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Microsoft_Visio___1.vsdx" ContentType="application/vnd.ms-visio.drawing"/>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70F68D">
      <w:pPr>
        <w:spacing w:line="500" w:lineRule="exact"/>
        <w:jc w:val="center"/>
        <w:rPr>
          <w:rFonts w:eastAsia="仿宋_GB2312"/>
          <w:b/>
          <w:bCs/>
          <w:color w:val="auto"/>
          <w:sz w:val="52"/>
        </w:rPr>
      </w:pPr>
      <w:bookmarkStart w:id="0" w:name="_Toc106006206"/>
      <w:bookmarkStart w:id="1" w:name="_Toc51146472"/>
      <w:bookmarkStart w:id="2" w:name="_Toc107661226"/>
      <w:bookmarkStart w:id="3" w:name="_Toc106533274"/>
      <w:bookmarkStart w:id="4" w:name="_Toc22463472"/>
      <w:bookmarkStart w:id="5" w:name="_Toc54775515"/>
      <w:bookmarkStart w:id="6" w:name="_Toc53396327"/>
      <w:bookmarkStart w:id="7" w:name="_Toc54085529"/>
      <w:bookmarkStart w:id="8" w:name="_Toc107772584"/>
      <w:bookmarkStart w:id="9" w:name="_Toc107787814"/>
      <w:bookmarkStart w:id="10" w:name="_Toc51583816"/>
      <w:bookmarkStart w:id="11" w:name="_Toc53416267"/>
      <w:bookmarkStart w:id="12" w:name="_Toc51933004"/>
      <w:bookmarkStart w:id="13" w:name="_Toc106437845"/>
    </w:p>
    <w:p w14:paraId="15AF6401">
      <w:pPr>
        <w:spacing w:line="500" w:lineRule="exact"/>
        <w:jc w:val="center"/>
        <w:rPr>
          <w:rFonts w:eastAsia="仿宋_GB2312"/>
          <w:b/>
          <w:bCs/>
          <w:color w:val="auto"/>
          <w:sz w:val="52"/>
        </w:rPr>
      </w:pPr>
    </w:p>
    <w:p w14:paraId="382AA068">
      <w:pPr>
        <w:spacing w:line="900" w:lineRule="exact"/>
        <w:jc w:val="center"/>
        <w:rPr>
          <w:rFonts w:hint="eastAsia" w:eastAsia="仿宋_GB2312"/>
          <w:b/>
          <w:bCs/>
          <w:color w:val="auto"/>
          <w:sz w:val="52"/>
          <w:szCs w:val="52"/>
          <w:lang w:eastAsia="zh-CN"/>
        </w:rPr>
      </w:pPr>
      <w:r>
        <w:rPr>
          <w:rFonts w:hint="eastAsia" w:eastAsia="仿宋_GB2312"/>
          <w:b/>
          <w:bCs/>
          <w:color w:val="auto"/>
          <w:sz w:val="52"/>
          <w:szCs w:val="52"/>
        </w:rPr>
        <w:t>江苏盈天环保科技有限公司危险废物综合利用处置技改项目</w:t>
      </w:r>
      <w:r>
        <w:rPr>
          <w:rFonts w:hint="eastAsia" w:eastAsia="仿宋_GB2312"/>
          <w:b/>
          <w:bCs/>
          <w:color w:val="auto"/>
          <w:sz w:val="52"/>
          <w:szCs w:val="52"/>
          <w:lang w:val="en-US" w:eastAsia="zh-CN"/>
        </w:rPr>
        <w:t>生态</w:t>
      </w:r>
      <w:r>
        <w:rPr>
          <w:rFonts w:eastAsia="仿宋_GB2312"/>
          <w:b/>
          <w:bCs/>
          <w:color w:val="auto"/>
          <w:sz w:val="52"/>
          <w:szCs w:val="52"/>
        </w:rPr>
        <w:t>环境影响报告书</w:t>
      </w:r>
      <w:r>
        <w:rPr>
          <w:rFonts w:hint="eastAsia" w:eastAsia="仿宋_GB2312"/>
          <w:b/>
          <w:bCs/>
          <w:color w:val="auto"/>
          <w:sz w:val="52"/>
          <w:szCs w:val="52"/>
          <w:lang w:eastAsia="zh-CN"/>
        </w:rPr>
        <w:t>（</w:t>
      </w:r>
      <w:r>
        <w:rPr>
          <w:rFonts w:hint="eastAsia" w:eastAsia="仿宋_GB2312"/>
          <w:b/>
          <w:bCs/>
          <w:color w:val="auto"/>
          <w:sz w:val="52"/>
          <w:szCs w:val="52"/>
          <w:lang w:val="en-US" w:eastAsia="zh-CN"/>
        </w:rPr>
        <w:t>工程分析部分</w:t>
      </w:r>
      <w:r>
        <w:rPr>
          <w:rFonts w:hint="eastAsia" w:eastAsia="仿宋_GB2312"/>
          <w:b/>
          <w:bCs/>
          <w:color w:val="auto"/>
          <w:sz w:val="52"/>
          <w:szCs w:val="52"/>
          <w:lang w:eastAsia="zh-CN"/>
        </w:rPr>
        <w:t>）</w:t>
      </w:r>
    </w:p>
    <w:p w14:paraId="565898E9">
      <w:pPr>
        <w:spacing w:line="900" w:lineRule="exact"/>
        <w:jc w:val="center"/>
        <w:rPr>
          <w:rFonts w:eastAsia="仿宋_GB2312"/>
          <w:b/>
          <w:bCs/>
          <w:color w:val="auto"/>
          <w:sz w:val="52"/>
          <w:szCs w:val="52"/>
        </w:rPr>
      </w:pPr>
      <w:r>
        <w:rPr>
          <w:rFonts w:eastAsia="仿宋_GB2312"/>
          <w:b/>
          <w:bCs/>
          <w:color w:val="auto"/>
          <w:sz w:val="52"/>
          <w:szCs w:val="52"/>
        </w:rPr>
        <w:t>（</w:t>
      </w:r>
      <w:r>
        <w:rPr>
          <w:rFonts w:hint="eastAsia" w:eastAsia="仿宋_GB2312"/>
          <w:b/>
          <w:bCs/>
          <w:color w:val="auto"/>
          <w:sz w:val="52"/>
          <w:szCs w:val="52"/>
          <w:lang w:val="en-US" w:eastAsia="zh-CN"/>
        </w:rPr>
        <w:t>评审</w:t>
      </w:r>
      <w:r>
        <w:rPr>
          <w:rFonts w:hint="eastAsia" w:eastAsia="仿宋_GB2312"/>
          <w:b/>
          <w:bCs/>
          <w:color w:val="auto"/>
          <w:sz w:val="52"/>
          <w:szCs w:val="52"/>
        </w:rPr>
        <w:t>稿</w:t>
      </w:r>
      <w:r>
        <w:rPr>
          <w:rFonts w:eastAsia="仿宋_GB2312"/>
          <w:b/>
          <w:bCs/>
          <w:color w:val="auto"/>
          <w:sz w:val="52"/>
          <w:szCs w:val="52"/>
        </w:rPr>
        <w:t>）</w:t>
      </w:r>
    </w:p>
    <w:p w14:paraId="3021FE28">
      <w:pPr>
        <w:spacing w:line="500" w:lineRule="exact"/>
        <w:jc w:val="center"/>
        <w:rPr>
          <w:rFonts w:eastAsia="仿宋_GB2312"/>
          <w:b/>
          <w:bCs/>
          <w:color w:val="FF0000"/>
          <w:sz w:val="52"/>
        </w:rPr>
      </w:pPr>
    </w:p>
    <w:p w14:paraId="23201ADA">
      <w:pPr>
        <w:spacing w:line="500" w:lineRule="exact"/>
        <w:jc w:val="center"/>
        <w:rPr>
          <w:rFonts w:eastAsia="仿宋_GB2312"/>
          <w:b/>
          <w:bCs/>
          <w:color w:val="FF0000"/>
          <w:sz w:val="52"/>
        </w:rPr>
      </w:pPr>
    </w:p>
    <w:p w14:paraId="21B2DA44">
      <w:pPr>
        <w:spacing w:line="500" w:lineRule="exact"/>
        <w:jc w:val="center"/>
        <w:rPr>
          <w:rFonts w:eastAsia="仿宋_GB2312"/>
          <w:b/>
          <w:bCs/>
          <w:color w:val="FF0000"/>
          <w:sz w:val="52"/>
        </w:rPr>
      </w:pPr>
    </w:p>
    <w:p w14:paraId="656C179A">
      <w:pPr>
        <w:spacing w:line="500" w:lineRule="exact"/>
        <w:jc w:val="center"/>
        <w:rPr>
          <w:rFonts w:eastAsia="仿宋_GB2312"/>
          <w:b/>
          <w:bCs/>
          <w:color w:val="FF0000"/>
          <w:sz w:val="52"/>
        </w:rPr>
      </w:pPr>
    </w:p>
    <w:p w14:paraId="7ED251EC">
      <w:pPr>
        <w:spacing w:line="500" w:lineRule="exact"/>
        <w:jc w:val="center"/>
        <w:rPr>
          <w:rFonts w:eastAsia="仿宋_GB2312"/>
          <w:b/>
          <w:bCs/>
          <w:color w:val="FF0000"/>
          <w:sz w:val="52"/>
        </w:rPr>
      </w:pPr>
    </w:p>
    <w:p w14:paraId="659DC8E9">
      <w:pPr>
        <w:spacing w:line="500" w:lineRule="exact"/>
        <w:jc w:val="center"/>
        <w:rPr>
          <w:rFonts w:eastAsia="仿宋_GB2312"/>
          <w:b/>
          <w:bCs/>
          <w:color w:val="FF0000"/>
          <w:sz w:val="52"/>
        </w:rPr>
      </w:pPr>
    </w:p>
    <w:p w14:paraId="71318E59">
      <w:pPr>
        <w:spacing w:line="500" w:lineRule="exact"/>
        <w:rPr>
          <w:rFonts w:eastAsia="仿宋_GB2312"/>
          <w:b/>
          <w:bCs/>
          <w:color w:val="FF0000"/>
          <w:sz w:val="52"/>
        </w:rPr>
      </w:pPr>
    </w:p>
    <w:p w14:paraId="152EE844">
      <w:pPr>
        <w:spacing w:line="500" w:lineRule="exact"/>
        <w:jc w:val="center"/>
        <w:rPr>
          <w:rFonts w:eastAsia="仿宋_GB2312"/>
          <w:b/>
          <w:bCs/>
          <w:color w:val="auto"/>
          <w:sz w:val="52"/>
        </w:rPr>
      </w:pPr>
    </w:p>
    <w:p w14:paraId="43913CF7">
      <w:pPr>
        <w:spacing w:line="500" w:lineRule="exact"/>
        <w:jc w:val="center"/>
        <w:rPr>
          <w:rFonts w:eastAsia="仿宋_GB2312"/>
          <w:b/>
          <w:bCs/>
          <w:color w:val="auto"/>
          <w:sz w:val="52"/>
        </w:rPr>
      </w:pPr>
    </w:p>
    <w:p w14:paraId="35DC956A">
      <w:pPr>
        <w:spacing w:line="500" w:lineRule="exact"/>
        <w:jc w:val="center"/>
        <w:rPr>
          <w:rFonts w:eastAsia="仿宋_GB2312"/>
          <w:b/>
          <w:bCs/>
          <w:color w:val="auto"/>
          <w:sz w:val="52"/>
        </w:rPr>
      </w:pPr>
    </w:p>
    <w:p w14:paraId="6A5CDA7F">
      <w:pPr>
        <w:spacing w:line="500" w:lineRule="exact"/>
        <w:jc w:val="center"/>
        <w:rPr>
          <w:rFonts w:eastAsia="仿宋_GB2312"/>
          <w:b/>
          <w:bCs/>
          <w:color w:val="auto"/>
          <w:sz w:val="52"/>
        </w:rPr>
      </w:pPr>
    </w:p>
    <w:p w14:paraId="073735EC">
      <w:pPr>
        <w:spacing w:line="500" w:lineRule="exact"/>
        <w:jc w:val="center"/>
        <w:rPr>
          <w:rFonts w:eastAsia="仿宋_GB2312"/>
          <w:b/>
          <w:bCs/>
          <w:color w:val="auto"/>
          <w:sz w:val="52"/>
        </w:rPr>
      </w:pPr>
    </w:p>
    <w:p w14:paraId="6C1C54E8">
      <w:pPr>
        <w:spacing w:line="500" w:lineRule="exact"/>
        <w:jc w:val="center"/>
        <w:rPr>
          <w:rFonts w:eastAsia="仿宋_GB2312"/>
          <w:b/>
          <w:bCs/>
          <w:color w:val="auto"/>
          <w:sz w:val="52"/>
        </w:rPr>
      </w:pPr>
    </w:p>
    <w:p w14:paraId="15F22EA3">
      <w:pPr>
        <w:spacing w:line="500" w:lineRule="exact"/>
        <w:jc w:val="center"/>
        <w:rPr>
          <w:rFonts w:eastAsia="仿宋_GB2312"/>
          <w:b/>
          <w:bCs/>
          <w:color w:val="auto"/>
          <w:sz w:val="30"/>
          <w:szCs w:val="30"/>
        </w:rPr>
      </w:pPr>
      <w:r>
        <w:rPr>
          <w:rFonts w:eastAsia="仿宋_GB2312"/>
          <w:b/>
          <w:bCs/>
          <w:color w:val="auto"/>
          <w:sz w:val="30"/>
          <w:szCs w:val="30"/>
        </w:rPr>
        <w:t>建设单位：</w:t>
      </w:r>
      <w:r>
        <w:rPr>
          <w:rFonts w:hint="eastAsia" w:eastAsia="仿宋_GB2312"/>
          <w:b/>
          <w:bCs/>
          <w:color w:val="auto"/>
          <w:sz w:val="30"/>
          <w:szCs w:val="30"/>
        </w:rPr>
        <w:t>江苏盈天环保科技有限公司</w:t>
      </w:r>
    </w:p>
    <w:p w14:paraId="06F3DB7D">
      <w:pPr>
        <w:spacing w:line="500" w:lineRule="exact"/>
        <w:jc w:val="center"/>
        <w:rPr>
          <w:rFonts w:eastAsia="仿宋_GB2312"/>
          <w:b/>
          <w:bCs/>
          <w:color w:val="auto"/>
          <w:sz w:val="30"/>
          <w:szCs w:val="30"/>
        </w:rPr>
      </w:pPr>
      <w:r>
        <w:rPr>
          <w:rFonts w:eastAsia="仿宋_GB2312"/>
          <w:b/>
          <w:bCs/>
          <w:color w:val="auto"/>
          <w:sz w:val="30"/>
          <w:szCs w:val="30"/>
        </w:rPr>
        <w:t>202</w:t>
      </w:r>
      <w:r>
        <w:rPr>
          <w:rFonts w:hint="eastAsia" w:eastAsia="仿宋_GB2312"/>
          <w:b/>
          <w:bCs/>
          <w:color w:val="auto"/>
          <w:sz w:val="30"/>
          <w:szCs w:val="30"/>
          <w:lang w:val="en-US" w:eastAsia="zh-CN"/>
        </w:rPr>
        <w:t>6</w:t>
      </w:r>
      <w:r>
        <w:rPr>
          <w:rFonts w:eastAsia="仿宋_GB2312"/>
          <w:b/>
          <w:bCs/>
          <w:color w:val="auto"/>
          <w:sz w:val="30"/>
          <w:szCs w:val="30"/>
        </w:rPr>
        <w:t>年</w:t>
      </w:r>
      <w:r>
        <w:rPr>
          <w:rFonts w:hint="eastAsia" w:eastAsia="仿宋_GB2312"/>
          <w:b/>
          <w:bCs/>
          <w:color w:val="auto"/>
          <w:sz w:val="30"/>
          <w:szCs w:val="30"/>
          <w:lang w:val="en-US" w:eastAsia="zh-CN"/>
        </w:rPr>
        <w:t>8</w:t>
      </w:r>
      <w:r>
        <w:rPr>
          <w:rFonts w:eastAsia="仿宋_GB2312"/>
          <w:b/>
          <w:bCs/>
          <w:color w:val="auto"/>
          <w:sz w:val="30"/>
          <w:szCs w:val="30"/>
        </w:rPr>
        <w:t>月</w:t>
      </w:r>
    </w:p>
    <w:p w14:paraId="54380DB2">
      <w:pPr>
        <w:spacing w:line="240" w:lineRule="exact"/>
        <w:jc w:val="center"/>
        <w:rPr>
          <w:rFonts w:eastAsia="仿宋_GB2312"/>
          <w:b/>
          <w:bCs/>
          <w:color w:val="auto"/>
          <w:sz w:val="52"/>
        </w:rPr>
      </w:pPr>
    </w:p>
    <w:p w14:paraId="2FA2972F">
      <w:pPr>
        <w:pStyle w:val="2"/>
        <w:rPr>
          <w:rFonts w:eastAsia="仿宋_GB2312"/>
          <w:color w:val="FF0000"/>
          <w:spacing w:val="-8"/>
          <w:kern w:val="0"/>
          <w:sz w:val="28"/>
          <w:szCs w:val="28"/>
        </w:rPr>
      </w:pPr>
    </w:p>
    <w:p w14:paraId="30B7957C">
      <w:pPr>
        <w:rPr>
          <w:rFonts w:eastAsia="仿宋_GB2312"/>
          <w:color w:val="FF0000"/>
          <w:spacing w:val="-8"/>
          <w:kern w:val="0"/>
          <w:sz w:val="28"/>
          <w:szCs w:val="28"/>
        </w:rPr>
      </w:pPr>
    </w:p>
    <w:p w14:paraId="2E9940DA">
      <w:pPr>
        <w:pStyle w:val="2"/>
        <w:rPr>
          <w:rFonts w:eastAsia="仿宋_GB2312"/>
          <w:color w:val="FF0000"/>
          <w:spacing w:val="-8"/>
          <w:kern w:val="0"/>
          <w:sz w:val="28"/>
          <w:szCs w:val="28"/>
        </w:rPr>
      </w:pPr>
    </w:p>
    <w:p w14:paraId="00BFB61B">
      <w:pPr>
        <w:rPr>
          <w:rFonts w:eastAsia="仿宋_GB2312"/>
          <w:color w:val="FF0000"/>
          <w:spacing w:val="-8"/>
          <w:kern w:val="0"/>
          <w:sz w:val="28"/>
          <w:szCs w:val="28"/>
        </w:rPr>
      </w:pPr>
    </w:p>
    <w:p w14:paraId="5725E630">
      <w:pPr>
        <w:pStyle w:val="2"/>
        <w:rPr>
          <w:rFonts w:eastAsia="仿宋_GB2312"/>
          <w:color w:val="FF0000"/>
          <w:spacing w:val="-8"/>
          <w:kern w:val="0"/>
          <w:sz w:val="28"/>
          <w:szCs w:val="28"/>
        </w:rPr>
      </w:pPr>
    </w:p>
    <w:p w14:paraId="151E3C44">
      <w:pPr>
        <w:rPr>
          <w:rFonts w:eastAsia="仿宋_GB2312"/>
          <w:color w:val="FF0000"/>
          <w:spacing w:val="-8"/>
          <w:kern w:val="0"/>
          <w:sz w:val="28"/>
          <w:szCs w:val="28"/>
        </w:rPr>
      </w:pPr>
    </w:p>
    <w:p w14:paraId="3E1DACBD">
      <w:pPr>
        <w:pStyle w:val="2"/>
        <w:rPr>
          <w:rFonts w:eastAsia="仿宋_GB2312"/>
          <w:color w:val="FF0000"/>
          <w:spacing w:val="-8"/>
          <w:kern w:val="0"/>
          <w:sz w:val="28"/>
          <w:szCs w:val="28"/>
        </w:rPr>
      </w:pPr>
    </w:p>
    <w:p w14:paraId="497C7D6B">
      <w:pPr>
        <w:rPr>
          <w:rFonts w:eastAsia="仿宋_GB2312"/>
          <w:color w:val="FF0000"/>
          <w:spacing w:val="-8"/>
          <w:kern w:val="0"/>
          <w:sz w:val="28"/>
          <w:szCs w:val="28"/>
        </w:rPr>
      </w:pPr>
    </w:p>
    <w:p w14:paraId="0AE83DB2">
      <w:pPr>
        <w:pStyle w:val="2"/>
        <w:rPr>
          <w:rFonts w:eastAsia="仿宋_GB2312"/>
          <w:color w:val="FF0000"/>
          <w:spacing w:val="-8"/>
          <w:kern w:val="0"/>
          <w:sz w:val="28"/>
          <w:szCs w:val="28"/>
        </w:rPr>
      </w:pPr>
    </w:p>
    <w:p w14:paraId="6EB16C7A">
      <w:pPr>
        <w:rPr>
          <w:rFonts w:eastAsia="仿宋_GB2312"/>
          <w:color w:val="FF0000"/>
          <w:spacing w:val="-8"/>
          <w:kern w:val="0"/>
          <w:sz w:val="28"/>
          <w:szCs w:val="28"/>
        </w:rPr>
      </w:pPr>
    </w:p>
    <w:p w14:paraId="4AB60EC6">
      <w:pPr>
        <w:pStyle w:val="2"/>
        <w:rPr>
          <w:rFonts w:eastAsia="仿宋_GB2312"/>
          <w:color w:val="FF0000"/>
          <w:spacing w:val="-8"/>
          <w:kern w:val="0"/>
          <w:sz w:val="28"/>
          <w:szCs w:val="28"/>
        </w:rPr>
      </w:pPr>
    </w:p>
    <w:p w14:paraId="1B737EC0">
      <w:pPr>
        <w:rPr>
          <w:rFonts w:eastAsia="仿宋_GB2312"/>
          <w:color w:val="FF0000"/>
          <w:spacing w:val="-8"/>
          <w:kern w:val="0"/>
          <w:sz w:val="28"/>
          <w:szCs w:val="28"/>
        </w:rPr>
      </w:pPr>
    </w:p>
    <w:p w14:paraId="07A76870">
      <w:pPr>
        <w:pStyle w:val="2"/>
        <w:rPr>
          <w:rFonts w:eastAsia="仿宋_GB2312"/>
          <w:color w:val="FF0000"/>
          <w:spacing w:val="-8"/>
          <w:kern w:val="0"/>
          <w:sz w:val="28"/>
          <w:szCs w:val="28"/>
        </w:rPr>
      </w:pPr>
    </w:p>
    <w:p w14:paraId="2EEC87FD">
      <w:pPr>
        <w:rPr>
          <w:rFonts w:eastAsia="仿宋_GB2312"/>
          <w:color w:val="FF0000"/>
          <w:spacing w:val="-8"/>
          <w:kern w:val="0"/>
          <w:sz w:val="28"/>
          <w:szCs w:val="28"/>
        </w:rPr>
      </w:pPr>
    </w:p>
    <w:p w14:paraId="2978773E">
      <w:pPr>
        <w:pStyle w:val="2"/>
        <w:rPr>
          <w:rFonts w:eastAsia="仿宋_GB2312"/>
          <w:color w:val="FF0000"/>
          <w:spacing w:val="-8"/>
          <w:kern w:val="0"/>
          <w:sz w:val="28"/>
          <w:szCs w:val="28"/>
        </w:rPr>
      </w:pPr>
    </w:p>
    <w:p w14:paraId="763FBD56">
      <w:pPr>
        <w:rPr>
          <w:rFonts w:eastAsia="仿宋_GB2312"/>
          <w:color w:val="FF0000"/>
          <w:spacing w:val="-8"/>
          <w:kern w:val="0"/>
          <w:sz w:val="28"/>
          <w:szCs w:val="28"/>
        </w:rPr>
      </w:pPr>
    </w:p>
    <w:p w14:paraId="54264881">
      <w:pPr>
        <w:pStyle w:val="2"/>
        <w:rPr>
          <w:rFonts w:eastAsia="仿宋_GB2312"/>
          <w:color w:val="FF0000"/>
          <w:spacing w:val="-8"/>
          <w:kern w:val="0"/>
          <w:sz w:val="28"/>
          <w:szCs w:val="28"/>
        </w:rPr>
      </w:pPr>
    </w:p>
    <w:p w14:paraId="1982BF66">
      <w:pPr>
        <w:rPr>
          <w:rFonts w:eastAsia="仿宋_GB2312"/>
          <w:color w:val="FF0000"/>
          <w:spacing w:val="-8"/>
          <w:kern w:val="0"/>
          <w:sz w:val="28"/>
          <w:szCs w:val="28"/>
        </w:rPr>
      </w:pPr>
    </w:p>
    <w:p w14:paraId="1711754D">
      <w:pPr>
        <w:pStyle w:val="2"/>
        <w:rPr>
          <w:rFonts w:eastAsia="仿宋_GB2312"/>
          <w:color w:val="FF0000"/>
          <w:spacing w:val="-8"/>
          <w:kern w:val="0"/>
          <w:sz w:val="28"/>
          <w:szCs w:val="28"/>
        </w:rPr>
      </w:pPr>
    </w:p>
    <w:p w14:paraId="64473E4E">
      <w:pPr>
        <w:rPr>
          <w:rFonts w:eastAsia="仿宋_GB2312"/>
          <w:color w:val="FF0000"/>
          <w:spacing w:val="-8"/>
          <w:kern w:val="0"/>
          <w:sz w:val="28"/>
          <w:szCs w:val="28"/>
        </w:rPr>
      </w:pPr>
    </w:p>
    <w:p w14:paraId="0450DB52">
      <w:pPr>
        <w:pStyle w:val="2"/>
        <w:rPr>
          <w:rFonts w:eastAsia="仿宋_GB2312"/>
          <w:color w:val="FF0000"/>
          <w:spacing w:val="-8"/>
          <w:kern w:val="0"/>
          <w:sz w:val="28"/>
          <w:szCs w:val="28"/>
        </w:rPr>
      </w:pPr>
    </w:p>
    <w:p w14:paraId="70D8D1D7">
      <w:pPr>
        <w:rPr>
          <w:rFonts w:eastAsia="仿宋_GB2312"/>
          <w:color w:val="FF0000"/>
          <w:spacing w:val="-8"/>
          <w:kern w:val="0"/>
          <w:sz w:val="28"/>
          <w:szCs w:val="28"/>
        </w:rPr>
      </w:pPr>
    </w:p>
    <w:p w14:paraId="68313819">
      <w:pPr>
        <w:pStyle w:val="2"/>
        <w:rPr>
          <w:rFonts w:eastAsia="仿宋_GB2312"/>
          <w:color w:val="FF0000"/>
          <w:spacing w:val="-8"/>
          <w:kern w:val="0"/>
          <w:sz w:val="28"/>
          <w:szCs w:val="28"/>
        </w:rPr>
      </w:pPr>
    </w:p>
    <w:p w14:paraId="7900EFF4">
      <w:pPr>
        <w:rPr>
          <w:rFonts w:eastAsia="仿宋_GB2312"/>
          <w:color w:val="FF0000"/>
          <w:spacing w:val="-8"/>
          <w:kern w:val="0"/>
          <w:sz w:val="28"/>
          <w:szCs w:val="28"/>
        </w:rPr>
      </w:pPr>
    </w:p>
    <w:p w14:paraId="489446E2">
      <w:pPr>
        <w:pStyle w:val="2"/>
      </w:pPr>
    </w:p>
    <w:p w14:paraId="28598544">
      <w:pPr>
        <w:rPr>
          <w:rFonts w:eastAsia="仿宋_GB2312"/>
          <w:color w:val="FF0000"/>
          <w:spacing w:val="-8"/>
          <w:kern w:val="0"/>
          <w:sz w:val="28"/>
          <w:szCs w:val="28"/>
        </w:rPr>
      </w:pPr>
    </w:p>
    <w:p w14:paraId="762B4C43">
      <w:pPr>
        <w:pStyle w:val="2"/>
        <w:rPr>
          <w:rFonts w:eastAsia="仿宋_GB2312"/>
          <w:color w:val="FF0000"/>
          <w:spacing w:val="-8"/>
          <w:kern w:val="0"/>
          <w:sz w:val="28"/>
          <w:szCs w:val="28"/>
        </w:rPr>
      </w:pPr>
    </w:p>
    <w:p w14:paraId="521BA83A">
      <w:pPr>
        <w:rPr>
          <w:rFonts w:eastAsia="仿宋_GB2312"/>
          <w:color w:val="FF0000"/>
          <w:spacing w:val="-8"/>
          <w:kern w:val="0"/>
          <w:sz w:val="28"/>
          <w:szCs w:val="28"/>
        </w:rPr>
      </w:pPr>
    </w:p>
    <w:p w14:paraId="703CAFF9">
      <w:pPr>
        <w:pStyle w:val="2"/>
        <w:rPr>
          <w:rFonts w:eastAsia="仿宋_GB2312"/>
          <w:color w:val="FF0000"/>
          <w:spacing w:val="-8"/>
          <w:kern w:val="0"/>
          <w:sz w:val="28"/>
          <w:szCs w:val="28"/>
        </w:rPr>
      </w:pPr>
    </w:p>
    <w:p w14:paraId="21DB730C">
      <w:pPr>
        <w:rPr>
          <w:rFonts w:eastAsia="仿宋_GB2312"/>
          <w:color w:val="FF0000"/>
          <w:spacing w:val="-8"/>
          <w:kern w:val="0"/>
          <w:sz w:val="28"/>
          <w:szCs w:val="28"/>
        </w:rPr>
      </w:pPr>
    </w:p>
    <w:p w14:paraId="12FEFB7C">
      <w:pPr>
        <w:pStyle w:val="2"/>
        <w:rPr>
          <w:rFonts w:eastAsia="仿宋_GB2312"/>
          <w:color w:val="FF0000"/>
          <w:spacing w:val="-8"/>
          <w:kern w:val="0"/>
          <w:sz w:val="28"/>
          <w:szCs w:val="28"/>
        </w:rPr>
      </w:pPr>
    </w:p>
    <w:p w14:paraId="2C82EB5E">
      <w:pPr>
        <w:rPr>
          <w:rFonts w:eastAsia="仿宋_GB2312"/>
          <w:color w:val="FF0000"/>
          <w:spacing w:val="-8"/>
          <w:kern w:val="0"/>
          <w:sz w:val="28"/>
          <w:szCs w:val="28"/>
        </w:rPr>
      </w:pPr>
    </w:p>
    <w:p w14:paraId="37735334">
      <w:pPr>
        <w:pStyle w:val="2"/>
        <w:rPr>
          <w:rFonts w:eastAsia="仿宋_GB2312"/>
          <w:color w:val="FF0000"/>
          <w:spacing w:val="-8"/>
          <w:kern w:val="0"/>
          <w:sz w:val="28"/>
          <w:szCs w:val="28"/>
        </w:rPr>
      </w:pPr>
    </w:p>
    <w:p w14:paraId="25B5301A">
      <w:pPr>
        <w:rPr>
          <w:rFonts w:eastAsia="仿宋_GB2312"/>
          <w:color w:val="FF0000"/>
          <w:spacing w:val="-8"/>
          <w:kern w:val="0"/>
          <w:sz w:val="28"/>
          <w:szCs w:val="28"/>
        </w:rPr>
      </w:pPr>
    </w:p>
    <w:p w14:paraId="0B5C2614">
      <w:pPr>
        <w:pStyle w:val="2"/>
        <w:rPr>
          <w:rFonts w:eastAsia="仿宋_GB2312"/>
          <w:color w:val="FF0000"/>
          <w:spacing w:val="-8"/>
          <w:kern w:val="0"/>
          <w:sz w:val="28"/>
          <w:szCs w:val="28"/>
        </w:rPr>
        <w:sectPr>
          <w:footerReference r:id="rId3" w:type="default"/>
          <w:type w:val="continuous"/>
          <w:pgSz w:w="11906" w:h="16838"/>
          <w:pgMar w:top="1440" w:right="1800" w:bottom="1440" w:left="1800" w:header="794" w:footer="992" w:gutter="0"/>
          <w:pgBorders>
            <w:top w:val="none" w:sz="0" w:space="0"/>
            <w:left w:val="none" w:sz="0" w:space="0"/>
            <w:bottom w:val="none" w:sz="0" w:space="0"/>
            <w:right w:val="none" w:sz="0" w:space="0"/>
          </w:pgBorders>
          <w:pgNumType w:start="1"/>
          <w:cols w:space="425" w:num="1"/>
          <w:docGrid w:linePitch="381" w:charSpace="0"/>
        </w:sectPr>
      </w:pPr>
    </w:p>
    <w:sdt>
      <w:sdtPr>
        <w:rPr>
          <w:rFonts w:ascii="Times New Roman" w:hAnsi="Times New Roman" w:eastAsia="宋体" w:cs="Times New Roman"/>
          <w:color w:val="FF0000"/>
          <w:kern w:val="2"/>
          <w:sz w:val="21"/>
          <w:szCs w:val="24"/>
          <w:lang w:val="zh-CN"/>
        </w:rPr>
        <w:id w:val="147467922"/>
        <w:docPartObj>
          <w:docPartGallery w:val="Table of Contents"/>
          <w:docPartUnique/>
        </w:docPartObj>
      </w:sdtPr>
      <w:sdtEndPr>
        <w:rPr>
          <w:rFonts w:ascii="Times New Roman" w:hAnsi="Times New Roman" w:eastAsia="宋体" w:cs="Times New Roman"/>
          <w:b/>
          <w:bCs/>
          <w:color w:val="FF0000"/>
          <w:kern w:val="2"/>
          <w:sz w:val="21"/>
          <w:szCs w:val="24"/>
          <w:lang w:val="zh-CN"/>
        </w:rPr>
      </w:sdtEndPr>
      <w:sdtContent>
        <w:p w14:paraId="4727CC1A">
          <w:pPr>
            <w:pStyle w:val="4055"/>
            <w:jc w:val="center"/>
            <w:rPr>
              <w:rFonts w:ascii="Times New Roman" w:hAnsi="Times New Roman" w:eastAsia="仿宋_GB2312" w:cs="Times New Roman"/>
              <w:color w:val="auto"/>
              <w:sz w:val="36"/>
              <w:szCs w:val="36"/>
            </w:rPr>
          </w:pPr>
          <w:r>
            <w:rPr>
              <w:rFonts w:ascii="Times New Roman" w:hAnsi="Times New Roman" w:eastAsia="仿宋_GB2312" w:cs="Times New Roman"/>
              <w:b/>
              <w:color w:val="auto"/>
              <w:sz w:val="36"/>
              <w:szCs w:val="36"/>
              <w:lang w:val="zh-CN"/>
            </w:rPr>
            <w:t>目  录</w:t>
          </w:r>
        </w:p>
        <w:p w14:paraId="73A422FA">
          <w:pPr>
            <w:pStyle w:val="60"/>
            <w:tabs>
              <w:tab w:val="right" w:leader="dot" w:pos="8306"/>
              <w:tab w:val="clear" w:pos="284"/>
              <w:tab w:val="clear" w:pos="630"/>
              <w:tab w:val="clear" w:pos="8302"/>
            </w:tabs>
            <w:rPr>
              <w:i w:val="0"/>
              <w:iCs w:val="0"/>
            </w:rPr>
          </w:pPr>
          <w:r>
            <w:rPr>
              <w:b w:val="0"/>
              <w:bCs w:val="0"/>
              <w:i w:val="0"/>
              <w:iCs w:val="0"/>
              <w:color w:val="FF0000"/>
            </w:rPr>
            <w:fldChar w:fldCharType="begin"/>
          </w:r>
          <w:r>
            <w:rPr>
              <w:b w:val="0"/>
              <w:bCs w:val="0"/>
              <w:i w:val="0"/>
              <w:iCs w:val="0"/>
              <w:color w:val="FF0000"/>
            </w:rPr>
            <w:instrText xml:space="preserve"> TOC \o "1-3" \h \z \u </w:instrText>
          </w:r>
          <w:r>
            <w:rPr>
              <w:b w:val="0"/>
              <w:bCs w:val="0"/>
              <w:i w:val="0"/>
              <w:iCs w:val="0"/>
              <w:color w:val="FF0000"/>
            </w:rPr>
            <w:fldChar w:fldCharType="separate"/>
          </w:r>
          <w:r>
            <w:rPr>
              <w:bCs w:val="0"/>
              <w:i w:val="0"/>
              <w:iCs w:val="0"/>
              <w:color w:val="FF0000"/>
            </w:rPr>
            <w:fldChar w:fldCharType="begin"/>
          </w:r>
          <w:r>
            <w:rPr>
              <w:bCs w:val="0"/>
              <w:i w:val="0"/>
              <w:iCs w:val="0"/>
            </w:rPr>
            <w:instrText xml:space="preserve"> HYPERLINK \l _Toc20008 </w:instrText>
          </w:r>
          <w:r>
            <w:rPr>
              <w:bCs w:val="0"/>
              <w:i w:val="0"/>
              <w:iCs w:val="0"/>
            </w:rPr>
            <w:fldChar w:fldCharType="separate"/>
          </w:r>
          <w:r>
            <w:rPr>
              <w:rFonts w:eastAsia="仿宋_GB2312"/>
              <w:i w:val="0"/>
              <w:iCs w:val="0"/>
              <w:szCs w:val="36"/>
            </w:rPr>
            <w:t>3建设项目工程分析</w:t>
          </w:r>
          <w:r>
            <w:rPr>
              <w:i w:val="0"/>
              <w:iCs w:val="0"/>
            </w:rPr>
            <w:tab/>
          </w:r>
          <w:r>
            <w:rPr>
              <w:i w:val="0"/>
              <w:iCs w:val="0"/>
            </w:rPr>
            <w:fldChar w:fldCharType="begin"/>
          </w:r>
          <w:r>
            <w:rPr>
              <w:i w:val="0"/>
              <w:iCs w:val="0"/>
            </w:rPr>
            <w:instrText xml:space="preserve"> PAGEREF _Toc20008 \h </w:instrText>
          </w:r>
          <w:r>
            <w:rPr>
              <w:i w:val="0"/>
              <w:iCs w:val="0"/>
            </w:rPr>
            <w:fldChar w:fldCharType="separate"/>
          </w:r>
          <w:r>
            <w:rPr>
              <w:i w:val="0"/>
              <w:iCs w:val="0"/>
            </w:rPr>
            <w:t>1</w:t>
          </w:r>
          <w:r>
            <w:rPr>
              <w:i w:val="0"/>
              <w:iCs w:val="0"/>
            </w:rPr>
            <w:fldChar w:fldCharType="end"/>
          </w:r>
          <w:r>
            <w:rPr>
              <w:bCs w:val="0"/>
              <w:i w:val="0"/>
              <w:iCs w:val="0"/>
              <w:color w:val="FF0000"/>
            </w:rPr>
            <w:fldChar w:fldCharType="end"/>
          </w:r>
        </w:p>
        <w:p w14:paraId="6574C219">
          <w:pPr>
            <w:pStyle w:val="2"/>
            <w:tabs>
              <w:tab w:val="right" w:leader="dot" w:pos="8306"/>
              <w:tab w:val="clear" w:pos="567"/>
              <w:tab w:val="clear" w:pos="630"/>
              <w:tab w:val="clear" w:pos="8302"/>
            </w:tabs>
            <w:rPr>
              <w:i w:val="0"/>
              <w:iCs w:val="0"/>
            </w:rPr>
          </w:pPr>
          <w:r>
            <w:rPr>
              <w:rFonts w:eastAsia="仿宋_GB2312"/>
              <w:i w:val="0"/>
              <w:iCs w:val="0"/>
              <w:color w:val="FF0000"/>
              <w:lang w:val="zh-CN"/>
            </w:rPr>
            <w:fldChar w:fldCharType="begin"/>
          </w:r>
          <w:r>
            <w:rPr>
              <w:rFonts w:eastAsia="仿宋_GB2312"/>
              <w:i w:val="0"/>
              <w:iCs w:val="0"/>
              <w:lang w:val="zh-CN"/>
            </w:rPr>
            <w:instrText xml:space="preserve"> HYPERLINK \l _Toc22537 </w:instrText>
          </w:r>
          <w:r>
            <w:rPr>
              <w:rFonts w:eastAsia="仿宋_GB2312"/>
              <w:i w:val="0"/>
              <w:iCs w:val="0"/>
              <w:lang w:val="zh-CN"/>
            </w:rPr>
            <w:fldChar w:fldCharType="separate"/>
          </w:r>
          <w:r>
            <w:rPr>
              <w:i w:val="0"/>
              <w:iCs w:val="0"/>
              <w:szCs w:val="30"/>
            </w:rPr>
            <w:t>3.1原有项目概况</w:t>
          </w:r>
          <w:r>
            <w:rPr>
              <w:i w:val="0"/>
              <w:iCs w:val="0"/>
            </w:rPr>
            <w:tab/>
          </w:r>
          <w:r>
            <w:rPr>
              <w:i w:val="0"/>
              <w:iCs w:val="0"/>
            </w:rPr>
            <w:fldChar w:fldCharType="begin"/>
          </w:r>
          <w:r>
            <w:rPr>
              <w:i w:val="0"/>
              <w:iCs w:val="0"/>
            </w:rPr>
            <w:instrText xml:space="preserve"> PAGEREF _Toc22537 \h </w:instrText>
          </w:r>
          <w:r>
            <w:rPr>
              <w:i w:val="0"/>
              <w:iCs w:val="0"/>
            </w:rPr>
            <w:fldChar w:fldCharType="separate"/>
          </w:r>
          <w:r>
            <w:rPr>
              <w:i w:val="0"/>
              <w:iCs w:val="0"/>
            </w:rPr>
            <w:t>1</w:t>
          </w:r>
          <w:r>
            <w:rPr>
              <w:i w:val="0"/>
              <w:iCs w:val="0"/>
            </w:rPr>
            <w:fldChar w:fldCharType="end"/>
          </w:r>
          <w:r>
            <w:rPr>
              <w:rFonts w:eastAsia="仿宋_GB2312"/>
              <w:i w:val="0"/>
              <w:iCs w:val="0"/>
              <w:color w:val="FF0000"/>
              <w:lang w:val="zh-CN"/>
            </w:rPr>
            <w:fldChar w:fldCharType="end"/>
          </w:r>
        </w:p>
        <w:p w14:paraId="0B2B965A">
          <w:pPr>
            <w:pStyle w:val="46"/>
            <w:tabs>
              <w:tab w:val="right" w:leader="dot" w:pos="8306"/>
            </w:tabs>
            <w:rPr>
              <w:i w:val="0"/>
              <w:iCs w:val="0"/>
            </w:rPr>
          </w:pPr>
          <w:r>
            <w:rPr>
              <w:rFonts w:eastAsia="仿宋_GB2312"/>
              <w:i w:val="0"/>
              <w:iCs w:val="0"/>
              <w:color w:val="FF0000"/>
              <w:lang w:val="zh-CN"/>
            </w:rPr>
            <w:fldChar w:fldCharType="begin"/>
          </w:r>
          <w:r>
            <w:rPr>
              <w:rFonts w:eastAsia="仿宋_GB2312"/>
              <w:i w:val="0"/>
              <w:iCs w:val="0"/>
              <w:lang w:val="zh-CN"/>
            </w:rPr>
            <w:instrText xml:space="preserve"> HYPERLINK \l _Toc16905 </w:instrText>
          </w:r>
          <w:r>
            <w:rPr>
              <w:rFonts w:eastAsia="仿宋_GB2312"/>
              <w:i w:val="0"/>
              <w:iCs w:val="0"/>
              <w:lang w:val="zh-CN"/>
            </w:rPr>
            <w:fldChar w:fldCharType="separate"/>
          </w:r>
          <w:r>
            <w:rPr>
              <w:rFonts w:eastAsia="仿宋_GB2312"/>
              <w:i w:val="0"/>
              <w:iCs w:val="0"/>
              <w:szCs w:val="28"/>
            </w:rPr>
            <w:t>3.1.1原有项目概况及环保手续情况</w:t>
          </w:r>
          <w:r>
            <w:rPr>
              <w:i w:val="0"/>
              <w:iCs w:val="0"/>
            </w:rPr>
            <w:tab/>
          </w:r>
          <w:r>
            <w:rPr>
              <w:i w:val="0"/>
              <w:iCs w:val="0"/>
            </w:rPr>
            <w:fldChar w:fldCharType="begin"/>
          </w:r>
          <w:r>
            <w:rPr>
              <w:i w:val="0"/>
              <w:iCs w:val="0"/>
            </w:rPr>
            <w:instrText xml:space="preserve"> PAGEREF _Toc16905 \h </w:instrText>
          </w:r>
          <w:r>
            <w:rPr>
              <w:i w:val="0"/>
              <w:iCs w:val="0"/>
            </w:rPr>
            <w:fldChar w:fldCharType="separate"/>
          </w:r>
          <w:r>
            <w:rPr>
              <w:i w:val="0"/>
              <w:iCs w:val="0"/>
            </w:rPr>
            <w:t>1</w:t>
          </w:r>
          <w:r>
            <w:rPr>
              <w:i w:val="0"/>
              <w:iCs w:val="0"/>
            </w:rPr>
            <w:fldChar w:fldCharType="end"/>
          </w:r>
          <w:r>
            <w:rPr>
              <w:rFonts w:eastAsia="仿宋_GB2312"/>
              <w:i w:val="0"/>
              <w:iCs w:val="0"/>
              <w:color w:val="FF0000"/>
              <w:lang w:val="zh-CN"/>
            </w:rPr>
            <w:fldChar w:fldCharType="end"/>
          </w:r>
        </w:p>
        <w:p w14:paraId="491BB5F7">
          <w:pPr>
            <w:pStyle w:val="46"/>
            <w:tabs>
              <w:tab w:val="right" w:leader="dot" w:pos="8306"/>
            </w:tabs>
            <w:rPr>
              <w:i w:val="0"/>
              <w:iCs w:val="0"/>
            </w:rPr>
          </w:pPr>
          <w:r>
            <w:rPr>
              <w:rFonts w:eastAsia="仿宋_GB2312"/>
              <w:i w:val="0"/>
              <w:iCs w:val="0"/>
              <w:color w:val="FF0000"/>
              <w:lang w:val="zh-CN"/>
            </w:rPr>
            <w:fldChar w:fldCharType="begin"/>
          </w:r>
          <w:r>
            <w:rPr>
              <w:rFonts w:eastAsia="仿宋_GB2312"/>
              <w:i w:val="0"/>
              <w:iCs w:val="0"/>
              <w:lang w:val="zh-CN"/>
            </w:rPr>
            <w:instrText xml:space="preserve"> HYPERLINK \l _Toc3277 </w:instrText>
          </w:r>
          <w:r>
            <w:rPr>
              <w:rFonts w:eastAsia="仿宋_GB2312"/>
              <w:i w:val="0"/>
              <w:iCs w:val="0"/>
              <w:lang w:val="zh-CN"/>
            </w:rPr>
            <w:fldChar w:fldCharType="separate"/>
          </w:r>
          <w:r>
            <w:rPr>
              <w:rFonts w:eastAsia="仿宋_GB2312"/>
              <w:i w:val="0"/>
              <w:iCs w:val="0"/>
              <w:szCs w:val="28"/>
            </w:rPr>
            <w:t>3.1.</w:t>
          </w:r>
          <w:r>
            <w:rPr>
              <w:rFonts w:hint="eastAsia" w:eastAsia="仿宋_GB2312"/>
              <w:i w:val="0"/>
              <w:iCs w:val="0"/>
              <w:szCs w:val="28"/>
            </w:rPr>
            <w:t>2原有项目建设内容</w:t>
          </w:r>
          <w:r>
            <w:rPr>
              <w:i w:val="0"/>
              <w:iCs w:val="0"/>
            </w:rPr>
            <w:tab/>
          </w:r>
          <w:r>
            <w:rPr>
              <w:i w:val="0"/>
              <w:iCs w:val="0"/>
            </w:rPr>
            <w:fldChar w:fldCharType="begin"/>
          </w:r>
          <w:r>
            <w:rPr>
              <w:i w:val="0"/>
              <w:iCs w:val="0"/>
            </w:rPr>
            <w:instrText xml:space="preserve"> PAGEREF _Toc3277 \h </w:instrText>
          </w:r>
          <w:r>
            <w:rPr>
              <w:i w:val="0"/>
              <w:iCs w:val="0"/>
            </w:rPr>
            <w:fldChar w:fldCharType="separate"/>
          </w:r>
          <w:r>
            <w:rPr>
              <w:i w:val="0"/>
              <w:iCs w:val="0"/>
            </w:rPr>
            <w:t>5</w:t>
          </w:r>
          <w:r>
            <w:rPr>
              <w:i w:val="0"/>
              <w:iCs w:val="0"/>
            </w:rPr>
            <w:fldChar w:fldCharType="end"/>
          </w:r>
          <w:r>
            <w:rPr>
              <w:rFonts w:eastAsia="仿宋_GB2312"/>
              <w:i w:val="0"/>
              <w:iCs w:val="0"/>
              <w:color w:val="FF0000"/>
              <w:lang w:val="zh-CN"/>
            </w:rPr>
            <w:fldChar w:fldCharType="end"/>
          </w:r>
        </w:p>
        <w:p w14:paraId="7E5A3379">
          <w:pPr>
            <w:pStyle w:val="46"/>
            <w:tabs>
              <w:tab w:val="right" w:leader="dot" w:pos="8306"/>
            </w:tabs>
            <w:rPr>
              <w:i w:val="0"/>
              <w:iCs w:val="0"/>
            </w:rPr>
          </w:pPr>
          <w:r>
            <w:rPr>
              <w:rFonts w:eastAsia="仿宋_GB2312"/>
              <w:i w:val="0"/>
              <w:iCs w:val="0"/>
              <w:color w:val="FF0000"/>
              <w:lang w:val="zh-CN"/>
            </w:rPr>
            <w:fldChar w:fldCharType="begin"/>
          </w:r>
          <w:r>
            <w:rPr>
              <w:rFonts w:eastAsia="仿宋_GB2312"/>
              <w:i w:val="0"/>
              <w:iCs w:val="0"/>
              <w:lang w:val="zh-CN"/>
            </w:rPr>
            <w:instrText xml:space="preserve"> HYPERLINK \l _Toc29480 </w:instrText>
          </w:r>
          <w:r>
            <w:rPr>
              <w:rFonts w:eastAsia="仿宋_GB2312"/>
              <w:i w:val="0"/>
              <w:iCs w:val="0"/>
              <w:lang w:val="zh-CN"/>
            </w:rPr>
            <w:fldChar w:fldCharType="separate"/>
          </w:r>
          <w:r>
            <w:rPr>
              <w:rFonts w:eastAsia="仿宋_GB2312"/>
              <w:bCs/>
              <w:i w:val="0"/>
              <w:iCs w:val="0"/>
              <w:szCs w:val="28"/>
              <w:lang w:val="zh-CN"/>
            </w:rPr>
            <w:t>3.1.</w:t>
          </w:r>
          <w:r>
            <w:rPr>
              <w:rFonts w:hint="eastAsia" w:eastAsia="仿宋_GB2312"/>
              <w:bCs/>
              <w:i w:val="0"/>
              <w:iCs w:val="0"/>
              <w:szCs w:val="28"/>
            </w:rPr>
            <w:t>3</w:t>
          </w:r>
          <w:r>
            <w:rPr>
              <w:rFonts w:eastAsia="仿宋_GB2312"/>
              <w:bCs/>
              <w:i w:val="0"/>
              <w:iCs w:val="0"/>
              <w:szCs w:val="28"/>
              <w:lang w:val="zh-CN"/>
            </w:rPr>
            <w:t>原有项目公辅工程</w:t>
          </w:r>
          <w:r>
            <w:rPr>
              <w:i w:val="0"/>
              <w:iCs w:val="0"/>
            </w:rPr>
            <w:tab/>
          </w:r>
          <w:r>
            <w:rPr>
              <w:i w:val="0"/>
              <w:iCs w:val="0"/>
            </w:rPr>
            <w:fldChar w:fldCharType="begin"/>
          </w:r>
          <w:r>
            <w:rPr>
              <w:i w:val="0"/>
              <w:iCs w:val="0"/>
            </w:rPr>
            <w:instrText xml:space="preserve"> PAGEREF _Toc29480 \h </w:instrText>
          </w:r>
          <w:r>
            <w:rPr>
              <w:i w:val="0"/>
              <w:iCs w:val="0"/>
            </w:rPr>
            <w:fldChar w:fldCharType="separate"/>
          </w:r>
          <w:r>
            <w:rPr>
              <w:i w:val="0"/>
              <w:iCs w:val="0"/>
            </w:rPr>
            <w:t>9</w:t>
          </w:r>
          <w:r>
            <w:rPr>
              <w:i w:val="0"/>
              <w:iCs w:val="0"/>
            </w:rPr>
            <w:fldChar w:fldCharType="end"/>
          </w:r>
          <w:r>
            <w:rPr>
              <w:rFonts w:eastAsia="仿宋_GB2312"/>
              <w:i w:val="0"/>
              <w:iCs w:val="0"/>
              <w:color w:val="FF0000"/>
              <w:lang w:val="zh-CN"/>
            </w:rPr>
            <w:fldChar w:fldCharType="end"/>
          </w:r>
        </w:p>
        <w:p w14:paraId="71862050">
          <w:pPr>
            <w:pStyle w:val="46"/>
            <w:tabs>
              <w:tab w:val="right" w:leader="dot" w:pos="8306"/>
            </w:tabs>
            <w:rPr>
              <w:i w:val="0"/>
              <w:iCs w:val="0"/>
            </w:rPr>
          </w:pPr>
          <w:r>
            <w:rPr>
              <w:rFonts w:eastAsia="仿宋_GB2312"/>
              <w:i w:val="0"/>
              <w:iCs w:val="0"/>
              <w:color w:val="FF0000"/>
              <w:lang w:val="zh-CN"/>
            </w:rPr>
            <w:fldChar w:fldCharType="begin"/>
          </w:r>
          <w:r>
            <w:rPr>
              <w:rFonts w:eastAsia="仿宋_GB2312"/>
              <w:i w:val="0"/>
              <w:iCs w:val="0"/>
              <w:lang w:val="zh-CN"/>
            </w:rPr>
            <w:instrText xml:space="preserve"> HYPERLINK \l _Toc2390 </w:instrText>
          </w:r>
          <w:r>
            <w:rPr>
              <w:rFonts w:eastAsia="仿宋_GB2312"/>
              <w:i w:val="0"/>
              <w:iCs w:val="0"/>
              <w:lang w:val="zh-CN"/>
            </w:rPr>
            <w:fldChar w:fldCharType="separate"/>
          </w:r>
          <w:r>
            <w:rPr>
              <w:rFonts w:eastAsia="仿宋_GB2312"/>
              <w:bCs/>
              <w:i w:val="0"/>
              <w:iCs w:val="0"/>
              <w:szCs w:val="28"/>
              <w:lang w:val="zh-CN"/>
            </w:rPr>
            <w:t>3.1.</w:t>
          </w:r>
          <w:r>
            <w:rPr>
              <w:rFonts w:hint="eastAsia" w:eastAsia="仿宋_GB2312"/>
              <w:bCs/>
              <w:i w:val="0"/>
              <w:iCs w:val="0"/>
              <w:szCs w:val="28"/>
            </w:rPr>
            <w:t>4</w:t>
          </w:r>
          <w:r>
            <w:rPr>
              <w:rFonts w:eastAsia="仿宋_GB2312"/>
              <w:bCs/>
              <w:i w:val="0"/>
              <w:iCs w:val="0"/>
              <w:szCs w:val="28"/>
              <w:lang w:val="zh-CN"/>
            </w:rPr>
            <w:t>原有项目蒸汽平衡、水平衡</w:t>
          </w:r>
          <w:r>
            <w:rPr>
              <w:i w:val="0"/>
              <w:iCs w:val="0"/>
            </w:rPr>
            <w:tab/>
          </w:r>
          <w:r>
            <w:rPr>
              <w:i w:val="0"/>
              <w:iCs w:val="0"/>
            </w:rPr>
            <w:fldChar w:fldCharType="begin"/>
          </w:r>
          <w:r>
            <w:rPr>
              <w:i w:val="0"/>
              <w:iCs w:val="0"/>
            </w:rPr>
            <w:instrText xml:space="preserve"> PAGEREF _Toc2390 \h </w:instrText>
          </w:r>
          <w:r>
            <w:rPr>
              <w:i w:val="0"/>
              <w:iCs w:val="0"/>
            </w:rPr>
            <w:fldChar w:fldCharType="separate"/>
          </w:r>
          <w:r>
            <w:rPr>
              <w:i w:val="0"/>
              <w:iCs w:val="0"/>
            </w:rPr>
            <w:t>11</w:t>
          </w:r>
          <w:r>
            <w:rPr>
              <w:i w:val="0"/>
              <w:iCs w:val="0"/>
            </w:rPr>
            <w:fldChar w:fldCharType="end"/>
          </w:r>
          <w:r>
            <w:rPr>
              <w:rFonts w:eastAsia="仿宋_GB2312"/>
              <w:i w:val="0"/>
              <w:iCs w:val="0"/>
              <w:color w:val="FF0000"/>
              <w:lang w:val="zh-CN"/>
            </w:rPr>
            <w:fldChar w:fldCharType="end"/>
          </w:r>
        </w:p>
        <w:p w14:paraId="74F248FA">
          <w:pPr>
            <w:pStyle w:val="46"/>
            <w:tabs>
              <w:tab w:val="right" w:leader="dot" w:pos="8306"/>
            </w:tabs>
            <w:rPr>
              <w:i w:val="0"/>
              <w:iCs w:val="0"/>
            </w:rPr>
          </w:pPr>
          <w:r>
            <w:rPr>
              <w:rFonts w:eastAsia="仿宋_GB2312"/>
              <w:i w:val="0"/>
              <w:iCs w:val="0"/>
              <w:color w:val="FF0000"/>
              <w:lang w:val="zh-CN"/>
            </w:rPr>
            <w:fldChar w:fldCharType="begin"/>
          </w:r>
          <w:r>
            <w:rPr>
              <w:rFonts w:eastAsia="仿宋_GB2312"/>
              <w:i w:val="0"/>
              <w:iCs w:val="0"/>
              <w:lang w:val="zh-CN"/>
            </w:rPr>
            <w:instrText xml:space="preserve"> HYPERLINK \l _Toc21374 </w:instrText>
          </w:r>
          <w:r>
            <w:rPr>
              <w:rFonts w:eastAsia="仿宋_GB2312"/>
              <w:i w:val="0"/>
              <w:iCs w:val="0"/>
              <w:lang w:val="zh-CN"/>
            </w:rPr>
            <w:fldChar w:fldCharType="separate"/>
          </w:r>
          <w:r>
            <w:rPr>
              <w:rFonts w:eastAsia="仿宋_GB2312"/>
              <w:bCs/>
              <w:i w:val="0"/>
              <w:iCs w:val="0"/>
              <w:szCs w:val="28"/>
              <w:lang w:val="zh-CN"/>
            </w:rPr>
            <w:t>3.1.</w:t>
          </w:r>
          <w:r>
            <w:rPr>
              <w:rFonts w:hint="eastAsia" w:eastAsia="仿宋_GB2312"/>
              <w:bCs/>
              <w:i w:val="0"/>
              <w:iCs w:val="0"/>
              <w:szCs w:val="28"/>
            </w:rPr>
            <w:t>5</w:t>
          </w:r>
          <w:r>
            <w:rPr>
              <w:rFonts w:eastAsia="仿宋_GB2312"/>
              <w:bCs/>
              <w:i w:val="0"/>
              <w:iCs w:val="0"/>
              <w:szCs w:val="28"/>
            </w:rPr>
            <w:t>已建项目污染防治措施及排放情况</w:t>
          </w:r>
          <w:r>
            <w:rPr>
              <w:i w:val="0"/>
              <w:iCs w:val="0"/>
            </w:rPr>
            <w:tab/>
          </w:r>
          <w:r>
            <w:rPr>
              <w:i w:val="0"/>
              <w:iCs w:val="0"/>
            </w:rPr>
            <w:fldChar w:fldCharType="begin"/>
          </w:r>
          <w:r>
            <w:rPr>
              <w:i w:val="0"/>
              <w:iCs w:val="0"/>
            </w:rPr>
            <w:instrText xml:space="preserve"> PAGEREF _Toc21374 \h </w:instrText>
          </w:r>
          <w:r>
            <w:rPr>
              <w:i w:val="0"/>
              <w:iCs w:val="0"/>
            </w:rPr>
            <w:fldChar w:fldCharType="separate"/>
          </w:r>
          <w:r>
            <w:rPr>
              <w:i w:val="0"/>
              <w:iCs w:val="0"/>
            </w:rPr>
            <w:t>13</w:t>
          </w:r>
          <w:r>
            <w:rPr>
              <w:i w:val="0"/>
              <w:iCs w:val="0"/>
            </w:rPr>
            <w:fldChar w:fldCharType="end"/>
          </w:r>
          <w:r>
            <w:rPr>
              <w:rFonts w:eastAsia="仿宋_GB2312"/>
              <w:i w:val="0"/>
              <w:iCs w:val="0"/>
              <w:color w:val="FF0000"/>
              <w:lang w:val="zh-CN"/>
            </w:rPr>
            <w:fldChar w:fldCharType="end"/>
          </w:r>
        </w:p>
        <w:p w14:paraId="67AAD5EB">
          <w:pPr>
            <w:pStyle w:val="46"/>
            <w:tabs>
              <w:tab w:val="right" w:leader="dot" w:pos="8306"/>
            </w:tabs>
            <w:rPr>
              <w:i w:val="0"/>
              <w:iCs w:val="0"/>
            </w:rPr>
          </w:pPr>
          <w:r>
            <w:rPr>
              <w:rFonts w:eastAsia="仿宋_GB2312"/>
              <w:i w:val="0"/>
              <w:iCs w:val="0"/>
              <w:color w:val="FF0000"/>
              <w:lang w:val="zh-CN"/>
            </w:rPr>
            <w:fldChar w:fldCharType="begin"/>
          </w:r>
          <w:r>
            <w:rPr>
              <w:rFonts w:eastAsia="仿宋_GB2312"/>
              <w:i w:val="0"/>
              <w:iCs w:val="0"/>
              <w:lang w:val="zh-CN"/>
            </w:rPr>
            <w:instrText xml:space="preserve"> HYPERLINK \l _Toc21919 </w:instrText>
          </w:r>
          <w:r>
            <w:rPr>
              <w:rFonts w:eastAsia="仿宋_GB2312"/>
              <w:i w:val="0"/>
              <w:iCs w:val="0"/>
              <w:lang w:val="zh-CN"/>
            </w:rPr>
            <w:fldChar w:fldCharType="separate"/>
          </w:r>
          <w:r>
            <w:rPr>
              <w:rFonts w:eastAsia="仿宋_GB2312"/>
              <w:bCs/>
              <w:i w:val="0"/>
              <w:iCs w:val="0"/>
              <w:szCs w:val="28"/>
              <w:lang w:val="zh-CN"/>
            </w:rPr>
            <w:t>3.1.</w:t>
          </w:r>
          <w:r>
            <w:rPr>
              <w:rFonts w:hint="eastAsia" w:eastAsia="仿宋_GB2312"/>
              <w:bCs/>
              <w:i w:val="0"/>
              <w:iCs w:val="0"/>
              <w:szCs w:val="28"/>
            </w:rPr>
            <w:t>6</w:t>
          </w:r>
          <w:r>
            <w:rPr>
              <w:rFonts w:eastAsia="仿宋_GB2312"/>
              <w:bCs/>
              <w:i w:val="0"/>
              <w:iCs w:val="0"/>
              <w:szCs w:val="28"/>
            </w:rPr>
            <w:t>未建项目污染防治措施</w:t>
          </w:r>
          <w:r>
            <w:rPr>
              <w:i w:val="0"/>
              <w:iCs w:val="0"/>
            </w:rPr>
            <w:tab/>
          </w:r>
          <w:r>
            <w:rPr>
              <w:i w:val="0"/>
              <w:iCs w:val="0"/>
            </w:rPr>
            <w:fldChar w:fldCharType="begin"/>
          </w:r>
          <w:r>
            <w:rPr>
              <w:i w:val="0"/>
              <w:iCs w:val="0"/>
            </w:rPr>
            <w:instrText xml:space="preserve"> PAGEREF _Toc21919 \h </w:instrText>
          </w:r>
          <w:r>
            <w:rPr>
              <w:i w:val="0"/>
              <w:iCs w:val="0"/>
            </w:rPr>
            <w:fldChar w:fldCharType="separate"/>
          </w:r>
          <w:r>
            <w:rPr>
              <w:i w:val="0"/>
              <w:iCs w:val="0"/>
            </w:rPr>
            <w:t>26</w:t>
          </w:r>
          <w:r>
            <w:rPr>
              <w:i w:val="0"/>
              <w:iCs w:val="0"/>
            </w:rPr>
            <w:fldChar w:fldCharType="end"/>
          </w:r>
          <w:r>
            <w:rPr>
              <w:rFonts w:eastAsia="仿宋_GB2312"/>
              <w:i w:val="0"/>
              <w:iCs w:val="0"/>
              <w:color w:val="FF0000"/>
              <w:lang w:val="zh-CN"/>
            </w:rPr>
            <w:fldChar w:fldCharType="end"/>
          </w:r>
        </w:p>
        <w:p w14:paraId="40B7A7BE">
          <w:pPr>
            <w:pStyle w:val="46"/>
            <w:tabs>
              <w:tab w:val="right" w:leader="dot" w:pos="8306"/>
            </w:tabs>
            <w:rPr>
              <w:i w:val="0"/>
              <w:iCs w:val="0"/>
            </w:rPr>
          </w:pPr>
          <w:r>
            <w:rPr>
              <w:rFonts w:eastAsia="仿宋_GB2312"/>
              <w:i w:val="0"/>
              <w:iCs w:val="0"/>
              <w:color w:val="FF0000"/>
              <w:lang w:val="zh-CN"/>
            </w:rPr>
            <w:fldChar w:fldCharType="begin"/>
          </w:r>
          <w:r>
            <w:rPr>
              <w:rFonts w:eastAsia="仿宋_GB2312"/>
              <w:i w:val="0"/>
              <w:iCs w:val="0"/>
              <w:lang w:val="zh-CN"/>
            </w:rPr>
            <w:instrText xml:space="preserve"> HYPERLINK \l _Toc22878 </w:instrText>
          </w:r>
          <w:r>
            <w:rPr>
              <w:rFonts w:eastAsia="仿宋_GB2312"/>
              <w:i w:val="0"/>
              <w:iCs w:val="0"/>
              <w:lang w:val="zh-CN"/>
            </w:rPr>
            <w:fldChar w:fldCharType="separate"/>
          </w:r>
          <w:r>
            <w:rPr>
              <w:rFonts w:eastAsia="仿宋_GB2312"/>
              <w:bCs/>
              <w:i w:val="0"/>
              <w:iCs w:val="0"/>
              <w:szCs w:val="28"/>
              <w:lang w:val="zh-CN"/>
            </w:rPr>
            <w:t>3.1.</w:t>
          </w:r>
          <w:r>
            <w:rPr>
              <w:rFonts w:hint="eastAsia" w:eastAsia="仿宋_GB2312"/>
              <w:bCs/>
              <w:i w:val="0"/>
              <w:iCs w:val="0"/>
              <w:szCs w:val="28"/>
            </w:rPr>
            <w:t>7</w:t>
          </w:r>
          <w:r>
            <w:rPr>
              <w:rFonts w:eastAsia="仿宋_GB2312"/>
              <w:bCs/>
              <w:i w:val="0"/>
              <w:iCs w:val="0"/>
              <w:szCs w:val="28"/>
            </w:rPr>
            <w:t>原有项目污染物排放情况汇总</w:t>
          </w:r>
          <w:r>
            <w:rPr>
              <w:i w:val="0"/>
              <w:iCs w:val="0"/>
            </w:rPr>
            <w:tab/>
          </w:r>
          <w:r>
            <w:rPr>
              <w:i w:val="0"/>
              <w:iCs w:val="0"/>
            </w:rPr>
            <w:fldChar w:fldCharType="begin"/>
          </w:r>
          <w:r>
            <w:rPr>
              <w:i w:val="0"/>
              <w:iCs w:val="0"/>
            </w:rPr>
            <w:instrText xml:space="preserve"> PAGEREF _Toc22878 \h </w:instrText>
          </w:r>
          <w:r>
            <w:rPr>
              <w:i w:val="0"/>
              <w:iCs w:val="0"/>
            </w:rPr>
            <w:fldChar w:fldCharType="separate"/>
          </w:r>
          <w:r>
            <w:rPr>
              <w:i w:val="0"/>
              <w:iCs w:val="0"/>
            </w:rPr>
            <w:t>29</w:t>
          </w:r>
          <w:r>
            <w:rPr>
              <w:i w:val="0"/>
              <w:iCs w:val="0"/>
            </w:rPr>
            <w:fldChar w:fldCharType="end"/>
          </w:r>
          <w:r>
            <w:rPr>
              <w:rFonts w:eastAsia="仿宋_GB2312"/>
              <w:i w:val="0"/>
              <w:iCs w:val="0"/>
              <w:color w:val="FF0000"/>
              <w:lang w:val="zh-CN"/>
            </w:rPr>
            <w:fldChar w:fldCharType="end"/>
          </w:r>
        </w:p>
        <w:p w14:paraId="5DA655B2">
          <w:pPr>
            <w:pStyle w:val="46"/>
            <w:tabs>
              <w:tab w:val="right" w:leader="dot" w:pos="8306"/>
            </w:tabs>
            <w:rPr>
              <w:i w:val="0"/>
              <w:iCs w:val="0"/>
            </w:rPr>
          </w:pPr>
          <w:r>
            <w:rPr>
              <w:rFonts w:eastAsia="仿宋_GB2312"/>
              <w:i w:val="0"/>
              <w:iCs w:val="0"/>
              <w:color w:val="FF0000"/>
              <w:lang w:val="zh-CN"/>
            </w:rPr>
            <w:fldChar w:fldCharType="begin"/>
          </w:r>
          <w:r>
            <w:rPr>
              <w:rFonts w:eastAsia="仿宋_GB2312"/>
              <w:i w:val="0"/>
              <w:iCs w:val="0"/>
              <w:lang w:val="zh-CN"/>
            </w:rPr>
            <w:instrText xml:space="preserve"> HYPERLINK \l _Toc27628 </w:instrText>
          </w:r>
          <w:r>
            <w:rPr>
              <w:rFonts w:eastAsia="仿宋_GB2312"/>
              <w:i w:val="0"/>
              <w:iCs w:val="0"/>
              <w:lang w:val="zh-CN"/>
            </w:rPr>
            <w:fldChar w:fldCharType="separate"/>
          </w:r>
          <w:r>
            <w:rPr>
              <w:rFonts w:eastAsia="仿宋_GB2312"/>
              <w:bCs/>
              <w:i w:val="0"/>
              <w:iCs w:val="0"/>
              <w:szCs w:val="28"/>
              <w:lang w:val="zh-CN"/>
            </w:rPr>
            <w:t>3.1.</w:t>
          </w:r>
          <w:r>
            <w:rPr>
              <w:rFonts w:hint="eastAsia" w:eastAsia="仿宋_GB2312"/>
              <w:bCs/>
              <w:i w:val="0"/>
              <w:iCs w:val="0"/>
              <w:szCs w:val="28"/>
            </w:rPr>
            <w:t>8</w:t>
          </w:r>
          <w:r>
            <w:rPr>
              <w:rFonts w:eastAsia="仿宋_GB2312"/>
              <w:bCs/>
              <w:i w:val="0"/>
              <w:iCs w:val="0"/>
              <w:szCs w:val="28"/>
            </w:rPr>
            <w:t>原有项目</w:t>
          </w:r>
          <w:r>
            <w:rPr>
              <w:rFonts w:eastAsia="仿宋_GB2312"/>
              <w:bCs/>
              <w:i w:val="0"/>
              <w:iCs w:val="0"/>
              <w:szCs w:val="28"/>
              <w:lang w:val="zh-CN"/>
            </w:rPr>
            <w:t>环境问题及“以新带老”措施</w:t>
          </w:r>
          <w:r>
            <w:rPr>
              <w:i w:val="0"/>
              <w:iCs w:val="0"/>
            </w:rPr>
            <w:tab/>
          </w:r>
          <w:r>
            <w:rPr>
              <w:i w:val="0"/>
              <w:iCs w:val="0"/>
            </w:rPr>
            <w:fldChar w:fldCharType="begin"/>
          </w:r>
          <w:r>
            <w:rPr>
              <w:i w:val="0"/>
              <w:iCs w:val="0"/>
            </w:rPr>
            <w:instrText xml:space="preserve"> PAGEREF _Toc27628 \h </w:instrText>
          </w:r>
          <w:r>
            <w:rPr>
              <w:i w:val="0"/>
              <w:iCs w:val="0"/>
            </w:rPr>
            <w:fldChar w:fldCharType="separate"/>
          </w:r>
          <w:r>
            <w:rPr>
              <w:i w:val="0"/>
              <w:iCs w:val="0"/>
            </w:rPr>
            <w:t>33</w:t>
          </w:r>
          <w:r>
            <w:rPr>
              <w:i w:val="0"/>
              <w:iCs w:val="0"/>
            </w:rPr>
            <w:fldChar w:fldCharType="end"/>
          </w:r>
          <w:r>
            <w:rPr>
              <w:rFonts w:eastAsia="仿宋_GB2312"/>
              <w:i w:val="0"/>
              <w:iCs w:val="0"/>
              <w:color w:val="FF0000"/>
              <w:lang w:val="zh-CN"/>
            </w:rPr>
            <w:fldChar w:fldCharType="end"/>
          </w:r>
        </w:p>
        <w:p w14:paraId="4FF28DC3">
          <w:pPr>
            <w:pStyle w:val="2"/>
            <w:tabs>
              <w:tab w:val="right" w:leader="dot" w:pos="8306"/>
              <w:tab w:val="clear" w:pos="567"/>
              <w:tab w:val="clear" w:pos="630"/>
              <w:tab w:val="clear" w:pos="8302"/>
            </w:tabs>
            <w:rPr>
              <w:i w:val="0"/>
              <w:iCs w:val="0"/>
            </w:rPr>
          </w:pPr>
          <w:r>
            <w:rPr>
              <w:rFonts w:eastAsia="仿宋_GB2312"/>
              <w:i w:val="0"/>
              <w:iCs w:val="0"/>
              <w:color w:val="FF0000"/>
              <w:lang w:val="zh-CN"/>
            </w:rPr>
            <w:fldChar w:fldCharType="begin"/>
          </w:r>
          <w:r>
            <w:rPr>
              <w:rFonts w:eastAsia="仿宋_GB2312"/>
              <w:i w:val="0"/>
              <w:iCs w:val="0"/>
              <w:lang w:val="zh-CN"/>
            </w:rPr>
            <w:instrText xml:space="preserve"> HYPERLINK \l _Toc26190 </w:instrText>
          </w:r>
          <w:r>
            <w:rPr>
              <w:rFonts w:eastAsia="仿宋_GB2312"/>
              <w:i w:val="0"/>
              <w:iCs w:val="0"/>
              <w:lang w:val="zh-CN"/>
            </w:rPr>
            <w:fldChar w:fldCharType="separate"/>
          </w:r>
          <w:r>
            <w:rPr>
              <w:i w:val="0"/>
              <w:iCs w:val="0"/>
              <w:szCs w:val="30"/>
            </w:rPr>
            <w:t>3.2本项目概况</w:t>
          </w:r>
          <w:r>
            <w:rPr>
              <w:i w:val="0"/>
              <w:iCs w:val="0"/>
            </w:rPr>
            <w:tab/>
          </w:r>
          <w:r>
            <w:rPr>
              <w:i w:val="0"/>
              <w:iCs w:val="0"/>
            </w:rPr>
            <w:fldChar w:fldCharType="begin"/>
          </w:r>
          <w:r>
            <w:rPr>
              <w:i w:val="0"/>
              <w:iCs w:val="0"/>
            </w:rPr>
            <w:instrText xml:space="preserve"> PAGEREF _Toc26190 \h </w:instrText>
          </w:r>
          <w:r>
            <w:rPr>
              <w:i w:val="0"/>
              <w:iCs w:val="0"/>
            </w:rPr>
            <w:fldChar w:fldCharType="separate"/>
          </w:r>
          <w:r>
            <w:rPr>
              <w:i w:val="0"/>
              <w:iCs w:val="0"/>
            </w:rPr>
            <w:t>37</w:t>
          </w:r>
          <w:r>
            <w:rPr>
              <w:i w:val="0"/>
              <w:iCs w:val="0"/>
            </w:rPr>
            <w:fldChar w:fldCharType="end"/>
          </w:r>
          <w:r>
            <w:rPr>
              <w:rFonts w:eastAsia="仿宋_GB2312"/>
              <w:i w:val="0"/>
              <w:iCs w:val="0"/>
              <w:color w:val="FF0000"/>
              <w:lang w:val="zh-CN"/>
            </w:rPr>
            <w:fldChar w:fldCharType="end"/>
          </w:r>
        </w:p>
        <w:p w14:paraId="72C1A6C6">
          <w:pPr>
            <w:pStyle w:val="46"/>
            <w:tabs>
              <w:tab w:val="right" w:leader="dot" w:pos="8306"/>
            </w:tabs>
            <w:rPr>
              <w:i w:val="0"/>
              <w:iCs w:val="0"/>
            </w:rPr>
          </w:pPr>
          <w:r>
            <w:rPr>
              <w:rFonts w:eastAsia="仿宋_GB2312"/>
              <w:i w:val="0"/>
              <w:iCs w:val="0"/>
              <w:color w:val="FF0000"/>
              <w:lang w:val="zh-CN"/>
            </w:rPr>
            <w:fldChar w:fldCharType="begin"/>
          </w:r>
          <w:r>
            <w:rPr>
              <w:rFonts w:eastAsia="仿宋_GB2312"/>
              <w:i w:val="0"/>
              <w:iCs w:val="0"/>
              <w:lang w:val="zh-CN"/>
            </w:rPr>
            <w:instrText xml:space="preserve"> HYPERLINK \l _Toc32437 </w:instrText>
          </w:r>
          <w:r>
            <w:rPr>
              <w:rFonts w:eastAsia="仿宋_GB2312"/>
              <w:i w:val="0"/>
              <w:iCs w:val="0"/>
              <w:lang w:val="zh-CN"/>
            </w:rPr>
            <w:fldChar w:fldCharType="separate"/>
          </w:r>
          <w:r>
            <w:rPr>
              <w:rFonts w:eastAsia="仿宋_GB2312"/>
              <w:i w:val="0"/>
              <w:iCs w:val="0"/>
              <w:szCs w:val="28"/>
            </w:rPr>
            <w:t>3.2.1项目名称、性质及建设地点</w:t>
          </w:r>
          <w:r>
            <w:rPr>
              <w:i w:val="0"/>
              <w:iCs w:val="0"/>
            </w:rPr>
            <w:tab/>
          </w:r>
          <w:r>
            <w:rPr>
              <w:i w:val="0"/>
              <w:iCs w:val="0"/>
            </w:rPr>
            <w:fldChar w:fldCharType="begin"/>
          </w:r>
          <w:r>
            <w:rPr>
              <w:i w:val="0"/>
              <w:iCs w:val="0"/>
            </w:rPr>
            <w:instrText xml:space="preserve"> PAGEREF _Toc32437 \h </w:instrText>
          </w:r>
          <w:r>
            <w:rPr>
              <w:i w:val="0"/>
              <w:iCs w:val="0"/>
            </w:rPr>
            <w:fldChar w:fldCharType="separate"/>
          </w:r>
          <w:r>
            <w:rPr>
              <w:i w:val="0"/>
              <w:iCs w:val="0"/>
            </w:rPr>
            <w:t>37</w:t>
          </w:r>
          <w:r>
            <w:rPr>
              <w:i w:val="0"/>
              <w:iCs w:val="0"/>
            </w:rPr>
            <w:fldChar w:fldCharType="end"/>
          </w:r>
          <w:r>
            <w:rPr>
              <w:rFonts w:eastAsia="仿宋_GB2312"/>
              <w:i w:val="0"/>
              <w:iCs w:val="0"/>
              <w:color w:val="FF0000"/>
              <w:lang w:val="zh-CN"/>
            </w:rPr>
            <w:fldChar w:fldCharType="end"/>
          </w:r>
        </w:p>
        <w:p w14:paraId="71781535">
          <w:pPr>
            <w:pStyle w:val="46"/>
            <w:tabs>
              <w:tab w:val="right" w:leader="dot" w:pos="8306"/>
            </w:tabs>
            <w:rPr>
              <w:i w:val="0"/>
              <w:iCs w:val="0"/>
            </w:rPr>
          </w:pPr>
          <w:r>
            <w:rPr>
              <w:rFonts w:eastAsia="仿宋_GB2312"/>
              <w:i w:val="0"/>
              <w:iCs w:val="0"/>
              <w:color w:val="FF0000"/>
              <w:lang w:val="zh-CN"/>
            </w:rPr>
            <w:fldChar w:fldCharType="begin"/>
          </w:r>
          <w:r>
            <w:rPr>
              <w:rFonts w:eastAsia="仿宋_GB2312"/>
              <w:i w:val="0"/>
              <w:iCs w:val="0"/>
              <w:lang w:val="zh-CN"/>
            </w:rPr>
            <w:instrText xml:space="preserve"> HYPERLINK \l _Toc1482 </w:instrText>
          </w:r>
          <w:r>
            <w:rPr>
              <w:rFonts w:eastAsia="仿宋_GB2312"/>
              <w:i w:val="0"/>
              <w:iCs w:val="0"/>
              <w:lang w:val="zh-CN"/>
            </w:rPr>
            <w:fldChar w:fldCharType="separate"/>
          </w:r>
          <w:r>
            <w:rPr>
              <w:rFonts w:eastAsia="仿宋_GB2312"/>
              <w:i w:val="0"/>
              <w:iCs w:val="0"/>
              <w:szCs w:val="28"/>
            </w:rPr>
            <w:t>3.2.</w:t>
          </w:r>
          <w:r>
            <w:rPr>
              <w:rFonts w:hint="eastAsia" w:eastAsia="仿宋_GB2312"/>
              <w:i w:val="0"/>
              <w:iCs w:val="0"/>
              <w:szCs w:val="28"/>
            </w:rPr>
            <w:t>2</w:t>
          </w:r>
          <w:r>
            <w:rPr>
              <w:rFonts w:eastAsia="仿宋_GB2312"/>
              <w:i w:val="0"/>
              <w:iCs w:val="0"/>
              <w:szCs w:val="28"/>
            </w:rPr>
            <w:t>项目</w:t>
          </w:r>
          <w:r>
            <w:rPr>
              <w:rFonts w:hint="eastAsia" w:eastAsia="仿宋_GB2312"/>
              <w:i w:val="0"/>
              <w:iCs w:val="0"/>
              <w:szCs w:val="28"/>
            </w:rPr>
            <w:t>建设必要性及规模合理性</w:t>
          </w:r>
          <w:r>
            <w:rPr>
              <w:i w:val="0"/>
              <w:iCs w:val="0"/>
            </w:rPr>
            <w:tab/>
          </w:r>
          <w:r>
            <w:rPr>
              <w:i w:val="0"/>
              <w:iCs w:val="0"/>
            </w:rPr>
            <w:fldChar w:fldCharType="begin"/>
          </w:r>
          <w:r>
            <w:rPr>
              <w:i w:val="0"/>
              <w:iCs w:val="0"/>
            </w:rPr>
            <w:instrText xml:space="preserve"> PAGEREF _Toc1482 \h </w:instrText>
          </w:r>
          <w:r>
            <w:rPr>
              <w:i w:val="0"/>
              <w:iCs w:val="0"/>
            </w:rPr>
            <w:fldChar w:fldCharType="separate"/>
          </w:r>
          <w:r>
            <w:rPr>
              <w:i w:val="0"/>
              <w:iCs w:val="0"/>
            </w:rPr>
            <w:t>37</w:t>
          </w:r>
          <w:r>
            <w:rPr>
              <w:i w:val="0"/>
              <w:iCs w:val="0"/>
            </w:rPr>
            <w:fldChar w:fldCharType="end"/>
          </w:r>
          <w:r>
            <w:rPr>
              <w:rFonts w:eastAsia="仿宋_GB2312"/>
              <w:i w:val="0"/>
              <w:iCs w:val="0"/>
              <w:color w:val="FF0000"/>
              <w:lang w:val="zh-CN"/>
            </w:rPr>
            <w:fldChar w:fldCharType="end"/>
          </w:r>
        </w:p>
        <w:p w14:paraId="49FC9B60">
          <w:pPr>
            <w:pStyle w:val="46"/>
            <w:tabs>
              <w:tab w:val="right" w:leader="dot" w:pos="8306"/>
            </w:tabs>
            <w:rPr>
              <w:i w:val="0"/>
              <w:iCs w:val="0"/>
            </w:rPr>
          </w:pPr>
          <w:r>
            <w:rPr>
              <w:rFonts w:eastAsia="仿宋_GB2312"/>
              <w:i w:val="0"/>
              <w:iCs w:val="0"/>
              <w:color w:val="FF0000"/>
              <w:lang w:val="zh-CN"/>
            </w:rPr>
            <w:fldChar w:fldCharType="begin"/>
          </w:r>
          <w:r>
            <w:rPr>
              <w:rFonts w:eastAsia="仿宋_GB2312"/>
              <w:i w:val="0"/>
              <w:iCs w:val="0"/>
              <w:lang w:val="zh-CN"/>
            </w:rPr>
            <w:instrText xml:space="preserve"> HYPERLINK \l _Toc2783 </w:instrText>
          </w:r>
          <w:r>
            <w:rPr>
              <w:rFonts w:eastAsia="仿宋_GB2312"/>
              <w:i w:val="0"/>
              <w:iCs w:val="0"/>
              <w:lang w:val="zh-CN"/>
            </w:rPr>
            <w:fldChar w:fldCharType="separate"/>
          </w:r>
          <w:r>
            <w:rPr>
              <w:rFonts w:eastAsia="仿宋_GB2312"/>
              <w:i w:val="0"/>
              <w:iCs w:val="0"/>
              <w:szCs w:val="28"/>
            </w:rPr>
            <w:t>3.2.</w:t>
          </w:r>
          <w:r>
            <w:rPr>
              <w:rFonts w:hint="eastAsia" w:eastAsia="仿宋_GB2312"/>
              <w:i w:val="0"/>
              <w:iCs w:val="0"/>
              <w:szCs w:val="28"/>
            </w:rPr>
            <w:t>3</w:t>
          </w:r>
          <w:r>
            <w:rPr>
              <w:rFonts w:eastAsia="仿宋_GB2312"/>
              <w:i w:val="0"/>
              <w:iCs w:val="0"/>
              <w:szCs w:val="28"/>
            </w:rPr>
            <w:t>本项目建设内容</w:t>
          </w:r>
          <w:r>
            <w:rPr>
              <w:i w:val="0"/>
              <w:iCs w:val="0"/>
            </w:rPr>
            <w:tab/>
          </w:r>
          <w:r>
            <w:rPr>
              <w:i w:val="0"/>
              <w:iCs w:val="0"/>
            </w:rPr>
            <w:fldChar w:fldCharType="begin"/>
          </w:r>
          <w:r>
            <w:rPr>
              <w:i w:val="0"/>
              <w:iCs w:val="0"/>
            </w:rPr>
            <w:instrText xml:space="preserve"> PAGEREF _Toc2783 \h </w:instrText>
          </w:r>
          <w:r>
            <w:rPr>
              <w:i w:val="0"/>
              <w:iCs w:val="0"/>
            </w:rPr>
            <w:fldChar w:fldCharType="separate"/>
          </w:r>
          <w:r>
            <w:rPr>
              <w:i w:val="0"/>
              <w:iCs w:val="0"/>
            </w:rPr>
            <w:t>39</w:t>
          </w:r>
          <w:r>
            <w:rPr>
              <w:i w:val="0"/>
              <w:iCs w:val="0"/>
            </w:rPr>
            <w:fldChar w:fldCharType="end"/>
          </w:r>
          <w:r>
            <w:rPr>
              <w:rFonts w:eastAsia="仿宋_GB2312"/>
              <w:i w:val="0"/>
              <w:iCs w:val="0"/>
              <w:color w:val="FF0000"/>
              <w:lang w:val="zh-CN"/>
            </w:rPr>
            <w:fldChar w:fldCharType="end"/>
          </w:r>
        </w:p>
        <w:p w14:paraId="5CB5809D">
          <w:pPr>
            <w:pStyle w:val="46"/>
            <w:tabs>
              <w:tab w:val="right" w:leader="dot" w:pos="8306"/>
            </w:tabs>
            <w:rPr>
              <w:i w:val="0"/>
              <w:iCs w:val="0"/>
            </w:rPr>
          </w:pPr>
          <w:r>
            <w:rPr>
              <w:rFonts w:eastAsia="仿宋_GB2312"/>
              <w:i w:val="0"/>
              <w:iCs w:val="0"/>
              <w:color w:val="FF0000"/>
              <w:lang w:val="zh-CN"/>
            </w:rPr>
            <w:fldChar w:fldCharType="begin"/>
          </w:r>
          <w:r>
            <w:rPr>
              <w:rFonts w:eastAsia="仿宋_GB2312"/>
              <w:i w:val="0"/>
              <w:iCs w:val="0"/>
              <w:lang w:val="zh-CN"/>
            </w:rPr>
            <w:instrText xml:space="preserve"> HYPERLINK \l _Toc19219 </w:instrText>
          </w:r>
          <w:r>
            <w:rPr>
              <w:rFonts w:eastAsia="仿宋_GB2312"/>
              <w:i w:val="0"/>
              <w:iCs w:val="0"/>
              <w:lang w:val="zh-CN"/>
            </w:rPr>
            <w:fldChar w:fldCharType="separate"/>
          </w:r>
          <w:r>
            <w:rPr>
              <w:rFonts w:eastAsia="仿宋_GB2312"/>
              <w:i w:val="0"/>
              <w:iCs w:val="0"/>
              <w:szCs w:val="30"/>
            </w:rPr>
            <w:t>3.2.</w:t>
          </w:r>
          <w:r>
            <w:rPr>
              <w:rFonts w:hint="eastAsia" w:eastAsia="仿宋_GB2312"/>
              <w:i w:val="0"/>
              <w:iCs w:val="0"/>
              <w:szCs w:val="30"/>
            </w:rPr>
            <w:t>4</w:t>
          </w:r>
          <w:r>
            <w:rPr>
              <w:rFonts w:eastAsia="仿宋_GB2312"/>
              <w:i w:val="0"/>
              <w:iCs w:val="0"/>
              <w:szCs w:val="30"/>
            </w:rPr>
            <w:t>主要原辅材料及理化性质汇总</w:t>
          </w:r>
          <w:r>
            <w:rPr>
              <w:i w:val="0"/>
              <w:iCs w:val="0"/>
            </w:rPr>
            <w:tab/>
          </w:r>
          <w:r>
            <w:rPr>
              <w:i w:val="0"/>
              <w:iCs w:val="0"/>
            </w:rPr>
            <w:fldChar w:fldCharType="begin"/>
          </w:r>
          <w:r>
            <w:rPr>
              <w:i w:val="0"/>
              <w:iCs w:val="0"/>
            </w:rPr>
            <w:instrText xml:space="preserve"> PAGEREF _Toc19219 \h </w:instrText>
          </w:r>
          <w:r>
            <w:rPr>
              <w:i w:val="0"/>
              <w:iCs w:val="0"/>
            </w:rPr>
            <w:fldChar w:fldCharType="separate"/>
          </w:r>
          <w:r>
            <w:rPr>
              <w:i w:val="0"/>
              <w:iCs w:val="0"/>
            </w:rPr>
            <w:t>75</w:t>
          </w:r>
          <w:r>
            <w:rPr>
              <w:i w:val="0"/>
              <w:iCs w:val="0"/>
            </w:rPr>
            <w:fldChar w:fldCharType="end"/>
          </w:r>
          <w:r>
            <w:rPr>
              <w:rFonts w:eastAsia="仿宋_GB2312"/>
              <w:i w:val="0"/>
              <w:iCs w:val="0"/>
              <w:color w:val="FF0000"/>
              <w:lang w:val="zh-CN"/>
            </w:rPr>
            <w:fldChar w:fldCharType="end"/>
          </w:r>
        </w:p>
        <w:p w14:paraId="6E3FDA45">
          <w:pPr>
            <w:pStyle w:val="46"/>
            <w:tabs>
              <w:tab w:val="right" w:leader="dot" w:pos="8306"/>
            </w:tabs>
            <w:rPr>
              <w:i w:val="0"/>
              <w:iCs w:val="0"/>
            </w:rPr>
          </w:pPr>
          <w:r>
            <w:rPr>
              <w:rFonts w:eastAsia="仿宋_GB2312"/>
              <w:i w:val="0"/>
              <w:iCs w:val="0"/>
              <w:color w:val="FF0000"/>
              <w:lang w:val="zh-CN"/>
            </w:rPr>
            <w:fldChar w:fldCharType="begin"/>
          </w:r>
          <w:r>
            <w:rPr>
              <w:rFonts w:eastAsia="仿宋_GB2312"/>
              <w:i w:val="0"/>
              <w:iCs w:val="0"/>
              <w:lang w:val="zh-CN"/>
            </w:rPr>
            <w:instrText xml:space="preserve"> HYPERLINK \l _Toc210 </w:instrText>
          </w:r>
          <w:r>
            <w:rPr>
              <w:rFonts w:eastAsia="仿宋_GB2312"/>
              <w:i w:val="0"/>
              <w:iCs w:val="0"/>
              <w:lang w:val="zh-CN"/>
            </w:rPr>
            <w:fldChar w:fldCharType="separate"/>
          </w:r>
          <w:r>
            <w:rPr>
              <w:rFonts w:eastAsia="仿宋_GB2312"/>
              <w:i w:val="0"/>
              <w:iCs w:val="0"/>
              <w:szCs w:val="30"/>
            </w:rPr>
            <w:t>3.2.</w:t>
          </w:r>
          <w:r>
            <w:rPr>
              <w:rFonts w:hint="eastAsia" w:eastAsia="仿宋_GB2312"/>
              <w:i w:val="0"/>
              <w:iCs w:val="0"/>
              <w:szCs w:val="30"/>
            </w:rPr>
            <w:t>5</w:t>
          </w:r>
          <w:r>
            <w:rPr>
              <w:rFonts w:eastAsia="仿宋_GB2312"/>
              <w:i w:val="0"/>
              <w:iCs w:val="0"/>
              <w:szCs w:val="30"/>
            </w:rPr>
            <w:t>主要设备汇总及设备匹配性分析</w:t>
          </w:r>
          <w:r>
            <w:rPr>
              <w:i w:val="0"/>
              <w:iCs w:val="0"/>
            </w:rPr>
            <w:tab/>
          </w:r>
          <w:r>
            <w:rPr>
              <w:i w:val="0"/>
              <w:iCs w:val="0"/>
            </w:rPr>
            <w:fldChar w:fldCharType="begin"/>
          </w:r>
          <w:r>
            <w:rPr>
              <w:i w:val="0"/>
              <w:iCs w:val="0"/>
            </w:rPr>
            <w:instrText xml:space="preserve"> PAGEREF _Toc210 \h </w:instrText>
          </w:r>
          <w:r>
            <w:rPr>
              <w:i w:val="0"/>
              <w:iCs w:val="0"/>
            </w:rPr>
            <w:fldChar w:fldCharType="separate"/>
          </w:r>
          <w:r>
            <w:rPr>
              <w:i w:val="0"/>
              <w:iCs w:val="0"/>
            </w:rPr>
            <w:t>86</w:t>
          </w:r>
          <w:r>
            <w:rPr>
              <w:i w:val="0"/>
              <w:iCs w:val="0"/>
            </w:rPr>
            <w:fldChar w:fldCharType="end"/>
          </w:r>
          <w:r>
            <w:rPr>
              <w:rFonts w:eastAsia="仿宋_GB2312"/>
              <w:i w:val="0"/>
              <w:iCs w:val="0"/>
              <w:color w:val="FF0000"/>
              <w:lang w:val="zh-CN"/>
            </w:rPr>
            <w:fldChar w:fldCharType="end"/>
          </w:r>
        </w:p>
        <w:p w14:paraId="78BABEA0">
          <w:pPr>
            <w:pStyle w:val="46"/>
            <w:tabs>
              <w:tab w:val="right" w:leader="dot" w:pos="8306"/>
            </w:tabs>
            <w:rPr>
              <w:i w:val="0"/>
              <w:iCs w:val="0"/>
            </w:rPr>
          </w:pPr>
          <w:r>
            <w:rPr>
              <w:rFonts w:eastAsia="仿宋_GB2312"/>
              <w:i w:val="0"/>
              <w:iCs w:val="0"/>
              <w:color w:val="FF0000"/>
              <w:lang w:val="zh-CN"/>
            </w:rPr>
            <w:fldChar w:fldCharType="begin"/>
          </w:r>
          <w:r>
            <w:rPr>
              <w:rFonts w:eastAsia="仿宋_GB2312"/>
              <w:i w:val="0"/>
              <w:iCs w:val="0"/>
              <w:lang w:val="zh-CN"/>
            </w:rPr>
            <w:instrText xml:space="preserve"> HYPERLINK \l _Toc3696 </w:instrText>
          </w:r>
          <w:r>
            <w:rPr>
              <w:rFonts w:eastAsia="仿宋_GB2312"/>
              <w:i w:val="0"/>
              <w:iCs w:val="0"/>
              <w:lang w:val="zh-CN"/>
            </w:rPr>
            <w:fldChar w:fldCharType="separate"/>
          </w:r>
          <w:r>
            <w:rPr>
              <w:rFonts w:eastAsia="仿宋_GB2312"/>
              <w:i w:val="0"/>
              <w:iCs w:val="0"/>
              <w:szCs w:val="30"/>
            </w:rPr>
            <w:t>3.2.</w:t>
          </w:r>
          <w:r>
            <w:rPr>
              <w:rFonts w:hint="eastAsia" w:eastAsia="仿宋_GB2312"/>
              <w:i w:val="0"/>
              <w:iCs w:val="0"/>
              <w:szCs w:val="30"/>
            </w:rPr>
            <w:t>6</w:t>
          </w:r>
          <w:r>
            <w:rPr>
              <w:rFonts w:eastAsia="仿宋_GB2312"/>
              <w:i w:val="0"/>
              <w:iCs w:val="0"/>
              <w:szCs w:val="30"/>
            </w:rPr>
            <w:t>公用工程及辅助工程</w:t>
          </w:r>
          <w:r>
            <w:rPr>
              <w:i w:val="0"/>
              <w:iCs w:val="0"/>
            </w:rPr>
            <w:tab/>
          </w:r>
          <w:r>
            <w:rPr>
              <w:i w:val="0"/>
              <w:iCs w:val="0"/>
            </w:rPr>
            <w:fldChar w:fldCharType="begin"/>
          </w:r>
          <w:r>
            <w:rPr>
              <w:i w:val="0"/>
              <w:iCs w:val="0"/>
            </w:rPr>
            <w:instrText xml:space="preserve"> PAGEREF _Toc3696 \h </w:instrText>
          </w:r>
          <w:r>
            <w:rPr>
              <w:i w:val="0"/>
              <w:iCs w:val="0"/>
            </w:rPr>
            <w:fldChar w:fldCharType="separate"/>
          </w:r>
          <w:r>
            <w:rPr>
              <w:i w:val="0"/>
              <w:iCs w:val="0"/>
            </w:rPr>
            <w:t>95</w:t>
          </w:r>
          <w:r>
            <w:rPr>
              <w:i w:val="0"/>
              <w:iCs w:val="0"/>
            </w:rPr>
            <w:fldChar w:fldCharType="end"/>
          </w:r>
          <w:r>
            <w:rPr>
              <w:rFonts w:eastAsia="仿宋_GB2312"/>
              <w:i w:val="0"/>
              <w:iCs w:val="0"/>
              <w:color w:val="FF0000"/>
              <w:lang w:val="zh-CN"/>
            </w:rPr>
            <w:fldChar w:fldCharType="end"/>
          </w:r>
        </w:p>
        <w:p w14:paraId="5D0D6D66">
          <w:pPr>
            <w:pStyle w:val="46"/>
            <w:tabs>
              <w:tab w:val="right" w:leader="dot" w:pos="8306"/>
            </w:tabs>
            <w:rPr>
              <w:i w:val="0"/>
              <w:iCs w:val="0"/>
            </w:rPr>
          </w:pPr>
          <w:r>
            <w:rPr>
              <w:rFonts w:eastAsia="仿宋_GB2312"/>
              <w:i w:val="0"/>
              <w:iCs w:val="0"/>
              <w:color w:val="FF0000"/>
              <w:lang w:val="zh-CN"/>
            </w:rPr>
            <w:fldChar w:fldCharType="begin"/>
          </w:r>
          <w:r>
            <w:rPr>
              <w:rFonts w:eastAsia="仿宋_GB2312"/>
              <w:i w:val="0"/>
              <w:iCs w:val="0"/>
              <w:lang w:val="zh-CN"/>
            </w:rPr>
            <w:instrText xml:space="preserve"> HYPERLINK \l _Toc25392 </w:instrText>
          </w:r>
          <w:r>
            <w:rPr>
              <w:rFonts w:eastAsia="仿宋_GB2312"/>
              <w:i w:val="0"/>
              <w:iCs w:val="0"/>
              <w:lang w:val="zh-CN"/>
            </w:rPr>
            <w:fldChar w:fldCharType="separate"/>
          </w:r>
          <w:r>
            <w:rPr>
              <w:rFonts w:eastAsia="仿宋_GB2312"/>
              <w:i w:val="0"/>
              <w:iCs w:val="0"/>
              <w:szCs w:val="28"/>
            </w:rPr>
            <w:t>3.2.</w:t>
          </w:r>
          <w:r>
            <w:rPr>
              <w:rFonts w:hint="eastAsia" w:eastAsia="仿宋_GB2312"/>
              <w:i w:val="0"/>
              <w:iCs w:val="0"/>
              <w:szCs w:val="28"/>
            </w:rPr>
            <w:t>7</w:t>
          </w:r>
          <w:r>
            <w:rPr>
              <w:rFonts w:eastAsia="仿宋_GB2312"/>
              <w:i w:val="0"/>
              <w:iCs w:val="0"/>
              <w:szCs w:val="28"/>
            </w:rPr>
            <w:t>总图布置</w:t>
          </w:r>
          <w:r>
            <w:rPr>
              <w:i w:val="0"/>
              <w:iCs w:val="0"/>
            </w:rPr>
            <w:tab/>
          </w:r>
          <w:r>
            <w:rPr>
              <w:i w:val="0"/>
              <w:iCs w:val="0"/>
            </w:rPr>
            <w:fldChar w:fldCharType="begin"/>
          </w:r>
          <w:r>
            <w:rPr>
              <w:i w:val="0"/>
              <w:iCs w:val="0"/>
            </w:rPr>
            <w:instrText xml:space="preserve"> PAGEREF _Toc25392 \h </w:instrText>
          </w:r>
          <w:r>
            <w:rPr>
              <w:i w:val="0"/>
              <w:iCs w:val="0"/>
            </w:rPr>
            <w:fldChar w:fldCharType="separate"/>
          </w:r>
          <w:r>
            <w:rPr>
              <w:i w:val="0"/>
              <w:iCs w:val="0"/>
            </w:rPr>
            <w:t>99</w:t>
          </w:r>
          <w:r>
            <w:rPr>
              <w:i w:val="0"/>
              <w:iCs w:val="0"/>
            </w:rPr>
            <w:fldChar w:fldCharType="end"/>
          </w:r>
          <w:r>
            <w:rPr>
              <w:rFonts w:eastAsia="仿宋_GB2312"/>
              <w:i w:val="0"/>
              <w:iCs w:val="0"/>
              <w:color w:val="FF0000"/>
              <w:lang w:val="zh-CN"/>
            </w:rPr>
            <w:fldChar w:fldCharType="end"/>
          </w:r>
        </w:p>
        <w:p w14:paraId="6FB2AA99">
          <w:pPr>
            <w:pStyle w:val="46"/>
            <w:tabs>
              <w:tab w:val="right" w:leader="dot" w:pos="8306"/>
            </w:tabs>
            <w:rPr>
              <w:i w:val="0"/>
              <w:iCs w:val="0"/>
            </w:rPr>
          </w:pPr>
          <w:r>
            <w:rPr>
              <w:rFonts w:eastAsia="仿宋_GB2312"/>
              <w:i w:val="0"/>
              <w:iCs w:val="0"/>
              <w:color w:val="FF0000"/>
              <w:lang w:val="zh-CN"/>
            </w:rPr>
            <w:fldChar w:fldCharType="begin"/>
          </w:r>
          <w:r>
            <w:rPr>
              <w:rFonts w:eastAsia="仿宋_GB2312"/>
              <w:i w:val="0"/>
              <w:iCs w:val="0"/>
              <w:lang w:val="zh-CN"/>
            </w:rPr>
            <w:instrText xml:space="preserve"> HYPERLINK \l _Toc3476 </w:instrText>
          </w:r>
          <w:r>
            <w:rPr>
              <w:rFonts w:eastAsia="仿宋_GB2312"/>
              <w:i w:val="0"/>
              <w:iCs w:val="0"/>
              <w:lang w:val="zh-CN"/>
            </w:rPr>
            <w:fldChar w:fldCharType="separate"/>
          </w:r>
          <w:r>
            <w:rPr>
              <w:rFonts w:eastAsia="仿宋_GB2312"/>
              <w:i w:val="0"/>
              <w:iCs w:val="0"/>
              <w:szCs w:val="28"/>
            </w:rPr>
            <w:t>3.2.</w:t>
          </w:r>
          <w:r>
            <w:rPr>
              <w:rFonts w:hint="eastAsia" w:eastAsia="仿宋_GB2312"/>
              <w:i w:val="0"/>
              <w:iCs w:val="0"/>
              <w:szCs w:val="28"/>
            </w:rPr>
            <w:t>8</w:t>
          </w:r>
          <w:r>
            <w:rPr>
              <w:rFonts w:eastAsia="仿宋_GB2312"/>
              <w:i w:val="0"/>
              <w:iCs w:val="0"/>
              <w:szCs w:val="28"/>
            </w:rPr>
            <w:t>项目周边500米土地利用现状</w:t>
          </w:r>
          <w:r>
            <w:rPr>
              <w:i w:val="0"/>
              <w:iCs w:val="0"/>
            </w:rPr>
            <w:tab/>
          </w:r>
          <w:r>
            <w:rPr>
              <w:i w:val="0"/>
              <w:iCs w:val="0"/>
            </w:rPr>
            <w:fldChar w:fldCharType="begin"/>
          </w:r>
          <w:r>
            <w:rPr>
              <w:i w:val="0"/>
              <w:iCs w:val="0"/>
            </w:rPr>
            <w:instrText xml:space="preserve"> PAGEREF _Toc3476 \h </w:instrText>
          </w:r>
          <w:r>
            <w:rPr>
              <w:i w:val="0"/>
              <w:iCs w:val="0"/>
            </w:rPr>
            <w:fldChar w:fldCharType="separate"/>
          </w:r>
          <w:r>
            <w:rPr>
              <w:i w:val="0"/>
              <w:iCs w:val="0"/>
            </w:rPr>
            <w:t>99</w:t>
          </w:r>
          <w:r>
            <w:rPr>
              <w:i w:val="0"/>
              <w:iCs w:val="0"/>
            </w:rPr>
            <w:fldChar w:fldCharType="end"/>
          </w:r>
          <w:r>
            <w:rPr>
              <w:rFonts w:eastAsia="仿宋_GB2312"/>
              <w:i w:val="0"/>
              <w:iCs w:val="0"/>
              <w:color w:val="FF0000"/>
              <w:lang w:val="zh-CN"/>
            </w:rPr>
            <w:fldChar w:fldCharType="end"/>
          </w:r>
        </w:p>
        <w:p w14:paraId="766FC43A">
          <w:pPr>
            <w:pStyle w:val="46"/>
            <w:tabs>
              <w:tab w:val="right" w:leader="dot" w:pos="8306"/>
            </w:tabs>
            <w:rPr>
              <w:i w:val="0"/>
              <w:iCs w:val="0"/>
            </w:rPr>
          </w:pPr>
          <w:r>
            <w:rPr>
              <w:rFonts w:eastAsia="仿宋_GB2312"/>
              <w:i w:val="0"/>
              <w:iCs w:val="0"/>
              <w:color w:val="FF0000"/>
              <w:lang w:val="zh-CN"/>
            </w:rPr>
            <w:fldChar w:fldCharType="begin"/>
          </w:r>
          <w:r>
            <w:rPr>
              <w:rFonts w:eastAsia="仿宋_GB2312"/>
              <w:i w:val="0"/>
              <w:iCs w:val="0"/>
              <w:lang w:val="zh-CN"/>
            </w:rPr>
            <w:instrText xml:space="preserve"> HYPERLINK \l _Toc28718 </w:instrText>
          </w:r>
          <w:r>
            <w:rPr>
              <w:rFonts w:eastAsia="仿宋_GB2312"/>
              <w:i w:val="0"/>
              <w:iCs w:val="0"/>
              <w:lang w:val="zh-CN"/>
            </w:rPr>
            <w:fldChar w:fldCharType="separate"/>
          </w:r>
          <w:r>
            <w:rPr>
              <w:rFonts w:eastAsia="仿宋_GB2312"/>
              <w:i w:val="0"/>
              <w:iCs w:val="0"/>
              <w:szCs w:val="28"/>
            </w:rPr>
            <w:t>3.2.</w:t>
          </w:r>
          <w:r>
            <w:rPr>
              <w:rFonts w:hint="eastAsia" w:eastAsia="仿宋_GB2312"/>
              <w:i w:val="0"/>
              <w:iCs w:val="0"/>
              <w:szCs w:val="28"/>
            </w:rPr>
            <w:t>9</w:t>
          </w:r>
          <w:r>
            <w:rPr>
              <w:rFonts w:eastAsia="仿宋_GB2312"/>
              <w:i w:val="0"/>
              <w:iCs w:val="0"/>
              <w:szCs w:val="28"/>
            </w:rPr>
            <w:t>清洁生产分析</w:t>
          </w:r>
          <w:r>
            <w:rPr>
              <w:i w:val="0"/>
              <w:iCs w:val="0"/>
            </w:rPr>
            <w:tab/>
          </w:r>
          <w:r>
            <w:rPr>
              <w:i w:val="0"/>
              <w:iCs w:val="0"/>
            </w:rPr>
            <w:fldChar w:fldCharType="begin"/>
          </w:r>
          <w:r>
            <w:rPr>
              <w:i w:val="0"/>
              <w:iCs w:val="0"/>
            </w:rPr>
            <w:instrText xml:space="preserve"> PAGEREF _Toc28718 \h </w:instrText>
          </w:r>
          <w:r>
            <w:rPr>
              <w:i w:val="0"/>
              <w:iCs w:val="0"/>
            </w:rPr>
            <w:fldChar w:fldCharType="separate"/>
          </w:r>
          <w:r>
            <w:rPr>
              <w:i w:val="0"/>
              <w:iCs w:val="0"/>
            </w:rPr>
            <w:t>100</w:t>
          </w:r>
          <w:r>
            <w:rPr>
              <w:i w:val="0"/>
              <w:iCs w:val="0"/>
            </w:rPr>
            <w:fldChar w:fldCharType="end"/>
          </w:r>
          <w:r>
            <w:rPr>
              <w:rFonts w:eastAsia="仿宋_GB2312"/>
              <w:i w:val="0"/>
              <w:iCs w:val="0"/>
              <w:color w:val="FF0000"/>
              <w:lang w:val="zh-CN"/>
            </w:rPr>
            <w:fldChar w:fldCharType="end"/>
          </w:r>
        </w:p>
        <w:p w14:paraId="425945B9">
          <w:pPr>
            <w:pStyle w:val="2"/>
            <w:tabs>
              <w:tab w:val="right" w:leader="dot" w:pos="8306"/>
              <w:tab w:val="clear" w:pos="567"/>
              <w:tab w:val="clear" w:pos="630"/>
              <w:tab w:val="clear" w:pos="8302"/>
            </w:tabs>
            <w:rPr>
              <w:i w:val="0"/>
              <w:iCs w:val="0"/>
            </w:rPr>
          </w:pPr>
          <w:r>
            <w:rPr>
              <w:rFonts w:eastAsia="仿宋_GB2312"/>
              <w:i w:val="0"/>
              <w:iCs w:val="0"/>
              <w:color w:val="FF0000"/>
              <w:lang w:val="zh-CN"/>
            </w:rPr>
            <w:fldChar w:fldCharType="begin"/>
          </w:r>
          <w:r>
            <w:rPr>
              <w:rFonts w:eastAsia="仿宋_GB2312"/>
              <w:i w:val="0"/>
              <w:iCs w:val="0"/>
              <w:lang w:val="zh-CN"/>
            </w:rPr>
            <w:instrText xml:space="preserve"> HYPERLINK \l _Toc20478 </w:instrText>
          </w:r>
          <w:r>
            <w:rPr>
              <w:rFonts w:eastAsia="仿宋_GB2312"/>
              <w:i w:val="0"/>
              <w:iCs w:val="0"/>
              <w:lang w:val="zh-CN"/>
            </w:rPr>
            <w:fldChar w:fldCharType="separate"/>
          </w:r>
          <w:r>
            <w:rPr>
              <w:i w:val="0"/>
              <w:iCs w:val="0"/>
              <w:szCs w:val="30"/>
            </w:rPr>
            <w:t>3.3溶剂回收综合利用项目工程分析</w:t>
          </w:r>
          <w:r>
            <w:rPr>
              <w:i w:val="0"/>
              <w:iCs w:val="0"/>
            </w:rPr>
            <w:tab/>
          </w:r>
          <w:r>
            <w:rPr>
              <w:i w:val="0"/>
              <w:iCs w:val="0"/>
            </w:rPr>
            <w:fldChar w:fldCharType="begin"/>
          </w:r>
          <w:r>
            <w:rPr>
              <w:i w:val="0"/>
              <w:iCs w:val="0"/>
            </w:rPr>
            <w:instrText xml:space="preserve"> PAGEREF _Toc20478 \h </w:instrText>
          </w:r>
          <w:r>
            <w:rPr>
              <w:i w:val="0"/>
              <w:iCs w:val="0"/>
            </w:rPr>
            <w:fldChar w:fldCharType="separate"/>
          </w:r>
          <w:r>
            <w:rPr>
              <w:i w:val="0"/>
              <w:iCs w:val="0"/>
            </w:rPr>
            <w:t>103</w:t>
          </w:r>
          <w:r>
            <w:rPr>
              <w:i w:val="0"/>
              <w:iCs w:val="0"/>
            </w:rPr>
            <w:fldChar w:fldCharType="end"/>
          </w:r>
          <w:r>
            <w:rPr>
              <w:rFonts w:eastAsia="仿宋_GB2312"/>
              <w:i w:val="0"/>
              <w:iCs w:val="0"/>
              <w:color w:val="FF0000"/>
              <w:lang w:val="zh-CN"/>
            </w:rPr>
            <w:fldChar w:fldCharType="end"/>
          </w:r>
        </w:p>
        <w:p w14:paraId="4E4C633E">
          <w:pPr>
            <w:pStyle w:val="46"/>
            <w:tabs>
              <w:tab w:val="right" w:leader="dot" w:pos="8306"/>
            </w:tabs>
            <w:rPr>
              <w:i w:val="0"/>
              <w:iCs w:val="0"/>
            </w:rPr>
          </w:pPr>
          <w:r>
            <w:rPr>
              <w:rFonts w:eastAsia="仿宋_GB2312"/>
              <w:i w:val="0"/>
              <w:iCs w:val="0"/>
              <w:color w:val="FF0000"/>
              <w:lang w:val="zh-CN"/>
            </w:rPr>
            <w:fldChar w:fldCharType="begin"/>
          </w:r>
          <w:r>
            <w:rPr>
              <w:rFonts w:eastAsia="仿宋_GB2312"/>
              <w:i w:val="0"/>
              <w:iCs w:val="0"/>
              <w:lang w:val="zh-CN"/>
            </w:rPr>
            <w:instrText xml:space="preserve"> HYPERLINK \l _Toc21223 </w:instrText>
          </w:r>
          <w:r>
            <w:rPr>
              <w:rFonts w:eastAsia="仿宋_GB2312"/>
              <w:i w:val="0"/>
              <w:iCs w:val="0"/>
              <w:lang w:val="zh-CN"/>
            </w:rPr>
            <w:fldChar w:fldCharType="separate"/>
          </w:r>
          <w:r>
            <w:rPr>
              <w:rFonts w:eastAsia="仿宋_GB2312"/>
              <w:i w:val="0"/>
              <w:iCs w:val="0"/>
              <w:szCs w:val="28"/>
            </w:rPr>
            <w:t>3.3.1连续精馏系列溶剂回收综合利用工程分析</w:t>
          </w:r>
          <w:r>
            <w:rPr>
              <w:i w:val="0"/>
              <w:iCs w:val="0"/>
            </w:rPr>
            <w:tab/>
          </w:r>
          <w:r>
            <w:rPr>
              <w:i w:val="0"/>
              <w:iCs w:val="0"/>
            </w:rPr>
            <w:fldChar w:fldCharType="begin"/>
          </w:r>
          <w:r>
            <w:rPr>
              <w:i w:val="0"/>
              <w:iCs w:val="0"/>
            </w:rPr>
            <w:instrText xml:space="preserve"> PAGEREF _Toc21223 \h </w:instrText>
          </w:r>
          <w:r>
            <w:rPr>
              <w:i w:val="0"/>
              <w:iCs w:val="0"/>
            </w:rPr>
            <w:fldChar w:fldCharType="separate"/>
          </w:r>
          <w:r>
            <w:rPr>
              <w:i w:val="0"/>
              <w:iCs w:val="0"/>
            </w:rPr>
            <w:t>105</w:t>
          </w:r>
          <w:r>
            <w:rPr>
              <w:i w:val="0"/>
              <w:iCs w:val="0"/>
            </w:rPr>
            <w:fldChar w:fldCharType="end"/>
          </w:r>
          <w:r>
            <w:rPr>
              <w:rFonts w:eastAsia="仿宋_GB2312"/>
              <w:i w:val="0"/>
              <w:iCs w:val="0"/>
              <w:color w:val="FF0000"/>
              <w:lang w:val="zh-CN"/>
            </w:rPr>
            <w:fldChar w:fldCharType="end"/>
          </w:r>
        </w:p>
        <w:p w14:paraId="7732B7DD">
          <w:pPr>
            <w:pStyle w:val="46"/>
            <w:tabs>
              <w:tab w:val="right" w:leader="dot" w:pos="8306"/>
            </w:tabs>
            <w:rPr>
              <w:i w:val="0"/>
              <w:iCs w:val="0"/>
            </w:rPr>
          </w:pPr>
          <w:r>
            <w:rPr>
              <w:rFonts w:eastAsia="仿宋_GB2312"/>
              <w:i w:val="0"/>
              <w:iCs w:val="0"/>
              <w:color w:val="FF0000"/>
              <w:lang w:val="zh-CN"/>
            </w:rPr>
            <w:fldChar w:fldCharType="begin"/>
          </w:r>
          <w:r>
            <w:rPr>
              <w:rFonts w:eastAsia="仿宋_GB2312"/>
              <w:i w:val="0"/>
              <w:iCs w:val="0"/>
              <w:lang w:val="zh-CN"/>
            </w:rPr>
            <w:instrText xml:space="preserve"> HYPERLINK \l _Toc30607 </w:instrText>
          </w:r>
          <w:r>
            <w:rPr>
              <w:rFonts w:eastAsia="仿宋_GB2312"/>
              <w:i w:val="0"/>
              <w:iCs w:val="0"/>
              <w:lang w:val="zh-CN"/>
            </w:rPr>
            <w:fldChar w:fldCharType="separate"/>
          </w:r>
          <w:r>
            <w:rPr>
              <w:rFonts w:eastAsia="仿宋_GB2312"/>
              <w:i w:val="0"/>
              <w:iCs w:val="0"/>
              <w:szCs w:val="28"/>
            </w:rPr>
            <w:t>3.3.2间歇精馏系列溶剂回收综合利用工程分析</w:t>
          </w:r>
          <w:r>
            <w:rPr>
              <w:i w:val="0"/>
              <w:iCs w:val="0"/>
            </w:rPr>
            <w:tab/>
          </w:r>
          <w:r>
            <w:rPr>
              <w:i w:val="0"/>
              <w:iCs w:val="0"/>
            </w:rPr>
            <w:fldChar w:fldCharType="begin"/>
          </w:r>
          <w:r>
            <w:rPr>
              <w:i w:val="0"/>
              <w:iCs w:val="0"/>
            </w:rPr>
            <w:instrText xml:space="preserve"> PAGEREF _Toc30607 \h </w:instrText>
          </w:r>
          <w:r>
            <w:rPr>
              <w:i w:val="0"/>
              <w:iCs w:val="0"/>
            </w:rPr>
            <w:fldChar w:fldCharType="separate"/>
          </w:r>
          <w:r>
            <w:rPr>
              <w:i w:val="0"/>
              <w:iCs w:val="0"/>
            </w:rPr>
            <w:t>129</w:t>
          </w:r>
          <w:r>
            <w:rPr>
              <w:i w:val="0"/>
              <w:iCs w:val="0"/>
            </w:rPr>
            <w:fldChar w:fldCharType="end"/>
          </w:r>
          <w:r>
            <w:rPr>
              <w:rFonts w:eastAsia="仿宋_GB2312"/>
              <w:i w:val="0"/>
              <w:iCs w:val="0"/>
              <w:color w:val="FF0000"/>
              <w:lang w:val="zh-CN"/>
            </w:rPr>
            <w:fldChar w:fldCharType="end"/>
          </w:r>
        </w:p>
        <w:p w14:paraId="656C7A21">
          <w:pPr>
            <w:pStyle w:val="46"/>
            <w:tabs>
              <w:tab w:val="right" w:leader="dot" w:pos="8306"/>
            </w:tabs>
            <w:rPr>
              <w:i w:val="0"/>
              <w:iCs w:val="0"/>
            </w:rPr>
          </w:pPr>
          <w:r>
            <w:rPr>
              <w:rFonts w:eastAsia="仿宋_GB2312"/>
              <w:i w:val="0"/>
              <w:iCs w:val="0"/>
              <w:color w:val="FF0000"/>
              <w:lang w:val="zh-CN"/>
            </w:rPr>
            <w:fldChar w:fldCharType="begin"/>
          </w:r>
          <w:r>
            <w:rPr>
              <w:rFonts w:eastAsia="仿宋_GB2312"/>
              <w:i w:val="0"/>
              <w:iCs w:val="0"/>
              <w:lang w:val="zh-CN"/>
            </w:rPr>
            <w:instrText xml:space="preserve"> HYPERLINK \l _Toc1059 </w:instrText>
          </w:r>
          <w:r>
            <w:rPr>
              <w:rFonts w:eastAsia="仿宋_GB2312"/>
              <w:i w:val="0"/>
              <w:iCs w:val="0"/>
              <w:lang w:val="zh-CN"/>
            </w:rPr>
            <w:fldChar w:fldCharType="separate"/>
          </w:r>
          <w:r>
            <w:rPr>
              <w:rFonts w:eastAsia="仿宋_GB2312"/>
              <w:i w:val="0"/>
              <w:iCs w:val="0"/>
              <w:szCs w:val="28"/>
            </w:rPr>
            <w:t>3.3.3膜处理+</w:t>
          </w:r>
          <w:r>
            <w:rPr>
              <w:rFonts w:hint="eastAsia" w:eastAsia="仿宋_GB2312"/>
              <w:i w:val="0"/>
              <w:iCs w:val="0"/>
              <w:szCs w:val="28"/>
            </w:rPr>
            <w:t>连续</w:t>
          </w:r>
          <w:r>
            <w:rPr>
              <w:rFonts w:eastAsia="仿宋_GB2312"/>
              <w:i w:val="0"/>
              <w:iCs w:val="0"/>
              <w:szCs w:val="28"/>
            </w:rPr>
            <w:t>精馏系列溶剂回收综合利用工程分析</w:t>
          </w:r>
          <w:r>
            <w:rPr>
              <w:i w:val="0"/>
              <w:iCs w:val="0"/>
            </w:rPr>
            <w:tab/>
          </w:r>
          <w:r>
            <w:rPr>
              <w:i w:val="0"/>
              <w:iCs w:val="0"/>
            </w:rPr>
            <w:fldChar w:fldCharType="begin"/>
          </w:r>
          <w:r>
            <w:rPr>
              <w:i w:val="0"/>
              <w:iCs w:val="0"/>
            </w:rPr>
            <w:instrText xml:space="preserve"> PAGEREF _Toc1059 \h </w:instrText>
          </w:r>
          <w:r>
            <w:rPr>
              <w:i w:val="0"/>
              <w:iCs w:val="0"/>
            </w:rPr>
            <w:fldChar w:fldCharType="separate"/>
          </w:r>
          <w:r>
            <w:rPr>
              <w:i w:val="0"/>
              <w:iCs w:val="0"/>
            </w:rPr>
            <w:t>310</w:t>
          </w:r>
          <w:r>
            <w:rPr>
              <w:i w:val="0"/>
              <w:iCs w:val="0"/>
            </w:rPr>
            <w:fldChar w:fldCharType="end"/>
          </w:r>
          <w:r>
            <w:rPr>
              <w:rFonts w:eastAsia="仿宋_GB2312"/>
              <w:i w:val="0"/>
              <w:iCs w:val="0"/>
              <w:color w:val="FF0000"/>
              <w:lang w:val="zh-CN"/>
            </w:rPr>
            <w:fldChar w:fldCharType="end"/>
          </w:r>
        </w:p>
        <w:p w14:paraId="701A22D5">
          <w:pPr>
            <w:pStyle w:val="46"/>
            <w:tabs>
              <w:tab w:val="right" w:leader="dot" w:pos="8306"/>
            </w:tabs>
            <w:rPr>
              <w:i w:val="0"/>
              <w:iCs w:val="0"/>
            </w:rPr>
          </w:pPr>
          <w:r>
            <w:rPr>
              <w:rFonts w:eastAsia="仿宋_GB2312"/>
              <w:i w:val="0"/>
              <w:iCs w:val="0"/>
              <w:color w:val="FF0000"/>
              <w:lang w:val="zh-CN"/>
            </w:rPr>
            <w:fldChar w:fldCharType="begin"/>
          </w:r>
          <w:r>
            <w:rPr>
              <w:rFonts w:eastAsia="仿宋_GB2312"/>
              <w:i w:val="0"/>
              <w:iCs w:val="0"/>
              <w:lang w:val="zh-CN"/>
            </w:rPr>
            <w:instrText xml:space="preserve"> HYPERLINK \l _Toc9903 </w:instrText>
          </w:r>
          <w:r>
            <w:rPr>
              <w:rFonts w:eastAsia="仿宋_GB2312"/>
              <w:i w:val="0"/>
              <w:iCs w:val="0"/>
              <w:lang w:val="zh-CN"/>
            </w:rPr>
            <w:fldChar w:fldCharType="separate"/>
          </w:r>
          <w:r>
            <w:rPr>
              <w:rFonts w:eastAsia="仿宋_GB2312"/>
              <w:i w:val="0"/>
              <w:iCs w:val="0"/>
              <w:szCs w:val="28"/>
            </w:rPr>
            <w:t>3.3.</w:t>
          </w:r>
          <w:r>
            <w:rPr>
              <w:rFonts w:hint="eastAsia" w:eastAsia="仿宋_GB2312"/>
              <w:i w:val="0"/>
              <w:iCs w:val="0"/>
              <w:szCs w:val="28"/>
            </w:rPr>
            <w:t>4超重力</w:t>
          </w:r>
          <w:r>
            <w:rPr>
              <w:rFonts w:eastAsia="仿宋_GB2312"/>
              <w:i w:val="0"/>
              <w:iCs w:val="0"/>
              <w:szCs w:val="28"/>
            </w:rPr>
            <w:t>精馏系列溶剂回收综合利用工程分析</w:t>
          </w:r>
          <w:r>
            <w:rPr>
              <w:i w:val="0"/>
              <w:iCs w:val="0"/>
            </w:rPr>
            <w:tab/>
          </w:r>
          <w:r>
            <w:rPr>
              <w:i w:val="0"/>
              <w:iCs w:val="0"/>
            </w:rPr>
            <w:fldChar w:fldCharType="begin"/>
          </w:r>
          <w:r>
            <w:rPr>
              <w:i w:val="0"/>
              <w:iCs w:val="0"/>
            </w:rPr>
            <w:instrText xml:space="preserve"> PAGEREF _Toc9903 \h </w:instrText>
          </w:r>
          <w:r>
            <w:rPr>
              <w:i w:val="0"/>
              <w:iCs w:val="0"/>
            </w:rPr>
            <w:fldChar w:fldCharType="separate"/>
          </w:r>
          <w:r>
            <w:rPr>
              <w:i w:val="0"/>
              <w:iCs w:val="0"/>
            </w:rPr>
            <w:t>482</w:t>
          </w:r>
          <w:r>
            <w:rPr>
              <w:i w:val="0"/>
              <w:iCs w:val="0"/>
            </w:rPr>
            <w:fldChar w:fldCharType="end"/>
          </w:r>
          <w:r>
            <w:rPr>
              <w:rFonts w:eastAsia="仿宋_GB2312"/>
              <w:i w:val="0"/>
              <w:iCs w:val="0"/>
              <w:color w:val="FF0000"/>
              <w:lang w:val="zh-CN"/>
            </w:rPr>
            <w:fldChar w:fldCharType="end"/>
          </w:r>
        </w:p>
        <w:p w14:paraId="1E133B0F">
          <w:pPr>
            <w:pStyle w:val="2"/>
            <w:tabs>
              <w:tab w:val="right" w:leader="dot" w:pos="8306"/>
              <w:tab w:val="clear" w:pos="567"/>
              <w:tab w:val="clear" w:pos="630"/>
              <w:tab w:val="clear" w:pos="8302"/>
            </w:tabs>
            <w:rPr>
              <w:i w:val="0"/>
              <w:iCs w:val="0"/>
            </w:rPr>
          </w:pPr>
          <w:r>
            <w:rPr>
              <w:rFonts w:eastAsia="仿宋_GB2312"/>
              <w:i w:val="0"/>
              <w:iCs w:val="0"/>
              <w:color w:val="FF0000"/>
              <w:lang w:val="zh-CN"/>
            </w:rPr>
            <w:fldChar w:fldCharType="begin"/>
          </w:r>
          <w:r>
            <w:rPr>
              <w:rFonts w:eastAsia="仿宋_GB2312"/>
              <w:i w:val="0"/>
              <w:iCs w:val="0"/>
              <w:lang w:val="zh-CN"/>
            </w:rPr>
            <w:instrText xml:space="preserve"> HYPERLINK \l _Toc32353 </w:instrText>
          </w:r>
          <w:r>
            <w:rPr>
              <w:rFonts w:eastAsia="仿宋_GB2312"/>
              <w:i w:val="0"/>
              <w:iCs w:val="0"/>
              <w:lang w:val="zh-CN"/>
            </w:rPr>
            <w:fldChar w:fldCharType="separate"/>
          </w:r>
          <w:r>
            <w:rPr>
              <w:i w:val="0"/>
              <w:iCs w:val="0"/>
              <w:szCs w:val="30"/>
            </w:rPr>
            <w:t>3.4年处置</w:t>
          </w:r>
          <w:r>
            <w:rPr>
              <w:rFonts w:hint="eastAsia"/>
              <w:i w:val="0"/>
              <w:iCs w:val="0"/>
              <w:szCs w:val="30"/>
              <w:lang w:val="en-US" w:eastAsia="zh-CN"/>
            </w:rPr>
            <w:t>95</w:t>
          </w:r>
          <w:r>
            <w:rPr>
              <w:i w:val="0"/>
              <w:iCs w:val="0"/>
              <w:szCs w:val="30"/>
            </w:rPr>
            <w:t>00吨</w:t>
          </w:r>
          <w:r>
            <w:rPr>
              <w:i w:val="0"/>
              <w:iCs w:val="0"/>
              <w:szCs w:val="21"/>
            </w:rPr>
            <w:t>废有机溶剂与含有机溶剂废物</w:t>
          </w:r>
          <w:r>
            <w:rPr>
              <w:i w:val="0"/>
              <w:iCs w:val="0"/>
              <w:szCs w:val="30"/>
            </w:rPr>
            <w:t>工程分析</w:t>
          </w:r>
          <w:r>
            <w:rPr>
              <w:i w:val="0"/>
              <w:iCs w:val="0"/>
            </w:rPr>
            <w:tab/>
          </w:r>
          <w:r>
            <w:rPr>
              <w:i w:val="0"/>
              <w:iCs w:val="0"/>
            </w:rPr>
            <w:fldChar w:fldCharType="begin"/>
          </w:r>
          <w:r>
            <w:rPr>
              <w:i w:val="0"/>
              <w:iCs w:val="0"/>
            </w:rPr>
            <w:instrText xml:space="preserve"> PAGEREF _Toc32353 \h </w:instrText>
          </w:r>
          <w:r>
            <w:rPr>
              <w:i w:val="0"/>
              <w:iCs w:val="0"/>
            </w:rPr>
            <w:fldChar w:fldCharType="separate"/>
          </w:r>
          <w:r>
            <w:rPr>
              <w:i w:val="0"/>
              <w:iCs w:val="0"/>
            </w:rPr>
            <w:t>506</w:t>
          </w:r>
          <w:r>
            <w:rPr>
              <w:i w:val="0"/>
              <w:iCs w:val="0"/>
            </w:rPr>
            <w:fldChar w:fldCharType="end"/>
          </w:r>
          <w:r>
            <w:rPr>
              <w:rFonts w:eastAsia="仿宋_GB2312"/>
              <w:i w:val="0"/>
              <w:iCs w:val="0"/>
              <w:color w:val="FF0000"/>
              <w:lang w:val="zh-CN"/>
            </w:rPr>
            <w:fldChar w:fldCharType="end"/>
          </w:r>
        </w:p>
        <w:p w14:paraId="18CDC149">
          <w:pPr>
            <w:pStyle w:val="46"/>
            <w:tabs>
              <w:tab w:val="right" w:leader="dot" w:pos="8306"/>
            </w:tabs>
            <w:rPr>
              <w:i w:val="0"/>
              <w:iCs w:val="0"/>
            </w:rPr>
          </w:pPr>
          <w:r>
            <w:rPr>
              <w:rFonts w:eastAsia="仿宋_GB2312"/>
              <w:i w:val="0"/>
              <w:iCs w:val="0"/>
              <w:color w:val="FF0000"/>
              <w:lang w:val="zh-CN"/>
            </w:rPr>
            <w:fldChar w:fldCharType="begin"/>
          </w:r>
          <w:r>
            <w:rPr>
              <w:rFonts w:eastAsia="仿宋_GB2312"/>
              <w:i w:val="0"/>
              <w:iCs w:val="0"/>
              <w:lang w:val="zh-CN"/>
            </w:rPr>
            <w:instrText xml:space="preserve"> HYPERLINK \l _Toc12470 </w:instrText>
          </w:r>
          <w:r>
            <w:rPr>
              <w:rFonts w:eastAsia="仿宋_GB2312"/>
              <w:i w:val="0"/>
              <w:iCs w:val="0"/>
              <w:lang w:val="zh-CN"/>
            </w:rPr>
            <w:fldChar w:fldCharType="separate"/>
          </w:r>
          <w:r>
            <w:rPr>
              <w:rFonts w:eastAsia="仿宋_GB2312"/>
              <w:i w:val="0"/>
              <w:iCs w:val="0"/>
              <w:szCs w:val="28"/>
            </w:rPr>
            <w:t>3.4.1废液来源及分类</w:t>
          </w:r>
          <w:r>
            <w:rPr>
              <w:i w:val="0"/>
              <w:iCs w:val="0"/>
            </w:rPr>
            <w:tab/>
          </w:r>
          <w:r>
            <w:rPr>
              <w:i w:val="0"/>
              <w:iCs w:val="0"/>
            </w:rPr>
            <w:fldChar w:fldCharType="begin"/>
          </w:r>
          <w:r>
            <w:rPr>
              <w:i w:val="0"/>
              <w:iCs w:val="0"/>
            </w:rPr>
            <w:instrText xml:space="preserve"> PAGEREF _Toc12470 \h </w:instrText>
          </w:r>
          <w:r>
            <w:rPr>
              <w:i w:val="0"/>
              <w:iCs w:val="0"/>
            </w:rPr>
            <w:fldChar w:fldCharType="separate"/>
          </w:r>
          <w:r>
            <w:rPr>
              <w:i w:val="0"/>
              <w:iCs w:val="0"/>
            </w:rPr>
            <w:t>506</w:t>
          </w:r>
          <w:r>
            <w:rPr>
              <w:i w:val="0"/>
              <w:iCs w:val="0"/>
            </w:rPr>
            <w:fldChar w:fldCharType="end"/>
          </w:r>
          <w:r>
            <w:rPr>
              <w:rFonts w:eastAsia="仿宋_GB2312"/>
              <w:i w:val="0"/>
              <w:iCs w:val="0"/>
              <w:color w:val="FF0000"/>
              <w:lang w:val="zh-CN"/>
            </w:rPr>
            <w:fldChar w:fldCharType="end"/>
          </w:r>
        </w:p>
        <w:p w14:paraId="39C5BCF0">
          <w:pPr>
            <w:pStyle w:val="46"/>
            <w:tabs>
              <w:tab w:val="right" w:leader="dot" w:pos="8306"/>
            </w:tabs>
            <w:rPr>
              <w:i w:val="0"/>
              <w:iCs w:val="0"/>
            </w:rPr>
          </w:pPr>
          <w:r>
            <w:rPr>
              <w:rFonts w:eastAsia="仿宋_GB2312"/>
              <w:i w:val="0"/>
              <w:iCs w:val="0"/>
              <w:color w:val="FF0000"/>
              <w:lang w:val="zh-CN"/>
            </w:rPr>
            <w:fldChar w:fldCharType="begin"/>
          </w:r>
          <w:r>
            <w:rPr>
              <w:rFonts w:eastAsia="仿宋_GB2312"/>
              <w:i w:val="0"/>
              <w:iCs w:val="0"/>
              <w:lang w:val="zh-CN"/>
            </w:rPr>
            <w:instrText xml:space="preserve"> HYPERLINK \l _Toc18217 </w:instrText>
          </w:r>
          <w:r>
            <w:rPr>
              <w:rFonts w:eastAsia="仿宋_GB2312"/>
              <w:i w:val="0"/>
              <w:iCs w:val="0"/>
              <w:lang w:val="zh-CN"/>
            </w:rPr>
            <w:fldChar w:fldCharType="separate"/>
          </w:r>
          <w:r>
            <w:rPr>
              <w:rFonts w:eastAsia="仿宋_GB2312"/>
              <w:i w:val="0"/>
              <w:iCs w:val="0"/>
              <w:szCs w:val="28"/>
            </w:rPr>
            <w:t>3.4.2废液成分</w:t>
          </w:r>
          <w:r>
            <w:rPr>
              <w:i w:val="0"/>
              <w:iCs w:val="0"/>
            </w:rPr>
            <w:tab/>
          </w:r>
          <w:r>
            <w:rPr>
              <w:i w:val="0"/>
              <w:iCs w:val="0"/>
            </w:rPr>
            <w:fldChar w:fldCharType="begin"/>
          </w:r>
          <w:r>
            <w:rPr>
              <w:i w:val="0"/>
              <w:iCs w:val="0"/>
            </w:rPr>
            <w:instrText xml:space="preserve"> PAGEREF _Toc18217 \h </w:instrText>
          </w:r>
          <w:r>
            <w:rPr>
              <w:i w:val="0"/>
              <w:iCs w:val="0"/>
            </w:rPr>
            <w:fldChar w:fldCharType="separate"/>
          </w:r>
          <w:r>
            <w:rPr>
              <w:i w:val="0"/>
              <w:iCs w:val="0"/>
            </w:rPr>
            <w:t>507</w:t>
          </w:r>
          <w:r>
            <w:rPr>
              <w:i w:val="0"/>
              <w:iCs w:val="0"/>
            </w:rPr>
            <w:fldChar w:fldCharType="end"/>
          </w:r>
          <w:r>
            <w:rPr>
              <w:rFonts w:eastAsia="仿宋_GB2312"/>
              <w:i w:val="0"/>
              <w:iCs w:val="0"/>
              <w:color w:val="FF0000"/>
              <w:lang w:val="zh-CN"/>
            </w:rPr>
            <w:fldChar w:fldCharType="end"/>
          </w:r>
        </w:p>
        <w:p w14:paraId="2C1E413E">
          <w:pPr>
            <w:pStyle w:val="46"/>
            <w:tabs>
              <w:tab w:val="right" w:leader="dot" w:pos="8306"/>
            </w:tabs>
            <w:rPr>
              <w:i w:val="0"/>
              <w:iCs w:val="0"/>
            </w:rPr>
          </w:pPr>
          <w:r>
            <w:rPr>
              <w:rFonts w:eastAsia="仿宋_GB2312"/>
              <w:i w:val="0"/>
              <w:iCs w:val="0"/>
              <w:color w:val="FF0000"/>
              <w:lang w:val="zh-CN"/>
            </w:rPr>
            <w:fldChar w:fldCharType="begin"/>
          </w:r>
          <w:r>
            <w:rPr>
              <w:rFonts w:eastAsia="仿宋_GB2312"/>
              <w:i w:val="0"/>
              <w:iCs w:val="0"/>
              <w:lang w:val="zh-CN"/>
            </w:rPr>
            <w:instrText xml:space="preserve"> HYPERLINK \l _Toc11887 </w:instrText>
          </w:r>
          <w:r>
            <w:rPr>
              <w:rFonts w:eastAsia="仿宋_GB2312"/>
              <w:i w:val="0"/>
              <w:iCs w:val="0"/>
              <w:lang w:val="zh-CN"/>
            </w:rPr>
            <w:fldChar w:fldCharType="separate"/>
          </w:r>
          <w:r>
            <w:rPr>
              <w:rFonts w:eastAsia="仿宋_GB2312"/>
              <w:i w:val="0"/>
              <w:iCs w:val="0"/>
              <w:szCs w:val="28"/>
            </w:rPr>
            <w:t>3.4.3工艺流程</w:t>
          </w:r>
          <w:r>
            <w:rPr>
              <w:i w:val="0"/>
              <w:iCs w:val="0"/>
            </w:rPr>
            <w:tab/>
          </w:r>
          <w:r>
            <w:rPr>
              <w:i w:val="0"/>
              <w:iCs w:val="0"/>
            </w:rPr>
            <w:fldChar w:fldCharType="begin"/>
          </w:r>
          <w:r>
            <w:rPr>
              <w:i w:val="0"/>
              <w:iCs w:val="0"/>
            </w:rPr>
            <w:instrText xml:space="preserve"> PAGEREF _Toc11887 \h </w:instrText>
          </w:r>
          <w:r>
            <w:rPr>
              <w:i w:val="0"/>
              <w:iCs w:val="0"/>
            </w:rPr>
            <w:fldChar w:fldCharType="separate"/>
          </w:r>
          <w:r>
            <w:rPr>
              <w:i w:val="0"/>
              <w:iCs w:val="0"/>
            </w:rPr>
            <w:t>508</w:t>
          </w:r>
          <w:r>
            <w:rPr>
              <w:i w:val="0"/>
              <w:iCs w:val="0"/>
            </w:rPr>
            <w:fldChar w:fldCharType="end"/>
          </w:r>
          <w:r>
            <w:rPr>
              <w:rFonts w:eastAsia="仿宋_GB2312"/>
              <w:i w:val="0"/>
              <w:iCs w:val="0"/>
              <w:color w:val="FF0000"/>
              <w:lang w:val="zh-CN"/>
            </w:rPr>
            <w:fldChar w:fldCharType="end"/>
          </w:r>
        </w:p>
        <w:p w14:paraId="423D750D">
          <w:pPr>
            <w:pStyle w:val="46"/>
            <w:tabs>
              <w:tab w:val="right" w:leader="dot" w:pos="8306"/>
            </w:tabs>
            <w:rPr>
              <w:i w:val="0"/>
              <w:iCs w:val="0"/>
            </w:rPr>
          </w:pPr>
          <w:r>
            <w:rPr>
              <w:rFonts w:eastAsia="仿宋_GB2312"/>
              <w:i w:val="0"/>
              <w:iCs w:val="0"/>
              <w:color w:val="FF0000"/>
              <w:lang w:val="zh-CN"/>
            </w:rPr>
            <w:fldChar w:fldCharType="begin"/>
          </w:r>
          <w:r>
            <w:rPr>
              <w:rFonts w:eastAsia="仿宋_GB2312"/>
              <w:i w:val="0"/>
              <w:iCs w:val="0"/>
              <w:lang w:val="zh-CN"/>
            </w:rPr>
            <w:instrText xml:space="preserve"> HYPERLINK \l _Toc8172 </w:instrText>
          </w:r>
          <w:r>
            <w:rPr>
              <w:rFonts w:eastAsia="仿宋_GB2312"/>
              <w:i w:val="0"/>
              <w:iCs w:val="0"/>
              <w:lang w:val="zh-CN"/>
            </w:rPr>
            <w:fldChar w:fldCharType="separate"/>
          </w:r>
          <w:r>
            <w:rPr>
              <w:rFonts w:eastAsia="仿宋_GB2312"/>
              <w:i w:val="0"/>
              <w:iCs w:val="0"/>
              <w:szCs w:val="28"/>
            </w:rPr>
            <w:t>3.4.4物料平衡</w:t>
          </w:r>
          <w:r>
            <w:rPr>
              <w:i w:val="0"/>
              <w:iCs w:val="0"/>
            </w:rPr>
            <w:tab/>
          </w:r>
          <w:r>
            <w:rPr>
              <w:i w:val="0"/>
              <w:iCs w:val="0"/>
            </w:rPr>
            <w:fldChar w:fldCharType="begin"/>
          </w:r>
          <w:r>
            <w:rPr>
              <w:i w:val="0"/>
              <w:iCs w:val="0"/>
            </w:rPr>
            <w:instrText xml:space="preserve"> PAGEREF _Toc8172 \h </w:instrText>
          </w:r>
          <w:r>
            <w:rPr>
              <w:i w:val="0"/>
              <w:iCs w:val="0"/>
            </w:rPr>
            <w:fldChar w:fldCharType="separate"/>
          </w:r>
          <w:r>
            <w:rPr>
              <w:i w:val="0"/>
              <w:iCs w:val="0"/>
            </w:rPr>
            <w:t>509</w:t>
          </w:r>
          <w:r>
            <w:rPr>
              <w:i w:val="0"/>
              <w:iCs w:val="0"/>
            </w:rPr>
            <w:fldChar w:fldCharType="end"/>
          </w:r>
          <w:r>
            <w:rPr>
              <w:rFonts w:eastAsia="仿宋_GB2312"/>
              <w:i w:val="0"/>
              <w:iCs w:val="0"/>
              <w:color w:val="FF0000"/>
              <w:lang w:val="zh-CN"/>
            </w:rPr>
            <w:fldChar w:fldCharType="end"/>
          </w:r>
        </w:p>
        <w:p w14:paraId="613B1F29">
          <w:pPr>
            <w:pStyle w:val="46"/>
            <w:tabs>
              <w:tab w:val="right" w:leader="dot" w:pos="8306"/>
            </w:tabs>
            <w:rPr>
              <w:i w:val="0"/>
              <w:iCs w:val="0"/>
            </w:rPr>
          </w:pPr>
          <w:r>
            <w:rPr>
              <w:rFonts w:eastAsia="仿宋_GB2312"/>
              <w:i w:val="0"/>
              <w:iCs w:val="0"/>
              <w:color w:val="FF0000"/>
              <w:lang w:val="zh-CN"/>
            </w:rPr>
            <w:fldChar w:fldCharType="begin"/>
          </w:r>
          <w:r>
            <w:rPr>
              <w:rFonts w:eastAsia="仿宋_GB2312"/>
              <w:i w:val="0"/>
              <w:iCs w:val="0"/>
              <w:lang w:val="zh-CN"/>
            </w:rPr>
            <w:instrText xml:space="preserve"> HYPERLINK \l _Toc8183 </w:instrText>
          </w:r>
          <w:r>
            <w:rPr>
              <w:rFonts w:eastAsia="仿宋_GB2312"/>
              <w:i w:val="0"/>
              <w:iCs w:val="0"/>
              <w:lang w:val="zh-CN"/>
            </w:rPr>
            <w:fldChar w:fldCharType="separate"/>
          </w:r>
          <w:r>
            <w:rPr>
              <w:rFonts w:eastAsia="仿宋_GB2312"/>
              <w:i w:val="0"/>
              <w:iCs w:val="0"/>
              <w:szCs w:val="28"/>
            </w:rPr>
            <w:t>3.4.5特征因子平衡</w:t>
          </w:r>
          <w:r>
            <w:rPr>
              <w:i w:val="0"/>
              <w:iCs w:val="0"/>
            </w:rPr>
            <w:tab/>
          </w:r>
          <w:r>
            <w:rPr>
              <w:i w:val="0"/>
              <w:iCs w:val="0"/>
            </w:rPr>
            <w:fldChar w:fldCharType="begin"/>
          </w:r>
          <w:r>
            <w:rPr>
              <w:i w:val="0"/>
              <w:iCs w:val="0"/>
            </w:rPr>
            <w:instrText xml:space="preserve"> PAGEREF _Toc8183 \h </w:instrText>
          </w:r>
          <w:r>
            <w:rPr>
              <w:i w:val="0"/>
              <w:iCs w:val="0"/>
            </w:rPr>
            <w:fldChar w:fldCharType="separate"/>
          </w:r>
          <w:r>
            <w:rPr>
              <w:i w:val="0"/>
              <w:iCs w:val="0"/>
            </w:rPr>
            <w:t>512</w:t>
          </w:r>
          <w:r>
            <w:rPr>
              <w:i w:val="0"/>
              <w:iCs w:val="0"/>
            </w:rPr>
            <w:fldChar w:fldCharType="end"/>
          </w:r>
          <w:r>
            <w:rPr>
              <w:rFonts w:eastAsia="仿宋_GB2312"/>
              <w:i w:val="0"/>
              <w:iCs w:val="0"/>
              <w:color w:val="FF0000"/>
              <w:lang w:val="zh-CN"/>
            </w:rPr>
            <w:fldChar w:fldCharType="end"/>
          </w:r>
        </w:p>
        <w:p w14:paraId="42D395FA">
          <w:pPr>
            <w:pStyle w:val="46"/>
            <w:tabs>
              <w:tab w:val="right" w:leader="dot" w:pos="8306"/>
            </w:tabs>
            <w:rPr>
              <w:i w:val="0"/>
              <w:iCs w:val="0"/>
            </w:rPr>
          </w:pPr>
          <w:r>
            <w:rPr>
              <w:rFonts w:eastAsia="仿宋_GB2312"/>
              <w:i w:val="0"/>
              <w:iCs w:val="0"/>
              <w:color w:val="FF0000"/>
              <w:lang w:val="zh-CN"/>
            </w:rPr>
            <w:fldChar w:fldCharType="begin"/>
          </w:r>
          <w:r>
            <w:rPr>
              <w:rFonts w:eastAsia="仿宋_GB2312"/>
              <w:i w:val="0"/>
              <w:iCs w:val="0"/>
              <w:lang w:val="zh-CN"/>
            </w:rPr>
            <w:instrText xml:space="preserve"> HYPERLINK \l _Toc772 </w:instrText>
          </w:r>
          <w:r>
            <w:rPr>
              <w:rFonts w:eastAsia="仿宋_GB2312"/>
              <w:i w:val="0"/>
              <w:iCs w:val="0"/>
              <w:lang w:val="zh-CN"/>
            </w:rPr>
            <w:fldChar w:fldCharType="separate"/>
          </w:r>
          <w:r>
            <w:rPr>
              <w:rFonts w:eastAsia="仿宋_GB2312"/>
              <w:i w:val="0"/>
              <w:iCs w:val="0"/>
              <w:szCs w:val="28"/>
            </w:rPr>
            <w:t>3.4.6污染物产生情况</w:t>
          </w:r>
          <w:r>
            <w:rPr>
              <w:i w:val="0"/>
              <w:iCs w:val="0"/>
            </w:rPr>
            <w:tab/>
          </w:r>
          <w:r>
            <w:rPr>
              <w:i w:val="0"/>
              <w:iCs w:val="0"/>
            </w:rPr>
            <w:fldChar w:fldCharType="begin"/>
          </w:r>
          <w:r>
            <w:rPr>
              <w:i w:val="0"/>
              <w:iCs w:val="0"/>
            </w:rPr>
            <w:instrText xml:space="preserve"> PAGEREF _Toc772 \h </w:instrText>
          </w:r>
          <w:r>
            <w:rPr>
              <w:i w:val="0"/>
              <w:iCs w:val="0"/>
            </w:rPr>
            <w:fldChar w:fldCharType="separate"/>
          </w:r>
          <w:r>
            <w:rPr>
              <w:i w:val="0"/>
              <w:iCs w:val="0"/>
            </w:rPr>
            <w:t>514</w:t>
          </w:r>
          <w:r>
            <w:rPr>
              <w:i w:val="0"/>
              <w:iCs w:val="0"/>
            </w:rPr>
            <w:fldChar w:fldCharType="end"/>
          </w:r>
          <w:r>
            <w:rPr>
              <w:rFonts w:eastAsia="仿宋_GB2312"/>
              <w:i w:val="0"/>
              <w:iCs w:val="0"/>
              <w:color w:val="FF0000"/>
              <w:lang w:val="zh-CN"/>
            </w:rPr>
            <w:fldChar w:fldCharType="end"/>
          </w:r>
        </w:p>
        <w:p w14:paraId="0F04A0AF">
          <w:pPr>
            <w:pStyle w:val="2"/>
            <w:tabs>
              <w:tab w:val="right" w:leader="dot" w:pos="8306"/>
              <w:tab w:val="clear" w:pos="567"/>
              <w:tab w:val="clear" w:pos="630"/>
              <w:tab w:val="clear" w:pos="8302"/>
            </w:tabs>
            <w:rPr>
              <w:i w:val="0"/>
              <w:iCs w:val="0"/>
            </w:rPr>
          </w:pPr>
          <w:r>
            <w:rPr>
              <w:rFonts w:eastAsia="仿宋_GB2312"/>
              <w:i w:val="0"/>
              <w:iCs w:val="0"/>
              <w:color w:val="FF0000"/>
              <w:lang w:val="zh-CN"/>
            </w:rPr>
            <w:fldChar w:fldCharType="begin"/>
          </w:r>
          <w:r>
            <w:rPr>
              <w:rFonts w:eastAsia="仿宋_GB2312"/>
              <w:i w:val="0"/>
              <w:iCs w:val="0"/>
              <w:lang w:val="zh-CN"/>
            </w:rPr>
            <w:instrText xml:space="preserve"> HYPERLINK \l _Toc20032 </w:instrText>
          </w:r>
          <w:r>
            <w:rPr>
              <w:rFonts w:eastAsia="仿宋_GB2312"/>
              <w:i w:val="0"/>
              <w:iCs w:val="0"/>
              <w:lang w:val="zh-CN"/>
            </w:rPr>
            <w:fldChar w:fldCharType="separate"/>
          </w:r>
          <w:r>
            <w:rPr>
              <w:i w:val="0"/>
              <w:iCs w:val="0"/>
              <w:szCs w:val="30"/>
            </w:rPr>
            <w:t>3.</w:t>
          </w:r>
          <w:r>
            <w:rPr>
              <w:rFonts w:hint="eastAsia"/>
              <w:i w:val="0"/>
              <w:iCs w:val="0"/>
              <w:szCs w:val="30"/>
              <w:lang w:val="en-US" w:eastAsia="zh-CN"/>
            </w:rPr>
            <w:t>5</w:t>
          </w:r>
          <w:r>
            <w:rPr>
              <w:i w:val="0"/>
              <w:iCs w:val="0"/>
              <w:szCs w:val="30"/>
            </w:rPr>
            <w:t>年处置</w:t>
          </w:r>
          <w:r>
            <w:rPr>
              <w:rFonts w:hint="eastAsia"/>
              <w:i w:val="0"/>
              <w:iCs w:val="0"/>
              <w:szCs w:val="30"/>
              <w:lang w:val="en-US" w:eastAsia="zh-CN"/>
            </w:rPr>
            <w:t>500</w:t>
          </w:r>
          <w:r>
            <w:rPr>
              <w:i w:val="0"/>
              <w:iCs w:val="0"/>
              <w:szCs w:val="30"/>
            </w:rPr>
            <w:t>吨</w:t>
          </w:r>
          <w:r>
            <w:rPr>
              <w:i w:val="0"/>
              <w:iCs w:val="0"/>
              <w:szCs w:val="21"/>
            </w:rPr>
            <w:t>废</w:t>
          </w:r>
          <w:r>
            <w:rPr>
              <w:rFonts w:hint="eastAsia"/>
              <w:i w:val="0"/>
              <w:iCs w:val="0"/>
              <w:szCs w:val="21"/>
              <w:lang w:val="en-US" w:eastAsia="zh-CN"/>
            </w:rPr>
            <w:t>碱</w:t>
          </w:r>
          <w:r>
            <w:rPr>
              <w:i w:val="0"/>
              <w:iCs w:val="0"/>
              <w:szCs w:val="30"/>
            </w:rPr>
            <w:t>工程分析</w:t>
          </w:r>
          <w:r>
            <w:rPr>
              <w:i w:val="0"/>
              <w:iCs w:val="0"/>
            </w:rPr>
            <w:tab/>
          </w:r>
          <w:r>
            <w:rPr>
              <w:i w:val="0"/>
              <w:iCs w:val="0"/>
            </w:rPr>
            <w:fldChar w:fldCharType="begin"/>
          </w:r>
          <w:r>
            <w:rPr>
              <w:i w:val="0"/>
              <w:iCs w:val="0"/>
            </w:rPr>
            <w:instrText xml:space="preserve"> PAGEREF _Toc20032 \h </w:instrText>
          </w:r>
          <w:r>
            <w:rPr>
              <w:i w:val="0"/>
              <w:iCs w:val="0"/>
            </w:rPr>
            <w:fldChar w:fldCharType="separate"/>
          </w:r>
          <w:r>
            <w:rPr>
              <w:i w:val="0"/>
              <w:iCs w:val="0"/>
            </w:rPr>
            <w:t>515</w:t>
          </w:r>
          <w:r>
            <w:rPr>
              <w:i w:val="0"/>
              <w:iCs w:val="0"/>
            </w:rPr>
            <w:fldChar w:fldCharType="end"/>
          </w:r>
          <w:r>
            <w:rPr>
              <w:rFonts w:eastAsia="仿宋_GB2312"/>
              <w:i w:val="0"/>
              <w:iCs w:val="0"/>
              <w:color w:val="FF0000"/>
              <w:lang w:val="zh-CN"/>
            </w:rPr>
            <w:fldChar w:fldCharType="end"/>
          </w:r>
        </w:p>
        <w:p w14:paraId="08F8E20D">
          <w:pPr>
            <w:pStyle w:val="46"/>
            <w:tabs>
              <w:tab w:val="right" w:leader="dot" w:pos="8306"/>
            </w:tabs>
            <w:rPr>
              <w:i w:val="0"/>
              <w:iCs w:val="0"/>
            </w:rPr>
          </w:pPr>
          <w:r>
            <w:rPr>
              <w:rFonts w:eastAsia="仿宋_GB2312"/>
              <w:i w:val="0"/>
              <w:iCs w:val="0"/>
              <w:color w:val="FF0000"/>
              <w:lang w:val="zh-CN"/>
            </w:rPr>
            <w:fldChar w:fldCharType="begin"/>
          </w:r>
          <w:r>
            <w:rPr>
              <w:rFonts w:eastAsia="仿宋_GB2312"/>
              <w:i w:val="0"/>
              <w:iCs w:val="0"/>
              <w:lang w:val="zh-CN"/>
            </w:rPr>
            <w:instrText xml:space="preserve"> HYPERLINK \l _Toc30097 </w:instrText>
          </w:r>
          <w:r>
            <w:rPr>
              <w:rFonts w:eastAsia="仿宋_GB2312"/>
              <w:i w:val="0"/>
              <w:iCs w:val="0"/>
              <w:lang w:val="zh-CN"/>
            </w:rPr>
            <w:fldChar w:fldCharType="separate"/>
          </w:r>
          <w:r>
            <w:rPr>
              <w:rFonts w:eastAsia="仿宋_GB2312"/>
              <w:i w:val="0"/>
              <w:iCs w:val="0"/>
              <w:szCs w:val="28"/>
            </w:rPr>
            <w:t>3.</w:t>
          </w:r>
          <w:r>
            <w:rPr>
              <w:rFonts w:hint="eastAsia" w:eastAsia="仿宋_GB2312"/>
              <w:i w:val="0"/>
              <w:iCs w:val="0"/>
              <w:szCs w:val="28"/>
              <w:lang w:val="en-US" w:eastAsia="zh-CN"/>
            </w:rPr>
            <w:t>5</w:t>
          </w:r>
          <w:r>
            <w:rPr>
              <w:rFonts w:eastAsia="仿宋_GB2312"/>
              <w:i w:val="0"/>
              <w:iCs w:val="0"/>
              <w:szCs w:val="28"/>
            </w:rPr>
            <w:t>.1废液来源及分类</w:t>
          </w:r>
          <w:r>
            <w:rPr>
              <w:i w:val="0"/>
              <w:iCs w:val="0"/>
            </w:rPr>
            <w:tab/>
          </w:r>
          <w:r>
            <w:rPr>
              <w:i w:val="0"/>
              <w:iCs w:val="0"/>
            </w:rPr>
            <w:fldChar w:fldCharType="begin"/>
          </w:r>
          <w:r>
            <w:rPr>
              <w:i w:val="0"/>
              <w:iCs w:val="0"/>
            </w:rPr>
            <w:instrText xml:space="preserve"> PAGEREF _Toc30097 \h </w:instrText>
          </w:r>
          <w:r>
            <w:rPr>
              <w:i w:val="0"/>
              <w:iCs w:val="0"/>
            </w:rPr>
            <w:fldChar w:fldCharType="separate"/>
          </w:r>
          <w:r>
            <w:rPr>
              <w:i w:val="0"/>
              <w:iCs w:val="0"/>
            </w:rPr>
            <w:t>515</w:t>
          </w:r>
          <w:r>
            <w:rPr>
              <w:i w:val="0"/>
              <w:iCs w:val="0"/>
            </w:rPr>
            <w:fldChar w:fldCharType="end"/>
          </w:r>
          <w:r>
            <w:rPr>
              <w:rFonts w:eastAsia="仿宋_GB2312"/>
              <w:i w:val="0"/>
              <w:iCs w:val="0"/>
              <w:color w:val="FF0000"/>
              <w:lang w:val="zh-CN"/>
            </w:rPr>
            <w:fldChar w:fldCharType="end"/>
          </w:r>
        </w:p>
        <w:p w14:paraId="1C7DCEF4">
          <w:pPr>
            <w:pStyle w:val="46"/>
            <w:tabs>
              <w:tab w:val="right" w:leader="dot" w:pos="8306"/>
            </w:tabs>
            <w:rPr>
              <w:i w:val="0"/>
              <w:iCs w:val="0"/>
            </w:rPr>
          </w:pPr>
          <w:r>
            <w:rPr>
              <w:rFonts w:eastAsia="仿宋_GB2312"/>
              <w:i w:val="0"/>
              <w:iCs w:val="0"/>
              <w:color w:val="FF0000"/>
              <w:lang w:val="zh-CN"/>
            </w:rPr>
            <w:fldChar w:fldCharType="begin"/>
          </w:r>
          <w:r>
            <w:rPr>
              <w:rFonts w:eastAsia="仿宋_GB2312"/>
              <w:i w:val="0"/>
              <w:iCs w:val="0"/>
              <w:lang w:val="zh-CN"/>
            </w:rPr>
            <w:instrText xml:space="preserve"> HYPERLINK \l _Toc29184 </w:instrText>
          </w:r>
          <w:r>
            <w:rPr>
              <w:rFonts w:eastAsia="仿宋_GB2312"/>
              <w:i w:val="0"/>
              <w:iCs w:val="0"/>
              <w:lang w:val="zh-CN"/>
            </w:rPr>
            <w:fldChar w:fldCharType="separate"/>
          </w:r>
          <w:r>
            <w:rPr>
              <w:rFonts w:eastAsia="仿宋_GB2312"/>
              <w:i w:val="0"/>
              <w:iCs w:val="0"/>
              <w:szCs w:val="28"/>
            </w:rPr>
            <w:t>3.</w:t>
          </w:r>
          <w:r>
            <w:rPr>
              <w:rFonts w:hint="eastAsia" w:eastAsia="仿宋_GB2312"/>
              <w:i w:val="0"/>
              <w:iCs w:val="0"/>
              <w:szCs w:val="28"/>
              <w:lang w:val="en-US" w:eastAsia="zh-CN"/>
            </w:rPr>
            <w:t>5</w:t>
          </w:r>
          <w:r>
            <w:rPr>
              <w:rFonts w:eastAsia="仿宋_GB2312"/>
              <w:i w:val="0"/>
              <w:iCs w:val="0"/>
              <w:szCs w:val="28"/>
            </w:rPr>
            <w:t>.2废液成分</w:t>
          </w:r>
          <w:r>
            <w:rPr>
              <w:i w:val="0"/>
              <w:iCs w:val="0"/>
            </w:rPr>
            <w:tab/>
          </w:r>
          <w:r>
            <w:rPr>
              <w:i w:val="0"/>
              <w:iCs w:val="0"/>
            </w:rPr>
            <w:fldChar w:fldCharType="begin"/>
          </w:r>
          <w:r>
            <w:rPr>
              <w:i w:val="0"/>
              <w:iCs w:val="0"/>
            </w:rPr>
            <w:instrText xml:space="preserve"> PAGEREF _Toc29184 \h </w:instrText>
          </w:r>
          <w:r>
            <w:rPr>
              <w:i w:val="0"/>
              <w:iCs w:val="0"/>
            </w:rPr>
            <w:fldChar w:fldCharType="separate"/>
          </w:r>
          <w:r>
            <w:rPr>
              <w:i w:val="0"/>
              <w:iCs w:val="0"/>
            </w:rPr>
            <w:t>516</w:t>
          </w:r>
          <w:r>
            <w:rPr>
              <w:i w:val="0"/>
              <w:iCs w:val="0"/>
            </w:rPr>
            <w:fldChar w:fldCharType="end"/>
          </w:r>
          <w:r>
            <w:rPr>
              <w:rFonts w:eastAsia="仿宋_GB2312"/>
              <w:i w:val="0"/>
              <w:iCs w:val="0"/>
              <w:color w:val="FF0000"/>
              <w:lang w:val="zh-CN"/>
            </w:rPr>
            <w:fldChar w:fldCharType="end"/>
          </w:r>
        </w:p>
        <w:p w14:paraId="59DFE5C4">
          <w:pPr>
            <w:pStyle w:val="46"/>
            <w:tabs>
              <w:tab w:val="right" w:leader="dot" w:pos="8306"/>
            </w:tabs>
            <w:rPr>
              <w:i w:val="0"/>
              <w:iCs w:val="0"/>
            </w:rPr>
          </w:pPr>
          <w:r>
            <w:rPr>
              <w:rFonts w:eastAsia="仿宋_GB2312"/>
              <w:i w:val="0"/>
              <w:iCs w:val="0"/>
              <w:color w:val="FF0000"/>
              <w:lang w:val="zh-CN"/>
            </w:rPr>
            <w:fldChar w:fldCharType="begin"/>
          </w:r>
          <w:r>
            <w:rPr>
              <w:rFonts w:eastAsia="仿宋_GB2312"/>
              <w:i w:val="0"/>
              <w:iCs w:val="0"/>
              <w:lang w:val="zh-CN"/>
            </w:rPr>
            <w:instrText xml:space="preserve"> HYPERLINK \l _Toc15676 </w:instrText>
          </w:r>
          <w:r>
            <w:rPr>
              <w:rFonts w:eastAsia="仿宋_GB2312"/>
              <w:i w:val="0"/>
              <w:iCs w:val="0"/>
              <w:lang w:val="zh-CN"/>
            </w:rPr>
            <w:fldChar w:fldCharType="separate"/>
          </w:r>
          <w:r>
            <w:rPr>
              <w:rFonts w:eastAsia="仿宋_GB2312"/>
              <w:i w:val="0"/>
              <w:iCs w:val="0"/>
              <w:szCs w:val="28"/>
            </w:rPr>
            <w:t>3.</w:t>
          </w:r>
          <w:r>
            <w:rPr>
              <w:rFonts w:hint="eastAsia" w:eastAsia="仿宋_GB2312"/>
              <w:i w:val="0"/>
              <w:iCs w:val="0"/>
              <w:szCs w:val="28"/>
              <w:lang w:val="en-US" w:eastAsia="zh-CN"/>
            </w:rPr>
            <w:t>5</w:t>
          </w:r>
          <w:r>
            <w:rPr>
              <w:rFonts w:eastAsia="仿宋_GB2312"/>
              <w:i w:val="0"/>
              <w:iCs w:val="0"/>
              <w:szCs w:val="28"/>
            </w:rPr>
            <w:t>.3工艺流程</w:t>
          </w:r>
          <w:r>
            <w:rPr>
              <w:i w:val="0"/>
              <w:iCs w:val="0"/>
            </w:rPr>
            <w:tab/>
          </w:r>
          <w:r>
            <w:rPr>
              <w:i w:val="0"/>
              <w:iCs w:val="0"/>
            </w:rPr>
            <w:fldChar w:fldCharType="begin"/>
          </w:r>
          <w:r>
            <w:rPr>
              <w:i w:val="0"/>
              <w:iCs w:val="0"/>
            </w:rPr>
            <w:instrText xml:space="preserve"> PAGEREF _Toc15676 \h </w:instrText>
          </w:r>
          <w:r>
            <w:rPr>
              <w:i w:val="0"/>
              <w:iCs w:val="0"/>
            </w:rPr>
            <w:fldChar w:fldCharType="separate"/>
          </w:r>
          <w:r>
            <w:rPr>
              <w:i w:val="0"/>
              <w:iCs w:val="0"/>
            </w:rPr>
            <w:t>517</w:t>
          </w:r>
          <w:r>
            <w:rPr>
              <w:i w:val="0"/>
              <w:iCs w:val="0"/>
            </w:rPr>
            <w:fldChar w:fldCharType="end"/>
          </w:r>
          <w:r>
            <w:rPr>
              <w:rFonts w:eastAsia="仿宋_GB2312"/>
              <w:i w:val="0"/>
              <w:iCs w:val="0"/>
              <w:color w:val="FF0000"/>
              <w:lang w:val="zh-CN"/>
            </w:rPr>
            <w:fldChar w:fldCharType="end"/>
          </w:r>
        </w:p>
        <w:p w14:paraId="5333AD03">
          <w:pPr>
            <w:pStyle w:val="46"/>
            <w:tabs>
              <w:tab w:val="right" w:leader="dot" w:pos="8306"/>
            </w:tabs>
            <w:rPr>
              <w:i w:val="0"/>
              <w:iCs w:val="0"/>
            </w:rPr>
          </w:pPr>
          <w:r>
            <w:rPr>
              <w:rFonts w:eastAsia="仿宋_GB2312"/>
              <w:i w:val="0"/>
              <w:iCs w:val="0"/>
              <w:color w:val="FF0000"/>
              <w:lang w:val="zh-CN"/>
            </w:rPr>
            <w:fldChar w:fldCharType="begin"/>
          </w:r>
          <w:r>
            <w:rPr>
              <w:rFonts w:eastAsia="仿宋_GB2312"/>
              <w:i w:val="0"/>
              <w:iCs w:val="0"/>
              <w:lang w:val="zh-CN"/>
            </w:rPr>
            <w:instrText xml:space="preserve"> HYPERLINK \l _Toc4828 </w:instrText>
          </w:r>
          <w:r>
            <w:rPr>
              <w:rFonts w:eastAsia="仿宋_GB2312"/>
              <w:i w:val="0"/>
              <w:iCs w:val="0"/>
              <w:lang w:val="zh-CN"/>
            </w:rPr>
            <w:fldChar w:fldCharType="separate"/>
          </w:r>
          <w:r>
            <w:rPr>
              <w:rFonts w:eastAsia="仿宋_GB2312"/>
              <w:i w:val="0"/>
              <w:iCs w:val="0"/>
              <w:szCs w:val="28"/>
            </w:rPr>
            <w:t>3.</w:t>
          </w:r>
          <w:r>
            <w:rPr>
              <w:rFonts w:hint="eastAsia" w:eastAsia="仿宋_GB2312"/>
              <w:i w:val="0"/>
              <w:iCs w:val="0"/>
              <w:szCs w:val="28"/>
              <w:lang w:val="en-US" w:eastAsia="zh-CN"/>
            </w:rPr>
            <w:t>5</w:t>
          </w:r>
          <w:r>
            <w:rPr>
              <w:rFonts w:eastAsia="仿宋_GB2312"/>
              <w:i w:val="0"/>
              <w:iCs w:val="0"/>
              <w:szCs w:val="28"/>
            </w:rPr>
            <w:t>.4物料平衡</w:t>
          </w:r>
          <w:r>
            <w:rPr>
              <w:i w:val="0"/>
              <w:iCs w:val="0"/>
            </w:rPr>
            <w:tab/>
          </w:r>
          <w:r>
            <w:rPr>
              <w:i w:val="0"/>
              <w:iCs w:val="0"/>
            </w:rPr>
            <w:fldChar w:fldCharType="begin"/>
          </w:r>
          <w:r>
            <w:rPr>
              <w:i w:val="0"/>
              <w:iCs w:val="0"/>
            </w:rPr>
            <w:instrText xml:space="preserve"> PAGEREF _Toc4828 \h </w:instrText>
          </w:r>
          <w:r>
            <w:rPr>
              <w:i w:val="0"/>
              <w:iCs w:val="0"/>
            </w:rPr>
            <w:fldChar w:fldCharType="separate"/>
          </w:r>
          <w:r>
            <w:rPr>
              <w:i w:val="0"/>
              <w:iCs w:val="0"/>
            </w:rPr>
            <w:t>518</w:t>
          </w:r>
          <w:r>
            <w:rPr>
              <w:i w:val="0"/>
              <w:iCs w:val="0"/>
            </w:rPr>
            <w:fldChar w:fldCharType="end"/>
          </w:r>
          <w:r>
            <w:rPr>
              <w:rFonts w:eastAsia="仿宋_GB2312"/>
              <w:i w:val="0"/>
              <w:iCs w:val="0"/>
              <w:color w:val="FF0000"/>
              <w:lang w:val="zh-CN"/>
            </w:rPr>
            <w:fldChar w:fldCharType="end"/>
          </w:r>
        </w:p>
        <w:p w14:paraId="30C908D4">
          <w:pPr>
            <w:pStyle w:val="46"/>
            <w:tabs>
              <w:tab w:val="right" w:leader="dot" w:pos="8306"/>
            </w:tabs>
            <w:rPr>
              <w:i w:val="0"/>
              <w:iCs w:val="0"/>
            </w:rPr>
          </w:pPr>
          <w:r>
            <w:rPr>
              <w:rFonts w:eastAsia="仿宋_GB2312"/>
              <w:i w:val="0"/>
              <w:iCs w:val="0"/>
              <w:color w:val="FF0000"/>
              <w:lang w:val="zh-CN"/>
            </w:rPr>
            <w:fldChar w:fldCharType="begin"/>
          </w:r>
          <w:r>
            <w:rPr>
              <w:rFonts w:eastAsia="仿宋_GB2312"/>
              <w:i w:val="0"/>
              <w:iCs w:val="0"/>
              <w:lang w:val="zh-CN"/>
            </w:rPr>
            <w:instrText xml:space="preserve"> HYPERLINK \l _Toc16689 </w:instrText>
          </w:r>
          <w:r>
            <w:rPr>
              <w:rFonts w:eastAsia="仿宋_GB2312"/>
              <w:i w:val="0"/>
              <w:iCs w:val="0"/>
              <w:lang w:val="zh-CN"/>
            </w:rPr>
            <w:fldChar w:fldCharType="separate"/>
          </w:r>
          <w:r>
            <w:rPr>
              <w:rFonts w:eastAsia="仿宋_GB2312"/>
              <w:i w:val="0"/>
              <w:iCs w:val="0"/>
              <w:szCs w:val="28"/>
            </w:rPr>
            <w:t>3.</w:t>
          </w:r>
          <w:r>
            <w:rPr>
              <w:rFonts w:hint="eastAsia" w:eastAsia="仿宋_GB2312"/>
              <w:i w:val="0"/>
              <w:iCs w:val="0"/>
              <w:szCs w:val="28"/>
              <w:lang w:val="en-US" w:eastAsia="zh-CN"/>
            </w:rPr>
            <w:t>5</w:t>
          </w:r>
          <w:r>
            <w:rPr>
              <w:rFonts w:eastAsia="仿宋_GB2312"/>
              <w:i w:val="0"/>
              <w:iCs w:val="0"/>
              <w:szCs w:val="28"/>
            </w:rPr>
            <w:t>.5特征因子平衡</w:t>
          </w:r>
          <w:r>
            <w:rPr>
              <w:i w:val="0"/>
              <w:iCs w:val="0"/>
            </w:rPr>
            <w:tab/>
          </w:r>
          <w:r>
            <w:rPr>
              <w:i w:val="0"/>
              <w:iCs w:val="0"/>
            </w:rPr>
            <w:fldChar w:fldCharType="begin"/>
          </w:r>
          <w:r>
            <w:rPr>
              <w:i w:val="0"/>
              <w:iCs w:val="0"/>
            </w:rPr>
            <w:instrText xml:space="preserve"> PAGEREF _Toc16689 \h </w:instrText>
          </w:r>
          <w:r>
            <w:rPr>
              <w:i w:val="0"/>
              <w:iCs w:val="0"/>
            </w:rPr>
            <w:fldChar w:fldCharType="separate"/>
          </w:r>
          <w:r>
            <w:rPr>
              <w:i w:val="0"/>
              <w:iCs w:val="0"/>
            </w:rPr>
            <w:t>521</w:t>
          </w:r>
          <w:r>
            <w:rPr>
              <w:i w:val="0"/>
              <w:iCs w:val="0"/>
            </w:rPr>
            <w:fldChar w:fldCharType="end"/>
          </w:r>
          <w:r>
            <w:rPr>
              <w:rFonts w:eastAsia="仿宋_GB2312"/>
              <w:i w:val="0"/>
              <w:iCs w:val="0"/>
              <w:color w:val="FF0000"/>
              <w:lang w:val="zh-CN"/>
            </w:rPr>
            <w:fldChar w:fldCharType="end"/>
          </w:r>
        </w:p>
        <w:p w14:paraId="3D02A5C5">
          <w:pPr>
            <w:pStyle w:val="46"/>
            <w:tabs>
              <w:tab w:val="right" w:leader="dot" w:pos="8306"/>
            </w:tabs>
            <w:rPr>
              <w:i w:val="0"/>
              <w:iCs w:val="0"/>
            </w:rPr>
          </w:pPr>
          <w:r>
            <w:rPr>
              <w:rFonts w:eastAsia="仿宋_GB2312"/>
              <w:i w:val="0"/>
              <w:iCs w:val="0"/>
              <w:color w:val="FF0000"/>
              <w:lang w:val="zh-CN"/>
            </w:rPr>
            <w:fldChar w:fldCharType="begin"/>
          </w:r>
          <w:r>
            <w:rPr>
              <w:rFonts w:eastAsia="仿宋_GB2312"/>
              <w:i w:val="0"/>
              <w:iCs w:val="0"/>
              <w:lang w:val="zh-CN"/>
            </w:rPr>
            <w:instrText xml:space="preserve"> HYPERLINK \l _Toc26883 </w:instrText>
          </w:r>
          <w:r>
            <w:rPr>
              <w:rFonts w:eastAsia="仿宋_GB2312"/>
              <w:i w:val="0"/>
              <w:iCs w:val="0"/>
              <w:lang w:val="zh-CN"/>
            </w:rPr>
            <w:fldChar w:fldCharType="separate"/>
          </w:r>
          <w:r>
            <w:rPr>
              <w:rFonts w:eastAsia="仿宋_GB2312"/>
              <w:i w:val="0"/>
              <w:iCs w:val="0"/>
              <w:szCs w:val="28"/>
            </w:rPr>
            <w:t>3.</w:t>
          </w:r>
          <w:r>
            <w:rPr>
              <w:rFonts w:hint="eastAsia" w:eastAsia="仿宋_GB2312"/>
              <w:i w:val="0"/>
              <w:iCs w:val="0"/>
              <w:szCs w:val="28"/>
              <w:lang w:val="en-US" w:eastAsia="zh-CN"/>
            </w:rPr>
            <w:t>5</w:t>
          </w:r>
          <w:r>
            <w:rPr>
              <w:rFonts w:eastAsia="仿宋_GB2312"/>
              <w:i w:val="0"/>
              <w:iCs w:val="0"/>
              <w:szCs w:val="28"/>
            </w:rPr>
            <w:t>.6污染物产生情况</w:t>
          </w:r>
          <w:r>
            <w:rPr>
              <w:i w:val="0"/>
              <w:iCs w:val="0"/>
            </w:rPr>
            <w:tab/>
          </w:r>
          <w:r>
            <w:rPr>
              <w:i w:val="0"/>
              <w:iCs w:val="0"/>
            </w:rPr>
            <w:fldChar w:fldCharType="begin"/>
          </w:r>
          <w:r>
            <w:rPr>
              <w:i w:val="0"/>
              <w:iCs w:val="0"/>
            </w:rPr>
            <w:instrText xml:space="preserve"> PAGEREF _Toc26883 \h </w:instrText>
          </w:r>
          <w:r>
            <w:rPr>
              <w:i w:val="0"/>
              <w:iCs w:val="0"/>
            </w:rPr>
            <w:fldChar w:fldCharType="separate"/>
          </w:r>
          <w:r>
            <w:rPr>
              <w:i w:val="0"/>
              <w:iCs w:val="0"/>
            </w:rPr>
            <w:t>523</w:t>
          </w:r>
          <w:r>
            <w:rPr>
              <w:i w:val="0"/>
              <w:iCs w:val="0"/>
            </w:rPr>
            <w:fldChar w:fldCharType="end"/>
          </w:r>
          <w:r>
            <w:rPr>
              <w:rFonts w:eastAsia="仿宋_GB2312"/>
              <w:i w:val="0"/>
              <w:iCs w:val="0"/>
              <w:color w:val="FF0000"/>
              <w:lang w:val="zh-CN"/>
            </w:rPr>
            <w:fldChar w:fldCharType="end"/>
          </w:r>
        </w:p>
        <w:p w14:paraId="173D5754">
          <w:pPr>
            <w:pStyle w:val="2"/>
            <w:tabs>
              <w:tab w:val="right" w:leader="dot" w:pos="8306"/>
              <w:tab w:val="clear" w:pos="567"/>
              <w:tab w:val="clear" w:pos="630"/>
              <w:tab w:val="clear" w:pos="8302"/>
            </w:tabs>
            <w:rPr>
              <w:i w:val="0"/>
              <w:iCs w:val="0"/>
            </w:rPr>
          </w:pPr>
          <w:r>
            <w:rPr>
              <w:rFonts w:eastAsia="仿宋_GB2312"/>
              <w:i w:val="0"/>
              <w:iCs w:val="0"/>
              <w:color w:val="FF0000"/>
              <w:lang w:val="zh-CN"/>
            </w:rPr>
            <w:fldChar w:fldCharType="begin"/>
          </w:r>
          <w:r>
            <w:rPr>
              <w:rFonts w:eastAsia="仿宋_GB2312"/>
              <w:i w:val="0"/>
              <w:iCs w:val="0"/>
              <w:lang w:val="zh-CN"/>
            </w:rPr>
            <w:instrText xml:space="preserve"> HYPERLINK \l _Toc22478 </w:instrText>
          </w:r>
          <w:r>
            <w:rPr>
              <w:rFonts w:eastAsia="仿宋_GB2312"/>
              <w:i w:val="0"/>
              <w:iCs w:val="0"/>
              <w:lang w:val="zh-CN"/>
            </w:rPr>
            <w:fldChar w:fldCharType="separate"/>
          </w:r>
          <w:r>
            <w:rPr>
              <w:i w:val="0"/>
              <w:iCs w:val="0"/>
              <w:szCs w:val="30"/>
            </w:rPr>
            <w:t>3.6公用工程污染物产生情况</w:t>
          </w:r>
          <w:r>
            <w:rPr>
              <w:i w:val="0"/>
              <w:iCs w:val="0"/>
            </w:rPr>
            <w:tab/>
          </w:r>
          <w:r>
            <w:rPr>
              <w:i w:val="0"/>
              <w:iCs w:val="0"/>
            </w:rPr>
            <w:fldChar w:fldCharType="begin"/>
          </w:r>
          <w:r>
            <w:rPr>
              <w:i w:val="0"/>
              <w:iCs w:val="0"/>
            </w:rPr>
            <w:instrText xml:space="preserve"> PAGEREF _Toc22478 \h </w:instrText>
          </w:r>
          <w:r>
            <w:rPr>
              <w:i w:val="0"/>
              <w:iCs w:val="0"/>
            </w:rPr>
            <w:fldChar w:fldCharType="separate"/>
          </w:r>
          <w:r>
            <w:rPr>
              <w:i w:val="0"/>
              <w:iCs w:val="0"/>
            </w:rPr>
            <w:t>524</w:t>
          </w:r>
          <w:r>
            <w:rPr>
              <w:i w:val="0"/>
              <w:iCs w:val="0"/>
            </w:rPr>
            <w:fldChar w:fldCharType="end"/>
          </w:r>
          <w:r>
            <w:rPr>
              <w:rFonts w:eastAsia="仿宋_GB2312"/>
              <w:i w:val="0"/>
              <w:iCs w:val="0"/>
              <w:color w:val="FF0000"/>
              <w:lang w:val="zh-CN"/>
            </w:rPr>
            <w:fldChar w:fldCharType="end"/>
          </w:r>
        </w:p>
        <w:p w14:paraId="4A940F19">
          <w:pPr>
            <w:pStyle w:val="2"/>
            <w:tabs>
              <w:tab w:val="right" w:leader="dot" w:pos="8306"/>
              <w:tab w:val="clear" w:pos="567"/>
              <w:tab w:val="clear" w:pos="630"/>
              <w:tab w:val="clear" w:pos="8302"/>
            </w:tabs>
            <w:rPr>
              <w:i w:val="0"/>
              <w:iCs w:val="0"/>
            </w:rPr>
          </w:pPr>
          <w:r>
            <w:rPr>
              <w:rFonts w:eastAsia="仿宋_GB2312"/>
              <w:i w:val="0"/>
              <w:iCs w:val="0"/>
              <w:color w:val="FF0000"/>
              <w:lang w:val="zh-CN"/>
            </w:rPr>
            <w:fldChar w:fldCharType="begin"/>
          </w:r>
          <w:r>
            <w:rPr>
              <w:rFonts w:eastAsia="仿宋_GB2312"/>
              <w:i w:val="0"/>
              <w:iCs w:val="0"/>
              <w:lang w:val="zh-CN"/>
            </w:rPr>
            <w:instrText xml:space="preserve"> HYPERLINK \l _Toc7324 </w:instrText>
          </w:r>
          <w:r>
            <w:rPr>
              <w:rFonts w:eastAsia="仿宋_GB2312"/>
              <w:i w:val="0"/>
              <w:iCs w:val="0"/>
              <w:lang w:val="zh-CN"/>
            </w:rPr>
            <w:fldChar w:fldCharType="separate"/>
          </w:r>
          <w:r>
            <w:rPr>
              <w:i w:val="0"/>
              <w:iCs w:val="0"/>
              <w:szCs w:val="30"/>
            </w:rPr>
            <w:t>3.7蒸汽平衡、水平衡</w:t>
          </w:r>
          <w:r>
            <w:rPr>
              <w:i w:val="0"/>
              <w:iCs w:val="0"/>
            </w:rPr>
            <w:tab/>
          </w:r>
          <w:r>
            <w:rPr>
              <w:i w:val="0"/>
              <w:iCs w:val="0"/>
            </w:rPr>
            <w:fldChar w:fldCharType="begin"/>
          </w:r>
          <w:r>
            <w:rPr>
              <w:i w:val="0"/>
              <w:iCs w:val="0"/>
            </w:rPr>
            <w:instrText xml:space="preserve"> PAGEREF _Toc7324 \h </w:instrText>
          </w:r>
          <w:r>
            <w:rPr>
              <w:i w:val="0"/>
              <w:iCs w:val="0"/>
            </w:rPr>
            <w:fldChar w:fldCharType="separate"/>
          </w:r>
          <w:r>
            <w:rPr>
              <w:i w:val="0"/>
              <w:iCs w:val="0"/>
            </w:rPr>
            <w:t>530</w:t>
          </w:r>
          <w:r>
            <w:rPr>
              <w:i w:val="0"/>
              <w:iCs w:val="0"/>
            </w:rPr>
            <w:fldChar w:fldCharType="end"/>
          </w:r>
          <w:r>
            <w:rPr>
              <w:rFonts w:eastAsia="仿宋_GB2312"/>
              <w:i w:val="0"/>
              <w:iCs w:val="0"/>
              <w:color w:val="FF0000"/>
              <w:lang w:val="zh-CN"/>
            </w:rPr>
            <w:fldChar w:fldCharType="end"/>
          </w:r>
        </w:p>
        <w:p w14:paraId="571D86A5">
          <w:pPr>
            <w:pStyle w:val="2"/>
            <w:tabs>
              <w:tab w:val="right" w:leader="dot" w:pos="8306"/>
              <w:tab w:val="clear" w:pos="567"/>
              <w:tab w:val="clear" w:pos="630"/>
              <w:tab w:val="clear" w:pos="8302"/>
            </w:tabs>
            <w:rPr>
              <w:i w:val="0"/>
              <w:iCs w:val="0"/>
            </w:rPr>
          </w:pPr>
          <w:r>
            <w:rPr>
              <w:rFonts w:eastAsia="仿宋_GB2312"/>
              <w:i w:val="0"/>
              <w:iCs w:val="0"/>
              <w:color w:val="FF0000"/>
              <w:lang w:val="zh-CN"/>
            </w:rPr>
            <w:fldChar w:fldCharType="begin"/>
          </w:r>
          <w:r>
            <w:rPr>
              <w:rFonts w:eastAsia="仿宋_GB2312"/>
              <w:i w:val="0"/>
              <w:iCs w:val="0"/>
              <w:lang w:val="zh-CN"/>
            </w:rPr>
            <w:instrText xml:space="preserve"> HYPERLINK \l _Toc3796 </w:instrText>
          </w:r>
          <w:r>
            <w:rPr>
              <w:rFonts w:eastAsia="仿宋_GB2312"/>
              <w:i w:val="0"/>
              <w:iCs w:val="0"/>
              <w:lang w:val="zh-CN"/>
            </w:rPr>
            <w:fldChar w:fldCharType="separate"/>
          </w:r>
          <w:r>
            <w:rPr>
              <w:i w:val="0"/>
              <w:iCs w:val="0"/>
              <w:szCs w:val="30"/>
            </w:rPr>
            <w:t>3.8风险因素识别</w:t>
          </w:r>
          <w:r>
            <w:rPr>
              <w:i w:val="0"/>
              <w:iCs w:val="0"/>
            </w:rPr>
            <w:tab/>
          </w:r>
          <w:r>
            <w:rPr>
              <w:i w:val="0"/>
              <w:iCs w:val="0"/>
            </w:rPr>
            <w:fldChar w:fldCharType="begin"/>
          </w:r>
          <w:r>
            <w:rPr>
              <w:i w:val="0"/>
              <w:iCs w:val="0"/>
            </w:rPr>
            <w:instrText xml:space="preserve"> PAGEREF _Toc3796 \h </w:instrText>
          </w:r>
          <w:r>
            <w:rPr>
              <w:i w:val="0"/>
              <w:iCs w:val="0"/>
            </w:rPr>
            <w:fldChar w:fldCharType="separate"/>
          </w:r>
          <w:r>
            <w:rPr>
              <w:i w:val="0"/>
              <w:iCs w:val="0"/>
            </w:rPr>
            <w:t>532</w:t>
          </w:r>
          <w:r>
            <w:rPr>
              <w:i w:val="0"/>
              <w:iCs w:val="0"/>
            </w:rPr>
            <w:fldChar w:fldCharType="end"/>
          </w:r>
          <w:r>
            <w:rPr>
              <w:rFonts w:eastAsia="仿宋_GB2312"/>
              <w:i w:val="0"/>
              <w:iCs w:val="0"/>
              <w:color w:val="FF0000"/>
              <w:lang w:val="zh-CN"/>
            </w:rPr>
            <w:fldChar w:fldCharType="end"/>
          </w:r>
        </w:p>
        <w:p w14:paraId="3FB14C10">
          <w:pPr>
            <w:pStyle w:val="46"/>
            <w:tabs>
              <w:tab w:val="right" w:leader="dot" w:pos="8306"/>
            </w:tabs>
            <w:rPr>
              <w:i w:val="0"/>
              <w:iCs w:val="0"/>
            </w:rPr>
          </w:pPr>
          <w:r>
            <w:rPr>
              <w:rFonts w:eastAsia="仿宋_GB2312"/>
              <w:i w:val="0"/>
              <w:iCs w:val="0"/>
              <w:color w:val="FF0000"/>
              <w:lang w:val="zh-CN"/>
            </w:rPr>
            <w:fldChar w:fldCharType="begin"/>
          </w:r>
          <w:r>
            <w:rPr>
              <w:rFonts w:eastAsia="仿宋_GB2312"/>
              <w:i w:val="0"/>
              <w:iCs w:val="0"/>
              <w:lang w:val="zh-CN"/>
            </w:rPr>
            <w:instrText xml:space="preserve"> HYPERLINK \l _Toc22966 </w:instrText>
          </w:r>
          <w:r>
            <w:rPr>
              <w:rFonts w:eastAsia="仿宋_GB2312"/>
              <w:i w:val="0"/>
              <w:iCs w:val="0"/>
              <w:lang w:val="zh-CN"/>
            </w:rPr>
            <w:fldChar w:fldCharType="separate"/>
          </w:r>
          <w:r>
            <w:rPr>
              <w:rFonts w:eastAsia="仿宋_GB2312"/>
              <w:i w:val="0"/>
              <w:iCs w:val="0"/>
              <w:szCs w:val="28"/>
            </w:rPr>
            <w:t>3.8.1原有项目环境风险识别</w:t>
          </w:r>
          <w:r>
            <w:rPr>
              <w:i w:val="0"/>
              <w:iCs w:val="0"/>
            </w:rPr>
            <w:tab/>
          </w:r>
          <w:r>
            <w:rPr>
              <w:i w:val="0"/>
              <w:iCs w:val="0"/>
            </w:rPr>
            <w:fldChar w:fldCharType="begin"/>
          </w:r>
          <w:r>
            <w:rPr>
              <w:i w:val="0"/>
              <w:iCs w:val="0"/>
            </w:rPr>
            <w:instrText xml:space="preserve"> PAGEREF _Toc22966 \h </w:instrText>
          </w:r>
          <w:r>
            <w:rPr>
              <w:i w:val="0"/>
              <w:iCs w:val="0"/>
            </w:rPr>
            <w:fldChar w:fldCharType="separate"/>
          </w:r>
          <w:r>
            <w:rPr>
              <w:i w:val="0"/>
              <w:iCs w:val="0"/>
            </w:rPr>
            <w:t>532</w:t>
          </w:r>
          <w:r>
            <w:rPr>
              <w:i w:val="0"/>
              <w:iCs w:val="0"/>
            </w:rPr>
            <w:fldChar w:fldCharType="end"/>
          </w:r>
          <w:r>
            <w:rPr>
              <w:rFonts w:eastAsia="仿宋_GB2312"/>
              <w:i w:val="0"/>
              <w:iCs w:val="0"/>
              <w:color w:val="FF0000"/>
              <w:lang w:val="zh-CN"/>
            </w:rPr>
            <w:fldChar w:fldCharType="end"/>
          </w:r>
        </w:p>
        <w:p w14:paraId="02734ACB">
          <w:pPr>
            <w:pStyle w:val="46"/>
            <w:tabs>
              <w:tab w:val="right" w:leader="dot" w:pos="8306"/>
            </w:tabs>
            <w:rPr>
              <w:i w:val="0"/>
              <w:iCs w:val="0"/>
            </w:rPr>
          </w:pPr>
          <w:r>
            <w:rPr>
              <w:rFonts w:eastAsia="仿宋_GB2312"/>
              <w:i w:val="0"/>
              <w:iCs w:val="0"/>
              <w:color w:val="FF0000"/>
              <w:lang w:val="zh-CN"/>
            </w:rPr>
            <w:fldChar w:fldCharType="begin"/>
          </w:r>
          <w:r>
            <w:rPr>
              <w:rFonts w:eastAsia="仿宋_GB2312"/>
              <w:i w:val="0"/>
              <w:iCs w:val="0"/>
              <w:lang w:val="zh-CN"/>
            </w:rPr>
            <w:instrText xml:space="preserve"> HYPERLINK \l _Toc10785 </w:instrText>
          </w:r>
          <w:r>
            <w:rPr>
              <w:rFonts w:eastAsia="仿宋_GB2312"/>
              <w:i w:val="0"/>
              <w:iCs w:val="0"/>
              <w:lang w:val="zh-CN"/>
            </w:rPr>
            <w:fldChar w:fldCharType="separate"/>
          </w:r>
          <w:r>
            <w:rPr>
              <w:rFonts w:eastAsia="仿宋_GB2312"/>
              <w:i w:val="0"/>
              <w:iCs w:val="0"/>
              <w:szCs w:val="28"/>
            </w:rPr>
            <w:t>3.8.2本项目环境风险识别</w:t>
          </w:r>
          <w:r>
            <w:rPr>
              <w:i w:val="0"/>
              <w:iCs w:val="0"/>
            </w:rPr>
            <w:tab/>
          </w:r>
          <w:r>
            <w:rPr>
              <w:i w:val="0"/>
              <w:iCs w:val="0"/>
            </w:rPr>
            <w:fldChar w:fldCharType="begin"/>
          </w:r>
          <w:r>
            <w:rPr>
              <w:i w:val="0"/>
              <w:iCs w:val="0"/>
            </w:rPr>
            <w:instrText xml:space="preserve"> PAGEREF _Toc10785 \h </w:instrText>
          </w:r>
          <w:r>
            <w:rPr>
              <w:i w:val="0"/>
              <w:iCs w:val="0"/>
            </w:rPr>
            <w:fldChar w:fldCharType="separate"/>
          </w:r>
          <w:r>
            <w:rPr>
              <w:i w:val="0"/>
              <w:iCs w:val="0"/>
            </w:rPr>
            <w:t>542</w:t>
          </w:r>
          <w:r>
            <w:rPr>
              <w:i w:val="0"/>
              <w:iCs w:val="0"/>
            </w:rPr>
            <w:fldChar w:fldCharType="end"/>
          </w:r>
          <w:r>
            <w:rPr>
              <w:rFonts w:eastAsia="仿宋_GB2312"/>
              <w:i w:val="0"/>
              <w:iCs w:val="0"/>
              <w:color w:val="FF0000"/>
              <w:lang w:val="zh-CN"/>
            </w:rPr>
            <w:fldChar w:fldCharType="end"/>
          </w:r>
        </w:p>
        <w:p w14:paraId="4F1BC2CE">
          <w:pPr>
            <w:pStyle w:val="2"/>
            <w:tabs>
              <w:tab w:val="right" w:leader="dot" w:pos="8306"/>
              <w:tab w:val="clear" w:pos="567"/>
              <w:tab w:val="clear" w:pos="630"/>
              <w:tab w:val="clear" w:pos="8302"/>
            </w:tabs>
            <w:rPr>
              <w:i w:val="0"/>
              <w:iCs w:val="0"/>
            </w:rPr>
          </w:pPr>
          <w:r>
            <w:rPr>
              <w:rFonts w:eastAsia="仿宋_GB2312"/>
              <w:i w:val="0"/>
              <w:iCs w:val="0"/>
              <w:color w:val="FF0000"/>
              <w:lang w:val="zh-CN"/>
            </w:rPr>
            <w:fldChar w:fldCharType="begin"/>
          </w:r>
          <w:r>
            <w:rPr>
              <w:rFonts w:eastAsia="仿宋_GB2312"/>
              <w:i w:val="0"/>
              <w:iCs w:val="0"/>
              <w:lang w:val="zh-CN"/>
            </w:rPr>
            <w:instrText xml:space="preserve"> HYPERLINK \l _Toc9368 </w:instrText>
          </w:r>
          <w:r>
            <w:rPr>
              <w:rFonts w:eastAsia="仿宋_GB2312"/>
              <w:i w:val="0"/>
              <w:iCs w:val="0"/>
              <w:lang w:val="zh-CN"/>
            </w:rPr>
            <w:fldChar w:fldCharType="separate"/>
          </w:r>
          <w:r>
            <w:rPr>
              <w:i w:val="0"/>
              <w:iCs w:val="0"/>
              <w:szCs w:val="30"/>
            </w:rPr>
            <w:t>3.9建设项目污染源强及排放情况</w:t>
          </w:r>
          <w:r>
            <w:rPr>
              <w:i w:val="0"/>
              <w:iCs w:val="0"/>
            </w:rPr>
            <w:tab/>
          </w:r>
          <w:r>
            <w:rPr>
              <w:i w:val="0"/>
              <w:iCs w:val="0"/>
            </w:rPr>
            <w:fldChar w:fldCharType="begin"/>
          </w:r>
          <w:r>
            <w:rPr>
              <w:i w:val="0"/>
              <w:iCs w:val="0"/>
            </w:rPr>
            <w:instrText xml:space="preserve"> PAGEREF _Toc9368 \h </w:instrText>
          </w:r>
          <w:r>
            <w:rPr>
              <w:i w:val="0"/>
              <w:iCs w:val="0"/>
            </w:rPr>
            <w:fldChar w:fldCharType="separate"/>
          </w:r>
          <w:r>
            <w:rPr>
              <w:i w:val="0"/>
              <w:iCs w:val="0"/>
            </w:rPr>
            <w:t>558</w:t>
          </w:r>
          <w:r>
            <w:rPr>
              <w:i w:val="0"/>
              <w:iCs w:val="0"/>
            </w:rPr>
            <w:fldChar w:fldCharType="end"/>
          </w:r>
          <w:r>
            <w:rPr>
              <w:rFonts w:eastAsia="仿宋_GB2312"/>
              <w:i w:val="0"/>
              <w:iCs w:val="0"/>
              <w:color w:val="FF0000"/>
              <w:lang w:val="zh-CN"/>
            </w:rPr>
            <w:fldChar w:fldCharType="end"/>
          </w:r>
        </w:p>
        <w:p w14:paraId="50B1F19B">
          <w:pPr>
            <w:pStyle w:val="46"/>
            <w:tabs>
              <w:tab w:val="right" w:leader="dot" w:pos="8306"/>
            </w:tabs>
            <w:rPr>
              <w:i w:val="0"/>
              <w:iCs w:val="0"/>
            </w:rPr>
          </w:pPr>
          <w:r>
            <w:rPr>
              <w:rFonts w:eastAsia="仿宋_GB2312"/>
              <w:i w:val="0"/>
              <w:iCs w:val="0"/>
              <w:color w:val="FF0000"/>
              <w:lang w:val="zh-CN"/>
            </w:rPr>
            <w:fldChar w:fldCharType="begin"/>
          </w:r>
          <w:r>
            <w:rPr>
              <w:rFonts w:eastAsia="仿宋_GB2312"/>
              <w:i w:val="0"/>
              <w:iCs w:val="0"/>
              <w:lang w:val="zh-CN"/>
            </w:rPr>
            <w:instrText xml:space="preserve"> HYPERLINK \l _Toc13629 </w:instrText>
          </w:r>
          <w:r>
            <w:rPr>
              <w:rFonts w:eastAsia="仿宋_GB2312"/>
              <w:i w:val="0"/>
              <w:iCs w:val="0"/>
              <w:lang w:val="zh-CN"/>
            </w:rPr>
            <w:fldChar w:fldCharType="separate"/>
          </w:r>
          <w:r>
            <w:rPr>
              <w:rFonts w:eastAsia="仿宋_GB2312"/>
              <w:i w:val="0"/>
              <w:iCs w:val="0"/>
              <w:szCs w:val="30"/>
            </w:rPr>
            <w:t>3.9.1废气污染物源强及排放情况</w:t>
          </w:r>
          <w:r>
            <w:rPr>
              <w:i w:val="0"/>
              <w:iCs w:val="0"/>
            </w:rPr>
            <w:tab/>
          </w:r>
          <w:r>
            <w:rPr>
              <w:i w:val="0"/>
              <w:iCs w:val="0"/>
            </w:rPr>
            <w:fldChar w:fldCharType="begin"/>
          </w:r>
          <w:r>
            <w:rPr>
              <w:i w:val="0"/>
              <w:iCs w:val="0"/>
            </w:rPr>
            <w:instrText xml:space="preserve"> PAGEREF _Toc13629 \h </w:instrText>
          </w:r>
          <w:r>
            <w:rPr>
              <w:i w:val="0"/>
              <w:iCs w:val="0"/>
            </w:rPr>
            <w:fldChar w:fldCharType="separate"/>
          </w:r>
          <w:r>
            <w:rPr>
              <w:i w:val="0"/>
              <w:iCs w:val="0"/>
            </w:rPr>
            <w:t>558</w:t>
          </w:r>
          <w:r>
            <w:rPr>
              <w:i w:val="0"/>
              <w:iCs w:val="0"/>
            </w:rPr>
            <w:fldChar w:fldCharType="end"/>
          </w:r>
          <w:r>
            <w:rPr>
              <w:rFonts w:eastAsia="仿宋_GB2312"/>
              <w:i w:val="0"/>
              <w:iCs w:val="0"/>
              <w:color w:val="FF0000"/>
              <w:lang w:val="zh-CN"/>
            </w:rPr>
            <w:fldChar w:fldCharType="end"/>
          </w:r>
        </w:p>
        <w:p w14:paraId="2CFC6F4C">
          <w:pPr>
            <w:pStyle w:val="46"/>
            <w:tabs>
              <w:tab w:val="right" w:leader="dot" w:pos="8306"/>
            </w:tabs>
            <w:rPr>
              <w:i w:val="0"/>
              <w:iCs w:val="0"/>
            </w:rPr>
          </w:pPr>
          <w:r>
            <w:rPr>
              <w:rFonts w:eastAsia="仿宋_GB2312"/>
              <w:i w:val="0"/>
              <w:iCs w:val="0"/>
              <w:color w:val="FF0000"/>
              <w:lang w:val="zh-CN"/>
            </w:rPr>
            <w:fldChar w:fldCharType="begin"/>
          </w:r>
          <w:r>
            <w:rPr>
              <w:rFonts w:eastAsia="仿宋_GB2312"/>
              <w:i w:val="0"/>
              <w:iCs w:val="0"/>
              <w:lang w:val="zh-CN"/>
            </w:rPr>
            <w:instrText xml:space="preserve"> HYPERLINK \l _Toc31135 </w:instrText>
          </w:r>
          <w:r>
            <w:rPr>
              <w:rFonts w:eastAsia="仿宋_GB2312"/>
              <w:i w:val="0"/>
              <w:iCs w:val="0"/>
              <w:lang w:val="zh-CN"/>
            </w:rPr>
            <w:fldChar w:fldCharType="separate"/>
          </w:r>
          <w:r>
            <w:rPr>
              <w:rFonts w:eastAsia="仿宋_GB2312"/>
              <w:i w:val="0"/>
              <w:iCs w:val="0"/>
              <w:szCs w:val="30"/>
            </w:rPr>
            <w:t>3.9.2废水污染物源强及排放情况</w:t>
          </w:r>
          <w:r>
            <w:rPr>
              <w:i w:val="0"/>
              <w:iCs w:val="0"/>
            </w:rPr>
            <w:tab/>
          </w:r>
          <w:r>
            <w:rPr>
              <w:i w:val="0"/>
              <w:iCs w:val="0"/>
            </w:rPr>
            <w:fldChar w:fldCharType="begin"/>
          </w:r>
          <w:r>
            <w:rPr>
              <w:i w:val="0"/>
              <w:iCs w:val="0"/>
            </w:rPr>
            <w:instrText xml:space="preserve"> PAGEREF _Toc31135 \h </w:instrText>
          </w:r>
          <w:r>
            <w:rPr>
              <w:i w:val="0"/>
              <w:iCs w:val="0"/>
            </w:rPr>
            <w:fldChar w:fldCharType="separate"/>
          </w:r>
          <w:r>
            <w:rPr>
              <w:i w:val="0"/>
              <w:iCs w:val="0"/>
            </w:rPr>
            <w:t>592</w:t>
          </w:r>
          <w:r>
            <w:rPr>
              <w:i w:val="0"/>
              <w:iCs w:val="0"/>
            </w:rPr>
            <w:fldChar w:fldCharType="end"/>
          </w:r>
          <w:r>
            <w:rPr>
              <w:rFonts w:eastAsia="仿宋_GB2312"/>
              <w:i w:val="0"/>
              <w:iCs w:val="0"/>
              <w:color w:val="FF0000"/>
              <w:lang w:val="zh-CN"/>
            </w:rPr>
            <w:fldChar w:fldCharType="end"/>
          </w:r>
        </w:p>
        <w:p w14:paraId="4C4164C5">
          <w:pPr>
            <w:pStyle w:val="46"/>
            <w:tabs>
              <w:tab w:val="right" w:leader="dot" w:pos="8306"/>
            </w:tabs>
            <w:rPr>
              <w:i w:val="0"/>
              <w:iCs w:val="0"/>
            </w:rPr>
          </w:pPr>
          <w:r>
            <w:rPr>
              <w:rFonts w:eastAsia="仿宋_GB2312"/>
              <w:i w:val="0"/>
              <w:iCs w:val="0"/>
              <w:color w:val="FF0000"/>
              <w:lang w:val="zh-CN"/>
            </w:rPr>
            <w:fldChar w:fldCharType="begin"/>
          </w:r>
          <w:r>
            <w:rPr>
              <w:rFonts w:eastAsia="仿宋_GB2312"/>
              <w:i w:val="0"/>
              <w:iCs w:val="0"/>
              <w:lang w:val="zh-CN"/>
            </w:rPr>
            <w:instrText xml:space="preserve"> HYPERLINK \l _Toc9787 </w:instrText>
          </w:r>
          <w:r>
            <w:rPr>
              <w:rFonts w:eastAsia="仿宋_GB2312"/>
              <w:i w:val="0"/>
              <w:iCs w:val="0"/>
              <w:lang w:val="zh-CN"/>
            </w:rPr>
            <w:fldChar w:fldCharType="separate"/>
          </w:r>
          <w:r>
            <w:rPr>
              <w:rFonts w:eastAsia="仿宋_GB2312"/>
              <w:i w:val="0"/>
              <w:iCs w:val="0"/>
              <w:szCs w:val="30"/>
            </w:rPr>
            <w:t>3.9.3固废污染物源强及处置情况</w:t>
          </w:r>
          <w:r>
            <w:rPr>
              <w:i w:val="0"/>
              <w:iCs w:val="0"/>
            </w:rPr>
            <w:tab/>
          </w:r>
          <w:r>
            <w:rPr>
              <w:i w:val="0"/>
              <w:iCs w:val="0"/>
            </w:rPr>
            <w:fldChar w:fldCharType="begin"/>
          </w:r>
          <w:r>
            <w:rPr>
              <w:i w:val="0"/>
              <w:iCs w:val="0"/>
            </w:rPr>
            <w:instrText xml:space="preserve"> PAGEREF _Toc9787 \h </w:instrText>
          </w:r>
          <w:r>
            <w:rPr>
              <w:i w:val="0"/>
              <w:iCs w:val="0"/>
            </w:rPr>
            <w:fldChar w:fldCharType="separate"/>
          </w:r>
          <w:r>
            <w:rPr>
              <w:i w:val="0"/>
              <w:iCs w:val="0"/>
            </w:rPr>
            <w:t>597</w:t>
          </w:r>
          <w:r>
            <w:rPr>
              <w:i w:val="0"/>
              <w:iCs w:val="0"/>
            </w:rPr>
            <w:fldChar w:fldCharType="end"/>
          </w:r>
          <w:r>
            <w:rPr>
              <w:rFonts w:eastAsia="仿宋_GB2312"/>
              <w:i w:val="0"/>
              <w:iCs w:val="0"/>
              <w:color w:val="FF0000"/>
              <w:lang w:val="zh-CN"/>
            </w:rPr>
            <w:fldChar w:fldCharType="end"/>
          </w:r>
        </w:p>
        <w:p w14:paraId="7A987DA4">
          <w:pPr>
            <w:pStyle w:val="46"/>
            <w:tabs>
              <w:tab w:val="right" w:leader="dot" w:pos="8306"/>
            </w:tabs>
            <w:rPr>
              <w:i w:val="0"/>
              <w:iCs w:val="0"/>
            </w:rPr>
          </w:pPr>
          <w:r>
            <w:rPr>
              <w:rFonts w:eastAsia="仿宋_GB2312"/>
              <w:i w:val="0"/>
              <w:iCs w:val="0"/>
              <w:color w:val="FF0000"/>
              <w:lang w:val="zh-CN"/>
            </w:rPr>
            <w:fldChar w:fldCharType="begin"/>
          </w:r>
          <w:r>
            <w:rPr>
              <w:rFonts w:eastAsia="仿宋_GB2312"/>
              <w:i w:val="0"/>
              <w:iCs w:val="0"/>
              <w:lang w:val="zh-CN"/>
            </w:rPr>
            <w:instrText xml:space="preserve"> HYPERLINK \l _Toc23824 </w:instrText>
          </w:r>
          <w:r>
            <w:rPr>
              <w:rFonts w:eastAsia="仿宋_GB2312"/>
              <w:i w:val="0"/>
              <w:iCs w:val="0"/>
              <w:lang w:val="zh-CN"/>
            </w:rPr>
            <w:fldChar w:fldCharType="separate"/>
          </w:r>
          <w:r>
            <w:rPr>
              <w:rFonts w:eastAsia="仿宋_GB2312"/>
              <w:i w:val="0"/>
              <w:iCs w:val="0"/>
              <w:szCs w:val="30"/>
            </w:rPr>
            <w:t>3.9.4噪声污染物源强及排放情况</w:t>
          </w:r>
          <w:r>
            <w:rPr>
              <w:i w:val="0"/>
              <w:iCs w:val="0"/>
            </w:rPr>
            <w:tab/>
          </w:r>
          <w:r>
            <w:rPr>
              <w:i w:val="0"/>
              <w:iCs w:val="0"/>
            </w:rPr>
            <w:fldChar w:fldCharType="begin"/>
          </w:r>
          <w:r>
            <w:rPr>
              <w:i w:val="0"/>
              <w:iCs w:val="0"/>
            </w:rPr>
            <w:instrText xml:space="preserve"> PAGEREF _Toc23824 \h </w:instrText>
          </w:r>
          <w:r>
            <w:rPr>
              <w:i w:val="0"/>
              <w:iCs w:val="0"/>
            </w:rPr>
            <w:fldChar w:fldCharType="separate"/>
          </w:r>
          <w:r>
            <w:rPr>
              <w:i w:val="0"/>
              <w:iCs w:val="0"/>
            </w:rPr>
            <w:t>598</w:t>
          </w:r>
          <w:r>
            <w:rPr>
              <w:i w:val="0"/>
              <w:iCs w:val="0"/>
            </w:rPr>
            <w:fldChar w:fldCharType="end"/>
          </w:r>
          <w:r>
            <w:rPr>
              <w:rFonts w:eastAsia="仿宋_GB2312"/>
              <w:i w:val="0"/>
              <w:iCs w:val="0"/>
              <w:color w:val="FF0000"/>
              <w:lang w:val="zh-CN"/>
            </w:rPr>
            <w:fldChar w:fldCharType="end"/>
          </w:r>
        </w:p>
        <w:p w14:paraId="2DB31271">
          <w:pPr>
            <w:pStyle w:val="2"/>
            <w:tabs>
              <w:tab w:val="right" w:leader="dot" w:pos="8306"/>
              <w:tab w:val="clear" w:pos="567"/>
              <w:tab w:val="clear" w:pos="630"/>
              <w:tab w:val="clear" w:pos="8302"/>
            </w:tabs>
            <w:rPr>
              <w:i w:val="0"/>
              <w:iCs w:val="0"/>
            </w:rPr>
          </w:pPr>
          <w:r>
            <w:rPr>
              <w:rFonts w:eastAsia="仿宋_GB2312"/>
              <w:i w:val="0"/>
              <w:iCs w:val="0"/>
              <w:color w:val="FF0000"/>
              <w:lang w:val="zh-CN"/>
            </w:rPr>
            <w:fldChar w:fldCharType="begin"/>
          </w:r>
          <w:r>
            <w:rPr>
              <w:rFonts w:eastAsia="仿宋_GB2312"/>
              <w:i w:val="0"/>
              <w:iCs w:val="0"/>
              <w:lang w:val="zh-CN"/>
            </w:rPr>
            <w:instrText xml:space="preserve"> HYPERLINK \l _Toc17602 </w:instrText>
          </w:r>
          <w:r>
            <w:rPr>
              <w:rFonts w:eastAsia="仿宋_GB2312"/>
              <w:i w:val="0"/>
              <w:iCs w:val="0"/>
              <w:lang w:val="zh-CN"/>
            </w:rPr>
            <w:fldChar w:fldCharType="separate"/>
          </w:r>
          <w:r>
            <w:rPr>
              <w:i w:val="0"/>
              <w:iCs w:val="0"/>
              <w:szCs w:val="30"/>
            </w:rPr>
            <w:t>3.10本项目污染物“两本账”汇总</w:t>
          </w:r>
          <w:r>
            <w:rPr>
              <w:i w:val="0"/>
              <w:iCs w:val="0"/>
            </w:rPr>
            <w:tab/>
          </w:r>
          <w:r>
            <w:rPr>
              <w:i w:val="0"/>
              <w:iCs w:val="0"/>
            </w:rPr>
            <w:fldChar w:fldCharType="begin"/>
          </w:r>
          <w:r>
            <w:rPr>
              <w:i w:val="0"/>
              <w:iCs w:val="0"/>
            </w:rPr>
            <w:instrText xml:space="preserve"> PAGEREF _Toc17602 \h </w:instrText>
          </w:r>
          <w:r>
            <w:rPr>
              <w:i w:val="0"/>
              <w:iCs w:val="0"/>
            </w:rPr>
            <w:fldChar w:fldCharType="separate"/>
          </w:r>
          <w:r>
            <w:rPr>
              <w:i w:val="0"/>
              <w:iCs w:val="0"/>
            </w:rPr>
            <w:t>600</w:t>
          </w:r>
          <w:r>
            <w:rPr>
              <w:i w:val="0"/>
              <w:iCs w:val="0"/>
            </w:rPr>
            <w:fldChar w:fldCharType="end"/>
          </w:r>
          <w:r>
            <w:rPr>
              <w:rFonts w:eastAsia="仿宋_GB2312"/>
              <w:i w:val="0"/>
              <w:iCs w:val="0"/>
              <w:color w:val="FF0000"/>
              <w:lang w:val="zh-CN"/>
            </w:rPr>
            <w:fldChar w:fldCharType="end"/>
          </w:r>
        </w:p>
        <w:p w14:paraId="1C42ED6E">
          <w:pPr>
            <w:pStyle w:val="2"/>
            <w:tabs>
              <w:tab w:val="right" w:leader="dot" w:pos="8306"/>
              <w:tab w:val="clear" w:pos="567"/>
              <w:tab w:val="clear" w:pos="630"/>
              <w:tab w:val="clear" w:pos="8302"/>
            </w:tabs>
            <w:rPr>
              <w:i w:val="0"/>
              <w:iCs w:val="0"/>
            </w:rPr>
          </w:pPr>
          <w:r>
            <w:rPr>
              <w:rFonts w:eastAsia="仿宋_GB2312"/>
              <w:i w:val="0"/>
              <w:iCs w:val="0"/>
              <w:color w:val="FF0000"/>
              <w:lang w:val="zh-CN"/>
            </w:rPr>
            <w:fldChar w:fldCharType="begin"/>
          </w:r>
          <w:r>
            <w:rPr>
              <w:rFonts w:eastAsia="仿宋_GB2312"/>
              <w:i w:val="0"/>
              <w:iCs w:val="0"/>
              <w:lang w:val="zh-CN"/>
            </w:rPr>
            <w:instrText xml:space="preserve"> HYPERLINK \l _Toc25230 </w:instrText>
          </w:r>
          <w:r>
            <w:rPr>
              <w:rFonts w:eastAsia="仿宋_GB2312"/>
              <w:i w:val="0"/>
              <w:iCs w:val="0"/>
              <w:lang w:val="zh-CN"/>
            </w:rPr>
            <w:fldChar w:fldCharType="separate"/>
          </w:r>
          <w:r>
            <w:rPr>
              <w:i w:val="0"/>
              <w:iCs w:val="0"/>
              <w:szCs w:val="30"/>
            </w:rPr>
            <w:t>3.11本项目建成后全厂污染物排放情况</w:t>
          </w:r>
          <w:r>
            <w:rPr>
              <w:i w:val="0"/>
              <w:iCs w:val="0"/>
            </w:rPr>
            <w:tab/>
          </w:r>
          <w:r>
            <w:rPr>
              <w:i w:val="0"/>
              <w:iCs w:val="0"/>
            </w:rPr>
            <w:fldChar w:fldCharType="begin"/>
          </w:r>
          <w:r>
            <w:rPr>
              <w:i w:val="0"/>
              <w:iCs w:val="0"/>
            </w:rPr>
            <w:instrText xml:space="preserve"> PAGEREF _Toc25230 \h </w:instrText>
          </w:r>
          <w:r>
            <w:rPr>
              <w:i w:val="0"/>
              <w:iCs w:val="0"/>
            </w:rPr>
            <w:fldChar w:fldCharType="separate"/>
          </w:r>
          <w:r>
            <w:rPr>
              <w:i w:val="0"/>
              <w:iCs w:val="0"/>
            </w:rPr>
            <w:t>603</w:t>
          </w:r>
          <w:r>
            <w:rPr>
              <w:i w:val="0"/>
              <w:iCs w:val="0"/>
            </w:rPr>
            <w:fldChar w:fldCharType="end"/>
          </w:r>
          <w:r>
            <w:rPr>
              <w:rFonts w:eastAsia="仿宋_GB2312"/>
              <w:i w:val="0"/>
              <w:iCs w:val="0"/>
              <w:color w:val="FF0000"/>
              <w:lang w:val="zh-CN"/>
            </w:rPr>
            <w:fldChar w:fldCharType="end"/>
          </w:r>
        </w:p>
        <w:p w14:paraId="24D52D49">
          <w:pPr>
            <w:rPr>
              <w:color w:val="FF0000"/>
            </w:rPr>
          </w:pPr>
          <w:r>
            <w:rPr>
              <w:rFonts w:eastAsia="仿宋_GB2312"/>
              <w:i w:val="0"/>
              <w:iCs w:val="0"/>
              <w:color w:val="FF0000"/>
              <w:lang w:val="zh-CN"/>
            </w:rPr>
            <w:fldChar w:fldCharType="end"/>
          </w:r>
        </w:p>
      </w:sdtContent>
    </w:sdt>
    <w:p w14:paraId="6E84D84C">
      <w:pPr>
        <w:rPr>
          <w:rFonts w:eastAsia="仿宋_GB2312"/>
          <w:color w:val="FF0000"/>
          <w:spacing w:val="-8"/>
          <w:kern w:val="0"/>
          <w:sz w:val="28"/>
          <w:szCs w:val="28"/>
        </w:rPr>
      </w:pPr>
    </w:p>
    <w:p w14:paraId="2DB68297">
      <w:pPr>
        <w:rPr>
          <w:rFonts w:eastAsia="仿宋_GB2312"/>
          <w:color w:val="FF0000"/>
          <w:spacing w:val="-8"/>
          <w:kern w:val="0"/>
          <w:sz w:val="28"/>
          <w:szCs w:val="28"/>
        </w:rPr>
      </w:pPr>
    </w:p>
    <w:p w14:paraId="2A76F4AD">
      <w:pPr>
        <w:pStyle w:val="2"/>
        <w:rPr>
          <w:rFonts w:eastAsia="仿宋_GB2312"/>
          <w:color w:val="FF0000"/>
          <w:spacing w:val="-8"/>
          <w:kern w:val="0"/>
          <w:sz w:val="28"/>
          <w:szCs w:val="28"/>
        </w:rPr>
      </w:pPr>
    </w:p>
    <w:p w14:paraId="18C2FC96">
      <w:pPr>
        <w:rPr>
          <w:rFonts w:eastAsia="仿宋_GB2312"/>
          <w:color w:val="FF0000"/>
          <w:spacing w:val="-8"/>
          <w:kern w:val="0"/>
          <w:sz w:val="28"/>
          <w:szCs w:val="28"/>
        </w:rPr>
      </w:pPr>
    </w:p>
    <w:p w14:paraId="30812E07">
      <w:pPr>
        <w:rPr>
          <w:rFonts w:eastAsia="仿宋_GB2312"/>
          <w:color w:val="FF0000"/>
          <w:spacing w:val="-8"/>
          <w:kern w:val="0"/>
          <w:sz w:val="28"/>
          <w:szCs w:val="28"/>
        </w:rPr>
      </w:pPr>
    </w:p>
    <w:p w14:paraId="3EEEBA64">
      <w:pPr>
        <w:pStyle w:val="2"/>
        <w:rPr>
          <w:rFonts w:eastAsia="仿宋_GB2312"/>
          <w:color w:val="FF0000"/>
          <w:spacing w:val="-8"/>
          <w:kern w:val="0"/>
          <w:sz w:val="28"/>
          <w:szCs w:val="28"/>
        </w:rPr>
      </w:pPr>
    </w:p>
    <w:p w14:paraId="4BC6D7CE"/>
    <w:p w14:paraId="5A611875">
      <w:pPr>
        <w:rPr>
          <w:rFonts w:eastAsia="仿宋_GB2312"/>
          <w:color w:val="FF0000"/>
          <w:spacing w:val="-8"/>
          <w:kern w:val="0"/>
          <w:sz w:val="28"/>
          <w:szCs w:val="28"/>
        </w:rPr>
      </w:pPr>
    </w:p>
    <w:p w14:paraId="59F43863">
      <w:pPr>
        <w:rPr>
          <w:rFonts w:eastAsia="仿宋_GB2312"/>
          <w:color w:val="FF0000"/>
          <w:spacing w:val="-8"/>
          <w:kern w:val="0"/>
          <w:sz w:val="28"/>
          <w:szCs w:val="28"/>
        </w:rPr>
        <w:sectPr>
          <w:pgSz w:w="11906" w:h="16838"/>
          <w:pgMar w:top="1440" w:right="1800" w:bottom="1440" w:left="1800" w:header="794" w:footer="992" w:gutter="0"/>
          <w:pgBorders>
            <w:top w:val="none" w:sz="0" w:space="0"/>
            <w:left w:val="none" w:sz="0" w:space="0"/>
            <w:bottom w:val="none" w:sz="0" w:space="0"/>
            <w:right w:val="none" w:sz="0" w:space="0"/>
          </w:pgBorders>
          <w:pgNumType w:start="1"/>
          <w:cols w:space="425" w:num="1"/>
          <w:docGrid w:linePitch="381" w:charSpace="0"/>
        </w:sectPr>
      </w:pPr>
    </w:p>
    <w:p w14:paraId="654A18C6">
      <w:pPr>
        <w:pStyle w:val="4"/>
        <w:spacing w:before="120" w:after="120" w:line="500" w:lineRule="exact"/>
        <w:rPr>
          <w:rFonts w:eastAsia="仿宋_GB2312"/>
          <w:sz w:val="36"/>
          <w:szCs w:val="36"/>
        </w:rPr>
      </w:pPr>
      <w:bookmarkStart w:id="14" w:name="_Toc140174711"/>
      <w:bookmarkStart w:id="15" w:name="_Toc20008"/>
      <w:r>
        <w:rPr>
          <w:rFonts w:eastAsia="仿宋_GB2312"/>
          <w:sz w:val="36"/>
          <w:szCs w:val="36"/>
        </w:rPr>
        <w:t>3建设项目工程分析</w:t>
      </w:r>
      <w:bookmarkEnd w:id="14"/>
      <w:bookmarkEnd w:id="15"/>
    </w:p>
    <w:p w14:paraId="66A55CC9">
      <w:pPr>
        <w:pStyle w:val="5"/>
        <w:spacing w:before="120" w:after="120"/>
        <w:rPr>
          <w:sz w:val="30"/>
          <w:szCs w:val="30"/>
        </w:rPr>
      </w:pPr>
      <w:bookmarkStart w:id="16" w:name="_Toc22537"/>
      <w:bookmarkStart w:id="17" w:name="_Toc140174712"/>
      <w:bookmarkStart w:id="18" w:name="_Toc396374783"/>
      <w:r>
        <w:rPr>
          <w:sz w:val="30"/>
          <w:szCs w:val="30"/>
        </w:rPr>
        <w:t>3.1原有项目概况</w:t>
      </w:r>
      <w:bookmarkEnd w:id="16"/>
      <w:bookmarkEnd w:id="17"/>
    </w:p>
    <w:bookmarkEnd w:id="18"/>
    <w:p w14:paraId="70E58AB2">
      <w:pPr>
        <w:pStyle w:val="6"/>
        <w:keepLines w:val="0"/>
        <w:tabs>
          <w:tab w:val="left" w:pos="709"/>
        </w:tabs>
        <w:spacing w:before="120" w:beforeLines="50" w:after="120" w:afterLines="50" w:line="500" w:lineRule="exact"/>
        <w:rPr>
          <w:rFonts w:eastAsia="仿宋_GB2312"/>
          <w:sz w:val="28"/>
          <w:szCs w:val="28"/>
        </w:rPr>
      </w:pPr>
      <w:bookmarkStart w:id="19" w:name="_Toc16905"/>
      <w:r>
        <w:rPr>
          <w:rFonts w:eastAsia="仿宋_GB2312"/>
          <w:sz w:val="28"/>
          <w:szCs w:val="28"/>
        </w:rPr>
        <w:t>3.1.1原有项目概况及环保手续情况</w:t>
      </w:r>
      <w:bookmarkEnd w:id="19"/>
    </w:p>
    <w:p w14:paraId="3106BC49">
      <w:pPr>
        <w:spacing w:line="500" w:lineRule="exact"/>
        <w:ind w:firstLine="528" w:firstLineChars="200"/>
        <w:rPr>
          <w:rFonts w:eastAsia="仿宋_GB2312"/>
          <w:spacing w:val="-8"/>
          <w:kern w:val="0"/>
          <w:sz w:val="28"/>
          <w:szCs w:val="28"/>
        </w:rPr>
      </w:pPr>
      <w:r>
        <w:rPr>
          <w:rFonts w:eastAsia="仿宋_GB2312"/>
          <w:spacing w:val="-8"/>
          <w:kern w:val="0"/>
          <w:sz w:val="28"/>
          <w:szCs w:val="28"/>
        </w:rPr>
        <w:t>江苏盈天环保科技有限公司（原名江苏盈天化学有限公司）位于常州滨江经济开发区新材料产业园（以下简称“盈天环保”），是一家专业从事危废综合利用及资源再生的企业。</w:t>
      </w:r>
    </w:p>
    <w:p w14:paraId="6A720C77">
      <w:pPr>
        <w:spacing w:line="500" w:lineRule="exact"/>
        <w:ind w:firstLine="528" w:firstLineChars="200"/>
        <w:rPr>
          <w:rFonts w:eastAsia="仿宋_GB2312"/>
          <w:spacing w:val="-8"/>
          <w:kern w:val="0"/>
          <w:sz w:val="28"/>
          <w:szCs w:val="28"/>
        </w:rPr>
      </w:pPr>
      <w:r>
        <w:rPr>
          <w:rFonts w:eastAsia="仿宋_GB2312"/>
          <w:spacing w:val="-8"/>
          <w:kern w:val="0"/>
          <w:sz w:val="28"/>
          <w:szCs w:val="28"/>
        </w:rPr>
        <w:t>公司2006年申报了“有机溶剂回收（甲醇、丙酮等16只产品）项目”，该项目于2006年4月30日取得了常州市环保局批复（常环管[2006]34号），并于2008年4月30日通过了竣工环保验收（环验[2008]46号）。</w:t>
      </w:r>
      <w:r>
        <w:rPr>
          <w:rFonts w:hint="eastAsia" w:eastAsia="仿宋_GB2312"/>
          <w:spacing w:val="-8"/>
          <w:kern w:val="0"/>
          <w:sz w:val="28"/>
          <w:szCs w:val="28"/>
        </w:rPr>
        <w:t>目前该项目正常运行。</w:t>
      </w:r>
    </w:p>
    <w:p w14:paraId="34552A2A">
      <w:pPr>
        <w:spacing w:line="500" w:lineRule="exact"/>
        <w:ind w:firstLine="528" w:firstLineChars="200"/>
        <w:rPr>
          <w:rFonts w:eastAsia="仿宋_GB2312"/>
          <w:spacing w:val="-8"/>
          <w:kern w:val="0"/>
          <w:sz w:val="28"/>
          <w:szCs w:val="28"/>
        </w:rPr>
      </w:pPr>
      <w:r>
        <w:rPr>
          <w:rFonts w:eastAsia="仿宋_GB2312"/>
          <w:spacing w:val="-8"/>
          <w:kern w:val="0"/>
          <w:sz w:val="28"/>
          <w:szCs w:val="28"/>
        </w:rPr>
        <w:t>2008年申报了“PCB线路板、电子零件、五金器具及表面处理剂项目”，该项目于2008年6月2日取得了常州市环保局批复（常环管[2008]46号）</w:t>
      </w:r>
      <w:r>
        <w:rPr>
          <w:rFonts w:hint="eastAsia" w:eastAsia="仿宋_GB2312"/>
          <w:spacing w:val="-8"/>
          <w:kern w:val="0"/>
          <w:sz w:val="28"/>
          <w:szCs w:val="28"/>
        </w:rPr>
        <w:t>。</w:t>
      </w:r>
      <w:r>
        <w:rPr>
          <w:rFonts w:eastAsia="仿宋_GB2312"/>
          <w:spacing w:val="-8"/>
          <w:kern w:val="0"/>
          <w:sz w:val="28"/>
          <w:szCs w:val="28"/>
        </w:rPr>
        <w:t>目前该项目未建。</w:t>
      </w:r>
    </w:p>
    <w:p w14:paraId="423F6D8A">
      <w:pPr>
        <w:spacing w:line="500" w:lineRule="exact"/>
        <w:ind w:firstLine="528" w:firstLineChars="200"/>
        <w:rPr>
          <w:rFonts w:eastAsia="仿宋_GB2312"/>
          <w:spacing w:val="-8"/>
          <w:kern w:val="0"/>
          <w:sz w:val="28"/>
          <w:szCs w:val="28"/>
        </w:rPr>
      </w:pPr>
      <w:r>
        <w:rPr>
          <w:rFonts w:eastAsia="仿宋_GB2312"/>
          <w:spacing w:val="-8"/>
          <w:kern w:val="0"/>
          <w:sz w:val="28"/>
          <w:szCs w:val="28"/>
        </w:rPr>
        <w:t>2009年申报了“丙二醇、甲苯等17个产品溶剂回收技改项目”，该项目于2009年9月29日取得了常州市环保局批复（常环管[2009]99号），并于2019年4月30日完成自主环保验收。</w:t>
      </w:r>
      <w:r>
        <w:rPr>
          <w:rFonts w:hint="eastAsia" w:eastAsia="仿宋_GB2312"/>
          <w:spacing w:val="-8"/>
          <w:kern w:val="0"/>
          <w:sz w:val="28"/>
          <w:szCs w:val="28"/>
        </w:rPr>
        <w:t>目前该项目正常运行。</w:t>
      </w:r>
    </w:p>
    <w:p w14:paraId="165A30A2">
      <w:pPr>
        <w:spacing w:line="500" w:lineRule="exact"/>
        <w:ind w:firstLine="528" w:firstLineChars="200"/>
        <w:rPr>
          <w:rFonts w:eastAsia="仿宋_GB2312"/>
          <w:spacing w:val="-8"/>
          <w:kern w:val="0"/>
          <w:sz w:val="28"/>
          <w:szCs w:val="28"/>
        </w:rPr>
      </w:pPr>
      <w:r>
        <w:rPr>
          <w:rFonts w:eastAsia="仿宋_GB2312"/>
          <w:spacing w:val="-8"/>
          <w:kern w:val="0"/>
          <w:sz w:val="28"/>
          <w:szCs w:val="28"/>
        </w:rPr>
        <w:t>2011年申报了“10万吨/年晶体硅砂浆综合利用及污染物减排项目”，该项目于2011年12月6日获得了新北区环保局批复（常新环服[2011]59号）。该项目于2012年6月17日通过了竣工环保验收。“5万吨/年晶硅切割废砂浆中聚乙二醇产品末端分离工段项目”后评价于2014年9月取得了常州市新北区环保局的审查意见，于2015年1月通过了常州市新北区环境保护局的竣工环保验收，该末端分离工段企业已承诺不再生产。目前该项目已拆除。</w:t>
      </w:r>
    </w:p>
    <w:p w14:paraId="1D08871A">
      <w:pPr>
        <w:spacing w:line="500" w:lineRule="exact"/>
        <w:ind w:firstLine="528" w:firstLineChars="200"/>
        <w:rPr>
          <w:rFonts w:eastAsia="仿宋_GB2312"/>
          <w:spacing w:val="-8"/>
          <w:kern w:val="0"/>
          <w:sz w:val="28"/>
          <w:szCs w:val="28"/>
        </w:rPr>
      </w:pPr>
      <w:r>
        <w:rPr>
          <w:rFonts w:eastAsia="仿宋_GB2312"/>
          <w:spacing w:val="-8"/>
          <w:kern w:val="0"/>
          <w:sz w:val="28"/>
          <w:szCs w:val="28"/>
        </w:rPr>
        <w:t>2013年申报了“年产10万吨聚酯多元醇项目”，该项目于2013年7月24日获得了常州市环保局批复（常环服[2013]37号）。目前项目保留一期1.5万吨/年己二酸系聚酯多元醇</w:t>
      </w:r>
      <w:r>
        <w:rPr>
          <w:rFonts w:hint="eastAsia" w:eastAsia="仿宋_GB2312"/>
          <w:spacing w:val="-8"/>
          <w:kern w:val="0"/>
          <w:sz w:val="28"/>
          <w:szCs w:val="28"/>
        </w:rPr>
        <w:t>，目前未建设</w:t>
      </w:r>
      <w:r>
        <w:rPr>
          <w:rFonts w:eastAsia="仿宋_GB2312"/>
          <w:spacing w:val="-8"/>
          <w:kern w:val="0"/>
          <w:sz w:val="28"/>
          <w:szCs w:val="28"/>
        </w:rPr>
        <w:t>，其余部分企业已承诺不再建设。</w:t>
      </w:r>
    </w:p>
    <w:p w14:paraId="6B33B886">
      <w:pPr>
        <w:spacing w:line="500" w:lineRule="exact"/>
        <w:ind w:firstLine="528" w:firstLineChars="200"/>
        <w:rPr>
          <w:rFonts w:eastAsia="仿宋_GB2312"/>
          <w:spacing w:val="-8"/>
          <w:kern w:val="0"/>
          <w:sz w:val="28"/>
          <w:szCs w:val="28"/>
        </w:rPr>
      </w:pPr>
      <w:r>
        <w:rPr>
          <w:rFonts w:eastAsia="仿宋_GB2312"/>
          <w:spacing w:val="-8"/>
          <w:kern w:val="0"/>
          <w:sz w:val="28"/>
          <w:szCs w:val="28"/>
        </w:rPr>
        <w:t>2015年申报了“年产10万吨丙三醇（甘油）精制项目”，该项目于2015年6月26日获得了环评批复（常新环服[2015]26号）。一期工程“年产5万吨丙三醇（甘油）精制项目”于2016年3月28日通过了竣工环保验收（常新环验[2016]57号），</w:t>
      </w:r>
      <w:r>
        <w:rPr>
          <w:rFonts w:hint="eastAsia" w:eastAsia="仿宋_GB2312"/>
          <w:spacing w:val="-8"/>
          <w:kern w:val="0"/>
          <w:sz w:val="28"/>
          <w:szCs w:val="28"/>
        </w:rPr>
        <w:t>并于</w:t>
      </w:r>
      <w:r>
        <w:rPr>
          <w:rFonts w:eastAsia="仿宋_GB2312"/>
          <w:spacing w:val="-8"/>
          <w:kern w:val="0"/>
          <w:sz w:val="28"/>
          <w:szCs w:val="28"/>
        </w:rPr>
        <w:t>验收后拆除。一期技改项目（建设内容纳入“盈天危险废物焚烧处理项目”）于2019年1月3日获得了常州国家高新区（新北区）行政审批局批复（常新行审环书[2019]1号）。企业已承诺一期年产5万吨丙三醇（甘油）精制削减至2.5万吨</w:t>
      </w:r>
      <w:r>
        <w:rPr>
          <w:rFonts w:hint="eastAsia" w:eastAsia="仿宋_GB2312"/>
          <w:spacing w:val="-8"/>
          <w:kern w:val="0"/>
          <w:sz w:val="28"/>
          <w:szCs w:val="28"/>
        </w:rPr>
        <w:t>，目前未建设。</w:t>
      </w:r>
      <w:r>
        <w:rPr>
          <w:rFonts w:eastAsia="仿宋_GB2312"/>
          <w:spacing w:val="-8"/>
          <w:kern w:val="0"/>
          <w:sz w:val="28"/>
          <w:szCs w:val="28"/>
        </w:rPr>
        <w:t>二期不再建设。</w:t>
      </w:r>
    </w:p>
    <w:p w14:paraId="3A3AE2D8">
      <w:pPr>
        <w:spacing w:line="500" w:lineRule="exact"/>
        <w:ind w:firstLine="528" w:firstLineChars="200"/>
        <w:rPr>
          <w:rFonts w:eastAsia="仿宋_GB2312"/>
          <w:spacing w:val="-8"/>
          <w:kern w:val="0"/>
          <w:sz w:val="28"/>
          <w:szCs w:val="28"/>
        </w:rPr>
      </w:pPr>
      <w:r>
        <w:rPr>
          <w:rFonts w:eastAsia="仿宋_GB2312"/>
          <w:spacing w:val="-8"/>
          <w:kern w:val="0"/>
          <w:sz w:val="28"/>
          <w:szCs w:val="28"/>
        </w:rPr>
        <w:t>2018年7月申报了“江苏盈天化学有限公司节能减排、环保综合整治提升项目”，该项目于2018年8月10日获得了常州国家高新区（新北区）行政审批局批复（常新行审[2018]10号）。目前该项目已完成自主环保验收，</w:t>
      </w:r>
      <w:r>
        <w:rPr>
          <w:rFonts w:hint="eastAsia" w:eastAsia="仿宋_GB2312"/>
          <w:spacing w:val="-8"/>
          <w:kern w:val="0"/>
          <w:sz w:val="28"/>
          <w:szCs w:val="28"/>
        </w:rPr>
        <w:t>目前</w:t>
      </w:r>
      <w:r>
        <w:rPr>
          <w:rFonts w:eastAsia="仿宋_GB2312"/>
          <w:spacing w:val="-8"/>
          <w:kern w:val="0"/>
          <w:sz w:val="28"/>
          <w:szCs w:val="28"/>
        </w:rPr>
        <w:t>项目正常运行。</w:t>
      </w:r>
    </w:p>
    <w:p w14:paraId="001D3D2F">
      <w:pPr>
        <w:spacing w:line="500" w:lineRule="exact"/>
        <w:ind w:firstLine="528" w:firstLineChars="200"/>
        <w:rPr>
          <w:rFonts w:eastAsia="仿宋_GB2312"/>
          <w:spacing w:val="-8"/>
          <w:kern w:val="0"/>
          <w:sz w:val="28"/>
          <w:szCs w:val="28"/>
        </w:rPr>
      </w:pPr>
      <w:r>
        <w:rPr>
          <w:rFonts w:eastAsia="仿宋_GB2312"/>
          <w:spacing w:val="-8"/>
          <w:kern w:val="0"/>
          <w:sz w:val="28"/>
          <w:szCs w:val="28"/>
        </w:rPr>
        <w:t>2018年12月申报了“盈天危险废物焚烧处理项目”，该项目于2019年1月3日获得了常州国家高新区（新北区）行政审批局批复（常新行审环书[2019]1号）。目前该项目一期工程（30000t/a回转窑焚烧炉）于2021年5月11日完成自主环保验收。</w:t>
      </w:r>
      <w:r>
        <w:rPr>
          <w:rFonts w:hint="eastAsia" w:eastAsia="仿宋_GB2312"/>
          <w:spacing w:val="-8"/>
          <w:kern w:val="0"/>
          <w:sz w:val="28"/>
          <w:szCs w:val="28"/>
        </w:rPr>
        <w:t>目前</w:t>
      </w:r>
      <w:r>
        <w:rPr>
          <w:rFonts w:eastAsia="仿宋_GB2312"/>
          <w:spacing w:val="-8"/>
          <w:kern w:val="0"/>
          <w:sz w:val="28"/>
          <w:szCs w:val="28"/>
        </w:rPr>
        <w:t>项目正常运行。</w:t>
      </w:r>
    </w:p>
    <w:p w14:paraId="7CC0D6D6">
      <w:pPr>
        <w:spacing w:line="500" w:lineRule="exact"/>
        <w:ind w:firstLine="528" w:firstLineChars="200"/>
        <w:rPr>
          <w:rFonts w:eastAsia="仿宋_GB2312"/>
          <w:spacing w:val="-8"/>
          <w:kern w:val="0"/>
          <w:sz w:val="28"/>
          <w:szCs w:val="28"/>
        </w:rPr>
      </w:pPr>
      <w:r>
        <w:rPr>
          <w:rFonts w:eastAsia="仿宋_GB2312"/>
          <w:spacing w:val="-8"/>
          <w:kern w:val="0"/>
          <w:sz w:val="28"/>
          <w:szCs w:val="28"/>
        </w:rPr>
        <w:t>2019年6月申报了“江苏盈天化学有限公司扩建危险废物综合利用处置项目”，于2019年7月22日获得常州市生态环境局批复（常环审[2019]4号），并于2021年5月10日完成自主环保验收。</w:t>
      </w:r>
      <w:r>
        <w:rPr>
          <w:rFonts w:hint="eastAsia" w:eastAsia="仿宋_GB2312"/>
          <w:spacing w:val="-8"/>
          <w:kern w:val="0"/>
          <w:sz w:val="28"/>
          <w:szCs w:val="28"/>
        </w:rPr>
        <w:t>目前</w:t>
      </w:r>
      <w:r>
        <w:rPr>
          <w:rFonts w:eastAsia="仿宋_GB2312"/>
          <w:spacing w:val="-8"/>
          <w:kern w:val="0"/>
          <w:sz w:val="28"/>
          <w:szCs w:val="28"/>
        </w:rPr>
        <w:t>项目正常运行。</w:t>
      </w:r>
    </w:p>
    <w:p w14:paraId="0CFEDABD">
      <w:pPr>
        <w:spacing w:line="500" w:lineRule="exact"/>
        <w:ind w:firstLine="528" w:firstLineChars="200"/>
        <w:rPr>
          <w:rFonts w:eastAsia="仿宋_GB2312"/>
          <w:spacing w:val="-8"/>
          <w:kern w:val="0"/>
          <w:sz w:val="28"/>
          <w:szCs w:val="28"/>
        </w:rPr>
      </w:pPr>
      <w:r>
        <w:rPr>
          <w:rFonts w:eastAsia="仿宋_GB2312"/>
          <w:spacing w:val="-8"/>
          <w:kern w:val="0"/>
          <w:sz w:val="28"/>
          <w:szCs w:val="28"/>
        </w:rPr>
        <w:t>公司于2021年12月申报了“江苏盈天化学有限公司安全、环保优化整治提升项目”，该项目于2022年1月17日获得了常州国家高新区（新北区）行政审批局批复（常新行审环书[2022]1号），并于2023年9月5日完成自主环保验收</w:t>
      </w:r>
      <w:r>
        <w:rPr>
          <w:rFonts w:eastAsia="仿宋_GB2312"/>
          <w:sz w:val="28"/>
          <w:szCs w:val="28"/>
        </w:rPr>
        <w:t>。</w:t>
      </w:r>
      <w:r>
        <w:rPr>
          <w:rFonts w:hint="eastAsia" w:eastAsia="仿宋_GB2312"/>
          <w:spacing w:val="-8"/>
          <w:kern w:val="0"/>
          <w:sz w:val="28"/>
          <w:szCs w:val="28"/>
        </w:rPr>
        <w:t>目前</w:t>
      </w:r>
      <w:r>
        <w:rPr>
          <w:rFonts w:eastAsia="仿宋_GB2312"/>
          <w:spacing w:val="-8"/>
          <w:kern w:val="0"/>
          <w:sz w:val="28"/>
          <w:szCs w:val="28"/>
        </w:rPr>
        <w:t>项目正常运行。</w:t>
      </w:r>
    </w:p>
    <w:p w14:paraId="281A446D">
      <w:pPr>
        <w:spacing w:line="500" w:lineRule="exact"/>
        <w:ind w:firstLine="528" w:firstLineChars="200"/>
        <w:rPr>
          <w:rFonts w:eastAsia="仿宋_GB2312"/>
          <w:spacing w:val="-8"/>
          <w:kern w:val="0"/>
          <w:sz w:val="28"/>
          <w:szCs w:val="28"/>
        </w:rPr>
      </w:pPr>
      <w:r>
        <w:rPr>
          <w:rFonts w:eastAsia="仿宋_GB2312"/>
          <w:spacing w:val="-8"/>
          <w:kern w:val="0"/>
          <w:sz w:val="28"/>
          <w:szCs w:val="28"/>
        </w:rPr>
        <w:t>公司于202</w:t>
      </w:r>
      <w:r>
        <w:rPr>
          <w:rFonts w:hint="eastAsia" w:eastAsia="仿宋_GB2312"/>
          <w:spacing w:val="-8"/>
          <w:kern w:val="0"/>
          <w:sz w:val="28"/>
          <w:szCs w:val="28"/>
        </w:rPr>
        <w:t>4</w:t>
      </w:r>
      <w:r>
        <w:rPr>
          <w:rFonts w:eastAsia="仿宋_GB2312"/>
          <w:spacing w:val="-8"/>
          <w:kern w:val="0"/>
          <w:sz w:val="28"/>
          <w:szCs w:val="28"/>
        </w:rPr>
        <w:t>年1月申报了“江苏盈天</w:t>
      </w:r>
      <w:r>
        <w:rPr>
          <w:rFonts w:hint="eastAsia" w:eastAsia="仿宋_GB2312"/>
          <w:spacing w:val="-8"/>
          <w:kern w:val="0"/>
          <w:sz w:val="28"/>
          <w:szCs w:val="28"/>
        </w:rPr>
        <w:t>环保科技</w:t>
      </w:r>
      <w:r>
        <w:rPr>
          <w:rFonts w:eastAsia="仿宋_GB2312"/>
          <w:spacing w:val="-8"/>
          <w:kern w:val="0"/>
          <w:sz w:val="28"/>
          <w:szCs w:val="28"/>
        </w:rPr>
        <w:t>有限公司</w:t>
      </w:r>
      <w:r>
        <w:rPr>
          <w:rFonts w:hint="eastAsia" w:eastAsia="仿宋_GB2312"/>
          <w:spacing w:val="-8"/>
          <w:kern w:val="0"/>
          <w:sz w:val="28"/>
          <w:szCs w:val="28"/>
        </w:rPr>
        <w:t>危险废物综合利用处置技改</w:t>
      </w:r>
      <w:r>
        <w:rPr>
          <w:rFonts w:eastAsia="仿宋_GB2312"/>
          <w:spacing w:val="-8"/>
          <w:kern w:val="0"/>
          <w:sz w:val="28"/>
          <w:szCs w:val="28"/>
        </w:rPr>
        <w:t>项目”，该项目于202</w:t>
      </w:r>
      <w:r>
        <w:rPr>
          <w:rFonts w:hint="eastAsia" w:eastAsia="仿宋_GB2312"/>
          <w:spacing w:val="-8"/>
          <w:kern w:val="0"/>
          <w:sz w:val="28"/>
          <w:szCs w:val="28"/>
        </w:rPr>
        <w:t>4</w:t>
      </w:r>
      <w:r>
        <w:rPr>
          <w:rFonts w:eastAsia="仿宋_GB2312"/>
          <w:spacing w:val="-8"/>
          <w:kern w:val="0"/>
          <w:sz w:val="28"/>
          <w:szCs w:val="28"/>
        </w:rPr>
        <w:t>年1月1</w:t>
      </w:r>
      <w:r>
        <w:rPr>
          <w:rFonts w:hint="eastAsia" w:eastAsia="仿宋_GB2312"/>
          <w:spacing w:val="-8"/>
          <w:kern w:val="0"/>
          <w:sz w:val="28"/>
          <w:szCs w:val="28"/>
        </w:rPr>
        <w:t>8</w:t>
      </w:r>
      <w:r>
        <w:rPr>
          <w:rFonts w:eastAsia="仿宋_GB2312"/>
          <w:spacing w:val="-8"/>
          <w:kern w:val="0"/>
          <w:sz w:val="28"/>
          <w:szCs w:val="28"/>
        </w:rPr>
        <w:t>日获得了</w:t>
      </w:r>
      <w:r>
        <w:rPr>
          <w:rFonts w:hint="eastAsia" w:eastAsia="仿宋_GB2312"/>
          <w:spacing w:val="-8"/>
          <w:kern w:val="0"/>
          <w:sz w:val="28"/>
          <w:szCs w:val="28"/>
        </w:rPr>
        <w:t>常州市生态环境局</w:t>
      </w:r>
      <w:r>
        <w:rPr>
          <w:rFonts w:eastAsia="仿宋_GB2312"/>
          <w:spacing w:val="-8"/>
          <w:kern w:val="0"/>
          <w:sz w:val="28"/>
          <w:szCs w:val="28"/>
        </w:rPr>
        <w:t>批复（常环审[202</w:t>
      </w:r>
      <w:r>
        <w:rPr>
          <w:rFonts w:hint="eastAsia" w:eastAsia="仿宋_GB2312"/>
          <w:spacing w:val="-8"/>
          <w:kern w:val="0"/>
          <w:sz w:val="28"/>
          <w:szCs w:val="28"/>
        </w:rPr>
        <w:t>4</w:t>
      </w:r>
      <w:r>
        <w:rPr>
          <w:rFonts w:eastAsia="仿宋_GB2312"/>
          <w:spacing w:val="-8"/>
          <w:kern w:val="0"/>
          <w:sz w:val="28"/>
          <w:szCs w:val="28"/>
        </w:rPr>
        <w:t>]1号），并于202</w:t>
      </w:r>
      <w:r>
        <w:rPr>
          <w:rFonts w:hint="eastAsia" w:eastAsia="仿宋_GB2312"/>
          <w:spacing w:val="-8"/>
          <w:kern w:val="0"/>
          <w:sz w:val="28"/>
          <w:szCs w:val="28"/>
        </w:rPr>
        <w:t>4</w:t>
      </w:r>
      <w:r>
        <w:rPr>
          <w:rFonts w:eastAsia="仿宋_GB2312"/>
          <w:spacing w:val="-8"/>
          <w:kern w:val="0"/>
          <w:sz w:val="28"/>
          <w:szCs w:val="28"/>
        </w:rPr>
        <w:t>年9月</w:t>
      </w:r>
      <w:r>
        <w:rPr>
          <w:rFonts w:hint="eastAsia" w:eastAsia="仿宋_GB2312"/>
          <w:spacing w:val="-8"/>
          <w:kern w:val="0"/>
          <w:sz w:val="28"/>
          <w:szCs w:val="28"/>
        </w:rPr>
        <w:t>13</w:t>
      </w:r>
      <w:r>
        <w:rPr>
          <w:rFonts w:eastAsia="仿宋_GB2312"/>
          <w:spacing w:val="-8"/>
          <w:kern w:val="0"/>
          <w:sz w:val="28"/>
          <w:szCs w:val="28"/>
        </w:rPr>
        <w:t>日完成自主环保验收</w:t>
      </w:r>
      <w:r>
        <w:rPr>
          <w:rFonts w:eastAsia="仿宋_GB2312"/>
          <w:sz w:val="28"/>
          <w:szCs w:val="28"/>
        </w:rPr>
        <w:t>。</w:t>
      </w:r>
      <w:r>
        <w:rPr>
          <w:rFonts w:hint="eastAsia" w:eastAsia="仿宋_GB2312"/>
          <w:spacing w:val="-8"/>
          <w:kern w:val="0"/>
          <w:sz w:val="28"/>
          <w:szCs w:val="28"/>
        </w:rPr>
        <w:t>目前</w:t>
      </w:r>
      <w:r>
        <w:rPr>
          <w:rFonts w:eastAsia="仿宋_GB2312"/>
          <w:spacing w:val="-8"/>
          <w:kern w:val="0"/>
          <w:sz w:val="28"/>
          <w:szCs w:val="28"/>
        </w:rPr>
        <w:t>项目正常运行。</w:t>
      </w:r>
    </w:p>
    <w:p w14:paraId="5DEDA896">
      <w:pPr>
        <w:spacing w:line="500" w:lineRule="exact"/>
        <w:ind w:firstLine="560" w:firstLineChars="200"/>
        <w:rPr>
          <w:rFonts w:eastAsia="仿宋_GB2312"/>
          <w:color w:val="auto"/>
          <w:sz w:val="28"/>
          <w:szCs w:val="28"/>
        </w:rPr>
      </w:pPr>
      <w:r>
        <w:rPr>
          <w:rFonts w:eastAsia="仿宋_GB2312"/>
          <w:color w:val="auto"/>
          <w:sz w:val="28"/>
          <w:szCs w:val="28"/>
        </w:rPr>
        <w:t>202</w:t>
      </w:r>
      <w:r>
        <w:rPr>
          <w:rFonts w:hint="eastAsia" w:eastAsia="仿宋_GB2312"/>
          <w:color w:val="auto"/>
          <w:sz w:val="28"/>
          <w:szCs w:val="28"/>
          <w:lang w:val="en-US" w:eastAsia="zh-CN"/>
        </w:rPr>
        <w:t>5</w:t>
      </w:r>
      <w:r>
        <w:rPr>
          <w:rFonts w:eastAsia="仿宋_GB2312"/>
          <w:color w:val="auto"/>
          <w:sz w:val="28"/>
          <w:szCs w:val="28"/>
        </w:rPr>
        <w:t>年</w:t>
      </w:r>
      <w:r>
        <w:rPr>
          <w:rFonts w:hint="eastAsia" w:eastAsia="仿宋_GB2312"/>
          <w:color w:val="auto"/>
          <w:sz w:val="28"/>
          <w:szCs w:val="28"/>
          <w:lang w:val="en-US" w:eastAsia="zh-CN"/>
        </w:rPr>
        <w:t>8</w:t>
      </w:r>
      <w:r>
        <w:rPr>
          <w:rFonts w:eastAsia="仿宋_GB2312"/>
          <w:color w:val="auto"/>
          <w:sz w:val="28"/>
          <w:szCs w:val="28"/>
        </w:rPr>
        <w:t>月1</w:t>
      </w:r>
      <w:r>
        <w:rPr>
          <w:rFonts w:hint="eastAsia" w:eastAsia="仿宋_GB2312"/>
          <w:color w:val="auto"/>
          <w:sz w:val="28"/>
          <w:szCs w:val="28"/>
          <w:lang w:val="en-US" w:eastAsia="zh-CN"/>
        </w:rPr>
        <w:t>3</w:t>
      </w:r>
      <w:r>
        <w:rPr>
          <w:rFonts w:eastAsia="仿宋_GB2312"/>
          <w:color w:val="auto"/>
          <w:sz w:val="28"/>
          <w:szCs w:val="28"/>
        </w:rPr>
        <w:t>日，</w:t>
      </w:r>
      <w:r>
        <w:rPr>
          <w:rFonts w:hint="eastAsia" w:eastAsia="仿宋_GB2312"/>
          <w:color w:val="auto"/>
          <w:sz w:val="28"/>
          <w:szCs w:val="28"/>
          <w:lang w:val="en-US" w:eastAsia="zh-CN"/>
        </w:rPr>
        <w:t>盈天公司对部分车间废气治理设施进行优化，</w:t>
      </w:r>
      <w:r>
        <w:rPr>
          <w:rFonts w:eastAsia="仿宋_GB2312"/>
          <w:color w:val="auto"/>
          <w:sz w:val="28"/>
          <w:szCs w:val="28"/>
        </w:rPr>
        <w:t>并填报“</w:t>
      </w:r>
      <w:r>
        <w:rPr>
          <w:rFonts w:hint="eastAsia" w:eastAsia="仿宋_GB2312"/>
          <w:color w:val="auto"/>
          <w:sz w:val="28"/>
          <w:szCs w:val="28"/>
          <w:lang w:val="en-US" w:eastAsia="zh-CN"/>
        </w:rPr>
        <w:t>盈天溶剂车间废气治理设施优化</w:t>
      </w:r>
      <w:r>
        <w:rPr>
          <w:rFonts w:eastAsia="仿宋_GB2312"/>
          <w:color w:val="auto"/>
          <w:sz w:val="28"/>
          <w:szCs w:val="28"/>
        </w:rPr>
        <w:t>项目”环境影响登记表，备案号：202</w:t>
      </w:r>
      <w:r>
        <w:rPr>
          <w:rFonts w:hint="eastAsia" w:eastAsia="仿宋_GB2312"/>
          <w:color w:val="auto"/>
          <w:sz w:val="28"/>
          <w:szCs w:val="28"/>
          <w:lang w:val="en-US" w:eastAsia="zh-CN"/>
        </w:rPr>
        <w:t>532041100000250</w:t>
      </w:r>
      <w:r>
        <w:rPr>
          <w:rFonts w:eastAsia="仿宋_GB2312"/>
          <w:color w:val="auto"/>
          <w:sz w:val="28"/>
          <w:szCs w:val="28"/>
        </w:rPr>
        <w:t>。</w:t>
      </w:r>
    </w:p>
    <w:p w14:paraId="12BFD32E">
      <w:pPr>
        <w:spacing w:line="500" w:lineRule="exact"/>
        <w:ind w:firstLine="528" w:firstLineChars="200"/>
        <w:rPr>
          <w:rFonts w:eastAsia="仿宋_GB2312"/>
          <w:spacing w:val="-8"/>
          <w:kern w:val="0"/>
          <w:sz w:val="28"/>
          <w:szCs w:val="28"/>
        </w:rPr>
      </w:pPr>
      <w:r>
        <w:rPr>
          <w:rFonts w:eastAsia="仿宋_GB2312"/>
          <w:spacing w:val="-8"/>
          <w:kern w:val="0"/>
          <w:sz w:val="28"/>
          <w:szCs w:val="28"/>
        </w:rPr>
        <w:t>公司于2020年4月16日首次申领了排污许可证（证书编号：91320411789052966B001V），并于202</w:t>
      </w:r>
      <w:r>
        <w:rPr>
          <w:rFonts w:hint="eastAsia" w:eastAsia="仿宋_GB2312"/>
          <w:spacing w:val="-8"/>
          <w:kern w:val="0"/>
          <w:sz w:val="28"/>
          <w:szCs w:val="28"/>
        </w:rPr>
        <w:t>4</w:t>
      </w:r>
      <w:r>
        <w:rPr>
          <w:rFonts w:eastAsia="仿宋_GB2312"/>
          <w:spacing w:val="-8"/>
          <w:kern w:val="0"/>
          <w:sz w:val="28"/>
          <w:szCs w:val="28"/>
        </w:rPr>
        <w:t>年</w:t>
      </w:r>
      <w:r>
        <w:rPr>
          <w:rFonts w:hint="eastAsia" w:eastAsia="仿宋_GB2312"/>
          <w:spacing w:val="-8"/>
          <w:kern w:val="0"/>
          <w:sz w:val="28"/>
          <w:szCs w:val="28"/>
        </w:rPr>
        <w:t>6</w:t>
      </w:r>
      <w:r>
        <w:rPr>
          <w:rFonts w:eastAsia="仿宋_GB2312"/>
          <w:spacing w:val="-8"/>
          <w:kern w:val="0"/>
          <w:sz w:val="28"/>
          <w:szCs w:val="28"/>
        </w:rPr>
        <w:t>月1</w:t>
      </w:r>
      <w:r>
        <w:rPr>
          <w:rFonts w:hint="eastAsia" w:eastAsia="仿宋_GB2312"/>
          <w:spacing w:val="-8"/>
          <w:kern w:val="0"/>
          <w:sz w:val="28"/>
          <w:szCs w:val="28"/>
        </w:rPr>
        <w:t>1</w:t>
      </w:r>
      <w:r>
        <w:rPr>
          <w:rFonts w:eastAsia="仿宋_GB2312"/>
          <w:spacing w:val="-8"/>
          <w:kern w:val="0"/>
          <w:sz w:val="28"/>
          <w:szCs w:val="28"/>
        </w:rPr>
        <w:t>日重新申请了排污许可证，有效期为202</w:t>
      </w:r>
      <w:r>
        <w:rPr>
          <w:rFonts w:hint="eastAsia" w:eastAsia="仿宋_GB2312"/>
          <w:spacing w:val="-8"/>
          <w:kern w:val="0"/>
          <w:sz w:val="28"/>
          <w:szCs w:val="28"/>
        </w:rPr>
        <w:t>4</w:t>
      </w:r>
      <w:r>
        <w:rPr>
          <w:rFonts w:eastAsia="仿宋_GB2312"/>
          <w:spacing w:val="-8"/>
          <w:kern w:val="0"/>
          <w:sz w:val="28"/>
          <w:szCs w:val="28"/>
        </w:rPr>
        <w:t>年</w:t>
      </w:r>
      <w:r>
        <w:rPr>
          <w:rFonts w:hint="eastAsia" w:eastAsia="仿宋_GB2312"/>
          <w:spacing w:val="-8"/>
          <w:kern w:val="0"/>
          <w:sz w:val="28"/>
          <w:szCs w:val="28"/>
        </w:rPr>
        <w:t>6</w:t>
      </w:r>
      <w:r>
        <w:rPr>
          <w:rFonts w:eastAsia="仿宋_GB2312"/>
          <w:spacing w:val="-8"/>
          <w:kern w:val="0"/>
          <w:sz w:val="28"/>
          <w:szCs w:val="28"/>
        </w:rPr>
        <w:t>月1</w:t>
      </w:r>
      <w:r>
        <w:rPr>
          <w:rFonts w:hint="eastAsia" w:eastAsia="仿宋_GB2312"/>
          <w:spacing w:val="-8"/>
          <w:kern w:val="0"/>
          <w:sz w:val="28"/>
          <w:szCs w:val="28"/>
        </w:rPr>
        <w:t>4</w:t>
      </w:r>
      <w:r>
        <w:rPr>
          <w:rFonts w:eastAsia="仿宋_GB2312"/>
          <w:spacing w:val="-8"/>
          <w:kern w:val="0"/>
          <w:sz w:val="28"/>
          <w:szCs w:val="28"/>
        </w:rPr>
        <w:t>日至202</w:t>
      </w:r>
      <w:r>
        <w:rPr>
          <w:rFonts w:hint="eastAsia" w:eastAsia="仿宋_GB2312"/>
          <w:spacing w:val="-8"/>
          <w:kern w:val="0"/>
          <w:sz w:val="28"/>
          <w:szCs w:val="28"/>
        </w:rPr>
        <w:t>9</w:t>
      </w:r>
      <w:r>
        <w:rPr>
          <w:rFonts w:eastAsia="仿宋_GB2312"/>
          <w:spacing w:val="-8"/>
          <w:kern w:val="0"/>
          <w:sz w:val="28"/>
          <w:szCs w:val="28"/>
        </w:rPr>
        <w:t>年</w:t>
      </w:r>
      <w:r>
        <w:rPr>
          <w:rFonts w:hint="eastAsia" w:eastAsia="仿宋_GB2312"/>
          <w:spacing w:val="-8"/>
          <w:kern w:val="0"/>
          <w:sz w:val="28"/>
          <w:szCs w:val="28"/>
        </w:rPr>
        <w:t>6</w:t>
      </w:r>
      <w:r>
        <w:rPr>
          <w:rFonts w:eastAsia="仿宋_GB2312"/>
          <w:spacing w:val="-8"/>
          <w:kern w:val="0"/>
          <w:sz w:val="28"/>
          <w:szCs w:val="28"/>
        </w:rPr>
        <w:t>月1</w:t>
      </w:r>
      <w:r>
        <w:rPr>
          <w:rFonts w:hint="eastAsia" w:eastAsia="仿宋_GB2312"/>
          <w:spacing w:val="-8"/>
          <w:kern w:val="0"/>
          <w:sz w:val="28"/>
          <w:szCs w:val="28"/>
        </w:rPr>
        <w:t>3</w:t>
      </w:r>
      <w:r>
        <w:rPr>
          <w:rFonts w:eastAsia="仿宋_GB2312"/>
          <w:spacing w:val="-8"/>
          <w:kern w:val="0"/>
          <w:sz w:val="28"/>
          <w:szCs w:val="28"/>
        </w:rPr>
        <w:t>日。公司已按照《排污单位环境管理台账及排污许可证执行报告技术规范 总则（试行）》（HJ944-2018）等相关标准要求，对自行监测、污染物排放及落实各项环境管理要求等行为形成定期报告，并在排污许可管理平台填报并保存。</w:t>
      </w:r>
    </w:p>
    <w:p w14:paraId="64154D6C">
      <w:pPr>
        <w:spacing w:line="500" w:lineRule="exact"/>
        <w:ind w:firstLine="528" w:firstLineChars="200"/>
        <w:rPr>
          <w:rFonts w:eastAsia="仿宋_GB2312"/>
          <w:color w:val="FF0000"/>
          <w:spacing w:val="-8"/>
          <w:kern w:val="0"/>
          <w:sz w:val="28"/>
          <w:szCs w:val="28"/>
        </w:rPr>
      </w:pPr>
      <w:r>
        <w:rPr>
          <w:rFonts w:eastAsia="仿宋_GB2312"/>
          <w:spacing w:val="-8"/>
          <w:kern w:val="0"/>
          <w:sz w:val="28"/>
          <w:szCs w:val="28"/>
        </w:rPr>
        <w:t>企业目前的危险废物经营许可证有溶剂回收处置的，证书编号JSCZ0411OOD016-</w:t>
      </w:r>
      <w:r>
        <w:rPr>
          <w:rFonts w:hint="eastAsia" w:eastAsia="仿宋_GB2312"/>
          <w:spacing w:val="-8"/>
          <w:kern w:val="0"/>
          <w:sz w:val="28"/>
          <w:szCs w:val="28"/>
        </w:rPr>
        <w:t>1</w:t>
      </w:r>
      <w:r>
        <w:rPr>
          <w:rFonts w:hint="eastAsia" w:eastAsia="仿宋_GB2312"/>
          <w:spacing w:val="-8"/>
          <w:kern w:val="0"/>
          <w:sz w:val="28"/>
          <w:szCs w:val="28"/>
          <w:lang w:val="en-US" w:eastAsia="zh-CN"/>
        </w:rPr>
        <w:t>1</w:t>
      </w:r>
      <w:r>
        <w:rPr>
          <w:rFonts w:eastAsia="仿宋_GB2312"/>
          <w:spacing w:val="-8"/>
          <w:kern w:val="0"/>
          <w:sz w:val="28"/>
          <w:szCs w:val="28"/>
        </w:rPr>
        <w:t>，有效期自202</w:t>
      </w:r>
      <w:r>
        <w:rPr>
          <w:rFonts w:hint="eastAsia" w:eastAsia="仿宋_GB2312"/>
          <w:spacing w:val="-8"/>
          <w:kern w:val="0"/>
          <w:sz w:val="28"/>
          <w:szCs w:val="28"/>
          <w:lang w:val="en-US" w:eastAsia="zh-CN"/>
        </w:rPr>
        <w:t>6</w:t>
      </w:r>
      <w:r>
        <w:rPr>
          <w:rFonts w:eastAsia="仿宋_GB2312"/>
          <w:spacing w:val="-8"/>
          <w:kern w:val="0"/>
          <w:sz w:val="28"/>
          <w:szCs w:val="28"/>
        </w:rPr>
        <w:t>年</w:t>
      </w:r>
      <w:r>
        <w:rPr>
          <w:rFonts w:hint="eastAsia" w:eastAsia="仿宋_GB2312"/>
          <w:spacing w:val="-8"/>
          <w:kern w:val="0"/>
          <w:sz w:val="28"/>
          <w:szCs w:val="28"/>
          <w:lang w:val="en-US" w:eastAsia="zh-CN"/>
        </w:rPr>
        <w:t>7</w:t>
      </w:r>
      <w:r>
        <w:rPr>
          <w:rFonts w:eastAsia="仿宋_GB2312"/>
          <w:spacing w:val="-8"/>
          <w:kern w:val="0"/>
          <w:sz w:val="28"/>
          <w:szCs w:val="28"/>
        </w:rPr>
        <w:t>月至202</w:t>
      </w:r>
      <w:r>
        <w:rPr>
          <w:rFonts w:hint="eastAsia" w:eastAsia="仿宋_GB2312"/>
          <w:spacing w:val="-8"/>
          <w:kern w:val="0"/>
          <w:sz w:val="28"/>
          <w:szCs w:val="28"/>
          <w:lang w:val="en-US" w:eastAsia="zh-CN"/>
        </w:rPr>
        <w:t>9</w:t>
      </w:r>
      <w:r>
        <w:rPr>
          <w:rFonts w:eastAsia="仿宋_GB2312"/>
          <w:spacing w:val="-8"/>
          <w:kern w:val="0"/>
          <w:sz w:val="28"/>
          <w:szCs w:val="28"/>
        </w:rPr>
        <w:t>年</w:t>
      </w:r>
      <w:r>
        <w:rPr>
          <w:rFonts w:hint="eastAsia" w:eastAsia="仿宋_GB2312"/>
          <w:spacing w:val="-8"/>
          <w:kern w:val="0"/>
          <w:sz w:val="28"/>
          <w:szCs w:val="28"/>
          <w:lang w:val="en-US" w:eastAsia="zh-CN"/>
        </w:rPr>
        <w:t>7</w:t>
      </w:r>
      <w:r>
        <w:rPr>
          <w:rFonts w:eastAsia="仿宋_GB2312"/>
          <w:spacing w:val="-8"/>
          <w:kern w:val="0"/>
          <w:sz w:val="28"/>
          <w:szCs w:val="28"/>
        </w:rPr>
        <w:t>月；焚烧处置的，证书编号JS0411OOI580-</w:t>
      </w:r>
      <w:r>
        <w:rPr>
          <w:rFonts w:hint="eastAsia" w:eastAsia="仿宋_GB2312"/>
          <w:spacing w:val="-8"/>
          <w:kern w:val="0"/>
          <w:sz w:val="28"/>
          <w:szCs w:val="28"/>
        </w:rPr>
        <w:t>4</w:t>
      </w:r>
      <w:r>
        <w:rPr>
          <w:rFonts w:eastAsia="仿宋_GB2312"/>
          <w:spacing w:val="-8"/>
          <w:kern w:val="0"/>
          <w:sz w:val="28"/>
          <w:szCs w:val="28"/>
        </w:rPr>
        <w:t>，有效期自202</w:t>
      </w:r>
      <w:r>
        <w:rPr>
          <w:rFonts w:hint="eastAsia" w:eastAsia="仿宋_GB2312"/>
          <w:spacing w:val="-8"/>
          <w:kern w:val="0"/>
          <w:sz w:val="28"/>
          <w:szCs w:val="28"/>
        </w:rPr>
        <w:t>5</w:t>
      </w:r>
      <w:r>
        <w:rPr>
          <w:rFonts w:eastAsia="仿宋_GB2312"/>
          <w:spacing w:val="-8"/>
          <w:kern w:val="0"/>
          <w:sz w:val="28"/>
          <w:szCs w:val="28"/>
        </w:rPr>
        <w:t>年2月至20</w:t>
      </w:r>
      <w:r>
        <w:rPr>
          <w:rFonts w:hint="eastAsia" w:eastAsia="仿宋_GB2312"/>
          <w:spacing w:val="-8"/>
          <w:kern w:val="0"/>
          <w:sz w:val="28"/>
          <w:szCs w:val="28"/>
        </w:rPr>
        <w:t>30</w:t>
      </w:r>
      <w:r>
        <w:rPr>
          <w:rFonts w:eastAsia="仿宋_GB2312"/>
          <w:spacing w:val="-8"/>
          <w:kern w:val="0"/>
          <w:sz w:val="28"/>
          <w:szCs w:val="28"/>
        </w:rPr>
        <w:t>年1月。</w:t>
      </w:r>
    </w:p>
    <w:p w14:paraId="20480D8A">
      <w:pPr>
        <w:spacing w:line="500" w:lineRule="exact"/>
        <w:ind w:firstLine="528" w:firstLineChars="200"/>
        <w:rPr>
          <w:rFonts w:eastAsia="仿宋_GB2312"/>
          <w:spacing w:val="-8"/>
          <w:kern w:val="0"/>
          <w:sz w:val="28"/>
          <w:szCs w:val="28"/>
        </w:rPr>
      </w:pPr>
      <w:r>
        <w:rPr>
          <w:rFonts w:eastAsia="仿宋_GB2312"/>
          <w:spacing w:val="-8"/>
          <w:kern w:val="0"/>
          <w:sz w:val="28"/>
          <w:szCs w:val="28"/>
        </w:rPr>
        <w:t>危险废物经营许可证（编号JSCZ0411OOD016-</w:t>
      </w:r>
      <w:r>
        <w:rPr>
          <w:rFonts w:hint="eastAsia" w:eastAsia="仿宋_GB2312"/>
          <w:spacing w:val="-8"/>
          <w:kern w:val="0"/>
          <w:sz w:val="28"/>
          <w:szCs w:val="28"/>
        </w:rPr>
        <w:t>1</w:t>
      </w:r>
      <w:r>
        <w:rPr>
          <w:rFonts w:hint="eastAsia" w:eastAsia="仿宋_GB2312"/>
          <w:spacing w:val="-8"/>
          <w:kern w:val="0"/>
          <w:sz w:val="28"/>
          <w:szCs w:val="28"/>
          <w:lang w:val="en-US" w:eastAsia="zh-CN"/>
        </w:rPr>
        <w:t>1</w:t>
      </w:r>
      <w:r>
        <w:rPr>
          <w:rFonts w:eastAsia="仿宋_GB2312"/>
          <w:spacing w:val="-8"/>
          <w:kern w:val="0"/>
          <w:sz w:val="28"/>
          <w:szCs w:val="28"/>
        </w:rPr>
        <w:t>）</w:t>
      </w:r>
      <w:r>
        <w:rPr>
          <w:rFonts w:hint="eastAsia" w:eastAsia="仿宋_GB2312"/>
          <w:spacing w:val="-8"/>
          <w:kern w:val="0"/>
          <w:sz w:val="28"/>
          <w:szCs w:val="28"/>
        </w:rPr>
        <w:t>核准经营</w:t>
      </w:r>
      <w:r>
        <w:rPr>
          <w:rFonts w:eastAsia="仿宋_GB2312"/>
          <w:spacing w:val="-8"/>
          <w:kern w:val="0"/>
          <w:sz w:val="28"/>
          <w:szCs w:val="28"/>
        </w:rPr>
        <w:t>：</w:t>
      </w:r>
      <w:r>
        <w:rPr>
          <w:rFonts w:hint="eastAsia" w:eastAsia="仿宋_GB2312"/>
          <w:spacing w:val="-8"/>
          <w:kern w:val="0"/>
          <w:sz w:val="28"/>
          <w:szCs w:val="28"/>
        </w:rPr>
        <w:t>利用废有机溶剂（HW02）、（HW06）79125吨/年（包括二氯甲烷废液、二氯乙烷废液、甲苯废液、二甲苯废液、乙腈废液、DMF废液、丁酮废液、乙酸乙酯废液、乙酸丁酯废液、正庚烷废液、乙酸甲酯废液、异丙醇废液、乙醇废液、甲醇废液、四氢呋喃废液、丙二醇单甲醚废液、多元醇废液、二甲基亚砜废液、二丙酮醇废液、丙酮废液、光阻液废液、二丁醚废液、丙二醇废液、已烷废液、N-甲基吡咯烷酮废液、乙二醇废液、丁醇、辛醇轻重组分废液、环已烷废液、环已酮废液、环戊酮废液），废有机溶剂（HW11）15310吨/年（包括N-甲基吡咯烷酮废酮废液、环戊酮废液、乙醇废液、甲醇废液、乙腈废液、精馏残液），废有机溶剂（HW12）2150吨/年（包括环已烷废液、环已酮废液、环戊酮废液、乙二醇废液、丁酮废液、甲苯废液、二甲苯废液、乙酸乙酯废液、乙酸丁酯废液、正庚烷废液、乙酸甲酯废液、异丙醇废液、乙醇废液、甲醇废液、乙腈废液、丁醇、辛醇轻重组分废液），废有机溶剂（HW13）1450吨/年（包括乙二醇废液、丁酮废液、甲苯废液、二甲苯废液、乙酸乙酯废液、乙酸丁酯废液、正庚烷废液、乙酸甲酯废液、异丙醇废液、乙醇废液、甲醇废液、乙腈废液、环已烷废液、环己酮废液、环戊酮废液、多元醇废液、丁醇、辛醇轻重组分废液），废二甲基亚砜（HW16）580吨/年，醋酸废液（HW34）2100吨/年，废有机溶剂（HW40）225吨/年（包括丙二醇单甲醚废液、石油醚废液），废有机溶剂（HW49）1210吨/年（包括乙醇废液、甲醇废液、乙腈废液、N-甲基吡咯烷酮废液、DMF废液、二甲基亚砜废液）；预处理矿物油（HW08）500吨/年；处置废有机溶剂与含有机溶剂废物（HW06）6000吨/年，废矿物油与含矿物油废物（HW08）200吨/年，油/水、烃/水合物或乳化液（HW09）1000吨/年，染料、涂料废物（HW12）500吨/年，有机树脂类废物（HW13）300吨/年，表面处理废物（HW17）1000吨/年，废酸（HW34）500吨/年废碱（HW35）500吨/年；合计112650吨/年。</w:t>
      </w:r>
    </w:p>
    <w:p w14:paraId="073C30CB">
      <w:pPr>
        <w:spacing w:line="500" w:lineRule="exact"/>
        <w:ind w:firstLine="528" w:firstLineChars="200"/>
        <w:rPr>
          <w:rFonts w:eastAsia="仿宋_GB2312"/>
          <w:color w:val="FF0000"/>
          <w:spacing w:val="-8"/>
          <w:kern w:val="0"/>
          <w:sz w:val="28"/>
          <w:szCs w:val="28"/>
        </w:rPr>
      </w:pPr>
      <w:r>
        <w:rPr>
          <w:rFonts w:hint="eastAsia" w:eastAsia="仿宋_GB2312"/>
          <w:spacing w:val="-8"/>
          <w:kern w:val="0"/>
          <w:sz w:val="28"/>
          <w:szCs w:val="28"/>
        </w:rPr>
        <w:t>危险废物经营许可证（编号JS0411OOI580-4）核准经营：2#焚烧线焚烧处置医疗废物（HW02），废药物、药品（HW03），农药废物（HW04），木材防腐剂废物（HW05），废有机溶剂与含有机溶剂废物（HW06），热处理含氰废物（HW07），废矿物油与含矿物油废物（HW08），油/水、烃/水混合物或乳化液（HW09），精（蒸）馏残渣（HW11），染料、涂料废物（HW12），有机树脂类废物（HW13），新化学物质废物（HW14），感光材料废物（HW16），表面处理废物（HW17），含金属羰基化合物废物（HW19），无机氰化物废物（HW33），废酸（HW34），废碱（HW35），有机磷化合物废物（HW37），有机氰化物废物（HW38），含酚废物（HW39），含醚废物（HW40），含有机卤化物废物（HW45），其他废物（HW49，仅限900-039-49、900-041-49、900-042-49、900-046-49、900-047-49、900-999-49、772-006-49），废催化剂（HW50，仅限261-151-50、261-152-50、261-183-50、263-013-50、271-006-50、275-009-50、276-006-50、900-048-50），合计23000吨/年。</w:t>
      </w:r>
    </w:p>
    <w:p w14:paraId="2B287E11">
      <w:pPr>
        <w:pStyle w:val="2"/>
        <w:ind w:left="0"/>
        <w:rPr>
          <w:color w:val="FF0000"/>
          <w:spacing w:val="-8"/>
          <w:sz w:val="28"/>
          <w:szCs w:val="28"/>
        </w:rPr>
        <w:sectPr>
          <w:footerReference r:id="rId4" w:type="default"/>
          <w:pgSz w:w="11906" w:h="16838"/>
          <w:pgMar w:top="1440" w:right="1800" w:bottom="1440" w:left="1800" w:header="794" w:footer="992" w:gutter="0"/>
          <w:pgBorders>
            <w:top w:val="none" w:sz="0" w:space="0"/>
            <w:left w:val="none" w:sz="0" w:space="0"/>
            <w:bottom w:val="none" w:sz="0" w:space="0"/>
            <w:right w:val="none" w:sz="0" w:space="0"/>
          </w:pgBorders>
          <w:pgNumType w:fmt="decimal" w:start="1"/>
          <w:cols w:space="425" w:num="1"/>
          <w:docGrid w:linePitch="381" w:charSpace="0"/>
        </w:sectPr>
      </w:pPr>
    </w:p>
    <w:p w14:paraId="4B790CFE">
      <w:pPr>
        <w:pStyle w:val="6"/>
        <w:keepLines w:val="0"/>
        <w:tabs>
          <w:tab w:val="left" w:pos="709"/>
        </w:tabs>
        <w:spacing w:before="120" w:beforeLines="50" w:after="120" w:afterLines="50" w:line="500" w:lineRule="exact"/>
        <w:rPr>
          <w:rFonts w:eastAsia="仿宋_GB2312"/>
          <w:sz w:val="28"/>
          <w:szCs w:val="28"/>
        </w:rPr>
      </w:pPr>
      <w:bookmarkStart w:id="20" w:name="_Toc3277"/>
      <w:r>
        <w:rPr>
          <w:rFonts w:eastAsia="仿宋_GB2312"/>
          <w:sz w:val="28"/>
          <w:szCs w:val="28"/>
        </w:rPr>
        <w:t>3.1.</w:t>
      </w:r>
      <w:r>
        <w:rPr>
          <w:rFonts w:hint="eastAsia" w:eastAsia="仿宋_GB2312"/>
          <w:sz w:val="28"/>
          <w:szCs w:val="28"/>
        </w:rPr>
        <w:t>2原有项目建设内容</w:t>
      </w:r>
      <w:bookmarkEnd w:id="20"/>
    </w:p>
    <w:p w14:paraId="7DF45CAA">
      <w:pPr>
        <w:spacing w:line="500" w:lineRule="exact"/>
        <w:ind w:firstLine="528" w:firstLineChars="200"/>
        <w:rPr>
          <w:rFonts w:eastAsia="仿宋_GB2312"/>
          <w:spacing w:val="-8"/>
          <w:kern w:val="0"/>
          <w:sz w:val="28"/>
          <w:szCs w:val="28"/>
        </w:rPr>
      </w:pPr>
      <w:r>
        <w:rPr>
          <w:rFonts w:eastAsia="仿宋_GB2312"/>
          <w:spacing w:val="-8"/>
          <w:kern w:val="0"/>
          <w:sz w:val="28"/>
          <w:szCs w:val="28"/>
        </w:rPr>
        <w:t>原有项目建设内容见表3.1-1。</w:t>
      </w:r>
    </w:p>
    <w:p w14:paraId="2293D148">
      <w:pPr>
        <w:spacing w:line="500" w:lineRule="exact"/>
        <w:jc w:val="center"/>
        <w:rPr>
          <w:rFonts w:eastAsia="仿宋_GB2312"/>
          <w:b/>
          <w:sz w:val="24"/>
        </w:rPr>
      </w:pPr>
      <w:r>
        <w:rPr>
          <w:rFonts w:eastAsia="仿宋_GB2312"/>
          <w:b/>
          <w:sz w:val="24"/>
        </w:rPr>
        <w:t>表3.1-1  原有项目建设内容一览表</w:t>
      </w:r>
    </w:p>
    <w:tbl>
      <w:tblPr>
        <w:tblStyle w:val="88"/>
        <w:tblW w:w="4998"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217"/>
        <w:gridCol w:w="1281"/>
        <w:gridCol w:w="907"/>
        <w:gridCol w:w="1335"/>
        <w:gridCol w:w="1672"/>
        <w:gridCol w:w="1728"/>
        <w:gridCol w:w="1766"/>
        <w:gridCol w:w="1927"/>
        <w:gridCol w:w="1618"/>
      </w:tblGrid>
      <w:tr w14:paraId="64D973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52" w:type="pct"/>
            <w:shd w:val="clear" w:color="auto" w:fill="auto"/>
            <w:vAlign w:val="center"/>
          </w:tcPr>
          <w:p w14:paraId="1BD083CF">
            <w:pPr>
              <w:widowControl/>
              <w:snapToGrid w:val="0"/>
              <w:spacing w:line="320" w:lineRule="exact"/>
              <w:jc w:val="center"/>
              <w:rPr>
                <w:rFonts w:eastAsia="仿宋_GB2312"/>
                <w:b/>
                <w:bCs/>
                <w:color w:val="000000" w:themeColor="text1"/>
                <w:szCs w:val="21"/>
                <w14:textFill>
                  <w14:solidFill>
                    <w14:schemeClr w14:val="tx1"/>
                  </w14:solidFill>
                </w14:textFill>
              </w:rPr>
            </w:pPr>
            <w:r>
              <w:rPr>
                <w:rFonts w:hint="eastAsia" w:eastAsia="仿宋_GB2312"/>
                <w:b/>
                <w:bCs/>
                <w:color w:val="000000" w:themeColor="text1"/>
                <w:szCs w:val="21"/>
                <w14:textFill>
                  <w14:solidFill>
                    <w14:schemeClr w14:val="tx1"/>
                  </w14:solidFill>
                </w14:textFill>
              </w:rPr>
              <w:t>类别</w:t>
            </w:r>
          </w:p>
        </w:tc>
        <w:tc>
          <w:tcPr>
            <w:tcW w:w="476" w:type="pct"/>
            <w:shd w:val="clear" w:color="auto" w:fill="auto"/>
            <w:vAlign w:val="center"/>
          </w:tcPr>
          <w:p w14:paraId="295D6F12">
            <w:pPr>
              <w:widowControl/>
              <w:snapToGrid w:val="0"/>
              <w:spacing w:line="320" w:lineRule="exact"/>
              <w:jc w:val="center"/>
              <w:rPr>
                <w:rFonts w:eastAsia="仿宋_GB2312"/>
                <w:b/>
                <w:bCs/>
                <w:color w:val="000000" w:themeColor="text1"/>
                <w:szCs w:val="21"/>
                <w14:textFill>
                  <w14:solidFill>
                    <w14:schemeClr w14:val="tx1"/>
                  </w14:solidFill>
                </w14:textFill>
              </w:rPr>
            </w:pPr>
            <w:r>
              <w:rPr>
                <w:rFonts w:eastAsia="仿宋_GB2312"/>
                <w:b/>
                <w:bCs/>
                <w:color w:val="000000" w:themeColor="text1"/>
                <w:szCs w:val="21"/>
                <w14:textFill>
                  <w14:solidFill>
                    <w14:schemeClr w14:val="tx1"/>
                  </w14:solidFill>
                </w14:textFill>
              </w:rPr>
              <w:t>生产车间</w:t>
            </w:r>
            <w:r>
              <w:rPr>
                <w:rFonts w:hint="eastAsia" w:eastAsia="仿宋_GB2312"/>
                <w:b/>
                <w:bCs/>
                <w:color w:val="000000" w:themeColor="text1"/>
                <w:szCs w:val="21"/>
                <w14:textFill>
                  <w14:solidFill>
                    <w14:schemeClr w14:val="tx1"/>
                  </w14:solidFill>
                </w14:textFill>
              </w:rPr>
              <w:t>/装置</w:t>
            </w:r>
          </w:p>
        </w:tc>
        <w:tc>
          <w:tcPr>
            <w:tcW w:w="337" w:type="pct"/>
            <w:shd w:val="clear" w:color="auto" w:fill="auto"/>
            <w:vAlign w:val="center"/>
          </w:tcPr>
          <w:p w14:paraId="007ADB56">
            <w:pPr>
              <w:widowControl/>
              <w:snapToGrid w:val="0"/>
              <w:spacing w:line="320" w:lineRule="exact"/>
              <w:jc w:val="center"/>
              <w:rPr>
                <w:rFonts w:eastAsia="仿宋_GB2312"/>
                <w:b/>
                <w:bCs/>
                <w:color w:val="000000" w:themeColor="text1"/>
                <w:szCs w:val="21"/>
                <w14:textFill>
                  <w14:solidFill>
                    <w14:schemeClr w14:val="tx1"/>
                  </w14:solidFill>
                </w14:textFill>
              </w:rPr>
            </w:pPr>
            <w:r>
              <w:rPr>
                <w:rFonts w:hint="eastAsia" w:eastAsia="仿宋_GB2312"/>
                <w:b/>
                <w:bCs/>
                <w:color w:val="000000" w:themeColor="text1"/>
                <w:szCs w:val="21"/>
                <w14:textFill>
                  <w14:solidFill>
                    <w14:schemeClr w14:val="tx1"/>
                  </w14:solidFill>
                </w14:textFill>
              </w:rPr>
              <w:t>序号</w:t>
            </w:r>
          </w:p>
        </w:tc>
        <w:tc>
          <w:tcPr>
            <w:tcW w:w="1117" w:type="pct"/>
            <w:gridSpan w:val="2"/>
            <w:shd w:val="clear" w:color="auto" w:fill="auto"/>
            <w:vAlign w:val="center"/>
          </w:tcPr>
          <w:p w14:paraId="043D24E6">
            <w:pPr>
              <w:widowControl/>
              <w:snapToGrid w:val="0"/>
              <w:spacing w:line="320" w:lineRule="exact"/>
              <w:jc w:val="center"/>
              <w:rPr>
                <w:rFonts w:eastAsia="仿宋_GB2312"/>
                <w:b/>
                <w:bCs/>
                <w:color w:val="000000" w:themeColor="text1"/>
                <w:szCs w:val="21"/>
                <w14:textFill>
                  <w14:solidFill>
                    <w14:schemeClr w14:val="tx1"/>
                  </w14:solidFill>
                </w14:textFill>
              </w:rPr>
            </w:pPr>
            <w:r>
              <w:rPr>
                <w:rFonts w:eastAsia="仿宋_GB2312"/>
                <w:b/>
                <w:bCs/>
                <w:color w:val="000000" w:themeColor="text1"/>
                <w:szCs w:val="21"/>
                <w14:textFill>
                  <w14:solidFill>
                    <w14:schemeClr w14:val="tx1"/>
                  </w14:solidFill>
                </w14:textFill>
              </w:rPr>
              <w:t>废液</w:t>
            </w:r>
            <w:r>
              <w:rPr>
                <w:rFonts w:hint="eastAsia" w:eastAsia="仿宋_GB2312"/>
                <w:b/>
                <w:bCs/>
                <w:color w:val="000000" w:themeColor="text1"/>
                <w:szCs w:val="21"/>
                <w14:textFill>
                  <w14:solidFill>
                    <w14:schemeClr w14:val="tx1"/>
                  </w14:solidFill>
                </w14:textFill>
              </w:rPr>
              <w:t>/产品</w:t>
            </w:r>
            <w:r>
              <w:rPr>
                <w:rFonts w:eastAsia="仿宋_GB2312"/>
                <w:b/>
                <w:bCs/>
                <w:color w:val="000000" w:themeColor="text1"/>
                <w:szCs w:val="21"/>
                <w14:textFill>
                  <w14:solidFill>
                    <w14:schemeClr w14:val="tx1"/>
                  </w14:solidFill>
                </w14:textFill>
              </w:rPr>
              <w:t>名称</w:t>
            </w:r>
          </w:p>
        </w:tc>
        <w:tc>
          <w:tcPr>
            <w:tcW w:w="642" w:type="pct"/>
            <w:shd w:val="clear" w:color="auto" w:fill="auto"/>
            <w:vAlign w:val="center"/>
          </w:tcPr>
          <w:p w14:paraId="38BD36F1">
            <w:pPr>
              <w:widowControl/>
              <w:snapToGrid w:val="0"/>
              <w:spacing w:line="320" w:lineRule="exact"/>
              <w:jc w:val="center"/>
              <w:rPr>
                <w:rFonts w:eastAsia="仿宋_GB2312"/>
                <w:b/>
                <w:bCs/>
                <w:szCs w:val="21"/>
              </w:rPr>
            </w:pPr>
            <w:r>
              <w:rPr>
                <w:rFonts w:eastAsia="仿宋_GB2312"/>
                <w:b/>
                <w:bCs/>
                <w:szCs w:val="21"/>
              </w:rPr>
              <w:t>环评批复量（t/a）</w:t>
            </w:r>
          </w:p>
        </w:tc>
        <w:tc>
          <w:tcPr>
            <w:tcW w:w="656" w:type="pct"/>
            <w:shd w:val="clear" w:color="auto" w:fill="auto"/>
            <w:vAlign w:val="center"/>
          </w:tcPr>
          <w:p w14:paraId="4DF1810B">
            <w:pPr>
              <w:widowControl/>
              <w:snapToGrid w:val="0"/>
              <w:spacing w:line="320" w:lineRule="exact"/>
              <w:jc w:val="center"/>
              <w:rPr>
                <w:rFonts w:eastAsia="仿宋_GB2312"/>
                <w:b/>
                <w:bCs/>
                <w:szCs w:val="21"/>
              </w:rPr>
            </w:pPr>
            <w:r>
              <w:rPr>
                <w:rFonts w:eastAsia="仿宋_GB2312"/>
                <w:b/>
                <w:bCs/>
                <w:szCs w:val="21"/>
              </w:rPr>
              <w:t>实际建成（t/a）</w:t>
            </w:r>
          </w:p>
        </w:tc>
        <w:tc>
          <w:tcPr>
            <w:tcW w:w="716" w:type="pct"/>
            <w:shd w:val="clear" w:color="auto" w:fill="auto"/>
            <w:vAlign w:val="center"/>
          </w:tcPr>
          <w:p w14:paraId="44F05425">
            <w:pPr>
              <w:widowControl/>
              <w:snapToGrid w:val="0"/>
              <w:spacing w:line="320" w:lineRule="exact"/>
              <w:jc w:val="center"/>
              <w:rPr>
                <w:rFonts w:eastAsia="仿宋_GB2312"/>
                <w:b/>
                <w:bCs/>
                <w:szCs w:val="21"/>
              </w:rPr>
            </w:pPr>
            <w:r>
              <w:rPr>
                <w:rFonts w:eastAsia="仿宋_GB2312"/>
                <w:b/>
                <w:bCs/>
                <w:szCs w:val="21"/>
              </w:rPr>
              <w:t>年运行时数（h/a）</w:t>
            </w:r>
          </w:p>
        </w:tc>
        <w:tc>
          <w:tcPr>
            <w:tcW w:w="601" w:type="pct"/>
            <w:vAlign w:val="center"/>
          </w:tcPr>
          <w:p w14:paraId="52D8DE6A">
            <w:pPr>
              <w:widowControl/>
              <w:snapToGrid w:val="0"/>
              <w:spacing w:line="320" w:lineRule="exact"/>
              <w:jc w:val="center"/>
              <w:rPr>
                <w:rFonts w:eastAsia="仿宋_GB2312"/>
                <w:b/>
                <w:bCs/>
                <w:color w:val="FF0000"/>
                <w:szCs w:val="21"/>
              </w:rPr>
            </w:pPr>
            <w:r>
              <w:rPr>
                <w:rFonts w:eastAsia="仿宋_GB2312"/>
                <w:b/>
                <w:bCs/>
                <w:color w:val="000000" w:themeColor="text1"/>
                <w:szCs w:val="21"/>
                <w14:textFill>
                  <w14:solidFill>
                    <w14:schemeClr w14:val="tx1"/>
                  </w14:solidFill>
                </w14:textFill>
              </w:rPr>
              <w:t>建设进度</w:t>
            </w:r>
            <w:r>
              <w:rPr>
                <w:rFonts w:hint="eastAsia" w:eastAsia="仿宋_GB2312"/>
                <w:b/>
                <w:bCs/>
                <w:color w:val="000000" w:themeColor="text1"/>
                <w:szCs w:val="21"/>
                <w14:textFill>
                  <w14:solidFill>
                    <w14:schemeClr w14:val="tx1"/>
                  </w14:solidFill>
                </w14:textFill>
              </w:rPr>
              <w:t>/运行情况</w:t>
            </w:r>
          </w:p>
        </w:tc>
      </w:tr>
      <w:tr w14:paraId="03B4E77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52" w:type="pct"/>
            <w:vMerge w:val="restart"/>
            <w:shd w:val="clear" w:color="auto" w:fill="auto"/>
            <w:vAlign w:val="center"/>
          </w:tcPr>
          <w:p w14:paraId="0533E443">
            <w:pPr>
              <w:widowControl/>
              <w:snapToGrid w:val="0"/>
              <w:spacing w:line="32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溶剂回收</w:t>
            </w:r>
          </w:p>
        </w:tc>
        <w:tc>
          <w:tcPr>
            <w:tcW w:w="476" w:type="pct"/>
            <w:vMerge w:val="restart"/>
            <w:shd w:val="clear" w:color="auto" w:fill="auto"/>
            <w:vAlign w:val="center"/>
          </w:tcPr>
          <w:p w14:paraId="32C89C9B">
            <w:pPr>
              <w:widowControl/>
              <w:snapToGrid w:val="0"/>
              <w:spacing w:line="320" w:lineRule="exac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1#车间</w:t>
            </w:r>
          </w:p>
        </w:tc>
        <w:tc>
          <w:tcPr>
            <w:tcW w:w="337" w:type="pct"/>
            <w:shd w:val="clear" w:color="auto" w:fill="auto"/>
            <w:vAlign w:val="center"/>
          </w:tcPr>
          <w:p w14:paraId="552CBDF9">
            <w:pPr>
              <w:widowControl/>
              <w:snapToGrid w:val="0"/>
              <w:spacing w:line="320" w:lineRule="exac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1</w:t>
            </w:r>
          </w:p>
        </w:tc>
        <w:tc>
          <w:tcPr>
            <w:tcW w:w="1117" w:type="pct"/>
            <w:gridSpan w:val="2"/>
            <w:shd w:val="clear" w:color="auto" w:fill="auto"/>
            <w:vAlign w:val="center"/>
          </w:tcPr>
          <w:p w14:paraId="3080E73A">
            <w:pPr>
              <w:widowControl/>
              <w:snapToGrid w:val="0"/>
              <w:spacing w:line="320" w:lineRule="exact"/>
              <w:jc w:val="center"/>
              <w:rPr>
                <w:rFonts w:eastAsia="仿宋_GB2312"/>
                <w:color w:val="auto"/>
                <w:szCs w:val="21"/>
              </w:rPr>
            </w:pPr>
            <w:r>
              <w:rPr>
                <w:rFonts w:eastAsia="仿宋_GB2312"/>
                <w:color w:val="auto"/>
                <w:szCs w:val="21"/>
              </w:rPr>
              <w:t>二丙酮醇废液</w:t>
            </w:r>
          </w:p>
        </w:tc>
        <w:tc>
          <w:tcPr>
            <w:tcW w:w="642" w:type="pct"/>
            <w:shd w:val="clear" w:color="auto" w:fill="auto"/>
            <w:vAlign w:val="center"/>
          </w:tcPr>
          <w:p w14:paraId="5C3379E1">
            <w:pPr>
              <w:widowControl/>
              <w:snapToGrid w:val="0"/>
              <w:spacing w:line="320" w:lineRule="exact"/>
              <w:jc w:val="center"/>
              <w:rPr>
                <w:rFonts w:eastAsia="仿宋_GB2312"/>
                <w:szCs w:val="21"/>
              </w:rPr>
            </w:pPr>
            <w:r>
              <w:rPr>
                <w:rFonts w:eastAsia="仿宋_GB2312"/>
                <w:szCs w:val="21"/>
              </w:rPr>
              <w:t>1800</w:t>
            </w:r>
          </w:p>
        </w:tc>
        <w:tc>
          <w:tcPr>
            <w:tcW w:w="656" w:type="pct"/>
            <w:shd w:val="clear" w:color="auto" w:fill="auto"/>
            <w:vAlign w:val="center"/>
          </w:tcPr>
          <w:p w14:paraId="3DD79676">
            <w:pPr>
              <w:widowControl/>
              <w:snapToGrid w:val="0"/>
              <w:spacing w:line="320" w:lineRule="exact"/>
              <w:jc w:val="center"/>
              <w:rPr>
                <w:rFonts w:eastAsia="仿宋_GB2312"/>
                <w:szCs w:val="21"/>
              </w:rPr>
            </w:pPr>
            <w:r>
              <w:rPr>
                <w:rFonts w:eastAsia="仿宋_GB2312"/>
                <w:szCs w:val="21"/>
              </w:rPr>
              <w:t>1800</w:t>
            </w:r>
          </w:p>
        </w:tc>
        <w:tc>
          <w:tcPr>
            <w:tcW w:w="716" w:type="pct"/>
            <w:shd w:val="clear" w:color="auto" w:fill="auto"/>
            <w:vAlign w:val="center"/>
          </w:tcPr>
          <w:p w14:paraId="12B41206">
            <w:pPr>
              <w:widowControl/>
              <w:snapToGrid w:val="0"/>
              <w:spacing w:line="320" w:lineRule="exact"/>
              <w:jc w:val="center"/>
              <w:rPr>
                <w:rFonts w:eastAsia="仿宋_GB2312"/>
                <w:szCs w:val="21"/>
              </w:rPr>
            </w:pPr>
            <w:r>
              <w:rPr>
                <w:rFonts w:eastAsia="仿宋_GB2312"/>
                <w:szCs w:val="21"/>
              </w:rPr>
              <w:t>1440</w:t>
            </w:r>
          </w:p>
        </w:tc>
        <w:tc>
          <w:tcPr>
            <w:tcW w:w="601" w:type="pct"/>
            <w:vMerge w:val="restart"/>
            <w:vAlign w:val="center"/>
          </w:tcPr>
          <w:p w14:paraId="21242BE6">
            <w:pPr>
              <w:widowControl/>
              <w:snapToGrid w:val="0"/>
              <w:spacing w:line="320" w:lineRule="exact"/>
              <w:jc w:val="center"/>
              <w:rPr>
                <w:rFonts w:eastAsia="仿宋_GB2312"/>
                <w:color w:val="FF0000"/>
                <w:szCs w:val="21"/>
              </w:rPr>
            </w:pPr>
            <w:r>
              <w:rPr>
                <w:rFonts w:eastAsia="仿宋_GB2312"/>
                <w:color w:val="000000" w:themeColor="text1"/>
                <w:szCs w:val="21"/>
                <w14:textFill>
                  <w14:solidFill>
                    <w14:schemeClr w14:val="tx1"/>
                  </w14:solidFill>
                </w14:textFill>
              </w:rPr>
              <w:t>已建成，</w:t>
            </w:r>
            <w:r>
              <w:rPr>
                <w:rFonts w:hint="eastAsia" w:eastAsia="仿宋_GB2312"/>
                <w:color w:val="000000" w:themeColor="text1"/>
                <w:szCs w:val="21"/>
                <w14:textFill>
                  <w14:solidFill>
                    <w14:schemeClr w14:val="tx1"/>
                  </w14:solidFill>
                </w14:textFill>
              </w:rPr>
              <w:t>正常运行</w:t>
            </w:r>
          </w:p>
        </w:tc>
      </w:tr>
      <w:tr w14:paraId="5E1EA16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52" w:type="pct"/>
            <w:vMerge w:val="continue"/>
            <w:shd w:val="clear" w:color="auto" w:fill="auto"/>
            <w:vAlign w:val="center"/>
          </w:tcPr>
          <w:p w14:paraId="4E2113C1">
            <w:pPr>
              <w:widowControl/>
              <w:snapToGrid w:val="0"/>
              <w:spacing w:line="320" w:lineRule="exact"/>
              <w:jc w:val="center"/>
              <w:rPr>
                <w:rFonts w:eastAsia="仿宋_GB2312"/>
                <w:color w:val="000000" w:themeColor="text1"/>
                <w:szCs w:val="21"/>
                <w14:textFill>
                  <w14:solidFill>
                    <w14:schemeClr w14:val="tx1"/>
                  </w14:solidFill>
                </w14:textFill>
              </w:rPr>
            </w:pPr>
          </w:p>
        </w:tc>
        <w:tc>
          <w:tcPr>
            <w:tcW w:w="476" w:type="pct"/>
            <w:vMerge w:val="continue"/>
            <w:shd w:val="clear" w:color="auto" w:fill="auto"/>
            <w:vAlign w:val="center"/>
          </w:tcPr>
          <w:p w14:paraId="65FFA42F">
            <w:pPr>
              <w:widowControl/>
              <w:snapToGrid w:val="0"/>
              <w:spacing w:line="320" w:lineRule="exact"/>
              <w:jc w:val="center"/>
              <w:rPr>
                <w:rFonts w:eastAsia="仿宋_GB2312"/>
                <w:color w:val="000000" w:themeColor="text1"/>
                <w:szCs w:val="21"/>
                <w14:textFill>
                  <w14:solidFill>
                    <w14:schemeClr w14:val="tx1"/>
                  </w14:solidFill>
                </w14:textFill>
              </w:rPr>
            </w:pPr>
          </w:p>
        </w:tc>
        <w:tc>
          <w:tcPr>
            <w:tcW w:w="337" w:type="pct"/>
            <w:shd w:val="clear" w:color="auto" w:fill="auto"/>
            <w:vAlign w:val="center"/>
          </w:tcPr>
          <w:p w14:paraId="1B4A8D72">
            <w:pPr>
              <w:widowControl/>
              <w:snapToGrid w:val="0"/>
              <w:spacing w:line="320" w:lineRule="exac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2</w:t>
            </w:r>
          </w:p>
        </w:tc>
        <w:tc>
          <w:tcPr>
            <w:tcW w:w="1117" w:type="pct"/>
            <w:gridSpan w:val="2"/>
            <w:shd w:val="clear" w:color="auto" w:fill="auto"/>
            <w:vAlign w:val="center"/>
          </w:tcPr>
          <w:p w14:paraId="1621173F">
            <w:pPr>
              <w:widowControl/>
              <w:snapToGrid w:val="0"/>
              <w:spacing w:line="320" w:lineRule="exact"/>
              <w:jc w:val="center"/>
              <w:rPr>
                <w:rFonts w:eastAsia="仿宋_GB2312"/>
                <w:color w:val="auto"/>
                <w:szCs w:val="21"/>
              </w:rPr>
            </w:pPr>
            <w:r>
              <w:rPr>
                <w:rFonts w:eastAsia="仿宋_GB2312"/>
                <w:color w:val="auto"/>
                <w:szCs w:val="21"/>
              </w:rPr>
              <w:t>丙酮废液</w:t>
            </w:r>
          </w:p>
        </w:tc>
        <w:tc>
          <w:tcPr>
            <w:tcW w:w="642" w:type="pct"/>
            <w:shd w:val="clear" w:color="auto" w:fill="auto"/>
            <w:vAlign w:val="center"/>
          </w:tcPr>
          <w:p w14:paraId="0E8594A5">
            <w:pPr>
              <w:widowControl/>
              <w:snapToGrid w:val="0"/>
              <w:spacing w:line="320" w:lineRule="exact"/>
              <w:jc w:val="center"/>
              <w:rPr>
                <w:rFonts w:eastAsia="仿宋_GB2312"/>
                <w:szCs w:val="21"/>
              </w:rPr>
            </w:pPr>
            <w:r>
              <w:rPr>
                <w:rFonts w:eastAsia="仿宋_GB2312"/>
                <w:szCs w:val="21"/>
              </w:rPr>
              <w:t>3</w:t>
            </w:r>
            <w:r>
              <w:rPr>
                <w:rFonts w:hint="eastAsia" w:eastAsia="仿宋_GB2312"/>
                <w:szCs w:val="21"/>
              </w:rPr>
              <w:t>0</w:t>
            </w:r>
            <w:r>
              <w:rPr>
                <w:rFonts w:eastAsia="仿宋_GB2312"/>
                <w:szCs w:val="21"/>
              </w:rPr>
              <w:t>00</w:t>
            </w:r>
          </w:p>
        </w:tc>
        <w:tc>
          <w:tcPr>
            <w:tcW w:w="656" w:type="pct"/>
            <w:shd w:val="clear" w:color="auto" w:fill="auto"/>
            <w:vAlign w:val="center"/>
          </w:tcPr>
          <w:p w14:paraId="35A43FBB">
            <w:pPr>
              <w:widowControl/>
              <w:snapToGrid w:val="0"/>
              <w:spacing w:line="320" w:lineRule="exact"/>
              <w:jc w:val="center"/>
              <w:rPr>
                <w:rFonts w:eastAsia="仿宋_GB2312"/>
                <w:szCs w:val="21"/>
              </w:rPr>
            </w:pPr>
            <w:r>
              <w:rPr>
                <w:rFonts w:eastAsia="仿宋_GB2312"/>
                <w:szCs w:val="21"/>
              </w:rPr>
              <w:t>3000</w:t>
            </w:r>
          </w:p>
        </w:tc>
        <w:tc>
          <w:tcPr>
            <w:tcW w:w="716" w:type="pct"/>
            <w:shd w:val="clear" w:color="auto" w:fill="auto"/>
            <w:vAlign w:val="center"/>
          </w:tcPr>
          <w:p w14:paraId="792DAED7">
            <w:pPr>
              <w:widowControl/>
              <w:snapToGrid w:val="0"/>
              <w:spacing w:line="320" w:lineRule="exact"/>
              <w:jc w:val="center"/>
              <w:rPr>
                <w:rFonts w:eastAsia="仿宋_GB2312"/>
                <w:szCs w:val="21"/>
              </w:rPr>
            </w:pPr>
            <w:r>
              <w:rPr>
                <w:rFonts w:eastAsia="仿宋_GB2312"/>
                <w:szCs w:val="21"/>
              </w:rPr>
              <w:t>2640</w:t>
            </w:r>
          </w:p>
        </w:tc>
        <w:tc>
          <w:tcPr>
            <w:tcW w:w="601" w:type="pct"/>
            <w:vMerge w:val="continue"/>
            <w:vAlign w:val="center"/>
          </w:tcPr>
          <w:p w14:paraId="68995A00">
            <w:pPr>
              <w:widowControl/>
              <w:snapToGrid w:val="0"/>
              <w:spacing w:line="320" w:lineRule="exact"/>
              <w:jc w:val="center"/>
              <w:rPr>
                <w:rFonts w:eastAsia="仿宋_GB2312"/>
                <w:color w:val="FF0000"/>
                <w:szCs w:val="21"/>
              </w:rPr>
            </w:pPr>
          </w:p>
        </w:tc>
      </w:tr>
      <w:tr w14:paraId="5FD34D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52" w:type="pct"/>
            <w:vMerge w:val="continue"/>
            <w:shd w:val="clear" w:color="auto" w:fill="auto"/>
            <w:vAlign w:val="center"/>
          </w:tcPr>
          <w:p w14:paraId="58236388">
            <w:pPr>
              <w:widowControl/>
              <w:snapToGrid w:val="0"/>
              <w:spacing w:line="320" w:lineRule="exact"/>
              <w:jc w:val="center"/>
              <w:rPr>
                <w:rFonts w:eastAsia="仿宋_GB2312"/>
                <w:color w:val="000000" w:themeColor="text1"/>
                <w:szCs w:val="21"/>
                <w14:textFill>
                  <w14:solidFill>
                    <w14:schemeClr w14:val="tx1"/>
                  </w14:solidFill>
                </w14:textFill>
              </w:rPr>
            </w:pPr>
          </w:p>
        </w:tc>
        <w:tc>
          <w:tcPr>
            <w:tcW w:w="476" w:type="pct"/>
            <w:vMerge w:val="continue"/>
            <w:shd w:val="clear" w:color="auto" w:fill="auto"/>
            <w:vAlign w:val="center"/>
          </w:tcPr>
          <w:p w14:paraId="60AE3431">
            <w:pPr>
              <w:widowControl/>
              <w:snapToGrid w:val="0"/>
              <w:spacing w:line="320" w:lineRule="exact"/>
              <w:jc w:val="center"/>
              <w:rPr>
                <w:rFonts w:eastAsia="仿宋_GB2312"/>
                <w:color w:val="000000" w:themeColor="text1"/>
                <w:szCs w:val="21"/>
                <w14:textFill>
                  <w14:solidFill>
                    <w14:schemeClr w14:val="tx1"/>
                  </w14:solidFill>
                </w14:textFill>
              </w:rPr>
            </w:pPr>
          </w:p>
        </w:tc>
        <w:tc>
          <w:tcPr>
            <w:tcW w:w="337" w:type="pct"/>
            <w:shd w:val="clear" w:color="auto" w:fill="auto"/>
            <w:vAlign w:val="center"/>
          </w:tcPr>
          <w:p w14:paraId="16152933">
            <w:pPr>
              <w:widowControl/>
              <w:snapToGrid w:val="0"/>
              <w:spacing w:line="320" w:lineRule="exac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3</w:t>
            </w:r>
          </w:p>
        </w:tc>
        <w:tc>
          <w:tcPr>
            <w:tcW w:w="1117" w:type="pct"/>
            <w:gridSpan w:val="2"/>
            <w:shd w:val="clear" w:color="auto" w:fill="auto"/>
            <w:vAlign w:val="center"/>
          </w:tcPr>
          <w:p w14:paraId="44DA447F">
            <w:pPr>
              <w:widowControl/>
              <w:snapToGrid w:val="0"/>
              <w:spacing w:line="320" w:lineRule="exact"/>
              <w:jc w:val="center"/>
              <w:rPr>
                <w:rFonts w:eastAsia="仿宋_GB2312"/>
                <w:color w:val="auto"/>
                <w:szCs w:val="21"/>
              </w:rPr>
            </w:pPr>
            <w:r>
              <w:rPr>
                <w:rFonts w:eastAsia="仿宋_GB2312"/>
                <w:color w:val="auto"/>
                <w:szCs w:val="21"/>
              </w:rPr>
              <w:t>N-甲基吡咯烷酮废液</w:t>
            </w:r>
          </w:p>
        </w:tc>
        <w:tc>
          <w:tcPr>
            <w:tcW w:w="642" w:type="pct"/>
            <w:shd w:val="clear" w:color="auto" w:fill="auto"/>
            <w:vAlign w:val="center"/>
          </w:tcPr>
          <w:p w14:paraId="0482941B">
            <w:pPr>
              <w:widowControl/>
              <w:snapToGrid w:val="0"/>
              <w:spacing w:line="32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1950</w:t>
            </w:r>
          </w:p>
        </w:tc>
        <w:tc>
          <w:tcPr>
            <w:tcW w:w="656" w:type="pct"/>
            <w:shd w:val="clear" w:color="auto" w:fill="auto"/>
            <w:vAlign w:val="center"/>
          </w:tcPr>
          <w:p w14:paraId="20788CBA">
            <w:pPr>
              <w:widowControl/>
              <w:snapToGrid w:val="0"/>
              <w:spacing w:line="320" w:lineRule="exac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1950</w:t>
            </w:r>
          </w:p>
        </w:tc>
        <w:tc>
          <w:tcPr>
            <w:tcW w:w="716" w:type="pct"/>
            <w:shd w:val="clear" w:color="auto" w:fill="auto"/>
            <w:vAlign w:val="center"/>
          </w:tcPr>
          <w:p w14:paraId="4BBB88E5">
            <w:pPr>
              <w:widowControl/>
              <w:snapToGrid w:val="0"/>
              <w:spacing w:line="320" w:lineRule="exac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1600</w:t>
            </w:r>
          </w:p>
        </w:tc>
        <w:tc>
          <w:tcPr>
            <w:tcW w:w="601" w:type="pct"/>
            <w:vMerge w:val="continue"/>
            <w:vAlign w:val="center"/>
          </w:tcPr>
          <w:p w14:paraId="747FA469">
            <w:pPr>
              <w:widowControl/>
              <w:snapToGrid w:val="0"/>
              <w:spacing w:line="320" w:lineRule="exact"/>
              <w:jc w:val="center"/>
              <w:rPr>
                <w:rFonts w:eastAsia="仿宋_GB2312"/>
                <w:color w:val="FF0000"/>
                <w:szCs w:val="21"/>
              </w:rPr>
            </w:pPr>
          </w:p>
        </w:tc>
      </w:tr>
      <w:tr w14:paraId="37FAA2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52" w:type="pct"/>
            <w:vMerge w:val="continue"/>
            <w:shd w:val="clear" w:color="auto" w:fill="auto"/>
            <w:vAlign w:val="center"/>
          </w:tcPr>
          <w:p w14:paraId="4853DCF0">
            <w:pPr>
              <w:widowControl/>
              <w:snapToGrid w:val="0"/>
              <w:spacing w:line="320" w:lineRule="exact"/>
              <w:jc w:val="center"/>
              <w:rPr>
                <w:rFonts w:eastAsia="仿宋_GB2312"/>
                <w:color w:val="000000" w:themeColor="text1"/>
                <w:szCs w:val="21"/>
                <w14:textFill>
                  <w14:solidFill>
                    <w14:schemeClr w14:val="tx1"/>
                  </w14:solidFill>
                </w14:textFill>
              </w:rPr>
            </w:pPr>
          </w:p>
        </w:tc>
        <w:tc>
          <w:tcPr>
            <w:tcW w:w="476" w:type="pct"/>
            <w:vMerge w:val="continue"/>
            <w:shd w:val="clear" w:color="auto" w:fill="auto"/>
            <w:vAlign w:val="center"/>
          </w:tcPr>
          <w:p w14:paraId="544FC98A">
            <w:pPr>
              <w:widowControl/>
              <w:snapToGrid w:val="0"/>
              <w:spacing w:line="320" w:lineRule="exact"/>
              <w:jc w:val="center"/>
              <w:rPr>
                <w:rFonts w:eastAsia="仿宋_GB2312"/>
                <w:color w:val="000000" w:themeColor="text1"/>
                <w:szCs w:val="21"/>
                <w14:textFill>
                  <w14:solidFill>
                    <w14:schemeClr w14:val="tx1"/>
                  </w14:solidFill>
                </w14:textFill>
              </w:rPr>
            </w:pPr>
          </w:p>
        </w:tc>
        <w:tc>
          <w:tcPr>
            <w:tcW w:w="337" w:type="pct"/>
            <w:shd w:val="clear" w:color="auto" w:fill="auto"/>
            <w:vAlign w:val="center"/>
          </w:tcPr>
          <w:p w14:paraId="13F3919F">
            <w:pPr>
              <w:widowControl/>
              <w:snapToGrid w:val="0"/>
              <w:spacing w:line="320" w:lineRule="exac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4</w:t>
            </w:r>
          </w:p>
        </w:tc>
        <w:tc>
          <w:tcPr>
            <w:tcW w:w="1117" w:type="pct"/>
            <w:gridSpan w:val="2"/>
            <w:shd w:val="clear" w:color="auto" w:fill="auto"/>
            <w:vAlign w:val="center"/>
          </w:tcPr>
          <w:p w14:paraId="0226361D">
            <w:pPr>
              <w:widowControl/>
              <w:snapToGrid w:val="0"/>
              <w:spacing w:line="320" w:lineRule="exact"/>
              <w:jc w:val="center"/>
              <w:rPr>
                <w:rFonts w:eastAsia="仿宋_GB2312"/>
                <w:color w:val="auto"/>
                <w:szCs w:val="21"/>
              </w:rPr>
            </w:pPr>
            <w:r>
              <w:rPr>
                <w:rFonts w:eastAsia="仿宋_GB2312"/>
                <w:color w:val="auto"/>
                <w:szCs w:val="21"/>
              </w:rPr>
              <w:t>异丙醇废液</w:t>
            </w:r>
          </w:p>
        </w:tc>
        <w:tc>
          <w:tcPr>
            <w:tcW w:w="642" w:type="pct"/>
            <w:shd w:val="clear" w:color="auto" w:fill="auto"/>
            <w:vAlign w:val="center"/>
          </w:tcPr>
          <w:p w14:paraId="0EF6B69A">
            <w:pPr>
              <w:widowControl/>
              <w:snapToGrid w:val="0"/>
              <w:spacing w:line="320" w:lineRule="exac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3</w:t>
            </w:r>
            <w:r>
              <w:rPr>
                <w:rFonts w:hint="eastAsia" w:eastAsia="仿宋_GB2312"/>
                <w:color w:val="000000" w:themeColor="text1"/>
                <w:szCs w:val="21"/>
                <w14:textFill>
                  <w14:solidFill>
                    <w14:schemeClr w14:val="tx1"/>
                  </w14:solidFill>
                </w14:textFill>
              </w:rPr>
              <w:t>0</w:t>
            </w:r>
            <w:r>
              <w:rPr>
                <w:rFonts w:eastAsia="仿宋_GB2312"/>
                <w:color w:val="000000" w:themeColor="text1"/>
                <w:szCs w:val="21"/>
                <w14:textFill>
                  <w14:solidFill>
                    <w14:schemeClr w14:val="tx1"/>
                  </w14:solidFill>
                </w14:textFill>
              </w:rPr>
              <w:t>00</w:t>
            </w:r>
          </w:p>
        </w:tc>
        <w:tc>
          <w:tcPr>
            <w:tcW w:w="656" w:type="pct"/>
            <w:shd w:val="clear" w:color="auto" w:fill="auto"/>
            <w:vAlign w:val="center"/>
          </w:tcPr>
          <w:p w14:paraId="29C7F10A">
            <w:pPr>
              <w:widowControl/>
              <w:snapToGrid w:val="0"/>
              <w:spacing w:line="320" w:lineRule="exac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3000</w:t>
            </w:r>
          </w:p>
        </w:tc>
        <w:tc>
          <w:tcPr>
            <w:tcW w:w="716" w:type="pct"/>
            <w:shd w:val="clear" w:color="auto" w:fill="auto"/>
            <w:vAlign w:val="center"/>
          </w:tcPr>
          <w:p w14:paraId="7676D4DC">
            <w:pPr>
              <w:widowControl/>
              <w:snapToGrid w:val="0"/>
              <w:spacing w:line="320" w:lineRule="exac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2640</w:t>
            </w:r>
          </w:p>
        </w:tc>
        <w:tc>
          <w:tcPr>
            <w:tcW w:w="601" w:type="pct"/>
            <w:vMerge w:val="continue"/>
            <w:vAlign w:val="center"/>
          </w:tcPr>
          <w:p w14:paraId="47D10005">
            <w:pPr>
              <w:widowControl/>
              <w:snapToGrid w:val="0"/>
              <w:spacing w:line="320" w:lineRule="exact"/>
              <w:jc w:val="center"/>
              <w:rPr>
                <w:rFonts w:eastAsia="仿宋_GB2312"/>
                <w:color w:val="FF0000"/>
                <w:szCs w:val="21"/>
              </w:rPr>
            </w:pPr>
          </w:p>
        </w:tc>
      </w:tr>
      <w:tr w14:paraId="5DF6F4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52" w:type="pct"/>
            <w:vMerge w:val="continue"/>
            <w:shd w:val="clear" w:color="auto" w:fill="auto"/>
            <w:vAlign w:val="center"/>
          </w:tcPr>
          <w:p w14:paraId="253E8430">
            <w:pPr>
              <w:widowControl/>
              <w:snapToGrid w:val="0"/>
              <w:spacing w:line="320" w:lineRule="exact"/>
              <w:jc w:val="center"/>
              <w:rPr>
                <w:rFonts w:eastAsia="仿宋_GB2312"/>
                <w:color w:val="000000" w:themeColor="text1"/>
                <w:szCs w:val="21"/>
                <w14:textFill>
                  <w14:solidFill>
                    <w14:schemeClr w14:val="tx1"/>
                  </w14:solidFill>
                </w14:textFill>
              </w:rPr>
            </w:pPr>
          </w:p>
        </w:tc>
        <w:tc>
          <w:tcPr>
            <w:tcW w:w="476" w:type="pct"/>
            <w:vMerge w:val="continue"/>
            <w:shd w:val="clear" w:color="auto" w:fill="auto"/>
            <w:vAlign w:val="center"/>
          </w:tcPr>
          <w:p w14:paraId="6A61DCA8">
            <w:pPr>
              <w:widowControl/>
              <w:snapToGrid w:val="0"/>
              <w:spacing w:line="320" w:lineRule="exact"/>
              <w:jc w:val="center"/>
              <w:rPr>
                <w:rFonts w:eastAsia="仿宋_GB2312"/>
                <w:color w:val="000000" w:themeColor="text1"/>
                <w:szCs w:val="21"/>
                <w14:textFill>
                  <w14:solidFill>
                    <w14:schemeClr w14:val="tx1"/>
                  </w14:solidFill>
                </w14:textFill>
              </w:rPr>
            </w:pPr>
          </w:p>
        </w:tc>
        <w:tc>
          <w:tcPr>
            <w:tcW w:w="337" w:type="pct"/>
            <w:shd w:val="clear" w:color="auto" w:fill="auto"/>
            <w:vAlign w:val="center"/>
          </w:tcPr>
          <w:p w14:paraId="475B1437">
            <w:pPr>
              <w:widowControl/>
              <w:snapToGrid w:val="0"/>
              <w:spacing w:line="320" w:lineRule="exac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5</w:t>
            </w:r>
          </w:p>
        </w:tc>
        <w:tc>
          <w:tcPr>
            <w:tcW w:w="1117" w:type="pct"/>
            <w:gridSpan w:val="2"/>
            <w:shd w:val="clear" w:color="auto" w:fill="auto"/>
            <w:vAlign w:val="center"/>
          </w:tcPr>
          <w:p w14:paraId="0C234D23">
            <w:pPr>
              <w:widowControl/>
              <w:snapToGrid w:val="0"/>
              <w:spacing w:line="320" w:lineRule="exact"/>
              <w:jc w:val="center"/>
              <w:rPr>
                <w:rFonts w:eastAsia="仿宋_GB2312"/>
                <w:color w:val="auto"/>
                <w:szCs w:val="21"/>
              </w:rPr>
            </w:pPr>
            <w:r>
              <w:rPr>
                <w:rFonts w:eastAsia="仿宋_GB2312"/>
                <w:color w:val="auto"/>
                <w:szCs w:val="21"/>
              </w:rPr>
              <w:t>光阻液废液</w:t>
            </w:r>
          </w:p>
        </w:tc>
        <w:tc>
          <w:tcPr>
            <w:tcW w:w="642" w:type="pct"/>
            <w:shd w:val="clear" w:color="auto" w:fill="auto"/>
            <w:vAlign w:val="center"/>
          </w:tcPr>
          <w:p w14:paraId="4152F24F">
            <w:pPr>
              <w:widowControl/>
              <w:snapToGrid w:val="0"/>
              <w:spacing w:line="320" w:lineRule="exac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350</w:t>
            </w:r>
          </w:p>
        </w:tc>
        <w:tc>
          <w:tcPr>
            <w:tcW w:w="656" w:type="pct"/>
            <w:shd w:val="clear" w:color="auto" w:fill="auto"/>
            <w:vAlign w:val="center"/>
          </w:tcPr>
          <w:p w14:paraId="26269C30">
            <w:pPr>
              <w:widowControl/>
              <w:snapToGrid w:val="0"/>
              <w:spacing w:line="320" w:lineRule="exac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350</w:t>
            </w:r>
          </w:p>
        </w:tc>
        <w:tc>
          <w:tcPr>
            <w:tcW w:w="716" w:type="pct"/>
            <w:shd w:val="clear" w:color="auto" w:fill="auto"/>
            <w:vAlign w:val="center"/>
          </w:tcPr>
          <w:p w14:paraId="3242AEF6">
            <w:pPr>
              <w:widowControl/>
              <w:snapToGrid w:val="0"/>
              <w:spacing w:line="320" w:lineRule="exac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280</w:t>
            </w:r>
          </w:p>
        </w:tc>
        <w:tc>
          <w:tcPr>
            <w:tcW w:w="601" w:type="pct"/>
            <w:vMerge w:val="continue"/>
            <w:vAlign w:val="center"/>
          </w:tcPr>
          <w:p w14:paraId="433EDED2">
            <w:pPr>
              <w:widowControl/>
              <w:snapToGrid w:val="0"/>
              <w:spacing w:line="320" w:lineRule="exact"/>
              <w:jc w:val="center"/>
              <w:rPr>
                <w:rFonts w:eastAsia="仿宋_GB2312"/>
                <w:color w:val="FF0000"/>
                <w:szCs w:val="21"/>
              </w:rPr>
            </w:pPr>
          </w:p>
        </w:tc>
      </w:tr>
      <w:tr w14:paraId="0091238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52" w:type="pct"/>
            <w:vMerge w:val="continue"/>
            <w:shd w:val="clear" w:color="auto" w:fill="auto"/>
            <w:vAlign w:val="center"/>
          </w:tcPr>
          <w:p w14:paraId="6618817A">
            <w:pPr>
              <w:widowControl/>
              <w:snapToGrid w:val="0"/>
              <w:spacing w:line="320" w:lineRule="exact"/>
              <w:jc w:val="center"/>
              <w:rPr>
                <w:rFonts w:eastAsia="仿宋_GB2312"/>
                <w:color w:val="000000" w:themeColor="text1"/>
                <w:szCs w:val="21"/>
                <w14:textFill>
                  <w14:solidFill>
                    <w14:schemeClr w14:val="tx1"/>
                  </w14:solidFill>
                </w14:textFill>
              </w:rPr>
            </w:pPr>
          </w:p>
        </w:tc>
        <w:tc>
          <w:tcPr>
            <w:tcW w:w="476" w:type="pct"/>
            <w:vMerge w:val="continue"/>
            <w:shd w:val="clear" w:color="auto" w:fill="auto"/>
            <w:vAlign w:val="center"/>
          </w:tcPr>
          <w:p w14:paraId="552C1EB4">
            <w:pPr>
              <w:widowControl/>
              <w:snapToGrid w:val="0"/>
              <w:spacing w:line="320" w:lineRule="exact"/>
              <w:jc w:val="center"/>
              <w:rPr>
                <w:rFonts w:eastAsia="仿宋_GB2312"/>
                <w:color w:val="000000" w:themeColor="text1"/>
                <w:szCs w:val="21"/>
                <w14:textFill>
                  <w14:solidFill>
                    <w14:schemeClr w14:val="tx1"/>
                  </w14:solidFill>
                </w14:textFill>
              </w:rPr>
            </w:pPr>
          </w:p>
        </w:tc>
        <w:tc>
          <w:tcPr>
            <w:tcW w:w="337" w:type="pct"/>
            <w:shd w:val="clear" w:color="auto" w:fill="auto"/>
            <w:vAlign w:val="center"/>
          </w:tcPr>
          <w:p w14:paraId="18A2C31F">
            <w:pPr>
              <w:widowControl/>
              <w:snapToGrid w:val="0"/>
              <w:spacing w:line="320" w:lineRule="exac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6</w:t>
            </w:r>
          </w:p>
        </w:tc>
        <w:tc>
          <w:tcPr>
            <w:tcW w:w="1117" w:type="pct"/>
            <w:gridSpan w:val="2"/>
            <w:shd w:val="clear" w:color="auto" w:fill="auto"/>
            <w:vAlign w:val="center"/>
          </w:tcPr>
          <w:p w14:paraId="37244D09">
            <w:pPr>
              <w:widowControl/>
              <w:snapToGrid w:val="0"/>
              <w:spacing w:line="320" w:lineRule="exact"/>
              <w:jc w:val="center"/>
              <w:rPr>
                <w:rFonts w:eastAsia="仿宋_GB2312"/>
                <w:color w:val="auto"/>
                <w:szCs w:val="21"/>
              </w:rPr>
            </w:pPr>
            <w:r>
              <w:rPr>
                <w:rFonts w:eastAsia="仿宋_GB2312"/>
                <w:color w:val="auto"/>
                <w:szCs w:val="21"/>
              </w:rPr>
              <w:t>四氢呋喃废液</w:t>
            </w:r>
          </w:p>
        </w:tc>
        <w:tc>
          <w:tcPr>
            <w:tcW w:w="642" w:type="pct"/>
            <w:shd w:val="clear" w:color="auto" w:fill="auto"/>
            <w:vAlign w:val="center"/>
          </w:tcPr>
          <w:p w14:paraId="06AC24C5">
            <w:pPr>
              <w:widowControl/>
              <w:snapToGrid w:val="0"/>
              <w:spacing w:line="320" w:lineRule="exac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900</w:t>
            </w:r>
          </w:p>
        </w:tc>
        <w:tc>
          <w:tcPr>
            <w:tcW w:w="656" w:type="pct"/>
            <w:shd w:val="clear" w:color="auto" w:fill="auto"/>
            <w:vAlign w:val="center"/>
          </w:tcPr>
          <w:p w14:paraId="150B4C85">
            <w:pPr>
              <w:widowControl/>
              <w:snapToGrid w:val="0"/>
              <w:spacing w:line="320" w:lineRule="exac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900</w:t>
            </w:r>
          </w:p>
        </w:tc>
        <w:tc>
          <w:tcPr>
            <w:tcW w:w="716" w:type="pct"/>
            <w:shd w:val="clear" w:color="auto" w:fill="auto"/>
            <w:vAlign w:val="center"/>
          </w:tcPr>
          <w:p w14:paraId="6D835192">
            <w:pPr>
              <w:widowControl/>
              <w:snapToGrid w:val="0"/>
              <w:spacing w:line="320" w:lineRule="exac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1100</w:t>
            </w:r>
          </w:p>
        </w:tc>
        <w:tc>
          <w:tcPr>
            <w:tcW w:w="601" w:type="pct"/>
            <w:vMerge w:val="continue"/>
            <w:vAlign w:val="center"/>
          </w:tcPr>
          <w:p w14:paraId="61DD4446">
            <w:pPr>
              <w:widowControl/>
              <w:snapToGrid w:val="0"/>
              <w:spacing w:line="320" w:lineRule="exact"/>
              <w:jc w:val="center"/>
              <w:rPr>
                <w:rFonts w:eastAsia="仿宋_GB2312"/>
                <w:color w:val="FF0000"/>
                <w:szCs w:val="21"/>
              </w:rPr>
            </w:pPr>
          </w:p>
        </w:tc>
      </w:tr>
      <w:tr w14:paraId="51EE6F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52" w:type="pct"/>
            <w:vMerge w:val="continue"/>
            <w:shd w:val="clear" w:color="auto" w:fill="auto"/>
            <w:vAlign w:val="center"/>
          </w:tcPr>
          <w:p w14:paraId="5B0D7DD6">
            <w:pPr>
              <w:widowControl/>
              <w:snapToGrid w:val="0"/>
              <w:spacing w:line="320" w:lineRule="exact"/>
              <w:jc w:val="center"/>
              <w:rPr>
                <w:rFonts w:eastAsia="仿宋_GB2312"/>
                <w:color w:val="000000" w:themeColor="text1"/>
                <w:szCs w:val="21"/>
                <w14:textFill>
                  <w14:solidFill>
                    <w14:schemeClr w14:val="tx1"/>
                  </w14:solidFill>
                </w14:textFill>
              </w:rPr>
            </w:pPr>
          </w:p>
        </w:tc>
        <w:tc>
          <w:tcPr>
            <w:tcW w:w="476" w:type="pct"/>
            <w:vMerge w:val="continue"/>
            <w:shd w:val="clear" w:color="auto" w:fill="auto"/>
            <w:vAlign w:val="center"/>
          </w:tcPr>
          <w:p w14:paraId="2FA15BA1">
            <w:pPr>
              <w:widowControl/>
              <w:snapToGrid w:val="0"/>
              <w:spacing w:line="320" w:lineRule="exact"/>
              <w:jc w:val="center"/>
              <w:rPr>
                <w:rFonts w:eastAsia="仿宋_GB2312"/>
                <w:color w:val="000000" w:themeColor="text1"/>
                <w:szCs w:val="21"/>
                <w14:textFill>
                  <w14:solidFill>
                    <w14:schemeClr w14:val="tx1"/>
                  </w14:solidFill>
                </w14:textFill>
              </w:rPr>
            </w:pPr>
          </w:p>
        </w:tc>
        <w:tc>
          <w:tcPr>
            <w:tcW w:w="337" w:type="pct"/>
            <w:shd w:val="clear" w:color="auto" w:fill="auto"/>
            <w:vAlign w:val="center"/>
          </w:tcPr>
          <w:p w14:paraId="5C44E91B">
            <w:pPr>
              <w:widowControl/>
              <w:snapToGrid w:val="0"/>
              <w:spacing w:line="320" w:lineRule="exac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7</w:t>
            </w:r>
          </w:p>
        </w:tc>
        <w:tc>
          <w:tcPr>
            <w:tcW w:w="1117" w:type="pct"/>
            <w:gridSpan w:val="2"/>
            <w:shd w:val="clear" w:color="auto" w:fill="auto"/>
            <w:vAlign w:val="center"/>
          </w:tcPr>
          <w:p w14:paraId="5AAFA4CC">
            <w:pPr>
              <w:widowControl/>
              <w:snapToGrid w:val="0"/>
              <w:spacing w:line="320" w:lineRule="exact"/>
              <w:jc w:val="center"/>
              <w:rPr>
                <w:rFonts w:eastAsia="仿宋_GB2312"/>
                <w:color w:val="auto"/>
                <w:szCs w:val="21"/>
              </w:rPr>
            </w:pPr>
            <w:r>
              <w:rPr>
                <w:rFonts w:eastAsia="仿宋_GB2312"/>
                <w:color w:val="auto"/>
                <w:szCs w:val="21"/>
              </w:rPr>
              <w:t>丁酮废液</w:t>
            </w:r>
          </w:p>
        </w:tc>
        <w:tc>
          <w:tcPr>
            <w:tcW w:w="642" w:type="pct"/>
            <w:shd w:val="clear" w:color="auto" w:fill="auto"/>
            <w:vAlign w:val="center"/>
          </w:tcPr>
          <w:p w14:paraId="1F5206D8">
            <w:pPr>
              <w:widowControl/>
              <w:snapToGrid w:val="0"/>
              <w:spacing w:line="320" w:lineRule="exac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900</w:t>
            </w:r>
          </w:p>
        </w:tc>
        <w:tc>
          <w:tcPr>
            <w:tcW w:w="656" w:type="pct"/>
            <w:shd w:val="clear" w:color="auto" w:fill="auto"/>
            <w:vAlign w:val="center"/>
          </w:tcPr>
          <w:p w14:paraId="28DD530E">
            <w:pPr>
              <w:widowControl/>
              <w:snapToGrid w:val="0"/>
              <w:spacing w:line="320" w:lineRule="exac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900</w:t>
            </w:r>
          </w:p>
        </w:tc>
        <w:tc>
          <w:tcPr>
            <w:tcW w:w="716" w:type="pct"/>
            <w:shd w:val="clear" w:color="auto" w:fill="auto"/>
            <w:vAlign w:val="center"/>
          </w:tcPr>
          <w:p w14:paraId="4DC7F79B">
            <w:pPr>
              <w:widowControl/>
              <w:snapToGrid w:val="0"/>
              <w:spacing w:line="320" w:lineRule="exac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1100</w:t>
            </w:r>
          </w:p>
        </w:tc>
        <w:tc>
          <w:tcPr>
            <w:tcW w:w="601" w:type="pct"/>
            <w:vMerge w:val="continue"/>
            <w:vAlign w:val="center"/>
          </w:tcPr>
          <w:p w14:paraId="0B72E601">
            <w:pPr>
              <w:widowControl/>
              <w:snapToGrid w:val="0"/>
              <w:spacing w:line="320" w:lineRule="exact"/>
              <w:jc w:val="center"/>
              <w:rPr>
                <w:rFonts w:eastAsia="仿宋_GB2312"/>
                <w:color w:val="FF0000"/>
                <w:szCs w:val="21"/>
              </w:rPr>
            </w:pPr>
          </w:p>
        </w:tc>
      </w:tr>
      <w:tr w14:paraId="6CB0FE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52" w:type="pct"/>
            <w:vMerge w:val="continue"/>
            <w:shd w:val="clear" w:color="auto" w:fill="auto"/>
            <w:vAlign w:val="center"/>
          </w:tcPr>
          <w:p w14:paraId="4326685D">
            <w:pPr>
              <w:widowControl/>
              <w:snapToGrid w:val="0"/>
              <w:spacing w:line="320" w:lineRule="exact"/>
              <w:jc w:val="center"/>
              <w:rPr>
                <w:rFonts w:eastAsia="仿宋_GB2312"/>
                <w:color w:val="000000" w:themeColor="text1"/>
                <w:szCs w:val="21"/>
                <w14:textFill>
                  <w14:solidFill>
                    <w14:schemeClr w14:val="tx1"/>
                  </w14:solidFill>
                </w14:textFill>
              </w:rPr>
            </w:pPr>
          </w:p>
        </w:tc>
        <w:tc>
          <w:tcPr>
            <w:tcW w:w="476" w:type="pct"/>
            <w:vMerge w:val="continue"/>
            <w:shd w:val="clear" w:color="auto" w:fill="auto"/>
            <w:vAlign w:val="center"/>
          </w:tcPr>
          <w:p w14:paraId="337E8530">
            <w:pPr>
              <w:widowControl/>
              <w:snapToGrid w:val="0"/>
              <w:spacing w:line="320" w:lineRule="exact"/>
              <w:jc w:val="center"/>
              <w:rPr>
                <w:rFonts w:eastAsia="仿宋_GB2312"/>
                <w:color w:val="000000" w:themeColor="text1"/>
                <w:szCs w:val="21"/>
                <w14:textFill>
                  <w14:solidFill>
                    <w14:schemeClr w14:val="tx1"/>
                  </w14:solidFill>
                </w14:textFill>
              </w:rPr>
            </w:pPr>
          </w:p>
        </w:tc>
        <w:tc>
          <w:tcPr>
            <w:tcW w:w="337" w:type="pct"/>
            <w:shd w:val="clear" w:color="auto" w:fill="auto"/>
            <w:vAlign w:val="center"/>
          </w:tcPr>
          <w:p w14:paraId="17C84E45">
            <w:pPr>
              <w:widowControl/>
              <w:snapToGrid w:val="0"/>
              <w:spacing w:line="320" w:lineRule="exac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8</w:t>
            </w:r>
          </w:p>
        </w:tc>
        <w:tc>
          <w:tcPr>
            <w:tcW w:w="1117" w:type="pct"/>
            <w:gridSpan w:val="2"/>
            <w:shd w:val="clear" w:color="auto" w:fill="auto"/>
            <w:vAlign w:val="center"/>
          </w:tcPr>
          <w:p w14:paraId="7A6F59A5">
            <w:pPr>
              <w:widowControl/>
              <w:snapToGrid w:val="0"/>
              <w:spacing w:line="320" w:lineRule="exact"/>
              <w:jc w:val="center"/>
              <w:rPr>
                <w:rFonts w:eastAsia="仿宋_GB2312"/>
                <w:color w:val="auto"/>
                <w:szCs w:val="21"/>
              </w:rPr>
            </w:pPr>
            <w:r>
              <w:rPr>
                <w:rFonts w:eastAsia="仿宋_GB2312"/>
                <w:color w:val="auto"/>
                <w:szCs w:val="21"/>
              </w:rPr>
              <w:t>丙二醇单甲醚废液</w:t>
            </w:r>
          </w:p>
        </w:tc>
        <w:tc>
          <w:tcPr>
            <w:tcW w:w="642" w:type="pct"/>
            <w:shd w:val="clear" w:color="auto" w:fill="auto"/>
            <w:vAlign w:val="center"/>
          </w:tcPr>
          <w:p w14:paraId="1CCF1212">
            <w:pPr>
              <w:widowControl/>
              <w:snapToGrid w:val="0"/>
              <w:spacing w:line="320" w:lineRule="exac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350</w:t>
            </w:r>
          </w:p>
        </w:tc>
        <w:tc>
          <w:tcPr>
            <w:tcW w:w="656" w:type="pct"/>
            <w:shd w:val="clear" w:color="auto" w:fill="auto"/>
            <w:vAlign w:val="center"/>
          </w:tcPr>
          <w:p w14:paraId="4EF4EB38">
            <w:pPr>
              <w:widowControl/>
              <w:snapToGrid w:val="0"/>
              <w:spacing w:line="320" w:lineRule="exac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350</w:t>
            </w:r>
          </w:p>
        </w:tc>
        <w:tc>
          <w:tcPr>
            <w:tcW w:w="716" w:type="pct"/>
            <w:shd w:val="clear" w:color="auto" w:fill="auto"/>
            <w:vAlign w:val="center"/>
          </w:tcPr>
          <w:p w14:paraId="24F0A367">
            <w:pPr>
              <w:widowControl/>
              <w:snapToGrid w:val="0"/>
              <w:spacing w:line="320" w:lineRule="exac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400</w:t>
            </w:r>
          </w:p>
        </w:tc>
        <w:tc>
          <w:tcPr>
            <w:tcW w:w="601" w:type="pct"/>
            <w:vMerge w:val="continue"/>
            <w:vAlign w:val="center"/>
          </w:tcPr>
          <w:p w14:paraId="3EB97B03">
            <w:pPr>
              <w:widowControl/>
              <w:snapToGrid w:val="0"/>
              <w:spacing w:line="320" w:lineRule="exact"/>
              <w:jc w:val="center"/>
              <w:rPr>
                <w:rFonts w:eastAsia="仿宋_GB2312"/>
                <w:color w:val="FF0000"/>
                <w:szCs w:val="21"/>
              </w:rPr>
            </w:pPr>
          </w:p>
        </w:tc>
      </w:tr>
      <w:tr w14:paraId="0C4BB1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52" w:type="pct"/>
            <w:vMerge w:val="continue"/>
            <w:shd w:val="clear" w:color="auto" w:fill="auto"/>
            <w:vAlign w:val="center"/>
          </w:tcPr>
          <w:p w14:paraId="5D280659">
            <w:pPr>
              <w:widowControl/>
              <w:snapToGrid w:val="0"/>
              <w:spacing w:line="320" w:lineRule="exact"/>
              <w:jc w:val="center"/>
              <w:rPr>
                <w:rFonts w:eastAsia="仿宋_GB2312"/>
                <w:color w:val="000000" w:themeColor="text1"/>
                <w:szCs w:val="21"/>
                <w14:textFill>
                  <w14:solidFill>
                    <w14:schemeClr w14:val="tx1"/>
                  </w14:solidFill>
                </w14:textFill>
              </w:rPr>
            </w:pPr>
          </w:p>
        </w:tc>
        <w:tc>
          <w:tcPr>
            <w:tcW w:w="476" w:type="pct"/>
            <w:vMerge w:val="continue"/>
            <w:shd w:val="clear" w:color="auto" w:fill="auto"/>
            <w:vAlign w:val="center"/>
          </w:tcPr>
          <w:p w14:paraId="63885EC5">
            <w:pPr>
              <w:widowControl/>
              <w:snapToGrid w:val="0"/>
              <w:spacing w:line="320" w:lineRule="exact"/>
              <w:jc w:val="center"/>
              <w:rPr>
                <w:rFonts w:eastAsia="仿宋_GB2312"/>
                <w:color w:val="000000" w:themeColor="text1"/>
                <w:szCs w:val="21"/>
                <w14:textFill>
                  <w14:solidFill>
                    <w14:schemeClr w14:val="tx1"/>
                  </w14:solidFill>
                </w14:textFill>
              </w:rPr>
            </w:pPr>
          </w:p>
        </w:tc>
        <w:tc>
          <w:tcPr>
            <w:tcW w:w="337" w:type="pct"/>
            <w:shd w:val="clear" w:color="auto" w:fill="auto"/>
            <w:vAlign w:val="center"/>
          </w:tcPr>
          <w:p w14:paraId="01A88EA0">
            <w:pPr>
              <w:widowControl/>
              <w:snapToGrid w:val="0"/>
              <w:spacing w:line="320" w:lineRule="exac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9</w:t>
            </w:r>
          </w:p>
        </w:tc>
        <w:tc>
          <w:tcPr>
            <w:tcW w:w="1117" w:type="pct"/>
            <w:gridSpan w:val="2"/>
            <w:shd w:val="clear" w:color="auto" w:fill="auto"/>
            <w:vAlign w:val="center"/>
          </w:tcPr>
          <w:p w14:paraId="3A74488C">
            <w:pPr>
              <w:widowControl/>
              <w:snapToGrid w:val="0"/>
              <w:spacing w:line="320" w:lineRule="exact"/>
              <w:jc w:val="center"/>
              <w:rPr>
                <w:rFonts w:eastAsia="仿宋_GB2312"/>
                <w:color w:val="auto"/>
                <w:szCs w:val="21"/>
              </w:rPr>
            </w:pPr>
            <w:r>
              <w:rPr>
                <w:rFonts w:eastAsia="仿宋_GB2312"/>
                <w:color w:val="auto"/>
                <w:szCs w:val="21"/>
              </w:rPr>
              <w:t>乙二醇废液</w:t>
            </w:r>
          </w:p>
        </w:tc>
        <w:tc>
          <w:tcPr>
            <w:tcW w:w="642" w:type="pct"/>
            <w:shd w:val="clear" w:color="auto" w:fill="auto"/>
            <w:vAlign w:val="center"/>
          </w:tcPr>
          <w:p w14:paraId="1A0FF416">
            <w:pPr>
              <w:widowControl/>
              <w:snapToGrid w:val="0"/>
              <w:spacing w:line="320" w:lineRule="exac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2700</w:t>
            </w:r>
          </w:p>
        </w:tc>
        <w:tc>
          <w:tcPr>
            <w:tcW w:w="656" w:type="pct"/>
            <w:shd w:val="clear" w:color="auto" w:fill="auto"/>
            <w:vAlign w:val="center"/>
          </w:tcPr>
          <w:p w14:paraId="7113AB08">
            <w:pPr>
              <w:widowControl/>
              <w:snapToGrid w:val="0"/>
              <w:spacing w:line="320" w:lineRule="exac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2700</w:t>
            </w:r>
          </w:p>
        </w:tc>
        <w:tc>
          <w:tcPr>
            <w:tcW w:w="716" w:type="pct"/>
            <w:shd w:val="clear" w:color="auto" w:fill="auto"/>
            <w:vAlign w:val="center"/>
          </w:tcPr>
          <w:p w14:paraId="1A955735">
            <w:pPr>
              <w:widowControl/>
              <w:snapToGrid w:val="0"/>
              <w:spacing w:line="320" w:lineRule="exac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2160</w:t>
            </w:r>
          </w:p>
        </w:tc>
        <w:tc>
          <w:tcPr>
            <w:tcW w:w="601" w:type="pct"/>
            <w:vMerge w:val="continue"/>
            <w:vAlign w:val="center"/>
          </w:tcPr>
          <w:p w14:paraId="6E3F451F">
            <w:pPr>
              <w:widowControl/>
              <w:snapToGrid w:val="0"/>
              <w:spacing w:line="320" w:lineRule="exact"/>
              <w:jc w:val="center"/>
              <w:rPr>
                <w:rFonts w:eastAsia="仿宋_GB2312"/>
                <w:color w:val="FF0000"/>
                <w:szCs w:val="21"/>
              </w:rPr>
            </w:pPr>
          </w:p>
        </w:tc>
      </w:tr>
      <w:tr w14:paraId="5945C3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52" w:type="pct"/>
            <w:vMerge w:val="continue"/>
            <w:shd w:val="clear" w:color="auto" w:fill="auto"/>
            <w:vAlign w:val="center"/>
          </w:tcPr>
          <w:p w14:paraId="4EDD6DFA">
            <w:pPr>
              <w:widowControl/>
              <w:snapToGrid w:val="0"/>
              <w:spacing w:line="320" w:lineRule="exact"/>
              <w:jc w:val="center"/>
              <w:rPr>
                <w:rFonts w:eastAsia="仿宋_GB2312"/>
                <w:color w:val="000000" w:themeColor="text1"/>
                <w:szCs w:val="21"/>
                <w14:textFill>
                  <w14:solidFill>
                    <w14:schemeClr w14:val="tx1"/>
                  </w14:solidFill>
                </w14:textFill>
              </w:rPr>
            </w:pPr>
          </w:p>
        </w:tc>
        <w:tc>
          <w:tcPr>
            <w:tcW w:w="476" w:type="pct"/>
            <w:vMerge w:val="continue"/>
            <w:shd w:val="clear" w:color="auto" w:fill="auto"/>
            <w:vAlign w:val="center"/>
          </w:tcPr>
          <w:p w14:paraId="1FD0E098">
            <w:pPr>
              <w:widowControl/>
              <w:snapToGrid w:val="0"/>
              <w:spacing w:line="320" w:lineRule="exact"/>
              <w:jc w:val="center"/>
              <w:rPr>
                <w:rFonts w:eastAsia="仿宋_GB2312"/>
                <w:color w:val="000000" w:themeColor="text1"/>
                <w:szCs w:val="21"/>
                <w14:textFill>
                  <w14:solidFill>
                    <w14:schemeClr w14:val="tx1"/>
                  </w14:solidFill>
                </w14:textFill>
              </w:rPr>
            </w:pPr>
          </w:p>
        </w:tc>
        <w:tc>
          <w:tcPr>
            <w:tcW w:w="337" w:type="pct"/>
            <w:shd w:val="clear" w:color="auto" w:fill="auto"/>
            <w:vAlign w:val="center"/>
          </w:tcPr>
          <w:p w14:paraId="2B44F9B7">
            <w:pPr>
              <w:widowControl/>
              <w:snapToGrid w:val="0"/>
              <w:spacing w:line="320" w:lineRule="exac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1</w:t>
            </w:r>
            <w:r>
              <w:rPr>
                <w:rFonts w:hint="eastAsia" w:eastAsia="仿宋_GB2312"/>
                <w:color w:val="000000" w:themeColor="text1"/>
                <w:szCs w:val="21"/>
                <w14:textFill>
                  <w14:solidFill>
                    <w14:schemeClr w14:val="tx1"/>
                  </w14:solidFill>
                </w14:textFill>
              </w:rPr>
              <w:t>0</w:t>
            </w:r>
          </w:p>
        </w:tc>
        <w:tc>
          <w:tcPr>
            <w:tcW w:w="1117" w:type="pct"/>
            <w:gridSpan w:val="2"/>
            <w:shd w:val="clear" w:color="auto" w:fill="auto"/>
            <w:vAlign w:val="center"/>
          </w:tcPr>
          <w:p w14:paraId="102CBACC">
            <w:pPr>
              <w:widowControl/>
              <w:snapToGrid w:val="0"/>
              <w:spacing w:line="320" w:lineRule="exact"/>
              <w:jc w:val="center"/>
              <w:rPr>
                <w:rFonts w:eastAsia="仿宋_GB2312"/>
                <w:color w:val="auto"/>
                <w:szCs w:val="21"/>
              </w:rPr>
            </w:pPr>
            <w:r>
              <w:rPr>
                <w:rFonts w:eastAsia="仿宋_GB2312"/>
                <w:color w:val="auto"/>
                <w:szCs w:val="21"/>
              </w:rPr>
              <w:t>二丁醚废液</w:t>
            </w:r>
          </w:p>
        </w:tc>
        <w:tc>
          <w:tcPr>
            <w:tcW w:w="642" w:type="pct"/>
            <w:shd w:val="clear" w:color="auto" w:fill="auto"/>
            <w:vAlign w:val="center"/>
          </w:tcPr>
          <w:p w14:paraId="1F06EB5E">
            <w:pPr>
              <w:widowControl/>
              <w:snapToGrid w:val="0"/>
              <w:spacing w:line="32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6</w:t>
            </w:r>
            <w:r>
              <w:rPr>
                <w:rFonts w:eastAsia="仿宋_GB2312"/>
                <w:color w:val="000000" w:themeColor="text1"/>
                <w:szCs w:val="21"/>
                <w14:textFill>
                  <w14:solidFill>
                    <w14:schemeClr w14:val="tx1"/>
                  </w14:solidFill>
                </w14:textFill>
              </w:rPr>
              <w:t>00</w:t>
            </w:r>
          </w:p>
        </w:tc>
        <w:tc>
          <w:tcPr>
            <w:tcW w:w="656" w:type="pct"/>
            <w:shd w:val="clear" w:color="auto" w:fill="auto"/>
            <w:vAlign w:val="center"/>
          </w:tcPr>
          <w:p w14:paraId="67804505">
            <w:pPr>
              <w:widowControl/>
              <w:snapToGrid w:val="0"/>
              <w:spacing w:line="320" w:lineRule="exac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600</w:t>
            </w:r>
          </w:p>
        </w:tc>
        <w:tc>
          <w:tcPr>
            <w:tcW w:w="716" w:type="pct"/>
            <w:shd w:val="clear" w:color="auto" w:fill="auto"/>
            <w:vAlign w:val="center"/>
          </w:tcPr>
          <w:p w14:paraId="3EE4C2C8">
            <w:pPr>
              <w:widowControl/>
              <w:snapToGrid w:val="0"/>
              <w:spacing w:line="320" w:lineRule="exac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730</w:t>
            </w:r>
          </w:p>
        </w:tc>
        <w:tc>
          <w:tcPr>
            <w:tcW w:w="601" w:type="pct"/>
            <w:vMerge w:val="continue"/>
            <w:vAlign w:val="center"/>
          </w:tcPr>
          <w:p w14:paraId="6911570F">
            <w:pPr>
              <w:widowControl/>
              <w:snapToGrid w:val="0"/>
              <w:spacing w:line="320" w:lineRule="exact"/>
              <w:jc w:val="center"/>
              <w:rPr>
                <w:rFonts w:eastAsia="仿宋_GB2312"/>
                <w:color w:val="FF0000"/>
                <w:szCs w:val="21"/>
              </w:rPr>
            </w:pPr>
          </w:p>
        </w:tc>
      </w:tr>
      <w:tr w14:paraId="32A0DE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52" w:type="pct"/>
            <w:vMerge w:val="continue"/>
            <w:shd w:val="clear" w:color="auto" w:fill="auto"/>
            <w:vAlign w:val="center"/>
          </w:tcPr>
          <w:p w14:paraId="646CB22C">
            <w:pPr>
              <w:widowControl/>
              <w:snapToGrid w:val="0"/>
              <w:spacing w:line="320" w:lineRule="exact"/>
              <w:jc w:val="center"/>
              <w:rPr>
                <w:rFonts w:eastAsia="仿宋_GB2312"/>
                <w:color w:val="000000" w:themeColor="text1"/>
                <w:szCs w:val="21"/>
                <w14:textFill>
                  <w14:solidFill>
                    <w14:schemeClr w14:val="tx1"/>
                  </w14:solidFill>
                </w14:textFill>
              </w:rPr>
            </w:pPr>
          </w:p>
        </w:tc>
        <w:tc>
          <w:tcPr>
            <w:tcW w:w="476" w:type="pct"/>
            <w:vMerge w:val="continue"/>
            <w:shd w:val="clear" w:color="auto" w:fill="auto"/>
            <w:vAlign w:val="center"/>
          </w:tcPr>
          <w:p w14:paraId="38FC1EAC">
            <w:pPr>
              <w:widowControl/>
              <w:snapToGrid w:val="0"/>
              <w:spacing w:line="320" w:lineRule="exact"/>
              <w:jc w:val="center"/>
              <w:rPr>
                <w:rFonts w:eastAsia="仿宋_GB2312"/>
                <w:color w:val="000000" w:themeColor="text1"/>
                <w:szCs w:val="21"/>
                <w14:textFill>
                  <w14:solidFill>
                    <w14:schemeClr w14:val="tx1"/>
                  </w14:solidFill>
                </w14:textFill>
              </w:rPr>
            </w:pPr>
          </w:p>
        </w:tc>
        <w:tc>
          <w:tcPr>
            <w:tcW w:w="337" w:type="pct"/>
            <w:shd w:val="clear" w:color="auto" w:fill="auto"/>
            <w:vAlign w:val="center"/>
          </w:tcPr>
          <w:p w14:paraId="3B317A69">
            <w:pPr>
              <w:widowControl/>
              <w:snapToGrid w:val="0"/>
              <w:spacing w:line="320" w:lineRule="exac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1</w:t>
            </w:r>
            <w:r>
              <w:rPr>
                <w:rFonts w:hint="eastAsia" w:eastAsia="仿宋_GB2312"/>
                <w:color w:val="000000" w:themeColor="text1"/>
                <w:szCs w:val="21"/>
                <w14:textFill>
                  <w14:solidFill>
                    <w14:schemeClr w14:val="tx1"/>
                  </w14:solidFill>
                </w14:textFill>
              </w:rPr>
              <w:t>1</w:t>
            </w:r>
          </w:p>
        </w:tc>
        <w:tc>
          <w:tcPr>
            <w:tcW w:w="1117" w:type="pct"/>
            <w:gridSpan w:val="2"/>
            <w:shd w:val="clear" w:color="auto" w:fill="auto"/>
            <w:vAlign w:val="center"/>
          </w:tcPr>
          <w:p w14:paraId="7431E462">
            <w:pPr>
              <w:widowControl/>
              <w:snapToGrid w:val="0"/>
              <w:spacing w:line="320" w:lineRule="exact"/>
              <w:jc w:val="center"/>
              <w:rPr>
                <w:rFonts w:eastAsia="仿宋_GB2312"/>
                <w:color w:val="auto"/>
                <w:szCs w:val="21"/>
              </w:rPr>
            </w:pPr>
            <w:r>
              <w:rPr>
                <w:rFonts w:eastAsia="仿宋_GB2312"/>
                <w:color w:val="auto"/>
                <w:szCs w:val="21"/>
              </w:rPr>
              <w:t>甲醇废液</w:t>
            </w:r>
          </w:p>
        </w:tc>
        <w:tc>
          <w:tcPr>
            <w:tcW w:w="642" w:type="pct"/>
            <w:shd w:val="clear" w:color="auto" w:fill="auto"/>
            <w:vAlign w:val="center"/>
          </w:tcPr>
          <w:p w14:paraId="3913866D">
            <w:pPr>
              <w:widowControl/>
              <w:snapToGrid w:val="0"/>
              <w:spacing w:line="320" w:lineRule="exac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3</w:t>
            </w:r>
            <w:r>
              <w:rPr>
                <w:rFonts w:hint="eastAsia" w:eastAsia="仿宋_GB2312"/>
                <w:color w:val="000000" w:themeColor="text1"/>
                <w:szCs w:val="21"/>
                <w14:textFill>
                  <w14:solidFill>
                    <w14:schemeClr w14:val="tx1"/>
                  </w14:solidFill>
                </w14:textFill>
              </w:rPr>
              <w:t>0</w:t>
            </w:r>
            <w:r>
              <w:rPr>
                <w:rFonts w:eastAsia="仿宋_GB2312"/>
                <w:color w:val="000000" w:themeColor="text1"/>
                <w:szCs w:val="21"/>
                <w14:textFill>
                  <w14:solidFill>
                    <w14:schemeClr w14:val="tx1"/>
                  </w14:solidFill>
                </w14:textFill>
              </w:rPr>
              <w:t>00</w:t>
            </w:r>
          </w:p>
        </w:tc>
        <w:tc>
          <w:tcPr>
            <w:tcW w:w="656" w:type="pct"/>
            <w:shd w:val="clear" w:color="auto" w:fill="auto"/>
            <w:vAlign w:val="center"/>
          </w:tcPr>
          <w:p w14:paraId="3D18E322">
            <w:pPr>
              <w:widowControl/>
              <w:snapToGrid w:val="0"/>
              <w:spacing w:line="320" w:lineRule="exac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3000</w:t>
            </w:r>
          </w:p>
        </w:tc>
        <w:tc>
          <w:tcPr>
            <w:tcW w:w="716" w:type="pct"/>
            <w:shd w:val="clear" w:color="auto" w:fill="auto"/>
            <w:vAlign w:val="center"/>
          </w:tcPr>
          <w:p w14:paraId="7ECE5987">
            <w:pPr>
              <w:widowControl/>
              <w:snapToGrid w:val="0"/>
              <w:spacing w:line="320" w:lineRule="exac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2560</w:t>
            </w:r>
          </w:p>
        </w:tc>
        <w:tc>
          <w:tcPr>
            <w:tcW w:w="601" w:type="pct"/>
            <w:vMerge w:val="continue"/>
            <w:vAlign w:val="center"/>
          </w:tcPr>
          <w:p w14:paraId="4D4D8980">
            <w:pPr>
              <w:widowControl/>
              <w:snapToGrid w:val="0"/>
              <w:spacing w:line="320" w:lineRule="exact"/>
              <w:jc w:val="center"/>
              <w:rPr>
                <w:rFonts w:eastAsia="仿宋_GB2312"/>
                <w:color w:val="FF0000"/>
                <w:szCs w:val="21"/>
              </w:rPr>
            </w:pPr>
          </w:p>
        </w:tc>
      </w:tr>
      <w:tr w14:paraId="23ADEC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52" w:type="pct"/>
            <w:vMerge w:val="continue"/>
            <w:shd w:val="clear" w:color="auto" w:fill="auto"/>
            <w:vAlign w:val="center"/>
          </w:tcPr>
          <w:p w14:paraId="607BF70C">
            <w:pPr>
              <w:widowControl/>
              <w:snapToGrid w:val="0"/>
              <w:spacing w:line="320" w:lineRule="exact"/>
              <w:jc w:val="center"/>
              <w:rPr>
                <w:rFonts w:eastAsia="仿宋_GB2312"/>
                <w:color w:val="000000" w:themeColor="text1"/>
                <w:szCs w:val="21"/>
                <w14:textFill>
                  <w14:solidFill>
                    <w14:schemeClr w14:val="tx1"/>
                  </w14:solidFill>
                </w14:textFill>
              </w:rPr>
            </w:pPr>
          </w:p>
        </w:tc>
        <w:tc>
          <w:tcPr>
            <w:tcW w:w="476" w:type="pct"/>
            <w:vMerge w:val="continue"/>
            <w:shd w:val="clear" w:color="auto" w:fill="auto"/>
            <w:vAlign w:val="center"/>
          </w:tcPr>
          <w:p w14:paraId="0EC17C7A">
            <w:pPr>
              <w:widowControl/>
              <w:snapToGrid w:val="0"/>
              <w:spacing w:line="320" w:lineRule="exact"/>
              <w:jc w:val="center"/>
              <w:rPr>
                <w:rFonts w:eastAsia="仿宋_GB2312"/>
                <w:color w:val="000000" w:themeColor="text1"/>
                <w:szCs w:val="21"/>
                <w14:textFill>
                  <w14:solidFill>
                    <w14:schemeClr w14:val="tx1"/>
                  </w14:solidFill>
                </w14:textFill>
              </w:rPr>
            </w:pPr>
          </w:p>
        </w:tc>
        <w:tc>
          <w:tcPr>
            <w:tcW w:w="337" w:type="pct"/>
            <w:shd w:val="clear" w:color="auto" w:fill="auto"/>
            <w:vAlign w:val="center"/>
          </w:tcPr>
          <w:p w14:paraId="2FD10420">
            <w:pPr>
              <w:widowControl/>
              <w:snapToGrid w:val="0"/>
              <w:spacing w:line="320" w:lineRule="exac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1</w:t>
            </w:r>
            <w:r>
              <w:rPr>
                <w:rFonts w:hint="eastAsia" w:eastAsia="仿宋_GB2312"/>
                <w:color w:val="000000" w:themeColor="text1"/>
                <w:szCs w:val="21"/>
                <w14:textFill>
                  <w14:solidFill>
                    <w14:schemeClr w14:val="tx1"/>
                  </w14:solidFill>
                </w14:textFill>
              </w:rPr>
              <w:t>2</w:t>
            </w:r>
          </w:p>
        </w:tc>
        <w:tc>
          <w:tcPr>
            <w:tcW w:w="1117" w:type="pct"/>
            <w:gridSpan w:val="2"/>
            <w:shd w:val="clear" w:color="auto" w:fill="auto"/>
            <w:vAlign w:val="center"/>
          </w:tcPr>
          <w:p w14:paraId="0098151F">
            <w:pPr>
              <w:widowControl/>
              <w:snapToGrid w:val="0"/>
              <w:spacing w:line="320" w:lineRule="exact"/>
              <w:jc w:val="center"/>
              <w:rPr>
                <w:rFonts w:eastAsia="仿宋_GB2312"/>
                <w:color w:val="auto"/>
                <w:szCs w:val="21"/>
              </w:rPr>
            </w:pPr>
            <w:r>
              <w:rPr>
                <w:rFonts w:eastAsia="仿宋_GB2312"/>
                <w:color w:val="auto"/>
                <w:szCs w:val="21"/>
              </w:rPr>
              <w:t>润滑油废液</w:t>
            </w:r>
          </w:p>
        </w:tc>
        <w:tc>
          <w:tcPr>
            <w:tcW w:w="642" w:type="pct"/>
            <w:shd w:val="clear" w:color="auto" w:fill="auto"/>
            <w:vAlign w:val="center"/>
          </w:tcPr>
          <w:p w14:paraId="656F0367">
            <w:pPr>
              <w:widowControl/>
              <w:snapToGrid w:val="0"/>
              <w:spacing w:line="32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500</w:t>
            </w:r>
          </w:p>
        </w:tc>
        <w:tc>
          <w:tcPr>
            <w:tcW w:w="656" w:type="pct"/>
            <w:shd w:val="clear" w:color="auto" w:fill="auto"/>
            <w:vAlign w:val="center"/>
          </w:tcPr>
          <w:p w14:paraId="6EE268A6">
            <w:pPr>
              <w:widowControl/>
              <w:snapToGrid w:val="0"/>
              <w:spacing w:line="320" w:lineRule="exac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500</w:t>
            </w:r>
          </w:p>
        </w:tc>
        <w:tc>
          <w:tcPr>
            <w:tcW w:w="716" w:type="pct"/>
            <w:shd w:val="clear" w:color="auto" w:fill="auto"/>
            <w:vAlign w:val="center"/>
          </w:tcPr>
          <w:p w14:paraId="7ED592A0">
            <w:pPr>
              <w:widowControl/>
              <w:snapToGrid w:val="0"/>
              <w:spacing w:line="32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480</w:t>
            </w:r>
          </w:p>
        </w:tc>
        <w:tc>
          <w:tcPr>
            <w:tcW w:w="601" w:type="pct"/>
            <w:vMerge w:val="continue"/>
            <w:vAlign w:val="center"/>
          </w:tcPr>
          <w:p w14:paraId="6266FABC">
            <w:pPr>
              <w:widowControl/>
              <w:snapToGrid w:val="0"/>
              <w:spacing w:line="320" w:lineRule="exact"/>
              <w:jc w:val="center"/>
              <w:rPr>
                <w:rFonts w:eastAsia="仿宋_GB2312"/>
                <w:color w:val="FF0000"/>
                <w:szCs w:val="21"/>
              </w:rPr>
            </w:pPr>
          </w:p>
        </w:tc>
      </w:tr>
      <w:tr w14:paraId="2A0F18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52" w:type="pct"/>
            <w:vMerge w:val="continue"/>
            <w:shd w:val="clear" w:color="auto" w:fill="auto"/>
            <w:vAlign w:val="center"/>
          </w:tcPr>
          <w:p w14:paraId="6262E4B1">
            <w:pPr>
              <w:widowControl/>
              <w:snapToGrid w:val="0"/>
              <w:spacing w:line="320" w:lineRule="exact"/>
              <w:jc w:val="center"/>
              <w:rPr>
                <w:rFonts w:eastAsia="仿宋_GB2312"/>
                <w:color w:val="000000" w:themeColor="text1"/>
                <w:szCs w:val="21"/>
                <w14:textFill>
                  <w14:solidFill>
                    <w14:schemeClr w14:val="tx1"/>
                  </w14:solidFill>
                </w14:textFill>
              </w:rPr>
            </w:pPr>
          </w:p>
        </w:tc>
        <w:tc>
          <w:tcPr>
            <w:tcW w:w="476" w:type="pct"/>
            <w:vMerge w:val="continue"/>
            <w:shd w:val="clear" w:color="auto" w:fill="auto"/>
            <w:vAlign w:val="center"/>
          </w:tcPr>
          <w:p w14:paraId="06EC412E">
            <w:pPr>
              <w:widowControl/>
              <w:snapToGrid w:val="0"/>
              <w:spacing w:line="320" w:lineRule="exact"/>
              <w:jc w:val="center"/>
              <w:rPr>
                <w:rFonts w:eastAsia="仿宋_GB2312"/>
                <w:color w:val="000000" w:themeColor="text1"/>
                <w:szCs w:val="21"/>
                <w14:textFill>
                  <w14:solidFill>
                    <w14:schemeClr w14:val="tx1"/>
                  </w14:solidFill>
                </w14:textFill>
              </w:rPr>
            </w:pPr>
          </w:p>
        </w:tc>
        <w:tc>
          <w:tcPr>
            <w:tcW w:w="337" w:type="pct"/>
            <w:shd w:val="clear" w:color="auto" w:fill="auto"/>
            <w:vAlign w:val="center"/>
          </w:tcPr>
          <w:p w14:paraId="308D4440">
            <w:pPr>
              <w:widowControl/>
              <w:snapToGrid w:val="0"/>
              <w:spacing w:line="320" w:lineRule="exac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13</w:t>
            </w:r>
          </w:p>
        </w:tc>
        <w:tc>
          <w:tcPr>
            <w:tcW w:w="1117" w:type="pct"/>
            <w:gridSpan w:val="2"/>
            <w:shd w:val="clear" w:color="auto" w:fill="auto"/>
            <w:vAlign w:val="center"/>
          </w:tcPr>
          <w:p w14:paraId="36800A1E">
            <w:pPr>
              <w:widowControl/>
              <w:snapToGrid w:val="0"/>
              <w:spacing w:line="312" w:lineRule="exact"/>
              <w:jc w:val="center"/>
              <w:rPr>
                <w:rFonts w:eastAsia="仿宋_GB2312"/>
                <w:color w:val="auto"/>
                <w:szCs w:val="21"/>
              </w:rPr>
            </w:pPr>
            <w:r>
              <w:rPr>
                <w:rFonts w:eastAsia="仿宋_GB2312"/>
                <w:color w:val="auto"/>
                <w:szCs w:val="21"/>
              </w:rPr>
              <w:t>丙二醇废液</w:t>
            </w:r>
          </w:p>
        </w:tc>
        <w:tc>
          <w:tcPr>
            <w:tcW w:w="642" w:type="pct"/>
            <w:shd w:val="clear" w:color="auto" w:fill="auto"/>
            <w:vAlign w:val="center"/>
          </w:tcPr>
          <w:p w14:paraId="6910E395">
            <w:pPr>
              <w:widowControl/>
              <w:snapToGrid w:val="0"/>
              <w:spacing w:line="312" w:lineRule="exac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1</w:t>
            </w:r>
            <w:r>
              <w:rPr>
                <w:rFonts w:hint="eastAsia" w:eastAsia="仿宋_GB2312"/>
                <w:color w:val="000000" w:themeColor="text1"/>
                <w:szCs w:val="21"/>
                <w14:textFill>
                  <w14:solidFill>
                    <w14:schemeClr w14:val="tx1"/>
                  </w14:solidFill>
                </w14:textFill>
              </w:rPr>
              <w:t>00</w:t>
            </w:r>
            <w:r>
              <w:rPr>
                <w:rFonts w:eastAsia="仿宋_GB2312"/>
                <w:color w:val="000000" w:themeColor="text1"/>
                <w:szCs w:val="21"/>
                <w14:textFill>
                  <w14:solidFill>
                    <w14:schemeClr w14:val="tx1"/>
                  </w14:solidFill>
                </w14:textFill>
              </w:rPr>
              <w:t>0</w:t>
            </w:r>
          </w:p>
        </w:tc>
        <w:tc>
          <w:tcPr>
            <w:tcW w:w="656" w:type="pct"/>
            <w:shd w:val="clear" w:color="auto" w:fill="auto"/>
            <w:vAlign w:val="center"/>
          </w:tcPr>
          <w:p w14:paraId="47F7BE4B">
            <w:pPr>
              <w:widowControl/>
              <w:snapToGrid w:val="0"/>
              <w:spacing w:line="312" w:lineRule="exac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1</w:t>
            </w:r>
            <w:r>
              <w:rPr>
                <w:rFonts w:hint="eastAsia" w:eastAsia="仿宋_GB2312"/>
                <w:color w:val="000000" w:themeColor="text1"/>
                <w:szCs w:val="21"/>
                <w14:textFill>
                  <w14:solidFill>
                    <w14:schemeClr w14:val="tx1"/>
                  </w14:solidFill>
                </w14:textFill>
              </w:rPr>
              <w:t>000</w:t>
            </w:r>
          </w:p>
        </w:tc>
        <w:tc>
          <w:tcPr>
            <w:tcW w:w="716" w:type="pct"/>
            <w:shd w:val="clear" w:color="auto" w:fill="auto"/>
            <w:vAlign w:val="center"/>
          </w:tcPr>
          <w:p w14:paraId="064C240F">
            <w:pPr>
              <w:widowControl/>
              <w:snapToGrid w:val="0"/>
              <w:spacing w:line="312" w:lineRule="exac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950</w:t>
            </w:r>
          </w:p>
        </w:tc>
        <w:tc>
          <w:tcPr>
            <w:tcW w:w="601" w:type="pct"/>
            <w:vMerge w:val="continue"/>
            <w:vAlign w:val="center"/>
          </w:tcPr>
          <w:p w14:paraId="320FFAA3">
            <w:pPr>
              <w:widowControl/>
              <w:snapToGrid w:val="0"/>
              <w:spacing w:line="320" w:lineRule="exact"/>
              <w:jc w:val="center"/>
              <w:rPr>
                <w:rFonts w:eastAsia="仿宋_GB2312"/>
                <w:color w:val="FF0000"/>
                <w:szCs w:val="21"/>
              </w:rPr>
            </w:pPr>
          </w:p>
        </w:tc>
      </w:tr>
      <w:tr w14:paraId="09E864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52" w:type="pct"/>
            <w:vMerge w:val="continue"/>
            <w:shd w:val="clear" w:color="auto" w:fill="auto"/>
            <w:vAlign w:val="center"/>
          </w:tcPr>
          <w:p w14:paraId="203E1FE4">
            <w:pPr>
              <w:widowControl/>
              <w:snapToGrid w:val="0"/>
              <w:spacing w:line="320" w:lineRule="exact"/>
              <w:jc w:val="center"/>
              <w:rPr>
                <w:rFonts w:eastAsia="仿宋_GB2312"/>
                <w:color w:val="000000" w:themeColor="text1"/>
                <w:szCs w:val="21"/>
                <w14:textFill>
                  <w14:solidFill>
                    <w14:schemeClr w14:val="tx1"/>
                  </w14:solidFill>
                </w14:textFill>
              </w:rPr>
            </w:pPr>
          </w:p>
        </w:tc>
        <w:tc>
          <w:tcPr>
            <w:tcW w:w="476" w:type="pct"/>
            <w:vMerge w:val="continue"/>
            <w:shd w:val="clear" w:color="auto" w:fill="auto"/>
            <w:vAlign w:val="center"/>
          </w:tcPr>
          <w:p w14:paraId="0A5A24FB">
            <w:pPr>
              <w:widowControl/>
              <w:snapToGrid w:val="0"/>
              <w:spacing w:line="320" w:lineRule="exact"/>
              <w:jc w:val="center"/>
              <w:rPr>
                <w:rFonts w:eastAsia="仿宋_GB2312"/>
                <w:color w:val="000000" w:themeColor="text1"/>
                <w:szCs w:val="21"/>
                <w14:textFill>
                  <w14:solidFill>
                    <w14:schemeClr w14:val="tx1"/>
                  </w14:solidFill>
                </w14:textFill>
              </w:rPr>
            </w:pPr>
          </w:p>
        </w:tc>
        <w:tc>
          <w:tcPr>
            <w:tcW w:w="337" w:type="pct"/>
            <w:shd w:val="clear" w:color="auto" w:fill="auto"/>
            <w:vAlign w:val="center"/>
          </w:tcPr>
          <w:p w14:paraId="3F4958AC">
            <w:pPr>
              <w:widowControl/>
              <w:snapToGrid w:val="0"/>
              <w:spacing w:line="320" w:lineRule="exac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14</w:t>
            </w:r>
          </w:p>
        </w:tc>
        <w:tc>
          <w:tcPr>
            <w:tcW w:w="1117" w:type="pct"/>
            <w:gridSpan w:val="2"/>
            <w:shd w:val="clear" w:color="auto" w:fill="auto"/>
            <w:vAlign w:val="center"/>
          </w:tcPr>
          <w:p w14:paraId="7BDB8DC1">
            <w:pPr>
              <w:widowControl/>
              <w:snapToGrid w:val="0"/>
              <w:spacing w:line="312" w:lineRule="exact"/>
              <w:jc w:val="center"/>
              <w:rPr>
                <w:rFonts w:eastAsia="仿宋_GB2312"/>
                <w:color w:val="auto"/>
                <w:szCs w:val="21"/>
              </w:rPr>
            </w:pPr>
            <w:r>
              <w:rPr>
                <w:rFonts w:eastAsia="仿宋_GB2312"/>
                <w:color w:val="auto"/>
                <w:szCs w:val="21"/>
              </w:rPr>
              <w:t>甲苯废液</w:t>
            </w:r>
          </w:p>
        </w:tc>
        <w:tc>
          <w:tcPr>
            <w:tcW w:w="642" w:type="pct"/>
            <w:shd w:val="clear" w:color="auto" w:fill="auto"/>
            <w:vAlign w:val="center"/>
          </w:tcPr>
          <w:p w14:paraId="30DA2C0F">
            <w:pPr>
              <w:widowControl/>
              <w:snapToGrid w:val="0"/>
              <w:spacing w:line="312" w:lineRule="exac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345</w:t>
            </w:r>
          </w:p>
        </w:tc>
        <w:tc>
          <w:tcPr>
            <w:tcW w:w="656" w:type="pct"/>
            <w:shd w:val="clear" w:color="auto" w:fill="auto"/>
            <w:vAlign w:val="center"/>
          </w:tcPr>
          <w:p w14:paraId="3CD91A89">
            <w:pPr>
              <w:widowControl/>
              <w:snapToGrid w:val="0"/>
              <w:spacing w:line="312" w:lineRule="exac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345</w:t>
            </w:r>
          </w:p>
        </w:tc>
        <w:tc>
          <w:tcPr>
            <w:tcW w:w="716" w:type="pct"/>
            <w:shd w:val="clear" w:color="auto" w:fill="auto"/>
            <w:vAlign w:val="center"/>
          </w:tcPr>
          <w:p w14:paraId="6FDBC080">
            <w:pPr>
              <w:widowControl/>
              <w:snapToGrid w:val="0"/>
              <w:spacing w:line="312" w:lineRule="exac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900</w:t>
            </w:r>
          </w:p>
        </w:tc>
        <w:tc>
          <w:tcPr>
            <w:tcW w:w="601" w:type="pct"/>
            <w:vMerge w:val="continue"/>
            <w:vAlign w:val="center"/>
          </w:tcPr>
          <w:p w14:paraId="5C74DA52">
            <w:pPr>
              <w:widowControl/>
              <w:snapToGrid w:val="0"/>
              <w:spacing w:line="320" w:lineRule="exact"/>
              <w:jc w:val="center"/>
              <w:rPr>
                <w:rFonts w:eastAsia="仿宋_GB2312"/>
                <w:color w:val="FF0000"/>
                <w:szCs w:val="21"/>
              </w:rPr>
            </w:pPr>
          </w:p>
        </w:tc>
      </w:tr>
      <w:tr w14:paraId="2B5B49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52" w:type="pct"/>
            <w:vMerge w:val="continue"/>
            <w:shd w:val="clear" w:color="auto" w:fill="auto"/>
            <w:vAlign w:val="center"/>
          </w:tcPr>
          <w:p w14:paraId="335D39D0">
            <w:pPr>
              <w:widowControl/>
              <w:snapToGrid w:val="0"/>
              <w:spacing w:line="320" w:lineRule="exact"/>
              <w:jc w:val="center"/>
              <w:rPr>
                <w:rFonts w:eastAsia="仿宋_GB2312"/>
                <w:color w:val="000000" w:themeColor="text1"/>
                <w:szCs w:val="21"/>
                <w14:textFill>
                  <w14:solidFill>
                    <w14:schemeClr w14:val="tx1"/>
                  </w14:solidFill>
                </w14:textFill>
              </w:rPr>
            </w:pPr>
          </w:p>
        </w:tc>
        <w:tc>
          <w:tcPr>
            <w:tcW w:w="476" w:type="pct"/>
            <w:vMerge w:val="continue"/>
            <w:shd w:val="clear" w:color="auto" w:fill="auto"/>
            <w:vAlign w:val="center"/>
          </w:tcPr>
          <w:p w14:paraId="1A7FB7DB">
            <w:pPr>
              <w:widowControl/>
              <w:snapToGrid w:val="0"/>
              <w:spacing w:line="320" w:lineRule="exact"/>
              <w:jc w:val="center"/>
              <w:rPr>
                <w:rFonts w:eastAsia="仿宋_GB2312"/>
                <w:color w:val="000000" w:themeColor="text1"/>
                <w:szCs w:val="21"/>
                <w14:textFill>
                  <w14:solidFill>
                    <w14:schemeClr w14:val="tx1"/>
                  </w14:solidFill>
                </w14:textFill>
              </w:rPr>
            </w:pPr>
          </w:p>
        </w:tc>
        <w:tc>
          <w:tcPr>
            <w:tcW w:w="337" w:type="pct"/>
            <w:shd w:val="clear" w:color="auto" w:fill="auto"/>
            <w:vAlign w:val="center"/>
          </w:tcPr>
          <w:p w14:paraId="30BD177D">
            <w:pPr>
              <w:widowControl/>
              <w:snapToGrid w:val="0"/>
              <w:spacing w:line="320" w:lineRule="exac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15</w:t>
            </w:r>
          </w:p>
        </w:tc>
        <w:tc>
          <w:tcPr>
            <w:tcW w:w="1117" w:type="pct"/>
            <w:gridSpan w:val="2"/>
            <w:shd w:val="clear" w:color="auto" w:fill="auto"/>
            <w:vAlign w:val="center"/>
          </w:tcPr>
          <w:p w14:paraId="613AE276">
            <w:pPr>
              <w:widowControl/>
              <w:snapToGrid w:val="0"/>
              <w:spacing w:line="312" w:lineRule="exact"/>
              <w:jc w:val="center"/>
              <w:rPr>
                <w:rFonts w:eastAsia="仿宋_GB2312"/>
                <w:color w:val="auto"/>
                <w:szCs w:val="21"/>
              </w:rPr>
            </w:pPr>
            <w:r>
              <w:rPr>
                <w:rFonts w:eastAsia="仿宋_GB2312"/>
                <w:color w:val="auto"/>
                <w:szCs w:val="21"/>
              </w:rPr>
              <w:t>二甲苯废液</w:t>
            </w:r>
          </w:p>
        </w:tc>
        <w:tc>
          <w:tcPr>
            <w:tcW w:w="642" w:type="pct"/>
            <w:shd w:val="clear" w:color="auto" w:fill="auto"/>
            <w:vAlign w:val="center"/>
          </w:tcPr>
          <w:p w14:paraId="2B0EB0B8">
            <w:pPr>
              <w:widowControl/>
              <w:snapToGrid w:val="0"/>
              <w:spacing w:line="312" w:lineRule="exac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235</w:t>
            </w:r>
          </w:p>
        </w:tc>
        <w:tc>
          <w:tcPr>
            <w:tcW w:w="656" w:type="pct"/>
            <w:shd w:val="clear" w:color="auto" w:fill="auto"/>
            <w:vAlign w:val="center"/>
          </w:tcPr>
          <w:p w14:paraId="6D9E533D">
            <w:pPr>
              <w:widowControl/>
              <w:snapToGrid w:val="0"/>
              <w:spacing w:line="312" w:lineRule="exac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235</w:t>
            </w:r>
          </w:p>
        </w:tc>
        <w:tc>
          <w:tcPr>
            <w:tcW w:w="716" w:type="pct"/>
            <w:shd w:val="clear" w:color="auto" w:fill="auto"/>
            <w:vAlign w:val="center"/>
          </w:tcPr>
          <w:p w14:paraId="6DEC478A">
            <w:pPr>
              <w:widowControl/>
              <w:snapToGrid w:val="0"/>
              <w:spacing w:line="312" w:lineRule="exac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700</w:t>
            </w:r>
          </w:p>
        </w:tc>
        <w:tc>
          <w:tcPr>
            <w:tcW w:w="601" w:type="pct"/>
            <w:vMerge w:val="continue"/>
            <w:vAlign w:val="center"/>
          </w:tcPr>
          <w:p w14:paraId="1C81670E">
            <w:pPr>
              <w:widowControl/>
              <w:snapToGrid w:val="0"/>
              <w:spacing w:line="320" w:lineRule="exact"/>
              <w:jc w:val="center"/>
              <w:rPr>
                <w:rFonts w:eastAsia="仿宋_GB2312"/>
                <w:color w:val="FF0000"/>
                <w:szCs w:val="21"/>
              </w:rPr>
            </w:pPr>
          </w:p>
        </w:tc>
      </w:tr>
      <w:tr w14:paraId="3FE5A8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52" w:type="pct"/>
            <w:vMerge w:val="continue"/>
            <w:shd w:val="clear" w:color="auto" w:fill="auto"/>
            <w:vAlign w:val="center"/>
          </w:tcPr>
          <w:p w14:paraId="682141F2">
            <w:pPr>
              <w:widowControl/>
              <w:snapToGrid w:val="0"/>
              <w:spacing w:line="320" w:lineRule="exact"/>
              <w:jc w:val="center"/>
              <w:rPr>
                <w:rFonts w:eastAsia="仿宋_GB2312"/>
                <w:color w:val="000000" w:themeColor="text1"/>
                <w:szCs w:val="21"/>
                <w14:textFill>
                  <w14:solidFill>
                    <w14:schemeClr w14:val="tx1"/>
                  </w14:solidFill>
                </w14:textFill>
              </w:rPr>
            </w:pPr>
          </w:p>
        </w:tc>
        <w:tc>
          <w:tcPr>
            <w:tcW w:w="476" w:type="pct"/>
            <w:vMerge w:val="continue"/>
            <w:shd w:val="clear" w:color="auto" w:fill="auto"/>
            <w:vAlign w:val="center"/>
          </w:tcPr>
          <w:p w14:paraId="5EEBC2B2">
            <w:pPr>
              <w:widowControl/>
              <w:snapToGrid w:val="0"/>
              <w:spacing w:line="320" w:lineRule="exact"/>
              <w:jc w:val="center"/>
              <w:rPr>
                <w:rFonts w:eastAsia="仿宋_GB2312"/>
                <w:color w:val="000000" w:themeColor="text1"/>
                <w:szCs w:val="21"/>
                <w14:textFill>
                  <w14:solidFill>
                    <w14:schemeClr w14:val="tx1"/>
                  </w14:solidFill>
                </w14:textFill>
              </w:rPr>
            </w:pPr>
          </w:p>
        </w:tc>
        <w:tc>
          <w:tcPr>
            <w:tcW w:w="337" w:type="pct"/>
            <w:shd w:val="clear" w:color="auto" w:fill="auto"/>
            <w:vAlign w:val="center"/>
          </w:tcPr>
          <w:p w14:paraId="15990214">
            <w:pPr>
              <w:widowControl/>
              <w:snapToGrid w:val="0"/>
              <w:spacing w:line="320" w:lineRule="exac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16</w:t>
            </w:r>
          </w:p>
        </w:tc>
        <w:tc>
          <w:tcPr>
            <w:tcW w:w="1117" w:type="pct"/>
            <w:gridSpan w:val="2"/>
            <w:shd w:val="clear" w:color="auto" w:fill="auto"/>
            <w:vAlign w:val="center"/>
          </w:tcPr>
          <w:p w14:paraId="29F183D2">
            <w:pPr>
              <w:widowControl/>
              <w:snapToGrid w:val="0"/>
              <w:spacing w:line="312" w:lineRule="exac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乙酸乙酯废液</w:t>
            </w:r>
          </w:p>
        </w:tc>
        <w:tc>
          <w:tcPr>
            <w:tcW w:w="642" w:type="pct"/>
            <w:shd w:val="clear" w:color="auto" w:fill="auto"/>
            <w:vAlign w:val="center"/>
          </w:tcPr>
          <w:p w14:paraId="315ADEDD">
            <w:pPr>
              <w:widowControl/>
              <w:snapToGrid w:val="0"/>
              <w:spacing w:line="312" w:lineRule="exac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350</w:t>
            </w:r>
          </w:p>
        </w:tc>
        <w:tc>
          <w:tcPr>
            <w:tcW w:w="656" w:type="pct"/>
            <w:shd w:val="clear" w:color="auto" w:fill="auto"/>
            <w:vAlign w:val="center"/>
          </w:tcPr>
          <w:p w14:paraId="06249A62">
            <w:pPr>
              <w:widowControl/>
              <w:snapToGrid w:val="0"/>
              <w:spacing w:line="312" w:lineRule="exac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350</w:t>
            </w:r>
          </w:p>
        </w:tc>
        <w:tc>
          <w:tcPr>
            <w:tcW w:w="716" w:type="pct"/>
            <w:shd w:val="clear" w:color="auto" w:fill="auto"/>
            <w:vAlign w:val="center"/>
          </w:tcPr>
          <w:p w14:paraId="454349C3">
            <w:pPr>
              <w:widowControl/>
              <w:snapToGrid w:val="0"/>
              <w:spacing w:line="312" w:lineRule="exac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900</w:t>
            </w:r>
          </w:p>
        </w:tc>
        <w:tc>
          <w:tcPr>
            <w:tcW w:w="601" w:type="pct"/>
            <w:vMerge w:val="continue"/>
            <w:vAlign w:val="center"/>
          </w:tcPr>
          <w:p w14:paraId="4171A577">
            <w:pPr>
              <w:widowControl/>
              <w:snapToGrid w:val="0"/>
              <w:spacing w:line="320" w:lineRule="exact"/>
              <w:jc w:val="center"/>
              <w:rPr>
                <w:rFonts w:eastAsia="仿宋_GB2312"/>
                <w:color w:val="FF0000"/>
                <w:szCs w:val="21"/>
              </w:rPr>
            </w:pPr>
          </w:p>
        </w:tc>
      </w:tr>
      <w:tr w14:paraId="256F84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52" w:type="pct"/>
            <w:vMerge w:val="continue"/>
            <w:shd w:val="clear" w:color="auto" w:fill="auto"/>
            <w:vAlign w:val="center"/>
          </w:tcPr>
          <w:p w14:paraId="686E365F">
            <w:pPr>
              <w:widowControl/>
              <w:snapToGrid w:val="0"/>
              <w:spacing w:line="320" w:lineRule="exact"/>
              <w:jc w:val="center"/>
              <w:rPr>
                <w:rFonts w:eastAsia="仿宋_GB2312"/>
                <w:color w:val="000000" w:themeColor="text1"/>
                <w:szCs w:val="21"/>
                <w14:textFill>
                  <w14:solidFill>
                    <w14:schemeClr w14:val="tx1"/>
                  </w14:solidFill>
                </w14:textFill>
              </w:rPr>
            </w:pPr>
          </w:p>
        </w:tc>
        <w:tc>
          <w:tcPr>
            <w:tcW w:w="476" w:type="pct"/>
            <w:vMerge w:val="continue"/>
            <w:shd w:val="clear" w:color="auto" w:fill="auto"/>
            <w:vAlign w:val="center"/>
          </w:tcPr>
          <w:p w14:paraId="6728C74E">
            <w:pPr>
              <w:widowControl/>
              <w:snapToGrid w:val="0"/>
              <w:spacing w:line="320" w:lineRule="exact"/>
              <w:jc w:val="center"/>
              <w:rPr>
                <w:rFonts w:eastAsia="仿宋_GB2312"/>
                <w:color w:val="000000" w:themeColor="text1"/>
                <w:szCs w:val="21"/>
                <w14:textFill>
                  <w14:solidFill>
                    <w14:schemeClr w14:val="tx1"/>
                  </w14:solidFill>
                </w14:textFill>
              </w:rPr>
            </w:pPr>
          </w:p>
        </w:tc>
        <w:tc>
          <w:tcPr>
            <w:tcW w:w="337" w:type="pct"/>
            <w:shd w:val="clear" w:color="auto" w:fill="auto"/>
            <w:vAlign w:val="center"/>
          </w:tcPr>
          <w:p w14:paraId="2272F1A6">
            <w:pPr>
              <w:widowControl/>
              <w:snapToGrid w:val="0"/>
              <w:spacing w:line="320" w:lineRule="exac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17</w:t>
            </w:r>
          </w:p>
        </w:tc>
        <w:tc>
          <w:tcPr>
            <w:tcW w:w="1117" w:type="pct"/>
            <w:gridSpan w:val="2"/>
            <w:shd w:val="clear" w:color="auto" w:fill="auto"/>
            <w:vAlign w:val="center"/>
          </w:tcPr>
          <w:p w14:paraId="2EAD3FE1">
            <w:pPr>
              <w:widowControl/>
              <w:snapToGrid w:val="0"/>
              <w:spacing w:line="312" w:lineRule="exac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乙酸丁酯废液</w:t>
            </w:r>
          </w:p>
        </w:tc>
        <w:tc>
          <w:tcPr>
            <w:tcW w:w="642" w:type="pct"/>
            <w:shd w:val="clear" w:color="auto" w:fill="auto"/>
            <w:vAlign w:val="center"/>
          </w:tcPr>
          <w:p w14:paraId="477854A8">
            <w:pPr>
              <w:widowControl/>
              <w:snapToGrid w:val="0"/>
              <w:spacing w:line="312" w:lineRule="exac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1060</w:t>
            </w:r>
          </w:p>
        </w:tc>
        <w:tc>
          <w:tcPr>
            <w:tcW w:w="656" w:type="pct"/>
            <w:shd w:val="clear" w:color="auto" w:fill="auto"/>
            <w:vAlign w:val="center"/>
          </w:tcPr>
          <w:p w14:paraId="6E549A87">
            <w:pPr>
              <w:widowControl/>
              <w:snapToGrid w:val="0"/>
              <w:spacing w:line="312" w:lineRule="exac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1060</w:t>
            </w:r>
          </w:p>
        </w:tc>
        <w:tc>
          <w:tcPr>
            <w:tcW w:w="716" w:type="pct"/>
            <w:shd w:val="clear" w:color="auto" w:fill="auto"/>
            <w:vAlign w:val="center"/>
          </w:tcPr>
          <w:p w14:paraId="3EB923A8">
            <w:pPr>
              <w:widowControl/>
              <w:snapToGrid w:val="0"/>
              <w:spacing w:line="312" w:lineRule="exac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1400</w:t>
            </w:r>
          </w:p>
        </w:tc>
        <w:tc>
          <w:tcPr>
            <w:tcW w:w="601" w:type="pct"/>
            <w:vMerge w:val="continue"/>
            <w:vAlign w:val="center"/>
          </w:tcPr>
          <w:p w14:paraId="5F99AC30">
            <w:pPr>
              <w:widowControl/>
              <w:snapToGrid w:val="0"/>
              <w:spacing w:line="320" w:lineRule="exact"/>
              <w:jc w:val="center"/>
              <w:rPr>
                <w:rFonts w:eastAsia="仿宋_GB2312"/>
                <w:color w:val="FF0000"/>
                <w:szCs w:val="21"/>
              </w:rPr>
            </w:pPr>
          </w:p>
        </w:tc>
      </w:tr>
      <w:tr w14:paraId="114079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52" w:type="pct"/>
            <w:vMerge w:val="continue"/>
            <w:shd w:val="clear" w:color="auto" w:fill="auto"/>
            <w:vAlign w:val="center"/>
          </w:tcPr>
          <w:p w14:paraId="422FA5C4">
            <w:pPr>
              <w:widowControl/>
              <w:snapToGrid w:val="0"/>
              <w:spacing w:line="320" w:lineRule="exact"/>
              <w:jc w:val="center"/>
              <w:rPr>
                <w:rFonts w:eastAsia="仿宋_GB2312"/>
                <w:color w:val="000000" w:themeColor="text1"/>
                <w:szCs w:val="21"/>
                <w14:textFill>
                  <w14:solidFill>
                    <w14:schemeClr w14:val="tx1"/>
                  </w14:solidFill>
                </w14:textFill>
              </w:rPr>
            </w:pPr>
          </w:p>
        </w:tc>
        <w:tc>
          <w:tcPr>
            <w:tcW w:w="476" w:type="pct"/>
            <w:vMerge w:val="continue"/>
            <w:shd w:val="clear" w:color="auto" w:fill="auto"/>
            <w:vAlign w:val="center"/>
          </w:tcPr>
          <w:p w14:paraId="38F7391A">
            <w:pPr>
              <w:widowControl/>
              <w:snapToGrid w:val="0"/>
              <w:spacing w:line="320" w:lineRule="exact"/>
              <w:jc w:val="center"/>
              <w:rPr>
                <w:rFonts w:eastAsia="仿宋_GB2312"/>
                <w:color w:val="000000" w:themeColor="text1"/>
                <w:szCs w:val="21"/>
                <w14:textFill>
                  <w14:solidFill>
                    <w14:schemeClr w14:val="tx1"/>
                  </w14:solidFill>
                </w14:textFill>
              </w:rPr>
            </w:pPr>
          </w:p>
        </w:tc>
        <w:tc>
          <w:tcPr>
            <w:tcW w:w="337" w:type="pct"/>
            <w:shd w:val="clear" w:color="auto" w:fill="auto"/>
            <w:vAlign w:val="center"/>
          </w:tcPr>
          <w:p w14:paraId="7F567FAB">
            <w:pPr>
              <w:widowControl/>
              <w:snapToGrid w:val="0"/>
              <w:spacing w:line="320" w:lineRule="exac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18</w:t>
            </w:r>
          </w:p>
        </w:tc>
        <w:tc>
          <w:tcPr>
            <w:tcW w:w="1117" w:type="pct"/>
            <w:gridSpan w:val="2"/>
            <w:shd w:val="clear" w:color="auto" w:fill="auto"/>
            <w:vAlign w:val="center"/>
          </w:tcPr>
          <w:p w14:paraId="346CD289">
            <w:pPr>
              <w:widowControl/>
              <w:snapToGrid w:val="0"/>
              <w:spacing w:line="312" w:lineRule="exac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乙醇废液</w:t>
            </w:r>
          </w:p>
        </w:tc>
        <w:tc>
          <w:tcPr>
            <w:tcW w:w="642" w:type="pct"/>
            <w:shd w:val="clear" w:color="auto" w:fill="auto"/>
            <w:vAlign w:val="center"/>
          </w:tcPr>
          <w:p w14:paraId="4DD59EB8">
            <w:pPr>
              <w:widowControl/>
              <w:snapToGrid w:val="0"/>
              <w:spacing w:line="312" w:lineRule="exac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1390</w:t>
            </w:r>
          </w:p>
        </w:tc>
        <w:tc>
          <w:tcPr>
            <w:tcW w:w="656" w:type="pct"/>
            <w:shd w:val="clear" w:color="auto" w:fill="auto"/>
            <w:vAlign w:val="center"/>
          </w:tcPr>
          <w:p w14:paraId="1736E797">
            <w:pPr>
              <w:widowControl/>
              <w:snapToGrid w:val="0"/>
              <w:spacing w:line="312" w:lineRule="exac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1390</w:t>
            </w:r>
          </w:p>
        </w:tc>
        <w:tc>
          <w:tcPr>
            <w:tcW w:w="716" w:type="pct"/>
            <w:shd w:val="clear" w:color="auto" w:fill="auto"/>
            <w:vAlign w:val="center"/>
          </w:tcPr>
          <w:p w14:paraId="305F512A">
            <w:pPr>
              <w:widowControl/>
              <w:snapToGrid w:val="0"/>
              <w:spacing w:line="312" w:lineRule="exac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1110</w:t>
            </w:r>
          </w:p>
        </w:tc>
        <w:tc>
          <w:tcPr>
            <w:tcW w:w="601" w:type="pct"/>
            <w:vMerge w:val="continue"/>
            <w:vAlign w:val="center"/>
          </w:tcPr>
          <w:p w14:paraId="53B992C5">
            <w:pPr>
              <w:widowControl/>
              <w:snapToGrid w:val="0"/>
              <w:spacing w:line="320" w:lineRule="exact"/>
              <w:jc w:val="center"/>
              <w:rPr>
                <w:rFonts w:eastAsia="仿宋_GB2312"/>
                <w:color w:val="FF0000"/>
                <w:szCs w:val="21"/>
              </w:rPr>
            </w:pPr>
          </w:p>
        </w:tc>
      </w:tr>
      <w:tr w14:paraId="5328D3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52" w:type="pct"/>
            <w:vMerge w:val="continue"/>
            <w:shd w:val="clear" w:color="auto" w:fill="auto"/>
            <w:vAlign w:val="center"/>
          </w:tcPr>
          <w:p w14:paraId="71857084">
            <w:pPr>
              <w:widowControl/>
              <w:snapToGrid w:val="0"/>
              <w:spacing w:line="320" w:lineRule="exact"/>
              <w:jc w:val="center"/>
              <w:rPr>
                <w:rFonts w:eastAsia="仿宋_GB2312"/>
                <w:color w:val="000000" w:themeColor="text1"/>
                <w:szCs w:val="21"/>
                <w14:textFill>
                  <w14:solidFill>
                    <w14:schemeClr w14:val="tx1"/>
                  </w14:solidFill>
                </w14:textFill>
              </w:rPr>
            </w:pPr>
          </w:p>
        </w:tc>
        <w:tc>
          <w:tcPr>
            <w:tcW w:w="476" w:type="pct"/>
            <w:vMerge w:val="continue"/>
            <w:shd w:val="clear" w:color="auto" w:fill="auto"/>
            <w:vAlign w:val="center"/>
          </w:tcPr>
          <w:p w14:paraId="273A6FEA">
            <w:pPr>
              <w:widowControl/>
              <w:snapToGrid w:val="0"/>
              <w:spacing w:line="320" w:lineRule="exact"/>
              <w:jc w:val="center"/>
              <w:rPr>
                <w:rFonts w:eastAsia="仿宋_GB2312"/>
                <w:color w:val="000000" w:themeColor="text1"/>
                <w:szCs w:val="21"/>
                <w14:textFill>
                  <w14:solidFill>
                    <w14:schemeClr w14:val="tx1"/>
                  </w14:solidFill>
                </w14:textFill>
              </w:rPr>
            </w:pPr>
          </w:p>
        </w:tc>
        <w:tc>
          <w:tcPr>
            <w:tcW w:w="337" w:type="pct"/>
            <w:shd w:val="clear" w:color="auto" w:fill="auto"/>
            <w:vAlign w:val="center"/>
          </w:tcPr>
          <w:p w14:paraId="07E43682">
            <w:pPr>
              <w:widowControl/>
              <w:snapToGrid w:val="0"/>
              <w:spacing w:line="320" w:lineRule="exac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19</w:t>
            </w:r>
          </w:p>
        </w:tc>
        <w:tc>
          <w:tcPr>
            <w:tcW w:w="1117" w:type="pct"/>
            <w:gridSpan w:val="2"/>
            <w:shd w:val="clear" w:color="auto" w:fill="auto"/>
            <w:vAlign w:val="center"/>
          </w:tcPr>
          <w:p w14:paraId="590BCC2D">
            <w:pPr>
              <w:widowControl/>
              <w:snapToGrid w:val="0"/>
              <w:spacing w:line="312" w:lineRule="exact"/>
              <w:jc w:val="center"/>
              <w:rPr>
                <w:rFonts w:eastAsia="仿宋_GB2312"/>
                <w:color w:val="auto"/>
                <w:szCs w:val="21"/>
              </w:rPr>
            </w:pPr>
            <w:r>
              <w:rPr>
                <w:rFonts w:eastAsia="仿宋_GB2312"/>
                <w:color w:val="auto"/>
                <w:szCs w:val="21"/>
              </w:rPr>
              <w:t>石油醚废液</w:t>
            </w:r>
          </w:p>
        </w:tc>
        <w:tc>
          <w:tcPr>
            <w:tcW w:w="642" w:type="pct"/>
            <w:shd w:val="clear" w:color="auto" w:fill="auto"/>
            <w:vAlign w:val="center"/>
          </w:tcPr>
          <w:p w14:paraId="34A4C7F8">
            <w:pPr>
              <w:widowControl/>
              <w:snapToGrid w:val="0"/>
              <w:spacing w:line="312"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215</w:t>
            </w:r>
          </w:p>
        </w:tc>
        <w:tc>
          <w:tcPr>
            <w:tcW w:w="656" w:type="pct"/>
            <w:shd w:val="clear" w:color="auto" w:fill="auto"/>
            <w:vAlign w:val="center"/>
          </w:tcPr>
          <w:p w14:paraId="309844F8">
            <w:pPr>
              <w:widowControl/>
              <w:snapToGrid w:val="0"/>
              <w:spacing w:line="312"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215</w:t>
            </w:r>
          </w:p>
        </w:tc>
        <w:tc>
          <w:tcPr>
            <w:tcW w:w="716" w:type="pct"/>
            <w:shd w:val="clear" w:color="auto" w:fill="auto"/>
            <w:vAlign w:val="center"/>
          </w:tcPr>
          <w:p w14:paraId="5C9AA9B2">
            <w:pPr>
              <w:widowControl/>
              <w:snapToGrid w:val="0"/>
              <w:spacing w:line="312"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280</w:t>
            </w:r>
          </w:p>
        </w:tc>
        <w:tc>
          <w:tcPr>
            <w:tcW w:w="601" w:type="pct"/>
            <w:vMerge w:val="continue"/>
            <w:vAlign w:val="center"/>
          </w:tcPr>
          <w:p w14:paraId="346CF612">
            <w:pPr>
              <w:widowControl/>
              <w:snapToGrid w:val="0"/>
              <w:spacing w:line="320" w:lineRule="exact"/>
              <w:jc w:val="center"/>
              <w:rPr>
                <w:rFonts w:eastAsia="仿宋_GB2312"/>
                <w:color w:val="FF0000"/>
                <w:szCs w:val="21"/>
              </w:rPr>
            </w:pPr>
          </w:p>
        </w:tc>
      </w:tr>
      <w:tr w14:paraId="63BB5B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52" w:type="pct"/>
            <w:vMerge w:val="continue"/>
            <w:shd w:val="clear" w:color="auto" w:fill="auto"/>
            <w:vAlign w:val="center"/>
          </w:tcPr>
          <w:p w14:paraId="603F04BE">
            <w:pPr>
              <w:widowControl/>
              <w:snapToGrid w:val="0"/>
              <w:spacing w:line="320" w:lineRule="exact"/>
              <w:jc w:val="center"/>
              <w:rPr>
                <w:rFonts w:eastAsia="仿宋_GB2312"/>
                <w:color w:val="000000" w:themeColor="text1"/>
                <w:szCs w:val="21"/>
                <w14:textFill>
                  <w14:solidFill>
                    <w14:schemeClr w14:val="tx1"/>
                  </w14:solidFill>
                </w14:textFill>
              </w:rPr>
            </w:pPr>
          </w:p>
        </w:tc>
        <w:tc>
          <w:tcPr>
            <w:tcW w:w="476" w:type="pct"/>
            <w:vMerge w:val="continue"/>
            <w:shd w:val="clear" w:color="auto" w:fill="auto"/>
            <w:vAlign w:val="center"/>
          </w:tcPr>
          <w:p w14:paraId="6CA5C9B5">
            <w:pPr>
              <w:widowControl/>
              <w:snapToGrid w:val="0"/>
              <w:spacing w:line="320" w:lineRule="exact"/>
              <w:jc w:val="center"/>
              <w:rPr>
                <w:rFonts w:eastAsia="仿宋_GB2312"/>
                <w:color w:val="000000" w:themeColor="text1"/>
                <w:szCs w:val="21"/>
                <w14:textFill>
                  <w14:solidFill>
                    <w14:schemeClr w14:val="tx1"/>
                  </w14:solidFill>
                </w14:textFill>
              </w:rPr>
            </w:pPr>
          </w:p>
        </w:tc>
        <w:tc>
          <w:tcPr>
            <w:tcW w:w="337" w:type="pct"/>
            <w:shd w:val="clear" w:color="auto" w:fill="auto"/>
            <w:vAlign w:val="center"/>
          </w:tcPr>
          <w:p w14:paraId="2F38190B">
            <w:pPr>
              <w:widowControl/>
              <w:snapToGrid w:val="0"/>
              <w:spacing w:line="320" w:lineRule="exac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20</w:t>
            </w:r>
          </w:p>
        </w:tc>
        <w:tc>
          <w:tcPr>
            <w:tcW w:w="1117" w:type="pct"/>
            <w:gridSpan w:val="2"/>
            <w:shd w:val="clear" w:color="auto" w:fill="auto"/>
            <w:vAlign w:val="center"/>
          </w:tcPr>
          <w:p w14:paraId="1625913E">
            <w:pPr>
              <w:widowControl/>
              <w:snapToGrid w:val="0"/>
              <w:spacing w:line="312" w:lineRule="exact"/>
              <w:jc w:val="center"/>
              <w:rPr>
                <w:rFonts w:eastAsia="仿宋_GB2312"/>
                <w:color w:val="auto"/>
                <w:szCs w:val="21"/>
              </w:rPr>
            </w:pPr>
            <w:r>
              <w:rPr>
                <w:rFonts w:eastAsia="仿宋_GB2312"/>
                <w:color w:val="auto"/>
                <w:szCs w:val="21"/>
              </w:rPr>
              <w:t>正庚烷废液</w:t>
            </w:r>
          </w:p>
        </w:tc>
        <w:tc>
          <w:tcPr>
            <w:tcW w:w="642" w:type="pct"/>
            <w:shd w:val="clear" w:color="auto" w:fill="auto"/>
            <w:vAlign w:val="center"/>
          </w:tcPr>
          <w:p w14:paraId="3A41AD9F">
            <w:pPr>
              <w:widowControl/>
              <w:snapToGrid w:val="0"/>
              <w:spacing w:line="312" w:lineRule="exac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525</w:t>
            </w:r>
          </w:p>
        </w:tc>
        <w:tc>
          <w:tcPr>
            <w:tcW w:w="656" w:type="pct"/>
            <w:shd w:val="clear" w:color="auto" w:fill="auto"/>
            <w:vAlign w:val="center"/>
          </w:tcPr>
          <w:p w14:paraId="04AE8C26">
            <w:pPr>
              <w:widowControl/>
              <w:snapToGrid w:val="0"/>
              <w:spacing w:line="312" w:lineRule="exac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525</w:t>
            </w:r>
          </w:p>
        </w:tc>
        <w:tc>
          <w:tcPr>
            <w:tcW w:w="716" w:type="pct"/>
            <w:shd w:val="clear" w:color="auto" w:fill="auto"/>
            <w:vAlign w:val="center"/>
          </w:tcPr>
          <w:p w14:paraId="37434A0C">
            <w:pPr>
              <w:widowControl/>
              <w:snapToGrid w:val="0"/>
              <w:spacing w:line="312" w:lineRule="exac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450</w:t>
            </w:r>
          </w:p>
        </w:tc>
        <w:tc>
          <w:tcPr>
            <w:tcW w:w="601" w:type="pct"/>
            <w:vMerge w:val="continue"/>
            <w:vAlign w:val="center"/>
          </w:tcPr>
          <w:p w14:paraId="2B7C89B3">
            <w:pPr>
              <w:widowControl/>
              <w:snapToGrid w:val="0"/>
              <w:spacing w:line="320" w:lineRule="exact"/>
              <w:jc w:val="center"/>
              <w:rPr>
                <w:rFonts w:eastAsia="仿宋_GB2312"/>
                <w:color w:val="FF0000"/>
                <w:szCs w:val="21"/>
              </w:rPr>
            </w:pPr>
          </w:p>
        </w:tc>
      </w:tr>
      <w:tr w14:paraId="4B4D64B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52" w:type="pct"/>
            <w:vMerge w:val="continue"/>
            <w:shd w:val="clear" w:color="auto" w:fill="auto"/>
            <w:vAlign w:val="center"/>
          </w:tcPr>
          <w:p w14:paraId="25B669BB">
            <w:pPr>
              <w:widowControl/>
              <w:snapToGrid w:val="0"/>
              <w:spacing w:line="320" w:lineRule="exact"/>
              <w:jc w:val="center"/>
              <w:rPr>
                <w:rFonts w:eastAsia="仿宋_GB2312"/>
                <w:color w:val="000000" w:themeColor="text1"/>
                <w:szCs w:val="21"/>
                <w14:textFill>
                  <w14:solidFill>
                    <w14:schemeClr w14:val="tx1"/>
                  </w14:solidFill>
                </w14:textFill>
              </w:rPr>
            </w:pPr>
          </w:p>
        </w:tc>
        <w:tc>
          <w:tcPr>
            <w:tcW w:w="476" w:type="pct"/>
            <w:vMerge w:val="continue"/>
            <w:shd w:val="clear" w:color="auto" w:fill="auto"/>
            <w:vAlign w:val="center"/>
          </w:tcPr>
          <w:p w14:paraId="620300A6">
            <w:pPr>
              <w:widowControl/>
              <w:snapToGrid w:val="0"/>
              <w:spacing w:line="320" w:lineRule="exact"/>
              <w:jc w:val="center"/>
              <w:rPr>
                <w:rFonts w:eastAsia="仿宋_GB2312"/>
                <w:color w:val="000000" w:themeColor="text1"/>
                <w:szCs w:val="21"/>
                <w14:textFill>
                  <w14:solidFill>
                    <w14:schemeClr w14:val="tx1"/>
                  </w14:solidFill>
                </w14:textFill>
              </w:rPr>
            </w:pPr>
          </w:p>
        </w:tc>
        <w:tc>
          <w:tcPr>
            <w:tcW w:w="337" w:type="pct"/>
            <w:shd w:val="clear" w:color="auto" w:fill="auto"/>
            <w:vAlign w:val="center"/>
          </w:tcPr>
          <w:p w14:paraId="283CD8B7">
            <w:pPr>
              <w:widowControl/>
              <w:snapToGrid w:val="0"/>
              <w:spacing w:line="320" w:lineRule="exac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21</w:t>
            </w:r>
          </w:p>
        </w:tc>
        <w:tc>
          <w:tcPr>
            <w:tcW w:w="1117" w:type="pct"/>
            <w:gridSpan w:val="2"/>
            <w:shd w:val="clear" w:color="auto" w:fill="auto"/>
            <w:vAlign w:val="center"/>
          </w:tcPr>
          <w:p w14:paraId="4152BA59">
            <w:pPr>
              <w:widowControl/>
              <w:snapToGrid w:val="0"/>
              <w:spacing w:line="312" w:lineRule="exact"/>
              <w:jc w:val="center"/>
              <w:rPr>
                <w:rFonts w:eastAsia="仿宋_GB2312"/>
                <w:color w:val="auto"/>
                <w:szCs w:val="21"/>
              </w:rPr>
            </w:pPr>
            <w:r>
              <w:rPr>
                <w:rFonts w:eastAsia="仿宋_GB2312"/>
                <w:color w:val="auto"/>
                <w:szCs w:val="21"/>
              </w:rPr>
              <w:t>己烷废液</w:t>
            </w:r>
          </w:p>
        </w:tc>
        <w:tc>
          <w:tcPr>
            <w:tcW w:w="642" w:type="pct"/>
            <w:shd w:val="clear" w:color="auto" w:fill="auto"/>
            <w:vAlign w:val="center"/>
          </w:tcPr>
          <w:p w14:paraId="1DC3C851">
            <w:pPr>
              <w:widowControl/>
              <w:snapToGrid w:val="0"/>
              <w:spacing w:line="312" w:lineRule="exac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825</w:t>
            </w:r>
          </w:p>
        </w:tc>
        <w:tc>
          <w:tcPr>
            <w:tcW w:w="656" w:type="pct"/>
            <w:shd w:val="clear" w:color="auto" w:fill="auto"/>
            <w:vAlign w:val="center"/>
          </w:tcPr>
          <w:p w14:paraId="7AE8990C">
            <w:pPr>
              <w:widowControl/>
              <w:snapToGrid w:val="0"/>
              <w:spacing w:line="312" w:lineRule="exac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825</w:t>
            </w:r>
          </w:p>
        </w:tc>
        <w:tc>
          <w:tcPr>
            <w:tcW w:w="716" w:type="pct"/>
            <w:shd w:val="clear" w:color="auto" w:fill="auto"/>
            <w:vAlign w:val="center"/>
          </w:tcPr>
          <w:p w14:paraId="48446874">
            <w:pPr>
              <w:widowControl/>
              <w:snapToGrid w:val="0"/>
              <w:spacing w:line="312" w:lineRule="exac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750</w:t>
            </w:r>
          </w:p>
        </w:tc>
        <w:tc>
          <w:tcPr>
            <w:tcW w:w="601" w:type="pct"/>
            <w:vMerge w:val="continue"/>
            <w:vAlign w:val="center"/>
          </w:tcPr>
          <w:p w14:paraId="0368172A">
            <w:pPr>
              <w:widowControl/>
              <w:snapToGrid w:val="0"/>
              <w:spacing w:line="320" w:lineRule="exact"/>
              <w:jc w:val="center"/>
              <w:rPr>
                <w:rFonts w:eastAsia="仿宋_GB2312"/>
                <w:color w:val="FF0000"/>
                <w:szCs w:val="21"/>
              </w:rPr>
            </w:pPr>
          </w:p>
        </w:tc>
      </w:tr>
      <w:tr w14:paraId="6E5D35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52" w:type="pct"/>
            <w:vMerge w:val="continue"/>
            <w:shd w:val="clear" w:color="auto" w:fill="auto"/>
            <w:vAlign w:val="center"/>
          </w:tcPr>
          <w:p w14:paraId="731EDFF4">
            <w:pPr>
              <w:widowControl/>
              <w:snapToGrid w:val="0"/>
              <w:spacing w:line="320" w:lineRule="exact"/>
              <w:jc w:val="center"/>
              <w:rPr>
                <w:rFonts w:eastAsia="仿宋_GB2312"/>
                <w:color w:val="000000" w:themeColor="text1"/>
                <w:szCs w:val="21"/>
                <w14:textFill>
                  <w14:solidFill>
                    <w14:schemeClr w14:val="tx1"/>
                  </w14:solidFill>
                </w14:textFill>
              </w:rPr>
            </w:pPr>
          </w:p>
        </w:tc>
        <w:tc>
          <w:tcPr>
            <w:tcW w:w="476" w:type="pct"/>
            <w:vMerge w:val="continue"/>
            <w:shd w:val="clear" w:color="auto" w:fill="auto"/>
            <w:vAlign w:val="center"/>
          </w:tcPr>
          <w:p w14:paraId="02829B6A">
            <w:pPr>
              <w:widowControl/>
              <w:snapToGrid w:val="0"/>
              <w:spacing w:line="320" w:lineRule="exact"/>
              <w:jc w:val="center"/>
              <w:rPr>
                <w:rFonts w:eastAsia="仿宋_GB2312"/>
                <w:color w:val="000000" w:themeColor="text1"/>
                <w:szCs w:val="21"/>
                <w14:textFill>
                  <w14:solidFill>
                    <w14:schemeClr w14:val="tx1"/>
                  </w14:solidFill>
                </w14:textFill>
              </w:rPr>
            </w:pPr>
          </w:p>
        </w:tc>
        <w:tc>
          <w:tcPr>
            <w:tcW w:w="337" w:type="pct"/>
            <w:shd w:val="clear" w:color="auto" w:fill="auto"/>
            <w:vAlign w:val="center"/>
          </w:tcPr>
          <w:p w14:paraId="6790EA14">
            <w:pPr>
              <w:widowControl/>
              <w:snapToGrid w:val="0"/>
              <w:spacing w:line="320" w:lineRule="exac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22</w:t>
            </w:r>
          </w:p>
        </w:tc>
        <w:tc>
          <w:tcPr>
            <w:tcW w:w="1117" w:type="pct"/>
            <w:gridSpan w:val="2"/>
            <w:shd w:val="clear" w:color="auto" w:fill="auto"/>
            <w:vAlign w:val="center"/>
          </w:tcPr>
          <w:p w14:paraId="3D70E06D">
            <w:pPr>
              <w:widowControl/>
              <w:snapToGrid w:val="0"/>
              <w:spacing w:line="312" w:lineRule="exact"/>
              <w:jc w:val="center"/>
              <w:rPr>
                <w:rFonts w:eastAsia="仿宋_GB2312"/>
                <w:color w:val="auto"/>
                <w:szCs w:val="21"/>
              </w:rPr>
            </w:pPr>
            <w:r>
              <w:rPr>
                <w:rFonts w:eastAsia="仿宋_GB2312"/>
                <w:color w:val="auto"/>
                <w:szCs w:val="21"/>
              </w:rPr>
              <w:t>二氯甲烷废液</w:t>
            </w:r>
          </w:p>
        </w:tc>
        <w:tc>
          <w:tcPr>
            <w:tcW w:w="642" w:type="pct"/>
            <w:shd w:val="clear" w:color="auto" w:fill="auto"/>
            <w:vAlign w:val="center"/>
          </w:tcPr>
          <w:p w14:paraId="2E5E9A4D">
            <w:pPr>
              <w:widowControl/>
              <w:snapToGrid w:val="0"/>
              <w:spacing w:line="312" w:lineRule="exac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350</w:t>
            </w:r>
          </w:p>
        </w:tc>
        <w:tc>
          <w:tcPr>
            <w:tcW w:w="656" w:type="pct"/>
            <w:shd w:val="clear" w:color="auto" w:fill="auto"/>
            <w:vAlign w:val="center"/>
          </w:tcPr>
          <w:p w14:paraId="7E525A9B">
            <w:pPr>
              <w:widowControl/>
              <w:snapToGrid w:val="0"/>
              <w:spacing w:line="312" w:lineRule="exac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350</w:t>
            </w:r>
          </w:p>
        </w:tc>
        <w:tc>
          <w:tcPr>
            <w:tcW w:w="716" w:type="pct"/>
            <w:shd w:val="clear" w:color="auto" w:fill="auto"/>
            <w:vAlign w:val="center"/>
          </w:tcPr>
          <w:p w14:paraId="386AD5F5">
            <w:pPr>
              <w:widowControl/>
              <w:snapToGrid w:val="0"/>
              <w:spacing w:line="312" w:lineRule="exac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800</w:t>
            </w:r>
          </w:p>
        </w:tc>
        <w:tc>
          <w:tcPr>
            <w:tcW w:w="601" w:type="pct"/>
            <w:vMerge w:val="continue"/>
            <w:vAlign w:val="center"/>
          </w:tcPr>
          <w:p w14:paraId="759EF656">
            <w:pPr>
              <w:widowControl/>
              <w:snapToGrid w:val="0"/>
              <w:spacing w:line="320" w:lineRule="exact"/>
              <w:jc w:val="center"/>
              <w:rPr>
                <w:rFonts w:eastAsia="仿宋_GB2312"/>
                <w:color w:val="FF0000"/>
                <w:szCs w:val="21"/>
              </w:rPr>
            </w:pPr>
          </w:p>
        </w:tc>
      </w:tr>
      <w:tr w14:paraId="2D17B0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52" w:type="pct"/>
            <w:vMerge w:val="continue"/>
            <w:shd w:val="clear" w:color="auto" w:fill="auto"/>
            <w:vAlign w:val="center"/>
          </w:tcPr>
          <w:p w14:paraId="08D5B910">
            <w:pPr>
              <w:widowControl/>
              <w:snapToGrid w:val="0"/>
              <w:spacing w:line="320" w:lineRule="exact"/>
              <w:jc w:val="center"/>
              <w:rPr>
                <w:rFonts w:eastAsia="仿宋_GB2312"/>
                <w:color w:val="000000" w:themeColor="text1"/>
                <w:szCs w:val="21"/>
                <w14:textFill>
                  <w14:solidFill>
                    <w14:schemeClr w14:val="tx1"/>
                  </w14:solidFill>
                </w14:textFill>
              </w:rPr>
            </w:pPr>
          </w:p>
        </w:tc>
        <w:tc>
          <w:tcPr>
            <w:tcW w:w="476" w:type="pct"/>
            <w:vMerge w:val="continue"/>
            <w:shd w:val="clear" w:color="auto" w:fill="auto"/>
            <w:vAlign w:val="center"/>
          </w:tcPr>
          <w:p w14:paraId="0A2940CE">
            <w:pPr>
              <w:widowControl/>
              <w:snapToGrid w:val="0"/>
              <w:spacing w:line="320" w:lineRule="exact"/>
              <w:jc w:val="center"/>
              <w:rPr>
                <w:rFonts w:eastAsia="仿宋_GB2312"/>
                <w:color w:val="000000" w:themeColor="text1"/>
                <w:szCs w:val="21"/>
                <w14:textFill>
                  <w14:solidFill>
                    <w14:schemeClr w14:val="tx1"/>
                  </w14:solidFill>
                </w14:textFill>
              </w:rPr>
            </w:pPr>
          </w:p>
        </w:tc>
        <w:tc>
          <w:tcPr>
            <w:tcW w:w="337" w:type="pct"/>
            <w:shd w:val="clear" w:color="auto" w:fill="auto"/>
            <w:vAlign w:val="center"/>
          </w:tcPr>
          <w:p w14:paraId="6BA7D5D5">
            <w:pPr>
              <w:widowControl/>
              <w:snapToGrid w:val="0"/>
              <w:spacing w:line="320" w:lineRule="exac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23</w:t>
            </w:r>
          </w:p>
        </w:tc>
        <w:tc>
          <w:tcPr>
            <w:tcW w:w="1117" w:type="pct"/>
            <w:gridSpan w:val="2"/>
            <w:shd w:val="clear" w:color="auto" w:fill="auto"/>
            <w:vAlign w:val="center"/>
          </w:tcPr>
          <w:p w14:paraId="20C332A9">
            <w:pPr>
              <w:widowControl/>
              <w:snapToGrid w:val="0"/>
              <w:spacing w:line="312" w:lineRule="exact"/>
              <w:jc w:val="center"/>
              <w:rPr>
                <w:rFonts w:eastAsia="仿宋_GB2312"/>
                <w:color w:val="auto"/>
                <w:szCs w:val="21"/>
              </w:rPr>
            </w:pPr>
            <w:r>
              <w:rPr>
                <w:rFonts w:eastAsia="仿宋_GB2312"/>
                <w:color w:val="auto"/>
                <w:szCs w:val="21"/>
              </w:rPr>
              <w:t>二氯乙烷废液</w:t>
            </w:r>
          </w:p>
        </w:tc>
        <w:tc>
          <w:tcPr>
            <w:tcW w:w="642" w:type="pct"/>
            <w:shd w:val="clear" w:color="auto" w:fill="auto"/>
            <w:vAlign w:val="center"/>
          </w:tcPr>
          <w:p w14:paraId="7B7B2E9E">
            <w:pPr>
              <w:widowControl/>
              <w:snapToGrid w:val="0"/>
              <w:spacing w:line="312" w:lineRule="exac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235</w:t>
            </w:r>
          </w:p>
        </w:tc>
        <w:tc>
          <w:tcPr>
            <w:tcW w:w="656" w:type="pct"/>
            <w:shd w:val="clear" w:color="auto" w:fill="auto"/>
            <w:vAlign w:val="center"/>
          </w:tcPr>
          <w:p w14:paraId="3FB87090">
            <w:pPr>
              <w:widowControl/>
              <w:snapToGrid w:val="0"/>
              <w:spacing w:line="312" w:lineRule="exac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235</w:t>
            </w:r>
          </w:p>
        </w:tc>
        <w:tc>
          <w:tcPr>
            <w:tcW w:w="716" w:type="pct"/>
            <w:shd w:val="clear" w:color="auto" w:fill="auto"/>
            <w:vAlign w:val="center"/>
          </w:tcPr>
          <w:p w14:paraId="21C3263F">
            <w:pPr>
              <w:widowControl/>
              <w:snapToGrid w:val="0"/>
              <w:spacing w:line="312" w:lineRule="exac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750</w:t>
            </w:r>
          </w:p>
        </w:tc>
        <w:tc>
          <w:tcPr>
            <w:tcW w:w="601" w:type="pct"/>
            <w:vMerge w:val="continue"/>
            <w:vAlign w:val="center"/>
          </w:tcPr>
          <w:p w14:paraId="569F01DF">
            <w:pPr>
              <w:widowControl/>
              <w:snapToGrid w:val="0"/>
              <w:spacing w:line="320" w:lineRule="exact"/>
              <w:jc w:val="center"/>
              <w:rPr>
                <w:rFonts w:eastAsia="仿宋_GB2312"/>
                <w:color w:val="FF0000"/>
                <w:szCs w:val="21"/>
              </w:rPr>
            </w:pPr>
          </w:p>
        </w:tc>
      </w:tr>
      <w:tr w14:paraId="662431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52" w:type="pct"/>
            <w:vMerge w:val="continue"/>
            <w:shd w:val="clear" w:color="auto" w:fill="auto"/>
            <w:vAlign w:val="center"/>
          </w:tcPr>
          <w:p w14:paraId="00E22044">
            <w:pPr>
              <w:widowControl/>
              <w:snapToGrid w:val="0"/>
              <w:spacing w:line="320" w:lineRule="exact"/>
              <w:jc w:val="center"/>
              <w:rPr>
                <w:rFonts w:eastAsia="仿宋_GB2312"/>
                <w:color w:val="FF0000"/>
                <w:szCs w:val="21"/>
              </w:rPr>
            </w:pPr>
          </w:p>
        </w:tc>
        <w:tc>
          <w:tcPr>
            <w:tcW w:w="476" w:type="pct"/>
            <w:vMerge w:val="continue"/>
            <w:shd w:val="clear" w:color="auto" w:fill="auto"/>
            <w:vAlign w:val="center"/>
          </w:tcPr>
          <w:p w14:paraId="7DFC7963">
            <w:pPr>
              <w:widowControl/>
              <w:snapToGrid w:val="0"/>
              <w:spacing w:line="320" w:lineRule="exact"/>
              <w:jc w:val="center"/>
              <w:rPr>
                <w:rFonts w:eastAsia="仿宋_GB2312"/>
                <w:color w:val="FF0000"/>
                <w:szCs w:val="21"/>
              </w:rPr>
            </w:pPr>
          </w:p>
        </w:tc>
        <w:tc>
          <w:tcPr>
            <w:tcW w:w="337" w:type="pct"/>
            <w:shd w:val="clear" w:color="auto" w:fill="auto"/>
            <w:vAlign w:val="center"/>
          </w:tcPr>
          <w:p w14:paraId="59C9BD01">
            <w:pPr>
              <w:widowControl/>
              <w:snapToGrid w:val="0"/>
              <w:spacing w:line="320" w:lineRule="exac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24</w:t>
            </w:r>
          </w:p>
        </w:tc>
        <w:tc>
          <w:tcPr>
            <w:tcW w:w="1117" w:type="pct"/>
            <w:gridSpan w:val="2"/>
            <w:shd w:val="clear" w:color="auto" w:fill="auto"/>
            <w:vAlign w:val="center"/>
          </w:tcPr>
          <w:p w14:paraId="2B64C647">
            <w:pPr>
              <w:widowControl/>
              <w:snapToGrid w:val="0"/>
              <w:spacing w:line="312" w:lineRule="exact"/>
              <w:jc w:val="center"/>
              <w:rPr>
                <w:rFonts w:eastAsia="仿宋_GB2312"/>
                <w:color w:val="auto"/>
                <w:szCs w:val="21"/>
              </w:rPr>
            </w:pPr>
            <w:r>
              <w:rPr>
                <w:rFonts w:eastAsia="仿宋_GB2312"/>
                <w:color w:val="auto"/>
                <w:szCs w:val="21"/>
              </w:rPr>
              <w:t>醋酸废液</w:t>
            </w:r>
          </w:p>
        </w:tc>
        <w:tc>
          <w:tcPr>
            <w:tcW w:w="642" w:type="pct"/>
            <w:shd w:val="clear" w:color="auto" w:fill="auto"/>
            <w:vAlign w:val="center"/>
          </w:tcPr>
          <w:p w14:paraId="54174F62">
            <w:pPr>
              <w:widowControl/>
              <w:snapToGrid w:val="0"/>
              <w:spacing w:line="312"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2</w:t>
            </w:r>
            <w:r>
              <w:rPr>
                <w:rFonts w:eastAsia="仿宋_GB2312"/>
                <w:color w:val="000000" w:themeColor="text1"/>
                <w:szCs w:val="21"/>
                <w14:textFill>
                  <w14:solidFill>
                    <w14:schemeClr w14:val="tx1"/>
                  </w14:solidFill>
                </w14:textFill>
              </w:rPr>
              <w:t>100</w:t>
            </w:r>
          </w:p>
        </w:tc>
        <w:tc>
          <w:tcPr>
            <w:tcW w:w="656" w:type="pct"/>
            <w:shd w:val="clear" w:color="auto" w:fill="auto"/>
            <w:vAlign w:val="center"/>
          </w:tcPr>
          <w:p w14:paraId="1D4D4848">
            <w:pPr>
              <w:widowControl/>
              <w:snapToGrid w:val="0"/>
              <w:spacing w:line="312"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2</w:t>
            </w:r>
            <w:r>
              <w:rPr>
                <w:rFonts w:eastAsia="仿宋_GB2312"/>
                <w:color w:val="000000" w:themeColor="text1"/>
                <w:szCs w:val="21"/>
                <w14:textFill>
                  <w14:solidFill>
                    <w14:schemeClr w14:val="tx1"/>
                  </w14:solidFill>
                </w14:textFill>
              </w:rPr>
              <w:t>100</w:t>
            </w:r>
          </w:p>
        </w:tc>
        <w:tc>
          <w:tcPr>
            <w:tcW w:w="716" w:type="pct"/>
            <w:shd w:val="clear" w:color="auto" w:fill="auto"/>
            <w:vAlign w:val="center"/>
          </w:tcPr>
          <w:p w14:paraId="38DAB84A">
            <w:pPr>
              <w:widowControl/>
              <w:snapToGrid w:val="0"/>
              <w:spacing w:line="312"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1680</w:t>
            </w:r>
          </w:p>
        </w:tc>
        <w:tc>
          <w:tcPr>
            <w:tcW w:w="601" w:type="pct"/>
            <w:vMerge w:val="continue"/>
            <w:vAlign w:val="center"/>
          </w:tcPr>
          <w:p w14:paraId="39DCC952">
            <w:pPr>
              <w:widowControl/>
              <w:snapToGrid w:val="0"/>
              <w:spacing w:line="320" w:lineRule="exact"/>
              <w:jc w:val="center"/>
              <w:rPr>
                <w:rFonts w:eastAsia="仿宋_GB2312"/>
                <w:color w:val="FF0000"/>
                <w:szCs w:val="21"/>
              </w:rPr>
            </w:pPr>
          </w:p>
        </w:tc>
      </w:tr>
      <w:tr w14:paraId="512C01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52" w:type="pct"/>
            <w:vMerge w:val="continue"/>
            <w:shd w:val="clear" w:color="auto" w:fill="auto"/>
            <w:vAlign w:val="center"/>
          </w:tcPr>
          <w:p w14:paraId="15990A42">
            <w:pPr>
              <w:widowControl/>
              <w:snapToGrid w:val="0"/>
              <w:spacing w:line="320" w:lineRule="exact"/>
              <w:jc w:val="center"/>
              <w:rPr>
                <w:rFonts w:eastAsia="仿宋_GB2312"/>
                <w:color w:val="FF0000"/>
                <w:szCs w:val="21"/>
              </w:rPr>
            </w:pPr>
          </w:p>
        </w:tc>
        <w:tc>
          <w:tcPr>
            <w:tcW w:w="476" w:type="pct"/>
            <w:vMerge w:val="continue"/>
            <w:shd w:val="clear" w:color="auto" w:fill="auto"/>
            <w:vAlign w:val="center"/>
          </w:tcPr>
          <w:p w14:paraId="2B2B30D6">
            <w:pPr>
              <w:widowControl/>
              <w:snapToGrid w:val="0"/>
              <w:spacing w:line="320" w:lineRule="exact"/>
              <w:jc w:val="center"/>
              <w:rPr>
                <w:rFonts w:eastAsia="仿宋_GB2312"/>
                <w:color w:val="FF0000"/>
                <w:szCs w:val="21"/>
              </w:rPr>
            </w:pPr>
          </w:p>
        </w:tc>
        <w:tc>
          <w:tcPr>
            <w:tcW w:w="337" w:type="pct"/>
            <w:shd w:val="clear" w:color="auto" w:fill="auto"/>
            <w:vAlign w:val="center"/>
          </w:tcPr>
          <w:p w14:paraId="32FD57B0">
            <w:pPr>
              <w:widowControl/>
              <w:snapToGrid w:val="0"/>
              <w:spacing w:line="32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25</w:t>
            </w:r>
          </w:p>
        </w:tc>
        <w:tc>
          <w:tcPr>
            <w:tcW w:w="1117" w:type="pct"/>
            <w:gridSpan w:val="2"/>
            <w:shd w:val="clear" w:color="auto" w:fill="auto"/>
            <w:vAlign w:val="center"/>
          </w:tcPr>
          <w:p w14:paraId="3C19BB87">
            <w:pPr>
              <w:widowControl/>
              <w:snapToGrid w:val="0"/>
              <w:spacing w:line="312" w:lineRule="exac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乙腈废液</w:t>
            </w:r>
          </w:p>
        </w:tc>
        <w:tc>
          <w:tcPr>
            <w:tcW w:w="642" w:type="pct"/>
            <w:shd w:val="clear" w:color="auto" w:fill="auto"/>
            <w:vAlign w:val="center"/>
          </w:tcPr>
          <w:p w14:paraId="423BF38C">
            <w:pPr>
              <w:widowControl/>
              <w:snapToGrid w:val="0"/>
              <w:spacing w:line="312" w:lineRule="exac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350</w:t>
            </w:r>
          </w:p>
        </w:tc>
        <w:tc>
          <w:tcPr>
            <w:tcW w:w="656" w:type="pct"/>
            <w:shd w:val="clear" w:color="auto" w:fill="auto"/>
            <w:vAlign w:val="center"/>
          </w:tcPr>
          <w:p w14:paraId="10FB22F8">
            <w:pPr>
              <w:widowControl/>
              <w:snapToGrid w:val="0"/>
              <w:spacing w:line="312" w:lineRule="exac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350</w:t>
            </w:r>
          </w:p>
        </w:tc>
        <w:tc>
          <w:tcPr>
            <w:tcW w:w="716" w:type="pct"/>
            <w:shd w:val="clear" w:color="auto" w:fill="auto"/>
            <w:vAlign w:val="center"/>
          </w:tcPr>
          <w:p w14:paraId="0D794728">
            <w:pPr>
              <w:widowControl/>
              <w:snapToGrid w:val="0"/>
              <w:spacing w:line="312" w:lineRule="exac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800</w:t>
            </w:r>
          </w:p>
        </w:tc>
        <w:tc>
          <w:tcPr>
            <w:tcW w:w="601" w:type="pct"/>
            <w:vMerge w:val="continue"/>
            <w:vAlign w:val="center"/>
          </w:tcPr>
          <w:p w14:paraId="00AB92D1">
            <w:pPr>
              <w:widowControl/>
              <w:snapToGrid w:val="0"/>
              <w:spacing w:line="320" w:lineRule="exact"/>
              <w:jc w:val="center"/>
              <w:rPr>
                <w:rFonts w:eastAsia="仿宋_GB2312"/>
                <w:color w:val="FF0000"/>
                <w:szCs w:val="21"/>
              </w:rPr>
            </w:pPr>
          </w:p>
        </w:tc>
      </w:tr>
      <w:tr w14:paraId="38E9D4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52" w:type="pct"/>
            <w:vMerge w:val="continue"/>
            <w:shd w:val="clear" w:color="auto" w:fill="auto"/>
            <w:vAlign w:val="center"/>
          </w:tcPr>
          <w:p w14:paraId="204C8BA1">
            <w:pPr>
              <w:widowControl/>
              <w:snapToGrid w:val="0"/>
              <w:spacing w:line="320" w:lineRule="exact"/>
              <w:jc w:val="center"/>
              <w:rPr>
                <w:rFonts w:eastAsia="仿宋_GB2312"/>
                <w:color w:val="FF0000"/>
                <w:szCs w:val="21"/>
              </w:rPr>
            </w:pPr>
          </w:p>
        </w:tc>
        <w:tc>
          <w:tcPr>
            <w:tcW w:w="476" w:type="pct"/>
            <w:vMerge w:val="continue"/>
            <w:shd w:val="clear" w:color="auto" w:fill="auto"/>
            <w:vAlign w:val="center"/>
          </w:tcPr>
          <w:p w14:paraId="3395731C">
            <w:pPr>
              <w:widowControl/>
              <w:snapToGrid w:val="0"/>
              <w:spacing w:line="320" w:lineRule="exact"/>
              <w:jc w:val="center"/>
              <w:rPr>
                <w:rFonts w:eastAsia="仿宋_GB2312"/>
                <w:color w:val="FF0000"/>
                <w:szCs w:val="21"/>
              </w:rPr>
            </w:pPr>
          </w:p>
        </w:tc>
        <w:tc>
          <w:tcPr>
            <w:tcW w:w="1454" w:type="pct"/>
            <w:gridSpan w:val="3"/>
            <w:shd w:val="clear" w:color="auto" w:fill="auto"/>
            <w:vAlign w:val="center"/>
          </w:tcPr>
          <w:p w14:paraId="076DC7ED">
            <w:pPr>
              <w:widowControl/>
              <w:snapToGrid w:val="0"/>
              <w:spacing w:line="312" w:lineRule="exact"/>
              <w:jc w:val="center"/>
              <w:rPr>
                <w:rFonts w:eastAsia="仿宋_GB2312"/>
                <w:b/>
                <w:bCs/>
                <w:color w:val="000000" w:themeColor="text1"/>
                <w:szCs w:val="21"/>
                <w14:textFill>
                  <w14:solidFill>
                    <w14:schemeClr w14:val="tx1"/>
                  </w14:solidFill>
                </w14:textFill>
              </w:rPr>
            </w:pPr>
            <w:r>
              <w:rPr>
                <w:rFonts w:hint="eastAsia" w:eastAsia="仿宋_GB2312"/>
                <w:b/>
                <w:bCs/>
                <w:color w:val="000000" w:themeColor="text1"/>
                <w:szCs w:val="21"/>
                <w14:textFill>
                  <w14:solidFill>
                    <w14:schemeClr w14:val="tx1"/>
                  </w14:solidFill>
                </w14:textFill>
              </w:rPr>
              <w:t>合计</w:t>
            </w:r>
          </w:p>
        </w:tc>
        <w:tc>
          <w:tcPr>
            <w:tcW w:w="642" w:type="pct"/>
            <w:shd w:val="clear" w:color="auto" w:fill="auto"/>
            <w:vAlign w:val="center"/>
          </w:tcPr>
          <w:p w14:paraId="199B7EE8">
            <w:pPr>
              <w:widowControl/>
              <w:snapToGrid w:val="0"/>
              <w:spacing w:line="312" w:lineRule="exact"/>
              <w:jc w:val="center"/>
              <w:rPr>
                <w:rFonts w:eastAsia="仿宋_GB2312"/>
                <w:b/>
                <w:bCs/>
                <w:color w:val="000000" w:themeColor="text1"/>
                <w:szCs w:val="21"/>
                <w14:textFill>
                  <w14:solidFill>
                    <w14:schemeClr w14:val="tx1"/>
                  </w14:solidFill>
                </w14:textFill>
              </w:rPr>
            </w:pPr>
            <w:r>
              <w:rPr>
                <w:rFonts w:hint="eastAsia" w:eastAsia="仿宋_GB2312"/>
                <w:b/>
                <w:bCs/>
                <w:color w:val="000000" w:themeColor="text1"/>
                <w:szCs w:val="21"/>
                <w14:textFill>
                  <w14:solidFill>
                    <w14:schemeClr w14:val="tx1"/>
                  </w14:solidFill>
                </w14:textFill>
              </w:rPr>
              <w:t>28030</w:t>
            </w:r>
          </w:p>
        </w:tc>
        <w:tc>
          <w:tcPr>
            <w:tcW w:w="656" w:type="pct"/>
            <w:shd w:val="clear" w:color="auto" w:fill="auto"/>
            <w:vAlign w:val="center"/>
          </w:tcPr>
          <w:p w14:paraId="7D603968">
            <w:pPr>
              <w:widowControl/>
              <w:snapToGrid w:val="0"/>
              <w:spacing w:line="312" w:lineRule="exact"/>
              <w:jc w:val="center"/>
              <w:rPr>
                <w:rFonts w:eastAsia="仿宋_GB2312"/>
                <w:b/>
                <w:bCs/>
                <w:color w:val="000000" w:themeColor="text1"/>
                <w:szCs w:val="21"/>
                <w14:textFill>
                  <w14:solidFill>
                    <w14:schemeClr w14:val="tx1"/>
                  </w14:solidFill>
                </w14:textFill>
              </w:rPr>
            </w:pPr>
            <w:r>
              <w:rPr>
                <w:rFonts w:hint="eastAsia" w:eastAsia="仿宋_GB2312"/>
                <w:b/>
                <w:bCs/>
                <w:color w:val="000000" w:themeColor="text1"/>
                <w:szCs w:val="21"/>
                <w14:textFill>
                  <w14:solidFill>
                    <w14:schemeClr w14:val="tx1"/>
                  </w14:solidFill>
                </w14:textFill>
              </w:rPr>
              <w:t>28030</w:t>
            </w:r>
          </w:p>
        </w:tc>
        <w:tc>
          <w:tcPr>
            <w:tcW w:w="716" w:type="pct"/>
            <w:shd w:val="clear" w:color="auto" w:fill="auto"/>
            <w:vAlign w:val="center"/>
          </w:tcPr>
          <w:p w14:paraId="6F8754A6">
            <w:pPr>
              <w:widowControl/>
              <w:snapToGrid w:val="0"/>
              <w:spacing w:line="312" w:lineRule="exact"/>
              <w:jc w:val="center"/>
              <w:rPr>
                <w:rFonts w:eastAsia="仿宋_GB2312"/>
                <w:b/>
                <w:bCs/>
                <w:color w:val="000000" w:themeColor="text1"/>
                <w:szCs w:val="21"/>
                <w14:textFill>
                  <w14:solidFill>
                    <w14:schemeClr w14:val="tx1"/>
                  </w14:solidFill>
                </w14:textFill>
              </w:rPr>
            </w:pPr>
            <w:r>
              <w:rPr>
                <w:rFonts w:hint="eastAsia" w:eastAsia="仿宋_GB2312"/>
                <w:b/>
                <w:bCs/>
                <w:color w:val="000000" w:themeColor="text1"/>
                <w:szCs w:val="21"/>
                <w14:textFill>
                  <w14:solidFill>
                    <w14:schemeClr w14:val="tx1"/>
                  </w14:solidFill>
                </w14:textFill>
              </w:rPr>
              <w:t>/</w:t>
            </w:r>
          </w:p>
        </w:tc>
        <w:tc>
          <w:tcPr>
            <w:tcW w:w="601" w:type="pct"/>
            <w:vMerge w:val="continue"/>
            <w:vAlign w:val="center"/>
          </w:tcPr>
          <w:p w14:paraId="35C74689">
            <w:pPr>
              <w:widowControl/>
              <w:snapToGrid w:val="0"/>
              <w:spacing w:line="320" w:lineRule="exact"/>
              <w:jc w:val="center"/>
              <w:rPr>
                <w:rFonts w:eastAsia="仿宋_GB2312"/>
                <w:color w:val="FF0000"/>
                <w:szCs w:val="21"/>
              </w:rPr>
            </w:pPr>
          </w:p>
        </w:tc>
      </w:tr>
      <w:tr w14:paraId="29B8645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52" w:type="pct"/>
            <w:vMerge w:val="continue"/>
            <w:shd w:val="clear" w:color="auto" w:fill="auto"/>
            <w:vAlign w:val="center"/>
          </w:tcPr>
          <w:p w14:paraId="7D91DC8C">
            <w:pPr>
              <w:widowControl/>
              <w:snapToGrid w:val="0"/>
              <w:spacing w:line="320" w:lineRule="exact"/>
              <w:jc w:val="center"/>
              <w:rPr>
                <w:rFonts w:eastAsia="仿宋_GB2312"/>
                <w:color w:val="FF0000"/>
                <w:szCs w:val="21"/>
              </w:rPr>
            </w:pPr>
          </w:p>
        </w:tc>
        <w:tc>
          <w:tcPr>
            <w:tcW w:w="476" w:type="pct"/>
            <w:vMerge w:val="restart"/>
            <w:shd w:val="clear" w:color="auto" w:fill="auto"/>
            <w:vAlign w:val="center"/>
          </w:tcPr>
          <w:p w14:paraId="5FC6DAEC">
            <w:pPr>
              <w:widowControl/>
              <w:snapToGrid w:val="0"/>
              <w:spacing w:line="320" w:lineRule="exact"/>
              <w:jc w:val="center"/>
              <w:rPr>
                <w:rFonts w:eastAsia="仿宋_GB2312"/>
                <w:color w:val="FF0000"/>
                <w:szCs w:val="21"/>
              </w:rPr>
            </w:pPr>
            <w:r>
              <w:rPr>
                <w:rFonts w:eastAsia="仿宋_GB2312"/>
                <w:szCs w:val="21"/>
              </w:rPr>
              <w:t>B-7车间</w:t>
            </w:r>
          </w:p>
        </w:tc>
        <w:tc>
          <w:tcPr>
            <w:tcW w:w="337" w:type="pct"/>
            <w:shd w:val="clear" w:color="auto" w:fill="auto"/>
            <w:vAlign w:val="center"/>
          </w:tcPr>
          <w:p w14:paraId="6AC97782">
            <w:pPr>
              <w:widowControl/>
              <w:snapToGrid w:val="0"/>
              <w:spacing w:line="320" w:lineRule="exac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1</w:t>
            </w:r>
          </w:p>
        </w:tc>
        <w:tc>
          <w:tcPr>
            <w:tcW w:w="1117" w:type="pct"/>
            <w:gridSpan w:val="2"/>
            <w:shd w:val="clear" w:color="auto" w:fill="auto"/>
            <w:vAlign w:val="center"/>
          </w:tcPr>
          <w:p w14:paraId="4DFAA605">
            <w:pPr>
              <w:jc w:val="center"/>
              <w:rPr>
                <w:rFonts w:eastAsia="仿宋_GB2312"/>
                <w:szCs w:val="21"/>
              </w:rPr>
            </w:pPr>
            <w:r>
              <w:rPr>
                <w:rFonts w:eastAsia="仿宋_GB2312"/>
                <w:szCs w:val="21"/>
              </w:rPr>
              <w:t>N-甲基吡咯烷酮废液</w:t>
            </w:r>
          </w:p>
        </w:tc>
        <w:tc>
          <w:tcPr>
            <w:tcW w:w="642" w:type="pct"/>
            <w:shd w:val="clear" w:color="auto" w:fill="auto"/>
            <w:vAlign w:val="center"/>
          </w:tcPr>
          <w:p w14:paraId="23BFE7F5">
            <w:pPr>
              <w:widowControl/>
              <w:jc w:val="center"/>
              <w:rPr>
                <w:rFonts w:eastAsia="仿宋_GB2312"/>
                <w:kern w:val="0"/>
              </w:rPr>
            </w:pPr>
            <w:r>
              <w:rPr>
                <w:rFonts w:eastAsia="仿宋_GB2312"/>
                <w:kern w:val="0"/>
              </w:rPr>
              <w:t>1</w:t>
            </w:r>
            <w:r>
              <w:rPr>
                <w:rFonts w:hint="eastAsia" w:eastAsia="仿宋_GB2312"/>
                <w:kern w:val="0"/>
              </w:rPr>
              <w:t>25</w:t>
            </w:r>
            <w:r>
              <w:rPr>
                <w:rFonts w:eastAsia="仿宋_GB2312"/>
                <w:kern w:val="0"/>
              </w:rPr>
              <w:t>00</w:t>
            </w:r>
          </w:p>
        </w:tc>
        <w:tc>
          <w:tcPr>
            <w:tcW w:w="656" w:type="pct"/>
            <w:shd w:val="clear" w:color="auto" w:fill="auto"/>
            <w:vAlign w:val="center"/>
          </w:tcPr>
          <w:p w14:paraId="14326930">
            <w:pPr>
              <w:widowControl/>
              <w:jc w:val="center"/>
              <w:rPr>
                <w:rFonts w:eastAsia="仿宋_GB2312"/>
                <w:kern w:val="0"/>
              </w:rPr>
            </w:pPr>
            <w:r>
              <w:rPr>
                <w:rFonts w:eastAsia="仿宋_GB2312"/>
                <w:kern w:val="0"/>
              </w:rPr>
              <w:t>1</w:t>
            </w:r>
            <w:r>
              <w:rPr>
                <w:rFonts w:hint="eastAsia" w:eastAsia="仿宋_GB2312"/>
                <w:kern w:val="0"/>
              </w:rPr>
              <w:t>25</w:t>
            </w:r>
            <w:r>
              <w:rPr>
                <w:rFonts w:eastAsia="仿宋_GB2312"/>
                <w:kern w:val="0"/>
              </w:rPr>
              <w:t>00</w:t>
            </w:r>
          </w:p>
        </w:tc>
        <w:tc>
          <w:tcPr>
            <w:tcW w:w="716" w:type="pct"/>
            <w:shd w:val="clear" w:color="auto" w:fill="auto"/>
            <w:vAlign w:val="center"/>
          </w:tcPr>
          <w:p w14:paraId="6CFA1F57">
            <w:pPr>
              <w:widowControl/>
              <w:jc w:val="center"/>
              <w:rPr>
                <w:rFonts w:eastAsia="仿宋_GB2312"/>
                <w:kern w:val="0"/>
              </w:rPr>
            </w:pPr>
            <w:r>
              <w:rPr>
                <w:rFonts w:hint="eastAsia" w:eastAsia="仿宋_GB2312"/>
                <w:kern w:val="0"/>
              </w:rPr>
              <w:t>2333</w:t>
            </w:r>
          </w:p>
        </w:tc>
        <w:tc>
          <w:tcPr>
            <w:tcW w:w="601" w:type="pct"/>
            <w:vMerge w:val="continue"/>
            <w:vAlign w:val="center"/>
          </w:tcPr>
          <w:p w14:paraId="529142B1">
            <w:pPr>
              <w:widowControl/>
              <w:snapToGrid w:val="0"/>
              <w:spacing w:line="320" w:lineRule="exact"/>
              <w:jc w:val="center"/>
              <w:rPr>
                <w:rFonts w:eastAsia="仿宋_GB2312"/>
                <w:color w:val="FF0000"/>
                <w:szCs w:val="21"/>
              </w:rPr>
            </w:pPr>
          </w:p>
        </w:tc>
      </w:tr>
      <w:tr w14:paraId="0DF858E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52" w:type="pct"/>
            <w:vMerge w:val="continue"/>
            <w:shd w:val="clear" w:color="auto" w:fill="auto"/>
            <w:vAlign w:val="center"/>
          </w:tcPr>
          <w:p w14:paraId="21EDD72A">
            <w:pPr>
              <w:widowControl/>
              <w:snapToGrid w:val="0"/>
              <w:spacing w:line="320" w:lineRule="exact"/>
              <w:jc w:val="center"/>
              <w:rPr>
                <w:rFonts w:eastAsia="仿宋_GB2312"/>
                <w:color w:val="FF0000"/>
                <w:szCs w:val="21"/>
              </w:rPr>
            </w:pPr>
          </w:p>
        </w:tc>
        <w:tc>
          <w:tcPr>
            <w:tcW w:w="476" w:type="pct"/>
            <w:vMerge w:val="continue"/>
            <w:shd w:val="clear" w:color="auto" w:fill="auto"/>
            <w:vAlign w:val="center"/>
          </w:tcPr>
          <w:p w14:paraId="3C642845">
            <w:pPr>
              <w:widowControl/>
              <w:snapToGrid w:val="0"/>
              <w:spacing w:line="320" w:lineRule="exact"/>
              <w:jc w:val="center"/>
              <w:rPr>
                <w:rFonts w:eastAsia="仿宋_GB2312"/>
                <w:color w:val="FF0000"/>
                <w:szCs w:val="21"/>
              </w:rPr>
            </w:pPr>
          </w:p>
        </w:tc>
        <w:tc>
          <w:tcPr>
            <w:tcW w:w="337" w:type="pct"/>
            <w:shd w:val="clear" w:color="auto" w:fill="auto"/>
            <w:vAlign w:val="center"/>
          </w:tcPr>
          <w:p w14:paraId="6969B9E1">
            <w:pPr>
              <w:widowControl/>
              <w:snapToGrid w:val="0"/>
              <w:spacing w:line="320" w:lineRule="exac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2</w:t>
            </w:r>
          </w:p>
        </w:tc>
        <w:tc>
          <w:tcPr>
            <w:tcW w:w="1117" w:type="pct"/>
            <w:gridSpan w:val="2"/>
            <w:shd w:val="clear" w:color="auto" w:fill="auto"/>
            <w:vAlign w:val="center"/>
          </w:tcPr>
          <w:p w14:paraId="180CCC46">
            <w:pPr>
              <w:jc w:val="center"/>
              <w:rPr>
                <w:rFonts w:eastAsia="仿宋_GB2312"/>
                <w:szCs w:val="21"/>
              </w:rPr>
            </w:pPr>
            <w:r>
              <w:rPr>
                <w:rFonts w:eastAsia="仿宋_GB2312"/>
                <w:szCs w:val="21"/>
              </w:rPr>
              <w:t>异丙醇废液</w:t>
            </w:r>
          </w:p>
        </w:tc>
        <w:tc>
          <w:tcPr>
            <w:tcW w:w="642" w:type="pct"/>
            <w:shd w:val="clear" w:color="auto" w:fill="auto"/>
            <w:vAlign w:val="center"/>
          </w:tcPr>
          <w:p w14:paraId="3E05639C">
            <w:pPr>
              <w:widowControl/>
              <w:jc w:val="center"/>
              <w:rPr>
                <w:rFonts w:eastAsia="仿宋_GB2312"/>
                <w:kern w:val="0"/>
              </w:rPr>
            </w:pPr>
            <w:r>
              <w:rPr>
                <w:rFonts w:eastAsia="仿宋_GB2312"/>
                <w:kern w:val="0"/>
              </w:rPr>
              <w:t>12000</w:t>
            </w:r>
          </w:p>
        </w:tc>
        <w:tc>
          <w:tcPr>
            <w:tcW w:w="656" w:type="pct"/>
            <w:shd w:val="clear" w:color="auto" w:fill="auto"/>
            <w:vAlign w:val="center"/>
          </w:tcPr>
          <w:p w14:paraId="6FCB2AC4">
            <w:pPr>
              <w:widowControl/>
              <w:jc w:val="center"/>
              <w:rPr>
                <w:rFonts w:eastAsia="仿宋_GB2312"/>
                <w:kern w:val="0"/>
              </w:rPr>
            </w:pPr>
            <w:r>
              <w:rPr>
                <w:rFonts w:eastAsia="仿宋_GB2312"/>
                <w:kern w:val="0"/>
              </w:rPr>
              <w:t>12000</w:t>
            </w:r>
          </w:p>
        </w:tc>
        <w:tc>
          <w:tcPr>
            <w:tcW w:w="716" w:type="pct"/>
            <w:shd w:val="clear" w:color="auto" w:fill="auto"/>
            <w:vAlign w:val="center"/>
          </w:tcPr>
          <w:p w14:paraId="60348BE6">
            <w:pPr>
              <w:widowControl/>
              <w:jc w:val="center"/>
              <w:rPr>
                <w:rFonts w:eastAsia="仿宋_GB2312"/>
                <w:kern w:val="0"/>
              </w:rPr>
            </w:pPr>
            <w:r>
              <w:rPr>
                <w:rFonts w:eastAsia="仿宋_GB2312"/>
                <w:kern w:val="0"/>
              </w:rPr>
              <w:t>3200</w:t>
            </w:r>
          </w:p>
        </w:tc>
        <w:tc>
          <w:tcPr>
            <w:tcW w:w="601" w:type="pct"/>
            <w:vMerge w:val="continue"/>
            <w:vAlign w:val="center"/>
          </w:tcPr>
          <w:p w14:paraId="5AE7E991">
            <w:pPr>
              <w:widowControl/>
              <w:snapToGrid w:val="0"/>
              <w:spacing w:line="320" w:lineRule="exact"/>
              <w:jc w:val="center"/>
              <w:rPr>
                <w:rFonts w:eastAsia="仿宋_GB2312"/>
                <w:color w:val="FF0000"/>
                <w:szCs w:val="21"/>
              </w:rPr>
            </w:pPr>
          </w:p>
        </w:tc>
      </w:tr>
      <w:tr w14:paraId="12E475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52" w:type="pct"/>
            <w:vMerge w:val="continue"/>
            <w:shd w:val="clear" w:color="auto" w:fill="auto"/>
            <w:vAlign w:val="center"/>
          </w:tcPr>
          <w:p w14:paraId="0B77B871">
            <w:pPr>
              <w:widowControl/>
              <w:snapToGrid w:val="0"/>
              <w:spacing w:line="320" w:lineRule="exact"/>
              <w:jc w:val="center"/>
              <w:rPr>
                <w:rFonts w:eastAsia="仿宋_GB2312"/>
                <w:color w:val="FF0000"/>
                <w:szCs w:val="21"/>
              </w:rPr>
            </w:pPr>
          </w:p>
        </w:tc>
        <w:tc>
          <w:tcPr>
            <w:tcW w:w="476" w:type="pct"/>
            <w:vMerge w:val="continue"/>
            <w:shd w:val="clear" w:color="auto" w:fill="auto"/>
            <w:vAlign w:val="center"/>
          </w:tcPr>
          <w:p w14:paraId="0AEB79B5">
            <w:pPr>
              <w:widowControl/>
              <w:snapToGrid w:val="0"/>
              <w:spacing w:line="320" w:lineRule="exact"/>
              <w:jc w:val="center"/>
              <w:rPr>
                <w:rFonts w:eastAsia="仿宋_GB2312"/>
                <w:color w:val="FF0000"/>
                <w:szCs w:val="21"/>
              </w:rPr>
            </w:pPr>
          </w:p>
        </w:tc>
        <w:tc>
          <w:tcPr>
            <w:tcW w:w="337" w:type="pct"/>
            <w:shd w:val="clear" w:color="auto" w:fill="auto"/>
            <w:vAlign w:val="center"/>
          </w:tcPr>
          <w:p w14:paraId="06A8C024">
            <w:pPr>
              <w:widowControl/>
              <w:snapToGrid w:val="0"/>
              <w:spacing w:line="320" w:lineRule="exac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3</w:t>
            </w:r>
          </w:p>
        </w:tc>
        <w:tc>
          <w:tcPr>
            <w:tcW w:w="1117" w:type="pct"/>
            <w:gridSpan w:val="2"/>
            <w:shd w:val="clear" w:color="auto" w:fill="auto"/>
            <w:vAlign w:val="center"/>
          </w:tcPr>
          <w:p w14:paraId="12DFDF13">
            <w:pPr>
              <w:widowControl/>
              <w:jc w:val="center"/>
              <w:rPr>
                <w:rFonts w:eastAsia="仿宋_GB2312"/>
                <w:bCs/>
                <w:kern w:val="0"/>
                <w:szCs w:val="21"/>
              </w:rPr>
            </w:pPr>
            <w:r>
              <w:rPr>
                <w:rFonts w:eastAsia="仿宋_GB2312"/>
                <w:bCs/>
                <w:kern w:val="0"/>
                <w:szCs w:val="21"/>
              </w:rPr>
              <w:t>丁酮废液</w:t>
            </w:r>
          </w:p>
        </w:tc>
        <w:tc>
          <w:tcPr>
            <w:tcW w:w="642" w:type="pct"/>
            <w:shd w:val="clear" w:color="auto" w:fill="auto"/>
            <w:vAlign w:val="center"/>
          </w:tcPr>
          <w:p w14:paraId="317DA602">
            <w:pPr>
              <w:widowControl/>
              <w:jc w:val="center"/>
              <w:rPr>
                <w:rFonts w:eastAsia="仿宋_GB2312"/>
                <w:b/>
                <w:kern w:val="0"/>
                <w:szCs w:val="21"/>
              </w:rPr>
            </w:pPr>
            <w:r>
              <w:rPr>
                <w:rFonts w:eastAsia="仿宋_GB2312"/>
                <w:bCs/>
                <w:kern w:val="0"/>
                <w:szCs w:val="21"/>
              </w:rPr>
              <w:t>600</w:t>
            </w:r>
          </w:p>
        </w:tc>
        <w:tc>
          <w:tcPr>
            <w:tcW w:w="656" w:type="pct"/>
            <w:shd w:val="clear" w:color="auto" w:fill="auto"/>
            <w:vAlign w:val="center"/>
          </w:tcPr>
          <w:p w14:paraId="3C5666DB">
            <w:pPr>
              <w:widowControl/>
              <w:jc w:val="center"/>
              <w:rPr>
                <w:rFonts w:eastAsia="仿宋_GB2312"/>
                <w:b/>
                <w:kern w:val="0"/>
                <w:szCs w:val="21"/>
              </w:rPr>
            </w:pPr>
            <w:r>
              <w:rPr>
                <w:rFonts w:eastAsia="仿宋_GB2312"/>
                <w:bCs/>
                <w:kern w:val="0"/>
                <w:szCs w:val="21"/>
              </w:rPr>
              <w:t>600</w:t>
            </w:r>
          </w:p>
        </w:tc>
        <w:tc>
          <w:tcPr>
            <w:tcW w:w="716" w:type="pct"/>
            <w:shd w:val="clear" w:color="auto" w:fill="auto"/>
            <w:vAlign w:val="center"/>
          </w:tcPr>
          <w:p w14:paraId="59B4A803">
            <w:pPr>
              <w:widowControl/>
              <w:jc w:val="center"/>
              <w:rPr>
                <w:rFonts w:eastAsia="仿宋_GB2312"/>
                <w:bCs/>
                <w:kern w:val="0"/>
                <w:szCs w:val="21"/>
              </w:rPr>
            </w:pPr>
            <w:r>
              <w:rPr>
                <w:rFonts w:eastAsia="仿宋_GB2312"/>
                <w:bCs/>
                <w:kern w:val="0"/>
                <w:szCs w:val="21"/>
              </w:rPr>
              <w:t>147</w:t>
            </w:r>
          </w:p>
        </w:tc>
        <w:tc>
          <w:tcPr>
            <w:tcW w:w="601" w:type="pct"/>
            <w:vMerge w:val="continue"/>
            <w:vAlign w:val="center"/>
          </w:tcPr>
          <w:p w14:paraId="029E6DBC">
            <w:pPr>
              <w:widowControl/>
              <w:snapToGrid w:val="0"/>
              <w:spacing w:line="320" w:lineRule="exact"/>
              <w:jc w:val="center"/>
              <w:rPr>
                <w:rFonts w:eastAsia="仿宋_GB2312"/>
                <w:color w:val="FF0000"/>
                <w:szCs w:val="21"/>
              </w:rPr>
            </w:pPr>
          </w:p>
        </w:tc>
      </w:tr>
      <w:tr w14:paraId="79740D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52" w:type="pct"/>
            <w:vMerge w:val="continue"/>
            <w:shd w:val="clear" w:color="auto" w:fill="auto"/>
            <w:vAlign w:val="center"/>
          </w:tcPr>
          <w:p w14:paraId="6175DB8D">
            <w:pPr>
              <w:widowControl/>
              <w:snapToGrid w:val="0"/>
              <w:spacing w:line="320" w:lineRule="exact"/>
              <w:jc w:val="center"/>
              <w:rPr>
                <w:rFonts w:eastAsia="仿宋_GB2312"/>
                <w:color w:val="FF0000"/>
                <w:szCs w:val="21"/>
              </w:rPr>
            </w:pPr>
          </w:p>
        </w:tc>
        <w:tc>
          <w:tcPr>
            <w:tcW w:w="476" w:type="pct"/>
            <w:vMerge w:val="continue"/>
            <w:shd w:val="clear" w:color="auto" w:fill="auto"/>
            <w:vAlign w:val="center"/>
          </w:tcPr>
          <w:p w14:paraId="01749E5F">
            <w:pPr>
              <w:widowControl/>
              <w:snapToGrid w:val="0"/>
              <w:spacing w:line="320" w:lineRule="exact"/>
              <w:jc w:val="center"/>
              <w:rPr>
                <w:rFonts w:eastAsia="仿宋_GB2312"/>
                <w:color w:val="FF0000"/>
                <w:szCs w:val="21"/>
              </w:rPr>
            </w:pPr>
          </w:p>
        </w:tc>
        <w:tc>
          <w:tcPr>
            <w:tcW w:w="337" w:type="pct"/>
            <w:shd w:val="clear" w:color="auto" w:fill="auto"/>
            <w:vAlign w:val="center"/>
          </w:tcPr>
          <w:p w14:paraId="71EC566F">
            <w:pPr>
              <w:widowControl/>
              <w:snapToGrid w:val="0"/>
              <w:spacing w:line="320" w:lineRule="exac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4</w:t>
            </w:r>
          </w:p>
        </w:tc>
        <w:tc>
          <w:tcPr>
            <w:tcW w:w="1117" w:type="pct"/>
            <w:gridSpan w:val="2"/>
            <w:shd w:val="clear" w:color="auto" w:fill="auto"/>
            <w:vAlign w:val="center"/>
          </w:tcPr>
          <w:p w14:paraId="12BCDBCF">
            <w:pPr>
              <w:widowControl/>
              <w:jc w:val="center"/>
              <w:rPr>
                <w:rFonts w:eastAsia="仿宋_GB2312"/>
                <w:bCs/>
                <w:kern w:val="0"/>
                <w:szCs w:val="21"/>
              </w:rPr>
            </w:pPr>
            <w:r>
              <w:rPr>
                <w:rFonts w:eastAsia="仿宋_GB2312"/>
                <w:bCs/>
                <w:kern w:val="0"/>
                <w:szCs w:val="21"/>
              </w:rPr>
              <w:t>乙酸乙酯废液</w:t>
            </w:r>
          </w:p>
        </w:tc>
        <w:tc>
          <w:tcPr>
            <w:tcW w:w="642" w:type="pct"/>
            <w:shd w:val="clear" w:color="auto" w:fill="auto"/>
            <w:vAlign w:val="center"/>
          </w:tcPr>
          <w:p w14:paraId="72496066">
            <w:pPr>
              <w:widowControl/>
              <w:jc w:val="center"/>
              <w:rPr>
                <w:rFonts w:eastAsia="仿宋_GB2312"/>
                <w:kern w:val="0"/>
                <w:szCs w:val="21"/>
              </w:rPr>
            </w:pPr>
            <w:r>
              <w:rPr>
                <w:rFonts w:eastAsia="仿宋_GB2312"/>
                <w:kern w:val="0"/>
                <w:szCs w:val="21"/>
              </w:rPr>
              <w:t>2650</w:t>
            </w:r>
          </w:p>
        </w:tc>
        <w:tc>
          <w:tcPr>
            <w:tcW w:w="656" w:type="pct"/>
            <w:shd w:val="clear" w:color="auto" w:fill="auto"/>
            <w:vAlign w:val="center"/>
          </w:tcPr>
          <w:p w14:paraId="04041ED9">
            <w:pPr>
              <w:widowControl/>
              <w:jc w:val="center"/>
              <w:rPr>
                <w:rFonts w:eastAsia="仿宋_GB2312"/>
                <w:kern w:val="0"/>
                <w:szCs w:val="21"/>
              </w:rPr>
            </w:pPr>
            <w:r>
              <w:rPr>
                <w:rFonts w:eastAsia="仿宋_GB2312"/>
                <w:kern w:val="0"/>
                <w:szCs w:val="21"/>
              </w:rPr>
              <w:t>2650</w:t>
            </w:r>
          </w:p>
        </w:tc>
        <w:tc>
          <w:tcPr>
            <w:tcW w:w="716" w:type="pct"/>
            <w:shd w:val="clear" w:color="auto" w:fill="auto"/>
            <w:vAlign w:val="center"/>
          </w:tcPr>
          <w:p w14:paraId="2D200CA0">
            <w:pPr>
              <w:widowControl/>
              <w:jc w:val="center"/>
              <w:rPr>
                <w:rFonts w:eastAsia="仿宋_GB2312"/>
                <w:bCs/>
                <w:kern w:val="0"/>
                <w:szCs w:val="21"/>
              </w:rPr>
            </w:pPr>
            <w:r>
              <w:rPr>
                <w:rFonts w:eastAsia="仿宋_GB2312"/>
                <w:bCs/>
                <w:kern w:val="0"/>
                <w:szCs w:val="21"/>
              </w:rPr>
              <w:t>519</w:t>
            </w:r>
          </w:p>
        </w:tc>
        <w:tc>
          <w:tcPr>
            <w:tcW w:w="601" w:type="pct"/>
            <w:vMerge w:val="continue"/>
            <w:vAlign w:val="center"/>
          </w:tcPr>
          <w:p w14:paraId="41912CE4">
            <w:pPr>
              <w:widowControl/>
              <w:snapToGrid w:val="0"/>
              <w:spacing w:line="320" w:lineRule="exact"/>
              <w:jc w:val="center"/>
              <w:rPr>
                <w:rFonts w:eastAsia="仿宋_GB2312"/>
                <w:color w:val="FF0000"/>
                <w:szCs w:val="21"/>
              </w:rPr>
            </w:pPr>
          </w:p>
        </w:tc>
      </w:tr>
      <w:tr w14:paraId="52F4272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52" w:type="pct"/>
            <w:vMerge w:val="continue"/>
            <w:shd w:val="clear" w:color="auto" w:fill="auto"/>
            <w:vAlign w:val="center"/>
          </w:tcPr>
          <w:p w14:paraId="743E9B4A">
            <w:pPr>
              <w:widowControl/>
              <w:snapToGrid w:val="0"/>
              <w:spacing w:line="320" w:lineRule="exact"/>
              <w:jc w:val="center"/>
              <w:rPr>
                <w:rFonts w:eastAsia="仿宋_GB2312"/>
                <w:color w:val="FF0000"/>
                <w:szCs w:val="21"/>
              </w:rPr>
            </w:pPr>
          </w:p>
        </w:tc>
        <w:tc>
          <w:tcPr>
            <w:tcW w:w="476" w:type="pct"/>
            <w:vMerge w:val="continue"/>
            <w:shd w:val="clear" w:color="auto" w:fill="auto"/>
            <w:vAlign w:val="center"/>
          </w:tcPr>
          <w:p w14:paraId="20D84B1D">
            <w:pPr>
              <w:widowControl/>
              <w:snapToGrid w:val="0"/>
              <w:spacing w:line="320" w:lineRule="exact"/>
              <w:jc w:val="center"/>
              <w:rPr>
                <w:rFonts w:eastAsia="仿宋_GB2312"/>
                <w:color w:val="FF0000"/>
                <w:szCs w:val="21"/>
              </w:rPr>
            </w:pPr>
          </w:p>
        </w:tc>
        <w:tc>
          <w:tcPr>
            <w:tcW w:w="337" w:type="pct"/>
            <w:shd w:val="clear" w:color="auto" w:fill="auto"/>
            <w:vAlign w:val="center"/>
          </w:tcPr>
          <w:p w14:paraId="24C65A4C">
            <w:pPr>
              <w:widowControl/>
              <w:snapToGrid w:val="0"/>
              <w:spacing w:line="320" w:lineRule="exac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5</w:t>
            </w:r>
          </w:p>
        </w:tc>
        <w:tc>
          <w:tcPr>
            <w:tcW w:w="1117" w:type="pct"/>
            <w:gridSpan w:val="2"/>
            <w:shd w:val="clear" w:color="auto" w:fill="auto"/>
            <w:vAlign w:val="center"/>
          </w:tcPr>
          <w:p w14:paraId="6882E961">
            <w:pPr>
              <w:widowControl/>
              <w:jc w:val="center"/>
              <w:rPr>
                <w:rFonts w:eastAsia="仿宋_GB2312"/>
                <w:bCs/>
                <w:kern w:val="0"/>
                <w:szCs w:val="21"/>
              </w:rPr>
            </w:pPr>
            <w:r>
              <w:rPr>
                <w:rFonts w:eastAsia="仿宋_GB2312"/>
                <w:bCs/>
                <w:kern w:val="0"/>
                <w:szCs w:val="21"/>
              </w:rPr>
              <w:t>乙酸丁酯废液</w:t>
            </w:r>
          </w:p>
        </w:tc>
        <w:tc>
          <w:tcPr>
            <w:tcW w:w="642" w:type="pct"/>
            <w:shd w:val="clear" w:color="auto" w:fill="auto"/>
            <w:vAlign w:val="center"/>
          </w:tcPr>
          <w:p w14:paraId="01400AEE">
            <w:pPr>
              <w:widowControl/>
              <w:jc w:val="center"/>
              <w:rPr>
                <w:rFonts w:eastAsia="仿宋_GB2312"/>
                <w:kern w:val="0"/>
                <w:szCs w:val="21"/>
              </w:rPr>
            </w:pPr>
            <w:r>
              <w:rPr>
                <w:rFonts w:eastAsia="仿宋_GB2312"/>
                <w:kern w:val="0"/>
                <w:szCs w:val="21"/>
              </w:rPr>
              <w:t>1000</w:t>
            </w:r>
          </w:p>
        </w:tc>
        <w:tc>
          <w:tcPr>
            <w:tcW w:w="656" w:type="pct"/>
            <w:shd w:val="clear" w:color="auto" w:fill="auto"/>
            <w:vAlign w:val="center"/>
          </w:tcPr>
          <w:p w14:paraId="10EFF407">
            <w:pPr>
              <w:widowControl/>
              <w:jc w:val="center"/>
              <w:rPr>
                <w:rFonts w:eastAsia="仿宋_GB2312"/>
                <w:kern w:val="0"/>
                <w:szCs w:val="21"/>
              </w:rPr>
            </w:pPr>
            <w:r>
              <w:rPr>
                <w:rFonts w:eastAsia="仿宋_GB2312"/>
                <w:kern w:val="0"/>
                <w:szCs w:val="21"/>
              </w:rPr>
              <w:t>1000</w:t>
            </w:r>
          </w:p>
        </w:tc>
        <w:tc>
          <w:tcPr>
            <w:tcW w:w="716" w:type="pct"/>
            <w:shd w:val="clear" w:color="auto" w:fill="auto"/>
            <w:vAlign w:val="center"/>
          </w:tcPr>
          <w:p w14:paraId="6071606C">
            <w:pPr>
              <w:widowControl/>
              <w:jc w:val="center"/>
              <w:rPr>
                <w:rFonts w:eastAsia="仿宋_GB2312"/>
                <w:bCs/>
                <w:kern w:val="0"/>
                <w:szCs w:val="21"/>
              </w:rPr>
            </w:pPr>
            <w:r>
              <w:rPr>
                <w:rFonts w:eastAsia="仿宋_GB2312"/>
                <w:bCs/>
                <w:kern w:val="0"/>
                <w:szCs w:val="21"/>
              </w:rPr>
              <w:t>200</w:t>
            </w:r>
          </w:p>
        </w:tc>
        <w:tc>
          <w:tcPr>
            <w:tcW w:w="601" w:type="pct"/>
            <w:vMerge w:val="continue"/>
            <w:vAlign w:val="center"/>
          </w:tcPr>
          <w:p w14:paraId="788CF732">
            <w:pPr>
              <w:widowControl/>
              <w:snapToGrid w:val="0"/>
              <w:spacing w:line="320" w:lineRule="exact"/>
              <w:jc w:val="center"/>
              <w:rPr>
                <w:rFonts w:eastAsia="仿宋_GB2312"/>
                <w:color w:val="FF0000"/>
                <w:szCs w:val="21"/>
              </w:rPr>
            </w:pPr>
          </w:p>
        </w:tc>
      </w:tr>
      <w:tr w14:paraId="103D58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52" w:type="pct"/>
            <w:vMerge w:val="continue"/>
            <w:shd w:val="clear" w:color="auto" w:fill="auto"/>
            <w:vAlign w:val="center"/>
          </w:tcPr>
          <w:p w14:paraId="7B8F1C3E">
            <w:pPr>
              <w:widowControl/>
              <w:snapToGrid w:val="0"/>
              <w:spacing w:line="320" w:lineRule="exact"/>
              <w:jc w:val="center"/>
              <w:rPr>
                <w:rFonts w:eastAsia="仿宋_GB2312"/>
                <w:color w:val="FF0000"/>
                <w:szCs w:val="21"/>
              </w:rPr>
            </w:pPr>
          </w:p>
        </w:tc>
        <w:tc>
          <w:tcPr>
            <w:tcW w:w="476" w:type="pct"/>
            <w:vMerge w:val="continue"/>
            <w:shd w:val="clear" w:color="auto" w:fill="auto"/>
            <w:vAlign w:val="center"/>
          </w:tcPr>
          <w:p w14:paraId="3C3B7A3F">
            <w:pPr>
              <w:widowControl/>
              <w:snapToGrid w:val="0"/>
              <w:spacing w:line="320" w:lineRule="exact"/>
              <w:jc w:val="center"/>
              <w:rPr>
                <w:rFonts w:eastAsia="仿宋_GB2312"/>
                <w:color w:val="FF0000"/>
                <w:szCs w:val="21"/>
              </w:rPr>
            </w:pPr>
          </w:p>
        </w:tc>
        <w:tc>
          <w:tcPr>
            <w:tcW w:w="337" w:type="pct"/>
            <w:shd w:val="clear" w:color="auto" w:fill="auto"/>
            <w:vAlign w:val="center"/>
          </w:tcPr>
          <w:p w14:paraId="50CDA950">
            <w:pPr>
              <w:widowControl/>
              <w:snapToGrid w:val="0"/>
              <w:spacing w:line="320" w:lineRule="exac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6</w:t>
            </w:r>
          </w:p>
        </w:tc>
        <w:tc>
          <w:tcPr>
            <w:tcW w:w="1117" w:type="pct"/>
            <w:gridSpan w:val="2"/>
            <w:shd w:val="clear" w:color="auto" w:fill="auto"/>
            <w:vAlign w:val="center"/>
          </w:tcPr>
          <w:p w14:paraId="7CE54783">
            <w:pPr>
              <w:widowControl/>
              <w:jc w:val="center"/>
              <w:rPr>
                <w:rFonts w:eastAsia="仿宋_GB2312"/>
                <w:bCs/>
                <w:kern w:val="0"/>
                <w:szCs w:val="21"/>
              </w:rPr>
            </w:pPr>
            <w:r>
              <w:rPr>
                <w:rFonts w:eastAsia="仿宋_GB2312"/>
                <w:bCs/>
                <w:kern w:val="0"/>
                <w:szCs w:val="21"/>
              </w:rPr>
              <w:t>正庚烷废液</w:t>
            </w:r>
          </w:p>
        </w:tc>
        <w:tc>
          <w:tcPr>
            <w:tcW w:w="642" w:type="pct"/>
            <w:shd w:val="clear" w:color="auto" w:fill="auto"/>
            <w:vAlign w:val="center"/>
          </w:tcPr>
          <w:p w14:paraId="02F56A8C">
            <w:pPr>
              <w:widowControl/>
              <w:jc w:val="center"/>
              <w:rPr>
                <w:rFonts w:eastAsia="仿宋_GB2312"/>
                <w:kern w:val="0"/>
                <w:szCs w:val="21"/>
              </w:rPr>
            </w:pPr>
            <w:r>
              <w:rPr>
                <w:rFonts w:eastAsia="仿宋_GB2312"/>
                <w:kern w:val="0"/>
                <w:szCs w:val="21"/>
              </w:rPr>
              <w:t>1475</w:t>
            </w:r>
          </w:p>
        </w:tc>
        <w:tc>
          <w:tcPr>
            <w:tcW w:w="656" w:type="pct"/>
            <w:shd w:val="clear" w:color="auto" w:fill="auto"/>
            <w:vAlign w:val="center"/>
          </w:tcPr>
          <w:p w14:paraId="1C053D60">
            <w:pPr>
              <w:widowControl/>
              <w:jc w:val="center"/>
              <w:rPr>
                <w:rFonts w:eastAsia="仿宋_GB2312"/>
                <w:kern w:val="0"/>
                <w:szCs w:val="21"/>
              </w:rPr>
            </w:pPr>
            <w:r>
              <w:rPr>
                <w:rFonts w:eastAsia="仿宋_GB2312"/>
                <w:kern w:val="0"/>
                <w:szCs w:val="21"/>
              </w:rPr>
              <w:t>1475</w:t>
            </w:r>
          </w:p>
        </w:tc>
        <w:tc>
          <w:tcPr>
            <w:tcW w:w="716" w:type="pct"/>
            <w:shd w:val="clear" w:color="auto" w:fill="auto"/>
            <w:vAlign w:val="center"/>
          </w:tcPr>
          <w:p w14:paraId="10104E6B">
            <w:pPr>
              <w:widowControl/>
              <w:jc w:val="center"/>
              <w:rPr>
                <w:rFonts w:eastAsia="仿宋_GB2312"/>
                <w:bCs/>
                <w:kern w:val="0"/>
                <w:szCs w:val="21"/>
              </w:rPr>
            </w:pPr>
            <w:r>
              <w:rPr>
                <w:rFonts w:eastAsia="仿宋_GB2312"/>
                <w:bCs/>
                <w:kern w:val="0"/>
                <w:szCs w:val="21"/>
              </w:rPr>
              <w:t>420</w:t>
            </w:r>
          </w:p>
        </w:tc>
        <w:tc>
          <w:tcPr>
            <w:tcW w:w="601" w:type="pct"/>
            <w:vMerge w:val="continue"/>
            <w:vAlign w:val="center"/>
          </w:tcPr>
          <w:p w14:paraId="5C9D0E60">
            <w:pPr>
              <w:widowControl/>
              <w:snapToGrid w:val="0"/>
              <w:spacing w:line="320" w:lineRule="exact"/>
              <w:jc w:val="center"/>
              <w:rPr>
                <w:rFonts w:eastAsia="仿宋_GB2312"/>
                <w:color w:val="FF0000"/>
                <w:szCs w:val="21"/>
              </w:rPr>
            </w:pPr>
          </w:p>
        </w:tc>
      </w:tr>
      <w:tr w14:paraId="687D64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52" w:type="pct"/>
            <w:vMerge w:val="continue"/>
            <w:shd w:val="clear" w:color="auto" w:fill="auto"/>
            <w:vAlign w:val="center"/>
          </w:tcPr>
          <w:p w14:paraId="1C86BD8D">
            <w:pPr>
              <w:widowControl/>
              <w:snapToGrid w:val="0"/>
              <w:spacing w:line="320" w:lineRule="exact"/>
              <w:jc w:val="center"/>
              <w:rPr>
                <w:rFonts w:eastAsia="仿宋_GB2312"/>
                <w:color w:val="FF0000"/>
                <w:szCs w:val="21"/>
              </w:rPr>
            </w:pPr>
          </w:p>
        </w:tc>
        <w:tc>
          <w:tcPr>
            <w:tcW w:w="476" w:type="pct"/>
            <w:vMerge w:val="continue"/>
            <w:shd w:val="clear" w:color="auto" w:fill="auto"/>
            <w:vAlign w:val="center"/>
          </w:tcPr>
          <w:p w14:paraId="78228497">
            <w:pPr>
              <w:widowControl/>
              <w:snapToGrid w:val="0"/>
              <w:spacing w:line="320" w:lineRule="exact"/>
              <w:jc w:val="center"/>
              <w:rPr>
                <w:rFonts w:eastAsia="仿宋_GB2312"/>
                <w:color w:val="FF0000"/>
                <w:szCs w:val="21"/>
              </w:rPr>
            </w:pPr>
          </w:p>
        </w:tc>
        <w:tc>
          <w:tcPr>
            <w:tcW w:w="337" w:type="pct"/>
            <w:shd w:val="clear" w:color="auto" w:fill="auto"/>
            <w:vAlign w:val="center"/>
          </w:tcPr>
          <w:p w14:paraId="5F4581CD">
            <w:pPr>
              <w:widowControl/>
              <w:snapToGrid w:val="0"/>
              <w:spacing w:line="320" w:lineRule="exac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7</w:t>
            </w:r>
          </w:p>
        </w:tc>
        <w:tc>
          <w:tcPr>
            <w:tcW w:w="1117" w:type="pct"/>
            <w:gridSpan w:val="2"/>
            <w:shd w:val="clear" w:color="auto" w:fill="auto"/>
            <w:vAlign w:val="center"/>
          </w:tcPr>
          <w:p w14:paraId="08917383">
            <w:pPr>
              <w:widowControl/>
              <w:jc w:val="center"/>
              <w:rPr>
                <w:rFonts w:eastAsia="仿宋_GB2312"/>
                <w:bCs/>
                <w:kern w:val="0"/>
                <w:szCs w:val="21"/>
              </w:rPr>
            </w:pPr>
            <w:r>
              <w:rPr>
                <w:rFonts w:eastAsia="仿宋_GB2312"/>
                <w:bCs/>
                <w:kern w:val="0"/>
                <w:szCs w:val="21"/>
              </w:rPr>
              <w:t>乙醇废液</w:t>
            </w:r>
          </w:p>
        </w:tc>
        <w:tc>
          <w:tcPr>
            <w:tcW w:w="642" w:type="pct"/>
            <w:shd w:val="clear" w:color="auto" w:fill="auto"/>
            <w:vAlign w:val="center"/>
          </w:tcPr>
          <w:p w14:paraId="4F091A7E">
            <w:pPr>
              <w:widowControl/>
              <w:jc w:val="center"/>
              <w:rPr>
                <w:rFonts w:eastAsia="仿宋_GB2312"/>
                <w:kern w:val="0"/>
                <w:szCs w:val="21"/>
              </w:rPr>
            </w:pPr>
            <w:r>
              <w:rPr>
                <w:rFonts w:hint="eastAsia" w:eastAsia="仿宋_GB2312"/>
                <w:kern w:val="0"/>
                <w:szCs w:val="21"/>
              </w:rPr>
              <w:t>1</w:t>
            </w:r>
            <w:r>
              <w:rPr>
                <w:rFonts w:eastAsia="仿宋_GB2312"/>
                <w:kern w:val="0"/>
                <w:szCs w:val="21"/>
              </w:rPr>
              <w:t>610</w:t>
            </w:r>
          </w:p>
        </w:tc>
        <w:tc>
          <w:tcPr>
            <w:tcW w:w="656" w:type="pct"/>
            <w:shd w:val="clear" w:color="auto" w:fill="auto"/>
            <w:vAlign w:val="center"/>
          </w:tcPr>
          <w:p w14:paraId="2B4A2C91">
            <w:pPr>
              <w:widowControl/>
              <w:jc w:val="center"/>
              <w:rPr>
                <w:rFonts w:eastAsia="仿宋_GB2312"/>
                <w:kern w:val="0"/>
                <w:szCs w:val="21"/>
              </w:rPr>
            </w:pPr>
            <w:r>
              <w:rPr>
                <w:rFonts w:hint="eastAsia" w:eastAsia="仿宋_GB2312"/>
                <w:kern w:val="0"/>
                <w:szCs w:val="21"/>
              </w:rPr>
              <w:t>1</w:t>
            </w:r>
            <w:r>
              <w:rPr>
                <w:rFonts w:eastAsia="仿宋_GB2312"/>
                <w:kern w:val="0"/>
                <w:szCs w:val="21"/>
              </w:rPr>
              <w:t>610</w:t>
            </w:r>
          </w:p>
        </w:tc>
        <w:tc>
          <w:tcPr>
            <w:tcW w:w="716" w:type="pct"/>
            <w:shd w:val="clear" w:color="auto" w:fill="auto"/>
            <w:vAlign w:val="center"/>
          </w:tcPr>
          <w:p w14:paraId="579C7384">
            <w:pPr>
              <w:widowControl/>
              <w:jc w:val="center"/>
              <w:rPr>
                <w:rFonts w:eastAsia="仿宋_GB2312"/>
                <w:bCs/>
                <w:kern w:val="0"/>
                <w:szCs w:val="21"/>
              </w:rPr>
            </w:pPr>
            <w:r>
              <w:rPr>
                <w:rFonts w:hint="eastAsia" w:eastAsia="仿宋_GB2312"/>
                <w:bCs/>
                <w:kern w:val="0"/>
                <w:szCs w:val="21"/>
              </w:rPr>
              <w:t>304</w:t>
            </w:r>
          </w:p>
        </w:tc>
        <w:tc>
          <w:tcPr>
            <w:tcW w:w="601" w:type="pct"/>
            <w:vMerge w:val="continue"/>
            <w:vAlign w:val="center"/>
          </w:tcPr>
          <w:p w14:paraId="28087BAD">
            <w:pPr>
              <w:widowControl/>
              <w:snapToGrid w:val="0"/>
              <w:spacing w:line="320" w:lineRule="exact"/>
              <w:jc w:val="center"/>
              <w:rPr>
                <w:rFonts w:eastAsia="仿宋_GB2312"/>
                <w:color w:val="FF0000"/>
                <w:szCs w:val="21"/>
              </w:rPr>
            </w:pPr>
          </w:p>
        </w:tc>
      </w:tr>
      <w:tr w14:paraId="2FA294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52" w:type="pct"/>
            <w:vMerge w:val="continue"/>
            <w:shd w:val="clear" w:color="auto" w:fill="auto"/>
            <w:vAlign w:val="center"/>
          </w:tcPr>
          <w:p w14:paraId="2D91EFB6">
            <w:pPr>
              <w:widowControl/>
              <w:snapToGrid w:val="0"/>
              <w:spacing w:line="320" w:lineRule="exact"/>
              <w:jc w:val="center"/>
              <w:rPr>
                <w:rFonts w:eastAsia="仿宋_GB2312"/>
                <w:color w:val="FF0000"/>
                <w:szCs w:val="21"/>
              </w:rPr>
            </w:pPr>
          </w:p>
        </w:tc>
        <w:tc>
          <w:tcPr>
            <w:tcW w:w="476" w:type="pct"/>
            <w:vMerge w:val="continue"/>
            <w:shd w:val="clear" w:color="auto" w:fill="auto"/>
            <w:vAlign w:val="center"/>
          </w:tcPr>
          <w:p w14:paraId="52A5D2A9">
            <w:pPr>
              <w:widowControl/>
              <w:snapToGrid w:val="0"/>
              <w:spacing w:line="320" w:lineRule="exact"/>
              <w:jc w:val="center"/>
              <w:rPr>
                <w:rFonts w:eastAsia="仿宋_GB2312"/>
                <w:color w:val="FF0000"/>
                <w:szCs w:val="21"/>
              </w:rPr>
            </w:pPr>
          </w:p>
        </w:tc>
        <w:tc>
          <w:tcPr>
            <w:tcW w:w="337" w:type="pct"/>
            <w:shd w:val="clear" w:color="auto" w:fill="auto"/>
            <w:vAlign w:val="center"/>
          </w:tcPr>
          <w:p w14:paraId="3E8F8A6A">
            <w:pPr>
              <w:widowControl/>
              <w:snapToGrid w:val="0"/>
              <w:spacing w:line="320" w:lineRule="exac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8</w:t>
            </w:r>
          </w:p>
        </w:tc>
        <w:tc>
          <w:tcPr>
            <w:tcW w:w="1117" w:type="pct"/>
            <w:gridSpan w:val="2"/>
            <w:shd w:val="clear" w:color="auto" w:fill="auto"/>
            <w:vAlign w:val="center"/>
          </w:tcPr>
          <w:p w14:paraId="23BDE95D">
            <w:pPr>
              <w:widowControl/>
              <w:jc w:val="center"/>
              <w:rPr>
                <w:rFonts w:eastAsia="仿宋_GB2312"/>
                <w:kern w:val="0"/>
                <w:szCs w:val="21"/>
              </w:rPr>
            </w:pPr>
            <w:r>
              <w:rPr>
                <w:rFonts w:eastAsia="仿宋_GB2312"/>
                <w:kern w:val="0"/>
                <w:szCs w:val="21"/>
              </w:rPr>
              <w:t>DMF废液</w:t>
            </w:r>
          </w:p>
        </w:tc>
        <w:tc>
          <w:tcPr>
            <w:tcW w:w="642" w:type="pct"/>
            <w:shd w:val="clear" w:color="auto" w:fill="auto"/>
            <w:vAlign w:val="center"/>
          </w:tcPr>
          <w:p w14:paraId="47AE5AFE">
            <w:pPr>
              <w:widowControl/>
              <w:jc w:val="center"/>
              <w:rPr>
                <w:rFonts w:eastAsia="仿宋_GB2312"/>
                <w:kern w:val="0"/>
                <w:szCs w:val="21"/>
              </w:rPr>
            </w:pPr>
            <w:r>
              <w:rPr>
                <w:rFonts w:eastAsia="仿宋_GB2312"/>
                <w:kern w:val="0"/>
                <w:szCs w:val="21"/>
              </w:rPr>
              <w:t>1500</w:t>
            </w:r>
          </w:p>
        </w:tc>
        <w:tc>
          <w:tcPr>
            <w:tcW w:w="656" w:type="pct"/>
            <w:shd w:val="clear" w:color="auto" w:fill="auto"/>
            <w:vAlign w:val="center"/>
          </w:tcPr>
          <w:p w14:paraId="06E5A3AF">
            <w:pPr>
              <w:widowControl/>
              <w:jc w:val="center"/>
              <w:rPr>
                <w:rFonts w:eastAsia="仿宋_GB2312"/>
                <w:kern w:val="0"/>
                <w:szCs w:val="21"/>
              </w:rPr>
            </w:pPr>
            <w:r>
              <w:rPr>
                <w:rFonts w:eastAsia="仿宋_GB2312"/>
                <w:kern w:val="0"/>
                <w:szCs w:val="21"/>
              </w:rPr>
              <w:t>1500</w:t>
            </w:r>
          </w:p>
        </w:tc>
        <w:tc>
          <w:tcPr>
            <w:tcW w:w="716" w:type="pct"/>
            <w:shd w:val="clear" w:color="auto" w:fill="auto"/>
            <w:vAlign w:val="center"/>
          </w:tcPr>
          <w:p w14:paraId="32C52925">
            <w:pPr>
              <w:widowControl/>
              <w:jc w:val="center"/>
              <w:rPr>
                <w:rFonts w:eastAsia="仿宋_GB2312"/>
                <w:bCs/>
                <w:kern w:val="0"/>
                <w:szCs w:val="21"/>
              </w:rPr>
            </w:pPr>
            <w:r>
              <w:rPr>
                <w:rFonts w:eastAsia="仿宋_GB2312"/>
                <w:bCs/>
                <w:kern w:val="0"/>
                <w:szCs w:val="21"/>
              </w:rPr>
              <w:t>282</w:t>
            </w:r>
          </w:p>
        </w:tc>
        <w:tc>
          <w:tcPr>
            <w:tcW w:w="601" w:type="pct"/>
            <w:vMerge w:val="continue"/>
            <w:vAlign w:val="center"/>
          </w:tcPr>
          <w:p w14:paraId="50C84F9A">
            <w:pPr>
              <w:widowControl/>
              <w:snapToGrid w:val="0"/>
              <w:spacing w:line="320" w:lineRule="exact"/>
              <w:jc w:val="center"/>
              <w:rPr>
                <w:rFonts w:eastAsia="仿宋_GB2312"/>
                <w:color w:val="FF0000"/>
                <w:szCs w:val="21"/>
              </w:rPr>
            </w:pPr>
          </w:p>
        </w:tc>
      </w:tr>
      <w:tr w14:paraId="0F49C9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52" w:type="pct"/>
            <w:vMerge w:val="continue"/>
            <w:shd w:val="clear" w:color="auto" w:fill="auto"/>
            <w:vAlign w:val="center"/>
          </w:tcPr>
          <w:p w14:paraId="0B2D65A5">
            <w:pPr>
              <w:widowControl/>
              <w:snapToGrid w:val="0"/>
              <w:spacing w:line="320" w:lineRule="exact"/>
              <w:jc w:val="center"/>
              <w:rPr>
                <w:rFonts w:eastAsia="仿宋_GB2312"/>
                <w:color w:val="FF0000"/>
                <w:szCs w:val="21"/>
              </w:rPr>
            </w:pPr>
          </w:p>
        </w:tc>
        <w:tc>
          <w:tcPr>
            <w:tcW w:w="476" w:type="pct"/>
            <w:vMerge w:val="continue"/>
            <w:shd w:val="clear" w:color="auto" w:fill="auto"/>
            <w:vAlign w:val="center"/>
          </w:tcPr>
          <w:p w14:paraId="67A12D67">
            <w:pPr>
              <w:widowControl/>
              <w:snapToGrid w:val="0"/>
              <w:spacing w:line="320" w:lineRule="exact"/>
              <w:jc w:val="center"/>
              <w:rPr>
                <w:rFonts w:eastAsia="仿宋_GB2312"/>
                <w:color w:val="FF0000"/>
                <w:szCs w:val="21"/>
              </w:rPr>
            </w:pPr>
          </w:p>
        </w:tc>
        <w:tc>
          <w:tcPr>
            <w:tcW w:w="337" w:type="pct"/>
            <w:shd w:val="clear" w:color="auto" w:fill="auto"/>
            <w:vAlign w:val="center"/>
          </w:tcPr>
          <w:p w14:paraId="2D57A6AE">
            <w:pPr>
              <w:widowControl/>
              <w:snapToGrid w:val="0"/>
              <w:spacing w:line="320" w:lineRule="exac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9</w:t>
            </w:r>
          </w:p>
        </w:tc>
        <w:tc>
          <w:tcPr>
            <w:tcW w:w="1117" w:type="pct"/>
            <w:gridSpan w:val="2"/>
            <w:shd w:val="clear" w:color="auto" w:fill="auto"/>
            <w:vAlign w:val="center"/>
          </w:tcPr>
          <w:p w14:paraId="16A22805">
            <w:pPr>
              <w:widowControl/>
              <w:jc w:val="center"/>
              <w:rPr>
                <w:rFonts w:eastAsia="仿宋_GB2312"/>
                <w:kern w:val="0"/>
                <w:szCs w:val="21"/>
              </w:rPr>
            </w:pPr>
            <w:r>
              <w:rPr>
                <w:rFonts w:eastAsia="仿宋_GB2312"/>
                <w:kern w:val="0"/>
                <w:szCs w:val="21"/>
              </w:rPr>
              <w:t>环己烷废液</w:t>
            </w:r>
          </w:p>
        </w:tc>
        <w:tc>
          <w:tcPr>
            <w:tcW w:w="642" w:type="pct"/>
            <w:shd w:val="clear" w:color="auto" w:fill="auto"/>
            <w:vAlign w:val="center"/>
          </w:tcPr>
          <w:p w14:paraId="65E6143E">
            <w:pPr>
              <w:widowControl/>
              <w:jc w:val="center"/>
              <w:rPr>
                <w:rFonts w:eastAsia="仿宋_GB2312"/>
                <w:kern w:val="0"/>
                <w:szCs w:val="21"/>
              </w:rPr>
            </w:pPr>
            <w:r>
              <w:rPr>
                <w:rFonts w:eastAsia="仿宋_GB2312"/>
                <w:kern w:val="0"/>
                <w:szCs w:val="21"/>
              </w:rPr>
              <w:t>1000</w:t>
            </w:r>
          </w:p>
        </w:tc>
        <w:tc>
          <w:tcPr>
            <w:tcW w:w="656" w:type="pct"/>
            <w:shd w:val="clear" w:color="auto" w:fill="auto"/>
            <w:vAlign w:val="center"/>
          </w:tcPr>
          <w:p w14:paraId="46A372DA">
            <w:pPr>
              <w:widowControl/>
              <w:jc w:val="center"/>
              <w:rPr>
                <w:rFonts w:eastAsia="仿宋_GB2312"/>
                <w:kern w:val="0"/>
                <w:szCs w:val="21"/>
              </w:rPr>
            </w:pPr>
            <w:r>
              <w:rPr>
                <w:rFonts w:eastAsia="仿宋_GB2312"/>
                <w:kern w:val="0"/>
                <w:szCs w:val="21"/>
              </w:rPr>
              <w:t>1000</w:t>
            </w:r>
          </w:p>
        </w:tc>
        <w:tc>
          <w:tcPr>
            <w:tcW w:w="716" w:type="pct"/>
            <w:shd w:val="clear" w:color="auto" w:fill="auto"/>
            <w:vAlign w:val="center"/>
          </w:tcPr>
          <w:p w14:paraId="0779F75B">
            <w:pPr>
              <w:widowControl/>
              <w:jc w:val="center"/>
              <w:rPr>
                <w:rFonts w:eastAsia="仿宋_GB2312"/>
                <w:bCs/>
                <w:kern w:val="0"/>
                <w:szCs w:val="21"/>
              </w:rPr>
            </w:pPr>
            <w:r>
              <w:rPr>
                <w:rFonts w:eastAsia="仿宋_GB2312"/>
                <w:bCs/>
                <w:kern w:val="0"/>
                <w:szCs w:val="21"/>
              </w:rPr>
              <w:t>252</w:t>
            </w:r>
          </w:p>
        </w:tc>
        <w:tc>
          <w:tcPr>
            <w:tcW w:w="601" w:type="pct"/>
            <w:vMerge w:val="continue"/>
            <w:vAlign w:val="center"/>
          </w:tcPr>
          <w:p w14:paraId="6D130F95">
            <w:pPr>
              <w:widowControl/>
              <w:snapToGrid w:val="0"/>
              <w:spacing w:line="320" w:lineRule="exact"/>
              <w:jc w:val="center"/>
              <w:rPr>
                <w:rFonts w:eastAsia="仿宋_GB2312"/>
                <w:color w:val="FF0000"/>
                <w:szCs w:val="21"/>
              </w:rPr>
            </w:pPr>
          </w:p>
        </w:tc>
      </w:tr>
      <w:tr w14:paraId="103B7C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52" w:type="pct"/>
            <w:vMerge w:val="continue"/>
            <w:shd w:val="clear" w:color="auto" w:fill="auto"/>
            <w:vAlign w:val="center"/>
          </w:tcPr>
          <w:p w14:paraId="1CCFB549">
            <w:pPr>
              <w:widowControl/>
              <w:snapToGrid w:val="0"/>
              <w:spacing w:line="320" w:lineRule="exact"/>
              <w:jc w:val="center"/>
              <w:rPr>
                <w:rFonts w:eastAsia="仿宋_GB2312"/>
                <w:color w:val="FF0000"/>
                <w:szCs w:val="21"/>
              </w:rPr>
            </w:pPr>
          </w:p>
        </w:tc>
        <w:tc>
          <w:tcPr>
            <w:tcW w:w="476" w:type="pct"/>
            <w:vMerge w:val="continue"/>
            <w:shd w:val="clear" w:color="auto" w:fill="auto"/>
            <w:vAlign w:val="center"/>
          </w:tcPr>
          <w:p w14:paraId="676A7600">
            <w:pPr>
              <w:widowControl/>
              <w:snapToGrid w:val="0"/>
              <w:spacing w:line="320" w:lineRule="exact"/>
              <w:jc w:val="center"/>
              <w:rPr>
                <w:rFonts w:eastAsia="仿宋_GB2312"/>
                <w:color w:val="FF0000"/>
                <w:szCs w:val="21"/>
              </w:rPr>
            </w:pPr>
          </w:p>
        </w:tc>
        <w:tc>
          <w:tcPr>
            <w:tcW w:w="337" w:type="pct"/>
            <w:shd w:val="clear" w:color="auto" w:fill="auto"/>
            <w:vAlign w:val="center"/>
          </w:tcPr>
          <w:p w14:paraId="7A3DDEF3">
            <w:pPr>
              <w:widowControl/>
              <w:snapToGrid w:val="0"/>
              <w:spacing w:line="320" w:lineRule="exac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1</w:t>
            </w:r>
            <w:r>
              <w:rPr>
                <w:rFonts w:hint="eastAsia" w:eastAsia="仿宋_GB2312"/>
                <w:color w:val="000000" w:themeColor="text1"/>
                <w:szCs w:val="21"/>
                <w14:textFill>
                  <w14:solidFill>
                    <w14:schemeClr w14:val="tx1"/>
                  </w14:solidFill>
                </w14:textFill>
              </w:rPr>
              <w:t>0</w:t>
            </w:r>
          </w:p>
        </w:tc>
        <w:tc>
          <w:tcPr>
            <w:tcW w:w="1117" w:type="pct"/>
            <w:gridSpan w:val="2"/>
            <w:shd w:val="clear" w:color="auto" w:fill="auto"/>
            <w:vAlign w:val="center"/>
          </w:tcPr>
          <w:p w14:paraId="329F0145">
            <w:pPr>
              <w:widowControl/>
              <w:jc w:val="center"/>
              <w:rPr>
                <w:rFonts w:eastAsia="仿宋_GB2312"/>
                <w:kern w:val="0"/>
                <w:szCs w:val="21"/>
              </w:rPr>
            </w:pPr>
            <w:r>
              <w:rPr>
                <w:rFonts w:eastAsia="仿宋_GB2312"/>
                <w:kern w:val="0"/>
                <w:szCs w:val="21"/>
              </w:rPr>
              <w:t>环己酮废液</w:t>
            </w:r>
          </w:p>
        </w:tc>
        <w:tc>
          <w:tcPr>
            <w:tcW w:w="642" w:type="pct"/>
            <w:shd w:val="clear" w:color="auto" w:fill="auto"/>
            <w:vAlign w:val="center"/>
          </w:tcPr>
          <w:p w14:paraId="19008A9C">
            <w:pPr>
              <w:widowControl/>
              <w:jc w:val="center"/>
              <w:rPr>
                <w:rFonts w:eastAsia="仿宋_GB2312"/>
                <w:kern w:val="0"/>
                <w:szCs w:val="21"/>
              </w:rPr>
            </w:pPr>
            <w:r>
              <w:rPr>
                <w:rFonts w:eastAsia="仿宋_GB2312"/>
                <w:kern w:val="0"/>
                <w:szCs w:val="21"/>
              </w:rPr>
              <w:t>500</w:t>
            </w:r>
          </w:p>
        </w:tc>
        <w:tc>
          <w:tcPr>
            <w:tcW w:w="656" w:type="pct"/>
            <w:shd w:val="clear" w:color="auto" w:fill="auto"/>
            <w:vAlign w:val="center"/>
          </w:tcPr>
          <w:p w14:paraId="44D254A5">
            <w:pPr>
              <w:widowControl/>
              <w:jc w:val="center"/>
              <w:rPr>
                <w:rFonts w:eastAsia="仿宋_GB2312"/>
                <w:kern w:val="0"/>
                <w:szCs w:val="21"/>
              </w:rPr>
            </w:pPr>
            <w:r>
              <w:rPr>
                <w:rFonts w:eastAsia="仿宋_GB2312"/>
                <w:kern w:val="0"/>
                <w:szCs w:val="21"/>
              </w:rPr>
              <w:t>500</w:t>
            </w:r>
          </w:p>
        </w:tc>
        <w:tc>
          <w:tcPr>
            <w:tcW w:w="716" w:type="pct"/>
            <w:shd w:val="clear" w:color="auto" w:fill="auto"/>
            <w:vAlign w:val="center"/>
          </w:tcPr>
          <w:p w14:paraId="54060CD7">
            <w:pPr>
              <w:widowControl/>
              <w:jc w:val="center"/>
              <w:rPr>
                <w:rFonts w:eastAsia="仿宋_GB2312"/>
                <w:bCs/>
                <w:kern w:val="0"/>
                <w:szCs w:val="21"/>
              </w:rPr>
            </w:pPr>
            <w:r>
              <w:rPr>
                <w:rFonts w:eastAsia="仿宋_GB2312"/>
                <w:bCs/>
                <w:kern w:val="0"/>
                <w:szCs w:val="21"/>
              </w:rPr>
              <w:t>105</w:t>
            </w:r>
          </w:p>
        </w:tc>
        <w:tc>
          <w:tcPr>
            <w:tcW w:w="601" w:type="pct"/>
            <w:vMerge w:val="continue"/>
            <w:vAlign w:val="center"/>
          </w:tcPr>
          <w:p w14:paraId="07277837">
            <w:pPr>
              <w:widowControl/>
              <w:snapToGrid w:val="0"/>
              <w:spacing w:line="320" w:lineRule="exact"/>
              <w:jc w:val="center"/>
              <w:rPr>
                <w:rFonts w:eastAsia="仿宋_GB2312"/>
                <w:color w:val="FF0000"/>
                <w:szCs w:val="21"/>
              </w:rPr>
            </w:pPr>
          </w:p>
        </w:tc>
      </w:tr>
      <w:tr w14:paraId="6C39013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52" w:type="pct"/>
            <w:vMerge w:val="continue"/>
            <w:shd w:val="clear" w:color="auto" w:fill="auto"/>
            <w:vAlign w:val="center"/>
          </w:tcPr>
          <w:p w14:paraId="553234E7">
            <w:pPr>
              <w:widowControl/>
              <w:snapToGrid w:val="0"/>
              <w:spacing w:line="320" w:lineRule="exact"/>
              <w:jc w:val="center"/>
              <w:rPr>
                <w:rFonts w:eastAsia="仿宋_GB2312"/>
                <w:color w:val="FF0000"/>
                <w:szCs w:val="21"/>
              </w:rPr>
            </w:pPr>
          </w:p>
        </w:tc>
        <w:tc>
          <w:tcPr>
            <w:tcW w:w="476" w:type="pct"/>
            <w:vMerge w:val="continue"/>
            <w:shd w:val="clear" w:color="auto" w:fill="auto"/>
            <w:vAlign w:val="center"/>
          </w:tcPr>
          <w:p w14:paraId="02245D1C">
            <w:pPr>
              <w:widowControl/>
              <w:snapToGrid w:val="0"/>
              <w:spacing w:line="320" w:lineRule="exact"/>
              <w:jc w:val="center"/>
              <w:rPr>
                <w:rFonts w:eastAsia="仿宋_GB2312"/>
                <w:color w:val="FF0000"/>
                <w:szCs w:val="21"/>
              </w:rPr>
            </w:pPr>
          </w:p>
        </w:tc>
        <w:tc>
          <w:tcPr>
            <w:tcW w:w="337" w:type="pct"/>
            <w:shd w:val="clear" w:color="auto" w:fill="auto"/>
            <w:vAlign w:val="center"/>
          </w:tcPr>
          <w:p w14:paraId="4814B0D2">
            <w:pPr>
              <w:widowControl/>
              <w:snapToGrid w:val="0"/>
              <w:spacing w:line="320" w:lineRule="exac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1</w:t>
            </w:r>
            <w:r>
              <w:rPr>
                <w:rFonts w:hint="eastAsia" w:eastAsia="仿宋_GB2312"/>
                <w:color w:val="000000" w:themeColor="text1"/>
                <w:szCs w:val="21"/>
                <w14:textFill>
                  <w14:solidFill>
                    <w14:schemeClr w14:val="tx1"/>
                  </w14:solidFill>
                </w14:textFill>
              </w:rPr>
              <w:t>1</w:t>
            </w:r>
          </w:p>
        </w:tc>
        <w:tc>
          <w:tcPr>
            <w:tcW w:w="1117" w:type="pct"/>
            <w:gridSpan w:val="2"/>
            <w:shd w:val="clear" w:color="auto" w:fill="auto"/>
            <w:vAlign w:val="center"/>
          </w:tcPr>
          <w:p w14:paraId="5CD0443A">
            <w:pPr>
              <w:widowControl/>
              <w:jc w:val="center"/>
              <w:rPr>
                <w:rFonts w:eastAsia="仿宋_GB2312"/>
                <w:kern w:val="0"/>
                <w:szCs w:val="21"/>
              </w:rPr>
            </w:pPr>
            <w:r>
              <w:rPr>
                <w:rFonts w:eastAsia="仿宋_GB2312"/>
                <w:kern w:val="0"/>
                <w:szCs w:val="21"/>
              </w:rPr>
              <w:t>乙二醇废液</w:t>
            </w:r>
          </w:p>
        </w:tc>
        <w:tc>
          <w:tcPr>
            <w:tcW w:w="642" w:type="pct"/>
            <w:shd w:val="clear" w:color="auto" w:fill="auto"/>
            <w:vAlign w:val="center"/>
          </w:tcPr>
          <w:p w14:paraId="3CD6510B">
            <w:pPr>
              <w:widowControl/>
              <w:jc w:val="center"/>
              <w:rPr>
                <w:rFonts w:eastAsia="仿宋_GB2312"/>
                <w:kern w:val="0"/>
                <w:szCs w:val="21"/>
              </w:rPr>
            </w:pPr>
            <w:r>
              <w:rPr>
                <w:rFonts w:eastAsia="仿宋_GB2312"/>
                <w:kern w:val="0"/>
                <w:szCs w:val="21"/>
              </w:rPr>
              <w:t>1000</w:t>
            </w:r>
          </w:p>
        </w:tc>
        <w:tc>
          <w:tcPr>
            <w:tcW w:w="656" w:type="pct"/>
            <w:shd w:val="clear" w:color="auto" w:fill="auto"/>
            <w:vAlign w:val="center"/>
          </w:tcPr>
          <w:p w14:paraId="04EFE306">
            <w:pPr>
              <w:widowControl/>
              <w:jc w:val="center"/>
              <w:rPr>
                <w:rFonts w:eastAsia="仿宋_GB2312"/>
                <w:kern w:val="0"/>
                <w:szCs w:val="21"/>
              </w:rPr>
            </w:pPr>
            <w:r>
              <w:rPr>
                <w:rFonts w:eastAsia="仿宋_GB2312"/>
                <w:kern w:val="0"/>
                <w:szCs w:val="21"/>
              </w:rPr>
              <w:t>1000</w:t>
            </w:r>
          </w:p>
        </w:tc>
        <w:tc>
          <w:tcPr>
            <w:tcW w:w="716" w:type="pct"/>
            <w:shd w:val="clear" w:color="auto" w:fill="auto"/>
            <w:vAlign w:val="center"/>
          </w:tcPr>
          <w:p w14:paraId="01E5105C">
            <w:pPr>
              <w:widowControl/>
              <w:jc w:val="center"/>
              <w:rPr>
                <w:rFonts w:eastAsia="仿宋_GB2312"/>
                <w:bCs/>
                <w:kern w:val="0"/>
                <w:szCs w:val="21"/>
              </w:rPr>
            </w:pPr>
            <w:r>
              <w:rPr>
                <w:rFonts w:eastAsia="仿宋_GB2312"/>
                <w:bCs/>
                <w:kern w:val="0"/>
                <w:szCs w:val="21"/>
              </w:rPr>
              <w:t>158</w:t>
            </w:r>
          </w:p>
        </w:tc>
        <w:tc>
          <w:tcPr>
            <w:tcW w:w="601" w:type="pct"/>
            <w:vMerge w:val="continue"/>
            <w:vAlign w:val="center"/>
          </w:tcPr>
          <w:p w14:paraId="4BB14F38">
            <w:pPr>
              <w:widowControl/>
              <w:snapToGrid w:val="0"/>
              <w:spacing w:line="320" w:lineRule="exact"/>
              <w:jc w:val="center"/>
              <w:rPr>
                <w:rFonts w:eastAsia="仿宋_GB2312"/>
                <w:color w:val="FF0000"/>
                <w:szCs w:val="21"/>
              </w:rPr>
            </w:pPr>
          </w:p>
        </w:tc>
      </w:tr>
      <w:tr w14:paraId="128656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52" w:type="pct"/>
            <w:vMerge w:val="continue"/>
            <w:shd w:val="clear" w:color="auto" w:fill="auto"/>
            <w:vAlign w:val="center"/>
          </w:tcPr>
          <w:p w14:paraId="61F0A512">
            <w:pPr>
              <w:widowControl/>
              <w:snapToGrid w:val="0"/>
              <w:spacing w:line="320" w:lineRule="exact"/>
              <w:jc w:val="center"/>
              <w:rPr>
                <w:rFonts w:eastAsia="仿宋_GB2312"/>
                <w:color w:val="FF0000"/>
                <w:szCs w:val="21"/>
              </w:rPr>
            </w:pPr>
          </w:p>
        </w:tc>
        <w:tc>
          <w:tcPr>
            <w:tcW w:w="476" w:type="pct"/>
            <w:vMerge w:val="continue"/>
            <w:shd w:val="clear" w:color="auto" w:fill="auto"/>
            <w:vAlign w:val="center"/>
          </w:tcPr>
          <w:p w14:paraId="67F99ABF">
            <w:pPr>
              <w:widowControl/>
              <w:snapToGrid w:val="0"/>
              <w:spacing w:line="320" w:lineRule="exact"/>
              <w:jc w:val="center"/>
              <w:rPr>
                <w:rFonts w:eastAsia="仿宋_GB2312"/>
                <w:color w:val="FF0000"/>
                <w:szCs w:val="21"/>
              </w:rPr>
            </w:pPr>
          </w:p>
        </w:tc>
        <w:tc>
          <w:tcPr>
            <w:tcW w:w="337" w:type="pct"/>
            <w:shd w:val="clear" w:color="auto" w:fill="auto"/>
            <w:vAlign w:val="center"/>
          </w:tcPr>
          <w:p w14:paraId="6DB29136">
            <w:pPr>
              <w:widowControl/>
              <w:snapToGrid w:val="0"/>
              <w:spacing w:line="320" w:lineRule="exac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1</w:t>
            </w:r>
            <w:r>
              <w:rPr>
                <w:rFonts w:hint="eastAsia" w:eastAsia="仿宋_GB2312"/>
                <w:color w:val="000000" w:themeColor="text1"/>
                <w:szCs w:val="21"/>
                <w14:textFill>
                  <w14:solidFill>
                    <w14:schemeClr w14:val="tx1"/>
                  </w14:solidFill>
                </w14:textFill>
              </w:rPr>
              <w:t>2</w:t>
            </w:r>
          </w:p>
        </w:tc>
        <w:tc>
          <w:tcPr>
            <w:tcW w:w="1117" w:type="pct"/>
            <w:gridSpan w:val="2"/>
            <w:shd w:val="clear" w:color="auto" w:fill="auto"/>
            <w:vAlign w:val="center"/>
          </w:tcPr>
          <w:p w14:paraId="7679C02C">
            <w:pPr>
              <w:widowControl/>
              <w:jc w:val="center"/>
              <w:rPr>
                <w:rFonts w:eastAsia="仿宋_GB2312"/>
                <w:bCs/>
                <w:kern w:val="0"/>
                <w:szCs w:val="21"/>
              </w:rPr>
            </w:pPr>
            <w:r>
              <w:rPr>
                <w:rFonts w:eastAsia="仿宋_GB2312"/>
                <w:bCs/>
                <w:kern w:val="0"/>
                <w:szCs w:val="21"/>
              </w:rPr>
              <w:t>甲苯废液</w:t>
            </w:r>
          </w:p>
        </w:tc>
        <w:tc>
          <w:tcPr>
            <w:tcW w:w="642" w:type="pct"/>
            <w:shd w:val="clear" w:color="auto" w:fill="auto"/>
            <w:vAlign w:val="center"/>
          </w:tcPr>
          <w:p w14:paraId="37CE460E">
            <w:pPr>
              <w:widowControl/>
              <w:jc w:val="center"/>
              <w:rPr>
                <w:rFonts w:eastAsia="仿宋_GB2312"/>
                <w:kern w:val="0"/>
                <w:szCs w:val="21"/>
              </w:rPr>
            </w:pPr>
            <w:r>
              <w:rPr>
                <w:rFonts w:eastAsia="仿宋_GB2312"/>
                <w:kern w:val="0"/>
                <w:szCs w:val="21"/>
              </w:rPr>
              <w:t>2155</w:t>
            </w:r>
          </w:p>
        </w:tc>
        <w:tc>
          <w:tcPr>
            <w:tcW w:w="656" w:type="pct"/>
            <w:shd w:val="clear" w:color="auto" w:fill="auto"/>
            <w:vAlign w:val="center"/>
          </w:tcPr>
          <w:p w14:paraId="7F625A7A">
            <w:pPr>
              <w:widowControl/>
              <w:jc w:val="center"/>
              <w:rPr>
                <w:rFonts w:eastAsia="仿宋_GB2312"/>
                <w:kern w:val="0"/>
                <w:szCs w:val="21"/>
              </w:rPr>
            </w:pPr>
            <w:r>
              <w:rPr>
                <w:rFonts w:eastAsia="仿宋_GB2312"/>
                <w:kern w:val="0"/>
                <w:szCs w:val="21"/>
              </w:rPr>
              <w:t>2155</w:t>
            </w:r>
          </w:p>
        </w:tc>
        <w:tc>
          <w:tcPr>
            <w:tcW w:w="716" w:type="pct"/>
            <w:shd w:val="clear" w:color="auto" w:fill="auto"/>
            <w:vAlign w:val="center"/>
          </w:tcPr>
          <w:p w14:paraId="7B3600E3">
            <w:pPr>
              <w:widowControl/>
              <w:jc w:val="center"/>
              <w:rPr>
                <w:rFonts w:eastAsia="仿宋_GB2312"/>
                <w:bCs/>
                <w:kern w:val="0"/>
                <w:szCs w:val="21"/>
              </w:rPr>
            </w:pPr>
            <w:r>
              <w:rPr>
                <w:rFonts w:eastAsia="仿宋_GB2312"/>
                <w:bCs/>
                <w:kern w:val="0"/>
                <w:szCs w:val="21"/>
              </w:rPr>
              <w:t>437</w:t>
            </w:r>
          </w:p>
        </w:tc>
        <w:tc>
          <w:tcPr>
            <w:tcW w:w="601" w:type="pct"/>
            <w:vMerge w:val="continue"/>
            <w:vAlign w:val="center"/>
          </w:tcPr>
          <w:p w14:paraId="61CD0D5B">
            <w:pPr>
              <w:widowControl/>
              <w:snapToGrid w:val="0"/>
              <w:spacing w:line="320" w:lineRule="exact"/>
              <w:jc w:val="center"/>
              <w:rPr>
                <w:rFonts w:eastAsia="仿宋_GB2312"/>
                <w:color w:val="FF0000"/>
                <w:szCs w:val="21"/>
              </w:rPr>
            </w:pPr>
          </w:p>
        </w:tc>
      </w:tr>
      <w:tr w14:paraId="05717E8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52" w:type="pct"/>
            <w:vMerge w:val="continue"/>
            <w:shd w:val="clear" w:color="auto" w:fill="auto"/>
            <w:vAlign w:val="center"/>
          </w:tcPr>
          <w:p w14:paraId="46BF5153">
            <w:pPr>
              <w:widowControl/>
              <w:snapToGrid w:val="0"/>
              <w:spacing w:line="320" w:lineRule="exact"/>
              <w:jc w:val="center"/>
              <w:rPr>
                <w:rFonts w:eastAsia="仿宋_GB2312"/>
                <w:color w:val="FF0000"/>
                <w:szCs w:val="21"/>
              </w:rPr>
            </w:pPr>
          </w:p>
        </w:tc>
        <w:tc>
          <w:tcPr>
            <w:tcW w:w="476" w:type="pct"/>
            <w:vMerge w:val="continue"/>
            <w:shd w:val="clear" w:color="auto" w:fill="auto"/>
            <w:vAlign w:val="center"/>
          </w:tcPr>
          <w:p w14:paraId="349FAC5A">
            <w:pPr>
              <w:widowControl/>
              <w:snapToGrid w:val="0"/>
              <w:spacing w:line="320" w:lineRule="exact"/>
              <w:jc w:val="center"/>
              <w:rPr>
                <w:rFonts w:eastAsia="仿宋_GB2312"/>
                <w:color w:val="FF0000"/>
                <w:szCs w:val="21"/>
              </w:rPr>
            </w:pPr>
          </w:p>
        </w:tc>
        <w:tc>
          <w:tcPr>
            <w:tcW w:w="337" w:type="pct"/>
            <w:shd w:val="clear" w:color="auto" w:fill="auto"/>
            <w:vAlign w:val="center"/>
          </w:tcPr>
          <w:p w14:paraId="6CA3D24F">
            <w:pPr>
              <w:widowControl/>
              <w:snapToGrid w:val="0"/>
              <w:spacing w:line="320" w:lineRule="exac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13</w:t>
            </w:r>
          </w:p>
        </w:tc>
        <w:tc>
          <w:tcPr>
            <w:tcW w:w="1117" w:type="pct"/>
            <w:gridSpan w:val="2"/>
            <w:shd w:val="clear" w:color="auto" w:fill="auto"/>
            <w:vAlign w:val="center"/>
          </w:tcPr>
          <w:p w14:paraId="63C803D4">
            <w:pPr>
              <w:widowControl/>
              <w:jc w:val="center"/>
              <w:rPr>
                <w:rFonts w:eastAsia="仿宋_GB2312"/>
                <w:bCs/>
                <w:kern w:val="0"/>
                <w:szCs w:val="21"/>
              </w:rPr>
            </w:pPr>
            <w:r>
              <w:rPr>
                <w:rFonts w:eastAsia="仿宋_GB2312"/>
                <w:bCs/>
                <w:kern w:val="0"/>
                <w:szCs w:val="21"/>
              </w:rPr>
              <w:t>二甲苯废液</w:t>
            </w:r>
          </w:p>
        </w:tc>
        <w:tc>
          <w:tcPr>
            <w:tcW w:w="642" w:type="pct"/>
            <w:shd w:val="clear" w:color="auto" w:fill="auto"/>
            <w:vAlign w:val="center"/>
          </w:tcPr>
          <w:p w14:paraId="0B47C1D9">
            <w:pPr>
              <w:widowControl/>
              <w:jc w:val="center"/>
              <w:rPr>
                <w:rFonts w:eastAsia="仿宋_GB2312"/>
                <w:kern w:val="0"/>
                <w:szCs w:val="21"/>
              </w:rPr>
            </w:pPr>
            <w:r>
              <w:rPr>
                <w:rFonts w:eastAsia="仿宋_GB2312"/>
                <w:kern w:val="0"/>
                <w:szCs w:val="21"/>
              </w:rPr>
              <w:t>1765</w:t>
            </w:r>
          </w:p>
        </w:tc>
        <w:tc>
          <w:tcPr>
            <w:tcW w:w="656" w:type="pct"/>
            <w:shd w:val="clear" w:color="auto" w:fill="auto"/>
            <w:vAlign w:val="center"/>
          </w:tcPr>
          <w:p w14:paraId="5AE44F89">
            <w:pPr>
              <w:widowControl/>
              <w:jc w:val="center"/>
              <w:rPr>
                <w:rFonts w:eastAsia="仿宋_GB2312"/>
                <w:kern w:val="0"/>
                <w:szCs w:val="21"/>
              </w:rPr>
            </w:pPr>
            <w:r>
              <w:rPr>
                <w:rFonts w:eastAsia="仿宋_GB2312"/>
                <w:kern w:val="0"/>
                <w:szCs w:val="21"/>
              </w:rPr>
              <w:t>1765</w:t>
            </w:r>
          </w:p>
        </w:tc>
        <w:tc>
          <w:tcPr>
            <w:tcW w:w="716" w:type="pct"/>
            <w:shd w:val="clear" w:color="auto" w:fill="auto"/>
            <w:vAlign w:val="center"/>
          </w:tcPr>
          <w:p w14:paraId="03CC3355">
            <w:pPr>
              <w:widowControl/>
              <w:jc w:val="center"/>
              <w:rPr>
                <w:rFonts w:eastAsia="仿宋_GB2312"/>
                <w:bCs/>
                <w:kern w:val="0"/>
                <w:szCs w:val="21"/>
              </w:rPr>
            </w:pPr>
            <w:r>
              <w:rPr>
                <w:rFonts w:eastAsia="仿宋_GB2312"/>
                <w:bCs/>
                <w:kern w:val="0"/>
                <w:szCs w:val="21"/>
              </w:rPr>
              <w:t>361</w:t>
            </w:r>
          </w:p>
        </w:tc>
        <w:tc>
          <w:tcPr>
            <w:tcW w:w="601" w:type="pct"/>
            <w:vMerge w:val="continue"/>
            <w:vAlign w:val="center"/>
          </w:tcPr>
          <w:p w14:paraId="4BDA0152">
            <w:pPr>
              <w:widowControl/>
              <w:snapToGrid w:val="0"/>
              <w:spacing w:line="320" w:lineRule="exact"/>
              <w:jc w:val="center"/>
              <w:rPr>
                <w:rFonts w:eastAsia="仿宋_GB2312"/>
                <w:color w:val="FF0000"/>
                <w:szCs w:val="21"/>
              </w:rPr>
            </w:pPr>
          </w:p>
        </w:tc>
      </w:tr>
      <w:tr w14:paraId="6B05610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52" w:type="pct"/>
            <w:vMerge w:val="continue"/>
            <w:shd w:val="clear" w:color="auto" w:fill="auto"/>
            <w:vAlign w:val="center"/>
          </w:tcPr>
          <w:p w14:paraId="6E0FF5C7">
            <w:pPr>
              <w:widowControl/>
              <w:snapToGrid w:val="0"/>
              <w:spacing w:line="320" w:lineRule="exact"/>
              <w:jc w:val="center"/>
              <w:rPr>
                <w:rFonts w:eastAsia="仿宋_GB2312"/>
                <w:color w:val="FF0000"/>
                <w:szCs w:val="21"/>
              </w:rPr>
            </w:pPr>
          </w:p>
        </w:tc>
        <w:tc>
          <w:tcPr>
            <w:tcW w:w="476" w:type="pct"/>
            <w:vMerge w:val="continue"/>
            <w:shd w:val="clear" w:color="auto" w:fill="auto"/>
            <w:vAlign w:val="center"/>
          </w:tcPr>
          <w:p w14:paraId="7554D358">
            <w:pPr>
              <w:widowControl/>
              <w:snapToGrid w:val="0"/>
              <w:spacing w:line="320" w:lineRule="exact"/>
              <w:jc w:val="center"/>
              <w:rPr>
                <w:rFonts w:eastAsia="仿宋_GB2312"/>
                <w:color w:val="FF0000"/>
                <w:szCs w:val="21"/>
              </w:rPr>
            </w:pPr>
          </w:p>
        </w:tc>
        <w:tc>
          <w:tcPr>
            <w:tcW w:w="337" w:type="pct"/>
            <w:shd w:val="clear" w:color="auto" w:fill="auto"/>
            <w:vAlign w:val="center"/>
          </w:tcPr>
          <w:p w14:paraId="523CC124">
            <w:pPr>
              <w:widowControl/>
              <w:snapToGrid w:val="0"/>
              <w:spacing w:line="320" w:lineRule="exac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14</w:t>
            </w:r>
          </w:p>
        </w:tc>
        <w:tc>
          <w:tcPr>
            <w:tcW w:w="1117" w:type="pct"/>
            <w:gridSpan w:val="2"/>
            <w:shd w:val="clear" w:color="auto" w:fill="auto"/>
            <w:vAlign w:val="center"/>
          </w:tcPr>
          <w:p w14:paraId="7FCA6AC0">
            <w:pPr>
              <w:widowControl/>
              <w:jc w:val="center"/>
              <w:rPr>
                <w:rFonts w:eastAsia="仿宋_GB2312"/>
                <w:bCs/>
                <w:kern w:val="0"/>
                <w:szCs w:val="21"/>
              </w:rPr>
            </w:pPr>
            <w:r>
              <w:rPr>
                <w:rFonts w:eastAsia="仿宋_GB2312"/>
                <w:bCs/>
                <w:kern w:val="0"/>
                <w:szCs w:val="21"/>
              </w:rPr>
              <w:t>二氯甲烷废液</w:t>
            </w:r>
          </w:p>
        </w:tc>
        <w:tc>
          <w:tcPr>
            <w:tcW w:w="642" w:type="pct"/>
            <w:shd w:val="clear" w:color="auto" w:fill="auto"/>
            <w:vAlign w:val="center"/>
          </w:tcPr>
          <w:p w14:paraId="136E3E71">
            <w:pPr>
              <w:widowControl/>
              <w:jc w:val="center"/>
              <w:rPr>
                <w:rFonts w:eastAsia="仿宋_GB2312"/>
                <w:bCs/>
                <w:kern w:val="0"/>
                <w:szCs w:val="21"/>
              </w:rPr>
            </w:pPr>
            <w:r>
              <w:rPr>
                <w:rFonts w:eastAsia="仿宋_GB2312"/>
                <w:bCs/>
                <w:kern w:val="0"/>
                <w:szCs w:val="21"/>
              </w:rPr>
              <w:t>2650</w:t>
            </w:r>
          </w:p>
        </w:tc>
        <w:tc>
          <w:tcPr>
            <w:tcW w:w="656" w:type="pct"/>
            <w:shd w:val="clear" w:color="auto" w:fill="auto"/>
            <w:vAlign w:val="center"/>
          </w:tcPr>
          <w:p w14:paraId="075E1DBE">
            <w:pPr>
              <w:widowControl/>
              <w:jc w:val="center"/>
              <w:rPr>
                <w:rFonts w:eastAsia="仿宋_GB2312"/>
                <w:bCs/>
                <w:kern w:val="0"/>
                <w:szCs w:val="21"/>
              </w:rPr>
            </w:pPr>
            <w:r>
              <w:rPr>
                <w:rFonts w:eastAsia="仿宋_GB2312"/>
                <w:bCs/>
                <w:kern w:val="0"/>
                <w:szCs w:val="21"/>
              </w:rPr>
              <w:t>2650</w:t>
            </w:r>
          </w:p>
        </w:tc>
        <w:tc>
          <w:tcPr>
            <w:tcW w:w="716" w:type="pct"/>
            <w:shd w:val="clear" w:color="auto" w:fill="auto"/>
            <w:vAlign w:val="center"/>
          </w:tcPr>
          <w:p w14:paraId="40A7A757">
            <w:pPr>
              <w:widowControl/>
              <w:jc w:val="center"/>
              <w:rPr>
                <w:rFonts w:eastAsia="仿宋_GB2312"/>
                <w:bCs/>
                <w:kern w:val="0"/>
                <w:szCs w:val="21"/>
              </w:rPr>
            </w:pPr>
            <w:r>
              <w:rPr>
                <w:rFonts w:eastAsia="仿宋_GB2312"/>
                <w:bCs/>
                <w:kern w:val="0"/>
                <w:szCs w:val="21"/>
              </w:rPr>
              <w:t>407</w:t>
            </w:r>
          </w:p>
        </w:tc>
        <w:tc>
          <w:tcPr>
            <w:tcW w:w="601" w:type="pct"/>
            <w:vMerge w:val="continue"/>
            <w:vAlign w:val="center"/>
          </w:tcPr>
          <w:p w14:paraId="7ACB799C">
            <w:pPr>
              <w:widowControl/>
              <w:snapToGrid w:val="0"/>
              <w:spacing w:line="320" w:lineRule="exact"/>
              <w:jc w:val="center"/>
              <w:rPr>
                <w:rFonts w:eastAsia="仿宋_GB2312"/>
                <w:color w:val="FF0000"/>
                <w:szCs w:val="21"/>
              </w:rPr>
            </w:pPr>
          </w:p>
        </w:tc>
      </w:tr>
      <w:tr w14:paraId="4E2078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52" w:type="pct"/>
            <w:vMerge w:val="continue"/>
            <w:shd w:val="clear" w:color="auto" w:fill="auto"/>
            <w:vAlign w:val="center"/>
          </w:tcPr>
          <w:p w14:paraId="486890C7">
            <w:pPr>
              <w:widowControl/>
              <w:snapToGrid w:val="0"/>
              <w:spacing w:line="320" w:lineRule="exact"/>
              <w:jc w:val="center"/>
              <w:rPr>
                <w:rFonts w:eastAsia="仿宋_GB2312"/>
                <w:color w:val="FF0000"/>
                <w:szCs w:val="21"/>
              </w:rPr>
            </w:pPr>
          </w:p>
        </w:tc>
        <w:tc>
          <w:tcPr>
            <w:tcW w:w="476" w:type="pct"/>
            <w:vMerge w:val="continue"/>
            <w:shd w:val="clear" w:color="auto" w:fill="auto"/>
            <w:vAlign w:val="center"/>
          </w:tcPr>
          <w:p w14:paraId="6E86FB88">
            <w:pPr>
              <w:widowControl/>
              <w:snapToGrid w:val="0"/>
              <w:spacing w:line="320" w:lineRule="exact"/>
              <w:jc w:val="center"/>
              <w:rPr>
                <w:rFonts w:eastAsia="仿宋_GB2312"/>
                <w:color w:val="FF0000"/>
                <w:szCs w:val="21"/>
              </w:rPr>
            </w:pPr>
          </w:p>
        </w:tc>
        <w:tc>
          <w:tcPr>
            <w:tcW w:w="337" w:type="pct"/>
            <w:shd w:val="clear" w:color="auto" w:fill="auto"/>
            <w:vAlign w:val="center"/>
          </w:tcPr>
          <w:p w14:paraId="4B6C770F">
            <w:pPr>
              <w:widowControl/>
              <w:snapToGrid w:val="0"/>
              <w:spacing w:line="320" w:lineRule="exac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15</w:t>
            </w:r>
          </w:p>
        </w:tc>
        <w:tc>
          <w:tcPr>
            <w:tcW w:w="1117" w:type="pct"/>
            <w:gridSpan w:val="2"/>
            <w:shd w:val="clear" w:color="auto" w:fill="auto"/>
            <w:vAlign w:val="center"/>
          </w:tcPr>
          <w:p w14:paraId="1B204E99">
            <w:pPr>
              <w:widowControl/>
              <w:jc w:val="center"/>
              <w:rPr>
                <w:rFonts w:eastAsia="仿宋_GB2312"/>
                <w:kern w:val="0"/>
                <w:szCs w:val="21"/>
              </w:rPr>
            </w:pPr>
            <w:r>
              <w:rPr>
                <w:rFonts w:eastAsia="仿宋_GB2312"/>
                <w:kern w:val="0"/>
                <w:szCs w:val="21"/>
              </w:rPr>
              <w:t>二氯乙烷废液</w:t>
            </w:r>
          </w:p>
        </w:tc>
        <w:tc>
          <w:tcPr>
            <w:tcW w:w="642" w:type="pct"/>
            <w:shd w:val="clear" w:color="auto" w:fill="auto"/>
            <w:vAlign w:val="center"/>
          </w:tcPr>
          <w:p w14:paraId="4173F662">
            <w:pPr>
              <w:widowControl/>
              <w:jc w:val="center"/>
              <w:rPr>
                <w:rFonts w:eastAsia="仿宋_GB2312"/>
                <w:kern w:val="0"/>
                <w:szCs w:val="21"/>
              </w:rPr>
            </w:pPr>
            <w:r>
              <w:rPr>
                <w:rFonts w:eastAsia="仿宋_GB2312"/>
                <w:kern w:val="0"/>
                <w:szCs w:val="21"/>
              </w:rPr>
              <w:t>2765</w:t>
            </w:r>
          </w:p>
        </w:tc>
        <w:tc>
          <w:tcPr>
            <w:tcW w:w="656" w:type="pct"/>
            <w:shd w:val="clear" w:color="auto" w:fill="auto"/>
            <w:vAlign w:val="center"/>
          </w:tcPr>
          <w:p w14:paraId="18BFED4A">
            <w:pPr>
              <w:widowControl/>
              <w:jc w:val="center"/>
              <w:rPr>
                <w:rFonts w:eastAsia="仿宋_GB2312"/>
                <w:kern w:val="0"/>
                <w:szCs w:val="21"/>
              </w:rPr>
            </w:pPr>
            <w:r>
              <w:rPr>
                <w:rFonts w:eastAsia="仿宋_GB2312"/>
                <w:kern w:val="0"/>
                <w:szCs w:val="21"/>
              </w:rPr>
              <w:t>2765</w:t>
            </w:r>
          </w:p>
        </w:tc>
        <w:tc>
          <w:tcPr>
            <w:tcW w:w="716" w:type="pct"/>
            <w:shd w:val="clear" w:color="auto" w:fill="auto"/>
            <w:vAlign w:val="center"/>
          </w:tcPr>
          <w:p w14:paraId="15FEE1A3">
            <w:pPr>
              <w:widowControl/>
              <w:jc w:val="center"/>
              <w:rPr>
                <w:rFonts w:eastAsia="仿宋_GB2312"/>
                <w:bCs/>
                <w:kern w:val="0"/>
                <w:szCs w:val="21"/>
              </w:rPr>
            </w:pPr>
            <w:r>
              <w:rPr>
                <w:rFonts w:eastAsia="仿宋_GB2312"/>
                <w:bCs/>
                <w:kern w:val="0"/>
                <w:szCs w:val="21"/>
              </w:rPr>
              <w:t>451</w:t>
            </w:r>
          </w:p>
        </w:tc>
        <w:tc>
          <w:tcPr>
            <w:tcW w:w="601" w:type="pct"/>
            <w:vMerge w:val="continue"/>
            <w:vAlign w:val="center"/>
          </w:tcPr>
          <w:p w14:paraId="6E22F511">
            <w:pPr>
              <w:widowControl/>
              <w:snapToGrid w:val="0"/>
              <w:spacing w:line="320" w:lineRule="exact"/>
              <w:jc w:val="center"/>
              <w:rPr>
                <w:rFonts w:eastAsia="仿宋_GB2312"/>
                <w:color w:val="FF0000"/>
                <w:szCs w:val="21"/>
              </w:rPr>
            </w:pPr>
          </w:p>
        </w:tc>
      </w:tr>
      <w:tr w14:paraId="40C580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52" w:type="pct"/>
            <w:vMerge w:val="continue"/>
            <w:shd w:val="clear" w:color="auto" w:fill="auto"/>
            <w:vAlign w:val="center"/>
          </w:tcPr>
          <w:p w14:paraId="4EC057E2">
            <w:pPr>
              <w:widowControl/>
              <w:snapToGrid w:val="0"/>
              <w:spacing w:line="320" w:lineRule="exact"/>
              <w:jc w:val="center"/>
              <w:rPr>
                <w:rFonts w:eastAsia="仿宋_GB2312"/>
                <w:color w:val="FF0000"/>
                <w:szCs w:val="21"/>
              </w:rPr>
            </w:pPr>
          </w:p>
        </w:tc>
        <w:tc>
          <w:tcPr>
            <w:tcW w:w="476" w:type="pct"/>
            <w:vMerge w:val="continue"/>
            <w:shd w:val="clear" w:color="auto" w:fill="auto"/>
            <w:vAlign w:val="center"/>
          </w:tcPr>
          <w:p w14:paraId="43F85710">
            <w:pPr>
              <w:widowControl/>
              <w:snapToGrid w:val="0"/>
              <w:spacing w:line="320" w:lineRule="exact"/>
              <w:jc w:val="center"/>
              <w:rPr>
                <w:rFonts w:eastAsia="仿宋_GB2312"/>
                <w:color w:val="FF0000"/>
                <w:szCs w:val="21"/>
              </w:rPr>
            </w:pPr>
          </w:p>
        </w:tc>
        <w:tc>
          <w:tcPr>
            <w:tcW w:w="337" w:type="pct"/>
            <w:shd w:val="clear" w:color="auto" w:fill="auto"/>
            <w:vAlign w:val="center"/>
          </w:tcPr>
          <w:p w14:paraId="2930D21D">
            <w:pPr>
              <w:widowControl/>
              <w:snapToGrid w:val="0"/>
              <w:spacing w:line="320" w:lineRule="exac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16</w:t>
            </w:r>
          </w:p>
        </w:tc>
        <w:tc>
          <w:tcPr>
            <w:tcW w:w="1117" w:type="pct"/>
            <w:gridSpan w:val="2"/>
            <w:shd w:val="clear" w:color="auto" w:fill="auto"/>
            <w:vAlign w:val="center"/>
          </w:tcPr>
          <w:p w14:paraId="50F95915">
            <w:pPr>
              <w:widowControl/>
              <w:jc w:val="center"/>
              <w:rPr>
                <w:rFonts w:eastAsia="仿宋_GB2312"/>
                <w:kern w:val="0"/>
                <w:szCs w:val="21"/>
              </w:rPr>
            </w:pPr>
            <w:r>
              <w:rPr>
                <w:rFonts w:eastAsia="仿宋_GB2312"/>
                <w:kern w:val="0"/>
                <w:szCs w:val="21"/>
              </w:rPr>
              <w:t>二甲基亚砜废液</w:t>
            </w:r>
          </w:p>
        </w:tc>
        <w:tc>
          <w:tcPr>
            <w:tcW w:w="642" w:type="pct"/>
            <w:shd w:val="clear" w:color="auto" w:fill="auto"/>
            <w:vAlign w:val="center"/>
          </w:tcPr>
          <w:p w14:paraId="08DB5D77">
            <w:pPr>
              <w:widowControl/>
              <w:jc w:val="center"/>
              <w:rPr>
                <w:rFonts w:eastAsia="仿宋_GB2312"/>
                <w:kern w:val="0"/>
                <w:szCs w:val="21"/>
              </w:rPr>
            </w:pPr>
            <w:r>
              <w:rPr>
                <w:rFonts w:eastAsia="仿宋_GB2312"/>
                <w:kern w:val="0"/>
                <w:szCs w:val="21"/>
              </w:rPr>
              <w:t>1000</w:t>
            </w:r>
          </w:p>
        </w:tc>
        <w:tc>
          <w:tcPr>
            <w:tcW w:w="656" w:type="pct"/>
            <w:shd w:val="clear" w:color="auto" w:fill="auto"/>
            <w:vAlign w:val="center"/>
          </w:tcPr>
          <w:p w14:paraId="629D41BF">
            <w:pPr>
              <w:widowControl/>
              <w:jc w:val="center"/>
              <w:rPr>
                <w:rFonts w:eastAsia="仿宋_GB2312"/>
                <w:kern w:val="0"/>
                <w:szCs w:val="21"/>
              </w:rPr>
            </w:pPr>
            <w:r>
              <w:rPr>
                <w:rFonts w:eastAsia="仿宋_GB2312"/>
                <w:kern w:val="0"/>
                <w:szCs w:val="21"/>
              </w:rPr>
              <w:t>1000</w:t>
            </w:r>
          </w:p>
        </w:tc>
        <w:tc>
          <w:tcPr>
            <w:tcW w:w="716" w:type="pct"/>
            <w:shd w:val="clear" w:color="auto" w:fill="auto"/>
            <w:vAlign w:val="center"/>
          </w:tcPr>
          <w:p w14:paraId="45F019F9">
            <w:pPr>
              <w:widowControl/>
              <w:jc w:val="center"/>
              <w:rPr>
                <w:rFonts w:eastAsia="仿宋_GB2312"/>
                <w:bCs/>
                <w:kern w:val="0"/>
                <w:szCs w:val="21"/>
              </w:rPr>
            </w:pPr>
            <w:r>
              <w:rPr>
                <w:rFonts w:eastAsia="仿宋_GB2312"/>
                <w:bCs/>
                <w:kern w:val="0"/>
                <w:szCs w:val="21"/>
              </w:rPr>
              <w:t>162</w:t>
            </w:r>
          </w:p>
        </w:tc>
        <w:tc>
          <w:tcPr>
            <w:tcW w:w="601" w:type="pct"/>
            <w:vMerge w:val="continue"/>
            <w:vAlign w:val="center"/>
          </w:tcPr>
          <w:p w14:paraId="27213A47">
            <w:pPr>
              <w:widowControl/>
              <w:snapToGrid w:val="0"/>
              <w:spacing w:line="320" w:lineRule="exact"/>
              <w:jc w:val="center"/>
              <w:rPr>
                <w:rFonts w:eastAsia="仿宋_GB2312"/>
                <w:color w:val="FF0000"/>
                <w:szCs w:val="21"/>
              </w:rPr>
            </w:pPr>
          </w:p>
        </w:tc>
      </w:tr>
      <w:tr w14:paraId="628BDC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52" w:type="pct"/>
            <w:vMerge w:val="continue"/>
            <w:shd w:val="clear" w:color="auto" w:fill="auto"/>
            <w:vAlign w:val="center"/>
          </w:tcPr>
          <w:p w14:paraId="73F0A4DE">
            <w:pPr>
              <w:widowControl/>
              <w:snapToGrid w:val="0"/>
              <w:spacing w:line="320" w:lineRule="exact"/>
              <w:jc w:val="center"/>
              <w:rPr>
                <w:rFonts w:eastAsia="仿宋_GB2312"/>
                <w:color w:val="FF0000"/>
                <w:szCs w:val="21"/>
              </w:rPr>
            </w:pPr>
          </w:p>
        </w:tc>
        <w:tc>
          <w:tcPr>
            <w:tcW w:w="476" w:type="pct"/>
            <w:vMerge w:val="continue"/>
            <w:shd w:val="clear" w:color="auto" w:fill="auto"/>
            <w:vAlign w:val="center"/>
          </w:tcPr>
          <w:p w14:paraId="71F1DA7F">
            <w:pPr>
              <w:widowControl/>
              <w:snapToGrid w:val="0"/>
              <w:spacing w:line="320" w:lineRule="exact"/>
              <w:jc w:val="center"/>
              <w:rPr>
                <w:rFonts w:eastAsia="仿宋_GB2312"/>
                <w:color w:val="FF0000"/>
                <w:szCs w:val="21"/>
              </w:rPr>
            </w:pPr>
          </w:p>
        </w:tc>
        <w:tc>
          <w:tcPr>
            <w:tcW w:w="337" w:type="pct"/>
            <w:shd w:val="clear" w:color="auto" w:fill="auto"/>
            <w:vAlign w:val="center"/>
          </w:tcPr>
          <w:p w14:paraId="66583218">
            <w:pPr>
              <w:widowControl/>
              <w:snapToGrid w:val="0"/>
              <w:spacing w:line="320" w:lineRule="exac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17</w:t>
            </w:r>
          </w:p>
        </w:tc>
        <w:tc>
          <w:tcPr>
            <w:tcW w:w="1117" w:type="pct"/>
            <w:gridSpan w:val="2"/>
            <w:shd w:val="clear" w:color="auto" w:fill="auto"/>
            <w:vAlign w:val="center"/>
          </w:tcPr>
          <w:p w14:paraId="6086BB94">
            <w:pPr>
              <w:widowControl/>
              <w:jc w:val="center"/>
              <w:rPr>
                <w:rFonts w:eastAsia="仿宋_GB2312"/>
                <w:kern w:val="0"/>
                <w:szCs w:val="21"/>
              </w:rPr>
            </w:pPr>
            <w:r>
              <w:rPr>
                <w:rFonts w:eastAsia="仿宋_GB2312"/>
                <w:kern w:val="0"/>
                <w:szCs w:val="21"/>
              </w:rPr>
              <w:t>废辛醇、丁醇轻重组分废液</w:t>
            </w:r>
          </w:p>
        </w:tc>
        <w:tc>
          <w:tcPr>
            <w:tcW w:w="642" w:type="pct"/>
            <w:shd w:val="clear" w:color="auto" w:fill="auto"/>
            <w:vAlign w:val="center"/>
          </w:tcPr>
          <w:p w14:paraId="2BD6F615">
            <w:pPr>
              <w:widowControl/>
              <w:jc w:val="center"/>
              <w:rPr>
                <w:rFonts w:eastAsia="仿宋_GB2312"/>
                <w:kern w:val="0"/>
                <w:szCs w:val="21"/>
              </w:rPr>
            </w:pPr>
            <w:r>
              <w:rPr>
                <w:rFonts w:eastAsia="仿宋_GB2312"/>
                <w:kern w:val="0"/>
                <w:szCs w:val="21"/>
              </w:rPr>
              <w:t>7000</w:t>
            </w:r>
          </w:p>
        </w:tc>
        <w:tc>
          <w:tcPr>
            <w:tcW w:w="656" w:type="pct"/>
            <w:shd w:val="clear" w:color="auto" w:fill="auto"/>
            <w:vAlign w:val="center"/>
          </w:tcPr>
          <w:p w14:paraId="70AB4AE2">
            <w:pPr>
              <w:widowControl/>
              <w:jc w:val="center"/>
              <w:rPr>
                <w:rFonts w:eastAsia="仿宋_GB2312"/>
                <w:kern w:val="0"/>
                <w:szCs w:val="21"/>
              </w:rPr>
            </w:pPr>
            <w:r>
              <w:rPr>
                <w:rFonts w:eastAsia="仿宋_GB2312"/>
                <w:kern w:val="0"/>
                <w:szCs w:val="21"/>
              </w:rPr>
              <w:t>7000</w:t>
            </w:r>
          </w:p>
        </w:tc>
        <w:tc>
          <w:tcPr>
            <w:tcW w:w="716" w:type="pct"/>
            <w:shd w:val="clear" w:color="auto" w:fill="auto"/>
            <w:vAlign w:val="center"/>
          </w:tcPr>
          <w:p w14:paraId="7664B656">
            <w:pPr>
              <w:widowControl/>
              <w:jc w:val="center"/>
              <w:rPr>
                <w:rFonts w:eastAsia="仿宋_GB2312"/>
                <w:bCs/>
                <w:kern w:val="0"/>
                <w:szCs w:val="21"/>
              </w:rPr>
            </w:pPr>
            <w:r>
              <w:rPr>
                <w:rFonts w:eastAsia="仿宋_GB2312"/>
                <w:bCs/>
                <w:kern w:val="0"/>
                <w:szCs w:val="21"/>
              </w:rPr>
              <w:t>1218</w:t>
            </w:r>
          </w:p>
        </w:tc>
        <w:tc>
          <w:tcPr>
            <w:tcW w:w="601" w:type="pct"/>
            <w:vMerge w:val="continue"/>
            <w:vAlign w:val="center"/>
          </w:tcPr>
          <w:p w14:paraId="10B3F35C">
            <w:pPr>
              <w:widowControl/>
              <w:snapToGrid w:val="0"/>
              <w:spacing w:line="320" w:lineRule="exact"/>
              <w:jc w:val="center"/>
              <w:rPr>
                <w:rFonts w:eastAsia="仿宋_GB2312"/>
                <w:color w:val="FF0000"/>
                <w:szCs w:val="21"/>
              </w:rPr>
            </w:pPr>
          </w:p>
        </w:tc>
      </w:tr>
      <w:tr w14:paraId="4E4E5F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52" w:type="pct"/>
            <w:vMerge w:val="continue"/>
            <w:shd w:val="clear" w:color="auto" w:fill="auto"/>
            <w:vAlign w:val="center"/>
          </w:tcPr>
          <w:p w14:paraId="2A95F5CF">
            <w:pPr>
              <w:widowControl/>
              <w:snapToGrid w:val="0"/>
              <w:spacing w:line="320" w:lineRule="exact"/>
              <w:jc w:val="center"/>
              <w:rPr>
                <w:rFonts w:eastAsia="仿宋_GB2312"/>
                <w:color w:val="FF0000"/>
                <w:szCs w:val="21"/>
              </w:rPr>
            </w:pPr>
          </w:p>
        </w:tc>
        <w:tc>
          <w:tcPr>
            <w:tcW w:w="476" w:type="pct"/>
            <w:vMerge w:val="continue"/>
            <w:shd w:val="clear" w:color="auto" w:fill="auto"/>
            <w:vAlign w:val="center"/>
          </w:tcPr>
          <w:p w14:paraId="5603D699">
            <w:pPr>
              <w:widowControl/>
              <w:snapToGrid w:val="0"/>
              <w:spacing w:line="320" w:lineRule="exact"/>
              <w:jc w:val="center"/>
              <w:rPr>
                <w:rFonts w:eastAsia="仿宋_GB2312"/>
                <w:color w:val="FF0000"/>
                <w:szCs w:val="21"/>
              </w:rPr>
            </w:pPr>
          </w:p>
        </w:tc>
        <w:tc>
          <w:tcPr>
            <w:tcW w:w="337" w:type="pct"/>
            <w:shd w:val="clear" w:color="auto" w:fill="auto"/>
            <w:vAlign w:val="center"/>
          </w:tcPr>
          <w:p w14:paraId="6C4C8199">
            <w:pPr>
              <w:widowControl/>
              <w:snapToGrid w:val="0"/>
              <w:spacing w:line="320" w:lineRule="exac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18</w:t>
            </w:r>
          </w:p>
        </w:tc>
        <w:tc>
          <w:tcPr>
            <w:tcW w:w="1117" w:type="pct"/>
            <w:gridSpan w:val="2"/>
            <w:shd w:val="clear" w:color="auto" w:fill="auto"/>
            <w:vAlign w:val="center"/>
          </w:tcPr>
          <w:p w14:paraId="4E14B880">
            <w:pPr>
              <w:widowControl/>
              <w:jc w:val="center"/>
              <w:rPr>
                <w:rFonts w:eastAsia="仿宋_GB2312"/>
                <w:kern w:val="0"/>
                <w:szCs w:val="21"/>
              </w:rPr>
            </w:pPr>
            <w:r>
              <w:rPr>
                <w:rFonts w:eastAsia="仿宋_GB2312"/>
                <w:kern w:val="0"/>
                <w:szCs w:val="21"/>
              </w:rPr>
              <w:t>废精馏残液</w:t>
            </w:r>
          </w:p>
        </w:tc>
        <w:tc>
          <w:tcPr>
            <w:tcW w:w="642" w:type="pct"/>
            <w:shd w:val="clear" w:color="auto" w:fill="auto"/>
            <w:vAlign w:val="center"/>
          </w:tcPr>
          <w:p w14:paraId="0BF6F253">
            <w:pPr>
              <w:widowControl/>
              <w:jc w:val="center"/>
              <w:rPr>
                <w:rFonts w:eastAsia="仿宋_GB2312"/>
                <w:kern w:val="0"/>
                <w:szCs w:val="21"/>
              </w:rPr>
            </w:pPr>
            <w:r>
              <w:rPr>
                <w:rFonts w:hint="eastAsia" w:eastAsia="仿宋_GB2312"/>
                <w:kern w:val="0"/>
                <w:szCs w:val="21"/>
              </w:rPr>
              <w:t>4</w:t>
            </w:r>
            <w:r>
              <w:rPr>
                <w:rFonts w:eastAsia="仿宋_GB2312"/>
                <w:kern w:val="0"/>
                <w:szCs w:val="21"/>
              </w:rPr>
              <w:t>000</w:t>
            </w:r>
          </w:p>
        </w:tc>
        <w:tc>
          <w:tcPr>
            <w:tcW w:w="656" w:type="pct"/>
            <w:shd w:val="clear" w:color="auto" w:fill="auto"/>
            <w:vAlign w:val="center"/>
          </w:tcPr>
          <w:p w14:paraId="1BBB1C3E">
            <w:pPr>
              <w:widowControl/>
              <w:jc w:val="center"/>
              <w:rPr>
                <w:rFonts w:eastAsia="仿宋_GB2312"/>
                <w:kern w:val="0"/>
                <w:szCs w:val="21"/>
              </w:rPr>
            </w:pPr>
            <w:r>
              <w:rPr>
                <w:rFonts w:hint="eastAsia" w:eastAsia="仿宋_GB2312"/>
                <w:kern w:val="0"/>
                <w:szCs w:val="21"/>
              </w:rPr>
              <w:t>4</w:t>
            </w:r>
            <w:r>
              <w:rPr>
                <w:rFonts w:eastAsia="仿宋_GB2312"/>
                <w:kern w:val="0"/>
                <w:szCs w:val="21"/>
              </w:rPr>
              <w:t>000</w:t>
            </w:r>
          </w:p>
        </w:tc>
        <w:tc>
          <w:tcPr>
            <w:tcW w:w="716" w:type="pct"/>
            <w:shd w:val="clear" w:color="auto" w:fill="auto"/>
            <w:vAlign w:val="center"/>
          </w:tcPr>
          <w:p w14:paraId="743731F0">
            <w:pPr>
              <w:widowControl/>
              <w:jc w:val="center"/>
              <w:rPr>
                <w:rFonts w:eastAsia="仿宋_GB2312"/>
                <w:bCs/>
                <w:kern w:val="0"/>
                <w:szCs w:val="21"/>
              </w:rPr>
            </w:pPr>
            <w:r>
              <w:rPr>
                <w:rFonts w:hint="eastAsia" w:eastAsia="仿宋_GB2312"/>
                <w:bCs/>
                <w:kern w:val="0"/>
                <w:szCs w:val="21"/>
              </w:rPr>
              <w:t>618</w:t>
            </w:r>
          </w:p>
        </w:tc>
        <w:tc>
          <w:tcPr>
            <w:tcW w:w="601" w:type="pct"/>
            <w:vMerge w:val="continue"/>
            <w:vAlign w:val="center"/>
          </w:tcPr>
          <w:p w14:paraId="0483C5F8">
            <w:pPr>
              <w:widowControl/>
              <w:snapToGrid w:val="0"/>
              <w:spacing w:line="320" w:lineRule="exact"/>
              <w:jc w:val="center"/>
              <w:rPr>
                <w:rFonts w:eastAsia="仿宋_GB2312"/>
                <w:color w:val="FF0000"/>
                <w:szCs w:val="21"/>
              </w:rPr>
            </w:pPr>
          </w:p>
        </w:tc>
      </w:tr>
      <w:tr w14:paraId="7BDDBC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52" w:type="pct"/>
            <w:vMerge w:val="continue"/>
            <w:shd w:val="clear" w:color="auto" w:fill="auto"/>
            <w:vAlign w:val="center"/>
          </w:tcPr>
          <w:p w14:paraId="2FAA4318">
            <w:pPr>
              <w:widowControl/>
              <w:snapToGrid w:val="0"/>
              <w:spacing w:line="320" w:lineRule="exact"/>
              <w:jc w:val="center"/>
              <w:rPr>
                <w:rFonts w:eastAsia="仿宋_GB2312"/>
                <w:color w:val="FF0000"/>
                <w:szCs w:val="21"/>
              </w:rPr>
            </w:pPr>
          </w:p>
        </w:tc>
        <w:tc>
          <w:tcPr>
            <w:tcW w:w="476" w:type="pct"/>
            <w:vMerge w:val="continue"/>
            <w:shd w:val="clear" w:color="auto" w:fill="auto"/>
            <w:vAlign w:val="center"/>
          </w:tcPr>
          <w:p w14:paraId="31DCC5D0">
            <w:pPr>
              <w:widowControl/>
              <w:snapToGrid w:val="0"/>
              <w:spacing w:line="320" w:lineRule="exact"/>
              <w:jc w:val="center"/>
              <w:rPr>
                <w:rFonts w:eastAsia="仿宋_GB2312"/>
                <w:color w:val="FF0000"/>
                <w:szCs w:val="21"/>
              </w:rPr>
            </w:pPr>
          </w:p>
        </w:tc>
        <w:tc>
          <w:tcPr>
            <w:tcW w:w="337" w:type="pct"/>
            <w:shd w:val="clear" w:color="auto" w:fill="auto"/>
            <w:vAlign w:val="center"/>
          </w:tcPr>
          <w:p w14:paraId="7D9D8B15">
            <w:pPr>
              <w:widowControl/>
              <w:snapToGrid w:val="0"/>
              <w:spacing w:line="320" w:lineRule="exac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19</w:t>
            </w:r>
          </w:p>
        </w:tc>
        <w:tc>
          <w:tcPr>
            <w:tcW w:w="1117" w:type="pct"/>
            <w:gridSpan w:val="2"/>
            <w:shd w:val="clear" w:color="auto" w:fill="auto"/>
            <w:vAlign w:val="center"/>
          </w:tcPr>
          <w:p w14:paraId="1FEDB29F">
            <w:pPr>
              <w:widowControl/>
              <w:jc w:val="center"/>
              <w:rPr>
                <w:rFonts w:eastAsia="仿宋_GB2312"/>
                <w:kern w:val="0"/>
                <w:szCs w:val="21"/>
              </w:rPr>
            </w:pPr>
            <w:r>
              <w:rPr>
                <w:rFonts w:eastAsia="仿宋_GB2312"/>
                <w:kern w:val="0"/>
                <w:szCs w:val="21"/>
              </w:rPr>
              <w:t>多元醇废液</w:t>
            </w:r>
          </w:p>
        </w:tc>
        <w:tc>
          <w:tcPr>
            <w:tcW w:w="642" w:type="pct"/>
            <w:shd w:val="clear" w:color="auto" w:fill="auto"/>
            <w:vAlign w:val="center"/>
          </w:tcPr>
          <w:p w14:paraId="7CEA3954">
            <w:pPr>
              <w:widowControl/>
              <w:jc w:val="center"/>
              <w:rPr>
                <w:rFonts w:eastAsia="仿宋_GB2312"/>
                <w:kern w:val="0"/>
                <w:szCs w:val="21"/>
              </w:rPr>
            </w:pPr>
            <w:r>
              <w:rPr>
                <w:rFonts w:eastAsia="仿宋_GB2312"/>
                <w:kern w:val="0"/>
                <w:szCs w:val="21"/>
              </w:rPr>
              <w:t>1500</w:t>
            </w:r>
          </w:p>
        </w:tc>
        <w:tc>
          <w:tcPr>
            <w:tcW w:w="656" w:type="pct"/>
            <w:shd w:val="clear" w:color="auto" w:fill="auto"/>
            <w:vAlign w:val="center"/>
          </w:tcPr>
          <w:p w14:paraId="40A634DD">
            <w:pPr>
              <w:widowControl/>
              <w:jc w:val="center"/>
              <w:rPr>
                <w:rFonts w:eastAsia="仿宋_GB2312"/>
                <w:kern w:val="0"/>
                <w:szCs w:val="21"/>
              </w:rPr>
            </w:pPr>
            <w:r>
              <w:rPr>
                <w:rFonts w:eastAsia="仿宋_GB2312"/>
                <w:kern w:val="0"/>
                <w:szCs w:val="21"/>
              </w:rPr>
              <w:t>1500</w:t>
            </w:r>
          </w:p>
        </w:tc>
        <w:tc>
          <w:tcPr>
            <w:tcW w:w="716" w:type="pct"/>
            <w:shd w:val="clear" w:color="auto" w:fill="auto"/>
            <w:vAlign w:val="center"/>
          </w:tcPr>
          <w:p w14:paraId="4346EB1C">
            <w:pPr>
              <w:widowControl/>
              <w:jc w:val="center"/>
              <w:rPr>
                <w:rFonts w:eastAsia="仿宋_GB2312"/>
                <w:bCs/>
                <w:kern w:val="0"/>
                <w:szCs w:val="21"/>
              </w:rPr>
            </w:pPr>
            <w:r>
              <w:rPr>
                <w:rFonts w:eastAsia="仿宋_GB2312"/>
                <w:bCs/>
                <w:kern w:val="0"/>
                <w:szCs w:val="21"/>
              </w:rPr>
              <w:t>241</w:t>
            </w:r>
          </w:p>
        </w:tc>
        <w:tc>
          <w:tcPr>
            <w:tcW w:w="601" w:type="pct"/>
            <w:vMerge w:val="continue"/>
            <w:vAlign w:val="center"/>
          </w:tcPr>
          <w:p w14:paraId="12B66F6F">
            <w:pPr>
              <w:widowControl/>
              <w:snapToGrid w:val="0"/>
              <w:spacing w:line="320" w:lineRule="exact"/>
              <w:jc w:val="center"/>
              <w:rPr>
                <w:rFonts w:eastAsia="仿宋_GB2312"/>
                <w:color w:val="FF0000"/>
                <w:szCs w:val="21"/>
              </w:rPr>
            </w:pPr>
          </w:p>
        </w:tc>
      </w:tr>
      <w:tr w14:paraId="6F4A42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52" w:type="pct"/>
            <w:vMerge w:val="continue"/>
            <w:shd w:val="clear" w:color="auto" w:fill="auto"/>
            <w:vAlign w:val="center"/>
          </w:tcPr>
          <w:p w14:paraId="048730C8">
            <w:pPr>
              <w:widowControl/>
              <w:snapToGrid w:val="0"/>
              <w:spacing w:line="320" w:lineRule="exact"/>
              <w:jc w:val="center"/>
              <w:rPr>
                <w:rFonts w:eastAsia="仿宋_GB2312"/>
                <w:color w:val="FF0000"/>
                <w:szCs w:val="21"/>
              </w:rPr>
            </w:pPr>
          </w:p>
        </w:tc>
        <w:tc>
          <w:tcPr>
            <w:tcW w:w="476" w:type="pct"/>
            <w:vMerge w:val="continue"/>
            <w:shd w:val="clear" w:color="auto" w:fill="auto"/>
            <w:vAlign w:val="center"/>
          </w:tcPr>
          <w:p w14:paraId="5167269F">
            <w:pPr>
              <w:widowControl/>
              <w:snapToGrid w:val="0"/>
              <w:spacing w:line="320" w:lineRule="exact"/>
              <w:jc w:val="center"/>
              <w:rPr>
                <w:rFonts w:eastAsia="仿宋_GB2312"/>
                <w:color w:val="FF0000"/>
                <w:szCs w:val="21"/>
              </w:rPr>
            </w:pPr>
          </w:p>
        </w:tc>
        <w:tc>
          <w:tcPr>
            <w:tcW w:w="337" w:type="pct"/>
            <w:shd w:val="clear" w:color="auto" w:fill="auto"/>
            <w:vAlign w:val="center"/>
          </w:tcPr>
          <w:p w14:paraId="7D4183EA">
            <w:pPr>
              <w:widowControl/>
              <w:snapToGrid w:val="0"/>
              <w:spacing w:line="320" w:lineRule="exac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20</w:t>
            </w:r>
          </w:p>
        </w:tc>
        <w:tc>
          <w:tcPr>
            <w:tcW w:w="1117" w:type="pct"/>
            <w:gridSpan w:val="2"/>
            <w:shd w:val="clear" w:color="auto" w:fill="auto"/>
            <w:vAlign w:val="center"/>
          </w:tcPr>
          <w:p w14:paraId="556EA643">
            <w:pPr>
              <w:widowControl/>
              <w:jc w:val="center"/>
              <w:rPr>
                <w:rFonts w:eastAsia="仿宋_GB2312"/>
                <w:bCs/>
                <w:kern w:val="0"/>
                <w:szCs w:val="21"/>
              </w:rPr>
            </w:pPr>
            <w:r>
              <w:rPr>
                <w:rFonts w:eastAsia="仿宋_GB2312"/>
                <w:bCs/>
                <w:kern w:val="0"/>
                <w:szCs w:val="21"/>
              </w:rPr>
              <w:t>四氢呋喃废液</w:t>
            </w:r>
          </w:p>
        </w:tc>
        <w:tc>
          <w:tcPr>
            <w:tcW w:w="642" w:type="pct"/>
            <w:shd w:val="clear" w:color="auto" w:fill="auto"/>
            <w:vAlign w:val="center"/>
          </w:tcPr>
          <w:p w14:paraId="10ED34BB">
            <w:pPr>
              <w:widowControl/>
              <w:jc w:val="center"/>
              <w:rPr>
                <w:rFonts w:eastAsia="仿宋_GB2312"/>
                <w:bCs/>
                <w:kern w:val="0"/>
                <w:szCs w:val="21"/>
              </w:rPr>
            </w:pPr>
            <w:r>
              <w:rPr>
                <w:rFonts w:eastAsia="仿宋_GB2312"/>
                <w:bCs/>
                <w:kern w:val="0"/>
                <w:szCs w:val="21"/>
              </w:rPr>
              <w:t>3100</w:t>
            </w:r>
          </w:p>
        </w:tc>
        <w:tc>
          <w:tcPr>
            <w:tcW w:w="656" w:type="pct"/>
            <w:shd w:val="clear" w:color="auto" w:fill="auto"/>
            <w:vAlign w:val="center"/>
          </w:tcPr>
          <w:p w14:paraId="770C9BFC">
            <w:pPr>
              <w:widowControl/>
              <w:jc w:val="center"/>
              <w:rPr>
                <w:rFonts w:eastAsia="仿宋_GB2312"/>
                <w:bCs/>
                <w:kern w:val="0"/>
                <w:szCs w:val="21"/>
              </w:rPr>
            </w:pPr>
            <w:r>
              <w:rPr>
                <w:rFonts w:eastAsia="仿宋_GB2312"/>
                <w:bCs/>
                <w:kern w:val="0"/>
                <w:szCs w:val="21"/>
              </w:rPr>
              <w:t>3100</w:t>
            </w:r>
          </w:p>
        </w:tc>
        <w:tc>
          <w:tcPr>
            <w:tcW w:w="716" w:type="pct"/>
            <w:shd w:val="clear" w:color="auto" w:fill="auto"/>
            <w:vAlign w:val="center"/>
          </w:tcPr>
          <w:p w14:paraId="39C8F946">
            <w:pPr>
              <w:widowControl/>
              <w:jc w:val="center"/>
              <w:rPr>
                <w:rFonts w:eastAsia="仿宋_GB2312"/>
                <w:bCs/>
                <w:kern w:val="0"/>
                <w:szCs w:val="21"/>
              </w:rPr>
            </w:pPr>
            <w:r>
              <w:rPr>
                <w:rFonts w:eastAsia="仿宋_GB2312"/>
                <w:bCs/>
                <w:kern w:val="0"/>
                <w:szCs w:val="21"/>
              </w:rPr>
              <w:t>1164</w:t>
            </w:r>
          </w:p>
        </w:tc>
        <w:tc>
          <w:tcPr>
            <w:tcW w:w="601" w:type="pct"/>
            <w:vMerge w:val="continue"/>
            <w:vAlign w:val="center"/>
          </w:tcPr>
          <w:p w14:paraId="6E0FCD77">
            <w:pPr>
              <w:widowControl/>
              <w:snapToGrid w:val="0"/>
              <w:spacing w:line="320" w:lineRule="exact"/>
              <w:jc w:val="center"/>
              <w:rPr>
                <w:rFonts w:eastAsia="仿宋_GB2312"/>
                <w:color w:val="FF0000"/>
                <w:szCs w:val="21"/>
              </w:rPr>
            </w:pPr>
          </w:p>
        </w:tc>
      </w:tr>
      <w:tr w14:paraId="0AFA9A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52" w:type="pct"/>
            <w:vMerge w:val="continue"/>
            <w:shd w:val="clear" w:color="auto" w:fill="auto"/>
            <w:vAlign w:val="center"/>
          </w:tcPr>
          <w:p w14:paraId="0EEC7E74">
            <w:pPr>
              <w:widowControl/>
              <w:snapToGrid w:val="0"/>
              <w:spacing w:line="320" w:lineRule="exact"/>
              <w:jc w:val="center"/>
              <w:rPr>
                <w:rFonts w:eastAsia="仿宋_GB2312"/>
                <w:color w:val="FF0000"/>
                <w:szCs w:val="21"/>
              </w:rPr>
            </w:pPr>
          </w:p>
        </w:tc>
        <w:tc>
          <w:tcPr>
            <w:tcW w:w="476" w:type="pct"/>
            <w:vMerge w:val="continue"/>
            <w:shd w:val="clear" w:color="auto" w:fill="auto"/>
            <w:vAlign w:val="center"/>
          </w:tcPr>
          <w:p w14:paraId="21BBE403">
            <w:pPr>
              <w:widowControl/>
              <w:snapToGrid w:val="0"/>
              <w:spacing w:line="320" w:lineRule="exact"/>
              <w:jc w:val="center"/>
              <w:rPr>
                <w:rFonts w:eastAsia="仿宋_GB2312"/>
                <w:color w:val="FF0000"/>
                <w:szCs w:val="21"/>
              </w:rPr>
            </w:pPr>
          </w:p>
        </w:tc>
        <w:tc>
          <w:tcPr>
            <w:tcW w:w="337" w:type="pct"/>
            <w:shd w:val="clear" w:color="auto" w:fill="auto"/>
            <w:vAlign w:val="center"/>
          </w:tcPr>
          <w:p w14:paraId="4026FF96">
            <w:pPr>
              <w:widowControl/>
              <w:snapToGrid w:val="0"/>
              <w:spacing w:line="320" w:lineRule="exac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21</w:t>
            </w:r>
          </w:p>
        </w:tc>
        <w:tc>
          <w:tcPr>
            <w:tcW w:w="1117" w:type="pct"/>
            <w:gridSpan w:val="2"/>
            <w:shd w:val="clear" w:color="auto" w:fill="auto"/>
            <w:vAlign w:val="center"/>
          </w:tcPr>
          <w:p w14:paraId="3327F5AF">
            <w:pPr>
              <w:widowControl/>
              <w:jc w:val="center"/>
              <w:rPr>
                <w:rFonts w:eastAsia="仿宋_GB2312"/>
                <w:bCs/>
                <w:kern w:val="0"/>
                <w:szCs w:val="21"/>
              </w:rPr>
            </w:pPr>
            <w:r>
              <w:rPr>
                <w:rFonts w:eastAsia="仿宋_GB2312"/>
                <w:bCs/>
                <w:kern w:val="0"/>
                <w:szCs w:val="21"/>
              </w:rPr>
              <w:t>丙二醇单甲醚废液</w:t>
            </w:r>
          </w:p>
        </w:tc>
        <w:tc>
          <w:tcPr>
            <w:tcW w:w="642" w:type="pct"/>
            <w:shd w:val="clear" w:color="auto" w:fill="auto"/>
            <w:vAlign w:val="center"/>
          </w:tcPr>
          <w:p w14:paraId="1F090C66">
            <w:pPr>
              <w:widowControl/>
              <w:jc w:val="center"/>
              <w:rPr>
                <w:rFonts w:eastAsia="仿宋_GB2312"/>
                <w:kern w:val="0"/>
                <w:szCs w:val="21"/>
              </w:rPr>
            </w:pPr>
            <w:r>
              <w:rPr>
                <w:rFonts w:eastAsia="仿宋_GB2312"/>
                <w:kern w:val="0"/>
                <w:szCs w:val="21"/>
              </w:rPr>
              <w:t>2650</w:t>
            </w:r>
          </w:p>
        </w:tc>
        <w:tc>
          <w:tcPr>
            <w:tcW w:w="656" w:type="pct"/>
            <w:shd w:val="clear" w:color="auto" w:fill="auto"/>
            <w:vAlign w:val="center"/>
          </w:tcPr>
          <w:p w14:paraId="392D6605">
            <w:pPr>
              <w:widowControl/>
              <w:jc w:val="center"/>
              <w:rPr>
                <w:rFonts w:eastAsia="仿宋_GB2312"/>
                <w:kern w:val="0"/>
                <w:szCs w:val="21"/>
              </w:rPr>
            </w:pPr>
            <w:r>
              <w:rPr>
                <w:rFonts w:eastAsia="仿宋_GB2312"/>
                <w:kern w:val="0"/>
                <w:szCs w:val="21"/>
              </w:rPr>
              <w:t>2650</w:t>
            </w:r>
          </w:p>
        </w:tc>
        <w:tc>
          <w:tcPr>
            <w:tcW w:w="716" w:type="pct"/>
            <w:shd w:val="clear" w:color="auto" w:fill="auto"/>
            <w:vAlign w:val="center"/>
          </w:tcPr>
          <w:p w14:paraId="1DAF93CD">
            <w:pPr>
              <w:widowControl/>
              <w:jc w:val="center"/>
              <w:rPr>
                <w:rFonts w:eastAsia="仿宋_GB2312"/>
                <w:bCs/>
                <w:kern w:val="0"/>
                <w:szCs w:val="21"/>
              </w:rPr>
            </w:pPr>
            <w:r>
              <w:rPr>
                <w:rFonts w:eastAsia="仿宋_GB2312"/>
                <w:bCs/>
                <w:kern w:val="0"/>
                <w:szCs w:val="21"/>
              </w:rPr>
              <w:t>1120</w:t>
            </w:r>
          </w:p>
        </w:tc>
        <w:tc>
          <w:tcPr>
            <w:tcW w:w="601" w:type="pct"/>
            <w:vMerge w:val="continue"/>
            <w:vAlign w:val="center"/>
          </w:tcPr>
          <w:p w14:paraId="73C5EBF9">
            <w:pPr>
              <w:widowControl/>
              <w:snapToGrid w:val="0"/>
              <w:spacing w:line="320" w:lineRule="exact"/>
              <w:jc w:val="center"/>
              <w:rPr>
                <w:rFonts w:eastAsia="仿宋_GB2312"/>
                <w:color w:val="FF0000"/>
                <w:szCs w:val="21"/>
              </w:rPr>
            </w:pPr>
          </w:p>
        </w:tc>
      </w:tr>
      <w:tr w14:paraId="2ECDC7C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52" w:type="pct"/>
            <w:vMerge w:val="continue"/>
            <w:shd w:val="clear" w:color="auto" w:fill="auto"/>
            <w:vAlign w:val="center"/>
          </w:tcPr>
          <w:p w14:paraId="4B0FBC26">
            <w:pPr>
              <w:widowControl/>
              <w:snapToGrid w:val="0"/>
              <w:spacing w:line="320" w:lineRule="exact"/>
              <w:jc w:val="center"/>
              <w:rPr>
                <w:rFonts w:eastAsia="仿宋_GB2312"/>
                <w:color w:val="FF0000"/>
                <w:szCs w:val="21"/>
              </w:rPr>
            </w:pPr>
          </w:p>
        </w:tc>
        <w:tc>
          <w:tcPr>
            <w:tcW w:w="476" w:type="pct"/>
            <w:vMerge w:val="continue"/>
            <w:shd w:val="clear" w:color="auto" w:fill="auto"/>
            <w:vAlign w:val="center"/>
          </w:tcPr>
          <w:p w14:paraId="35B1D612">
            <w:pPr>
              <w:widowControl/>
              <w:snapToGrid w:val="0"/>
              <w:spacing w:line="320" w:lineRule="exact"/>
              <w:jc w:val="center"/>
              <w:rPr>
                <w:rFonts w:eastAsia="仿宋_GB2312"/>
                <w:color w:val="FF0000"/>
                <w:szCs w:val="21"/>
              </w:rPr>
            </w:pPr>
          </w:p>
        </w:tc>
        <w:tc>
          <w:tcPr>
            <w:tcW w:w="337" w:type="pct"/>
            <w:shd w:val="clear" w:color="auto" w:fill="auto"/>
            <w:vAlign w:val="center"/>
          </w:tcPr>
          <w:p w14:paraId="026E4955">
            <w:pPr>
              <w:widowControl/>
              <w:snapToGrid w:val="0"/>
              <w:spacing w:line="320" w:lineRule="exac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22</w:t>
            </w:r>
          </w:p>
        </w:tc>
        <w:tc>
          <w:tcPr>
            <w:tcW w:w="1117" w:type="pct"/>
            <w:gridSpan w:val="2"/>
            <w:shd w:val="clear" w:color="auto" w:fill="auto"/>
            <w:vAlign w:val="center"/>
          </w:tcPr>
          <w:p w14:paraId="5BFFFEB8">
            <w:pPr>
              <w:widowControl/>
              <w:jc w:val="center"/>
              <w:rPr>
                <w:rFonts w:eastAsia="仿宋_GB2312"/>
                <w:bCs/>
                <w:kern w:val="0"/>
                <w:szCs w:val="21"/>
              </w:rPr>
            </w:pPr>
            <w:r>
              <w:rPr>
                <w:rFonts w:eastAsia="仿宋_GB2312"/>
                <w:bCs/>
                <w:kern w:val="0"/>
                <w:szCs w:val="21"/>
              </w:rPr>
              <w:t>甲醇废液</w:t>
            </w:r>
          </w:p>
        </w:tc>
        <w:tc>
          <w:tcPr>
            <w:tcW w:w="642" w:type="pct"/>
            <w:shd w:val="clear" w:color="auto" w:fill="auto"/>
            <w:vAlign w:val="center"/>
          </w:tcPr>
          <w:p w14:paraId="06DBC592">
            <w:pPr>
              <w:widowControl/>
              <w:jc w:val="center"/>
              <w:rPr>
                <w:rFonts w:eastAsia="仿宋_GB2312"/>
                <w:kern w:val="0"/>
                <w:szCs w:val="21"/>
              </w:rPr>
            </w:pPr>
            <w:r>
              <w:rPr>
                <w:rFonts w:eastAsia="仿宋_GB2312"/>
                <w:kern w:val="0"/>
                <w:szCs w:val="21"/>
              </w:rPr>
              <w:t>6000</w:t>
            </w:r>
          </w:p>
        </w:tc>
        <w:tc>
          <w:tcPr>
            <w:tcW w:w="656" w:type="pct"/>
            <w:shd w:val="clear" w:color="auto" w:fill="auto"/>
            <w:vAlign w:val="center"/>
          </w:tcPr>
          <w:p w14:paraId="38372BA9">
            <w:pPr>
              <w:widowControl/>
              <w:jc w:val="center"/>
              <w:rPr>
                <w:rFonts w:eastAsia="仿宋_GB2312"/>
                <w:kern w:val="0"/>
                <w:szCs w:val="21"/>
              </w:rPr>
            </w:pPr>
            <w:r>
              <w:rPr>
                <w:rFonts w:eastAsia="仿宋_GB2312"/>
                <w:kern w:val="0"/>
                <w:szCs w:val="21"/>
              </w:rPr>
              <w:t>6000</w:t>
            </w:r>
          </w:p>
        </w:tc>
        <w:tc>
          <w:tcPr>
            <w:tcW w:w="716" w:type="pct"/>
            <w:shd w:val="clear" w:color="auto" w:fill="auto"/>
            <w:vAlign w:val="center"/>
          </w:tcPr>
          <w:p w14:paraId="3792C005">
            <w:pPr>
              <w:widowControl/>
              <w:jc w:val="center"/>
              <w:rPr>
                <w:rFonts w:eastAsia="仿宋_GB2312"/>
                <w:bCs/>
                <w:kern w:val="0"/>
                <w:szCs w:val="21"/>
              </w:rPr>
            </w:pPr>
            <w:r>
              <w:rPr>
                <w:rFonts w:eastAsia="仿宋_GB2312"/>
                <w:bCs/>
                <w:kern w:val="0"/>
                <w:szCs w:val="21"/>
              </w:rPr>
              <w:t>2538</w:t>
            </w:r>
          </w:p>
        </w:tc>
        <w:tc>
          <w:tcPr>
            <w:tcW w:w="601" w:type="pct"/>
            <w:vMerge w:val="continue"/>
            <w:vAlign w:val="center"/>
          </w:tcPr>
          <w:p w14:paraId="13DD608D">
            <w:pPr>
              <w:widowControl/>
              <w:snapToGrid w:val="0"/>
              <w:spacing w:line="320" w:lineRule="exact"/>
              <w:jc w:val="center"/>
              <w:rPr>
                <w:rFonts w:eastAsia="仿宋_GB2312"/>
                <w:color w:val="FF0000"/>
                <w:szCs w:val="21"/>
              </w:rPr>
            </w:pPr>
          </w:p>
        </w:tc>
      </w:tr>
      <w:tr w14:paraId="0C07D59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52" w:type="pct"/>
            <w:vMerge w:val="continue"/>
            <w:shd w:val="clear" w:color="auto" w:fill="auto"/>
            <w:vAlign w:val="center"/>
          </w:tcPr>
          <w:p w14:paraId="277707B9">
            <w:pPr>
              <w:widowControl/>
              <w:snapToGrid w:val="0"/>
              <w:spacing w:line="320" w:lineRule="exact"/>
              <w:jc w:val="center"/>
              <w:rPr>
                <w:rFonts w:eastAsia="仿宋_GB2312"/>
                <w:color w:val="FF0000"/>
                <w:szCs w:val="21"/>
              </w:rPr>
            </w:pPr>
          </w:p>
        </w:tc>
        <w:tc>
          <w:tcPr>
            <w:tcW w:w="476" w:type="pct"/>
            <w:vMerge w:val="continue"/>
            <w:shd w:val="clear" w:color="auto" w:fill="auto"/>
            <w:vAlign w:val="center"/>
          </w:tcPr>
          <w:p w14:paraId="1C700E8A">
            <w:pPr>
              <w:widowControl/>
              <w:snapToGrid w:val="0"/>
              <w:spacing w:line="320" w:lineRule="exact"/>
              <w:jc w:val="center"/>
              <w:rPr>
                <w:rFonts w:eastAsia="仿宋_GB2312"/>
                <w:color w:val="FF0000"/>
                <w:szCs w:val="21"/>
              </w:rPr>
            </w:pPr>
          </w:p>
        </w:tc>
        <w:tc>
          <w:tcPr>
            <w:tcW w:w="337" w:type="pct"/>
            <w:shd w:val="clear" w:color="auto" w:fill="auto"/>
            <w:vAlign w:val="center"/>
          </w:tcPr>
          <w:p w14:paraId="11EA7ECE">
            <w:pPr>
              <w:widowControl/>
              <w:snapToGrid w:val="0"/>
              <w:spacing w:line="320" w:lineRule="exac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23</w:t>
            </w:r>
          </w:p>
        </w:tc>
        <w:tc>
          <w:tcPr>
            <w:tcW w:w="1117" w:type="pct"/>
            <w:gridSpan w:val="2"/>
            <w:shd w:val="clear" w:color="auto" w:fill="auto"/>
            <w:vAlign w:val="center"/>
          </w:tcPr>
          <w:p w14:paraId="6C0F60ED">
            <w:pPr>
              <w:widowControl/>
              <w:jc w:val="center"/>
              <w:rPr>
                <w:rFonts w:eastAsia="仿宋_GB2312"/>
                <w:bCs/>
                <w:kern w:val="0"/>
                <w:szCs w:val="21"/>
              </w:rPr>
            </w:pPr>
            <w:r>
              <w:rPr>
                <w:rFonts w:eastAsia="仿宋_GB2312"/>
                <w:bCs/>
                <w:kern w:val="0"/>
                <w:szCs w:val="21"/>
              </w:rPr>
              <w:t>乙腈废液</w:t>
            </w:r>
          </w:p>
        </w:tc>
        <w:tc>
          <w:tcPr>
            <w:tcW w:w="642" w:type="pct"/>
            <w:shd w:val="clear" w:color="auto" w:fill="auto"/>
            <w:vAlign w:val="center"/>
          </w:tcPr>
          <w:p w14:paraId="250657DD">
            <w:pPr>
              <w:widowControl/>
              <w:jc w:val="center"/>
              <w:rPr>
                <w:rFonts w:eastAsia="仿宋_GB2312"/>
                <w:kern w:val="0"/>
                <w:szCs w:val="21"/>
              </w:rPr>
            </w:pPr>
            <w:r>
              <w:rPr>
                <w:rFonts w:eastAsia="仿宋_GB2312"/>
                <w:kern w:val="0"/>
                <w:szCs w:val="21"/>
              </w:rPr>
              <w:t>1650</w:t>
            </w:r>
          </w:p>
        </w:tc>
        <w:tc>
          <w:tcPr>
            <w:tcW w:w="656" w:type="pct"/>
            <w:shd w:val="clear" w:color="auto" w:fill="auto"/>
            <w:vAlign w:val="center"/>
          </w:tcPr>
          <w:p w14:paraId="7F65852F">
            <w:pPr>
              <w:widowControl/>
              <w:jc w:val="center"/>
              <w:rPr>
                <w:rFonts w:eastAsia="仿宋_GB2312"/>
                <w:kern w:val="0"/>
                <w:szCs w:val="21"/>
              </w:rPr>
            </w:pPr>
            <w:r>
              <w:rPr>
                <w:rFonts w:eastAsia="仿宋_GB2312"/>
                <w:kern w:val="0"/>
                <w:szCs w:val="21"/>
              </w:rPr>
              <w:t>1650</w:t>
            </w:r>
          </w:p>
        </w:tc>
        <w:tc>
          <w:tcPr>
            <w:tcW w:w="716" w:type="pct"/>
            <w:shd w:val="clear" w:color="auto" w:fill="auto"/>
            <w:vAlign w:val="center"/>
          </w:tcPr>
          <w:p w14:paraId="74B35C59">
            <w:pPr>
              <w:widowControl/>
              <w:jc w:val="center"/>
              <w:rPr>
                <w:rFonts w:eastAsia="仿宋_GB2312"/>
                <w:bCs/>
                <w:kern w:val="0"/>
                <w:szCs w:val="21"/>
              </w:rPr>
            </w:pPr>
            <w:r>
              <w:rPr>
                <w:rFonts w:eastAsia="仿宋_GB2312"/>
                <w:bCs/>
                <w:kern w:val="0"/>
                <w:szCs w:val="21"/>
              </w:rPr>
              <w:t>819</w:t>
            </w:r>
          </w:p>
        </w:tc>
        <w:tc>
          <w:tcPr>
            <w:tcW w:w="601" w:type="pct"/>
            <w:vMerge w:val="continue"/>
            <w:vAlign w:val="center"/>
          </w:tcPr>
          <w:p w14:paraId="1FEAC156">
            <w:pPr>
              <w:widowControl/>
              <w:snapToGrid w:val="0"/>
              <w:spacing w:line="320" w:lineRule="exact"/>
              <w:jc w:val="center"/>
              <w:rPr>
                <w:rFonts w:eastAsia="仿宋_GB2312"/>
                <w:color w:val="FF0000"/>
                <w:szCs w:val="21"/>
              </w:rPr>
            </w:pPr>
          </w:p>
        </w:tc>
      </w:tr>
      <w:tr w14:paraId="6B935C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52" w:type="pct"/>
            <w:vMerge w:val="continue"/>
            <w:shd w:val="clear" w:color="auto" w:fill="auto"/>
            <w:vAlign w:val="center"/>
          </w:tcPr>
          <w:p w14:paraId="2399B110">
            <w:pPr>
              <w:widowControl/>
              <w:snapToGrid w:val="0"/>
              <w:spacing w:line="320" w:lineRule="exact"/>
              <w:jc w:val="center"/>
              <w:rPr>
                <w:rFonts w:eastAsia="仿宋_GB2312"/>
                <w:color w:val="FF0000"/>
                <w:szCs w:val="21"/>
              </w:rPr>
            </w:pPr>
          </w:p>
        </w:tc>
        <w:tc>
          <w:tcPr>
            <w:tcW w:w="476" w:type="pct"/>
            <w:vMerge w:val="continue"/>
            <w:shd w:val="clear" w:color="auto" w:fill="auto"/>
            <w:vAlign w:val="center"/>
          </w:tcPr>
          <w:p w14:paraId="5A2A76EC">
            <w:pPr>
              <w:widowControl/>
              <w:snapToGrid w:val="0"/>
              <w:spacing w:line="320" w:lineRule="exact"/>
              <w:jc w:val="center"/>
              <w:rPr>
                <w:rFonts w:eastAsia="仿宋_GB2312"/>
                <w:color w:val="FF0000"/>
                <w:szCs w:val="21"/>
              </w:rPr>
            </w:pPr>
          </w:p>
        </w:tc>
        <w:tc>
          <w:tcPr>
            <w:tcW w:w="337" w:type="pct"/>
            <w:shd w:val="clear" w:color="auto" w:fill="auto"/>
            <w:vAlign w:val="center"/>
          </w:tcPr>
          <w:p w14:paraId="2A2119D9">
            <w:pPr>
              <w:widowControl/>
              <w:snapToGrid w:val="0"/>
              <w:spacing w:line="320" w:lineRule="exac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24</w:t>
            </w:r>
          </w:p>
        </w:tc>
        <w:tc>
          <w:tcPr>
            <w:tcW w:w="1117" w:type="pct"/>
            <w:gridSpan w:val="2"/>
            <w:shd w:val="clear" w:color="auto" w:fill="auto"/>
            <w:vAlign w:val="center"/>
          </w:tcPr>
          <w:p w14:paraId="52E952B4">
            <w:pPr>
              <w:widowControl/>
              <w:jc w:val="center"/>
              <w:rPr>
                <w:rFonts w:eastAsia="仿宋_GB2312"/>
                <w:kern w:val="0"/>
                <w:szCs w:val="21"/>
              </w:rPr>
            </w:pPr>
            <w:r>
              <w:rPr>
                <w:rFonts w:eastAsia="仿宋_GB2312"/>
                <w:kern w:val="0"/>
                <w:szCs w:val="21"/>
              </w:rPr>
              <w:t>环戊酮废液</w:t>
            </w:r>
          </w:p>
        </w:tc>
        <w:tc>
          <w:tcPr>
            <w:tcW w:w="642" w:type="pct"/>
            <w:shd w:val="clear" w:color="auto" w:fill="auto"/>
            <w:vAlign w:val="center"/>
          </w:tcPr>
          <w:p w14:paraId="5C16980F">
            <w:pPr>
              <w:widowControl/>
              <w:jc w:val="center"/>
              <w:rPr>
                <w:rFonts w:eastAsia="仿宋_GB2312"/>
                <w:kern w:val="0"/>
                <w:szCs w:val="21"/>
              </w:rPr>
            </w:pPr>
            <w:r>
              <w:rPr>
                <w:rFonts w:eastAsia="仿宋_GB2312"/>
                <w:kern w:val="0"/>
                <w:szCs w:val="21"/>
              </w:rPr>
              <w:t>1500</w:t>
            </w:r>
          </w:p>
        </w:tc>
        <w:tc>
          <w:tcPr>
            <w:tcW w:w="656" w:type="pct"/>
            <w:shd w:val="clear" w:color="auto" w:fill="auto"/>
            <w:vAlign w:val="center"/>
          </w:tcPr>
          <w:p w14:paraId="69D45B07">
            <w:pPr>
              <w:widowControl/>
              <w:jc w:val="center"/>
              <w:rPr>
                <w:rFonts w:eastAsia="仿宋_GB2312"/>
                <w:kern w:val="0"/>
                <w:szCs w:val="21"/>
              </w:rPr>
            </w:pPr>
            <w:r>
              <w:rPr>
                <w:rFonts w:eastAsia="仿宋_GB2312"/>
                <w:kern w:val="0"/>
                <w:szCs w:val="21"/>
              </w:rPr>
              <w:t>1500</w:t>
            </w:r>
          </w:p>
        </w:tc>
        <w:tc>
          <w:tcPr>
            <w:tcW w:w="716" w:type="pct"/>
            <w:shd w:val="clear" w:color="auto" w:fill="auto"/>
            <w:vAlign w:val="center"/>
          </w:tcPr>
          <w:p w14:paraId="12B504BF">
            <w:pPr>
              <w:widowControl/>
              <w:jc w:val="center"/>
              <w:rPr>
                <w:rFonts w:eastAsia="仿宋_GB2312"/>
                <w:bCs/>
                <w:kern w:val="0"/>
                <w:szCs w:val="21"/>
              </w:rPr>
            </w:pPr>
            <w:r>
              <w:rPr>
                <w:rFonts w:eastAsia="仿宋_GB2312"/>
                <w:bCs/>
                <w:kern w:val="0"/>
                <w:szCs w:val="21"/>
              </w:rPr>
              <w:t>704</w:t>
            </w:r>
          </w:p>
        </w:tc>
        <w:tc>
          <w:tcPr>
            <w:tcW w:w="601" w:type="pct"/>
            <w:vMerge w:val="continue"/>
            <w:vAlign w:val="center"/>
          </w:tcPr>
          <w:p w14:paraId="4583C7C3">
            <w:pPr>
              <w:widowControl/>
              <w:snapToGrid w:val="0"/>
              <w:spacing w:line="320" w:lineRule="exact"/>
              <w:jc w:val="center"/>
              <w:rPr>
                <w:rFonts w:eastAsia="仿宋_GB2312"/>
                <w:color w:val="FF0000"/>
                <w:szCs w:val="21"/>
              </w:rPr>
            </w:pPr>
          </w:p>
        </w:tc>
      </w:tr>
      <w:tr w14:paraId="25237B7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52" w:type="pct"/>
            <w:vMerge w:val="continue"/>
            <w:shd w:val="clear" w:color="auto" w:fill="auto"/>
            <w:vAlign w:val="center"/>
          </w:tcPr>
          <w:p w14:paraId="0F4CD016">
            <w:pPr>
              <w:widowControl/>
              <w:snapToGrid w:val="0"/>
              <w:spacing w:line="320" w:lineRule="exact"/>
              <w:jc w:val="center"/>
              <w:rPr>
                <w:rFonts w:eastAsia="仿宋_GB2312"/>
                <w:color w:val="FF0000"/>
                <w:szCs w:val="21"/>
              </w:rPr>
            </w:pPr>
          </w:p>
        </w:tc>
        <w:tc>
          <w:tcPr>
            <w:tcW w:w="476" w:type="pct"/>
            <w:vMerge w:val="continue"/>
            <w:shd w:val="clear" w:color="auto" w:fill="auto"/>
            <w:vAlign w:val="center"/>
          </w:tcPr>
          <w:p w14:paraId="10D7886E">
            <w:pPr>
              <w:widowControl/>
              <w:snapToGrid w:val="0"/>
              <w:spacing w:line="320" w:lineRule="exact"/>
              <w:jc w:val="center"/>
              <w:rPr>
                <w:rFonts w:eastAsia="仿宋_GB2312"/>
                <w:color w:val="FF0000"/>
                <w:szCs w:val="21"/>
              </w:rPr>
            </w:pPr>
          </w:p>
        </w:tc>
        <w:tc>
          <w:tcPr>
            <w:tcW w:w="337" w:type="pct"/>
            <w:shd w:val="clear" w:color="auto" w:fill="auto"/>
            <w:vAlign w:val="center"/>
          </w:tcPr>
          <w:p w14:paraId="37998C6C">
            <w:pPr>
              <w:widowControl/>
              <w:snapToGrid w:val="0"/>
              <w:spacing w:line="32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25</w:t>
            </w:r>
          </w:p>
        </w:tc>
        <w:tc>
          <w:tcPr>
            <w:tcW w:w="1117" w:type="pct"/>
            <w:gridSpan w:val="2"/>
            <w:shd w:val="clear" w:color="auto" w:fill="auto"/>
            <w:vAlign w:val="center"/>
          </w:tcPr>
          <w:p w14:paraId="18ACE85F">
            <w:pPr>
              <w:widowControl/>
              <w:jc w:val="center"/>
              <w:rPr>
                <w:rFonts w:eastAsia="仿宋_GB2312"/>
                <w:kern w:val="0"/>
                <w:szCs w:val="21"/>
              </w:rPr>
            </w:pPr>
            <w:r>
              <w:rPr>
                <w:rFonts w:eastAsia="仿宋_GB2312"/>
                <w:kern w:val="0"/>
                <w:szCs w:val="21"/>
              </w:rPr>
              <w:t>乙酸甲酯废液</w:t>
            </w:r>
          </w:p>
        </w:tc>
        <w:tc>
          <w:tcPr>
            <w:tcW w:w="642" w:type="pct"/>
            <w:shd w:val="clear" w:color="auto" w:fill="auto"/>
            <w:vAlign w:val="center"/>
          </w:tcPr>
          <w:p w14:paraId="3C5B55E2">
            <w:pPr>
              <w:widowControl/>
              <w:jc w:val="center"/>
              <w:rPr>
                <w:rFonts w:eastAsia="仿宋_GB2312"/>
                <w:kern w:val="0"/>
                <w:szCs w:val="21"/>
              </w:rPr>
            </w:pPr>
            <w:r>
              <w:rPr>
                <w:rFonts w:eastAsia="仿宋_GB2312"/>
                <w:kern w:val="0"/>
                <w:szCs w:val="21"/>
              </w:rPr>
              <w:t>1050</w:t>
            </w:r>
          </w:p>
        </w:tc>
        <w:tc>
          <w:tcPr>
            <w:tcW w:w="656" w:type="pct"/>
            <w:shd w:val="clear" w:color="auto" w:fill="auto"/>
            <w:vAlign w:val="center"/>
          </w:tcPr>
          <w:p w14:paraId="16FAA2FC">
            <w:pPr>
              <w:widowControl/>
              <w:jc w:val="center"/>
              <w:rPr>
                <w:rFonts w:eastAsia="仿宋_GB2312"/>
                <w:kern w:val="0"/>
                <w:szCs w:val="21"/>
              </w:rPr>
            </w:pPr>
            <w:r>
              <w:rPr>
                <w:rFonts w:eastAsia="仿宋_GB2312"/>
                <w:kern w:val="0"/>
                <w:szCs w:val="21"/>
              </w:rPr>
              <w:t>1050</w:t>
            </w:r>
          </w:p>
        </w:tc>
        <w:tc>
          <w:tcPr>
            <w:tcW w:w="716" w:type="pct"/>
            <w:shd w:val="clear" w:color="auto" w:fill="auto"/>
            <w:vAlign w:val="center"/>
          </w:tcPr>
          <w:p w14:paraId="284B55E5">
            <w:pPr>
              <w:widowControl/>
              <w:jc w:val="center"/>
              <w:rPr>
                <w:rFonts w:eastAsia="仿宋_GB2312"/>
                <w:bCs/>
                <w:kern w:val="0"/>
                <w:szCs w:val="21"/>
              </w:rPr>
            </w:pPr>
            <w:r>
              <w:rPr>
                <w:rFonts w:eastAsia="仿宋_GB2312"/>
                <w:bCs/>
                <w:kern w:val="0"/>
                <w:szCs w:val="21"/>
              </w:rPr>
              <w:t>512</w:t>
            </w:r>
          </w:p>
        </w:tc>
        <w:tc>
          <w:tcPr>
            <w:tcW w:w="601" w:type="pct"/>
            <w:vMerge w:val="continue"/>
            <w:vAlign w:val="center"/>
          </w:tcPr>
          <w:p w14:paraId="6D2AFC71">
            <w:pPr>
              <w:widowControl/>
              <w:snapToGrid w:val="0"/>
              <w:spacing w:line="320" w:lineRule="exact"/>
              <w:jc w:val="center"/>
              <w:rPr>
                <w:rFonts w:eastAsia="仿宋_GB2312"/>
                <w:color w:val="FF0000"/>
                <w:szCs w:val="21"/>
              </w:rPr>
            </w:pPr>
          </w:p>
        </w:tc>
      </w:tr>
      <w:tr w14:paraId="3F7275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52" w:type="pct"/>
            <w:vMerge w:val="continue"/>
            <w:shd w:val="clear" w:color="auto" w:fill="auto"/>
            <w:vAlign w:val="center"/>
          </w:tcPr>
          <w:p w14:paraId="5D44DE0C">
            <w:pPr>
              <w:widowControl/>
              <w:snapToGrid w:val="0"/>
              <w:spacing w:line="320" w:lineRule="exact"/>
              <w:jc w:val="center"/>
              <w:rPr>
                <w:rFonts w:eastAsia="仿宋_GB2312"/>
                <w:color w:val="FF0000"/>
                <w:szCs w:val="21"/>
              </w:rPr>
            </w:pPr>
          </w:p>
        </w:tc>
        <w:tc>
          <w:tcPr>
            <w:tcW w:w="476" w:type="pct"/>
            <w:vMerge w:val="continue"/>
            <w:shd w:val="clear" w:color="auto" w:fill="auto"/>
            <w:vAlign w:val="center"/>
          </w:tcPr>
          <w:p w14:paraId="36074D53">
            <w:pPr>
              <w:widowControl/>
              <w:snapToGrid w:val="0"/>
              <w:spacing w:line="320" w:lineRule="exact"/>
              <w:jc w:val="center"/>
              <w:rPr>
                <w:rFonts w:eastAsia="仿宋_GB2312"/>
                <w:color w:val="FF0000"/>
                <w:szCs w:val="21"/>
              </w:rPr>
            </w:pPr>
          </w:p>
        </w:tc>
        <w:tc>
          <w:tcPr>
            <w:tcW w:w="1454" w:type="pct"/>
            <w:gridSpan w:val="3"/>
            <w:shd w:val="clear" w:color="auto" w:fill="auto"/>
            <w:vAlign w:val="center"/>
          </w:tcPr>
          <w:p w14:paraId="512E3042">
            <w:pPr>
              <w:widowControl/>
              <w:jc w:val="center"/>
              <w:rPr>
                <w:rFonts w:eastAsia="仿宋_GB2312"/>
                <w:b/>
                <w:bCs/>
                <w:kern w:val="0"/>
                <w:szCs w:val="21"/>
              </w:rPr>
            </w:pPr>
            <w:r>
              <w:rPr>
                <w:rFonts w:hint="eastAsia" w:eastAsia="仿宋_GB2312"/>
                <w:b/>
                <w:bCs/>
                <w:color w:val="000000" w:themeColor="text1"/>
                <w:szCs w:val="21"/>
                <w14:textFill>
                  <w14:solidFill>
                    <w14:schemeClr w14:val="tx1"/>
                  </w14:solidFill>
                </w14:textFill>
              </w:rPr>
              <w:t>合计</w:t>
            </w:r>
          </w:p>
        </w:tc>
        <w:tc>
          <w:tcPr>
            <w:tcW w:w="642" w:type="pct"/>
            <w:shd w:val="clear" w:color="auto" w:fill="auto"/>
            <w:vAlign w:val="center"/>
          </w:tcPr>
          <w:p w14:paraId="73FE3C46">
            <w:pPr>
              <w:widowControl/>
              <w:jc w:val="center"/>
              <w:rPr>
                <w:rFonts w:eastAsia="仿宋_GB2312"/>
                <w:b/>
                <w:bCs/>
                <w:kern w:val="0"/>
                <w:szCs w:val="21"/>
              </w:rPr>
            </w:pPr>
            <w:r>
              <w:rPr>
                <w:rFonts w:hint="eastAsia" w:eastAsia="仿宋_GB2312"/>
                <w:b/>
                <w:bCs/>
                <w:kern w:val="0"/>
                <w:szCs w:val="21"/>
              </w:rPr>
              <w:t>74620</w:t>
            </w:r>
          </w:p>
        </w:tc>
        <w:tc>
          <w:tcPr>
            <w:tcW w:w="656" w:type="pct"/>
            <w:shd w:val="clear" w:color="auto" w:fill="auto"/>
            <w:vAlign w:val="center"/>
          </w:tcPr>
          <w:p w14:paraId="7B5B43A2">
            <w:pPr>
              <w:widowControl/>
              <w:jc w:val="center"/>
              <w:rPr>
                <w:rFonts w:eastAsia="仿宋_GB2312"/>
                <w:b/>
                <w:bCs/>
                <w:kern w:val="0"/>
                <w:szCs w:val="21"/>
              </w:rPr>
            </w:pPr>
            <w:r>
              <w:rPr>
                <w:rFonts w:hint="eastAsia" w:eastAsia="仿宋_GB2312"/>
                <w:b/>
                <w:bCs/>
                <w:kern w:val="0"/>
                <w:szCs w:val="21"/>
              </w:rPr>
              <w:t>74620</w:t>
            </w:r>
          </w:p>
        </w:tc>
        <w:tc>
          <w:tcPr>
            <w:tcW w:w="716" w:type="pct"/>
            <w:shd w:val="clear" w:color="auto" w:fill="auto"/>
            <w:vAlign w:val="center"/>
          </w:tcPr>
          <w:p w14:paraId="773EA7F1">
            <w:pPr>
              <w:widowControl/>
              <w:jc w:val="center"/>
              <w:rPr>
                <w:rFonts w:eastAsia="仿宋_GB2312"/>
                <w:b/>
                <w:bCs/>
                <w:kern w:val="0"/>
                <w:szCs w:val="21"/>
              </w:rPr>
            </w:pPr>
            <w:r>
              <w:rPr>
                <w:rFonts w:hint="eastAsia" w:eastAsia="仿宋_GB2312"/>
                <w:b/>
                <w:bCs/>
                <w:kern w:val="0"/>
                <w:szCs w:val="21"/>
              </w:rPr>
              <w:t>/</w:t>
            </w:r>
          </w:p>
        </w:tc>
        <w:tc>
          <w:tcPr>
            <w:tcW w:w="601" w:type="pct"/>
            <w:vMerge w:val="continue"/>
            <w:vAlign w:val="center"/>
          </w:tcPr>
          <w:p w14:paraId="39BDBFC3">
            <w:pPr>
              <w:widowControl/>
              <w:snapToGrid w:val="0"/>
              <w:spacing w:line="320" w:lineRule="exact"/>
              <w:jc w:val="center"/>
              <w:rPr>
                <w:rFonts w:eastAsia="仿宋_GB2312"/>
                <w:color w:val="FF0000"/>
                <w:szCs w:val="21"/>
              </w:rPr>
            </w:pPr>
          </w:p>
        </w:tc>
      </w:tr>
      <w:tr w14:paraId="1E6BE8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52" w:type="pct"/>
            <w:vMerge w:val="restart"/>
            <w:shd w:val="clear" w:color="auto" w:fill="auto"/>
            <w:vAlign w:val="center"/>
          </w:tcPr>
          <w:p w14:paraId="250DE667">
            <w:pPr>
              <w:widowControl/>
              <w:snapToGrid w:val="0"/>
              <w:spacing w:line="320" w:lineRule="exact"/>
              <w:jc w:val="center"/>
              <w:rPr>
                <w:rFonts w:eastAsia="仿宋_GB2312"/>
                <w:szCs w:val="21"/>
              </w:rPr>
            </w:pPr>
            <w:r>
              <w:rPr>
                <w:rFonts w:hint="eastAsia" w:eastAsia="仿宋_GB2312"/>
                <w:szCs w:val="21"/>
              </w:rPr>
              <w:t>废液处置</w:t>
            </w:r>
          </w:p>
        </w:tc>
        <w:tc>
          <w:tcPr>
            <w:tcW w:w="476" w:type="pct"/>
            <w:vMerge w:val="restart"/>
            <w:shd w:val="clear" w:color="auto" w:fill="auto"/>
            <w:vAlign w:val="center"/>
          </w:tcPr>
          <w:p w14:paraId="214CC0EE">
            <w:pPr>
              <w:widowControl/>
              <w:snapToGrid w:val="0"/>
              <w:spacing w:line="320" w:lineRule="exact"/>
              <w:jc w:val="center"/>
              <w:rPr>
                <w:rFonts w:eastAsia="仿宋_GB2312"/>
                <w:szCs w:val="21"/>
              </w:rPr>
            </w:pPr>
            <w:r>
              <w:rPr>
                <w:rFonts w:hint="eastAsia" w:eastAsia="仿宋_GB2312"/>
                <w:szCs w:val="21"/>
              </w:rPr>
              <w:t>废液处置区</w:t>
            </w:r>
          </w:p>
        </w:tc>
        <w:tc>
          <w:tcPr>
            <w:tcW w:w="337" w:type="pct"/>
            <w:shd w:val="clear" w:color="auto" w:fill="auto"/>
            <w:vAlign w:val="center"/>
          </w:tcPr>
          <w:p w14:paraId="18923731">
            <w:pPr>
              <w:widowControl/>
              <w:snapToGrid w:val="0"/>
              <w:spacing w:line="320" w:lineRule="exact"/>
              <w:jc w:val="center"/>
              <w:rPr>
                <w:rFonts w:eastAsia="仿宋_GB2312"/>
                <w:szCs w:val="21"/>
              </w:rPr>
            </w:pPr>
            <w:r>
              <w:rPr>
                <w:rFonts w:hint="eastAsia" w:eastAsia="仿宋_GB2312"/>
                <w:szCs w:val="21"/>
              </w:rPr>
              <w:t>1</w:t>
            </w:r>
          </w:p>
        </w:tc>
        <w:tc>
          <w:tcPr>
            <w:tcW w:w="1117" w:type="pct"/>
            <w:gridSpan w:val="2"/>
            <w:shd w:val="clear" w:color="auto" w:fill="auto"/>
            <w:vAlign w:val="center"/>
          </w:tcPr>
          <w:p w14:paraId="3C5C0647">
            <w:pPr>
              <w:widowControl/>
              <w:snapToGrid w:val="0"/>
              <w:spacing w:line="320" w:lineRule="exact"/>
              <w:jc w:val="center"/>
              <w:rPr>
                <w:rFonts w:eastAsia="仿宋_GB2312"/>
                <w:szCs w:val="21"/>
              </w:rPr>
            </w:pPr>
            <w:r>
              <w:rPr>
                <w:rFonts w:eastAsia="仿宋_GB2312"/>
                <w:szCs w:val="21"/>
              </w:rPr>
              <w:t>表面处理废物</w:t>
            </w:r>
          </w:p>
        </w:tc>
        <w:tc>
          <w:tcPr>
            <w:tcW w:w="642" w:type="pct"/>
            <w:shd w:val="clear" w:color="auto" w:fill="auto"/>
            <w:vAlign w:val="center"/>
          </w:tcPr>
          <w:p w14:paraId="3169A377">
            <w:pPr>
              <w:widowControl/>
              <w:snapToGrid w:val="0"/>
              <w:spacing w:line="320" w:lineRule="exact"/>
              <w:jc w:val="center"/>
              <w:rPr>
                <w:rFonts w:eastAsia="仿宋_GB2312"/>
                <w:szCs w:val="21"/>
              </w:rPr>
            </w:pPr>
            <w:r>
              <w:rPr>
                <w:rFonts w:hint="eastAsia" w:eastAsia="仿宋_GB2312"/>
                <w:szCs w:val="21"/>
              </w:rPr>
              <w:t>1000</w:t>
            </w:r>
          </w:p>
        </w:tc>
        <w:tc>
          <w:tcPr>
            <w:tcW w:w="656" w:type="pct"/>
            <w:shd w:val="clear" w:color="auto" w:fill="auto"/>
            <w:vAlign w:val="center"/>
          </w:tcPr>
          <w:p w14:paraId="3CB0E59F">
            <w:pPr>
              <w:widowControl/>
              <w:snapToGrid w:val="0"/>
              <w:spacing w:line="320" w:lineRule="exact"/>
              <w:jc w:val="center"/>
              <w:rPr>
                <w:rFonts w:eastAsia="仿宋_GB2312"/>
                <w:szCs w:val="21"/>
              </w:rPr>
            </w:pPr>
            <w:r>
              <w:rPr>
                <w:rFonts w:hint="eastAsia" w:eastAsia="仿宋_GB2312"/>
                <w:szCs w:val="21"/>
              </w:rPr>
              <w:t>1000</w:t>
            </w:r>
          </w:p>
        </w:tc>
        <w:tc>
          <w:tcPr>
            <w:tcW w:w="716" w:type="pct"/>
            <w:shd w:val="clear" w:color="auto" w:fill="auto"/>
            <w:vAlign w:val="center"/>
          </w:tcPr>
          <w:p w14:paraId="6965D2FC">
            <w:pPr>
              <w:widowControl/>
              <w:snapToGrid w:val="0"/>
              <w:spacing w:line="320" w:lineRule="exact"/>
              <w:jc w:val="center"/>
              <w:rPr>
                <w:rFonts w:eastAsia="仿宋_GB2312"/>
                <w:szCs w:val="21"/>
              </w:rPr>
            </w:pPr>
            <w:r>
              <w:rPr>
                <w:rFonts w:hint="eastAsia" w:eastAsia="仿宋_GB2312"/>
                <w:szCs w:val="21"/>
              </w:rPr>
              <w:t>1</w:t>
            </w:r>
            <w:r>
              <w:rPr>
                <w:rFonts w:eastAsia="仿宋_GB2312"/>
                <w:szCs w:val="21"/>
              </w:rPr>
              <w:t>00</w:t>
            </w:r>
          </w:p>
        </w:tc>
        <w:tc>
          <w:tcPr>
            <w:tcW w:w="601" w:type="pct"/>
            <w:vMerge w:val="continue"/>
            <w:vAlign w:val="center"/>
          </w:tcPr>
          <w:p w14:paraId="025BFFAB">
            <w:pPr>
              <w:widowControl/>
              <w:snapToGrid w:val="0"/>
              <w:spacing w:line="320" w:lineRule="exact"/>
              <w:jc w:val="center"/>
              <w:rPr>
                <w:rFonts w:eastAsia="仿宋_GB2312"/>
                <w:color w:val="FF0000"/>
                <w:szCs w:val="21"/>
              </w:rPr>
            </w:pPr>
          </w:p>
        </w:tc>
      </w:tr>
      <w:tr w14:paraId="598930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52" w:type="pct"/>
            <w:vMerge w:val="continue"/>
            <w:shd w:val="clear" w:color="auto" w:fill="auto"/>
            <w:vAlign w:val="center"/>
          </w:tcPr>
          <w:p w14:paraId="2CCC552F">
            <w:pPr>
              <w:widowControl/>
              <w:snapToGrid w:val="0"/>
              <w:spacing w:line="320" w:lineRule="exact"/>
              <w:jc w:val="center"/>
              <w:rPr>
                <w:rFonts w:eastAsia="仿宋_GB2312"/>
                <w:color w:val="FF0000"/>
                <w:szCs w:val="21"/>
              </w:rPr>
            </w:pPr>
          </w:p>
        </w:tc>
        <w:tc>
          <w:tcPr>
            <w:tcW w:w="476" w:type="pct"/>
            <w:vMerge w:val="continue"/>
            <w:shd w:val="clear" w:color="auto" w:fill="auto"/>
            <w:vAlign w:val="center"/>
          </w:tcPr>
          <w:p w14:paraId="35ECB13C">
            <w:pPr>
              <w:widowControl/>
              <w:snapToGrid w:val="0"/>
              <w:spacing w:line="320" w:lineRule="exact"/>
              <w:jc w:val="center"/>
              <w:rPr>
                <w:rFonts w:eastAsia="仿宋_GB2312"/>
                <w:color w:val="FF0000"/>
                <w:szCs w:val="21"/>
              </w:rPr>
            </w:pPr>
          </w:p>
        </w:tc>
        <w:tc>
          <w:tcPr>
            <w:tcW w:w="337" w:type="pct"/>
            <w:shd w:val="clear" w:color="auto" w:fill="auto"/>
            <w:vAlign w:val="center"/>
          </w:tcPr>
          <w:p w14:paraId="5458175F">
            <w:pPr>
              <w:widowControl/>
              <w:snapToGrid w:val="0"/>
              <w:spacing w:line="320" w:lineRule="exact"/>
              <w:jc w:val="center"/>
              <w:rPr>
                <w:rFonts w:eastAsia="仿宋_GB2312"/>
                <w:szCs w:val="21"/>
              </w:rPr>
            </w:pPr>
            <w:r>
              <w:rPr>
                <w:rFonts w:hint="eastAsia" w:eastAsia="仿宋_GB2312"/>
                <w:szCs w:val="21"/>
              </w:rPr>
              <w:t>2</w:t>
            </w:r>
          </w:p>
        </w:tc>
        <w:tc>
          <w:tcPr>
            <w:tcW w:w="1117" w:type="pct"/>
            <w:gridSpan w:val="2"/>
            <w:shd w:val="clear" w:color="auto" w:fill="auto"/>
            <w:vAlign w:val="center"/>
          </w:tcPr>
          <w:p w14:paraId="528589C7">
            <w:pPr>
              <w:widowControl/>
              <w:snapToGrid w:val="0"/>
              <w:spacing w:line="320" w:lineRule="exact"/>
              <w:jc w:val="center"/>
              <w:rPr>
                <w:rFonts w:eastAsia="仿宋_GB2312"/>
                <w:szCs w:val="21"/>
              </w:rPr>
            </w:pPr>
            <w:r>
              <w:rPr>
                <w:rFonts w:eastAsia="仿宋_GB2312"/>
                <w:szCs w:val="21"/>
              </w:rPr>
              <w:t>废酸</w:t>
            </w:r>
          </w:p>
        </w:tc>
        <w:tc>
          <w:tcPr>
            <w:tcW w:w="642" w:type="pct"/>
            <w:shd w:val="clear" w:color="auto" w:fill="auto"/>
            <w:vAlign w:val="center"/>
          </w:tcPr>
          <w:p w14:paraId="68037134">
            <w:pPr>
              <w:widowControl/>
              <w:snapToGrid w:val="0"/>
              <w:spacing w:line="320" w:lineRule="exact"/>
              <w:jc w:val="center"/>
              <w:rPr>
                <w:rFonts w:eastAsia="仿宋_GB2312"/>
                <w:szCs w:val="21"/>
              </w:rPr>
            </w:pPr>
            <w:r>
              <w:rPr>
                <w:rFonts w:hint="eastAsia" w:eastAsia="仿宋_GB2312"/>
                <w:szCs w:val="21"/>
              </w:rPr>
              <w:t>5</w:t>
            </w:r>
            <w:r>
              <w:rPr>
                <w:rFonts w:eastAsia="仿宋_GB2312"/>
                <w:szCs w:val="21"/>
              </w:rPr>
              <w:t>00</w:t>
            </w:r>
          </w:p>
        </w:tc>
        <w:tc>
          <w:tcPr>
            <w:tcW w:w="656" w:type="pct"/>
            <w:shd w:val="clear" w:color="auto" w:fill="auto"/>
            <w:vAlign w:val="center"/>
          </w:tcPr>
          <w:p w14:paraId="671AD6E4">
            <w:pPr>
              <w:widowControl/>
              <w:snapToGrid w:val="0"/>
              <w:spacing w:line="320" w:lineRule="exact"/>
              <w:jc w:val="center"/>
              <w:rPr>
                <w:rFonts w:eastAsia="仿宋_GB2312"/>
                <w:szCs w:val="21"/>
              </w:rPr>
            </w:pPr>
            <w:r>
              <w:rPr>
                <w:rFonts w:hint="eastAsia" w:eastAsia="仿宋_GB2312"/>
                <w:szCs w:val="21"/>
              </w:rPr>
              <w:t>5</w:t>
            </w:r>
            <w:r>
              <w:rPr>
                <w:rFonts w:eastAsia="仿宋_GB2312"/>
                <w:szCs w:val="21"/>
              </w:rPr>
              <w:t>00</w:t>
            </w:r>
          </w:p>
        </w:tc>
        <w:tc>
          <w:tcPr>
            <w:tcW w:w="716" w:type="pct"/>
            <w:shd w:val="clear" w:color="auto" w:fill="auto"/>
            <w:vAlign w:val="center"/>
          </w:tcPr>
          <w:p w14:paraId="0BB2E477">
            <w:pPr>
              <w:widowControl/>
              <w:snapToGrid w:val="0"/>
              <w:spacing w:line="320" w:lineRule="exact"/>
              <w:jc w:val="center"/>
              <w:rPr>
                <w:rFonts w:eastAsia="仿宋_GB2312"/>
                <w:szCs w:val="21"/>
              </w:rPr>
            </w:pPr>
            <w:r>
              <w:rPr>
                <w:rFonts w:hint="eastAsia" w:eastAsia="仿宋_GB2312"/>
                <w:szCs w:val="21"/>
              </w:rPr>
              <w:t>5</w:t>
            </w:r>
            <w:r>
              <w:rPr>
                <w:rFonts w:eastAsia="仿宋_GB2312"/>
                <w:szCs w:val="21"/>
              </w:rPr>
              <w:t>0</w:t>
            </w:r>
          </w:p>
        </w:tc>
        <w:tc>
          <w:tcPr>
            <w:tcW w:w="601" w:type="pct"/>
            <w:vMerge w:val="continue"/>
            <w:vAlign w:val="center"/>
          </w:tcPr>
          <w:p w14:paraId="68F35177">
            <w:pPr>
              <w:widowControl/>
              <w:snapToGrid w:val="0"/>
              <w:spacing w:line="320" w:lineRule="exact"/>
              <w:jc w:val="center"/>
              <w:rPr>
                <w:rFonts w:eastAsia="仿宋_GB2312"/>
                <w:color w:val="FF0000"/>
                <w:szCs w:val="21"/>
              </w:rPr>
            </w:pPr>
          </w:p>
        </w:tc>
      </w:tr>
      <w:tr w14:paraId="1E65BC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52" w:type="pct"/>
            <w:vMerge w:val="continue"/>
            <w:shd w:val="clear" w:color="auto" w:fill="auto"/>
            <w:vAlign w:val="center"/>
          </w:tcPr>
          <w:p w14:paraId="7F22EC62">
            <w:pPr>
              <w:widowControl/>
              <w:snapToGrid w:val="0"/>
              <w:spacing w:line="320" w:lineRule="exact"/>
              <w:jc w:val="center"/>
              <w:rPr>
                <w:rFonts w:eastAsia="仿宋_GB2312"/>
                <w:color w:val="FF0000"/>
                <w:szCs w:val="21"/>
              </w:rPr>
            </w:pPr>
          </w:p>
        </w:tc>
        <w:tc>
          <w:tcPr>
            <w:tcW w:w="476" w:type="pct"/>
            <w:vMerge w:val="continue"/>
            <w:shd w:val="clear" w:color="auto" w:fill="auto"/>
            <w:vAlign w:val="center"/>
          </w:tcPr>
          <w:p w14:paraId="79D374B8">
            <w:pPr>
              <w:widowControl/>
              <w:snapToGrid w:val="0"/>
              <w:spacing w:line="320" w:lineRule="exact"/>
              <w:jc w:val="center"/>
              <w:rPr>
                <w:rFonts w:eastAsia="仿宋_GB2312"/>
                <w:color w:val="FF0000"/>
                <w:szCs w:val="21"/>
              </w:rPr>
            </w:pPr>
          </w:p>
        </w:tc>
        <w:tc>
          <w:tcPr>
            <w:tcW w:w="337" w:type="pct"/>
            <w:shd w:val="clear" w:color="auto" w:fill="auto"/>
            <w:vAlign w:val="center"/>
          </w:tcPr>
          <w:p w14:paraId="4031A045">
            <w:pPr>
              <w:widowControl/>
              <w:snapToGrid w:val="0"/>
              <w:spacing w:line="320" w:lineRule="exact"/>
              <w:jc w:val="center"/>
              <w:rPr>
                <w:rFonts w:eastAsia="仿宋_GB2312"/>
                <w:szCs w:val="21"/>
              </w:rPr>
            </w:pPr>
            <w:r>
              <w:rPr>
                <w:rFonts w:hint="eastAsia" w:eastAsia="仿宋_GB2312"/>
                <w:szCs w:val="21"/>
              </w:rPr>
              <w:t>3</w:t>
            </w:r>
          </w:p>
        </w:tc>
        <w:tc>
          <w:tcPr>
            <w:tcW w:w="1117" w:type="pct"/>
            <w:gridSpan w:val="2"/>
            <w:shd w:val="clear" w:color="auto" w:fill="auto"/>
            <w:vAlign w:val="center"/>
          </w:tcPr>
          <w:p w14:paraId="4ADE406C">
            <w:pPr>
              <w:widowControl/>
              <w:snapToGrid w:val="0"/>
              <w:spacing w:line="320" w:lineRule="exact"/>
              <w:jc w:val="center"/>
              <w:rPr>
                <w:rFonts w:eastAsia="仿宋_GB2312"/>
                <w:szCs w:val="21"/>
              </w:rPr>
            </w:pPr>
            <w:r>
              <w:rPr>
                <w:rFonts w:eastAsia="仿宋_GB2312"/>
                <w:szCs w:val="21"/>
              </w:rPr>
              <w:t>废碱</w:t>
            </w:r>
          </w:p>
        </w:tc>
        <w:tc>
          <w:tcPr>
            <w:tcW w:w="642" w:type="pct"/>
            <w:shd w:val="clear" w:color="auto" w:fill="auto"/>
            <w:vAlign w:val="center"/>
          </w:tcPr>
          <w:p w14:paraId="4B5A4268">
            <w:pPr>
              <w:widowControl/>
              <w:snapToGrid w:val="0"/>
              <w:spacing w:line="320" w:lineRule="exact"/>
              <w:jc w:val="center"/>
              <w:rPr>
                <w:rFonts w:eastAsia="仿宋_GB2312"/>
                <w:szCs w:val="21"/>
              </w:rPr>
            </w:pPr>
            <w:r>
              <w:rPr>
                <w:rFonts w:hint="eastAsia" w:eastAsia="仿宋_GB2312"/>
                <w:szCs w:val="21"/>
              </w:rPr>
              <w:t>5</w:t>
            </w:r>
            <w:r>
              <w:rPr>
                <w:rFonts w:eastAsia="仿宋_GB2312"/>
                <w:szCs w:val="21"/>
              </w:rPr>
              <w:t>00</w:t>
            </w:r>
          </w:p>
        </w:tc>
        <w:tc>
          <w:tcPr>
            <w:tcW w:w="656" w:type="pct"/>
            <w:shd w:val="clear" w:color="auto" w:fill="auto"/>
            <w:vAlign w:val="center"/>
          </w:tcPr>
          <w:p w14:paraId="60B25B15">
            <w:pPr>
              <w:widowControl/>
              <w:snapToGrid w:val="0"/>
              <w:spacing w:line="320" w:lineRule="exact"/>
              <w:jc w:val="center"/>
              <w:rPr>
                <w:rFonts w:eastAsia="仿宋_GB2312"/>
                <w:szCs w:val="21"/>
              </w:rPr>
            </w:pPr>
            <w:r>
              <w:rPr>
                <w:rFonts w:hint="eastAsia" w:eastAsia="仿宋_GB2312"/>
                <w:szCs w:val="21"/>
              </w:rPr>
              <w:t>5</w:t>
            </w:r>
            <w:r>
              <w:rPr>
                <w:rFonts w:eastAsia="仿宋_GB2312"/>
                <w:szCs w:val="21"/>
              </w:rPr>
              <w:t>00</w:t>
            </w:r>
          </w:p>
        </w:tc>
        <w:tc>
          <w:tcPr>
            <w:tcW w:w="716" w:type="pct"/>
            <w:shd w:val="clear" w:color="auto" w:fill="auto"/>
            <w:vAlign w:val="center"/>
          </w:tcPr>
          <w:p w14:paraId="355D2386">
            <w:pPr>
              <w:widowControl/>
              <w:snapToGrid w:val="0"/>
              <w:spacing w:line="320" w:lineRule="exact"/>
              <w:jc w:val="center"/>
              <w:rPr>
                <w:rFonts w:eastAsia="仿宋_GB2312"/>
                <w:szCs w:val="21"/>
              </w:rPr>
            </w:pPr>
            <w:r>
              <w:rPr>
                <w:rFonts w:hint="eastAsia" w:eastAsia="仿宋_GB2312"/>
                <w:szCs w:val="21"/>
              </w:rPr>
              <w:t>5</w:t>
            </w:r>
            <w:r>
              <w:rPr>
                <w:rFonts w:eastAsia="仿宋_GB2312"/>
                <w:szCs w:val="21"/>
              </w:rPr>
              <w:t>0</w:t>
            </w:r>
          </w:p>
        </w:tc>
        <w:tc>
          <w:tcPr>
            <w:tcW w:w="601" w:type="pct"/>
            <w:vMerge w:val="continue"/>
            <w:vAlign w:val="center"/>
          </w:tcPr>
          <w:p w14:paraId="51289EED">
            <w:pPr>
              <w:widowControl/>
              <w:snapToGrid w:val="0"/>
              <w:spacing w:line="320" w:lineRule="exact"/>
              <w:jc w:val="center"/>
              <w:rPr>
                <w:rFonts w:eastAsia="仿宋_GB2312"/>
                <w:color w:val="FF0000"/>
                <w:szCs w:val="21"/>
              </w:rPr>
            </w:pPr>
          </w:p>
        </w:tc>
      </w:tr>
      <w:tr w14:paraId="1BBDD4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52" w:type="pct"/>
            <w:vMerge w:val="continue"/>
            <w:shd w:val="clear" w:color="auto" w:fill="auto"/>
            <w:vAlign w:val="center"/>
          </w:tcPr>
          <w:p w14:paraId="3FF84CEC">
            <w:pPr>
              <w:widowControl/>
              <w:snapToGrid w:val="0"/>
              <w:spacing w:line="320" w:lineRule="exact"/>
              <w:jc w:val="center"/>
              <w:rPr>
                <w:rFonts w:eastAsia="仿宋_GB2312"/>
                <w:color w:val="FF0000"/>
                <w:szCs w:val="21"/>
              </w:rPr>
            </w:pPr>
          </w:p>
        </w:tc>
        <w:tc>
          <w:tcPr>
            <w:tcW w:w="476" w:type="pct"/>
            <w:vMerge w:val="continue"/>
            <w:shd w:val="clear" w:color="auto" w:fill="auto"/>
            <w:vAlign w:val="center"/>
          </w:tcPr>
          <w:p w14:paraId="33ABCD5B">
            <w:pPr>
              <w:widowControl/>
              <w:snapToGrid w:val="0"/>
              <w:spacing w:line="320" w:lineRule="exact"/>
              <w:jc w:val="center"/>
              <w:rPr>
                <w:rFonts w:eastAsia="仿宋_GB2312"/>
                <w:color w:val="FF0000"/>
                <w:szCs w:val="21"/>
              </w:rPr>
            </w:pPr>
          </w:p>
        </w:tc>
        <w:tc>
          <w:tcPr>
            <w:tcW w:w="337" w:type="pct"/>
            <w:shd w:val="clear" w:color="auto" w:fill="auto"/>
            <w:vAlign w:val="center"/>
          </w:tcPr>
          <w:p w14:paraId="60F1EACE">
            <w:pPr>
              <w:widowControl/>
              <w:snapToGrid w:val="0"/>
              <w:spacing w:line="320" w:lineRule="exact"/>
              <w:jc w:val="center"/>
              <w:rPr>
                <w:rFonts w:eastAsia="仿宋_GB2312"/>
                <w:szCs w:val="21"/>
              </w:rPr>
            </w:pPr>
            <w:r>
              <w:rPr>
                <w:rFonts w:hint="eastAsia" w:eastAsia="仿宋_GB2312"/>
                <w:szCs w:val="21"/>
              </w:rPr>
              <w:t>4</w:t>
            </w:r>
          </w:p>
        </w:tc>
        <w:tc>
          <w:tcPr>
            <w:tcW w:w="1117" w:type="pct"/>
            <w:gridSpan w:val="2"/>
            <w:shd w:val="clear" w:color="auto" w:fill="auto"/>
            <w:vAlign w:val="center"/>
          </w:tcPr>
          <w:p w14:paraId="3BC9DD5E">
            <w:pPr>
              <w:widowControl/>
              <w:snapToGrid w:val="0"/>
              <w:spacing w:line="320" w:lineRule="exact"/>
              <w:jc w:val="center"/>
              <w:rPr>
                <w:rFonts w:eastAsia="仿宋_GB2312"/>
                <w:szCs w:val="21"/>
              </w:rPr>
            </w:pPr>
            <w:r>
              <w:rPr>
                <w:rFonts w:eastAsia="仿宋_GB2312"/>
                <w:szCs w:val="21"/>
              </w:rPr>
              <w:t>废有机溶剂与含有机溶剂废物</w:t>
            </w:r>
          </w:p>
        </w:tc>
        <w:tc>
          <w:tcPr>
            <w:tcW w:w="642" w:type="pct"/>
            <w:shd w:val="clear" w:color="auto" w:fill="auto"/>
            <w:vAlign w:val="center"/>
          </w:tcPr>
          <w:p w14:paraId="4A3E34A4">
            <w:pPr>
              <w:widowControl/>
              <w:snapToGrid w:val="0"/>
              <w:spacing w:line="320" w:lineRule="exact"/>
              <w:jc w:val="center"/>
              <w:rPr>
                <w:rFonts w:eastAsia="仿宋_GB2312"/>
                <w:szCs w:val="21"/>
              </w:rPr>
            </w:pPr>
            <w:r>
              <w:rPr>
                <w:rFonts w:hint="eastAsia" w:eastAsia="仿宋_GB2312"/>
                <w:szCs w:val="21"/>
              </w:rPr>
              <w:t>6</w:t>
            </w:r>
            <w:r>
              <w:rPr>
                <w:rFonts w:eastAsia="仿宋_GB2312"/>
                <w:szCs w:val="21"/>
              </w:rPr>
              <w:t>000</w:t>
            </w:r>
          </w:p>
        </w:tc>
        <w:tc>
          <w:tcPr>
            <w:tcW w:w="656" w:type="pct"/>
            <w:shd w:val="clear" w:color="auto" w:fill="auto"/>
            <w:vAlign w:val="center"/>
          </w:tcPr>
          <w:p w14:paraId="4F765B15">
            <w:pPr>
              <w:widowControl/>
              <w:snapToGrid w:val="0"/>
              <w:spacing w:line="320" w:lineRule="exact"/>
              <w:jc w:val="center"/>
              <w:rPr>
                <w:rFonts w:eastAsia="仿宋_GB2312"/>
                <w:szCs w:val="21"/>
              </w:rPr>
            </w:pPr>
            <w:r>
              <w:rPr>
                <w:rFonts w:hint="eastAsia" w:eastAsia="仿宋_GB2312"/>
                <w:szCs w:val="21"/>
              </w:rPr>
              <w:t>6</w:t>
            </w:r>
            <w:r>
              <w:rPr>
                <w:rFonts w:eastAsia="仿宋_GB2312"/>
                <w:szCs w:val="21"/>
              </w:rPr>
              <w:t>000</w:t>
            </w:r>
          </w:p>
        </w:tc>
        <w:tc>
          <w:tcPr>
            <w:tcW w:w="716" w:type="pct"/>
            <w:shd w:val="clear" w:color="auto" w:fill="auto"/>
            <w:vAlign w:val="center"/>
          </w:tcPr>
          <w:p w14:paraId="0A9116DD">
            <w:pPr>
              <w:widowControl/>
              <w:snapToGrid w:val="0"/>
              <w:spacing w:line="320" w:lineRule="exact"/>
              <w:jc w:val="center"/>
              <w:rPr>
                <w:rFonts w:eastAsia="仿宋_GB2312"/>
                <w:szCs w:val="21"/>
              </w:rPr>
            </w:pPr>
            <w:r>
              <w:rPr>
                <w:rFonts w:hint="eastAsia" w:eastAsia="仿宋_GB2312"/>
                <w:szCs w:val="21"/>
              </w:rPr>
              <w:t>6</w:t>
            </w:r>
            <w:r>
              <w:rPr>
                <w:rFonts w:eastAsia="仿宋_GB2312"/>
                <w:szCs w:val="21"/>
              </w:rPr>
              <w:t>00</w:t>
            </w:r>
          </w:p>
        </w:tc>
        <w:tc>
          <w:tcPr>
            <w:tcW w:w="601" w:type="pct"/>
            <w:vMerge w:val="continue"/>
            <w:vAlign w:val="center"/>
          </w:tcPr>
          <w:p w14:paraId="7B26D4C7">
            <w:pPr>
              <w:widowControl/>
              <w:snapToGrid w:val="0"/>
              <w:spacing w:line="320" w:lineRule="exact"/>
              <w:jc w:val="center"/>
              <w:rPr>
                <w:rFonts w:eastAsia="仿宋_GB2312"/>
                <w:color w:val="FF0000"/>
                <w:szCs w:val="21"/>
              </w:rPr>
            </w:pPr>
          </w:p>
        </w:tc>
      </w:tr>
      <w:tr w14:paraId="525CAB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52" w:type="pct"/>
            <w:vMerge w:val="continue"/>
            <w:shd w:val="clear" w:color="auto" w:fill="auto"/>
            <w:vAlign w:val="center"/>
          </w:tcPr>
          <w:p w14:paraId="5C9B5ABA">
            <w:pPr>
              <w:widowControl/>
              <w:snapToGrid w:val="0"/>
              <w:spacing w:line="320" w:lineRule="exact"/>
              <w:jc w:val="center"/>
              <w:rPr>
                <w:rFonts w:eastAsia="仿宋_GB2312"/>
                <w:color w:val="FF0000"/>
                <w:szCs w:val="21"/>
              </w:rPr>
            </w:pPr>
          </w:p>
        </w:tc>
        <w:tc>
          <w:tcPr>
            <w:tcW w:w="476" w:type="pct"/>
            <w:vMerge w:val="continue"/>
            <w:shd w:val="clear" w:color="auto" w:fill="auto"/>
            <w:vAlign w:val="center"/>
          </w:tcPr>
          <w:p w14:paraId="4EF47FDD">
            <w:pPr>
              <w:widowControl/>
              <w:snapToGrid w:val="0"/>
              <w:spacing w:line="320" w:lineRule="exact"/>
              <w:jc w:val="center"/>
              <w:rPr>
                <w:rFonts w:eastAsia="仿宋_GB2312"/>
                <w:color w:val="FF0000"/>
                <w:szCs w:val="21"/>
              </w:rPr>
            </w:pPr>
          </w:p>
        </w:tc>
        <w:tc>
          <w:tcPr>
            <w:tcW w:w="337" w:type="pct"/>
            <w:shd w:val="clear" w:color="auto" w:fill="auto"/>
            <w:vAlign w:val="center"/>
          </w:tcPr>
          <w:p w14:paraId="14DA2983">
            <w:pPr>
              <w:widowControl/>
              <w:snapToGrid w:val="0"/>
              <w:spacing w:line="320" w:lineRule="exact"/>
              <w:jc w:val="center"/>
              <w:rPr>
                <w:rFonts w:eastAsia="仿宋_GB2312"/>
                <w:szCs w:val="21"/>
              </w:rPr>
            </w:pPr>
            <w:r>
              <w:rPr>
                <w:rFonts w:hint="eastAsia" w:eastAsia="仿宋_GB2312"/>
                <w:szCs w:val="21"/>
              </w:rPr>
              <w:t>5</w:t>
            </w:r>
          </w:p>
        </w:tc>
        <w:tc>
          <w:tcPr>
            <w:tcW w:w="1117" w:type="pct"/>
            <w:gridSpan w:val="2"/>
            <w:shd w:val="clear" w:color="auto" w:fill="auto"/>
            <w:vAlign w:val="center"/>
          </w:tcPr>
          <w:p w14:paraId="10775378">
            <w:pPr>
              <w:widowControl/>
              <w:snapToGrid w:val="0"/>
              <w:spacing w:line="320" w:lineRule="exact"/>
              <w:jc w:val="center"/>
              <w:rPr>
                <w:rFonts w:eastAsia="仿宋_GB2312"/>
                <w:szCs w:val="21"/>
              </w:rPr>
            </w:pPr>
            <w:r>
              <w:rPr>
                <w:rFonts w:eastAsia="仿宋_GB2312"/>
                <w:szCs w:val="21"/>
              </w:rPr>
              <w:t>染料、涂料废物</w:t>
            </w:r>
          </w:p>
        </w:tc>
        <w:tc>
          <w:tcPr>
            <w:tcW w:w="642" w:type="pct"/>
            <w:shd w:val="clear" w:color="auto" w:fill="auto"/>
            <w:vAlign w:val="center"/>
          </w:tcPr>
          <w:p w14:paraId="4CC9E401">
            <w:pPr>
              <w:widowControl/>
              <w:snapToGrid w:val="0"/>
              <w:spacing w:line="320" w:lineRule="exact"/>
              <w:jc w:val="center"/>
              <w:rPr>
                <w:rFonts w:eastAsia="仿宋_GB2312"/>
                <w:szCs w:val="21"/>
              </w:rPr>
            </w:pPr>
            <w:r>
              <w:rPr>
                <w:rFonts w:hint="eastAsia" w:eastAsia="仿宋_GB2312"/>
                <w:szCs w:val="21"/>
              </w:rPr>
              <w:t>500</w:t>
            </w:r>
          </w:p>
        </w:tc>
        <w:tc>
          <w:tcPr>
            <w:tcW w:w="656" w:type="pct"/>
            <w:shd w:val="clear" w:color="auto" w:fill="auto"/>
            <w:vAlign w:val="center"/>
          </w:tcPr>
          <w:p w14:paraId="783CEA27">
            <w:pPr>
              <w:widowControl/>
              <w:snapToGrid w:val="0"/>
              <w:spacing w:line="320" w:lineRule="exact"/>
              <w:jc w:val="center"/>
              <w:rPr>
                <w:rFonts w:eastAsia="仿宋_GB2312"/>
                <w:szCs w:val="21"/>
              </w:rPr>
            </w:pPr>
            <w:r>
              <w:rPr>
                <w:rFonts w:hint="eastAsia" w:eastAsia="仿宋_GB2312"/>
                <w:szCs w:val="21"/>
              </w:rPr>
              <w:t>500</w:t>
            </w:r>
          </w:p>
        </w:tc>
        <w:tc>
          <w:tcPr>
            <w:tcW w:w="716" w:type="pct"/>
            <w:shd w:val="clear" w:color="auto" w:fill="auto"/>
            <w:vAlign w:val="center"/>
          </w:tcPr>
          <w:p w14:paraId="53EFDAAB">
            <w:pPr>
              <w:widowControl/>
              <w:snapToGrid w:val="0"/>
              <w:spacing w:line="320" w:lineRule="exact"/>
              <w:jc w:val="center"/>
              <w:rPr>
                <w:rFonts w:eastAsia="仿宋_GB2312"/>
                <w:szCs w:val="21"/>
              </w:rPr>
            </w:pPr>
            <w:r>
              <w:rPr>
                <w:rFonts w:hint="eastAsia" w:eastAsia="仿宋_GB2312"/>
                <w:szCs w:val="21"/>
              </w:rPr>
              <w:t>50</w:t>
            </w:r>
          </w:p>
        </w:tc>
        <w:tc>
          <w:tcPr>
            <w:tcW w:w="601" w:type="pct"/>
            <w:vMerge w:val="continue"/>
            <w:vAlign w:val="center"/>
          </w:tcPr>
          <w:p w14:paraId="33A4BFBE">
            <w:pPr>
              <w:widowControl/>
              <w:snapToGrid w:val="0"/>
              <w:spacing w:line="320" w:lineRule="exact"/>
              <w:jc w:val="center"/>
              <w:rPr>
                <w:rFonts w:eastAsia="仿宋_GB2312"/>
                <w:color w:val="FF0000"/>
                <w:szCs w:val="21"/>
              </w:rPr>
            </w:pPr>
          </w:p>
        </w:tc>
      </w:tr>
      <w:tr w14:paraId="3B6C1E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52" w:type="pct"/>
            <w:vMerge w:val="continue"/>
            <w:shd w:val="clear" w:color="auto" w:fill="auto"/>
            <w:vAlign w:val="center"/>
          </w:tcPr>
          <w:p w14:paraId="483B6228">
            <w:pPr>
              <w:widowControl/>
              <w:snapToGrid w:val="0"/>
              <w:spacing w:line="320" w:lineRule="exact"/>
              <w:jc w:val="center"/>
              <w:rPr>
                <w:rFonts w:eastAsia="仿宋_GB2312"/>
                <w:color w:val="FF0000"/>
                <w:szCs w:val="21"/>
              </w:rPr>
            </w:pPr>
          </w:p>
        </w:tc>
        <w:tc>
          <w:tcPr>
            <w:tcW w:w="476" w:type="pct"/>
            <w:vMerge w:val="continue"/>
            <w:shd w:val="clear" w:color="auto" w:fill="auto"/>
            <w:vAlign w:val="center"/>
          </w:tcPr>
          <w:p w14:paraId="29317CF0">
            <w:pPr>
              <w:widowControl/>
              <w:snapToGrid w:val="0"/>
              <w:spacing w:line="320" w:lineRule="exact"/>
              <w:jc w:val="center"/>
              <w:rPr>
                <w:rFonts w:eastAsia="仿宋_GB2312"/>
                <w:color w:val="FF0000"/>
                <w:szCs w:val="21"/>
              </w:rPr>
            </w:pPr>
          </w:p>
        </w:tc>
        <w:tc>
          <w:tcPr>
            <w:tcW w:w="337" w:type="pct"/>
            <w:shd w:val="clear" w:color="auto" w:fill="auto"/>
            <w:vAlign w:val="center"/>
          </w:tcPr>
          <w:p w14:paraId="6A92C5F2">
            <w:pPr>
              <w:widowControl/>
              <w:snapToGrid w:val="0"/>
              <w:spacing w:line="320" w:lineRule="exact"/>
              <w:jc w:val="center"/>
              <w:rPr>
                <w:rFonts w:eastAsia="仿宋_GB2312"/>
                <w:szCs w:val="21"/>
              </w:rPr>
            </w:pPr>
            <w:r>
              <w:rPr>
                <w:rFonts w:hint="eastAsia" w:eastAsia="仿宋_GB2312"/>
                <w:szCs w:val="21"/>
              </w:rPr>
              <w:t>6</w:t>
            </w:r>
          </w:p>
        </w:tc>
        <w:tc>
          <w:tcPr>
            <w:tcW w:w="1117" w:type="pct"/>
            <w:gridSpan w:val="2"/>
            <w:shd w:val="clear" w:color="auto" w:fill="auto"/>
            <w:vAlign w:val="center"/>
          </w:tcPr>
          <w:p w14:paraId="1BC0CF0D">
            <w:pPr>
              <w:widowControl/>
              <w:snapToGrid w:val="0"/>
              <w:spacing w:line="320" w:lineRule="exact"/>
              <w:jc w:val="center"/>
              <w:rPr>
                <w:rFonts w:eastAsia="仿宋_GB2312"/>
                <w:szCs w:val="21"/>
              </w:rPr>
            </w:pPr>
            <w:r>
              <w:rPr>
                <w:rFonts w:eastAsia="仿宋_GB2312"/>
                <w:szCs w:val="21"/>
              </w:rPr>
              <w:t>有机树脂类废物</w:t>
            </w:r>
          </w:p>
        </w:tc>
        <w:tc>
          <w:tcPr>
            <w:tcW w:w="642" w:type="pct"/>
            <w:shd w:val="clear" w:color="auto" w:fill="auto"/>
            <w:vAlign w:val="center"/>
          </w:tcPr>
          <w:p w14:paraId="4ED3DC0C">
            <w:pPr>
              <w:widowControl/>
              <w:snapToGrid w:val="0"/>
              <w:spacing w:line="320" w:lineRule="exact"/>
              <w:jc w:val="center"/>
              <w:rPr>
                <w:rFonts w:eastAsia="仿宋_GB2312"/>
                <w:szCs w:val="21"/>
              </w:rPr>
            </w:pPr>
            <w:r>
              <w:rPr>
                <w:rFonts w:hint="eastAsia" w:eastAsia="仿宋_GB2312"/>
                <w:szCs w:val="21"/>
              </w:rPr>
              <w:t>300</w:t>
            </w:r>
          </w:p>
        </w:tc>
        <w:tc>
          <w:tcPr>
            <w:tcW w:w="656" w:type="pct"/>
            <w:shd w:val="clear" w:color="auto" w:fill="auto"/>
            <w:vAlign w:val="center"/>
          </w:tcPr>
          <w:p w14:paraId="30AD8649">
            <w:pPr>
              <w:widowControl/>
              <w:snapToGrid w:val="0"/>
              <w:spacing w:line="320" w:lineRule="exact"/>
              <w:jc w:val="center"/>
              <w:rPr>
                <w:rFonts w:eastAsia="仿宋_GB2312"/>
                <w:szCs w:val="21"/>
              </w:rPr>
            </w:pPr>
            <w:r>
              <w:rPr>
                <w:rFonts w:hint="eastAsia" w:eastAsia="仿宋_GB2312"/>
                <w:szCs w:val="21"/>
              </w:rPr>
              <w:t>300</w:t>
            </w:r>
          </w:p>
        </w:tc>
        <w:tc>
          <w:tcPr>
            <w:tcW w:w="716" w:type="pct"/>
            <w:shd w:val="clear" w:color="auto" w:fill="auto"/>
            <w:vAlign w:val="center"/>
          </w:tcPr>
          <w:p w14:paraId="0C0574C4">
            <w:pPr>
              <w:widowControl/>
              <w:snapToGrid w:val="0"/>
              <w:spacing w:line="320" w:lineRule="exact"/>
              <w:jc w:val="center"/>
              <w:rPr>
                <w:rFonts w:eastAsia="仿宋_GB2312"/>
                <w:szCs w:val="21"/>
              </w:rPr>
            </w:pPr>
            <w:r>
              <w:rPr>
                <w:rFonts w:hint="eastAsia" w:eastAsia="仿宋_GB2312"/>
                <w:szCs w:val="21"/>
              </w:rPr>
              <w:t>30</w:t>
            </w:r>
          </w:p>
        </w:tc>
        <w:tc>
          <w:tcPr>
            <w:tcW w:w="601" w:type="pct"/>
            <w:vMerge w:val="continue"/>
            <w:vAlign w:val="center"/>
          </w:tcPr>
          <w:p w14:paraId="485D394D">
            <w:pPr>
              <w:widowControl/>
              <w:snapToGrid w:val="0"/>
              <w:spacing w:line="320" w:lineRule="exact"/>
              <w:jc w:val="center"/>
              <w:rPr>
                <w:rFonts w:eastAsia="仿宋_GB2312"/>
                <w:color w:val="FF0000"/>
                <w:szCs w:val="21"/>
              </w:rPr>
            </w:pPr>
          </w:p>
        </w:tc>
      </w:tr>
      <w:tr w14:paraId="3B1B0D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52" w:type="pct"/>
            <w:vMerge w:val="continue"/>
            <w:shd w:val="clear" w:color="auto" w:fill="auto"/>
            <w:vAlign w:val="center"/>
          </w:tcPr>
          <w:p w14:paraId="3DD56BAA">
            <w:pPr>
              <w:widowControl/>
              <w:snapToGrid w:val="0"/>
              <w:spacing w:line="320" w:lineRule="exact"/>
              <w:jc w:val="center"/>
              <w:rPr>
                <w:rFonts w:eastAsia="仿宋_GB2312"/>
                <w:color w:val="FF0000"/>
                <w:szCs w:val="21"/>
              </w:rPr>
            </w:pPr>
          </w:p>
        </w:tc>
        <w:tc>
          <w:tcPr>
            <w:tcW w:w="476" w:type="pct"/>
            <w:vMerge w:val="continue"/>
            <w:shd w:val="clear" w:color="auto" w:fill="auto"/>
            <w:vAlign w:val="center"/>
          </w:tcPr>
          <w:p w14:paraId="3F903419">
            <w:pPr>
              <w:widowControl/>
              <w:snapToGrid w:val="0"/>
              <w:spacing w:line="320" w:lineRule="exact"/>
              <w:jc w:val="center"/>
              <w:rPr>
                <w:rFonts w:eastAsia="仿宋_GB2312"/>
                <w:color w:val="FF0000"/>
                <w:szCs w:val="21"/>
              </w:rPr>
            </w:pPr>
          </w:p>
        </w:tc>
        <w:tc>
          <w:tcPr>
            <w:tcW w:w="337" w:type="pct"/>
            <w:shd w:val="clear" w:color="auto" w:fill="auto"/>
            <w:vAlign w:val="center"/>
          </w:tcPr>
          <w:p w14:paraId="1A2B66AC">
            <w:pPr>
              <w:widowControl/>
              <w:snapToGrid w:val="0"/>
              <w:spacing w:line="320" w:lineRule="exact"/>
              <w:jc w:val="center"/>
              <w:rPr>
                <w:rFonts w:eastAsia="仿宋_GB2312"/>
                <w:szCs w:val="21"/>
              </w:rPr>
            </w:pPr>
            <w:r>
              <w:rPr>
                <w:rFonts w:hint="eastAsia" w:eastAsia="仿宋_GB2312"/>
                <w:szCs w:val="21"/>
              </w:rPr>
              <w:t>7</w:t>
            </w:r>
          </w:p>
        </w:tc>
        <w:tc>
          <w:tcPr>
            <w:tcW w:w="1117" w:type="pct"/>
            <w:gridSpan w:val="2"/>
            <w:shd w:val="clear" w:color="auto" w:fill="auto"/>
            <w:vAlign w:val="center"/>
          </w:tcPr>
          <w:p w14:paraId="0E0E81D2">
            <w:pPr>
              <w:widowControl/>
              <w:snapToGrid w:val="0"/>
              <w:spacing w:line="320" w:lineRule="exact"/>
              <w:jc w:val="center"/>
              <w:rPr>
                <w:rFonts w:eastAsia="仿宋_GB2312"/>
                <w:szCs w:val="21"/>
              </w:rPr>
            </w:pPr>
            <w:r>
              <w:rPr>
                <w:rFonts w:eastAsia="仿宋_GB2312"/>
                <w:szCs w:val="21"/>
              </w:rPr>
              <w:t>废矿物油与含矿物油废物</w:t>
            </w:r>
          </w:p>
        </w:tc>
        <w:tc>
          <w:tcPr>
            <w:tcW w:w="642" w:type="pct"/>
            <w:shd w:val="clear" w:color="auto" w:fill="auto"/>
            <w:vAlign w:val="center"/>
          </w:tcPr>
          <w:p w14:paraId="5D9704A4">
            <w:pPr>
              <w:widowControl/>
              <w:snapToGrid w:val="0"/>
              <w:spacing w:line="320" w:lineRule="exact"/>
              <w:jc w:val="center"/>
              <w:rPr>
                <w:rFonts w:eastAsia="仿宋_GB2312"/>
                <w:szCs w:val="21"/>
              </w:rPr>
            </w:pPr>
            <w:r>
              <w:rPr>
                <w:rFonts w:hint="eastAsia" w:eastAsia="仿宋_GB2312"/>
                <w:szCs w:val="21"/>
              </w:rPr>
              <w:t>200</w:t>
            </w:r>
          </w:p>
        </w:tc>
        <w:tc>
          <w:tcPr>
            <w:tcW w:w="656" w:type="pct"/>
            <w:shd w:val="clear" w:color="auto" w:fill="auto"/>
            <w:vAlign w:val="center"/>
          </w:tcPr>
          <w:p w14:paraId="0599FFFE">
            <w:pPr>
              <w:widowControl/>
              <w:snapToGrid w:val="0"/>
              <w:spacing w:line="320" w:lineRule="exact"/>
              <w:jc w:val="center"/>
              <w:rPr>
                <w:rFonts w:eastAsia="仿宋_GB2312"/>
                <w:szCs w:val="21"/>
              </w:rPr>
            </w:pPr>
            <w:r>
              <w:rPr>
                <w:rFonts w:hint="eastAsia" w:eastAsia="仿宋_GB2312"/>
                <w:szCs w:val="21"/>
              </w:rPr>
              <w:t>200</w:t>
            </w:r>
          </w:p>
        </w:tc>
        <w:tc>
          <w:tcPr>
            <w:tcW w:w="716" w:type="pct"/>
            <w:shd w:val="clear" w:color="auto" w:fill="auto"/>
            <w:vAlign w:val="center"/>
          </w:tcPr>
          <w:p w14:paraId="7FFE62C6">
            <w:pPr>
              <w:widowControl/>
              <w:snapToGrid w:val="0"/>
              <w:spacing w:line="320" w:lineRule="exact"/>
              <w:jc w:val="center"/>
              <w:rPr>
                <w:rFonts w:eastAsia="仿宋_GB2312"/>
                <w:szCs w:val="21"/>
              </w:rPr>
            </w:pPr>
            <w:r>
              <w:rPr>
                <w:rFonts w:hint="eastAsia" w:eastAsia="仿宋_GB2312"/>
                <w:szCs w:val="21"/>
              </w:rPr>
              <w:t>80</w:t>
            </w:r>
          </w:p>
        </w:tc>
        <w:tc>
          <w:tcPr>
            <w:tcW w:w="601" w:type="pct"/>
            <w:vMerge w:val="continue"/>
            <w:vAlign w:val="center"/>
          </w:tcPr>
          <w:p w14:paraId="5D204C46">
            <w:pPr>
              <w:widowControl/>
              <w:snapToGrid w:val="0"/>
              <w:spacing w:line="320" w:lineRule="exact"/>
              <w:jc w:val="center"/>
              <w:rPr>
                <w:rFonts w:eastAsia="仿宋_GB2312"/>
                <w:color w:val="FF0000"/>
                <w:szCs w:val="21"/>
              </w:rPr>
            </w:pPr>
          </w:p>
        </w:tc>
      </w:tr>
      <w:tr w14:paraId="55F663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52" w:type="pct"/>
            <w:vMerge w:val="continue"/>
            <w:shd w:val="clear" w:color="auto" w:fill="auto"/>
            <w:vAlign w:val="center"/>
          </w:tcPr>
          <w:p w14:paraId="17E1827A">
            <w:pPr>
              <w:widowControl/>
              <w:snapToGrid w:val="0"/>
              <w:spacing w:line="320" w:lineRule="exact"/>
              <w:jc w:val="center"/>
              <w:rPr>
                <w:rFonts w:eastAsia="仿宋_GB2312"/>
                <w:color w:val="FF0000"/>
                <w:szCs w:val="21"/>
              </w:rPr>
            </w:pPr>
          </w:p>
        </w:tc>
        <w:tc>
          <w:tcPr>
            <w:tcW w:w="476" w:type="pct"/>
            <w:vMerge w:val="continue"/>
            <w:shd w:val="clear" w:color="auto" w:fill="auto"/>
            <w:vAlign w:val="center"/>
          </w:tcPr>
          <w:p w14:paraId="415744C8">
            <w:pPr>
              <w:widowControl/>
              <w:snapToGrid w:val="0"/>
              <w:spacing w:line="320" w:lineRule="exact"/>
              <w:jc w:val="center"/>
              <w:rPr>
                <w:rFonts w:eastAsia="仿宋_GB2312"/>
                <w:color w:val="FF0000"/>
                <w:szCs w:val="21"/>
              </w:rPr>
            </w:pPr>
          </w:p>
        </w:tc>
        <w:tc>
          <w:tcPr>
            <w:tcW w:w="337" w:type="pct"/>
            <w:shd w:val="clear" w:color="auto" w:fill="auto"/>
            <w:vAlign w:val="center"/>
          </w:tcPr>
          <w:p w14:paraId="4BF68AEA">
            <w:pPr>
              <w:widowControl/>
              <w:snapToGrid w:val="0"/>
              <w:spacing w:line="320" w:lineRule="exact"/>
              <w:jc w:val="center"/>
              <w:rPr>
                <w:rFonts w:eastAsia="仿宋_GB2312"/>
                <w:szCs w:val="21"/>
              </w:rPr>
            </w:pPr>
            <w:r>
              <w:rPr>
                <w:rFonts w:hint="eastAsia" w:eastAsia="仿宋_GB2312"/>
                <w:szCs w:val="21"/>
              </w:rPr>
              <w:t>8</w:t>
            </w:r>
          </w:p>
        </w:tc>
        <w:tc>
          <w:tcPr>
            <w:tcW w:w="1117" w:type="pct"/>
            <w:gridSpan w:val="2"/>
            <w:shd w:val="clear" w:color="auto" w:fill="auto"/>
            <w:vAlign w:val="center"/>
          </w:tcPr>
          <w:p w14:paraId="4C3C202E">
            <w:pPr>
              <w:widowControl/>
              <w:snapToGrid w:val="0"/>
              <w:spacing w:line="320" w:lineRule="exact"/>
              <w:jc w:val="center"/>
              <w:rPr>
                <w:rFonts w:eastAsia="仿宋_GB2312"/>
                <w:szCs w:val="21"/>
              </w:rPr>
            </w:pPr>
            <w:r>
              <w:rPr>
                <w:rFonts w:eastAsia="仿宋_GB2312"/>
                <w:szCs w:val="21"/>
              </w:rPr>
              <w:t>油/水、烃/水混合物或乳化液</w:t>
            </w:r>
          </w:p>
        </w:tc>
        <w:tc>
          <w:tcPr>
            <w:tcW w:w="642" w:type="pct"/>
            <w:shd w:val="clear" w:color="auto" w:fill="auto"/>
            <w:vAlign w:val="center"/>
          </w:tcPr>
          <w:p w14:paraId="39AB5123">
            <w:pPr>
              <w:widowControl/>
              <w:snapToGrid w:val="0"/>
              <w:spacing w:line="320" w:lineRule="exact"/>
              <w:jc w:val="center"/>
              <w:rPr>
                <w:rFonts w:eastAsia="仿宋_GB2312"/>
                <w:szCs w:val="21"/>
              </w:rPr>
            </w:pPr>
            <w:r>
              <w:rPr>
                <w:rFonts w:hint="eastAsia" w:eastAsia="仿宋_GB2312"/>
                <w:szCs w:val="21"/>
              </w:rPr>
              <w:t>1000</w:t>
            </w:r>
          </w:p>
        </w:tc>
        <w:tc>
          <w:tcPr>
            <w:tcW w:w="656" w:type="pct"/>
            <w:shd w:val="clear" w:color="auto" w:fill="auto"/>
            <w:vAlign w:val="center"/>
          </w:tcPr>
          <w:p w14:paraId="7C54900A">
            <w:pPr>
              <w:widowControl/>
              <w:snapToGrid w:val="0"/>
              <w:spacing w:line="320" w:lineRule="exact"/>
              <w:jc w:val="center"/>
              <w:rPr>
                <w:rFonts w:eastAsia="仿宋_GB2312"/>
                <w:szCs w:val="21"/>
              </w:rPr>
            </w:pPr>
            <w:r>
              <w:rPr>
                <w:rFonts w:hint="eastAsia" w:eastAsia="仿宋_GB2312"/>
                <w:szCs w:val="21"/>
              </w:rPr>
              <w:t>1000</w:t>
            </w:r>
          </w:p>
        </w:tc>
        <w:tc>
          <w:tcPr>
            <w:tcW w:w="716" w:type="pct"/>
            <w:shd w:val="clear" w:color="auto" w:fill="auto"/>
            <w:vAlign w:val="center"/>
          </w:tcPr>
          <w:p w14:paraId="5326D827">
            <w:pPr>
              <w:widowControl/>
              <w:snapToGrid w:val="0"/>
              <w:spacing w:line="320" w:lineRule="exact"/>
              <w:jc w:val="center"/>
              <w:rPr>
                <w:rFonts w:eastAsia="仿宋_GB2312"/>
                <w:szCs w:val="21"/>
              </w:rPr>
            </w:pPr>
            <w:r>
              <w:rPr>
                <w:rFonts w:hint="eastAsia" w:eastAsia="仿宋_GB2312"/>
                <w:szCs w:val="21"/>
              </w:rPr>
              <w:t>400</w:t>
            </w:r>
          </w:p>
        </w:tc>
        <w:tc>
          <w:tcPr>
            <w:tcW w:w="601" w:type="pct"/>
            <w:vMerge w:val="continue"/>
            <w:vAlign w:val="center"/>
          </w:tcPr>
          <w:p w14:paraId="143F2836">
            <w:pPr>
              <w:widowControl/>
              <w:snapToGrid w:val="0"/>
              <w:spacing w:line="320" w:lineRule="exact"/>
              <w:jc w:val="center"/>
              <w:rPr>
                <w:rFonts w:eastAsia="仿宋_GB2312"/>
                <w:color w:val="FF0000"/>
                <w:szCs w:val="21"/>
              </w:rPr>
            </w:pPr>
          </w:p>
        </w:tc>
      </w:tr>
      <w:tr w14:paraId="7D82B3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52" w:type="pct"/>
            <w:vMerge w:val="continue"/>
            <w:shd w:val="clear" w:color="auto" w:fill="auto"/>
            <w:vAlign w:val="center"/>
          </w:tcPr>
          <w:p w14:paraId="68541511">
            <w:pPr>
              <w:widowControl/>
              <w:snapToGrid w:val="0"/>
              <w:spacing w:line="320" w:lineRule="exact"/>
              <w:jc w:val="center"/>
              <w:rPr>
                <w:rFonts w:eastAsia="仿宋_GB2312"/>
                <w:color w:val="FF0000"/>
                <w:szCs w:val="21"/>
              </w:rPr>
            </w:pPr>
          </w:p>
        </w:tc>
        <w:tc>
          <w:tcPr>
            <w:tcW w:w="476" w:type="pct"/>
            <w:vMerge w:val="continue"/>
            <w:shd w:val="clear" w:color="auto" w:fill="auto"/>
            <w:vAlign w:val="center"/>
          </w:tcPr>
          <w:p w14:paraId="7CB918C5">
            <w:pPr>
              <w:widowControl/>
              <w:snapToGrid w:val="0"/>
              <w:spacing w:line="320" w:lineRule="exact"/>
              <w:jc w:val="center"/>
              <w:rPr>
                <w:rFonts w:eastAsia="仿宋_GB2312"/>
                <w:color w:val="FF0000"/>
                <w:szCs w:val="21"/>
              </w:rPr>
            </w:pPr>
          </w:p>
        </w:tc>
        <w:tc>
          <w:tcPr>
            <w:tcW w:w="1454" w:type="pct"/>
            <w:gridSpan w:val="3"/>
            <w:shd w:val="clear" w:color="auto" w:fill="auto"/>
            <w:vAlign w:val="center"/>
          </w:tcPr>
          <w:p w14:paraId="63F83779">
            <w:pPr>
              <w:widowControl/>
              <w:snapToGrid w:val="0"/>
              <w:spacing w:line="320" w:lineRule="exact"/>
              <w:jc w:val="center"/>
              <w:rPr>
                <w:rFonts w:eastAsia="仿宋_GB2312"/>
                <w:b/>
                <w:bCs/>
                <w:szCs w:val="21"/>
              </w:rPr>
            </w:pPr>
            <w:r>
              <w:rPr>
                <w:rFonts w:hint="eastAsia" w:eastAsia="仿宋_GB2312"/>
                <w:b/>
                <w:bCs/>
                <w:szCs w:val="21"/>
              </w:rPr>
              <w:t>合计</w:t>
            </w:r>
          </w:p>
        </w:tc>
        <w:tc>
          <w:tcPr>
            <w:tcW w:w="642" w:type="pct"/>
            <w:shd w:val="clear" w:color="auto" w:fill="auto"/>
            <w:vAlign w:val="center"/>
          </w:tcPr>
          <w:p w14:paraId="44750B2D">
            <w:pPr>
              <w:widowControl/>
              <w:snapToGrid w:val="0"/>
              <w:spacing w:line="320" w:lineRule="exact"/>
              <w:jc w:val="center"/>
              <w:rPr>
                <w:rFonts w:eastAsia="仿宋_GB2312"/>
                <w:b/>
                <w:bCs/>
                <w:szCs w:val="21"/>
              </w:rPr>
            </w:pPr>
            <w:r>
              <w:rPr>
                <w:rFonts w:hint="eastAsia" w:eastAsia="仿宋_GB2312"/>
                <w:b/>
                <w:bCs/>
                <w:szCs w:val="21"/>
              </w:rPr>
              <w:t>10000</w:t>
            </w:r>
          </w:p>
        </w:tc>
        <w:tc>
          <w:tcPr>
            <w:tcW w:w="656" w:type="pct"/>
            <w:shd w:val="clear" w:color="auto" w:fill="auto"/>
            <w:vAlign w:val="center"/>
          </w:tcPr>
          <w:p w14:paraId="593A9E9A">
            <w:pPr>
              <w:widowControl/>
              <w:snapToGrid w:val="0"/>
              <w:spacing w:line="320" w:lineRule="exact"/>
              <w:jc w:val="center"/>
              <w:rPr>
                <w:rFonts w:eastAsia="仿宋_GB2312"/>
                <w:b/>
                <w:bCs/>
                <w:szCs w:val="21"/>
              </w:rPr>
            </w:pPr>
            <w:r>
              <w:rPr>
                <w:rFonts w:hint="eastAsia" w:eastAsia="仿宋_GB2312"/>
                <w:b/>
                <w:bCs/>
                <w:szCs w:val="21"/>
              </w:rPr>
              <w:t>10000</w:t>
            </w:r>
          </w:p>
        </w:tc>
        <w:tc>
          <w:tcPr>
            <w:tcW w:w="716" w:type="pct"/>
            <w:shd w:val="clear" w:color="auto" w:fill="auto"/>
            <w:vAlign w:val="center"/>
          </w:tcPr>
          <w:p w14:paraId="38E3714F">
            <w:pPr>
              <w:widowControl/>
              <w:snapToGrid w:val="0"/>
              <w:spacing w:line="320" w:lineRule="exact"/>
              <w:jc w:val="center"/>
              <w:rPr>
                <w:rFonts w:eastAsia="仿宋_GB2312"/>
                <w:b/>
                <w:bCs/>
                <w:szCs w:val="21"/>
              </w:rPr>
            </w:pPr>
            <w:r>
              <w:rPr>
                <w:rFonts w:hint="eastAsia" w:eastAsia="仿宋_GB2312"/>
                <w:b/>
                <w:bCs/>
                <w:szCs w:val="21"/>
              </w:rPr>
              <w:t>/</w:t>
            </w:r>
          </w:p>
        </w:tc>
        <w:tc>
          <w:tcPr>
            <w:tcW w:w="601" w:type="pct"/>
            <w:vMerge w:val="continue"/>
            <w:vAlign w:val="center"/>
          </w:tcPr>
          <w:p w14:paraId="087EA4BE">
            <w:pPr>
              <w:widowControl/>
              <w:snapToGrid w:val="0"/>
              <w:spacing w:line="320" w:lineRule="exact"/>
              <w:jc w:val="center"/>
              <w:rPr>
                <w:rFonts w:eastAsia="仿宋_GB2312"/>
                <w:color w:val="FF0000"/>
                <w:szCs w:val="21"/>
              </w:rPr>
            </w:pPr>
          </w:p>
        </w:tc>
      </w:tr>
      <w:tr w14:paraId="549971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52" w:type="pct"/>
            <w:vMerge w:val="restart"/>
            <w:shd w:val="clear" w:color="auto" w:fill="auto"/>
            <w:vAlign w:val="center"/>
          </w:tcPr>
          <w:p w14:paraId="1A31566B">
            <w:pPr>
              <w:widowControl/>
              <w:snapToGrid w:val="0"/>
              <w:spacing w:line="320" w:lineRule="exact"/>
              <w:jc w:val="center"/>
              <w:rPr>
                <w:rFonts w:eastAsia="仿宋_GB2312"/>
                <w:szCs w:val="21"/>
              </w:rPr>
            </w:pPr>
            <w:r>
              <w:rPr>
                <w:rFonts w:hint="eastAsia" w:eastAsia="仿宋_GB2312"/>
                <w:szCs w:val="21"/>
              </w:rPr>
              <w:t>危废焚烧</w:t>
            </w:r>
          </w:p>
        </w:tc>
        <w:tc>
          <w:tcPr>
            <w:tcW w:w="476" w:type="pct"/>
            <w:vMerge w:val="restart"/>
            <w:shd w:val="clear" w:color="auto" w:fill="auto"/>
            <w:vAlign w:val="center"/>
          </w:tcPr>
          <w:p w14:paraId="71CD0C54">
            <w:pPr>
              <w:widowControl/>
              <w:snapToGrid w:val="0"/>
              <w:spacing w:line="320" w:lineRule="exact"/>
              <w:jc w:val="center"/>
              <w:rPr>
                <w:rFonts w:eastAsia="仿宋_GB2312"/>
                <w:szCs w:val="21"/>
              </w:rPr>
            </w:pPr>
            <w:r>
              <w:rPr>
                <w:rFonts w:hint="eastAsia" w:eastAsia="仿宋_GB2312"/>
                <w:szCs w:val="21"/>
              </w:rPr>
              <w:t>焚烧装置区</w:t>
            </w:r>
          </w:p>
        </w:tc>
        <w:tc>
          <w:tcPr>
            <w:tcW w:w="337" w:type="pct"/>
            <w:shd w:val="clear" w:color="auto" w:fill="auto"/>
            <w:vAlign w:val="center"/>
          </w:tcPr>
          <w:p w14:paraId="625EDAF7">
            <w:pPr>
              <w:widowControl/>
              <w:snapToGrid w:val="0"/>
              <w:spacing w:line="320" w:lineRule="exact"/>
              <w:jc w:val="center"/>
              <w:rPr>
                <w:rFonts w:eastAsia="仿宋_GB2312"/>
                <w:szCs w:val="21"/>
              </w:rPr>
            </w:pPr>
            <w:r>
              <w:rPr>
                <w:rFonts w:hint="eastAsia" w:eastAsia="仿宋_GB2312"/>
                <w:szCs w:val="21"/>
              </w:rPr>
              <w:t>1</w:t>
            </w:r>
          </w:p>
        </w:tc>
        <w:tc>
          <w:tcPr>
            <w:tcW w:w="1117" w:type="pct"/>
            <w:gridSpan w:val="2"/>
            <w:shd w:val="clear" w:color="auto" w:fill="auto"/>
            <w:vAlign w:val="center"/>
          </w:tcPr>
          <w:p w14:paraId="6C0317A9">
            <w:pPr>
              <w:widowControl/>
              <w:snapToGrid w:val="0"/>
              <w:spacing w:line="320" w:lineRule="exact"/>
              <w:jc w:val="center"/>
              <w:rPr>
                <w:rFonts w:eastAsia="仿宋_GB2312"/>
                <w:szCs w:val="21"/>
              </w:rPr>
            </w:pPr>
            <w:r>
              <w:rPr>
                <w:rFonts w:hint="eastAsia" w:eastAsia="仿宋_GB2312"/>
                <w:szCs w:val="21"/>
              </w:rPr>
              <w:t>1#焚烧炉焚烧能力</w:t>
            </w:r>
          </w:p>
        </w:tc>
        <w:tc>
          <w:tcPr>
            <w:tcW w:w="642" w:type="pct"/>
            <w:shd w:val="clear" w:color="auto" w:fill="auto"/>
            <w:vAlign w:val="center"/>
          </w:tcPr>
          <w:p w14:paraId="4DAF97BE">
            <w:pPr>
              <w:widowControl/>
              <w:snapToGrid w:val="0"/>
              <w:spacing w:line="320" w:lineRule="exact"/>
              <w:jc w:val="center"/>
              <w:rPr>
                <w:rFonts w:eastAsia="仿宋_GB2312"/>
                <w:szCs w:val="21"/>
              </w:rPr>
            </w:pPr>
            <w:r>
              <w:rPr>
                <w:rFonts w:hint="eastAsia" w:eastAsia="仿宋_GB2312"/>
                <w:szCs w:val="21"/>
              </w:rPr>
              <w:t>9600</w:t>
            </w:r>
          </w:p>
        </w:tc>
        <w:tc>
          <w:tcPr>
            <w:tcW w:w="656" w:type="pct"/>
            <w:shd w:val="clear" w:color="auto" w:fill="auto"/>
            <w:vAlign w:val="center"/>
          </w:tcPr>
          <w:p w14:paraId="645D3CD9">
            <w:pPr>
              <w:widowControl/>
              <w:snapToGrid w:val="0"/>
              <w:spacing w:line="320" w:lineRule="exact"/>
              <w:jc w:val="center"/>
              <w:rPr>
                <w:rFonts w:eastAsia="仿宋_GB2312"/>
                <w:szCs w:val="21"/>
              </w:rPr>
            </w:pPr>
            <w:r>
              <w:rPr>
                <w:rFonts w:hint="eastAsia" w:eastAsia="仿宋_GB2312"/>
                <w:szCs w:val="21"/>
              </w:rPr>
              <w:t>9600</w:t>
            </w:r>
          </w:p>
        </w:tc>
        <w:tc>
          <w:tcPr>
            <w:tcW w:w="716" w:type="pct"/>
            <w:shd w:val="clear" w:color="auto" w:fill="auto"/>
            <w:vAlign w:val="center"/>
          </w:tcPr>
          <w:p w14:paraId="67F42F17">
            <w:pPr>
              <w:widowControl/>
              <w:snapToGrid w:val="0"/>
              <w:spacing w:line="320" w:lineRule="exact"/>
              <w:jc w:val="center"/>
              <w:rPr>
                <w:rFonts w:eastAsia="仿宋_GB2312"/>
                <w:szCs w:val="21"/>
              </w:rPr>
            </w:pPr>
            <w:r>
              <w:rPr>
                <w:rFonts w:hint="eastAsia" w:eastAsia="仿宋_GB2312"/>
                <w:szCs w:val="21"/>
              </w:rPr>
              <w:t>7200</w:t>
            </w:r>
          </w:p>
        </w:tc>
        <w:tc>
          <w:tcPr>
            <w:tcW w:w="601" w:type="pct"/>
            <w:vMerge w:val="continue"/>
            <w:vAlign w:val="center"/>
          </w:tcPr>
          <w:p w14:paraId="1DBF7287">
            <w:pPr>
              <w:widowControl/>
              <w:snapToGrid w:val="0"/>
              <w:spacing w:line="320" w:lineRule="exact"/>
              <w:jc w:val="center"/>
              <w:rPr>
                <w:rFonts w:eastAsia="仿宋_GB2312"/>
                <w:color w:val="FF0000"/>
                <w:szCs w:val="21"/>
              </w:rPr>
            </w:pPr>
          </w:p>
        </w:tc>
      </w:tr>
      <w:tr w14:paraId="7CED7F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52" w:type="pct"/>
            <w:vMerge w:val="continue"/>
            <w:shd w:val="clear" w:color="auto" w:fill="auto"/>
            <w:vAlign w:val="center"/>
          </w:tcPr>
          <w:p w14:paraId="1DA2ECED">
            <w:pPr>
              <w:widowControl/>
              <w:snapToGrid w:val="0"/>
              <w:spacing w:line="320" w:lineRule="exact"/>
              <w:jc w:val="center"/>
              <w:rPr>
                <w:rFonts w:eastAsia="仿宋_GB2312"/>
                <w:szCs w:val="21"/>
              </w:rPr>
            </w:pPr>
          </w:p>
        </w:tc>
        <w:tc>
          <w:tcPr>
            <w:tcW w:w="476" w:type="pct"/>
            <w:vMerge w:val="continue"/>
            <w:shd w:val="clear" w:color="auto" w:fill="auto"/>
            <w:vAlign w:val="center"/>
          </w:tcPr>
          <w:p w14:paraId="0E67FBE5">
            <w:pPr>
              <w:widowControl/>
              <w:snapToGrid w:val="0"/>
              <w:spacing w:line="320" w:lineRule="exact"/>
              <w:jc w:val="center"/>
              <w:rPr>
                <w:rFonts w:eastAsia="仿宋_GB2312"/>
                <w:szCs w:val="21"/>
              </w:rPr>
            </w:pPr>
          </w:p>
        </w:tc>
        <w:tc>
          <w:tcPr>
            <w:tcW w:w="337" w:type="pct"/>
            <w:shd w:val="clear" w:color="auto" w:fill="auto"/>
            <w:vAlign w:val="center"/>
          </w:tcPr>
          <w:p w14:paraId="463731B8">
            <w:pPr>
              <w:widowControl/>
              <w:snapToGrid w:val="0"/>
              <w:spacing w:line="320" w:lineRule="exact"/>
              <w:jc w:val="center"/>
              <w:rPr>
                <w:rFonts w:eastAsia="仿宋_GB2312"/>
                <w:szCs w:val="21"/>
              </w:rPr>
            </w:pPr>
            <w:r>
              <w:rPr>
                <w:rFonts w:hint="eastAsia" w:eastAsia="仿宋_GB2312"/>
                <w:szCs w:val="21"/>
              </w:rPr>
              <w:t>2</w:t>
            </w:r>
          </w:p>
        </w:tc>
        <w:tc>
          <w:tcPr>
            <w:tcW w:w="1117" w:type="pct"/>
            <w:gridSpan w:val="2"/>
            <w:shd w:val="clear" w:color="auto" w:fill="auto"/>
            <w:vAlign w:val="center"/>
          </w:tcPr>
          <w:p w14:paraId="4E7B3C28">
            <w:pPr>
              <w:widowControl/>
              <w:snapToGrid w:val="0"/>
              <w:spacing w:line="320" w:lineRule="exact"/>
              <w:jc w:val="center"/>
              <w:rPr>
                <w:rFonts w:eastAsia="仿宋_GB2312"/>
                <w:szCs w:val="21"/>
              </w:rPr>
            </w:pPr>
            <w:r>
              <w:rPr>
                <w:rFonts w:hint="eastAsia" w:eastAsia="仿宋_GB2312"/>
                <w:szCs w:val="21"/>
              </w:rPr>
              <w:t>2#焚烧炉焚烧能力</w:t>
            </w:r>
          </w:p>
        </w:tc>
        <w:tc>
          <w:tcPr>
            <w:tcW w:w="642" w:type="pct"/>
            <w:shd w:val="clear" w:color="auto" w:fill="auto"/>
            <w:vAlign w:val="center"/>
          </w:tcPr>
          <w:p w14:paraId="68BF9BFA">
            <w:pPr>
              <w:widowControl/>
              <w:snapToGrid w:val="0"/>
              <w:spacing w:line="320" w:lineRule="exact"/>
              <w:jc w:val="center"/>
              <w:rPr>
                <w:rFonts w:eastAsia="仿宋_GB2312"/>
                <w:szCs w:val="21"/>
              </w:rPr>
            </w:pPr>
            <w:r>
              <w:rPr>
                <w:rFonts w:hint="eastAsia" w:eastAsia="仿宋_GB2312"/>
                <w:szCs w:val="21"/>
              </w:rPr>
              <w:t>30000</w:t>
            </w:r>
          </w:p>
        </w:tc>
        <w:tc>
          <w:tcPr>
            <w:tcW w:w="656" w:type="pct"/>
            <w:shd w:val="clear" w:color="auto" w:fill="auto"/>
            <w:vAlign w:val="center"/>
          </w:tcPr>
          <w:p w14:paraId="19CFB0AC">
            <w:pPr>
              <w:widowControl/>
              <w:snapToGrid w:val="0"/>
              <w:spacing w:line="320" w:lineRule="exact"/>
              <w:jc w:val="center"/>
              <w:rPr>
                <w:rFonts w:eastAsia="仿宋_GB2312"/>
                <w:szCs w:val="21"/>
              </w:rPr>
            </w:pPr>
            <w:r>
              <w:rPr>
                <w:rFonts w:hint="eastAsia" w:eastAsia="仿宋_GB2312"/>
                <w:szCs w:val="21"/>
              </w:rPr>
              <w:t>30000</w:t>
            </w:r>
          </w:p>
        </w:tc>
        <w:tc>
          <w:tcPr>
            <w:tcW w:w="716" w:type="pct"/>
            <w:shd w:val="clear" w:color="auto" w:fill="auto"/>
            <w:vAlign w:val="center"/>
          </w:tcPr>
          <w:p w14:paraId="4FB96AB5">
            <w:pPr>
              <w:widowControl/>
              <w:snapToGrid w:val="0"/>
              <w:spacing w:line="320" w:lineRule="exact"/>
              <w:jc w:val="center"/>
              <w:rPr>
                <w:rFonts w:eastAsia="仿宋_GB2312"/>
                <w:szCs w:val="21"/>
              </w:rPr>
            </w:pPr>
            <w:r>
              <w:rPr>
                <w:rFonts w:hint="eastAsia" w:eastAsia="仿宋_GB2312"/>
                <w:szCs w:val="21"/>
              </w:rPr>
              <w:t>7200</w:t>
            </w:r>
          </w:p>
        </w:tc>
        <w:tc>
          <w:tcPr>
            <w:tcW w:w="601" w:type="pct"/>
            <w:vMerge w:val="continue"/>
            <w:vAlign w:val="center"/>
          </w:tcPr>
          <w:p w14:paraId="173F92C0">
            <w:pPr>
              <w:widowControl/>
              <w:snapToGrid w:val="0"/>
              <w:spacing w:line="320" w:lineRule="exact"/>
              <w:jc w:val="center"/>
              <w:rPr>
                <w:rFonts w:eastAsia="仿宋_GB2312"/>
                <w:color w:val="FF0000"/>
                <w:szCs w:val="21"/>
              </w:rPr>
            </w:pPr>
          </w:p>
        </w:tc>
      </w:tr>
      <w:tr w14:paraId="6546BA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52" w:type="pct"/>
            <w:vMerge w:val="restart"/>
            <w:shd w:val="clear" w:color="auto" w:fill="auto"/>
            <w:vAlign w:val="center"/>
          </w:tcPr>
          <w:p w14:paraId="3E519F6F">
            <w:pPr>
              <w:widowControl/>
              <w:snapToGrid w:val="0"/>
              <w:spacing w:line="320" w:lineRule="exact"/>
              <w:jc w:val="center"/>
              <w:rPr>
                <w:rFonts w:eastAsia="仿宋_GB2312"/>
                <w:szCs w:val="21"/>
              </w:rPr>
            </w:pPr>
            <w:r>
              <w:rPr>
                <w:rFonts w:hint="eastAsia" w:eastAsia="仿宋_GB2312"/>
                <w:szCs w:val="21"/>
              </w:rPr>
              <w:t>生产</w:t>
            </w:r>
          </w:p>
        </w:tc>
        <w:tc>
          <w:tcPr>
            <w:tcW w:w="476" w:type="pct"/>
            <w:vMerge w:val="restart"/>
            <w:shd w:val="clear" w:color="auto" w:fill="auto"/>
            <w:vAlign w:val="center"/>
          </w:tcPr>
          <w:p w14:paraId="5C5E345F">
            <w:pPr>
              <w:widowControl/>
              <w:snapToGrid w:val="0"/>
              <w:spacing w:line="320" w:lineRule="exact"/>
              <w:jc w:val="center"/>
              <w:rPr>
                <w:rFonts w:eastAsia="仿宋_GB2312"/>
                <w:szCs w:val="21"/>
              </w:rPr>
            </w:pPr>
            <w:r>
              <w:rPr>
                <w:rFonts w:eastAsia="仿宋_GB2312"/>
                <w:szCs w:val="21"/>
              </w:rPr>
              <w:t>2#车间</w:t>
            </w:r>
          </w:p>
        </w:tc>
        <w:tc>
          <w:tcPr>
            <w:tcW w:w="337" w:type="pct"/>
            <w:shd w:val="clear" w:color="auto" w:fill="auto"/>
            <w:vAlign w:val="center"/>
          </w:tcPr>
          <w:p w14:paraId="250C128E">
            <w:pPr>
              <w:widowControl/>
              <w:snapToGrid w:val="0"/>
              <w:spacing w:line="320" w:lineRule="exact"/>
              <w:jc w:val="center"/>
              <w:rPr>
                <w:rFonts w:eastAsia="仿宋_GB2312"/>
                <w:szCs w:val="21"/>
              </w:rPr>
            </w:pPr>
            <w:r>
              <w:rPr>
                <w:rFonts w:hint="eastAsia" w:eastAsia="仿宋_GB2312"/>
                <w:szCs w:val="21"/>
              </w:rPr>
              <w:t>1</w:t>
            </w:r>
          </w:p>
        </w:tc>
        <w:tc>
          <w:tcPr>
            <w:tcW w:w="496" w:type="pct"/>
            <w:vMerge w:val="restart"/>
            <w:shd w:val="clear" w:color="auto" w:fill="auto"/>
            <w:vAlign w:val="center"/>
          </w:tcPr>
          <w:p w14:paraId="5B309698">
            <w:pPr>
              <w:widowControl/>
              <w:snapToGrid w:val="0"/>
              <w:spacing w:line="320" w:lineRule="exact"/>
              <w:jc w:val="center"/>
              <w:rPr>
                <w:rFonts w:eastAsia="仿宋_GB2312"/>
                <w:szCs w:val="21"/>
              </w:rPr>
            </w:pPr>
            <w:r>
              <w:rPr>
                <w:rFonts w:hint="eastAsia" w:eastAsia="仿宋_GB2312"/>
                <w:szCs w:val="21"/>
              </w:rPr>
              <w:t>表面处理剂</w:t>
            </w:r>
          </w:p>
        </w:tc>
        <w:tc>
          <w:tcPr>
            <w:tcW w:w="621" w:type="pct"/>
            <w:shd w:val="clear" w:color="auto" w:fill="auto"/>
            <w:vAlign w:val="center"/>
          </w:tcPr>
          <w:p w14:paraId="720E2A38">
            <w:pPr>
              <w:widowControl/>
              <w:jc w:val="center"/>
              <w:rPr>
                <w:rFonts w:eastAsia="仿宋_GB2312"/>
                <w:bCs/>
                <w:kern w:val="0"/>
                <w:szCs w:val="21"/>
              </w:rPr>
            </w:pPr>
            <w:r>
              <w:rPr>
                <w:rFonts w:eastAsia="仿宋_GB2312"/>
                <w:bCs/>
                <w:kern w:val="0"/>
                <w:szCs w:val="21"/>
              </w:rPr>
              <w:t>金属洗净液</w:t>
            </w:r>
          </w:p>
        </w:tc>
        <w:tc>
          <w:tcPr>
            <w:tcW w:w="642" w:type="pct"/>
            <w:shd w:val="clear" w:color="auto" w:fill="auto"/>
            <w:vAlign w:val="center"/>
          </w:tcPr>
          <w:p w14:paraId="2476A0DB">
            <w:pPr>
              <w:widowControl/>
              <w:jc w:val="center"/>
              <w:rPr>
                <w:rFonts w:eastAsia="仿宋_GB2312"/>
                <w:bCs/>
                <w:kern w:val="0"/>
                <w:szCs w:val="21"/>
              </w:rPr>
            </w:pPr>
            <w:r>
              <w:rPr>
                <w:rFonts w:eastAsia="仿宋_GB2312"/>
                <w:bCs/>
                <w:kern w:val="0"/>
                <w:szCs w:val="21"/>
              </w:rPr>
              <w:t>1000</w:t>
            </w:r>
          </w:p>
        </w:tc>
        <w:tc>
          <w:tcPr>
            <w:tcW w:w="656" w:type="pct"/>
            <w:shd w:val="clear" w:color="auto" w:fill="auto"/>
            <w:vAlign w:val="center"/>
          </w:tcPr>
          <w:p w14:paraId="7605A46F">
            <w:pPr>
              <w:widowControl/>
              <w:jc w:val="center"/>
              <w:rPr>
                <w:rFonts w:eastAsia="仿宋_GB2312"/>
                <w:bCs/>
                <w:kern w:val="0"/>
                <w:szCs w:val="21"/>
              </w:rPr>
            </w:pPr>
            <w:r>
              <w:rPr>
                <w:rFonts w:eastAsia="仿宋_GB2312"/>
                <w:bCs/>
                <w:kern w:val="0"/>
                <w:szCs w:val="21"/>
              </w:rPr>
              <w:t>1000</w:t>
            </w:r>
          </w:p>
        </w:tc>
        <w:tc>
          <w:tcPr>
            <w:tcW w:w="716" w:type="pct"/>
            <w:vMerge w:val="restart"/>
            <w:shd w:val="clear" w:color="auto" w:fill="auto"/>
            <w:vAlign w:val="center"/>
          </w:tcPr>
          <w:p w14:paraId="51821CFA">
            <w:pPr>
              <w:widowControl/>
              <w:snapToGrid w:val="0"/>
              <w:spacing w:line="320" w:lineRule="exact"/>
              <w:jc w:val="center"/>
              <w:rPr>
                <w:rFonts w:eastAsia="仿宋_GB2312"/>
                <w:szCs w:val="21"/>
              </w:rPr>
            </w:pPr>
            <w:r>
              <w:rPr>
                <w:rFonts w:hint="eastAsia" w:eastAsia="仿宋_GB2312"/>
                <w:szCs w:val="21"/>
              </w:rPr>
              <w:t>6000</w:t>
            </w:r>
          </w:p>
        </w:tc>
        <w:tc>
          <w:tcPr>
            <w:tcW w:w="601" w:type="pct"/>
            <w:vMerge w:val="continue"/>
            <w:vAlign w:val="center"/>
          </w:tcPr>
          <w:p w14:paraId="079E76F8">
            <w:pPr>
              <w:widowControl/>
              <w:snapToGrid w:val="0"/>
              <w:spacing w:line="320" w:lineRule="exact"/>
              <w:jc w:val="center"/>
              <w:rPr>
                <w:rFonts w:eastAsia="仿宋_GB2312"/>
                <w:color w:val="FF0000"/>
                <w:szCs w:val="21"/>
              </w:rPr>
            </w:pPr>
          </w:p>
        </w:tc>
      </w:tr>
      <w:tr w14:paraId="4B76F1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52" w:type="pct"/>
            <w:vMerge w:val="continue"/>
            <w:shd w:val="clear" w:color="auto" w:fill="auto"/>
            <w:vAlign w:val="center"/>
          </w:tcPr>
          <w:p w14:paraId="657CC2DF">
            <w:pPr>
              <w:widowControl/>
              <w:snapToGrid w:val="0"/>
              <w:spacing w:line="320" w:lineRule="exact"/>
              <w:jc w:val="center"/>
              <w:rPr>
                <w:rFonts w:eastAsia="仿宋_GB2312"/>
                <w:szCs w:val="21"/>
              </w:rPr>
            </w:pPr>
          </w:p>
        </w:tc>
        <w:tc>
          <w:tcPr>
            <w:tcW w:w="476" w:type="pct"/>
            <w:vMerge w:val="continue"/>
            <w:shd w:val="clear" w:color="auto" w:fill="auto"/>
            <w:vAlign w:val="center"/>
          </w:tcPr>
          <w:p w14:paraId="7E4CE37D">
            <w:pPr>
              <w:widowControl/>
              <w:snapToGrid w:val="0"/>
              <w:spacing w:line="320" w:lineRule="exact"/>
              <w:jc w:val="center"/>
              <w:rPr>
                <w:rFonts w:eastAsia="仿宋_GB2312"/>
                <w:szCs w:val="21"/>
              </w:rPr>
            </w:pPr>
          </w:p>
        </w:tc>
        <w:tc>
          <w:tcPr>
            <w:tcW w:w="337" w:type="pct"/>
            <w:shd w:val="clear" w:color="auto" w:fill="auto"/>
            <w:vAlign w:val="center"/>
          </w:tcPr>
          <w:p w14:paraId="66C023A0">
            <w:pPr>
              <w:widowControl/>
              <w:snapToGrid w:val="0"/>
              <w:spacing w:line="320" w:lineRule="exact"/>
              <w:jc w:val="center"/>
              <w:rPr>
                <w:rFonts w:eastAsia="仿宋_GB2312"/>
                <w:szCs w:val="21"/>
              </w:rPr>
            </w:pPr>
            <w:r>
              <w:rPr>
                <w:rFonts w:hint="eastAsia" w:eastAsia="仿宋_GB2312"/>
                <w:szCs w:val="21"/>
              </w:rPr>
              <w:t>2</w:t>
            </w:r>
          </w:p>
        </w:tc>
        <w:tc>
          <w:tcPr>
            <w:tcW w:w="496" w:type="pct"/>
            <w:vMerge w:val="continue"/>
            <w:shd w:val="clear" w:color="auto" w:fill="auto"/>
            <w:vAlign w:val="center"/>
          </w:tcPr>
          <w:p w14:paraId="74239CA5">
            <w:pPr>
              <w:widowControl/>
              <w:snapToGrid w:val="0"/>
              <w:spacing w:line="320" w:lineRule="exact"/>
              <w:jc w:val="center"/>
              <w:rPr>
                <w:rFonts w:eastAsia="仿宋_GB2312"/>
                <w:szCs w:val="21"/>
              </w:rPr>
            </w:pPr>
          </w:p>
        </w:tc>
        <w:tc>
          <w:tcPr>
            <w:tcW w:w="621" w:type="pct"/>
            <w:shd w:val="clear" w:color="auto" w:fill="auto"/>
            <w:vAlign w:val="center"/>
          </w:tcPr>
          <w:p w14:paraId="153D58E2">
            <w:pPr>
              <w:widowControl/>
              <w:jc w:val="center"/>
              <w:rPr>
                <w:rFonts w:eastAsia="仿宋_GB2312"/>
                <w:bCs/>
                <w:kern w:val="0"/>
                <w:szCs w:val="21"/>
              </w:rPr>
            </w:pPr>
            <w:r>
              <w:rPr>
                <w:rFonts w:eastAsia="仿宋_GB2312"/>
                <w:bCs/>
                <w:kern w:val="0"/>
                <w:szCs w:val="21"/>
              </w:rPr>
              <w:t>碳氢洗净剂</w:t>
            </w:r>
          </w:p>
        </w:tc>
        <w:tc>
          <w:tcPr>
            <w:tcW w:w="642" w:type="pct"/>
            <w:shd w:val="clear" w:color="auto" w:fill="auto"/>
            <w:vAlign w:val="center"/>
          </w:tcPr>
          <w:p w14:paraId="6D87A227">
            <w:pPr>
              <w:widowControl/>
              <w:jc w:val="center"/>
              <w:rPr>
                <w:rFonts w:eastAsia="仿宋_GB2312"/>
                <w:bCs/>
                <w:kern w:val="0"/>
                <w:szCs w:val="21"/>
              </w:rPr>
            </w:pPr>
            <w:r>
              <w:rPr>
                <w:rFonts w:eastAsia="仿宋_GB2312"/>
                <w:bCs/>
                <w:kern w:val="0"/>
                <w:szCs w:val="21"/>
              </w:rPr>
              <w:t>2000</w:t>
            </w:r>
          </w:p>
        </w:tc>
        <w:tc>
          <w:tcPr>
            <w:tcW w:w="656" w:type="pct"/>
            <w:shd w:val="clear" w:color="auto" w:fill="auto"/>
            <w:vAlign w:val="center"/>
          </w:tcPr>
          <w:p w14:paraId="07649A06">
            <w:pPr>
              <w:widowControl/>
              <w:jc w:val="center"/>
              <w:rPr>
                <w:rFonts w:eastAsia="仿宋_GB2312"/>
                <w:bCs/>
                <w:kern w:val="0"/>
                <w:szCs w:val="21"/>
              </w:rPr>
            </w:pPr>
            <w:r>
              <w:rPr>
                <w:rFonts w:eastAsia="仿宋_GB2312"/>
                <w:bCs/>
                <w:kern w:val="0"/>
                <w:szCs w:val="21"/>
              </w:rPr>
              <w:t>2000</w:t>
            </w:r>
          </w:p>
        </w:tc>
        <w:tc>
          <w:tcPr>
            <w:tcW w:w="716" w:type="pct"/>
            <w:vMerge w:val="continue"/>
            <w:shd w:val="clear" w:color="auto" w:fill="auto"/>
            <w:vAlign w:val="center"/>
          </w:tcPr>
          <w:p w14:paraId="3975825D">
            <w:pPr>
              <w:widowControl/>
              <w:snapToGrid w:val="0"/>
              <w:spacing w:line="320" w:lineRule="exact"/>
              <w:jc w:val="center"/>
              <w:rPr>
                <w:rFonts w:eastAsia="仿宋_GB2312"/>
                <w:szCs w:val="21"/>
              </w:rPr>
            </w:pPr>
          </w:p>
        </w:tc>
        <w:tc>
          <w:tcPr>
            <w:tcW w:w="601" w:type="pct"/>
            <w:vMerge w:val="continue"/>
            <w:vAlign w:val="center"/>
          </w:tcPr>
          <w:p w14:paraId="6C170DBD">
            <w:pPr>
              <w:widowControl/>
              <w:snapToGrid w:val="0"/>
              <w:spacing w:line="320" w:lineRule="exact"/>
              <w:jc w:val="center"/>
              <w:rPr>
                <w:rFonts w:eastAsia="仿宋_GB2312"/>
                <w:color w:val="FF0000"/>
                <w:szCs w:val="21"/>
              </w:rPr>
            </w:pPr>
          </w:p>
        </w:tc>
      </w:tr>
      <w:tr w14:paraId="45CCA7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52" w:type="pct"/>
            <w:vMerge w:val="continue"/>
            <w:shd w:val="clear" w:color="auto" w:fill="auto"/>
            <w:vAlign w:val="center"/>
          </w:tcPr>
          <w:p w14:paraId="2D155CD1">
            <w:pPr>
              <w:widowControl/>
              <w:snapToGrid w:val="0"/>
              <w:spacing w:line="320" w:lineRule="exact"/>
              <w:jc w:val="center"/>
              <w:rPr>
                <w:rFonts w:eastAsia="仿宋_GB2312"/>
                <w:szCs w:val="21"/>
              </w:rPr>
            </w:pPr>
          </w:p>
        </w:tc>
        <w:tc>
          <w:tcPr>
            <w:tcW w:w="476" w:type="pct"/>
            <w:vMerge w:val="continue"/>
            <w:shd w:val="clear" w:color="auto" w:fill="auto"/>
            <w:vAlign w:val="center"/>
          </w:tcPr>
          <w:p w14:paraId="279678F9">
            <w:pPr>
              <w:widowControl/>
              <w:snapToGrid w:val="0"/>
              <w:spacing w:line="320" w:lineRule="exact"/>
              <w:jc w:val="center"/>
              <w:rPr>
                <w:rFonts w:eastAsia="仿宋_GB2312"/>
                <w:szCs w:val="21"/>
              </w:rPr>
            </w:pPr>
          </w:p>
        </w:tc>
        <w:tc>
          <w:tcPr>
            <w:tcW w:w="337" w:type="pct"/>
            <w:shd w:val="clear" w:color="auto" w:fill="auto"/>
            <w:vAlign w:val="center"/>
          </w:tcPr>
          <w:p w14:paraId="52ABA107">
            <w:pPr>
              <w:widowControl/>
              <w:snapToGrid w:val="0"/>
              <w:spacing w:line="320" w:lineRule="exact"/>
              <w:jc w:val="center"/>
              <w:rPr>
                <w:rFonts w:eastAsia="仿宋_GB2312"/>
                <w:szCs w:val="21"/>
              </w:rPr>
            </w:pPr>
            <w:r>
              <w:rPr>
                <w:rFonts w:hint="eastAsia" w:eastAsia="仿宋_GB2312"/>
                <w:szCs w:val="21"/>
              </w:rPr>
              <w:t>3</w:t>
            </w:r>
          </w:p>
        </w:tc>
        <w:tc>
          <w:tcPr>
            <w:tcW w:w="496" w:type="pct"/>
            <w:vMerge w:val="continue"/>
            <w:shd w:val="clear" w:color="auto" w:fill="auto"/>
            <w:vAlign w:val="center"/>
          </w:tcPr>
          <w:p w14:paraId="1D4D68B4">
            <w:pPr>
              <w:widowControl/>
              <w:snapToGrid w:val="0"/>
              <w:spacing w:line="320" w:lineRule="exact"/>
              <w:jc w:val="center"/>
              <w:rPr>
                <w:rFonts w:eastAsia="仿宋_GB2312"/>
                <w:szCs w:val="21"/>
              </w:rPr>
            </w:pPr>
          </w:p>
        </w:tc>
        <w:tc>
          <w:tcPr>
            <w:tcW w:w="621" w:type="pct"/>
            <w:shd w:val="clear" w:color="auto" w:fill="auto"/>
            <w:vAlign w:val="center"/>
          </w:tcPr>
          <w:p w14:paraId="3DB68F17">
            <w:pPr>
              <w:widowControl/>
              <w:jc w:val="center"/>
              <w:rPr>
                <w:rFonts w:eastAsia="仿宋_GB2312"/>
                <w:bCs/>
                <w:kern w:val="0"/>
                <w:szCs w:val="21"/>
              </w:rPr>
            </w:pPr>
            <w:r>
              <w:rPr>
                <w:rFonts w:eastAsia="仿宋_GB2312"/>
                <w:bCs/>
                <w:kern w:val="0"/>
                <w:szCs w:val="21"/>
              </w:rPr>
              <w:t>除油剂</w:t>
            </w:r>
          </w:p>
        </w:tc>
        <w:tc>
          <w:tcPr>
            <w:tcW w:w="642" w:type="pct"/>
            <w:shd w:val="clear" w:color="auto" w:fill="auto"/>
            <w:vAlign w:val="center"/>
          </w:tcPr>
          <w:p w14:paraId="1F9C4D0F">
            <w:pPr>
              <w:widowControl/>
              <w:jc w:val="center"/>
              <w:rPr>
                <w:rFonts w:eastAsia="仿宋_GB2312"/>
                <w:bCs/>
                <w:kern w:val="0"/>
                <w:szCs w:val="21"/>
              </w:rPr>
            </w:pPr>
            <w:r>
              <w:rPr>
                <w:rFonts w:eastAsia="仿宋_GB2312"/>
                <w:bCs/>
                <w:kern w:val="0"/>
                <w:szCs w:val="21"/>
              </w:rPr>
              <w:t>2000</w:t>
            </w:r>
          </w:p>
        </w:tc>
        <w:tc>
          <w:tcPr>
            <w:tcW w:w="656" w:type="pct"/>
            <w:shd w:val="clear" w:color="auto" w:fill="auto"/>
            <w:vAlign w:val="center"/>
          </w:tcPr>
          <w:p w14:paraId="4A44FAE9">
            <w:pPr>
              <w:widowControl/>
              <w:jc w:val="center"/>
              <w:rPr>
                <w:rFonts w:eastAsia="仿宋_GB2312"/>
                <w:bCs/>
                <w:kern w:val="0"/>
                <w:szCs w:val="21"/>
              </w:rPr>
            </w:pPr>
            <w:r>
              <w:rPr>
                <w:rFonts w:eastAsia="仿宋_GB2312"/>
                <w:bCs/>
                <w:kern w:val="0"/>
                <w:szCs w:val="21"/>
              </w:rPr>
              <w:t>2000</w:t>
            </w:r>
          </w:p>
        </w:tc>
        <w:tc>
          <w:tcPr>
            <w:tcW w:w="716" w:type="pct"/>
            <w:vMerge w:val="continue"/>
            <w:shd w:val="clear" w:color="auto" w:fill="auto"/>
            <w:vAlign w:val="center"/>
          </w:tcPr>
          <w:p w14:paraId="535A9AE7">
            <w:pPr>
              <w:widowControl/>
              <w:snapToGrid w:val="0"/>
              <w:spacing w:line="320" w:lineRule="exact"/>
              <w:jc w:val="center"/>
              <w:rPr>
                <w:rFonts w:eastAsia="仿宋_GB2312"/>
                <w:szCs w:val="21"/>
              </w:rPr>
            </w:pPr>
          </w:p>
        </w:tc>
        <w:tc>
          <w:tcPr>
            <w:tcW w:w="601" w:type="pct"/>
            <w:vMerge w:val="continue"/>
            <w:vAlign w:val="center"/>
          </w:tcPr>
          <w:p w14:paraId="55F57D16">
            <w:pPr>
              <w:widowControl/>
              <w:snapToGrid w:val="0"/>
              <w:spacing w:line="320" w:lineRule="exact"/>
              <w:jc w:val="center"/>
              <w:rPr>
                <w:rFonts w:eastAsia="仿宋_GB2312"/>
                <w:color w:val="FF0000"/>
                <w:szCs w:val="21"/>
              </w:rPr>
            </w:pPr>
          </w:p>
        </w:tc>
      </w:tr>
      <w:tr w14:paraId="2B431C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52" w:type="pct"/>
            <w:vMerge w:val="continue"/>
            <w:shd w:val="clear" w:color="auto" w:fill="auto"/>
            <w:vAlign w:val="center"/>
          </w:tcPr>
          <w:p w14:paraId="574D87FC">
            <w:pPr>
              <w:widowControl/>
              <w:snapToGrid w:val="0"/>
              <w:spacing w:line="320" w:lineRule="exact"/>
              <w:jc w:val="center"/>
              <w:rPr>
                <w:rFonts w:eastAsia="仿宋_GB2312"/>
                <w:szCs w:val="21"/>
              </w:rPr>
            </w:pPr>
          </w:p>
        </w:tc>
        <w:tc>
          <w:tcPr>
            <w:tcW w:w="476" w:type="pct"/>
            <w:vMerge w:val="continue"/>
            <w:shd w:val="clear" w:color="auto" w:fill="auto"/>
            <w:vAlign w:val="center"/>
          </w:tcPr>
          <w:p w14:paraId="5466B0B4">
            <w:pPr>
              <w:widowControl/>
              <w:snapToGrid w:val="0"/>
              <w:spacing w:line="320" w:lineRule="exact"/>
              <w:jc w:val="center"/>
              <w:rPr>
                <w:rFonts w:eastAsia="仿宋_GB2312"/>
                <w:szCs w:val="21"/>
              </w:rPr>
            </w:pPr>
          </w:p>
        </w:tc>
        <w:tc>
          <w:tcPr>
            <w:tcW w:w="337" w:type="pct"/>
            <w:shd w:val="clear" w:color="auto" w:fill="auto"/>
            <w:vAlign w:val="center"/>
          </w:tcPr>
          <w:p w14:paraId="0295C149">
            <w:pPr>
              <w:widowControl/>
              <w:snapToGrid w:val="0"/>
              <w:spacing w:line="320" w:lineRule="exact"/>
              <w:jc w:val="center"/>
              <w:rPr>
                <w:rFonts w:eastAsia="仿宋_GB2312"/>
                <w:szCs w:val="21"/>
              </w:rPr>
            </w:pPr>
            <w:r>
              <w:rPr>
                <w:rFonts w:hint="eastAsia" w:eastAsia="仿宋_GB2312"/>
                <w:szCs w:val="21"/>
              </w:rPr>
              <w:t>4</w:t>
            </w:r>
          </w:p>
        </w:tc>
        <w:tc>
          <w:tcPr>
            <w:tcW w:w="496" w:type="pct"/>
            <w:vMerge w:val="continue"/>
            <w:shd w:val="clear" w:color="auto" w:fill="auto"/>
            <w:vAlign w:val="center"/>
          </w:tcPr>
          <w:p w14:paraId="4624C378">
            <w:pPr>
              <w:widowControl/>
              <w:snapToGrid w:val="0"/>
              <w:spacing w:line="320" w:lineRule="exact"/>
              <w:jc w:val="center"/>
              <w:rPr>
                <w:rFonts w:eastAsia="仿宋_GB2312"/>
                <w:szCs w:val="21"/>
              </w:rPr>
            </w:pPr>
          </w:p>
        </w:tc>
        <w:tc>
          <w:tcPr>
            <w:tcW w:w="621" w:type="pct"/>
            <w:shd w:val="clear" w:color="auto" w:fill="auto"/>
            <w:vAlign w:val="center"/>
          </w:tcPr>
          <w:p w14:paraId="0B6BA40C">
            <w:pPr>
              <w:widowControl/>
              <w:jc w:val="center"/>
              <w:rPr>
                <w:rFonts w:eastAsia="仿宋_GB2312"/>
                <w:bCs/>
                <w:kern w:val="0"/>
                <w:szCs w:val="21"/>
              </w:rPr>
            </w:pPr>
            <w:r>
              <w:rPr>
                <w:rFonts w:eastAsia="仿宋_GB2312"/>
                <w:bCs/>
                <w:kern w:val="0"/>
                <w:szCs w:val="21"/>
              </w:rPr>
              <w:t>酸性蚀刻液</w:t>
            </w:r>
          </w:p>
        </w:tc>
        <w:tc>
          <w:tcPr>
            <w:tcW w:w="642" w:type="pct"/>
            <w:shd w:val="clear" w:color="auto" w:fill="auto"/>
            <w:vAlign w:val="center"/>
          </w:tcPr>
          <w:p w14:paraId="3B81157C">
            <w:pPr>
              <w:widowControl/>
              <w:jc w:val="center"/>
              <w:rPr>
                <w:rFonts w:eastAsia="仿宋_GB2312"/>
                <w:bCs/>
                <w:kern w:val="0"/>
                <w:szCs w:val="21"/>
              </w:rPr>
            </w:pPr>
            <w:r>
              <w:rPr>
                <w:rFonts w:eastAsia="仿宋_GB2312"/>
                <w:bCs/>
                <w:kern w:val="0"/>
                <w:szCs w:val="21"/>
              </w:rPr>
              <w:t>1000</w:t>
            </w:r>
          </w:p>
        </w:tc>
        <w:tc>
          <w:tcPr>
            <w:tcW w:w="656" w:type="pct"/>
            <w:shd w:val="clear" w:color="auto" w:fill="auto"/>
            <w:vAlign w:val="center"/>
          </w:tcPr>
          <w:p w14:paraId="62220791">
            <w:pPr>
              <w:widowControl/>
              <w:jc w:val="center"/>
              <w:rPr>
                <w:rFonts w:eastAsia="仿宋_GB2312"/>
                <w:bCs/>
                <w:kern w:val="0"/>
                <w:szCs w:val="21"/>
              </w:rPr>
            </w:pPr>
            <w:r>
              <w:rPr>
                <w:rFonts w:eastAsia="仿宋_GB2312"/>
                <w:bCs/>
                <w:kern w:val="0"/>
                <w:szCs w:val="21"/>
              </w:rPr>
              <w:t>1000</w:t>
            </w:r>
          </w:p>
        </w:tc>
        <w:tc>
          <w:tcPr>
            <w:tcW w:w="716" w:type="pct"/>
            <w:vMerge w:val="continue"/>
            <w:shd w:val="clear" w:color="auto" w:fill="auto"/>
            <w:vAlign w:val="center"/>
          </w:tcPr>
          <w:p w14:paraId="4E89377E">
            <w:pPr>
              <w:widowControl/>
              <w:snapToGrid w:val="0"/>
              <w:spacing w:line="320" w:lineRule="exact"/>
              <w:jc w:val="center"/>
              <w:rPr>
                <w:rFonts w:eastAsia="仿宋_GB2312"/>
                <w:szCs w:val="21"/>
              </w:rPr>
            </w:pPr>
          </w:p>
        </w:tc>
        <w:tc>
          <w:tcPr>
            <w:tcW w:w="601" w:type="pct"/>
            <w:vMerge w:val="continue"/>
            <w:vAlign w:val="center"/>
          </w:tcPr>
          <w:p w14:paraId="0122B33F">
            <w:pPr>
              <w:widowControl/>
              <w:snapToGrid w:val="0"/>
              <w:spacing w:line="320" w:lineRule="exact"/>
              <w:jc w:val="center"/>
              <w:rPr>
                <w:rFonts w:eastAsia="仿宋_GB2312"/>
                <w:color w:val="FF0000"/>
                <w:szCs w:val="21"/>
              </w:rPr>
            </w:pPr>
          </w:p>
        </w:tc>
      </w:tr>
      <w:tr w14:paraId="471624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52" w:type="pct"/>
            <w:vMerge w:val="continue"/>
            <w:shd w:val="clear" w:color="auto" w:fill="auto"/>
            <w:vAlign w:val="center"/>
          </w:tcPr>
          <w:p w14:paraId="48AA3A11">
            <w:pPr>
              <w:widowControl/>
              <w:snapToGrid w:val="0"/>
              <w:spacing w:line="320" w:lineRule="exact"/>
              <w:jc w:val="center"/>
              <w:rPr>
                <w:rFonts w:eastAsia="仿宋_GB2312"/>
                <w:szCs w:val="21"/>
              </w:rPr>
            </w:pPr>
          </w:p>
        </w:tc>
        <w:tc>
          <w:tcPr>
            <w:tcW w:w="476" w:type="pct"/>
            <w:vMerge w:val="continue"/>
            <w:shd w:val="clear" w:color="auto" w:fill="auto"/>
            <w:vAlign w:val="center"/>
          </w:tcPr>
          <w:p w14:paraId="4582670B">
            <w:pPr>
              <w:widowControl/>
              <w:snapToGrid w:val="0"/>
              <w:spacing w:line="320" w:lineRule="exact"/>
              <w:jc w:val="center"/>
              <w:rPr>
                <w:rFonts w:eastAsia="仿宋_GB2312"/>
                <w:szCs w:val="21"/>
              </w:rPr>
            </w:pPr>
          </w:p>
        </w:tc>
        <w:tc>
          <w:tcPr>
            <w:tcW w:w="337" w:type="pct"/>
            <w:shd w:val="clear" w:color="auto" w:fill="auto"/>
            <w:vAlign w:val="center"/>
          </w:tcPr>
          <w:p w14:paraId="36B7F075">
            <w:pPr>
              <w:widowControl/>
              <w:snapToGrid w:val="0"/>
              <w:spacing w:line="320" w:lineRule="exact"/>
              <w:jc w:val="center"/>
              <w:rPr>
                <w:rFonts w:eastAsia="仿宋_GB2312"/>
                <w:szCs w:val="21"/>
              </w:rPr>
            </w:pPr>
            <w:r>
              <w:rPr>
                <w:rFonts w:hint="eastAsia" w:eastAsia="仿宋_GB2312"/>
                <w:szCs w:val="21"/>
              </w:rPr>
              <w:t>5</w:t>
            </w:r>
          </w:p>
        </w:tc>
        <w:tc>
          <w:tcPr>
            <w:tcW w:w="496" w:type="pct"/>
            <w:vMerge w:val="continue"/>
            <w:shd w:val="clear" w:color="auto" w:fill="auto"/>
            <w:vAlign w:val="center"/>
          </w:tcPr>
          <w:p w14:paraId="49907BB7">
            <w:pPr>
              <w:widowControl/>
              <w:snapToGrid w:val="0"/>
              <w:spacing w:line="320" w:lineRule="exact"/>
              <w:jc w:val="center"/>
              <w:rPr>
                <w:rFonts w:eastAsia="仿宋_GB2312"/>
                <w:szCs w:val="21"/>
              </w:rPr>
            </w:pPr>
          </w:p>
        </w:tc>
        <w:tc>
          <w:tcPr>
            <w:tcW w:w="621" w:type="pct"/>
            <w:shd w:val="clear" w:color="auto" w:fill="auto"/>
            <w:vAlign w:val="center"/>
          </w:tcPr>
          <w:p w14:paraId="46E6F2B2">
            <w:pPr>
              <w:widowControl/>
              <w:jc w:val="center"/>
              <w:rPr>
                <w:rFonts w:eastAsia="仿宋_GB2312"/>
                <w:bCs/>
                <w:kern w:val="0"/>
                <w:szCs w:val="21"/>
              </w:rPr>
            </w:pPr>
            <w:r>
              <w:rPr>
                <w:rFonts w:eastAsia="仿宋_GB2312"/>
                <w:bCs/>
                <w:kern w:val="0"/>
                <w:szCs w:val="21"/>
              </w:rPr>
              <w:t>研磨液</w:t>
            </w:r>
          </w:p>
        </w:tc>
        <w:tc>
          <w:tcPr>
            <w:tcW w:w="642" w:type="pct"/>
            <w:shd w:val="clear" w:color="auto" w:fill="auto"/>
            <w:vAlign w:val="center"/>
          </w:tcPr>
          <w:p w14:paraId="24F980FD">
            <w:pPr>
              <w:widowControl/>
              <w:jc w:val="center"/>
              <w:rPr>
                <w:rFonts w:eastAsia="仿宋_GB2312"/>
                <w:bCs/>
                <w:kern w:val="0"/>
                <w:szCs w:val="21"/>
              </w:rPr>
            </w:pPr>
            <w:r>
              <w:rPr>
                <w:rFonts w:eastAsia="仿宋_GB2312"/>
                <w:bCs/>
                <w:kern w:val="0"/>
                <w:szCs w:val="21"/>
              </w:rPr>
              <w:t>1000</w:t>
            </w:r>
          </w:p>
        </w:tc>
        <w:tc>
          <w:tcPr>
            <w:tcW w:w="656" w:type="pct"/>
            <w:shd w:val="clear" w:color="auto" w:fill="auto"/>
            <w:vAlign w:val="center"/>
          </w:tcPr>
          <w:p w14:paraId="12D63A16">
            <w:pPr>
              <w:widowControl/>
              <w:jc w:val="center"/>
              <w:rPr>
                <w:rFonts w:eastAsia="仿宋_GB2312"/>
                <w:bCs/>
                <w:kern w:val="0"/>
                <w:szCs w:val="21"/>
              </w:rPr>
            </w:pPr>
            <w:r>
              <w:rPr>
                <w:rFonts w:eastAsia="仿宋_GB2312"/>
                <w:bCs/>
                <w:kern w:val="0"/>
                <w:szCs w:val="21"/>
              </w:rPr>
              <w:t>1000</w:t>
            </w:r>
          </w:p>
        </w:tc>
        <w:tc>
          <w:tcPr>
            <w:tcW w:w="716" w:type="pct"/>
            <w:vMerge w:val="continue"/>
            <w:shd w:val="clear" w:color="auto" w:fill="auto"/>
            <w:vAlign w:val="center"/>
          </w:tcPr>
          <w:p w14:paraId="3F7F1F1B">
            <w:pPr>
              <w:widowControl/>
              <w:snapToGrid w:val="0"/>
              <w:spacing w:line="320" w:lineRule="exact"/>
              <w:jc w:val="center"/>
              <w:rPr>
                <w:rFonts w:eastAsia="仿宋_GB2312"/>
                <w:szCs w:val="21"/>
              </w:rPr>
            </w:pPr>
          </w:p>
        </w:tc>
        <w:tc>
          <w:tcPr>
            <w:tcW w:w="601" w:type="pct"/>
            <w:vMerge w:val="continue"/>
            <w:vAlign w:val="center"/>
          </w:tcPr>
          <w:p w14:paraId="0AD922BB">
            <w:pPr>
              <w:widowControl/>
              <w:snapToGrid w:val="0"/>
              <w:spacing w:line="320" w:lineRule="exact"/>
              <w:jc w:val="center"/>
              <w:rPr>
                <w:rFonts w:eastAsia="仿宋_GB2312"/>
                <w:color w:val="FF0000"/>
                <w:szCs w:val="21"/>
              </w:rPr>
            </w:pPr>
          </w:p>
        </w:tc>
      </w:tr>
      <w:tr w14:paraId="5D1D09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52" w:type="pct"/>
            <w:vMerge w:val="continue"/>
            <w:shd w:val="clear" w:color="auto" w:fill="auto"/>
            <w:vAlign w:val="center"/>
          </w:tcPr>
          <w:p w14:paraId="377757D9">
            <w:pPr>
              <w:widowControl/>
              <w:snapToGrid w:val="0"/>
              <w:spacing w:line="320" w:lineRule="exact"/>
              <w:jc w:val="center"/>
              <w:rPr>
                <w:rFonts w:eastAsia="仿宋_GB2312"/>
                <w:szCs w:val="21"/>
              </w:rPr>
            </w:pPr>
          </w:p>
        </w:tc>
        <w:tc>
          <w:tcPr>
            <w:tcW w:w="476" w:type="pct"/>
            <w:vMerge w:val="continue"/>
            <w:shd w:val="clear" w:color="auto" w:fill="auto"/>
            <w:vAlign w:val="center"/>
          </w:tcPr>
          <w:p w14:paraId="7871F6D2">
            <w:pPr>
              <w:widowControl/>
              <w:snapToGrid w:val="0"/>
              <w:spacing w:line="320" w:lineRule="exact"/>
              <w:jc w:val="center"/>
              <w:rPr>
                <w:rFonts w:eastAsia="仿宋_GB2312"/>
                <w:szCs w:val="21"/>
              </w:rPr>
            </w:pPr>
          </w:p>
        </w:tc>
        <w:tc>
          <w:tcPr>
            <w:tcW w:w="337" w:type="pct"/>
            <w:shd w:val="clear" w:color="auto" w:fill="auto"/>
            <w:vAlign w:val="center"/>
          </w:tcPr>
          <w:p w14:paraId="4716D212">
            <w:pPr>
              <w:widowControl/>
              <w:snapToGrid w:val="0"/>
              <w:spacing w:line="320" w:lineRule="exact"/>
              <w:jc w:val="center"/>
              <w:rPr>
                <w:rFonts w:eastAsia="仿宋_GB2312"/>
                <w:szCs w:val="21"/>
              </w:rPr>
            </w:pPr>
            <w:r>
              <w:rPr>
                <w:rFonts w:hint="eastAsia" w:eastAsia="仿宋_GB2312"/>
                <w:szCs w:val="21"/>
              </w:rPr>
              <w:t>6</w:t>
            </w:r>
          </w:p>
        </w:tc>
        <w:tc>
          <w:tcPr>
            <w:tcW w:w="496" w:type="pct"/>
            <w:vMerge w:val="continue"/>
            <w:shd w:val="clear" w:color="auto" w:fill="auto"/>
            <w:vAlign w:val="center"/>
          </w:tcPr>
          <w:p w14:paraId="5185D913">
            <w:pPr>
              <w:widowControl/>
              <w:snapToGrid w:val="0"/>
              <w:spacing w:line="320" w:lineRule="exact"/>
              <w:jc w:val="center"/>
              <w:rPr>
                <w:rFonts w:eastAsia="仿宋_GB2312"/>
                <w:szCs w:val="21"/>
              </w:rPr>
            </w:pPr>
          </w:p>
        </w:tc>
        <w:tc>
          <w:tcPr>
            <w:tcW w:w="621" w:type="pct"/>
            <w:shd w:val="clear" w:color="auto" w:fill="auto"/>
            <w:vAlign w:val="center"/>
          </w:tcPr>
          <w:p w14:paraId="16E59442">
            <w:pPr>
              <w:widowControl/>
              <w:jc w:val="center"/>
              <w:rPr>
                <w:rFonts w:eastAsia="仿宋_GB2312"/>
                <w:bCs/>
                <w:kern w:val="0"/>
                <w:szCs w:val="21"/>
              </w:rPr>
            </w:pPr>
            <w:r>
              <w:rPr>
                <w:rFonts w:eastAsia="仿宋_GB2312"/>
                <w:bCs/>
                <w:kern w:val="0"/>
                <w:szCs w:val="21"/>
              </w:rPr>
              <w:t>多用途添加剂</w:t>
            </w:r>
          </w:p>
        </w:tc>
        <w:tc>
          <w:tcPr>
            <w:tcW w:w="642" w:type="pct"/>
            <w:shd w:val="clear" w:color="auto" w:fill="auto"/>
            <w:vAlign w:val="center"/>
          </w:tcPr>
          <w:p w14:paraId="0075601A">
            <w:pPr>
              <w:widowControl/>
              <w:jc w:val="center"/>
              <w:rPr>
                <w:rFonts w:eastAsia="仿宋_GB2312"/>
                <w:bCs/>
                <w:kern w:val="0"/>
                <w:szCs w:val="21"/>
              </w:rPr>
            </w:pPr>
            <w:r>
              <w:rPr>
                <w:rFonts w:eastAsia="仿宋_GB2312"/>
                <w:bCs/>
                <w:kern w:val="0"/>
                <w:szCs w:val="21"/>
              </w:rPr>
              <w:t>3000</w:t>
            </w:r>
          </w:p>
        </w:tc>
        <w:tc>
          <w:tcPr>
            <w:tcW w:w="656" w:type="pct"/>
            <w:shd w:val="clear" w:color="auto" w:fill="auto"/>
            <w:vAlign w:val="center"/>
          </w:tcPr>
          <w:p w14:paraId="31F47ACC">
            <w:pPr>
              <w:widowControl/>
              <w:jc w:val="center"/>
              <w:rPr>
                <w:rFonts w:eastAsia="仿宋_GB2312"/>
                <w:bCs/>
                <w:kern w:val="0"/>
                <w:szCs w:val="21"/>
              </w:rPr>
            </w:pPr>
            <w:r>
              <w:rPr>
                <w:rFonts w:eastAsia="仿宋_GB2312"/>
                <w:bCs/>
                <w:kern w:val="0"/>
                <w:szCs w:val="21"/>
              </w:rPr>
              <w:t>3000</w:t>
            </w:r>
          </w:p>
        </w:tc>
        <w:tc>
          <w:tcPr>
            <w:tcW w:w="716" w:type="pct"/>
            <w:vMerge w:val="continue"/>
            <w:shd w:val="clear" w:color="auto" w:fill="auto"/>
            <w:vAlign w:val="center"/>
          </w:tcPr>
          <w:p w14:paraId="0B17A42E">
            <w:pPr>
              <w:widowControl/>
              <w:snapToGrid w:val="0"/>
              <w:spacing w:line="320" w:lineRule="exact"/>
              <w:jc w:val="center"/>
              <w:rPr>
                <w:rFonts w:eastAsia="仿宋_GB2312"/>
                <w:szCs w:val="21"/>
              </w:rPr>
            </w:pPr>
          </w:p>
        </w:tc>
        <w:tc>
          <w:tcPr>
            <w:tcW w:w="601" w:type="pct"/>
            <w:vMerge w:val="continue"/>
            <w:vAlign w:val="center"/>
          </w:tcPr>
          <w:p w14:paraId="25021CF1">
            <w:pPr>
              <w:widowControl/>
              <w:snapToGrid w:val="0"/>
              <w:spacing w:line="320" w:lineRule="exact"/>
              <w:jc w:val="center"/>
              <w:rPr>
                <w:rFonts w:eastAsia="仿宋_GB2312"/>
                <w:color w:val="FF0000"/>
                <w:szCs w:val="21"/>
              </w:rPr>
            </w:pPr>
          </w:p>
        </w:tc>
      </w:tr>
      <w:tr w14:paraId="181FE3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52" w:type="pct"/>
            <w:vMerge w:val="continue"/>
            <w:shd w:val="clear" w:color="auto" w:fill="auto"/>
            <w:vAlign w:val="center"/>
          </w:tcPr>
          <w:p w14:paraId="3DFF81D0">
            <w:pPr>
              <w:widowControl/>
              <w:snapToGrid w:val="0"/>
              <w:spacing w:line="320" w:lineRule="exact"/>
              <w:jc w:val="center"/>
              <w:rPr>
                <w:rFonts w:eastAsia="仿宋_GB2312"/>
                <w:color w:val="FF0000"/>
                <w:szCs w:val="21"/>
              </w:rPr>
            </w:pPr>
          </w:p>
        </w:tc>
        <w:tc>
          <w:tcPr>
            <w:tcW w:w="476" w:type="pct"/>
            <w:vMerge w:val="continue"/>
            <w:shd w:val="clear" w:color="auto" w:fill="auto"/>
            <w:vAlign w:val="center"/>
          </w:tcPr>
          <w:p w14:paraId="0E23D73E">
            <w:pPr>
              <w:widowControl/>
              <w:snapToGrid w:val="0"/>
              <w:spacing w:line="320" w:lineRule="exact"/>
              <w:jc w:val="center"/>
              <w:rPr>
                <w:rFonts w:eastAsia="仿宋_GB2312"/>
                <w:szCs w:val="21"/>
              </w:rPr>
            </w:pPr>
          </w:p>
        </w:tc>
        <w:tc>
          <w:tcPr>
            <w:tcW w:w="337" w:type="pct"/>
            <w:shd w:val="clear" w:color="auto" w:fill="auto"/>
            <w:vAlign w:val="center"/>
          </w:tcPr>
          <w:p w14:paraId="10050E5D">
            <w:pPr>
              <w:widowControl/>
              <w:snapToGrid w:val="0"/>
              <w:spacing w:line="320" w:lineRule="exact"/>
              <w:jc w:val="center"/>
              <w:rPr>
                <w:rFonts w:eastAsia="仿宋_GB2312"/>
                <w:szCs w:val="21"/>
              </w:rPr>
            </w:pPr>
            <w:r>
              <w:rPr>
                <w:rFonts w:hint="eastAsia" w:eastAsia="仿宋_GB2312"/>
                <w:szCs w:val="21"/>
              </w:rPr>
              <w:t>7</w:t>
            </w:r>
          </w:p>
        </w:tc>
        <w:tc>
          <w:tcPr>
            <w:tcW w:w="1117" w:type="pct"/>
            <w:gridSpan w:val="2"/>
            <w:shd w:val="clear" w:color="auto" w:fill="auto"/>
            <w:vAlign w:val="center"/>
          </w:tcPr>
          <w:p w14:paraId="2D04B90A">
            <w:pPr>
              <w:widowControl/>
              <w:snapToGrid w:val="0"/>
              <w:spacing w:line="320" w:lineRule="exact"/>
              <w:jc w:val="center"/>
              <w:rPr>
                <w:rFonts w:eastAsia="仿宋_GB2312"/>
                <w:szCs w:val="21"/>
              </w:rPr>
            </w:pPr>
            <w:r>
              <w:rPr>
                <w:rFonts w:hint="eastAsia" w:eastAsia="仿宋_GB2312"/>
                <w:szCs w:val="21"/>
              </w:rPr>
              <w:t>稀释剂</w:t>
            </w:r>
          </w:p>
        </w:tc>
        <w:tc>
          <w:tcPr>
            <w:tcW w:w="642" w:type="pct"/>
            <w:shd w:val="clear" w:color="auto" w:fill="auto"/>
            <w:vAlign w:val="center"/>
          </w:tcPr>
          <w:p w14:paraId="293B7167">
            <w:pPr>
              <w:widowControl/>
              <w:snapToGrid w:val="0"/>
              <w:spacing w:line="320" w:lineRule="exact"/>
              <w:jc w:val="center"/>
              <w:rPr>
                <w:rFonts w:eastAsia="仿宋_GB2312"/>
                <w:szCs w:val="21"/>
              </w:rPr>
            </w:pPr>
            <w:r>
              <w:rPr>
                <w:rFonts w:eastAsia="仿宋_GB2312"/>
                <w:szCs w:val="21"/>
              </w:rPr>
              <w:t>1</w:t>
            </w:r>
            <w:r>
              <w:rPr>
                <w:rFonts w:hint="eastAsia" w:eastAsia="仿宋_GB2312"/>
                <w:szCs w:val="21"/>
              </w:rPr>
              <w:t>5</w:t>
            </w:r>
            <w:r>
              <w:rPr>
                <w:rFonts w:eastAsia="仿宋_GB2312"/>
                <w:szCs w:val="21"/>
              </w:rPr>
              <w:t>000</w:t>
            </w:r>
          </w:p>
        </w:tc>
        <w:tc>
          <w:tcPr>
            <w:tcW w:w="656" w:type="pct"/>
            <w:shd w:val="clear" w:color="auto" w:fill="auto"/>
            <w:vAlign w:val="center"/>
          </w:tcPr>
          <w:p w14:paraId="687A3BCE">
            <w:pPr>
              <w:widowControl/>
              <w:snapToGrid w:val="0"/>
              <w:spacing w:line="320" w:lineRule="exact"/>
              <w:jc w:val="center"/>
              <w:rPr>
                <w:rFonts w:eastAsia="仿宋_GB2312"/>
                <w:szCs w:val="21"/>
              </w:rPr>
            </w:pPr>
            <w:r>
              <w:rPr>
                <w:rFonts w:eastAsia="仿宋_GB2312"/>
                <w:szCs w:val="21"/>
              </w:rPr>
              <w:t>1</w:t>
            </w:r>
            <w:r>
              <w:rPr>
                <w:rFonts w:hint="eastAsia" w:eastAsia="仿宋_GB2312"/>
                <w:szCs w:val="21"/>
              </w:rPr>
              <w:t>5</w:t>
            </w:r>
            <w:r>
              <w:rPr>
                <w:rFonts w:eastAsia="仿宋_GB2312"/>
                <w:szCs w:val="21"/>
              </w:rPr>
              <w:t>000</w:t>
            </w:r>
          </w:p>
        </w:tc>
        <w:tc>
          <w:tcPr>
            <w:tcW w:w="716" w:type="pct"/>
            <w:shd w:val="clear" w:color="auto" w:fill="auto"/>
            <w:noWrap/>
            <w:vAlign w:val="center"/>
          </w:tcPr>
          <w:p w14:paraId="3455414D">
            <w:pPr>
              <w:widowControl/>
              <w:snapToGrid w:val="0"/>
              <w:spacing w:line="320" w:lineRule="exact"/>
              <w:jc w:val="center"/>
              <w:rPr>
                <w:rFonts w:eastAsia="仿宋_GB2312"/>
                <w:szCs w:val="21"/>
              </w:rPr>
            </w:pPr>
            <w:r>
              <w:rPr>
                <w:rFonts w:hint="eastAsia" w:eastAsia="仿宋_GB2312"/>
                <w:szCs w:val="21"/>
              </w:rPr>
              <w:t>750</w:t>
            </w:r>
          </w:p>
        </w:tc>
        <w:tc>
          <w:tcPr>
            <w:tcW w:w="601" w:type="pct"/>
            <w:vMerge w:val="continue"/>
            <w:vAlign w:val="center"/>
          </w:tcPr>
          <w:p w14:paraId="45B6FD4A">
            <w:pPr>
              <w:widowControl/>
              <w:snapToGrid w:val="0"/>
              <w:spacing w:line="320" w:lineRule="exact"/>
              <w:jc w:val="center"/>
              <w:rPr>
                <w:rFonts w:eastAsia="仿宋_GB2312"/>
                <w:color w:val="FF0000"/>
                <w:szCs w:val="21"/>
              </w:rPr>
            </w:pPr>
          </w:p>
        </w:tc>
      </w:tr>
      <w:tr w14:paraId="528F60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52" w:type="pct"/>
            <w:vMerge w:val="continue"/>
            <w:shd w:val="clear" w:color="auto" w:fill="auto"/>
            <w:vAlign w:val="center"/>
          </w:tcPr>
          <w:p w14:paraId="1A604F54">
            <w:pPr>
              <w:widowControl/>
              <w:snapToGrid w:val="0"/>
              <w:spacing w:line="320" w:lineRule="exact"/>
              <w:jc w:val="center"/>
              <w:rPr>
                <w:rFonts w:eastAsia="仿宋_GB2312"/>
                <w:szCs w:val="21"/>
              </w:rPr>
            </w:pPr>
          </w:p>
        </w:tc>
        <w:tc>
          <w:tcPr>
            <w:tcW w:w="476" w:type="pct"/>
            <w:vMerge w:val="continue"/>
            <w:shd w:val="clear" w:color="auto" w:fill="auto"/>
            <w:vAlign w:val="center"/>
          </w:tcPr>
          <w:p w14:paraId="7BD00621">
            <w:pPr>
              <w:widowControl/>
              <w:snapToGrid w:val="0"/>
              <w:spacing w:line="320" w:lineRule="exact"/>
              <w:jc w:val="center"/>
              <w:rPr>
                <w:rFonts w:eastAsia="仿宋_GB2312"/>
                <w:szCs w:val="21"/>
              </w:rPr>
            </w:pPr>
          </w:p>
        </w:tc>
        <w:tc>
          <w:tcPr>
            <w:tcW w:w="337" w:type="pct"/>
            <w:shd w:val="clear" w:color="auto" w:fill="auto"/>
            <w:vAlign w:val="center"/>
          </w:tcPr>
          <w:p w14:paraId="76881E2A">
            <w:pPr>
              <w:widowControl/>
              <w:snapToGrid w:val="0"/>
              <w:spacing w:line="320" w:lineRule="exact"/>
              <w:jc w:val="center"/>
              <w:rPr>
                <w:rFonts w:eastAsia="仿宋_GB2312"/>
                <w:szCs w:val="21"/>
              </w:rPr>
            </w:pPr>
            <w:r>
              <w:rPr>
                <w:rFonts w:hint="eastAsia" w:eastAsia="仿宋_GB2312"/>
                <w:szCs w:val="21"/>
              </w:rPr>
              <w:t>1</w:t>
            </w:r>
          </w:p>
        </w:tc>
        <w:tc>
          <w:tcPr>
            <w:tcW w:w="496" w:type="pct"/>
            <w:vMerge w:val="restart"/>
            <w:shd w:val="clear" w:color="auto" w:fill="auto"/>
            <w:vAlign w:val="center"/>
          </w:tcPr>
          <w:p w14:paraId="5EFA2CF6">
            <w:pPr>
              <w:widowControl/>
              <w:snapToGrid w:val="0"/>
              <w:spacing w:line="320" w:lineRule="exact"/>
              <w:jc w:val="center"/>
              <w:rPr>
                <w:rFonts w:eastAsia="仿宋_GB2312"/>
                <w:szCs w:val="21"/>
              </w:rPr>
            </w:pPr>
            <w:r>
              <w:rPr>
                <w:rFonts w:eastAsia="仿宋_GB2312"/>
                <w:szCs w:val="21"/>
              </w:rPr>
              <w:t>PCB线路板</w:t>
            </w:r>
          </w:p>
        </w:tc>
        <w:tc>
          <w:tcPr>
            <w:tcW w:w="621" w:type="pct"/>
            <w:shd w:val="clear" w:color="auto" w:fill="auto"/>
            <w:vAlign w:val="center"/>
          </w:tcPr>
          <w:p w14:paraId="3E9BD560">
            <w:pPr>
              <w:widowControl/>
              <w:snapToGrid w:val="0"/>
              <w:spacing w:line="320" w:lineRule="exact"/>
              <w:jc w:val="center"/>
              <w:rPr>
                <w:rFonts w:eastAsia="仿宋_GB2312"/>
                <w:szCs w:val="21"/>
              </w:rPr>
            </w:pPr>
            <w:r>
              <w:rPr>
                <w:rFonts w:eastAsia="仿宋_GB2312"/>
                <w:szCs w:val="21"/>
              </w:rPr>
              <w:t>单面板</w:t>
            </w:r>
          </w:p>
        </w:tc>
        <w:tc>
          <w:tcPr>
            <w:tcW w:w="642" w:type="pct"/>
            <w:shd w:val="clear" w:color="auto" w:fill="auto"/>
            <w:vAlign w:val="center"/>
          </w:tcPr>
          <w:p w14:paraId="7B558EF3">
            <w:pPr>
              <w:widowControl/>
              <w:snapToGrid w:val="0"/>
              <w:spacing w:line="320" w:lineRule="exact"/>
              <w:jc w:val="center"/>
              <w:rPr>
                <w:rFonts w:eastAsia="仿宋_GB2312"/>
                <w:szCs w:val="21"/>
              </w:rPr>
            </w:pPr>
            <w:r>
              <w:rPr>
                <w:rFonts w:eastAsia="仿宋_GB2312"/>
                <w:szCs w:val="21"/>
              </w:rPr>
              <w:t>30000m</w:t>
            </w:r>
            <w:r>
              <w:rPr>
                <w:rFonts w:eastAsia="仿宋_GB2312"/>
                <w:szCs w:val="21"/>
                <w:vertAlign w:val="superscript"/>
              </w:rPr>
              <w:t>2</w:t>
            </w:r>
            <w:r>
              <w:rPr>
                <w:rFonts w:eastAsia="仿宋_GB2312"/>
                <w:szCs w:val="21"/>
              </w:rPr>
              <w:t>/a</w:t>
            </w:r>
          </w:p>
        </w:tc>
        <w:tc>
          <w:tcPr>
            <w:tcW w:w="656" w:type="pct"/>
            <w:shd w:val="clear" w:color="auto" w:fill="auto"/>
            <w:vAlign w:val="center"/>
          </w:tcPr>
          <w:p w14:paraId="1C5A00A2">
            <w:pPr>
              <w:widowControl/>
              <w:snapToGrid w:val="0"/>
              <w:spacing w:line="320" w:lineRule="exact"/>
              <w:jc w:val="center"/>
              <w:rPr>
                <w:rFonts w:eastAsia="仿宋_GB2312"/>
                <w:szCs w:val="21"/>
              </w:rPr>
            </w:pPr>
            <w:r>
              <w:rPr>
                <w:rFonts w:eastAsia="仿宋_GB2312"/>
                <w:szCs w:val="21"/>
              </w:rPr>
              <w:t>/</w:t>
            </w:r>
          </w:p>
        </w:tc>
        <w:tc>
          <w:tcPr>
            <w:tcW w:w="716" w:type="pct"/>
            <w:vMerge w:val="restart"/>
            <w:shd w:val="clear" w:color="auto" w:fill="auto"/>
            <w:noWrap/>
            <w:vAlign w:val="center"/>
          </w:tcPr>
          <w:p w14:paraId="43D7002C">
            <w:pPr>
              <w:widowControl/>
              <w:snapToGrid w:val="0"/>
              <w:spacing w:line="320" w:lineRule="exact"/>
              <w:jc w:val="center"/>
              <w:rPr>
                <w:rFonts w:eastAsia="仿宋_GB2312"/>
                <w:szCs w:val="21"/>
              </w:rPr>
            </w:pPr>
            <w:r>
              <w:rPr>
                <w:rFonts w:hint="eastAsia" w:eastAsia="仿宋_GB2312"/>
                <w:szCs w:val="21"/>
              </w:rPr>
              <w:t>6000</w:t>
            </w:r>
          </w:p>
        </w:tc>
        <w:tc>
          <w:tcPr>
            <w:tcW w:w="601" w:type="pct"/>
            <w:vMerge w:val="restart"/>
            <w:vAlign w:val="center"/>
          </w:tcPr>
          <w:p w14:paraId="2A2E701A">
            <w:pPr>
              <w:widowControl/>
              <w:snapToGrid w:val="0"/>
              <w:spacing w:line="320" w:lineRule="exact"/>
              <w:jc w:val="center"/>
              <w:rPr>
                <w:rFonts w:eastAsia="仿宋_GB2312"/>
                <w:szCs w:val="21"/>
              </w:rPr>
            </w:pPr>
            <w:r>
              <w:rPr>
                <w:rFonts w:eastAsia="仿宋_GB2312"/>
                <w:szCs w:val="21"/>
              </w:rPr>
              <w:t>未建</w:t>
            </w:r>
          </w:p>
        </w:tc>
      </w:tr>
      <w:tr w14:paraId="0F96604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52" w:type="pct"/>
            <w:vMerge w:val="continue"/>
            <w:shd w:val="clear" w:color="auto" w:fill="auto"/>
            <w:vAlign w:val="center"/>
          </w:tcPr>
          <w:p w14:paraId="616E2F0E">
            <w:pPr>
              <w:widowControl/>
              <w:snapToGrid w:val="0"/>
              <w:spacing w:line="320" w:lineRule="exact"/>
              <w:jc w:val="center"/>
              <w:rPr>
                <w:rFonts w:eastAsia="仿宋_GB2312"/>
                <w:szCs w:val="21"/>
              </w:rPr>
            </w:pPr>
          </w:p>
        </w:tc>
        <w:tc>
          <w:tcPr>
            <w:tcW w:w="476" w:type="pct"/>
            <w:vMerge w:val="continue"/>
            <w:shd w:val="clear" w:color="auto" w:fill="auto"/>
            <w:vAlign w:val="center"/>
          </w:tcPr>
          <w:p w14:paraId="5B10180E">
            <w:pPr>
              <w:widowControl/>
              <w:snapToGrid w:val="0"/>
              <w:spacing w:line="320" w:lineRule="exact"/>
              <w:jc w:val="center"/>
              <w:rPr>
                <w:rFonts w:eastAsia="仿宋_GB2312"/>
                <w:szCs w:val="21"/>
              </w:rPr>
            </w:pPr>
          </w:p>
        </w:tc>
        <w:tc>
          <w:tcPr>
            <w:tcW w:w="337" w:type="pct"/>
            <w:shd w:val="clear" w:color="auto" w:fill="auto"/>
            <w:vAlign w:val="center"/>
          </w:tcPr>
          <w:p w14:paraId="1377C77A">
            <w:pPr>
              <w:widowControl/>
              <w:snapToGrid w:val="0"/>
              <w:spacing w:line="320" w:lineRule="exact"/>
              <w:jc w:val="center"/>
              <w:rPr>
                <w:rFonts w:eastAsia="仿宋_GB2312"/>
                <w:szCs w:val="21"/>
              </w:rPr>
            </w:pPr>
            <w:r>
              <w:rPr>
                <w:rFonts w:hint="eastAsia" w:eastAsia="仿宋_GB2312"/>
                <w:szCs w:val="21"/>
              </w:rPr>
              <w:t>2</w:t>
            </w:r>
          </w:p>
        </w:tc>
        <w:tc>
          <w:tcPr>
            <w:tcW w:w="496" w:type="pct"/>
            <w:vMerge w:val="continue"/>
            <w:shd w:val="clear" w:color="auto" w:fill="auto"/>
            <w:vAlign w:val="center"/>
          </w:tcPr>
          <w:p w14:paraId="752C467E">
            <w:pPr>
              <w:widowControl/>
              <w:snapToGrid w:val="0"/>
              <w:spacing w:line="320" w:lineRule="exact"/>
              <w:jc w:val="center"/>
              <w:rPr>
                <w:rFonts w:eastAsia="仿宋_GB2312"/>
                <w:szCs w:val="21"/>
              </w:rPr>
            </w:pPr>
          </w:p>
        </w:tc>
        <w:tc>
          <w:tcPr>
            <w:tcW w:w="621" w:type="pct"/>
            <w:shd w:val="clear" w:color="auto" w:fill="auto"/>
            <w:vAlign w:val="center"/>
          </w:tcPr>
          <w:p w14:paraId="3E99524D">
            <w:pPr>
              <w:widowControl/>
              <w:snapToGrid w:val="0"/>
              <w:spacing w:line="320" w:lineRule="exact"/>
              <w:jc w:val="center"/>
              <w:rPr>
                <w:rFonts w:eastAsia="仿宋_GB2312"/>
                <w:szCs w:val="21"/>
              </w:rPr>
            </w:pPr>
            <w:r>
              <w:rPr>
                <w:rFonts w:eastAsia="仿宋_GB2312"/>
                <w:szCs w:val="21"/>
              </w:rPr>
              <w:t>双面板</w:t>
            </w:r>
          </w:p>
        </w:tc>
        <w:tc>
          <w:tcPr>
            <w:tcW w:w="642" w:type="pct"/>
            <w:shd w:val="clear" w:color="auto" w:fill="auto"/>
            <w:vAlign w:val="center"/>
          </w:tcPr>
          <w:p w14:paraId="1AF717A3">
            <w:pPr>
              <w:widowControl/>
              <w:snapToGrid w:val="0"/>
              <w:spacing w:line="320" w:lineRule="exact"/>
              <w:jc w:val="center"/>
              <w:rPr>
                <w:rFonts w:eastAsia="仿宋_GB2312"/>
                <w:szCs w:val="21"/>
              </w:rPr>
            </w:pPr>
            <w:r>
              <w:rPr>
                <w:rFonts w:eastAsia="仿宋_GB2312"/>
                <w:szCs w:val="21"/>
              </w:rPr>
              <w:t>30000m</w:t>
            </w:r>
            <w:r>
              <w:rPr>
                <w:rFonts w:eastAsia="仿宋_GB2312"/>
                <w:szCs w:val="21"/>
                <w:vertAlign w:val="superscript"/>
              </w:rPr>
              <w:t>2</w:t>
            </w:r>
            <w:r>
              <w:rPr>
                <w:rFonts w:eastAsia="仿宋_GB2312"/>
                <w:szCs w:val="21"/>
              </w:rPr>
              <w:t>/a</w:t>
            </w:r>
          </w:p>
        </w:tc>
        <w:tc>
          <w:tcPr>
            <w:tcW w:w="656" w:type="pct"/>
            <w:shd w:val="clear" w:color="auto" w:fill="auto"/>
            <w:vAlign w:val="center"/>
          </w:tcPr>
          <w:p w14:paraId="14527C85">
            <w:pPr>
              <w:widowControl/>
              <w:snapToGrid w:val="0"/>
              <w:spacing w:line="320" w:lineRule="exact"/>
              <w:jc w:val="center"/>
              <w:rPr>
                <w:rFonts w:eastAsia="仿宋_GB2312"/>
                <w:szCs w:val="21"/>
              </w:rPr>
            </w:pPr>
            <w:r>
              <w:rPr>
                <w:rFonts w:eastAsia="仿宋_GB2312"/>
                <w:szCs w:val="21"/>
              </w:rPr>
              <w:t>/</w:t>
            </w:r>
          </w:p>
        </w:tc>
        <w:tc>
          <w:tcPr>
            <w:tcW w:w="716" w:type="pct"/>
            <w:vMerge w:val="continue"/>
            <w:shd w:val="clear" w:color="auto" w:fill="auto"/>
            <w:noWrap/>
            <w:vAlign w:val="center"/>
          </w:tcPr>
          <w:p w14:paraId="3B7FA58D">
            <w:pPr>
              <w:widowControl/>
              <w:snapToGrid w:val="0"/>
              <w:spacing w:line="320" w:lineRule="exact"/>
              <w:jc w:val="center"/>
              <w:rPr>
                <w:rFonts w:eastAsia="仿宋_GB2312"/>
                <w:szCs w:val="21"/>
              </w:rPr>
            </w:pPr>
          </w:p>
        </w:tc>
        <w:tc>
          <w:tcPr>
            <w:tcW w:w="601" w:type="pct"/>
            <w:vMerge w:val="continue"/>
            <w:vAlign w:val="center"/>
          </w:tcPr>
          <w:p w14:paraId="2AFEE4A5">
            <w:pPr>
              <w:widowControl/>
              <w:snapToGrid w:val="0"/>
              <w:spacing w:line="320" w:lineRule="exact"/>
              <w:jc w:val="center"/>
              <w:rPr>
                <w:rFonts w:eastAsia="仿宋_GB2312"/>
                <w:szCs w:val="21"/>
              </w:rPr>
            </w:pPr>
          </w:p>
        </w:tc>
      </w:tr>
      <w:tr w14:paraId="4C87EF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52" w:type="pct"/>
            <w:vMerge w:val="continue"/>
            <w:shd w:val="clear" w:color="auto" w:fill="auto"/>
            <w:vAlign w:val="center"/>
          </w:tcPr>
          <w:p w14:paraId="16F8C243">
            <w:pPr>
              <w:widowControl/>
              <w:snapToGrid w:val="0"/>
              <w:spacing w:line="320" w:lineRule="exact"/>
              <w:jc w:val="center"/>
              <w:rPr>
                <w:rFonts w:eastAsia="仿宋_GB2312"/>
                <w:szCs w:val="21"/>
              </w:rPr>
            </w:pPr>
          </w:p>
        </w:tc>
        <w:tc>
          <w:tcPr>
            <w:tcW w:w="476" w:type="pct"/>
            <w:vMerge w:val="continue"/>
            <w:shd w:val="clear" w:color="auto" w:fill="auto"/>
            <w:vAlign w:val="center"/>
          </w:tcPr>
          <w:p w14:paraId="604153D6">
            <w:pPr>
              <w:widowControl/>
              <w:snapToGrid w:val="0"/>
              <w:spacing w:line="320" w:lineRule="exact"/>
              <w:jc w:val="center"/>
              <w:rPr>
                <w:rFonts w:eastAsia="仿宋_GB2312"/>
                <w:szCs w:val="21"/>
              </w:rPr>
            </w:pPr>
          </w:p>
        </w:tc>
        <w:tc>
          <w:tcPr>
            <w:tcW w:w="337" w:type="pct"/>
            <w:shd w:val="clear" w:color="auto" w:fill="auto"/>
            <w:vAlign w:val="center"/>
          </w:tcPr>
          <w:p w14:paraId="453A2E3B">
            <w:pPr>
              <w:widowControl/>
              <w:snapToGrid w:val="0"/>
              <w:spacing w:line="320" w:lineRule="exact"/>
              <w:jc w:val="center"/>
              <w:rPr>
                <w:rFonts w:eastAsia="仿宋_GB2312"/>
                <w:szCs w:val="21"/>
              </w:rPr>
            </w:pPr>
            <w:r>
              <w:rPr>
                <w:rFonts w:hint="eastAsia" w:eastAsia="仿宋_GB2312"/>
                <w:szCs w:val="21"/>
              </w:rPr>
              <w:t>3</w:t>
            </w:r>
          </w:p>
        </w:tc>
        <w:tc>
          <w:tcPr>
            <w:tcW w:w="496" w:type="pct"/>
            <w:vMerge w:val="continue"/>
            <w:shd w:val="clear" w:color="auto" w:fill="auto"/>
            <w:vAlign w:val="center"/>
          </w:tcPr>
          <w:p w14:paraId="640C6014">
            <w:pPr>
              <w:widowControl/>
              <w:snapToGrid w:val="0"/>
              <w:spacing w:line="320" w:lineRule="exact"/>
              <w:jc w:val="center"/>
              <w:rPr>
                <w:rFonts w:eastAsia="仿宋_GB2312"/>
                <w:szCs w:val="21"/>
              </w:rPr>
            </w:pPr>
          </w:p>
        </w:tc>
        <w:tc>
          <w:tcPr>
            <w:tcW w:w="621" w:type="pct"/>
            <w:shd w:val="clear" w:color="auto" w:fill="auto"/>
            <w:vAlign w:val="center"/>
          </w:tcPr>
          <w:p w14:paraId="49CEC684">
            <w:pPr>
              <w:widowControl/>
              <w:snapToGrid w:val="0"/>
              <w:spacing w:line="320" w:lineRule="exact"/>
              <w:jc w:val="center"/>
              <w:rPr>
                <w:rFonts w:eastAsia="仿宋_GB2312"/>
                <w:szCs w:val="21"/>
              </w:rPr>
            </w:pPr>
            <w:r>
              <w:rPr>
                <w:rFonts w:eastAsia="仿宋_GB2312"/>
                <w:szCs w:val="21"/>
              </w:rPr>
              <w:t>多面板</w:t>
            </w:r>
          </w:p>
        </w:tc>
        <w:tc>
          <w:tcPr>
            <w:tcW w:w="642" w:type="pct"/>
            <w:shd w:val="clear" w:color="auto" w:fill="auto"/>
            <w:vAlign w:val="center"/>
          </w:tcPr>
          <w:p w14:paraId="1CA29B55">
            <w:pPr>
              <w:widowControl/>
              <w:snapToGrid w:val="0"/>
              <w:spacing w:line="320" w:lineRule="exact"/>
              <w:jc w:val="center"/>
              <w:rPr>
                <w:rFonts w:eastAsia="仿宋_GB2312"/>
                <w:szCs w:val="21"/>
              </w:rPr>
            </w:pPr>
            <w:r>
              <w:rPr>
                <w:rFonts w:eastAsia="仿宋_GB2312"/>
                <w:szCs w:val="21"/>
              </w:rPr>
              <w:t>60000m</w:t>
            </w:r>
            <w:r>
              <w:rPr>
                <w:rFonts w:eastAsia="仿宋_GB2312"/>
                <w:szCs w:val="21"/>
                <w:vertAlign w:val="superscript"/>
              </w:rPr>
              <w:t>2</w:t>
            </w:r>
            <w:r>
              <w:rPr>
                <w:rFonts w:eastAsia="仿宋_GB2312"/>
                <w:szCs w:val="21"/>
              </w:rPr>
              <w:t>/a</w:t>
            </w:r>
          </w:p>
        </w:tc>
        <w:tc>
          <w:tcPr>
            <w:tcW w:w="656" w:type="pct"/>
            <w:shd w:val="clear" w:color="auto" w:fill="auto"/>
            <w:vAlign w:val="center"/>
          </w:tcPr>
          <w:p w14:paraId="252DDC81">
            <w:pPr>
              <w:widowControl/>
              <w:snapToGrid w:val="0"/>
              <w:spacing w:line="320" w:lineRule="exact"/>
              <w:jc w:val="center"/>
              <w:rPr>
                <w:rFonts w:eastAsia="仿宋_GB2312"/>
                <w:szCs w:val="21"/>
              </w:rPr>
            </w:pPr>
            <w:r>
              <w:rPr>
                <w:rFonts w:eastAsia="仿宋_GB2312"/>
                <w:szCs w:val="21"/>
              </w:rPr>
              <w:t>/</w:t>
            </w:r>
          </w:p>
        </w:tc>
        <w:tc>
          <w:tcPr>
            <w:tcW w:w="716" w:type="pct"/>
            <w:vMerge w:val="continue"/>
            <w:shd w:val="clear" w:color="auto" w:fill="auto"/>
            <w:noWrap/>
            <w:vAlign w:val="center"/>
          </w:tcPr>
          <w:p w14:paraId="6B71056C">
            <w:pPr>
              <w:widowControl/>
              <w:snapToGrid w:val="0"/>
              <w:spacing w:line="320" w:lineRule="exact"/>
              <w:jc w:val="center"/>
              <w:rPr>
                <w:rFonts w:eastAsia="仿宋_GB2312"/>
                <w:szCs w:val="21"/>
              </w:rPr>
            </w:pPr>
          </w:p>
        </w:tc>
        <w:tc>
          <w:tcPr>
            <w:tcW w:w="601" w:type="pct"/>
            <w:vMerge w:val="continue"/>
            <w:vAlign w:val="center"/>
          </w:tcPr>
          <w:p w14:paraId="69E9E1CA">
            <w:pPr>
              <w:widowControl/>
              <w:snapToGrid w:val="0"/>
              <w:spacing w:line="320" w:lineRule="exact"/>
              <w:jc w:val="center"/>
              <w:rPr>
                <w:rFonts w:eastAsia="仿宋_GB2312"/>
                <w:szCs w:val="21"/>
              </w:rPr>
            </w:pPr>
          </w:p>
        </w:tc>
      </w:tr>
      <w:tr w14:paraId="6BD9E5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52" w:type="pct"/>
            <w:vMerge w:val="continue"/>
            <w:shd w:val="clear" w:color="auto" w:fill="auto"/>
            <w:vAlign w:val="center"/>
          </w:tcPr>
          <w:p w14:paraId="15F82746">
            <w:pPr>
              <w:widowControl/>
              <w:snapToGrid w:val="0"/>
              <w:spacing w:line="320" w:lineRule="exact"/>
              <w:jc w:val="center"/>
              <w:rPr>
                <w:rFonts w:eastAsia="仿宋_GB2312"/>
                <w:szCs w:val="21"/>
              </w:rPr>
            </w:pPr>
          </w:p>
        </w:tc>
        <w:tc>
          <w:tcPr>
            <w:tcW w:w="476" w:type="pct"/>
            <w:vMerge w:val="continue"/>
            <w:shd w:val="clear" w:color="auto" w:fill="auto"/>
            <w:vAlign w:val="center"/>
          </w:tcPr>
          <w:p w14:paraId="6C076EA3">
            <w:pPr>
              <w:widowControl/>
              <w:snapToGrid w:val="0"/>
              <w:spacing w:line="320" w:lineRule="exact"/>
              <w:jc w:val="center"/>
              <w:rPr>
                <w:rFonts w:eastAsia="仿宋_GB2312"/>
                <w:szCs w:val="21"/>
              </w:rPr>
            </w:pPr>
          </w:p>
        </w:tc>
        <w:tc>
          <w:tcPr>
            <w:tcW w:w="337" w:type="pct"/>
            <w:shd w:val="clear" w:color="auto" w:fill="auto"/>
            <w:vAlign w:val="center"/>
          </w:tcPr>
          <w:p w14:paraId="742C449E">
            <w:pPr>
              <w:widowControl/>
              <w:snapToGrid w:val="0"/>
              <w:spacing w:line="320" w:lineRule="exact"/>
              <w:jc w:val="center"/>
              <w:rPr>
                <w:rFonts w:eastAsia="仿宋_GB2312"/>
                <w:szCs w:val="21"/>
              </w:rPr>
            </w:pPr>
            <w:r>
              <w:rPr>
                <w:rFonts w:hint="eastAsia" w:eastAsia="仿宋_GB2312"/>
                <w:szCs w:val="21"/>
              </w:rPr>
              <w:t>4</w:t>
            </w:r>
          </w:p>
        </w:tc>
        <w:tc>
          <w:tcPr>
            <w:tcW w:w="1117" w:type="pct"/>
            <w:gridSpan w:val="2"/>
            <w:shd w:val="clear" w:color="auto" w:fill="auto"/>
            <w:vAlign w:val="center"/>
          </w:tcPr>
          <w:p w14:paraId="615166B2">
            <w:pPr>
              <w:widowControl/>
              <w:snapToGrid w:val="0"/>
              <w:spacing w:line="320" w:lineRule="exact"/>
              <w:jc w:val="center"/>
              <w:rPr>
                <w:rFonts w:eastAsia="仿宋_GB2312"/>
                <w:szCs w:val="21"/>
              </w:rPr>
            </w:pPr>
            <w:r>
              <w:rPr>
                <w:rFonts w:eastAsia="仿宋_GB2312"/>
                <w:szCs w:val="21"/>
              </w:rPr>
              <w:t>表面处理剂</w:t>
            </w:r>
          </w:p>
        </w:tc>
        <w:tc>
          <w:tcPr>
            <w:tcW w:w="642" w:type="pct"/>
            <w:shd w:val="clear" w:color="auto" w:fill="auto"/>
            <w:vAlign w:val="center"/>
          </w:tcPr>
          <w:p w14:paraId="0ADD99E7">
            <w:pPr>
              <w:widowControl/>
              <w:snapToGrid w:val="0"/>
              <w:spacing w:line="320" w:lineRule="exact"/>
              <w:jc w:val="center"/>
              <w:rPr>
                <w:rFonts w:eastAsia="仿宋_GB2312"/>
                <w:szCs w:val="21"/>
              </w:rPr>
            </w:pPr>
            <w:r>
              <w:rPr>
                <w:rFonts w:eastAsia="仿宋_GB2312"/>
                <w:szCs w:val="21"/>
              </w:rPr>
              <w:t>500</w:t>
            </w:r>
          </w:p>
        </w:tc>
        <w:tc>
          <w:tcPr>
            <w:tcW w:w="656" w:type="pct"/>
            <w:shd w:val="clear" w:color="auto" w:fill="auto"/>
            <w:vAlign w:val="center"/>
          </w:tcPr>
          <w:p w14:paraId="7265E139">
            <w:pPr>
              <w:widowControl/>
              <w:snapToGrid w:val="0"/>
              <w:spacing w:line="320" w:lineRule="exact"/>
              <w:jc w:val="center"/>
              <w:rPr>
                <w:rFonts w:eastAsia="仿宋_GB2312"/>
                <w:szCs w:val="21"/>
              </w:rPr>
            </w:pPr>
            <w:r>
              <w:rPr>
                <w:rFonts w:eastAsia="仿宋_GB2312"/>
                <w:szCs w:val="21"/>
              </w:rPr>
              <w:t>/</w:t>
            </w:r>
          </w:p>
        </w:tc>
        <w:tc>
          <w:tcPr>
            <w:tcW w:w="716" w:type="pct"/>
            <w:vMerge w:val="continue"/>
            <w:shd w:val="clear" w:color="auto" w:fill="auto"/>
            <w:noWrap/>
            <w:vAlign w:val="center"/>
          </w:tcPr>
          <w:p w14:paraId="497E2B49">
            <w:pPr>
              <w:widowControl/>
              <w:snapToGrid w:val="0"/>
              <w:spacing w:line="320" w:lineRule="exact"/>
              <w:jc w:val="center"/>
              <w:rPr>
                <w:rFonts w:eastAsia="仿宋_GB2312"/>
                <w:szCs w:val="21"/>
              </w:rPr>
            </w:pPr>
          </w:p>
        </w:tc>
        <w:tc>
          <w:tcPr>
            <w:tcW w:w="601" w:type="pct"/>
            <w:vMerge w:val="continue"/>
            <w:vAlign w:val="center"/>
          </w:tcPr>
          <w:p w14:paraId="084F78CC">
            <w:pPr>
              <w:widowControl/>
              <w:snapToGrid w:val="0"/>
              <w:spacing w:line="320" w:lineRule="exact"/>
              <w:jc w:val="center"/>
              <w:rPr>
                <w:rFonts w:eastAsia="仿宋_GB2312"/>
                <w:szCs w:val="21"/>
              </w:rPr>
            </w:pPr>
          </w:p>
        </w:tc>
      </w:tr>
      <w:tr w14:paraId="4F3921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52" w:type="pct"/>
            <w:vMerge w:val="continue"/>
            <w:shd w:val="clear" w:color="auto" w:fill="auto"/>
            <w:vAlign w:val="center"/>
          </w:tcPr>
          <w:p w14:paraId="21446796">
            <w:pPr>
              <w:widowControl/>
              <w:snapToGrid w:val="0"/>
              <w:spacing w:line="320" w:lineRule="exact"/>
              <w:jc w:val="center"/>
              <w:rPr>
                <w:rFonts w:eastAsia="仿宋_GB2312"/>
                <w:szCs w:val="21"/>
              </w:rPr>
            </w:pPr>
          </w:p>
        </w:tc>
        <w:tc>
          <w:tcPr>
            <w:tcW w:w="476" w:type="pct"/>
            <w:vMerge w:val="continue"/>
            <w:shd w:val="clear" w:color="auto" w:fill="auto"/>
            <w:vAlign w:val="center"/>
          </w:tcPr>
          <w:p w14:paraId="5846B43E">
            <w:pPr>
              <w:widowControl/>
              <w:snapToGrid w:val="0"/>
              <w:spacing w:line="320" w:lineRule="exact"/>
              <w:jc w:val="center"/>
              <w:rPr>
                <w:rFonts w:eastAsia="仿宋_GB2312"/>
                <w:szCs w:val="21"/>
              </w:rPr>
            </w:pPr>
          </w:p>
        </w:tc>
        <w:tc>
          <w:tcPr>
            <w:tcW w:w="337" w:type="pct"/>
            <w:shd w:val="clear" w:color="auto" w:fill="auto"/>
            <w:vAlign w:val="center"/>
          </w:tcPr>
          <w:p w14:paraId="2B7D84B1">
            <w:pPr>
              <w:widowControl/>
              <w:snapToGrid w:val="0"/>
              <w:spacing w:line="320" w:lineRule="exact"/>
              <w:jc w:val="center"/>
              <w:rPr>
                <w:rFonts w:eastAsia="仿宋_GB2312"/>
                <w:szCs w:val="21"/>
              </w:rPr>
            </w:pPr>
            <w:r>
              <w:rPr>
                <w:rFonts w:hint="eastAsia" w:eastAsia="仿宋_GB2312"/>
                <w:szCs w:val="21"/>
              </w:rPr>
              <w:t>5</w:t>
            </w:r>
          </w:p>
        </w:tc>
        <w:tc>
          <w:tcPr>
            <w:tcW w:w="1117" w:type="pct"/>
            <w:gridSpan w:val="2"/>
            <w:shd w:val="clear" w:color="auto" w:fill="auto"/>
            <w:vAlign w:val="center"/>
          </w:tcPr>
          <w:p w14:paraId="09584FCC">
            <w:pPr>
              <w:widowControl/>
              <w:snapToGrid w:val="0"/>
              <w:spacing w:line="320" w:lineRule="exact"/>
              <w:jc w:val="center"/>
              <w:rPr>
                <w:rFonts w:eastAsia="仿宋_GB2312"/>
                <w:szCs w:val="21"/>
              </w:rPr>
            </w:pPr>
            <w:r>
              <w:rPr>
                <w:rFonts w:eastAsia="仿宋_GB2312"/>
                <w:szCs w:val="21"/>
              </w:rPr>
              <w:t>电子零件</w:t>
            </w:r>
          </w:p>
        </w:tc>
        <w:tc>
          <w:tcPr>
            <w:tcW w:w="642" w:type="pct"/>
            <w:shd w:val="clear" w:color="auto" w:fill="auto"/>
            <w:vAlign w:val="center"/>
          </w:tcPr>
          <w:p w14:paraId="1BFA0241">
            <w:pPr>
              <w:widowControl/>
              <w:snapToGrid w:val="0"/>
              <w:spacing w:line="320" w:lineRule="exact"/>
              <w:jc w:val="center"/>
              <w:rPr>
                <w:rFonts w:eastAsia="仿宋_GB2312"/>
                <w:szCs w:val="21"/>
              </w:rPr>
            </w:pPr>
            <w:r>
              <w:rPr>
                <w:rFonts w:eastAsia="仿宋_GB2312"/>
                <w:szCs w:val="21"/>
              </w:rPr>
              <w:t>50万件/年</w:t>
            </w:r>
          </w:p>
        </w:tc>
        <w:tc>
          <w:tcPr>
            <w:tcW w:w="656" w:type="pct"/>
            <w:shd w:val="clear" w:color="auto" w:fill="auto"/>
            <w:vAlign w:val="center"/>
          </w:tcPr>
          <w:p w14:paraId="6135337B">
            <w:pPr>
              <w:widowControl/>
              <w:snapToGrid w:val="0"/>
              <w:spacing w:line="320" w:lineRule="exact"/>
              <w:jc w:val="center"/>
              <w:rPr>
                <w:rFonts w:eastAsia="仿宋_GB2312"/>
                <w:szCs w:val="21"/>
              </w:rPr>
            </w:pPr>
            <w:r>
              <w:rPr>
                <w:rFonts w:eastAsia="仿宋_GB2312"/>
                <w:szCs w:val="21"/>
              </w:rPr>
              <w:t>/</w:t>
            </w:r>
          </w:p>
        </w:tc>
        <w:tc>
          <w:tcPr>
            <w:tcW w:w="716" w:type="pct"/>
            <w:vMerge w:val="continue"/>
            <w:shd w:val="clear" w:color="auto" w:fill="auto"/>
            <w:noWrap/>
            <w:vAlign w:val="center"/>
          </w:tcPr>
          <w:p w14:paraId="5104D48B">
            <w:pPr>
              <w:widowControl/>
              <w:snapToGrid w:val="0"/>
              <w:spacing w:line="320" w:lineRule="exact"/>
              <w:jc w:val="center"/>
              <w:rPr>
                <w:rFonts w:eastAsia="仿宋_GB2312"/>
                <w:szCs w:val="21"/>
              </w:rPr>
            </w:pPr>
          </w:p>
        </w:tc>
        <w:tc>
          <w:tcPr>
            <w:tcW w:w="601" w:type="pct"/>
            <w:vMerge w:val="continue"/>
            <w:vAlign w:val="center"/>
          </w:tcPr>
          <w:p w14:paraId="415AB0B0">
            <w:pPr>
              <w:widowControl/>
              <w:snapToGrid w:val="0"/>
              <w:spacing w:line="320" w:lineRule="exact"/>
              <w:jc w:val="center"/>
              <w:rPr>
                <w:rFonts w:eastAsia="仿宋_GB2312"/>
                <w:szCs w:val="21"/>
              </w:rPr>
            </w:pPr>
          </w:p>
        </w:tc>
      </w:tr>
      <w:tr w14:paraId="40C46B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52" w:type="pct"/>
            <w:vMerge w:val="continue"/>
            <w:shd w:val="clear" w:color="auto" w:fill="auto"/>
            <w:vAlign w:val="center"/>
          </w:tcPr>
          <w:p w14:paraId="5DD0F6CD">
            <w:pPr>
              <w:widowControl/>
              <w:snapToGrid w:val="0"/>
              <w:spacing w:line="320" w:lineRule="exact"/>
              <w:jc w:val="center"/>
              <w:rPr>
                <w:rFonts w:eastAsia="仿宋_GB2312"/>
                <w:szCs w:val="21"/>
              </w:rPr>
            </w:pPr>
          </w:p>
        </w:tc>
        <w:tc>
          <w:tcPr>
            <w:tcW w:w="476" w:type="pct"/>
            <w:vMerge w:val="continue"/>
            <w:shd w:val="clear" w:color="auto" w:fill="auto"/>
            <w:vAlign w:val="center"/>
          </w:tcPr>
          <w:p w14:paraId="349902D2">
            <w:pPr>
              <w:widowControl/>
              <w:snapToGrid w:val="0"/>
              <w:spacing w:line="320" w:lineRule="exact"/>
              <w:jc w:val="center"/>
              <w:rPr>
                <w:rFonts w:eastAsia="仿宋_GB2312"/>
                <w:szCs w:val="21"/>
              </w:rPr>
            </w:pPr>
          </w:p>
        </w:tc>
        <w:tc>
          <w:tcPr>
            <w:tcW w:w="337" w:type="pct"/>
            <w:shd w:val="clear" w:color="auto" w:fill="auto"/>
            <w:vAlign w:val="center"/>
          </w:tcPr>
          <w:p w14:paraId="6D0DFECA">
            <w:pPr>
              <w:widowControl/>
              <w:snapToGrid w:val="0"/>
              <w:spacing w:line="320" w:lineRule="exact"/>
              <w:jc w:val="center"/>
              <w:rPr>
                <w:rFonts w:eastAsia="仿宋_GB2312"/>
                <w:szCs w:val="21"/>
              </w:rPr>
            </w:pPr>
            <w:r>
              <w:rPr>
                <w:rFonts w:hint="eastAsia" w:eastAsia="仿宋_GB2312"/>
                <w:szCs w:val="21"/>
              </w:rPr>
              <w:t>6</w:t>
            </w:r>
          </w:p>
        </w:tc>
        <w:tc>
          <w:tcPr>
            <w:tcW w:w="1117" w:type="pct"/>
            <w:gridSpan w:val="2"/>
            <w:shd w:val="clear" w:color="auto" w:fill="auto"/>
            <w:vAlign w:val="center"/>
          </w:tcPr>
          <w:p w14:paraId="4CF476AE">
            <w:pPr>
              <w:widowControl/>
              <w:snapToGrid w:val="0"/>
              <w:spacing w:line="320" w:lineRule="exact"/>
              <w:jc w:val="center"/>
              <w:rPr>
                <w:rFonts w:eastAsia="仿宋_GB2312"/>
                <w:szCs w:val="21"/>
              </w:rPr>
            </w:pPr>
            <w:r>
              <w:rPr>
                <w:rFonts w:eastAsia="仿宋_GB2312"/>
                <w:szCs w:val="21"/>
              </w:rPr>
              <w:t>五金器具</w:t>
            </w:r>
          </w:p>
        </w:tc>
        <w:tc>
          <w:tcPr>
            <w:tcW w:w="642" w:type="pct"/>
            <w:shd w:val="clear" w:color="auto" w:fill="auto"/>
            <w:vAlign w:val="center"/>
          </w:tcPr>
          <w:p w14:paraId="5979CF3F">
            <w:pPr>
              <w:widowControl/>
              <w:snapToGrid w:val="0"/>
              <w:spacing w:line="320" w:lineRule="exact"/>
              <w:jc w:val="center"/>
              <w:rPr>
                <w:rFonts w:eastAsia="仿宋_GB2312"/>
                <w:szCs w:val="21"/>
              </w:rPr>
            </w:pPr>
            <w:r>
              <w:rPr>
                <w:rFonts w:eastAsia="仿宋_GB2312"/>
                <w:szCs w:val="21"/>
              </w:rPr>
              <w:t>50万件/年</w:t>
            </w:r>
          </w:p>
        </w:tc>
        <w:tc>
          <w:tcPr>
            <w:tcW w:w="656" w:type="pct"/>
            <w:shd w:val="clear" w:color="auto" w:fill="auto"/>
            <w:vAlign w:val="center"/>
          </w:tcPr>
          <w:p w14:paraId="31107C27">
            <w:pPr>
              <w:widowControl/>
              <w:snapToGrid w:val="0"/>
              <w:spacing w:line="320" w:lineRule="exact"/>
              <w:jc w:val="center"/>
              <w:rPr>
                <w:rFonts w:eastAsia="仿宋_GB2312"/>
                <w:szCs w:val="21"/>
              </w:rPr>
            </w:pPr>
            <w:r>
              <w:rPr>
                <w:rFonts w:eastAsia="仿宋_GB2312"/>
                <w:szCs w:val="21"/>
              </w:rPr>
              <w:t>/</w:t>
            </w:r>
          </w:p>
        </w:tc>
        <w:tc>
          <w:tcPr>
            <w:tcW w:w="716" w:type="pct"/>
            <w:vMerge w:val="continue"/>
            <w:shd w:val="clear" w:color="auto" w:fill="auto"/>
            <w:noWrap/>
            <w:vAlign w:val="center"/>
          </w:tcPr>
          <w:p w14:paraId="6077BCF5">
            <w:pPr>
              <w:widowControl/>
              <w:snapToGrid w:val="0"/>
              <w:spacing w:line="320" w:lineRule="exact"/>
              <w:jc w:val="center"/>
              <w:rPr>
                <w:rFonts w:eastAsia="仿宋_GB2312"/>
                <w:szCs w:val="21"/>
              </w:rPr>
            </w:pPr>
          </w:p>
        </w:tc>
        <w:tc>
          <w:tcPr>
            <w:tcW w:w="601" w:type="pct"/>
            <w:vMerge w:val="continue"/>
            <w:vAlign w:val="center"/>
          </w:tcPr>
          <w:p w14:paraId="6C98E635">
            <w:pPr>
              <w:widowControl/>
              <w:snapToGrid w:val="0"/>
              <w:spacing w:line="320" w:lineRule="exact"/>
              <w:jc w:val="center"/>
              <w:rPr>
                <w:rFonts w:eastAsia="仿宋_GB2312"/>
                <w:szCs w:val="21"/>
              </w:rPr>
            </w:pPr>
          </w:p>
        </w:tc>
      </w:tr>
      <w:tr w14:paraId="3738FD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52" w:type="pct"/>
            <w:vMerge w:val="continue"/>
            <w:shd w:val="clear" w:color="auto" w:fill="auto"/>
            <w:vAlign w:val="center"/>
          </w:tcPr>
          <w:p w14:paraId="4A6F1EE0">
            <w:pPr>
              <w:widowControl/>
              <w:snapToGrid w:val="0"/>
              <w:spacing w:line="320" w:lineRule="exact"/>
              <w:jc w:val="center"/>
              <w:rPr>
                <w:rFonts w:eastAsia="仿宋_GB2312"/>
                <w:szCs w:val="21"/>
              </w:rPr>
            </w:pPr>
          </w:p>
        </w:tc>
        <w:tc>
          <w:tcPr>
            <w:tcW w:w="476" w:type="pct"/>
            <w:vMerge w:val="restart"/>
            <w:shd w:val="clear" w:color="auto" w:fill="auto"/>
            <w:vAlign w:val="center"/>
          </w:tcPr>
          <w:p w14:paraId="2400550A">
            <w:pPr>
              <w:widowControl/>
              <w:snapToGrid w:val="0"/>
              <w:spacing w:line="312" w:lineRule="exact"/>
              <w:jc w:val="center"/>
              <w:rPr>
                <w:rFonts w:eastAsia="仿宋_GB2312"/>
                <w:szCs w:val="21"/>
              </w:rPr>
            </w:pPr>
            <w:r>
              <w:rPr>
                <w:rFonts w:eastAsia="仿宋_GB2312"/>
                <w:szCs w:val="21"/>
              </w:rPr>
              <w:t>7#车间</w:t>
            </w:r>
          </w:p>
        </w:tc>
        <w:tc>
          <w:tcPr>
            <w:tcW w:w="337" w:type="pct"/>
            <w:shd w:val="clear" w:color="auto" w:fill="auto"/>
            <w:vAlign w:val="center"/>
          </w:tcPr>
          <w:p w14:paraId="3BCB160F">
            <w:pPr>
              <w:widowControl/>
              <w:snapToGrid w:val="0"/>
              <w:spacing w:line="312" w:lineRule="exact"/>
              <w:jc w:val="center"/>
              <w:rPr>
                <w:rFonts w:eastAsia="仿宋_GB2312"/>
                <w:szCs w:val="21"/>
              </w:rPr>
            </w:pPr>
            <w:r>
              <w:rPr>
                <w:rFonts w:hint="eastAsia" w:eastAsia="仿宋_GB2312"/>
                <w:szCs w:val="21"/>
              </w:rPr>
              <w:t>1</w:t>
            </w:r>
          </w:p>
        </w:tc>
        <w:tc>
          <w:tcPr>
            <w:tcW w:w="1117" w:type="pct"/>
            <w:gridSpan w:val="2"/>
            <w:shd w:val="clear" w:color="auto" w:fill="auto"/>
            <w:vAlign w:val="center"/>
          </w:tcPr>
          <w:p w14:paraId="791A047A">
            <w:pPr>
              <w:widowControl/>
              <w:snapToGrid w:val="0"/>
              <w:spacing w:line="312" w:lineRule="exact"/>
              <w:jc w:val="center"/>
              <w:rPr>
                <w:rFonts w:eastAsia="仿宋_GB2312"/>
                <w:szCs w:val="21"/>
              </w:rPr>
            </w:pPr>
            <w:r>
              <w:rPr>
                <w:rFonts w:eastAsia="仿宋_GB2312"/>
                <w:szCs w:val="21"/>
              </w:rPr>
              <w:t>己二酸系聚酯多元醇</w:t>
            </w:r>
          </w:p>
        </w:tc>
        <w:tc>
          <w:tcPr>
            <w:tcW w:w="642" w:type="pct"/>
            <w:shd w:val="clear" w:color="auto" w:fill="auto"/>
            <w:vAlign w:val="center"/>
          </w:tcPr>
          <w:p w14:paraId="762AC403">
            <w:pPr>
              <w:widowControl/>
              <w:snapToGrid w:val="0"/>
              <w:spacing w:line="312" w:lineRule="exact"/>
              <w:jc w:val="center"/>
              <w:rPr>
                <w:rFonts w:eastAsia="仿宋_GB2312"/>
                <w:szCs w:val="21"/>
              </w:rPr>
            </w:pPr>
            <w:r>
              <w:rPr>
                <w:rFonts w:hint="eastAsia" w:eastAsia="仿宋_GB2312"/>
                <w:szCs w:val="21"/>
              </w:rPr>
              <w:t>15</w:t>
            </w:r>
            <w:r>
              <w:rPr>
                <w:rFonts w:eastAsia="仿宋_GB2312"/>
                <w:szCs w:val="21"/>
              </w:rPr>
              <w:t>000</w:t>
            </w:r>
          </w:p>
        </w:tc>
        <w:tc>
          <w:tcPr>
            <w:tcW w:w="656" w:type="pct"/>
            <w:shd w:val="clear" w:color="auto" w:fill="auto"/>
            <w:vAlign w:val="center"/>
          </w:tcPr>
          <w:p w14:paraId="61AEA57E">
            <w:pPr>
              <w:widowControl/>
              <w:snapToGrid w:val="0"/>
              <w:spacing w:line="312" w:lineRule="exact"/>
              <w:jc w:val="center"/>
              <w:rPr>
                <w:rFonts w:eastAsia="仿宋_GB2312"/>
                <w:szCs w:val="21"/>
              </w:rPr>
            </w:pPr>
            <w:r>
              <w:rPr>
                <w:rFonts w:eastAsia="仿宋_GB2312"/>
                <w:szCs w:val="21"/>
              </w:rPr>
              <w:t>/</w:t>
            </w:r>
          </w:p>
        </w:tc>
        <w:tc>
          <w:tcPr>
            <w:tcW w:w="716" w:type="pct"/>
            <w:shd w:val="clear" w:color="auto" w:fill="auto"/>
            <w:noWrap/>
            <w:vAlign w:val="center"/>
          </w:tcPr>
          <w:p w14:paraId="040FBD1A">
            <w:pPr>
              <w:widowControl/>
              <w:snapToGrid w:val="0"/>
              <w:spacing w:line="320" w:lineRule="exact"/>
              <w:jc w:val="center"/>
              <w:rPr>
                <w:rFonts w:eastAsia="仿宋_GB2312"/>
                <w:szCs w:val="21"/>
              </w:rPr>
            </w:pPr>
            <w:r>
              <w:rPr>
                <w:rFonts w:eastAsia="仿宋_GB2312"/>
                <w:szCs w:val="21"/>
              </w:rPr>
              <w:t>7200</w:t>
            </w:r>
          </w:p>
        </w:tc>
        <w:tc>
          <w:tcPr>
            <w:tcW w:w="601" w:type="pct"/>
            <w:vMerge w:val="continue"/>
            <w:vAlign w:val="center"/>
          </w:tcPr>
          <w:p w14:paraId="6AD63841">
            <w:pPr>
              <w:widowControl/>
              <w:snapToGrid w:val="0"/>
              <w:spacing w:line="320" w:lineRule="exact"/>
              <w:jc w:val="center"/>
              <w:rPr>
                <w:rFonts w:eastAsia="仿宋_GB2312"/>
                <w:szCs w:val="21"/>
              </w:rPr>
            </w:pPr>
          </w:p>
        </w:tc>
      </w:tr>
      <w:tr w14:paraId="4DB39F6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52" w:type="pct"/>
            <w:vMerge w:val="continue"/>
            <w:shd w:val="clear" w:color="auto" w:fill="auto"/>
            <w:vAlign w:val="center"/>
          </w:tcPr>
          <w:p w14:paraId="20522F5A">
            <w:pPr>
              <w:widowControl/>
              <w:snapToGrid w:val="0"/>
              <w:spacing w:line="320" w:lineRule="exact"/>
              <w:jc w:val="center"/>
              <w:rPr>
                <w:rFonts w:eastAsia="仿宋_GB2312"/>
                <w:szCs w:val="21"/>
              </w:rPr>
            </w:pPr>
          </w:p>
        </w:tc>
        <w:tc>
          <w:tcPr>
            <w:tcW w:w="476" w:type="pct"/>
            <w:vMerge w:val="continue"/>
            <w:shd w:val="clear" w:color="auto" w:fill="auto"/>
            <w:vAlign w:val="center"/>
          </w:tcPr>
          <w:p w14:paraId="0BEF5AED">
            <w:pPr>
              <w:widowControl/>
              <w:snapToGrid w:val="0"/>
              <w:spacing w:line="312" w:lineRule="exact"/>
              <w:jc w:val="center"/>
              <w:rPr>
                <w:rFonts w:eastAsia="仿宋_GB2312"/>
                <w:szCs w:val="21"/>
              </w:rPr>
            </w:pPr>
          </w:p>
        </w:tc>
        <w:tc>
          <w:tcPr>
            <w:tcW w:w="337" w:type="pct"/>
            <w:shd w:val="clear" w:color="auto" w:fill="auto"/>
            <w:vAlign w:val="center"/>
          </w:tcPr>
          <w:p w14:paraId="787FF7A8">
            <w:pPr>
              <w:widowControl/>
              <w:snapToGrid w:val="0"/>
              <w:spacing w:line="312" w:lineRule="exact"/>
              <w:jc w:val="center"/>
              <w:rPr>
                <w:rFonts w:eastAsia="仿宋_GB2312"/>
                <w:szCs w:val="21"/>
              </w:rPr>
            </w:pPr>
            <w:r>
              <w:rPr>
                <w:rFonts w:hint="eastAsia" w:eastAsia="仿宋_GB2312"/>
                <w:szCs w:val="21"/>
              </w:rPr>
              <w:t>2</w:t>
            </w:r>
          </w:p>
        </w:tc>
        <w:tc>
          <w:tcPr>
            <w:tcW w:w="1117" w:type="pct"/>
            <w:gridSpan w:val="2"/>
            <w:shd w:val="clear" w:color="auto" w:fill="auto"/>
            <w:vAlign w:val="center"/>
          </w:tcPr>
          <w:p w14:paraId="604CE5C2">
            <w:pPr>
              <w:widowControl/>
              <w:snapToGrid w:val="0"/>
              <w:spacing w:line="312" w:lineRule="exact"/>
              <w:jc w:val="center"/>
              <w:rPr>
                <w:rFonts w:eastAsia="仿宋_GB2312"/>
                <w:szCs w:val="21"/>
              </w:rPr>
            </w:pPr>
            <w:r>
              <w:rPr>
                <w:rFonts w:hint="eastAsia" w:eastAsia="仿宋_GB2312"/>
                <w:szCs w:val="21"/>
              </w:rPr>
              <w:t>99.5%丙三醇</w:t>
            </w:r>
          </w:p>
        </w:tc>
        <w:tc>
          <w:tcPr>
            <w:tcW w:w="642" w:type="pct"/>
            <w:shd w:val="clear" w:color="auto" w:fill="auto"/>
            <w:vAlign w:val="center"/>
          </w:tcPr>
          <w:p w14:paraId="01173BE4">
            <w:pPr>
              <w:widowControl/>
              <w:snapToGrid w:val="0"/>
              <w:spacing w:line="312" w:lineRule="exact"/>
              <w:jc w:val="center"/>
              <w:rPr>
                <w:rFonts w:eastAsia="仿宋_GB2312"/>
                <w:szCs w:val="21"/>
              </w:rPr>
            </w:pPr>
            <w:r>
              <w:rPr>
                <w:rFonts w:hint="eastAsia" w:eastAsia="仿宋_GB2312"/>
                <w:szCs w:val="21"/>
              </w:rPr>
              <w:t>23750</w:t>
            </w:r>
          </w:p>
        </w:tc>
        <w:tc>
          <w:tcPr>
            <w:tcW w:w="656" w:type="pct"/>
            <w:shd w:val="clear" w:color="auto" w:fill="auto"/>
            <w:vAlign w:val="center"/>
          </w:tcPr>
          <w:p w14:paraId="73614954">
            <w:pPr>
              <w:widowControl/>
              <w:snapToGrid w:val="0"/>
              <w:spacing w:line="320" w:lineRule="exact"/>
              <w:jc w:val="center"/>
              <w:rPr>
                <w:rFonts w:eastAsia="仿宋_GB2312"/>
                <w:szCs w:val="21"/>
              </w:rPr>
            </w:pPr>
            <w:r>
              <w:rPr>
                <w:rFonts w:eastAsia="仿宋_GB2312"/>
                <w:szCs w:val="21"/>
              </w:rPr>
              <w:t>/</w:t>
            </w:r>
          </w:p>
        </w:tc>
        <w:tc>
          <w:tcPr>
            <w:tcW w:w="716" w:type="pct"/>
            <w:vMerge w:val="restart"/>
            <w:shd w:val="clear" w:color="auto" w:fill="auto"/>
            <w:noWrap/>
            <w:vAlign w:val="center"/>
          </w:tcPr>
          <w:p w14:paraId="764721DC">
            <w:pPr>
              <w:widowControl/>
              <w:snapToGrid w:val="0"/>
              <w:spacing w:line="320" w:lineRule="exact"/>
              <w:jc w:val="center"/>
              <w:rPr>
                <w:rFonts w:eastAsia="仿宋_GB2312"/>
                <w:szCs w:val="21"/>
              </w:rPr>
            </w:pPr>
            <w:r>
              <w:rPr>
                <w:rFonts w:hint="eastAsia" w:eastAsia="仿宋_GB2312"/>
                <w:szCs w:val="21"/>
              </w:rPr>
              <w:t>3960</w:t>
            </w:r>
          </w:p>
        </w:tc>
        <w:tc>
          <w:tcPr>
            <w:tcW w:w="601" w:type="pct"/>
            <w:vMerge w:val="continue"/>
            <w:vAlign w:val="center"/>
          </w:tcPr>
          <w:p w14:paraId="21EAF487">
            <w:pPr>
              <w:widowControl/>
              <w:snapToGrid w:val="0"/>
              <w:spacing w:line="320" w:lineRule="exact"/>
              <w:jc w:val="center"/>
              <w:rPr>
                <w:rFonts w:eastAsia="仿宋_GB2312"/>
                <w:szCs w:val="21"/>
              </w:rPr>
            </w:pPr>
          </w:p>
        </w:tc>
      </w:tr>
      <w:tr w14:paraId="656B3C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52" w:type="pct"/>
            <w:vMerge w:val="continue"/>
            <w:shd w:val="clear" w:color="auto" w:fill="auto"/>
            <w:vAlign w:val="center"/>
          </w:tcPr>
          <w:p w14:paraId="7EF733BE">
            <w:pPr>
              <w:widowControl/>
              <w:snapToGrid w:val="0"/>
              <w:spacing w:line="320" w:lineRule="exact"/>
              <w:jc w:val="center"/>
              <w:rPr>
                <w:rFonts w:eastAsia="仿宋_GB2312"/>
                <w:szCs w:val="21"/>
              </w:rPr>
            </w:pPr>
          </w:p>
        </w:tc>
        <w:tc>
          <w:tcPr>
            <w:tcW w:w="476" w:type="pct"/>
            <w:vMerge w:val="continue"/>
            <w:shd w:val="clear" w:color="auto" w:fill="auto"/>
            <w:vAlign w:val="center"/>
          </w:tcPr>
          <w:p w14:paraId="6C88ED7E">
            <w:pPr>
              <w:widowControl/>
              <w:snapToGrid w:val="0"/>
              <w:spacing w:line="312" w:lineRule="exact"/>
              <w:jc w:val="center"/>
              <w:rPr>
                <w:rFonts w:eastAsia="仿宋_GB2312"/>
                <w:szCs w:val="21"/>
              </w:rPr>
            </w:pPr>
          </w:p>
        </w:tc>
        <w:tc>
          <w:tcPr>
            <w:tcW w:w="337" w:type="pct"/>
            <w:shd w:val="clear" w:color="auto" w:fill="auto"/>
            <w:vAlign w:val="center"/>
          </w:tcPr>
          <w:p w14:paraId="5C0BE326">
            <w:pPr>
              <w:widowControl/>
              <w:snapToGrid w:val="0"/>
              <w:spacing w:line="312" w:lineRule="exact"/>
              <w:jc w:val="center"/>
              <w:rPr>
                <w:rFonts w:eastAsia="仿宋_GB2312"/>
                <w:szCs w:val="21"/>
              </w:rPr>
            </w:pPr>
            <w:r>
              <w:rPr>
                <w:rFonts w:hint="eastAsia" w:eastAsia="仿宋_GB2312"/>
                <w:szCs w:val="21"/>
              </w:rPr>
              <w:t>3</w:t>
            </w:r>
          </w:p>
        </w:tc>
        <w:tc>
          <w:tcPr>
            <w:tcW w:w="1117" w:type="pct"/>
            <w:gridSpan w:val="2"/>
            <w:shd w:val="clear" w:color="auto" w:fill="auto"/>
            <w:vAlign w:val="center"/>
          </w:tcPr>
          <w:p w14:paraId="4F1603B1">
            <w:pPr>
              <w:widowControl/>
              <w:snapToGrid w:val="0"/>
              <w:spacing w:line="312" w:lineRule="exact"/>
              <w:jc w:val="center"/>
              <w:rPr>
                <w:rFonts w:eastAsia="仿宋_GB2312"/>
                <w:szCs w:val="21"/>
              </w:rPr>
            </w:pPr>
            <w:r>
              <w:rPr>
                <w:rFonts w:hint="eastAsia" w:eastAsia="仿宋_GB2312"/>
                <w:szCs w:val="21"/>
              </w:rPr>
              <w:t>95%丙三醇</w:t>
            </w:r>
          </w:p>
        </w:tc>
        <w:tc>
          <w:tcPr>
            <w:tcW w:w="642" w:type="pct"/>
            <w:shd w:val="clear" w:color="auto" w:fill="auto"/>
            <w:vAlign w:val="center"/>
          </w:tcPr>
          <w:p w14:paraId="1A9883CE">
            <w:pPr>
              <w:widowControl/>
              <w:snapToGrid w:val="0"/>
              <w:spacing w:line="312" w:lineRule="exact"/>
              <w:jc w:val="center"/>
              <w:rPr>
                <w:rFonts w:eastAsia="仿宋_GB2312"/>
                <w:szCs w:val="21"/>
              </w:rPr>
            </w:pPr>
            <w:r>
              <w:rPr>
                <w:rFonts w:hint="eastAsia" w:eastAsia="仿宋_GB2312"/>
                <w:szCs w:val="21"/>
              </w:rPr>
              <w:t>1250</w:t>
            </w:r>
          </w:p>
        </w:tc>
        <w:tc>
          <w:tcPr>
            <w:tcW w:w="656" w:type="pct"/>
            <w:shd w:val="clear" w:color="auto" w:fill="auto"/>
            <w:vAlign w:val="center"/>
          </w:tcPr>
          <w:p w14:paraId="68053BE4">
            <w:pPr>
              <w:widowControl/>
              <w:snapToGrid w:val="0"/>
              <w:spacing w:line="320" w:lineRule="exact"/>
              <w:jc w:val="center"/>
              <w:rPr>
                <w:rFonts w:eastAsia="仿宋_GB2312"/>
                <w:szCs w:val="21"/>
              </w:rPr>
            </w:pPr>
            <w:r>
              <w:rPr>
                <w:rFonts w:eastAsia="仿宋_GB2312"/>
                <w:szCs w:val="21"/>
              </w:rPr>
              <w:t>/</w:t>
            </w:r>
          </w:p>
        </w:tc>
        <w:tc>
          <w:tcPr>
            <w:tcW w:w="716" w:type="pct"/>
            <w:vMerge w:val="continue"/>
            <w:shd w:val="clear" w:color="auto" w:fill="auto"/>
            <w:noWrap/>
            <w:vAlign w:val="center"/>
          </w:tcPr>
          <w:p w14:paraId="2BD793AA">
            <w:pPr>
              <w:widowControl/>
              <w:snapToGrid w:val="0"/>
              <w:spacing w:line="320" w:lineRule="exact"/>
              <w:jc w:val="center"/>
              <w:rPr>
                <w:rFonts w:eastAsia="仿宋_GB2312"/>
                <w:szCs w:val="21"/>
              </w:rPr>
            </w:pPr>
          </w:p>
        </w:tc>
        <w:tc>
          <w:tcPr>
            <w:tcW w:w="601" w:type="pct"/>
            <w:vMerge w:val="continue"/>
            <w:vAlign w:val="center"/>
          </w:tcPr>
          <w:p w14:paraId="0848A193">
            <w:pPr>
              <w:widowControl/>
              <w:snapToGrid w:val="0"/>
              <w:spacing w:line="320" w:lineRule="exact"/>
              <w:jc w:val="center"/>
              <w:rPr>
                <w:rFonts w:eastAsia="仿宋_GB2312"/>
                <w:szCs w:val="21"/>
              </w:rPr>
            </w:pPr>
          </w:p>
        </w:tc>
      </w:tr>
      <w:tr w14:paraId="1F7808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52" w:type="pct"/>
            <w:vMerge w:val="continue"/>
            <w:shd w:val="clear" w:color="auto" w:fill="auto"/>
            <w:vAlign w:val="center"/>
          </w:tcPr>
          <w:p w14:paraId="5DFADC85">
            <w:pPr>
              <w:widowControl/>
              <w:snapToGrid w:val="0"/>
              <w:spacing w:line="320" w:lineRule="exact"/>
              <w:jc w:val="center"/>
              <w:rPr>
                <w:rFonts w:eastAsia="仿宋_GB2312"/>
                <w:szCs w:val="21"/>
              </w:rPr>
            </w:pPr>
          </w:p>
        </w:tc>
        <w:tc>
          <w:tcPr>
            <w:tcW w:w="476" w:type="pct"/>
            <w:vMerge w:val="continue"/>
            <w:shd w:val="clear" w:color="auto" w:fill="auto"/>
            <w:vAlign w:val="center"/>
          </w:tcPr>
          <w:p w14:paraId="7BEAC4DC">
            <w:pPr>
              <w:widowControl/>
              <w:snapToGrid w:val="0"/>
              <w:spacing w:line="312" w:lineRule="exact"/>
              <w:jc w:val="center"/>
              <w:rPr>
                <w:rFonts w:eastAsia="仿宋_GB2312"/>
                <w:szCs w:val="21"/>
              </w:rPr>
            </w:pPr>
          </w:p>
        </w:tc>
        <w:tc>
          <w:tcPr>
            <w:tcW w:w="337" w:type="pct"/>
            <w:shd w:val="clear" w:color="auto" w:fill="auto"/>
            <w:vAlign w:val="center"/>
          </w:tcPr>
          <w:p w14:paraId="788F375C">
            <w:pPr>
              <w:widowControl/>
              <w:snapToGrid w:val="0"/>
              <w:spacing w:line="312" w:lineRule="exact"/>
              <w:jc w:val="center"/>
              <w:rPr>
                <w:rFonts w:eastAsia="仿宋_GB2312"/>
                <w:szCs w:val="21"/>
              </w:rPr>
            </w:pPr>
            <w:r>
              <w:rPr>
                <w:rFonts w:hint="eastAsia" w:eastAsia="仿宋_GB2312"/>
                <w:szCs w:val="21"/>
              </w:rPr>
              <w:t>4</w:t>
            </w:r>
          </w:p>
        </w:tc>
        <w:tc>
          <w:tcPr>
            <w:tcW w:w="1117" w:type="pct"/>
            <w:gridSpan w:val="2"/>
            <w:shd w:val="clear" w:color="auto" w:fill="auto"/>
            <w:vAlign w:val="center"/>
          </w:tcPr>
          <w:p w14:paraId="294BC5F9">
            <w:pPr>
              <w:widowControl/>
              <w:snapToGrid w:val="0"/>
              <w:spacing w:line="312" w:lineRule="exact"/>
              <w:jc w:val="center"/>
              <w:rPr>
                <w:rFonts w:eastAsia="仿宋_GB2312"/>
                <w:szCs w:val="21"/>
              </w:rPr>
            </w:pPr>
            <w:r>
              <w:rPr>
                <w:rFonts w:hint="eastAsia" w:eastAsia="仿宋_GB2312"/>
                <w:szCs w:val="21"/>
              </w:rPr>
              <w:t>油脂</w:t>
            </w:r>
          </w:p>
        </w:tc>
        <w:tc>
          <w:tcPr>
            <w:tcW w:w="642" w:type="pct"/>
            <w:shd w:val="clear" w:color="auto" w:fill="auto"/>
            <w:vAlign w:val="center"/>
          </w:tcPr>
          <w:p w14:paraId="5AF6BD8B">
            <w:pPr>
              <w:widowControl/>
              <w:snapToGrid w:val="0"/>
              <w:spacing w:line="312" w:lineRule="exact"/>
              <w:jc w:val="center"/>
              <w:rPr>
                <w:rFonts w:eastAsia="仿宋_GB2312"/>
                <w:szCs w:val="21"/>
              </w:rPr>
            </w:pPr>
            <w:r>
              <w:rPr>
                <w:rFonts w:hint="eastAsia" w:eastAsia="仿宋_GB2312"/>
                <w:szCs w:val="21"/>
              </w:rPr>
              <w:t>250</w:t>
            </w:r>
          </w:p>
        </w:tc>
        <w:tc>
          <w:tcPr>
            <w:tcW w:w="656" w:type="pct"/>
            <w:shd w:val="clear" w:color="auto" w:fill="auto"/>
            <w:vAlign w:val="center"/>
          </w:tcPr>
          <w:p w14:paraId="46D26067">
            <w:pPr>
              <w:widowControl/>
              <w:snapToGrid w:val="0"/>
              <w:spacing w:line="320" w:lineRule="exact"/>
              <w:jc w:val="center"/>
              <w:rPr>
                <w:rFonts w:eastAsia="仿宋_GB2312"/>
                <w:szCs w:val="21"/>
              </w:rPr>
            </w:pPr>
            <w:r>
              <w:rPr>
                <w:rFonts w:eastAsia="仿宋_GB2312"/>
                <w:szCs w:val="21"/>
              </w:rPr>
              <w:t>/</w:t>
            </w:r>
          </w:p>
        </w:tc>
        <w:tc>
          <w:tcPr>
            <w:tcW w:w="716" w:type="pct"/>
            <w:vMerge w:val="continue"/>
            <w:shd w:val="clear" w:color="auto" w:fill="auto"/>
            <w:noWrap/>
            <w:vAlign w:val="center"/>
          </w:tcPr>
          <w:p w14:paraId="0FC92045">
            <w:pPr>
              <w:widowControl/>
              <w:snapToGrid w:val="0"/>
              <w:spacing w:line="320" w:lineRule="exact"/>
              <w:jc w:val="center"/>
              <w:rPr>
                <w:rFonts w:eastAsia="仿宋_GB2312"/>
                <w:szCs w:val="21"/>
              </w:rPr>
            </w:pPr>
          </w:p>
        </w:tc>
        <w:tc>
          <w:tcPr>
            <w:tcW w:w="601" w:type="pct"/>
            <w:vMerge w:val="continue"/>
            <w:vAlign w:val="center"/>
          </w:tcPr>
          <w:p w14:paraId="31E7AA2B">
            <w:pPr>
              <w:widowControl/>
              <w:snapToGrid w:val="0"/>
              <w:spacing w:line="320" w:lineRule="exact"/>
              <w:jc w:val="center"/>
              <w:rPr>
                <w:rFonts w:eastAsia="仿宋_GB2312"/>
                <w:szCs w:val="21"/>
              </w:rPr>
            </w:pPr>
          </w:p>
        </w:tc>
      </w:tr>
      <w:tr w14:paraId="17117D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52" w:type="pct"/>
            <w:vMerge w:val="continue"/>
            <w:shd w:val="clear" w:color="auto" w:fill="auto"/>
            <w:vAlign w:val="center"/>
          </w:tcPr>
          <w:p w14:paraId="5AF7018E">
            <w:pPr>
              <w:widowControl/>
              <w:snapToGrid w:val="0"/>
              <w:spacing w:line="320" w:lineRule="exact"/>
              <w:jc w:val="center"/>
              <w:rPr>
                <w:rFonts w:eastAsia="仿宋_GB2312"/>
                <w:szCs w:val="21"/>
              </w:rPr>
            </w:pPr>
          </w:p>
        </w:tc>
        <w:tc>
          <w:tcPr>
            <w:tcW w:w="476" w:type="pct"/>
            <w:vMerge w:val="continue"/>
            <w:shd w:val="clear" w:color="auto" w:fill="auto"/>
            <w:vAlign w:val="center"/>
          </w:tcPr>
          <w:p w14:paraId="5103974D">
            <w:pPr>
              <w:widowControl/>
              <w:snapToGrid w:val="0"/>
              <w:spacing w:line="312" w:lineRule="exact"/>
              <w:jc w:val="center"/>
              <w:rPr>
                <w:rFonts w:eastAsia="仿宋_GB2312"/>
                <w:szCs w:val="21"/>
              </w:rPr>
            </w:pPr>
          </w:p>
        </w:tc>
        <w:tc>
          <w:tcPr>
            <w:tcW w:w="337" w:type="pct"/>
            <w:shd w:val="clear" w:color="auto" w:fill="auto"/>
            <w:vAlign w:val="center"/>
          </w:tcPr>
          <w:p w14:paraId="11D04256">
            <w:pPr>
              <w:widowControl/>
              <w:snapToGrid w:val="0"/>
              <w:spacing w:line="312" w:lineRule="exact"/>
              <w:jc w:val="center"/>
              <w:rPr>
                <w:rFonts w:eastAsia="仿宋_GB2312"/>
                <w:szCs w:val="21"/>
              </w:rPr>
            </w:pPr>
            <w:r>
              <w:rPr>
                <w:rFonts w:hint="eastAsia" w:eastAsia="仿宋_GB2312"/>
                <w:szCs w:val="21"/>
              </w:rPr>
              <w:t>5</w:t>
            </w:r>
          </w:p>
        </w:tc>
        <w:tc>
          <w:tcPr>
            <w:tcW w:w="1117" w:type="pct"/>
            <w:gridSpan w:val="2"/>
            <w:shd w:val="clear" w:color="auto" w:fill="auto"/>
            <w:vAlign w:val="center"/>
          </w:tcPr>
          <w:p w14:paraId="7D8D9D27">
            <w:pPr>
              <w:widowControl/>
              <w:snapToGrid w:val="0"/>
              <w:spacing w:line="312" w:lineRule="exact"/>
              <w:jc w:val="center"/>
              <w:rPr>
                <w:rFonts w:eastAsia="仿宋_GB2312"/>
                <w:szCs w:val="21"/>
              </w:rPr>
            </w:pPr>
            <w:r>
              <w:rPr>
                <w:rFonts w:hint="eastAsia" w:eastAsia="仿宋_GB2312"/>
                <w:szCs w:val="21"/>
              </w:rPr>
              <w:t>工业盐</w:t>
            </w:r>
          </w:p>
        </w:tc>
        <w:tc>
          <w:tcPr>
            <w:tcW w:w="642" w:type="pct"/>
            <w:shd w:val="clear" w:color="auto" w:fill="auto"/>
            <w:vAlign w:val="center"/>
          </w:tcPr>
          <w:p w14:paraId="3CD2DF0C">
            <w:pPr>
              <w:widowControl/>
              <w:snapToGrid w:val="0"/>
              <w:spacing w:line="312" w:lineRule="exact"/>
              <w:jc w:val="center"/>
              <w:rPr>
                <w:rFonts w:eastAsia="仿宋_GB2312"/>
                <w:szCs w:val="21"/>
              </w:rPr>
            </w:pPr>
            <w:r>
              <w:rPr>
                <w:rFonts w:hint="eastAsia" w:eastAsia="仿宋_GB2312"/>
                <w:szCs w:val="21"/>
              </w:rPr>
              <w:t>1000</w:t>
            </w:r>
          </w:p>
        </w:tc>
        <w:tc>
          <w:tcPr>
            <w:tcW w:w="656" w:type="pct"/>
            <w:shd w:val="clear" w:color="auto" w:fill="auto"/>
            <w:vAlign w:val="center"/>
          </w:tcPr>
          <w:p w14:paraId="00C3AF32">
            <w:pPr>
              <w:widowControl/>
              <w:snapToGrid w:val="0"/>
              <w:spacing w:line="320" w:lineRule="exact"/>
              <w:jc w:val="center"/>
              <w:rPr>
                <w:rFonts w:eastAsia="仿宋_GB2312"/>
                <w:szCs w:val="21"/>
              </w:rPr>
            </w:pPr>
            <w:r>
              <w:rPr>
                <w:rFonts w:eastAsia="仿宋_GB2312"/>
                <w:szCs w:val="21"/>
              </w:rPr>
              <w:t>/</w:t>
            </w:r>
          </w:p>
        </w:tc>
        <w:tc>
          <w:tcPr>
            <w:tcW w:w="716" w:type="pct"/>
            <w:vMerge w:val="continue"/>
            <w:shd w:val="clear" w:color="auto" w:fill="auto"/>
            <w:noWrap/>
            <w:vAlign w:val="center"/>
          </w:tcPr>
          <w:p w14:paraId="6E24D0DA">
            <w:pPr>
              <w:widowControl/>
              <w:snapToGrid w:val="0"/>
              <w:spacing w:line="320" w:lineRule="exact"/>
              <w:jc w:val="center"/>
              <w:rPr>
                <w:rFonts w:eastAsia="仿宋_GB2312"/>
                <w:szCs w:val="21"/>
              </w:rPr>
            </w:pPr>
          </w:p>
        </w:tc>
        <w:tc>
          <w:tcPr>
            <w:tcW w:w="601" w:type="pct"/>
            <w:vMerge w:val="continue"/>
            <w:vAlign w:val="center"/>
          </w:tcPr>
          <w:p w14:paraId="156D242D">
            <w:pPr>
              <w:widowControl/>
              <w:snapToGrid w:val="0"/>
              <w:spacing w:line="320" w:lineRule="exact"/>
              <w:jc w:val="center"/>
              <w:rPr>
                <w:rFonts w:eastAsia="仿宋_GB2312"/>
                <w:szCs w:val="21"/>
              </w:rPr>
            </w:pPr>
          </w:p>
        </w:tc>
      </w:tr>
      <w:tr w14:paraId="3092C93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52" w:type="pct"/>
            <w:vMerge w:val="continue"/>
            <w:shd w:val="clear" w:color="auto" w:fill="auto"/>
            <w:vAlign w:val="center"/>
          </w:tcPr>
          <w:p w14:paraId="1505CFD0">
            <w:pPr>
              <w:widowControl/>
              <w:snapToGrid w:val="0"/>
              <w:spacing w:line="320" w:lineRule="exact"/>
              <w:jc w:val="center"/>
              <w:rPr>
                <w:rFonts w:eastAsia="仿宋_GB2312"/>
                <w:szCs w:val="21"/>
              </w:rPr>
            </w:pPr>
          </w:p>
        </w:tc>
        <w:tc>
          <w:tcPr>
            <w:tcW w:w="476" w:type="pct"/>
            <w:vMerge w:val="continue"/>
            <w:shd w:val="clear" w:color="auto" w:fill="auto"/>
            <w:vAlign w:val="center"/>
          </w:tcPr>
          <w:p w14:paraId="1B0212CA">
            <w:pPr>
              <w:widowControl/>
              <w:snapToGrid w:val="0"/>
              <w:spacing w:line="312" w:lineRule="exact"/>
              <w:jc w:val="center"/>
              <w:rPr>
                <w:rFonts w:eastAsia="仿宋_GB2312"/>
                <w:szCs w:val="21"/>
              </w:rPr>
            </w:pPr>
          </w:p>
        </w:tc>
        <w:tc>
          <w:tcPr>
            <w:tcW w:w="337" w:type="pct"/>
            <w:shd w:val="clear" w:color="auto" w:fill="auto"/>
            <w:vAlign w:val="center"/>
          </w:tcPr>
          <w:p w14:paraId="39979A03">
            <w:pPr>
              <w:widowControl/>
              <w:snapToGrid w:val="0"/>
              <w:spacing w:line="312" w:lineRule="exact"/>
              <w:jc w:val="center"/>
              <w:rPr>
                <w:rFonts w:eastAsia="仿宋_GB2312"/>
                <w:szCs w:val="21"/>
              </w:rPr>
            </w:pPr>
            <w:r>
              <w:rPr>
                <w:rFonts w:hint="eastAsia" w:eastAsia="仿宋_GB2312"/>
                <w:szCs w:val="21"/>
              </w:rPr>
              <w:t>6</w:t>
            </w:r>
          </w:p>
        </w:tc>
        <w:tc>
          <w:tcPr>
            <w:tcW w:w="1117" w:type="pct"/>
            <w:gridSpan w:val="2"/>
            <w:shd w:val="clear" w:color="auto" w:fill="auto"/>
            <w:vAlign w:val="center"/>
          </w:tcPr>
          <w:p w14:paraId="07FC3BA3">
            <w:pPr>
              <w:widowControl/>
              <w:snapToGrid w:val="0"/>
              <w:spacing w:line="312" w:lineRule="exact"/>
              <w:jc w:val="center"/>
              <w:rPr>
                <w:rFonts w:eastAsia="仿宋_GB2312"/>
                <w:szCs w:val="21"/>
              </w:rPr>
            </w:pPr>
            <w:r>
              <w:rPr>
                <w:rFonts w:hint="eastAsia" w:eastAsia="仿宋_GB2312"/>
                <w:szCs w:val="21"/>
              </w:rPr>
              <w:t>聚合甘油</w:t>
            </w:r>
          </w:p>
        </w:tc>
        <w:tc>
          <w:tcPr>
            <w:tcW w:w="642" w:type="pct"/>
            <w:shd w:val="clear" w:color="auto" w:fill="auto"/>
            <w:vAlign w:val="center"/>
          </w:tcPr>
          <w:p w14:paraId="728887D2">
            <w:pPr>
              <w:widowControl/>
              <w:snapToGrid w:val="0"/>
              <w:spacing w:line="312" w:lineRule="exact"/>
              <w:jc w:val="center"/>
              <w:rPr>
                <w:rFonts w:eastAsia="仿宋_GB2312"/>
                <w:szCs w:val="21"/>
              </w:rPr>
            </w:pPr>
            <w:r>
              <w:rPr>
                <w:rFonts w:hint="eastAsia" w:eastAsia="仿宋_GB2312"/>
                <w:szCs w:val="21"/>
              </w:rPr>
              <w:t>1000</w:t>
            </w:r>
          </w:p>
        </w:tc>
        <w:tc>
          <w:tcPr>
            <w:tcW w:w="656" w:type="pct"/>
            <w:shd w:val="clear" w:color="auto" w:fill="auto"/>
            <w:vAlign w:val="center"/>
          </w:tcPr>
          <w:p w14:paraId="7ACF788C">
            <w:pPr>
              <w:widowControl/>
              <w:snapToGrid w:val="0"/>
              <w:spacing w:line="312" w:lineRule="exact"/>
              <w:jc w:val="center"/>
              <w:rPr>
                <w:rFonts w:eastAsia="仿宋_GB2312"/>
                <w:szCs w:val="21"/>
              </w:rPr>
            </w:pPr>
            <w:r>
              <w:rPr>
                <w:rFonts w:eastAsia="仿宋_GB2312"/>
                <w:szCs w:val="21"/>
              </w:rPr>
              <w:t>/</w:t>
            </w:r>
          </w:p>
        </w:tc>
        <w:tc>
          <w:tcPr>
            <w:tcW w:w="716" w:type="pct"/>
            <w:vMerge w:val="continue"/>
            <w:shd w:val="clear" w:color="auto" w:fill="auto"/>
            <w:noWrap/>
            <w:vAlign w:val="center"/>
          </w:tcPr>
          <w:p w14:paraId="04509D68">
            <w:pPr>
              <w:widowControl/>
              <w:snapToGrid w:val="0"/>
              <w:spacing w:line="320" w:lineRule="exact"/>
              <w:jc w:val="center"/>
              <w:rPr>
                <w:rFonts w:eastAsia="仿宋_GB2312"/>
                <w:szCs w:val="21"/>
              </w:rPr>
            </w:pPr>
          </w:p>
        </w:tc>
        <w:tc>
          <w:tcPr>
            <w:tcW w:w="601" w:type="pct"/>
            <w:vMerge w:val="continue"/>
            <w:vAlign w:val="center"/>
          </w:tcPr>
          <w:p w14:paraId="23B34CB7">
            <w:pPr>
              <w:widowControl/>
              <w:snapToGrid w:val="0"/>
              <w:spacing w:line="320" w:lineRule="exact"/>
              <w:jc w:val="center"/>
              <w:rPr>
                <w:rFonts w:eastAsia="仿宋_GB2312"/>
                <w:szCs w:val="21"/>
              </w:rPr>
            </w:pPr>
          </w:p>
        </w:tc>
      </w:tr>
    </w:tbl>
    <w:p w14:paraId="0A3E40CA">
      <w:pPr>
        <w:ind w:firstLine="422" w:firstLineChars="200"/>
        <w:rPr>
          <w:rFonts w:eastAsia="仿宋_GB2312"/>
          <w:b/>
          <w:bCs/>
          <w:szCs w:val="21"/>
        </w:rPr>
      </w:pPr>
      <w:r>
        <w:rPr>
          <w:rFonts w:eastAsia="仿宋_GB2312"/>
          <w:b/>
          <w:bCs/>
          <w:szCs w:val="21"/>
        </w:rPr>
        <w:t>备注：上表中溶剂回收</w:t>
      </w:r>
      <w:r>
        <w:rPr>
          <w:rFonts w:hint="eastAsia" w:eastAsia="仿宋_GB2312"/>
          <w:b/>
          <w:bCs/>
          <w:szCs w:val="21"/>
        </w:rPr>
        <w:t>和废液</w:t>
      </w:r>
      <w:r>
        <w:rPr>
          <w:rFonts w:eastAsia="仿宋_GB2312"/>
          <w:b/>
          <w:bCs/>
          <w:szCs w:val="21"/>
        </w:rPr>
        <w:t>处置项目对应的环评批复量和实际建成量均指回收</w:t>
      </w:r>
      <w:r>
        <w:rPr>
          <w:rFonts w:hint="eastAsia" w:eastAsia="仿宋_GB2312"/>
          <w:b/>
          <w:bCs/>
          <w:szCs w:val="21"/>
        </w:rPr>
        <w:t>处置的危废</w:t>
      </w:r>
      <w:r>
        <w:rPr>
          <w:rFonts w:eastAsia="仿宋_GB2312"/>
          <w:b/>
          <w:bCs/>
          <w:szCs w:val="21"/>
        </w:rPr>
        <w:t>量。</w:t>
      </w:r>
    </w:p>
    <w:p w14:paraId="114837E3">
      <w:pPr>
        <w:ind w:firstLine="420" w:firstLineChars="200"/>
        <w:rPr>
          <w:rFonts w:eastAsia="仿宋_GB2312"/>
          <w:color w:val="FF0000"/>
          <w:szCs w:val="21"/>
        </w:rPr>
      </w:pPr>
    </w:p>
    <w:p w14:paraId="1A94C347">
      <w:pPr>
        <w:pStyle w:val="2"/>
        <w:rPr>
          <w:color w:val="FF0000"/>
          <w:sz w:val="28"/>
          <w:szCs w:val="28"/>
        </w:rPr>
      </w:pPr>
    </w:p>
    <w:p w14:paraId="58143D07">
      <w:pPr>
        <w:rPr>
          <w:color w:val="FF0000"/>
        </w:rPr>
        <w:sectPr>
          <w:footerReference r:id="rId5" w:type="default"/>
          <w:pgSz w:w="16840" w:h="11907" w:orient="landscape"/>
          <w:pgMar w:top="1440" w:right="1800" w:bottom="1440" w:left="1800" w:header="851" w:footer="992" w:gutter="0"/>
          <w:pgBorders>
            <w:top w:val="none" w:sz="0" w:space="0"/>
            <w:left w:val="none" w:sz="0" w:space="0"/>
            <w:bottom w:val="none" w:sz="0" w:space="0"/>
            <w:right w:val="none" w:sz="0" w:space="0"/>
          </w:pgBorders>
          <w:pgNumType w:fmt="decimal"/>
          <w:cols w:space="425" w:num="1"/>
          <w:docGrid w:linePitch="326" w:charSpace="0"/>
        </w:sectPr>
      </w:pPr>
    </w:p>
    <w:p w14:paraId="1B762543">
      <w:pPr>
        <w:keepNext/>
        <w:tabs>
          <w:tab w:val="left" w:pos="709"/>
        </w:tabs>
        <w:spacing w:before="120" w:beforeLines="50" w:after="120" w:afterLines="50" w:line="500" w:lineRule="exact"/>
        <w:outlineLvl w:val="2"/>
        <w:rPr>
          <w:rFonts w:eastAsia="仿宋_GB2312"/>
          <w:b/>
          <w:bCs/>
          <w:sz w:val="28"/>
          <w:szCs w:val="28"/>
          <w:lang w:val="zh-CN"/>
        </w:rPr>
      </w:pPr>
      <w:bookmarkStart w:id="21" w:name="_Toc29480"/>
      <w:r>
        <w:rPr>
          <w:rFonts w:eastAsia="仿宋_GB2312"/>
          <w:b/>
          <w:bCs/>
          <w:sz w:val="28"/>
          <w:szCs w:val="28"/>
          <w:lang w:val="zh-CN"/>
        </w:rPr>
        <w:t>3.1.</w:t>
      </w:r>
      <w:r>
        <w:rPr>
          <w:rFonts w:hint="eastAsia" w:eastAsia="仿宋_GB2312"/>
          <w:b/>
          <w:bCs/>
          <w:sz w:val="28"/>
          <w:szCs w:val="28"/>
        </w:rPr>
        <w:t>3</w:t>
      </w:r>
      <w:r>
        <w:rPr>
          <w:rFonts w:eastAsia="仿宋_GB2312"/>
          <w:b/>
          <w:bCs/>
          <w:sz w:val="28"/>
          <w:szCs w:val="28"/>
          <w:lang w:val="zh-CN"/>
        </w:rPr>
        <w:t>原有项目公辅工程</w:t>
      </w:r>
      <w:bookmarkEnd w:id="21"/>
    </w:p>
    <w:p w14:paraId="1E804E83">
      <w:pPr>
        <w:spacing w:line="500" w:lineRule="exact"/>
        <w:ind w:firstLine="528" w:firstLineChars="200"/>
        <w:jc w:val="left"/>
        <w:rPr>
          <w:rFonts w:eastAsia="仿宋_GB2312"/>
          <w:spacing w:val="-8"/>
          <w:kern w:val="0"/>
          <w:sz w:val="28"/>
          <w:szCs w:val="28"/>
          <w:lang w:val="zh-CN"/>
        </w:rPr>
      </w:pPr>
      <w:r>
        <w:rPr>
          <w:rFonts w:eastAsia="仿宋_GB2312"/>
          <w:spacing w:val="-8"/>
          <w:kern w:val="0"/>
          <w:sz w:val="28"/>
          <w:szCs w:val="28"/>
          <w:lang w:val="zh-CN"/>
        </w:rPr>
        <w:t>原有项目公辅工程情况见表3.1-</w:t>
      </w:r>
      <w:r>
        <w:rPr>
          <w:rFonts w:hint="eastAsia" w:eastAsia="仿宋_GB2312"/>
          <w:spacing w:val="-8"/>
          <w:kern w:val="0"/>
          <w:sz w:val="28"/>
          <w:szCs w:val="28"/>
        </w:rPr>
        <w:t>2</w:t>
      </w:r>
      <w:r>
        <w:rPr>
          <w:rFonts w:eastAsia="仿宋_GB2312"/>
          <w:spacing w:val="-8"/>
          <w:kern w:val="0"/>
          <w:sz w:val="28"/>
          <w:szCs w:val="28"/>
          <w:lang w:val="zh-CN"/>
        </w:rPr>
        <w:t>。</w:t>
      </w:r>
    </w:p>
    <w:p w14:paraId="3B50C2E5">
      <w:pPr>
        <w:spacing w:line="500" w:lineRule="exact"/>
        <w:jc w:val="center"/>
        <w:rPr>
          <w:rFonts w:eastAsia="仿宋_GB2312"/>
          <w:b/>
          <w:spacing w:val="-6"/>
          <w:sz w:val="24"/>
        </w:rPr>
      </w:pPr>
      <w:r>
        <w:rPr>
          <w:rFonts w:eastAsia="仿宋_GB2312"/>
          <w:b/>
          <w:spacing w:val="-6"/>
          <w:sz w:val="24"/>
        </w:rPr>
        <w:t>表3.1-</w:t>
      </w:r>
      <w:r>
        <w:rPr>
          <w:rFonts w:hint="eastAsia" w:eastAsia="仿宋_GB2312"/>
          <w:b/>
          <w:spacing w:val="-6"/>
          <w:sz w:val="24"/>
        </w:rPr>
        <w:t>2</w:t>
      </w:r>
      <w:r>
        <w:rPr>
          <w:rFonts w:eastAsia="仿宋_GB2312"/>
          <w:b/>
          <w:spacing w:val="-6"/>
          <w:sz w:val="24"/>
        </w:rPr>
        <w:t xml:space="preserve">  原有项目公辅工程情况表</w:t>
      </w:r>
    </w:p>
    <w:tbl>
      <w:tblPr>
        <w:tblStyle w:val="88"/>
        <w:tblW w:w="5536"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708"/>
        <w:gridCol w:w="1275"/>
        <w:gridCol w:w="7459"/>
      </w:tblGrid>
      <w:tr w14:paraId="406F55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75" w:type="pct"/>
            <w:tcBorders>
              <w:tl2br w:val="nil"/>
              <w:tr2bl w:val="nil"/>
            </w:tcBorders>
            <w:vAlign w:val="center"/>
          </w:tcPr>
          <w:p w14:paraId="245193B9">
            <w:pPr>
              <w:widowControl/>
              <w:adjustRightInd w:val="0"/>
              <w:snapToGrid w:val="0"/>
              <w:spacing w:line="320" w:lineRule="exact"/>
              <w:jc w:val="center"/>
              <w:rPr>
                <w:rFonts w:eastAsia="仿宋_GB2312"/>
                <w:b/>
                <w:bCs/>
                <w:kern w:val="0"/>
              </w:rPr>
            </w:pPr>
            <w:r>
              <w:rPr>
                <w:rFonts w:eastAsia="仿宋_GB2312"/>
                <w:b/>
                <w:bCs/>
                <w:kern w:val="0"/>
              </w:rPr>
              <w:t>类别</w:t>
            </w:r>
          </w:p>
        </w:tc>
        <w:tc>
          <w:tcPr>
            <w:tcW w:w="675" w:type="pct"/>
            <w:tcBorders>
              <w:tl2br w:val="nil"/>
              <w:tr2bl w:val="nil"/>
            </w:tcBorders>
            <w:vAlign w:val="center"/>
          </w:tcPr>
          <w:p w14:paraId="689CF373">
            <w:pPr>
              <w:widowControl/>
              <w:adjustRightInd w:val="0"/>
              <w:snapToGrid w:val="0"/>
              <w:spacing w:line="320" w:lineRule="exact"/>
              <w:jc w:val="center"/>
              <w:rPr>
                <w:rFonts w:eastAsia="仿宋_GB2312"/>
                <w:b/>
                <w:bCs/>
                <w:kern w:val="0"/>
              </w:rPr>
            </w:pPr>
            <w:r>
              <w:rPr>
                <w:rFonts w:eastAsia="仿宋_GB2312"/>
                <w:b/>
                <w:bCs/>
                <w:kern w:val="0"/>
              </w:rPr>
              <w:t>建设名称</w:t>
            </w:r>
          </w:p>
        </w:tc>
        <w:tc>
          <w:tcPr>
            <w:tcW w:w="3950" w:type="pct"/>
            <w:tcBorders>
              <w:tl2br w:val="nil"/>
              <w:tr2bl w:val="nil"/>
            </w:tcBorders>
            <w:vAlign w:val="center"/>
          </w:tcPr>
          <w:p w14:paraId="68347B69">
            <w:pPr>
              <w:widowControl/>
              <w:adjustRightInd w:val="0"/>
              <w:snapToGrid w:val="0"/>
              <w:spacing w:line="320" w:lineRule="exact"/>
              <w:jc w:val="center"/>
              <w:rPr>
                <w:rFonts w:eastAsia="仿宋_GB2312"/>
                <w:b/>
                <w:bCs/>
                <w:kern w:val="0"/>
              </w:rPr>
            </w:pPr>
            <w:r>
              <w:rPr>
                <w:rFonts w:eastAsia="仿宋_GB2312"/>
                <w:b/>
                <w:bCs/>
                <w:kern w:val="0"/>
              </w:rPr>
              <w:t>原有项目建设情况</w:t>
            </w:r>
          </w:p>
        </w:tc>
      </w:tr>
      <w:tr w14:paraId="2D4727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75" w:type="pct"/>
            <w:vMerge w:val="restart"/>
            <w:tcBorders>
              <w:tl2br w:val="nil"/>
              <w:tr2bl w:val="nil"/>
            </w:tcBorders>
            <w:vAlign w:val="center"/>
          </w:tcPr>
          <w:p w14:paraId="0A3FEBFF">
            <w:pPr>
              <w:widowControl/>
              <w:adjustRightInd w:val="0"/>
              <w:snapToGrid w:val="0"/>
              <w:spacing w:line="320" w:lineRule="exact"/>
              <w:jc w:val="center"/>
              <w:rPr>
                <w:rFonts w:eastAsia="仿宋_GB2312"/>
                <w:kern w:val="0"/>
              </w:rPr>
            </w:pPr>
            <w:r>
              <w:rPr>
                <w:rFonts w:eastAsia="仿宋_GB2312"/>
                <w:kern w:val="0"/>
              </w:rPr>
              <w:t>储运</w:t>
            </w:r>
          </w:p>
          <w:p w14:paraId="514D3E06">
            <w:pPr>
              <w:widowControl/>
              <w:adjustRightInd w:val="0"/>
              <w:snapToGrid w:val="0"/>
              <w:spacing w:line="320" w:lineRule="exact"/>
              <w:jc w:val="center"/>
              <w:rPr>
                <w:rFonts w:eastAsia="仿宋_GB2312"/>
                <w:kern w:val="0"/>
              </w:rPr>
            </w:pPr>
            <w:r>
              <w:rPr>
                <w:rFonts w:eastAsia="仿宋_GB2312"/>
                <w:kern w:val="0"/>
              </w:rPr>
              <w:t>工程</w:t>
            </w:r>
          </w:p>
        </w:tc>
        <w:tc>
          <w:tcPr>
            <w:tcW w:w="675" w:type="pct"/>
            <w:tcBorders>
              <w:tl2br w:val="nil"/>
              <w:tr2bl w:val="nil"/>
            </w:tcBorders>
            <w:vAlign w:val="center"/>
          </w:tcPr>
          <w:p w14:paraId="1B51425A">
            <w:pPr>
              <w:widowControl/>
              <w:adjustRightInd w:val="0"/>
              <w:snapToGrid w:val="0"/>
              <w:spacing w:line="320" w:lineRule="exact"/>
              <w:jc w:val="center"/>
              <w:rPr>
                <w:rFonts w:eastAsia="仿宋_GB2312"/>
                <w:kern w:val="0"/>
              </w:rPr>
            </w:pPr>
            <w:r>
              <w:rPr>
                <w:rFonts w:eastAsia="仿宋_GB2312"/>
                <w:kern w:val="0"/>
              </w:rPr>
              <w:t>储罐区</w:t>
            </w:r>
          </w:p>
        </w:tc>
        <w:tc>
          <w:tcPr>
            <w:tcW w:w="3950" w:type="pct"/>
            <w:tcBorders>
              <w:tl2br w:val="nil"/>
              <w:tr2bl w:val="nil"/>
            </w:tcBorders>
            <w:vAlign w:val="center"/>
          </w:tcPr>
          <w:p w14:paraId="176B25D4">
            <w:pPr>
              <w:spacing w:line="320" w:lineRule="exact"/>
              <w:jc w:val="left"/>
              <w:rPr>
                <w:rFonts w:eastAsia="仿宋_GB2312"/>
                <w:szCs w:val="21"/>
              </w:rPr>
            </w:pPr>
            <w:r>
              <w:rPr>
                <w:rFonts w:eastAsia="仿宋_GB2312"/>
                <w:b/>
                <w:bCs/>
                <w:szCs w:val="21"/>
              </w:rPr>
              <w:t>1#储罐区（8</w:t>
            </w:r>
            <w:r>
              <w:rPr>
                <w:rFonts w:hint="eastAsia" w:eastAsia="仿宋_GB2312"/>
                <w:b/>
                <w:bCs/>
                <w:szCs w:val="21"/>
              </w:rPr>
              <w:t>个</w:t>
            </w:r>
            <w:r>
              <w:rPr>
                <w:rFonts w:eastAsia="仿宋_GB2312"/>
                <w:b/>
                <w:bCs/>
                <w:szCs w:val="21"/>
              </w:rPr>
              <w:t>70m</w:t>
            </w:r>
            <w:r>
              <w:rPr>
                <w:rFonts w:eastAsia="仿宋_GB2312"/>
                <w:b/>
                <w:bCs/>
                <w:szCs w:val="21"/>
                <w:vertAlign w:val="superscript"/>
              </w:rPr>
              <w:t>3</w:t>
            </w:r>
            <w:r>
              <w:rPr>
                <w:rFonts w:eastAsia="仿宋_GB2312"/>
                <w:b/>
                <w:bCs/>
                <w:szCs w:val="21"/>
              </w:rPr>
              <w:t>储罐）：</w:t>
            </w:r>
            <w:r>
              <w:rPr>
                <w:rFonts w:eastAsia="仿宋_GB2312"/>
                <w:kern w:val="0"/>
                <w:szCs w:val="21"/>
              </w:rPr>
              <w:t>其中两个储罐因安全因素停用，4个废液储罐分别存放甲醇废液、乙醇废液、丙酮废液、异丙醇废液，2个成品储罐分别存放甲醇和乙醇</w:t>
            </w:r>
            <w:r>
              <w:rPr>
                <w:rFonts w:hint="eastAsia" w:eastAsia="仿宋_GB2312"/>
                <w:szCs w:val="21"/>
              </w:rPr>
              <w:t>。</w:t>
            </w:r>
          </w:p>
          <w:p w14:paraId="57D8A538">
            <w:pPr>
              <w:spacing w:line="320" w:lineRule="exact"/>
              <w:jc w:val="left"/>
              <w:rPr>
                <w:rFonts w:eastAsia="仿宋_GB2312"/>
                <w:szCs w:val="21"/>
              </w:rPr>
            </w:pPr>
            <w:r>
              <w:rPr>
                <w:rFonts w:eastAsia="仿宋_GB2312"/>
                <w:b/>
                <w:bCs/>
                <w:szCs w:val="21"/>
              </w:rPr>
              <w:t>2#储罐区：</w:t>
            </w:r>
            <w:r>
              <w:rPr>
                <w:rFonts w:eastAsia="仿宋_GB2312"/>
                <w:szCs w:val="21"/>
              </w:rPr>
              <w:t>1个70m</w:t>
            </w:r>
            <w:r>
              <w:rPr>
                <w:rFonts w:eastAsia="仿宋_GB2312"/>
                <w:szCs w:val="21"/>
                <w:vertAlign w:val="superscript"/>
              </w:rPr>
              <w:t>3</w:t>
            </w:r>
            <w:r>
              <w:rPr>
                <w:rFonts w:eastAsia="仿宋_GB2312"/>
                <w:szCs w:val="21"/>
              </w:rPr>
              <w:t>高、低热值常压储罐；1个50m</w:t>
            </w:r>
            <w:r>
              <w:rPr>
                <w:rFonts w:eastAsia="仿宋_GB2312"/>
                <w:szCs w:val="21"/>
                <w:vertAlign w:val="superscript"/>
              </w:rPr>
              <w:t>3</w:t>
            </w:r>
            <w:r>
              <w:rPr>
                <w:rFonts w:eastAsia="仿宋_GB2312"/>
                <w:szCs w:val="21"/>
              </w:rPr>
              <w:t>柴油储罐；1个50m</w:t>
            </w:r>
            <w:r>
              <w:rPr>
                <w:rFonts w:eastAsia="仿宋_GB2312"/>
                <w:szCs w:val="21"/>
                <w:vertAlign w:val="superscript"/>
              </w:rPr>
              <w:t>3</w:t>
            </w:r>
            <w:r>
              <w:rPr>
                <w:rFonts w:eastAsia="仿宋_GB2312"/>
                <w:szCs w:val="21"/>
              </w:rPr>
              <w:t>液碱储罐</w:t>
            </w:r>
            <w:r>
              <w:rPr>
                <w:rFonts w:hint="eastAsia" w:eastAsia="仿宋_GB2312"/>
                <w:szCs w:val="21"/>
                <w:lang w:eastAsia="zh-CN"/>
              </w:rPr>
              <w:t>；</w:t>
            </w:r>
            <w:r>
              <w:rPr>
                <w:rFonts w:hint="eastAsia" w:eastAsia="仿宋_GB2312"/>
                <w:szCs w:val="21"/>
                <w:lang w:val="en-US" w:eastAsia="zh-CN"/>
              </w:rPr>
              <w:t>4个甘油储罐（闲置）</w:t>
            </w:r>
            <w:r>
              <w:rPr>
                <w:rFonts w:eastAsia="仿宋_GB2312"/>
                <w:szCs w:val="21"/>
              </w:rPr>
              <w:t>。</w:t>
            </w:r>
          </w:p>
        </w:tc>
      </w:tr>
      <w:tr w14:paraId="5B93B8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75" w:type="pct"/>
            <w:vMerge w:val="continue"/>
            <w:tcBorders>
              <w:tl2br w:val="nil"/>
              <w:tr2bl w:val="nil"/>
            </w:tcBorders>
            <w:vAlign w:val="center"/>
          </w:tcPr>
          <w:p w14:paraId="1DB65D96">
            <w:pPr>
              <w:widowControl/>
              <w:adjustRightInd w:val="0"/>
              <w:snapToGrid w:val="0"/>
              <w:spacing w:line="320" w:lineRule="exact"/>
              <w:jc w:val="center"/>
              <w:rPr>
                <w:rFonts w:eastAsia="仿宋_GB2312"/>
                <w:color w:val="FF0000"/>
                <w:kern w:val="0"/>
              </w:rPr>
            </w:pPr>
          </w:p>
        </w:tc>
        <w:tc>
          <w:tcPr>
            <w:tcW w:w="675" w:type="pct"/>
            <w:tcBorders>
              <w:tl2br w:val="nil"/>
              <w:tr2bl w:val="nil"/>
            </w:tcBorders>
            <w:vAlign w:val="center"/>
          </w:tcPr>
          <w:p w14:paraId="78310979">
            <w:pPr>
              <w:widowControl/>
              <w:adjustRightInd w:val="0"/>
              <w:snapToGrid w:val="0"/>
              <w:spacing w:line="320" w:lineRule="exact"/>
              <w:jc w:val="center"/>
              <w:rPr>
                <w:rFonts w:eastAsia="仿宋_GB2312"/>
                <w:kern w:val="0"/>
              </w:rPr>
            </w:pPr>
            <w:r>
              <w:rPr>
                <w:rFonts w:eastAsia="仿宋_GB2312"/>
                <w:kern w:val="0"/>
              </w:rPr>
              <w:t>原料及成品仓库</w:t>
            </w:r>
          </w:p>
        </w:tc>
        <w:tc>
          <w:tcPr>
            <w:tcW w:w="3950" w:type="pct"/>
            <w:tcBorders>
              <w:tl2br w:val="nil"/>
              <w:tr2bl w:val="nil"/>
            </w:tcBorders>
            <w:vAlign w:val="center"/>
          </w:tcPr>
          <w:p w14:paraId="0C4559D3">
            <w:pPr>
              <w:spacing w:line="320" w:lineRule="exact"/>
              <w:jc w:val="left"/>
              <w:rPr>
                <w:rFonts w:eastAsia="仿宋_GB2312"/>
                <w:szCs w:val="21"/>
              </w:rPr>
            </w:pPr>
            <w:r>
              <w:rPr>
                <w:rFonts w:eastAsia="仿宋_GB2312"/>
                <w:szCs w:val="21"/>
              </w:rPr>
              <w:t>1#仓库占地606m</w:t>
            </w:r>
            <w:r>
              <w:rPr>
                <w:rFonts w:eastAsia="仿宋_GB2312"/>
                <w:szCs w:val="21"/>
                <w:vertAlign w:val="superscript"/>
              </w:rPr>
              <w:t>2</w:t>
            </w:r>
            <w:r>
              <w:rPr>
                <w:rFonts w:eastAsia="仿宋_GB2312"/>
                <w:szCs w:val="21"/>
              </w:rPr>
              <w:t>，2#仓库占地728.6m</w:t>
            </w:r>
            <w:r>
              <w:rPr>
                <w:rFonts w:eastAsia="仿宋_GB2312"/>
                <w:szCs w:val="21"/>
                <w:vertAlign w:val="superscript"/>
              </w:rPr>
              <w:t>2</w:t>
            </w:r>
            <w:r>
              <w:rPr>
                <w:rFonts w:eastAsia="仿宋_GB2312"/>
                <w:szCs w:val="21"/>
              </w:rPr>
              <w:t>，3#仓库占地1920m</w:t>
            </w:r>
            <w:r>
              <w:rPr>
                <w:rFonts w:eastAsia="仿宋_GB2312"/>
                <w:szCs w:val="21"/>
                <w:vertAlign w:val="superscript"/>
              </w:rPr>
              <w:t>2</w:t>
            </w:r>
            <w:r>
              <w:rPr>
                <w:rFonts w:eastAsia="仿宋_GB2312"/>
                <w:szCs w:val="21"/>
              </w:rPr>
              <w:t>，4#仓库占地2940m</w:t>
            </w:r>
            <w:r>
              <w:rPr>
                <w:rFonts w:eastAsia="仿宋_GB2312"/>
                <w:szCs w:val="21"/>
                <w:vertAlign w:val="superscript"/>
              </w:rPr>
              <w:t>2</w:t>
            </w:r>
            <w:r>
              <w:rPr>
                <w:rFonts w:eastAsia="仿宋_GB2312"/>
                <w:szCs w:val="21"/>
              </w:rPr>
              <w:t>，5#仓库占地1500m</w:t>
            </w:r>
            <w:r>
              <w:rPr>
                <w:rFonts w:eastAsia="仿宋_GB2312"/>
                <w:szCs w:val="21"/>
                <w:vertAlign w:val="superscript"/>
              </w:rPr>
              <w:t>2</w:t>
            </w:r>
            <w:r>
              <w:rPr>
                <w:rFonts w:eastAsia="仿宋_GB2312"/>
                <w:szCs w:val="21"/>
              </w:rPr>
              <w:t>。</w:t>
            </w:r>
          </w:p>
        </w:tc>
      </w:tr>
      <w:tr w14:paraId="67C2E3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75" w:type="pct"/>
            <w:vMerge w:val="continue"/>
            <w:tcBorders>
              <w:tl2br w:val="nil"/>
              <w:tr2bl w:val="nil"/>
            </w:tcBorders>
            <w:vAlign w:val="center"/>
          </w:tcPr>
          <w:p w14:paraId="4D201066">
            <w:pPr>
              <w:spacing w:line="320" w:lineRule="exact"/>
              <w:jc w:val="center"/>
              <w:rPr>
                <w:rFonts w:eastAsia="仿宋_GB2312"/>
                <w:color w:val="FF0000"/>
                <w:szCs w:val="21"/>
              </w:rPr>
            </w:pPr>
          </w:p>
        </w:tc>
        <w:tc>
          <w:tcPr>
            <w:tcW w:w="675" w:type="pct"/>
            <w:tcBorders>
              <w:tl2br w:val="nil"/>
              <w:tr2bl w:val="nil"/>
            </w:tcBorders>
            <w:vAlign w:val="center"/>
          </w:tcPr>
          <w:p w14:paraId="6221ED33">
            <w:pPr>
              <w:spacing w:line="320" w:lineRule="exact"/>
              <w:jc w:val="center"/>
              <w:rPr>
                <w:rFonts w:eastAsia="仿宋_GB2312"/>
                <w:szCs w:val="21"/>
              </w:rPr>
            </w:pPr>
            <w:r>
              <w:rPr>
                <w:rFonts w:eastAsia="仿宋_GB2312"/>
                <w:szCs w:val="21"/>
              </w:rPr>
              <w:t>接卸区</w:t>
            </w:r>
          </w:p>
        </w:tc>
        <w:tc>
          <w:tcPr>
            <w:tcW w:w="3950" w:type="pct"/>
            <w:tcBorders>
              <w:tl2br w:val="nil"/>
              <w:tr2bl w:val="nil"/>
            </w:tcBorders>
            <w:vAlign w:val="center"/>
          </w:tcPr>
          <w:p w14:paraId="4A9596B1">
            <w:pPr>
              <w:spacing w:line="320" w:lineRule="exact"/>
              <w:jc w:val="left"/>
              <w:rPr>
                <w:rFonts w:eastAsia="仿宋_GB2312"/>
                <w:szCs w:val="21"/>
              </w:rPr>
            </w:pPr>
            <w:r>
              <w:rPr>
                <w:rFonts w:eastAsia="仿宋_GB2312"/>
                <w:szCs w:val="21"/>
              </w:rPr>
              <w:t>1#储罐区配套1个占地面积40m</w:t>
            </w:r>
            <w:r>
              <w:rPr>
                <w:rFonts w:eastAsia="仿宋_GB2312"/>
                <w:szCs w:val="21"/>
                <w:vertAlign w:val="superscript"/>
              </w:rPr>
              <w:t>2</w:t>
            </w:r>
            <w:r>
              <w:rPr>
                <w:rFonts w:eastAsia="仿宋_GB2312"/>
                <w:szCs w:val="21"/>
              </w:rPr>
              <w:t>接卸区；2#储罐区配套1个占地面积40m</w:t>
            </w:r>
            <w:r>
              <w:rPr>
                <w:rFonts w:eastAsia="仿宋_GB2312"/>
                <w:szCs w:val="21"/>
                <w:vertAlign w:val="superscript"/>
              </w:rPr>
              <w:t>2</w:t>
            </w:r>
            <w:r>
              <w:rPr>
                <w:rFonts w:eastAsia="仿宋_GB2312"/>
                <w:szCs w:val="21"/>
              </w:rPr>
              <w:t>接卸区。</w:t>
            </w:r>
          </w:p>
        </w:tc>
      </w:tr>
      <w:tr w14:paraId="37866F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75" w:type="pct"/>
            <w:vMerge w:val="restart"/>
            <w:tcBorders>
              <w:tl2br w:val="nil"/>
              <w:tr2bl w:val="nil"/>
            </w:tcBorders>
            <w:vAlign w:val="center"/>
          </w:tcPr>
          <w:p w14:paraId="3AB112AA">
            <w:pPr>
              <w:spacing w:line="320" w:lineRule="exact"/>
              <w:jc w:val="center"/>
              <w:rPr>
                <w:rFonts w:eastAsia="仿宋_GB2312"/>
                <w:szCs w:val="21"/>
              </w:rPr>
            </w:pPr>
            <w:r>
              <w:rPr>
                <w:rFonts w:eastAsia="仿宋_GB2312"/>
                <w:szCs w:val="21"/>
              </w:rPr>
              <w:t>公辅</w:t>
            </w:r>
          </w:p>
          <w:p w14:paraId="3625CE9D">
            <w:pPr>
              <w:spacing w:line="320" w:lineRule="exact"/>
              <w:jc w:val="center"/>
              <w:rPr>
                <w:rFonts w:eastAsia="仿宋_GB2312"/>
                <w:szCs w:val="21"/>
              </w:rPr>
            </w:pPr>
            <w:r>
              <w:rPr>
                <w:rFonts w:eastAsia="仿宋_GB2312"/>
                <w:szCs w:val="21"/>
              </w:rPr>
              <w:t>工程</w:t>
            </w:r>
          </w:p>
        </w:tc>
        <w:tc>
          <w:tcPr>
            <w:tcW w:w="675" w:type="pct"/>
            <w:tcBorders>
              <w:tl2br w:val="nil"/>
              <w:tr2bl w:val="nil"/>
            </w:tcBorders>
            <w:vAlign w:val="center"/>
          </w:tcPr>
          <w:p w14:paraId="6374221E">
            <w:pPr>
              <w:spacing w:line="320" w:lineRule="exact"/>
              <w:jc w:val="center"/>
              <w:rPr>
                <w:rFonts w:eastAsia="仿宋_GB2312"/>
                <w:szCs w:val="21"/>
              </w:rPr>
            </w:pPr>
            <w:r>
              <w:rPr>
                <w:rFonts w:eastAsia="仿宋_GB2312"/>
                <w:szCs w:val="21"/>
              </w:rPr>
              <w:t>给水</w:t>
            </w:r>
          </w:p>
        </w:tc>
        <w:tc>
          <w:tcPr>
            <w:tcW w:w="3950" w:type="pct"/>
            <w:tcBorders>
              <w:tl2br w:val="nil"/>
              <w:tr2bl w:val="nil"/>
            </w:tcBorders>
            <w:vAlign w:val="center"/>
          </w:tcPr>
          <w:p w14:paraId="794DC4DE">
            <w:pPr>
              <w:spacing w:line="320" w:lineRule="exact"/>
              <w:jc w:val="left"/>
              <w:rPr>
                <w:rFonts w:eastAsia="仿宋_GB2312"/>
                <w:szCs w:val="21"/>
              </w:rPr>
            </w:pPr>
            <w:r>
              <w:rPr>
                <w:rFonts w:eastAsia="仿宋_GB2312"/>
                <w:szCs w:val="21"/>
              </w:rPr>
              <w:t>生产用水、生活用水来自市政自来水管网。</w:t>
            </w:r>
          </w:p>
        </w:tc>
      </w:tr>
      <w:tr w14:paraId="553DE0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75" w:type="pct"/>
            <w:vMerge w:val="continue"/>
            <w:tcBorders>
              <w:tl2br w:val="nil"/>
              <w:tr2bl w:val="nil"/>
            </w:tcBorders>
            <w:vAlign w:val="center"/>
          </w:tcPr>
          <w:p w14:paraId="3B5E85CF">
            <w:pPr>
              <w:spacing w:line="320" w:lineRule="exact"/>
              <w:jc w:val="center"/>
              <w:rPr>
                <w:rFonts w:eastAsia="仿宋_GB2312"/>
                <w:szCs w:val="21"/>
              </w:rPr>
            </w:pPr>
          </w:p>
        </w:tc>
        <w:tc>
          <w:tcPr>
            <w:tcW w:w="675" w:type="pct"/>
            <w:tcBorders>
              <w:tl2br w:val="nil"/>
              <w:tr2bl w:val="nil"/>
            </w:tcBorders>
            <w:vAlign w:val="center"/>
          </w:tcPr>
          <w:p w14:paraId="3440325D">
            <w:pPr>
              <w:spacing w:line="320" w:lineRule="exact"/>
              <w:jc w:val="center"/>
              <w:rPr>
                <w:rFonts w:eastAsia="仿宋_GB2312"/>
                <w:szCs w:val="21"/>
                <w:highlight w:val="yellow"/>
              </w:rPr>
            </w:pPr>
            <w:r>
              <w:rPr>
                <w:rFonts w:eastAsia="仿宋_GB2312"/>
                <w:szCs w:val="21"/>
              </w:rPr>
              <w:t>排水</w:t>
            </w:r>
          </w:p>
        </w:tc>
        <w:tc>
          <w:tcPr>
            <w:tcW w:w="3950" w:type="pct"/>
            <w:tcBorders>
              <w:tl2br w:val="nil"/>
              <w:tr2bl w:val="nil"/>
            </w:tcBorders>
            <w:vAlign w:val="center"/>
          </w:tcPr>
          <w:p w14:paraId="1DD8DD4C">
            <w:pPr>
              <w:spacing w:line="320" w:lineRule="exact"/>
              <w:jc w:val="left"/>
              <w:rPr>
                <w:rFonts w:eastAsia="仿宋_GB2312"/>
                <w:color w:val="auto"/>
                <w:szCs w:val="21"/>
              </w:rPr>
            </w:pPr>
            <w:r>
              <w:rPr>
                <w:rFonts w:eastAsia="仿宋_GB2312"/>
                <w:color w:val="auto"/>
                <w:szCs w:val="21"/>
              </w:rPr>
              <w:t>（1）地面冲洗废水、化验室废水、废气喷淋废水</w:t>
            </w:r>
            <w:r>
              <w:rPr>
                <w:rFonts w:hint="eastAsia" w:eastAsia="仿宋_GB2312"/>
                <w:color w:val="auto"/>
                <w:szCs w:val="21"/>
              </w:rPr>
              <w:t>（不含危废综合利用技改项目及焚烧炉项目）</w:t>
            </w:r>
            <w:r>
              <w:rPr>
                <w:rFonts w:eastAsia="仿宋_GB2312"/>
                <w:color w:val="auto"/>
                <w:szCs w:val="21"/>
              </w:rPr>
              <w:t>、生活污水、1#循环冷却系统排水和初期雨水收集后经1#污水站处理</w:t>
            </w:r>
            <w:r>
              <w:rPr>
                <w:rFonts w:hint="eastAsia" w:eastAsia="仿宋_GB2312"/>
                <w:color w:val="auto"/>
                <w:szCs w:val="21"/>
              </w:rPr>
              <w:t>后同部分经2#污水厂处理的生产工艺废水</w:t>
            </w:r>
            <w:r>
              <w:rPr>
                <w:rFonts w:eastAsia="仿宋_GB2312"/>
                <w:color w:val="auto"/>
                <w:szCs w:val="21"/>
              </w:rPr>
              <w:t>达标后接管至常州民生环保科技有限公司集中处理。</w:t>
            </w:r>
          </w:p>
          <w:p w14:paraId="23AE7957">
            <w:pPr>
              <w:spacing w:line="320" w:lineRule="exact"/>
              <w:jc w:val="left"/>
              <w:rPr>
                <w:rFonts w:eastAsia="仿宋_GB2312"/>
                <w:szCs w:val="21"/>
              </w:rPr>
            </w:pPr>
            <w:r>
              <w:rPr>
                <w:rFonts w:eastAsia="仿宋_GB2312"/>
                <w:szCs w:val="21"/>
              </w:rPr>
              <w:t>（2）纯水制备净排水、锅炉排污水、离子交换树脂废水、循环冷却排污水套用于急冷工段、湿法脱酸</w:t>
            </w:r>
            <w:r>
              <w:rPr>
                <w:rFonts w:hint="eastAsia" w:eastAsia="仿宋_GB2312"/>
                <w:szCs w:val="21"/>
              </w:rPr>
              <w:t>、</w:t>
            </w:r>
            <w:r>
              <w:rPr>
                <w:rFonts w:eastAsia="仿宋_GB2312"/>
                <w:szCs w:val="21"/>
              </w:rPr>
              <w:t>水封刮板出渣以及配伍间废气吸收</w:t>
            </w:r>
            <w:r>
              <w:rPr>
                <w:rFonts w:hint="eastAsia" w:eastAsia="仿宋_GB2312"/>
                <w:szCs w:val="21"/>
              </w:rPr>
              <w:t>水</w:t>
            </w:r>
            <w:r>
              <w:rPr>
                <w:rFonts w:eastAsia="仿宋_GB2312"/>
                <w:szCs w:val="21"/>
              </w:rPr>
              <w:t>；焚烧烟气吸收废水、湿法脱酸废水、配伍间废气吸收废水、水封刮板出渣废水经三效蒸发处理后回用于废气处理</w:t>
            </w:r>
            <w:r>
              <w:rPr>
                <w:rFonts w:hint="eastAsia" w:eastAsia="仿宋_GB2312"/>
                <w:szCs w:val="21"/>
              </w:rPr>
              <w:t>、</w:t>
            </w:r>
            <w:r>
              <w:rPr>
                <w:rFonts w:eastAsia="仿宋_GB2312"/>
                <w:szCs w:val="21"/>
              </w:rPr>
              <w:t>湿法脱酸及水封刮板出渣用水环节。</w:t>
            </w:r>
          </w:p>
          <w:p w14:paraId="7771B214">
            <w:pPr>
              <w:spacing w:line="320" w:lineRule="exact"/>
              <w:jc w:val="left"/>
              <w:rPr>
                <w:rFonts w:eastAsia="仿宋_GB2312"/>
                <w:szCs w:val="21"/>
              </w:rPr>
            </w:pPr>
            <w:r>
              <w:rPr>
                <w:rFonts w:eastAsia="仿宋_GB2312"/>
                <w:szCs w:val="21"/>
              </w:rPr>
              <w:t>（3）危废综合利用</w:t>
            </w:r>
            <w:r>
              <w:rPr>
                <w:rFonts w:hint="eastAsia" w:eastAsia="仿宋_GB2312"/>
                <w:szCs w:val="21"/>
              </w:rPr>
              <w:t>技改</w:t>
            </w:r>
            <w:r>
              <w:rPr>
                <w:rFonts w:eastAsia="仿宋_GB2312"/>
                <w:szCs w:val="21"/>
              </w:rPr>
              <w:t>项目产生的工艺废水、废气喷淋废水、活性炭脱附再生废水收集经3#污水站处理后</w:t>
            </w:r>
            <w:r>
              <w:rPr>
                <w:rFonts w:hint="eastAsia" w:eastAsia="仿宋_GB2312"/>
                <w:szCs w:val="21"/>
              </w:rPr>
              <w:t>部分厂区内</w:t>
            </w:r>
            <w:r>
              <w:rPr>
                <w:rFonts w:eastAsia="仿宋_GB2312"/>
                <w:szCs w:val="21"/>
              </w:rPr>
              <w:t>回用</w:t>
            </w:r>
            <w:r>
              <w:rPr>
                <w:rFonts w:hint="eastAsia" w:eastAsia="仿宋_GB2312"/>
                <w:szCs w:val="21"/>
              </w:rPr>
              <w:t>（事故应急情况下可接管至民生中水回用系统）</w:t>
            </w:r>
            <w:r>
              <w:rPr>
                <w:rFonts w:eastAsia="仿宋_GB2312"/>
                <w:szCs w:val="21"/>
              </w:rPr>
              <w:t>；循环冷却系统排污水经RO膜处理后淡水回用于本系统，RO膜浓排水经三效蒸发处理后返回3#污水站处理。</w:t>
            </w:r>
          </w:p>
          <w:p w14:paraId="5FC9A14D">
            <w:pPr>
              <w:spacing w:line="320" w:lineRule="exact"/>
              <w:jc w:val="left"/>
              <w:rPr>
                <w:color w:val="FF0000"/>
              </w:rPr>
            </w:pPr>
            <w:r>
              <w:rPr>
                <w:rFonts w:eastAsia="仿宋_GB2312"/>
                <w:szCs w:val="21"/>
              </w:rPr>
              <w:t>（4）清下水排入园区雨水管网。</w:t>
            </w:r>
          </w:p>
        </w:tc>
      </w:tr>
      <w:tr w14:paraId="04C92B0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75" w:type="pct"/>
            <w:vMerge w:val="continue"/>
            <w:tcBorders>
              <w:tl2br w:val="nil"/>
              <w:tr2bl w:val="nil"/>
            </w:tcBorders>
            <w:vAlign w:val="center"/>
          </w:tcPr>
          <w:p w14:paraId="41DADDC0">
            <w:pPr>
              <w:spacing w:line="320" w:lineRule="exact"/>
              <w:jc w:val="center"/>
              <w:rPr>
                <w:rFonts w:eastAsia="仿宋_GB2312"/>
                <w:color w:val="FF0000"/>
                <w:szCs w:val="21"/>
              </w:rPr>
            </w:pPr>
          </w:p>
        </w:tc>
        <w:tc>
          <w:tcPr>
            <w:tcW w:w="675" w:type="pct"/>
            <w:tcBorders>
              <w:tl2br w:val="nil"/>
              <w:tr2bl w:val="nil"/>
            </w:tcBorders>
            <w:vAlign w:val="center"/>
          </w:tcPr>
          <w:p w14:paraId="0479F8A1">
            <w:pPr>
              <w:spacing w:line="320" w:lineRule="exact"/>
              <w:jc w:val="center"/>
              <w:rPr>
                <w:rFonts w:eastAsia="仿宋_GB2312"/>
                <w:szCs w:val="21"/>
              </w:rPr>
            </w:pPr>
            <w:r>
              <w:rPr>
                <w:rFonts w:eastAsia="仿宋_GB2312"/>
                <w:szCs w:val="21"/>
              </w:rPr>
              <w:t>供电</w:t>
            </w:r>
          </w:p>
        </w:tc>
        <w:tc>
          <w:tcPr>
            <w:tcW w:w="3950" w:type="pct"/>
            <w:tcBorders>
              <w:tl2br w:val="nil"/>
              <w:tr2bl w:val="nil"/>
            </w:tcBorders>
            <w:vAlign w:val="center"/>
          </w:tcPr>
          <w:p w14:paraId="5643DEDA">
            <w:pPr>
              <w:spacing w:line="320" w:lineRule="exact"/>
              <w:jc w:val="left"/>
              <w:rPr>
                <w:rFonts w:eastAsia="仿宋_GB2312"/>
                <w:szCs w:val="21"/>
              </w:rPr>
            </w:pPr>
            <w:r>
              <w:rPr>
                <w:rFonts w:eastAsia="仿宋_GB2312"/>
                <w:szCs w:val="21"/>
              </w:rPr>
              <w:t>一座35kV变电站，配套1台6300KVA、1台4000KVA变压器（35/10KV）、2台2000KVA变压器（10/0.4KV）；1台1000KVA保压变（10/0.4KV）；1台800KVA变压器（10/0.4KV）；1台1600KVA变压器（10/0.4KV）；1台2000KVA变压器（10/0.4KV）。</w:t>
            </w:r>
          </w:p>
        </w:tc>
      </w:tr>
      <w:tr w14:paraId="368110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75" w:type="pct"/>
            <w:vMerge w:val="continue"/>
            <w:tcBorders>
              <w:tl2br w:val="nil"/>
              <w:tr2bl w:val="nil"/>
            </w:tcBorders>
            <w:vAlign w:val="center"/>
          </w:tcPr>
          <w:p w14:paraId="3484C9F1">
            <w:pPr>
              <w:spacing w:line="320" w:lineRule="exact"/>
              <w:jc w:val="center"/>
              <w:rPr>
                <w:rFonts w:eastAsia="仿宋_GB2312"/>
                <w:color w:val="FF0000"/>
                <w:szCs w:val="21"/>
              </w:rPr>
            </w:pPr>
          </w:p>
        </w:tc>
        <w:tc>
          <w:tcPr>
            <w:tcW w:w="675" w:type="pct"/>
            <w:tcBorders>
              <w:tl2br w:val="nil"/>
              <w:tr2bl w:val="nil"/>
            </w:tcBorders>
            <w:vAlign w:val="center"/>
          </w:tcPr>
          <w:p w14:paraId="6543FBF0">
            <w:pPr>
              <w:spacing w:line="320" w:lineRule="exact"/>
              <w:jc w:val="center"/>
              <w:rPr>
                <w:rFonts w:eastAsia="仿宋_GB2312"/>
                <w:szCs w:val="21"/>
              </w:rPr>
            </w:pPr>
            <w:r>
              <w:rPr>
                <w:rFonts w:eastAsia="仿宋_GB2312"/>
                <w:szCs w:val="21"/>
              </w:rPr>
              <w:t>供热</w:t>
            </w:r>
          </w:p>
        </w:tc>
        <w:tc>
          <w:tcPr>
            <w:tcW w:w="3950" w:type="pct"/>
            <w:tcBorders>
              <w:tl2br w:val="nil"/>
              <w:tr2bl w:val="nil"/>
            </w:tcBorders>
            <w:vAlign w:val="center"/>
          </w:tcPr>
          <w:p w14:paraId="7C251AC6">
            <w:pPr>
              <w:spacing w:line="320" w:lineRule="exact"/>
              <w:jc w:val="left"/>
              <w:rPr>
                <w:rFonts w:eastAsia="仿宋_GB2312"/>
                <w:szCs w:val="21"/>
              </w:rPr>
            </w:pPr>
            <w:r>
              <w:rPr>
                <w:rFonts w:eastAsia="仿宋_GB2312"/>
                <w:szCs w:val="21"/>
              </w:rPr>
              <w:t>由常州市长江热能有限公司供热；厂内设置2台余热锅炉，1台5.5t/h余热锅炉、1台15t/h余热锅炉。</w:t>
            </w:r>
          </w:p>
        </w:tc>
      </w:tr>
      <w:tr w14:paraId="3D4BBD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75" w:type="pct"/>
            <w:vMerge w:val="continue"/>
            <w:tcBorders>
              <w:tl2br w:val="nil"/>
              <w:tr2bl w:val="nil"/>
            </w:tcBorders>
            <w:vAlign w:val="center"/>
          </w:tcPr>
          <w:p w14:paraId="1051686A">
            <w:pPr>
              <w:spacing w:line="320" w:lineRule="exact"/>
              <w:jc w:val="center"/>
              <w:rPr>
                <w:rFonts w:eastAsia="仿宋_GB2312"/>
                <w:color w:val="FF0000"/>
                <w:szCs w:val="21"/>
              </w:rPr>
            </w:pPr>
          </w:p>
        </w:tc>
        <w:tc>
          <w:tcPr>
            <w:tcW w:w="675" w:type="pct"/>
            <w:tcBorders>
              <w:tl2br w:val="nil"/>
              <w:tr2bl w:val="nil"/>
            </w:tcBorders>
            <w:vAlign w:val="center"/>
          </w:tcPr>
          <w:p w14:paraId="1E1F6BFF">
            <w:pPr>
              <w:spacing w:line="320" w:lineRule="exact"/>
              <w:jc w:val="center"/>
              <w:rPr>
                <w:rFonts w:eastAsia="仿宋_GB2312"/>
                <w:szCs w:val="21"/>
              </w:rPr>
            </w:pPr>
            <w:r>
              <w:rPr>
                <w:rFonts w:eastAsia="仿宋_GB2312"/>
                <w:szCs w:val="21"/>
              </w:rPr>
              <w:t>纯水制备系统</w:t>
            </w:r>
          </w:p>
        </w:tc>
        <w:tc>
          <w:tcPr>
            <w:tcW w:w="3950" w:type="pct"/>
            <w:tcBorders>
              <w:tl2br w:val="nil"/>
              <w:tr2bl w:val="nil"/>
            </w:tcBorders>
            <w:vAlign w:val="center"/>
          </w:tcPr>
          <w:p w14:paraId="367EE609">
            <w:pPr>
              <w:spacing w:line="320" w:lineRule="exact"/>
              <w:jc w:val="left"/>
              <w:rPr>
                <w:rFonts w:eastAsia="仿宋_GB2312"/>
                <w:szCs w:val="21"/>
              </w:rPr>
            </w:pPr>
            <w:r>
              <w:rPr>
                <w:rFonts w:eastAsia="仿宋_GB2312"/>
                <w:szCs w:val="21"/>
              </w:rPr>
              <w:t>厂区设有2套纯水制备系统：1套采用离子交换制水，制水能力20t/h；1套采用反渗透制水，制水能力20t/h。</w:t>
            </w:r>
          </w:p>
        </w:tc>
      </w:tr>
      <w:tr w14:paraId="255452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75" w:type="pct"/>
            <w:vMerge w:val="continue"/>
            <w:tcBorders>
              <w:tl2br w:val="nil"/>
              <w:tr2bl w:val="nil"/>
            </w:tcBorders>
            <w:vAlign w:val="center"/>
          </w:tcPr>
          <w:p w14:paraId="1DA98771">
            <w:pPr>
              <w:spacing w:line="320" w:lineRule="exact"/>
              <w:jc w:val="center"/>
              <w:rPr>
                <w:rFonts w:eastAsia="仿宋_GB2312"/>
                <w:color w:val="FF0000"/>
                <w:szCs w:val="21"/>
              </w:rPr>
            </w:pPr>
          </w:p>
        </w:tc>
        <w:tc>
          <w:tcPr>
            <w:tcW w:w="675" w:type="pct"/>
            <w:tcBorders>
              <w:tl2br w:val="nil"/>
              <w:tr2bl w:val="nil"/>
            </w:tcBorders>
            <w:vAlign w:val="center"/>
          </w:tcPr>
          <w:p w14:paraId="0BBDBF70">
            <w:pPr>
              <w:spacing w:line="320" w:lineRule="exact"/>
              <w:jc w:val="center"/>
              <w:rPr>
                <w:rFonts w:eastAsia="仿宋_GB2312"/>
                <w:szCs w:val="21"/>
              </w:rPr>
            </w:pPr>
            <w:r>
              <w:rPr>
                <w:rFonts w:eastAsia="仿宋_GB2312"/>
                <w:szCs w:val="21"/>
              </w:rPr>
              <w:t>循环冷却系统</w:t>
            </w:r>
          </w:p>
        </w:tc>
        <w:tc>
          <w:tcPr>
            <w:tcW w:w="3950" w:type="pct"/>
            <w:tcBorders>
              <w:tl2br w:val="nil"/>
              <w:tr2bl w:val="nil"/>
            </w:tcBorders>
            <w:vAlign w:val="center"/>
          </w:tcPr>
          <w:p w14:paraId="0965E6CF">
            <w:pPr>
              <w:spacing w:line="320" w:lineRule="exact"/>
              <w:jc w:val="left"/>
              <w:rPr>
                <w:rFonts w:eastAsia="仿宋_GB2312"/>
                <w:szCs w:val="21"/>
              </w:rPr>
            </w:pPr>
            <w:r>
              <w:rPr>
                <w:rFonts w:eastAsia="仿宋_GB2312"/>
                <w:szCs w:val="21"/>
              </w:rPr>
              <w:t>设置两套循环冷却系统：（1）1座1500m</w:t>
            </w:r>
            <w:r>
              <w:rPr>
                <w:rFonts w:eastAsia="仿宋_GB2312"/>
                <w:szCs w:val="21"/>
                <w:vertAlign w:val="superscript"/>
              </w:rPr>
              <w:t>3</w:t>
            </w:r>
            <w:r>
              <w:rPr>
                <w:rFonts w:eastAsia="仿宋_GB2312"/>
                <w:szCs w:val="21"/>
              </w:rPr>
              <w:t>/h冷却塔和1座600m</w:t>
            </w:r>
            <w:r>
              <w:rPr>
                <w:rFonts w:eastAsia="仿宋_GB2312"/>
                <w:szCs w:val="21"/>
                <w:vertAlign w:val="superscript"/>
              </w:rPr>
              <w:t>3</w:t>
            </w:r>
            <w:r>
              <w:rPr>
                <w:rFonts w:eastAsia="仿宋_GB2312"/>
                <w:szCs w:val="21"/>
              </w:rPr>
              <w:t>/h冷却塔由同一个循环水泵控制，配套2台1500m</w:t>
            </w:r>
            <w:r>
              <w:rPr>
                <w:rFonts w:eastAsia="仿宋_GB2312"/>
                <w:szCs w:val="21"/>
                <w:vertAlign w:val="superscript"/>
              </w:rPr>
              <w:t>3</w:t>
            </w:r>
            <w:r>
              <w:rPr>
                <w:rFonts w:eastAsia="仿宋_GB2312"/>
                <w:szCs w:val="21"/>
              </w:rPr>
              <w:t>/h循环水泵（一用一备），并配套1座2500m</w:t>
            </w:r>
            <w:r>
              <w:rPr>
                <w:rFonts w:eastAsia="仿宋_GB2312"/>
                <w:szCs w:val="21"/>
                <w:vertAlign w:val="superscript"/>
              </w:rPr>
              <w:t>3</w:t>
            </w:r>
            <w:r>
              <w:rPr>
                <w:rFonts w:eastAsia="仿宋_GB2312"/>
                <w:szCs w:val="21"/>
              </w:rPr>
              <w:t>循环冷却水池（1#）；（2）1座500m</w:t>
            </w:r>
            <w:r>
              <w:rPr>
                <w:rFonts w:eastAsia="仿宋_GB2312"/>
                <w:szCs w:val="21"/>
                <w:vertAlign w:val="superscript"/>
              </w:rPr>
              <w:t>3</w:t>
            </w:r>
            <w:r>
              <w:rPr>
                <w:rFonts w:eastAsia="仿宋_GB2312"/>
                <w:szCs w:val="21"/>
              </w:rPr>
              <w:t>/h冷却塔，配套2台500m</w:t>
            </w:r>
            <w:r>
              <w:rPr>
                <w:rFonts w:eastAsia="仿宋_GB2312"/>
                <w:szCs w:val="21"/>
                <w:vertAlign w:val="superscript"/>
              </w:rPr>
              <w:t>3</w:t>
            </w:r>
            <w:r>
              <w:rPr>
                <w:rFonts w:eastAsia="仿宋_GB2312"/>
                <w:szCs w:val="21"/>
              </w:rPr>
              <w:t>/h循环水泵（一用一备），并配套一座100m</w:t>
            </w:r>
            <w:r>
              <w:rPr>
                <w:rFonts w:eastAsia="仿宋_GB2312"/>
                <w:szCs w:val="21"/>
                <w:vertAlign w:val="superscript"/>
              </w:rPr>
              <w:t>3</w:t>
            </w:r>
            <w:r>
              <w:rPr>
                <w:rFonts w:eastAsia="仿宋_GB2312"/>
                <w:szCs w:val="21"/>
              </w:rPr>
              <w:t>循环冷却水池（2#）。</w:t>
            </w:r>
          </w:p>
        </w:tc>
      </w:tr>
      <w:tr w14:paraId="11D90F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75" w:type="pct"/>
            <w:vMerge w:val="continue"/>
            <w:tcBorders>
              <w:tl2br w:val="nil"/>
              <w:tr2bl w:val="nil"/>
            </w:tcBorders>
            <w:vAlign w:val="center"/>
          </w:tcPr>
          <w:p w14:paraId="2EF6F7B3">
            <w:pPr>
              <w:spacing w:line="320" w:lineRule="exact"/>
              <w:jc w:val="center"/>
              <w:rPr>
                <w:rFonts w:eastAsia="仿宋_GB2312"/>
                <w:color w:val="FF0000"/>
                <w:szCs w:val="21"/>
              </w:rPr>
            </w:pPr>
          </w:p>
        </w:tc>
        <w:tc>
          <w:tcPr>
            <w:tcW w:w="675" w:type="pct"/>
            <w:tcBorders>
              <w:tl2br w:val="nil"/>
              <w:tr2bl w:val="nil"/>
            </w:tcBorders>
            <w:vAlign w:val="center"/>
          </w:tcPr>
          <w:p w14:paraId="53895C1A">
            <w:pPr>
              <w:spacing w:line="320" w:lineRule="exact"/>
              <w:jc w:val="center"/>
              <w:rPr>
                <w:rFonts w:eastAsia="仿宋_GB2312"/>
                <w:szCs w:val="21"/>
              </w:rPr>
            </w:pPr>
            <w:r>
              <w:rPr>
                <w:rFonts w:eastAsia="仿宋_GB2312"/>
                <w:szCs w:val="21"/>
              </w:rPr>
              <w:t>冷冻系统</w:t>
            </w:r>
          </w:p>
        </w:tc>
        <w:tc>
          <w:tcPr>
            <w:tcW w:w="3950" w:type="pct"/>
            <w:tcBorders>
              <w:tl2br w:val="nil"/>
              <w:tr2bl w:val="nil"/>
            </w:tcBorders>
            <w:vAlign w:val="center"/>
          </w:tcPr>
          <w:p w14:paraId="579F35A0">
            <w:pPr>
              <w:spacing w:line="320" w:lineRule="exact"/>
              <w:jc w:val="left"/>
              <w:rPr>
                <w:rFonts w:eastAsia="仿宋_GB2312"/>
                <w:szCs w:val="21"/>
              </w:rPr>
            </w:pPr>
            <w:r>
              <w:rPr>
                <w:rFonts w:eastAsia="仿宋_GB2312"/>
                <w:szCs w:val="21"/>
              </w:rPr>
              <w:t>2台100万大卡冷冻机组，制冷剂R22，冷冻介质为盐水，制冷温度-20</w:t>
            </w:r>
            <w:r>
              <w:rPr>
                <w:rFonts w:hint="eastAsia" w:ascii="宋体" w:hAnsi="宋体" w:cs="宋体"/>
                <w:szCs w:val="21"/>
              </w:rPr>
              <w:t>℃</w:t>
            </w:r>
            <w:r>
              <w:rPr>
                <w:rFonts w:eastAsia="仿宋_GB2312"/>
                <w:szCs w:val="21"/>
              </w:rPr>
              <w:t>。</w:t>
            </w:r>
          </w:p>
        </w:tc>
      </w:tr>
      <w:tr w14:paraId="5B3EB4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75" w:type="pct"/>
            <w:vMerge w:val="continue"/>
            <w:tcBorders>
              <w:tl2br w:val="nil"/>
              <w:tr2bl w:val="nil"/>
            </w:tcBorders>
            <w:vAlign w:val="center"/>
          </w:tcPr>
          <w:p w14:paraId="4F2E831A">
            <w:pPr>
              <w:spacing w:line="320" w:lineRule="exact"/>
              <w:jc w:val="center"/>
              <w:rPr>
                <w:rFonts w:eastAsia="仿宋_GB2312"/>
                <w:color w:val="FF0000"/>
                <w:szCs w:val="21"/>
              </w:rPr>
            </w:pPr>
          </w:p>
        </w:tc>
        <w:tc>
          <w:tcPr>
            <w:tcW w:w="675" w:type="pct"/>
            <w:tcBorders>
              <w:tl2br w:val="nil"/>
              <w:tr2bl w:val="nil"/>
            </w:tcBorders>
            <w:vAlign w:val="center"/>
          </w:tcPr>
          <w:p w14:paraId="46685802">
            <w:pPr>
              <w:spacing w:line="320" w:lineRule="exact"/>
              <w:jc w:val="center"/>
              <w:rPr>
                <w:rFonts w:eastAsia="仿宋_GB2312"/>
                <w:szCs w:val="21"/>
              </w:rPr>
            </w:pPr>
            <w:r>
              <w:rPr>
                <w:rFonts w:eastAsia="仿宋_GB2312"/>
                <w:szCs w:val="21"/>
              </w:rPr>
              <w:t>制氮系统</w:t>
            </w:r>
          </w:p>
        </w:tc>
        <w:tc>
          <w:tcPr>
            <w:tcW w:w="3950" w:type="pct"/>
            <w:tcBorders>
              <w:tl2br w:val="nil"/>
              <w:tr2bl w:val="nil"/>
            </w:tcBorders>
            <w:vAlign w:val="center"/>
          </w:tcPr>
          <w:p w14:paraId="2C051D38">
            <w:pPr>
              <w:spacing w:line="320" w:lineRule="exact"/>
              <w:jc w:val="left"/>
              <w:rPr>
                <w:rFonts w:eastAsia="仿宋_GB2312"/>
                <w:szCs w:val="21"/>
              </w:rPr>
            </w:pPr>
            <w:r>
              <w:rPr>
                <w:rFonts w:hint="eastAsia" w:eastAsia="仿宋_GB2312"/>
                <w:szCs w:val="21"/>
                <w:lang w:val="en-US" w:eastAsia="zh-CN"/>
              </w:rPr>
              <w:t>氮气由林德气体（常州）有限公司供给，厂区</w:t>
            </w:r>
            <w:r>
              <w:rPr>
                <w:rFonts w:eastAsia="仿宋_GB2312"/>
                <w:szCs w:val="21"/>
              </w:rPr>
              <w:t>2台15Nm</w:t>
            </w:r>
            <w:r>
              <w:rPr>
                <w:rFonts w:eastAsia="仿宋_GB2312"/>
                <w:szCs w:val="21"/>
                <w:vertAlign w:val="superscript"/>
              </w:rPr>
              <w:t>3</w:t>
            </w:r>
            <w:r>
              <w:rPr>
                <w:rFonts w:eastAsia="仿宋_GB2312"/>
                <w:szCs w:val="21"/>
              </w:rPr>
              <w:t>/min的制氮机</w:t>
            </w:r>
            <w:r>
              <w:rPr>
                <w:rFonts w:hint="eastAsia" w:eastAsia="仿宋_GB2312"/>
                <w:szCs w:val="21"/>
                <w:lang w:val="en-US" w:eastAsia="zh-CN"/>
              </w:rPr>
              <w:t>备用</w:t>
            </w:r>
            <w:r>
              <w:rPr>
                <w:rFonts w:eastAsia="仿宋_GB2312"/>
                <w:szCs w:val="21"/>
              </w:rPr>
              <w:t>。</w:t>
            </w:r>
          </w:p>
        </w:tc>
      </w:tr>
      <w:tr w14:paraId="60E909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75" w:type="pct"/>
            <w:vMerge w:val="continue"/>
            <w:tcBorders>
              <w:tl2br w:val="nil"/>
              <w:tr2bl w:val="nil"/>
            </w:tcBorders>
            <w:vAlign w:val="center"/>
          </w:tcPr>
          <w:p w14:paraId="0FA627B1">
            <w:pPr>
              <w:spacing w:line="320" w:lineRule="exact"/>
              <w:jc w:val="center"/>
              <w:rPr>
                <w:rFonts w:eastAsia="仿宋_GB2312"/>
                <w:color w:val="FF0000"/>
                <w:szCs w:val="21"/>
              </w:rPr>
            </w:pPr>
          </w:p>
        </w:tc>
        <w:tc>
          <w:tcPr>
            <w:tcW w:w="675" w:type="pct"/>
            <w:tcBorders>
              <w:tl2br w:val="nil"/>
              <w:tr2bl w:val="nil"/>
            </w:tcBorders>
            <w:vAlign w:val="center"/>
          </w:tcPr>
          <w:p w14:paraId="744D78C8">
            <w:pPr>
              <w:spacing w:line="320" w:lineRule="exact"/>
              <w:jc w:val="center"/>
              <w:rPr>
                <w:rFonts w:eastAsia="仿宋_GB2312"/>
                <w:szCs w:val="21"/>
              </w:rPr>
            </w:pPr>
            <w:r>
              <w:rPr>
                <w:rFonts w:eastAsia="仿宋_GB2312"/>
                <w:szCs w:val="21"/>
              </w:rPr>
              <w:t>空压系统</w:t>
            </w:r>
          </w:p>
        </w:tc>
        <w:tc>
          <w:tcPr>
            <w:tcW w:w="3950" w:type="pct"/>
            <w:tcBorders>
              <w:tl2br w:val="nil"/>
              <w:tr2bl w:val="nil"/>
            </w:tcBorders>
            <w:vAlign w:val="center"/>
          </w:tcPr>
          <w:p w14:paraId="5B1F756F">
            <w:pPr>
              <w:spacing w:line="320" w:lineRule="exact"/>
              <w:jc w:val="left"/>
              <w:rPr>
                <w:rFonts w:eastAsia="仿宋_GB2312"/>
                <w:szCs w:val="21"/>
              </w:rPr>
            </w:pPr>
            <w:r>
              <w:rPr>
                <w:rFonts w:eastAsia="仿宋_GB2312"/>
                <w:szCs w:val="21"/>
              </w:rPr>
              <w:t>厂区设有4台13Nm</w:t>
            </w:r>
            <w:r>
              <w:rPr>
                <w:rFonts w:eastAsia="仿宋_GB2312"/>
                <w:szCs w:val="21"/>
                <w:vertAlign w:val="superscript"/>
              </w:rPr>
              <w:t>3</w:t>
            </w:r>
            <w:r>
              <w:rPr>
                <w:rFonts w:eastAsia="仿宋_GB2312"/>
                <w:szCs w:val="21"/>
              </w:rPr>
              <w:t>/min空压机，1台7Nm</w:t>
            </w:r>
            <w:r>
              <w:rPr>
                <w:rFonts w:eastAsia="仿宋_GB2312"/>
                <w:szCs w:val="21"/>
                <w:vertAlign w:val="superscript"/>
              </w:rPr>
              <w:t>3</w:t>
            </w:r>
            <w:r>
              <w:rPr>
                <w:rFonts w:eastAsia="仿宋_GB2312"/>
                <w:szCs w:val="21"/>
              </w:rPr>
              <w:t>/min空压机，3台40Nm</w:t>
            </w:r>
            <w:r>
              <w:rPr>
                <w:rFonts w:eastAsia="仿宋_GB2312"/>
                <w:szCs w:val="21"/>
                <w:vertAlign w:val="superscript"/>
              </w:rPr>
              <w:t>3</w:t>
            </w:r>
            <w:r>
              <w:rPr>
                <w:rFonts w:eastAsia="仿宋_GB2312"/>
                <w:szCs w:val="21"/>
              </w:rPr>
              <w:t>/min空压机，2台15Nm</w:t>
            </w:r>
            <w:r>
              <w:rPr>
                <w:rFonts w:eastAsia="仿宋_GB2312"/>
                <w:szCs w:val="21"/>
                <w:vertAlign w:val="superscript"/>
              </w:rPr>
              <w:t>3</w:t>
            </w:r>
            <w:r>
              <w:rPr>
                <w:rFonts w:eastAsia="仿宋_GB2312"/>
                <w:szCs w:val="21"/>
              </w:rPr>
              <w:t>/min，现有使用负荷约</w:t>
            </w:r>
            <w:r>
              <w:rPr>
                <w:rFonts w:hint="eastAsia" w:eastAsia="仿宋_GB2312"/>
                <w:szCs w:val="21"/>
                <w:lang w:val="en-US" w:eastAsia="zh-CN"/>
              </w:rPr>
              <w:t>7</w:t>
            </w:r>
            <w:r>
              <w:rPr>
                <w:rFonts w:eastAsia="仿宋_GB2312"/>
                <w:szCs w:val="21"/>
              </w:rPr>
              <w:t>0%。</w:t>
            </w:r>
          </w:p>
        </w:tc>
      </w:tr>
      <w:tr w14:paraId="4B2758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75" w:type="pct"/>
            <w:vMerge w:val="restart"/>
            <w:tcBorders>
              <w:tl2br w:val="nil"/>
              <w:tr2bl w:val="nil"/>
            </w:tcBorders>
            <w:vAlign w:val="center"/>
          </w:tcPr>
          <w:p w14:paraId="670B317E">
            <w:pPr>
              <w:spacing w:line="320" w:lineRule="exact"/>
              <w:jc w:val="center"/>
              <w:rPr>
                <w:rFonts w:eastAsia="仿宋_GB2312"/>
                <w:szCs w:val="21"/>
              </w:rPr>
            </w:pPr>
            <w:r>
              <w:rPr>
                <w:rFonts w:eastAsia="仿宋_GB2312"/>
                <w:szCs w:val="21"/>
              </w:rPr>
              <w:t>环保</w:t>
            </w:r>
          </w:p>
          <w:p w14:paraId="3376AF94">
            <w:pPr>
              <w:spacing w:line="320" w:lineRule="exact"/>
              <w:jc w:val="center"/>
              <w:rPr>
                <w:rFonts w:eastAsia="仿宋_GB2312"/>
                <w:szCs w:val="21"/>
              </w:rPr>
            </w:pPr>
            <w:r>
              <w:rPr>
                <w:rFonts w:eastAsia="仿宋_GB2312"/>
                <w:szCs w:val="21"/>
              </w:rPr>
              <w:t>工程</w:t>
            </w:r>
          </w:p>
        </w:tc>
        <w:tc>
          <w:tcPr>
            <w:tcW w:w="675" w:type="pct"/>
            <w:tcBorders>
              <w:tl2br w:val="nil"/>
              <w:tr2bl w:val="nil"/>
            </w:tcBorders>
            <w:vAlign w:val="center"/>
          </w:tcPr>
          <w:p w14:paraId="6B3A7D75">
            <w:pPr>
              <w:spacing w:line="320" w:lineRule="exact"/>
              <w:jc w:val="center"/>
              <w:rPr>
                <w:rFonts w:eastAsia="仿宋_GB2312"/>
                <w:szCs w:val="21"/>
                <w:highlight w:val="yellow"/>
              </w:rPr>
            </w:pPr>
            <w:r>
              <w:rPr>
                <w:rFonts w:eastAsia="仿宋_GB2312"/>
                <w:szCs w:val="21"/>
              </w:rPr>
              <w:t>废气</w:t>
            </w:r>
          </w:p>
        </w:tc>
        <w:tc>
          <w:tcPr>
            <w:tcW w:w="3950" w:type="pct"/>
            <w:tcBorders>
              <w:tl2br w:val="nil"/>
              <w:tr2bl w:val="nil"/>
            </w:tcBorders>
            <w:vAlign w:val="center"/>
          </w:tcPr>
          <w:p w14:paraId="3DEBD04A">
            <w:pPr>
              <w:spacing w:line="320" w:lineRule="exact"/>
              <w:jc w:val="left"/>
              <w:rPr>
                <w:rFonts w:eastAsia="仿宋_GB2312"/>
                <w:szCs w:val="21"/>
              </w:rPr>
            </w:pPr>
            <w:r>
              <w:rPr>
                <w:rFonts w:eastAsia="仿宋_GB2312"/>
                <w:szCs w:val="21"/>
              </w:rPr>
              <w:t>（</w:t>
            </w:r>
            <w:r>
              <w:rPr>
                <w:rFonts w:hint="eastAsia" w:eastAsia="仿宋_GB2312"/>
                <w:szCs w:val="21"/>
              </w:rPr>
              <w:t>1</w:t>
            </w:r>
            <w:r>
              <w:rPr>
                <w:rFonts w:eastAsia="仿宋_GB2312"/>
                <w:szCs w:val="21"/>
              </w:rPr>
              <w:t>）实验室废气、危废仓库（1#、2#、3#、4#、5#）废气、分拣暂存间废气、2#储罐区废气收集经稀酸吸收+碱吸收+除雾+光氧离子催化氧化+活性炭吸附处理后通过20米排气筒（</w:t>
            </w:r>
            <w:r>
              <w:rPr>
                <w:rFonts w:hint="eastAsia" w:eastAsia="仿宋_GB2312"/>
                <w:szCs w:val="21"/>
              </w:rPr>
              <w:t>DA001</w:t>
            </w:r>
            <w:r>
              <w:rPr>
                <w:rFonts w:eastAsia="仿宋_GB2312"/>
                <w:szCs w:val="21"/>
              </w:rPr>
              <w:t>）排放。</w:t>
            </w:r>
          </w:p>
          <w:p w14:paraId="1AA2782F">
            <w:pPr>
              <w:spacing w:line="320" w:lineRule="exact"/>
              <w:jc w:val="left"/>
              <w:rPr>
                <w:rFonts w:eastAsia="仿宋_GB2312"/>
                <w:szCs w:val="21"/>
              </w:rPr>
            </w:pPr>
            <w:r>
              <w:rPr>
                <w:rFonts w:eastAsia="仿宋_GB2312"/>
                <w:szCs w:val="21"/>
              </w:rPr>
              <w:t>（</w:t>
            </w:r>
            <w:r>
              <w:rPr>
                <w:rFonts w:hint="eastAsia" w:eastAsia="仿宋_GB2312"/>
                <w:szCs w:val="21"/>
              </w:rPr>
              <w:t>2</w:t>
            </w:r>
            <w:r>
              <w:rPr>
                <w:rFonts w:eastAsia="仿宋_GB2312"/>
                <w:szCs w:val="21"/>
              </w:rPr>
              <w:t>）1#焚烧炉焚烧处置危废产生的废气经SNCR+急冷+干式脱酸+布袋除尘+氧化、碱喷淋处理，尾气通过50米高排气筒（</w:t>
            </w:r>
            <w:r>
              <w:rPr>
                <w:rFonts w:hint="eastAsia" w:eastAsia="仿宋_GB2312"/>
                <w:szCs w:val="21"/>
              </w:rPr>
              <w:t>DA002</w:t>
            </w:r>
            <w:r>
              <w:rPr>
                <w:rFonts w:eastAsia="仿宋_GB2312"/>
                <w:szCs w:val="21"/>
              </w:rPr>
              <w:t>）排放。</w:t>
            </w:r>
          </w:p>
          <w:p w14:paraId="65E9599F">
            <w:pPr>
              <w:spacing w:line="320" w:lineRule="exact"/>
              <w:jc w:val="left"/>
              <w:rPr>
                <w:rFonts w:eastAsia="仿宋_GB2312"/>
                <w:szCs w:val="21"/>
              </w:rPr>
            </w:pPr>
            <w:r>
              <w:rPr>
                <w:rFonts w:eastAsia="仿宋_GB2312"/>
                <w:szCs w:val="21"/>
              </w:rPr>
              <w:t>（</w:t>
            </w:r>
            <w:r>
              <w:rPr>
                <w:rFonts w:hint="eastAsia" w:eastAsia="仿宋_GB2312"/>
                <w:szCs w:val="21"/>
              </w:rPr>
              <w:t>3</w:t>
            </w:r>
            <w:r>
              <w:rPr>
                <w:rFonts w:eastAsia="仿宋_GB2312"/>
                <w:szCs w:val="21"/>
              </w:rPr>
              <w:t>）2#焚烧炉焚烧处置危废产生的废气经SNCR+急冷+干式脱酸+喷射活性炭+布袋除尘+两级湿法脱酸+湿电除尘+活性炭吸附+烟气加热处理，尾气通过50米高排气筒（</w:t>
            </w:r>
            <w:r>
              <w:rPr>
                <w:rFonts w:hint="eastAsia" w:eastAsia="仿宋_GB2312"/>
                <w:szCs w:val="21"/>
              </w:rPr>
              <w:t>DA002</w:t>
            </w:r>
            <w:r>
              <w:rPr>
                <w:rFonts w:eastAsia="仿宋_GB2312"/>
                <w:szCs w:val="21"/>
              </w:rPr>
              <w:t>）排放。</w:t>
            </w:r>
          </w:p>
          <w:p w14:paraId="44200B98">
            <w:pPr>
              <w:spacing w:line="320" w:lineRule="exact"/>
              <w:jc w:val="left"/>
              <w:rPr>
                <w:rFonts w:eastAsia="仿宋_GB2312"/>
                <w:szCs w:val="21"/>
              </w:rPr>
            </w:pPr>
            <w:r>
              <w:rPr>
                <w:rFonts w:eastAsia="仿宋_GB2312"/>
                <w:szCs w:val="21"/>
              </w:rPr>
              <w:t>（</w:t>
            </w:r>
            <w:r>
              <w:rPr>
                <w:rFonts w:hint="eastAsia" w:eastAsia="仿宋_GB2312"/>
                <w:szCs w:val="21"/>
              </w:rPr>
              <w:t>4</w:t>
            </w:r>
            <w:r>
              <w:rPr>
                <w:rFonts w:eastAsia="仿宋_GB2312"/>
                <w:szCs w:val="21"/>
              </w:rPr>
              <w:t>）1#车间</w:t>
            </w:r>
            <w:r>
              <w:rPr>
                <w:rFonts w:hint="eastAsia" w:eastAsia="仿宋_GB2312"/>
                <w:szCs w:val="21"/>
              </w:rPr>
              <w:t>废气（不含整体换风废气）、2#</w:t>
            </w:r>
            <w:r>
              <w:rPr>
                <w:rFonts w:eastAsia="仿宋_GB2312"/>
                <w:szCs w:val="21"/>
              </w:rPr>
              <w:t>车间</w:t>
            </w:r>
            <w:r>
              <w:rPr>
                <w:rFonts w:hint="eastAsia" w:eastAsia="仿宋_GB2312"/>
                <w:szCs w:val="21"/>
              </w:rPr>
              <w:t>废气（不含整体换风废气）、</w:t>
            </w:r>
            <w:r>
              <w:rPr>
                <w:rFonts w:eastAsia="仿宋_GB2312"/>
                <w:szCs w:val="21"/>
              </w:rPr>
              <w:t>B-7车间</w:t>
            </w:r>
            <w:r>
              <w:rPr>
                <w:rFonts w:hint="eastAsia" w:eastAsia="仿宋_GB2312"/>
                <w:szCs w:val="21"/>
              </w:rPr>
              <w:t>废气（不含整体换风废气）、1#储罐区废气先经冷凝+稀酸吸收+碱吸收+水吸收+除雾预处理后，再经</w:t>
            </w:r>
            <w:r>
              <w:rPr>
                <w:rFonts w:eastAsia="仿宋_GB2312"/>
                <w:szCs w:val="21"/>
              </w:rPr>
              <w:t>焚烧后通过50米高排气筒（</w:t>
            </w:r>
            <w:r>
              <w:rPr>
                <w:rFonts w:hint="eastAsia" w:eastAsia="仿宋_GB2312"/>
                <w:szCs w:val="21"/>
              </w:rPr>
              <w:t>DA002</w:t>
            </w:r>
            <w:r>
              <w:rPr>
                <w:rFonts w:eastAsia="仿宋_GB2312"/>
                <w:szCs w:val="21"/>
              </w:rPr>
              <w:t>）排放。</w:t>
            </w:r>
          </w:p>
          <w:p w14:paraId="1C69901A">
            <w:pPr>
              <w:spacing w:line="320" w:lineRule="exact"/>
              <w:jc w:val="left"/>
              <w:rPr>
                <w:rFonts w:eastAsia="仿宋_GB2312"/>
                <w:szCs w:val="21"/>
              </w:rPr>
            </w:pPr>
            <w:r>
              <w:rPr>
                <w:rFonts w:eastAsia="仿宋_GB2312"/>
                <w:szCs w:val="21"/>
              </w:rPr>
              <w:t>（</w:t>
            </w:r>
            <w:r>
              <w:rPr>
                <w:rFonts w:hint="eastAsia" w:eastAsia="仿宋_GB2312"/>
                <w:szCs w:val="21"/>
              </w:rPr>
              <w:t>5</w:t>
            </w:r>
            <w:r>
              <w:rPr>
                <w:rFonts w:eastAsia="仿宋_GB2312"/>
                <w:szCs w:val="21"/>
              </w:rPr>
              <w:t>）危废配伍间废气收集经稀酸吸收+碱吸收+除雾+两级活性炭吸附/脱附处理后通过20米排气筒（</w:t>
            </w:r>
            <w:r>
              <w:rPr>
                <w:rFonts w:hint="eastAsia" w:eastAsia="仿宋_GB2312"/>
                <w:szCs w:val="21"/>
              </w:rPr>
              <w:t>DA003</w:t>
            </w:r>
            <w:r>
              <w:rPr>
                <w:rFonts w:eastAsia="仿宋_GB2312"/>
                <w:szCs w:val="21"/>
              </w:rPr>
              <w:t>）排放。</w:t>
            </w:r>
          </w:p>
          <w:p w14:paraId="18C9ECAC">
            <w:pPr>
              <w:spacing w:line="320" w:lineRule="exact"/>
              <w:jc w:val="left"/>
              <w:rPr>
                <w:rFonts w:eastAsia="仿宋_GB2312"/>
                <w:szCs w:val="21"/>
              </w:rPr>
            </w:pPr>
            <w:r>
              <w:rPr>
                <w:rFonts w:eastAsia="仿宋_GB2312"/>
                <w:szCs w:val="21"/>
              </w:rPr>
              <w:t>（</w:t>
            </w:r>
            <w:r>
              <w:rPr>
                <w:rFonts w:hint="eastAsia" w:eastAsia="仿宋_GB2312"/>
                <w:szCs w:val="21"/>
              </w:rPr>
              <w:t>6</w:t>
            </w:r>
            <w:r>
              <w:rPr>
                <w:rFonts w:eastAsia="仿宋_GB2312"/>
                <w:szCs w:val="21"/>
              </w:rPr>
              <w:t>）1#、3#污水处理站废气</w:t>
            </w:r>
            <w:r>
              <w:rPr>
                <w:rFonts w:hint="eastAsia" w:eastAsia="仿宋_GB2312"/>
                <w:szCs w:val="21"/>
              </w:rPr>
              <w:t>和废液处置区</w:t>
            </w:r>
            <w:r>
              <w:rPr>
                <w:rFonts w:eastAsia="仿宋_GB2312"/>
                <w:szCs w:val="21"/>
              </w:rPr>
              <w:t>废气</w:t>
            </w:r>
            <w:r>
              <w:rPr>
                <w:rFonts w:hint="eastAsia" w:eastAsia="仿宋_GB2312"/>
                <w:szCs w:val="21"/>
              </w:rPr>
              <w:t>（含废液收集罐废气）</w:t>
            </w:r>
            <w:r>
              <w:rPr>
                <w:rFonts w:eastAsia="仿宋_GB2312"/>
                <w:szCs w:val="21"/>
              </w:rPr>
              <w:t>收集经冷凝+稀酸吸收+碱、次氯酸钠混合液吸收+除雾+活性炭吸附/脱附后通过25米排气筒（</w:t>
            </w:r>
            <w:r>
              <w:rPr>
                <w:rFonts w:hint="eastAsia" w:eastAsia="仿宋_GB2312"/>
                <w:szCs w:val="21"/>
              </w:rPr>
              <w:t>DA004</w:t>
            </w:r>
            <w:r>
              <w:rPr>
                <w:rFonts w:eastAsia="仿宋_GB2312"/>
                <w:szCs w:val="21"/>
              </w:rPr>
              <w:t>）排放。</w:t>
            </w:r>
          </w:p>
          <w:p w14:paraId="158930F1">
            <w:pPr>
              <w:spacing w:line="320" w:lineRule="exact"/>
              <w:jc w:val="left"/>
              <w:rPr>
                <w:rFonts w:eastAsia="仿宋_GB2312"/>
                <w:color w:val="FF0000"/>
                <w:szCs w:val="21"/>
              </w:rPr>
            </w:pPr>
            <w:r>
              <w:rPr>
                <w:rFonts w:eastAsia="仿宋_GB2312"/>
                <w:szCs w:val="21"/>
              </w:rPr>
              <w:t>（</w:t>
            </w:r>
            <w:r>
              <w:rPr>
                <w:rFonts w:hint="eastAsia" w:eastAsia="仿宋_GB2312"/>
                <w:szCs w:val="21"/>
              </w:rPr>
              <w:t>7</w:t>
            </w:r>
            <w:r>
              <w:rPr>
                <w:rFonts w:eastAsia="仿宋_GB2312"/>
                <w:szCs w:val="21"/>
              </w:rPr>
              <w:t>）1#车间</w:t>
            </w:r>
            <w:r>
              <w:rPr>
                <w:rFonts w:hint="eastAsia" w:eastAsia="仿宋_GB2312"/>
                <w:szCs w:val="21"/>
              </w:rPr>
              <w:t>整体换风废气</w:t>
            </w:r>
            <w:r>
              <w:rPr>
                <w:rFonts w:eastAsia="仿宋_GB2312"/>
                <w:szCs w:val="21"/>
              </w:rPr>
              <w:t>、2#车间</w:t>
            </w:r>
            <w:r>
              <w:rPr>
                <w:rFonts w:hint="eastAsia" w:eastAsia="仿宋_GB2312"/>
                <w:szCs w:val="21"/>
              </w:rPr>
              <w:t>整体换风废气</w:t>
            </w:r>
            <w:r>
              <w:rPr>
                <w:rFonts w:eastAsia="仿宋_GB2312"/>
                <w:szCs w:val="21"/>
              </w:rPr>
              <w:t>和B-7车间整体换风</w:t>
            </w:r>
            <w:r>
              <w:rPr>
                <w:rFonts w:hint="eastAsia" w:eastAsia="仿宋_GB2312"/>
                <w:szCs w:val="21"/>
              </w:rPr>
              <w:t>废气冷凝+酸吸收+碱吸收+水洗+活性炭吸附/脱附处理后</w:t>
            </w:r>
            <w:r>
              <w:rPr>
                <w:rFonts w:eastAsia="仿宋_GB2312"/>
                <w:szCs w:val="21"/>
              </w:rPr>
              <w:t>通过20米排气筒（</w:t>
            </w:r>
            <w:r>
              <w:rPr>
                <w:rFonts w:hint="eastAsia" w:eastAsia="仿宋_GB2312"/>
                <w:szCs w:val="21"/>
              </w:rPr>
              <w:t>DA005</w:t>
            </w:r>
            <w:r>
              <w:rPr>
                <w:rFonts w:eastAsia="仿宋_GB2312"/>
                <w:szCs w:val="21"/>
              </w:rPr>
              <w:t>）排放。</w:t>
            </w:r>
          </w:p>
        </w:tc>
      </w:tr>
      <w:tr w14:paraId="41740F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75" w:type="pct"/>
            <w:vMerge w:val="continue"/>
            <w:tcBorders>
              <w:tl2br w:val="nil"/>
              <w:tr2bl w:val="nil"/>
            </w:tcBorders>
            <w:vAlign w:val="center"/>
          </w:tcPr>
          <w:p w14:paraId="3F82D259">
            <w:pPr>
              <w:spacing w:line="320" w:lineRule="exact"/>
              <w:jc w:val="center"/>
              <w:rPr>
                <w:rFonts w:eastAsia="仿宋_GB2312"/>
                <w:color w:val="FF0000"/>
                <w:szCs w:val="21"/>
              </w:rPr>
            </w:pPr>
          </w:p>
        </w:tc>
        <w:tc>
          <w:tcPr>
            <w:tcW w:w="675" w:type="pct"/>
            <w:tcBorders>
              <w:tl2br w:val="nil"/>
              <w:tr2bl w:val="nil"/>
            </w:tcBorders>
            <w:vAlign w:val="center"/>
          </w:tcPr>
          <w:p w14:paraId="18CC7BD2">
            <w:pPr>
              <w:spacing w:line="320" w:lineRule="exact"/>
              <w:jc w:val="center"/>
              <w:rPr>
                <w:rFonts w:eastAsia="仿宋_GB2312"/>
                <w:szCs w:val="21"/>
              </w:rPr>
            </w:pPr>
            <w:r>
              <w:rPr>
                <w:rFonts w:eastAsia="仿宋_GB2312"/>
                <w:szCs w:val="21"/>
              </w:rPr>
              <w:t>废水</w:t>
            </w:r>
          </w:p>
        </w:tc>
        <w:tc>
          <w:tcPr>
            <w:tcW w:w="3950" w:type="pct"/>
            <w:tcBorders>
              <w:tl2br w:val="nil"/>
              <w:tr2bl w:val="nil"/>
            </w:tcBorders>
            <w:vAlign w:val="center"/>
          </w:tcPr>
          <w:p w14:paraId="77B6F8CF">
            <w:pPr>
              <w:spacing w:line="320" w:lineRule="exact"/>
              <w:jc w:val="left"/>
              <w:rPr>
                <w:rFonts w:eastAsia="仿宋_GB2312"/>
                <w:szCs w:val="21"/>
              </w:rPr>
            </w:pPr>
            <w:r>
              <w:rPr>
                <w:rFonts w:eastAsia="仿宋_GB2312"/>
                <w:szCs w:val="21"/>
              </w:rPr>
              <w:t>厂区已建成两套污水站：1#污水处理站（处理能力600m</w:t>
            </w:r>
            <w:r>
              <w:rPr>
                <w:rFonts w:eastAsia="仿宋_GB2312"/>
                <w:szCs w:val="21"/>
                <w:vertAlign w:val="superscript"/>
              </w:rPr>
              <w:t>3</w:t>
            </w:r>
            <w:r>
              <w:rPr>
                <w:rFonts w:eastAsia="仿宋_GB2312"/>
                <w:szCs w:val="21"/>
              </w:rPr>
              <w:t>/d）；3#污水处理站（处理能力300m</w:t>
            </w:r>
            <w:r>
              <w:rPr>
                <w:rFonts w:eastAsia="仿宋_GB2312"/>
                <w:szCs w:val="21"/>
                <w:vertAlign w:val="superscript"/>
              </w:rPr>
              <w:t>3</w:t>
            </w:r>
            <w:r>
              <w:rPr>
                <w:rFonts w:eastAsia="仿宋_GB2312"/>
                <w:szCs w:val="21"/>
              </w:rPr>
              <w:t>/d）。</w:t>
            </w:r>
            <w:r>
              <w:rPr>
                <w:rFonts w:hint="eastAsia" w:eastAsia="仿宋_GB2312"/>
                <w:szCs w:val="21"/>
              </w:rPr>
              <w:t>2#污水站尚未建设（处理能力30</w:t>
            </w:r>
            <w:r>
              <w:rPr>
                <w:rFonts w:eastAsia="仿宋_GB2312"/>
                <w:szCs w:val="21"/>
              </w:rPr>
              <w:t>00m</w:t>
            </w:r>
            <w:r>
              <w:rPr>
                <w:rFonts w:eastAsia="仿宋_GB2312"/>
                <w:szCs w:val="21"/>
                <w:vertAlign w:val="superscript"/>
              </w:rPr>
              <w:t>3</w:t>
            </w:r>
            <w:r>
              <w:rPr>
                <w:rFonts w:eastAsia="仿宋_GB2312"/>
                <w:szCs w:val="21"/>
              </w:rPr>
              <w:t>/d</w:t>
            </w:r>
            <w:r>
              <w:rPr>
                <w:rFonts w:hint="eastAsia" w:eastAsia="仿宋_GB2312"/>
                <w:szCs w:val="21"/>
              </w:rPr>
              <w:t>）</w:t>
            </w:r>
          </w:p>
        </w:tc>
      </w:tr>
      <w:tr w14:paraId="5AFF8A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75" w:type="pct"/>
            <w:vMerge w:val="continue"/>
            <w:tcBorders>
              <w:tl2br w:val="nil"/>
              <w:tr2bl w:val="nil"/>
            </w:tcBorders>
            <w:vAlign w:val="center"/>
          </w:tcPr>
          <w:p w14:paraId="1C70E2FF">
            <w:pPr>
              <w:spacing w:line="320" w:lineRule="exact"/>
              <w:jc w:val="center"/>
              <w:rPr>
                <w:rFonts w:eastAsia="仿宋_GB2312"/>
                <w:color w:val="FF0000"/>
                <w:szCs w:val="21"/>
              </w:rPr>
            </w:pPr>
          </w:p>
        </w:tc>
        <w:tc>
          <w:tcPr>
            <w:tcW w:w="675" w:type="pct"/>
            <w:tcBorders>
              <w:tl2br w:val="nil"/>
              <w:tr2bl w:val="nil"/>
            </w:tcBorders>
            <w:vAlign w:val="center"/>
          </w:tcPr>
          <w:p w14:paraId="31C1229C">
            <w:pPr>
              <w:spacing w:line="320" w:lineRule="exact"/>
              <w:jc w:val="center"/>
              <w:rPr>
                <w:rFonts w:eastAsia="仿宋_GB2312"/>
                <w:szCs w:val="21"/>
              </w:rPr>
            </w:pPr>
            <w:r>
              <w:rPr>
                <w:rFonts w:eastAsia="仿宋_GB2312"/>
                <w:szCs w:val="21"/>
              </w:rPr>
              <w:t>固废</w:t>
            </w:r>
          </w:p>
        </w:tc>
        <w:tc>
          <w:tcPr>
            <w:tcW w:w="3950" w:type="pct"/>
            <w:tcBorders>
              <w:tl2br w:val="nil"/>
              <w:tr2bl w:val="nil"/>
            </w:tcBorders>
            <w:vAlign w:val="center"/>
          </w:tcPr>
          <w:p w14:paraId="59598992">
            <w:pPr>
              <w:spacing w:line="320" w:lineRule="exact"/>
              <w:jc w:val="left"/>
              <w:rPr>
                <w:rFonts w:eastAsia="仿宋_GB2312"/>
                <w:szCs w:val="21"/>
              </w:rPr>
            </w:pPr>
            <w:r>
              <w:rPr>
                <w:rFonts w:eastAsia="仿宋_GB2312"/>
                <w:szCs w:val="21"/>
              </w:rPr>
              <w:t>次生危废经厂区焚烧处置或委托有资质单位处置，生活垃圾由环卫部门统一处理。</w:t>
            </w:r>
          </w:p>
        </w:tc>
      </w:tr>
      <w:tr w14:paraId="48127D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75" w:type="pct"/>
            <w:vMerge w:val="continue"/>
            <w:tcBorders>
              <w:tl2br w:val="nil"/>
              <w:tr2bl w:val="nil"/>
            </w:tcBorders>
            <w:vAlign w:val="center"/>
          </w:tcPr>
          <w:p w14:paraId="18637AB2">
            <w:pPr>
              <w:spacing w:line="320" w:lineRule="exact"/>
              <w:jc w:val="center"/>
              <w:rPr>
                <w:rFonts w:eastAsia="仿宋_GB2312"/>
                <w:color w:val="FF0000"/>
                <w:szCs w:val="21"/>
              </w:rPr>
            </w:pPr>
          </w:p>
        </w:tc>
        <w:tc>
          <w:tcPr>
            <w:tcW w:w="675" w:type="pct"/>
            <w:tcBorders>
              <w:tl2br w:val="nil"/>
              <w:tr2bl w:val="nil"/>
            </w:tcBorders>
            <w:vAlign w:val="center"/>
          </w:tcPr>
          <w:p w14:paraId="3B66BC8E">
            <w:pPr>
              <w:spacing w:line="320" w:lineRule="exact"/>
              <w:jc w:val="center"/>
              <w:rPr>
                <w:rFonts w:eastAsia="仿宋_GB2312"/>
                <w:szCs w:val="21"/>
              </w:rPr>
            </w:pPr>
            <w:r>
              <w:rPr>
                <w:rFonts w:eastAsia="仿宋_GB2312"/>
                <w:szCs w:val="21"/>
              </w:rPr>
              <w:t>噪声</w:t>
            </w:r>
          </w:p>
        </w:tc>
        <w:tc>
          <w:tcPr>
            <w:tcW w:w="3950" w:type="pct"/>
            <w:tcBorders>
              <w:tl2br w:val="nil"/>
              <w:tr2bl w:val="nil"/>
            </w:tcBorders>
            <w:vAlign w:val="center"/>
          </w:tcPr>
          <w:p w14:paraId="6F5C6EC5">
            <w:pPr>
              <w:spacing w:line="320" w:lineRule="exact"/>
              <w:jc w:val="left"/>
              <w:rPr>
                <w:rFonts w:eastAsia="仿宋_GB2312"/>
                <w:szCs w:val="21"/>
              </w:rPr>
            </w:pPr>
            <w:r>
              <w:rPr>
                <w:rFonts w:eastAsia="仿宋_GB2312"/>
                <w:szCs w:val="21"/>
              </w:rPr>
              <w:t>消声、减振、厂房隔声、距离衰减。</w:t>
            </w:r>
          </w:p>
        </w:tc>
      </w:tr>
      <w:tr w14:paraId="7A9003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75" w:type="pct"/>
            <w:vMerge w:val="continue"/>
            <w:tcBorders>
              <w:tl2br w:val="nil"/>
              <w:tr2bl w:val="nil"/>
            </w:tcBorders>
            <w:vAlign w:val="center"/>
          </w:tcPr>
          <w:p w14:paraId="0876627E">
            <w:pPr>
              <w:spacing w:line="320" w:lineRule="exact"/>
              <w:jc w:val="center"/>
              <w:rPr>
                <w:rFonts w:eastAsia="仿宋_GB2312"/>
                <w:color w:val="FF0000"/>
                <w:szCs w:val="21"/>
              </w:rPr>
            </w:pPr>
          </w:p>
        </w:tc>
        <w:tc>
          <w:tcPr>
            <w:tcW w:w="675" w:type="pct"/>
            <w:tcBorders>
              <w:tl2br w:val="nil"/>
              <w:tr2bl w:val="nil"/>
            </w:tcBorders>
            <w:vAlign w:val="center"/>
          </w:tcPr>
          <w:p w14:paraId="40AD2A61">
            <w:pPr>
              <w:spacing w:line="320" w:lineRule="exact"/>
              <w:jc w:val="center"/>
              <w:rPr>
                <w:rFonts w:eastAsia="仿宋_GB2312"/>
                <w:szCs w:val="21"/>
              </w:rPr>
            </w:pPr>
            <w:r>
              <w:rPr>
                <w:rFonts w:eastAsia="仿宋_GB2312"/>
                <w:szCs w:val="21"/>
              </w:rPr>
              <w:t>地下水、土壤</w:t>
            </w:r>
          </w:p>
        </w:tc>
        <w:tc>
          <w:tcPr>
            <w:tcW w:w="3950" w:type="pct"/>
            <w:tcBorders>
              <w:tl2br w:val="nil"/>
              <w:tr2bl w:val="nil"/>
            </w:tcBorders>
            <w:vAlign w:val="center"/>
          </w:tcPr>
          <w:p w14:paraId="4E3FA454">
            <w:pPr>
              <w:spacing w:line="320" w:lineRule="exact"/>
              <w:jc w:val="left"/>
              <w:rPr>
                <w:rFonts w:eastAsia="仿宋_GB2312"/>
                <w:szCs w:val="21"/>
              </w:rPr>
            </w:pPr>
            <w:r>
              <w:rPr>
                <w:rFonts w:eastAsia="仿宋_GB2312"/>
                <w:szCs w:val="21"/>
              </w:rPr>
              <w:t>分区防腐防渗，采用防水钢筋混凝土浇筑，铺设玻纤布、环氧树脂防腐层、花岗岩等措施。</w:t>
            </w:r>
          </w:p>
        </w:tc>
      </w:tr>
      <w:tr w14:paraId="71808E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75" w:type="pct"/>
            <w:vMerge w:val="restart"/>
            <w:tcBorders>
              <w:tl2br w:val="nil"/>
              <w:tr2bl w:val="nil"/>
            </w:tcBorders>
            <w:vAlign w:val="center"/>
          </w:tcPr>
          <w:p w14:paraId="01D8CAAD">
            <w:pPr>
              <w:spacing w:line="320" w:lineRule="exact"/>
              <w:jc w:val="center"/>
              <w:rPr>
                <w:rFonts w:eastAsia="仿宋_GB2312"/>
                <w:szCs w:val="21"/>
              </w:rPr>
            </w:pPr>
            <w:r>
              <w:rPr>
                <w:rFonts w:eastAsia="仿宋_GB2312"/>
                <w:szCs w:val="21"/>
              </w:rPr>
              <w:t>风险</w:t>
            </w:r>
          </w:p>
          <w:p w14:paraId="74E3F309">
            <w:pPr>
              <w:spacing w:line="320" w:lineRule="exact"/>
              <w:jc w:val="center"/>
              <w:rPr>
                <w:rFonts w:eastAsia="仿宋_GB2312"/>
                <w:szCs w:val="21"/>
              </w:rPr>
            </w:pPr>
            <w:r>
              <w:rPr>
                <w:rFonts w:eastAsia="仿宋_GB2312"/>
                <w:szCs w:val="21"/>
              </w:rPr>
              <w:t>防范</w:t>
            </w:r>
          </w:p>
        </w:tc>
        <w:tc>
          <w:tcPr>
            <w:tcW w:w="675" w:type="pct"/>
            <w:tcBorders>
              <w:tl2br w:val="nil"/>
              <w:tr2bl w:val="nil"/>
            </w:tcBorders>
            <w:vAlign w:val="center"/>
          </w:tcPr>
          <w:p w14:paraId="67EF9635">
            <w:pPr>
              <w:spacing w:line="320" w:lineRule="exact"/>
              <w:jc w:val="center"/>
              <w:rPr>
                <w:rFonts w:eastAsia="仿宋_GB2312"/>
                <w:szCs w:val="21"/>
              </w:rPr>
            </w:pPr>
            <w:r>
              <w:rPr>
                <w:rFonts w:eastAsia="仿宋_GB2312"/>
                <w:szCs w:val="21"/>
              </w:rPr>
              <w:t>初期雨水池</w:t>
            </w:r>
          </w:p>
        </w:tc>
        <w:tc>
          <w:tcPr>
            <w:tcW w:w="3950" w:type="pct"/>
            <w:tcBorders>
              <w:tl2br w:val="nil"/>
              <w:tr2bl w:val="nil"/>
            </w:tcBorders>
            <w:vAlign w:val="center"/>
          </w:tcPr>
          <w:p w14:paraId="6D625C6C">
            <w:pPr>
              <w:spacing w:line="320" w:lineRule="exact"/>
              <w:jc w:val="left"/>
              <w:rPr>
                <w:rFonts w:eastAsia="仿宋_GB2312"/>
                <w:szCs w:val="21"/>
              </w:rPr>
            </w:pPr>
            <w:r>
              <w:rPr>
                <w:rFonts w:eastAsia="仿宋_GB2312"/>
                <w:szCs w:val="21"/>
              </w:rPr>
              <w:t>厂区设有1个450m</w:t>
            </w:r>
            <w:r>
              <w:rPr>
                <w:rFonts w:eastAsia="仿宋_GB2312"/>
                <w:szCs w:val="21"/>
                <w:vertAlign w:val="superscript"/>
              </w:rPr>
              <w:t>3</w:t>
            </w:r>
            <w:r>
              <w:rPr>
                <w:rFonts w:eastAsia="仿宋_GB2312"/>
                <w:szCs w:val="21"/>
              </w:rPr>
              <w:t>的初期雨水收集池，1个350m</w:t>
            </w:r>
            <w:r>
              <w:rPr>
                <w:rFonts w:eastAsia="仿宋_GB2312"/>
                <w:szCs w:val="21"/>
                <w:vertAlign w:val="superscript"/>
              </w:rPr>
              <w:t>3</w:t>
            </w:r>
            <w:r>
              <w:rPr>
                <w:rFonts w:eastAsia="仿宋_GB2312"/>
                <w:szCs w:val="21"/>
              </w:rPr>
              <w:t>的雨水收集池。</w:t>
            </w:r>
          </w:p>
        </w:tc>
      </w:tr>
      <w:tr w14:paraId="7AAFF7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75" w:type="pct"/>
            <w:vMerge w:val="continue"/>
            <w:tcBorders>
              <w:tl2br w:val="nil"/>
              <w:tr2bl w:val="nil"/>
            </w:tcBorders>
            <w:vAlign w:val="center"/>
          </w:tcPr>
          <w:p w14:paraId="6BD56082">
            <w:pPr>
              <w:spacing w:line="320" w:lineRule="exact"/>
              <w:jc w:val="center"/>
              <w:rPr>
                <w:rFonts w:eastAsia="仿宋_GB2312"/>
                <w:szCs w:val="21"/>
              </w:rPr>
            </w:pPr>
          </w:p>
        </w:tc>
        <w:tc>
          <w:tcPr>
            <w:tcW w:w="675" w:type="pct"/>
            <w:tcBorders>
              <w:tl2br w:val="nil"/>
              <w:tr2bl w:val="nil"/>
            </w:tcBorders>
            <w:vAlign w:val="center"/>
          </w:tcPr>
          <w:p w14:paraId="73E43D74">
            <w:pPr>
              <w:spacing w:line="320" w:lineRule="exact"/>
              <w:jc w:val="center"/>
              <w:rPr>
                <w:rFonts w:eastAsia="仿宋_GB2312"/>
                <w:szCs w:val="21"/>
              </w:rPr>
            </w:pPr>
            <w:r>
              <w:rPr>
                <w:rFonts w:eastAsia="仿宋_GB2312"/>
                <w:szCs w:val="21"/>
              </w:rPr>
              <w:t>事故应急池</w:t>
            </w:r>
          </w:p>
        </w:tc>
        <w:tc>
          <w:tcPr>
            <w:tcW w:w="3950" w:type="pct"/>
            <w:tcBorders>
              <w:tl2br w:val="nil"/>
              <w:tr2bl w:val="nil"/>
            </w:tcBorders>
            <w:vAlign w:val="center"/>
          </w:tcPr>
          <w:p w14:paraId="16169071">
            <w:pPr>
              <w:spacing w:line="320" w:lineRule="exact"/>
              <w:jc w:val="left"/>
              <w:rPr>
                <w:rFonts w:eastAsia="仿宋_GB2312"/>
                <w:szCs w:val="21"/>
              </w:rPr>
            </w:pPr>
            <w:r>
              <w:rPr>
                <w:rFonts w:eastAsia="仿宋_GB2312"/>
                <w:szCs w:val="21"/>
              </w:rPr>
              <w:t>厂区设有一座450m</w:t>
            </w:r>
            <w:r>
              <w:rPr>
                <w:rFonts w:eastAsia="仿宋_GB2312"/>
                <w:szCs w:val="21"/>
                <w:vertAlign w:val="superscript"/>
              </w:rPr>
              <w:t>3</w:t>
            </w:r>
            <w:r>
              <w:rPr>
                <w:rFonts w:eastAsia="仿宋_GB2312"/>
                <w:szCs w:val="21"/>
              </w:rPr>
              <w:t>的事故应急池。</w:t>
            </w:r>
          </w:p>
        </w:tc>
      </w:tr>
      <w:tr w14:paraId="0AB706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75" w:type="pct"/>
            <w:vMerge w:val="continue"/>
            <w:tcBorders>
              <w:tl2br w:val="nil"/>
              <w:tr2bl w:val="nil"/>
            </w:tcBorders>
            <w:vAlign w:val="center"/>
          </w:tcPr>
          <w:p w14:paraId="4BC6ED67">
            <w:pPr>
              <w:spacing w:line="320" w:lineRule="exact"/>
              <w:jc w:val="center"/>
              <w:rPr>
                <w:rFonts w:eastAsia="仿宋_GB2312"/>
                <w:szCs w:val="21"/>
              </w:rPr>
            </w:pPr>
          </w:p>
        </w:tc>
        <w:tc>
          <w:tcPr>
            <w:tcW w:w="675" w:type="pct"/>
            <w:tcBorders>
              <w:tl2br w:val="nil"/>
              <w:tr2bl w:val="nil"/>
            </w:tcBorders>
            <w:vAlign w:val="center"/>
          </w:tcPr>
          <w:p w14:paraId="298E6C26">
            <w:pPr>
              <w:spacing w:line="320" w:lineRule="exact"/>
              <w:jc w:val="center"/>
              <w:rPr>
                <w:rFonts w:eastAsia="仿宋_GB2312"/>
                <w:szCs w:val="21"/>
              </w:rPr>
            </w:pPr>
            <w:r>
              <w:rPr>
                <w:rFonts w:eastAsia="仿宋_GB2312"/>
                <w:szCs w:val="21"/>
              </w:rPr>
              <w:t>消防系统</w:t>
            </w:r>
          </w:p>
        </w:tc>
        <w:tc>
          <w:tcPr>
            <w:tcW w:w="3950" w:type="pct"/>
            <w:tcBorders>
              <w:tl2br w:val="nil"/>
              <w:tr2bl w:val="nil"/>
            </w:tcBorders>
            <w:vAlign w:val="center"/>
          </w:tcPr>
          <w:p w14:paraId="57D7BE94">
            <w:pPr>
              <w:spacing w:line="320" w:lineRule="exact"/>
              <w:jc w:val="left"/>
              <w:rPr>
                <w:rFonts w:eastAsia="仿宋_GB2312"/>
                <w:szCs w:val="21"/>
              </w:rPr>
            </w:pPr>
            <w:r>
              <w:rPr>
                <w:rFonts w:eastAsia="仿宋_GB2312"/>
                <w:szCs w:val="21"/>
              </w:rPr>
              <w:t>厂区设有一座2500m</w:t>
            </w:r>
            <w:r>
              <w:rPr>
                <w:rFonts w:eastAsia="仿宋_GB2312"/>
                <w:szCs w:val="21"/>
                <w:vertAlign w:val="superscript"/>
              </w:rPr>
              <w:t>3</w:t>
            </w:r>
            <w:r>
              <w:rPr>
                <w:rFonts w:eastAsia="仿宋_GB2312"/>
                <w:szCs w:val="21"/>
              </w:rPr>
              <w:t>的消防水池（兼作循环冷却水池）。</w:t>
            </w:r>
          </w:p>
        </w:tc>
      </w:tr>
    </w:tbl>
    <w:p w14:paraId="2A7811A8">
      <w:pPr>
        <w:rPr>
          <w:rFonts w:eastAsia="仿宋_GB2312"/>
          <w:color w:val="FF0000"/>
          <w:spacing w:val="-8"/>
          <w:kern w:val="0"/>
          <w:sz w:val="28"/>
          <w:szCs w:val="28"/>
        </w:rPr>
      </w:pPr>
      <w:r>
        <w:rPr>
          <w:rFonts w:eastAsia="仿宋_GB2312"/>
          <w:color w:val="FF0000"/>
          <w:spacing w:val="-8"/>
          <w:kern w:val="0"/>
          <w:sz w:val="28"/>
          <w:szCs w:val="28"/>
        </w:rPr>
        <w:br w:type="page"/>
      </w:r>
    </w:p>
    <w:p w14:paraId="5B4A2149">
      <w:pPr>
        <w:keepNext/>
        <w:tabs>
          <w:tab w:val="left" w:pos="709"/>
        </w:tabs>
        <w:spacing w:before="120" w:beforeLines="50" w:after="120" w:afterLines="50" w:line="500" w:lineRule="exact"/>
        <w:outlineLvl w:val="2"/>
        <w:rPr>
          <w:rFonts w:eastAsia="仿宋_GB2312"/>
          <w:b/>
          <w:bCs/>
          <w:sz w:val="28"/>
          <w:szCs w:val="28"/>
          <w:lang w:val="zh-CN"/>
        </w:rPr>
      </w:pPr>
      <w:bookmarkStart w:id="22" w:name="_Toc2390"/>
      <w:r>
        <w:rPr>
          <w:rFonts w:eastAsia="仿宋_GB2312"/>
          <w:b/>
          <w:bCs/>
          <w:sz w:val="28"/>
          <w:szCs w:val="28"/>
          <w:lang w:val="zh-CN"/>
        </w:rPr>
        <w:t>3.1.</w:t>
      </w:r>
      <w:r>
        <w:rPr>
          <w:rFonts w:hint="eastAsia" w:eastAsia="仿宋_GB2312"/>
          <w:b/>
          <w:bCs/>
          <w:sz w:val="28"/>
          <w:szCs w:val="28"/>
        </w:rPr>
        <w:t>4</w:t>
      </w:r>
      <w:r>
        <w:rPr>
          <w:rFonts w:eastAsia="仿宋_GB2312"/>
          <w:b/>
          <w:bCs/>
          <w:sz w:val="28"/>
          <w:szCs w:val="28"/>
          <w:lang w:val="zh-CN"/>
        </w:rPr>
        <w:t>原有项目蒸汽平衡、水平衡</w:t>
      </w:r>
      <w:bookmarkEnd w:id="22"/>
    </w:p>
    <w:p w14:paraId="45EBE3C2">
      <w:pPr>
        <w:spacing w:line="500" w:lineRule="exact"/>
        <w:ind w:firstLine="528" w:firstLineChars="200"/>
        <w:jc w:val="left"/>
        <w:rPr>
          <w:rFonts w:eastAsia="仿宋_GB2312"/>
          <w:spacing w:val="-8"/>
          <w:kern w:val="0"/>
          <w:sz w:val="28"/>
          <w:szCs w:val="28"/>
        </w:rPr>
      </w:pPr>
      <w:r>
        <w:rPr>
          <w:rFonts w:eastAsia="仿宋_GB2312"/>
          <w:spacing w:val="-8"/>
          <w:kern w:val="0"/>
          <w:sz w:val="28"/>
          <w:szCs w:val="28"/>
        </w:rPr>
        <w:t>原有项目全厂蒸汽平衡如下图所示。</w:t>
      </w:r>
    </w:p>
    <w:p w14:paraId="058D5515">
      <w:pPr>
        <w:jc w:val="center"/>
        <w:rPr>
          <w:rFonts w:eastAsia="仿宋_GB2312"/>
        </w:rPr>
      </w:pPr>
      <w:r>
        <w:object>
          <v:shape id="_x0000_i1025" o:spt="75" type="#_x0000_t75" style="height:139.5pt;width:414.75pt;" o:ole="t" filled="f" o:preferrelative="t" stroked="f" coordsize="21600,21600">
            <v:path/>
            <v:fill on="f" focussize="0,0"/>
            <v:stroke on="f" joinstyle="miter"/>
            <v:imagedata r:id="rId15" o:title=""/>
            <o:lock v:ext="edit" aspectratio="t"/>
            <w10:wrap type="none"/>
            <w10:anchorlock/>
          </v:shape>
          <o:OLEObject Type="Embed" ProgID="Visio.Drawing.15" ShapeID="_x0000_i1025" DrawAspect="Content" ObjectID="_1468075725" r:id="rId14">
            <o:LockedField>false</o:LockedField>
          </o:OLEObject>
        </w:object>
      </w:r>
    </w:p>
    <w:p w14:paraId="1A05C4AC">
      <w:pPr>
        <w:spacing w:line="500" w:lineRule="exact"/>
        <w:jc w:val="center"/>
        <w:rPr>
          <w:rFonts w:eastAsia="仿宋_GB2312"/>
          <w:b/>
          <w:sz w:val="24"/>
        </w:rPr>
      </w:pPr>
      <w:r>
        <w:rPr>
          <w:rFonts w:eastAsia="仿宋_GB2312"/>
          <w:b/>
          <w:sz w:val="24"/>
        </w:rPr>
        <w:t>图3.1-1  原有项目蒸汽平衡图（t/a）</w:t>
      </w:r>
    </w:p>
    <w:p w14:paraId="6A56BD3E">
      <w:pPr>
        <w:spacing w:line="500" w:lineRule="exact"/>
        <w:jc w:val="center"/>
        <w:rPr>
          <w:rFonts w:eastAsia="仿宋_GB2312"/>
          <w:b/>
          <w:color w:val="FF0000"/>
          <w:sz w:val="24"/>
        </w:rPr>
      </w:pPr>
    </w:p>
    <w:p w14:paraId="776F02E3">
      <w:pPr>
        <w:spacing w:line="500" w:lineRule="exact"/>
        <w:jc w:val="center"/>
        <w:rPr>
          <w:rFonts w:eastAsia="仿宋_GB2312"/>
          <w:b/>
          <w:color w:val="FF0000"/>
          <w:sz w:val="24"/>
        </w:rPr>
      </w:pPr>
    </w:p>
    <w:p w14:paraId="60DBF501">
      <w:pPr>
        <w:spacing w:line="500" w:lineRule="exact"/>
        <w:jc w:val="center"/>
        <w:rPr>
          <w:rFonts w:eastAsia="仿宋_GB2312"/>
          <w:b/>
          <w:color w:val="FF0000"/>
          <w:sz w:val="24"/>
        </w:rPr>
      </w:pPr>
    </w:p>
    <w:p w14:paraId="1CA6EDA9">
      <w:pPr>
        <w:spacing w:line="500" w:lineRule="exact"/>
        <w:jc w:val="center"/>
        <w:rPr>
          <w:rFonts w:eastAsia="仿宋_GB2312"/>
          <w:b/>
          <w:color w:val="FF0000"/>
          <w:sz w:val="24"/>
        </w:rPr>
      </w:pPr>
    </w:p>
    <w:p w14:paraId="4AF822B8">
      <w:pPr>
        <w:spacing w:line="500" w:lineRule="exact"/>
        <w:jc w:val="center"/>
        <w:rPr>
          <w:rFonts w:eastAsia="仿宋_GB2312"/>
          <w:b/>
          <w:color w:val="FF0000"/>
          <w:sz w:val="24"/>
        </w:rPr>
        <w:sectPr>
          <w:footerReference r:id="rId6" w:type="default"/>
          <w:type w:val="continuous"/>
          <w:pgSz w:w="11906" w:h="16838"/>
          <w:pgMar w:top="1440" w:right="1797" w:bottom="1440" w:left="1797" w:header="794" w:footer="992" w:gutter="0"/>
          <w:pgBorders>
            <w:top w:val="none" w:sz="0" w:space="0"/>
            <w:left w:val="none" w:sz="0" w:space="0"/>
            <w:bottom w:val="none" w:sz="0" w:space="0"/>
            <w:right w:val="none" w:sz="0" w:space="0"/>
          </w:pgBorders>
          <w:pgNumType w:fmt="decimal"/>
          <w:cols w:space="425" w:num="1"/>
          <w:docGrid w:linePitch="381" w:charSpace="0"/>
        </w:sectPr>
      </w:pPr>
    </w:p>
    <w:p w14:paraId="2C58BAC5">
      <w:pPr>
        <w:spacing w:line="500" w:lineRule="exact"/>
        <w:ind w:firstLine="528" w:firstLineChars="200"/>
        <w:jc w:val="left"/>
        <w:rPr>
          <w:rFonts w:eastAsia="仿宋_GB2312"/>
          <w:b/>
          <w:sz w:val="24"/>
        </w:rPr>
      </w:pPr>
      <w:r>
        <w:rPr>
          <w:rFonts w:eastAsia="仿宋_GB2312"/>
          <w:spacing w:val="-8"/>
          <w:kern w:val="0"/>
          <w:sz w:val="28"/>
          <w:szCs w:val="28"/>
        </w:rPr>
        <w:t>原有项目全厂水平衡如下图所示。</w:t>
      </w:r>
    </w:p>
    <w:p w14:paraId="6301EDCF">
      <w:pPr>
        <w:jc w:val="center"/>
        <w:rPr>
          <w:rFonts w:eastAsia="仿宋_GB2312"/>
          <w:b/>
          <w:color w:val="FF0000"/>
          <w:sz w:val="24"/>
        </w:rPr>
      </w:pPr>
      <w:r>
        <w:rPr>
          <w:rFonts w:eastAsia="仿宋_GB2312"/>
          <w:b/>
          <w:color w:val="FF0000"/>
          <w:sz w:val="24"/>
        </w:rPr>
        <w:object>
          <v:shape id="_x0000_i1026" o:spt="75" type="#_x0000_t75" style="height:845.95pt;width:661.1pt;" o:ole="t" filled="f" o:preferrelative="t" stroked="f" coordsize="21600,21600">
            <v:path/>
            <v:fill on="f" focussize="0,0"/>
            <v:stroke on="f"/>
            <v:imagedata r:id="rId17" o:title=""/>
            <o:lock v:ext="edit" aspectratio="f"/>
            <w10:wrap type="none"/>
            <w10:anchorlock/>
          </v:shape>
          <o:OLEObject Type="Embed" ProgID="Visio.Drawing.15" ShapeID="_x0000_i1026" DrawAspect="Content" ObjectID="_1468075726" r:id="rId16">
            <o:LockedField>false</o:LockedField>
          </o:OLEObject>
        </w:object>
      </w:r>
    </w:p>
    <w:p w14:paraId="5C0CFAA9">
      <w:pPr>
        <w:jc w:val="center"/>
        <w:rPr>
          <w:rFonts w:eastAsia="仿宋_GB2312"/>
          <w:b/>
          <w:sz w:val="24"/>
        </w:rPr>
      </w:pPr>
    </w:p>
    <w:p w14:paraId="78F904C6">
      <w:pPr>
        <w:jc w:val="center"/>
        <w:rPr>
          <w:rFonts w:eastAsia="仿宋_GB2312"/>
          <w:b/>
          <w:sz w:val="24"/>
        </w:rPr>
      </w:pPr>
      <w:r>
        <w:rPr>
          <w:rFonts w:eastAsia="仿宋_GB2312"/>
          <w:b/>
          <w:sz w:val="24"/>
        </w:rPr>
        <w:t>图3.1-2  原有项目水平衡图（m</w:t>
      </w:r>
      <w:r>
        <w:rPr>
          <w:rFonts w:eastAsia="仿宋_GB2312"/>
          <w:b/>
          <w:sz w:val="24"/>
          <w:vertAlign w:val="superscript"/>
        </w:rPr>
        <w:t>3</w:t>
      </w:r>
      <w:r>
        <w:rPr>
          <w:rFonts w:eastAsia="仿宋_GB2312"/>
          <w:b/>
          <w:sz w:val="24"/>
        </w:rPr>
        <w:t>/a）</w:t>
      </w:r>
    </w:p>
    <w:p w14:paraId="043928E7">
      <w:pPr>
        <w:pStyle w:val="2"/>
        <w:ind w:left="0"/>
        <w:rPr>
          <w:color w:val="FF0000"/>
        </w:rPr>
      </w:pPr>
    </w:p>
    <w:p w14:paraId="1FE2DAE5"/>
    <w:p w14:paraId="5CF446C6">
      <w:pPr>
        <w:rPr>
          <w:color w:val="FF0000"/>
        </w:rPr>
        <w:sectPr>
          <w:pgSz w:w="16838" w:h="23811"/>
          <w:pgMar w:top="1440" w:right="1800" w:bottom="1440" w:left="1800" w:header="794" w:footer="992" w:gutter="0"/>
          <w:pgBorders>
            <w:top w:val="none" w:sz="0" w:space="0"/>
            <w:left w:val="none" w:sz="0" w:space="0"/>
            <w:bottom w:val="none" w:sz="0" w:space="0"/>
            <w:right w:val="none" w:sz="0" w:space="0"/>
          </w:pgBorders>
          <w:pgNumType w:fmt="decimal"/>
          <w:cols w:space="425" w:num="1"/>
          <w:docGrid w:linePitch="381" w:charSpace="0"/>
        </w:sectPr>
      </w:pPr>
    </w:p>
    <w:p w14:paraId="224C13FD">
      <w:pPr>
        <w:keepNext/>
        <w:tabs>
          <w:tab w:val="left" w:pos="709"/>
        </w:tabs>
        <w:spacing w:before="120" w:beforeLines="50" w:after="120" w:afterLines="50" w:line="500" w:lineRule="exact"/>
        <w:outlineLvl w:val="2"/>
        <w:rPr>
          <w:rFonts w:eastAsia="仿宋_GB2312"/>
          <w:b/>
          <w:bCs/>
          <w:sz w:val="28"/>
          <w:szCs w:val="28"/>
        </w:rPr>
      </w:pPr>
      <w:bookmarkStart w:id="23" w:name="_Toc21374"/>
      <w:r>
        <w:rPr>
          <w:rFonts w:eastAsia="仿宋_GB2312"/>
          <w:b/>
          <w:bCs/>
          <w:sz w:val="28"/>
          <w:szCs w:val="28"/>
          <w:lang w:val="zh-CN"/>
        </w:rPr>
        <w:t>3.1.</w:t>
      </w:r>
      <w:r>
        <w:rPr>
          <w:rFonts w:hint="eastAsia" w:eastAsia="仿宋_GB2312"/>
          <w:b/>
          <w:bCs/>
          <w:sz w:val="28"/>
          <w:szCs w:val="28"/>
        </w:rPr>
        <w:t>5</w:t>
      </w:r>
      <w:r>
        <w:rPr>
          <w:rFonts w:eastAsia="仿宋_GB2312"/>
          <w:b/>
          <w:bCs/>
          <w:sz w:val="28"/>
          <w:szCs w:val="28"/>
        </w:rPr>
        <w:t>已建项目污染防治措施及排放情况</w:t>
      </w:r>
      <w:bookmarkEnd w:id="23"/>
    </w:p>
    <w:p w14:paraId="5BA7A6A0">
      <w:pPr>
        <w:pStyle w:val="7"/>
        <w:keepLines w:val="0"/>
        <w:widowControl/>
        <w:adjustRightInd w:val="0"/>
        <w:snapToGrid w:val="0"/>
        <w:spacing w:after="120" w:afterLines="50"/>
        <w:jc w:val="left"/>
        <w:rPr>
          <w:rFonts w:ascii="Times New Roman" w:hAnsi="Times New Roman"/>
          <w:b/>
        </w:rPr>
      </w:pPr>
      <w:r>
        <w:rPr>
          <w:rFonts w:ascii="Times New Roman" w:hAnsi="Times New Roman"/>
          <w:b/>
        </w:rPr>
        <w:t>3.1.</w:t>
      </w:r>
      <w:r>
        <w:rPr>
          <w:rFonts w:hint="eastAsia" w:ascii="Times New Roman" w:hAnsi="Times New Roman"/>
          <w:b/>
        </w:rPr>
        <w:t>5</w:t>
      </w:r>
      <w:r>
        <w:rPr>
          <w:rFonts w:ascii="Times New Roman" w:hAnsi="Times New Roman"/>
          <w:b/>
        </w:rPr>
        <w:t>.1已建项目废气污染防治措施汇总</w:t>
      </w:r>
    </w:p>
    <w:p w14:paraId="49B04089">
      <w:pPr>
        <w:spacing w:line="500" w:lineRule="exact"/>
        <w:ind w:firstLine="562" w:firstLineChars="200"/>
        <w:rPr>
          <w:rFonts w:eastAsia="仿宋_GB2312"/>
          <w:b/>
          <w:bCs/>
          <w:sz w:val="28"/>
          <w:szCs w:val="28"/>
        </w:rPr>
      </w:pPr>
      <w:r>
        <w:rPr>
          <w:rFonts w:eastAsia="仿宋_GB2312"/>
          <w:b/>
          <w:bCs/>
          <w:sz w:val="28"/>
          <w:szCs w:val="28"/>
        </w:rPr>
        <w:t>1、有组织废气</w:t>
      </w:r>
    </w:p>
    <w:p w14:paraId="09A89DA4">
      <w:pPr>
        <w:spacing w:line="500" w:lineRule="exact"/>
        <w:ind w:firstLine="560" w:firstLineChars="200"/>
        <w:rPr>
          <w:rFonts w:eastAsia="仿宋_GB2312"/>
          <w:sz w:val="28"/>
          <w:szCs w:val="28"/>
        </w:rPr>
      </w:pPr>
      <w:r>
        <w:rPr>
          <w:rFonts w:eastAsia="仿宋_GB2312"/>
          <w:sz w:val="28"/>
          <w:szCs w:val="28"/>
        </w:rPr>
        <w:t>（1）有组织废气污染防治措施</w:t>
      </w:r>
    </w:p>
    <w:p w14:paraId="24B45633">
      <w:pPr>
        <w:spacing w:line="500" w:lineRule="exact"/>
        <w:ind w:firstLine="560" w:firstLineChars="200"/>
        <w:rPr>
          <w:rFonts w:eastAsia="仿宋_GB2312"/>
          <w:sz w:val="28"/>
          <w:szCs w:val="28"/>
        </w:rPr>
      </w:pPr>
      <w:r>
        <w:rPr>
          <w:rFonts w:eastAsia="仿宋_GB2312"/>
          <w:sz w:val="28"/>
          <w:szCs w:val="28"/>
        </w:rPr>
        <w:t>已建项目废气污染防治措施见表3.1-</w:t>
      </w:r>
      <w:r>
        <w:rPr>
          <w:rFonts w:hint="eastAsia" w:eastAsia="仿宋_GB2312"/>
          <w:sz w:val="28"/>
          <w:szCs w:val="28"/>
        </w:rPr>
        <w:t>3</w:t>
      </w:r>
      <w:r>
        <w:rPr>
          <w:rFonts w:eastAsia="仿宋_GB2312"/>
          <w:sz w:val="28"/>
          <w:szCs w:val="28"/>
        </w:rPr>
        <w:t>。</w:t>
      </w:r>
    </w:p>
    <w:p w14:paraId="355BB027">
      <w:pPr>
        <w:spacing w:line="500" w:lineRule="exact"/>
        <w:jc w:val="center"/>
        <w:rPr>
          <w:rFonts w:eastAsia="仿宋_GB2312"/>
          <w:b/>
          <w:sz w:val="24"/>
        </w:rPr>
      </w:pPr>
      <w:r>
        <w:rPr>
          <w:rFonts w:eastAsia="仿宋_GB2312"/>
          <w:b/>
          <w:sz w:val="24"/>
        </w:rPr>
        <w:t>表3.1-</w:t>
      </w:r>
      <w:r>
        <w:rPr>
          <w:rFonts w:hint="eastAsia" w:eastAsia="仿宋_GB2312"/>
          <w:b/>
          <w:sz w:val="24"/>
        </w:rPr>
        <w:t>3</w:t>
      </w:r>
      <w:r>
        <w:rPr>
          <w:rFonts w:eastAsia="仿宋_GB2312"/>
          <w:b/>
          <w:sz w:val="24"/>
        </w:rPr>
        <w:t xml:space="preserve">  原有已建项目废气污染防治措施一览表</w:t>
      </w:r>
    </w:p>
    <w:tbl>
      <w:tblPr>
        <w:tblStyle w:val="88"/>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706"/>
        <w:gridCol w:w="3426"/>
        <w:gridCol w:w="3263"/>
        <w:gridCol w:w="1125"/>
      </w:tblGrid>
      <w:tr w14:paraId="6E65C6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14" w:type="pct"/>
            <w:tcBorders>
              <w:tl2br w:val="nil"/>
              <w:tr2bl w:val="nil"/>
            </w:tcBorders>
            <w:shd w:val="clear" w:color="auto" w:fill="auto"/>
            <w:vAlign w:val="center"/>
          </w:tcPr>
          <w:p w14:paraId="1981A8E7">
            <w:pPr>
              <w:spacing w:line="320" w:lineRule="exact"/>
              <w:contextualSpacing/>
              <w:jc w:val="center"/>
              <w:rPr>
                <w:rFonts w:eastAsia="仿宋_GB2312"/>
                <w:b/>
                <w:szCs w:val="21"/>
              </w:rPr>
            </w:pPr>
            <w:r>
              <w:rPr>
                <w:rFonts w:hint="eastAsia" w:eastAsia="仿宋_GB2312"/>
                <w:b/>
                <w:szCs w:val="21"/>
              </w:rPr>
              <w:t>序号</w:t>
            </w:r>
          </w:p>
        </w:tc>
        <w:tc>
          <w:tcPr>
            <w:tcW w:w="2010" w:type="pct"/>
            <w:tcBorders>
              <w:tl2br w:val="nil"/>
              <w:tr2bl w:val="nil"/>
            </w:tcBorders>
            <w:shd w:val="clear" w:color="auto" w:fill="auto"/>
            <w:vAlign w:val="center"/>
          </w:tcPr>
          <w:p w14:paraId="1E396C81">
            <w:pPr>
              <w:spacing w:line="320" w:lineRule="exact"/>
              <w:contextualSpacing/>
              <w:jc w:val="center"/>
              <w:rPr>
                <w:rFonts w:eastAsia="仿宋_GB2312"/>
                <w:b/>
                <w:szCs w:val="21"/>
              </w:rPr>
            </w:pPr>
            <w:r>
              <w:rPr>
                <w:rFonts w:eastAsia="仿宋_GB2312"/>
                <w:b/>
                <w:szCs w:val="21"/>
              </w:rPr>
              <w:t>废气来源</w:t>
            </w:r>
          </w:p>
        </w:tc>
        <w:tc>
          <w:tcPr>
            <w:tcW w:w="1914" w:type="pct"/>
            <w:tcBorders>
              <w:tl2br w:val="nil"/>
              <w:tr2bl w:val="nil"/>
            </w:tcBorders>
            <w:shd w:val="clear" w:color="auto" w:fill="auto"/>
            <w:vAlign w:val="center"/>
          </w:tcPr>
          <w:p w14:paraId="1C044863">
            <w:pPr>
              <w:spacing w:line="320" w:lineRule="exact"/>
              <w:contextualSpacing/>
              <w:jc w:val="center"/>
              <w:rPr>
                <w:rFonts w:eastAsia="仿宋_GB2312"/>
                <w:b/>
                <w:szCs w:val="21"/>
              </w:rPr>
            </w:pPr>
            <w:r>
              <w:rPr>
                <w:rFonts w:eastAsia="仿宋_GB2312"/>
                <w:b/>
                <w:szCs w:val="21"/>
              </w:rPr>
              <w:t>治理设施</w:t>
            </w:r>
          </w:p>
        </w:tc>
        <w:tc>
          <w:tcPr>
            <w:tcW w:w="660" w:type="pct"/>
            <w:tcBorders>
              <w:tl2br w:val="nil"/>
              <w:tr2bl w:val="nil"/>
            </w:tcBorders>
            <w:shd w:val="clear" w:color="auto" w:fill="auto"/>
            <w:vAlign w:val="center"/>
          </w:tcPr>
          <w:p w14:paraId="6B59C84B">
            <w:pPr>
              <w:spacing w:line="320" w:lineRule="exact"/>
              <w:contextualSpacing/>
              <w:jc w:val="center"/>
              <w:rPr>
                <w:rFonts w:eastAsia="仿宋_GB2312"/>
                <w:b/>
                <w:szCs w:val="21"/>
              </w:rPr>
            </w:pPr>
            <w:r>
              <w:rPr>
                <w:rFonts w:eastAsia="仿宋_GB2312"/>
                <w:b/>
                <w:szCs w:val="21"/>
              </w:rPr>
              <w:t>排气筒设置</w:t>
            </w:r>
          </w:p>
        </w:tc>
      </w:tr>
      <w:tr w14:paraId="712202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14" w:type="pct"/>
            <w:tcBorders>
              <w:tl2br w:val="nil"/>
              <w:tr2bl w:val="nil"/>
            </w:tcBorders>
            <w:shd w:val="clear" w:color="auto" w:fill="auto"/>
            <w:vAlign w:val="center"/>
          </w:tcPr>
          <w:p w14:paraId="51747453">
            <w:pPr>
              <w:spacing w:line="320" w:lineRule="exact"/>
              <w:jc w:val="center"/>
              <w:rPr>
                <w:rFonts w:eastAsia="仿宋_GB2312"/>
                <w:szCs w:val="21"/>
              </w:rPr>
            </w:pPr>
            <w:r>
              <w:rPr>
                <w:rFonts w:hint="eastAsia" w:eastAsia="仿宋_GB2312"/>
                <w:szCs w:val="21"/>
              </w:rPr>
              <w:t>1</w:t>
            </w:r>
          </w:p>
        </w:tc>
        <w:tc>
          <w:tcPr>
            <w:tcW w:w="2010" w:type="pct"/>
            <w:tcBorders>
              <w:tl2br w:val="nil"/>
              <w:tr2bl w:val="nil"/>
            </w:tcBorders>
            <w:shd w:val="clear" w:color="auto" w:fill="auto"/>
            <w:vAlign w:val="center"/>
          </w:tcPr>
          <w:p w14:paraId="7B9F6898">
            <w:pPr>
              <w:spacing w:line="320" w:lineRule="exact"/>
              <w:jc w:val="center"/>
              <w:rPr>
                <w:rFonts w:eastAsia="仿宋_GB2312"/>
                <w:szCs w:val="21"/>
              </w:rPr>
            </w:pPr>
            <w:r>
              <w:rPr>
                <w:rFonts w:eastAsia="仿宋_GB2312"/>
                <w:szCs w:val="21"/>
              </w:rPr>
              <w:t>实验室废气、危废仓库（1#、2#、3#、4#、5#）废气、分拣暂存间废气、2#储罐区废气</w:t>
            </w:r>
          </w:p>
        </w:tc>
        <w:tc>
          <w:tcPr>
            <w:tcW w:w="1914" w:type="pct"/>
            <w:tcBorders>
              <w:tl2br w:val="nil"/>
              <w:tr2bl w:val="nil"/>
            </w:tcBorders>
            <w:shd w:val="clear" w:color="auto" w:fill="auto"/>
            <w:vAlign w:val="center"/>
          </w:tcPr>
          <w:p w14:paraId="2D7C8442">
            <w:pPr>
              <w:widowControl/>
              <w:spacing w:line="320" w:lineRule="exact"/>
              <w:contextualSpacing/>
              <w:jc w:val="center"/>
              <w:rPr>
                <w:rFonts w:eastAsia="仿宋_GB2312"/>
                <w:szCs w:val="21"/>
              </w:rPr>
            </w:pPr>
            <w:r>
              <w:rPr>
                <w:rFonts w:eastAsia="仿宋_GB2312"/>
                <w:szCs w:val="21"/>
              </w:rPr>
              <w:t>稀酸吸收+碱吸收+除雾+光氧离子催化氧化+活性炭吸附</w:t>
            </w:r>
          </w:p>
        </w:tc>
        <w:tc>
          <w:tcPr>
            <w:tcW w:w="660" w:type="pct"/>
            <w:tcBorders>
              <w:tl2br w:val="nil"/>
              <w:tr2bl w:val="nil"/>
            </w:tcBorders>
            <w:shd w:val="clear" w:color="auto" w:fill="auto"/>
            <w:vAlign w:val="center"/>
          </w:tcPr>
          <w:p w14:paraId="1CEAA754">
            <w:pPr>
              <w:spacing w:line="320" w:lineRule="exact"/>
              <w:contextualSpacing/>
              <w:jc w:val="center"/>
              <w:rPr>
                <w:rFonts w:eastAsia="仿宋_GB2312"/>
                <w:szCs w:val="21"/>
              </w:rPr>
            </w:pPr>
            <w:r>
              <w:rPr>
                <w:rFonts w:hint="eastAsia" w:eastAsia="仿宋_GB2312"/>
                <w:szCs w:val="21"/>
              </w:rPr>
              <w:t>DA001（20m）</w:t>
            </w:r>
          </w:p>
        </w:tc>
      </w:tr>
      <w:tr w14:paraId="50C070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14" w:type="pct"/>
            <w:tcBorders>
              <w:tl2br w:val="nil"/>
              <w:tr2bl w:val="nil"/>
            </w:tcBorders>
            <w:shd w:val="clear" w:color="auto" w:fill="auto"/>
            <w:vAlign w:val="center"/>
          </w:tcPr>
          <w:p w14:paraId="40CE8E47">
            <w:pPr>
              <w:spacing w:line="320" w:lineRule="exact"/>
              <w:jc w:val="center"/>
              <w:rPr>
                <w:rFonts w:eastAsia="仿宋_GB2312"/>
                <w:szCs w:val="21"/>
              </w:rPr>
            </w:pPr>
            <w:r>
              <w:rPr>
                <w:rFonts w:hint="eastAsia" w:eastAsia="仿宋_GB2312"/>
                <w:szCs w:val="21"/>
              </w:rPr>
              <w:t>2</w:t>
            </w:r>
          </w:p>
        </w:tc>
        <w:tc>
          <w:tcPr>
            <w:tcW w:w="2010" w:type="pct"/>
            <w:tcBorders>
              <w:tl2br w:val="nil"/>
              <w:tr2bl w:val="nil"/>
            </w:tcBorders>
            <w:shd w:val="clear" w:color="auto" w:fill="auto"/>
            <w:vAlign w:val="center"/>
          </w:tcPr>
          <w:p w14:paraId="4F35205F">
            <w:pPr>
              <w:spacing w:line="320" w:lineRule="exact"/>
              <w:jc w:val="center"/>
              <w:rPr>
                <w:rFonts w:eastAsia="仿宋_GB2312"/>
                <w:szCs w:val="21"/>
              </w:rPr>
            </w:pPr>
            <w:r>
              <w:rPr>
                <w:rFonts w:eastAsia="仿宋_GB2312"/>
                <w:szCs w:val="21"/>
              </w:rPr>
              <w:t>1#焚烧炉焚烧处置危废产生的废气</w:t>
            </w:r>
          </w:p>
        </w:tc>
        <w:tc>
          <w:tcPr>
            <w:tcW w:w="1914" w:type="pct"/>
            <w:tcBorders>
              <w:tl2br w:val="nil"/>
              <w:tr2bl w:val="nil"/>
            </w:tcBorders>
            <w:shd w:val="clear" w:color="auto" w:fill="auto"/>
            <w:vAlign w:val="center"/>
          </w:tcPr>
          <w:p w14:paraId="4427A98A">
            <w:pPr>
              <w:widowControl/>
              <w:spacing w:line="320" w:lineRule="exact"/>
              <w:contextualSpacing/>
              <w:jc w:val="center"/>
              <w:rPr>
                <w:rFonts w:eastAsia="仿宋_GB2312"/>
                <w:szCs w:val="21"/>
              </w:rPr>
            </w:pPr>
            <w:r>
              <w:rPr>
                <w:rFonts w:eastAsia="仿宋_GB2312"/>
                <w:szCs w:val="21"/>
              </w:rPr>
              <w:t>SNCR+急冷+干式脱酸+布袋除尘+氧化、碱喷淋</w:t>
            </w:r>
          </w:p>
        </w:tc>
        <w:tc>
          <w:tcPr>
            <w:tcW w:w="660" w:type="pct"/>
            <w:vMerge w:val="restart"/>
            <w:tcBorders>
              <w:tl2br w:val="nil"/>
              <w:tr2bl w:val="nil"/>
            </w:tcBorders>
            <w:shd w:val="clear" w:color="auto" w:fill="auto"/>
            <w:vAlign w:val="center"/>
          </w:tcPr>
          <w:p w14:paraId="409FE27B">
            <w:pPr>
              <w:spacing w:line="320" w:lineRule="exact"/>
              <w:contextualSpacing/>
              <w:jc w:val="center"/>
              <w:rPr>
                <w:rFonts w:eastAsia="仿宋_GB2312"/>
                <w:szCs w:val="21"/>
              </w:rPr>
            </w:pPr>
            <w:r>
              <w:rPr>
                <w:rFonts w:hint="eastAsia" w:eastAsia="仿宋_GB2312"/>
                <w:szCs w:val="21"/>
              </w:rPr>
              <w:t>DA002（50m）</w:t>
            </w:r>
          </w:p>
        </w:tc>
      </w:tr>
      <w:tr w14:paraId="27B733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14" w:type="pct"/>
            <w:tcBorders>
              <w:tl2br w:val="nil"/>
              <w:tr2bl w:val="nil"/>
            </w:tcBorders>
            <w:shd w:val="clear" w:color="auto" w:fill="auto"/>
            <w:vAlign w:val="center"/>
          </w:tcPr>
          <w:p w14:paraId="019E88B0">
            <w:pPr>
              <w:spacing w:line="320" w:lineRule="exact"/>
              <w:jc w:val="center"/>
              <w:rPr>
                <w:rFonts w:eastAsia="仿宋_GB2312"/>
                <w:szCs w:val="21"/>
              </w:rPr>
            </w:pPr>
            <w:r>
              <w:rPr>
                <w:rFonts w:hint="eastAsia" w:eastAsia="仿宋_GB2312"/>
                <w:szCs w:val="21"/>
              </w:rPr>
              <w:t>3</w:t>
            </w:r>
          </w:p>
        </w:tc>
        <w:tc>
          <w:tcPr>
            <w:tcW w:w="2010" w:type="pct"/>
            <w:tcBorders>
              <w:tl2br w:val="nil"/>
              <w:tr2bl w:val="nil"/>
            </w:tcBorders>
            <w:shd w:val="clear" w:color="auto" w:fill="auto"/>
            <w:vAlign w:val="center"/>
          </w:tcPr>
          <w:p w14:paraId="39EE8814">
            <w:pPr>
              <w:spacing w:line="320" w:lineRule="exact"/>
              <w:jc w:val="center"/>
              <w:rPr>
                <w:rFonts w:eastAsia="仿宋_GB2312"/>
                <w:szCs w:val="21"/>
              </w:rPr>
            </w:pPr>
            <w:r>
              <w:rPr>
                <w:rFonts w:eastAsia="仿宋_GB2312"/>
                <w:szCs w:val="21"/>
              </w:rPr>
              <w:t>2#焚烧炉焚烧处置危废产生的废气</w:t>
            </w:r>
          </w:p>
        </w:tc>
        <w:tc>
          <w:tcPr>
            <w:tcW w:w="1914" w:type="pct"/>
            <w:tcBorders>
              <w:tl2br w:val="nil"/>
              <w:tr2bl w:val="nil"/>
            </w:tcBorders>
            <w:shd w:val="clear" w:color="auto" w:fill="auto"/>
            <w:vAlign w:val="center"/>
          </w:tcPr>
          <w:p w14:paraId="0EE72D54">
            <w:pPr>
              <w:widowControl/>
              <w:spacing w:line="320" w:lineRule="exact"/>
              <w:contextualSpacing/>
              <w:jc w:val="center"/>
              <w:rPr>
                <w:rFonts w:eastAsia="仿宋_GB2312"/>
                <w:szCs w:val="21"/>
              </w:rPr>
            </w:pPr>
            <w:r>
              <w:rPr>
                <w:rFonts w:eastAsia="仿宋_GB2312"/>
                <w:szCs w:val="21"/>
              </w:rPr>
              <w:t>SNCR+急冷+干式脱酸+喷射活性炭+布袋除尘+两级湿法脱酸+湿电除尘+活性炭吸附+烟气加热</w:t>
            </w:r>
          </w:p>
        </w:tc>
        <w:tc>
          <w:tcPr>
            <w:tcW w:w="660" w:type="pct"/>
            <w:vMerge w:val="continue"/>
            <w:tcBorders>
              <w:tl2br w:val="nil"/>
              <w:tr2bl w:val="nil"/>
            </w:tcBorders>
            <w:shd w:val="clear" w:color="auto" w:fill="auto"/>
            <w:vAlign w:val="center"/>
          </w:tcPr>
          <w:p w14:paraId="55C2A816">
            <w:pPr>
              <w:spacing w:line="320" w:lineRule="exact"/>
              <w:contextualSpacing/>
              <w:jc w:val="center"/>
              <w:rPr>
                <w:rFonts w:eastAsia="仿宋_GB2312"/>
                <w:szCs w:val="21"/>
              </w:rPr>
            </w:pPr>
          </w:p>
        </w:tc>
      </w:tr>
      <w:tr w14:paraId="77BC5D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14" w:type="pct"/>
            <w:tcBorders>
              <w:tl2br w:val="nil"/>
              <w:tr2bl w:val="nil"/>
            </w:tcBorders>
            <w:shd w:val="clear" w:color="auto" w:fill="auto"/>
            <w:vAlign w:val="center"/>
          </w:tcPr>
          <w:p w14:paraId="3A322CDF">
            <w:pPr>
              <w:spacing w:line="320" w:lineRule="exact"/>
              <w:jc w:val="center"/>
              <w:rPr>
                <w:rFonts w:eastAsia="仿宋_GB2312"/>
                <w:szCs w:val="21"/>
              </w:rPr>
            </w:pPr>
            <w:r>
              <w:rPr>
                <w:rFonts w:hint="eastAsia" w:eastAsia="仿宋_GB2312"/>
                <w:szCs w:val="21"/>
              </w:rPr>
              <w:t>4</w:t>
            </w:r>
          </w:p>
        </w:tc>
        <w:tc>
          <w:tcPr>
            <w:tcW w:w="2010" w:type="pct"/>
            <w:tcBorders>
              <w:tl2br w:val="nil"/>
              <w:tr2bl w:val="nil"/>
            </w:tcBorders>
            <w:shd w:val="clear" w:color="auto" w:fill="auto"/>
            <w:vAlign w:val="center"/>
          </w:tcPr>
          <w:p w14:paraId="31F0285A">
            <w:pPr>
              <w:spacing w:line="320" w:lineRule="exact"/>
              <w:jc w:val="center"/>
              <w:rPr>
                <w:rFonts w:eastAsia="仿宋_GB2312"/>
                <w:szCs w:val="21"/>
              </w:rPr>
            </w:pPr>
            <w:r>
              <w:rPr>
                <w:rFonts w:eastAsia="仿宋_GB2312"/>
                <w:szCs w:val="21"/>
              </w:rPr>
              <w:t>1#车间</w:t>
            </w:r>
            <w:r>
              <w:rPr>
                <w:rFonts w:hint="eastAsia" w:eastAsia="仿宋_GB2312"/>
                <w:szCs w:val="21"/>
              </w:rPr>
              <w:t>废气（不含整体换风废气）、2#</w:t>
            </w:r>
            <w:r>
              <w:rPr>
                <w:rFonts w:eastAsia="仿宋_GB2312"/>
                <w:szCs w:val="21"/>
              </w:rPr>
              <w:t>车间</w:t>
            </w:r>
            <w:r>
              <w:rPr>
                <w:rFonts w:hint="eastAsia" w:eastAsia="仿宋_GB2312"/>
                <w:szCs w:val="21"/>
              </w:rPr>
              <w:t>废气（不含整体换风废气）、</w:t>
            </w:r>
            <w:r>
              <w:rPr>
                <w:rFonts w:eastAsia="仿宋_GB2312"/>
                <w:szCs w:val="21"/>
              </w:rPr>
              <w:t>B-7车间</w:t>
            </w:r>
            <w:r>
              <w:rPr>
                <w:rFonts w:hint="eastAsia" w:eastAsia="仿宋_GB2312"/>
                <w:szCs w:val="21"/>
              </w:rPr>
              <w:t>废气（不含整体换风废气）、1#储罐区废气</w:t>
            </w:r>
          </w:p>
        </w:tc>
        <w:tc>
          <w:tcPr>
            <w:tcW w:w="1914" w:type="pct"/>
            <w:tcBorders>
              <w:tl2br w:val="nil"/>
              <w:tr2bl w:val="nil"/>
            </w:tcBorders>
            <w:shd w:val="clear" w:color="auto" w:fill="auto"/>
            <w:vAlign w:val="center"/>
          </w:tcPr>
          <w:p w14:paraId="6548C728">
            <w:pPr>
              <w:widowControl/>
              <w:spacing w:line="320" w:lineRule="exact"/>
              <w:contextualSpacing/>
              <w:jc w:val="center"/>
              <w:rPr>
                <w:rFonts w:eastAsia="仿宋_GB2312"/>
                <w:szCs w:val="21"/>
              </w:rPr>
            </w:pPr>
            <w:r>
              <w:rPr>
                <w:rFonts w:hint="eastAsia" w:eastAsia="仿宋_GB2312"/>
                <w:szCs w:val="21"/>
              </w:rPr>
              <w:t>预处理（冷凝+稀酸吸收+碱吸收+水吸收+除雾）+</w:t>
            </w:r>
            <w:r>
              <w:rPr>
                <w:rFonts w:eastAsia="仿宋_GB2312"/>
                <w:szCs w:val="21"/>
              </w:rPr>
              <w:t>焚烧</w:t>
            </w:r>
          </w:p>
        </w:tc>
        <w:tc>
          <w:tcPr>
            <w:tcW w:w="660" w:type="pct"/>
            <w:vMerge w:val="continue"/>
            <w:tcBorders>
              <w:tl2br w:val="nil"/>
              <w:tr2bl w:val="nil"/>
            </w:tcBorders>
            <w:shd w:val="clear" w:color="auto" w:fill="auto"/>
            <w:vAlign w:val="center"/>
          </w:tcPr>
          <w:p w14:paraId="340D27CB">
            <w:pPr>
              <w:spacing w:line="320" w:lineRule="exact"/>
              <w:contextualSpacing/>
              <w:jc w:val="center"/>
              <w:rPr>
                <w:rFonts w:eastAsia="仿宋_GB2312"/>
                <w:szCs w:val="21"/>
              </w:rPr>
            </w:pPr>
          </w:p>
        </w:tc>
      </w:tr>
      <w:tr w14:paraId="6001B57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14" w:type="pct"/>
            <w:tcBorders>
              <w:tl2br w:val="nil"/>
              <w:tr2bl w:val="nil"/>
            </w:tcBorders>
            <w:shd w:val="clear" w:color="auto" w:fill="auto"/>
            <w:vAlign w:val="center"/>
          </w:tcPr>
          <w:p w14:paraId="105DDD04">
            <w:pPr>
              <w:spacing w:line="320" w:lineRule="exact"/>
              <w:jc w:val="center"/>
              <w:rPr>
                <w:rFonts w:eastAsia="仿宋_GB2312"/>
                <w:szCs w:val="21"/>
              </w:rPr>
            </w:pPr>
            <w:r>
              <w:rPr>
                <w:rFonts w:hint="eastAsia" w:eastAsia="仿宋_GB2312"/>
                <w:szCs w:val="21"/>
              </w:rPr>
              <w:t>5</w:t>
            </w:r>
          </w:p>
        </w:tc>
        <w:tc>
          <w:tcPr>
            <w:tcW w:w="2010" w:type="pct"/>
            <w:tcBorders>
              <w:tl2br w:val="nil"/>
              <w:tr2bl w:val="nil"/>
            </w:tcBorders>
            <w:shd w:val="clear" w:color="auto" w:fill="auto"/>
            <w:vAlign w:val="center"/>
          </w:tcPr>
          <w:p w14:paraId="7BF4A06A">
            <w:pPr>
              <w:spacing w:line="320" w:lineRule="exact"/>
              <w:jc w:val="center"/>
              <w:rPr>
                <w:rFonts w:eastAsia="仿宋_GB2312"/>
                <w:szCs w:val="21"/>
              </w:rPr>
            </w:pPr>
            <w:r>
              <w:rPr>
                <w:rFonts w:eastAsia="仿宋_GB2312"/>
                <w:szCs w:val="21"/>
              </w:rPr>
              <w:t>危废配伍间废气</w:t>
            </w:r>
          </w:p>
        </w:tc>
        <w:tc>
          <w:tcPr>
            <w:tcW w:w="1914" w:type="pct"/>
            <w:tcBorders>
              <w:tl2br w:val="nil"/>
              <w:tr2bl w:val="nil"/>
            </w:tcBorders>
            <w:shd w:val="clear" w:color="auto" w:fill="auto"/>
            <w:vAlign w:val="center"/>
          </w:tcPr>
          <w:p w14:paraId="72BB0B06">
            <w:pPr>
              <w:widowControl/>
              <w:spacing w:line="320" w:lineRule="exact"/>
              <w:contextualSpacing/>
              <w:jc w:val="center"/>
              <w:rPr>
                <w:rFonts w:eastAsia="仿宋_GB2312"/>
                <w:szCs w:val="21"/>
              </w:rPr>
            </w:pPr>
            <w:r>
              <w:rPr>
                <w:rFonts w:eastAsia="仿宋_GB2312"/>
                <w:szCs w:val="21"/>
              </w:rPr>
              <w:t>稀酸吸收+碱吸收+除雾+两级活性炭吸附/脱附</w:t>
            </w:r>
          </w:p>
        </w:tc>
        <w:tc>
          <w:tcPr>
            <w:tcW w:w="660" w:type="pct"/>
            <w:tcBorders>
              <w:tl2br w:val="nil"/>
              <w:tr2bl w:val="nil"/>
            </w:tcBorders>
            <w:shd w:val="clear" w:color="auto" w:fill="auto"/>
            <w:vAlign w:val="center"/>
          </w:tcPr>
          <w:p w14:paraId="0CA2E396">
            <w:pPr>
              <w:spacing w:line="320" w:lineRule="exact"/>
              <w:contextualSpacing/>
              <w:jc w:val="center"/>
              <w:rPr>
                <w:rFonts w:eastAsia="仿宋_GB2312"/>
                <w:szCs w:val="21"/>
              </w:rPr>
            </w:pPr>
            <w:r>
              <w:rPr>
                <w:rFonts w:hint="eastAsia" w:eastAsia="仿宋_GB2312"/>
                <w:szCs w:val="21"/>
              </w:rPr>
              <w:t>DA003</w:t>
            </w:r>
            <w:r>
              <w:rPr>
                <w:rFonts w:eastAsia="仿宋_GB2312"/>
                <w:szCs w:val="21"/>
              </w:rPr>
              <w:t>（</w:t>
            </w:r>
            <w:r>
              <w:rPr>
                <w:rFonts w:hint="eastAsia" w:eastAsia="仿宋_GB2312"/>
                <w:szCs w:val="21"/>
              </w:rPr>
              <w:t>20m</w:t>
            </w:r>
            <w:r>
              <w:rPr>
                <w:rFonts w:eastAsia="仿宋_GB2312"/>
                <w:szCs w:val="21"/>
              </w:rPr>
              <w:t>）</w:t>
            </w:r>
          </w:p>
        </w:tc>
      </w:tr>
      <w:tr w14:paraId="44794E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14" w:type="pct"/>
            <w:tcBorders>
              <w:tl2br w:val="nil"/>
              <w:tr2bl w:val="nil"/>
            </w:tcBorders>
            <w:shd w:val="clear" w:color="auto" w:fill="auto"/>
            <w:vAlign w:val="center"/>
          </w:tcPr>
          <w:p w14:paraId="3C9AF350">
            <w:pPr>
              <w:spacing w:line="320" w:lineRule="exact"/>
              <w:jc w:val="center"/>
              <w:rPr>
                <w:rFonts w:eastAsia="仿宋_GB2312"/>
                <w:szCs w:val="21"/>
              </w:rPr>
            </w:pPr>
            <w:r>
              <w:rPr>
                <w:rFonts w:hint="eastAsia" w:eastAsia="仿宋_GB2312"/>
                <w:szCs w:val="21"/>
              </w:rPr>
              <w:t>6</w:t>
            </w:r>
          </w:p>
        </w:tc>
        <w:tc>
          <w:tcPr>
            <w:tcW w:w="2010" w:type="pct"/>
            <w:tcBorders>
              <w:tl2br w:val="nil"/>
              <w:tr2bl w:val="nil"/>
            </w:tcBorders>
            <w:shd w:val="clear" w:color="auto" w:fill="auto"/>
            <w:vAlign w:val="center"/>
          </w:tcPr>
          <w:p w14:paraId="1F752B8A">
            <w:pPr>
              <w:spacing w:line="320" w:lineRule="exact"/>
              <w:jc w:val="center"/>
              <w:rPr>
                <w:rFonts w:eastAsia="仿宋_GB2312"/>
                <w:szCs w:val="21"/>
              </w:rPr>
            </w:pPr>
            <w:r>
              <w:rPr>
                <w:rFonts w:eastAsia="仿宋_GB2312"/>
                <w:szCs w:val="21"/>
              </w:rPr>
              <w:t>1#、3#污水处理站废气</w:t>
            </w:r>
            <w:r>
              <w:rPr>
                <w:rFonts w:hint="eastAsia" w:eastAsia="仿宋_GB2312"/>
                <w:szCs w:val="21"/>
              </w:rPr>
              <w:t>和废液处置区</w:t>
            </w:r>
            <w:r>
              <w:rPr>
                <w:rFonts w:eastAsia="仿宋_GB2312"/>
                <w:szCs w:val="21"/>
              </w:rPr>
              <w:t>废气</w:t>
            </w:r>
            <w:r>
              <w:rPr>
                <w:rFonts w:hint="eastAsia" w:eastAsia="仿宋_GB2312"/>
                <w:szCs w:val="21"/>
              </w:rPr>
              <w:t>（含废液收集罐废气）</w:t>
            </w:r>
          </w:p>
        </w:tc>
        <w:tc>
          <w:tcPr>
            <w:tcW w:w="1914" w:type="pct"/>
            <w:tcBorders>
              <w:tl2br w:val="nil"/>
              <w:tr2bl w:val="nil"/>
            </w:tcBorders>
            <w:shd w:val="clear" w:color="auto" w:fill="auto"/>
            <w:vAlign w:val="center"/>
          </w:tcPr>
          <w:p w14:paraId="6D14210D">
            <w:pPr>
              <w:widowControl/>
              <w:spacing w:line="320" w:lineRule="exact"/>
              <w:contextualSpacing/>
              <w:jc w:val="center"/>
              <w:rPr>
                <w:rFonts w:eastAsia="仿宋_GB2312"/>
                <w:szCs w:val="21"/>
              </w:rPr>
            </w:pPr>
            <w:r>
              <w:rPr>
                <w:rFonts w:eastAsia="仿宋_GB2312"/>
                <w:szCs w:val="21"/>
              </w:rPr>
              <w:t>冷凝+稀酸吸收+碱、次氯酸钠混合液吸收+除雾+活性炭吸附/脱附</w:t>
            </w:r>
          </w:p>
        </w:tc>
        <w:tc>
          <w:tcPr>
            <w:tcW w:w="660" w:type="pct"/>
            <w:tcBorders>
              <w:tl2br w:val="nil"/>
              <w:tr2bl w:val="nil"/>
            </w:tcBorders>
            <w:shd w:val="clear" w:color="auto" w:fill="auto"/>
            <w:vAlign w:val="center"/>
          </w:tcPr>
          <w:p w14:paraId="3844DA59">
            <w:pPr>
              <w:spacing w:line="320" w:lineRule="exact"/>
              <w:contextualSpacing/>
              <w:jc w:val="center"/>
              <w:rPr>
                <w:rFonts w:eastAsia="仿宋_GB2312"/>
                <w:szCs w:val="21"/>
              </w:rPr>
            </w:pPr>
            <w:r>
              <w:rPr>
                <w:rFonts w:hint="eastAsia" w:eastAsia="仿宋_GB2312"/>
                <w:szCs w:val="21"/>
              </w:rPr>
              <w:t>DA004</w:t>
            </w:r>
            <w:r>
              <w:rPr>
                <w:rFonts w:eastAsia="仿宋_GB2312"/>
                <w:szCs w:val="21"/>
              </w:rPr>
              <w:t>（</w:t>
            </w:r>
            <w:r>
              <w:rPr>
                <w:rFonts w:hint="eastAsia" w:eastAsia="仿宋_GB2312"/>
                <w:szCs w:val="21"/>
              </w:rPr>
              <w:t>25m</w:t>
            </w:r>
            <w:r>
              <w:rPr>
                <w:rFonts w:eastAsia="仿宋_GB2312"/>
                <w:szCs w:val="21"/>
              </w:rPr>
              <w:t>）</w:t>
            </w:r>
          </w:p>
        </w:tc>
      </w:tr>
      <w:tr w14:paraId="6EF486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14" w:type="pct"/>
            <w:tcBorders>
              <w:tl2br w:val="nil"/>
              <w:tr2bl w:val="nil"/>
            </w:tcBorders>
            <w:shd w:val="clear" w:color="auto" w:fill="auto"/>
            <w:vAlign w:val="center"/>
          </w:tcPr>
          <w:p w14:paraId="7CB5A650">
            <w:pPr>
              <w:widowControl/>
              <w:spacing w:line="320" w:lineRule="exact"/>
              <w:contextualSpacing/>
              <w:jc w:val="center"/>
              <w:rPr>
                <w:rFonts w:eastAsia="仿宋_GB2312"/>
                <w:szCs w:val="21"/>
              </w:rPr>
            </w:pPr>
            <w:r>
              <w:rPr>
                <w:rFonts w:hint="eastAsia" w:eastAsia="仿宋_GB2312"/>
                <w:szCs w:val="21"/>
              </w:rPr>
              <w:t>7</w:t>
            </w:r>
          </w:p>
        </w:tc>
        <w:tc>
          <w:tcPr>
            <w:tcW w:w="2010" w:type="pct"/>
            <w:tcBorders>
              <w:tl2br w:val="nil"/>
              <w:tr2bl w:val="nil"/>
            </w:tcBorders>
            <w:shd w:val="clear" w:color="auto" w:fill="auto"/>
            <w:vAlign w:val="center"/>
          </w:tcPr>
          <w:p w14:paraId="5FBA42B9">
            <w:pPr>
              <w:widowControl/>
              <w:spacing w:line="320" w:lineRule="exact"/>
              <w:contextualSpacing/>
              <w:jc w:val="center"/>
              <w:rPr>
                <w:rFonts w:eastAsia="仿宋_GB2312"/>
                <w:szCs w:val="21"/>
              </w:rPr>
            </w:pPr>
            <w:r>
              <w:rPr>
                <w:rFonts w:eastAsia="仿宋_GB2312"/>
                <w:szCs w:val="21"/>
              </w:rPr>
              <w:t>1#车间</w:t>
            </w:r>
            <w:r>
              <w:rPr>
                <w:rFonts w:hint="eastAsia" w:eastAsia="仿宋_GB2312"/>
                <w:szCs w:val="21"/>
              </w:rPr>
              <w:t>整体换风废气</w:t>
            </w:r>
            <w:r>
              <w:rPr>
                <w:rFonts w:eastAsia="仿宋_GB2312"/>
                <w:szCs w:val="21"/>
              </w:rPr>
              <w:t>、2#车间</w:t>
            </w:r>
            <w:r>
              <w:rPr>
                <w:rFonts w:hint="eastAsia" w:eastAsia="仿宋_GB2312"/>
                <w:szCs w:val="21"/>
              </w:rPr>
              <w:t>整体换风废气</w:t>
            </w:r>
            <w:r>
              <w:rPr>
                <w:rFonts w:eastAsia="仿宋_GB2312"/>
                <w:szCs w:val="21"/>
              </w:rPr>
              <w:t>和B-7车间整体换风</w:t>
            </w:r>
            <w:r>
              <w:rPr>
                <w:rFonts w:hint="eastAsia" w:eastAsia="仿宋_GB2312"/>
                <w:szCs w:val="21"/>
              </w:rPr>
              <w:t>废气</w:t>
            </w:r>
          </w:p>
        </w:tc>
        <w:tc>
          <w:tcPr>
            <w:tcW w:w="1914" w:type="pct"/>
            <w:tcBorders>
              <w:tl2br w:val="nil"/>
              <w:tr2bl w:val="nil"/>
            </w:tcBorders>
            <w:shd w:val="clear" w:color="auto" w:fill="auto"/>
            <w:vAlign w:val="center"/>
          </w:tcPr>
          <w:p w14:paraId="079E9032">
            <w:pPr>
              <w:widowControl/>
              <w:spacing w:line="320" w:lineRule="exact"/>
              <w:contextualSpacing/>
              <w:jc w:val="center"/>
              <w:rPr>
                <w:rFonts w:eastAsia="仿宋_GB2312"/>
                <w:szCs w:val="21"/>
              </w:rPr>
            </w:pPr>
            <w:r>
              <w:rPr>
                <w:rFonts w:hint="eastAsia" w:eastAsia="仿宋_GB2312"/>
                <w:szCs w:val="21"/>
              </w:rPr>
              <w:t>冷凝+酸吸收+碱吸收+水洗+活性炭吸附/脱附</w:t>
            </w:r>
          </w:p>
        </w:tc>
        <w:tc>
          <w:tcPr>
            <w:tcW w:w="660" w:type="pct"/>
            <w:tcBorders>
              <w:tl2br w:val="nil"/>
              <w:tr2bl w:val="nil"/>
            </w:tcBorders>
            <w:shd w:val="clear" w:color="auto" w:fill="auto"/>
            <w:vAlign w:val="center"/>
          </w:tcPr>
          <w:p w14:paraId="690E9199">
            <w:pPr>
              <w:spacing w:line="320" w:lineRule="exact"/>
              <w:contextualSpacing/>
              <w:jc w:val="center"/>
              <w:rPr>
                <w:rFonts w:eastAsia="仿宋_GB2312"/>
                <w:szCs w:val="21"/>
              </w:rPr>
            </w:pPr>
            <w:r>
              <w:rPr>
                <w:rFonts w:hint="eastAsia" w:eastAsia="仿宋_GB2312"/>
                <w:szCs w:val="21"/>
              </w:rPr>
              <w:t>DA005</w:t>
            </w:r>
            <w:r>
              <w:rPr>
                <w:rFonts w:eastAsia="仿宋_GB2312"/>
                <w:szCs w:val="21"/>
              </w:rPr>
              <w:t>（</w:t>
            </w:r>
            <w:r>
              <w:rPr>
                <w:rFonts w:hint="eastAsia" w:eastAsia="仿宋_GB2312"/>
                <w:szCs w:val="21"/>
              </w:rPr>
              <w:t>20m</w:t>
            </w:r>
            <w:r>
              <w:rPr>
                <w:rFonts w:eastAsia="仿宋_GB2312"/>
                <w:szCs w:val="21"/>
              </w:rPr>
              <w:t>）</w:t>
            </w:r>
          </w:p>
        </w:tc>
      </w:tr>
    </w:tbl>
    <w:p w14:paraId="35E0855A">
      <w:pPr>
        <w:spacing w:line="500" w:lineRule="exact"/>
        <w:ind w:firstLine="560" w:firstLineChars="200"/>
        <w:rPr>
          <w:rFonts w:eastAsia="仿宋_GB2312"/>
          <w:sz w:val="28"/>
          <w:szCs w:val="28"/>
        </w:rPr>
      </w:pPr>
      <w:r>
        <w:rPr>
          <w:rFonts w:eastAsia="仿宋_GB2312"/>
          <w:sz w:val="28"/>
          <w:szCs w:val="28"/>
        </w:rPr>
        <w:t>（2）有组织废气在线监测数据</w:t>
      </w:r>
    </w:p>
    <w:p w14:paraId="01689F26">
      <w:pPr>
        <w:widowControl/>
        <w:spacing w:line="500" w:lineRule="exact"/>
        <w:ind w:firstLine="560" w:firstLineChars="200"/>
        <w:rPr>
          <w:rFonts w:eastAsia="仿宋_GB2312"/>
          <w:sz w:val="28"/>
          <w:szCs w:val="28"/>
        </w:rPr>
      </w:pPr>
      <w:r>
        <w:rPr>
          <w:rFonts w:eastAsia="仿宋_GB2312"/>
          <w:sz w:val="28"/>
          <w:szCs w:val="28"/>
        </w:rPr>
        <w:t>根据企业1#焚烧炉、2#焚烧炉焚烧烟气安装的在线监测装置，对颗粒物、二氧化硫、氮氧化物、氯化氢</w:t>
      </w:r>
      <w:r>
        <w:rPr>
          <w:rFonts w:hint="eastAsia" w:eastAsia="仿宋_GB2312"/>
          <w:sz w:val="28"/>
          <w:szCs w:val="28"/>
        </w:rPr>
        <w:t>、</w:t>
      </w:r>
      <w:r>
        <w:rPr>
          <w:rFonts w:eastAsia="仿宋_GB2312"/>
          <w:sz w:val="28"/>
          <w:szCs w:val="28"/>
        </w:rPr>
        <w:t>一氧化碳</w:t>
      </w:r>
      <w:r>
        <w:rPr>
          <w:rFonts w:hint="eastAsia" w:eastAsia="仿宋_GB2312"/>
          <w:sz w:val="28"/>
          <w:szCs w:val="28"/>
        </w:rPr>
        <w:t>和非甲烷总烃</w:t>
      </w:r>
      <w:r>
        <w:rPr>
          <w:rFonts w:eastAsia="仿宋_GB2312"/>
          <w:sz w:val="28"/>
          <w:szCs w:val="28"/>
        </w:rPr>
        <w:t>实行在线监测，1#焚烧炉、2#焚烧炉在线监测数据见表3.1-</w:t>
      </w:r>
      <w:r>
        <w:rPr>
          <w:rFonts w:hint="eastAsia" w:eastAsia="仿宋_GB2312"/>
          <w:sz w:val="28"/>
          <w:szCs w:val="28"/>
        </w:rPr>
        <w:t>4</w:t>
      </w:r>
      <w:r>
        <w:rPr>
          <w:rFonts w:eastAsia="仿宋_GB2312"/>
          <w:sz w:val="28"/>
          <w:szCs w:val="28"/>
        </w:rPr>
        <w:t>。</w:t>
      </w:r>
      <w:r>
        <w:rPr>
          <w:rFonts w:hint="eastAsia" w:eastAsia="仿宋_GB2312"/>
          <w:sz w:val="28"/>
          <w:szCs w:val="28"/>
        </w:rPr>
        <w:t>DA001、DA002、DA003、DA004</w:t>
      </w:r>
      <w:r>
        <w:rPr>
          <w:rFonts w:eastAsia="仿宋_GB2312"/>
          <w:sz w:val="28"/>
          <w:szCs w:val="28"/>
        </w:rPr>
        <w:t>排气筒非甲烷总烃的在线监测数据见表3.1-</w:t>
      </w:r>
      <w:r>
        <w:rPr>
          <w:rFonts w:hint="eastAsia" w:eastAsia="仿宋_GB2312"/>
          <w:sz w:val="28"/>
          <w:szCs w:val="28"/>
        </w:rPr>
        <w:t>5</w:t>
      </w:r>
      <w:r>
        <w:rPr>
          <w:rFonts w:eastAsia="仿宋_GB2312"/>
          <w:sz w:val="28"/>
          <w:szCs w:val="28"/>
        </w:rPr>
        <w:t>。</w:t>
      </w:r>
    </w:p>
    <w:p w14:paraId="25AE12EE">
      <w:pPr>
        <w:pStyle w:val="35"/>
      </w:pPr>
    </w:p>
    <w:p w14:paraId="2218E8B0">
      <w:pPr>
        <w:widowControl/>
        <w:spacing w:line="500" w:lineRule="exact"/>
        <w:ind w:firstLine="560" w:firstLineChars="200"/>
        <w:rPr>
          <w:rFonts w:eastAsia="仿宋_GB2312"/>
          <w:color w:val="FF0000"/>
          <w:sz w:val="28"/>
          <w:szCs w:val="28"/>
        </w:rPr>
        <w:sectPr>
          <w:footerReference r:id="rId7" w:type="default"/>
          <w:pgSz w:w="11907" w:h="16840"/>
          <w:pgMar w:top="1440" w:right="1800" w:bottom="1440" w:left="1800" w:header="851" w:footer="992" w:gutter="0"/>
          <w:pgBorders>
            <w:top w:val="none" w:sz="0" w:space="0"/>
            <w:left w:val="none" w:sz="0" w:space="0"/>
            <w:bottom w:val="none" w:sz="0" w:space="0"/>
            <w:right w:val="none" w:sz="0" w:space="0"/>
          </w:pgBorders>
          <w:pgNumType w:fmt="decimal"/>
          <w:cols w:space="425" w:num="1"/>
          <w:docGrid w:linePitch="326" w:charSpace="0"/>
        </w:sectPr>
      </w:pPr>
    </w:p>
    <w:p w14:paraId="30A37E12">
      <w:pPr>
        <w:spacing w:line="500" w:lineRule="exact"/>
        <w:jc w:val="center"/>
        <w:rPr>
          <w:rFonts w:eastAsia="仿宋_GB2312"/>
          <w:b/>
          <w:sz w:val="24"/>
        </w:rPr>
      </w:pPr>
      <w:r>
        <w:rPr>
          <w:rFonts w:eastAsia="仿宋_GB2312"/>
          <w:b/>
          <w:sz w:val="24"/>
        </w:rPr>
        <w:t>表3.1-</w:t>
      </w:r>
      <w:r>
        <w:rPr>
          <w:rFonts w:hint="eastAsia" w:eastAsia="仿宋_GB2312"/>
          <w:b/>
          <w:sz w:val="24"/>
        </w:rPr>
        <w:t>4</w:t>
      </w:r>
      <w:r>
        <w:rPr>
          <w:rFonts w:eastAsia="仿宋_GB2312"/>
          <w:b/>
          <w:sz w:val="24"/>
        </w:rPr>
        <w:t xml:space="preserve">  焚烧炉废气排放口在线监测数据一览表</w:t>
      </w:r>
    </w:p>
    <w:tbl>
      <w:tblPr>
        <w:tblStyle w:val="89"/>
        <w:tblW w:w="4998"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079"/>
        <w:gridCol w:w="1217"/>
        <w:gridCol w:w="1489"/>
        <w:gridCol w:w="1553"/>
        <w:gridCol w:w="3044"/>
        <w:gridCol w:w="1459"/>
        <w:gridCol w:w="1489"/>
        <w:gridCol w:w="2121"/>
      </w:tblGrid>
      <w:tr w14:paraId="3D3E03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401" w:type="pct"/>
            <w:vAlign w:val="center"/>
          </w:tcPr>
          <w:p w14:paraId="0B28375F">
            <w:pPr>
              <w:snapToGrid w:val="0"/>
              <w:spacing w:line="284" w:lineRule="exact"/>
              <w:jc w:val="center"/>
              <w:rPr>
                <w:rFonts w:eastAsia="仿宋_GB2312"/>
                <w:b/>
                <w:bCs/>
                <w:szCs w:val="21"/>
              </w:rPr>
            </w:pPr>
            <w:r>
              <w:rPr>
                <w:rFonts w:eastAsia="仿宋_GB2312"/>
                <w:b/>
                <w:bCs/>
                <w:szCs w:val="21"/>
              </w:rPr>
              <w:t>点位</w:t>
            </w:r>
          </w:p>
        </w:tc>
        <w:tc>
          <w:tcPr>
            <w:tcW w:w="452" w:type="pct"/>
            <w:vAlign w:val="center"/>
          </w:tcPr>
          <w:p w14:paraId="20E0E389">
            <w:pPr>
              <w:snapToGrid w:val="0"/>
              <w:spacing w:line="284" w:lineRule="exact"/>
              <w:jc w:val="center"/>
              <w:rPr>
                <w:rFonts w:eastAsia="仿宋_GB2312"/>
                <w:b/>
                <w:bCs/>
                <w:szCs w:val="21"/>
              </w:rPr>
            </w:pPr>
            <w:r>
              <w:rPr>
                <w:rFonts w:eastAsia="仿宋_GB2312"/>
                <w:b/>
                <w:bCs/>
                <w:szCs w:val="21"/>
              </w:rPr>
              <w:t>日期</w:t>
            </w:r>
          </w:p>
        </w:tc>
        <w:tc>
          <w:tcPr>
            <w:tcW w:w="553" w:type="pct"/>
            <w:vAlign w:val="center"/>
          </w:tcPr>
          <w:p w14:paraId="6E85BA73">
            <w:pPr>
              <w:snapToGrid w:val="0"/>
              <w:spacing w:line="284" w:lineRule="exact"/>
              <w:jc w:val="center"/>
              <w:rPr>
                <w:rFonts w:eastAsia="仿宋_GB2312"/>
                <w:b/>
                <w:bCs/>
                <w:szCs w:val="21"/>
              </w:rPr>
            </w:pPr>
            <w:r>
              <w:rPr>
                <w:rFonts w:eastAsia="仿宋_GB2312"/>
                <w:b/>
                <w:bCs/>
                <w:szCs w:val="21"/>
              </w:rPr>
              <w:t>风量（m</w:t>
            </w:r>
            <w:r>
              <w:rPr>
                <w:rFonts w:eastAsia="仿宋_GB2312"/>
                <w:b/>
                <w:bCs/>
                <w:szCs w:val="21"/>
                <w:vertAlign w:val="superscript"/>
              </w:rPr>
              <w:t>3</w:t>
            </w:r>
            <w:r>
              <w:rPr>
                <w:rFonts w:eastAsia="仿宋_GB2312"/>
                <w:b/>
                <w:bCs/>
                <w:szCs w:val="21"/>
              </w:rPr>
              <w:t>/h）</w:t>
            </w:r>
          </w:p>
        </w:tc>
        <w:tc>
          <w:tcPr>
            <w:tcW w:w="577" w:type="pct"/>
            <w:vAlign w:val="center"/>
          </w:tcPr>
          <w:p w14:paraId="1B4EAE66">
            <w:pPr>
              <w:snapToGrid w:val="0"/>
              <w:spacing w:line="284" w:lineRule="exact"/>
              <w:jc w:val="center"/>
              <w:rPr>
                <w:rFonts w:eastAsia="仿宋_GB2312"/>
                <w:b/>
                <w:bCs/>
                <w:szCs w:val="21"/>
              </w:rPr>
            </w:pPr>
            <w:r>
              <w:rPr>
                <w:rFonts w:eastAsia="仿宋_GB2312"/>
                <w:b/>
                <w:bCs/>
                <w:szCs w:val="21"/>
              </w:rPr>
              <w:t>监测因子</w:t>
            </w:r>
          </w:p>
        </w:tc>
        <w:tc>
          <w:tcPr>
            <w:tcW w:w="1673" w:type="pct"/>
            <w:gridSpan w:val="2"/>
            <w:vAlign w:val="center"/>
          </w:tcPr>
          <w:p w14:paraId="34854E68">
            <w:pPr>
              <w:snapToGrid w:val="0"/>
              <w:spacing w:line="284" w:lineRule="exact"/>
              <w:jc w:val="center"/>
              <w:rPr>
                <w:rFonts w:eastAsia="仿宋_GB2312"/>
                <w:b/>
                <w:bCs/>
                <w:szCs w:val="21"/>
              </w:rPr>
            </w:pPr>
            <w:r>
              <w:rPr>
                <w:rFonts w:eastAsia="仿宋_GB2312"/>
                <w:b/>
                <w:bCs/>
                <w:szCs w:val="21"/>
              </w:rPr>
              <w:t>监测数值</w:t>
            </w:r>
          </w:p>
        </w:tc>
        <w:tc>
          <w:tcPr>
            <w:tcW w:w="553" w:type="pct"/>
            <w:vAlign w:val="center"/>
          </w:tcPr>
          <w:p w14:paraId="791DACF7">
            <w:pPr>
              <w:snapToGrid w:val="0"/>
              <w:spacing w:line="284" w:lineRule="exact"/>
              <w:jc w:val="center"/>
              <w:rPr>
                <w:rFonts w:eastAsia="仿宋_GB2312"/>
                <w:b/>
                <w:bCs/>
                <w:szCs w:val="21"/>
              </w:rPr>
            </w:pPr>
            <w:r>
              <w:rPr>
                <w:rFonts w:hint="eastAsia" w:eastAsia="仿宋_GB2312"/>
                <w:b/>
                <w:bCs/>
                <w:szCs w:val="21"/>
              </w:rPr>
              <w:t>标准限值</w:t>
            </w:r>
          </w:p>
        </w:tc>
        <w:tc>
          <w:tcPr>
            <w:tcW w:w="788" w:type="pct"/>
            <w:vAlign w:val="center"/>
          </w:tcPr>
          <w:p w14:paraId="028180FC">
            <w:pPr>
              <w:snapToGrid w:val="0"/>
              <w:spacing w:line="284" w:lineRule="exact"/>
              <w:jc w:val="center"/>
              <w:rPr>
                <w:rFonts w:eastAsia="仿宋_GB2312"/>
                <w:b/>
                <w:bCs/>
                <w:szCs w:val="21"/>
              </w:rPr>
            </w:pPr>
            <w:r>
              <w:rPr>
                <w:rFonts w:hint="eastAsia" w:eastAsia="仿宋_GB2312"/>
                <w:b/>
                <w:bCs/>
                <w:szCs w:val="21"/>
              </w:rPr>
              <w:t>标准来源</w:t>
            </w:r>
          </w:p>
        </w:tc>
      </w:tr>
      <w:tr w14:paraId="6B8FAA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401" w:type="pct"/>
            <w:vMerge w:val="restart"/>
            <w:vAlign w:val="center"/>
          </w:tcPr>
          <w:p w14:paraId="0F231CDF">
            <w:pPr>
              <w:snapToGrid w:val="0"/>
              <w:spacing w:line="284" w:lineRule="exact"/>
              <w:jc w:val="center"/>
              <w:rPr>
                <w:rFonts w:eastAsia="仿宋_GB2312"/>
                <w:szCs w:val="21"/>
              </w:rPr>
            </w:pPr>
            <w:r>
              <w:rPr>
                <w:rFonts w:eastAsia="仿宋_GB2312"/>
                <w:szCs w:val="21"/>
              </w:rPr>
              <w:t>1#焚烧炉</w:t>
            </w:r>
          </w:p>
        </w:tc>
        <w:tc>
          <w:tcPr>
            <w:tcW w:w="452" w:type="pct"/>
            <w:vMerge w:val="restart"/>
            <w:vAlign w:val="center"/>
          </w:tcPr>
          <w:p w14:paraId="51175700">
            <w:pPr>
              <w:snapToGrid w:val="0"/>
              <w:spacing w:line="284" w:lineRule="exact"/>
              <w:jc w:val="center"/>
              <w:rPr>
                <w:rFonts w:eastAsia="仿宋_GB2312"/>
                <w:szCs w:val="21"/>
              </w:rPr>
            </w:pPr>
            <w:r>
              <w:rPr>
                <w:rFonts w:eastAsia="仿宋_GB2312"/>
                <w:szCs w:val="21"/>
              </w:rPr>
              <w:t>202</w:t>
            </w:r>
            <w:r>
              <w:rPr>
                <w:rFonts w:hint="eastAsia" w:eastAsia="仿宋_GB2312"/>
                <w:szCs w:val="21"/>
              </w:rPr>
              <w:t>6</w:t>
            </w:r>
            <w:r>
              <w:rPr>
                <w:rFonts w:eastAsia="仿宋_GB2312"/>
                <w:szCs w:val="21"/>
              </w:rPr>
              <w:t>年</w:t>
            </w:r>
            <w:r>
              <w:rPr>
                <w:rFonts w:hint="eastAsia" w:eastAsia="仿宋_GB2312"/>
                <w:szCs w:val="21"/>
              </w:rPr>
              <w:t>4</w:t>
            </w:r>
            <w:r>
              <w:rPr>
                <w:rFonts w:eastAsia="仿宋_GB2312"/>
                <w:szCs w:val="21"/>
              </w:rPr>
              <w:t>月</w:t>
            </w:r>
          </w:p>
        </w:tc>
        <w:tc>
          <w:tcPr>
            <w:tcW w:w="553" w:type="pct"/>
            <w:vMerge w:val="restart"/>
            <w:vAlign w:val="center"/>
          </w:tcPr>
          <w:p w14:paraId="0771797D">
            <w:pPr>
              <w:snapToGrid w:val="0"/>
              <w:spacing w:line="284" w:lineRule="exact"/>
              <w:jc w:val="center"/>
              <w:rPr>
                <w:rFonts w:eastAsia="仿宋_GB2312"/>
                <w:szCs w:val="21"/>
              </w:rPr>
            </w:pPr>
            <w:r>
              <w:rPr>
                <w:rFonts w:eastAsia="仿宋_GB2312"/>
                <w:szCs w:val="21"/>
              </w:rPr>
              <w:t>8</w:t>
            </w:r>
            <w:r>
              <w:rPr>
                <w:rFonts w:hint="eastAsia" w:eastAsia="仿宋_GB2312"/>
                <w:szCs w:val="21"/>
              </w:rPr>
              <w:t>637</w:t>
            </w:r>
          </w:p>
        </w:tc>
        <w:tc>
          <w:tcPr>
            <w:tcW w:w="577" w:type="pct"/>
            <w:vAlign w:val="center"/>
          </w:tcPr>
          <w:p w14:paraId="274E65C3">
            <w:pPr>
              <w:snapToGrid w:val="0"/>
              <w:spacing w:line="284" w:lineRule="exact"/>
              <w:jc w:val="center"/>
              <w:rPr>
                <w:rFonts w:eastAsia="仿宋_GB2312"/>
                <w:szCs w:val="21"/>
              </w:rPr>
            </w:pPr>
            <w:r>
              <w:rPr>
                <w:rFonts w:eastAsia="仿宋_GB2312"/>
                <w:szCs w:val="21"/>
              </w:rPr>
              <w:t>颗粒物</w:t>
            </w:r>
          </w:p>
        </w:tc>
        <w:tc>
          <w:tcPr>
            <w:tcW w:w="1131" w:type="pct"/>
            <w:vAlign w:val="center"/>
          </w:tcPr>
          <w:p w14:paraId="05A2A9E8">
            <w:pPr>
              <w:snapToGrid w:val="0"/>
              <w:spacing w:line="284" w:lineRule="exact"/>
              <w:jc w:val="center"/>
              <w:rPr>
                <w:rFonts w:eastAsia="仿宋_GB2312"/>
                <w:szCs w:val="21"/>
              </w:rPr>
            </w:pPr>
            <w:r>
              <w:rPr>
                <w:rFonts w:hint="eastAsia" w:eastAsia="仿宋_GB2312"/>
                <w:szCs w:val="21"/>
              </w:rPr>
              <w:t>最大</w:t>
            </w:r>
            <w:r>
              <w:rPr>
                <w:rFonts w:eastAsia="仿宋_GB2312"/>
                <w:szCs w:val="21"/>
              </w:rPr>
              <w:t>排放浓度（mg/m</w:t>
            </w:r>
            <w:r>
              <w:rPr>
                <w:rFonts w:eastAsia="仿宋_GB2312"/>
                <w:szCs w:val="21"/>
                <w:vertAlign w:val="superscript"/>
              </w:rPr>
              <w:t>3</w:t>
            </w:r>
            <w:r>
              <w:rPr>
                <w:rFonts w:eastAsia="仿宋_GB2312"/>
                <w:szCs w:val="21"/>
              </w:rPr>
              <w:t>）</w:t>
            </w:r>
          </w:p>
        </w:tc>
        <w:tc>
          <w:tcPr>
            <w:tcW w:w="542" w:type="pct"/>
            <w:vAlign w:val="center"/>
          </w:tcPr>
          <w:p w14:paraId="4C5CE85F">
            <w:pPr>
              <w:snapToGrid w:val="0"/>
              <w:spacing w:line="284" w:lineRule="exact"/>
              <w:jc w:val="center"/>
              <w:rPr>
                <w:rFonts w:eastAsia="仿宋_GB2312"/>
                <w:szCs w:val="21"/>
              </w:rPr>
            </w:pPr>
            <w:r>
              <w:rPr>
                <w:rFonts w:hint="eastAsia" w:eastAsia="仿宋_GB2312"/>
                <w:szCs w:val="21"/>
              </w:rPr>
              <w:t>2.50</w:t>
            </w:r>
          </w:p>
        </w:tc>
        <w:tc>
          <w:tcPr>
            <w:tcW w:w="553" w:type="pct"/>
            <w:shd w:val="clear" w:color="auto" w:fill="auto"/>
            <w:vAlign w:val="center"/>
          </w:tcPr>
          <w:p w14:paraId="234B5C1B">
            <w:pPr>
              <w:snapToGrid w:val="0"/>
              <w:spacing w:line="284" w:lineRule="exact"/>
              <w:jc w:val="center"/>
              <w:rPr>
                <w:rFonts w:eastAsia="仿宋_GB2312"/>
                <w:szCs w:val="21"/>
              </w:rPr>
            </w:pPr>
            <w:r>
              <w:rPr>
                <w:rFonts w:eastAsia="仿宋_GB2312"/>
                <w:szCs w:val="21"/>
              </w:rPr>
              <w:t>30</w:t>
            </w:r>
          </w:p>
        </w:tc>
        <w:tc>
          <w:tcPr>
            <w:tcW w:w="788" w:type="pct"/>
            <w:vMerge w:val="restart"/>
            <w:vAlign w:val="center"/>
          </w:tcPr>
          <w:p w14:paraId="1D193840">
            <w:pPr>
              <w:snapToGrid w:val="0"/>
              <w:spacing w:line="270" w:lineRule="exact"/>
              <w:jc w:val="center"/>
              <w:rPr>
                <w:rFonts w:eastAsia="仿宋_GB2312"/>
                <w:szCs w:val="21"/>
              </w:rPr>
            </w:pPr>
            <w:r>
              <w:rPr>
                <w:rFonts w:eastAsia="仿宋_GB2312"/>
                <w:szCs w:val="21"/>
              </w:rPr>
              <w:t>《危险废物焚烧污染控制标准》（GB18484-2020）</w:t>
            </w:r>
          </w:p>
        </w:tc>
      </w:tr>
      <w:tr w14:paraId="6B54D3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401" w:type="pct"/>
            <w:vMerge w:val="continue"/>
            <w:vAlign w:val="center"/>
          </w:tcPr>
          <w:p w14:paraId="0198FD47">
            <w:pPr>
              <w:snapToGrid w:val="0"/>
              <w:spacing w:line="284" w:lineRule="exact"/>
              <w:jc w:val="center"/>
              <w:rPr>
                <w:rFonts w:eastAsia="仿宋_GB2312"/>
                <w:szCs w:val="21"/>
              </w:rPr>
            </w:pPr>
          </w:p>
        </w:tc>
        <w:tc>
          <w:tcPr>
            <w:tcW w:w="452" w:type="pct"/>
            <w:vMerge w:val="continue"/>
            <w:vAlign w:val="center"/>
          </w:tcPr>
          <w:p w14:paraId="65394F41">
            <w:pPr>
              <w:snapToGrid w:val="0"/>
              <w:spacing w:line="284" w:lineRule="exact"/>
              <w:jc w:val="center"/>
              <w:rPr>
                <w:rFonts w:eastAsia="仿宋_GB2312"/>
                <w:szCs w:val="21"/>
              </w:rPr>
            </w:pPr>
          </w:p>
        </w:tc>
        <w:tc>
          <w:tcPr>
            <w:tcW w:w="553" w:type="pct"/>
            <w:vMerge w:val="continue"/>
            <w:vAlign w:val="center"/>
          </w:tcPr>
          <w:p w14:paraId="62A24EDF">
            <w:pPr>
              <w:snapToGrid w:val="0"/>
              <w:spacing w:line="284" w:lineRule="exact"/>
              <w:jc w:val="center"/>
              <w:rPr>
                <w:rFonts w:eastAsia="仿宋_GB2312"/>
                <w:color w:val="FF0000"/>
                <w:szCs w:val="21"/>
              </w:rPr>
            </w:pPr>
          </w:p>
        </w:tc>
        <w:tc>
          <w:tcPr>
            <w:tcW w:w="577" w:type="pct"/>
            <w:vAlign w:val="center"/>
          </w:tcPr>
          <w:p w14:paraId="07B8B9A6">
            <w:pPr>
              <w:snapToGrid w:val="0"/>
              <w:spacing w:line="284" w:lineRule="exact"/>
              <w:jc w:val="center"/>
              <w:rPr>
                <w:rFonts w:eastAsia="仿宋_GB2312"/>
                <w:szCs w:val="21"/>
              </w:rPr>
            </w:pPr>
            <w:r>
              <w:rPr>
                <w:rFonts w:eastAsia="仿宋_GB2312"/>
                <w:szCs w:val="21"/>
              </w:rPr>
              <w:t>SO</w:t>
            </w:r>
            <w:r>
              <w:rPr>
                <w:rFonts w:eastAsia="仿宋_GB2312"/>
                <w:szCs w:val="21"/>
                <w:vertAlign w:val="subscript"/>
              </w:rPr>
              <w:t>2</w:t>
            </w:r>
          </w:p>
        </w:tc>
        <w:tc>
          <w:tcPr>
            <w:tcW w:w="1131" w:type="pct"/>
            <w:shd w:val="clear" w:color="auto" w:fill="auto"/>
            <w:vAlign w:val="center"/>
          </w:tcPr>
          <w:p w14:paraId="54B6D9B7">
            <w:pPr>
              <w:snapToGrid w:val="0"/>
              <w:spacing w:line="284" w:lineRule="exact"/>
              <w:jc w:val="center"/>
              <w:rPr>
                <w:rFonts w:eastAsia="仿宋_GB2312"/>
                <w:szCs w:val="21"/>
              </w:rPr>
            </w:pPr>
            <w:r>
              <w:rPr>
                <w:rFonts w:hint="eastAsia" w:eastAsia="仿宋_GB2312"/>
                <w:szCs w:val="21"/>
              </w:rPr>
              <w:t>最大</w:t>
            </w:r>
            <w:r>
              <w:rPr>
                <w:rFonts w:eastAsia="仿宋_GB2312"/>
                <w:szCs w:val="21"/>
              </w:rPr>
              <w:t>排放浓度（mg/m</w:t>
            </w:r>
            <w:r>
              <w:rPr>
                <w:rFonts w:eastAsia="仿宋_GB2312"/>
                <w:szCs w:val="21"/>
                <w:vertAlign w:val="superscript"/>
              </w:rPr>
              <w:t>3</w:t>
            </w:r>
            <w:r>
              <w:rPr>
                <w:rFonts w:eastAsia="仿宋_GB2312"/>
                <w:szCs w:val="21"/>
              </w:rPr>
              <w:t>）</w:t>
            </w:r>
          </w:p>
        </w:tc>
        <w:tc>
          <w:tcPr>
            <w:tcW w:w="542" w:type="pct"/>
            <w:vAlign w:val="center"/>
          </w:tcPr>
          <w:p w14:paraId="05CB151B">
            <w:pPr>
              <w:snapToGrid w:val="0"/>
              <w:spacing w:line="284" w:lineRule="exact"/>
              <w:jc w:val="center"/>
              <w:rPr>
                <w:rFonts w:eastAsia="仿宋_GB2312"/>
                <w:szCs w:val="21"/>
              </w:rPr>
            </w:pPr>
            <w:r>
              <w:rPr>
                <w:rFonts w:hint="eastAsia" w:eastAsia="仿宋_GB2312"/>
                <w:szCs w:val="21"/>
              </w:rPr>
              <w:t>65.37</w:t>
            </w:r>
          </w:p>
        </w:tc>
        <w:tc>
          <w:tcPr>
            <w:tcW w:w="553" w:type="pct"/>
            <w:shd w:val="clear" w:color="auto" w:fill="auto"/>
            <w:vAlign w:val="center"/>
          </w:tcPr>
          <w:p w14:paraId="5AF55532">
            <w:pPr>
              <w:snapToGrid w:val="0"/>
              <w:spacing w:line="284" w:lineRule="exact"/>
              <w:jc w:val="center"/>
              <w:rPr>
                <w:rFonts w:eastAsia="仿宋_GB2312"/>
                <w:szCs w:val="21"/>
              </w:rPr>
            </w:pPr>
            <w:r>
              <w:rPr>
                <w:rFonts w:eastAsia="仿宋_GB2312"/>
                <w:szCs w:val="21"/>
              </w:rPr>
              <w:t>100</w:t>
            </w:r>
          </w:p>
        </w:tc>
        <w:tc>
          <w:tcPr>
            <w:tcW w:w="788" w:type="pct"/>
            <w:vMerge w:val="continue"/>
            <w:vAlign w:val="center"/>
          </w:tcPr>
          <w:p w14:paraId="10D23556">
            <w:pPr>
              <w:snapToGrid w:val="0"/>
              <w:spacing w:line="284" w:lineRule="exact"/>
              <w:jc w:val="center"/>
              <w:rPr>
                <w:rFonts w:eastAsia="仿宋_GB2312"/>
                <w:szCs w:val="21"/>
              </w:rPr>
            </w:pPr>
          </w:p>
        </w:tc>
      </w:tr>
      <w:tr w14:paraId="4C02FF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35" w:hRule="atLeast"/>
        </w:trPr>
        <w:tc>
          <w:tcPr>
            <w:tcW w:w="401" w:type="pct"/>
            <w:vMerge w:val="continue"/>
            <w:vAlign w:val="center"/>
          </w:tcPr>
          <w:p w14:paraId="303DC705">
            <w:pPr>
              <w:snapToGrid w:val="0"/>
              <w:spacing w:line="284" w:lineRule="exact"/>
              <w:jc w:val="center"/>
              <w:rPr>
                <w:rFonts w:eastAsia="仿宋_GB2312"/>
                <w:szCs w:val="21"/>
              </w:rPr>
            </w:pPr>
          </w:p>
        </w:tc>
        <w:tc>
          <w:tcPr>
            <w:tcW w:w="452" w:type="pct"/>
            <w:vMerge w:val="continue"/>
            <w:vAlign w:val="center"/>
          </w:tcPr>
          <w:p w14:paraId="4D08C6AF">
            <w:pPr>
              <w:snapToGrid w:val="0"/>
              <w:spacing w:line="284" w:lineRule="exact"/>
              <w:jc w:val="center"/>
              <w:rPr>
                <w:rFonts w:eastAsia="仿宋_GB2312"/>
                <w:szCs w:val="21"/>
              </w:rPr>
            </w:pPr>
          </w:p>
        </w:tc>
        <w:tc>
          <w:tcPr>
            <w:tcW w:w="553" w:type="pct"/>
            <w:vMerge w:val="continue"/>
            <w:vAlign w:val="center"/>
          </w:tcPr>
          <w:p w14:paraId="64BB066E">
            <w:pPr>
              <w:snapToGrid w:val="0"/>
              <w:spacing w:line="284" w:lineRule="exact"/>
              <w:jc w:val="center"/>
              <w:rPr>
                <w:rFonts w:eastAsia="仿宋_GB2312"/>
                <w:color w:val="FF0000"/>
                <w:szCs w:val="21"/>
              </w:rPr>
            </w:pPr>
          </w:p>
        </w:tc>
        <w:tc>
          <w:tcPr>
            <w:tcW w:w="577" w:type="pct"/>
            <w:vAlign w:val="center"/>
          </w:tcPr>
          <w:p w14:paraId="75F2A883">
            <w:pPr>
              <w:snapToGrid w:val="0"/>
              <w:spacing w:line="284" w:lineRule="exact"/>
              <w:jc w:val="center"/>
              <w:rPr>
                <w:rFonts w:eastAsia="仿宋_GB2312"/>
                <w:szCs w:val="21"/>
              </w:rPr>
            </w:pPr>
            <w:r>
              <w:rPr>
                <w:rFonts w:eastAsia="仿宋_GB2312"/>
                <w:szCs w:val="21"/>
              </w:rPr>
              <w:t>NO</w:t>
            </w:r>
            <w:r>
              <w:rPr>
                <w:rFonts w:eastAsia="仿宋_GB2312"/>
                <w:szCs w:val="21"/>
                <w:vertAlign w:val="subscript"/>
              </w:rPr>
              <w:t>x</w:t>
            </w:r>
          </w:p>
        </w:tc>
        <w:tc>
          <w:tcPr>
            <w:tcW w:w="1131" w:type="pct"/>
            <w:shd w:val="clear" w:color="auto" w:fill="auto"/>
            <w:vAlign w:val="center"/>
          </w:tcPr>
          <w:p w14:paraId="7937A1C6">
            <w:pPr>
              <w:snapToGrid w:val="0"/>
              <w:spacing w:line="284" w:lineRule="exact"/>
              <w:jc w:val="center"/>
              <w:rPr>
                <w:rFonts w:eastAsia="仿宋_GB2312"/>
                <w:szCs w:val="21"/>
              </w:rPr>
            </w:pPr>
            <w:r>
              <w:rPr>
                <w:rFonts w:hint="eastAsia" w:eastAsia="仿宋_GB2312"/>
                <w:szCs w:val="21"/>
              </w:rPr>
              <w:t>最大</w:t>
            </w:r>
            <w:r>
              <w:rPr>
                <w:rFonts w:eastAsia="仿宋_GB2312"/>
                <w:szCs w:val="21"/>
              </w:rPr>
              <w:t>排放浓度（mg/m</w:t>
            </w:r>
            <w:r>
              <w:rPr>
                <w:rFonts w:eastAsia="仿宋_GB2312"/>
                <w:szCs w:val="21"/>
                <w:vertAlign w:val="superscript"/>
              </w:rPr>
              <w:t>3</w:t>
            </w:r>
            <w:r>
              <w:rPr>
                <w:rFonts w:eastAsia="仿宋_GB2312"/>
                <w:szCs w:val="21"/>
              </w:rPr>
              <w:t>）</w:t>
            </w:r>
          </w:p>
        </w:tc>
        <w:tc>
          <w:tcPr>
            <w:tcW w:w="542" w:type="pct"/>
            <w:vAlign w:val="center"/>
          </w:tcPr>
          <w:p w14:paraId="66461041">
            <w:pPr>
              <w:snapToGrid w:val="0"/>
              <w:spacing w:line="284" w:lineRule="exact"/>
              <w:jc w:val="center"/>
              <w:rPr>
                <w:rFonts w:eastAsia="仿宋_GB2312"/>
                <w:szCs w:val="21"/>
              </w:rPr>
            </w:pPr>
            <w:r>
              <w:rPr>
                <w:rFonts w:hint="eastAsia" w:eastAsia="仿宋_GB2312"/>
                <w:szCs w:val="21"/>
              </w:rPr>
              <w:t>102.04</w:t>
            </w:r>
          </w:p>
        </w:tc>
        <w:tc>
          <w:tcPr>
            <w:tcW w:w="553" w:type="pct"/>
            <w:shd w:val="clear" w:color="auto" w:fill="auto"/>
            <w:vAlign w:val="center"/>
          </w:tcPr>
          <w:p w14:paraId="28EA7A09">
            <w:pPr>
              <w:snapToGrid w:val="0"/>
              <w:spacing w:line="284" w:lineRule="exact"/>
              <w:jc w:val="center"/>
              <w:rPr>
                <w:rFonts w:eastAsia="仿宋_GB2312"/>
                <w:szCs w:val="21"/>
              </w:rPr>
            </w:pPr>
            <w:r>
              <w:rPr>
                <w:rFonts w:eastAsia="仿宋_GB2312"/>
                <w:szCs w:val="21"/>
              </w:rPr>
              <w:t>300</w:t>
            </w:r>
          </w:p>
        </w:tc>
        <w:tc>
          <w:tcPr>
            <w:tcW w:w="788" w:type="pct"/>
            <w:vMerge w:val="continue"/>
            <w:vAlign w:val="center"/>
          </w:tcPr>
          <w:p w14:paraId="46587EBD">
            <w:pPr>
              <w:snapToGrid w:val="0"/>
              <w:spacing w:line="284" w:lineRule="exact"/>
              <w:jc w:val="center"/>
              <w:rPr>
                <w:rFonts w:eastAsia="仿宋_GB2312"/>
                <w:szCs w:val="21"/>
              </w:rPr>
            </w:pPr>
          </w:p>
        </w:tc>
      </w:tr>
      <w:tr w14:paraId="45DEE9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401" w:type="pct"/>
            <w:vMerge w:val="continue"/>
            <w:vAlign w:val="center"/>
          </w:tcPr>
          <w:p w14:paraId="2A1D9327">
            <w:pPr>
              <w:snapToGrid w:val="0"/>
              <w:spacing w:line="284" w:lineRule="exact"/>
              <w:jc w:val="center"/>
              <w:rPr>
                <w:rFonts w:eastAsia="仿宋_GB2312"/>
                <w:szCs w:val="21"/>
              </w:rPr>
            </w:pPr>
          </w:p>
        </w:tc>
        <w:tc>
          <w:tcPr>
            <w:tcW w:w="452" w:type="pct"/>
            <w:vMerge w:val="continue"/>
            <w:vAlign w:val="center"/>
          </w:tcPr>
          <w:p w14:paraId="4BA313E9">
            <w:pPr>
              <w:snapToGrid w:val="0"/>
              <w:spacing w:line="284" w:lineRule="exact"/>
              <w:jc w:val="center"/>
              <w:rPr>
                <w:rFonts w:eastAsia="仿宋_GB2312"/>
                <w:szCs w:val="21"/>
              </w:rPr>
            </w:pPr>
          </w:p>
        </w:tc>
        <w:tc>
          <w:tcPr>
            <w:tcW w:w="553" w:type="pct"/>
            <w:vMerge w:val="continue"/>
            <w:vAlign w:val="center"/>
          </w:tcPr>
          <w:p w14:paraId="4A3FBC31">
            <w:pPr>
              <w:snapToGrid w:val="0"/>
              <w:spacing w:line="284" w:lineRule="exact"/>
              <w:jc w:val="center"/>
              <w:rPr>
                <w:rFonts w:eastAsia="仿宋_GB2312"/>
                <w:color w:val="FF0000"/>
                <w:szCs w:val="21"/>
              </w:rPr>
            </w:pPr>
          </w:p>
        </w:tc>
        <w:tc>
          <w:tcPr>
            <w:tcW w:w="577" w:type="pct"/>
            <w:vAlign w:val="center"/>
          </w:tcPr>
          <w:p w14:paraId="0A2388E2">
            <w:pPr>
              <w:snapToGrid w:val="0"/>
              <w:spacing w:line="284" w:lineRule="exact"/>
              <w:jc w:val="center"/>
              <w:rPr>
                <w:rFonts w:eastAsia="仿宋_GB2312"/>
                <w:szCs w:val="21"/>
              </w:rPr>
            </w:pPr>
            <w:r>
              <w:rPr>
                <w:rFonts w:eastAsia="仿宋_GB2312"/>
                <w:szCs w:val="21"/>
              </w:rPr>
              <w:t>HCl</w:t>
            </w:r>
          </w:p>
        </w:tc>
        <w:tc>
          <w:tcPr>
            <w:tcW w:w="1131" w:type="pct"/>
            <w:shd w:val="clear" w:color="auto" w:fill="auto"/>
            <w:vAlign w:val="center"/>
          </w:tcPr>
          <w:p w14:paraId="1046FADB">
            <w:pPr>
              <w:snapToGrid w:val="0"/>
              <w:spacing w:line="284" w:lineRule="exact"/>
              <w:jc w:val="center"/>
              <w:rPr>
                <w:rFonts w:eastAsia="仿宋_GB2312"/>
                <w:szCs w:val="21"/>
              </w:rPr>
            </w:pPr>
            <w:r>
              <w:rPr>
                <w:rFonts w:hint="eastAsia" w:eastAsia="仿宋_GB2312"/>
                <w:szCs w:val="21"/>
              </w:rPr>
              <w:t>最大</w:t>
            </w:r>
            <w:r>
              <w:rPr>
                <w:rFonts w:eastAsia="仿宋_GB2312"/>
                <w:szCs w:val="21"/>
              </w:rPr>
              <w:t>排放浓度（mg/m</w:t>
            </w:r>
            <w:r>
              <w:rPr>
                <w:rFonts w:eastAsia="仿宋_GB2312"/>
                <w:szCs w:val="21"/>
                <w:vertAlign w:val="superscript"/>
              </w:rPr>
              <w:t>3</w:t>
            </w:r>
            <w:r>
              <w:rPr>
                <w:rFonts w:eastAsia="仿宋_GB2312"/>
                <w:szCs w:val="21"/>
              </w:rPr>
              <w:t>）</w:t>
            </w:r>
          </w:p>
        </w:tc>
        <w:tc>
          <w:tcPr>
            <w:tcW w:w="542" w:type="pct"/>
            <w:vAlign w:val="center"/>
          </w:tcPr>
          <w:p w14:paraId="0E12523E">
            <w:pPr>
              <w:snapToGrid w:val="0"/>
              <w:spacing w:line="284" w:lineRule="exact"/>
              <w:jc w:val="center"/>
              <w:rPr>
                <w:rFonts w:eastAsia="仿宋_GB2312"/>
                <w:szCs w:val="21"/>
              </w:rPr>
            </w:pPr>
            <w:r>
              <w:rPr>
                <w:rFonts w:hint="eastAsia" w:eastAsia="仿宋_GB2312"/>
                <w:szCs w:val="21"/>
              </w:rPr>
              <w:t>10.54</w:t>
            </w:r>
          </w:p>
        </w:tc>
        <w:tc>
          <w:tcPr>
            <w:tcW w:w="553" w:type="pct"/>
            <w:shd w:val="clear" w:color="auto" w:fill="auto"/>
            <w:vAlign w:val="center"/>
          </w:tcPr>
          <w:p w14:paraId="6FE9CE37">
            <w:pPr>
              <w:snapToGrid w:val="0"/>
              <w:spacing w:line="284" w:lineRule="exact"/>
              <w:jc w:val="center"/>
              <w:rPr>
                <w:rFonts w:eastAsia="仿宋_GB2312"/>
                <w:szCs w:val="21"/>
              </w:rPr>
            </w:pPr>
            <w:r>
              <w:rPr>
                <w:rFonts w:eastAsia="仿宋_GB2312"/>
                <w:szCs w:val="21"/>
              </w:rPr>
              <w:t>60</w:t>
            </w:r>
          </w:p>
        </w:tc>
        <w:tc>
          <w:tcPr>
            <w:tcW w:w="788" w:type="pct"/>
            <w:vMerge w:val="continue"/>
            <w:vAlign w:val="center"/>
          </w:tcPr>
          <w:p w14:paraId="77990EEF">
            <w:pPr>
              <w:snapToGrid w:val="0"/>
              <w:spacing w:line="284" w:lineRule="exact"/>
              <w:jc w:val="center"/>
              <w:rPr>
                <w:rFonts w:eastAsia="仿宋_GB2312"/>
                <w:szCs w:val="21"/>
              </w:rPr>
            </w:pPr>
          </w:p>
        </w:tc>
      </w:tr>
      <w:tr w14:paraId="462FB9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401" w:type="pct"/>
            <w:vMerge w:val="continue"/>
            <w:vAlign w:val="center"/>
          </w:tcPr>
          <w:p w14:paraId="13BF0461">
            <w:pPr>
              <w:snapToGrid w:val="0"/>
              <w:spacing w:line="284" w:lineRule="exact"/>
              <w:jc w:val="center"/>
              <w:rPr>
                <w:rFonts w:eastAsia="仿宋_GB2312"/>
                <w:szCs w:val="21"/>
              </w:rPr>
            </w:pPr>
          </w:p>
        </w:tc>
        <w:tc>
          <w:tcPr>
            <w:tcW w:w="452" w:type="pct"/>
            <w:vMerge w:val="continue"/>
            <w:vAlign w:val="center"/>
          </w:tcPr>
          <w:p w14:paraId="2217B417">
            <w:pPr>
              <w:snapToGrid w:val="0"/>
              <w:spacing w:line="284" w:lineRule="exact"/>
              <w:jc w:val="center"/>
              <w:rPr>
                <w:rFonts w:eastAsia="仿宋_GB2312"/>
                <w:szCs w:val="21"/>
              </w:rPr>
            </w:pPr>
          </w:p>
        </w:tc>
        <w:tc>
          <w:tcPr>
            <w:tcW w:w="553" w:type="pct"/>
            <w:vMerge w:val="continue"/>
            <w:vAlign w:val="center"/>
          </w:tcPr>
          <w:p w14:paraId="02648856">
            <w:pPr>
              <w:snapToGrid w:val="0"/>
              <w:spacing w:line="284" w:lineRule="exact"/>
              <w:jc w:val="center"/>
              <w:rPr>
                <w:rFonts w:eastAsia="仿宋_GB2312"/>
                <w:color w:val="FF0000"/>
                <w:szCs w:val="21"/>
              </w:rPr>
            </w:pPr>
          </w:p>
        </w:tc>
        <w:tc>
          <w:tcPr>
            <w:tcW w:w="577" w:type="pct"/>
            <w:vAlign w:val="center"/>
          </w:tcPr>
          <w:p w14:paraId="65CF04A3">
            <w:pPr>
              <w:snapToGrid w:val="0"/>
              <w:spacing w:line="284" w:lineRule="exact"/>
              <w:jc w:val="center"/>
              <w:rPr>
                <w:rFonts w:eastAsia="仿宋_GB2312"/>
                <w:szCs w:val="21"/>
              </w:rPr>
            </w:pPr>
            <w:r>
              <w:rPr>
                <w:rFonts w:eastAsia="仿宋_GB2312"/>
                <w:szCs w:val="21"/>
              </w:rPr>
              <w:t>CO</w:t>
            </w:r>
          </w:p>
        </w:tc>
        <w:tc>
          <w:tcPr>
            <w:tcW w:w="1131" w:type="pct"/>
            <w:shd w:val="clear" w:color="auto" w:fill="auto"/>
            <w:vAlign w:val="center"/>
          </w:tcPr>
          <w:p w14:paraId="51F1C04D">
            <w:pPr>
              <w:snapToGrid w:val="0"/>
              <w:spacing w:line="284" w:lineRule="exact"/>
              <w:jc w:val="center"/>
              <w:rPr>
                <w:rFonts w:eastAsia="仿宋_GB2312"/>
                <w:szCs w:val="21"/>
              </w:rPr>
            </w:pPr>
            <w:r>
              <w:rPr>
                <w:rFonts w:hint="eastAsia" w:eastAsia="仿宋_GB2312"/>
                <w:szCs w:val="21"/>
              </w:rPr>
              <w:t>最大</w:t>
            </w:r>
            <w:r>
              <w:rPr>
                <w:rFonts w:eastAsia="仿宋_GB2312"/>
                <w:szCs w:val="21"/>
              </w:rPr>
              <w:t>排放浓度（mg/m</w:t>
            </w:r>
            <w:r>
              <w:rPr>
                <w:rFonts w:eastAsia="仿宋_GB2312"/>
                <w:szCs w:val="21"/>
                <w:vertAlign w:val="superscript"/>
              </w:rPr>
              <w:t>3</w:t>
            </w:r>
            <w:r>
              <w:rPr>
                <w:rFonts w:eastAsia="仿宋_GB2312"/>
                <w:szCs w:val="21"/>
              </w:rPr>
              <w:t>）</w:t>
            </w:r>
          </w:p>
        </w:tc>
        <w:tc>
          <w:tcPr>
            <w:tcW w:w="542" w:type="pct"/>
            <w:vAlign w:val="center"/>
          </w:tcPr>
          <w:p w14:paraId="426B27B5">
            <w:pPr>
              <w:snapToGrid w:val="0"/>
              <w:spacing w:line="284" w:lineRule="exact"/>
              <w:jc w:val="center"/>
              <w:rPr>
                <w:rFonts w:eastAsia="仿宋_GB2312"/>
                <w:szCs w:val="21"/>
              </w:rPr>
            </w:pPr>
            <w:r>
              <w:rPr>
                <w:rFonts w:hint="eastAsia" w:eastAsia="仿宋_GB2312"/>
                <w:szCs w:val="21"/>
              </w:rPr>
              <w:t>68.96</w:t>
            </w:r>
          </w:p>
        </w:tc>
        <w:tc>
          <w:tcPr>
            <w:tcW w:w="553" w:type="pct"/>
            <w:shd w:val="clear" w:color="auto" w:fill="auto"/>
            <w:vAlign w:val="center"/>
          </w:tcPr>
          <w:p w14:paraId="23DF2D83">
            <w:pPr>
              <w:snapToGrid w:val="0"/>
              <w:spacing w:line="284" w:lineRule="exact"/>
              <w:jc w:val="center"/>
              <w:rPr>
                <w:rFonts w:eastAsia="仿宋_GB2312"/>
                <w:szCs w:val="21"/>
              </w:rPr>
            </w:pPr>
            <w:r>
              <w:rPr>
                <w:rFonts w:eastAsia="仿宋_GB2312"/>
                <w:szCs w:val="21"/>
              </w:rPr>
              <w:t>100</w:t>
            </w:r>
          </w:p>
        </w:tc>
        <w:tc>
          <w:tcPr>
            <w:tcW w:w="788" w:type="pct"/>
            <w:vMerge w:val="continue"/>
            <w:vAlign w:val="center"/>
          </w:tcPr>
          <w:p w14:paraId="43E1BD80">
            <w:pPr>
              <w:snapToGrid w:val="0"/>
              <w:spacing w:line="284" w:lineRule="exact"/>
              <w:jc w:val="center"/>
              <w:rPr>
                <w:rFonts w:eastAsia="仿宋_GB2312"/>
                <w:szCs w:val="21"/>
              </w:rPr>
            </w:pPr>
          </w:p>
        </w:tc>
      </w:tr>
      <w:tr w14:paraId="78D772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401" w:type="pct"/>
            <w:vMerge w:val="restart"/>
            <w:vAlign w:val="center"/>
          </w:tcPr>
          <w:p w14:paraId="2FE0FAB3">
            <w:pPr>
              <w:snapToGrid w:val="0"/>
              <w:spacing w:line="284" w:lineRule="exact"/>
              <w:jc w:val="center"/>
              <w:rPr>
                <w:rFonts w:eastAsia="仿宋_GB2312"/>
                <w:szCs w:val="21"/>
              </w:rPr>
            </w:pPr>
            <w:r>
              <w:rPr>
                <w:rFonts w:eastAsia="仿宋_GB2312"/>
                <w:szCs w:val="21"/>
              </w:rPr>
              <w:t>2#焚烧炉</w:t>
            </w:r>
          </w:p>
        </w:tc>
        <w:tc>
          <w:tcPr>
            <w:tcW w:w="452" w:type="pct"/>
            <w:vMerge w:val="restart"/>
            <w:vAlign w:val="center"/>
          </w:tcPr>
          <w:p w14:paraId="64FE73B3">
            <w:pPr>
              <w:snapToGrid w:val="0"/>
              <w:spacing w:line="284" w:lineRule="exact"/>
              <w:jc w:val="center"/>
              <w:rPr>
                <w:rFonts w:eastAsia="仿宋_GB2312"/>
                <w:szCs w:val="21"/>
              </w:rPr>
            </w:pPr>
            <w:r>
              <w:rPr>
                <w:rFonts w:eastAsia="仿宋_GB2312"/>
                <w:szCs w:val="21"/>
              </w:rPr>
              <w:t>202</w:t>
            </w:r>
            <w:r>
              <w:rPr>
                <w:rFonts w:hint="eastAsia" w:eastAsia="仿宋_GB2312"/>
                <w:szCs w:val="21"/>
              </w:rPr>
              <w:t>6</w:t>
            </w:r>
            <w:r>
              <w:rPr>
                <w:rFonts w:eastAsia="仿宋_GB2312"/>
                <w:szCs w:val="21"/>
              </w:rPr>
              <w:t>年</w:t>
            </w:r>
            <w:r>
              <w:rPr>
                <w:rFonts w:hint="eastAsia" w:eastAsia="仿宋_GB2312"/>
                <w:szCs w:val="21"/>
              </w:rPr>
              <w:t>4</w:t>
            </w:r>
            <w:r>
              <w:rPr>
                <w:rFonts w:eastAsia="仿宋_GB2312"/>
                <w:szCs w:val="21"/>
              </w:rPr>
              <w:t>月</w:t>
            </w:r>
          </w:p>
        </w:tc>
        <w:tc>
          <w:tcPr>
            <w:tcW w:w="553" w:type="pct"/>
            <w:vMerge w:val="restart"/>
            <w:vAlign w:val="center"/>
          </w:tcPr>
          <w:p w14:paraId="10A98F98">
            <w:pPr>
              <w:snapToGrid w:val="0"/>
              <w:spacing w:line="284" w:lineRule="exact"/>
              <w:jc w:val="center"/>
              <w:rPr>
                <w:rFonts w:eastAsia="仿宋_GB2312"/>
                <w:szCs w:val="21"/>
              </w:rPr>
            </w:pPr>
            <w:r>
              <w:rPr>
                <w:rFonts w:eastAsia="仿宋_GB2312"/>
                <w:szCs w:val="21"/>
              </w:rPr>
              <w:t>30</w:t>
            </w:r>
            <w:r>
              <w:rPr>
                <w:rFonts w:hint="eastAsia" w:eastAsia="仿宋_GB2312"/>
                <w:szCs w:val="21"/>
              </w:rPr>
              <w:t>609</w:t>
            </w:r>
          </w:p>
        </w:tc>
        <w:tc>
          <w:tcPr>
            <w:tcW w:w="577" w:type="pct"/>
            <w:vAlign w:val="center"/>
          </w:tcPr>
          <w:p w14:paraId="53F66D78">
            <w:pPr>
              <w:snapToGrid w:val="0"/>
              <w:spacing w:line="284" w:lineRule="exact"/>
              <w:jc w:val="center"/>
              <w:rPr>
                <w:rFonts w:eastAsia="仿宋_GB2312"/>
                <w:szCs w:val="21"/>
              </w:rPr>
            </w:pPr>
            <w:r>
              <w:rPr>
                <w:rFonts w:eastAsia="仿宋_GB2312"/>
                <w:szCs w:val="21"/>
              </w:rPr>
              <w:t>颗粒物</w:t>
            </w:r>
          </w:p>
        </w:tc>
        <w:tc>
          <w:tcPr>
            <w:tcW w:w="1131" w:type="pct"/>
            <w:shd w:val="clear" w:color="auto" w:fill="auto"/>
            <w:vAlign w:val="center"/>
          </w:tcPr>
          <w:p w14:paraId="2FD277BA">
            <w:pPr>
              <w:snapToGrid w:val="0"/>
              <w:spacing w:line="284" w:lineRule="exact"/>
              <w:jc w:val="center"/>
              <w:rPr>
                <w:rFonts w:eastAsia="仿宋_GB2312"/>
                <w:szCs w:val="21"/>
              </w:rPr>
            </w:pPr>
            <w:r>
              <w:rPr>
                <w:rFonts w:hint="eastAsia" w:eastAsia="仿宋_GB2312"/>
                <w:szCs w:val="21"/>
              </w:rPr>
              <w:t>最大</w:t>
            </w:r>
            <w:r>
              <w:rPr>
                <w:rFonts w:eastAsia="仿宋_GB2312"/>
                <w:szCs w:val="21"/>
              </w:rPr>
              <w:t>排放浓度（mg/m</w:t>
            </w:r>
            <w:r>
              <w:rPr>
                <w:rFonts w:eastAsia="仿宋_GB2312"/>
                <w:szCs w:val="21"/>
                <w:vertAlign w:val="superscript"/>
              </w:rPr>
              <w:t>3</w:t>
            </w:r>
            <w:r>
              <w:rPr>
                <w:rFonts w:eastAsia="仿宋_GB2312"/>
                <w:szCs w:val="21"/>
              </w:rPr>
              <w:t>）</w:t>
            </w:r>
          </w:p>
        </w:tc>
        <w:tc>
          <w:tcPr>
            <w:tcW w:w="542" w:type="pct"/>
            <w:vAlign w:val="center"/>
          </w:tcPr>
          <w:p w14:paraId="3847D9F6">
            <w:pPr>
              <w:snapToGrid w:val="0"/>
              <w:spacing w:line="284" w:lineRule="exact"/>
              <w:jc w:val="center"/>
              <w:rPr>
                <w:rFonts w:eastAsia="仿宋_GB2312"/>
                <w:szCs w:val="21"/>
              </w:rPr>
            </w:pPr>
            <w:r>
              <w:rPr>
                <w:rFonts w:hint="eastAsia" w:eastAsia="仿宋_GB2312"/>
                <w:szCs w:val="21"/>
              </w:rPr>
              <w:t>11.18</w:t>
            </w:r>
          </w:p>
        </w:tc>
        <w:tc>
          <w:tcPr>
            <w:tcW w:w="553" w:type="pct"/>
            <w:shd w:val="clear" w:color="auto" w:fill="auto"/>
            <w:vAlign w:val="center"/>
          </w:tcPr>
          <w:p w14:paraId="37817F78">
            <w:pPr>
              <w:snapToGrid w:val="0"/>
              <w:spacing w:line="284" w:lineRule="exact"/>
              <w:jc w:val="center"/>
              <w:rPr>
                <w:rFonts w:eastAsia="仿宋_GB2312"/>
                <w:szCs w:val="21"/>
              </w:rPr>
            </w:pPr>
            <w:r>
              <w:rPr>
                <w:rFonts w:eastAsia="仿宋_GB2312"/>
                <w:szCs w:val="21"/>
              </w:rPr>
              <w:t>30</w:t>
            </w:r>
          </w:p>
        </w:tc>
        <w:tc>
          <w:tcPr>
            <w:tcW w:w="788" w:type="pct"/>
            <w:vMerge w:val="continue"/>
            <w:vAlign w:val="center"/>
          </w:tcPr>
          <w:p w14:paraId="7E03F4E8">
            <w:pPr>
              <w:snapToGrid w:val="0"/>
              <w:spacing w:line="284" w:lineRule="exact"/>
              <w:jc w:val="center"/>
              <w:rPr>
                <w:rFonts w:eastAsia="仿宋_GB2312"/>
                <w:szCs w:val="21"/>
              </w:rPr>
            </w:pPr>
          </w:p>
        </w:tc>
      </w:tr>
      <w:tr w14:paraId="6556178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401" w:type="pct"/>
            <w:vMerge w:val="continue"/>
            <w:vAlign w:val="center"/>
          </w:tcPr>
          <w:p w14:paraId="7C401E3D">
            <w:pPr>
              <w:snapToGrid w:val="0"/>
              <w:spacing w:line="284" w:lineRule="exact"/>
              <w:jc w:val="center"/>
              <w:rPr>
                <w:rFonts w:eastAsia="仿宋_GB2312"/>
                <w:color w:val="FF0000"/>
                <w:szCs w:val="21"/>
              </w:rPr>
            </w:pPr>
          </w:p>
        </w:tc>
        <w:tc>
          <w:tcPr>
            <w:tcW w:w="452" w:type="pct"/>
            <w:vMerge w:val="continue"/>
            <w:vAlign w:val="center"/>
          </w:tcPr>
          <w:p w14:paraId="42D4F42F">
            <w:pPr>
              <w:snapToGrid w:val="0"/>
              <w:spacing w:line="284" w:lineRule="exact"/>
              <w:jc w:val="center"/>
              <w:rPr>
                <w:rFonts w:eastAsia="仿宋_GB2312"/>
                <w:color w:val="FF0000"/>
                <w:szCs w:val="21"/>
              </w:rPr>
            </w:pPr>
          </w:p>
        </w:tc>
        <w:tc>
          <w:tcPr>
            <w:tcW w:w="553" w:type="pct"/>
            <w:vMerge w:val="continue"/>
            <w:vAlign w:val="center"/>
          </w:tcPr>
          <w:p w14:paraId="7EA889CF">
            <w:pPr>
              <w:snapToGrid w:val="0"/>
              <w:spacing w:line="284" w:lineRule="exact"/>
              <w:jc w:val="center"/>
              <w:rPr>
                <w:rFonts w:eastAsia="仿宋_GB2312"/>
                <w:color w:val="FF0000"/>
                <w:szCs w:val="21"/>
              </w:rPr>
            </w:pPr>
          </w:p>
        </w:tc>
        <w:tc>
          <w:tcPr>
            <w:tcW w:w="577" w:type="pct"/>
            <w:vAlign w:val="center"/>
          </w:tcPr>
          <w:p w14:paraId="22BBC921">
            <w:pPr>
              <w:snapToGrid w:val="0"/>
              <w:spacing w:line="284" w:lineRule="exact"/>
              <w:jc w:val="center"/>
              <w:rPr>
                <w:rFonts w:eastAsia="仿宋_GB2312"/>
                <w:szCs w:val="21"/>
              </w:rPr>
            </w:pPr>
            <w:r>
              <w:rPr>
                <w:rFonts w:eastAsia="仿宋_GB2312"/>
                <w:szCs w:val="21"/>
              </w:rPr>
              <w:t>SO</w:t>
            </w:r>
            <w:r>
              <w:rPr>
                <w:rFonts w:eastAsia="仿宋_GB2312"/>
                <w:szCs w:val="21"/>
                <w:vertAlign w:val="subscript"/>
              </w:rPr>
              <w:t>2</w:t>
            </w:r>
          </w:p>
        </w:tc>
        <w:tc>
          <w:tcPr>
            <w:tcW w:w="1131" w:type="pct"/>
            <w:shd w:val="clear" w:color="auto" w:fill="auto"/>
            <w:vAlign w:val="center"/>
          </w:tcPr>
          <w:p w14:paraId="191FC571">
            <w:pPr>
              <w:snapToGrid w:val="0"/>
              <w:spacing w:line="284" w:lineRule="exact"/>
              <w:jc w:val="center"/>
              <w:rPr>
                <w:rFonts w:eastAsia="仿宋_GB2312"/>
                <w:szCs w:val="21"/>
              </w:rPr>
            </w:pPr>
            <w:r>
              <w:rPr>
                <w:rFonts w:hint="eastAsia" w:eastAsia="仿宋_GB2312"/>
                <w:szCs w:val="21"/>
              </w:rPr>
              <w:t>最大</w:t>
            </w:r>
            <w:r>
              <w:rPr>
                <w:rFonts w:eastAsia="仿宋_GB2312"/>
                <w:szCs w:val="21"/>
              </w:rPr>
              <w:t>排放浓度（mg/m</w:t>
            </w:r>
            <w:r>
              <w:rPr>
                <w:rFonts w:eastAsia="仿宋_GB2312"/>
                <w:szCs w:val="21"/>
                <w:vertAlign w:val="superscript"/>
              </w:rPr>
              <w:t>3</w:t>
            </w:r>
            <w:r>
              <w:rPr>
                <w:rFonts w:eastAsia="仿宋_GB2312"/>
                <w:szCs w:val="21"/>
              </w:rPr>
              <w:t>）</w:t>
            </w:r>
          </w:p>
        </w:tc>
        <w:tc>
          <w:tcPr>
            <w:tcW w:w="542" w:type="pct"/>
            <w:vAlign w:val="center"/>
          </w:tcPr>
          <w:p w14:paraId="72E63A58">
            <w:pPr>
              <w:snapToGrid w:val="0"/>
              <w:spacing w:line="284" w:lineRule="exact"/>
              <w:jc w:val="center"/>
              <w:rPr>
                <w:rFonts w:eastAsia="仿宋_GB2312"/>
                <w:szCs w:val="21"/>
              </w:rPr>
            </w:pPr>
            <w:r>
              <w:rPr>
                <w:rFonts w:hint="eastAsia" w:eastAsia="仿宋_GB2312"/>
                <w:szCs w:val="21"/>
              </w:rPr>
              <w:t>68.37</w:t>
            </w:r>
          </w:p>
        </w:tc>
        <w:tc>
          <w:tcPr>
            <w:tcW w:w="553" w:type="pct"/>
            <w:shd w:val="clear" w:color="auto" w:fill="auto"/>
            <w:vAlign w:val="center"/>
          </w:tcPr>
          <w:p w14:paraId="055927F3">
            <w:pPr>
              <w:snapToGrid w:val="0"/>
              <w:spacing w:line="284" w:lineRule="exact"/>
              <w:jc w:val="center"/>
              <w:rPr>
                <w:rFonts w:eastAsia="仿宋_GB2312"/>
                <w:szCs w:val="21"/>
              </w:rPr>
            </w:pPr>
            <w:r>
              <w:rPr>
                <w:rFonts w:eastAsia="仿宋_GB2312"/>
                <w:szCs w:val="21"/>
              </w:rPr>
              <w:t>100</w:t>
            </w:r>
          </w:p>
        </w:tc>
        <w:tc>
          <w:tcPr>
            <w:tcW w:w="788" w:type="pct"/>
            <w:vMerge w:val="continue"/>
            <w:vAlign w:val="center"/>
          </w:tcPr>
          <w:p w14:paraId="485E50FF">
            <w:pPr>
              <w:snapToGrid w:val="0"/>
              <w:spacing w:line="284" w:lineRule="exact"/>
              <w:jc w:val="center"/>
              <w:rPr>
                <w:rFonts w:eastAsia="仿宋_GB2312"/>
                <w:color w:val="FF0000"/>
                <w:szCs w:val="21"/>
              </w:rPr>
            </w:pPr>
          </w:p>
        </w:tc>
      </w:tr>
      <w:tr w14:paraId="0C0973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401" w:type="pct"/>
            <w:vMerge w:val="continue"/>
            <w:vAlign w:val="center"/>
          </w:tcPr>
          <w:p w14:paraId="32D2A962">
            <w:pPr>
              <w:snapToGrid w:val="0"/>
              <w:spacing w:line="284" w:lineRule="exact"/>
              <w:jc w:val="center"/>
              <w:rPr>
                <w:rFonts w:eastAsia="仿宋_GB2312"/>
                <w:color w:val="FF0000"/>
                <w:szCs w:val="21"/>
              </w:rPr>
            </w:pPr>
          </w:p>
        </w:tc>
        <w:tc>
          <w:tcPr>
            <w:tcW w:w="452" w:type="pct"/>
            <w:vMerge w:val="continue"/>
            <w:vAlign w:val="center"/>
          </w:tcPr>
          <w:p w14:paraId="56B8E5AC">
            <w:pPr>
              <w:snapToGrid w:val="0"/>
              <w:spacing w:line="284" w:lineRule="exact"/>
              <w:jc w:val="center"/>
              <w:rPr>
                <w:rFonts w:eastAsia="仿宋_GB2312"/>
                <w:color w:val="FF0000"/>
                <w:szCs w:val="21"/>
              </w:rPr>
            </w:pPr>
          </w:p>
        </w:tc>
        <w:tc>
          <w:tcPr>
            <w:tcW w:w="553" w:type="pct"/>
            <w:vMerge w:val="continue"/>
            <w:vAlign w:val="center"/>
          </w:tcPr>
          <w:p w14:paraId="0E4FE5DB">
            <w:pPr>
              <w:snapToGrid w:val="0"/>
              <w:spacing w:line="284" w:lineRule="exact"/>
              <w:jc w:val="center"/>
              <w:rPr>
                <w:rFonts w:eastAsia="仿宋_GB2312"/>
                <w:color w:val="FF0000"/>
                <w:szCs w:val="21"/>
              </w:rPr>
            </w:pPr>
          </w:p>
        </w:tc>
        <w:tc>
          <w:tcPr>
            <w:tcW w:w="577" w:type="pct"/>
            <w:vAlign w:val="center"/>
          </w:tcPr>
          <w:p w14:paraId="2A31CB64">
            <w:pPr>
              <w:snapToGrid w:val="0"/>
              <w:spacing w:line="284" w:lineRule="exact"/>
              <w:jc w:val="center"/>
              <w:rPr>
                <w:rFonts w:eastAsia="仿宋_GB2312"/>
                <w:szCs w:val="21"/>
              </w:rPr>
            </w:pPr>
            <w:r>
              <w:rPr>
                <w:rFonts w:eastAsia="仿宋_GB2312"/>
                <w:szCs w:val="21"/>
              </w:rPr>
              <w:t>NO</w:t>
            </w:r>
            <w:r>
              <w:rPr>
                <w:rFonts w:eastAsia="仿宋_GB2312"/>
                <w:szCs w:val="21"/>
                <w:vertAlign w:val="subscript"/>
              </w:rPr>
              <w:t>x</w:t>
            </w:r>
          </w:p>
        </w:tc>
        <w:tc>
          <w:tcPr>
            <w:tcW w:w="1131" w:type="pct"/>
            <w:shd w:val="clear" w:color="auto" w:fill="auto"/>
            <w:vAlign w:val="center"/>
          </w:tcPr>
          <w:p w14:paraId="53548415">
            <w:pPr>
              <w:snapToGrid w:val="0"/>
              <w:spacing w:line="284" w:lineRule="exact"/>
              <w:jc w:val="center"/>
              <w:rPr>
                <w:rFonts w:eastAsia="仿宋_GB2312"/>
                <w:szCs w:val="21"/>
              </w:rPr>
            </w:pPr>
            <w:r>
              <w:rPr>
                <w:rFonts w:hint="eastAsia" w:eastAsia="仿宋_GB2312"/>
                <w:szCs w:val="21"/>
              </w:rPr>
              <w:t>最大</w:t>
            </w:r>
            <w:r>
              <w:rPr>
                <w:rFonts w:eastAsia="仿宋_GB2312"/>
                <w:szCs w:val="21"/>
              </w:rPr>
              <w:t>排放浓度（mg/m</w:t>
            </w:r>
            <w:r>
              <w:rPr>
                <w:rFonts w:eastAsia="仿宋_GB2312"/>
                <w:szCs w:val="21"/>
                <w:vertAlign w:val="superscript"/>
              </w:rPr>
              <w:t>3</w:t>
            </w:r>
            <w:r>
              <w:rPr>
                <w:rFonts w:eastAsia="仿宋_GB2312"/>
                <w:szCs w:val="21"/>
              </w:rPr>
              <w:t>）</w:t>
            </w:r>
          </w:p>
        </w:tc>
        <w:tc>
          <w:tcPr>
            <w:tcW w:w="542" w:type="pct"/>
            <w:vAlign w:val="center"/>
          </w:tcPr>
          <w:p w14:paraId="6C5C01C7">
            <w:pPr>
              <w:snapToGrid w:val="0"/>
              <w:spacing w:line="284" w:lineRule="exact"/>
              <w:jc w:val="center"/>
              <w:rPr>
                <w:rFonts w:eastAsia="仿宋_GB2312"/>
                <w:szCs w:val="21"/>
              </w:rPr>
            </w:pPr>
            <w:r>
              <w:rPr>
                <w:rFonts w:hint="eastAsia" w:eastAsia="仿宋_GB2312"/>
                <w:szCs w:val="21"/>
              </w:rPr>
              <w:t>125.56</w:t>
            </w:r>
          </w:p>
        </w:tc>
        <w:tc>
          <w:tcPr>
            <w:tcW w:w="553" w:type="pct"/>
            <w:shd w:val="clear" w:color="auto" w:fill="auto"/>
            <w:vAlign w:val="center"/>
          </w:tcPr>
          <w:p w14:paraId="20BD1B91">
            <w:pPr>
              <w:snapToGrid w:val="0"/>
              <w:spacing w:line="284" w:lineRule="exact"/>
              <w:jc w:val="center"/>
              <w:rPr>
                <w:rFonts w:eastAsia="仿宋_GB2312"/>
                <w:szCs w:val="21"/>
              </w:rPr>
            </w:pPr>
            <w:r>
              <w:rPr>
                <w:rFonts w:eastAsia="仿宋_GB2312"/>
                <w:szCs w:val="21"/>
              </w:rPr>
              <w:t>300</w:t>
            </w:r>
          </w:p>
        </w:tc>
        <w:tc>
          <w:tcPr>
            <w:tcW w:w="788" w:type="pct"/>
            <w:vMerge w:val="continue"/>
            <w:vAlign w:val="center"/>
          </w:tcPr>
          <w:p w14:paraId="11D74F4A">
            <w:pPr>
              <w:snapToGrid w:val="0"/>
              <w:spacing w:line="284" w:lineRule="exact"/>
              <w:jc w:val="center"/>
              <w:rPr>
                <w:rFonts w:eastAsia="仿宋_GB2312"/>
                <w:color w:val="FF0000"/>
                <w:szCs w:val="21"/>
              </w:rPr>
            </w:pPr>
          </w:p>
        </w:tc>
      </w:tr>
      <w:tr w14:paraId="18365C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401" w:type="pct"/>
            <w:vMerge w:val="continue"/>
            <w:vAlign w:val="center"/>
          </w:tcPr>
          <w:p w14:paraId="61A27509">
            <w:pPr>
              <w:snapToGrid w:val="0"/>
              <w:spacing w:line="284" w:lineRule="exact"/>
              <w:jc w:val="center"/>
              <w:rPr>
                <w:rFonts w:eastAsia="仿宋_GB2312"/>
                <w:color w:val="FF0000"/>
                <w:szCs w:val="21"/>
              </w:rPr>
            </w:pPr>
          </w:p>
        </w:tc>
        <w:tc>
          <w:tcPr>
            <w:tcW w:w="452" w:type="pct"/>
            <w:vMerge w:val="continue"/>
            <w:vAlign w:val="center"/>
          </w:tcPr>
          <w:p w14:paraId="3070B66F">
            <w:pPr>
              <w:snapToGrid w:val="0"/>
              <w:spacing w:line="284" w:lineRule="exact"/>
              <w:jc w:val="center"/>
              <w:rPr>
                <w:rFonts w:eastAsia="仿宋_GB2312"/>
                <w:color w:val="FF0000"/>
                <w:szCs w:val="21"/>
              </w:rPr>
            </w:pPr>
          </w:p>
        </w:tc>
        <w:tc>
          <w:tcPr>
            <w:tcW w:w="553" w:type="pct"/>
            <w:vMerge w:val="continue"/>
            <w:vAlign w:val="center"/>
          </w:tcPr>
          <w:p w14:paraId="6F1383D5">
            <w:pPr>
              <w:snapToGrid w:val="0"/>
              <w:spacing w:line="284" w:lineRule="exact"/>
              <w:jc w:val="center"/>
              <w:rPr>
                <w:rFonts w:eastAsia="仿宋_GB2312"/>
                <w:color w:val="FF0000"/>
                <w:szCs w:val="21"/>
              </w:rPr>
            </w:pPr>
          </w:p>
        </w:tc>
        <w:tc>
          <w:tcPr>
            <w:tcW w:w="577" w:type="pct"/>
            <w:vAlign w:val="center"/>
          </w:tcPr>
          <w:p w14:paraId="5AB57578">
            <w:pPr>
              <w:snapToGrid w:val="0"/>
              <w:spacing w:line="284" w:lineRule="exact"/>
              <w:jc w:val="center"/>
              <w:rPr>
                <w:rFonts w:eastAsia="仿宋_GB2312"/>
                <w:szCs w:val="21"/>
              </w:rPr>
            </w:pPr>
            <w:r>
              <w:rPr>
                <w:rFonts w:eastAsia="仿宋_GB2312"/>
                <w:szCs w:val="21"/>
              </w:rPr>
              <w:t>HCl</w:t>
            </w:r>
          </w:p>
        </w:tc>
        <w:tc>
          <w:tcPr>
            <w:tcW w:w="1131" w:type="pct"/>
            <w:shd w:val="clear" w:color="auto" w:fill="auto"/>
            <w:vAlign w:val="center"/>
          </w:tcPr>
          <w:p w14:paraId="7E68566E">
            <w:pPr>
              <w:snapToGrid w:val="0"/>
              <w:spacing w:line="284" w:lineRule="exact"/>
              <w:jc w:val="center"/>
              <w:rPr>
                <w:rFonts w:eastAsia="仿宋_GB2312"/>
                <w:szCs w:val="21"/>
              </w:rPr>
            </w:pPr>
            <w:r>
              <w:rPr>
                <w:rFonts w:hint="eastAsia" w:eastAsia="仿宋_GB2312"/>
                <w:szCs w:val="21"/>
              </w:rPr>
              <w:t>最大</w:t>
            </w:r>
            <w:r>
              <w:rPr>
                <w:rFonts w:eastAsia="仿宋_GB2312"/>
                <w:szCs w:val="21"/>
              </w:rPr>
              <w:t>排放浓度（mg/m</w:t>
            </w:r>
            <w:r>
              <w:rPr>
                <w:rFonts w:eastAsia="仿宋_GB2312"/>
                <w:szCs w:val="21"/>
                <w:vertAlign w:val="superscript"/>
              </w:rPr>
              <w:t>3</w:t>
            </w:r>
            <w:r>
              <w:rPr>
                <w:rFonts w:eastAsia="仿宋_GB2312"/>
                <w:szCs w:val="21"/>
              </w:rPr>
              <w:t>）</w:t>
            </w:r>
          </w:p>
        </w:tc>
        <w:tc>
          <w:tcPr>
            <w:tcW w:w="542" w:type="pct"/>
            <w:vAlign w:val="center"/>
          </w:tcPr>
          <w:p w14:paraId="03C8B200">
            <w:pPr>
              <w:snapToGrid w:val="0"/>
              <w:spacing w:line="284" w:lineRule="exact"/>
              <w:jc w:val="center"/>
              <w:rPr>
                <w:rFonts w:eastAsia="仿宋_GB2312"/>
                <w:szCs w:val="21"/>
              </w:rPr>
            </w:pPr>
            <w:r>
              <w:rPr>
                <w:rFonts w:hint="eastAsia" w:eastAsia="仿宋_GB2312"/>
                <w:szCs w:val="21"/>
              </w:rPr>
              <w:t>9.85</w:t>
            </w:r>
          </w:p>
        </w:tc>
        <w:tc>
          <w:tcPr>
            <w:tcW w:w="553" w:type="pct"/>
            <w:shd w:val="clear" w:color="auto" w:fill="auto"/>
            <w:vAlign w:val="center"/>
          </w:tcPr>
          <w:p w14:paraId="45615D2D">
            <w:pPr>
              <w:snapToGrid w:val="0"/>
              <w:spacing w:line="284" w:lineRule="exact"/>
              <w:jc w:val="center"/>
              <w:rPr>
                <w:rFonts w:eastAsia="仿宋_GB2312"/>
                <w:szCs w:val="21"/>
              </w:rPr>
            </w:pPr>
            <w:r>
              <w:rPr>
                <w:rFonts w:eastAsia="仿宋_GB2312"/>
                <w:szCs w:val="21"/>
              </w:rPr>
              <w:t>60</w:t>
            </w:r>
          </w:p>
        </w:tc>
        <w:tc>
          <w:tcPr>
            <w:tcW w:w="788" w:type="pct"/>
            <w:vMerge w:val="continue"/>
            <w:vAlign w:val="center"/>
          </w:tcPr>
          <w:p w14:paraId="43406382">
            <w:pPr>
              <w:snapToGrid w:val="0"/>
              <w:spacing w:line="284" w:lineRule="exact"/>
              <w:jc w:val="center"/>
              <w:rPr>
                <w:rFonts w:eastAsia="仿宋_GB2312"/>
                <w:color w:val="FF0000"/>
                <w:szCs w:val="21"/>
              </w:rPr>
            </w:pPr>
          </w:p>
        </w:tc>
      </w:tr>
      <w:tr w14:paraId="5A59ED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401" w:type="pct"/>
            <w:vMerge w:val="continue"/>
            <w:vAlign w:val="center"/>
          </w:tcPr>
          <w:p w14:paraId="78781E2B">
            <w:pPr>
              <w:snapToGrid w:val="0"/>
              <w:spacing w:line="284" w:lineRule="exact"/>
              <w:jc w:val="center"/>
              <w:rPr>
                <w:rFonts w:eastAsia="仿宋_GB2312"/>
                <w:color w:val="FF0000"/>
                <w:szCs w:val="21"/>
              </w:rPr>
            </w:pPr>
          </w:p>
        </w:tc>
        <w:tc>
          <w:tcPr>
            <w:tcW w:w="452" w:type="pct"/>
            <w:vMerge w:val="continue"/>
            <w:vAlign w:val="center"/>
          </w:tcPr>
          <w:p w14:paraId="332A57D3">
            <w:pPr>
              <w:snapToGrid w:val="0"/>
              <w:spacing w:line="284" w:lineRule="exact"/>
              <w:jc w:val="center"/>
              <w:rPr>
                <w:rFonts w:eastAsia="仿宋_GB2312"/>
                <w:color w:val="FF0000"/>
                <w:szCs w:val="21"/>
              </w:rPr>
            </w:pPr>
          </w:p>
        </w:tc>
        <w:tc>
          <w:tcPr>
            <w:tcW w:w="553" w:type="pct"/>
            <w:vMerge w:val="continue"/>
            <w:vAlign w:val="center"/>
          </w:tcPr>
          <w:p w14:paraId="7A780B65">
            <w:pPr>
              <w:snapToGrid w:val="0"/>
              <w:spacing w:line="284" w:lineRule="exact"/>
              <w:jc w:val="center"/>
              <w:rPr>
                <w:rFonts w:eastAsia="仿宋_GB2312"/>
                <w:color w:val="FF0000"/>
                <w:szCs w:val="21"/>
              </w:rPr>
            </w:pPr>
          </w:p>
        </w:tc>
        <w:tc>
          <w:tcPr>
            <w:tcW w:w="577" w:type="pct"/>
            <w:vAlign w:val="center"/>
          </w:tcPr>
          <w:p w14:paraId="6A5A2869">
            <w:pPr>
              <w:snapToGrid w:val="0"/>
              <w:spacing w:line="284" w:lineRule="exact"/>
              <w:jc w:val="center"/>
              <w:rPr>
                <w:rFonts w:eastAsia="仿宋_GB2312"/>
                <w:szCs w:val="21"/>
              </w:rPr>
            </w:pPr>
            <w:r>
              <w:rPr>
                <w:rFonts w:eastAsia="仿宋_GB2312"/>
                <w:szCs w:val="21"/>
              </w:rPr>
              <w:t>CO</w:t>
            </w:r>
          </w:p>
        </w:tc>
        <w:tc>
          <w:tcPr>
            <w:tcW w:w="1131" w:type="pct"/>
            <w:shd w:val="clear" w:color="auto" w:fill="auto"/>
            <w:vAlign w:val="center"/>
          </w:tcPr>
          <w:p w14:paraId="1FCD34C4">
            <w:pPr>
              <w:snapToGrid w:val="0"/>
              <w:spacing w:line="284" w:lineRule="exact"/>
              <w:jc w:val="center"/>
              <w:rPr>
                <w:rFonts w:eastAsia="仿宋_GB2312"/>
                <w:szCs w:val="21"/>
              </w:rPr>
            </w:pPr>
            <w:r>
              <w:rPr>
                <w:rFonts w:hint="eastAsia" w:eastAsia="仿宋_GB2312"/>
                <w:szCs w:val="21"/>
              </w:rPr>
              <w:t>最大</w:t>
            </w:r>
            <w:r>
              <w:rPr>
                <w:rFonts w:eastAsia="仿宋_GB2312"/>
                <w:szCs w:val="21"/>
              </w:rPr>
              <w:t>排放浓度（mg/m</w:t>
            </w:r>
            <w:r>
              <w:rPr>
                <w:rFonts w:eastAsia="仿宋_GB2312"/>
                <w:szCs w:val="21"/>
                <w:vertAlign w:val="superscript"/>
              </w:rPr>
              <w:t>3</w:t>
            </w:r>
            <w:r>
              <w:rPr>
                <w:rFonts w:eastAsia="仿宋_GB2312"/>
                <w:szCs w:val="21"/>
              </w:rPr>
              <w:t>）</w:t>
            </w:r>
          </w:p>
        </w:tc>
        <w:tc>
          <w:tcPr>
            <w:tcW w:w="542" w:type="pct"/>
            <w:vAlign w:val="center"/>
          </w:tcPr>
          <w:p w14:paraId="1E6DF6E8">
            <w:pPr>
              <w:snapToGrid w:val="0"/>
              <w:spacing w:line="284" w:lineRule="exact"/>
              <w:jc w:val="center"/>
              <w:rPr>
                <w:rFonts w:eastAsia="仿宋_GB2312"/>
                <w:szCs w:val="21"/>
              </w:rPr>
            </w:pPr>
            <w:r>
              <w:rPr>
                <w:rFonts w:hint="eastAsia" w:eastAsia="仿宋_GB2312"/>
                <w:szCs w:val="21"/>
              </w:rPr>
              <w:t>50.76</w:t>
            </w:r>
          </w:p>
        </w:tc>
        <w:tc>
          <w:tcPr>
            <w:tcW w:w="553" w:type="pct"/>
            <w:shd w:val="clear" w:color="auto" w:fill="auto"/>
            <w:vAlign w:val="center"/>
          </w:tcPr>
          <w:p w14:paraId="7BA5E27E">
            <w:pPr>
              <w:snapToGrid w:val="0"/>
              <w:spacing w:line="284" w:lineRule="exact"/>
              <w:jc w:val="center"/>
              <w:rPr>
                <w:rFonts w:eastAsia="仿宋_GB2312"/>
                <w:szCs w:val="21"/>
              </w:rPr>
            </w:pPr>
            <w:r>
              <w:rPr>
                <w:rFonts w:eastAsia="仿宋_GB2312"/>
                <w:szCs w:val="21"/>
              </w:rPr>
              <w:t>100</w:t>
            </w:r>
          </w:p>
        </w:tc>
        <w:tc>
          <w:tcPr>
            <w:tcW w:w="788" w:type="pct"/>
            <w:vMerge w:val="continue"/>
            <w:vAlign w:val="center"/>
          </w:tcPr>
          <w:p w14:paraId="25EEEF2A">
            <w:pPr>
              <w:snapToGrid w:val="0"/>
              <w:spacing w:line="284" w:lineRule="exact"/>
              <w:jc w:val="center"/>
              <w:rPr>
                <w:rFonts w:eastAsia="仿宋_GB2312"/>
                <w:color w:val="FF0000"/>
                <w:szCs w:val="21"/>
              </w:rPr>
            </w:pPr>
          </w:p>
        </w:tc>
      </w:tr>
    </w:tbl>
    <w:p w14:paraId="46FD3ADC">
      <w:pPr>
        <w:spacing w:line="500" w:lineRule="exact"/>
        <w:jc w:val="center"/>
        <w:rPr>
          <w:rFonts w:eastAsia="仿宋_GB2312"/>
          <w:b/>
          <w:sz w:val="24"/>
        </w:rPr>
      </w:pPr>
      <w:r>
        <w:rPr>
          <w:rFonts w:eastAsia="仿宋_GB2312"/>
          <w:b/>
          <w:sz w:val="24"/>
        </w:rPr>
        <w:t>表3.1-</w:t>
      </w:r>
      <w:r>
        <w:rPr>
          <w:rFonts w:hint="eastAsia" w:eastAsia="仿宋_GB2312"/>
          <w:b/>
          <w:sz w:val="24"/>
        </w:rPr>
        <w:t>5</w:t>
      </w:r>
      <w:r>
        <w:rPr>
          <w:rFonts w:eastAsia="仿宋_GB2312"/>
          <w:b/>
          <w:sz w:val="24"/>
        </w:rPr>
        <w:t xml:space="preserve">  各废气排放口</w:t>
      </w:r>
      <w:r>
        <w:rPr>
          <w:rFonts w:hint="eastAsia" w:eastAsia="仿宋_GB2312"/>
          <w:b/>
          <w:sz w:val="24"/>
        </w:rPr>
        <w:t>非甲烷总烃</w:t>
      </w:r>
      <w:r>
        <w:rPr>
          <w:rFonts w:eastAsia="仿宋_GB2312"/>
          <w:b/>
          <w:sz w:val="24"/>
        </w:rPr>
        <w:t>在线监测数据一览表</w:t>
      </w:r>
    </w:p>
    <w:tbl>
      <w:tblPr>
        <w:tblStyle w:val="88"/>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305"/>
        <w:gridCol w:w="1784"/>
        <w:gridCol w:w="1660"/>
        <w:gridCol w:w="2861"/>
        <w:gridCol w:w="1558"/>
        <w:gridCol w:w="1933"/>
        <w:gridCol w:w="2350"/>
      </w:tblGrid>
      <w:tr w14:paraId="1EDB18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85" w:type="pct"/>
            <w:tcBorders>
              <w:tl2br w:val="nil"/>
              <w:tr2bl w:val="nil"/>
            </w:tcBorders>
            <w:shd w:val="clear" w:color="auto" w:fill="auto"/>
            <w:vAlign w:val="center"/>
          </w:tcPr>
          <w:p w14:paraId="7BC7E4CE">
            <w:pPr>
              <w:snapToGrid w:val="0"/>
              <w:spacing w:line="284" w:lineRule="exact"/>
              <w:jc w:val="center"/>
              <w:rPr>
                <w:rFonts w:eastAsia="仿宋_GB2312"/>
                <w:b/>
                <w:bCs/>
                <w:szCs w:val="21"/>
              </w:rPr>
            </w:pPr>
            <w:r>
              <w:rPr>
                <w:rFonts w:eastAsia="仿宋_GB2312"/>
                <w:b/>
                <w:bCs/>
                <w:szCs w:val="21"/>
              </w:rPr>
              <w:t>日期</w:t>
            </w:r>
          </w:p>
        </w:tc>
        <w:tc>
          <w:tcPr>
            <w:tcW w:w="663" w:type="pct"/>
            <w:tcBorders>
              <w:tl2br w:val="nil"/>
              <w:tr2bl w:val="nil"/>
            </w:tcBorders>
            <w:shd w:val="clear" w:color="auto" w:fill="auto"/>
            <w:vAlign w:val="center"/>
          </w:tcPr>
          <w:p w14:paraId="3EA1BFB4">
            <w:pPr>
              <w:snapToGrid w:val="0"/>
              <w:spacing w:line="284" w:lineRule="exact"/>
              <w:jc w:val="center"/>
              <w:rPr>
                <w:rFonts w:eastAsia="仿宋_GB2312"/>
                <w:b/>
                <w:bCs/>
                <w:szCs w:val="21"/>
              </w:rPr>
            </w:pPr>
            <w:r>
              <w:rPr>
                <w:rFonts w:eastAsia="仿宋_GB2312"/>
                <w:b/>
                <w:bCs/>
                <w:szCs w:val="21"/>
              </w:rPr>
              <w:t>点位</w:t>
            </w:r>
          </w:p>
        </w:tc>
        <w:tc>
          <w:tcPr>
            <w:tcW w:w="617" w:type="pct"/>
            <w:tcBorders>
              <w:tl2br w:val="nil"/>
              <w:tr2bl w:val="nil"/>
            </w:tcBorders>
            <w:shd w:val="clear" w:color="auto" w:fill="auto"/>
            <w:vAlign w:val="center"/>
          </w:tcPr>
          <w:p w14:paraId="5E442272">
            <w:pPr>
              <w:snapToGrid w:val="0"/>
              <w:spacing w:line="284" w:lineRule="exact"/>
              <w:jc w:val="center"/>
              <w:rPr>
                <w:rFonts w:eastAsia="仿宋_GB2312"/>
                <w:szCs w:val="21"/>
              </w:rPr>
            </w:pPr>
            <w:r>
              <w:rPr>
                <w:rFonts w:eastAsia="仿宋_GB2312"/>
                <w:b/>
                <w:bCs/>
                <w:szCs w:val="21"/>
              </w:rPr>
              <w:t>风量（m</w:t>
            </w:r>
            <w:r>
              <w:rPr>
                <w:rFonts w:eastAsia="仿宋_GB2312"/>
                <w:b/>
                <w:bCs/>
                <w:szCs w:val="21"/>
                <w:vertAlign w:val="superscript"/>
              </w:rPr>
              <w:t>3</w:t>
            </w:r>
            <w:r>
              <w:rPr>
                <w:rFonts w:eastAsia="仿宋_GB2312"/>
                <w:b/>
                <w:bCs/>
                <w:szCs w:val="21"/>
              </w:rPr>
              <w:t>/h）</w:t>
            </w:r>
          </w:p>
        </w:tc>
        <w:tc>
          <w:tcPr>
            <w:tcW w:w="1642" w:type="pct"/>
            <w:gridSpan w:val="2"/>
            <w:tcBorders>
              <w:tl2br w:val="nil"/>
              <w:tr2bl w:val="nil"/>
            </w:tcBorders>
            <w:shd w:val="clear" w:color="auto" w:fill="auto"/>
            <w:vAlign w:val="center"/>
          </w:tcPr>
          <w:p w14:paraId="76EA693F">
            <w:pPr>
              <w:snapToGrid w:val="0"/>
              <w:spacing w:line="284" w:lineRule="exact"/>
              <w:jc w:val="center"/>
              <w:rPr>
                <w:rFonts w:eastAsia="仿宋_GB2312"/>
                <w:szCs w:val="21"/>
              </w:rPr>
            </w:pPr>
            <w:r>
              <w:rPr>
                <w:rFonts w:hint="eastAsia" w:eastAsia="仿宋_GB2312"/>
                <w:b/>
                <w:bCs/>
                <w:szCs w:val="21"/>
              </w:rPr>
              <w:t>监测数值</w:t>
            </w:r>
          </w:p>
        </w:tc>
        <w:tc>
          <w:tcPr>
            <w:tcW w:w="718" w:type="pct"/>
            <w:tcBorders>
              <w:tl2br w:val="nil"/>
              <w:tr2bl w:val="nil"/>
            </w:tcBorders>
            <w:shd w:val="clear" w:color="auto" w:fill="auto"/>
            <w:vAlign w:val="center"/>
          </w:tcPr>
          <w:p w14:paraId="19D47D11">
            <w:pPr>
              <w:snapToGrid w:val="0"/>
              <w:spacing w:line="284" w:lineRule="exact"/>
              <w:jc w:val="center"/>
              <w:rPr>
                <w:rFonts w:eastAsia="仿宋_GB2312"/>
                <w:b/>
                <w:bCs/>
                <w:szCs w:val="21"/>
              </w:rPr>
            </w:pPr>
            <w:r>
              <w:rPr>
                <w:rFonts w:hint="eastAsia" w:eastAsia="仿宋_GB2312"/>
                <w:b/>
                <w:bCs/>
                <w:szCs w:val="21"/>
              </w:rPr>
              <w:t>标准限值</w:t>
            </w:r>
          </w:p>
        </w:tc>
        <w:tc>
          <w:tcPr>
            <w:tcW w:w="873" w:type="pct"/>
            <w:tcBorders>
              <w:tl2br w:val="nil"/>
              <w:tr2bl w:val="nil"/>
            </w:tcBorders>
            <w:shd w:val="clear" w:color="auto" w:fill="auto"/>
            <w:vAlign w:val="center"/>
          </w:tcPr>
          <w:p w14:paraId="07CEAD4D">
            <w:pPr>
              <w:snapToGrid w:val="0"/>
              <w:spacing w:line="284" w:lineRule="exact"/>
              <w:jc w:val="center"/>
              <w:rPr>
                <w:rFonts w:eastAsia="仿宋_GB2312"/>
                <w:b/>
                <w:bCs/>
                <w:szCs w:val="21"/>
              </w:rPr>
            </w:pPr>
            <w:r>
              <w:rPr>
                <w:rFonts w:hint="eastAsia" w:eastAsia="仿宋_GB2312"/>
                <w:b/>
                <w:bCs/>
                <w:szCs w:val="21"/>
              </w:rPr>
              <w:t>标准来源</w:t>
            </w:r>
          </w:p>
        </w:tc>
      </w:tr>
      <w:tr w14:paraId="3B18C5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85" w:type="pct"/>
            <w:vMerge w:val="restart"/>
            <w:tcBorders>
              <w:tl2br w:val="nil"/>
              <w:tr2bl w:val="nil"/>
            </w:tcBorders>
            <w:shd w:val="clear" w:color="auto" w:fill="auto"/>
            <w:vAlign w:val="center"/>
          </w:tcPr>
          <w:p w14:paraId="5640E837">
            <w:pPr>
              <w:snapToGrid w:val="0"/>
              <w:spacing w:line="284" w:lineRule="exact"/>
              <w:jc w:val="center"/>
              <w:rPr>
                <w:rFonts w:eastAsia="仿宋_GB2312"/>
                <w:szCs w:val="21"/>
              </w:rPr>
            </w:pPr>
            <w:r>
              <w:rPr>
                <w:rFonts w:eastAsia="仿宋_GB2312"/>
                <w:szCs w:val="21"/>
              </w:rPr>
              <w:t>202</w:t>
            </w:r>
            <w:r>
              <w:rPr>
                <w:rFonts w:hint="eastAsia" w:eastAsia="仿宋_GB2312"/>
                <w:szCs w:val="21"/>
              </w:rPr>
              <w:t>6</w:t>
            </w:r>
            <w:r>
              <w:rPr>
                <w:rFonts w:eastAsia="仿宋_GB2312"/>
                <w:szCs w:val="21"/>
              </w:rPr>
              <w:t>年</w:t>
            </w:r>
            <w:r>
              <w:rPr>
                <w:rFonts w:hint="eastAsia" w:eastAsia="仿宋_GB2312"/>
                <w:szCs w:val="21"/>
              </w:rPr>
              <w:t>4</w:t>
            </w:r>
            <w:r>
              <w:rPr>
                <w:rFonts w:eastAsia="仿宋_GB2312"/>
                <w:szCs w:val="21"/>
              </w:rPr>
              <w:t>月</w:t>
            </w:r>
          </w:p>
        </w:tc>
        <w:tc>
          <w:tcPr>
            <w:tcW w:w="663" w:type="pct"/>
            <w:vMerge w:val="restart"/>
            <w:tcBorders>
              <w:tl2br w:val="nil"/>
              <w:tr2bl w:val="nil"/>
            </w:tcBorders>
            <w:shd w:val="clear" w:color="auto" w:fill="auto"/>
            <w:vAlign w:val="center"/>
          </w:tcPr>
          <w:p w14:paraId="13196B70">
            <w:pPr>
              <w:snapToGrid w:val="0"/>
              <w:spacing w:line="284" w:lineRule="exact"/>
              <w:jc w:val="center"/>
              <w:rPr>
                <w:rFonts w:eastAsia="仿宋_GB2312"/>
                <w:szCs w:val="21"/>
              </w:rPr>
            </w:pPr>
            <w:r>
              <w:rPr>
                <w:rFonts w:hint="eastAsia" w:eastAsia="仿宋_GB2312"/>
                <w:szCs w:val="21"/>
              </w:rPr>
              <w:t>DA001</w:t>
            </w:r>
            <w:r>
              <w:rPr>
                <w:rFonts w:eastAsia="仿宋_GB2312"/>
                <w:szCs w:val="21"/>
              </w:rPr>
              <w:t>排气筒</w:t>
            </w:r>
          </w:p>
        </w:tc>
        <w:tc>
          <w:tcPr>
            <w:tcW w:w="617" w:type="pct"/>
            <w:vMerge w:val="restart"/>
            <w:tcBorders>
              <w:tl2br w:val="nil"/>
              <w:tr2bl w:val="nil"/>
            </w:tcBorders>
            <w:shd w:val="clear" w:color="auto" w:fill="auto"/>
            <w:vAlign w:val="center"/>
          </w:tcPr>
          <w:p w14:paraId="513B58EA">
            <w:pPr>
              <w:snapToGrid w:val="0"/>
              <w:spacing w:line="284" w:lineRule="exact"/>
              <w:jc w:val="center"/>
              <w:rPr>
                <w:rFonts w:eastAsia="仿宋_GB2312"/>
                <w:szCs w:val="21"/>
              </w:rPr>
            </w:pPr>
            <w:r>
              <w:rPr>
                <w:rFonts w:hint="eastAsia" w:eastAsia="仿宋_GB2312"/>
                <w:szCs w:val="21"/>
              </w:rPr>
              <w:t>66920</w:t>
            </w:r>
          </w:p>
        </w:tc>
        <w:tc>
          <w:tcPr>
            <w:tcW w:w="1063" w:type="pct"/>
            <w:tcBorders>
              <w:tl2br w:val="nil"/>
              <w:tr2bl w:val="nil"/>
            </w:tcBorders>
            <w:shd w:val="clear" w:color="auto" w:fill="auto"/>
            <w:vAlign w:val="center"/>
          </w:tcPr>
          <w:p w14:paraId="6CCEEFCF">
            <w:pPr>
              <w:snapToGrid w:val="0"/>
              <w:spacing w:line="284" w:lineRule="exact"/>
              <w:jc w:val="center"/>
              <w:rPr>
                <w:rFonts w:eastAsia="仿宋_GB2312"/>
                <w:szCs w:val="21"/>
              </w:rPr>
            </w:pPr>
            <w:r>
              <w:rPr>
                <w:rFonts w:hint="eastAsia" w:eastAsia="仿宋_GB2312"/>
                <w:szCs w:val="21"/>
              </w:rPr>
              <w:t>最大</w:t>
            </w:r>
            <w:r>
              <w:rPr>
                <w:rFonts w:eastAsia="仿宋_GB2312"/>
                <w:szCs w:val="21"/>
              </w:rPr>
              <w:t>排放浓度（mg/m</w:t>
            </w:r>
            <w:r>
              <w:rPr>
                <w:rFonts w:eastAsia="仿宋_GB2312"/>
                <w:szCs w:val="21"/>
                <w:vertAlign w:val="superscript"/>
              </w:rPr>
              <w:t>3</w:t>
            </w:r>
            <w:r>
              <w:rPr>
                <w:rFonts w:eastAsia="仿宋_GB2312"/>
                <w:szCs w:val="21"/>
              </w:rPr>
              <w:t>）</w:t>
            </w:r>
          </w:p>
        </w:tc>
        <w:tc>
          <w:tcPr>
            <w:tcW w:w="579" w:type="pct"/>
            <w:tcBorders>
              <w:tl2br w:val="nil"/>
              <w:tr2bl w:val="nil"/>
            </w:tcBorders>
            <w:shd w:val="clear" w:color="auto" w:fill="auto"/>
            <w:vAlign w:val="center"/>
          </w:tcPr>
          <w:p w14:paraId="59D2BA21">
            <w:pPr>
              <w:snapToGrid w:val="0"/>
              <w:spacing w:line="284" w:lineRule="exact"/>
              <w:jc w:val="center"/>
              <w:rPr>
                <w:rFonts w:eastAsia="仿宋_GB2312"/>
                <w:szCs w:val="21"/>
              </w:rPr>
            </w:pPr>
            <w:r>
              <w:rPr>
                <w:rFonts w:hint="eastAsia" w:eastAsia="仿宋_GB2312"/>
                <w:szCs w:val="21"/>
              </w:rPr>
              <w:t>23.45</w:t>
            </w:r>
          </w:p>
        </w:tc>
        <w:tc>
          <w:tcPr>
            <w:tcW w:w="718" w:type="pct"/>
            <w:tcBorders>
              <w:tl2br w:val="nil"/>
              <w:tr2bl w:val="nil"/>
            </w:tcBorders>
            <w:shd w:val="clear" w:color="auto" w:fill="auto"/>
            <w:vAlign w:val="center"/>
          </w:tcPr>
          <w:p w14:paraId="043B6D6B">
            <w:pPr>
              <w:snapToGrid w:val="0"/>
              <w:spacing w:line="284" w:lineRule="exact"/>
              <w:jc w:val="center"/>
              <w:rPr>
                <w:rFonts w:eastAsia="仿宋_GB2312"/>
                <w:szCs w:val="21"/>
              </w:rPr>
            </w:pPr>
            <w:r>
              <w:rPr>
                <w:rFonts w:hint="eastAsia" w:eastAsia="仿宋_GB2312"/>
                <w:szCs w:val="21"/>
              </w:rPr>
              <w:t>60</w:t>
            </w:r>
          </w:p>
        </w:tc>
        <w:tc>
          <w:tcPr>
            <w:tcW w:w="873" w:type="pct"/>
            <w:vMerge w:val="restart"/>
            <w:tcBorders>
              <w:tl2br w:val="nil"/>
              <w:tr2bl w:val="nil"/>
            </w:tcBorders>
            <w:shd w:val="clear" w:color="auto" w:fill="auto"/>
            <w:vAlign w:val="center"/>
          </w:tcPr>
          <w:p w14:paraId="76E144C9">
            <w:pPr>
              <w:snapToGrid w:val="0"/>
              <w:spacing w:line="284" w:lineRule="exact"/>
              <w:jc w:val="center"/>
              <w:rPr>
                <w:rFonts w:eastAsia="仿宋_GB2312"/>
                <w:color w:val="FF0000"/>
                <w:szCs w:val="21"/>
              </w:rPr>
            </w:pPr>
            <w:r>
              <w:rPr>
                <w:rFonts w:eastAsia="仿宋_GB2312"/>
                <w:szCs w:val="21"/>
              </w:rPr>
              <w:t>《大气污染物综合排放标准》（DB324041-2021）</w:t>
            </w:r>
          </w:p>
        </w:tc>
      </w:tr>
      <w:tr w14:paraId="59B500F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85" w:type="pct"/>
            <w:vMerge w:val="continue"/>
            <w:tcBorders>
              <w:tl2br w:val="nil"/>
              <w:tr2bl w:val="nil"/>
            </w:tcBorders>
            <w:shd w:val="clear" w:color="auto" w:fill="auto"/>
            <w:vAlign w:val="center"/>
          </w:tcPr>
          <w:p w14:paraId="4060DAFE">
            <w:pPr>
              <w:snapToGrid w:val="0"/>
              <w:spacing w:line="284" w:lineRule="exact"/>
              <w:jc w:val="center"/>
              <w:rPr>
                <w:rFonts w:eastAsia="仿宋_GB2312"/>
                <w:szCs w:val="21"/>
              </w:rPr>
            </w:pPr>
          </w:p>
        </w:tc>
        <w:tc>
          <w:tcPr>
            <w:tcW w:w="663" w:type="pct"/>
            <w:vMerge w:val="continue"/>
            <w:tcBorders>
              <w:tl2br w:val="nil"/>
              <w:tr2bl w:val="nil"/>
            </w:tcBorders>
            <w:shd w:val="clear" w:color="auto" w:fill="auto"/>
            <w:vAlign w:val="center"/>
          </w:tcPr>
          <w:p w14:paraId="5EBE1165">
            <w:pPr>
              <w:snapToGrid w:val="0"/>
              <w:spacing w:line="284" w:lineRule="exact"/>
              <w:jc w:val="center"/>
              <w:rPr>
                <w:rFonts w:eastAsia="仿宋_GB2312"/>
                <w:szCs w:val="21"/>
              </w:rPr>
            </w:pPr>
          </w:p>
        </w:tc>
        <w:tc>
          <w:tcPr>
            <w:tcW w:w="617" w:type="pct"/>
            <w:vMerge w:val="continue"/>
            <w:tcBorders>
              <w:tl2br w:val="nil"/>
              <w:tr2bl w:val="nil"/>
            </w:tcBorders>
            <w:shd w:val="clear" w:color="auto" w:fill="auto"/>
            <w:vAlign w:val="center"/>
          </w:tcPr>
          <w:p w14:paraId="3CAE48B3">
            <w:pPr>
              <w:snapToGrid w:val="0"/>
              <w:spacing w:line="284" w:lineRule="exact"/>
              <w:jc w:val="center"/>
              <w:rPr>
                <w:rFonts w:eastAsia="仿宋_GB2312"/>
                <w:color w:val="FF0000"/>
                <w:szCs w:val="21"/>
              </w:rPr>
            </w:pPr>
          </w:p>
        </w:tc>
        <w:tc>
          <w:tcPr>
            <w:tcW w:w="1063" w:type="pct"/>
            <w:tcBorders>
              <w:tl2br w:val="nil"/>
              <w:tr2bl w:val="nil"/>
            </w:tcBorders>
            <w:shd w:val="clear" w:color="auto" w:fill="auto"/>
            <w:vAlign w:val="center"/>
          </w:tcPr>
          <w:p w14:paraId="0527E248">
            <w:pPr>
              <w:snapToGrid w:val="0"/>
              <w:spacing w:line="284" w:lineRule="exact"/>
              <w:jc w:val="center"/>
              <w:rPr>
                <w:rFonts w:eastAsia="仿宋_GB2312"/>
                <w:szCs w:val="21"/>
              </w:rPr>
            </w:pPr>
            <w:r>
              <w:rPr>
                <w:rFonts w:hint="eastAsia" w:eastAsia="仿宋_GB2312"/>
                <w:szCs w:val="21"/>
              </w:rPr>
              <w:t>最大</w:t>
            </w:r>
            <w:r>
              <w:rPr>
                <w:rFonts w:eastAsia="仿宋_GB2312"/>
                <w:szCs w:val="21"/>
              </w:rPr>
              <w:t>排放速率（kg/h）</w:t>
            </w:r>
          </w:p>
        </w:tc>
        <w:tc>
          <w:tcPr>
            <w:tcW w:w="579" w:type="pct"/>
            <w:tcBorders>
              <w:tl2br w:val="nil"/>
              <w:tr2bl w:val="nil"/>
            </w:tcBorders>
            <w:shd w:val="clear" w:color="auto" w:fill="auto"/>
            <w:vAlign w:val="center"/>
          </w:tcPr>
          <w:p w14:paraId="6620A32B">
            <w:pPr>
              <w:snapToGrid w:val="0"/>
              <w:spacing w:line="284" w:lineRule="exact"/>
              <w:jc w:val="center"/>
              <w:rPr>
                <w:rFonts w:eastAsia="仿宋_GB2312"/>
                <w:szCs w:val="21"/>
              </w:rPr>
            </w:pPr>
            <w:r>
              <w:rPr>
                <w:rFonts w:hint="eastAsia" w:eastAsia="仿宋_GB2312"/>
                <w:szCs w:val="21"/>
              </w:rPr>
              <w:t>1.57</w:t>
            </w:r>
          </w:p>
        </w:tc>
        <w:tc>
          <w:tcPr>
            <w:tcW w:w="718" w:type="pct"/>
            <w:tcBorders>
              <w:tl2br w:val="nil"/>
              <w:tr2bl w:val="nil"/>
            </w:tcBorders>
            <w:shd w:val="clear" w:color="auto" w:fill="auto"/>
            <w:vAlign w:val="center"/>
          </w:tcPr>
          <w:p w14:paraId="0D209F9C">
            <w:pPr>
              <w:snapToGrid w:val="0"/>
              <w:spacing w:line="284" w:lineRule="exact"/>
              <w:jc w:val="center"/>
              <w:rPr>
                <w:rFonts w:eastAsia="仿宋_GB2312"/>
                <w:szCs w:val="21"/>
              </w:rPr>
            </w:pPr>
            <w:r>
              <w:rPr>
                <w:rFonts w:hint="eastAsia" w:eastAsia="仿宋_GB2312"/>
                <w:szCs w:val="21"/>
              </w:rPr>
              <w:t>3</w:t>
            </w:r>
          </w:p>
        </w:tc>
        <w:tc>
          <w:tcPr>
            <w:tcW w:w="873" w:type="pct"/>
            <w:vMerge w:val="continue"/>
            <w:tcBorders>
              <w:tl2br w:val="nil"/>
              <w:tr2bl w:val="nil"/>
            </w:tcBorders>
            <w:shd w:val="clear" w:color="auto" w:fill="auto"/>
            <w:vAlign w:val="center"/>
          </w:tcPr>
          <w:p w14:paraId="3797E83B">
            <w:pPr>
              <w:snapToGrid w:val="0"/>
              <w:spacing w:line="284" w:lineRule="exact"/>
              <w:jc w:val="center"/>
              <w:rPr>
                <w:rFonts w:eastAsia="仿宋_GB2312"/>
                <w:color w:val="FF0000"/>
                <w:szCs w:val="21"/>
              </w:rPr>
            </w:pPr>
          </w:p>
        </w:tc>
      </w:tr>
      <w:tr w14:paraId="7BE50E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85" w:type="pct"/>
            <w:vMerge w:val="continue"/>
            <w:tcBorders>
              <w:tl2br w:val="nil"/>
              <w:tr2bl w:val="nil"/>
            </w:tcBorders>
            <w:shd w:val="clear" w:color="auto" w:fill="auto"/>
            <w:vAlign w:val="center"/>
          </w:tcPr>
          <w:p w14:paraId="0FF3D6C9">
            <w:pPr>
              <w:snapToGrid w:val="0"/>
              <w:spacing w:line="284" w:lineRule="exact"/>
              <w:jc w:val="center"/>
              <w:rPr>
                <w:rFonts w:eastAsia="仿宋_GB2312"/>
                <w:szCs w:val="21"/>
              </w:rPr>
            </w:pPr>
          </w:p>
        </w:tc>
        <w:tc>
          <w:tcPr>
            <w:tcW w:w="663" w:type="pct"/>
            <w:vMerge w:val="restart"/>
            <w:tcBorders>
              <w:tl2br w:val="nil"/>
              <w:tr2bl w:val="nil"/>
            </w:tcBorders>
            <w:shd w:val="clear" w:color="auto" w:fill="auto"/>
            <w:vAlign w:val="center"/>
          </w:tcPr>
          <w:p w14:paraId="18838D93">
            <w:pPr>
              <w:snapToGrid w:val="0"/>
              <w:spacing w:line="284" w:lineRule="exact"/>
              <w:jc w:val="center"/>
              <w:rPr>
                <w:rFonts w:eastAsia="仿宋_GB2312"/>
                <w:szCs w:val="21"/>
              </w:rPr>
            </w:pPr>
            <w:r>
              <w:rPr>
                <w:rFonts w:hint="eastAsia" w:eastAsia="仿宋_GB2312"/>
                <w:szCs w:val="21"/>
              </w:rPr>
              <w:t>DA002</w:t>
            </w:r>
            <w:r>
              <w:rPr>
                <w:rFonts w:eastAsia="仿宋_GB2312"/>
                <w:szCs w:val="21"/>
              </w:rPr>
              <w:t>排气筒</w:t>
            </w:r>
          </w:p>
        </w:tc>
        <w:tc>
          <w:tcPr>
            <w:tcW w:w="617" w:type="pct"/>
            <w:vMerge w:val="restart"/>
            <w:tcBorders>
              <w:tl2br w:val="nil"/>
              <w:tr2bl w:val="nil"/>
            </w:tcBorders>
            <w:shd w:val="clear" w:color="auto" w:fill="auto"/>
            <w:vAlign w:val="center"/>
          </w:tcPr>
          <w:p w14:paraId="09DB0EDB">
            <w:pPr>
              <w:snapToGrid w:val="0"/>
              <w:spacing w:line="284" w:lineRule="exact"/>
              <w:jc w:val="center"/>
              <w:rPr>
                <w:rFonts w:eastAsia="仿宋_GB2312"/>
                <w:szCs w:val="21"/>
              </w:rPr>
            </w:pPr>
            <w:r>
              <w:rPr>
                <w:rFonts w:hint="eastAsia" w:eastAsia="仿宋_GB2312"/>
                <w:szCs w:val="21"/>
              </w:rPr>
              <w:t>32664</w:t>
            </w:r>
          </w:p>
        </w:tc>
        <w:tc>
          <w:tcPr>
            <w:tcW w:w="1063" w:type="pct"/>
            <w:tcBorders>
              <w:tl2br w:val="nil"/>
              <w:tr2bl w:val="nil"/>
            </w:tcBorders>
            <w:shd w:val="clear" w:color="auto" w:fill="auto"/>
            <w:vAlign w:val="center"/>
          </w:tcPr>
          <w:p w14:paraId="33D5A1DB">
            <w:pPr>
              <w:snapToGrid w:val="0"/>
              <w:spacing w:line="284" w:lineRule="exact"/>
              <w:jc w:val="center"/>
              <w:rPr>
                <w:rFonts w:eastAsia="仿宋_GB2312"/>
                <w:szCs w:val="21"/>
              </w:rPr>
            </w:pPr>
            <w:r>
              <w:rPr>
                <w:rFonts w:hint="eastAsia" w:eastAsia="仿宋_GB2312"/>
                <w:szCs w:val="21"/>
              </w:rPr>
              <w:t>最大</w:t>
            </w:r>
            <w:r>
              <w:rPr>
                <w:rFonts w:eastAsia="仿宋_GB2312"/>
                <w:szCs w:val="21"/>
              </w:rPr>
              <w:t>排放浓度（mg/m</w:t>
            </w:r>
            <w:r>
              <w:rPr>
                <w:rFonts w:eastAsia="仿宋_GB2312"/>
                <w:szCs w:val="21"/>
                <w:vertAlign w:val="superscript"/>
              </w:rPr>
              <w:t>3</w:t>
            </w:r>
            <w:r>
              <w:rPr>
                <w:rFonts w:eastAsia="仿宋_GB2312"/>
                <w:szCs w:val="21"/>
              </w:rPr>
              <w:t>）</w:t>
            </w:r>
          </w:p>
        </w:tc>
        <w:tc>
          <w:tcPr>
            <w:tcW w:w="579" w:type="pct"/>
            <w:tcBorders>
              <w:tl2br w:val="nil"/>
              <w:tr2bl w:val="nil"/>
            </w:tcBorders>
            <w:shd w:val="clear" w:color="auto" w:fill="auto"/>
            <w:vAlign w:val="center"/>
          </w:tcPr>
          <w:p w14:paraId="25AF0E2D">
            <w:pPr>
              <w:snapToGrid w:val="0"/>
              <w:spacing w:line="284" w:lineRule="exact"/>
              <w:jc w:val="center"/>
              <w:rPr>
                <w:rFonts w:eastAsia="仿宋_GB2312"/>
                <w:szCs w:val="21"/>
              </w:rPr>
            </w:pPr>
            <w:r>
              <w:rPr>
                <w:rFonts w:hint="eastAsia" w:eastAsia="仿宋_GB2312"/>
                <w:szCs w:val="21"/>
              </w:rPr>
              <w:t>2.77</w:t>
            </w:r>
          </w:p>
        </w:tc>
        <w:tc>
          <w:tcPr>
            <w:tcW w:w="718" w:type="pct"/>
            <w:tcBorders>
              <w:tl2br w:val="nil"/>
              <w:tr2bl w:val="nil"/>
            </w:tcBorders>
            <w:shd w:val="clear" w:color="auto" w:fill="auto"/>
            <w:vAlign w:val="center"/>
          </w:tcPr>
          <w:p w14:paraId="47BF8FFE">
            <w:pPr>
              <w:snapToGrid w:val="0"/>
              <w:spacing w:line="284" w:lineRule="exact"/>
              <w:jc w:val="center"/>
              <w:rPr>
                <w:rFonts w:eastAsia="仿宋_GB2312"/>
                <w:szCs w:val="21"/>
              </w:rPr>
            </w:pPr>
            <w:r>
              <w:rPr>
                <w:rFonts w:hint="eastAsia" w:eastAsia="仿宋_GB2312"/>
                <w:szCs w:val="21"/>
              </w:rPr>
              <w:t>60</w:t>
            </w:r>
          </w:p>
        </w:tc>
        <w:tc>
          <w:tcPr>
            <w:tcW w:w="873" w:type="pct"/>
            <w:vMerge w:val="continue"/>
            <w:tcBorders>
              <w:tl2br w:val="nil"/>
              <w:tr2bl w:val="nil"/>
            </w:tcBorders>
            <w:shd w:val="clear" w:color="auto" w:fill="auto"/>
            <w:vAlign w:val="center"/>
          </w:tcPr>
          <w:p w14:paraId="1B03CD3B">
            <w:pPr>
              <w:snapToGrid w:val="0"/>
              <w:spacing w:line="284" w:lineRule="exact"/>
              <w:jc w:val="center"/>
              <w:rPr>
                <w:rFonts w:eastAsia="仿宋_GB2312"/>
                <w:color w:val="FF0000"/>
                <w:szCs w:val="21"/>
              </w:rPr>
            </w:pPr>
          </w:p>
        </w:tc>
      </w:tr>
      <w:tr w14:paraId="3E58EF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85" w:type="pct"/>
            <w:vMerge w:val="continue"/>
            <w:tcBorders>
              <w:tl2br w:val="nil"/>
              <w:tr2bl w:val="nil"/>
            </w:tcBorders>
            <w:shd w:val="clear" w:color="auto" w:fill="auto"/>
            <w:vAlign w:val="center"/>
          </w:tcPr>
          <w:p w14:paraId="1D6EE0D3">
            <w:pPr>
              <w:snapToGrid w:val="0"/>
              <w:spacing w:line="284" w:lineRule="exact"/>
              <w:jc w:val="center"/>
              <w:rPr>
                <w:rFonts w:eastAsia="仿宋_GB2312"/>
                <w:szCs w:val="21"/>
              </w:rPr>
            </w:pPr>
          </w:p>
        </w:tc>
        <w:tc>
          <w:tcPr>
            <w:tcW w:w="663" w:type="pct"/>
            <w:vMerge w:val="continue"/>
            <w:tcBorders>
              <w:tl2br w:val="nil"/>
              <w:tr2bl w:val="nil"/>
            </w:tcBorders>
            <w:shd w:val="clear" w:color="auto" w:fill="auto"/>
            <w:vAlign w:val="center"/>
          </w:tcPr>
          <w:p w14:paraId="41B3CA41">
            <w:pPr>
              <w:snapToGrid w:val="0"/>
              <w:spacing w:line="284" w:lineRule="exact"/>
              <w:jc w:val="center"/>
              <w:rPr>
                <w:rFonts w:eastAsia="仿宋_GB2312"/>
                <w:szCs w:val="21"/>
              </w:rPr>
            </w:pPr>
          </w:p>
        </w:tc>
        <w:tc>
          <w:tcPr>
            <w:tcW w:w="617" w:type="pct"/>
            <w:vMerge w:val="continue"/>
            <w:tcBorders>
              <w:tl2br w:val="nil"/>
              <w:tr2bl w:val="nil"/>
            </w:tcBorders>
            <w:shd w:val="clear" w:color="auto" w:fill="auto"/>
            <w:vAlign w:val="center"/>
          </w:tcPr>
          <w:p w14:paraId="29630405">
            <w:pPr>
              <w:snapToGrid w:val="0"/>
              <w:spacing w:line="284" w:lineRule="exact"/>
              <w:jc w:val="center"/>
              <w:rPr>
                <w:rFonts w:eastAsia="仿宋_GB2312"/>
                <w:szCs w:val="21"/>
              </w:rPr>
            </w:pPr>
          </w:p>
        </w:tc>
        <w:tc>
          <w:tcPr>
            <w:tcW w:w="1063" w:type="pct"/>
            <w:tcBorders>
              <w:tl2br w:val="nil"/>
              <w:tr2bl w:val="nil"/>
            </w:tcBorders>
            <w:shd w:val="clear" w:color="auto" w:fill="auto"/>
            <w:vAlign w:val="center"/>
          </w:tcPr>
          <w:p w14:paraId="569DF694">
            <w:pPr>
              <w:snapToGrid w:val="0"/>
              <w:spacing w:line="284" w:lineRule="exact"/>
              <w:jc w:val="center"/>
              <w:rPr>
                <w:rFonts w:eastAsia="仿宋_GB2312"/>
                <w:szCs w:val="21"/>
              </w:rPr>
            </w:pPr>
            <w:r>
              <w:rPr>
                <w:rFonts w:hint="eastAsia" w:eastAsia="仿宋_GB2312"/>
                <w:szCs w:val="21"/>
              </w:rPr>
              <w:t>最大</w:t>
            </w:r>
            <w:r>
              <w:rPr>
                <w:rFonts w:eastAsia="仿宋_GB2312"/>
                <w:szCs w:val="21"/>
              </w:rPr>
              <w:t>排放速率（kg/h）</w:t>
            </w:r>
          </w:p>
        </w:tc>
        <w:tc>
          <w:tcPr>
            <w:tcW w:w="579" w:type="pct"/>
            <w:tcBorders>
              <w:tl2br w:val="nil"/>
              <w:tr2bl w:val="nil"/>
            </w:tcBorders>
            <w:shd w:val="clear" w:color="auto" w:fill="auto"/>
            <w:vAlign w:val="center"/>
          </w:tcPr>
          <w:p w14:paraId="05095F8A">
            <w:pPr>
              <w:snapToGrid w:val="0"/>
              <w:spacing w:line="284" w:lineRule="exact"/>
              <w:jc w:val="center"/>
              <w:rPr>
                <w:rFonts w:eastAsia="仿宋_GB2312"/>
                <w:szCs w:val="21"/>
              </w:rPr>
            </w:pPr>
            <w:r>
              <w:rPr>
                <w:rFonts w:hint="eastAsia" w:eastAsia="仿宋_GB2312"/>
                <w:szCs w:val="21"/>
              </w:rPr>
              <w:t>0.09</w:t>
            </w:r>
          </w:p>
        </w:tc>
        <w:tc>
          <w:tcPr>
            <w:tcW w:w="718" w:type="pct"/>
            <w:tcBorders>
              <w:tl2br w:val="nil"/>
              <w:tr2bl w:val="nil"/>
            </w:tcBorders>
            <w:shd w:val="clear" w:color="auto" w:fill="auto"/>
            <w:vAlign w:val="center"/>
          </w:tcPr>
          <w:p w14:paraId="53A2E774">
            <w:pPr>
              <w:snapToGrid w:val="0"/>
              <w:spacing w:line="284" w:lineRule="exact"/>
              <w:jc w:val="center"/>
              <w:rPr>
                <w:rFonts w:eastAsia="仿宋_GB2312"/>
                <w:szCs w:val="21"/>
              </w:rPr>
            </w:pPr>
            <w:r>
              <w:rPr>
                <w:rFonts w:hint="eastAsia" w:eastAsia="仿宋_GB2312"/>
                <w:szCs w:val="21"/>
              </w:rPr>
              <w:t>3</w:t>
            </w:r>
          </w:p>
        </w:tc>
        <w:tc>
          <w:tcPr>
            <w:tcW w:w="873" w:type="pct"/>
            <w:vMerge w:val="continue"/>
            <w:tcBorders>
              <w:tl2br w:val="nil"/>
              <w:tr2bl w:val="nil"/>
            </w:tcBorders>
            <w:shd w:val="clear" w:color="auto" w:fill="auto"/>
            <w:vAlign w:val="center"/>
          </w:tcPr>
          <w:p w14:paraId="2B96416E">
            <w:pPr>
              <w:snapToGrid w:val="0"/>
              <w:spacing w:line="284" w:lineRule="exact"/>
              <w:jc w:val="center"/>
              <w:rPr>
                <w:rFonts w:eastAsia="仿宋_GB2312"/>
                <w:color w:val="FF0000"/>
                <w:szCs w:val="21"/>
              </w:rPr>
            </w:pPr>
          </w:p>
        </w:tc>
      </w:tr>
      <w:tr w14:paraId="2AB973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85" w:type="pct"/>
            <w:vMerge w:val="continue"/>
            <w:tcBorders>
              <w:tl2br w:val="nil"/>
              <w:tr2bl w:val="nil"/>
            </w:tcBorders>
            <w:shd w:val="clear" w:color="auto" w:fill="auto"/>
            <w:vAlign w:val="center"/>
          </w:tcPr>
          <w:p w14:paraId="74DD7A59">
            <w:pPr>
              <w:snapToGrid w:val="0"/>
              <w:spacing w:line="284" w:lineRule="exact"/>
              <w:jc w:val="center"/>
              <w:rPr>
                <w:rFonts w:eastAsia="仿宋_GB2312"/>
                <w:szCs w:val="21"/>
              </w:rPr>
            </w:pPr>
          </w:p>
        </w:tc>
        <w:tc>
          <w:tcPr>
            <w:tcW w:w="663" w:type="pct"/>
            <w:vMerge w:val="restart"/>
            <w:tcBorders>
              <w:tl2br w:val="nil"/>
              <w:tr2bl w:val="nil"/>
            </w:tcBorders>
            <w:shd w:val="clear" w:color="auto" w:fill="auto"/>
            <w:vAlign w:val="center"/>
          </w:tcPr>
          <w:p w14:paraId="6FABAE14">
            <w:pPr>
              <w:snapToGrid w:val="0"/>
              <w:spacing w:line="284" w:lineRule="exact"/>
              <w:jc w:val="center"/>
              <w:rPr>
                <w:rFonts w:eastAsia="仿宋_GB2312"/>
                <w:szCs w:val="21"/>
              </w:rPr>
            </w:pPr>
            <w:r>
              <w:rPr>
                <w:rFonts w:hint="eastAsia" w:eastAsia="仿宋_GB2312"/>
                <w:szCs w:val="21"/>
              </w:rPr>
              <w:t>DA003</w:t>
            </w:r>
            <w:r>
              <w:rPr>
                <w:rFonts w:eastAsia="仿宋_GB2312"/>
                <w:szCs w:val="21"/>
              </w:rPr>
              <w:t>排气筒</w:t>
            </w:r>
          </w:p>
        </w:tc>
        <w:tc>
          <w:tcPr>
            <w:tcW w:w="617" w:type="pct"/>
            <w:vMerge w:val="restart"/>
            <w:tcBorders>
              <w:tl2br w:val="nil"/>
              <w:tr2bl w:val="nil"/>
            </w:tcBorders>
            <w:shd w:val="clear" w:color="auto" w:fill="auto"/>
            <w:vAlign w:val="center"/>
          </w:tcPr>
          <w:p w14:paraId="284217F3">
            <w:pPr>
              <w:snapToGrid w:val="0"/>
              <w:spacing w:line="284" w:lineRule="exact"/>
              <w:jc w:val="center"/>
              <w:rPr>
                <w:rFonts w:eastAsia="仿宋_GB2312"/>
                <w:szCs w:val="21"/>
              </w:rPr>
            </w:pPr>
            <w:r>
              <w:rPr>
                <w:rFonts w:hint="eastAsia" w:eastAsia="仿宋_GB2312"/>
                <w:szCs w:val="21"/>
              </w:rPr>
              <w:t>36074</w:t>
            </w:r>
          </w:p>
        </w:tc>
        <w:tc>
          <w:tcPr>
            <w:tcW w:w="1063" w:type="pct"/>
            <w:tcBorders>
              <w:tl2br w:val="nil"/>
              <w:tr2bl w:val="nil"/>
            </w:tcBorders>
            <w:shd w:val="clear" w:color="auto" w:fill="auto"/>
            <w:vAlign w:val="center"/>
          </w:tcPr>
          <w:p w14:paraId="0A9D814C">
            <w:pPr>
              <w:snapToGrid w:val="0"/>
              <w:spacing w:line="284" w:lineRule="exact"/>
              <w:jc w:val="center"/>
              <w:rPr>
                <w:rFonts w:eastAsia="仿宋_GB2312"/>
                <w:szCs w:val="21"/>
              </w:rPr>
            </w:pPr>
            <w:r>
              <w:rPr>
                <w:rFonts w:hint="eastAsia" w:eastAsia="仿宋_GB2312"/>
                <w:szCs w:val="21"/>
              </w:rPr>
              <w:t>最大</w:t>
            </w:r>
            <w:r>
              <w:rPr>
                <w:rFonts w:eastAsia="仿宋_GB2312"/>
                <w:szCs w:val="21"/>
              </w:rPr>
              <w:t>排放浓度（mg/m</w:t>
            </w:r>
            <w:r>
              <w:rPr>
                <w:rFonts w:eastAsia="仿宋_GB2312"/>
                <w:szCs w:val="21"/>
                <w:vertAlign w:val="superscript"/>
              </w:rPr>
              <w:t>3</w:t>
            </w:r>
            <w:r>
              <w:rPr>
                <w:rFonts w:eastAsia="仿宋_GB2312"/>
                <w:szCs w:val="21"/>
              </w:rPr>
              <w:t>）</w:t>
            </w:r>
          </w:p>
        </w:tc>
        <w:tc>
          <w:tcPr>
            <w:tcW w:w="579" w:type="pct"/>
            <w:tcBorders>
              <w:tl2br w:val="nil"/>
              <w:tr2bl w:val="nil"/>
            </w:tcBorders>
            <w:shd w:val="clear" w:color="auto" w:fill="auto"/>
            <w:vAlign w:val="center"/>
          </w:tcPr>
          <w:p w14:paraId="5776070A">
            <w:pPr>
              <w:snapToGrid w:val="0"/>
              <w:spacing w:line="284" w:lineRule="exact"/>
              <w:jc w:val="center"/>
              <w:rPr>
                <w:rFonts w:eastAsia="仿宋_GB2312"/>
                <w:szCs w:val="21"/>
              </w:rPr>
            </w:pPr>
            <w:r>
              <w:rPr>
                <w:rFonts w:hint="eastAsia" w:eastAsia="仿宋_GB2312"/>
                <w:szCs w:val="21"/>
              </w:rPr>
              <w:t>38.62</w:t>
            </w:r>
          </w:p>
        </w:tc>
        <w:tc>
          <w:tcPr>
            <w:tcW w:w="718" w:type="pct"/>
            <w:tcBorders>
              <w:tl2br w:val="nil"/>
              <w:tr2bl w:val="nil"/>
            </w:tcBorders>
            <w:shd w:val="clear" w:color="auto" w:fill="auto"/>
            <w:vAlign w:val="center"/>
          </w:tcPr>
          <w:p w14:paraId="65F900F1">
            <w:pPr>
              <w:snapToGrid w:val="0"/>
              <w:spacing w:line="284" w:lineRule="exact"/>
              <w:jc w:val="center"/>
              <w:rPr>
                <w:rFonts w:eastAsia="仿宋_GB2312"/>
                <w:szCs w:val="21"/>
              </w:rPr>
            </w:pPr>
            <w:r>
              <w:rPr>
                <w:rFonts w:hint="eastAsia" w:eastAsia="仿宋_GB2312"/>
                <w:szCs w:val="21"/>
              </w:rPr>
              <w:t>60</w:t>
            </w:r>
          </w:p>
        </w:tc>
        <w:tc>
          <w:tcPr>
            <w:tcW w:w="873" w:type="pct"/>
            <w:vMerge w:val="continue"/>
            <w:tcBorders>
              <w:tl2br w:val="nil"/>
              <w:tr2bl w:val="nil"/>
            </w:tcBorders>
            <w:shd w:val="clear" w:color="auto" w:fill="auto"/>
            <w:vAlign w:val="center"/>
          </w:tcPr>
          <w:p w14:paraId="1CA6167D">
            <w:pPr>
              <w:snapToGrid w:val="0"/>
              <w:spacing w:line="284" w:lineRule="exact"/>
              <w:jc w:val="center"/>
              <w:rPr>
                <w:rFonts w:eastAsia="仿宋_GB2312"/>
                <w:color w:val="FF0000"/>
                <w:szCs w:val="21"/>
              </w:rPr>
            </w:pPr>
          </w:p>
        </w:tc>
      </w:tr>
      <w:tr w14:paraId="54E9A8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85" w:type="pct"/>
            <w:vMerge w:val="continue"/>
            <w:tcBorders>
              <w:tl2br w:val="nil"/>
              <w:tr2bl w:val="nil"/>
            </w:tcBorders>
            <w:shd w:val="clear" w:color="auto" w:fill="auto"/>
            <w:vAlign w:val="center"/>
          </w:tcPr>
          <w:p w14:paraId="278A4704">
            <w:pPr>
              <w:snapToGrid w:val="0"/>
              <w:spacing w:line="284" w:lineRule="exact"/>
              <w:jc w:val="center"/>
              <w:rPr>
                <w:rFonts w:eastAsia="仿宋_GB2312"/>
                <w:szCs w:val="21"/>
              </w:rPr>
            </w:pPr>
          </w:p>
        </w:tc>
        <w:tc>
          <w:tcPr>
            <w:tcW w:w="663" w:type="pct"/>
            <w:vMerge w:val="continue"/>
            <w:tcBorders>
              <w:tl2br w:val="nil"/>
              <w:tr2bl w:val="nil"/>
            </w:tcBorders>
            <w:shd w:val="clear" w:color="auto" w:fill="auto"/>
            <w:vAlign w:val="center"/>
          </w:tcPr>
          <w:p w14:paraId="7ED334B3">
            <w:pPr>
              <w:snapToGrid w:val="0"/>
              <w:spacing w:line="284" w:lineRule="exact"/>
              <w:jc w:val="center"/>
              <w:rPr>
                <w:rFonts w:eastAsia="仿宋_GB2312"/>
                <w:szCs w:val="21"/>
              </w:rPr>
            </w:pPr>
          </w:p>
        </w:tc>
        <w:tc>
          <w:tcPr>
            <w:tcW w:w="617" w:type="pct"/>
            <w:vMerge w:val="continue"/>
            <w:tcBorders>
              <w:tl2br w:val="nil"/>
              <w:tr2bl w:val="nil"/>
            </w:tcBorders>
            <w:shd w:val="clear" w:color="auto" w:fill="auto"/>
            <w:vAlign w:val="center"/>
          </w:tcPr>
          <w:p w14:paraId="0799A57A">
            <w:pPr>
              <w:snapToGrid w:val="0"/>
              <w:spacing w:line="284" w:lineRule="exact"/>
              <w:jc w:val="center"/>
              <w:rPr>
                <w:rFonts w:eastAsia="仿宋_GB2312"/>
                <w:color w:val="FF0000"/>
                <w:szCs w:val="21"/>
              </w:rPr>
            </w:pPr>
          </w:p>
        </w:tc>
        <w:tc>
          <w:tcPr>
            <w:tcW w:w="1063" w:type="pct"/>
            <w:tcBorders>
              <w:tl2br w:val="nil"/>
              <w:tr2bl w:val="nil"/>
            </w:tcBorders>
            <w:shd w:val="clear" w:color="auto" w:fill="auto"/>
            <w:vAlign w:val="center"/>
          </w:tcPr>
          <w:p w14:paraId="2C6DE2E8">
            <w:pPr>
              <w:snapToGrid w:val="0"/>
              <w:spacing w:line="284" w:lineRule="exact"/>
              <w:jc w:val="center"/>
              <w:rPr>
                <w:rFonts w:eastAsia="仿宋_GB2312"/>
                <w:szCs w:val="21"/>
              </w:rPr>
            </w:pPr>
            <w:r>
              <w:rPr>
                <w:rFonts w:hint="eastAsia" w:eastAsia="仿宋_GB2312"/>
                <w:szCs w:val="21"/>
              </w:rPr>
              <w:t>最大</w:t>
            </w:r>
            <w:r>
              <w:rPr>
                <w:rFonts w:eastAsia="仿宋_GB2312"/>
                <w:szCs w:val="21"/>
              </w:rPr>
              <w:t>排放速率（kg/h）</w:t>
            </w:r>
          </w:p>
        </w:tc>
        <w:tc>
          <w:tcPr>
            <w:tcW w:w="579" w:type="pct"/>
            <w:tcBorders>
              <w:tl2br w:val="nil"/>
              <w:tr2bl w:val="nil"/>
            </w:tcBorders>
            <w:shd w:val="clear" w:color="auto" w:fill="auto"/>
            <w:vAlign w:val="center"/>
          </w:tcPr>
          <w:p w14:paraId="0EA6B0DB">
            <w:pPr>
              <w:snapToGrid w:val="0"/>
              <w:spacing w:line="284" w:lineRule="exact"/>
              <w:jc w:val="center"/>
              <w:rPr>
                <w:rFonts w:eastAsia="仿宋_GB2312"/>
                <w:szCs w:val="21"/>
              </w:rPr>
            </w:pPr>
            <w:r>
              <w:rPr>
                <w:rFonts w:hint="eastAsia" w:eastAsia="仿宋_GB2312"/>
                <w:szCs w:val="21"/>
              </w:rPr>
              <w:t>1.39</w:t>
            </w:r>
          </w:p>
        </w:tc>
        <w:tc>
          <w:tcPr>
            <w:tcW w:w="718" w:type="pct"/>
            <w:tcBorders>
              <w:tl2br w:val="nil"/>
              <w:tr2bl w:val="nil"/>
            </w:tcBorders>
            <w:shd w:val="clear" w:color="auto" w:fill="auto"/>
            <w:vAlign w:val="center"/>
          </w:tcPr>
          <w:p w14:paraId="2BDB7B7B">
            <w:pPr>
              <w:snapToGrid w:val="0"/>
              <w:spacing w:line="284" w:lineRule="exact"/>
              <w:jc w:val="center"/>
              <w:rPr>
                <w:rFonts w:eastAsia="仿宋_GB2312"/>
                <w:szCs w:val="21"/>
              </w:rPr>
            </w:pPr>
            <w:r>
              <w:rPr>
                <w:rFonts w:hint="eastAsia" w:eastAsia="仿宋_GB2312"/>
                <w:szCs w:val="21"/>
              </w:rPr>
              <w:t>3</w:t>
            </w:r>
          </w:p>
        </w:tc>
        <w:tc>
          <w:tcPr>
            <w:tcW w:w="873" w:type="pct"/>
            <w:vMerge w:val="continue"/>
            <w:tcBorders>
              <w:tl2br w:val="nil"/>
              <w:tr2bl w:val="nil"/>
            </w:tcBorders>
            <w:shd w:val="clear" w:color="auto" w:fill="auto"/>
            <w:vAlign w:val="center"/>
          </w:tcPr>
          <w:p w14:paraId="1E1CE0D2">
            <w:pPr>
              <w:snapToGrid w:val="0"/>
              <w:spacing w:line="284" w:lineRule="exact"/>
              <w:jc w:val="center"/>
              <w:rPr>
                <w:rFonts w:eastAsia="仿宋_GB2312"/>
                <w:color w:val="FF0000"/>
                <w:szCs w:val="21"/>
              </w:rPr>
            </w:pPr>
          </w:p>
        </w:tc>
      </w:tr>
      <w:tr w14:paraId="4155BD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85" w:type="pct"/>
            <w:vMerge w:val="continue"/>
            <w:tcBorders>
              <w:tl2br w:val="nil"/>
              <w:tr2bl w:val="nil"/>
            </w:tcBorders>
            <w:shd w:val="clear" w:color="auto" w:fill="auto"/>
            <w:vAlign w:val="center"/>
          </w:tcPr>
          <w:p w14:paraId="22F37E37">
            <w:pPr>
              <w:snapToGrid w:val="0"/>
              <w:spacing w:line="284" w:lineRule="exact"/>
              <w:jc w:val="center"/>
              <w:rPr>
                <w:rFonts w:eastAsia="仿宋_GB2312"/>
                <w:szCs w:val="21"/>
              </w:rPr>
            </w:pPr>
          </w:p>
        </w:tc>
        <w:tc>
          <w:tcPr>
            <w:tcW w:w="663" w:type="pct"/>
            <w:vMerge w:val="restart"/>
            <w:tcBorders>
              <w:tl2br w:val="nil"/>
              <w:tr2bl w:val="nil"/>
            </w:tcBorders>
            <w:shd w:val="clear" w:color="auto" w:fill="auto"/>
            <w:vAlign w:val="center"/>
          </w:tcPr>
          <w:p w14:paraId="723DD3C7">
            <w:pPr>
              <w:snapToGrid w:val="0"/>
              <w:spacing w:line="284" w:lineRule="exact"/>
              <w:jc w:val="center"/>
              <w:rPr>
                <w:rFonts w:eastAsia="仿宋_GB2312"/>
                <w:szCs w:val="21"/>
              </w:rPr>
            </w:pPr>
            <w:r>
              <w:rPr>
                <w:rFonts w:hint="eastAsia" w:eastAsia="仿宋_GB2312"/>
                <w:szCs w:val="21"/>
              </w:rPr>
              <w:t>DA004</w:t>
            </w:r>
            <w:r>
              <w:rPr>
                <w:rFonts w:eastAsia="仿宋_GB2312"/>
                <w:szCs w:val="21"/>
              </w:rPr>
              <w:t>排气筒</w:t>
            </w:r>
          </w:p>
        </w:tc>
        <w:tc>
          <w:tcPr>
            <w:tcW w:w="617" w:type="pct"/>
            <w:vMerge w:val="restart"/>
            <w:tcBorders>
              <w:tl2br w:val="nil"/>
              <w:tr2bl w:val="nil"/>
            </w:tcBorders>
            <w:shd w:val="clear" w:color="auto" w:fill="auto"/>
            <w:vAlign w:val="center"/>
          </w:tcPr>
          <w:p w14:paraId="48F2644A">
            <w:pPr>
              <w:snapToGrid w:val="0"/>
              <w:spacing w:line="284" w:lineRule="exact"/>
              <w:jc w:val="center"/>
              <w:rPr>
                <w:rFonts w:eastAsia="仿宋_GB2312"/>
                <w:szCs w:val="21"/>
              </w:rPr>
            </w:pPr>
            <w:r>
              <w:rPr>
                <w:rFonts w:eastAsia="仿宋_GB2312"/>
                <w:szCs w:val="21"/>
              </w:rPr>
              <w:t>3</w:t>
            </w:r>
            <w:r>
              <w:rPr>
                <w:rFonts w:hint="eastAsia" w:eastAsia="仿宋_GB2312"/>
                <w:szCs w:val="21"/>
              </w:rPr>
              <w:t>6732</w:t>
            </w:r>
          </w:p>
        </w:tc>
        <w:tc>
          <w:tcPr>
            <w:tcW w:w="1063" w:type="pct"/>
            <w:tcBorders>
              <w:tl2br w:val="nil"/>
              <w:tr2bl w:val="nil"/>
            </w:tcBorders>
            <w:shd w:val="clear" w:color="auto" w:fill="auto"/>
            <w:vAlign w:val="center"/>
          </w:tcPr>
          <w:p w14:paraId="15FE5369">
            <w:pPr>
              <w:snapToGrid w:val="0"/>
              <w:spacing w:line="284" w:lineRule="exact"/>
              <w:jc w:val="center"/>
              <w:rPr>
                <w:rFonts w:eastAsia="仿宋_GB2312"/>
                <w:szCs w:val="21"/>
              </w:rPr>
            </w:pPr>
            <w:r>
              <w:rPr>
                <w:rFonts w:hint="eastAsia" w:eastAsia="仿宋_GB2312"/>
                <w:szCs w:val="21"/>
              </w:rPr>
              <w:t>最大</w:t>
            </w:r>
            <w:r>
              <w:rPr>
                <w:rFonts w:eastAsia="仿宋_GB2312"/>
                <w:szCs w:val="21"/>
              </w:rPr>
              <w:t>排放浓度（mg/m</w:t>
            </w:r>
            <w:r>
              <w:rPr>
                <w:rFonts w:eastAsia="仿宋_GB2312"/>
                <w:szCs w:val="21"/>
                <w:vertAlign w:val="superscript"/>
              </w:rPr>
              <w:t>3</w:t>
            </w:r>
            <w:r>
              <w:rPr>
                <w:rFonts w:eastAsia="仿宋_GB2312"/>
                <w:szCs w:val="21"/>
              </w:rPr>
              <w:t>）</w:t>
            </w:r>
          </w:p>
        </w:tc>
        <w:tc>
          <w:tcPr>
            <w:tcW w:w="579" w:type="pct"/>
            <w:tcBorders>
              <w:tl2br w:val="nil"/>
              <w:tr2bl w:val="nil"/>
            </w:tcBorders>
            <w:shd w:val="clear" w:color="auto" w:fill="auto"/>
            <w:vAlign w:val="center"/>
          </w:tcPr>
          <w:p w14:paraId="58D2A588">
            <w:pPr>
              <w:snapToGrid w:val="0"/>
              <w:spacing w:line="284" w:lineRule="exact"/>
              <w:jc w:val="center"/>
              <w:rPr>
                <w:rFonts w:eastAsia="仿宋_GB2312"/>
                <w:szCs w:val="21"/>
              </w:rPr>
            </w:pPr>
            <w:r>
              <w:rPr>
                <w:rFonts w:hint="eastAsia" w:eastAsia="仿宋_GB2312"/>
                <w:szCs w:val="21"/>
              </w:rPr>
              <w:t>13.14</w:t>
            </w:r>
          </w:p>
        </w:tc>
        <w:tc>
          <w:tcPr>
            <w:tcW w:w="718" w:type="pct"/>
            <w:tcBorders>
              <w:tl2br w:val="nil"/>
              <w:tr2bl w:val="nil"/>
            </w:tcBorders>
            <w:shd w:val="clear" w:color="auto" w:fill="auto"/>
            <w:vAlign w:val="center"/>
          </w:tcPr>
          <w:p w14:paraId="242529B3">
            <w:pPr>
              <w:snapToGrid w:val="0"/>
              <w:spacing w:line="284" w:lineRule="exact"/>
              <w:jc w:val="center"/>
              <w:rPr>
                <w:rFonts w:eastAsia="仿宋_GB2312"/>
                <w:szCs w:val="21"/>
              </w:rPr>
            </w:pPr>
            <w:r>
              <w:rPr>
                <w:rFonts w:hint="eastAsia" w:eastAsia="仿宋_GB2312"/>
                <w:szCs w:val="21"/>
              </w:rPr>
              <w:t>60</w:t>
            </w:r>
          </w:p>
        </w:tc>
        <w:tc>
          <w:tcPr>
            <w:tcW w:w="873" w:type="pct"/>
            <w:vMerge w:val="continue"/>
            <w:tcBorders>
              <w:tl2br w:val="nil"/>
              <w:tr2bl w:val="nil"/>
            </w:tcBorders>
            <w:shd w:val="clear" w:color="auto" w:fill="auto"/>
            <w:vAlign w:val="center"/>
          </w:tcPr>
          <w:p w14:paraId="40BD82F5">
            <w:pPr>
              <w:snapToGrid w:val="0"/>
              <w:spacing w:line="284" w:lineRule="exact"/>
              <w:jc w:val="center"/>
              <w:rPr>
                <w:rFonts w:eastAsia="仿宋_GB2312"/>
                <w:color w:val="FF0000"/>
                <w:szCs w:val="21"/>
              </w:rPr>
            </w:pPr>
          </w:p>
        </w:tc>
      </w:tr>
      <w:tr w14:paraId="12786B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85" w:type="pct"/>
            <w:vMerge w:val="continue"/>
            <w:tcBorders>
              <w:tl2br w:val="nil"/>
              <w:tr2bl w:val="nil"/>
            </w:tcBorders>
            <w:shd w:val="clear" w:color="auto" w:fill="auto"/>
            <w:vAlign w:val="center"/>
          </w:tcPr>
          <w:p w14:paraId="1142A9F1">
            <w:pPr>
              <w:snapToGrid w:val="0"/>
              <w:spacing w:line="284" w:lineRule="exact"/>
              <w:jc w:val="center"/>
              <w:rPr>
                <w:rFonts w:eastAsia="仿宋_GB2312"/>
                <w:szCs w:val="21"/>
              </w:rPr>
            </w:pPr>
          </w:p>
        </w:tc>
        <w:tc>
          <w:tcPr>
            <w:tcW w:w="663" w:type="pct"/>
            <w:vMerge w:val="continue"/>
            <w:tcBorders>
              <w:tl2br w:val="nil"/>
              <w:tr2bl w:val="nil"/>
            </w:tcBorders>
            <w:shd w:val="clear" w:color="auto" w:fill="auto"/>
            <w:vAlign w:val="center"/>
          </w:tcPr>
          <w:p w14:paraId="457E2C96">
            <w:pPr>
              <w:snapToGrid w:val="0"/>
              <w:spacing w:line="284" w:lineRule="exact"/>
              <w:jc w:val="center"/>
              <w:rPr>
                <w:rFonts w:eastAsia="仿宋_GB2312"/>
                <w:szCs w:val="21"/>
              </w:rPr>
            </w:pPr>
          </w:p>
        </w:tc>
        <w:tc>
          <w:tcPr>
            <w:tcW w:w="617" w:type="pct"/>
            <w:vMerge w:val="continue"/>
            <w:tcBorders>
              <w:tl2br w:val="nil"/>
              <w:tr2bl w:val="nil"/>
            </w:tcBorders>
            <w:shd w:val="clear" w:color="auto" w:fill="auto"/>
            <w:vAlign w:val="center"/>
          </w:tcPr>
          <w:p w14:paraId="14814C83">
            <w:pPr>
              <w:snapToGrid w:val="0"/>
              <w:spacing w:line="284" w:lineRule="exact"/>
              <w:jc w:val="center"/>
              <w:rPr>
                <w:rFonts w:eastAsia="仿宋_GB2312"/>
                <w:color w:val="FF0000"/>
                <w:szCs w:val="21"/>
              </w:rPr>
            </w:pPr>
          </w:p>
        </w:tc>
        <w:tc>
          <w:tcPr>
            <w:tcW w:w="1063" w:type="pct"/>
            <w:tcBorders>
              <w:tl2br w:val="nil"/>
              <w:tr2bl w:val="nil"/>
            </w:tcBorders>
            <w:shd w:val="clear" w:color="auto" w:fill="auto"/>
            <w:vAlign w:val="center"/>
          </w:tcPr>
          <w:p w14:paraId="3F610526">
            <w:pPr>
              <w:snapToGrid w:val="0"/>
              <w:spacing w:line="284" w:lineRule="exact"/>
              <w:jc w:val="center"/>
              <w:rPr>
                <w:rFonts w:eastAsia="仿宋_GB2312"/>
                <w:szCs w:val="21"/>
              </w:rPr>
            </w:pPr>
            <w:r>
              <w:rPr>
                <w:rFonts w:hint="eastAsia" w:eastAsia="仿宋_GB2312"/>
                <w:szCs w:val="21"/>
              </w:rPr>
              <w:t>最大</w:t>
            </w:r>
            <w:r>
              <w:rPr>
                <w:rFonts w:eastAsia="仿宋_GB2312"/>
                <w:szCs w:val="21"/>
              </w:rPr>
              <w:t>排放速率（kg/h）</w:t>
            </w:r>
          </w:p>
        </w:tc>
        <w:tc>
          <w:tcPr>
            <w:tcW w:w="579" w:type="pct"/>
            <w:tcBorders>
              <w:tl2br w:val="nil"/>
              <w:tr2bl w:val="nil"/>
            </w:tcBorders>
            <w:shd w:val="clear" w:color="auto" w:fill="auto"/>
            <w:vAlign w:val="center"/>
          </w:tcPr>
          <w:p w14:paraId="080F4831">
            <w:pPr>
              <w:snapToGrid w:val="0"/>
              <w:spacing w:line="284" w:lineRule="exact"/>
              <w:jc w:val="center"/>
              <w:rPr>
                <w:rFonts w:eastAsia="仿宋_GB2312"/>
                <w:szCs w:val="21"/>
              </w:rPr>
            </w:pPr>
            <w:r>
              <w:rPr>
                <w:rFonts w:hint="eastAsia" w:eastAsia="仿宋_GB2312"/>
                <w:szCs w:val="21"/>
              </w:rPr>
              <w:t>0.48</w:t>
            </w:r>
          </w:p>
        </w:tc>
        <w:tc>
          <w:tcPr>
            <w:tcW w:w="718" w:type="pct"/>
            <w:tcBorders>
              <w:tl2br w:val="nil"/>
              <w:tr2bl w:val="nil"/>
            </w:tcBorders>
            <w:shd w:val="clear" w:color="auto" w:fill="auto"/>
            <w:vAlign w:val="center"/>
          </w:tcPr>
          <w:p w14:paraId="4D513AEB">
            <w:pPr>
              <w:snapToGrid w:val="0"/>
              <w:spacing w:line="284" w:lineRule="exact"/>
              <w:jc w:val="center"/>
              <w:rPr>
                <w:rFonts w:eastAsia="仿宋_GB2312"/>
                <w:szCs w:val="21"/>
              </w:rPr>
            </w:pPr>
            <w:r>
              <w:rPr>
                <w:rFonts w:hint="eastAsia" w:eastAsia="仿宋_GB2312"/>
                <w:szCs w:val="21"/>
              </w:rPr>
              <w:t>3</w:t>
            </w:r>
          </w:p>
        </w:tc>
        <w:tc>
          <w:tcPr>
            <w:tcW w:w="873" w:type="pct"/>
            <w:vMerge w:val="continue"/>
            <w:tcBorders>
              <w:tl2br w:val="nil"/>
              <w:tr2bl w:val="nil"/>
            </w:tcBorders>
            <w:shd w:val="clear" w:color="auto" w:fill="auto"/>
            <w:vAlign w:val="center"/>
          </w:tcPr>
          <w:p w14:paraId="404E2F46">
            <w:pPr>
              <w:snapToGrid w:val="0"/>
              <w:spacing w:line="284" w:lineRule="exact"/>
              <w:jc w:val="center"/>
              <w:rPr>
                <w:rFonts w:eastAsia="仿宋_GB2312"/>
                <w:color w:val="FF0000"/>
                <w:szCs w:val="21"/>
              </w:rPr>
            </w:pPr>
          </w:p>
        </w:tc>
      </w:tr>
    </w:tbl>
    <w:p w14:paraId="30BFA8AC">
      <w:pPr>
        <w:widowControl/>
        <w:spacing w:line="500" w:lineRule="exact"/>
        <w:ind w:firstLine="560" w:firstLineChars="200"/>
        <w:rPr>
          <w:rFonts w:eastAsia="仿宋_GB2312"/>
          <w:sz w:val="28"/>
          <w:szCs w:val="28"/>
        </w:rPr>
      </w:pPr>
      <w:r>
        <w:rPr>
          <w:rFonts w:eastAsia="仿宋_GB2312"/>
          <w:sz w:val="28"/>
          <w:szCs w:val="28"/>
        </w:rPr>
        <w:t>由上表3.1-4和表3.1-5可知，企业目前1#焚烧炉、2#焚烧炉在线监测污染物中颗粒物、SO</w:t>
      </w:r>
      <w:r>
        <w:rPr>
          <w:rFonts w:eastAsia="仿宋_GB2312"/>
          <w:sz w:val="28"/>
          <w:szCs w:val="28"/>
          <w:vertAlign w:val="subscript"/>
        </w:rPr>
        <w:t>2</w:t>
      </w:r>
      <w:r>
        <w:rPr>
          <w:rFonts w:eastAsia="仿宋_GB2312"/>
          <w:sz w:val="28"/>
          <w:szCs w:val="28"/>
        </w:rPr>
        <w:t>、NO</w:t>
      </w:r>
      <w:r>
        <w:rPr>
          <w:rFonts w:eastAsia="仿宋_GB2312"/>
          <w:sz w:val="28"/>
          <w:szCs w:val="28"/>
          <w:vertAlign w:val="subscript"/>
        </w:rPr>
        <w:t>x</w:t>
      </w:r>
      <w:r>
        <w:rPr>
          <w:rFonts w:eastAsia="仿宋_GB2312"/>
          <w:sz w:val="28"/>
          <w:szCs w:val="28"/>
        </w:rPr>
        <w:t>、CO、HCl排放浓度符合《危险废物焚烧污染控制标准》（GB18484-2020）排放限值要求</w:t>
      </w:r>
      <w:r>
        <w:rPr>
          <w:rFonts w:hint="eastAsia" w:eastAsia="仿宋_GB2312"/>
          <w:sz w:val="28"/>
          <w:szCs w:val="28"/>
        </w:rPr>
        <w:t>，其他</w:t>
      </w:r>
      <w:r>
        <w:rPr>
          <w:rFonts w:eastAsia="仿宋_GB2312"/>
          <w:sz w:val="28"/>
          <w:szCs w:val="28"/>
        </w:rPr>
        <w:t>各排气筒中非甲烷总烃排放浓度和速率符合《大气污染物综合排放标准》（DB324041-2021）排放限值要求。</w:t>
      </w:r>
    </w:p>
    <w:p w14:paraId="43B68C4D">
      <w:pPr>
        <w:spacing w:line="500" w:lineRule="exact"/>
        <w:ind w:firstLine="560" w:firstLineChars="200"/>
        <w:rPr>
          <w:rFonts w:eastAsia="仿宋_GB2312"/>
          <w:sz w:val="28"/>
          <w:szCs w:val="28"/>
        </w:rPr>
      </w:pPr>
      <w:r>
        <w:rPr>
          <w:rFonts w:eastAsia="仿宋_GB2312"/>
          <w:sz w:val="28"/>
          <w:szCs w:val="28"/>
        </w:rPr>
        <w:t>（3）有组织废气手工监测数据</w:t>
      </w:r>
    </w:p>
    <w:p w14:paraId="4D313A31">
      <w:pPr>
        <w:widowControl/>
        <w:spacing w:line="500" w:lineRule="exact"/>
        <w:ind w:firstLine="560" w:firstLineChars="200"/>
        <w:rPr>
          <w:rFonts w:hint="default" w:eastAsia="仿宋_GB2312"/>
          <w:sz w:val="28"/>
          <w:szCs w:val="28"/>
          <w:lang w:val="en-US" w:eastAsia="zh-CN"/>
        </w:rPr>
      </w:pPr>
      <w:r>
        <w:rPr>
          <w:rFonts w:eastAsia="仿宋_GB2312"/>
          <w:sz w:val="28"/>
          <w:szCs w:val="28"/>
        </w:rPr>
        <w:t>根据企业提供的202</w:t>
      </w:r>
      <w:r>
        <w:rPr>
          <w:rFonts w:hint="eastAsia" w:eastAsia="仿宋_GB2312"/>
          <w:sz w:val="28"/>
          <w:szCs w:val="28"/>
        </w:rPr>
        <w:t>6</w:t>
      </w:r>
      <w:r>
        <w:rPr>
          <w:rFonts w:eastAsia="仿宋_GB2312"/>
          <w:sz w:val="28"/>
          <w:szCs w:val="28"/>
        </w:rPr>
        <w:t>年5月</w:t>
      </w:r>
      <w:r>
        <w:rPr>
          <w:rFonts w:hint="eastAsia" w:eastAsia="仿宋_GB2312"/>
          <w:sz w:val="28"/>
          <w:szCs w:val="28"/>
        </w:rPr>
        <w:t>27</w:t>
      </w:r>
      <w:r>
        <w:rPr>
          <w:rFonts w:eastAsia="仿宋_GB2312"/>
          <w:sz w:val="28"/>
          <w:szCs w:val="28"/>
        </w:rPr>
        <w:t>日</w:t>
      </w:r>
      <w:r>
        <w:rPr>
          <w:rFonts w:hint="eastAsia" w:eastAsia="仿宋_GB2312"/>
          <w:sz w:val="28"/>
          <w:szCs w:val="28"/>
        </w:rPr>
        <w:t>~28日</w:t>
      </w:r>
      <w:r>
        <w:rPr>
          <w:rFonts w:eastAsia="仿宋_GB2312"/>
          <w:sz w:val="28"/>
          <w:szCs w:val="28"/>
        </w:rPr>
        <w:t>委托</w:t>
      </w:r>
      <w:r>
        <w:rPr>
          <w:rFonts w:hint="eastAsia" w:eastAsia="仿宋_GB2312"/>
          <w:sz w:val="28"/>
          <w:szCs w:val="28"/>
        </w:rPr>
        <w:t>青山绿水（江苏）检验检测有限公司</w:t>
      </w:r>
      <w:r>
        <w:rPr>
          <w:rFonts w:eastAsia="仿宋_GB2312"/>
          <w:sz w:val="28"/>
          <w:szCs w:val="28"/>
        </w:rPr>
        <w:t>出具的检测报告（</w:t>
      </w:r>
      <w:r>
        <w:rPr>
          <w:rFonts w:hint="eastAsia" w:eastAsia="仿宋_GB2312"/>
          <w:sz w:val="28"/>
          <w:szCs w:val="28"/>
        </w:rPr>
        <w:t>CQND260163002</w:t>
      </w:r>
      <w:r>
        <w:rPr>
          <w:rFonts w:eastAsia="仿宋_GB2312"/>
          <w:sz w:val="28"/>
          <w:szCs w:val="28"/>
        </w:rPr>
        <w:t>）</w:t>
      </w:r>
      <w:r>
        <w:rPr>
          <w:rFonts w:hint="eastAsia" w:eastAsia="仿宋_GB2312"/>
          <w:sz w:val="28"/>
          <w:szCs w:val="28"/>
        </w:rPr>
        <w:t>和2026年6月2日委托江苏格林勒斯检测科技有限公司</w:t>
      </w:r>
      <w:r>
        <w:rPr>
          <w:rFonts w:eastAsia="仿宋_GB2312"/>
          <w:sz w:val="28"/>
          <w:szCs w:val="28"/>
        </w:rPr>
        <w:t>出具的检测报告（</w:t>
      </w:r>
      <w:r>
        <w:rPr>
          <w:rFonts w:hint="eastAsia" w:eastAsia="仿宋_GB2312"/>
          <w:sz w:val="28"/>
          <w:szCs w:val="28"/>
        </w:rPr>
        <w:t>GE2605286301C</w:t>
      </w:r>
      <w:r>
        <w:rPr>
          <w:rFonts w:eastAsia="仿宋_GB2312"/>
          <w:sz w:val="28"/>
          <w:szCs w:val="28"/>
        </w:rPr>
        <w:t>），各排气筒达标排放情况见表3.1-</w:t>
      </w:r>
      <w:r>
        <w:rPr>
          <w:rFonts w:hint="eastAsia" w:eastAsia="仿宋_GB2312"/>
          <w:sz w:val="28"/>
          <w:szCs w:val="28"/>
        </w:rPr>
        <w:t>6</w:t>
      </w:r>
      <w:r>
        <w:rPr>
          <w:rFonts w:eastAsia="仿宋_GB2312"/>
          <w:sz w:val="28"/>
          <w:szCs w:val="28"/>
        </w:rPr>
        <w:t>。</w:t>
      </w:r>
      <w:r>
        <w:rPr>
          <w:rFonts w:hint="eastAsia" w:eastAsia="仿宋_GB2312"/>
          <w:sz w:val="28"/>
          <w:szCs w:val="28"/>
          <w:lang w:val="en-US" w:eastAsia="zh-CN"/>
        </w:rPr>
        <w:t>其中DA005号排气筒于2026年8月中旬改造完成，目前尚无监测数据。</w:t>
      </w:r>
    </w:p>
    <w:p w14:paraId="749249EE">
      <w:pPr>
        <w:spacing w:line="500" w:lineRule="exact"/>
        <w:jc w:val="center"/>
        <w:rPr>
          <w:rFonts w:eastAsia="仿宋_GB2312"/>
          <w:b/>
          <w:sz w:val="24"/>
        </w:rPr>
      </w:pPr>
      <w:r>
        <w:rPr>
          <w:rFonts w:eastAsia="仿宋_GB2312"/>
          <w:b/>
          <w:sz w:val="24"/>
        </w:rPr>
        <w:t>表3.1-</w:t>
      </w:r>
      <w:r>
        <w:rPr>
          <w:rFonts w:hint="eastAsia" w:eastAsia="仿宋_GB2312"/>
          <w:b/>
          <w:sz w:val="24"/>
        </w:rPr>
        <w:t>6</w:t>
      </w:r>
      <w:r>
        <w:rPr>
          <w:rFonts w:eastAsia="仿宋_GB2312"/>
          <w:b/>
          <w:sz w:val="24"/>
        </w:rPr>
        <w:t xml:space="preserve">  排气筒废气达标排放情况一览表</w:t>
      </w:r>
    </w:p>
    <w:tbl>
      <w:tblPr>
        <w:tblStyle w:val="88"/>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023"/>
        <w:gridCol w:w="1099"/>
        <w:gridCol w:w="2102"/>
        <w:gridCol w:w="1238"/>
        <w:gridCol w:w="1273"/>
        <w:gridCol w:w="1427"/>
        <w:gridCol w:w="2919"/>
        <w:gridCol w:w="1208"/>
        <w:gridCol w:w="1162"/>
      </w:tblGrid>
      <w:tr w14:paraId="29559E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380" w:type="pct"/>
            <w:vMerge w:val="restart"/>
            <w:tcBorders>
              <w:tl2br w:val="nil"/>
              <w:tr2bl w:val="nil"/>
            </w:tcBorders>
            <w:shd w:val="clear" w:color="auto" w:fill="auto"/>
            <w:vAlign w:val="center"/>
          </w:tcPr>
          <w:p w14:paraId="2B2B3163">
            <w:pPr>
              <w:widowControl/>
              <w:adjustRightInd w:val="0"/>
              <w:snapToGrid w:val="0"/>
              <w:spacing w:line="270" w:lineRule="exact"/>
              <w:jc w:val="center"/>
              <w:rPr>
                <w:rFonts w:eastAsia="仿宋_GB2312"/>
                <w:b/>
                <w:kern w:val="0"/>
                <w:szCs w:val="21"/>
              </w:rPr>
            </w:pPr>
            <w:r>
              <w:rPr>
                <w:rFonts w:eastAsia="仿宋_GB2312"/>
                <w:b/>
                <w:kern w:val="0"/>
                <w:szCs w:val="21"/>
              </w:rPr>
              <w:t>排气筒</w:t>
            </w:r>
          </w:p>
        </w:tc>
        <w:tc>
          <w:tcPr>
            <w:tcW w:w="408" w:type="pct"/>
            <w:vMerge w:val="restart"/>
            <w:tcBorders>
              <w:tl2br w:val="nil"/>
              <w:tr2bl w:val="nil"/>
            </w:tcBorders>
            <w:shd w:val="clear" w:color="auto" w:fill="auto"/>
            <w:vAlign w:val="center"/>
          </w:tcPr>
          <w:p w14:paraId="33127B9B">
            <w:pPr>
              <w:widowControl/>
              <w:adjustRightInd w:val="0"/>
              <w:snapToGrid w:val="0"/>
              <w:spacing w:line="270" w:lineRule="exact"/>
              <w:jc w:val="center"/>
              <w:rPr>
                <w:rFonts w:eastAsia="仿宋_GB2312"/>
                <w:b/>
                <w:kern w:val="0"/>
                <w:szCs w:val="21"/>
              </w:rPr>
            </w:pPr>
            <w:r>
              <w:rPr>
                <w:rFonts w:eastAsia="仿宋_GB2312"/>
                <w:b/>
                <w:kern w:val="0"/>
                <w:szCs w:val="21"/>
              </w:rPr>
              <w:t>采样时间</w:t>
            </w:r>
          </w:p>
        </w:tc>
        <w:tc>
          <w:tcPr>
            <w:tcW w:w="781" w:type="pct"/>
            <w:vMerge w:val="restart"/>
            <w:tcBorders>
              <w:tl2br w:val="nil"/>
              <w:tr2bl w:val="nil"/>
            </w:tcBorders>
            <w:shd w:val="clear" w:color="auto" w:fill="auto"/>
            <w:vAlign w:val="center"/>
          </w:tcPr>
          <w:p w14:paraId="671CBE93">
            <w:pPr>
              <w:widowControl/>
              <w:adjustRightInd w:val="0"/>
              <w:snapToGrid w:val="0"/>
              <w:spacing w:line="270" w:lineRule="exact"/>
              <w:jc w:val="center"/>
              <w:rPr>
                <w:rFonts w:eastAsia="仿宋_GB2312"/>
                <w:b/>
                <w:kern w:val="0"/>
                <w:szCs w:val="21"/>
              </w:rPr>
            </w:pPr>
            <w:r>
              <w:rPr>
                <w:rFonts w:eastAsia="仿宋_GB2312"/>
                <w:b/>
                <w:kern w:val="0"/>
                <w:szCs w:val="21"/>
              </w:rPr>
              <w:t>污染物名称</w:t>
            </w:r>
          </w:p>
        </w:tc>
        <w:tc>
          <w:tcPr>
            <w:tcW w:w="1463" w:type="pct"/>
            <w:gridSpan w:val="3"/>
            <w:tcBorders>
              <w:tl2br w:val="nil"/>
              <w:tr2bl w:val="nil"/>
            </w:tcBorders>
            <w:shd w:val="clear" w:color="auto" w:fill="auto"/>
            <w:vAlign w:val="center"/>
          </w:tcPr>
          <w:p w14:paraId="54C8025D">
            <w:pPr>
              <w:adjustRightInd w:val="0"/>
              <w:snapToGrid w:val="0"/>
              <w:spacing w:line="270" w:lineRule="exact"/>
              <w:jc w:val="center"/>
              <w:rPr>
                <w:rFonts w:eastAsia="仿宋_GB2312"/>
                <w:b/>
                <w:kern w:val="0"/>
                <w:szCs w:val="21"/>
              </w:rPr>
            </w:pPr>
            <w:r>
              <w:rPr>
                <w:rFonts w:eastAsia="仿宋_GB2312"/>
                <w:b/>
                <w:kern w:val="0"/>
                <w:szCs w:val="21"/>
              </w:rPr>
              <w:t>排放状况</w:t>
            </w:r>
          </w:p>
        </w:tc>
        <w:tc>
          <w:tcPr>
            <w:tcW w:w="1966" w:type="pct"/>
            <w:gridSpan w:val="3"/>
            <w:tcBorders>
              <w:tl2br w:val="nil"/>
              <w:tr2bl w:val="nil"/>
            </w:tcBorders>
            <w:shd w:val="clear" w:color="auto" w:fill="auto"/>
            <w:vAlign w:val="center"/>
          </w:tcPr>
          <w:p w14:paraId="180F9862">
            <w:pPr>
              <w:adjustRightInd w:val="0"/>
              <w:snapToGrid w:val="0"/>
              <w:spacing w:line="270" w:lineRule="exact"/>
              <w:jc w:val="center"/>
              <w:rPr>
                <w:rFonts w:eastAsia="仿宋_GB2312"/>
                <w:b/>
                <w:kern w:val="0"/>
                <w:szCs w:val="21"/>
              </w:rPr>
            </w:pPr>
            <w:r>
              <w:rPr>
                <w:rFonts w:eastAsia="仿宋_GB2312"/>
                <w:b/>
                <w:kern w:val="0"/>
                <w:szCs w:val="21"/>
              </w:rPr>
              <w:t>执行的排放标准及排放限值</w:t>
            </w:r>
          </w:p>
        </w:tc>
      </w:tr>
      <w:tr w14:paraId="51838D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380" w:type="pct"/>
            <w:vMerge w:val="continue"/>
            <w:tcBorders>
              <w:tl2br w:val="nil"/>
              <w:tr2bl w:val="nil"/>
            </w:tcBorders>
            <w:shd w:val="clear" w:color="auto" w:fill="auto"/>
            <w:vAlign w:val="center"/>
          </w:tcPr>
          <w:p w14:paraId="54C09936">
            <w:pPr>
              <w:widowControl/>
              <w:adjustRightInd w:val="0"/>
              <w:snapToGrid w:val="0"/>
              <w:spacing w:line="270" w:lineRule="exact"/>
              <w:jc w:val="center"/>
              <w:rPr>
                <w:rFonts w:eastAsia="仿宋_GB2312"/>
                <w:b/>
                <w:kern w:val="0"/>
                <w:szCs w:val="21"/>
              </w:rPr>
            </w:pPr>
          </w:p>
        </w:tc>
        <w:tc>
          <w:tcPr>
            <w:tcW w:w="408" w:type="pct"/>
            <w:vMerge w:val="continue"/>
            <w:tcBorders>
              <w:tl2br w:val="nil"/>
              <w:tr2bl w:val="nil"/>
            </w:tcBorders>
            <w:shd w:val="clear" w:color="auto" w:fill="auto"/>
            <w:vAlign w:val="center"/>
          </w:tcPr>
          <w:p w14:paraId="7BC295E3">
            <w:pPr>
              <w:widowControl/>
              <w:adjustRightInd w:val="0"/>
              <w:snapToGrid w:val="0"/>
              <w:spacing w:line="270" w:lineRule="exact"/>
              <w:jc w:val="center"/>
              <w:rPr>
                <w:rFonts w:eastAsia="仿宋_GB2312"/>
                <w:b/>
                <w:kern w:val="0"/>
                <w:szCs w:val="21"/>
              </w:rPr>
            </w:pPr>
          </w:p>
        </w:tc>
        <w:tc>
          <w:tcPr>
            <w:tcW w:w="781" w:type="pct"/>
            <w:vMerge w:val="continue"/>
            <w:tcBorders>
              <w:tl2br w:val="nil"/>
              <w:tr2bl w:val="nil"/>
            </w:tcBorders>
            <w:shd w:val="clear" w:color="auto" w:fill="auto"/>
            <w:vAlign w:val="center"/>
          </w:tcPr>
          <w:p w14:paraId="72FD2D88">
            <w:pPr>
              <w:widowControl/>
              <w:adjustRightInd w:val="0"/>
              <w:snapToGrid w:val="0"/>
              <w:spacing w:line="270" w:lineRule="exact"/>
              <w:jc w:val="center"/>
              <w:rPr>
                <w:rFonts w:eastAsia="仿宋_GB2312"/>
                <w:b/>
                <w:kern w:val="0"/>
                <w:szCs w:val="21"/>
              </w:rPr>
            </w:pPr>
          </w:p>
        </w:tc>
        <w:tc>
          <w:tcPr>
            <w:tcW w:w="460" w:type="pct"/>
            <w:tcBorders>
              <w:tl2br w:val="nil"/>
              <w:tr2bl w:val="nil"/>
            </w:tcBorders>
            <w:shd w:val="clear" w:color="auto" w:fill="auto"/>
            <w:vAlign w:val="center"/>
          </w:tcPr>
          <w:p w14:paraId="75C8B536">
            <w:pPr>
              <w:adjustRightInd w:val="0"/>
              <w:snapToGrid w:val="0"/>
              <w:spacing w:line="270" w:lineRule="exact"/>
              <w:jc w:val="center"/>
              <w:rPr>
                <w:rFonts w:eastAsia="仿宋_GB2312"/>
                <w:b/>
                <w:kern w:val="0"/>
                <w:szCs w:val="21"/>
              </w:rPr>
            </w:pPr>
            <w:r>
              <w:rPr>
                <w:rFonts w:eastAsia="仿宋_GB2312"/>
                <w:b/>
                <w:kern w:val="0"/>
                <w:szCs w:val="21"/>
              </w:rPr>
              <w:t>风量</w:t>
            </w:r>
          </w:p>
          <w:p w14:paraId="2FDCCDBB">
            <w:pPr>
              <w:adjustRightInd w:val="0"/>
              <w:snapToGrid w:val="0"/>
              <w:spacing w:line="270" w:lineRule="exact"/>
              <w:jc w:val="center"/>
              <w:rPr>
                <w:rFonts w:eastAsia="仿宋_GB2312"/>
                <w:b/>
                <w:kern w:val="0"/>
                <w:szCs w:val="21"/>
              </w:rPr>
            </w:pPr>
            <w:r>
              <w:rPr>
                <w:rFonts w:eastAsia="仿宋_GB2312"/>
                <w:b/>
                <w:kern w:val="0"/>
                <w:szCs w:val="21"/>
              </w:rPr>
              <w:t>（m</w:t>
            </w:r>
            <w:r>
              <w:rPr>
                <w:rFonts w:eastAsia="仿宋_GB2312"/>
                <w:b/>
                <w:kern w:val="0"/>
                <w:szCs w:val="21"/>
                <w:vertAlign w:val="superscript"/>
              </w:rPr>
              <w:t>3</w:t>
            </w:r>
            <w:r>
              <w:rPr>
                <w:rFonts w:eastAsia="仿宋_GB2312"/>
                <w:b/>
                <w:kern w:val="0"/>
                <w:szCs w:val="21"/>
              </w:rPr>
              <w:t>/h）</w:t>
            </w:r>
          </w:p>
        </w:tc>
        <w:tc>
          <w:tcPr>
            <w:tcW w:w="473" w:type="pct"/>
            <w:tcBorders>
              <w:tl2br w:val="nil"/>
              <w:tr2bl w:val="nil"/>
            </w:tcBorders>
            <w:shd w:val="clear" w:color="auto" w:fill="auto"/>
            <w:vAlign w:val="center"/>
          </w:tcPr>
          <w:p w14:paraId="44CD552D">
            <w:pPr>
              <w:adjustRightInd w:val="0"/>
              <w:snapToGrid w:val="0"/>
              <w:spacing w:line="270" w:lineRule="exact"/>
              <w:jc w:val="center"/>
              <w:rPr>
                <w:rFonts w:eastAsia="仿宋_GB2312"/>
                <w:b/>
                <w:kern w:val="0"/>
                <w:szCs w:val="21"/>
              </w:rPr>
            </w:pPr>
            <w:r>
              <w:rPr>
                <w:rFonts w:hint="eastAsia" w:eastAsia="仿宋_GB2312"/>
                <w:b/>
                <w:kern w:val="0"/>
                <w:szCs w:val="21"/>
              </w:rPr>
              <w:t>最大</w:t>
            </w:r>
            <w:r>
              <w:rPr>
                <w:rFonts w:eastAsia="仿宋_GB2312"/>
                <w:b/>
                <w:kern w:val="0"/>
                <w:szCs w:val="21"/>
              </w:rPr>
              <w:t>排放浓度（mg/m</w:t>
            </w:r>
            <w:r>
              <w:rPr>
                <w:rFonts w:eastAsia="仿宋_GB2312"/>
                <w:b/>
                <w:kern w:val="0"/>
                <w:szCs w:val="21"/>
                <w:vertAlign w:val="superscript"/>
              </w:rPr>
              <w:t>3</w:t>
            </w:r>
            <w:r>
              <w:rPr>
                <w:rFonts w:eastAsia="仿宋_GB2312"/>
                <w:b/>
                <w:kern w:val="0"/>
                <w:szCs w:val="21"/>
              </w:rPr>
              <w:t>）</w:t>
            </w:r>
          </w:p>
        </w:tc>
        <w:tc>
          <w:tcPr>
            <w:tcW w:w="530" w:type="pct"/>
            <w:tcBorders>
              <w:tl2br w:val="nil"/>
              <w:tr2bl w:val="nil"/>
            </w:tcBorders>
            <w:shd w:val="clear" w:color="auto" w:fill="auto"/>
            <w:vAlign w:val="center"/>
          </w:tcPr>
          <w:p w14:paraId="14497BD0">
            <w:pPr>
              <w:adjustRightInd w:val="0"/>
              <w:snapToGrid w:val="0"/>
              <w:spacing w:line="270" w:lineRule="exact"/>
              <w:jc w:val="center"/>
              <w:rPr>
                <w:rFonts w:eastAsia="仿宋_GB2312"/>
                <w:b/>
                <w:kern w:val="0"/>
                <w:szCs w:val="21"/>
              </w:rPr>
            </w:pPr>
            <w:r>
              <w:rPr>
                <w:rFonts w:hint="eastAsia" w:eastAsia="仿宋_GB2312"/>
                <w:b/>
                <w:kern w:val="0"/>
                <w:szCs w:val="21"/>
              </w:rPr>
              <w:t>最大</w:t>
            </w:r>
            <w:r>
              <w:rPr>
                <w:rFonts w:eastAsia="仿宋_GB2312"/>
                <w:b/>
                <w:kern w:val="0"/>
                <w:szCs w:val="21"/>
              </w:rPr>
              <w:t>排放速率（kg/h）</w:t>
            </w:r>
          </w:p>
        </w:tc>
        <w:tc>
          <w:tcPr>
            <w:tcW w:w="1085" w:type="pct"/>
            <w:tcBorders>
              <w:tl2br w:val="nil"/>
              <w:tr2bl w:val="nil"/>
            </w:tcBorders>
            <w:shd w:val="clear" w:color="auto" w:fill="auto"/>
            <w:vAlign w:val="center"/>
          </w:tcPr>
          <w:p w14:paraId="621F9395">
            <w:pPr>
              <w:adjustRightInd w:val="0"/>
              <w:snapToGrid w:val="0"/>
              <w:spacing w:line="270" w:lineRule="exact"/>
              <w:jc w:val="center"/>
              <w:rPr>
                <w:rFonts w:eastAsia="仿宋_GB2312"/>
                <w:b/>
                <w:kern w:val="0"/>
                <w:szCs w:val="21"/>
              </w:rPr>
            </w:pPr>
            <w:r>
              <w:rPr>
                <w:rFonts w:eastAsia="仿宋_GB2312"/>
                <w:b/>
                <w:kern w:val="0"/>
                <w:szCs w:val="21"/>
              </w:rPr>
              <w:t>标准名称</w:t>
            </w:r>
          </w:p>
        </w:tc>
        <w:tc>
          <w:tcPr>
            <w:tcW w:w="449" w:type="pct"/>
            <w:tcBorders>
              <w:tl2br w:val="nil"/>
              <w:tr2bl w:val="nil"/>
            </w:tcBorders>
            <w:shd w:val="clear" w:color="auto" w:fill="auto"/>
            <w:vAlign w:val="center"/>
          </w:tcPr>
          <w:p w14:paraId="706D9DBB">
            <w:pPr>
              <w:widowControl/>
              <w:adjustRightInd w:val="0"/>
              <w:snapToGrid w:val="0"/>
              <w:spacing w:line="270" w:lineRule="exact"/>
              <w:jc w:val="center"/>
              <w:rPr>
                <w:rFonts w:eastAsia="仿宋_GB2312"/>
                <w:b/>
                <w:kern w:val="0"/>
                <w:szCs w:val="21"/>
              </w:rPr>
            </w:pPr>
            <w:r>
              <w:rPr>
                <w:rFonts w:eastAsia="仿宋_GB2312"/>
                <w:b/>
                <w:kern w:val="0"/>
                <w:szCs w:val="21"/>
              </w:rPr>
              <w:t>浓度</w:t>
            </w:r>
          </w:p>
          <w:p w14:paraId="384910A3">
            <w:pPr>
              <w:widowControl/>
              <w:adjustRightInd w:val="0"/>
              <w:snapToGrid w:val="0"/>
              <w:spacing w:line="270" w:lineRule="exact"/>
              <w:jc w:val="center"/>
              <w:rPr>
                <w:rFonts w:eastAsia="仿宋_GB2312"/>
                <w:b/>
                <w:kern w:val="0"/>
                <w:szCs w:val="21"/>
              </w:rPr>
            </w:pPr>
            <w:r>
              <w:rPr>
                <w:rFonts w:eastAsia="仿宋_GB2312"/>
                <w:b/>
                <w:kern w:val="0"/>
                <w:szCs w:val="21"/>
              </w:rPr>
              <w:t>（mg/m</w:t>
            </w:r>
            <w:r>
              <w:rPr>
                <w:rFonts w:eastAsia="仿宋_GB2312"/>
                <w:b/>
                <w:kern w:val="0"/>
                <w:szCs w:val="21"/>
                <w:vertAlign w:val="superscript"/>
              </w:rPr>
              <w:t>3</w:t>
            </w:r>
            <w:r>
              <w:rPr>
                <w:rFonts w:eastAsia="仿宋_GB2312"/>
                <w:b/>
                <w:kern w:val="0"/>
                <w:szCs w:val="21"/>
              </w:rPr>
              <w:t>）</w:t>
            </w:r>
          </w:p>
        </w:tc>
        <w:tc>
          <w:tcPr>
            <w:tcW w:w="431" w:type="pct"/>
            <w:tcBorders>
              <w:tl2br w:val="nil"/>
              <w:tr2bl w:val="nil"/>
            </w:tcBorders>
            <w:shd w:val="clear" w:color="auto" w:fill="auto"/>
            <w:vAlign w:val="center"/>
          </w:tcPr>
          <w:p w14:paraId="661000E0">
            <w:pPr>
              <w:widowControl/>
              <w:adjustRightInd w:val="0"/>
              <w:snapToGrid w:val="0"/>
              <w:spacing w:line="270" w:lineRule="exact"/>
              <w:jc w:val="center"/>
              <w:rPr>
                <w:rFonts w:eastAsia="仿宋_GB2312"/>
                <w:b/>
                <w:kern w:val="0"/>
                <w:szCs w:val="21"/>
              </w:rPr>
            </w:pPr>
            <w:r>
              <w:rPr>
                <w:rFonts w:eastAsia="仿宋_GB2312"/>
                <w:b/>
                <w:kern w:val="0"/>
                <w:szCs w:val="21"/>
              </w:rPr>
              <w:t>速率</w:t>
            </w:r>
          </w:p>
          <w:p w14:paraId="0EFE6C0B">
            <w:pPr>
              <w:widowControl/>
              <w:adjustRightInd w:val="0"/>
              <w:snapToGrid w:val="0"/>
              <w:spacing w:line="270" w:lineRule="exact"/>
              <w:jc w:val="center"/>
              <w:rPr>
                <w:rFonts w:eastAsia="仿宋_GB2312"/>
                <w:b/>
                <w:kern w:val="0"/>
                <w:szCs w:val="21"/>
              </w:rPr>
            </w:pPr>
            <w:r>
              <w:rPr>
                <w:rFonts w:eastAsia="仿宋_GB2312"/>
                <w:b/>
                <w:kern w:val="0"/>
                <w:szCs w:val="21"/>
              </w:rPr>
              <w:t>（kg/h）</w:t>
            </w:r>
          </w:p>
        </w:tc>
      </w:tr>
      <w:tr w14:paraId="255281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380" w:type="pct"/>
            <w:vMerge w:val="restart"/>
            <w:tcBorders>
              <w:tl2br w:val="nil"/>
              <w:tr2bl w:val="nil"/>
            </w:tcBorders>
            <w:shd w:val="clear" w:color="auto" w:fill="auto"/>
            <w:vAlign w:val="center"/>
          </w:tcPr>
          <w:p w14:paraId="3ECDE2DB">
            <w:pPr>
              <w:widowControl/>
              <w:adjustRightInd w:val="0"/>
              <w:snapToGrid w:val="0"/>
              <w:spacing w:line="270" w:lineRule="exact"/>
              <w:jc w:val="center"/>
              <w:rPr>
                <w:rFonts w:eastAsia="仿宋_GB2312"/>
                <w:b/>
                <w:kern w:val="0"/>
                <w:szCs w:val="21"/>
              </w:rPr>
            </w:pPr>
            <w:r>
              <w:rPr>
                <w:rFonts w:hint="eastAsia" w:eastAsia="仿宋_GB2312"/>
                <w:bCs/>
                <w:kern w:val="0"/>
                <w:szCs w:val="21"/>
              </w:rPr>
              <w:t>DA001</w:t>
            </w:r>
          </w:p>
        </w:tc>
        <w:tc>
          <w:tcPr>
            <w:tcW w:w="408" w:type="pct"/>
            <w:vMerge w:val="restart"/>
            <w:tcBorders>
              <w:tl2br w:val="nil"/>
              <w:tr2bl w:val="nil"/>
            </w:tcBorders>
            <w:shd w:val="clear" w:color="auto" w:fill="auto"/>
            <w:vAlign w:val="center"/>
          </w:tcPr>
          <w:p w14:paraId="7B84BDE7">
            <w:pPr>
              <w:widowControl/>
              <w:adjustRightInd w:val="0"/>
              <w:snapToGrid w:val="0"/>
              <w:spacing w:line="270" w:lineRule="exact"/>
              <w:jc w:val="center"/>
              <w:rPr>
                <w:rFonts w:eastAsia="仿宋_GB2312"/>
                <w:bCs/>
                <w:kern w:val="0"/>
                <w:szCs w:val="21"/>
              </w:rPr>
            </w:pPr>
            <w:r>
              <w:rPr>
                <w:rFonts w:hint="eastAsia" w:eastAsia="仿宋_GB2312"/>
                <w:bCs/>
                <w:kern w:val="0"/>
                <w:szCs w:val="21"/>
              </w:rPr>
              <w:t>2026.5.28</w:t>
            </w:r>
          </w:p>
        </w:tc>
        <w:tc>
          <w:tcPr>
            <w:tcW w:w="781" w:type="pct"/>
            <w:tcBorders>
              <w:tl2br w:val="nil"/>
              <w:tr2bl w:val="nil"/>
            </w:tcBorders>
            <w:shd w:val="clear" w:color="auto" w:fill="auto"/>
            <w:vAlign w:val="center"/>
          </w:tcPr>
          <w:p w14:paraId="2E7638A9">
            <w:pPr>
              <w:snapToGrid w:val="0"/>
              <w:spacing w:line="284" w:lineRule="exact"/>
              <w:jc w:val="center"/>
              <w:rPr>
                <w:rFonts w:eastAsia="仿宋_GB2312"/>
                <w:szCs w:val="21"/>
              </w:rPr>
            </w:pPr>
            <w:r>
              <w:rPr>
                <w:rFonts w:eastAsia="仿宋_GB2312"/>
                <w:szCs w:val="21"/>
              </w:rPr>
              <w:t>硫化氢</w:t>
            </w:r>
          </w:p>
        </w:tc>
        <w:tc>
          <w:tcPr>
            <w:tcW w:w="460" w:type="pct"/>
            <w:vMerge w:val="restart"/>
            <w:tcBorders>
              <w:tl2br w:val="nil"/>
              <w:tr2bl w:val="nil"/>
            </w:tcBorders>
            <w:shd w:val="clear" w:color="auto" w:fill="auto"/>
            <w:vAlign w:val="center"/>
          </w:tcPr>
          <w:p w14:paraId="08687B0C">
            <w:pPr>
              <w:adjustRightInd w:val="0"/>
              <w:snapToGrid w:val="0"/>
              <w:spacing w:line="270" w:lineRule="exact"/>
              <w:jc w:val="center"/>
              <w:rPr>
                <w:rFonts w:eastAsia="仿宋_GB2312"/>
                <w:bCs/>
                <w:kern w:val="0"/>
                <w:szCs w:val="21"/>
              </w:rPr>
            </w:pPr>
            <w:r>
              <w:rPr>
                <w:rFonts w:hint="eastAsia" w:eastAsia="仿宋_GB2312"/>
                <w:bCs/>
                <w:kern w:val="0"/>
                <w:szCs w:val="21"/>
              </w:rPr>
              <w:t>94680</w:t>
            </w:r>
          </w:p>
        </w:tc>
        <w:tc>
          <w:tcPr>
            <w:tcW w:w="473" w:type="pct"/>
            <w:tcBorders>
              <w:tl2br w:val="nil"/>
              <w:tr2bl w:val="nil"/>
            </w:tcBorders>
            <w:shd w:val="clear" w:color="auto" w:fill="auto"/>
            <w:vAlign w:val="center"/>
          </w:tcPr>
          <w:p w14:paraId="2B45320F">
            <w:pPr>
              <w:adjustRightInd w:val="0"/>
              <w:snapToGrid w:val="0"/>
              <w:spacing w:line="270" w:lineRule="exact"/>
              <w:jc w:val="center"/>
              <w:rPr>
                <w:rFonts w:eastAsia="仿宋_GB2312"/>
                <w:bCs/>
                <w:kern w:val="0"/>
                <w:szCs w:val="21"/>
              </w:rPr>
            </w:pPr>
            <w:r>
              <w:rPr>
                <w:rFonts w:hint="eastAsia" w:eastAsia="仿宋_GB2312"/>
                <w:bCs/>
                <w:kern w:val="0"/>
                <w:szCs w:val="21"/>
              </w:rPr>
              <w:t>ND</w:t>
            </w:r>
          </w:p>
        </w:tc>
        <w:tc>
          <w:tcPr>
            <w:tcW w:w="530" w:type="pct"/>
            <w:tcBorders>
              <w:tl2br w:val="nil"/>
              <w:tr2bl w:val="nil"/>
            </w:tcBorders>
            <w:shd w:val="clear" w:color="auto" w:fill="auto"/>
            <w:vAlign w:val="center"/>
          </w:tcPr>
          <w:p w14:paraId="189E33DB">
            <w:pPr>
              <w:adjustRightInd w:val="0"/>
              <w:snapToGrid w:val="0"/>
              <w:spacing w:line="270" w:lineRule="exact"/>
              <w:jc w:val="center"/>
              <w:rPr>
                <w:rFonts w:eastAsia="仿宋_GB2312"/>
                <w:b/>
                <w:kern w:val="0"/>
                <w:szCs w:val="21"/>
              </w:rPr>
            </w:pPr>
            <w:r>
              <w:rPr>
                <w:rFonts w:hint="eastAsia" w:eastAsia="仿宋_GB2312"/>
                <w:b/>
                <w:kern w:val="0"/>
                <w:szCs w:val="21"/>
              </w:rPr>
              <w:t>/</w:t>
            </w:r>
          </w:p>
        </w:tc>
        <w:tc>
          <w:tcPr>
            <w:tcW w:w="1085" w:type="pct"/>
            <w:vMerge w:val="restart"/>
            <w:tcBorders>
              <w:tl2br w:val="nil"/>
              <w:tr2bl w:val="nil"/>
            </w:tcBorders>
            <w:shd w:val="clear" w:color="auto" w:fill="auto"/>
            <w:vAlign w:val="center"/>
          </w:tcPr>
          <w:p w14:paraId="08381A33">
            <w:pPr>
              <w:snapToGrid w:val="0"/>
              <w:spacing w:line="284" w:lineRule="exact"/>
              <w:jc w:val="center"/>
              <w:rPr>
                <w:rFonts w:eastAsia="仿宋_GB2312"/>
                <w:szCs w:val="21"/>
              </w:rPr>
            </w:pPr>
            <w:r>
              <w:rPr>
                <w:rFonts w:eastAsia="仿宋_GB2312"/>
                <w:szCs w:val="21"/>
              </w:rPr>
              <w:t>《恶臭污染物排放标准》</w:t>
            </w:r>
          </w:p>
          <w:p w14:paraId="6B51CE7F">
            <w:pPr>
              <w:adjustRightInd w:val="0"/>
              <w:snapToGrid w:val="0"/>
              <w:spacing w:line="270" w:lineRule="exact"/>
              <w:jc w:val="center"/>
              <w:rPr>
                <w:rFonts w:eastAsia="仿宋_GB2312"/>
                <w:b/>
                <w:kern w:val="0"/>
                <w:szCs w:val="21"/>
              </w:rPr>
            </w:pPr>
            <w:r>
              <w:rPr>
                <w:rFonts w:eastAsia="仿宋_GB2312"/>
                <w:szCs w:val="21"/>
              </w:rPr>
              <w:t>（GB14554-93）</w:t>
            </w:r>
          </w:p>
        </w:tc>
        <w:tc>
          <w:tcPr>
            <w:tcW w:w="449" w:type="pct"/>
            <w:tcBorders>
              <w:tl2br w:val="nil"/>
              <w:tr2bl w:val="nil"/>
            </w:tcBorders>
            <w:shd w:val="clear" w:color="auto" w:fill="auto"/>
            <w:vAlign w:val="center"/>
          </w:tcPr>
          <w:p w14:paraId="3C6BD247">
            <w:pPr>
              <w:snapToGrid w:val="0"/>
              <w:spacing w:line="284" w:lineRule="exact"/>
              <w:jc w:val="center"/>
              <w:rPr>
                <w:rFonts w:eastAsia="仿宋_GB2312"/>
                <w:szCs w:val="21"/>
              </w:rPr>
            </w:pPr>
            <w:r>
              <w:rPr>
                <w:rFonts w:eastAsia="仿宋_GB2312"/>
                <w:szCs w:val="21"/>
              </w:rPr>
              <w:t>/</w:t>
            </w:r>
          </w:p>
        </w:tc>
        <w:tc>
          <w:tcPr>
            <w:tcW w:w="431" w:type="pct"/>
            <w:tcBorders>
              <w:tl2br w:val="nil"/>
              <w:tr2bl w:val="nil"/>
            </w:tcBorders>
            <w:shd w:val="clear" w:color="auto" w:fill="auto"/>
            <w:vAlign w:val="center"/>
          </w:tcPr>
          <w:p w14:paraId="0F6EB640">
            <w:pPr>
              <w:snapToGrid w:val="0"/>
              <w:spacing w:line="284" w:lineRule="exact"/>
              <w:jc w:val="center"/>
              <w:rPr>
                <w:rFonts w:eastAsia="仿宋_GB2312"/>
                <w:szCs w:val="21"/>
              </w:rPr>
            </w:pPr>
            <w:r>
              <w:rPr>
                <w:rFonts w:eastAsia="仿宋_GB2312"/>
                <w:szCs w:val="21"/>
              </w:rPr>
              <w:t>0.58</w:t>
            </w:r>
          </w:p>
        </w:tc>
      </w:tr>
      <w:tr w14:paraId="38ACE2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380" w:type="pct"/>
            <w:vMerge w:val="continue"/>
            <w:tcBorders>
              <w:tl2br w:val="nil"/>
              <w:tr2bl w:val="nil"/>
            </w:tcBorders>
            <w:shd w:val="clear" w:color="auto" w:fill="auto"/>
            <w:vAlign w:val="center"/>
          </w:tcPr>
          <w:p w14:paraId="693FEE6F">
            <w:pPr>
              <w:widowControl/>
              <w:adjustRightInd w:val="0"/>
              <w:snapToGrid w:val="0"/>
              <w:spacing w:line="270" w:lineRule="exact"/>
              <w:jc w:val="center"/>
              <w:rPr>
                <w:rFonts w:eastAsia="仿宋_GB2312"/>
                <w:b/>
                <w:kern w:val="0"/>
                <w:szCs w:val="21"/>
              </w:rPr>
            </w:pPr>
          </w:p>
        </w:tc>
        <w:tc>
          <w:tcPr>
            <w:tcW w:w="408" w:type="pct"/>
            <w:vMerge w:val="continue"/>
            <w:tcBorders>
              <w:tl2br w:val="nil"/>
              <w:tr2bl w:val="nil"/>
            </w:tcBorders>
            <w:shd w:val="clear" w:color="auto" w:fill="auto"/>
            <w:vAlign w:val="center"/>
          </w:tcPr>
          <w:p w14:paraId="54AB02B9">
            <w:pPr>
              <w:widowControl/>
              <w:adjustRightInd w:val="0"/>
              <w:snapToGrid w:val="0"/>
              <w:spacing w:line="270" w:lineRule="exact"/>
              <w:jc w:val="center"/>
              <w:rPr>
                <w:rFonts w:eastAsia="仿宋_GB2312"/>
                <w:bCs/>
                <w:kern w:val="0"/>
                <w:szCs w:val="21"/>
              </w:rPr>
            </w:pPr>
          </w:p>
        </w:tc>
        <w:tc>
          <w:tcPr>
            <w:tcW w:w="781" w:type="pct"/>
            <w:tcBorders>
              <w:tl2br w:val="nil"/>
              <w:tr2bl w:val="nil"/>
            </w:tcBorders>
            <w:shd w:val="clear" w:color="auto" w:fill="auto"/>
            <w:vAlign w:val="center"/>
          </w:tcPr>
          <w:p w14:paraId="3F944A59">
            <w:pPr>
              <w:snapToGrid w:val="0"/>
              <w:spacing w:line="284" w:lineRule="exact"/>
              <w:jc w:val="center"/>
              <w:rPr>
                <w:rFonts w:eastAsia="仿宋_GB2312"/>
                <w:szCs w:val="21"/>
              </w:rPr>
            </w:pPr>
            <w:r>
              <w:rPr>
                <w:rFonts w:eastAsia="仿宋_GB2312"/>
                <w:szCs w:val="21"/>
              </w:rPr>
              <w:t>氨</w:t>
            </w:r>
          </w:p>
        </w:tc>
        <w:tc>
          <w:tcPr>
            <w:tcW w:w="460" w:type="pct"/>
            <w:vMerge w:val="continue"/>
            <w:tcBorders>
              <w:tl2br w:val="nil"/>
              <w:tr2bl w:val="nil"/>
            </w:tcBorders>
            <w:shd w:val="clear" w:color="auto" w:fill="auto"/>
            <w:vAlign w:val="center"/>
          </w:tcPr>
          <w:p w14:paraId="36F51BB0">
            <w:pPr>
              <w:adjustRightInd w:val="0"/>
              <w:snapToGrid w:val="0"/>
              <w:spacing w:line="270" w:lineRule="exact"/>
              <w:jc w:val="center"/>
              <w:rPr>
                <w:rFonts w:eastAsia="仿宋_GB2312"/>
                <w:bCs/>
                <w:kern w:val="0"/>
                <w:szCs w:val="21"/>
              </w:rPr>
            </w:pPr>
          </w:p>
        </w:tc>
        <w:tc>
          <w:tcPr>
            <w:tcW w:w="473" w:type="pct"/>
            <w:tcBorders>
              <w:tl2br w:val="nil"/>
              <w:tr2bl w:val="nil"/>
            </w:tcBorders>
            <w:shd w:val="clear" w:color="auto" w:fill="auto"/>
            <w:vAlign w:val="center"/>
          </w:tcPr>
          <w:p w14:paraId="7434033B">
            <w:pPr>
              <w:adjustRightInd w:val="0"/>
              <w:snapToGrid w:val="0"/>
              <w:spacing w:line="270" w:lineRule="exact"/>
              <w:jc w:val="center"/>
              <w:rPr>
                <w:rFonts w:eastAsia="仿宋_GB2312"/>
                <w:bCs/>
                <w:kern w:val="0"/>
                <w:szCs w:val="21"/>
              </w:rPr>
            </w:pPr>
            <w:r>
              <w:rPr>
                <w:rFonts w:hint="eastAsia" w:eastAsia="仿宋_GB2312"/>
                <w:bCs/>
                <w:kern w:val="0"/>
                <w:szCs w:val="21"/>
              </w:rPr>
              <w:t>0.71</w:t>
            </w:r>
          </w:p>
        </w:tc>
        <w:tc>
          <w:tcPr>
            <w:tcW w:w="530" w:type="pct"/>
            <w:tcBorders>
              <w:tl2br w:val="nil"/>
              <w:tr2bl w:val="nil"/>
            </w:tcBorders>
            <w:shd w:val="clear" w:color="auto" w:fill="auto"/>
            <w:vAlign w:val="center"/>
          </w:tcPr>
          <w:p w14:paraId="0A6CD58A">
            <w:pPr>
              <w:adjustRightInd w:val="0"/>
              <w:snapToGrid w:val="0"/>
              <w:spacing w:line="270" w:lineRule="exact"/>
              <w:jc w:val="center"/>
              <w:rPr>
                <w:rFonts w:eastAsia="仿宋_GB2312"/>
                <w:b/>
                <w:kern w:val="0"/>
                <w:szCs w:val="21"/>
              </w:rPr>
            </w:pPr>
            <w:r>
              <w:rPr>
                <w:rFonts w:hint="eastAsia" w:eastAsia="仿宋_GB2312"/>
                <w:szCs w:val="21"/>
              </w:rPr>
              <w:t>7.07</w:t>
            </w:r>
            <w:r>
              <w:rPr>
                <w:rFonts w:eastAsia="仿宋_GB2312"/>
                <w:szCs w:val="21"/>
              </w:rPr>
              <w:t>×10</w:t>
            </w:r>
            <w:r>
              <w:rPr>
                <w:rFonts w:eastAsia="仿宋_GB2312"/>
                <w:szCs w:val="21"/>
                <w:vertAlign w:val="superscript"/>
              </w:rPr>
              <w:t>-</w:t>
            </w:r>
            <w:r>
              <w:rPr>
                <w:rFonts w:hint="eastAsia" w:eastAsia="仿宋_GB2312"/>
                <w:szCs w:val="21"/>
                <w:vertAlign w:val="superscript"/>
              </w:rPr>
              <w:t>2</w:t>
            </w:r>
          </w:p>
        </w:tc>
        <w:tc>
          <w:tcPr>
            <w:tcW w:w="1085" w:type="pct"/>
            <w:vMerge w:val="continue"/>
            <w:tcBorders>
              <w:tl2br w:val="nil"/>
              <w:tr2bl w:val="nil"/>
            </w:tcBorders>
            <w:shd w:val="clear" w:color="auto" w:fill="auto"/>
            <w:vAlign w:val="center"/>
          </w:tcPr>
          <w:p w14:paraId="0C48C037">
            <w:pPr>
              <w:adjustRightInd w:val="0"/>
              <w:snapToGrid w:val="0"/>
              <w:spacing w:line="270" w:lineRule="exact"/>
              <w:jc w:val="center"/>
              <w:rPr>
                <w:rFonts w:eastAsia="仿宋_GB2312"/>
                <w:b/>
                <w:kern w:val="0"/>
                <w:szCs w:val="21"/>
              </w:rPr>
            </w:pPr>
          </w:p>
        </w:tc>
        <w:tc>
          <w:tcPr>
            <w:tcW w:w="449" w:type="pct"/>
            <w:tcBorders>
              <w:tl2br w:val="nil"/>
              <w:tr2bl w:val="nil"/>
            </w:tcBorders>
            <w:shd w:val="clear" w:color="auto" w:fill="auto"/>
            <w:vAlign w:val="center"/>
          </w:tcPr>
          <w:p w14:paraId="5E02B07B">
            <w:pPr>
              <w:snapToGrid w:val="0"/>
              <w:spacing w:line="284" w:lineRule="exact"/>
              <w:jc w:val="center"/>
              <w:rPr>
                <w:rFonts w:eastAsia="仿宋_GB2312"/>
                <w:szCs w:val="21"/>
              </w:rPr>
            </w:pPr>
            <w:r>
              <w:rPr>
                <w:rFonts w:eastAsia="仿宋_GB2312"/>
                <w:szCs w:val="21"/>
              </w:rPr>
              <w:t>/</w:t>
            </w:r>
          </w:p>
        </w:tc>
        <w:tc>
          <w:tcPr>
            <w:tcW w:w="431" w:type="pct"/>
            <w:tcBorders>
              <w:tl2br w:val="nil"/>
              <w:tr2bl w:val="nil"/>
            </w:tcBorders>
            <w:shd w:val="clear" w:color="auto" w:fill="auto"/>
            <w:vAlign w:val="center"/>
          </w:tcPr>
          <w:p w14:paraId="283948DC">
            <w:pPr>
              <w:snapToGrid w:val="0"/>
              <w:spacing w:line="284" w:lineRule="exact"/>
              <w:jc w:val="center"/>
              <w:rPr>
                <w:rFonts w:eastAsia="仿宋_GB2312"/>
                <w:szCs w:val="21"/>
              </w:rPr>
            </w:pPr>
            <w:r>
              <w:rPr>
                <w:rFonts w:eastAsia="仿宋_GB2312"/>
                <w:szCs w:val="21"/>
              </w:rPr>
              <w:t>8.7</w:t>
            </w:r>
          </w:p>
        </w:tc>
      </w:tr>
      <w:tr w14:paraId="3666B7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12" w:hRule="atLeast"/>
          <w:jc w:val="center"/>
        </w:trPr>
        <w:tc>
          <w:tcPr>
            <w:tcW w:w="380" w:type="pct"/>
            <w:vMerge w:val="restart"/>
            <w:tcBorders>
              <w:tl2br w:val="nil"/>
              <w:tr2bl w:val="nil"/>
            </w:tcBorders>
            <w:shd w:val="clear" w:color="auto" w:fill="auto"/>
            <w:vAlign w:val="center"/>
          </w:tcPr>
          <w:p w14:paraId="5B6D083F">
            <w:pPr>
              <w:snapToGrid w:val="0"/>
              <w:jc w:val="center"/>
              <w:rPr>
                <w:rFonts w:eastAsia="仿宋_GB2312"/>
                <w:szCs w:val="21"/>
              </w:rPr>
            </w:pPr>
            <w:r>
              <w:rPr>
                <w:rFonts w:hint="eastAsia" w:eastAsia="仿宋_GB2312"/>
                <w:szCs w:val="21"/>
              </w:rPr>
              <w:t>DA002</w:t>
            </w:r>
          </w:p>
        </w:tc>
        <w:tc>
          <w:tcPr>
            <w:tcW w:w="408" w:type="pct"/>
            <w:vMerge w:val="restart"/>
            <w:tcBorders>
              <w:tl2br w:val="nil"/>
              <w:tr2bl w:val="nil"/>
            </w:tcBorders>
            <w:shd w:val="clear" w:color="auto" w:fill="auto"/>
            <w:vAlign w:val="center"/>
          </w:tcPr>
          <w:p w14:paraId="00E2526D">
            <w:pPr>
              <w:widowControl/>
              <w:adjustRightInd w:val="0"/>
              <w:snapToGrid w:val="0"/>
              <w:jc w:val="center"/>
              <w:rPr>
                <w:rFonts w:eastAsia="仿宋_GB2312"/>
                <w:bCs/>
                <w:szCs w:val="21"/>
              </w:rPr>
            </w:pPr>
            <w:r>
              <w:rPr>
                <w:rFonts w:hint="eastAsia" w:eastAsia="仿宋_GB2312"/>
                <w:bCs/>
                <w:kern w:val="0"/>
                <w:szCs w:val="21"/>
              </w:rPr>
              <w:t>2026.5.27</w:t>
            </w:r>
          </w:p>
        </w:tc>
        <w:tc>
          <w:tcPr>
            <w:tcW w:w="781" w:type="pct"/>
            <w:tcBorders>
              <w:tl2br w:val="nil"/>
              <w:tr2bl w:val="nil"/>
            </w:tcBorders>
            <w:shd w:val="clear" w:color="auto" w:fill="auto"/>
            <w:vAlign w:val="center"/>
          </w:tcPr>
          <w:p w14:paraId="0580C48B">
            <w:pPr>
              <w:snapToGrid w:val="0"/>
              <w:spacing w:line="270" w:lineRule="exact"/>
              <w:jc w:val="center"/>
              <w:rPr>
                <w:rFonts w:eastAsia="仿宋_GB2312"/>
                <w:szCs w:val="21"/>
              </w:rPr>
            </w:pPr>
            <w:r>
              <w:rPr>
                <w:rFonts w:eastAsia="仿宋_GB2312"/>
                <w:szCs w:val="21"/>
              </w:rPr>
              <w:t>锡、锑、铜、锰、镍、钴及其化合物</w:t>
            </w:r>
          </w:p>
        </w:tc>
        <w:tc>
          <w:tcPr>
            <w:tcW w:w="460" w:type="pct"/>
            <w:vMerge w:val="restart"/>
            <w:tcBorders>
              <w:tl2br w:val="nil"/>
              <w:tr2bl w:val="nil"/>
            </w:tcBorders>
            <w:shd w:val="clear" w:color="auto" w:fill="auto"/>
            <w:vAlign w:val="center"/>
          </w:tcPr>
          <w:p w14:paraId="3800AAAA">
            <w:pPr>
              <w:snapToGrid w:val="0"/>
              <w:spacing w:line="270" w:lineRule="exact"/>
              <w:jc w:val="center"/>
              <w:rPr>
                <w:rFonts w:eastAsia="仿宋_GB2312"/>
                <w:color w:val="FF0000"/>
                <w:szCs w:val="21"/>
              </w:rPr>
            </w:pPr>
            <w:r>
              <w:rPr>
                <w:rFonts w:hint="eastAsia" w:eastAsia="仿宋_GB2312"/>
                <w:szCs w:val="21"/>
              </w:rPr>
              <w:t>46166</w:t>
            </w:r>
          </w:p>
        </w:tc>
        <w:tc>
          <w:tcPr>
            <w:tcW w:w="473" w:type="pct"/>
            <w:tcBorders>
              <w:tl2br w:val="nil"/>
              <w:tr2bl w:val="nil"/>
            </w:tcBorders>
            <w:shd w:val="clear" w:color="auto" w:fill="auto"/>
            <w:vAlign w:val="center"/>
          </w:tcPr>
          <w:p w14:paraId="0CA01A81">
            <w:pPr>
              <w:snapToGrid w:val="0"/>
              <w:spacing w:line="270" w:lineRule="exact"/>
              <w:jc w:val="center"/>
              <w:rPr>
                <w:rFonts w:eastAsia="仿宋_GB2312"/>
                <w:color w:val="FF0000"/>
                <w:szCs w:val="21"/>
              </w:rPr>
            </w:pPr>
            <w:r>
              <w:rPr>
                <w:rFonts w:hint="eastAsia" w:eastAsia="仿宋_GB2312"/>
                <w:szCs w:val="21"/>
              </w:rPr>
              <w:t>6.64</w:t>
            </w:r>
            <w:r>
              <w:rPr>
                <w:rFonts w:eastAsia="仿宋_GB2312"/>
                <w:szCs w:val="21"/>
              </w:rPr>
              <w:t>×10</w:t>
            </w:r>
            <w:r>
              <w:rPr>
                <w:rFonts w:eastAsia="仿宋_GB2312"/>
                <w:szCs w:val="21"/>
                <w:vertAlign w:val="superscript"/>
              </w:rPr>
              <w:t>-</w:t>
            </w:r>
            <w:r>
              <w:rPr>
                <w:rFonts w:hint="eastAsia" w:eastAsia="仿宋_GB2312"/>
                <w:szCs w:val="21"/>
                <w:vertAlign w:val="superscript"/>
              </w:rPr>
              <w:t>3</w:t>
            </w:r>
          </w:p>
        </w:tc>
        <w:tc>
          <w:tcPr>
            <w:tcW w:w="530" w:type="pct"/>
            <w:tcBorders>
              <w:tl2br w:val="nil"/>
              <w:tr2bl w:val="nil"/>
            </w:tcBorders>
            <w:shd w:val="clear" w:color="auto" w:fill="auto"/>
            <w:vAlign w:val="center"/>
          </w:tcPr>
          <w:p w14:paraId="752579D0">
            <w:pPr>
              <w:snapToGrid w:val="0"/>
              <w:spacing w:line="270" w:lineRule="exact"/>
              <w:jc w:val="center"/>
              <w:rPr>
                <w:rFonts w:eastAsia="仿宋_GB2312"/>
                <w:color w:val="FF0000"/>
                <w:szCs w:val="21"/>
              </w:rPr>
            </w:pPr>
            <w:r>
              <w:rPr>
                <w:rFonts w:hint="eastAsia" w:eastAsia="仿宋_GB2312"/>
                <w:szCs w:val="21"/>
              </w:rPr>
              <w:t>1.92</w:t>
            </w:r>
            <w:r>
              <w:rPr>
                <w:rFonts w:eastAsia="仿宋_GB2312"/>
                <w:szCs w:val="21"/>
              </w:rPr>
              <w:t>×10</w:t>
            </w:r>
            <w:r>
              <w:rPr>
                <w:rFonts w:eastAsia="仿宋_GB2312"/>
                <w:szCs w:val="21"/>
                <w:vertAlign w:val="superscript"/>
              </w:rPr>
              <w:t>-</w:t>
            </w:r>
            <w:r>
              <w:rPr>
                <w:rFonts w:hint="eastAsia" w:eastAsia="仿宋_GB2312"/>
                <w:szCs w:val="21"/>
                <w:vertAlign w:val="superscript"/>
              </w:rPr>
              <w:t>4</w:t>
            </w:r>
          </w:p>
        </w:tc>
        <w:tc>
          <w:tcPr>
            <w:tcW w:w="1085" w:type="pct"/>
            <w:vMerge w:val="restart"/>
            <w:tcBorders>
              <w:tl2br w:val="nil"/>
              <w:tr2bl w:val="nil"/>
            </w:tcBorders>
            <w:shd w:val="clear" w:color="auto" w:fill="auto"/>
            <w:vAlign w:val="center"/>
          </w:tcPr>
          <w:p w14:paraId="39BF0E2F">
            <w:pPr>
              <w:snapToGrid w:val="0"/>
              <w:spacing w:line="270" w:lineRule="exact"/>
              <w:jc w:val="center"/>
              <w:rPr>
                <w:rFonts w:eastAsia="仿宋_GB2312"/>
                <w:szCs w:val="21"/>
              </w:rPr>
            </w:pPr>
            <w:r>
              <w:rPr>
                <w:rFonts w:eastAsia="仿宋_GB2312"/>
                <w:szCs w:val="21"/>
              </w:rPr>
              <w:t>《危险废物焚烧污染控制标准》（GB 18484-2020）</w:t>
            </w:r>
          </w:p>
        </w:tc>
        <w:tc>
          <w:tcPr>
            <w:tcW w:w="449" w:type="pct"/>
            <w:tcBorders>
              <w:tl2br w:val="nil"/>
              <w:tr2bl w:val="nil"/>
            </w:tcBorders>
            <w:shd w:val="clear" w:color="auto" w:fill="auto"/>
            <w:vAlign w:val="center"/>
          </w:tcPr>
          <w:p w14:paraId="718FF105">
            <w:pPr>
              <w:snapToGrid w:val="0"/>
              <w:spacing w:line="270" w:lineRule="exact"/>
              <w:jc w:val="center"/>
              <w:rPr>
                <w:rFonts w:eastAsia="仿宋_GB2312"/>
                <w:szCs w:val="21"/>
              </w:rPr>
            </w:pPr>
            <w:r>
              <w:rPr>
                <w:rFonts w:eastAsia="仿宋_GB2312"/>
                <w:szCs w:val="21"/>
              </w:rPr>
              <w:t>2</w:t>
            </w:r>
          </w:p>
        </w:tc>
        <w:tc>
          <w:tcPr>
            <w:tcW w:w="431" w:type="pct"/>
            <w:tcBorders>
              <w:tl2br w:val="nil"/>
              <w:tr2bl w:val="nil"/>
            </w:tcBorders>
            <w:shd w:val="clear" w:color="auto" w:fill="auto"/>
            <w:vAlign w:val="center"/>
          </w:tcPr>
          <w:p w14:paraId="3A1E45C0">
            <w:pPr>
              <w:snapToGrid w:val="0"/>
              <w:spacing w:line="270" w:lineRule="exact"/>
              <w:jc w:val="center"/>
              <w:rPr>
                <w:rFonts w:eastAsia="仿宋_GB2312"/>
                <w:szCs w:val="21"/>
              </w:rPr>
            </w:pPr>
            <w:r>
              <w:rPr>
                <w:rFonts w:eastAsia="仿宋_GB2312"/>
                <w:szCs w:val="21"/>
              </w:rPr>
              <w:t>/</w:t>
            </w:r>
          </w:p>
        </w:tc>
      </w:tr>
      <w:tr w14:paraId="6AAFA6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380" w:type="pct"/>
            <w:vMerge w:val="continue"/>
            <w:tcBorders>
              <w:tl2br w:val="nil"/>
              <w:tr2bl w:val="nil"/>
            </w:tcBorders>
            <w:shd w:val="clear" w:color="auto" w:fill="auto"/>
            <w:vAlign w:val="center"/>
          </w:tcPr>
          <w:p w14:paraId="1D8E5726">
            <w:pPr>
              <w:snapToGrid w:val="0"/>
              <w:jc w:val="center"/>
              <w:rPr>
                <w:rFonts w:eastAsia="仿宋_GB2312"/>
                <w:color w:val="FF0000"/>
                <w:szCs w:val="21"/>
              </w:rPr>
            </w:pPr>
          </w:p>
        </w:tc>
        <w:tc>
          <w:tcPr>
            <w:tcW w:w="408" w:type="pct"/>
            <w:vMerge w:val="continue"/>
            <w:tcBorders>
              <w:tl2br w:val="nil"/>
              <w:tr2bl w:val="nil"/>
            </w:tcBorders>
            <w:shd w:val="clear" w:color="auto" w:fill="auto"/>
            <w:vAlign w:val="center"/>
          </w:tcPr>
          <w:p w14:paraId="78B214CF">
            <w:pPr>
              <w:snapToGrid w:val="0"/>
              <w:jc w:val="center"/>
              <w:rPr>
                <w:rFonts w:eastAsia="仿宋_GB2312"/>
                <w:szCs w:val="21"/>
              </w:rPr>
            </w:pPr>
          </w:p>
        </w:tc>
        <w:tc>
          <w:tcPr>
            <w:tcW w:w="781" w:type="pct"/>
            <w:tcBorders>
              <w:tl2br w:val="nil"/>
              <w:tr2bl w:val="nil"/>
            </w:tcBorders>
            <w:shd w:val="clear" w:color="auto" w:fill="auto"/>
            <w:vAlign w:val="center"/>
          </w:tcPr>
          <w:p w14:paraId="62D53864">
            <w:pPr>
              <w:snapToGrid w:val="0"/>
              <w:spacing w:line="270" w:lineRule="exact"/>
              <w:jc w:val="center"/>
              <w:rPr>
                <w:rFonts w:eastAsia="仿宋_GB2312"/>
                <w:szCs w:val="21"/>
              </w:rPr>
            </w:pPr>
            <w:r>
              <w:rPr>
                <w:rFonts w:eastAsia="仿宋_GB2312"/>
                <w:szCs w:val="21"/>
              </w:rPr>
              <w:t>镉及其化合物</w:t>
            </w:r>
          </w:p>
        </w:tc>
        <w:tc>
          <w:tcPr>
            <w:tcW w:w="460" w:type="pct"/>
            <w:vMerge w:val="continue"/>
            <w:tcBorders>
              <w:tl2br w:val="nil"/>
              <w:tr2bl w:val="nil"/>
            </w:tcBorders>
            <w:shd w:val="clear" w:color="auto" w:fill="auto"/>
            <w:vAlign w:val="center"/>
          </w:tcPr>
          <w:p w14:paraId="28E14373">
            <w:pPr>
              <w:snapToGrid w:val="0"/>
              <w:spacing w:line="270" w:lineRule="exact"/>
              <w:jc w:val="center"/>
              <w:rPr>
                <w:rFonts w:eastAsia="仿宋_GB2312"/>
                <w:color w:val="FF0000"/>
                <w:szCs w:val="21"/>
              </w:rPr>
            </w:pPr>
          </w:p>
        </w:tc>
        <w:tc>
          <w:tcPr>
            <w:tcW w:w="473" w:type="pct"/>
            <w:tcBorders>
              <w:tl2br w:val="nil"/>
              <w:tr2bl w:val="nil"/>
            </w:tcBorders>
            <w:shd w:val="clear" w:color="auto" w:fill="auto"/>
            <w:vAlign w:val="center"/>
          </w:tcPr>
          <w:p w14:paraId="64E55490">
            <w:pPr>
              <w:snapToGrid w:val="0"/>
              <w:spacing w:line="270" w:lineRule="exact"/>
              <w:jc w:val="center"/>
              <w:rPr>
                <w:rFonts w:eastAsia="仿宋_GB2312"/>
                <w:szCs w:val="21"/>
              </w:rPr>
            </w:pPr>
            <w:r>
              <w:rPr>
                <w:rFonts w:hint="eastAsia" w:eastAsia="仿宋_GB2312"/>
                <w:szCs w:val="21"/>
              </w:rPr>
              <w:t>ND</w:t>
            </w:r>
          </w:p>
        </w:tc>
        <w:tc>
          <w:tcPr>
            <w:tcW w:w="530" w:type="pct"/>
            <w:tcBorders>
              <w:tl2br w:val="nil"/>
              <w:tr2bl w:val="nil"/>
            </w:tcBorders>
            <w:shd w:val="clear" w:color="auto" w:fill="auto"/>
            <w:vAlign w:val="center"/>
          </w:tcPr>
          <w:p w14:paraId="4CEA0495">
            <w:pPr>
              <w:snapToGrid w:val="0"/>
              <w:spacing w:line="270" w:lineRule="exact"/>
              <w:jc w:val="center"/>
              <w:rPr>
                <w:rFonts w:eastAsia="仿宋_GB2312"/>
                <w:szCs w:val="21"/>
              </w:rPr>
            </w:pPr>
            <w:r>
              <w:rPr>
                <w:rFonts w:hint="eastAsia" w:eastAsia="仿宋_GB2312"/>
                <w:szCs w:val="21"/>
              </w:rPr>
              <w:t>/</w:t>
            </w:r>
          </w:p>
        </w:tc>
        <w:tc>
          <w:tcPr>
            <w:tcW w:w="1085" w:type="pct"/>
            <w:vMerge w:val="continue"/>
            <w:tcBorders>
              <w:tl2br w:val="nil"/>
              <w:tr2bl w:val="nil"/>
            </w:tcBorders>
            <w:shd w:val="clear" w:color="auto" w:fill="auto"/>
            <w:vAlign w:val="center"/>
          </w:tcPr>
          <w:p w14:paraId="48BEB407">
            <w:pPr>
              <w:snapToGrid w:val="0"/>
              <w:spacing w:line="270" w:lineRule="exact"/>
              <w:jc w:val="center"/>
              <w:rPr>
                <w:rFonts w:eastAsia="仿宋_GB2312"/>
                <w:szCs w:val="21"/>
              </w:rPr>
            </w:pPr>
          </w:p>
        </w:tc>
        <w:tc>
          <w:tcPr>
            <w:tcW w:w="449" w:type="pct"/>
            <w:tcBorders>
              <w:tl2br w:val="nil"/>
              <w:tr2bl w:val="nil"/>
            </w:tcBorders>
            <w:shd w:val="clear" w:color="auto" w:fill="auto"/>
            <w:vAlign w:val="center"/>
          </w:tcPr>
          <w:p w14:paraId="570D3999">
            <w:pPr>
              <w:snapToGrid w:val="0"/>
              <w:spacing w:line="270" w:lineRule="exact"/>
              <w:jc w:val="center"/>
              <w:rPr>
                <w:rFonts w:eastAsia="仿宋_GB2312"/>
                <w:szCs w:val="21"/>
              </w:rPr>
            </w:pPr>
            <w:r>
              <w:rPr>
                <w:rFonts w:eastAsia="仿宋_GB2312"/>
                <w:szCs w:val="21"/>
              </w:rPr>
              <w:t>0.05</w:t>
            </w:r>
          </w:p>
        </w:tc>
        <w:tc>
          <w:tcPr>
            <w:tcW w:w="431" w:type="pct"/>
            <w:tcBorders>
              <w:tl2br w:val="nil"/>
              <w:tr2bl w:val="nil"/>
            </w:tcBorders>
            <w:shd w:val="clear" w:color="auto" w:fill="auto"/>
            <w:vAlign w:val="center"/>
          </w:tcPr>
          <w:p w14:paraId="3167803E">
            <w:pPr>
              <w:snapToGrid w:val="0"/>
              <w:spacing w:line="270" w:lineRule="exact"/>
              <w:jc w:val="center"/>
              <w:rPr>
                <w:rFonts w:eastAsia="仿宋_GB2312"/>
                <w:szCs w:val="21"/>
              </w:rPr>
            </w:pPr>
            <w:r>
              <w:rPr>
                <w:rFonts w:eastAsia="仿宋_GB2312"/>
                <w:szCs w:val="21"/>
              </w:rPr>
              <w:t>/</w:t>
            </w:r>
          </w:p>
        </w:tc>
      </w:tr>
      <w:tr w14:paraId="1FC9A18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380" w:type="pct"/>
            <w:vMerge w:val="continue"/>
            <w:tcBorders>
              <w:tl2br w:val="nil"/>
              <w:tr2bl w:val="nil"/>
            </w:tcBorders>
            <w:shd w:val="clear" w:color="auto" w:fill="auto"/>
            <w:vAlign w:val="center"/>
          </w:tcPr>
          <w:p w14:paraId="6F8C1218">
            <w:pPr>
              <w:snapToGrid w:val="0"/>
              <w:jc w:val="center"/>
              <w:rPr>
                <w:rFonts w:eastAsia="仿宋_GB2312"/>
                <w:color w:val="FF0000"/>
                <w:szCs w:val="21"/>
              </w:rPr>
            </w:pPr>
          </w:p>
        </w:tc>
        <w:tc>
          <w:tcPr>
            <w:tcW w:w="408" w:type="pct"/>
            <w:vMerge w:val="continue"/>
            <w:tcBorders>
              <w:tl2br w:val="nil"/>
              <w:tr2bl w:val="nil"/>
            </w:tcBorders>
            <w:shd w:val="clear" w:color="auto" w:fill="auto"/>
            <w:vAlign w:val="center"/>
          </w:tcPr>
          <w:p w14:paraId="6B9F040C">
            <w:pPr>
              <w:snapToGrid w:val="0"/>
              <w:jc w:val="center"/>
              <w:rPr>
                <w:rFonts w:eastAsia="仿宋_GB2312"/>
                <w:szCs w:val="21"/>
              </w:rPr>
            </w:pPr>
          </w:p>
        </w:tc>
        <w:tc>
          <w:tcPr>
            <w:tcW w:w="781" w:type="pct"/>
            <w:tcBorders>
              <w:tl2br w:val="nil"/>
              <w:tr2bl w:val="nil"/>
            </w:tcBorders>
            <w:shd w:val="clear" w:color="auto" w:fill="auto"/>
            <w:vAlign w:val="center"/>
          </w:tcPr>
          <w:p w14:paraId="4E6B3EC3">
            <w:pPr>
              <w:snapToGrid w:val="0"/>
              <w:spacing w:line="270" w:lineRule="exact"/>
              <w:jc w:val="center"/>
              <w:rPr>
                <w:rFonts w:eastAsia="仿宋_GB2312"/>
                <w:szCs w:val="21"/>
              </w:rPr>
            </w:pPr>
            <w:r>
              <w:rPr>
                <w:rFonts w:eastAsia="仿宋_GB2312"/>
                <w:szCs w:val="21"/>
              </w:rPr>
              <w:t>砷及其化合物</w:t>
            </w:r>
          </w:p>
        </w:tc>
        <w:tc>
          <w:tcPr>
            <w:tcW w:w="460" w:type="pct"/>
            <w:vMerge w:val="continue"/>
            <w:tcBorders>
              <w:tl2br w:val="nil"/>
              <w:tr2bl w:val="nil"/>
            </w:tcBorders>
            <w:shd w:val="clear" w:color="auto" w:fill="auto"/>
            <w:vAlign w:val="center"/>
          </w:tcPr>
          <w:p w14:paraId="0353A92B">
            <w:pPr>
              <w:snapToGrid w:val="0"/>
              <w:spacing w:line="270" w:lineRule="exact"/>
              <w:jc w:val="center"/>
              <w:rPr>
                <w:rFonts w:eastAsia="仿宋_GB2312"/>
                <w:color w:val="FF0000"/>
                <w:szCs w:val="21"/>
              </w:rPr>
            </w:pPr>
          </w:p>
        </w:tc>
        <w:tc>
          <w:tcPr>
            <w:tcW w:w="473" w:type="pct"/>
            <w:tcBorders>
              <w:tl2br w:val="nil"/>
              <w:tr2bl w:val="nil"/>
            </w:tcBorders>
            <w:shd w:val="clear" w:color="auto" w:fill="auto"/>
            <w:vAlign w:val="center"/>
          </w:tcPr>
          <w:p w14:paraId="3B8D806F">
            <w:pPr>
              <w:snapToGrid w:val="0"/>
              <w:spacing w:line="270" w:lineRule="exact"/>
              <w:jc w:val="center"/>
              <w:rPr>
                <w:rFonts w:eastAsia="仿宋_GB2312"/>
                <w:szCs w:val="21"/>
              </w:rPr>
            </w:pPr>
            <w:r>
              <w:rPr>
                <w:rFonts w:hint="eastAsia" w:eastAsia="仿宋_GB2312"/>
                <w:szCs w:val="21"/>
              </w:rPr>
              <w:t>ND</w:t>
            </w:r>
          </w:p>
        </w:tc>
        <w:tc>
          <w:tcPr>
            <w:tcW w:w="530" w:type="pct"/>
            <w:tcBorders>
              <w:tl2br w:val="nil"/>
              <w:tr2bl w:val="nil"/>
            </w:tcBorders>
            <w:shd w:val="clear" w:color="auto" w:fill="auto"/>
            <w:vAlign w:val="center"/>
          </w:tcPr>
          <w:p w14:paraId="3E84E371">
            <w:pPr>
              <w:snapToGrid w:val="0"/>
              <w:spacing w:line="270" w:lineRule="exact"/>
              <w:jc w:val="center"/>
              <w:rPr>
                <w:rFonts w:eastAsia="仿宋_GB2312"/>
                <w:szCs w:val="21"/>
              </w:rPr>
            </w:pPr>
            <w:r>
              <w:rPr>
                <w:rFonts w:hint="eastAsia" w:eastAsia="仿宋_GB2312"/>
                <w:szCs w:val="21"/>
              </w:rPr>
              <w:t>/</w:t>
            </w:r>
          </w:p>
        </w:tc>
        <w:tc>
          <w:tcPr>
            <w:tcW w:w="1085" w:type="pct"/>
            <w:vMerge w:val="continue"/>
            <w:tcBorders>
              <w:tl2br w:val="nil"/>
              <w:tr2bl w:val="nil"/>
            </w:tcBorders>
            <w:shd w:val="clear" w:color="auto" w:fill="auto"/>
            <w:vAlign w:val="center"/>
          </w:tcPr>
          <w:p w14:paraId="0B162A9D">
            <w:pPr>
              <w:snapToGrid w:val="0"/>
              <w:spacing w:line="270" w:lineRule="exact"/>
              <w:jc w:val="center"/>
              <w:rPr>
                <w:rFonts w:eastAsia="仿宋_GB2312"/>
                <w:szCs w:val="21"/>
              </w:rPr>
            </w:pPr>
          </w:p>
        </w:tc>
        <w:tc>
          <w:tcPr>
            <w:tcW w:w="449" w:type="pct"/>
            <w:tcBorders>
              <w:tl2br w:val="nil"/>
              <w:tr2bl w:val="nil"/>
            </w:tcBorders>
            <w:shd w:val="clear" w:color="auto" w:fill="auto"/>
            <w:vAlign w:val="center"/>
          </w:tcPr>
          <w:p w14:paraId="6C6D843A">
            <w:pPr>
              <w:snapToGrid w:val="0"/>
              <w:spacing w:line="270" w:lineRule="exact"/>
              <w:jc w:val="center"/>
              <w:rPr>
                <w:rFonts w:eastAsia="仿宋_GB2312"/>
                <w:szCs w:val="21"/>
              </w:rPr>
            </w:pPr>
            <w:r>
              <w:rPr>
                <w:rFonts w:eastAsia="仿宋_GB2312"/>
                <w:szCs w:val="21"/>
              </w:rPr>
              <w:t>0.5</w:t>
            </w:r>
          </w:p>
        </w:tc>
        <w:tc>
          <w:tcPr>
            <w:tcW w:w="431" w:type="pct"/>
            <w:tcBorders>
              <w:tl2br w:val="nil"/>
              <w:tr2bl w:val="nil"/>
            </w:tcBorders>
            <w:shd w:val="clear" w:color="auto" w:fill="auto"/>
            <w:vAlign w:val="center"/>
          </w:tcPr>
          <w:p w14:paraId="407691F1">
            <w:pPr>
              <w:snapToGrid w:val="0"/>
              <w:spacing w:line="270" w:lineRule="exact"/>
              <w:jc w:val="center"/>
              <w:rPr>
                <w:rFonts w:eastAsia="仿宋_GB2312"/>
                <w:szCs w:val="21"/>
              </w:rPr>
            </w:pPr>
            <w:r>
              <w:rPr>
                <w:rFonts w:eastAsia="仿宋_GB2312"/>
                <w:szCs w:val="21"/>
              </w:rPr>
              <w:t>/</w:t>
            </w:r>
          </w:p>
        </w:tc>
      </w:tr>
      <w:tr w14:paraId="6FB041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380" w:type="pct"/>
            <w:vMerge w:val="continue"/>
            <w:tcBorders>
              <w:tl2br w:val="nil"/>
              <w:tr2bl w:val="nil"/>
            </w:tcBorders>
            <w:shd w:val="clear" w:color="auto" w:fill="auto"/>
            <w:vAlign w:val="center"/>
          </w:tcPr>
          <w:p w14:paraId="154726EB">
            <w:pPr>
              <w:snapToGrid w:val="0"/>
              <w:jc w:val="center"/>
              <w:rPr>
                <w:rFonts w:eastAsia="仿宋_GB2312"/>
                <w:color w:val="FF0000"/>
                <w:szCs w:val="21"/>
              </w:rPr>
            </w:pPr>
          </w:p>
        </w:tc>
        <w:tc>
          <w:tcPr>
            <w:tcW w:w="408" w:type="pct"/>
            <w:vMerge w:val="continue"/>
            <w:tcBorders>
              <w:tl2br w:val="nil"/>
              <w:tr2bl w:val="nil"/>
            </w:tcBorders>
            <w:shd w:val="clear" w:color="auto" w:fill="auto"/>
            <w:vAlign w:val="center"/>
          </w:tcPr>
          <w:p w14:paraId="65ACBB8B">
            <w:pPr>
              <w:snapToGrid w:val="0"/>
              <w:jc w:val="center"/>
              <w:rPr>
                <w:rFonts w:eastAsia="仿宋_GB2312"/>
                <w:szCs w:val="21"/>
              </w:rPr>
            </w:pPr>
          </w:p>
        </w:tc>
        <w:tc>
          <w:tcPr>
            <w:tcW w:w="781" w:type="pct"/>
            <w:tcBorders>
              <w:tl2br w:val="nil"/>
              <w:tr2bl w:val="nil"/>
            </w:tcBorders>
            <w:shd w:val="clear" w:color="auto" w:fill="auto"/>
            <w:vAlign w:val="center"/>
          </w:tcPr>
          <w:p w14:paraId="2EA3A9D9">
            <w:pPr>
              <w:snapToGrid w:val="0"/>
              <w:spacing w:line="270" w:lineRule="exact"/>
              <w:jc w:val="center"/>
              <w:rPr>
                <w:rFonts w:eastAsia="仿宋_GB2312"/>
                <w:szCs w:val="21"/>
              </w:rPr>
            </w:pPr>
            <w:r>
              <w:rPr>
                <w:rFonts w:eastAsia="仿宋_GB2312"/>
                <w:szCs w:val="21"/>
              </w:rPr>
              <w:t>铅及其化合物</w:t>
            </w:r>
          </w:p>
        </w:tc>
        <w:tc>
          <w:tcPr>
            <w:tcW w:w="460" w:type="pct"/>
            <w:vMerge w:val="continue"/>
            <w:tcBorders>
              <w:tl2br w:val="nil"/>
              <w:tr2bl w:val="nil"/>
            </w:tcBorders>
            <w:shd w:val="clear" w:color="auto" w:fill="auto"/>
            <w:vAlign w:val="center"/>
          </w:tcPr>
          <w:p w14:paraId="57B7C851">
            <w:pPr>
              <w:snapToGrid w:val="0"/>
              <w:spacing w:line="270" w:lineRule="exact"/>
              <w:jc w:val="center"/>
              <w:rPr>
                <w:rFonts w:eastAsia="仿宋_GB2312"/>
                <w:color w:val="FF0000"/>
                <w:szCs w:val="21"/>
              </w:rPr>
            </w:pPr>
          </w:p>
        </w:tc>
        <w:tc>
          <w:tcPr>
            <w:tcW w:w="473" w:type="pct"/>
            <w:tcBorders>
              <w:tl2br w:val="nil"/>
              <w:tr2bl w:val="nil"/>
            </w:tcBorders>
            <w:shd w:val="clear" w:color="auto" w:fill="auto"/>
            <w:vAlign w:val="center"/>
          </w:tcPr>
          <w:p w14:paraId="408CA723">
            <w:pPr>
              <w:snapToGrid w:val="0"/>
              <w:spacing w:line="270" w:lineRule="exact"/>
              <w:jc w:val="center"/>
              <w:rPr>
                <w:rFonts w:eastAsia="仿宋_GB2312"/>
                <w:color w:val="FF0000"/>
                <w:szCs w:val="21"/>
              </w:rPr>
            </w:pPr>
            <w:r>
              <w:rPr>
                <w:rFonts w:hint="eastAsia" w:eastAsia="仿宋_GB2312"/>
                <w:szCs w:val="21"/>
              </w:rPr>
              <w:t>3.03</w:t>
            </w:r>
            <w:r>
              <w:rPr>
                <w:rFonts w:eastAsia="仿宋_GB2312"/>
                <w:szCs w:val="21"/>
              </w:rPr>
              <w:t>×10</w:t>
            </w:r>
            <w:r>
              <w:rPr>
                <w:rFonts w:eastAsia="仿宋_GB2312"/>
                <w:szCs w:val="21"/>
                <w:vertAlign w:val="superscript"/>
              </w:rPr>
              <w:t>-</w:t>
            </w:r>
            <w:r>
              <w:rPr>
                <w:rFonts w:hint="eastAsia" w:eastAsia="仿宋_GB2312"/>
                <w:szCs w:val="21"/>
                <w:vertAlign w:val="superscript"/>
              </w:rPr>
              <w:t>3</w:t>
            </w:r>
          </w:p>
        </w:tc>
        <w:tc>
          <w:tcPr>
            <w:tcW w:w="530" w:type="pct"/>
            <w:tcBorders>
              <w:tl2br w:val="nil"/>
              <w:tr2bl w:val="nil"/>
            </w:tcBorders>
            <w:shd w:val="clear" w:color="auto" w:fill="auto"/>
            <w:vAlign w:val="center"/>
          </w:tcPr>
          <w:p w14:paraId="6EF4D024">
            <w:pPr>
              <w:snapToGrid w:val="0"/>
              <w:spacing w:line="270" w:lineRule="exact"/>
              <w:jc w:val="center"/>
              <w:rPr>
                <w:rFonts w:eastAsia="仿宋_GB2312"/>
                <w:color w:val="FF0000"/>
                <w:szCs w:val="21"/>
              </w:rPr>
            </w:pPr>
            <w:r>
              <w:rPr>
                <w:rFonts w:hint="eastAsia" w:eastAsia="仿宋_GB2312"/>
                <w:szCs w:val="21"/>
              </w:rPr>
              <w:t>8.75</w:t>
            </w:r>
            <w:r>
              <w:rPr>
                <w:rFonts w:eastAsia="仿宋_GB2312"/>
                <w:szCs w:val="21"/>
              </w:rPr>
              <w:t>×10</w:t>
            </w:r>
            <w:r>
              <w:rPr>
                <w:rFonts w:eastAsia="仿宋_GB2312"/>
                <w:szCs w:val="21"/>
                <w:vertAlign w:val="superscript"/>
              </w:rPr>
              <w:t>-</w:t>
            </w:r>
            <w:r>
              <w:rPr>
                <w:rFonts w:hint="eastAsia" w:eastAsia="仿宋_GB2312"/>
                <w:szCs w:val="21"/>
                <w:vertAlign w:val="superscript"/>
              </w:rPr>
              <w:t>5</w:t>
            </w:r>
          </w:p>
        </w:tc>
        <w:tc>
          <w:tcPr>
            <w:tcW w:w="1085" w:type="pct"/>
            <w:vMerge w:val="continue"/>
            <w:tcBorders>
              <w:tl2br w:val="nil"/>
              <w:tr2bl w:val="nil"/>
            </w:tcBorders>
            <w:shd w:val="clear" w:color="auto" w:fill="auto"/>
            <w:vAlign w:val="center"/>
          </w:tcPr>
          <w:p w14:paraId="40E1DA88">
            <w:pPr>
              <w:snapToGrid w:val="0"/>
              <w:spacing w:line="270" w:lineRule="exact"/>
              <w:jc w:val="center"/>
              <w:rPr>
                <w:rFonts w:eastAsia="仿宋_GB2312"/>
                <w:szCs w:val="21"/>
              </w:rPr>
            </w:pPr>
          </w:p>
        </w:tc>
        <w:tc>
          <w:tcPr>
            <w:tcW w:w="449" w:type="pct"/>
            <w:tcBorders>
              <w:tl2br w:val="nil"/>
              <w:tr2bl w:val="nil"/>
            </w:tcBorders>
            <w:shd w:val="clear" w:color="auto" w:fill="auto"/>
            <w:vAlign w:val="center"/>
          </w:tcPr>
          <w:p w14:paraId="33896B26">
            <w:pPr>
              <w:snapToGrid w:val="0"/>
              <w:spacing w:line="270" w:lineRule="exact"/>
              <w:jc w:val="center"/>
              <w:rPr>
                <w:rFonts w:eastAsia="仿宋_GB2312"/>
                <w:szCs w:val="21"/>
              </w:rPr>
            </w:pPr>
            <w:r>
              <w:rPr>
                <w:rFonts w:eastAsia="仿宋_GB2312"/>
                <w:szCs w:val="21"/>
              </w:rPr>
              <w:t>0.5</w:t>
            </w:r>
          </w:p>
        </w:tc>
        <w:tc>
          <w:tcPr>
            <w:tcW w:w="431" w:type="pct"/>
            <w:tcBorders>
              <w:tl2br w:val="nil"/>
              <w:tr2bl w:val="nil"/>
            </w:tcBorders>
            <w:shd w:val="clear" w:color="auto" w:fill="auto"/>
            <w:vAlign w:val="center"/>
          </w:tcPr>
          <w:p w14:paraId="39E05F2E">
            <w:pPr>
              <w:snapToGrid w:val="0"/>
              <w:spacing w:line="270" w:lineRule="exact"/>
              <w:jc w:val="center"/>
              <w:rPr>
                <w:rFonts w:eastAsia="仿宋_GB2312"/>
                <w:szCs w:val="21"/>
              </w:rPr>
            </w:pPr>
            <w:r>
              <w:rPr>
                <w:rFonts w:eastAsia="仿宋_GB2312"/>
                <w:szCs w:val="21"/>
              </w:rPr>
              <w:t>/</w:t>
            </w:r>
          </w:p>
        </w:tc>
      </w:tr>
      <w:tr w14:paraId="5BEE23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380" w:type="pct"/>
            <w:vMerge w:val="continue"/>
            <w:tcBorders>
              <w:tl2br w:val="nil"/>
              <w:tr2bl w:val="nil"/>
            </w:tcBorders>
            <w:shd w:val="clear" w:color="auto" w:fill="auto"/>
            <w:vAlign w:val="center"/>
          </w:tcPr>
          <w:p w14:paraId="57C9D027">
            <w:pPr>
              <w:snapToGrid w:val="0"/>
              <w:jc w:val="center"/>
              <w:rPr>
                <w:rFonts w:eastAsia="仿宋_GB2312"/>
                <w:color w:val="FF0000"/>
                <w:szCs w:val="21"/>
              </w:rPr>
            </w:pPr>
          </w:p>
        </w:tc>
        <w:tc>
          <w:tcPr>
            <w:tcW w:w="408" w:type="pct"/>
            <w:vMerge w:val="continue"/>
            <w:tcBorders>
              <w:tl2br w:val="nil"/>
              <w:tr2bl w:val="nil"/>
            </w:tcBorders>
            <w:shd w:val="clear" w:color="auto" w:fill="auto"/>
            <w:vAlign w:val="center"/>
          </w:tcPr>
          <w:p w14:paraId="744349CC">
            <w:pPr>
              <w:snapToGrid w:val="0"/>
              <w:jc w:val="center"/>
              <w:rPr>
                <w:rFonts w:eastAsia="仿宋_GB2312"/>
                <w:szCs w:val="21"/>
              </w:rPr>
            </w:pPr>
          </w:p>
        </w:tc>
        <w:tc>
          <w:tcPr>
            <w:tcW w:w="781" w:type="pct"/>
            <w:tcBorders>
              <w:tl2br w:val="nil"/>
              <w:tr2bl w:val="nil"/>
            </w:tcBorders>
            <w:shd w:val="clear" w:color="auto" w:fill="auto"/>
            <w:vAlign w:val="center"/>
          </w:tcPr>
          <w:p w14:paraId="54730AF3">
            <w:pPr>
              <w:snapToGrid w:val="0"/>
              <w:spacing w:line="270" w:lineRule="exact"/>
              <w:jc w:val="center"/>
              <w:rPr>
                <w:rFonts w:eastAsia="仿宋_GB2312"/>
                <w:szCs w:val="21"/>
              </w:rPr>
            </w:pPr>
            <w:r>
              <w:rPr>
                <w:rFonts w:eastAsia="仿宋_GB2312"/>
                <w:szCs w:val="21"/>
              </w:rPr>
              <w:t>铬及其化合物</w:t>
            </w:r>
          </w:p>
        </w:tc>
        <w:tc>
          <w:tcPr>
            <w:tcW w:w="460" w:type="pct"/>
            <w:vMerge w:val="continue"/>
            <w:tcBorders>
              <w:tl2br w:val="nil"/>
              <w:tr2bl w:val="nil"/>
            </w:tcBorders>
            <w:shd w:val="clear" w:color="auto" w:fill="auto"/>
            <w:vAlign w:val="center"/>
          </w:tcPr>
          <w:p w14:paraId="5C77DF39">
            <w:pPr>
              <w:snapToGrid w:val="0"/>
              <w:spacing w:line="270" w:lineRule="exact"/>
              <w:jc w:val="center"/>
              <w:rPr>
                <w:rFonts w:eastAsia="仿宋_GB2312"/>
                <w:color w:val="FF0000"/>
                <w:szCs w:val="21"/>
              </w:rPr>
            </w:pPr>
          </w:p>
        </w:tc>
        <w:tc>
          <w:tcPr>
            <w:tcW w:w="473" w:type="pct"/>
            <w:tcBorders>
              <w:tl2br w:val="nil"/>
              <w:tr2bl w:val="nil"/>
            </w:tcBorders>
            <w:shd w:val="clear" w:color="auto" w:fill="auto"/>
            <w:vAlign w:val="center"/>
          </w:tcPr>
          <w:p w14:paraId="7DBB6A77">
            <w:pPr>
              <w:snapToGrid w:val="0"/>
              <w:spacing w:line="270" w:lineRule="exact"/>
              <w:jc w:val="center"/>
              <w:rPr>
                <w:rFonts w:eastAsia="仿宋_GB2312"/>
                <w:color w:val="FF0000"/>
                <w:szCs w:val="21"/>
              </w:rPr>
            </w:pPr>
            <w:r>
              <w:rPr>
                <w:rFonts w:hint="eastAsia" w:eastAsia="仿宋_GB2312"/>
                <w:szCs w:val="21"/>
              </w:rPr>
              <w:t>1.77</w:t>
            </w:r>
            <w:r>
              <w:rPr>
                <w:rFonts w:eastAsia="仿宋_GB2312"/>
                <w:szCs w:val="21"/>
              </w:rPr>
              <w:t>×10</w:t>
            </w:r>
            <w:r>
              <w:rPr>
                <w:rFonts w:eastAsia="仿宋_GB2312"/>
                <w:szCs w:val="21"/>
                <w:vertAlign w:val="superscript"/>
              </w:rPr>
              <w:t>-</w:t>
            </w:r>
            <w:r>
              <w:rPr>
                <w:rFonts w:hint="eastAsia" w:eastAsia="仿宋_GB2312"/>
                <w:szCs w:val="21"/>
                <w:vertAlign w:val="superscript"/>
              </w:rPr>
              <w:t>2</w:t>
            </w:r>
          </w:p>
        </w:tc>
        <w:tc>
          <w:tcPr>
            <w:tcW w:w="530" w:type="pct"/>
            <w:tcBorders>
              <w:tl2br w:val="nil"/>
              <w:tr2bl w:val="nil"/>
            </w:tcBorders>
            <w:shd w:val="clear" w:color="auto" w:fill="auto"/>
            <w:vAlign w:val="center"/>
          </w:tcPr>
          <w:p w14:paraId="19F0527D">
            <w:pPr>
              <w:snapToGrid w:val="0"/>
              <w:spacing w:line="270" w:lineRule="exact"/>
              <w:jc w:val="center"/>
              <w:rPr>
                <w:rFonts w:eastAsia="仿宋_GB2312"/>
                <w:color w:val="FF0000"/>
                <w:szCs w:val="21"/>
              </w:rPr>
            </w:pPr>
            <w:r>
              <w:rPr>
                <w:rFonts w:hint="eastAsia" w:eastAsia="仿宋_GB2312"/>
                <w:szCs w:val="21"/>
              </w:rPr>
              <w:t>5.13</w:t>
            </w:r>
            <w:r>
              <w:rPr>
                <w:rFonts w:eastAsia="仿宋_GB2312"/>
                <w:szCs w:val="21"/>
              </w:rPr>
              <w:t>×10</w:t>
            </w:r>
            <w:r>
              <w:rPr>
                <w:rFonts w:eastAsia="仿宋_GB2312"/>
                <w:szCs w:val="21"/>
                <w:vertAlign w:val="superscript"/>
              </w:rPr>
              <w:t>-</w:t>
            </w:r>
            <w:r>
              <w:rPr>
                <w:rFonts w:hint="eastAsia" w:eastAsia="仿宋_GB2312"/>
                <w:szCs w:val="21"/>
                <w:vertAlign w:val="superscript"/>
              </w:rPr>
              <w:t>4</w:t>
            </w:r>
          </w:p>
        </w:tc>
        <w:tc>
          <w:tcPr>
            <w:tcW w:w="1085" w:type="pct"/>
            <w:vMerge w:val="continue"/>
            <w:tcBorders>
              <w:tl2br w:val="nil"/>
              <w:tr2bl w:val="nil"/>
            </w:tcBorders>
            <w:shd w:val="clear" w:color="auto" w:fill="auto"/>
            <w:vAlign w:val="center"/>
          </w:tcPr>
          <w:p w14:paraId="3399579C">
            <w:pPr>
              <w:snapToGrid w:val="0"/>
              <w:spacing w:line="270" w:lineRule="exact"/>
              <w:jc w:val="center"/>
              <w:rPr>
                <w:rFonts w:eastAsia="仿宋_GB2312"/>
                <w:szCs w:val="21"/>
              </w:rPr>
            </w:pPr>
          </w:p>
        </w:tc>
        <w:tc>
          <w:tcPr>
            <w:tcW w:w="449" w:type="pct"/>
            <w:tcBorders>
              <w:tl2br w:val="nil"/>
              <w:tr2bl w:val="nil"/>
            </w:tcBorders>
            <w:shd w:val="clear" w:color="auto" w:fill="auto"/>
            <w:vAlign w:val="center"/>
          </w:tcPr>
          <w:p w14:paraId="1CC2B91E">
            <w:pPr>
              <w:snapToGrid w:val="0"/>
              <w:spacing w:line="270" w:lineRule="exact"/>
              <w:jc w:val="center"/>
              <w:rPr>
                <w:rFonts w:eastAsia="仿宋_GB2312"/>
                <w:szCs w:val="21"/>
              </w:rPr>
            </w:pPr>
            <w:r>
              <w:rPr>
                <w:rFonts w:eastAsia="仿宋_GB2312"/>
                <w:szCs w:val="21"/>
              </w:rPr>
              <w:t>0.5</w:t>
            </w:r>
          </w:p>
        </w:tc>
        <w:tc>
          <w:tcPr>
            <w:tcW w:w="431" w:type="pct"/>
            <w:tcBorders>
              <w:tl2br w:val="nil"/>
              <w:tr2bl w:val="nil"/>
            </w:tcBorders>
            <w:shd w:val="clear" w:color="auto" w:fill="auto"/>
            <w:vAlign w:val="center"/>
          </w:tcPr>
          <w:p w14:paraId="75446546">
            <w:pPr>
              <w:snapToGrid w:val="0"/>
              <w:spacing w:line="270" w:lineRule="exact"/>
              <w:jc w:val="center"/>
              <w:rPr>
                <w:rFonts w:eastAsia="仿宋_GB2312"/>
                <w:szCs w:val="21"/>
              </w:rPr>
            </w:pPr>
            <w:r>
              <w:rPr>
                <w:rFonts w:eastAsia="仿宋_GB2312"/>
                <w:szCs w:val="21"/>
              </w:rPr>
              <w:t>/</w:t>
            </w:r>
          </w:p>
        </w:tc>
      </w:tr>
      <w:tr w14:paraId="74AEA2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380" w:type="pct"/>
            <w:vMerge w:val="continue"/>
            <w:tcBorders>
              <w:tl2br w:val="nil"/>
              <w:tr2bl w:val="nil"/>
            </w:tcBorders>
            <w:shd w:val="clear" w:color="auto" w:fill="auto"/>
            <w:vAlign w:val="center"/>
          </w:tcPr>
          <w:p w14:paraId="59C80275">
            <w:pPr>
              <w:snapToGrid w:val="0"/>
              <w:jc w:val="center"/>
              <w:rPr>
                <w:rFonts w:eastAsia="仿宋_GB2312"/>
                <w:color w:val="FF0000"/>
                <w:szCs w:val="21"/>
              </w:rPr>
            </w:pPr>
          </w:p>
        </w:tc>
        <w:tc>
          <w:tcPr>
            <w:tcW w:w="408" w:type="pct"/>
            <w:vMerge w:val="continue"/>
            <w:tcBorders>
              <w:tl2br w:val="nil"/>
              <w:tr2bl w:val="nil"/>
            </w:tcBorders>
            <w:shd w:val="clear" w:color="auto" w:fill="auto"/>
            <w:vAlign w:val="center"/>
          </w:tcPr>
          <w:p w14:paraId="69133A89">
            <w:pPr>
              <w:snapToGrid w:val="0"/>
              <w:jc w:val="center"/>
              <w:rPr>
                <w:rFonts w:eastAsia="仿宋_GB2312"/>
                <w:szCs w:val="21"/>
              </w:rPr>
            </w:pPr>
          </w:p>
        </w:tc>
        <w:tc>
          <w:tcPr>
            <w:tcW w:w="781" w:type="pct"/>
            <w:tcBorders>
              <w:tl2br w:val="nil"/>
              <w:tr2bl w:val="nil"/>
            </w:tcBorders>
            <w:shd w:val="clear" w:color="auto" w:fill="auto"/>
            <w:vAlign w:val="center"/>
          </w:tcPr>
          <w:p w14:paraId="21B99986">
            <w:pPr>
              <w:snapToGrid w:val="0"/>
              <w:spacing w:line="284" w:lineRule="exact"/>
              <w:jc w:val="center"/>
              <w:rPr>
                <w:rFonts w:eastAsia="仿宋_GB2312"/>
                <w:szCs w:val="21"/>
              </w:rPr>
            </w:pPr>
            <w:r>
              <w:rPr>
                <w:rFonts w:eastAsia="仿宋_GB2312"/>
                <w:szCs w:val="21"/>
              </w:rPr>
              <w:t>铊及其化合物</w:t>
            </w:r>
          </w:p>
        </w:tc>
        <w:tc>
          <w:tcPr>
            <w:tcW w:w="460" w:type="pct"/>
            <w:vMerge w:val="continue"/>
            <w:tcBorders>
              <w:tl2br w:val="nil"/>
              <w:tr2bl w:val="nil"/>
            </w:tcBorders>
            <w:shd w:val="clear" w:color="auto" w:fill="auto"/>
            <w:vAlign w:val="center"/>
          </w:tcPr>
          <w:p w14:paraId="684377E7">
            <w:pPr>
              <w:snapToGrid w:val="0"/>
              <w:spacing w:line="270" w:lineRule="exact"/>
              <w:jc w:val="center"/>
              <w:rPr>
                <w:rFonts w:eastAsia="仿宋_GB2312"/>
                <w:color w:val="FF0000"/>
                <w:szCs w:val="21"/>
              </w:rPr>
            </w:pPr>
          </w:p>
        </w:tc>
        <w:tc>
          <w:tcPr>
            <w:tcW w:w="473" w:type="pct"/>
            <w:tcBorders>
              <w:tl2br w:val="nil"/>
              <w:tr2bl w:val="nil"/>
            </w:tcBorders>
            <w:shd w:val="clear" w:color="auto" w:fill="auto"/>
            <w:vAlign w:val="center"/>
          </w:tcPr>
          <w:p w14:paraId="7F5BCB08">
            <w:pPr>
              <w:snapToGrid w:val="0"/>
              <w:spacing w:line="270" w:lineRule="exact"/>
              <w:jc w:val="center"/>
              <w:rPr>
                <w:rFonts w:eastAsia="仿宋_GB2312"/>
                <w:szCs w:val="21"/>
              </w:rPr>
            </w:pPr>
            <w:r>
              <w:rPr>
                <w:rFonts w:hint="eastAsia" w:eastAsia="仿宋_GB2312"/>
                <w:szCs w:val="21"/>
              </w:rPr>
              <w:t>ND</w:t>
            </w:r>
          </w:p>
        </w:tc>
        <w:tc>
          <w:tcPr>
            <w:tcW w:w="530" w:type="pct"/>
            <w:tcBorders>
              <w:tl2br w:val="nil"/>
              <w:tr2bl w:val="nil"/>
            </w:tcBorders>
            <w:shd w:val="clear" w:color="auto" w:fill="auto"/>
            <w:vAlign w:val="center"/>
          </w:tcPr>
          <w:p w14:paraId="7F88E43E">
            <w:pPr>
              <w:snapToGrid w:val="0"/>
              <w:spacing w:line="270" w:lineRule="exact"/>
              <w:jc w:val="center"/>
              <w:rPr>
                <w:rFonts w:eastAsia="仿宋_GB2312"/>
                <w:szCs w:val="21"/>
              </w:rPr>
            </w:pPr>
            <w:r>
              <w:rPr>
                <w:rFonts w:hint="eastAsia" w:eastAsia="仿宋_GB2312"/>
                <w:szCs w:val="21"/>
              </w:rPr>
              <w:t>/</w:t>
            </w:r>
          </w:p>
        </w:tc>
        <w:tc>
          <w:tcPr>
            <w:tcW w:w="1085" w:type="pct"/>
            <w:vMerge w:val="continue"/>
            <w:tcBorders>
              <w:tl2br w:val="nil"/>
              <w:tr2bl w:val="nil"/>
            </w:tcBorders>
            <w:shd w:val="clear" w:color="auto" w:fill="auto"/>
            <w:vAlign w:val="center"/>
          </w:tcPr>
          <w:p w14:paraId="41A925EB">
            <w:pPr>
              <w:snapToGrid w:val="0"/>
              <w:spacing w:line="270" w:lineRule="exact"/>
              <w:jc w:val="center"/>
              <w:rPr>
                <w:rFonts w:eastAsia="仿宋_GB2312"/>
                <w:szCs w:val="21"/>
              </w:rPr>
            </w:pPr>
          </w:p>
        </w:tc>
        <w:tc>
          <w:tcPr>
            <w:tcW w:w="449" w:type="pct"/>
            <w:tcBorders>
              <w:tl2br w:val="nil"/>
              <w:tr2bl w:val="nil"/>
            </w:tcBorders>
            <w:shd w:val="clear" w:color="auto" w:fill="auto"/>
            <w:vAlign w:val="center"/>
          </w:tcPr>
          <w:p w14:paraId="11208AE8">
            <w:pPr>
              <w:snapToGrid w:val="0"/>
              <w:spacing w:line="284" w:lineRule="exact"/>
              <w:jc w:val="center"/>
              <w:rPr>
                <w:rFonts w:eastAsia="仿宋_GB2312"/>
                <w:szCs w:val="21"/>
              </w:rPr>
            </w:pPr>
            <w:r>
              <w:rPr>
                <w:rFonts w:eastAsia="仿宋_GB2312"/>
                <w:szCs w:val="21"/>
              </w:rPr>
              <w:t>0.05</w:t>
            </w:r>
          </w:p>
        </w:tc>
        <w:tc>
          <w:tcPr>
            <w:tcW w:w="431" w:type="pct"/>
            <w:tcBorders>
              <w:tl2br w:val="nil"/>
              <w:tr2bl w:val="nil"/>
            </w:tcBorders>
            <w:shd w:val="clear" w:color="auto" w:fill="auto"/>
            <w:vAlign w:val="center"/>
          </w:tcPr>
          <w:p w14:paraId="287D944A">
            <w:pPr>
              <w:snapToGrid w:val="0"/>
              <w:spacing w:line="284" w:lineRule="exact"/>
              <w:jc w:val="center"/>
              <w:rPr>
                <w:rFonts w:eastAsia="仿宋_GB2312"/>
                <w:szCs w:val="21"/>
              </w:rPr>
            </w:pPr>
            <w:r>
              <w:rPr>
                <w:rFonts w:eastAsia="仿宋_GB2312"/>
                <w:szCs w:val="21"/>
              </w:rPr>
              <w:t>/</w:t>
            </w:r>
          </w:p>
        </w:tc>
      </w:tr>
      <w:tr w14:paraId="68B1B6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380" w:type="pct"/>
            <w:vMerge w:val="continue"/>
            <w:tcBorders>
              <w:tl2br w:val="nil"/>
              <w:tr2bl w:val="nil"/>
            </w:tcBorders>
            <w:shd w:val="clear" w:color="auto" w:fill="auto"/>
            <w:vAlign w:val="center"/>
          </w:tcPr>
          <w:p w14:paraId="6AA04E2C">
            <w:pPr>
              <w:snapToGrid w:val="0"/>
              <w:jc w:val="center"/>
              <w:rPr>
                <w:rFonts w:eastAsia="仿宋_GB2312"/>
                <w:color w:val="FF0000"/>
                <w:szCs w:val="21"/>
              </w:rPr>
            </w:pPr>
          </w:p>
        </w:tc>
        <w:tc>
          <w:tcPr>
            <w:tcW w:w="408" w:type="pct"/>
            <w:tcBorders>
              <w:tl2br w:val="nil"/>
              <w:tr2bl w:val="nil"/>
            </w:tcBorders>
            <w:shd w:val="clear" w:color="auto" w:fill="auto"/>
            <w:vAlign w:val="center"/>
          </w:tcPr>
          <w:p w14:paraId="22E3ED97">
            <w:pPr>
              <w:snapToGrid w:val="0"/>
              <w:jc w:val="center"/>
              <w:rPr>
                <w:rFonts w:eastAsia="仿宋_GB2312"/>
                <w:szCs w:val="21"/>
              </w:rPr>
            </w:pPr>
            <w:r>
              <w:rPr>
                <w:rFonts w:hint="eastAsia" w:eastAsia="仿宋_GB2312"/>
                <w:szCs w:val="21"/>
              </w:rPr>
              <w:t>2026.6.2</w:t>
            </w:r>
          </w:p>
        </w:tc>
        <w:tc>
          <w:tcPr>
            <w:tcW w:w="781" w:type="pct"/>
            <w:tcBorders>
              <w:tl2br w:val="nil"/>
              <w:tr2bl w:val="nil"/>
            </w:tcBorders>
            <w:shd w:val="clear" w:color="auto" w:fill="auto"/>
            <w:vAlign w:val="center"/>
          </w:tcPr>
          <w:p w14:paraId="1D1E7A25">
            <w:pPr>
              <w:snapToGrid w:val="0"/>
              <w:spacing w:line="270" w:lineRule="exact"/>
              <w:jc w:val="center"/>
              <w:rPr>
                <w:rFonts w:eastAsia="仿宋_GB2312"/>
                <w:szCs w:val="21"/>
              </w:rPr>
            </w:pPr>
            <w:r>
              <w:rPr>
                <w:rFonts w:eastAsia="仿宋_GB2312"/>
                <w:szCs w:val="21"/>
              </w:rPr>
              <w:t>二</w:t>
            </w:r>
            <w:r>
              <w:rPr>
                <w:szCs w:val="21"/>
              </w:rPr>
              <w:t>噁</w:t>
            </w:r>
            <w:r>
              <w:rPr>
                <w:rFonts w:eastAsia="仿宋_GB2312"/>
                <w:szCs w:val="21"/>
              </w:rPr>
              <w:t>英(ng-TEQ/m</w:t>
            </w:r>
            <w:r>
              <w:rPr>
                <w:rFonts w:eastAsia="仿宋_GB2312"/>
                <w:szCs w:val="21"/>
                <w:vertAlign w:val="superscript"/>
              </w:rPr>
              <w:t>3</w:t>
            </w:r>
            <w:r>
              <w:rPr>
                <w:rFonts w:eastAsia="仿宋_GB2312"/>
                <w:szCs w:val="21"/>
              </w:rPr>
              <w:t>)</w:t>
            </w:r>
          </w:p>
        </w:tc>
        <w:tc>
          <w:tcPr>
            <w:tcW w:w="460" w:type="pct"/>
            <w:vMerge w:val="continue"/>
            <w:tcBorders>
              <w:tl2br w:val="nil"/>
              <w:tr2bl w:val="nil"/>
            </w:tcBorders>
            <w:shd w:val="clear" w:color="auto" w:fill="auto"/>
            <w:vAlign w:val="center"/>
          </w:tcPr>
          <w:p w14:paraId="3540B170">
            <w:pPr>
              <w:snapToGrid w:val="0"/>
              <w:spacing w:line="270" w:lineRule="exact"/>
              <w:jc w:val="center"/>
              <w:rPr>
                <w:rFonts w:eastAsia="仿宋_GB2312"/>
                <w:color w:val="FF0000"/>
                <w:szCs w:val="21"/>
              </w:rPr>
            </w:pPr>
          </w:p>
        </w:tc>
        <w:tc>
          <w:tcPr>
            <w:tcW w:w="473" w:type="pct"/>
            <w:tcBorders>
              <w:tl2br w:val="nil"/>
              <w:tr2bl w:val="nil"/>
            </w:tcBorders>
            <w:shd w:val="clear" w:color="auto" w:fill="auto"/>
            <w:vAlign w:val="center"/>
          </w:tcPr>
          <w:p w14:paraId="0DE3E0EB">
            <w:pPr>
              <w:snapToGrid w:val="0"/>
              <w:spacing w:line="270" w:lineRule="exact"/>
              <w:jc w:val="center"/>
              <w:rPr>
                <w:rFonts w:eastAsia="仿宋_GB2312"/>
                <w:szCs w:val="21"/>
              </w:rPr>
            </w:pPr>
            <w:r>
              <w:rPr>
                <w:rFonts w:hint="eastAsia" w:eastAsia="仿宋_GB2312"/>
                <w:szCs w:val="21"/>
              </w:rPr>
              <w:t>0.071</w:t>
            </w:r>
          </w:p>
        </w:tc>
        <w:tc>
          <w:tcPr>
            <w:tcW w:w="530" w:type="pct"/>
            <w:tcBorders>
              <w:tl2br w:val="nil"/>
              <w:tr2bl w:val="nil"/>
            </w:tcBorders>
            <w:shd w:val="clear" w:color="auto" w:fill="auto"/>
            <w:vAlign w:val="center"/>
          </w:tcPr>
          <w:p w14:paraId="7A3858EE">
            <w:pPr>
              <w:snapToGrid w:val="0"/>
              <w:spacing w:line="270" w:lineRule="exact"/>
              <w:jc w:val="center"/>
              <w:rPr>
                <w:rFonts w:eastAsia="仿宋_GB2312"/>
                <w:szCs w:val="21"/>
              </w:rPr>
            </w:pPr>
            <w:r>
              <w:rPr>
                <w:rFonts w:hint="eastAsia" w:eastAsia="仿宋_GB2312"/>
                <w:szCs w:val="21"/>
              </w:rPr>
              <w:t>/</w:t>
            </w:r>
          </w:p>
        </w:tc>
        <w:tc>
          <w:tcPr>
            <w:tcW w:w="1085" w:type="pct"/>
            <w:vMerge w:val="continue"/>
            <w:tcBorders>
              <w:tl2br w:val="nil"/>
              <w:tr2bl w:val="nil"/>
            </w:tcBorders>
            <w:shd w:val="clear" w:color="auto" w:fill="auto"/>
            <w:vAlign w:val="center"/>
          </w:tcPr>
          <w:p w14:paraId="5EB8A030">
            <w:pPr>
              <w:snapToGrid w:val="0"/>
              <w:spacing w:line="270" w:lineRule="exact"/>
              <w:jc w:val="center"/>
              <w:rPr>
                <w:rFonts w:eastAsia="仿宋_GB2312"/>
                <w:szCs w:val="21"/>
              </w:rPr>
            </w:pPr>
          </w:p>
        </w:tc>
        <w:tc>
          <w:tcPr>
            <w:tcW w:w="449" w:type="pct"/>
            <w:tcBorders>
              <w:tl2br w:val="nil"/>
              <w:tr2bl w:val="nil"/>
            </w:tcBorders>
            <w:shd w:val="clear" w:color="auto" w:fill="auto"/>
            <w:vAlign w:val="center"/>
          </w:tcPr>
          <w:p w14:paraId="6BE649D8">
            <w:pPr>
              <w:snapToGrid w:val="0"/>
              <w:spacing w:line="270" w:lineRule="exact"/>
              <w:jc w:val="center"/>
              <w:rPr>
                <w:rFonts w:eastAsia="仿宋_GB2312"/>
                <w:szCs w:val="21"/>
              </w:rPr>
            </w:pPr>
            <w:r>
              <w:rPr>
                <w:rFonts w:eastAsia="仿宋_GB2312"/>
                <w:szCs w:val="21"/>
              </w:rPr>
              <w:t>0.5</w:t>
            </w:r>
          </w:p>
        </w:tc>
        <w:tc>
          <w:tcPr>
            <w:tcW w:w="431" w:type="pct"/>
            <w:tcBorders>
              <w:tl2br w:val="nil"/>
              <w:tr2bl w:val="nil"/>
            </w:tcBorders>
            <w:shd w:val="clear" w:color="auto" w:fill="auto"/>
            <w:vAlign w:val="center"/>
          </w:tcPr>
          <w:p w14:paraId="7CABDFB2">
            <w:pPr>
              <w:snapToGrid w:val="0"/>
              <w:spacing w:line="270" w:lineRule="exact"/>
              <w:jc w:val="center"/>
              <w:rPr>
                <w:rFonts w:eastAsia="仿宋_GB2312"/>
                <w:szCs w:val="21"/>
              </w:rPr>
            </w:pPr>
            <w:r>
              <w:rPr>
                <w:rFonts w:eastAsia="仿宋_GB2312"/>
                <w:szCs w:val="21"/>
              </w:rPr>
              <w:t>/</w:t>
            </w:r>
          </w:p>
        </w:tc>
      </w:tr>
      <w:tr w14:paraId="059216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380" w:type="pct"/>
            <w:vMerge w:val="continue"/>
            <w:tcBorders>
              <w:tl2br w:val="nil"/>
              <w:tr2bl w:val="nil"/>
            </w:tcBorders>
            <w:shd w:val="clear" w:color="auto" w:fill="auto"/>
            <w:vAlign w:val="center"/>
          </w:tcPr>
          <w:p w14:paraId="04A61E89">
            <w:pPr>
              <w:snapToGrid w:val="0"/>
              <w:jc w:val="center"/>
              <w:rPr>
                <w:rFonts w:eastAsia="仿宋_GB2312"/>
                <w:color w:val="FF0000"/>
                <w:szCs w:val="21"/>
              </w:rPr>
            </w:pPr>
          </w:p>
        </w:tc>
        <w:tc>
          <w:tcPr>
            <w:tcW w:w="408" w:type="pct"/>
            <w:vMerge w:val="restart"/>
            <w:tcBorders>
              <w:tl2br w:val="nil"/>
              <w:tr2bl w:val="nil"/>
            </w:tcBorders>
            <w:shd w:val="clear" w:color="auto" w:fill="auto"/>
            <w:vAlign w:val="center"/>
          </w:tcPr>
          <w:p w14:paraId="73EE26DD">
            <w:pPr>
              <w:snapToGrid w:val="0"/>
              <w:jc w:val="center"/>
              <w:rPr>
                <w:rFonts w:eastAsia="仿宋_GB2312"/>
                <w:color w:val="FF0000"/>
                <w:szCs w:val="21"/>
              </w:rPr>
            </w:pPr>
            <w:r>
              <w:rPr>
                <w:rFonts w:hint="eastAsia" w:eastAsia="仿宋_GB2312"/>
                <w:bCs/>
                <w:kern w:val="0"/>
                <w:szCs w:val="21"/>
              </w:rPr>
              <w:t>2026.5.27</w:t>
            </w:r>
          </w:p>
        </w:tc>
        <w:tc>
          <w:tcPr>
            <w:tcW w:w="781" w:type="pct"/>
            <w:tcBorders>
              <w:tl2br w:val="nil"/>
              <w:tr2bl w:val="nil"/>
            </w:tcBorders>
            <w:shd w:val="clear" w:color="auto" w:fill="auto"/>
            <w:vAlign w:val="center"/>
          </w:tcPr>
          <w:p w14:paraId="1255D5DD">
            <w:pPr>
              <w:snapToGrid w:val="0"/>
              <w:spacing w:line="270" w:lineRule="exact"/>
              <w:jc w:val="center"/>
              <w:rPr>
                <w:rFonts w:eastAsia="仿宋_GB2312"/>
                <w:szCs w:val="21"/>
              </w:rPr>
            </w:pPr>
            <w:r>
              <w:rPr>
                <w:rFonts w:eastAsia="仿宋_GB2312"/>
                <w:szCs w:val="21"/>
              </w:rPr>
              <w:t>氟化氢</w:t>
            </w:r>
          </w:p>
        </w:tc>
        <w:tc>
          <w:tcPr>
            <w:tcW w:w="460" w:type="pct"/>
            <w:vMerge w:val="continue"/>
            <w:tcBorders>
              <w:tl2br w:val="nil"/>
              <w:tr2bl w:val="nil"/>
            </w:tcBorders>
            <w:shd w:val="clear" w:color="auto" w:fill="auto"/>
            <w:vAlign w:val="center"/>
          </w:tcPr>
          <w:p w14:paraId="01FA3038">
            <w:pPr>
              <w:snapToGrid w:val="0"/>
              <w:spacing w:line="270" w:lineRule="exact"/>
              <w:jc w:val="center"/>
              <w:rPr>
                <w:rFonts w:eastAsia="仿宋_GB2312"/>
                <w:color w:val="FF0000"/>
                <w:szCs w:val="21"/>
              </w:rPr>
            </w:pPr>
          </w:p>
        </w:tc>
        <w:tc>
          <w:tcPr>
            <w:tcW w:w="473" w:type="pct"/>
            <w:tcBorders>
              <w:tl2br w:val="nil"/>
              <w:tr2bl w:val="nil"/>
            </w:tcBorders>
            <w:shd w:val="clear" w:color="auto" w:fill="auto"/>
            <w:vAlign w:val="center"/>
          </w:tcPr>
          <w:p w14:paraId="761878E8">
            <w:pPr>
              <w:snapToGrid w:val="0"/>
              <w:spacing w:line="270" w:lineRule="exact"/>
              <w:jc w:val="center"/>
              <w:rPr>
                <w:rFonts w:eastAsia="仿宋_GB2312"/>
                <w:szCs w:val="21"/>
              </w:rPr>
            </w:pPr>
            <w:r>
              <w:rPr>
                <w:rFonts w:hint="eastAsia" w:eastAsia="仿宋_GB2312"/>
                <w:szCs w:val="21"/>
              </w:rPr>
              <w:t>0.23</w:t>
            </w:r>
          </w:p>
        </w:tc>
        <w:tc>
          <w:tcPr>
            <w:tcW w:w="530" w:type="pct"/>
            <w:tcBorders>
              <w:tl2br w:val="nil"/>
              <w:tr2bl w:val="nil"/>
            </w:tcBorders>
            <w:shd w:val="clear" w:color="auto" w:fill="auto"/>
            <w:vAlign w:val="center"/>
          </w:tcPr>
          <w:p w14:paraId="23E34EB3">
            <w:pPr>
              <w:snapToGrid w:val="0"/>
              <w:spacing w:line="270" w:lineRule="exact"/>
              <w:jc w:val="center"/>
              <w:rPr>
                <w:rFonts w:eastAsia="仿宋_GB2312"/>
                <w:szCs w:val="21"/>
              </w:rPr>
            </w:pPr>
            <w:r>
              <w:rPr>
                <w:rFonts w:hint="eastAsia" w:eastAsia="仿宋_GB2312"/>
                <w:szCs w:val="21"/>
              </w:rPr>
              <w:t>1.08</w:t>
            </w:r>
            <w:r>
              <w:rPr>
                <w:rFonts w:eastAsia="仿宋_GB2312"/>
                <w:szCs w:val="21"/>
              </w:rPr>
              <w:t>×10</w:t>
            </w:r>
            <w:r>
              <w:rPr>
                <w:rFonts w:eastAsia="仿宋_GB2312"/>
                <w:szCs w:val="21"/>
                <w:vertAlign w:val="superscript"/>
              </w:rPr>
              <w:t>-</w:t>
            </w:r>
            <w:r>
              <w:rPr>
                <w:rFonts w:hint="eastAsia" w:eastAsia="仿宋_GB2312"/>
                <w:szCs w:val="21"/>
                <w:vertAlign w:val="superscript"/>
              </w:rPr>
              <w:t>2</w:t>
            </w:r>
          </w:p>
        </w:tc>
        <w:tc>
          <w:tcPr>
            <w:tcW w:w="1085" w:type="pct"/>
            <w:vMerge w:val="continue"/>
            <w:tcBorders>
              <w:tl2br w:val="nil"/>
              <w:tr2bl w:val="nil"/>
            </w:tcBorders>
            <w:shd w:val="clear" w:color="auto" w:fill="auto"/>
            <w:vAlign w:val="center"/>
          </w:tcPr>
          <w:p w14:paraId="624F0184">
            <w:pPr>
              <w:snapToGrid w:val="0"/>
              <w:spacing w:line="270" w:lineRule="exact"/>
              <w:jc w:val="center"/>
              <w:rPr>
                <w:rFonts w:eastAsia="仿宋_GB2312"/>
                <w:szCs w:val="21"/>
              </w:rPr>
            </w:pPr>
          </w:p>
        </w:tc>
        <w:tc>
          <w:tcPr>
            <w:tcW w:w="449" w:type="pct"/>
            <w:tcBorders>
              <w:tl2br w:val="nil"/>
              <w:tr2bl w:val="nil"/>
            </w:tcBorders>
            <w:shd w:val="clear" w:color="auto" w:fill="auto"/>
            <w:vAlign w:val="center"/>
          </w:tcPr>
          <w:p w14:paraId="0BFA12A7">
            <w:pPr>
              <w:snapToGrid w:val="0"/>
              <w:spacing w:line="270" w:lineRule="exact"/>
              <w:jc w:val="center"/>
              <w:rPr>
                <w:rFonts w:eastAsia="仿宋_GB2312"/>
                <w:szCs w:val="21"/>
              </w:rPr>
            </w:pPr>
            <w:r>
              <w:rPr>
                <w:rFonts w:eastAsia="仿宋_GB2312"/>
                <w:szCs w:val="21"/>
              </w:rPr>
              <w:t>4</w:t>
            </w:r>
          </w:p>
        </w:tc>
        <w:tc>
          <w:tcPr>
            <w:tcW w:w="431" w:type="pct"/>
            <w:tcBorders>
              <w:tl2br w:val="nil"/>
              <w:tr2bl w:val="nil"/>
            </w:tcBorders>
            <w:shd w:val="clear" w:color="auto" w:fill="auto"/>
            <w:vAlign w:val="center"/>
          </w:tcPr>
          <w:p w14:paraId="13AA4126">
            <w:pPr>
              <w:snapToGrid w:val="0"/>
              <w:spacing w:line="270" w:lineRule="exact"/>
              <w:jc w:val="center"/>
              <w:rPr>
                <w:rFonts w:eastAsia="仿宋_GB2312"/>
                <w:szCs w:val="21"/>
              </w:rPr>
            </w:pPr>
            <w:r>
              <w:rPr>
                <w:rFonts w:eastAsia="仿宋_GB2312"/>
                <w:szCs w:val="21"/>
              </w:rPr>
              <w:t>/</w:t>
            </w:r>
          </w:p>
        </w:tc>
      </w:tr>
      <w:tr w14:paraId="678295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380" w:type="pct"/>
            <w:vMerge w:val="continue"/>
            <w:tcBorders>
              <w:tl2br w:val="nil"/>
              <w:tr2bl w:val="nil"/>
            </w:tcBorders>
            <w:shd w:val="clear" w:color="auto" w:fill="auto"/>
            <w:vAlign w:val="center"/>
          </w:tcPr>
          <w:p w14:paraId="506DD34C">
            <w:pPr>
              <w:snapToGrid w:val="0"/>
              <w:jc w:val="center"/>
              <w:rPr>
                <w:rFonts w:eastAsia="仿宋_GB2312"/>
                <w:color w:val="FF0000"/>
                <w:szCs w:val="21"/>
              </w:rPr>
            </w:pPr>
          </w:p>
        </w:tc>
        <w:tc>
          <w:tcPr>
            <w:tcW w:w="408" w:type="pct"/>
            <w:vMerge w:val="continue"/>
            <w:tcBorders>
              <w:tl2br w:val="nil"/>
              <w:tr2bl w:val="nil"/>
            </w:tcBorders>
            <w:shd w:val="clear" w:color="auto" w:fill="auto"/>
            <w:vAlign w:val="center"/>
          </w:tcPr>
          <w:p w14:paraId="204FF037">
            <w:pPr>
              <w:snapToGrid w:val="0"/>
              <w:jc w:val="center"/>
              <w:rPr>
                <w:rFonts w:eastAsia="仿宋_GB2312"/>
                <w:color w:val="FF0000"/>
                <w:szCs w:val="21"/>
              </w:rPr>
            </w:pPr>
          </w:p>
        </w:tc>
        <w:tc>
          <w:tcPr>
            <w:tcW w:w="781" w:type="pct"/>
            <w:tcBorders>
              <w:tl2br w:val="nil"/>
              <w:tr2bl w:val="nil"/>
            </w:tcBorders>
            <w:shd w:val="clear" w:color="auto" w:fill="auto"/>
            <w:vAlign w:val="center"/>
          </w:tcPr>
          <w:p w14:paraId="35BF2D25">
            <w:pPr>
              <w:snapToGrid w:val="0"/>
              <w:spacing w:line="270" w:lineRule="exact"/>
              <w:jc w:val="center"/>
              <w:rPr>
                <w:rFonts w:eastAsia="仿宋_GB2312"/>
                <w:szCs w:val="21"/>
              </w:rPr>
            </w:pPr>
            <w:r>
              <w:rPr>
                <w:rFonts w:eastAsia="仿宋_GB2312"/>
                <w:szCs w:val="21"/>
              </w:rPr>
              <w:t>汞及其化合物</w:t>
            </w:r>
          </w:p>
        </w:tc>
        <w:tc>
          <w:tcPr>
            <w:tcW w:w="460" w:type="pct"/>
            <w:vMerge w:val="continue"/>
            <w:tcBorders>
              <w:tl2br w:val="nil"/>
              <w:tr2bl w:val="nil"/>
            </w:tcBorders>
            <w:shd w:val="clear" w:color="auto" w:fill="auto"/>
            <w:vAlign w:val="center"/>
          </w:tcPr>
          <w:p w14:paraId="0233C301">
            <w:pPr>
              <w:snapToGrid w:val="0"/>
              <w:spacing w:line="270" w:lineRule="exact"/>
              <w:jc w:val="center"/>
              <w:rPr>
                <w:rFonts w:eastAsia="仿宋_GB2312"/>
                <w:color w:val="FF0000"/>
                <w:szCs w:val="21"/>
              </w:rPr>
            </w:pPr>
          </w:p>
        </w:tc>
        <w:tc>
          <w:tcPr>
            <w:tcW w:w="473" w:type="pct"/>
            <w:tcBorders>
              <w:tl2br w:val="nil"/>
              <w:tr2bl w:val="nil"/>
            </w:tcBorders>
            <w:shd w:val="clear" w:color="auto" w:fill="auto"/>
            <w:vAlign w:val="center"/>
          </w:tcPr>
          <w:p w14:paraId="16CCB9AF">
            <w:pPr>
              <w:snapToGrid w:val="0"/>
              <w:spacing w:line="270" w:lineRule="exact"/>
              <w:jc w:val="center"/>
              <w:rPr>
                <w:rFonts w:eastAsia="仿宋_GB2312"/>
                <w:szCs w:val="21"/>
              </w:rPr>
            </w:pPr>
            <w:r>
              <w:rPr>
                <w:rFonts w:hint="eastAsia" w:eastAsia="仿宋_GB2312"/>
                <w:szCs w:val="21"/>
              </w:rPr>
              <w:t>ND</w:t>
            </w:r>
          </w:p>
        </w:tc>
        <w:tc>
          <w:tcPr>
            <w:tcW w:w="530" w:type="pct"/>
            <w:tcBorders>
              <w:tl2br w:val="nil"/>
              <w:tr2bl w:val="nil"/>
            </w:tcBorders>
            <w:shd w:val="clear" w:color="auto" w:fill="auto"/>
            <w:vAlign w:val="center"/>
          </w:tcPr>
          <w:p w14:paraId="46FC2A85">
            <w:pPr>
              <w:snapToGrid w:val="0"/>
              <w:spacing w:line="270" w:lineRule="exact"/>
              <w:jc w:val="center"/>
              <w:rPr>
                <w:rFonts w:eastAsia="仿宋_GB2312"/>
                <w:szCs w:val="21"/>
              </w:rPr>
            </w:pPr>
            <w:r>
              <w:rPr>
                <w:rFonts w:hint="eastAsia" w:eastAsia="仿宋_GB2312"/>
                <w:szCs w:val="21"/>
              </w:rPr>
              <w:t>/</w:t>
            </w:r>
          </w:p>
        </w:tc>
        <w:tc>
          <w:tcPr>
            <w:tcW w:w="1085" w:type="pct"/>
            <w:vMerge w:val="continue"/>
            <w:tcBorders>
              <w:tl2br w:val="nil"/>
              <w:tr2bl w:val="nil"/>
            </w:tcBorders>
            <w:shd w:val="clear" w:color="auto" w:fill="auto"/>
            <w:vAlign w:val="center"/>
          </w:tcPr>
          <w:p w14:paraId="52F806C8">
            <w:pPr>
              <w:snapToGrid w:val="0"/>
              <w:spacing w:line="270" w:lineRule="exact"/>
              <w:jc w:val="center"/>
              <w:rPr>
                <w:rFonts w:eastAsia="仿宋_GB2312"/>
                <w:szCs w:val="21"/>
              </w:rPr>
            </w:pPr>
          </w:p>
        </w:tc>
        <w:tc>
          <w:tcPr>
            <w:tcW w:w="449" w:type="pct"/>
            <w:tcBorders>
              <w:tl2br w:val="nil"/>
              <w:tr2bl w:val="nil"/>
            </w:tcBorders>
            <w:shd w:val="clear" w:color="auto" w:fill="auto"/>
            <w:vAlign w:val="center"/>
          </w:tcPr>
          <w:p w14:paraId="10291807">
            <w:pPr>
              <w:snapToGrid w:val="0"/>
              <w:spacing w:line="270" w:lineRule="exact"/>
              <w:jc w:val="center"/>
              <w:rPr>
                <w:rFonts w:eastAsia="仿宋_GB2312"/>
                <w:szCs w:val="21"/>
              </w:rPr>
            </w:pPr>
            <w:r>
              <w:rPr>
                <w:rFonts w:eastAsia="仿宋_GB2312"/>
                <w:szCs w:val="21"/>
              </w:rPr>
              <w:t>0.05</w:t>
            </w:r>
          </w:p>
        </w:tc>
        <w:tc>
          <w:tcPr>
            <w:tcW w:w="431" w:type="pct"/>
            <w:tcBorders>
              <w:tl2br w:val="nil"/>
              <w:tr2bl w:val="nil"/>
            </w:tcBorders>
            <w:shd w:val="clear" w:color="auto" w:fill="auto"/>
            <w:vAlign w:val="center"/>
          </w:tcPr>
          <w:p w14:paraId="138B7134">
            <w:pPr>
              <w:snapToGrid w:val="0"/>
              <w:spacing w:line="270" w:lineRule="exact"/>
              <w:jc w:val="center"/>
              <w:rPr>
                <w:rFonts w:eastAsia="仿宋_GB2312"/>
                <w:szCs w:val="21"/>
              </w:rPr>
            </w:pPr>
            <w:r>
              <w:rPr>
                <w:rFonts w:eastAsia="仿宋_GB2312"/>
                <w:szCs w:val="21"/>
              </w:rPr>
              <w:t>/</w:t>
            </w:r>
          </w:p>
        </w:tc>
      </w:tr>
      <w:tr w14:paraId="745092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380" w:type="pct"/>
            <w:vMerge w:val="continue"/>
            <w:tcBorders>
              <w:tl2br w:val="nil"/>
              <w:tr2bl w:val="nil"/>
            </w:tcBorders>
            <w:shd w:val="clear" w:color="auto" w:fill="auto"/>
            <w:vAlign w:val="center"/>
          </w:tcPr>
          <w:p w14:paraId="17A4D5C1">
            <w:pPr>
              <w:snapToGrid w:val="0"/>
              <w:jc w:val="center"/>
              <w:rPr>
                <w:rFonts w:eastAsia="仿宋_GB2312"/>
                <w:color w:val="FF0000"/>
                <w:szCs w:val="21"/>
              </w:rPr>
            </w:pPr>
          </w:p>
        </w:tc>
        <w:tc>
          <w:tcPr>
            <w:tcW w:w="408" w:type="pct"/>
            <w:vMerge w:val="continue"/>
            <w:tcBorders>
              <w:tl2br w:val="nil"/>
              <w:tr2bl w:val="nil"/>
            </w:tcBorders>
            <w:shd w:val="clear" w:color="auto" w:fill="auto"/>
            <w:vAlign w:val="center"/>
          </w:tcPr>
          <w:p w14:paraId="29A8F93F">
            <w:pPr>
              <w:snapToGrid w:val="0"/>
              <w:jc w:val="center"/>
              <w:rPr>
                <w:rFonts w:eastAsia="仿宋_GB2312"/>
                <w:color w:val="FF0000"/>
                <w:szCs w:val="21"/>
              </w:rPr>
            </w:pPr>
          </w:p>
        </w:tc>
        <w:tc>
          <w:tcPr>
            <w:tcW w:w="781" w:type="pct"/>
            <w:tcBorders>
              <w:tl2br w:val="nil"/>
              <w:tr2bl w:val="nil"/>
            </w:tcBorders>
            <w:shd w:val="clear" w:color="auto" w:fill="auto"/>
            <w:vAlign w:val="center"/>
          </w:tcPr>
          <w:p w14:paraId="526EBF33">
            <w:pPr>
              <w:snapToGrid w:val="0"/>
              <w:spacing w:line="270" w:lineRule="exact"/>
              <w:jc w:val="center"/>
              <w:rPr>
                <w:rFonts w:eastAsia="仿宋_GB2312"/>
                <w:color w:val="FF0000"/>
                <w:szCs w:val="21"/>
              </w:rPr>
            </w:pPr>
            <w:r>
              <w:rPr>
                <w:rFonts w:eastAsia="仿宋_GB2312"/>
                <w:szCs w:val="21"/>
              </w:rPr>
              <w:t>氨</w:t>
            </w:r>
          </w:p>
        </w:tc>
        <w:tc>
          <w:tcPr>
            <w:tcW w:w="460" w:type="pct"/>
            <w:vMerge w:val="continue"/>
            <w:tcBorders>
              <w:tl2br w:val="nil"/>
              <w:tr2bl w:val="nil"/>
            </w:tcBorders>
            <w:shd w:val="clear" w:color="auto" w:fill="auto"/>
            <w:vAlign w:val="center"/>
          </w:tcPr>
          <w:p w14:paraId="7DA9F525">
            <w:pPr>
              <w:snapToGrid w:val="0"/>
              <w:spacing w:line="270" w:lineRule="exact"/>
              <w:jc w:val="center"/>
              <w:rPr>
                <w:rFonts w:eastAsia="仿宋_GB2312"/>
                <w:color w:val="FF0000"/>
                <w:szCs w:val="21"/>
              </w:rPr>
            </w:pPr>
          </w:p>
        </w:tc>
        <w:tc>
          <w:tcPr>
            <w:tcW w:w="473" w:type="pct"/>
            <w:tcBorders>
              <w:tl2br w:val="nil"/>
              <w:tr2bl w:val="nil"/>
            </w:tcBorders>
            <w:shd w:val="clear" w:color="auto" w:fill="auto"/>
            <w:vAlign w:val="center"/>
          </w:tcPr>
          <w:p w14:paraId="7C2E82AD">
            <w:pPr>
              <w:snapToGrid w:val="0"/>
              <w:spacing w:line="270" w:lineRule="exact"/>
              <w:jc w:val="center"/>
              <w:rPr>
                <w:rFonts w:eastAsia="仿宋_GB2312"/>
                <w:szCs w:val="21"/>
              </w:rPr>
            </w:pPr>
            <w:r>
              <w:rPr>
                <w:rFonts w:hint="eastAsia" w:eastAsia="仿宋_GB2312"/>
                <w:szCs w:val="21"/>
              </w:rPr>
              <w:t>0.73</w:t>
            </w:r>
          </w:p>
        </w:tc>
        <w:tc>
          <w:tcPr>
            <w:tcW w:w="530" w:type="pct"/>
            <w:tcBorders>
              <w:tl2br w:val="nil"/>
              <w:tr2bl w:val="nil"/>
            </w:tcBorders>
            <w:shd w:val="clear" w:color="auto" w:fill="auto"/>
            <w:vAlign w:val="center"/>
          </w:tcPr>
          <w:p w14:paraId="1F5818F7">
            <w:pPr>
              <w:snapToGrid w:val="0"/>
              <w:spacing w:line="270" w:lineRule="exact"/>
              <w:jc w:val="center"/>
              <w:rPr>
                <w:rFonts w:eastAsia="仿宋_GB2312"/>
                <w:szCs w:val="21"/>
              </w:rPr>
            </w:pPr>
            <w:r>
              <w:rPr>
                <w:rFonts w:hint="eastAsia" w:eastAsia="仿宋_GB2312"/>
                <w:szCs w:val="21"/>
              </w:rPr>
              <w:t>3.42</w:t>
            </w:r>
            <w:r>
              <w:rPr>
                <w:rFonts w:eastAsia="仿宋_GB2312"/>
                <w:szCs w:val="21"/>
              </w:rPr>
              <w:t>×10</w:t>
            </w:r>
            <w:r>
              <w:rPr>
                <w:rFonts w:eastAsia="仿宋_GB2312"/>
                <w:szCs w:val="21"/>
                <w:vertAlign w:val="superscript"/>
              </w:rPr>
              <w:t>-</w:t>
            </w:r>
            <w:r>
              <w:rPr>
                <w:rFonts w:hint="eastAsia" w:eastAsia="仿宋_GB2312"/>
                <w:szCs w:val="21"/>
                <w:vertAlign w:val="superscript"/>
              </w:rPr>
              <w:t>2</w:t>
            </w:r>
          </w:p>
        </w:tc>
        <w:tc>
          <w:tcPr>
            <w:tcW w:w="1085" w:type="pct"/>
            <w:tcBorders>
              <w:tl2br w:val="nil"/>
              <w:tr2bl w:val="nil"/>
            </w:tcBorders>
            <w:shd w:val="clear" w:color="auto" w:fill="auto"/>
            <w:vAlign w:val="center"/>
          </w:tcPr>
          <w:p w14:paraId="11C287C9">
            <w:pPr>
              <w:widowControl/>
              <w:adjustRightInd w:val="0"/>
              <w:snapToGrid w:val="0"/>
              <w:spacing w:line="270" w:lineRule="exact"/>
              <w:jc w:val="center"/>
              <w:rPr>
                <w:rFonts w:eastAsia="仿宋_GB2312"/>
                <w:szCs w:val="21"/>
              </w:rPr>
            </w:pPr>
            <w:r>
              <w:rPr>
                <w:rFonts w:eastAsia="仿宋_GB2312"/>
                <w:szCs w:val="21"/>
              </w:rPr>
              <w:t>《恶臭污染物排放标准》（GB14554-93）</w:t>
            </w:r>
          </w:p>
        </w:tc>
        <w:tc>
          <w:tcPr>
            <w:tcW w:w="449" w:type="pct"/>
            <w:tcBorders>
              <w:tl2br w:val="nil"/>
              <w:tr2bl w:val="nil"/>
            </w:tcBorders>
            <w:shd w:val="clear" w:color="auto" w:fill="auto"/>
            <w:vAlign w:val="center"/>
          </w:tcPr>
          <w:p w14:paraId="6EDFEB81">
            <w:pPr>
              <w:snapToGrid w:val="0"/>
              <w:spacing w:line="270" w:lineRule="exact"/>
              <w:jc w:val="center"/>
              <w:rPr>
                <w:rFonts w:eastAsia="仿宋_GB2312"/>
                <w:szCs w:val="21"/>
              </w:rPr>
            </w:pPr>
            <w:r>
              <w:rPr>
                <w:rFonts w:eastAsia="仿宋_GB2312"/>
                <w:szCs w:val="21"/>
              </w:rPr>
              <w:t>/</w:t>
            </w:r>
          </w:p>
        </w:tc>
        <w:tc>
          <w:tcPr>
            <w:tcW w:w="431" w:type="pct"/>
            <w:tcBorders>
              <w:tl2br w:val="nil"/>
              <w:tr2bl w:val="nil"/>
            </w:tcBorders>
            <w:shd w:val="clear" w:color="auto" w:fill="auto"/>
            <w:vAlign w:val="center"/>
          </w:tcPr>
          <w:p w14:paraId="1F5AAAA0">
            <w:pPr>
              <w:snapToGrid w:val="0"/>
              <w:spacing w:line="270" w:lineRule="exact"/>
              <w:jc w:val="center"/>
              <w:rPr>
                <w:rFonts w:eastAsia="仿宋_GB2312"/>
                <w:szCs w:val="21"/>
              </w:rPr>
            </w:pPr>
            <w:r>
              <w:rPr>
                <w:rFonts w:eastAsia="仿宋_GB2312"/>
                <w:szCs w:val="21"/>
              </w:rPr>
              <w:t>55</w:t>
            </w:r>
          </w:p>
        </w:tc>
      </w:tr>
      <w:tr w14:paraId="03AADF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380" w:type="pct"/>
            <w:vMerge w:val="continue"/>
            <w:tcBorders>
              <w:tl2br w:val="nil"/>
              <w:tr2bl w:val="nil"/>
            </w:tcBorders>
            <w:shd w:val="clear" w:color="auto" w:fill="auto"/>
            <w:vAlign w:val="center"/>
          </w:tcPr>
          <w:p w14:paraId="52063CDE">
            <w:pPr>
              <w:snapToGrid w:val="0"/>
              <w:jc w:val="center"/>
              <w:rPr>
                <w:rFonts w:eastAsia="仿宋_GB2312"/>
                <w:color w:val="FF0000"/>
                <w:szCs w:val="21"/>
              </w:rPr>
            </w:pPr>
          </w:p>
        </w:tc>
        <w:tc>
          <w:tcPr>
            <w:tcW w:w="408" w:type="pct"/>
            <w:vMerge w:val="continue"/>
            <w:tcBorders>
              <w:tl2br w:val="nil"/>
              <w:tr2bl w:val="nil"/>
            </w:tcBorders>
            <w:shd w:val="clear" w:color="auto" w:fill="auto"/>
            <w:vAlign w:val="center"/>
          </w:tcPr>
          <w:p w14:paraId="5459F846">
            <w:pPr>
              <w:snapToGrid w:val="0"/>
              <w:jc w:val="center"/>
              <w:rPr>
                <w:rFonts w:eastAsia="仿宋_GB2312"/>
                <w:color w:val="FF0000"/>
                <w:szCs w:val="21"/>
              </w:rPr>
            </w:pPr>
          </w:p>
        </w:tc>
        <w:tc>
          <w:tcPr>
            <w:tcW w:w="781" w:type="pct"/>
            <w:tcBorders>
              <w:tl2br w:val="nil"/>
              <w:tr2bl w:val="nil"/>
            </w:tcBorders>
            <w:shd w:val="clear" w:color="auto" w:fill="auto"/>
            <w:vAlign w:val="center"/>
          </w:tcPr>
          <w:p w14:paraId="1A96774A">
            <w:pPr>
              <w:snapToGrid w:val="0"/>
              <w:spacing w:line="270" w:lineRule="exact"/>
              <w:jc w:val="center"/>
              <w:rPr>
                <w:rFonts w:eastAsia="仿宋_GB2312"/>
                <w:szCs w:val="21"/>
              </w:rPr>
            </w:pPr>
            <w:r>
              <w:rPr>
                <w:rFonts w:hint="eastAsia" w:eastAsia="仿宋_GB2312"/>
                <w:szCs w:val="21"/>
              </w:rPr>
              <w:t>苯系物</w:t>
            </w:r>
          </w:p>
        </w:tc>
        <w:tc>
          <w:tcPr>
            <w:tcW w:w="460" w:type="pct"/>
            <w:vMerge w:val="continue"/>
            <w:tcBorders>
              <w:tl2br w:val="nil"/>
              <w:tr2bl w:val="nil"/>
            </w:tcBorders>
            <w:shd w:val="clear" w:color="auto" w:fill="auto"/>
            <w:vAlign w:val="center"/>
          </w:tcPr>
          <w:p w14:paraId="196B0DE7">
            <w:pPr>
              <w:snapToGrid w:val="0"/>
              <w:spacing w:line="270" w:lineRule="exact"/>
              <w:jc w:val="center"/>
              <w:rPr>
                <w:rFonts w:eastAsia="仿宋_GB2312"/>
                <w:color w:val="FF0000"/>
                <w:szCs w:val="21"/>
              </w:rPr>
            </w:pPr>
          </w:p>
        </w:tc>
        <w:tc>
          <w:tcPr>
            <w:tcW w:w="473" w:type="pct"/>
            <w:tcBorders>
              <w:tl2br w:val="nil"/>
              <w:tr2bl w:val="nil"/>
            </w:tcBorders>
            <w:shd w:val="clear" w:color="auto" w:fill="auto"/>
            <w:vAlign w:val="center"/>
          </w:tcPr>
          <w:p w14:paraId="3B011D5A">
            <w:pPr>
              <w:snapToGrid w:val="0"/>
              <w:spacing w:line="270" w:lineRule="exact"/>
              <w:jc w:val="center"/>
              <w:rPr>
                <w:rFonts w:eastAsia="仿宋_GB2312"/>
                <w:szCs w:val="21"/>
              </w:rPr>
            </w:pPr>
            <w:r>
              <w:rPr>
                <w:rFonts w:hint="eastAsia" w:eastAsia="仿宋_GB2312"/>
                <w:szCs w:val="21"/>
              </w:rPr>
              <w:t>ND</w:t>
            </w:r>
          </w:p>
        </w:tc>
        <w:tc>
          <w:tcPr>
            <w:tcW w:w="530" w:type="pct"/>
            <w:tcBorders>
              <w:tl2br w:val="nil"/>
              <w:tr2bl w:val="nil"/>
            </w:tcBorders>
            <w:shd w:val="clear" w:color="auto" w:fill="auto"/>
            <w:vAlign w:val="center"/>
          </w:tcPr>
          <w:p w14:paraId="34CFD5A5">
            <w:pPr>
              <w:snapToGrid w:val="0"/>
              <w:spacing w:line="270" w:lineRule="exact"/>
              <w:jc w:val="center"/>
              <w:rPr>
                <w:rFonts w:eastAsia="仿宋_GB2312"/>
                <w:szCs w:val="21"/>
              </w:rPr>
            </w:pPr>
            <w:r>
              <w:rPr>
                <w:rFonts w:hint="eastAsia" w:eastAsia="仿宋_GB2312"/>
                <w:szCs w:val="21"/>
              </w:rPr>
              <w:t>/</w:t>
            </w:r>
          </w:p>
        </w:tc>
        <w:tc>
          <w:tcPr>
            <w:tcW w:w="1085" w:type="pct"/>
            <w:tcBorders>
              <w:tl2br w:val="nil"/>
              <w:tr2bl w:val="nil"/>
            </w:tcBorders>
            <w:shd w:val="clear" w:color="auto" w:fill="auto"/>
            <w:vAlign w:val="center"/>
          </w:tcPr>
          <w:p w14:paraId="2443ED84">
            <w:pPr>
              <w:snapToGrid w:val="0"/>
              <w:spacing w:line="270" w:lineRule="exact"/>
              <w:jc w:val="center"/>
              <w:rPr>
                <w:rFonts w:eastAsia="仿宋_GB2312"/>
                <w:szCs w:val="21"/>
              </w:rPr>
            </w:pPr>
            <w:r>
              <w:rPr>
                <w:rFonts w:eastAsia="仿宋_GB2312"/>
                <w:szCs w:val="21"/>
              </w:rPr>
              <w:t>《涂料、油墨及胶黏剂工业大气污染物排放标准》（GB37824-2019）</w:t>
            </w:r>
          </w:p>
        </w:tc>
        <w:tc>
          <w:tcPr>
            <w:tcW w:w="449" w:type="pct"/>
            <w:tcBorders>
              <w:tl2br w:val="nil"/>
              <w:tr2bl w:val="nil"/>
            </w:tcBorders>
            <w:shd w:val="clear" w:color="auto" w:fill="auto"/>
            <w:vAlign w:val="center"/>
          </w:tcPr>
          <w:p w14:paraId="5CFB9ADF">
            <w:pPr>
              <w:snapToGrid w:val="0"/>
              <w:spacing w:line="270" w:lineRule="exact"/>
              <w:jc w:val="center"/>
              <w:rPr>
                <w:rFonts w:eastAsia="仿宋_GB2312"/>
                <w:szCs w:val="21"/>
              </w:rPr>
            </w:pPr>
            <w:r>
              <w:rPr>
                <w:rFonts w:hint="eastAsia" w:eastAsia="仿宋_GB2312"/>
                <w:szCs w:val="21"/>
              </w:rPr>
              <w:t>40</w:t>
            </w:r>
          </w:p>
        </w:tc>
        <w:tc>
          <w:tcPr>
            <w:tcW w:w="431" w:type="pct"/>
            <w:tcBorders>
              <w:tl2br w:val="nil"/>
              <w:tr2bl w:val="nil"/>
            </w:tcBorders>
            <w:shd w:val="clear" w:color="auto" w:fill="auto"/>
            <w:vAlign w:val="center"/>
          </w:tcPr>
          <w:p w14:paraId="3B714683">
            <w:pPr>
              <w:snapToGrid w:val="0"/>
              <w:spacing w:line="270" w:lineRule="exact"/>
              <w:jc w:val="center"/>
              <w:rPr>
                <w:rFonts w:eastAsia="仿宋_GB2312"/>
                <w:szCs w:val="21"/>
              </w:rPr>
            </w:pPr>
            <w:r>
              <w:rPr>
                <w:rFonts w:hint="eastAsia" w:eastAsia="仿宋_GB2312"/>
                <w:szCs w:val="21"/>
              </w:rPr>
              <w:t>/</w:t>
            </w:r>
          </w:p>
        </w:tc>
      </w:tr>
      <w:tr w14:paraId="3AF3F2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380" w:type="pct"/>
            <w:vMerge w:val="continue"/>
            <w:tcBorders>
              <w:tl2br w:val="nil"/>
              <w:tr2bl w:val="nil"/>
            </w:tcBorders>
            <w:shd w:val="clear" w:color="auto" w:fill="auto"/>
            <w:vAlign w:val="center"/>
          </w:tcPr>
          <w:p w14:paraId="4D5A0330">
            <w:pPr>
              <w:snapToGrid w:val="0"/>
              <w:jc w:val="center"/>
              <w:rPr>
                <w:rFonts w:eastAsia="仿宋_GB2312"/>
                <w:color w:val="FF0000"/>
                <w:szCs w:val="21"/>
              </w:rPr>
            </w:pPr>
          </w:p>
        </w:tc>
        <w:tc>
          <w:tcPr>
            <w:tcW w:w="408" w:type="pct"/>
            <w:vMerge w:val="continue"/>
            <w:tcBorders>
              <w:tl2br w:val="nil"/>
              <w:tr2bl w:val="nil"/>
            </w:tcBorders>
            <w:shd w:val="clear" w:color="auto" w:fill="auto"/>
            <w:vAlign w:val="center"/>
          </w:tcPr>
          <w:p w14:paraId="1139183D">
            <w:pPr>
              <w:snapToGrid w:val="0"/>
              <w:jc w:val="center"/>
              <w:rPr>
                <w:rFonts w:eastAsia="仿宋_GB2312"/>
                <w:color w:val="FF0000"/>
                <w:szCs w:val="21"/>
              </w:rPr>
            </w:pPr>
          </w:p>
        </w:tc>
        <w:tc>
          <w:tcPr>
            <w:tcW w:w="781" w:type="pct"/>
            <w:tcBorders>
              <w:tl2br w:val="nil"/>
              <w:tr2bl w:val="nil"/>
            </w:tcBorders>
            <w:shd w:val="clear" w:color="auto" w:fill="auto"/>
            <w:vAlign w:val="center"/>
          </w:tcPr>
          <w:p w14:paraId="5663A0CB">
            <w:pPr>
              <w:snapToGrid w:val="0"/>
              <w:spacing w:line="270" w:lineRule="exact"/>
              <w:jc w:val="center"/>
              <w:rPr>
                <w:rFonts w:eastAsia="仿宋_GB2312"/>
                <w:szCs w:val="21"/>
              </w:rPr>
            </w:pPr>
            <w:r>
              <w:rPr>
                <w:rFonts w:eastAsia="仿宋_GB2312"/>
                <w:szCs w:val="21"/>
              </w:rPr>
              <w:t>丙酮</w:t>
            </w:r>
          </w:p>
        </w:tc>
        <w:tc>
          <w:tcPr>
            <w:tcW w:w="460" w:type="pct"/>
            <w:vMerge w:val="continue"/>
            <w:tcBorders>
              <w:tl2br w:val="nil"/>
              <w:tr2bl w:val="nil"/>
            </w:tcBorders>
            <w:shd w:val="clear" w:color="auto" w:fill="auto"/>
            <w:vAlign w:val="center"/>
          </w:tcPr>
          <w:p w14:paraId="471C7445">
            <w:pPr>
              <w:snapToGrid w:val="0"/>
              <w:spacing w:line="270" w:lineRule="exact"/>
              <w:jc w:val="center"/>
              <w:rPr>
                <w:rFonts w:eastAsia="仿宋_GB2312"/>
                <w:color w:val="FF0000"/>
                <w:szCs w:val="21"/>
              </w:rPr>
            </w:pPr>
          </w:p>
        </w:tc>
        <w:tc>
          <w:tcPr>
            <w:tcW w:w="473" w:type="pct"/>
            <w:tcBorders>
              <w:tl2br w:val="nil"/>
              <w:tr2bl w:val="nil"/>
            </w:tcBorders>
            <w:shd w:val="clear" w:color="auto" w:fill="auto"/>
            <w:vAlign w:val="center"/>
          </w:tcPr>
          <w:p w14:paraId="29A563D1">
            <w:pPr>
              <w:snapToGrid w:val="0"/>
              <w:spacing w:line="270" w:lineRule="exact"/>
              <w:jc w:val="center"/>
              <w:rPr>
                <w:rFonts w:eastAsia="仿宋_GB2312"/>
                <w:szCs w:val="21"/>
              </w:rPr>
            </w:pPr>
            <w:r>
              <w:rPr>
                <w:rFonts w:hint="eastAsia" w:eastAsia="仿宋_GB2312"/>
                <w:szCs w:val="21"/>
              </w:rPr>
              <w:t>ND</w:t>
            </w:r>
          </w:p>
        </w:tc>
        <w:tc>
          <w:tcPr>
            <w:tcW w:w="530" w:type="pct"/>
            <w:tcBorders>
              <w:tl2br w:val="nil"/>
              <w:tr2bl w:val="nil"/>
            </w:tcBorders>
            <w:shd w:val="clear" w:color="auto" w:fill="auto"/>
            <w:vAlign w:val="center"/>
          </w:tcPr>
          <w:p w14:paraId="48F32038">
            <w:pPr>
              <w:snapToGrid w:val="0"/>
              <w:spacing w:line="270" w:lineRule="exact"/>
              <w:jc w:val="center"/>
              <w:rPr>
                <w:rFonts w:eastAsia="仿宋_GB2312"/>
                <w:szCs w:val="21"/>
              </w:rPr>
            </w:pPr>
            <w:r>
              <w:rPr>
                <w:rFonts w:hint="eastAsia" w:eastAsia="仿宋_GB2312"/>
                <w:szCs w:val="21"/>
              </w:rPr>
              <w:t>/</w:t>
            </w:r>
          </w:p>
        </w:tc>
        <w:tc>
          <w:tcPr>
            <w:tcW w:w="1085" w:type="pct"/>
            <w:vMerge w:val="restart"/>
            <w:tcBorders>
              <w:tl2br w:val="nil"/>
              <w:tr2bl w:val="nil"/>
            </w:tcBorders>
            <w:shd w:val="clear" w:color="auto" w:fill="auto"/>
            <w:vAlign w:val="center"/>
          </w:tcPr>
          <w:p w14:paraId="3227CF46">
            <w:pPr>
              <w:snapToGrid w:val="0"/>
              <w:spacing w:line="270" w:lineRule="exact"/>
              <w:jc w:val="center"/>
              <w:rPr>
                <w:rFonts w:eastAsia="仿宋_GB2312"/>
                <w:szCs w:val="21"/>
              </w:rPr>
            </w:pPr>
            <w:r>
              <w:rPr>
                <w:rFonts w:eastAsia="仿宋_GB2312"/>
                <w:szCs w:val="21"/>
              </w:rPr>
              <w:t>《化学工业挥发性有机物排放标准》（DB32/3151-2016）</w:t>
            </w:r>
          </w:p>
        </w:tc>
        <w:tc>
          <w:tcPr>
            <w:tcW w:w="449" w:type="pct"/>
            <w:tcBorders>
              <w:tl2br w:val="nil"/>
              <w:tr2bl w:val="nil"/>
            </w:tcBorders>
            <w:shd w:val="clear" w:color="auto" w:fill="auto"/>
            <w:vAlign w:val="center"/>
          </w:tcPr>
          <w:p w14:paraId="3C477C7C">
            <w:pPr>
              <w:snapToGrid w:val="0"/>
              <w:spacing w:line="270" w:lineRule="exact"/>
              <w:jc w:val="center"/>
              <w:rPr>
                <w:rFonts w:eastAsia="仿宋_GB2312"/>
                <w:szCs w:val="21"/>
              </w:rPr>
            </w:pPr>
            <w:r>
              <w:rPr>
                <w:rFonts w:eastAsia="仿宋_GB2312"/>
                <w:szCs w:val="21"/>
              </w:rPr>
              <w:t>40</w:t>
            </w:r>
          </w:p>
        </w:tc>
        <w:tc>
          <w:tcPr>
            <w:tcW w:w="431" w:type="pct"/>
            <w:tcBorders>
              <w:tl2br w:val="nil"/>
              <w:tr2bl w:val="nil"/>
            </w:tcBorders>
            <w:shd w:val="clear" w:color="auto" w:fill="auto"/>
            <w:vAlign w:val="center"/>
          </w:tcPr>
          <w:p w14:paraId="1D7F6289">
            <w:pPr>
              <w:snapToGrid w:val="0"/>
              <w:spacing w:line="270" w:lineRule="exact"/>
              <w:jc w:val="center"/>
              <w:rPr>
                <w:rFonts w:eastAsia="仿宋_GB2312"/>
                <w:szCs w:val="21"/>
              </w:rPr>
            </w:pPr>
            <w:r>
              <w:rPr>
                <w:rFonts w:eastAsia="仿宋_GB2312"/>
                <w:szCs w:val="21"/>
              </w:rPr>
              <w:t>19</w:t>
            </w:r>
          </w:p>
        </w:tc>
      </w:tr>
      <w:tr w14:paraId="3FE4C3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380" w:type="pct"/>
            <w:vMerge w:val="continue"/>
            <w:tcBorders>
              <w:tl2br w:val="nil"/>
              <w:tr2bl w:val="nil"/>
            </w:tcBorders>
            <w:shd w:val="clear" w:color="auto" w:fill="auto"/>
            <w:vAlign w:val="center"/>
          </w:tcPr>
          <w:p w14:paraId="3B9E31A4">
            <w:pPr>
              <w:snapToGrid w:val="0"/>
              <w:jc w:val="center"/>
              <w:rPr>
                <w:rFonts w:eastAsia="仿宋_GB2312"/>
                <w:color w:val="FF0000"/>
                <w:szCs w:val="21"/>
              </w:rPr>
            </w:pPr>
          </w:p>
        </w:tc>
        <w:tc>
          <w:tcPr>
            <w:tcW w:w="408" w:type="pct"/>
            <w:vMerge w:val="continue"/>
            <w:tcBorders>
              <w:tl2br w:val="nil"/>
              <w:tr2bl w:val="nil"/>
            </w:tcBorders>
            <w:shd w:val="clear" w:color="auto" w:fill="auto"/>
            <w:vAlign w:val="center"/>
          </w:tcPr>
          <w:p w14:paraId="3EE32823">
            <w:pPr>
              <w:snapToGrid w:val="0"/>
              <w:jc w:val="center"/>
              <w:rPr>
                <w:rFonts w:eastAsia="仿宋_GB2312"/>
                <w:color w:val="FF0000"/>
                <w:szCs w:val="21"/>
              </w:rPr>
            </w:pPr>
          </w:p>
        </w:tc>
        <w:tc>
          <w:tcPr>
            <w:tcW w:w="781" w:type="pct"/>
            <w:tcBorders>
              <w:tl2br w:val="nil"/>
              <w:tr2bl w:val="nil"/>
            </w:tcBorders>
            <w:shd w:val="clear" w:color="auto" w:fill="auto"/>
            <w:vAlign w:val="center"/>
          </w:tcPr>
          <w:p w14:paraId="2B878C1A">
            <w:pPr>
              <w:snapToGrid w:val="0"/>
              <w:spacing w:line="270" w:lineRule="exact"/>
              <w:jc w:val="center"/>
              <w:rPr>
                <w:rFonts w:eastAsia="仿宋_GB2312"/>
                <w:szCs w:val="21"/>
              </w:rPr>
            </w:pPr>
            <w:r>
              <w:rPr>
                <w:rFonts w:eastAsia="仿宋_GB2312"/>
                <w:szCs w:val="21"/>
              </w:rPr>
              <w:t>乙酸乙酯</w:t>
            </w:r>
          </w:p>
        </w:tc>
        <w:tc>
          <w:tcPr>
            <w:tcW w:w="460" w:type="pct"/>
            <w:vMerge w:val="continue"/>
            <w:tcBorders>
              <w:tl2br w:val="nil"/>
              <w:tr2bl w:val="nil"/>
            </w:tcBorders>
            <w:shd w:val="clear" w:color="auto" w:fill="auto"/>
            <w:vAlign w:val="center"/>
          </w:tcPr>
          <w:p w14:paraId="0A167C91">
            <w:pPr>
              <w:snapToGrid w:val="0"/>
              <w:spacing w:line="270" w:lineRule="exact"/>
              <w:jc w:val="center"/>
              <w:rPr>
                <w:rFonts w:eastAsia="仿宋_GB2312"/>
                <w:color w:val="FF0000"/>
                <w:szCs w:val="21"/>
              </w:rPr>
            </w:pPr>
          </w:p>
        </w:tc>
        <w:tc>
          <w:tcPr>
            <w:tcW w:w="473" w:type="pct"/>
            <w:tcBorders>
              <w:tl2br w:val="nil"/>
              <w:tr2bl w:val="nil"/>
            </w:tcBorders>
            <w:shd w:val="clear" w:color="auto" w:fill="auto"/>
            <w:vAlign w:val="center"/>
          </w:tcPr>
          <w:p w14:paraId="1BB58638">
            <w:pPr>
              <w:snapToGrid w:val="0"/>
              <w:spacing w:line="270" w:lineRule="exact"/>
              <w:jc w:val="center"/>
              <w:rPr>
                <w:rFonts w:eastAsia="仿宋_GB2312"/>
                <w:szCs w:val="21"/>
              </w:rPr>
            </w:pPr>
            <w:r>
              <w:rPr>
                <w:rFonts w:hint="eastAsia" w:eastAsia="仿宋_GB2312"/>
                <w:szCs w:val="21"/>
              </w:rPr>
              <w:t>0.083</w:t>
            </w:r>
          </w:p>
        </w:tc>
        <w:tc>
          <w:tcPr>
            <w:tcW w:w="530" w:type="pct"/>
            <w:tcBorders>
              <w:tl2br w:val="nil"/>
              <w:tr2bl w:val="nil"/>
            </w:tcBorders>
            <w:shd w:val="clear" w:color="auto" w:fill="auto"/>
            <w:vAlign w:val="center"/>
          </w:tcPr>
          <w:p w14:paraId="1DEAC705">
            <w:pPr>
              <w:snapToGrid w:val="0"/>
              <w:spacing w:line="270" w:lineRule="exact"/>
              <w:jc w:val="center"/>
              <w:rPr>
                <w:rFonts w:eastAsia="仿宋_GB2312"/>
                <w:szCs w:val="21"/>
              </w:rPr>
            </w:pPr>
            <w:r>
              <w:rPr>
                <w:rFonts w:hint="eastAsia" w:eastAsia="仿宋_GB2312"/>
                <w:szCs w:val="21"/>
              </w:rPr>
              <w:t>4.07</w:t>
            </w:r>
            <w:r>
              <w:rPr>
                <w:rFonts w:eastAsia="仿宋_GB2312"/>
                <w:szCs w:val="21"/>
              </w:rPr>
              <w:t>×10</w:t>
            </w:r>
            <w:r>
              <w:rPr>
                <w:rFonts w:eastAsia="仿宋_GB2312"/>
                <w:szCs w:val="21"/>
                <w:vertAlign w:val="superscript"/>
              </w:rPr>
              <w:t>-</w:t>
            </w:r>
            <w:r>
              <w:rPr>
                <w:rFonts w:hint="eastAsia" w:eastAsia="仿宋_GB2312"/>
                <w:szCs w:val="21"/>
                <w:vertAlign w:val="superscript"/>
              </w:rPr>
              <w:t>3</w:t>
            </w:r>
          </w:p>
        </w:tc>
        <w:tc>
          <w:tcPr>
            <w:tcW w:w="1085" w:type="pct"/>
            <w:vMerge w:val="continue"/>
            <w:tcBorders>
              <w:tl2br w:val="nil"/>
              <w:tr2bl w:val="nil"/>
            </w:tcBorders>
            <w:shd w:val="clear" w:color="auto" w:fill="auto"/>
            <w:vAlign w:val="center"/>
          </w:tcPr>
          <w:p w14:paraId="52E1D8E4">
            <w:pPr>
              <w:snapToGrid w:val="0"/>
              <w:spacing w:line="270" w:lineRule="exact"/>
              <w:jc w:val="center"/>
              <w:rPr>
                <w:rFonts w:eastAsia="仿宋_GB2312"/>
                <w:szCs w:val="21"/>
              </w:rPr>
            </w:pPr>
          </w:p>
        </w:tc>
        <w:tc>
          <w:tcPr>
            <w:tcW w:w="449" w:type="pct"/>
            <w:vMerge w:val="restart"/>
            <w:tcBorders>
              <w:tl2br w:val="nil"/>
              <w:tr2bl w:val="nil"/>
            </w:tcBorders>
            <w:shd w:val="clear" w:color="auto" w:fill="auto"/>
            <w:vAlign w:val="center"/>
          </w:tcPr>
          <w:p w14:paraId="3D4A8702">
            <w:pPr>
              <w:snapToGrid w:val="0"/>
              <w:spacing w:line="270" w:lineRule="exact"/>
              <w:jc w:val="center"/>
              <w:rPr>
                <w:rFonts w:eastAsia="仿宋_GB2312"/>
                <w:szCs w:val="21"/>
              </w:rPr>
            </w:pPr>
            <w:r>
              <w:rPr>
                <w:rFonts w:eastAsia="仿宋_GB2312"/>
                <w:szCs w:val="21"/>
              </w:rPr>
              <w:t>50</w:t>
            </w:r>
          </w:p>
        </w:tc>
        <w:tc>
          <w:tcPr>
            <w:tcW w:w="431" w:type="pct"/>
            <w:vMerge w:val="restart"/>
            <w:tcBorders>
              <w:tl2br w:val="nil"/>
              <w:tr2bl w:val="nil"/>
            </w:tcBorders>
            <w:shd w:val="clear" w:color="auto" w:fill="auto"/>
            <w:vAlign w:val="center"/>
          </w:tcPr>
          <w:p w14:paraId="6F2A2BF2">
            <w:pPr>
              <w:snapToGrid w:val="0"/>
              <w:spacing w:line="270" w:lineRule="exact"/>
              <w:jc w:val="center"/>
              <w:rPr>
                <w:rFonts w:eastAsia="仿宋_GB2312"/>
                <w:szCs w:val="21"/>
              </w:rPr>
            </w:pPr>
            <w:r>
              <w:rPr>
                <w:rFonts w:eastAsia="仿宋_GB2312"/>
                <w:szCs w:val="21"/>
              </w:rPr>
              <w:t>16</w:t>
            </w:r>
          </w:p>
        </w:tc>
      </w:tr>
      <w:tr w14:paraId="3AECE9F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380" w:type="pct"/>
            <w:vMerge w:val="continue"/>
            <w:tcBorders>
              <w:tl2br w:val="nil"/>
              <w:tr2bl w:val="nil"/>
            </w:tcBorders>
            <w:shd w:val="clear" w:color="auto" w:fill="auto"/>
            <w:vAlign w:val="center"/>
          </w:tcPr>
          <w:p w14:paraId="461B7EFF">
            <w:pPr>
              <w:snapToGrid w:val="0"/>
              <w:jc w:val="center"/>
              <w:rPr>
                <w:rFonts w:eastAsia="仿宋_GB2312"/>
                <w:color w:val="FF0000"/>
                <w:szCs w:val="21"/>
              </w:rPr>
            </w:pPr>
          </w:p>
        </w:tc>
        <w:tc>
          <w:tcPr>
            <w:tcW w:w="408" w:type="pct"/>
            <w:vMerge w:val="continue"/>
            <w:tcBorders>
              <w:tl2br w:val="nil"/>
              <w:tr2bl w:val="nil"/>
            </w:tcBorders>
            <w:shd w:val="clear" w:color="auto" w:fill="auto"/>
            <w:vAlign w:val="center"/>
          </w:tcPr>
          <w:p w14:paraId="27E3DC19">
            <w:pPr>
              <w:snapToGrid w:val="0"/>
              <w:jc w:val="center"/>
              <w:rPr>
                <w:rFonts w:eastAsia="仿宋_GB2312"/>
                <w:color w:val="FF0000"/>
                <w:szCs w:val="21"/>
              </w:rPr>
            </w:pPr>
          </w:p>
        </w:tc>
        <w:tc>
          <w:tcPr>
            <w:tcW w:w="781" w:type="pct"/>
            <w:tcBorders>
              <w:tl2br w:val="nil"/>
              <w:tr2bl w:val="nil"/>
            </w:tcBorders>
            <w:shd w:val="clear" w:color="auto" w:fill="auto"/>
            <w:vAlign w:val="center"/>
          </w:tcPr>
          <w:p w14:paraId="6B7F6E4A">
            <w:pPr>
              <w:snapToGrid w:val="0"/>
              <w:spacing w:line="270" w:lineRule="exact"/>
              <w:jc w:val="center"/>
              <w:rPr>
                <w:rFonts w:eastAsia="仿宋_GB2312"/>
                <w:szCs w:val="21"/>
              </w:rPr>
            </w:pPr>
            <w:r>
              <w:rPr>
                <w:rFonts w:eastAsia="仿宋_GB2312"/>
                <w:szCs w:val="21"/>
              </w:rPr>
              <w:t>乙酸丁酯</w:t>
            </w:r>
          </w:p>
        </w:tc>
        <w:tc>
          <w:tcPr>
            <w:tcW w:w="460" w:type="pct"/>
            <w:vMerge w:val="continue"/>
            <w:tcBorders>
              <w:tl2br w:val="nil"/>
              <w:tr2bl w:val="nil"/>
            </w:tcBorders>
            <w:shd w:val="clear" w:color="auto" w:fill="auto"/>
            <w:vAlign w:val="center"/>
          </w:tcPr>
          <w:p w14:paraId="12B70A77">
            <w:pPr>
              <w:snapToGrid w:val="0"/>
              <w:spacing w:line="270" w:lineRule="exact"/>
              <w:jc w:val="center"/>
              <w:rPr>
                <w:rFonts w:eastAsia="仿宋_GB2312"/>
                <w:color w:val="FF0000"/>
                <w:szCs w:val="21"/>
              </w:rPr>
            </w:pPr>
          </w:p>
        </w:tc>
        <w:tc>
          <w:tcPr>
            <w:tcW w:w="473" w:type="pct"/>
            <w:tcBorders>
              <w:tl2br w:val="nil"/>
              <w:tr2bl w:val="nil"/>
            </w:tcBorders>
            <w:shd w:val="clear" w:color="auto" w:fill="auto"/>
            <w:vAlign w:val="center"/>
          </w:tcPr>
          <w:p w14:paraId="13193B32">
            <w:pPr>
              <w:snapToGrid w:val="0"/>
              <w:spacing w:line="270" w:lineRule="exact"/>
              <w:jc w:val="center"/>
              <w:rPr>
                <w:rFonts w:eastAsia="仿宋_GB2312"/>
                <w:szCs w:val="21"/>
              </w:rPr>
            </w:pPr>
            <w:r>
              <w:rPr>
                <w:rFonts w:hint="eastAsia" w:eastAsia="仿宋_GB2312"/>
                <w:szCs w:val="21"/>
              </w:rPr>
              <w:t>0.049</w:t>
            </w:r>
          </w:p>
        </w:tc>
        <w:tc>
          <w:tcPr>
            <w:tcW w:w="530" w:type="pct"/>
            <w:tcBorders>
              <w:tl2br w:val="nil"/>
              <w:tr2bl w:val="nil"/>
            </w:tcBorders>
            <w:shd w:val="clear" w:color="auto" w:fill="auto"/>
            <w:vAlign w:val="center"/>
          </w:tcPr>
          <w:p w14:paraId="4A0096F9">
            <w:pPr>
              <w:snapToGrid w:val="0"/>
              <w:spacing w:line="270" w:lineRule="exact"/>
              <w:jc w:val="center"/>
              <w:rPr>
                <w:rFonts w:eastAsia="仿宋_GB2312"/>
                <w:szCs w:val="21"/>
              </w:rPr>
            </w:pPr>
            <w:r>
              <w:rPr>
                <w:rFonts w:hint="eastAsia" w:eastAsia="仿宋_GB2312"/>
                <w:szCs w:val="21"/>
              </w:rPr>
              <w:t>2.4</w:t>
            </w:r>
            <w:r>
              <w:rPr>
                <w:rFonts w:eastAsia="仿宋_GB2312"/>
                <w:szCs w:val="21"/>
              </w:rPr>
              <w:t>×10</w:t>
            </w:r>
            <w:r>
              <w:rPr>
                <w:rFonts w:eastAsia="仿宋_GB2312"/>
                <w:szCs w:val="21"/>
                <w:vertAlign w:val="superscript"/>
              </w:rPr>
              <w:t>-</w:t>
            </w:r>
            <w:r>
              <w:rPr>
                <w:rFonts w:hint="eastAsia" w:eastAsia="仿宋_GB2312"/>
                <w:szCs w:val="21"/>
                <w:vertAlign w:val="superscript"/>
              </w:rPr>
              <w:t>3</w:t>
            </w:r>
          </w:p>
        </w:tc>
        <w:tc>
          <w:tcPr>
            <w:tcW w:w="1085" w:type="pct"/>
            <w:vMerge w:val="continue"/>
            <w:tcBorders>
              <w:tl2br w:val="nil"/>
              <w:tr2bl w:val="nil"/>
            </w:tcBorders>
            <w:shd w:val="clear" w:color="auto" w:fill="auto"/>
            <w:vAlign w:val="center"/>
          </w:tcPr>
          <w:p w14:paraId="13ACB5F0">
            <w:pPr>
              <w:snapToGrid w:val="0"/>
              <w:spacing w:line="270" w:lineRule="exact"/>
              <w:jc w:val="center"/>
              <w:rPr>
                <w:rFonts w:eastAsia="仿宋_GB2312"/>
                <w:color w:val="FF0000"/>
                <w:szCs w:val="21"/>
              </w:rPr>
            </w:pPr>
          </w:p>
        </w:tc>
        <w:tc>
          <w:tcPr>
            <w:tcW w:w="449" w:type="pct"/>
            <w:vMerge w:val="continue"/>
            <w:tcBorders>
              <w:tl2br w:val="nil"/>
              <w:tr2bl w:val="nil"/>
            </w:tcBorders>
            <w:shd w:val="clear" w:color="auto" w:fill="auto"/>
            <w:vAlign w:val="center"/>
          </w:tcPr>
          <w:p w14:paraId="63CC65BE">
            <w:pPr>
              <w:snapToGrid w:val="0"/>
              <w:spacing w:line="270" w:lineRule="exact"/>
              <w:jc w:val="center"/>
              <w:rPr>
                <w:rFonts w:eastAsia="仿宋_GB2312"/>
                <w:color w:val="FF0000"/>
                <w:szCs w:val="21"/>
              </w:rPr>
            </w:pPr>
          </w:p>
        </w:tc>
        <w:tc>
          <w:tcPr>
            <w:tcW w:w="431" w:type="pct"/>
            <w:vMerge w:val="continue"/>
            <w:tcBorders>
              <w:tl2br w:val="nil"/>
              <w:tr2bl w:val="nil"/>
            </w:tcBorders>
            <w:shd w:val="clear" w:color="auto" w:fill="auto"/>
            <w:vAlign w:val="center"/>
          </w:tcPr>
          <w:p w14:paraId="336814A6">
            <w:pPr>
              <w:snapToGrid w:val="0"/>
              <w:spacing w:line="270" w:lineRule="exact"/>
              <w:jc w:val="center"/>
              <w:rPr>
                <w:rFonts w:eastAsia="仿宋_GB2312"/>
                <w:color w:val="FF0000"/>
                <w:szCs w:val="21"/>
              </w:rPr>
            </w:pPr>
          </w:p>
        </w:tc>
      </w:tr>
      <w:tr w14:paraId="2BBBD7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380" w:type="pct"/>
            <w:vMerge w:val="continue"/>
            <w:tcBorders>
              <w:tl2br w:val="nil"/>
              <w:tr2bl w:val="nil"/>
            </w:tcBorders>
            <w:shd w:val="clear" w:color="auto" w:fill="auto"/>
            <w:vAlign w:val="center"/>
          </w:tcPr>
          <w:p w14:paraId="2DD965E7">
            <w:pPr>
              <w:snapToGrid w:val="0"/>
              <w:jc w:val="center"/>
              <w:rPr>
                <w:rFonts w:eastAsia="仿宋_GB2312"/>
                <w:color w:val="FF0000"/>
                <w:szCs w:val="21"/>
              </w:rPr>
            </w:pPr>
          </w:p>
        </w:tc>
        <w:tc>
          <w:tcPr>
            <w:tcW w:w="408" w:type="pct"/>
            <w:vMerge w:val="continue"/>
            <w:tcBorders>
              <w:tl2br w:val="nil"/>
              <w:tr2bl w:val="nil"/>
            </w:tcBorders>
            <w:shd w:val="clear" w:color="auto" w:fill="auto"/>
            <w:vAlign w:val="center"/>
          </w:tcPr>
          <w:p w14:paraId="08272457">
            <w:pPr>
              <w:snapToGrid w:val="0"/>
              <w:jc w:val="center"/>
              <w:rPr>
                <w:rFonts w:eastAsia="仿宋_GB2312"/>
                <w:color w:val="FF0000"/>
                <w:szCs w:val="21"/>
              </w:rPr>
            </w:pPr>
          </w:p>
        </w:tc>
        <w:tc>
          <w:tcPr>
            <w:tcW w:w="781" w:type="pct"/>
            <w:tcBorders>
              <w:tl2br w:val="nil"/>
              <w:tr2bl w:val="nil"/>
            </w:tcBorders>
            <w:shd w:val="clear" w:color="auto" w:fill="auto"/>
            <w:vAlign w:val="center"/>
          </w:tcPr>
          <w:p w14:paraId="60A9D3C7">
            <w:pPr>
              <w:snapToGrid w:val="0"/>
              <w:spacing w:line="270" w:lineRule="exact"/>
              <w:jc w:val="center"/>
              <w:rPr>
                <w:rFonts w:eastAsia="仿宋_GB2312"/>
                <w:szCs w:val="21"/>
              </w:rPr>
            </w:pPr>
            <w:r>
              <w:rPr>
                <w:rFonts w:hint="eastAsia" w:eastAsia="仿宋_GB2312"/>
                <w:szCs w:val="21"/>
              </w:rPr>
              <w:t>二氯乙烷</w:t>
            </w:r>
          </w:p>
        </w:tc>
        <w:tc>
          <w:tcPr>
            <w:tcW w:w="460" w:type="pct"/>
            <w:vMerge w:val="continue"/>
            <w:tcBorders>
              <w:tl2br w:val="nil"/>
              <w:tr2bl w:val="nil"/>
            </w:tcBorders>
            <w:shd w:val="clear" w:color="auto" w:fill="auto"/>
            <w:vAlign w:val="center"/>
          </w:tcPr>
          <w:p w14:paraId="6E2E5FA4">
            <w:pPr>
              <w:snapToGrid w:val="0"/>
              <w:spacing w:line="270" w:lineRule="exact"/>
              <w:jc w:val="center"/>
              <w:rPr>
                <w:rFonts w:eastAsia="仿宋_GB2312"/>
                <w:color w:val="FF0000"/>
                <w:szCs w:val="21"/>
              </w:rPr>
            </w:pPr>
          </w:p>
        </w:tc>
        <w:tc>
          <w:tcPr>
            <w:tcW w:w="473" w:type="pct"/>
            <w:tcBorders>
              <w:tl2br w:val="nil"/>
              <w:tr2bl w:val="nil"/>
            </w:tcBorders>
            <w:shd w:val="clear" w:color="auto" w:fill="auto"/>
            <w:vAlign w:val="center"/>
          </w:tcPr>
          <w:p w14:paraId="04181B6E">
            <w:pPr>
              <w:snapToGrid w:val="0"/>
              <w:spacing w:line="270" w:lineRule="exact"/>
              <w:jc w:val="center"/>
              <w:rPr>
                <w:rFonts w:eastAsia="仿宋_GB2312"/>
                <w:szCs w:val="21"/>
              </w:rPr>
            </w:pPr>
            <w:r>
              <w:rPr>
                <w:rFonts w:hint="eastAsia" w:eastAsia="仿宋_GB2312"/>
                <w:szCs w:val="21"/>
              </w:rPr>
              <w:t>ND</w:t>
            </w:r>
          </w:p>
        </w:tc>
        <w:tc>
          <w:tcPr>
            <w:tcW w:w="530" w:type="pct"/>
            <w:tcBorders>
              <w:tl2br w:val="nil"/>
              <w:tr2bl w:val="nil"/>
            </w:tcBorders>
            <w:shd w:val="clear" w:color="auto" w:fill="auto"/>
            <w:vAlign w:val="center"/>
          </w:tcPr>
          <w:p w14:paraId="2BE10063">
            <w:pPr>
              <w:snapToGrid w:val="0"/>
              <w:spacing w:line="270" w:lineRule="exact"/>
              <w:jc w:val="center"/>
              <w:rPr>
                <w:rFonts w:eastAsia="仿宋_GB2312"/>
                <w:szCs w:val="21"/>
              </w:rPr>
            </w:pPr>
            <w:r>
              <w:rPr>
                <w:rFonts w:hint="eastAsia" w:eastAsia="仿宋_GB2312"/>
                <w:szCs w:val="21"/>
              </w:rPr>
              <w:t>/</w:t>
            </w:r>
          </w:p>
        </w:tc>
        <w:tc>
          <w:tcPr>
            <w:tcW w:w="1085" w:type="pct"/>
            <w:vMerge w:val="continue"/>
            <w:tcBorders>
              <w:tl2br w:val="nil"/>
              <w:tr2bl w:val="nil"/>
            </w:tcBorders>
            <w:shd w:val="clear" w:color="auto" w:fill="auto"/>
            <w:vAlign w:val="center"/>
          </w:tcPr>
          <w:p w14:paraId="71D89CFF">
            <w:pPr>
              <w:snapToGrid w:val="0"/>
              <w:spacing w:line="270" w:lineRule="exact"/>
              <w:jc w:val="center"/>
              <w:rPr>
                <w:rFonts w:eastAsia="仿宋_GB2312"/>
                <w:color w:val="FF0000"/>
                <w:szCs w:val="21"/>
              </w:rPr>
            </w:pPr>
          </w:p>
        </w:tc>
        <w:tc>
          <w:tcPr>
            <w:tcW w:w="449" w:type="pct"/>
            <w:tcBorders>
              <w:tl2br w:val="nil"/>
              <w:tr2bl w:val="nil"/>
            </w:tcBorders>
            <w:shd w:val="clear" w:color="auto" w:fill="auto"/>
            <w:vAlign w:val="center"/>
          </w:tcPr>
          <w:p w14:paraId="1E0BC3F9">
            <w:pPr>
              <w:snapToGrid w:val="0"/>
              <w:spacing w:line="270" w:lineRule="exact"/>
              <w:jc w:val="center"/>
              <w:rPr>
                <w:rFonts w:eastAsia="仿宋_GB2312"/>
                <w:szCs w:val="21"/>
              </w:rPr>
            </w:pPr>
            <w:r>
              <w:rPr>
                <w:rFonts w:hint="eastAsia" w:eastAsia="仿宋_GB2312"/>
                <w:szCs w:val="21"/>
              </w:rPr>
              <w:t>7</w:t>
            </w:r>
          </w:p>
        </w:tc>
        <w:tc>
          <w:tcPr>
            <w:tcW w:w="431" w:type="pct"/>
            <w:tcBorders>
              <w:tl2br w:val="nil"/>
              <w:tr2bl w:val="nil"/>
            </w:tcBorders>
            <w:shd w:val="clear" w:color="auto" w:fill="auto"/>
            <w:vAlign w:val="center"/>
          </w:tcPr>
          <w:p w14:paraId="4469D922">
            <w:pPr>
              <w:snapToGrid w:val="0"/>
              <w:spacing w:line="270" w:lineRule="exact"/>
              <w:jc w:val="center"/>
              <w:rPr>
                <w:rFonts w:eastAsia="仿宋_GB2312"/>
                <w:szCs w:val="21"/>
              </w:rPr>
            </w:pPr>
            <w:r>
              <w:rPr>
                <w:rFonts w:hint="eastAsia" w:eastAsia="仿宋_GB2312"/>
                <w:szCs w:val="21"/>
              </w:rPr>
              <w:t>8.1</w:t>
            </w:r>
          </w:p>
        </w:tc>
      </w:tr>
      <w:tr w14:paraId="5FC0A5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12" w:hRule="atLeast"/>
          <w:jc w:val="center"/>
        </w:trPr>
        <w:tc>
          <w:tcPr>
            <w:tcW w:w="380" w:type="pct"/>
            <w:vMerge w:val="continue"/>
            <w:tcBorders>
              <w:tl2br w:val="nil"/>
              <w:tr2bl w:val="nil"/>
            </w:tcBorders>
            <w:shd w:val="clear" w:color="auto" w:fill="auto"/>
            <w:vAlign w:val="center"/>
          </w:tcPr>
          <w:p w14:paraId="604AF826">
            <w:pPr>
              <w:snapToGrid w:val="0"/>
              <w:jc w:val="center"/>
              <w:rPr>
                <w:rFonts w:eastAsia="仿宋_GB2312"/>
                <w:color w:val="FF0000"/>
                <w:szCs w:val="21"/>
              </w:rPr>
            </w:pPr>
          </w:p>
        </w:tc>
        <w:tc>
          <w:tcPr>
            <w:tcW w:w="408" w:type="pct"/>
            <w:vMerge w:val="continue"/>
            <w:tcBorders>
              <w:tl2br w:val="nil"/>
              <w:tr2bl w:val="nil"/>
            </w:tcBorders>
            <w:shd w:val="clear" w:color="auto" w:fill="auto"/>
            <w:vAlign w:val="center"/>
          </w:tcPr>
          <w:p w14:paraId="371EB567">
            <w:pPr>
              <w:snapToGrid w:val="0"/>
              <w:jc w:val="center"/>
              <w:rPr>
                <w:rFonts w:eastAsia="仿宋_GB2312"/>
                <w:color w:val="FF0000"/>
                <w:szCs w:val="21"/>
              </w:rPr>
            </w:pPr>
          </w:p>
        </w:tc>
        <w:tc>
          <w:tcPr>
            <w:tcW w:w="781" w:type="pct"/>
            <w:tcBorders>
              <w:tl2br w:val="nil"/>
              <w:tr2bl w:val="nil"/>
            </w:tcBorders>
            <w:shd w:val="clear" w:color="auto" w:fill="auto"/>
            <w:vAlign w:val="center"/>
          </w:tcPr>
          <w:p w14:paraId="302203F7">
            <w:pPr>
              <w:snapToGrid w:val="0"/>
              <w:spacing w:line="270" w:lineRule="exact"/>
              <w:jc w:val="center"/>
              <w:rPr>
                <w:rFonts w:eastAsia="仿宋_GB2312"/>
                <w:szCs w:val="21"/>
              </w:rPr>
            </w:pPr>
            <w:r>
              <w:rPr>
                <w:rFonts w:eastAsia="仿宋_GB2312"/>
                <w:szCs w:val="21"/>
              </w:rPr>
              <w:t>DMF</w:t>
            </w:r>
          </w:p>
        </w:tc>
        <w:tc>
          <w:tcPr>
            <w:tcW w:w="460" w:type="pct"/>
            <w:vMerge w:val="continue"/>
            <w:tcBorders>
              <w:tl2br w:val="nil"/>
              <w:tr2bl w:val="nil"/>
            </w:tcBorders>
            <w:shd w:val="clear" w:color="auto" w:fill="auto"/>
            <w:vAlign w:val="center"/>
          </w:tcPr>
          <w:p w14:paraId="23FEE284">
            <w:pPr>
              <w:snapToGrid w:val="0"/>
              <w:spacing w:line="270" w:lineRule="exact"/>
              <w:jc w:val="center"/>
              <w:rPr>
                <w:rFonts w:eastAsia="仿宋_GB2312"/>
                <w:color w:val="FF0000"/>
                <w:szCs w:val="21"/>
              </w:rPr>
            </w:pPr>
          </w:p>
        </w:tc>
        <w:tc>
          <w:tcPr>
            <w:tcW w:w="473" w:type="pct"/>
            <w:tcBorders>
              <w:tl2br w:val="nil"/>
              <w:tr2bl w:val="nil"/>
            </w:tcBorders>
            <w:shd w:val="clear" w:color="auto" w:fill="auto"/>
            <w:vAlign w:val="center"/>
          </w:tcPr>
          <w:p w14:paraId="044495E2">
            <w:pPr>
              <w:snapToGrid w:val="0"/>
              <w:spacing w:line="270" w:lineRule="exact"/>
              <w:jc w:val="center"/>
              <w:rPr>
                <w:rFonts w:eastAsia="仿宋_GB2312"/>
                <w:szCs w:val="21"/>
              </w:rPr>
            </w:pPr>
            <w:r>
              <w:rPr>
                <w:rFonts w:hint="eastAsia" w:eastAsia="仿宋_GB2312"/>
                <w:szCs w:val="21"/>
              </w:rPr>
              <w:t>ND</w:t>
            </w:r>
          </w:p>
        </w:tc>
        <w:tc>
          <w:tcPr>
            <w:tcW w:w="530" w:type="pct"/>
            <w:tcBorders>
              <w:tl2br w:val="nil"/>
              <w:tr2bl w:val="nil"/>
            </w:tcBorders>
            <w:shd w:val="clear" w:color="auto" w:fill="auto"/>
            <w:vAlign w:val="center"/>
          </w:tcPr>
          <w:p w14:paraId="5636ADDB">
            <w:pPr>
              <w:snapToGrid w:val="0"/>
              <w:spacing w:line="270" w:lineRule="exact"/>
              <w:jc w:val="center"/>
              <w:rPr>
                <w:rFonts w:eastAsia="仿宋_GB2312"/>
                <w:szCs w:val="21"/>
              </w:rPr>
            </w:pPr>
            <w:r>
              <w:rPr>
                <w:rFonts w:hint="eastAsia" w:eastAsia="仿宋_GB2312"/>
                <w:szCs w:val="21"/>
              </w:rPr>
              <w:t>/</w:t>
            </w:r>
          </w:p>
        </w:tc>
        <w:tc>
          <w:tcPr>
            <w:tcW w:w="1085" w:type="pct"/>
            <w:vMerge w:val="continue"/>
            <w:tcBorders>
              <w:tl2br w:val="nil"/>
              <w:tr2bl w:val="nil"/>
            </w:tcBorders>
            <w:shd w:val="clear" w:color="auto" w:fill="auto"/>
            <w:vAlign w:val="center"/>
          </w:tcPr>
          <w:p w14:paraId="0AB89197">
            <w:pPr>
              <w:snapToGrid w:val="0"/>
              <w:spacing w:line="270" w:lineRule="exact"/>
              <w:jc w:val="center"/>
              <w:rPr>
                <w:rFonts w:eastAsia="仿宋_GB2312"/>
                <w:color w:val="FF0000"/>
                <w:szCs w:val="21"/>
              </w:rPr>
            </w:pPr>
          </w:p>
        </w:tc>
        <w:tc>
          <w:tcPr>
            <w:tcW w:w="449" w:type="pct"/>
            <w:tcBorders>
              <w:tl2br w:val="nil"/>
              <w:tr2bl w:val="nil"/>
            </w:tcBorders>
            <w:shd w:val="clear" w:color="auto" w:fill="auto"/>
            <w:vAlign w:val="center"/>
          </w:tcPr>
          <w:p w14:paraId="65B5F7F7">
            <w:pPr>
              <w:snapToGrid w:val="0"/>
              <w:spacing w:line="270" w:lineRule="exact"/>
              <w:jc w:val="center"/>
              <w:rPr>
                <w:rFonts w:eastAsia="仿宋_GB2312"/>
                <w:szCs w:val="21"/>
              </w:rPr>
            </w:pPr>
            <w:r>
              <w:rPr>
                <w:rFonts w:hint="eastAsia" w:eastAsia="仿宋_GB2312"/>
                <w:szCs w:val="21"/>
              </w:rPr>
              <w:t>30</w:t>
            </w:r>
          </w:p>
        </w:tc>
        <w:tc>
          <w:tcPr>
            <w:tcW w:w="431" w:type="pct"/>
            <w:tcBorders>
              <w:tl2br w:val="nil"/>
              <w:tr2bl w:val="nil"/>
            </w:tcBorders>
            <w:shd w:val="clear" w:color="auto" w:fill="auto"/>
            <w:vAlign w:val="center"/>
          </w:tcPr>
          <w:p w14:paraId="10F69BB8">
            <w:pPr>
              <w:snapToGrid w:val="0"/>
              <w:spacing w:line="270" w:lineRule="exact"/>
              <w:jc w:val="center"/>
              <w:rPr>
                <w:rFonts w:eastAsia="仿宋_GB2312"/>
                <w:szCs w:val="21"/>
              </w:rPr>
            </w:pPr>
            <w:r>
              <w:rPr>
                <w:rFonts w:hint="eastAsia" w:eastAsia="仿宋_GB2312"/>
                <w:szCs w:val="21"/>
              </w:rPr>
              <w:t>8.1</w:t>
            </w:r>
          </w:p>
        </w:tc>
      </w:tr>
      <w:tr w14:paraId="65FD67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380" w:type="pct"/>
            <w:vMerge w:val="continue"/>
            <w:tcBorders>
              <w:tl2br w:val="nil"/>
              <w:tr2bl w:val="nil"/>
            </w:tcBorders>
            <w:shd w:val="clear" w:color="auto" w:fill="auto"/>
            <w:vAlign w:val="center"/>
          </w:tcPr>
          <w:p w14:paraId="7C9180E9">
            <w:pPr>
              <w:snapToGrid w:val="0"/>
              <w:jc w:val="center"/>
              <w:rPr>
                <w:rFonts w:eastAsia="仿宋_GB2312"/>
                <w:color w:val="FF0000"/>
                <w:szCs w:val="21"/>
              </w:rPr>
            </w:pPr>
          </w:p>
        </w:tc>
        <w:tc>
          <w:tcPr>
            <w:tcW w:w="408" w:type="pct"/>
            <w:vMerge w:val="continue"/>
            <w:tcBorders>
              <w:tl2br w:val="nil"/>
              <w:tr2bl w:val="nil"/>
            </w:tcBorders>
            <w:shd w:val="clear" w:color="auto" w:fill="auto"/>
            <w:vAlign w:val="center"/>
          </w:tcPr>
          <w:p w14:paraId="750B6EF7">
            <w:pPr>
              <w:snapToGrid w:val="0"/>
              <w:jc w:val="center"/>
              <w:rPr>
                <w:rFonts w:eastAsia="仿宋_GB2312"/>
                <w:color w:val="FF0000"/>
                <w:szCs w:val="21"/>
              </w:rPr>
            </w:pPr>
          </w:p>
        </w:tc>
        <w:tc>
          <w:tcPr>
            <w:tcW w:w="781" w:type="pct"/>
            <w:tcBorders>
              <w:tl2br w:val="nil"/>
              <w:tr2bl w:val="nil"/>
            </w:tcBorders>
            <w:shd w:val="clear" w:color="auto" w:fill="auto"/>
            <w:vAlign w:val="center"/>
          </w:tcPr>
          <w:p w14:paraId="52ACF18A">
            <w:pPr>
              <w:snapToGrid w:val="0"/>
              <w:spacing w:line="270" w:lineRule="exact"/>
              <w:jc w:val="center"/>
              <w:rPr>
                <w:rFonts w:eastAsia="仿宋_GB2312"/>
                <w:szCs w:val="21"/>
              </w:rPr>
            </w:pPr>
            <w:r>
              <w:rPr>
                <w:rFonts w:hint="eastAsia" w:eastAsia="仿宋_GB2312"/>
                <w:szCs w:val="21"/>
              </w:rPr>
              <w:t>苯乙烯</w:t>
            </w:r>
          </w:p>
        </w:tc>
        <w:tc>
          <w:tcPr>
            <w:tcW w:w="460" w:type="pct"/>
            <w:vMerge w:val="continue"/>
            <w:tcBorders>
              <w:tl2br w:val="nil"/>
              <w:tr2bl w:val="nil"/>
            </w:tcBorders>
            <w:shd w:val="clear" w:color="auto" w:fill="auto"/>
            <w:vAlign w:val="center"/>
          </w:tcPr>
          <w:p w14:paraId="4FBB260E">
            <w:pPr>
              <w:snapToGrid w:val="0"/>
              <w:spacing w:line="270" w:lineRule="exact"/>
              <w:jc w:val="center"/>
              <w:rPr>
                <w:rFonts w:eastAsia="仿宋_GB2312"/>
                <w:color w:val="FF0000"/>
                <w:szCs w:val="21"/>
              </w:rPr>
            </w:pPr>
          </w:p>
        </w:tc>
        <w:tc>
          <w:tcPr>
            <w:tcW w:w="473" w:type="pct"/>
            <w:tcBorders>
              <w:tl2br w:val="nil"/>
              <w:tr2bl w:val="nil"/>
            </w:tcBorders>
            <w:shd w:val="clear" w:color="auto" w:fill="auto"/>
            <w:vAlign w:val="center"/>
          </w:tcPr>
          <w:p w14:paraId="59AFC8A4">
            <w:pPr>
              <w:snapToGrid w:val="0"/>
              <w:spacing w:line="270" w:lineRule="exact"/>
              <w:jc w:val="center"/>
              <w:rPr>
                <w:rFonts w:eastAsia="仿宋_GB2312"/>
                <w:szCs w:val="21"/>
              </w:rPr>
            </w:pPr>
            <w:r>
              <w:rPr>
                <w:rFonts w:hint="eastAsia" w:eastAsia="仿宋_GB2312"/>
                <w:szCs w:val="21"/>
              </w:rPr>
              <w:t>ND</w:t>
            </w:r>
          </w:p>
        </w:tc>
        <w:tc>
          <w:tcPr>
            <w:tcW w:w="530" w:type="pct"/>
            <w:tcBorders>
              <w:tl2br w:val="nil"/>
              <w:tr2bl w:val="nil"/>
            </w:tcBorders>
            <w:shd w:val="clear" w:color="auto" w:fill="auto"/>
            <w:vAlign w:val="center"/>
          </w:tcPr>
          <w:p w14:paraId="47B12873">
            <w:pPr>
              <w:snapToGrid w:val="0"/>
              <w:spacing w:line="270" w:lineRule="exact"/>
              <w:jc w:val="center"/>
              <w:rPr>
                <w:rFonts w:eastAsia="仿宋_GB2312"/>
                <w:szCs w:val="21"/>
              </w:rPr>
            </w:pPr>
            <w:r>
              <w:rPr>
                <w:rFonts w:hint="eastAsia" w:eastAsia="仿宋_GB2312"/>
                <w:szCs w:val="21"/>
              </w:rPr>
              <w:t>/</w:t>
            </w:r>
          </w:p>
        </w:tc>
        <w:tc>
          <w:tcPr>
            <w:tcW w:w="1085" w:type="pct"/>
            <w:vMerge w:val="continue"/>
            <w:tcBorders>
              <w:tl2br w:val="nil"/>
              <w:tr2bl w:val="nil"/>
            </w:tcBorders>
            <w:shd w:val="clear" w:color="auto" w:fill="auto"/>
            <w:vAlign w:val="center"/>
          </w:tcPr>
          <w:p w14:paraId="72699AB1">
            <w:pPr>
              <w:snapToGrid w:val="0"/>
              <w:spacing w:line="270" w:lineRule="exact"/>
              <w:jc w:val="center"/>
              <w:rPr>
                <w:rFonts w:eastAsia="仿宋_GB2312"/>
                <w:color w:val="FF0000"/>
                <w:szCs w:val="21"/>
              </w:rPr>
            </w:pPr>
          </w:p>
        </w:tc>
        <w:tc>
          <w:tcPr>
            <w:tcW w:w="449" w:type="pct"/>
            <w:tcBorders>
              <w:tl2br w:val="nil"/>
              <w:tr2bl w:val="nil"/>
            </w:tcBorders>
            <w:shd w:val="clear" w:color="auto" w:fill="auto"/>
            <w:vAlign w:val="center"/>
          </w:tcPr>
          <w:p w14:paraId="58606D1D">
            <w:pPr>
              <w:snapToGrid w:val="0"/>
              <w:spacing w:line="270" w:lineRule="exact"/>
              <w:jc w:val="center"/>
              <w:rPr>
                <w:rFonts w:eastAsia="仿宋_GB2312"/>
                <w:szCs w:val="21"/>
              </w:rPr>
            </w:pPr>
            <w:r>
              <w:rPr>
                <w:rFonts w:hint="eastAsia" w:eastAsia="仿宋_GB2312"/>
                <w:szCs w:val="21"/>
              </w:rPr>
              <w:t>20</w:t>
            </w:r>
          </w:p>
        </w:tc>
        <w:tc>
          <w:tcPr>
            <w:tcW w:w="431" w:type="pct"/>
            <w:tcBorders>
              <w:tl2br w:val="nil"/>
              <w:tr2bl w:val="nil"/>
            </w:tcBorders>
            <w:shd w:val="clear" w:color="auto" w:fill="auto"/>
            <w:vAlign w:val="center"/>
          </w:tcPr>
          <w:p w14:paraId="0646D245">
            <w:pPr>
              <w:snapToGrid w:val="0"/>
              <w:spacing w:line="270" w:lineRule="exact"/>
              <w:jc w:val="center"/>
              <w:rPr>
                <w:rFonts w:eastAsia="仿宋_GB2312"/>
                <w:szCs w:val="21"/>
              </w:rPr>
            </w:pPr>
            <w:r>
              <w:rPr>
                <w:rFonts w:hint="eastAsia" w:eastAsia="仿宋_GB2312"/>
                <w:szCs w:val="21"/>
              </w:rPr>
              <w:t>8.1</w:t>
            </w:r>
          </w:p>
        </w:tc>
      </w:tr>
      <w:tr w14:paraId="447891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380" w:type="pct"/>
            <w:vMerge w:val="continue"/>
            <w:tcBorders>
              <w:tl2br w:val="nil"/>
              <w:tr2bl w:val="nil"/>
            </w:tcBorders>
            <w:shd w:val="clear" w:color="auto" w:fill="auto"/>
            <w:vAlign w:val="center"/>
          </w:tcPr>
          <w:p w14:paraId="457E2931">
            <w:pPr>
              <w:snapToGrid w:val="0"/>
              <w:jc w:val="center"/>
              <w:rPr>
                <w:rFonts w:eastAsia="仿宋_GB2312"/>
                <w:color w:val="FF0000"/>
                <w:szCs w:val="21"/>
              </w:rPr>
            </w:pPr>
          </w:p>
        </w:tc>
        <w:tc>
          <w:tcPr>
            <w:tcW w:w="408" w:type="pct"/>
            <w:vMerge w:val="continue"/>
            <w:tcBorders>
              <w:tl2br w:val="nil"/>
              <w:tr2bl w:val="nil"/>
            </w:tcBorders>
            <w:shd w:val="clear" w:color="auto" w:fill="auto"/>
            <w:vAlign w:val="center"/>
          </w:tcPr>
          <w:p w14:paraId="13FF0722">
            <w:pPr>
              <w:snapToGrid w:val="0"/>
              <w:jc w:val="center"/>
              <w:rPr>
                <w:rFonts w:eastAsia="仿宋_GB2312"/>
                <w:color w:val="FF0000"/>
                <w:szCs w:val="21"/>
              </w:rPr>
            </w:pPr>
          </w:p>
        </w:tc>
        <w:tc>
          <w:tcPr>
            <w:tcW w:w="781" w:type="pct"/>
            <w:tcBorders>
              <w:tl2br w:val="nil"/>
              <w:tr2bl w:val="nil"/>
            </w:tcBorders>
            <w:shd w:val="clear" w:color="auto" w:fill="auto"/>
            <w:vAlign w:val="center"/>
          </w:tcPr>
          <w:p w14:paraId="39C15E05">
            <w:pPr>
              <w:snapToGrid w:val="0"/>
              <w:spacing w:line="270" w:lineRule="exact"/>
              <w:jc w:val="center"/>
              <w:rPr>
                <w:rFonts w:eastAsia="仿宋_GB2312"/>
                <w:szCs w:val="21"/>
              </w:rPr>
            </w:pPr>
            <w:r>
              <w:rPr>
                <w:rFonts w:hint="eastAsia" w:eastAsia="仿宋_GB2312"/>
                <w:szCs w:val="21"/>
              </w:rPr>
              <w:t>二氯甲烷</w:t>
            </w:r>
          </w:p>
        </w:tc>
        <w:tc>
          <w:tcPr>
            <w:tcW w:w="460" w:type="pct"/>
            <w:vMerge w:val="continue"/>
            <w:tcBorders>
              <w:tl2br w:val="nil"/>
              <w:tr2bl w:val="nil"/>
            </w:tcBorders>
            <w:shd w:val="clear" w:color="auto" w:fill="auto"/>
            <w:vAlign w:val="center"/>
          </w:tcPr>
          <w:p w14:paraId="4A40C846">
            <w:pPr>
              <w:snapToGrid w:val="0"/>
              <w:spacing w:line="270" w:lineRule="exact"/>
              <w:jc w:val="center"/>
              <w:rPr>
                <w:rFonts w:eastAsia="仿宋_GB2312"/>
                <w:color w:val="FF0000"/>
                <w:szCs w:val="21"/>
              </w:rPr>
            </w:pPr>
          </w:p>
        </w:tc>
        <w:tc>
          <w:tcPr>
            <w:tcW w:w="473" w:type="pct"/>
            <w:tcBorders>
              <w:tl2br w:val="nil"/>
              <w:tr2bl w:val="nil"/>
            </w:tcBorders>
            <w:shd w:val="clear" w:color="auto" w:fill="auto"/>
            <w:vAlign w:val="center"/>
          </w:tcPr>
          <w:p w14:paraId="324FF2D5">
            <w:pPr>
              <w:snapToGrid w:val="0"/>
              <w:spacing w:line="270" w:lineRule="exact"/>
              <w:jc w:val="center"/>
              <w:rPr>
                <w:rFonts w:eastAsia="仿宋_GB2312"/>
                <w:szCs w:val="21"/>
              </w:rPr>
            </w:pPr>
            <w:r>
              <w:rPr>
                <w:rFonts w:hint="eastAsia" w:eastAsia="仿宋_GB2312"/>
                <w:szCs w:val="21"/>
              </w:rPr>
              <w:t>ND</w:t>
            </w:r>
          </w:p>
        </w:tc>
        <w:tc>
          <w:tcPr>
            <w:tcW w:w="530" w:type="pct"/>
            <w:tcBorders>
              <w:tl2br w:val="nil"/>
              <w:tr2bl w:val="nil"/>
            </w:tcBorders>
            <w:shd w:val="clear" w:color="auto" w:fill="auto"/>
            <w:vAlign w:val="center"/>
          </w:tcPr>
          <w:p w14:paraId="4023A135">
            <w:pPr>
              <w:snapToGrid w:val="0"/>
              <w:spacing w:line="270" w:lineRule="exact"/>
              <w:jc w:val="center"/>
              <w:rPr>
                <w:rFonts w:eastAsia="仿宋_GB2312"/>
                <w:szCs w:val="21"/>
              </w:rPr>
            </w:pPr>
            <w:r>
              <w:rPr>
                <w:rFonts w:hint="eastAsia" w:eastAsia="仿宋_GB2312"/>
                <w:szCs w:val="21"/>
              </w:rPr>
              <w:t>/</w:t>
            </w:r>
          </w:p>
        </w:tc>
        <w:tc>
          <w:tcPr>
            <w:tcW w:w="1085" w:type="pct"/>
            <w:vMerge w:val="restart"/>
            <w:tcBorders>
              <w:tl2br w:val="nil"/>
              <w:tr2bl w:val="nil"/>
            </w:tcBorders>
            <w:shd w:val="clear" w:color="auto" w:fill="auto"/>
            <w:vAlign w:val="center"/>
          </w:tcPr>
          <w:p w14:paraId="31EC4133">
            <w:pPr>
              <w:widowControl/>
              <w:adjustRightInd w:val="0"/>
              <w:snapToGrid w:val="0"/>
              <w:spacing w:line="270" w:lineRule="exact"/>
              <w:jc w:val="center"/>
              <w:rPr>
                <w:rFonts w:eastAsia="仿宋_GB2312"/>
                <w:szCs w:val="21"/>
              </w:rPr>
            </w:pPr>
            <w:r>
              <w:rPr>
                <w:rFonts w:eastAsia="仿宋_GB2312"/>
                <w:szCs w:val="21"/>
              </w:rPr>
              <w:t>《大气污染物综合排放标准》（DB32 4041-2021）</w:t>
            </w:r>
          </w:p>
        </w:tc>
        <w:tc>
          <w:tcPr>
            <w:tcW w:w="449" w:type="pct"/>
            <w:tcBorders>
              <w:tl2br w:val="nil"/>
              <w:tr2bl w:val="nil"/>
            </w:tcBorders>
            <w:shd w:val="clear" w:color="auto" w:fill="auto"/>
            <w:vAlign w:val="center"/>
          </w:tcPr>
          <w:p w14:paraId="4F8E1E4A">
            <w:pPr>
              <w:snapToGrid w:val="0"/>
              <w:spacing w:line="270" w:lineRule="exact"/>
              <w:jc w:val="center"/>
              <w:rPr>
                <w:rFonts w:eastAsia="仿宋_GB2312"/>
                <w:szCs w:val="21"/>
              </w:rPr>
            </w:pPr>
            <w:r>
              <w:rPr>
                <w:rFonts w:hint="eastAsia" w:eastAsia="仿宋_GB2312"/>
                <w:szCs w:val="21"/>
              </w:rPr>
              <w:t>20</w:t>
            </w:r>
          </w:p>
        </w:tc>
        <w:tc>
          <w:tcPr>
            <w:tcW w:w="431" w:type="pct"/>
            <w:tcBorders>
              <w:tl2br w:val="nil"/>
              <w:tr2bl w:val="nil"/>
            </w:tcBorders>
            <w:shd w:val="clear" w:color="auto" w:fill="auto"/>
            <w:vAlign w:val="center"/>
          </w:tcPr>
          <w:p w14:paraId="1A2CD1C7">
            <w:pPr>
              <w:snapToGrid w:val="0"/>
              <w:spacing w:line="270" w:lineRule="exact"/>
              <w:jc w:val="center"/>
              <w:rPr>
                <w:rFonts w:eastAsia="仿宋_GB2312"/>
                <w:szCs w:val="21"/>
              </w:rPr>
            </w:pPr>
            <w:r>
              <w:rPr>
                <w:rFonts w:hint="eastAsia" w:eastAsia="仿宋_GB2312"/>
                <w:szCs w:val="21"/>
              </w:rPr>
              <w:t>0.45</w:t>
            </w:r>
          </w:p>
        </w:tc>
      </w:tr>
      <w:tr w14:paraId="4E45D9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380" w:type="pct"/>
            <w:vMerge w:val="continue"/>
            <w:tcBorders>
              <w:tl2br w:val="nil"/>
              <w:tr2bl w:val="nil"/>
            </w:tcBorders>
            <w:shd w:val="clear" w:color="auto" w:fill="auto"/>
            <w:vAlign w:val="center"/>
          </w:tcPr>
          <w:p w14:paraId="606F6C58">
            <w:pPr>
              <w:snapToGrid w:val="0"/>
              <w:jc w:val="center"/>
              <w:rPr>
                <w:rFonts w:eastAsia="仿宋_GB2312"/>
                <w:color w:val="FF0000"/>
                <w:szCs w:val="21"/>
              </w:rPr>
            </w:pPr>
          </w:p>
        </w:tc>
        <w:tc>
          <w:tcPr>
            <w:tcW w:w="408" w:type="pct"/>
            <w:vMerge w:val="continue"/>
            <w:tcBorders>
              <w:tl2br w:val="nil"/>
              <w:tr2bl w:val="nil"/>
            </w:tcBorders>
            <w:shd w:val="clear" w:color="auto" w:fill="auto"/>
            <w:vAlign w:val="center"/>
          </w:tcPr>
          <w:p w14:paraId="2D9C47D5">
            <w:pPr>
              <w:snapToGrid w:val="0"/>
              <w:jc w:val="center"/>
              <w:rPr>
                <w:rFonts w:eastAsia="仿宋_GB2312"/>
                <w:color w:val="FF0000"/>
                <w:szCs w:val="21"/>
              </w:rPr>
            </w:pPr>
          </w:p>
        </w:tc>
        <w:tc>
          <w:tcPr>
            <w:tcW w:w="781" w:type="pct"/>
            <w:tcBorders>
              <w:tl2br w:val="nil"/>
              <w:tr2bl w:val="nil"/>
            </w:tcBorders>
            <w:shd w:val="clear" w:color="auto" w:fill="auto"/>
            <w:vAlign w:val="center"/>
          </w:tcPr>
          <w:p w14:paraId="5F7C8461">
            <w:pPr>
              <w:snapToGrid w:val="0"/>
              <w:spacing w:line="270" w:lineRule="exact"/>
              <w:jc w:val="center"/>
              <w:rPr>
                <w:rFonts w:eastAsia="仿宋_GB2312"/>
                <w:szCs w:val="21"/>
              </w:rPr>
            </w:pPr>
            <w:r>
              <w:rPr>
                <w:rFonts w:eastAsia="仿宋_GB2312"/>
                <w:szCs w:val="21"/>
              </w:rPr>
              <w:t>甲醇</w:t>
            </w:r>
          </w:p>
        </w:tc>
        <w:tc>
          <w:tcPr>
            <w:tcW w:w="460" w:type="pct"/>
            <w:vMerge w:val="continue"/>
            <w:tcBorders>
              <w:tl2br w:val="nil"/>
              <w:tr2bl w:val="nil"/>
            </w:tcBorders>
            <w:shd w:val="clear" w:color="auto" w:fill="auto"/>
            <w:vAlign w:val="center"/>
          </w:tcPr>
          <w:p w14:paraId="46EF5A73">
            <w:pPr>
              <w:snapToGrid w:val="0"/>
              <w:spacing w:line="270" w:lineRule="exact"/>
              <w:jc w:val="center"/>
              <w:rPr>
                <w:rFonts w:eastAsia="仿宋_GB2312"/>
                <w:szCs w:val="21"/>
              </w:rPr>
            </w:pPr>
          </w:p>
        </w:tc>
        <w:tc>
          <w:tcPr>
            <w:tcW w:w="473" w:type="pct"/>
            <w:tcBorders>
              <w:tl2br w:val="nil"/>
              <w:tr2bl w:val="nil"/>
            </w:tcBorders>
            <w:shd w:val="clear" w:color="auto" w:fill="auto"/>
            <w:vAlign w:val="center"/>
          </w:tcPr>
          <w:p w14:paraId="676DC61E">
            <w:pPr>
              <w:snapToGrid w:val="0"/>
              <w:spacing w:line="270" w:lineRule="exact"/>
              <w:jc w:val="center"/>
              <w:rPr>
                <w:rFonts w:eastAsia="仿宋_GB2312"/>
                <w:szCs w:val="21"/>
              </w:rPr>
            </w:pPr>
            <w:r>
              <w:rPr>
                <w:rFonts w:hint="eastAsia" w:eastAsia="仿宋_GB2312"/>
                <w:szCs w:val="21"/>
              </w:rPr>
              <w:t>ND</w:t>
            </w:r>
          </w:p>
        </w:tc>
        <w:tc>
          <w:tcPr>
            <w:tcW w:w="530" w:type="pct"/>
            <w:tcBorders>
              <w:tl2br w:val="nil"/>
              <w:tr2bl w:val="nil"/>
            </w:tcBorders>
            <w:shd w:val="clear" w:color="auto" w:fill="auto"/>
            <w:vAlign w:val="center"/>
          </w:tcPr>
          <w:p w14:paraId="79564CA7">
            <w:pPr>
              <w:snapToGrid w:val="0"/>
              <w:spacing w:line="270" w:lineRule="exact"/>
              <w:jc w:val="center"/>
              <w:rPr>
                <w:rFonts w:eastAsia="仿宋_GB2312"/>
                <w:szCs w:val="21"/>
              </w:rPr>
            </w:pPr>
            <w:r>
              <w:rPr>
                <w:rFonts w:hint="eastAsia" w:eastAsia="仿宋_GB2312"/>
                <w:szCs w:val="21"/>
              </w:rPr>
              <w:t>/</w:t>
            </w:r>
          </w:p>
        </w:tc>
        <w:tc>
          <w:tcPr>
            <w:tcW w:w="1085" w:type="pct"/>
            <w:vMerge w:val="continue"/>
            <w:tcBorders>
              <w:tl2br w:val="nil"/>
              <w:tr2bl w:val="nil"/>
            </w:tcBorders>
            <w:shd w:val="clear" w:color="auto" w:fill="auto"/>
            <w:vAlign w:val="center"/>
          </w:tcPr>
          <w:p w14:paraId="7EC7A81D">
            <w:pPr>
              <w:widowControl/>
              <w:adjustRightInd w:val="0"/>
              <w:snapToGrid w:val="0"/>
              <w:spacing w:line="270" w:lineRule="exact"/>
              <w:jc w:val="center"/>
              <w:rPr>
                <w:rFonts w:eastAsia="仿宋_GB2312"/>
                <w:szCs w:val="21"/>
              </w:rPr>
            </w:pPr>
          </w:p>
        </w:tc>
        <w:tc>
          <w:tcPr>
            <w:tcW w:w="449" w:type="pct"/>
            <w:tcBorders>
              <w:tl2br w:val="nil"/>
              <w:tr2bl w:val="nil"/>
            </w:tcBorders>
            <w:shd w:val="clear" w:color="auto" w:fill="auto"/>
            <w:vAlign w:val="center"/>
          </w:tcPr>
          <w:p w14:paraId="4C894DB5">
            <w:pPr>
              <w:widowControl/>
              <w:adjustRightInd w:val="0"/>
              <w:snapToGrid w:val="0"/>
              <w:spacing w:line="270" w:lineRule="exact"/>
              <w:jc w:val="center"/>
              <w:rPr>
                <w:rFonts w:eastAsia="仿宋_GB2312"/>
                <w:szCs w:val="21"/>
              </w:rPr>
            </w:pPr>
            <w:r>
              <w:rPr>
                <w:rFonts w:eastAsia="仿宋_GB2312"/>
                <w:szCs w:val="21"/>
              </w:rPr>
              <w:t>50</w:t>
            </w:r>
          </w:p>
        </w:tc>
        <w:tc>
          <w:tcPr>
            <w:tcW w:w="431" w:type="pct"/>
            <w:tcBorders>
              <w:tl2br w:val="nil"/>
              <w:tr2bl w:val="nil"/>
            </w:tcBorders>
            <w:shd w:val="clear" w:color="auto" w:fill="auto"/>
            <w:vAlign w:val="center"/>
          </w:tcPr>
          <w:p w14:paraId="4A76E541">
            <w:pPr>
              <w:widowControl/>
              <w:adjustRightInd w:val="0"/>
              <w:snapToGrid w:val="0"/>
              <w:spacing w:line="270" w:lineRule="exact"/>
              <w:jc w:val="center"/>
              <w:rPr>
                <w:rFonts w:eastAsia="仿宋_GB2312"/>
                <w:szCs w:val="21"/>
              </w:rPr>
            </w:pPr>
            <w:r>
              <w:rPr>
                <w:rFonts w:eastAsia="仿宋_GB2312"/>
                <w:szCs w:val="21"/>
              </w:rPr>
              <w:t>1.8</w:t>
            </w:r>
          </w:p>
        </w:tc>
      </w:tr>
      <w:tr w14:paraId="544DB5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380" w:type="pct"/>
            <w:vMerge w:val="continue"/>
            <w:tcBorders>
              <w:tl2br w:val="nil"/>
              <w:tr2bl w:val="nil"/>
            </w:tcBorders>
            <w:shd w:val="clear" w:color="auto" w:fill="auto"/>
            <w:vAlign w:val="center"/>
          </w:tcPr>
          <w:p w14:paraId="68C59DAD">
            <w:pPr>
              <w:snapToGrid w:val="0"/>
              <w:jc w:val="center"/>
              <w:rPr>
                <w:rFonts w:eastAsia="仿宋_GB2312"/>
                <w:color w:val="FF0000"/>
                <w:szCs w:val="21"/>
              </w:rPr>
            </w:pPr>
          </w:p>
        </w:tc>
        <w:tc>
          <w:tcPr>
            <w:tcW w:w="408" w:type="pct"/>
            <w:vMerge w:val="continue"/>
            <w:tcBorders>
              <w:tl2br w:val="nil"/>
              <w:tr2bl w:val="nil"/>
            </w:tcBorders>
            <w:shd w:val="clear" w:color="auto" w:fill="auto"/>
            <w:vAlign w:val="center"/>
          </w:tcPr>
          <w:p w14:paraId="003EF47B">
            <w:pPr>
              <w:snapToGrid w:val="0"/>
              <w:jc w:val="center"/>
              <w:rPr>
                <w:rFonts w:eastAsia="仿宋_GB2312"/>
                <w:color w:val="FF0000"/>
                <w:szCs w:val="21"/>
              </w:rPr>
            </w:pPr>
          </w:p>
        </w:tc>
        <w:tc>
          <w:tcPr>
            <w:tcW w:w="781" w:type="pct"/>
            <w:tcBorders>
              <w:tl2br w:val="nil"/>
              <w:tr2bl w:val="nil"/>
            </w:tcBorders>
            <w:shd w:val="clear" w:color="auto" w:fill="auto"/>
            <w:vAlign w:val="center"/>
          </w:tcPr>
          <w:p w14:paraId="0A35C51D">
            <w:pPr>
              <w:snapToGrid w:val="0"/>
              <w:spacing w:line="270" w:lineRule="exact"/>
              <w:jc w:val="center"/>
              <w:rPr>
                <w:rFonts w:eastAsia="仿宋_GB2312"/>
                <w:szCs w:val="21"/>
              </w:rPr>
            </w:pPr>
            <w:r>
              <w:rPr>
                <w:rFonts w:eastAsia="仿宋_GB2312"/>
                <w:szCs w:val="21"/>
              </w:rPr>
              <w:t>甲苯</w:t>
            </w:r>
          </w:p>
        </w:tc>
        <w:tc>
          <w:tcPr>
            <w:tcW w:w="460" w:type="pct"/>
            <w:vMerge w:val="continue"/>
            <w:tcBorders>
              <w:tl2br w:val="nil"/>
              <w:tr2bl w:val="nil"/>
            </w:tcBorders>
            <w:shd w:val="clear" w:color="auto" w:fill="auto"/>
            <w:vAlign w:val="center"/>
          </w:tcPr>
          <w:p w14:paraId="4BD7A661">
            <w:pPr>
              <w:snapToGrid w:val="0"/>
              <w:spacing w:line="270" w:lineRule="exact"/>
              <w:jc w:val="center"/>
              <w:rPr>
                <w:rFonts w:eastAsia="仿宋_GB2312"/>
                <w:szCs w:val="21"/>
              </w:rPr>
            </w:pPr>
          </w:p>
        </w:tc>
        <w:tc>
          <w:tcPr>
            <w:tcW w:w="473" w:type="pct"/>
            <w:tcBorders>
              <w:tl2br w:val="nil"/>
              <w:tr2bl w:val="nil"/>
            </w:tcBorders>
            <w:shd w:val="clear" w:color="auto" w:fill="auto"/>
            <w:vAlign w:val="center"/>
          </w:tcPr>
          <w:p w14:paraId="2B16ABF9">
            <w:pPr>
              <w:snapToGrid w:val="0"/>
              <w:spacing w:line="270" w:lineRule="exact"/>
              <w:jc w:val="center"/>
              <w:rPr>
                <w:rFonts w:eastAsia="仿宋_GB2312"/>
                <w:szCs w:val="21"/>
              </w:rPr>
            </w:pPr>
            <w:r>
              <w:rPr>
                <w:rFonts w:hint="eastAsia" w:eastAsia="仿宋_GB2312"/>
                <w:szCs w:val="21"/>
              </w:rPr>
              <w:t>ND</w:t>
            </w:r>
          </w:p>
        </w:tc>
        <w:tc>
          <w:tcPr>
            <w:tcW w:w="530" w:type="pct"/>
            <w:tcBorders>
              <w:tl2br w:val="nil"/>
              <w:tr2bl w:val="nil"/>
            </w:tcBorders>
            <w:shd w:val="clear" w:color="auto" w:fill="auto"/>
            <w:vAlign w:val="center"/>
          </w:tcPr>
          <w:p w14:paraId="1FD04AB9">
            <w:pPr>
              <w:snapToGrid w:val="0"/>
              <w:spacing w:line="270" w:lineRule="exact"/>
              <w:jc w:val="center"/>
              <w:rPr>
                <w:rFonts w:eastAsia="仿宋_GB2312"/>
                <w:szCs w:val="21"/>
              </w:rPr>
            </w:pPr>
            <w:r>
              <w:rPr>
                <w:rFonts w:hint="eastAsia" w:eastAsia="仿宋_GB2312"/>
                <w:szCs w:val="21"/>
              </w:rPr>
              <w:t>/</w:t>
            </w:r>
          </w:p>
        </w:tc>
        <w:tc>
          <w:tcPr>
            <w:tcW w:w="1085" w:type="pct"/>
            <w:vMerge w:val="continue"/>
            <w:tcBorders>
              <w:tl2br w:val="nil"/>
              <w:tr2bl w:val="nil"/>
            </w:tcBorders>
            <w:shd w:val="clear" w:color="auto" w:fill="auto"/>
            <w:vAlign w:val="center"/>
          </w:tcPr>
          <w:p w14:paraId="14CF57D4">
            <w:pPr>
              <w:snapToGrid w:val="0"/>
              <w:spacing w:line="270" w:lineRule="exact"/>
              <w:jc w:val="center"/>
              <w:rPr>
                <w:rFonts w:eastAsia="仿宋_GB2312"/>
                <w:szCs w:val="21"/>
              </w:rPr>
            </w:pPr>
          </w:p>
        </w:tc>
        <w:tc>
          <w:tcPr>
            <w:tcW w:w="449" w:type="pct"/>
            <w:tcBorders>
              <w:tl2br w:val="nil"/>
              <w:tr2bl w:val="nil"/>
            </w:tcBorders>
            <w:shd w:val="clear" w:color="auto" w:fill="auto"/>
            <w:vAlign w:val="center"/>
          </w:tcPr>
          <w:p w14:paraId="71691177">
            <w:pPr>
              <w:snapToGrid w:val="0"/>
              <w:spacing w:line="270" w:lineRule="exact"/>
              <w:jc w:val="center"/>
              <w:rPr>
                <w:rFonts w:eastAsia="仿宋_GB2312"/>
                <w:szCs w:val="21"/>
              </w:rPr>
            </w:pPr>
            <w:r>
              <w:rPr>
                <w:rFonts w:eastAsia="仿宋_GB2312"/>
                <w:szCs w:val="21"/>
              </w:rPr>
              <w:t>10</w:t>
            </w:r>
          </w:p>
        </w:tc>
        <w:tc>
          <w:tcPr>
            <w:tcW w:w="431" w:type="pct"/>
            <w:tcBorders>
              <w:tl2br w:val="nil"/>
              <w:tr2bl w:val="nil"/>
            </w:tcBorders>
            <w:shd w:val="clear" w:color="auto" w:fill="auto"/>
            <w:vAlign w:val="center"/>
          </w:tcPr>
          <w:p w14:paraId="66CFFDEF">
            <w:pPr>
              <w:snapToGrid w:val="0"/>
              <w:spacing w:line="270" w:lineRule="exact"/>
              <w:jc w:val="center"/>
              <w:rPr>
                <w:rFonts w:eastAsia="仿宋_GB2312"/>
                <w:szCs w:val="21"/>
              </w:rPr>
            </w:pPr>
            <w:r>
              <w:rPr>
                <w:rFonts w:eastAsia="仿宋_GB2312"/>
                <w:szCs w:val="21"/>
              </w:rPr>
              <w:t>0.2</w:t>
            </w:r>
          </w:p>
        </w:tc>
      </w:tr>
      <w:tr w14:paraId="1A08A4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380" w:type="pct"/>
            <w:vMerge w:val="continue"/>
            <w:tcBorders>
              <w:tl2br w:val="nil"/>
              <w:tr2bl w:val="nil"/>
            </w:tcBorders>
            <w:shd w:val="clear" w:color="auto" w:fill="auto"/>
            <w:vAlign w:val="center"/>
          </w:tcPr>
          <w:p w14:paraId="44457775">
            <w:pPr>
              <w:snapToGrid w:val="0"/>
              <w:jc w:val="center"/>
              <w:rPr>
                <w:rFonts w:eastAsia="仿宋_GB2312"/>
                <w:color w:val="FF0000"/>
                <w:szCs w:val="21"/>
              </w:rPr>
            </w:pPr>
          </w:p>
        </w:tc>
        <w:tc>
          <w:tcPr>
            <w:tcW w:w="408" w:type="pct"/>
            <w:vMerge w:val="continue"/>
            <w:tcBorders>
              <w:tl2br w:val="nil"/>
              <w:tr2bl w:val="nil"/>
            </w:tcBorders>
            <w:shd w:val="clear" w:color="auto" w:fill="auto"/>
            <w:vAlign w:val="center"/>
          </w:tcPr>
          <w:p w14:paraId="38049D7E">
            <w:pPr>
              <w:snapToGrid w:val="0"/>
              <w:jc w:val="center"/>
              <w:rPr>
                <w:rFonts w:eastAsia="仿宋_GB2312"/>
                <w:color w:val="FF0000"/>
                <w:szCs w:val="21"/>
              </w:rPr>
            </w:pPr>
          </w:p>
        </w:tc>
        <w:tc>
          <w:tcPr>
            <w:tcW w:w="781" w:type="pct"/>
            <w:tcBorders>
              <w:tl2br w:val="nil"/>
              <w:tr2bl w:val="nil"/>
            </w:tcBorders>
            <w:shd w:val="clear" w:color="auto" w:fill="auto"/>
            <w:vAlign w:val="center"/>
          </w:tcPr>
          <w:p w14:paraId="241ACA62">
            <w:pPr>
              <w:snapToGrid w:val="0"/>
              <w:spacing w:line="270" w:lineRule="exact"/>
              <w:jc w:val="center"/>
              <w:rPr>
                <w:rFonts w:eastAsia="仿宋_GB2312"/>
                <w:szCs w:val="21"/>
              </w:rPr>
            </w:pPr>
            <w:r>
              <w:rPr>
                <w:rFonts w:eastAsia="仿宋_GB2312"/>
                <w:szCs w:val="21"/>
              </w:rPr>
              <w:t>二甲苯</w:t>
            </w:r>
          </w:p>
        </w:tc>
        <w:tc>
          <w:tcPr>
            <w:tcW w:w="460" w:type="pct"/>
            <w:vMerge w:val="continue"/>
            <w:tcBorders>
              <w:tl2br w:val="nil"/>
              <w:tr2bl w:val="nil"/>
            </w:tcBorders>
            <w:shd w:val="clear" w:color="auto" w:fill="auto"/>
            <w:vAlign w:val="center"/>
          </w:tcPr>
          <w:p w14:paraId="32D2E2C0">
            <w:pPr>
              <w:snapToGrid w:val="0"/>
              <w:spacing w:line="270" w:lineRule="exact"/>
              <w:jc w:val="center"/>
              <w:rPr>
                <w:rFonts w:eastAsia="仿宋_GB2312"/>
                <w:szCs w:val="21"/>
              </w:rPr>
            </w:pPr>
          </w:p>
        </w:tc>
        <w:tc>
          <w:tcPr>
            <w:tcW w:w="473" w:type="pct"/>
            <w:tcBorders>
              <w:tl2br w:val="nil"/>
              <w:tr2bl w:val="nil"/>
            </w:tcBorders>
            <w:shd w:val="clear" w:color="auto" w:fill="auto"/>
            <w:vAlign w:val="center"/>
          </w:tcPr>
          <w:p w14:paraId="5F51AEB9">
            <w:pPr>
              <w:snapToGrid w:val="0"/>
              <w:spacing w:line="270" w:lineRule="exact"/>
              <w:jc w:val="center"/>
              <w:rPr>
                <w:rFonts w:eastAsia="仿宋_GB2312"/>
                <w:szCs w:val="21"/>
              </w:rPr>
            </w:pPr>
            <w:r>
              <w:rPr>
                <w:rFonts w:hint="eastAsia" w:eastAsia="仿宋_GB2312"/>
                <w:szCs w:val="21"/>
              </w:rPr>
              <w:t>ND</w:t>
            </w:r>
          </w:p>
        </w:tc>
        <w:tc>
          <w:tcPr>
            <w:tcW w:w="530" w:type="pct"/>
            <w:tcBorders>
              <w:tl2br w:val="nil"/>
              <w:tr2bl w:val="nil"/>
            </w:tcBorders>
            <w:shd w:val="clear" w:color="auto" w:fill="auto"/>
            <w:vAlign w:val="center"/>
          </w:tcPr>
          <w:p w14:paraId="5BA8DA47">
            <w:pPr>
              <w:snapToGrid w:val="0"/>
              <w:spacing w:line="270" w:lineRule="exact"/>
              <w:jc w:val="center"/>
              <w:rPr>
                <w:rFonts w:eastAsia="仿宋_GB2312"/>
                <w:szCs w:val="21"/>
              </w:rPr>
            </w:pPr>
            <w:r>
              <w:rPr>
                <w:rFonts w:hint="eastAsia" w:eastAsia="仿宋_GB2312"/>
                <w:szCs w:val="21"/>
              </w:rPr>
              <w:t>/</w:t>
            </w:r>
          </w:p>
        </w:tc>
        <w:tc>
          <w:tcPr>
            <w:tcW w:w="1085" w:type="pct"/>
            <w:vMerge w:val="continue"/>
            <w:tcBorders>
              <w:tl2br w:val="nil"/>
              <w:tr2bl w:val="nil"/>
            </w:tcBorders>
            <w:shd w:val="clear" w:color="auto" w:fill="auto"/>
            <w:vAlign w:val="center"/>
          </w:tcPr>
          <w:p w14:paraId="77CAC548">
            <w:pPr>
              <w:snapToGrid w:val="0"/>
              <w:spacing w:line="270" w:lineRule="exact"/>
              <w:jc w:val="center"/>
              <w:rPr>
                <w:rFonts w:eastAsia="仿宋_GB2312"/>
                <w:szCs w:val="21"/>
              </w:rPr>
            </w:pPr>
          </w:p>
        </w:tc>
        <w:tc>
          <w:tcPr>
            <w:tcW w:w="449" w:type="pct"/>
            <w:tcBorders>
              <w:tl2br w:val="nil"/>
              <w:tr2bl w:val="nil"/>
            </w:tcBorders>
            <w:shd w:val="clear" w:color="auto" w:fill="auto"/>
            <w:vAlign w:val="center"/>
          </w:tcPr>
          <w:p w14:paraId="38FF6626">
            <w:pPr>
              <w:snapToGrid w:val="0"/>
              <w:spacing w:line="270" w:lineRule="exact"/>
              <w:jc w:val="center"/>
              <w:rPr>
                <w:rFonts w:eastAsia="仿宋_GB2312"/>
                <w:szCs w:val="21"/>
              </w:rPr>
            </w:pPr>
            <w:r>
              <w:rPr>
                <w:rFonts w:eastAsia="仿宋_GB2312"/>
                <w:szCs w:val="21"/>
              </w:rPr>
              <w:t>10</w:t>
            </w:r>
          </w:p>
        </w:tc>
        <w:tc>
          <w:tcPr>
            <w:tcW w:w="431" w:type="pct"/>
            <w:tcBorders>
              <w:tl2br w:val="nil"/>
              <w:tr2bl w:val="nil"/>
            </w:tcBorders>
            <w:shd w:val="clear" w:color="auto" w:fill="auto"/>
            <w:vAlign w:val="center"/>
          </w:tcPr>
          <w:p w14:paraId="38FE978C">
            <w:pPr>
              <w:snapToGrid w:val="0"/>
              <w:spacing w:line="270" w:lineRule="exact"/>
              <w:jc w:val="center"/>
              <w:rPr>
                <w:rFonts w:eastAsia="仿宋_GB2312"/>
                <w:szCs w:val="21"/>
              </w:rPr>
            </w:pPr>
            <w:r>
              <w:rPr>
                <w:rFonts w:eastAsia="仿宋_GB2312"/>
                <w:szCs w:val="21"/>
              </w:rPr>
              <w:t>0.72</w:t>
            </w:r>
          </w:p>
        </w:tc>
      </w:tr>
      <w:tr w14:paraId="1A6290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380" w:type="pct"/>
            <w:vMerge w:val="continue"/>
            <w:tcBorders>
              <w:tl2br w:val="nil"/>
              <w:tr2bl w:val="nil"/>
            </w:tcBorders>
            <w:shd w:val="clear" w:color="auto" w:fill="auto"/>
            <w:vAlign w:val="center"/>
          </w:tcPr>
          <w:p w14:paraId="58916B7C">
            <w:pPr>
              <w:snapToGrid w:val="0"/>
              <w:jc w:val="center"/>
              <w:rPr>
                <w:rFonts w:eastAsia="仿宋_GB2312"/>
                <w:color w:val="FF0000"/>
                <w:szCs w:val="21"/>
              </w:rPr>
            </w:pPr>
          </w:p>
        </w:tc>
        <w:tc>
          <w:tcPr>
            <w:tcW w:w="408" w:type="pct"/>
            <w:vMerge w:val="continue"/>
            <w:tcBorders>
              <w:tl2br w:val="nil"/>
              <w:tr2bl w:val="nil"/>
            </w:tcBorders>
            <w:shd w:val="clear" w:color="auto" w:fill="auto"/>
            <w:vAlign w:val="center"/>
          </w:tcPr>
          <w:p w14:paraId="5DD55E25">
            <w:pPr>
              <w:snapToGrid w:val="0"/>
              <w:jc w:val="center"/>
              <w:rPr>
                <w:rFonts w:eastAsia="仿宋_GB2312"/>
                <w:color w:val="FF0000"/>
                <w:szCs w:val="21"/>
              </w:rPr>
            </w:pPr>
          </w:p>
        </w:tc>
        <w:tc>
          <w:tcPr>
            <w:tcW w:w="781" w:type="pct"/>
            <w:tcBorders>
              <w:tl2br w:val="nil"/>
              <w:tr2bl w:val="nil"/>
            </w:tcBorders>
            <w:shd w:val="clear" w:color="auto" w:fill="auto"/>
            <w:vAlign w:val="center"/>
          </w:tcPr>
          <w:p w14:paraId="5D899312">
            <w:pPr>
              <w:snapToGrid w:val="0"/>
              <w:spacing w:line="270" w:lineRule="exact"/>
              <w:jc w:val="center"/>
              <w:rPr>
                <w:rFonts w:eastAsia="仿宋_GB2312"/>
                <w:szCs w:val="21"/>
              </w:rPr>
            </w:pPr>
            <w:r>
              <w:rPr>
                <w:rFonts w:eastAsia="仿宋_GB2312"/>
                <w:szCs w:val="21"/>
              </w:rPr>
              <w:t>硫酸雾</w:t>
            </w:r>
          </w:p>
        </w:tc>
        <w:tc>
          <w:tcPr>
            <w:tcW w:w="460" w:type="pct"/>
            <w:vMerge w:val="continue"/>
            <w:tcBorders>
              <w:tl2br w:val="nil"/>
              <w:tr2bl w:val="nil"/>
            </w:tcBorders>
            <w:shd w:val="clear" w:color="auto" w:fill="auto"/>
            <w:vAlign w:val="center"/>
          </w:tcPr>
          <w:p w14:paraId="01DC0D62">
            <w:pPr>
              <w:snapToGrid w:val="0"/>
              <w:spacing w:line="270" w:lineRule="exact"/>
              <w:jc w:val="center"/>
              <w:rPr>
                <w:rFonts w:eastAsia="仿宋_GB2312"/>
                <w:szCs w:val="21"/>
              </w:rPr>
            </w:pPr>
          </w:p>
        </w:tc>
        <w:tc>
          <w:tcPr>
            <w:tcW w:w="473" w:type="pct"/>
            <w:tcBorders>
              <w:tl2br w:val="nil"/>
              <w:tr2bl w:val="nil"/>
            </w:tcBorders>
            <w:shd w:val="clear" w:color="auto" w:fill="auto"/>
            <w:vAlign w:val="center"/>
          </w:tcPr>
          <w:p w14:paraId="71FA1508">
            <w:pPr>
              <w:snapToGrid w:val="0"/>
              <w:spacing w:line="270" w:lineRule="exact"/>
              <w:jc w:val="center"/>
              <w:rPr>
                <w:rFonts w:eastAsia="仿宋_GB2312"/>
                <w:szCs w:val="21"/>
              </w:rPr>
            </w:pPr>
            <w:r>
              <w:rPr>
                <w:rFonts w:hint="eastAsia" w:eastAsia="仿宋_GB2312"/>
                <w:szCs w:val="21"/>
              </w:rPr>
              <w:t>0.86</w:t>
            </w:r>
          </w:p>
        </w:tc>
        <w:tc>
          <w:tcPr>
            <w:tcW w:w="530" w:type="pct"/>
            <w:tcBorders>
              <w:tl2br w:val="nil"/>
              <w:tr2bl w:val="nil"/>
            </w:tcBorders>
            <w:shd w:val="clear" w:color="auto" w:fill="auto"/>
            <w:vAlign w:val="center"/>
          </w:tcPr>
          <w:p w14:paraId="2205C919">
            <w:pPr>
              <w:snapToGrid w:val="0"/>
              <w:spacing w:line="270" w:lineRule="exact"/>
              <w:jc w:val="center"/>
              <w:rPr>
                <w:rFonts w:eastAsia="仿宋_GB2312"/>
                <w:szCs w:val="21"/>
              </w:rPr>
            </w:pPr>
            <w:r>
              <w:rPr>
                <w:rFonts w:hint="eastAsia" w:eastAsia="仿宋_GB2312"/>
                <w:szCs w:val="21"/>
              </w:rPr>
              <w:t>4.01</w:t>
            </w:r>
            <w:r>
              <w:rPr>
                <w:rFonts w:eastAsia="仿宋_GB2312"/>
                <w:szCs w:val="21"/>
              </w:rPr>
              <w:t>×10</w:t>
            </w:r>
            <w:r>
              <w:rPr>
                <w:rFonts w:eastAsia="仿宋_GB2312"/>
                <w:szCs w:val="21"/>
                <w:vertAlign w:val="superscript"/>
              </w:rPr>
              <w:t>-</w:t>
            </w:r>
            <w:r>
              <w:rPr>
                <w:rFonts w:hint="eastAsia" w:eastAsia="仿宋_GB2312"/>
                <w:szCs w:val="21"/>
                <w:vertAlign w:val="superscript"/>
              </w:rPr>
              <w:t>2</w:t>
            </w:r>
          </w:p>
        </w:tc>
        <w:tc>
          <w:tcPr>
            <w:tcW w:w="1085" w:type="pct"/>
            <w:vMerge w:val="continue"/>
            <w:tcBorders>
              <w:tl2br w:val="nil"/>
              <w:tr2bl w:val="nil"/>
            </w:tcBorders>
            <w:shd w:val="clear" w:color="auto" w:fill="auto"/>
            <w:vAlign w:val="center"/>
          </w:tcPr>
          <w:p w14:paraId="530091EF">
            <w:pPr>
              <w:snapToGrid w:val="0"/>
              <w:spacing w:line="270" w:lineRule="exact"/>
              <w:jc w:val="center"/>
              <w:rPr>
                <w:rFonts w:eastAsia="仿宋_GB2312"/>
                <w:szCs w:val="21"/>
              </w:rPr>
            </w:pPr>
          </w:p>
        </w:tc>
        <w:tc>
          <w:tcPr>
            <w:tcW w:w="449" w:type="pct"/>
            <w:tcBorders>
              <w:tl2br w:val="nil"/>
              <w:tr2bl w:val="nil"/>
            </w:tcBorders>
            <w:shd w:val="clear" w:color="auto" w:fill="auto"/>
            <w:vAlign w:val="center"/>
          </w:tcPr>
          <w:p w14:paraId="57EB4D19">
            <w:pPr>
              <w:snapToGrid w:val="0"/>
              <w:spacing w:line="270" w:lineRule="exact"/>
              <w:jc w:val="center"/>
              <w:rPr>
                <w:rFonts w:eastAsia="仿宋_GB2312"/>
                <w:szCs w:val="21"/>
              </w:rPr>
            </w:pPr>
            <w:r>
              <w:rPr>
                <w:rFonts w:eastAsia="仿宋_GB2312"/>
                <w:szCs w:val="21"/>
              </w:rPr>
              <w:t>5</w:t>
            </w:r>
          </w:p>
        </w:tc>
        <w:tc>
          <w:tcPr>
            <w:tcW w:w="431" w:type="pct"/>
            <w:tcBorders>
              <w:tl2br w:val="nil"/>
              <w:tr2bl w:val="nil"/>
            </w:tcBorders>
            <w:shd w:val="clear" w:color="auto" w:fill="auto"/>
            <w:vAlign w:val="center"/>
          </w:tcPr>
          <w:p w14:paraId="78F998A9">
            <w:pPr>
              <w:snapToGrid w:val="0"/>
              <w:spacing w:line="270" w:lineRule="exact"/>
              <w:jc w:val="center"/>
              <w:rPr>
                <w:rFonts w:eastAsia="仿宋_GB2312"/>
                <w:szCs w:val="21"/>
              </w:rPr>
            </w:pPr>
            <w:r>
              <w:rPr>
                <w:rFonts w:eastAsia="仿宋_GB2312"/>
                <w:szCs w:val="21"/>
              </w:rPr>
              <w:t>1.1</w:t>
            </w:r>
          </w:p>
        </w:tc>
      </w:tr>
      <w:tr w14:paraId="7708B0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380" w:type="pct"/>
            <w:vMerge w:val="restart"/>
            <w:tcBorders>
              <w:tl2br w:val="nil"/>
              <w:tr2bl w:val="nil"/>
            </w:tcBorders>
            <w:shd w:val="clear" w:color="auto" w:fill="auto"/>
            <w:vAlign w:val="center"/>
          </w:tcPr>
          <w:p w14:paraId="52589554">
            <w:pPr>
              <w:snapToGrid w:val="0"/>
              <w:jc w:val="center"/>
              <w:rPr>
                <w:rFonts w:eastAsia="仿宋_GB2312"/>
                <w:szCs w:val="21"/>
              </w:rPr>
            </w:pPr>
            <w:r>
              <w:rPr>
                <w:rFonts w:hint="eastAsia" w:eastAsia="仿宋_GB2312"/>
                <w:szCs w:val="21"/>
              </w:rPr>
              <w:t>DA003</w:t>
            </w:r>
          </w:p>
        </w:tc>
        <w:tc>
          <w:tcPr>
            <w:tcW w:w="408" w:type="pct"/>
            <w:vMerge w:val="restart"/>
            <w:tcBorders>
              <w:tl2br w:val="nil"/>
              <w:tr2bl w:val="nil"/>
            </w:tcBorders>
            <w:shd w:val="clear" w:color="auto" w:fill="auto"/>
            <w:vAlign w:val="center"/>
          </w:tcPr>
          <w:p w14:paraId="2B65A776">
            <w:pPr>
              <w:snapToGrid w:val="0"/>
              <w:spacing w:line="284" w:lineRule="exact"/>
              <w:jc w:val="center"/>
              <w:rPr>
                <w:rFonts w:eastAsia="仿宋_GB2312"/>
                <w:bCs/>
                <w:szCs w:val="21"/>
              </w:rPr>
            </w:pPr>
            <w:r>
              <w:rPr>
                <w:rFonts w:hint="eastAsia" w:eastAsia="仿宋_GB2312"/>
                <w:bCs/>
                <w:kern w:val="0"/>
                <w:szCs w:val="21"/>
              </w:rPr>
              <w:t>2026.5.28</w:t>
            </w:r>
          </w:p>
        </w:tc>
        <w:tc>
          <w:tcPr>
            <w:tcW w:w="781" w:type="pct"/>
            <w:tcBorders>
              <w:tl2br w:val="nil"/>
              <w:tr2bl w:val="nil"/>
            </w:tcBorders>
            <w:shd w:val="clear" w:color="auto" w:fill="auto"/>
            <w:vAlign w:val="center"/>
          </w:tcPr>
          <w:p w14:paraId="75D61B94">
            <w:pPr>
              <w:snapToGrid w:val="0"/>
              <w:spacing w:line="284" w:lineRule="exact"/>
              <w:jc w:val="center"/>
              <w:rPr>
                <w:rFonts w:eastAsia="仿宋_GB2312"/>
                <w:szCs w:val="21"/>
              </w:rPr>
            </w:pPr>
            <w:r>
              <w:rPr>
                <w:rFonts w:eastAsia="仿宋_GB2312"/>
                <w:szCs w:val="21"/>
              </w:rPr>
              <w:t>硫化氢</w:t>
            </w:r>
          </w:p>
        </w:tc>
        <w:tc>
          <w:tcPr>
            <w:tcW w:w="460" w:type="pct"/>
            <w:vMerge w:val="restart"/>
            <w:tcBorders>
              <w:tl2br w:val="nil"/>
              <w:tr2bl w:val="nil"/>
            </w:tcBorders>
            <w:shd w:val="clear" w:color="auto" w:fill="auto"/>
            <w:vAlign w:val="center"/>
          </w:tcPr>
          <w:p w14:paraId="31ECE212">
            <w:pPr>
              <w:snapToGrid w:val="0"/>
              <w:spacing w:line="284" w:lineRule="exact"/>
              <w:jc w:val="center"/>
              <w:rPr>
                <w:rFonts w:eastAsia="仿宋_GB2312"/>
                <w:szCs w:val="21"/>
              </w:rPr>
            </w:pPr>
            <w:r>
              <w:rPr>
                <w:rFonts w:hint="eastAsia" w:eastAsia="仿宋_GB2312"/>
                <w:szCs w:val="21"/>
              </w:rPr>
              <w:t>56497</w:t>
            </w:r>
          </w:p>
        </w:tc>
        <w:tc>
          <w:tcPr>
            <w:tcW w:w="473" w:type="pct"/>
            <w:tcBorders>
              <w:tl2br w:val="nil"/>
              <w:tr2bl w:val="nil"/>
            </w:tcBorders>
            <w:shd w:val="clear" w:color="auto" w:fill="auto"/>
            <w:vAlign w:val="center"/>
          </w:tcPr>
          <w:p w14:paraId="67A99631">
            <w:pPr>
              <w:snapToGrid w:val="0"/>
              <w:spacing w:line="270" w:lineRule="exact"/>
              <w:jc w:val="center"/>
              <w:rPr>
                <w:rFonts w:eastAsia="仿宋_GB2312"/>
                <w:szCs w:val="21"/>
              </w:rPr>
            </w:pPr>
            <w:r>
              <w:rPr>
                <w:rFonts w:hint="eastAsia" w:eastAsia="仿宋_GB2312"/>
                <w:szCs w:val="21"/>
              </w:rPr>
              <w:t>ND</w:t>
            </w:r>
          </w:p>
        </w:tc>
        <w:tc>
          <w:tcPr>
            <w:tcW w:w="530" w:type="pct"/>
            <w:tcBorders>
              <w:tl2br w:val="nil"/>
              <w:tr2bl w:val="nil"/>
            </w:tcBorders>
            <w:shd w:val="clear" w:color="auto" w:fill="auto"/>
            <w:vAlign w:val="center"/>
          </w:tcPr>
          <w:p w14:paraId="6FF3C4D8">
            <w:pPr>
              <w:snapToGrid w:val="0"/>
              <w:spacing w:line="270" w:lineRule="exact"/>
              <w:jc w:val="center"/>
              <w:rPr>
                <w:rFonts w:eastAsia="仿宋_GB2312"/>
                <w:szCs w:val="21"/>
              </w:rPr>
            </w:pPr>
            <w:r>
              <w:rPr>
                <w:rFonts w:hint="eastAsia" w:eastAsia="仿宋_GB2312"/>
                <w:szCs w:val="21"/>
              </w:rPr>
              <w:t>/</w:t>
            </w:r>
          </w:p>
        </w:tc>
        <w:tc>
          <w:tcPr>
            <w:tcW w:w="1085" w:type="pct"/>
            <w:vMerge w:val="restart"/>
            <w:tcBorders>
              <w:tl2br w:val="nil"/>
              <w:tr2bl w:val="nil"/>
            </w:tcBorders>
            <w:shd w:val="clear" w:color="auto" w:fill="auto"/>
            <w:vAlign w:val="center"/>
          </w:tcPr>
          <w:p w14:paraId="75D373A6">
            <w:pPr>
              <w:snapToGrid w:val="0"/>
              <w:spacing w:line="284" w:lineRule="exact"/>
              <w:jc w:val="center"/>
              <w:rPr>
                <w:rFonts w:eastAsia="仿宋_GB2312"/>
                <w:szCs w:val="21"/>
              </w:rPr>
            </w:pPr>
            <w:r>
              <w:rPr>
                <w:rFonts w:eastAsia="仿宋_GB2312"/>
                <w:szCs w:val="21"/>
              </w:rPr>
              <w:t>《恶臭污染物排放标准》</w:t>
            </w:r>
          </w:p>
          <w:p w14:paraId="4C0897C6">
            <w:pPr>
              <w:snapToGrid w:val="0"/>
              <w:spacing w:line="284" w:lineRule="exact"/>
              <w:jc w:val="center"/>
              <w:rPr>
                <w:rFonts w:eastAsia="仿宋_GB2312"/>
                <w:szCs w:val="21"/>
              </w:rPr>
            </w:pPr>
            <w:r>
              <w:rPr>
                <w:rFonts w:eastAsia="仿宋_GB2312"/>
                <w:szCs w:val="21"/>
              </w:rPr>
              <w:t>（GB14554-93）</w:t>
            </w:r>
          </w:p>
        </w:tc>
        <w:tc>
          <w:tcPr>
            <w:tcW w:w="449" w:type="pct"/>
            <w:tcBorders>
              <w:tl2br w:val="nil"/>
              <w:tr2bl w:val="nil"/>
            </w:tcBorders>
            <w:shd w:val="clear" w:color="auto" w:fill="auto"/>
            <w:vAlign w:val="center"/>
          </w:tcPr>
          <w:p w14:paraId="00B35323">
            <w:pPr>
              <w:snapToGrid w:val="0"/>
              <w:spacing w:line="284" w:lineRule="exact"/>
              <w:jc w:val="center"/>
              <w:rPr>
                <w:rFonts w:eastAsia="仿宋_GB2312"/>
                <w:szCs w:val="21"/>
              </w:rPr>
            </w:pPr>
            <w:r>
              <w:rPr>
                <w:rFonts w:eastAsia="仿宋_GB2312"/>
                <w:szCs w:val="21"/>
              </w:rPr>
              <w:t>/</w:t>
            </w:r>
          </w:p>
        </w:tc>
        <w:tc>
          <w:tcPr>
            <w:tcW w:w="431" w:type="pct"/>
            <w:tcBorders>
              <w:tl2br w:val="nil"/>
              <w:tr2bl w:val="nil"/>
            </w:tcBorders>
            <w:shd w:val="clear" w:color="auto" w:fill="auto"/>
            <w:vAlign w:val="center"/>
          </w:tcPr>
          <w:p w14:paraId="7A890EC6">
            <w:pPr>
              <w:snapToGrid w:val="0"/>
              <w:spacing w:line="284" w:lineRule="exact"/>
              <w:jc w:val="center"/>
              <w:rPr>
                <w:rFonts w:eastAsia="仿宋_GB2312"/>
                <w:szCs w:val="21"/>
              </w:rPr>
            </w:pPr>
            <w:r>
              <w:rPr>
                <w:rFonts w:eastAsia="仿宋_GB2312"/>
                <w:szCs w:val="21"/>
              </w:rPr>
              <w:t>0.58</w:t>
            </w:r>
          </w:p>
        </w:tc>
      </w:tr>
      <w:tr w14:paraId="3CCFB6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380" w:type="pct"/>
            <w:vMerge w:val="continue"/>
            <w:tcBorders>
              <w:tl2br w:val="nil"/>
              <w:tr2bl w:val="nil"/>
            </w:tcBorders>
            <w:shd w:val="clear" w:color="auto" w:fill="auto"/>
            <w:vAlign w:val="center"/>
          </w:tcPr>
          <w:p w14:paraId="23660E29">
            <w:pPr>
              <w:snapToGrid w:val="0"/>
              <w:jc w:val="center"/>
              <w:rPr>
                <w:rFonts w:eastAsia="仿宋_GB2312"/>
                <w:szCs w:val="21"/>
              </w:rPr>
            </w:pPr>
          </w:p>
        </w:tc>
        <w:tc>
          <w:tcPr>
            <w:tcW w:w="408" w:type="pct"/>
            <w:vMerge w:val="continue"/>
            <w:tcBorders>
              <w:tl2br w:val="nil"/>
              <w:tr2bl w:val="nil"/>
            </w:tcBorders>
            <w:shd w:val="clear" w:color="auto" w:fill="auto"/>
            <w:vAlign w:val="center"/>
          </w:tcPr>
          <w:p w14:paraId="1D3A0168">
            <w:pPr>
              <w:snapToGrid w:val="0"/>
              <w:jc w:val="center"/>
              <w:rPr>
                <w:rFonts w:eastAsia="仿宋_GB2312"/>
                <w:bCs/>
                <w:szCs w:val="21"/>
              </w:rPr>
            </w:pPr>
          </w:p>
        </w:tc>
        <w:tc>
          <w:tcPr>
            <w:tcW w:w="781" w:type="pct"/>
            <w:tcBorders>
              <w:tl2br w:val="nil"/>
              <w:tr2bl w:val="nil"/>
            </w:tcBorders>
            <w:shd w:val="clear" w:color="auto" w:fill="auto"/>
            <w:vAlign w:val="center"/>
          </w:tcPr>
          <w:p w14:paraId="5554A355">
            <w:pPr>
              <w:snapToGrid w:val="0"/>
              <w:spacing w:line="284" w:lineRule="exact"/>
              <w:jc w:val="center"/>
              <w:rPr>
                <w:rFonts w:eastAsia="仿宋_GB2312"/>
                <w:szCs w:val="21"/>
              </w:rPr>
            </w:pPr>
            <w:r>
              <w:rPr>
                <w:rFonts w:eastAsia="仿宋_GB2312"/>
                <w:szCs w:val="21"/>
              </w:rPr>
              <w:t>氨</w:t>
            </w:r>
          </w:p>
        </w:tc>
        <w:tc>
          <w:tcPr>
            <w:tcW w:w="460" w:type="pct"/>
            <w:vMerge w:val="continue"/>
            <w:tcBorders>
              <w:tl2br w:val="nil"/>
              <w:tr2bl w:val="nil"/>
            </w:tcBorders>
            <w:shd w:val="clear" w:color="auto" w:fill="auto"/>
            <w:vAlign w:val="center"/>
          </w:tcPr>
          <w:p w14:paraId="2B0AE8B2">
            <w:pPr>
              <w:snapToGrid w:val="0"/>
              <w:spacing w:line="270" w:lineRule="exact"/>
              <w:jc w:val="center"/>
              <w:rPr>
                <w:rFonts w:eastAsia="仿宋_GB2312"/>
                <w:szCs w:val="21"/>
              </w:rPr>
            </w:pPr>
          </w:p>
        </w:tc>
        <w:tc>
          <w:tcPr>
            <w:tcW w:w="473" w:type="pct"/>
            <w:tcBorders>
              <w:tl2br w:val="nil"/>
              <w:tr2bl w:val="nil"/>
            </w:tcBorders>
            <w:shd w:val="clear" w:color="auto" w:fill="auto"/>
            <w:vAlign w:val="center"/>
          </w:tcPr>
          <w:p w14:paraId="5C8DAEF5">
            <w:pPr>
              <w:snapToGrid w:val="0"/>
              <w:spacing w:line="284" w:lineRule="exact"/>
              <w:jc w:val="center"/>
              <w:rPr>
                <w:rFonts w:eastAsia="仿宋_GB2312"/>
                <w:szCs w:val="21"/>
              </w:rPr>
            </w:pPr>
            <w:r>
              <w:rPr>
                <w:rFonts w:hint="eastAsia" w:eastAsia="仿宋_GB2312"/>
                <w:szCs w:val="21"/>
              </w:rPr>
              <w:t>0.9</w:t>
            </w:r>
          </w:p>
        </w:tc>
        <w:tc>
          <w:tcPr>
            <w:tcW w:w="530" w:type="pct"/>
            <w:tcBorders>
              <w:tl2br w:val="nil"/>
              <w:tr2bl w:val="nil"/>
            </w:tcBorders>
            <w:shd w:val="clear" w:color="auto" w:fill="auto"/>
            <w:vAlign w:val="center"/>
          </w:tcPr>
          <w:p w14:paraId="427DD2FB">
            <w:pPr>
              <w:snapToGrid w:val="0"/>
              <w:spacing w:line="284" w:lineRule="exact"/>
              <w:jc w:val="center"/>
              <w:rPr>
                <w:rFonts w:eastAsia="仿宋_GB2312"/>
                <w:szCs w:val="21"/>
              </w:rPr>
            </w:pPr>
            <w:r>
              <w:rPr>
                <w:rFonts w:hint="eastAsia" w:eastAsia="仿宋_GB2312"/>
                <w:szCs w:val="21"/>
              </w:rPr>
              <w:t>5.2</w:t>
            </w:r>
            <w:r>
              <w:rPr>
                <w:rFonts w:eastAsia="仿宋_GB2312"/>
                <w:szCs w:val="21"/>
              </w:rPr>
              <w:t>×10</w:t>
            </w:r>
            <w:r>
              <w:rPr>
                <w:rFonts w:eastAsia="仿宋_GB2312"/>
                <w:szCs w:val="21"/>
                <w:vertAlign w:val="superscript"/>
              </w:rPr>
              <w:t>-</w:t>
            </w:r>
            <w:r>
              <w:rPr>
                <w:rFonts w:hint="eastAsia" w:eastAsia="仿宋_GB2312"/>
                <w:szCs w:val="21"/>
                <w:vertAlign w:val="superscript"/>
              </w:rPr>
              <w:t>2</w:t>
            </w:r>
          </w:p>
        </w:tc>
        <w:tc>
          <w:tcPr>
            <w:tcW w:w="1085" w:type="pct"/>
            <w:vMerge w:val="continue"/>
            <w:tcBorders>
              <w:tl2br w:val="nil"/>
              <w:tr2bl w:val="nil"/>
            </w:tcBorders>
            <w:shd w:val="clear" w:color="auto" w:fill="auto"/>
            <w:vAlign w:val="center"/>
          </w:tcPr>
          <w:p w14:paraId="7013C930">
            <w:pPr>
              <w:snapToGrid w:val="0"/>
              <w:spacing w:line="270" w:lineRule="exact"/>
              <w:jc w:val="center"/>
              <w:rPr>
                <w:rFonts w:eastAsia="仿宋_GB2312"/>
                <w:szCs w:val="21"/>
              </w:rPr>
            </w:pPr>
          </w:p>
        </w:tc>
        <w:tc>
          <w:tcPr>
            <w:tcW w:w="449" w:type="pct"/>
            <w:tcBorders>
              <w:tl2br w:val="nil"/>
              <w:tr2bl w:val="nil"/>
            </w:tcBorders>
            <w:shd w:val="clear" w:color="auto" w:fill="auto"/>
            <w:vAlign w:val="center"/>
          </w:tcPr>
          <w:p w14:paraId="421A26C1">
            <w:pPr>
              <w:snapToGrid w:val="0"/>
              <w:spacing w:line="284" w:lineRule="exact"/>
              <w:jc w:val="center"/>
              <w:rPr>
                <w:rFonts w:eastAsia="仿宋_GB2312"/>
                <w:szCs w:val="21"/>
              </w:rPr>
            </w:pPr>
            <w:r>
              <w:rPr>
                <w:rFonts w:eastAsia="仿宋_GB2312"/>
                <w:szCs w:val="21"/>
              </w:rPr>
              <w:t>/</w:t>
            </w:r>
          </w:p>
        </w:tc>
        <w:tc>
          <w:tcPr>
            <w:tcW w:w="431" w:type="pct"/>
            <w:tcBorders>
              <w:tl2br w:val="nil"/>
              <w:tr2bl w:val="nil"/>
            </w:tcBorders>
            <w:shd w:val="clear" w:color="auto" w:fill="auto"/>
            <w:vAlign w:val="center"/>
          </w:tcPr>
          <w:p w14:paraId="004D9EBF">
            <w:pPr>
              <w:snapToGrid w:val="0"/>
              <w:spacing w:line="284" w:lineRule="exact"/>
              <w:jc w:val="center"/>
              <w:rPr>
                <w:rFonts w:eastAsia="仿宋_GB2312"/>
                <w:szCs w:val="21"/>
              </w:rPr>
            </w:pPr>
            <w:r>
              <w:rPr>
                <w:rFonts w:eastAsia="仿宋_GB2312"/>
                <w:szCs w:val="21"/>
              </w:rPr>
              <w:t>8.7</w:t>
            </w:r>
          </w:p>
        </w:tc>
      </w:tr>
      <w:tr w14:paraId="0D6328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380" w:type="pct"/>
            <w:vMerge w:val="restart"/>
            <w:tcBorders>
              <w:tl2br w:val="nil"/>
              <w:tr2bl w:val="nil"/>
            </w:tcBorders>
            <w:shd w:val="clear" w:color="auto" w:fill="auto"/>
            <w:vAlign w:val="center"/>
          </w:tcPr>
          <w:p w14:paraId="07A06BB6">
            <w:pPr>
              <w:snapToGrid w:val="0"/>
              <w:jc w:val="center"/>
              <w:rPr>
                <w:rFonts w:eastAsia="仿宋_GB2312"/>
                <w:szCs w:val="21"/>
              </w:rPr>
            </w:pPr>
            <w:r>
              <w:rPr>
                <w:rFonts w:hint="eastAsia" w:eastAsia="仿宋_GB2312"/>
                <w:szCs w:val="21"/>
              </w:rPr>
              <w:t>DA004</w:t>
            </w:r>
          </w:p>
        </w:tc>
        <w:tc>
          <w:tcPr>
            <w:tcW w:w="408" w:type="pct"/>
            <w:vMerge w:val="restart"/>
            <w:tcBorders>
              <w:tl2br w:val="nil"/>
              <w:tr2bl w:val="nil"/>
            </w:tcBorders>
            <w:shd w:val="clear" w:color="auto" w:fill="auto"/>
            <w:vAlign w:val="center"/>
          </w:tcPr>
          <w:p w14:paraId="3050EAF4">
            <w:pPr>
              <w:snapToGrid w:val="0"/>
              <w:spacing w:line="284" w:lineRule="exact"/>
              <w:jc w:val="center"/>
              <w:rPr>
                <w:rFonts w:eastAsia="仿宋_GB2312"/>
                <w:bCs/>
                <w:szCs w:val="21"/>
              </w:rPr>
            </w:pPr>
            <w:r>
              <w:rPr>
                <w:rFonts w:hint="eastAsia" w:eastAsia="仿宋_GB2312"/>
                <w:bCs/>
                <w:kern w:val="0"/>
                <w:szCs w:val="21"/>
              </w:rPr>
              <w:t>2026.5.28</w:t>
            </w:r>
          </w:p>
        </w:tc>
        <w:tc>
          <w:tcPr>
            <w:tcW w:w="781" w:type="pct"/>
            <w:tcBorders>
              <w:tl2br w:val="nil"/>
              <w:tr2bl w:val="nil"/>
            </w:tcBorders>
            <w:shd w:val="clear" w:color="auto" w:fill="auto"/>
            <w:vAlign w:val="center"/>
          </w:tcPr>
          <w:p w14:paraId="2B525135">
            <w:pPr>
              <w:snapToGrid w:val="0"/>
              <w:spacing w:line="284" w:lineRule="exact"/>
              <w:jc w:val="center"/>
              <w:rPr>
                <w:rFonts w:eastAsia="仿宋_GB2312"/>
                <w:szCs w:val="21"/>
              </w:rPr>
            </w:pPr>
            <w:r>
              <w:rPr>
                <w:rFonts w:eastAsia="仿宋_GB2312"/>
                <w:szCs w:val="21"/>
              </w:rPr>
              <w:t>氯化氢</w:t>
            </w:r>
          </w:p>
        </w:tc>
        <w:tc>
          <w:tcPr>
            <w:tcW w:w="460" w:type="pct"/>
            <w:vMerge w:val="restart"/>
            <w:tcBorders>
              <w:tl2br w:val="nil"/>
              <w:tr2bl w:val="nil"/>
            </w:tcBorders>
            <w:shd w:val="clear" w:color="auto" w:fill="auto"/>
            <w:vAlign w:val="center"/>
          </w:tcPr>
          <w:p w14:paraId="10022B6F">
            <w:pPr>
              <w:snapToGrid w:val="0"/>
              <w:spacing w:line="284" w:lineRule="exact"/>
              <w:jc w:val="center"/>
              <w:rPr>
                <w:rFonts w:eastAsia="仿宋_GB2312"/>
                <w:szCs w:val="21"/>
              </w:rPr>
            </w:pPr>
            <w:r>
              <w:rPr>
                <w:rFonts w:hint="eastAsia" w:eastAsia="仿宋_GB2312"/>
                <w:szCs w:val="21"/>
              </w:rPr>
              <w:t>24674</w:t>
            </w:r>
          </w:p>
        </w:tc>
        <w:tc>
          <w:tcPr>
            <w:tcW w:w="473" w:type="pct"/>
            <w:tcBorders>
              <w:tl2br w:val="nil"/>
              <w:tr2bl w:val="nil"/>
            </w:tcBorders>
            <w:shd w:val="clear" w:color="auto" w:fill="auto"/>
            <w:vAlign w:val="center"/>
          </w:tcPr>
          <w:p w14:paraId="3E48F83F">
            <w:pPr>
              <w:snapToGrid w:val="0"/>
              <w:spacing w:line="284" w:lineRule="exact"/>
              <w:jc w:val="center"/>
              <w:rPr>
                <w:rFonts w:eastAsia="仿宋_GB2312"/>
                <w:szCs w:val="21"/>
              </w:rPr>
            </w:pPr>
            <w:r>
              <w:rPr>
                <w:rFonts w:hint="eastAsia" w:eastAsia="仿宋_GB2312"/>
                <w:szCs w:val="21"/>
              </w:rPr>
              <w:t>3.28</w:t>
            </w:r>
          </w:p>
        </w:tc>
        <w:tc>
          <w:tcPr>
            <w:tcW w:w="530" w:type="pct"/>
            <w:tcBorders>
              <w:tl2br w:val="nil"/>
              <w:tr2bl w:val="nil"/>
            </w:tcBorders>
            <w:shd w:val="clear" w:color="auto" w:fill="auto"/>
            <w:vAlign w:val="center"/>
          </w:tcPr>
          <w:p w14:paraId="10686833">
            <w:pPr>
              <w:snapToGrid w:val="0"/>
              <w:spacing w:line="284" w:lineRule="exact"/>
              <w:jc w:val="center"/>
              <w:rPr>
                <w:rFonts w:eastAsia="仿宋_GB2312"/>
                <w:szCs w:val="21"/>
              </w:rPr>
            </w:pPr>
            <w:r>
              <w:rPr>
                <w:rFonts w:hint="eastAsia" w:eastAsia="仿宋_GB2312"/>
                <w:szCs w:val="21"/>
              </w:rPr>
              <w:t>8.38</w:t>
            </w:r>
            <w:r>
              <w:rPr>
                <w:rFonts w:eastAsia="仿宋_GB2312"/>
                <w:szCs w:val="21"/>
              </w:rPr>
              <w:t>×10</w:t>
            </w:r>
            <w:r>
              <w:rPr>
                <w:rFonts w:eastAsia="仿宋_GB2312"/>
                <w:szCs w:val="21"/>
                <w:vertAlign w:val="superscript"/>
              </w:rPr>
              <w:t>-</w:t>
            </w:r>
            <w:r>
              <w:rPr>
                <w:rFonts w:hint="eastAsia" w:eastAsia="仿宋_GB2312"/>
                <w:szCs w:val="21"/>
                <w:vertAlign w:val="superscript"/>
              </w:rPr>
              <w:t>2</w:t>
            </w:r>
          </w:p>
        </w:tc>
        <w:tc>
          <w:tcPr>
            <w:tcW w:w="1085" w:type="pct"/>
            <w:vMerge w:val="restart"/>
            <w:tcBorders>
              <w:tl2br w:val="nil"/>
              <w:tr2bl w:val="nil"/>
            </w:tcBorders>
            <w:shd w:val="clear" w:color="auto" w:fill="auto"/>
            <w:vAlign w:val="center"/>
          </w:tcPr>
          <w:p w14:paraId="107221CE">
            <w:pPr>
              <w:snapToGrid w:val="0"/>
              <w:spacing w:line="284" w:lineRule="exact"/>
              <w:jc w:val="center"/>
              <w:rPr>
                <w:rFonts w:eastAsia="仿宋_GB2312"/>
                <w:szCs w:val="21"/>
              </w:rPr>
            </w:pPr>
            <w:r>
              <w:rPr>
                <w:rFonts w:eastAsia="仿宋_GB2312"/>
                <w:szCs w:val="21"/>
              </w:rPr>
              <w:t>大气污染物综合排放标准DB32/4041-2021</w:t>
            </w:r>
          </w:p>
        </w:tc>
        <w:tc>
          <w:tcPr>
            <w:tcW w:w="449" w:type="pct"/>
            <w:tcBorders>
              <w:tl2br w:val="nil"/>
              <w:tr2bl w:val="nil"/>
            </w:tcBorders>
            <w:shd w:val="clear" w:color="auto" w:fill="auto"/>
            <w:vAlign w:val="center"/>
          </w:tcPr>
          <w:p w14:paraId="058794EF">
            <w:pPr>
              <w:snapToGrid w:val="0"/>
              <w:spacing w:line="284" w:lineRule="exact"/>
              <w:jc w:val="center"/>
              <w:rPr>
                <w:rFonts w:eastAsia="仿宋_GB2312"/>
                <w:szCs w:val="21"/>
              </w:rPr>
            </w:pPr>
            <w:r>
              <w:rPr>
                <w:rFonts w:eastAsia="仿宋_GB2312"/>
                <w:szCs w:val="21"/>
              </w:rPr>
              <w:t>10</w:t>
            </w:r>
          </w:p>
        </w:tc>
        <w:tc>
          <w:tcPr>
            <w:tcW w:w="431" w:type="pct"/>
            <w:tcBorders>
              <w:tl2br w:val="nil"/>
              <w:tr2bl w:val="nil"/>
            </w:tcBorders>
            <w:shd w:val="clear" w:color="auto" w:fill="auto"/>
            <w:vAlign w:val="center"/>
          </w:tcPr>
          <w:p w14:paraId="3D695809">
            <w:pPr>
              <w:snapToGrid w:val="0"/>
              <w:spacing w:line="284" w:lineRule="exact"/>
              <w:jc w:val="center"/>
              <w:rPr>
                <w:rFonts w:eastAsia="仿宋_GB2312"/>
                <w:szCs w:val="21"/>
              </w:rPr>
            </w:pPr>
            <w:r>
              <w:rPr>
                <w:rFonts w:eastAsia="仿宋_GB2312"/>
                <w:szCs w:val="21"/>
              </w:rPr>
              <w:t>0.18</w:t>
            </w:r>
          </w:p>
        </w:tc>
      </w:tr>
      <w:tr w14:paraId="2B1CCC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380" w:type="pct"/>
            <w:vMerge w:val="continue"/>
            <w:tcBorders>
              <w:tl2br w:val="nil"/>
              <w:tr2bl w:val="nil"/>
            </w:tcBorders>
            <w:shd w:val="clear" w:color="auto" w:fill="auto"/>
            <w:vAlign w:val="center"/>
          </w:tcPr>
          <w:p w14:paraId="3015075F">
            <w:pPr>
              <w:snapToGrid w:val="0"/>
              <w:jc w:val="center"/>
              <w:rPr>
                <w:rFonts w:eastAsia="仿宋_GB2312"/>
                <w:szCs w:val="21"/>
              </w:rPr>
            </w:pPr>
          </w:p>
        </w:tc>
        <w:tc>
          <w:tcPr>
            <w:tcW w:w="408" w:type="pct"/>
            <w:vMerge w:val="continue"/>
            <w:tcBorders>
              <w:tl2br w:val="nil"/>
              <w:tr2bl w:val="nil"/>
            </w:tcBorders>
            <w:shd w:val="clear" w:color="auto" w:fill="auto"/>
            <w:vAlign w:val="center"/>
          </w:tcPr>
          <w:p w14:paraId="31C897B0">
            <w:pPr>
              <w:snapToGrid w:val="0"/>
              <w:spacing w:line="284" w:lineRule="exact"/>
              <w:jc w:val="center"/>
              <w:rPr>
                <w:rFonts w:eastAsia="仿宋_GB2312"/>
                <w:szCs w:val="21"/>
              </w:rPr>
            </w:pPr>
          </w:p>
        </w:tc>
        <w:tc>
          <w:tcPr>
            <w:tcW w:w="781" w:type="pct"/>
            <w:tcBorders>
              <w:tl2br w:val="nil"/>
              <w:tr2bl w:val="nil"/>
            </w:tcBorders>
            <w:shd w:val="clear" w:color="auto" w:fill="auto"/>
            <w:vAlign w:val="center"/>
          </w:tcPr>
          <w:p w14:paraId="776FFC0C">
            <w:pPr>
              <w:snapToGrid w:val="0"/>
              <w:spacing w:line="284" w:lineRule="exact"/>
              <w:jc w:val="center"/>
              <w:rPr>
                <w:rFonts w:eastAsia="仿宋_GB2312"/>
                <w:szCs w:val="21"/>
              </w:rPr>
            </w:pPr>
            <w:r>
              <w:rPr>
                <w:rFonts w:eastAsia="仿宋_GB2312"/>
                <w:szCs w:val="21"/>
              </w:rPr>
              <w:t>硫酸雾</w:t>
            </w:r>
          </w:p>
        </w:tc>
        <w:tc>
          <w:tcPr>
            <w:tcW w:w="460" w:type="pct"/>
            <w:vMerge w:val="continue"/>
            <w:tcBorders>
              <w:tl2br w:val="nil"/>
              <w:tr2bl w:val="nil"/>
            </w:tcBorders>
            <w:shd w:val="clear" w:color="auto" w:fill="auto"/>
            <w:vAlign w:val="center"/>
          </w:tcPr>
          <w:p w14:paraId="1E2552A5">
            <w:pPr>
              <w:snapToGrid w:val="0"/>
              <w:spacing w:line="284" w:lineRule="exact"/>
              <w:jc w:val="center"/>
              <w:rPr>
                <w:rFonts w:eastAsia="仿宋_GB2312"/>
                <w:szCs w:val="21"/>
              </w:rPr>
            </w:pPr>
          </w:p>
        </w:tc>
        <w:tc>
          <w:tcPr>
            <w:tcW w:w="473" w:type="pct"/>
            <w:tcBorders>
              <w:tl2br w:val="nil"/>
              <w:tr2bl w:val="nil"/>
            </w:tcBorders>
            <w:shd w:val="clear" w:color="auto" w:fill="auto"/>
            <w:vAlign w:val="center"/>
          </w:tcPr>
          <w:p w14:paraId="18E04834">
            <w:pPr>
              <w:snapToGrid w:val="0"/>
              <w:spacing w:line="284" w:lineRule="exact"/>
              <w:jc w:val="center"/>
              <w:rPr>
                <w:rFonts w:eastAsia="仿宋_GB2312"/>
                <w:szCs w:val="21"/>
              </w:rPr>
            </w:pPr>
            <w:r>
              <w:rPr>
                <w:rFonts w:hint="eastAsia" w:eastAsia="仿宋_GB2312"/>
                <w:szCs w:val="21"/>
              </w:rPr>
              <w:t>0.63</w:t>
            </w:r>
          </w:p>
        </w:tc>
        <w:tc>
          <w:tcPr>
            <w:tcW w:w="530" w:type="pct"/>
            <w:tcBorders>
              <w:tl2br w:val="nil"/>
              <w:tr2bl w:val="nil"/>
            </w:tcBorders>
            <w:shd w:val="clear" w:color="auto" w:fill="auto"/>
            <w:vAlign w:val="center"/>
          </w:tcPr>
          <w:p w14:paraId="6F3EB892">
            <w:pPr>
              <w:snapToGrid w:val="0"/>
              <w:spacing w:line="284" w:lineRule="exact"/>
              <w:jc w:val="center"/>
              <w:rPr>
                <w:rFonts w:eastAsia="仿宋_GB2312"/>
                <w:szCs w:val="21"/>
              </w:rPr>
            </w:pPr>
            <w:r>
              <w:rPr>
                <w:rFonts w:hint="eastAsia" w:eastAsia="仿宋_GB2312"/>
                <w:szCs w:val="21"/>
              </w:rPr>
              <w:t>1.61</w:t>
            </w:r>
            <w:r>
              <w:rPr>
                <w:rFonts w:eastAsia="仿宋_GB2312"/>
                <w:szCs w:val="21"/>
              </w:rPr>
              <w:t>×10</w:t>
            </w:r>
            <w:r>
              <w:rPr>
                <w:rFonts w:eastAsia="仿宋_GB2312"/>
                <w:szCs w:val="21"/>
                <w:vertAlign w:val="superscript"/>
              </w:rPr>
              <w:t>-</w:t>
            </w:r>
            <w:r>
              <w:rPr>
                <w:rFonts w:hint="eastAsia" w:eastAsia="仿宋_GB2312"/>
                <w:szCs w:val="21"/>
                <w:vertAlign w:val="superscript"/>
              </w:rPr>
              <w:t>2</w:t>
            </w:r>
          </w:p>
        </w:tc>
        <w:tc>
          <w:tcPr>
            <w:tcW w:w="1085" w:type="pct"/>
            <w:vMerge w:val="continue"/>
            <w:tcBorders>
              <w:tl2br w:val="nil"/>
              <w:tr2bl w:val="nil"/>
            </w:tcBorders>
            <w:shd w:val="clear" w:color="auto" w:fill="auto"/>
            <w:vAlign w:val="center"/>
          </w:tcPr>
          <w:p w14:paraId="543BB665">
            <w:pPr>
              <w:snapToGrid w:val="0"/>
              <w:spacing w:line="284" w:lineRule="exact"/>
              <w:jc w:val="center"/>
              <w:rPr>
                <w:rFonts w:eastAsia="仿宋_GB2312"/>
                <w:szCs w:val="21"/>
              </w:rPr>
            </w:pPr>
          </w:p>
        </w:tc>
        <w:tc>
          <w:tcPr>
            <w:tcW w:w="449" w:type="pct"/>
            <w:tcBorders>
              <w:tl2br w:val="nil"/>
              <w:tr2bl w:val="nil"/>
            </w:tcBorders>
            <w:shd w:val="clear" w:color="auto" w:fill="auto"/>
            <w:vAlign w:val="center"/>
          </w:tcPr>
          <w:p w14:paraId="11D11630">
            <w:pPr>
              <w:snapToGrid w:val="0"/>
              <w:spacing w:line="284" w:lineRule="exact"/>
              <w:jc w:val="center"/>
              <w:rPr>
                <w:rFonts w:eastAsia="仿宋_GB2312"/>
                <w:szCs w:val="21"/>
              </w:rPr>
            </w:pPr>
            <w:r>
              <w:rPr>
                <w:rFonts w:eastAsia="仿宋_GB2312"/>
                <w:szCs w:val="21"/>
              </w:rPr>
              <w:t>5</w:t>
            </w:r>
          </w:p>
        </w:tc>
        <w:tc>
          <w:tcPr>
            <w:tcW w:w="431" w:type="pct"/>
            <w:tcBorders>
              <w:tl2br w:val="nil"/>
              <w:tr2bl w:val="nil"/>
            </w:tcBorders>
            <w:shd w:val="clear" w:color="auto" w:fill="auto"/>
            <w:vAlign w:val="center"/>
          </w:tcPr>
          <w:p w14:paraId="1D4CEC95">
            <w:pPr>
              <w:snapToGrid w:val="0"/>
              <w:spacing w:line="284" w:lineRule="exact"/>
              <w:jc w:val="center"/>
              <w:rPr>
                <w:rFonts w:eastAsia="仿宋_GB2312"/>
                <w:szCs w:val="21"/>
              </w:rPr>
            </w:pPr>
            <w:r>
              <w:rPr>
                <w:rFonts w:eastAsia="仿宋_GB2312"/>
                <w:szCs w:val="21"/>
              </w:rPr>
              <w:t>1.1</w:t>
            </w:r>
          </w:p>
        </w:tc>
      </w:tr>
      <w:tr w14:paraId="709A97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380" w:type="pct"/>
            <w:vMerge w:val="continue"/>
            <w:tcBorders>
              <w:tl2br w:val="nil"/>
              <w:tr2bl w:val="nil"/>
            </w:tcBorders>
            <w:shd w:val="clear" w:color="auto" w:fill="auto"/>
            <w:vAlign w:val="center"/>
          </w:tcPr>
          <w:p w14:paraId="0ACAD480">
            <w:pPr>
              <w:snapToGrid w:val="0"/>
              <w:jc w:val="center"/>
              <w:rPr>
                <w:rFonts w:eastAsia="仿宋_GB2312"/>
                <w:szCs w:val="21"/>
              </w:rPr>
            </w:pPr>
          </w:p>
        </w:tc>
        <w:tc>
          <w:tcPr>
            <w:tcW w:w="408" w:type="pct"/>
            <w:vMerge w:val="continue"/>
            <w:tcBorders>
              <w:tl2br w:val="nil"/>
              <w:tr2bl w:val="nil"/>
            </w:tcBorders>
            <w:shd w:val="clear" w:color="auto" w:fill="auto"/>
            <w:vAlign w:val="center"/>
          </w:tcPr>
          <w:p w14:paraId="2246E454">
            <w:pPr>
              <w:snapToGrid w:val="0"/>
              <w:spacing w:line="284" w:lineRule="exact"/>
              <w:jc w:val="center"/>
              <w:rPr>
                <w:rFonts w:eastAsia="仿宋_GB2312"/>
                <w:szCs w:val="21"/>
              </w:rPr>
            </w:pPr>
          </w:p>
        </w:tc>
        <w:tc>
          <w:tcPr>
            <w:tcW w:w="781" w:type="pct"/>
            <w:tcBorders>
              <w:tl2br w:val="nil"/>
              <w:tr2bl w:val="nil"/>
            </w:tcBorders>
            <w:shd w:val="clear" w:color="auto" w:fill="auto"/>
            <w:vAlign w:val="center"/>
          </w:tcPr>
          <w:p w14:paraId="14B23C57">
            <w:pPr>
              <w:snapToGrid w:val="0"/>
              <w:spacing w:line="284" w:lineRule="exact"/>
              <w:jc w:val="center"/>
              <w:rPr>
                <w:rFonts w:eastAsia="仿宋_GB2312"/>
                <w:szCs w:val="21"/>
              </w:rPr>
            </w:pPr>
            <w:r>
              <w:rPr>
                <w:rFonts w:eastAsia="仿宋_GB2312"/>
                <w:szCs w:val="21"/>
              </w:rPr>
              <w:t>硫化氢</w:t>
            </w:r>
          </w:p>
        </w:tc>
        <w:tc>
          <w:tcPr>
            <w:tcW w:w="460" w:type="pct"/>
            <w:vMerge w:val="continue"/>
            <w:tcBorders>
              <w:tl2br w:val="nil"/>
              <w:tr2bl w:val="nil"/>
            </w:tcBorders>
            <w:shd w:val="clear" w:color="auto" w:fill="auto"/>
            <w:vAlign w:val="center"/>
          </w:tcPr>
          <w:p w14:paraId="14C19692">
            <w:pPr>
              <w:snapToGrid w:val="0"/>
              <w:spacing w:line="284" w:lineRule="exact"/>
              <w:jc w:val="center"/>
              <w:rPr>
                <w:rFonts w:eastAsia="仿宋_GB2312"/>
                <w:szCs w:val="21"/>
              </w:rPr>
            </w:pPr>
          </w:p>
        </w:tc>
        <w:tc>
          <w:tcPr>
            <w:tcW w:w="473" w:type="pct"/>
            <w:tcBorders>
              <w:tl2br w:val="nil"/>
              <w:tr2bl w:val="nil"/>
            </w:tcBorders>
            <w:shd w:val="clear" w:color="auto" w:fill="auto"/>
            <w:vAlign w:val="center"/>
          </w:tcPr>
          <w:p w14:paraId="61BA2505">
            <w:pPr>
              <w:snapToGrid w:val="0"/>
              <w:spacing w:line="270" w:lineRule="exact"/>
              <w:jc w:val="center"/>
              <w:rPr>
                <w:rFonts w:eastAsia="仿宋_GB2312"/>
                <w:szCs w:val="21"/>
              </w:rPr>
            </w:pPr>
            <w:r>
              <w:rPr>
                <w:rFonts w:hint="eastAsia" w:eastAsia="仿宋_GB2312"/>
                <w:szCs w:val="21"/>
              </w:rPr>
              <w:t>ND</w:t>
            </w:r>
          </w:p>
        </w:tc>
        <w:tc>
          <w:tcPr>
            <w:tcW w:w="530" w:type="pct"/>
            <w:tcBorders>
              <w:tl2br w:val="nil"/>
              <w:tr2bl w:val="nil"/>
            </w:tcBorders>
            <w:shd w:val="clear" w:color="auto" w:fill="auto"/>
            <w:vAlign w:val="center"/>
          </w:tcPr>
          <w:p w14:paraId="3D2B23AF">
            <w:pPr>
              <w:snapToGrid w:val="0"/>
              <w:spacing w:line="270" w:lineRule="exact"/>
              <w:jc w:val="center"/>
              <w:rPr>
                <w:rFonts w:eastAsia="仿宋_GB2312"/>
                <w:szCs w:val="21"/>
              </w:rPr>
            </w:pPr>
            <w:r>
              <w:rPr>
                <w:rFonts w:hint="eastAsia" w:eastAsia="仿宋_GB2312"/>
                <w:szCs w:val="21"/>
              </w:rPr>
              <w:t>/</w:t>
            </w:r>
          </w:p>
        </w:tc>
        <w:tc>
          <w:tcPr>
            <w:tcW w:w="1085" w:type="pct"/>
            <w:vMerge w:val="restart"/>
            <w:tcBorders>
              <w:tl2br w:val="nil"/>
              <w:tr2bl w:val="nil"/>
            </w:tcBorders>
            <w:shd w:val="clear" w:color="auto" w:fill="auto"/>
            <w:vAlign w:val="center"/>
          </w:tcPr>
          <w:p w14:paraId="3E229290">
            <w:pPr>
              <w:snapToGrid w:val="0"/>
              <w:spacing w:line="284" w:lineRule="exact"/>
              <w:jc w:val="center"/>
              <w:rPr>
                <w:rFonts w:eastAsia="仿宋_GB2312"/>
                <w:szCs w:val="21"/>
              </w:rPr>
            </w:pPr>
            <w:r>
              <w:rPr>
                <w:rFonts w:eastAsia="仿宋_GB2312"/>
                <w:szCs w:val="21"/>
              </w:rPr>
              <w:t>《恶臭污染物排放标准》</w:t>
            </w:r>
          </w:p>
          <w:p w14:paraId="48D06BD1">
            <w:pPr>
              <w:snapToGrid w:val="0"/>
              <w:spacing w:line="284" w:lineRule="exact"/>
              <w:jc w:val="center"/>
              <w:rPr>
                <w:rFonts w:eastAsia="仿宋_GB2312"/>
                <w:szCs w:val="21"/>
              </w:rPr>
            </w:pPr>
            <w:r>
              <w:rPr>
                <w:rFonts w:eastAsia="仿宋_GB2312"/>
                <w:szCs w:val="21"/>
              </w:rPr>
              <w:t>（GB14554-93）</w:t>
            </w:r>
          </w:p>
        </w:tc>
        <w:tc>
          <w:tcPr>
            <w:tcW w:w="449" w:type="pct"/>
            <w:tcBorders>
              <w:tl2br w:val="nil"/>
              <w:tr2bl w:val="nil"/>
            </w:tcBorders>
            <w:shd w:val="clear" w:color="auto" w:fill="auto"/>
            <w:vAlign w:val="center"/>
          </w:tcPr>
          <w:p w14:paraId="3EB41A43">
            <w:pPr>
              <w:snapToGrid w:val="0"/>
              <w:spacing w:line="284" w:lineRule="exact"/>
              <w:jc w:val="center"/>
              <w:rPr>
                <w:rFonts w:eastAsia="仿宋_GB2312"/>
                <w:szCs w:val="21"/>
              </w:rPr>
            </w:pPr>
            <w:r>
              <w:rPr>
                <w:rFonts w:eastAsia="仿宋_GB2312"/>
                <w:szCs w:val="21"/>
              </w:rPr>
              <w:t>/</w:t>
            </w:r>
          </w:p>
        </w:tc>
        <w:tc>
          <w:tcPr>
            <w:tcW w:w="431" w:type="pct"/>
            <w:tcBorders>
              <w:tl2br w:val="nil"/>
              <w:tr2bl w:val="nil"/>
            </w:tcBorders>
            <w:shd w:val="clear" w:color="auto" w:fill="auto"/>
            <w:vAlign w:val="center"/>
          </w:tcPr>
          <w:p w14:paraId="1E60549C">
            <w:pPr>
              <w:snapToGrid w:val="0"/>
              <w:spacing w:line="284" w:lineRule="exact"/>
              <w:jc w:val="center"/>
              <w:rPr>
                <w:rFonts w:eastAsia="仿宋_GB2312"/>
                <w:szCs w:val="21"/>
              </w:rPr>
            </w:pPr>
            <w:r>
              <w:rPr>
                <w:rFonts w:eastAsia="仿宋_GB2312"/>
                <w:szCs w:val="21"/>
              </w:rPr>
              <w:t>0.9</w:t>
            </w:r>
          </w:p>
        </w:tc>
      </w:tr>
      <w:tr w14:paraId="714893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380" w:type="pct"/>
            <w:vMerge w:val="continue"/>
            <w:tcBorders>
              <w:tl2br w:val="nil"/>
              <w:tr2bl w:val="nil"/>
            </w:tcBorders>
            <w:shd w:val="clear" w:color="auto" w:fill="auto"/>
            <w:vAlign w:val="center"/>
          </w:tcPr>
          <w:p w14:paraId="75A37D49">
            <w:pPr>
              <w:snapToGrid w:val="0"/>
              <w:jc w:val="center"/>
              <w:rPr>
                <w:rFonts w:eastAsia="仿宋_GB2312"/>
                <w:szCs w:val="21"/>
              </w:rPr>
            </w:pPr>
          </w:p>
        </w:tc>
        <w:tc>
          <w:tcPr>
            <w:tcW w:w="408" w:type="pct"/>
            <w:vMerge w:val="continue"/>
            <w:tcBorders>
              <w:tl2br w:val="nil"/>
              <w:tr2bl w:val="nil"/>
            </w:tcBorders>
            <w:shd w:val="clear" w:color="auto" w:fill="auto"/>
            <w:vAlign w:val="center"/>
          </w:tcPr>
          <w:p w14:paraId="1C0A463E">
            <w:pPr>
              <w:snapToGrid w:val="0"/>
              <w:spacing w:line="284" w:lineRule="exact"/>
              <w:jc w:val="center"/>
              <w:rPr>
                <w:rFonts w:eastAsia="仿宋_GB2312"/>
                <w:szCs w:val="21"/>
              </w:rPr>
            </w:pPr>
          </w:p>
        </w:tc>
        <w:tc>
          <w:tcPr>
            <w:tcW w:w="781" w:type="pct"/>
            <w:tcBorders>
              <w:tl2br w:val="nil"/>
              <w:tr2bl w:val="nil"/>
            </w:tcBorders>
            <w:shd w:val="clear" w:color="auto" w:fill="auto"/>
            <w:vAlign w:val="center"/>
          </w:tcPr>
          <w:p w14:paraId="51358194">
            <w:pPr>
              <w:snapToGrid w:val="0"/>
              <w:spacing w:line="284" w:lineRule="exact"/>
              <w:jc w:val="center"/>
              <w:rPr>
                <w:rFonts w:eastAsia="仿宋_GB2312"/>
                <w:szCs w:val="21"/>
              </w:rPr>
            </w:pPr>
            <w:r>
              <w:rPr>
                <w:rFonts w:eastAsia="仿宋_GB2312"/>
                <w:szCs w:val="21"/>
              </w:rPr>
              <w:t>氨</w:t>
            </w:r>
          </w:p>
        </w:tc>
        <w:tc>
          <w:tcPr>
            <w:tcW w:w="460" w:type="pct"/>
            <w:vMerge w:val="continue"/>
            <w:tcBorders>
              <w:tl2br w:val="nil"/>
              <w:tr2bl w:val="nil"/>
            </w:tcBorders>
            <w:shd w:val="clear" w:color="auto" w:fill="auto"/>
            <w:vAlign w:val="center"/>
          </w:tcPr>
          <w:p w14:paraId="0CB8E86E">
            <w:pPr>
              <w:snapToGrid w:val="0"/>
              <w:spacing w:line="284" w:lineRule="exact"/>
              <w:jc w:val="center"/>
              <w:rPr>
                <w:rFonts w:eastAsia="仿宋_GB2312"/>
                <w:szCs w:val="21"/>
              </w:rPr>
            </w:pPr>
          </w:p>
        </w:tc>
        <w:tc>
          <w:tcPr>
            <w:tcW w:w="473" w:type="pct"/>
            <w:tcBorders>
              <w:tl2br w:val="nil"/>
              <w:tr2bl w:val="nil"/>
            </w:tcBorders>
            <w:shd w:val="clear" w:color="auto" w:fill="auto"/>
            <w:vAlign w:val="center"/>
          </w:tcPr>
          <w:p w14:paraId="2CB97963">
            <w:pPr>
              <w:snapToGrid w:val="0"/>
              <w:spacing w:line="284" w:lineRule="exact"/>
              <w:jc w:val="center"/>
              <w:rPr>
                <w:rFonts w:eastAsia="仿宋_GB2312"/>
                <w:szCs w:val="21"/>
              </w:rPr>
            </w:pPr>
            <w:r>
              <w:rPr>
                <w:rFonts w:hint="eastAsia" w:eastAsia="仿宋_GB2312"/>
                <w:szCs w:val="21"/>
              </w:rPr>
              <w:t>0.81</w:t>
            </w:r>
          </w:p>
        </w:tc>
        <w:tc>
          <w:tcPr>
            <w:tcW w:w="530" w:type="pct"/>
            <w:tcBorders>
              <w:tl2br w:val="nil"/>
              <w:tr2bl w:val="nil"/>
            </w:tcBorders>
            <w:shd w:val="clear" w:color="auto" w:fill="auto"/>
            <w:vAlign w:val="center"/>
          </w:tcPr>
          <w:p w14:paraId="627291FF">
            <w:pPr>
              <w:snapToGrid w:val="0"/>
              <w:spacing w:line="284" w:lineRule="exact"/>
              <w:jc w:val="center"/>
              <w:rPr>
                <w:rFonts w:eastAsia="仿宋_GB2312"/>
                <w:szCs w:val="21"/>
              </w:rPr>
            </w:pPr>
            <w:r>
              <w:rPr>
                <w:rFonts w:hint="eastAsia" w:eastAsia="仿宋_GB2312"/>
                <w:szCs w:val="21"/>
              </w:rPr>
              <w:t>2.06</w:t>
            </w:r>
            <w:r>
              <w:rPr>
                <w:rFonts w:eastAsia="仿宋_GB2312"/>
                <w:szCs w:val="21"/>
              </w:rPr>
              <w:t>×10</w:t>
            </w:r>
            <w:r>
              <w:rPr>
                <w:rFonts w:eastAsia="仿宋_GB2312"/>
                <w:szCs w:val="21"/>
                <w:vertAlign w:val="superscript"/>
              </w:rPr>
              <w:t>-</w:t>
            </w:r>
            <w:r>
              <w:rPr>
                <w:rFonts w:hint="eastAsia" w:eastAsia="仿宋_GB2312"/>
                <w:szCs w:val="21"/>
                <w:vertAlign w:val="superscript"/>
              </w:rPr>
              <w:t>2</w:t>
            </w:r>
          </w:p>
        </w:tc>
        <w:tc>
          <w:tcPr>
            <w:tcW w:w="1085" w:type="pct"/>
            <w:vMerge w:val="continue"/>
            <w:tcBorders>
              <w:tl2br w:val="nil"/>
              <w:tr2bl w:val="nil"/>
            </w:tcBorders>
            <w:shd w:val="clear" w:color="auto" w:fill="auto"/>
            <w:vAlign w:val="center"/>
          </w:tcPr>
          <w:p w14:paraId="6057C4F8">
            <w:pPr>
              <w:snapToGrid w:val="0"/>
              <w:spacing w:line="284" w:lineRule="exact"/>
              <w:jc w:val="center"/>
              <w:rPr>
                <w:rFonts w:eastAsia="仿宋_GB2312"/>
                <w:szCs w:val="21"/>
              </w:rPr>
            </w:pPr>
          </w:p>
        </w:tc>
        <w:tc>
          <w:tcPr>
            <w:tcW w:w="449" w:type="pct"/>
            <w:tcBorders>
              <w:tl2br w:val="nil"/>
              <w:tr2bl w:val="nil"/>
            </w:tcBorders>
            <w:shd w:val="clear" w:color="auto" w:fill="auto"/>
            <w:vAlign w:val="center"/>
          </w:tcPr>
          <w:p w14:paraId="222C3610">
            <w:pPr>
              <w:snapToGrid w:val="0"/>
              <w:spacing w:line="284" w:lineRule="exact"/>
              <w:jc w:val="center"/>
              <w:rPr>
                <w:rFonts w:eastAsia="仿宋_GB2312"/>
                <w:szCs w:val="21"/>
              </w:rPr>
            </w:pPr>
            <w:r>
              <w:rPr>
                <w:rFonts w:eastAsia="仿宋_GB2312"/>
                <w:szCs w:val="21"/>
              </w:rPr>
              <w:t>/</w:t>
            </w:r>
          </w:p>
        </w:tc>
        <w:tc>
          <w:tcPr>
            <w:tcW w:w="431" w:type="pct"/>
            <w:tcBorders>
              <w:tl2br w:val="nil"/>
              <w:tr2bl w:val="nil"/>
            </w:tcBorders>
            <w:shd w:val="clear" w:color="auto" w:fill="auto"/>
            <w:vAlign w:val="center"/>
          </w:tcPr>
          <w:p w14:paraId="1522C0BB">
            <w:pPr>
              <w:snapToGrid w:val="0"/>
              <w:spacing w:line="284" w:lineRule="exact"/>
              <w:jc w:val="center"/>
              <w:rPr>
                <w:rFonts w:eastAsia="仿宋_GB2312"/>
                <w:szCs w:val="21"/>
              </w:rPr>
            </w:pPr>
            <w:r>
              <w:rPr>
                <w:rFonts w:eastAsia="仿宋_GB2312"/>
                <w:szCs w:val="21"/>
              </w:rPr>
              <w:t>14</w:t>
            </w:r>
          </w:p>
        </w:tc>
      </w:tr>
    </w:tbl>
    <w:p w14:paraId="08463634">
      <w:pPr>
        <w:rPr>
          <w:rFonts w:eastAsia="仿宋_GB2312"/>
          <w:bCs/>
          <w:color w:val="FF0000"/>
        </w:rPr>
      </w:pPr>
      <w:r>
        <w:rPr>
          <w:rFonts w:eastAsia="仿宋_GB2312"/>
          <w:bCs/>
        </w:rPr>
        <w:t>注：</w:t>
      </w:r>
      <w:r>
        <w:rPr>
          <w:rFonts w:hint="eastAsia" w:eastAsia="仿宋_GB2312"/>
          <w:bCs/>
        </w:rPr>
        <w:t>硫化氢</w:t>
      </w:r>
      <w:r>
        <w:rPr>
          <w:rFonts w:eastAsia="仿宋_GB2312"/>
          <w:bCs/>
        </w:rPr>
        <w:t>检出限0.</w:t>
      </w:r>
      <w:r>
        <w:rPr>
          <w:rFonts w:hint="eastAsia" w:eastAsia="仿宋_GB2312"/>
          <w:bCs/>
        </w:rPr>
        <w:t>007</w:t>
      </w:r>
      <w:r>
        <w:rPr>
          <w:rFonts w:eastAsia="仿宋_GB2312"/>
          <w:bCs/>
        </w:rPr>
        <w:t>mg/m</w:t>
      </w:r>
      <w:r>
        <w:rPr>
          <w:rFonts w:eastAsia="仿宋_GB2312"/>
          <w:bCs/>
          <w:vertAlign w:val="superscript"/>
        </w:rPr>
        <w:t>3</w:t>
      </w:r>
      <w:r>
        <w:rPr>
          <w:rFonts w:eastAsia="仿宋_GB2312"/>
          <w:bCs/>
        </w:rPr>
        <w:t>、镉检出限0.00</w:t>
      </w:r>
      <w:r>
        <w:rPr>
          <w:rFonts w:hint="eastAsia" w:eastAsia="仿宋_GB2312"/>
          <w:bCs/>
        </w:rPr>
        <w:t>8u</w:t>
      </w:r>
      <w:r>
        <w:rPr>
          <w:rFonts w:eastAsia="仿宋_GB2312"/>
          <w:bCs/>
        </w:rPr>
        <w:t>g/m</w:t>
      </w:r>
      <w:r>
        <w:rPr>
          <w:rFonts w:eastAsia="仿宋_GB2312"/>
          <w:bCs/>
          <w:vertAlign w:val="superscript"/>
        </w:rPr>
        <w:t>3</w:t>
      </w:r>
      <w:r>
        <w:rPr>
          <w:rFonts w:eastAsia="仿宋_GB2312"/>
          <w:bCs/>
        </w:rPr>
        <w:t>、砷检出限0.</w:t>
      </w:r>
      <w:r>
        <w:rPr>
          <w:rFonts w:hint="eastAsia" w:eastAsia="仿宋_GB2312"/>
          <w:bCs/>
        </w:rPr>
        <w:t>2u</w:t>
      </w:r>
      <w:r>
        <w:rPr>
          <w:rFonts w:eastAsia="仿宋_GB2312"/>
          <w:bCs/>
        </w:rPr>
        <w:t>g/m</w:t>
      </w:r>
      <w:r>
        <w:rPr>
          <w:rFonts w:eastAsia="仿宋_GB2312"/>
          <w:bCs/>
          <w:vertAlign w:val="superscript"/>
        </w:rPr>
        <w:t>3</w:t>
      </w:r>
      <w:r>
        <w:rPr>
          <w:rFonts w:eastAsia="仿宋_GB2312"/>
          <w:bCs/>
        </w:rPr>
        <w:t>、汞检出限0.00</w:t>
      </w:r>
      <w:r>
        <w:rPr>
          <w:rFonts w:hint="eastAsia" w:eastAsia="仿宋_GB2312"/>
          <w:bCs/>
        </w:rPr>
        <w:t>42</w:t>
      </w:r>
      <w:r>
        <w:rPr>
          <w:rFonts w:eastAsia="仿宋_GB2312"/>
          <w:bCs/>
        </w:rPr>
        <w:t>mg/m</w:t>
      </w:r>
      <w:r>
        <w:rPr>
          <w:rFonts w:eastAsia="仿宋_GB2312"/>
          <w:bCs/>
          <w:vertAlign w:val="superscript"/>
        </w:rPr>
        <w:t>3</w:t>
      </w:r>
      <w:r>
        <w:rPr>
          <w:rFonts w:eastAsia="仿宋_GB2312"/>
          <w:bCs/>
        </w:rPr>
        <w:t>、铊检出限0.008μg/m</w:t>
      </w:r>
      <w:r>
        <w:rPr>
          <w:rFonts w:eastAsia="仿宋_GB2312"/>
          <w:bCs/>
          <w:vertAlign w:val="superscript"/>
        </w:rPr>
        <w:t>3</w:t>
      </w:r>
      <w:r>
        <w:rPr>
          <w:rFonts w:hint="eastAsia" w:eastAsia="仿宋_GB2312"/>
          <w:bCs/>
        </w:rPr>
        <w:t>、丙酮</w:t>
      </w:r>
      <w:r>
        <w:rPr>
          <w:rFonts w:eastAsia="仿宋_GB2312"/>
          <w:bCs/>
        </w:rPr>
        <w:t>0.0</w:t>
      </w:r>
      <w:r>
        <w:rPr>
          <w:rFonts w:hint="eastAsia" w:eastAsia="仿宋_GB2312"/>
          <w:bCs/>
        </w:rPr>
        <w:t>1</w:t>
      </w:r>
      <w:r>
        <w:rPr>
          <w:rFonts w:eastAsia="仿宋_GB2312"/>
          <w:bCs/>
        </w:rPr>
        <w:t>mg/m</w:t>
      </w:r>
      <w:r>
        <w:rPr>
          <w:rFonts w:eastAsia="仿宋_GB2312"/>
          <w:bCs/>
          <w:vertAlign w:val="superscript"/>
        </w:rPr>
        <w:t>3</w:t>
      </w:r>
      <w:r>
        <w:rPr>
          <w:rFonts w:hint="eastAsia" w:eastAsia="仿宋_GB2312"/>
          <w:bCs/>
        </w:rPr>
        <w:t>、二氯乙烷</w:t>
      </w:r>
      <w:r>
        <w:rPr>
          <w:rFonts w:eastAsia="仿宋_GB2312"/>
          <w:bCs/>
        </w:rPr>
        <w:t>0.</w:t>
      </w:r>
      <w:r>
        <w:rPr>
          <w:rFonts w:hint="eastAsia" w:eastAsia="仿宋_GB2312"/>
          <w:bCs/>
        </w:rPr>
        <w:t>8u</w:t>
      </w:r>
      <w:r>
        <w:rPr>
          <w:rFonts w:eastAsia="仿宋_GB2312"/>
          <w:bCs/>
        </w:rPr>
        <w:t>g/m</w:t>
      </w:r>
      <w:r>
        <w:rPr>
          <w:rFonts w:eastAsia="仿宋_GB2312"/>
          <w:bCs/>
          <w:vertAlign w:val="superscript"/>
        </w:rPr>
        <w:t>3</w:t>
      </w:r>
      <w:r>
        <w:rPr>
          <w:rFonts w:hint="eastAsia" w:eastAsia="仿宋_GB2312"/>
          <w:bCs/>
        </w:rPr>
        <w:t>、二氯甲烷1u</w:t>
      </w:r>
      <w:r>
        <w:rPr>
          <w:rFonts w:eastAsia="仿宋_GB2312"/>
          <w:bCs/>
        </w:rPr>
        <w:t>g/m</w:t>
      </w:r>
      <w:r>
        <w:rPr>
          <w:rFonts w:eastAsia="仿宋_GB2312"/>
          <w:bCs/>
          <w:vertAlign w:val="superscript"/>
        </w:rPr>
        <w:t>3</w:t>
      </w:r>
      <w:r>
        <w:rPr>
          <w:rFonts w:hint="eastAsia" w:eastAsia="仿宋_GB2312"/>
          <w:bCs/>
        </w:rPr>
        <w:t>、DMF</w:t>
      </w:r>
      <w:r>
        <w:rPr>
          <w:rFonts w:eastAsia="仿宋_GB2312"/>
          <w:bCs/>
        </w:rPr>
        <w:t>0.0</w:t>
      </w:r>
      <w:r>
        <w:rPr>
          <w:rFonts w:hint="eastAsia" w:eastAsia="仿宋_GB2312"/>
          <w:bCs/>
        </w:rPr>
        <w:t>2</w:t>
      </w:r>
      <w:r>
        <w:rPr>
          <w:rFonts w:eastAsia="仿宋_GB2312"/>
          <w:bCs/>
        </w:rPr>
        <w:t>mg/m</w:t>
      </w:r>
      <w:r>
        <w:rPr>
          <w:rFonts w:eastAsia="仿宋_GB2312"/>
          <w:bCs/>
          <w:vertAlign w:val="superscript"/>
        </w:rPr>
        <w:t>3</w:t>
      </w:r>
      <w:r>
        <w:rPr>
          <w:rFonts w:hint="eastAsia" w:eastAsia="仿宋_GB2312"/>
          <w:bCs/>
        </w:rPr>
        <w:t>、苯乙烯</w:t>
      </w:r>
      <w:r>
        <w:rPr>
          <w:rFonts w:eastAsia="仿宋_GB2312"/>
          <w:bCs/>
        </w:rPr>
        <w:t>0.</w:t>
      </w:r>
      <w:r>
        <w:rPr>
          <w:rFonts w:hint="eastAsia" w:eastAsia="仿宋_GB2312"/>
          <w:bCs/>
        </w:rPr>
        <w:t>6</w:t>
      </w:r>
      <w:r>
        <w:rPr>
          <w:rFonts w:eastAsia="仿宋_GB2312"/>
          <w:bCs/>
        </w:rPr>
        <w:t>mg/m</w:t>
      </w:r>
      <w:r>
        <w:rPr>
          <w:rFonts w:eastAsia="仿宋_GB2312"/>
          <w:bCs/>
          <w:vertAlign w:val="superscript"/>
        </w:rPr>
        <w:t>3</w:t>
      </w:r>
      <w:r>
        <w:rPr>
          <w:rFonts w:hint="eastAsia" w:eastAsia="仿宋_GB2312"/>
          <w:bCs/>
        </w:rPr>
        <w:t>、甲醇</w:t>
      </w:r>
      <w:r>
        <w:rPr>
          <w:rFonts w:eastAsia="仿宋_GB2312"/>
          <w:bCs/>
        </w:rPr>
        <w:t>0.0</w:t>
      </w:r>
      <w:r>
        <w:rPr>
          <w:rFonts w:hint="eastAsia" w:eastAsia="仿宋_GB2312"/>
          <w:bCs/>
        </w:rPr>
        <w:t>9</w:t>
      </w:r>
      <w:r>
        <w:rPr>
          <w:rFonts w:eastAsia="仿宋_GB2312"/>
          <w:bCs/>
        </w:rPr>
        <w:t>mg/m</w:t>
      </w:r>
      <w:r>
        <w:rPr>
          <w:rFonts w:eastAsia="仿宋_GB2312"/>
          <w:bCs/>
          <w:vertAlign w:val="superscript"/>
        </w:rPr>
        <w:t>3</w:t>
      </w:r>
      <w:r>
        <w:rPr>
          <w:rFonts w:hint="eastAsia" w:eastAsia="仿宋_GB2312"/>
          <w:bCs/>
        </w:rPr>
        <w:t>、甲苯</w:t>
      </w:r>
      <w:r>
        <w:rPr>
          <w:rFonts w:eastAsia="仿宋_GB2312"/>
          <w:bCs/>
        </w:rPr>
        <w:t>0.</w:t>
      </w:r>
      <w:r>
        <w:rPr>
          <w:rFonts w:hint="eastAsia" w:eastAsia="仿宋_GB2312"/>
          <w:bCs/>
        </w:rPr>
        <w:t>2</w:t>
      </w:r>
      <w:r>
        <w:rPr>
          <w:rFonts w:eastAsia="仿宋_GB2312"/>
          <w:bCs/>
        </w:rPr>
        <w:t>mg/m</w:t>
      </w:r>
      <w:r>
        <w:rPr>
          <w:rFonts w:eastAsia="仿宋_GB2312"/>
          <w:bCs/>
          <w:vertAlign w:val="superscript"/>
        </w:rPr>
        <w:t>3</w:t>
      </w:r>
      <w:r>
        <w:rPr>
          <w:rFonts w:hint="eastAsia" w:eastAsia="仿宋_GB2312"/>
          <w:bCs/>
        </w:rPr>
        <w:t>、二甲苯</w:t>
      </w:r>
      <w:r>
        <w:rPr>
          <w:rFonts w:eastAsia="仿宋_GB2312"/>
          <w:bCs/>
        </w:rPr>
        <w:t>0.</w:t>
      </w:r>
      <w:r>
        <w:rPr>
          <w:rFonts w:hint="eastAsia" w:eastAsia="仿宋_GB2312"/>
          <w:bCs/>
        </w:rPr>
        <w:t>2</w:t>
      </w:r>
      <w:r>
        <w:rPr>
          <w:rFonts w:eastAsia="仿宋_GB2312"/>
          <w:bCs/>
        </w:rPr>
        <w:t>mg/m</w:t>
      </w:r>
      <w:r>
        <w:rPr>
          <w:rFonts w:eastAsia="仿宋_GB2312"/>
          <w:bCs/>
          <w:vertAlign w:val="superscript"/>
        </w:rPr>
        <w:t>3</w:t>
      </w:r>
      <w:r>
        <w:rPr>
          <w:rFonts w:eastAsia="仿宋_GB2312"/>
          <w:bCs/>
        </w:rPr>
        <w:t>。</w:t>
      </w:r>
    </w:p>
    <w:p w14:paraId="089A19AC">
      <w:pPr>
        <w:widowControl/>
        <w:spacing w:line="500" w:lineRule="exact"/>
        <w:ind w:firstLine="560" w:firstLineChars="200"/>
        <w:rPr>
          <w:rFonts w:eastAsia="仿宋_GB2312"/>
          <w:sz w:val="28"/>
          <w:szCs w:val="28"/>
        </w:rPr>
      </w:pPr>
      <w:r>
        <w:rPr>
          <w:rFonts w:eastAsia="仿宋_GB2312"/>
          <w:sz w:val="28"/>
          <w:szCs w:val="28"/>
        </w:rPr>
        <w:t>由上表可知，企业各排气筒手工监测的排放浓度和速率符合相关标准排放限值要求。</w:t>
      </w:r>
    </w:p>
    <w:p w14:paraId="3655CC05">
      <w:pPr>
        <w:pStyle w:val="2"/>
      </w:pPr>
    </w:p>
    <w:p w14:paraId="1AD7987B">
      <w:pPr>
        <w:widowControl/>
        <w:spacing w:line="500" w:lineRule="exact"/>
        <w:ind w:firstLine="560" w:firstLineChars="200"/>
        <w:rPr>
          <w:rFonts w:eastAsia="仿宋_GB2312"/>
          <w:color w:val="FF0000"/>
          <w:sz w:val="28"/>
          <w:szCs w:val="28"/>
        </w:rPr>
        <w:sectPr>
          <w:pgSz w:w="16840" w:h="11907" w:orient="landscape"/>
          <w:pgMar w:top="1440" w:right="1800" w:bottom="1440" w:left="1800" w:header="851" w:footer="992" w:gutter="0"/>
          <w:pgBorders>
            <w:top w:val="none" w:sz="0" w:space="0"/>
            <w:left w:val="none" w:sz="0" w:space="0"/>
            <w:bottom w:val="none" w:sz="0" w:space="0"/>
            <w:right w:val="none" w:sz="0" w:space="0"/>
          </w:pgBorders>
          <w:pgNumType w:fmt="decimal"/>
          <w:cols w:space="425" w:num="1"/>
          <w:docGrid w:linePitch="326" w:charSpace="0"/>
        </w:sectPr>
      </w:pPr>
    </w:p>
    <w:p w14:paraId="5C01549D">
      <w:pPr>
        <w:adjustRightInd w:val="0"/>
        <w:spacing w:line="500" w:lineRule="exact"/>
        <w:ind w:firstLine="560" w:firstLineChars="200"/>
        <w:rPr>
          <w:rFonts w:eastAsia="仿宋_GB2312"/>
          <w:sz w:val="28"/>
          <w:szCs w:val="28"/>
        </w:rPr>
      </w:pPr>
      <w:r>
        <w:rPr>
          <w:rFonts w:eastAsia="仿宋_GB2312"/>
          <w:sz w:val="28"/>
          <w:szCs w:val="28"/>
        </w:rPr>
        <w:t>（4）已建项目实际排放量</w:t>
      </w:r>
    </w:p>
    <w:p w14:paraId="3A17F223">
      <w:pPr>
        <w:adjustRightInd w:val="0"/>
        <w:spacing w:line="500" w:lineRule="exact"/>
        <w:ind w:firstLine="560" w:firstLineChars="200"/>
        <w:rPr>
          <w:rFonts w:eastAsia="仿宋_GB2312"/>
          <w:sz w:val="28"/>
          <w:szCs w:val="28"/>
        </w:rPr>
      </w:pPr>
      <w:r>
        <w:rPr>
          <w:rFonts w:eastAsia="仿宋_GB2312"/>
          <w:sz w:val="28"/>
          <w:szCs w:val="28"/>
        </w:rPr>
        <w:t>根据江苏</w:t>
      </w:r>
      <w:r>
        <w:rPr>
          <w:rFonts w:hint="eastAsia" w:eastAsia="仿宋_GB2312"/>
          <w:sz w:val="28"/>
          <w:szCs w:val="28"/>
        </w:rPr>
        <w:t>盈天环保科技</w:t>
      </w:r>
      <w:r>
        <w:rPr>
          <w:rFonts w:eastAsia="仿宋_GB2312"/>
          <w:sz w:val="28"/>
          <w:szCs w:val="28"/>
        </w:rPr>
        <w:t>有限公司20</w:t>
      </w:r>
      <w:r>
        <w:rPr>
          <w:rFonts w:hint="eastAsia" w:eastAsia="仿宋_GB2312"/>
          <w:sz w:val="28"/>
          <w:szCs w:val="28"/>
        </w:rPr>
        <w:t>25</w:t>
      </w:r>
      <w:r>
        <w:rPr>
          <w:rFonts w:eastAsia="仿宋_GB2312"/>
          <w:sz w:val="28"/>
          <w:szCs w:val="28"/>
        </w:rPr>
        <w:t>年度的《排污许可证执行报告（年报）》，企业废气实际排放量情况见下表</w:t>
      </w:r>
      <w:r>
        <w:rPr>
          <w:rFonts w:hint="eastAsia" w:eastAsia="仿宋_GB2312"/>
          <w:sz w:val="28"/>
          <w:szCs w:val="28"/>
          <w:lang w:val="zh-CN"/>
        </w:rPr>
        <w:t>。</w:t>
      </w:r>
    </w:p>
    <w:p w14:paraId="43B10028">
      <w:pPr>
        <w:widowControl/>
        <w:spacing w:line="500" w:lineRule="exact"/>
        <w:jc w:val="center"/>
        <w:rPr>
          <w:rFonts w:eastAsia="仿宋_GB2312"/>
          <w:b/>
          <w:bCs/>
          <w:sz w:val="24"/>
        </w:rPr>
      </w:pPr>
      <w:r>
        <w:rPr>
          <w:rFonts w:eastAsia="仿宋_GB2312"/>
          <w:b/>
          <w:bCs/>
          <w:sz w:val="24"/>
        </w:rPr>
        <w:t>表3.1-</w:t>
      </w:r>
      <w:r>
        <w:rPr>
          <w:rFonts w:hint="eastAsia" w:eastAsia="仿宋_GB2312"/>
          <w:b/>
          <w:bCs/>
          <w:sz w:val="24"/>
        </w:rPr>
        <w:t>7</w:t>
      </w:r>
      <w:r>
        <w:rPr>
          <w:rFonts w:eastAsia="仿宋_GB2312"/>
          <w:b/>
          <w:bCs/>
          <w:sz w:val="24"/>
        </w:rPr>
        <w:t xml:space="preserve">  已建项目废气实际排放量与环评批复量对比情况表</w:t>
      </w:r>
    </w:p>
    <w:tbl>
      <w:tblPr>
        <w:tblStyle w:val="89"/>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2705"/>
        <w:gridCol w:w="2506"/>
        <w:gridCol w:w="3312"/>
      </w:tblGrid>
      <w:tr w14:paraId="30867A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2705" w:type="dxa"/>
            <w:vAlign w:val="center"/>
          </w:tcPr>
          <w:p w14:paraId="785FD765">
            <w:pPr>
              <w:snapToGrid w:val="0"/>
              <w:spacing w:line="284" w:lineRule="exact"/>
              <w:jc w:val="center"/>
              <w:rPr>
                <w:rFonts w:eastAsia="仿宋_GB2312"/>
                <w:b/>
                <w:bCs/>
                <w:szCs w:val="21"/>
              </w:rPr>
            </w:pPr>
            <w:r>
              <w:rPr>
                <w:rFonts w:eastAsia="仿宋_GB2312"/>
                <w:b/>
                <w:bCs/>
                <w:szCs w:val="21"/>
              </w:rPr>
              <w:t>污染物名称</w:t>
            </w:r>
          </w:p>
        </w:tc>
        <w:tc>
          <w:tcPr>
            <w:tcW w:w="2506" w:type="dxa"/>
            <w:vAlign w:val="center"/>
          </w:tcPr>
          <w:p w14:paraId="0FD727DE">
            <w:pPr>
              <w:snapToGrid w:val="0"/>
              <w:spacing w:line="284" w:lineRule="exact"/>
              <w:jc w:val="center"/>
              <w:rPr>
                <w:rFonts w:eastAsia="仿宋_GB2312"/>
                <w:b/>
                <w:bCs/>
                <w:szCs w:val="21"/>
              </w:rPr>
            </w:pPr>
            <w:r>
              <w:rPr>
                <w:rFonts w:eastAsia="仿宋_GB2312"/>
                <w:b/>
                <w:bCs/>
                <w:szCs w:val="21"/>
              </w:rPr>
              <w:t>实际排放量（t）</w:t>
            </w:r>
          </w:p>
        </w:tc>
        <w:tc>
          <w:tcPr>
            <w:tcW w:w="3312" w:type="dxa"/>
            <w:vAlign w:val="center"/>
          </w:tcPr>
          <w:p w14:paraId="4C2131F6">
            <w:pPr>
              <w:snapToGrid w:val="0"/>
              <w:spacing w:line="284" w:lineRule="exact"/>
              <w:jc w:val="center"/>
              <w:rPr>
                <w:rFonts w:eastAsia="仿宋_GB2312"/>
                <w:b/>
                <w:bCs/>
                <w:szCs w:val="21"/>
              </w:rPr>
            </w:pPr>
            <w:r>
              <w:rPr>
                <w:rFonts w:eastAsia="仿宋_GB2312"/>
                <w:b/>
                <w:bCs/>
                <w:szCs w:val="21"/>
              </w:rPr>
              <w:t>已建项目环评批复量（t/a）</w:t>
            </w:r>
          </w:p>
        </w:tc>
      </w:tr>
      <w:tr w14:paraId="2CACB9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2705" w:type="dxa"/>
            <w:vAlign w:val="center"/>
          </w:tcPr>
          <w:p w14:paraId="321DA75A">
            <w:pPr>
              <w:snapToGrid w:val="0"/>
              <w:spacing w:line="284" w:lineRule="exact"/>
              <w:jc w:val="center"/>
              <w:rPr>
                <w:rFonts w:eastAsia="仿宋_GB2312"/>
                <w:szCs w:val="21"/>
              </w:rPr>
            </w:pPr>
            <w:r>
              <w:rPr>
                <w:rFonts w:eastAsia="仿宋_GB2312"/>
                <w:szCs w:val="21"/>
              </w:rPr>
              <w:t>颗粒物</w:t>
            </w:r>
          </w:p>
        </w:tc>
        <w:tc>
          <w:tcPr>
            <w:tcW w:w="2506" w:type="dxa"/>
            <w:vAlign w:val="center"/>
          </w:tcPr>
          <w:p w14:paraId="36A9F360">
            <w:pPr>
              <w:snapToGrid w:val="0"/>
              <w:spacing w:line="284" w:lineRule="exact"/>
              <w:jc w:val="center"/>
              <w:rPr>
                <w:rFonts w:eastAsia="仿宋_GB2312"/>
                <w:szCs w:val="21"/>
              </w:rPr>
            </w:pPr>
            <w:r>
              <w:rPr>
                <w:rFonts w:hint="eastAsia" w:eastAsia="仿宋_GB2312"/>
                <w:szCs w:val="21"/>
              </w:rPr>
              <w:t>2.2488</w:t>
            </w:r>
          </w:p>
        </w:tc>
        <w:tc>
          <w:tcPr>
            <w:tcW w:w="3312" w:type="dxa"/>
            <w:vAlign w:val="center"/>
          </w:tcPr>
          <w:p w14:paraId="30EA6EE3">
            <w:pPr>
              <w:widowControl/>
              <w:jc w:val="center"/>
              <w:textAlignment w:val="center"/>
              <w:rPr>
                <w:kern w:val="0"/>
                <w:szCs w:val="21"/>
                <w:lang w:bidi="ar"/>
              </w:rPr>
            </w:pPr>
            <w:r>
              <w:rPr>
                <w:kern w:val="0"/>
                <w:szCs w:val="21"/>
                <w:lang w:bidi="ar"/>
              </w:rPr>
              <w:t>17.8</w:t>
            </w:r>
            <w:r>
              <w:rPr>
                <w:rFonts w:hint="eastAsia"/>
                <w:kern w:val="0"/>
                <w:szCs w:val="21"/>
                <w:lang w:bidi="ar"/>
              </w:rPr>
              <w:t>16</w:t>
            </w:r>
          </w:p>
        </w:tc>
      </w:tr>
      <w:tr w14:paraId="3D8D61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2705" w:type="dxa"/>
            <w:vAlign w:val="center"/>
          </w:tcPr>
          <w:p w14:paraId="794614F3">
            <w:pPr>
              <w:snapToGrid w:val="0"/>
              <w:spacing w:line="284" w:lineRule="exact"/>
              <w:jc w:val="center"/>
              <w:rPr>
                <w:rFonts w:eastAsia="仿宋_GB2312"/>
                <w:szCs w:val="21"/>
              </w:rPr>
            </w:pPr>
            <w:r>
              <w:rPr>
                <w:rFonts w:eastAsia="仿宋_GB2312"/>
                <w:szCs w:val="21"/>
              </w:rPr>
              <w:t>SO</w:t>
            </w:r>
            <w:r>
              <w:rPr>
                <w:rFonts w:eastAsia="仿宋_GB2312"/>
                <w:szCs w:val="21"/>
                <w:vertAlign w:val="subscript"/>
              </w:rPr>
              <w:t>2</w:t>
            </w:r>
          </w:p>
        </w:tc>
        <w:tc>
          <w:tcPr>
            <w:tcW w:w="2506" w:type="dxa"/>
            <w:vAlign w:val="center"/>
          </w:tcPr>
          <w:p w14:paraId="109EADCF">
            <w:pPr>
              <w:snapToGrid w:val="0"/>
              <w:spacing w:line="284" w:lineRule="exact"/>
              <w:jc w:val="center"/>
              <w:rPr>
                <w:rFonts w:eastAsia="仿宋_GB2312"/>
                <w:szCs w:val="21"/>
              </w:rPr>
            </w:pPr>
            <w:r>
              <w:rPr>
                <w:rFonts w:hint="eastAsia" w:eastAsia="仿宋_GB2312"/>
                <w:szCs w:val="21"/>
              </w:rPr>
              <w:t>8.9327</w:t>
            </w:r>
          </w:p>
        </w:tc>
        <w:tc>
          <w:tcPr>
            <w:tcW w:w="3312" w:type="dxa"/>
            <w:vAlign w:val="center"/>
          </w:tcPr>
          <w:p w14:paraId="327E97AC">
            <w:pPr>
              <w:widowControl/>
              <w:jc w:val="center"/>
              <w:textAlignment w:val="center"/>
              <w:rPr>
                <w:kern w:val="0"/>
                <w:szCs w:val="21"/>
                <w:lang w:bidi="ar"/>
              </w:rPr>
            </w:pPr>
            <w:r>
              <w:rPr>
                <w:kern w:val="0"/>
                <w:szCs w:val="21"/>
                <w:lang w:bidi="ar"/>
              </w:rPr>
              <w:t>55.341</w:t>
            </w:r>
          </w:p>
        </w:tc>
      </w:tr>
      <w:tr w14:paraId="200EC6A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2705" w:type="dxa"/>
            <w:vAlign w:val="center"/>
          </w:tcPr>
          <w:p w14:paraId="73D5BDF5">
            <w:pPr>
              <w:snapToGrid w:val="0"/>
              <w:spacing w:line="284" w:lineRule="exact"/>
              <w:jc w:val="center"/>
              <w:rPr>
                <w:rFonts w:eastAsia="仿宋_GB2312"/>
                <w:szCs w:val="21"/>
              </w:rPr>
            </w:pPr>
            <w:r>
              <w:rPr>
                <w:rFonts w:eastAsia="仿宋_GB2312"/>
                <w:szCs w:val="21"/>
              </w:rPr>
              <w:t>NO</w:t>
            </w:r>
            <w:r>
              <w:rPr>
                <w:rFonts w:eastAsia="仿宋_GB2312"/>
                <w:szCs w:val="21"/>
                <w:vertAlign w:val="subscript"/>
              </w:rPr>
              <w:t>x</w:t>
            </w:r>
          </w:p>
        </w:tc>
        <w:tc>
          <w:tcPr>
            <w:tcW w:w="2506" w:type="dxa"/>
            <w:vAlign w:val="center"/>
          </w:tcPr>
          <w:p w14:paraId="69E54C33">
            <w:pPr>
              <w:snapToGrid w:val="0"/>
              <w:spacing w:line="284" w:lineRule="exact"/>
              <w:jc w:val="center"/>
              <w:rPr>
                <w:rFonts w:eastAsia="仿宋_GB2312"/>
                <w:szCs w:val="21"/>
              </w:rPr>
            </w:pPr>
            <w:r>
              <w:rPr>
                <w:rFonts w:hint="eastAsia" w:eastAsia="仿宋_GB2312"/>
                <w:szCs w:val="21"/>
              </w:rPr>
              <w:t>24.8224</w:t>
            </w:r>
          </w:p>
        </w:tc>
        <w:tc>
          <w:tcPr>
            <w:tcW w:w="3312" w:type="dxa"/>
            <w:vAlign w:val="center"/>
          </w:tcPr>
          <w:p w14:paraId="1CA92575">
            <w:pPr>
              <w:widowControl/>
              <w:jc w:val="center"/>
              <w:textAlignment w:val="center"/>
              <w:rPr>
                <w:kern w:val="0"/>
                <w:szCs w:val="21"/>
                <w:lang w:bidi="ar"/>
              </w:rPr>
            </w:pPr>
            <w:r>
              <w:rPr>
                <w:kern w:val="0"/>
                <w:szCs w:val="21"/>
                <w:lang w:bidi="ar"/>
              </w:rPr>
              <w:t>121.036</w:t>
            </w:r>
          </w:p>
        </w:tc>
      </w:tr>
      <w:tr w14:paraId="3A4914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2705" w:type="dxa"/>
            <w:vAlign w:val="center"/>
          </w:tcPr>
          <w:p w14:paraId="71E8DE7E">
            <w:pPr>
              <w:snapToGrid w:val="0"/>
              <w:spacing w:line="284" w:lineRule="exact"/>
              <w:jc w:val="center"/>
              <w:rPr>
                <w:rFonts w:eastAsia="仿宋_GB2312"/>
                <w:szCs w:val="21"/>
              </w:rPr>
            </w:pPr>
            <w:r>
              <w:rPr>
                <w:rFonts w:eastAsia="仿宋_GB2312"/>
                <w:szCs w:val="21"/>
              </w:rPr>
              <w:t>VOCs</w:t>
            </w:r>
          </w:p>
        </w:tc>
        <w:tc>
          <w:tcPr>
            <w:tcW w:w="2506" w:type="dxa"/>
            <w:vAlign w:val="center"/>
          </w:tcPr>
          <w:p w14:paraId="0DAC8D73">
            <w:pPr>
              <w:snapToGrid w:val="0"/>
              <w:spacing w:line="284" w:lineRule="exact"/>
              <w:jc w:val="center"/>
              <w:rPr>
                <w:rFonts w:eastAsia="仿宋_GB2312"/>
                <w:szCs w:val="21"/>
              </w:rPr>
            </w:pPr>
            <w:r>
              <w:rPr>
                <w:rFonts w:hint="eastAsia" w:eastAsia="仿宋_GB2312"/>
                <w:szCs w:val="21"/>
              </w:rPr>
              <w:t>2.8732</w:t>
            </w:r>
          </w:p>
        </w:tc>
        <w:tc>
          <w:tcPr>
            <w:tcW w:w="3312" w:type="dxa"/>
            <w:vAlign w:val="center"/>
          </w:tcPr>
          <w:p w14:paraId="2FBB2A0D">
            <w:pPr>
              <w:widowControl/>
              <w:jc w:val="center"/>
              <w:textAlignment w:val="center"/>
              <w:rPr>
                <w:rFonts w:hint="default" w:eastAsia="宋体"/>
                <w:kern w:val="0"/>
                <w:szCs w:val="21"/>
                <w:lang w:val="en-US" w:eastAsia="zh-CN" w:bidi="ar"/>
              </w:rPr>
            </w:pPr>
            <w:r>
              <w:rPr>
                <w:rFonts w:hint="eastAsia"/>
                <w:kern w:val="0"/>
                <w:szCs w:val="21"/>
                <w:lang w:val="en-US" w:eastAsia="zh-CN" w:bidi="ar"/>
              </w:rPr>
              <w:t>9.23976</w:t>
            </w:r>
          </w:p>
        </w:tc>
      </w:tr>
    </w:tbl>
    <w:p w14:paraId="2098124A">
      <w:pPr>
        <w:adjustRightInd w:val="0"/>
        <w:spacing w:line="500" w:lineRule="exact"/>
        <w:ind w:firstLine="560" w:firstLineChars="200"/>
        <w:rPr>
          <w:rFonts w:eastAsia="仿宋_GB2312"/>
          <w:sz w:val="28"/>
          <w:szCs w:val="28"/>
        </w:rPr>
      </w:pPr>
      <w:r>
        <w:rPr>
          <w:rFonts w:eastAsia="仿宋_GB2312"/>
          <w:sz w:val="28"/>
          <w:szCs w:val="28"/>
        </w:rPr>
        <w:t>由上表可知，企业已建项目的废气实际排放量未超过环评批复量。</w:t>
      </w:r>
    </w:p>
    <w:p w14:paraId="050251BD">
      <w:pPr>
        <w:adjustRightInd w:val="0"/>
        <w:spacing w:line="500" w:lineRule="exact"/>
        <w:ind w:firstLine="560" w:firstLineChars="200"/>
        <w:rPr>
          <w:rFonts w:eastAsia="仿宋_GB2312"/>
          <w:sz w:val="28"/>
          <w:szCs w:val="28"/>
        </w:rPr>
      </w:pPr>
      <w:r>
        <w:rPr>
          <w:rFonts w:eastAsia="仿宋_GB2312"/>
          <w:sz w:val="28"/>
          <w:szCs w:val="28"/>
        </w:rPr>
        <w:t>（5）小结</w:t>
      </w:r>
    </w:p>
    <w:p w14:paraId="4506839F">
      <w:pPr>
        <w:adjustRightInd w:val="0"/>
        <w:spacing w:line="500" w:lineRule="exact"/>
        <w:ind w:firstLine="560" w:firstLineChars="200"/>
        <w:rPr>
          <w:rFonts w:eastAsia="仿宋_GB2312"/>
          <w:sz w:val="28"/>
          <w:szCs w:val="28"/>
        </w:rPr>
      </w:pPr>
      <w:r>
        <w:rPr>
          <w:rFonts w:eastAsia="仿宋_GB2312"/>
          <w:sz w:val="28"/>
          <w:szCs w:val="28"/>
        </w:rPr>
        <w:t>综上，企业已建项目的有组织废气排放浓度和排放速率满足相关排放标准限值要求，废气实际排放量未超过环评批复量。</w:t>
      </w:r>
    </w:p>
    <w:p w14:paraId="25F43AF0">
      <w:pPr>
        <w:spacing w:line="500" w:lineRule="exact"/>
        <w:ind w:firstLine="562" w:firstLineChars="200"/>
        <w:rPr>
          <w:rFonts w:eastAsia="仿宋_GB2312"/>
          <w:b/>
          <w:bCs/>
          <w:sz w:val="28"/>
          <w:szCs w:val="28"/>
        </w:rPr>
      </w:pPr>
      <w:r>
        <w:rPr>
          <w:rFonts w:eastAsia="仿宋_GB2312"/>
          <w:b/>
          <w:bCs/>
          <w:sz w:val="28"/>
          <w:szCs w:val="28"/>
        </w:rPr>
        <w:t>2、无组织废气</w:t>
      </w:r>
    </w:p>
    <w:p w14:paraId="2585CA4D">
      <w:pPr>
        <w:adjustRightInd w:val="0"/>
        <w:spacing w:line="500" w:lineRule="exact"/>
        <w:ind w:firstLine="560" w:firstLineChars="200"/>
        <w:rPr>
          <w:rFonts w:eastAsia="仿宋_GB2312"/>
          <w:sz w:val="28"/>
          <w:szCs w:val="28"/>
        </w:rPr>
      </w:pPr>
      <w:r>
        <w:rPr>
          <w:rFonts w:eastAsia="仿宋_GB2312"/>
          <w:sz w:val="28"/>
          <w:szCs w:val="28"/>
        </w:rPr>
        <w:t>（1）企业厂界无组织废气监测情况</w:t>
      </w:r>
    </w:p>
    <w:p w14:paraId="18AEBFE5">
      <w:pPr>
        <w:adjustRightInd w:val="0"/>
        <w:spacing w:line="500" w:lineRule="exact"/>
        <w:ind w:firstLine="560" w:firstLineChars="200"/>
        <w:rPr>
          <w:rFonts w:eastAsia="微软雅黑"/>
          <w:kern w:val="0"/>
          <w:sz w:val="24"/>
        </w:rPr>
      </w:pPr>
      <w:r>
        <w:rPr>
          <w:rFonts w:eastAsia="仿宋_GB2312"/>
          <w:sz w:val="28"/>
          <w:szCs w:val="28"/>
        </w:rPr>
        <w:t>根据企业提供的202</w:t>
      </w:r>
      <w:r>
        <w:rPr>
          <w:rFonts w:hint="eastAsia" w:eastAsia="仿宋_GB2312"/>
          <w:sz w:val="28"/>
          <w:szCs w:val="28"/>
        </w:rPr>
        <w:t>6</w:t>
      </w:r>
      <w:r>
        <w:rPr>
          <w:rFonts w:eastAsia="仿宋_GB2312"/>
          <w:sz w:val="28"/>
          <w:szCs w:val="28"/>
        </w:rPr>
        <w:t>年5月</w:t>
      </w:r>
      <w:r>
        <w:rPr>
          <w:rFonts w:hint="eastAsia" w:eastAsia="仿宋_GB2312"/>
          <w:sz w:val="28"/>
          <w:szCs w:val="28"/>
        </w:rPr>
        <w:t>27</w:t>
      </w:r>
      <w:r>
        <w:rPr>
          <w:rFonts w:eastAsia="仿宋_GB2312"/>
          <w:sz w:val="28"/>
          <w:szCs w:val="28"/>
        </w:rPr>
        <w:t>日</w:t>
      </w:r>
      <w:r>
        <w:rPr>
          <w:rFonts w:hint="eastAsia" w:eastAsia="仿宋_GB2312"/>
          <w:sz w:val="28"/>
          <w:szCs w:val="28"/>
        </w:rPr>
        <w:t>~28日</w:t>
      </w:r>
      <w:r>
        <w:rPr>
          <w:rFonts w:eastAsia="仿宋_GB2312"/>
          <w:sz w:val="28"/>
          <w:szCs w:val="28"/>
        </w:rPr>
        <w:t>委托</w:t>
      </w:r>
      <w:r>
        <w:rPr>
          <w:rFonts w:hint="eastAsia" w:eastAsia="仿宋_GB2312"/>
          <w:sz w:val="28"/>
          <w:szCs w:val="28"/>
        </w:rPr>
        <w:t>青山绿水（江苏）检验检测有限公司</w:t>
      </w:r>
      <w:r>
        <w:rPr>
          <w:rFonts w:eastAsia="仿宋_GB2312"/>
          <w:sz w:val="28"/>
          <w:szCs w:val="28"/>
        </w:rPr>
        <w:t>出具的检测报告（</w:t>
      </w:r>
      <w:r>
        <w:rPr>
          <w:rFonts w:hint="eastAsia" w:eastAsia="仿宋_GB2312"/>
          <w:sz w:val="28"/>
          <w:szCs w:val="28"/>
        </w:rPr>
        <w:t>CQND260163002</w:t>
      </w:r>
      <w:r>
        <w:rPr>
          <w:rFonts w:eastAsia="仿宋_GB2312"/>
          <w:sz w:val="28"/>
          <w:szCs w:val="28"/>
        </w:rPr>
        <w:t>），厂界无组织废气排放情况见表3.1-</w:t>
      </w:r>
      <w:r>
        <w:rPr>
          <w:rFonts w:hint="eastAsia" w:eastAsia="仿宋_GB2312"/>
          <w:sz w:val="28"/>
          <w:szCs w:val="28"/>
        </w:rPr>
        <w:t>8</w:t>
      </w:r>
      <w:r>
        <w:rPr>
          <w:rFonts w:eastAsia="仿宋_GB2312"/>
          <w:sz w:val="28"/>
          <w:szCs w:val="28"/>
        </w:rPr>
        <w:t>。</w:t>
      </w:r>
    </w:p>
    <w:p w14:paraId="03047875">
      <w:pPr>
        <w:spacing w:line="500" w:lineRule="exact"/>
        <w:jc w:val="center"/>
        <w:rPr>
          <w:rFonts w:eastAsia="仿宋_GB2312"/>
          <w:b/>
          <w:sz w:val="24"/>
        </w:rPr>
      </w:pPr>
      <w:r>
        <w:rPr>
          <w:rFonts w:eastAsia="仿宋_GB2312"/>
          <w:b/>
          <w:sz w:val="24"/>
        </w:rPr>
        <w:t>表3.1-</w:t>
      </w:r>
      <w:r>
        <w:rPr>
          <w:rFonts w:hint="eastAsia" w:eastAsia="仿宋_GB2312"/>
          <w:b/>
          <w:sz w:val="24"/>
        </w:rPr>
        <w:t>8</w:t>
      </w:r>
      <w:r>
        <w:rPr>
          <w:rFonts w:eastAsia="仿宋_GB2312"/>
          <w:b/>
          <w:sz w:val="24"/>
        </w:rPr>
        <w:t xml:space="preserve">  厂界无组织废气达标情况</w:t>
      </w:r>
    </w:p>
    <w:tbl>
      <w:tblPr>
        <w:tblStyle w:val="88"/>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61"/>
        <w:gridCol w:w="2017"/>
        <w:gridCol w:w="1670"/>
        <w:gridCol w:w="2515"/>
        <w:gridCol w:w="1557"/>
      </w:tblGrid>
      <w:tr w14:paraId="51FF68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46" w:type="pct"/>
            <w:vMerge w:val="restart"/>
            <w:tcBorders>
              <w:tl2br w:val="nil"/>
              <w:tr2bl w:val="nil"/>
            </w:tcBorders>
            <w:vAlign w:val="center"/>
          </w:tcPr>
          <w:p w14:paraId="5D8DBFD3">
            <w:pPr>
              <w:snapToGrid w:val="0"/>
              <w:spacing w:line="256" w:lineRule="exact"/>
              <w:jc w:val="center"/>
              <w:rPr>
                <w:rFonts w:eastAsia="仿宋_GB2312"/>
                <w:b/>
                <w:szCs w:val="21"/>
              </w:rPr>
            </w:pPr>
            <w:r>
              <w:rPr>
                <w:rFonts w:eastAsia="仿宋_GB2312"/>
                <w:b/>
                <w:szCs w:val="21"/>
              </w:rPr>
              <w:t>采样</w:t>
            </w:r>
          </w:p>
          <w:p w14:paraId="2204D8A6">
            <w:pPr>
              <w:snapToGrid w:val="0"/>
              <w:spacing w:line="256" w:lineRule="exact"/>
              <w:jc w:val="center"/>
              <w:rPr>
                <w:rFonts w:eastAsia="仿宋_GB2312"/>
                <w:b/>
                <w:szCs w:val="21"/>
              </w:rPr>
            </w:pPr>
            <w:r>
              <w:rPr>
                <w:rFonts w:eastAsia="仿宋_GB2312"/>
                <w:b/>
                <w:szCs w:val="21"/>
              </w:rPr>
              <w:t>时间</w:t>
            </w:r>
          </w:p>
        </w:tc>
        <w:tc>
          <w:tcPr>
            <w:tcW w:w="1183" w:type="pct"/>
            <w:vMerge w:val="restart"/>
            <w:tcBorders>
              <w:tl2br w:val="nil"/>
              <w:tr2bl w:val="nil"/>
            </w:tcBorders>
            <w:vAlign w:val="center"/>
          </w:tcPr>
          <w:p w14:paraId="2EF81E5D">
            <w:pPr>
              <w:snapToGrid w:val="0"/>
              <w:spacing w:line="256" w:lineRule="exact"/>
              <w:jc w:val="center"/>
              <w:rPr>
                <w:rFonts w:eastAsia="仿宋_GB2312"/>
                <w:b/>
                <w:szCs w:val="21"/>
              </w:rPr>
            </w:pPr>
            <w:r>
              <w:rPr>
                <w:rFonts w:eastAsia="仿宋_GB2312"/>
                <w:b/>
                <w:szCs w:val="21"/>
              </w:rPr>
              <w:t>污染物</w:t>
            </w:r>
          </w:p>
        </w:tc>
        <w:tc>
          <w:tcPr>
            <w:tcW w:w="980" w:type="pct"/>
            <w:vMerge w:val="restart"/>
            <w:tcBorders>
              <w:tl2br w:val="nil"/>
              <w:tr2bl w:val="nil"/>
            </w:tcBorders>
            <w:vAlign w:val="center"/>
          </w:tcPr>
          <w:p w14:paraId="7FB1A940">
            <w:pPr>
              <w:snapToGrid w:val="0"/>
              <w:spacing w:line="284" w:lineRule="exact"/>
              <w:jc w:val="center"/>
              <w:rPr>
                <w:rFonts w:eastAsia="仿宋_GB2312"/>
                <w:b/>
                <w:szCs w:val="21"/>
              </w:rPr>
            </w:pPr>
            <w:r>
              <w:rPr>
                <w:rFonts w:eastAsia="仿宋_GB2312"/>
                <w:b/>
                <w:bCs/>
                <w:szCs w:val="21"/>
              </w:rPr>
              <w:t>浓度最高值（mg/m</w:t>
            </w:r>
            <w:r>
              <w:rPr>
                <w:rFonts w:eastAsia="仿宋_GB2312"/>
                <w:b/>
                <w:bCs/>
                <w:szCs w:val="21"/>
                <w:vertAlign w:val="superscript"/>
              </w:rPr>
              <w:t>3</w:t>
            </w:r>
            <w:r>
              <w:rPr>
                <w:rFonts w:eastAsia="仿宋_GB2312"/>
                <w:b/>
                <w:bCs/>
                <w:szCs w:val="21"/>
              </w:rPr>
              <w:t>）</w:t>
            </w:r>
          </w:p>
        </w:tc>
        <w:tc>
          <w:tcPr>
            <w:tcW w:w="2390" w:type="pct"/>
            <w:gridSpan w:val="2"/>
            <w:tcBorders>
              <w:tl2br w:val="nil"/>
              <w:tr2bl w:val="nil"/>
            </w:tcBorders>
            <w:vAlign w:val="center"/>
          </w:tcPr>
          <w:p w14:paraId="5DB709CA">
            <w:pPr>
              <w:snapToGrid w:val="0"/>
              <w:spacing w:line="256" w:lineRule="exact"/>
              <w:jc w:val="center"/>
              <w:rPr>
                <w:rFonts w:eastAsia="仿宋_GB2312"/>
                <w:b/>
                <w:szCs w:val="21"/>
              </w:rPr>
            </w:pPr>
            <w:r>
              <w:rPr>
                <w:rFonts w:hint="eastAsia" w:eastAsia="仿宋_GB2312"/>
                <w:b/>
                <w:szCs w:val="21"/>
              </w:rPr>
              <w:t>执行</w:t>
            </w:r>
            <w:r>
              <w:rPr>
                <w:rFonts w:eastAsia="仿宋_GB2312"/>
                <w:b/>
                <w:szCs w:val="21"/>
              </w:rPr>
              <w:t>标准</w:t>
            </w:r>
          </w:p>
        </w:tc>
      </w:tr>
      <w:tr w14:paraId="7BD5AB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46" w:type="pct"/>
            <w:vMerge w:val="continue"/>
            <w:tcBorders>
              <w:tl2br w:val="nil"/>
              <w:tr2bl w:val="nil"/>
            </w:tcBorders>
            <w:vAlign w:val="center"/>
          </w:tcPr>
          <w:p w14:paraId="4E66E85C">
            <w:pPr>
              <w:snapToGrid w:val="0"/>
              <w:spacing w:line="256" w:lineRule="exact"/>
              <w:jc w:val="center"/>
              <w:rPr>
                <w:rFonts w:eastAsia="仿宋_GB2312"/>
                <w:b/>
                <w:szCs w:val="21"/>
              </w:rPr>
            </w:pPr>
          </w:p>
        </w:tc>
        <w:tc>
          <w:tcPr>
            <w:tcW w:w="1183" w:type="pct"/>
            <w:vMerge w:val="continue"/>
            <w:tcBorders>
              <w:tl2br w:val="nil"/>
              <w:tr2bl w:val="nil"/>
            </w:tcBorders>
            <w:vAlign w:val="center"/>
          </w:tcPr>
          <w:p w14:paraId="5CECF7D9">
            <w:pPr>
              <w:snapToGrid w:val="0"/>
              <w:spacing w:line="256" w:lineRule="exact"/>
              <w:jc w:val="center"/>
              <w:rPr>
                <w:rFonts w:eastAsia="仿宋_GB2312"/>
                <w:b/>
                <w:szCs w:val="21"/>
              </w:rPr>
            </w:pPr>
          </w:p>
        </w:tc>
        <w:tc>
          <w:tcPr>
            <w:tcW w:w="980" w:type="pct"/>
            <w:vMerge w:val="continue"/>
            <w:tcBorders>
              <w:tl2br w:val="nil"/>
              <w:tr2bl w:val="nil"/>
            </w:tcBorders>
            <w:vAlign w:val="center"/>
          </w:tcPr>
          <w:p w14:paraId="09ED254A">
            <w:pPr>
              <w:snapToGrid w:val="0"/>
              <w:spacing w:line="256" w:lineRule="exact"/>
              <w:jc w:val="center"/>
              <w:rPr>
                <w:rFonts w:eastAsia="仿宋_GB2312"/>
                <w:b/>
                <w:szCs w:val="21"/>
              </w:rPr>
            </w:pPr>
          </w:p>
        </w:tc>
        <w:tc>
          <w:tcPr>
            <w:tcW w:w="1476" w:type="pct"/>
            <w:tcBorders>
              <w:tl2br w:val="nil"/>
              <w:tr2bl w:val="nil"/>
            </w:tcBorders>
            <w:vAlign w:val="center"/>
          </w:tcPr>
          <w:p w14:paraId="69BC391C">
            <w:pPr>
              <w:snapToGrid w:val="0"/>
              <w:spacing w:line="256" w:lineRule="exact"/>
              <w:jc w:val="center"/>
              <w:rPr>
                <w:rFonts w:eastAsia="仿宋_GB2312"/>
                <w:b/>
                <w:szCs w:val="21"/>
              </w:rPr>
            </w:pPr>
            <w:r>
              <w:rPr>
                <w:rFonts w:eastAsia="仿宋_GB2312"/>
                <w:b/>
                <w:szCs w:val="21"/>
              </w:rPr>
              <w:t>标准名称</w:t>
            </w:r>
          </w:p>
        </w:tc>
        <w:tc>
          <w:tcPr>
            <w:tcW w:w="913" w:type="pct"/>
            <w:tcBorders>
              <w:tl2br w:val="nil"/>
              <w:tr2bl w:val="nil"/>
            </w:tcBorders>
            <w:vAlign w:val="center"/>
          </w:tcPr>
          <w:p w14:paraId="74E7CDF8">
            <w:pPr>
              <w:snapToGrid w:val="0"/>
              <w:spacing w:line="284" w:lineRule="exact"/>
              <w:jc w:val="center"/>
              <w:rPr>
                <w:rFonts w:eastAsia="仿宋_GB2312"/>
                <w:b/>
                <w:spacing w:val="-6"/>
                <w:szCs w:val="21"/>
              </w:rPr>
            </w:pPr>
            <w:r>
              <w:rPr>
                <w:rFonts w:eastAsia="仿宋_GB2312"/>
                <w:b/>
                <w:bCs/>
                <w:szCs w:val="21"/>
              </w:rPr>
              <w:t>厂界浓度限值（mg/m</w:t>
            </w:r>
            <w:r>
              <w:rPr>
                <w:rFonts w:eastAsia="仿宋_GB2312"/>
                <w:b/>
                <w:bCs/>
                <w:szCs w:val="21"/>
                <w:vertAlign w:val="superscript"/>
              </w:rPr>
              <w:t>3</w:t>
            </w:r>
            <w:r>
              <w:rPr>
                <w:rFonts w:eastAsia="仿宋_GB2312"/>
                <w:b/>
                <w:bCs/>
                <w:szCs w:val="21"/>
              </w:rPr>
              <w:t>）</w:t>
            </w:r>
          </w:p>
        </w:tc>
      </w:tr>
      <w:tr w14:paraId="7AA1E5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46" w:type="pct"/>
            <w:vMerge w:val="restart"/>
            <w:tcBorders>
              <w:tl2br w:val="nil"/>
              <w:tr2bl w:val="nil"/>
            </w:tcBorders>
            <w:vAlign w:val="center"/>
          </w:tcPr>
          <w:p w14:paraId="4F1CDE63">
            <w:pPr>
              <w:snapToGrid w:val="0"/>
              <w:spacing w:line="256" w:lineRule="exact"/>
              <w:jc w:val="center"/>
              <w:rPr>
                <w:rFonts w:eastAsia="仿宋_GB2312"/>
                <w:szCs w:val="21"/>
              </w:rPr>
            </w:pPr>
            <w:r>
              <w:rPr>
                <w:rFonts w:hint="eastAsia" w:eastAsia="仿宋_GB2312"/>
                <w:szCs w:val="21"/>
              </w:rPr>
              <w:t>2026.5.27</w:t>
            </w:r>
          </w:p>
        </w:tc>
        <w:tc>
          <w:tcPr>
            <w:tcW w:w="1183" w:type="pct"/>
            <w:tcBorders>
              <w:tl2br w:val="nil"/>
              <w:tr2bl w:val="nil"/>
            </w:tcBorders>
            <w:vAlign w:val="center"/>
          </w:tcPr>
          <w:p w14:paraId="218C6BAF">
            <w:pPr>
              <w:snapToGrid w:val="0"/>
              <w:spacing w:line="256" w:lineRule="exact"/>
              <w:jc w:val="center"/>
              <w:rPr>
                <w:rFonts w:eastAsia="仿宋_GB2312"/>
                <w:szCs w:val="21"/>
              </w:rPr>
            </w:pPr>
            <w:r>
              <w:rPr>
                <w:rFonts w:eastAsia="仿宋_GB2312"/>
                <w:szCs w:val="21"/>
              </w:rPr>
              <w:t>氨</w:t>
            </w:r>
          </w:p>
        </w:tc>
        <w:tc>
          <w:tcPr>
            <w:tcW w:w="980" w:type="pct"/>
            <w:tcBorders>
              <w:tl2br w:val="nil"/>
              <w:tr2bl w:val="nil"/>
            </w:tcBorders>
            <w:vAlign w:val="center"/>
          </w:tcPr>
          <w:p w14:paraId="230BEBBF">
            <w:pPr>
              <w:snapToGrid w:val="0"/>
              <w:spacing w:line="256" w:lineRule="exact"/>
              <w:jc w:val="center"/>
              <w:rPr>
                <w:rFonts w:eastAsia="仿宋_GB2312"/>
                <w:szCs w:val="21"/>
              </w:rPr>
            </w:pPr>
            <w:r>
              <w:rPr>
                <w:rFonts w:hint="eastAsia" w:eastAsia="仿宋_GB2312"/>
                <w:szCs w:val="21"/>
              </w:rPr>
              <w:t>0.198</w:t>
            </w:r>
          </w:p>
        </w:tc>
        <w:tc>
          <w:tcPr>
            <w:tcW w:w="1476" w:type="pct"/>
            <w:vMerge w:val="restart"/>
            <w:tcBorders>
              <w:tl2br w:val="nil"/>
              <w:tr2bl w:val="nil"/>
            </w:tcBorders>
            <w:vAlign w:val="center"/>
          </w:tcPr>
          <w:p w14:paraId="1B5FC9B1">
            <w:pPr>
              <w:snapToGrid w:val="0"/>
              <w:spacing w:line="256" w:lineRule="exact"/>
              <w:jc w:val="center"/>
              <w:rPr>
                <w:rFonts w:eastAsia="仿宋_GB2312"/>
                <w:szCs w:val="21"/>
              </w:rPr>
            </w:pPr>
            <w:r>
              <w:rPr>
                <w:rFonts w:eastAsia="仿宋_GB2312"/>
                <w:szCs w:val="21"/>
              </w:rPr>
              <w:t>《恶臭污染物排放标准》（GB14554-93）</w:t>
            </w:r>
          </w:p>
        </w:tc>
        <w:tc>
          <w:tcPr>
            <w:tcW w:w="913" w:type="pct"/>
            <w:tcBorders>
              <w:tl2br w:val="nil"/>
              <w:tr2bl w:val="nil"/>
            </w:tcBorders>
            <w:vAlign w:val="center"/>
          </w:tcPr>
          <w:p w14:paraId="44C953D5">
            <w:pPr>
              <w:snapToGrid w:val="0"/>
              <w:spacing w:line="256" w:lineRule="exact"/>
              <w:jc w:val="center"/>
              <w:rPr>
                <w:rFonts w:eastAsia="仿宋_GB2312"/>
                <w:szCs w:val="21"/>
              </w:rPr>
            </w:pPr>
            <w:r>
              <w:rPr>
                <w:rFonts w:eastAsia="仿宋_GB2312"/>
                <w:szCs w:val="21"/>
              </w:rPr>
              <w:t>1.5</w:t>
            </w:r>
          </w:p>
        </w:tc>
      </w:tr>
      <w:tr w14:paraId="4CCB1A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46" w:type="pct"/>
            <w:vMerge w:val="continue"/>
            <w:tcBorders>
              <w:tl2br w:val="nil"/>
              <w:tr2bl w:val="nil"/>
            </w:tcBorders>
            <w:vAlign w:val="center"/>
          </w:tcPr>
          <w:p w14:paraId="2FF2FD66">
            <w:pPr>
              <w:snapToGrid w:val="0"/>
              <w:spacing w:line="256" w:lineRule="exact"/>
              <w:jc w:val="center"/>
              <w:rPr>
                <w:rFonts w:eastAsia="仿宋_GB2312"/>
                <w:color w:val="FF0000"/>
                <w:szCs w:val="21"/>
              </w:rPr>
            </w:pPr>
          </w:p>
        </w:tc>
        <w:tc>
          <w:tcPr>
            <w:tcW w:w="1183" w:type="pct"/>
            <w:tcBorders>
              <w:tl2br w:val="nil"/>
              <w:tr2bl w:val="nil"/>
            </w:tcBorders>
            <w:vAlign w:val="center"/>
          </w:tcPr>
          <w:p w14:paraId="17EFF69E">
            <w:pPr>
              <w:snapToGrid w:val="0"/>
              <w:spacing w:line="256" w:lineRule="exact"/>
              <w:jc w:val="center"/>
              <w:rPr>
                <w:rFonts w:eastAsia="仿宋_GB2312"/>
                <w:szCs w:val="21"/>
              </w:rPr>
            </w:pPr>
            <w:r>
              <w:rPr>
                <w:rFonts w:eastAsia="仿宋_GB2312"/>
                <w:szCs w:val="21"/>
              </w:rPr>
              <w:t>硫化氢</w:t>
            </w:r>
          </w:p>
        </w:tc>
        <w:tc>
          <w:tcPr>
            <w:tcW w:w="980" w:type="pct"/>
            <w:tcBorders>
              <w:tl2br w:val="nil"/>
              <w:tr2bl w:val="nil"/>
            </w:tcBorders>
            <w:vAlign w:val="center"/>
          </w:tcPr>
          <w:p w14:paraId="6BD4C697">
            <w:pPr>
              <w:snapToGrid w:val="0"/>
              <w:spacing w:line="256" w:lineRule="exact"/>
              <w:jc w:val="center"/>
              <w:rPr>
                <w:rFonts w:eastAsia="仿宋_GB2312"/>
                <w:szCs w:val="21"/>
              </w:rPr>
            </w:pPr>
            <w:r>
              <w:rPr>
                <w:rFonts w:hint="eastAsia" w:eastAsia="仿宋_GB2312"/>
                <w:szCs w:val="21"/>
              </w:rPr>
              <w:t>ND</w:t>
            </w:r>
          </w:p>
        </w:tc>
        <w:tc>
          <w:tcPr>
            <w:tcW w:w="1476" w:type="pct"/>
            <w:vMerge w:val="continue"/>
            <w:tcBorders>
              <w:tl2br w:val="nil"/>
              <w:tr2bl w:val="nil"/>
            </w:tcBorders>
            <w:vAlign w:val="center"/>
          </w:tcPr>
          <w:p w14:paraId="5CD37BBA">
            <w:pPr>
              <w:snapToGrid w:val="0"/>
              <w:spacing w:line="256" w:lineRule="exact"/>
              <w:jc w:val="center"/>
              <w:rPr>
                <w:rFonts w:eastAsia="仿宋_GB2312"/>
                <w:szCs w:val="21"/>
              </w:rPr>
            </w:pPr>
          </w:p>
        </w:tc>
        <w:tc>
          <w:tcPr>
            <w:tcW w:w="913" w:type="pct"/>
            <w:tcBorders>
              <w:tl2br w:val="nil"/>
              <w:tr2bl w:val="nil"/>
            </w:tcBorders>
            <w:vAlign w:val="center"/>
          </w:tcPr>
          <w:p w14:paraId="383E6590">
            <w:pPr>
              <w:snapToGrid w:val="0"/>
              <w:spacing w:line="256" w:lineRule="exact"/>
              <w:jc w:val="center"/>
              <w:rPr>
                <w:rFonts w:eastAsia="仿宋_GB2312"/>
                <w:szCs w:val="21"/>
              </w:rPr>
            </w:pPr>
            <w:r>
              <w:rPr>
                <w:rFonts w:eastAsia="仿宋_GB2312"/>
                <w:szCs w:val="21"/>
              </w:rPr>
              <w:t>0.06</w:t>
            </w:r>
          </w:p>
        </w:tc>
      </w:tr>
      <w:tr w14:paraId="1A7379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46" w:type="pct"/>
            <w:vMerge w:val="continue"/>
            <w:tcBorders>
              <w:tl2br w:val="nil"/>
              <w:tr2bl w:val="nil"/>
            </w:tcBorders>
            <w:vAlign w:val="center"/>
          </w:tcPr>
          <w:p w14:paraId="26CD5479">
            <w:pPr>
              <w:snapToGrid w:val="0"/>
              <w:spacing w:line="256" w:lineRule="exact"/>
              <w:jc w:val="center"/>
              <w:rPr>
                <w:rFonts w:eastAsia="仿宋_GB2312"/>
                <w:color w:val="FF0000"/>
                <w:szCs w:val="21"/>
              </w:rPr>
            </w:pPr>
          </w:p>
        </w:tc>
        <w:tc>
          <w:tcPr>
            <w:tcW w:w="1183" w:type="pct"/>
            <w:tcBorders>
              <w:tl2br w:val="nil"/>
              <w:tr2bl w:val="nil"/>
            </w:tcBorders>
            <w:vAlign w:val="center"/>
          </w:tcPr>
          <w:p w14:paraId="2E2E65F2">
            <w:pPr>
              <w:snapToGrid w:val="0"/>
              <w:spacing w:line="256" w:lineRule="exact"/>
              <w:jc w:val="center"/>
              <w:rPr>
                <w:rFonts w:eastAsia="仿宋_GB2312"/>
                <w:szCs w:val="21"/>
              </w:rPr>
            </w:pPr>
            <w:r>
              <w:rPr>
                <w:rFonts w:eastAsia="仿宋_GB2312"/>
                <w:szCs w:val="21"/>
              </w:rPr>
              <w:t>臭气浓度（无量纲）</w:t>
            </w:r>
          </w:p>
        </w:tc>
        <w:tc>
          <w:tcPr>
            <w:tcW w:w="980" w:type="pct"/>
            <w:tcBorders>
              <w:tl2br w:val="nil"/>
              <w:tr2bl w:val="nil"/>
            </w:tcBorders>
            <w:vAlign w:val="center"/>
          </w:tcPr>
          <w:p w14:paraId="4509D366">
            <w:pPr>
              <w:snapToGrid w:val="0"/>
              <w:spacing w:line="256" w:lineRule="exact"/>
              <w:jc w:val="center"/>
              <w:rPr>
                <w:rFonts w:eastAsia="仿宋_GB2312"/>
                <w:szCs w:val="21"/>
              </w:rPr>
            </w:pPr>
            <w:r>
              <w:rPr>
                <w:rFonts w:hint="eastAsia" w:eastAsia="仿宋_GB2312"/>
                <w:szCs w:val="21"/>
              </w:rPr>
              <w:t>＜10</w:t>
            </w:r>
          </w:p>
        </w:tc>
        <w:tc>
          <w:tcPr>
            <w:tcW w:w="1476" w:type="pct"/>
            <w:vMerge w:val="continue"/>
            <w:tcBorders>
              <w:tl2br w:val="nil"/>
              <w:tr2bl w:val="nil"/>
            </w:tcBorders>
            <w:vAlign w:val="center"/>
          </w:tcPr>
          <w:p w14:paraId="24FFCBC5">
            <w:pPr>
              <w:snapToGrid w:val="0"/>
              <w:spacing w:line="256" w:lineRule="exact"/>
              <w:jc w:val="center"/>
              <w:rPr>
                <w:rFonts w:eastAsia="仿宋_GB2312"/>
                <w:szCs w:val="21"/>
              </w:rPr>
            </w:pPr>
          </w:p>
        </w:tc>
        <w:tc>
          <w:tcPr>
            <w:tcW w:w="913" w:type="pct"/>
            <w:tcBorders>
              <w:tl2br w:val="nil"/>
              <w:tr2bl w:val="nil"/>
            </w:tcBorders>
            <w:vAlign w:val="center"/>
          </w:tcPr>
          <w:p w14:paraId="043904A2">
            <w:pPr>
              <w:snapToGrid w:val="0"/>
              <w:spacing w:line="256" w:lineRule="exact"/>
              <w:jc w:val="center"/>
              <w:rPr>
                <w:rFonts w:eastAsia="仿宋_GB2312"/>
                <w:szCs w:val="21"/>
              </w:rPr>
            </w:pPr>
            <w:r>
              <w:rPr>
                <w:rFonts w:eastAsia="仿宋_GB2312"/>
                <w:szCs w:val="21"/>
              </w:rPr>
              <w:t>20</w:t>
            </w:r>
          </w:p>
        </w:tc>
      </w:tr>
      <w:tr w14:paraId="51F1666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46" w:type="pct"/>
            <w:vMerge w:val="continue"/>
            <w:tcBorders>
              <w:tl2br w:val="nil"/>
              <w:tr2bl w:val="nil"/>
            </w:tcBorders>
            <w:vAlign w:val="center"/>
          </w:tcPr>
          <w:p w14:paraId="5B19EA24">
            <w:pPr>
              <w:snapToGrid w:val="0"/>
              <w:spacing w:line="256" w:lineRule="exact"/>
              <w:jc w:val="center"/>
              <w:rPr>
                <w:rFonts w:eastAsia="仿宋_GB2312"/>
                <w:color w:val="FF0000"/>
                <w:szCs w:val="21"/>
              </w:rPr>
            </w:pPr>
          </w:p>
        </w:tc>
        <w:tc>
          <w:tcPr>
            <w:tcW w:w="1183" w:type="pct"/>
            <w:tcBorders>
              <w:tl2br w:val="nil"/>
              <w:tr2bl w:val="nil"/>
            </w:tcBorders>
            <w:vAlign w:val="center"/>
          </w:tcPr>
          <w:p w14:paraId="0C384DE2">
            <w:pPr>
              <w:snapToGrid w:val="0"/>
              <w:spacing w:line="256" w:lineRule="exact"/>
              <w:jc w:val="center"/>
              <w:rPr>
                <w:rFonts w:eastAsia="仿宋_GB2312"/>
                <w:szCs w:val="21"/>
              </w:rPr>
            </w:pPr>
            <w:r>
              <w:rPr>
                <w:rFonts w:eastAsia="仿宋_GB2312"/>
                <w:szCs w:val="21"/>
              </w:rPr>
              <w:t>颗粒物</w:t>
            </w:r>
          </w:p>
        </w:tc>
        <w:tc>
          <w:tcPr>
            <w:tcW w:w="980" w:type="pct"/>
            <w:tcBorders>
              <w:tl2br w:val="nil"/>
              <w:tr2bl w:val="nil"/>
            </w:tcBorders>
            <w:vAlign w:val="center"/>
          </w:tcPr>
          <w:p w14:paraId="671092AB">
            <w:pPr>
              <w:snapToGrid w:val="0"/>
              <w:spacing w:line="256" w:lineRule="exact"/>
              <w:jc w:val="center"/>
              <w:rPr>
                <w:rFonts w:eastAsia="仿宋_GB2312"/>
                <w:szCs w:val="21"/>
              </w:rPr>
            </w:pPr>
            <w:r>
              <w:rPr>
                <w:rFonts w:hint="eastAsia" w:eastAsia="仿宋_GB2312"/>
                <w:szCs w:val="21"/>
              </w:rPr>
              <w:t>0.344</w:t>
            </w:r>
          </w:p>
        </w:tc>
        <w:tc>
          <w:tcPr>
            <w:tcW w:w="1476" w:type="pct"/>
            <w:vMerge w:val="restart"/>
            <w:tcBorders>
              <w:tl2br w:val="nil"/>
              <w:tr2bl w:val="nil"/>
            </w:tcBorders>
            <w:vAlign w:val="center"/>
          </w:tcPr>
          <w:p w14:paraId="01D79379">
            <w:pPr>
              <w:snapToGrid w:val="0"/>
              <w:spacing w:line="256" w:lineRule="exact"/>
              <w:jc w:val="center"/>
              <w:rPr>
                <w:rFonts w:eastAsia="仿宋_GB2312"/>
                <w:szCs w:val="21"/>
              </w:rPr>
            </w:pPr>
            <w:r>
              <w:rPr>
                <w:rFonts w:eastAsia="仿宋_GB2312"/>
                <w:szCs w:val="21"/>
              </w:rPr>
              <w:t>《大气污染物综合排放标准》（DB32/4041-2021）</w:t>
            </w:r>
          </w:p>
        </w:tc>
        <w:tc>
          <w:tcPr>
            <w:tcW w:w="913" w:type="pct"/>
            <w:tcBorders>
              <w:tl2br w:val="nil"/>
              <w:tr2bl w:val="nil"/>
            </w:tcBorders>
            <w:vAlign w:val="center"/>
          </w:tcPr>
          <w:p w14:paraId="46414B45">
            <w:pPr>
              <w:snapToGrid w:val="0"/>
              <w:spacing w:line="256" w:lineRule="exact"/>
              <w:jc w:val="center"/>
              <w:rPr>
                <w:rFonts w:eastAsia="仿宋_GB2312"/>
                <w:szCs w:val="21"/>
              </w:rPr>
            </w:pPr>
            <w:r>
              <w:rPr>
                <w:rFonts w:eastAsia="仿宋_GB2312"/>
                <w:szCs w:val="21"/>
              </w:rPr>
              <w:t>0.5</w:t>
            </w:r>
          </w:p>
        </w:tc>
      </w:tr>
      <w:tr w14:paraId="1E325E9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46" w:type="pct"/>
            <w:vMerge w:val="continue"/>
            <w:tcBorders>
              <w:tl2br w:val="nil"/>
              <w:tr2bl w:val="nil"/>
            </w:tcBorders>
            <w:vAlign w:val="center"/>
          </w:tcPr>
          <w:p w14:paraId="34F1F062">
            <w:pPr>
              <w:snapToGrid w:val="0"/>
              <w:spacing w:line="256" w:lineRule="exact"/>
              <w:jc w:val="center"/>
              <w:rPr>
                <w:rFonts w:eastAsia="仿宋_GB2312"/>
                <w:color w:val="FF0000"/>
                <w:szCs w:val="21"/>
              </w:rPr>
            </w:pPr>
          </w:p>
        </w:tc>
        <w:tc>
          <w:tcPr>
            <w:tcW w:w="1183" w:type="pct"/>
            <w:tcBorders>
              <w:tl2br w:val="nil"/>
              <w:tr2bl w:val="nil"/>
            </w:tcBorders>
            <w:vAlign w:val="center"/>
          </w:tcPr>
          <w:p w14:paraId="409FA237">
            <w:pPr>
              <w:snapToGrid w:val="0"/>
              <w:spacing w:line="256" w:lineRule="exact"/>
              <w:jc w:val="center"/>
              <w:rPr>
                <w:rFonts w:eastAsia="仿宋_GB2312"/>
                <w:szCs w:val="21"/>
              </w:rPr>
            </w:pPr>
            <w:r>
              <w:rPr>
                <w:rFonts w:eastAsia="仿宋_GB2312"/>
                <w:szCs w:val="21"/>
              </w:rPr>
              <w:t>氯化氢</w:t>
            </w:r>
          </w:p>
        </w:tc>
        <w:tc>
          <w:tcPr>
            <w:tcW w:w="980" w:type="pct"/>
            <w:tcBorders>
              <w:tl2br w:val="nil"/>
              <w:tr2bl w:val="nil"/>
            </w:tcBorders>
            <w:vAlign w:val="center"/>
          </w:tcPr>
          <w:p w14:paraId="471EDDD0">
            <w:pPr>
              <w:snapToGrid w:val="0"/>
              <w:spacing w:line="256" w:lineRule="exact"/>
              <w:jc w:val="center"/>
              <w:rPr>
                <w:rFonts w:eastAsia="仿宋_GB2312"/>
                <w:szCs w:val="21"/>
              </w:rPr>
            </w:pPr>
            <w:r>
              <w:rPr>
                <w:rFonts w:hint="eastAsia" w:eastAsia="仿宋_GB2312"/>
                <w:szCs w:val="21"/>
              </w:rPr>
              <w:t>ND</w:t>
            </w:r>
          </w:p>
        </w:tc>
        <w:tc>
          <w:tcPr>
            <w:tcW w:w="1476" w:type="pct"/>
            <w:vMerge w:val="continue"/>
            <w:tcBorders>
              <w:tl2br w:val="nil"/>
              <w:tr2bl w:val="nil"/>
            </w:tcBorders>
            <w:vAlign w:val="center"/>
          </w:tcPr>
          <w:p w14:paraId="0630597F">
            <w:pPr>
              <w:snapToGrid w:val="0"/>
              <w:spacing w:line="256" w:lineRule="exact"/>
              <w:jc w:val="center"/>
              <w:rPr>
                <w:rFonts w:eastAsia="仿宋_GB2312"/>
                <w:color w:val="FF0000"/>
                <w:szCs w:val="21"/>
              </w:rPr>
            </w:pPr>
          </w:p>
        </w:tc>
        <w:tc>
          <w:tcPr>
            <w:tcW w:w="913" w:type="pct"/>
            <w:tcBorders>
              <w:tl2br w:val="nil"/>
              <w:tr2bl w:val="nil"/>
            </w:tcBorders>
            <w:vAlign w:val="center"/>
          </w:tcPr>
          <w:p w14:paraId="07E603F4">
            <w:pPr>
              <w:snapToGrid w:val="0"/>
              <w:spacing w:line="256" w:lineRule="exact"/>
              <w:jc w:val="center"/>
              <w:rPr>
                <w:rFonts w:eastAsia="仿宋_GB2312"/>
                <w:szCs w:val="21"/>
              </w:rPr>
            </w:pPr>
            <w:r>
              <w:rPr>
                <w:rFonts w:eastAsia="仿宋_GB2312"/>
                <w:szCs w:val="21"/>
              </w:rPr>
              <w:t>0.05</w:t>
            </w:r>
          </w:p>
        </w:tc>
      </w:tr>
      <w:tr w14:paraId="6516D5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46" w:type="pct"/>
            <w:vMerge w:val="continue"/>
            <w:tcBorders>
              <w:tl2br w:val="nil"/>
              <w:tr2bl w:val="nil"/>
            </w:tcBorders>
            <w:vAlign w:val="center"/>
          </w:tcPr>
          <w:p w14:paraId="0D6299A0">
            <w:pPr>
              <w:snapToGrid w:val="0"/>
              <w:spacing w:line="256" w:lineRule="exact"/>
              <w:jc w:val="center"/>
              <w:rPr>
                <w:rFonts w:eastAsia="仿宋_GB2312"/>
                <w:color w:val="FF0000"/>
                <w:szCs w:val="21"/>
              </w:rPr>
            </w:pPr>
          </w:p>
        </w:tc>
        <w:tc>
          <w:tcPr>
            <w:tcW w:w="1183" w:type="pct"/>
            <w:tcBorders>
              <w:tl2br w:val="nil"/>
              <w:tr2bl w:val="nil"/>
            </w:tcBorders>
            <w:vAlign w:val="center"/>
          </w:tcPr>
          <w:p w14:paraId="1AAC4467">
            <w:pPr>
              <w:snapToGrid w:val="0"/>
              <w:spacing w:line="256" w:lineRule="exact"/>
              <w:jc w:val="center"/>
              <w:rPr>
                <w:rFonts w:eastAsia="仿宋_GB2312"/>
                <w:szCs w:val="21"/>
              </w:rPr>
            </w:pPr>
            <w:r>
              <w:rPr>
                <w:rFonts w:eastAsia="仿宋_GB2312"/>
                <w:szCs w:val="21"/>
              </w:rPr>
              <w:t>硫酸雾</w:t>
            </w:r>
          </w:p>
        </w:tc>
        <w:tc>
          <w:tcPr>
            <w:tcW w:w="980" w:type="pct"/>
            <w:tcBorders>
              <w:tl2br w:val="nil"/>
              <w:tr2bl w:val="nil"/>
            </w:tcBorders>
            <w:vAlign w:val="center"/>
          </w:tcPr>
          <w:p w14:paraId="5DC8DC83">
            <w:pPr>
              <w:snapToGrid w:val="0"/>
              <w:spacing w:line="256" w:lineRule="exact"/>
              <w:jc w:val="center"/>
              <w:rPr>
                <w:rFonts w:eastAsia="仿宋_GB2312"/>
                <w:szCs w:val="21"/>
              </w:rPr>
            </w:pPr>
            <w:r>
              <w:rPr>
                <w:rFonts w:hint="eastAsia" w:eastAsia="仿宋_GB2312"/>
                <w:szCs w:val="21"/>
              </w:rPr>
              <w:t>0.012</w:t>
            </w:r>
          </w:p>
        </w:tc>
        <w:tc>
          <w:tcPr>
            <w:tcW w:w="1476" w:type="pct"/>
            <w:vMerge w:val="continue"/>
            <w:tcBorders>
              <w:tl2br w:val="nil"/>
              <w:tr2bl w:val="nil"/>
            </w:tcBorders>
            <w:vAlign w:val="center"/>
          </w:tcPr>
          <w:p w14:paraId="7DC07729">
            <w:pPr>
              <w:snapToGrid w:val="0"/>
              <w:spacing w:line="256" w:lineRule="exact"/>
              <w:jc w:val="center"/>
              <w:rPr>
                <w:rFonts w:eastAsia="仿宋_GB2312"/>
                <w:color w:val="FF0000"/>
                <w:szCs w:val="21"/>
              </w:rPr>
            </w:pPr>
          </w:p>
        </w:tc>
        <w:tc>
          <w:tcPr>
            <w:tcW w:w="913" w:type="pct"/>
            <w:tcBorders>
              <w:tl2br w:val="nil"/>
              <w:tr2bl w:val="nil"/>
            </w:tcBorders>
            <w:vAlign w:val="center"/>
          </w:tcPr>
          <w:p w14:paraId="5BA85D79">
            <w:pPr>
              <w:snapToGrid w:val="0"/>
              <w:spacing w:line="256" w:lineRule="exact"/>
              <w:jc w:val="center"/>
              <w:rPr>
                <w:rFonts w:eastAsia="仿宋_GB2312"/>
                <w:szCs w:val="21"/>
              </w:rPr>
            </w:pPr>
            <w:r>
              <w:rPr>
                <w:rFonts w:eastAsia="仿宋_GB2312"/>
                <w:szCs w:val="21"/>
              </w:rPr>
              <w:t>0.3</w:t>
            </w:r>
          </w:p>
        </w:tc>
      </w:tr>
      <w:tr w14:paraId="1EC322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46" w:type="pct"/>
            <w:vMerge w:val="continue"/>
            <w:tcBorders>
              <w:tl2br w:val="nil"/>
              <w:tr2bl w:val="nil"/>
            </w:tcBorders>
            <w:vAlign w:val="center"/>
          </w:tcPr>
          <w:p w14:paraId="3800FB55">
            <w:pPr>
              <w:snapToGrid w:val="0"/>
              <w:spacing w:line="256" w:lineRule="exact"/>
              <w:jc w:val="center"/>
              <w:rPr>
                <w:rFonts w:eastAsia="仿宋_GB2312"/>
                <w:color w:val="FF0000"/>
                <w:szCs w:val="21"/>
              </w:rPr>
            </w:pPr>
          </w:p>
        </w:tc>
        <w:tc>
          <w:tcPr>
            <w:tcW w:w="1183" w:type="pct"/>
            <w:tcBorders>
              <w:tl2br w:val="nil"/>
              <w:tr2bl w:val="nil"/>
            </w:tcBorders>
            <w:vAlign w:val="center"/>
          </w:tcPr>
          <w:p w14:paraId="18B6ACFF">
            <w:pPr>
              <w:snapToGrid w:val="0"/>
              <w:spacing w:line="256" w:lineRule="exact"/>
              <w:jc w:val="center"/>
              <w:rPr>
                <w:rFonts w:eastAsia="仿宋_GB2312"/>
                <w:szCs w:val="21"/>
              </w:rPr>
            </w:pPr>
            <w:r>
              <w:rPr>
                <w:rFonts w:eastAsia="仿宋_GB2312"/>
                <w:szCs w:val="21"/>
              </w:rPr>
              <w:t>二氯甲烷</w:t>
            </w:r>
          </w:p>
        </w:tc>
        <w:tc>
          <w:tcPr>
            <w:tcW w:w="980" w:type="pct"/>
            <w:tcBorders>
              <w:tl2br w:val="nil"/>
              <w:tr2bl w:val="nil"/>
            </w:tcBorders>
            <w:vAlign w:val="center"/>
          </w:tcPr>
          <w:p w14:paraId="33176032">
            <w:pPr>
              <w:snapToGrid w:val="0"/>
              <w:spacing w:line="256" w:lineRule="exact"/>
              <w:jc w:val="center"/>
              <w:rPr>
                <w:rFonts w:eastAsia="仿宋_GB2312"/>
                <w:szCs w:val="21"/>
              </w:rPr>
            </w:pPr>
            <w:r>
              <w:rPr>
                <w:rFonts w:hint="eastAsia" w:eastAsia="仿宋_GB2312"/>
                <w:szCs w:val="21"/>
              </w:rPr>
              <w:t>0.015</w:t>
            </w:r>
          </w:p>
        </w:tc>
        <w:tc>
          <w:tcPr>
            <w:tcW w:w="1476" w:type="pct"/>
            <w:vMerge w:val="continue"/>
            <w:tcBorders>
              <w:tl2br w:val="nil"/>
              <w:tr2bl w:val="nil"/>
            </w:tcBorders>
            <w:vAlign w:val="center"/>
          </w:tcPr>
          <w:p w14:paraId="22D2226D">
            <w:pPr>
              <w:snapToGrid w:val="0"/>
              <w:spacing w:line="256" w:lineRule="exact"/>
              <w:jc w:val="center"/>
              <w:rPr>
                <w:rFonts w:eastAsia="仿宋_GB2312"/>
                <w:color w:val="FF0000"/>
                <w:szCs w:val="21"/>
              </w:rPr>
            </w:pPr>
          </w:p>
        </w:tc>
        <w:tc>
          <w:tcPr>
            <w:tcW w:w="913" w:type="pct"/>
            <w:tcBorders>
              <w:tl2br w:val="nil"/>
              <w:tr2bl w:val="nil"/>
            </w:tcBorders>
            <w:vAlign w:val="center"/>
          </w:tcPr>
          <w:p w14:paraId="727F7547">
            <w:pPr>
              <w:snapToGrid w:val="0"/>
              <w:spacing w:line="256" w:lineRule="exact"/>
              <w:jc w:val="center"/>
              <w:rPr>
                <w:rFonts w:eastAsia="仿宋_GB2312"/>
                <w:color w:val="FF0000"/>
                <w:szCs w:val="21"/>
              </w:rPr>
            </w:pPr>
            <w:r>
              <w:rPr>
                <w:rFonts w:eastAsia="仿宋_GB2312"/>
                <w:szCs w:val="21"/>
              </w:rPr>
              <w:t>0.6</w:t>
            </w:r>
          </w:p>
        </w:tc>
      </w:tr>
      <w:tr w14:paraId="2ABD92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46" w:type="pct"/>
            <w:vMerge w:val="continue"/>
            <w:tcBorders>
              <w:tl2br w:val="nil"/>
              <w:tr2bl w:val="nil"/>
            </w:tcBorders>
            <w:vAlign w:val="center"/>
          </w:tcPr>
          <w:p w14:paraId="3F01E14C">
            <w:pPr>
              <w:snapToGrid w:val="0"/>
              <w:spacing w:line="256" w:lineRule="exact"/>
              <w:jc w:val="center"/>
              <w:rPr>
                <w:rFonts w:eastAsia="仿宋_GB2312"/>
                <w:color w:val="FF0000"/>
                <w:szCs w:val="21"/>
              </w:rPr>
            </w:pPr>
          </w:p>
        </w:tc>
        <w:tc>
          <w:tcPr>
            <w:tcW w:w="1183" w:type="pct"/>
            <w:tcBorders>
              <w:tl2br w:val="nil"/>
              <w:tr2bl w:val="nil"/>
            </w:tcBorders>
            <w:vAlign w:val="center"/>
          </w:tcPr>
          <w:p w14:paraId="462D041D">
            <w:pPr>
              <w:snapToGrid w:val="0"/>
              <w:spacing w:line="256" w:lineRule="exact"/>
              <w:jc w:val="center"/>
              <w:rPr>
                <w:rFonts w:eastAsia="仿宋_GB2312"/>
                <w:szCs w:val="21"/>
              </w:rPr>
            </w:pPr>
            <w:r>
              <w:rPr>
                <w:rFonts w:eastAsia="仿宋_GB2312"/>
                <w:szCs w:val="21"/>
              </w:rPr>
              <w:t>甲苯</w:t>
            </w:r>
          </w:p>
        </w:tc>
        <w:tc>
          <w:tcPr>
            <w:tcW w:w="980" w:type="pct"/>
            <w:tcBorders>
              <w:tl2br w:val="nil"/>
              <w:tr2bl w:val="nil"/>
            </w:tcBorders>
            <w:vAlign w:val="center"/>
          </w:tcPr>
          <w:p w14:paraId="4803AEC4">
            <w:pPr>
              <w:snapToGrid w:val="0"/>
              <w:spacing w:line="256" w:lineRule="exact"/>
              <w:jc w:val="center"/>
              <w:rPr>
                <w:rFonts w:eastAsia="仿宋_GB2312"/>
                <w:szCs w:val="21"/>
              </w:rPr>
            </w:pPr>
            <w:r>
              <w:rPr>
                <w:rFonts w:hint="eastAsia" w:eastAsia="仿宋_GB2312"/>
                <w:szCs w:val="21"/>
              </w:rPr>
              <w:t>0.027</w:t>
            </w:r>
          </w:p>
        </w:tc>
        <w:tc>
          <w:tcPr>
            <w:tcW w:w="1476" w:type="pct"/>
            <w:vMerge w:val="continue"/>
            <w:tcBorders>
              <w:tl2br w:val="nil"/>
              <w:tr2bl w:val="nil"/>
            </w:tcBorders>
            <w:vAlign w:val="center"/>
          </w:tcPr>
          <w:p w14:paraId="50547410">
            <w:pPr>
              <w:snapToGrid w:val="0"/>
              <w:spacing w:line="256" w:lineRule="exact"/>
              <w:jc w:val="center"/>
              <w:rPr>
                <w:rFonts w:eastAsia="仿宋_GB2312"/>
                <w:color w:val="FF0000"/>
                <w:szCs w:val="21"/>
              </w:rPr>
            </w:pPr>
          </w:p>
        </w:tc>
        <w:tc>
          <w:tcPr>
            <w:tcW w:w="913" w:type="pct"/>
            <w:tcBorders>
              <w:tl2br w:val="nil"/>
              <w:tr2bl w:val="nil"/>
            </w:tcBorders>
            <w:vAlign w:val="center"/>
          </w:tcPr>
          <w:p w14:paraId="52F56201">
            <w:pPr>
              <w:snapToGrid w:val="0"/>
              <w:spacing w:line="256" w:lineRule="exact"/>
              <w:jc w:val="center"/>
              <w:rPr>
                <w:rFonts w:eastAsia="仿宋_GB2312"/>
                <w:szCs w:val="21"/>
              </w:rPr>
            </w:pPr>
            <w:r>
              <w:rPr>
                <w:rFonts w:eastAsia="仿宋_GB2312"/>
                <w:szCs w:val="21"/>
              </w:rPr>
              <w:t>0.2</w:t>
            </w:r>
          </w:p>
        </w:tc>
      </w:tr>
      <w:tr w14:paraId="00F906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46" w:type="pct"/>
            <w:vMerge w:val="continue"/>
            <w:tcBorders>
              <w:tl2br w:val="nil"/>
              <w:tr2bl w:val="nil"/>
            </w:tcBorders>
            <w:vAlign w:val="center"/>
          </w:tcPr>
          <w:p w14:paraId="459DFC66">
            <w:pPr>
              <w:snapToGrid w:val="0"/>
              <w:spacing w:line="256" w:lineRule="exact"/>
              <w:jc w:val="center"/>
              <w:rPr>
                <w:rFonts w:eastAsia="仿宋_GB2312"/>
                <w:color w:val="FF0000"/>
                <w:szCs w:val="21"/>
              </w:rPr>
            </w:pPr>
          </w:p>
        </w:tc>
        <w:tc>
          <w:tcPr>
            <w:tcW w:w="1183" w:type="pct"/>
            <w:tcBorders>
              <w:tl2br w:val="nil"/>
              <w:tr2bl w:val="nil"/>
            </w:tcBorders>
            <w:vAlign w:val="center"/>
          </w:tcPr>
          <w:p w14:paraId="58E8C166">
            <w:pPr>
              <w:snapToGrid w:val="0"/>
              <w:spacing w:line="256" w:lineRule="exact"/>
              <w:jc w:val="center"/>
              <w:rPr>
                <w:rFonts w:eastAsia="仿宋_GB2312"/>
                <w:szCs w:val="21"/>
              </w:rPr>
            </w:pPr>
            <w:r>
              <w:rPr>
                <w:rFonts w:eastAsia="仿宋_GB2312"/>
                <w:szCs w:val="21"/>
              </w:rPr>
              <w:t>二甲苯</w:t>
            </w:r>
          </w:p>
        </w:tc>
        <w:tc>
          <w:tcPr>
            <w:tcW w:w="980" w:type="pct"/>
            <w:tcBorders>
              <w:tl2br w:val="nil"/>
              <w:tr2bl w:val="nil"/>
            </w:tcBorders>
            <w:vAlign w:val="center"/>
          </w:tcPr>
          <w:p w14:paraId="745058EB">
            <w:pPr>
              <w:snapToGrid w:val="0"/>
              <w:spacing w:line="256" w:lineRule="exact"/>
              <w:jc w:val="center"/>
              <w:rPr>
                <w:rFonts w:eastAsia="仿宋_GB2312"/>
                <w:szCs w:val="21"/>
              </w:rPr>
            </w:pPr>
            <w:r>
              <w:rPr>
                <w:rFonts w:hint="eastAsia" w:eastAsia="仿宋_GB2312"/>
                <w:szCs w:val="21"/>
              </w:rPr>
              <w:t>0.05</w:t>
            </w:r>
          </w:p>
        </w:tc>
        <w:tc>
          <w:tcPr>
            <w:tcW w:w="1476" w:type="pct"/>
            <w:vMerge w:val="continue"/>
            <w:tcBorders>
              <w:tl2br w:val="nil"/>
              <w:tr2bl w:val="nil"/>
            </w:tcBorders>
            <w:vAlign w:val="center"/>
          </w:tcPr>
          <w:p w14:paraId="49701AAB">
            <w:pPr>
              <w:snapToGrid w:val="0"/>
              <w:spacing w:line="256" w:lineRule="exact"/>
              <w:jc w:val="center"/>
              <w:rPr>
                <w:rFonts w:eastAsia="仿宋_GB2312"/>
                <w:color w:val="FF0000"/>
                <w:szCs w:val="21"/>
              </w:rPr>
            </w:pPr>
          </w:p>
        </w:tc>
        <w:tc>
          <w:tcPr>
            <w:tcW w:w="913" w:type="pct"/>
            <w:tcBorders>
              <w:tl2br w:val="nil"/>
              <w:tr2bl w:val="nil"/>
            </w:tcBorders>
            <w:vAlign w:val="center"/>
          </w:tcPr>
          <w:p w14:paraId="6CBBF027">
            <w:pPr>
              <w:snapToGrid w:val="0"/>
              <w:spacing w:line="256" w:lineRule="exact"/>
              <w:jc w:val="center"/>
              <w:rPr>
                <w:rFonts w:eastAsia="仿宋_GB2312"/>
                <w:szCs w:val="21"/>
              </w:rPr>
            </w:pPr>
            <w:r>
              <w:rPr>
                <w:rFonts w:hint="eastAsia" w:eastAsia="仿宋_GB2312"/>
                <w:szCs w:val="21"/>
              </w:rPr>
              <w:t>0.2</w:t>
            </w:r>
          </w:p>
        </w:tc>
      </w:tr>
      <w:tr w14:paraId="1FC083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46" w:type="pct"/>
            <w:vMerge w:val="continue"/>
            <w:tcBorders>
              <w:tl2br w:val="nil"/>
              <w:tr2bl w:val="nil"/>
            </w:tcBorders>
            <w:vAlign w:val="center"/>
          </w:tcPr>
          <w:p w14:paraId="6C86990C">
            <w:pPr>
              <w:snapToGrid w:val="0"/>
              <w:spacing w:line="256" w:lineRule="exact"/>
              <w:jc w:val="center"/>
              <w:rPr>
                <w:rFonts w:eastAsia="仿宋_GB2312"/>
                <w:color w:val="FF0000"/>
                <w:szCs w:val="21"/>
              </w:rPr>
            </w:pPr>
          </w:p>
        </w:tc>
        <w:tc>
          <w:tcPr>
            <w:tcW w:w="1183" w:type="pct"/>
            <w:tcBorders>
              <w:tl2br w:val="nil"/>
              <w:tr2bl w:val="nil"/>
            </w:tcBorders>
            <w:vAlign w:val="center"/>
          </w:tcPr>
          <w:p w14:paraId="02AA5282">
            <w:pPr>
              <w:snapToGrid w:val="0"/>
              <w:spacing w:line="256" w:lineRule="exact"/>
              <w:jc w:val="center"/>
              <w:rPr>
                <w:rFonts w:eastAsia="仿宋_GB2312"/>
                <w:szCs w:val="21"/>
              </w:rPr>
            </w:pPr>
            <w:r>
              <w:rPr>
                <w:rFonts w:eastAsia="仿宋_GB2312"/>
                <w:szCs w:val="21"/>
              </w:rPr>
              <w:t>非甲烷总烃</w:t>
            </w:r>
          </w:p>
        </w:tc>
        <w:tc>
          <w:tcPr>
            <w:tcW w:w="980" w:type="pct"/>
            <w:tcBorders>
              <w:tl2br w:val="nil"/>
              <w:tr2bl w:val="nil"/>
            </w:tcBorders>
            <w:vAlign w:val="center"/>
          </w:tcPr>
          <w:p w14:paraId="5B2BE884">
            <w:pPr>
              <w:snapToGrid w:val="0"/>
              <w:spacing w:line="256" w:lineRule="exact"/>
              <w:jc w:val="center"/>
              <w:rPr>
                <w:rFonts w:eastAsia="仿宋_GB2312"/>
                <w:szCs w:val="21"/>
              </w:rPr>
            </w:pPr>
            <w:r>
              <w:rPr>
                <w:rFonts w:hint="eastAsia" w:eastAsia="仿宋_GB2312"/>
                <w:szCs w:val="21"/>
              </w:rPr>
              <w:t>0.67</w:t>
            </w:r>
          </w:p>
        </w:tc>
        <w:tc>
          <w:tcPr>
            <w:tcW w:w="1476" w:type="pct"/>
            <w:vMerge w:val="continue"/>
            <w:tcBorders>
              <w:tl2br w:val="nil"/>
              <w:tr2bl w:val="nil"/>
            </w:tcBorders>
            <w:vAlign w:val="center"/>
          </w:tcPr>
          <w:p w14:paraId="3E83FF00">
            <w:pPr>
              <w:snapToGrid w:val="0"/>
              <w:spacing w:line="256" w:lineRule="exact"/>
              <w:jc w:val="center"/>
              <w:rPr>
                <w:rFonts w:eastAsia="仿宋_GB2312"/>
                <w:color w:val="FF0000"/>
                <w:szCs w:val="21"/>
              </w:rPr>
            </w:pPr>
          </w:p>
        </w:tc>
        <w:tc>
          <w:tcPr>
            <w:tcW w:w="913" w:type="pct"/>
            <w:tcBorders>
              <w:tl2br w:val="nil"/>
              <w:tr2bl w:val="nil"/>
            </w:tcBorders>
            <w:vAlign w:val="center"/>
          </w:tcPr>
          <w:p w14:paraId="68DA74D2">
            <w:pPr>
              <w:snapToGrid w:val="0"/>
              <w:spacing w:line="256" w:lineRule="exact"/>
              <w:jc w:val="center"/>
              <w:rPr>
                <w:rFonts w:eastAsia="仿宋_GB2312"/>
                <w:szCs w:val="21"/>
              </w:rPr>
            </w:pPr>
            <w:r>
              <w:rPr>
                <w:rFonts w:eastAsia="仿宋_GB2312"/>
                <w:szCs w:val="21"/>
              </w:rPr>
              <w:t>4</w:t>
            </w:r>
          </w:p>
        </w:tc>
      </w:tr>
      <w:tr w14:paraId="5B557D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46" w:type="pct"/>
            <w:vMerge w:val="continue"/>
            <w:tcBorders>
              <w:tl2br w:val="nil"/>
              <w:tr2bl w:val="nil"/>
            </w:tcBorders>
            <w:vAlign w:val="center"/>
          </w:tcPr>
          <w:p w14:paraId="37860A62">
            <w:pPr>
              <w:snapToGrid w:val="0"/>
              <w:spacing w:line="256" w:lineRule="exact"/>
              <w:jc w:val="center"/>
              <w:rPr>
                <w:rFonts w:eastAsia="仿宋_GB2312"/>
                <w:color w:val="FF0000"/>
                <w:szCs w:val="21"/>
              </w:rPr>
            </w:pPr>
          </w:p>
        </w:tc>
        <w:tc>
          <w:tcPr>
            <w:tcW w:w="1183" w:type="pct"/>
            <w:tcBorders>
              <w:tl2br w:val="nil"/>
              <w:tr2bl w:val="nil"/>
            </w:tcBorders>
            <w:vAlign w:val="center"/>
          </w:tcPr>
          <w:p w14:paraId="2C491E1B">
            <w:pPr>
              <w:snapToGrid w:val="0"/>
              <w:spacing w:line="256" w:lineRule="exact"/>
              <w:jc w:val="center"/>
              <w:rPr>
                <w:rFonts w:eastAsia="仿宋_GB2312"/>
                <w:szCs w:val="21"/>
              </w:rPr>
            </w:pPr>
            <w:r>
              <w:rPr>
                <w:rFonts w:eastAsia="仿宋_GB2312"/>
                <w:szCs w:val="21"/>
              </w:rPr>
              <w:t>甲醇</w:t>
            </w:r>
          </w:p>
        </w:tc>
        <w:tc>
          <w:tcPr>
            <w:tcW w:w="980" w:type="pct"/>
            <w:tcBorders>
              <w:tl2br w:val="nil"/>
              <w:tr2bl w:val="nil"/>
            </w:tcBorders>
            <w:vAlign w:val="center"/>
          </w:tcPr>
          <w:p w14:paraId="0C14B6BF">
            <w:pPr>
              <w:snapToGrid w:val="0"/>
              <w:spacing w:line="256" w:lineRule="exact"/>
              <w:jc w:val="center"/>
              <w:rPr>
                <w:rFonts w:eastAsia="仿宋_GB2312"/>
                <w:szCs w:val="21"/>
              </w:rPr>
            </w:pPr>
            <w:r>
              <w:rPr>
                <w:rFonts w:hint="eastAsia" w:eastAsia="仿宋_GB2312"/>
                <w:szCs w:val="21"/>
              </w:rPr>
              <w:t>ND</w:t>
            </w:r>
          </w:p>
        </w:tc>
        <w:tc>
          <w:tcPr>
            <w:tcW w:w="1476" w:type="pct"/>
            <w:vMerge w:val="continue"/>
            <w:tcBorders>
              <w:tl2br w:val="nil"/>
              <w:tr2bl w:val="nil"/>
            </w:tcBorders>
            <w:vAlign w:val="center"/>
          </w:tcPr>
          <w:p w14:paraId="11B37510">
            <w:pPr>
              <w:snapToGrid w:val="0"/>
              <w:spacing w:line="256" w:lineRule="exact"/>
              <w:jc w:val="center"/>
              <w:rPr>
                <w:rFonts w:eastAsia="仿宋_GB2312"/>
                <w:color w:val="FF0000"/>
                <w:szCs w:val="21"/>
              </w:rPr>
            </w:pPr>
          </w:p>
        </w:tc>
        <w:tc>
          <w:tcPr>
            <w:tcW w:w="913" w:type="pct"/>
            <w:tcBorders>
              <w:tl2br w:val="nil"/>
              <w:tr2bl w:val="nil"/>
            </w:tcBorders>
            <w:vAlign w:val="center"/>
          </w:tcPr>
          <w:p w14:paraId="2C9E98B7">
            <w:pPr>
              <w:snapToGrid w:val="0"/>
              <w:spacing w:line="256" w:lineRule="exact"/>
              <w:jc w:val="center"/>
              <w:rPr>
                <w:rFonts w:eastAsia="仿宋_GB2312"/>
                <w:szCs w:val="21"/>
              </w:rPr>
            </w:pPr>
            <w:r>
              <w:rPr>
                <w:rFonts w:eastAsia="仿宋_GB2312"/>
                <w:szCs w:val="21"/>
              </w:rPr>
              <w:t>1</w:t>
            </w:r>
          </w:p>
        </w:tc>
      </w:tr>
      <w:tr w14:paraId="3CD936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46" w:type="pct"/>
            <w:vMerge w:val="continue"/>
            <w:tcBorders>
              <w:tl2br w:val="nil"/>
              <w:tr2bl w:val="nil"/>
            </w:tcBorders>
            <w:vAlign w:val="center"/>
          </w:tcPr>
          <w:p w14:paraId="79B3A345">
            <w:pPr>
              <w:snapToGrid w:val="0"/>
              <w:spacing w:line="256" w:lineRule="exact"/>
              <w:jc w:val="center"/>
              <w:rPr>
                <w:rFonts w:eastAsia="仿宋_GB2312"/>
                <w:color w:val="FF0000"/>
                <w:szCs w:val="21"/>
              </w:rPr>
            </w:pPr>
          </w:p>
        </w:tc>
        <w:tc>
          <w:tcPr>
            <w:tcW w:w="1183" w:type="pct"/>
            <w:tcBorders>
              <w:tl2br w:val="nil"/>
              <w:tr2bl w:val="nil"/>
            </w:tcBorders>
            <w:vAlign w:val="center"/>
          </w:tcPr>
          <w:p w14:paraId="7B8B7AC9">
            <w:pPr>
              <w:snapToGrid w:val="0"/>
              <w:spacing w:line="256" w:lineRule="exact"/>
              <w:jc w:val="center"/>
              <w:rPr>
                <w:rFonts w:eastAsia="仿宋_GB2312"/>
                <w:szCs w:val="21"/>
              </w:rPr>
            </w:pPr>
            <w:r>
              <w:rPr>
                <w:rFonts w:eastAsia="仿宋_GB2312"/>
                <w:szCs w:val="21"/>
              </w:rPr>
              <w:t>二氯乙烷</w:t>
            </w:r>
          </w:p>
        </w:tc>
        <w:tc>
          <w:tcPr>
            <w:tcW w:w="980" w:type="pct"/>
            <w:tcBorders>
              <w:tl2br w:val="nil"/>
              <w:tr2bl w:val="nil"/>
            </w:tcBorders>
            <w:vAlign w:val="center"/>
          </w:tcPr>
          <w:p w14:paraId="30F26070">
            <w:pPr>
              <w:snapToGrid w:val="0"/>
              <w:spacing w:line="256" w:lineRule="exact"/>
              <w:jc w:val="center"/>
              <w:rPr>
                <w:rFonts w:eastAsia="仿宋_GB2312"/>
                <w:szCs w:val="21"/>
              </w:rPr>
            </w:pPr>
            <w:r>
              <w:rPr>
                <w:rFonts w:hint="eastAsia" w:eastAsia="仿宋_GB2312"/>
                <w:szCs w:val="21"/>
              </w:rPr>
              <w:t>0.014</w:t>
            </w:r>
          </w:p>
        </w:tc>
        <w:tc>
          <w:tcPr>
            <w:tcW w:w="1476" w:type="pct"/>
            <w:vMerge w:val="restart"/>
            <w:tcBorders>
              <w:tl2br w:val="nil"/>
              <w:tr2bl w:val="nil"/>
            </w:tcBorders>
            <w:vAlign w:val="center"/>
          </w:tcPr>
          <w:p w14:paraId="5D6A866C">
            <w:pPr>
              <w:snapToGrid w:val="0"/>
              <w:spacing w:line="256" w:lineRule="exact"/>
              <w:jc w:val="center"/>
              <w:rPr>
                <w:rFonts w:eastAsia="仿宋_GB2312"/>
                <w:szCs w:val="21"/>
              </w:rPr>
            </w:pPr>
            <w:r>
              <w:rPr>
                <w:rFonts w:eastAsia="仿宋_GB2312"/>
                <w:szCs w:val="21"/>
              </w:rPr>
              <w:t>《化学工业挥发性有机物排放标准》（DB32/3151-2016）</w:t>
            </w:r>
          </w:p>
        </w:tc>
        <w:tc>
          <w:tcPr>
            <w:tcW w:w="913" w:type="pct"/>
            <w:tcBorders>
              <w:tl2br w:val="nil"/>
              <w:tr2bl w:val="nil"/>
            </w:tcBorders>
            <w:vAlign w:val="center"/>
          </w:tcPr>
          <w:p w14:paraId="5AB3BFFD">
            <w:pPr>
              <w:snapToGrid w:val="0"/>
              <w:spacing w:line="256" w:lineRule="exact"/>
              <w:jc w:val="center"/>
              <w:rPr>
                <w:rFonts w:eastAsia="仿宋_GB2312"/>
                <w:szCs w:val="21"/>
              </w:rPr>
            </w:pPr>
            <w:r>
              <w:rPr>
                <w:rFonts w:eastAsia="仿宋_GB2312"/>
                <w:szCs w:val="21"/>
              </w:rPr>
              <w:t>0.14</w:t>
            </w:r>
          </w:p>
        </w:tc>
      </w:tr>
      <w:tr w14:paraId="3C42C1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46" w:type="pct"/>
            <w:vMerge w:val="continue"/>
            <w:tcBorders>
              <w:tl2br w:val="nil"/>
              <w:tr2bl w:val="nil"/>
            </w:tcBorders>
            <w:vAlign w:val="center"/>
          </w:tcPr>
          <w:p w14:paraId="74008AC7">
            <w:pPr>
              <w:snapToGrid w:val="0"/>
              <w:spacing w:line="256" w:lineRule="exact"/>
              <w:jc w:val="center"/>
              <w:rPr>
                <w:rFonts w:eastAsia="仿宋_GB2312"/>
                <w:color w:val="FF0000"/>
                <w:szCs w:val="21"/>
              </w:rPr>
            </w:pPr>
          </w:p>
        </w:tc>
        <w:tc>
          <w:tcPr>
            <w:tcW w:w="1183" w:type="pct"/>
            <w:tcBorders>
              <w:tl2br w:val="nil"/>
              <w:tr2bl w:val="nil"/>
            </w:tcBorders>
            <w:vAlign w:val="center"/>
          </w:tcPr>
          <w:p w14:paraId="53D8EF19">
            <w:pPr>
              <w:snapToGrid w:val="0"/>
              <w:spacing w:line="256" w:lineRule="exact"/>
              <w:jc w:val="center"/>
              <w:rPr>
                <w:rFonts w:eastAsia="仿宋_GB2312"/>
                <w:szCs w:val="21"/>
              </w:rPr>
            </w:pPr>
            <w:r>
              <w:rPr>
                <w:rFonts w:eastAsia="仿宋_GB2312"/>
                <w:szCs w:val="21"/>
              </w:rPr>
              <w:t>乙酸乙酯</w:t>
            </w:r>
          </w:p>
        </w:tc>
        <w:tc>
          <w:tcPr>
            <w:tcW w:w="980" w:type="pct"/>
            <w:tcBorders>
              <w:tl2br w:val="nil"/>
              <w:tr2bl w:val="nil"/>
            </w:tcBorders>
            <w:vAlign w:val="center"/>
          </w:tcPr>
          <w:p w14:paraId="44598732">
            <w:pPr>
              <w:snapToGrid w:val="0"/>
              <w:spacing w:line="256" w:lineRule="exact"/>
              <w:jc w:val="center"/>
              <w:rPr>
                <w:rFonts w:eastAsia="仿宋_GB2312"/>
                <w:szCs w:val="21"/>
              </w:rPr>
            </w:pPr>
            <w:r>
              <w:rPr>
                <w:rFonts w:hint="eastAsia" w:eastAsia="仿宋_GB2312"/>
                <w:szCs w:val="21"/>
              </w:rPr>
              <w:t>0.039</w:t>
            </w:r>
          </w:p>
        </w:tc>
        <w:tc>
          <w:tcPr>
            <w:tcW w:w="1476" w:type="pct"/>
            <w:vMerge w:val="continue"/>
            <w:tcBorders>
              <w:tl2br w:val="nil"/>
              <w:tr2bl w:val="nil"/>
            </w:tcBorders>
            <w:vAlign w:val="center"/>
          </w:tcPr>
          <w:p w14:paraId="39A45F55">
            <w:pPr>
              <w:snapToGrid w:val="0"/>
              <w:spacing w:line="256" w:lineRule="exact"/>
              <w:jc w:val="center"/>
              <w:rPr>
                <w:rFonts w:eastAsia="仿宋_GB2312"/>
                <w:color w:val="FF0000"/>
                <w:szCs w:val="21"/>
              </w:rPr>
            </w:pPr>
          </w:p>
        </w:tc>
        <w:tc>
          <w:tcPr>
            <w:tcW w:w="913" w:type="pct"/>
            <w:vMerge w:val="restart"/>
            <w:tcBorders>
              <w:tl2br w:val="nil"/>
              <w:tr2bl w:val="nil"/>
            </w:tcBorders>
            <w:vAlign w:val="center"/>
          </w:tcPr>
          <w:p w14:paraId="71EA155F">
            <w:pPr>
              <w:snapToGrid w:val="0"/>
              <w:spacing w:line="256" w:lineRule="exact"/>
              <w:jc w:val="center"/>
              <w:rPr>
                <w:rFonts w:eastAsia="仿宋_GB2312"/>
                <w:color w:val="FF0000"/>
                <w:szCs w:val="21"/>
              </w:rPr>
            </w:pPr>
            <w:r>
              <w:rPr>
                <w:rFonts w:eastAsia="仿宋_GB2312"/>
                <w:szCs w:val="21"/>
              </w:rPr>
              <w:t>4</w:t>
            </w:r>
          </w:p>
        </w:tc>
      </w:tr>
      <w:tr w14:paraId="4286E3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46" w:type="pct"/>
            <w:vMerge w:val="continue"/>
            <w:tcBorders>
              <w:tl2br w:val="nil"/>
              <w:tr2bl w:val="nil"/>
            </w:tcBorders>
            <w:vAlign w:val="center"/>
          </w:tcPr>
          <w:p w14:paraId="67F398AF">
            <w:pPr>
              <w:snapToGrid w:val="0"/>
              <w:spacing w:line="256" w:lineRule="exact"/>
              <w:jc w:val="center"/>
              <w:rPr>
                <w:rFonts w:eastAsia="仿宋_GB2312"/>
                <w:color w:val="FF0000"/>
                <w:szCs w:val="21"/>
              </w:rPr>
            </w:pPr>
          </w:p>
        </w:tc>
        <w:tc>
          <w:tcPr>
            <w:tcW w:w="1183" w:type="pct"/>
            <w:tcBorders>
              <w:tl2br w:val="nil"/>
              <w:tr2bl w:val="nil"/>
            </w:tcBorders>
            <w:vAlign w:val="center"/>
          </w:tcPr>
          <w:p w14:paraId="07355070">
            <w:pPr>
              <w:snapToGrid w:val="0"/>
              <w:spacing w:line="256" w:lineRule="exact"/>
              <w:jc w:val="center"/>
              <w:rPr>
                <w:rFonts w:eastAsia="仿宋_GB2312"/>
                <w:szCs w:val="21"/>
              </w:rPr>
            </w:pPr>
            <w:r>
              <w:rPr>
                <w:rFonts w:eastAsia="仿宋_GB2312"/>
                <w:szCs w:val="21"/>
              </w:rPr>
              <w:t>乙酸丁酯</w:t>
            </w:r>
          </w:p>
        </w:tc>
        <w:tc>
          <w:tcPr>
            <w:tcW w:w="980" w:type="pct"/>
            <w:tcBorders>
              <w:tl2br w:val="nil"/>
              <w:tr2bl w:val="nil"/>
            </w:tcBorders>
            <w:vAlign w:val="center"/>
          </w:tcPr>
          <w:p w14:paraId="235B8A84">
            <w:pPr>
              <w:snapToGrid w:val="0"/>
              <w:spacing w:line="256" w:lineRule="exact"/>
              <w:jc w:val="center"/>
              <w:rPr>
                <w:rFonts w:eastAsia="仿宋_GB2312"/>
                <w:szCs w:val="21"/>
              </w:rPr>
            </w:pPr>
            <w:r>
              <w:rPr>
                <w:rFonts w:hint="eastAsia" w:eastAsia="仿宋_GB2312"/>
                <w:szCs w:val="21"/>
              </w:rPr>
              <w:t>0.015</w:t>
            </w:r>
          </w:p>
        </w:tc>
        <w:tc>
          <w:tcPr>
            <w:tcW w:w="1476" w:type="pct"/>
            <w:vMerge w:val="continue"/>
            <w:tcBorders>
              <w:tl2br w:val="nil"/>
              <w:tr2bl w:val="nil"/>
            </w:tcBorders>
            <w:vAlign w:val="center"/>
          </w:tcPr>
          <w:p w14:paraId="09DDBBC7">
            <w:pPr>
              <w:snapToGrid w:val="0"/>
              <w:spacing w:line="256" w:lineRule="exact"/>
              <w:jc w:val="center"/>
              <w:rPr>
                <w:rFonts w:eastAsia="仿宋_GB2312"/>
                <w:color w:val="FF0000"/>
                <w:szCs w:val="21"/>
              </w:rPr>
            </w:pPr>
          </w:p>
        </w:tc>
        <w:tc>
          <w:tcPr>
            <w:tcW w:w="913" w:type="pct"/>
            <w:vMerge w:val="continue"/>
            <w:tcBorders>
              <w:tl2br w:val="nil"/>
              <w:tr2bl w:val="nil"/>
            </w:tcBorders>
            <w:vAlign w:val="center"/>
          </w:tcPr>
          <w:p w14:paraId="1A798242">
            <w:pPr>
              <w:snapToGrid w:val="0"/>
              <w:spacing w:line="256" w:lineRule="exact"/>
              <w:jc w:val="center"/>
              <w:rPr>
                <w:rFonts w:eastAsia="仿宋_GB2312"/>
                <w:color w:val="FF0000"/>
                <w:szCs w:val="21"/>
              </w:rPr>
            </w:pPr>
          </w:p>
        </w:tc>
      </w:tr>
      <w:tr w14:paraId="377522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46" w:type="pct"/>
            <w:vMerge w:val="continue"/>
            <w:tcBorders>
              <w:tl2br w:val="nil"/>
              <w:tr2bl w:val="nil"/>
            </w:tcBorders>
            <w:vAlign w:val="center"/>
          </w:tcPr>
          <w:p w14:paraId="4BE420DE">
            <w:pPr>
              <w:snapToGrid w:val="0"/>
              <w:spacing w:line="256" w:lineRule="exact"/>
              <w:jc w:val="center"/>
              <w:rPr>
                <w:rFonts w:eastAsia="仿宋_GB2312"/>
                <w:color w:val="FF0000"/>
                <w:szCs w:val="21"/>
              </w:rPr>
            </w:pPr>
          </w:p>
        </w:tc>
        <w:tc>
          <w:tcPr>
            <w:tcW w:w="1183" w:type="pct"/>
            <w:tcBorders>
              <w:tl2br w:val="nil"/>
              <w:tr2bl w:val="nil"/>
            </w:tcBorders>
            <w:vAlign w:val="center"/>
          </w:tcPr>
          <w:p w14:paraId="09CDCFF3">
            <w:pPr>
              <w:snapToGrid w:val="0"/>
              <w:spacing w:line="256" w:lineRule="exact"/>
              <w:jc w:val="center"/>
              <w:rPr>
                <w:rFonts w:eastAsia="仿宋_GB2312"/>
                <w:szCs w:val="21"/>
              </w:rPr>
            </w:pPr>
            <w:r>
              <w:rPr>
                <w:rFonts w:eastAsia="仿宋_GB2312"/>
                <w:szCs w:val="21"/>
              </w:rPr>
              <w:t>丙酮</w:t>
            </w:r>
          </w:p>
        </w:tc>
        <w:tc>
          <w:tcPr>
            <w:tcW w:w="980" w:type="pct"/>
            <w:tcBorders>
              <w:tl2br w:val="nil"/>
              <w:tr2bl w:val="nil"/>
            </w:tcBorders>
            <w:vAlign w:val="center"/>
          </w:tcPr>
          <w:p w14:paraId="37AF54F3">
            <w:pPr>
              <w:snapToGrid w:val="0"/>
              <w:spacing w:line="256" w:lineRule="exact"/>
              <w:jc w:val="center"/>
              <w:rPr>
                <w:rFonts w:eastAsia="仿宋_GB2312"/>
                <w:szCs w:val="21"/>
              </w:rPr>
            </w:pPr>
            <w:r>
              <w:rPr>
                <w:rFonts w:hint="eastAsia" w:eastAsia="仿宋_GB2312"/>
                <w:szCs w:val="21"/>
              </w:rPr>
              <w:t>ND</w:t>
            </w:r>
          </w:p>
        </w:tc>
        <w:tc>
          <w:tcPr>
            <w:tcW w:w="1476" w:type="pct"/>
            <w:vMerge w:val="continue"/>
            <w:tcBorders>
              <w:tl2br w:val="nil"/>
              <w:tr2bl w:val="nil"/>
            </w:tcBorders>
            <w:vAlign w:val="center"/>
          </w:tcPr>
          <w:p w14:paraId="5C5AC68B">
            <w:pPr>
              <w:snapToGrid w:val="0"/>
              <w:spacing w:line="256" w:lineRule="exact"/>
              <w:jc w:val="center"/>
              <w:rPr>
                <w:rFonts w:eastAsia="仿宋_GB2312"/>
                <w:szCs w:val="21"/>
              </w:rPr>
            </w:pPr>
          </w:p>
        </w:tc>
        <w:tc>
          <w:tcPr>
            <w:tcW w:w="913" w:type="pct"/>
            <w:tcBorders>
              <w:tl2br w:val="nil"/>
              <w:tr2bl w:val="nil"/>
            </w:tcBorders>
            <w:vAlign w:val="center"/>
          </w:tcPr>
          <w:p w14:paraId="217F9B4A">
            <w:pPr>
              <w:snapToGrid w:val="0"/>
              <w:spacing w:line="256" w:lineRule="exact"/>
              <w:jc w:val="center"/>
              <w:rPr>
                <w:rFonts w:eastAsia="仿宋_GB2312"/>
                <w:szCs w:val="21"/>
              </w:rPr>
            </w:pPr>
            <w:r>
              <w:rPr>
                <w:rFonts w:eastAsia="仿宋_GB2312"/>
                <w:szCs w:val="21"/>
              </w:rPr>
              <w:t>0.8</w:t>
            </w:r>
          </w:p>
        </w:tc>
      </w:tr>
      <w:tr w14:paraId="50CB15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46" w:type="pct"/>
            <w:vMerge w:val="continue"/>
            <w:tcBorders>
              <w:tl2br w:val="nil"/>
              <w:tr2bl w:val="nil"/>
            </w:tcBorders>
            <w:vAlign w:val="center"/>
          </w:tcPr>
          <w:p w14:paraId="23C1FFEE">
            <w:pPr>
              <w:snapToGrid w:val="0"/>
              <w:spacing w:line="256" w:lineRule="exact"/>
              <w:jc w:val="center"/>
              <w:rPr>
                <w:rFonts w:eastAsia="仿宋_GB2312"/>
                <w:color w:val="FF0000"/>
                <w:szCs w:val="21"/>
              </w:rPr>
            </w:pPr>
          </w:p>
        </w:tc>
        <w:tc>
          <w:tcPr>
            <w:tcW w:w="1183" w:type="pct"/>
            <w:tcBorders>
              <w:tl2br w:val="nil"/>
              <w:tr2bl w:val="nil"/>
            </w:tcBorders>
            <w:vAlign w:val="center"/>
          </w:tcPr>
          <w:p w14:paraId="64841670">
            <w:pPr>
              <w:snapToGrid w:val="0"/>
              <w:spacing w:line="256" w:lineRule="exact"/>
              <w:jc w:val="center"/>
              <w:rPr>
                <w:rFonts w:eastAsia="仿宋_GB2312"/>
                <w:szCs w:val="21"/>
              </w:rPr>
            </w:pPr>
            <w:r>
              <w:rPr>
                <w:rFonts w:hint="eastAsia" w:eastAsia="仿宋_GB2312"/>
                <w:szCs w:val="21"/>
              </w:rPr>
              <w:t>苯乙烯</w:t>
            </w:r>
          </w:p>
        </w:tc>
        <w:tc>
          <w:tcPr>
            <w:tcW w:w="980" w:type="pct"/>
            <w:tcBorders>
              <w:tl2br w:val="nil"/>
              <w:tr2bl w:val="nil"/>
            </w:tcBorders>
            <w:vAlign w:val="center"/>
          </w:tcPr>
          <w:p w14:paraId="3A5DC3BE">
            <w:pPr>
              <w:snapToGrid w:val="0"/>
              <w:spacing w:line="256" w:lineRule="exact"/>
              <w:jc w:val="center"/>
              <w:rPr>
                <w:rFonts w:eastAsia="仿宋_GB2312"/>
                <w:szCs w:val="21"/>
              </w:rPr>
            </w:pPr>
            <w:r>
              <w:rPr>
                <w:rFonts w:hint="eastAsia" w:eastAsia="仿宋_GB2312"/>
                <w:szCs w:val="21"/>
              </w:rPr>
              <w:t>0.011</w:t>
            </w:r>
          </w:p>
        </w:tc>
        <w:tc>
          <w:tcPr>
            <w:tcW w:w="1476" w:type="pct"/>
            <w:vMerge w:val="continue"/>
            <w:tcBorders>
              <w:tl2br w:val="nil"/>
              <w:tr2bl w:val="nil"/>
            </w:tcBorders>
            <w:vAlign w:val="center"/>
          </w:tcPr>
          <w:p w14:paraId="3A2B2FEF">
            <w:pPr>
              <w:snapToGrid w:val="0"/>
              <w:spacing w:line="256" w:lineRule="exact"/>
              <w:jc w:val="center"/>
              <w:rPr>
                <w:rFonts w:eastAsia="仿宋_GB2312"/>
                <w:color w:val="FF0000"/>
                <w:szCs w:val="21"/>
              </w:rPr>
            </w:pPr>
          </w:p>
        </w:tc>
        <w:tc>
          <w:tcPr>
            <w:tcW w:w="913" w:type="pct"/>
            <w:tcBorders>
              <w:tl2br w:val="nil"/>
              <w:tr2bl w:val="nil"/>
            </w:tcBorders>
            <w:vAlign w:val="center"/>
          </w:tcPr>
          <w:p w14:paraId="25DAAA7C">
            <w:pPr>
              <w:snapToGrid w:val="0"/>
              <w:spacing w:line="256" w:lineRule="exact"/>
              <w:jc w:val="center"/>
              <w:rPr>
                <w:rFonts w:eastAsia="仿宋_GB2312"/>
                <w:color w:val="FF0000"/>
                <w:szCs w:val="21"/>
              </w:rPr>
            </w:pPr>
            <w:r>
              <w:rPr>
                <w:rFonts w:hint="eastAsia" w:eastAsia="仿宋_GB2312"/>
                <w:szCs w:val="21"/>
              </w:rPr>
              <w:t>0.5</w:t>
            </w:r>
          </w:p>
        </w:tc>
      </w:tr>
    </w:tbl>
    <w:p w14:paraId="1A061558">
      <w:pPr>
        <w:rPr>
          <w:rFonts w:eastAsia="仿宋_GB2312"/>
          <w:bCs/>
        </w:rPr>
      </w:pPr>
      <w:r>
        <w:rPr>
          <w:rFonts w:eastAsia="仿宋_GB2312"/>
          <w:bCs/>
        </w:rPr>
        <w:t>注：硫化氢检出限0.00</w:t>
      </w:r>
      <w:r>
        <w:rPr>
          <w:rFonts w:hint="eastAsia" w:eastAsia="仿宋_GB2312"/>
          <w:bCs/>
        </w:rPr>
        <w:t>3</w:t>
      </w:r>
      <w:r>
        <w:rPr>
          <w:rFonts w:eastAsia="仿宋_GB2312"/>
          <w:bCs/>
        </w:rPr>
        <w:t>mg/m</w:t>
      </w:r>
      <w:r>
        <w:rPr>
          <w:rFonts w:eastAsia="仿宋_GB2312"/>
          <w:bCs/>
          <w:vertAlign w:val="superscript"/>
        </w:rPr>
        <w:t>3</w:t>
      </w:r>
      <w:r>
        <w:rPr>
          <w:rFonts w:eastAsia="仿宋_GB2312"/>
          <w:bCs/>
        </w:rPr>
        <w:t>、</w:t>
      </w:r>
      <w:r>
        <w:rPr>
          <w:rFonts w:hint="eastAsia" w:eastAsia="仿宋_GB2312"/>
          <w:bCs/>
        </w:rPr>
        <w:t>氯化氢</w:t>
      </w:r>
      <w:r>
        <w:rPr>
          <w:rFonts w:eastAsia="仿宋_GB2312"/>
          <w:bCs/>
        </w:rPr>
        <w:t>检出限0.0</w:t>
      </w:r>
      <w:r>
        <w:rPr>
          <w:rFonts w:hint="eastAsia" w:eastAsia="仿宋_GB2312"/>
          <w:bCs/>
        </w:rPr>
        <w:t>3</w:t>
      </w:r>
      <w:r>
        <w:rPr>
          <w:rFonts w:eastAsia="仿宋_GB2312"/>
          <w:bCs/>
        </w:rPr>
        <w:t>mg/m</w:t>
      </w:r>
      <w:r>
        <w:rPr>
          <w:rFonts w:eastAsia="仿宋_GB2312"/>
          <w:bCs/>
          <w:vertAlign w:val="superscript"/>
        </w:rPr>
        <w:t>3</w:t>
      </w:r>
      <w:r>
        <w:rPr>
          <w:rFonts w:hint="eastAsia" w:eastAsia="仿宋_GB2312"/>
          <w:bCs/>
        </w:rPr>
        <w:t>、甲醇</w:t>
      </w:r>
      <w:r>
        <w:rPr>
          <w:rFonts w:eastAsia="仿宋_GB2312"/>
          <w:bCs/>
        </w:rPr>
        <w:t>检出限0.0</w:t>
      </w:r>
      <w:r>
        <w:rPr>
          <w:rFonts w:hint="eastAsia" w:eastAsia="仿宋_GB2312"/>
          <w:bCs/>
        </w:rPr>
        <w:t>9</w:t>
      </w:r>
      <w:r>
        <w:rPr>
          <w:rFonts w:eastAsia="仿宋_GB2312"/>
          <w:bCs/>
        </w:rPr>
        <w:t>mg/m</w:t>
      </w:r>
      <w:r>
        <w:rPr>
          <w:rFonts w:eastAsia="仿宋_GB2312"/>
          <w:bCs/>
          <w:vertAlign w:val="superscript"/>
        </w:rPr>
        <w:t>3</w:t>
      </w:r>
      <w:r>
        <w:rPr>
          <w:rFonts w:hint="eastAsia" w:eastAsia="仿宋_GB2312"/>
          <w:bCs/>
        </w:rPr>
        <w:t>、丙酮</w:t>
      </w:r>
      <w:r>
        <w:rPr>
          <w:rFonts w:eastAsia="仿宋_GB2312"/>
          <w:bCs/>
        </w:rPr>
        <w:t>检出限0.00</w:t>
      </w:r>
      <w:r>
        <w:rPr>
          <w:rFonts w:hint="eastAsia" w:eastAsia="仿宋_GB2312"/>
          <w:bCs/>
        </w:rPr>
        <w:t>2</w:t>
      </w:r>
      <w:r>
        <w:rPr>
          <w:rFonts w:eastAsia="仿宋_GB2312"/>
          <w:bCs/>
        </w:rPr>
        <w:t>mg/m</w:t>
      </w:r>
      <w:r>
        <w:rPr>
          <w:rFonts w:eastAsia="仿宋_GB2312"/>
          <w:bCs/>
          <w:vertAlign w:val="superscript"/>
        </w:rPr>
        <w:t>3</w:t>
      </w:r>
      <w:r>
        <w:rPr>
          <w:rFonts w:eastAsia="仿宋_GB2312"/>
          <w:bCs/>
        </w:rPr>
        <w:t>。</w:t>
      </w:r>
    </w:p>
    <w:p w14:paraId="766D8C02">
      <w:pPr>
        <w:adjustRightInd w:val="0"/>
        <w:spacing w:line="500" w:lineRule="exact"/>
        <w:ind w:firstLine="560" w:firstLineChars="200"/>
        <w:rPr>
          <w:rFonts w:eastAsia="仿宋_GB2312"/>
          <w:sz w:val="28"/>
          <w:szCs w:val="28"/>
        </w:rPr>
      </w:pPr>
      <w:r>
        <w:rPr>
          <w:rFonts w:eastAsia="仿宋_GB2312"/>
          <w:sz w:val="28"/>
          <w:szCs w:val="28"/>
        </w:rPr>
        <w:t>（2）企业厂区内无组织废气监测情况</w:t>
      </w:r>
    </w:p>
    <w:p w14:paraId="63A12E06">
      <w:pPr>
        <w:adjustRightInd w:val="0"/>
        <w:spacing w:line="500" w:lineRule="exact"/>
        <w:ind w:firstLine="560" w:firstLineChars="200"/>
        <w:rPr>
          <w:rFonts w:eastAsia="仿宋_GB2312"/>
          <w:sz w:val="28"/>
          <w:szCs w:val="28"/>
        </w:rPr>
      </w:pPr>
      <w:r>
        <w:rPr>
          <w:rFonts w:eastAsia="仿宋_GB2312"/>
          <w:sz w:val="28"/>
          <w:szCs w:val="28"/>
        </w:rPr>
        <w:t>厂区内无组织非甲烷总烃排放情况见表3.1-</w:t>
      </w:r>
      <w:r>
        <w:rPr>
          <w:rFonts w:hint="eastAsia" w:eastAsia="仿宋_GB2312"/>
          <w:sz w:val="28"/>
          <w:szCs w:val="28"/>
        </w:rPr>
        <w:t>9</w:t>
      </w:r>
      <w:r>
        <w:rPr>
          <w:rFonts w:eastAsia="仿宋_GB2312"/>
          <w:sz w:val="28"/>
          <w:szCs w:val="28"/>
        </w:rPr>
        <w:t>。</w:t>
      </w:r>
    </w:p>
    <w:p w14:paraId="396F7B6A">
      <w:pPr>
        <w:spacing w:line="500" w:lineRule="exact"/>
        <w:jc w:val="center"/>
        <w:rPr>
          <w:rFonts w:eastAsia="仿宋_GB2312"/>
          <w:b/>
          <w:sz w:val="24"/>
        </w:rPr>
      </w:pPr>
      <w:r>
        <w:rPr>
          <w:rFonts w:eastAsia="仿宋_GB2312"/>
          <w:b/>
          <w:sz w:val="24"/>
        </w:rPr>
        <w:t>表3.1-</w:t>
      </w:r>
      <w:r>
        <w:rPr>
          <w:rFonts w:hint="eastAsia" w:eastAsia="仿宋_GB2312"/>
          <w:b/>
          <w:sz w:val="24"/>
        </w:rPr>
        <w:t>9</w:t>
      </w:r>
      <w:r>
        <w:rPr>
          <w:rFonts w:eastAsia="仿宋_GB2312"/>
          <w:b/>
          <w:sz w:val="24"/>
        </w:rPr>
        <w:t xml:space="preserve">  厂区内无组织非甲烷总烃排放情况</w:t>
      </w:r>
    </w:p>
    <w:tbl>
      <w:tblPr>
        <w:tblStyle w:val="88"/>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1159"/>
        <w:gridCol w:w="1125"/>
        <w:gridCol w:w="1495"/>
        <w:gridCol w:w="2238"/>
        <w:gridCol w:w="1447"/>
      </w:tblGrid>
      <w:tr w14:paraId="4FB2530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19" w:type="pct"/>
            <w:vMerge w:val="restart"/>
            <w:tcBorders>
              <w:tl2br w:val="nil"/>
              <w:tr2bl w:val="nil"/>
            </w:tcBorders>
            <w:vAlign w:val="center"/>
          </w:tcPr>
          <w:p w14:paraId="04DE662E">
            <w:pPr>
              <w:snapToGrid w:val="0"/>
              <w:spacing w:line="256" w:lineRule="exact"/>
              <w:jc w:val="center"/>
              <w:rPr>
                <w:rFonts w:eastAsia="仿宋_GB2312"/>
                <w:b/>
                <w:szCs w:val="21"/>
              </w:rPr>
            </w:pPr>
            <w:r>
              <w:rPr>
                <w:rFonts w:eastAsia="仿宋_GB2312"/>
                <w:b/>
                <w:szCs w:val="21"/>
              </w:rPr>
              <w:t>采样</w:t>
            </w:r>
          </w:p>
          <w:p w14:paraId="6302AFED">
            <w:pPr>
              <w:snapToGrid w:val="0"/>
              <w:spacing w:line="256" w:lineRule="exact"/>
              <w:jc w:val="center"/>
              <w:rPr>
                <w:rFonts w:eastAsia="仿宋_GB2312"/>
                <w:b/>
                <w:szCs w:val="21"/>
              </w:rPr>
            </w:pPr>
            <w:r>
              <w:rPr>
                <w:rFonts w:eastAsia="仿宋_GB2312"/>
                <w:b/>
                <w:szCs w:val="21"/>
              </w:rPr>
              <w:t>时间</w:t>
            </w:r>
          </w:p>
        </w:tc>
        <w:tc>
          <w:tcPr>
            <w:tcW w:w="680" w:type="pct"/>
            <w:vMerge w:val="restart"/>
            <w:tcBorders>
              <w:tl2br w:val="nil"/>
              <w:tr2bl w:val="nil"/>
            </w:tcBorders>
            <w:vAlign w:val="center"/>
          </w:tcPr>
          <w:p w14:paraId="7924004B">
            <w:pPr>
              <w:snapToGrid w:val="0"/>
              <w:spacing w:line="256" w:lineRule="exact"/>
              <w:jc w:val="center"/>
              <w:rPr>
                <w:rFonts w:eastAsia="仿宋_GB2312"/>
                <w:b/>
                <w:szCs w:val="21"/>
              </w:rPr>
            </w:pPr>
            <w:r>
              <w:rPr>
                <w:rFonts w:eastAsia="仿宋_GB2312"/>
                <w:b/>
                <w:szCs w:val="21"/>
              </w:rPr>
              <w:t>污染物</w:t>
            </w:r>
          </w:p>
        </w:tc>
        <w:tc>
          <w:tcPr>
            <w:tcW w:w="660" w:type="pct"/>
            <w:vMerge w:val="restart"/>
            <w:tcBorders>
              <w:tl2br w:val="nil"/>
              <w:tr2bl w:val="nil"/>
            </w:tcBorders>
            <w:vAlign w:val="center"/>
          </w:tcPr>
          <w:p w14:paraId="752C3E58">
            <w:pPr>
              <w:snapToGrid w:val="0"/>
              <w:spacing w:line="256" w:lineRule="exact"/>
              <w:jc w:val="center"/>
              <w:rPr>
                <w:rFonts w:eastAsia="仿宋_GB2312"/>
                <w:b/>
                <w:spacing w:val="-12"/>
                <w:szCs w:val="21"/>
              </w:rPr>
            </w:pPr>
            <w:r>
              <w:rPr>
                <w:rFonts w:eastAsia="仿宋_GB2312"/>
                <w:b/>
                <w:spacing w:val="-12"/>
                <w:szCs w:val="21"/>
              </w:rPr>
              <w:t>点位</w:t>
            </w:r>
          </w:p>
        </w:tc>
        <w:tc>
          <w:tcPr>
            <w:tcW w:w="877" w:type="pct"/>
            <w:vMerge w:val="restart"/>
            <w:tcBorders>
              <w:tl2br w:val="nil"/>
              <w:tr2bl w:val="nil"/>
            </w:tcBorders>
            <w:vAlign w:val="center"/>
          </w:tcPr>
          <w:p w14:paraId="3D60B4F9">
            <w:pPr>
              <w:snapToGrid w:val="0"/>
              <w:spacing w:line="284" w:lineRule="exact"/>
              <w:jc w:val="center"/>
              <w:rPr>
                <w:rFonts w:eastAsia="仿宋_GB2312"/>
                <w:b/>
                <w:szCs w:val="21"/>
              </w:rPr>
            </w:pPr>
            <w:r>
              <w:rPr>
                <w:rFonts w:eastAsia="仿宋_GB2312"/>
                <w:b/>
                <w:bCs/>
                <w:szCs w:val="21"/>
              </w:rPr>
              <w:t>浓度最高值（mg/m</w:t>
            </w:r>
            <w:r>
              <w:rPr>
                <w:rFonts w:eastAsia="仿宋_GB2312"/>
                <w:b/>
                <w:bCs/>
                <w:szCs w:val="21"/>
                <w:vertAlign w:val="superscript"/>
              </w:rPr>
              <w:t>3</w:t>
            </w:r>
            <w:r>
              <w:rPr>
                <w:rFonts w:eastAsia="仿宋_GB2312"/>
                <w:b/>
                <w:bCs/>
                <w:szCs w:val="21"/>
              </w:rPr>
              <w:t>）</w:t>
            </w:r>
          </w:p>
        </w:tc>
        <w:tc>
          <w:tcPr>
            <w:tcW w:w="2162" w:type="pct"/>
            <w:gridSpan w:val="2"/>
            <w:tcBorders>
              <w:tl2br w:val="nil"/>
              <w:tr2bl w:val="nil"/>
            </w:tcBorders>
            <w:vAlign w:val="center"/>
          </w:tcPr>
          <w:p w14:paraId="420B89CD">
            <w:pPr>
              <w:snapToGrid w:val="0"/>
              <w:spacing w:line="256" w:lineRule="exact"/>
              <w:jc w:val="center"/>
              <w:rPr>
                <w:rFonts w:eastAsia="仿宋_GB2312"/>
                <w:b/>
                <w:szCs w:val="21"/>
              </w:rPr>
            </w:pPr>
            <w:r>
              <w:rPr>
                <w:rFonts w:hint="eastAsia" w:eastAsia="仿宋_GB2312"/>
                <w:b/>
                <w:szCs w:val="21"/>
              </w:rPr>
              <w:t>执行</w:t>
            </w:r>
            <w:r>
              <w:rPr>
                <w:rFonts w:eastAsia="仿宋_GB2312"/>
                <w:b/>
                <w:szCs w:val="21"/>
              </w:rPr>
              <w:t>标准</w:t>
            </w:r>
          </w:p>
        </w:tc>
      </w:tr>
      <w:tr w14:paraId="2E0586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19" w:type="pct"/>
            <w:vMerge w:val="continue"/>
            <w:tcBorders>
              <w:tl2br w:val="nil"/>
              <w:tr2bl w:val="nil"/>
            </w:tcBorders>
            <w:vAlign w:val="center"/>
          </w:tcPr>
          <w:p w14:paraId="0728911C">
            <w:pPr>
              <w:snapToGrid w:val="0"/>
              <w:spacing w:line="256" w:lineRule="exact"/>
              <w:jc w:val="center"/>
              <w:rPr>
                <w:rFonts w:eastAsia="仿宋_GB2312"/>
                <w:b/>
                <w:szCs w:val="21"/>
              </w:rPr>
            </w:pPr>
          </w:p>
        </w:tc>
        <w:tc>
          <w:tcPr>
            <w:tcW w:w="680" w:type="pct"/>
            <w:vMerge w:val="continue"/>
            <w:tcBorders>
              <w:tl2br w:val="nil"/>
              <w:tr2bl w:val="nil"/>
            </w:tcBorders>
            <w:vAlign w:val="center"/>
          </w:tcPr>
          <w:p w14:paraId="3A5396EB">
            <w:pPr>
              <w:snapToGrid w:val="0"/>
              <w:spacing w:line="256" w:lineRule="exact"/>
              <w:jc w:val="center"/>
              <w:rPr>
                <w:rFonts w:eastAsia="仿宋_GB2312"/>
                <w:b/>
                <w:szCs w:val="21"/>
              </w:rPr>
            </w:pPr>
          </w:p>
        </w:tc>
        <w:tc>
          <w:tcPr>
            <w:tcW w:w="660" w:type="pct"/>
            <w:vMerge w:val="continue"/>
            <w:tcBorders>
              <w:tl2br w:val="nil"/>
              <w:tr2bl w:val="nil"/>
            </w:tcBorders>
            <w:vAlign w:val="center"/>
          </w:tcPr>
          <w:p w14:paraId="33D1949B">
            <w:pPr>
              <w:snapToGrid w:val="0"/>
              <w:spacing w:line="256" w:lineRule="exact"/>
              <w:jc w:val="center"/>
              <w:rPr>
                <w:rFonts w:eastAsia="仿宋_GB2312"/>
                <w:b/>
                <w:szCs w:val="21"/>
              </w:rPr>
            </w:pPr>
          </w:p>
        </w:tc>
        <w:tc>
          <w:tcPr>
            <w:tcW w:w="877" w:type="pct"/>
            <w:vMerge w:val="continue"/>
            <w:tcBorders>
              <w:tl2br w:val="nil"/>
              <w:tr2bl w:val="nil"/>
            </w:tcBorders>
            <w:vAlign w:val="center"/>
          </w:tcPr>
          <w:p w14:paraId="0A3ED2FB">
            <w:pPr>
              <w:snapToGrid w:val="0"/>
              <w:spacing w:line="256" w:lineRule="exact"/>
              <w:jc w:val="center"/>
              <w:rPr>
                <w:rFonts w:eastAsia="仿宋_GB2312"/>
                <w:b/>
                <w:szCs w:val="21"/>
              </w:rPr>
            </w:pPr>
          </w:p>
        </w:tc>
        <w:tc>
          <w:tcPr>
            <w:tcW w:w="1313" w:type="pct"/>
            <w:tcBorders>
              <w:tl2br w:val="nil"/>
              <w:tr2bl w:val="nil"/>
            </w:tcBorders>
            <w:vAlign w:val="center"/>
          </w:tcPr>
          <w:p w14:paraId="2730A467">
            <w:pPr>
              <w:snapToGrid w:val="0"/>
              <w:spacing w:line="256" w:lineRule="exact"/>
              <w:jc w:val="center"/>
              <w:rPr>
                <w:rFonts w:eastAsia="仿宋_GB2312"/>
                <w:b/>
                <w:szCs w:val="21"/>
              </w:rPr>
            </w:pPr>
            <w:r>
              <w:rPr>
                <w:rFonts w:eastAsia="仿宋_GB2312"/>
                <w:b/>
                <w:szCs w:val="21"/>
              </w:rPr>
              <w:t>标准名称</w:t>
            </w:r>
          </w:p>
        </w:tc>
        <w:tc>
          <w:tcPr>
            <w:tcW w:w="849" w:type="pct"/>
            <w:tcBorders>
              <w:tl2br w:val="nil"/>
              <w:tr2bl w:val="nil"/>
            </w:tcBorders>
            <w:vAlign w:val="center"/>
          </w:tcPr>
          <w:p w14:paraId="101FC642">
            <w:pPr>
              <w:snapToGrid w:val="0"/>
              <w:spacing w:line="284" w:lineRule="exact"/>
              <w:jc w:val="center"/>
              <w:rPr>
                <w:rFonts w:eastAsia="仿宋_GB2312"/>
                <w:b/>
                <w:spacing w:val="-6"/>
                <w:szCs w:val="21"/>
              </w:rPr>
            </w:pPr>
            <w:r>
              <w:rPr>
                <w:rFonts w:eastAsia="仿宋_GB2312"/>
                <w:b/>
                <w:bCs/>
                <w:szCs w:val="21"/>
              </w:rPr>
              <w:t>厂界浓度限值（mg/m</w:t>
            </w:r>
            <w:r>
              <w:rPr>
                <w:rFonts w:eastAsia="仿宋_GB2312"/>
                <w:b/>
                <w:bCs/>
                <w:szCs w:val="21"/>
                <w:vertAlign w:val="superscript"/>
              </w:rPr>
              <w:t>3</w:t>
            </w:r>
            <w:r>
              <w:rPr>
                <w:rFonts w:eastAsia="仿宋_GB2312"/>
                <w:b/>
                <w:bCs/>
                <w:szCs w:val="21"/>
              </w:rPr>
              <w:t>）</w:t>
            </w:r>
          </w:p>
        </w:tc>
      </w:tr>
      <w:tr w14:paraId="274F07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19" w:type="pct"/>
            <w:vMerge w:val="restart"/>
            <w:tcBorders>
              <w:tl2br w:val="nil"/>
              <w:tr2bl w:val="nil"/>
            </w:tcBorders>
            <w:vAlign w:val="center"/>
          </w:tcPr>
          <w:p w14:paraId="25000343">
            <w:pPr>
              <w:snapToGrid w:val="0"/>
              <w:spacing w:line="256" w:lineRule="exact"/>
              <w:jc w:val="center"/>
              <w:rPr>
                <w:rFonts w:eastAsia="仿宋_GB2312"/>
                <w:szCs w:val="21"/>
              </w:rPr>
            </w:pPr>
            <w:r>
              <w:rPr>
                <w:rFonts w:eastAsia="仿宋_GB2312"/>
                <w:szCs w:val="21"/>
              </w:rPr>
              <w:t>2023.5.</w:t>
            </w:r>
            <w:r>
              <w:rPr>
                <w:rFonts w:hint="eastAsia" w:eastAsia="仿宋_GB2312"/>
                <w:szCs w:val="21"/>
              </w:rPr>
              <w:t>28</w:t>
            </w:r>
          </w:p>
        </w:tc>
        <w:tc>
          <w:tcPr>
            <w:tcW w:w="680" w:type="pct"/>
            <w:vMerge w:val="restart"/>
            <w:tcBorders>
              <w:tl2br w:val="nil"/>
              <w:tr2bl w:val="nil"/>
            </w:tcBorders>
            <w:vAlign w:val="center"/>
          </w:tcPr>
          <w:p w14:paraId="0C89EFA5">
            <w:pPr>
              <w:snapToGrid w:val="0"/>
              <w:spacing w:line="256" w:lineRule="exact"/>
              <w:jc w:val="center"/>
              <w:rPr>
                <w:rFonts w:eastAsia="仿宋_GB2312"/>
                <w:szCs w:val="21"/>
              </w:rPr>
            </w:pPr>
            <w:r>
              <w:rPr>
                <w:rFonts w:eastAsia="仿宋_GB2312"/>
                <w:szCs w:val="21"/>
              </w:rPr>
              <w:t>非甲烷总烃</w:t>
            </w:r>
          </w:p>
        </w:tc>
        <w:tc>
          <w:tcPr>
            <w:tcW w:w="660" w:type="pct"/>
            <w:vMerge w:val="restart"/>
            <w:tcBorders>
              <w:tl2br w:val="nil"/>
              <w:tr2bl w:val="nil"/>
            </w:tcBorders>
            <w:vAlign w:val="center"/>
          </w:tcPr>
          <w:p w14:paraId="22BB394D">
            <w:pPr>
              <w:snapToGrid w:val="0"/>
              <w:spacing w:line="256" w:lineRule="exact"/>
              <w:jc w:val="center"/>
              <w:rPr>
                <w:rFonts w:eastAsia="仿宋_GB2312"/>
                <w:szCs w:val="21"/>
              </w:rPr>
            </w:pPr>
            <w:r>
              <w:rPr>
                <w:rFonts w:hint="eastAsia" w:eastAsia="仿宋_GB2312"/>
                <w:szCs w:val="21"/>
              </w:rPr>
              <w:t>车间外1m</w:t>
            </w:r>
          </w:p>
        </w:tc>
        <w:tc>
          <w:tcPr>
            <w:tcW w:w="877" w:type="pct"/>
            <w:tcBorders>
              <w:tl2br w:val="nil"/>
              <w:tr2bl w:val="nil"/>
            </w:tcBorders>
            <w:vAlign w:val="center"/>
          </w:tcPr>
          <w:p w14:paraId="039206D5">
            <w:pPr>
              <w:snapToGrid w:val="0"/>
              <w:spacing w:line="256" w:lineRule="exact"/>
              <w:jc w:val="center"/>
              <w:rPr>
                <w:rFonts w:eastAsia="仿宋_GB2312"/>
                <w:szCs w:val="21"/>
              </w:rPr>
            </w:pPr>
            <w:r>
              <w:rPr>
                <w:rFonts w:hint="eastAsia" w:eastAsia="仿宋_GB2312"/>
                <w:szCs w:val="21"/>
              </w:rPr>
              <w:t>0.54</w:t>
            </w:r>
          </w:p>
        </w:tc>
        <w:tc>
          <w:tcPr>
            <w:tcW w:w="1313" w:type="pct"/>
            <w:vMerge w:val="restart"/>
            <w:tcBorders>
              <w:tl2br w:val="nil"/>
              <w:tr2bl w:val="nil"/>
            </w:tcBorders>
            <w:vAlign w:val="center"/>
          </w:tcPr>
          <w:p w14:paraId="141CD447">
            <w:pPr>
              <w:snapToGrid w:val="0"/>
              <w:spacing w:line="256" w:lineRule="exact"/>
              <w:jc w:val="center"/>
              <w:rPr>
                <w:rFonts w:eastAsia="仿宋_GB2312"/>
                <w:szCs w:val="21"/>
              </w:rPr>
            </w:pPr>
            <w:r>
              <w:rPr>
                <w:rFonts w:eastAsia="仿宋_GB2312"/>
                <w:szCs w:val="21"/>
              </w:rPr>
              <w:t>《大气污染物综合排放标准》（DB32/4041-2021）</w:t>
            </w:r>
          </w:p>
        </w:tc>
        <w:tc>
          <w:tcPr>
            <w:tcW w:w="849" w:type="pct"/>
            <w:tcBorders>
              <w:tl2br w:val="nil"/>
              <w:tr2bl w:val="nil"/>
            </w:tcBorders>
            <w:vAlign w:val="center"/>
          </w:tcPr>
          <w:p w14:paraId="3108526E">
            <w:pPr>
              <w:snapToGrid w:val="0"/>
              <w:spacing w:line="256" w:lineRule="exact"/>
              <w:jc w:val="center"/>
              <w:rPr>
                <w:rFonts w:eastAsia="仿宋_GB2312"/>
                <w:szCs w:val="21"/>
              </w:rPr>
            </w:pPr>
            <w:r>
              <w:rPr>
                <w:rFonts w:eastAsia="仿宋_GB2312"/>
                <w:szCs w:val="21"/>
              </w:rPr>
              <w:t>20</w:t>
            </w:r>
          </w:p>
        </w:tc>
      </w:tr>
      <w:tr w14:paraId="2C7976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19" w:type="pct"/>
            <w:vMerge w:val="continue"/>
            <w:tcBorders>
              <w:tl2br w:val="nil"/>
              <w:tr2bl w:val="nil"/>
            </w:tcBorders>
            <w:vAlign w:val="center"/>
          </w:tcPr>
          <w:p w14:paraId="1DCC57F4">
            <w:pPr>
              <w:snapToGrid w:val="0"/>
              <w:spacing w:line="256" w:lineRule="exact"/>
              <w:jc w:val="center"/>
              <w:rPr>
                <w:rFonts w:eastAsia="仿宋_GB2312"/>
                <w:szCs w:val="21"/>
              </w:rPr>
            </w:pPr>
          </w:p>
        </w:tc>
        <w:tc>
          <w:tcPr>
            <w:tcW w:w="680" w:type="pct"/>
            <w:vMerge w:val="continue"/>
            <w:tcBorders>
              <w:tl2br w:val="nil"/>
              <w:tr2bl w:val="nil"/>
            </w:tcBorders>
            <w:vAlign w:val="center"/>
          </w:tcPr>
          <w:p w14:paraId="4356F405">
            <w:pPr>
              <w:snapToGrid w:val="0"/>
              <w:spacing w:line="256" w:lineRule="exact"/>
              <w:jc w:val="center"/>
              <w:rPr>
                <w:rFonts w:eastAsia="仿宋_GB2312"/>
                <w:szCs w:val="21"/>
              </w:rPr>
            </w:pPr>
          </w:p>
        </w:tc>
        <w:tc>
          <w:tcPr>
            <w:tcW w:w="660" w:type="pct"/>
            <w:vMerge w:val="continue"/>
            <w:tcBorders>
              <w:tl2br w:val="nil"/>
              <w:tr2bl w:val="nil"/>
            </w:tcBorders>
            <w:vAlign w:val="center"/>
          </w:tcPr>
          <w:p w14:paraId="79DC4F7C">
            <w:pPr>
              <w:snapToGrid w:val="0"/>
              <w:spacing w:line="256" w:lineRule="exact"/>
              <w:jc w:val="center"/>
              <w:rPr>
                <w:rFonts w:eastAsia="仿宋_GB2312"/>
                <w:szCs w:val="21"/>
              </w:rPr>
            </w:pPr>
          </w:p>
        </w:tc>
        <w:tc>
          <w:tcPr>
            <w:tcW w:w="877" w:type="pct"/>
            <w:tcBorders>
              <w:tl2br w:val="nil"/>
              <w:tr2bl w:val="nil"/>
            </w:tcBorders>
            <w:vAlign w:val="center"/>
          </w:tcPr>
          <w:p w14:paraId="13E248ED">
            <w:pPr>
              <w:snapToGrid w:val="0"/>
              <w:spacing w:line="256" w:lineRule="exact"/>
              <w:jc w:val="center"/>
              <w:rPr>
                <w:rFonts w:eastAsia="仿宋_GB2312"/>
                <w:szCs w:val="21"/>
              </w:rPr>
            </w:pPr>
            <w:r>
              <w:rPr>
                <w:rFonts w:hint="eastAsia" w:eastAsia="仿宋_GB2312"/>
                <w:szCs w:val="21"/>
              </w:rPr>
              <w:t>0.52</w:t>
            </w:r>
          </w:p>
        </w:tc>
        <w:tc>
          <w:tcPr>
            <w:tcW w:w="1313" w:type="pct"/>
            <w:vMerge w:val="continue"/>
            <w:tcBorders>
              <w:tl2br w:val="nil"/>
              <w:tr2bl w:val="nil"/>
            </w:tcBorders>
            <w:vAlign w:val="center"/>
          </w:tcPr>
          <w:p w14:paraId="6B146FC1">
            <w:pPr>
              <w:snapToGrid w:val="0"/>
              <w:spacing w:line="256" w:lineRule="exact"/>
              <w:jc w:val="center"/>
              <w:rPr>
                <w:rFonts w:eastAsia="仿宋_GB2312"/>
                <w:szCs w:val="21"/>
              </w:rPr>
            </w:pPr>
          </w:p>
        </w:tc>
        <w:tc>
          <w:tcPr>
            <w:tcW w:w="849" w:type="pct"/>
            <w:tcBorders>
              <w:tl2br w:val="nil"/>
              <w:tr2bl w:val="nil"/>
            </w:tcBorders>
            <w:vAlign w:val="center"/>
          </w:tcPr>
          <w:p w14:paraId="0A104025">
            <w:pPr>
              <w:snapToGrid w:val="0"/>
              <w:spacing w:line="256" w:lineRule="exact"/>
              <w:jc w:val="center"/>
              <w:rPr>
                <w:rFonts w:eastAsia="仿宋_GB2312"/>
                <w:szCs w:val="21"/>
              </w:rPr>
            </w:pPr>
            <w:r>
              <w:rPr>
                <w:rFonts w:eastAsia="仿宋_GB2312"/>
                <w:szCs w:val="21"/>
              </w:rPr>
              <w:t>6</w:t>
            </w:r>
          </w:p>
        </w:tc>
      </w:tr>
    </w:tbl>
    <w:p w14:paraId="4AD05D03">
      <w:pPr>
        <w:widowControl/>
        <w:spacing w:line="500" w:lineRule="exact"/>
        <w:ind w:firstLine="560" w:firstLineChars="200"/>
        <w:rPr>
          <w:rFonts w:eastAsia="仿宋_GB2312"/>
          <w:sz w:val="28"/>
          <w:szCs w:val="28"/>
        </w:rPr>
      </w:pPr>
      <w:r>
        <w:rPr>
          <w:rFonts w:eastAsia="仿宋_GB2312"/>
          <w:sz w:val="28"/>
          <w:szCs w:val="28"/>
        </w:rPr>
        <w:t>由上表3.1-</w:t>
      </w:r>
      <w:r>
        <w:rPr>
          <w:rFonts w:hint="eastAsia" w:eastAsia="仿宋_GB2312"/>
          <w:sz w:val="28"/>
          <w:szCs w:val="28"/>
        </w:rPr>
        <w:t>8</w:t>
      </w:r>
      <w:r>
        <w:rPr>
          <w:rFonts w:eastAsia="仿宋_GB2312"/>
          <w:sz w:val="28"/>
          <w:szCs w:val="28"/>
        </w:rPr>
        <w:t>和表3.1-</w:t>
      </w:r>
      <w:r>
        <w:rPr>
          <w:rFonts w:hint="eastAsia" w:eastAsia="仿宋_GB2312"/>
          <w:sz w:val="28"/>
          <w:szCs w:val="28"/>
        </w:rPr>
        <w:t>9</w:t>
      </w:r>
      <w:r>
        <w:rPr>
          <w:rFonts w:eastAsia="仿宋_GB2312"/>
          <w:sz w:val="28"/>
          <w:szCs w:val="28"/>
        </w:rPr>
        <w:t>可知，企业厂界无组织废气和厂区内无组织废气符合浓度限值要求。</w:t>
      </w:r>
    </w:p>
    <w:p w14:paraId="368D0632">
      <w:pPr>
        <w:widowControl/>
        <w:spacing w:line="500" w:lineRule="exact"/>
        <w:ind w:firstLine="560" w:firstLineChars="200"/>
        <w:rPr>
          <w:rFonts w:eastAsia="仿宋_GB2312"/>
          <w:color w:val="FF0000"/>
          <w:sz w:val="28"/>
          <w:szCs w:val="28"/>
        </w:rPr>
      </w:pPr>
    </w:p>
    <w:p w14:paraId="5B33784A">
      <w:pPr>
        <w:widowControl/>
        <w:spacing w:line="500" w:lineRule="exact"/>
        <w:ind w:firstLine="560" w:firstLineChars="200"/>
        <w:rPr>
          <w:rFonts w:eastAsia="仿宋_GB2312"/>
          <w:color w:val="FF0000"/>
          <w:sz w:val="28"/>
          <w:szCs w:val="28"/>
        </w:rPr>
      </w:pPr>
    </w:p>
    <w:p w14:paraId="609A9DB3">
      <w:pPr>
        <w:widowControl/>
        <w:jc w:val="left"/>
        <w:rPr>
          <w:rFonts w:eastAsia="仿宋_GB2312"/>
          <w:b/>
          <w:bCs/>
          <w:color w:val="FF0000"/>
          <w:sz w:val="28"/>
          <w:szCs w:val="28"/>
        </w:rPr>
      </w:pPr>
      <w:r>
        <w:rPr>
          <w:rFonts w:eastAsia="仿宋_GB2312"/>
          <w:b/>
          <w:bCs/>
          <w:color w:val="FF0000"/>
          <w:sz w:val="28"/>
          <w:szCs w:val="28"/>
        </w:rPr>
        <w:br w:type="page"/>
      </w:r>
    </w:p>
    <w:p w14:paraId="26A0CEAB">
      <w:pPr>
        <w:pStyle w:val="7"/>
        <w:keepLines w:val="0"/>
        <w:widowControl/>
        <w:adjustRightInd w:val="0"/>
        <w:snapToGrid w:val="0"/>
        <w:spacing w:after="120" w:afterLines="50"/>
        <w:jc w:val="left"/>
        <w:rPr>
          <w:rFonts w:ascii="Times New Roman" w:hAnsi="Times New Roman"/>
          <w:b/>
        </w:rPr>
      </w:pPr>
      <w:r>
        <w:rPr>
          <w:rFonts w:ascii="Times New Roman" w:hAnsi="Times New Roman"/>
          <w:b/>
        </w:rPr>
        <w:t>3.1.</w:t>
      </w:r>
      <w:r>
        <w:rPr>
          <w:rFonts w:hint="eastAsia" w:ascii="Times New Roman" w:hAnsi="Times New Roman"/>
          <w:b/>
        </w:rPr>
        <w:t>5</w:t>
      </w:r>
      <w:r>
        <w:rPr>
          <w:rFonts w:ascii="Times New Roman" w:hAnsi="Times New Roman"/>
          <w:b/>
        </w:rPr>
        <w:t>.2已建项目废水污染防治措施汇总</w:t>
      </w:r>
    </w:p>
    <w:p w14:paraId="02254C84">
      <w:pPr>
        <w:widowControl/>
        <w:spacing w:line="500" w:lineRule="exact"/>
        <w:ind w:firstLine="560" w:firstLineChars="200"/>
        <w:rPr>
          <w:rFonts w:eastAsia="仿宋_GB2312"/>
          <w:sz w:val="28"/>
          <w:szCs w:val="28"/>
        </w:rPr>
      </w:pPr>
      <w:r>
        <w:rPr>
          <w:rFonts w:eastAsia="仿宋_GB2312"/>
          <w:sz w:val="28"/>
          <w:szCs w:val="28"/>
        </w:rPr>
        <w:t>公司厂区排水系统分为污水、雨水排放系统；全厂已置1个污水接管口、1个雨水排放口；后期雨水、清下水通过雨水排放口排入园区雨水管网。</w:t>
      </w:r>
    </w:p>
    <w:p w14:paraId="6BF527FC">
      <w:pPr>
        <w:widowControl/>
        <w:spacing w:line="500" w:lineRule="exact"/>
        <w:ind w:firstLine="560" w:firstLineChars="200"/>
        <w:rPr>
          <w:rFonts w:eastAsia="仿宋_GB2312"/>
          <w:sz w:val="28"/>
          <w:szCs w:val="28"/>
        </w:rPr>
      </w:pPr>
      <w:r>
        <w:rPr>
          <w:rFonts w:hint="eastAsia" w:eastAsia="仿宋_GB2312"/>
          <w:sz w:val="28"/>
          <w:szCs w:val="28"/>
        </w:rPr>
        <w:t>（1）厂区各类废水处理方式如下：</w:t>
      </w:r>
    </w:p>
    <w:p w14:paraId="370BEC0E">
      <w:pPr>
        <w:widowControl/>
        <w:spacing w:line="500" w:lineRule="exact"/>
        <w:ind w:firstLine="560" w:firstLineChars="200"/>
        <w:rPr>
          <w:rFonts w:eastAsia="仿宋_GB2312"/>
          <w:color w:val="auto"/>
          <w:sz w:val="28"/>
          <w:szCs w:val="28"/>
        </w:rPr>
      </w:pPr>
      <w:r>
        <w:rPr>
          <w:rFonts w:eastAsia="仿宋_GB2312"/>
          <w:color w:val="auto"/>
          <w:sz w:val="28"/>
          <w:szCs w:val="28"/>
        </w:rPr>
        <w:t>①地面冲洗废水、化验室废水、生活污水、1#循环冷却系统排水和初期雨水收集后经1#污水站处理后达标后接管至常州民生环保科技有限公司集中处理。</w:t>
      </w:r>
    </w:p>
    <w:p w14:paraId="5F6BA914">
      <w:pPr>
        <w:widowControl/>
        <w:spacing w:line="500" w:lineRule="exact"/>
        <w:ind w:firstLine="560" w:firstLineChars="200"/>
        <w:rPr>
          <w:rFonts w:eastAsia="仿宋_GB2312"/>
          <w:sz w:val="28"/>
          <w:szCs w:val="28"/>
        </w:rPr>
      </w:pPr>
      <w:r>
        <w:rPr>
          <w:rFonts w:eastAsia="仿宋_GB2312"/>
          <w:sz w:val="28"/>
          <w:szCs w:val="28"/>
        </w:rPr>
        <w:t>②纯水制备净排水、锅炉排污水、离子交换树脂废水、循环冷却排污水套用于急冷工段、湿法脱酸、水封刮板出渣以及配伍间废气吸收水；焚烧烟气吸收废水、湿法脱酸废水、配伍间废气吸收废水、水封刮板出渣废水经三效蒸发处理后回用于废气处理、湿法脱酸及水封刮板出渣用水环节。</w:t>
      </w:r>
    </w:p>
    <w:p w14:paraId="404255DB">
      <w:pPr>
        <w:widowControl/>
        <w:spacing w:line="500" w:lineRule="exact"/>
        <w:ind w:firstLine="560" w:firstLineChars="200"/>
        <w:rPr>
          <w:rFonts w:eastAsia="仿宋_GB2312"/>
          <w:sz w:val="28"/>
          <w:szCs w:val="28"/>
        </w:rPr>
      </w:pPr>
      <w:r>
        <w:rPr>
          <w:rFonts w:eastAsia="仿宋_GB2312"/>
          <w:sz w:val="28"/>
          <w:szCs w:val="28"/>
        </w:rPr>
        <w:t>③危废综合利用技改项目产生的工艺废水、废气喷淋废水、活性炭脱附再生废水收集经3#污水站处理后部分厂区内回用</w:t>
      </w:r>
      <w:r>
        <w:rPr>
          <w:rFonts w:hint="eastAsia" w:eastAsia="仿宋_GB2312"/>
          <w:sz w:val="28"/>
          <w:szCs w:val="28"/>
        </w:rPr>
        <w:t>（事故应急情况下可接管至民生中水回用系统）</w:t>
      </w:r>
      <w:r>
        <w:rPr>
          <w:rFonts w:eastAsia="仿宋_GB2312"/>
          <w:sz w:val="28"/>
          <w:szCs w:val="28"/>
        </w:rPr>
        <w:t>；循环冷却系统排污水经RO膜处理后淡水回用于本系统，RO膜浓排水经三效蒸发处理后返回3#污水站处理。</w:t>
      </w:r>
    </w:p>
    <w:p w14:paraId="4BE49A7C">
      <w:pPr>
        <w:widowControl/>
        <w:spacing w:line="500" w:lineRule="exact"/>
        <w:ind w:firstLine="560" w:firstLineChars="200"/>
        <w:rPr>
          <w:rFonts w:eastAsia="仿宋_GB2312"/>
          <w:sz w:val="28"/>
          <w:szCs w:val="28"/>
        </w:rPr>
      </w:pPr>
      <w:r>
        <w:rPr>
          <w:rFonts w:eastAsia="仿宋_GB2312"/>
          <w:sz w:val="28"/>
          <w:szCs w:val="28"/>
        </w:rPr>
        <w:t>④清下水排入园区雨水管网。</w:t>
      </w:r>
    </w:p>
    <w:p w14:paraId="1C075E6A">
      <w:pPr>
        <w:widowControl/>
        <w:spacing w:line="500" w:lineRule="exact"/>
        <w:ind w:firstLine="560" w:firstLineChars="200"/>
        <w:rPr>
          <w:rFonts w:eastAsia="仿宋_GB2312"/>
          <w:sz w:val="28"/>
          <w:szCs w:val="28"/>
        </w:rPr>
      </w:pPr>
      <w:r>
        <w:rPr>
          <w:rFonts w:hint="eastAsia" w:eastAsia="仿宋_GB2312"/>
          <w:sz w:val="28"/>
          <w:szCs w:val="28"/>
        </w:rPr>
        <w:t>（2）污水站处理工艺</w:t>
      </w:r>
    </w:p>
    <w:p w14:paraId="61BDDA67">
      <w:pPr>
        <w:widowControl/>
        <w:spacing w:line="500" w:lineRule="exact"/>
        <w:ind w:firstLine="560" w:firstLineChars="200"/>
        <w:rPr>
          <w:rFonts w:eastAsia="仿宋_GB2312"/>
          <w:sz w:val="28"/>
          <w:szCs w:val="28"/>
        </w:rPr>
      </w:pPr>
      <w:r>
        <w:rPr>
          <w:rFonts w:hint="eastAsia" w:eastAsia="仿宋_GB2312"/>
          <w:sz w:val="28"/>
          <w:szCs w:val="28"/>
        </w:rPr>
        <w:t>厂区目前已建成两套污水站：1#污水处理站（处理能力600m</w:t>
      </w:r>
      <w:r>
        <w:rPr>
          <w:rFonts w:hint="eastAsia" w:eastAsia="仿宋_GB2312"/>
          <w:sz w:val="28"/>
          <w:szCs w:val="28"/>
          <w:vertAlign w:val="superscript"/>
        </w:rPr>
        <w:t>3</w:t>
      </w:r>
      <w:r>
        <w:rPr>
          <w:rFonts w:hint="eastAsia" w:eastAsia="仿宋_GB2312"/>
          <w:sz w:val="28"/>
          <w:szCs w:val="28"/>
        </w:rPr>
        <w:t>/d）；3#污水处理站（处理能力300m</w:t>
      </w:r>
      <w:r>
        <w:rPr>
          <w:rFonts w:hint="eastAsia" w:eastAsia="仿宋_GB2312"/>
          <w:sz w:val="28"/>
          <w:szCs w:val="28"/>
          <w:vertAlign w:val="superscript"/>
        </w:rPr>
        <w:t>3</w:t>
      </w:r>
      <w:r>
        <w:rPr>
          <w:rFonts w:hint="eastAsia" w:eastAsia="仿宋_GB2312"/>
          <w:sz w:val="28"/>
          <w:szCs w:val="28"/>
        </w:rPr>
        <w:t>/d），1#污水站工艺流程见图3.1-3，3#污水站工艺流程见图3.1-4。</w:t>
      </w:r>
    </w:p>
    <w:p w14:paraId="4B708FB6">
      <w:pPr>
        <w:widowControl/>
        <w:spacing w:line="500" w:lineRule="exact"/>
        <w:ind w:firstLine="560" w:firstLineChars="200"/>
        <w:rPr>
          <w:rFonts w:eastAsia="仿宋_GB2312"/>
          <w:sz w:val="28"/>
          <w:szCs w:val="28"/>
        </w:rPr>
      </w:pPr>
    </w:p>
    <w:p w14:paraId="38462158">
      <w:pPr>
        <w:widowControl/>
        <w:spacing w:line="500" w:lineRule="exact"/>
        <w:ind w:firstLine="560" w:firstLineChars="200"/>
        <w:rPr>
          <w:rFonts w:eastAsia="仿宋_GB2312"/>
          <w:sz w:val="28"/>
          <w:szCs w:val="28"/>
        </w:rPr>
      </w:pPr>
    </w:p>
    <w:p w14:paraId="7579F9D8">
      <w:pPr>
        <w:widowControl/>
        <w:spacing w:line="500" w:lineRule="exact"/>
        <w:ind w:firstLine="560" w:firstLineChars="200"/>
        <w:rPr>
          <w:rFonts w:eastAsia="仿宋_GB2312"/>
          <w:sz w:val="28"/>
          <w:szCs w:val="28"/>
        </w:rPr>
      </w:pPr>
    </w:p>
    <w:p w14:paraId="6372BB3E">
      <w:pPr>
        <w:widowControl/>
        <w:spacing w:line="500" w:lineRule="exact"/>
        <w:ind w:firstLine="560" w:firstLineChars="200"/>
        <w:rPr>
          <w:rFonts w:eastAsia="仿宋_GB2312"/>
          <w:sz w:val="28"/>
          <w:szCs w:val="28"/>
        </w:rPr>
      </w:pPr>
    </w:p>
    <w:p w14:paraId="43862964">
      <w:pPr>
        <w:widowControl/>
        <w:ind w:firstLine="560" w:firstLineChars="200"/>
        <w:rPr>
          <w:rFonts w:eastAsia="仿宋_GB2312"/>
          <w:sz w:val="28"/>
          <w:szCs w:val="28"/>
        </w:rPr>
      </w:pPr>
      <w:r>
        <w:rPr>
          <w:rFonts w:hint="eastAsia" w:eastAsia="仿宋_GB2312"/>
          <w:sz w:val="28"/>
          <w:szCs w:val="28"/>
        </w:rPr>
        <w:object>
          <v:shape id="_x0000_i1027" o:spt="75" type="#_x0000_t75" style="height:498pt;width:351.75pt;" o:ole="t" filled="f" o:preferrelative="t" stroked="f" coordsize="21600,21600">
            <v:path/>
            <v:fill on="f" focussize="0,0"/>
            <v:stroke on="f" joinstyle="miter"/>
            <v:imagedata r:id="rId19" o:title=""/>
            <o:lock v:ext="edit" aspectratio="f"/>
            <w10:wrap type="none"/>
            <w10:anchorlock/>
          </v:shape>
          <o:OLEObject Type="Embed" ProgID="Visio.Drawing.15" ShapeID="_x0000_i1027" DrawAspect="Content" ObjectID="_1468075727" r:id="rId18">
            <o:LockedField>false</o:LockedField>
          </o:OLEObject>
        </w:object>
      </w:r>
    </w:p>
    <w:p w14:paraId="0CEEC270">
      <w:pPr>
        <w:widowControl/>
        <w:jc w:val="center"/>
        <w:rPr>
          <w:rFonts w:eastAsia="仿宋_GB2312"/>
          <w:sz w:val="28"/>
          <w:szCs w:val="28"/>
        </w:rPr>
      </w:pPr>
      <w:r>
        <w:rPr>
          <w:rFonts w:eastAsia="仿宋_GB2312"/>
          <w:b/>
          <w:sz w:val="24"/>
        </w:rPr>
        <w:t>图3.1-</w:t>
      </w:r>
      <w:r>
        <w:rPr>
          <w:rFonts w:hint="eastAsia" w:eastAsia="仿宋_GB2312"/>
          <w:b/>
          <w:sz w:val="24"/>
        </w:rPr>
        <w:t>3</w:t>
      </w:r>
      <w:r>
        <w:rPr>
          <w:rFonts w:eastAsia="仿宋_GB2312"/>
          <w:b/>
          <w:sz w:val="24"/>
        </w:rPr>
        <w:t xml:space="preserve">  </w:t>
      </w:r>
      <w:r>
        <w:rPr>
          <w:rFonts w:hint="eastAsia" w:eastAsia="仿宋_GB2312"/>
          <w:b/>
          <w:sz w:val="24"/>
        </w:rPr>
        <w:t>1#污水站处理工艺流程图</w:t>
      </w:r>
    </w:p>
    <w:p w14:paraId="3EA605C0">
      <w:pPr>
        <w:widowControl/>
        <w:spacing w:line="500" w:lineRule="exact"/>
        <w:ind w:firstLine="560" w:firstLineChars="200"/>
        <w:rPr>
          <w:rFonts w:eastAsia="仿宋_GB2312"/>
          <w:sz w:val="28"/>
          <w:szCs w:val="28"/>
        </w:rPr>
      </w:pPr>
    </w:p>
    <w:p w14:paraId="02376009">
      <w:pPr>
        <w:rPr>
          <w:rFonts w:eastAsia="仿宋_GB2312"/>
          <w:sz w:val="28"/>
          <w:szCs w:val="28"/>
        </w:rPr>
      </w:pPr>
      <w:r>
        <w:rPr>
          <w:rFonts w:hint="eastAsia" w:eastAsia="仿宋_GB2312"/>
          <w:sz w:val="28"/>
          <w:szCs w:val="28"/>
        </w:rPr>
        <w:br w:type="page"/>
      </w:r>
    </w:p>
    <w:p w14:paraId="216BDF1C">
      <w:pPr>
        <w:widowControl/>
        <w:jc w:val="left"/>
      </w:pPr>
    </w:p>
    <w:p w14:paraId="425B0499">
      <w:pPr>
        <w:widowControl/>
        <w:jc w:val="center"/>
        <w:rPr>
          <w:rFonts w:eastAsia="仿宋_GB2312"/>
          <w:b/>
          <w:sz w:val="24"/>
        </w:rPr>
      </w:pPr>
      <w:r>
        <w:rPr>
          <w:rFonts w:eastAsia="仿宋_GB2312"/>
          <w:b/>
          <w:sz w:val="24"/>
        </w:rPr>
        <w:object>
          <v:shape id="_x0000_i1028" o:spt="75" type="#_x0000_t75" style="height:496.5pt;width:318.75pt;" o:ole="t" filled="f" o:preferrelative="t" stroked="f" coordsize="21600,21600">
            <v:path/>
            <v:fill on="f" focussize="0,0"/>
            <v:stroke on="f"/>
            <v:imagedata r:id="rId21" o:title=""/>
            <o:lock v:ext="edit" aspectratio="f"/>
            <w10:wrap type="none"/>
            <w10:anchorlock/>
          </v:shape>
          <o:OLEObject Type="Embed" ProgID="Visio.Drawing.15" ShapeID="_x0000_i1028" DrawAspect="Content" ObjectID="_1468075728" r:id="rId20">
            <o:LockedField>false</o:LockedField>
          </o:OLEObject>
        </w:object>
      </w:r>
    </w:p>
    <w:p w14:paraId="38CC40BE">
      <w:pPr>
        <w:widowControl/>
        <w:ind w:left="638" w:leftChars="304"/>
        <w:jc w:val="center"/>
        <w:rPr>
          <w:rFonts w:eastAsia="仿宋_GB2312"/>
          <w:sz w:val="28"/>
          <w:szCs w:val="28"/>
        </w:rPr>
      </w:pPr>
      <w:r>
        <w:rPr>
          <w:rFonts w:eastAsia="仿宋_GB2312"/>
          <w:b/>
          <w:sz w:val="24"/>
        </w:rPr>
        <w:t>图3.1-</w:t>
      </w:r>
      <w:r>
        <w:rPr>
          <w:rFonts w:hint="eastAsia" w:eastAsia="仿宋_GB2312"/>
          <w:b/>
          <w:sz w:val="24"/>
        </w:rPr>
        <w:t>4</w:t>
      </w:r>
      <w:r>
        <w:rPr>
          <w:rFonts w:eastAsia="仿宋_GB2312"/>
          <w:b/>
          <w:sz w:val="24"/>
        </w:rPr>
        <w:t xml:space="preserve">  </w:t>
      </w:r>
      <w:r>
        <w:rPr>
          <w:rFonts w:hint="eastAsia" w:eastAsia="仿宋_GB2312"/>
          <w:b/>
          <w:sz w:val="24"/>
        </w:rPr>
        <w:t>3#污水站处理工艺流程图</w:t>
      </w:r>
    </w:p>
    <w:p w14:paraId="0EDC86BA">
      <w:pPr>
        <w:spacing w:line="500" w:lineRule="exact"/>
        <w:ind w:firstLine="560" w:firstLineChars="200"/>
        <w:rPr>
          <w:rFonts w:eastAsia="仿宋_GB2312"/>
          <w:sz w:val="28"/>
          <w:szCs w:val="28"/>
        </w:rPr>
      </w:pPr>
      <w:r>
        <w:rPr>
          <w:rFonts w:hint="eastAsia" w:eastAsia="仿宋_GB2312"/>
          <w:sz w:val="28"/>
          <w:szCs w:val="28"/>
        </w:rPr>
        <w:t>（3）日常监测数据</w:t>
      </w:r>
    </w:p>
    <w:p w14:paraId="3D294EE9">
      <w:pPr>
        <w:spacing w:line="500" w:lineRule="exact"/>
        <w:ind w:firstLine="560" w:firstLineChars="200"/>
        <w:rPr>
          <w:rFonts w:eastAsia="仿宋_GB2312"/>
          <w:sz w:val="28"/>
          <w:szCs w:val="32"/>
        </w:rPr>
      </w:pPr>
      <w:r>
        <w:rPr>
          <w:rFonts w:eastAsia="仿宋_GB2312"/>
          <w:sz w:val="28"/>
          <w:szCs w:val="28"/>
        </w:rPr>
        <w:t>根据企业提供的202</w:t>
      </w:r>
      <w:r>
        <w:rPr>
          <w:rFonts w:hint="eastAsia" w:eastAsia="仿宋_GB2312"/>
          <w:sz w:val="28"/>
          <w:szCs w:val="28"/>
        </w:rPr>
        <w:t>6</w:t>
      </w:r>
      <w:r>
        <w:rPr>
          <w:rFonts w:eastAsia="仿宋_GB2312"/>
          <w:sz w:val="28"/>
          <w:szCs w:val="28"/>
        </w:rPr>
        <w:t>年</w:t>
      </w:r>
      <w:r>
        <w:rPr>
          <w:rFonts w:hint="eastAsia" w:eastAsia="仿宋_GB2312"/>
          <w:sz w:val="28"/>
          <w:szCs w:val="28"/>
        </w:rPr>
        <w:t>4</w:t>
      </w:r>
      <w:r>
        <w:rPr>
          <w:rFonts w:eastAsia="仿宋_GB2312"/>
          <w:sz w:val="28"/>
          <w:szCs w:val="28"/>
        </w:rPr>
        <w:t>月废水排放口pH、COD和氨氮的在线监测数据和202</w:t>
      </w:r>
      <w:r>
        <w:rPr>
          <w:rFonts w:hint="eastAsia" w:eastAsia="仿宋_GB2312"/>
          <w:sz w:val="28"/>
          <w:szCs w:val="28"/>
        </w:rPr>
        <w:t>6</w:t>
      </w:r>
      <w:r>
        <w:rPr>
          <w:rFonts w:eastAsia="仿宋_GB2312"/>
          <w:sz w:val="28"/>
          <w:szCs w:val="28"/>
        </w:rPr>
        <w:t>年5月</w:t>
      </w:r>
      <w:r>
        <w:rPr>
          <w:rFonts w:hint="eastAsia" w:eastAsia="仿宋_GB2312"/>
          <w:sz w:val="28"/>
          <w:szCs w:val="28"/>
        </w:rPr>
        <w:t>27</w:t>
      </w:r>
      <w:r>
        <w:rPr>
          <w:rFonts w:eastAsia="仿宋_GB2312"/>
          <w:sz w:val="28"/>
          <w:szCs w:val="28"/>
        </w:rPr>
        <w:t>日</w:t>
      </w:r>
      <w:r>
        <w:rPr>
          <w:rFonts w:hint="eastAsia" w:eastAsia="仿宋_GB2312"/>
          <w:sz w:val="28"/>
          <w:szCs w:val="28"/>
        </w:rPr>
        <w:t>~28日</w:t>
      </w:r>
      <w:r>
        <w:rPr>
          <w:rFonts w:eastAsia="仿宋_GB2312"/>
          <w:sz w:val="28"/>
          <w:szCs w:val="28"/>
        </w:rPr>
        <w:t>委托</w:t>
      </w:r>
      <w:r>
        <w:rPr>
          <w:rFonts w:hint="eastAsia" w:eastAsia="仿宋_GB2312"/>
          <w:sz w:val="28"/>
          <w:szCs w:val="28"/>
        </w:rPr>
        <w:t>青山绿水（江苏）检验检测有限公司</w:t>
      </w:r>
      <w:r>
        <w:rPr>
          <w:rFonts w:eastAsia="仿宋_GB2312"/>
          <w:sz w:val="28"/>
          <w:szCs w:val="28"/>
        </w:rPr>
        <w:t>出具的检测报告（</w:t>
      </w:r>
      <w:r>
        <w:rPr>
          <w:rFonts w:hint="eastAsia" w:eastAsia="仿宋_GB2312"/>
          <w:sz w:val="28"/>
          <w:szCs w:val="28"/>
        </w:rPr>
        <w:t>CQND260163002</w:t>
      </w:r>
      <w:r>
        <w:rPr>
          <w:rFonts w:eastAsia="仿宋_GB2312"/>
          <w:sz w:val="28"/>
          <w:szCs w:val="28"/>
        </w:rPr>
        <w:t>），废水</w:t>
      </w:r>
      <w:r>
        <w:rPr>
          <w:rFonts w:eastAsia="仿宋_GB2312"/>
          <w:sz w:val="28"/>
          <w:szCs w:val="32"/>
        </w:rPr>
        <w:t>排放口监测结果见表3.1-1</w:t>
      </w:r>
      <w:r>
        <w:rPr>
          <w:rFonts w:hint="eastAsia" w:eastAsia="仿宋_GB2312"/>
          <w:sz w:val="28"/>
          <w:szCs w:val="32"/>
        </w:rPr>
        <w:t>0</w:t>
      </w:r>
      <w:r>
        <w:rPr>
          <w:rFonts w:eastAsia="仿宋_GB2312"/>
          <w:sz w:val="28"/>
          <w:szCs w:val="32"/>
        </w:rPr>
        <w:t>和表3.1-1</w:t>
      </w:r>
      <w:r>
        <w:rPr>
          <w:rFonts w:hint="eastAsia" w:eastAsia="仿宋_GB2312"/>
          <w:sz w:val="28"/>
          <w:szCs w:val="32"/>
        </w:rPr>
        <w:t>1</w:t>
      </w:r>
      <w:r>
        <w:rPr>
          <w:rFonts w:eastAsia="仿宋_GB2312"/>
          <w:sz w:val="28"/>
          <w:szCs w:val="32"/>
        </w:rPr>
        <w:t>。</w:t>
      </w:r>
    </w:p>
    <w:p w14:paraId="74C5031A">
      <w:pPr>
        <w:spacing w:line="500" w:lineRule="exact"/>
        <w:ind w:firstLine="560" w:firstLineChars="200"/>
        <w:rPr>
          <w:rFonts w:eastAsia="仿宋_GB2312"/>
          <w:color w:val="FF0000"/>
          <w:sz w:val="28"/>
          <w:szCs w:val="32"/>
        </w:rPr>
      </w:pPr>
    </w:p>
    <w:p w14:paraId="45150112">
      <w:pPr>
        <w:spacing w:line="500" w:lineRule="exact"/>
        <w:jc w:val="center"/>
        <w:rPr>
          <w:rFonts w:eastAsia="仿宋_GB2312"/>
          <w:b/>
          <w:sz w:val="24"/>
        </w:rPr>
      </w:pPr>
      <w:r>
        <w:rPr>
          <w:rFonts w:eastAsia="仿宋_GB2312"/>
          <w:b/>
          <w:sz w:val="24"/>
        </w:rPr>
        <w:t>表3.1-1</w:t>
      </w:r>
      <w:r>
        <w:rPr>
          <w:rFonts w:hint="eastAsia" w:eastAsia="仿宋_GB2312"/>
          <w:b/>
          <w:sz w:val="24"/>
        </w:rPr>
        <w:t>0</w:t>
      </w:r>
      <w:r>
        <w:rPr>
          <w:rFonts w:eastAsia="仿宋_GB2312"/>
          <w:b/>
          <w:sz w:val="24"/>
        </w:rPr>
        <w:t xml:space="preserve">  废水排放口在线监测结果 （单位：mg/L）</w:t>
      </w:r>
    </w:p>
    <w:tbl>
      <w:tblPr>
        <w:tblStyle w:val="8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4"/>
        <w:gridCol w:w="1433"/>
        <w:gridCol w:w="1844"/>
        <w:gridCol w:w="2280"/>
        <w:gridCol w:w="1692"/>
      </w:tblGrid>
      <w:tr w14:paraId="70F96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47" w:type="pct"/>
            <w:tcBorders>
              <w:top w:val="single" w:color="auto" w:sz="12" w:space="0"/>
              <w:left w:val="single" w:color="auto" w:sz="12" w:space="0"/>
            </w:tcBorders>
            <w:vAlign w:val="center"/>
          </w:tcPr>
          <w:p w14:paraId="51D6D67F">
            <w:pPr>
              <w:snapToGrid w:val="0"/>
              <w:spacing w:line="256" w:lineRule="exact"/>
              <w:jc w:val="center"/>
              <w:rPr>
                <w:rFonts w:eastAsia="仿宋_GB2312"/>
                <w:b/>
                <w:bCs/>
                <w:szCs w:val="21"/>
              </w:rPr>
            </w:pPr>
            <w:r>
              <w:rPr>
                <w:rFonts w:eastAsia="仿宋_GB2312"/>
                <w:b/>
                <w:bCs/>
                <w:szCs w:val="21"/>
              </w:rPr>
              <w:t>监测位置</w:t>
            </w:r>
          </w:p>
        </w:tc>
        <w:tc>
          <w:tcPr>
            <w:tcW w:w="840" w:type="pct"/>
            <w:tcBorders>
              <w:top w:val="single" w:color="auto" w:sz="12" w:space="0"/>
            </w:tcBorders>
            <w:vAlign w:val="center"/>
          </w:tcPr>
          <w:p w14:paraId="39EFA080">
            <w:pPr>
              <w:snapToGrid w:val="0"/>
              <w:spacing w:line="256" w:lineRule="exact"/>
              <w:jc w:val="center"/>
              <w:rPr>
                <w:rFonts w:eastAsia="仿宋_GB2312"/>
                <w:b/>
                <w:bCs/>
                <w:szCs w:val="21"/>
              </w:rPr>
            </w:pPr>
            <w:r>
              <w:rPr>
                <w:rFonts w:eastAsia="仿宋_GB2312"/>
                <w:b/>
                <w:bCs/>
                <w:szCs w:val="21"/>
              </w:rPr>
              <w:t>监测日期</w:t>
            </w:r>
          </w:p>
        </w:tc>
        <w:tc>
          <w:tcPr>
            <w:tcW w:w="1081" w:type="pct"/>
            <w:tcBorders>
              <w:top w:val="single" w:color="auto" w:sz="12" w:space="0"/>
            </w:tcBorders>
            <w:vAlign w:val="center"/>
          </w:tcPr>
          <w:p w14:paraId="38ED2A96">
            <w:pPr>
              <w:snapToGrid w:val="0"/>
              <w:spacing w:line="256" w:lineRule="exact"/>
              <w:jc w:val="center"/>
              <w:rPr>
                <w:rFonts w:eastAsia="仿宋_GB2312"/>
                <w:b/>
                <w:bCs/>
                <w:szCs w:val="21"/>
              </w:rPr>
            </w:pPr>
            <w:r>
              <w:rPr>
                <w:rFonts w:eastAsia="仿宋_GB2312"/>
                <w:b/>
                <w:bCs/>
                <w:szCs w:val="21"/>
              </w:rPr>
              <w:t>监测项目</w:t>
            </w:r>
          </w:p>
        </w:tc>
        <w:tc>
          <w:tcPr>
            <w:tcW w:w="1337" w:type="pct"/>
            <w:tcBorders>
              <w:top w:val="single" w:color="auto" w:sz="12" w:space="0"/>
            </w:tcBorders>
            <w:vAlign w:val="center"/>
          </w:tcPr>
          <w:p w14:paraId="7D879F65">
            <w:pPr>
              <w:snapToGrid w:val="0"/>
              <w:spacing w:line="256" w:lineRule="exact"/>
              <w:jc w:val="center"/>
              <w:rPr>
                <w:rFonts w:eastAsia="仿宋_GB2312"/>
                <w:b/>
                <w:bCs/>
                <w:szCs w:val="21"/>
              </w:rPr>
            </w:pPr>
            <w:r>
              <w:rPr>
                <w:rFonts w:eastAsia="仿宋_GB2312"/>
                <w:b/>
                <w:bCs/>
                <w:szCs w:val="21"/>
              </w:rPr>
              <w:t>监测结果</w:t>
            </w:r>
            <w:r>
              <w:rPr>
                <w:rFonts w:hint="eastAsia" w:eastAsia="仿宋_GB2312"/>
                <w:b/>
                <w:bCs/>
                <w:szCs w:val="21"/>
              </w:rPr>
              <w:t>最大值</w:t>
            </w:r>
          </w:p>
        </w:tc>
        <w:tc>
          <w:tcPr>
            <w:tcW w:w="992" w:type="pct"/>
            <w:tcBorders>
              <w:top w:val="single" w:color="auto" w:sz="12" w:space="0"/>
              <w:right w:val="single" w:color="auto" w:sz="12" w:space="0"/>
            </w:tcBorders>
            <w:vAlign w:val="center"/>
          </w:tcPr>
          <w:p w14:paraId="56FADCE7">
            <w:pPr>
              <w:snapToGrid w:val="0"/>
              <w:spacing w:line="256" w:lineRule="exact"/>
              <w:jc w:val="center"/>
              <w:rPr>
                <w:rFonts w:eastAsia="仿宋_GB2312"/>
                <w:b/>
                <w:bCs/>
                <w:szCs w:val="21"/>
              </w:rPr>
            </w:pPr>
            <w:r>
              <w:rPr>
                <w:rFonts w:eastAsia="仿宋_GB2312"/>
                <w:b/>
                <w:bCs/>
                <w:szCs w:val="21"/>
              </w:rPr>
              <w:t>执行标准</w:t>
            </w:r>
          </w:p>
        </w:tc>
      </w:tr>
      <w:tr w14:paraId="61F41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47" w:type="pct"/>
            <w:vMerge w:val="restart"/>
            <w:tcBorders>
              <w:left w:val="single" w:color="auto" w:sz="12" w:space="0"/>
            </w:tcBorders>
            <w:vAlign w:val="center"/>
          </w:tcPr>
          <w:p w14:paraId="2A695BAB">
            <w:pPr>
              <w:snapToGrid w:val="0"/>
              <w:spacing w:line="256" w:lineRule="exact"/>
              <w:jc w:val="center"/>
              <w:rPr>
                <w:rFonts w:eastAsia="仿宋_GB2312"/>
                <w:szCs w:val="21"/>
              </w:rPr>
            </w:pPr>
            <w:r>
              <w:rPr>
                <w:rFonts w:eastAsia="仿宋_GB2312"/>
                <w:szCs w:val="21"/>
              </w:rPr>
              <w:t>废水排放口</w:t>
            </w:r>
          </w:p>
        </w:tc>
        <w:tc>
          <w:tcPr>
            <w:tcW w:w="840" w:type="pct"/>
            <w:vMerge w:val="restart"/>
            <w:vAlign w:val="center"/>
          </w:tcPr>
          <w:p w14:paraId="26EE72C8">
            <w:pPr>
              <w:snapToGrid w:val="0"/>
              <w:spacing w:line="256" w:lineRule="exact"/>
              <w:jc w:val="center"/>
              <w:rPr>
                <w:rFonts w:eastAsia="仿宋_GB2312"/>
                <w:szCs w:val="21"/>
              </w:rPr>
            </w:pPr>
            <w:r>
              <w:rPr>
                <w:rFonts w:eastAsia="仿宋_GB2312"/>
                <w:szCs w:val="21"/>
              </w:rPr>
              <w:t>202</w:t>
            </w:r>
            <w:r>
              <w:rPr>
                <w:rFonts w:hint="eastAsia" w:eastAsia="仿宋_GB2312"/>
                <w:szCs w:val="21"/>
              </w:rPr>
              <w:t>6</w:t>
            </w:r>
            <w:r>
              <w:rPr>
                <w:rFonts w:eastAsia="仿宋_GB2312"/>
                <w:szCs w:val="21"/>
              </w:rPr>
              <w:t>年</w:t>
            </w:r>
            <w:r>
              <w:rPr>
                <w:rFonts w:hint="eastAsia" w:eastAsia="仿宋_GB2312"/>
                <w:szCs w:val="21"/>
              </w:rPr>
              <w:t>4</w:t>
            </w:r>
            <w:r>
              <w:rPr>
                <w:rFonts w:eastAsia="仿宋_GB2312"/>
                <w:szCs w:val="21"/>
              </w:rPr>
              <w:t>月</w:t>
            </w:r>
          </w:p>
        </w:tc>
        <w:tc>
          <w:tcPr>
            <w:tcW w:w="1081" w:type="pct"/>
            <w:vAlign w:val="center"/>
          </w:tcPr>
          <w:p w14:paraId="24B63D52">
            <w:pPr>
              <w:snapToGrid w:val="0"/>
              <w:spacing w:line="256" w:lineRule="exact"/>
              <w:jc w:val="center"/>
              <w:rPr>
                <w:rFonts w:eastAsia="仿宋_GB2312"/>
                <w:szCs w:val="21"/>
              </w:rPr>
            </w:pPr>
            <w:r>
              <w:rPr>
                <w:rFonts w:eastAsia="仿宋_GB2312"/>
                <w:szCs w:val="21"/>
              </w:rPr>
              <w:t>pH</w:t>
            </w:r>
            <w:r>
              <w:rPr>
                <w:rFonts w:hint="eastAsia" w:eastAsia="仿宋_GB2312"/>
                <w:szCs w:val="21"/>
              </w:rPr>
              <w:t>（无量纲）</w:t>
            </w:r>
          </w:p>
        </w:tc>
        <w:tc>
          <w:tcPr>
            <w:tcW w:w="1337" w:type="pct"/>
            <w:vAlign w:val="center"/>
          </w:tcPr>
          <w:p w14:paraId="7E5B4462">
            <w:pPr>
              <w:snapToGrid w:val="0"/>
              <w:spacing w:line="256" w:lineRule="exact"/>
              <w:jc w:val="center"/>
              <w:rPr>
                <w:rFonts w:eastAsia="仿宋_GB2312"/>
                <w:szCs w:val="21"/>
              </w:rPr>
            </w:pPr>
            <w:r>
              <w:rPr>
                <w:rFonts w:eastAsia="仿宋_GB2312"/>
                <w:szCs w:val="21"/>
              </w:rPr>
              <w:t>6.</w:t>
            </w:r>
            <w:r>
              <w:rPr>
                <w:rFonts w:hint="eastAsia" w:eastAsia="仿宋_GB2312"/>
                <w:szCs w:val="21"/>
              </w:rPr>
              <w:t>61~7.69</w:t>
            </w:r>
          </w:p>
        </w:tc>
        <w:tc>
          <w:tcPr>
            <w:tcW w:w="992" w:type="pct"/>
            <w:tcBorders>
              <w:right w:val="single" w:color="auto" w:sz="12" w:space="0"/>
            </w:tcBorders>
            <w:vAlign w:val="center"/>
          </w:tcPr>
          <w:p w14:paraId="0E5B5C64">
            <w:pPr>
              <w:snapToGrid w:val="0"/>
              <w:spacing w:line="256" w:lineRule="exact"/>
              <w:jc w:val="center"/>
              <w:rPr>
                <w:rFonts w:eastAsia="仿宋_GB2312"/>
                <w:szCs w:val="21"/>
              </w:rPr>
            </w:pPr>
            <w:r>
              <w:rPr>
                <w:rFonts w:eastAsia="仿宋_GB2312"/>
                <w:szCs w:val="21"/>
              </w:rPr>
              <w:t>6</w:t>
            </w:r>
            <w:r>
              <w:rPr>
                <w:rFonts w:hint="eastAsia" w:eastAsia="仿宋_GB2312"/>
                <w:szCs w:val="21"/>
              </w:rPr>
              <w:t>~</w:t>
            </w:r>
            <w:r>
              <w:rPr>
                <w:rFonts w:eastAsia="仿宋_GB2312"/>
                <w:szCs w:val="21"/>
              </w:rPr>
              <w:t>9</w:t>
            </w:r>
          </w:p>
        </w:tc>
      </w:tr>
      <w:tr w14:paraId="1C786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47" w:type="pct"/>
            <w:vMerge w:val="continue"/>
            <w:tcBorders>
              <w:left w:val="single" w:color="auto" w:sz="12" w:space="0"/>
            </w:tcBorders>
          </w:tcPr>
          <w:p w14:paraId="6BBC0C70">
            <w:pPr>
              <w:snapToGrid w:val="0"/>
              <w:spacing w:line="256" w:lineRule="exact"/>
              <w:jc w:val="center"/>
              <w:rPr>
                <w:rFonts w:eastAsia="仿宋_GB2312"/>
                <w:szCs w:val="21"/>
              </w:rPr>
            </w:pPr>
          </w:p>
        </w:tc>
        <w:tc>
          <w:tcPr>
            <w:tcW w:w="840" w:type="pct"/>
            <w:vMerge w:val="continue"/>
            <w:vAlign w:val="center"/>
          </w:tcPr>
          <w:p w14:paraId="28361A8D">
            <w:pPr>
              <w:snapToGrid w:val="0"/>
              <w:spacing w:line="256" w:lineRule="exact"/>
              <w:jc w:val="center"/>
              <w:rPr>
                <w:rFonts w:eastAsia="仿宋_GB2312"/>
                <w:szCs w:val="21"/>
              </w:rPr>
            </w:pPr>
          </w:p>
        </w:tc>
        <w:tc>
          <w:tcPr>
            <w:tcW w:w="1081" w:type="pct"/>
            <w:vAlign w:val="center"/>
          </w:tcPr>
          <w:p w14:paraId="3EA5626C">
            <w:pPr>
              <w:snapToGrid w:val="0"/>
              <w:spacing w:line="256" w:lineRule="exact"/>
              <w:jc w:val="center"/>
              <w:rPr>
                <w:rFonts w:eastAsia="仿宋_GB2312"/>
                <w:szCs w:val="21"/>
              </w:rPr>
            </w:pPr>
            <w:r>
              <w:rPr>
                <w:rFonts w:eastAsia="仿宋_GB2312"/>
                <w:szCs w:val="21"/>
              </w:rPr>
              <w:t>化学需氧量</w:t>
            </w:r>
          </w:p>
        </w:tc>
        <w:tc>
          <w:tcPr>
            <w:tcW w:w="1337" w:type="pct"/>
            <w:vAlign w:val="center"/>
          </w:tcPr>
          <w:p w14:paraId="69BDA2D9">
            <w:pPr>
              <w:snapToGrid w:val="0"/>
              <w:spacing w:line="256" w:lineRule="exact"/>
              <w:jc w:val="center"/>
              <w:rPr>
                <w:rFonts w:eastAsia="仿宋_GB2312"/>
                <w:szCs w:val="21"/>
              </w:rPr>
            </w:pPr>
            <w:r>
              <w:rPr>
                <w:rFonts w:hint="eastAsia" w:eastAsia="仿宋_GB2312"/>
                <w:szCs w:val="21"/>
              </w:rPr>
              <w:t>196.23</w:t>
            </w:r>
          </w:p>
        </w:tc>
        <w:tc>
          <w:tcPr>
            <w:tcW w:w="992" w:type="pct"/>
            <w:tcBorders>
              <w:right w:val="single" w:color="auto" w:sz="12" w:space="0"/>
            </w:tcBorders>
            <w:vAlign w:val="center"/>
          </w:tcPr>
          <w:p w14:paraId="2B1D41F7">
            <w:pPr>
              <w:snapToGrid w:val="0"/>
              <w:spacing w:line="256" w:lineRule="exact"/>
              <w:jc w:val="center"/>
              <w:rPr>
                <w:rFonts w:eastAsia="仿宋_GB2312"/>
                <w:szCs w:val="21"/>
              </w:rPr>
            </w:pPr>
            <w:r>
              <w:rPr>
                <w:rFonts w:eastAsia="仿宋_GB2312"/>
                <w:szCs w:val="21"/>
              </w:rPr>
              <w:t>500</w:t>
            </w:r>
          </w:p>
        </w:tc>
      </w:tr>
      <w:tr w14:paraId="256AA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47" w:type="pct"/>
            <w:vMerge w:val="continue"/>
            <w:tcBorders>
              <w:left w:val="single" w:color="auto" w:sz="12" w:space="0"/>
              <w:bottom w:val="single" w:color="auto" w:sz="12" w:space="0"/>
            </w:tcBorders>
          </w:tcPr>
          <w:p w14:paraId="510C525D">
            <w:pPr>
              <w:snapToGrid w:val="0"/>
              <w:spacing w:line="256" w:lineRule="exact"/>
              <w:jc w:val="center"/>
              <w:rPr>
                <w:rFonts w:eastAsia="仿宋_GB2312"/>
                <w:szCs w:val="21"/>
              </w:rPr>
            </w:pPr>
          </w:p>
        </w:tc>
        <w:tc>
          <w:tcPr>
            <w:tcW w:w="840" w:type="pct"/>
            <w:vMerge w:val="continue"/>
            <w:tcBorders>
              <w:bottom w:val="single" w:color="auto" w:sz="12" w:space="0"/>
            </w:tcBorders>
            <w:vAlign w:val="center"/>
          </w:tcPr>
          <w:p w14:paraId="60C0901A">
            <w:pPr>
              <w:snapToGrid w:val="0"/>
              <w:spacing w:line="256" w:lineRule="exact"/>
              <w:jc w:val="center"/>
              <w:rPr>
                <w:rFonts w:eastAsia="仿宋_GB2312"/>
                <w:szCs w:val="21"/>
              </w:rPr>
            </w:pPr>
          </w:p>
        </w:tc>
        <w:tc>
          <w:tcPr>
            <w:tcW w:w="1081" w:type="pct"/>
            <w:tcBorders>
              <w:bottom w:val="single" w:color="auto" w:sz="12" w:space="0"/>
            </w:tcBorders>
            <w:vAlign w:val="center"/>
          </w:tcPr>
          <w:p w14:paraId="566518E0">
            <w:pPr>
              <w:snapToGrid w:val="0"/>
              <w:spacing w:line="256" w:lineRule="exact"/>
              <w:jc w:val="center"/>
              <w:rPr>
                <w:rFonts w:eastAsia="仿宋_GB2312"/>
                <w:szCs w:val="21"/>
              </w:rPr>
            </w:pPr>
            <w:r>
              <w:rPr>
                <w:rFonts w:eastAsia="仿宋_GB2312"/>
                <w:szCs w:val="21"/>
              </w:rPr>
              <w:t>氨氮</w:t>
            </w:r>
          </w:p>
        </w:tc>
        <w:tc>
          <w:tcPr>
            <w:tcW w:w="1337" w:type="pct"/>
            <w:tcBorders>
              <w:bottom w:val="single" w:color="auto" w:sz="12" w:space="0"/>
            </w:tcBorders>
            <w:vAlign w:val="center"/>
          </w:tcPr>
          <w:p w14:paraId="7F7824A2">
            <w:pPr>
              <w:snapToGrid w:val="0"/>
              <w:spacing w:line="256" w:lineRule="exact"/>
              <w:jc w:val="center"/>
              <w:rPr>
                <w:rFonts w:eastAsia="仿宋_GB2312"/>
                <w:szCs w:val="21"/>
              </w:rPr>
            </w:pPr>
            <w:r>
              <w:rPr>
                <w:rFonts w:hint="eastAsia" w:eastAsia="仿宋_GB2312"/>
                <w:szCs w:val="21"/>
              </w:rPr>
              <w:t>2.36</w:t>
            </w:r>
          </w:p>
        </w:tc>
        <w:tc>
          <w:tcPr>
            <w:tcW w:w="992" w:type="pct"/>
            <w:tcBorders>
              <w:bottom w:val="single" w:color="auto" w:sz="12" w:space="0"/>
              <w:right w:val="single" w:color="auto" w:sz="12" w:space="0"/>
            </w:tcBorders>
            <w:vAlign w:val="center"/>
          </w:tcPr>
          <w:p w14:paraId="3F226432">
            <w:pPr>
              <w:snapToGrid w:val="0"/>
              <w:spacing w:line="256" w:lineRule="exact"/>
              <w:jc w:val="center"/>
              <w:rPr>
                <w:rFonts w:eastAsia="仿宋_GB2312"/>
                <w:szCs w:val="21"/>
              </w:rPr>
            </w:pPr>
            <w:r>
              <w:rPr>
                <w:rFonts w:eastAsia="仿宋_GB2312"/>
                <w:szCs w:val="21"/>
              </w:rPr>
              <w:t>35</w:t>
            </w:r>
          </w:p>
        </w:tc>
      </w:tr>
    </w:tbl>
    <w:p w14:paraId="080AB767">
      <w:pPr>
        <w:spacing w:line="500" w:lineRule="exact"/>
        <w:jc w:val="center"/>
        <w:rPr>
          <w:rFonts w:eastAsia="仿宋_GB2312"/>
          <w:b/>
          <w:sz w:val="24"/>
        </w:rPr>
      </w:pPr>
      <w:r>
        <w:rPr>
          <w:rFonts w:eastAsia="仿宋_GB2312"/>
          <w:b/>
          <w:sz w:val="24"/>
        </w:rPr>
        <w:t>表3.1-1</w:t>
      </w:r>
      <w:r>
        <w:rPr>
          <w:rFonts w:hint="eastAsia" w:eastAsia="仿宋_GB2312"/>
          <w:b/>
          <w:sz w:val="24"/>
        </w:rPr>
        <w:t>1</w:t>
      </w:r>
      <w:r>
        <w:rPr>
          <w:rFonts w:eastAsia="仿宋_GB2312"/>
          <w:b/>
          <w:sz w:val="24"/>
        </w:rPr>
        <w:t xml:space="preserve">  废水排放口手工监测结果 （单位：mg/L）</w:t>
      </w:r>
    </w:p>
    <w:tbl>
      <w:tblPr>
        <w:tblStyle w:val="8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5"/>
        <w:gridCol w:w="1100"/>
        <w:gridCol w:w="1287"/>
        <w:gridCol w:w="965"/>
        <w:gridCol w:w="1018"/>
        <w:gridCol w:w="979"/>
        <w:gridCol w:w="941"/>
        <w:gridCol w:w="1138"/>
      </w:tblGrid>
      <w:tr w14:paraId="60AD0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42" w:type="pct"/>
            <w:vMerge w:val="restart"/>
            <w:tcBorders>
              <w:top w:val="single" w:color="auto" w:sz="12" w:space="0"/>
              <w:left w:val="single" w:color="auto" w:sz="12" w:space="0"/>
            </w:tcBorders>
            <w:vAlign w:val="center"/>
          </w:tcPr>
          <w:p w14:paraId="1E2A9581">
            <w:pPr>
              <w:snapToGrid w:val="0"/>
              <w:spacing w:line="256" w:lineRule="exact"/>
              <w:jc w:val="center"/>
              <w:rPr>
                <w:rFonts w:eastAsia="仿宋_GB2312"/>
                <w:b/>
                <w:bCs/>
                <w:szCs w:val="21"/>
              </w:rPr>
            </w:pPr>
            <w:r>
              <w:rPr>
                <w:rFonts w:eastAsia="仿宋_GB2312"/>
                <w:b/>
                <w:bCs/>
                <w:szCs w:val="21"/>
              </w:rPr>
              <w:t>监测位置</w:t>
            </w:r>
          </w:p>
        </w:tc>
        <w:tc>
          <w:tcPr>
            <w:tcW w:w="645" w:type="pct"/>
            <w:vMerge w:val="restart"/>
            <w:tcBorders>
              <w:top w:val="single" w:color="auto" w:sz="12" w:space="0"/>
            </w:tcBorders>
            <w:vAlign w:val="center"/>
          </w:tcPr>
          <w:p w14:paraId="62B63A59">
            <w:pPr>
              <w:snapToGrid w:val="0"/>
              <w:spacing w:line="256" w:lineRule="exact"/>
              <w:jc w:val="center"/>
              <w:rPr>
                <w:rFonts w:eastAsia="仿宋_GB2312"/>
                <w:b/>
                <w:bCs/>
                <w:szCs w:val="21"/>
              </w:rPr>
            </w:pPr>
            <w:r>
              <w:rPr>
                <w:rFonts w:eastAsia="仿宋_GB2312"/>
                <w:b/>
                <w:bCs/>
                <w:szCs w:val="21"/>
              </w:rPr>
              <w:t>监测日期</w:t>
            </w:r>
          </w:p>
        </w:tc>
        <w:tc>
          <w:tcPr>
            <w:tcW w:w="755" w:type="pct"/>
            <w:vMerge w:val="restart"/>
            <w:tcBorders>
              <w:top w:val="single" w:color="auto" w:sz="12" w:space="0"/>
            </w:tcBorders>
            <w:vAlign w:val="center"/>
          </w:tcPr>
          <w:p w14:paraId="03E942ED">
            <w:pPr>
              <w:snapToGrid w:val="0"/>
              <w:spacing w:line="256" w:lineRule="exact"/>
              <w:jc w:val="center"/>
              <w:rPr>
                <w:rFonts w:eastAsia="仿宋_GB2312"/>
                <w:b/>
                <w:bCs/>
                <w:szCs w:val="21"/>
              </w:rPr>
            </w:pPr>
            <w:r>
              <w:rPr>
                <w:rFonts w:eastAsia="仿宋_GB2312"/>
                <w:b/>
                <w:bCs/>
                <w:szCs w:val="21"/>
              </w:rPr>
              <w:t>监测项目</w:t>
            </w:r>
          </w:p>
        </w:tc>
        <w:tc>
          <w:tcPr>
            <w:tcW w:w="2289" w:type="pct"/>
            <w:gridSpan w:val="4"/>
            <w:tcBorders>
              <w:top w:val="single" w:color="auto" w:sz="12" w:space="0"/>
            </w:tcBorders>
            <w:vAlign w:val="center"/>
          </w:tcPr>
          <w:p w14:paraId="26B9225D">
            <w:pPr>
              <w:snapToGrid w:val="0"/>
              <w:spacing w:line="256" w:lineRule="exact"/>
              <w:jc w:val="center"/>
              <w:rPr>
                <w:rFonts w:eastAsia="仿宋_GB2312"/>
                <w:b/>
                <w:bCs/>
                <w:szCs w:val="21"/>
              </w:rPr>
            </w:pPr>
            <w:r>
              <w:rPr>
                <w:rFonts w:eastAsia="仿宋_GB2312"/>
                <w:b/>
                <w:bCs/>
                <w:szCs w:val="21"/>
              </w:rPr>
              <w:t>监测结果</w:t>
            </w:r>
          </w:p>
        </w:tc>
        <w:tc>
          <w:tcPr>
            <w:tcW w:w="667" w:type="pct"/>
            <w:vMerge w:val="restart"/>
            <w:tcBorders>
              <w:top w:val="single" w:color="auto" w:sz="12" w:space="0"/>
              <w:right w:val="single" w:color="auto" w:sz="12" w:space="0"/>
            </w:tcBorders>
            <w:vAlign w:val="center"/>
          </w:tcPr>
          <w:p w14:paraId="27682054">
            <w:pPr>
              <w:snapToGrid w:val="0"/>
              <w:spacing w:line="256" w:lineRule="exact"/>
              <w:jc w:val="center"/>
              <w:rPr>
                <w:rFonts w:eastAsia="仿宋_GB2312"/>
                <w:b/>
                <w:bCs/>
                <w:szCs w:val="21"/>
              </w:rPr>
            </w:pPr>
            <w:r>
              <w:rPr>
                <w:rFonts w:eastAsia="仿宋_GB2312"/>
                <w:b/>
                <w:bCs/>
                <w:szCs w:val="21"/>
              </w:rPr>
              <w:t>执行标准</w:t>
            </w:r>
          </w:p>
        </w:tc>
      </w:tr>
      <w:tr w14:paraId="2A577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42" w:type="pct"/>
            <w:vMerge w:val="continue"/>
            <w:tcBorders>
              <w:left w:val="single" w:color="auto" w:sz="12" w:space="0"/>
            </w:tcBorders>
            <w:vAlign w:val="center"/>
          </w:tcPr>
          <w:p w14:paraId="692B724F">
            <w:pPr>
              <w:snapToGrid w:val="0"/>
              <w:spacing w:line="256" w:lineRule="exact"/>
              <w:jc w:val="center"/>
              <w:rPr>
                <w:rFonts w:eastAsia="仿宋_GB2312"/>
                <w:b/>
                <w:bCs/>
                <w:szCs w:val="21"/>
              </w:rPr>
            </w:pPr>
          </w:p>
        </w:tc>
        <w:tc>
          <w:tcPr>
            <w:tcW w:w="645" w:type="pct"/>
            <w:vMerge w:val="continue"/>
            <w:vAlign w:val="center"/>
          </w:tcPr>
          <w:p w14:paraId="42CD24CE">
            <w:pPr>
              <w:snapToGrid w:val="0"/>
              <w:spacing w:line="256" w:lineRule="exact"/>
              <w:jc w:val="center"/>
              <w:rPr>
                <w:rFonts w:eastAsia="仿宋_GB2312"/>
                <w:b/>
                <w:bCs/>
                <w:szCs w:val="21"/>
              </w:rPr>
            </w:pPr>
          </w:p>
        </w:tc>
        <w:tc>
          <w:tcPr>
            <w:tcW w:w="755" w:type="pct"/>
            <w:vMerge w:val="continue"/>
            <w:vAlign w:val="center"/>
          </w:tcPr>
          <w:p w14:paraId="5309C016">
            <w:pPr>
              <w:snapToGrid w:val="0"/>
              <w:spacing w:line="256" w:lineRule="exact"/>
              <w:jc w:val="center"/>
              <w:rPr>
                <w:rFonts w:eastAsia="仿宋_GB2312"/>
                <w:b/>
                <w:bCs/>
                <w:szCs w:val="21"/>
              </w:rPr>
            </w:pPr>
          </w:p>
        </w:tc>
        <w:tc>
          <w:tcPr>
            <w:tcW w:w="566" w:type="pct"/>
            <w:vAlign w:val="center"/>
          </w:tcPr>
          <w:p w14:paraId="381AF03F">
            <w:pPr>
              <w:snapToGrid w:val="0"/>
              <w:spacing w:line="256" w:lineRule="exact"/>
              <w:jc w:val="center"/>
              <w:rPr>
                <w:rFonts w:eastAsia="仿宋_GB2312"/>
                <w:b/>
                <w:bCs/>
                <w:szCs w:val="21"/>
              </w:rPr>
            </w:pPr>
            <w:r>
              <w:rPr>
                <w:rFonts w:eastAsia="仿宋_GB2312"/>
                <w:b/>
                <w:bCs/>
                <w:szCs w:val="21"/>
              </w:rPr>
              <w:t>第1次</w:t>
            </w:r>
          </w:p>
        </w:tc>
        <w:tc>
          <w:tcPr>
            <w:tcW w:w="597" w:type="pct"/>
            <w:vAlign w:val="center"/>
          </w:tcPr>
          <w:p w14:paraId="7C7F7C12">
            <w:pPr>
              <w:snapToGrid w:val="0"/>
              <w:spacing w:line="256" w:lineRule="exact"/>
              <w:jc w:val="center"/>
              <w:rPr>
                <w:rFonts w:eastAsia="仿宋_GB2312"/>
                <w:b/>
                <w:bCs/>
                <w:szCs w:val="21"/>
              </w:rPr>
            </w:pPr>
            <w:r>
              <w:rPr>
                <w:rFonts w:eastAsia="仿宋_GB2312"/>
                <w:b/>
                <w:bCs/>
                <w:szCs w:val="21"/>
              </w:rPr>
              <w:t>第2次</w:t>
            </w:r>
          </w:p>
        </w:tc>
        <w:tc>
          <w:tcPr>
            <w:tcW w:w="574" w:type="pct"/>
            <w:vAlign w:val="center"/>
          </w:tcPr>
          <w:p w14:paraId="41C7C0EA">
            <w:pPr>
              <w:snapToGrid w:val="0"/>
              <w:spacing w:line="256" w:lineRule="exact"/>
              <w:jc w:val="center"/>
              <w:rPr>
                <w:rFonts w:eastAsia="仿宋_GB2312"/>
                <w:b/>
                <w:bCs/>
                <w:szCs w:val="21"/>
              </w:rPr>
            </w:pPr>
            <w:r>
              <w:rPr>
                <w:rFonts w:eastAsia="仿宋_GB2312"/>
                <w:b/>
                <w:bCs/>
                <w:szCs w:val="21"/>
              </w:rPr>
              <w:t>第3次</w:t>
            </w:r>
          </w:p>
        </w:tc>
        <w:tc>
          <w:tcPr>
            <w:tcW w:w="552" w:type="pct"/>
            <w:vAlign w:val="center"/>
          </w:tcPr>
          <w:p w14:paraId="2740ACF2">
            <w:pPr>
              <w:snapToGrid w:val="0"/>
              <w:spacing w:line="256" w:lineRule="exact"/>
              <w:jc w:val="center"/>
              <w:rPr>
                <w:rFonts w:eastAsia="仿宋_GB2312"/>
                <w:b/>
                <w:bCs/>
                <w:szCs w:val="21"/>
              </w:rPr>
            </w:pPr>
            <w:r>
              <w:rPr>
                <w:rFonts w:eastAsia="仿宋_GB2312"/>
                <w:b/>
                <w:bCs/>
                <w:szCs w:val="21"/>
              </w:rPr>
              <w:t>均值</w:t>
            </w:r>
          </w:p>
        </w:tc>
        <w:tc>
          <w:tcPr>
            <w:tcW w:w="667" w:type="pct"/>
            <w:vMerge w:val="continue"/>
            <w:tcBorders>
              <w:right w:val="single" w:color="auto" w:sz="12" w:space="0"/>
            </w:tcBorders>
            <w:vAlign w:val="center"/>
          </w:tcPr>
          <w:p w14:paraId="773794E1">
            <w:pPr>
              <w:snapToGrid w:val="0"/>
              <w:spacing w:line="256" w:lineRule="exact"/>
              <w:jc w:val="center"/>
              <w:rPr>
                <w:rFonts w:eastAsia="仿宋_GB2312"/>
                <w:b/>
                <w:bCs/>
                <w:szCs w:val="21"/>
              </w:rPr>
            </w:pPr>
          </w:p>
        </w:tc>
      </w:tr>
      <w:tr w14:paraId="6F4ED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42" w:type="pct"/>
            <w:vMerge w:val="restart"/>
            <w:tcBorders>
              <w:left w:val="single" w:color="auto" w:sz="12" w:space="0"/>
            </w:tcBorders>
            <w:vAlign w:val="center"/>
          </w:tcPr>
          <w:p w14:paraId="791DDF96">
            <w:pPr>
              <w:snapToGrid w:val="0"/>
              <w:spacing w:line="256" w:lineRule="exact"/>
              <w:jc w:val="center"/>
              <w:rPr>
                <w:rFonts w:eastAsia="仿宋_GB2312"/>
                <w:szCs w:val="21"/>
              </w:rPr>
            </w:pPr>
            <w:r>
              <w:rPr>
                <w:rFonts w:eastAsia="仿宋_GB2312"/>
                <w:szCs w:val="21"/>
              </w:rPr>
              <w:t>废水排放口</w:t>
            </w:r>
          </w:p>
        </w:tc>
        <w:tc>
          <w:tcPr>
            <w:tcW w:w="645" w:type="pct"/>
            <w:vMerge w:val="restart"/>
            <w:vAlign w:val="center"/>
          </w:tcPr>
          <w:p w14:paraId="0A178710">
            <w:pPr>
              <w:snapToGrid w:val="0"/>
              <w:spacing w:line="256" w:lineRule="exact"/>
              <w:jc w:val="center"/>
              <w:rPr>
                <w:rFonts w:eastAsia="仿宋_GB2312"/>
                <w:szCs w:val="21"/>
              </w:rPr>
            </w:pPr>
            <w:r>
              <w:rPr>
                <w:rFonts w:hint="eastAsia" w:eastAsia="仿宋_GB2312"/>
                <w:szCs w:val="21"/>
              </w:rPr>
              <w:t>2026.5.27</w:t>
            </w:r>
          </w:p>
        </w:tc>
        <w:tc>
          <w:tcPr>
            <w:tcW w:w="755" w:type="pct"/>
            <w:vAlign w:val="center"/>
          </w:tcPr>
          <w:p w14:paraId="43A5372C">
            <w:pPr>
              <w:snapToGrid w:val="0"/>
              <w:spacing w:line="256" w:lineRule="exact"/>
              <w:jc w:val="center"/>
              <w:rPr>
                <w:rFonts w:eastAsia="仿宋_GB2312"/>
                <w:szCs w:val="21"/>
              </w:rPr>
            </w:pPr>
            <w:r>
              <w:rPr>
                <w:rFonts w:eastAsia="仿宋_GB2312"/>
                <w:szCs w:val="21"/>
              </w:rPr>
              <w:t>总磷</w:t>
            </w:r>
          </w:p>
        </w:tc>
        <w:tc>
          <w:tcPr>
            <w:tcW w:w="566" w:type="pct"/>
            <w:vAlign w:val="center"/>
          </w:tcPr>
          <w:p w14:paraId="34425BF7">
            <w:pPr>
              <w:snapToGrid w:val="0"/>
              <w:spacing w:line="256" w:lineRule="exact"/>
              <w:jc w:val="center"/>
              <w:rPr>
                <w:rFonts w:eastAsia="仿宋_GB2312"/>
                <w:szCs w:val="21"/>
              </w:rPr>
            </w:pPr>
            <w:r>
              <w:rPr>
                <w:rFonts w:hint="eastAsia" w:eastAsia="仿宋_GB2312"/>
                <w:szCs w:val="21"/>
              </w:rPr>
              <w:t>0.05</w:t>
            </w:r>
          </w:p>
        </w:tc>
        <w:tc>
          <w:tcPr>
            <w:tcW w:w="597" w:type="pct"/>
            <w:vAlign w:val="center"/>
          </w:tcPr>
          <w:p w14:paraId="70CEE96B">
            <w:pPr>
              <w:snapToGrid w:val="0"/>
              <w:spacing w:line="256" w:lineRule="exact"/>
              <w:jc w:val="center"/>
              <w:rPr>
                <w:rFonts w:eastAsia="仿宋_GB2312"/>
                <w:szCs w:val="21"/>
              </w:rPr>
            </w:pPr>
            <w:r>
              <w:rPr>
                <w:rFonts w:hint="eastAsia" w:eastAsia="仿宋_GB2312"/>
                <w:szCs w:val="21"/>
              </w:rPr>
              <w:t>0.06</w:t>
            </w:r>
          </w:p>
        </w:tc>
        <w:tc>
          <w:tcPr>
            <w:tcW w:w="574" w:type="pct"/>
            <w:vAlign w:val="center"/>
          </w:tcPr>
          <w:p w14:paraId="4CDDB424">
            <w:pPr>
              <w:snapToGrid w:val="0"/>
              <w:spacing w:line="256" w:lineRule="exact"/>
              <w:jc w:val="center"/>
              <w:rPr>
                <w:rFonts w:eastAsia="仿宋_GB2312"/>
                <w:szCs w:val="21"/>
              </w:rPr>
            </w:pPr>
            <w:r>
              <w:rPr>
                <w:rFonts w:hint="eastAsia" w:eastAsia="仿宋_GB2312"/>
                <w:szCs w:val="21"/>
              </w:rPr>
              <w:t>0.06</w:t>
            </w:r>
          </w:p>
        </w:tc>
        <w:tc>
          <w:tcPr>
            <w:tcW w:w="552" w:type="pct"/>
            <w:vAlign w:val="center"/>
          </w:tcPr>
          <w:p w14:paraId="7054B619">
            <w:pPr>
              <w:snapToGrid w:val="0"/>
              <w:spacing w:line="256" w:lineRule="exact"/>
              <w:jc w:val="center"/>
              <w:rPr>
                <w:rFonts w:eastAsia="仿宋_GB2312"/>
                <w:szCs w:val="21"/>
              </w:rPr>
            </w:pPr>
            <w:r>
              <w:rPr>
                <w:rFonts w:hint="eastAsia" w:eastAsia="仿宋_GB2312"/>
                <w:szCs w:val="21"/>
              </w:rPr>
              <w:t>0.06</w:t>
            </w:r>
          </w:p>
        </w:tc>
        <w:tc>
          <w:tcPr>
            <w:tcW w:w="667" w:type="pct"/>
            <w:tcBorders>
              <w:right w:val="single" w:color="auto" w:sz="12" w:space="0"/>
            </w:tcBorders>
            <w:vAlign w:val="center"/>
          </w:tcPr>
          <w:p w14:paraId="7CDAC1EF">
            <w:pPr>
              <w:snapToGrid w:val="0"/>
              <w:spacing w:line="256" w:lineRule="exact"/>
              <w:jc w:val="center"/>
              <w:rPr>
                <w:rFonts w:eastAsia="仿宋_GB2312"/>
                <w:szCs w:val="21"/>
              </w:rPr>
            </w:pPr>
            <w:r>
              <w:rPr>
                <w:rFonts w:eastAsia="仿宋_GB2312"/>
                <w:szCs w:val="21"/>
              </w:rPr>
              <w:t>4</w:t>
            </w:r>
          </w:p>
        </w:tc>
      </w:tr>
      <w:tr w14:paraId="1A010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42" w:type="pct"/>
            <w:vMerge w:val="continue"/>
            <w:tcBorders>
              <w:left w:val="single" w:color="auto" w:sz="12" w:space="0"/>
            </w:tcBorders>
          </w:tcPr>
          <w:p w14:paraId="3F22F5EA">
            <w:pPr>
              <w:snapToGrid w:val="0"/>
              <w:spacing w:line="256" w:lineRule="exact"/>
              <w:jc w:val="center"/>
              <w:rPr>
                <w:rFonts w:eastAsia="仿宋_GB2312"/>
                <w:color w:val="FF0000"/>
                <w:szCs w:val="21"/>
              </w:rPr>
            </w:pPr>
          </w:p>
        </w:tc>
        <w:tc>
          <w:tcPr>
            <w:tcW w:w="645" w:type="pct"/>
            <w:vMerge w:val="continue"/>
            <w:vAlign w:val="center"/>
          </w:tcPr>
          <w:p w14:paraId="3B40EFBE">
            <w:pPr>
              <w:snapToGrid w:val="0"/>
              <w:spacing w:line="256" w:lineRule="exact"/>
              <w:jc w:val="center"/>
              <w:rPr>
                <w:rFonts w:eastAsia="仿宋_GB2312"/>
                <w:szCs w:val="21"/>
              </w:rPr>
            </w:pPr>
          </w:p>
        </w:tc>
        <w:tc>
          <w:tcPr>
            <w:tcW w:w="755" w:type="pct"/>
            <w:vAlign w:val="center"/>
          </w:tcPr>
          <w:p w14:paraId="453A2EC7">
            <w:pPr>
              <w:snapToGrid w:val="0"/>
              <w:spacing w:line="256" w:lineRule="exact"/>
              <w:jc w:val="center"/>
              <w:rPr>
                <w:rFonts w:eastAsia="仿宋_GB2312"/>
                <w:szCs w:val="21"/>
              </w:rPr>
            </w:pPr>
            <w:r>
              <w:rPr>
                <w:rFonts w:eastAsia="仿宋_GB2312"/>
                <w:szCs w:val="21"/>
              </w:rPr>
              <w:t>石油类</w:t>
            </w:r>
          </w:p>
        </w:tc>
        <w:tc>
          <w:tcPr>
            <w:tcW w:w="566" w:type="pct"/>
            <w:vAlign w:val="center"/>
          </w:tcPr>
          <w:p w14:paraId="64217191">
            <w:pPr>
              <w:snapToGrid w:val="0"/>
              <w:spacing w:line="256" w:lineRule="exact"/>
              <w:jc w:val="center"/>
              <w:rPr>
                <w:rFonts w:eastAsia="仿宋_GB2312"/>
                <w:szCs w:val="21"/>
              </w:rPr>
            </w:pPr>
            <w:r>
              <w:rPr>
                <w:rFonts w:hint="eastAsia" w:eastAsia="仿宋_GB2312"/>
                <w:szCs w:val="21"/>
              </w:rPr>
              <w:t>0.15</w:t>
            </w:r>
          </w:p>
        </w:tc>
        <w:tc>
          <w:tcPr>
            <w:tcW w:w="597" w:type="pct"/>
            <w:vAlign w:val="center"/>
          </w:tcPr>
          <w:p w14:paraId="720EA961">
            <w:pPr>
              <w:snapToGrid w:val="0"/>
              <w:spacing w:line="256" w:lineRule="exact"/>
              <w:jc w:val="center"/>
              <w:rPr>
                <w:rFonts w:eastAsia="仿宋_GB2312"/>
                <w:szCs w:val="21"/>
              </w:rPr>
            </w:pPr>
            <w:r>
              <w:rPr>
                <w:rFonts w:hint="eastAsia" w:eastAsia="仿宋_GB2312"/>
                <w:szCs w:val="21"/>
              </w:rPr>
              <w:t>0.11</w:t>
            </w:r>
          </w:p>
        </w:tc>
        <w:tc>
          <w:tcPr>
            <w:tcW w:w="574" w:type="pct"/>
            <w:vAlign w:val="center"/>
          </w:tcPr>
          <w:p w14:paraId="3784E90C">
            <w:pPr>
              <w:snapToGrid w:val="0"/>
              <w:spacing w:line="256" w:lineRule="exact"/>
              <w:jc w:val="center"/>
              <w:rPr>
                <w:rFonts w:eastAsia="仿宋_GB2312"/>
                <w:szCs w:val="21"/>
              </w:rPr>
            </w:pPr>
            <w:r>
              <w:rPr>
                <w:rFonts w:hint="eastAsia" w:eastAsia="仿宋_GB2312"/>
                <w:szCs w:val="21"/>
              </w:rPr>
              <w:t>0.14</w:t>
            </w:r>
          </w:p>
        </w:tc>
        <w:tc>
          <w:tcPr>
            <w:tcW w:w="552" w:type="pct"/>
            <w:vAlign w:val="center"/>
          </w:tcPr>
          <w:p w14:paraId="00ED401D">
            <w:pPr>
              <w:snapToGrid w:val="0"/>
              <w:spacing w:line="256" w:lineRule="exact"/>
              <w:jc w:val="center"/>
              <w:rPr>
                <w:rFonts w:eastAsia="仿宋_GB2312"/>
                <w:szCs w:val="21"/>
              </w:rPr>
            </w:pPr>
            <w:r>
              <w:rPr>
                <w:rFonts w:hint="eastAsia" w:eastAsia="仿宋_GB2312"/>
                <w:szCs w:val="21"/>
              </w:rPr>
              <w:t>0.13</w:t>
            </w:r>
          </w:p>
        </w:tc>
        <w:tc>
          <w:tcPr>
            <w:tcW w:w="667" w:type="pct"/>
            <w:tcBorders>
              <w:right w:val="single" w:color="auto" w:sz="12" w:space="0"/>
            </w:tcBorders>
            <w:vAlign w:val="center"/>
          </w:tcPr>
          <w:p w14:paraId="28C14857">
            <w:pPr>
              <w:snapToGrid w:val="0"/>
              <w:spacing w:line="256" w:lineRule="exact"/>
              <w:jc w:val="center"/>
              <w:rPr>
                <w:rFonts w:eastAsia="仿宋_GB2312"/>
                <w:szCs w:val="21"/>
              </w:rPr>
            </w:pPr>
            <w:r>
              <w:rPr>
                <w:rFonts w:eastAsia="仿宋_GB2312"/>
                <w:szCs w:val="21"/>
              </w:rPr>
              <w:t>20</w:t>
            </w:r>
          </w:p>
        </w:tc>
      </w:tr>
      <w:tr w14:paraId="4E402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42" w:type="pct"/>
            <w:vMerge w:val="continue"/>
            <w:tcBorders>
              <w:left w:val="single" w:color="auto" w:sz="12" w:space="0"/>
            </w:tcBorders>
          </w:tcPr>
          <w:p w14:paraId="347A3917">
            <w:pPr>
              <w:snapToGrid w:val="0"/>
              <w:spacing w:line="256" w:lineRule="exact"/>
              <w:jc w:val="center"/>
              <w:rPr>
                <w:rFonts w:eastAsia="仿宋_GB2312"/>
                <w:color w:val="FF0000"/>
                <w:szCs w:val="21"/>
              </w:rPr>
            </w:pPr>
          </w:p>
        </w:tc>
        <w:tc>
          <w:tcPr>
            <w:tcW w:w="645" w:type="pct"/>
            <w:vMerge w:val="continue"/>
            <w:vAlign w:val="center"/>
          </w:tcPr>
          <w:p w14:paraId="4FECF1DF">
            <w:pPr>
              <w:snapToGrid w:val="0"/>
              <w:spacing w:line="256" w:lineRule="exact"/>
              <w:jc w:val="center"/>
              <w:rPr>
                <w:rFonts w:eastAsia="仿宋_GB2312"/>
                <w:szCs w:val="21"/>
              </w:rPr>
            </w:pPr>
          </w:p>
        </w:tc>
        <w:tc>
          <w:tcPr>
            <w:tcW w:w="755" w:type="pct"/>
            <w:vAlign w:val="center"/>
          </w:tcPr>
          <w:p w14:paraId="5007D748">
            <w:pPr>
              <w:snapToGrid w:val="0"/>
              <w:spacing w:line="256" w:lineRule="exact"/>
              <w:jc w:val="center"/>
              <w:rPr>
                <w:rFonts w:eastAsia="仿宋_GB2312"/>
                <w:szCs w:val="21"/>
              </w:rPr>
            </w:pPr>
            <w:r>
              <w:rPr>
                <w:rFonts w:eastAsia="仿宋_GB2312"/>
                <w:szCs w:val="21"/>
              </w:rPr>
              <w:t>总氮</w:t>
            </w:r>
          </w:p>
        </w:tc>
        <w:tc>
          <w:tcPr>
            <w:tcW w:w="566" w:type="pct"/>
            <w:vAlign w:val="center"/>
          </w:tcPr>
          <w:p w14:paraId="57DAD074">
            <w:pPr>
              <w:snapToGrid w:val="0"/>
              <w:spacing w:line="256" w:lineRule="exact"/>
              <w:jc w:val="center"/>
              <w:rPr>
                <w:rFonts w:eastAsia="仿宋_GB2312"/>
                <w:szCs w:val="21"/>
              </w:rPr>
            </w:pPr>
            <w:r>
              <w:rPr>
                <w:rFonts w:hint="eastAsia" w:eastAsia="仿宋_GB2312"/>
                <w:szCs w:val="21"/>
              </w:rPr>
              <w:t>11</w:t>
            </w:r>
          </w:p>
        </w:tc>
        <w:tc>
          <w:tcPr>
            <w:tcW w:w="597" w:type="pct"/>
            <w:vAlign w:val="center"/>
          </w:tcPr>
          <w:p w14:paraId="007BD02E">
            <w:pPr>
              <w:snapToGrid w:val="0"/>
              <w:spacing w:line="256" w:lineRule="exact"/>
              <w:jc w:val="center"/>
              <w:rPr>
                <w:rFonts w:eastAsia="仿宋_GB2312"/>
                <w:szCs w:val="21"/>
              </w:rPr>
            </w:pPr>
            <w:r>
              <w:rPr>
                <w:rFonts w:hint="eastAsia" w:eastAsia="仿宋_GB2312"/>
                <w:szCs w:val="21"/>
              </w:rPr>
              <w:t>11.2</w:t>
            </w:r>
          </w:p>
        </w:tc>
        <w:tc>
          <w:tcPr>
            <w:tcW w:w="574" w:type="pct"/>
            <w:vAlign w:val="center"/>
          </w:tcPr>
          <w:p w14:paraId="28EE269D">
            <w:pPr>
              <w:snapToGrid w:val="0"/>
              <w:spacing w:line="256" w:lineRule="exact"/>
              <w:jc w:val="center"/>
              <w:rPr>
                <w:rFonts w:eastAsia="仿宋_GB2312"/>
                <w:szCs w:val="21"/>
              </w:rPr>
            </w:pPr>
            <w:r>
              <w:rPr>
                <w:rFonts w:hint="eastAsia" w:eastAsia="仿宋_GB2312"/>
                <w:szCs w:val="21"/>
              </w:rPr>
              <w:t>11</w:t>
            </w:r>
          </w:p>
        </w:tc>
        <w:tc>
          <w:tcPr>
            <w:tcW w:w="552" w:type="pct"/>
            <w:vAlign w:val="center"/>
          </w:tcPr>
          <w:p w14:paraId="534C2DD3">
            <w:pPr>
              <w:snapToGrid w:val="0"/>
              <w:spacing w:line="256" w:lineRule="exact"/>
              <w:jc w:val="center"/>
              <w:rPr>
                <w:rFonts w:eastAsia="仿宋_GB2312"/>
                <w:szCs w:val="21"/>
              </w:rPr>
            </w:pPr>
            <w:r>
              <w:rPr>
                <w:rFonts w:hint="eastAsia" w:eastAsia="仿宋_GB2312"/>
                <w:szCs w:val="21"/>
              </w:rPr>
              <w:t>11.1</w:t>
            </w:r>
          </w:p>
        </w:tc>
        <w:tc>
          <w:tcPr>
            <w:tcW w:w="667" w:type="pct"/>
            <w:tcBorders>
              <w:right w:val="single" w:color="auto" w:sz="12" w:space="0"/>
            </w:tcBorders>
            <w:vAlign w:val="center"/>
          </w:tcPr>
          <w:p w14:paraId="2C86E65C">
            <w:pPr>
              <w:snapToGrid w:val="0"/>
              <w:spacing w:line="256" w:lineRule="exact"/>
              <w:jc w:val="center"/>
              <w:rPr>
                <w:rFonts w:eastAsia="仿宋_GB2312"/>
                <w:szCs w:val="21"/>
              </w:rPr>
            </w:pPr>
            <w:r>
              <w:rPr>
                <w:rFonts w:eastAsia="仿宋_GB2312"/>
                <w:szCs w:val="21"/>
              </w:rPr>
              <w:t>40</w:t>
            </w:r>
          </w:p>
        </w:tc>
      </w:tr>
      <w:tr w14:paraId="6E49E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42" w:type="pct"/>
            <w:vMerge w:val="continue"/>
            <w:tcBorders>
              <w:left w:val="single" w:color="auto" w:sz="12" w:space="0"/>
            </w:tcBorders>
          </w:tcPr>
          <w:p w14:paraId="0EF3D16C">
            <w:pPr>
              <w:snapToGrid w:val="0"/>
              <w:spacing w:line="256" w:lineRule="exact"/>
              <w:jc w:val="center"/>
              <w:rPr>
                <w:rFonts w:eastAsia="仿宋_GB2312"/>
                <w:color w:val="FF0000"/>
                <w:szCs w:val="21"/>
              </w:rPr>
            </w:pPr>
          </w:p>
        </w:tc>
        <w:tc>
          <w:tcPr>
            <w:tcW w:w="645" w:type="pct"/>
            <w:vMerge w:val="continue"/>
            <w:vAlign w:val="center"/>
          </w:tcPr>
          <w:p w14:paraId="3AB5CE96">
            <w:pPr>
              <w:snapToGrid w:val="0"/>
              <w:spacing w:line="256" w:lineRule="exact"/>
              <w:jc w:val="center"/>
              <w:rPr>
                <w:rFonts w:eastAsia="仿宋_GB2312"/>
                <w:szCs w:val="21"/>
              </w:rPr>
            </w:pPr>
          </w:p>
        </w:tc>
        <w:tc>
          <w:tcPr>
            <w:tcW w:w="755" w:type="pct"/>
            <w:vAlign w:val="center"/>
          </w:tcPr>
          <w:p w14:paraId="6BC32CBA">
            <w:pPr>
              <w:snapToGrid w:val="0"/>
              <w:spacing w:line="256" w:lineRule="exact"/>
              <w:jc w:val="center"/>
              <w:rPr>
                <w:rFonts w:eastAsia="仿宋_GB2312"/>
                <w:szCs w:val="21"/>
              </w:rPr>
            </w:pPr>
            <w:r>
              <w:rPr>
                <w:rFonts w:eastAsia="仿宋_GB2312"/>
                <w:szCs w:val="21"/>
              </w:rPr>
              <w:t>甲苯</w:t>
            </w:r>
          </w:p>
        </w:tc>
        <w:tc>
          <w:tcPr>
            <w:tcW w:w="566" w:type="pct"/>
            <w:vAlign w:val="center"/>
          </w:tcPr>
          <w:p w14:paraId="3997CC6A">
            <w:pPr>
              <w:snapToGrid w:val="0"/>
              <w:spacing w:line="256" w:lineRule="exact"/>
              <w:jc w:val="center"/>
              <w:rPr>
                <w:rFonts w:eastAsia="仿宋_GB2312"/>
                <w:szCs w:val="21"/>
              </w:rPr>
            </w:pPr>
            <w:r>
              <w:rPr>
                <w:rFonts w:hint="eastAsia" w:eastAsia="仿宋_GB2312"/>
                <w:szCs w:val="21"/>
              </w:rPr>
              <w:t>ND</w:t>
            </w:r>
          </w:p>
        </w:tc>
        <w:tc>
          <w:tcPr>
            <w:tcW w:w="597" w:type="pct"/>
            <w:shd w:val="clear" w:color="auto" w:fill="auto"/>
            <w:vAlign w:val="center"/>
          </w:tcPr>
          <w:p w14:paraId="0F89C744">
            <w:pPr>
              <w:snapToGrid w:val="0"/>
              <w:spacing w:line="256" w:lineRule="exact"/>
              <w:jc w:val="center"/>
              <w:rPr>
                <w:rFonts w:eastAsia="仿宋_GB2312"/>
                <w:szCs w:val="21"/>
              </w:rPr>
            </w:pPr>
            <w:r>
              <w:rPr>
                <w:rFonts w:hint="eastAsia" w:eastAsia="仿宋_GB2312"/>
                <w:szCs w:val="21"/>
              </w:rPr>
              <w:t>ND</w:t>
            </w:r>
          </w:p>
        </w:tc>
        <w:tc>
          <w:tcPr>
            <w:tcW w:w="574" w:type="pct"/>
            <w:shd w:val="clear" w:color="auto" w:fill="auto"/>
            <w:vAlign w:val="center"/>
          </w:tcPr>
          <w:p w14:paraId="33AE3D7E">
            <w:pPr>
              <w:snapToGrid w:val="0"/>
              <w:spacing w:line="256" w:lineRule="exact"/>
              <w:jc w:val="center"/>
              <w:rPr>
                <w:rFonts w:eastAsia="仿宋_GB2312"/>
                <w:szCs w:val="21"/>
              </w:rPr>
            </w:pPr>
            <w:r>
              <w:rPr>
                <w:rFonts w:hint="eastAsia" w:eastAsia="仿宋_GB2312"/>
                <w:szCs w:val="21"/>
              </w:rPr>
              <w:t>ND</w:t>
            </w:r>
          </w:p>
        </w:tc>
        <w:tc>
          <w:tcPr>
            <w:tcW w:w="552" w:type="pct"/>
            <w:shd w:val="clear" w:color="auto" w:fill="auto"/>
            <w:vAlign w:val="center"/>
          </w:tcPr>
          <w:p w14:paraId="3E79D0AF">
            <w:pPr>
              <w:snapToGrid w:val="0"/>
              <w:spacing w:line="256" w:lineRule="exact"/>
              <w:jc w:val="center"/>
              <w:rPr>
                <w:rFonts w:eastAsia="仿宋_GB2312"/>
                <w:szCs w:val="21"/>
              </w:rPr>
            </w:pPr>
            <w:r>
              <w:rPr>
                <w:rFonts w:hint="eastAsia" w:eastAsia="仿宋_GB2312"/>
                <w:szCs w:val="21"/>
              </w:rPr>
              <w:t>ND</w:t>
            </w:r>
          </w:p>
        </w:tc>
        <w:tc>
          <w:tcPr>
            <w:tcW w:w="667" w:type="pct"/>
            <w:tcBorders>
              <w:right w:val="single" w:color="auto" w:sz="12" w:space="0"/>
            </w:tcBorders>
            <w:vAlign w:val="center"/>
          </w:tcPr>
          <w:p w14:paraId="62478F1B">
            <w:pPr>
              <w:snapToGrid w:val="0"/>
              <w:spacing w:line="256" w:lineRule="exact"/>
              <w:jc w:val="center"/>
              <w:rPr>
                <w:rFonts w:eastAsia="仿宋_GB2312"/>
                <w:szCs w:val="21"/>
              </w:rPr>
            </w:pPr>
            <w:r>
              <w:rPr>
                <w:rFonts w:eastAsia="仿宋_GB2312"/>
                <w:szCs w:val="21"/>
              </w:rPr>
              <w:t>0.</w:t>
            </w:r>
            <w:r>
              <w:rPr>
                <w:rFonts w:hint="eastAsia" w:eastAsia="仿宋_GB2312"/>
                <w:szCs w:val="21"/>
              </w:rPr>
              <w:t>1</w:t>
            </w:r>
          </w:p>
        </w:tc>
      </w:tr>
      <w:tr w14:paraId="0FD71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42" w:type="pct"/>
            <w:vMerge w:val="continue"/>
            <w:tcBorders>
              <w:left w:val="single" w:color="auto" w:sz="12" w:space="0"/>
            </w:tcBorders>
          </w:tcPr>
          <w:p w14:paraId="254504BC">
            <w:pPr>
              <w:snapToGrid w:val="0"/>
              <w:spacing w:line="256" w:lineRule="exact"/>
              <w:jc w:val="center"/>
              <w:rPr>
                <w:rFonts w:eastAsia="仿宋_GB2312"/>
                <w:color w:val="FF0000"/>
                <w:szCs w:val="21"/>
              </w:rPr>
            </w:pPr>
          </w:p>
        </w:tc>
        <w:tc>
          <w:tcPr>
            <w:tcW w:w="645" w:type="pct"/>
            <w:vMerge w:val="continue"/>
            <w:vAlign w:val="center"/>
          </w:tcPr>
          <w:p w14:paraId="63D355DE">
            <w:pPr>
              <w:snapToGrid w:val="0"/>
              <w:spacing w:line="256" w:lineRule="exact"/>
              <w:jc w:val="center"/>
              <w:rPr>
                <w:rFonts w:eastAsia="仿宋_GB2312"/>
                <w:szCs w:val="21"/>
              </w:rPr>
            </w:pPr>
          </w:p>
        </w:tc>
        <w:tc>
          <w:tcPr>
            <w:tcW w:w="755" w:type="pct"/>
            <w:vAlign w:val="center"/>
          </w:tcPr>
          <w:p w14:paraId="3D9220FB">
            <w:pPr>
              <w:snapToGrid w:val="0"/>
              <w:spacing w:line="256" w:lineRule="exact"/>
              <w:jc w:val="center"/>
              <w:rPr>
                <w:rFonts w:eastAsia="仿宋_GB2312"/>
                <w:szCs w:val="21"/>
              </w:rPr>
            </w:pPr>
            <w:r>
              <w:rPr>
                <w:rFonts w:eastAsia="仿宋_GB2312"/>
                <w:szCs w:val="21"/>
              </w:rPr>
              <w:t>二甲苯</w:t>
            </w:r>
          </w:p>
        </w:tc>
        <w:tc>
          <w:tcPr>
            <w:tcW w:w="566" w:type="pct"/>
            <w:vAlign w:val="center"/>
          </w:tcPr>
          <w:p w14:paraId="2A081646">
            <w:pPr>
              <w:snapToGrid w:val="0"/>
              <w:spacing w:line="256" w:lineRule="exact"/>
              <w:jc w:val="center"/>
              <w:rPr>
                <w:rFonts w:eastAsia="仿宋_GB2312"/>
                <w:szCs w:val="21"/>
              </w:rPr>
            </w:pPr>
            <w:r>
              <w:rPr>
                <w:rFonts w:hint="eastAsia" w:eastAsia="仿宋_GB2312"/>
                <w:szCs w:val="21"/>
              </w:rPr>
              <w:t>ND</w:t>
            </w:r>
          </w:p>
        </w:tc>
        <w:tc>
          <w:tcPr>
            <w:tcW w:w="597" w:type="pct"/>
            <w:shd w:val="clear" w:color="auto" w:fill="auto"/>
            <w:vAlign w:val="center"/>
          </w:tcPr>
          <w:p w14:paraId="134B5426">
            <w:pPr>
              <w:snapToGrid w:val="0"/>
              <w:spacing w:line="256" w:lineRule="exact"/>
              <w:jc w:val="center"/>
              <w:rPr>
                <w:rFonts w:eastAsia="仿宋_GB2312"/>
                <w:szCs w:val="21"/>
              </w:rPr>
            </w:pPr>
            <w:r>
              <w:rPr>
                <w:rFonts w:hint="eastAsia" w:eastAsia="仿宋_GB2312"/>
                <w:szCs w:val="21"/>
              </w:rPr>
              <w:t>ND</w:t>
            </w:r>
          </w:p>
        </w:tc>
        <w:tc>
          <w:tcPr>
            <w:tcW w:w="574" w:type="pct"/>
            <w:shd w:val="clear" w:color="auto" w:fill="auto"/>
            <w:vAlign w:val="center"/>
          </w:tcPr>
          <w:p w14:paraId="4BE7EBAD">
            <w:pPr>
              <w:snapToGrid w:val="0"/>
              <w:spacing w:line="256" w:lineRule="exact"/>
              <w:jc w:val="center"/>
              <w:rPr>
                <w:rFonts w:eastAsia="仿宋_GB2312"/>
                <w:szCs w:val="21"/>
              </w:rPr>
            </w:pPr>
            <w:r>
              <w:rPr>
                <w:rFonts w:hint="eastAsia" w:eastAsia="仿宋_GB2312"/>
                <w:szCs w:val="21"/>
              </w:rPr>
              <w:t>ND</w:t>
            </w:r>
          </w:p>
        </w:tc>
        <w:tc>
          <w:tcPr>
            <w:tcW w:w="552" w:type="pct"/>
            <w:shd w:val="clear" w:color="auto" w:fill="auto"/>
            <w:vAlign w:val="center"/>
          </w:tcPr>
          <w:p w14:paraId="1B493CB1">
            <w:pPr>
              <w:snapToGrid w:val="0"/>
              <w:spacing w:line="256" w:lineRule="exact"/>
              <w:jc w:val="center"/>
              <w:rPr>
                <w:rFonts w:eastAsia="仿宋_GB2312"/>
                <w:szCs w:val="21"/>
              </w:rPr>
            </w:pPr>
            <w:r>
              <w:rPr>
                <w:rFonts w:hint="eastAsia" w:eastAsia="仿宋_GB2312"/>
                <w:szCs w:val="21"/>
              </w:rPr>
              <w:t>ND</w:t>
            </w:r>
          </w:p>
        </w:tc>
        <w:tc>
          <w:tcPr>
            <w:tcW w:w="667" w:type="pct"/>
            <w:tcBorders>
              <w:right w:val="single" w:color="auto" w:sz="12" w:space="0"/>
            </w:tcBorders>
            <w:vAlign w:val="center"/>
          </w:tcPr>
          <w:p w14:paraId="63AA1AE8">
            <w:pPr>
              <w:snapToGrid w:val="0"/>
              <w:spacing w:line="256" w:lineRule="exact"/>
              <w:jc w:val="center"/>
              <w:rPr>
                <w:rFonts w:eastAsia="仿宋_GB2312"/>
                <w:szCs w:val="21"/>
              </w:rPr>
            </w:pPr>
            <w:r>
              <w:rPr>
                <w:rFonts w:hint="eastAsia" w:eastAsia="仿宋_GB2312"/>
                <w:szCs w:val="21"/>
              </w:rPr>
              <w:t>0.4</w:t>
            </w:r>
          </w:p>
        </w:tc>
      </w:tr>
      <w:tr w14:paraId="7E967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42" w:type="pct"/>
            <w:vMerge w:val="continue"/>
            <w:tcBorders>
              <w:left w:val="single" w:color="auto" w:sz="12" w:space="0"/>
            </w:tcBorders>
          </w:tcPr>
          <w:p w14:paraId="48A0A649">
            <w:pPr>
              <w:snapToGrid w:val="0"/>
              <w:spacing w:line="256" w:lineRule="exact"/>
              <w:jc w:val="center"/>
              <w:rPr>
                <w:rFonts w:eastAsia="仿宋_GB2312"/>
                <w:color w:val="FF0000"/>
                <w:szCs w:val="21"/>
              </w:rPr>
            </w:pPr>
          </w:p>
        </w:tc>
        <w:tc>
          <w:tcPr>
            <w:tcW w:w="645" w:type="pct"/>
            <w:vMerge w:val="continue"/>
            <w:vAlign w:val="center"/>
          </w:tcPr>
          <w:p w14:paraId="561829AA">
            <w:pPr>
              <w:snapToGrid w:val="0"/>
              <w:spacing w:line="256" w:lineRule="exact"/>
              <w:jc w:val="center"/>
              <w:rPr>
                <w:rFonts w:eastAsia="仿宋_GB2312"/>
                <w:szCs w:val="21"/>
              </w:rPr>
            </w:pPr>
          </w:p>
        </w:tc>
        <w:tc>
          <w:tcPr>
            <w:tcW w:w="755" w:type="pct"/>
            <w:vAlign w:val="center"/>
          </w:tcPr>
          <w:p w14:paraId="78035537">
            <w:pPr>
              <w:snapToGrid w:val="0"/>
              <w:spacing w:line="256" w:lineRule="exact"/>
              <w:jc w:val="center"/>
              <w:rPr>
                <w:rFonts w:eastAsia="仿宋_GB2312"/>
                <w:szCs w:val="21"/>
              </w:rPr>
            </w:pPr>
            <w:r>
              <w:rPr>
                <w:rFonts w:eastAsia="仿宋_GB2312"/>
                <w:szCs w:val="21"/>
              </w:rPr>
              <w:t>悬浮物</w:t>
            </w:r>
          </w:p>
        </w:tc>
        <w:tc>
          <w:tcPr>
            <w:tcW w:w="566" w:type="pct"/>
            <w:vAlign w:val="center"/>
          </w:tcPr>
          <w:p w14:paraId="32E925DA">
            <w:pPr>
              <w:snapToGrid w:val="0"/>
              <w:spacing w:line="256" w:lineRule="exact"/>
              <w:jc w:val="center"/>
              <w:rPr>
                <w:rFonts w:eastAsia="仿宋_GB2312"/>
                <w:szCs w:val="21"/>
              </w:rPr>
            </w:pPr>
            <w:r>
              <w:rPr>
                <w:rFonts w:hint="eastAsia" w:eastAsia="仿宋_GB2312"/>
                <w:szCs w:val="21"/>
              </w:rPr>
              <w:t>11</w:t>
            </w:r>
          </w:p>
        </w:tc>
        <w:tc>
          <w:tcPr>
            <w:tcW w:w="597" w:type="pct"/>
            <w:vAlign w:val="center"/>
          </w:tcPr>
          <w:p w14:paraId="355DF43D">
            <w:pPr>
              <w:snapToGrid w:val="0"/>
              <w:spacing w:line="256" w:lineRule="exact"/>
              <w:jc w:val="center"/>
              <w:rPr>
                <w:rFonts w:eastAsia="仿宋_GB2312"/>
                <w:szCs w:val="21"/>
              </w:rPr>
            </w:pPr>
            <w:r>
              <w:rPr>
                <w:rFonts w:hint="eastAsia" w:eastAsia="仿宋_GB2312"/>
                <w:szCs w:val="21"/>
              </w:rPr>
              <w:t>9</w:t>
            </w:r>
          </w:p>
        </w:tc>
        <w:tc>
          <w:tcPr>
            <w:tcW w:w="574" w:type="pct"/>
            <w:vAlign w:val="center"/>
          </w:tcPr>
          <w:p w14:paraId="706F8C0B">
            <w:pPr>
              <w:snapToGrid w:val="0"/>
              <w:spacing w:line="256" w:lineRule="exact"/>
              <w:jc w:val="center"/>
              <w:rPr>
                <w:rFonts w:eastAsia="仿宋_GB2312"/>
                <w:szCs w:val="21"/>
              </w:rPr>
            </w:pPr>
            <w:r>
              <w:rPr>
                <w:rFonts w:hint="eastAsia" w:eastAsia="仿宋_GB2312"/>
                <w:szCs w:val="21"/>
              </w:rPr>
              <w:t>11</w:t>
            </w:r>
          </w:p>
        </w:tc>
        <w:tc>
          <w:tcPr>
            <w:tcW w:w="552" w:type="pct"/>
            <w:vAlign w:val="center"/>
          </w:tcPr>
          <w:p w14:paraId="025C7192">
            <w:pPr>
              <w:snapToGrid w:val="0"/>
              <w:spacing w:line="256" w:lineRule="exact"/>
              <w:jc w:val="center"/>
              <w:rPr>
                <w:rFonts w:eastAsia="仿宋_GB2312"/>
                <w:szCs w:val="21"/>
              </w:rPr>
            </w:pPr>
            <w:r>
              <w:rPr>
                <w:rFonts w:hint="eastAsia" w:eastAsia="仿宋_GB2312"/>
                <w:szCs w:val="21"/>
              </w:rPr>
              <w:t>10.3</w:t>
            </w:r>
          </w:p>
        </w:tc>
        <w:tc>
          <w:tcPr>
            <w:tcW w:w="667" w:type="pct"/>
            <w:tcBorders>
              <w:right w:val="single" w:color="auto" w:sz="12" w:space="0"/>
            </w:tcBorders>
            <w:vAlign w:val="center"/>
          </w:tcPr>
          <w:p w14:paraId="2F7D8CFC">
            <w:pPr>
              <w:snapToGrid w:val="0"/>
              <w:spacing w:line="256" w:lineRule="exact"/>
              <w:jc w:val="center"/>
              <w:rPr>
                <w:rFonts w:eastAsia="仿宋_GB2312"/>
                <w:szCs w:val="21"/>
              </w:rPr>
            </w:pPr>
            <w:r>
              <w:rPr>
                <w:rFonts w:eastAsia="仿宋_GB2312"/>
                <w:szCs w:val="21"/>
              </w:rPr>
              <w:t>400</w:t>
            </w:r>
          </w:p>
        </w:tc>
      </w:tr>
      <w:tr w14:paraId="2D842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42" w:type="pct"/>
            <w:vMerge w:val="continue"/>
            <w:tcBorders>
              <w:left w:val="single" w:color="auto" w:sz="12" w:space="0"/>
              <w:bottom w:val="single" w:color="auto" w:sz="12" w:space="0"/>
            </w:tcBorders>
          </w:tcPr>
          <w:p w14:paraId="6DD59279">
            <w:pPr>
              <w:snapToGrid w:val="0"/>
              <w:spacing w:line="256" w:lineRule="exact"/>
              <w:jc w:val="center"/>
              <w:rPr>
                <w:rFonts w:eastAsia="仿宋_GB2312"/>
                <w:color w:val="FF0000"/>
                <w:szCs w:val="21"/>
              </w:rPr>
            </w:pPr>
          </w:p>
        </w:tc>
        <w:tc>
          <w:tcPr>
            <w:tcW w:w="645" w:type="pct"/>
            <w:vMerge w:val="continue"/>
            <w:tcBorders>
              <w:bottom w:val="single" w:color="auto" w:sz="12" w:space="0"/>
            </w:tcBorders>
            <w:vAlign w:val="center"/>
          </w:tcPr>
          <w:p w14:paraId="35612411">
            <w:pPr>
              <w:snapToGrid w:val="0"/>
              <w:spacing w:line="256" w:lineRule="exact"/>
              <w:jc w:val="center"/>
              <w:rPr>
                <w:rFonts w:eastAsia="仿宋_GB2312"/>
                <w:szCs w:val="21"/>
              </w:rPr>
            </w:pPr>
          </w:p>
        </w:tc>
        <w:tc>
          <w:tcPr>
            <w:tcW w:w="755" w:type="pct"/>
            <w:tcBorders>
              <w:bottom w:val="single" w:color="auto" w:sz="12" w:space="0"/>
            </w:tcBorders>
            <w:vAlign w:val="center"/>
          </w:tcPr>
          <w:p w14:paraId="6AB1809B">
            <w:pPr>
              <w:snapToGrid w:val="0"/>
              <w:spacing w:line="256" w:lineRule="exact"/>
              <w:jc w:val="center"/>
              <w:rPr>
                <w:rFonts w:eastAsia="仿宋_GB2312"/>
                <w:szCs w:val="21"/>
              </w:rPr>
            </w:pPr>
            <w:r>
              <w:rPr>
                <w:rFonts w:eastAsia="仿宋_GB2312"/>
                <w:szCs w:val="21"/>
              </w:rPr>
              <w:t>五日生化需氧量</w:t>
            </w:r>
          </w:p>
        </w:tc>
        <w:tc>
          <w:tcPr>
            <w:tcW w:w="566" w:type="pct"/>
            <w:tcBorders>
              <w:bottom w:val="single" w:color="auto" w:sz="12" w:space="0"/>
            </w:tcBorders>
            <w:vAlign w:val="center"/>
          </w:tcPr>
          <w:p w14:paraId="369FB1BF">
            <w:pPr>
              <w:snapToGrid w:val="0"/>
              <w:spacing w:line="256" w:lineRule="exact"/>
              <w:jc w:val="center"/>
              <w:rPr>
                <w:rFonts w:eastAsia="仿宋_GB2312"/>
                <w:szCs w:val="21"/>
              </w:rPr>
            </w:pPr>
            <w:r>
              <w:rPr>
                <w:rFonts w:hint="eastAsia" w:eastAsia="仿宋_GB2312"/>
                <w:szCs w:val="21"/>
              </w:rPr>
              <w:t>14.4</w:t>
            </w:r>
          </w:p>
        </w:tc>
        <w:tc>
          <w:tcPr>
            <w:tcW w:w="597" w:type="pct"/>
            <w:tcBorders>
              <w:bottom w:val="single" w:color="auto" w:sz="12" w:space="0"/>
            </w:tcBorders>
            <w:vAlign w:val="center"/>
          </w:tcPr>
          <w:p w14:paraId="2772B465">
            <w:pPr>
              <w:snapToGrid w:val="0"/>
              <w:spacing w:line="256" w:lineRule="exact"/>
              <w:jc w:val="center"/>
              <w:rPr>
                <w:rFonts w:eastAsia="仿宋_GB2312"/>
                <w:szCs w:val="21"/>
              </w:rPr>
            </w:pPr>
            <w:r>
              <w:rPr>
                <w:rFonts w:hint="eastAsia" w:eastAsia="仿宋_GB2312"/>
                <w:szCs w:val="21"/>
              </w:rPr>
              <w:t>15.3</w:t>
            </w:r>
          </w:p>
        </w:tc>
        <w:tc>
          <w:tcPr>
            <w:tcW w:w="574" w:type="pct"/>
            <w:tcBorders>
              <w:bottom w:val="single" w:color="auto" w:sz="12" w:space="0"/>
            </w:tcBorders>
            <w:vAlign w:val="center"/>
          </w:tcPr>
          <w:p w14:paraId="767F4F85">
            <w:pPr>
              <w:snapToGrid w:val="0"/>
              <w:spacing w:line="256" w:lineRule="exact"/>
              <w:jc w:val="center"/>
              <w:rPr>
                <w:rFonts w:eastAsia="仿宋_GB2312"/>
                <w:szCs w:val="21"/>
              </w:rPr>
            </w:pPr>
            <w:r>
              <w:rPr>
                <w:rFonts w:hint="eastAsia" w:eastAsia="仿宋_GB2312"/>
                <w:szCs w:val="21"/>
              </w:rPr>
              <w:t>14.9</w:t>
            </w:r>
          </w:p>
        </w:tc>
        <w:tc>
          <w:tcPr>
            <w:tcW w:w="552" w:type="pct"/>
            <w:tcBorders>
              <w:bottom w:val="single" w:color="auto" w:sz="12" w:space="0"/>
            </w:tcBorders>
            <w:vAlign w:val="center"/>
          </w:tcPr>
          <w:p w14:paraId="0D1A9070">
            <w:pPr>
              <w:snapToGrid w:val="0"/>
              <w:spacing w:line="256" w:lineRule="exact"/>
              <w:jc w:val="center"/>
              <w:rPr>
                <w:rFonts w:eastAsia="仿宋_GB2312"/>
                <w:szCs w:val="21"/>
              </w:rPr>
            </w:pPr>
            <w:r>
              <w:rPr>
                <w:rFonts w:hint="eastAsia" w:eastAsia="仿宋_GB2312"/>
                <w:szCs w:val="21"/>
              </w:rPr>
              <w:t>14.9</w:t>
            </w:r>
          </w:p>
        </w:tc>
        <w:tc>
          <w:tcPr>
            <w:tcW w:w="667" w:type="pct"/>
            <w:tcBorders>
              <w:bottom w:val="single" w:color="auto" w:sz="12" w:space="0"/>
              <w:right w:val="single" w:color="auto" w:sz="12" w:space="0"/>
            </w:tcBorders>
            <w:vAlign w:val="center"/>
          </w:tcPr>
          <w:p w14:paraId="4F23DA8D">
            <w:pPr>
              <w:snapToGrid w:val="0"/>
              <w:spacing w:line="256" w:lineRule="exact"/>
              <w:jc w:val="center"/>
              <w:rPr>
                <w:rFonts w:eastAsia="仿宋_GB2312"/>
                <w:szCs w:val="21"/>
              </w:rPr>
            </w:pPr>
            <w:r>
              <w:rPr>
                <w:rFonts w:eastAsia="仿宋_GB2312"/>
                <w:szCs w:val="21"/>
              </w:rPr>
              <w:t>300</w:t>
            </w:r>
          </w:p>
        </w:tc>
      </w:tr>
    </w:tbl>
    <w:p w14:paraId="40D046DC">
      <w:pPr>
        <w:widowControl/>
        <w:rPr>
          <w:rFonts w:eastAsia="仿宋_GB2312"/>
          <w:szCs w:val="21"/>
        </w:rPr>
      </w:pPr>
      <w:r>
        <w:rPr>
          <w:rFonts w:eastAsia="仿宋_GB2312"/>
          <w:szCs w:val="21"/>
        </w:rPr>
        <w:t>注：甲苯、邻二甲苯检出限1.4μg/L，间/对二甲苯检出限为2.2μg/L。</w:t>
      </w:r>
    </w:p>
    <w:p w14:paraId="113B2F5B">
      <w:pPr>
        <w:spacing w:line="500" w:lineRule="exact"/>
        <w:ind w:firstLine="560" w:firstLineChars="200"/>
        <w:rPr>
          <w:rFonts w:eastAsia="仿宋_GB2312"/>
          <w:sz w:val="28"/>
          <w:szCs w:val="28"/>
        </w:rPr>
      </w:pPr>
      <w:r>
        <w:rPr>
          <w:rFonts w:eastAsia="仿宋_GB2312"/>
          <w:sz w:val="28"/>
          <w:szCs w:val="28"/>
        </w:rPr>
        <w:t>根据企业提供的202</w:t>
      </w:r>
      <w:r>
        <w:rPr>
          <w:rFonts w:hint="eastAsia" w:eastAsia="仿宋_GB2312"/>
          <w:sz w:val="28"/>
          <w:szCs w:val="28"/>
        </w:rPr>
        <w:t>6</w:t>
      </w:r>
      <w:r>
        <w:rPr>
          <w:rFonts w:eastAsia="仿宋_GB2312"/>
          <w:sz w:val="28"/>
          <w:szCs w:val="28"/>
        </w:rPr>
        <w:t>年</w:t>
      </w:r>
      <w:r>
        <w:rPr>
          <w:rFonts w:hint="eastAsia" w:eastAsia="仿宋_GB2312"/>
          <w:sz w:val="28"/>
          <w:szCs w:val="28"/>
        </w:rPr>
        <w:t>3</w:t>
      </w:r>
      <w:r>
        <w:rPr>
          <w:rFonts w:eastAsia="仿宋_GB2312"/>
          <w:sz w:val="28"/>
          <w:szCs w:val="28"/>
        </w:rPr>
        <w:t>月</w:t>
      </w:r>
      <w:r>
        <w:rPr>
          <w:rFonts w:hint="eastAsia" w:eastAsia="仿宋_GB2312"/>
          <w:sz w:val="28"/>
          <w:szCs w:val="28"/>
        </w:rPr>
        <w:t>雨水</w:t>
      </w:r>
      <w:r>
        <w:rPr>
          <w:rFonts w:eastAsia="仿宋_GB2312"/>
          <w:sz w:val="28"/>
          <w:szCs w:val="28"/>
        </w:rPr>
        <w:t>排放口pH和COD在线监测数据</w:t>
      </w:r>
      <w:r>
        <w:rPr>
          <w:rFonts w:hint="eastAsia" w:eastAsia="仿宋_GB2312"/>
          <w:sz w:val="28"/>
          <w:szCs w:val="28"/>
        </w:rPr>
        <w:t>和2026年3月6日委托</w:t>
      </w:r>
      <w:r>
        <w:rPr>
          <w:rFonts w:eastAsia="仿宋_GB2312"/>
          <w:sz w:val="28"/>
          <w:szCs w:val="28"/>
        </w:rPr>
        <w:t>江苏赛蓝环境检测有限公司</w:t>
      </w:r>
      <w:r>
        <w:rPr>
          <w:rFonts w:hint="eastAsia" w:eastAsia="仿宋_GB2312"/>
          <w:sz w:val="28"/>
          <w:szCs w:val="28"/>
        </w:rPr>
        <w:t>雨水</w:t>
      </w:r>
      <w:r>
        <w:rPr>
          <w:rFonts w:eastAsia="仿宋_GB2312"/>
          <w:sz w:val="28"/>
          <w:szCs w:val="28"/>
        </w:rPr>
        <w:t>采样出具的检测报告（202</w:t>
      </w:r>
      <w:r>
        <w:rPr>
          <w:rFonts w:hint="eastAsia" w:eastAsia="仿宋_GB2312"/>
          <w:sz w:val="28"/>
          <w:szCs w:val="28"/>
        </w:rPr>
        <w:t>6</w:t>
      </w:r>
      <w:r>
        <w:rPr>
          <w:rFonts w:eastAsia="仿宋_GB2312"/>
          <w:sz w:val="28"/>
          <w:szCs w:val="28"/>
        </w:rPr>
        <w:t>）苏赛检第（0</w:t>
      </w:r>
      <w:r>
        <w:rPr>
          <w:rFonts w:hint="eastAsia" w:eastAsia="仿宋_GB2312"/>
          <w:sz w:val="28"/>
          <w:szCs w:val="28"/>
        </w:rPr>
        <w:t>3076</w:t>
      </w:r>
      <w:r>
        <w:rPr>
          <w:rFonts w:eastAsia="仿宋_GB2312"/>
          <w:sz w:val="28"/>
          <w:szCs w:val="28"/>
        </w:rPr>
        <w:t>）号</w:t>
      </w:r>
      <w:r>
        <w:rPr>
          <w:rFonts w:hint="eastAsia" w:eastAsia="仿宋_GB2312"/>
          <w:sz w:val="28"/>
          <w:szCs w:val="28"/>
        </w:rPr>
        <w:t>，雨水排口监测数据分别见表3.1-12和</w:t>
      </w:r>
      <w:r>
        <w:rPr>
          <w:rFonts w:eastAsia="仿宋_GB2312"/>
          <w:sz w:val="28"/>
          <w:szCs w:val="28"/>
        </w:rPr>
        <w:t>表3.1-1</w:t>
      </w:r>
      <w:r>
        <w:rPr>
          <w:rFonts w:hint="eastAsia" w:eastAsia="仿宋_GB2312"/>
          <w:sz w:val="28"/>
          <w:szCs w:val="28"/>
        </w:rPr>
        <w:t>3</w:t>
      </w:r>
      <w:r>
        <w:rPr>
          <w:rFonts w:eastAsia="仿宋_GB2312"/>
          <w:sz w:val="28"/>
          <w:szCs w:val="28"/>
        </w:rPr>
        <w:t>。</w:t>
      </w:r>
    </w:p>
    <w:p w14:paraId="269469D6">
      <w:pPr>
        <w:spacing w:line="500" w:lineRule="exact"/>
        <w:jc w:val="center"/>
        <w:rPr>
          <w:rFonts w:eastAsia="仿宋_GB2312"/>
          <w:b/>
          <w:sz w:val="24"/>
        </w:rPr>
      </w:pPr>
      <w:r>
        <w:rPr>
          <w:rFonts w:eastAsia="仿宋_GB2312"/>
          <w:b/>
          <w:sz w:val="24"/>
        </w:rPr>
        <w:t>表3.1-1</w:t>
      </w:r>
      <w:r>
        <w:rPr>
          <w:rFonts w:hint="eastAsia" w:eastAsia="仿宋_GB2312"/>
          <w:b/>
          <w:sz w:val="24"/>
        </w:rPr>
        <w:t>2</w:t>
      </w:r>
      <w:r>
        <w:rPr>
          <w:rFonts w:eastAsia="仿宋_GB2312"/>
          <w:b/>
          <w:sz w:val="24"/>
        </w:rPr>
        <w:t xml:space="preserve">  雨水排放口在线监测结果 （单位：mg/L）</w:t>
      </w:r>
    </w:p>
    <w:tbl>
      <w:tblPr>
        <w:tblStyle w:val="89"/>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538"/>
        <w:gridCol w:w="2051"/>
        <w:gridCol w:w="2141"/>
        <w:gridCol w:w="2793"/>
      </w:tblGrid>
      <w:tr w14:paraId="37F950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02" w:type="pct"/>
            <w:tcBorders>
              <w:tl2br w:val="nil"/>
              <w:tr2bl w:val="nil"/>
            </w:tcBorders>
            <w:vAlign w:val="center"/>
          </w:tcPr>
          <w:p w14:paraId="26ACFDED">
            <w:pPr>
              <w:snapToGrid w:val="0"/>
              <w:spacing w:line="256" w:lineRule="exact"/>
              <w:jc w:val="center"/>
              <w:rPr>
                <w:rFonts w:eastAsia="仿宋_GB2312"/>
                <w:b/>
                <w:bCs/>
                <w:szCs w:val="21"/>
              </w:rPr>
            </w:pPr>
            <w:r>
              <w:rPr>
                <w:rFonts w:eastAsia="仿宋_GB2312"/>
                <w:b/>
                <w:bCs/>
                <w:szCs w:val="21"/>
              </w:rPr>
              <w:t>监测位置</w:t>
            </w:r>
          </w:p>
        </w:tc>
        <w:tc>
          <w:tcPr>
            <w:tcW w:w="1203" w:type="pct"/>
            <w:tcBorders>
              <w:tl2br w:val="nil"/>
              <w:tr2bl w:val="nil"/>
            </w:tcBorders>
            <w:vAlign w:val="center"/>
          </w:tcPr>
          <w:p w14:paraId="55963600">
            <w:pPr>
              <w:snapToGrid w:val="0"/>
              <w:spacing w:line="256" w:lineRule="exact"/>
              <w:jc w:val="center"/>
              <w:rPr>
                <w:rFonts w:eastAsia="仿宋_GB2312"/>
                <w:b/>
                <w:bCs/>
                <w:szCs w:val="21"/>
              </w:rPr>
            </w:pPr>
            <w:r>
              <w:rPr>
                <w:rFonts w:eastAsia="仿宋_GB2312"/>
                <w:b/>
                <w:bCs/>
                <w:szCs w:val="21"/>
              </w:rPr>
              <w:t>监测日期</w:t>
            </w:r>
          </w:p>
        </w:tc>
        <w:tc>
          <w:tcPr>
            <w:tcW w:w="1256" w:type="pct"/>
            <w:tcBorders>
              <w:tl2br w:val="nil"/>
              <w:tr2bl w:val="nil"/>
            </w:tcBorders>
            <w:vAlign w:val="center"/>
          </w:tcPr>
          <w:p w14:paraId="7EA29415">
            <w:pPr>
              <w:snapToGrid w:val="0"/>
              <w:spacing w:line="256" w:lineRule="exact"/>
              <w:jc w:val="center"/>
              <w:rPr>
                <w:rFonts w:eastAsia="仿宋_GB2312"/>
                <w:b/>
                <w:bCs/>
                <w:szCs w:val="21"/>
              </w:rPr>
            </w:pPr>
            <w:r>
              <w:rPr>
                <w:rFonts w:eastAsia="仿宋_GB2312"/>
                <w:b/>
                <w:bCs/>
                <w:szCs w:val="21"/>
              </w:rPr>
              <w:t>监测项目</w:t>
            </w:r>
          </w:p>
        </w:tc>
        <w:tc>
          <w:tcPr>
            <w:tcW w:w="1638" w:type="pct"/>
            <w:tcBorders>
              <w:tl2br w:val="nil"/>
              <w:tr2bl w:val="nil"/>
            </w:tcBorders>
            <w:vAlign w:val="center"/>
          </w:tcPr>
          <w:p w14:paraId="3E17F406">
            <w:pPr>
              <w:snapToGrid w:val="0"/>
              <w:spacing w:line="256" w:lineRule="exact"/>
              <w:jc w:val="center"/>
              <w:rPr>
                <w:rFonts w:eastAsia="仿宋_GB2312"/>
                <w:b/>
                <w:bCs/>
                <w:color w:val="FF0000"/>
                <w:szCs w:val="21"/>
              </w:rPr>
            </w:pPr>
            <w:r>
              <w:rPr>
                <w:rFonts w:eastAsia="仿宋_GB2312"/>
                <w:b/>
                <w:bCs/>
                <w:szCs w:val="21"/>
              </w:rPr>
              <w:t>监测结果</w:t>
            </w:r>
            <w:r>
              <w:rPr>
                <w:rFonts w:hint="eastAsia" w:eastAsia="仿宋_GB2312"/>
                <w:b/>
                <w:bCs/>
                <w:szCs w:val="21"/>
              </w:rPr>
              <w:t>最大值</w:t>
            </w:r>
          </w:p>
        </w:tc>
      </w:tr>
      <w:tr w14:paraId="7B81AF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02" w:type="pct"/>
            <w:vMerge w:val="restart"/>
            <w:tcBorders>
              <w:tl2br w:val="nil"/>
              <w:tr2bl w:val="nil"/>
            </w:tcBorders>
            <w:vAlign w:val="center"/>
          </w:tcPr>
          <w:p w14:paraId="7293871C">
            <w:pPr>
              <w:snapToGrid w:val="0"/>
              <w:spacing w:line="256" w:lineRule="exact"/>
              <w:jc w:val="center"/>
              <w:rPr>
                <w:rFonts w:eastAsia="仿宋_GB2312"/>
                <w:szCs w:val="21"/>
              </w:rPr>
            </w:pPr>
            <w:r>
              <w:rPr>
                <w:rFonts w:eastAsia="仿宋_GB2312"/>
                <w:szCs w:val="21"/>
              </w:rPr>
              <w:t>雨水排放口</w:t>
            </w:r>
          </w:p>
        </w:tc>
        <w:tc>
          <w:tcPr>
            <w:tcW w:w="1203" w:type="pct"/>
            <w:vMerge w:val="restart"/>
            <w:tcBorders>
              <w:tl2br w:val="nil"/>
              <w:tr2bl w:val="nil"/>
            </w:tcBorders>
            <w:vAlign w:val="center"/>
          </w:tcPr>
          <w:p w14:paraId="20B33A3B">
            <w:pPr>
              <w:snapToGrid w:val="0"/>
              <w:spacing w:line="256" w:lineRule="exact"/>
              <w:jc w:val="center"/>
              <w:rPr>
                <w:rFonts w:eastAsia="仿宋_GB2312"/>
                <w:szCs w:val="21"/>
              </w:rPr>
            </w:pPr>
            <w:r>
              <w:rPr>
                <w:rFonts w:eastAsia="仿宋_GB2312"/>
                <w:szCs w:val="21"/>
              </w:rPr>
              <w:t>202</w:t>
            </w:r>
            <w:r>
              <w:rPr>
                <w:rFonts w:hint="eastAsia" w:eastAsia="仿宋_GB2312"/>
                <w:szCs w:val="21"/>
              </w:rPr>
              <w:t>6</w:t>
            </w:r>
            <w:r>
              <w:rPr>
                <w:rFonts w:eastAsia="仿宋_GB2312"/>
                <w:szCs w:val="21"/>
              </w:rPr>
              <w:t>年</w:t>
            </w:r>
            <w:r>
              <w:rPr>
                <w:rFonts w:hint="eastAsia" w:eastAsia="仿宋_GB2312"/>
                <w:szCs w:val="21"/>
              </w:rPr>
              <w:t>4</w:t>
            </w:r>
            <w:r>
              <w:rPr>
                <w:rFonts w:eastAsia="仿宋_GB2312"/>
                <w:szCs w:val="21"/>
              </w:rPr>
              <w:t>月</w:t>
            </w:r>
          </w:p>
        </w:tc>
        <w:tc>
          <w:tcPr>
            <w:tcW w:w="1256" w:type="pct"/>
            <w:tcBorders>
              <w:tl2br w:val="nil"/>
              <w:tr2bl w:val="nil"/>
            </w:tcBorders>
            <w:vAlign w:val="center"/>
          </w:tcPr>
          <w:p w14:paraId="16CDA30E">
            <w:pPr>
              <w:snapToGrid w:val="0"/>
              <w:spacing w:line="256" w:lineRule="exact"/>
              <w:jc w:val="center"/>
              <w:rPr>
                <w:rFonts w:eastAsia="仿宋_GB2312"/>
                <w:szCs w:val="21"/>
              </w:rPr>
            </w:pPr>
            <w:r>
              <w:rPr>
                <w:rFonts w:eastAsia="仿宋_GB2312"/>
                <w:szCs w:val="21"/>
              </w:rPr>
              <w:t>pH</w:t>
            </w:r>
            <w:r>
              <w:rPr>
                <w:rFonts w:hint="eastAsia" w:eastAsia="仿宋_GB2312"/>
                <w:szCs w:val="21"/>
              </w:rPr>
              <w:t>（无量纲）</w:t>
            </w:r>
          </w:p>
        </w:tc>
        <w:tc>
          <w:tcPr>
            <w:tcW w:w="1638" w:type="pct"/>
            <w:tcBorders>
              <w:tl2br w:val="nil"/>
              <w:tr2bl w:val="nil"/>
            </w:tcBorders>
            <w:vAlign w:val="center"/>
          </w:tcPr>
          <w:p w14:paraId="69F51DB6">
            <w:pPr>
              <w:snapToGrid w:val="0"/>
              <w:spacing w:line="256" w:lineRule="exact"/>
              <w:jc w:val="center"/>
              <w:rPr>
                <w:rFonts w:eastAsia="仿宋_GB2312"/>
                <w:szCs w:val="21"/>
              </w:rPr>
            </w:pPr>
            <w:r>
              <w:rPr>
                <w:rFonts w:eastAsia="仿宋_GB2312"/>
                <w:szCs w:val="21"/>
              </w:rPr>
              <w:t>7.8</w:t>
            </w:r>
            <w:r>
              <w:rPr>
                <w:rFonts w:hint="eastAsia" w:eastAsia="仿宋_GB2312"/>
                <w:szCs w:val="21"/>
              </w:rPr>
              <w:t>3</w:t>
            </w:r>
          </w:p>
        </w:tc>
      </w:tr>
      <w:tr w14:paraId="035803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02" w:type="pct"/>
            <w:vMerge w:val="continue"/>
            <w:tcBorders>
              <w:tl2br w:val="nil"/>
              <w:tr2bl w:val="nil"/>
            </w:tcBorders>
          </w:tcPr>
          <w:p w14:paraId="394404C7">
            <w:pPr>
              <w:snapToGrid w:val="0"/>
              <w:spacing w:line="256" w:lineRule="exact"/>
              <w:jc w:val="center"/>
              <w:rPr>
                <w:rFonts w:eastAsia="仿宋_GB2312"/>
                <w:color w:val="FF0000"/>
                <w:szCs w:val="21"/>
              </w:rPr>
            </w:pPr>
          </w:p>
        </w:tc>
        <w:tc>
          <w:tcPr>
            <w:tcW w:w="1203" w:type="pct"/>
            <w:vMerge w:val="continue"/>
            <w:tcBorders>
              <w:tl2br w:val="nil"/>
              <w:tr2bl w:val="nil"/>
            </w:tcBorders>
            <w:vAlign w:val="center"/>
          </w:tcPr>
          <w:p w14:paraId="01782455">
            <w:pPr>
              <w:snapToGrid w:val="0"/>
              <w:spacing w:line="256" w:lineRule="exact"/>
              <w:jc w:val="center"/>
              <w:rPr>
                <w:rFonts w:eastAsia="仿宋_GB2312"/>
                <w:color w:val="FF0000"/>
                <w:szCs w:val="21"/>
              </w:rPr>
            </w:pPr>
          </w:p>
        </w:tc>
        <w:tc>
          <w:tcPr>
            <w:tcW w:w="1256" w:type="pct"/>
            <w:tcBorders>
              <w:tl2br w:val="nil"/>
              <w:tr2bl w:val="nil"/>
            </w:tcBorders>
            <w:vAlign w:val="center"/>
          </w:tcPr>
          <w:p w14:paraId="791682C7">
            <w:pPr>
              <w:snapToGrid w:val="0"/>
              <w:spacing w:line="256" w:lineRule="exact"/>
              <w:jc w:val="center"/>
              <w:rPr>
                <w:rFonts w:eastAsia="仿宋_GB2312"/>
                <w:szCs w:val="21"/>
              </w:rPr>
            </w:pPr>
            <w:r>
              <w:rPr>
                <w:rFonts w:eastAsia="仿宋_GB2312"/>
                <w:szCs w:val="21"/>
              </w:rPr>
              <w:t>化学需氧量</w:t>
            </w:r>
          </w:p>
        </w:tc>
        <w:tc>
          <w:tcPr>
            <w:tcW w:w="1638" w:type="pct"/>
            <w:tcBorders>
              <w:tl2br w:val="nil"/>
              <w:tr2bl w:val="nil"/>
            </w:tcBorders>
            <w:vAlign w:val="center"/>
          </w:tcPr>
          <w:p w14:paraId="6FA40B72">
            <w:pPr>
              <w:snapToGrid w:val="0"/>
              <w:spacing w:line="256" w:lineRule="exact"/>
              <w:jc w:val="center"/>
              <w:rPr>
                <w:rFonts w:eastAsia="仿宋_GB2312"/>
                <w:szCs w:val="21"/>
              </w:rPr>
            </w:pPr>
            <w:r>
              <w:rPr>
                <w:rFonts w:eastAsia="仿宋_GB2312"/>
                <w:szCs w:val="21"/>
              </w:rPr>
              <w:t>2</w:t>
            </w:r>
            <w:r>
              <w:rPr>
                <w:rFonts w:hint="eastAsia" w:eastAsia="仿宋_GB2312"/>
                <w:szCs w:val="21"/>
              </w:rPr>
              <w:t>6.26</w:t>
            </w:r>
          </w:p>
        </w:tc>
      </w:tr>
    </w:tbl>
    <w:p w14:paraId="6280E126">
      <w:pPr>
        <w:spacing w:line="500" w:lineRule="exact"/>
        <w:jc w:val="center"/>
        <w:rPr>
          <w:rFonts w:eastAsia="仿宋_GB2312"/>
          <w:b/>
          <w:sz w:val="24"/>
        </w:rPr>
      </w:pPr>
      <w:r>
        <w:rPr>
          <w:rFonts w:eastAsia="仿宋_GB2312"/>
          <w:b/>
          <w:sz w:val="24"/>
        </w:rPr>
        <w:t>表3.1-1</w:t>
      </w:r>
      <w:r>
        <w:rPr>
          <w:rFonts w:hint="eastAsia" w:eastAsia="仿宋_GB2312"/>
          <w:b/>
          <w:sz w:val="24"/>
        </w:rPr>
        <w:t>3</w:t>
      </w:r>
      <w:r>
        <w:rPr>
          <w:rFonts w:eastAsia="仿宋_GB2312"/>
          <w:b/>
          <w:sz w:val="24"/>
        </w:rPr>
        <w:t xml:space="preserve">  雨水排放口</w:t>
      </w:r>
      <w:r>
        <w:rPr>
          <w:rFonts w:hint="eastAsia" w:eastAsia="仿宋_GB2312"/>
          <w:b/>
          <w:sz w:val="24"/>
        </w:rPr>
        <w:t>手工</w:t>
      </w:r>
      <w:r>
        <w:rPr>
          <w:rFonts w:eastAsia="仿宋_GB2312"/>
          <w:b/>
          <w:sz w:val="24"/>
        </w:rPr>
        <w:t>监测结果 （单位：mg/L）</w:t>
      </w:r>
    </w:p>
    <w:tbl>
      <w:tblPr>
        <w:tblStyle w:val="89"/>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538"/>
        <w:gridCol w:w="2051"/>
        <w:gridCol w:w="2141"/>
        <w:gridCol w:w="2793"/>
      </w:tblGrid>
      <w:tr w14:paraId="6BDB8A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02" w:type="pct"/>
            <w:tcBorders>
              <w:tl2br w:val="nil"/>
              <w:tr2bl w:val="nil"/>
            </w:tcBorders>
            <w:vAlign w:val="center"/>
          </w:tcPr>
          <w:p w14:paraId="054A4C2B">
            <w:pPr>
              <w:snapToGrid w:val="0"/>
              <w:spacing w:line="256" w:lineRule="exact"/>
              <w:jc w:val="center"/>
              <w:rPr>
                <w:rFonts w:eastAsia="仿宋_GB2312"/>
                <w:b/>
                <w:bCs/>
                <w:szCs w:val="21"/>
              </w:rPr>
            </w:pPr>
            <w:r>
              <w:rPr>
                <w:rFonts w:eastAsia="仿宋_GB2312"/>
                <w:b/>
                <w:bCs/>
                <w:szCs w:val="21"/>
              </w:rPr>
              <w:t>监测位置</w:t>
            </w:r>
          </w:p>
        </w:tc>
        <w:tc>
          <w:tcPr>
            <w:tcW w:w="1203" w:type="pct"/>
            <w:tcBorders>
              <w:tl2br w:val="nil"/>
              <w:tr2bl w:val="nil"/>
            </w:tcBorders>
            <w:vAlign w:val="center"/>
          </w:tcPr>
          <w:p w14:paraId="0E58CD8A">
            <w:pPr>
              <w:snapToGrid w:val="0"/>
              <w:spacing w:line="256" w:lineRule="exact"/>
              <w:jc w:val="center"/>
              <w:rPr>
                <w:rFonts w:eastAsia="仿宋_GB2312"/>
                <w:b/>
                <w:bCs/>
                <w:szCs w:val="21"/>
              </w:rPr>
            </w:pPr>
            <w:r>
              <w:rPr>
                <w:rFonts w:eastAsia="仿宋_GB2312"/>
                <w:b/>
                <w:bCs/>
                <w:szCs w:val="21"/>
              </w:rPr>
              <w:t>监测日期</w:t>
            </w:r>
          </w:p>
        </w:tc>
        <w:tc>
          <w:tcPr>
            <w:tcW w:w="1256" w:type="pct"/>
            <w:tcBorders>
              <w:tl2br w:val="nil"/>
              <w:tr2bl w:val="nil"/>
            </w:tcBorders>
            <w:vAlign w:val="center"/>
          </w:tcPr>
          <w:p w14:paraId="7FD1D848">
            <w:pPr>
              <w:snapToGrid w:val="0"/>
              <w:spacing w:line="256" w:lineRule="exact"/>
              <w:jc w:val="center"/>
              <w:rPr>
                <w:rFonts w:eastAsia="仿宋_GB2312"/>
                <w:b/>
                <w:bCs/>
                <w:szCs w:val="21"/>
              </w:rPr>
            </w:pPr>
            <w:r>
              <w:rPr>
                <w:rFonts w:eastAsia="仿宋_GB2312"/>
                <w:b/>
                <w:bCs/>
                <w:szCs w:val="21"/>
              </w:rPr>
              <w:t>监测项目</w:t>
            </w:r>
          </w:p>
        </w:tc>
        <w:tc>
          <w:tcPr>
            <w:tcW w:w="1638" w:type="pct"/>
            <w:tcBorders>
              <w:tl2br w:val="nil"/>
              <w:tr2bl w:val="nil"/>
            </w:tcBorders>
            <w:vAlign w:val="center"/>
          </w:tcPr>
          <w:p w14:paraId="3063485B">
            <w:pPr>
              <w:snapToGrid w:val="0"/>
              <w:spacing w:line="256" w:lineRule="exact"/>
              <w:jc w:val="center"/>
              <w:rPr>
                <w:rFonts w:eastAsia="仿宋_GB2312"/>
                <w:b/>
                <w:bCs/>
                <w:color w:val="FF0000"/>
                <w:szCs w:val="21"/>
              </w:rPr>
            </w:pPr>
            <w:r>
              <w:rPr>
                <w:rFonts w:eastAsia="仿宋_GB2312"/>
                <w:b/>
                <w:bCs/>
                <w:szCs w:val="21"/>
              </w:rPr>
              <w:t>监测结果</w:t>
            </w:r>
            <w:r>
              <w:rPr>
                <w:rFonts w:hint="eastAsia" w:eastAsia="仿宋_GB2312"/>
                <w:b/>
                <w:bCs/>
                <w:szCs w:val="21"/>
              </w:rPr>
              <w:t>最大值</w:t>
            </w:r>
          </w:p>
        </w:tc>
      </w:tr>
      <w:tr w14:paraId="1AB632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02" w:type="pct"/>
            <w:vMerge w:val="restart"/>
            <w:tcBorders>
              <w:tl2br w:val="nil"/>
              <w:tr2bl w:val="nil"/>
            </w:tcBorders>
            <w:vAlign w:val="center"/>
          </w:tcPr>
          <w:p w14:paraId="60698A3B">
            <w:pPr>
              <w:snapToGrid w:val="0"/>
              <w:spacing w:line="256" w:lineRule="exact"/>
              <w:jc w:val="center"/>
              <w:rPr>
                <w:rFonts w:eastAsia="仿宋_GB2312"/>
                <w:szCs w:val="21"/>
              </w:rPr>
            </w:pPr>
            <w:r>
              <w:rPr>
                <w:rFonts w:eastAsia="仿宋_GB2312"/>
                <w:szCs w:val="21"/>
              </w:rPr>
              <w:t>雨水排放口</w:t>
            </w:r>
          </w:p>
        </w:tc>
        <w:tc>
          <w:tcPr>
            <w:tcW w:w="1203" w:type="pct"/>
            <w:vMerge w:val="restart"/>
            <w:tcBorders>
              <w:tl2br w:val="nil"/>
              <w:tr2bl w:val="nil"/>
            </w:tcBorders>
            <w:vAlign w:val="center"/>
          </w:tcPr>
          <w:p w14:paraId="4BE8E1A9">
            <w:pPr>
              <w:snapToGrid w:val="0"/>
              <w:spacing w:line="256" w:lineRule="exact"/>
              <w:jc w:val="center"/>
              <w:rPr>
                <w:rFonts w:eastAsia="仿宋_GB2312"/>
                <w:szCs w:val="21"/>
              </w:rPr>
            </w:pPr>
            <w:r>
              <w:rPr>
                <w:rFonts w:eastAsia="仿宋_GB2312"/>
                <w:szCs w:val="21"/>
              </w:rPr>
              <w:t>202</w:t>
            </w:r>
            <w:r>
              <w:rPr>
                <w:rFonts w:hint="eastAsia" w:eastAsia="仿宋_GB2312"/>
                <w:szCs w:val="21"/>
              </w:rPr>
              <w:t>6</w:t>
            </w:r>
            <w:r>
              <w:rPr>
                <w:rFonts w:eastAsia="仿宋_GB2312"/>
                <w:szCs w:val="21"/>
              </w:rPr>
              <w:t>年</w:t>
            </w:r>
            <w:r>
              <w:rPr>
                <w:rFonts w:hint="eastAsia" w:eastAsia="仿宋_GB2312"/>
                <w:szCs w:val="21"/>
              </w:rPr>
              <w:t>3</w:t>
            </w:r>
            <w:r>
              <w:rPr>
                <w:rFonts w:eastAsia="仿宋_GB2312"/>
                <w:szCs w:val="21"/>
              </w:rPr>
              <w:t>月</w:t>
            </w:r>
            <w:r>
              <w:rPr>
                <w:rFonts w:hint="eastAsia" w:eastAsia="仿宋_GB2312"/>
                <w:szCs w:val="21"/>
              </w:rPr>
              <w:t>6日</w:t>
            </w:r>
          </w:p>
        </w:tc>
        <w:tc>
          <w:tcPr>
            <w:tcW w:w="1256" w:type="pct"/>
            <w:tcBorders>
              <w:tl2br w:val="nil"/>
              <w:tr2bl w:val="nil"/>
            </w:tcBorders>
            <w:vAlign w:val="center"/>
          </w:tcPr>
          <w:p w14:paraId="4025DD45">
            <w:pPr>
              <w:snapToGrid w:val="0"/>
              <w:spacing w:line="256" w:lineRule="exact"/>
              <w:jc w:val="center"/>
              <w:rPr>
                <w:rFonts w:eastAsia="仿宋_GB2312"/>
                <w:szCs w:val="21"/>
              </w:rPr>
            </w:pPr>
            <w:r>
              <w:rPr>
                <w:rFonts w:hint="eastAsia" w:eastAsia="仿宋_GB2312"/>
                <w:szCs w:val="21"/>
              </w:rPr>
              <w:t>SS</w:t>
            </w:r>
          </w:p>
        </w:tc>
        <w:tc>
          <w:tcPr>
            <w:tcW w:w="1638" w:type="pct"/>
            <w:tcBorders>
              <w:tl2br w:val="nil"/>
              <w:tr2bl w:val="nil"/>
            </w:tcBorders>
            <w:vAlign w:val="center"/>
          </w:tcPr>
          <w:p w14:paraId="07A687D9">
            <w:pPr>
              <w:snapToGrid w:val="0"/>
              <w:spacing w:line="256" w:lineRule="exact"/>
              <w:jc w:val="center"/>
              <w:rPr>
                <w:rFonts w:eastAsia="仿宋_GB2312"/>
                <w:szCs w:val="21"/>
              </w:rPr>
            </w:pPr>
            <w:r>
              <w:rPr>
                <w:rFonts w:hint="eastAsia" w:eastAsia="仿宋_GB2312"/>
                <w:szCs w:val="21"/>
              </w:rPr>
              <w:t>11</w:t>
            </w:r>
          </w:p>
        </w:tc>
      </w:tr>
      <w:tr w14:paraId="50BD0C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02" w:type="pct"/>
            <w:vMerge w:val="continue"/>
            <w:tcBorders>
              <w:tl2br w:val="nil"/>
              <w:tr2bl w:val="nil"/>
            </w:tcBorders>
          </w:tcPr>
          <w:p w14:paraId="5ACB7BB1">
            <w:pPr>
              <w:snapToGrid w:val="0"/>
              <w:spacing w:line="256" w:lineRule="exact"/>
              <w:jc w:val="center"/>
              <w:rPr>
                <w:rFonts w:eastAsia="仿宋_GB2312"/>
                <w:color w:val="FF0000"/>
                <w:szCs w:val="21"/>
              </w:rPr>
            </w:pPr>
          </w:p>
        </w:tc>
        <w:tc>
          <w:tcPr>
            <w:tcW w:w="1203" w:type="pct"/>
            <w:vMerge w:val="continue"/>
            <w:tcBorders>
              <w:tl2br w:val="nil"/>
              <w:tr2bl w:val="nil"/>
            </w:tcBorders>
            <w:vAlign w:val="center"/>
          </w:tcPr>
          <w:p w14:paraId="4B5522D8">
            <w:pPr>
              <w:snapToGrid w:val="0"/>
              <w:spacing w:line="256" w:lineRule="exact"/>
              <w:jc w:val="center"/>
              <w:rPr>
                <w:rFonts w:eastAsia="仿宋_GB2312"/>
                <w:color w:val="FF0000"/>
                <w:szCs w:val="21"/>
              </w:rPr>
            </w:pPr>
          </w:p>
        </w:tc>
        <w:tc>
          <w:tcPr>
            <w:tcW w:w="1256" w:type="pct"/>
            <w:tcBorders>
              <w:tl2br w:val="nil"/>
              <w:tr2bl w:val="nil"/>
            </w:tcBorders>
            <w:vAlign w:val="center"/>
          </w:tcPr>
          <w:p w14:paraId="1C26A7BD">
            <w:pPr>
              <w:snapToGrid w:val="0"/>
              <w:spacing w:line="256" w:lineRule="exact"/>
              <w:jc w:val="center"/>
              <w:rPr>
                <w:rFonts w:eastAsia="仿宋_GB2312"/>
                <w:szCs w:val="21"/>
              </w:rPr>
            </w:pPr>
            <w:r>
              <w:rPr>
                <w:rFonts w:hint="eastAsia" w:eastAsia="仿宋_GB2312"/>
                <w:szCs w:val="21"/>
              </w:rPr>
              <w:t>氨氮</w:t>
            </w:r>
          </w:p>
        </w:tc>
        <w:tc>
          <w:tcPr>
            <w:tcW w:w="1638" w:type="pct"/>
            <w:tcBorders>
              <w:tl2br w:val="nil"/>
              <w:tr2bl w:val="nil"/>
            </w:tcBorders>
            <w:vAlign w:val="center"/>
          </w:tcPr>
          <w:p w14:paraId="11FDCD63">
            <w:pPr>
              <w:snapToGrid w:val="0"/>
              <w:spacing w:line="256" w:lineRule="exact"/>
              <w:jc w:val="center"/>
              <w:rPr>
                <w:rFonts w:eastAsia="仿宋_GB2312"/>
                <w:szCs w:val="21"/>
              </w:rPr>
            </w:pPr>
            <w:r>
              <w:rPr>
                <w:rFonts w:hint="eastAsia" w:eastAsia="仿宋_GB2312"/>
                <w:szCs w:val="21"/>
              </w:rPr>
              <w:t>1.51</w:t>
            </w:r>
          </w:p>
        </w:tc>
      </w:tr>
    </w:tbl>
    <w:p w14:paraId="7F9A6921">
      <w:pPr>
        <w:pStyle w:val="162"/>
        <w:spacing w:before="48" w:after="48"/>
        <w:ind w:left="-111" w:firstLine="560"/>
        <w:jc w:val="both"/>
        <w:rPr>
          <w:rFonts w:ascii="Times New Roman"/>
          <w:b w:val="0"/>
          <w:sz w:val="28"/>
          <w:szCs w:val="28"/>
        </w:rPr>
      </w:pPr>
      <w:r>
        <w:rPr>
          <w:rFonts w:hint="eastAsia" w:ascii="Times New Roman"/>
          <w:b w:val="0"/>
          <w:sz w:val="28"/>
          <w:szCs w:val="28"/>
        </w:rPr>
        <w:t>企业于2026年6月4日委托</w:t>
      </w:r>
      <w:r>
        <w:rPr>
          <w:rFonts w:ascii="Times New Roman"/>
          <w:b w:val="0"/>
          <w:sz w:val="28"/>
          <w:szCs w:val="28"/>
        </w:rPr>
        <w:t>江苏赛蓝环境检测有限公司</w:t>
      </w:r>
      <w:r>
        <w:rPr>
          <w:rFonts w:hint="eastAsia" w:ascii="Times New Roman"/>
          <w:b w:val="0"/>
          <w:sz w:val="28"/>
          <w:szCs w:val="28"/>
        </w:rPr>
        <w:t>对3#污水站出水采样检测，根据出具</w:t>
      </w:r>
      <w:r>
        <w:rPr>
          <w:rFonts w:ascii="Times New Roman"/>
          <w:b w:val="0"/>
          <w:sz w:val="28"/>
          <w:szCs w:val="28"/>
        </w:rPr>
        <w:t>的</w:t>
      </w:r>
      <w:r>
        <w:rPr>
          <w:rFonts w:hint="eastAsia" w:ascii="Times New Roman"/>
          <w:b w:val="0"/>
          <w:sz w:val="28"/>
          <w:szCs w:val="28"/>
        </w:rPr>
        <w:t>检测</w:t>
      </w:r>
      <w:r>
        <w:rPr>
          <w:rFonts w:ascii="Times New Roman"/>
          <w:b w:val="0"/>
          <w:sz w:val="28"/>
          <w:szCs w:val="28"/>
        </w:rPr>
        <w:t>报告</w:t>
      </w:r>
      <w:r>
        <w:rPr>
          <w:rFonts w:hint="eastAsia" w:ascii="Times New Roman"/>
          <w:b w:val="0"/>
          <w:sz w:val="28"/>
          <w:szCs w:val="28"/>
        </w:rPr>
        <w:t>：</w:t>
      </w:r>
      <w:r>
        <w:rPr>
          <w:rFonts w:ascii="Times New Roman"/>
          <w:b w:val="0"/>
          <w:sz w:val="28"/>
          <w:szCs w:val="28"/>
        </w:rPr>
        <w:t>（202</w:t>
      </w:r>
      <w:r>
        <w:rPr>
          <w:rFonts w:hint="eastAsia" w:ascii="Times New Roman"/>
          <w:b w:val="0"/>
          <w:sz w:val="28"/>
          <w:szCs w:val="28"/>
        </w:rPr>
        <w:t>6</w:t>
      </w:r>
      <w:r>
        <w:rPr>
          <w:rFonts w:ascii="Times New Roman"/>
          <w:b w:val="0"/>
          <w:sz w:val="28"/>
          <w:szCs w:val="28"/>
        </w:rPr>
        <w:t>）苏赛检第（</w:t>
      </w:r>
      <w:r>
        <w:rPr>
          <w:rFonts w:hint="eastAsia" w:ascii="Times New Roman"/>
          <w:b w:val="0"/>
          <w:sz w:val="28"/>
          <w:szCs w:val="28"/>
        </w:rPr>
        <w:t>06061</w:t>
      </w:r>
      <w:r>
        <w:rPr>
          <w:rFonts w:ascii="Times New Roman"/>
          <w:b w:val="0"/>
          <w:sz w:val="28"/>
          <w:szCs w:val="28"/>
        </w:rPr>
        <w:t>）号</w:t>
      </w:r>
      <w:r>
        <w:rPr>
          <w:rFonts w:hint="eastAsia" w:ascii="Times New Roman"/>
          <w:b w:val="0"/>
          <w:sz w:val="28"/>
          <w:szCs w:val="28"/>
        </w:rPr>
        <w:t>，3#污水站出水</w:t>
      </w:r>
      <w:r>
        <w:rPr>
          <w:rFonts w:ascii="Times New Roman"/>
          <w:b w:val="0"/>
          <w:sz w:val="28"/>
          <w:szCs w:val="28"/>
        </w:rPr>
        <w:t>水质情况见表</w:t>
      </w:r>
      <w:r>
        <w:rPr>
          <w:rFonts w:hint="eastAsia" w:ascii="Times New Roman"/>
          <w:b w:val="0"/>
          <w:sz w:val="28"/>
          <w:szCs w:val="28"/>
        </w:rPr>
        <w:t>3.1-14。</w:t>
      </w:r>
    </w:p>
    <w:p w14:paraId="61C025BA">
      <w:pPr>
        <w:pStyle w:val="162"/>
        <w:spacing w:before="48" w:after="48"/>
        <w:ind w:left="-111" w:firstLine="560"/>
        <w:jc w:val="both"/>
        <w:rPr>
          <w:rFonts w:ascii="Times New Roman"/>
          <w:b w:val="0"/>
          <w:color w:val="FF0000"/>
          <w:sz w:val="28"/>
          <w:szCs w:val="28"/>
        </w:rPr>
      </w:pPr>
    </w:p>
    <w:p w14:paraId="23742B76">
      <w:pPr>
        <w:pStyle w:val="162"/>
        <w:spacing w:before="48" w:after="48"/>
        <w:ind w:left="-111" w:firstLine="560"/>
        <w:jc w:val="both"/>
        <w:rPr>
          <w:rFonts w:ascii="Times New Roman"/>
          <w:b w:val="0"/>
          <w:color w:val="FF0000"/>
          <w:sz w:val="28"/>
          <w:szCs w:val="28"/>
        </w:rPr>
      </w:pPr>
    </w:p>
    <w:p w14:paraId="3AB40E02">
      <w:pPr>
        <w:spacing w:line="500" w:lineRule="exact"/>
        <w:jc w:val="center"/>
        <w:rPr>
          <w:rFonts w:eastAsia="仿宋_GB2312"/>
          <w:b/>
          <w:sz w:val="24"/>
        </w:rPr>
      </w:pPr>
      <w:r>
        <w:rPr>
          <w:rFonts w:hint="eastAsia" w:eastAsia="仿宋_GB2312"/>
          <w:b/>
          <w:sz w:val="24"/>
        </w:rPr>
        <w:t>表3.1-14</w:t>
      </w:r>
      <w:r>
        <w:rPr>
          <w:rFonts w:eastAsia="仿宋_GB2312"/>
          <w:b/>
          <w:sz w:val="24"/>
        </w:rPr>
        <w:t xml:space="preserve">  </w:t>
      </w:r>
      <w:r>
        <w:rPr>
          <w:rFonts w:hint="eastAsia" w:eastAsia="仿宋_GB2312"/>
          <w:b/>
          <w:sz w:val="24"/>
        </w:rPr>
        <w:t>3#污水站</w:t>
      </w:r>
      <w:r>
        <w:rPr>
          <w:rFonts w:eastAsia="仿宋_GB2312"/>
          <w:b/>
          <w:sz w:val="24"/>
        </w:rPr>
        <w:t>回用水产生情况</w:t>
      </w:r>
      <w:r>
        <w:rPr>
          <w:rFonts w:hint="eastAsia" w:eastAsia="仿宋_GB2312"/>
          <w:b/>
          <w:sz w:val="24"/>
        </w:rPr>
        <w:t xml:space="preserve">  （mg</w:t>
      </w:r>
      <w:r>
        <w:rPr>
          <w:rFonts w:eastAsia="仿宋_GB2312"/>
          <w:b/>
          <w:sz w:val="24"/>
        </w:rPr>
        <w:t>/L</w:t>
      </w:r>
      <w:r>
        <w:rPr>
          <w:rFonts w:hint="eastAsia" w:eastAsia="仿宋_GB2312"/>
          <w:b/>
          <w:sz w:val="24"/>
        </w:rPr>
        <w:t>）</w:t>
      </w:r>
    </w:p>
    <w:tbl>
      <w:tblPr>
        <w:tblStyle w:val="89"/>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822"/>
        <w:gridCol w:w="2328"/>
        <w:gridCol w:w="1594"/>
        <w:gridCol w:w="1125"/>
        <w:gridCol w:w="1364"/>
        <w:gridCol w:w="1290"/>
      </w:tblGrid>
      <w:tr w14:paraId="3BE984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482" w:type="pct"/>
            <w:vAlign w:val="center"/>
          </w:tcPr>
          <w:p w14:paraId="288A28C9">
            <w:pPr>
              <w:jc w:val="center"/>
              <w:rPr>
                <w:rFonts w:eastAsia="仿宋_GB2312"/>
                <w:b/>
                <w:szCs w:val="21"/>
              </w:rPr>
            </w:pPr>
            <w:r>
              <w:rPr>
                <w:rFonts w:eastAsia="仿宋_GB2312"/>
                <w:b/>
                <w:szCs w:val="21"/>
              </w:rPr>
              <w:t>类别</w:t>
            </w:r>
          </w:p>
        </w:tc>
        <w:tc>
          <w:tcPr>
            <w:tcW w:w="1365" w:type="pct"/>
            <w:vAlign w:val="center"/>
          </w:tcPr>
          <w:p w14:paraId="574B7A7D">
            <w:pPr>
              <w:jc w:val="center"/>
              <w:rPr>
                <w:rFonts w:eastAsia="仿宋_GB2312"/>
                <w:b/>
                <w:szCs w:val="21"/>
              </w:rPr>
            </w:pPr>
            <w:r>
              <w:rPr>
                <w:rFonts w:eastAsia="仿宋_GB2312"/>
                <w:b/>
                <w:szCs w:val="21"/>
              </w:rPr>
              <w:t>水质指标</w:t>
            </w:r>
          </w:p>
        </w:tc>
        <w:tc>
          <w:tcPr>
            <w:tcW w:w="1595" w:type="pct"/>
            <w:gridSpan w:val="2"/>
            <w:vAlign w:val="center"/>
          </w:tcPr>
          <w:p w14:paraId="05A6F497">
            <w:pPr>
              <w:jc w:val="center"/>
              <w:rPr>
                <w:rFonts w:eastAsia="仿宋_GB2312"/>
                <w:b/>
                <w:szCs w:val="21"/>
              </w:rPr>
            </w:pPr>
            <w:r>
              <w:rPr>
                <w:rFonts w:eastAsia="仿宋_GB2312"/>
                <w:b/>
                <w:szCs w:val="21"/>
              </w:rPr>
              <w:t>监测数据</w:t>
            </w:r>
          </w:p>
        </w:tc>
        <w:tc>
          <w:tcPr>
            <w:tcW w:w="800" w:type="pct"/>
            <w:vAlign w:val="center"/>
          </w:tcPr>
          <w:p w14:paraId="7101FCE6">
            <w:pPr>
              <w:jc w:val="center"/>
              <w:rPr>
                <w:rFonts w:eastAsia="仿宋_GB2312"/>
                <w:b/>
                <w:szCs w:val="21"/>
              </w:rPr>
            </w:pPr>
            <w:r>
              <w:rPr>
                <w:rFonts w:hint="eastAsia" w:eastAsia="仿宋_GB2312"/>
                <w:b/>
                <w:szCs w:val="21"/>
              </w:rPr>
              <w:t>标准限值</w:t>
            </w:r>
          </w:p>
        </w:tc>
        <w:tc>
          <w:tcPr>
            <w:tcW w:w="756" w:type="pct"/>
            <w:vAlign w:val="center"/>
          </w:tcPr>
          <w:p w14:paraId="744FFEA9">
            <w:pPr>
              <w:jc w:val="center"/>
              <w:rPr>
                <w:rFonts w:eastAsia="仿宋_GB2312"/>
                <w:b/>
                <w:szCs w:val="21"/>
              </w:rPr>
            </w:pPr>
            <w:r>
              <w:rPr>
                <w:rFonts w:eastAsia="仿宋_GB2312"/>
                <w:b/>
                <w:szCs w:val="21"/>
              </w:rPr>
              <w:t>排放去向</w:t>
            </w:r>
          </w:p>
        </w:tc>
      </w:tr>
      <w:tr w14:paraId="317514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482" w:type="pct"/>
            <w:vMerge w:val="restart"/>
            <w:vAlign w:val="center"/>
          </w:tcPr>
          <w:p w14:paraId="087A7994">
            <w:pPr>
              <w:jc w:val="center"/>
              <w:rPr>
                <w:rFonts w:eastAsia="仿宋_GB2312"/>
                <w:szCs w:val="21"/>
              </w:rPr>
            </w:pPr>
            <w:r>
              <w:rPr>
                <w:rFonts w:hint="eastAsia" w:eastAsia="仿宋_GB2312"/>
                <w:szCs w:val="21"/>
              </w:rPr>
              <w:t>3#污水站出水</w:t>
            </w:r>
          </w:p>
        </w:tc>
        <w:tc>
          <w:tcPr>
            <w:tcW w:w="1365" w:type="pct"/>
            <w:vAlign w:val="center"/>
          </w:tcPr>
          <w:p w14:paraId="5D96DA5C">
            <w:pPr>
              <w:jc w:val="center"/>
              <w:rPr>
                <w:rFonts w:eastAsia="仿宋_GB2312"/>
                <w:szCs w:val="21"/>
              </w:rPr>
            </w:pPr>
            <w:r>
              <w:rPr>
                <w:rFonts w:eastAsia="仿宋_GB2312"/>
                <w:szCs w:val="21"/>
              </w:rPr>
              <w:t>pH</w:t>
            </w:r>
            <w:r>
              <w:rPr>
                <w:rFonts w:hint="eastAsia" w:eastAsia="仿宋_GB2312"/>
                <w:szCs w:val="21"/>
              </w:rPr>
              <w:t>（无量纲）</w:t>
            </w:r>
          </w:p>
        </w:tc>
        <w:tc>
          <w:tcPr>
            <w:tcW w:w="935" w:type="pct"/>
            <w:vAlign w:val="center"/>
          </w:tcPr>
          <w:p w14:paraId="7F43F314">
            <w:pPr>
              <w:jc w:val="center"/>
              <w:rPr>
                <w:rFonts w:eastAsia="仿宋_GB2312"/>
                <w:szCs w:val="21"/>
              </w:rPr>
            </w:pPr>
            <w:r>
              <w:rPr>
                <w:rFonts w:hint="eastAsia" w:eastAsia="仿宋_GB2312"/>
                <w:szCs w:val="21"/>
              </w:rPr>
              <w:t>7.4</w:t>
            </w:r>
          </w:p>
        </w:tc>
        <w:tc>
          <w:tcPr>
            <w:tcW w:w="659" w:type="pct"/>
            <w:vAlign w:val="center"/>
          </w:tcPr>
          <w:p w14:paraId="6CD1498A">
            <w:pPr>
              <w:jc w:val="center"/>
              <w:rPr>
                <w:rFonts w:eastAsia="仿宋_GB2312"/>
                <w:szCs w:val="21"/>
              </w:rPr>
            </w:pPr>
            <w:r>
              <w:rPr>
                <w:rFonts w:hint="eastAsia" w:eastAsia="仿宋_GB2312"/>
                <w:szCs w:val="21"/>
              </w:rPr>
              <w:t>7.3</w:t>
            </w:r>
          </w:p>
        </w:tc>
        <w:tc>
          <w:tcPr>
            <w:tcW w:w="1365" w:type="dxa"/>
            <w:vAlign w:val="center"/>
          </w:tcPr>
          <w:p w14:paraId="33FF15F7">
            <w:pPr>
              <w:jc w:val="center"/>
              <w:rPr>
                <w:rFonts w:eastAsia="仿宋_GB2312"/>
                <w:color w:val="FF0000"/>
                <w:szCs w:val="21"/>
              </w:rPr>
            </w:pPr>
            <w:r>
              <w:rPr>
                <w:rFonts w:hint="eastAsia" w:eastAsia="仿宋_GB2312"/>
                <w:szCs w:val="21"/>
              </w:rPr>
              <w:t>6</w:t>
            </w:r>
            <w:r>
              <w:rPr>
                <w:rFonts w:eastAsia="仿宋_GB2312"/>
                <w:szCs w:val="21"/>
              </w:rPr>
              <w:t>~</w:t>
            </w:r>
            <w:r>
              <w:rPr>
                <w:rFonts w:hint="eastAsia" w:eastAsia="仿宋_GB2312"/>
                <w:szCs w:val="21"/>
              </w:rPr>
              <w:t>9</w:t>
            </w:r>
          </w:p>
        </w:tc>
        <w:tc>
          <w:tcPr>
            <w:tcW w:w="756" w:type="pct"/>
            <w:vMerge w:val="restart"/>
            <w:vAlign w:val="center"/>
          </w:tcPr>
          <w:p w14:paraId="5BFA6EAF">
            <w:pPr>
              <w:jc w:val="center"/>
              <w:rPr>
                <w:rFonts w:eastAsia="仿宋_GB2312"/>
                <w:szCs w:val="21"/>
              </w:rPr>
            </w:pPr>
            <w:r>
              <w:rPr>
                <w:rFonts w:eastAsia="仿宋_GB2312"/>
                <w:szCs w:val="21"/>
              </w:rPr>
              <w:t>作为循环冷却系统补水</w:t>
            </w:r>
            <w:r>
              <w:rPr>
                <w:rFonts w:hint="eastAsia" w:eastAsia="仿宋_GB2312"/>
                <w:szCs w:val="21"/>
              </w:rPr>
              <w:t>/焚烧炉急冷系统</w:t>
            </w:r>
          </w:p>
        </w:tc>
      </w:tr>
      <w:tr w14:paraId="233341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482" w:type="pct"/>
            <w:vMerge w:val="continue"/>
            <w:vAlign w:val="center"/>
          </w:tcPr>
          <w:p w14:paraId="739206AF">
            <w:pPr>
              <w:jc w:val="center"/>
              <w:rPr>
                <w:rFonts w:eastAsia="仿宋_GB2312"/>
                <w:color w:val="FF0000"/>
                <w:szCs w:val="21"/>
              </w:rPr>
            </w:pPr>
          </w:p>
        </w:tc>
        <w:tc>
          <w:tcPr>
            <w:tcW w:w="1365" w:type="pct"/>
            <w:vAlign w:val="center"/>
          </w:tcPr>
          <w:p w14:paraId="44175977">
            <w:pPr>
              <w:jc w:val="center"/>
              <w:rPr>
                <w:rFonts w:eastAsia="仿宋_GB2312"/>
                <w:szCs w:val="21"/>
              </w:rPr>
            </w:pPr>
            <w:r>
              <w:rPr>
                <w:rFonts w:eastAsia="仿宋_GB2312"/>
                <w:szCs w:val="21"/>
              </w:rPr>
              <w:t>色度（度）</w:t>
            </w:r>
          </w:p>
        </w:tc>
        <w:tc>
          <w:tcPr>
            <w:tcW w:w="935" w:type="pct"/>
            <w:vAlign w:val="center"/>
          </w:tcPr>
          <w:p w14:paraId="4ED007AA">
            <w:pPr>
              <w:jc w:val="center"/>
              <w:rPr>
                <w:rFonts w:eastAsia="仿宋_GB2312"/>
                <w:szCs w:val="21"/>
              </w:rPr>
            </w:pPr>
            <w:r>
              <w:rPr>
                <w:rFonts w:hint="eastAsia" w:eastAsia="仿宋_GB2312"/>
                <w:szCs w:val="21"/>
              </w:rPr>
              <w:t>2</w:t>
            </w:r>
          </w:p>
        </w:tc>
        <w:tc>
          <w:tcPr>
            <w:tcW w:w="659" w:type="pct"/>
            <w:vAlign w:val="center"/>
          </w:tcPr>
          <w:p w14:paraId="1DC2F201">
            <w:pPr>
              <w:jc w:val="center"/>
              <w:rPr>
                <w:rFonts w:eastAsia="仿宋_GB2312"/>
                <w:szCs w:val="21"/>
              </w:rPr>
            </w:pPr>
            <w:r>
              <w:rPr>
                <w:rFonts w:hint="eastAsia" w:eastAsia="仿宋_GB2312"/>
                <w:szCs w:val="21"/>
              </w:rPr>
              <w:t>2</w:t>
            </w:r>
          </w:p>
        </w:tc>
        <w:tc>
          <w:tcPr>
            <w:tcW w:w="1365" w:type="dxa"/>
            <w:vAlign w:val="center"/>
          </w:tcPr>
          <w:p w14:paraId="5ACAE3C2">
            <w:pPr>
              <w:jc w:val="center"/>
              <w:rPr>
                <w:rFonts w:eastAsia="仿宋_GB2312"/>
                <w:color w:val="FF0000"/>
                <w:szCs w:val="21"/>
              </w:rPr>
            </w:pPr>
            <w:r>
              <w:rPr>
                <w:rFonts w:eastAsia="仿宋_GB2312"/>
                <w:szCs w:val="21"/>
              </w:rPr>
              <w:t>≤</w:t>
            </w:r>
            <w:r>
              <w:rPr>
                <w:rFonts w:hint="eastAsia" w:eastAsia="仿宋_GB2312"/>
                <w:szCs w:val="21"/>
              </w:rPr>
              <w:t>20</w:t>
            </w:r>
          </w:p>
        </w:tc>
        <w:tc>
          <w:tcPr>
            <w:tcW w:w="756" w:type="pct"/>
            <w:vMerge w:val="continue"/>
            <w:vAlign w:val="center"/>
          </w:tcPr>
          <w:p w14:paraId="349069AF">
            <w:pPr>
              <w:jc w:val="center"/>
              <w:rPr>
                <w:rFonts w:eastAsia="仿宋_GB2312"/>
                <w:color w:val="FF0000"/>
                <w:szCs w:val="21"/>
              </w:rPr>
            </w:pPr>
          </w:p>
        </w:tc>
      </w:tr>
      <w:tr w14:paraId="390AED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482" w:type="pct"/>
            <w:vMerge w:val="continue"/>
            <w:vAlign w:val="center"/>
          </w:tcPr>
          <w:p w14:paraId="00557D2F">
            <w:pPr>
              <w:jc w:val="center"/>
              <w:rPr>
                <w:rFonts w:eastAsia="仿宋_GB2312"/>
                <w:color w:val="FF0000"/>
                <w:szCs w:val="21"/>
              </w:rPr>
            </w:pPr>
          </w:p>
        </w:tc>
        <w:tc>
          <w:tcPr>
            <w:tcW w:w="1365" w:type="pct"/>
            <w:vAlign w:val="center"/>
          </w:tcPr>
          <w:p w14:paraId="6AB0156A">
            <w:pPr>
              <w:jc w:val="center"/>
              <w:rPr>
                <w:rFonts w:eastAsia="仿宋_GB2312"/>
                <w:szCs w:val="21"/>
              </w:rPr>
            </w:pPr>
            <w:r>
              <w:rPr>
                <w:rFonts w:eastAsia="仿宋_GB2312"/>
                <w:szCs w:val="21"/>
              </w:rPr>
              <w:t>COD</w:t>
            </w:r>
            <w:r>
              <w:rPr>
                <w:rFonts w:eastAsia="仿宋_GB2312"/>
                <w:szCs w:val="21"/>
                <w:vertAlign w:val="subscript"/>
              </w:rPr>
              <w:t>Cr</w:t>
            </w:r>
          </w:p>
        </w:tc>
        <w:tc>
          <w:tcPr>
            <w:tcW w:w="935" w:type="pct"/>
            <w:vAlign w:val="center"/>
          </w:tcPr>
          <w:p w14:paraId="00327D32">
            <w:pPr>
              <w:jc w:val="center"/>
              <w:rPr>
                <w:rFonts w:eastAsia="仿宋_GB2312"/>
                <w:szCs w:val="21"/>
              </w:rPr>
            </w:pPr>
            <w:r>
              <w:rPr>
                <w:rFonts w:hint="eastAsia" w:eastAsia="仿宋_GB2312"/>
                <w:szCs w:val="21"/>
              </w:rPr>
              <w:t>12</w:t>
            </w:r>
          </w:p>
        </w:tc>
        <w:tc>
          <w:tcPr>
            <w:tcW w:w="659" w:type="pct"/>
            <w:vAlign w:val="center"/>
          </w:tcPr>
          <w:p w14:paraId="2BF9A86E">
            <w:pPr>
              <w:jc w:val="center"/>
              <w:rPr>
                <w:rFonts w:eastAsia="仿宋_GB2312"/>
                <w:szCs w:val="21"/>
              </w:rPr>
            </w:pPr>
            <w:r>
              <w:rPr>
                <w:rFonts w:hint="eastAsia" w:eastAsia="仿宋_GB2312"/>
                <w:szCs w:val="21"/>
              </w:rPr>
              <w:t>14</w:t>
            </w:r>
          </w:p>
        </w:tc>
        <w:tc>
          <w:tcPr>
            <w:tcW w:w="800" w:type="pct"/>
            <w:vAlign w:val="center"/>
          </w:tcPr>
          <w:p w14:paraId="23BF3F75">
            <w:pPr>
              <w:jc w:val="center"/>
              <w:rPr>
                <w:rFonts w:eastAsia="仿宋_GB2312"/>
                <w:szCs w:val="21"/>
              </w:rPr>
            </w:pPr>
            <w:r>
              <w:rPr>
                <w:rFonts w:eastAsia="仿宋_GB2312"/>
                <w:szCs w:val="21"/>
              </w:rPr>
              <w:t>≤</w:t>
            </w:r>
            <w:r>
              <w:rPr>
                <w:rFonts w:hint="eastAsia" w:eastAsia="仿宋_GB2312"/>
                <w:szCs w:val="21"/>
              </w:rPr>
              <w:t>50</w:t>
            </w:r>
          </w:p>
        </w:tc>
        <w:tc>
          <w:tcPr>
            <w:tcW w:w="756" w:type="pct"/>
            <w:vMerge w:val="continue"/>
            <w:vAlign w:val="center"/>
          </w:tcPr>
          <w:p w14:paraId="7AF235E8">
            <w:pPr>
              <w:jc w:val="center"/>
              <w:rPr>
                <w:rFonts w:eastAsia="仿宋_GB2312"/>
                <w:color w:val="FF0000"/>
                <w:szCs w:val="21"/>
              </w:rPr>
            </w:pPr>
          </w:p>
        </w:tc>
      </w:tr>
      <w:tr w14:paraId="610365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482" w:type="pct"/>
            <w:vMerge w:val="continue"/>
            <w:vAlign w:val="center"/>
          </w:tcPr>
          <w:p w14:paraId="733DC17D">
            <w:pPr>
              <w:jc w:val="center"/>
              <w:rPr>
                <w:rFonts w:eastAsia="仿宋_GB2312"/>
                <w:color w:val="FF0000"/>
                <w:szCs w:val="21"/>
              </w:rPr>
            </w:pPr>
          </w:p>
        </w:tc>
        <w:tc>
          <w:tcPr>
            <w:tcW w:w="1365" w:type="pct"/>
            <w:vAlign w:val="center"/>
          </w:tcPr>
          <w:p w14:paraId="2334CC8D">
            <w:pPr>
              <w:jc w:val="center"/>
              <w:rPr>
                <w:rFonts w:eastAsia="仿宋_GB2312"/>
                <w:szCs w:val="21"/>
              </w:rPr>
            </w:pPr>
            <w:r>
              <w:rPr>
                <w:rFonts w:hint="eastAsia" w:eastAsia="仿宋_GB2312"/>
                <w:szCs w:val="21"/>
              </w:rPr>
              <w:t>BOD</w:t>
            </w:r>
          </w:p>
        </w:tc>
        <w:tc>
          <w:tcPr>
            <w:tcW w:w="935" w:type="pct"/>
            <w:vAlign w:val="center"/>
          </w:tcPr>
          <w:p w14:paraId="3B9805AE">
            <w:pPr>
              <w:jc w:val="center"/>
              <w:rPr>
                <w:rFonts w:eastAsia="仿宋_GB2312"/>
                <w:szCs w:val="21"/>
              </w:rPr>
            </w:pPr>
            <w:r>
              <w:rPr>
                <w:rFonts w:hint="eastAsia" w:eastAsia="仿宋_GB2312"/>
                <w:szCs w:val="21"/>
              </w:rPr>
              <w:t>1.2</w:t>
            </w:r>
          </w:p>
        </w:tc>
        <w:tc>
          <w:tcPr>
            <w:tcW w:w="659" w:type="pct"/>
            <w:vAlign w:val="center"/>
          </w:tcPr>
          <w:p w14:paraId="521EB07D">
            <w:pPr>
              <w:jc w:val="center"/>
              <w:rPr>
                <w:rFonts w:eastAsia="仿宋_GB2312"/>
                <w:szCs w:val="21"/>
              </w:rPr>
            </w:pPr>
            <w:r>
              <w:rPr>
                <w:rFonts w:hint="eastAsia" w:eastAsia="仿宋_GB2312"/>
                <w:szCs w:val="21"/>
              </w:rPr>
              <w:t>1.2</w:t>
            </w:r>
          </w:p>
        </w:tc>
        <w:tc>
          <w:tcPr>
            <w:tcW w:w="800" w:type="pct"/>
            <w:vAlign w:val="center"/>
          </w:tcPr>
          <w:p w14:paraId="7E6581CD">
            <w:pPr>
              <w:jc w:val="center"/>
              <w:rPr>
                <w:rFonts w:eastAsia="仿宋_GB2312"/>
                <w:szCs w:val="21"/>
              </w:rPr>
            </w:pPr>
            <w:r>
              <w:rPr>
                <w:rFonts w:eastAsia="仿宋_GB2312"/>
                <w:szCs w:val="21"/>
              </w:rPr>
              <w:t>≤</w:t>
            </w:r>
            <w:r>
              <w:rPr>
                <w:rFonts w:hint="eastAsia" w:eastAsia="仿宋_GB2312"/>
                <w:szCs w:val="21"/>
              </w:rPr>
              <w:t>10</w:t>
            </w:r>
          </w:p>
        </w:tc>
        <w:tc>
          <w:tcPr>
            <w:tcW w:w="756" w:type="pct"/>
            <w:vMerge w:val="continue"/>
            <w:vAlign w:val="center"/>
          </w:tcPr>
          <w:p w14:paraId="17317FE0">
            <w:pPr>
              <w:jc w:val="center"/>
              <w:rPr>
                <w:rFonts w:eastAsia="仿宋_GB2312"/>
                <w:color w:val="FF0000"/>
                <w:szCs w:val="21"/>
              </w:rPr>
            </w:pPr>
          </w:p>
        </w:tc>
      </w:tr>
      <w:tr w14:paraId="250FA7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482" w:type="pct"/>
            <w:vMerge w:val="continue"/>
            <w:vAlign w:val="center"/>
          </w:tcPr>
          <w:p w14:paraId="5A4C6C86">
            <w:pPr>
              <w:jc w:val="center"/>
              <w:rPr>
                <w:rFonts w:eastAsia="仿宋_GB2312"/>
                <w:color w:val="FF0000"/>
                <w:szCs w:val="21"/>
              </w:rPr>
            </w:pPr>
          </w:p>
        </w:tc>
        <w:tc>
          <w:tcPr>
            <w:tcW w:w="1365" w:type="pct"/>
            <w:vAlign w:val="center"/>
          </w:tcPr>
          <w:p w14:paraId="40EC24F9">
            <w:pPr>
              <w:jc w:val="center"/>
              <w:rPr>
                <w:rFonts w:eastAsia="仿宋_GB2312"/>
                <w:szCs w:val="21"/>
              </w:rPr>
            </w:pPr>
            <w:r>
              <w:rPr>
                <w:rFonts w:eastAsia="仿宋_GB2312"/>
                <w:szCs w:val="21"/>
              </w:rPr>
              <w:t>铁</w:t>
            </w:r>
          </w:p>
        </w:tc>
        <w:tc>
          <w:tcPr>
            <w:tcW w:w="935" w:type="pct"/>
            <w:vAlign w:val="center"/>
          </w:tcPr>
          <w:p w14:paraId="3E534B8F">
            <w:pPr>
              <w:jc w:val="center"/>
              <w:rPr>
                <w:rFonts w:eastAsia="仿宋_GB2312"/>
                <w:szCs w:val="21"/>
              </w:rPr>
            </w:pPr>
            <w:r>
              <w:rPr>
                <w:rFonts w:hint="eastAsia" w:eastAsia="仿宋_GB2312"/>
                <w:szCs w:val="21"/>
              </w:rPr>
              <w:t>＜0.02</w:t>
            </w:r>
          </w:p>
        </w:tc>
        <w:tc>
          <w:tcPr>
            <w:tcW w:w="659" w:type="pct"/>
            <w:vAlign w:val="center"/>
          </w:tcPr>
          <w:p w14:paraId="1C868465">
            <w:pPr>
              <w:jc w:val="center"/>
              <w:rPr>
                <w:rFonts w:eastAsia="仿宋_GB2312"/>
                <w:szCs w:val="21"/>
              </w:rPr>
            </w:pPr>
            <w:r>
              <w:rPr>
                <w:rFonts w:hint="eastAsia" w:eastAsia="仿宋_GB2312"/>
                <w:szCs w:val="21"/>
              </w:rPr>
              <w:t>＜0.02</w:t>
            </w:r>
          </w:p>
        </w:tc>
        <w:tc>
          <w:tcPr>
            <w:tcW w:w="800" w:type="pct"/>
            <w:vAlign w:val="center"/>
          </w:tcPr>
          <w:p w14:paraId="6F91C931">
            <w:pPr>
              <w:jc w:val="center"/>
              <w:rPr>
                <w:rFonts w:eastAsia="仿宋_GB2312"/>
                <w:szCs w:val="21"/>
              </w:rPr>
            </w:pPr>
            <w:r>
              <w:rPr>
                <w:rFonts w:eastAsia="仿宋_GB2312"/>
                <w:szCs w:val="21"/>
              </w:rPr>
              <w:t>≤0.3</w:t>
            </w:r>
          </w:p>
        </w:tc>
        <w:tc>
          <w:tcPr>
            <w:tcW w:w="756" w:type="pct"/>
            <w:vMerge w:val="continue"/>
            <w:vAlign w:val="center"/>
          </w:tcPr>
          <w:p w14:paraId="46E046F9">
            <w:pPr>
              <w:jc w:val="center"/>
              <w:rPr>
                <w:rFonts w:eastAsia="仿宋_GB2312"/>
                <w:color w:val="FF0000"/>
                <w:szCs w:val="21"/>
              </w:rPr>
            </w:pPr>
          </w:p>
        </w:tc>
      </w:tr>
      <w:tr w14:paraId="1456DE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482" w:type="pct"/>
            <w:vMerge w:val="continue"/>
            <w:vAlign w:val="center"/>
          </w:tcPr>
          <w:p w14:paraId="648B93AC">
            <w:pPr>
              <w:jc w:val="center"/>
              <w:rPr>
                <w:rFonts w:eastAsia="仿宋_GB2312"/>
                <w:color w:val="FF0000"/>
                <w:szCs w:val="21"/>
              </w:rPr>
            </w:pPr>
          </w:p>
        </w:tc>
        <w:tc>
          <w:tcPr>
            <w:tcW w:w="1365" w:type="pct"/>
            <w:vAlign w:val="center"/>
          </w:tcPr>
          <w:p w14:paraId="59AD22E5">
            <w:pPr>
              <w:jc w:val="center"/>
              <w:rPr>
                <w:rFonts w:eastAsia="仿宋_GB2312"/>
                <w:szCs w:val="21"/>
              </w:rPr>
            </w:pPr>
            <w:r>
              <w:rPr>
                <w:rFonts w:eastAsia="仿宋_GB2312"/>
                <w:szCs w:val="21"/>
              </w:rPr>
              <w:t>锰</w:t>
            </w:r>
          </w:p>
        </w:tc>
        <w:tc>
          <w:tcPr>
            <w:tcW w:w="935" w:type="pct"/>
            <w:vAlign w:val="center"/>
          </w:tcPr>
          <w:p w14:paraId="62209D3B">
            <w:pPr>
              <w:jc w:val="center"/>
              <w:rPr>
                <w:rFonts w:eastAsia="仿宋_GB2312"/>
                <w:szCs w:val="21"/>
              </w:rPr>
            </w:pPr>
            <w:r>
              <w:rPr>
                <w:rFonts w:hint="eastAsia" w:eastAsia="仿宋_GB2312"/>
                <w:szCs w:val="21"/>
              </w:rPr>
              <w:t>＜0.004</w:t>
            </w:r>
          </w:p>
        </w:tc>
        <w:tc>
          <w:tcPr>
            <w:tcW w:w="659" w:type="pct"/>
            <w:vAlign w:val="center"/>
          </w:tcPr>
          <w:p w14:paraId="183CCBCF">
            <w:pPr>
              <w:jc w:val="center"/>
              <w:rPr>
                <w:rFonts w:eastAsia="仿宋_GB2312"/>
                <w:szCs w:val="21"/>
              </w:rPr>
            </w:pPr>
            <w:r>
              <w:rPr>
                <w:rFonts w:hint="eastAsia" w:eastAsia="仿宋_GB2312"/>
                <w:szCs w:val="21"/>
              </w:rPr>
              <w:t>＜0.004</w:t>
            </w:r>
          </w:p>
        </w:tc>
        <w:tc>
          <w:tcPr>
            <w:tcW w:w="800" w:type="pct"/>
            <w:vAlign w:val="center"/>
          </w:tcPr>
          <w:p w14:paraId="6F6382D6">
            <w:pPr>
              <w:jc w:val="center"/>
              <w:rPr>
                <w:rFonts w:eastAsia="仿宋_GB2312"/>
                <w:szCs w:val="21"/>
              </w:rPr>
            </w:pPr>
            <w:r>
              <w:rPr>
                <w:rFonts w:eastAsia="仿宋_GB2312"/>
                <w:szCs w:val="21"/>
              </w:rPr>
              <w:t>≤0.1</w:t>
            </w:r>
          </w:p>
        </w:tc>
        <w:tc>
          <w:tcPr>
            <w:tcW w:w="756" w:type="pct"/>
            <w:vMerge w:val="continue"/>
            <w:vAlign w:val="center"/>
          </w:tcPr>
          <w:p w14:paraId="579F4640">
            <w:pPr>
              <w:jc w:val="center"/>
              <w:rPr>
                <w:rFonts w:eastAsia="仿宋_GB2312"/>
                <w:color w:val="FF0000"/>
                <w:szCs w:val="21"/>
              </w:rPr>
            </w:pPr>
          </w:p>
        </w:tc>
      </w:tr>
      <w:tr w14:paraId="243195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482" w:type="pct"/>
            <w:vMerge w:val="continue"/>
            <w:vAlign w:val="center"/>
          </w:tcPr>
          <w:p w14:paraId="63A2480F">
            <w:pPr>
              <w:jc w:val="center"/>
              <w:rPr>
                <w:rFonts w:eastAsia="仿宋_GB2312"/>
                <w:color w:val="FF0000"/>
                <w:szCs w:val="21"/>
              </w:rPr>
            </w:pPr>
          </w:p>
        </w:tc>
        <w:tc>
          <w:tcPr>
            <w:tcW w:w="1365" w:type="pct"/>
            <w:vAlign w:val="center"/>
          </w:tcPr>
          <w:p w14:paraId="63B361CE">
            <w:pPr>
              <w:jc w:val="center"/>
              <w:rPr>
                <w:rFonts w:eastAsia="仿宋_GB2312"/>
                <w:szCs w:val="21"/>
              </w:rPr>
            </w:pPr>
            <w:r>
              <w:rPr>
                <w:rFonts w:eastAsia="仿宋_GB2312"/>
                <w:szCs w:val="21"/>
              </w:rPr>
              <w:t>氯</w:t>
            </w:r>
            <w:r>
              <w:rPr>
                <w:rFonts w:hint="eastAsia" w:eastAsia="仿宋_GB2312"/>
                <w:szCs w:val="21"/>
              </w:rPr>
              <w:t>化物</w:t>
            </w:r>
          </w:p>
        </w:tc>
        <w:tc>
          <w:tcPr>
            <w:tcW w:w="935" w:type="pct"/>
            <w:vAlign w:val="center"/>
          </w:tcPr>
          <w:p w14:paraId="73BC0D6D">
            <w:pPr>
              <w:jc w:val="center"/>
              <w:rPr>
                <w:rFonts w:eastAsia="仿宋_GB2312"/>
                <w:szCs w:val="21"/>
              </w:rPr>
            </w:pPr>
            <w:r>
              <w:rPr>
                <w:rFonts w:hint="eastAsia" w:eastAsia="仿宋_GB2312"/>
                <w:szCs w:val="21"/>
              </w:rPr>
              <w:t>18</w:t>
            </w:r>
          </w:p>
        </w:tc>
        <w:tc>
          <w:tcPr>
            <w:tcW w:w="659" w:type="pct"/>
            <w:vAlign w:val="center"/>
          </w:tcPr>
          <w:p w14:paraId="105BF687">
            <w:pPr>
              <w:jc w:val="center"/>
              <w:rPr>
                <w:rFonts w:eastAsia="仿宋_GB2312"/>
                <w:szCs w:val="21"/>
              </w:rPr>
            </w:pPr>
            <w:r>
              <w:rPr>
                <w:rFonts w:hint="eastAsia" w:eastAsia="仿宋_GB2312"/>
                <w:szCs w:val="21"/>
              </w:rPr>
              <w:t>19</w:t>
            </w:r>
          </w:p>
        </w:tc>
        <w:tc>
          <w:tcPr>
            <w:tcW w:w="800" w:type="pct"/>
            <w:vAlign w:val="center"/>
          </w:tcPr>
          <w:p w14:paraId="330D4A1F">
            <w:pPr>
              <w:jc w:val="center"/>
              <w:rPr>
                <w:rFonts w:eastAsia="仿宋_GB2312"/>
                <w:szCs w:val="21"/>
              </w:rPr>
            </w:pPr>
            <w:r>
              <w:rPr>
                <w:rFonts w:eastAsia="仿宋_GB2312"/>
                <w:szCs w:val="21"/>
              </w:rPr>
              <w:t>≤250</w:t>
            </w:r>
          </w:p>
        </w:tc>
        <w:tc>
          <w:tcPr>
            <w:tcW w:w="756" w:type="pct"/>
            <w:vMerge w:val="continue"/>
            <w:vAlign w:val="center"/>
          </w:tcPr>
          <w:p w14:paraId="1FE16021">
            <w:pPr>
              <w:jc w:val="center"/>
              <w:rPr>
                <w:rFonts w:eastAsia="仿宋_GB2312"/>
                <w:color w:val="FF0000"/>
                <w:szCs w:val="21"/>
              </w:rPr>
            </w:pPr>
          </w:p>
        </w:tc>
      </w:tr>
      <w:tr w14:paraId="50091A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482" w:type="pct"/>
            <w:vMerge w:val="continue"/>
            <w:vAlign w:val="center"/>
          </w:tcPr>
          <w:p w14:paraId="1D4C9BB6">
            <w:pPr>
              <w:jc w:val="center"/>
              <w:rPr>
                <w:rFonts w:eastAsia="仿宋_GB2312"/>
                <w:color w:val="FF0000"/>
                <w:szCs w:val="21"/>
              </w:rPr>
            </w:pPr>
          </w:p>
        </w:tc>
        <w:tc>
          <w:tcPr>
            <w:tcW w:w="1365" w:type="pct"/>
            <w:vAlign w:val="center"/>
          </w:tcPr>
          <w:p w14:paraId="1EFE5E79">
            <w:pPr>
              <w:jc w:val="center"/>
              <w:rPr>
                <w:rFonts w:eastAsia="仿宋_GB2312"/>
                <w:szCs w:val="21"/>
              </w:rPr>
            </w:pPr>
            <w:r>
              <w:rPr>
                <w:rFonts w:eastAsia="仿宋_GB2312"/>
                <w:szCs w:val="21"/>
              </w:rPr>
              <w:t>总硬度（以CaCO</w:t>
            </w:r>
            <w:r>
              <w:rPr>
                <w:rFonts w:eastAsia="仿宋_GB2312"/>
                <w:szCs w:val="21"/>
                <w:vertAlign w:val="subscript"/>
              </w:rPr>
              <w:t>3</w:t>
            </w:r>
            <w:r>
              <w:rPr>
                <w:rFonts w:eastAsia="仿宋_GB2312"/>
                <w:szCs w:val="21"/>
              </w:rPr>
              <w:t>计）</w:t>
            </w:r>
          </w:p>
        </w:tc>
        <w:tc>
          <w:tcPr>
            <w:tcW w:w="935" w:type="pct"/>
            <w:vAlign w:val="center"/>
          </w:tcPr>
          <w:p w14:paraId="1F7B1B21">
            <w:pPr>
              <w:jc w:val="center"/>
              <w:rPr>
                <w:rFonts w:eastAsia="仿宋_GB2312"/>
                <w:szCs w:val="21"/>
              </w:rPr>
            </w:pPr>
            <w:r>
              <w:rPr>
                <w:rFonts w:hint="eastAsia" w:eastAsia="仿宋_GB2312"/>
                <w:szCs w:val="21"/>
              </w:rPr>
              <w:t>12</w:t>
            </w:r>
          </w:p>
        </w:tc>
        <w:tc>
          <w:tcPr>
            <w:tcW w:w="659" w:type="pct"/>
            <w:vAlign w:val="center"/>
          </w:tcPr>
          <w:p w14:paraId="50CC8C4A">
            <w:pPr>
              <w:jc w:val="center"/>
              <w:rPr>
                <w:rFonts w:eastAsia="仿宋_GB2312"/>
                <w:szCs w:val="21"/>
              </w:rPr>
            </w:pPr>
            <w:r>
              <w:rPr>
                <w:rFonts w:hint="eastAsia" w:eastAsia="仿宋_GB2312"/>
                <w:szCs w:val="21"/>
              </w:rPr>
              <w:t>18</w:t>
            </w:r>
          </w:p>
        </w:tc>
        <w:tc>
          <w:tcPr>
            <w:tcW w:w="800" w:type="pct"/>
            <w:vAlign w:val="center"/>
          </w:tcPr>
          <w:p w14:paraId="522EE1C7">
            <w:pPr>
              <w:jc w:val="center"/>
              <w:rPr>
                <w:rFonts w:eastAsia="仿宋_GB2312"/>
                <w:szCs w:val="21"/>
              </w:rPr>
            </w:pPr>
            <w:r>
              <w:rPr>
                <w:rFonts w:eastAsia="仿宋_GB2312"/>
                <w:szCs w:val="21"/>
              </w:rPr>
              <w:t>≤450</w:t>
            </w:r>
          </w:p>
        </w:tc>
        <w:tc>
          <w:tcPr>
            <w:tcW w:w="756" w:type="pct"/>
            <w:vMerge w:val="continue"/>
            <w:vAlign w:val="center"/>
          </w:tcPr>
          <w:p w14:paraId="6B986289">
            <w:pPr>
              <w:jc w:val="center"/>
              <w:rPr>
                <w:rFonts w:eastAsia="仿宋_GB2312"/>
                <w:color w:val="FF0000"/>
                <w:szCs w:val="21"/>
              </w:rPr>
            </w:pPr>
          </w:p>
        </w:tc>
      </w:tr>
      <w:tr w14:paraId="72A615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482" w:type="pct"/>
            <w:vMerge w:val="continue"/>
            <w:vAlign w:val="center"/>
          </w:tcPr>
          <w:p w14:paraId="0846CC58">
            <w:pPr>
              <w:jc w:val="center"/>
              <w:rPr>
                <w:rFonts w:eastAsia="仿宋_GB2312"/>
                <w:color w:val="FF0000"/>
                <w:szCs w:val="21"/>
              </w:rPr>
            </w:pPr>
          </w:p>
        </w:tc>
        <w:tc>
          <w:tcPr>
            <w:tcW w:w="1365" w:type="pct"/>
            <w:vAlign w:val="center"/>
          </w:tcPr>
          <w:p w14:paraId="1F1A072A">
            <w:pPr>
              <w:jc w:val="center"/>
              <w:rPr>
                <w:rFonts w:eastAsia="仿宋_GB2312"/>
                <w:szCs w:val="21"/>
              </w:rPr>
            </w:pPr>
            <w:r>
              <w:rPr>
                <w:rFonts w:eastAsia="仿宋_GB2312"/>
                <w:szCs w:val="21"/>
              </w:rPr>
              <w:t>总碱度（以CaCO</w:t>
            </w:r>
            <w:r>
              <w:rPr>
                <w:rFonts w:eastAsia="仿宋_GB2312"/>
                <w:szCs w:val="21"/>
                <w:vertAlign w:val="subscript"/>
              </w:rPr>
              <w:t>3</w:t>
            </w:r>
            <w:r>
              <w:rPr>
                <w:rFonts w:eastAsia="仿宋_GB2312"/>
                <w:szCs w:val="21"/>
              </w:rPr>
              <w:t>计）</w:t>
            </w:r>
          </w:p>
        </w:tc>
        <w:tc>
          <w:tcPr>
            <w:tcW w:w="935" w:type="pct"/>
            <w:vAlign w:val="center"/>
          </w:tcPr>
          <w:p w14:paraId="44919CC4">
            <w:pPr>
              <w:jc w:val="center"/>
              <w:rPr>
                <w:rFonts w:eastAsia="仿宋_GB2312"/>
                <w:szCs w:val="21"/>
              </w:rPr>
            </w:pPr>
            <w:r>
              <w:rPr>
                <w:rFonts w:hint="eastAsia" w:eastAsia="仿宋_GB2312"/>
                <w:szCs w:val="21"/>
              </w:rPr>
              <w:t>22</w:t>
            </w:r>
          </w:p>
        </w:tc>
        <w:tc>
          <w:tcPr>
            <w:tcW w:w="659" w:type="pct"/>
            <w:vAlign w:val="center"/>
          </w:tcPr>
          <w:p w14:paraId="2137E21F">
            <w:pPr>
              <w:jc w:val="center"/>
              <w:rPr>
                <w:rFonts w:eastAsia="仿宋_GB2312"/>
                <w:szCs w:val="21"/>
              </w:rPr>
            </w:pPr>
            <w:r>
              <w:rPr>
                <w:rFonts w:hint="eastAsia" w:eastAsia="仿宋_GB2312"/>
                <w:szCs w:val="21"/>
              </w:rPr>
              <w:t>23</w:t>
            </w:r>
          </w:p>
        </w:tc>
        <w:tc>
          <w:tcPr>
            <w:tcW w:w="800" w:type="pct"/>
            <w:vAlign w:val="center"/>
          </w:tcPr>
          <w:p w14:paraId="77EA8DB5">
            <w:pPr>
              <w:jc w:val="center"/>
              <w:rPr>
                <w:rFonts w:eastAsia="仿宋_GB2312"/>
                <w:szCs w:val="21"/>
              </w:rPr>
            </w:pPr>
            <w:r>
              <w:rPr>
                <w:rFonts w:eastAsia="仿宋_GB2312"/>
                <w:szCs w:val="21"/>
              </w:rPr>
              <w:t>≤350</w:t>
            </w:r>
          </w:p>
        </w:tc>
        <w:tc>
          <w:tcPr>
            <w:tcW w:w="756" w:type="pct"/>
            <w:vMerge w:val="continue"/>
            <w:vAlign w:val="center"/>
          </w:tcPr>
          <w:p w14:paraId="7C4B5FC5">
            <w:pPr>
              <w:jc w:val="center"/>
              <w:rPr>
                <w:rFonts w:eastAsia="仿宋_GB2312"/>
                <w:color w:val="FF0000"/>
                <w:szCs w:val="21"/>
              </w:rPr>
            </w:pPr>
          </w:p>
        </w:tc>
      </w:tr>
      <w:tr w14:paraId="4DE21B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482" w:type="pct"/>
            <w:vMerge w:val="continue"/>
            <w:vAlign w:val="center"/>
          </w:tcPr>
          <w:p w14:paraId="6882AA1A">
            <w:pPr>
              <w:jc w:val="center"/>
              <w:rPr>
                <w:rFonts w:eastAsia="仿宋_GB2312"/>
                <w:color w:val="FF0000"/>
                <w:szCs w:val="21"/>
              </w:rPr>
            </w:pPr>
          </w:p>
        </w:tc>
        <w:tc>
          <w:tcPr>
            <w:tcW w:w="1365" w:type="pct"/>
            <w:vAlign w:val="center"/>
          </w:tcPr>
          <w:p w14:paraId="77C49690">
            <w:pPr>
              <w:jc w:val="center"/>
              <w:rPr>
                <w:rFonts w:eastAsia="仿宋_GB2312"/>
                <w:szCs w:val="21"/>
              </w:rPr>
            </w:pPr>
            <w:r>
              <w:rPr>
                <w:rFonts w:eastAsia="仿宋_GB2312"/>
                <w:szCs w:val="21"/>
              </w:rPr>
              <w:t>硫酸盐</w:t>
            </w:r>
          </w:p>
        </w:tc>
        <w:tc>
          <w:tcPr>
            <w:tcW w:w="935" w:type="pct"/>
            <w:vAlign w:val="center"/>
          </w:tcPr>
          <w:p w14:paraId="4BD0FA76">
            <w:pPr>
              <w:jc w:val="center"/>
              <w:rPr>
                <w:rFonts w:eastAsia="仿宋_GB2312"/>
                <w:szCs w:val="21"/>
              </w:rPr>
            </w:pPr>
            <w:r>
              <w:rPr>
                <w:rFonts w:hint="eastAsia" w:eastAsia="仿宋_GB2312"/>
                <w:szCs w:val="21"/>
              </w:rPr>
              <w:t>22.8</w:t>
            </w:r>
          </w:p>
        </w:tc>
        <w:tc>
          <w:tcPr>
            <w:tcW w:w="659" w:type="pct"/>
            <w:vAlign w:val="center"/>
          </w:tcPr>
          <w:p w14:paraId="2B256D4A">
            <w:pPr>
              <w:jc w:val="center"/>
              <w:rPr>
                <w:rFonts w:eastAsia="仿宋_GB2312"/>
                <w:szCs w:val="21"/>
              </w:rPr>
            </w:pPr>
            <w:r>
              <w:rPr>
                <w:rFonts w:hint="eastAsia" w:eastAsia="仿宋_GB2312"/>
                <w:szCs w:val="21"/>
              </w:rPr>
              <w:t>24.9</w:t>
            </w:r>
          </w:p>
        </w:tc>
        <w:tc>
          <w:tcPr>
            <w:tcW w:w="800" w:type="pct"/>
            <w:vAlign w:val="center"/>
          </w:tcPr>
          <w:p w14:paraId="55DE835A">
            <w:pPr>
              <w:jc w:val="center"/>
              <w:rPr>
                <w:rFonts w:eastAsia="仿宋_GB2312"/>
                <w:color w:val="FF0000"/>
                <w:szCs w:val="21"/>
              </w:rPr>
            </w:pPr>
            <w:r>
              <w:rPr>
                <w:rFonts w:eastAsia="仿宋_GB2312"/>
                <w:szCs w:val="21"/>
              </w:rPr>
              <w:t>≤250</w:t>
            </w:r>
          </w:p>
        </w:tc>
        <w:tc>
          <w:tcPr>
            <w:tcW w:w="756" w:type="pct"/>
            <w:vMerge w:val="continue"/>
            <w:vAlign w:val="center"/>
          </w:tcPr>
          <w:p w14:paraId="5461FADF">
            <w:pPr>
              <w:jc w:val="center"/>
              <w:rPr>
                <w:rFonts w:eastAsia="仿宋_GB2312"/>
                <w:color w:val="FF0000"/>
                <w:szCs w:val="21"/>
              </w:rPr>
            </w:pPr>
          </w:p>
        </w:tc>
      </w:tr>
      <w:tr w14:paraId="4CD946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482" w:type="pct"/>
            <w:vMerge w:val="continue"/>
            <w:vAlign w:val="center"/>
          </w:tcPr>
          <w:p w14:paraId="7642D2FA">
            <w:pPr>
              <w:jc w:val="center"/>
              <w:rPr>
                <w:rFonts w:eastAsia="仿宋_GB2312"/>
                <w:color w:val="FF0000"/>
                <w:szCs w:val="21"/>
              </w:rPr>
            </w:pPr>
          </w:p>
        </w:tc>
        <w:tc>
          <w:tcPr>
            <w:tcW w:w="1365" w:type="pct"/>
            <w:vAlign w:val="center"/>
          </w:tcPr>
          <w:p w14:paraId="7CA4AB5D">
            <w:pPr>
              <w:jc w:val="center"/>
              <w:rPr>
                <w:rFonts w:eastAsia="仿宋_GB2312"/>
                <w:szCs w:val="21"/>
              </w:rPr>
            </w:pPr>
            <w:r>
              <w:rPr>
                <w:rFonts w:eastAsia="仿宋_GB2312"/>
                <w:szCs w:val="21"/>
              </w:rPr>
              <w:t>氨氮</w:t>
            </w:r>
          </w:p>
        </w:tc>
        <w:tc>
          <w:tcPr>
            <w:tcW w:w="935" w:type="pct"/>
            <w:vAlign w:val="center"/>
          </w:tcPr>
          <w:p w14:paraId="544F1A60">
            <w:pPr>
              <w:jc w:val="center"/>
              <w:rPr>
                <w:rFonts w:eastAsia="仿宋_GB2312"/>
                <w:szCs w:val="21"/>
              </w:rPr>
            </w:pPr>
            <w:r>
              <w:rPr>
                <w:rFonts w:hint="eastAsia" w:eastAsia="仿宋_GB2312"/>
                <w:szCs w:val="21"/>
              </w:rPr>
              <w:t>0.09</w:t>
            </w:r>
          </w:p>
        </w:tc>
        <w:tc>
          <w:tcPr>
            <w:tcW w:w="659" w:type="pct"/>
            <w:vAlign w:val="center"/>
          </w:tcPr>
          <w:p w14:paraId="79B3BDFF">
            <w:pPr>
              <w:jc w:val="center"/>
              <w:rPr>
                <w:rFonts w:eastAsia="仿宋_GB2312"/>
                <w:szCs w:val="21"/>
              </w:rPr>
            </w:pPr>
            <w:r>
              <w:rPr>
                <w:rFonts w:hint="eastAsia" w:eastAsia="仿宋_GB2312"/>
                <w:szCs w:val="21"/>
              </w:rPr>
              <w:t>0.14</w:t>
            </w:r>
          </w:p>
        </w:tc>
        <w:tc>
          <w:tcPr>
            <w:tcW w:w="800" w:type="pct"/>
            <w:vAlign w:val="center"/>
          </w:tcPr>
          <w:p w14:paraId="7F8CD9C4">
            <w:pPr>
              <w:jc w:val="center"/>
              <w:rPr>
                <w:rFonts w:eastAsia="仿宋_GB2312"/>
                <w:color w:val="FF0000"/>
                <w:szCs w:val="21"/>
              </w:rPr>
            </w:pPr>
            <w:r>
              <w:rPr>
                <w:rFonts w:eastAsia="仿宋_GB2312"/>
                <w:szCs w:val="21"/>
              </w:rPr>
              <w:t>≤</w:t>
            </w:r>
            <w:r>
              <w:rPr>
                <w:rFonts w:hint="eastAsia" w:eastAsia="仿宋_GB2312"/>
                <w:szCs w:val="21"/>
              </w:rPr>
              <w:t>5</w:t>
            </w:r>
          </w:p>
        </w:tc>
        <w:tc>
          <w:tcPr>
            <w:tcW w:w="756" w:type="pct"/>
            <w:vMerge w:val="continue"/>
            <w:vAlign w:val="center"/>
          </w:tcPr>
          <w:p w14:paraId="598B3767">
            <w:pPr>
              <w:jc w:val="center"/>
              <w:rPr>
                <w:rFonts w:eastAsia="仿宋_GB2312"/>
                <w:color w:val="FF0000"/>
                <w:szCs w:val="21"/>
              </w:rPr>
            </w:pPr>
          </w:p>
        </w:tc>
      </w:tr>
      <w:tr w14:paraId="1C8A0E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482" w:type="pct"/>
            <w:vMerge w:val="continue"/>
            <w:vAlign w:val="center"/>
          </w:tcPr>
          <w:p w14:paraId="466CE607">
            <w:pPr>
              <w:jc w:val="center"/>
              <w:rPr>
                <w:rFonts w:eastAsia="仿宋_GB2312"/>
                <w:color w:val="FF0000"/>
                <w:szCs w:val="21"/>
              </w:rPr>
            </w:pPr>
          </w:p>
        </w:tc>
        <w:tc>
          <w:tcPr>
            <w:tcW w:w="1365" w:type="pct"/>
            <w:vAlign w:val="center"/>
          </w:tcPr>
          <w:p w14:paraId="5AC173A2">
            <w:pPr>
              <w:jc w:val="center"/>
              <w:rPr>
                <w:rFonts w:eastAsia="仿宋_GB2312"/>
                <w:szCs w:val="21"/>
              </w:rPr>
            </w:pPr>
            <w:r>
              <w:rPr>
                <w:rFonts w:hint="eastAsia" w:eastAsia="仿宋_GB2312"/>
                <w:szCs w:val="21"/>
              </w:rPr>
              <w:t>总氮</w:t>
            </w:r>
          </w:p>
        </w:tc>
        <w:tc>
          <w:tcPr>
            <w:tcW w:w="935" w:type="pct"/>
            <w:vAlign w:val="center"/>
          </w:tcPr>
          <w:p w14:paraId="4A7DE691">
            <w:pPr>
              <w:jc w:val="center"/>
              <w:rPr>
                <w:rFonts w:eastAsia="仿宋_GB2312"/>
                <w:szCs w:val="21"/>
              </w:rPr>
            </w:pPr>
            <w:r>
              <w:rPr>
                <w:rFonts w:hint="eastAsia" w:eastAsia="仿宋_GB2312"/>
                <w:szCs w:val="21"/>
              </w:rPr>
              <w:t>2.28</w:t>
            </w:r>
          </w:p>
        </w:tc>
        <w:tc>
          <w:tcPr>
            <w:tcW w:w="659" w:type="pct"/>
            <w:vAlign w:val="center"/>
          </w:tcPr>
          <w:p w14:paraId="5B0324E9">
            <w:pPr>
              <w:jc w:val="center"/>
              <w:rPr>
                <w:rFonts w:eastAsia="仿宋_GB2312"/>
                <w:szCs w:val="21"/>
              </w:rPr>
            </w:pPr>
            <w:r>
              <w:rPr>
                <w:rFonts w:hint="eastAsia" w:eastAsia="仿宋_GB2312"/>
                <w:szCs w:val="21"/>
              </w:rPr>
              <w:t>3.59</w:t>
            </w:r>
          </w:p>
        </w:tc>
        <w:tc>
          <w:tcPr>
            <w:tcW w:w="800" w:type="pct"/>
            <w:vAlign w:val="center"/>
          </w:tcPr>
          <w:p w14:paraId="22ABEF7D">
            <w:pPr>
              <w:jc w:val="center"/>
              <w:rPr>
                <w:rFonts w:eastAsia="仿宋_GB2312"/>
                <w:color w:val="FF0000"/>
                <w:szCs w:val="21"/>
              </w:rPr>
            </w:pPr>
            <w:r>
              <w:rPr>
                <w:rFonts w:eastAsia="仿宋_GB2312"/>
                <w:szCs w:val="21"/>
              </w:rPr>
              <w:t>≤</w:t>
            </w:r>
            <w:r>
              <w:rPr>
                <w:rFonts w:hint="eastAsia" w:eastAsia="仿宋_GB2312"/>
                <w:szCs w:val="21"/>
              </w:rPr>
              <w:t>15</w:t>
            </w:r>
          </w:p>
        </w:tc>
        <w:tc>
          <w:tcPr>
            <w:tcW w:w="756" w:type="pct"/>
            <w:vMerge w:val="continue"/>
            <w:vAlign w:val="center"/>
          </w:tcPr>
          <w:p w14:paraId="390F5704">
            <w:pPr>
              <w:jc w:val="center"/>
              <w:rPr>
                <w:rFonts w:eastAsia="仿宋_GB2312"/>
                <w:color w:val="FF0000"/>
                <w:szCs w:val="21"/>
              </w:rPr>
            </w:pPr>
          </w:p>
        </w:tc>
      </w:tr>
      <w:tr w14:paraId="7C08DE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482" w:type="pct"/>
            <w:vMerge w:val="continue"/>
            <w:vAlign w:val="center"/>
          </w:tcPr>
          <w:p w14:paraId="77618445">
            <w:pPr>
              <w:jc w:val="center"/>
              <w:rPr>
                <w:rFonts w:eastAsia="仿宋_GB2312"/>
                <w:color w:val="FF0000"/>
                <w:szCs w:val="21"/>
              </w:rPr>
            </w:pPr>
          </w:p>
        </w:tc>
        <w:tc>
          <w:tcPr>
            <w:tcW w:w="1365" w:type="pct"/>
            <w:vAlign w:val="center"/>
          </w:tcPr>
          <w:p w14:paraId="731C3636">
            <w:pPr>
              <w:jc w:val="center"/>
              <w:rPr>
                <w:rFonts w:eastAsia="仿宋_GB2312"/>
                <w:szCs w:val="21"/>
              </w:rPr>
            </w:pPr>
            <w:r>
              <w:rPr>
                <w:rFonts w:eastAsia="仿宋_GB2312"/>
                <w:szCs w:val="21"/>
              </w:rPr>
              <w:t>总磷</w:t>
            </w:r>
          </w:p>
        </w:tc>
        <w:tc>
          <w:tcPr>
            <w:tcW w:w="935" w:type="pct"/>
            <w:vAlign w:val="center"/>
          </w:tcPr>
          <w:p w14:paraId="1C58AC3B">
            <w:pPr>
              <w:jc w:val="center"/>
              <w:rPr>
                <w:rFonts w:eastAsia="仿宋_GB2312"/>
                <w:szCs w:val="21"/>
              </w:rPr>
            </w:pPr>
            <w:r>
              <w:rPr>
                <w:rFonts w:hint="eastAsia" w:eastAsia="仿宋_GB2312"/>
                <w:szCs w:val="21"/>
              </w:rPr>
              <w:t>0.02</w:t>
            </w:r>
          </w:p>
        </w:tc>
        <w:tc>
          <w:tcPr>
            <w:tcW w:w="659" w:type="pct"/>
            <w:vAlign w:val="center"/>
          </w:tcPr>
          <w:p w14:paraId="10D41B98">
            <w:pPr>
              <w:jc w:val="center"/>
              <w:rPr>
                <w:rFonts w:eastAsia="仿宋_GB2312"/>
                <w:szCs w:val="21"/>
              </w:rPr>
            </w:pPr>
            <w:r>
              <w:rPr>
                <w:rFonts w:hint="eastAsia" w:eastAsia="仿宋_GB2312"/>
                <w:szCs w:val="21"/>
              </w:rPr>
              <w:t>0.02</w:t>
            </w:r>
          </w:p>
        </w:tc>
        <w:tc>
          <w:tcPr>
            <w:tcW w:w="800" w:type="pct"/>
            <w:vAlign w:val="center"/>
          </w:tcPr>
          <w:p w14:paraId="343346A0">
            <w:pPr>
              <w:jc w:val="center"/>
              <w:rPr>
                <w:rFonts w:eastAsia="仿宋_GB2312"/>
                <w:color w:val="FF0000"/>
                <w:szCs w:val="21"/>
              </w:rPr>
            </w:pPr>
            <w:r>
              <w:rPr>
                <w:rFonts w:eastAsia="仿宋_GB2312"/>
                <w:szCs w:val="21"/>
              </w:rPr>
              <w:t>≤</w:t>
            </w:r>
            <w:r>
              <w:rPr>
                <w:rFonts w:hint="eastAsia" w:eastAsia="仿宋_GB2312"/>
                <w:szCs w:val="21"/>
              </w:rPr>
              <w:t>0.5</w:t>
            </w:r>
          </w:p>
        </w:tc>
        <w:tc>
          <w:tcPr>
            <w:tcW w:w="756" w:type="pct"/>
            <w:vMerge w:val="continue"/>
            <w:vAlign w:val="center"/>
          </w:tcPr>
          <w:p w14:paraId="2E2928A4">
            <w:pPr>
              <w:jc w:val="center"/>
              <w:rPr>
                <w:rFonts w:eastAsia="仿宋_GB2312"/>
                <w:color w:val="FF0000"/>
                <w:szCs w:val="21"/>
              </w:rPr>
            </w:pPr>
          </w:p>
        </w:tc>
      </w:tr>
      <w:tr w14:paraId="41E45B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482" w:type="pct"/>
            <w:vMerge w:val="continue"/>
            <w:vAlign w:val="center"/>
          </w:tcPr>
          <w:p w14:paraId="7B3DE3C3">
            <w:pPr>
              <w:jc w:val="center"/>
              <w:rPr>
                <w:rFonts w:eastAsia="仿宋_GB2312"/>
                <w:color w:val="FF0000"/>
                <w:szCs w:val="21"/>
              </w:rPr>
            </w:pPr>
          </w:p>
        </w:tc>
        <w:tc>
          <w:tcPr>
            <w:tcW w:w="1365" w:type="pct"/>
            <w:vAlign w:val="center"/>
          </w:tcPr>
          <w:p w14:paraId="105798F8">
            <w:pPr>
              <w:jc w:val="center"/>
              <w:rPr>
                <w:rFonts w:eastAsia="仿宋_GB2312"/>
                <w:szCs w:val="21"/>
              </w:rPr>
            </w:pPr>
            <w:r>
              <w:rPr>
                <w:rFonts w:eastAsia="仿宋_GB2312"/>
                <w:szCs w:val="21"/>
              </w:rPr>
              <w:t>溶解性总固体</w:t>
            </w:r>
          </w:p>
        </w:tc>
        <w:tc>
          <w:tcPr>
            <w:tcW w:w="935" w:type="pct"/>
            <w:vAlign w:val="center"/>
          </w:tcPr>
          <w:p w14:paraId="0B940F94">
            <w:pPr>
              <w:jc w:val="center"/>
              <w:rPr>
                <w:rFonts w:eastAsia="仿宋_GB2312"/>
                <w:szCs w:val="21"/>
              </w:rPr>
            </w:pPr>
            <w:r>
              <w:rPr>
                <w:rFonts w:hint="eastAsia" w:eastAsia="仿宋_GB2312"/>
                <w:szCs w:val="21"/>
              </w:rPr>
              <w:t>14</w:t>
            </w:r>
          </w:p>
        </w:tc>
        <w:tc>
          <w:tcPr>
            <w:tcW w:w="659" w:type="pct"/>
            <w:vAlign w:val="center"/>
          </w:tcPr>
          <w:p w14:paraId="4A265E0F">
            <w:pPr>
              <w:jc w:val="center"/>
              <w:rPr>
                <w:rFonts w:eastAsia="仿宋_GB2312"/>
                <w:szCs w:val="21"/>
              </w:rPr>
            </w:pPr>
            <w:r>
              <w:rPr>
                <w:rFonts w:hint="eastAsia" w:eastAsia="仿宋_GB2312"/>
                <w:szCs w:val="21"/>
              </w:rPr>
              <w:t>43</w:t>
            </w:r>
          </w:p>
        </w:tc>
        <w:tc>
          <w:tcPr>
            <w:tcW w:w="800" w:type="pct"/>
            <w:vAlign w:val="center"/>
          </w:tcPr>
          <w:p w14:paraId="3CF32F41">
            <w:pPr>
              <w:jc w:val="center"/>
              <w:rPr>
                <w:rFonts w:eastAsia="仿宋_GB2312"/>
                <w:szCs w:val="21"/>
              </w:rPr>
            </w:pPr>
            <w:r>
              <w:rPr>
                <w:rFonts w:eastAsia="仿宋_GB2312"/>
                <w:szCs w:val="21"/>
              </w:rPr>
              <w:t>≤1000</w:t>
            </w:r>
          </w:p>
        </w:tc>
        <w:tc>
          <w:tcPr>
            <w:tcW w:w="756" w:type="pct"/>
            <w:vMerge w:val="continue"/>
            <w:vAlign w:val="center"/>
          </w:tcPr>
          <w:p w14:paraId="5868A73B">
            <w:pPr>
              <w:jc w:val="center"/>
              <w:rPr>
                <w:rFonts w:eastAsia="仿宋_GB2312"/>
                <w:color w:val="FF0000"/>
                <w:szCs w:val="21"/>
              </w:rPr>
            </w:pPr>
          </w:p>
        </w:tc>
      </w:tr>
      <w:tr w14:paraId="150A15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482" w:type="pct"/>
            <w:vMerge w:val="continue"/>
            <w:vAlign w:val="center"/>
          </w:tcPr>
          <w:p w14:paraId="70923CA7">
            <w:pPr>
              <w:jc w:val="center"/>
              <w:rPr>
                <w:rFonts w:eastAsia="仿宋_GB2312"/>
                <w:color w:val="FF0000"/>
                <w:szCs w:val="21"/>
              </w:rPr>
            </w:pPr>
          </w:p>
        </w:tc>
        <w:tc>
          <w:tcPr>
            <w:tcW w:w="1365" w:type="pct"/>
            <w:vAlign w:val="center"/>
          </w:tcPr>
          <w:p w14:paraId="352DB726">
            <w:pPr>
              <w:jc w:val="center"/>
              <w:rPr>
                <w:rFonts w:eastAsia="仿宋_GB2312"/>
                <w:szCs w:val="21"/>
              </w:rPr>
            </w:pPr>
            <w:r>
              <w:rPr>
                <w:rFonts w:eastAsia="仿宋_GB2312"/>
                <w:szCs w:val="21"/>
              </w:rPr>
              <w:t>石油类</w:t>
            </w:r>
          </w:p>
        </w:tc>
        <w:tc>
          <w:tcPr>
            <w:tcW w:w="935" w:type="pct"/>
            <w:vAlign w:val="center"/>
          </w:tcPr>
          <w:p w14:paraId="35D7F69C">
            <w:pPr>
              <w:jc w:val="center"/>
              <w:rPr>
                <w:rFonts w:eastAsia="仿宋_GB2312"/>
                <w:szCs w:val="21"/>
              </w:rPr>
            </w:pPr>
            <w:r>
              <w:rPr>
                <w:rFonts w:hint="eastAsia" w:eastAsia="仿宋_GB2312"/>
                <w:szCs w:val="21"/>
              </w:rPr>
              <w:t>＜0.06</w:t>
            </w:r>
          </w:p>
        </w:tc>
        <w:tc>
          <w:tcPr>
            <w:tcW w:w="659" w:type="pct"/>
            <w:vAlign w:val="center"/>
          </w:tcPr>
          <w:p w14:paraId="391C954A">
            <w:pPr>
              <w:jc w:val="center"/>
              <w:rPr>
                <w:rFonts w:eastAsia="仿宋_GB2312"/>
                <w:szCs w:val="21"/>
              </w:rPr>
            </w:pPr>
            <w:r>
              <w:rPr>
                <w:rFonts w:hint="eastAsia" w:eastAsia="仿宋_GB2312"/>
                <w:szCs w:val="21"/>
              </w:rPr>
              <w:t>＜0.06</w:t>
            </w:r>
          </w:p>
        </w:tc>
        <w:tc>
          <w:tcPr>
            <w:tcW w:w="800" w:type="pct"/>
            <w:vAlign w:val="center"/>
          </w:tcPr>
          <w:p w14:paraId="189810D3">
            <w:pPr>
              <w:jc w:val="center"/>
              <w:rPr>
                <w:rFonts w:eastAsia="仿宋_GB2312"/>
                <w:color w:val="FF0000"/>
                <w:szCs w:val="21"/>
              </w:rPr>
            </w:pPr>
            <w:r>
              <w:rPr>
                <w:rFonts w:eastAsia="仿宋_GB2312"/>
                <w:szCs w:val="21"/>
              </w:rPr>
              <w:t>≤1</w:t>
            </w:r>
          </w:p>
        </w:tc>
        <w:tc>
          <w:tcPr>
            <w:tcW w:w="756" w:type="pct"/>
            <w:vMerge w:val="continue"/>
            <w:vAlign w:val="center"/>
          </w:tcPr>
          <w:p w14:paraId="1CCA396F">
            <w:pPr>
              <w:jc w:val="center"/>
              <w:rPr>
                <w:rFonts w:eastAsia="仿宋_GB2312"/>
                <w:color w:val="FF0000"/>
                <w:szCs w:val="21"/>
              </w:rPr>
            </w:pPr>
          </w:p>
        </w:tc>
      </w:tr>
      <w:tr w14:paraId="002C28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482" w:type="pct"/>
            <w:vMerge w:val="continue"/>
            <w:vAlign w:val="center"/>
          </w:tcPr>
          <w:p w14:paraId="3EE559C8">
            <w:pPr>
              <w:jc w:val="center"/>
              <w:rPr>
                <w:rFonts w:eastAsia="仿宋_GB2312"/>
                <w:color w:val="FF0000"/>
                <w:szCs w:val="21"/>
              </w:rPr>
            </w:pPr>
          </w:p>
        </w:tc>
        <w:tc>
          <w:tcPr>
            <w:tcW w:w="1365" w:type="pct"/>
            <w:vAlign w:val="center"/>
          </w:tcPr>
          <w:p w14:paraId="7FB21D4D">
            <w:pPr>
              <w:jc w:val="center"/>
              <w:rPr>
                <w:rFonts w:eastAsia="仿宋_GB2312"/>
                <w:szCs w:val="21"/>
              </w:rPr>
            </w:pPr>
            <w:r>
              <w:rPr>
                <w:rFonts w:eastAsia="仿宋_GB2312"/>
                <w:szCs w:val="21"/>
              </w:rPr>
              <w:t>阴离子表面活性剂</w:t>
            </w:r>
          </w:p>
        </w:tc>
        <w:tc>
          <w:tcPr>
            <w:tcW w:w="935" w:type="pct"/>
            <w:vAlign w:val="center"/>
          </w:tcPr>
          <w:p w14:paraId="6F1B1665">
            <w:pPr>
              <w:jc w:val="center"/>
              <w:rPr>
                <w:rFonts w:eastAsia="仿宋_GB2312"/>
                <w:szCs w:val="21"/>
              </w:rPr>
            </w:pPr>
            <w:r>
              <w:rPr>
                <w:rFonts w:hint="eastAsia" w:eastAsia="仿宋_GB2312"/>
                <w:szCs w:val="21"/>
              </w:rPr>
              <w:t>＜0.05</w:t>
            </w:r>
          </w:p>
        </w:tc>
        <w:tc>
          <w:tcPr>
            <w:tcW w:w="659" w:type="pct"/>
            <w:vAlign w:val="center"/>
          </w:tcPr>
          <w:p w14:paraId="7D37119B">
            <w:pPr>
              <w:jc w:val="center"/>
              <w:rPr>
                <w:rFonts w:eastAsia="仿宋_GB2312"/>
                <w:szCs w:val="21"/>
              </w:rPr>
            </w:pPr>
            <w:r>
              <w:rPr>
                <w:rFonts w:hint="eastAsia" w:eastAsia="仿宋_GB2312"/>
                <w:szCs w:val="21"/>
              </w:rPr>
              <w:t>＜0.05</w:t>
            </w:r>
          </w:p>
        </w:tc>
        <w:tc>
          <w:tcPr>
            <w:tcW w:w="800" w:type="pct"/>
            <w:vAlign w:val="center"/>
          </w:tcPr>
          <w:p w14:paraId="44AB5D52">
            <w:pPr>
              <w:jc w:val="center"/>
              <w:rPr>
                <w:rFonts w:eastAsia="仿宋_GB2312"/>
                <w:color w:val="FF0000"/>
                <w:szCs w:val="21"/>
              </w:rPr>
            </w:pPr>
            <w:r>
              <w:rPr>
                <w:rFonts w:eastAsia="仿宋_GB2312"/>
                <w:szCs w:val="21"/>
              </w:rPr>
              <w:t>≤0.5</w:t>
            </w:r>
          </w:p>
        </w:tc>
        <w:tc>
          <w:tcPr>
            <w:tcW w:w="756" w:type="pct"/>
            <w:vMerge w:val="continue"/>
            <w:vAlign w:val="center"/>
          </w:tcPr>
          <w:p w14:paraId="7D27EFEC">
            <w:pPr>
              <w:jc w:val="center"/>
              <w:rPr>
                <w:rFonts w:eastAsia="仿宋_GB2312"/>
                <w:color w:val="FF0000"/>
                <w:szCs w:val="21"/>
              </w:rPr>
            </w:pPr>
          </w:p>
        </w:tc>
      </w:tr>
    </w:tbl>
    <w:p w14:paraId="391967A0">
      <w:pPr>
        <w:spacing w:line="500" w:lineRule="exact"/>
        <w:ind w:firstLine="560" w:firstLineChars="200"/>
        <w:rPr>
          <w:rFonts w:eastAsia="仿宋_GB2312"/>
          <w:sz w:val="28"/>
          <w:szCs w:val="28"/>
        </w:rPr>
      </w:pPr>
      <w:r>
        <w:rPr>
          <w:rFonts w:eastAsia="仿宋_GB2312"/>
          <w:sz w:val="28"/>
          <w:szCs w:val="28"/>
        </w:rPr>
        <w:t>由上表可知</w:t>
      </w:r>
      <w:r>
        <w:rPr>
          <w:rFonts w:hint="eastAsia" w:eastAsia="仿宋_GB2312"/>
          <w:sz w:val="28"/>
          <w:szCs w:val="28"/>
        </w:rPr>
        <w:t>，</w:t>
      </w:r>
      <w:r>
        <w:rPr>
          <w:rFonts w:eastAsia="仿宋_GB2312"/>
          <w:sz w:val="28"/>
          <w:szCs w:val="28"/>
        </w:rPr>
        <w:t>企业</w:t>
      </w:r>
      <w:r>
        <w:rPr>
          <w:rFonts w:hint="eastAsia" w:eastAsia="仿宋_GB2312"/>
          <w:sz w:val="28"/>
          <w:szCs w:val="28"/>
        </w:rPr>
        <w:t>3#污水站出水能够满足回用水标准要求。</w:t>
      </w:r>
    </w:p>
    <w:p w14:paraId="1EA92B69">
      <w:pPr>
        <w:adjustRightInd w:val="0"/>
        <w:spacing w:line="500" w:lineRule="exact"/>
        <w:ind w:firstLine="560" w:firstLineChars="200"/>
        <w:rPr>
          <w:rFonts w:eastAsia="仿宋_GB2312"/>
          <w:sz w:val="28"/>
          <w:szCs w:val="28"/>
        </w:rPr>
      </w:pPr>
      <w:r>
        <w:rPr>
          <w:rFonts w:eastAsia="仿宋_GB2312"/>
          <w:sz w:val="28"/>
          <w:szCs w:val="28"/>
        </w:rPr>
        <w:t>（4）已建项目实际排放量</w:t>
      </w:r>
    </w:p>
    <w:p w14:paraId="5AF32B8B">
      <w:pPr>
        <w:adjustRightInd w:val="0"/>
        <w:spacing w:line="500" w:lineRule="exact"/>
        <w:ind w:firstLine="560" w:firstLineChars="200"/>
        <w:rPr>
          <w:rFonts w:eastAsia="仿宋_GB2312"/>
          <w:color w:val="auto"/>
          <w:sz w:val="28"/>
          <w:szCs w:val="28"/>
        </w:rPr>
      </w:pPr>
      <w:r>
        <w:rPr>
          <w:rFonts w:eastAsia="仿宋_GB2312"/>
          <w:color w:val="auto"/>
          <w:sz w:val="28"/>
          <w:szCs w:val="28"/>
        </w:rPr>
        <w:t>企业原有已验收项目废水污染物实际排放量与环评批复量对比情况见表3.1-1</w:t>
      </w:r>
      <w:r>
        <w:rPr>
          <w:rFonts w:hint="eastAsia" w:eastAsia="仿宋_GB2312"/>
          <w:color w:val="auto"/>
          <w:sz w:val="28"/>
          <w:szCs w:val="28"/>
        </w:rPr>
        <w:t>5</w:t>
      </w:r>
      <w:r>
        <w:rPr>
          <w:rFonts w:eastAsia="仿宋_GB2312"/>
          <w:color w:val="auto"/>
          <w:sz w:val="28"/>
          <w:szCs w:val="28"/>
        </w:rPr>
        <w:t>。</w:t>
      </w:r>
    </w:p>
    <w:p w14:paraId="3DDA4984">
      <w:pPr>
        <w:widowControl/>
        <w:spacing w:line="500" w:lineRule="exact"/>
        <w:jc w:val="center"/>
        <w:rPr>
          <w:rFonts w:eastAsia="仿宋_GB2312"/>
          <w:b/>
          <w:bCs/>
          <w:color w:val="auto"/>
          <w:sz w:val="24"/>
        </w:rPr>
      </w:pPr>
      <w:r>
        <w:rPr>
          <w:rFonts w:eastAsia="仿宋_GB2312"/>
          <w:b/>
          <w:bCs/>
          <w:color w:val="auto"/>
          <w:sz w:val="24"/>
        </w:rPr>
        <w:t>表3.1-1</w:t>
      </w:r>
      <w:r>
        <w:rPr>
          <w:rFonts w:hint="eastAsia" w:eastAsia="仿宋_GB2312"/>
          <w:b/>
          <w:bCs/>
          <w:color w:val="auto"/>
          <w:sz w:val="24"/>
        </w:rPr>
        <w:t>5</w:t>
      </w:r>
      <w:r>
        <w:rPr>
          <w:rFonts w:eastAsia="仿宋_GB2312"/>
          <w:b/>
          <w:bCs/>
          <w:color w:val="auto"/>
          <w:sz w:val="24"/>
        </w:rPr>
        <w:t xml:space="preserve">  已建项目废水实际排放量与环评批复量对比情况表</w:t>
      </w:r>
    </w:p>
    <w:tbl>
      <w:tblPr>
        <w:tblStyle w:val="89"/>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177"/>
        <w:gridCol w:w="2766"/>
        <w:gridCol w:w="3580"/>
      </w:tblGrid>
      <w:tr w14:paraId="0865E3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177" w:type="dxa"/>
            <w:tcBorders>
              <w:tl2br w:val="nil"/>
              <w:tr2bl w:val="nil"/>
            </w:tcBorders>
            <w:vAlign w:val="center"/>
          </w:tcPr>
          <w:p w14:paraId="7A431482">
            <w:pPr>
              <w:snapToGrid w:val="0"/>
              <w:spacing w:line="284" w:lineRule="exact"/>
              <w:jc w:val="center"/>
              <w:rPr>
                <w:rFonts w:eastAsia="仿宋_GB2312"/>
                <w:b/>
                <w:bCs/>
                <w:color w:val="auto"/>
                <w:szCs w:val="21"/>
              </w:rPr>
            </w:pPr>
            <w:r>
              <w:rPr>
                <w:rFonts w:eastAsia="仿宋_GB2312"/>
                <w:b/>
                <w:bCs/>
                <w:color w:val="auto"/>
                <w:szCs w:val="21"/>
              </w:rPr>
              <w:t>污染物名称</w:t>
            </w:r>
          </w:p>
        </w:tc>
        <w:tc>
          <w:tcPr>
            <w:tcW w:w="2766" w:type="dxa"/>
            <w:tcBorders>
              <w:tl2br w:val="nil"/>
              <w:tr2bl w:val="nil"/>
            </w:tcBorders>
            <w:vAlign w:val="center"/>
          </w:tcPr>
          <w:p w14:paraId="7A76AAF8">
            <w:pPr>
              <w:snapToGrid w:val="0"/>
              <w:spacing w:line="284" w:lineRule="exact"/>
              <w:jc w:val="center"/>
              <w:rPr>
                <w:rFonts w:eastAsia="仿宋_GB2312"/>
                <w:b/>
                <w:bCs/>
                <w:color w:val="auto"/>
                <w:szCs w:val="21"/>
              </w:rPr>
            </w:pPr>
            <w:r>
              <w:rPr>
                <w:rFonts w:hint="eastAsia" w:eastAsia="仿宋_GB2312"/>
                <w:b/>
                <w:bCs/>
                <w:color w:val="auto"/>
                <w:szCs w:val="21"/>
                <w:lang w:val="en-US" w:eastAsia="zh-CN"/>
              </w:rPr>
              <w:t>2025年</w:t>
            </w:r>
            <w:r>
              <w:rPr>
                <w:rFonts w:eastAsia="仿宋_GB2312"/>
                <w:b/>
                <w:bCs/>
                <w:color w:val="auto"/>
                <w:szCs w:val="21"/>
              </w:rPr>
              <w:t>实际排放量（t）</w:t>
            </w:r>
          </w:p>
        </w:tc>
        <w:tc>
          <w:tcPr>
            <w:tcW w:w="3580" w:type="dxa"/>
            <w:tcBorders>
              <w:tl2br w:val="nil"/>
              <w:tr2bl w:val="nil"/>
            </w:tcBorders>
            <w:vAlign w:val="center"/>
          </w:tcPr>
          <w:p w14:paraId="3589F417">
            <w:pPr>
              <w:snapToGrid w:val="0"/>
              <w:spacing w:line="284" w:lineRule="exact"/>
              <w:jc w:val="center"/>
              <w:rPr>
                <w:rFonts w:eastAsia="仿宋_GB2312"/>
                <w:b/>
                <w:bCs/>
                <w:color w:val="auto"/>
                <w:szCs w:val="21"/>
              </w:rPr>
            </w:pPr>
            <w:r>
              <w:rPr>
                <w:rFonts w:eastAsia="仿宋_GB2312"/>
                <w:b/>
                <w:bCs/>
                <w:color w:val="auto"/>
                <w:szCs w:val="21"/>
              </w:rPr>
              <w:t>已建项目环评批复量（t/a）</w:t>
            </w:r>
          </w:p>
        </w:tc>
      </w:tr>
      <w:tr w14:paraId="0F678D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177" w:type="dxa"/>
            <w:tcBorders>
              <w:tl2br w:val="nil"/>
              <w:tr2bl w:val="nil"/>
            </w:tcBorders>
            <w:vAlign w:val="center"/>
          </w:tcPr>
          <w:p w14:paraId="47E5150C">
            <w:pPr>
              <w:snapToGrid w:val="0"/>
              <w:spacing w:line="284" w:lineRule="exact"/>
              <w:jc w:val="center"/>
              <w:rPr>
                <w:rFonts w:eastAsia="仿宋_GB2312"/>
                <w:b/>
                <w:bCs/>
                <w:color w:val="auto"/>
                <w:szCs w:val="21"/>
              </w:rPr>
            </w:pPr>
            <w:r>
              <w:rPr>
                <w:rFonts w:eastAsia="仿宋_GB2312"/>
                <w:color w:val="auto"/>
                <w:szCs w:val="21"/>
              </w:rPr>
              <w:t>水量（m</w:t>
            </w:r>
            <w:r>
              <w:rPr>
                <w:rFonts w:eastAsia="仿宋_GB2312"/>
                <w:color w:val="auto"/>
                <w:szCs w:val="21"/>
                <w:vertAlign w:val="superscript"/>
              </w:rPr>
              <w:t>3</w:t>
            </w:r>
            <w:r>
              <w:rPr>
                <w:rFonts w:eastAsia="仿宋_GB2312"/>
                <w:color w:val="auto"/>
                <w:szCs w:val="21"/>
              </w:rPr>
              <w:t>/a）</w:t>
            </w:r>
          </w:p>
        </w:tc>
        <w:tc>
          <w:tcPr>
            <w:tcW w:w="2766" w:type="dxa"/>
            <w:tcBorders>
              <w:tl2br w:val="nil"/>
              <w:tr2bl w:val="nil"/>
            </w:tcBorders>
            <w:vAlign w:val="center"/>
          </w:tcPr>
          <w:p w14:paraId="3A653810">
            <w:pPr>
              <w:snapToGrid w:val="0"/>
              <w:spacing w:line="284" w:lineRule="exact"/>
              <w:jc w:val="center"/>
              <w:rPr>
                <w:rFonts w:hint="default" w:eastAsia="仿宋_GB2312"/>
                <w:b/>
                <w:bCs/>
                <w:color w:val="auto"/>
                <w:szCs w:val="21"/>
                <w:lang w:val="en-US" w:eastAsia="zh-CN"/>
              </w:rPr>
            </w:pPr>
            <w:r>
              <w:rPr>
                <w:rFonts w:hint="eastAsia" w:eastAsia="仿宋_GB2312"/>
                <w:color w:val="auto"/>
                <w:szCs w:val="21"/>
                <w:lang w:val="en-US" w:eastAsia="zh-CN"/>
              </w:rPr>
              <w:t>48511</w:t>
            </w:r>
          </w:p>
        </w:tc>
        <w:tc>
          <w:tcPr>
            <w:tcW w:w="3580" w:type="dxa"/>
            <w:tcBorders>
              <w:tl2br w:val="nil"/>
              <w:tr2bl w:val="nil"/>
            </w:tcBorders>
            <w:vAlign w:val="center"/>
          </w:tcPr>
          <w:p w14:paraId="58249B52">
            <w:pPr>
              <w:snapToGrid w:val="0"/>
              <w:spacing w:line="284" w:lineRule="exact"/>
              <w:jc w:val="center"/>
              <w:rPr>
                <w:rFonts w:eastAsia="仿宋_GB2312"/>
                <w:color w:val="auto"/>
                <w:szCs w:val="21"/>
              </w:rPr>
            </w:pPr>
            <w:r>
              <w:rPr>
                <w:rFonts w:hint="eastAsia" w:eastAsia="仿宋_GB2312"/>
                <w:color w:val="auto"/>
                <w:kern w:val="0"/>
                <w:szCs w:val="21"/>
                <w:lang w:val="en-US" w:eastAsia="zh-CN"/>
              </w:rPr>
              <w:t>66320.17</w:t>
            </w:r>
          </w:p>
        </w:tc>
      </w:tr>
      <w:tr w14:paraId="2CAFCD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177" w:type="dxa"/>
            <w:tcBorders>
              <w:tl2br w:val="nil"/>
              <w:tr2bl w:val="nil"/>
            </w:tcBorders>
            <w:vAlign w:val="center"/>
          </w:tcPr>
          <w:p w14:paraId="12992EA4">
            <w:pPr>
              <w:snapToGrid w:val="0"/>
              <w:spacing w:line="256" w:lineRule="exact"/>
              <w:jc w:val="center"/>
              <w:rPr>
                <w:rFonts w:eastAsia="仿宋_GB2312"/>
                <w:color w:val="auto"/>
                <w:szCs w:val="21"/>
              </w:rPr>
            </w:pPr>
            <w:r>
              <w:rPr>
                <w:rFonts w:eastAsia="仿宋_GB2312"/>
                <w:color w:val="auto"/>
                <w:szCs w:val="21"/>
              </w:rPr>
              <w:t>化学需氧量</w:t>
            </w:r>
          </w:p>
        </w:tc>
        <w:tc>
          <w:tcPr>
            <w:tcW w:w="2766" w:type="dxa"/>
            <w:tcBorders>
              <w:tl2br w:val="nil"/>
              <w:tr2bl w:val="nil"/>
            </w:tcBorders>
            <w:vAlign w:val="center"/>
          </w:tcPr>
          <w:p w14:paraId="199F03CD">
            <w:pPr>
              <w:spacing w:line="320" w:lineRule="exact"/>
              <w:jc w:val="center"/>
              <w:rPr>
                <w:rFonts w:eastAsia="仿宋_GB2312"/>
                <w:color w:val="auto"/>
                <w:szCs w:val="21"/>
              </w:rPr>
            </w:pPr>
            <w:r>
              <w:rPr>
                <w:rFonts w:eastAsiaTheme="minorEastAsia"/>
                <w:color w:val="auto"/>
              </w:rPr>
              <w:t>4.522</w:t>
            </w:r>
          </w:p>
        </w:tc>
        <w:tc>
          <w:tcPr>
            <w:tcW w:w="3580" w:type="dxa"/>
            <w:tcBorders>
              <w:tl2br w:val="nil"/>
              <w:tr2bl w:val="nil"/>
            </w:tcBorders>
            <w:shd w:val="clear" w:color="auto" w:fill="auto"/>
            <w:vAlign w:val="center"/>
          </w:tcPr>
          <w:p w14:paraId="0461881F">
            <w:pPr>
              <w:widowControl/>
              <w:spacing w:line="240" w:lineRule="exact"/>
              <w:jc w:val="center"/>
              <w:rPr>
                <w:rFonts w:hint="default" w:ascii="Times New Roman" w:hAnsi="Times New Roman" w:eastAsia="仿宋_GB2312" w:cs="Times New Roman"/>
                <w:color w:val="auto"/>
                <w:kern w:val="0"/>
                <w:sz w:val="21"/>
                <w:szCs w:val="21"/>
                <w:lang w:val="en-US" w:eastAsia="zh-CN" w:bidi="ar-SA"/>
              </w:rPr>
            </w:pPr>
            <w:r>
              <w:rPr>
                <w:rFonts w:hint="eastAsia" w:eastAsia="仿宋_GB2312"/>
                <w:color w:val="auto"/>
                <w:kern w:val="0"/>
                <w:szCs w:val="21"/>
                <w:lang w:val="en-US" w:eastAsia="zh-CN"/>
              </w:rPr>
              <w:t>26.528</w:t>
            </w:r>
          </w:p>
        </w:tc>
      </w:tr>
      <w:tr w14:paraId="7133C0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177" w:type="dxa"/>
            <w:tcBorders>
              <w:tl2br w:val="nil"/>
              <w:tr2bl w:val="nil"/>
            </w:tcBorders>
            <w:vAlign w:val="center"/>
          </w:tcPr>
          <w:p w14:paraId="2B15AB28">
            <w:pPr>
              <w:snapToGrid w:val="0"/>
              <w:spacing w:line="256" w:lineRule="exact"/>
              <w:jc w:val="center"/>
              <w:rPr>
                <w:rFonts w:hint="default" w:eastAsia="仿宋_GB2312"/>
                <w:color w:val="auto"/>
                <w:szCs w:val="21"/>
                <w:lang w:val="en-US" w:eastAsia="zh-CN"/>
              </w:rPr>
            </w:pPr>
            <w:r>
              <w:rPr>
                <w:rFonts w:hint="eastAsia" w:eastAsia="仿宋_GB2312"/>
                <w:color w:val="auto"/>
                <w:szCs w:val="21"/>
                <w:lang w:val="en-US" w:eastAsia="zh-CN"/>
              </w:rPr>
              <w:t>SS</w:t>
            </w:r>
          </w:p>
        </w:tc>
        <w:tc>
          <w:tcPr>
            <w:tcW w:w="2766" w:type="dxa"/>
            <w:tcBorders>
              <w:tl2br w:val="nil"/>
              <w:tr2bl w:val="nil"/>
            </w:tcBorders>
            <w:vAlign w:val="center"/>
          </w:tcPr>
          <w:p w14:paraId="4E7E3DF8">
            <w:pPr>
              <w:spacing w:line="320" w:lineRule="exact"/>
              <w:jc w:val="center"/>
              <w:rPr>
                <w:rFonts w:hint="default" w:eastAsia="仿宋_GB2312"/>
                <w:color w:val="auto"/>
                <w:szCs w:val="21"/>
                <w:lang w:val="en-US" w:eastAsia="zh-CN"/>
              </w:rPr>
            </w:pPr>
            <w:r>
              <w:rPr>
                <w:rFonts w:hint="eastAsia" w:eastAsia="仿宋_GB2312"/>
                <w:color w:val="auto"/>
                <w:szCs w:val="21"/>
                <w:lang w:val="en-US" w:eastAsia="zh-CN"/>
              </w:rPr>
              <w:t>0.533</w:t>
            </w:r>
          </w:p>
        </w:tc>
        <w:tc>
          <w:tcPr>
            <w:tcW w:w="3580" w:type="dxa"/>
            <w:tcBorders>
              <w:tl2br w:val="nil"/>
              <w:tr2bl w:val="nil"/>
            </w:tcBorders>
            <w:shd w:val="clear" w:color="auto" w:fill="auto"/>
            <w:vAlign w:val="center"/>
          </w:tcPr>
          <w:p w14:paraId="59D9F71D">
            <w:pPr>
              <w:widowControl/>
              <w:spacing w:line="240" w:lineRule="exact"/>
              <w:jc w:val="center"/>
              <w:rPr>
                <w:rFonts w:hint="default" w:ascii="Times New Roman" w:hAnsi="Times New Roman" w:eastAsia="仿宋_GB2312" w:cs="Times New Roman"/>
                <w:color w:val="auto"/>
                <w:kern w:val="0"/>
                <w:sz w:val="21"/>
                <w:szCs w:val="21"/>
                <w:lang w:val="en-US" w:eastAsia="zh-CN" w:bidi="ar-SA"/>
              </w:rPr>
            </w:pPr>
            <w:r>
              <w:rPr>
                <w:rFonts w:hint="eastAsia" w:eastAsia="仿宋_GB2312"/>
                <w:color w:val="auto"/>
                <w:kern w:val="0"/>
                <w:szCs w:val="21"/>
                <w:lang w:val="en-US" w:eastAsia="zh-CN"/>
              </w:rPr>
              <w:t>19.896</w:t>
            </w:r>
          </w:p>
        </w:tc>
      </w:tr>
      <w:tr w14:paraId="3F898C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177" w:type="dxa"/>
            <w:tcBorders>
              <w:tl2br w:val="nil"/>
              <w:tr2bl w:val="nil"/>
            </w:tcBorders>
            <w:vAlign w:val="center"/>
          </w:tcPr>
          <w:p w14:paraId="6F594F1F">
            <w:pPr>
              <w:snapToGrid w:val="0"/>
              <w:spacing w:line="256" w:lineRule="exact"/>
              <w:jc w:val="center"/>
              <w:rPr>
                <w:rFonts w:eastAsia="仿宋_GB2312"/>
                <w:color w:val="auto"/>
                <w:szCs w:val="21"/>
              </w:rPr>
            </w:pPr>
            <w:r>
              <w:rPr>
                <w:rFonts w:eastAsia="仿宋_GB2312"/>
                <w:color w:val="auto"/>
                <w:szCs w:val="21"/>
              </w:rPr>
              <w:t>氨氮</w:t>
            </w:r>
          </w:p>
        </w:tc>
        <w:tc>
          <w:tcPr>
            <w:tcW w:w="2766" w:type="dxa"/>
            <w:tcBorders>
              <w:tl2br w:val="nil"/>
              <w:tr2bl w:val="nil"/>
            </w:tcBorders>
            <w:vAlign w:val="center"/>
          </w:tcPr>
          <w:p w14:paraId="503D4056">
            <w:pPr>
              <w:snapToGrid w:val="0"/>
              <w:spacing w:line="284" w:lineRule="exact"/>
              <w:jc w:val="center"/>
              <w:rPr>
                <w:rFonts w:eastAsia="仿宋_GB2312"/>
                <w:color w:val="auto"/>
                <w:szCs w:val="21"/>
              </w:rPr>
            </w:pPr>
            <w:r>
              <w:rPr>
                <w:rFonts w:eastAsiaTheme="minorEastAsia"/>
                <w:color w:val="auto"/>
              </w:rPr>
              <w:t>0.025</w:t>
            </w:r>
          </w:p>
        </w:tc>
        <w:tc>
          <w:tcPr>
            <w:tcW w:w="3580" w:type="dxa"/>
            <w:tcBorders>
              <w:tl2br w:val="nil"/>
              <w:tr2bl w:val="nil"/>
            </w:tcBorders>
            <w:vAlign w:val="center"/>
          </w:tcPr>
          <w:p w14:paraId="58DA089E">
            <w:pPr>
              <w:snapToGrid w:val="0"/>
              <w:spacing w:line="284" w:lineRule="exact"/>
              <w:jc w:val="center"/>
              <w:rPr>
                <w:rFonts w:eastAsia="仿宋_GB2312"/>
                <w:color w:val="auto"/>
                <w:szCs w:val="21"/>
              </w:rPr>
            </w:pPr>
            <w:r>
              <w:rPr>
                <w:rFonts w:eastAsia="仿宋_GB2312"/>
                <w:color w:val="auto"/>
                <w:kern w:val="0"/>
                <w:szCs w:val="21"/>
              </w:rPr>
              <w:t>0.159</w:t>
            </w:r>
          </w:p>
        </w:tc>
      </w:tr>
      <w:tr w14:paraId="1BD0ED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177" w:type="dxa"/>
            <w:tcBorders>
              <w:tl2br w:val="nil"/>
              <w:tr2bl w:val="nil"/>
            </w:tcBorders>
            <w:vAlign w:val="center"/>
          </w:tcPr>
          <w:p w14:paraId="1ADB7687">
            <w:pPr>
              <w:snapToGrid w:val="0"/>
              <w:spacing w:line="256" w:lineRule="exact"/>
              <w:jc w:val="center"/>
              <w:rPr>
                <w:rFonts w:eastAsia="仿宋_GB2312"/>
                <w:color w:val="auto"/>
                <w:szCs w:val="21"/>
              </w:rPr>
            </w:pPr>
            <w:r>
              <w:rPr>
                <w:rFonts w:eastAsia="仿宋_GB2312"/>
                <w:color w:val="auto"/>
                <w:szCs w:val="21"/>
              </w:rPr>
              <w:t>总磷</w:t>
            </w:r>
          </w:p>
        </w:tc>
        <w:tc>
          <w:tcPr>
            <w:tcW w:w="2766" w:type="dxa"/>
            <w:tcBorders>
              <w:tl2br w:val="nil"/>
              <w:tr2bl w:val="nil"/>
            </w:tcBorders>
            <w:vAlign w:val="center"/>
          </w:tcPr>
          <w:p w14:paraId="705ED43C">
            <w:pPr>
              <w:snapToGrid w:val="0"/>
              <w:spacing w:line="284" w:lineRule="exact"/>
              <w:jc w:val="center"/>
              <w:rPr>
                <w:rFonts w:eastAsia="仿宋_GB2312"/>
                <w:color w:val="auto"/>
                <w:szCs w:val="21"/>
              </w:rPr>
            </w:pPr>
            <w:r>
              <w:rPr>
                <w:rFonts w:hint="eastAsia" w:eastAsia="仿宋_GB2312"/>
                <w:color w:val="auto"/>
                <w:szCs w:val="21"/>
                <w:lang w:val="en-US" w:eastAsia="zh-CN"/>
              </w:rPr>
              <w:t>0.003</w:t>
            </w:r>
          </w:p>
        </w:tc>
        <w:tc>
          <w:tcPr>
            <w:tcW w:w="3580" w:type="dxa"/>
            <w:tcBorders>
              <w:tl2br w:val="nil"/>
              <w:tr2bl w:val="nil"/>
            </w:tcBorders>
            <w:vAlign w:val="center"/>
          </w:tcPr>
          <w:p w14:paraId="0100EEAC">
            <w:pPr>
              <w:snapToGrid w:val="0"/>
              <w:spacing w:line="284" w:lineRule="exact"/>
              <w:jc w:val="center"/>
              <w:rPr>
                <w:rFonts w:eastAsia="仿宋_GB2312"/>
                <w:color w:val="auto"/>
                <w:szCs w:val="21"/>
              </w:rPr>
            </w:pPr>
            <w:r>
              <w:rPr>
                <w:rFonts w:eastAsia="仿宋_GB2312"/>
                <w:color w:val="auto"/>
                <w:kern w:val="0"/>
                <w:szCs w:val="21"/>
              </w:rPr>
              <w:t>0.0584</w:t>
            </w:r>
          </w:p>
        </w:tc>
      </w:tr>
      <w:tr w14:paraId="3618E2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177" w:type="dxa"/>
            <w:tcBorders>
              <w:tl2br w:val="nil"/>
              <w:tr2bl w:val="nil"/>
            </w:tcBorders>
            <w:shd w:val="clear" w:color="auto" w:fill="auto"/>
            <w:vAlign w:val="center"/>
          </w:tcPr>
          <w:p w14:paraId="33D41B42">
            <w:pPr>
              <w:widowControl/>
              <w:spacing w:line="240" w:lineRule="exact"/>
              <w:jc w:val="center"/>
              <w:rPr>
                <w:rFonts w:ascii="Times New Roman" w:hAnsi="Times New Roman" w:eastAsia="仿宋_GB2312" w:cs="Times New Roman"/>
                <w:color w:val="auto"/>
                <w:kern w:val="0"/>
                <w:sz w:val="21"/>
                <w:szCs w:val="21"/>
                <w:lang w:val="en-US" w:eastAsia="zh-CN" w:bidi="ar-SA"/>
              </w:rPr>
            </w:pPr>
            <w:r>
              <w:rPr>
                <w:rFonts w:eastAsia="仿宋_GB2312"/>
                <w:color w:val="auto"/>
                <w:kern w:val="0"/>
                <w:szCs w:val="21"/>
              </w:rPr>
              <w:t>甲苯</w:t>
            </w:r>
          </w:p>
        </w:tc>
        <w:tc>
          <w:tcPr>
            <w:tcW w:w="2766" w:type="dxa"/>
            <w:tcBorders>
              <w:tl2br w:val="nil"/>
              <w:tr2bl w:val="nil"/>
            </w:tcBorders>
            <w:shd w:val="clear" w:color="auto" w:fill="auto"/>
            <w:vAlign w:val="center"/>
          </w:tcPr>
          <w:p w14:paraId="47049A9B">
            <w:pPr>
              <w:widowControl/>
              <w:spacing w:line="240" w:lineRule="exact"/>
              <w:jc w:val="center"/>
              <w:rPr>
                <w:rFonts w:hint="default" w:ascii="Times New Roman" w:hAnsi="Times New Roman" w:eastAsia="仿宋_GB2312" w:cs="Times New Roman"/>
                <w:color w:val="auto"/>
                <w:kern w:val="0"/>
                <w:sz w:val="21"/>
                <w:szCs w:val="21"/>
                <w:lang w:val="en-US" w:eastAsia="zh-CN" w:bidi="ar-SA"/>
              </w:rPr>
            </w:pPr>
            <w:r>
              <w:rPr>
                <w:rFonts w:hint="eastAsia" w:eastAsia="仿宋_GB2312" w:cs="Times New Roman"/>
                <w:color w:val="auto"/>
                <w:kern w:val="0"/>
                <w:sz w:val="21"/>
                <w:szCs w:val="21"/>
                <w:lang w:val="en-US" w:eastAsia="zh-CN" w:bidi="ar-SA"/>
              </w:rPr>
              <w:t>/</w:t>
            </w:r>
          </w:p>
        </w:tc>
        <w:tc>
          <w:tcPr>
            <w:tcW w:w="3580" w:type="dxa"/>
            <w:tcBorders>
              <w:tl2br w:val="nil"/>
              <w:tr2bl w:val="nil"/>
            </w:tcBorders>
            <w:shd w:val="clear" w:color="auto" w:fill="auto"/>
            <w:vAlign w:val="center"/>
          </w:tcPr>
          <w:p w14:paraId="6070EA7B">
            <w:pPr>
              <w:widowControl/>
              <w:spacing w:line="240" w:lineRule="exact"/>
              <w:jc w:val="center"/>
              <w:rPr>
                <w:rFonts w:ascii="Times New Roman" w:hAnsi="Times New Roman" w:eastAsia="仿宋_GB2312" w:cs="Times New Roman"/>
                <w:color w:val="auto"/>
                <w:kern w:val="0"/>
                <w:sz w:val="21"/>
                <w:szCs w:val="21"/>
                <w:lang w:val="en-US" w:eastAsia="zh-CN" w:bidi="ar-SA"/>
              </w:rPr>
            </w:pPr>
            <w:r>
              <w:rPr>
                <w:rFonts w:eastAsia="仿宋_GB2312"/>
                <w:color w:val="auto"/>
                <w:kern w:val="0"/>
                <w:szCs w:val="21"/>
              </w:rPr>
              <w:t>0.0029</w:t>
            </w:r>
          </w:p>
        </w:tc>
      </w:tr>
      <w:tr w14:paraId="282F5E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177" w:type="dxa"/>
            <w:tcBorders>
              <w:tl2br w:val="nil"/>
              <w:tr2bl w:val="nil"/>
            </w:tcBorders>
            <w:shd w:val="clear" w:color="auto" w:fill="auto"/>
            <w:vAlign w:val="center"/>
          </w:tcPr>
          <w:p w14:paraId="346A3171">
            <w:pPr>
              <w:widowControl/>
              <w:spacing w:line="240" w:lineRule="exact"/>
              <w:jc w:val="center"/>
              <w:rPr>
                <w:rFonts w:ascii="Times New Roman" w:hAnsi="Times New Roman" w:eastAsia="仿宋_GB2312" w:cs="Times New Roman"/>
                <w:color w:val="auto"/>
                <w:kern w:val="0"/>
                <w:sz w:val="21"/>
                <w:szCs w:val="21"/>
                <w:lang w:val="en-US" w:eastAsia="zh-CN" w:bidi="ar-SA"/>
              </w:rPr>
            </w:pPr>
            <w:r>
              <w:rPr>
                <w:rFonts w:eastAsia="仿宋_GB2312"/>
                <w:color w:val="auto"/>
                <w:kern w:val="0"/>
                <w:szCs w:val="21"/>
              </w:rPr>
              <w:t>二甲苯</w:t>
            </w:r>
          </w:p>
        </w:tc>
        <w:tc>
          <w:tcPr>
            <w:tcW w:w="2766" w:type="dxa"/>
            <w:tcBorders>
              <w:tl2br w:val="nil"/>
              <w:tr2bl w:val="nil"/>
            </w:tcBorders>
            <w:shd w:val="clear" w:color="auto" w:fill="auto"/>
            <w:vAlign w:val="center"/>
          </w:tcPr>
          <w:p w14:paraId="213C247B">
            <w:pPr>
              <w:widowControl/>
              <w:spacing w:line="240" w:lineRule="exact"/>
              <w:jc w:val="center"/>
              <w:rPr>
                <w:rFonts w:hint="default" w:ascii="Times New Roman" w:hAnsi="Times New Roman" w:eastAsia="仿宋_GB2312" w:cs="Times New Roman"/>
                <w:color w:val="auto"/>
                <w:kern w:val="0"/>
                <w:sz w:val="21"/>
                <w:szCs w:val="21"/>
                <w:lang w:val="en-US" w:eastAsia="zh-CN" w:bidi="ar-SA"/>
              </w:rPr>
            </w:pPr>
            <w:r>
              <w:rPr>
                <w:rFonts w:hint="eastAsia" w:eastAsia="仿宋_GB2312" w:cs="Times New Roman"/>
                <w:color w:val="auto"/>
                <w:kern w:val="0"/>
                <w:sz w:val="21"/>
                <w:szCs w:val="21"/>
                <w:lang w:val="en-US" w:eastAsia="zh-CN" w:bidi="ar-SA"/>
              </w:rPr>
              <w:t>/</w:t>
            </w:r>
          </w:p>
        </w:tc>
        <w:tc>
          <w:tcPr>
            <w:tcW w:w="3580" w:type="dxa"/>
            <w:tcBorders>
              <w:tl2br w:val="nil"/>
              <w:tr2bl w:val="nil"/>
            </w:tcBorders>
            <w:shd w:val="clear" w:color="auto" w:fill="auto"/>
            <w:vAlign w:val="center"/>
          </w:tcPr>
          <w:p w14:paraId="25832423">
            <w:pPr>
              <w:widowControl/>
              <w:spacing w:line="240" w:lineRule="exact"/>
              <w:jc w:val="center"/>
              <w:rPr>
                <w:rFonts w:ascii="Times New Roman" w:hAnsi="Times New Roman" w:eastAsia="仿宋_GB2312" w:cs="Times New Roman"/>
                <w:color w:val="auto"/>
                <w:kern w:val="0"/>
                <w:sz w:val="21"/>
                <w:szCs w:val="21"/>
                <w:lang w:val="en-US" w:eastAsia="zh-CN" w:bidi="ar-SA"/>
              </w:rPr>
            </w:pPr>
            <w:r>
              <w:rPr>
                <w:rFonts w:eastAsia="仿宋_GB2312"/>
                <w:color w:val="auto"/>
                <w:kern w:val="0"/>
                <w:szCs w:val="21"/>
              </w:rPr>
              <w:t>0.00241</w:t>
            </w:r>
          </w:p>
        </w:tc>
      </w:tr>
    </w:tbl>
    <w:p w14:paraId="100CE7C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eastAsia="仿宋_GB2312"/>
          <w:color w:val="auto"/>
          <w:sz w:val="21"/>
          <w:szCs w:val="21"/>
          <w:lang w:val="en-US" w:eastAsia="zh-CN"/>
        </w:rPr>
      </w:pPr>
      <w:r>
        <w:rPr>
          <w:rFonts w:hint="eastAsia" w:eastAsia="仿宋_GB2312"/>
          <w:color w:val="auto"/>
          <w:sz w:val="21"/>
          <w:szCs w:val="21"/>
          <w:lang w:val="en-US" w:eastAsia="zh-CN"/>
        </w:rPr>
        <w:t>备注：甲苯、二甲苯例行监测均未检出，不进行总量核算。</w:t>
      </w:r>
    </w:p>
    <w:p w14:paraId="1BD972C9">
      <w:pPr>
        <w:spacing w:line="500" w:lineRule="exact"/>
        <w:ind w:firstLine="560" w:firstLineChars="200"/>
        <w:rPr>
          <w:rFonts w:eastAsia="仿宋_GB2312"/>
          <w:color w:val="auto"/>
          <w:sz w:val="28"/>
          <w:szCs w:val="28"/>
        </w:rPr>
      </w:pPr>
      <w:r>
        <w:rPr>
          <w:rFonts w:eastAsia="仿宋_GB2312"/>
          <w:color w:val="auto"/>
          <w:sz w:val="28"/>
          <w:szCs w:val="28"/>
        </w:rPr>
        <w:t>由上表3.1-10至表3.1-1</w:t>
      </w:r>
      <w:r>
        <w:rPr>
          <w:rFonts w:hint="eastAsia" w:eastAsia="仿宋_GB2312"/>
          <w:color w:val="auto"/>
          <w:sz w:val="28"/>
          <w:szCs w:val="28"/>
          <w:lang w:val="en-US" w:eastAsia="zh-CN"/>
        </w:rPr>
        <w:t>5</w:t>
      </w:r>
      <w:r>
        <w:rPr>
          <w:rFonts w:eastAsia="仿宋_GB2312"/>
          <w:color w:val="auto"/>
          <w:sz w:val="28"/>
          <w:szCs w:val="28"/>
        </w:rPr>
        <w:t>可知</w:t>
      </w:r>
      <w:r>
        <w:rPr>
          <w:rFonts w:hint="eastAsia" w:eastAsia="仿宋_GB2312"/>
          <w:color w:val="auto"/>
          <w:sz w:val="28"/>
          <w:szCs w:val="28"/>
        </w:rPr>
        <w:t>，</w:t>
      </w:r>
      <w:r>
        <w:rPr>
          <w:rFonts w:eastAsia="仿宋_GB2312"/>
          <w:color w:val="auto"/>
          <w:sz w:val="28"/>
          <w:szCs w:val="28"/>
        </w:rPr>
        <w:t>企业废水排放口污染物排放浓度均符合</w:t>
      </w:r>
      <w:r>
        <w:rPr>
          <w:rFonts w:hint="eastAsia" w:eastAsia="仿宋_GB2312"/>
          <w:color w:val="auto"/>
          <w:sz w:val="28"/>
          <w:szCs w:val="28"/>
          <w:lang w:val="en-US" w:eastAsia="zh-CN"/>
        </w:rPr>
        <w:t>相关标准</w:t>
      </w:r>
      <w:r>
        <w:rPr>
          <w:rFonts w:eastAsia="仿宋_GB2312"/>
          <w:color w:val="auto"/>
          <w:sz w:val="28"/>
          <w:szCs w:val="28"/>
        </w:rPr>
        <w:t>要求，废水排放量未超过环评批复量。</w:t>
      </w:r>
    </w:p>
    <w:p w14:paraId="4F05FC83">
      <w:pPr>
        <w:rPr>
          <w:rFonts w:eastAsia="仿宋_GB2312"/>
          <w:b/>
          <w:bCs/>
          <w:color w:val="FF0000"/>
          <w:sz w:val="28"/>
          <w:szCs w:val="28"/>
        </w:rPr>
      </w:pPr>
      <w:r>
        <w:rPr>
          <w:rFonts w:eastAsia="仿宋_GB2312"/>
          <w:b/>
          <w:bCs/>
          <w:color w:val="FF0000"/>
          <w:sz w:val="28"/>
          <w:szCs w:val="28"/>
        </w:rPr>
        <w:br w:type="page"/>
      </w:r>
    </w:p>
    <w:p w14:paraId="33B50F39">
      <w:pPr>
        <w:pStyle w:val="7"/>
        <w:keepLines w:val="0"/>
        <w:widowControl/>
        <w:adjustRightInd w:val="0"/>
        <w:snapToGrid w:val="0"/>
        <w:spacing w:after="120" w:afterLines="50"/>
        <w:jc w:val="left"/>
        <w:rPr>
          <w:rFonts w:ascii="Times New Roman" w:hAnsi="Times New Roman"/>
          <w:b/>
        </w:rPr>
      </w:pPr>
      <w:r>
        <w:rPr>
          <w:rFonts w:ascii="Times New Roman" w:hAnsi="Times New Roman"/>
          <w:b/>
        </w:rPr>
        <w:t>3.1.</w:t>
      </w:r>
      <w:r>
        <w:rPr>
          <w:rFonts w:hint="eastAsia" w:ascii="Times New Roman" w:hAnsi="Times New Roman"/>
          <w:b/>
        </w:rPr>
        <w:t>5</w:t>
      </w:r>
      <w:r>
        <w:rPr>
          <w:rFonts w:ascii="Times New Roman" w:hAnsi="Times New Roman"/>
          <w:b/>
        </w:rPr>
        <w:t>.3已建项目固废污染防治措施汇总</w:t>
      </w:r>
    </w:p>
    <w:p w14:paraId="4415CB2F">
      <w:pPr>
        <w:widowControl/>
        <w:spacing w:line="500" w:lineRule="exact"/>
        <w:ind w:firstLine="560" w:firstLineChars="200"/>
        <w:rPr>
          <w:rFonts w:eastAsia="仿宋_GB2312"/>
          <w:sz w:val="28"/>
          <w:szCs w:val="28"/>
        </w:rPr>
      </w:pPr>
      <w:r>
        <w:rPr>
          <w:rFonts w:eastAsia="仿宋_GB2312"/>
          <w:sz w:val="28"/>
          <w:szCs w:val="28"/>
        </w:rPr>
        <w:t>已建项目固废情况如下表3.1-1</w:t>
      </w:r>
      <w:r>
        <w:rPr>
          <w:rFonts w:hint="eastAsia" w:eastAsia="仿宋_GB2312"/>
          <w:sz w:val="28"/>
          <w:szCs w:val="28"/>
        </w:rPr>
        <w:t>6</w:t>
      </w:r>
      <w:r>
        <w:rPr>
          <w:rFonts w:eastAsia="仿宋_GB2312"/>
          <w:sz w:val="28"/>
          <w:szCs w:val="28"/>
        </w:rPr>
        <w:t>所示。</w:t>
      </w:r>
    </w:p>
    <w:p w14:paraId="13209CDF">
      <w:pPr>
        <w:spacing w:line="500" w:lineRule="exact"/>
        <w:jc w:val="center"/>
        <w:rPr>
          <w:rFonts w:eastAsia="仿宋_GB2312"/>
          <w:b/>
          <w:sz w:val="24"/>
        </w:rPr>
      </w:pPr>
      <w:r>
        <w:rPr>
          <w:rFonts w:eastAsia="仿宋_GB2312"/>
          <w:b/>
          <w:sz w:val="24"/>
        </w:rPr>
        <w:t>表3.1-1</w:t>
      </w:r>
      <w:r>
        <w:rPr>
          <w:rFonts w:hint="eastAsia" w:eastAsia="仿宋_GB2312"/>
          <w:b/>
          <w:sz w:val="24"/>
        </w:rPr>
        <w:t>6</w:t>
      </w:r>
      <w:r>
        <w:rPr>
          <w:rFonts w:eastAsia="仿宋_GB2312"/>
          <w:b/>
          <w:sz w:val="24"/>
        </w:rPr>
        <w:t xml:space="preserve">  已建项目固废情况表</w:t>
      </w:r>
    </w:p>
    <w:tbl>
      <w:tblPr>
        <w:tblStyle w:val="88"/>
        <w:tblW w:w="5221"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181"/>
        <w:gridCol w:w="1725"/>
        <w:gridCol w:w="945"/>
        <w:gridCol w:w="1238"/>
        <w:gridCol w:w="1681"/>
        <w:gridCol w:w="2130"/>
      </w:tblGrid>
      <w:tr w14:paraId="5D7156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63" w:type="pct"/>
            <w:tcBorders>
              <w:tl2br w:val="nil"/>
              <w:tr2bl w:val="nil"/>
            </w:tcBorders>
            <w:vAlign w:val="center"/>
          </w:tcPr>
          <w:p w14:paraId="652EE5D6">
            <w:pPr>
              <w:snapToGrid w:val="0"/>
              <w:spacing w:line="284" w:lineRule="exact"/>
              <w:jc w:val="center"/>
              <w:rPr>
                <w:rFonts w:eastAsia="仿宋_GB2312"/>
                <w:b/>
                <w:bCs/>
                <w:szCs w:val="21"/>
              </w:rPr>
            </w:pPr>
            <w:r>
              <w:rPr>
                <w:rFonts w:hint="eastAsia" w:eastAsia="仿宋_GB2312"/>
                <w:b/>
                <w:bCs/>
                <w:szCs w:val="21"/>
              </w:rPr>
              <w:t>出处</w:t>
            </w:r>
          </w:p>
        </w:tc>
        <w:tc>
          <w:tcPr>
            <w:tcW w:w="969" w:type="pct"/>
            <w:tcBorders>
              <w:tl2br w:val="nil"/>
              <w:tr2bl w:val="nil"/>
            </w:tcBorders>
            <w:vAlign w:val="center"/>
          </w:tcPr>
          <w:p w14:paraId="53341FE1">
            <w:pPr>
              <w:snapToGrid w:val="0"/>
              <w:spacing w:line="284" w:lineRule="exact"/>
              <w:jc w:val="center"/>
              <w:rPr>
                <w:rFonts w:eastAsia="仿宋_GB2312"/>
                <w:b/>
                <w:bCs/>
                <w:szCs w:val="21"/>
              </w:rPr>
            </w:pPr>
            <w:r>
              <w:rPr>
                <w:rFonts w:hint="eastAsia" w:eastAsia="仿宋_GB2312"/>
                <w:b/>
                <w:bCs/>
                <w:szCs w:val="21"/>
              </w:rPr>
              <w:t>危废</w:t>
            </w:r>
            <w:r>
              <w:rPr>
                <w:rFonts w:eastAsia="仿宋_GB2312"/>
                <w:b/>
                <w:bCs/>
                <w:szCs w:val="21"/>
              </w:rPr>
              <w:t>名称</w:t>
            </w:r>
          </w:p>
        </w:tc>
        <w:tc>
          <w:tcPr>
            <w:tcW w:w="530" w:type="pct"/>
            <w:tcBorders>
              <w:tl2br w:val="nil"/>
              <w:tr2bl w:val="nil"/>
            </w:tcBorders>
            <w:vAlign w:val="center"/>
          </w:tcPr>
          <w:p w14:paraId="11B7CC1D">
            <w:pPr>
              <w:snapToGrid w:val="0"/>
              <w:spacing w:line="284" w:lineRule="exact"/>
              <w:jc w:val="center"/>
              <w:rPr>
                <w:rFonts w:eastAsia="仿宋_GB2312"/>
                <w:b/>
                <w:bCs/>
                <w:szCs w:val="21"/>
              </w:rPr>
            </w:pPr>
            <w:r>
              <w:rPr>
                <w:rFonts w:hint="eastAsia" w:eastAsia="仿宋_GB2312"/>
                <w:b/>
                <w:bCs/>
                <w:szCs w:val="21"/>
              </w:rPr>
              <w:t>危废类别</w:t>
            </w:r>
          </w:p>
        </w:tc>
        <w:tc>
          <w:tcPr>
            <w:tcW w:w="695" w:type="pct"/>
            <w:tcBorders>
              <w:tl2br w:val="nil"/>
              <w:tr2bl w:val="nil"/>
            </w:tcBorders>
            <w:vAlign w:val="center"/>
          </w:tcPr>
          <w:p w14:paraId="531E320D">
            <w:pPr>
              <w:snapToGrid w:val="0"/>
              <w:spacing w:line="284" w:lineRule="exact"/>
              <w:jc w:val="center"/>
              <w:rPr>
                <w:rFonts w:eastAsia="仿宋_GB2312"/>
                <w:b/>
                <w:bCs/>
                <w:szCs w:val="21"/>
              </w:rPr>
            </w:pPr>
            <w:r>
              <w:rPr>
                <w:rFonts w:hint="eastAsia" w:eastAsia="仿宋_GB2312"/>
                <w:b/>
                <w:bCs/>
                <w:szCs w:val="21"/>
              </w:rPr>
              <w:t>固废代码</w:t>
            </w:r>
          </w:p>
        </w:tc>
        <w:tc>
          <w:tcPr>
            <w:tcW w:w="944" w:type="pct"/>
            <w:tcBorders>
              <w:tl2br w:val="nil"/>
              <w:tr2bl w:val="nil"/>
            </w:tcBorders>
            <w:vAlign w:val="center"/>
          </w:tcPr>
          <w:p w14:paraId="4872FB6F">
            <w:pPr>
              <w:snapToGrid w:val="0"/>
              <w:spacing w:line="284" w:lineRule="exact"/>
              <w:jc w:val="center"/>
              <w:rPr>
                <w:rFonts w:eastAsia="仿宋_GB2312"/>
                <w:b/>
                <w:bCs/>
                <w:szCs w:val="21"/>
              </w:rPr>
            </w:pPr>
            <w:r>
              <w:rPr>
                <w:rFonts w:eastAsia="仿宋_GB2312"/>
                <w:b/>
                <w:bCs/>
                <w:szCs w:val="21"/>
              </w:rPr>
              <w:t>产生量t/a</w:t>
            </w:r>
          </w:p>
        </w:tc>
        <w:tc>
          <w:tcPr>
            <w:tcW w:w="1196" w:type="pct"/>
            <w:tcBorders>
              <w:tl2br w:val="nil"/>
              <w:tr2bl w:val="nil"/>
            </w:tcBorders>
            <w:vAlign w:val="center"/>
          </w:tcPr>
          <w:p w14:paraId="7E249B93">
            <w:pPr>
              <w:snapToGrid w:val="0"/>
              <w:spacing w:line="284" w:lineRule="exact"/>
              <w:jc w:val="center"/>
              <w:rPr>
                <w:rFonts w:eastAsia="仿宋_GB2312"/>
                <w:b/>
                <w:bCs/>
                <w:szCs w:val="21"/>
              </w:rPr>
            </w:pPr>
            <w:r>
              <w:rPr>
                <w:rFonts w:hint="eastAsia" w:eastAsia="仿宋_GB2312"/>
                <w:b/>
                <w:bCs/>
                <w:szCs w:val="21"/>
              </w:rPr>
              <w:t>处置方式</w:t>
            </w:r>
          </w:p>
        </w:tc>
      </w:tr>
      <w:tr w14:paraId="75CEA4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63" w:type="pct"/>
            <w:vMerge w:val="restart"/>
            <w:tcBorders>
              <w:tl2br w:val="nil"/>
              <w:tr2bl w:val="nil"/>
            </w:tcBorders>
            <w:vAlign w:val="center"/>
          </w:tcPr>
          <w:p w14:paraId="601CE9BE">
            <w:pPr>
              <w:snapToGrid w:val="0"/>
              <w:spacing w:line="284" w:lineRule="exact"/>
              <w:jc w:val="center"/>
              <w:rPr>
                <w:rFonts w:eastAsia="仿宋_GB2312"/>
                <w:szCs w:val="21"/>
              </w:rPr>
            </w:pPr>
            <w:r>
              <w:rPr>
                <w:rFonts w:hint="eastAsia" w:eastAsia="仿宋_GB2312"/>
                <w:szCs w:val="21"/>
              </w:rPr>
              <w:t>有机溶剂回收（甲醇、丙酮等16只产品）项目</w:t>
            </w:r>
          </w:p>
        </w:tc>
        <w:tc>
          <w:tcPr>
            <w:tcW w:w="969" w:type="pct"/>
            <w:tcBorders>
              <w:tl2br w:val="nil"/>
              <w:tr2bl w:val="nil"/>
            </w:tcBorders>
            <w:vAlign w:val="center"/>
          </w:tcPr>
          <w:p w14:paraId="503FF8FC">
            <w:pPr>
              <w:snapToGrid w:val="0"/>
              <w:spacing w:line="284" w:lineRule="exact"/>
              <w:jc w:val="center"/>
              <w:rPr>
                <w:rFonts w:eastAsia="仿宋_GB2312"/>
                <w:szCs w:val="21"/>
              </w:rPr>
            </w:pPr>
            <w:r>
              <w:rPr>
                <w:rFonts w:eastAsia="仿宋_GB2312"/>
                <w:szCs w:val="21"/>
              </w:rPr>
              <w:t>过滤废渣</w:t>
            </w:r>
          </w:p>
        </w:tc>
        <w:tc>
          <w:tcPr>
            <w:tcW w:w="530" w:type="pct"/>
            <w:tcBorders>
              <w:tl2br w:val="nil"/>
              <w:tr2bl w:val="nil"/>
            </w:tcBorders>
            <w:vAlign w:val="center"/>
          </w:tcPr>
          <w:p w14:paraId="413FC904">
            <w:pPr>
              <w:snapToGrid w:val="0"/>
              <w:spacing w:line="284" w:lineRule="exact"/>
              <w:jc w:val="center"/>
              <w:rPr>
                <w:rFonts w:eastAsia="仿宋_GB2312"/>
                <w:szCs w:val="21"/>
              </w:rPr>
            </w:pPr>
            <w:r>
              <w:rPr>
                <w:rFonts w:hint="eastAsia" w:eastAsia="仿宋_GB2312"/>
                <w:szCs w:val="21"/>
              </w:rPr>
              <w:t>HW06</w:t>
            </w:r>
          </w:p>
        </w:tc>
        <w:tc>
          <w:tcPr>
            <w:tcW w:w="695" w:type="pct"/>
            <w:tcBorders>
              <w:tl2br w:val="nil"/>
              <w:tr2bl w:val="nil"/>
            </w:tcBorders>
            <w:vAlign w:val="center"/>
          </w:tcPr>
          <w:p w14:paraId="470F86C1">
            <w:pPr>
              <w:snapToGrid w:val="0"/>
              <w:spacing w:line="284" w:lineRule="exact"/>
              <w:jc w:val="center"/>
              <w:rPr>
                <w:rFonts w:eastAsia="仿宋_GB2312"/>
                <w:szCs w:val="21"/>
              </w:rPr>
            </w:pPr>
            <w:r>
              <w:rPr>
                <w:rFonts w:eastAsia="仿宋_GB2312"/>
                <w:szCs w:val="21"/>
              </w:rPr>
              <w:t>900-406-06</w:t>
            </w:r>
          </w:p>
        </w:tc>
        <w:tc>
          <w:tcPr>
            <w:tcW w:w="944" w:type="pct"/>
            <w:tcBorders>
              <w:tl2br w:val="nil"/>
              <w:tr2bl w:val="nil"/>
            </w:tcBorders>
            <w:vAlign w:val="center"/>
          </w:tcPr>
          <w:p w14:paraId="39B16DF5">
            <w:pPr>
              <w:snapToGrid w:val="0"/>
              <w:spacing w:line="284" w:lineRule="exact"/>
              <w:jc w:val="center"/>
              <w:rPr>
                <w:rFonts w:eastAsia="仿宋_GB2312"/>
                <w:szCs w:val="21"/>
              </w:rPr>
            </w:pPr>
            <w:r>
              <w:rPr>
                <w:rFonts w:hint="eastAsia" w:eastAsia="仿宋_GB2312"/>
                <w:szCs w:val="21"/>
              </w:rPr>
              <w:t>481.5</w:t>
            </w:r>
          </w:p>
        </w:tc>
        <w:tc>
          <w:tcPr>
            <w:tcW w:w="1196" w:type="pct"/>
            <w:vMerge w:val="restart"/>
            <w:tcBorders>
              <w:tl2br w:val="nil"/>
              <w:tr2bl w:val="nil"/>
            </w:tcBorders>
            <w:vAlign w:val="center"/>
          </w:tcPr>
          <w:p w14:paraId="66D433A8">
            <w:pPr>
              <w:snapToGrid w:val="0"/>
              <w:spacing w:line="284" w:lineRule="exact"/>
              <w:jc w:val="center"/>
              <w:rPr>
                <w:rFonts w:eastAsia="仿宋_GB2312"/>
                <w:szCs w:val="21"/>
              </w:rPr>
            </w:pPr>
            <w:r>
              <w:rPr>
                <w:rFonts w:hint="eastAsia" w:eastAsia="仿宋_GB2312"/>
                <w:szCs w:val="21"/>
              </w:rPr>
              <w:t>自行焚烧处置</w:t>
            </w:r>
          </w:p>
        </w:tc>
      </w:tr>
      <w:tr w14:paraId="4868EC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63" w:type="pct"/>
            <w:vMerge w:val="continue"/>
            <w:tcBorders>
              <w:tl2br w:val="nil"/>
              <w:tr2bl w:val="nil"/>
            </w:tcBorders>
            <w:vAlign w:val="center"/>
          </w:tcPr>
          <w:p w14:paraId="137E0F26">
            <w:pPr>
              <w:snapToGrid w:val="0"/>
              <w:spacing w:line="284" w:lineRule="exact"/>
              <w:jc w:val="center"/>
              <w:rPr>
                <w:rFonts w:eastAsia="仿宋_GB2312"/>
                <w:szCs w:val="21"/>
              </w:rPr>
            </w:pPr>
          </w:p>
        </w:tc>
        <w:tc>
          <w:tcPr>
            <w:tcW w:w="969" w:type="pct"/>
            <w:tcBorders>
              <w:tl2br w:val="nil"/>
              <w:tr2bl w:val="nil"/>
            </w:tcBorders>
            <w:vAlign w:val="center"/>
          </w:tcPr>
          <w:p w14:paraId="6617D761">
            <w:pPr>
              <w:snapToGrid w:val="0"/>
              <w:spacing w:line="284" w:lineRule="exact"/>
              <w:jc w:val="center"/>
              <w:rPr>
                <w:rFonts w:eastAsia="仿宋_GB2312"/>
                <w:szCs w:val="21"/>
              </w:rPr>
            </w:pPr>
            <w:r>
              <w:rPr>
                <w:rFonts w:eastAsia="仿宋_GB2312"/>
                <w:szCs w:val="21"/>
              </w:rPr>
              <w:t>釜底残液</w:t>
            </w:r>
          </w:p>
        </w:tc>
        <w:tc>
          <w:tcPr>
            <w:tcW w:w="530" w:type="pct"/>
            <w:tcBorders>
              <w:tl2br w:val="nil"/>
              <w:tr2bl w:val="nil"/>
            </w:tcBorders>
            <w:vAlign w:val="center"/>
          </w:tcPr>
          <w:p w14:paraId="3BAE9561">
            <w:pPr>
              <w:snapToGrid w:val="0"/>
              <w:spacing w:line="284" w:lineRule="exact"/>
              <w:jc w:val="center"/>
              <w:rPr>
                <w:rFonts w:eastAsia="仿宋_GB2312"/>
                <w:szCs w:val="21"/>
              </w:rPr>
            </w:pPr>
            <w:r>
              <w:rPr>
                <w:rFonts w:hint="eastAsia" w:eastAsia="仿宋_GB2312"/>
                <w:szCs w:val="21"/>
              </w:rPr>
              <w:t>HW11</w:t>
            </w:r>
          </w:p>
        </w:tc>
        <w:tc>
          <w:tcPr>
            <w:tcW w:w="695" w:type="pct"/>
            <w:tcBorders>
              <w:tl2br w:val="nil"/>
              <w:tr2bl w:val="nil"/>
            </w:tcBorders>
            <w:vAlign w:val="center"/>
          </w:tcPr>
          <w:p w14:paraId="33A58EB8">
            <w:pPr>
              <w:snapToGrid w:val="0"/>
              <w:spacing w:line="284" w:lineRule="exact"/>
              <w:jc w:val="center"/>
              <w:rPr>
                <w:rFonts w:eastAsia="仿宋_GB2312"/>
                <w:szCs w:val="21"/>
              </w:rPr>
            </w:pPr>
            <w:r>
              <w:rPr>
                <w:rFonts w:eastAsia="仿宋_GB2312"/>
                <w:szCs w:val="21"/>
              </w:rPr>
              <w:t>900-013-11</w:t>
            </w:r>
          </w:p>
        </w:tc>
        <w:tc>
          <w:tcPr>
            <w:tcW w:w="944" w:type="pct"/>
            <w:tcBorders>
              <w:tl2br w:val="nil"/>
              <w:tr2bl w:val="nil"/>
            </w:tcBorders>
            <w:vAlign w:val="center"/>
          </w:tcPr>
          <w:p w14:paraId="7160F292">
            <w:pPr>
              <w:snapToGrid w:val="0"/>
              <w:spacing w:line="284" w:lineRule="exact"/>
              <w:jc w:val="center"/>
              <w:rPr>
                <w:rFonts w:eastAsia="仿宋_GB2312"/>
                <w:szCs w:val="21"/>
              </w:rPr>
            </w:pPr>
            <w:r>
              <w:rPr>
                <w:rFonts w:hint="eastAsia" w:eastAsia="仿宋_GB2312"/>
                <w:szCs w:val="21"/>
              </w:rPr>
              <w:t>2351</w:t>
            </w:r>
          </w:p>
        </w:tc>
        <w:tc>
          <w:tcPr>
            <w:tcW w:w="1196" w:type="pct"/>
            <w:vMerge w:val="continue"/>
            <w:tcBorders>
              <w:tl2br w:val="nil"/>
              <w:tr2bl w:val="nil"/>
            </w:tcBorders>
            <w:vAlign w:val="center"/>
          </w:tcPr>
          <w:p w14:paraId="2F46C10D">
            <w:pPr>
              <w:snapToGrid w:val="0"/>
              <w:spacing w:line="284" w:lineRule="exact"/>
              <w:jc w:val="center"/>
              <w:rPr>
                <w:rFonts w:eastAsia="仿宋_GB2312"/>
                <w:szCs w:val="21"/>
              </w:rPr>
            </w:pPr>
          </w:p>
        </w:tc>
      </w:tr>
      <w:tr w14:paraId="6FF156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63" w:type="pct"/>
            <w:vMerge w:val="continue"/>
            <w:tcBorders>
              <w:tl2br w:val="nil"/>
              <w:tr2bl w:val="nil"/>
            </w:tcBorders>
            <w:vAlign w:val="center"/>
          </w:tcPr>
          <w:p w14:paraId="7C53854A">
            <w:pPr>
              <w:snapToGrid w:val="0"/>
              <w:spacing w:line="284" w:lineRule="exact"/>
              <w:jc w:val="center"/>
              <w:rPr>
                <w:rFonts w:eastAsia="仿宋_GB2312"/>
                <w:szCs w:val="21"/>
              </w:rPr>
            </w:pPr>
          </w:p>
        </w:tc>
        <w:tc>
          <w:tcPr>
            <w:tcW w:w="969" w:type="pct"/>
            <w:tcBorders>
              <w:tl2br w:val="nil"/>
              <w:tr2bl w:val="nil"/>
            </w:tcBorders>
            <w:vAlign w:val="center"/>
          </w:tcPr>
          <w:p w14:paraId="2B2D7221">
            <w:pPr>
              <w:snapToGrid w:val="0"/>
              <w:spacing w:line="284" w:lineRule="exact"/>
              <w:jc w:val="center"/>
              <w:rPr>
                <w:rFonts w:eastAsia="仿宋_GB2312"/>
                <w:szCs w:val="21"/>
              </w:rPr>
            </w:pPr>
            <w:r>
              <w:rPr>
                <w:rFonts w:eastAsia="仿宋_GB2312"/>
                <w:szCs w:val="21"/>
              </w:rPr>
              <w:t>清洗残液</w:t>
            </w:r>
          </w:p>
        </w:tc>
        <w:tc>
          <w:tcPr>
            <w:tcW w:w="530" w:type="pct"/>
            <w:tcBorders>
              <w:tl2br w:val="nil"/>
              <w:tr2bl w:val="nil"/>
            </w:tcBorders>
            <w:vAlign w:val="center"/>
          </w:tcPr>
          <w:p w14:paraId="0980146A">
            <w:pPr>
              <w:snapToGrid w:val="0"/>
              <w:spacing w:line="284" w:lineRule="exact"/>
              <w:jc w:val="center"/>
              <w:rPr>
                <w:rFonts w:eastAsia="仿宋_GB2312"/>
                <w:szCs w:val="21"/>
              </w:rPr>
            </w:pPr>
            <w:r>
              <w:rPr>
                <w:rFonts w:hint="eastAsia" w:eastAsia="仿宋_GB2312"/>
                <w:szCs w:val="21"/>
              </w:rPr>
              <w:t>HW06</w:t>
            </w:r>
          </w:p>
        </w:tc>
        <w:tc>
          <w:tcPr>
            <w:tcW w:w="695" w:type="pct"/>
            <w:tcBorders>
              <w:tl2br w:val="nil"/>
              <w:tr2bl w:val="nil"/>
            </w:tcBorders>
            <w:vAlign w:val="center"/>
          </w:tcPr>
          <w:p w14:paraId="119BD15F">
            <w:pPr>
              <w:snapToGrid w:val="0"/>
              <w:spacing w:line="284" w:lineRule="exact"/>
              <w:jc w:val="center"/>
              <w:rPr>
                <w:rFonts w:eastAsia="仿宋_GB2312"/>
                <w:szCs w:val="21"/>
              </w:rPr>
            </w:pPr>
            <w:r>
              <w:rPr>
                <w:rFonts w:eastAsia="仿宋_GB2312"/>
                <w:szCs w:val="21"/>
              </w:rPr>
              <w:t>900-404-06</w:t>
            </w:r>
          </w:p>
        </w:tc>
        <w:tc>
          <w:tcPr>
            <w:tcW w:w="944" w:type="pct"/>
            <w:tcBorders>
              <w:tl2br w:val="nil"/>
              <w:tr2bl w:val="nil"/>
            </w:tcBorders>
            <w:vAlign w:val="center"/>
          </w:tcPr>
          <w:p w14:paraId="21BBD918">
            <w:pPr>
              <w:snapToGrid w:val="0"/>
              <w:spacing w:line="284" w:lineRule="exact"/>
              <w:jc w:val="center"/>
              <w:rPr>
                <w:rFonts w:eastAsia="仿宋_GB2312"/>
                <w:szCs w:val="21"/>
              </w:rPr>
            </w:pPr>
            <w:r>
              <w:rPr>
                <w:rFonts w:hint="eastAsia" w:eastAsia="仿宋_GB2312"/>
                <w:szCs w:val="21"/>
              </w:rPr>
              <w:t>55.7</w:t>
            </w:r>
          </w:p>
        </w:tc>
        <w:tc>
          <w:tcPr>
            <w:tcW w:w="1196" w:type="pct"/>
            <w:vMerge w:val="continue"/>
            <w:tcBorders>
              <w:tl2br w:val="nil"/>
              <w:tr2bl w:val="nil"/>
            </w:tcBorders>
            <w:vAlign w:val="center"/>
          </w:tcPr>
          <w:p w14:paraId="3E842E4F">
            <w:pPr>
              <w:snapToGrid w:val="0"/>
              <w:spacing w:line="284" w:lineRule="exact"/>
              <w:jc w:val="center"/>
              <w:rPr>
                <w:rFonts w:eastAsia="仿宋_GB2312"/>
                <w:szCs w:val="21"/>
              </w:rPr>
            </w:pPr>
          </w:p>
        </w:tc>
      </w:tr>
      <w:tr w14:paraId="7B08EB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63" w:type="pct"/>
            <w:vMerge w:val="continue"/>
            <w:tcBorders>
              <w:tl2br w:val="nil"/>
              <w:tr2bl w:val="nil"/>
            </w:tcBorders>
            <w:vAlign w:val="center"/>
          </w:tcPr>
          <w:p w14:paraId="1884EA00">
            <w:pPr>
              <w:snapToGrid w:val="0"/>
              <w:spacing w:line="284" w:lineRule="exact"/>
              <w:jc w:val="center"/>
              <w:rPr>
                <w:rFonts w:eastAsia="仿宋_GB2312"/>
                <w:szCs w:val="21"/>
              </w:rPr>
            </w:pPr>
          </w:p>
        </w:tc>
        <w:tc>
          <w:tcPr>
            <w:tcW w:w="969" w:type="pct"/>
            <w:tcBorders>
              <w:tl2br w:val="nil"/>
              <w:tr2bl w:val="nil"/>
            </w:tcBorders>
            <w:vAlign w:val="center"/>
          </w:tcPr>
          <w:p w14:paraId="3E11C510">
            <w:pPr>
              <w:snapToGrid w:val="0"/>
              <w:spacing w:line="284" w:lineRule="exact"/>
              <w:jc w:val="center"/>
              <w:rPr>
                <w:rFonts w:eastAsia="仿宋_GB2312"/>
                <w:szCs w:val="21"/>
              </w:rPr>
            </w:pPr>
            <w:r>
              <w:rPr>
                <w:rFonts w:eastAsia="仿宋_GB2312"/>
                <w:szCs w:val="21"/>
              </w:rPr>
              <w:t>前馏份</w:t>
            </w:r>
          </w:p>
        </w:tc>
        <w:tc>
          <w:tcPr>
            <w:tcW w:w="530" w:type="pct"/>
            <w:tcBorders>
              <w:tl2br w:val="nil"/>
              <w:tr2bl w:val="nil"/>
            </w:tcBorders>
            <w:vAlign w:val="center"/>
          </w:tcPr>
          <w:p w14:paraId="4AC1C018">
            <w:pPr>
              <w:snapToGrid w:val="0"/>
              <w:spacing w:line="284" w:lineRule="exact"/>
              <w:jc w:val="center"/>
              <w:rPr>
                <w:rFonts w:eastAsia="仿宋_GB2312"/>
                <w:szCs w:val="21"/>
              </w:rPr>
            </w:pPr>
            <w:r>
              <w:rPr>
                <w:rFonts w:hint="eastAsia" w:eastAsia="仿宋_GB2312"/>
                <w:szCs w:val="21"/>
              </w:rPr>
              <w:t>HW11</w:t>
            </w:r>
          </w:p>
        </w:tc>
        <w:tc>
          <w:tcPr>
            <w:tcW w:w="695" w:type="pct"/>
            <w:tcBorders>
              <w:tl2br w:val="nil"/>
              <w:tr2bl w:val="nil"/>
            </w:tcBorders>
            <w:vAlign w:val="center"/>
          </w:tcPr>
          <w:p w14:paraId="05F324ED">
            <w:pPr>
              <w:snapToGrid w:val="0"/>
              <w:spacing w:line="284" w:lineRule="exact"/>
              <w:jc w:val="center"/>
              <w:rPr>
                <w:rFonts w:eastAsia="仿宋_GB2312"/>
                <w:szCs w:val="21"/>
              </w:rPr>
            </w:pPr>
            <w:r>
              <w:rPr>
                <w:rFonts w:eastAsia="仿宋_GB2312"/>
                <w:szCs w:val="21"/>
              </w:rPr>
              <w:t>900-013-11</w:t>
            </w:r>
          </w:p>
        </w:tc>
        <w:tc>
          <w:tcPr>
            <w:tcW w:w="944" w:type="pct"/>
            <w:tcBorders>
              <w:tl2br w:val="nil"/>
              <w:tr2bl w:val="nil"/>
            </w:tcBorders>
            <w:vAlign w:val="center"/>
          </w:tcPr>
          <w:p w14:paraId="5BDC4128">
            <w:pPr>
              <w:snapToGrid w:val="0"/>
              <w:spacing w:line="284" w:lineRule="exact"/>
              <w:jc w:val="center"/>
              <w:rPr>
                <w:rFonts w:eastAsia="仿宋_GB2312"/>
                <w:szCs w:val="21"/>
              </w:rPr>
            </w:pPr>
            <w:r>
              <w:rPr>
                <w:rFonts w:hint="eastAsia" w:eastAsia="仿宋_GB2312"/>
                <w:szCs w:val="21"/>
              </w:rPr>
              <w:t>521.2</w:t>
            </w:r>
          </w:p>
        </w:tc>
        <w:tc>
          <w:tcPr>
            <w:tcW w:w="1196" w:type="pct"/>
            <w:vMerge w:val="continue"/>
            <w:tcBorders>
              <w:tl2br w:val="nil"/>
              <w:tr2bl w:val="nil"/>
            </w:tcBorders>
            <w:vAlign w:val="center"/>
          </w:tcPr>
          <w:p w14:paraId="2BBC8A0D">
            <w:pPr>
              <w:snapToGrid w:val="0"/>
              <w:spacing w:line="284" w:lineRule="exact"/>
              <w:jc w:val="center"/>
              <w:rPr>
                <w:rFonts w:eastAsia="仿宋_GB2312"/>
                <w:szCs w:val="21"/>
              </w:rPr>
            </w:pPr>
          </w:p>
        </w:tc>
      </w:tr>
      <w:tr w14:paraId="4E2DC0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63" w:type="pct"/>
            <w:vMerge w:val="continue"/>
            <w:tcBorders>
              <w:tl2br w:val="nil"/>
              <w:tr2bl w:val="nil"/>
            </w:tcBorders>
            <w:vAlign w:val="center"/>
          </w:tcPr>
          <w:p w14:paraId="203F014A">
            <w:pPr>
              <w:snapToGrid w:val="0"/>
              <w:spacing w:line="284" w:lineRule="exact"/>
              <w:jc w:val="center"/>
              <w:rPr>
                <w:rFonts w:eastAsia="仿宋_GB2312"/>
                <w:szCs w:val="21"/>
              </w:rPr>
            </w:pPr>
          </w:p>
        </w:tc>
        <w:tc>
          <w:tcPr>
            <w:tcW w:w="969" w:type="pct"/>
            <w:tcBorders>
              <w:tl2br w:val="nil"/>
              <w:tr2bl w:val="nil"/>
            </w:tcBorders>
            <w:vAlign w:val="center"/>
          </w:tcPr>
          <w:p w14:paraId="2C21367F">
            <w:pPr>
              <w:snapToGrid w:val="0"/>
              <w:spacing w:line="284" w:lineRule="exact"/>
              <w:jc w:val="center"/>
              <w:rPr>
                <w:rFonts w:eastAsia="仿宋_GB2312"/>
                <w:szCs w:val="21"/>
              </w:rPr>
            </w:pPr>
            <w:r>
              <w:rPr>
                <w:rFonts w:eastAsia="仿宋_GB2312"/>
                <w:szCs w:val="21"/>
              </w:rPr>
              <w:t>废活性炭</w:t>
            </w:r>
          </w:p>
        </w:tc>
        <w:tc>
          <w:tcPr>
            <w:tcW w:w="530" w:type="pct"/>
            <w:tcBorders>
              <w:tl2br w:val="nil"/>
              <w:tr2bl w:val="nil"/>
            </w:tcBorders>
            <w:vAlign w:val="center"/>
          </w:tcPr>
          <w:p w14:paraId="11346BF9">
            <w:pPr>
              <w:snapToGrid w:val="0"/>
              <w:spacing w:line="284" w:lineRule="exact"/>
              <w:jc w:val="center"/>
              <w:rPr>
                <w:rFonts w:eastAsia="仿宋_GB2312"/>
                <w:szCs w:val="21"/>
              </w:rPr>
            </w:pPr>
            <w:r>
              <w:rPr>
                <w:rFonts w:hint="eastAsia" w:eastAsia="仿宋_GB2312"/>
                <w:szCs w:val="21"/>
              </w:rPr>
              <w:t>HW49</w:t>
            </w:r>
          </w:p>
        </w:tc>
        <w:tc>
          <w:tcPr>
            <w:tcW w:w="695" w:type="pct"/>
            <w:tcBorders>
              <w:tl2br w:val="nil"/>
              <w:tr2bl w:val="nil"/>
            </w:tcBorders>
            <w:vAlign w:val="center"/>
          </w:tcPr>
          <w:p w14:paraId="231EEE06">
            <w:pPr>
              <w:snapToGrid w:val="0"/>
              <w:spacing w:line="284" w:lineRule="exact"/>
              <w:jc w:val="center"/>
              <w:rPr>
                <w:rFonts w:eastAsia="仿宋_GB2312"/>
                <w:szCs w:val="21"/>
              </w:rPr>
            </w:pPr>
            <w:r>
              <w:rPr>
                <w:rFonts w:eastAsia="仿宋_GB2312"/>
                <w:szCs w:val="21"/>
              </w:rPr>
              <w:t>900-039-49</w:t>
            </w:r>
          </w:p>
        </w:tc>
        <w:tc>
          <w:tcPr>
            <w:tcW w:w="944" w:type="pct"/>
            <w:tcBorders>
              <w:tl2br w:val="nil"/>
              <w:tr2bl w:val="nil"/>
            </w:tcBorders>
            <w:vAlign w:val="center"/>
          </w:tcPr>
          <w:p w14:paraId="749E295A">
            <w:pPr>
              <w:snapToGrid w:val="0"/>
              <w:spacing w:line="284" w:lineRule="exact"/>
              <w:jc w:val="center"/>
              <w:rPr>
                <w:rFonts w:eastAsia="仿宋_GB2312"/>
                <w:szCs w:val="21"/>
              </w:rPr>
            </w:pPr>
            <w:r>
              <w:rPr>
                <w:rFonts w:hint="eastAsia" w:eastAsia="仿宋_GB2312"/>
                <w:szCs w:val="21"/>
              </w:rPr>
              <w:t>0.5</w:t>
            </w:r>
          </w:p>
        </w:tc>
        <w:tc>
          <w:tcPr>
            <w:tcW w:w="1196" w:type="pct"/>
            <w:tcBorders>
              <w:tl2br w:val="nil"/>
              <w:tr2bl w:val="nil"/>
            </w:tcBorders>
            <w:vAlign w:val="center"/>
          </w:tcPr>
          <w:p w14:paraId="72A56557">
            <w:pPr>
              <w:snapToGrid w:val="0"/>
              <w:spacing w:line="284" w:lineRule="exact"/>
              <w:jc w:val="center"/>
              <w:rPr>
                <w:rFonts w:eastAsia="仿宋_GB2312"/>
                <w:szCs w:val="21"/>
              </w:rPr>
            </w:pPr>
            <w:r>
              <w:rPr>
                <w:rFonts w:eastAsia="仿宋_GB2312"/>
                <w:szCs w:val="21"/>
              </w:rPr>
              <w:t>委托有资质单位处置</w:t>
            </w:r>
          </w:p>
        </w:tc>
      </w:tr>
      <w:tr w14:paraId="1C75FD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63" w:type="pct"/>
            <w:vMerge w:val="continue"/>
            <w:tcBorders>
              <w:tl2br w:val="nil"/>
              <w:tr2bl w:val="nil"/>
            </w:tcBorders>
            <w:vAlign w:val="center"/>
          </w:tcPr>
          <w:p w14:paraId="4C391F60">
            <w:pPr>
              <w:snapToGrid w:val="0"/>
              <w:spacing w:line="284" w:lineRule="exact"/>
              <w:jc w:val="center"/>
              <w:rPr>
                <w:rFonts w:eastAsia="仿宋_GB2312"/>
                <w:szCs w:val="21"/>
              </w:rPr>
            </w:pPr>
          </w:p>
        </w:tc>
        <w:tc>
          <w:tcPr>
            <w:tcW w:w="969" w:type="pct"/>
            <w:tcBorders>
              <w:tl2br w:val="nil"/>
              <w:tr2bl w:val="nil"/>
            </w:tcBorders>
            <w:vAlign w:val="center"/>
          </w:tcPr>
          <w:p w14:paraId="4675882E">
            <w:pPr>
              <w:snapToGrid w:val="0"/>
              <w:spacing w:line="284" w:lineRule="exact"/>
              <w:jc w:val="center"/>
              <w:rPr>
                <w:rFonts w:eastAsia="仿宋_GB2312"/>
                <w:szCs w:val="21"/>
              </w:rPr>
            </w:pPr>
            <w:r>
              <w:rPr>
                <w:rFonts w:eastAsia="仿宋_GB2312"/>
                <w:szCs w:val="21"/>
              </w:rPr>
              <w:t>废包装桶</w:t>
            </w:r>
          </w:p>
        </w:tc>
        <w:tc>
          <w:tcPr>
            <w:tcW w:w="530" w:type="pct"/>
            <w:tcBorders>
              <w:tl2br w:val="nil"/>
              <w:tr2bl w:val="nil"/>
            </w:tcBorders>
            <w:vAlign w:val="center"/>
          </w:tcPr>
          <w:p w14:paraId="25F6328A">
            <w:pPr>
              <w:snapToGrid w:val="0"/>
              <w:spacing w:line="284" w:lineRule="exact"/>
              <w:jc w:val="center"/>
              <w:rPr>
                <w:rFonts w:eastAsia="仿宋_GB2312"/>
                <w:szCs w:val="21"/>
              </w:rPr>
            </w:pPr>
            <w:r>
              <w:rPr>
                <w:rFonts w:hint="eastAsia" w:eastAsia="仿宋_GB2312"/>
                <w:szCs w:val="21"/>
              </w:rPr>
              <w:t>HW49</w:t>
            </w:r>
          </w:p>
        </w:tc>
        <w:tc>
          <w:tcPr>
            <w:tcW w:w="695" w:type="pct"/>
            <w:tcBorders>
              <w:tl2br w:val="nil"/>
              <w:tr2bl w:val="nil"/>
            </w:tcBorders>
            <w:vAlign w:val="center"/>
          </w:tcPr>
          <w:p w14:paraId="70FDAC33">
            <w:pPr>
              <w:snapToGrid w:val="0"/>
              <w:spacing w:line="284" w:lineRule="exact"/>
              <w:jc w:val="center"/>
              <w:rPr>
                <w:rFonts w:eastAsia="仿宋_GB2312"/>
                <w:szCs w:val="21"/>
              </w:rPr>
            </w:pPr>
            <w:r>
              <w:rPr>
                <w:rFonts w:eastAsia="仿宋_GB2312"/>
                <w:szCs w:val="21"/>
              </w:rPr>
              <w:t>900-041-49</w:t>
            </w:r>
          </w:p>
        </w:tc>
        <w:tc>
          <w:tcPr>
            <w:tcW w:w="944" w:type="pct"/>
            <w:tcBorders>
              <w:tl2br w:val="nil"/>
              <w:tr2bl w:val="nil"/>
            </w:tcBorders>
            <w:vAlign w:val="center"/>
          </w:tcPr>
          <w:p w14:paraId="4EC41916">
            <w:pPr>
              <w:snapToGrid w:val="0"/>
              <w:spacing w:line="284" w:lineRule="exact"/>
              <w:jc w:val="center"/>
              <w:rPr>
                <w:rFonts w:eastAsia="仿宋_GB2312"/>
                <w:szCs w:val="21"/>
              </w:rPr>
            </w:pPr>
            <w:r>
              <w:rPr>
                <w:rFonts w:hint="eastAsia" w:eastAsia="仿宋_GB2312"/>
                <w:szCs w:val="21"/>
              </w:rPr>
              <w:t>127.2</w:t>
            </w:r>
          </w:p>
        </w:tc>
        <w:tc>
          <w:tcPr>
            <w:tcW w:w="1196" w:type="pct"/>
            <w:vMerge w:val="restart"/>
            <w:tcBorders>
              <w:tl2br w:val="nil"/>
              <w:tr2bl w:val="nil"/>
            </w:tcBorders>
            <w:vAlign w:val="center"/>
          </w:tcPr>
          <w:p w14:paraId="540344DF">
            <w:pPr>
              <w:snapToGrid w:val="0"/>
              <w:spacing w:line="284" w:lineRule="exact"/>
              <w:jc w:val="center"/>
              <w:rPr>
                <w:rFonts w:eastAsia="仿宋_GB2312"/>
                <w:szCs w:val="21"/>
              </w:rPr>
            </w:pPr>
            <w:r>
              <w:rPr>
                <w:rFonts w:hint="eastAsia" w:eastAsia="仿宋_GB2312"/>
                <w:szCs w:val="21"/>
              </w:rPr>
              <w:t>自行焚烧处置</w:t>
            </w:r>
          </w:p>
        </w:tc>
      </w:tr>
      <w:tr w14:paraId="0AA853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63" w:type="pct"/>
            <w:vMerge w:val="restart"/>
            <w:tcBorders>
              <w:tl2br w:val="nil"/>
              <w:tr2bl w:val="nil"/>
            </w:tcBorders>
            <w:vAlign w:val="center"/>
          </w:tcPr>
          <w:p w14:paraId="75936C75">
            <w:pPr>
              <w:snapToGrid w:val="0"/>
              <w:spacing w:line="284" w:lineRule="exact"/>
              <w:jc w:val="center"/>
              <w:rPr>
                <w:rFonts w:eastAsia="仿宋_GB2312"/>
                <w:szCs w:val="21"/>
              </w:rPr>
            </w:pPr>
            <w:r>
              <w:rPr>
                <w:rFonts w:hint="eastAsia" w:eastAsia="仿宋_GB2312"/>
                <w:szCs w:val="21"/>
              </w:rPr>
              <w:t>溶剂回收技改项目（丙二醇、甲苯等17个产品）</w:t>
            </w:r>
          </w:p>
        </w:tc>
        <w:tc>
          <w:tcPr>
            <w:tcW w:w="969" w:type="pct"/>
            <w:tcBorders>
              <w:tl2br w:val="nil"/>
              <w:tr2bl w:val="nil"/>
            </w:tcBorders>
            <w:vAlign w:val="center"/>
          </w:tcPr>
          <w:p w14:paraId="33B4C4EF">
            <w:pPr>
              <w:snapToGrid w:val="0"/>
              <w:spacing w:line="284" w:lineRule="exact"/>
              <w:jc w:val="center"/>
              <w:rPr>
                <w:rFonts w:eastAsia="仿宋_GB2312"/>
                <w:szCs w:val="21"/>
              </w:rPr>
            </w:pPr>
            <w:r>
              <w:rPr>
                <w:rFonts w:hint="eastAsia" w:eastAsia="仿宋_GB2312"/>
                <w:szCs w:val="21"/>
              </w:rPr>
              <w:t>过滤废渣</w:t>
            </w:r>
          </w:p>
        </w:tc>
        <w:tc>
          <w:tcPr>
            <w:tcW w:w="530" w:type="pct"/>
            <w:tcBorders>
              <w:tl2br w:val="nil"/>
              <w:tr2bl w:val="nil"/>
            </w:tcBorders>
            <w:vAlign w:val="center"/>
          </w:tcPr>
          <w:p w14:paraId="38F3C530">
            <w:pPr>
              <w:snapToGrid w:val="0"/>
              <w:spacing w:line="284" w:lineRule="exact"/>
              <w:jc w:val="center"/>
              <w:rPr>
                <w:rFonts w:eastAsia="仿宋_GB2312"/>
                <w:szCs w:val="21"/>
              </w:rPr>
            </w:pPr>
            <w:r>
              <w:rPr>
                <w:rFonts w:hint="eastAsia" w:eastAsia="仿宋_GB2312"/>
                <w:szCs w:val="21"/>
              </w:rPr>
              <w:t>HW06</w:t>
            </w:r>
          </w:p>
        </w:tc>
        <w:tc>
          <w:tcPr>
            <w:tcW w:w="695" w:type="pct"/>
            <w:tcBorders>
              <w:tl2br w:val="nil"/>
              <w:tr2bl w:val="nil"/>
            </w:tcBorders>
            <w:vAlign w:val="center"/>
          </w:tcPr>
          <w:p w14:paraId="7AE09D66">
            <w:pPr>
              <w:snapToGrid w:val="0"/>
              <w:spacing w:line="284" w:lineRule="exact"/>
              <w:jc w:val="center"/>
              <w:rPr>
                <w:rFonts w:eastAsia="仿宋_GB2312"/>
                <w:szCs w:val="21"/>
              </w:rPr>
            </w:pPr>
            <w:r>
              <w:rPr>
                <w:rFonts w:hint="eastAsia" w:eastAsia="仿宋_GB2312"/>
                <w:szCs w:val="21"/>
              </w:rPr>
              <w:t>900-406-06</w:t>
            </w:r>
          </w:p>
        </w:tc>
        <w:tc>
          <w:tcPr>
            <w:tcW w:w="944" w:type="pct"/>
            <w:tcBorders>
              <w:tl2br w:val="nil"/>
              <w:tr2bl w:val="nil"/>
            </w:tcBorders>
            <w:vAlign w:val="center"/>
          </w:tcPr>
          <w:p w14:paraId="16033F87">
            <w:pPr>
              <w:snapToGrid w:val="0"/>
              <w:spacing w:line="284" w:lineRule="exact"/>
              <w:jc w:val="center"/>
              <w:rPr>
                <w:rFonts w:eastAsia="仿宋_GB2312"/>
                <w:szCs w:val="21"/>
              </w:rPr>
            </w:pPr>
            <w:r>
              <w:rPr>
                <w:rFonts w:hint="eastAsia" w:eastAsia="仿宋_GB2312"/>
                <w:szCs w:val="21"/>
              </w:rPr>
              <w:t>60.2</w:t>
            </w:r>
          </w:p>
        </w:tc>
        <w:tc>
          <w:tcPr>
            <w:tcW w:w="1196" w:type="pct"/>
            <w:vMerge w:val="continue"/>
            <w:tcBorders>
              <w:tl2br w:val="nil"/>
              <w:tr2bl w:val="nil"/>
            </w:tcBorders>
            <w:vAlign w:val="center"/>
          </w:tcPr>
          <w:p w14:paraId="15A8E00F">
            <w:pPr>
              <w:snapToGrid w:val="0"/>
              <w:spacing w:line="284" w:lineRule="exact"/>
              <w:jc w:val="center"/>
              <w:rPr>
                <w:rFonts w:eastAsia="仿宋_GB2312"/>
                <w:szCs w:val="21"/>
              </w:rPr>
            </w:pPr>
          </w:p>
        </w:tc>
      </w:tr>
      <w:tr w14:paraId="73E674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63" w:type="pct"/>
            <w:vMerge w:val="continue"/>
            <w:tcBorders>
              <w:tl2br w:val="nil"/>
              <w:tr2bl w:val="nil"/>
            </w:tcBorders>
            <w:vAlign w:val="center"/>
          </w:tcPr>
          <w:p w14:paraId="76A77E16">
            <w:pPr>
              <w:snapToGrid w:val="0"/>
              <w:spacing w:line="284" w:lineRule="exact"/>
              <w:jc w:val="center"/>
              <w:rPr>
                <w:rFonts w:eastAsia="仿宋_GB2312"/>
                <w:szCs w:val="21"/>
              </w:rPr>
            </w:pPr>
          </w:p>
        </w:tc>
        <w:tc>
          <w:tcPr>
            <w:tcW w:w="969" w:type="pct"/>
            <w:tcBorders>
              <w:tl2br w:val="nil"/>
              <w:tr2bl w:val="nil"/>
            </w:tcBorders>
            <w:vAlign w:val="center"/>
          </w:tcPr>
          <w:p w14:paraId="129D028A">
            <w:pPr>
              <w:snapToGrid w:val="0"/>
              <w:spacing w:line="284" w:lineRule="exact"/>
              <w:jc w:val="center"/>
              <w:rPr>
                <w:rFonts w:eastAsia="仿宋_GB2312"/>
                <w:szCs w:val="21"/>
              </w:rPr>
            </w:pPr>
            <w:r>
              <w:rPr>
                <w:rFonts w:hint="eastAsia" w:eastAsia="仿宋_GB2312"/>
                <w:szCs w:val="21"/>
              </w:rPr>
              <w:t>前馏份</w:t>
            </w:r>
          </w:p>
        </w:tc>
        <w:tc>
          <w:tcPr>
            <w:tcW w:w="530" w:type="pct"/>
            <w:tcBorders>
              <w:tl2br w:val="nil"/>
              <w:tr2bl w:val="nil"/>
            </w:tcBorders>
            <w:vAlign w:val="center"/>
          </w:tcPr>
          <w:p w14:paraId="2C771504">
            <w:pPr>
              <w:snapToGrid w:val="0"/>
              <w:spacing w:line="284" w:lineRule="exact"/>
              <w:jc w:val="center"/>
              <w:rPr>
                <w:rFonts w:eastAsia="仿宋_GB2312"/>
                <w:szCs w:val="21"/>
              </w:rPr>
            </w:pPr>
            <w:r>
              <w:rPr>
                <w:rFonts w:hint="eastAsia" w:eastAsia="仿宋_GB2312"/>
                <w:szCs w:val="21"/>
              </w:rPr>
              <w:t>HW06</w:t>
            </w:r>
          </w:p>
        </w:tc>
        <w:tc>
          <w:tcPr>
            <w:tcW w:w="695" w:type="pct"/>
            <w:tcBorders>
              <w:tl2br w:val="nil"/>
              <w:tr2bl w:val="nil"/>
            </w:tcBorders>
            <w:vAlign w:val="center"/>
          </w:tcPr>
          <w:p w14:paraId="6F6E0CB9">
            <w:pPr>
              <w:snapToGrid w:val="0"/>
              <w:spacing w:line="284" w:lineRule="exact"/>
              <w:jc w:val="center"/>
              <w:rPr>
                <w:rFonts w:eastAsia="仿宋_GB2312"/>
                <w:szCs w:val="21"/>
              </w:rPr>
            </w:pPr>
            <w:r>
              <w:rPr>
                <w:rFonts w:hint="eastAsia" w:eastAsia="仿宋_GB2312"/>
                <w:szCs w:val="21"/>
              </w:rPr>
              <w:t>261-005-06</w:t>
            </w:r>
          </w:p>
        </w:tc>
        <w:tc>
          <w:tcPr>
            <w:tcW w:w="944" w:type="pct"/>
            <w:tcBorders>
              <w:tl2br w:val="nil"/>
              <w:tr2bl w:val="nil"/>
            </w:tcBorders>
            <w:vAlign w:val="center"/>
          </w:tcPr>
          <w:p w14:paraId="6BEAFFFA">
            <w:pPr>
              <w:snapToGrid w:val="0"/>
              <w:spacing w:line="284" w:lineRule="exact"/>
              <w:jc w:val="center"/>
              <w:rPr>
                <w:rFonts w:eastAsia="仿宋_GB2312"/>
                <w:szCs w:val="21"/>
              </w:rPr>
            </w:pPr>
            <w:r>
              <w:rPr>
                <w:rFonts w:hint="eastAsia" w:eastAsia="仿宋_GB2312"/>
                <w:szCs w:val="21"/>
              </w:rPr>
              <w:t>139.3</w:t>
            </w:r>
          </w:p>
        </w:tc>
        <w:tc>
          <w:tcPr>
            <w:tcW w:w="1196" w:type="pct"/>
            <w:vMerge w:val="continue"/>
            <w:tcBorders>
              <w:tl2br w:val="nil"/>
              <w:tr2bl w:val="nil"/>
            </w:tcBorders>
            <w:vAlign w:val="center"/>
          </w:tcPr>
          <w:p w14:paraId="316B13E1">
            <w:pPr>
              <w:snapToGrid w:val="0"/>
              <w:spacing w:line="284" w:lineRule="exact"/>
              <w:jc w:val="center"/>
              <w:rPr>
                <w:rFonts w:eastAsia="仿宋_GB2312"/>
                <w:szCs w:val="21"/>
              </w:rPr>
            </w:pPr>
          </w:p>
        </w:tc>
      </w:tr>
      <w:tr w14:paraId="2A601B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63" w:type="pct"/>
            <w:vMerge w:val="continue"/>
            <w:tcBorders>
              <w:tl2br w:val="nil"/>
              <w:tr2bl w:val="nil"/>
            </w:tcBorders>
            <w:vAlign w:val="center"/>
          </w:tcPr>
          <w:p w14:paraId="6B115E6B">
            <w:pPr>
              <w:snapToGrid w:val="0"/>
              <w:spacing w:line="284" w:lineRule="exact"/>
              <w:jc w:val="center"/>
              <w:rPr>
                <w:rFonts w:eastAsia="仿宋_GB2312"/>
                <w:szCs w:val="21"/>
              </w:rPr>
            </w:pPr>
          </w:p>
        </w:tc>
        <w:tc>
          <w:tcPr>
            <w:tcW w:w="969" w:type="pct"/>
            <w:tcBorders>
              <w:tl2br w:val="nil"/>
              <w:tr2bl w:val="nil"/>
            </w:tcBorders>
            <w:vAlign w:val="center"/>
          </w:tcPr>
          <w:p w14:paraId="146026FC">
            <w:pPr>
              <w:snapToGrid w:val="0"/>
              <w:spacing w:line="284" w:lineRule="exact"/>
              <w:jc w:val="center"/>
              <w:rPr>
                <w:rFonts w:eastAsia="仿宋_GB2312"/>
                <w:szCs w:val="21"/>
              </w:rPr>
            </w:pPr>
            <w:r>
              <w:rPr>
                <w:rFonts w:hint="eastAsia" w:eastAsia="仿宋_GB2312"/>
                <w:szCs w:val="21"/>
              </w:rPr>
              <w:t>釜底残液</w:t>
            </w:r>
          </w:p>
        </w:tc>
        <w:tc>
          <w:tcPr>
            <w:tcW w:w="530" w:type="pct"/>
            <w:tcBorders>
              <w:tl2br w:val="nil"/>
              <w:tr2bl w:val="nil"/>
            </w:tcBorders>
            <w:vAlign w:val="center"/>
          </w:tcPr>
          <w:p w14:paraId="47C44B9E">
            <w:pPr>
              <w:snapToGrid w:val="0"/>
              <w:spacing w:line="284" w:lineRule="exact"/>
              <w:jc w:val="center"/>
              <w:rPr>
                <w:rFonts w:eastAsia="仿宋_GB2312"/>
                <w:szCs w:val="21"/>
              </w:rPr>
            </w:pPr>
            <w:r>
              <w:rPr>
                <w:rFonts w:hint="eastAsia" w:eastAsia="仿宋_GB2312"/>
                <w:szCs w:val="21"/>
              </w:rPr>
              <w:t>HW06</w:t>
            </w:r>
          </w:p>
        </w:tc>
        <w:tc>
          <w:tcPr>
            <w:tcW w:w="695" w:type="pct"/>
            <w:tcBorders>
              <w:tl2br w:val="nil"/>
              <w:tr2bl w:val="nil"/>
            </w:tcBorders>
            <w:vAlign w:val="center"/>
          </w:tcPr>
          <w:p w14:paraId="5095BD78">
            <w:pPr>
              <w:snapToGrid w:val="0"/>
              <w:spacing w:line="284" w:lineRule="exact"/>
              <w:jc w:val="center"/>
              <w:rPr>
                <w:rFonts w:eastAsia="仿宋_GB2312"/>
                <w:szCs w:val="21"/>
              </w:rPr>
            </w:pPr>
            <w:r>
              <w:rPr>
                <w:rFonts w:hint="eastAsia" w:eastAsia="仿宋_GB2312"/>
                <w:szCs w:val="21"/>
              </w:rPr>
              <w:t>261-005-06</w:t>
            </w:r>
          </w:p>
        </w:tc>
        <w:tc>
          <w:tcPr>
            <w:tcW w:w="944" w:type="pct"/>
            <w:tcBorders>
              <w:tl2br w:val="nil"/>
              <w:tr2bl w:val="nil"/>
            </w:tcBorders>
            <w:vAlign w:val="center"/>
          </w:tcPr>
          <w:p w14:paraId="1B9292F7">
            <w:pPr>
              <w:snapToGrid w:val="0"/>
              <w:spacing w:line="284" w:lineRule="exact"/>
              <w:jc w:val="center"/>
              <w:rPr>
                <w:rFonts w:eastAsia="仿宋_GB2312"/>
                <w:szCs w:val="21"/>
              </w:rPr>
            </w:pPr>
            <w:r>
              <w:rPr>
                <w:rFonts w:hint="eastAsia" w:eastAsia="仿宋_GB2312"/>
                <w:szCs w:val="21"/>
              </w:rPr>
              <w:t>790.9</w:t>
            </w:r>
          </w:p>
        </w:tc>
        <w:tc>
          <w:tcPr>
            <w:tcW w:w="1196" w:type="pct"/>
            <w:vMerge w:val="continue"/>
            <w:tcBorders>
              <w:tl2br w:val="nil"/>
              <w:tr2bl w:val="nil"/>
            </w:tcBorders>
            <w:vAlign w:val="center"/>
          </w:tcPr>
          <w:p w14:paraId="611CD68F">
            <w:pPr>
              <w:snapToGrid w:val="0"/>
              <w:spacing w:line="284" w:lineRule="exact"/>
              <w:jc w:val="center"/>
              <w:rPr>
                <w:rFonts w:eastAsia="仿宋_GB2312"/>
                <w:szCs w:val="21"/>
              </w:rPr>
            </w:pPr>
          </w:p>
        </w:tc>
      </w:tr>
      <w:tr w14:paraId="79FDD3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63" w:type="pct"/>
            <w:vMerge w:val="continue"/>
            <w:tcBorders>
              <w:tl2br w:val="nil"/>
              <w:tr2bl w:val="nil"/>
            </w:tcBorders>
            <w:vAlign w:val="center"/>
          </w:tcPr>
          <w:p w14:paraId="43FB4354">
            <w:pPr>
              <w:snapToGrid w:val="0"/>
              <w:spacing w:line="284" w:lineRule="exact"/>
              <w:jc w:val="center"/>
              <w:rPr>
                <w:rFonts w:eastAsia="仿宋_GB2312"/>
                <w:szCs w:val="21"/>
              </w:rPr>
            </w:pPr>
          </w:p>
        </w:tc>
        <w:tc>
          <w:tcPr>
            <w:tcW w:w="969" w:type="pct"/>
            <w:tcBorders>
              <w:tl2br w:val="nil"/>
              <w:tr2bl w:val="nil"/>
            </w:tcBorders>
            <w:vAlign w:val="center"/>
          </w:tcPr>
          <w:p w14:paraId="1952B36D">
            <w:pPr>
              <w:snapToGrid w:val="0"/>
              <w:spacing w:line="284" w:lineRule="exact"/>
              <w:jc w:val="center"/>
              <w:rPr>
                <w:rFonts w:eastAsia="仿宋_GB2312"/>
                <w:szCs w:val="21"/>
              </w:rPr>
            </w:pPr>
            <w:r>
              <w:rPr>
                <w:rFonts w:hint="eastAsia" w:eastAsia="仿宋_GB2312"/>
                <w:szCs w:val="21"/>
              </w:rPr>
              <w:t>清洗残液</w:t>
            </w:r>
          </w:p>
        </w:tc>
        <w:tc>
          <w:tcPr>
            <w:tcW w:w="530" w:type="pct"/>
            <w:tcBorders>
              <w:tl2br w:val="nil"/>
              <w:tr2bl w:val="nil"/>
            </w:tcBorders>
            <w:vAlign w:val="center"/>
          </w:tcPr>
          <w:p w14:paraId="14BA2222">
            <w:pPr>
              <w:snapToGrid w:val="0"/>
              <w:spacing w:line="284" w:lineRule="exact"/>
              <w:jc w:val="center"/>
              <w:rPr>
                <w:rFonts w:eastAsia="仿宋_GB2312"/>
                <w:szCs w:val="21"/>
              </w:rPr>
            </w:pPr>
            <w:r>
              <w:rPr>
                <w:rFonts w:hint="eastAsia" w:eastAsia="仿宋_GB2312"/>
                <w:szCs w:val="21"/>
              </w:rPr>
              <w:t>HW06</w:t>
            </w:r>
          </w:p>
        </w:tc>
        <w:tc>
          <w:tcPr>
            <w:tcW w:w="695" w:type="pct"/>
            <w:tcBorders>
              <w:tl2br w:val="nil"/>
              <w:tr2bl w:val="nil"/>
            </w:tcBorders>
            <w:vAlign w:val="center"/>
          </w:tcPr>
          <w:p w14:paraId="43BC3B68">
            <w:pPr>
              <w:snapToGrid w:val="0"/>
              <w:spacing w:line="284" w:lineRule="exact"/>
              <w:jc w:val="center"/>
              <w:rPr>
                <w:rFonts w:eastAsia="仿宋_GB2312"/>
                <w:szCs w:val="21"/>
              </w:rPr>
            </w:pPr>
            <w:r>
              <w:rPr>
                <w:rFonts w:hint="eastAsia" w:eastAsia="仿宋_GB2312"/>
                <w:szCs w:val="21"/>
              </w:rPr>
              <w:t>261-006-06</w:t>
            </w:r>
          </w:p>
        </w:tc>
        <w:tc>
          <w:tcPr>
            <w:tcW w:w="944" w:type="pct"/>
            <w:tcBorders>
              <w:tl2br w:val="nil"/>
              <w:tr2bl w:val="nil"/>
            </w:tcBorders>
            <w:vAlign w:val="center"/>
          </w:tcPr>
          <w:p w14:paraId="273FE272">
            <w:pPr>
              <w:snapToGrid w:val="0"/>
              <w:spacing w:line="284" w:lineRule="exact"/>
              <w:jc w:val="center"/>
              <w:rPr>
                <w:rFonts w:eastAsia="仿宋_GB2312"/>
                <w:szCs w:val="21"/>
              </w:rPr>
            </w:pPr>
            <w:r>
              <w:rPr>
                <w:rFonts w:hint="eastAsia" w:eastAsia="仿宋_GB2312"/>
                <w:szCs w:val="21"/>
              </w:rPr>
              <w:t>15.5</w:t>
            </w:r>
          </w:p>
        </w:tc>
        <w:tc>
          <w:tcPr>
            <w:tcW w:w="1196" w:type="pct"/>
            <w:vMerge w:val="continue"/>
            <w:tcBorders>
              <w:tl2br w:val="nil"/>
              <w:tr2bl w:val="nil"/>
            </w:tcBorders>
            <w:vAlign w:val="center"/>
          </w:tcPr>
          <w:p w14:paraId="58DEE4D6">
            <w:pPr>
              <w:snapToGrid w:val="0"/>
              <w:spacing w:line="284" w:lineRule="exact"/>
              <w:jc w:val="center"/>
              <w:rPr>
                <w:rFonts w:eastAsia="仿宋_GB2312"/>
                <w:szCs w:val="21"/>
              </w:rPr>
            </w:pPr>
          </w:p>
        </w:tc>
      </w:tr>
      <w:tr w14:paraId="20C16F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63" w:type="pct"/>
            <w:vMerge w:val="continue"/>
            <w:tcBorders>
              <w:tl2br w:val="nil"/>
              <w:tr2bl w:val="nil"/>
            </w:tcBorders>
            <w:vAlign w:val="center"/>
          </w:tcPr>
          <w:p w14:paraId="1999C70D">
            <w:pPr>
              <w:snapToGrid w:val="0"/>
              <w:spacing w:line="284" w:lineRule="exact"/>
              <w:jc w:val="center"/>
              <w:rPr>
                <w:rFonts w:eastAsia="仿宋_GB2312"/>
                <w:szCs w:val="21"/>
              </w:rPr>
            </w:pPr>
          </w:p>
        </w:tc>
        <w:tc>
          <w:tcPr>
            <w:tcW w:w="969" w:type="pct"/>
            <w:tcBorders>
              <w:tl2br w:val="nil"/>
              <w:tr2bl w:val="nil"/>
            </w:tcBorders>
            <w:vAlign w:val="center"/>
          </w:tcPr>
          <w:p w14:paraId="3B75EF67">
            <w:pPr>
              <w:snapToGrid w:val="0"/>
              <w:spacing w:line="284" w:lineRule="exact"/>
              <w:jc w:val="center"/>
              <w:rPr>
                <w:rFonts w:eastAsia="仿宋_GB2312"/>
                <w:szCs w:val="21"/>
              </w:rPr>
            </w:pPr>
            <w:r>
              <w:rPr>
                <w:rFonts w:hint="eastAsia" w:eastAsia="仿宋_GB2312"/>
                <w:szCs w:val="21"/>
              </w:rPr>
              <w:t>废活性炭</w:t>
            </w:r>
          </w:p>
        </w:tc>
        <w:tc>
          <w:tcPr>
            <w:tcW w:w="530" w:type="pct"/>
            <w:tcBorders>
              <w:tl2br w:val="nil"/>
              <w:tr2bl w:val="nil"/>
            </w:tcBorders>
            <w:vAlign w:val="center"/>
          </w:tcPr>
          <w:p w14:paraId="366E064E">
            <w:pPr>
              <w:snapToGrid w:val="0"/>
              <w:spacing w:line="284" w:lineRule="exact"/>
              <w:jc w:val="center"/>
              <w:rPr>
                <w:rFonts w:eastAsia="仿宋_GB2312"/>
                <w:szCs w:val="21"/>
              </w:rPr>
            </w:pPr>
            <w:r>
              <w:rPr>
                <w:rFonts w:hint="eastAsia" w:eastAsia="仿宋_GB2312"/>
                <w:szCs w:val="21"/>
              </w:rPr>
              <w:t>HW49</w:t>
            </w:r>
          </w:p>
        </w:tc>
        <w:tc>
          <w:tcPr>
            <w:tcW w:w="695" w:type="pct"/>
            <w:tcBorders>
              <w:tl2br w:val="nil"/>
              <w:tr2bl w:val="nil"/>
            </w:tcBorders>
            <w:vAlign w:val="center"/>
          </w:tcPr>
          <w:p w14:paraId="35F4A78B">
            <w:pPr>
              <w:snapToGrid w:val="0"/>
              <w:spacing w:line="284" w:lineRule="exact"/>
              <w:jc w:val="center"/>
              <w:rPr>
                <w:rFonts w:eastAsia="仿宋_GB2312"/>
                <w:szCs w:val="21"/>
              </w:rPr>
            </w:pPr>
            <w:r>
              <w:rPr>
                <w:rFonts w:hint="eastAsia" w:eastAsia="仿宋_GB2312"/>
                <w:szCs w:val="21"/>
              </w:rPr>
              <w:t>900-039-49</w:t>
            </w:r>
          </w:p>
        </w:tc>
        <w:tc>
          <w:tcPr>
            <w:tcW w:w="944" w:type="pct"/>
            <w:tcBorders>
              <w:tl2br w:val="nil"/>
              <w:tr2bl w:val="nil"/>
            </w:tcBorders>
            <w:vAlign w:val="center"/>
          </w:tcPr>
          <w:p w14:paraId="05CC44BC">
            <w:pPr>
              <w:snapToGrid w:val="0"/>
              <w:spacing w:line="284" w:lineRule="exact"/>
              <w:jc w:val="center"/>
              <w:rPr>
                <w:rFonts w:eastAsia="仿宋_GB2312"/>
                <w:szCs w:val="21"/>
              </w:rPr>
            </w:pPr>
            <w:r>
              <w:rPr>
                <w:rFonts w:hint="eastAsia" w:eastAsia="仿宋_GB2312"/>
                <w:szCs w:val="21"/>
              </w:rPr>
              <w:t>1</w:t>
            </w:r>
          </w:p>
        </w:tc>
        <w:tc>
          <w:tcPr>
            <w:tcW w:w="1196" w:type="pct"/>
            <w:tcBorders>
              <w:tl2br w:val="nil"/>
              <w:tr2bl w:val="nil"/>
            </w:tcBorders>
            <w:vAlign w:val="center"/>
          </w:tcPr>
          <w:p w14:paraId="08758D7B">
            <w:pPr>
              <w:snapToGrid w:val="0"/>
              <w:spacing w:line="284" w:lineRule="exact"/>
              <w:jc w:val="center"/>
              <w:rPr>
                <w:rFonts w:eastAsia="仿宋_GB2312"/>
                <w:szCs w:val="21"/>
              </w:rPr>
            </w:pPr>
            <w:r>
              <w:rPr>
                <w:rFonts w:eastAsia="仿宋_GB2312"/>
                <w:szCs w:val="21"/>
              </w:rPr>
              <w:t>委托有资质单位处置</w:t>
            </w:r>
          </w:p>
        </w:tc>
      </w:tr>
      <w:tr w14:paraId="50093C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63" w:type="pct"/>
            <w:vMerge w:val="continue"/>
            <w:tcBorders>
              <w:tl2br w:val="nil"/>
              <w:tr2bl w:val="nil"/>
            </w:tcBorders>
            <w:vAlign w:val="center"/>
          </w:tcPr>
          <w:p w14:paraId="37DE0285">
            <w:pPr>
              <w:snapToGrid w:val="0"/>
              <w:spacing w:line="284" w:lineRule="exact"/>
              <w:jc w:val="center"/>
              <w:rPr>
                <w:rFonts w:eastAsia="仿宋_GB2312"/>
                <w:szCs w:val="21"/>
              </w:rPr>
            </w:pPr>
          </w:p>
        </w:tc>
        <w:tc>
          <w:tcPr>
            <w:tcW w:w="969" w:type="pct"/>
            <w:tcBorders>
              <w:tl2br w:val="nil"/>
              <w:tr2bl w:val="nil"/>
            </w:tcBorders>
            <w:vAlign w:val="center"/>
          </w:tcPr>
          <w:p w14:paraId="5B137D6F">
            <w:pPr>
              <w:snapToGrid w:val="0"/>
              <w:spacing w:line="284" w:lineRule="exact"/>
              <w:jc w:val="center"/>
              <w:rPr>
                <w:rFonts w:eastAsia="仿宋_GB2312"/>
                <w:szCs w:val="21"/>
              </w:rPr>
            </w:pPr>
            <w:r>
              <w:rPr>
                <w:rFonts w:hint="eastAsia" w:eastAsia="仿宋_GB2312"/>
                <w:szCs w:val="21"/>
              </w:rPr>
              <w:t>废包装桶</w:t>
            </w:r>
          </w:p>
        </w:tc>
        <w:tc>
          <w:tcPr>
            <w:tcW w:w="530" w:type="pct"/>
            <w:tcBorders>
              <w:tl2br w:val="nil"/>
              <w:tr2bl w:val="nil"/>
            </w:tcBorders>
            <w:vAlign w:val="center"/>
          </w:tcPr>
          <w:p w14:paraId="15BFF25B">
            <w:pPr>
              <w:snapToGrid w:val="0"/>
              <w:spacing w:line="284" w:lineRule="exact"/>
              <w:jc w:val="center"/>
              <w:rPr>
                <w:rFonts w:eastAsia="仿宋_GB2312"/>
                <w:szCs w:val="21"/>
              </w:rPr>
            </w:pPr>
            <w:r>
              <w:rPr>
                <w:rFonts w:hint="eastAsia" w:eastAsia="仿宋_GB2312"/>
                <w:szCs w:val="21"/>
              </w:rPr>
              <w:t>HW49</w:t>
            </w:r>
          </w:p>
        </w:tc>
        <w:tc>
          <w:tcPr>
            <w:tcW w:w="695" w:type="pct"/>
            <w:tcBorders>
              <w:tl2br w:val="nil"/>
              <w:tr2bl w:val="nil"/>
            </w:tcBorders>
            <w:vAlign w:val="center"/>
          </w:tcPr>
          <w:p w14:paraId="7FC1372A">
            <w:pPr>
              <w:snapToGrid w:val="0"/>
              <w:spacing w:line="284" w:lineRule="exact"/>
              <w:jc w:val="center"/>
              <w:rPr>
                <w:rFonts w:eastAsia="仿宋_GB2312"/>
                <w:szCs w:val="21"/>
              </w:rPr>
            </w:pPr>
            <w:r>
              <w:rPr>
                <w:rFonts w:hint="eastAsia" w:eastAsia="仿宋_GB2312"/>
                <w:szCs w:val="21"/>
              </w:rPr>
              <w:t>900-041-49</w:t>
            </w:r>
          </w:p>
        </w:tc>
        <w:tc>
          <w:tcPr>
            <w:tcW w:w="944" w:type="pct"/>
            <w:tcBorders>
              <w:tl2br w:val="nil"/>
              <w:tr2bl w:val="nil"/>
            </w:tcBorders>
            <w:vAlign w:val="center"/>
          </w:tcPr>
          <w:p w14:paraId="326E499C">
            <w:pPr>
              <w:snapToGrid w:val="0"/>
              <w:spacing w:line="284" w:lineRule="exact"/>
              <w:jc w:val="center"/>
              <w:rPr>
                <w:rFonts w:eastAsia="仿宋_GB2312"/>
                <w:szCs w:val="21"/>
              </w:rPr>
            </w:pPr>
            <w:r>
              <w:rPr>
                <w:rFonts w:hint="eastAsia" w:eastAsia="仿宋_GB2312"/>
                <w:szCs w:val="21"/>
              </w:rPr>
              <w:t>151.3</w:t>
            </w:r>
          </w:p>
        </w:tc>
        <w:tc>
          <w:tcPr>
            <w:tcW w:w="1196" w:type="pct"/>
            <w:tcBorders>
              <w:tl2br w:val="nil"/>
              <w:tr2bl w:val="nil"/>
            </w:tcBorders>
            <w:vAlign w:val="center"/>
          </w:tcPr>
          <w:p w14:paraId="4C0AA92F">
            <w:pPr>
              <w:snapToGrid w:val="0"/>
              <w:spacing w:line="284" w:lineRule="exact"/>
              <w:jc w:val="center"/>
              <w:rPr>
                <w:rFonts w:eastAsia="仿宋_GB2312"/>
                <w:szCs w:val="21"/>
              </w:rPr>
            </w:pPr>
            <w:r>
              <w:rPr>
                <w:rFonts w:hint="eastAsia" w:eastAsia="仿宋_GB2312"/>
                <w:szCs w:val="21"/>
              </w:rPr>
              <w:t>自行焚烧处置</w:t>
            </w:r>
          </w:p>
        </w:tc>
      </w:tr>
      <w:tr w14:paraId="67CB3E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63" w:type="pct"/>
            <w:vMerge w:val="restart"/>
            <w:tcBorders>
              <w:tl2br w:val="nil"/>
              <w:tr2bl w:val="nil"/>
            </w:tcBorders>
            <w:vAlign w:val="center"/>
          </w:tcPr>
          <w:p w14:paraId="0D6E5E51">
            <w:pPr>
              <w:snapToGrid w:val="0"/>
              <w:spacing w:line="284" w:lineRule="exact"/>
              <w:jc w:val="center"/>
              <w:rPr>
                <w:rFonts w:eastAsia="仿宋_GB2312"/>
                <w:szCs w:val="21"/>
              </w:rPr>
            </w:pPr>
            <w:r>
              <w:rPr>
                <w:rFonts w:eastAsia="仿宋_GB2312"/>
                <w:szCs w:val="21"/>
              </w:rPr>
              <w:t>安全、环保优化整治提升项目</w:t>
            </w:r>
          </w:p>
        </w:tc>
        <w:tc>
          <w:tcPr>
            <w:tcW w:w="969" w:type="pct"/>
            <w:tcBorders>
              <w:tl2br w:val="nil"/>
              <w:tr2bl w:val="nil"/>
            </w:tcBorders>
            <w:vAlign w:val="center"/>
          </w:tcPr>
          <w:p w14:paraId="5E24F4BC">
            <w:pPr>
              <w:snapToGrid w:val="0"/>
              <w:spacing w:line="284" w:lineRule="exact"/>
              <w:jc w:val="center"/>
              <w:rPr>
                <w:rFonts w:eastAsia="仿宋_GB2312"/>
                <w:szCs w:val="21"/>
              </w:rPr>
            </w:pPr>
            <w:r>
              <w:rPr>
                <w:rFonts w:hint="eastAsia" w:eastAsia="仿宋_GB2312"/>
                <w:szCs w:val="21"/>
              </w:rPr>
              <w:t>焚烧废渣</w:t>
            </w:r>
          </w:p>
        </w:tc>
        <w:tc>
          <w:tcPr>
            <w:tcW w:w="530" w:type="pct"/>
            <w:tcBorders>
              <w:tl2br w:val="nil"/>
              <w:tr2bl w:val="nil"/>
            </w:tcBorders>
            <w:vAlign w:val="center"/>
          </w:tcPr>
          <w:p w14:paraId="4ACDA9B0">
            <w:pPr>
              <w:snapToGrid w:val="0"/>
              <w:spacing w:line="284" w:lineRule="exact"/>
              <w:jc w:val="center"/>
              <w:rPr>
                <w:rFonts w:eastAsia="仿宋_GB2312"/>
                <w:szCs w:val="21"/>
              </w:rPr>
            </w:pPr>
            <w:r>
              <w:rPr>
                <w:rFonts w:hint="eastAsia" w:eastAsia="仿宋_GB2312"/>
                <w:szCs w:val="21"/>
              </w:rPr>
              <w:t>HW18</w:t>
            </w:r>
          </w:p>
        </w:tc>
        <w:tc>
          <w:tcPr>
            <w:tcW w:w="695" w:type="pct"/>
            <w:tcBorders>
              <w:tl2br w:val="nil"/>
              <w:tr2bl w:val="nil"/>
            </w:tcBorders>
            <w:vAlign w:val="center"/>
          </w:tcPr>
          <w:p w14:paraId="4EF39329">
            <w:pPr>
              <w:snapToGrid w:val="0"/>
              <w:spacing w:line="284" w:lineRule="exact"/>
              <w:jc w:val="center"/>
              <w:rPr>
                <w:rFonts w:eastAsia="仿宋_GB2312"/>
                <w:szCs w:val="21"/>
              </w:rPr>
            </w:pPr>
            <w:r>
              <w:rPr>
                <w:rFonts w:hint="eastAsia" w:eastAsia="仿宋_GB2312"/>
                <w:szCs w:val="21"/>
              </w:rPr>
              <w:t>772-003-18</w:t>
            </w:r>
          </w:p>
        </w:tc>
        <w:tc>
          <w:tcPr>
            <w:tcW w:w="944" w:type="pct"/>
            <w:tcBorders>
              <w:tl2br w:val="nil"/>
              <w:tr2bl w:val="nil"/>
            </w:tcBorders>
            <w:vAlign w:val="center"/>
          </w:tcPr>
          <w:p w14:paraId="71617E02">
            <w:pPr>
              <w:snapToGrid w:val="0"/>
              <w:spacing w:line="284" w:lineRule="exact"/>
              <w:jc w:val="center"/>
              <w:rPr>
                <w:rFonts w:eastAsia="仿宋_GB2312"/>
                <w:szCs w:val="21"/>
              </w:rPr>
            </w:pPr>
            <w:r>
              <w:rPr>
                <w:rFonts w:hint="eastAsia" w:eastAsia="仿宋_GB2312"/>
                <w:szCs w:val="21"/>
              </w:rPr>
              <w:t>7090.9</w:t>
            </w:r>
          </w:p>
        </w:tc>
        <w:tc>
          <w:tcPr>
            <w:tcW w:w="1196" w:type="pct"/>
            <w:vMerge w:val="restart"/>
            <w:tcBorders>
              <w:tl2br w:val="nil"/>
              <w:tr2bl w:val="nil"/>
            </w:tcBorders>
            <w:vAlign w:val="center"/>
          </w:tcPr>
          <w:p w14:paraId="442C0511">
            <w:pPr>
              <w:snapToGrid w:val="0"/>
              <w:spacing w:line="284" w:lineRule="exact"/>
              <w:jc w:val="center"/>
              <w:rPr>
                <w:rFonts w:eastAsia="仿宋_GB2312"/>
                <w:szCs w:val="21"/>
              </w:rPr>
            </w:pPr>
            <w:r>
              <w:rPr>
                <w:rFonts w:eastAsia="仿宋_GB2312"/>
                <w:szCs w:val="21"/>
              </w:rPr>
              <w:t>委托有资质单位处置</w:t>
            </w:r>
          </w:p>
        </w:tc>
      </w:tr>
      <w:tr w14:paraId="66179C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63" w:type="pct"/>
            <w:vMerge w:val="continue"/>
            <w:tcBorders>
              <w:tl2br w:val="nil"/>
              <w:tr2bl w:val="nil"/>
            </w:tcBorders>
            <w:vAlign w:val="center"/>
          </w:tcPr>
          <w:p w14:paraId="7B1E59B5">
            <w:pPr>
              <w:snapToGrid w:val="0"/>
              <w:spacing w:line="284" w:lineRule="exact"/>
              <w:jc w:val="center"/>
              <w:rPr>
                <w:rFonts w:eastAsia="仿宋_GB2312"/>
                <w:szCs w:val="21"/>
              </w:rPr>
            </w:pPr>
          </w:p>
        </w:tc>
        <w:tc>
          <w:tcPr>
            <w:tcW w:w="969" w:type="pct"/>
            <w:tcBorders>
              <w:tl2br w:val="nil"/>
              <w:tr2bl w:val="nil"/>
            </w:tcBorders>
            <w:vAlign w:val="center"/>
          </w:tcPr>
          <w:p w14:paraId="56646884">
            <w:pPr>
              <w:snapToGrid w:val="0"/>
              <w:spacing w:line="284" w:lineRule="exact"/>
              <w:jc w:val="center"/>
              <w:rPr>
                <w:rFonts w:eastAsia="仿宋_GB2312"/>
                <w:szCs w:val="21"/>
              </w:rPr>
            </w:pPr>
            <w:r>
              <w:rPr>
                <w:rFonts w:hint="eastAsia" w:eastAsia="仿宋_GB2312"/>
                <w:szCs w:val="21"/>
              </w:rPr>
              <w:t>焚烧飞灰</w:t>
            </w:r>
          </w:p>
        </w:tc>
        <w:tc>
          <w:tcPr>
            <w:tcW w:w="530" w:type="pct"/>
            <w:tcBorders>
              <w:tl2br w:val="nil"/>
              <w:tr2bl w:val="nil"/>
            </w:tcBorders>
            <w:vAlign w:val="center"/>
          </w:tcPr>
          <w:p w14:paraId="650A8238">
            <w:pPr>
              <w:snapToGrid w:val="0"/>
              <w:spacing w:line="284" w:lineRule="exact"/>
              <w:jc w:val="center"/>
              <w:rPr>
                <w:rFonts w:eastAsia="仿宋_GB2312"/>
                <w:szCs w:val="21"/>
              </w:rPr>
            </w:pPr>
            <w:r>
              <w:rPr>
                <w:rFonts w:hint="eastAsia" w:eastAsia="仿宋_GB2312"/>
                <w:szCs w:val="21"/>
              </w:rPr>
              <w:t>HW18</w:t>
            </w:r>
          </w:p>
        </w:tc>
        <w:tc>
          <w:tcPr>
            <w:tcW w:w="695" w:type="pct"/>
            <w:tcBorders>
              <w:tl2br w:val="nil"/>
              <w:tr2bl w:val="nil"/>
            </w:tcBorders>
            <w:vAlign w:val="center"/>
          </w:tcPr>
          <w:p w14:paraId="5F327842">
            <w:pPr>
              <w:snapToGrid w:val="0"/>
              <w:spacing w:line="284" w:lineRule="exact"/>
              <w:jc w:val="center"/>
              <w:rPr>
                <w:rFonts w:eastAsia="仿宋_GB2312"/>
                <w:szCs w:val="21"/>
              </w:rPr>
            </w:pPr>
            <w:r>
              <w:rPr>
                <w:rFonts w:hint="eastAsia" w:eastAsia="仿宋_GB2312"/>
                <w:szCs w:val="21"/>
              </w:rPr>
              <w:t>772-003-18</w:t>
            </w:r>
          </w:p>
        </w:tc>
        <w:tc>
          <w:tcPr>
            <w:tcW w:w="944" w:type="pct"/>
            <w:tcBorders>
              <w:tl2br w:val="nil"/>
              <w:tr2bl w:val="nil"/>
            </w:tcBorders>
            <w:vAlign w:val="center"/>
          </w:tcPr>
          <w:p w14:paraId="2E3C549E">
            <w:pPr>
              <w:snapToGrid w:val="0"/>
              <w:spacing w:line="284" w:lineRule="exact"/>
              <w:jc w:val="center"/>
              <w:rPr>
                <w:rFonts w:eastAsia="仿宋_GB2312"/>
                <w:szCs w:val="21"/>
              </w:rPr>
            </w:pPr>
            <w:r>
              <w:rPr>
                <w:rFonts w:hint="eastAsia" w:eastAsia="仿宋_GB2312"/>
                <w:szCs w:val="21"/>
              </w:rPr>
              <w:t>1933</w:t>
            </w:r>
          </w:p>
        </w:tc>
        <w:tc>
          <w:tcPr>
            <w:tcW w:w="1196" w:type="pct"/>
            <w:vMerge w:val="continue"/>
            <w:tcBorders>
              <w:tl2br w:val="nil"/>
              <w:tr2bl w:val="nil"/>
            </w:tcBorders>
            <w:vAlign w:val="center"/>
          </w:tcPr>
          <w:p w14:paraId="5B8706AA">
            <w:pPr>
              <w:snapToGrid w:val="0"/>
              <w:spacing w:line="284" w:lineRule="exact"/>
              <w:jc w:val="center"/>
              <w:rPr>
                <w:rFonts w:eastAsia="仿宋_GB2312"/>
                <w:szCs w:val="21"/>
              </w:rPr>
            </w:pPr>
          </w:p>
        </w:tc>
      </w:tr>
      <w:tr w14:paraId="731F2C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63" w:type="pct"/>
            <w:vMerge w:val="continue"/>
            <w:tcBorders>
              <w:tl2br w:val="nil"/>
              <w:tr2bl w:val="nil"/>
            </w:tcBorders>
            <w:vAlign w:val="center"/>
          </w:tcPr>
          <w:p w14:paraId="32E42D70">
            <w:pPr>
              <w:snapToGrid w:val="0"/>
              <w:spacing w:line="284" w:lineRule="exact"/>
              <w:jc w:val="center"/>
              <w:rPr>
                <w:rFonts w:eastAsia="仿宋_GB2312"/>
                <w:szCs w:val="21"/>
              </w:rPr>
            </w:pPr>
          </w:p>
        </w:tc>
        <w:tc>
          <w:tcPr>
            <w:tcW w:w="969" w:type="pct"/>
            <w:tcBorders>
              <w:tl2br w:val="nil"/>
              <w:tr2bl w:val="nil"/>
            </w:tcBorders>
            <w:vAlign w:val="center"/>
          </w:tcPr>
          <w:p w14:paraId="76AFFF6B">
            <w:pPr>
              <w:snapToGrid w:val="0"/>
              <w:spacing w:line="284" w:lineRule="exact"/>
              <w:jc w:val="center"/>
              <w:rPr>
                <w:rFonts w:eastAsia="仿宋_GB2312"/>
                <w:szCs w:val="21"/>
              </w:rPr>
            </w:pPr>
            <w:r>
              <w:rPr>
                <w:rFonts w:hint="eastAsia" w:eastAsia="仿宋_GB2312"/>
                <w:szCs w:val="21"/>
              </w:rPr>
              <w:t>废耐火材料</w:t>
            </w:r>
          </w:p>
        </w:tc>
        <w:tc>
          <w:tcPr>
            <w:tcW w:w="530" w:type="pct"/>
            <w:tcBorders>
              <w:tl2br w:val="nil"/>
              <w:tr2bl w:val="nil"/>
            </w:tcBorders>
            <w:vAlign w:val="center"/>
          </w:tcPr>
          <w:p w14:paraId="58E6B4FD">
            <w:pPr>
              <w:snapToGrid w:val="0"/>
              <w:spacing w:line="284" w:lineRule="exact"/>
              <w:jc w:val="center"/>
              <w:rPr>
                <w:rFonts w:eastAsia="仿宋_GB2312"/>
                <w:szCs w:val="21"/>
              </w:rPr>
            </w:pPr>
            <w:r>
              <w:rPr>
                <w:rFonts w:hint="eastAsia" w:eastAsia="仿宋_GB2312"/>
                <w:szCs w:val="21"/>
              </w:rPr>
              <w:t>HW18</w:t>
            </w:r>
          </w:p>
        </w:tc>
        <w:tc>
          <w:tcPr>
            <w:tcW w:w="695" w:type="pct"/>
            <w:tcBorders>
              <w:tl2br w:val="nil"/>
              <w:tr2bl w:val="nil"/>
            </w:tcBorders>
            <w:vAlign w:val="center"/>
          </w:tcPr>
          <w:p w14:paraId="25BA3756">
            <w:pPr>
              <w:snapToGrid w:val="0"/>
              <w:spacing w:line="284" w:lineRule="exact"/>
              <w:jc w:val="center"/>
              <w:rPr>
                <w:rFonts w:eastAsia="仿宋_GB2312"/>
                <w:szCs w:val="21"/>
              </w:rPr>
            </w:pPr>
            <w:r>
              <w:rPr>
                <w:rFonts w:hint="eastAsia" w:eastAsia="仿宋_GB2312"/>
                <w:szCs w:val="21"/>
              </w:rPr>
              <w:t>772-003-18</w:t>
            </w:r>
          </w:p>
        </w:tc>
        <w:tc>
          <w:tcPr>
            <w:tcW w:w="944" w:type="pct"/>
            <w:tcBorders>
              <w:tl2br w:val="nil"/>
              <w:tr2bl w:val="nil"/>
            </w:tcBorders>
            <w:vAlign w:val="center"/>
          </w:tcPr>
          <w:p w14:paraId="73E9A785">
            <w:pPr>
              <w:snapToGrid w:val="0"/>
              <w:spacing w:line="284" w:lineRule="exact"/>
              <w:jc w:val="center"/>
              <w:rPr>
                <w:rFonts w:eastAsia="仿宋_GB2312"/>
                <w:szCs w:val="21"/>
              </w:rPr>
            </w:pPr>
            <w:r>
              <w:rPr>
                <w:rFonts w:hint="eastAsia" w:eastAsia="仿宋_GB2312"/>
                <w:szCs w:val="21"/>
              </w:rPr>
              <w:t>120t/3a</w:t>
            </w:r>
          </w:p>
        </w:tc>
        <w:tc>
          <w:tcPr>
            <w:tcW w:w="1196" w:type="pct"/>
            <w:vMerge w:val="continue"/>
            <w:tcBorders>
              <w:tl2br w:val="nil"/>
              <w:tr2bl w:val="nil"/>
            </w:tcBorders>
            <w:vAlign w:val="center"/>
          </w:tcPr>
          <w:p w14:paraId="65CC8BE1">
            <w:pPr>
              <w:snapToGrid w:val="0"/>
              <w:spacing w:line="284" w:lineRule="exact"/>
              <w:jc w:val="center"/>
              <w:rPr>
                <w:rFonts w:eastAsia="仿宋_GB2312"/>
                <w:szCs w:val="21"/>
              </w:rPr>
            </w:pPr>
          </w:p>
        </w:tc>
      </w:tr>
      <w:tr w14:paraId="0880D6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63" w:type="pct"/>
            <w:vMerge w:val="continue"/>
            <w:tcBorders>
              <w:tl2br w:val="nil"/>
              <w:tr2bl w:val="nil"/>
            </w:tcBorders>
            <w:vAlign w:val="center"/>
          </w:tcPr>
          <w:p w14:paraId="0DFEDF13">
            <w:pPr>
              <w:snapToGrid w:val="0"/>
              <w:spacing w:line="284" w:lineRule="exact"/>
              <w:jc w:val="center"/>
              <w:rPr>
                <w:rFonts w:eastAsia="仿宋_GB2312"/>
                <w:szCs w:val="21"/>
              </w:rPr>
            </w:pPr>
          </w:p>
        </w:tc>
        <w:tc>
          <w:tcPr>
            <w:tcW w:w="969" w:type="pct"/>
            <w:tcBorders>
              <w:tl2br w:val="nil"/>
              <w:tr2bl w:val="nil"/>
            </w:tcBorders>
            <w:vAlign w:val="center"/>
          </w:tcPr>
          <w:p w14:paraId="05C08830">
            <w:pPr>
              <w:snapToGrid w:val="0"/>
              <w:spacing w:line="284" w:lineRule="exact"/>
              <w:jc w:val="center"/>
              <w:rPr>
                <w:rFonts w:eastAsia="仿宋_GB2312"/>
                <w:szCs w:val="21"/>
              </w:rPr>
            </w:pPr>
            <w:r>
              <w:rPr>
                <w:rFonts w:hint="eastAsia" w:eastAsia="仿宋_GB2312"/>
                <w:szCs w:val="21"/>
              </w:rPr>
              <w:t>三效蒸发残渣</w:t>
            </w:r>
          </w:p>
        </w:tc>
        <w:tc>
          <w:tcPr>
            <w:tcW w:w="530" w:type="pct"/>
            <w:tcBorders>
              <w:tl2br w:val="nil"/>
              <w:tr2bl w:val="nil"/>
            </w:tcBorders>
            <w:vAlign w:val="center"/>
          </w:tcPr>
          <w:p w14:paraId="46355A53">
            <w:pPr>
              <w:snapToGrid w:val="0"/>
              <w:spacing w:line="284" w:lineRule="exact"/>
              <w:jc w:val="center"/>
              <w:rPr>
                <w:rFonts w:eastAsia="仿宋_GB2312"/>
                <w:szCs w:val="21"/>
              </w:rPr>
            </w:pPr>
            <w:r>
              <w:rPr>
                <w:rFonts w:hint="eastAsia" w:eastAsia="仿宋_GB2312"/>
                <w:szCs w:val="21"/>
              </w:rPr>
              <w:t>HW18</w:t>
            </w:r>
          </w:p>
        </w:tc>
        <w:tc>
          <w:tcPr>
            <w:tcW w:w="695" w:type="pct"/>
            <w:tcBorders>
              <w:tl2br w:val="nil"/>
              <w:tr2bl w:val="nil"/>
            </w:tcBorders>
            <w:vAlign w:val="center"/>
          </w:tcPr>
          <w:p w14:paraId="07D70789">
            <w:pPr>
              <w:snapToGrid w:val="0"/>
              <w:spacing w:line="284" w:lineRule="exact"/>
              <w:jc w:val="center"/>
              <w:rPr>
                <w:rFonts w:eastAsia="仿宋_GB2312"/>
                <w:szCs w:val="21"/>
              </w:rPr>
            </w:pPr>
            <w:r>
              <w:rPr>
                <w:rFonts w:hint="eastAsia" w:eastAsia="仿宋_GB2312"/>
                <w:szCs w:val="21"/>
              </w:rPr>
              <w:t>772-003-18</w:t>
            </w:r>
          </w:p>
        </w:tc>
        <w:tc>
          <w:tcPr>
            <w:tcW w:w="944" w:type="pct"/>
            <w:tcBorders>
              <w:tl2br w:val="nil"/>
              <w:tr2bl w:val="nil"/>
            </w:tcBorders>
            <w:vAlign w:val="center"/>
          </w:tcPr>
          <w:p w14:paraId="5F48BD07">
            <w:pPr>
              <w:snapToGrid w:val="0"/>
              <w:spacing w:line="284" w:lineRule="exact"/>
              <w:jc w:val="center"/>
              <w:rPr>
                <w:rFonts w:eastAsia="仿宋_GB2312"/>
                <w:szCs w:val="21"/>
              </w:rPr>
            </w:pPr>
            <w:r>
              <w:rPr>
                <w:rFonts w:hint="eastAsia" w:eastAsia="仿宋_GB2312"/>
                <w:szCs w:val="21"/>
              </w:rPr>
              <w:t>2658</w:t>
            </w:r>
          </w:p>
        </w:tc>
        <w:tc>
          <w:tcPr>
            <w:tcW w:w="1196" w:type="pct"/>
            <w:vMerge w:val="continue"/>
            <w:tcBorders>
              <w:tl2br w:val="nil"/>
              <w:tr2bl w:val="nil"/>
            </w:tcBorders>
            <w:vAlign w:val="center"/>
          </w:tcPr>
          <w:p w14:paraId="0488A078">
            <w:pPr>
              <w:snapToGrid w:val="0"/>
              <w:spacing w:line="284" w:lineRule="exact"/>
              <w:jc w:val="center"/>
              <w:rPr>
                <w:rFonts w:eastAsia="仿宋_GB2312"/>
                <w:szCs w:val="21"/>
              </w:rPr>
            </w:pPr>
          </w:p>
        </w:tc>
      </w:tr>
      <w:tr w14:paraId="47431E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63" w:type="pct"/>
            <w:vMerge w:val="continue"/>
            <w:tcBorders>
              <w:tl2br w:val="nil"/>
              <w:tr2bl w:val="nil"/>
            </w:tcBorders>
            <w:vAlign w:val="center"/>
          </w:tcPr>
          <w:p w14:paraId="51BCC9E4">
            <w:pPr>
              <w:snapToGrid w:val="0"/>
              <w:spacing w:line="284" w:lineRule="exact"/>
              <w:jc w:val="center"/>
              <w:rPr>
                <w:rFonts w:eastAsia="仿宋_GB2312"/>
                <w:szCs w:val="21"/>
              </w:rPr>
            </w:pPr>
          </w:p>
        </w:tc>
        <w:tc>
          <w:tcPr>
            <w:tcW w:w="969" w:type="pct"/>
            <w:tcBorders>
              <w:tl2br w:val="nil"/>
              <w:tr2bl w:val="nil"/>
            </w:tcBorders>
            <w:vAlign w:val="center"/>
          </w:tcPr>
          <w:p w14:paraId="529A06BE">
            <w:pPr>
              <w:snapToGrid w:val="0"/>
              <w:spacing w:line="284" w:lineRule="exact"/>
              <w:jc w:val="center"/>
              <w:rPr>
                <w:rFonts w:eastAsia="仿宋_GB2312"/>
                <w:szCs w:val="21"/>
              </w:rPr>
            </w:pPr>
            <w:r>
              <w:rPr>
                <w:rFonts w:hint="eastAsia" w:eastAsia="仿宋_GB2312"/>
                <w:szCs w:val="21"/>
              </w:rPr>
              <w:t>废活性炭（焚烧烟气）</w:t>
            </w:r>
          </w:p>
        </w:tc>
        <w:tc>
          <w:tcPr>
            <w:tcW w:w="530" w:type="pct"/>
            <w:tcBorders>
              <w:tl2br w:val="nil"/>
              <w:tr2bl w:val="nil"/>
            </w:tcBorders>
            <w:vAlign w:val="center"/>
          </w:tcPr>
          <w:p w14:paraId="7A019BD5">
            <w:pPr>
              <w:snapToGrid w:val="0"/>
              <w:spacing w:line="284" w:lineRule="exact"/>
              <w:jc w:val="center"/>
              <w:rPr>
                <w:rFonts w:eastAsia="仿宋_GB2312"/>
                <w:szCs w:val="21"/>
              </w:rPr>
            </w:pPr>
            <w:r>
              <w:rPr>
                <w:rFonts w:hint="eastAsia" w:eastAsia="仿宋_GB2312"/>
                <w:szCs w:val="21"/>
              </w:rPr>
              <w:t>HW18</w:t>
            </w:r>
          </w:p>
        </w:tc>
        <w:tc>
          <w:tcPr>
            <w:tcW w:w="695" w:type="pct"/>
            <w:tcBorders>
              <w:tl2br w:val="nil"/>
              <w:tr2bl w:val="nil"/>
            </w:tcBorders>
            <w:vAlign w:val="center"/>
          </w:tcPr>
          <w:p w14:paraId="2AC44167">
            <w:pPr>
              <w:snapToGrid w:val="0"/>
              <w:spacing w:line="284" w:lineRule="exact"/>
              <w:jc w:val="center"/>
              <w:rPr>
                <w:rFonts w:eastAsia="仿宋_GB2312"/>
                <w:szCs w:val="21"/>
              </w:rPr>
            </w:pPr>
            <w:r>
              <w:rPr>
                <w:rFonts w:hint="eastAsia" w:eastAsia="仿宋_GB2312"/>
                <w:szCs w:val="21"/>
              </w:rPr>
              <w:t>772-005-18</w:t>
            </w:r>
          </w:p>
        </w:tc>
        <w:tc>
          <w:tcPr>
            <w:tcW w:w="944" w:type="pct"/>
            <w:tcBorders>
              <w:tl2br w:val="nil"/>
              <w:tr2bl w:val="nil"/>
            </w:tcBorders>
            <w:vAlign w:val="center"/>
          </w:tcPr>
          <w:p w14:paraId="460DCC2F">
            <w:pPr>
              <w:snapToGrid w:val="0"/>
              <w:spacing w:line="284" w:lineRule="exact"/>
              <w:jc w:val="center"/>
              <w:rPr>
                <w:rFonts w:eastAsia="仿宋_GB2312"/>
                <w:szCs w:val="21"/>
              </w:rPr>
            </w:pPr>
            <w:r>
              <w:rPr>
                <w:rFonts w:hint="eastAsia" w:eastAsia="仿宋_GB2312"/>
                <w:szCs w:val="21"/>
              </w:rPr>
              <w:t>25</w:t>
            </w:r>
          </w:p>
        </w:tc>
        <w:tc>
          <w:tcPr>
            <w:tcW w:w="1196" w:type="pct"/>
            <w:vMerge w:val="continue"/>
            <w:tcBorders>
              <w:tl2br w:val="nil"/>
              <w:tr2bl w:val="nil"/>
            </w:tcBorders>
            <w:vAlign w:val="center"/>
          </w:tcPr>
          <w:p w14:paraId="1A5EF0A8">
            <w:pPr>
              <w:snapToGrid w:val="0"/>
              <w:spacing w:line="284" w:lineRule="exact"/>
              <w:jc w:val="center"/>
              <w:rPr>
                <w:rFonts w:eastAsia="仿宋_GB2312"/>
                <w:szCs w:val="21"/>
              </w:rPr>
            </w:pPr>
          </w:p>
        </w:tc>
      </w:tr>
      <w:tr w14:paraId="371825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63" w:type="pct"/>
            <w:vMerge w:val="continue"/>
            <w:tcBorders>
              <w:tl2br w:val="nil"/>
              <w:tr2bl w:val="nil"/>
            </w:tcBorders>
            <w:vAlign w:val="center"/>
          </w:tcPr>
          <w:p w14:paraId="74FF4453">
            <w:pPr>
              <w:snapToGrid w:val="0"/>
              <w:spacing w:line="284" w:lineRule="exact"/>
              <w:jc w:val="center"/>
              <w:rPr>
                <w:rFonts w:eastAsia="仿宋_GB2312"/>
                <w:szCs w:val="21"/>
              </w:rPr>
            </w:pPr>
          </w:p>
        </w:tc>
        <w:tc>
          <w:tcPr>
            <w:tcW w:w="969" w:type="pct"/>
            <w:tcBorders>
              <w:tl2br w:val="nil"/>
              <w:tr2bl w:val="nil"/>
            </w:tcBorders>
            <w:vAlign w:val="center"/>
          </w:tcPr>
          <w:p w14:paraId="7FED142B">
            <w:pPr>
              <w:snapToGrid w:val="0"/>
              <w:spacing w:line="284" w:lineRule="exact"/>
              <w:jc w:val="center"/>
              <w:rPr>
                <w:rFonts w:eastAsia="仿宋_GB2312"/>
                <w:szCs w:val="21"/>
              </w:rPr>
            </w:pPr>
            <w:r>
              <w:rPr>
                <w:rFonts w:hint="eastAsia" w:eastAsia="仿宋_GB2312"/>
                <w:szCs w:val="21"/>
              </w:rPr>
              <w:t>焚烧废金属</w:t>
            </w:r>
          </w:p>
        </w:tc>
        <w:tc>
          <w:tcPr>
            <w:tcW w:w="530" w:type="pct"/>
            <w:tcBorders>
              <w:tl2br w:val="nil"/>
              <w:tr2bl w:val="nil"/>
            </w:tcBorders>
            <w:vAlign w:val="center"/>
          </w:tcPr>
          <w:p w14:paraId="452BA4BD">
            <w:pPr>
              <w:snapToGrid w:val="0"/>
              <w:spacing w:line="284" w:lineRule="exact"/>
              <w:jc w:val="center"/>
              <w:rPr>
                <w:rFonts w:eastAsia="仿宋_GB2312"/>
                <w:szCs w:val="21"/>
              </w:rPr>
            </w:pPr>
            <w:r>
              <w:rPr>
                <w:rFonts w:hint="eastAsia" w:eastAsia="仿宋_GB2312"/>
                <w:szCs w:val="21"/>
              </w:rPr>
              <w:t>HW18</w:t>
            </w:r>
          </w:p>
        </w:tc>
        <w:tc>
          <w:tcPr>
            <w:tcW w:w="695" w:type="pct"/>
            <w:tcBorders>
              <w:tl2br w:val="nil"/>
              <w:tr2bl w:val="nil"/>
            </w:tcBorders>
            <w:vAlign w:val="center"/>
          </w:tcPr>
          <w:p w14:paraId="365BCEE3">
            <w:pPr>
              <w:snapToGrid w:val="0"/>
              <w:spacing w:line="284" w:lineRule="exact"/>
              <w:jc w:val="center"/>
              <w:rPr>
                <w:rFonts w:eastAsia="仿宋_GB2312"/>
                <w:szCs w:val="21"/>
              </w:rPr>
            </w:pPr>
            <w:r>
              <w:rPr>
                <w:rFonts w:hint="eastAsia" w:eastAsia="仿宋_GB2312"/>
                <w:szCs w:val="21"/>
              </w:rPr>
              <w:t>772-003-18</w:t>
            </w:r>
          </w:p>
        </w:tc>
        <w:tc>
          <w:tcPr>
            <w:tcW w:w="944" w:type="pct"/>
            <w:tcBorders>
              <w:tl2br w:val="nil"/>
              <w:tr2bl w:val="nil"/>
            </w:tcBorders>
            <w:vAlign w:val="center"/>
          </w:tcPr>
          <w:p w14:paraId="7B1CA757">
            <w:pPr>
              <w:snapToGrid w:val="0"/>
              <w:spacing w:line="284" w:lineRule="exact"/>
              <w:jc w:val="center"/>
              <w:rPr>
                <w:rFonts w:eastAsia="仿宋_GB2312"/>
                <w:szCs w:val="21"/>
              </w:rPr>
            </w:pPr>
            <w:r>
              <w:rPr>
                <w:rFonts w:hint="eastAsia" w:eastAsia="仿宋_GB2312"/>
                <w:szCs w:val="21"/>
              </w:rPr>
              <w:t>1505.3</w:t>
            </w:r>
          </w:p>
        </w:tc>
        <w:tc>
          <w:tcPr>
            <w:tcW w:w="1196" w:type="pct"/>
            <w:tcBorders>
              <w:tl2br w:val="nil"/>
              <w:tr2bl w:val="nil"/>
            </w:tcBorders>
            <w:vAlign w:val="center"/>
          </w:tcPr>
          <w:p w14:paraId="154C9C62">
            <w:pPr>
              <w:snapToGrid w:val="0"/>
              <w:spacing w:line="284" w:lineRule="exact"/>
              <w:jc w:val="center"/>
              <w:rPr>
                <w:rFonts w:eastAsia="仿宋_GB2312"/>
                <w:szCs w:val="21"/>
              </w:rPr>
            </w:pPr>
            <w:r>
              <w:rPr>
                <w:rFonts w:hint="eastAsia" w:eastAsia="仿宋_GB2312"/>
                <w:szCs w:val="21"/>
              </w:rPr>
              <w:t>委托相关单位用于金属冶炼</w:t>
            </w:r>
          </w:p>
        </w:tc>
      </w:tr>
      <w:tr w14:paraId="3D912D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63" w:type="pct"/>
            <w:vMerge w:val="continue"/>
            <w:tcBorders>
              <w:tl2br w:val="nil"/>
              <w:tr2bl w:val="nil"/>
            </w:tcBorders>
            <w:vAlign w:val="center"/>
          </w:tcPr>
          <w:p w14:paraId="34545DEB">
            <w:pPr>
              <w:snapToGrid w:val="0"/>
              <w:spacing w:line="284" w:lineRule="exact"/>
              <w:jc w:val="center"/>
              <w:rPr>
                <w:rFonts w:eastAsia="仿宋_GB2312"/>
                <w:szCs w:val="21"/>
              </w:rPr>
            </w:pPr>
          </w:p>
        </w:tc>
        <w:tc>
          <w:tcPr>
            <w:tcW w:w="969" w:type="pct"/>
            <w:tcBorders>
              <w:tl2br w:val="nil"/>
              <w:tr2bl w:val="nil"/>
            </w:tcBorders>
            <w:vAlign w:val="center"/>
          </w:tcPr>
          <w:p w14:paraId="23A3C36F">
            <w:pPr>
              <w:snapToGrid w:val="0"/>
              <w:spacing w:line="284" w:lineRule="exact"/>
              <w:jc w:val="center"/>
              <w:rPr>
                <w:rFonts w:eastAsia="仿宋_GB2312"/>
                <w:szCs w:val="21"/>
              </w:rPr>
            </w:pPr>
            <w:r>
              <w:rPr>
                <w:rFonts w:hint="eastAsia" w:eastAsia="仿宋_GB2312"/>
                <w:szCs w:val="21"/>
              </w:rPr>
              <w:t>废布袋</w:t>
            </w:r>
          </w:p>
        </w:tc>
        <w:tc>
          <w:tcPr>
            <w:tcW w:w="530" w:type="pct"/>
            <w:tcBorders>
              <w:tl2br w:val="nil"/>
              <w:tr2bl w:val="nil"/>
            </w:tcBorders>
            <w:vAlign w:val="center"/>
          </w:tcPr>
          <w:p w14:paraId="5C8D429A">
            <w:pPr>
              <w:snapToGrid w:val="0"/>
              <w:spacing w:line="284" w:lineRule="exact"/>
              <w:jc w:val="center"/>
              <w:rPr>
                <w:rFonts w:eastAsia="仿宋_GB2312"/>
                <w:szCs w:val="21"/>
              </w:rPr>
            </w:pPr>
            <w:r>
              <w:rPr>
                <w:rFonts w:hint="eastAsia" w:eastAsia="仿宋_GB2312"/>
                <w:szCs w:val="21"/>
              </w:rPr>
              <w:t>HW49</w:t>
            </w:r>
          </w:p>
        </w:tc>
        <w:tc>
          <w:tcPr>
            <w:tcW w:w="695" w:type="pct"/>
            <w:tcBorders>
              <w:tl2br w:val="nil"/>
              <w:tr2bl w:val="nil"/>
            </w:tcBorders>
            <w:vAlign w:val="center"/>
          </w:tcPr>
          <w:p w14:paraId="32410083">
            <w:pPr>
              <w:snapToGrid w:val="0"/>
              <w:spacing w:line="284" w:lineRule="exact"/>
              <w:jc w:val="center"/>
              <w:rPr>
                <w:rFonts w:eastAsia="仿宋_GB2312"/>
                <w:szCs w:val="21"/>
              </w:rPr>
            </w:pPr>
            <w:r>
              <w:rPr>
                <w:rFonts w:hint="eastAsia" w:eastAsia="仿宋_GB2312"/>
                <w:szCs w:val="21"/>
              </w:rPr>
              <w:t>900-041-49</w:t>
            </w:r>
          </w:p>
        </w:tc>
        <w:tc>
          <w:tcPr>
            <w:tcW w:w="944" w:type="pct"/>
            <w:tcBorders>
              <w:tl2br w:val="nil"/>
              <w:tr2bl w:val="nil"/>
            </w:tcBorders>
            <w:vAlign w:val="center"/>
          </w:tcPr>
          <w:p w14:paraId="02BD7105">
            <w:pPr>
              <w:snapToGrid w:val="0"/>
              <w:spacing w:line="284" w:lineRule="exact"/>
              <w:jc w:val="center"/>
              <w:rPr>
                <w:rFonts w:eastAsia="仿宋_GB2312"/>
                <w:szCs w:val="21"/>
              </w:rPr>
            </w:pPr>
            <w:r>
              <w:rPr>
                <w:rFonts w:hint="eastAsia" w:eastAsia="仿宋_GB2312"/>
                <w:szCs w:val="21"/>
              </w:rPr>
              <w:t>4</w:t>
            </w:r>
          </w:p>
        </w:tc>
        <w:tc>
          <w:tcPr>
            <w:tcW w:w="1196" w:type="pct"/>
            <w:vMerge w:val="restart"/>
            <w:tcBorders>
              <w:tl2br w:val="nil"/>
              <w:tr2bl w:val="nil"/>
            </w:tcBorders>
            <w:vAlign w:val="center"/>
          </w:tcPr>
          <w:p w14:paraId="38A56E9C">
            <w:pPr>
              <w:snapToGrid w:val="0"/>
              <w:spacing w:line="284" w:lineRule="exact"/>
              <w:jc w:val="center"/>
              <w:rPr>
                <w:rFonts w:eastAsia="仿宋_GB2312"/>
                <w:szCs w:val="21"/>
              </w:rPr>
            </w:pPr>
            <w:r>
              <w:rPr>
                <w:rFonts w:hint="eastAsia" w:eastAsia="仿宋_GB2312"/>
                <w:szCs w:val="21"/>
              </w:rPr>
              <w:t>自行焚烧处置</w:t>
            </w:r>
          </w:p>
        </w:tc>
      </w:tr>
      <w:tr w14:paraId="0C49F3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63" w:type="pct"/>
            <w:vMerge w:val="continue"/>
            <w:tcBorders>
              <w:tl2br w:val="nil"/>
              <w:tr2bl w:val="nil"/>
            </w:tcBorders>
            <w:vAlign w:val="center"/>
          </w:tcPr>
          <w:p w14:paraId="05891F92">
            <w:pPr>
              <w:snapToGrid w:val="0"/>
              <w:spacing w:line="284" w:lineRule="exact"/>
              <w:jc w:val="center"/>
              <w:rPr>
                <w:rFonts w:eastAsia="仿宋_GB2312"/>
                <w:szCs w:val="21"/>
              </w:rPr>
            </w:pPr>
          </w:p>
        </w:tc>
        <w:tc>
          <w:tcPr>
            <w:tcW w:w="969" w:type="pct"/>
            <w:tcBorders>
              <w:tl2br w:val="nil"/>
              <w:tr2bl w:val="nil"/>
            </w:tcBorders>
            <w:vAlign w:val="center"/>
          </w:tcPr>
          <w:p w14:paraId="788CDD82">
            <w:pPr>
              <w:snapToGrid w:val="0"/>
              <w:spacing w:line="284" w:lineRule="exact"/>
              <w:jc w:val="center"/>
              <w:rPr>
                <w:rFonts w:eastAsia="仿宋_GB2312"/>
                <w:szCs w:val="21"/>
              </w:rPr>
            </w:pPr>
            <w:r>
              <w:rPr>
                <w:rFonts w:hint="eastAsia" w:eastAsia="仿宋_GB2312"/>
                <w:szCs w:val="21"/>
              </w:rPr>
              <w:t>废机油</w:t>
            </w:r>
          </w:p>
        </w:tc>
        <w:tc>
          <w:tcPr>
            <w:tcW w:w="530" w:type="pct"/>
            <w:tcBorders>
              <w:tl2br w:val="nil"/>
              <w:tr2bl w:val="nil"/>
            </w:tcBorders>
            <w:vAlign w:val="center"/>
          </w:tcPr>
          <w:p w14:paraId="4F1AAA47">
            <w:pPr>
              <w:snapToGrid w:val="0"/>
              <w:spacing w:line="284" w:lineRule="exact"/>
              <w:jc w:val="center"/>
              <w:rPr>
                <w:rFonts w:eastAsia="仿宋_GB2312"/>
                <w:szCs w:val="21"/>
              </w:rPr>
            </w:pPr>
            <w:r>
              <w:rPr>
                <w:rFonts w:hint="eastAsia" w:eastAsia="仿宋_GB2312"/>
                <w:szCs w:val="21"/>
              </w:rPr>
              <w:t>HW08</w:t>
            </w:r>
          </w:p>
        </w:tc>
        <w:tc>
          <w:tcPr>
            <w:tcW w:w="695" w:type="pct"/>
            <w:tcBorders>
              <w:tl2br w:val="nil"/>
              <w:tr2bl w:val="nil"/>
            </w:tcBorders>
            <w:vAlign w:val="center"/>
          </w:tcPr>
          <w:p w14:paraId="4D034EEB">
            <w:pPr>
              <w:snapToGrid w:val="0"/>
              <w:spacing w:line="284" w:lineRule="exact"/>
              <w:jc w:val="center"/>
              <w:rPr>
                <w:rFonts w:eastAsia="仿宋_GB2312"/>
                <w:szCs w:val="21"/>
              </w:rPr>
            </w:pPr>
            <w:r>
              <w:rPr>
                <w:rFonts w:hint="eastAsia" w:eastAsia="仿宋_GB2312"/>
                <w:szCs w:val="21"/>
              </w:rPr>
              <w:t>900-249-08</w:t>
            </w:r>
          </w:p>
        </w:tc>
        <w:tc>
          <w:tcPr>
            <w:tcW w:w="944" w:type="pct"/>
            <w:tcBorders>
              <w:tl2br w:val="nil"/>
              <w:tr2bl w:val="nil"/>
            </w:tcBorders>
            <w:vAlign w:val="center"/>
          </w:tcPr>
          <w:p w14:paraId="12F76125">
            <w:pPr>
              <w:snapToGrid w:val="0"/>
              <w:spacing w:line="284" w:lineRule="exact"/>
              <w:jc w:val="center"/>
              <w:rPr>
                <w:rFonts w:eastAsia="仿宋_GB2312"/>
                <w:szCs w:val="21"/>
              </w:rPr>
            </w:pPr>
            <w:r>
              <w:rPr>
                <w:rFonts w:hint="eastAsia" w:eastAsia="仿宋_GB2312"/>
                <w:szCs w:val="21"/>
              </w:rPr>
              <w:t>3.3</w:t>
            </w:r>
          </w:p>
        </w:tc>
        <w:tc>
          <w:tcPr>
            <w:tcW w:w="1196" w:type="pct"/>
            <w:vMerge w:val="continue"/>
            <w:tcBorders>
              <w:tl2br w:val="nil"/>
              <w:tr2bl w:val="nil"/>
            </w:tcBorders>
            <w:vAlign w:val="center"/>
          </w:tcPr>
          <w:p w14:paraId="37567EC4">
            <w:pPr>
              <w:snapToGrid w:val="0"/>
              <w:spacing w:line="284" w:lineRule="exact"/>
              <w:jc w:val="center"/>
              <w:rPr>
                <w:rFonts w:eastAsia="仿宋_GB2312"/>
                <w:szCs w:val="21"/>
              </w:rPr>
            </w:pPr>
          </w:p>
        </w:tc>
      </w:tr>
      <w:tr w14:paraId="75E5B8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63" w:type="pct"/>
            <w:vMerge w:val="continue"/>
            <w:tcBorders>
              <w:tl2br w:val="nil"/>
              <w:tr2bl w:val="nil"/>
            </w:tcBorders>
            <w:vAlign w:val="center"/>
          </w:tcPr>
          <w:p w14:paraId="0C010F3C">
            <w:pPr>
              <w:snapToGrid w:val="0"/>
              <w:spacing w:line="284" w:lineRule="exact"/>
              <w:jc w:val="center"/>
              <w:rPr>
                <w:rFonts w:eastAsia="仿宋_GB2312"/>
                <w:szCs w:val="21"/>
              </w:rPr>
            </w:pPr>
          </w:p>
        </w:tc>
        <w:tc>
          <w:tcPr>
            <w:tcW w:w="969" w:type="pct"/>
            <w:tcBorders>
              <w:tl2br w:val="nil"/>
              <w:tr2bl w:val="nil"/>
            </w:tcBorders>
            <w:vAlign w:val="center"/>
          </w:tcPr>
          <w:p w14:paraId="1FB226E6">
            <w:pPr>
              <w:snapToGrid w:val="0"/>
              <w:spacing w:line="284" w:lineRule="exact"/>
              <w:jc w:val="center"/>
              <w:rPr>
                <w:rFonts w:eastAsia="仿宋_GB2312"/>
                <w:szCs w:val="21"/>
              </w:rPr>
            </w:pPr>
            <w:r>
              <w:rPr>
                <w:rFonts w:hint="eastAsia" w:eastAsia="仿宋_GB2312"/>
                <w:szCs w:val="21"/>
              </w:rPr>
              <w:t>废活性炭</w:t>
            </w:r>
          </w:p>
          <w:p w14:paraId="108AFE94">
            <w:pPr>
              <w:snapToGrid w:val="0"/>
              <w:spacing w:line="284" w:lineRule="exact"/>
              <w:jc w:val="center"/>
              <w:rPr>
                <w:rFonts w:eastAsia="仿宋_GB2312"/>
                <w:szCs w:val="21"/>
              </w:rPr>
            </w:pPr>
            <w:r>
              <w:rPr>
                <w:rFonts w:hint="eastAsia" w:eastAsia="仿宋_GB2312"/>
                <w:szCs w:val="21"/>
              </w:rPr>
              <w:t>（危废仓库及配伍间）</w:t>
            </w:r>
          </w:p>
        </w:tc>
        <w:tc>
          <w:tcPr>
            <w:tcW w:w="530" w:type="pct"/>
            <w:tcBorders>
              <w:tl2br w:val="nil"/>
              <w:tr2bl w:val="nil"/>
            </w:tcBorders>
            <w:vAlign w:val="center"/>
          </w:tcPr>
          <w:p w14:paraId="3F553002">
            <w:pPr>
              <w:snapToGrid w:val="0"/>
              <w:spacing w:line="284" w:lineRule="exact"/>
              <w:jc w:val="center"/>
              <w:rPr>
                <w:rFonts w:eastAsia="仿宋_GB2312"/>
                <w:szCs w:val="21"/>
              </w:rPr>
            </w:pPr>
            <w:r>
              <w:rPr>
                <w:rFonts w:hint="eastAsia" w:eastAsia="仿宋_GB2312"/>
                <w:szCs w:val="21"/>
              </w:rPr>
              <w:t>HW49</w:t>
            </w:r>
          </w:p>
        </w:tc>
        <w:tc>
          <w:tcPr>
            <w:tcW w:w="695" w:type="pct"/>
            <w:tcBorders>
              <w:tl2br w:val="nil"/>
              <w:tr2bl w:val="nil"/>
            </w:tcBorders>
            <w:vAlign w:val="center"/>
          </w:tcPr>
          <w:p w14:paraId="421F9810">
            <w:pPr>
              <w:snapToGrid w:val="0"/>
              <w:spacing w:line="284" w:lineRule="exact"/>
              <w:jc w:val="center"/>
              <w:rPr>
                <w:rFonts w:eastAsia="仿宋_GB2312"/>
                <w:szCs w:val="21"/>
              </w:rPr>
            </w:pPr>
            <w:r>
              <w:rPr>
                <w:rFonts w:hint="eastAsia" w:eastAsia="仿宋_GB2312"/>
                <w:szCs w:val="21"/>
              </w:rPr>
              <w:t>900-041-49</w:t>
            </w:r>
          </w:p>
        </w:tc>
        <w:tc>
          <w:tcPr>
            <w:tcW w:w="944" w:type="pct"/>
            <w:tcBorders>
              <w:tl2br w:val="nil"/>
              <w:tr2bl w:val="nil"/>
            </w:tcBorders>
            <w:vAlign w:val="center"/>
          </w:tcPr>
          <w:p w14:paraId="511987C3">
            <w:pPr>
              <w:snapToGrid w:val="0"/>
              <w:spacing w:line="284" w:lineRule="exact"/>
              <w:jc w:val="center"/>
              <w:rPr>
                <w:rFonts w:eastAsia="仿宋_GB2312"/>
                <w:szCs w:val="21"/>
              </w:rPr>
            </w:pPr>
            <w:r>
              <w:rPr>
                <w:rFonts w:hint="eastAsia" w:eastAsia="仿宋_GB2312"/>
                <w:szCs w:val="21"/>
              </w:rPr>
              <w:t>83</w:t>
            </w:r>
          </w:p>
        </w:tc>
        <w:tc>
          <w:tcPr>
            <w:tcW w:w="1196" w:type="pct"/>
            <w:tcBorders>
              <w:tl2br w:val="nil"/>
              <w:tr2bl w:val="nil"/>
            </w:tcBorders>
            <w:vAlign w:val="center"/>
          </w:tcPr>
          <w:p w14:paraId="5B7A1789">
            <w:pPr>
              <w:snapToGrid w:val="0"/>
              <w:spacing w:line="284" w:lineRule="exact"/>
              <w:jc w:val="center"/>
              <w:rPr>
                <w:rFonts w:eastAsia="仿宋_GB2312"/>
                <w:szCs w:val="21"/>
              </w:rPr>
            </w:pPr>
            <w:r>
              <w:rPr>
                <w:rFonts w:eastAsia="仿宋_GB2312"/>
                <w:szCs w:val="21"/>
              </w:rPr>
              <w:t>委托有资质单位处置</w:t>
            </w:r>
          </w:p>
        </w:tc>
      </w:tr>
      <w:tr w14:paraId="5D04E6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63" w:type="pct"/>
            <w:vMerge w:val="continue"/>
            <w:tcBorders>
              <w:tl2br w:val="nil"/>
              <w:tr2bl w:val="nil"/>
            </w:tcBorders>
            <w:vAlign w:val="center"/>
          </w:tcPr>
          <w:p w14:paraId="08E36576">
            <w:pPr>
              <w:snapToGrid w:val="0"/>
              <w:spacing w:line="284" w:lineRule="exact"/>
              <w:jc w:val="center"/>
              <w:rPr>
                <w:rFonts w:eastAsia="仿宋_GB2312"/>
                <w:szCs w:val="21"/>
              </w:rPr>
            </w:pPr>
          </w:p>
        </w:tc>
        <w:tc>
          <w:tcPr>
            <w:tcW w:w="969" w:type="pct"/>
            <w:tcBorders>
              <w:tl2br w:val="nil"/>
              <w:tr2bl w:val="nil"/>
            </w:tcBorders>
            <w:vAlign w:val="center"/>
          </w:tcPr>
          <w:p w14:paraId="16B80F73">
            <w:pPr>
              <w:snapToGrid w:val="0"/>
              <w:spacing w:line="284" w:lineRule="exact"/>
              <w:jc w:val="center"/>
              <w:rPr>
                <w:rFonts w:eastAsia="仿宋_GB2312"/>
                <w:szCs w:val="21"/>
              </w:rPr>
            </w:pPr>
            <w:r>
              <w:rPr>
                <w:rFonts w:hint="eastAsia" w:eastAsia="仿宋_GB2312"/>
                <w:szCs w:val="21"/>
              </w:rPr>
              <w:t>不可重复使用的废包装物</w:t>
            </w:r>
          </w:p>
        </w:tc>
        <w:tc>
          <w:tcPr>
            <w:tcW w:w="530" w:type="pct"/>
            <w:tcBorders>
              <w:tl2br w:val="nil"/>
              <w:tr2bl w:val="nil"/>
            </w:tcBorders>
            <w:vAlign w:val="center"/>
          </w:tcPr>
          <w:p w14:paraId="2E356F5E">
            <w:pPr>
              <w:snapToGrid w:val="0"/>
              <w:spacing w:line="284" w:lineRule="exact"/>
              <w:jc w:val="center"/>
              <w:rPr>
                <w:rFonts w:eastAsia="仿宋_GB2312"/>
                <w:szCs w:val="21"/>
              </w:rPr>
            </w:pPr>
            <w:r>
              <w:rPr>
                <w:rFonts w:hint="eastAsia" w:eastAsia="仿宋_GB2312"/>
                <w:szCs w:val="21"/>
              </w:rPr>
              <w:t>HW49</w:t>
            </w:r>
          </w:p>
        </w:tc>
        <w:tc>
          <w:tcPr>
            <w:tcW w:w="695" w:type="pct"/>
            <w:tcBorders>
              <w:tl2br w:val="nil"/>
              <w:tr2bl w:val="nil"/>
            </w:tcBorders>
            <w:vAlign w:val="center"/>
          </w:tcPr>
          <w:p w14:paraId="52FE32A7">
            <w:pPr>
              <w:snapToGrid w:val="0"/>
              <w:spacing w:line="284" w:lineRule="exact"/>
              <w:jc w:val="center"/>
              <w:rPr>
                <w:rFonts w:eastAsia="仿宋_GB2312"/>
                <w:szCs w:val="21"/>
              </w:rPr>
            </w:pPr>
            <w:r>
              <w:rPr>
                <w:rFonts w:hint="eastAsia" w:eastAsia="仿宋_GB2312"/>
                <w:szCs w:val="21"/>
              </w:rPr>
              <w:t>900-041-49</w:t>
            </w:r>
          </w:p>
        </w:tc>
        <w:tc>
          <w:tcPr>
            <w:tcW w:w="944" w:type="pct"/>
            <w:tcBorders>
              <w:tl2br w:val="nil"/>
              <w:tr2bl w:val="nil"/>
            </w:tcBorders>
            <w:vAlign w:val="center"/>
          </w:tcPr>
          <w:p w14:paraId="7CEA11C6">
            <w:pPr>
              <w:snapToGrid w:val="0"/>
              <w:spacing w:line="284" w:lineRule="exact"/>
              <w:jc w:val="center"/>
              <w:rPr>
                <w:rFonts w:eastAsia="仿宋_GB2312"/>
                <w:szCs w:val="21"/>
              </w:rPr>
            </w:pPr>
            <w:r>
              <w:rPr>
                <w:rFonts w:hint="eastAsia" w:eastAsia="仿宋_GB2312"/>
                <w:szCs w:val="21"/>
              </w:rPr>
              <w:t>4</w:t>
            </w:r>
          </w:p>
        </w:tc>
        <w:tc>
          <w:tcPr>
            <w:tcW w:w="1196" w:type="pct"/>
            <w:vMerge w:val="restart"/>
            <w:tcBorders>
              <w:tl2br w:val="nil"/>
              <w:tr2bl w:val="nil"/>
            </w:tcBorders>
            <w:vAlign w:val="center"/>
          </w:tcPr>
          <w:p w14:paraId="3AB8C25B">
            <w:pPr>
              <w:snapToGrid w:val="0"/>
              <w:spacing w:line="284" w:lineRule="exact"/>
              <w:jc w:val="center"/>
              <w:rPr>
                <w:rFonts w:eastAsia="仿宋_GB2312"/>
                <w:szCs w:val="21"/>
              </w:rPr>
            </w:pPr>
            <w:r>
              <w:rPr>
                <w:rFonts w:hint="eastAsia" w:eastAsia="仿宋_GB2312"/>
                <w:szCs w:val="21"/>
              </w:rPr>
              <w:t>自行焚烧处置</w:t>
            </w:r>
          </w:p>
        </w:tc>
      </w:tr>
      <w:tr w14:paraId="395737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63" w:type="pct"/>
            <w:vMerge w:val="continue"/>
            <w:tcBorders>
              <w:tl2br w:val="nil"/>
              <w:tr2bl w:val="nil"/>
            </w:tcBorders>
            <w:vAlign w:val="center"/>
          </w:tcPr>
          <w:p w14:paraId="200843AE">
            <w:pPr>
              <w:snapToGrid w:val="0"/>
              <w:spacing w:line="284" w:lineRule="exact"/>
              <w:jc w:val="center"/>
              <w:rPr>
                <w:rFonts w:eastAsia="仿宋_GB2312"/>
                <w:szCs w:val="21"/>
              </w:rPr>
            </w:pPr>
          </w:p>
        </w:tc>
        <w:tc>
          <w:tcPr>
            <w:tcW w:w="969" w:type="pct"/>
            <w:tcBorders>
              <w:tl2br w:val="nil"/>
              <w:tr2bl w:val="nil"/>
            </w:tcBorders>
            <w:vAlign w:val="center"/>
          </w:tcPr>
          <w:p w14:paraId="78193583">
            <w:pPr>
              <w:snapToGrid w:val="0"/>
              <w:spacing w:line="284" w:lineRule="exact"/>
              <w:jc w:val="center"/>
              <w:rPr>
                <w:rFonts w:eastAsia="仿宋_GB2312"/>
                <w:szCs w:val="21"/>
              </w:rPr>
            </w:pPr>
            <w:r>
              <w:rPr>
                <w:rFonts w:hint="eastAsia" w:eastAsia="仿宋_GB2312"/>
                <w:szCs w:val="21"/>
              </w:rPr>
              <w:t>废离子交换树脂</w:t>
            </w:r>
          </w:p>
        </w:tc>
        <w:tc>
          <w:tcPr>
            <w:tcW w:w="530" w:type="pct"/>
            <w:tcBorders>
              <w:tl2br w:val="nil"/>
              <w:tr2bl w:val="nil"/>
            </w:tcBorders>
            <w:vAlign w:val="center"/>
          </w:tcPr>
          <w:p w14:paraId="7A26D17B">
            <w:pPr>
              <w:snapToGrid w:val="0"/>
              <w:spacing w:line="284" w:lineRule="exact"/>
              <w:jc w:val="center"/>
              <w:rPr>
                <w:rFonts w:eastAsia="仿宋_GB2312"/>
                <w:szCs w:val="21"/>
              </w:rPr>
            </w:pPr>
            <w:r>
              <w:rPr>
                <w:rFonts w:hint="eastAsia" w:eastAsia="仿宋_GB2312"/>
                <w:szCs w:val="21"/>
              </w:rPr>
              <w:t>HW13</w:t>
            </w:r>
          </w:p>
        </w:tc>
        <w:tc>
          <w:tcPr>
            <w:tcW w:w="695" w:type="pct"/>
            <w:tcBorders>
              <w:tl2br w:val="nil"/>
              <w:tr2bl w:val="nil"/>
            </w:tcBorders>
            <w:vAlign w:val="center"/>
          </w:tcPr>
          <w:p w14:paraId="3E3F554B">
            <w:pPr>
              <w:snapToGrid w:val="0"/>
              <w:spacing w:line="284" w:lineRule="exact"/>
              <w:jc w:val="center"/>
              <w:rPr>
                <w:rFonts w:eastAsia="仿宋_GB2312"/>
                <w:szCs w:val="21"/>
              </w:rPr>
            </w:pPr>
            <w:r>
              <w:rPr>
                <w:rFonts w:hint="eastAsia" w:eastAsia="仿宋_GB2312"/>
                <w:szCs w:val="21"/>
              </w:rPr>
              <w:t>900-015-13</w:t>
            </w:r>
          </w:p>
        </w:tc>
        <w:tc>
          <w:tcPr>
            <w:tcW w:w="944" w:type="pct"/>
            <w:tcBorders>
              <w:tl2br w:val="nil"/>
              <w:tr2bl w:val="nil"/>
            </w:tcBorders>
            <w:vAlign w:val="center"/>
          </w:tcPr>
          <w:p w14:paraId="1EB7F098">
            <w:pPr>
              <w:snapToGrid w:val="0"/>
              <w:spacing w:line="284" w:lineRule="exact"/>
              <w:jc w:val="center"/>
              <w:rPr>
                <w:rFonts w:eastAsia="仿宋_GB2312"/>
                <w:szCs w:val="21"/>
              </w:rPr>
            </w:pPr>
            <w:r>
              <w:rPr>
                <w:rFonts w:hint="eastAsia" w:eastAsia="仿宋_GB2312"/>
                <w:szCs w:val="21"/>
              </w:rPr>
              <w:t>1.1</w:t>
            </w:r>
          </w:p>
        </w:tc>
        <w:tc>
          <w:tcPr>
            <w:tcW w:w="1196" w:type="pct"/>
            <w:vMerge w:val="continue"/>
            <w:tcBorders>
              <w:tl2br w:val="nil"/>
              <w:tr2bl w:val="nil"/>
            </w:tcBorders>
            <w:vAlign w:val="center"/>
          </w:tcPr>
          <w:p w14:paraId="1195C29A">
            <w:pPr>
              <w:snapToGrid w:val="0"/>
              <w:spacing w:line="284" w:lineRule="exact"/>
              <w:jc w:val="center"/>
              <w:rPr>
                <w:rFonts w:eastAsia="仿宋_GB2312"/>
                <w:szCs w:val="21"/>
              </w:rPr>
            </w:pPr>
          </w:p>
        </w:tc>
      </w:tr>
      <w:tr w14:paraId="06D5A7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63" w:type="pct"/>
            <w:vMerge w:val="continue"/>
            <w:tcBorders>
              <w:tl2br w:val="nil"/>
              <w:tr2bl w:val="nil"/>
            </w:tcBorders>
            <w:vAlign w:val="center"/>
          </w:tcPr>
          <w:p w14:paraId="61E8EFC0">
            <w:pPr>
              <w:snapToGrid w:val="0"/>
              <w:spacing w:line="284" w:lineRule="exact"/>
              <w:jc w:val="center"/>
              <w:rPr>
                <w:rFonts w:eastAsia="仿宋_GB2312"/>
                <w:szCs w:val="21"/>
              </w:rPr>
            </w:pPr>
          </w:p>
        </w:tc>
        <w:tc>
          <w:tcPr>
            <w:tcW w:w="969" w:type="pct"/>
            <w:tcBorders>
              <w:tl2br w:val="nil"/>
              <w:tr2bl w:val="nil"/>
            </w:tcBorders>
            <w:vAlign w:val="center"/>
          </w:tcPr>
          <w:p w14:paraId="404291C2">
            <w:pPr>
              <w:snapToGrid w:val="0"/>
              <w:spacing w:line="284" w:lineRule="exact"/>
              <w:jc w:val="center"/>
              <w:rPr>
                <w:rFonts w:eastAsia="仿宋_GB2312"/>
                <w:szCs w:val="21"/>
              </w:rPr>
            </w:pPr>
            <w:r>
              <w:rPr>
                <w:rFonts w:hint="eastAsia" w:eastAsia="仿宋_GB2312"/>
                <w:szCs w:val="21"/>
              </w:rPr>
              <w:t>脱附冷凝废液</w:t>
            </w:r>
          </w:p>
        </w:tc>
        <w:tc>
          <w:tcPr>
            <w:tcW w:w="530" w:type="pct"/>
            <w:tcBorders>
              <w:tl2br w:val="nil"/>
              <w:tr2bl w:val="nil"/>
            </w:tcBorders>
            <w:vAlign w:val="center"/>
          </w:tcPr>
          <w:p w14:paraId="54DEA6BA">
            <w:pPr>
              <w:snapToGrid w:val="0"/>
              <w:spacing w:line="284" w:lineRule="exact"/>
              <w:jc w:val="center"/>
              <w:rPr>
                <w:rFonts w:eastAsia="仿宋_GB2312"/>
                <w:szCs w:val="21"/>
              </w:rPr>
            </w:pPr>
            <w:r>
              <w:rPr>
                <w:rFonts w:hint="eastAsia" w:eastAsia="仿宋_GB2312"/>
                <w:szCs w:val="21"/>
              </w:rPr>
              <w:t>HW45</w:t>
            </w:r>
          </w:p>
        </w:tc>
        <w:tc>
          <w:tcPr>
            <w:tcW w:w="695" w:type="pct"/>
            <w:tcBorders>
              <w:tl2br w:val="nil"/>
              <w:tr2bl w:val="nil"/>
            </w:tcBorders>
            <w:vAlign w:val="center"/>
          </w:tcPr>
          <w:p w14:paraId="7CAF12F2">
            <w:pPr>
              <w:snapToGrid w:val="0"/>
              <w:spacing w:line="284" w:lineRule="exact"/>
              <w:jc w:val="center"/>
              <w:rPr>
                <w:rFonts w:eastAsia="仿宋_GB2312"/>
                <w:szCs w:val="21"/>
              </w:rPr>
            </w:pPr>
            <w:r>
              <w:rPr>
                <w:rFonts w:hint="eastAsia" w:eastAsia="仿宋_GB2312"/>
                <w:szCs w:val="21"/>
              </w:rPr>
              <w:t>900-036-45</w:t>
            </w:r>
          </w:p>
        </w:tc>
        <w:tc>
          <w:tcPr>
            <w:tcW w:w="944" w:type="pct"/>
            <w:tcBorders>
              <w:tl2br w:val="nil"/>
              <w:tr2bl w:val="nil"/>
            </w:tcBorders>
            <w:vAlign w:val="center"/>
          </w:tcPr>
          <w:p w14:paraId="6376C4E6">
            <w:pPr>
              <w:snapToGrid w:val="0"/>
              <w:spacing w:line="284" w:lineRule="exact"/>
              <w:jc w:val="center"/>
              <w:rPr>
                <w:rFonts w:eastAsia="仿宋_GB2312"/>
                <w:szCs w:val="21"/>
              </w:rPr>
            </w:pPr>
            <w:r>
              <w:rPr>
                <w:rFonts w:hint="eastAsia" w:eastAsia="仿宋_GB2312"/>
                <w:szCs w:val="21"/>
              </w:rPr>
              <w:t>6.6</w:t>
            </w:r>
          </w:p>
        </w:tc>
        <w:tc>
          <w:tcPr>
            <w:tcW w:w="1196" w:type="pct"/>
            <w:vMerge w:val="continue"/>
            <w:tcBorders>
              <w:tl2br w:val="nil"/>
              <w:tr2bl w:val="nil"/>
            </w:tcBorders>
            <w:vAlign w:val="center"/>
          </w:tcPr>
          <w:p w14:paraId="5E6C967A">
            <w:pPr>
              <w:snapToGrid w:val="0"/>
              <w:spacing w:line="284" w:lineRule="exact"/>
              <w:jc w:val="center"/>
              <w:rPr>
                <w:rFonts w:eastAsia="仿宋_GB2312"/>
                <w:szCs w:val="21"/>
              </w:rPr>
            </w:pPr>
          </w:p>
        </w:tc>
      </w:tr>
      <w:tr w14:paraId="2EB18A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63" w:type="pct"/>
            <w:vMerge w:val="continue"/>
            <w:tcBorders>
              <w:tl2br w:val="nil"/>
              <w:tr2bl w:val="nil"/>
            </w:tcBorders>
            <w:vAlign w:val="center"/>
          </w:tcPr>
          <w:p w14:paraId="4D96293F">
            <w:pPr>
              <w:snapToGrid w:val="0"/>
              <w:spacing w:line="284" w:lineRule="exact"/>
              <w:jc w:val="center"/>
              <w:rPr>
                <w:rFonts w:eastAsia="仿宋_GB2312"/>
                <w:szCs w:val="21"/>
              </w:rPr>
            </w:pPr>
          </w:p>
        </w:tc>
        <w:tc>
          <w:tcPr>
            <w:tcW w:w="969" w:type="pct"/>
            <w:tcBorders>
              <w:tl2br w:val="nil"/>
              <w:tr2bl w:val="nil"/>
            </w:tcBorders>
            <w:vAlign w:val="center"/>
          </w:tcPr>
          <w:p w14:paraId="14B92CCE">
            <w:pPr>
              <w:snapToGrid w:val="0"/>
              <w:spacing w:line="284" w:lineRule="exact"/>
              <w:jc w:val="center"/>
              <w:rPr>
                <w:rFonts w:eastAsia="仿宋_GB2312"/>
                <w:szCs w:val="21"/>
              </w:rPr>
            </w:pPr>
            <w:r>
              <w:rPr>
                <w:rFonts w:hint="eastAsia" w:eastAsia="仿宋_GB2312"/>
                <w:szCs w:val="21"/>
              </w:rPr>
              <w:t>过滤残渣</w:t>
            </w:r>
          </w:p>
        </w:tc>
        <w:tc>
          <w:tcPr>
            <w:tcW w:w="530" w:type="pct"/>
            <w:tcBorders>
              <w:tl2br w:val="nil"/>
              <w:tr2bl w:val="nil"/>
            </w:tcBorders>
            <w:vAlign w:val="center"/>
          </w:tcPr>
          <w:p w14:paraId="1EF8A94A">
            <w:pPr>
              <w:snapToGrid w:val="0"/>
              <w:spacing w:line="284" w:lineRule="exact"/>
              <w:jc w:val="center"/>
              <w:rPr>
                <w:rFonts w:eastAsia="仿宋_GB2312"/>
                <w:szCs w:val="21"/>
              </w:rPr>
            </w:pPr>
            <w:r>
              <w:rPr>
                <w:rFonts w:hint="eastAsia" w:eastAsia="仿宋_GB2312"/>
                <w:szCs w:val="21"/>
              </w:rPr>
              <w:t>HW49</w:t>
            </w:r>
          </w:p>
        </w:tc>
        <w:tc>
          <w:tcPr>
            <w:tcW w:w="695" w:type="pct"/>
            <w:tcBorders>
              <w:tl2br w:val="nil"/>
              <w:tr2bl w:val="nil"/>
            </w:tcBorders>
            <w:vAlign w:val="center"/>
          </w:tcPr>
          <w:p w14:paraId="4483362D">
            <w:pPr>
              <w:snapToGrid w:val="0"/>
              <w:spacing w:line="284" w:lineRule="exact"/>
              <w:jc w:val="center"/>
              <w:rPr>
                <w:rFonts w:eastAsia="仿宋_GB2312"/>
                <w:szCs w:val="21"/>
              </w:rPr>
            </w:pPr>
            <w:r>
              <w:rPr>
                <w:rFonts w:hint="eastAsia" w:eastAsia="仿宋_GB2312"/>
                <w:szCs w:val="21"/>
              </w:rPr>
              <w:t>900-041-49</w:t>
            </w:r>
          </w:p>
        </w:tc>
        <w:tc>
          <w:tcPr>
            <w:tcW w:w="944" w:type="pct"/>
            <w:tcBorders>
              <w:tl2br w:val="nil"/>
              <w:tr2bl w:val="nil"/>
            </w:tcBorders>
            <w:vAlign w:val="center"/>
          </w:tcPr>
          <w:p w14:paraId="78C24252">
            <w:pPr>
              <w:snapToGrid w:val="0"/>
              <w:spacing w:line="284" w:lineRule="exact"/>
              <w:jc w:val="center"/>
              <w:rPr>
                <w:rFonts w:eastAsia="仿宋_GB2312"/>
                <w:szCs w:val="21"/>
              </w:rPr>
            </w:pPr>
            <w:r>
              <w:rPr>
                <w:rFonts w:hint="eastAsia" w:eastAsia="仿宋_GB2312"/>
                <w:szCs w:val="21"/>
              </w:rPr>
              <w:t>2.7</w:t>
            </w:r>
          </w:p>
        </w:tc>
        <w:tc>
          <w:tcPr>
            <w:tcW w:w="1196" w:type="pct"/>
            <w:vMerge w:val="continue"/>
            <w:tcBorders>
              <w:tl2br w:val="nil"/>
              <w:tr2bl w:val="nil"/>
            </w:tcBorders>
            <w:vAlign w:val="center"/>
          </w:tcPr>
          <w:p w14:paraId="4F774C28">
            <w:pPr>
              <w:snapToGrid w:val="0"/>
              <w:spacing w:line="284" w:lineRule="exact"/>
              <w:jc w:val="center"/>
              <w:rPr>
                <w:rFonts w:eastAsia="仿宋_GB2312"/>
                <w:szCs w:val="21"/>
              </w:rPr>
            </w:pPr>
          </w:p>
        </w:tc>
      </w:tr>
      <w:tr w14:paraId="54E7867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63" w:type="pct"/>
            <w:vMerge w:val="continue"/>
            <w:tcBorders>
              <w:tl2br w:val="nil"/>
              <w:tr2bl w:val="nil"/>
            </w:tcBorders>
            <w:vAlign w:val="center"/>
          </w:tcPr>
          <w:p w14:paraId="6C288B62">
            <w:pPr>
              <w:snapToGrid w:val="0"/>
              <w:spacing w:line="284" w:lineRule="exact"/>
              <w:jc w:val="center"/>
              <w:rPr>
                <w:rFonts w:eastAsia="仿宋_GB2312"/>
                <w:szCs w:val="21"/>
              </w:rPr>
            </w:pPr>
          </w:p>
        </w:tc>
        <w:tc>
          <w:tcPr>
            <w:tcW w:w="969" w:type="pct"/>
            <w:tcBorders>
              <w:tl2br w:val="nil"/>
              <w:tr2bl w:val="nil"/>
            </w:tcBorders>
            <w:vAlign w:val="center"/>
          </w:tcPr>
          <w:p w14:paraId="6A7825A9">
            <w:pPr>
              <w:snapToGrid w:val="0"/>
              <w:spacing w:line="284" w:lineRule="exact"/>
              <w:jc w:val="center"/>
              <w:rPr>
                <w:rFonts w:eastAsia="仿宋_GB2312"/>
                <w:szCs w:val="21"/>
              </w:rPr>
            </w:pPr>
            <w:r>
              <w:rPr>
                <w:rFonts w:hint="eastAsia" w:eastAsia="仿宋_GB2312"/>
                <w:szCs w:val="21"/>
              </w:rPr>
              <w:t>污泥</w:t>
            </w:r>
          </w:p>
        </w:tc>
        <w:tc>
          <w:tcPr>
            <w:tcW w:w="530" w:type="pct"/>
            <w:tcBorders>
              <w:tl2br w:val="nil"/>
              <w:tr2bl w:val="nil"/>
            </w:tcBorders>
            <w:vAlign w:val="center"/>
          </w:tcPr>
          <w:p w14:paraId="1E49B65D">
            <w:pPr>
              <w:snapToGrid w:val="0"/>
              <w:spacing w:line="284" w:lineRule="exact"/>
              <w:jc w:val="center"/>
              <w:rPr>
                <w:rFonts w:eastAsia="仿宋_GB2312"/>
                <w:szCs w:val="21"/>
              </w:rPr>
            </w:pPr>
            <w:r>
              <w:rPr>
                <w:rFonts w:hint="eastAsia" w:eastAsia="仿宋_GB2312"/>
                <w:szCs w:val="21"/>
              </w:rPr>
              <w:t>HW45</w:t>
            </w:r>
          </w:p>
        </w:tc>
        <w:tc>
          <w:tcPr>
            <w:tcW w:w="695" w:type="pct"/>
            <w:tcBorders>
              <w:tl2br w:val="nil"/>
              <w:tr2bl w:val="nil"/>
            </w:tcBorders>
            <w:vAlign w:val="center"/>
          </w:tcPr>
          <w:p w14:paraId="0CE5CBD4">
            <w:pPr>
              <w:snapToGrid w:val="0"/>
              <w:spacing w:line="284" w:lineRule="exact"/>
              <w:jc w:val="center"/>
              <w:rPr>
                <w:rFonts w:eastAsia="仿宋_GB2312"/>
                <w:szCs w:val="21"/>
              </w:rPr>
            </w:pPr>
            <w:r>
              <w:rPr>
                <w:rFonts w:hint="eastAsia" w:eastAsia="仿宋_GB2312"/>
                <w:szCs w:val="21"/>
              </w:rPr>
              <w:t>900-036-45</w:t>
            </w:r>
          </w:p>
        </w:tc>
        <w:tc>
          <w:tcPr>
            <w:tcW w:w="944" w:type="pct"/>
            <w:tcBorders>
              <w:tl2br w:val="nil"/>
              <w:tr2bl w:val="nil"/>
            </w:tcBorders>
            <w:vAlign w:val="center"/>
          </w:tcPr>
          <w:p w14:paraId="66C946C6">
            <w:pPr>
              <w:snapToGrid w:val="0"/>
              <w:spacing w:line="284" w:lineRule="exact"/>
              <w:jc w:val="center"/>
              <w:rPr>
                <w:rFonts w:eastAsia="仿宋_GB2312"/>
                <w:szCs w:val="21"/>
              </w:rPr>
            </w:pPr>
            <w:r>
              <w:rPr>
                <w:rFonts w:hint="eastAsia" w:eastAsia="仿宋_GB2312"/>
                <w:szCs w:val="21"/>
              </w:rPr>
              <w:t>14</w:t>
            </w:r>
          </w:p>
        </w:tc>
        <w:tc>
          <w:tcPr>
            <w:tcW w:w="1196" w:type="pct"/>
            <w:vMerge w:val="continue"/>
            <w:tcBorders>
              <w:tl2br w:val="nil"/>
              <w:tr2bl w:val="nil"/>
            </w:tcBorders>
            <w:vAlign w:val="center"/>
          </w:tcPr>
          <w:p w14:paraId="52AD1410">
            <w:pPr>
              <w:snapToGrid w:val="0"/>
              <w:spacing w:line="284" w:lineRule="exact"/>
              <w:jc w:val="center"/>
              <w:rPr>
                <w:rFonts w:eastAsia="仿宋_GB2312"/>
                <w:szCs w:val="21"/>
              </w:rPr>
            </w:pPr>
          </w:p>
        </w:tc>
      </w:tr>
      <w:tr w14:paraId="79622E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63" w:type="pct"/>
            <w:vMerge w:val="continue"/>
            <w:tcBorders>
              <w:tl2br w:val="nil"/>
              <w:tr2bl w:val="nil"/>
            </w:tcBorders>
            <w:vAlign w:val="center"/>
          </w:tcPr>
          <w:p w14:paraId="511FAA6D">
            <w:pPr>
              <w:snapToGrid w:val="0"/>
              <w:spacing w:line="284" w:lineRule="exact"/>
              <w:jc w:val="center"/>
              <w:rPr>
                <w:rFonts w:eastAsia="仿宋_GB2312"/>
                <w:szCs w:val="21"/>
              </w:rPr>
            </w:pPr>
          </w:p>
        </w:tc>
        <w:tc>
          <w:tcPr>
            <w:tcW w:w="969" w:type="pct"/>
            <w:tcBorders>
              <w:tl2br w:val="nil"/>
              <w:tr2bl w:val="nil"/>
            </w:tcBorders>
            <w:vAlign w:val="center"/>
          </w:tcPr>
          <w:p w14:paraId="46D9EDD7">
            <w:pPr>
              <w:snapToGrid w:val="0"/>
              <w:spacing w:line="284" w:lineRule="exact"/>
              <w:jc w:val="center"/>
              <w:rPr>
                <w:rFonts w:eastAsia="仿宋_GB2312"/>
                <w:szCs w:val="21"/>
              </w:rPr>
            </w:pPr>
            <w:r>
              <w:rPr>
                <w:rFonts w:hint="eastAsia" w:eastAsia="仿宋_GB2312"/>
                <w:szCs w:val="21"/>
              </w:rPr>
              <w:t>车间清洁废物</w:t>
            </w:r>
          </w:p>
        </w:tc>
        <w:tc>
          <w:tcPr>
            <w:tcW w:w="530" w:type="pct"/>
            <w:tcBorders>
              <w:tl2br w:val="nil"/>
              <w:tr2bl w:val="nil"/>
            </w:tcBorders>
            <w:vAlign w:val="center"/>
          </w:tcPr>
          <w:p w14:paraId="31862D91">
            <w:pPr>
              <w:snapToGrid w:val="0"/>
              <w:spacing w:line="284" w:lineRule="exact"/>
              <w:jc w:val="center"/>
              <w:rPr>
                <w:rFonts w:eastAsia="仿宋_GB2312"/>
                <w:szCs w:val="21"/>
              </w:rPr>
            </w:pPr>
            <w:r>
              <w:rPr>
                <w:rFonts w:hint="eastAsia" w:eastAsia="仿宋_GB2312"/>
                <w:szCs w:val="21"/>
              </w:rPr>
              <w:t>HW49</w:t>
            </w:r>
          </w:p>
        </w:tc>
        <w:tc>
          <w:tcPr>
            <w:tcW w:w="695" w:type="pct"/>
            <w:tcBorders>
              <w:tl2br w:val="nil"/>
              <w:tr2bl w:val="nil"/>
            </w:tcBorders>
            <w:vAlign w:val="center"/>
          </w:tcPr>
          <w:p w14:paraId="038EF310">
            <w:pPr>
              <w:snapToGrid w:val="0"/>
              <w:spacing w:line="284" w:lineRule="exact"/>
              <w:jc w:val="center"/>
              <w:rPr>
                <w:rFonts w:eastAsia="仿宋_GB2312"/>
                <w:szCs w:val="21"/>
              </w:rPr>
            </w:pPr>
            <w:r>
              <w:rPr>
                <w:rFonts w:hint="eastAsia" w:eastAsia="仿宋_GB2312"/>
                <w:szCs w:val="21"/>
              </w:rPr>
              <w:t>900-041-49</w:t>
            </w:r>
          </w:p>
        </w:tc>
        <w:tc>
          <w:tcPr>
            <w:tcW w:w="944" w:type="pct"/>
            <w:tcBorders>
              <w:tl2br w:val="nil"/>
              <w:tr2bl w:val="nil"/>
            </w:tcBorders>
            <w:vAlign w:val="center"/>
          </w:tcPr>
          <w:p w14:paraId="1E0F690F">
            <w:pPr>
              <w:snapToGrid w:val="0"/>
              <w:spacing w:line="284" w:lineRule="exact"/>
              <w:jc w:val="center"/>
              <w:rPr>
                <w:rFonts w:eastAsia="仿宋_GB2312"/>
                <w:szCs w:val="21"/>
              </w:rPr>
            </w:pPr>
            <w:r>
              <w:rPr>
                <w:rFonts w:hint="eastAsia" w:eastAsia="仿宋_GB2312"/>
                <w:szCs w:val="21"/>
              </w:rPr>
              <w:t>0.1</w:t>
            </w:r>
          </w:p>
        </w:tc>
        <w:tc>
          <w:tcPr>
            <w:tcW w:w="1196" w:type="pct"/>
            <w:vMerge w:val="continue"/>
            <w:tcBorders>
              <w:tl2br w:val="nil"/>
              <w:tr2bl w:val="nil"/>
            </w:tcBorders>
            <w:vAlign w:val="center"/>
          </w:tcPr>
          <w:p w14:paraId="503E196C">
            <w:pPr>
              <w:snapToGrid w:val="0"/>
              <w:spacing w:line="284" w:lineRule="exact"/>
              <w:jc w:val="center"/>
              <w:rPr>
                <w:rFonts w:eastAsia="仿宋_GB2312"/>
                <w:szCs w:val="21"/>
              </w:rPr>
            </w:pPr>
          </w:p>
        </w:tc>
      </w:tr>
      <w:tr w14:paraId="32246A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63" w:type="pct"/>
            <w:vMerge w:val="continue"/>
            <w:tcBorders>
              <w:tl2br w:val="nil"/>
              <w:tr2bl w:val="nil"/>
            </w:tcBorders>
            <w:vAlign w:val="center"/>
          </w:tcPr>
          <w:p w14:paraId="469294C5">
            <w:pPr>
              <w:snapToGrid w:val="0"/>
              <w:spacing w:line="284" w:lineRule="exact"/>
              <w:jc w:val="center"/>
              <w:rPr>
                <w:rFonts w:eastAsia="仿宋_GB2312"/>
                <w:szCs w:val="21"/>
              </w:rPr>
            </w:pPr>
          </w:p>
        </w:tc>
        <w:tc>
          <w:tcPr>
            <w:tcW w:w="969" w:type="pct"/>
            <w:tcBorders>
              <w:tl2br w:val="nil"/>
              <w:tr2bl w:val="nil"/>
            </w:tcBorders>
            <w:vAlign w:val="center"/>
          </w:tcPr>
          <w:p w14:paraId="00621F5D">
            <w:pPr>
              <w:snapToGrid w:val="0"/>
              <w:spacing w:line="284" w:lineRule="exact"/>
              <w:jc w:val="center"/>
              <w:rPr>
                <w:rFonts w:eastAsia="仿宋_GB2312"/>
                <w:szCs w:val="21"/>
              </w:rPr>
            </w:pPr>
            <w:r>
              <w:rPr>
                <w:rFonts w:hint="eastAsia" w:eastAsia="仿宋_GB2312"/>
                <w:szCs w:val="21"/>
              </w:rPr>
              <w:t>渗滤液</w:t>
            </w:r>
          </w:p>
        </w:tc>
        <w:tc>
          <w:tcPr>
            <w:tcW w:w="530" w:type="pct"/>
            <w:tcBorders>
              <w:tl2br w:val="nil"/>
              <w:tr2bl w:val="nil"/>
            </w:tcBorders>
            <w:vAlign w:val="center"/>
          </w:tcPr>
          <w:p w14:paraId="4F59E570">
            <w:pPr>
              <w:snapToGrid w:val="0"/>
              <w:spacing w:line="284" w:lineRule="exact"/>
              <w:jc w:val="center"/>
              <w:rPr>
                <w:rFonts w:eastAsia="仿宋_GB2312"/>
                <w:szCs w:val="21"/>
              </w:rPr>
            </w:pPr>
            <w:r>
              <w:rPr>
                <w:rFonts w:hint="eastAsia" w:eastAsia="仿宋_GB2312"/>
                <w:szCs w:val="21"/>
              </w:rPr>
              <w:t>HW45</w:t>
            </w:r>
          </w:p>
        </w:tc>
        <w:tc>
          <w:tcPr>
            <w:tcW w:w="695" w:type="pct"/>
            <w:tcBorders>
              <w:tl2br w:val="nil"/>
              <w:tr2bl w:val="nil"/>
            </w:tcBorders>
            <w:vAlign w:val="center"/>
          </w:tcPr>
          <w:p w14:paraId="46C3CB70">
            <w:pPr>
              <w:snapToGrid w:val="0"/>
              <w:spacing w:line="284" w:lineRule="exact"/>
              <w:jc w:val="center"/>
              <w:rPr>
                <w:rFonts w:eastAsia="仿宋_GB2312"/>
                <w:szCs w:val="21"/>
              </w:rPr>
            </w:pPr>
            <w:r>
              <w:rPr>
                <w:rFonts w:hint="eastAsia" w:eastAsia="仿宋_GB2312"/>
                <w:szCs w:val="21"/>
              </w:rPr>
              <w:t>900-036-45</w:t>
            </w:r>
          </w:p>
        </w:tc>
        <w:tc>
          <w:tcPr>
            <w:tcW w:w="944" w:type="pct"/>
            <w:tcBorders>
              <w:tl2br w:val="nil"/>
              <w:tr2bl w:val="nil"/>
            </w:tcBorders>
            <w:vAlign w:val="center"/>
          </w:tcPr>
          <w:p w14:paraId="60605011">
            <w:pPr>
              <w:snapToGrid w:val="0"/>
              <w:spacing w:line="284" w:lineRule="exact"/>
              <w:jc w:val="center"/>
              <w:rPr>
                <w:rFonts w:eastAsia="仿宋_GB2312"/>
                <w:szCs w:val="21"/>
              </w:rPr>
            </w:pPr>
            <w:r>
              <w:rPr>
                <w:rFonts w:hint="eastAsia" w:eastAsia="仿宋_GB2312"/>
                <w:szCs w:val="21"/>
              </w:rPr>
              <w:t>13.2</w:t>
            </w:r>
          </w:p>
        </w:tc>
        <w:tc>
          <w:tcPr>
            <w:tcW w:w="1196" w:type="pct"/>
            <w:vMerge w:val="continue"/>
            <w:tcBorders>
              <w:tl2br w:val="nil"/>
              <w:tr2bl w:val="nil"/>
            </w:tcBorders>
            <w:vAlign w:val="center"/>
          </w:tcPr>
          <w:p w14:paraId="69EC87D8">
            <w:pPr>
              <w:snapToGrid w:val="0"/>
              <w:spacing w:line="284" w:lineRule="exact"/>
              <w:jc w:val="center"/>
              <w:rPr>
                <w:rFonts w:eastAsia="仿宋_GB2312"/>
                <w:szCs w:val="21"/>
              </w:rPr>
            </w:pPr>
          </w:p>
        </w:tc>
      </w:tr>
      <w:tr w14:paraId="391600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63" w:type="pct"/>
            <w:vMerge w:val="continue"/>
            <w:tcBorders>
              <w:tl2br w:val="nil"/>
              <w:tr2bl w:val="nil"/>
            </w:tcBorders>
            <w:vAlign w:val="center"/>
          </w:tcPr>
          <w:p w14:paraId="3A109BFE">
            <w:pPr>
              <w:snapToGrid w:val="0"/>
              <w:spacing w:line="284" w:lineRule="exact"/>
              <w:jc w:val="center"/>
              <w:rPr>
                <w:rFonts w:eastAsia="仿宋_GB2312"/>
                <w:szCs w:val="21"/>
              </w:rPr>
            </w:pPr>
          </w:p>
        </w:tc>
        <w:tc>
          <w:tcPr>
            <w:tcW w:w="969" w:type="pct"/>
            <w:tcBorders>
              <w:tl2br w:val="nil"/>
              <w:tr2bl w:val="nil"/>
            </w:tcBorders>
            <w:vAlign w:val="center"/>
          </w:tcPr>
          <w:p w14:paraId="2A3D39F0">
            <w:pPr>
              <w:snapToGrid w:val="0"/>
              <w:spacing w:line="284" w:lineRule="exact"/>
              <w:jc w:val="center"/>
              <w:rPr>
                <w:rFonts w:eastAsia="仿宋_GB2312"/>
                <w:szCs w:val="21"/>
              </w:rPr>
            </w:pPr>
            <w:r>
              <w:rPr>
                <w:rFonts w:hint="eastAsia" w:eastAsia="仿宋_GB2312"/>
                <w:szCs w:val="21"/>
              </w:rPr>
              <w:t>废分子筛</w:t>
            </w:r>
          </w:p>
        </w:tc>
        <w:tc>
          <w:tcPr>
            <w:tcW w:w="530" w:type="pct"/>
            <w:tcBorders>
              <w:tl2br w:val="nil"/>
              <w:tr2bl w:val="nil"/>
            </w:tcBorders>
            <w:vAlign w:val="center"/>
          </w:tcPr>
          <w:p w14:paraId="09E47DCA">
            <w:pPr>
              <w:snapToGrid w:val="0"/>
              <w:spacing w:line="284" w:lineRule="exact"/>
              <w:jc w:val="center"/>
              <w:rPr>
                <w:rFonts w:eastAsia="仿宋_GB2312"/>
                <w:szCs w:val="21"/>
              </w:rPr>
            </w:pPr>
            <w:r>
              <w:rPr>
                <w:rFonts w:hint="eastAsia" w:eastAsia="仿宋_GB2312"/>
                <w:szCs w:val="21"/>
              </w:rPr>
              <w:t>/</w:t>
            </w:r>
          </w:p>
        </w:tc>
        <w:tc>
          <w:tcPr>
            <w:tcW w:w="695" w:type="pct"/>
            <w:tcBorders>
              <w:tl2br w:val="nil"/>
              <w:tr2bl w:val="nil"/>
            </w:tcBorders>
            <w:vAlign w:val="center"/>
          </w:tcPr>
          <w:p w14:paraId="1DBA5A71">
            <w:pPr>
              <w:snapToGrid w:val="0"/>
              <w:spacing w:line="284" w:lineRule="exact"/>
              <w:jc w:val="center"/>
              <w:rPr>
                <w:rFonts w:eastAsia="仿宋_GB2312"/>
                <w:szCs w:val="21"/>
              </w:rPr>
            </w:pPr>
            <w:r>
              <w:rPr>
                <w:rFonts w:hint="eastAsia" w:eastAsia="仿宋_GB2312"/>
                <w:szCs w:val="21"/>
              </w:rPr>
              <w:t>/</w:t>
            </w:r>
          </w:p>
        </w:tc>
        <w:tc>
          <w:tcPr>
            <w:tcW w:w="944" w:type="pct"/>
            <w:tcBorders>
              <w:tl2br w:val="nil"/>
              <w:tr2bl w:val="nil"/>
            </w:tcBorders>
            <w:vAlign w:val="center"/>
          </w:tcPr>
          <w:p w14:paraId="112C7366">
            <w:pPr>
              <w:snapToGrid w:val="0"/>
              <w:spacing w:line="284" w:lineRule="exact"/>
              <w:jc w:val="center"/>
              <w:rPr>
                <w:rFonts w:eastAsia="仿宋_GB2312"/>
                <w:szCs w:val="21"/>
              </w:rPr>
            </w:pPr>
            <w:r>
              <w:rPr>
                <w:rFonts w:hint="eastAsia" w:eastAsia="仿宋_GB2312"/>
                <w:szCs w:val="21"/>
              </w:rPr>
              <w:t>500kg/次（5a）</w:t>
            </w:r>
          </w:p>
        </w:tc>
        <w:tc>
          <w:tcPr>
            <w:tcW w:w="1196" w:type="pct"/>
            <w:tcBorders>
              <w:tl2br w:val="nil"/>
              <w:tr2bl w:val="nil"/>
            </w:tcBorders>
            <w:vAlign w:val="center"/>
          </w:tcPr>
          <w:p w14:paraId="7153DB6E">
            <w:pPr>
              <w:snapToGrid w:val="0"/>
              <w:spacing w:line="284" w:lineRule="exact"/>
              <w:jc w:val="center"/>
              <w:rPr>
                <w:rFonts w:eastAsia="仿宋_GB2312"/>
                <w:szCs w:val="21"/>
              </w:rPr>
            </w:pPr>
            <w:r>
              <w:rPr>
                <w:rFonts w:hint="eastAsia" w:eastAsia="仿宋_GB2312"/>
                <w:szCs w:val="21"/>
              </w:rPr>
              <w:t>作为一般固废委托专业单位处理</w:t>
            </w:r>
          </w:p>
        </w:tc>
      </w:tr>
      <w:tr w14:paraId="06624A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63" w:type="pct"/>
            <w:vMerge w:val="restart"/>
            <w:tcBorders>
              <w:tl2br w:val="nil"/>
              <w:tr2bl w:val="nil"/>
            </w:tcBorders>
            <w:vAlign w:val="center"/>
          </w:tcPr>
          <w:p w14:paraId="1C2A6DDB">
            <w:pPr>
              <w:snapToGrid w:val="0"/>
              <w:spacing w:line="284" w:lineRule="exact"/>
              <w:jc w:val="center"/>
              <w:rPr>
                <w:rFonts w:eastAsia="仿宋_GB2312"/>
                <w:szCs w:val="21"/>
              </w:rPr>
            </w:pPr>
            <w:r>
              <w:rPr>
                <w:rFonts w:hint="eastAsia" w:eastAsia="仿宋_GB2312"/>
                <w:szCs w:val="21"/>
              </w:rPr>
              <w:t>危险废物综合利用处置项目</w:t>
            </w:r>
          </w:p>
        </w:tc>
        <w:tc>
          <w:tcPr>
            <w:tcW w:w="969" w:type="pct"/>
            <w:tcBorders>
              <w:tl2br w:val="nil"/>
              <w:tr2bl w:val="nil"/>
            </w:tcBorders>
            <w:vAlign w:val="center"/>
          </w:tcPr>
          <w:p w14:paraId="22C51DD0">
            <w:pPr>
              <w:snapToGrid w:val="0"/>
              <w:spacing w:line="284" w:lineRule="exact"/>
              <w:jc w:val="center"/>
              <w:rPr>
                <w:rFonts w:eastAsia="仿宋_GB2312"/>
                <w:szCs w:val="21"/>
              </w:rPr>
            </w:pPr>
            <w:r>
              <w:rPr>
                <w:rFonts w:eastAsia="仿宋_GB2312"/>
                <w:szCs w:val="21"/>
              </w:rPr>
              <w:t>过滤残渣</w:t>
            </w:r>
          </w:p>
        </w:tc>
        <w:tc>
          <w:tcPr>
            <w:tcW w:w="530" w:type="pct"/>
            <w:tcBorders>
              <w:tl2br w:val="nil"/>
              <w:tr2bl w:val="nil"/>
            </w:tcBorders>
            <w:vAlign w:val="center"/>
          </w:tcPr>
          <w:p w14:paraId="7F157153">
            <w:pPr>
              <w:snapToGrid w:val="0"/>
              <w:spacing w:line="284" w:lineRule="exact"/>
              <w:jc w:val="center"/>
              <w:rPr>
                <w:rFonts w:eastAsia="仿宋_GB2312"/>
                <w:szCs w:val="21"/>
              </w:rPr>
            </w:pPr>
            <w:r>
              <w:rPr>
                <w:rFonts w:eastAsia="仿宋_GB2312"/>
                <w:szCs w:val="21"/>
              </w:rPr>
              <w:t>HW06</w:t>
            </w:r>
          </w:p>
        </w:tc>
        <w:tc>
          <w:tcPr>
            <w:tcW w:w="695" w:type="pct"/>
            <w:tcBorders>
              <w:tl2br w:val="nil"/>
              <w:tr2bl w:val="nil"/>
            </w:tcBorders>
            <w:vAlign w:val="center"/>
          </w:tcPr>
          <w:p w14:paraId="74A98944">
            <w:pPr>
              <w:snapToGrid w:val="0"/>
              <w:spacing w:line="284" w:lineRule="exact"/>
              <w:jc w:val="center"/>
              <w:rPr>
                <w:rFonts w:eastAsia="仿宋_GB2312"/>
                <w:szCs w:val="21"/>
              </w:rPr>
            </w:pPr>
            <w:r>
              <w:rPr>
                <w:rFonts w:eastAsia="仿宋_GB2312"/>
                <w:szCs w:val="21"/>
              </w:rPr>
              <w:t>900-405-06</w:t>
            </w:r>
          </w:p>
        </w:tc>
        <w:tc>
          <w:tcPr>
            <w:tcW w:w="944" w:type="pct"/>
            <w:tcBorders>
              <w:tl2br w:val="nil"/>
              <w:tr2bl w:val="nil"/>
            </w:tcBorders>
            <w:vAlign w:val="center"/>
          </w:tcPr>
          <w:p w14:paraId="2703E952">
            <w:pPr>
              <w:snapToGrid w:val="0"/>
              <w:spacing w:line="284" w:lineRule="exact"/>
              <w:jc w:val="center"/>
              <w:rPr>
                <w:rFonts w:eastAsia="仿宋_GB2312"/>
                <w:szCs w:val="21"/>
              </w:rPr>
            </w:pPr>
            <w:r>
              <w:rPr>
                <w:rFonts w:hint="eastAsia" w:eastAsia="仿宋_GB2312"/>
                <w:szCs w:val="21"/>
              </w:rPr>
              <w:t>425.607</w:t>
            </w:r>
          </w:p>
        </w:tc>
        <w:tc>
          <w:tcPr>
            <w:tcW w:w="1196" w:type="pct"/>
            <w:vMerge w:val="restart"/>
            <w:tcBorders>
              <w:tl2br w:val="nil"/>
              <w:tr2bl w:val="nil"/>
            </w:tcBorders>
            <w:vAlign w:val="center"/>
          </w:tcPr>
          <w:p w14:paraId="5C1AACC1">
            <w:pPr>
              <w:snapToGrid w:val="0"/>
              <w:spacing w:line="284" w:lineRule="exact"/>
              <w:jc w:val="center"/>
              <w:rPr>
                <w:rFonts w:eastAsia="仿宋_GB2312"/>
                <w:szCs w:val="21"/>
              </w:rPr>
            </w:pPr>
            <w:r>
              <w:rPr>
                <w:rFonts w:hint="eastAsia" w:eastAsia="仿宋_GB2312"/>
                <w:szCs w:val="21"/>
              </w:rPr>
              <w:t>自行焚烧处置</w:t>
            </w:r>
          </w:p>
        </w:tc>
      </w:tr>
      <w:tr w14:paraId="28B2B0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63" w:type="pct"/>
            <w:vMerge w:val="continue"/>
            <w:tcBorders>
              <w:tl2br w:val="nil"/>
              <w:tr2bl w:val="nil"/>
            </w:tcBorders>
            <w:vAlign w:val="center"/>
          </w:tcPr>
          <w:p w14:paraId="03C810F6">
            <w:pPr>
              <w:snapToGrid w:val="0"/>
              <w:spacing w:line="284" w:lineRule="exact"/>
              <w:jc w:val="center"/>
              <w:rPr>
                <w:rFonts w:eastAsia="仿宋_GB2312"/>
                <w:szCs w:val="21"/>
              </w:rPr>
            </w:pPr>
          </w:p>
        </w:tc>
        <w:tc>
          <w:tcPr>
            <w:tcW w:w="969" w:type="pct"/>
            <w:tcBorders>
              <w:tl2br w:val="nil"/>
              <w:tr2bl w:val="nil"/>
            </w:tcBorders>
            <w:vAlign w:val="center"/>
          </w:tcPr>
          <w:p w14:paraId="2D3F6351">
            <w:pPr>
              <w:snapToGrid w:val="0"/>
              <w:spacing w:line="284" w:lineRule="exact"/>
              <w:jc w:val="center"/>
              <w:rPr>
                <w:rFonts w:eastAsia="仿宋_GB2312"/>
                <w:szCs w:val="21"/>
              </w:rPr>
            </w:pPr>
            <w:r>
              <w:rPr>
                <w:rFonts w:eastAsia="仿宋_GB2312"/>
                <w:szCs w:val="21"/>
              </w:rPr>
              <w:t>精馏残渣</w:t>
            </w:r>
          </w:p>
        </w:tc>
        <w:tc>
          <w:tcPr>
            <w:tcW w:w="530" w:type="pct"/>
            <w:tcBorders>
              <w:tl2br w:val="nil"/>
              <w:tr2bl w:val="nil"/>
            </w:tcBorders>
            <w:vAlign w:val="center"/>
          </w:tcPr>
          <w:p w14:paraId="73D1EBDF">
            <w:pPr>
              <w:snapToGrid w:val="0"/>
              <w:spacing w:line="284" w:lineRule="exact"/>
              <w:jc w:val="center"/>
              <w:rPr>
                <w:rFonts w:eastAsia="仿宋_GB2312"/>
                <w:szCs w:val="21"/>
              </w:rPr>
            </w:pPr>
            <w:r>
              <w:rPr>
                <w:rFonts w:eastAsia="仿宋_GB2312"/>
                <w:szCs w:val="21"/>
              </w:rPr>
              <w:t>HW06</w:t>
            </w:r>
          </w:p>
        </w:tc>
        <w:tc>
          <w:tcPr>
            <w:tcW w:w="695" w:type="pct"/>
            <w:tcBorders>
              <w:tl2br w:val="nil"/>
              <w:tr2bl w:val="nil"/>
            </w:tcBorders>
            <w:vAlign w:val="center"/>
          </w:tcPr>
          <w:p w14:paraId="5752B4DC">
            <w:pPr>
              <w:snapToGrid w:val="0"/>
              <w:spacing w:line="284" w:lineRule="exact"/>
              <w:jc w:val="center"/>
              <w:rPr>
                <w:rFonts w:eastAsia="仿宋_GB2312"/>
                <w:szCs w:val="21"/>
              </w:rPr>
            </w:pPr>
            <w:r>
              <w:rPr>
                <w:rFonts w:eastAsia="仿宋_GB2312"/>
                <w:szCs w:val="21"/>
              </w:rPr>
              <w:t>900-407-06</w:t>
            </w:r>
          </w:p>
        </w:tc>
        <w:tc>
          <w:tcPr>
            <w:tcW w:w="944" w:type="pct"/>
            <w:tcBorders>
              <w:tl2br w:val="nil"/>
              <w:tr2bl w:val="nil"/>
            </w:tcBorders>
            <w:vAlign w:val="center"/>
          </w:tcPr>
          <w:p w14:paraId="1AF136AA">
            <w:pPr>
              <w:snapToGrid w:val="0"/>
              <w:spacing w:line="284" w:lineRule="exact"/>
              <w:jc w:val="center"/>
              <w:rPr>
                <w:rFonts w:eastAsia="仿宋_GB2312"/>
                <w:szCs w:val="21"/>
              </w:rPr>
            </w:pPr>
            <w:r>
              <w:rPr>
                <w:rFonts w:hint="eastAsia" w:eastAsia="仿宋_GB2312"/>
                <w:szCs w:val="21"/>
              </w:rPr>
              <w:t>2735.205</w:t>
            </w:r>
          </w:p>
        </w:tc>
        <w:tc>
          <w:tcPr>
            <w:tcW w:w="1196" w:type="pct"/>
            <w:vMerge w:val="continue"/>
            <w:tcBorders>
              <w:tl2br w:val="nil"/>
              <w:tr2bl w:val="nil"/>
            </w:tcBorders>
            <w:vAlign w:val="center"/>
          </w:tcPr>
          <w:p w14:paraId="32CAC9F6">
            <w:pPr>
              <w:snapToGrid w:val="0"/>
              <w:spacing w:line="284" w:lineRule="exact"/>
              <w:jc w:val="center"/>
              <w:rPr>
                <w:rFonts w:eastAsia="仿宋_GB2312"/>
                <w:szCs w:val="21"/>
              </w:rPr>
            </w:pPr>
          </w:p>
        </w:tc>
      </w:tr>
      <w:tr w14:paraId="48BFF2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63" w:type="pct"/>
            <w:vMerge w:val="continue"/>
            <w:tcBorders>
              <w:tl2br w:val="nil"/>
              <w:tr2bl w:val="nil"/>
            </w:tcBorders>
            <w:vAlign w:val="center"/>
          </w:tcPr>
          <w:p w14:paraId="6A3062D7">
            <w:pPr>
              <w:snapToGrid w:val="0"/>
              <w:spacing w:line="284" w:lineRule="exact"/>
              <w:jc w:val="center"/>
              <w:rPr>
                <w:rFonts w:eastAsia="仿宋_GB2312"/>
                <w:szCs w:val="21"/>
              </w:rPr>
            </w:pPr>
          </w:p>
        </w:tc>
        <w:tc>
          <w:tcPr>
            <w:tcW w:w="969" w:type="pct"/>
            <w:tcBorders>
              <w:tl2br w:val="nil"/>
              <w:tr2bl w:val="nil"/>
            </w:tcBorders>
            <w:vAlign w:val="center"/>
          </w:tcPr>
          <w:p w14:paraId="5D4CC053">
            <w:pPr>
              <w:snapToGrid w:val="0"/>
              <w:spacing w:line="284" w:lineRule="exact"/>
              <w:jc w:val="center"/>
              <w:rPr>
                <w:rFonts w:eastAsia="仿宋_GB2312"/>
                <w:szCs w:val="21"/>
              </w:rPr>
            </w:pPr>
            <w:r>
              <w:rPr>
                <w:rFonts w:eastAsia="仿宋_GB2312"/>
                <w:szCs w:val="21"/>
              </w:rPr>
              <w:t>釜底残液</w:t>
            </w:r>
          </w:p>
        </w:tc>
        <w:tc>
          <w:tcPr>
            <w:tcW w:w="530" w:type="pct"/>
            <w:tcBorders>
              <w:tl2br w:val="nil"/>
              <w:tr2bl w:val="nil"/>
            </w:tcBorders>
            <w:vAlign w:val="center"/>
          </w:tcPr>
          <w:p w14:paraId="647B1168">
            <w:pPr>
              <w:snapToGrid w:val="0"/>
              <w:spacing w:line="284" w:lineRule="exact"/>
              <w:jc w:val="center"/>
              <w:rPr>
                <w:rFonts w:eastAsia="仿宋_GB2312"/>
                <w:szCs w:val="21"/>
              </w:rPr>
            </w:pPr>
            <w:r>
              <w:rPr>
                <w:rFonts w:eastAsia="仿宋_GB2312"/>
                <w:szCs w:val="21"/>
              </w:rPr>
              <w:t>HW06</w:t>
            </w:r>
          </w:p>
        </w:tc>
        <w:tc>
          <w:tcPr>
            <w:tcW w:w="695" w:type="pct"/>
            <w:tcBorders>
              <w:tl2br w:val="nil"/>
              <w:tr2bl w:val="nil"/>
            </w:tcBorders>
            <w:vAlign w:val="center"/>
          </w:tcPr>
          <w:p w14:paraId="6057BA24">
            <w:pPr>
              <w:snapToGrid w:val="0"/>
              <w:spacing w:line="284" w:lineRule="exact"/>
              <w:jc w:val="center"/>
              <w:rPr>
                <w:rFonts w:eastAsia="仿宋_GB2312"/>
                <w:szCs w:val="21"/>
              </w:rPr>
            </w:pPr>
            <w:r>
              <w:rPr>
                <w:rFonts w:eastAsia="仿宋_GB2312"/>
                <w:szCs w:val="21"/>
              </w:rPr>
              <w:t>900-407-06</w:t>
            </w:r>
          </w:p>
        </w:tc>
        <w:tc>
          <w:tcPr>
            <w:tcW w:w="944" w:type="pct"/>
            <w:tcBorders>
              <w:tl2br w:val="nil"/>
              <w:tr2bl w:val="nil"/>
            </w:tcBorders>
            <w:vAlign w:val="center"/>
          </w:tcPr>
          <w:p w14:paraId="208CDE7B">
            <w:pPr>
              <w:snapToGrid w:val="0"/>
              <w:spacing w:line="284" w:lineRule="exact"/>
              <w:jc w:val="center"/>
              <w:rPr>
                <w:rFonts w:eastAsia="仿宋_GB2312"/>
                <w:szCs w:val="21"/>
              </w:rPr>
            </w:pPr>
            <w:r>
              <w:rPr>
                <w:rFonts w:eastAsia="仿宋_GB2312"/>
                <w:szCs w:val="21"/>
              </w:rPr>
              <w:t>554.971</w:t>
            </w:r>
          </w:p>
        </w:tc>
        <w:tc>
          <w:tcPr>
            <w:tcW w:w="1196" w:type="pct"/>
            <w:vMerge w:val="continue"/>
            <w:tcBorders>
              <w:tl2br w:val="nil"/>
              <w:tr2bl w:val="nil"/>
            </w:tcBorders>
            <w:vAlign w:val="center"/>
          </w:tcPr>
          <w:p w14:paraId="573FE1A2">
            <w:pPr>
              <w:snapToGrid w:val="0"/>
              <w:spacing w:line="284" w:lineRule="exact"/>
              <w:jc w:val="center"/>
              <w:rPr>
                <w:rFonts w:eastAsia="仿宋_GB2312"/>
                <w:szCs w:val="21"/>
              </w:rPr>
            </w:pPr>
          </w:p>
        </w:tc>
      </w:tr>
      <w:tr w14:paraId="06AC71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63" w:type="pct"/>
            <w:vMerge w:val="continue"/>
            <w:tcBorders>
              <w:tl2br w:val="nil"/>
              <w:tr2bl w:val="nil"/>
            </w:tcBorders>
            <w:vAlign w:val="center"/>
          </w:tcPr>
          <w:p w14:paraId="06CA9CE5">
            <w:pPr>
              <w:snapToGrid w:val="0"/>
              <w:spacing w:line="284" w:lineRule="exact"/>
              <w:jc w:val="center"/>
              <w:rPr>
                <w:rFonts w:eastAsia="仿宋_GB2312"/>
                <w:szCs w:val="21"/>
              </w:rPr>
            </w:pPr>
          </w:p>
        </w:tc>
        <w:tc>
          <w:tcPr>
            <w:tcW w:w="969" w:type="pct"/>
            <w:tcBorders>
              <w:tl2br w:val="nil"/>
              <w:tr2bl w:val="nil"/>
            </w:tcBorders>
            <w:vAlign w:val="center"/>
          </w:tcPr>
          <w:p w14:paraId="25F1B158">
            <w:pPr>
              <w:snapToGrid w:val="0"/>
              <w:spacing w:line="284" w:lineRule="exact"/>
              <w:jc w:val="center"/>
              <w:rPr>
                <w:rFonts w:eastAsia="仿宋_GB2312"/>
                <w:szCs w:val="21"/>
              </w:rPr>
            </w:pPr>
            <w:r>
              <w:rPr>
                <w:rFonts w:eastAsia="仿宋_GB2312"/>
                <w:szCs w:val="21"/>
              </w:rPr>
              <w:t>冷凝废液</w:t>
            </w:r>
          </w:p>
        </w:tc>
        <w:tc>
          <w:tcPr>
            <w:tcW w:w="530" w:type="pct"/>
            <w:tcBorders>
              <w:tl2br w:val="nil"/>
              <w:tr2bl w:val="nil"/>
            </w:tcBorders>
            <w:vAlign w:val="center"/>
          </w:tcPr>
          <w:p w14:paraId="442D40A1">
            <w:pPr>
              <w:snapToGrid w:val="0"/>
              <w:spacing w:line="284" w:lineRule="exact"/>
              <w:jc w:val="center"/>
              <w:rPr>
                <w:rFonts w:eastAsia="仿宋_GB2312"/>
                <w:szCs w:val="21"/>
              </w:rPr>
            </w:pPr>
            <w:r>
              <w:rPr>
                <w:rFonts w:eastAsia="仿宋_GB2312"/>
                <w:szCs w:val="21"/>
              </w:rPr>
              <w:t>HW06</w:t>
            </w:r>
          </w:p>
        </w:tc>
        <w:tc>
          <w:tcPr>
            <w:tcW w:w="695" w:type="pct"/>
            <w:tcBorders>
              <w:tl2br w:val="nil"/>
              <w:tr2bl w:val="nil"/>
            </w:tcBorders>
            <w:vAlign w:val="center"/>
          </w:tcPr>
          <w:p w14:paraId="17153B28">
            <w:pPr>
              <w:snapToGrid w:val="0"/>
              <w:spacing w:line="284" w:lineRule="exact"/>
              <w:jc w:val="center"/>
              <w:rPr>
                <w:rFonts w:eastAsia="仿宋_GB2312"/>
                <w:szCs w:val="21"/>
              </w:rPr>
            </w:pPr>
            <w:r>
              <w:rPr>
                <w:rFonts w:eastAsia="仿宋_GB2312"/>
                <w:szCs w:val="21"/>
              </w:rPr>
              <w:t>900-404-06</w:t>
            </w:r>
          </w:p>
        </w:tc>
        <w:tc>
          <w:tcPr>
            <w:tcW w:w="944" w:type="pct"/>
            <w:tcBorders>
              <w:tl2br w:val="nil"/>
              <w:tr2bl w:val="nil"/>
            </w:tcBorders>
            <w:vAlign w:val="center"/>
          </w:tcPr>
          <w:p w14:paraId="248B18C4">
            <w:pPr>
              <w:snapToGrid w:val="0"/>
              <w:spacing w:line="284" w:lineRule="exact"/>
              <w:jc w:val="center"/>
              <w:rPr>
                <w:rFonts w:eastAsia="仿宋_GB2312"/>
                <w:szCs w:val="21"/>
              </w:rPr>
            </w:pPr>
            <w:r>
              <w:rPr>
                <w:rFonts w:hint="eastAsia" w:eastAsia="仿宋_GB2312"/>
                <w:szCs w:val="21"/>
              </w:rPr>
              <w:t>3177.362</w:t>
            </w:r>
          </w:p>
        </w:tc>
        <w:tc>
          <w:tcPr>
            <w:tcW w:w="1196" w:type="pct"/>
            <w:vMerge w:val="continue"/>
            <w:tcBorders>
              <w:tl2br w:val="nil"/>
              <w:tr2bl w:val="nil"/>
            </w:tcBorders>
            <w:vAlign w:val="center"/>
          </w:tcPr>
          <w:p w14:paraId="0741E9A1">
            <w:pPr>
              <w:snapToGrid w:val="0"/>
              <w:spacing w:line="284" w:lineRule="exact"/>
              <w:jc w:val="center"/>
              <w:rPr>
                <w:rFonts w:eastAsia="仿宋_GB2312"/>
                <w:szCs w:val="21"/>
              </w:rPr>
            </w:pPr>
          </w:p>
        </w:tc>
      </w:tr>
      <w:tr w14:paraId="57CAC6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63" w:type="pct"/>
            <w:vMerge w:val="continue"/>
            <w:tcBorders>
              <w:tl2br w:val="nil"/>
              <w:tr2bl w:val="nil"/>
            </w:tcBorders>
            <w:vAlign w:val="center"/>
          </w:tcPr>
          <w:p w14:paraId="2089FA56">
            <w:pPr>
              <w:snapToGrid w:val="0"/>
              <w:spacing w:line="284" w:lineRule="exact"/>
              <w:jc w:val="center"/>
              <w:rPr>
                <w:rFonts w:eastAsia="仿宋_GB2312"/>
                <w:szCs w:val="21"/>
              </w:rPr>
            </w:pPr>
          </w:p>
        </w:tc>
        <w:tc>
          <w:tcPr>
            <w:tcW w:w="969" w:type="pct"/>
            <w:tcBorders>
              <w:tl2br w:val="nil"/>
              <w:tr2bl w:val="nil"/>
            </w:tcBorders>
            <w:vAlign w:val="center"/>
          </w:tcPr>
          <w:p w14:paraId="685584BD">
            <w:pPr>
              <w:snapToGrid w:val="0"/>
              <w:spacing w:line="284" w:lineRule="exact"/>
              <w:jc w:val="center"/>
              <w:rPr>
                <w:rFonts w:eastAsia="仿宋_GB2312"/>
                <w:szCs w:val="21"/>
              </w:rPr>
            </w:pPr>
            <w:r>
              <w:rPr>
                <w:rFonts w:hint="eastAsia" w:eastAsia="仿宋_GB2312"/>
                <w:szCs w:val="21"/>
              </w:rPr>
              <w:t>压滤污泥</w:t>
            </w:r>
          </w:p>
        </w:tc>
        <w:tc>
          <w:tcPr>
            <w:tcW w:w="530" w:type="pct"/>
            <w:tcBorders>
              <w:tl2br w:val="nil"/>
              <w:tr2bl w:val="nil"/>
            </w:tcBorders>
            <w:vAlign w:val="center"/>
          </w:tcPr>
          <w:p w14:paraId="33D23C26">
            <w:pPr>
              <w:snapToGrid w:val="0"/>
              <w:spacing w:line="284" w:lineRule="exact"/>
              <w:jc w:val="center"/>
              <w:rPr>
                <w:rFonts w:eastAsia="仿宋_GB2312"/>
                <w:szCs w:val="21"/>
              </w:rPr>
            </w:pPr>
            <w:r>
              <w:rPr>
                <w:rFonts w:hint="eastAsia" w:eastAsia="仿宋_GB2312"/>
                <w:szCs w:val="21"/>
              </w:rPr>
              <w:t>HW06</w:t>
            </w:r>
          </w:p>
        </w:tc>
        <w:tc>
          <w:tcPr>
            <w:tcW w:w="695" w:type="pct"/>
            <w:tcBorders>
              <w:tl2br w:val="nil"/>
              <w:tr2bl w:val="nil"/>
            </w:tcBorders>
            <w:vAlign w:val="center"/>
          </w:tcPr>
          <w:p w14:paraId="235A5074">
            <w:pPr>
              <w:snapToGrid w:val="0"/>
              <w:spacing w:line="284" w:lineRule="exact"/>
              <w:jc w:val="center"/>
              <w:rPr>
                <w:rFonts w:eastAsia="仿宋_GB2312"/>
                <w:szCs w:val="21"/>
              </w:rPr>
            </w:pPr>
            <w:r>
              <w:rPr>
                <w:rFonts w:hint="eastAsia" w:eastAsia="仿宋_GB2312"/>
                <w:szCs w:val="21"/>
              </w:rPr>
              <w:t>900-409-06</w:t>
            </w:r>
          </w:p>
        </w:tc>
        <w:tc>
          <w:tcPr>
            <w:tcW w:w="944" w:type="pct"/>
            <w:tcBorders>
              <w:tl2br w:val="nil"/>
              <w:tr2bl w:val="nil"/>
            </w:tcBorders>
            <w:vAlign w:val="center"/>
          </w:tcPr>
          <w:p w14:paraId="5ACD3307">
            <w:pPr>
              <w:snapToGrid w:val="0"/>
              <w:spacing w:line="284" w:lineRule="exact"/>
              <w:jc w:val="center"/>
              <w:rPr>
                <w:rFonts w:eastAsia="仿宋_GB2312"/>
                <w:szCs w:val="21"/>
              </w:rPr>
            </w:pPr>
            <w:r>
              <w:rPr>
                <w:rFonts w:hint="eastAsia" w:eastAsia="仿宋_GB2312"/>
                <w:szCs w:val="21"/>
              </w:rPr>
              <w:t>224.41</w:t>
            </w:r>
          </w:p>
        </w:tc>
        <w:tc>
          <w:tcPr>
            <w:tcW w:w="1196" w:type="pct"/>
            <w:vMerge w:val="continue"/>
            <w:tcBorders>
              <w:tl2br w:val="nil"/>
              <w:tr2bl w:val="nil"/>
            </w:tcBorders>
            <w:vAlign w:val="center"/>
          </w:tcPr>
          <w:p w14:paraId="0D2B78ED">
            <w:pPr>
              <w:snapToGrid w:val="0"/>
              <w:spacing w:line="284" w:lineRule="exact"/>
              <w:jc w:val="center"/>
              <w:rPr>
                <w:rFonts w:eastAsia="仿宋_GB2312"/>
                <w:szCs w:val="21"/>
              </w:rPr>
            </w:pPr>
          </w:p>
        </w:tc>
      </w:tr>
      <w:tr w14:paraId="67997B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63" w:type="pct"/>
            <w:vMerge w:val="continue"/>
            <w:tcBorders>
              <w:tl2br w:val="nil"/>
              <w:tr2bl w:val="nil"/>
            </w:tcBorders>
            <w:vAlign w:val="center"/>
          </w:tcPr>
          <w:p w14:paraId="19287BFC">
            <w:pPr>
              <w:snapToGrid w:val="0"/>
              <w:spacing w:line="284" w:lineRule="exact"/>
              <w:jc w:val="center"/>
              <w:rPr>
                <w:rFonts w:eastAsia="仿宋_GB2312"/>
                <w:szCs w:val="21"/>
              </w:rPr>
            </w:pPr>
          </w:p>
        </w:tc>
        <w:tc>
          <w:tcPr>
            <w:tcW w:w="969" w:type="pct"/>
            <w:tcBorders>
              <w:tl2br w:val="nil"/>
              <w:tr2bl w:val="nil"/>
            </w:tcBorders>
            <w:vAlign w:val="center"/>
          </w:tcPr>
          <w:p w14:paraId="41292DBE">
            <w:pPr>
              <w:snapToGrid w:val="0"/>
              <w:spacing w:line="284" w:lineRule="exact"/>
              <w:jc w:val="center"/>
              <w:rPr>
                <w:rFonts w:eastAsia="仿宋_GB2312"/>
                <w:szCs w:val="21"/>
              </w:rPr>
            </w:pPr>
            <w:r>
              <w:rPr>
                <w:rFonts w:hint="eastAsia" w:eastAsia="仿宋_GB2312"/>
                <w:szCs w:val="21"/>
              </w:rPr>
              <w:t>蒸发残液</w:t>
            </w:r>
          </w:p>
        </w:tc>
        <w:tc>
          <w:tcPr>
            <w:tcW w:w="530" w:type="pct"/>
            <w:tcBorders>
              <w:tl2br w:val="nil"/>
              <w:tr2bl w:val="nil"/>
            </w:tcBorders>
            <w:vAlign w:val="center"/>
          </w:tcPr>
          <w:p w14:paraId="63CC9887">
            <w:pPr>
              <w:snapToGrid w:val="0"/>
              <w:spacing w:line="284" w:lineRule="exact"/>
              <w:jc w:val="center"/>
              <w:rPr>
                <w:rFonts w:eastAsia="仿宋_GB2312"/>
                <w:szCs w:val="21"/>
              </w:rPr>
            </w:pPr>
            <w:r>
              <w:rPr>
                <w:rFonts w:hint="eastAsia" w:eastAsia="仿宋_GB2312"/>
                <w:szCs w:val="21"/>
              </w:rPr>
              <w:t>HW11</w:t>
            </w:r>
          </w:p>
        </w:tc>
        <w:tc>
          <w:tcPr>
            <w:tcW w:w="695" w:type="pct"/>
            <w:tcBorders>
              <w:tl2br w:val="nil"/>
              <w:tr2bl w:val="nil"/>
            </w:tcBorders>
            <w:vAlign w:val="center"/>
          </w:tcPr>
          <w:p w14:paraId="3B047053">
            <w:pPr>
              <w:snapToGrid w:val="0"/>
              <w:spacing w:line="284" w:lineRule="exact"/>
              <w:jc w:val="center"/>
              <w:rPr>
                <w:rFonts w:eastAsia="仿宋_GB2312"/>
                <w:szCs w:val="21"/>
              </w:rPr>
            </w:pPr>
            <w:r>
              <w:rPr>
                <w:rFonts w:hint="eastAsia" w:eastAsia="仿宋_GB2312"/>
                <w:szCs w:val="21"/>
              </w:rPr>
              <w:t>900-013-11</w:t>
            </w:r>
          </w:p>
        </w:tc>
        <w:tc>
          <w:tcPr>
            <w:tcW w:w="944" w:type="pct"/>
            <w:tcBorders>
              <w:tl2br w:val="nil"/>
              <w:tr2bl w:val="nil"/>
            </w:tcBorders>
            <w:vAlign w:val="center"/>
          </w:tcPr>
          <w:p w14:paraId="3455EE9A">
            <w:pPr>
              <w:snapToGrid w:val="0"/>
              <w:spacing w:line="284" w:lineRule="exact"/>
              <w:jc w:val="center"/>
              <w:rPr>
                <w:rFonts w:eastAsia="仿宋_GB2312"/>
                <w:szCs w:val="21"/>
              </w:rPr>
            </w:pPr>
            <w:r>
              <w:rPr>
                <w:rFonts w:hint="eastAsia" w:eastAsia="仿宋_GB2312"/>
                <w:szCs w:val="21"/>
              </w:rPr>
              <w:t>2052.42</w:t>
            </w:r>
          </w:p>
        </w:tc>
        <w:tc>
          <w:tcPr>
            <w:tcW w:w="1196" w:type="pct"/>
            <w:vMerge w:val="continue"/>
            <w:tcBorders>
              <w:tl2br w:val="nil"/>
              <w:tr2bl w:val="nil"/>
            </w:tcBorders>
            <w:vAlign w:val="center"/>
          </w:tcPr>
          <w:p w14:paraId="5FAF6A9A">
            <w:pPr>
              <w:snapToGrid w:val="0"/>
              <w:spacing w:line="284" w:lineRule="exact"/>
              <w:jc w:val="center"/>
              <w:rPr>
                <w:rFonts w:eastAsia="仿宋_GB2312"/>
                <w:szCs w:val="21"/>
              </w:rPr>
            </w:pPr>
          </w:p>
        </w:tc>
      </w:tr>
      <w:tr w14:paraId="4870CD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63" w:type="pct"/>
            <w:vMerge w:val="continue"/>
            <w:tcBorders>
              <w:tl2br w:val="nil"/>
              <w:tr2bl w:val="nil"/>
            </w:tcBorders>
            <w:vAlign w:val="center"/>
          </w:tcPr>
          <w:p w14:paraId="0633EEBF">
            <w:pPr>
              <w:snapToGrid w:val="0"/>
              <w:spacing w:line="284" w:lineRule="exact"/>
              <w:jc w:val="center"/>
              <w:rPr>
                <w:rFonts w:eastAsia="仿宋_GB2312"/>
                <w:szCs w:val="21"/>
              </w:rPr>
            </w:pPr>
          </w:p>
        </w:tc>
        <w:tc>
          <w:tcPr>
            <w:tcW w:w="969" w:type="pct"/>
            <w:tcBorders>
              <w:tl2br w:val="nil"/>
              <w:tr2bl w:val="nil"/>
            </w:tcBorders>
            <w:vAlign w:val="center"/>
          </w:tcPr>
          <w:p w14:paraId="115AB8FB">
            <w:pPr>
              <w:snapToGrid w:val="0"/>
              <w:spacing w:line="284" w:lineRule="exact"/>
              <w:jc w:val="center"/>
              <w:rPr>
                <w:rFonts w:eastAsia="仿宋_GB2312"/>
                <w:szCs w:val="21"/>
              </w:rPr>
            </w:pPr>
            <w:r>
              <w:rPr>
                <w:rFonts w:hint="eastAsia" w:eastAsia="仿宋_GB2312"/>
                <w:szCs w:val="21"/>
              </w:rPr>
              <w:t>废矿物油</w:t>
            </w:r>
          </w:p>
        </w:tc>
        <w:tc>
          <w:tcPr>
            <w:tcW w:w="530" w:type="pct"/>
            <w:tcBorders>
              <w:tl2br w:val="nil"/>
              <w:tr2bl w:val="nil"/>
            </w:tcBorders>
            <w:vAlign w:val="center"/>
          </w:tcPr>
          <w:p w14:paraId="6077335F">
            <w:pPr>
              <w:snapToGrid w:val="0"/>
              <w:spacing w:line="284" w:lineRule="exact"/>
              <w:jc w:val="center"/>
              <w:rPr>
                <w:rFonts w:eastAsia="仿宋_GB2312"/>
                <w:szCs w:val="21"/>
              </w:rPr>
            </w:pPr>
            <w:r>
              <w:rPr>
                <w:rFonts w:hint="eastAsia" w:eastAsia="仿宋_GB2312"/>
                <w:szCs w:val="21"/>
              </w:rPr>
              <w:t>HW08</w:t>
            </w:r>
          </w:p>
        </w:tc>
        <w:tc>
          <w:tcPr>
            <w:tcW w:w="695" w:type="pct"/>
            <w:tcBorders>
              <w:tl2br w:val="nil"/>
              <w:tr2bl w:val="nil"/>
            </w:tcBorders>
            <w:vAlign w:val="center"/>
          </w:tcPr>
          <w:p w14:paraId="57FABA92">
            <w:pPr>
              <w:snapToGrid w:val="0"/>
              <w:spacing w:line="284" w:lineRule="exact"/>
              <w:jc w:val="center"/>
              <w:rPr>
                <w:rFonts w:eastAsia="仿宋_GB2312"/>
                <w:szCs w:val="21"/>
              </w:rPr>
            </w:pPr>
            <w:r>
              <w:rPr>
                <w:rFonts w:hint="eastAsia" w:eastAsia="仿宋_GB2312"/>
                <w:szCs w:val="21"/>
              </w:rPr>
              <w:t>900-210-08</w:t>
            </w:r>
          </w:p>
        </w:tc>
        <w:tc>
          <w:tcPr>
            <w:tcW w:w="944" w:type="pct"/>
            <w:tcBorders>
              <w:tl2br w:val="nil"/>
              <w:tr2bl w:val="nil"/>
            </w:tcBorders>
            <w:vAlign w:val="center"/>
          </w:tcPr>
          <w:p w14:paraId="48D464EE">
            <w:pPr>
              <w:snapToGrid w:val="0"/>
              <w:spacing w:line="284" w:lineRule="exact"/>
              <w:jc w:val="center"/>
              <w:rPr>
                <w:rFonts w:eastAsia="仿宋_GB2312"/>
                <w:szCs w:val="21"/>
              </w:rPr>
            </w:pPr>
            <w:r>
              <w:rPr>
                <w:rFonts w:hint="eastAsia" w:eastAsia="仿宋_GB2312"/>
                <w:szCs w:val="21"/>
              </w:rPr>
              <w:t>840.7</w:t>
            </w:r>
          </w:p>
        </w:tc>
        <w:tc>
          <w:tcPr>
            <w:tcW w:w="1196" w:type="pct"/>
            <w:vMerge w:val="continue"/>
            <w:tcBorders>
              <w:tl2br w:val="nil"/>
              <w:tr2bl w:val="nil"/>
            </w:tcBorders>
            <w:vAlign w:val="center"/>
          </w:tcPr>
          <w:p w14:paraId="1730DBE6">
            <w:pPr>
              <w:snapToGrid w:val="0"/>
              <w:spacing w:line="284" w:lineRule="exact"/>
              <w:jc w:val="center"/>
              <w:rPr>
                <w:rFonts w:eastAsia="仿宋_GB2312"/>
                <w:szCs w:val="21"/>
              </w:rPr>
            </w:pPr>
          </w:p>
        </w:tc>
      </w:tr>
      <w:tr w14:paraId="54C02B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63" w:type="pct"/>
            <w:vMerge w:val="continue"/>
            <w:tcBorders>
              <w:tl2br w:val="nil"/>
              <w:tr2bl w:val="nil"/>
            </w:tcBorders>
            <w:vAlign w:val="center"/>
          </w:tcPr>
          <w:p w14:paraId="2A861516">
            <w:pPr>
              <w:snapToGrid w:val="0"/>
              <w:spacing w:line="284" w:lineRule="exact"/>
              <w:jc w:val="center"/>
              <w:rPr>
                <w:rFonts w:eastAsia="仿宋_GB2312"/>
                <w:szCs w:val="21"/>
              </w:rPr>
            </w:pPr>
          </w:p>
        </w:tc>
        <w:tc>
          <w:tcPr>
            <w:tcW w:w="969" w:type="pct"/>
            <w:tcBorders>
              <w:tl2br w:val="nil"/>
              <w:tr2bl w:val="nil"/>
            </w:tcBorders>
            <w:vAlign w:val="center"/>
          </w:tcPr>
          <w:p w14:paraId="74E3A6D5">
            <w:pPr>
              <w:snapToGrid w:val="0"/>
              <w:spacing w:line="284" w:lineRule="exact"/>
              <w:jc w:val="center"/>
              <w:rPr>
                <w:rFonts w:eastAsia="仿宋_GB2312"/>
                <w:szCs w:val="21"/>
              </w:rPr>
            </w:pPr>
            <w:r>
              <w:rPr>
                <w:rFonts w:eastAsia="仿宋_GB2312"/>
                <w:szCs w:val="21"/>
              </w:rPr>
              <w:t>清洗废液</w:t>
            </w:r>
          </w:p>
        </w:tc>
        <w:tc>
          <w:tcPr>
            <w:tcW w:w="530" w:type="pct"/>
            <w:tcBorders>
              <w:tl2br w:val="nil"/>
              <w:tr2bl w:val="nil"/>
            </w:tcBorders>
            <w:vAlign w:val="center"/>
          </w:tcPr>
          <w:p w14:paraId="5C844245">
            <w:pPr>
              <w:snapToGrid w:val="0"/>
              <w:spacing w:line="284" w:lineRule="exact"/>
              <w:jc w:val="center"/>
              <w:rPr>
                <w:rFonts w:eastAsia="仿宋_GB2312"/>
                <w:szCs w:val="21"/>
              </w:rPr>
            </w:pPr>
            <w:r>
              <w:rPr>
                <w:rFonts w:eastAsia="仿宋_GB2312"/>
                <w:szCs w:val="21"/>
              </w:rPr>
              <w:t>HW06</w:t>
            </w:r>
          </w:p>
        </w:tc>
        <w:tc>
          <w:tcPr>
            <w:tcW w:w="695" w:type="pct"/>
            <w:tcBorders>
              <w:tl2br w:val="nil"/>
              <w:tr2bl w:val="nil"/>
            </w:tcBorders>
            <w:vAlign w:val="center"/>
          </w:tcPr>
          <w:p w14:paraId="58EF4BDF">
            <w:pPr>
              <w:snapToGrid w:val="0"/>
              <w:spacing w:line="284" w:lineRule="exact"/>
              <w:jc w:val="center"/>
              <w:rPr>
                <w:rFonts w:eastAsia="仿宋_GB2312"/>
                <w:szCs w:val="21"/>
              </w:rPr>
            </w:pPr>
            <w:r>
              <w:rPr>
                <w:rFonts w:eastAsia="仿宋_GB2312"/>
                <w:szCs w:val="21"/>
              </w:rPr>
              <w:t>900-402-06</w:t>
            </w:r>
          </w:p>
        </w:tc>
        <w:tc>
          <w:tcPr>
            <w:tcW w:w="944" w:type="pct"/>
            <w:tcBorders>
              <w:tl2br w:val="nil"/>
              <w:tr2bl w:val="nil"/>
            </w:tcBorders>
            <w:vAlign w:val="center"/>
          </w:tcPr>
          <w:p w14:paraId="6F3E9F0C">
            <w:pPr>
              <w:snapToGrid w:val="0"/>
              <w:spacing w:line="284" w:lineRule="exact"/>
              <w:jc w:val="center"/>
              <w:rPr>
                <w:rFonts w:eastAsia="仿宋_GB2312"/>
                <w:szCs w:val="21"/>
              </w:rPr>
            </w:pPr>
            <w:r>
              <w:rPr>
                <w:rFonts w:eastAsia="仿宋_GB2312"/>
                <w:szCs w:val="21"/>
              </w:rPr>
              <w:t>20</w:t>
            </w:r>
          </w:p>
        </w:tc>
        <w:tc>
          <w:tcPr>
            <w:tcW w:w="1196" w:type="pct"/>
            <w:vMerge w:val="continue"/>
            <w:tcBorders>
              <w:tl2br w:val="nil"/>
              <w:tr2bl w:val="nil"/>
            </w:tcBorders>
            <w:vAlign w:val="center"/>
          </w:tcPr>
          <w:p w14:paraId="506884EC">
            <w:pPr>
              <w:snapToGrid w:val="0"/>
              <w:spacing w:line="284" w:lineRule="exact"/>
              <w:jc w:val="center"/>
              <w:rPr>
                <w:rFonts w:eastAsia="仿宋_GB2312"/>
                <w:szCs w:val="21"/>
              </w:rPr>
            </w:pPr>
          </w:p>
        </w:tc>
      </w:tr>
      <w:tr w14:paraId="60279A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63" w:type="pct"/>
            <w:vMerge w:val="continue"/>
            <w:tcBorders>
              <w:tl2br w:val="nil"/>
              <w:tr2bl w:val="nil"/>
            </w:tcBorders>
            <w:vAlign w:val="center"/>
          </w:tcPr>
          <w:p w14:paraId="6B4EB855">
            <w:pPr>
              <w:snapToGrid w:val="0"/>
              <w:spacing w:line="284" w:lineRule="exact"/>
              <w:jc w:val="center"/>
              <w:rPr>
                <w:rFonts w:eastAsia="仿宋_GB2312"/>
                <w:szCs w:val="21"/>
              </w:rPr>
            </w:pPr>
          </w:p>
        </w:tc>
        <w:tc>
          <w:tcPr>
            <w:tcW w:w="969" w:type="pct"/>
            <w:tcBorders>
              <w:tl2br w:val="nil"/>
              <w:tr2bl w:val="nil"/>
            </w:tcBorders>
            <w:vAlign w:val="center"/>
          </w:tcPr>
          <w:p w14:paraId="46027683">
            <w:pPr>
              <w:snapToGrid w:val="0"/>
              <w:spacing w:line="284" w:lineRule="exact"/>
              <w:jc w:val="center"/>
              <w:rPr>
                <w:rFonts w:eastAsia="仿宋_GB2312"/>
                <w:szCs w:val="21"/>
              </w:rPr>
            </w:pPr>
            <w:r>
              <w:rPr>
                <w:rFonts w:hint="eastAsia" w:eastAsia="仿宋_GB2312"/>
                <w:szCs w:val="21"/>
              </w:rPr>
              <w:t>蒸发残渣</w:t>
            </w:r>
          </w:p>
        </w:tc>
        <w:tc>
          <w:tcPr>
            <w:tcW w:w="530" w:type="pct"/>
            <w:tcBorders>
              <w:tl2br w:val="nil"/>
              <w:tr2bl w:val="nil"/>
            </w:tcBorders>
            <w:vAlign w:val="center"/>
          </w:tcPr>
          <w:p w14:paraId="67894D23">
            <w:pPr>
              <w:snapToGrid w:val="0"/>
              <w:spacing w:line="284" w:lineRule="exact"/>
              <w:jc w:val="center"/>
              <w:rPr>
                <w:rFonts w:eastAsia="仿宋_GB2312"/>
                <w:szCs w:val="21"/>
              </w:rPr>
            </w:pPr>
            <w:r>
              <w:rPr>
                <w:rFonts w:hint="eastAsia" w:eastAsia="仿宋_GB2312"/>
                <w:szCs w:val="21"/>
              </w:rPr>
              <w:t>HW11</w:t>
            </w:r>
          </w:p>
        </w:tc>
        <w:tc>
          <w:tcPr>
            <w:tcW w:w="695" w:type="pct"/>
            <w:tcBorders>
              <w:tl2br w:val="nil"/>
              <w:tr2bl w:val="nil"/>
            </w:tcBorders>
            <w:vAlign w:val="center"/>
          </w:tcPr>
          <w:p w14:paraId="196137D8">
            <w:pPr>
              <w:snapToGrid w:val="0"/>
              <w:spacing w:line="284" w:lineRule="exact"/>
              <w:jc w:val="center"/>
              <w:rPr>
                <w:rFonts w:eastAsia="仿宋_GB2312"/>
                <w:szCs w:val="21"/>
              </w:rPr>
            </w:pPr>
            <w:r>
              <w:rPr>
                <w:rFonts w:hint="eastAsia" w:eastAsia="仿宋_GB2312"/>
                <w:szCs w:val="21"/>
              </w:rPr>
              <w:t>900-013-11</w:t>
            </w:r>
          </w:p>
        </w:tc>
        <w:tc>
          <w:tcPr>
            <w:tcW w:w="944" w:type="pct"/>
            <w:tcBorders>
              <w:tl2br w:val="nil"/>
              <w:tr2bl w:val="nil"/>
            </w:tcBorders>
            <w:vAlign w:val="center"/>
          </w:tcPr>
          <w:p w14:paraId="41A8242C">
            <w:pPr>
              <w:snapToGrid w:val="0"/>
              <w:spacing w:line="284" w:lineRule="exact"/>
              <w:jc w:val="center"/>
              <w:rPr>
                <w:rFonts w:eastAsia="仿宋_GB2312"/>
                <w:szCs w:val="21"/>
              </w:rPr>
            </w:pPr>
            <w:r>
              <w:rPr>
                <w:rFonts w:hint="eastAsia" w:eastAsia="仿宋_GB2312"/>
                <w:szCs w:val="21"/>
              </w:rPr>
              <w:t>20.62191</w:t>
            </w:r>
          </w:p>
        </w:tc>
        <w:tc>
          <w:tcPr>
            <w:tcW w:w="1196" w:type="pct"/>
            <w:vMerge w:val="continue"/>
            <w:tcBorders>
              <w:tl2br w:val="nil"/>
              <w:tr2bl w:val="nil"/>
            </w:tcBorders>
            <w:vAlign w:val="center"/>
          </w:tcPr>
          <w:p w14:paraId="6A80897E">
            <w:pPr>
              <w:snapToGrid w:val="0"/>
              <w:spacing w:line="284" w:lineRule="exact"/>
              <w:jc w:val="center"/>
              <w:rPr>
                <w:rFonts w:eastAsia="仿宋_GB2312"/>
                <w:szCs w:val="21"/>
              </w:rPr>
            </w:pPr>
          </w:p>
        </w:tc>
      </w:tr>
      <w:tr w14:paraId="05325C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63" w:type="pct"/>
            <w:vMerge w:val="continue"/>
            <w:tcBorders>
              <w:tl2br w:val="nil"/>
              <w:tr2bl w:val="nil"/>
            </w:tcBorders>
            <w:vAlign w:val="center"/>
          </w:tcPr>
          <w:p w14:paraId="6A71AB2F">
            <w:pPr>
              <w:snapToGrid w:val="0"/>
              <w:spacing w:line="284" w:lineRule="exact"/>
              <w:jc w:val="center"/>
              <w:rPr>
                <w:rFonts w:eastAsia="仿宋_GB2312"/>
                <w:szCs w:val="21"/>
              </w:rPr>
            </w:pPr>
          </w:p>
        </w:tc>
        <w:tc>
          <w:tcPr>
            <w:tcW w:w="969" w:type="pct"/>
            <w:tcBorders>
              <w:tl2br w:val="nil"/>
              <w:tr2bl w:val="nil"/>
            </w:tcBorders>
            <w:vAlign w:val="center"/>
          </w:tcPr>
          <w:p w14:paraId="25C10AA9">
            <w:pPr>
              <w:snapToGrid w:val="0"/>
              <w:spacing w:line="284" w:lineRule="exact"/>
              <w:jc w:val="center"/>
              <w:rPr>
                <w:rFonts w:eastAsia="仿宋_GB2312"/>
                <w:szCs w:val="21"/>
              </w:rPr>
            </w:pPr>
            <w:r>
              <w:rPr>
                <w:rFonts w:hint="eastAsia" w:eastAsia="仿宋_GB2312"/>
                <w:szCs w:val="21"/>
              </w:rPr>
              <w:t>废活性炭</w:t>
            </w:r>
          </w:p>
        </w:tc>
        <w:tc>
          <w:tcPr>
            <w:tcW w:w="530" w:type="pct"/>
            <w:tcBorders>
              <w:tl2br w:val="nil"/>
              <w:tr2bl w:val="nil"/>
            </w:tcBorders>
            <w:vAlign w:val="center"/>
          </w:tcPr>
          <w:p w14:paraId="79C2AE0A">
            <w:pPr>
              <w:snapToGrid w:val="0"/>
              <w:spacing w:line="284" w:lineRule="exact"/>
              <w:jc w:val="center"/>
              <w:rPr>
                <w:rFonts w:eastAsia="仿宋_GB2312"/>
                <w:szCs w:val="21"/>
              </w:rPr>
            </w:pPr>
            <w:r>
              <w:rPr>
                <w:rFonts w:hint="eastAsia" w:eastAsia="仿宋_GB2312"/>
                <w:szCs w:val="21"/>
              </w:rPr>
              <w:t>HW49</w:t>
            </w:r>
          </w:p>
        </w:tc>
        <w:tc>
          <w:tcPr>
            <w:tcW w:w="695" w:type="pct"/>
            <w:tcBorders>
              <w:tl2br w:val="nil"/>
              <w:tr2bl w:val="nil"/>
            </w:tcBorders>
            <w:vAlign w:val="center"/>
          </w:tcPr>
          <w:p w14:paraId="3C9B9BC3">
            <w:pPr>
              <w:snapToGrid w:val="0"/>
              <w:spacing w:line="284" w:lineRule="exact"/>
              <w:jc w:val="center"/>
              <w:rPr>
                <w:rFonts w:eastAsia="仿宋_GB2312"/>
                <w:szCs w:val="21"/>
              </w:rPr>
            </w:pPr>
            <w:r>
              <w:rPr>
                <w:rFonts w:hint="eastAsia" w:eastAsia="仿宋_GB2312"/>
                <w:szCs w:val="21"/>
              </w:rPr>
              <w:t>900-039-49</w:t>
            </w:r>
          </w:p>
        </w:tc>
        <w:tc>
          <w:tcPr>
            <w:tcW w:w="944" w:type="pct"/>
            <w:tcBorders>
              <w:tl2br w:val="nil"/>
              <w:tr2bl w:val="nil"/>
            </w:tcBorders>
            <w:vAlign w:val="center"/>
          </w:tcPr>
          <w:p w14:paraId="38B3517F">
            <w:pPr>
              <w:snapToGrid w:val="0"/>
              <w:spacing w:line="284" w:lineRule="exact"/>
              <w:jc w:val="center"/>
              <w:rPr>
                <w:rFonts w:eastAsia="仿宋_GB2312"/>
                <w:szCs w:val="21"/>
              </w:rPr>
            </w:pPr>
            <w:r>
              <w:rPr>
                <w:rFonts w:hint="eastAsia" w:eastAsia="仿宋_GB2312"/>
                <w:szCs w:val="21"/>
              </w:rPr>
              <w:t>74</w:t>
            </w:r>
          </w:p>
        </w:tc>
        <w:tc>
          <w:tcPr>
            <w:tcW w:w="1196" w:type="pct"/>
            <w:tcBorders>
              <w:tl2br w:val="nil"/>
              <w:tr2bl w:val="nil"/>
            </w:tcBorders>
            <w:vAlign w:val="center"/>
          </w:tcPr>
          <w:p w14:paraId="524A3DD1">
            <w:pPr>
              <w:snapToGrid w:val="0"/>
              <w:spacing w:line="284" w:lineRule="exact"/>
              <w:jc w:val="center"/>
              <w:rPr>
                <w:rFonts w:eastAsia="仿宋_GB2312"/>
                <w:szCs w:val="21"/>
              </w:rPr>
            </w:pPr>
            <w:r>
              <w:rPr>
                <w:rFonts w:eastAsia="仿宋_GB2312"/>
                <w:szCs w:val="21"/>
              </w:rPr>
              <w:t>委托有资质单位处置</w:t>
            </w:r>
          </w:p>
        </w:tc>
      </w:tr>
      <w:tr w14:paraId="57DABE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63" w:type="pct"/>
            <w:vMerge w:val="continue"/>
            <w:tcBorders>
              <w:tl2br w:val="nil"/>
              <w:tr2bl w:val="nil"/>
            </w:tcBorders>
            <w:vAlign w:val="center"/>
          </w:tcPr>
          <w:p w14:paraId="78046833">
            <w:pPr>
              <w:snapToGrid w:val="0"/>
              <w:spacing w:line="284" w:lineRule="exact"/>
              <w:jc w:val="center"/>
              <w:rPr>
                <w:rFonts w:eastAsia="仿宋_GB2312"/>
                <w:szCs w:val="21"/>
              </w:rPr>
            </w:pPr>
          </w:p>
        </w:tc>
        <w:tc>
          <w:tcPr>
            <w:tcW w:w="969" w:type="pct"/>
            <w:tcBorders>
              <w:tl2br w:val="nil"/>
              <w:tr2bl w:val="nil"/>
            </w:tcBorders>
            <w:vAlign w:val="center"/>
          </w:tcPr>
          <w:p w14:paraId="5C1E580C">
            <w:pPr>
              <w:snapToGrid w:val="0"/>
              <w:spacing w:line="284" w:lineRule="exact"/>
              <w:jc w:val="center"/>
              <w:rPr>
                <w:rFonts w:eastAsia="仿宋_GB2312"/>
                <w:szCs w:val="21"/>
              </w:rPr>
            </w:pPr>
            <w:r>
              <w:rPr>
                <w:rFonts w:hint="eastAsia" w:eastAsia="仿宋_GB2312"/>
                <w:szCs w:val="21"/>
              </w:rPr>
              <w:t>冷凝废液</w:t>
            </w:r>
          </w:p>
        </w:tc>
        <w:tc>
          <w:tcPr>
            <w:tcW w:w="530" w:type="pct"/>
            <w:tcBorders>
              <w:tl2br w:val="nil"/>
              <w:tr2bl w:val="nil"/>
            </w:tcBorders>
            <w:vAlign w:val="center"/>
          </w:tcPr>
          <w:p w14:paraId="1324B761">
            <w:pPr>
              <w:snapToGrid w:val="0"/>
              <w:spacing w:line="284" w:lineRule="exact"/>
              <w:jc w:val="center"/>
              <w:rPr>
                <w:rFonts w:eastAsia="仿宋_GB2312"/>
                <w:szCs w:val="21"/>
              </w:rPr>
            </w:pPr>
            <w:r>
              <w:rPr>
                <w:rFonts w:hint="eastAsia" w:eastAsia="仿宋_GB2312"/>
                <w:szCs w:val="21"/>
              </w:rPr>
              <w:t>HW06</w:t>
            </w:r>
          </w:p>
        </w:tc>
        <w:tc>
          <w:tcPr>
            <w:tcW w:w="695" w:type="pct"/>
            <w:tcBorders>
              <w:tl2br w:val="nil"/>
              <w:tr2bl w:val="nil"/>
            </w:tcBorders>
            <w:vAlign w:val="center"/>
          </w:tcPr>
          <w:p w14:paraId="029BB0C0">
            <w:pPr>
              <w:snapToGrid w:val="0"/>
              <w:spacing w:line="284" w:lineRule="exact"/>
              <w:jc w:val="center"/>
              <w:rPr>
                <w:rFonts w:eastAsia="仿宋_GB2312"/>
                <w:szCs w:val="21"/>
              </w:rPr>
            </w:pPr>
            <w:r>
              <w:rPr>
                <w:rFonts w:hint="eastAsia" w:eastAsia="仿宋_GB2312"/>
                <w:szCs w:val="21"/>
              </w:rPr>
              <w:t>900-401-06</w:t>
            </w:r>
          </w:p>
        </w:tc>
        <w:tc>
          <w:tcPr>
            <w:tcW w:w="944" w:type="pct"/>
            <w:tcBorders>
              <w:tl2br w:val="nil"/>
              <w:tr2bl w:val="nil"/>
            </w:tcBorders>
            <w:vAlign w:val="center"/>
          </w:tcPr>
          <w:p w14:paraId="29D8652E">
            <w:pPr>
              <w:snapToGrid w:val="0"/>
              <w:spacing w:line="284" w:lineRule="exact"/>
              <w:jc w:val="center"/>
              <w:rPr>
                <w:rFonts w:eastAsia="仿宋_GB2312"/>
                <w:szCs w:val="21"/>
              </w:rPr>
            </w:pPr>
            <w:r>
              <w:rPr>
                <w:rFonts w:hint="eastAsia" w:eastAsia="仿宋_GB2312"/>
                <w:szCs w:val="21"/>
              </w:rPr>
              <w:t>64.5</w:t>
            </w:r>
          </w:p>
        </w:tc>
        <w:tc>
          <w:tcPr>
            <w:tcW w:w="1196" w:type="pct"/>
            <w:vMerge w:val="restart"/>
            <w:tcBorders>
              <w:tl2br w:val="nil"/>
              <w:tr2bl w:val="nil"/>
            </w:tcBorders>
            <w:vAlign w:val="center"/>
          </w:tcPr>
          <w:p w14:paraId="6DAE6EBA">
            <w:pPr>
              <w:snapToGrid w:val="0"/>
              <w:spacing w:line="284" w:lineRule="exact"/>
              <w:jc w:val="center"/>
              <w:rPr>
                <w:rFonts w:eastAsia="仿宋_GB2312"/>
                <w:szCs w:val="21"/>
              </w:rPr>
            </w:pPr>
            <w:r>
              <w:rPr>
                <w:rFonts w:hint="eastAsia" w:eastAsia="仿宋_GB2312"/>
                <w:szCs w:val="21"/>
              </w:rPr>
              <w:t>自行焚烧处置</w:t>
            </w:r>
          </w:p>
        </w:tc>
      </w:tr>
      <w:tr w14:paraId="6D1F72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63" w:type="pct"/>
            <w:vMerge w:val="continue"/>
            <w:tcBorders>
              <w:tl2br w:val="nil"/>
              <w:tr2bl w:val="nil"/>
            </w:tcBorders>
            <w:vAlign w:val="center"/>
          </w:tcPr>
          <w:p w14:paraId="7DC4273A">
            <w:pPr>
              <w:snapToGrid w:val="0"/>
              <w:spacing w:line="284" w:lineRule="exact"/>
              <w:jc w:val="center"/>
              <w:rPr>
                <w:rFonts w:eastAsia="仿宋_GB2312"/>
                <w:szCs w:val="21"/>
              </w:rPr>
            </w:pPr>
          </w:p>
        </w:tc>
        <w:tc>
          <w:tcPr>
            <w:tcW w:w="969" w:type="pct"/>
            <w:tcBorders>
              <w:tl2br w:val="nil"/>
              <w:tr2bl w:val="nil"/>
            </w:tcBorders>
            <w:vAlign w:val="center"/>
          </w:tcPr>
          <w:p w14:paraId="6921DB4C">
            <w:pPr>
              <w:snapToGrid w:val="0"/>
              <w:spacing w:line="284" w:lineRule="exact"/>
              <w:jc w:val="center"/>
              <w:rPr>
                <w:rFonts w:eastAsia="仿宋_GB2312"/>
                <w:szCs w:val="21"/>
              </w:rPr>
            </w:pPr>
            <w:r>
              <w:rPr>
                <w:rFonts w:hint="eastAsia" w:eastAsia="仿宋_GB2312"/>
                <w:szCs w:val="21"/>
              </w:rPr>
              <w:t>废包装袋</w:t>
            </w:r>
          </w:p>
        </w:tc>
        <w:tc>
          <w:tcPr>
            <w:tcW w:w="530" w:type="pct"/>
            <w:tcBorders>
              <w:tl2br w:val="nil"/>
              <w:tr2bl w:val="nil"/>
            </w:tcBorders>
            <w:vAlign w:val="center"/>
          </w:tcPr>
          <w:p w14:paraId="52E6DCEF">
            <w:pPr>
              <w:snapToGrid w:val="0"/>
              <w:spacing w:line="284" w:lineRule="exact"/>
              <w:jc w:val="center"/>
              <w:rPr>
                <w:rFonts w:eastAsia="仿宋_GB2312"/>
                <w:szCs w:val="21"/>
              </w:rPr>
            </w:pPr>
            <w:r>
              <w:rPr>
                <w:rFonts w:hint="eastAsia" w:eastAsia="仿宋_GB2312"/>
                <w:szCs w:val="21"/>
              </w:rPr>
              <w:t>HW49</w:t>
            </w:r>
          </w:p>
        </w:tc>
        <w:tc>
          <w:tcPr>
            <w:tcW w:w="695" w:type="pct"/>
            <w:tcBorders>
              <w:tl2br w:val="nil"/>
              <w:tr2bl w:val="nil"/>
            </w:tcBorders>
            <w:vAlign w:val="center"/>
          </w:tcPr>
          <w:p w14:paraId="7DB68CFE">
            <w:pPr>
              <w:snapToGrid w:val="0"/>
              <w:spacing w:line="284" w:lineRule="exact"/>
              <w:jc w:val="center"/>
              <w:rPr>
                <w:rFonts w:eastAsia="仿宋_GB2312"/>
                <w:szCs w:val="21"/>
              </w:rPr>
            </w:pPr>
            <w:r>
              <w:rPr>
                <w:rFonts w:hint="eastAsia" w:eastAsia="仿宋_GB2312"/>
                <w:szCs w:val="21"/>
              </w:rPr>
              <w:t>900-041-49</w:t>
            </w:r>
          </w:p>
        </w:tc>
        <w:tc>
          <w:tcPr>
            <w:tcW w:w="944" w:type="pct"/>
            <w:tcBorders>
              <w:tl2br w:val="nil"/>
              <w:tr2bl w:val="nil"/>
            </w:tcBorders>
            <w:vAlign w:val="center"/>
          </w:tcPr>
          <w:p w14:paraId="5F4BFA1C">
            <w:pPr>
              <w:snapToGrid w:val="0"/>
              <w:spacing w:line="284" w:lineRule="exact"/>
              <w:jc w:val="center"/>
              <w:rPr>
                <w:rFonts w:eastAsia="仿宋_GB2312"/>
                <w:szCs w:val="21"/>
              </w:rPr>
            </w:pPr>
            <w:r>
              <w:rPr>
                <w:rFonts w:hint="eastAsia" w:eastAsia="仿宋_GB2312"/>
                <w:szCs w:val="21"/>
              </w:rPr>
              <w:t>10</w:t>
            </w:r>
          </w:p>
        </w:tc>
        <w:tc>
          <w:tcPr>
            <w:tcW w:w="1196" w:type="pct"/>
            <w:vMerge w:val="continue"/>
            <w:tcBorders>
              <w:tl2br w:val="nil"/>
              <w:tr2bl w:val="nil"/>
            </w:tcBorders>
            <w:vAlign w:val="center"/>
          </w:tcPr>
          <w:p w14:paraId="00C6FE89">
            <w:pPr>
              <w:snapToGrid w:val="0"/>
              <w:spacing w:line="284" w:lineRule="exact"/>
              <w:jc w:val="center"/>
              <w:rPr>
                <w:rFonts w:eastAsia="仿宋_GB2312"/>
                <w:szCs w:val="21"/>
              </w:rPr>
            </w:pPr>
          </w:p>
        </w:tc>
      </w:tr>
      <w:tr w14:paraId="65E203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63" w:type="pct"/>
            <w:vMerge w:val="continue"/>
            <w:tcBorders>
              <w:tl2br w:val="nil"/>
              <w:tr2bl w:val="nil"/>
            </w:tcBorders>
            <w:vAlign w:val="center"/>
          </w:tcPr>
          <w:p w14:paraId="6A7D98C7">
            <w:pPr>
              <w:snapToGrid w:val="0"/>
              <w:spacing w:line="284" w:lineRule="exact"/>
              <w:jc w:val="center"/>
              <w:rPr>
                <w:rFonts w:eastAsia="仿宋_GB2312"/>
                <w:szCs w:val="21"/>
              </w:rPr>
            </w:pPr>
          </w:p>
        </w:tc>
        <w:tc>
          <w:tcPr>
            <w:tcW w:w="969" w:type="pct"/>
            <w:tcBorders>
              <w:tl2br w:val="nil"/>
              <w:tr2bl w:val="nil"/>
            </w:tcBorders>
            <w:vAlign w:val="center"/>
          </w:tcPr>
          <w:p w14:paraId="6F5AED45">
            <w:pPr>
              <w:snapToGrid w:val="0"/>
              <w:spacing w:line="284" w:lineRule="exact"/>
              <w:jc w:val="center"/>
              <w:rPr>
                <w:rFonts w:eastAsia="仿宋_GB2312"/>
                <w:szCs w:val="21"/>
              </w:rPr>
            </w:pPr>
            <w:r>
              <w:rPr>
                <w:rFonts w:hint="eastAsia" w:eastAsia="仿宋_GB2312"/>
                <w:szCs w:val="21"/>
              </w:rPr>
              <w:t>车间清洁废物</w:t>
            </w:r>
          </w:p>
        </w:tc>
        <w:tc>
          <w:tcPr>
            <w:tcW w:w="530" w:type="pct"/>
            <w:tcBorders>
              <w:tl2br w:val="nil"/>
              <w:tr2bl w:val="nil"/>
            </w:tcBorders>
            <w:vAlign w:val="center"/>
          </w:tcPr>
          <w:p w14:paraId="0E4D6E40">
            <w:pPr>
              <w:snapToGrid w:val="0"/>
              <w:spacing w:line="284" w:lineRule="exact"/>
              <w:jc w:val="center"/>
              <w:rPr>
                <w:rFonts w:eastAsia="仿宋_GB2312"/>
                <w:szCs w:val="21"/>
              </w:rPr>
            </w:pPr>
            <w:r>
              <w:rPr>
                <w:rFonts w:hint="eastAsia" w:eastAsia="仿宋_GB2312"/>
                <w:szCs w:val="21"/>
              </w:rPr>
              <w:t>HW49</w:t>
            </w:r>
          </w:p>
        </w:tc>
        <w:tc>
          <w:tcPr>
            <w:tcW w:w="695" w:type="pct"/>
            <w:tcBorders>
              <w:tl2br w:val="nil"/>
              <w:tr2bl w:val="nil"/>
            </w:tcBorders>
            <w:vAlign w:val="center"/>
          </w:tcPr>
          <w:p w14:paraId="4B8B3C3B">
            <w:pPr>
              <w:snapToGrid w:val="0"/>
              <w:spacing w:line="284" w:lineRule="exact"/>
              <w:jc w:val="center"/>
              <w:rPr>
                <w:rFonts w:eastAsia="仿宋_GB2312"/>
                <w:szCs w:val="21"/>
              </w:rPr>
            </w:pPr>
            <w:r>
              <w:rPr>
                <w:rFonts w:hint="eastAsia" w:eastAsia="仿宋_GB2312"/>
                <w:szCs w:val="21"/>
              </w:rPr>
              <w:t>900-041-49</w:t>
            </w:r>
          </w:p>
        </w:tc>
        <w:tc>
          <w:tcPr>
            <w:tcW w:w="944" w:type="pct"/>
            <w:tcBorders>
              <w:tl2br w:val="nil"/>
              <w:tr2bl w:val="nil"/>
            </w:tcBorders>
            <w:vAlign w:val="center"/>
          </w:tcPr>
          <w:p w14:paraId="37927901">
            <w:pPr>
              <w:snapToGrid w:val="0"/>
              <w:spacing w:line="284" w:lineRule="exact"/>
              <w:jc w:val="center"/>
              <w:rPr>
                <w:rFonts w:eastAsia="仿宋_GB2312"/>
                <w:szCs w:val="21"/>
              </w:rPr>
            </w:pPr>
            <w:r>
              <w:rPr>
                <w:rFonts w:hint="eastAsia" w:eastAsia="仿宋_GB2312"/>
                <w:szCs w:val="21"/>
              </w:rPr>
              <w:t>0.2</w:t>
            </w:r>
          </w:p>
        </w:tc>
        <w:tc>
          <w:tcPr>
            <w:tcW w:w="1196" w:type="pct"/>
            <w:vMerge w:val="continue"/>
            <w:tcBorders>
              <w:tl2br w:val="nil"/>
              <w:tr2bl w:val="nil"/>
            </w:tcBorders>
            <w:vAlign w:val="center"/>
          </w:tcPr>
          <w:p w14:paraId="0938DF7A">
            <w:pPr>
              <w:snapToGrid w:val="0"/>
              <w:spacing w:line="284" w:lineRule="exact"/>
              <w:jc w:val="center"/>
              <w:rPr>
                <w:rFonts w:eastAsia="仿宋_GB2312"/>
                <w:szCs w:val="21"/>
              </w:rPr>
            </w:pPr>
          </w:p>
        </w:tc>
      </w:tr>
      <w:tr w14:paraId="3B9888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63" w:type="pct"/>
            <w:vMerge w:val="continue"/>
            <w:tcBorders>
              <w:tl2br w:val="nil"/>
              <w:tr2bl w:val="nil"/>
            </w:tcBorders>
            <w:vAlign w:val="center"/>
          </w:tcPr>
          <w:p w14:paraId="2A9C8269">
            <w:pPr>
              <w:snapToGrid w:val="0"/>
              <w:spacing w:line="284" w:lineRule="exact"/>
              <w:jc w:val="center"/>
              <w:rPr>
                <w:rFonts w:eastAsia="仿宋_GB2312"/>
                <w:szCs w:val="21"/>
              </w:rPr>
            </w:pPr>
          </w:p>
        </w:tc>
        <w:tc>
          <w:tcPr>
            <w:tcW w:w="969" w:type="pct"/>
            <w:tcBorders>
              <w:tl2br w:val="nil"/>
              <w:tr2bl w:val="nil"/>
            </w:tcBorders>
            <w:vAlign w:val="center"/>
          </w:tcPr>
          <w:p w14:paraId="5143CAD0">
            <w:pPr>
              <w:snapToGrid w:val="0"/>
              <w:spacing w:line="284" w:lineRule="exact"/>
              <w:jc w:val="center"/>
              <w:rPr>
                <w:rFonts w:eastAsia="仿宋_GB2312"/>
                <w:szCs w:val="21"/>
              </w:rPr>
            </w:pPr>
            <w:r>
              <w:rPr>
                <w:rFonts w:hint="eastAsia" w:eastAsia="仿宋_GB2312"/>
                <w:szCs w:val="21"/>
              </w:rPr>
              <w:t>生化污泥（1#污水站）</w:t>
            </w:r>
          </w:p>
        </w:tc>
        <w:tc>
          <w:tcPr>
            <w:tcW w:w="530" w:type="pct"/>
            <w:tcBorders>
              <w:tl2br w:val="nil"/>
              <w:tr2bl w:val="nil"/>
            </w:tcBorders>
            <w:vAlign w:val="center"/>
          </w:tcPr>
          <w:p w14:paraId="30C87125">
            <w:pPr>
              <w:snapToGrid w:val="0"/>
              <w:spacing w:line="284" w:lineRule="exact"/>
              <w:jc w:val="center"/>
              <w:rPr>
                <w:rFonts w:eastAsia="仿宋_GB2312"/>
                <w:szCs w:val="21"/>
              </w:rPr>
            </w:pPr>
            <w:r>
              <w:rPr>
                <w:rFonts w:hint="eastAsia" w:eastAsia="仿宋_GB2312"/>
                <w:szCs w:val="21"/>
              </w:rPr>
              <w:t>HW49</w:t>
            </w:r>
          </w:p>
        </w:tc>
        <w:tc>
          <w:tcPr>
            <w:tcW w:w="695" w:type="pct"/>
            <w:tcBorders>
              <w:tl2br w:val="nil"/>
              <w:tr2bl w:val="nil"/>
            </w:tcBorders>
            <w:vAlign w:val="center"/>
          </w:tcPr>
          <w:p w14:paraId="14A95B48">
            <w:pPr>
              <w:snapToGrid w:val="0"/>
              <w:spacing w:line="284" w:lineRule="exact"/>
              <w:jc w:val="center"/>
              <w:rPr>
                <w:rFonts w:eastAsia="仿宋_GB2312"/>
                <w:szCs w:val="21"/>
              </w:rPr>
            </w:pPr>
            <w:r>
              <w:rPr>
                <w:rFonts w:hint="eastAsia" w:eastAsia="仿宋_GB2312"/>
                <w:szCs w:val="21"/>
              </w:rPr>
              <w:t>900-041-49</w:t>
            </w:r>
          </w:p>
        </w:tc>
        <w:tc>
          <w:tcPr>
            <w:tcW w:w="944" w:type="pct"/>
            <w:tcBorders>
              <w:tl2br w:val="nil"/>
              <w:tr2bl w:val="nil"/>
            </w:tcBorders>
            <w:vAlign w:val="center"/>
          </w:tcPr>
          <w:p w14:paraId="401F8D88">
            <w:pPr>
              <w:snapToGrid w:val="0"/>
              <w:spacing w:line="284" w:lineRule="exact"/>
              <w:jc w:val="center"/>
              <w:rPr>
                <w:rFonts w:eastAsia="仿宋_GB2312"/>
                <w:szCs w:val="21"/>
              </w:rPr>
            </w:pPr>
            <w:r>
              <w:rPr>
                <w:rFonts w:hint="eastAsia" w:eastAsia="仿宋_GB2312"/>
                <w:szCs w:val="21"/>
              </w:rPr>
              <w:t>2</w:t>
            </w:r>
          </w:p>
        </w:tc>
        <w:tc>
          <w:tcPr>
            <w:tcW w:w="1196" w:type="pct"/>
            <w:vMerge w:val="continue"/>
            <w:tcBorders>
              <w:tl2br w:val="nil"/>
              <w:tr2bl w:val="nil"/>
            </w:tcBorders>
            <w:vAlign w:val="center"/>
          </w:tcPr>
          <w:p w14:paraId="158572F9">
            <w:pPr>
              <w:snapToGrid w:val="0"/>
              <w:spacing w:line="284" w:lineRule="exact"/>
              <w:jc w:val="center"/>
              <w:rPr>
                <w:rFonts w:eastAsia="仿宋_GB2312"/>
                <w:szCs w:val="21"/>
              </w:rPr>
            </w:pPr>
          </w:p>
        </w:tc>
      </w:tr>
      <w:tr w14:paraId="013F1D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63" w:type="pct"/>
            <w:vMerge w:val="continue"/>
            <w:tcBorders>
              <w:tl2br w:val="nil"/>
              <w:tr2bl w:val="nil"/>
            </w:tcBorders>
            <w:vAlign w:val="center"/>
          </w:tcPr>
          <w:p w14:paraId="65C34D32">
            <w:pPr>
              <w:snapToGrid w:val="0"/>
              <w:spacing w:line="284" w:lineRule="exact"/>
              <w:jc w:val="center"/>
              <w:rPr>
                <w:rFonts w:eastAsia="仿宋_GB2312"/>
                <w:szCs w:val="21"/>
              </w:rPr>
            </w:pPr>
          </w:p>
        </w:tc>
        <w:tc>
          <w:tcPr>
            <w:tcW w:w="969" w:type="pct"/>
            <w:tcBorders>
              <w:tl2br w:val="nil"/>
              <w:tr2bl w:val="nil"/>
            </w:tcBorders>
            <w:vAlign w:val="center"/>
          </w:tcPr>
          <w:p w14:paraId="10756563">
            <w:pPr>
              <w:snapToGrid w:val="0"/>
              <w:spacing w:line="284" w:lineRule="exact"/>
              <w:jc w:val="center"/>
              <w:rPr>
                <w:rFonts w:eastAsia="仿宋_GB2312"/>
                <w:szCs w:val="21"/>
              </w:rPr>
            </w:pPr>
            <w:r>
              <w:rPr>
                <w:rFonts w:hint="eastAsia" w:eastAsia="仿宋_GB2312"/>
                <w:szCs w:val="21"/>
              </w:rPr>
              <w:t>压滤污泥</w:t>
            </w:r>
          </w:p>
        </w:tc>
        <w:tc>
          <w:tcPr>
            <w:tcW w:w="530" w:type="pct"/>
            <w:tcBorders>
              <w:tl2br w:val="nil"/>
              <w:tr2bl w:val="nil"/>
            </w:tcBorders>
            <w:vAlign w:val="center"/>
          </w:tcPr>
          <w:p w14:paraId="02BF41DD">
            <w:pPr>
              <w:snapToGrid w:val="0"/>
              <w:spacing w:line="284" w:lineRule="exact"/>
              <w:jc w:val="center"/>
              <w:rPr>
                <w:rFonts w:eastAsia="仿宋_GB2312"/>
                <w:szCs w:val="21"/>
              </w:rPr>
            </w:pPr>
            <w:r>
              <w:rPr>
                <w:rFonts w:hint="eastAsia" w:eastAsia="仿宋_GB2312"/>
                <w:szCs w:val="21"/>
              </w:rPr>
              <w:t>HW17</w:t>
            </w:r>
          </w:p>
        </w:tc>
        <w:tc>
          <w:tcPr>
            <w:tcW w:w="695" w:type="pct"/>
            <w:tcBorders>
              <w:tl2br w:val="nil"/>
              <w:tr2bl w:val="nil"/>
            </w:tcBorders>
            <w:vAlign w:val="center"/>
          </w:tcPr>
          <w:p w14:paraId="7E4E65EA">
            <w:pPr>
              <w:snapToGrid w:val="0"/>
              <w:spacing w:line="284" w:lineRule="exact"/>
              <w:jc w:val="center"/>
              <w:rPr>
                <w:rFonts w:eastAsia="仿宋_GB2312"/>
                <w:szCs w:val="21"/>
              </w:rPr>
            </w:pPr>
            <w:r>
              <w:rPr>
                <w:rFonts w:hint="eastAsia" w:eastAsia="仿宋_GB2312"/>
                <w:szCs w:val="21"/>
              </w:rPr>
              <w:t>336-063-17</w:t>
            </w:r>
          </w:p>
        </w:tc>
        <w:tc>
          <w:tcPr>
            <w:tcW w:w="944" w:type="pct"/>
            <w:tcBorders>
              <w:tl2br w:val="nil"/>
              <w:tr2bl w:val="nil"/>
            </w:tcBorders>
            <w:vAlign w:val="center"/>
          </w:tcPr>
          <w:p w14:paraId="20A8CFC7">
            <w:pPr>
              <w:snapToGrid w:val="0"/>
              <w:spacing w:line="284" w:lineRule="exact"/>
              <w:jc w:val="center"/>
              <w:rPr>
                <w:rFonts w:eastAsia="仿宋_GB2312"/>
                <w:szCs w:val="21"/>
              </w:rPr>
            </w:pPr>
            <w:r>
              <w:rPr>
                <w:rFonts w:hint="eastAsia" w:eastAsia="仿宋_GB2312"/>
                <w:szCs w:val="21"/>
              </w:rPr>
              <w:t>213.231</w:t>
            </w:r>
          </w:p>
        </w:tc>
        <w:tc>
          <w:tcPr>
            <w:tcW w:w="1196" w:type="pct"/>
            <w:vMerge w:val="continue"/>
            <w:tcBorders>
              <w:tl2br w:val="nil"/>
              <w:tr2bl w:val="nil"/>
            </w:tcBorders>
            <w:vAlign w:val="center"/>
          </w:tcPr>
          <w:p w14:paraId="0737C2F6">
            <w:pPr>
              <w:snapToGrid w:val="0"/>
              <w:spacing w:line="284" w:lineRule="exact"/>
              <w:jc w:val="center"/>
              <w:rPr>
                <w:rFonts w:eastAsia="仿宋_GB2312"/>
                <w:szCs w:val="21"/>
              </w:rPr>
            </w:pPr>
          </w:p>
        </w:tc>
      </w:tr>
      <w:tr w14:paraId="0194D3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63" w:type="pct"/>
            <w:vMerge w:val="continue"/>
            <w:tcBorders>
              <w:tl2br w:val="nil"/>
              <w:tr2bl w:val="nil"/>
            </w:tcBorders>
            <w:vAlign w:val="center"/>
          </w:tcPr>
          <w:p w14:paraId="6D6151AD">
            <w:pPr>
              <w:snapToGrid w:val="0"/>
              <w:spacing w:line="284" w:lineRule="exact"/>
              <w:jc w:val="center"/>
              <w:rPr>
                <w:rFonts w:eastAsia="仿宋_GB2312"/>
                <w:szCs w:val="21"/>
              </w:rPr>
            </w:pPr>
          </w:p>
        </w:tc>
        <w:tc>
          <w:tcPr>
            <w:tcW w:w="969" w:type="pct"/>
            <w:tcBorders>
              <w:tl2br w:val="nil"/>
              <w:tr2bl w:val="nil"/>
            </w:tcBorders>
            <w:vAlign w:val="center"/>
          </w:tcPr>
          <w:p w14:paraId="49875B06">
            <w:pPr>
              <w:snapToGrid w:val="0"/>
              <w:spacing w:line="284" w:lineRule="exact"/>
              <w:jc w:val="center"/>
              <w:rPr>
                <w:rFonts w:eastAsia="仿宋_GB2312"/>
                <w:szCs w:val="21"/>
              </w:rPr>
            </w:pPr>
            <w:r>
              <w:rPr>
                <w:rFonts w:hint="eastAsia" w:eastAsia="仿宋_GB2312"/>
                <w:szCs w:val="21"/>
              </w:rPr>
              <w:t>生化污泥（3#污水站）</w:t>
            </w:r>
          </w:p>
        </w:tc>
        <w:tc>
          <w:tcPr>
            <w:tcW w:w="530" w:type="pct"/>
            <w:tcBorders>
              <w:tl2br w:val="nil"/>
              <w:tr2bl w:val="nil"/>
            </w:tcBorders>
            <w:vAlign w:val="center"/>
          </w:tcPr>
          <w:p w14:paraId="68BBE040">
            <w:pPr>
              <w:snapToGrid w:val="0"/>
              <w:spacing w:line="284" w:lineRule="exact"/>
              <w:jc w:val="center"/>
              <w:rPr>
                <w:rFonts w:eastAsia="仿宋_GB2312"/>
                <w:szCs w:val="21"/>
              </w:rPr>
            </w:pPr>
            <w:r>
              <w:rPr>
                <w:rFonts w:hint="eastAsia" w:eastAsia="仿宋_GB2312"/>
                <w:szCs w:val="21"/>
              </w:rPr>
              <w:t>HW17</w:t>
            </w:r>
          </w:p>
        </w:tc>
        <w:tc>
          <w:tcPr>
            <w:tcW w:w="695" w:type="pct"/>
            <w:tcBorders>
              <w:tl2br w:val="nil"/>
              <w:tr2bl w:val="nil"/>
            </w:tcBorders>
            <w:vAlign w:val="center"/>
          </w:tcPr>
          <w:p w14:paraId="0A96E6BF">
            <w:pPr>
              <w:snapToGrid w:val="0"/>
              <w:spacing w:line="284" w:lineRule="exact"/>
              <w:jc w:val="center"/>
              <w:rPr>
                <w:rFonts w:eastAsia="仿宋_GB2312"/>
                <w:szCs w:val="21"/>
              </w:rPr>
            </w:pPr>
            <w:r>
              <w:rPr>
                <w:rFonts w:hint="eastAsia" w:eastAsia="仿宋_GB2312"/>
                <w:szCs w:val="21"/>
              </w:rPr>
              <w:t>336-063-17</w:t>
            </w:r>
          </w:p>
        </w:tc>
        <w:tc>
          <w:tcPr>
            <w:tcW w:w="944" w:type="pct"/>
            <w:tcBorders>
              <w:tl2br w:val="nil"/>
              <w:tr2bl w:val="nil"/>
            </w:tcBorders>
            <w:vAlign w:val="center"/>
          </w:tcPr>
          <w:p w14:paraId="5A1EEBA7">
            <w:pPr>
              <w:snapToGrid w:val="0"/>
              <w:spacing w:line="284" w:lineRule="exact"/>
              <w:jc w:val="center"/>
              <w:rPr>
                <w:rFonts w:eastAsia="仿宋_GB2312"/>
                <w:szCs w:val="21"/>
              </w:rPr>
            </w:pPr>
            <w:r>
              <w:rPr>
                <w:rFonts w:hint="eastAsia" w:eastAsia="仿宋_GB2312"/>
                <w:szCs w:val="21"/>
              </w:rPr>
              <w:t>43</w:t>
            </w:r>
          </w:p>
        </w:tc>
        <w:tc>
          <w:tcPr>
            <w:tcW w:w="1196" w:type="pct"/>
            <w:vMerge w:val="continue"/>
            <w:tcBorders>
              <w:tl2br w:val="nil"/>
              <w:tr2bl w:val="nil"/>
            </w:tcBorders>
            <w:vAlign w:val="center"/>
          </w:tcPr>
          <w:p w14:paraId="6F433D55">
            <w:pPr>
              <w:snapToGrid w:val="0"/>
              <w:spacing w:line="284" w:lineRule="exact"/>
              <w:jc w:val="center"/>
              <w:rPr>
                <w:rFonts w:eastAsia="仿宋_GB2312"/>
                <w:szCs w:val="21"/>
              </w:rPr>
            </w:pPr>
          </w:p>
        </w:tc>
      </w:tr>
      <w:tr w14:paraId="25CCD4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63" w:type="pct"/>
            <w:vMerge w:val="continue"/>
            <w:tcBorders>
              <w:tl2br w:val="nil"/>
              <w:tr2bl w:val="nil"/>
            </w:tcBorders>
            <w:vAlign w:val="center"/>
          </w:tcPr>
          <w:p w14:paraId="45886531">
            <w:pPr>
              <w:snapToGrid w:val="0"/>
              <w:spacing w:line="284" w:lineRule="exact"/>
              <w:jc w:val="center"/>
              <w:rPr>
                <w:rFonts w:eastAsia="仿宋_GB2312"/>
                <w:szCs w:val="21"/>
              </w:rPr>
            </w:pPr>
          </w:p>
        </w:tc>
        <w:tc>
          <w:tcPr>
            <w:tcW w:w="969" w:type="pct"/>
            <w:tcBorders>
              <w:tl2br w:val="nil"/>
              <w:tr2bl w:val="nil"/>
            </w:tcBorders>
            <w:vAlign w:val="center"/>
          </w:tcPr>
          <w:p w14:paraId="1C9ED322">
            <w:pPr>
              <w:snapToGrid w:val="0"/>
              <w:spacing w:line="284" w:lineRule="exact"/>
              <w:jc w:val="center"/>
              <w:rPr>
                <w:rFonts w:eastAsia="仿宋_GB2312"/>
                <w:szCs w:val="21"/>
              </w:rPr>
            </w:pPr>
            <w:r>
              <w:rPr>
                <w:rFonts w:eastAsia="仿宋_GB2312"/>
                <w:szCs w:val="21"/>
              </w:rPr>
              <w:t>离心残渣</w:t>
            </w:r>
          </w:p>
        </w:tc>
        <w:tc>
          <w:tcPr>
            <w:tcW w:w="530" w:type="pct"/>
            <w:tcBorders>
              <w:tl2br w:val="nil"/>
              <w:tr2bl w:val="nil"/>
            </w:tcBorders>
            <w:vAlign w:val="center"/>
          </w:tcPr>
          <w:p w14:paraId="1416857D">
            <w:pPr>
              <w:snapToGrid w:val="0"/>
              <w:spacing w:line="284" w:lineRule="exact"/>
              <w:jc w:val="center"/>
              <w:rPr>
                <w:rFonts w:eastAsia="仿宋_GB2312"/>
                <w:szCs w:val="21"/>
              </w:rPr>
            </w:pPr>
            <w:r>
              <w:rPr>
                <w:rFonts w:eastAsia="仿宋_GB2312"/>
                <w:szCs w:val="21"/>
              </w:rPr>
              <w:t>HW17</w:t>
            </w:r>
          </w:p>
        </w:tc>
        <w:tc>
          <w:tcPr>
            <w:tcW w:w="695" w:type="pct"/>
            <w:tcBorders>
              <w:tl2br w:val="nil"/>
              <w:tr2bl w:val="nil"/>
            </w:tcBorders>
            <w:vAlign w:val="center"/>
          </w:tcPr>
          <w:p w14:paraId="3F0BC07C">
            <w:pPr>
              <w:snapToGrid w:val="0"/>
              <w:spacing w:line="284" w:lineRule="exact"/>
              <w:jc w:val="center"/>
              <w:rPr>
                <w:rFonts w:eastAsia="仿宋_GB2312"/>
                <w:szCs w:val="21"/>
              </w:rPr>
            </w:pPr>
            <w:r>
              <w:rPr>
                <w:rFonts w:eastAsia="仿宋_GB2312"/>
                <w:szCs w:val="21"/>
              </w:rPr>
              <w:t>336-063-17</w:t>
            </w:r>
          </w:p>
        </w:tc>
        <w:tc>
          <w:tcPr>
            <w:tcW w:w="944" w:type="pct"/>
            <w:tcBorders>
              <w:tl2br w:val="nil"/>
              <w:tr2bl w:val="nil"/>
            </w:tcBorders>
            <w:vAlign w:val="center"/>
          </w:tcPr>
          <w:p w14:paraId="40E4381A">
            <w:pPr>
              <w:snapToGrid w:val="0"/>
              <w:spacing w:line="284" w:lineRule="exact"/>
              <w:jc w:val="center"/>
              <w:rPr>
                <w:rFonts w:eastAsia="仿宋_GB2312"/>
                <w:szCs w:val="21"/>
              </w:rPr>
            </w:pPr>
            <w:r>
              <w:rPr>
                <w:rFonts w:hint="eastAsia" w:eastAsia="仿宋_GB2312"/>
                <w:szCs w:val="21"/>
              </w:rPr>
              <w:t>158.66</w:t>
            </w:r>
          </w:p>
        </w:tc>
        <w:tc>
          <w:tcPr>
            <w:tcW w:w="1196" w:type="pct"/>
            <w:vMerge w:val="restart"/>
            <w:tcBorders>
              <w:tl2br w:val="nil"/>
              <w:tr2bl w:val="nil"/>
            </w:tcBorders>
            <w:vAlign w:val="center"/>
          </w:tcPr>
          <w:p w14:paraId="0E491C3C">
            <w:pPr>
              <w:snapToGrid w:val="0"/>
              <w:spacing w:line="284" w:lineRule="exact"/>
              <w:jc w:val="center"/>
              <w:rPr>
                <w:rFonts w:eastAsia="仿宋_GB2312"/>
                <w:szCs w:val="21"/>
              </w:rPr>
            </w:pPr>
            <w:r>
              <w:rPr>
                <w:rFonts w:eastAsia="仿宋_GB2312"/>
                <w:szCs w:val="21"/>
              </w:rPr>
              <w:t>委托有资质单位处置</w:t>
            </w:r>
          </w:p>
        </w:tc>
      </w:tr>
      <w:tr w14:paraId="4CFC40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63" w:type="pct"/>
            <w:vMerge w:val="continue"/>
            <w:tcBorders>
              <w:tl2br w:val="nil"/>
              <w:tr2bl w:val="nil"/>
            </w:tcBorders>
            <w:vAlign w:val="center"/>
          </w:tcPr>
          <w:p w14:paraId="3E0706F9">
            <w:pPr>
              <w:snapToGrid w:val="0"/>
              <w:spacing w:line="284" w:lineRule="exact"/>
              <w:jc w:val="center"/>
              <w:rPr>
                <w:rFonts w:eastAsia="仿宋_GB2312"/>
                <w:szCs w:val="21"/>
              </w:rPr>
            </w:pPr>
          </w:p>
        </w:tc>
        <w:tc>
          <w:tcPr>
            <w:tcW w:w="969" w:type="pct"/>
            <w:tcBorders>
              <w:tl2br w:val="nil"/>
              <w:tr2bl w:val="nil"/>
            </w:tcBorders>
            <w:vAlign w:val="center"/>
          </w:tcPr>
          <w:p w14:paraId="2EA36569">
            <w:pPr>
              <w:snapToGrid w:val="0"/>
              <w:spacing w:line="284" w:lineRule="exact"/>
              <w:jc w:val="center"/>
              <w:rPr>
                <w:rFonts w:eastAsia="仿宋_GB2312"/>
                <w:szCs w:val="21"/>
              </w:rPr>
            </w:pPr>
            <w:r>
              <w:rPr>
                <w:rFonts w:hint="eastAsia" w:eastAsia="仿宋_GB2312"/>
                <w:szCs w:val="21"/>
              </w:rPr>
              <w:t>废包装桶</w:t>
            </w:r>
          </w:p>
        </w:tc>
        <w:tc>
          <w:tcPr>
            <w:tcW w:w="530" w:type="pct"/>
            <w:tcBorders>
              <w:tl2br w:val="nil"/>
              <w:tr2bl w:val="nil"/>
            </w:tcBorders>
            <w:vAlign w:val="center"/>
          </w:tcPr>
          <w:p w14:paraId="4D7636A6">
            <w:pPr>
              <w:snapToGrid w:val="0"/>
              <w:spacing w:line="284" w:lineRule="exact"/>
              <w:jc w:val="center"/>
              <w:rPr>
                <w:rFonts w:eastAsia="仿宋_GB2312"/>
                <w:szCs w:val="21"/>
              </w:rPr>
            </w:pPr>
            <w:r>
              <w:rPr>
                <w:rFonts w:eastAsia="仿宋_GB2312"/>
                <w:szCs w:val="21"/>
              </w:rPr>
              <w:t>HW49</w:t>
            </w:r>
          </w:p>
        </w:tc>
        <w:tc>
          <w:tcPr>
            <w:tcW w:w="695" w:type="pct"/>
            <w:tcBorders>
              <w:tl2br w:val="nil"/>
              <w:tr2bl w:val="nil"/>
            </w:tcBorders>
            <w:vAlign w:val="center"/>
          </w:tcPr>
          <w:p w14:paraId="4B1B5F69">
            <w:pPr>
              <w:snapToGrid w:val="0"/>
              <w:spacing w:line="284" w:lineRule="exact"/>
              <w:jc w:val="center"/>
              <w:rPr>
                <w:rFonts w:eastAsia="仿宋_GB2312"/>
                <w:szCs w:val="21"/>
              </w:rPr>
            </w:pPr>
            <w:r>
              <w:rPr>
                <w:rFonts w:eastAsia="仿宋_GB2312"/>
                <w:szCs w:val="21"/>
              </w:rPr>
              <w:t>900-041-49</w:t>
            </w:r>
          </w:p>
        </w:tc>
        <w:tc>
          <w:tcPr>
            <w:tcW w:w="944" w:type="pct"/>
            <w:tcBorders>
              <w:tl2br w:val="nil"/>
              <w:tr2bl w:val="nil"/>
            </w:tcBorders>
            <w:vAlign w:val="center"/>
          </w:tcPr>
          <w:p w14:paraId="74282891">
            <w:pPr>
              <w:snapToGrid w:val="0"/>
              <w:spacing w:line="284" w:lineRule="exact"/>
              <w:jc w:val="center"/>
              <w:rPr>
                <w:rFonts w:eastAsia="仿宋_GB2312"/>
                <w:szCs w:val="21"/>
              </w:rPr>
            </w:pPr>
            <w:r>
              <w:rPr>
                <w:rFonts w:eastAsia="仿宋_GB2312"/>
                <w:szCs w:val="21"/>
              </w:rPr>
              <w:t>200L以上规格废包装桶</w:t>
            </w:r>
            <w:r>
              <w:rPr>
                <w:rFonts w:hint="eastAsia" w:eastAsia="仿宋_GB2312"/>
                <w:szCs w:val="21"/>
              </w:rPr>
              <w:t>20.7万</w:t>
            </w:r>
            <w:r>
              <w:rPr>
                <w:rFonts w:eastAsia="仿宋_GB2312"/>
                <w:szCs w:val="21"/>
              </w:rPr>
              <w:t>只/年（</w:t>
            </w:r>
            <w:r>
              <w:rPr>
                <w:rFonts w:hint="eastAsia" w:eastAsia="仿宋_GB2312"/>
                <w:szCs w:val="21"/>
              </w:rPr>
              <w:t>4500</w:t>
            </w:r>
            <w:r>
              <w:rPr>
                <w:rFonts w:eastAsia="仿宋_GB2312"/>
                <w:szCs w:val="21"/>
              </w:rPr>
              <w:t>t/a），200L以下规格废包装桶</w:t>
            </w:r>
            <w:r>
              <w:rPr>
                <w:rFonts w:hint="eastAsia" w:eastAsia="仿宋_GB2312"/>
                <w:szCs w:val="21"/>
              </w:rPr>
              <w:t>138</w:t>
            </w:r>
            <w:r>
              <w:rPr>
                <w:rFonts w:eastAsia="仿宋_GB2312"/>
                <w:szCs w:val="21"/>
              </w:rPr>
              <w:t>t/a</w:t>
            </w:r>
          </w:p>
        </w:tc>
        <w:tc>
          <w:tcPr>
            <w:tcW w:w="1196" w:type="pct"/>
            <w:vMerge w:val="continue"/>
            <w:tcBorders>
              <w:tl2br w:val="nil"/>
              <w:tr2bl w:val="nil"/>
            </w:tcBorders>
            <w:vAlign w:val="center"/>
          </w:tcPr>
          <w:p w14:paraId="43A93252">
            <w:pPr>
              <w:snapToGrid w:val="0"/>
              <w:spacing w:line="284" w:lineRule="exact"/>
              <w:jc w:val="center"/>
              <w:rPr>
                <w:rFonts w:eastAsia="仿宋_GB2312"/>
                <w:szCs w:val="21"/>
              </w:rPr>
            </w:pPr>
          </w:p>
        </w:tc>
      </w:tr>
      <w:tr w14:paraId="591764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63" w:type="pct"/>
            <w:tcBorders>
              <w:tl2br w:val="nil"/>
              <w:tr2bl w:val="nil"/>
            </w:tcBorders>
            <w:vAlign w:val="center"/>
          </w:tcPr>
          <w:p w14:paraId="04358271">
            <w:pPr>
              <w:snapToGrid w:val="0"/>
              <w:spacing w:line="284" w:lineRule="exact"/>
              <w:jc w:val="center"/>
              <w:rPr>
                <w:rFonts w:eastAsia="仿宋_GB2312"/>
                <w:szCs w:val="21"/>
              </w:rPr>
            </w:pPr>
            <w:r>
              <w:rPr>
                <w:rFonts w:hint="eastAsia" w:eastAsia="仿宋_GB2312"/>
                <w:szCs w:val="21"/>
              </w:rPr>
              <w:t>公辅工程</w:t>
            </w:r>
          </w:p>
        </w:tc>
        <w:tc>
          <w:tcPr>
            <w:tcW w:w="969" w:type="pct"/>
            <w:tcBorders>
              <w:tl2br w:val="nil"/>
              <w:tr2bl w:val="nil"/>
            </w:tcBorders>
            <w:vAlign w:val="center"/>
          </w:tcPr>
          <w:p w14:paraId="13D9E8F8">
            <w:pPr>
              <w:snapToGrid w:val="0"/>
              <w:spacing w:line="284" w:lineRule="exact"/>
              <w:jc w:val="center"/>
              <w:rPr>
                <w:rFonts w:eastAsia="仿宋_GB2312"/>
                <w:szCs w:val="21"/>
              </w:rPr>
            </w:pPr>
            <w:r>
              <w:rPr>
                <w:rFonts w:hint="eastAsia" w:eastAsia="仿宋_GB2312"/>
                <w:szCs w:val="21"/>
              </w:rPr>
              <w:t>污水处理污泥</w:t>
            </w:r>
          </w:p>
        </w:tc>
        <w:tc>
          <w:tcPr>
            <w:tcW w:w="530" w:type="pct"/>
            <w:tcBorders>
              <w:tl2br w:val="nil"/>
              <w:tr2bl w:val="nil"/>
            </w:tcBorders>
            <w:vAlign w:val="center"/>
          </w:tcPr>
          <w:p w14:paraId="29CB2340">
            <w:pPr>
              <w:snapToGrid w:val="0"/>
              <w:spacing w:line="284" w:lineRule="exact"/>
              <w:jc w:val="center"/>
              <w:rPr>
                <w:rFonts w:eastAsia="仿宋_GB2312"/>
                <w:szCs w:val="21"/>
              </w:rPr>
            </w:pPr>
            <w:r>
              <w:rPr>
                <w:rFonts w:hint="eastAsia" w:eastAsia="仿宋_GB2312"/>
                <w:szCs w:val="21"/>
              </w:rPr>
              <w:t>HW45</w:t>
            </w:r>
          </w:p>
        </w:tc>
        <w:tc>
          <w:tcPr>
            <w:tcW w:w="695" w:type="pct"/>
            <w:tcBorders>
              <w:tl2br w:val="nil"/>
              <w:tr2bl w:val="nil"/>
            </w:tcBorders>
            <w:vAlign w:val="center"/>
          </w:tcPr>
          <w:p w14:paraId="711407B8">
            <w:pPr>
              <w:snapToGrid w:val="0"/>
              <w:spacing w:line="284" w:lineRule="exact"/>
              <w:jc w:val="center"/>
              <w:rPr>
                <w:rFonts w:eastAsia="仿宋_GB2312"/>
                <w:szCs w:val="21"/>
              </w:rPr>
            </w:pPr>
            <w:r>
              <w:rPr>
                <w:rFonts w:hint="eastAsia" w:eastAsia="仿宋_GB2312"/>
                <w:szCs w:val="21"/>
              </w:rPr>
              <w:t>261-084-45</w:t>
            </w:r>
          </w:p>
        </w:tc>
        <w:tc>
          <w:tcPr>
            <w:tcW w:w="944" w:type="pct"/>
            <w:tcBorders>
              <w:tl2br w:val="nil"/>
              <w:tr2bl w:val="nil"/>
            </w:tcBorders>
            <w:vAlign w:val="center"/>
          </w:tcPr>
          <w:p w14:paraId="287903E6">
            <w:pPr>
              <w:snapToGrid w:val="0"/>
              <w:spacing w:line="284" w:lineRule="exact"/>
              <w:jc w:val="center"/>
              <w:rPr>
                <w:rFonts w:eastAsia="仿宋_GB2312"/>
                <w:szCs w:val="21"/>
              </w:rPr>
            </w:pPr>
            <w:r>
              <w:rPr>
                <w:rFonts w:hint="eastAsia" w:eastAsia="仿宋_GB2312"/>
                <w:szCs w:val="21"/>
              </w:rPr>
              <w:t>362.21</w:t>
            </w:r>
          </w:p>
        </w:tc>
        <w:tc>
          <w:tcPr>
            <w:tcW w:w="1196" w:type="pct"/>
            <w:tcBorders>
              <w:tl2br w:val="nil"/>
              <w:tr2bl w:val="nil"/>
            </w:tcBorders>
            <w:vAlign w:val="center"/>
          </w:tcPr>
          <w:p w14:paraId="45975151">
            <w:pPr>
              <w:snapToGrid w:val="0"/>
              <w:spacing w:line="284" w:lineRule="exact"/>
              <w:jc w:val="center"/>
              <w:rPr>
                <w:rFonts w:eastAsia="仿宋_GB2312"/>
                <w:szCs w:val="21"/>
              </w:rPr>
            </w:pPr>
            <w:r>
              <w:rPr>
                <w:rFonts w:hint="eastAsia" w:eastAsia="仿宋_GB2312"/>
                <w:szCs w:val="21"/>
              </w:rPr>
              <w:t>自行焚烧处置</w:t>
            </w:r>
          </w:p>
        </w:tc>
      </w:tr>
    </w:tbl>
    <w:p w14:paraId="79CF4752">
      <w:pPr>
        <w:pStyle w:val="7"/>
        <w:keepLines w:val="0"/>
        <w:widowControl/>
        <w:adjustRightInd w:val="0"/>
        <w:snapToGrid w:val="0"/>
        <w:spacing w:after="120" w:afterLines="50"/>
        <w:jc w:val="left"/>
        <w:rPr>
          <w:rFonts w:ascii="Times New Roman" w:hAnsi="Times New Roman"/>
          <w:b/>
        </w:rPr>
      </w:pPr>
      <w:r>
        <w:rPr>
          <w:rFonts w:ascii="Times New Roman" w:hAnsi="Times New Roman"/>
          <w:b/>
        </w:rPr>
        <w:t>3.1.</w:t>
      </w:r>
      <w:r>
        <w:rPr>
          <w:rFonts w:hint="eastAsia" w:ascii="Times New Roman" w:hAnsi="Times New Roman"/>
          <w:b/>
        </w:rPr>
        <w:t>5</w:t>
      </w:r>
      <w:r>
        <w:rPr>
          <w:rFonts w:ascii="Times New Roman" w:hAnsi="Times New Roman"/>
          <w:b/>
        </w:rPr>
        <w:t>.4已建项目噪声污染防治措施汇总</w:t>
      </w:r>
    </w:p>
    <w:p w14:paraId="1FF01A8A">
      <w:pPr>
        <w:widowControl/>
        <w:spacing w:line="500" w:lineRule="exact"/>
        <w:ind w:firstLine="560" w:firstLineChars="200"/>
        <w:rPr>
          <w:rFonts w:eastAsia="仿宋_GB2312"/>
          <w:sz w:val="28"/>
          <w:szCs w:val="28"/>
        </w:rPr>
      </w:pPr>
      <w:r>
        <w:rPr>
          <w:rFonts w:eastAsia="仿宋_GB2312"/>
          <w:sz w:val="28"/>
          <w:szCs w:val="28"/>
        </w:rPr>
        <w:t>根据企业提供的202</w:t>
      </w:r>
      <w:r>
        <w:rPr>
          <w:rFonts w:hint="eastAsia" w:eastAsia="仿宋_GB2312"/>
          <w:sz w:val="28"/>
          <w:szCs w:val="28"/>
        </w:rPr>
        <w:t>6</w:t>
      </w:r>
      <w:r>
        <w:rPr>
          <w:rFonts w:eastAsia="仿宋_GB2312"/>
          <w:sz w:val="28"/>
          <w:szCs w:val="28"/>
        </w:rPr>
        <w:t>年5月</w:t>
      </w:r>
      <w:r>
        <w:rPr>
          <w:rFonts w:hint="eastAsia" w:eastAsia="仿宋_GB2312"/>
          <w:sz w:val="28"/>
          <w:szCs w:val="28"/>
        </w:rPr>
        <w:t>27</w:t>
      </w:r>
      <w:r>
        <w:rPr>
          <w:rFonts w:eastAsia="仿宋_GB2312"/>
          <w:sz w:val="28"/>
          <w:szCs w:val="28"/>
        </w:rPr>
        <w:t>日委托</w:t>
      </w:r>
      <w:r>
        <w:rPr>
          <w:rFonts w:hint="eastAsia" w:eastAsia="仿宋_GB2312"/>
          <w:sz w:val="28"/>
          <w:szCs w:val="28"/>
        </w:rPr>
        <w:t>青山绿水（江苏）检验检测有限公司</w:t>
      </w:r>
      <w:r>
        <w:rPr>
          <w:rFonts w:eastAsia="仿宋_GB2312"/>
          <w:sz w:val="28"/>
          <w:szCs w:val="28"/>
        </w:rPr>
        <w:t>出具的检测报告（</w:t>
      </w:r>
      <w:r>
        <w:rPr>
          <w:rFonts w:hint="eastAsia" w:eastAsia="仿宋_GB2312"/>
          <w:sz w:val="28"/>
          <w:szCs w:val="28"/>
        </w:rPr>
        <w:t>CQND260163002</w:t>
      </w:r>
      <w:r>
        <w:rPr>
          <w:rFonts w:eastAsia="仿宋_GB2312"/>
          <w:sz w:val="28"/>
          <w:szCs w:val="28"/>
        </w:rPr>
        <w:t>），厂界噪声监测结果见表3.1-</w:t>
      </w:r>
      <w:r>
        <w:rPr>
          <w:rFonts w:hint="eastAsia" w:eastAsia="仿宋_GB2312"/>
          <w:sz w:val="28"/>
          <w:szCs w:val="28"/>
        </w:rPr>
        <w:t>17</w:t>
      </w:r>
      <w:r>
        <w:rPr>
          <w:rFonts w:eastAsia="仿宋_GB2312"/>
          <w:sz w:val="28"/>
          <w:szCs w:val="28"/>
        </w:rPr>
        <w:t>。</w:t>
      </w:r>
    </w:p>
    <w:p w14:paraId="5936DC73">
      <w:pPr>
        <w:spacing w:line="500" w:lineRule="exact"/>
        <w:jc w:val="center"/>
        <w:rPr>
          <w:rFonts w:eastAsia="仿宋_GB2312"/>
          <w:b/>
          <w:sz w:val="24"/>
        </w:rPr>
      </w:pPr>
      <w:r>
        <w:rPr>
          <w:rFonts w:eastAsia="仿宋_GB2312"/>
          <w:b/>
          <w:sz w:val="24"/>
        </w:rPr>
        <w:t>表3.1-</w:t>
      </w:r>
      <w:r>
        <w:rPr>
          <w:rFonts w:hint="eastAsia" w:eastAsia="仿宋_GB2312"/>
          <w:b/>
          <w:sz w:val="24"/>
        </w:rPr>
        <w:t>17</w:t>
      </w:r>
      <w:r>
        <w:rPr>
          <w:rFonts w:eastAsia="仿宋_GB2312"/>
          <w:b/>
          <w:sz w:val="24"/>
        </w:rPr>
        <w:t xml:space="preserve">  噪声日常监测结果  单位：dB(A)</w:t>
      </w:r>
    </w:p>
    <w:tbl>
      <w:tblPr>
        <w:tblStyle w:val="8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55"/>
        <w:gridCol w:w="1272"/>
        <w:gridCol w:w="1399"/>
        <w:gridCol w:w="1399"/>
        <w:gridCol w:w="1399"/>
        <w:gridCol w:w="1399"/>
      </w:tblGrid>
      <w:tr w14:paraId="07AF4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71" w:type="pct"/>
            <w:vMerge w:val="restart"/>
            <w:tcBorders>
              <w:top w:val="single" w:color="auto" w:sz="12" w:space="0"/>
              <w:left w:val="single" w:color="auto" w:sz="12" w:space="0"/>
            </w:tcBorders>
            <w:vAlign w:val="center"/>
          </w:tcPr>
          <w:p w14:paraId="28B40A16">
            <w:pPr>
              <w:adjustRightInd w:val="0"/>
              <w:snapToGrid w:val="0"/>
              <w:spacing w:line="320" w:lineRule="exact"/>
              <w:jc w:val="center"/>
              <w:rPr>
                <w:rFonts w:eastAsia="仿宋_GB2312"/>
                <w:b/>
                <w:szCs w:val="21"/>
              </w:rPr>
            </w:pPr>
            <w:r>
              <w:rPr>
                <w:rFonts w:eastAsia="仿宋_GB2312"/>
                <w:b/>
                <w:szCs w:val="21"/>
              </w:rPr>
              <w:t>监测时间</w:t>
            </w:r>
          </w:p>
        </w:tc>
        <w:tc>
          <w:tcPr>
            <w:tcW w:w="746" w:type="pct"/>
            <w:vMerge w:val="restart"/>
            <w:tcBorders>
              <w:top w:val="single" w:color="auto" w:sz="12" w:space="0"/>
            </w:tcBorders>
            <w:vAlign w:val="center"/>
          </w:tcPr>
          <w:p w14:paraId="1DF3AD75">
            <w:pPr>
              <w:adjustRightInd w:val="0"/>
              <w:snapToGrid w:val="0"/>
              <w:spacing w:line="320" w:lineRule="exact"/>
              <w:jc w:val="center"/>
              <w:rPr>
                <w:rFonts w:eastAsia="仿宋_GB2312"/>
                <w:b/>
                <w:szCs w:val="21"/>
              </w:rPr>
            </w:pPr>
            <w:r>
              <w:rPr>
                <w:rFonts w:eastAsia="仿宋_GB2312"/>
                <w:b/>
                <w:szCs w:val="21"/>
              </w:rPr>
              <w:t>监测点位</w:t>
            </w:r>
          </w:p>
        </w:tc>
        <w:tc>
          <w:tcPr>
            <w:tcW w:w="1641" w:type="pct"/>
            <w:gridSpan w:val="2"/>
            <w:tcBorders>
              <w:top w:val="single" w:color="auto" w:sz="12" w:space="0"/>
            </w:tcBorders>
            <w:vAlign w:val="center"/>
          </w:tcPr>
          <w:p w14:paraId="28523593">
            <w:pPr>
              <w:adjustRightInd w:val="0"/>
              <w:snapToGrid w:val="0"/>
              <w:spacing w:line="320" w:lineRule="exact"/>
              <w:jc w:val="center"/>
              <w:rPr>
                <w:rFonts w:eastAsia="仿宋_GB2312"/>
                <w:b/>
                <w:szCs w:val="21"/>
              </w:rPr>
            </w:pPr>
            <w:r>
              <w:rPr>
                <w:rFonts w:eastAsia="仿宋_GB2312"/>
                <w:b/>
                <w:szCs w:val="21"/>
              </w:rPr>
              <w:t>监测值</w:t>
            </w:r>
          </w:p>
        </w:tc>
        <w:tc>
          <w:tcPr>
            <w:tcW w:w="1642" w:type="pct"/>
            <w:gridSpan w:val="2"/>
            <w:tcBorders>
              <w:top w:val="single" w:color="auto" w:sz="12" w:space="0"/>
              <w:right w:val="single" w:color="auto" w:sz="12" w:space="0"/>
            </w:tcBorders>
            <w:vAlign w:val="center"/>
          </w:tcPr>
          <w:p w14:paraId="74DE1A99">
            <w:pPr>
              <w:adjustRightInd w:val="0"/>
              <w:snapToGrid w:val="0"/>
              <w:spacing w:line="320" w:lineRule="exact"/>
              <w:jc w:val="center"/>
              <w:rPr>
                <w:rFonts w:eastAsia="仿宋_GB2312"/>
                <w:b/>
                <w:szCs w:val="21"/>
              </w:rPr>
            </w:pPr>
            <w:r>
              <w:rPr>
                <w:rFonts w:eastAsia="仿宋_GB2312"/>
                <w:b/>
                <w:szCs w:val="21"/>
              </w:rPr>
              <w:t>标准值</w:t>
            </w:r>
          </w:p>
        </w:tc>
      </w:tr>
      <w:tr w14:paraId="00BFC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71" w:type="pct"/>
            <w:vMerge w:val="continue"/>
            <w:tcBorders>
              <w:left w:val="single" w:color="auto" w:sz="12" w:space="0"/>
            </w:tcBorders>
            <w:vAlign w:val="center"/>
          </w:tcPr>
          <w:p w14:paraId="69B904B4">
            <w:pPr>
              <w:adjustRightInd w:val="0"/>
              <w:snapToGrid w:val="0"/>
              <w:spacing w:line="320" w:lineRule="exact"/>
              <w:jc w:val="center"/>
              <w:rPr>
                <w:rFonts w:eastAsia="仿宋_GB2312"/>
                <w:b/>
                <w:szCs w:val="21"/>
              </w:rPr>
            </w:pPr>
          </w:p>
        </w:tc>
        <w:tc>
          <w:tcPr>
            <w:tcW w:w="746" w:type="pct"/>
            <w:vMerge w:val="continue"/>
            <w:vAlign w:val="center"/>
          </w:tcPr>
          <w:p w14:paraId="79F66220">
            <w:pPr>
              <w:adjustRightInd w:val="0"/>
              <w:snapToGrid w:val="0"/>
              <w:spacing w:line="320" w:lineRule="exact"/>
              <w:jc w:val="center"/>
              <w:rPr>
                <w:rFonts w:eastAsia="仿宋_GB2312"/>
                <w:b/>
                <w:szCs w:val="21"/>
              </w:rPr>
            </w:pPr>
          </w:p>
        </w:tc>
        <w:tc>
          <w:tcPr>
            <w:tcW w:w="821" w:type="pct"/>
            <w:vAlign w:val="center"/>
          </w:tcPr>
          <w:p w14:paraId="7C1F65AD">
            <w:pPr>
              <w:adjustRightInd w:val="0"/>
              <w:snapToGrid w:val="0"/>
              <w:spacing w:line="320" w:lineRule="exact"/>
              <w:jc w:val="center"/>
              <w:rPr>
                <w:rFonts w:eastAsia="仿宋_GB2312"/>
                <w:b/>
                <w:szCs w:val="21"/>
              </w:rPr>
            </w:pPr>
            <w:r>
              <w:rPr>
                <w:rFonts w:eastAsia="仿宋_GB2312"/>
                <w:b/>
                <w:szCs w:val="21"/>
              </w:rPr>
              <w:t>昼间</w:t>
            </w:r>
          </w:p>
        </w:tc>
        <w:tc>
          <w:tcPr>
            <w:tcW w:w="821" w:type="pct"/>
            <w:vAlign w:val="center"/>
          </w:tcPr>
          <w:p w14:paraId="5B8C8805">
            <w:pPr>
              <w:adjustRightInd w:val="0"/>
              <w:snapToGrid w:val="0"/>
              <w:spacing w:line="320" w:lineRule="exact"/>
              <w:jc w:val="center"/>
              <w:rPr>
                <w:rFonts w:eastAsia="仿宋_GB2312"/>
                <w:b/>
                <w:szCs w:val="21"/>
              </w:rPr>
            </w:pPr>
            <w:r>
              <w:rPr>
                <w:rFonts w:eastAsia="仿宋_GB2312"/>
                <w:b/>
                <w:szCs w:val="21"/>
              </w:rPr>
              <w:t>夜间</w:t>
            </w:r>
          </w:p>
        </w:tc>
        <w:tc>
          <w:tcPr>
            <w:tcW w:w="821" w:type="pct"/>
            <w:vAlign w:val="center"/>
          </w:tcPr>
          <w:p w14:paraId="394B107E">
            <w:pPr>
              <w:adjustRightInd w:val="0"/>
              <w:snapToGrid w:val="0"/>
              <w:spacing w:line="320" w:lineRule="exact"/>
              <w:jc w:val="center"/>
              <w:rPr>
                <w:rFonts w:eastAsia="仿宋_GB2312"/>
                <w:b/>
                <w:szCs w:val="21"/>
              </w:rPr>
            </w:pPr>
            <w:r>
              <w:rPr>
                <w:rFonts w:eastAsia="仿宋_GB2312"/>
                <w:b/>
                <w:szCs w:val="21"/>
              </w:rPr>
              <w:t>昼间</w:t>
            </w:r>
          </w:p>
        </w:tc>
        <w:tc>
          <w:tcPr>
            <w:tcW w:w="821" w:type="pct"/>
            <w:tcBorders>
              <w:right w:val="single" w:color="auto" w:sz="12" w:space="0"/>
            </w:tcBorders>
            <w:vAlign w:val="center"/>
          </w:tcPr>
          <w:p w14:paraId="0FC4821A">
            <w:pPr>
              <w:adjustRightInd w:val="0"/>
              <w:snapToGrid w:val="0"/>
              <w:spacing w:line="320" w:lineRule="exact"/>
              <w:jc w:val="center"/>
              <w:rPr>
                <w:rFonts w:eastAsia="仿宋_GB2312"/>
                <w:b/>
                <w:szCs w:val="21"/>
              </w:rPr>
            </w:pPr>
            <w:r>
              <w:rPr>
                <w:rFonts w:eastAsia="仿宋_GB2312"/>
                <w:b/>
                <w:szCs w:val="21"/>
              </w:rPr>
              <w:t>夜间</w:t>
            </w:r>
          </w:p>
        </w:tc>
      </w:tr>
      <w:tr w14:paraId="1E5F1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71" w:type="pct"/>
            <w:vMerge w:val="restart"/>
            <w:tcBorders>
              <w:left w:val="single" w:color="auto" w:sz="12" w:space="0"/>
            </w:tcBorders>
            <w:vAlign w:val="center"/>
          </w:tcPr>
          <w:p w14:paraId="586D8C07">
            <w:pPr>
              <w:adjustRightInd w:val="0"/>
              <w:snapToGrid w:val="0"/>
              <w:spacing w:line="320" w:lineRule="exact"/>
              <w:jc w:val="center"/>
              <w:rPr>
                <w:rFonts w:eastAsia="仿宋_GB2312"/>
                <w:szCs w:val="21"/>
              </w:rPr>
            </w:pPr>
            <w:r>
              <w:rPr>
                <w:rFonts w:eastAsia="仿宋_GB2312"/>
                <w:szCs w:val="21"/>
              </w:rPr>
              <w:t>202</w:t>
            </w:r>
            <w:r>
              <w:rPr>
                <w:rFonts w:hint="eastAsia" w:eastAsia="仿宋_GB2312"/>
                <w:szCs w:val="21"/>
              </w:rPr>
              <w:t>6</w:t>
            </w:r>
            <w:r>
              <w:rPr>
                <w:rFonts w:eastAsia="仿宋_GB2312"/>
                <w:szCs w:val="21"/>
              </w:rPr>
              <w:t>.5.</w:t>
            </w:r>
            <w:r>
              <w:rPr>
                <w:rFonts w:hint="eastAsia" w:eastAsia="仿宋_GB2312"/>
                <w:szCs w:val="21"/>
              </w:rPr>
              <w:t>27</w:t>
            </w:r>
          </w:p>
        </w:tc>
        <w:tc>
          <w:tcPr>
            <w:tcW w:w="746" w:type="pct"/>
            <w:vAlign w:val="center"/>
          </w:tcPr>
          <w:p w14:paraId="7DA1D3EA">
            <w:pPr>
              <w:adjustRightInd w:val="0"/>
              <w:snapToGrid w:val="0"/>
              <w:spacing w:line="320" w:lineRule="exact"/>
              <w:jc w:val="center"/>
              <w:rPr>
                <w:rFonts w:eastAsia="仿宋_GB2312"/>
                <w:szCs w:val="21"/>
              </w:rPr>
            </w:pPr>
            <w:r>
              <w:rPr>
                <w:rFonts w:eastAsia="仿宋_GB2312"/>
                <w:szCs w:val="21"/>
              </w:rPr>
              <w:t>东厂界</w:t>
            </w:r>
          </w:p>
        </w:tc>
        <w:tc>
          <w:tcPr>
            <w:tcW w:w="821" w:type="pct"/>
            <w:vAlign w:val="center"/>
          </w:tcPr>
          <w:p w14:paraId="444BA87A">
            <w:pPr>
              <w:adjustRightInd w:val="0"/>
              <w:snapToGrid w:val="0"/>
              <w:spacing w:line="320" w:lineRule="exact"/>
              <w:jc w:val="center"/>
              <w:rPr>
                <w:rFonts w:eastAsia="仿宋_GB2312"/>
                <w:szCs w:val="21"/>
              </w:rPr>
            </w:pPr>
            <w:r>
              <w:rPr>
                <w:rFonts w:hint="eastAsia" w:eastAsia="仿宋_GB2312"/>
                <w:szCs w:val="21"/>
              </w:rPr>
              <w:t>58</w:t>
            </w:r>
          </w:p>
        </w:tc>
        <w:tc>
          <w:tcPr>
            <w:tcW w:w="821" w:type="pct"/>
            <w:vAlign w:val="center"/>
          </w:tcPr>
          <w:p w14:paraId="258B1C86">
            <w:pPr>
              <w:adjustRightInd w:val="0"/>
              <w:snapToGrid w:val="0"/>
              <w:spacing w:line="320" w:lineRule="exact"/>
              <w:jc w:val="center"/>
              <w:rPr>
                <w:rFonts w:eastAsia="仿宋_GB2312"/>
                <w:szCs w:val="21"/>
              </w:rPr>
            </w:pPr>
            <w:r>
              <w:rPr>
                <w:rFonts w:hint="eastAsia" w:eastAsia="仿宋_GB2312"/>
                <w:szCs w:val="21"/>
              </w:rPr>
              <w:t>50</w:t>
            </w:r>
          </w:p>
        </w:tc>
        <w:tc>
          <w:tcPr>
            <w:tcW w:w="821" w:type="pct"/>
            <w:vMerge w:val="restart"/>
            <w:vAlign w:val="center"/>
          </w:tcPr>
          <w:p w14:paraId="64D2101A">
            <w:pPr>
              <w:adjustRightInd w:val="0"/>
              <w:snapToGrid w:val="0"/>
              <w:spacing w:line="320" w:lineRule="exact"/>
              <w:jc w:val="center"/>
              <w:rPr>
                <w:rFonts w:eastAsia="仿宋_GB2312"/>
                <w:szCs w:val="21"/>
              </w:rPr>
            </w:pPr>
            <w:r>
              <w:rPr>
                <w:rFonts w:eastAsia="仿宋_GB2312"/>
                <w:szCs w:val="21"/>
              </w:rPr>
              <w:t>65</w:t>
            </w:r>
          </w:p>
        </w:tc>
        <w:tc>
          <w:tcPr>
            <w:tcW w:w="821" w:type="pct"/>
            <w:vMerge w:val="restart"/>
            <w:tcBorders>
              <w:right w:val="single" w:color="auto" w:sz="12" w:space="0"/>
            </w:tcBorders>
            <w:vAlign w:val="center"/>
          </w:tcPr>
          <w:p w14:paraId="69C0A3F6">
            <w:pPr>
              <w:adjustRightInd w:val="0"/>
              <w:snapToGrid w:val="0"/>
              <w:spacing w:line="320" w:lineRule="exact"/>
              <w:jc w:val="center"/>
              <w:rPr>
                <w:rFonts w:eastAsia="仿宋_GB2312"/>
                <w:szCs w:val="21"/>
              </w:rPr>
            </w:pPr>
            <w:r>
              <w:rPr>
                <w:rFonts w:eastAsia="仿宋_GB2312"/>
                <w:szCs w:val="21"/>
              </w:rPr>
              <w:t>55</w:t>
            </w:r>
          </w:p>
        </w:tc>
      </w:tr>
      <w:tr w14:paraId="31200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71" w:type="pct"/>
            <w:vMerge w:val="continue"/>
            <w:tcBorders>
              <w:left w:val="single" w:color="auto" w:sz="12" w:space="0"/>
            </w:tcBorders>
            <w:vAlign w:val="center"/>
          </w:tcPr>
          <w:p w14:paraId="402F1C03">
            <w:pPr>
              <w:adjustRightInd w:val="0"/>
              <w:snapToGrid w:val="0"/>
              <w:spacing w:line="320" w:lineRule="exact"/>
              <w:jc w:val="center"/>
              <w:rPr>
                <w:rFonts w:eastAsia="仿宋_GB2312"/>
                <w:szCs w:val="21"/>
              </w:rPr>
            </w:pPr>
          </w:p>
        </w:tc>
        <w:tc>
          <w:tcPr>
            <w:tcW w:w="746" w:type="pct"/>
            <w:vAlign w:val="center"/>
          </w:tcPr>
          <w:p w14:paraId="6A5287FD">
            <w:pPr>
              <w:adjustRightInd w:val="0"/>
              <w:snapToGrid w:val="0"/>
              <w:spacing w:line="320" w:lineRule="exact"/>
              <w:jc w:val="center"/>
              <w:rPr>
                <w:rFonts w:eastAsia="仿宋_GB2312"/>
                <w:szCs w:val="21"/>
              </w:rPr>
            </w:pPr>
            <w:r>
              <w:rPr>
                <w:rFonts w:eastAsia="仿宋_GB2312"/>
                <w:szCs w:val="21"/>
              </w:rPr>
              <w:t>南厂界</w:t>
            </w:r>
          </w:p>
        </w:tc>
        <w:tc>
          <w:tcPr>
            <w:tcW w:w="821" w:type="pct"/>
            <w:vAlign w:val="center"/>
          </w:tcPr>
          <w:p w14:paraId="7B37DA23">
            <w:pPr>
              <w:adjustRightInd w:val="0"/>
              <w:snapToGrid w:val="0"/>
              <w:spacing w:line="320" w:lineRule="exact"/>
              <w:jc w:val="center"/>
              <w:rPr>
                <w:rFonts w:eastAsia="仿宋_GB2312"/>
                <w:szCs w:val="21"/>
              </w:rPr>
            </w:pPr>
            <w:r>
              <w:rPr>
                <w:rFonts w:hint="eastAsia" w:eastAsia="仿宋_GB2312"/>
                <w:szCs w:val="21"/>
              </w:rPr>
              <w:t>56</w:t>
            </w:r>
          </w:p>
        </w:tc>
        <w:tc>
          <w:tcPr>
            <w:tcW w:w="821" w:type="pct"/>
            <w:vAlign w:val="center"/>
          </w:tcPr>
          <w:p w14:paraId="28B859C4">
            <w:pPr>
              <w:adjustRightInd w:val="0"/>
              <w:snapToGrid w:val="0"/>
              <w:spacing w:line="320" w:lineRule="exact"/>
              <w:jc w:val="center"/>
              <w:rPr>
                <w:rFonts w:eastAsia="仿宋_GB2312"/>
                <w:szCs w:val="21"/>
              </w:rPr>
            </w:pPr>
            <w:r>
              <w:rPr>
                <w:rFonts w:hint="eastAsia" w:eastAsia="仿宋_GB2312"/>
                <w:szCs w:val="21"/>
              </w:rPr>
              <w:t>47</w:t>
            </w:r>
          </w:p>
        </w:tc>
        <w:tc>
          <w:tcPr>
            <w:tcW w:w="821" w:type="pct"/>
            <w:vMerge w:val="continue"/>
            <w:vAlign w:val="center"/>
          </w:tcPr>
          <w:p w14:paraId="43588128">
            <w:pPr>
              <w:adjustRightInd w:val="0"/>
              <w:snapToGrid w:val="0"/>
              <w:spacing w:line="320" w:lineRule="exact"/>
              <w:jc w:val="center"/>
              <w:rPr>
                <w:rFonts w:eastAsia="仿宋_GB2312"/>
                <w:color w:val="FF0000"/>
                <w:szCs w:val="21"/>
              </w:rPr>
            </w:pPr>
          </w:p>
        </w:tc>
        <w:tc>
          <w:tcPr>
            <w:tcW w:w="821" w:type="pct"/>
            <w:vMerge w:val="continue"/>
            <w:tcBorders>
              <w:right w:val="single" w:color="auto" w:sz="12" w:space="0"/>
            </w:tcBorders>
            <w:vAlign w:val="center"/>
          </w:tcPr>
          <w:p w14:paraId="355FA3EA">
            <w:pPr>
              <w:adjustRightInd w:val="0"/>
              <w:snapToGrid w:val="0"/>
              <w:spacing w:line="320" w:lineRule="exact"/>
              <w:jc w:val="center"/>
              <w:rPr>
                <w:rFonts w:eastAsia="仿宋_GB2312"/>
                <w:color w:val="FF0000"/>
                <w:szCs w:val="21"/>
              </w:rPr>
            </w:pPr>
          </w:p>
        </w:tc>
      </w:tr>
      <w:tr w14:paraId="11044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71" w:type="pct"/>
            <w:vMerge w:val="continue"/>
            <w:tcBorders>
              <w:left w:val="single" w:color="auto" w:sz="12" w:space="0"/>
            </w:tcBorders>
            <w:vAlign w:val="center"/>
          </w:tcPr>
          <w:p w14:paraId="35ABB6F1">
            <w:pPr>
              <w:adjustRightInd w:val="0"/>
              <w:snapToGrid w:val="0"/>
              <w:spacing w:line="320" w:lineRule="exact"/>
              <w:jc w:val="center"/>
              <w:rPr>
                <w:rFonts w:eastAsia="仿宋_GB2312"/>
                <w:szCs w:val="21"/>
              </w:rPr>
            </w:pPr>
          </w:p>
        </w:tc>
        <w:tc>
          <w:tcPr>
            <w:tcW w:w="746" w:type="pct"/>
            <w:vAlign w:val="center"/>
          </w:tcPr>
          <w:p w14:paraId="1795FF37">
            <w:pPr>
              <w:adjustRightInd w:val="0"/>
              <w:snapToGrid w:val="0"/>
              <w:spacing w:line="320" w:lineRule="exact"/>
              <w:jc w:val="center"/>
              <w:rPr>
                <w:rFonts w:eastAsia="仿宋_GB2312"/>
                <w:szCs w:val="21"/>
              </w:rPr>
            </w:pPr>
            <w:r>
              <w:rPr>
                <w:rFonts w:eastAsia="仿宋_GB2312"/>
                <w:szCs w:val="21"/>
              </w:rPr>
              <w:t>西厂界</w:t>
            </w:r>
          </w:p>
        </w:tc>
        <w:tc>
          <w:tcPr>
            <w:tcW w:w="821" w:type="pct"/>
            <w:vAlign w:val="center"/>
          </w:tcPr>
          <w:p w14:paraId="706C9547">
            <w:pPr>
              <w:adjustRightInd w:val="0"/>
              <w:snapToGrid w:val="0"/>
              <w:spacing w:line="320" w:lineRule="exact"/>
              <w:jc w:val="center"/>
              <w:rPr>
                <w:rFonts w:eastAsia="仿宋_GB2312"/>
                <w:szCs w:val="21"/>
              </w:rPr>
            </w:pPr>
            <w:r>
              <w:rPr>
                <w:rFonts w:hint="eastAsia" w:eastAsia="仿宋_GB2312"/>
                <w:szCs w:val="21"/>
              </w:rPr>
              <w:t>63</w:t>
            </w:r>
          </w:p>
        </w:tc>
        <w:tc>
          <w:tcPr>
            <w:tcW w:w="821" w:type="pct"/>
            <w:vAlign w:val="center"/>
          </w:tcPr>
          <w:p w14:paraId="10A7BCC2">
            <w:pPr>
              <w:adjustRightInd w:val="0"/>
              <w:snapToGrid w:val="0"/>
              <w:spacing w:line="320" w:lineRule="exact"/>
              <w:jc w:val="center"/>
              <w:rPr>
                <w:rFonts w:eastAsia="仿宋_GB2312"/>
                <w:szCs w:val="21"/>
              </w:rPr>
            </w:pPr>
            <w:r>
              <w:rPr>
                <w:rFonts w:hint="eastAsia" w:eastAsia="仿宋_GB2312"/>
                <w:szCs w:val="21"/>
              </w:rPr>
              <w:t>50</w:t>
            </w:r>
          </w:p>
        </w:tc>
        <w:tc>
          <w:tcPr>
            <w:tcW w:w="821" w:type="pct"/>
            <w:vMerge w:val="continue"/>
            <w:vAlign w:val="center"/>
          </w:tcPr>
          <w:p w14:paraId="0E010A9D">
            <w:pPr>
              <w:adjustRightInd w:val="0"/>
              <w:snapToGrid w:val="0"/>
              <w:spacing w:line="320" w:lineRule="exact"/>
              <w:jc w:val="center"/>
              <w:rPr>
                <w:rFonts w:eastAsia="仿宋_GB2312"/>
                <w:color w:val="FF0000"/>
                <w:szCs w:val="21"/>
              </w:rPr>
            </w:pPr>
          </w:p>
        </w:tc>
        <w:tc>
          <w:tcPr>
            <w:tcW w:w="821" w:type="pct"/>
            <w:vMerge w:val="continue"/>
            <w:tcBorders>
              <w:right w:val="single" w:color="auto" w:sz="12" w:space="0"/>
            </w:tcBorders>
            <w:vAlign w:val="center"/>
          </w:tcPr>
          <w:p w14:paraId="5900DBFC">
            <w:pPr>
              <w:adjustRightInd w:val="0"/>
              <w:snapToGrid w:val="0"/>
              <w:spacing w:line="320" w:lineRule="exact"/>
              <w:jc w:val="center"/>
              <w:rPr>
                <w:rFonts w:eastAsia="仿宋_GB2312"/>
                <w:color w:val="FF0000"/>
                <w:szCs w:val="21"/>
              </w:rPr>
            </w:pPr>
          </w:p>
        </w:tc>
      </w:tr>
      <w:tr w14:paraId="04458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71" w:type="pct"/>
            <w:vMerge w:val="continue"/>
            <w:tcBorders>
              <w:left w:val="single" w:color="auto" w:sz="12" w:space="0"/>
              <w:bottom w:val="single" w:color="auto" w:sz="12" w:space="0"/>
            </w:tcBorders>
            <w:vAlign w:val="center"/>
          </w:tcPr>
          <w:p w14:paraId="6B1E817E">
            <w:pPr>
              <w:adjustRightInd w:val="0"/>
              <w:snapToGrid w:val="0"/>
              <w:spacing w:line="320" w:lineRule="exact"/>
              <w:jc w:val="center"/>
              <w:rPr>
                <w:rFonts w:eastAsia="仿宋_GB2312"/>
                <w:szCs w:val="21"/>
              </w:rPr>
            </w:pPr>
          </w:p>
        </w:tc>
        <w:tc>
          <w:tcPr>
            <w:tcW w:w="746" w:type="pct"/>
            <w:tcBorders>
              <w:bottom w:val="single" w:color="auto" w:sz="12" w:space="0"/>
            </w:tcBorders>
            <w:vAlign w:val="center"/>
          </w:tcPr>
          <w:p w14:paraId="0C5AB0BE">
            <w:pPr>
              <w:adjustRightInd w:val="0"/>
              <w:snapToGrid w:val="0"/>
              <w:spacing w:line="320" w:lineRule="exact"/>
              <w:jc w:val="center"/>
              <w:rPr>
                <w:rFonts w:eastAsia="仿宋_GB2312"/>
                <w:szCs w:val="21"/>
              </w:rPr>
            </w:pPr>
            <w:r>
              <w:rPr>
                <w:rFonts w:eastAsia="仿宋_GB2312"/>
                <w:szCs w:val="21"/>
              </w:rPr>
              <w:t>北厂界</w:t>
            </w:r>
          </w:p>
        </w:tc>
        <w:tc>
          <w:tcPr>
            <w:tcW w:w="821" w:type="pct"/>
            <w:tcBorders>
              <w:bottom w:val="single" w:color="auto" w:sz="12" w:space="0"/>
            </w:tcBorders>
            <w:vAlign w:val="center"/>
          </w:tcPr>
          <w:p w14:paraId="0E3B2724">
            <w:pPr>
              <w:adjustRightInd w:val="0"/>
              <w:snapToGrid w:val="0"/>
              <w:spacing w:line="320" w:lineRule="exact"/>
              <w:jc w:val="center"/>
              <w:rPr>
                <w:rFonts w:eastAsia="仿宋_GB2312"/>
                <w:szCs w:val="21"/>
              </w:rPr>
            </w:pPr>
            <w:r>
              <w:rPr>
                <w:rFonts w:hint="eastAsia" w:eastAsia="仿宋_GB2312"/>
                <w:szCs w:val="21"/>
              </w:rPr>
              <w:t>63</w:t>
            </w:r>
          </w:p>
        </w:tc>
        <w:tc>
          <w:tcPr>
            <w:tcW w:w="821" w:type="pct"/>
            <w:tcBorders>
              <w:bottom w:val="single" w:color="auto" w:sz="12" w:space="0"/>
            </w:tcBorders>
            <w:vAlign w:val="center"/>
          </w:tcPr>
          <w:p w14:paraId="0E5959D0">
            <w:pPr>
              <w:adjustRightInd w:val="0"/>
              <w:snapToGrid w:val="0"/>
              <w:spacing w:line="320" w:lineRule="exact"/>
              <w:jc w:val="center"/>
              <w:rPr>
                <w:rFonts w:eastAsia="仿宋_GB2312"/>
                <w:szCs w:val="21"/>
              </w:rPr>
            </w:pPr>
            <w:r>
              <w:rPr>
                <w:rFonts w:hint="eastAsia" w:eastAsia="仿宋_GB2312"/>
                <w:szCs w:val="21"/>
              </w:rPr>
              <w:t>50</w:t>
            </w:r>
          </w:p>
        </w:tc>
        <w:tc>
          <w:tcPr>
            <w:tcW w:w="821" w:type="pct"/>
            <w:vMerge w:val="continue"/>
            <w:tcBorders>
              <w:bottom w:val="single" w:color="auto" w:sz="12" w:space="0"/>
            </w:tcBorders>
            <w:vAlign w:val="center"/>
          </w:tcPr>
          <w:p w14:paraId="14D729DA">
            <w:pPr>
              <w:adjustRightInd w:val="0"/>
              <w:snapToGrid w:val="0"/>
              <w:spacing w:line="320" w:lineRule="exact"/>
              <w:jc w:val="center"/>
              <w:rPr>
                <w:rFonts w:eastAsia="仿宋_GB2312"/>
                <w:color w:val="FF0000"/>
                <w:szCs w:val="21"/>
              </w:rPr>
            </w:pPr>
          </w:p>
        </w:tc>
        <w:tc>
          <w:tcPr>
            <w:tcW w:w="821" w:type="pct"/>
            <w:vMerge w:val="continue"/>
            <w:tcBorders>
              <w:bottom w:val="single" w:color="auto" w:sz="12" w:space="0"/>
              <w:right w:val="single" w:color="auto" w:sz="12" w:space="0"/>
            </w:tcBorders>
            <w:vAlign w:val="center"/>
          </w:tcPr>
          <w:p w14:paraId="1D6D46E5">
            <w:pPr>
              <w:adjustRightInd w:val="0"/>
              <w:snapToGrid w:val="0"/>
              <w:spacing w:line="320" w:lineRule="exact"/>
              <w:jc w:val="center"/>
              <w:rPr>
                <w:rFonts w:eastAsia="仿宋_GB2312"/>
                <w:color w:val="FF0000"/>
                <w:szCs w:val="21"/>
              </w:rPr>
            </w:pPr>
          </w:p>
        </w:tc>
      </w:tr>
    </w:tbl>
    <w:p w14:paraId="7ABC7437">
      <w:pPr>
        <w:widowControl/>
        <w:spacing w:line="500" w:lineRule="exact"/>
        <w:ind w:firstLine="560" w:firstLineChars="200"/>
        <w:rPr>
          <w:rFonts w:eastAsia="仿宋_GB2312"/>
          <w:sz w:val="28"/>
          <w:szCs w:val="28"/>
        </w:rPr>
      </w:pPr>
      <w:r>
        <w:rPr>
          <w:rFonts w:eastAsia="仿宋_GB2312"/>
          <w:sz w:val="28"/>
          <w:szCs w:val="28"/>
        </w:rPr>
        <w:t>由上表可知，企业各厂界昼夜间噪声均符合《工业企业厂界环境噪声排放标准》（GB12348-2008）中3类区域标准。</w:t>
      </w:r>
    </w:p>
    <w:p w14:paraId="2D4E0817">
      <w:pPr>
        <w:keepNext/>
        <w:tabs>
          <w:tab w:val="left" w:pos="709"/>
        </w:tabs>
        <w:spacing w:before="120" w:beforeLines="50" w:after="120" w:afterLines="50" w:line="500" w:lineRule="exact"/>
        <w:outlineLvl w:val="2"/>
        <w:rPr>
          <w:rFonts w:eastAsia="仿宋_GB2312"/>
          <w:b/>
          <w:bCs/>
          <w:sz w:val="28"/>
          <w:szCs w:val="28"/>
        </w:rPr>
      </w:pPr>
      <w:bookmarkStart w:id="24" w:name="_Toc21919"/>
      <w:r>
        <w:rPr>
          <w:rFonts w:eastAsia="仿宋_GB2312"/>
          <w:b/>
          <w:bCs/>
          <w:sz w:val="28"/>
          <w:szCs w:val="28"/>
          <w:lang w:val="zh-CN"/>
        </w:rPr>
        <w:t>3.1.</w:t>
      </w:r>
      <w:r>
        <w:rPr>
          <w:rFonts w:hint="eastAsia" w:eastAsia="仿宋_GB2312"/>
          <w:b/>
          <w:bCs/>
          <w:sz w:val="28"/>
          <w:szCs w:val="28"/>
        </w:rPr>
        <w:t>6</w:t>
      </w:r>
      <w:r>
        <w:rPr>
          <w:rFonts w:eastAsia="仿宋_GB2312"/>
          <w:b/>
          <w:bCs/>
          <w:sz w:val="28"/>
          <w:szCs w:val="28"/>
        </w:rPr>
        <w:t>未建项目污染防治措施</w:t>
      </w:r>
      <w:bookmarkEnd w:id="24"/>
    </w:p>
    <w:p w14:paraId="25991494">
      <w:pPr>
        <w:pStyle w:val="7"/>
        <w:keepLines w:val="0"/>
        <w:widowControl/>
        <w:adjustRightInd w:val="0"/>
        <w:snapToGrid w:val="0"/>
        <w:spacing w:after="120" w:afterLines="50"/>
        <w:jc w:val="left"/>
        <w:rPr>
          <w:rFonts w:ascii="Times New Roman" w:hAnsi="Times New Roman"/>
          <w:b/>
        </w:rPr>
      </w:pPr>
      <w:r>
        <w:rPr>
          <w:rFonts w:ascii="Times New Roman" w:hAnsi="Times New Roman"/>
          <w:b/>
        </w:rPr>
        <w:t>3.1.</w:t>
      </w:r>
      <w:r>
        <w:rPr>
          <w:rFonts w:hint="eastAsia" w:ascii="Times New Roman" w:hAnsi="Times New Roman"/>
          <w:b/>
        </w:rPr>
        <w:t>6</w:t>
      </w:r>
      <w:r>
        <w:rPr>
          <w:rFonts w:ascii="Times New Roman" w:hAnsi="Times New Roman"/>
          <w:b/>
        </w:rPr>
        <w:t>.1未建项目废气污染防治措施汇总</w:t>
      </w:r>
    </w:p>
    <w:p w14:paraId="7CB72A68">
      <w:pPr>
        <w:widowControl/>
        <w:spacing w:line="500" w:lineRule="exact"/>
        <w:ind w:firstLine="560" w:firstLineChars="200"/>
        <w:rPr>
          <w:rFonts w:eastAsia="仿宋_GB2312"/>
          <w:sz w:val="28"/>
          <w:szCs w:val="28"/>
        </w:rPr>
      </w:pPr>
      <w:r>
        <w:rPr>
          <w:rFonts w:eastAsia="仿宋_GB2312"/>
          <w:sz w:val="28"/>
          <w:szCs w:val="28"/>
        </w:rPr>
        <w:t>未建项目废气污染防治措施汇总见表3.1-</w:t>
      </w:r>
      <w:r>
        <w:rPr>
          <w:rFonts w:hint="eastAsia" w:eastAsia="仿宋_GB2312"/>
          <w:sz w:val="28"/>
          <w:szCs w:val="28"/>
        </w:rPr>
        <w:t>18</w:t>
      </w:r>
      <w:r>
        <w:rPr>
          <w:rFonts w:eastAsia="仿宋_GB2312"/>
          <w:sz w:val="28"/>
          <w:szCs w:val="28"/>
        </w:rPr>
        <w:t>。</w:t>
      </w:r>
    </w:p>
    <w:p w14:paraId="19E2E446">
      <w:pPr>
        <w:spacing w:line="500" w:lineRule="exact"/>
        <w:jc w:val="center"/>
        <w:rPr>
          <w:rFonts w:eastAsia="仿宋_GB2312"/>
          <w:b/>
          <w:sz w:val="24"/>
        </w:rPr>
      </w:pPr>
      <w:r>
        <w:rPr>
          <w:rFonts w:eastAsia="仿宋_GB2312"/>
          <w:b/>
          <w:sz w:val="24"/>
        </w:rPr>
        <w:t>表3.1-</w:t>
      </w:r>
      <w:r>
        <w:rPr>
          <w:rFonts w:hint="eastAsia" w:eastAsia="仿宋_GB2312"/>
          <w:b/>
          <w:sz w:val="24"/>
        </w:rPr>
        <w:t>18</w:t>
      </w:r>
      <w:r>
        <w:rPr>
          <w:rFonts w:eastAsia="仿宋_GB2312"/>
          <w:b/>
          <w:sz w:val="24"/>
        </w:rPr>
        <w:t xml:space="preserve">  未建项目废气防治措施一览表</w:t>
      </w:r>
    </w:p>
    <w:tbl>
      <w:tblPr>
        <w:tblStyle w:val="88"/>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3794"/>
        <w:gridCol w:w="3135"/>
        <w:gridCol w:w="1594"/>
      </w:tblGrid>
      <w:tr w14:paraId="674350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25" w:type="pct"/>
            <w:vAlign w:val="center"/>
          </w:tcPr>
          <w:p w14:paraId="305C1B16">
            <w:pPr>
              <w:spacing w:line="320" w:lineRule="exact"/>
              <w:contextualSpacing/>
              <w:jc w:val="center"/>
              <w:rPr>
                <w:rFonts w:eastAsia="仿宋_GB2312"/>
                <w:b/>
                <w:szCs w:val="21"/>
              </w:rPr>
            </w:pPr>
            <w:r>
              <w:rPr>
                <w:rFonts w:eastAsia="仿宋_GB2312"/>
                <w:b/>
                <w:szCs w:val="21"/>
              </w:rPr>
              <w:t>废气来源</w:t>
            </w:r>
          </w:p>
        </w:tc>
        <w:tc>
          <w:tcPr>
            <w:tcW w:w="1839" w:type="pct"/>
            <w:vAlign w:val="center"/>
          </w:tcPr>
          <w:p w14:paraId="5887E3AC">
            <w:pPr>
              <w:spacing w:line="320" w:lineRule="exact"/>
              <w:contextualSpacing/>
              <w:jc w:val="center"/>
              <w:rPr>
                <w:rFonts w:eastAsia="仿宋_GB2312"/>
                <w:b/>
                <w:szCs w:val="21"/>
              </w:rPr>
            </w:pPr>
            <w:r>
              <w:rPr>
                <w:rFonts w:eastAsia="仿宋_GB2312"/>
                <w:b/>
                <w:szCs w:val="21"/>
              </w:rPr>
              <w:t>治理设施</w:t>
            </w:r>
          </w:p>
        </w:tc>
        <w:tc>
          <w:tcPr>
            <w:tcW w:w="935" w:type="pct"/>
            <w:vAlign w:val="center"/>
          </w:tcPr>
          <w:p w14:paraId="70361EAA">
            <w:pPr>
              <w:spacing w:line="320" w:lineRule="exact"/>
              <w:contextualSpacing/>
              <w:jc w:val="center"/>
              <w:rPr>
                <w:rFonts w:eastAsia="仿宋_GB2312"/>
                <w:b/>
                <w:szCs w:val="21"/>
              </w:rPr>
            </w:pPr>
            <w:r>
              <w:rPr>
                <w:rFonts w:eastAsia="仿宋_GB2312"/>
                <w:b/>
                <w:szCs w:val="21"/>
              </w:rPr>
              <w:t>排气筒设置</w:t>
            </w:r>
          </w:p>
        </w:tc>
      </w:tr>
      <w:tr w14:paraId="1D201D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25" w:type="pct"/>
            <w:vAlign w:val="center"/>
          </w:tcPr>
          <w:p w14:paraId="1C66AD54">
            <w:pPr>
              <w:widowControl/>
              <w:spacing w:line="320" w:lineRule="exact"/>
              <w:contextualSpacing/>
              <w:jc w:val="center"/>
              <w:rPr>
                <w:rFonts w:eastAsia="仿宋_GB2312"/>
                <w:szCs w:val="21"/>
              </w:rPr>
            </w:pPr>
            <w:r>
              <w:rPr>
                <w:rFonts w:eastAsia="仿宋_GB2312"/>
                <w:szCs w:val="21"/>
              </w:rPr>
              <w:t>PCB线路板裁板、叠合、钻靶、钻孔、成型切割废气</w:t>
            </w:r>
          </w:p>
        </w:tc>
        <w:tc>
          <w:tcPr>
            <w:tcW w:w="1839" w:type="pct"/>
            <w:vAlign w:val="center"/>
          </w:tcPr>
          <w:p w14:paraId="2A143C18">
            <w:pPr>
              <w:spacing w:line="320" w:lineRule="exact"/>
              <w:contextualSpacing/>
              <w:jc w:val="center"/>
              <w:rPr>
                <w:rFonts w:eastAsia="仿宋_GB2312"/>
                <w:szCs w:val="21"/>
              </w:rPr>
            </w:pPr>
            <w:r>
              <w:rPr>
                <w:rFonts w:eastAsia="仿宋_GB2312"/>
                <w:szCs w:val="21"/>
              </w:rPr>
              <w:t>布袋除尘</w:t>
            </w:r>
          </w:p>
        </w:tc>
        <w:tc>
          <w:tcPr>
            <w:tcW w:w="935" w:type="pct"/>
            <w:vAlign w:val="center"/>
          </w:tcPr>
          <w:p w14:paraId="6552309F">
            <w:pPr>
              <w:spacing w:line="320" w:lineRule="exact"/>
              <w:contextualSpacing/>
              <w:jc w:val="center"/>
              <w:rPr>
                <w:rFonts w:eastAsia="仿宋_GB2312"/>
                <w:szCs w:val="21"/>
              </w:rPr>
            </w:pPr>
            <w:r>
              <w:rPr>
                <w:rFonts w:eastAsia="仿宋_GB2312"/>
                <w:szCs w:val="21"/>
              </w:rPr>
              <w:t>15m排气筒（</w:t>
            </w:r>
            <w:r>
              <w:rPr>
                <w:rFonts w:hint="eastAsia" w:eastAsia="仿宋_GB2312"/>
                <w:szCs w:val="21"/>
              </w:rPr>
              <w:t>DA006</w:t>
            </w:r>
            <w:r>
              <w:rPr>
                <w:rFonts w:eastAsia="仿宋_GB2312"/>
                <w:szCs w:val="21"/>
              </w:rPr>
              <w:t>）</w:t>
            </w:r>
          </w:p>
        </w:tc>
      </w:tr>
      <w:tr w14:paraId="4A5C06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25" w:type="pct"/>
            <w:vAlign w:val="center"/>
          </w:tcPr>
          <w:p w14:paraId="741F4E7C">
            <w:pPr>
              <w:widowControl/>
              <w:spacing w:line="320" w:lineRule="exact"/>
              <w:contextualSpacing/>
              <w:jc w:val="center"/>
              <w:rPr>
                <w:rFonts w:eastAsia="仿宋_GB2312"/>
                <w:szCs w:val="21"/>
              </w:rPr>
            </w:pPr>
            <w:r>
              <w:rPr>
                <w:rFonts w:eastAsia="仿宋_GB2312"/>
                <w:szCs w:val="21"/>
              </w:rPr>
              <w:t>PCB线路板、电子零件、五金器具电镀废气</w:t>
            </w:r>
          </w:p>
        </w:tc>
        <w:tc>
          <w:tcPr>
            <w:tcW w:w="1839" w:type="pct"/>
            <w:vAlign w:val="center"/>
          </w:tcPr>
          <w:p w14:paraId="7012E6AD">
            <w:pPr>
              <w:spacing w:line="320" w:lineRule="exact"/>
              <w:contextualSpacing/>
              <w:jc w:val="center"/>
              <w:rPr>
                <w:rFonts w:eastAsia="仿宋_GB2312"/>
                <w:szCs w:val="21"/>
              </w:rPr>
            </w:pPr>
            <w:r>
              <w:rPr>
                <w:rFonts w:eastAsia="仿宋_GB2312"/>
                <w:szCs w:val="21"/>
              </w:rPr>
              <w:t>网格式净化器＋水吸收+活性炭吸附</w:t>
            </w:r>
          </w:p>
        </w:tc>
        <w:tc>
          <w:tcPr>
            <w:tcW w:w="935" w:type="pct"/>
            <w:vAlign w:val="center"/>
          </w:tcPr>
          <w:p w14:paraId="20286FF6">
            <w:pPr>
              <w:spacing w:line="320" w:lineRule="exact"/>
              <w:contextualSpacing/>
              <w:jc w:val="center"/>
              <w:rPr>
                <w:rFonts w:eastAsia="仿宋_GB2312"/>
                <w:szCs w:val="21"/>
              </w:rPr>
            </w:pPr>
            <w:r>
              <w:rPr>
                <w:rFonts w:eastAsia="仿宋_GB2312"/>
                <w:szCs w:val="21"/>
              </w:rPr>
              <w:t>25m排气筒（</w:t>
            </w:r>
            <w:r>
              <w:rPr>
                <w:rFonts w:hint="eastAsia" w:eastAsia="仿宋_GB2312"/>
                <w:szCs w:val="21"/>
              </w:rPr>
              <w:t>DA007</w:t>
            </w:r>
            <w:r>
              <w:rPr>
                <w:rFonts w:eastAsia="仿宋_GB2312"/>
                <w:szCs w:val="21"/>
              </w:rPr>
              <w:t>）</w:t>
            </w:r>
          </w:p>
        </w:tc>
      </w:tr>
      <w:tr w14:paraId="788B95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25" w:type="pct"/>
            <w:vAlign w:val="center"/>
          </w:tcPr>
          <w:p w14:paraId="47766B22">
            <w:pPr>
              <w:spacing w:line="320" w:lineRule="exact"/>
              <w:contextualSpacing/>
              <w:jc w:val="center"/>
              <w:rPr>
                <w:rFonts w:eastAsia="仿宋_GB2312"/>
                <w:szCs w:val="21"/>
              </w:rPr>
            </w:pPr>
            <w:r>
              <w:rPr>
                <w:rFonts w:eastAsia="仿宋_GB2312"/>
                <w:szCs w:val="21"/>
              </w:rPr>
              <w:t>PCB线路板焊接废气</w:t>
            </w:r>
          </w:p>
        </w:tc>
        <w:tc>
          <w:tcPr>
            <w:tcW w:w="1839" w:type="pct"/>
            <w:vAlign w:val="center"/>
          </w:tcPr>
          <w:p w14:paraId="24F8D6BD">
            <w:pPr>
              <w:spacing w:line="320" w:lineRule="exact"/>
              <w:contextualSpacing/>
              <w:jc w:val="center"/>
              <w:rPr>
                <w:rFonts w:eastAsia="仿宋_GB2312"/>
                <w:szCs w:val="21"/>
              </w:rPr>
            </w:pPr>
            <w:r>
              <w:rPr>
                <w:rFonts w:eastAsia="仿宋_GB2312"/>
                <w:szCs w:val="21"/>
              </w:rPr>
              <w:t>布袋除尘</w:t>
            </w:r>
          </w:p>
        </w:tc>
        <w:tc>
          <w:tcPr>
            <w:tcW w:w="935" w:type="pct"/>
            <w:vAlign w:val="center"/>
          </w:tcPr>
          <w:p w14:paraId="7952CCE6">
            <w:pPr>
              <w:spacing w:line="320" w:lineRule="exact"/>
              <w:contextualSpacing/>
              <w:jc w:val="center"/>
              <w:rPr>
                <w:rFonts w:eastAsia="仿宋_GB2312"/>
                <w:szCs w:val="21"/>
              </w:rPr>
            </w:pPr>
            <w:r>
              <w:rPr>
                <w:rFonts w:eastAsia="仿宋_GB2312"/>
                <w:szCs w:val="21"/>
              </w:rPr>
              <w:t>15m排气筒（</w:t>
            </w:r>
            <w:r>
              <w:rPr>
                <w:rFonts w:hint="eastAsia" w:eastAsia="仿宋_GB2312"/>
                <w:szCs w:val="21"/>
              </w:rPr>
              <w:t>DA008</w:t>
            </w:r>
            <w:r>
              <w:rPr>
                <w:rFonts w:eastAsia="仿宋_GB2312"/>
                <w:szCs w:val="21"/>
              </w:rPr>
              <w:t>）</w:t>
            </w:r>
          </w:p>
        </w:tc>
      </w:tr>
      <w:tr w14:paraId="321E8B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25" w:type="pct"/>
            <w:vAlign w:val="center"/>
          </w:tcPr>
          <w:p w14:paraId="1DE9C8A4">
            <w:pPr>
              <w:spacing w:line="320" w:lineRule="exact"/>
              <w:contextualSpacing/>
              <w:jc w:val="center"/>
              <w:rPr>
                <w:rFonts w:eastAsia="仿宋_GB2312"/>
                <w:szCs w:val="21"/>
              </w:rPr>
            </w:pPr>
            <w:r>
              <w:rPr>
                <w:rFonts w:eastAsia="仿宋_GB2312"/>
                <w:szCs w:val="21"/>
              </w:rPr>
              <w:t>甘油精制生产线技改项目</w:t>
            </w:r>
          </w:p>
        </w:tc>
        <w:tc>
          <w:tcPr>
            <w:tcW w:w="1839" w:type="pct"/>
            <w:vMerge w:val="restart"/>
            <w:vAlign w:val="center"/>
          </w:tcPr>
          <w:p w14:paraId="2CC2EFF4">
            <w:pPr>
              <w:spacing w:line="320" w:lineRule="exact"/>
              <w:contextualSpacing/>
              <w:jc w:val="center"/>
              <w:rPr>
                <w:rFonts w:eastAsia="仿宋_GB2312"/>
                <w:szCs w:val="21"/>
              </w:rPr>
            </w:pPr>
            <w:r>
              <w:rPr>
                <w:rFonts w:eastAsia="仿宋_GB2312"/>
                <w:szCs w:val="21"/>
              </w:rPr>
              <w:t>稀酸吸收+碱吸收+除雾+两级活性炭吸附/脱附</w:t>
            </w:r>
          </w:p>
        </w:tc>
        <w:tc>
          <w:tcPr>
            <w:tcW w:w="935" w:type="pct"/>
            <w:vMerge w:val="restart"/>
            <w:vAlign w:val="center"/>
          </w:tcPr>
          <w:p w14:paraId="4D7C3C35">
            <w:pPr>
              <w:spacing w:line="320" w:lineRule="exact"/>
              <w:contextualSpacing/>
              <w:jc w:val="center"/>
              <w:rPr>
                <w:rFonts w:eastAsia="仿宋_GB2312"/>
                <w:szCs w:val="21"/>
              </w:rPr>
            </w:pPr>
            <w:r>
              <w:rPr>
                <w:rFonts w:eastAsia="仿宋_GB2312"/>
                <w:szCs w:val="21"/>
              </w:rPr>
              <w:t>20m排气筒（</w:t>
            </w:r>
            <w:r>
              <w:rPr>
                <w:rFonts w:hint="eastAsia" w:eastAsia="仿宋_GB2312"/>
                <w:szCs w:val="21"/>
              </w:rPr>
              <w:t>DA009</w:t>
            </w:r>
            <w:r>
              <w:rPr>
                <w:rFonts w:eastAsia="仿宋_GB2312"/>
                <w:szCs w:val="21"/>
              </w:rPr>
              <w:t>）</w:t>
            </w:r>
          </w:p>
        </w:tc>
      </w:tr>
      <w:tr w14:paraId="0C56C2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25" w:type="pct"/>
            <w:vAlign w:val="center"/>
          </w:tcPr>
          <w:p w14:paraId="58DC994E">
            <w:pPr>
              <w:spacing w:line="320" w:lineRule="exact"/>
              <w:contextualSpacing/>
              <w:jc w:val="center"/>
              <w:rPr>
                <w:rFonts w:eastAsia="仿宋_GB2312"/>
                <w:szCs w:val="21"/>
              </w:rPr>
            </w:pPr>
            <w:r>
              <w:rPr>
                <w:rFonts w:eastAsia="仿宋_GB2312"/>
                <w:szCs w:val="21"/>
              </w:rPr>
              <w:t>聚酯多元醇项目</w:t>
            </w:r>
          </w:p>
        </w:tc>
        <w:tc>
          <w:tcPr>
            <w:tcW w:w="1839" w:type="pct"/>
            <w:vMerge w:val="continue"/>
            <w:vAlign w:val="center"/>
          </w:tcPr>
          <w:p w14:paraId="21F2338F">
            <w:pPr>
              <w:spacing w:line="320" w:lineRule="exact"/>
              <w:contextualSpacing/>
              <w:jc w:val="center"/>
              <w:rPr>
                <w:rFonts w:eastAsia="仿宋_GB2312"/>
                <w:szCs w:val="21"/>
              </w:rPr>
            </w:pPr>
          </w:p>
        </w:tc>
        <w:tc>
          <w:tcPr>
            <w:tcW w:w="935" w:type="pct"/>
            <w:vMerge w:val="continue"/>
            <w:vAlign w:val="center"/>
          </w:tcPr>
          <w:p w14:paraId="63B0AFD7">
            <w:pPr>
              <w:spacing w:line="320" w:lineRule="exact"/>
              <w:contextualSpacing/>
              <w:jc w:val="center"/>
              <w:rPr>
                <w:rFonts w:eastAsia="仿宋_GB2312"/>
                <w:szCs w:val="21"/>
              </w:rPr>
            </w:pPr>
          </w:p>
        </w:tc>
      </w:tr>
    </w:tbl>
    <w:p w14:paraId="776F36A1">
      <w:pPr>
        <w:pStyle w:val="7"/>
        <w:keepLines w:val="0"/>
        <w:widowControl/>
        <w:adjustRightInd w:val="0"/>
        <w:snapToGrid w:val="0"/>
        <w:spacing w:after="120" w:afterLines="50"/>
        <w:jc w:val="left"/>
        <w:rPr>
          <w:rFonts w:ascii="Times New Roman" w:hAnsi="Times New Roman"/>
          <w:b/>
        </w:rPr>
      </w:pPr>
      <w:r>
        <w:rPr>
          <w:rFonts w:ascii="Times New Roman" w:hAnsi="Times New Roman"/>
          <w:b/>
        </w:rPr>
        <w:t>3.1.</w:t>
      </w:r>
      <w:r>
        <w:rPr>
          <w:rFonts w:hint="eastAsia" w:ascii="Times New Roman" w:hAnsi="Times New Roman"/>
          <w:b/>
        </w:rPr>
        <w:t>6</w:t>
      </w:r>
      <w:r>
        <w:rPr>
          <w:rFonts w:ascii="Times New Roman" w:hAnsi="Times New Roman"/>
          <w:b/>
        </w:rPr>
        <w:t>.2未建项目废水污染防治措施汇总</w:t>
      </w:r>
    </w:p>
    <w:p w14:paraId="008FB1CF">
      <w:pPr>
        <w:widowControl/>
        <w:spacing w:line="500" w:lineRule="exact"/>
        <w:ind w:firstLine="560" w:firstLineChars="200"/>
        <w:rPr>
          <w:rFonts w:eastAsia="仿宋_GB2312"/>
          <w:sz w:val="28"/>
          <w:szCs w:val="28"/>
        </w:rPr>
      </w:pPr>
      <w:r>
        <w:rPr>
          <w:rFonts w:eastAsia="仿宋_GB2312"/>
          <w:sz w:val="28"/>
          <w:szCs w:val="28"/>
        </w:rPr>
        <w:t>（1）PCB线路板、电子零件、五金器具项目生产过程中产生的废水收集经2#污水站（处理能力3000m</w:t>
      </w:r>
      <w:r>
        <w:rPr>
          <w:rFonts w:eastAsia="仿宋_GB2312"/>
          <w:sz w:val="28"/>
          <w:szCs w:val="28"/>
          <w:vertAlign w:val="superscript"/>
        </w:rPr>
        <w:t>3</w:t>
      </w:r>
      <w:r>
        <w:rPr>
          <w:rFonts w:eastAsia="仿宋_GB2312"/>
          <w:sz w:val="28"/>
          <w:szCs w:val="28"/>
        </w:rPr>
        <w:t>/d）处理达标后接管入常州民生环保科技有限公司集中处理。</w:t>
      </w:r>
    </w:p>
    <w:p w14:paraId="23A4F44B">
      <w:pPr>
        <w:widowControl/>
        <w:spacing w:line="500" w:lineRule="exact"/>
        <w:ind w:firstLine="560" w:firstLineChars="200"/>
        <w:rPr>
          <w:rFonts w:eastAsia="仿宋_GB2312"/>
          <w:sz w:val="28"/>
          <w:szCs w:val="28"/>
        </w:rPr>
      </w:pPr>
      <w:r>
        <w:rPr>
          <w:rFonts w:eastAsia="仿宋_GB2312"/>
          <w:sz w:val="28"/>
          <w:szCs w:val="28"/>
        </w:rPr>
        <w:t>（2）聚酯多元醇项目生产废水（缩聚脱水、地面冲洗废水和水环真空泵废水）、生活污水、初期雨水经1#污水处理站（处理能力600m</w:t>
      </w:r>
      <w:r>
        <w:rPr>
          <w:rFonts w:eastAsia="仿宋_GB2312"/>
          <w:sz w:val="28"/>
          <w:szCs w:val="28"/>
          <w:vertAlign w:val="superscript"/>
        </w:rPr>
        <w:t>3</w:t>
      </w:r>
      <w:r>
        <w:rPr>
          <w:rFonts w:eastAsia="仿宋_GB2312"/>
          <w:sz w:val="28"/>
          <w:szCs w:val="28"/>
        </w:rPr>
        <w:t>/d）处理，处理后的废水接管入常州民生环保科技有限公司集中处理。</w:t>
      </w:r>
    </w:p>
    <w:p w14:paraId="42FD0D16">
      <w:pPr>
        <w:widowControl/>
        <w:spacing w:line="500" w:lineRule="exact"/>
        <w:ind w:firstLine="560" w:firstLineChars="200"/>
        <w:rPr>
          <w:rFonts w:eastAsia="仿宋_GB2312"/>
          <w:color w:val="FF0000"/>
          <w:sz w:val="28"/>
          <w:szCs w:val="28"/>
        </w:rPr>
      </w:pPr>
      <w:r>
        <w:rPr>
          <w:rFonts w:eastAsia="仿宋_GB2312"/>
          <w:sz w:val="28"/>
          <w:szCs w:val="28"/>
        </w:rPr>
        <w:t>（3）甘油精制生产线技改项目工艺废水、地面清洁废水、生活污水经1#污水处理站（处理能力600m</w:t>
      </w:r>
      <w:r>
        <w:rPr>
          <w:rFonts w:eastAsia="仿宋_GB2312"/>
          <w:sz w:val="28"/>
          <w:szCs w:val="28"/>
          <w:vertAlign w:val="superscript"/>
        </w:rPr>
        <w:t>3</w:t>
      </w:r>
      <w:r>
        <w:rPr>
          <w:rFonts w:eastAsia="仿宋_GB2312"/>
          <w:sz w:val="28"/>
          <w:szCs w:val="28"/>
        </w:rPr>
        <w:t>/d）处理，处理后的废水接管入常州民生环保科技有限公司集中处理。</w:t>
      </w:r>
    </w:p>
    <w:p w14:paraId="00EBDC83">
      <w:pPr>
        <w:widowControl/>
        <w:jc w:val="left"/>
        <w:rPr>
          <w:rFonts w:eastAsia="仿宋_GB2312"/>
          <w:color w:val="FF0000"/>
          <w:sz w:val="28"/>
          <w:szCs w:val="28"/>
        </w:rPr>
      </w:pPr>
      <w:r>
        <w:rPr>
          <w:rFonts w:eastAsia="仿宋_GB2312"/>
          <w:color w:val="FF0000"/>
          <w:sz w:val="28"/>
          <w:szCs w:val="28"/>
        </w:rPr>
        <w:br w:type="page"/>
      </w:r>
    </w:p>
    <w:p w14:paraId="7377470F">
      <w:pPr>
        <w:pStyle w:val="7"/>
        <w:keepLines w:val="0"/>
        <w:widowControl/>
        <w:adjustRightInd w:val="0"/>
        <w:snapToGrid w:val="0"/>
        <w:spacing w:after="120" w:afterLines="50"/>
        <w:jc w:val="left"/>
        <w:rPr>
          <w:rFonts w:ascii="Times New Roman" w:hAnsi="Times New Roman"/>
          <w:b/>
        </w:rPr>
      </w:pPr>
      <w:r>
        <w:rPr>
          <w:rFonts w:ascii="Times New Roman" w:hAnsi="Times New Roman"/>
          <w:b/>
        </w:rPr>
        <w:t>3.1.</w:t>
      </w:r>
      <w:r>
        <w:rPr>
          <w:rFonts w:hint="eastAsia" w:ascii="Times New Roman" w:hAnsi="Times New Roman"/>
          <w:b/>
        </w:rPr>
        <w:t>6</w:t>
      </w:r>
      <w:r>
        <w:rPr>
          <w:rFonts w:ascii="Times New Roman" w:hAnsi="Times New Roman"/>
          <w:b/>
        </w:rPr>
        <w:t>.3未建项目固废污染防治措施汇总</w:t>
      </w:r>
    </w:p>
    <w:p w14:paraId="41EDF081">
      <w:pPr>
        <w:widowControl/>
        <w:spacing w:line="500" w:lineRule="exact"/>
        <w:ind w:firstLine="560" w:firstLineChars="200"/>
        <w:rPr>
          <w:rFonts w:eastAsia="仿宋_GB2312"/>
          <w:sz w:val="28"/>
          <w:szCs w:val="28"/>
        </w:rPr>
      </w:pPr>
      <w:r>
        <w:rPr>
          <w:rFonts w:eastAsia="仿宋_GB2312"/>
          <w:sz w:val="28"/>
          <w:szCs w:val="28"/>
        </w:rPr>
        <w:t>未建项目固废产生情况见表3.1-</w:t>
      </w:r>
      <w:r>
        <w:rPr>
          <w:rFonts w:hint="eastAsia" w:eastAsia="仿宋_GB2312"/>
          <w:sz w:val="28"/>
          <w:szCs w:val="28"/>
        </w:rPr>
        <w:t>19</w:t>
      </w:r>
      <w:r>
        <w:rPr>
          <w:rFonts w:eastAsia="仿宋_GB2312"/>
          <w:sz w:val="28"/>
          <w:szCs w:val="28"/>
        </w:rPr>
        <w:t>。</w:t>
      </w:r>
    </w:p>
    <w:p w14:paraId="60305303">
      <w:pPr>
        <w:spacing w:line="500" w:lineRule="exact"/>
        <w:jc w:val="center"/>
        <w:rPr>
          <w:rFonts w:eastAsia="仿宋_GB2312"/>
          <w:b/>
          <w:sz w:val="24"/>
        </w:rPr>
      </w:pPr>
      <w:r>
        <w:rPr>
          <w:rFonts w:eastAsia="仿宋_GB2312"/>
          <w:b/>
          <w:sz w:val="24"/>
        </w:rPr>
        <w:t>表3.1-</w:t>
      </w:r>
      <w:r>
        <w:rPr>
          <w:rFonts w:hint="eastAsia" w:eastAsia="仿宋_GB2312"/>
          <w:b/>
          <w:sz w:val="24"/>
        </w:rPr>
        <w:t>19</w:t>
      </w:r>
      <w:r>
        <w:rPr>
          <w:rFonts w:eastAsia="仿宋_GB2312"/>
          <w:b/>
          <w:sz w:val="24"/>
        </w:rPr>
        <w:t xml:space="preserve">  未建项目固废情况表</w:t>
      </w:r>
    </w:p>
    <w:tbl>
      <w:tblPr>
        <w:tblStyle w:val="88"/>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828"/>
        <w:gridCol w:w="1497"/>
        <w:gridCol w:w="1190"/>
        <w:gridCol w:w="1487"/>
        <w:gridCol w:w="1267"/>
        <w:gridCol w:w="1254"/>
      </w:tblGrid>
      <w:tr w14:paraId="09DA88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72" w:type="pct"/>
            <w:tcBorders>
              <w:tl2br w:val="nil"/>
              <w:tr2bl w:val="nil"/>
            </w:tcBorders>
            <w:vAlign w:val="center"/>
          </w:tcPr>
          <w:p w14:paraId="38ED853D">
            <w:pPr>
              <w:spacing w:line="320" w:lineRule="exact"/>
              <w:contextualSpacing/>
              <w:jc w:val="center"/>
              <w:rPr>
                <w:rFonts w:eastAsia="仿宋_GB2312"/>
                <w:b/>
                <w:szCs w:val="21"/>
              </w:rPr>
            </w:pPr>
            <w:r>
              <w:rPr>
                <w:rFonts w:eastAsia="仿宋_GB2312"/>
                <w:b/>
                <w:szCs w:val="21"/>
              </w:rPr>
              <w:t>出处</w:t>
            </w:r>
          </w:p>
        </w:tc>
        <w:tc>
          <w:tcPr>
            <w:tcW w:w="878" w:type="pct"/>
            <w:tcBorders>
              <w:tl2br w:val="nil"/>
              <w:tr2bl w:val="nil"/>
            </w:tcBorders>
            <w:vAlign w:val="center"/>
          </w:tcPr>
          <w:p w14:paraId="0B1D4543">
            <w:pPr>
              <w:spacing w:line="320" w:lineRule="exact"/>
              <w:contextualSpacing/>
              <w:jc w:val="center"/>
              <w:rPr>
                <w:rFonts w:eastAsia="仿宋_GB2312"/>
                <w:b/>
                <w:szCs w:val="21"/>
              </w:rPr>
            </w:pPr>
            <w:r>
              <w:rPr>
                <w:rFonts w:eastAsia="仿宋_GB2312"/>
                <w:b/>
                <w:szCs w:val="21"/>
              </w:rPr>
              <w:t>名称</w:t>
            </w:r>
          </w:p>
        </w:tc>
        <w:tc>
          <w:tcPr>
            <w:tcW w:w="698" w:type="pct"/>
            <w:tcBorders>
              <w:tl2br w:val="nil"/>
              <w:tr2bl w:val="nil"/>
            </w:tcBorders>
            <w:vAlign w:val="center"/>
          </w:tcPr>
          <w:p w14:paraId="7CF6D57B">
            <w:pPr>
              <w:spacing w:line="320" w:lineRule="exact"/>
              <w:contextualSpacing/>
              <w:jc w:val="center"/>
              <w:rPr>
                <w:rFonts w:eastAsia="仿宋_GB2312"/>
                <w:b/>
                <w:szCs w:val="21"/>
              </w:rPr>
            </w:pPr>
            <w:r>
              <w:rPr>
                <w:rFonts w:eastAsia="仿宋_GB2312"/>
                <w:b/>
                <w:szCs w:val="21"/>
              </w:rPr>
              <w:t>危废类别</w:t>
            </w:r>
          </w:p>
        </w:tc>
        <w:tc>
          <w:tcPr>
            <w:tcW w:w="872" w:type="pct"/>
            <w:tcBorders>
              <w:tl2br w:val="nil"/>
              <w:tr2bl w:val="nil"/>
            </w:tcBorders>
            <w:vAlign w:val="center"/>
          </w:tcPr>
          <w:p w14:paraId="2468CE17">
            <w:pPr>
              <w:spacing w:line="320" w:lineRule="exact"/>
              <w:contextualSpacing/>
              <w:jc w:val="center"/>
              <w:rPr>
                <w:rFonts w:eastAsia="仿宋_GB2312"/>
                <w:b/>
                <w:szCs w:val="21"/>
              </w:rPr>
            </w:pPr>
            <w:r>
              <w:rPr>
                <w:rFonts w:eastAsia="仿宋_GB2312"/>
                <w:b/>
                <w:szCs w:val="21"/>
              </w:rPr>
              <w:t>固废代码</w:t>
            </w:r>
          </w:p>
        </w:tc>
        <w:tc>
          <w:tcPr>
            <w:tcW w:w="743" w:type="pct"/>
            <w:tcBorders>
              <w:tl2br w:val="nil"/>
              <w:tr2bl w:val="nil"/>
            </w:tcBorders>
            <w:vAlign w:val="center"/>
          </w:tcPr>
          <w:p w14:paraId="63B70C50">
            <w:pPr>
              <w:spacing w:line="320" w:lineRule="exact"/>
              <w:contextualSpacing/>
              <w:jc w:val="center"/>
              <w:rPr>
                <w:rFonts w:eastAsia="仿宋_GB2312"/>
                <w:b/>
                <w:szCs w:val="21"/>
              </w:rPr>
            </w:pPr>
            <w:r>
              <w:rPr>
                <w:rFonts w:eastAsia="仿宋_GB2312"/>
                <w:b/>
                <w:szCs w:val="21"/>
              </w:rPr>
              <w:t>产生量t/a</w:t>
            </w:r>
          </w:p>
        </w:tc>
        <w:tc>
          <w:tcPr>
            <w:tcW w:w="735" w:type="pct"/>
            <w:tcBorders>
              <w:tl2br w:val="nil"/>
              <w:tr2bl w:val="nil"/>
            </w:tcBorders>
            <w:vAlign w:val="center"/>
          </w:tcPr>
          <w:p w14:paraId="00604F9A">
            <w:pPr>
              <w:spacing w:line="320" w:lineRule="exact"/>
              <w:contextualSpacing/>
              <w:jc w:val="center"/>
              <w:rPr>
                <w:rFonts w:eastAsia="仿宋_GB2312"/>
                <w:b/>
                <w:szCs w:val="21"/>
              </w:rPr>
            </w:pPr>
            <w:r>
              <w:rPr>
                <w:rFonts w:eastAsia="仿宋_GB2312"/>
                <w:b/>
                <w:szCs w:val="21"/>
              </w:rPr>
              <w:t>处置方式</w:t>
            </w:r>
          </w:p>
        </w:tc>
      </w:tr>
      <w:tr w14:paraId="39E824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72" w:type="pct"/>
            <w:tcBorders>
              <w:tl2br w:val="nil"/>
              <w:tr2bl w:val="nil"/>
            </w:tcBorders>
            <w:vAlign w:val="center"/>
          </w:tcPr>
          <w:p w14:paraId="1FA27B5F">
            <w:pPr>
              <w:spacing w:line="320" w:lineRule="exact"/>
              <w:contextualSpacing/>
              <w:jc w:val="center"/>
              <w:rPr>
                <w:rFonts w:eastAsia="仿宋_GB2312"/>
                <w:szCs w:val="21"/>
              </w:rPr>
            </w:pPr>
            <w:r>
              <w:rPr>
                <w:rFonts w:eastAsia="仿宋_GB2312"/>
                <w:szCs w:val="21"/>
              </w:rPr>
              <w:t>PCB线路板、电子零件、五金器具及表面处理剂项目</w:t>
            </w:r>
          </w:p>
        </w:tc>
        <w:tc>
          <w:tcPr>
            <w:tcW w:w="878" w:type="pct"/>
            <w:tcBorders>
              <w:tl2br w:val="nil"/>
              <w:tr2bl w:val="nil"/>
            </w:tcBorders>
            <w:vAlign w:val="center"/>
          </w:tcPr>
          <w:p w14:paraId="3763BE26">
            <w:pPr>
              <w:spacing w:line="320" w:lineRule="exact"/>
              <w:contextualSpacing/>
              <w:jc w:val="center"/>
              <w:rPr>
                <w:rFonts w:eastAsia="仿宋_GB2312"/>
                <w:szCs w:val="21"/>
              </w:rPr>
            </w:pPr>
            <w:r>
              <w:rPr>
                <w:rFonts w:eastAsia="仿宋_GB2312"/>
                <w:szCs w:val="21"/>
              </w:rPr>
              <w:t>废活性炭</w:t>
            </w:r>
          </w:p>
        </w:tc>
        <w:tc>
          <w:tcPr>
            <w:tcW w:w="698" w:type="pct"/>
            <w:tcBorders>
              <w:tl2br w:val="nil"/>
              <w:tr2bl w:val="nil"/>
            </w:tcBorders>
            <w:vAlign w:val="center"/>
          </w:tcPr>
          <w:p w14:paraId="08828FD0">
            <w:pPr>
              <w:spacing w:line="320" w:lineRule="exact"/>
              <w:contextualSpacing/>
              <w:jc w:val="center"/>
              <w:rPr>
                <w:rFonts w:eastAsia="仿宋_GB2312"/>
                <w:szCs w:val="21"/>
              </w:rPr>
            </w:pPr>
            <w:r>
              <w:rPr>
                <w:rFonts w:eastAsia="仿宋_GB2312"/>
                <w:szCs w:val="21"/>
              </w:rPr>
              <w:t>HW49</w:t>
            </w:r>
          </w:p>
        </w:tc>
        <w:tc>
          <w:tcPr>
            <w:tcW w:w="872" w:type="pct"/>
            <w:tcBorders>
              <w:tl2br w:val="nil"/>
              <w:tr2bl w:val="nil"/>
            </w:tcBorders>
            <w:vAlign w:val="center"/>
          </w:tcPr>
          <w:p w14:paraId="13D3CBD2">
            <w:pPr>
              <w:spacing w:line="320" w:lineRule="exact"/>
              <w:contextualSpacing/>
              <w:jc w:val="center"/>
              <w:rPr>
                <w:rFonts w:eastAsia="仿宋_GB2312"/>
                <w:szCs w:val="21"/>
              </w:rPr>
            </w:pPr>
            <w:r>
              <w:rPr>
                <w:rFonts w:eastAsia="仿宋_GB2312"/>
                <w:szCs w:val="21"/>
              </w:rPr>
              <w:t>900-039-49</w:t>
            </w:r>
          </w:p>
        </w:tc>
        <w:tc>
          <w:tcPr>
            <w:tcW w:w="743" w:type="pct"/>
            <w:tcBorders>
              <w:tl2br w:val="nil"/>
              <w:tr2bl w:val="nil"/>
            </w:tcBorders>
            <w:vAlign w:val="center"/>
          </w:tcPr>
          <w:p w14:paraId="3F3F060A">
            <w:pPr>
              <w:spacing w:line="320" w:lineRule="exact"/>
              <w:contextualSpacing/>
              <w:jc w:val="center"/>
              <w:rPr>
                <w:rFonts w:eastAsia="仿宋_GB2312"/>
                <w:szCs w:val="21"/>
              </w:rPr>
            </w:pPr>
            <w:r>
              <w:rPr>
                <w:rFonts w:eastAsia="仿宋_GB2312"/>
                <w:szCs w:val="21"/>
              </w:rPr>
              <w:t>6</w:t>
            </w:r>
          </w:p>
        </w:tc>
        <w:tc>
          <w:tcPr>
            <w:tcW w:w="735" w:type="pct"/>
            <w:vMerge w:val="restart"/>
            <w:tcBorders>
              <w:tl2br w:val="nil"/>
              <w:tr2bl w:val="nil"/>
            </w:tcBorders>
            <w:vAlign w:val="center"/>
          </w:tcPr>
          <w:p w14:paraId="6FD783CC">
            <w:pPr>
              <w:spacing w:line="320" w:lineRule="exact"/>
              <w:contextualSpacing/>
              <w:jc w:val="center"/>
              <w:rPr>
                <w:rFonts w:eastAsia="仿宋_GB2312"/>
                <w:szCs w:val="21"/>
              </w:rPr>
            </w:pPr>
            <w:r>
              <w:rPr>
                <w:rFonts w:eastAsia="仿宋_GB2312"/>
                <w:szCs w:val="21"/>
              </w:rPr>
              <w:t>自行焚烧处置</w:t>
            </w:r>
          </w:p>
        </w:tc>
      </w:tr>
      <w:tr w14:paraId="3042D3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72" w:type="pct"/>
            <w:vMerge w:val="restart"/>
            <w:tcBorders>
              <w:tl2br w:val="nil"/>
              <w:tr2bl w:val="nil"/>
            </w:tcBorders>
            <w:vAlign w:val="center"/>
          </w:tcPr>
          <w:p w14:paraId="19DEFB50">
            <w:pPr>
              <w:spacing w:line="320" w:lineRule="exact"/>
              <w:contextualSpacing/>
              <w:jc w:val="center"/>
              <w:rPr>
                <w:rFonts w:eastAsia="仿宋_GB2312"/>
                <w:szCs w:val="21"/>
              </w:rPr>
            </w:pPr>
            <w:r>
              <w:rPr>
                <w:rFonts w:eastAsia="仿宋_GB2312"/>
                <w:szCs w:val="21"/>
              </w:rPr>
              <w:t>聚酯多元醇项目</w:t>
            </w:r>
          </w:p>
        </w:tc>
        <w:tc>
          <w:tcPr>
            <w:tcW w:w="878" w:type="pct"/>
            <w:tcBorders>
              <w:tl2br w:val="nil"/>
              <w:tr2bl w:val="nil"/>
            </w:tcBorders>
            <w:vAlign w:val="center"/>
          </w:tcPr>
          <w:p w14:paraId="1A5BEEE7">
            <w:pPr>
              <w:spacing w:line="320" w:lineRule="exact"/>
              <w:contextualSpacing/>
              <w:jc w:val="center"/>
              <w:rPr>
                <w:rFonts w:eastAsia="仿宋_GB2312"/>
                <w:szCs w:val="21"/>
              </w:rPr>
            </w:pPr>
            <w:r>
              <w:rPr>
                <w:rFonts w:eastAsia="仿宋_GB2312"/>
                <w:szCs w:val="21"/>
              </w:rPr>
              <w:t>过滤残渣</w:t>
            </w:r>
          </w:p>
        </w:tc>
        <w:tc>
          <w:tcPr>
            <w:tcW w:w="698" w:type="pct"/>
            <w:tcBorders>
              <w:tl2br w:val="nil"/>
              <w:tr2bl w:val="nil"/>
            </w:tcBorders>
            <w:vAlign w:val="center"/>
          </w:tcPr>
          <w:p w14:paraId="53E8C84B">
            <w:pPr>
              <w:spacing w:line="320" w:lineRule="exact"/>
              <w:contextualSpacing/>
              <w:jc w:val="center"/>
              <w:rPr>
                <w:rFonts w:eastAsia="仿宋_GB2312"/>
                <w:szCs w:val="21"/>
              </w:rPr>
            </w:pPr>
            <w:r>
              <w:rPr>
                <w:rFonts w:eastAsia="仿宋_GB2312"/>
                <w:szCs w:val="21"/>
              </w:rPr>
              <w:t>HW13</w:t>
            </w:r>
          </w:p>
        </w:tc>
        <w:tc>
          <w:tcPr>
            <w:tcW w:w="872" w:type="pct"/>
            <w:tcBorders>
              <w:tl2br w:val="nil"/>
              <w:tr2bl w:val="nil"/>
            </w:tcBorders>
            <w:vAlign w:val="center"/>
          </w:tcPr>
          <w:p w14:paraId="2458BDD0">
            <w:pPr>
              <w:spacing w:line="320" w:lineRule="exact"/>
              <w:contextualSpacing/>
              <w:jc w:val="center"/>
              <w:rPr>
                <w:rFonts w:eastAsia="仿宋_GB2312"/>
                <w:szCs w:val="21"/>
              </w:rPr>
            </w:pPr>
            <w:r>
              <w:rPr>
                <w:rFonts w:eastAsia="仿宋_GB2312"/>
                <w:szCs w:val="21"/>
              </w:rPr>
              <w:t>261-038-13</w:t>
            </w:r>
          </w:p>
        </w:tc>
        <w:tc>
          <w:tcPr>
            <w:tcW w:w="743" w:type="pct"/>
            <w:tcBorders>
              <w:tl2br w:val="nil"/>
              <w:tr2bl w:val="nil"/>
            </w:tcBorders>
            <w:vAlign w:val="center"/>
          </w:tcPr>
          <w:p w14:paraId="7B76A2DC">
            <w:pPr>
              <w:spacing w:line="320" w:lineRule="exact"/>
              <w:contextualSpacing/>
              <w:jc w:val="center"/>
              <w:rPr>
                <w:rFonts w:eastAsia="仿宋_GB2312"/>
                <w:szCs w:val="21"/>
              </w:rPr>
            </w:pPr>
            <w:r>
              <w:rPr>
                <w:rFonts w:eastAsia="仿宋_GB2312"/>
                <w:szCs w:val="21"/>
              </w:rPr>
              <w:t>0.97</w:t>
            </w:r>
          </w:p>
        </w:tc>
        <w:tc>
          <w:tcPr>
            <w:tcW w:w="735" w:type="pct"/>
            <w:vMerge w:val="continue"/>
            <w:tcBorders>
              <w:tl2br w:val="nil"/>
              <w:tr2bl w:val="nil"/>
            </w:tcBorders>
            <w:vAlign w:val="center"/>
          </w:tcPr>
          <w:p w14:paraId="1152CB02">
            <w:pPr>
              <w:pStyle w:val="4050"/>
              <w:jc w:val="center"/>
              <w:rPr>
                <w:rFonts w:eastAsia="仿宋_GB2312"/>
                <w:kern w:val="0"/>
              </w:rPr>
            </w:pPr>
          </w:p>
        </w:tc>
      </w:tr>
      <w:tr w14:paraId="05590D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72" w:type="pct"/>
            <w:vMerge w:val="continue"/>
            <w:tcBorders>
              <w:tl2br w:val="nil"/>
              <w:tr2bl w:val="nil"/>
            </w:tcBorders>
            <w:vAlign w:val="center"/>
          </w:tcPr>
          <w:p w14:paraId="0EBBDC64">
            <w:pPr>
              <w:spacing w:line="320" w:lineRule="exact"/>
              <w:contextualSpacing/>
              <w:jc w:val="center"/>
              <w:rPr>
                <w:rFonts w:eastAsia="仿宋_GB2312"/>
                <w:szCs w:val="21"/>
              </w:rPr>
            </w:pPr>
          </w:p>
        </w:tc>
        <w:tc>
          <w:tcPr>
            <w:tcW w:w="878" w:type="pct"/>
            <w:tcBorders>
              <w:tl2br w:val="nil"/>
              <w:tr2bl w:val="nil"/>
            </w:tcBorders>
            <w:vAlign w:val="center"/>
          </w:tcPr>
          <w:p w14:paraId="580292F6">
            <w:pPr>
              <w:spacing w:line="320" w:lineRule="exact"/>
              <w:contextualSpacing/>
              <w:jc w:val="center"/>
              <w:rPr>
                <w:rFonts w:eastAsia="仿宋_GB2312"/>
                <w:szCs w:val="21"/>
              </w:rPr>
            </w:pPr>
            <w:r>
              <w:rPr>
                <w:rFonts w:eastAsia="仿宋_GB2312"/>
                <w:szCs w:val="21"/>
              </w:rPr>
              <w:t>废包装袋</w:t>
            </w:r>
          </w:p>
        </w:tc>
        <w:tc>
          <w:tcPr>
            <w:tcW w:w="698" w:type="pct"/>
            <w:tcBorders>
              <w:tl2br w:val="nil"/>
              <w:tr2bl w:val="nil"/>
            </w:tcBorders>
            <w:vAlign w:val="center"/>
          </w:tcPr>
          <w:p w14:paraId="75CCCEC4">
            <w:pPr>
              <w:spacing w:line="320" w:lineRule="exact"/>
              <w:contextualSpacing/>
              <w:jc w:val="center"/>
              <w:rPr>
                <w:rFonts w:eastAsia="仿宋_GB2312"/>
                <w:szCs w:val="21"/>
              </w:rPr>
            </w:pPr>
            <w:r>
              <w:rPr>
                <w:rFonts w:eastAsia="仿宋_GB2312"/>
                <w:szCs w:val="21"/>
              </w:rPr>
              <w:t>HW49</w:t>
            </w:r>
          </w:p>
        </w:tc>
        <w:tc>
          <w:tcPr>
            <w:tcW w:w="872" w:type="pct"/>
            <w:tcBorders>
              <w:tl2br w:val="nil"/>
              <w:tr2bl w:val="nil"/>
            </w:tcBorders>
            <w:vAlign w:val="center"/>
          </w:tcPr>
          <w:p w14:paraId="4D252884">
            <w:pPr>
              <w:spacing w:line="320" w:lineRule="exact"/>
              <w:contextualSpacing/>
              <w:jc w:val="center"/>
              <w:rPr>
                <w:rFonts w:eastAsia="仿宋_GB2312"/>
                <w:szCs w:val="21"/>
              </w:rPr>
            </w:pPr>
            <w:r>
              <w:rPr>
                <w:rFonts w:eastAsia="仿宋_GB2312"/>
                <w:szCs w:val="21"/>
              </w:rPr>
              <w:t>900-041-49</w:t>
            </w:r>
          </w:p>
        </w:tc>
        <w:tc>
          <w:tcPr>
            <w:tcW w:w="743" w:type="pct"/>
            <w:tcBorders>
              <w:tl2br w:val="nil"/>
              <w:tr2bl w:val="nil"/>
            </w:tcBorders>
            <w:vAlign w:val="center"/>
          </w:tcPr>
          <w:p w14:paraId="25903EC6">
            <w:pPr>
              <w:spacing w:line="320" w:lineRule="exact"/>
              <w:contextualSpacing/>
              <w:jc w:val="center"/>
              <w:rPr>
                <w:rFonts w:eastAsia="仿宋_GB2312"/>
                <w:szCs w:val="21"/>
              </w:rPr>
            </w:pPr>
            <w:r>
              <w:rPr>
                <w:rFonts w:eastAsia="仿宋_GB2312"/>
                <w:szCs w:val="21"/>
              </w:rPr>
              <w:t>0.45</w:t>
            </w:r>
          </w:p>
        </w:tc>
        <w:tc>
          <w:tcPr>
            <w:tcW w:w="735" w:type="pct"/>
            <w:vMerge w:val="continue"/>
            <w:tcBorders>
              <w:tl2br w:val="nil"/>
              <w:tr2bl w:val="nil"/>
            </w:tcBorders>
            <w:vAlign w:val="center"/>
          </w:tcPr>
          <w:p w14:paraId="29C4FE35">
            <w:pPr>
              <w:pStyle w:val="4050"/>
              <w:jc w:val="center"/>
              <w:rPr>
                <w:rFonts w:eastAsia="仿宋_GB2312"/>
                <w:kern w:val="0"/>
              </w:rPr>
            </w:pPr>
          </w:p>
        </w:tc>
      </w:tr>
      <w:tr w14:paraId="2DB3E9F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72" w:type="pct"/>
            <w:vMerge w:val="continue"/>
            <w:tcBorders>
              <w:tl2br w:val="nil"/>
              <w:tr2bl w:val="nil"/>
            </w:tcBorders>
            <w:vAlign w:val="center"/>
          </w:tcPr>
          <w:p w14:paraId="446D5D57">
            <w:pPr>
              <w:spacing w:line="320" w:lineRule="exact"/>
              <w:contextualSpacing/>
              <w:jc w:val="center"/>
              <w:rPr>
                <w:rFonts w:eastAsia="仿宋_GB2312"/>
                <w:szCs w:val="21"/>
              </w:rPr>
            </w:pPr>
          </w:p>
        </w:tc>
        <w:tc>
          <w:tcPr>
            <w:tcW w:w="878" w:type="pct"/>
            <w:tcBorders>
              <w:tl2br w:val="nil"/>
              <w:tr2bl w:val="nil"/>
            </w:tcBorders>
            <w:vAlign w:val="center"/>
          </w:tcPr>
          <w:p w14:paraId="32A2A9C0">
            <w:pPr>
              <w:spacing w:line="320" w:lineRule="exact"/>
              <w:contextualSpacing/>
              <w:jc w:val="center"/>
              <w:rPr>
                <w:rFonts w:eastAsia="仿宋_GB2312"/>
                <w:szCs w:val="21"/>
              </w:rPr>
            </w:pPr>
            <w:r>
              <w:rPr>
                <w:rFonts w:eastAsia="仿宋_GB2312"/>
                <w:szCs w:val="21"/>
              </w:rPr>
              <w:t>废活性炭</w:t>
            </w:r>
          </w:p>
        </w:tc>
        <w:tc>
          <w:tcPr>
            <w:tcW w:w="698" w:type="pct"/>
            <w:tcBorders>
              <w:tl2br w:val="nil"/>
              <w:tr2bl w:val="nil"/>
            </w:tcBorders>
            <w:vAlign w:val="center"/>
          </w:tcPr>
          <w:p w14:paraId="2556E7BE">
            <w:pPr>
              <w:spacing w:line="320" w:lineRule="exact"/>
              <w:contextualSpacing/>
              <w:jc w:val="center"/>
              <w:rPr>
                <w:rFonts w:eastAsia="仿宋_GB2312"/>
                <w:szCs w:val="21"/>
              </w:rPr>
            </w:pPr>
            <w:r>
              <w:rPr>
                <w:rFonts w:eastAsia="仿宋_GB2312"/>
                <w:szCs w:val="21"/>
              </w:rPr>
              <w:t>HW49</w:t>
            </w:r>
          </w:p>
        </w:tc>
        <w:tc>
          <w:tcPr>
            <w:tcW w:w="872" w:type="pct"/>
            <w:tcBorders>
              <w:tl2br w:val="nil"/>
              <w:tr2bl w:val="nil"/>
            </w:tcBorders>
            <w:vAlign w:val="center"/>
          </w:tcPr>
          <w:p w14:paraId="12053852">
            <w:pPr>
              <w:spacing w:line="320" w:lineRule="exact"/>
              <w:contextualSpacing/>
              <w:jc w:val="center"/>
              <w:rPr>
                <w:rFonts w:eastAsia="仿宋_GB2312"/>
                <w:szCs w:val="21"/>
              </w:rPr>
            </w:pPr>
            <w:r>
              <w:rPr>
                <w:rFonts w:eastAsia="仿宋_GB2312"/>
                <w:szCs w:val="21"/>
              </w:rPr>
              <w:t>900-039-49</w:t>
            </w:r>
          </w:p>
        </w:tc>
        <w:tc>
          <w:tcPr>
            <w:tcW w:w="743" w:type="pct"/>
            <w:tcBorders>
              <w:tl2br w:val="nil"/>
              <w:tr2bl w:val="nil"/>
            </w:tcBorders>
            <w:vAlign w:val="center"/>
          </w:tcPr>
          <w:p w14:paraId="6D4E6286">
            <w:pPr>
              <w:spacing w:line="320" w:lineRule="exact"/>
              <w:contextualSpacing/>
              <w:jc w:val="center"/>
              <w:rPr>
                <w:rFonts w:eastAsia="仿宋_GB2312"/>
                <w:szCs w:val="21"/>
              </w:rPr>
            </w:pPr>
            <w:r>
              <w:rPr>
                <w:rFonts w:eastAsia="仿宋_GB2312"/>
                <w:szCs w:val="21"/>
              </w:rPr>
              <w:t>2.4</w:t>
            </w:r>
          </w:p>
        </w:tc>
        <w:tc>
          <w:tcPr>
            <w:tcW w:w="735" w:type="pct"/>
            <w:vMerge w:val="continue"/>
            <w:tcBorders>
              <w:tl2br w:val="nil"/>
              <w:tr2bl w:val="nil"/>
            </w:tcBorders>
            <w:vAlign w:val="center"/>
          </w:tcPr>
          <w:p w14:paraId="7326AC7B">
            <w:pPr>
              <w:pStyle w:val="4050"/>
              <w:jc w:val="center"/>
              <w:rPr>
                <w:rFonts w:eastAsia="仿宋_GB2312"/>
                <w:kern w:val="0"/>
              </w:rPr>
            </w:pPr>
          </w:p>
        </w:tc>
      </w:tr>
      <w:tr w14:paraId="6207241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72" w:type="pct"/>
            <w:vMerge w:val="restart"/>
            <w:tcBorders>
              <w:tl2br w:val="nil"/>
              <w:tr2bl w:val="nil"/>
            </w:tcBorders>
            <w:vAlign w:val="center"/>
          </w:tcPr>
          <w:p w14:paraId="6A2459C3">
            <w:pPr>
              <w:spacing w:line="320" w:lineRule="exact"/>
              <w:contextualSpacing/>
              <w:jc w:val="center"/>
              <w:rPr>
                <w:rFonts w:eastAsia="仿宋_GB2312"/>
                <w:szCs w:val="21"/>
              </w:rPr>
            </w:pPr>
            <w:r>
              <w:rPr>
                <w:rFonts w:eastAsia="仿宋_GB2312"/>
                <w:szCs w:val="21"/>
              </w:rPr>
              <w:t>甘油精制生产线技改项目</w:t>
            </w:r>
          </w:p>
        </w:tc>
        <w:tc>
          <w:tcPr>
            <w:tcW w:w="878" w:type="pct"/>
            <w:tcBorders>
              <w:tl2br w:val="nil"/>
              <w:tr2bl w:val="nil"/>
            </w:tcBorders>
            <w:vAlign w:val="center"/>
          </w:tcPr>
          <w:p w14:paraId="0F94794A">
            <w:pPr>
              <w:spacing w:line="320" w:lineRule="exact"/>
              <w:contextualSpacing/>
              <w:jc w:val="center"/>
              <w:rPr>
                <w:rFonts w:eastAsia="仿宋_GB2312"/>
                <w:szCs w:val="21"/>
              </w:rPr>
            </w:pPr>
            <w:r>
              <w:rPr>
                <w:rFonts w:eastAsia="仿宋_GB2312"/>
                <w:szCs w:val="21"/>
              </w:rPr>
              <w:t>车间清洁废物</w:t>
            </w:r>
          </w:p>
        </w:tc>
        <w:tc>
          <w:tcPr>
            <w:tcW w:w="698" w:type="pct"/>
            <w:tcBorders>
              <w:tl2br w:val="nil"/>
              <w:tr2bl w:val="nil"/>
            </w:tcBorders>
            <w:vAlign w:val="center"/>
          </w:tcPr>
          <w:p w14:paraId="4DFDD17E">
            <w:pPr>
              <w:spacing w:line="320" w:lineRule="exact"/>
              <w:contextualSpacing/>
              <w:jc w:val="center"/>
              <w:rPr>
                <w:rFonts w:eastAsia="仿宋_GB2312"/>
                <w:szCs w:val="21"/>
              </w:rPr>
            </w:pPr>
            <w:r>
              <w:rPr>
                <w:rFonts w:eastAsia="仿宋_GB2312"/>
                <w:szCs w:val="21"/>
              </w:rPr>
              <w:t>HW49</w:t>
            </w:r>
          </w:p>
        </w:tc>
        <w:tc>
          <w:tcPr>
            <w:tcW w:w="872" w:type="pct"/>
            <w:tcBorders>
              <w:tl2br w:val="nil"/>
              <w:tr2bl w:val="nil"/>
            </w:tcBorders>
            <w:vAlign w:val="center"/>
          </w:tcPr>
          <w:p w14:paraId="1D5A9ECD">
            <w:pPr>
              <w:spacing w:line="320" w:lineRule="exact"/>
              <w:contextualSpacing/>
              <w:jc w:val="center"/>
              <w:rPr>
                <w:rFonts w:eastAsia="仿宋_GB2312"/>
                <w:szCs w:val="21"/>
              </w:rPr>
            </w:pPr>
            <w:r>
              <w:rPr>
                <w:rFonts w:eastAsia="仿宋_GB2312"/>
                <w:szCs w:val="21"/>
              </w:rPr>
              <w:t>900-041-49</w:t>
            </w:r>
          </w:p>
        </w:tc>
        <w:tc>
          <w:tcPr>
            <w:tcW w:w="743" w:type="pct"/>
            <w:tcBorders>
              <w:tl2br w:val="nil"/>
              <w:tr2bl w:val="nil"/>
            </w:tcBorders>
            <w:vAlign w:val="center"/>
          </w:tcPr>
          <w:p w14:paraId="388AD1A6">
            <w:pPr>
              <w:spacing w:line="320" w:lineRule="exact"/>
              <w:contextualSpacing/>
              <w:jc w:val="center"/>
              <w:rPr>
                <w:rFonts w:eastAsia="仿宋_GB2312"/>
                <w:szCs w:val="21"/>
              </w:rPr>
            </w:pPr>
            <w:r>
              <w:rPr>
                <w:rFonts w:eastAsia="仿宋_GB2312"/>
                <w:szCs w:val="21"/>
              </w:rPr>
              <w:t>0.05</w:t>
            </w:r>
          </w:p>
        </w:tc>
        <w:tc>
          <w:tcPr>
            <w:tcW w:w="735" w:type="pct"/>
            <w:vMerge w:val="continue"/>
            <w:tcBorders>
              <w:tl2br w:val="nil"/>
              <w:tr2bl w:val="nil"/>
            </w:tcBorders>
            <w:vAlign w:val="center"/>
          </w:tcPr>
          <w:p w14:paraId="4099A977">
            <w:pPr>
              <w:pStyle w:val="4050"/>
              <w:jc w:val="center"/>
              <w:rPr>
                <w:rFonts w:eastAsia="仿宋_GB2312"/>
                <w:kern w:val="0"/>
              </w:rPr>
            </w:pPr>
          </w:p>
        </w:tc>
      </w:tr>
      <w:tr w14:paraId="2C1758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72" w:type="pct"/>
            <w:vMerge w:val="continue"/>
            <w:tcBorders>
              <w:tl2br w:val="nil"/>
              <w:tr2bl w:val="nil"/>
            </w:tcBorders>
            <w:vAlign w:val="center"/>
          </w:tcPr>
          <w:p w14:paraId="4700EC89">
            <w:pPr>
              <w:spacing w:line="320" w:lineRule="exact"/>
              <w:contextualSpacing/>
              <w:jc w:val="center"/>
              <w:rPr>
                <w:rFonts w:eastAsia="仿宋_GB2312"/>
                <w:szCs w:val="21"/>
              </w:rPr>
            </w:pPr>
          </w:p>
        </w:tc>
        <w:tc>
          <w:tcPr>
            <w:tcW w:w="878" w:type="pct"/>
            <w:tcBorders>
              <w:tl2br w:val="nil"/>
              <w:tr2bl w:val="nil"/>
            </w:tcBorders>
            <w:vAlign w:val="center"/>
          </w:tcPr>
          <w:p w14:paraId="097F1D9D">
            <w:pPr>
              <w:spacing w:line="320" w:lineRule="exact"/>
              <w:contextualSpacing/>
              <w:jc w:val="center"/>
              <w:rPr>
                <w:rFonts w:eastAsia="仿宋_GB2312"/>
                <w:szCs w:val="21"/>
              </w:rPr>
            </w:pPr>
            <w:r>
              <w:rPr>
                <w:rFonts w:eastAsia="仿宋_GB2312"/>
                <w:szCs w:val="21"/>
              </w:rPr>
              <w:t>分析室废液</w:t>
            </w:r>
          </w:p>
        </w:tc>
        <w:tc>
          <w:tcPr>
            <w:tcW w:w="698" w:type="pct"/>
            <w:tcBorders>
              <w:tl2br w:val="nil"/>
              <w:tr2bl w:val="nil"/>
            </w:tcBorders>
            <w:vAlign w:val="center"/>
          </w:tcPr>
          <w:p w14:paraId="6C9FBB57">
            <w:pPr>
              <w:spacing w:line="320" w:lineRule="exact"/>
              <w:contextualSpacing/>
              <w:jc w:val="center"/>
              <w:rPr>
                <w:rFonts w:eastAsia="仿宋_GB2312"/>
                <w:szCs w:val="21"/>
              </w:rPr>
            </w:pPr>
            <w:r>
              <w:rPr>
                <w:rFonts w:eastAsia="仿宋_GB2312"/>
                <w:szCs w:val="21"/>
              </w:rPr>
              <w:t>HW49</w:t>
            </w:r>
          </w:p>
        </w:tc>
        <w:tc>
          <w:tcPr>
            <w:tcW w:w="872" w:type="pct"/>
            <w:tcBorders>
              <w:tl2br w:val="nil"/>
              <w:tr2bl w:val="nil"/>
            </w:tcBorders>
            <w:vAlign w:val="center"/>
          </w:tcPr>
          <w:p w14:paraId="46E2F85C">
            <w:pPr>
              <w:spacing w:line="320" w:lineRule="exact"/>
              <w:contextualSpacing/>
              <w:jc w:val="center"/>
              <w:rPr>
                <w:rFonts w:eastAsia="仿宋_GB2312"/>
                <w:szCs w:val="21"/>
              </w:rPr>
            </w:pPr>
            <w:r>
              <w:rPr>
                <w:rFonts w:eastAsia="仿宋_GB2312"/>
                <w:szCs w:val="21"/>
              </w:rPr>
              <w:t>900-047-49</w:t>
            </w:r>
          </w:p>
        </w:tc>
        <w:tc>
          <w:tcPr>
            <w:tcW w:w="743" w:type="pct"/>
            <w:tcBorders>
              <w:tl2br w:val="nil"/>
              <w:tr2bl w:val="nil"/>
            </w:tcBorders>
            <w:vAlign w:val="center"/>
          </w:tcPr>
          <w:p w14:paraId="0C5EAFBA">
            <w:pPr>
              <w:spacing w:line="320" w:lineRule="exact"/>
              <w:contextualSpacing/>
              <w:jc w:val="center"/>
              <w:rPr>
                <w:rFonts w:eastAsia="仿宋_GB2312"/>
                <w:szCs w:val="21"/>
              </w:rPr>
            </w:pPr>
            <w:r>
              <w:rPr>
                <w:rFonts w:eastAsia="仿宋_GB2312"/>
                <w:szCs w:val="21"/>
              </w:rPr>
              <w:t>0.05</w:t>
            </w:r>
          </w:p>
        </w:tc>
        <w:tc>
          <w:tcPr>
            <w:tcW w:w="735" w:type="pct"/>
            <w:vMerge w:val="continue"/>
            <w:tcBorders>
              <w:tl2br w:val="nil"/>
              <w:tr2bl w:val="nil"/>
            </w:tcBorders>
            <w:vAlign w:val="center"/>
          </w:tcPr>
          <w:p w14:paraId="27881EEE">
            <w:pPr>
              <w:pStyle w:val="4050"/>
              <w:jc w:val="center"/>
              <w:rPr>
                <w:rFonts w:eastAsia="仿宋_GB2312"/>
                <w:kern w:val="0"/>
              </w:rPr>
            </w:pPr>
          </w:p>
        </w:tc>
      </w:tr>
    </w:tbl>
    <w:p w14:paraId="16A3FCB0">
      <w:pPr>
        <w:pStyle w:val="7"/>
        <w:keepLines w:val="0"/>
        <w:widowControl/>
        <w:adjustRightInd w:val="0"/>
        <w:snapToGrid w:val="0"/>
        <w:spacing w:after="120" w:afterLines="50"/>
        <w:jc w:val="left"/>
        <w:rPr>
          <w:rFonts w:ascii="Times New Roman" w:hAnsi="Times New Roman"/>
          <w:b/>
        </w:rPr>
      </w:pPr>
      <w:r>
        <w:rPr>
          <w:rFonts w:ascii="Times New Roman" w:hAnsi="Times New Roman"/>
          <w:b/>
        </w:rPr>
        <w:t>3.1.</w:t>
      </w:r>
      <w:r>
        <w:rPr>
          <w:rFonts w:hint="eastAsia" w:ascii="Times New Roman" w:hAnsi="Times New Roman"/>
          <w:b/>
        </w:rPr>
        <w:t>6</w:t>
      </w:r>
      <w:r>
        <w:rPr>
          <w:rFonts w:ascii="Times New Roman" w:hAnsi="Times New Roman"/>
          <w:b/>
        </w:rPr>
        <w:t>.4未建项目“三废”量</w:t>
      </w:r>
    </w:p>
    <w:p w14:paraId="2C219693">
      <w:pPr>
        <w:widowControl/>
        <w:spacing w:line="500" w:lineRule="exact"/>
        <w:ind w:firstLine="560" w:firstLineChars="200"/>
        <w:rPr>
          <w:rFonts w:eastAsia="仿宋_GB2312"/>
          <w:sz w:val="28"/>
          <w:szCs w:val="28"/>
        </w:rPr>
      </w:pPr>
      <w:r>
        <w:rPr>
          <w:rFonts w:eastAsia="仿宋_GB2312"/>
          <w:sz w:val="28"/>
          <w:szCs w:val="28"/>
        </w:rPr>
        <w:t>未建项目环评批复量见表3.1-</w:t>
      </w:r>
      <w:r>
        <w:rPr>
          <w:rFonts w:hint="eastAsia" w:eastAsia="仿宋_GB2312"/>
          <w:sz w:val="28"/>
          <w:szCs w:val="28"/>
        </w:rPr>
        <w:t>20</w:t>
      </w:r>
      <w:r>
        <w:rPr>
          <w:rFonts w:eastAsia="仿宋_GB2312"/>
          <w:sz w:val="28"/>
          <w:szCs w:val="28"/>
        </w:rPr>
        <w:t>。</w:t>
      </w:r>
    </w:p>
    <w:p w14:paraId="1F9A4671">
      <w:pPr>
        <w:spacing w:line="500" w:lineRule="exact"/>
        <w:jc w:val="center"/>
        <w:rPr>
          <w:rFonts w:eastAsia="仿宋_GB2312"/>
          <w:b/>
          <w:sz w:val="24"/>
        </w:rPr>
      </w:pPr>
      <w:r>
        <w:rPr>
          <w:rFonts w:eastAsia="仿宋_GB2312"/>
          <w:b/>
          <w:sz w:val="24"/>
        </w:rPr>
        <w:t>表3.1-</w:t>
      </w:r>
      <w:r>
        <w:rPr>
          <w:rFonts w:hint="eastAsia" w:eastAsia="仿宋_GB2312"/>
          <w:b/>
          <w:sz w:val="24"/>
        </w:rPr>
        <w:t>20</w:t>
      </w:r>
      <w:r>
        <w:rPr>
          <w:rFonts w:eastAsia="仿宋_GB2312"/>
          <w:b/>
          <w:sz w:val="24"/>
        </w:rPr>
        <w:t xml:space="preserve">  未建项目环评批复量</w:t>
      </w:r>
    </w:p>
    <w:tbl>
      <w:tblPr>
        <w:tblStyle w:val="88"/>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2438"/>
        <w:gridCol w:w="2749"/>
        <w:gridCol w:w="3150"/>
      </w:tblGrid>
      <w:tr w14:paraId="4E7D4A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1462" w:type="pct"/>
            <w:tcMar>
              <w:top w:w="15" w:type="dxa"/>
              <w:left w:w="15" w:type="dxa"/>
              <w:bottom w:w="0" w:type="dxa"/>
              <w:right w:w="15" w:type="dxa"/>
            </w:tcMar>
            <w:vAlign w:val="center"/>
          </w:tcPr>
          <w:p w14:paraId="7C8D2A00">
            <w:pPr>
              <w:widowControl/>
              <w:snapToGrid w:val="0"/>
              <w:spacing w:line="280" w:lineRule="exact"/>
              <w:jc w:val="center"/>
              <w:rPr>
                <w:rFonts w:eastAsia="仿宋_GB2312"/>
                <w:b/>
                <w:bCs/>
                <w:kern w:val="0"/>
                <w:szCs w:val="21"/>
              </w:rPr>
            </w:pPr>
            <w:r>
              <w:rPr>
                <w:rFonts w:eastAsia="仿宋_GB2312"/>
                <w:b/>
                <w:bCs/>
                <w:kern w:val="0"/>
                <w:szCs w:val="21"/>
              </w:rPr>
              <w:t>类别</w:t>
            </w:r>
          </w:p>
        </w:tc>
        <w:tc>
          <w:tcPr>
            <w:tcW w:w="1648" w:type="pct"/>
            <w:tcMar>
              <w:top w:w="15" w:type="dxa"/>
              <w:left w:w="15" w:type="dxa"/>
              <w:bottom w:w="0" w:type="dxa"/>
              <w:right w:w="15" w:type="dxa"/>
            </w:tcMar>
            <w:vAlign w:val="center"/>
          </w:tcPr>
          <w:p w14:paraId="4E9130BE">
            <w:pPr>
              <w:widowControl/>
              <w:snapToGrid w:val="0"/>
              <w:spacing w:line="280" w:lineRule="exact"/>
              <w:jc w:val="center"/>
              <w:rPr>
                <w:rFonts w:eastAsia="仿宋_GB2312"/>
                <w:b/>
                <w:bCs/>
                <w:kern w:val="0"/>
                <w:szCs w:val="21"/>
              </w:rPr>
            </w:pPr>
            <w:r>
              <w:rPr>
                <w:rFonts w:eastAsia="仿宋_GB2312"/>
                <w:b/>
                <w:bCs/>
                <w:kern w:val="0"/>
                <w:szCs w:val="21"/>
              </w:rPr>
              <w:t>污染物</w:t>
            </w:r>
          </w:p>
        </w:tc>
        <w:tc>
          <w:tcPr>
            <w:tcW w:w="1889" w:type="pct"/>
            <w:tcMar>
              <w:top w:w="15" w:type="dxa"/>
              <w:left w:w="15" w:type="dxa"/>
              <w:bottom w:w="0" w:type="dxa"/>
              <w:right w:w="15" w:type="dxa"/>
            </w:tcMar>
            <w:vAlign w:val="center"/>
          </w:tcPr>
          <w:p w14:paraId="3307D4D9">
            <w:pPr>
              <w:widowControl/>
              <w:snapToGrid w:val="0"/>
              <w:spacing w:line="280" w:lineRule="exact"/>
              <w:jc w:val="center"/>
              <w:rPr>
                <w:rFonts w:eastAsia="仿宋_GB2312"/>
                <w:b/>
                <w:bCs/>
                <w:kern w:val="0"/>
                <w:szCs w:val="21"/>
              </w:rPr>
            </w:pPr>
            <w:r>
              <w:rPr>
                <w:rFonts w:eastAsia="仿宋_GB2312"/>
                <w:b/>
                <w:bCs/>
                <w:kern w:val="0"/>
                <w:szCs w:val="21"/>
              </w:rPr>
              <w:t>未建项目环评批复量（t/a）</w:t>
            </w:r>
          </w:p>
        </w:tc>
      </w:tr>
      <w:tr w14:paraId="3DBA61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1462" w:type="pct"/>
            <w:vMerge w:val="restart"/>
            <w:tcMar>
              <w:top w:w="15" w:type="dxa"/>
              <w:left w:w="15" w:type="dxa"/>
              <w:bottom w:w="0" w:type="dxa"/>
              <w:right w:w="15" w:type="dxa"/>
            </w:tcMar>
            <w:vAlign w:val="center"/>
          </w:tcPr>
          <w:p w14:paraId="37AFFB27">
            <w:pPr>
              <w:widowControl/>
              <w:snapToGrid w:val="0"/>
              <w:spacing w:line="280" w:lineRule="exact"/>
              <w:jc w:val="center"/>
              <w:rPr>
                <w:rFonts w:eastAsia="仿宋_GB2312"/>
                <w:kern w:val="0"/>
                <w:szCs w:val="21"/>
              </w:rPr>
            </w:pPr>
            <w:r>
              <w:rPr>
                <w:rFonts w:eastAsia="仿宋_GB2312"/>
                <w:kern w:val="0"/>
                <w:szCs w:val="21"/>
              </w:rPr>
              <w:t>有组织废气</w:t>
            </w:r>
          </w:p>
        </w:tc>
        <w:tc>
          <w:tcPr>
            <w:tcW w:w="1648" w:type="pct"/>
            <w:tcMar>
              <w:top w:w="15" w:type="dxa"/>
              <w:left w:w="15" w:type="dxa"/>
              <w:bottom w:w="0" w:type="dxa"/>
              <w:right w:w="15" w:type="dxa"/>
            </w:tcMar>
            <w:vAlign w:val="center"/>
          </w:tcPr>
          <w:p w14:paraId="7542E294">
            <w:pPr>
              <w:widowControl/>
              <w:snapToGrid w:val="0"/>
              <w:spacing w:line="280" w:lineRule="exact"/>
              <w:jc w:val="center"/>
              <w:rPr>
                <w:rFonts w:eastAsia="仿宋_GB2312"/>
                <w:kern w:val="0"/>
                <w:szCs w:val="21"/>
              </w:rPr>
            </w:pPr>
            <w:r>
              <w:rPr>
                <w:rFonts w:eastAsia="仿宋_GB2312"/>
                <w:kern w:val="0"/>
                <w:szCs w:val="21"/>
              </w:rPr>
              <w:t>颗粒物（烟粉尘）</w:t>
            </w:r>
          </w:p>
        </w:tc>
        <w:tc>
          <w:tcPr>
            <w:tcW w:w="1889" w:type="pct"/>
            <w:tcMar>
              <w:top w:w="15" w:type="dxa"/>
              <w:left w:w="15" w:type="dxa"/>
              <w:bottom w:w="0" w:type="dxa"/>
              <w:right w:w="15" w:type="dxa"/>
            </w:tcMar>
            <w:vAlign w:val="center"/>
          </w:tcPr>
          <w:p w14:paraId="21FB38AF">
            <w:pPr>
              <w:widowControl/>
              <w:snapToGrid w:val="0"/>
              <w:spacing w:line="280" w:lineRule="exact"/>
              <w:jc w:val="center"/>
              <w:rPr>
                <w:rFonts w:eastAsia="仿宋_GB2312"/>
                <w:kern w:val="0"/>
                <w:szCs w:val="21"/>
              </w:rPr>
            </w:pPr>
            <w:r>
              <w:rPr>
                <w:rFonts w:eastAsia="仿宋_GB2312"/>
                <w:kern w:val="0"/>
                <w:szCs w:val="21"/>
              </w:rPr>
              <w:t>0.006</w:t>
            </w:r>
          </w:p>
        </w:tc>
      </w:tr>
      <w:tr w14:paraId="138B3C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1462" w:type="pct"/>
            <w:vMerge w:val="continue"/>
            <w:tcMar>
              <w:top w:w="15" w:type="dxa"/>
              <w:left w:w="15" w:type="dxa"/>
              <w:bottom w:w="0" w:type="dxa"/>
              <w:right w:w="15" w:type="dxa"/>
            </w:tcMar>
            <w:vAlign w:val="center"/>
          </w:tcPr>
          <w:p w14:paraId="3230A4C5">
            <w:pPr>
              <w:widowControl/>
              <w:snapToGrid w:val="0"/>
              <w:spacing w:line="280" w:lineRule="exact"/>
              <w:jc w:val="center"/>
              <w:rPr>
                <w:rFonts w:eastAsia="仿宋_GB2312"/>
                <w:kern w:val="0"/>
                <w:szCs w:val="21"/>
              </w:rPr>
            </w:pPr>
          </w:p>
        </w:tc>
        <w:tc>
          <w:tcPr>
            <w:tcW w:w="1648" w:type="pct"/>
            <w:tcMar>
              <w:top w:w="15" w:type="dxa"/>
              <w:left w:w="15" w:type="dxa"/>
              <w:bottom w:w="0" w:type="dxa"/>
              <w:right w:w="15" w:type="dxa"/>
            </w:tcMar>
            <w:vAlign w:val="center"/>
          </w:tcPr>
          <w:p w14:paraId="0F2DE3F9">
            <w:pPr>
              <w:widowControl/>
              <w:snapToGrid w:val="0"/>
              <w:spacing w:line="280" w:lineRule="exact"/>
              <w:jc w:val="center"/>
              <w:rPr>
                <w:rFonts w:eastAsia="仿宋_GB2312"/>
                <w:kern w:val="0"/>
                <w:szCs w:val="21"/>
              </w:rPr>
            </w:pPr>
            <w:r>
              <w:rPr>
                <w:rFonts w:eastAsia="仿宋_GB2312"/>
                <w:kern w:val="0"/>
                <w:szCs w:val="21"/>
              </w:rPr>
              <w:t>硫酸雾</w:t>
            </w:r>
          </w:p>
        </w:tc>
        <w:tc>
          <w:tcPr>
            <w:tcW w:w="1889" w:type="pct"/>
            <w:tcMar>
              <w:top w:w="15" w:type="dxa"/>
              <w:left w:w="15" w:type="dxa"/>
              <w:bottom w:w="0" w:type="dxa"/>
              <w:right w:w="15" w:type="dxa"/>
            </w:tcMar>
            <w:vAlign w:val="center"/>
          </w:tcPr>
          <w:p w14:paraId="6E8F8917">
            <w:pPr>
              <w:widowControl/>
              <w:snapToGrid w:val="0"/>
              <w:spacing w:line="280" w:lineRule="exact"/>
              <w:jc w:val="center"/>
              <w:rPr>
                <w:rFonts w:eastAsia="仿宋_GB2312"/>
                <w:kern w:val="0"/>
                <w:szCs w:val="21"/>
              </w:rPr>
            </w:pPr>
            <w:r>
              <w:rPr>
                <w:rFonts w:eastAsia="仿宋_GB2312"/>
                <w:kern w:val="0"/>
                <w:szCs w:val="21"/>
              </w:rPr>
              <w:t>0.42</w:t>
            </w:r>
          </w:p>
        </w:tc>
      </w:tr>
      <w:tr w14:paraId="4AB5FD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1462" w:type="pct"/>
            <w:vMerge w:val="continue"/>
            <w:tcMar>
              <w:top w:w="15" w:type="dxa"/>
              <w:left w:w="15" w:type="dxa"/>
              <w:bottom w:w="0" w:type="dxa"/>
              <w:right w:w="15" w:type="dxa"/>
            </w:tcMar>
            <w:vAlign w:val="center"/>
          </w:tcPr>
          <w:p w14:paraId="5F8BB2EF">
            <w:pPr>
              <w:widowControl/>
              <w:snapToGrid w:val="0"/>
              <w:spacing w:line="280" w:lineRule="exact"/>
              <w:jc w:val="center"/>
              <w:rPr>
                <w:rFonts w:eastAsia="仿宋_GB2312"/>
                <w:kern w:val="0"/>
                <w:szCs w:val="21"/>
              </w:rPr>
            </w:pPr>
          </w:p>
        </w:tc>
        <w:tc>
          <w:tcPr>
            <w:tcW w:w="1648" w:type="pct"/>
            <w:tcMar>
              <w:top w:w="15" w:type="dxa"/>
              <w:left w:w="15" w:type="dxa"/>
              <w:bottom w:w="0" w:type="dxa"/>
              <w:right w:w="15" w:type="dxa"/>
            </w:tcMar>
            <w:vAlign w:val="center"/>
          </w:tcPr>
          <w:p w14:paraId="0D5C7077">
            <w:pPr>
              <w:widowControl/>
              <w:snapToGrid w:val="0"/>
              <w:spacing w:line="280" w:lineRule="exact"/>
              <w:jc w:val="center"/>
              <w:rPr>
                <w:rFonts w:eastAsia="仿宋_GB2312"/>
                <w:kern w:val="0"/>
                <w:szCs w:val="21"/>
              </w:rPr>
            </w:pPr>
            <w:r>
              <w:rPr>
                <w:rFonts w:eastAsia="仿宋_GB2312"/>
                <w:kern w:val="0"/>
                <w:szCs w:val="21"/>
              </w:rPr>
              <w:t>HCl</w:t>
            </w:r>
          </w:p>
        </w:tc>
        <w:tc>
          <w:tcPr>
            <w:tcW w:w="1889" w:type="pct"/>
            <w:tcMar>
              <w:top w:w="15" w:type="dxa"/>
              <w:left w:w="15" w:type="dxa"/>
              <w:bottom w:w="0" w:type="dxa"/>
              <w:right w:w="15" w:type="dxa"/>
            </w:tcMar>
            <w:vAlign w:val="center"/>
          </w:tcPr>
          <w:p w14:paraId="2E533F73">
            <w:pPr>
              <w:widowControl/>
              <w:snapToGrid w:val="0"/>
              <w:spacing w:line="280" w:lineRule="exact"/>
              <w:jc w:val="center"/>
              <w:rPr>
                <w:rFonts w:eastAsia="仿宋_GB2312"/>
                <w:kern w:val="0"/>
                <w:szCs w:val="21"/>
              </w:rPr>
            </w:pPr>
            <w:r>
              <w:rPr>
                <w:rFonts w:eastAsia="仿宋_GB2312"/>
                <w:kern w:val="0"/>
                <w:szCs w:val="21"/>
              </w:rPr>
              <w:t>0.08</w:t>
            </w:r>
          </w:p>
        </w:tc>
      </w:tr>
      <w:tr w14:paraId="5205E6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1462" w:type="pct"/>
            <w:vMerge w:val="continue"/>
            <w:tcMar>
              <w:top w:w="15" w:type="dxa"/>
              <w:left w:w="15" w:type="dxa"/>
              <w:bottom w:w="0" w:type="dxa"/>
              <w:right w:w="15" w:type="dxa"/>
            </w:tcMar>
            <w:vAlign w:val="center"/>
          </w:tcPr>
          <w:p w14:paraId="42D5EE26">
            <w:pPr>
              <w:widowControl/>
              <w:snapToGrid w:val="0"/>
              <w:spacing w:line="280" w:lineRule="exact"/>
              <w:jc w:val="center"/>
              <w:rPr>
                <w:rFonts w:eastAsia="仿宋_GB2312"/>
                <w:kern w:val="0"/>
                <w:szCs w:val="21"/>
              </w:rPr>
            </w:pPr>
          </w:p>
        </w:tc>
        <w:tc>
          <w:tcPr>
            <w:tcW w:w="1648" w:type="pct"/>
            <w:tcMar>
              <w:top w:w="15" w:type="dxa"/>
              <w:left w:w="15" w:type="dxa"/>
              <w:bottom w:w="0" w:type="dxa"/>
              <w:right w:w="15" w:type="dxa"/>
            </w:tcMar>
            <w:vAlign w:val="center"/>
          </w:tcPr>
          <w:p w14:paraId="241DF163">
            <w:pPr>
              <w:widowControl/>
              <w:snapToGrid w:val="0"/>
              <w:spacing w:line="280" w:lineRule="exact"/>
              <w:jc w:val="center"/>
              <w:rPr>
                <w:rFonts w:eastAsia="仿宋_GB2312"/>
                <w:kern w:val="0"/>
                <w:szCs w:val="21"/>
              </w:rPr>
            </w:pPr>
            <w:r>
              <w:rPr>
                <w:rFonts w:eastAsia="仿宋_GB2312"/>
                <w:kern w:val="0"/>
                <w:szCs w:val="21"/>
              </w:rPr>
              <w:t>硝酸雾</w:t>
            </w:r>
          </w:p>
        </w:tc>
        <w:tc>
          <w:tcPr>
            <w:tcW w:w="1889" w:type="pct"/>
            <w:tcMar>
              <w:top w:w="15" w:type="dxa"/>
              <w:left w:w="15" w:type="dxa"/>
              <w:bottom w:w="0" w:type="dxa"/>
              <w:right w:w="15" w:type="dxa"/>
            </w:tcMar>
            <w:vAlign w:val="center"/>
          </w:tcPr>
          <w:p w14:paraId="2BC224AE">
            <w:pPr>
              <w:widowControl/>
              <w:snapToGrid w:val="0"/>
              <w:spacing w:line="280" w:lineRule="exact"/>
              <w:jc w:val="center"/>
              <w:rPr>
                <w:rFonts w:eastAsia="仿宋_GB2312"/>
                <w:kern w:val="0"/>
                <w:szCs w:val="21"/>
              </w:rPr>
            </w:pPr>
            <w:r>
              <w:rPr>
                <w:rFonts w:eastAsia="仿宋_GB2312"/>
                <w:kern w:val="0"/>
                <w:szCs w:val="21"/>
              </w:rPr>
              <w:t>0.29</w:t>
            </w:r>
          </w:p>
        </w:tc>
      </w:tr>
      <w:tr w14:paraId="16395F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1462" w:type="pct"/>
            <w:vMerge w:val="continue"/>
            <w:tcMar>
              <w:top w:w="15" w:type="dxa"/>
              <w:left w:w="15" w:type="dxa"/>
              <w:bottom w:w="0" w:type="dxa"/>
              <w:right w:w="15" w:type="dxa"/>
            </w:tcMar>
            <w:vAlign w:val="center"/>
          </w:tcPr>
          <w:p w14:paraId="475B2FD3">
            <w:pPr>
              <w:widowControl/>
              <w:snapToGrid w:val="0"/>
              <w:spacing w:line="280" w:lineRule="exact"/>
              <w:jc w:val="center"/>
              <w:rPr>
                <w:rFonts w:eastAsia="仿宋_GB2312"/>
                <w:kern w:val="0"/>
                <w:szCs w:val="21"/>
              </w:rPr>
            </w:pPr>
          </w:p>
        </w:tc>
        <w:tc>
          <w:tcPr>
            <w:tcW w:w="1648" w:type="pct"/>
            <w:tcMar>
              <w:top w:w="15" w:type="dxa"/>
              <w:left w:w="15" w:type="dxa"/>
              <w:bottom w:w="0" w:type="dxa"/>
              <w:right w:w="15" w:type="dxa"/>
            </w:tcMar>
            <w:vAlign w:val="center"/>
          </w:tcPr>
          <w:p w14:paraId="10467A56">
            <w:pPr>
              <w:widowControl/>
              <w:snapToGrid w:val="0"/>
              <w:spacing w:line="280" w:lineRule="exact"/>
              <w:jc w:val="center"/>
              <w:rPr>
                <w:rFonts w:eastAsia="仿宋_GB2312"/>
                <w:kern w:val="0"/>
                <w:szCs w:val="21"/>
              </w:rPr>
            </w:pPr>
            <w:r>
              <w:rPr>
                <w:rFonts w:eastAsia="仿宋_GB2312"/>
                <w:kern w:val="0"/>
                <w:szCs w:val="21"/>
              </w:rPr>
              <w:t>氰化氢</w:t>
            </w:r>
          </w:p>
        </w:tc>
        <w:tc>
          <w:tcPr>
            <w:tcW w:w="1889" w:type="pct"/>
            <w:tcMar>
              <w:top w:w="15" w:type="dxa"/>
              <w:left w:w="15" w:type="dxa"/>
              <w:bottom w:w="0" w:type="dxa"/>
              <w:right w:w="15" w:type="dxa"/>
            </w:tcMar>
            <w:vAlign w:val="center"/>
          </w:tcPr>
          <w:p w14:paraId="7ACFF00F">
            <w:pPr>
              <w:widowControl/>
              <w:snapToGrid w:val="0"/>
              <w:spacing w:line="280" w:lineRule="exact"/>
              <w:jc w:val="center"/>
              <w:rPr>
                <w:rFonts w:eastAsia="仿宋_GB2312"/>
                <w:kern w:val="0"/>
                <w:szCs w:val="21"/>
              </w:rPr>
            </w:pPr>
            <w:r>
              <w:rPr>
                <w:rFonts w:eastAsia="仿宋_GB2312"/>
                <w:kern w:val="0"/>
                <w:szCs w:val="21"/>
              </w:rPr>
              <w:t>0.02</w:t>
            </w:r>
          </w:p>
        </w:tc>
      </w:tr>
      <w:tr w14:paraId="5AF324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1462" w:type="pct"/>
            <w:vMerge w:val="continue"/>
            <w:tcMar>
              <w:top w:w="15" w:type="dxa"/>
              <w:left w:w="15" w:type="dxa"/>
              <w:bottom w:w="0" w:type="dxa"/>
              <w:right w:w="15" w:type="dxa"/>
            </w:tcMar>
            <w:vAlign w:val="center"/>
          </w:tcPr>
          <w:p w14:paraId="321EA6A1">
            <w:pPr>
              <w:widowControl/>
              <w:snapToGrid w:val="0"/>
              <w:spacing w:line="280" w:lineRule="exact"/>
              <w:jc w:val="center"/>
              <w:rPr>
                <w:rFonts w:eastAsia="仿宋_GB2312"/>
                <w:kern w:val="0"/>
                <w:szCs w:val="21"/>
              </w:rPr>
            </w:pPr>
          </w:p>
        </w:tc>
        <w:tc>
          <w:tcPr>
            <w:tcW w:w="1648" w:type="pct"/>
            <w:tcMar>
              <w:top w:w="15" w:type="dxa"/>
              <w:left w:w="15" w:type="dxa"/>
              <w:bottom w:w="0" w:type="dxa"/>
              <w:right w:w="15" w:type="dxa"/>
            </w:tcMar>
            <w:vAlign w:val="center"/>
          </w:tcPr>
          <w:p w14:paraId="5CEB3B10">
            <w:pPr>
              <w:widowControl/>
              <w:snapToGrid w:val="0"/>
              <w:spacing w:line="280" w:lineRule="exact"/>
              <w:jc w:val="center"/>
              <w:rPr>
                <w:rFonts w:eastAsia="仿宋_GB2312"/>
                <w:kern w:val="0"/>
                <w:szCs w:val="21"/>
              </w:rPr>
            </w:pPr>
            <w:r>
              <w:rPr>
                <w:rFonts w:eastAsia="仿宋_GB2312"/>
                <w:kern w:val="0"/>
                <w:szCs w:val="21"/>
              </w:rPr>
              <w:t>铬酸雾</w:t>
            </w:r>
          </w:p>
        </w:tc>
        <w:tc>
          <w:tcPr>
            <w:tcW w:w="1889" w:type="pct"/>
            <w:tcMar>
              <w:top w:w="15" w:type="dxa"/>
              <w:left w:w="15" w:type="dxa"/>
              <w:bottom w:w="0" w:type="dxa"/>
              <w:right w:w="15" w:type="dxa"/>
            </w:tcMar>
            <w:vAlign w:val="center"/>
          </w:tcPr>
          <w:p w14:paraId="4745C714">
            <w:pPr>
              <w:widowControl/>
              <w:snapToGrid w:val="0"/>
              <w:spacing w:line="280" w:lineRule="exact"/>
              <w:jc w:val="center"/>
              <w:rPr>
                <w:rFonts w:eastAsia="仿宋_GB2312"/>
                <w:kern w:val="0"/>
                <w:szCs w:val="21"/>
              </w:rPr>
            </w:pPr>
            <w:r>
              <w:rPr>
                <w:rFonts w:eastAsia="仿宋_GB2312"/>
                <w:kern w:val="0"/>
                <w:szCs w:val="21"/>
              </w:rPr>
              <w:t>0.001</w:t>
            </w:r>
          </w:p>
        </w:tc>
      </w:tr>
      <w:tr w14:paraId="53DC7D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1462" w:type="pct"/>
            <w:vMerge w:val="continue"/>
            <w:tcMar>
              <w:top w:w="15" w:type="dxa"/>
              <w:left w:w="15" w:type="dxa"/>
              <w:bottom w:w="0" w:type="dxa"/>
              <w:right w:w="15" w:type="dxa"/>
            </w:tcMar>
            <w:vAlign w:val="center"/>
          </w:tcPr>
          <w:p w14:paraId="3CBFD15A">
            <w:pPr>
              <w:widowControl/>
              <w:snapToGrid w:val="0"/>
              <w:spacing w:line="280" w:lineRule="exact"/>
              <w:jc w:val="center"/>
              <w:rPr>
                <w:rFonts w:eastAsia="仿宋_GB2312"/>
                <w:kern w:val="0"/>
                <w:szCs w:val="21"/>
              </w:rPr>
            </w:pPr>
          </w:p>
        </w:tc>
        <w:tc>
          <w:tcPr>
            <w:tcW w:w="1648" w:type="pct"/>
            <w:tcMar>
              <w:top w:w="15" w:type="dxa"/>
              <w:left w:w="15" w:type="dxa"/>
              <w:bottom w:w="0" w:type="dxa"/>
              <w:right w:w="15" w:type="dxa"/>
            </w:tcMar>
            <w:vAlign w:val="center"/>
          </w:tcPr>
          <w:p w14:paraId="25CF3EF7">
            <w:pPr>
              <w:widowControl/>
              <w:snapToGrid w:val="0"/>
              <w:spacing w:line="280" w:lineRule="exact"/>
              <w:jc w:val="center"/>
              <w:rPr>
                <w:rFonts w:eastAsia="仿宋_GB2312"/>
                <w:kern w:val="0"/>
                <w:szCs w:val="21"/>
              </w:rPr>
            </w:pPr>
            <w:r>
              <w:rPr>
                <w:rFonts w:eastAsia="仿宋_GB2312"/>
                <w:kern w:val="0"/>
                <w:szCs w:val="21"/>
              </w:rPr>
              <w:t>异丙醇</w:t>
            </w:r>
          </w:p>
        </w:tc>
        <w:tc>
          <w:tcPr>
            <w:tcW w:w="1889" w:type="pct"/>
            <w:tcMar>
              <w:top w:w="15" w:type="dxa"/>
              <w:left w:w="15" w:type="dxa"/>
              <w:bottom w:w="0" w:type="dxa"/>
              <w:right w:w="15" w:type="dxa"/>
            </w:tcMar>
            <w:vAlign w:val="center"/>
          </w:tcPr>
          <w:p w14:paraId="1AAF5855">
            <w:pPr>
              <w:widowControl/>
              <w:snapToGrid w:val="0"/>
              <w:spacing w:line="280" w:lineRule="exact"/>
              <w:jc w:val="center"/>
              <w:rPr>
                <w:rFonts w:eastAsia="仿宋_GB2312"/>
                <w:kern w:val="0"/>
                <w:szCs w:val="21"/>
              </w:rPr>
            </w:pPr>
            <w:r>
              <w:rPr>
                <w:rFonts w:eastAsia="仿宋_GB2312"/>
                <w:kern w:val="0"/>
                <w:szCs w:val="21"/>
              </w:rPr>
              <w:t>0.88</w:t>
            </w:r>
          </w:p>
        </w:tc>
      </w:tr>
      <w:tr w14:paraId="322B27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1462" w:type="pct"/>
            <w:vMerge w:val="continue"/>
            <w:tcMar>
              <w:top w:w="15" w:type="dxa"/>
              <w:left w:w="15" w:type="dxa"/>
              <w:bottom w:w="0" w:type="dxa"/>
              <w:right w:w="15" w:type="dxa"/>
            </w:tcMar>
            <w:vAlign w:val="center"/>
          </w:tcPr>
          <w:p w14:paraId="4CB878E8">
            <w:pPr>
              <w:widowControl/>
              <w:snapToGrid w:val="0"/>
              <w:spacing w:line="280" w:lineRule="exact"/>
              <w:jc w:val="center"/>
              <w:rPr>
                <w:rFonts w:eastAsia="仿宋_GB2312"/>
                <w:kern w:val="0"/>
                <w:szCs w:val="21"/>
              </w:rPr>
            </w:pPr>
          </w:p>
        </w:tc>
        <w:tc>
          <w:tcPr>
            <w:tcW w:w="1648" w:type="pct"/>
            <w:tcMar>
              <w:top w:w="15" w:type="dxa"/>
              <w:left w:w="15" w:type="dxa"/>
              <w:bottom w:w="0" w:type="dxa"/>
              <w:right w:w="15" w:type="dxa"/>
            </w:tcMar>
            <w:vAlign w:val="center"/>
          </w:tcPr>
          <w:p w14:paraId="5C033F09">
            <w:pPr>
              <w:widowControl/>
              <w:snapToGrid w:val="0"/>
              <w:spacing w:line="280" w:lineRule="exact"/>
              <w:jc w:val="center"/>
              <w:rPr>
                <w:rFonts w:eastAsia="仿宋_GB2312"/>
                <w:kern w:val="0"/>
                <w:szCs w:val="21"/>
              </w:rPr>
            </w:pPr>
            <w:r>
              <w:rPr>
                <w:rFonts w:eastAsia="仿宋_GB2312"/>
                <w:kern w:val="0"/>
                <w:szCs w:val="21"/>
              </w:rPr>
              <w:t>甲醛</w:t>
            </w:r>
          </w:p>
        </w:tc>
        <w:tc>
          <w:tcPr>
            <w:tcW w:w="1889" w:type="pct"/>
            <w:tcMar>
              <w:top w:w="15" w:type="dxa"/>
              <w:left w:w="15" w:type="dxa"/>
              <w:bottom w:w="0" w:type="dxa"/>
              <w:right w:w="15" w:type="dxa"/>
            </w:tcMar>
            <w:vAlign w:val="center"/>
          </w:tcPr>
          <w:p w14:paraId="0396258C">
            <w:pPr>
              <w:widowControl/>
              <w:snapToGrid w:val="0"/>
              <w:spacing w:line="280" w:lineRule="exact"/>
              <w:jc w:val="center"/>
              <w:rPr>
                <w:rFonts w:eastAsia="仿宋_GB2312"/>
                <w:kern w:val="0"/>
                <w:szCs w:val="21"/>
              </w:rPr>
            </w:pPr>
            <w:r>
              <w:rPr>
                <w:rFonts w:eastAsia="仿宋_GB2312"/>
                <w:kern w:val="0"/>
                <w:szCs w:val="21"/>
              </w:rPr>
              <w:t>0.045</w:t>
            </w:r>
          </w:p>
        </w:tc>
      </w:tr>
      <w:tr w14:paraId="4CDCD3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1462" w:type="pct"/>
            <w:vMerge w:val="continue"/>
            <w:tcMar>
              <w:top w:w="15" w:type="dxa"/>
              <w:left w:w="15" w:type="dxa"/>
              <w:bottom w:w="0" w:type="dxa"/>
              <w:right w:w="15" w:type="dxa"/>
            </w:tcMar>
            <w:vAlign w:val="center"/>
          </w:tcPr>
          <w:p w14:paraId="3C8BCA56">
            <w:pPr>
              <w:widowControl/>
              <w:snapToGrid w:val="0"/>
              <w:spacing w:line="280" w:lineRule="exact"/>
              <w:jc w:val="center"/>
              <w:rPr>
                <w:rFonts w:eastAsia="仿宋_GB2312"/>
                <w:kern w:val="0"/>
                <w:szCs w:val="21"/>
              </w:rPr>
            </w:pPr>
          </w:p>
        </w:tc>
        <w:tc>
          <w:tcPr>
            <w:tcW w:w="1648" w:type="pct"/>
            <w:tcMar>
              <w:top w:w="15" w:type="dxa"/>
              <w:left w:w="15" w:type="dxa"/>
              <w:bottom w:w="0" w:type="dxa"/>
              <w:right w:w="15" w:type="dxa"/>
            </w:tcMar>
            <w:vAlign w:val="center"/>
          </w:tcPr>
          <w:p w14:paraId="59DE13EA">
            <w:pPr>
              <w:widowControl/>
              <w:snapToGrid w:val="0"/>
              <w:spacing w:line="280" w:lineRule="exact"/>
              <w:jc w:val="center"/>
              <w:rPr>
                <w:rFonts w:eastAsia="仿宋_GB2312"/>
                <w:kern w:val="0"/>
                <w:szCs w:val="21"/>
              </w:rPr>
            </w:pPr>
            <w:r>
              <w:rPr>
                <w:rFonts w:eastAsia="仿宋_GB2312"/>
                <w:kern w:val="0"/>
                <w:szCs w:val="21"/>
              </w:rPr>
              <w:t>甲苯</w:t>
            </w:r>
          </w:p>
        </w:tc>
        <w:tc>
          <w:tcPr>
            <w:tcW w:w="1889" w:type="pct"/>
            <w:tcMar>
              <w:top w:w="15" w:type="dxa"/>
              <w:left w:w="15" w:type="dxa"/>
              <w:bottom w:w="0" w:type="dxa"/>
              <w:right w:w="15" w:type="dxa"/>
            </w:tcMar>
            <w:vAlign w:val="center"/>
          </w:tcPr>
          <w:p w14:paraId="37AEED92">
            <w:pPr>
              <w:widowControl/>
              <w:snapToGrid w:val="0"/>
              <w:spacing w:line="280" w:lineRule="exact"/>
              <w:jc w:val="center"/>
              <w:rPr>
                <w:rFonts w:eastAsia="仿宋_GB2312"/>
                <w:kern w:val="0"/>
                <w:szCs w:val="21"/>
              </w:rPr>
            </w:pPr>
            <w:r>
              <w:rPr>
                <w:rFonts w:eastAsia="仿宋_GB2312"/>
                <w:kern w:val="0"/>
                <w:szCs w:val="21"/>
              </w:rPr>
              <w:t>0.27</w:t>
            </w:r>
          </w:p>
        </w:tc>
      </w:tr>
      <w:tr w14:paraId="2A9A4A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1462" w:type="pct"/>
            <w:vMerge w:val="continue"/>
            <w:tcMar>
              <w:top w:w="15" w:type="dxa"/>
              <w:left w:w="15" w:type="dxa"/>
              <w:bottom w:w="0" w:type="dxa"/>
              <w:right w:w="15" w:type="dxa"/>
            </w:tcMar>
            <w:vAlign w:val="center"/>
          </w:tcPr>
          <w:p w14:paraId="4EB090CC">
            <w:pPr>
              <w:widowControl/>
              <w:snapToGrid w:val="0"/>
              <w:spacing w:line="280" w:lineRule="exact"/>
              <w:jc w:val="center"/>
              <w:rPr>
                <w:rFonts w:eastAsia="仿宋_GB2312"/>
                <w:kern w:val="0"/>
                <w:szCs w:val="21"/>
              </w:rPr>
            </w:pPr>
          </w:p>
        </w:tc>
        <w:tc>
          <w:tcPr>
            <w:tcW w:w="1648" w:type="pct"/>
            <w:tcMar>
              <w:top w:w="15" w:type="dxa"/>
              <w:left w:w="15" w:type="dxa"/>
              <w:bottom w:w="0" w:type="dxa"/>
              <w:right w:w="15" w:type="dxa"/>
            </w:tcMar>
            <w:vAlign w:val="center"/>
          </w:tcPr>
          <w:p w14:paraId="66AFC7DC">
            <w:pPr>
              <w:widowControl/>
              <w:snapToGrid w:val="0"/>
              <w:spacing w:line="280" w:lineRule="exact"/>
              <w:jc w:val="center"/>
              <w:rPr>
                <w:rFonts w:eastAsia="仿宋_GB2312"/>
                <w:kern w:val="0"/>
                <w:szCs w:val="21"/>
              </w:rPr>
            </w:pPr>
            <w:r>
              <w:rPr>
                <w:rFonts w:eastAsia="仿宋_GB2312"/>
                <w:kern w:val="0"/>
                <w:szCs w:val="21"/>
              </w:rPr>
              <w:t>二甲苯</w:t>
            </w:r>
          </w:p>
        </w:tc>
        <w:tc>
          <w:tcPr>
            <w:tcW w:w="1889" w:type="pct"/>
            <w:tcMar>
              <w:top w:w="15" w:type="dxa"/>
              <w:left w:w="15" w:type="dxa"/>
              <w:bottom w:w="0" w:type="dxa"/>
              <w:right w:w="15" w:type="dxa"/>
            </w:tcMar>
            <w:vAlign w:val="center"/>
          </w:tcPr>
          <w:p w14:paraId="00933664">
            <w:pPr>
              <w:widowControl/>
              <w:snapToGrid w:val="0"/>
              <w:spacing w:line="280" w:lineRule="exact"/>
              <w:jc w:val="center"/>
              <w:rPr>
                <w:rFonts w:eastAsia="仿宋_GB2312"/>
                <w:kern w:val="0"/>
                <w:szCs w:val="21"/>
              </w:rPr>
            </w:pPr>
            <w:r>
              <w:rPr>
                <w:rFonts w:eastAsia="仿宋_GB2312"/>
                <w:kern w:val="0"/>
                <w:szCs w:val="21"/>
              </w:rPr>
              <w:t>0.27</w:t>
            </w:r>
          </w:p>
        </w:tc>
      </w:tr>
      <w:tr w14:paraId="560E19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1462" w:type="pct"/>
            <w:vMerge w:val="continue"/>
            <w:tcMar>
              <w:top w:w="15" w:type="dxa"/>
              <w:left w:w="15" w:type="dxa"/>
              <w:bottom w:w="0" w:type="dxa"/>
              <w:right w:w="15" w:type="dxa"/>
            </w:tcMar>
            <w:vAlign w:val="center"/>
          </w:tcPr>
          <w:p w14:paraId="7C208F95">
            <w:pPr>
              <w:widowControl/>
              <w:snapToGrid w:val="0"/>
              <w:spacing w:line="280" w:lineRule="exact"/>
              <w:jc w:val="center"/>
              <w:rPr>
                <w:rFonts w:eastAsia="仿宋_GB2312"/>
                <w:kern w:val="0"/>
                <w:szCs w:val="21"/>
              </w:rPr>
            </w:pPr>
          </w:p>
        </w:tc>
        <w:tc>
          <w:tcPr>
            <w:tcW w:w="1648" w:type="pct"/>
            <w:tcMar>
              <w:top w:w="15" w:type="dxa"/>
              <w:left w:w="15" w:type="dxa"/>
              <w:bottom w:w="0" w:type="dxa"/>
              <w:right w:w="15" w:type="dxa"/>
            </w:tcMar>
            <w:vAlign w:val="center"/>
          </w:tcPr>
          <w:p w14:paraId="08315443">
            <w:pPr>
              <w:widowControl/>
              <w:snapToGrid w:val="0"/>
              <w:spacing w:line="280" w:lineRule="exact"/>
              <w:jc w:val="center"/>
              <w:rPr>
                <w:rFonts w:eastAsia="仿宋_GB2312"/>
                <w:kern w:val="0"/>
                <w:szCs w:val="21"/>
              </w:rPr>
            </w:pPr>
            <w:r>
              <w:rPr>
                <w:rFonts w:eastAsia="仿宋_GB2312"/>
                <w:kern w:val="0"/>
                <w:szCs w:val="21"/>
              </w:rPr>
              <w:t>乙酸乙酯</w:t>
            </w:r>
          </w:p>
        </w:tc>
        <w:tc>
          <w:tcPr>
            <w:tcW w:w="1889" w:type="pct"/>
            <w:tcMar>
              <w:top w:w="15" w:type="dxa"/>
              <w:left w:w="15" w:type="dxa"/>
              <w:bottom w:w="0" w:type="dxa"/>
              <w:right w:w="15" w:type="dxa"/>
            </w:tcMar>
            <w:vAlign w:val="center"/>
          </w:tcPr>
          <w:p w14:paraId="677A3347">
            <w:pPr>
              <w:widowControl/>
              <w:snapToGrid w:val="0"/>
              <w:spacing w:line="280" w:lineRule="exact"/>
              <w:jc w:val="center"/>
              <w:rPr>
                <w:rFonts w:eastAsia="仿宋_GB2312"/>
                <w:kern w:val="0"/>
                <w:szCs w:val="21"/>
              </w:rPr>
            </w:pPr>
            <w:r>
              <w:rPr>
                <w:rFonts w:eastAsia="仿宋_GB2312"/>
                <w:kern w:val="0"/>
                <w:szCs w:val="21"/>
              </w:rPr>
              <w:t>0.4</w:t>
            </w:r>
          </w:p>
        </w:tc>
      </w:tr>
      <w:tr w14:paraId="61756B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1462" w:type="pct"/>
            <w:vMerge w:val="continue"/>
            <w:tcMar>
              <w:top w:w="15" w:type="dxa"/>
              <w:left w:w="15" w:type="dxa"/>
              <w:bottom w:w="0" w:type="dxa"/>
              <w:right w:w="15" w:type="dxa"/>
            </w:tcMar>
            <w:vAlign w:val="center"/>
          </w:tcPr>
          <w:p w14:paraId="75FC482E">
            <w:pPr>
              <w:widowControl/>
              <w:snapToGrid w:val="0"/>
              <w:spacing w:line="280" w:lineRule="exact"/>
              <w:jc w:val="center"/>
              <w:rPr>
                <w:rFonts w:eastAsia="仿宋_GB2312"/>
                <w:kern w:val="0"/>
                <w:szCs w:val="21"/>
              </w:rPr>
            </w:pPr>
          </w:p>
        </w:tc>
        <w:tc>
          <w:tcPr>
            <w:tcW w:w="1648" w:type="pct"/>
            <w:tcMar>
              <w:top w:w="15" w:type="dxa"/>
              <w:left w:w="15" w:type="dxa"/>
              <w:bottom w:w="0" w:type="dxa"/>
              <w:right w:w="15" w:type="dxa"/>
            </w:tcMar>
            <w:vAlign w:val="center"/>
          </w:tcPr>
          <w:p w14:paraId="6A6A0558">
            <w:pPr>
              <w:widowControl/>
              <w:snapToGrid w:val="0"/>
              <w:spacing w:line="280" w:lineRule="exact"/>
              <w:jc w:val="center"/>
              <w:rPr>
                <w:rFonts w:eastAsia="仿宋_GB2312"/>
                <w:kern w:val="0"/>
                <w:szCs w:val="21"/>
              </w:rPr>
            </w:pPr>
            <w:r>
              <w:rPr>
                <w:rFonts w:eastAsia="仿宋_GB2312"/>
                <w:kern w:val="0"/>
                <w:szCs w:val="21"/>
              </w:rPr>
              <w:t>乙酸丁酯</w:t>
            </w:r>
          </w:p>
        </w:tc>
        <w:tc>
          <w:tcPr>
            <w:tcW w:w="1889" w:type="pct"/>
            <w:tcMar>
              <w:top w:w="15" w:type="dxa"/>
              <w:left w:w="15" w:type="dxa"/>
              <w:bottom w:w="0" w:type="dxa"/>
              <w:right w:w="15" w:type="dxa"/>
            </w:tcMar>
            <w:vAlign w:val="center"/>
          </w:tcPr>
          <w:p w14:paraId="005BEBE5">
            <w:pPr>
              <w:widowControl/>
              <w:snapToGrid w:val="0"/>
              <w:spacing w:line="280" w:lineRule="exact"/>
              <w:jc w:val="center"/>
              <w:rPr>
                <w:rFonts w:eastAsia="仿宋_GB2312"/>
                <w:kern w:val="0"/>
                <w:szCs w:val="21"/>
              </w:rPr>
            </w:pPr>
            <w:r>
              <w:rPr>
                <w:rFonts w:eastAsia="仿宋_GB2312"/>
                <w:kern w:val="0"/>
                <w:szCs w:val="21"/>
              </w:rPr>
              <w:t>0.4</w:t>
            </w:r>
          </w:p>
        </w:tc>
      </w:tr>
      <w:tr w14:paraId="1EAA8C5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1462" w:type="pct"/>
            <w:vMerge w:val="continue"/>
            <w:tcMar>
              <w:top w:w="15" w:type="dxa"/>
              <w:left w:w="15" w:type="dxa"/>
              <w:bottom w:w="0" w:type="dxa"/>
              <w:right w:w="15" w:type="dxa"/>
            </w:tcMar>
            <w:vAlign w:val="center"/>
          </w:tcPr>
          <w:p w14:paraId="70A57B79">
            <w:pPr>
              <w:widowControl/>
              <w:snapToGrid w:val="0"/>
              <w:spacing w:line="280" w:lineRule="exact"/>
              <w:jc w:val="center"/>
              <w:rPr>
                <w:rFonts w:eastAsia="仿宋_GB2312"/>
                <w:kern w:val="0"/>
                <w:szCs w:val="21"/>
              </w:rPr>
            </w:pPr>
          </w:p>
        </w:tc>
        <w:tc>
          <w:tcPr>
            <w:tcW w:w="1648" w:type="pct"/>
            <w:tcMar>
              <w:top w:w="15" w:type="dxa"/>
              <w:left w:w="15" w:type="dxa"/>
              <w:bottom w:w="0" w:type="dxa"/>
              <w:right w:w="15" w:type="dxa"/>
            </w:tcMar>
            <w:vAlign w:val="center"/>
          </w:tcPr>
          <w:p w14:paraId="177EB643">
            <w:pPr>
              <w:widowControl/>
              <w:snapToGrid w:val="0"/>
              <w:spacing w:line="280" w:lineRule="exact"/>
              <w:jc w:val="center"/>
              <w:rPr>
                <w:rFonts w:eastAsia="仿宋_GB2312"/>
                <w:kern w:val="0"/>
                <w:szCs w:val="21"/>
              </w:rPr>
            </w:pPr>
            <w:r>
              <w:rPr>
                <w:rFonts w:eastAsia="仿宋_GB2312"/>
                <w:kern w:val="0"/>
                <w:szCs w:val="21"/>
              </w:rPr>
              <w:t>乙二醇</w:t>
            </w:r>
          </w:p>
        </w:tc>
        <w:tc>
          <w:tcPr>
            <w:tcW w:w="1889" w:type="pct"/>
            <w:tcMar>
              <w:top w:w="15" w:type="dxa"/>
              <w:left w:w="15" w:type="dxa"/>
              <w:bottom w:w="0" w:type="dxa"/>
              <w:right w:w="15" w:type="dxa"/>
            </w:tcMar>
            <w:vAlign w:val="center"/>
          </w:tcPr>
          <w:p w14:paraId="7322F1FE">
            <w:pPr>
              <w:widowControl/>
              <w:snapToGrid w:val="0"/>
              <w:spacing w:line="280" w:lineRule="exact"/>
              <w:jc w:val="center"/>
              <w:rPr>
                <w:rFonts w:eastAsia="仿宋_GB2312"/>
                <w:kern w:val="0"/>
                <w:szCs w:val="21"/>
              </w:rPr>
            </w:pPr>
            <w:r>
              <w:rPr>
                <w:rFonts w:eastAsia="仿宋_GB2312"/>
                <w:kern w:val="0"/>
                <w:szCs w:val="21"/>
              </w:rPr>
              <w:t>0.1416</w:t>
            </w:r>
          </w:p>
        </w:tc>
      </w:tr>
      <w:tr w14:paraId="43F2EE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1462" w:type="pct"/>
            <w:vMerge w:val="continue"/>
            <w:tcMar>
              <w:top w:w="15" w:type="dxa"/>
              <w:left w:w="15" w:type="dxa"/>
              <w:bottom w:w="0" w:type="dxa"/>
              <w:right w:w="15" w:type="dxa"/>
            </w:tcMar>
            <w:vAlign w:val="center"/>
          </w:tcPr>
          <w:p w14:paraId="0FD5E0C3">
            <w:pPr>
              <w:widowControl/>
              <w:snapToGrid w:val="0"/>
              <w:spacing w:line="280" w:lineRule="exact"/>
              <w:jc w:val="center"/>
              <w:rPr>
                <w:rFonts w:eastAsia="仿宋_GB2312"/>
                <w:kern w:val="0"/>
                <w:szCs w:val="21"/>
              </w:rPr>
            </w:pPr>
          </w:p>
        </w:tc>
        <w:tc>
          <w:tcPr>
            <w:tcW w:w="1648" w:type="pct"/>
            <w:tcMar>
              <w:top w:w="15" w:type="dxa"/>
              <w:left w:w="15" w:type="dxa"/>
              <w:bottom w:w="0" w:type="dxa"/>
              <w:right w:w="15" w:type="dxa"/>
            </w:tcMar>
            <w:vAlign w:val="center"/>
          </w:tcPr>
          <w:p w14:paraId="1B1C4A72">
            <w:pPr>
              <w:widowControl/>
              <w:snapToGrid w:val="0"/>
              <w:spacing w:line="280" w:lineRule="exact"/>
              <w:jc w:val="center"/>
              <w:rPr>
                <w:rFonts w:eastAsia="仿宋_GB2312"/>
                <w:kern w:val="0"/>
                <w:szCs w:val="21"/>
              </w:rPr>
            </w:pPr>
            <w:r>
              <w:rPr>
                <w:rFonts w:eastAsia="仿宋_GB2312"/>
                <w:kern w:val="0"/>
                <w:szCs w:val="21"/>
              </w:rPr>
              <w:t>丙二醇</w:t>
            </w:r>
          </w:p>
        </w:tc>
        <w:tc>
          <w:tcPr>
            <w:tcW w:w="1889" w:type="pct"/>
            <w:tcMar>
              <w:top w:w="15" w:type="dxa"/>
              <w:left w:w="15" w:type="dxa"/>
              <w:bottom w:w="0" w:type="dxa"/>
              <w:right w:w="15" w:type="dxa"/>
            </w:tcMar>
            <w:vAlign w:val="center"/>
          </w:tcPr>
          <w:p w14:paraId="2760B455">
            <w:pPr>
              <w:widowControl/>
              <w:snapToGrid w:val="0"/>
              <w:spacing w:line="280" w:lineRule="exact"/>
              <w:jc w:val="center"/>
              <w:rPr>
                <w:rFonts w:eastAsia="仿宋_GB2312"/>
                <w:kern w:val="0"/>
                <w:szCs w:val="21"/>
              </w:rPr>
            </w:pPr>
            <w:r>
              <w:rPr>
                <w:rFonts w:eastAsia="仿宋_GB2312"/>
                <w:kern w:val="0"/>
                <w:szCs w:val="21"/>
              </w:rPr>
              <w:t>0.426</w:t>
            </w:r>
          </w:p>
        </w:tc>
      </w:tr>
      <w:tr w14:paraId="7CA6884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1462" w:type="pct"/>
            <w:vMerge w:val="continue"/>
            <w:tcMar>
              <w:top w:w="15" w:type="dxa"/>
              <w:left w:w="15" w:type="dxa"/>
              <w:bottom w:w="0" w:type="dxa"/>
              <w:right w:w="15" w:type="dxa"/>
            </w:tcMar>
            <w:vAlign w:val="center"/>
          </w:tcPr>
          <w:p w14:paraId="59A92C1D">
            <w:pPr>
              <w:widowControl/>
              <w:snapToGrid w:val="0"/>
              <w:spacing w:line="280" w:lineRule="exact"/>
              <w:jc w:val="center"/>
              <w:rPr>
                <w:rFonts w:eastAsia="仿宋_GB2312"/>
                <w:kern w:val="0"/>
                <w:szCs w:val="21"/>
              </w:rPr>
            </w:pPr>
          </w:p>
        </w:tc>
        <w:tc>
          <w:tcPr>
            <w:tcW w:w="1648" w:type="pct"/>
            <w:tcMar>
              <w:top w:w="15" w:type="dxa"/>
              <w:left w:w="15" w:type="dxa"/>
              <w:bottom w:w="0" w:type="dxa"/>
              <w:right w:w="15" w:type="dxa"/>
            </w:tcMar>
            <w:vAlign w:val="center"/>
          </w:tcPr>
          <w:p w14:paraId="4A0E2B9A">
            <w:pPr>
              <w:widowControl/>
              <w:snapToGrid w:val="0"/>
              <w:spacing w:line="280" w:lineRule="exact"/>
              <w:jc w:val="center"/>
              <w:rPr>
                <w:rFonts w:eastAsia="仿宋_GB2312"/>
                <w:kern w:val="0"/>
                <w:szCs w:val="21"/>
              </w:rPr>
            </w:pPr>
            <w:r>
              <w:rPr>
                <w:rFonts w:eastAsia="仿宋_GB2312"/>
                <w:kern w:val="0"/>
                <w:szCs w:val="21"/>
              </w:rPr>
              <w:t>二甘醇</w:t>
            </w:r>
          </w:p>
        </w:tc>
        <w:tc>
          <w:tcPr>
            <w:tcW w:w="1889" w:type="pct"/>
            <w:tcMar>
              <w:top w:w="15" w:type="dxa"/>
              <w:left w:w="15" w:type="dxa"/>
              <w:bottom w:w="0" w:type="dxa"/>
              <w:right w:w="15" w:type="dxa"/>
            </w:tcMar>
            <w:vAlign w:val="center"/>
          </w:tcPr>
          <w:p w14:paraId="1CAB8F56">
            <w:pPr>
              <w:widowControl/>
              <w:snapToGrid w:val="0"/>
              <w:spacing w:line="280" w:lineRule="exact"/>
              <w:jc w:val="center"/>
              <w:rPr>
                <w:rFonts w:eastAsia="仿宋_GB2312"/>
                <w:kern w:val="0"/>
                <w:szCs w:val="21"/>
              </w:rPr>
            </w:pPr>
            <w:r>
              <w:rPr>
                <w:rFonts w:eastAsia="仿宋_GB2312"/>
                <w:kern w:val="0"/>
                <w:szCs w:val="21"/>
              </w:rPr>
              <w:t>0.6</w:t>
            </w:r>
          </w:p>
        </w:tc>
      </w:tr>
      <w:tr w14:paraId="290A33C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1462" w:type="pct"/>
            <w:vMerge w:val="continue"/>
            <w:tcMar>
              <w:top w:w="15" w:type="dxa"/>
              <w:left w:w="15" w:type="dxa"/>
              <w:bottom w:w="0" w:type="dxa"/>
              <w:right w:w="15" w:type="dxa"/>
            </w:tcMar>
            <w:vAlign w:val="center"/>
          </w:tcPr>
          <w:p w14:paraId="1BC78BFA">
            <w:pPr>
              <w:widowControl/>
              <w:snapToGrid w:val="0"/>
              <w:spacing w:line="280" w:lineRule="exact"/>
              <w:jc w:val="center"/>
              <w:rPr>
                <w:rFonts w:eastAsia="仿宋_GB2312"/>
                <w:kern w:val="0"/>
                <w:szCs w:val="21"/>
              </w:rPr>
            </w:pPr>
          </w:p>
        </w:tc>
        <w:tc>
          <w:tcPr>
            <w:tcW w:w="1648" w:type="pct"/>
            <w:tcMar>
              <w:top w:w="15" w:type="dxa"/>
              <w:left w:w="15" w:type="dxa"/>
              <w:bottom w:w="0" w:type="dxa"/>
              <w:right w:w="15" w:type="dxa"/>
            </w:tcMar>
            <w:vAlign w:val="center"/>
          </w:tcPr>
          <w:p w14:paraId="5151AA7F">
            <w:pPr>
              <w:widowControl/>
              <w:snapToGrid w:val="0"/>
              <w:spacing w:line="280" w:lineRule="exact"/>
              <w:jc w:val="center"/>
              <w:rPr>
                <w:rFonts w:eastAsia="仿宋_GB2312"/>
                <w:kern w:val="0"/>
                <w:szCs w:val="21"/>
              </w:rPr>
            </w:pPr>
            <w:r>
              <w:rPr>
                <w:rFonts w:eastAsia="仿宋_GB2312"/>
                <w:kern w:val="0"/>
                <w:szCs w:val="21"/>
              </w:rPr>
              <w:t>己二酸</w:t>
            </w:r>
          </w:p>
        </w:tc>
        <w:tc>
          <w:tcPr>
            <w:tcW w:w="1889" w:type="pct"/>
            <w:tcMar>
              <w:top w:w="15" w:type="dxa"/>
              <w:left w:w="15" w:type="dxa"/>
              <w:bottom w:w="0" w:type="dxa"/>
              <w:right w:w="15" w:type="dxa"/>
            </w:tcMar>
            <w:vAlign w:val="center"/>
          </w:tcPr>
          <w:p w14:paraId="45069836">
            <w:pPr>
              <w:widowControl/>
              <w:snapToGrid w:val="0"/>
              <w:spacing w:line="280" w:lineRule="exact"/>
              <w:jc w:val="center"/>
              <w:rPr>
                <w:rFonts w:eastAsia="仿宋_GB2312"/>
                <w:kern w:val="0"/>
                <w:szCs w:val="21"/>
              </w:rPr>
            </w:pPr>
            <w:r>
              <w:rPr>
                <w:rFonts w:eastAsia="仿宋_GB2312"/>
                <w:kern w:val="0"/>
                <w:szCs w:val="21"/>
              </w:rPr>
              <w:t>0.12</w:t>
            </w:r>
          </w:p>
        </w:tc>
      </w:tr>
      <w:tr w14:paraId="2C2253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1462" w:type="pct"/>
            <w:vMerge w:val="continue"/>
            <w:tcMar>
              <w:top w:w="15" w:type="dxa"/>
              <w:left w:w="15" w:type="dxa"/>
              <w:bottom w:w="0" w:type="dxa"/>
              <w:right w:w="15" w:type="dxa"/>
            </w:tcMar>
            <w:vAlign w:val="center"/>
          </w:tcPr>
          <w:p w14:paraId="0771ED55">
            <w:pPr>
              <w:widowControl/>
              <w:snapToGrid w:val="0"/>
              <w:spacing w:line="280" w:lineRule="exact"/>
              <w:jc w:val="center"/>
              <w:rPr>
                <w:rFonts w:eastAsia="仿宋_GB2312"/>
                <w:kern w:val="0"/>
                <w:szCs w:val="21"/>
              </w:rPr>
            </w:pPr>
          </w:p>
        </w:tc>
        <w:tc>
          <w:tcPr>
            <w:tcW w:w="1648" w:type="pct"/>
            <w:tcMar>
              <w:top w:w="15" w:type="dxa"/>
              <w:left w:w="15" w:type="dxa"/>
              <w:bottom w:w="0" w:type="dxa"/>
              <w:right w:w="15" w:type="dxa"/>
            </w:tcMar>
            <w:vAlign w:val="center"/>
          </w:tcPr>
          <w:p w14:paraId="38AA8FA6">
            <w:pPr>
              <w:widowControl/>
              <w:snapToGrid w:val="0"/>
              <w:spacing w:line="280" w:lineRule="exact"/>
              <w:jc w:val="center"/>
              <w:rPr>
                <w:rFonts w:eastAsia="仿宋_GB2312"/>
                <w:kern w:val="0"/>
                <w:szCs w:val="21"/>
              </w:rPr>
            </w:pPr>
            <w:r>
              <w:rPr>
                <w:rFonts w:eastAsia="仿宋_GB2312"/>
                <w:kern w:val="0"/>
                <w:szCs w:val="21"/>
              </w:rPr>
              <w:t>非甲烷总烃</w:t>
            </w:r>
          </w:p>
        </w:tc>
        <w:tc>
          <w:tcPr>
            <w:tcW w:w="1889" w:type="pct"/>
            <w:tcMar>
              <w:top w:w="15" w:type="dxa"/>
              <w:left w:w="15" w:type="dxa"/>
              <w:bottom w:w="0" w:type="dxa"/>
              <w:right w:w="15" w:type="dxa"/>
            </w:tcMar>
            <w:vAlign w:val="center"/>
          </w:tcPr>
          <w:p w14:paraId="0255AEDF">
            <w:pPr>
              <w:widowControl/>
              <w:snapToGrid w:val="0"/>
              <w:spacing w:line="280" w:lineRule="exact"/>
              <w:jc w:val="center"/>
              <w:rPr>
                <w:rFonts w:hint="default" w:eastAsia="仿宋_GB2312"/>
                <w:kern w:val="0"/>
                <w:szCs w:val="21"/>
                <w:lang w:val="en-US" w:eastAsia="zh-CN"/>
              </w:rPr>
            </w:pPr>
            <w:r>
              <w:rPr>
                <w:rFonts w:hint="eastAsia" w:eastAsia="仿宋_GB2312"/>
                <w:kern w:val="0"/>
                <w:szCs w:val="21"/>
                <w:lang w:val="en-US" w:eastAsia="zh-CN"/>
              </w:rPr>
              <w:t>2.0863</w:t>
            </w:r>
          </w:p>
        </w:tc>
      </w:tr>
      <w:tr w14:paraId="459B6B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1462" w:type="pct"/>
            <w:vMerge w:val="continue"/>
            <w:tcMar>
              <w:top w:w="15" w:type="dxa"/>
              <w:left w:w="15" w:type="dxa"/>
              <w:bottom w:w="0" w:type="dxa"/>
              <w:right w:w="15" w:type="dxa"/>
            </w:tcMar>
            <w:vAlign w:val="center"/>
          </w:tcPr>
          <w:p w14:paraId="3BDC536A">
            <w:pPr>
              <w:widowControl/>
              <w:snapToGrid w:val="0"/>
              <w:spacing w:line="280" w:lineRule="exact"/>
              <w:jc w:val="center"/>
              <w:rPr>
                <w:rFonts w:eastAsia="仿宋_GB2312"/>
                <w:kern w:val="0"/>
                <w:szCs w:val="21"/>
              </w:rPr>
            </w:pPr>
          </w:p>
        </w:tc>
        <w:tc>
          <w:tcPr>
            <w:tcW w:w="1648" w:type="pct"/>
            <w:tcMar>
              <w:top w:w="15" w:type="dxa"/>
              <w:left w:w="15" w:type="dxa"/>
              <w:bottom w:w="0" w:type="dxa"/>
              <w:right w:w="15" w:type="dxa"/>
            </w:tcMar>
            <w:vAlign w:val="center"/>
          </w:tcPr>
          <w:p w14:paraId="0E78D0FE">
            <w:pPr>
              <w:widowControl/>
              <w:snapToGrid w:val="0"/>
              <w:spacing w:line="280" w:lineRule="exact"/>
              <w:jc w:val="center"/>
              <w:rPr>
                <w:rFonts w:eastAsia="仿宋_GB2312"/>
                <w:kern w:val="0"/>
                <w:szCs w:val="21"/>
              </w:rPr>
            </w:pPr>
            <w:r>
              <w:rPr>
                <w:rFonts w:eastAsia="仿宋_GB2312"/>
                <w:kern w:val="0"/>
                <w:szCs w:val="21"/>
              </w:rPr>
              <w:t>VOCs</w:t>
            </w:r>
          </w:p>
        </w:tc>
        <w:tc>
          <w:tcPr>
            <w:tcW w:w="1889" w:type="pct"/>
            <w:tcMar>
              <w:top w:w="15" w:type="dxa"/>
              <w:left w:w="15" w:type="dxa"/>
              <w:bottom w:w="0" w:type="dxa"/>
              <w:right w:w="15" w:type="dxa"/>
            </w:tcMar>
            <w:vAlign w:val="center"/>
          </w:tcPr>
          <w:p w14:paraId="4BF65EB0">
            <w:pPr>
              <w:widowControl/>
              <w:snapToGrid w:val="0"/>
              <w:spacing w:line="280" w:lineRule="exact"/>
              <w:jc w:val="center"/>
              <w:rPr>
                <w:rFonts w:hint="default" w:eastAsia="仿宋_GB2312"/>
                <w:kern w:val="0"/>
                <w:szCs w:val="21"/>
                <w:lang w:val="en-US" w:eastAsia="zh-CN"/>
              </w:rPr>
            </w:pPr>
            <w:r>
              <w:rPr>
                <w:rFonts w:hint="eastAsia" w:eastAsia="仿宋_GB2312"/>
                <w:kern w:val="0"/>
                <w:szCs w:val="21"/>
                <w:lang w:val="en-US" w:eastAsia="zh-CN"/>
              </w:rPr>
              <w:t>3.5526</w:t>
            </w:r>
          </w:p>
        </w:tc>
      </w:tr>
      <w:tr w14:paraId="0CC065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1462" w:type="pct"/>
            <w:vMerge w:val="restart"/>
            <w:tcMar>
              <w:top w:w="15" w:type="dxa"/>
              <w:left w:w="15" w:type="dxa"/>
              <w:bottom w:w="0" w:type="dxa"/>
              <w:right w:w="15" w:type="dxa"/>
            </w:tcMar>
            <w:vAlign w:val="center"/>
          </w:tcPr>
          <w:p w14:paraId="767972A8">
            <w:pPr>
              <w:widowControl/>
              <w:snapToGrid w:val="0"/>
              <w:spacing w:line="280" w:lineRule="exact"/>
              <w:jc w:val="center"/>
              <w:rPr>
                <w:rFonts w:eastAsia="仿宋_GB2312"/>
                <w:kern w:val="0"/>
                <w:szCs w:val="21"/>
              </w:rPr>
            </w:pPr>
            <w:r>
              <w:rPr>
                <w:rFonts w:eastAsia="仿宋_GB2312"/>
                <w:kern w:val="0"/>
                <w:szCs w:val="21"/>
              </w:rPr>
              <w:t>无组织废气</w:t>
            </w:r>
          </w:p>
        </w:tc>
        <w:tc>
          <w:tcPr>
            <w:tcW w:w="1648" w:type="pct"/>
            <w:tcMar>
              <w:top w:w="15" w:type="dxa"/>
              <w:left w:w="15" w:type="dxa"/>
              <w:bottom w:w="0" w:type="dxa"/>
              <w:right w:w="15" w:type="dxa"/>
            </w:tcMar>
            <w:vAlign w:val="center"/>
          </w:tcPr>
          <w:p w14:paraId="2C309BF5">
            <w:pPr>
              <w:widowControl/>
              <w:snapToGrid w:val="0"/>
              <w:spacing w:line="280" w:lineRule="exact"/>
              <w:jc w:val="center"/>
              <w:rPr>
                <w:rFonts w:eastAsia="仿宋_GB2312"/>
                <w:kern w:val="0"/>
                <w:szCs w:val="21"/>
              </w:rPr>
            </w:pPr>
            <w:r>
              <w:rPr>
                <w:rFonts w:eastAsia="仿宋_GB2312"/>
                <w:kern w:val="0"/>
                <w:szCs w:val="21"/>
              </w:rPr>
              <w:t>颗粒物（烟粉尘）</w:t>
            </w:r>
          </w:p>
        </w:tc>
        <w:tc>
          <w:tcPr>
            <w:tcW w:w="1889" w:type="pct"/>
            <w:tcMar>
              <w:top w:w="15" w:type="dxa"/>
              <w:left w:w="15" w:type="dxa"/>
              <w:bottom w:w="0" w:type="dxa"/>
              <w:right w:w="15" w:type="dxa"/>
            </w:tcMar>
            <w:vAlign w:val="center"/>
          </w:tcPr>
          <w:p w14:paraId="5FDBC278">
            <w:pPr>
              <w:widowControl/>
              <w:snapToGrid w:val="0"/>
              <w:spacing w:line="280" w:lineRule="exact"/>
              <w:jc w:val="center"/>
              <w:rPr>
                <w:rFonts w:eastAsia="仿宋_GB2312"/>
                <w:kern w:val="0"/>
                <w:szCs w:val="21"/>
              </w:rPr>
            </w:pPr>
            <w:r>
              <w:rPr>
                <w:rFonts w:eastAsia="仿宋_GB2312"/>
                <w:kern w:val="0"/>
                <w:szCs w:val="21"/>
              </w:rPr>
              <w:t>0.06</w:t>
            </w:r>
          </w:p>
        </w:tc>
      </w:tr>
      <w:tr w14:paraId="34865C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1462" w:type="pct"/>
            <w:vMerge w:val="continue"/>
            <w:tcMar>
              <w:top w:w="15" w:type="dxa"/>
              <w:left w:w="15" w:type="dxa"/>
              <w:bottom w:w="0" w:type="dxa"/>
              <w:right w:w="15" w:type="dxa"/>
            </w:tcMar>
            <w:vAlign w:val="center"/>
          </w:tcPr>
          <w:p w14:paraId="4C0FA054">
            <w:pPr>
              <w:widowControl/>
              <w:snapToGrid w:val="0"/>
              <w:spacing w:line="280" w:lineRule="exact"/>
              <w:jc w:val="center"/>
              <w:rPr>
                <w:rFonts w:eastAsia="仿宋_GB2312"/>
                <w:kern w:val="0"/>
                <w:szCs w:val="21"/>
              </w:rPr>
            </w:pPr>
          </w:p>
        </w:tc>
        <w:tc>
          <w:tcPr>
            <w:tcW w:w="1648" w:type="pct"/>
            <w:tcMar>
              <w:top w:w="15" w:type="dxa"/>
              <w:left w:w="15" w:type="dxa"/>
              <w:bottom w:w="0" w:type="dxa"/>
              <w:right w:w="15" w:type="dxa"/>
            </w:tcMar>
            <w:vAlign w:val="center"/>
          </w:tcPr>
          <w:p w14:paraId="0E868B56">
            <w:pPr>
              <w:widowControl/>
              <w:snapToGrid w:val="0"/>
              <w:spacing w:line="280" w:lineRule="exact"/>
              <w:jc w:val="center"/>
              <w:rPr>
                <w:rFonts w:eastAsia="仿宋_GB2312"/>
                <w:kern w:val="0"/>
                <w:szCs w:val="21"/>
              </w:rPr>
            </w:pPr>
            <w:r>
              <w:rPr>
                <w:rFonts w:eastAsia="仿宋_GB2312"/>
                <w:kern w:val="0"/>
                <w:szCs w:val="21"/>
              </w:rPr>
              <w:t>HCl</w:t>
            </w:r>
          </w:p>
        </w:tc>
        <w:tc>
          <w:tcPr>
            <w:tcW w:w="1889" w:type="pct"/>
            <w:tcMar>
              <w:top w:w="15" w:type="dxa"/>
              <w:left w:w="15" w:type="dxa"/>
              <w:bottom w:w="0" w:type="dxa"/>
              <w:right w:w="15" w:type="dxa"/>
            </w:tcMar>
            <w:vAlign w:val="center"/>
          </w:tcPr>
          <w:p w14:paraId="5A9C2D65">
            <w:pPr>
              <w:widowControl/>
              <w:snapToGrid w:val="0"/>
              <w:spacing w:line="280" w:lineRule="exact"/>
              <w:jc w:val="center"/>
              <w:rPr>
                <w:rFonts w:eastAsia="仿宋_GB2312"/>
                <w:kern w:val="0"/>
                <w:szCs w:val="21"/>
              </w:rPr>
            </w:pPr>
            <w:r>
              <w:rPr>
                <w:rFonts w:eastAsia="仿宋_GB2312"/>
                <w:kern w:val="0"/>
                <w:szCs w:val="21"/>
              </w:rPr>
              <w:t>0.2</w:t>
            </w:r>
          </w:p>
        </w:tc>
      </w:tr>
      <w:tr w14:paraId="3919C6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1462" w:type="pct"/>
            <w:vMerge w:val="continue"/>
            <w:tcMar>
              <w:top w:w="15" w:type="dxa"/>
              <w:left w:w="15" w:type="dxa"/>
              <w:bottom w:w="0" w:type="dxa"/>
              <w:right w:w="15" w:type="dxa"/>
            </w:tcMar>
            <w:vAlign w:val="center"/>
          </w:tcPr>
          <w:p w14:paraId="219D27CB">
            <w:pPr>
              <w:widowControl/>
              <w:snapToGrid w:val="0"/>
              <w:spacing w:line="280" w:lineRule="exact"/>
              <w:jc w:val="center"/>
              <w:rPr>
                <w:rFonts w:eastAsia="仿宋_GB2312"/>
                <w:kern w:val="0"/>
                <w:szCs w:val="21"/>
              </w:rPr>
            </w:pPr>
          </w:p>
        </w:tc>
        <w:tc>
          <w:tcPr>
            <w:tcW w:w="1648" w:type="pct"/>
            <w:tcMar>
              <w:top w:w="15" w:type="dxa"/>
              <w:left w:w="15" w:type="dxa"/>
              <w:bottom w:w="0" w:type="dxa"/>
              <w:right w:w="15" w:type="dxa"/>
            </w:tcMar>
            <w:vAlign w:val="center"/>
          </w:tcPr>
          <w:p w14:paraId="250C6845">
            <w:pPr>
              <w:widowControl/>
              <w:snapToGrid w:val="0"/>
              <w:spacing w:line="280" w:lineRule="exact"/>
              <w:jc w:val="center"/>
              <w:rPr>
                <w:rFonts w:eastAsia="仿宋_GB2312"/>
                <w:kern w:val="0"/>
                <w:szCs w:val="21"/>
              </w:rPr>
            </w:pPr>
            <w:r>
              <w:rPr>
                <w:rFonts w:eastAsia="仿宋_GB2312"/>
                <w:kern w:val="0"/>
                <w:szCs w:val="21"/>
              </w:rPr>
              <w:t>硝酸雾</w:t>
            </w:r>
          </w:p>
        </w:tc>
        <w:tc>
          <w:tcPr>
            <w:tcW w:w="1889" w:type="pct"/>
            <w:tcMar>
              <w:top w:w="15" w:type="dxa"/>
              <w:left w:w="15" w:type="dxa"/>
              <w:bottom w:w="0" w:type="dxa"/>
              <w:right w:w="15" w:type="dxa"/>
            </w:tcMar>
            <w:vAlign w:val="center"/>
          </w:tcPr>
          <w:p w14:paraId="6808EA84">
            <w:pPr>
              <w:widowControl/>
              <w:snapToGrid w:val="0"/>
              <w:spacing w:line="280" w:lineRule="exact"/>
              <w:jc w:val="center"/>
              <w:rPr>
                <w:rFonts w:eastAsia="仿宋_GB2312"/>
                <w:kern w:val="0"/>
                <w:szCs w:val="21"/>
              </w:rPr>
            </w:pPr>
            <w:r>
              <w:rPr>
                <w:rFonts w:eastAsia="仿宋_GB2312"/>
                <w:kern w:val="0"/>
                <w:szCs w:val="21"/>
              </w:rPr>
              <w:t>0.63</w:t>
            </w:r>
          </w:p>
        </w:tc>
      </w:tr>
      <w:tr w14:paraId="0D7295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1462" w:type="pct"/>
            <w:vMerge w:val="continue"/>
            <w:tcMar>
              <w:top w:w="15" w:type="dxa"/>
              <w:left w:w="15" w:type="dxa"/>
              <w:bottom w:w="0" w:type="dxa"/>
              <w:right w:w="15" w:type="dxa"/>
            </w:tcMar>
            <w:vAlign w:val="center"/>
          </w:tcPr>
          <w:p w14:paraId="2CEBD806">
            <w:pPr>
              <w:widowControl/>
              <w:snapToGrid w:val="0"/>
              <w:spacing w:line="280" w:lineRule="exact"/>
              <w:jc w:val="center"/>
              <w:rPr>
                <w:rFonts w:eastAsia="仿宋_GB2312"/>
                <w:kern w:val="0"/>
                <w:szCs w:val="21"/>
              </w:rPr>
            </w:pPr>
          </w:p>
        </w:tc>
        <w:tc>
          <w:tcPr>
            <w:tcW w:w="1648" w:type="pct"/>
            <w:tcMar>
              <w:top w:w="15" w:type="dxa"/>
              <w:left w:w="15" w:type="dxa"/>
              <w:bottom w:w="0" w:type="dxa"/>
              <w:right w:w="15" w:type="dxa"/>
            </w:tcMar>
            <w:vAlign w:val="center"/>
          </w:tcPr>
          <w:p w14:paraId="6ECB3133">
            <w:pPr>
              <w:widowControl/>
              <w:snapToGrid w:val="0"/>
              <w:spacing w:line="280" w:lineRule="exact"/>
              <w:jc w:val="center"/>
              <w:rPr>
                <w:rFonts w:eastAsia="仿宋_GB2312"/>
                <w:kern w:val="0"/>
                <w:szCs w:val="21"/>
              </w:rPr>
            </w:pPr>
            <w:r>
              <w:rPr>
                <w:rFonts w:eastAsia="仿宋_GB2312"/>
                <w:kern w:val="0"/>
                <w:szCs w:val="21"/>
              </w:rPr>
              <w:t>氰化氢</w:t>
            </w:r>
          </w:p>
        </w:tc>
        <w:tc>
          <w:tcPr>
            <w:tcW w:w="1889" w:type="pct"/>
            <w:tcMar>
              <w:top w:w="15" w:type="dxa"/>
              <w:left w:w="15" w:type="dxa"/>
              <w:bottom w:w="0" w:type="dxa"/>
              <w:right w:w="15" w:type="dxa"/>
            </w:tcMar>
            <w:vAlign w:val="center"/>
          </w:tcPr>
          <w:p w14:paraId="042B5543">
            <w:pPr>
              <w:widowControl/>
              <w:snapToGrid w:val="0"/>
              <w:spacing w:line="280" w:lineRule="exact"/>
              <w:jc w:val="center"/>
              <w:rPr>
                <w:rFonts w:eastAsia="仿宋_GB2312"/>
                <w:kern w:val="0"/>
                <w:szCs w:val="21"/>
              </w:rPr>
            </w:pPr>
            <w:r>
              <w:rPr>
                <w:rFonts w:eastAsia="仿宋_GB2312"/>
                <w:kern w:val="0"/>
                <w:szCs w:val="21"/>
              </w:rPr>
              <w:t>0.05</w:t>
            </w:r>
          </w:p>
        </w:tc>
      </w:tr>
      <w:tr w14:paraId="780BF9E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1462" w:type="pct"/>
            <w:vMerge w:val="continue"/>
            <w:tcMar>
              <w:top w:w="15" w:type="dxa"/>
              <w:left w:w="15" w:type="dxa"/>
              <w:bottom w:w="0" w:type="dxa"/>
              <w:right w:w="15" w:type="dxa"/>
            </w:tcMar>
            <w:vAlign w:val="center"/>
          </w:tcPr>
          <w:p w14:paraId="7FEA991D">
            <w:pPr>
              <w:widowControl/>
              <w:snapToGrid w:val="0"/>
              <w:spacing w:line="280" w:lineRule="exact"/>
              <w:jc w:val="center"/>
              <w:rPr>
                <w:rFonts w:eastAsia="仿宋_GB2312"/>
                <w:kern w:val="0"/>
                <w:szCs w:val="21"/>
              </w:rPr>
            </w:pPr>
          </w:p>
        </w:tc>
        <w:tc>
          <w:tcPr>
            <w:tcW w:w="1648" w:type="pct"/>
            <w:tcMar>
              <w:top w:w="15" w:type="dxa"/>
              <w:left w:w="15" w:type="dxa"/>
              <w:bottom w:w="0" w:type="dxa"/>
              <w:right w:w="15" w:type="dxa"/>
            </w:tcMar>
            <w:vAlign w:val="center"/>
          </w:tcPr>
          <w:p w14:paraId="6600E917">
            <w:pPr>
              <w:widowControl/>
              <w:snapToGrid w:val="0"/>
              <w:spacing w:line="280" w:lineRule="exact"/>
              <w:jc w:val="center"/>
              <w:rPr>
                <w:rFonts w:eastAsia="仿宋_GB2312"/>
                <w:kern w:val="0"/>
                <w:szCs w:val="21"/>
              </w:rPr>
            </w:pPr>
            <w:r>
              <w:rPr>
                <w:rFonts w:eastAsia="仿宋_GB2312"/>
                <w:kern w:val="0"/>
                <w:szCs w:val="21"/>
              </w:rPr>
              <w:t>铬酸雾</w:t>
            </w:r>
          </w:p>
        </w:tc>
        <w:tc>
          <w:tcPr>
            <w:tcW w:w="1889" w:type="pct"/>
            <w:tcMar>
              <w:top w:w="15" w:type="dxa"/>
              <w:left w:w="15" w:type="dxa"/>
              <w:bottom w:w="0" w:type="dxa"/>
              <w:right w:w="15" w:type="dxa"/>
            </w:tcMar>
            <w:vAlign w:val="center"/>
          </w:tcPr>
          <w:p w14:paraId="4BFB056D">
            <w:pPr>
              <w:widowControl/>
              <w:snapToGrid w:val="0"/>
              <w:spacing w:line="280" w:lineRule="exact"/>
              <w:jc w:val="center"/>
              <w:rPr>
                <w:rFonts w:eastAsia="仿宋_GB2312"/>
                <w:kern w:val="0"/>
                <w:szCs w:val="21"/>
              </w:rPr>
            </w:pPr>
            <w:r>
              <w:rPr>
                <w:rFonts w:eastAsia="仿宋_GB2312"/>
                <w:kern w:val="0"/>
                <w:szCs w:val="21"/>
              </w:rPr>
              <w:t>0.0034</w:t>
            </w:r>
          </w:p>
        </w:tc>
      </w:tr>
      <w:tr w14:paraId="69EDD2D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1462" w:type="pct"/>
            <w:vMerge w:val="continue"/>
            <w:tcMar>
              <w:top w:w="15" w:type="dxa"/>
              <w:left w:w="15" w:type="dxa"/>
              <w:bottom w:w="0" w:type="dxa"/>
              <w:right w:w="15" w:type="dxa"/>
            </w:tcMar>
            <w:vAlign w:val="center"/>
          </w:tcPr>
          <w:p w14:paraId="7E7F859B">
            <w:pPr>
              <w:widowControl/>
              <w:snapToGrid w:val="0"/>
              <w:spacing w:line="280" w:lineRule="exact"/>
              <w:jc w:val="center"/>
              <w:rPr>
                <w:rFonts w:eastAsia="仿宋_GB2312"/>
                <w:kern w:val="0"/>
                <w:szCs w:val="21"/>
              </w:rPr>
            </w:pPr>
          </w:p>
        </w:tc>
        <w:tc>
          <w:tcPr>
            <w:tcW w:w="1648" w:type="pct"/>
            <w:tcMar>
              <w:top w:w="15" w:type="dxa"/>
              <w:left w:w="15" w:type="dxa"/>
              <w:bottom w:w="0" w:type="dxa"/>
              <w:right w:w="15" w:type="dxa"/>
            </w:tcMar>
            <w:vAlign w:val="center"/>
          </w:tcPr>
          <w:p w14:paraId="7D359865">
            <w:pPr>
              <w:widowControl/>
              <w:snapToGrid w:val="0"/>
              <w:spacing w:line="280" w:lineRule="exact"/>
              <w:jc w:val="center"/>
              <w:rPr>
                <w:rFonts w:eastAsia="仿宋_GB2312"/>
                <w:kern w:val="0"/>
                <w:szCs w:val="21"/>
              </w:rPr>
            </w:pPr>
            <w:r>
              <w:rPr>
                <w:rFonts w:eastAsia="仿宋_GB2312"/>
                <w:kern w:val="0"/>
                <w:szCs w:val="21"/>
              </w:rPr>
              <w:t>甲醛</w:t>
            </w:r>
          </w:p>
        </w:tc>
        <w:tc>
          <w:tcPr>
            <w:tcW w:w="1889" w:type="pct"/>
            <w:tcMar>
              <w:top w:w="15" w:type="dxa"/>
              <w:left w:w="15" w:type="dxa"/>
              <w:bottom w:w="0" w:type="dxa"/>
              <w:right w:w="15" w:type="dxa"/>
            </w:tcMar>
            <w:vAlign w:val="center"/>
          </w:tcPr>
          <w:p w14:paraId="0C245C19">
            <w:pPr>
              <w:widowControl/>
              <w:snapToGrid w:val="0"/>
              <w:spacing w:line="280" w:lineRule="exact"/>
              <w:jc w:val="center"/>
              <w:rPr>
                <w:rFonts w:eastAsia="仿宋_GB2312"/>
                <w:kern w:val="0"/>
                <w:szCs w:val="21"/>
              </w:rPr>
            </w:pPr>
            <w:r>
              <w:rPr>
                <w:rFonts w:eastAsia="仿宋_GB2312"/>
                <w:kern w:val="0"/>
                <w:szCs w:val="21"/>
              </w:rPr>
              <w:t>0.02</w:t>
            </w:r>
          </w:p>
        </w:tc>
      </w:tr>
      <w:tr w14:paraId="476F4C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1462" w:type="pct"/>
            <w:vMerge w:val="continue"/>
            <w:tcMar>
              <w:top w:w="15" w:type="dxa"/>
              <w:left w:w="15" w:type="dxa"/>
              <w:bottom w:w="0" w:type="dxa"/>
              <w:right w:w="15" w:type="dxa"/>
            </w:tcMar>
            <w:vAlign w:val="center"/>
          </w:tcPr>
          <w:p w14:paraId="63BF79CB">
            <w:pPr>
              <w:widowControl/>
              <w:snapToGrid w:val="0"/>
              <w:spacing w:line="280" w:lineRule="exact"/>
              <w:jc w:val="center"/>
              <w:rPr>
                <w:rFonts w:eastAsia="仿宋_GB2312"/>
                <w:kern w:val="0"/>
                <w:szCs w:val="21"/>
              </w:rPr>
            </w:pPr>
          </w:p>
        </w:tc>
        <w:tc>
          <w:tcPr>
            <w:tcW w:w="1648" w:type="pct"/>
            <w:tcMar>
              <w:top w:w="15" w:type="dxa"/>
              <w:left w:w="15" w:type="dxa"/>
              <w:bottom w:w="0" w:type="dxa"/>
              <w:right w:w="15" w:type="dxa"/>
            </w:tcMar>
            <w:vAlign w:val="center"/>
          </w:tcPr>
          <w:p w14:paraId="43B05735">
            <w:pPr>
              <w:widowControl/>
              <w:snapToGrid w:val="0"/>
              <w:spacing w:line="280" w:lineRule="exact"/>
              <w:jc w:val="center"/>
              <w:rPr>
                <w:rFonts w:eastAsia="仿宋_GB2312"/>
                <w:kern w:val="0"/>
                <w:szCs w:val="21"/>
              </w:rPr>
            </w:pPr>
            <w:r>
              <w:rPr>
                <w:rFonts w:eastAsia="仿宋_GB2312"/>
                <w:kern w:val="0"/>
                <w:szCs w:val="21"/>
              </w:rPr>
              <w:t>异丙醇</w:t>
            </w:r>
          </w:p>
        </w:tc>
        <w:tc>
          <w:tcPr>
            <w:tcW w:w="1889" w:type="pct"/>
            <w:tcMar>
              <w:top w:w="15" w:type="dxa"/>
              <w:left w:w="15" w:type="dxa"/>
              <w:bottom w:w="0" w:type="dxa"/>
              <w:right w:w="15" w:type="dxa"/>
            </w:tcMar>
            <w:vAlign w:val="center"/>
          </w:tcPr>
          <w:p w14:paraId="5F0E6CC3">
            <w:pPr>
              <w:widowControl/>
              <w:snapToGrid w:val="0"/>
              <w:spacing w:line="280" w:lineRule="exact"/>
              <w:jc w:val="center"/>
              <w:rPr>
                <w:rFonts w:eastAsia="仿宋_GB2312"/>
                <w:kern w:val="0"/>
                <w:szCs w:val="21"/>
              </w:rPr>
            </w:pPr>
            <w:r>
              <w:rPr>
                <w:rFonts w:eastAsia="仿宋_GB2312"/>
                <w:kern w:val="0"/>
                <w:szCs w:val="21"/>
              </w:rPr>
              <w:t>1</w:t>
            </w:r>
          </w:p>
        </w:tc>
      </w:tr>
      <w:tr w14:paraId="18875B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1462" w:type="pct"/>
            <w:vMerge w:val="continue"/>
            <w:tcMar>
              <w:top w:w="15" w:type="dxa"/>
              <w:left w:w="15" w:type="dxa"/>
              <w:bottom w:w="0" w:type="dxa"/>
              <w:right w:w="15" w:type="dxa"/>
            </w:tcMar>
            <w:vAlign w:val="center"/>
          </w:tcPr>
          <w:p w14:paraId="13E53DFD">
            <w:pPr>
              <w:widowControl/>
              <w:snapToGrid w:val="0"/>
              <w:spacing w:line="280" w:lineRule="exact"/>
              <w:jc w:val="center"/>
              <w:rPr>
                <w:rFonts w:eastAsia="仿宋_GB2312"/>
                <w:kern w:val="0"/>
                <w:szCs w:val="21"/>
              </w:rPr>
            </w:pPr>
          </w:p>
        </w:tc>
        <w:tc>
          <w:tcPr>
            <w:tcW w:w="1648" w:type="pct"/>
            <w:tcMar>
              <w:top w:w="15" w:type="dxa"/>
              <w:left w:w="15" w:type="dxa"/>
              <w:bottom w:w="0" w:type="dxa"/>
              <w:right w:w="15" w:type="dxa"/>
            </w:tcMar>
            <w:vAlign w:val="center"/>
          </w:tcPr>
          <w:p w14:paraId="5C87DC1D">
            <w:pPr>
              <w:widowControl/>
              <w:snapToGrid w:val="0"/>
              <w:spacing w:line="280" w:lineRule="exact"/>
              <w:jc w:val="center"/>
              <w:rPr>
                <w:rFonts w:eastAsia="仿宋_GB2312"/>
                <w:kern w:val="0"/>
                <w:szCs w:val="21"/>
              </w:rPr>
            </w:pPr>
            <w:r>
              <w:rPr>
                <w:rFonts w:eastAsia="仿宋_GB2312"/>
                <w:kern w:val="0"/>
                <w:szCs w:val="21"/>
              </w:rPr>
              <w:t>乙二醇</w:t>
            </w:r>
          </w:p>
        </w:tc>
        <w:tc>
          <w:tcPr>
            <w:tcW w:w="1889" w:type="pct"/>
            <w:tcMar>
              <w:top w:w="15" w:type="dxa"/>
              <w:left w:w="15" w:type="dxa"/>
              <w:bottom w:w="0" w:type="dxa"/>
              <w:right w:w="15" w:type="dxa"/>
            </w:tcMar>
            <w:vAlign w:val="center"/>
          </w:tcPr>
          <w:p w14:paraId="63143021">
            <w:pPr>
              <w:widowControl/>
              <w:snapToGrid w:val="0"/>
              <w:spacing w:line="280" w:lineRule="exact"/>
              <w:jc w:val="center"/>
              <w:rPr>
                <w:rFonts w:eastAsia="仿宋_GB2312"/>
                <w:kern w:val="0"/>
                <w:szCs w:val="21"/>
              </w:rPr>
            </w:pPr>
            <w:r>
              <w:rPr>
                <w:rFonts w:eastAsia="仿宋_GB2312"/>
                <w:kern w:val="0"/>
                <w:szCs w:val="21"/>
              </w:rPr>
              <w:t>0.00249</w:t>
            </w:r>
          </w:p>
        </w:tc>
      </w:tr>
      <w:tr w14:paraId="693684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1462" w:type="pct"/>
            <w:vMerge w:val="continue"/>
            <w:tcMar>
              <w:top w:w="15" w:type="dxa"/>
              <w:left w:w="15" w:type="dxa"/>
              <w:bottom w:w="0" w:type="dxa"/>
              <w:right w:w="15" w:type="dxa"/>
            </w:tcMar>
            <w:vAlign w:val="center"/>
          </w:tcPr>
          <w:p w14:paraId="1BDD4E57">
            <w:pPr>
              <w:widowControl/>
              <w:snapToGrid w:val="0"/>
              <w:spacing w:line="280" w:lineRule="exact"/>
              <w:jc w:val="center"/>
              <w:rPr>
                <w:rFonts w:eastAsia="仿宋_GB2312"/>
                <w:kern w:val="0"/>
                <w:szCs w:val="21"/>
              </w:rPr>
            </w:pPr>
          </w:p>
        </w:tc>
        <w:tc>
          <w:tcPr>
            <w:tcW w:w="1648" w:type="pct"/>
            <w:tcMar>
              <w:top w:w="15" w:type="dxa"/>
              <w:left w:w="15" w:type="dxa"/>
              <w:bottom w:w="0" w:type="dxa"/>
              <w:right w:w="15" w:type="dxa"/>
            </w:tcMar>
            <w:vAlign w:val="center"/>
          </w:tcPr>
          <w:p w14:paraId="14131389">
            <w:pPr>
              <w:widowControl/>
              <w:snapToGrid w:val="0"/>
              <w:spacing w:line="280" w:lineRule="exact"/>
              <w:jc w:val="center"/>
              <w:rPr>
                <w:rFonts w:eastAsia="仿宋_GB2312"/>
                <w:kern w:val="0"/>
                <w:szCs w:val="21"/>
              </w:rPr>
            </w:pPr>
            <w:r>
              <w:rPr>
                <w:rFonts w:eastAsia="仿宋_GB2312"/>
                <w:kern w:val="0"/>
                <w:szCs w:val="21"/>
              </w:rPr>
              <w:t>硫酸雾</w:t>
            </w:r>
          </w:p>
        </w:tc>
        <w:tc>
          <w:tcPr>
            <w:tcW w:w="1889" w:type="pct"/>
            <w:tcMar>
              <w:top w:w="15" w:type="dxa"/>
              <w:left w:w="15" w:type="dxa"/>
              <w:bottom w:w="0" w:type="dxa"/>
              <w:right w:w="15" w:type="dxa"/>
            </w:tcMar>
            <w:vAlign w:val="center"/>
          </w:tcPr>
          <w:p w14:paraId="3AE11D87">
            <w:pPr>
              <w:widowControl/>
              <w:snapToGrid w:val="0"/>
              <w:spacing w:line="280" w:lineRule="exact"/>
              <w:jc w:val="center"/>
              <w:rPr>
                <w:rFonts w:eastAsia="仿宋_GB2312"/>
                <w:kern w:val="0"/>
                <w:szCs w:val="21"/>
              </w:rPr>
            </w:pPr>
            <w:r>
              <w:rPr>
                <w:rFonts w:eastAsia="仿宋_GB2312"/>
                <w:kern w:val="0"/>
                <w:szCs w:val="21"/>
              </w:rPr>
              <w:t>1</w:t>
            </w:r>
          </w:p>
        </w:tc>
      </w:tr>
      <w:tr w14:paraId="299956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1462" w:type="pct"/>
            <w:vMerge w:val="continue"/>
            <w:tcMar>
              <w:top w:w="15" w:type="dxa"/>
              <w:left w:w="15" w:type="dxa"/>
              <w:bottom w:w="0" w:type="dxa"/>
              <w:right w:w="15" w:type="dxa"/>
            </w:tcMar>
            <w:vAlign w:val="center"/>
          </w:tcPr>
          <w:p w14:paraId="6B8DE439">
            <w:pPr>
              <w:widowControl/>
              <w:snapToGrid w:val="0"/>
              <w:spacing w:line="280" w:lineRule="exact"/>
              <w:jc w:val="center"/>
              <w:rPr>
                <w:rFonts w:eastAsia="仿宋_GB2312"/>
                <w:kern w:val="0"/>
                <w:szCs w:val="21"/>
              </w:rPr>
            </w:pPr>
          </w:p>
        </w:tc>
        <w:tc>
          <w:tcPr>
            <w:tcW w:w="1648" w:type="pct"/>
            <w:tcMar>
              <w:top w:w="15" w:type="dxa"/>
              <w:left w:w="15" w:type="dxa"/>
              <w:bottom w:w="0" w:type="dxa"/>
              <w:right w:w="15" w:type="dxa"/>
            </w:tcMar>
            <w:vAlign w:val="center"/>
          </w:tcPr>
          <w:p w14:paraId="3D79620F">
            <w:pPr>
              <w:widowControl/>
              <w:snapToGrid w:val="0"/>
              <w:spacing w:line="280" w:lineRule="exact"/>
              <w:jc w:val="center"/>
              <w:rPr>
                <w:rFonts w:eastAsia="仿宋_GB2312"/>
                <w:kern w:val="0"/>
                <w:szCs w:val="21"/>
              </w:rPr>
            </w:pPr>
            <w:r>
              <w:rPr>
                <w:rFonts w:eastAsia="仿宋_GB2312"/>
                <w:kern w:val="0"/>
                <w:szCs w:val="21"/>
              </w:rPr>
              <w:t>丙二醇</w:t>
            </w:r>
          </w:p>
        </w:tc>
        <w:tc>
          <w:tcPr>
            <w:tcW w:w="1889" w:type="pct"/>
            <w:tcMar>
              <w:top w:w="15" w:type="dxa"/>
              <w:left w:w="15" w:type="dxa"/>
              <w:bottom w:w="0" w:type="dxa"/>
              <w:right w:w="15" w:type="dxa"/>
            </w:tcMar>
            <w:vAlign w:val="center"/>
          </w:tcPr>
          <w:p w14:paraId="74B39CF5">
            <w:pPr>
              <w:widowControl/>
              <w:snapToGrid w:val="0"/>
              <w:spacing w:line="280" w:lineRule="exact"/>
              <w:jc w:val="center"/>
              <w:rPr>
                <w:rFonts w:eastAsia="仿宋_GB2312"/>
                <w:kern w:val="0"/>
                <w:szCs w:val="21"/>
              </w:rPr>
            </w:pPr>
            <w:r>
              <w:rPr>
                <w:rFonts w:eastAsia="仿宋_GB2312"/>
                <w:kern w:val="0"/>
                <w:szCs w:val="21"/>
              </w:rPr>
              <w:t>0.0063</w:t>
            </w:r>
          </w:p>
        </w:tc>
      </w:tr>
      <w:tr w14:paraId="3EAB26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1462" w:type="pct"/>
            <w:vMerge w:val="continue"/>
            <w:tcMar>
              <w:top w:w="15" w:type="dxa"/>
              <w:left w:w="15" w:type="dxa"/>
              <w:bottom w:w="0" w:type="dxa"/>
              <w:right w:w="15" w:type="dxa"/>
            </w:tcMar>
            <w:vAlign w:val="center"/>
          </w:tcPr>
          <w:p w14:paraId="7A88B08E">
            <w:pPr>
              <w:widowControl/>
              <w:snapToGrid w:val="0"/>
              <w:spacing w:line="280" w:lineRule="exact"/>
              <w:jc w:val="center"/>
              <w:rPr>
                <w:rFonts w:eastAsia="仿宋_GB2312"/>
                <w:kern w:val="0"/>
                <w:szCs w:val="21"/>
              </w:rPr>
            </w:pPr>
          </w:p>
        </w:tc>
        <w:tc>
          <w:tcPr>
            <w:tcW w:w="1648" w:type="pct"/>
            <w:tcMar>
              <w:top w:w="15" w:type="dxa"/>
              <w:left w:w="15" w:type="dxa"/>
              <w:bottom w:w="0" w:type="dxa"/>
              <w:right w:w="15" w:type="dxa"/>
            </w:tcMar>
            <w:vAlign w:val="center"/>
          </w:tcPr>
          <w:p w14:paraId="68EA2F9E">
            <w:pPr>
              <w:widowControl/>
              <w:snapToGrid w:val="0"/>
              <w:spacing w:line="280" w:lineRule="exact"/>
              <w:jc w:val="center"/>
              <w:rPr>
                <w:rFonts w:eastAsia="仿宋_GB2312"/>
                <w:kern w:val="0"/>
                <w:szCs w:val="21"/>
              </w:rPr>
            </w:pPr>
            <w:r>
              <w:rPr>
                <w:rFonts w:eastAsia="仿宋_GB2312"/>
                <w:kern w:val="0"/>
                <w:szCs w:val="21"/>
              </w:rPr>
              <w:t>乙酸乙酯</w:t>
            </w:r>
          </w:p>
        </w:tc>
        <w:tc>
          <w:tcPr>
            <w:tcW w:w="1889" w:type="pct"/>
            <w:tcMar>
              <w:top w:w="15" w:type="dxa"/>
              <w:left w:w="15" w:type="dxa"/>
              <w:bottom w:w="0" w:type="dxa"/>
              <w:right w:w="15" w:type="dxa"/>
            </w:tcMar>
            <w:vAlign w:val="center"/>
          </w:tcPr>
          <w:p w14:paraId="7B31C04C">
            <w:pPr>
              <w:widowControl/>
              <w:snapToGrid w:val="0"/>
              <w:spacing w:line="280" w:lineRule="exact"/>
              <w:jc w:val="center"/>
              <w:rPr>
                <w:rFonts w:eastAsia="仿宋_GB2312"/>
                <w:kern w:val="0"/>
                <w:szCs w:val="21"/>
              </w:rPr>
            </w:pPr>
            <w:r>
              <w:rPr>
                <w:rFonts w:eastAsia="仿宋_GB2312"/>
                <w:kern w:val="0"/>
                <w:szCs w:val="21"/>
              </w:rPr>
              <w:t>0.2</w:t>
            </w:r>
          </w:p>
        </w:tc>
      </w:tr>
      <w:tr w14:paraId="5B87F0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1462" w:type="pct"/>
            <w:vMerge w:val="continue"/>
            <w:tcMar>
              <w:top w:w="15" w:type="dxa"/>
              <w:left w:w="15" w:type="dxa"/>
              <w:bottom w:w="0" w:type="dxa"/>
              <w:right w:w="15" w:type="dxa"/>
            </w:tcMar>
            <w:vAlign w:val="center"/>
          </w:tcPr>
          <w:p w14:paraId="46E2D060">
            <w:pPr>
              <w:widowControl/>
              <w:snapToGrid w:val="0"/>
              <w:spacing w:line="280" w:lineRule="exact"/>
              <w:jc w:val="center"/>
              <w:rPr>
                <w:rFonts w:eastAsia="仿宋_GB2312"/>
                <w:kern w:val="0"/>
                <w:szCs w:val="21"/>
              </w:rPr>
            </w:pPr>
          </w:p>
        </w:tc>
        <w:tc>
          <w:tcPr>
            <w:tcW w:w="1648" w:type="pct"/>
            <w:tcMar>
              <w:top w:w="15" w:type="dxa"/>
              <w:left w:w="15" w:type="dxa"/>
              <w:bottom w:w="0" w:type="dxa"/>
              <w:right w:w="15" w:type="dxa"/>
            </w:tcMar>
            <w:vAlign w:val="center"/>
          </w:tcPr>
          <w:p w14:paraId="0660CD8B">
            <w:pPr>
              <w:widowControl/>
              <w:snapToGrid w:val="0"/>
              <w:spacing w:line="280" w:lineRule="exact"/>
              <w:jc w:val="center"/>
              <w:rPr>
                <w:rFonts w:eastAsia="仿宋_GB2312"/>
                <w:kern w:val="0"/>
                <w:szCs w:val="21"/>
              </w:rPr>
            </w:pPr>
            <w:r>
              <w:rPr>
                <w:rFonts w:eastAsia="仿宋_GB2312"/>
                <w:kern w:val="0"/>
                <w:szCs w:val="21"/>
              </w:rPr>
              <w:t>甲苯</w:t>
            </w:r>
          </w:p>
        </w:tc>
        <w:tc>
          <w:tcPr>
            <w:tcW w:w="1889" w:type="pct"/>
            <w:tcMar>
              <w:top w:w="15" w:type="dxa"/>
              <w:left w:w="15" w:type="dxa"/>
              <w:bottom w:w="0" w:type="dxa"/>
              <w:right w:w="15" w:type="dxa"/>
            </w:tcMar>
            <w:vAlign w:val="center"/>
          </w:tcPr>
          <w:p w14:paraId="4AB9F8BB">
            <w:pPr>
              <w:widowControl/>
              <w:snapToGrid w:val="0"/>
              <w:spacing w:line="280" w:lineRule="exact"/>
              <w:jc w:val="center"/>
              <w:rPr>
                <w:rFonts w:eastAsia="仿宋_GB2312"/>
                <w:kern w:val="0"/>
                <w:szCs w:val="21"/>
              </w:rPr>
            </w:pPr>
            <w:r>
              <w:rPr>
                <w:rFonts w:eastAsia="仿宋_GB2312"/>
                <w:kern w:val="0"/>
                <w:szCs w:val="21"/>
              </w:rPr>
              <w:t>0.2</w:t>
            </w:r>
          </w:p>
        </w:tc>
      </w:tr>
      <w:tr w14:paraId="6A92F7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1462" w:type="pct"/>
            <w:vMerge w:val="continue"/>
            <w:tcMar>
              <w:top w:w="15" w:type="dxa"/>
              <w:left w:w="15" w:type="dxa"/>
              <w:bottom w:w="0" w:type="dxa"/>
              <w:right w:w="15" w:type="dxa"/>
            </w:tcMar>
            <w:vAlign w:val="center"/>
          </w:tcPr>
          <w:p w14:paraId="091CA569">
            <w:pPr>
              <w:widowControl/>
              <w:snapToGrid w:val="0"/>
              <w:spacing w:line="280" w:lineRule="exact"/>
              <w:jc w:val="center"/>
              <w:rPr>
                <w:rFonts w:eastAsia="仿宋_GB2312"/>
                <w:kern w:val="0"/>
                <w:szCs w:val="21"/>
              </w:rPr>
            </w:pPr>
          </w:p>
        </w:tc>
        <w:tc>
          <w:tcPr>
            <w:tcW w:w="1648" w:type="pct"/>
            <w:tcMar>
              <w:top w:w="15" w:type="dxa"/>
              <w:left w:w="15" w:type="dxa"/>
              <w:bottom w:w="0" w:type="dxa"/>
              <w:right w:w="15" w:type="dxa"/>
            </w:tcMar>
            <w:vAlign w:val="center"/>
          </w:tcPr>
          <w:p w14:paraId="2B025229">
            <w:pPr>
              <w:widowControl/>
              <w:snapToGrid w:val="0"/>
              <w:spacing w:line="280" w:lineRule="exact"/>
              <w:jc w:val="center"/>
              <w:rPr>
                <w:rFonts w:eastAsia="仿宋_GB2312"/>
                <w:kern w:val="0"/>
                <w:szCs w:val="21"/>
              </w:rPr>
            </w:pPr>
            <w:r>
              <w:rPr>
                <w:rFonts w:eastAsia="仿宋_GB2312"/>
                <w:kern w:val="0"/>
                <w:szCs w:val="21"/>
              </w:rPr>
              <w:t>二甲苯</w:t>
            </w:r>
          </w:p>
        </w:tc>
        <w:tc>
          <w:tcPr>
            <w:tcW w:w="1889" w:type="pct"/>
            <w:tcMar>
              <w:top w:w="15" w:type="dxa"/>
              <w:left w:w="15" w:type="dxa"/>
              <w:bottom w:w="0" w:type="dxa"/>
              <w:right w:w="15" w:type="dxa"/>
            </w:tcMar>
            <w:vAlign w:val="center"/>
          </w:tcPr>
          <w:p w14:paraId="1316BE66">
            <w:pPr>
              <w:widowControl/>
              <w:snapToGrid w:val="0"/>
              <w:spacing w:line="280" w:lineRule="exact"/>
              <w:jc w:val="center"/>
              <w:rPr>
                <w:rFonts w:eastAsia="仿宋_GB2312"/>
                <w:kern w:val="0"/>
                <w:szCs w:val="21"/>
              </w:rPr>
            </w:pPr>
            <w:r>
              <w:rPr>
                <w:rFonts w:eastAsia="仿宋_GB2312"/>
                <w:kern w:val="0"/>
                <w:szCs w:val="21"/>
              </w:rPr>
              <w:t>0.2</w:t>
            </w:r>
          </w:p>
        </w:tc>
      </w:tr>
      <w:tr w14:paraId="6985CA0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1462" w:type="pct"/>
            <w:vMerge w:val="continue"/>
            <w:tcMar>
              <w:top w:w="15" w:type="dxa"/>
              <w:left w:w="15" w:type="dxa"/>
              <w:bottom w:w="0" w:type="dxa"/>
              <w:right w:w="15" w:type="dxa"/>
            </w:tcMar>
            <w:vAlign w:val="center"/>
          </w:tcPr>
          <w:p w14:paraId="2339DF93">
            <w:pPr>
              <w:widowControl/>
              <w:snapToGrid w:val="0"/>
              <w:spacing w:line="280" w:lineRule="exact"/>
              <w:jc w:val="center"/>
              <w:rPr>
                <w:rFonts w:eastAsia="仿宋_GB2312"/>
                <w:kern w:val="0"/>
                <w:szCs w:val="21"/>
              </w:rPr>
            </w:pPr>
          </w:p>
        </w:tc>
        <w:tc>
          <w:tcPr>
            <w:tcW w:w="1648" w:type="pct"/>
            <w:tcMar>
              <w:top w:w="15" w:type="dxa"/>
              <w:left w:w="15" w:type="dxa"/>
              <w:bottom w:w="0" w:type="dxa"/>
              <w:right w:w="15" w:type="dxa"/>
            </w:tcMar>
            <w:vAlign w:val="center"/>
          </w:tcPr>
          <w:p w14:paraId="7E42CB49">
            <w:pPr>
              <w:widowControl/>
              <w:snapToGrid w:val="0"/>
              <w:spacing w:line="280" w:lineRule="exact"/>
              <w:jc w:val="center"/>
              <w:rPr>
                <w:rFonts w:eastAsia="仿宋_GB2312"/>
                <w:kern w:val="0"/>
                <w:szCs w:val="21"/>
              </w:rPr>
            </w:pPr>
            <w:r>
              <w:rPr>
                <w:rFonts w:eastAsia="仿宋_GB2312"/>
                <w:kern w:val="0"/>
                <w:szCs w:val="21"/>
              </w:rPr>
              <w:t>乙酸丁酯</w:t>
            </w:r>
          </w:p>
        </w:tc>
        <w:tc>
          <w:tcPr>
            <w:tcW w:w="1889" w:type="pct"/>
            <w:tcMar>
              <w:top w:w="15" w:type="dxa"/>
              <w:left w:w="15" w:type="dxa"/>
              <w:bottom w:w="0" w:type="dxa"/>
              <w:right w:w="15" w:type="dxa"/>
            </w:tcMar>
            <w:vAlign w:val="center"/>
          </w:tcPr>
          <w:p w14:paraId="637DBB42">
            <w:pPr>
              <w:widowControl/>
              <w:snapToGrid w:val="0"/>
              <w:spacing w:line="280" w:lineRule="exact"/>
              <w:jc w:val="center"/>
              <w:rPr>
                <w:rFonts w:eastAsia="仿宋_GB2312"/>
                <w:kern w:val="0"/>
                <w:szCs w:val="21"/>
              </w:rPr>
            </w:pPr>
            <w:r>
              <w:rPr>
                <w:rFonts w:eastAsia="仿宋_GB2312"/>
                <w:kern w:val="0"/>
                <w:szCs w:val="21"/>
              </w:rPr>
              <w:t>0.2</w:t>
            </w:r>
          </w:p>
        </w:tc>
      </w:tr>
      <w:tr w14:paraId="42A696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1462" w:type="pct"/>
            <w:vMerge w:val="continue"/>
            <w:tcMar>
              <w:top w:w="15" w:type="dxa"/>
              <w:left w:w="15" w:type="dxa"/>
              <w:bottom w:w="0" w:type="dxa"/>
              <w:right w:w="15" w:type="dxa"/>
            </w:tcMar>
            <w:vAlign w:val="center"/>
          </w:tcPr>
          <w:p w14:paraId="4CA4AD29">
            <w:pPr>
              <w:widowControl/>
              <w:snapToGrid w:val="0"/>
              <w:spacing w:line="280" w:lineRule="exact"/>
              <w:jc w:val="center"/>
              <w:rPr>
                <w:rFonts w:eastAsia="仿宋_GB2312"/>
                <w:kern w:val="0"/>
                <w:szCs w:val="21"/>
              </w:rPr>
            </w:pPr>
          </w:p>
        </w:tc>
        <w:tc>
          <w:tcPr>
            <w:tcW w:w="1648" w:type="pct"/>
            <w:tcMar>
              <w:top w:w="15" w:type="dxa"/>
              <w:left w:w="15" w:type="dxa"/>
              <w:bottom w:w="0" w:type="dxa"/>
              <w:right w:w="15" w:type="dxa"/>
            </w:tcMar>
            <w:vAlign w:val="center"/>
          </w:tcPr>
          <w:p w14:paraId="6493DB54">
            <w:pPr>
              <w:widowControl/>
              <w:snapToGrid w:val="0"/>
              <w:spacing w:line="280" w:lineRule="exact"/>
              <w:jc w:val="center"/>
              <w:rPr>
                <w:rFonts w:eastAsia="仿宋_GB2312"/>
                <w:kern w:val="0"/>
                <w:szCs w:val="21"/>
              </w:rPr>
            </w:pPr>
            <w:r>
              <w:rPr>
                <w:rFonts w:eastAsia="仿宋_GB2312"/>
                <w:kern w:val="0"/>
                <w:szCs w:val="21"/>
              </w:rPr>
              <w:t>二甘醇</w:t>
            </w:r>
          </w:p>
        </w:tc>
        <w:tc>
          <w:tcPr>
            <w:tcW w:w="1889" w:type="pct"/>
            <w:tcMar>
              <w:top w:w="15" w:type="dxa"/>
              <w:left w:w="15" w:type="dxa"/>
              <w:bottom w:w="0" w:type="dxa"/>
              <w:right w:w="15" w:type="dxa"/>
            </w:tcMar>
            <w:vAlign w:val="center"/>
          </w:tcPr>
          <w:p w14:paraId="175212C4">
            <w:pPr>
              <w:widowControl/>
              <w:snapToGrid w:val="0"/>
              <w:spacing w:line="280" w:lineRule="exact"/>
              <w:jc w:val="center"/>
              <w:rPr>
                <w:rFonts w:eastAsia="仿宋_GB2312"/>
                <w:kern w:val="0"/>
                <w:szCs w:val="21"/>
              </w:rPr>
            </w:pPr>
            <w:r>
              <w:rPr>
                <w:rFonts w:eastAsia="仿宋_GB2312"/>
                <w:kern w:val="0"/>
                <w:szCs w:val="21"/>
              </w:rPr>
              <w:t>0.00879</w:t>
            </w:r>
          </w:p>
        </w:tc>
      </w:tr>
      <w:tr w14:paraId="161BE12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1462" w:type="pct"/>
            <w:vMerge w:val="continue"/>
            <w:tcMar>
              <w:top w:w="15" w:type="dxa"/>
              <w:left w:w="15" w:type="dxa"/>
              <w:bottom w:w="0" w:type="dxa"/>
              <w:right w:w="15" w:type="dxa"/>
            </w:tcMar>
            <w:vAlign w:val="center"/>
          </w:tcPr>
          <w:p w14:paraId="0BDE5C02">
            <w:pPr>
              <w:widowControl/>
              <w:snapToGrid w:val="0"/>
              <w:spacing w:line="280" w:lineRule="exact"/>
              <w:jc w:val="center"/>
              <w:rPr>
                <w:rFonts w:eastAsia="仿宋_GB2312"/>
                <w:kern w:val="0"/>
                <w:szCs w:val="21"/>
              </w:rPr>
            </w:pPr>
          </w:p>
        </w:tc>
        <w:tc>
          <w:tcPr>
            <w:tcW w:w="1648" w:type="pct"/>
            <w:tcMar>
              <w:top w:w="15" w:type="dxa"/>
              <w:left w:w="15" w:type="dxa"/>
              <w:bottom w:w="0" w:type="dxa"/>
              <w:right w:w="15" w:type="dxa"/>
            </w:tcMar>
            <w:vAlign w:val="center"/>
          </w:tcPr>
          <w:p w14:paraId="6C7C74E4">
            <w:pPr>
              <w:widowControl/>
              <w:snapToGrid w:val="0"/>
              <w:spacing w:line="280" w:lineRule="exact"/>
              <w:jc w:val="center"/>
              <w:rPr>
                <w:rFonts w:eastAsia="仿宋_GB2312"/>
                <w:kern w:val="0"/>
                <w:szCs w:val="21"/>
              </w:rPr>
            </w:pPr>
            <w:r>
              <w:rPr>
                <w:rFonts w:eastAsia="仿宋_GB2312"/>
                <w:kern w:val="0"/>
                <w:szCs w:val="21"/>
              </w:rPr>
              <w:t>非甲烷总烃</w:t>
            </w:r>
          </w:p>
        </w:tc>
        <w:tc>
          <w:tcPr>
            <w:tcW w:w="1889" w:type="pct"/>
            <w:tcMar>
              <w:top w:w="15" w:type="dxa"/>
              <w:left w:w="15" w:type="dxa"/>
              <w:bottom w:w="0" w:type="dxa"/>
              <w:right w:w="15" w:type="dxa"/>
            </w:tcMar>
            <w:vAlign w:val="center"/>
          </w:tcPr>
          <w:p w14:paraId="7D9D498F">
            <w:pPr>
              <w:widowControl/>
              <w:snapToGrid w:val="0"/>
              <w:spacing w:line="280" w:lineRule="exact"/>
              <w:jc w:val="center"/>
              <w:rPr>
                <w:rFonts w:hint="default" w:eastAsia="仿宋_GB2312"/>
                <w:kern w:val="0"/>
                <w:szCs w:val="21"/>
                <w:lang w:val="en-US" w:eastAsia="zh-CN"/>
              </w:rPr>
            </w:pPr>
            <w:r>
              <w:rPr>
                <w:rFonts w:hint="eastAsia" w:eastAsia="仿宋_GB2312"/>
                <w:kern w:val="0"/>
                <w:szCs w:val="21"/>
                <w:lang w:val="en-US" w:eastAsia="zh-CN"/>
              </w:rPr>
              <w:t>1.2118</w:t>
            </w:r>
          </w:p>
        </w:tc>
      </w:tr>
      <w:tr w14:paraId="58DCEA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1462" w:type="pct"/>
            <w:vMerge w:val="continue"/>
            <w:tcMar>
              <w:top w:w="15" w:type="dxa"/>
              <w:left w:w="15" w:type="dxa"/>
              <w:bottom w:w="0" w:type="dxa"/>
              <w:right w:w="15" w:type="dxa"/>
            </w:tcMar>
            <w:vAlign w:val="center"/>
          </w:tcPr>
          <w:p w14:paraId="469A0FF4">
            <w:pPr>
              <w:widowControl/>
              <w:snapToGrid w:val="0"/>
              <w:spacing w:line="280" w:lineRule="exact"/>
              <w:jc w:val="center"/>
              <w:rPr>
                <w:rFonts w:eastAsia="仿宋_GB2312"/>
                <w:kern w:val="0"/>
                <w:szCs w:val="21"/>
              </w:rPr>
            </w:pPr>
          </w:p>
        </w:tc>
        <w:tc>
          <w:tcPr>
            <w:tcW w:w="1648" w:type="pct"/>
            <w:tcMar>
              <w:top w:w="15" w:type="dxa"/>
              <w:left w:w="15" w:type="dxa"/>
              <w:bottom w:w="0" w:type="dxa"/>
              <w:right w:w="15" w:type="dxa"/>
            </w:tcMar>
            <w:vAlign w:val="center"/>
          </w:tcPr>
          <w:p w14:paraId="1F62DB9C">
            <w:pPr>
              <w:widowControl/>
              <w:snapToGrid w:val="0"/>
              <w:spacing w:line="280" w:lineRule="exact"/>
              <w:jc w:val="center"/>
              <w:rPr>
                <w:rFonts w:eastAsia="仿宋_GB2312"/>
                <w:kern w:val="0"/>
                <w:szCs w:val="21"/>
              </w:rPr>
            </w:pPr>
            <w:r>
              <w:rPr>
                <w:rFonts w:eastAsia="仿宋_GB2312"/>
                <w:kern w:val="0"/>
                <w:szCs w:val="21"/>
              </w:rPr>
              <w:t>VOCs</w:t>
            </w:r>
          </w:p>
        </w:tc>
        <w:tc>
          <w:tcPr>
            <w:tcW w:w="1889" w:type="pct"/>
            <w:tcMar>
              <w:top w:w="15" w:type="dxa"/>
              <w:left w:w="15" w:type="dxa"/>
              <w:bottom w:w="0" w:type="dxa"/>
              <w:right w:w="15" w:type="dxa"/>
            </w:tcMar>
            <w:vAlign w:val="center"/>
          </w:tcPr>
          <w:p w14:paraId="2E8FAC97">
            <w:pPr>
              <w:widowControl/>
              <w:snapToGrid w:val="0"/>
              <w:spacing w:line="280" w:lineRule="exact"/>
              <w:jc w:val="center"/>
              <w:rPr>
                <w:rFonts w:hint="default" w:eastAsia="仿宋_GB2312"/>
                <w:kern w:val="0"/>
                <w:szCs w:val="21"/>
                <w:lang w:val="en-US" w:eastAsia="zh-CN"/>
              </w:rPr>
            </w:pPr>
            <w:r>
              <w:rPr>
                <w:rFonts w:hint="eastAsia" w:eastAsia="仿宋_GB2312"/>
                <w:kern w:val="0"/>
                <w:szCs w:val="21"/>
                <w:lang w:val="en-US" w:eastAsia="zh-CN"/>
              </w:rPr>
              <w:t>1.83758</w:t>
            </w:r>
          </w:p>
        </w:tc>
      </w:tr>
      <w:tr w14:paraId="204ED5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1462" w:type="pct"/>
            <w:vMerge w:val="restart"/>
            <w:tcMar>
              <w:top w:w="15" w:type="dxa"/>
              <w:left w:w="15" w:type="dxa"/>
              <w:bottom w:w="0" w:type="dxa"/>
              <w:right w:w="15" w:type="dxa"/>
            </w:tcMar>
            <w:vAlign w:val="center"/>
          </w:tcPr>
          <w:p w14:paraId="2E10D1EF">
            <w:pPr>
              <w:widowControl/>
              <w:snapToGrid w:val="0"/>
              <w:spacing w:line="280" w:lineRule="exact"/>
              <w:jc w:val="center"/>
              <w:rPr>
                <w:rFonts w:eastAsia="仿宋_GB2312"/>
                <w:kern w:val="0"/>
                <w:szCs w:val="21"/>
              </w:rPr>
            </w:pPr>
            <w:r>
              <w:rPr>
                <w:rFonts w:eastAsia="仿宋_GB2312"/>
                <w:kern w:val="0"/>
                <w:szCs w:val="21"/>
              </w:rPr>
              <w:t>接管废水</w:t>
            </w:r>
          </w:p>
        </w:tc>
        <w:tc>
          <w:tcPr>
            <w:tcW w:w="1648" w:type="pct"/>
            <w:tcMar>
              <w:top w:w="15" w:type="dxa"/>
              <w:left w:w="15" w:type="dxa"/>
              <w:bottom w:w="0" w:type="dxa"/>
              <w:right w:w="15" w:type="dxa"/>
            </w:tcMar>
            <w:vAlign w:val="center"/>
          </w:tcPr>
          <w:p w14:paraId="565294E4">
            <w:pPr>
              <w:widowControl/>
              <w:snapToGrid w:val="0"/>
              <w:spacing w:line="280" w:lineRule="exact"/>
              <w:jc w:val="center"/>
              <w:rPr>
                <w:rFonts w:eastAsia="仿宋_GB2312"/>
                <w:color w:val="auto"/>
                <w:kern w:val="0"/>
                <w:szCs w:val="21"/>
              </w:rPr>
            </w:pPr>
            <w:r>
              <w:rPr>
                <w:rFonts w:eastAsia="仿宋_GB2312"/>
                <w:color w:val="auto"/>
                <w:kern w:val="0"/>
                <w:szCs w:val="21"/>
              </w:rPr>
              <w:t>废水量</w:t>
            </w:r>
            <w:r>
              <w:rPr>
                <w:rFonts w:hint="eastAsia" w:eastAsia="仿宋_GB2312"/>
                <w:color w:val="auto"/>
                <w:kern w:val="0"/>
                <w:szCs w:val="21"/>
              </w:rPr>
              <w:t>（m</w:t>
            </w:r>
            <w:r>
              <w:rPr>
                <w:rFonts w:hint="eastAsia" w:eastAsia="仿宋_GB2312"/>
                <w:color w:val="auto"/>
                <w:kern w:val="0"/>
                <w:szCs w:val="21"/>
                <w:vertAlign w:val="superscript"/>
              </w:rPr>
              <w:t>3</w:t>
            </w:r>
            <w:r>
              <w:rPr>
                <w:rFonts w:hint="eastAsia" w:eastAsia="仿宋_GB2312"/>
                <w:color w:val="auto"/>
                <w:kern w:val="0"/>
                <w:szCs w:val="21"/>
              </w:rPr>
              <w:t>/a）</w:t>
            </w:r>
          </w:p>
        </w:tc>
        <w:tc>
          <w:tcPr>
            <w:tcW w:w="1889" w:type="pct"/>
            <w:tcMar>
              <w:top w:w="15" w:type="dxa"/>
              <w:left w:w="15" w:type="dxa"/>
              <w:bottom w:w="0" w:type="dxa"/>
              <w:right w:w="15" w:type="dxa"/>
            </w:tcMar>
            <w:vAlign w:val="center"/>
          </w:tcPr>
          <w:p w14:paraId="3926CB37">
            <w:pPr>
              <w:widowControl/>
              <w:snapToGrid w:val="0"/>
              <w:spacing w:line="280" w:lineRule="exact"/>
              <w:jc w:val="center"/>
              <w:rPr>
                <w:rFonts w:eastAsia="仿宋_GB2312"/>
                <w:color w:val="auto"/>
                <w:kern w:val="0"/>
                <w:szCs w:val="21"/>
              </w:rPr>
            </w:pPr>
            <w:r>
              <w:rPr>
                <w:rFonts w:hint="eastAsia" w:eastAsia="仿宋_GB2312"/>
                <w:color w:val="auto"/>
                <w:kern w:val="0"/>
                <w:szCs w:val="21"/>
                <w:lang w:val="en-US" w:eastAsia="zh-CN"/>
              </w:rPr>
              <w:t>217520</w:t>
            </w:r>
          </w:p>
        </w:tc>
      </w:tr>
      <w:tr w14:paraId="2E7032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1462" w:type="pct"/>
            <w:vMerge w:val="continue"/>
            <w:vAlign w:val="center"/>
          </w:tcPr>
          <w:p w14:paraId="0B5D6A6C">
            <w:pPr>
              <w:widowControl/>
              <w:snapToGrid w:val="0"/>
              <w:spacing w:line="280" w:lineRule="exact"/>
              <w:jc w:val="center"/>
              <w:rPr>
                <w:rFonts w:eastAsia="仿宋_GB2312"/>
                <w:kern w:val="0"/>
                <w:szCs w:val="21"/>
              </w:rPr>
            </w:pPr>
          </w:p>
        </w:tc>
        <w:tc>
          <w:tcPr>
            <w:tcW w:w="1648" w:type="pct"/>
            <w:tcMar>
              <w:top w:w="15" w:type="dxa"/>
              <w:left w:w="15" w:type="dxa"/>
              <w:bottom w:w="0" w:type="dxa"/>
              <w:right w:w="15" w:type="dxa"/>
            </w:tcMar>
            <w:vAlign w:val="center"/>
          </w:tcPr>
          <w:p w14:paraId="19C865D6">
            <w:pPr>
              <w:widowControl/>
              <w:snapToGrid w:val="0"/>
              <w:spacing w:line="280" w:lineRule="exact"/>
              <w:jc w:val="center"/>
              <w:rPr>
                <w:rFonts w:eastAsia="仿宋_GB2312"/>
                <w:color w:val="auto"/>
                <w:kern w:val="0"/>
                <w:szCs w:val="21"/>
              </w:rPr>
            </w:pPr>
            <w:r>
              <w:rPr>
                <w:rFonts w:eastAsia="仿宋_GB2312"/>
                <w:color w:val="auto"/>
                <w:kern w:val="0"/>
                <w:szCs w:val="21"/>
              </w:rPr>
              <w:t>COD</w:t>
            </w:r>
          </w:p>
        </w:tc>
        <w:tc>
          <w:tcPr>
            <w:tcW w:w="1889" w:type="pct"/>
            <w:tcMar>
              <w:top w:w="15" w:type="dxa"/>
              <w:left w:w="15" w:type="dxa"/>
              <w:bottom w:w="0" w:type="dxa"/>
              <w:right w:w="15" w:type="dxa"/>
            </w:tcMar>
            <w:vAlign w:val="center"/>
          </w:tcPr>
          <w:p w14:paraId="37F789DA">
            <w:pPr>
              <w:widowControl/>
              <w:snapToGrid w:val="0"/>
              <w:spacing w:line="280" w:lineRule="exact"/>
              <w:jc w:val="center"/>
              <w:rPr>
                <w:rFonts w:eastAsia="仿宋_GB2312"/>
                <w:color w:val="auto"/>
                <w:kern w:val="0"/>
                <w:szCs w:val="21"/>
              </w:rPr>
            </w:pPr>
            <w:r>
              <w:rPr>
                <w:rFonts w:eastAsia="仿宋_GB2312"/>
                <w:color w:val="auto"/>
                <w:kern w:val="0"/>
                <w:szCs w:val="21"/>
              </w:rPr>
              <w:t>40.9114</w:t>
            </w:r>
          </w:p>
        </w:tc>
      </w:tr>
      <w:tr w14:paraId="12FE00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1462" w:type="pct"/>
            <w:vMerge w:val="continue"/>
            <w:vAlign w:val="center"/>
          </w:tcPr>
          <w:p w14:paraId="21401633">
            <w:pPr>
              <w:widowControl/>
              <w:snapToGrid w:val="0"/>
              <w:spacing w:line="280" w:lineRule="exact"/>
              <w:jc w:val="center"/>
              <w:rPr>
                <w:rFonts w:eastAsia="仿宋_GB2312"/>
                <w:kern w:val="0"/>
                <w:szCs w:val="21"/>
              </w:rPr>
            </w:pPr>
          </w:p>
        </w:tc>
        <w:tc>
          <w:tcPr>
            <w:tcW w:w="1648" w:type="pct"/>
            <w:tcMar>
              <w:top w:w="15" w:type="dxa"/>
              <w:left w:w="15" w:type="dxa"/>
              <w:bottom w:w="0" w:type="dxa"/>
              <w:right w:w="15" w:type="dxa"/>
            </w:tcMar>
            <w:vAlign w:val="center"/>
          </w:tcPr>
          <w:p w14:paraId="32A05FD2">
            <w:pPr>
              <w:widowControl/>
              <w:snapToGrid w:val="0"/>
              <w:spacing w:line="280" w:lineRule="exact"/>
              <w:jc w:val="center"/>
              <w:rPr>
                <w:rFonts w:eastAsia="仿宋_GB2312"/>
                <w:color w:val="auto"/>
                <w:kern w:val="0"/>
                <w:szCs w:val="21"/>
              </w:rPr>
            </w:pPr>
            <w:r>
              <w:rPr>
                <w:rFonts w:eastAsia="仿宋_GB2312"/>
                <w:color w:val="auto"/>
                <w:kern w:val="0"/>
                <w:szCs w:val="21"/>
              </w:rPr>
              <w:t>SS</w:t>
            </w:r>
          </w:p>
        </w:tc>
        <w:tc>
          <w:tcPr>
            <w:tcW w:w="1889" w:type="pct"/>
            <w:tcMar>
              <w:top w:w="15" w:type="dxa"/>
              <w:left w:w="15" w:type="dxa"/>
              <w:bottom w:w="0" w:type="dxa"/>
              <w:right w:w="15" w:type="dxa"/>
            </w:tcMar>
            <w:vAlign w:val="center"/>
          </w:tcPr>
          <w:p w14:paraId="4D88C518">
            <w:pPr>
              <w:widowControl/>
              <w:snapToGrid w:val="0"/>
              <w:spacing w:line="280" w:lineRule="exact"/>
              <w:jc w:val="center"/>
              <w:rPr>
                <w:rFonts w:eastAsia="仿宋_GB2312"/>
                <w:color w:val="auto"/>
                <w:kern w:val="0"/>
                <w:szCs w:val="21"/>
              </w:rPr>
            </w:pPr>
            <w:r>
              <w:rPr>
                <w:rFonts w:eastAsia="仿宋_GB2312"/>
                <w:color w:val="auto"/>
                <w:kern w:val="0"/>
                <w:szCs w:val="21"/>
              </w:rPr>
              <w:t>11.1407</w:t>
            </w:r>
          </w:p>
        </w:tc>
      </w:tr>
      <w:tr w14:paraId="597F92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1462" w:type="pct"/>
            <w:vMerge w:val="continue"/>
            <w:vAlign w:val="center"/>
          </w:tcPr>
          <w:p w14:paraId="355FBC2F">
            <w:pPr>
              <w:widowControl/>
              <w:snapToGrid w:val="0"/>
              <w:spacing w:line="280" w:lineRule="exact"/>
              <w:jc w:val="center"/>
              <w:rPr>
                <w:rFonts w:eastAsia="仿宋_GB2312"/>
                <w:kern w:val="0"/>
                <w:szCs w:val="21"/>
              </w:rPr>
            </w:pPr>
          </w:p>
        </w:tc>
        <w:tc>
          <w:tcPr>
            <w:tcW w:w="1648" w:type="pct"/>
            <w:tcMar>
              <w:top w:w="15" w:type="dxa"/>
              <w:left w:w="15" w:type="dxa"/>
              <w:bottom w:w="0" w:type="dxa"/>
              <w:right w:w="15" w:type="dxa"/>
            </w:tcMar>
            <w:vAlign w:val="center"/>
          </w:tcPr>
          <w:p w14:paraId="34C321DB">
            <w:pPr>
              <w:widowControl/>
              <w:snapToGrid w:val="0"/>
              <w:spacing w:line="280" w:lineRule="exact"/>
              <w:jc w:val="center"/>
              <w:rPr>
                <w:rFonts w:eastAsia="仿宋_GB2312"/>
                <w:color w:val="auto"/>
                <w:kern w:val="0"/>
                <w:szCs w:val="21"/>
              </w:rPr>
            </w:pPr>
            <w:r>
              <w:rPr>
                <w:rFonts w:eastAsia="仿宋_GB2312"/>
                <w:color w:val="auto"/>
                <w:kern w:val="0"/>
                <w:szCs w:val="21"/>
              </w:rPr>
              <w:t>NH</w:t>
            </w:r>
            <w:r>
              <w:rPr>
                <w:rFonts w:eastAsia="仿宋_GB2312"/>
                <w:color w:val="auto"/>
                <w:kern w:val="0"/>
                <w:szCs w:val="21"/>
                <w:vertAlign w:val="subscript"/>
              </w:rPr>
              <w:t>3</w:t>
            </w:r>
            <w:r>
              <w:rPr>
                <w:rFonts w:eastAsia="仿宋_GB2312"/>
                <w:color w:val="auto"/>
                <w:kern w:val="0"/>
                <w:szCs w:val="21"/>
              </w:rPr>
              <w:t>-N</w:t>
            </w:r>
          </w:p>
        </w:tc>
        <w:tc>
          <w:tcPr>
            <w:tcW w:w="1889" w:type="pct"/>
            <w:tcMar>
              <w:top w:w="15" w:type="dxa"/>
              <w:left w:w="15" w:type="dxa"/>
              <w:bottom w:w="0" w:type="dxa"/>
              <w:right w:w="15" w:type="dxa"/>
            </w:tcMar>
            <w:vAlign w:val="center"/>
          </w:tcPr>
          <w:p w14:paraId="3CF68CAD">
            <w:pPr>
              <w:widowControl/>
              <w:snapToGrid w:val="0"/>
              <w:spacing w:line="280" w:lineRule="exact"/>
              <w:jc w:val="center"/>
              <w:rPr>
                <w:rFonts w:eastAsia="仿宋_GB2312"/>
                <w:color w:val="auto"/>
                <w:kern w:val="0"/>
                <w:szCs w:val="21"/>
              </w:rPr>
            </w:pPr>
            <w:r>
              <w:rPr>
                <w:rFonts w:eastAsia="仿宋_GB2312"/>
                <w:color w:val="auto"/>
                <w:kern w:val="0"/>
                <w:szCs w:val="21"/>
              </w:rPr>
              <w:t>0.2592</w:t>
            </w:r>
          </w:p>
        </w:tc>
      </w:tr>
      <w:tr w14:paraId="28E810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1462" w:type="pct"/>
            <w:vMerge w:val="continue"/>
            <w:vAlign w:val="center"/>
          </w:tcPr>
          <w:p w14:paraId="0E27076B">
            <w:pPr>
              <w:widowControl/>
              <w:snapToGrid w:val="0"/>
              <w:spacing w:line="280" w:lineRule="exact"/>
              <w:jc w:val="center"/>
              <w:rPr>
                <w:rFonts w:eastAsia="仿宋_GB2312"/>
                <w:kern w:val="0"/>
                <w:szCs w:val="21"/>
              </w:rPr>
            </w:pPr>
          </w:p>
        </w:tc>
        <w:tc>
          <w:tcPr>
            <w:tcW w:w="1648" w:type="pct"/>
            <w:tcMar>
              <w:top w:w="15" w:type="dxa"/>
              <w:left w:w="15" w:type="dxa"/>
              <w:bottom w:w="0" w:type="dxa"/>
              <w:right w:w="15" w:type="dxa"/>
            </w:tcMar>
            <w:vAlign w:val="center"/>
          </w:tcPr>
          <w:p w14:paraId="0A544A93">
            <w:pPr>
              <w:widowControl/>
              <w:snapToGrid w:val="0"/>
              <w:spacing w:line="280" w:lineRule="exact"/>
              <w:jc w:val="center"/>
              <w:rPr>
                <w:rFonts w:eastAsia="仿宋_GB2312"/>
                <w:color w:val="auto"/>
                <w:kern w:val="0"/>
                <w:szCs w:val="21"/>
              </w:rPr>
            </w:pPr>
            <w:r>
              <w:rPr>
                <w:rFonts w:eastAsia="仿宋_GB2312"/>
                <w:color w:val="auto"/>
                <w:kern w:val="0"/>
                <w:szCs w:val="21"/>
              </w:rPr>
              <w:t>TP</w:t>
            </w:r>
          </w:p>
        </w:tc>
        <w:tc>
          <w:tcPr>
            <w:tcW w:w="1889" w:type="pct"/>
            <w:tcMar>
              <w:top w:w="15" w:type="dxa"/>
              <w:left w:w="15" w:type="dxa"/>
              <w:bottom w:w="0" w:type="dxa"/>
              <w:right w:w="15" w:type="dxa"/>
            </w:tcMar>
            <w:vAlign w:val="center"/>
          </w:tcPr>
          <w:p w14:paraId="5EBD8D71">
            <w:pPr>
              <w:widowControl/>
              <w:snapToGrid w:val="0"/>
              <w:spacing w:line="280" w:lineRule="exact"/>
              <w:jc w:val="center"/>
              <w:rPr>
                <w:rFonts w:eastAsia="仿宋_GB2312"/>
                <w:color w:val="auto"/>
                <w:kern w:val="0"/>
                <w:szCs w:val="21"/>
              </w:rPr>
            </w:pPr>
            <w:r>
              <w:rPr>
                <w:rFonts w:eastAsia="仿宋_GB2312"/>
                <w:color w:val="auto"/>
                <w:kern w:val="0"/>
                <w:szCs w:val="21"/>
              </w:rPr>
              <w:t>0.02342</w:t>
            </w:r>
          </w:p>
        </w:tc>
      </w:tr>
      <w:tr w14:paraId="51BF96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1462" w:type="pct"/>
            <w:vMerge w:val="continue"/>
            <w:vAlign w:val="center"/>
          </w:tcPr>
          <w:p w14:paraId="69BCA10E">
            <w:pPr>
              <w:widowControl/>
              <w:snapToGrid w:val="0"/>
              <w:spacing w:line="280" w:lineRule="exact"/>
              <w:jc w:val="center"/>
              <w:rPr>
                <w:rFonts w:eastAsia="仿宋_GB2312"/>
                <w:kern w:val="0"/>
                <w:szCs w:val="21"/>
              </w:rPr>
            </w:pPr>
          </w:p>
        </w:tc>
        <w:tc>
          <w:tcPr>
            <w:tcW w:w="1648" w:type="pct"/>
            <w:tcMar>
              <w:top w:w="15" w:type="dxa"/>
              <w:left w:w="15" w:type="dxa"/>
              <w:bottom w:w="0" w:type="dxa"/>
              <w:right w:w="15" w:type="dxa"/>
            </w:tcMar>
            <w:vAlign w:val="center"/>
          </w:tcPr>
          <w:p w14:paraId="047B8A3B">
            <w:pPr>
              <w:widowControl/>
              <w:snapToGrid w:val="0"/>
              <w:spacing w:line="280" w:lineRule="exact"/>
              <w:jc w:val="center"/>
              <w:rPr>
                <w:rFonts w:eastAsia="仿宋_GB2312"/>
                <w:kern w:val="0"/>
                <w:szCs w:val="21"/>
              </w:rPr>
            </w:pPr>
            <w:r>
              <w:rPr>
                <w:rFonts w:eastAsia="仿宋_GB2312"/>
                <w:kern w:val="0"/>
                <w:szCs w:val="21"/>
              </w:rPr>
              <w:t>石油类</w:t>
            </w:r>
          </w:p>
        </w:tc>
        <w:tc>
          <w:tcPr>
            <w:tcW w:w="1889" w:type="pct"/>
            <w:tcMar>
              <w:top w:w="15" w:type="dxa"/>
              <w:left w:w="15" w:type="dxa"/>
              <w:bottom w:w="0" w:type="dxa"/>
              <w:right w:w="15" w:type="dxa"/>
            </w:tcMar>
            <w:vAlign w:val="center"/>
          </w:tcPr>
          <w:p w14:paraId="12729B61">
            <w:pPr>
              <w:widowControl/>
              <w:snapToGrid w:val="0"/>
              <w:spacing w:line="280" w:lineRule="exact"/>
              <w:jc w:val="center"/>
              <w:rPr>
                <w:rFonts w:eastAsia="仿宋_GB2312"/>
                <w:kern w:val="0"/>
                <w:szCs w:val="21"/>
              </w:rPr>
            </w:pPr>
            <w:r>
              <w:rPr>
                <w:rFonts w:eastAsia="仿宋_GB2312"/>
                <w:kern w:val="0"/>
                <w:szCs w:val="21"/>
              </w:rPr>
              <w:t>1.1</w:t>
            </w:r>
          </w:p>
        </w:tc>
      </w:tr>
      <w:tr w14:paraId="2A65FC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1462" w:type="pct"/>
            <w:vMerge w:val="continue"/>
            <w:vAlign w:val="center"/>
          </w:tcPr>
          <w:p w14:paraId="3E008A67">
            <w:pPr>
              <w:widowControl/>
              <w:snapToGrid w:val="0"/>
              <w:spacing w:line="280" w:lineRule="exact"/>
              <w:jc w:val="center"/>
              <w:rPr>
                <w:rFonts w:eastAsia="仿宋_GB2312"/>
                <w:kern w:val="0"/>
                <w:szCs w:val="21"/>
              </w:rPr>
            </w:pPr>
          </w:p>
        </w:tc>
        <w:tc>
          <w:tcPr>
            <w:tcW w:w="1648" w:type="pct"/>
            <w:tcMar>
              <w:top w:w="15" w:type="dxa"/>
              <w:left w:w="15" w:type="dxa"/>
              <w:bottom w:w="0" w:type="dxa"/>
              <w:right w:w="15" w:type="dxa"/>
            </w:tcMar>
            <w:vAlign w:val="center"/>
          </w:tcPr>
          <w:p w14:paraId="35CA54B4">
            <w:pPr>
              <w:widowControl/>
              <w:snapToGrid w:val="0"/>
              <w:spacing w:line="280" w:lineRule="exact"/>
              <w:jc w:val="center"/>
              <w:rPr>
                <w:rFonts w:eastAsia="仿宋_GB2312"/>
                <w:kern w:val="0"/>
                <w:szCs w:val="21"/>
              </w:rPr>
            </w:pPr>
            <w:r>
              <w:rPr>
                <w:rFonts w:eastAsia="仿宋_GB2312"/>
                <w:kern w:val="0"/>
                <w:szCs w:val="21"/>
              </w:rPr>
              <w:t>铜</w:t>
            </w:r>
          </w:p>
        </w:tc>
        <w:tc>
          <w:tcPr>
            <w:tcW w:w="1889" w:type="pct"/>
            <w:tcMar>
              <w:top w:w="15" w:type="dxa"/>
              <w:left w:w="15" w:type="dxa"/>
              <w:bottom w:w="0" w:type="dxa"/>
              <w:right w:w="15" w:type="dxa"/>
            </w:tcMar>
            <w:vAlign w:val="center"/>
          </w:tcPr>
          <w:p w14:paraId="2E205B94">
            <w:pPr>
              <w:widowControl/>
              <w:snapToGrid w:val="0"/>
              <w:spacing w:line="280" w:lineRule="exact"/>
              <w:jc w:val="center"/>
              <w:rPr>
                <w:rFonts w:eastAsia="仿宋_GB2312"/>
                <w:kern w:val="0"/>
                <w:szCs w:val="21"/>
              </w:rPr>
            </w:pPr>
            <w:r>
              <w:rPr>
                <w:rFonts w:eastAsia="仿宋_GB2312"/>
                <w:kern w:val="0"/>
                <w:szCs w:val="21"/>
              </w:rPr>
              <w:t>0.08</w:t>
            </w:r>
          </w:p>
        </w:tc>
      </w:tr>
      <w:tr w14:paraId="7DA133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1462" w:type="pct"/>
            <w:vMerge w:val="continue"/>
            <w:vAlign w:val="center"/>
          </w:tcPr>
          <w:p w14:paraId="259896DC">
            <w:pPr>
              <w:widowControl/>
              <w:snapToGrid w:val="0"/>
              <w:spacing w:line="280" w:lineRule="exact"/>
              <w:jc w:val="center"/>
              <w:rPr>
                <w:rFonts w:eastAsia="仿宋_GB2312"/>
                <w:kern w:val="0"/>
                <w:szCs w:val="21"/>
              </w:rPr>
            </w:pPr>
          </w:p>
        </w:tc>
        <w:tc>
          <w:tcPr>
            <w:tcW w:w="1648" w:type="pct"/>
            <w:tcMar>
              <w:top w:w="15" w:type="dxa"/>
              <w:left w:w="15" w:type="dxa"/>
              <w:bottom w:w="0" w:type="dxa"/>
              <w:right w:w="15" w:type="dxa"/>
            </w:tcMar>
            <w:vAlign w:val="center"/>
          </w:tcPr>
          <w:p w14:paraId="69E03383">
            <w:pPr>
              <w:widowControl/>
              <w:snapToGrid w:val="0"/>
              <w:spacing w:line="280" w:lineRule="exact"/>
              <w:jc w:val="center"/>
              <w:rPr>
                <w:rFonts w:eastAsia="仿宋_GB2312"/>
                <w:kern w:val="0"/>
                <w:szCs w:val="21"/>
              </w:rPr>
            </w:pPr>
            <w:r>
              <w:rPr>
                <w:rFonts w:eastAsia="仿宋_GB2312"/>
                <w:kern w:val="0"/>
                <w:szCs w:val="21"/>
              </w:rPr>
              <w:t>镍</w:t>
            </w:r>
          </w:p>
        </w:tc>
        <w:tc>
          <w:tcPr>
            <w:tcW w:w="1889" w:type="pct"/>
            <w:tcMar>
              <w:top w:w="15" w:type="dxa"/>
              <w:left w:w="15" w:type="dxa"/>
              <w:bottom w:w="0" w:type="dxa"/>
              <w:right w:w="15" w:type="dxa"/>
            </w:tcMar>
            <w:vAlign w:val="center"/>
          </w:tcPr>
          <w:p w14:paraId="59250E44">
            <w:pPr>
              <w:widowControl/>
              <w:snapToGrid w:val="0"/>
              <w:spacing w:line="280" w:lineRule="exact"/>
              <w:jc w:val="center"/>
              <w:rPr>
                <w:rFonts w:eastAsia="仿宋_GB2312"/>
                <w:kern w:val="0"/>
                <w:szCs w:val="21"/>
              </w:rPr>
            </w:pPr>
            <w:r>
              <w:rPr>
                <w:rFonts w:eastAsia="仿宋_GB2312"/>
                <w:kern w:val="0"/>
                <w:szCs w:val="21"/>
              </w:rPr>
              <w:t>0.003</w:t>
            </w:r>
          </w:p>
        </w:tc>
      </w:tr>
      <w:tr w14:paraId="448FB1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1462" w:type="pct"/>
            <w:vMerge w:val="continue"/>
            <w:vAlign w:val="center"/>
          </w:tcPr>
          <w:p w14:paraId="2C3605F8">
            <w:pPr>
              <w:widowControl/>
              <w:snapToGrid w:val="0"/>
              <w:spacing w:line="280" w:lineRule="exact"/>
              <w:jc w:val="center"/>
              <w:rPr>
                <w:rFonts w:eastAsia="仿宋_GB2312"/>
                <w:kern w:val="0"/>
                <w:szCs w:val="21"/>
              </w:rPr>
            </w:pPr>
          </w:p>
        </w:tc>
        <w:tc>
          <w:tcPr>
            <w:tcW w:w="1648" w:type="pct"/>
            <w:tcMar>
              <w:top w:w="15" w:type="dxa"/>
              <w:left w:w="15" w:type="dxa"/>
              <w:bottom w:w="0" w:type="dxa"/>
              <w:right w:w="15" w:type="dxa"/>
            </w:tcMar>
            <w:vAlign w:val="center"/>
          </w:tcPr>
          <w:p w14:paraId="2F8FB7DD">
            <w:pPr>
              <w:widowControl/>
              <w:snapToGrid w:val="0"/>
              <w:spacing w:line="280" w:lineRule="exact"/>
              <w:jc w:val="center"/>
              <w:rPr>
                <w:rFonts w:eastAsia="仿宋_GB2312"/>
                <w:kern w:val="0"/>
                <w:szCs w:val="21"/>
              </w:rPr>
            </w:pPr>
            <w:r>
              <w:rPr>
                <w:rFonts w:eastAsia="仿宋_GB2312"/>
                <w:kern w:val="0"/>
                <w:szCs w:val="21"/>
              </w:rPr>
              <w:t>锌</w:t>
            </w:r>
          </w:p>
        </w:tc>
        <w:tc>
          <w:tcPr>
            <w:tcW w:w="1889" w:type="pct"/>
            <w:tcMar>
              <w:top w:w="15" w:type="dxa"/>
              <w:left w:w="15" w:type="dxa"/>
              <w:bottom w:w="0" w:type="dxa"/>
              <w:right w:w="15" w:type="dxa"/>
            </w:tcMar>
            <w:vAlign w:val="center"/>
          </w:tcPr>
          <w:p w14:paraId="378D58AD">
            <w:pPr>
              <w:widowControl/>
              <w:snapToGrid w:val="0"/>
              <w:spacing w:line="280" w:lineRule="exact"/>
              <w:jc w:val="center"/>
              <w:rPr>
                <w:rFonts w:eastAsia="仿宋_GB2312"/>
                <w:kern w:val="0"/>
                <w:szCs w:val="21"/>
              </w:rPr>
            </w:pPr>
            <w:r>
              <w:rPr>
                <w:rFonts w:eastAsia="仿宋_GB2312"/>
                <w:kern w:val="0"/>
                <w:szCs w:val="21"/>
              </w:rPr>
              <w:t>1</w:t>
            </w:r>
          </w:p>
        </w:tc>
      </w:tr>
      <w:tr w14:paraId="3698C7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1462" w:type="pct"/>
            <w:vMerge w:val="continue"/>
            <w:vAlign w:val="center"/>
          </w:tcPr>
          <w:p w14:paraId="57AA8D98">
            <w:pPr>
              <w:widowControl/>
              <w:snapToGrid w:val="0"/>
              <w:spacing w:line="280" w:lineRule="exact"/>
              <w:jc w:val="center"/>
              <w:rPr>
                <w:rFonts w:eastAsia="仿宋_GB2312"/>
                <w:kern w:val="0"/>
                <w:szCs w:val="21"/>
              </w:rPr>
            </w:pPr>
          </w:p>
        </w:tc>
        <w:tc>
          <w:tcPr>
            <w:tcW w:w="1648" w:type="pct"/>
            <w:tcMar>
              <w:top w:w="15" w:type="dxa"/>
              <w:left w:w="15" w:type="dxa"/>
              <w:bottom w:w="0" w:type="dxa"/>
              <w:right w:w="15" w:type="dxa"/>
            </w:tcMar>
            <w:vAlign w:val="center"/>
          </w:tcPr>
          <w:p w14:paraId="4506E3A6">
            <w:pPr>
              <w:widowControl/>
              <w:snapToGrid w:val="0"/>
              <w:spacing w:line="280" w:lineRule="exact"/>
              <w:jc w:val="center"/>
              <w:rPr>
                <w:rFonts w:eastAsia="仿宋_GB2312"/>
                <w:kern w:val="0"/>
                <w:szCs w:val="21"/>
              </w:rPr>
            </w:pPr>
            <w:r>
              <w:rPr>
                <w:rFonts w:eastAsia="仿宋_GB2312"/>
                <w:kern w:val="0"/>
                <w:szCs w:val="21"/>
              </w:rPr>
              <w:t>锡</w:t>
            </w:r>
          </w:p>
        </w:tc>
        <w:tc>
          <w:tcPr>
            <w:tcW w:w="1889" w:type="pct"/>
            <w:tcMar>
              <w:top w:w="15" w:type="dxa"/>
              <w:left w:w="15" w:type="dxa"/>
              <w:bottom w:w="0" w:type="dxa"/>
              <w:right w:w="15" w:type="dxa"/>
            </w:tcMar>
            <w:vAlign w:val="center"/>
          </w:tcPr>
          <w:p w14:paraId="34583292">
            <w:pPr>
              <w:widowControl/>
              <w:snapToGrid w:val="0"/>
              <w:spacing w:line="280" w:lineRule="exact"/>
              <w:jc w:val="center"/>
              <w:rPr>
                <w:rFonts w:eastAsia="仿宋_GB2312"/>
                <w:kern w:val="0"/>
                <w:szCs w:val="21"/>
              </w:rPr>
            </w:pPr>
            <w:r>
              <w:rPr>
                <w:rFonts w:eastAsia="仿宋_GB2312"/>
                <w:kern w:val="0"/>
                <w:szCs w:val="21"/>
              </w:rPr>
              <w:t>0.2</w:t>
            </w:r>
          </w:p>
        </w:tc>
      </w:tr>
      <w:tr w14:paraId="42D5977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1462" w:type="pct"/>
            <w:vMerge w:val="continue"/>
            <w:vAlign w:val="center"/>
          </w:tcPr>
          <w:p w14:paraId="1E304FD9">
            <w:pPr>
              <w:widowControl/>
              <w:snapToGrid w:val="0"/>
              <w:spacing w:line="280" w:lineRule="exact"/>
              <w:jc w:val="center"/>
              <w:rPr>
                <w:rFonts w:eastAsia="仿宋_GB2312"/>
                <w:kern w:val="0"/>
                <w:szCs w:val="21"/>
              </w:rPr>
            </w:pPr>
          </w:p>
        </w:tc>
        <w:tc>
          <w:tcPr>
            <w:tcW w:w="1648" w:type="pct"/>
            <w:tcMar>
              <w:top w:w="15" w:type="dxa"/>
              <w:left w:w="15" w:type="dxa"/>
              <w:bottom w:w="0" w:type="dxa"/>
              <w:right w:w="15" w:type="dxa"/>
            </w:tcMar>
            <w:vAlign w:val="center"/>
          </w:tcPr>
          <w:p w14:paraId="3E740D2D">
            <w:pPr>
              <w:widowControl/>
              <w:snapToGrid w:val="0"/>
              <w:spacing w:line="280" w:lineRule="exact"/>
              <w:jc w:val="center"/>
              <w:rPr>
                <w:rFonts w:eastAsia="仿宋_GB2312"/>
                <w:kern w:val="0"/>
                <w:szCs w:val="21"/>
              </w:rPr>
            </w:pPr>
            <w:r>
              <w:rPr>
                <w:rFonts w:eastAsia="仿宋_GB2312"/>
                <w:kern w:val="0"/>
                <w:szCs w:val="21"/>
              </w:rPr>
              <w:t>六价铬</w:t>
            </w:r>
          </w:p>
        </w:tc>
        <w:tc>
          <w:tcPr>
            <w:tcW w:w="1889" w:type="pct"/>
            <w:tcMar>
              <w:top w:w="15" w:type="dxa"/>
              <w:left w:w="15" w:type="dxa"/>
              <w:bottom w:w="0" w:type="dxa"/>
              <w:right w:w="15" w:type="dxa"/>
            </w:tcMar>
            <w:vAlign w:val="center"/>
          </w:tcPr>
          <w:p w14:paraId="052A4CEB">
            <w:pPr>
              <w:widowControl/>
              <w:snapToGrid w:val="0"/>
              <w:spacing w:line="280" w:lineRule="exact"/>
              <w:jc w:val="center"/>
              <w:rPr>
                <w:rFonts w:eastAsia="仿宋_GB2312"/>
                <w:kern w:val="0"/>
                <w:szCs w:val="21"/>
              </w:rPr>
            </w:pPr>
            <w:r>
              <w:rPr>
                <w:rFonts w:eastAsia="仿宋_GB2312"/>
                <w:kern w:val="0"/>
                <w:szCs w:val="21"/>
              </w:rPr>
              <w:t>0.001</w:t>
            </w:r>
          </w:p>
        </w:tc>
      </w:tr>
      <w:tr w14:paraId="790378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1462" w:type="pct"/>
            <w:vMerge w:val="continue"/>
            <w:vAlign w:val="center"/>
          </w:tcPr>
          <w:p w14:paraId="172127CC">
            <w:pPr>
              <w:widowControl/>
              <w:snapToGrid w:val="0"/>
              <w:spacing w:line="280" w:lineRule="exact"/>
              <w:jc w:val="center"/>
              <w:rPr>
                <w:rFonts w:eastAsia="仿宋_GB2312"/>
                <w:kern w:val="0"/>
                <w:szCs w:val="21"/>
              </w:rPr>
            </w:pPr>
          </w:p>
        </w:tc>
        <w:tc>
          <w:tcPr>
            <w:tcW w:w="1648" w:type="pct"/>
            <w:tcMar>
              <w:top w:w="15" w:type="dxa"/>
              <w:left w:w="15" w:type="dxa"/>
              <w:bottom w:w="0" w:type="dxa"/>
              <w:right w:w="15" w:type="dxa"/>
            </w:tcMar>
            <w:vAlign w:val="center"/>
          </w:tcPr>
          <w:p w14:paraId="6E0075FA">
            <w:pPr>
              <w:widowControl/>
              <w:snapToGrid w:val="0"/>
              <w:spacing w:line="280" w:lineRule="exact"/>
              <w:jc w:val="center"/>
              <w:rPr>
                <w:rFonts w:eastAsia="仿宋_GB2312"/>
                <w:kern w:val="0"/>
                <w:szCs w:val="21"/>
              </w:rPr>
            </w:pPr>
            <w:r>
              <w:rPr>
                <w:rFonts w:eastAsia="仿宋_GB2312"/>
                <w:kern w:val="0"/>
                <w:szCs w:val="21"/>
              </w:rPr>
              <w:t>总铬</w:t>
            </w:r>
          </w:p>
        </w:tc>
        <w:tc>
          <w:tcPr>
            <w:tcW w:w="1889" w:type="pct"/>
            <w:tcMar>
              <w:top w:w="15" w:type="dxa"/>
              <w:left w:w="15" w:type="dxa"/>
              <w:bottom w:w="0" w:type="dxa"/>
              <w:right w:w="15" w:type="dxa"/>
            </w:tcMar>
            <w:vAlign w:val="center"/>
          </w:tcPr>
          <w:p w14:paraId="22BAF2DB">
            <w:pPr>
              <w:widowControl/>
              <w:snapToGrid w:val="0"/>
              <w:spacing w:line="280" w:lineRule="exact"/>
              <w:jc w:val="center"/>
              <w:rPr>
                <w:rFonts w:eastAsia="仿宋_GB2312"/>
                <w:kern w:val="0"/>
                <w:szCs w:val="21"/>
              </w:rPr>
            </w:pPr>
            <w:r>
              <w:rPr>
                <w:rFonts w:eastAsia="仿宋_GB2312"/>
                <w:kern w:val="0"/>
                <w:szCs w:val="21"/>
              </w:rPr>
              <w:t>0.003</w:t>
            </w:r>
          </w:p>
        </w:tc>
      </w:tr>
      <w:tr w14:paraId="52EA748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1462" w:type="pct"/>
            <w:vMerge w:val="continue"/>
            <w:vAlign w:val="center"/>
          </w:tcPr>
          <w:p w14:paraId="1542ECE0">
            <w:pPr>
              <w:widowControl/>
              <w:snapToGrid w:val="0"/>
              <w:spacing w:line="280" w:lineRule="exact"/>
              <w:jc w:val="center"/>
              <w:rPr>
                <w:rFonts w:eastAsia="仿宋_GB2312"/>
                <w:kern w:val="0"/>
                <w:szCs w:val="21"/>
              </w:rPr>
            </w:pPr>
          </w:p>
        </w:tc>
        <w:tc>
          <w:tcPr>
            <w:tcW w:w="1648" w:type="pct"/>
            <w:tcMar>
              <w:top w:w="15" w:type="dxa"/>
              <w:left w:w="15" w:type="dxa"/>
              <w:bottom w:w="0" w:type="dxa"/>
              <w:right w:w="15" w:type="dxa"/>
            </w:tcMar>
            <w:vAlign w:val="center"/>
          </w:tcPr>
          <w:p w14:paraId="4385F9A8">
            <w:pPr>
              <w:widowControl/>
              <w:snapToGrid w:val="0"/>
              <w:spacing w:line="280" w:lineRule="exact"/>
              <w:jc w:val="center"/>
              <w:rPr>
                <w:rFonts w:eastAsia="仿宋_GB2312"/>
                <w:kern w:val="0"/>
                <w:szCs w:val="21"/>
              </w:rPr>
            </w:pPr>
            <w:r>
              <w:rPr>
                <w:rFonts w:eastAsia="仿宋_GB2312"/>
                <w:kern w:val="0"/>
                <w:szCs w:val="21"/>
              </w:rPr>
              <w:t>氰化物</w:t>
            </w:r>
          </w:p>
        </w:tc>
        <w:tc>
          <w:tcPr>
            <w:tcW w:w="1889" w:type="pct"/>
            <w:tcMar>
              <w:top w:w="15" w:type="dxa"/>
              <w:left w:w="15" w:type="dxa"/>
              <w:bottom w:w="0" w:type="dxa"/>
              <w:right w:w="15" w:type="dxa"/>
            </w:tcMar>
            <w:vAlign w:val="center"/>
          </w:tcPr>
          <w:p w14:paraId="05C78949">
            <w:pPr>
              <w:widowControl/>
              <w:snapToGrid w:val="0"/>
              <w:spacing w:line="280" w:lineRule="exact"/>
              <w:jc w:val="center"/>
              <w:rPr>
                <w:rFonts w:eastAsia="仿宋_GB2312"/>
                <w:kern w:val="0"/>
                <w:szCs w:val="21"/>
              </w:rPr>
            </w:pPr>
            <w:r>
              <w:rPr>
                <w:rFonts w:eastAsia="仿宋_GB2312"/>
                <w:kern w:val="0"/>
                <w:szCs w:val="21"/>
              </w:rPr>
              <w:t>0.06</w:t>
            </w:r>
          </w:p>
        </w:tc>
      </w:tr>
      <w:tr w14:paraId="26142E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1462" w:type="pct"/>
            <w:vMerge w:val="continue"/>
            <w:vAlign w:val="center"/>
          </w:tcPr>
          <w:p w14:paraId="07857C65">
            <w:pPr>
              <w:widowControl/>
              <w:snapToGrid w:val="0"/>
              <w:spacing w:line="280" w:lineRule="exact"/>
              <w:jc w:val="center"/>
              <w:rPr>
                <w:rFonts w:eastAsia="仿宋_GB2312"/>
                <w:kern w:val="0"/>
                <w:szCs w:val="21"/>
              </w:rPr>
            </w:pPr>
          </w:p>
        </w:tc>
        <w:tc>
          <w:tcPr>
            <w:tcW w:w="1648" w:type="pct"/>
            <w:tcMar>
              <w:top w:w="15" w:type="dxa"/>
              <w:left w:w="15" w:type="dxa"/>
              <w:bottom w:w="0" w:type="dxa"/>
              <w:right w:w="15" w:type="dxa"/>
            </w:tcMar>
            <w:vAlign w:val="center"/>
          </w:tcPr>
          <w:p w14:paraId="2701F341">
            <w:pPr>
              <w:widowControl/>
              <w:snapToGrid w:val="0"/>
              <w:spacing w:line="280" w:lineRule="exact"/>
              <w:jc w:val="center"/>
              <w:rPr>
                <w:rFonts w:eastAsia="仿宋_GB2312"/>
                <w:kern w:val="0"/>
                <w:szCs w:val="21"/>
              </w:rPr>
            </w:pPr>
            <w:r>
              <w:rPr>
                <w:rFonts w:eastAsia="仿宋_GB2312"/>
                <w:kern w:val="0"/>
                <w:szCs w:val="21"/>
              </w:rPr>
              <w:t>总银</w:t>
            </w:r>
          </w:p>
        </w:tc>
        <w:tc>
          <w:tcPr>
            <w:tcW w:w="1889" w:type="pct"/>
            <w:tcMar>
              <w:top w:w="15" w:type="dxa"/>
              <w:left w:w="15" w:type="dxa"/>
              <w:bottom w:w="0" w:type="dxa"/>
              <w:right w:w="15" w:type="dxa"/>
            </w:tcMar>
            <w:vAlign w:val="center"/>
          </w:tcPr>
          <w:p w14:paraId="10DDBFCF">
            <w:pPr>
              <w:widowControl/>
              <w:snapToGrid w:val="0"/>
              <w:spacing w:line="280" w:lineRule="exact"/>
              <w:jc w:val="center"/>
              <w:rPr>
                <w:rFonts w:eastAsia="仿宋_GB2312"/>
                <w:kern w:val="0"/>
                <w:szCs w:val="21"/>
              </w:rPr>
            </w:pPr>
            <w:r>
              <w:rPr>
                <w:rFonts w:eastAsia="仿宋_GB2312"/>
                <w:kern w:val="0"/>
                <w:szCs w:val="21"/>
              </w:rPr>
              <w:t>0.003</w:t>
            </w:r>
          </w:p>
        </w:tc>
      </w:tr>
      <w:tr w14:paraId="655A08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1462" w:type="pct"/>
            <w:vMerge w:val="continue"/>
            <w:tcMar>
              <w:top w:w="15" w:type="dxa"/>
              <w:left w:w="15" w:type="dxa"/>
              <w:bottom w:w="0" w:type="dxa"/>
              <w:right w:w="15" w:type="dxa"/>
            </w:tcMar>
            <w:vAlign w:val="center"/>
          </w:tcPr>
          <w:p w14:paraId="629F6C71">
            <w:pPr>
              <w:widowControl/>
              <w:snapToGrid w:val="0"/>
              <w:spacing w:line="280" w:lineRule="exact"/>
              <w:jc w:val="center"/>
              <w:rPr>
                <w:rFonts w:eastAsia="仿宋_GB2312"/>
                <w:kern w:val="0"/>
                <w:szCs w:val="21"/>
              </w:rPr>
            </w:pPr>
          </w:p>
        </w:tc>
        <w:tc>
          <w:tcPr>
            <w:tcW w:w="1648" w:type="pct"/>
            <w:tcMar>
              <w:top w:w="15" w:type="dxa"/>
              <w:left w:w="15" w:type="dxa"/>
              <w:bottom w:w="0" w:type="dxa"/>
              <w:right w:w="15" w:type="dxa"/>
            </w:tcMar>
            <w:vAlign w:val="center"/>
          </w:tcPr>
          <w:p w14:paraId="19100352">
            <w:pPr>
              <w:widowControl/>
              <w:snapToGrid w:val="0"/>
              <w:spacing w:line="280" w:lineRule="exact"/>
              <w:jc w:val="center"/>
              <w:rPr>
                <w:rFonts w:eastAsia="仿宋_GB2312"/>
                <w:kern w:val="0"/>
                <w:szCs w:val="21"/>
              </w:rPr>
            </w:pPr>
            <w:r>
              <w:rPr>
                <w:rFonts w:eastAsia="仿宋_GB2312"/>
                <w:kern w:val="0"/>
                <w:szCs w:val="21"/>
              </w:rPr>
              <w:t>盐分</w:t>
            </w:r>
          </w:p>
        </w:tc>
        <w:tc>
          <w:tcPr>
            <w:tcW w:w="1889" w:type="pct"/>
            <w:tcMar>
              <w:top w:w="15" w:type="dxa"/>
              <w:left w:w="15" w:type="dxa"/>
              <w:bottom w:w="0" w:type="dxa"/>
              <w:right w:w="15" w:type="dxa"/>
            </w:tcMar>
            <w:vAlign w:val="center"/>
          </w:tcPr>
          <w:p w14:paraId="165C1338">
            <w:pPr>
              <w:widowControl/>
              <w:snapToGrid w:val="0"/>
              <w:spacing w:line="280" w:lineRule="exact"/>
              <w:jc w:val="center"/>
              <w:rPr>
                <w:rFonts w:eastAsia="仿宋_GB2312"/>
                <w:kern w:val="0"/>
                <w:szCs w:val="21"/>
              </w:rPr>
            </w:pPr>
            <w:r>
              <w:rPr>
                <w:rFonts w:eastAsia="仿宋_GB2312"/>
                <w:kern w:val="0"/>
                <w:szCs w:val="21"/>
              </w:rPr>
              <w:t>3.6</w:t>
            </w:r>
          </w:p>
        </w:tc>
      </w:tr>
      <w:tr w14:paraId="1B5C6F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110" w:type="pct"/>
            <w:gridSpan w:val="2"/>
            <w:tcMar>
              <w:top w:w="15" w:type="dxa"/>
              <w:left w:w="15" w:type="dxa"/>
              <w:bottom w:w="0" w:type="dxa"/>
              <w:right w:w="15" w:type="dxa"/>
            </w:tcMar>
            <w:vAlign w:val="center"/>
          </w:tcPr>
          <w:p w14:paraId="49F8DFCB">
            <w:pPr>
              <w:widowControl/>
              <w:snapToGrid w:val="0"/>
              <w:spacing w:line="280" w:lineRule="exact"/>
              <w:jc w:val="center"/>
              <w:rPr>
                <w:rFonts w:eastAsia="仿宋_GB2312"/>
                <w:kern w:val="0"/>
                <w:szCs w:val="21"/>
              </w:rPr>
            </w:pPr>
            <w:r>
              <w:rPr>
                <w:rFonts w:eastAsia="仿宋_GB2312"/>
                <w:kern w:val="0"/>
                <w:szCs w:val="21"/>
              </w:rPr>
              <w:t>固废</w:t>
            </w:r>
          </w:p>
        </w:tc>
        <w:tc>
          <w:tcPr>
            <w:tcW w:w="1889" w:type="pct"/>
            <w:tcMar>
              <w:top w:w="15" w:type="dxa"/>
              <w:left w:w="15" w:type="dxa"/>
              <w:bottom w:w="0" w:type="dxa"/>
              <w:right w:w="15" w:type="dxa"/>
            </w:tcMar>
            <w:vAlign w:val="center"/>
          </w:tcPr>
          <w:p w14:paraId="6BAE5E16">
            <w:pPr>
              <w:widowControl/>
              <w:snapToGrid w:val="0"/>
              <w:spacing w:line="280" w:lineRule="exact"/>
              <w:jc w:val="center"/>
              <w:rPr>
                <w:rFonts w:eastAsia="仿宋_GB2312"/>
                <w:kern w:val="0"/>
                <w:szCs w:val="21"/>
              </w:rPr>
            </w:pPr>
            <w:r>
              <w:rPr>
                <w:rFonts w:eastAsia="仿宋_GB2312"/>
                <w:kern w:val="0"/>
                <w:szCs w:val="21"/>
              </w:rPr>
              <w:t>0</w:t>
            </w:r>
          </w:p>
        </w:tc>
      </w:tr>
    </w:tbl>
    <w:p w14:paraId="277CA099">
      <w:pPr>
        <w:rPr>
          <w:rFonts w:eastAsia="仿宋_GB2312"/>
          <w:b/>
          <w:bCs/>
          <w:color w:val="FF0000"/>
          <w:sz w:val="28"/>
          <w:szCs w:val="28"/>
          <w:lang w:val="zh-CN"/>
        </w:rPr>
      </w:pPr>
    </w:p>
    <w:p w14:paraId="7329C7F3">
      <w:pPr>
        <w:rPr>
          <w:rFonts w:eastAsia="仿宋_GB2312"/>
          <w:b/>
          <w:bCs/>
          <w:color w:val="FF0000"/>
          <w:sz w:val="28"/>
          <w:szCs w:val="28"/>
          <w:lang w:val="zh-CN"/>
        </w:rPr>
      </w:pPr>
      <w:r>
        <w:rPr>
          <w:rFonts w:eastAsia="仿宋_GB2312"/>
          <w:b/>
          <w:bCs/>
          <w:color w:val="FF0000"/>
          <w:sz w:val="28"/>
          <w:szCs w:val="28"/>
          <w:lang w:val="zh-CN"/>
        </w:rPr>
        <w:br w:type="page"/>
      </w:r>
    </w:p>
    <w:p w14:paraId="24E8A23A">
      <w:pPr>
        <w:keepNext/>
        <w:tabs>
          <w:tab w:val="left" w:pos="709"/>
        </w:tabs>
        <w:spacing w:before="120" w:beforeLines="50" w:after="120" w:afterLines="50" w:line="500" w:lineRule="exact"/>
        <w:outlineLvl w:val="2"/>
        <w:rPr>
          <w:rFonts w:eastAsia="仿宋_GB2312"/>
          <w:b/>
          <w:bCs/>
          <w:sz w:val="28"/>
          <w:szCs w:val="28"/>
        </w:rPr>
      </w:pPr>
      <w:bookmarkStart w:id="25" w:name="_Toc22878"/>
      <w:r>
        <w:rPr>
          <w:rFonts w:eastAsia="仿宋_GB2312"/>
          <w:b/>
          <w:bCs/>
          <w:sz w:val="28"/>
          <w:szCs w:val="28"/>
          <w:lang w:val="zh-CN"/>
        </w:rPr>
        <w:t>3.1.</w:t>
      </w:r>
      <w:r>
        <w:rPr>
          <w:rFonts w:hint="eastAsia" w:eastAsia="仿宋_GB2312"/>
          <w:b/>
          <w:bCs/>
          <w:sz w:val="28"/>
          <w:szCs w:val="28"/>
        </w:rPr>
        <w:t>7</w:t>
      </w:r>
      <w:r>
        <w:rPr>
          <w:rFonts w:eastAsia="仿宋_GB2312"/>
          <w:b/>
          <w:bCs/>
          <w:sz w:val="28"/>
          <w:szCs w:val="28"/>
        </w:rPr>
        <w:t>原有项目污染物排放情况汇总</w:t>
      </w:r>
      <w:bookmarkEnd w:id="25"/>
    </w:p>
    <w:p w14:paraId="0BA442BF">
      <w:pPr>
        <w:widowControl/>
        <w:spacing w:line="500" w:lineRule="exact"/>
        <w:ind w:firstLine="560" w:firstLineChars="200"/>
        <w:jc w:val="left"/>
        <w:rPr>
          <w:rFonts w:eastAsia="仿宋_GB2312"/>
          <w:sz w:val="28"/>
          <w:szCs w:val="28"/>
        </w:rPr>
      </w:pPr>
      <w:r>
        <w:rPr>
          <w:rFonts w:eastAsia="仿宋_GB2312"/>
          <w:sz w:val="28"/>
          <w:szCs w:val="28"/>
        </w:rPr>
        <w:t>原有污染物排放总量汇总见表3.1-2</w:t>
      </w:r>
      <w:r>
        <w:rPr>
          <w:rFonts w:hint="eastAsia" w:eastAsia="仿宋_GB2312"/>
          <w:sz w:val="28"/>
          <w:szCs w:val="28"/>
        </w:rPr>
        <w:t>1</w:t>
      </w:r>
      <w:r>
        <w:rPr>
          <w:rFonts w:eastAsia="仿宋_GB2312"/>
          <w:sz w:val="28"/>
          <w:szCs w:val="28"/>
        </w:rPr>
        <w:t>。</w:t>
      </w:r>
    </w:p>
    <w:p w14:paraId="37A14B4A">
      <w:pPr>
        <w:spacing w:line="500" w:lineRule="exact"/>
        <w:jc w:val="center"/>
        <w:rPr>
          <w:rFonts w:eastAsia="仿宋_GB2312"/>
          <w:b/>
          <w:sz w:val="24"/>
        </w:rPr>
      </w:pPr>
      <w:r>
        <w:rPr>
          <w:rFonts w:eastAsia="仿宋_GB2312"/>
          <w:b/>
          <w:sz w:val="24"/>
        </w:rPr>
        <w:t>表3.1-2</w:t>
      </w:r>
      <w:r>
        <w:rPr>
          <w:rFonts w:hint="eastAsia" w:eastAsia="仿宋_GB2312"/>
          <w:b/>
          <w:sz w:val="24"/>
        </w:rPr>
        <w:t>1</w:t>
      </w:r>
      <w:r>
        <w:rPr>
          <w:rFonts w:eastAsia="仿宋_GB2312"/>
          <w:b/>
          <w:sz w:val="24"/>
        </w:rPr>
        <w:t xml:space="preserve">  原有项目污染物排放情况汇总表  （t/a）</w:t>
      </w:r>
    </w:p>
    <w:tbl>
      <w:tblPr>
        <w:tblStyle w:val="88"/>
        <w:tblW w:w="4998"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1024"/>
        <w:gridCol w:w="2418"/>
        <w:gridCol w:w="1811"/>
        <w:gridCol w:w="1544"/>
        <w:gridCol w:w="1537"/>
      </w:tblGrid>
      <w:tr w14:paraId="1B2456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614" w:type="pct"/>
            <w:shd w:val="clear" w:color="auto" w:fill="auto"/>
            <w:tcMar>
              <w:top w:w="15" w:type="dxa"/>
              <w:left w:w="15" w:type="dxa"/>
              <w:bottom w:w="0" w:type="dxa"/>
              <w:right w:w="15" w:type="dxa"/>
            </w:tcMar>
            <w:vAlign w:val="center"/>
          </w:tcPr>
          <w:p w14:paraId="41D22EAC">
            <w:pPr>
              <w:widowControl/>
              <w:spacing w:line="240" w:lineRule="exact"/>
              <w:jc w:val="center"/>
              <w:rPr>
                <w:rFonts w:eastAsia="仿宋_GB2312"/>
                <w:b/>
                <w:bCs/>
                <w:kern w:val="0"/>
                <w:szCs w:val="21"/>
              </w:rPr>
            </w:pPr>
            <w:r>
              <w:rPr>
                <w:rFonts w:eastAsia="仿宋_GB2312"/>
                <w:b/>
                <w:bCs/>
                <w:kern w:val="0"/>
                <w:szCs w:val="21"/>
              </w:rPr>
              <w:t>类别</w:t>
            </w:r>
          </w:p>
        </w:tc>
        <w:tc>
          <w:tcPr>
            <w:tcW w:w="1450" w:type="pct"/>
            <w:shd w:val="clear" w:color="auto" w:fill="auto"/>
            <w:tcMar>
              <w:top w:w="15" w:type="dxa"/>
              <w:left w:w="15" w:type="dxa"/>
              <w:bottom w:w="0" w:type="dxa"/>
              <w:right w:w="15" w:type="dxa"/>
            </w:tcMar>
            <w:vAlign w:val="center"/>
          </w:tcPr>
          <w:p w14:paraId="37555FB1">
            <w:pPr>
              <w:widowControl/>
              <w:spacing w:line="240" w:lineRule="exact"/>
              <w:jc w:val="center"/>
              <w:rPr>
                <w:rFonts w:eastAsia="仿宋_GB2312"/>
                <w:b/>
                <w:bCs/>
                <w:kern w:val="0"/>
                <w:szCs w:val="21"/>
              </w:rPr>
            </w:pPr>
            <w:r>
              <w:rPr>
                <w:rFonts w:eastAsia="仿宋_GB2312"/>
                <w:b/>
                <w:bCs/>
                <w:kern w:val="0"/>
                <w:szCs w:val="21"/>
              </w:rPr>
              <w:t>污染物</w:t>
            </w:r>
          </w:p>
        </w:tc>
        <w:tc>
          <w:tcPr>
            <w:tcW w:w="1086" w:type="pct"/>
            <w:shd w:val="clear" w:color="auto" w:fill="auto"/>
            <w:tcMar>
              <w:top w:w="15" w:type="dxa"/>
              <w:left w:w="15" w:type="dxa"/>
              <w:bottom w:w="0" w:type="dxa"/>
              <w:right w:w="15" w:type="dxa"/>
            </w:tcMar>
            <w:vAlign w:val="center"/>
          </w:tcPr>
          <w:p w14:paraId="6144CFA8">
            <w:pPr>
              <w:widowControl/>
              <w:spacing w:line="240" w:lineRule="exact"/>
              <w:jc w:val="center"/>
              <w:rPr>
                <w:rFonts w:eastAsia="仿宋_GB2312"/>
                <w:b/>
                <w:bCs/>
                <w:kern w:val="0"/>
                <w:szCs w:val="21"/>
              </w:rPr>
            </w:pPr>
            <w:r>
              <w:rPr>
                <w:rFonts w:eastAsia="仿宋_GB2312"/>
                <w:b/>
                <w:bCs/>
                <w:kern w:val="0"/>
                <w:szCs w:val="21"/>
              </w:rPr>
              <w:t>原有已建项目</w:t>
            </w:r>
          </w:p>
        </w:tc>
        <w:tc>
          <w:tcPr>
            <w:tcW w:w="926" w:type="pct"/>
            <w:shd w:val="clear" w:color="auto" w:fill="auto"/>
            <w:vAlign w:val="center"/>
          </w:tcPr>
          <w:p w14:paraId="27DF4F60">
            <w:pPr>
              <w:widowControl/>
              <w:spacing w:line="240" w:lineRule="exact"/>
              <w:jc w:val="center"/>
              <w:rPr>
                <w:rFonts w:eastAsia="仿宋_GB2312"/>
                <w:b/>
                <w:bCs/>
                <w:kern w:val="0"/>
                <w:szCs w:val="21"/>
              </w:rPr>
            </w:pPr>
            <w:r>
              <w:rPr>
                <w:rFonts w:eastAsia="仿宋_GB2312"/>
                <w:b/>
                <w:bCs/>
                <w:kern w:val="0"/>
                <w:szCs w:val="21"/>
              </w:rPr>
              <w:t>原有未建项目</w:t>
            </w:r>
          </w:p>
        </w:tc>
        <w:tc>
          <w:tcPr>
            <w:tcW w:w="922" w:type="pct"/>
            <w:vAlign w:val="center"/>
          </w:tcPr>
          <w:p w14:paraId="3CF4EC91">
            <w:pPr>
              <w:widowControl/>
              <w:spacing w:line="280" w:lineRule="exact"/>
              <w:jc w:val="center"/>
              <w:rPr>
                <w:rFonts w:eastAsia="仿宋_GB2312"/>
                <w:b/>
                <w:bCs/>
                <w:kern w:val="0"/>
                <w:szCs w:val="21"/>
              </w:rPr>
            </w:pPr>
            <w:r>
              <w:rPr>
                <w:rFonts w:eastAsia="仿宋_GB2312"/>
                <w:b/>
                <w:bCs/>
                <w:kern w:val="0"/>
                <w:szCs w:val="21"/>
              </w:rPr>
              <w:t>全厂排放量</w:t>
            </w:r>
          </w:p>
        </w:tc>
      </w:tr>
      <w:tr w14:paraId="38355B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614" w:type="pct"/>
            <w:vMerge w:val="restart"/>
            <w:shd w:val="clear" w:color="auto" w:fill="auto"/>
            <w:tcMar>
              <w:top w:w="15" w:type="dxa"/>
              <w:left w:w="15" w:type="dxa"/>
              <w:bottom w:w="0" w:type="dxa"/>
              <w:right w:w="15" w:type="dxa"/>
            </w:tcMar>
            <w:vAlign w:val="center"/>
          </w:tcPr>
          <w:p w14:paraId="5C1A7F26">
            <w:pPr>
              <w:widowControl/>
              <w:spacing w:line="240" w:lineRule="exact"/>
              <w:jc w:val="center"/>
              <w:rPr>
                <w:rFonts w:eastAsia="仿宋_GB2312"/>
                <w:kern w:val="0"/>
                <w:szCs w:val="21"/>
              </w:rPr>
            </w:pPr>
            <w:r>
              <w:rPr>
                <w:rFonts w:eastAsia="仿宋_GB2312"/>
                <w:kern w:val="0"/>
                <w:szCs w:val="21"/>
              </w:rPr>
              <w:t>有组织废气</w:t>
            </w:r>
          </w:p>
        </w:tc>
        <w:tc>
          <w:tcPr>
            <w:tcW w:w="1450" w:type="pct"/>
            <w:shd w:val="clear" w:color="auto" w:fill="auto"/>
            <w:tcMar>
              <w:top w:w="15" w:type="dxa"/>
              <w:left w:w="15" w:type="dxa"/>
              <w:bottom w:w="0" w:type="dxa"/>
              <w:right w:w="15" w:type="dxa"/>
            </w:tcMar>
            <w:vAlign w:val="center"/>
          </w:tcPr>
          <w:p w14:paraId="7F8CB9A8">
            <w:pPr>
              <w:widowControl/>
              <w:spacing w:line="240" w:lineRule="exact"/>
              <w:jc w:val="center"/>
              <w:rPr>
                <w:rFonts w:eastAsia="仿宋_GB2312"/>
                <w:kern w:val="0"/>
                <w:szCs w:val="21"/>
              </w:rPr>
            </w:pPr>
            <w:r>
              <w:rPr>
                <w:rFonts w:eastAsia="仿宋_GB2312"/>
                <w:kern w:val="0"/>
                <w:szCs w:val="21"/>
              </w:rPr>
              <w:t>SO</w:t>
            </w:r>
            <w:r>
              <w:rPr>
                <w:rFonts w:eastAsia="仿宋_GB2312"/>
                <w:kern w:val="0"/>
                <w:szCs w:val="21"/>
                <w:vertAlign w:val="subscript"/>
              </w:rPr>
              <w:t>2</w:t>
            </w:r>
          </w:p>
        </w:tc>
        <w:tc>
          <w:tcPr>
            <w:tcW w:w="1086" w:type="pct"/>
            <w:shd w:val="clear" w:color="auto" w:fill="auto"/>
            <w:noWrap/>
            <w:tcMar>
              <w:top w:w="15" w:type="dxa"/>
              <w:left w:w="15" w:type="dxa"/>
              <w:bottom w:w="0" w:type="dxa"/>
              <w:right w:w="15" w:type="dxa"/>
            </w:tcMar>
            <w:vAlign w:val="center"/>
          </w:tcPr>
          <w:p w14:paraId="54BB4E9A">
            <w:pPr>
              <w:jc w:val="center"/>
              <w:rPr>
                <w:szCs w:val="21"/>
              </w:rPr>
            </w:pPr>
            <w:r>
              <w:rPr>
                <w:rFonts w:hint="eastAsia"/>
                <w:szCs w:val="21"/>
              </w:rPr>
              <w:t>55.341</w:t>
            </w:r>
          </w:p>
        </w:tc>
        <w:tc>
          <w:tcPr>
            <w:tcW w:w="926" w:type="pct"/>
            <w:vAlign w:val="center"/>
          </w:tcPr>
          <w:p w14:paraId="30C34B6E">
            <w:pPr>
              <w:jc w:val="center"/>
              <w:rPr>
                <w:szCs w:val="21"/>
              </w:rPr>
            </w:pPr>
            <w:r>
              <w:rPr>
                <w:rFonts w:hint="eastAsia"/>
                <w:szCs w:val="21"/>
              </w:rPr>
              <w:t>/</w:t>
            </w:r>
          </w:p>
        </w:tc>
        <w:tc>
          <w:tcPr>
            <w:tcW w:w="922" w:type="pct"/>
            <w:vAlign w:val="center"/>
          </w:tcPr>
          <w:p w14:paraId="4F317A80">
            <w:pPr>
              <w:jc w:val="center"/>
              <w:rPr>
                <w:szCs w:val="21"/>
              </w:rPr>
            </w:pPr>
            <w:r>
              <w:rPr>
                <w:rFonts w:eastAsia="仿宋_GB2312"/>
                <w:kern w:val="0"/>
                <w:szCs w:val="21"/>
              </w:rPr>
              <w:t>55.341</w:t>
            </w:r>
          </w:p>
        </w:tc>
      </w:tr>
      <w:tr w14:paraId="7A3ADD6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614" w:type="pct"/>
            <w:vMerge w:val="continue"/>
            <w:shd w:val="clear" w:color="auto" w:fill="auto"/>
            <w:vAlign w:val="center"/>
          </w:tcPr>
          <w:p w14:paraId="72058B35">
            <w:pPr>
              <w:widowControl/>
              <w:spacing w:line="240" w:lineRule="exact"/>
              <w:jc w:val="center"/>
              <w:rPr>
                <w:rFonts w:eastAsia="仿宋_GB2312"/>
                <w:kern w:val="0"/>
                <w:szCs w:val="21"/>
              </w:rPr>
            </w:pPr>
          </w:p>
        </w:tc>
        <w:tc>
          <w:tcPr>
            <w:tcW w:w="1450" w:type="pct"/>
            <w:shd w:val="clear" w:color="auto" w:fill="auto"/>
            <w:tcMar>
              <w:top w:w="15" w:type="dxa"/>
              <w:left w:w="15" w:type="dxa"/>
              <w:bottom w:w="0" w:type="dxa"/>
              <w:right w:w="15" w:type="dxa"/>
            </w:tcMar>
            <w:vAlign w:val="center"/>
          </w:tcPr>
          <w:p w14:paraId="59BA546F">
            <w:pPr>
              <w:widowControl/>
              <w:spacing w:line="240" w:lineRule="exact"/>
              <w:jc w:val="center"/>
              <w:rPr>
                <w:rFonts w:eastAsia="仿宋_GB2312"/>
                <w:kern w:val="0"/>
                <w:szCs w:val="21"/>
              </w:rPr>
            </w:pPr>
            <w:r>
              <w:rPr>
                <w:rFonts w:eastAsia="仿宋_GB2312"/>
                <w:kern w:val="0"/>
                <w:szCs w:val="21"/>
              </w:rPr>
              <w:t>CO</w:t>
            </w:r>
          </w:p>
        </w:tc>
        <w:tc>
          <w:tcPr>
            <w:tcW w:w="1086" w:type="pct"/>
            <w:shd w:val="clear" w:color="auto" w:fill="auto"/>
            <w:noWrap/>
            <w:tcMar>
              <w:top w:w="15" w:type="dxa"/>
              <w:left w:w="15" w:type="dxa"/>
              <w:bottom w:w="0" w:type="dxa"/>
              <w:right w:w="15" w:type="dxa"/>
            </w:tcMar>
            <w:vAlign w:val="center"/>
          </w:tcPr>
          <w:p w14:paraId="5C45FA9E">
            <w:pPr>
              <w:jc w:val="center"/>
              <w:rPr>
                <w:szCs w:val="21"/>
              </w:rPr>
            </w:pPr>
            <w:r>
              <w:rPr>
                <w:rFonts w:hint="eastAsia"/>
                <w:szCs w:val="21"/>
              </w:rPr>
              <w:t>37.104</w:t>
            </w:r>
          </w:p>
        </w:tc>
        <w:tc>
          <w:tcPr>
            <w:tcW w:w="926" w:type="pct"/>
            <w:vAlign w:val="center"/>
          </w:tcPr>
          <w:p w14:paraId="03AC6681">
            <w:pPr>
              <w:jc w:val="center"/>
              <w:rPr>
                <w:szCs w:val="21"/>
              </w:rPr>
            </w:pPr>
            <w:r>
              <w:rPr>
                <w:rFonts w:hint="eastAsia"/>
                <w:szCs w:val="21"/>
              </w:rPr>
              <w:t>/</w:t>
            </w:r>
          </w:p>
        </w:tc>
        <w:tc>
          <w:tcPr>
            <w:tcW w:w="922" w:type="pct"/>
            <w:vAlign w:val="center"/>
          </w:tcPr>
          <w:p w14:paraId="07E513F2">
            <w:pPr>
              <w:jc w:val="center"/>
              <w:rPr>
                <w:szCs w:val="21"/>
              </w:rPr>
            </w:pPr>
            <w:r>
              <w:rPr>
                <w:rFonts w:eastAsia="仿宋_GB2312"/>
                <w:kern w:val="0"/>
                <w:szCs w:val="21"/>
              </w:rPr>
              <w:t>37.104</w:t>
            </w:r>
          </w:p>
        </w:tc>
      </w:tr>
      <w:tr w14:paraId="70CB15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614" w:type="pct"/>
            <w:vMerge w:val="continue"/>
            <w:shd w:val="clear" w:color="auto" w:fill="auto"/>
            <w:vAlign w:val="center"/>
          </w:tcPr>
          <w:p w14:paraId="3F4D15AE">
            <w:pPr>
              <w:widowControl/>
              <w:spacing w:line="240" w:lineRule="exact"/>
              <w:jc w:val="center"/>
              <w:rPr>
                <w:rFonts w:eastAsia="仿宋_GB2312"/>
                <w:kern w:val="0"/>
                <w:szCs w:val="21"/>
              </w:rPr>
            </w:pPr>
          </w:p>
        </w:tc>
        <w:tc>
          <w:tcPr>
            <w:tcW w:w="1450" w:type="pct"/>
            <w:shd w:val="clear" w:color="auto" w:fill="auto"/>
            <w:tcMar>
              <w:top w:w="15" w:type="dxa"/>
              <w:left w:w="15" w:type="dxa"/>
              <w:bottom w:w="0" w:type="dxa"/>
              <w:right w:w="15" w:type="dxa"/>
            </w:tcMar>
            <w:vAlign w:val="center"/>
          </w:tcPr>
          <w:p w14:paraId="0B459CE4">
            <w:pPr>
              <w:widowControl/>
              <w:spacing w:line="240" w:lineRule="exact"/>
              <w:jc w:val="center"/>
              <w:rPr>
                <w:rFonts w:eastAsia="仿宋_GB2312"/>
                <w:kern w:val="0"/>
                <w:szCs w:val="21"/>
              </w:rPr>
            </w:pPr>
            <w:r>
              <w:rPr>
                <w:rFonts w:eastAsia="仿宋_GB2312"/>
                <w:kern w:val="0"/>
                <w:szCs w:val="21"/>
              </w:rPr>
              <w:t>NO</w:t>
            </w:r>
            <w:r>
              <w:rPr>
                <w:rFonts w:eastAsia="仿宋_GB2312"/>
                <w:kern w:val="0"/>
                <w:szCs w:val="21"/>
                <w:vertAlign w:val="subscript"/>
              </w:rPr>
              <w:t>x</w:t>
            </w:r>
          </w:p>
        </w:tc>
        <w:tc>
          <w:tcPr>
            <w:tcW w:w="1086" w:type="pct"/>
            <w:shd w:val="clear" w:color="auto" w:fill="auto"/>
            <w:noWrap/>
            <w:tcMar>
              <w:top w:w="15" w:type="dxa"/>
              <w:left w:w="15" w:type="dxa"/>
              <w:bottom w:w="0" w:type="dxa"/>
              <w:right w:w="15" w:type="dxa"/>
            </w:tcMar>
            <w:vAlign w:val="center"/>
          </w:tcPr>
          <w:p w14:paraId="08A080CB">
            <w:pPr>
              <w:jc w:val="center"/>
              <w:rPr>
                <w:szCs w:val="21"/>
              </w:rPr>
            </w:pPr>
            <w:r>
              <w:rPr>
                <w:rFonts w:hint="eastAsia"/>
                <w:szCs w:val="21"/>
              </w:rPr>
              <w:t>121.036</w:t>
            </w:r>
          </w:p>
        </w:tc>
        <w:tc>
          <w:tcPr>
            <w:tcW w:w="926" w:type="pct"/>
            <w:vAlign w:val="center"/>
          </w:tcPr>
          <w:p w14:paraId="1079946F">
            <w:pPr>
              <w:jc w:val="center"/>
              <w:rPr>
                <w:szCs w:val="21"/>
              </w:rPr>
            </w:pPr>
            <w:r>
              <w:rPr>
                <w:rFonts w:hint="eastAsia"/>
                <w:szCs w:val="21"/>
              </w:rPr>
              <w:t>/</w:t>
            </w:r>
          </w:p>
        </w:tc>
        <w:tc>
          <w:tcPr>
            <w:tcW w:w="922" w:type="pct"/>
            <w:vAlign w:val="center"/>
          </w:tcPr>
          <w:p w14:paraId="23403201">
            <w:pPr>
              <w:jc w:val="center"/>
              <w:rPr>
                <w:szCs w:val="21"/>
              </w:rPr>
            </w:pPr>
            <w:r>
              <w:rPr>
                <w:rFonts w:eastAsia="仿宋_GB2312"/>
                <w:kern w:val="0"/>
                <w:szCs w:val="21"/>
              </w:rPr>
              <w:t>121.036</w:t>
            </w:r>
          </w:p>
        </w:tc>
      </w:tr>
      <w:tr w14:paraId="766FBC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614" w:type="pct"/>
            <w:vMerge w:val="continue"/>
            <w:shd w:val="clear" w:color="auto" w:fill="auto"/>
            <w:vAlign w:val="center"/>
          </w:tcPr>
          <w:p w14:paraId="39FFC284">
            <w:pPr>
              <w:widowControl/>
              <w:spacing w:line="240" w:lineRule="exact"/>
              <w:jc w:val="center"/>
              <w:rPr>
                <w:rFonts w:eastAsia="仿宋_GB2312"/>
                <w:kern w:val="0"/>
                <w:szCs w:val="21"/>
              </w:rPr>
            </w:pPr>
          </w:p>
        </w:tc>
        <w:tc>
          <w:tcPr>
            <w:tcW w:w="1450" w:type="pct"/>
            <w:shd w:val="clear" w:color="auto" w:fill="auto"/>
            <w:tcMar>
              <w:top w:w="15" w:type="dxa"/>
              <w:left w:w="15" w:type="dxa"/>
              <w:bottom w:w="0" w:type="dxa"/>
              <w:right w:w="15" w:type="dxa"/>
            </w:tcMar>
            <w:vAlign w:val="center"/>
          </w:tcPr>
          <w:p w14:paraId="23D6161A">
            <w:pPr>
              <w:widowControl/>
              <w:spacing w:line="240" w:lineRule="exact"/>
              <w:jc w:val="center"/>
              <w:rPr>
                <w:rFonts w:eastAsia="仿宋_GB2312"/>
                <w:kern w:val="0"/>
                <w:szCs w:val="21"/>
              </w:rPr>
            </w:pPr>
            <w:r>
              <w:rPr>
                <w:rFonts w:eastAsia="仿宋_GB2312"/>
                <w:kern w:val="0"/>
                <w:szCs w:val="21"/>
              </w:rPr>
              <w:t>HF</w:t>
            </w:r>
          </w:p>
        </w:tc>
        <w:tc>
          <w:tcPr>
            <w:tcW w:w="1086" w:type="pct"/>
            <w:shd w:val="clear" w:color="auto" w:fill="auto"/>
            <w:noWrap/>
            <w:tcMar>
              <w:top w:w="15" w:type="dxa"/>
              <w:left w:w="15" w:type="dxa"/>
              <w:bottom w:w="0" w:type="dxa"/>
              <w:right w:w="15" w:type="dxa"/>
            </w:tcMar>
            <w:vAlign w:val="center"/>
          </w:tcPr>
          <w:p w14:paraId="671A963F">
            <w:pPr>
              <w:jc w:val="center"/>
              <w:rPr>
                <w:szCs w:val="21"/>
              </w:rPr>
            </w:pPr>
            <w:r>
              <w:rPr>
                <w:rFonts w:hint="eastAsia"/>
                <w:szCs w:val="21"/>
              </w:rPr>
              <w:t>1.7394</w:t>
            </w:r>
          </w:p>
        </w:tc>
        <w:tc>
          <w:tcPr>
            <w:tcW w:w="926" w:type="pct"/>
            <w:vAlign w:val="center"/>
          </w:tcPr>
          <w:p w14:paraId="0202CE93">
            <w:pPr>
              <w:jc w:val="center"/>
              <w:rPr>
                <w:szCs w:val="21"/>
              </w:rPr>
            </w:pPr>
            <w:r>
              <w:rPr>
                <w:rFonts w:hint="eastAsia"/>
                <w:szCs w:val="21"/>
              </w:rPr>
              <w:t>/</w:t>
            </w:r>
          </w:p>
        </w:tc>
        <w:tc>
          <w:tcPr>
            <w:tcW w:w="922" w:type="pct"/>
            <w:vAlign w:val="center"/>
          </w:tcPr>
          <w:p w14:paraId="40BB8F28">
            <w:pPr>
              <w:jc w:val="center"/>
              <w:rPr>
                <w:szCs w:val="21"/>
              </w:rPr>
            </w:pPr>
            <w:r>
              <w:rPr>
                <w:rFonts w:eastAsia="仿宋_GB2312"/>
                <w:kern w:val="0"/>
                <w:szCs w:val="21"/>
              </w:rPr>
              <w:t>1.7394</w:t>
            </w:r>
          </w:p>
        </w:tc>
      </w:tr>
      <w:tr w14:paraId="1F6309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614" w:type="pct"/>
            <w:vMerge w:val="continue"/>
            <w:shd w:val="clear" w:color="auto" w:fill="auto"/>
            <w:vAlign w:val="center"/>
          </w:tcPr>
          <w:p w14:paraId="379AFE0D">
            <w:pPr>
              <w:widowControl/>
              <w:spacing w:line="240" w:lineRule="exact"/>
              <w:jc w:val="center"/>
              <w:rPr>
                <w:rFonts w:eastAsia="仿宋_GB2312"/>
                <w:kern w:val="0"/>
                <w:szCs w:val="21"/>
                <w:highlight w:val="yellow"/>
              </w:rPr>
            </w:pPr>
          </w:p>
        </w:tc>
        <w:tc>
          <w:tcPr>
            <w:tcW w:w="1450" w:type="pct"/>
            <w:shd w:val="clear" w:color="auto" w:fill="auto"/>
            <w:tcMar>
              <w:top w:w="15" w:type="dxa"/>
              <w:left w:w="15" w:type="dxa"/>
              <w:bottom w:w="0" w:type="dxa"/>
              <w:right w:w="15" w:type="dxa"/>
            </w:tcMar>
            <w:vAlign w:val="center"/>
          </w:tcPr>
          <w:p w14:paraId="50111BB4">
            <w:pPr>
              <w:widowControl/>
              <w:spacing w:line="240" w:lineRule="exact"/>
              <w:jc w:val="center"/>
              <w:rPr>
                <w:rFonts w:eastAsia="仿宋_GB2312"/>
                <w:kern w:val="0"/>
                <w:szCs w:val="21"/>
              </w:rPr>
            </w:pPr>
            <w:r>
              <w:rPr>
                <w:rFonts w:eastAsia="仿宋_GB2312"/>
                <w:kern w:val="0"/>
                <w:szCs w:val="21"/>
              </w:rPr>
              <w:t>颗粒物（烟粉尘）</w:t>
            </w:r>
          </w:p>
        </w:tc>
        <w:tc>
          <w:tcPr>
            <w:tcW w:w="1086" w:type="pct"/>
            <w:shd w:val="clear" w:color="auto" w:fill="auto"/>
            <w:noWrap/>
            <w:tcMar>
              <w:top w:w="15" w:type="dxa"/>
              <w:left w:w="15" w:type="dxa"/>
              <w:bottom w:w="0" w:type="dxa"/>
              <w:right w:w="15" w:type="dxa"/>
            </w:tcMar>
            <w:vAlign w:val="center"/>
          </w:tcPr>
          <w:p w14:paraId="3B60A035">
            <w:pPr>
              <w:jc w:val="center"/>
              <w:rPr>
                <w:szCs w:val="21"/>
              </w:rPr>
            </w:pPr>
            <w:r>
              <w:rPr>
                <w:rFonts w:hint="eastAsia"/>
                <w:szCs w:val="21"/>
              </w:rPr>
              <w:t>17.816</w:t>
            </w:r>
          </w:p>
        </w:tc>
        <w:tc>
          <w:tcPr>
            <w:tcW w:w="926" w:type="pct"/>
            <w:vAlign w:val="center"/>
          </w:tcPr>
          <w:p w14:paraId="04EEE69A">
            <w:pPr>
              <w:jc w:val="center"/>
              <w:rPr>
                <w:szCs w:val="21"/>
              </w:rPr>
            </w:pPr>
            <w:r>
              <w:rPr>
                <w:rFonts w:hint="eastAsia"/>
                <w:szCs w:val="21"/>
              </w:rPr>
              <w:t>0.006</w:t>
            </w:r>
          </w:p>
        </w:tc>
        <w:tc>
          <w:tcPr>
            <w:tcW w:w="922" w:type="pct"/>
            <w:vAlign w:val="center"/>
          </w:tcPr>
          <w:p w14:paraId="5C115126">
            <w:pPr>
              <w:jc w:val="center"/>
              <w:rPr>
                <w:szCs w:val="21"/>
              </w:rPr>
            </w:pPr>
            <w:r>
              <w:rPr>
                <w:rFonts w:eastAsia="仿宋_GB2312"/>
                <w:kern w:val="0"/>
                <w:szCs w:val="21"/>
              </w:rPr>
              <w:t>17.822</w:t>
            </w:r>
          </w:p>
        </w:tc>
      </w:tr>
      <w:tr w14:paraId="0C3B02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614" w:type="pct"/>
            <w:vMerge w:val="continue"/>
            <w:shd w:val="clear" w:color="auto" w:fill="auto"/>
            <w:vAlign w:val="center"/>
          </w:tcPr>
          <w:p w14:paraId="3567C6E7">
            <w:pPr>
              <w:widowControl/>
              <w:spacing w:line="240" w:lineRule="exact"/>
              <w:jc w:val="center"/>
              <w:rPr>
                <w:rFonts w:eastAsia="仿宋_GB2312"/>
                <w:kern w:val="0"/>
                <w:szCs w:val="21"/>
                <w:highlight w:val="yellow"/>
              </w:rPr>
            </w:pPr>
          </w:p>
        </w:tc>
        <w:tc>
          <w:tcPr>
            <w:tcW w:w="1450" w:type="pct"/>
            <w:shd w:val="clear" w:color="auto" w:fill="auto"/>
            <w:tcMar>
              <w:top w:w="15" w:type="dxa"/>
              <w:left w:w="15" w:type="dxa"/>
              <w:bottom w:w="0" w:type="dxa"/>
              <w:right w:w="15" w:type="dxa"/>
            </w:tcMar>
            <w:vAlign w:val="center"/>
          </w:tcPr>
          <w:p w14:paraId="69466B26">
            <w:pPr>
              <w:widowControl/>
              <w:spacing w:line="240" w:lineRule="exact"/>
              <w:jc w:val="center"/>
              <w:rPr>
                <w:rFonts w:eastAsia="仿宋_GB2312"/>
                <w:kern w:val="0"/>
                <w:szCs w:val="21"/>
              </w:rPr>
            </w:pPr>
            <w:r>
              <w:rPr>
                <w:rFonts w:eastAsia="仿宋_GB2312"/>
                <w:kern w:val="0"/>
                <w:szCs w:val="21"/>
              </w:rPr>
              <w:t>硫酸雾</w:t>
            </w:r>
          </w:p>
        </w:tc>
        <w:tc>
          <w:tcPr>
            <w:tcW w:w="1086" w:type="pct"/>
            <w:shd w:val="clear" w:color="auto" w:fill="auto"/>
            <w:noWrap/>
            <w:tcMar>
              <w:top w:w="15" w:type="dxa"/>
              <w:left w:w="15" w:type="dxa"/>
              <w:bottom w:w="0" w:type="dxa"/>
              <w:right w:w="15" w:type="dxa"/>
            </w:tcMar>
            <w:vAlign w:val="center"/>
          </w:tcPr>
          <w:p w14:paraId="4D898BD6">
            <w:pPr>
              <w:jc w:val="center"/>
              <w:rPr>
                <w:szCs w:val="21"/>
              </w:rPr>
            </w:pPr>
            <w:r>
              <w:rPr>
                <w:rFonts w:hint="eastAsia"/>
                <w:szCs w:val="21"/>
              </w:rPr>
              <w:t>0.1843</w:t>
            </w:r>
          </w:p>
        </w:tc>
        <w:tc>
          <w:tcPr>
            <w:tcW w:w="926" w:type="pct"/>
            <w:vAlign w:val="center"/>
          </w:tcPr>
          <w:p w14:paraId="30C67453">
            <w:pPr>
              <w:jc w:val="center"/>
              <w:rPr>
                <w:szCs w:val="21"/>
              </w:rPr>
            </w:pPr>
            <w:r>
              <w:rPr>
                <w:rFonts w:hint="eastAsia"/>
                <w:szCs w:val="21"/>
              </w:rPr>
              <w:t>0.42</w:t>
            </w:r>
          </w:p>
        </w:tc>
        <w:tc>
          <w:tcPr>
            <w:tcW w:w="922" w:type="pct"/>
            <w:vAlign w:val="center"/>
          </w:tcPr>
          <w:p w14:paraId="486956FD">
            <w:pPr>
              <w:jc w:val="center"/>
              <w:rPr>
                <w:szCs w:val="21"/>
              </w:rPr>
            </w:pPr>
            <w:r>
              <w:rPr>
                <w:szCs w:val="21"/>
              </w:rPr>
              <w:t>0.60</w:t>
            </w:r>
            <w:r>
              <w:rPr>
                <w:rFonts w:hint="eastAsia"/>
                <w:szCs w:val="21"/>
              </w:rPr>
              <w:t>4</w:t>
            </w:r>
            <w:r>
              <w:rPr>
                <w:szCs w:val="21"/>
              </w:rPr>
              <w:t>3</w:t>
            </w:r>
          </w:p>
        </w:tc>
      </w:tr>
      <w:tr w14:paraId="7CBB35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614" w:type="pct"/>
            <w:vMerge w:val="continue"/>
            <w:shd w:val="clear" w:color="auto" w:fill="auto"/>
            <w:vAlign w:val="center"/>
          </w:tcPr>
          <w:p w14:paraId="4EE172DF">
            <w:pPr>
              <w:widowControl/>
              <w:spacing w:line="240" w:lineRule="exact"/>
              <w:jc w:val="center"/>
              <w:rPr>
                <w:rFonts w:eastAsia="仿宋_GB2312"/>
                <w:kern w:val="0"/>
                <w:szCs w:val="21"/>
                <w:highlight w:val="yellow"/>
              </w:rPr>
            </w:pPr>
          </w:p>
        </w:tc>
        <w:tc>
          <w:tcPr>
            <w:tcW w:w="1450" w:type="pct"/>
            <w:shd w:val="clear" w:color="auto" w:fill="auto"/>
            <w:tcMar>
              <w:top w:w="15" w:type="dxa"/>
              <w:left w:w="15" w:type="dxa"/>
              <w:bottom w:w="0" w:type="dxa"/>
              <w:right w:w="15" w:type="dxa"/>
            </w:tcMar>
            <w:vAlign w:val="center"/>
          </w:tcPr>
          <w:p w14:paraId="3A00A350">
            <w:pPr>
              <w:widowControl/>
              <w:spacing w:line="240" w:lineRule="exact"/>
              <w:jc w:val="center"/>
              <w:rPr>
                <w:rFonts w:eastAsia="仿宋_GB2312"/>
                <w:kern w:val="0"/>
                <w:szCs w:val="21"/>
              </w:rPr>
            </w:pPr>
            <w:r>
              <w:rPr>
                <w:rFonts w:eastAsia="仿宋_GB2312"/>
                <w:kern w:val="0"/>
                <w:szCs w:val="21"/>
              </w:rPr>
              <w:t>HCl</w:t>
            </w:r>
          </w:p>
        </w:tc>
        <w:tc>
          <w:tcPr>
            <w:tcW w:w="1086" w:type="pct"/>
            <w:shd w:val="clear" w:color="auto" w:fill="auto"/>
            <w:noWrap/>
            <w:tcMar>
              <w:top w:w="15" w:type="dxa"/>
              <w:left w:w="15" w:type="dxa"/>
              <w:bottom w:w="0" w:type="dxa"/>
              <w:right w:w="15" w:type="dxa"/>
            </w:tcMar>
            <w:vAlign w:val="center"/>
          </w:tcPr>
          <w:p w14:paraId="458606C9">
            <w:pPr>
              <w:jc w:val="center"/>
              <w:rPr>
                <w:szCs w:val="21"/>
              </w:rPr>
            </w:pPr>
            <w:r>
              <w:rPr>
                <w:rFonts w:hint="eastAsia"/>
                <w:szCs w:val="21"/>
              </w:rPr>
              <w:t>13.9791</w:t>
            </w:r>
          </w:p>
        </w:tc>
        <w:tc>
          <w:tcPr>
            <w:tcW w:w="926" w:type="pct"/>
            <w:vAlign w:val="center"/>
          </w:tcPr>
          <w:p w14:paraId="41BF14E0">
            <w:pPr>
              <w:jc w:val="center"/>
              <w:rPr>
                <w:szCs w:val="21"/>
              </w:rPr>
            </w:pPr>
            <w:r>
              <w:rPr>
                <w:rFonts w:hint="eastAsia"/>
                <w:szCs w:val="21"/>
              </w:rPr>
              <w:t>0.08</w:t>
            </w:r>
          </w:p>
        </w:tc>
        <w:tc>
          <w:tcPr>
            <w:tcW w:w="922" w:type="pct"/>
            <w:vAlign w:val="center"/>
          </w:tcPr>
          <w:p w14:paraId="5A90B6A1">
            <w:pPr>
              <w:jc w:val="center"/>
              <w:rPr>
                <w:szCs w:val="21"/>
              </w:rPr>
            </w:pPr>
            <w:r>
              <w:rPr>
                <w:szCs w:val="21"/>
              </w:rPr>
              <w:t>14.</w:t>
            </w:r>
            <w:r>
              <w:rPr>
                <w:rFonts w:hint="eastAsia"/>
                <w:szCs w:val="21"/>
              </w:rPr>
              <w:t>0591</w:t>
            </w:r>
          </w:p>
        </w:tc>
      </w:tr>
      <w:tr w14:paraId="5F7070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614" w:type="pct"/>
            <w:vMerge w:val="continue"/>
            <w:shd w:val="clear" w:color="auto" w:fill="auto"/>
            <w:vAlign w:val="center"/>
          </w:tcPr>
          <w:p w14:paraId="350DAD3C">
            <w:pPr>
              <w:widowControl/>
              <w:spacing w:line="240" w:lineRule="exact"/>
              <w:jc w:val="center"/>
              <w:rPr>
                <w:rFonts w:eastAsia="仿宋_GB2312"/>
                <w:kern w:val="0"/>
                <w:szCs w:val="21"/>
                <w:highlight w:val="yellow"/>
              </w:rPr>
            </w:pPr>
          </w:p>
        </w:tc>
        <w:tc>
          <w:tcPr>
            <w:tcW w:w="1450" w:type="pct"/>
            <w:shd w:val="clear" w:color="auto" w:fill="auto"/>
            <w:tcMar>
              <w:top w:w="15" w:type="dxa"/>
              <w:left w:w="15" w:type="dxa"/>
              <w:bottom w:w="0" w:type="dxa"/>
              <w:right w:w="15" w:type="dxa"/>
            </w:tcMar>
            <w:vAlign w:val="center"/>
          </w:tcPr>
          <w:p w14:paraId="68BBA3BF">
            <w:pPr>
              <w:widowControl/>
              <w:spacing w:line="240" w:lineRule="exact"/>
              <w:jc w:val="center"/>
              <w:rPr>
                <w:rFonts w:eastAsia="仿宋_GB2312"/>
                <w:kern w:val="0"/>
                <w:szCs w:val="21"/>
              </w:rPr>
            </w:pPr>
            <w:r>
              <w:rPr>
                <w:rFonts w:eastAsia="仿宋_GB2312"/>
                <w:kern w:val="0"/>
                <w:szCs w:val="21"/>
              </w:rPr>
              <w:t>硝酸雾</w:t>
            </w:r>
          </w:p>
        </w:tc>
        <w:tc>
          <w:tcPr>
            <w:tcW w:w="1086" w:type="pct"/>
            <w:shd w:val="clear" w:color="auto" w:fill="auto"/>
            <w:noWrap/>
            <w:tcMar>
              <w:top w:w="15" w:type="dxa"/>
              <w:left w:w="15" w:type="dxa"/>
              <w:bottom w:w="0" w:type="dxa"/>
              <w:right w:w="15" w:type="dxa"/>
            </w:tcMar>
            <w:vAlign w:val="center"/>
          </w:tcPr>
          <w:p w14:paraId="0185C523">
            <w:pPr>
              <w:jc w:val="center"/>
              <w:rPr>
                <w:szCs w:val="21"/>
              </w:rPr>
            </w:pPr>
            <w:r>
              <w:rPr>
                <w:rFonts w:hint="eastAsia"/>
                <w:szCs w:val="21"/>
              </w:rPr>
              <w:t>0.0814</w:t>
            </w:r>
          </w:p>
        </w:tc>
        <w:tc>
          <w:tcPr>
            <w:tcW w:w="926" w:type="pct"/>
            <w:vAlign w:val="center"/>
          </w:tcPr>
          <w:p w14:paraId="03E86EAA">
            <w:pPr>
              <w:jc w:val="center"/>
              <w:rPr>
                <w:szCs w:val="21"/>
              </w:rPr>
            </w:pPr>
            <w:r>
              <w:rPr>
                <w:rFonts w:hint="eastAsia"/>
                <w:szCs w:val="21"/>
              </w:rPr>
              <w:t>0.29</w:t>
            </w:r>
          </w:p>
        </w:tc>
        <w:tc>
          <w:tcPr>
            <w:tcW w:w="922" w:type="pct"/>
            <w:vAlign w:val="center"/>
          </w:tcPr>
          <w:p w14:paraId="06EA23EA">
            <w:pPr>
              <w:jc w:val="center"/>
              <w:rPr>
                <w:szCs w:val="21"/>
              </w:rPr>
            </w:pPr>
            <w:r>
              <w:rPr>
                <w:szCs w:val="21"/>
              </w:rPr>
              <w:t>0.37</w:t>
            </w:r>
            <w:r>
              <w:rPr>
                <w:rFonts w:hint="eastAsia"/>
                <w:szCs w:val="21"/>
              </w:rPr>
              <w:t>1</w:t>
            </w:r>
            <w:r>
              <w:rPr>
                <w:szCs w:val="21"/>
              </w:rPr>
              <w:t>4</w:t>
            </w:r>
          </w:p>
        </w:tc>
      </w:tr>
      <w:tr w14:paraId="334699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614" w:type="pct"/>
            <w:vMerge w:val="continue"/>
            <w:shd w:val="clear" w:color="auto" w:fill="auto"/>
            <w:vAlign w:val="center"/>
          </w:tcPr>
          <w:p w14:paraId="77A44A28">
            <w:pPr>
              <w:widowControl/>
              <w:spacing w:line="240" w:lineRule="exact"/>
              <w:jc w:val="center"/>
              <w:rPr>
                <w:rFonts w:eastAsia="仿宋_GB2312"/>
                <w:kern w:val="0"/>
                <w:szCs w:val="21"/>
                <w:highlight w:val="yellow"/>
              </w:rPr>
            </w:pPr>
          </w:p>
        </w:tc>
        <w:tc>
          <w:tcPr>
            <w:tcW w:w="1450" w:type="pct"/>
            <w:shd w:val="clear" w:color="auto" w:fill="auto"/>
            <w:tcMar>
              <w:top w:w="15" w:type="dxa"/>
              <w:left w:w="15" w:type="dxa"/>
              <w:bottom w:w="0" w:type="dxa"/>
              <w:right w:w="15" w:type="dxa"/>
            </w:tcMar>
            <w:vAlign w:val="center"/>
          </w:tcPr>
          <w:p w14:paraId="74BDE334">
            <w:pPr>
              <w:widowControl/>
              <w:spacing w:line="240" w:lineRule="exact"/>
              <w:jc w:val="center"/>
              <w:rPr>
                <w:rFonts w:eastAsia="仿宋_GB2312"/>
                <w:kern w:val="0"/>
                <w:szCs w:val="21"/>
              </w:rPr>
            </w:pPr>
            <w:r>
              <w:rPr>
                <w:rFonts w:eastAsia="仿宋_GB2312"/>
                <w:kern w:val="0"/>
                <w:szCs w:val="21"/>
              </w:rPr>
              <w:t>氰化氢</w:t>
            </w:r>
          </w:p>
        </w:tc>
        <w:tc>
          <w:tcPr>
            <w:tcW w:w="1086" w:type="pct"/>
            <w:shd w:val="clear" w:color="auto" w:fill="auto"/>
            <w:noWrap/>
            <w:tcMar>
              <w:top w:w="15" w:type="dxa"/>
              <w:left w:w="15" w:type="dxa"/>
              <w:bottom w:w="0" w:type="dxa"/>
              <w:right w:w="15" w:type="dxa"/>
            </w:tcMar>
            <w:vAlign w:val="center"/>
          </w:tcPr>
          <w:p w14:paraId="33C239B4">
            <w:pPr>
              <w:jc w:val="center"/>
              <w:rPr>
                <w:szCs w:val="21"/>
              </w:rPr>
            </w:pPr>
            <w:r>
              <w:rPr>
                <w:rFonts w:hint="eastAsia"/>
                <w:szCs w:val="21"/>
              </w:rPr>
              <w:t>/</w:t>
            </w:r>
          </w:p>
        </w:tc>
        <w:tc>
          <w:tcPr>
            <w:tcW w:w="926" w:type="pct"/>
            <w:vAlign w:val="center"/>
          </w:tcPr>
          <w:p w14:paraId="3D2C72F3">
            <w:pPr>
              <w:jc w:val="center"/>
              <w:rPr>
                <w:szCs w:val="21"/>
              </w:rPr>
            </w:pPr>
            <w:r>
              <w:rPr>
                <w:rFonts w:hint="eastAsia"/>
                <w:szCs w:val="21"/>
              </w:rPr>
              <w:t>0.02</w:t>
            </w:r>
          </w:p>
        </w:tc>
        <w:tc>
          <w:tcPr>
            <w:tcW w:w="922" w:type="pct"/>
            <w:vAlign w:val="center"/>
          </w:tcPr>
          <w:p w14:paraId="6D42B5D5">
            <w:pPr>
              <w:jc w:val="center"/>
              <w:rPr>
                <w:szCs w:val="21"/>
              </w:rPr>
            </w:pPr>
            <w:r>
              <w:rPr>
                <w:szCs w:val="21"/>
              </w:rPr>
              <w:t>0.02</w:t>
            </w:r>
          </w:p>
        </w:tc>
      </w:tr>
      <w:tr w14:paraId="3CD88D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614" w:type="pct"/>
            <w:vMerge w:val="continue"/>
            <w:shd w:val="clear" w:color="auto" w:fill="auto"/>
            <w:vAlign w:val="center"/>
          </w:tcPr>
          <w:p w14:paraId="3672033E">
            <w:pPr>
              <w:widowControl/>
              <w:spacing w:line="240" w:lineRule="exact"/>
              <w:jc w:val="center"/>
              <w:rPr>
                <w:rFonts w:eastAsia="仿宋_GB2312"/>
                <w:kern w:val="0"/>
                <w:szCs w:val="21"/>
                <w:highlight w:val="yellow"/>
              </w:rPr>
            </w:pPr>
          </w:p>
        </w:tc>
        <w:tc>
          <w:tcPr>
            <w:tcW w:w="1450" w:type="pct"/>
            <w:shd w:val="clear" w:color="auto" w:fill="auto"/>
            <w:tcMar>
              <w:top w:w="15" w:type="dxa"/>
              <w:left w:w="15" w:type="dxa"/>
              <w:bottom w:w="0" w:type="dxa"/>
              <w:right w:w="15" w:type="dxa"/>
            </w:tcMar>
            <w:vAlign w:val="center"/>
          </w:tcPr>
          <w:p w14:paraId="4EF336F1">
            <w:pPr>
              <w:widowControl/>
              <w:spacing w:line="240" w:lineRule="exact"/>
              <w:jc w:val="center"/>
              <w:rPr>
                <w:rFonts w:eastAsia="仿宋_GB2312"/>
                <w:kern w:val="0"/>
                <w:szCs w:val="21"/>
              </w:rPr>
            </w:pPr>
            <w:r>
              <w:rPr>
                <w:rFonts w:eastAsia="仿宋_GB2312"/>
                <w:kern w:val="0"/>
                <w:szCs w:val="21"/>
              </w:rPr>
              <w:t>铬酸雾</w:t>
            </w:r>
          </w:p>
        </w:tc>
        <w:tc>
          <w:tcPr>
            <w:tcW w:w="1086" w:type="pct"/>
            <w:shd w:val="clear" w:color="auto" w:fill="auto"/>
            <w:noWrap/>
            <w:tcMar>
              <w:top w:w="15" w:type="dxa"/>
              <w:left w:w="15" w:type="dxa"/>
              <w:bottom w:w="0" w:type="dxa"/>
              <w:right w:w="15" w:type="dxa"/>
            </w:tcMar>
            <w:vAlign w:val="center"/>
          </w:tcPr>
          <w:p w14:paraId="638F9816">
            <w:pPr>
              <w:jc w:val="center"/>
              <w:rPr>
                <w:szCs w:val="21"/>
              </w:rPr>
            </w:pPr>
            <w:r>
              <w:rPr>
                <w:rFonts w:hint="eastAsia"/>
                <w:szCs w:val="21"/>
              </w:rPr>
              <w:t>/</w:t>
            </w:r>
          </w:p>
        </w:tc>
        <w:tc>
          <w:tcPr>
            <w:tcW w:w="926" w:type="pct"/>
            <w:vAlign w:val="center"/>
          </w:tcPr>
          <w:p w14:paraId="16CA6A59">
            <w:pPr>
              <w:jc w:val="center"/>
              <w:rPr>
                <w:szCs w:val="21"/>
              </w:rPr>
            </w:pPr>
            <w:r>
              <w:rPr>
                <w:rFonts w:hint="eastAsia"/>
                <w:szCs w:val="21"/>
              </w:rPr>
              <w:t>0.001</w:t>
            </w:r>
          </w:p>
        </w:tc>
        <w:tc>
          <w:tcPr>
            <w:tcW w:w="922" w:type="pct"/>
            <w:vAlign w:val="center"/>
          </w:tcPr>
          <w:p w14:paraId="6E5E9073">
            <w:pPr>
              <w:jc w:val="center"/>
              <w:rPr>
                <w:szCs w:val="21"/>
              </w:rPr>
            </w:pPr>
            <w:r>
              <w:rPr>
                <w:szCs w:val="21"/>
              </w:rPr>
              <w:t>0.001</w:t>
            </w:r>
          </w:p>
        </w:tc>
      </w:tr>
      <w:tr w14:paraId="512267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614" w:type="pct"/>
            <w:vMerge w:val="continue"/>
            <w:shd w:val="clear" w:color="auto" w:fill="auto"/>
            <w:vAlign w:val="center"/>
          </w:tcPr>
          <w:p w14:paraId="5AC6CA9F">
            <w:pPr>
              <w:widowControl/>
              <w:spacing w:line="240" w:lineRule="exact"/>
              <w:jc w:val="center"/>
              <w:rPr>
                <w:rFonts w:eastAsia="仿宋_GB2312"/>
                <w:kern w:val="0"/>
                <w:szCs w:val="21"/>
                <w:highlight w:val="yellow"/>
              </w:rPr>
            </w:pPr>
          </w:p>
        </w:tc>
        <w:tc>
          <w:tcPr>
            <w:tcW w:w="1450" w:type="pct"/>
            <w:shd w:val="clear" w:color="auto" w:fill="auto"/>
            <w:tcMar>
              <w:top w:w="15" w:type="dxa"/>
              <w:left w:w="15" w:type="dxa"/>
              <w:bottom w:w="0" w:type="dxa"/>
              <w:right w:w="15" w:type="dxa"/>
            </w:tcMar>
            <w:vAlign w:val="center"/>
          </w:tcPr>
          <w:p w14:paraId="17581B38">
            <w:pPr>
              <w:widowControl/>
              <w:spacing w:line="240" w:lineRule="exact"/>
              <w:jc w:val="center"/>
              <w:rPr>
                <w:rFonts w:eastAsia="仿宋_GB2312"/>
                <w:kern w:val="0"/>
                <w:szCs w:val="21"/>
              </w:rPr>
            </w:pPr>
            <w:r>
              <w:rPr>
                <w:rFonts w:eastAsia="仿宋_GB2312"/>
                <w:kern w:val="0"/>
                <w:szCs w:val="21"/>
              </w:rPr>
              <w:t>异丙醇</w:t>
            </w:r>
          </w:p>
        </w:tc>
        <w:tc>
          <w:tcPr>
            <w:tcW w:w="1086" w:type="pct"/>
            <w:shd w:val="clear" w:color="auto" w:fill="auto"/>
            <w:noWrap/>
            <w:tcMar>
              <w:top w:w="15" w:type="dxa"/>
              <w:left w:w="15" w:type="dxa"/>
              <w:bottom w:w="0" w:type="dxa"/>
              <w:right w:w="15" w:type="dxa"/>
            </w:tcMar>
            <w:vAlign w:val="center"/>
          </w:tcPr>
          <w:p w14:paraId="2A18E493">
            <w:pPr>
              <w:jc w:val="center"/>
              <w:rPr>
                <w:szCs w:val="21"/>
              </w:rPr>
            </w:pPr>
            <w:r>
              <w:rPr>
                <w:rFonts w:hint="eastAsia"/>
                <w:szCs w:val="21"/>
              </w:rPr>
              <w:t>0.51764</w:t>
            </w:r>
          </w:p>
        </w:tc>
        <w:tc>
          <w:tcPr>
            <w:tcW w:w="926" w:type="pct"/>
            <w:vAlign w:val="center"/>
          </w:tcPr>
          <w:p w14:paraId="18059BD8">
            <w:pPr>
              <w:jc w:val="center"/>
              <w:rPr>
                <w:szCs w:val="21"/>
              </w:rPr>
            </w:pPr>
            <w:r>
              <w:rPr>
                <w:rFonts w:hint="eastAsia"/>
                <w:szCs w:val="21"/>
              </w:rPr>
              <w:t>0.88</w:t>
            </w:r>
          </w:p>
        </w:tc>
        <w:tc>
          <w:tcPr>
            <w:tcW w:w="922" w:type="pct"/>
            <w:vAlign w:val="center"/>
          </w:tcPr>
          <w:p w14:paraId="2A38690A">
            <w:pPr>
              <w:jc w:val="center"/>
              <w:rPr>
                <w:szCs w:val="21"/>
              </w:rPr>
            </w:pPr>
            <w:r>
              <w:rPr>
                <w:szCs w:val="21"/>
              </w:rPr>
              <w:t>1.</w:t>
            </w:r>
            <w:r>
              <w:rPr>
                <w:rFonts w:hint="eastAsia"/>
                <w:szCs w:val="21"/>
              </w:rPr>
              <w:t>39764</w:t>
            </w:r>
          </w:p>
        </w:tc>
      </w:tr>
      <w:tr w14:paraId="1C17C2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614" w:type="pct"/>
            <w:vMerge w:val="continue"/>
            <w:shd w:val="clear" w:color="auto" w:fill="auto"/>
            <w:vAlign w:val="center"/>
          </w:tcPr>
          <w:p w14:paraId="2FEE0113">
            <w:pPr>
              <w:widowControl/>
              <w:spacing w:line="240" w:lineRule="exact"/>
              <w:jc w:val="center"/>
              <w:rPr>
                <w:rFonts w:eastAsia="仿宋_GB2312"/>
                <w:kern w:val="0"/>
                <w:szCs w:val="21"/>
                <w:highlight w:val="yellow"/>
              </w:rPr>
            </w:pPr>
          </w:p>
        </w:tc>
        <w:tc>
          <w:tcPr>
            <w:tcW w:w="1450" w:type="pct"/>
            <w:shd w:val="clear" w:color="auto" w:fill="auto"/>
            <w:tcMar>
              <w:top w:w="15" w:type="dxa"/>
              <w:left w:w="15" w:type="dxa"/>
              <w:bottom w:w="0" w:type="dxa"/>
              <w:right w:w="15" w:type="dxa"/>
            </w:tcMar>
            <w:vAlign w:val="center"/>
          </w:tcPr>
          <w:p w14:paraId="58AC0639">
            <w:pPr>
              <w:widowControl/>
              <w:spacing w:line="240" w:lineRule="exact"/>
              <w:jc w:val="center"/>
              <w:rPr>
                <w:rFonts w:eastAsia="仿宋_GB2312"/>
                <w:kern w:val="0"/>
                <w:szCs w:val="21"/>
              </w:rPr>
            </w:pPr>
            <w:r>
              <w:rPr>
                <w:rFonts w:eastAsia="仿宋_GB2312"/>
                <w:kern w:val="0"/>
                <w:szCs w:val="21"/>
              </w:rPr>
              <w:t>甲醛</w:t>
            </w:r>
          </w:p>
        </w:tc>
        <w:tc>
          <w:tcPr>
            <w:tcW w:w="1086" w:type="pct"/>
            <w:shd w:val="clear" w:color="auto" w:fill="auto"/>
            <w:noWrap/>
            <w:tcMar>
              <w:top w:w="15" w:type="dxa"/>
              <w:left w:w="15" w:type="dxa"/>
              <w:bottom w:w="0" w:type="dxa"/>
              <w:right w:w="15" w:type="dxa"/>
            </w:tcMar>
            <w:vAlign w:val="center"/>
          </w:tcPr>
          <w:p w14:paraId="5A77AE1E">
            <w:pPr>
              <w:jc w:val="center"/>
              <w:rPr>
                <w:szCs w:val="21"/>
              </w:rPr>
            </w:pPr>
            <w:r>
              <w:rPr>
                <w:rFonts w:hint="eastAsia"/>
                <w:szCs w:val="21"/>
              </w:rPr>
              <w:t>/</w:t>
            </w:r>
          </w:p>
        </w:tc>
        <w:tc>
          <w:tcPr>
            <w:tcW w:w="926" w:type="pct"/>
            <w:shd w:val="clear" w:color="auto" w:fill="auto"/>
            <w:vAlign w:val="center"/>
          </w:tcPr>
          <w:p w14:paraId="3C5FA6F1">
            <w:pPr>
              <w:widowControl/>
              <w:snapToGrid w:val="0"/>
              <w:spacing w:line="280" w:lineRule="exact"/>
              <w:jc w:val="center"/>
              <w:rPr>
                <w:rFonts w:eastAsia="仿宋_GB2312"/>
                <w:kern w:val="0"/>
                <w:szCs w:val="21"/>
              </w:rPr>
            </w:pPr>
            <w:r>
              <w:rPr>
                <w:rFonts w:eastAsia="仿宋_GB2312"/>
                <w:kern w:val="0"/>
                <w:szCs w:val="21"/>
              </w:rPr>
              <w:t>0.045</w:t>
            </w:r>
          </w:p>
        </w:tc>
        <w:tc>
          <w:tcPr>
            <w:tcW w:w="922" w:type="pct"/>
            <w:vAlign w:val="center"/>
          </w:tcPr>
          <w:p w14:paraId="3C94308F">
            <w:pPr>
              <w:jc w:val="center"/>
              <w:rPr>
                <w:szCs w:val="21"/>
              </w:rPr>
            </w:pPr>
            <w:r>
              <w:rPr>
                <w:szCs w:val="21"/>
              </w:rPr>
              <w:t>0.045</w:t>
            </w:r>
          </w:p>
        </w:tc>
      </w:tr>
      <w:tr w14:paraId="467DF1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614" w:type="pct"/>
            <w:vMerge w:val="continue"/>
            <w:shd w:val="clear" w:color="auto" w:fill="auto"/>
            <w:vAlign w:val="center"/>
          </w:tcPr>
          <w:p w14:paraId="569EDEC9">
            <w:pPr>
              <w:widowControl/>
              <w:spacing w:line="240" w:lineRule="exact"/>
              <w:jc w:val="center"/>
              <w:rPr>
                <w:rFonts w:eastAsia="仿宋_GB2312"/>
                <w:kern w:val="0"/>
                <w:szCs w:val="21"/>
                <w:highlight w:val="yellow"/>
              </w:rPr>
            </w:pPr>
          </w:p>
        </w:tc>
        <w:tc>
          <w:tcPr>
            <w:tcW w:w="1450" w:type="pct"/>
            <w:shd w:val="clear" w:color="auto" w:fill="auto"/>
            <w:tcMar>
              <w:top w:w="15" w:type="dxa"/>
              <w:left w:w="15" w:type="dxa"/>
              <w:bottom w:w="0" w:type="dxa"/>
              <w:right w:w="15" w:type="dxa"/>
            </w:tcMar>
            <w:vAlign w:val="center"/>
          </w:tcPr>
          <w:p w14:paraId="27D59E30">
            <w:pPr>
              <w:widowControl/>
              <w:spacing w:line="240" w:lineRule="exact"/>
              <w:jc w:val="center"/>
              <w:rPr>
                <w:rFonts w:eastAsia="仿宋_GB2312"/>
                <w:kern w:val="0"/>
                <w:szCs w:val="21"/>
              </w:rPr>
            </w:pPr>
            <w:r>
              <w:rPr>
                <w:rFonts w:eastAsia="仿宋_GB2312"/>
                <w:kern w:val="0"/>
                <w:szCs w:val="21"/>
              </w:rPr>
              <w:t>甲苯</w:t>
            </w:r>
          </w:p>
        </w:tc>
        <w:tc>
          <w:tcPr>
            <w:tcW w:w="1086" w:type="pct"/>
            <w:shd w:val="clear" w:color="auto" w:fill="auto"/>
            <w:noWrap/>
            <w:tcMar>
              <w:top w:w="15" w:type="dxa"/>
              <w:left w:w="15" w:type="dxa"/>
              <w:bottom w:w="0" w:type="dxa"/>
              <w:right w:w="15" w:type="dxa"/>
            </w:tcMar>
            <w:vAlign w:val="center"/>
          </w:tcPr>
          <w:p w14:paraId="492250C2">
            <w:pPr>
              <w:jc w:val="center"/>
              <w:rPr>
                <w:szCs w:val="21"/>
              </w:rPr>
            </w:pPr>
            <w:r>
              <w:rPr>
                <w:rFonts w:hint="eastAsia"/>
                <w:szCs w:val="21"/>
              </w:rPr>
              <w:t>0.274</w:t>
            </w:r>
          </w:p>
        </w:tc>
        <w:tc>
          <w:tcPr>
            <w:tcW w:w="926" w:type="pct"/>
            <w:shd w:val="clear" w:color="auto" w:fill="auto"/>
            <w:vAlign w:val="center"/>
          </w:tcPr>
          <w:p w14:paraId="4480FA98">
            <w:pPr>
              <w:widowControl/>
              <w:snapToGrid w:val="0"/>
              <w:spacing w:line="280" w:lineRule="exact"/>
              <w:jc w:val="center"/>
              <w:rPr>
                <w:rFonts w:eastAsia="仿宋_GB2312"/>
                <w:kern w:val="0"/>
                <w:szCs w:val="21"/>
              </w:rPr>
            </w:pPr>
            <w:r>
              <w:rPr>
                <w:rFonts w:eastAsia="仿宋_GB2312"/>
                <w:kern w:val="0"/>
                <w:szCs w:val="21"/>
              </w:rPr>
              <w:t>0.27</w:t>
            </w:r>
          </w:p>
        </w:tc>
        <w:tc>
          <w:tcPr>
            <w:tcW w:w="922" w:type="pct"/>
            <w:vAlign w:val="center"/>
          </w:tcPr>
          <w:p w14:paraId="231A6413">
            <w:pPr>
              <w:jc w:val="center"/>
              <w:rPr>
                <w:szCs w:val="21"/>
              </w:rPr>
            </w:pPr>
            <w:r>
              <w:rPr>
                <w:szCs w:val="21"/>
              </w:rPr>
              <w:t>0.5</w:t>
            </w:r>
            <w:r>
              <w:rPr>
                <w:rFonts w:hint="eastAsia"/>
                <w:szCs w:val="21"/>
              </w:rPr>
              <w:t>4</w:t>
            </w:r>
            <w:r>
              <w:rPr>
                <w:szCs w:val="21"/>
              </w:rPr>
              <w:t>4</w:t>
            </w:r>
          </w:p>
        </w:tc>
      </w:tr>
      <w:tr w14:paraId="2EDE26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614" w:type="pct"/>
            <w:vMerge w:val="continue"/>
            <w:shd w:val="clear" w:color="auto" w:fill="auto"/>
            <w:vAlign w:val="center"/>
          </w:tcPr>
          <w:p w14:paraId="68B93C84">
            <w:pPr>
              <w:widowControl/>
              <w:spacing w:line="240" w:lineRule="exact"/>
              <w:jc w:val="center"/>
              <w:rPr>
                <w:rFonts w:eastAsia="仿宋_GB2312"/>
                <w:kern w:val="0"/>
                <w:szCs w:val="21"/>
                <w:highlight w:val="yellow"/>
              </w:rPr>
            </w:pPr>
          </w:p>
        </w:tc>
        <w:tc>
          <w:tcPr>
            <w:tcW w:w="1450" w:type="pct"/>
            <w:shd w:val="clear" w:color="auto" w:fill="auto"/>
            <w:tcMar>
              <w:top w:w="15" w:type="dxa"/>
              <w:left w:w="15" w:type="dxa"/>
              <w:bottom w:w="0" w:type="dxa"/>
              <w:right w:w="15" w:type="dxa"/>
            </w:tcMar>
            <w:vAlign w:val="center"/>
          </w:tcPr>
          <w:p w14:paraId="25538A57">
            <w:pPr>
              <w:widowControl/>
              <w:spacing w:line="240" w:lineRule="exact"/>
              <w:jc w:val="center"/>
              <w:rPr>
                <w:rFonts w:eastAsia="仿宋_GB2312"/>
                <w:kern w:val="0"/>
                <w:szCs w:val="21"/>
              </w:rPr>
            </w:pPr>
            <w:r>
              <w:rPr>
                <w:rFonts w:eastAsia="仿宋_GB2312"/>
                <w:kern w:val="0"/>
                <w:szCs w:val="21"/>
              </w:rPr>
              <w:t>二甲苯</w:t>
            </w:r>
          </w:p>
        </w:tc>
        <w:tc>
          <w:tcPr>
            <w:tcW w:w="1086" w:type="pct"/>
            <w:shd w:val="clear" w:color="auto" w:fill="auto"/>
            <w:noWrap/>
            <w:tcMar>
              <w:top w:w="15" w:type="dxa"/>
              <w:left w:w="15" w:type="dxa"/>
              <w:bottom w:w="0" w:type="dxa"/>
              <w:right w:w="15" w:type="dxa"/>
            </w:tcMar>
            <w:vAlign w:val="center"/>
          </w:tcPr>
          <w:p w14:paraId="10EF0526">
            <w:pPr>
              <w:jc w:val="center"/>
              <w:rPr>
                <w:szCs w:val="21"/>
              </w:rPr>
            </w:pPr>
            <w:r>
              <w:rPr>
                <w:rFonts w:hint="eastAsia"/>
                <w:szCs w:val="21"/>
              </w:rPr>
              <w:t>0.233</w:t>
            </w:r>
          </w:p>
        </w:tc>
        <w:tc>
          <w:tcPr>
            <w:tcW w:w="926" w:type="pct"/>
            <w:shd w:val="clear" w:color="auto" w:fill="auto"/>
            <w:vAlign w:val="center"/>
          </w:tcPr>
          <w:p w14:paraId="3CA5389B">
            <w:pPr>
              <w:widowControl/>
              <w:snapToGrid w:val="0"/>
              <w:spacing w:line="280" w:lineRule="exact"/>
              <w:jc w:val="center"/>
              <w:rPr>
                <w:rFonts w:eastAsia="仿宋_GB2312"/>
                <w:kern w:val="0"/>
                <w:szCs w:val="21"/>
              </w:rPr>
            </w:pPr>
            <w:r>
              <w:rPr>
                <w:rFonts w:eastAsia="仿宋_GB2312"/>
                <w:kern w:val="0"/>
                <w:szCs w:val="21"/>
              </w:rPr>
              <w:t>0.27</w:t>
            </w:r>
          </w:p>
        </w:tc>
        <w:tc>
          <w:tcPr>
            <w:tcW w:w="922" w:type="pct"/>
            <w:vAlign w:val="center"/>
          </w:tcPr>
          <w:p w14:paraId="297955D2">
            <w:pPr>
              <w:jc w:val="center"/>
              <w:rPr>
                <w:szCs w:val="21"/>
              </w:rPr>
            </w:pPr>
            <w:r>
              <w:rPr>
                <w:szCs w:val="21"/>
              </w:rPr>
              <w:t>0.</w:t>
            </w:r>
            <w:r>
              <w:rPr>
                <w:rFonts w:hint="eastAsia"/>
                <w:szCs w:val="21"/>
              </w:rPr>
              <w:t>503</w:t>
            </w:r>
          </w:p>
        </w:tc>
      </w:tr>
      <w:tr w14:paraId="02067B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614" w:type="pct"/>
            <w:vMerge w:val="continue"/>
            <w:shd w:val="clear" w:color="auto" w:fill="auto"/>
            <w:vAlign w:val="center"/>
          </w:tcPr>
          <w:p w14:paraId="1B65414B">
            <w:pPr>
              <w:widowControl/>
              <w:spacing w:line="240" w:lineRule="exact"/>
              <w:jc w:val="center"/>
              <w:rPr>
                <w:rFonts w:eastAsia="仿宋_GB2312"/>
                <w:kern w:val="0"/>
                <w:szCs w:val="21"/>
                <w:highlight w:val="yellow"/>
              </w:rPr>
            </w:pPr>
          </w:p>
        </w:tc>
        <w:tc>
          <w:tcPr>
            <w:tcW w:w="1450" w:type="pct"/>
            <w:shd w:val="clear" w:color="auto" w:fill="auto"/>
            <w:tcMar>
              <w:top w:w="15" w:type="dxa"/>
              <w:left w:w="15" w:type="dxa"/>
              <w:bottom w:w="0" w:type="dxa"/>
              <w:right w:w="15" w:type="dxa"/>
            </w:tcMar>
            <w:vAlign w:val="center"/>
          </w:tcPr>
          <w:p w14:paraId="1686ABEC">
            <w:pPr>
              <w:widowControl/>
              <w:spacing w:line="240" w:lineRule="exact"/>
              <w:jc w:val="center"/>
              <w:rPr>
                <w:rFonts w:eastAsia="仿宋_GB2312"/>
                <w:kern w:val="0"/>
                <w:szCs w:val="21"/>
              </w:rPr>
            </w:pPr>
            <w:r>
              <w:rPr>
                <w:rFonts w:eastAsia="仿宋_GB2312"/>
                <w:kern w:val="0"/>
                <w:szCs w:val="21"/>
              </w:rPr>
              <w:t>乙酸乙酯</w:t>
            </w:r>
          </w:p>
        </w:tc>
        <w:tc>
          <w:tcPr>
            <w:tcW w:w="1086" w:type="pct"/>
            <w:shd w:val="clear" w:color="auto" w:fill="auto"/>
            <w:noWrap/>
            <w:tcMar>
              <w:top w:w="15" w:type="dxa"/>
              <w:left w:w="15" w:type="dxa"/>
              <w:bottom w:w="0" w:type="dxa"/>
              <w:right w:w="15" w:type="dxa"/>
            </w:tcMar>
            <w:vAlign w:val="center"/>
          </w:tcPr>
          <w:p w14:paraId="477E2FC3">
            <w:pPr>
              <w:jc w:val="center"/>
              <w:rPr>
                <w:szCs w:val="21"/>
              </w:rPr>
            </w:pPr>
            <w:r>
              <w:rPr>
                <w:rFonts w:hint="eastAsia"/>
                <w:szCs w:val="21"/>
              </w:rPr>
              <w:t>0.376</w:t>
            </w:r>
          </w:p>
        </w:tc>
        <w:tc>
          <w:tcPr>
            <w:tcW w:w="926" w:type="pct"/>
            <w:shd w:val="clear" w:color="auto" w:fill="auto"/>
            <w:vAlign w:val="center"/>
          </w:tcPr>
          <w:p w14:paraId="4EFB1A10">
            <w:pPr>
              <w:widowControl/>
              <w:snapToGrid w:val="0"/>
              <w:spacing w:line="280" w:lineRule="exact"/>
              <w:jc w:val="center"/>
              <w:rPr>
                <w:rFonts w:eastAsia="仿宋_GB2312"/>
                <w:kern w:val="0"/>
                <w:szCs w:val="21"/>
              </w:rPr>
            </w:pPr>
            <w:r>
              <w:rPr>
                <w:rFonts w:eastAsia="仿宋_GB2312"/>
                <w:kern w:val="0"/>
                <w:szCs w:val="21"/>
              </w:rPr>
              <w:t>0.4</w:t>
            </w:r>
          </w:p>
        </w:tc>
        <w:tc>
          <w:tcPr>
            <w:tcW w:w="922" w:type="pct"/>
            <w:vAlign w:val="center"/>
          </w:tcPr>
          <w:p w14:paraId="1223C9EE">
            <w:pPr>
              <w:jc w:val="center"/>
              <w:rPr>
                <w:szCs w:val="21"/>
              </w:rPr>
            </w:pPr>
            <w:r>
              <w:rPr>
                <w:szCs w:val="21"/>
              </w:rPr>
              <w:t>0.</w:t>
            </w:r>
            <w:r>
              <w:rPr>
                <w:rFonts w:hint="eastAsia"/>
                <w:szCs w:val="21"/>
              </w:rPr>
              <w:t>776</w:t>
            </w:r>
          </w:p>
        </w:tc>
      </w:tr>
      <w:tr w14:paraId="63431E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614" w:type="pct"/>
            <w:vMerge w:val="continue"/>
            <w:shd w:val="clear" w:color="auto" w:fill="auto"/>
            <w:vAlign w:val="center"/>
          </w:tcPr>
          <w:p w14:paraId="4DBA5892">
            <w:pPr>
              <w:widowControl/>
              <w:spacing w:line="240" w:lineRule="exact"/>
              <w:jc w:val="center"/>
              <w:rPr>
                <w:rFonts w:eastAsia="仿宋_GB2312"/>
                <w:kern w:val="0"/>
                <w:szCs w:val="21"/>
                <w:highlight w:val="yellow"/>
              </w:rPr>
            </w:pPr>
          </w:p>
        </w:tc>
        <w:tc>
          <w:tcPr>
            <w:tcW w:w="1450" w:type="pct"/>
            <w:shd w:val="clear" w:color="auto" w:fill="auto"/>
            <w:tcMar>
              <w:top w:w="15" w:type="dxa"/>
              <w:left w:w="15" w:type="dxa"/>
              <w:bottom w:w="0" w:type="dxa"/>
              <w:right w:w="15" w:type="dxa"/>
            </w:tcMar>
            <w:vAlign w:val="center"/>
          </w:tcPr>
          <w:p w14:paraId="00E4AD91">
            <w:pPr>
              <w:widowControl/>
              <w:spacing w:line="240" w:lineRule="exact"/>
              <w:jc w:val="center"/>
              <w:rPr>
                <w:rFonts w:eastAsia="仿宋_GB2312"/>
                <w:kern w:val="0"/>
                <w:szCs w:val="21"/>
              </w:rPr>
            </w:pPr>
            <w:r>
              <w:rPr>
                <w:rFonts w:eastAsia="仿宋_GB2312"/>
                <w:kern w:val="0"/>
                <w:szCs w:val="21"/>
              </w:rPr>
              <w:t>乙酸丁酯</w:t>
            </w:r>
          </w:p>
        </w:tc>
        <w:tc>
          <w:tcPr>
            <w:tcW w:w="1086" w:type="pct"/>
            <w:shd w:val="clear" w:color="auto" w:fill="auto"/>
            <w:noWrap/>
            <w:tcMar>
              <w:top w:w="15" w:type="dxa"/>
              <w:left w:w="15" w:type="dxa"/>
              <w:bottom w:w="0" w:type="dxa"/>
              <w:right w:w="15" w:type="dxa"/>
            </w:tcMar>
            <w:vAlign w:val="center"/>
          </w:tcPr>
          <w:p w14:paraId="5FE33398">
            <w:pPr>
              <w:jc w:val="center"/>
              <w:rPr>
                <w:szCs w:val="21"/>
              </w:rPr>
            </w:pPr>
            <w:r>
              <w:rPr>
                <w:rFonts w:hint="eastAsia"/>
                <w:szCs w:val="21"/>
              </w:rPr>
              <w:t>0.188</w:t>
            </w:r>
          </w:p>
        </w:tc>
        <w:tc>
          <w:tcPr>
            <w:tcW w:w="926" w:type="pct"/>
            <w:shd w:val="clear" w:color="auto" w:fill="auto"/>
            <w:vAlign w:val="center"/>
          </w:tcPr>
          <w:p w14:paraId="2A3F3699">
            <w:pPr>
              <w:widowControl/>
              <w:snapToGrid w:val="0"/>
              <w:spacing w:line="280" w:lineRule="exact"/>
              <w:jc w:val="center"/>
              <w:rPr>
                <w:rFonts w:eastAsia="仿宋_GB2312"/>
                <w:kern w:val="0"/>
                <w:szCs w:val="21"/>
              </w:rPr>
            </w:pPr>
            <w:r>
              <w:rPr>
                <w:rFonts w:eastAsia="仿宋_GB2312"/>
                <w:kern w:val="0"/>
                <w:szCs w:val="21"/>
              </w:rPr>
              <w:t>0.4</w:t>
            </w:r>
          </w:p>
        </w:tc>
        <w:tc>
          <w:tcPr>
            <w:tcW w:w="922" w:type="pct"/>
            <w:vAlign w:val="center"/>
          </w:tcPr>
          <w:p w14:paraId="561E4B7F">
            <w:pPr>
              <w:jc w:val="center"/>
              <w:rPr>
                <w:szCs w:val="21"/>
              </w:rPr>
            </w:pPr>
            <w:r>
              <w:rPr>
                <w:szCs w:val="21"/>
              </w:rPr>
              <w:t>0.</w:t>
            </w:r>
            <w:r>
              <w:rPr>
                <w:rFonts w:hint="eastAsia"/>
                <w:szCs w:val="21"/>
              </w:rPr>
              <w:t>58</w:t>
            </w:r>
            <w:r>
              <w:rPr>
                <w:szCs w:val="21"/>
              </w:rPr>
              <w:t>8</w:t>
            </w:r>
          </w:p>
        </w:tc>
      </w:tr>
      <w:tr w14:paraId="48D185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614" w:type="pct"/>
            <w:vMerge w:val="continue"/>
            <w:shd w:val="clear" w:color="auto" w:fill="auto"/>
            <w:vAlign w:val="center"/>
          </w:tcPr>
          <w:p w14:paraId="20FBCC81">
            <w:pPr>
              <w:widowControl/>
              <w:spacing w:line="240" w:lineRule="exact"/>
              <w:jc w:val="center"/>
              <w:rPr>
                <w:rFonts w:eastAsia="仿宋_GB2312"/>
                <w:kern w:val="0"/>
                <w:szCs w:val="21"/>
                <w:highlight w:val="yellow"/>
              </w:rPr>
            </w:pPr>
          </w:p>
        </w:tc>
        <w:tc>
          <w:tcPr>
            <w:tcW w:w="1450" w:type="pct"/>
            <w:shd w:val="clear" w:color="auto" w:fill="auto"/>
            <w:tcMar>
              <w:top w:w="15" w:type="dxa"/>
              <w:left w:w="15" w:type="dxa"/>
              <w:bottom w:w="0" w:type="dxa"/>
              <w:right w:w="15" w:type="dxa"/>
            </w:tcMar>
            <w:vAlign w:val="center"/>
          </w:tcPr>
          <w:p w14:paraId="76E1308D">
            <w:pPr>
              <w:widowControl/>
              <w:spacing w:line="240" w:lineRule="exact"/>
              <w:jc w:val="center"/>
              <w:rPr>
                <w:rFonts w:eastAsia="仿宋_GB2312"/>
                <w:kern w:val="0"/>
                <w:szCs w:val="21"/>
              </w:rPr>
            </w:pPr>
            <w:r>
              <w:rPr>
                <w:rFonts w:eastAsia="仿宋_GB2312"/>
                <w:kern w:val="0"/>
                <w:szCs w:val="21"/>
              </w:rPr>
              <w:t>二丙酮醇</w:t>
            </w:r>
          </w:p>
        </w:tc>
        <w:tc>
          <w:tcPr>
            <w:tcW w:w="1086" w:type="pct"/>
            <w:shd w:val="clear" w:color="auto" w:fill="auto"/>
            <w:noWrap/>
            <w:tcMar>
              <w:top w:w="15" w:type="dxa"/>
              <w:left w:w="15" w:type="dxa"/>
              <w:bottom w:w="0" w:type="dxa"/>
              <w:right w:w="15" w:type="dxa"/>
            </w:tcMar>
            <w:vAlign w:val="center"/>
          </w:tcPr>
          <w:p w14:paraId="38107A33">
            <w:pPr>
              <w:jc w:val="center"/>
              <w:rPr>
                <w:szCs w:val="21"/>
              </w:rPr>
            </w:pPr>
            <w:r>
              <w:rPr>
                <w:rFonts w:hint="eastAsia"/>
                <w:szCs w:val="21"/>
              </w:rPr>
              <w:t>0.00344</w:t>
            </w:r>
          </w:p>
        </w:tc>
        <w:tc>
          <w:tcPr>
            <w:tcW w:w="926" w:type="pct"/>
            <w:vAlign w:val="center"/>
          </w:tcPr>
          <w:p w14:paraId="6B2CBC6F">
            <w:pPr>
              <w:jc w:val="center"/>
              <w:rPr>
                <w:szCs w:val="21"/>
              </w:rPr>
            </w:pPr>
            <w:r>
              <w:rPr>
                <w:rFonts w:hint="eastAsia"/>
                <w:szCs w:val="21"/>
              </w:rPr>
              <w:t>/</w:t>
            </w:r>
          </w:p>
        </w:tc>
        <w:tc>
          <w:tcPr>
            <w:tcW w:w="922" w:type="pct"/>
            <w:vAlign w:val="center"/>
          </w:tcPr>
          <w:p w14:paraId="2E45DA39">
            <w:pPr>
              <w:jc w:val="center"/>
              <w:rPr>
                <w:szCs w:val="21"/>
              </w:rPr>
            </w:pPr>
            <w:r>
              <w:rPr>
                <w:szCs w:val="21"/>
              </w:rPr>
              <w:t>0.00344</w:t>
            </w:r>
          </w:p>
        </w:tc>
      </w:tr>
      <w:tr w14:paraId="2730595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614" w:type="pct"/>
            <w:vMerge w:val="continue"/>
            <w:shd w:val="clear" w:color="auto" w:fill="auto"/>
            <w:vAlign w:val="center"/>
          </w:tcPr>
          <w:p w14:paraId="29056780">
            <w:pPr>
              <w:widowControl/>
              <w:spacing w:line="240" w:lineRule="exact"/>
              <w:jc w:val="center"/>
              <w:rPr>
                <w:rFonts w:eastAsia="仿宋_GB2312"/>
                <w:kern w:val="0"/>
                <w:szCs w:val="21"/>
                <w:highlight w:val="yellow"/>
              </w:rPr>
            </w:pPr>
          </w:p>
        </w:tc>
        <w:tc>
          <w:tcPr>
            <w:tcW w:w="1450" w:type="pct"/>
            <w:shd w:val="clear" w:color="auto" w:fill="auto"/>
            <w:tcMar>
              <w:top w:w="15" w:type="dxa"/>
              <w:left w:w="15" w:type="dxa"/>
              <w:bottom w:w="0" w:type="dxa"/>
              <w:right w:w="15" w:type="dxa"/>
            </w:tcMar>
            <w:vAlign w:val="center"/>
          </w:tcPr>
          <w:p w14:paraId="4F607549">
            <w:pPr>
              <w:widowControl/>
              <w:spacing w:line="240" w:lineRule="exact"/>
              <w:jc w:val="center"/>
              <w:rPr>
                <w:rFonts w:eastAsia="仿宋_GB2312"/>
                <w:kern w:val="0"/>
                <w:szCs w:val="21"/>
              </w:rPr>
            </w:pPr>
            <w:r>
              <w:rPr>
                <w:rFonts w:eastAsia="仿宋_GB2312"/>
                <w:kern w:val="0"/>
                <w:szCs w:val="21"/>
              </w:rPr>
              <w:t>丙酮</w:t>
            </w:r>
          </w:p>
        </w:tc>
        <w:tc>
          <w:tcPr>
            <w:tcW w:w="1086" w:type="pct"/>
            <w:shd w:val="clear" w:color="auto" w:fill="auto"/>
            <w:noWrap/>
            <w:tcMar>
              <w:top w:w="15" w:type="dxa"/>
              <w:left w:w="15" w:type="dxa"/>
              <w:bottom w:w="0" w:type="dxa"/>
              <w:right w:w="15" w:type="dxa"/>
            </w:tcMar>
            <w:vAlign w:val="center"/>
          </w:tcPr>
          <w:p w14:paraId="42805EEA">
            <w:pPr>
              <w:jc w:val="center"/>
              <w:rPr>
                <w:szCs w:val="21"/>
              </w:rPr>
            </w:pPr>
            <w:r>
              <w:rPr>
                <w:rFonts w:hint="eastAsia"/>
                <w:szCs w:val="21"/>
              </w:rPr>
              <w:t>0.03564</w:t>
            </w:r>
          </w:p>
        </w:tc>
        <w:tc>
          <w:tcPr>
            <w:tcW w:w="926" w:type="pct"/>
            <w:vAlign w:val="center"/>
          </w:tcPr>
          <w:p w14:paraId="51C61857">
            <w:pPr>
              <w:jc w:val="center"/>
              <w:rPr>
                <w:szCs w:val="21"/>
              </w:rPr>
            </w:pPr>
            <w:r>
              <w:rPr>
                <w:rFonts w:hint="eastAsia"/>
                <w:szCs w:val="21"/>
              </w:rPr>
              <w:t>/</w:t>
            </w:r>
          </w:p>
        </w:tc>
        <w:tc>
          <w:tcPr>
            <w:tcW w:w="922" w:type="pct"/>
            <w:vAlign w:val="center"/>
          </w:tcPr>
          <w:p w14:paraId="37A09992">
            <w:pPr>
              <w:jc w:val="center"/>
              <w:rPr>
                <w:szCs w:val="21"/>
              </w:rPr>
            </w:pPr>
            <w:r>
              <w:rPr>
                <w:szCs w:val="21"/>
              </w:rPr>
              <w:t>0.03564</w:t>
            </w:r>
          </w:p>
        </w:tc>
      </w:tr>
      <w:tr w14:paraId="208D38A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614" w:type="pct"/>
            <w:vMerge w:val="continue"/>
            <w:shd w:val="clear" w:color="auto" w:fill="auto"/>
            <w:vAlign w:val="center"/>
          </w:tcPr>
          <w:p w14:paraId="04DF6C1E">
            <w:pPr>
              <w:widowControl/>
              <w:spacing w:line="240" w:lineRule="exact"/>
              <w:jc w:val="center"/>
              <w:rPr>
                <w:rFonts w:eastAsia="仿宋_GB2312"/>
                <w:kern w:val="0"/>
                <w:szCs w:val="21"/>
                <w:highlight w:val="yellow"/>
              </w:rPr>
            </w:pPr>
          </w:p>
        </w:tc>
        <w:tc>
          <w:tcPr>
            <w:tcW w:w="1450" w:type="pct"/>
            <w:shd w:val="clear" w:color="auto" w:fill="auto"/>
            <w:tcMar>
              <w:top w:w="15" w:type="dxa"/>
              <w:left w:w="15" w:type="dxa"/>
              <w:bottom w:w="0" w:type="dxa"/>
              <w:right w:w="15" w:type="dxa"/>
            </w:tcMar>
            <w:vAlign w:val="center"/>
          </w:tcPr>
          <w:p w14:paraId="0A437FC3">
            <w:pPr>
              <w:widowControl/>
              <w:spacing w:line="240" w:lineRule="exact"/>
              <w:jc w:val="center"/>
              <w:rPr>
                <w:rFonts w:eastAsia="仿宋_GB2312"/>
                <w:kern w:val="0"/>
                <w:szCs w:val="21"/>
              </w:rPr>
            </w:pPr>
            <w:r>
              <w:rPr>
                <w:rFonts w:eastAsia="仿宋_GB2312"/>
                <w:kern w:val="0"/>
                <w:szCs w:val="21"/>
              </w:rPr>
              <w:t>N-甲基吡咯烷酮</w:t>
            </w:r>
          </w:p>
        </w:tc>
        <w:tc>
          <w:tcPr>
            <w:tcW w:w="1086" w:type="pct"/>
            <w:shd w:val="clear" w:color="auto" w:fill="auto"/>
            <w:noWrap/>
            <w:tcMar>
              <w:top w:w="15" w:type="dxa"/>
              <w:left w:w="15" w:type="dxa"/>
              <w:bottom w:w="0" w:type="dxa"/>
              <w:right w:w="15" w:type="dxa"/>
            </w:tcMar>
            <w:vAlign w:val="center"/>
          </w:tcPr>
          <w:p w14:paraId="5A890C8B">
            <w:pPr>
              <w:jc w:val="center"/>
              <w:rPr>
                <w:szCs w:val="21"/>
              </w:rPr>
            </w:pPr>
            <w:r>
              <w:rPr>
                <w:rFonts w:hint="eastAsia"/>
                <w:szCs w:val="21"/>
              </w:rPr>
              <w:t>0.22412</w:t>
            </w:r>
          </w:p>
        </w:tc>
        <w:tc>
          <w:tcPr>
            <w:tcW w:w="926" w:type="pct"/>
            <w:vAlign w:val="center"/>
          </w:tcPr>
          <w:p w14:paraId="56B30CE2">
            <w:pPr>
              <w:jc w:val="center"/>
              <w:rPr>
                <w:szCs w:val="21"/>
              </w:rPr>
            </w:pPr>
            <w:r>
              <w:rPr>
                <w:rFonts w:hint="eastAsia"/>
                <w:szCs w:val="21"/>
              </w:rPr>
              <w:t>/</w:t>
            </w:r>
          </w:p>
        </w:tc>
        <w:tc>
          <w:tcPr>
            <w:tcW w:w="922" w:type="pct"/>
            <w:vAlign w:val="center"/>
          </w:tcPr>
          <w:p w14:paraId="2E021285">
            <w:pPr>
              <w:jc w:val="center"/>
              <w:rPr>
                <w:szCs w:val="21"/>
              </w:rPr>
            </w:pPr>
            <w:r>
              <w:rPr>
                <w:szCs w:val="21"/>
              </w:rPr>
              <w:t>0.2</w:t>
            </w:r>
            <w:r>
              <w:rPr>
                <w:rFonts w:hint="eastAsia"/>
                <w:szCs w:val="21"/>
              </w:rPr>
              <w:t>2</w:t>
            </w:r>
            <w:r>
              <w:rPr>
                <w:szCs w:val="21"/>
              </w:rPr>
              <w:t>412</w:t>
            </w:r>
          </w:p>
        </w:tc>
      </w:tr>
      <w:tr w14:paraId="439959A3">
        <w:tblPrEx>
          <w:tblCellMar>
            <w:top w:w="0" w:type="dxa"/>
            <w:left w:w="0" w:type="dxa"/>
            <w:bottom w:w="0" w:type="dxa"/>
            <w:right w:w="0" w:type="dxa"/>
          </w:tblCellMar>
        </w:tblPrEx>
        <w:trPr>
          <w:trHeight w:val="340" w:hRule="atLeast"/>
          <w:jc w:val="center"/>
        </w:trPr>
        <w:tc>
          <w:tcPr>
            <w:tcW w:w="614" w:type="pct"/>
            <w:vMerge w:val="continue"/>
            <w:shd w:val="clear" w:color="auto" w:fill="auto"/>
            <w:vAlign w:val="center"/>
          </w:tcPr>
          <w:p w14:paraId="64C4462C">
            <w:pPr>
              <w:widowControl/>
              <w:spacing w:line="240" w:lineRule="exact"/>
              <w:jc w:val="center"/>
              <w:rPr>
                <w:rFonts w:eastAsia="仿宋_GB2312"/>
                <w:kern w:val="0"/>
                <w:szCs w:val="21"/>
                <w:highlight w:val="yellow"/>
              </w:rPr>
            </w:pPr>
          </w:p>
        </w:tc>
        <w:tc>
          <w:tcPr>
            <w:tcW w:w="1450" w:type="pct"/>
            <w:shd w:val="clear" w:color="auto" w:fill="auto"/>
            <w:tcMar>
              <w:top w:w="15" w:type="dxa"/>
              <w:left w:w="15" w:type="dxa"/>
              <w:bottom w:w="0" w:type="dxa"/>
              <w:right w:w="15" w:type="dxa"/>
            </w:tcMar>
            <w:vAlign w:val="center"/>
          </w:tcPr>
          <w:p w14:paraId="58C4F374">
            <w:pPr>
              <w:widowControl/>
              <w:spacing w:line="240" w:lineRule="exact"/>
              <w:jc w:val="center"/>
              <w:rPr>
                <w:rFonts w:eastAsia="仿宋_GB2312"/>
                <w:kern w:val="0"/>
                <w:szCs w:val="21"/>
              </w:rPr>
            </w:pPr>
            <w:r>
              <w:rPr>
                <w:rFonts w:eastAsia="仿宋_GB2312"/>
                <w:kern w:val="0"/>
                <w:szCs w:val="21"/>
              </w:rPr>
              <w:t>四氢呋喃</w:t>
            </w:r>
          </w:p>
        </w:tc>
        <w:tc>
          <w:tcPr>
            <w:tcW w:w="1086" w:type="pct"/>
            <w:shd w:val="clear" w:color="auto" w:fill="auto"/>
            <w:noWrap/>
            <w:tcMar>
              <w:top w:w="15" w:type="dxa"/>
              <w:left w:w="15" w:type="dxa"/>
              <w:bottom w:w="0" w:type="dxa"/>
              <w:right w:w="15" w:type="dxa"/>
            </w:tcMar>
            <w:vAlign w:val="center"/>
          </w:tcPr>
          <w:p w14:paraId="16BC9172">
            <w:pPr>
              <w:jc w:val="center"/>
              <w:rPr>
                <w:szCs w:val="21"/>
              </w:rPr>
            </w:pPr>
            <w:r>
              <w:rPr>
                <w:rFonts w:hint="eastAsia"/>
                <w:szCs w:val="21"/>
              </w:rPr>
              <w:t>0.4112</w:t>
            </w:r>
          </w:p>
        </w:tc>
        <w:tc>
          <w:tcPr>
            <w:tcW w:w="926" w:type="pct"/>
            <w:vAlign w:val="center"/>
          </w:tcPr>
          <w:p w14:paraId="5B246FE5">
            <w:pPr>
              <w:jc w:val="center"/>
              <w:rPr>
                <w:szCs w:val="21"/>
              </w:rPr>
            </w:pPr>
            <w:r>
              <w:rPr>
                <w:rFonts w:hint="eastAsia"/>
                <w:szCs w:val="21"/>
              </w:rPr>
              <w:t>/</w:t>
            </w:r>
          </w:p>
        </w:tc>
        <w:tc>
          <w:tcPr>
            <w:tcW w:w="922" w:type="pct"/>
            <w:vAlign w:val="center"/>
          </w:tcPr>
          <w:p w14:paraId="1FE587D9">
            <w:pPr>
              <w:jc w:val="center"/>
              <w:rPr>
                <w:szCs w:val="21"/>
              </w:rPr>
            </w:pPr>
            <w:r>
              <w:rPr>
                <w:szCs w:val="21"/>
              </w:rPr>
              <w:t>0.4112</w:t>
            </w:r>
          </w:p>
        </w:tc>
      </w:tr>
      <w:tr w14:paraId="01F9C9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614" w:type="pct"/>
            <w:vMerge w:val="continue"/>
            <w:shd w:val="clear" w:color="auto" w:fill="auto"/>
            <w:vAlign w:val="center"/>
          </w:tcPr>
          <w:p w14:paraId="6D1098D4">
            <w:pPr>
              <w:widowControl/>
              <w:spacing w:line="240" w:lineRule="exact"/>
              <w:jc w:val="center"/>
              <w:rPr>
                <w:rFonts w:eastAsia="仿宋_GB2312"/>
                <w:kern w:val="0"/>
                <w:szCs w:val="21"/>
                <w:highlight w:val="yellow"/>
              </w:rPr>
            </w:pPr>
          </w:p>
        </w:tc>
        <w:tc>
          <w:tcPr>
            <w:tcW w:w="1450" w:type="pct"/>
            <w:shd w:val="clear" w:color="auto" w:fill="auto"/>
            <w:tcMar>
              <w:top w:w="15" w:type="dxa"/>
              <w:left w:w="15" w:type="dxa"/>
              <w:bottom w:w="0" w:type="dxa"/>
              <w:right w:w="15" w:type="dxa"/>
            </w:tcMar>
            <w:vAlign w:val="center"/>
          </w:tcPr>
          <w:p w14:paraId="30C3FC52">
            <w:pPr>
              <w:widowControl/>
              <w:spacing w:line="240" w:lineRule="exact"/>
              <w:jc w:val="center"/>
              <w:rPr>
                <w:rFonts w:eastAsia="仿宋_GB2312"/>
                <w:kern w:val="0"/>
                <w:szCs w:val="21"/>
              </w:rPr>
            </w:pPr>
            <w:r>
              <w:rPr>
                <w:rFonts w:eastAsia="仿宋_GB2312"/>
                <w:kern w:val="0"/>
                <w:szCs w:val="21"/>
              </w:rPr>
              <w:t>丁酮</w:t>
            </w:r>
          </w:p>
        </w:tc>
        <w:tc>
          <w:tcPr>
            <w:tcW w:w="1086" w:type="pct"/>
            <w:shd w:val="clear" w:color="auto" w:fill="auto"/>
            <w:noWrap/>
            <w:tcMar>
              <w:top w:w="15" w:type="dxa"/>
              <w:left w:w="15" w:type="dxa"/>
              <w:bottom w:w="0" w:type="dxa"/>
              <w:right w:w="15" w:type="dxa"/>
            </w:tcMar>
            <w:vAlign w:val="center"/>
          </w:tcPr>
          <w:p w14:paraId="69B3A0A4">
            <w:pPr>
              <w:jc w:val="center"/>
              <w:rPr>
                <w:szCs w:val="21"/>
              </w:rPr>
            </w:pPr>
            <w:r>
              <w:rPr>
                <w:rFonts w:hint="eastAsia"/>
                <w:szCs w:val="21"/>
              </w:rPr>
              <w:t>0.0912</w:t>
            </w:r>
          </w:p>
        </w:tc>
        <w:tc>
          <w:tcPr>
            <w:tcW w:w="926" w:type="pct"/>
            <w:vAlign w:val="center"/>
          </w:tcPr>
          <w:p w14:paraId="2B269F07">
            <w:pPr>
              <w:jc w:val="center"/>
              <w:rPr>
                <w:szCs w:val="21"/>
              </w:rPr>
            </w:pPr>
            <w:r>
              <w:rPr>
                <w:rFonts w:hint="eastAsia"/>
                <w:szCs w:val="21"/>
              </w:rPr>
              <w:t>/</w:t>
            </w:r>
          </w:p>
        </w:tc>
        <w:tc>
          <w:tcPr>
            <w:tcW w:w="922" w:type="pct"/>
            <w:vAlign w:val="center"/>
          </w:tcPr>
          <w:p w14:paraId="03AF9528">
            <w:pPr>
              <w:jc w:val="center"/>
              <w:rPr>
                <w:szCs w:val="21"/>
              </w:rPr>
            </w:pPr>
            <w:r>
              <w:rPr>
                <w:szCs w:val="21"/>
              </w:rPr>
              <w:t>0.</w:t>
            </w:r>
            <w:r>
              <w:rPr>
                <w:rFonts w:hint="eastAsia"/>
                <w:szCs w:val="21"/>
              </w:rPr>
              <w:t>09</w:t>
            </w:r>
            <w:r>
              <w:rPr>
                <w:szCs w:val="21"/>
              </w:rPr>
              <w:t>12</w:t>
            </w:r>
          </w:p>
        </w:tc>
      </w:tr>
      <w:tr w14:paraId="099A1D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614" w:type="pct"/>
            <w:vMerge w:val="continue"/>
            <w:shd w:val="clear" w:color="auto" w:fill="auto"/>
            <w:vAlign w:val="center"/>
          </w:tcPr>
          <w:p w14:paraId="66A83657">
            <w:pPr>
              <w:widowControl/>
              <w:spacing w:line="240" w:lineRule="exact"/>
              <w:jc w:val="center"/>
              <w:rPr>
                <w:rFonts w:eastAsia="仿宋_GB2312"/>
                <w:kern w:val="0"/>
                <w:szCs w:val="21"/>
                <w:highlight w:val="yellow"/>
              </w:rPr>
            </w:pPr>
          </w:p>
        </w:tc>
        <w:tc>
          <w:tcPr>
            <w:tcW w:w="1450" w:type="pct"/>
            <w:shd w:val="clear" w:color="auto" w:fill="auto"/>
            <w:tcMar>
              <w:top w:w="15" w:type="dxa"/>
              <w:left w:w="15" w:type="dxa"/>
              <w:bottom w:w="0" w:type="dxa"/>
              <w:right w:w="15" w:type="dxa"/>
            </w:tcMar>
            <w:vAlign w:val="center"/>
          </w:tcPr>
          <w:p w14:paraId="5E3983C5">
            <w:pPr>
              <w:widowControl/>
              <w:spacing w:line="240" w:lineRule="exact"/>
              <w:jc w:val="center"/>
              <w:rPr>
                <w:rFonts w:eastAsia="仿宋_GB2312"/>
                <w:kern w:val="0"/>
                <w:szCs w:val="21"/>
              </w:rPr>
            </w:pPr>
            <w:r>
              <w:rPr>
                <w:rFonts w:eastAsia="仿宋_GB2312"/>
                <w:kern w:val="0"/>
                <w:szCs w:val="21"/>
              </w:rPr>
              <w:t>丙二醇单甲醚</w:t>
            </w:r>
          </w:p>
        </w:tc>
        <w:tc>
          <w:tcPr>
            <w:tcW w:w="1086" w:type="pct"/>
            <w:shd w:val="clear" w:color="auto" w:fill="auto"/>
            <w:noWrap/>
            <w:tcMar>
              <w:top w:w="15" w:type="dxa"/>
              <w:left w:w="15" w:type="dxa"/>
              <w:bottom w:w="0" w:type="dxa"/>
              <w:right w:w="15" w:type="dxa"/>
            </w:tcMar>
            <w:vAlign w:val="center"/>
          </w:tcPr>
          <w:p w14:paraId="5F80F714">
            <w:pPr>
              <w:jc w:val="center"/>
              <w:rPr>
                <w:szCs w:val="21"/>
              </w:rPr>
            </w:pPr>
            <w:r>
              <w:rPr>
                <w:rFonts w:hint="eastAsia"/>
                <w:szCs w:val="21"/>
              </w:rPr>
              <w:t>0.30069</w:t>
            </w:r>
          </w:p>
        </w:tc>
        <w:tc>
          <w:tcPr>
            <w:tcW w:w="926" w:type="pct"/>
            <w:vAlign w:val="center"/>
          </w:tcPr>
          <w:p w14:paraId="7193A449">
            <w:pPr>
              <w:jc w:val="center"/>
              <w:rPr>
                <w:szCs w:val="21"/>
              </w:rPr>
            </w:pPr>
            <w:r>
              <w:rPr>
                <w:rFonts w:hint="eastAsia"/>
                <w:szCs w:val="21"/>
              </w:rPr>
              <w:t>/</w:t>
            </w:r>
          </w:p>
        </w:tc>
        <w:tc>
          <w:tcPr>
            <w:tcW w:w="922" w:type="pct"/>
            <w:vAlign w:val="center"/>
          </w:tcPr>
          <w:p w14:paraId="4812858C">
            <w:pPr>
              <w:jc w:val="center"/>
              <w:rPr>
                <w:szCs w:val="21"/>
              </w:rPr>
            </w:pPr>
            <w:r>
              <w:rPr>
                <w:szCs w:val="21"/>
              </w:rPr>
              <w:t>0.3</w:t>
            </w:r>
            <w:r>
              <w:rPr>
                <w:rFonts w:hint="eastAsia"/>
                <w:szCs w:val="21"/>
              </w:rPr>
              <w:t>0</w:t>
            </w:r>
            <w:r>
              <w:rPr>
                <w:szCs w:val="21"/>
              </w:rPr>
              <w:t>069</w:t>
            </w:r>
          </w:p>
        </w:tc>
      </w:tr>
      <w:tr w14:paraId="2B0C66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614" w:type="pct"/>
            <w:vMerge w:val="continue"/>
            <w:shd w:val="clear" w:color="auto" w:fill="auto"/>
            <w:vAlign w:val="center"/>
          </w:tcPr>
          <w:p w14:paraId="786EA3AA">
            <w:pPr>
              <w:widowControl/>
              <w:spacing w:line="240" w:lineRule="exact"/>
              <w:jc w:val="center"/>
              <w:rPr>
                <w:rFonts w:eastAsia="仿宋_GB2312"/>
                <w:kern w:val="0"/>
                <w:szCs w:val="21"/>
                <w:highlight w:val="yellow"/>
              </w:rPr>
            </w:pPr>
          </w:p>
        </w:tc>
        <w:tc>
          <w:tcPr>
            <w:tcW w:w="1450" w:type="pct"/>
            <w:shd w:val="clear" w:color="auto" w:fill="auto"/>
            <w:tcMar>
              <w:top w:w="15" w:type="dxa"/>
              <w:left w:w="15" w:type="dxa"/>
              <w:bottom w:w="0" w:type="dxa"/>
              <w:right w:w="15" w:type="dxa"/>
            </w:tcMar>
            <w:vAlign w:val="center"/>
          </w:tcPr>
          <w:p w14:paraId="4789A13A">
            <w:pPr>
              <w:widowControl/>
              <w:spacing w:line="240" w:lineRule="exact"/>
              <w:jc w:val="center"/>
              <w:rPr>
                <w:rFonts w:eastAsia="仿宋_GB2312"/>
                <w:kern w:val="0"/>
                <w:szCs w:val="21"/>
              </w:rPr>
            </w:pPr>
            <w:r>
              <w:rPr>
                <w:rFonts w:eastAsia="仿宋_GB2312"/>
                <w:kern w:val="0"/>
                <w:szCs w:val="21"/>
              </w:rPr>
              <w:t>乙二醇</w:t>
            </w:r>
          </w:p>
        </w:tc>
        <w:tc>
          <w:tcPr>
            <w:tcW w:w="1086" w:type="pct"/>
            <w:shd w:val="clear" w:color="auto" w:fill="auto"/>
            <w:noWrap/>
            <w:tcMar>
              <w:top w:w="15" w:type="dxa"/>
              <w:left w:w="15" w:type="dxa"/>
              <w:bottom w:w="0" w:type="dxa"/>
              <w:right w:w="15" w:type="dxa"/>
            </w:tcMar>
            <w:vAlign w:val="center"/>
          </w:tcPr>
          <w:p w14:paraId="05FAFA47">
            <w:pPr>
              <w:jc w:val="center"/>
              <w:rPr>
                <w:szCs w:val="21"/>
              </w:rPr>
            </w:pPr>
            <w:r>
              <w:rPr>
                <w:rFonts w:hint="eastAsia"/>
                <w:szCs w:val="21"/>
              </w:rPr>
              <w:t>0.0558</w:t>
            </w:r>
          </w:p>
        </w:tc>
        <w:tc>
          <w:tcPr>
            <w:tcW w:w="926" w:type="pct"/>
            <w:vAlign w:val="center"/>
          </w:tcPr>
          <w:p w14:paraId="08601EDB">
            <w:pPr>
              <w:jc w:val="center"/>
              <w:rPr>
                <w:szCs w:val="21"/>
              </w:rPr>
            </w:pPr>
            <w:r>
              <w:rPr>
                <w:rFonts w:hint="eastAsia"/>
                <w:szCs w:val="21"/>
              </w:rPr>
              <w:t>0.1416</w:t>
            </w:r>
          </w:p>
        </w:tc>
        <w:tc>
          <w:tcPr>
            <w:tcW w:w="922" w:type="pct"/>
            <w:vAlign w:val="center"/>
          </w:tcPr>
          <w:p w14:paraId="6A8C7FB6">
            <w:pPr>
              <w:jc w:val="center"/>
              <w:rPr>
                <w:szCs w:val="21"/>
              </w:rPr>
            </w:pPr>
            <w:r>
              <w:rPr>
                <w:szCs w:val="21"/>
              </w:rPr>
              <w:t>0.1974</w:t>
            </w:r>
          </w:p>
        </w:tc>
      </w:tr>
      <w:tr w14:paraId="4EE8EA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614" w:type="pct"/>
            <w:vMerge w:val="continue"/>
            <w:shd w:val="clear" w:color="auto" w:fill="auto"/>
            <w:vAlign w:val="center"/>
          </w:tcPr>
          <w:p w14:paraId="15BB65C4">
            <w:pPr>
              <w:widowControl/>
              <w:spacing w:line="240" w:lineRule="exact"/>
              <w:jc w:val="center"/>
              <w:rPr>
                <w:rFonts w:eastAsia="仿宋_GB2312"/>
                <w:kern w:val="0"/>
                <w:szCs w:val="21"/>
                <w:highlight w:val="yellow"/>
              </w:rPr>
            </w:pPr>
          </w:p>
        </w:tc>
        <w:tc>
          <w:tcPr>
            <w:tcW w:w="1450" w:type="pct"/>
            <w:shd w:val="clear" w:color="auto" w:fill="auto"/>
            <w:tcMar>
              <w:top w:w="15" w:type="dxa"/>
              <w:left w:w="15" w:type="dxa"/>
              <w:bottom w:w="0" w:type="dxa"/>
              <w:right w:w="15" w:type="dxa"/>
            </w:tcMar>
            <w:vAlign w:val="center"/>
          </w:tcPr>
          <w:p w14:paraId="513BD2BD">
            <w:pPr>
              <w:widowControl/>
              <w:spacing w:line="240" w:lineRule="exact"/>
              <w:jc w:val="center"/>
              <w:rPr>
                <w:rFonts w:eastAsia="仿宋_GB2312"/>
                <w:kern w:val="0"/>
                <w:szCs w:val="21"/>
              </w:rPr>
            </w:pPr>
            <w:r>
              <w:rPr>
                <w:rFonts w:eastAsia="仿宋_GB2312"/>
                <w:kern w:val="0"/>
                <w:szCs w:val="21"/>
              </w:rPr>
              <w:t>二丁醚</w:t>
            </w:r>
          </w:p>
        </w:tc>
        <w:tc>
          <w:tcPr>
            <w:tcW w:w="1086" w:type="pct"/>
            <w:shd w:val="clear" w:color="auto" w:fill="auto"/>
            <w:noWrap/>
            <w:tcMar>
              <w:top w:w="15" w:type="dxa"/>
              <w:left w:w="15" w:type="dxa"/>
              <w:bottom w:w="0" w:type="dxa"/>
              <w:right w:w="15" w:type="dxa"/>
            </w:tcMar>
            <w:vAlign w:val="center"/>
          </w:tcPr>
          <w:p w14:paraId="7F1081E2">
            <w:pPr>
              <w:jc w:val="center"/>
              <w:rPr>
                <w:szCs w:val="21"/>
              </w:rPr>
            </w:pPr>
            <w:r>
              <w:rPr>
                <w:rFonts w:hint="eastAsia"/>
                <w:szCs w:val="21"/>
              </w:rPr>
              <w:t>0.00137</w:t>
            </w:r>
          </w:p>
        </w:tc>
        <w:tc>
          <w:tcPr>
            <w:tcW w:w="926" w:type="pct"/>
            <w:vAlign w:val="center"/>
          </w:tcPr>
          <w:p w14:paraId="3753CA84">
            <w:pPr>
              <w:jc w:val="center"/>
              <w:rPr>
                <w:szCs w:val="21"/>
              </w:rPr>
            </w:pPr>
            <w:r>
              <w:rPr>
                <w:rFonts w:hint="eastAsia"/>
                <w:szCs w:val="21"/>
              </w:rPr>
              <w:t>/</w:t>
            </w:r>
          </w:p>
        </w:tc>
        <w:tc>
          <w:tcPr>
            <w:tcW w:w="922" w:type="pct"/>
            <w:vAlign w:val="center"/>
          </w:tcPr>
          <w:p w14:paraId="248CF6E8">
            <w:pPr>
              <w:jc w:val="center"/>
              <w:rPr>
                <w:szCs w:val="21"/>
              </w:rPr>
            </w:pPr>
            <w:r>
              <w:rPr>
                <w:szCs w:val="21"/>
              </w:rPr>
              <w:t>0.00137</w:t>
            </w:r>
          </w:p>
        </w:tc>
      </w:tr>
      <w:tr w14:paraId="57A4F3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614" w:type="pct"/>
            <w:vMerge w:val="continue"/>
            <w:shd w:val="clear" w:color="auto" w:fill="auto"/>
            <w:vAlign w:val="center"/>
          </w:tcPr>
          <w:p w14:paraId="587F4111">
            <w:pPr>
              <w:widowControl/>
              <w:spacing w:line="240" w:lineRule="exact"/>
              <w:jc w:val="center"/>
              <w:rPr>
                <w:rFonts w:eastAsia="仿宋_GB2312"/>
                <w:kern w:val="0"/>
                <w:szCs w:val="21"/>
                <w:highlight w:val="yellow"/>
              </w:rPr>
            </w:pPr>
          </w:p>
        </w:tc>
        <w:tc>
          <w:tcPr>
            <w:tcW w:w="1450" w:type="pct"/>
            <w:shd w:val="clear" w:color="auto" w:fill="auto"/>
            <w:tcMar>
              <w:top w:w="15" w:type="dxa"/>
              <w:left w:w="15" w:type="dxa"/>
              <w:bottom w:w="0" w:type="dxa"/>
              <w:right w:w="15" w:type="dxa"/>
            </w:tcMar>
            <w:vAlign w:val="center"/>
          </w:tcPr>
          <w:p w14:paraId="24F003B1">
            <w:pPr>
              <w:widowControl/>
              <w:spacing w:line="240" w:lineRule="exact"/>
              <w:jc w:val="center"/>
              <w:rPr>
                <w:rFonts w:eastAsia="仿宋_GB2312"/>
                <w:kern w:val="0"/>
                <w:szCs w:val="21"/>
              </w:rPr>
            </w:pPr>
            <w:r>
              <w:rPr>
                <w:rFonts w:eastAsia="仿宋_GB2312"/>
                <w:kern w:val="0"/>
                <w:szCs w:val="21"/>
              </w:rPr>
              <w:t>甲醇</w:t>
            </w:r>
          </w:p>
        </w:tc>
        <w:tc>
          <w:tcPr>
            <w:tcW w:w="1086" w:type="pct"/>
            <w:shd w:val="clear" w:color="auto" w:fill="auto"/>
            <w:noWrap/>
            <w:tcMar>
              <w:top w:w="15" w:type="dxa"/>
              <w:left w:w="15" w:type="dxa"/>
              <w:bottom w:w="0" w:type="dxa"/>
              <w:right w:w="15" w:type="dxa"/>
            </w:tcMar>
            <w:vAlign w:val="center"/>
          </w:tcPr>
          <w:p w14:paraId="26CA60F7">
            <w:pPr>
              <w:jc w:val="center"/>
              <w:rPr>
                <w:szCs w:val="21"/>
              </w:rPr>
            </w:pPr>
            <w:r>
              <w:rPr>
                <w:rFonts w:hint="eastAsia"/>
                <w:szCs w:val="21"/>
              </w:rPr>
              <w:t>1.0486</w:t>
            </w:r>
          </w:p>
        </w:tc>
        <w:tc>
          <w:tcPr>
            <w:tcW w:w="926" w:type="pct"/>
            <w:vAlign w:val="center"/>
          </w:tcPr>
          <w:p w14:paraId="3CF69808">
            <w:pPr>
              <w:jc w:val="center"/>
              <w:rPr>
                <w:szCs w:val="21"/>
              </w:rPr>
            </w:pPr>
            <w:r>
              <w:rPr>
                <w:rFonts w:hint="eastAsia"/>
                <w:szCs w:val="21"/>
              </w:rPr>
              <w:t>/</w:t>
            </w:r>
          </w:p>
        </w:tc>
        <w:tc>
          <w:tcPr>
            <w:tcW w:w="922" w:type="pct"/>
            <w:vAlign w:val="center"/>
          </w:tcPr>
          <w:p w14:paraId="5B333C80">
            <w:pPr>
              <w:jc w:val="center"/>
              <w:rPr>
                <w:szCs w:val="21"/>
              </w:rPr>
            </w:pPr>
            <w:r>
              <w:rPr>
                <w:szCs w:val="21"/>
              </w:rPr>
              <w:t>1.0486</w:t>
            </w:r>
          </w:p>
        </w:tc>
      </w:tr>
      <w:tr w14:paraId="63B814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614" w:type="pct"/>
            <w:vMerge w:val="continue"/>
            <w:shd w:val="clear" w:color="auto" w:fill="auto"/>
            <w:vAlign w:val="center"/>
          </w:tcPr>
          <w:p w14:paraId="6E1609DD">
            <w:pPr>
              <w:widowControl/>
              <w:spacing w:line="240" w:lineRule="exact"/>
              <w:jc w:val="center"/>
              <w:rPr>
                <w:rFonts w:eastAsia="仿宋_GB2312"/>
                <w:kern w:val="0"/>
                <w:szCs w:val="21"/>
                <w:highlight w:val="yellow"/>
              </w:rPr>
            </w:pPr>
          </w:p>
        </w:tc>
        <w:tc>
          <w:tcPr>
            <w:tcW w:w="1450" w:type="pct"/>
            <w:shd w:val="clear" w:color="auto" w:fill="auto"/>
            <w:tcMar>
              <w:top w:w="15" w:type="dxa"/>
              <w:left w:w="15" w:type="dxa"/>
              <w:bottom w:w="0" w:type="dxa"/>
              <w:right w:w="15" w:type="dxa"/>
            </w:tcMar>
            <w:vAlign w:val="center"/>
          </w:tcPr>
          <w:p w14:paraId="5E855506">
            <w:pPr>
              <w:widowControl/>
              <w:spacing w:line="240" w:lineRule="exact"/>
              <w:jc w:val="center"/>
              <w:rPr>
                <w:rFonts w:eastAsia="仿宋_GB2312"/>
                <w:kern w:val="0"/>
                <w:szCs w:val="21"/>
              </w:rPr>
            </w:pPr>
            <w:r>
              <w:rPr>
                <w:rFonts w:eastAsia="仿宋_GB2312"/>
                <w:kern w:val="0"/>
                <w:szCs w:val="21"/>
              </w:rPr>
              <w:t>氨</w:t>
            </w:r>
          </w:p>
        </w:tc>
        <w:tc>
          <w:tcPr>
            <w:tcW w:w="1086" w:type="pct"/>
            <w:shd w:val="clear" w:color="auto" w:fill="auto"/>
            <w:noWrap/>
            <w:tcMar>
              <w:top w:w="15" w:type="dxa"/>
              <w:left w:w="15" w:type="dxa"/>
              <w:bottom w:w="0" w:type="dxa"/>
              <w:right w:w="15" w:type="dxa"/>
            </w:tcMar>
            <w:vAlign w:val="center"/>
          </w:tcPr>
          <w:p w14:paraId="3C1BBD31">
            <w:pPr>
              <w:jc w:val="center"/>
              <w:rPr>
                <w:szCs w:val="21"/>
              </w:rPr>
            </w:pPr>
            <w:r>
              <w:rPr>
                <w:rFonts w:hint="eastAsia"/>
                <w:szCs w:val="21"/>
              </w:rPr>
              <w:t>1.5238</w:t>
            </w:r>
          </w:p>
        </w:tc>
        <w:tc>
          <w:tcPr>
            <w:tcW w:w="926" w:type="pct"/>
            <w:vAlign w:val="center"/>
          </w:tcPr>
          <w:p w14:paraId="0F35DDDD">
            <w:pPr>
              <w:jc w:val="center"/>
              <w:rPr>
                <w:szCs w:val="21"/>
              </w:rPr>
            </w:pPr>
            <w:r>
              <w:rPr>
                <w:rFonts w:hint="eastAsia"/>
                <w:szCs w:val="21"/>
              </w:rPr>
              <w:t>/</w:t>
            </w:r>
          </w:p>
        </w:tc>
        <w:tc>
          <w:tcPr>
            <w:tcW w:w="922" w:type="pct"/>
            <w:vAlign w:val="center"/>
          </w:tcPr>
          <w:p w14:paraId="208D31B1">
            <w:pPr>
              <w:jc w:val="center"/>
              <w:rPr>
                <w:szCs w:val="21"/>
              </w:rPr>
            </w:pPr>
            <w:r>
              <w:rPr>
                <w:szCs w:val="21"/>
              </w:rPr>
              <w:t>1.5238</w:t>
            </w:r>
          </w:p>
        </w:tc>
      </w:tr>
      <w:tr w14:paraId="66023E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614" w:type="pct"/>
            <w:vMerge w:val="continue"/>
            <w:shd w:val="clear" w:color="auto" w:fill="auto"/>
            <w:vAlign w:val="center"/>
          </w:tcPr>
          <w:p w14:paraId="28081986">
            <w:pPr>
              <w:widowControl/>
              <w:spacing w:line="240" w:lineRule="exact"/>
              <w:jc w:val="center"/>
              <w:rPr>
                <w:rFonts w:eastAsia="仿宋_GB2312"/>
                <w:kern w:val="0"/>
                <w:szCs w:val="21"/>
                <w:highlight w:val="yellow"/>
              </w:rPr>
            </w:pPr>
          </w:p>
        </w:tc>
        <w:tc>
          <w:tcPr>
            <w:tcW w:w="1450" w:type="pct"/>
            <w:shd w:val="clear" w:color="auto" w:fill="auto"/>
            <w:tcMar>
              <w:top w:w="15" w:type="dxa"/>
              <w:left w:w="15" w:type="dxa"/>
              <w:bottom w:w="0" w:type="dxa"/>
              <w:right w:w="15" w:type="dxa"/>
            </w:tcMar>
            <w:vAlign w:val="center"/>
          </w:tcPr>
          <w:p w14:paraId="59C7F774">
            <w:pPr>
              <w:widowControl/>
              <w:spacing w:line="240" w:lineRule="exact"/>
              <w:jc w:val="center"/>
              <w:rPr>
                <w:rFonts w:eastAsia="仿宋_GB2312"/>
                <w:kern w:val="0"/>
                <w:szCs w:val="21"/>
              </w:rPr>
            </w:pPr>
            <w:r>
              <w:rPr>
                <w:rFonts w:eastAsia="仿宋_GB2312"/>
                <w:kern w:val="0"/>
                <w:szCs w:val="21"/>
              </w:rPr>
              <w:t>硫化氢</w:t>
            </w:r>
          </w:p>
        </w:tc>
        <w:tc>
          <w:tcPr>
            <w:tcW w:w="1086" w:type="pct"/>
            <w:shd w:val="clear" w:color="auto" w:fill="auto"/>
            <w:noWrap/>
            <w:tcMar>
              <w:top w:w="15" w:type="dxa"/>
              <w:left w:w="15" w:type="dxa"/>
              <w:bottom w:w="0" w:type="dxa"/>
              <w:right w:w="15" w:type="dxa"/>
            </w:tcMar>
            <w:vAlign w:val="center"/>
          </w:tcPr>
          <w:p w14:paraId="676D0BCF">
            <w:pPr>
              <w:jc w:val="center"/>
              <w:rPr>
                <w:szCs w:val="21"/>
              </w:rPr>
            </w:pPr>
            <w:r>
              <w:rPr>
                <w:rFonts w:hint="eastAsia"/>
                <w:szCs w:val="21"/>
              </w:rPr>
              <w:t>0.206</w:t>
            </w:r>
          </w:p>
        </w:tc>
        <w:tc>
          <w:tcPr>
            <w:tcW w:w="926" w:type="pct"/>
            <w:vAlign w:val="center"/>
          </w:tcPr>
          <w:p w14:paraId="5D6AE8E7">
            <w:pPr>
              <w:jc w:val="center"/>
              <w:rPr>
                <w:szCs w:val="21"/>
              </w:rPr>
            </w:pPr>
            <w:r>
              <w:rPr>
                <w:rFonts w:hint="eastAsia"/>
                <w:szCs w:val="21"/>
              </w:rPr>
              <w:t>/</w:t>
            </w:r>
          </w:p>
        </w:tc>
        <w:tc>
          <w:tcPr>
            <w:tcW w:w="922" w:type="pct"/>
            <w:vAlign w:val="center"/>
          </w:tcPr>
          <w:p w14:paraId="6975C48D">
            <w:pPr>
              <w:jc w:val="center"/>
              <w:rPr>
                <w:szCs w:val="21"/>
              </w:rPr>
            </w:pPr>
            <w:r>
              <w:rPr>
                <w:szCs w:val="21"/>
              </w:rPr>
              <w:t>0.206</w:t>
            </w:r>
          </w:p>
        </w:tc>
      </w:tr>
      <w:tr w14:paraId="0DB101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614" w:type="pct"/>
            <w:vMerge w:val="continue"/>
            <w:shd w:val="clear" w:color="auto" w:fill="auto"/>
            <w:vAlign w:val="center"/>
          </w:tcPr>
          <w:p w14:paraId="7F32CF31">
            <w:pPr>
              <w:widowControl/>
              <w:spacing w:line="240" w:lineRule="exact"/>
              <w:jc w:val="center"/>
              <w:rPr>
                <w:rFonts w:eastAsia="仿宋_GB2312"/>
                <w:kern w:val="0"/>
                <w:szCs w:val="21"/>
                <w:highlight w:val="yellow"/>
              </w:rPr>
            </w:pPr>
          </w:p>
        </w:tc>
        <w:tc>
          <w:tcPr>
            <w:tcW w:w="1450" w:type="pct"/>
            <w:shd w:val="clear" w:color="auto" w:fill="auto"/>
            <w:tcMar>
              <w:top w:w="15" w:type="dxa"/>
              <w:left w:w="15" w:type="dxa"/>
              <w:bottom w:w="0" w:type="dxa"/>
              <w:right w:w="15" w:type="dxa"/>
            </w:tcMar>
            <w:vAlign w:val="center"/>
          </w:tcPr>
          <w:p w14:paraId="5B43975D">
            <w:pPr>
              <w:widowControl/>
              <w:spacing w:line="240" w:lineRule="exact"/>
              <w:jc w:val="center"/>
              <w:rPr>
                <w:rFonts w:eastAsia="仿宋_GB2312"/>
                <w:kern w:val="0"/>
                <w:szCs w:val="21"/>
              </w:rPr>
            </w:pPr>
            <w:r>
              <w:rPr>
                <w:rFonts w:eastAsia="仿宋_GB2312"/>
                <w:kern w:val="0"/>
                <w:szCs w:val="21"/>
              </w:rPr>
              <w:t>乙醇</w:t>
            </w:r>
          </w:p>
        </w:tc>
        <w:tc>
          <w:tcPr>
            <w:tcW w:w="1086" w:type="pct"/>
            <w:shd w:val="clear" w:color="auto" w:fill="auto"/>
            <w:noWrap/>
            <w:tcMar>
              <w:top w:w="15" w:type="dxa"/>
              <w:left w:w="15" w:type="dxa"/>
              <w:bottom w:w="0" w:type="dxa"/>
              <w:right w:w="15" w:type="dxa"/>
            </w:tcMar>
            <w:vAlign w:val="center"/>
          </w:tcPr>
          <w:p w14:paraId="4B12C1B2">
            <w:pPr>
              <w:jc w:val="center"/>
              <w:rPr>
                <w:szCs w:val="21"/>
              </w:rPr>
            </w:pPr>
            <w:r>
              <w:rPr>
                <w:rFonts w:hint="eastAsia"/>
                <w:szCs w:val="21"/>
              </w:rPr>
              <w:t>0.34</w:t>
            </w:r>
          </w:p>
        </w:tc>
        <w:tc>
          <w:tcPr>
            <w:tcW w:w="926" w:type="pct"/>
            <w:vAlign w:val="center"/>
          </w:tcPr>
          <w:p w14:paraId="299DAD9F">
            <w:pPr>
              <w:jc w:val="center"/>
              <w:rPr>
                <w:szCs w:val="21"/>
              </w:rPr>
            </w:pPr>
            <w:r>
              <w:rPr>
                <w:rFonts w:hint="eastAsia"/>
                <w:szCs w:val="21"/>
              </w:rPr>
              <w:t>/</w:t>
            </w:r>
          </w:p>
        </w:tc>
        <w:tc>
          <w:tcPr>
            <w:tcW w:w="922" w:type="pct"/>
            <w:vAlign w:val="center"/>
          </w:tcPr>
          <w:p w14:paraId="211A6C14">
            <w:pPr>
              <w:jc w:val="center"/>
              <w:rPr>
                <w:szCs w:val="21"/>
              </w:rPr>
            </w:pPr>
            <w:r>
              <w:rPr>
                <w:szCs w:val="21"/>
              </w:rPr>
              <w:t>0.</w:t>
            </w:r>
            <w:r>
              <w:rPr>
                <w:rFonts w:hint="eastAsia"/>
                <w:szCs w:val="21"/>
              </w:rPr>
              <w:t>34</w:t>
            </w:r>
          </w:p>
        </w:tc>
      </w:tr>
      <w:tr w14:paraId="6BF99F5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614" w:type="pct"/>
            <w:vMerge w:val="continue"/>
            <w:shd w:val="clear" w:color="auto" w:fill="auto"/>
            <w:vAlign w:val="center"/>
          </w:tcPr>
          <w:p w14:paraId="5A8F807E">
            <w:pPr>
              <w:widowControl/>
              <w:spacing w:line="240" w:lineRule="exact"/>
              <w:jc w:val="center"/>
              <w:rPr>
                <w:rFonts w:eastAsia="仿宋_GB2312"/>
                <w:kern w:val="0"/>
                <w:szCs w:val="21"/>
                <w:highlight w:val="yellow"/>
              </w:rPr>
            </w:pPr>
          </w:p>
        </w:tc>
        <w:tc>
          <w:tcPr>
            <w:tcW w:w="1450" w:type="pct"/>
            <w:shd w:val="clear" w:color="auto" w:fill="auto"/>
            <w:tcMar>
              <w:top w:w="15" w:type="dxa"/>
              <w:left w:w="15" w:type="dxa"/>
              <w:bottom w:w="0" w:type="dxa"/>
              <w:right w:w="15" w:type="dxa"/>
            </w:tcMar>
            <w:vAlign w:val="center"/>
          </w:tcPr>
          <w:p w14:paraId="4E4144D4">
            <w:pPr>
              <w:widowControl/>
              <w:spacing w:line="240" w:lineRule="exact"/>
              <w:jc w:val="center"/>
              <w:rPr>
                <w:rFonts w:eastAsia="仿宋_GB2312"/>
                <w:kern w:val="0"/>
                <w:szCs w:val="21"/>
              </w:rPr>
            </w:pPr>
            <w:r>
              <w:rPr>
                <w:rFonts w:eastAsia="仿宋_GB2312"/>
                <w:kern w:val="0"/>
                <w:szCs w:val="21"/>
              </w:rPr>
              <w:t>乙腈</w:t>
            </w:r>
          </w:p>
        </w:tc>
        <w:tc>
          <w:tcPr>
            <w:tcW w:w="1086" w:type="pct"/>
            <w:shd w:val="clear" w:color="auto" w:fill="auto"/>
            <w:noWrap/>
            <w:tcMar>
              <w:top w:w="15" w:type="dxa"/>
              <w:left w:w="15" w:type="dxa"/>
              <w:bottom w:w="0" w:type="dxa"/>
              <w:right w:w="15" w:type="dxa"/>
            </w:tcMar>
            <w:vAlign w:val="center"/>
          </w:tcPr>
          <w:p w14:paraId="38FA57CD">
            <w:pPr>
              <w:jc w:val="center"/>
              <w:rPr>
                <w:szCs w:val="21"/>
              </w:rPr>
            </w:pPr>
            <w:r>
              <w:rPr>
                <w:rFonts w:hint="eastAsia"/>
                <w:szCs w:val="21"/>
              </w:rPr>
              <w:t>0.222</w:t>
            </w:r>
          </w:p>
        </w:tc>
        <w:tc>
          <w:tcPr>
            <w:tcW w:w="926" w:type="pct"/>
            <w:vAlign w:val="center"/>
          </w:tcPr>
          <w:p w14:paraId="770724B1">
            <w:pPr>
              <w:jc w:val="center"/>
              <w:rPr>
                <w:szCs w:val="21"/>
              </w:rPr>
            </w:pPr>
            <w:r>
              <w:rPr>
                <w:rFonts w:hint="eastAsia"/>
                <w:szCs w:val="21"/>
              </w:rPr>
              <w:t>/</w:t>
            </w:r>
          </w:p>
        </w:tc>
        <w:tc>
          <w:tcPr>
            <w:tcW w:w="922" w:type="pct"/>
            <w:vAlign w:val="center"/>
          </w:tcPr>
          <w:p w14:paraId="6817969B">
            <w:pPr>
              <w:jc w:val="center"/>
              <w:rPr>
                <w:szCs w:val="21"/>
              </w:rPr>
            </w:pPr>
            <w:r>
              <w:rPr>
                <w:szCs w:val="21"/>
              </w:rPr>
              <w:t>0.222</w:t>
            </w:r>
          </w:p>
        </w:tc>
      </w:tr>
      <w:tr w14:paraId="3BC4AB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614" w:type="pct"/>
            <w:vMerge w:val="continue"/>
            <w:shd w:val="clear" w:color="auto" w:fill="auto"/>
            <w:vAlign w:val="center"/>
          </w:tcPr>
          <w:p w14:paraId="626276B7">
            <w:pPr>
              <w:widowControl/>
              <w:spacing w:line="240" w:lineRule="exact"/>
              <w:jc w:val="center"/>
              <w:rPr>
                <w:rFonts w:eastAsia="仿宋_GB2312"/>
                <w:kern w:val="0"/>
                <w:szCs w:val="21"/>
                <w:highlight w:val="yellow"/>
              </w:rPr>
            </w:pPr>
          </w:p>
        </w:tc>
        <w:tc>
          <w:tcPr>
            <w:tcW w:w="1450" w:type="pct"/>
            <w:shd w:val="clear" w:color="auto" w:fill="auto"/>
            <w:tcMar>
              <w:top w:w="15" w:type="dxa"/>
              <w:left w:w="15" w:type="dxa"/>
              <w:bottom w:w="0" w:type="dxa"/>
              <w:right w:w="15" w:type="dxa"/>
            </w:tcMar>
            <w:vAlign w:val="center"/>
          </w:tcPr>
          <w:p w14:paraId="7671279D">
            <w:pPr>
              <w:widowControl/>
              <w:spacing w:line="240" w:lineRule="exact"/>
              <w:jc w:val="center"/>
              <w:rPr>
                <w:rFonts w:eastAsia="仿宋_GB2312"/>
                <w:kern w:val="0"/>
                <w:szCs w:val="21"/>
              </w:rPr>
            </w:pPr>
            <w:r>
              <w:rPr>
                <w:rFonts w:eastAsia="仿宋_GB2312"/>
                <w:kern w:val="0"/>
                <w:szCs w:val="21"/>
              </w:rPr>
              <w:t>丙二醇</w:t>
            </w:r>
          </w:p>
        </w:tc>
        <w:tc>
          <w:tcPr>
            <w:tcW w:w="1086" w:type="pct"/>
            <w:shd w:val="clear" w:color="auto" w:fill="auto"/>
            <w:noWrap/>
            <w:tcMar>
              <w:top w:w="15" w:type="dxa"/>
              <w:left w:w="15" w:type="dxa"/>
              <w:bottom w:w="0" w:type="dxa"/>
              <w:right w:w="15" w:type="dxa"/>
            </w:tcMar>
            <w:vAlign w:val="center"/>
          </w:tcPr>
          <w:p w14:paraId="6E09A9C5">
            <w:pPr>
              <w:jc w:val="center"/>
              <w:rPr>
                <w:szCs w:val="21"/>
              </w:rPr>
            </w:pPr>
            <w:r>
              <w:rPr>
                <w:rFonts w:hint="eastAsia"/>
                <w:szCs w:val="21"/>
              </w:rPr>
              <w:t>0.011</w:t>
            </w:r>
          </w:p>
        </w:tc>
        <w:tc>
          <w:tcPr>
            <w:tcW w:w="926" w:type="pct"/>
            <w:vAlign w:val="center"/>
          </w:tcPr>
          <w:p w14:paraId="03C2CE9A">
            <w:pPr>
              <w:jc w:val="center"/>
              <w:rPr>
                <w:szCs w:val="21"/>
              </w:rPr>
            </w:pPr>
            <w:r>
              <w:rPr>
                <w:rFonts w:hint="eastAsia"/>
                <w:szCs w:val="21"/>
              </w:rPr>
              <w:t>0.426</w:t>
            </w:r>
          </w:p>
        </w:tc>
        <w:tc>
          <w:tcPr>
            <w:tcW w:w="922" w:type="pct"/>
            <w:vAlign w:val="center"/>
          </w:tcPr>
          <w:p w14:paraId="637C89F0">
            <w:pPr>
              <w:jc w:val="center"/>
              <w:rPr>
                <w:szCs w:val="21"/>
              </w:rPr>
            </w:pPr>
            <w:r>
              <w:rPr>
                <w:szCs w:val="21"/>
              </w:rPr>
              <w:t>0.437</w:t>
            </w:r>
          </w:p>
        </w:tc>
      </w:tr>
      <w:tr w14:paraId="7C42C7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614" w:type="pct"/>
            <w:vMerge w:val="continue"/>
            <w:shd w:val="clear" w:color="auto" w:fill="auto"/>
            <w:vAlign w:val="center"/>
          </w:tcPr>
          <w:p w14:paraId="02F5571A">
            <w:pPr>
              <w:widowControl/>
              <w:spacing w:line="240" w:lineRule="exact"/>
              <w:jc w:val="center"/>
              <w:rPr>
                <w:rFonts w:eastAsia="仿宋_GB2312"/>
                <w:kern w:val="0"/>
                <w:szCs w:val="21"/>
                <w:highlight w:val="yellow"/>
              </w:rPr>
            </w:pPr>
          </w:p>
        </w:tc>
        <w:tc>
          <w:tcPr>
            <w:tcW w:w="1450" w:type="pct"/>
            <w:shd w:val="clear" w:color="auto" w:fill="auto"/>
            <w:tcMar>
              <w:top w:w="15" w:type="dxa"/>
              <w:left w:w="15" w:type="dxa"/>
              <w:bottom w:w="0" w:type="dxa"/>
              <w:right w:w="15" w:type="dxa"/>
            </w:tcMar>
            <w:vAlign w:val="center"/>
          </w:tcPr>
          <w:p w14:paraId="191B39FE">
            <w:pPr>
              <w:widowControl/>
              <w:spacing w:line="240" w:lineRule="exact"/>
              <w:jc w:val="center"/>
              <w:rPr>
                <w:rFonts w:eastAsia="仿宋_GB2312"/>
                <w:kern w:val="0"/>
                <w:szCs w:val="21"/>
              </w:rPr>
            </w:pPr>
            <w:r>
              <w:rPr>
                <w:rFonts w:hint="eastAsia" w:eastAsia="仿宋_GB2312"/>
                <w:kern w:val="0"/>
                <w:szCs w:val="21"/>
              </w:rPr>
              <w:t>二甘醇</w:t>
            </w:r>
          </w:p>
        </w:tc>
        <w:tc>
          <w:tcPr>
            <w:tcW w:w="1086" w:type="pct"/>
            <w:shd w:val="clear" w:color="auto" w:fill="auto"/>
            <w:noWrap/>
            <w:tcMar>
              <w:top w:w="15" w:type="dxa"/>
              <w:left w:w="15" w:type="dxa"/>
              <w:bottom w:w="0" w:type="dxa"/>
              <w:right w:w="15" w:type="dxa"/>
            </w:tcMar>
            <w:vAlign w:val="center"/>
          </w:tcPr>
          <w:p w14:paraId="448C8BEF">
            <w:pPr>
              <w:jc w:val="center"/>
              <w:rPr>
                <w:szCs w:val="21"/>
              </w:rPr>
            </w:pPr>
            <w:r>
              <w:rPr>
                <w:rFonts w:hint="eastAsia"/>
                <w:szCs w:val="21"/>
              </w:rPr>
              <w:t>/</w:t>
            </w:r>
          </w:p>
        </w:tc>
        <w:tc>
          <w:tcPr>
            <w:tcW w:w="926" w:type="pct"/>
            <w:vAlign w:val="center"/>
          </w:tcPr>
          <w:p w14:paraId="5EE12551">
            <w:pPr>
              <w:jc w:val="center"/>
              <w:rPr>
                <w:szCs w:val="21"/>
              </w:rPr>
            </w:pPr>
            <w:r>
              <w:rPr>
                <w:rFonts w:hint="eastAsia"/>
                <w:szCs w:val="21"/>
              </w:rPr>
              <w:t>0.6</w:t>
            </w:r>
          </w:p>
        </w:tc>
        <w:tc>
          <w:tcPr>
            <w:tcW w:w="922" w:type="pct"/>
            <w:vAlign w:val="center"/>
          </w:tcPr>
          <w:p w14:paraId="7E6177ED">
            <w:pPr>
              <w:jc w:val="center"/>
              <w:rPr>
                <w:szCs w:val="21"/>
              </w:rPr>
            </w:pPr>
            <w:r>
              <w:rPr>
                <w:rFonts w:hint="eastAsia"/>
                <w:szCs w:val="21"/>
              </w:rPr>
              <w:t>0.6</w:t>
            </w:r>
          </w:p>
        </w:tc>
      </w:tr>
      <w:tr w14:paraId="70E272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614" w:type="pct"/>
            <w:vMerge w:val="continue"/>
            <w:shd w:val="clear" w:color="auto" w:fill="auto"/>
            <w:vAlign w:val="center"/>
          </w:tcPr>
          <w:p w14:paraId="28F3B03D">
            <w:pPr>
              <w:widowControl/>
              <w:spacing w:line="240" w:lineRule="exact"/>
              <w:jc w:val="center"/>
              <w:rPr>
                <w:rFonts w:eastAsia="仿宋_GB2312"/>
                <w:kern w:val="0"/>
                <w:szCs w:val="21"/>
                <w:highlight w:val="yellow"/>
              </w:rPr>
            </w:pPr>
          </w:p>
        </w:tc>
        <w:tc>
          <w:tcPr>
            <w:tcW w:w="1450" w:type="pct"/>
            <w:shd w:val="clear" w:color="auto" w:fill="auto"/>
            <w:tcMar>
              <w:top w:w="15" w:type="dxa"/>
              <w:left w:w="15" w:type="dxa"/>
              <w:bottom w:w="0" w:type="dxa"/>
              <w:right w:w="15" w:type="dxa"/>
            </w:tcMar>
            <w:vAlign w:val="center"/>
          </w:tcPr>
          <w:p w14:paraId="27BCCD08">
            <w:pPr>
              <w:widowControl/>
              <w:spacing w:line="240" w:lineRule="exact"/>
              <w:jc w:val="center"/>
              <w:rPr>
                <w:rFonts w:eastAsia="仿宋_GB2312"/>
                <w:kern w:val="0"/>
                <w:szCs w:val="21"/>
              </w:rPr>
            </w:pPr>
            <w:r>
              <w:rPr>
                <w:rFonts w:hint="eastAsia" w:eastAsia="仿宋_GB2312"/>
                <w:kern w:val="0"/>
                <w:szCs w:val="21"/>
              </w:rPr>
              <w:t>二乙二醇</w:t>
            </w:r>
          </w:p>
        </w:tc>
        <w:tc>
          <w:tcPr>
            <w:tcW w:w="1086" w:type="pct"/>
            <w:shd w:val="clear" w:color="auto" w:fill="auto"/>
            <w:noWrap/>
            <w:tcMar>
              <w:top w:w="15" w:type="dxa"/>
              <w:left w:w="15" w:type="dxa"/>
              <w:bottom w:w="0" w:type="dxa"/>
              <w:right w:w="15" w:type="dxa"/>
            </w:tcMar>
            <w:vAlign w:val="center"/>
          </w:tcPr>
          <w:p w14:paraId="11128094">
            <w:pPr>
              <w:jc w:val="center"/>
              <w:rPr>
                <w:szCs w:val="21"/>
              </w:rPr>
            </w:pPr>
            <w:r>
              <w:rPr>
                <w:rFonts w:hint="eastAsia"/>
                <w:szCs w:val="21"/>
              </w:rPr>
              <w:t>0.6</w:t>
            </w:r>
          </w:p>
        </w:tc>
        <w:tc>
          <w:tcPr>
            <w:tcW w:w="926" w:type="pct"/>
            <w:vAlign w:val="center"/>
          </w:tcPr>
          <w:p w14:paraId="0DDB6AFC">
            <w:pPr>
              <w:jc w:val="center"/>
              <w:rPr>
                <w:szCs w:val="21"/>
              </w:rPr>
            </w:pPr>
            <w:r>
              <w:rPr>
                <w:rFonts w:hint="eastAsia"/>
                <w:szCs w:val="21"/>
              </w:rPr>
              <w:t>/</w:t>
            </w:r>
          </w:p>
        </w:tc>
        <w:tc>
          <w:tcPr>
            <w:tcW w:w="922" w:type="pct"/>
            <w:vAlign w:val="center"/>
          </w:tcPr>
          <w:p w14:paraId="35A40862">
            <w:pPr>
              <w:jc w:val="center"/>
              <w:rPr>
                <w:szCs w:val="21"/>
              </w:rPr>
            </w:pPr>
            <w:r>
              <w:rPr>
                <w:szCs w:val="21"/>
              </w:rPr>
              <w:t>0.6</w:t>
            </w:r>
          </w:p>
        </w:tc>
      </w:tr>
      <w:tr w14:paraId="7C0B9CD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614" w:type="pct"/>
            <w:vMerge w:val="continue"/>
            <w:shd w:val="clear" w:color="auto" w:fill="auto"/>
            <w:vAlign w:val="center"/>
          </w:tcPr>
          <w:p w14:paraId="3A494C2C">
            <w:pPr>
              <w:widowControl/>
              <w:spacing w:line="240" w:lineRule="exact"/>
              <w:jc w:val="center"/>
              <w:rPr>
                <w:rFonts w:eastAsia="仿宋_GB2312"/>
                <w:kern w:val="0"/>
                <w:szCs w:val="21"/>
                <w:highlight w:val="yellow"/>
              </w:rPr>
            </w:pPr>
          </w:p>
        </w:tc>
        <w:tc>
          <w:tcPr>
            <w:tcW w:w="1450" w:type="pct"/>
            <w:shd w:val="clear" w:color="auto" w:fill="auto"/>
            <w:tcMar>
              <w:top w:w="15" w:type="dxa"/>
              <w:left w:w="15" w:type="dxa"/>
              <w:bottom w:w="0" w:type="dxa"/>
              <w:right w:w="15" w:type="dxa"/>
            </w:tcMar>
            <w:vAlign w:val="center"/>
          </w:tcPr>
          <w:p w14:paraId="28FC0270">
            <w:pPr>
              <w:widowControl/>
              <w:spacing w:line="240" w:lineRule="exact"/>
              <w:jc w:val="center"/>
              <w:rPr>
                <w:rFonts w:eastAsia="仿宋_GB2312"/>
                <w:kern w:val="0"/>
                <w:szCs w:val="21"/>
              </w:rPr>
            </w:pPr>
            <w:r>
              <w:rPr>
                <w:rFonts w:eastAsia="仿宋_GB2312"/>
                <w:kern w:val="0"/>
                <w:szCs w:val="21"/>
              </w:rPr>
              <w:t>己二酸</w:t>
            </w:r>
          </w:p>
        </w:tc>
        <w:tc>
          <w:tcPr>
            <w:tcW w:w="1086" w:type="pct"/>
            <w:shd w:val="clear" w:color="auto" w:fill="auto"/>
            <w:noWrap/>
            <w:tcMar>
              <w:top w:w="15" w:type="dxa"/>
              <w:left w:w="15" w:type="dxa"/>
              <w:bottom w:w="0" w:type="dxa"/>
              <w:right w:w="15" w:type="dxa"/>
            </w:tcMar>
            <w:vAlign w:val="center"/>
          </w:tcPr>
          <w:p w14:paraId="66F63CFB">
            <w:pPr>
              <w:jc w:val="center"/>
              <w:rPr>
                <w:szCs w:val="21"/>
              </w:rPr>
            </w:pPr>
            <w:r>
              <w:rPr>
                <w:rFonts w:hint="eastAsia"/>
                <w:szCs w:val="21"/>
              </w:rPr>
              <w:t>/</w:t>
            </w:r>
          </w:p>
        </w:tc>
        <w:tc>
          <w:tcPr>
            <w:tcW w:w="926" w:type="pct"/>
            <w:vAlign w:val="center"/>
          </w:tcPr>
          <w:p w14:paraId="0F8E4F2A">
            <w:pPr>
              <w:jc w:val="center"/>
              <w:rPr>
                <w:szCs w:val="21"/>
              </w:rPr>
            </w:pPr>
            <w:r>
              <w:rPr>
                <w:rFonts w:hint="eastAsia"/>
                <w:szCs w:val="21"/>
              </w:rPr>
              <w:t>0.12</w:t>
            </w:r>
          </w:p>
        </w:tc>
        <w:tc>
          <w:tcPr>
            <w:tcW w:w="922" w:type="pct"/>
            <w:vAlign w:val="center"/>
          </w:tcPr>
          <w:p w14:paraId="617FB9E6">
            <w:pPr>
              <w:jc w:val="center"/>
              <w:rPr>
                <w:szCs w:val="21"/>
              </w:rPr>
            </w:pPr>
            <w:r>
              <w:rPr>
                <w:szCs w:val="21"/>
              </w:rPr>
              <w:t>0.12</w:t>
            </w:r>
          </w:p>
        </w:tc>
      </w:tr>
      <w:tr w14:paraId="3E3115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614" w:type="pct"/>
            <w:vMerge w:val="continue"/>
            <w:shd w:val="clear" w:color="auto" w:fill="auto"/>
            <w:vAlign w:val="center"/>
          </w:tcPr>
          <w:p w14:paraId="648DFB90">
            <w:pPr>
              <w:widowControl/>
              <w:spacing w:line="240" w:lineRule="exact"/>
              <w:jc w:val="center"/>
              <w:rPr>
                <w:rFonts w:eastAsia="仿宋_GB2312"/>
                <w:kern w:val="0"/>
                <w:szCs w:val="21"/>
                <w:highlight w:val="yellow"/>
              </w:rPr>
            </w:pPr>
          </w:p>
        </w:tc>
        <w:tc>
          <w:tcPr>
            <w:tcW w:w="1450" w:type="pct"/>
            <w:shd w:val="clear" w:color="auto" w:fill="auto"/>
            <w:tcMar>
              <w:top w:w="15" w:type="dxa"/>
              <w:left w:w="15" w:type="dxa"/>
              <w:bottom w:w="0" w:type="dxa"/>
              <w:right w:w="15" w:type="dxa"/>
            </w:tcMar>
            <w:vAlign w:val="center"/>
          </w:tcPr>
          <w:p w14:paraId="35F8BA86">
            <w:pPr>
              <w:widowControl/>
              <w:spacing w:line="240" w:lineRule="exact"/>
              <w:jc w:val="center"/>
              <w:rPr>
                <w:rFonts w:eastAsia="仿宋_GB2312"/>
                <w:kern w:val="0"/>
                <w:szCs w:val="21"/>
              </w:rPr>
            </w:pPr>
            <w:r>
              <w:rPr>
                <w:rFonts w:eastAsia="仿宋_GB2312"/>
                <w:kern w:val="0"/>
                <w:szCs w:val="21"/>
              </w:rPr>
              <w:t>醋酸</w:t>
            </w:r>
          </w:p>
        </w:tc>
        <w:tc>
          <w:tcPr>
            <w:tcW w:w="1086" w:type="pct"/>
            <w:shd w:val="clear" w:color="auto" w:fill="auto"/>
            <w:noWrap/>
            <w:tcMar>
              <w:top w:w="15" w:type="dxa"/>
              <w:left w:w="15" w:type="dxa"/>
              <w:bottom w:w="0" w:type="dxa"/>
              <w:right w:w="15" w:type="dxa"/>
            </w:tcMar>
            <w:vAlign w:val="center"/>
          </w:tcPr>
          <w:p w14:paraId="22188025">
            <w:pPr>
              <w:jc w:val="center"/>
              <w:rPr>
                <w:szCs w:val="21"/>
              </w:rPr>
            </w:pPr>
            <w:r>
              <w:rPr>
                <w:rFonts w:hint="eastAsia"/>
                <w:szCs w:val="21"/>
              </w:rPr>
              <w:t>0.007</w:t>
            </w:r>
          </w:p>
        </w:tc>
        <w:tc>
          <w:tcPr>
            <w:tcW w:w="926" w:type="pct"/>
            <w:vAlign w:val="center"/>
          </w:tcPr>
          <w:p w14:paraId="20F8E0A3">
            <w:pPr>
              <w:jc w:val="center"/>
              <w:rPr>
                <w:szCs w:val="21"/>
              </w:rPr>
            </w:pPr>
            <w:r>
              <w:rPr>
                <w:rFonts w:hint="eastAsia"/>
                <w:szCs w:val="21"/>
              </w:rPr>
              <w:t>/</w:t>
            </w:r>
          </w:p>
        </w:tc>
        <w:tc>
          <w:tcPr>
            <w:tcW w:w="922" w:type="pct"/>
            <w:vAlign w:val="center"/>
          </w:tcPr>
          <w:p w14:paraId="06CE94DA">
            <w:pPr>
              <w:jc w:val="center"/>
              <w:rPr>
                <w:szCs w:val="21"/>
              </w:rPr>
            </w:pPr>
            <w:r>
              <w:rPr>
                <w:szCs w:val="21"/>
              </w:rPr>
              <w:t>0.007</w:t>
            </w:r>
          </w:p>
        </w:tc>
      </w:tr>
      <w:tr w14:paraId="36DC5F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614" w:type="pct"/>
            <w:vMerge w:val="continue"/>
            <w:shd w:val="clear" w:color="auto" w:fill="auto"/>
            <w:vAlign w:val="center"/>
          </w:tcPr>
          <w:p w14:paraId="7C06896E">
            <w:pPr>
              <w:widowControl/>
              <w:spacing w:line="240" w:lineRule="exact"/>
              <w:jc w:val="center"/>
              <w:rPr>
                <w:rFonts w:eastAsia="仿宋_GB2312"/>
                <w:kern w:val="0"/>
                <w:szCs w:val="21"/>
                <w:highlight w:val="yellow"/>
              </w:rPr>
            </w:pPr>
          </w:p>
        </w:tc>
        <w:tc>
          <w:tcPr>
            <w:tcW w:w="1450" w:type="pct"/>
            <w:shd w:val="clear" w:color="auto" w:fill="auto"/>
            <w:tcMar>
              <w:top w:w="15" w:type="dxa"/>
              <w:left w:w="15" w:type="dxa"/>
              <w:bottom w:w="0" w:type="dxa"/>
              <w:right w:w="15" w:type="dxa"/>
            </w:tcMar>
            <w:vAlign w:val="center"/>
          </w:tcPr>
          <w:p w14:paraId="21D34D9A">
            <w:pPr>
              <w:widowControl/>
              <w:spacing w:line="240" w:lineRule="exact"/>
              <w:jc w:val="center"/>
              <w:rPr>
                <w:rFonts w:eastAsia="仿宋_GB2312"/>
                <w:kern w:val="0"/>
                <w:szCs w:val="21"/>
              </w:rPr>
            </w:pPr>
            <w:r>
              <w:rPr>
                <w:rFonts w:eastAsia="仿宋_GB2312"/>
                <w:kern w:val="0"/>
                <w:szCs w:val="21"/>
              </w:rPr>
              <w:t>甲基异丁基酮</w:t>
            </w:r>
          </w:p>
        </w:tc>
        <w:tc>
          <w:tcPr>
            <w:tcW w:w="1086" w:type="pct"/>
            <w:shd w:val="clear" w:color="auto" w:fill="auto"/>
            <w:noWrap/>
            <w:tcMar>
              <w:top w:w="15" w:type="dxa"/>
              <w:left w:w="15" w:type="dxa"/>
              <w:bottom w:w="0" w:type="dxa"/>
              <w:right w:w="15" w:type="dxa"/>
            </w:tcMar>
            <w:vAlign w:val="center"/>
          </w:tcPr>
          <w:p w14:paraId="4254E489">
            <w:pPr>
              <w:jc w:val="center"/>
              <w:rPr>
                <w:szCs w:val="21"/>
              </w:rPr>
            </w:pPr>
            <w:r>
              <w:rPr>
                <w:rFonts w:hint="eastAsia"/>
                <w:szCs w:val="21"/>
              </w:rPr>
              <w:t>0.012</w:t>
            </w:r>
          </w:p>
        </w:tc>
        <w:tc>
          <w:tcPr>
            <w:tcW w:w="926" w:type="pct"/>
            <w:vAlign w:val="center"/>
          </w:tcPr>
          <w:p w14:paraId="4DD04292">
            <w:pPr>
              <w:jc w:val="center"/>
              <w:rPr>
                <w:szCs w:val="21"/>
              </w:rPr>
            </w:pPr>
            <w:r>
              <w:rPr>
                <w:rFonts w:hint="eastAsia"/>
                <w:szCs w:val="21"/>
              </w:rPr>
              <w:t>/</w:t>
            </w:r>
          </w:p>
        </w:tc>
        <w:tc>
          <w:tcPr>
            <w:tcW w:w="922" w:type="pct"/>
            <w:vAlign w:val="center"/>
          </w:tcPr>
          <w:p w14:paraId="4996BCF8">
            <w:pPr>
              <w:jc w:val="center"/>
              <w:rPr>
                <w:szCs w:val="21"/>
              </w:rPr>
            </w:pPr>
            <w:r>
              <w:rPr>
                <w:szCs w:val="21"/>
              </w:rPr>
              <w:t>0.012</w:t>
            </w:r>
          </w:p>
        </w:tc>
      </w:tr>
      <w:tr w14:paraId="093B66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614" w:type="pct"/>
            <w:vMerge w:val="continue"/>
            <w:shd w:val="clear" w:color="auto" w:fill="auto"/>
            <w:vAlign w:val="center"/>
          </w:tcPr>
          <w:p w14:paraId="3F465ABA">
            <w:pPr>
              <w:widowControl/>
              <w:spacing w:line="240" w:lineRule="exact"/>
              <w:jc w:val="center"/>
              <w:rPr>
                <w:rFonts w:eastAsia="仿宋_GB2312"/>
                <w:kern w:val="0"/>
                <w:szCs w:val="21"/>
                <w:highlight w:val="yellow"/>
              </w:rPr>
            </w:pPr>
          </w:p>
        </w:tc>
        <w:tc>
          <w:tcPr>
            <w:tcW w:w="1450" w:type="pct"/>
            <w:shd w:val="clear" w:color="auto" w:fill="auto"/>
            <w:tcMar>
              <w:top w:w="15" w:type="dxa"/>
              <w:left w:w="15" w:type="dxa"/>
              <w:bottom w:w="0" w:type="dxa"/>
              <w:right w:w="15" w:type="dxa"/>
            </w:tcMar>
            <w:vAlign w:val="center"/>
          </w:tcPr>
          <w:p w14:paraId="091361E6">
            <w:pPr>
              <w:widowControl/>
              <w:spacing w:line="240" w:lineRule="exact"/>
              <w:jc w:val="center"/>
              <w:rPr>
                <w:rFonts w:eastAsia="仿宋_GB2312"/>
                <w:kern w:val="0"/>
                <w:szCs w:val="21"/>
              </w:rPr>
            </w:pPr>
            <w:r>
              <w:rPr>
                <w:rFonts w:eastAsia="仿宋_GB2312"/>
                <w:kern w:val="0"/>
                <w:szCs w:val="21"/>
              </w:rPr>
              <w:t>二氯甲烷</w:t>
            </w:r>
          </w:p>
        </w:tc>
        <w:tc>
          <w:tcPr>
            <w:tcW w:w="1086" w:type="pct"/>
            <w:shd w:val="clear" w:color="auto" w:fill="auto"/>
            <w:noWrap/>
            <w:tcMar>
              <w:top w:w="15" w:type="dxa"/>
              <w:left w:w="15" w:type="dxa"/>
              <w:bottom w:w="0" w:type="dxa"/>
              <w:right w:w="15" w:type="dxa"/>
            </w:tcMar>
            <w:vAlign w:val="center"/>
          </w:tcPr>
          <w:p w14:paraId="479F5D3E">
            <w:pPr>
              <w:jc w:val="center"/>
              <w:rPr>
                <w:szCs w:val="21"/>
              </w:rPr>
            </w:pPr>
            <w:r>
              <w:rPr>
                <w:rFonts w:hint="eastAsia"/>
                <w:szCs w:val="21"/>
              </w:rPr>
              <w:t>0.528</w:t>
            </w:r>
          </w:p>
        </w:tc>
        <w:tc>
          <w:tcPr>
            <w:tcW w:w="926" w:type="pct"/>
            <w:vAlign w:val="center"/>
          </w:tcPr>
          <w:p w14:paraId="47C8DF33">
            <w:pPr>
              <w:jc w:val="center"/>
              <w:rPr>
                <w:szCs w:val="21"/>
              </w:rPr>
            </w:pPr>
            <w:r>
              <w:rPr>
                <w:rFonts w:hint="eastAsia"/>
                <w:szCs w:val="21"/>
              </w:rPr>
              <w:t>/</w:t>
            </w:r>
          </w:p>
        </w:tc>
        <w:tc>
          <w:tcPr>
            <w:tcW w:w="922" w:type="pct"/>
            <w:vAlign w:val="center"/>
          </w:tcPr>
          <w:p w14:paraId="002792E7">
            <w:pPr>
              <w:jc w:val="center"/>
              <w:rPr>
                <w:szCs w:val="21"/>
              </w:rPr>
            </w:pPr>
            <w:r>
              <w:rPr>
                <w:szCs w:val="21"/>
              </w:rPr>
              <w:t>0.528</w:t>
            </w:r>
          </w:p>
        </w:tc>
      </w:tr>
      <w:tr w14:paraId="0DFEA9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614" w:type="pct"/>
            <w:vMerge w:val="continue"/>
            <w:shd w:val="clear" w:color="auto" w:fill="auto"/>
            <w:vAlign w:val="center"/>
          </w:tcPr>
          <w:p w14:paraId="46DA5018">
            <w:pPr>
              <w:widowControl/>
              <w:spacing w:line="240" w:lineRule="exact"/>
              <w:jc w:val="center"/>
              <w:rPr>
                <w:rFonts w:eastAsia="仿宋_GB2312"/>
                <w:kern w:val="0"/>
                <w:szCs w:val="21"/>
                <w:highlight w:val="yellow"/>
              </w:rPr>
            </w:pPr>
          </w:p>
        </w:tc>
        <w:tc>
          <w:tcPr>
            <w:tcW w:w="1450" w:type="pct"/>
            <w:shd w:val="clear" w:color="auto" w:fill="auto"/>
            <w:tcMar>
              <w:top w:w="15" w:type="dxa"/>
              <w:left w:w="15" w:type="dxa"/>
              <w:bottom w:w="0" w:type="dxa"/>
              <w:right w:w="15" w:type="dxa"/>
            </w:tcMar>
            <w:vAlign w:val="center"/>
          </w:tcPr>
          <w:p w14:paraId="403F9043">
            <w:pPr>
              <w:widowControl/>
              <w:spacing w:line="240" w:lineRule="exact"/>
              <w:jc w:val="center"/>
              <w:rPr>
                <w:rFonts w:eastAsia="仿宋_GB2312"/>
                <w:kern w:val="0"/>
                <w:szCs w:val="21"/>
              </w:rPr>
            </w:pPr>
            <w:r>
              <w:rPr>
                <w:rFonts w:eastAsia="仿宋_GB2312"/>
                <w:kern w:val="0"/>
                <w:szCs w:val="21"/>
              </w:rPr>
              <w:t>二氯乙烷</w:t>
            </w:r>
          </w:p>
        </w:tc>
        <w:tc>
          <w:tcPr>
            <w:tcW w:w="1086" w:type="pct"/>
            <w:shd w:val="clear" w:color="auto" w:fill="auto"/>
            <w:noWrap/>
            <w:tcMar>
              <w:top w:w="15" w:type="dxa"/>
              <w:left w:w="15" w:type="dxa"/>
              <w:bottom w:w="0" w:type="dxa"/>
              <w:right w:w="15" w:type="dxa"/>
            </w:tcMar>
            <w:vAlign w:val="center"/>
          </w:tcPr>
          <w:p w14:paraId="618E25F1">
            <w:pPr>
              <w:jc w:val="center"/>
              <w:rPr>
                <w:szCs w:val="21"/>
              </w:rPr>
            </w:pPr>
            <w:r>
              <w:rPr>
                <w:rFonts w:hint="eastAsia"/>
                <w:szCs w:val="21"/>
              </w:rPr>
              <w:t>0.407</w:t>
            </w:r>
          </w:p>
        </w:tc>
        <w:tc>
          <w:tcPr>
            <w:tcW w:w="926" w:type="pct"/>
            <w:vAlign w:val="center"/>
          </w:tcPr>
          <w:p w14:paraId="255272F5">
            <w:pPr>
              <w:jc w:val="center"/>
              <w:rPr>
                <w:szCs w:val="21"/>
              </w:rPr>
            </w:pPr>
            <w:r>
              <w:rPr>
                <w:rFonts w:hint="eastAsia"/>
                <w:szCs w:val="21"/>
              </w:rPr>
              <w:t>/</w:t>
            </w:r>
          </w:p>
        </w:tc>
        <w:tc>
          <w:tcPr>
            <w:tcW w:w="922" w:type="pct"/>
            <w:vAlign w:val="center"/>
          </w:tcPr>
          <w:p w14:paraId="6710E3C3">
            <w:pPr>
              <w:jc w:val="center"/>
              <w:rPr>
                <w:szCs w:val="21"/>
              </w:rPr>
            </w:pPr>
            <w:r>
              <w:rPr>
                <w:szCs w:val="21"/>
              </w:rPr>
              <w:t>0.407</w:t>
            </w:r>
          </w:p>
        </w:tc>
      </w:tr>
      <w:tr w14:paraId="40E15C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614" w:type="pct"/>
            <w:vMerge w:val="continue"/>
            <w:shd w:val="clear" w:color="auto" w:fill="auto"/>
            <w:vAlign w:val="center"/>
          </w:tcPr>
          <w:p w14:paraId="7DCB9224">
            <w:pPr>
              <w:widowControl/>
              <w:spacing w:line="240" w:lineRule="exact"/>
              <w:jc w:val="center"/>
              <w:rPr>
                <w:rFonts w:eastAsia="仿宋_GB2312"/>
                <w:kern w:val="0"/>
                <w:szCs w:val="21"/>
                <w:highlight w:val="yellow"/>
              </w:rPr>
            </w:pPr>
          </w:p>
        </w:tc>
        <w:tc>
          <w:tcPr>
            <w:tcW w:w="1450" w:type="pct"/>
            <w:shd w:val="clear" w:color="auto" w:fill="auto"/>
            <w:tcMar>
              <w:top w:w="15" w:type="dxa"/>
              <w:left w:w="15" w:type="dxa"/>
              <w:bottom w:w="0" w:type="dxa"/>
              <w:right w:w="15" w:type="dxa"/>
            </w:tcMar>
            <w:vAlign w:val="center"/>
          </w:tcPr>
          <w:p w14:paraId="05B2635F">
            <w:pPr>
              <w:widowControl/>
              <w:spacing w:line="240" w:lineRule="exact"/>
              <w:jc w:val="center"/>
              <w:rPr>
                <w:rFonts w:eastAsia="仿宋_GB2312"/>
                <w:kern w:val="0"/>
                <w:szCs w:val="21"/>
              </w:rPr>
            </w:pPr>
            <w:r>
              <w:rPr>
                <w:rFonts w:eastAsia="仿宋_GB2312"/>
                <w:kern w:val="0"/>
                <w:szCs w:val="21"/>
              </w:rPr>
              <w:t>丙三醇</w:t>
            </w:r>
          </w:p>
        </w:tc>
        <w:tc>
          <w:tcPr>
            <w:tcW w:w="1086" w:type="pct"/>
            <w:shd w:val="clear" w:color="auto" w:fill="auto"/>
            <w:noWrap/>
            <w:tcMar>
              <w:top w:w="15" w:type="dxa"/>
              <w:left w:w="15" w:type="dxa"/>
              <w:bottom w:w="0" w:type="dxa"/>
              <w:right w:w="15" w:type="dxa"/>
            </w:tcMar>
            <w:vAlign w:val="center"/>
          </w:tcPr>
          <w:p w14:paraId="279AE365">
            <w:pPr>
              <w:jc w:val="center"/>
              <w:rPr>
                <w:szCs w:val="21"/>
              </w:rPr>
            </w:pPr>
            <w:r>
              <w:rPr>
                <w:rFonts w:hint="eastAsia"/>
                <w:szCs w:val="21"/>
              </w:rPr>
              <w:t>0.945</w:t>
            </w:r>
          </w:p>
        </w:tc>
        <w:tc>
          <w:tcPr>
            <w:tcW w:w="926" w:type="pct"/>
            <w:vAlign w:val="center"/>
          </w:tcPr>
          <w:p w14:paraId="7C124FC9">
            <w:pPr>
              <w:jc w:val="center"/>
              <w:rPr>
                <w:szCs w:val="21"/>
              </w:rPr>
            </w:pPr>
            <w:r>
              <w:rPr>
                <w:rFonts w:hint="eastAsia"/>
                <w:szCs w:val="21"/>
              </w:rPr>
              <w:t>/</w:t>
            </w:r>
          </w:p>
        </w:tc>
        <w:tc>
          <w:tcPr>
            <w:tcW w:w="922" w:type="pct"/>
            <w:vAlign w:val="center"/>
          </w:tcPr>
          <w:p w14:paraId="658BD7C4">
            <w:pPr>
              <w:jc w:val="center"/>
              <w:rPr>
                <w:szCs w:val="21"/>
              </w:rPr>
            </w:pPr>
            <w:r>
              <w:rPr>
                <w:szCs w:val="21"/>
              </w:rPr>
              <w:t>0.945</w:t>
            </w:r>
          </w:p>
        </w:tc>
      </w:tr>
      <w:tr w14:paraId="3F679F6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614" w:type="pct"/>
            <w:vMerge w:val="continue"/>
            <w:shd w:val="clear" w:color="auto" w:fill="auto"/>
            <w:vAlign w:val="center"/>
          </w:tcPr>
          <w:p w14:paraId="20B52C69">
            <w:pPr>
              <w:widowControl/>
              <w:spacing w:line="240" w:lineRule="exact"/>
              <w:jc w:val="center"/>
              <w:rPr>
                <w:rFonts w:eastAsia="仿宋_GB2312"/>
                <w:kern w:val="0"/>
                <w:szCs w:val="21"/>
                <w:highlight w:val="yellow"/>
              </w:rPr>
            </w:pPr>
          </w:p>
        </w:tc>
        <w:tc>
          <w:tcPr>
            <w:tcW w:w="1450" w:type="pct"/>
            <w:shd w:val="clear" w:color="auto" w:fill="auto"/>
            <w:noWrap/>
            <w:tcMar>
              <w:top w:w="15" w:type="dxa"/>
              <w:left w:w="15" w:type="dxa"/>
              <w:bottom w:w="0" w:type="dxa"/>
              <w:right w:w="15" w:type="dxa"/>
            </w:tcMar>
            <w:vAlign w:val="center"/>
          </w:tcPr>
          <w:p w14:paraId="6175779B">
            <w:pPr>
              <w:widowControl/>
              <w:spacing w:line="240" w:lineRule="exact"/>
              <w:jc w:val="center"/>
              <w:rPr>
                <w:rFonts w:eastAsia="仿宋_GB2312"/>
                <w:kern w:val="0"/>
                <w:szCs w:val="21"/>
              </w:rPr>
            </w:pPr>
            <w:r>
              <w:rPr>
                <w:rFonts w:eastAsia="仿宋_GB2312"/>
                <w:kern w:val="0"/>
                <w:szCs w:val="21"/>
              </w:rPr>
              <w:t>正庚烷</w:t>
            </w:r>
          </w:p>
        </w:tc>
        <w:tc>
          <w:tcPr>
            <w:tcW w:w="1086" w:type="pct"/>
            <w:shd w:val="clear" w:color="auto" w:fill="auto"/>
            <w:noWrap/>
            <w:tcMar>
              <w:top w:w="15" w:type="dxa"/>
              <w:left w:w="15" w:type="dxa"/>
              <w:bottom w:w="0" w:type="dxa"/>
              <w:right w:w="15" w:type="dxa"/>
            </w:tcMar>
            <w:vAlign w:val="center"/>
          </w:tcPr>
          <w:p w14:paraId="727A6FBD">
            <w:pPr>
              <w:jc w:val="center"/>
              <w:rPr>
                <w:szCs w:val="21"/>
              </w:rPr>
            </w:pPr>
            <w:r>
              <w:rPr>
                <w:rFonts w:hint="eastAsia"/>
                <w:szCs w:val="21"/>
              </w:rPr>
              <w:t>0.2</w:t>
            </w:r>
          </w:p>
        </w:tc>
        <w:tc>
          <w:tcPr>
            <w:tcW w:w="926" w:type="pct"/>
            <w:vAlign w:val="center"/>
          </w:tcPr>
          <w:p w14:paraId="5E1D9E38">
            <w:pPr>
              <w:jc w:val="center"/>
              <w:rPr>
                <w:szCs w:val="21"/>
              </w:rPr>
            </w:pPr>
            <w:r>
              <w:rPr>
                <w:rFonts w:hint="eastAsia"/>
                <w:szCs w:val="21"/>
              </w:rPr>
              <w:t>/</w:t>
            </w:r>
          </w:p>
        </w:tc>
        <w:tc>
          <w:tcPr>
            <w:tcW w:w="922" w:type="pct"/>
            <w:vAlign w:val="center"/>
          </w:tcPr>
          <w:p w14:paraId="314BAE39">
            <w:pPr>
              <w:jc w:val="center"/>
              <w:rPr>
                <w:szCs w:val="21"/>
              </w:rPr>
            </w:pPr>
            <w:r>
              <w:rPr>
                <w:szCs w:val="21"/>
              </w:rPr>
              <w:t>0.2</w:t>
            </w:r>
          </w:p>
        </w:tc>
      </w:tr>
      <w:tr w14:paraId="2583AA0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614" w:type="pct"/>
            <w:vMerge w:val="continue"/>
            <w:shd w:val="clear" w:color="auto" w:fill="auto"/>
            <w:vAlign w:val="center"/>
          </w:tcPr>
          <w:p w14:paraId="055B9621">
            <w:pPr>
              <w:widowControl/>
              <w:spacing w:line="240" w:lineRule="exact"/>
              <w:jc w:val="center"/>
              <w:rPr>
                <w:rFonts w:eastAsia="仿宋_GB2312"/>
                <w:kern w:val="0"/>
                <w:szCs w:val="21"/>
                <w:highlight w:val="yellow"/>
              </w:rPr>
            </w:pPr>
          </w:p>
        </w:tc>
        <w:tc>
          <w:tcPr>
            <w:tcW w:w="1450" w:type="pct"/>
            <w:shd w:val="clear" w:color="auto" w:fill="auto"/>
            <w:noWrap/>
            <w:tcMar>
              <w:top w:w="15" w:type="dxa"/>
              <w:left w:w="15" w:type="dxa"/>
              <w:bottom w:w="0" w:type="dxa"/>
              <w:right w:w="15" w:type="dxa"/>
            </w:tcMar>
            <w:vAlign w:val="center"/>
          </w:tcPr>
          <w:p w14:paraId="259B23B1">
            <w:pPr>
              <w:widowControl/>
              <w:spacing w:line="240" w:lineRule="exact"/>
              <w:jc w:val="center"/>
              <w:rPr>
                <w:rFonts w:eastAsia="仿宋_GB2312"/>
                <w:kern w:val="0"/>
                <w:szCs w:val="21"/>
              </w:rPr>
            </w:pPr>
            <w:r>
              <w:rPr>
                <w:rFonts w:eastAsia="仿宋_GB2312"/>
                <w:kern w:val="0"/>
                <w:szCs w:val="21"/>
              </w:rPr>
              <w:t>己烷</w:t>
            </w:r>
          </w:p>
        </w:tc>
        <w:tc>
          <w:tcPr>
            <w:tcW w:w="1086" w:type="pct"/>
            <w:shd w:val="clear" w:color="auto" w:fill="auto"/>
            <w:noWrap/>
            <w:tcMar>
              <w:top w:w="15" w:type="dxa"/>
              <w:left w:w="15" w:type="dxa"/>
              <w:bottom w:w="0" w:type="dxa"/>
              <w:right w:w="15" w:type="dxa"/>
            </w:tcMar>
            <w:vAlign w:val="center"/>
          </w:tcPr>
          <w:p w14:paraId="4BB4FD84">
            <w:pPr>
              <w:jc w:val="center"/>
              <w:rPr>
                <w:szCs w:val="21"/>
              </w:rPr>
            </w:pPr>
            <w:r>
              <w:rPr>
                <w:rFonts w:hint="eastAsia"/>
                <w:szCs w:val="21"/>
              </w:rPr>
              <w:t>0.012</w:t>
            </w:r>
          </w:p>
        </w:tc>
        <w:tc>
          <w:tcPr>
            <w:tcW w:w="926" w:type="pct"/>
            <w:vAlign w:val="center"/>
          </w:tcPr>
          <w:p w14:paraId="796E7DFA">
            <w:pPr>
              <w:jc w:val="center"/>
              <w:rPr>
                <w:szCs w:val="21"/>
              </w:rPr>
            </w:pPr>
            <w:r>
              <w:rPr>
                <w:rFonts w:hint="eastAsia"/>
                <w:szCs w:val="21"/>
              </w:rPr>
              <w:t>/</w:t>
            </w:r>
          </w:p>
        </w:tc>
        <w:tc>
          <w:tcPr>
            <w:tcW w:w="922" w:type="pct"/>
            <w:vAlign w:val="center"/>
          </w:tcPr>
          <w:p w14:paraId="1EE3D589">
            <w:pPr>
              <w:jc w:val="center"/>
              <w:rPr>
                <w:szCs w:val="21"/>
              </w:rPr>
            </w:pPr>
            <w:r>
              <w:rPr>
                <w:szCs w:val="21"/>
              </w:rPr>
              <w:t>0.012</w:t>
            </w:r>
          </w:p>
        </w:tc>
      </w:tr>
      <w:tr w14:paraId="1C4876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614" w:type="pct"/>
            <w:vMerge w:val="continue"/>
            <w:shd w:val="clear" w:color="auto" w:fill="auto"/>
            <w:vAlign w:val="center"/>
          </w:tcPr>
          <w:p w14:paraId="471ED6C3">
            <w:pPr>
              <w:widowControl/>
              <w:spacing w:line="240" w:lineRule="exact"/>
              <w:jc w:val="center"/>
              <w:rPr>
                <w:rFonts w:eastAsia="仿宋_GB2312"/>
                <w:kern w:val="0"/>
                <w:szCs w:val="21"/>
                <w:highlight w:val="yellow"/>
              </w:rPr>
            </w:pPr>
          </w:p>
        </w:tc>
        <w:tc>
          <w:tcPr>
            <w:tcW w:w="1450" w:type="pct"/>
            <w:shd w:val="clear" w:color="auto" w:fill="auto"/>
            <w:noWrap/>
            <w:tcMar>
              <w:top w:w="15" w:type="dxa"/>
              <w:left w:w="15" w:type="dxa"/>
              <w:bottom w:w="0" w:type="dxa"/>
              <w:right w:w="15" w:type="dxa"/>
            </w:tcMar>
            <w:vAlign w:val="center"/>
          </w:tcPr>
          <w:p w14:paraId="0521D939">
            <w:pPr>
              <w:widowControl/>
              <w:spacing w:line="240" w:lineRule="exact"/>
              <w:jc w:val="center"/>
              <w:rPr>
                <w:rFonts w:eastAsia="仿宋_GB2312"/>
                <w:kern w:val="0"/>
                <w:szCs w:val="21"/>
              </w:rPr>
            </w:pPr>
            <w:r>
              <w:rPr>
                <w:rFonts w:eastAsia="仿宋_GB2312"/>
                <w:kern w:val="0"/>
                <w:szCs w:val="21"/>
              </w:rPr>
              <w:t>二甲基甲酰胺</w:t>
            </w:r>
          </w:p>
        </w:tc>
        <w:tc>
          <w:tcPr>
            <w:tcW w:w="1086" w:type="pct"/>
            <w:shd w:val="clear" w:color="auto" w:fill="auto"/>
            <w:noWrap/>
            <w:tcMar>
              <w:top w:w="15" w:type="dxa"/>
              <w:left w:w="15" w:type="dxa"/>
              <w:bottom w:w="0" w:type="dxa"/>
              <w:right w:w="15" w:type="dxa"/>
            </w:tcMar>
            <w:vAlign w:val="center"/>
          </w:tcPr>
          <w:p w14:paraId="7E972623">
            <w:pPr>
              <w:jc w:val="center"/>
              <w:rPr>
                <w:szCs w:val="21"/>
              </w:rPr>
            </w:pPr>
            <w:r>
              <w:rPr>
                <w:rFonts w:hint="eastAsia"/>
                <w:szCs w:val="21"/>
              </w:rPr>
              <w:t>0.18542</w:t>
            </w:r>
          </w:p>
        </w:tc>
        <w:tc>
          <w:tcPr>
            <w:tcW w:w="926" w:type="pct"/>
            <w:vAlign w:val="center"/>
          </w:tcPr>
          <w:p w14:paraId="079F0308">
            <w:pPr>
              <w:jc w:val="center"/>
              <w:rPr>
                <w:szCs w:val="21"/>
              </w:rPr>
            </w:pPr>
            <w:r>
              <w:rPr>
                <w:rFonts w:hint="eastAsia"/>
                <w:szCs w:val="21"/>
              </w:rPr>
              <w:t>/</w:t>
            </w:r>
          </w:p>
        </w:tc>
        <w:tc>
          <w:tcPr>
            <w:tcW w:w="922" w:type="pct"/>
            <w:vAlign w:val="center"/>
          </w:tcPr>
          <w:p w14:paraId="7A43F630">
            <w:pPr>
              <w:jc w:val="center"/>
              <w:rPr>
                <w:szCs w:val="21"/>
              </w:rPr>
            </w:pPr>
            <w:r>
              <w:rPr>
                <w:szCs w:val="21"/>
              </w:rPr>
              <w:t>0.18542</w:t>
            </w:r>
          </w:p>
        </w:tc>
      </w:tr>
      <w:tr w14:paraId="2AA0E1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614" w:type="pct"/>
            <w:vMerge w:val="continue"/>
            <w:shd w:val="clear" w:color="auto" w:fill="auto"/>
            <w:vAlign w:val="center"/>
          </w:tcPr>
          <w:p w14:paraId="22FE2378">
            <w:pPr>
              <w:widowControl/>
              <w:spacing w:line="240" w:lineRule="exact"/>
              <w:jc w:val="center"/>
              <w:rPr>
                <w:rFonts w:eastAsia="仿宋_GB2312"/>
                <w:kern w:val="0"/>
                <w:szCs w:val="21"/>
                <w:highlight w:val="yellow"/>
              </w:rPr>
            </w:pPr>
          </w:p>
        </w:tc>
        <w:tc>
          <w:tcPr>
            <w:tcW w:w="1450" w:type="pct"/>
            <w:shd w:val="clear" w:color="auto" w:fill="auto"/>
            <w:tcMar>
              <w:top w:w="15" w:type="dxa"/>
              <w:left w:w="15" w:type="dxa"/>
              <w:bottom w:w="0" w:type="dxa"/>
              <w:right w:w="15" w:type="dxa"/>
            </w:tcMar>
            <w:vAlign w:val="center"/>
          </w:tcPr>
          <w:p w14:paraId="0AA36ACB">
            <w:pPr>
              <w:widowControl/>
              <w:spacing w:line="240" w:lineRule="exact"/>
              <w:jc w:val="center"/>
              <w:rPr>
                <w:rFonts w:eastAsia="仿宋_GB2312"/>
                <w:kern w:val="0"/>
                <w:szCs w:val="21"/>
              </w:rPr>
            </w:pPr>
            <w:r>
              <w:rPr>
                <w:rFonts w:eastAsia="仿宋_GB2312"/>
                <w:kern w:val="0"/>
                <w:szCs w:val="21"/>
              </w:rPr>
              <w:t>二</w:t>
            </w:r>
            <w:r>
              <w:rPr>
                <w:kern w:val="0"/>
                <w:szCs w:val="21"/>
              </w:rPr>
              <w:t>噁</w:t>
            </w:r>
            <w:r>
              <w:rPr>
                <w:rFonts w:eastAsia="仿宋_GB2312"/>
                <w:kern w:val="0"/>
                <w:szCs w:val="21"/>
              </w:rPr>
              <w:t>英类（g/a TEQ）</w:t>
            </w:r>
          </w:p>
        </w:tc>
        <w:tc>
          <w:tcPr>
            <w:tcW w:w="1086" w:type="pct"/>
            <w:shd w:val="clear" w:color="auto" w:fill="auto"/>
            <w:noWrap/>
            <w:tcMar>
              <w:top w:w="15" w:type="dxa"/>
              <w:left w:w="15" w:type="dxa"/>
              <w:bottom w:w="0" w:type="dxa"/>
              <w:right w:w="15" w:type="dxa"/>
            </w:tcMar>
            <w:vAlign w:val="center"/>
          </w:tcPr>
          <w:p w14:paraId="3A44AA10">
            <w:pPr>
              <w:jc w:val="center"/>
              <w:rPr>
                <w:szCs w:val="21"/>
              </w:rPr>
            </w:pPr>
            <w:r>
              <w:rPr>
                <w:rFonts w:hint="eastAsia"/>
                <w:szCs w:val="21"/>
              </w:rPr>
              <w:t>0.05552</w:t>
            </w:r>
          </w:p>
        </w:tc>
        <w:tc>
          <w:tcPr>
            <w:tcW w:w="926" w:type="pct"/>
            <w:vAlign w:val="center"/>
          </w:tcPr>
          <w:p w14:paraId="773D0A1E">
            <w:pPr>
              <w:jc w:val="center"/>
              <w:rPr>
                <w:szCs w:val="21"/>
              </w:rPr>
            </w:pPr>
            <w:r>
              <w:rPr>
                <w:rFonts w:hint="eastAsia"/>
                <w:szCs w:val="21"/>
              </w:rPr>
              <w:t>/</w:t>
            </w:r>
          </w:p>
        </w:tc>
        <w:tc>
          <w:tcPr>
            <w:tcW w:w="922" w:type="pct"/>
            <w:vAlign w:val="center"/>
          </w:tcPr>
          <w:p w14:paraId="7BBA06B9">
            <w:pPr>
              <w:jc w:val="center"/>
              <w:rPr>
                <w:szCs w:val="21"/>
              </w:rPr>
            </w:pPr>
            <w:r>
              <w:rPr>
                <w:rFonts w:eastAsia="仿宋_GB2312"/>
                <w:kern w:val="0"/>
                <w:szCs w:val="21"/>
              </w:rPr>
              <w:t>0.05552</w:t>
            </w:r>
          </w:p>
        </w:tc>
      </w:tr>
      <w:tr w14:paraId="3BF788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614" w:type="pct"/>
            <w:vMerge w:val="continue"/>
            <w:shd w:val="clear" w:color="auto" w:fill="auto"/>
            <w:vAlign w:val="center"/>
          </w:tcPr>
          <w:p w14:paraId="790002B8">
            <w:pPr>
              <w:widowControl/>
              <w:spacing w:line="240" w:lineRule="exact"/>
              <w:jc w:val="center"/>
              <w:rPr>
                <w:rFonts w:eastAsia="仿宋_GB2312"/>
                <w:kern w:val="0"/>
                <w:szCs w:val="21"/>
                <w:highlight w:val="yellow"/>
              </w:rPr>
            </w:pPr>
          </w:p>
        </w:tc>
        <w:tc>
          <w:tcPr>
            <w:tcW w:w="1450" w:type="pct"/>
            <w:shd w:val="clear" w:color="auto" w:fill="auto"/>
            <w:tcMar>
              <w:top w:w="15" w:type="dxa"/>
              <w:left w:w="15" w:type="dxa"/>
              <w:bottom w:w="0" w:type="dxa"/>
              <w:right w:w="15" w:type="dxa"/>
            </w:tcMar>
            <w:vAlign w:val="center"/>
          </w:tcPr>
          <w:p w14:paraId="10753380">
            <w:pPr>
              <w:widowControl/>
              <w:spacing w:line="240" w:lineRule="exact"/>
              <w:jc w:val="center"/>
              <w:rPr>
                <w:rFonts w:eastAsia="仿宋_GB2312"/>
                <w:kern w:val="0"/>
                <w:szCs w:val="21"/>
              </w:rPr>
            </w:pPr>
            <w:r>
              <w:rPr>
                <w:rFonts w:eastAsia="仿宋_GB2312"/>
                <w:kern w:val="0"/>
                <w:szCs w:val="21"/>
              </w:rPr>
              <w:t>环己烷</w:t>
            </w:r>
          </w:p>
        </w:tc>
        <w:tc>
          <w:tcPr>
            <w:tcW w:w="1086" w:type="pct"/>
            <w:shd w:val="clear" w:color="auto" w:fill="auto"/>
            <w:noWrap/>
            <w:tcMar>
              <w:top w:w="15" w:type="dxa"/>
              <w:left w:w="15" w:type="dxa"/>
              <w:bottom w:w="0" w:type="dxa"/>
              <w:right w:w="15" w:type="dxa"/>
            </w:tcMar>
            <w:vAlign w:val="center"/>
          </w:tcPr>
          <w:p w14:paraId="7B456347">
            <w:pPr>
              <w:jc w:val="center"/>
              <w:rPr>
                <w:szCs w:val="21"/>
              </w:rPr>
            </w:pPr>
            <w:r>
              <w:rPr>
                <w:rFonts w:hint="eastAsia"/>
                <w:szCs w:val="21"/>
              </w:rPr>
              <w:t>0.12</w:t>
            </w:r>
          </w:p>
        </w:tc>
        <w:tc>
          <w:tcPr>
            <w:tcW w:w="926" w:type="pct"/>
            <w:vAlign w:val="center"/>
          </w:tcPr>
          <w:p w14:paraId="2FFE9A52">
            <w:pPr>
              <w:jc w:val="center"/>
              <w:rPr>
                <w:szCs w:val="21"/>
              </w:rPr>
            </w:pPr>
            <w:r>
              <w:rPr>
                <w:rFonts w:hint="eastAsia"/>
                <w:szCs w:val="21"/>
              </w:rPr>
              <w:t>/</w:t>
            </w:r>
          </w:p>
        </w:tc>
        <w:tc>
          <w:tcPr>
            <w:tcW w:w="922" w:type="pct"/>
            <w:vAlign w:val="center"/>
          </w:tcPr>
          <w:p w14:paraId="55731B9F">
            <w:pPr>
              <w:jc w:val="center"/>
              <w:rPr>
                <w:szCs w:val="21"/>
              </w:rPr>
            </w:pPr>
            <w:r>
              <w:rPr>
                <w:szCs w:val="21"/>
              </w:rPr>
              <w:t>0.12</w:t>
            </w:r>
          </w:p>
        </w:tc>
      </w:tr>
      <w:tr w14:paraId="6E73AC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614" w:type="pct"/>
            <w:vMerge w:val="continue"/>
            <w:shd w:val="clear" w:color="auto" w:fill="auto"/>
            <w:vAlign w:val="center"/>
          </w:tcPr>
          <w:p w14:paraId="22487C8A">
            <w:pPr>
              <w:widowControl/>
              <w:spacing w:line="240" w:lineRule="exact"/>
              <w:jc w:val="center"/>
              <w:rPr>
                <w:rFonts w:eastAsia="仿宋_GB2312"/>
                <w:kern w:val="0"/>
                <w:szCs w:val="21"/>
                <w:highlight w:val="yellow"/>
              </w:rPr>
            </w:pPr>
          </w:p>
        </w:tc>
        <w:tc>
          <w:tcPr>
            <w:tcW w:w="1450" w:type="pct"/>
            <w:shd w:val="clear" w:color="auto" w:fill="auto"/>
            <w:tcMar>
              <w:top w:w="15" w:type="dxa"/>
              <w:left w:w="15" w:type="dxa"/>
              <w:bottom w:w="0" w:type="dxa"/>
              <w:right w:w="15" w:type="dxa"/>
            </w:tcMar>
            <w:vAlign w:val="center"/>
          </w:tcPr>
          <w:p w14:paraId="51DE7FF7">
            <w:pPr>
              <w:widowControl/>
              <w:spacing w:line="240" w:lineRule="exact"/>
              <w:jc w:val="center"/>
              <w:rPr>
                <w:rFonts w:eastAsia="仿宋_GB2312"/>
                <w:kern w:val="0"/>
                <w:szCs w:val="21"/>
              </w:rPr>
            </w:pPr>
            <w:r>
              <w:rPr>
                <w:rFonts w:eastAsia="仿宋_GB2312"/>
                <w:kern w:val="0"/>
                <w:szCs w:val="21"/>
              </w:rPr>
              <w:t>环己酮</w:t>
            </w:r>
          </w:p>
        </w:tc>
        <w:tc>
          <w:tcPr>
            <w:tcW w:w="1086" w:type="pct"/>
            <w:shd w:val="clear" w:color="auto" w:fill="auto"/>
            <w:noWrap/>
            <w:tcMar>
              <w:top w:w="15" w:type="dxa"/>
              <w:left w:w="15" w:type="dxa"/>
              <w:bottom w:w="0" w:type="dxa"/>
              <w:right w:w="15" w:type="dxa"/>
            </w:tcMar>
            <w:vAlign w:val="center"/>
          </w:tcPr>
          <w:p w14:paraId="5FE00BA8">
            <w:pPr>
              <w:jc w:val="center"/>
              <w:rPr>
                <w:szCs w:val="21"/>
              </w:rPr>
            </w:pPr>
            <w:r>
              <w:rPr>
                <w:rFonts w:hint="eastAsia"/>
                <w:szCs w:val="21"/>
              </w:rPr>
              <w:t>0.04</w:t>
            </w:r>
          </w:p>
        </w:tc>
        <w:tc>
          <w:tcPr>
            <w:tcW w:w="926" w:type="pct"/>
            <w:vAlign w:val="center"/>
          </w:tcPr>
          <w:p w14:paraId="312C1F92">
            <w:pPr>
              <w:jc w:val="center"/>
              <w:rPr>
                <w:szCs w:val="21"/>
              </w:rPr>
            </w:pPr>
            <w:r>
              <w:rPr>
                <w:rFonts w:hint="eastAsia"/>
                <w:szCs w:val="21"/>
              </w:rPr>
              <w:t>/</w:t>
            </w:r>
          </w:p>
        </w:tc>
        <w:tc>
          <w:tcPr>
            <w:tcW w:w="922" w:type="pct"/>
            <w:vAlign w:val="center"/>
          </w:tcPr>
          <w:p w14:paraId="04C40154">
            <w:pPr>
              <w:jc w:val="center"/>
              <w:rPr>
                <w:szCs w:val="21"/>
              </w:rPr>
            </w:pPr>
            <w:r>
              <w:rPr>
                <w:szCs w:val="21"/>
              </w:rPr>
              <w:t>0.0</w:t>
            </w:r>
            <w:r>
              <w:rPr>
                <w:rFonts w:hint="eastAsia"/>
                <w:szCs w:val="21"/>
              </w:rPr>
              <w:t>4</w:t>
            </w:r>
          </w:p>
        </w:tc>
      </w:tr>
      <w:tr w14:paraId="12DB2D7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614" w:type="pct"/>
            <w:vMerge w:val="continue"/>
            <w:shd w:val="clear" w:color="auto" w:fill="auto"/>
            <w:vAlign w:val="center"/>
          </w:tcPr>
          <w:p w14:paraId="66AC0681">
            <w:pPr>
              <w:widowControl/>
              <w:spacing w:line="240" w:lineRule="exact"/>
              <w:jc w:val="center"/>
              <w:rPr>
                <w:rFonts w:eastAsia="仿宋_GB2312"/>
                <w:kern w:val="0"/>
                <w:szCs w:val="21"/>
                <w:highlight w:val="yellow"/>
              </w:rPr>
            </w:pPr>
          </w:p>
        </w:tc>
        <w:tc>
          <w:tcPr>
            <w:tcW w:w="1450" w:type="pct"/>
            <w:shd w:val="clear" w:color="auto" w:fill="auto"/>
            <w:tcMar>
              <w:top w:w="15" w:type="dxa"/>
              <w:left w:w="15" w:type="dxa"/>
              <w:bottom w:w="0" w:type="dxa"/>
              <w:right w:w="15" w:type="dxa"/>
            </w:tcMar>
            <w:vAlign w:val="center"/>
          </w:tcPr>
          <w:p w14:paraId="70826265">
            <w:pPr>
              <w:widowControl/>
              <w:spacing w:line="240" w:lineRule="exact"/>
              <w:jc w:val="center"/>
              <w:rPr>
                <w:rFonts w:eastAsia="仿宋_GB2312"/>
                <w:kern w:val="0"/>
                <w:szCs w:val="21"/>
              </w:rPr>
            </w:pPr>
            <w:r>
              <w:rPr>
                <w:rFonts w:eastAsia="仿宋_GB2312"/>
                <w:kern w:val="0"/>
                <w:szCs w:val="21"/>
              </w:rPr>
              <w:t>二甲基亚砜</w:t>
            </w:r>
          </w:p>
        </w:tc>
        <w:tc>
          <w:tcPr>
            <w:tcW w:w="1086" w:type="pct"/>
            <w:shd w:val="clear" w:color="auto" w:fill="auto"/>
            <w:noWrap/>
            <w:tcMar>
              <w:top w:w="15" w:type="dxa"/>
              <w:left w:w="15" w:type="dxa"/>
              <w:bottom w:w="0" w:type="dxa"/>
              <w:right w:w="15" w:type="dxa"/>
            </w:tcMar>
            <w:vAlign w:val="center"/>
          </w:tcPr>
          <w:p w14:paraId="5505AD3C">
            <w:pPr>
              <w:jc w:val="center"/>
              <w:rPr>
                <w:szCs w:val="21"/>
              </w:rPr>
            </w:pPr>
            <w:r>
              <w:rPr>
                <w:rFonts w:hint="eastAsia"/>
                <w:szCs w:val="21"/>
              </w:rPr>
              <w:t>0.05</w:t>
            </w:r>
          </w:p>
        </w:tc>
        <w:tc>
          <w:tcPr>
            <w:tcW w:w="926" w:type="pct"/>
            <w:vAlign w:val="center"/>
          </w:tcPr>
          <w:p w14:paraId="55D3AA0B">
            <w:pPr>
              <w:jc w:val="center"/>
              <w:rPr>
                <w:szCs w:val="21"/>
              </w:rPr>
            </w:pPr>
            <w:r>
              <w:rPr>
                <w:rFonts w:hint="eastAsia"/>
                <w:szCs w:val="21"/>
              </w:rPr>
              <w:t>/</w:t>
            </w:r>
          </w:p>
        </w:tc>
        <w:tc>
          <w:tcPr>
            <w:tcW w:w="922" w:type="pct"/>
            <w:vAlign w:val="center"/>
          </w:tcPr>
          <w:p w14:paraId="342F3A45">
            <w:pPr>
              <w:jc w:val="center"/>
              <w:rPr>
                <w:szCs w:val="21"/>
              </w:rPr>
            </w:pPr>
            <w:r>
              <w:rPr>
                <w:szCs w:val="21"/>
              </w:rPr>
              <w:t>0.05</w:t>
            </w:r>
          </w:p>
        </w:tc>
      </w:tr>
      <w:tr w14:paraId="4E3EB4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614" w:type="pct"/>
            <w:vMerge w:val="continue"/>
            <w:shd w:val="clear" w:color="auto" w:fill="auto"/>
            <w:vAlign w:val="center"/>
          </w:tcPr>
          <w:p w14:paraId="7D6C74F0">
            <w:pPr>
              <w:widowControl/>
              <w:spacing w:line="240" w:lineRule="exact"/>
              <w:jc w:val="center"/>
              <w:rPr>
                <w:rFonts w:eastAsia="仿宋_GB2312"/>
                <w:kern w:val="0"/>
                <w:szCs w:val="21"/>
                <w:highlight w:val="yellow"/>
              </w:rPr>
            </w:pPr>
          </w:p>
        </w:tc>
        <w:tc>
          <w:tcPr>
            <w:tcW w:w="1450" w:type="pct"/>
            <w:shd w:val="clear" w:color="auto" w:fill="auto"/>
            <w:tcMar>
              <w:top w:w="15" w:type="dxa"/>
              <w:left w:w="15" w:type="dxa"/>
              <w:bottom w:w="0" w:type="dxa"/>
              <w:right w:w="15" w:type="dxa"/>
            </w:tcMar>
            <w:vAlign w:val="center"/>
          </w:tcPr>
          <w:p w14:paraId="44CF104D">
            <w:pPr>
              <w:widowControl/>
              <w:spacing w:line="240" w:lineRule="exact"/>
              <w:jc w:val="center"/>
              <w:rPr>
                <w:rFonts w:eastAsia="仿宋_GB2312"/>
                <w:kern w:val="0"/>
                <w:szCs w:val="21"/>
              </w:rPr>
            </w:pPr>
            <w:r>
              <w:rPr>
                <w:rFonts w:eastAsia="仿宋_GB2312"/>
                <w:kern w:val="0"/>
                <w:szCs w:val="21"/>
              </w:rPr>
              <w:t>丁醇</w:t>
            </w:r>
          </w:p>
        </w:tc>
        <w:tc>
          <w:tcPr>
            <w:tcW w:w="1086" w:type="pct"/>
            <w:shd w:val="clear" w:color="auto" w:fill="auto"/>
            <w:noWrap/>
            <w:tcMar>
              <w:top w:w="15" w:type="dxa"/>
              <w:left w:w="15" w:type="dxa"/>
              <w:bottom w:w="0" w:type="dxa"/>
              <w:right w:w="15" w:type="dxa"/>
            </w:tcMar>
            <w:vAlign w:val="center"/>
          </w:tcPr>
          <w:p w14:paraId="56B13037">
            <w:pPr>
              <w:jc w:val="center"/>
              <w:rPr>
                <w:szCs w:val="21"/>
              </w:rPr>
            </w:pPr>
            <w:r>
              <w:rPr>
                <w:rFonts w:hint="eastAsia"/>
                <w:szCs w:val="21"/>
              </w:rPr>
              <w:t>0.22</w:t>
            </w:r>
          </w:p>
        </w:tc>
        <w:tc>
          <w:tcPr>
            <w:tcW w:w="926" w:type="pct"/>
            <w:vAlign w:val="center"/>
          </w:tcPr>
          <w:p w14:paraId="66938A71">
            <w:pPr>
              <w:jc w:val="center"/>
              <w:rPr>
                <w:szCs w:val="21"/>
              </w:rPr>
            </w:pPr>
            <w:r>
              <w:rPr>
                <w:rFonts w:hint="eastAsia"/>
                <w:szCs w:val="21"/>
              </w:rPr>
              <w:t>/</w:t>
            </w:r>
          </w:p>
        </w:tc>
        <w:tc>
          <w:tcPr>
            <w:tcW w:w="922" w:type="pct"/>
            <w:vAlign w:val="center"/>
          </w:tcPr>
          <w:p w14:paraId="4532F06F">
            <w:pPr>
              <w:jc w:val="center"/>
              <w:rPr>
                <w:szCs w:val="21"/>
              </w:rPr>
            </w:pPr>
            <w:r>
              <w:rPr>
                <w:szCs w:val="21"/>
              </w:rPr>
              <w:t>0.22</w:t>
            </w:r>
          </w:p>
        </w:tc>
      </w:tr>
      <w:tr w14:paraId="6621CA6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614" w:type="pct"/>
            <w:vMerge w:val="continue"/>
            <w:shd w:val="clear" w:color="auto" w:fill="auto"/>
            <w:vAlign w:val="center"/>
          </w:tcPr>
          <w:p w14:paraId="56AFE9CC">
            <w:pPr>
              <w:widowControl/>
              <w:spacing w:line="240" w:lineRule="exact"/>
              <w:jc w:val="center"/>
              <w:rPr>
                <w:rFonts w:eastAsia="仿宋_GB2312"/>
                <w:kern w:val="0"/>
                <w:szCs w:val="21"/>
                <w:highlight w:val="yellow"/>
              </w:rPr>
            </w:pPr>
          </w:p>
        </w:tc>
        <w:tc>
          <w:tcPr>
            <w:tcW w:w="1450" w:type="pct"/>
            <w:shd w:val="clear" w:color="auto" w:fill="auto"/>
            <w:tcMar>
              <w:top w:w="15" w:type="dxa"/>
              <w:left w:w="15" w:type="dxa"/>
              <w:bottom w:w="0" w:type="dxa"/>
              <w:right w:w="15" w:type="dxa"/>
            </w:tcMar>
            <w:vAlign w:val="center"/>
          </w:tcPr>
          <w:p w14:paraId="35A9210F">
            <w:pPr>
              <w:widowControl/>
              <w:spacing w:line="240" w:lineRule="exact"/>
              <w:jc w:val="center"/>
              <w:rPr>
                <w:rFonts w:eastAsia="仿宋_GB2312"/>
                <w:kern w:val="0"/>
                <w:szCs w:val="21"/>
              </w:rPr>
            </w:pPr>
            <w:r>
              <w:rPr>
                <w:rFonts w:eastAsia="仿宋_GB2312"/>
                <w:kern w:val="0"/>
                <w:szCs w:val="21"/>
              </w:rPr>
              <w:t>辛醇</w:t>
            </w:r>
          </w:p>
        </w:tc>
        <w:tc>
          <w:tcPr>
            <w:tcW w:w="1086" w:type="pct"/>
            <w:shd w:val="clear" w:color="auto" w:fill="auto"/>
            <w:noWrap/>
            <w:tcMar>
              <w:top w:w="15" w:type="dxa"/>
              <w:left w:w="15" w:type="dxa"/>
              <w:bottom w:w="0" w:type="dxa"/>
              <w:right w:w="15" w:type="dxa"/>
            </w:tcMar>
            <w:vAlign w:val="center"/>
          </w:tcPr>
          <w:p w14:paraId="34661025">
            <w:pPr>
              <w:jc w:val="center"/>
              <w:rPr>
                <w:szCs w:val="21"/>
              </w:rPr>
            </w:pPr>
            <w:r>
              <w:rPr>
                <w:rFonts w:hint="eastAsia"/>
                <w:szCs w:val="21"/>
              </w:rPr>
              <w:t>0.22</w:t>
            </w:r>
          </w:p>
        </w:tc>
        <w:tc>
          <w:tcPr>
            <w:tcW w:w="926" w:type="pct"/>
            <w:vAlign w:val="center"/>
          </w:tcPr>
          <w:p w14:paraId="4A863129">
            <w:pPr>
              <w:jc w:val="center"/>
              <w:rPr>
                <w:szCs w:val="21"/>
              </w:rPr>
            </w:pPr>
            <w:r>
              <w:rPr>
                <w:rFonts w:hint="eastAsia"/>
                <w:szCs w:val="21"/>
              </w:rPr>
              <w:t>/</w:t>
            </w:r>
          </w:p>
        </w:tc>
        <w:tc>
          <w:tcPr>
            <w:tcW w:w="922" w:type="pct"/>
            <w:vAlign w:val="center"/>
          </w:tcPr>
          <w:p w14:paraId="1918C3F2">
            <w:pPr>
              <w:jc w:val="center"/>
              <w:rPr>
                <w:szCs w:val="21"/>
              </w:rPr>
            </w:pPr>
            <w:r>
              <w:rPr>
                <w:szCs w:val="21"/>
              </w:rPr>
              <w:t>0.22</w:t>
            </w:r>
          </w:p>
        </w:tc>
      </w:tr>
      <w:tr w14:paraId="0B79A7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614" w:type="pct"/>
            <w:vMerge w:val="continue"/>
            <w:shd w:val="clear" w:color="auto" w:fill="auto"/>
            <w:vAlign w:val="center"/>
          </w:tcPr>
          <w:p w14:paraId="395F4ADB">
            <w:pPr>
              <w:widowControl/>
              <w:spacing w:line="240" w:lineRule="exact"/>
              <w:jc w:val="center"/>
              <w:rPr>
                <w:rFonts w:eastAsia="仿宋_GB2312"/>
                <w:kern w:val="0"/>
                <w:szCs w:val="21"/>
                <w:highlight w:val="yellow"/>
              </w:rPr>
            </w:pPr>
          </w:p>
        </w:tc>
        <w:tc>
          <w:tcPr>
            <w:tcW w:w="1450" w:type="pct"/>
            <w:shd w:val="clear" w:color="auto" w:fill="auto"/>
            <w:tcMar>
              <w:top w:w="15" w:type="dxa"/>
              <w:left w:w="15" w:type="dxa"/>
              <w:bottom w:w="0" w:type="dxa"/>
              <w:right w:w="15" w:type="dxa"/>
            </w:tcMar>
            <w:vAlign w:val="center"/>
          </w:tcPr>
          <w:p w14:paraId="17C78130">
            <w:pPr>
              <w:widowControl/>
              <w:spacing w:line="240" w:lineRule="exact"/>
              <w:jc w:val="center"/>
              <w:rPr>
                <w:rFonts w:eastAsia="仿宋_GB2312"/>
                <w:kern w:val="0"/>
                <w:szCs w:val="21"/>
              </w:rPr>
            </w:pPr>
            <w:r>
              <w:rPr>
                <w:rFonts w:eastAsia="仿宋_GB2312"/>
                <w:kern w:val="0"/>
                <w:szCs w:val="21"/>
              </w:rPr>
              <w:t>碳九</w:t>
            </w:r>
          </w:p>
        </w:tc>
        <w:tc>
          <w:tcPr>
            <w:tcW w:w="1086" w:type="pct"/>
            <w:shd w:val="clear" w:color="auto" w:fill="auto"/>
            <w:noWrap/>
            <w:tcMar>
              <w:top w:w="15" w:type="dxa"/>
              <w:left w:w="15" w:type="dxa"/>
              <w:bottom w:w="0" w:type="dxa"/>
              <w:right w:w="15" w:type="dxa"/>
            </w:tcMar>
            <w:vAlign w:val="center"/>
          </w:tcPr>
          <w:p w14:paraId="5BB3C8CE">
            <w:pPr>
              <w:jc w:val="center"/>
              <w:rPr>
                <w:szCs w:val="21"/>
              </w:rPr>
            </w:pPr>
            <w:r>
              <w:rPr>
                <w:rFonts w:hint="eastAsia"/>
                <w:szCs w:val="21"/>
              </w:rPr>
              <w:t>0.16</w:t>
            </w:r>
          </w:p>
        </w:tc>
        <w:tc>
          <w:tcPr>
            <w:tcW w:w="926" w:type="pct"/>
            <w:vAlign w:val="center"/>
          </w:tcPr>
          <w:p w14:paraId="1B2B73C9">
            <w:pPr>
              <w:jc w:val="center"/>
              <w:rPr>
                <w:szCs w:val="21"/>
              </w:rPr>
            </w:pPr>
            <w:r>
              <w:rPr>
                <w:rFonts w:hint="eastAsia"/>
                <w:szCs w:val="21"/>
              </w:rPr>
              <w:t>/</w:t>
            </w:r>
          </w:p>
        </w:tc>
        <w:tc>
          <w:tcPr>
            <w:tcW w:w="922" w:type="pct"/>
            <w:vAlign w:val="center"/>
          </w:tcPr>
          <w:p w14:paraId="6D059D8A">
            <w:pPr>
              <w:jc w:val="center"/>
              <w:rPr>
                <w:szCs w:val="21"/>
              </w:rPr>
            </w:pPr>
            <w:r>
              <w:rPr>
                <w:szCs w:val="21"/>
              </w:rPr>
              <w:t>0.</w:t>
            </w:r>
            <w:r>
              <w:rPr>
                <w:rFonts w:hint="eastAsia"/>
                <w:szCs w:val="21"/>
              </w:rPr>
              <w:t>16</w:t>
            </w:r>
          </w:p>
        </w:tc>
      </w:tr>
      <w:tr w14:paraId="734BABD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614" w:type="pct"/>
            <w:vMerge w:val="continue"/>
            <w:shd w:val="clear" w:color="auto" w:fill="auto"/>
            <w:vAlign w:val="center"/>
          </w:tcPr>
          <w:p w14:paraId="55282AAF">
            <w:pPr>
              <w:widowControl/>
              <w:spacing w:line="240" w:lineRule="exact"/>
              <w:jc w:val="center"/>
              <w:rPr>
                <w:rFonts w:eastAsia="仿宋_GB2312"/>
                <w:kern w:val="0"/>
                <w:szCs w:val="21"/>
                <w:highlight w:val="yellow"/>
              </w:rPr>
            </w:pPr>
          </w:p>
        </w:tc>
        <w:tc>
          <w:tcPr>
            <w:tcW w:w="1450" w:type="pct"/>
            <w:shd w:val="clear" w:color="auto" w:fill="auto"/>
            <w:tcMar>
              <w:top w:w="15" w:type="dxa"/>
              <w:left w:w="15" w:type="dxa"/>
              <w:bottom w:w="0" w:type="dxa"/>
              <w:right w:w="15" w:type="dxa"/>
            </w:tcMar>
            <w:vAlign w:val="center"/>
          </w:tcPr>
          <w:p w14:paraId="00FA5E09">
            <w:pPr>
              <w:widowControl/>
              <w:spacing w:line="240" w:lineRule="exact"/>
              <w:jc w:val="center"/>
              <w:rPr>
                <w:rFonts w:eastAsia="仿宋_GB2312"/>
                <w:kern w:val="0"/>
                <w:szCs w:val="21"/>
              </w:rPr>
            </w:pPr>
            <w:r>
              <w:rPr>
                <w:rFonts w:eastAsia="仿宋_GB2312"/>
                <w:kern w:val="0"/>
                <w:szCs w:val="21"/>
              </w:rPr>
              <w:t>苯乙烯</w:t>
            </w:r>
          </w:p>
        </w:tc>
        <w:tc>
          <w:tcPr>
            <w:tcW w:w="1086" w:type="pct"/>
            <w:shd w:val="clear" w:color="auto" w:fill="auto"/>
            <w:noWrap/>
            <w:tcMar>
              <w:top w:w="15" w:type="dxa"/>
              <w:left w:w="15" w:type="dxa"/>
              <w:bottom w:w="0" w:type="dxa"/>
              <w:right w:w="15" w:type="dxa"/>
            </w:tcMar>
            <w:vAlign w:val="center"/>
          </w:tcPr>
          <w:p w14:paraId="1FF6264F">
            <w:pPr>
              <w:jc w:val="center"/>
              <w:rPr>
                <w:szCs w:val="21"/>
              </w:rPr>
            </w:pPr>
            <w:r>
              <w:rPr>
                <w:rFonts w:hint="eastAsia"/>
                <w:szCs w:val="21"/>
              </w:rPr>
              <w:t>0.05</w:t>
            </w:r>
          </w:p>
        </w:tc>
        <w:tc>
          <w:tcPr>
            <w:tcW w:w="926" w:type="pct"/>
            <w:vAlign w:val="center"/>
          </w:tcPr>
          <w:p w14:paraId="41287087">
            <w:pPr>
              <w:jc w:val="center"/>
              <w:rPr>
                <w:szCs w:val="21"/>
              </w:rPr>
            </w:pPr>
            <w:r>
              <w:rPr>
                <w:rFonts w:hint="eastAsia"/>
                <w:szCs w:val="21"/>
              </w:rPr>
              <w:t>/</w:t>
            </w:r>
          </w:p>
        </w:tc>
        <w:tc>
          <w:tcPr>
            <w:tcW w:w="922" w:type="pct"/>
            <w:vAlign w:val="center"/>
          </w:tcPr>
          <w:p w14:paraId="4771C97D">
            <w:pPr>
              <w:jc w:val="center"/>
              <w:rPr>
                <w:szCs w:val="21"/>
              </w:rPr>
            </w:pPr>
            <w:r>
              <w:rPr>
                <w:szCs w:val="21"/>
              </w:rPr>
              <w:t>0.0</w:t>
            </w:r>
            <w:r>
              <w:rPr>
                <w:rFonts w:hint="eastAsia"/>
                <w:szCs w:val="21"/>
              </w:rPr>
              <w:t>5</w:t>
            </w:r>
          </w:p>
        </w:tc>
      </w:tr>
      <w:tr w14:paraId="017654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614" w:type="pct"/>
            <w:vMerge w:val="continue"/>
            <w:shd w:val="clear" w:color="auto" w:fill="auto"/>
            <w:vAlign w:val="center"/>
          </w:tcPr>
          <w:p w14:paraId="390CDC88">
            <w:pPr>
              <w:widowControl/>
              <w:spacing w:line="240" w:lineRule="exact"/>
              <w:jc w:val="center"/>
              <w:rPr>
                <w:rFonts w:eastAsia="仿宋_GB2312"/>
                <w:kern w:val="0"/>
                <w:szCs w:val="21"/>
                <w:highlight w:val="yellow"/>
              </w:rPr>
            </w:pPr>
          </w:p>
        </w:tc>
        <w:tc>
          <w:tcPr>
            <w:tcW w:w="1450" w:type="pct"/>
            <w:shd w:val="clear" w:color="auto" w:fill="auto"/>
            <w:tcMar>
              <w:top w:w="15" w:type="dxa"/>
              <w:left w:w="15" w:type="dxa"/>
              <w:bottom w:w="0" w:type="dxa"/>
              <w:right w:w="15" w:type="dxa"/>
            </w:tcMar>
            <w:vAlign w:val="center"/>
          </w:tcPr>
          <w:p w14:paraId="3D751D81">
            <w:pPr>
              <w:widowControl/>
              <w:spacing w:line="240" w:lineRule="exact"/>
              <w:jc w:val="center"/>
              <w:rPr>
                <w:rFonts w:eastAsia="仿宋_GB2312"/>
                <w:kern w:val="0"/>
                <w:szCs w:val="21"/>
              </w:rPr>
            </w:pPr>
            <w:r>
              <w:rPr>
                <w:rFonts w:eastAsia="仿宋_GB2312"/>
                <w:kern w:val="0"/>
                <w:szCs w:val="21"/>
              </w:rPr>
              <w:t>环戊酮</w:t>
            </w:r>
          </w:p>
        </w:tc>
        <w:tc>
          <w:tcPr>
            <w:tcW w:w="1086" w:type="pct"/>
            <w:shd w:val="clear" w:color="auto" w:fill="auto"/>
            <w:noWrap/>
            <w:tcMar>
              <w:top w:w="15" w:type="dxa"/>
              <w:left w:w="15" w:type="dxa"/>
              <w:bottom w:w="0" w:type="dxa"/>
              <w:right w:w="15" w:type="dxa"/>
            </w:tcMar>
            <w:vAlign w:val="center"/>
          </w:tcPr>
          <w:p w14:paraId="50F9BE5F">
            <w:pPr>
              <w:jc w:val="center"/>
              <w:rPr>
                <w:szCs w:val="21"/>
              </w:rPr>
            </w:pPr>
            <w:r>
              <w:rPr>
                <w:rFonts w:hint="eastAsia"/>
                <w:szCs w:val="21"/>
              </w:rPr>
              <w:t>0.13</w:t>
            </w:r>
          </w:p>
        </w:tc>
        <w:tc>
          <w:tcPr>
            <w:tcW w:w="926" w:type="pct"/>
            <w:vAlign w:val="center"/>
          </w:tcPr>
          <w:p w14:paraId="18091A8E">
            <w:pPr>
              <w:jc w:val="center"/>
              <w:rPr>
                <w:szCs w:val="21"/>
              </w:rPr>
            </w:pPr>
            <w:r>
              <w:rPr>
                <w:rFonts w:hint="eastAsia"/>
                <w:szCs w:val="21"/>
              </w:rPr>
              <w:t>/</w:t>
            </w:r>
          </w:p>
        </w:tc>
        <w:tc>
          <w:tcPr>
            <w:tcW w:w="922" w:type="pct"/>
            <w:vAlign w:val="center"/>
          </w:tcPr>
          <w:p w14:paraId="304C7D79">
            <w:pPr>
              <w:jc w:val="center"/>
              <w:rPr>
                <w:szCs w:val="21"/>
              </w:rPr>
            </w:pPr>
            <w:r>
              <w:rPr>
                <w:szCs w:val="21"/>
              </w:rPr>
              <w:t>0.1</w:t>
            </w:r>
            <w:r>
              <w:rPr>
                <w:rFonts w:hint="eastAsia"/>
                <w:szCs w:val="21"/>
              </w:rPr>
              <w:t>3</w:t>
            </w:r>
          </w:p>
        </w:tc>
      </w:tr>
      <w:tr w14:paraId="25AB49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614" w:type="pct"/>
            <w:vMerge w:val="continue"/>
            <w:shd w:val="clear" w:color="auto" w:fill="auto"/>
            <w:vAlign w:val="center"/>
          </w:tcPr>
          <w:p w14:paraId="3387947E">
            <w:pPr>
              <w:widowControl/>
              <w:spacing w:line="240" w:lineRule="exact"/>
              <w:jc w:val="center"/>
              <w:rPr>
                <w:rFonts w:eastAsia="仿宋_GB2312"/>
                <w:kern w:val="0"/>
                <w:szCs w:val="21"/>
                <w:highlight w:val="yellow"/>
              </w:rPr>
            </w:pPr>
          </w:p>
        </w:tc>
        <w:tc>
          <w:tcPr>
            <w:tcW w:w="1450" w:type="pct"/>
            <w:shd w:val="clear" w:color="auto" w:fill="auto"/>
            <w:tcMar>
              <w:top w:w="15" w:type="dxa"/>
              <w:left w:w="15" w:type="dxa"/>
              <w:bottom w:w="0" w:type="dxa"/>
              <w:right w:w="15" w:type="dxa"/>
            </w:tcMar>
            <w:vAlign w:val="center"/>
          </w:tcPr>
          <w:p w14:paraId="73587951">
            <w:pPr>
              <w:widowControl/>
              <w:spacing w:line="240" w:lineRule="exact"/>
              <w:jc w:val="center"/>
              <w:rPr>
                <w:rFonts w:eastAsia="仿宋_GB2312"/>
                <w:kern w:val="0"/>
                <w:szCs w:val="21"/>
              </w:rPr>
            </w:pPr>
            <w:r>
              <w:rPr>
                <w:rFonts w:eastAsia="仿宋_GB2312"/>
                <w:kern w:val="0"/>
                <w:szCs w:val="21"/>
              </w:rPr>
              <w:t>乙酸甲酯</w:t>
            </w:r>
          </w:p>
        </w:tc>
        <w:tc>
          <w:tcPr>
            <w:tcW w:w="1086" w:type="pct"/>
            <w:shd w:val="clear" w:color="auto" w:fill="auto"/>
            <w:noWrap/>
            <w:tcMar>
              <w:top w:w="15" w:type="dxa"/>
              <w:left w:w="15" w:type="dxa"/>
              <w:bottom w:w="0" w:type="dxa"/>
              <w:right w:w="15" w:type="dxa"/>
            </w:tcMar>
            <w:vAlign w:val="center"/>
          </w:tcPr>
          <w:p w14:paraId="24331213">
            <w:pPr>
              <w:jc w:val="center"/>
              <w:rPr>
                <w:szCs w:val="21"/>
              </w:rPr>
            </w:pPr>
            <w:r>
              <w:rPr>
                <w:rFonts w:hint="eastAsia"/>
                <w:szCs w:val="21"/>
              </w:rPr>
              <w:t>0.23</w:t>
            </w:r>
          </w:p>
        </w:tc>
        <w:tc>
          <w:tcPr>
            <w:tcW w:w="926" w:type="pct"/>
            <w:vAlign w:val="center"/>
          </w:tcPr>
          <w:p w14:paraId="56492583">
            <w:pPr>
              <w:jc w:val="center"/>
              <w:rPr>
                <w:szCs w:val="21"/>
              </w:rPr>
            </w:pPr>
            <w:r>
              <w:rPr>
                <w:rFonts w:hint="eastAsia"/>
                <w:szCs w:val="21"/>
              </w:rPr>
              <w:t>/</w:t>
            </w:r>
          </w:p>
        </w:tc>
        <w:tc>
          <w:tcPr>
            <w:tcW w:w="922" w:type="pct"/>
            <w:vAlign w:val="center"/>
          </w:tcPr>
          <w:p w14:paraId="4F30FEC9">
            <w:pPr>
              <w:jc w:val="center"/>
              <w:rPr>
                <w:szCs w:val="21"/>
              </w:rPr>
            </w:pPr>
            <w:r>
              <w:rPr>
                <w:szCs w:val="21"/>
              </w:rPr>
              <w:t>0.2</w:t>
            </w:r>
            <w:r>
              <w:rPr>
                <w:rFonts w:hint="eastAsia"/>
                <w:szCs w:val="21"/>
              </w:rPr>
              <w:t>3</w:t>
            </w:r>
          </w:p>
        </w:tc>
      </w:tr>
      <w:tr w14:paraId="1CEA02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614" w:type="pct"/>
            <w:vMerge w:val="continue"/>
            <w:shd w:val="clear" w:color="auto" w:fill="auto"/>
            <w:vAlign w:val="center"/>
          </w:tcPr>
          <w:p w14:paraId="3740BC74">
            <w:pPr>
              <w:widowControl/>
              <w:spacing w:line="240" w:lineRule="exact"/>
              <w:jc w:val="center"/>
              <w:rPr>
                <w:rFonts w:eastAsia="仿宋_GB2312"/>
                <w:kern w:val="0"/>
                <w:szCs w:val="21"/>
                <w:highlight w:val="yellow"/>
              </w:rPr>
            </w:pPr>
          </w:p>
        </w:tc>
        <w:tc>
          <w:tcPr>
            <w:tcW w:w="1450" w:type="pct"/>
            <w:shd w:val="clear" w:color="auto" w:fill="auto"/>
            <w:tcMar>
              <w:top w:w="15" w:type="dxa"/>
              <w:left w:w="15" w:type="dxa"/>
              <w:bottom w:w="0" w:type="dxa"/>
              <w:right w:w="15" w:type="dxa"/>
            </w:tcMar>
            <w:vAlign w:val="center"/>
          </w:tcPr>
          <w:p w14:paraId="498A8B6D">
            <w:pPr>
              <w:widowControl/>
              <w:spacing w:line="240" w:lineRule="exact"/>
              <w:jc w:val="center"/>
              <w:rPr>
                <w:rFonts w:eastAsia="仿宋_GB2312"/>
                <w:kern w:val="0"/>
                <w:szCs w:val="21"/>
              </w:rPr>
            </w:pPr>
            <w:r>
              <w:rPr>
                <w:rFonts w:eastAsia="仿宋_GB2312"/>
                <w:kern w:val="0"/>
                <w:szCs w:val="21"/>
              </w:rPr>
              <w:t>非甲烷总烃</w:t>
            </w:r>
          </w:p>
        </w:tc>
        <w:tc>
          <w:tcPr>
            <w:tcW w:w="1811" w:type="dxa"/>
            <w:shd w:val="clear" w:color="auto" w:fill="auto"/>
            <w:noWrap/>
            <w:tcMar>
              <w:top w:w="15" w:type="dxa"/>
              <w:left w:w="15" w:type="dxa"/>
              <w:bottom w:w="0" w:type="dxa"/>
              <w:right w:w="15" w:type="dxa"/>
            </w:tcMar>
            <w:vAlign w:val="center"/>
          </w:tcPr>
          <w:p w14:paraId="6313B3E8">
            <w:pPr>
              <w:jc w:val="center"/>
              <w:rPr>
                <w:rFonts w:hint="eastAsia"/>
                <w:szCs w:val="21"/>
              </w:rPr>
            </w:pPr>
            <w:r>
              <w:rPr>
                <w:rFonts w:hint="default"/>
                <w:szCs w:val="21"/>
                <w:lang w:val="en-US" w:eastAsia="zh-CN"/>
              </w:rPr>
              <w:t>5.20606</w:t>
            </w:r>
          </w:p>
        </w:tc>
        <w:tc>
          <w:tcPr>
            <w:tcW w:w="1544" w:type="dxa"/>
            <w:vAlign w:val="center"/>
          </w:tcPr>
          <w:p w14:paraId="05E9A6EC">
            <w:pPr>
              <w:jc w:val="center"/>
              <w:rPr>
                <w:rFonts w:hint="eastAsia"/>
                <w:szCs w:val="21"/>
              </w:rPr>
            </w:pPr>
            <w:r>
              <w:rPr>
                <w:rFonts w:hint="default"/>
                <w:szCs w:val="21"/>
                <w:lang w:val="en-US" w:eastAsia="zh-CN"/>
              </w:rPr>
              <w:t>2.0863</w:t>
            </w:r>
          </w:p>
        </w:tc>
        <w:tc>
          <w:tcPr>
            <w:tcW w:w="1537" w:type="dxa"/>
            <w:vAlign w:val="center"/>
          </w:tcPr>
          <w:p w14:paraId="6FB564D4">
            <w:pPr>
              <w:jc w:val="center"/>
              <w:rPr>
                <w:rFonts w:hint="eastAsia"/>
                <w:szCs w:val="21"/>
              </w:rPr>
            </w:pPr>
            <w:r>
              <w:rPr>
                <w:rFonts w:hint="default"/>
                <w:szCs w:val="21"/>
                <w:lang w:val="en-US" w:eastAsia="zh-CN"/>
              </w:rPr>
              <w:t>7.29236</w:t>
            </w:r>
          </w:p>
        </w:tc>
      </w:tr>
      <w:tr w14:paraId="033092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614" w:type="pct"/>
            <w:vMerge w:val="continue"/>
            <w:shd w:val="clear" w:color="auto" w:fill="auto"/>
            <w:vAlign w:val="center"/>
          </w:tcPr>
          <w:p w14:paraId="58723225">
            <w:pPr>
              <w:widowControl/>
              <w:spacing w:line="240" w:lineRule="exact"/>
              <w:jc w:val="center"/>
              <w:rPr>
                <w:rFonts w:eastAsia="仿宋_GB2312"/>
                <w:kern w:val="0"/>
                <w:szCs w:val="21"/>
                <w:highlight w:val="yellow"/>
              </w:rPr>
            </w:pPr>
          </w:p>
        </w:tc>
        <w:tc>
          <w:tcPr>
            <w:tcW w:w="1450" w:type="pct"/>
            <w:shd w:val="clear" w:color="auto" w:fill="auto"/>
            <w:tcMar>
              <w:top w:w="15" w:type="dxa"/>
              <w:left w:w="15" w:type="dxa"/>
              <w:bottom w:w="0" w:type="dxa"/>
              <w:right w:w="15" w:type="dxa"/>
            </w:tcMar>
            <w:vAlign w:val="center"/>
          </w:tcPr>
          <w:p w14:paraId="2FFAA6BC">
            <w:pPr>
              <w:widowControl/>
              <w:spacing w:line="240" w:lineRule="exact"/>
              <w:jc w:val="center"/>
              <w:rPr>
                <w:rFonts w:eastAsia="仿宋_GB2312"/>
                <w:kern w:val="0"/>
                <w:szCs w:val="21"/>
              </w:rPr>
            </w:pPr>
            <w:r>
              <w:rPr>
                <w:rFonts w:eastAsia="仿宋_GB2312"/>
                <w:kern w:val="0"/>
                <w:szCs w:val="21"/>
              </w:rPr>
              <w:t>VOCs</w:t>
            </w:r>
          </w:p>
        </w:tc>
        <w:tc>
          <w:tcPr>
            <w:tcW w:w="1811" w:type="dxa"/>
            <w:shd w:val="clear" w:color="auto" w:fill="auto"/>
            <w:noWrap/>
            <w:tcMar>
              <w:top w:w="15" w:type="dxa"/>
              <w:left w:w="15" w:type="dxa"/>
              <w:bottom w:w="0" w:type="dxa"/>
              <w:right w:w="15" w:type="dxa"/>
            </w:tcMar>
            <w:vAlign w:val="center"/>
          </w:tcPr>
          <w:p w14:paraId="3DDB4659">
            <w:pPr>
              <w:jc w:val="center"/>
              <w:rPr>
                <w:rFonts w:hint="eastAsia"/>
                <w:szCs w:val="21"/>
              </w:rPr>
            </w:pPr>
            <w:r>
              <w:rPr>
                <w:rFonts w:hint="default"/>
                <w:szCs w:val="21"/>
                <w:lang w:val="en-US" w:eastAsia="zh-CN"/>
              </w:rPr>
              <w:t>9.23976</w:t>
            </w:r>
          </w:p>
        </w:tc>
        <w:tc>
          <w:tcPr>
            <w:tcW w:w="1544" w:type="dxa"/>
            <w:vAlign w:val="center"/>
          </w:tcPr>
          <w:p w14:paraId="2026AC2F">
            <w:pPr>
              <w:jc w:val="center"/>
              <w:rPr>
                <w:rFonts w:hint="eastAsia"/>
                <w:szCs w:val="21"/>
              </w:rPr>
            </w:pPr>
            <w:r>
              <w:rPr>
                <w:rFonts w:hint="default"/>
                <w:szCs w:val="21"/>
                <w:lang w:val="en-US" w:eastAsia="zh-CN"/>
              </w:rPr>
              <w:t>3.5526</w:t>
            </w:r>
          </w:p>
        </w:tc>
        <w:tc>
          <w:tcPr>
            <w:tcW w:w="1537" w:type="dxa"/>
            <w:vAlign w:val="center"/>
          </w:tcPr>
          <w:p w14:paraId="06A8577A">
            <w:pPr>
              <w:jc w:val="center"/>
              <w:rPr>
                <w:rFonts w:hint="eastAsia"/>
                <w:szCs w:val="21"/>
              </w:rPr>
            </w:pPr>
            <w:r>
              <w:rPr>
                <w:rFonts w:hint="default"/>
                <w:szCs w:val="21"/>
                <w:lang w:val="en-US" w:eastAsia="zh-CN"/>
              </w:rPr>
              <w:t>12.79236</w:t>
            </w:r>
          </w:p>
        </w:tc>
      </w:tr>
      <w:tr w14:paraId="50C1B8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614" w:type="pct"/>
            <w:vMerge w:val="continue"/>
            <w:shd w:val="clear" w:color="auto" w:fill="auto"/>
            <w:vAlign w:val="center"/>
          </w:tcPr>
          <w:p w14:paraId="79834860">
            <w:pPr>
              <w:widowControl/>
              <w:spacing w:line="240" w:lineRule="exact"/>
              <w:jc w:val="center"/>
              <w:rPr>
                <w:rFonts w:eastAsia="仿宋_GB2312"/>
                <w:kern w:val="0"/>
                <w:szCs w:val="21"/>
                <w:highlight w:val="yellow"/>
              </w:rPr>
            </w:pPr>
          </w:p>
        </w:tc>
        <w:tc>
          <w:tcPr>
            <w:tcW w:w="1450" w:type="pct"/>
            <w:shd w:val="clear" w:color="auto" w:fill="auto"/>
            <w:tcMar>
              <w:top w:w="15" w:type="dxa"/>
              <w:left w:w="15" w:type="dxa"/>
              <w:bottom w:w="0" w:type="dxa"/>
              <w:right w:w="15" w:type="dxa"/>
            </w:tcMar>
            <w:vAlign w:val="center"/>
          </w:tcPr>
          <w:p w14:paraId="3C7C76A0">
            <w:pPr>
              <w:widowControl/>
              <w:spacing w:line="240" w:lineRule="exact"/>
              <w:jc w:val="center"/>
              <w:rPr>
                <w:rFonts w:eastAsia="仿宋_GB2312"/>
                <w:kern w:val="0"/>
                <w:szCs w:val="21"/>
              </w:rPr>
            </w:pPr>
            <w:r>
              <w:rPr>
                <w:rFonts w:eastAsia="仿宋_GB2312"/>
                <w:kern w:val="0"/>
                <w:szCs w:val="21"/>
              </w:rPr>
              <w:t>汞</w:t>
            </w:r>
          </w:p>
        </w:tc>
        <w:tc>
          <w:tcPr>
            <w:tcW w:w="1086" w:type="pct"/>
            <w:shd w:val="clear" w:color="auto" w:fill="auto"/>
            <w:noWrap/>
            <w:tcMar>
              <w:top w:w="15" w:type="dxa"/>
              <w:left w:w="15" w:type="dxa"/>
              <w:bottom w:w="0" w:type="dxa"/>
              <w:right w:w="15" w:type="dxa"/>
            </w:tcMar>
            <w:vAlign w:val="center"/>
          </w:tcPr>
          <w:p w14:paraId="0DDFAA53">
            <w:pPr>
              <w:jc w:val="center"/>
              <w:rPr>
                <w:szCs w:val="21"/>
              </w:rPr>
            </w:pPr>
            <w:r>
              <w:rPr>
                <w:rFonts w:hint="eastAsia"/>
                <w:szCs w:val="21"/>
              </w:rPr>
              <w:t>0.023</w:t>
            </w:r>
          </w:p>
        </w:tc>
        <w:tc>
          <w:tcPr>
            <w:tcW w:w="926" w:type="pct"/>
            <w:vAlign w:val="center"/>
          </w:tcPr>
          <w:p w14:paraId="5895EF98">
            <w:pPr>
              <w:jc w:val="center"/>
              <w:rPr>
                <w:szCs w:val="21"/>
              </w:rPr>
            </w:pPr>
            <w:r>
              <w:rPr>
                <w:rFonts w:hint="eastAsia"/>
                <w:szCs w:val="21"/>
              </w:rPr>
              <w:t>/</w:t>
            </w:r>
          </w:p>
        </w:tc>
        <w:tc>
          <w:tcPr>
            <w:tcW w:w="922" w:type="pct"/>
            <w:vAlign w:val="center"/>
          </w:tcPr>
          <w:p w14:paraId="0B1571F7">
            <w:pPr>
              <w:jc w:val="center"/>
              <w:rPr>
                <w:szCs w:val="21"/>
              </w:rPr>
            </w:pPr>
            <w:r>
              <w:rPr>
                <w:szCs w:val="21"/>
              </w:rPr>
              <w:t>0.023</w:t>
            </w:r>
          </w:p>
        </w:tc>
      </w:tr>
      <w:tr w14:paraId="1A4C69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614" w:type="pct"/>
            <w:vMerge w:val="continue"/>
            <w:shd w:val="clear" w:color="auto" w:fill="auto"/>
            <w:vAlign w:val="center"/>
          </w:tcPr>
          <w:p w14:paraId="32D92AB7">
            <w:pPr>
              <w:widowControl/>
              <w:spacing w:line="240" w:lineRule="exact"/>
              <w:jc w:val="center"/>
              <w:rPr>
                <w:rFonts w:eastAsia="仿宋_GB2312"/>
                <w:kern w:val="0"/>
                <w:szCs w:val="21"/>
                <w:highlight w:val="yellow"/>
              </w:rPr>
            </w:pPr>
          </w:p>
        </w:tc>
        <w:tc>
          <w:tcPr>
            <w:tcW w:w="1450" w:type="pct"/>
            <w:shd w:val="clear" w:color="auto" w:fill="auto"/>
            <w:tcMar>
              <w:top w:w="15" w:type="dxa"/>
              <w:left w:w="15" w:type="dxa"/>
              <w:bottom w:w="0" w:type="dxa"/>
              <w:right w:w="15" w:type="dxa"/>
            </w:tcMar>
            <w:vAlign w:val="center"/>
          </w:tcPr>
          <w:p w14:paraId="50487237">
            <w:pPr>
              <w:widowControl/>
              <w:spacing w:line="240" w:lineRule="exact"/>
              <w:jc w:val="center"/>
              <w:rPr>
                <w:rFonts w:eastAsia="仿宋_GB2312"/>
                <w:kern w:val="0"/>
                <w:szCs w:val="21"/>
              </w:rPr>
            </w:pPr>
            <w:r>
              <w:rPr>
                <w:rFonts w:eastAsia="仿宋_GB2312"/>
                <w:kern w:val="0"/>
                <w:szCs w:val="21"/>
              </w:rPr>
              <w:t>镉</w:t>
            </w:r>
          </w:p>
        </w:tc>
        <w:tc>
          <w:tcPr>
            <w:tcW w:w="1086" w:type="pct"/>
            <w:shd w:val="clear" w:color="auto" w:fill="auto"/>
            <w:noWrap/>
            <w:tcMar>
              <w:top w:w="15" w:type="dxa"/>
              <w:left w:w="15" w:type="dxa"/>
              <w:bottom w:w="0" w:type="dxa"/>
              <w:right w:w="15" w:type="dxa"/>
            </w:tcMar>
            <w:vAlign w:val="center"/>
          </w:tcPr>
          <w:p w14:paraId="0652899E">
            <w:pPr>
              <w:jc w:val="center"/>
              <w:rPr>
                <w:szCs w:val="21"/>
              </w:rPr>
            </w:pPr>
            <w:r>
              <w:rPr>
                <w:rFonts w:hint="eastAsia"/>
                <w:szCs w:val="21"/>
              </w:rPr>
              <w:t>0.023</w:t>
            </w:r>
          </w:p>
        </w:tc>
        <w:tc>
          <w:tcPr>
            <w:tcW w:w="926" w:type="pct"/>
            <w:vAlign w:val="center"/>
          </w:tcPr>
          <w:p w14:paraId="27761983">
            <w:pPr>
              <w:jc w:val="center"/>
              <w:rPr>
                <w:szCs w:val="21"/>
              </w:rPr>
            </w:pPr>
            <w:r>
              <w:rPr>
                <w:rFonts w:hint="eastAsia"/>
                <w:szCs w:val="21"/>
              </w:rPr>
              <w:t>/</w:t>
            </w:r>
          </w:p>
        </w:tc>
        <w:tc>
          <w:tcPr>
            <w:tcW w:w="922" w:type="pct"/>
            <w:vAlign w:val="center"/>
          </w:tcPr>
          <w:p w14:paraId="78BD8962">
            <w:pPr>
              <w:jc w:val="center"/>
              <w:rPr>
                <w:szCs w:val="21"/>
              </w:rPr>
            </w:pPr>
            <w:r>
              <w:rPr>
                <w:szCs w:val="21"/>
              </w:rPr>
              <w:t>0.023</w:t>
            </w:r>
          </w:p>
        </w:tc>
      </w:tr>
      <w:tr w14:paraId="6E62C2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614" w:type="pct"/>
            <w:vMerge w:val="continue"/>
            <w:shd w:val="clear" w:color="auto" w:fill="auto"/>
            <w:vAlign w:val="center"/>
          </w:tcPr>
          <w:p w14:paraId="00834786">
            <w:pPr>
              <w:widowControl/>
              <w:spacing w:line="240" w:lineRule="exact"/>
              <w:jc w:val="center"/>
              <w:rPr>
                <w:rFonts w:eastAsia="仿宋_GB2312"/>
                <w:kern w:val="0"/>
                <w:szCs w:val="21"/>
                <w:highlight w:val="yellow"/>
              </w:rPr>
            </w:pPr>
          </w:p>
        </w:tc>
        <w:tc>
          <w:tcPr>
            <w:tcW w:w="1450" w:type="pct"/>
            <w:shd w:val="clear" w:color="auto" w:fill="auto"/>
            <w:tcMar>
              <w:top w:w="15" w:type="dxa"/>
              <w:left w:w="15" w:type="dxa"/>
              <w:bottom w:w="0" w:type="dxa"/>
              <w:right w:w="15" w:type="dxa"/>
            </w:tcMar>
            <w:vAlign w:val="center"/>
          </w:tcPr>
          <w:p w14:paraId="475B8AB0">
            <w:pPr>
              <w:widowControl/>
              <w:spacing w:line="240" w:lineRule="exact"/>
              <w:jc w:val="center"/>
              <w:rPr>
                <w:rFonts w:eastAsia="仿宋_GB2312"/>
                <w:kern w:val="0"/>
                <w:szCs w:val="21"/>
              </w:rPr>
            </w:pPr>
            <w:r>
              <w:rPr>
                <w:rFonts w:eastAsia="仿宋_GB2312"/>
                <w:kern w:val="0"/>
                <w:szCs w:val="21"/>
              </w:rPr>
              <w:t>铅</w:t>
            </w:r>
          </w:p>
        </w:tc>
        <w:tc>
          <w:tcPr>
            <w:tcW w:w="1086" w:type="pct"/>
            <w:shd w:val="clear" w:color="auto" w:fill="auto"/>
            <w:noWrap/>
            <w:tcMar>
              <w:top w:w="15" w:type="dxa"/>
              <w:left w:w="15" w:type="dxa"/>
              <w:bottom w:w="0" w:type="dxa"/>
              <w:right w:w="15" w:type="dxa"/>
            </w:tcMar>
            <w:vAlign w:val="center"/>
          </w:tcPr>
          <w:p w14:paraId="1DE465D2">
            <w:pPr>
              <w:jc w:val="center"/>
              <w:rPr>
                <w:szCs w:val="21"/>
              </w:rPr>
            </w:pPr>
            <w:r>
              <w:rPr>
                <w:rFonts w:hint="eastAsia"/>
                <w:szCs w:val="21"/>
              </w:rPr>
              <w:t>0.232</w:t>
            </w:r>
          </w:p>
        </w:tc>
        <w:tc>
          <w:tcPr>
            <w:tcW w:w="926" w:type="pct"/>
            <w:vAlign w:val="center"/>
          </w:tcPr>
          <w:p w14:paraId="5E22ED19">
            <w:pPr>
              <w:jc w:val="center"/>
              <w:rPr>
                <w:szCs w:val="21"/>
              </w:rPr>
            </w:pPr>
            <w:r>
              <w:rPr>
                <w:rFonts w:hint="eastAsia"/>
                <w:szCs w:val="21"/>
              </w:rPr>
              <w:t>/</w:t>
            </w:r>
          </w:p>
        </w:tc>
        <w:tc>
          <w:tcPr>
            <w:tcW w:w="922" w:type="pct"/>
            <w:vAlign w:val="center"/>
          </w:tcPr>
          <w:p w14:paraId="7CEEC0AE">
            <w:pPr>
              <w:jc w:val="center"/>
              <w:rPr>
                <w:szCs w:val="21"/>
              </w:rPr>
            </w:pPr>
            <w:r>
              <w:rPr>
                <w:szCs w:val="21"/>
              </w:rPr>
              <w:t>0.232</w:t>
            </w:r>
          </w:p>
        </w:tc>
      </w:tr>
      <w:tr w14:paraId="183CD4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614" w:type="pct"/>
            <w:vMerge w:val="continue"/>
            <w:shd w:val="clear" w:color="auto" w:fill="auto"/>
            <w:vAlign w:val="center"/>
          </w:tcPr>
          <w:p w14:paraId="5DDCF7B4">
            <w:pPr>
              <w:widowControl/>
              <w:spacing w:line="240" w:lineRule="exact"/>
              <w:jc w:val="center"/>
              <w:rPr>
                <w:rFonts w:eastAsia="仿宋_GB2312"/>
                <w:kern w:val="0"/>
                <w:szCs w:val="21"/>
                <w:highlight w:val="yellow"/>
              </w:rPr>
            </w:pPr>
          </w:p>
        </w:tc>
        <w:tc>
          <w:tcPr>
            <w:tcW w:w="1450" w:type="pct"/>
            <w:shd w:val="clear" w:color="auto" w:fill="auto"/>
            <w:tcMar>
              <w:top w:w="15" w:type="dxa"/>
              <w:left w:w="15" w:type="dxa"/>
              <w:bottom w:w="0" w:type="dxa"/>
              <w:right w:w="15" w:type="dxa"/>
            </w:tcMar>
            <w:vAlign w:val="center"/>
          </w:tcPr>
          <w:p w14:paraId="0117AD1B">
            <w:pPr>
              <w:widowControl/>
              <w:spacing w:line="240" w:lineRule="exact"/>
              <w:jc w:val="center"/>
              <w:rPr>
                <w:rFonts w:eastAsia="仿宋_GB2312"/>
                <w:kern w:val="0"/>
                <w:szCs w:val="21"/>
              </w:rPr>
            </w:pPr>
            <w:r>
              <w:rPr>
                <w:rFonts w:eastAsia="仿宋_GB2312"/>
                <w:kern w:val="0"/>
                <w:szCs w:val="21"/>
              </w:rPr>
              <w:t>砷</w:t>
            </w:r>
          </w:p>
        </w:tc>
        <w:tc>
          <w:tcPr>
            <w:tcW w:w="1086" w:type="pct"/>
            <w:shd w:val="clear" w:color="auto" w:fill="auto"/>
            <w:noWrap/>
            <w:tcMar>
              <w:top w:w="15" w:type="dxa"/>
              <w:left w:w="15" w:type="dxa"/>
              <w:bottom w:w="0" w:type="dxa"/>
              <w:right w:w="15" w:type="dxa"/>
            </w:tcMar>
            <w:vAlign w:val="center"/>
          </w:tcPr>
          <w:p w14:paraId="045889D4">
            <w:pPr>
              <w:jc w:val="center"/>
              <w:rPr>
                <w:szCs w:val="21"/>
              </w:rPr>
            </w:pPr>
            <w:r>
              <w:rPr>
                <w:rFonts w:hint="eastAsia"/>
                <w:szCs w:val="21"/>
              </w:rPr>
              <w:t>0.062</w:t>
            </w:r>
          </w:p>
        </w:tc>
        <w:tc>
          <w:tcPr>
            <w:tcW w:w="926" w:type="pct"/>
            <w:vAlign w:val="center"/>
          </w:tcPr>
          <w:p w14:paraId="53AC3327">
            <w:pPr>
              <w:jc w:val="center"/>
              <w:rPr>
                <w:szCs w:val="21"/>
              </w:rPr>
            </w:pPr>
            <w:r>
              <w:rPr>
                <w:rFonts w:hint="eastAsia"/>
                <w:szCs w:val="21"/>
              </w:rPr>
              <w:t>/</w:t>
            </w:r>
          </w:p>
        </w:tc>
        <w:tc>
          <w:tcPr>
            <w:tcW w:w="922" w:type="pct"/>
            <w:vAlign w:val="center"/>
          </w:tcPr>
          <w:p w14:paraId="103339CB">
            <w:pPr>
              <w:jc w:val="center"/>
              <w:rPr>
                <w:szCs w:val="21"/>
              </w:rPr>
            </w:pPr>
            <w:r>
              <w:rPr>
                <w:szCs w:val="21"/>
              </w:rPr>
              <w:t>0.062</w:t>
            </w:r>
          </w:p>
        </w:tc>
      </w:tr>
      <w:tr w14:paraId="30F1E1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614" w:type="pct"/>
            <w:vMerge w:val="continue"/>
            <w:shd w:val="clear" w:color="auto" w:fill="auto"/>
            <w:vAlign w:val="center"/>
          </w:tcPr>
          <w:p w14:paraId="70A0A0A3">
            <w:pPr>
              <w:widowControl/>
              <w:spacing w:line="240" w:lineRule="exact"/>
              <w:jc w:val="center"/>
              <w:rPr>
                <w:rFonts w:eastAsia="仿宋_GB2312"/>
                <w:kern w:val="0"/>
                <w:szCs w:val="21"/>
                <w:highlight w:val="yellow"/>
              </w:rPr>
            </w:pPr>
          </w:p>
        </w:tc>
        <w:tc>
          <w:tcPr>
            <w:tcW w:w="1450" w:type="pct"/>
            <w:shd w:val="clear" w:color="auto" w:fill="auto"/>
            <w:tcMar>
              <w:top w:w="15" w:type="dxa"/>
              <w:left w:w="15" w:type="dxa"/>
              <w:bottom w:w="0" w:type="dxa"/>
              <w:right w:w="15" w:type="dxa"/>
            </w:tcMar>
            <w:vAlign w:val="center"/>
          </w:tcPr>
          <w:p w14:paraId="5D3F6ED8">
            <w:pPr>
              <w:widowControl/>
              <w:spacing w:line="240" w:lineRule="exact"/>
              <w:jc w:val="center"/>
              <w:rPr>
                <w:rFonts w:eastAsia="仿宋_GB2312"/>
                <w:kern w:val="0"/>
                <w:szCs w:val="21"/>
              </w:rPr>
            </w:pPr>
            <w:r>
              <w:rPr>
                <w:rFonts w:eastAsia="仿宋_GB2312"/>
                <w:kern w:val="0"/>
                <w:szCs w:val="21"/>
              </w:rPr>
              <w:t>铬</w:t>
            </w:r>
          </w:p>
        </w:tc>
        <w:tc>
          <w:tcPr>
            <w:tcW w:w="1086" w:type="pct"/>
            <w:shd w:val="clear" w:color="auto" w:fill="auto"/>
            <w:noWrap/>
            <w:tcMar>
              <w:top w:w="15" w:type="dxa"/>
              <w:left w:w="15" w:type="dxa"/>
              <w:bottom w:w="0" w:type="dxa"/>
              <w:right w:w="15" w:type="dxa"/>
            </w:tcMar>
            <w:vAlign w:val="center"/>
          </w:tcPr>
          <w:p w14:paraId="658C4861">
            <w:pPr>
              <w:jc w:val="center"/>
              <w:rPr>
                <w:szCs w:val="21"/>
              </w:rPr>
            </w:pPr>
            <w:r>
              <w:rPr>
                <w:rFonts w:hint="eastAsia"/>
                <w:szCs w:val="21"/>
              </w:rPr>
              <w:t>0.272</w:t>
            </w:r>
          </w:p>
        </w:tc>
        <w:tc>
          <w:tcPr>
            <w:tcW w:w="926" w:type="pct"/>
            <w:vAlign w:val="center"/>
          </w:tcPr>
          <w:p w14:paraId="51C1B15D">
            <w:pPr>
              <w:jc w:val="center"/>
              <w:rPr>
                <w:szCs w:val="21"/>
              </w:rPr>
            </w:pPr>
            <w:r>
              <w:rPr>
                <w:rFonts w:hint="eastAsia"/>
                <w:szCs w:val="21"/>
              </w:rPr>
              <w:t>/</w:t>
            </w:r>
          </w:p>
        </w:tc>
        <w:tc>
          <w:tcPr>
            <w:tcW w:w="922" w:type="pct"/>
            <w:vAlign w:val="center"/>
          </w:tcPr>
          <w:p w14:paraId="0EBE2DDB">
            <w:pPr>
              <w:jc w:val="center"/>
              <w:rPr>
                <w:szCs w:val="21"/>
              </w:rPr>
            </w:pPr>
            <w:r>
              <w:rPr>
                <w:szCs w:val="21"/>
              </w:rPr>
              <w:t>0.272</w:t>
            </w:r>
          </w:p>
        </w:tc>
      </w:tr>
      <w:tr w14:paraId="0D7ECE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614" w:type="pct"/>
            <w:vMerge w:val="continue"/>
            <w:shd w:val="clear" w:color="auto" w:fill="auto"/>
            <w:vAlign w:val="center"/>
          </w:tcPr>
          <w:p w14:paraId="4A6CAA9B">
            <w:pPr>
              <w:widowControl/>
              <w:spacing w:line="240" w:lineRule="exact"/>
              <w:jc w:val="center"/>
              <w:rPr>
                <w:rFonts w:eastAsia="仿宋_GB2312"/>
                <w:kern w:val="0"/>
                <w:szCs w:val="21"/>
                <w:highlight w:val="yellow"/>
              </w:rPr>
            </w:pPr>
          </w:p>
        </w:tc>
        <w:tc>
          <w:tcPr>
            <w:tcW w:w="1450" w:type="pct"/>
            <w:shd w:val="clear" w:color="auto" w:fill="auto"/>
            <w:tcMar>
              <w:top w:w="15" w:type="dxa"/>
              <w:left w:w="15" w:type="dxa"/>
              <w:bottom w:w="0" w:type="dxa"/>
              <w:right w:w="15" w:type="dxa"/>
            </w:tcMar>
            <w:vAlign w:val="center"/>
          </w:tcPr>
          <w:p w14:paraId="45D9CB95">
            <w:pPr>
              <w:widowControl/>
              <w:spacing w:line="240" w:lineRule="exact"/>
              <w:jc w:val="center"/>
              <w:rPr>
                <w:rFonts w:eastAsia="仿宋_GB2312"/>
                <w:kern w:val="0"/>
                <w:szCs w:val="21"/>
              </w:rPr>
            </w:pPr>
            <w:r>
              <w:rPr>
                <w:rFonts w:eastAsia="仿宋_GB2312"/>
                <w:kern w:val="0"/>
                <w:szCs w:val="21"/>
              </w:rPr>
              <w:t>Sn+Sb+Cu+Mn+Ni</w:t>
            </w:r>
          </w:p>
        </w:tc>
        <w:tc>
          <w:tcPr>
            <w:tcW w:w="1086" w:type="pct"/>
            <w:shd w:val="clear" w:color="auto" w:fill="auto"/>
            <w:noWrap/>
            <w:tcMar>
              <w:top w:w="15" w:type="dxa"/>
              <w:left w:w="15" w:type="dxa"/>
              <w:bottom w:w="0" w:type="dxa"/>
              <w:right w:w="15" w:type="dxa"/>
            </w:tcMar>
            <w:vAlign w:val="center"/>
          </w:tcPr>
          <w:p w14:paraId="4F63F3B6">
            <w:pPr>
              <w:jc w:val="center"/>
              <w:rPr>
                <w:szCs w:val="21"/>
              </w:rPr>
            </w:pPr>
            <w:r>
              <w:rPr>
                <w:rFonts w:hint="eastAsia"/>
                <w:szCs w:val="21"/>
              </w:rPr>
              <w:t>1.037</w:t>
            </w:r>
          </w:p>
        </w:tc>
        <w:tc>
          <w:tcPr>
            <w:tcW w:w="926" w:type="pct"/>
            <w:vAlign w:val="center"/>
          </w:tcPr>
          <w:p w14:paraId="48896C20">
            <w:pPr>
              <w:jc w:val="center"/>
              <w:rPr>
                <w:szCs w:val="21"/>
              </w:rPr>
            </w:pPr>
            <w:r>
              <w:rPr>
                <w:rFonts w:hint="eastAsia"/>
                <w:szCs w:val="21"/>
              </w:rPr>
              <w:t>/</w:t>
            </w:r>
          </w:p>
        </w:tc>
        <w:tc>
          <w:tcPr>
            <w:tcW w:w="922" w:type="pct"/>
            <w:vAlign w:val="center"/>
          </w:tcPr>
          <w:p w14:paraId="5B05EDC0">
            <w:pPr>
              <w:jc w:val="center"/>
              <w:rPr>
                <w:szCs w:val="21"/>
              </w:rPr>
            </w:pPr>
            <w:r>
              <w:rPr>
                <w:szCs w:val="21"/>
              </w:rPr>
              <w:t>1.037</w:t>
            </w:r>
          </w:p>
        </w:tc>
      </w:tr>
      <w:tr w14:paraId="028A2C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614" w:type="pct"/>
            <w:vMerge w:val="restart"/>
            <w:shd w:val="clear" w:color="auto" w:fill="auto"/>
            <w:tcMar>
              <w:top w:w="15" w:type="dxa"/>
              <w:left w:w="15" w:type="dxa"/>
              <w:bottom w:w="0" w:type="dxa"/>
              <w:right w:w="15" w:type="dxa"/>
            </w:tcMar>
            <w:vAlign w:val="center"/>
          </w:tcPr>
          <w:p w14:paraId="54CC4460">
            <w:pPr>
              <w:widowControl/>
              <w:spacing w:line="240" w:lineRule="exact"/>
              <w:jc w:val="center"/>
              <w:rPr>
                <w:rFonts w:eastAsia="仿宋_GB2312"/>
                <w:kern w:val="0"/>
                <w:szCs w:val="21"/>
                <w:highlight w:val="yellow"/>
              </w:rPr>
            </w:pPr>
            <w:r>
              <w:rPr>
                <w:rFonts w:eastAsia="仿宋_GB2312"/>
                <w:kern w:val="0"/>
                <w:szCs w:val="21"/>
              </w:rPr>
              <w:t>无组织废气</w:t>
            </w:r>
          </w:p>
        </w:tc>
        <w:tc>
          <w:tcPr>
            <w:tcW w:w="1450" w:type="pct"/>
            <w:shd w:val="clear" w:color="auto" w:fill="auto"/>
            <w:tcMar>
              <w:top w:w="15" w:type="dxa"/>
              <w:left w:w="15" w:type="dxa"/>
              <w:bottom w:w="0" w:type="dxa"/>
              <w:right w:w="15" w:type="dxa"/>
            </w:tcMar>
            <w:vAlign w:val="center"/>
          </w:tcPr>
          <w:p w14:paraId="3B67FC2E">
            <w:pPr>
              <w:widowControl/>
              <w:spacing w:line="240" w:lineRule="exact"/>
              <w:jc w:val="center"/>
              <w:rPr>
                <w:rFonts w:eastAsia="仿宋_GB2312"/>
                <w:kern w:val="0"/>
                <w:szCs w:val="21"/>
                <w:highlight w:val="yellow"/>
              </w:rPr>
            </w:pPr>
            <w:r>
              <w:rPr>
                <w:rFonts w:eastAsia="仿宋_GB2312"/>
                <w:kern w:val="0"/>
                <w:szCs w:val="21"/>
              </w:rPr>
              <w:t>颗粒物（烟粉尘）</w:t>
            </w:r>
          </w:p>
        </w:tc>
        <w:tc>
          <w:tcPr>
            <w:tcW w:w="1086" w:type="pct"/>
            <w:shd w:val="clear" w:color="auto" w:fill="auto"/>
            <w:noWrap/>
            <w:tcMar>
              <w:top w:w="15" w:type="dxa"/>
              <w:left w:w="15" w:type="dxa"/>
              <w:bottom w:w="0" w:type="dxa"/>
              <w:right w:w="15" w:type="dxa"/>
            </w:tcMar>
            <w:vAlign w:val="center"/>
          </w:tcPr>
          <w:p w14:paraId="1F423A5E">
            <w:pPr>
              <w:jc w:val="center"/>
              <w:rPr>
                <w:szCs w:val="21"/>
              </w:rPr>
            </w:pPr>
            <w:r>
              <w:rPr>
                <w:rFonts w:hint="eastAsia"/>
                <w:szCs w:val="21"/>
              </w:rPr>
              <w:t>1.3</w:t>
            </w:r>
          </w:p>
        </w:tc>
        <w:tc>
          <w:tcPr>
            <w:tcW w:w="926" w:type="pct"/>
            <w:shd w:val="clear" w:color="auto" w:fill="auto"/>
            <w:vAlign w:val="center"/>
          </w:tcPr>
          <w:p w14:paraId="4AC5F0D4">
            <w:pPr>
              <w:widowControl/>
              <w:spacing w:line="240" w:lineRule="exact"/>
              <w:jc w:val="center"/>
              <w:rPr>
                <w:rFonts w:eastAsia="仿宋_GB2312"/>
                <w:kern w:val="0"/>
                <w:szCs w:val="21"/>
              </w:rPr>
            </w:pPr>
            <w:r>
              <w:rPr>
                <w:rFonts w:eastAsia="仿宋_GB2312"/>
                <w:kern w:val="0"/>
                <w:szCs w:val="21"/>
              </w:rPr>
              <w:t>0.06</w:t>
            </w:r>
          </w:p>
        </w:tc>
        <w:tc>
          <w:tcPr>
            <w:tcW w:w="922" w:type="pct"/>
            <w:vAlign w:val="center"/>
          </w:tcPr>
          <w:p w14:paraId="26B4D633">
            <w:pPr>
              <w:jc w:val="center"/>
              <w:rPr>
                <w:b/>
                <w:szCs w:val="21"/>
                <w:highlight w:val="yellow"/>
              </w:rPr>
            </w:pPr>
            <w:r>
              <w:rPr>
                <w:szCs w:val="21"/>
              </w:rPr>
              <w:t>1.36</w:t>
            </w:r>
          </w:p>
        </w:tc>
      </w:tr>
      <w:tr w14:paraId="09DB29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614" w:type="pct"/>
            <w:vMerge w:val="continue"/>
            <w:shd w:val="clear" w:color="auto" w:fill="auto"/>
            <w:vAlign w:val="center"/>
          </w:tcPr>
          <w:p w14:paraId="09DC2F1D">
            <w:pPr>
              <w:widowControl/>
              <w:spacing w:line="240" w:lineRule="exact"/>
              <w:jc w:val="center"/>
              <w:rPr>
                <w:rFonts w:eastAsia="仿宋_GB2312"/>
                <w:kern w:val="0"/>
                <w:szCs w:val="21"/>
                <w:highlight w:val="yellow"/>
              </w:rPr>
            </w:pPr>
          </w:p>
        </w:tc>
        <w:tc>
          <w:tcPr>
            <w:tcW w:w="1450" w:type="pct"/>
            <w:shd w:val="clear" w:color="auto" w:fill="auto"/>
            <w:tcMar>
              <w:top w:w="15" w:type="dxa"/>
              <w:left w:w="15" w:type="dxa"/>
              <w:bottom w:w="0" w:type="dxa"/>
              <w:right w:w="15" w:type="dxa"/>
            </w:tcMar>
            <w:vAlign w:val="center"/>
          </w:tcPr>
          <w:p w14:paraId="5F0811C0">
            <w:pPr>
              <w:widowControl/>
              <w:spacing w:line="240" w:lineRule="exact"/>
              <w:jc w:val="center"/>
              <w:rPr>
                <w:rFonts w:eastAsia="仿宋_GB2312"/>
                <w:kern w:val="0"/>
                <w:szCs w:val="21"/>
                <w:highlight w:val="yellow"/>
              </w:rPr>
            </w:pPr>
            <w:r>
              <w:rPr>
                <w:rFonts w:eastAsia="仿宋_GB2312"/>
                <w:kern w:val="0"/>
                <w:szCs w:val="21"/>
              </w:rPr>
              <w:t>HCl</w:t>
            </w:r>
          </w:p>
        </w:tc>
        <w:tc>
          <w:tcPr>
            <w:tcW w:w="1086" w:type="pct"/>
            <w:shd w:val="clear" w:color="auto" w:fill="auto"/>
            <w:noWrap/>
            <w:tcMar>
              <w:top w:w="15" w:type="dxa"/>
              <w:left w:w="15" w:type="dxa"/>
              <w:bottom w:w="0" w:type="dxa"/>
              <w:right w:w="15" w:type="dxa"/>
            </w:tcMar>
            <w:vAlign w:val="center"/>
          </w:tcPr>
          <w:p w14:paraId="539DD5A5">
            <w:pPr>
              <w:jc w:val="center"/>
              <w:rPr>
                <w:szCs w:val="21"/>
              </w:rPr>
            </w:pPr>
            <w:r>
              <w:rPr>
                <w:rFonts w:hint="eastAsia"/>
                <w:szCs w:val="21"/>
              </w:rPr>
              <w:t>/</w:t>
            </w:r>
          </w:p>
        </w:tc>
        <w:tc>
          <w:tcPr>
            <w:tcW w:w="926" w:type="pct"/>
            <w:shd w:val="clear" w:color="auto" w:fill="auto"/>
            <w:vAlign w:val="center"/>
          </w:tcPr>
          <w:p w14:paraId="691A02DD">
            <w:pPr>
              <w:widowControl/>
              <w:spacing w:line="240" w:lineRule="exact"/>
              <w:jc w:val="center"/>
              <w:rPr>
                <w:rFonts w:eastAsia="仿宋_GB2312"/>
                <w:kern w:val="0"/>
                <w:szCs w:val="21"/>
              </w:rPr>
            </w:pPr>
            <w:r>
              <w:rPr>
                <w:rFonts w:eastAsia="仿宋_GB2312"/>
                <w:kern w:val="0"/>
                <w:szCs w:val="21"/>
              </w:rPr>
              <w:t>0.2</w:t>
            </w:r>
          </w:p>
        </w:tc>
        <w:tc>
          <w:tcPr>
            <w:tcW w:w="922" w:type="pct"/>
            <w:vAlign w:val="center"/>
          </w:tcPr>
          <w:p w14:paraId="25ECD604">
            <w:pPr>
              <w:jc w:val="center"/>
              <w:rPr>
                <w:b/>
                <w:szCs w:val="21"/>
                <w:highlight w:val="yellow"/>
              </w:rPr>
            </w:pPr>
            <w:r>
              <w:rPr>
                <w:szCs w:val="21"/>
              </w:rPr>
              <w:t>0.2</w:t>
            </w:r>
          </w:p>
        </w:tc>
      </w:tr>
      <w:tr w14:paraId="00340C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614" w:type="pct"/>
            <w:vMerge w:val="continue"/>
            <w:shd w:val="clear" w:color="auto" w:fill="auto"/>
            <w:vAlign w:val="center"/>
          </w:tcPr>
          <w:p w14:paraId="37CE29A1">
            <w:pPr>
              <w:widowControl/>
              <w:spacing w:line="240" w:lineRule="exact"/>
              <w:jc w:val="center"/>
              <w:rPr>
                <w:rFonts w:eastAsia="仿宋_GB2312"/>
                <w:kern w:val="0"/>
                <w:szCs w:val="21"/>
                <w:highlight w:val="yellow"/>
              </w:rPr>
            </w:pPr>
          </w:p>
        </w:tc>
        <w:tc>
          <w:tcPr>
            <w:tcW w:w="1450" w:type="pct"/>
            <w:shd w:val="clear" w:color="auto" w:fill="auto"/>
            <w:tcMar>
              <w:top w:w="15" w:type="dxa"/>
              <w:left w:w="15" w:type="dxa"/>
              <w:bottom w:w="0" w:type="dxa"/>
              <w:right w:w="15" w:type="dxa"/>
            </w:tcMar>
            <w:vAlign w:val="center"/>
          </w:tcPr>
          <w:p w14:paraId="7B1FC759">
            <w:pPr>
              <w:widowControl/>
              <w:spacing w:line="240" w:lineRule="exact"/>
              <w:jc w:val="center"/>
              <w:rPr>
                <w:rFonts w:eastAsia="仿宋_GB2312"/>
                <w:kern w:val="0"/>
                <w:szCs w:val="21"/>
                <w:highlight w:val="yellow"/>
              </w:rPr>
            </w:pPr>
            <w:r>
              <w:rPr>
                <w:rFonts w:eastAsia="仿宋_GB2312"/>
                <w:kern w:val="0"/>
                <w:szCs w:val="21"/>
              </w:rPr>
              <w:t>硝酸雾</w:t>
            </w:r>
          </w:p>
        </w:tc>
        <w:tc>
          <w:tcPr>
            <w:tcW w:w="1086" w:type="pct"/>
            <w:shd w:val="clear" w:color="auto" w:fill="auto"/>
            <w:noWrap/>
            <w:tcMar>
              <w:top w:w="15" w:type="dxa"/>
              <w:left w:w="15" w:type="dxa"/>
              <w:bottom w:w="0" w:type="dxa"/>
              <w:right w:w="15" w:type="dxa"/>
            </w:tcMar>
            <w:vAlign w:val="center"/>
          </w:tcPr>
          <w:p w14:paraId="0D2F9493">
            <w:pPr>
              <w:jc w:val="center"/>
              <w:rPr>
                <w:szCs w:val="21"/>
              </w:rPr>
            </w:pPr>
            <w:r>
              <w:rPr>
                <w:rFonts w:hint="eastAsia"/>
                <w:szCs w:val="21"/>
              </w:rPr>
              <w:t>/</w:t>
            </w:r>
          </w:p>
        </w:tc>
        <w:tc>
          <w:tcPr>
            <w:tcW w:w="926" w:type="pct"/>
            <w:shd w:val="clear" w:color="auto" w:fill="auto"/>
            <w:vAlign w:val="center"/>
          </w:tcPr>
          <w:p w14:paraId="75638CF6">
            <w:pPr>
              <w:widowControl/>
              <w:spacing w:line="240" w:lineRule="exact"/>
              <w:jc w:val="center"/>
              <w:rPr>
                <w:rFonts w:eastAsia="仿宋_GB2312"/>
                <w:kern w:val="0"/>
                <w:szCs w:val="21"/>
              </w:rPr>
            </w:pPr>
            <w:r>
              <w:rPr>
                <w:rFonts w:eastAsia="仿宋_GB2312"/>
                <w:kern w:val="0"/>
                <w:szCs w:val="21"/>
              </w:rPr>
              <w:t>0.63</w:t>
            </w:r>
          </w:p>
        </w:tc>
        <w:tc>
          <w:tcPr>
            <w:tcW w:w="922" w:type="pct"/>
            <w:vAlign w:val="center"/>
          </w:tcPr>
          <w:p w14:paraId="0723B71A">
            <w:pPr>
              <w:jc w:val="center"/>
              <w:rPr>
                <w:b/>
                <w:szCs w:val="21"/>
                <w:highlight w:val="yellow"/>
              </w:rPr>
            </w:pPr>
            <w:r>
              <w:rPr>
                <w:szCs w:val="21"/>
              </w:rPr>
              <w:t>0.63</w:t>
            </w:r>
          </w:p>
        </w:tc>
      </w:tr>
      <w:tr w14:paraId="6382D1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614" w:type="pct"/>
            <w:vMerge w:val="continue"/>
            <w:shd w:val="clear" w:color="auto" w:fill="auto"/>
            <w:vAlign w:val="center"/>
          </w:tcPr>
          <w:p w14:paraId="67C223DB">
            <w:pPr>
              <w:widowControl/>
              <w:spacing w:line="240" w:lineRule="exact"/>
              <w:jc w:val="center"/>
              <w:rPr>
                <w:rFonts w:eastAsia="仿宋_GB2312"/>
                <w:kern w:val="0"/>
                <w:szCs w:val="21"/>
                <w:highlight w:val="yellow"/>
              </w:rPr>
            </w:pPr>
          </w:p>
        </w:tc>
        <w:tc>
          <w:tcPr>
            <w:tcW w:w="1450" w:type="pct"/>
            <w:shd w:val="clear" w:color="auto" w:fill="auto"/>
            <w:tcMar>
              <w:top w:w="15" w:type="dxa"/>
              <w:left w:w="15" w:type="dxa"/>
              <w:bottom w:w="0" w:type="dxa"/>
              <w:right w:w="15" w:type="dxa"/>
            </w:tcMar>
            <w:vAlign w:val="center"/>
          </w:tcPr>
          <w:p w14:paraId="1DE6688C">
            <w:pPr>
              <w:widowControl/>
              <w:spacing w:line="240" w:lineRule="exact"/>
              <w:jc w:val="center"/>
              <w:rPr>
                <w:rFonts w:eastAsia="仿宋_GB2312"/>
                <w:kern w:val="0"/>
                <w:szCs w:val="21"/>
                <w:highlight w:val="yellow"/>
              </w:rPr>
            </w:pPr>
            <w:r>
              <w:rPr>
                <w:rFonts w:eastAsia="仿宋_GB2312"/>
                <w:kern w:val="0"/>
                <w:szCs w:val="21"/>
              </w:rPr>
              <w:t>氰化氢</w:t>
            </w:r>
          </w:p>
        </w:tc>
        <w:tc>
          <w:tcPr>
            <w:tcW w:w="1086" w:type="pct"/>
            <w:shd w:val="clear" w:color="auto" w:fill="auto"/>
            <w:noWrap/>
            <w:tcMar>
              <w:top w:w="15" w:type="dxa"/>
              <w:left w:w="15" w:type="dxa"/>
              <w:bottom w:w="0" w:type="dxa"/>
              <w:right w:w="15" w:type="dxa"/>
            </w:tcMar>
            <w:vAlign w:val="center"/>
          </w:tcPr>
          <w:p w14:paraId="2B457882">
            <w:pPr>
              <w:jc w:val="center"/>
              <w:rPr>
                <w:szCs w:val="21"/>
              </w:rPr>
            </w:pPr>
            <w:r>
              <w:rPr>
                <w:rFonts w:hint="eastAsia"/>
                <w:szCs w:val="21"/>
              </w:rPr>
              <w:t>/</w:t>
            </w:r>
          </w:p>
        </w:tc>
        <w:tc>
          <w:tcPr>
            <w:tcW w:w="926" w:type="pct"/>
            <w:shd w:val="clear" w:color="auto" w:fill="auto"/>
            <w:vAlign w:val="center"/>
          </w:tcPr>
          <w:p w14:paraId="232CEF2A">
            <w:pPr>
              <w:widowControl/>
              <w:spacing w:line="240" w:lineRule="exact"/>
              <w:jc w:val="center"/>
              <w:rPr>
                <w:rFonts w:eastAsia="仿宋_GB2312"/>
                <w:kern w:val="0"/>
                <w:szCs w:val="21"/>
              </w:rPr>
            </w:pPr>
            <w:r>
              <w:rPr>
                <w:rFonts w:eastAsia="仿宋_GB2312"/>
                <w:kern w:val="0"/>
                <w:szCs w:val="21"/>
              </w:rPr>
              <w:t>0.05</w:t>
            </w:r>
          </w:p>
        </w:tc>
        <w:tc>
          <w:tcPr>
            <w:tcW w:w="922" w:type="pct"/>
            <w:vAlign w:val="center"/>
          </w:tcPr>
          <w:p w14:paraId="0DDFF33B">
            <w:pPr>
              <w:jc w:val="center"/>
              <w:rPr>
                <w:b/>
                <w:szCs w:val="21"/>
                <w:highlight w:val="yellow"/>
              </w:rPr>
            </w:pPr>
            <w:r>
              <w:rPr>
                <w:szCs w:val="21"/>
              </w:rPr>
              <w:t>0.05</w:t>
            </w:r>
          </w:p>
        </w:tc>
      </w:tr>
      <w:tr w14:paraId="196456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614" w:type="pct"/>
            <w:vMerge w:val="continue"/>
            <w:shd w:val="clear" w:color="auto" w:fill="auto"/>
            <w:vAlign w:val="center"/>
          </w:tcPr>
          <w:p w14:paraId="2C9EEA9C">
            <w:pPr>
              <w:widowControl/>
              <w:spacing w:line="240" w:lineRule="exact"/>
              <w:jc w:val="center"/>
              <w:rPr>
                <w:rFonts w:eastAsia="仿宋_GB2312"/>
                <w:kern w:val="0"/>
                <w:szCs w:val="21"/>
                <w:highlight w:val="yellow"/>
              </w:rPr>
            </w:pPr>
          </w:p>
        </w:tc>
        <w:tc>
          <w:tcPr>
            <w:tcW w:w="1450" w:type="pct"/>
            <w:shd w:val="clear" w:color="auto" w:fill="auto"/>
            <w:tcMar>
              <w:top w:w="15" w:type="dxa"/>
              <w:left w:w="15" w:type="dxa"/>
              <w:bottom w:w="0" w:type="dxa"/>
              <w:right w:w="15" w:type="dxa"/>
            </w:tcMar>
            <w:vAlign w:val="center"/>
          </w:tcPr>
          <w:p w14:paraId="679B3EE8">
            <w:pPr>
              <w:widowControl/>
              <w:spacing w:line="240" w:lineRule="exact"/>
              <w:jc w:val="center"/>
              <w:rPr>
                <w:rFonts w:eastAsia="仿宋_GB2312"/>
                <w:kern w:val="0"/>
                <w:szCs w:val="21"/>
                <w:highlight w:val="yellow"/>
              </w:rPr>
            </w:pPr>
            <w:r>
              <w:rPr>
                <w:rFonts w:eastAsia="仿宋_GB2312"/>
                <w:kern w:val="0"/>
                <w:szCs w:val="21"/>
              </w:rPr>
              <w:t>铬酸雾</w:t>
            </w:r>
          </w:p>
        </w:tc>
        <w:tc>
          <w:tcPr>
            <w:tcW w:w="1086" w:type="pct"/>
            <w:shd w:val="clear" w:color="auto" w:fill="auto"/>
            <w:noWrap/>
            <w:tcMar>
              <w:top w:w="15" w:type="dxa"/>
              <w:left w:w="15" w:type="dxa"/>
              <w:bottom w:w="0" w:type="dxa"/>
              <w:right w:w="15" w:type="dxa"/>
            </w:tcMar>
            <w:vAlign w:val="center"/>
          </w:tcPr>
          <w:p w14:paraId="49C93B1F">
            <w:pPr>
              <w:jc w:val="center"/>
              <w:rPr>
                <w:szCs w:val="21"/>
              </w:rPr>
            </w:pPr>
            <w:r>
              <w:rPr>
                <w:rFonts w:hint="eastAsia"/>
                <w:szCs w:val="21"/>
              </w:rPr>
              <w:t>/</w:t>
            </w:r>
          </w:p>
        </w:tc>
        <w:tc>
          <w:tcPr>
            <w:tcW w:w="926" w:type="pct"/>
            <w:shd w:val="clear" w:color="auto" w:fill="auto"/>
            <w:vAlign w:val="center"/>
          </w:tcPr>
          <w:p w14:paraId="47EE033B">
            <w:pPr>
              <w:widowControl/>
              <w:spacing w:line="240" w:lineRule="exact"/>
              <w:jc w:val="center"/>
              <w:rPr>
                <w:rFonts w:eastAsia="仿宋_GB2312"/>
                <w:kern w:val="0"/>
                <w:szCs w:val="21"/>
              </w:rPr>
            </w:pPr>
            <w:r>
              <w:rPr>
                <w:rFonts w:eastAsia="仿宋_GB2312"/>
                <w:kern w:val="0"/>
                <w:szCs w:val="21"/>
              </w:rPr>
              <w:t>0.0034</w:t>
            </w:r>
          </w:p>
        </w:tc>
        <w:tc>
          <w:tcPr>
            <w:tcW w:w="922" w:type="pct"/>
            <w:vAlign w:val="center"/>
          </w:tcPr>
          <w:p w14:paraId="10FEC8A7">
            <w:pPr>
              <w:jc w:val="center"/>
              <w:rPr>
                <w:b/>
                <w:szCs w:val="21"/>
                <w:highlight w:val="yellow"/>
              </w:rPr>
            </w:pPr>
            <w:r>
              <w:rPr>
                <w:szCs w:val="21"/>
              </w:rPr>
              <w:t>0.0034</w:t>
            </w:r>
          </w:p>
        </w:tc>
      </w:tr>
      <w:tr w14:paraId="2EF295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614" w:type="pct"/>
            <w:vMerge w:val="continue"/>
            <w:shd w:val="clear" w:color="auto" w:fill="auto"/>
            <w:vAlign w:val="center"/>
          </w:tcPr>
          <w:p w14:paraId="39558B4A">
            <w:pPr>
              <w:widowControl/>
              <w:spacing w:line="240" w:lineRule="exact"/>
              <w:jc w:val="center"/>
              <w:rPr>
                <w:rFonts w:eastAsia="仿宋_GB2312"/>
                <w:kern w:val="0"/>
                <w:szCs w:val="21"/>
                <w:highlight w:val="yellow"/>
              </w:rPr>
            </w:pPr>
          </w:p>
        </w:tc>
        <w:tc>
          <w:tcPr>
            <w:tcW w:w="1450" w:type="pct"/>
            <w:shd w:val="clear" w:color="auto" w:fill="auto"/>
            <w:tcMar>
              <w:top w:w="15" w:type="dxa"/>
              <w:left w:w="15" w:type="dxa"/>
              <w:bottom w:w="0" w:type="dxa"/>
              <w:right w:w="15" w:type="dxa"/>
            </w:tcMar>
            <w:vAlign w:val="center"/>
          </w:tcPr>
          <w:p w14:paraId="21CD65FC">
            <w:pPr>
              <w:widowControl/>
              <w:spacing w:line="240" w:lineRule="exact"/>
              <w:jc w:val="center"/>
              <w:rPr>
                <w:rFonts w:eastAsia="仿宋_GB2312"/>
                <w:kern w:val="0"/>
                <w:szCs w:val="21"/>
                <w:highlight w:val="yellow"/>
              </w:rPr>
            </w:pPr>
            <w:r>
              <w:rPr>
                <w:rFonts w:eastAsia="仿宋_GB2312"/>
                <w:kern w:val="0"/>
                <w:szCs w:val="21"/>
              </w:rPr>
              <w:t>甲醛</w:t>
            </w:r>
          </w:p>
        </w:tc>
        <w:tc>
          <w:tcPr>
            <w:tcW w:w="1086" w:type="pct"/>
            <w:shd w:val="clear" w:color="auto" w:fill="auto"/>
            <w:noWrap/>
            <w:tcMar>
              <w:top w:w="15" w:type="dxa"/>
              <w:left w:w="15" w:type="dxa"/>
              <w:bottom w:w="0" w:type="dxa"/>
              <w:right w:w="15" w:type="dxa"/>
            </w:tcMar>
            <w:vAlign w:val="center"/>
          </w:tcPr>
          <w:p w14:paraId="5FCE2EB1">
            <w:pPr>
              <w:jc w:val="center"/>
              <w:rPr>
                <w:szCs w:val="21"/>
              </w:rPr>
            </w:pPr>
            <w:r>
              <w:rPr>
                <w:rFonts w:hint="eastAsia"/>
                <w:szCs w:val="21"/>
              </w:rPr>
              <w:t>/</w:t>
            </w:r>
          </w:p>
        </w:tc>
        <w:tc>
          <w:tcPr>
            <w:tcW w:w="926" w:type="pct"/>
            <w:shd w:val="clear" w:color="auto" w:fill="auto"/>
            <w:vAlign w:val="center"/>
          </w:tcPr>
          <w:p w14:paraId="03E21458">
            <w:pPr>
              <w:widowControl/>
              <w:spacing w:line="240" w:lineRule="exact"/>
              <w:jc w:val="center"/>
              <w:rPr>
                <w:rFonts w:eastAsia="仿宋_GB2312"/>
                <w:kern w:val="0"/>
                <w:szCs w:val="21"/>
              </w:rPr>
            </w:pPr>
            <w:r>
              <w:rPr>
                <w:rFonts w:eastAsia="仿宋_GB2312"/>
                <w:kern w:val="0"/>
                <w:szCs w:val="21"/>
              </w:rPr>
              <w:t>0.02</w:t>
            </w:r>
          </w:p>
        </w:tc>
        <w:tc>
          <w:tcPr>
            <w:tcW w:w="922" w:type="pct"/>
            <w:vAlign w:val="center"/>
          </w:tcPr>
          <w:p w14:paraId="133337DB">
            <w:pPr>
              <w:jc w:val="center"/>
              <w:rPr>
                <w:b/>
                <w:szCs w:val="21"/>
                <w:highlight w:val="yellow"/>
              </w:rPr>
            </w:pPr>
            <w:r>
              <w:rPr>
                <w:szCs w:val="21"/>
              </w:rPr>
              <w:t>0.02</w:t>
            </w:r>
          </w:p>
        </w:tc>
      </w:tr>
      <w:tr w14:paraId="67B785E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614" w:type="pct"/>
            <w:vMerge w:val="continue"/>
            <w:shd w:val="clear" w:color="auto" w:fill="auto"/>
            <w:vAlign w:val="center"/>
          </w:tcPr>
          <w:p w14:paraId="2B684570">
            <w:pPr>
              <w:widowControl/>
              <w:spacing w:line="240" w:lineRule="exact"/>
              <w:jc w:val="center"/>
              <w:rPr>
                <w:rFonts w:eastAsia="仿宋_GB2312"/>
                <w:kern w:val="0"/>
                <w:szCs w:val="21"/>
                <w:highlight w:val="yellow"/>
              </w:rPr>
            </w:pPr>
          </w:p>
        </w:tc>
        <w:tc>
          <w:tcPr>
            <w:tcW w:w="1450" w:type="pct"/>
            <w:shd w:val="clear" w:color="auto" w:fill="auto"/>
            <w:tcMar>
              <w:top w:w="15" w:type="dxa"/>
              <w:left w:w="15" w:type="dxa"/>
              <w:bottom w:w="0" w:type="dxa"/>
              <w:right w:w="15" w:type="dxa"/>
            </w:tcMar>
            <w:vAlign w:val="center"/>
          </w:tcPr>
          <w:p w14:paraId="5A3CAD3B">
            <w:pPr>
              <w:widowControl/>
              <w:spacing w:line="240" w:lineRule="exact"/>
              <w:jc w:val="center"/>
              <w:rPr>
                <w:rFonts w:eastAsia="仿宋_GB2312"/>
                <w:kern w:val="0"/>
                <w:szCs w:val="21"/>
                <w:highlight w:val="yellow"/>
              </w:rPr>
            </w:pPr>
            <w:r>
              <w:rPr>
                <w:rFonts w:eastAsia="仿宋_GB2312"/>
                <w:kern w:val="0"/>
                <w:szCs w:val="21"/>
              </w:rPr>
              <w:t>二丙酮醇</w:t>
            </w:r>
          </w:p>
        </w:tc>
        <w:tc>
          <w:tcPr>
            <w:tcW w:w="1086" w:type="pct"/>
            <w:shd w:val="clear" w:color="auto" w:fill="auto"/>
            <w:noWrap/>
            <w:tcMar>
              <w:top w:w="15" w:type="dxa"/>
              <w:left w:w="15" w:type="dxa"/>
              <w:bottom w:w="0" w:type="dxa"/>
              <w:right w:w="15" w:type="dxa"/>
            </w:tcMar>
            <w:vAlign w:val="center"/>
          </w:tcPr>
          <w:p w14:paraId="64CE9E94">
            <w:pPr>
              <w:jc w:val="center"/>
              <w:rPr>
                <w:szCs w:val="21"/>
              </w:rPr>
            </w:pPr>
            <w:r>
              <w:rPr>
                <w:rFonts w:hint="eastAsia"/>
                <w:szCs w:val="21"/>
              </w:rPr>
              <w:t>0.00231</w:t>
            </w:r>
          </w:p>
        </w:tc>
        <w:tc>
          <w:tcPr>
            <w:tcW w:w="926" w:type="pct"/>
            <w:vAlign w:val="center"/>
          </w:tcPr>
          <w:p w14:paraId="65A66E0D">
            <w:pPr>
              <w:jc w:val="center"/>
              <w:rPr>
                <w:szCs w:val="21"/>
              </w:rPr>
            </w:pPr>
            <w:r>
              <w:rPr>
                <w:rFonts w:hint="eastAsia"/>
                <w:szCs w:val="21"/>
              </w:rPr>
              <w:t>/</w:t>
            </w:r>
          </w:p>
        </w:tc>
        <w:tc>
          <w:tcPr>
            <w:tcW w:w="922" w:type="pct"/>
            <w:vAlign w:val="center"/>
          </w:tcPr>
          <w:p w14:paraId="3CD8E434">
            <w:pPr>
              <w:jc w:val="center"/>
              <w:rPr>
                <w:b/>
                <w:szCs w:val="21"/>
                <w:highlight w:val="yellow"/>
              </w:rPr>
            </w:pPr>
            <w:r>
              <w:rPr>
                <w:szCs w:val="21"/>
              </w:rPr>
              <w:t>0.00231</w:t>
            </w:r>
          </w:p>
        </w:tc>
      </w:tr>
      <w:tr w14:paraId="3A40DD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614" w:type="pct"/>
            <w:vMerge w:val="continue"/>
            <w:shd w:val="clear" w:color="auto" w:fill="auto"/>
            <w:vAlign w:val="center"/>
          </w:tcPr>
          <w:p w14:paraId="069958D9">
            <w:pPr>
              <w:widowControl/>
              <w:spacing w:line="240" w:lineRule="exact"/>
              <w:jc w:val="center"/>
              <w:rPr>
                <w:rFonts w:eastAsia="仿宋_GB2312"/>
                <w:kern w:val="0"/>
                <w:szCs w:val="21"/>
                <w:highlight w:val="yellow"/>
              </w:rPr>
            </w:pPr>
          </w:p>
        </w:tc>
        <w:tc>
          <w:tcPr>
            <w:tcW w:w="1450" w:type="pct"/>
            <w:shd w:val="clear" w:color="auto" w:fill="auto"/>
            <w:tcMar>
              <w:top w:w="15" w:type="dxa"/>
              <w:left w:w="15" w:type="dxa"/>
              <w:bottom w:w="0" w:type="dxa"/>
              <w:right w:w="15" w:type="dxa"/>
            </w:tcMar>
            <w:vAlign w:val="center"/>
          </w:tcPr>
          <w:p w14:paraId="43F23374">
            <w:pPr>
              <w:widowControl/>
              <w:spacing w:line="240" w:lineRule="exact"/>
              <w:jc w:val="center"/>
              <w:rPr>
                <w:rFonts w:eastAsia="仿宋_GB2312"/>
                <w:kern w:val="0"/>
                <w:szCs w:val="21"/>
                <w:highlight w:val="yellow"/>
              </w:rPr>
            </w:pPr>
            <w:r>
              <w:rPr>
                <w:rFonts w:eastAsia="仿宋_GB2312"/>
                <w:kern w:val="0"/>
                <w:szCs w:val="21"/>
              </w:rPr>
              <w:t>丙酮</w:t>
            </w:r>
          </w:p>
        </w:tc>
        <w:tc>
          <w:tcPr>
            <w:tcW w:w="1086" w:type="pct"/>
            <w:shd w:val="clear" w:color="auto" w:fill="auto"/>
            <w:noWrap/>
            <w:tcMar>
              <w:top w:w="15" w:type="dxa"/>
              <w:left w:w="15" w:type="dxa"/>
              <w:bottom w:w="0" w:type="dxa"/>
              <w:right w:w="15" w:type="dxa"/>
            </w:tcMar>
            <w:vAlign w:val="center"/>
          </w:tcPr>
          <w:p w14:paraId="3DACD2F1">
            <w:pPr>
              <w:jc w:val="center"/>
              <w:rPr>
                <w:szCs w:val="21"/>
              </w:rPr>
            </w:pPr>
            <w:r>
              <w:rPr>
                <w:rFonts w:hint="eastAsia"/>
                <w:szCs w:val="21"/>
              </w:rPr>
              <w:t>0.05709</w:t>
            </w:r>
          </w:p>
        </w:tc>
        <w:tc>
          <w:tcPr>
            <w:tcW w:w="926" w:type="pct"/>
            <w:vAlign w:val="center"/>
          </w:tcPr>
          <w:p w14:paraId="2A252D50">
            <w:pPr>
              <w:jc w:val="center"/>
              <w:rPr>
                <w:szCs w:val="21"/>
              </w:rPr>
            </w:pPr>
            <w:r>
              <w:rPr>
                <w:rFonts w:hint="eastAsia"/>
                <w:szCs w:val="21"/>
              </w:rPr>
              <w:t>/</w:t>
            </w:r>
          </w:p>
        </w:tc>
        <w:tc>
          <w:tcPr>
            <w:tcW w:w="922" w:type="pct"/>
            <w:vAlign w:val="center"/>
          </w:tcPr>
          <w:p w14:paraId="6F480DA8">
            <w:pPr>
              <w:jc w:val="center"/>
              <w:rPr>
                <w:b/>
                <w:szCs w:val="21"/>
                <w:highlight w:val="yellow"/>
              </w:rPr>
            </w:pPr>
            <w:r>
              <w:rPr>
                <w:szCs w:val="21"/>
              </w:rPr>
              <w:t>0.05709</w:t>
            </w:r>
          </w:p>
        </w:tc>
      </w:tr>
      <w:tr w14:paraId="7D8EF5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614" w:type="pct"/>
            <w:vMerge w:val="continue"/>
            <w:shd w:val="clear" w:color="auto" w:fill="auto"/>
            <w:vAlign w:val="center"/>
          </w:tcPr>
          <w:p w14:paraId="6585AC49">
            <w:pPr>
              <w:widowControl/>
              <w:spacing w:line="240" w:lineRule="exact"/>
              <w:jc w:val="center"/>
              <w:rPr>
                <w:rFonts w:eastAsia="仿宋_GB2312"/>
                <w:kern w:val="0"/>
                <w:szCs w:val="21"/>
                <w:highlight w:val="yellow"/>
              </w:rPr>
            </w:pPr>
          </w:p>
        </w:tc>
        <w:tc>
          <w:tcPr>
            <w:tcW w:w="1450" w:type="pct"/>
            <w:shd w:val="clear" w:color="auto" w:fill="auto"/>
            <w:tcMar>
              <w:top w:w="15" w:type="dxa"/>
              <w:left w:w="15" w:type="dxa"/>
              <w:bottom w:w="0" w:type="dxa"/>
              <w:right w:w="15" w:type="dxa"/>
            </w:tcMar>
            <w:vAlign w:val="center"/>
          </w:tcPr>
          <w:p w14:paraId="542F5651">
            <w:pPr>
              <w:widowControl/>
              <w:spacing w:line="240" w:lineRule="exact"/>
              <w:jc w:val="center"/>
              <w:rPr>
                <w:rFonts w:eastAsia="仿宋_GB2312"/>
                <w:kern w:val="0"/>
                <w:szCs w:val="21"/>
                <w:highlight w:val="yellow"/>
              </w:rPr>
            </w:pPr>
            <w:r>
              <w:rPr>
                <w:rFonts w:eastAsia="仿宋_GB2312"/>
                <w:kern w:val="0"/>
                <w:szCs w:val="21"/>
              </w:rPr>
              <w:t>N-甲基吡咯烷酮</w:t>
            </w:r>
          </w:p>
        </w:tc>
        <w:tc>
          <w:tcPr>
            <w:tcW w:w="1086" w:type="pct"/>
            <w:shd w:val="clear" w:color="auto" w:fill="auto"/>
            <w:noWrap/>
            <w:tcMar>
              <w:top w:w="15" w:type="dxa"/>
              <w:left w:w="15" w:type="dxa"/>
              <w:bottom w:w="0" w:type="dxa"/>
              <w:right w:w="15" w:type="dxa"/>
            </w:tcMar>
            <w:vAlign w:val="center"/>
          </w:tcPr>
          <w:p w14:paraId="370F4D8C">
            <w:pPr>
              <w:jc w:val="center"/>
              <w:rPr>
                <w:szCs w:val="21"/>
              </w:rPr>
            </w:pPr>
            <w:r>
              <w:rPr>
                <w:rFonts w:hint="eastAsia"/>
                <w:szCs w:val="21"/>
              </w:rPr>
              <w:t>0.13746</w:t>
            </w:r>
          </w:p>
        </w:tc>
        <w:tc>
          <w:tcPr>
            <w:tcW w:w="926" w:type="pct"/>
            <w:vAlign w:val="center"/>
          </w:tcPr>
          <w:p w14:paraId="611ED1D1">
            <w:pPr>
              <w:jc w:val="center"/>
              <w:rPr>
                <w:szCs w:val="21"/>
              </w:rPr>
            </w:pPr>
            <w:r>
              <w:rPr>
                <w:rFonts w:hint="eastAsia"/>
                <w:szCs w:val="21"/>
              </w:rPr>
              <w:t>/</w:t>
            </w:r>
          </w:p>
        </w:tc>
        <w:tc>
          <w:tcPr>
            <w:tcW w:w="922" w:type="pct"/>
            <w:vAlign w:val="center"/>
          </w:tcPr>
          <w:p w14:paraId="76643695">
            <w:pPr>
              <w:jc w:val="center"/>
              <w:rPr>
                <w:b/>
                <w:szCs w:val="21"/>
                <w:highlight w:val="yellow"/>
              </w:rPr>
            </w:pPr>
            <w:r>
              <w:rPr>
                <w:szCs w:val="21"/>
              </w:rPr>
              <w:t>0.1</w:t>
            </w:r>
            <w:r>
              <w:rPr>
                <w:rFonts w:hint="eastAsia"/>
                <w:szCs w:val="21"/>
              </w:rPr>
              <w:t>3746</w:t>
            </w:r>
          </w:p>
        </w:tc>
      </w:tr>
      <w:tr w14:paraId="7616B0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614" w:type="pct"/>
            <w:vMerge w:val="continue"/>
            <w:shd w:val="clear" w:color="auto" w:fill="auto"/>
            <w:vAlign w:val="center"/>
          </w:tcPr>
          <w:p w14:paraId="7069533F">
            <w:pPr>
              <w:widowControl/>
              <w:spacing w:line="240" w:lineRule="exact"/>
              <w:jc w:val="center"/>
              <w:rPr>
                <w:rFonts w:eastAsia="仿宋_GB2312"/>
                <w:kern w:val="0"/>
                <w:szCs w:val="21"/>
                <w:highlight w:val="yellow"/>
              </w:rPr>
            </w:pPr>
          </w:p>
        </w:tc>
        <w:tc>
          <w:tcPr>
            <w:tcW w:w="1450" w:type="pct"/>
            <w:shd w:val="clear" w:color="auto" w:fill="auto"/>
            <w:tcMar>
              <w:top w:w="15" w:type="dxa"/>
              <w:left w:w="15" w:type="dxa"/>
              <w:bottom w:w="0" w:type="dxa"/>
              <w:right w:w="15" w:type="dxa"/>
            </w:tcMar>
            <w:vAlign w:val="center"/>
          </w:tcPr>
          <w:p w14:paraId="13AB8835">
            <w:pPr>
              <w:widowControl/>
              <w:spacing w:line="240" w:lineRule="exact"/>
              <w:jc w:val="center"/>
              <w:rPr>
                <w:rFonts w:eastAsia="仿宋_GB2312"/>
                <w:kern w:val="0"/>
                <w:szCs w:val="21"/>
                <w:highlight w:val="yellow"/>
              </w:rPr>
            </w:pPr>
            <w:r>
              <w:rPr>
                <w:rFonts w:eastAsia="仿宋_GB2312"/>
                <w:kern w:val="0"/>
                <w:szCs w:val="21"/>
              </w:rPr>
              <w:t>异丙醇</w:t>
            </w:r>
          </w:p>
        </w:tc>
        <w:tc>
          <w:tcPr>
            <w:tcW w:w="1086" w:type="pct"/>
            <w:shd w:val="clear" w:color="auto" w:fill="auto"/>
            <w:noWrap/>
            <w:tcMar>
              <w:top w:w="15" w:type="dxa"/>
              <w:left w:w="15" w:type="dxa"/>
              <w:bottom w:w="0" w:type="dxa"/>
              <w:right w:w="15" w:type="dxa"/>
            </w:tcMar>
            <w:vAlign w:val="center"/>
          </w:tcPr>
          <w:p w14:paraId="36951785">
            <w:pPr>
              <w:jc w:val="center"/>
              <w:rPr>
                <w:szCs w:val="21"/>
              </w:rPr>
            </w:pPr>
            <w:r>
              <w:rPr>
                <w:rFonts w:hint="eastAsia"/>
                <w:szCs w:val="21"/>
              </w:rPr>
              <w:t>0.34809</w:t>
            </w:r>
          </w:p>
        </w:tc>
        <w:tc>
          <w:tcPr>
            <w:tcW w:w="926" w:type="pct"/>
            <w:vAlign w:val="center"/>
          </w:tcPr>
          <w:p w14:paraId="10B420FC">
            <w:pPr>
              <w:widowControl/>
              <w:spacing w:line="240" w:lineRule="exact"/>
              <w:jc w:val="center"/>
              <w:rPr>
                <w:rFonts w:eastAsia="仿宋_GB2312"/>
                <w:kern w:val="0"/>
                <w:szCs w:val="21"/>
              </w:rPr>
            </w:pPr>
            <w:r>
              <w:rPr>
                <w:rFonts w:hint="eastAsia" w:eastAsia="仿宋_GB2312"/>
                <w:kern w:val="0"/>
                <w:szCs w:val="21"/>
              </w:rPr>
              <w:t>1</w:t>
            </w:r>
          </w:p>
        </w:tc>
        <w:tc>
          <w:tcPr>
            <w:tcW w:w="922" w:type="pct"/>
            <w:vAlign w:val="center"/>
          </w:tcPr>
          <w:p w14:paraId="69622AF4">
            <w:pPr>
              <w:jc w:val="center"/>
              <w:rPr>
                <w:b/>
                <w:szCs w:val="21"/>
                <w:highlight w:val="yellow"/>
              </w:rPr>
            </w:pPr>
            <w:r>
              <w:rPr>
                <w:szCs w:val="21"/>
              </w:rPr>
              <w:t>1.</w:t>
            </w:r>
            <w:r>
              <w:rPr>
                <w:rFonts w:hint="eastAsia"/>
                <w:szCs w:val="21"/>
              </w:rPr>
              <w:t>34809</w:t>
            </w:r>
          </w:p>
        </w:tc>
      </w:tr>
      <w:tr w14:paraId="42044FA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614" w:type="pct"/>
            <w:vMerge w:val="continue"/>
            <w:shd w:val="clear" w:color="auto" w:fill="auto"/>
            <w:vAlign w:val="center"/>
          </w:tcPr>
          <w:p w14:paraId="5F7C1580">
            <w:pPr>
              <w:widowControl/>
              <w:spacing w:line="240" w:lineRule="exact"/>
              <w:jc w:val="center"/>
              <w:rPr>
                <w:rFonts w:eastAsia="仿宋_GB2312"/>
                <w:kern w:val="0"/>
                <w:szCs w:val="21"/>
                <w:highlight w:val="yellow"/>
              </w:rPr>
            </w:pPr>
          </w:p>
        </w:tc>
        <w:tc>
          <w:tcPr>
            <w:tcW w:w="1450" w:type="pct"/>
            <w:shd w:val="clear" w:color="auto" w:fill="auto"/>
            <w:tcMar>
              <w:top w:w="15" w:type="dxa"/>
              <w:left w:w="15" w:type="dxa"/>
              <w:bottom w:w="0" w:type="dxa"/>
              <w:right w:w="15" w:type="dxa"/>
            </w:tcMar>
            <w:vAlign w:val="center"/>
          </w:tcPr>
          <w:p w14:paraId="3651B4BB">
            <w:pPr>
              <w:widowControl/>
              <w:spacing w:line="240" w:lineRule="exact"/>
              <w:jc w:val="center"/>
              <w:rPr>
                <w:rFonts w:eastAsia="仿宋_GB2312"/>
                <w:kern w:val="0"/>
                <w:szCs w:val="21"/>
                <w:highlight w:val="yellow"/>
              </w:rPr>
            </w:pPr>
            <w:r>
              <w:rPr>
                <w:rFonts w:eastAsia="仿宋_GB2312"/>
                <w:kern w:val="0"/>
                <w:szCs w:val="21"/>
              </w:rPr>
              <w:t>四氢呋喃</w:t>
            </w:r>
          </w:p>
        </w:tc>
        <w:tc>
          <w:tcPr>
            <w:tcW w:w="1086" w:type="pct"/>
            <w:shd w:val="clear" w:color="auto" w:fill="auto"/>
            <w:noWrap/>
            <w:tcMar>
              <w:top w:w="15" w:type="dxa"/>
              <w:left w:w="15" w:type="dxa"/>
              <w:bottom w:w="0" w:type="dxa"/>
              <w:right w:w="15" w:type="dxa"/>
            </w:tcMar>
            <w:vAlign w:val="center"/>
          </w:tcPr>
          <w:p w14:paraId="778F2C9E">
            <w:pPr>
              <w:jc w:val="center"/>
              <w:rPr>
                <w:szCs w:val="21"/>
              </w:rPr>
            </w:pPr>
            <w:r>
              <w:rPr>
                <w:rFonts w:hint="eastAsia"/>
                <w:szCs w:val="21"/>
              </w:rPr>
              <w:t>0.07685</w:t>
            </w:r>
          </w:p>
        </w:tc>
        <w:tc>
          <w:tcPr>
            <w:tcW w:w="926" w:type="pct"/>
            <w:vAlign w:val="center"/>
          </w:tcPr>
          <w:p w14:paraId="4AAF9C90">
            <w:pPr>
              <w:widowControl/>
              <w:spacing w:line="240" w:lineRule="exact"/>
              <w:jc w:val="center"/>
              <w:rPr>
                <w:rFonts w:eastAsia="仿宋_GB2312"/>
                <w:kern w:val="0"/>
                <w:szCs w:val="21"/>
              </w:rPr>
            </w:pPr>
            <w:r>
              <w:rPr>
                <w:rFonts w:hint="eastAsia" w:eastAsia="仿宋_GB2312"/>
                <w:kern w:val="0"/>
                <w:szCs w:val="21"/>
              </w:rPr>
              <w:t>/</w:t>
            </w:r>
          </w:p>
        </w:tc>
        <w:tc>
          <w:tcPr>
            <w:tcW w:w="922" w:type="pct"/>
            <w:vAlign w:val="center"/>
          </w:tcPr>
          <w:p w14:paraId="4E162132">
            <w:pPr>
              <w:jc w:val="center"/>
              <w:rPr>
                <w:b/>
                <w:szCs w:val="21"/>
                <w:highlight w:val="yellow"/>
              </w:rPr>
            </w:pPr>
            <w:r>
              <w:rPr>
                <w:szCs w:val="21"/>
              </w:rPr>
              <w:t>0.07685</w:t>
            </w:r>
          </w:p>
        </w:tc>
      </w:tr>
      <w:tr w14:paraId="7613DA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614" w:type="pct"/>
            <w:vMerge w:val="continue"/>
            <w:shd w:val="clear" w:color="auto" w:fill="auto"/>
            <w:vAlign w:val="center"/>
          </w:tcPr>
          <w:p w14:paraId="3A71C238">
            <w:pPr>
              <w:widowControl/>
              <w:spacing w:line="240" w:lineRule="exact"/>
              <w:jc w:val="center"/>
              <w:rPr>
                <w:rFonts w:eastAsia="仿宋_GB2312"/>
                <w:kern w:val="0"/>
                <w:szCs w:val="21"/>
                <w:highlight w:val="yellow"/>
              </w:rPr>
            </w:pPr>
          </w:p>
        </w:tc>
        <w:tc>
          <w:tcPr>
            <w:tcW w:w="1450" w:type="pct"/>
            <w:shd w:val="clear" w:color="auto" w:fill="auto"/>
            <w:tcMar>
              <w:top w:w="15" w:type="dxa"/>
              <w:left w:w="15" w:type="dxa"/>
              <w:bottom w:w="0" w:type="dxa"/>
              <w:right w:w="15" w:type="dxa"/>
            </w:tcMar>
            <w:vAlign w:val="center"/>
          </w:tcPr>
          <w:p w14:paraId="3934A96C">
            <w:pPr>
              <w:widowControl/>
              <w:spacing w:line="240" w:lineRule="exact"/>
              <w:jc w:val="center"/>
              <w:rPr>
                <w:rFonts w:eastAsia="仿宋_GB2312"/>
                <w:kern w:val="0"/>
                <w:szCs w:val="21"/>
                <w:highlight w:val="yellow"/>
              </w:rPr>
            </w:pPr>
            <w:r>
              <w:rPr>
                <w:rFonts w:eastAsia="仿宋_GB2312"/>
                <w:kern w:val="0"/>
                <w:szCs w:val="21"/>
              </w:rPr>
              <w:t>丁酮</w:t>
            </w:r>
          </w:p>
        </w:tc>
        <w:tc>
          <w:tcPr>
            <w:tcW w:w="1086" w:type="pct"/>
            <w:shd w:val="clear" w:color="auto" w:fill="auto"/>
            <w:noWrap/>
            <w:tcMar>
              <w:top w:w="15" w:type="dxa"/>
              <w:left w:w="15" w:type="dxa"/>
              <w:bottom w:w="0" w:type="dxa"/>
              <w:right w:w="15" w:type="dxa"/>
            </w:tcMar>
            <w:vAlign w:val="center"/>
          </w:tcPr>
          <w:p w14:paraId="34546E39">
            <w:pPr>
              <w:jc w:val="center"/>
              <w:rPr>
                <w:szCs w:val="21"/>
              </w:rPr>
            </w:pPr>
            <w:r>
              <w:rPr>
                <w:rFonts w:hint="eastAsia"/>
                <w:szCs w:val="21"/>
              </w:rPr>
              <w:t>0.02885</w:t>
            </w:r>
          </w:p>
        </w:tc>
        <w:tc>
          <w:tcPr>
            <w:tcW w:w="926" w:type="pct"/>
            <w:vAlign w:val="center"/>
          </w:tcPr>
          <w:p w14:paraId="26156051">
            <w:pPr>
              <w:widowControl/>
              <w:spacing w:line="240" w:lineRule="exact"/>
              <w:jc w:val="center"/>
              <w:rPr>
                <w:rFonts w:eastAsia="仿宋_GB2312"/>
                <w:kern w:val="0"/>
                <w:szCs w:val="21"/>
              </w:rPr>
            </w:pPr>
            <w:r>
              <w:rPr>
                <w:rFonts w:hint="eastAsia" w:eastAsia="仿宋_GB2312"/>
                <w:kern w:val="0"/>
                <w:szCs w:val="21"/>
              </w:rPr>
              <w:t>/</w:t>
            </w:r>
          </w:p>
        </w:tc>
        <w:tc>
          <w:tcPr>
            <w:tcW w:w="922" w:type="pct"/>
            <w:vAlign w:val="center"/>
          </w:tcPr>
          <w:p w14:paraId="1D1CD493">
            <w:pPr>
              <w:jc w:val="center"/>
              <w:rPr>
                <w:b/>
                <w:szCs w:val="21"/>
                <w:highlight w:val="yellow"/>
              </w:rPr>
            </w:pPr>
            <w:r>
              <w:rPr>
                <w:szCs w:val="21"/>
              </w:rPr>
              <w:t>0.</w:t>
            </w:r>
            <w:r>
              <w:rPr>
                <w:rFonts w:hint="eastAsia"/>
                <w:szCs w:val="21"/>
              </w:rPr>
              <w:t>02885</w:t>
            </w:r>
          </w:p>
        </w:tc>
      </w:tr>
      <w:tr w14:paraId="32691C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614" w:type="pct"/>
            <w:vMerge w:val="continue"/>
            <w:shd w:val="clear" w:color="auto" w:fill="auto"/>
            <w:vAlign w:val="center"/>
          </w:tcPr>
          <w:p w14:paraId="72AD7FF2">
            <w:pPr>
              <w:widowControl/>
              <w:spacing w:line="240" w:lineRule="exact"/>
              <w:jc w:val="center"/>
              <w:rPr>
                <w:rFonts w:eastAsia="仿宋_GB2312"/>
                <w:kern w:val="0"/>
                <w:szCs w:val="21"/>
                <w:highlight w:val="yellow"/>
              </w:rPr>
            </w:pPr>
          </w:p>
        </w:tc>
        <w:tc>
          <w:tcPr>
            <w:tcW w:w="1450" w:type="pct"/>
            <w:shd w:val="clear" w:color="auto" w:fill="auto"/>
            <w:tcMar>
              <w:top w:w="15" w:type="dxa"/>
              <w:left w:w="15" w:type="dxa"/>
              <w:bottom w:w="0" w:type="dxa"/>
              <w:right w:w="15" w:type="dxa"/>
            </w:tcMar>
            <w:vAlign w:val="center"/>
          </w:tcPr>
          <w:p w14:paraId="0512567C">
            <w:pPr>
              <w:widowControl/>
              <w:spacing w:line="240" w:lineRule="exact"/>
              <w:jc w:val="center"/>
              <w:rPr>
                <w:rFonts w:eastAsia="仿宋_GB2312"/>
                <w:kern w:val="0"/>
                <w:szCs w:val="21"/>
                <w:highlight w:val="yellow"/>
              </w:rPr>
            </w:pPr>
            <w:r>
              <w:rPr>
                <w:rFonts w:eastAsia="仿宋_GB2312"/>
                <w:kern w:val="0"/>
                <w:szCs w:val="21"/>
              </w:rPr>
              <w:t>丙二醇单甲醚</w:t>
            </w:r>
          </w:p>
        </w:tc>
        <w:tc>
          <w:tcPr>
            <w:tcW w:w="1086" w:type="pct"/>
            <w:shd w:val="clear" w:color="auto" w:fill="auto"/>
            <w:noWrap/>
            <w:tcMar>
              <w:top w:w="15" w:type="dxa"/>
              <w:left w:w="15" w:type="dxa"/>
              <w:bottom w:w="0" w:type="dxa"/>
              <w:right w:w="15" w:type="dxa"/>
            </w:tcMar>
            <w:vAlign w:val="center"/>
          </w:tcPr>
          <w:p w14:paraId="2B8C985B">
            <w:pPr>
              <w:jc w:val="center"/>
              <w:rPr>
                <w:szCs w:val="21"/>
              </w:rPr>
            </w:pPr>
            <w:r>
              <w:rPr>
                <w:rFonts w:hint="eastAsia"/>
                <w:szCs w:val="21"/>
              </w:rPr>
              <w:t>0.061455</w:t>
            </w:r>
          </w:p>
        </w:tc>
        <w:tc>
          <w:tcPr>
            <w:tcW w:w="926" w:type="pct"/>
            <w:vAlign w:val="center"/>
          </w:tcPr>
          <w:p w14:paraId="4BBDB592">
            <w:pPr>
              <w:widowControl/>
              <w:spacing w:line="240" w:lineRule="exact"/>
              <w:jc w:val="center"/>
              <w:rPr>
                <w:rFonts w:eastAsia="仿宋_GB2312"/>
                <w:kern w:val="0"/>
                <w:szCs w:val="21"/>
              </w:rPr>
            </w:pPr>
            <w:r>
              <w:rPr>
                <w:rFonts w:hint="eastAsia" w:eastAsia="仿宋_GB2312"/>
                <w:kern w:val="0"/>
                <w:szCs w:val="21"/>
              </w:rPr>
              <w:t>/</w:t>
            </w:r>
          </w:p>
        </w:tc>
        <w:tc>
          <w:tcPr>
            <w:tcW w:w="922" w:type="pct"/>
            <w:vAlign w:val="center"/>
          </w:tcPr>
          <w:p w14:paraId="47EB8C10">
            <w:pPr>
              <w:jc w:val="center"/>
              <w:rPr>
                <w:b/>
                <w:szCs w:val="21"/>
                <w:highlight w:val="yellow"/>
              </w:rPr>
            </w:pPr>
            <w:r>
              <w:rPr>
                <w:szCs w:val="21"/>
              </w:rPr>
              <w:t>0.0</w:t>
            </w:r>
            <w:r>
              <w:rPr>
                <w:rFonts w:hint="eastAsia"/>
                <w:szCs w:val="21"/>
              </w:rPr>
              <w:t>61455</w:t>
            </w:r>
          </w:p>
        </w:tc>
      </w:tr>
      <w:tr w14:paraId="3A35AD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614" w:type="pct"/>
            <w:vMerge w:val="continue"/>
            <w:shd w:val="clear" w:color="auto" w:fill="auto"/>
            <w:vAlign w:val="center"/>
          </w:tcPr>
          <w:p w14:paraId="057645EC">
            <w:pPr>
              <w:widowControl/>
              <w:spacing w:line="240" w:lineRule="exact"/>
              <w:jc w:val="center"/>
              <w:rPr>
                <w:rFonts w:eastAsia="仿宋_GB2312"/>
                <w:kern w:val="0"/>
                <w:szCs w:val="21"/>
                <w:highlight w:val="yellow"/>
              </w:rPr>
            </w:pPr>
          </w:p>
        </w:tc>
        <w:tc>
          <w:tcPr>
            <w:tcW w:w="1450" w:type="pct"/>
            <w:shd w:val="clear" w:color="auto" w:fill="auto"/>
            <w:tcMar>
              <w:top w:w="15" w:type="dxa"/>
              <w:left w:w="15" w:type="dxa"/>
              <w:bottom w:w="0" w:type="dxa"/>
              <w:right w:w="15" w:type="dxa"/>
            </w:tcMar>
            <w:vAlign w:val="center"/>
          </w:tcPr>
          <w:p w14:paraId="25651ACB">
            <w:pPr>
              <w:widowControl/>
              <w:spacing w:line="240" w:lineRule="exact"/>
              <w:jc w:val="center"/>
              <w:rPr>
                <w:rFonts w:eastAsia="仿宋_GB2312"/>
                <w:kern w:val="0"/>
                <w:szCs w:val="21"/>
                <w:highlight w:val="yellow"/>
              </w:rPr>
            </w:pPr>
            <w:r>
              <w:rPr>
                <w:rFonts w:eastAsia="仿宋_GB2312"/>
                <w:kern w:val="0"/>
                <w:szCs w:val="21"/>
              </w:rPr>
              <w:t>乙二醇</w:t>
            </w:r>
          </w:p>
        </w:tc>
        <w:tc>
          <w:tcPr>
            <w:tcW w:w="1086" w:type="pct"/>
            <w:shd w:val="clear" w:color="auto" w:fill="auto"/>
            <w:noWrap/>
            <w:tcMar>
              <w:top w:w="15" w:type="dxa"/>
              <w:left w:w="15" w:type="dxa"/>
              <w:bottom w:w="0" w:type="dxa"/>
              <w:right w:w="15" w:type="dxa"/>
            </w:tcMar>
            <w:vAlign w:val="center"/>
          </w:tcPr>
          <w:p w14:paraId="32C1B018">
            <w:pPr>
              <w:jc w:val="center"/>
              <w:rPr>
                <w:szCs w:val="21"/>
              </w:rPr>
            </w:pPr>
            <w:r>
              <w:rPr>
                <w:rFonts w:hint="eastAsia"/>
                <w:szCs w:val="21"/>
              </w:rPr>
              <w:t>1.19149</w:t>
            </w:r>
          </w:p>
        </w:tc>
        <w:tc>
          <w:tcPr>
            <w:tcW w:w="926" w:type="pct"/>
            <w:vAlign w:val="center"/>
          </w:tcPr>
          <w:p w14:paraId="4B8D5419">
            <w:pPr>
              <w:widowControl/>
              <w:spacing w:line="240" w:lineRule="exact"/>
              <w:jc w:val="center"/>
              <w:rPr>
                <w:rFonts w:eastAsia="仿宋_GB2312"/>
                <w:kern w:val="0"/>
                <w:szCs w:val="21"/>
              </w:rPr>
            </w:pPr>
            <w:r>
              <w:rPr>
                <w:rFonts w:hint="eastAsia" w:eastAsia="仿宋_GB2312"/>
                <w:kern w:val="0"/>
                <w:szCs w:val="21"/>
              </w:rPr>
              <w:t>0.00249</w:t>
            </w:r>
          </w:p>
        </w:tc>
        <w:tc>
          <w:tcPr>
            <w:tcW w:w="922" w:type="pct"/>
            <w:vAlign w:val="center"/>
          </w:tcPr>
          <w:p w14:paraId="07E01296">
            <w:pPr>
              <w:jc w:val="center"/>
              <w:rPr>
                <w:b/>
                <w:szCs w:val="21"/>
                <w:highlight w:val="yellow"/>
              </w:rPr>
            </w:pPr>
            <w:r>
              <w:rPr>
                <w:szCs w:val="21"/>
              </w:rPr>
              <w:t>1.19398</w:t>
            </w:r>
          </w:p>
        </w:tc>
      </w:tr>
      <w:tr w14:paraId="73CC29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614" w:type="pct"/>
            <w:vMerge w:val="continue"/>
            <w:shd w:val="clear" w:color="auto" w:fill="auto"/>
            <w:vAlign w:val="center"/>
          </w:tcPr>
          <w:p w14:paraId="38446943">
            <w:pPr>
              <w:widowControl/>
              <w:spacing w:line="240" w:lineRule="exact"/>
              <w:jc w:val="center"/>
              <w:rPr>
                <w:rFonts w:eastAsia="仿宋_GB2312"/>
                <w:kern w:val="0"/>
                <w:szCs w:val="21"/>
                <w:highlight w:val="yellow"/>
              </w:rPr>
            </w:pPr>
          </w:p>
        </w:tc>
        <w:tc>
          <w:tcPr>
            <w:tcW w:w="1450" w:type="pct"/>
            <w:shd w:val="clear" w:color="auto" w:fill="auto"/>
            <w:tcMar>
              <w:top w:w="15" w:type="dxa"/>
              <w:left w:w="15" w:type="dxa"/>
              <w:bottom w:w="0" w:type="dxa"/>
              <w:right w:w="15" w:type="dxa"/>
            </w:tcMar>
            <w:vAlign w:val="center"/>
          </w:tcPr>
          <w:p w14:paraId="3386F03B">
            <w:pPr>
              <w:widowControl/>
              <w:spacing w:line="240" w:lineRule="exact"/>
              <w:jc w:val="center"/>
              <w:rPr>
                <w:rFonts w:eastAsia="仿宋_GB2312"/>
                <w:kern w:val="0"/>
                <w:szCs w:val="21"/>
                <w:highlight w:val="yellow"/>
              </w:rPr>
            </w:pPr>
            <w:r>
              <w:rPr>
                <w:rFonts w:eastAsia="仿宋_GB2312"/>
                <w:kern w:val="0"/>
                <w:szCs w:val="21"/>
              </w:rPr>
              <w:t>二丁醚</w:t>
            </w:r>
          </w:p>
        </w:tc>
        <w:tc>
          <w:tcPr>
            <w:tcW w:w="1086" w:type="pct"/>
            <w:shd w:val="clear" w:color="auto" w:fill="auto"/>
            <w:noWrap/>
            <w:tcMar>
              <w:top w:w="15" w:type="dxa"/>
              <w:left w:w="15" w:type="dxa"/>
              <w:bottom w:w="0" w:type="dxa"/>
              <w:right w:w="15" w:type="dxa"/>
            </w:tcMar>
            <w:vAlign w:val="center"/>
          </w:tcPr>
          <w:p w14:paraId="5ABAC672">
            <w:pPr>
              <w:jc w:val="center"/>
              <w:rPr>
                <w:szCs w:val="21"/>
              </w:rPr>
            </w:pPr>
            <w:r>
              <w:rPr>
                <w:rFonts w:hint="eastAsia"/>
                <w:szCs w:val="21"/>
              </w:rPr>
              <w:t>0.0009</w:t>
            </w:r>
          </w:p>
        </w:tc>
        <w:tc>
          <w:tcPr>
            <w:tcW w:w="926" w:type="pct"/>
            <w:vAlign w:val="center"/>
          </w:tcPr>
          <w:p w14:paraId="4A5BFA66">
            <w:pPr>
              <w:widowControl/>
              <w:spacing w:line="240" w:lineRule="exact"/>
              <w:jc w:val="center"/>
              <w:rPr>
                <w:rFonts w:eastAsia="仿宋_GB2312"/>
                <w:kern w:val="0"/>
                <w:szCs w:val="21"/>
              </w:rPr>
            </w:pPr>
            <w:r>
              <w:rPr>
                <w:rFonts w:hint="eastAsia" w:eastAsia="仿宋_GB2312"/>
                <w:kern w:val="0"/>
                <w:szCs w:val="21"/>
              </w:rPr>
              <w:t>/</w:t>
            </w:r>
          </w:p>
        </w:tc>
        <w:tc>
          <w:tcPr>
            <w:tcW w:w="922" w:type="pct"/>
            <w:vAlign w:val="center"/>
          </w:tcPr>
          <w:p w14:paraId="45A205FA">
            <w:pPr>
              <w:jc w:val="center"/>
              <w:rPr>
                <w:b/>
                <w:szCs w:val="21"/>
                <w:highlight w:val="yellow"/>
              </w:rPr>
            </w:pPr>
            <w:r>
              <w:rPr>
                <w:szCs w:val="21"/>
              </w:rPr>
              <w:t>0.0009</w:t>
            </w:r>
          </w:p>
        </w:tc>
      </w:tr>
      <w:tr w14:paraId="0E2F19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614" w:type="pct"/>
            <w:vMerge w:val="continue"/>
            <w:shd w:val="clear" w:color="auto" w:fill="auto"/>
            <w:vAlign w:val="center"/>
          </w:tcPr>
          <w:p w14:paraId="7A5C34BE">
            <w:pPr>
              <w:widowControl/>
              <w:spacing w:line="240" w:lineRule="exact"/>
              <w:jc w:val="center"/>
              <w:rPr>
                <w:rFonts w:eastAsia="仿宋_GB2312"/>
                <w:kern w:val="0"/>
                <w:szCs w:val="21"/>
                <w:highlight w:val="yellow"/>
              </w:rPr>
            </w:pPr>
          </w:p>
        </w:tc>
        <w:tc>
          <w:tcPr>
            <w:tcW w:w="1450" w:type="pct"/>
            <w:shd w:val="clear" w:color="auto" w:fill="auto"/>
            <w:tcMar>
              <w:top w:w="15" w:type="dxa"/>
              <w:left w:w="15" w:type="dxa"/>
              <w:bottom w:w="0" w:type="dxa"/>
              <w:right w:w="15" w:type="dxa"/>
            </w:tcMar>
            <w:vAlign w:val="center"/>
          </w:tcPr>
          <w:p w14:paraId="3E605A61">
            <w:pPr>
              <w:widowControl/>
              <w:spacing w:line="240" w:lineRule="exact"/>
              <w:jc w:val="center"/>
              <w:rPr>
                <w:rFonts w:eastAsia="仿宋_GB2312"/>
                <w:kern w:val="0"/>
                <w:szCs w:val="21"/>
                <w:highlight w:val="yellow"/>
              </w:rPr>
            </w:pPr>
            <w:r>
              <w:rPr>
                <w:rFonts w:eastAsia="仿宋_GB2312"/>
                <w:kern w:val="0"/>
                <w:szCs w:val="21"/>
              </w:rPr>
              <w:t>甲醇</w:t>
            </w:r>
          </w:p>
        </w:tc>
        <w:tc>
          <w:tcPr>
            <w:tcW w:w="1086" w:type="pct"/>
            <w:shd w:val="clear" w:color="auto" w:fill="auto"/>
            <w:noWrap/>
            <w:tcMar>
              <w:top w:w="15" w:type="dxa"/>
              <w:left w:w="15" w:type="dxa"/>
              <w:bottom w:w="0" w:type="dxa"/>
              <w:right w:w="15" w:type="dxa"/>
            </w:tcMar>
            <w:vAlign w:val="center"/>
          </w:tcPr>
          <w:p w14:paraId="117810BC">
            <w:pPr>
              <w:jc w:val="center"/>
              <w:rPr>
                <w:szCs w:val="21"/>
              </w:rPr>
            </w:pPr>
            <w:r>
              <w:rPr>
                <w:rFonts w:hint="eastAsia"/>
                <w:szCs w:val="21"/>
              </w:rPr>
              <w:t>0.24006</w:t>
            </w:r>
          </w:p>
        </w:tc>
        <w:tc>
          <w:tcPr>
            <w:tcW w:w="926" w:type="pct"/>
            <w:vAlign w:val="center"/>
          </w:tcPr>
          <w:p w14:paraId="4626B970">
            <w:pPr>
              <w:widowControl/>
              <w:spacing w:line="240" w:lineRule="exact"/>
              <w:jc w:val="center"/>
              <w:rPr>
                <w:rFonts w:eastAsia="仿宋_GB2312"/>
                <w:kern w:val="0"/>
                <w:szCs w:val="21"/>
              </w:rPr>
            </w:pPr>
            <w:r>
              <w:rPr>
                <w:rFonts w:hint="eastAsia" w:eastAsia="仿宋_GB2312"/>
                <w:kern w:val="0"/>
                <w:szCs w:val="21"/>
              </w:rPr>
              <w:t>/</w:t>
            </w:r>
          </w:p>
        </w:tc>
        <w:tc>
          <w:tcPr>
            <w:tcW w:w="922" w:type="pct"/>
            <w:vAlign w:val="center"/>
          </w:tcPr>
          <w:p w14:paraId="56A4DFEB">
            <w:pPr>
              <w:jc w:val="center"/>
              <w:rPr>
                <w:b/>
                <w:szCs w:val="21"/>
                <w:highlight w:val="yellow"/>
              </w:rPr>
            </w:pPr>
            <w:r>
              <w:rPr>
                <w:szCs w:val="21"/>
              </w:rPr>
              <w:t>0.24006</w:t>
            </w:r>
          </w:p>
        </w:tc>
      </w:tr>
      <w:tr w14:paraId="0D59EB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614" w:type="pct"/>
            <w:vMerge w:val="continue"/>
            <w:shd w:val="clear" w:color="auto" w:fill="auto"/>
            <w:vAlign w:val="center"/>
          </w:tcPr>
          <w:p w14:paraId="3FE7C4A0">
            <w:pPr>
              <w:widowControl/>
              <w:spacing w:line="240" w:lineRule="exact"/>
              <w:jc w:val="center"/>
              <w:rPr>
                <w:rFonts w:eastAsia="仿宋_GB2312"/>
                <w:kern w:val="0"/>
                <w:szCs w:val="21"/>
                <w:highlight w:val="yellow"/>
              </w:rPr>
            </w:pPr>
          </w:p>
        </w:tc>
        <w:tc>
          <w:tcPr>
            <w:tcW w:w="1450" w:type="pct"/>
            <w:shd w:val="clear" w:color="auto" w:fill="auto"/>
            <w:tcMar>
              <w:top w:w="15" w:type="dxa"/>
              <w:left w:w="15" w:type="dxa"/>
              <w:bottom w:w="0" w:type="dxa"/>
              <w:right w:w="15" w:type="dxa"/>
            </w:tcMar>
            <w:vAlign w:val="center"/>
          </w:tcPr>
          <w:p w14:paraId="396EFFF3">
            <w:pPr>
              <w:widowControl/>
              <w:spacing w:line="240" w:lineRule="exact"/>
              <w:jc w:val="center"/>
              <w:rPr>
                <w:rFonts w:eastAsia="仿宋_GB2312"/>
                <w:kern w:val="0"/>
                <w:szCs w:val="21"/>
                <w:highlight w:val="yellow"/>
              </w:rPr>
            </w:pPr>
            <w:r>
              <w:rPr>
                <w:rFonts w:eastAsia="仿宋_GB2312"/>
                <w:kern w:val="0"/>
                <w:szCs w:val="21"/>
              </w:rPr>
              <w:t>硫酸雾</w:t>
            </w:r>
          </w:p>
        </w:tc>
        <w:tc>
          <w:tcPr>
            <w:tcW w:w="1086" w:type="pct"/>
            <w:shd w:val="clear" w:color="auto" w:fill="auto"/>
            <w:noWrap/>
            <w:tcMar>
              <w:top w:w="15" w:type="dxa"/>
              <w:left w:w="15" w:type="dxa"/>
              <w:bottom w:w="0" w:type="dxa"/>
              <w:right w:w="15" w:type="dxa"/>
            </w:tcMar>
            <w:vAlign w:val="center"/>
          </w:tcPr>
          <w:p w14:paraId="725DCE3D">
            <w:pPr>
              <w:jc w:val="center"/>
              <w:rPr>
                <w:szCs w:val="21"/>
              </w:rPr>
            </w:pPr>
            <w:r>
              <w:rPr>
                <w:rFonts w:hint="eastAsia"/>
                <w:szCs w:val="21"/>
              </w:rPr>
              <w:t>1.43119</w:t>
            </w:r>
          </w:p>
        </w:tc>
        <w:tc>
          <w:tcPr>
            <w:tcW w:w="926" w:type="pct"/>
            <w:vAlign w:val="center"/>
          </w:tcPr>
          <w:p w14:paraId="13BDE682">
            <w:pPr>
              <w:widowControl/>
              <w:spacing w:line="240" w:lineRule="exact"/>
              <w:jc w:val="center"/>
              <w:rPr>
                <w:rFonts w:eastAsia="仿宋_GB2312"/>
                <w:kern w:val="0"/>
                <w:szCs w:val="21"/>
              </w:rPr>
            </w:pPr>
            <w:r>
              <w:rPr>
                <w:rFonts w:hint="eastAsia" w:eastAsia="仿宋_GB2312"/>
                <w:kern w:val="0"/>
                <w:szCs w:val="21"/>
              </w:rPr>
              <w:t>/</w:t>
            </w:r>
          </w:p>
        </w:tc>
        <w:tc>
          <w:tcPr>
            <w:tcW w:w="922" w:type="pct"/>
            <w:vAlign w:val="center"/>
          </w:tcPr>
          <w:p w14:paraId="7740D5E0">
            <w:pPr>
              <w:jc w:val="center"/>
              <w:rPr>
                <w:b/>
                <w:szCs w:val="21"/>
                <w:highlight w:val="yellow"/>
              </w:rPr>
            </w:pPr>
            <w:r>
              <w:rPr>
                <w:szCs w:val="21"/>
              </w:rPr>
              <w:t>1.43119</w:t>
            </w:r>
          </w:p>
        </w:tc>
      </w:tr>
      <w:tr w14:paraId="5FDAB0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614" w:type="pct"/>
            <w:vMerge w:val="continue"/>
            <w:shd w:val="clear" w:color="auto" w:fill="auto"/>
            <w:vAlign w:val="center"/>
          </w:tcPr>
          <w:p w14:paraId="4DB0959D">
            <w:pPr>
              <w:widowControl/>
              <w:spacing w:line="240" w:lineRule="exact"/>
              <w:jc w:val="center"/>
              <w:rPr>
                <w:rFonts w:eastAsia="仿宋_GB2312"/>
                <w:kern w:val="0"/>
                <w:szCs w:val="21"/>
                <w:highlight w:val="yellow"/>
              </w:rPr>
            </w:pPr>
          </w:p>
        </w:tc>
        <w:tc>
          <w:tcPr>
            <w:tcW w:w="1450" w:type="pct"/>
            <w:shd w:val="clear" w:color="auto" w:fill="auto"/>
            <w:tcMar>
              <w:top w:w="15" w:type="dxa"/>
              <w:left w:w="15" w:type="dxa"/>
              <w:bottom w:w="0" w:type="dxa"/>
              <w:right w:w="15" w:type="dxa"/>
            </w:tcMar>
            <w:vAlign w:val="center"/>
          </w:tcPr>
          <w:p w14:paraId="0A688EFD">
            <w:pPr>
              <w:widowControl/>
              <w:spacing w:line="240" w:lineRule="exact"/>
              <w:jc w:val="center"/>
              <w:rPr>
                <w:rFonts w:eastAsia="仿宋_GB2312"/>
                <w:kern w:val="0"/>
                <w:szCs w:val="21"/>
                <w:highlight w:val="yellow"/>
              </w:rPr>
            </w:pPr>
            <w:r>
              <w:rPr>
                <w:rFonts w:eastAsia="仿宋_GB2312"/>
                <w:kern w:val="0"/>
                <w:szCs w:val="21"/>
              </w:rPr>
              <w:t>二氯甲烷</w:t>
            </w:r>
          </w:p>
        </w:tc>
        <w:tc>
          <w:tcPr>
            <w:tcW w:w="1086" w:type="pct"/>
            <w:shd w:val="clear" w:color="auto" w:fill="auto"/>
            <w:noWrap/>
            <w:tcMar>
              <w:top w:w="15" w:type="dxa"/>
              <w:left w:w="15" w:type="dxa"/>
              <w:bottom w:w="0" w:type="dxa"/>
              <w:right w:w="15" w:type="dxa"/>
            </w:tcMar>
            <w:vAlign w:val="center"/>
          </w:tcPr>
          <w:p w14:paraId="6842496A">
            <w:pPr>
              <w:jc w:val="center"/>
              <w:rPr>
                <w:szCs w:val="21"/>
              </w:rPr>
            </w:pPr>
            <w:r>
              <w:rPr>
                <w:rFonts w:hint="eastAsia"/>
                <w:szCs w:val="21"/>
              </w:rPr>
              <w:t>0.132</w:t>
            </w:r>
          </w:p>
        </w:tc>
        <w:tc>
          <w:tcPr>
            <w:tcW w:w="926" w:type="pct"/>
            <w:vAlign w:val="center"/>
          </w:tcPr>
          <w:p w14:paraId="5207489D">
            <w:pPr>
              <w:widowControl/>
              <w:spacing w:line="240" w:lineRule="exact"/>
              <w:jc w:val="center"/>
              <w:rPr>
                <w:rFonts w:eastAsia="仿宋_GB2312"/>
                <w:kern w:val="0"/>
                <w:szCs w:val="21"/>
              </w:rPr>
            </w:pPr>
            <w:r>
              <w:rPr>
                <w:rFonts w:hint="eastAsia" w:eastAsia="仿宋_GB2312"/>
                <w:kern w:val="0"/>
                <w:szCs w:val="21"/>
              </w:rPr>
              <w:t>/</w:t>
            </w:r>
          </w:p>
        </w:tc>
        <w:tc>
          <w:tcPr>
            <w:tcW w:w="922" w:type="pct"/>
            <w:vAlign w:val="center"/>
          </w:tcPr>
          <w:p w14:paraId="7C799875">
            <w:pPr>
              <w:jc w:val="center"/>
              <w:rPr>
                <w:b/>
                <w:szCs w:val="21"/>
                <w:highlight w:val="yellow"/>
              </w:rPr>
            </w:pPr>
            <w:r>
              <w:rPr>
                <w:szCs w:val="21"/>
              </w:rPr>
              <w:t>0.132</w:t>
            </w:r>
          </w:p>
        </w:tc>
      </w:tr>
      <w:tr w14:paraId="6EAE8D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614" w:type="pct"/>
            <w:vMerge w:val="continue"/>
            <w:shd w:val="clear" w:color="auto" w:fill="auto"/>
            <w:vAlign w:val="center"/>
          </w:tcPr>
          <w:p w14:paraId="63A46E28">
            <w:pPr>
              <w:widowControl/>
              <w:spacing w:line="240" w:lineRule="exact"/>
              <w:jc w:val="center"/>
              <w:rPr>
                <w:rFonts w:eastAsia="仿宋_GB2312"/>
                <w:kern w:val="0"/>
                <w:szCs w:val="21"/>
                <w:highlight w:val="yellow"/>
              </w:rPr>
            </w:pPr>
          </w:p>
        </w:tc>
        <w:tc>
          <w:tcPr>
            <w:tcW w:w="1450" w:type="pct"/>
            <w:shd w:val="clear" w:color="auto" w:fill="auto"/>
            <w:tcMar>
              <w:top w:w="15" w:type="dxa"/>
              <w:left w:w="15" w:type="dxa"/>
              <w:bottom w:w="0" w:type="dxa"/>
              <w:right w:w="15" w:type="dxa"/>
            </w:tcMar>
            <w:vAlign w:val="center"/>
          </w:tcPr>
          <w:p w14:paraId="3622D1E5">
            <w:pPr>
              <w:widowControl/>
              <w:spacing w:line="240" w:lineRule="exact"/>
              <w:jc w:val="center"/>
              <w:rPr>
                <w:rFonts w:eastAsia="仿宋_GB2312"/>
                <w:kern w:val="0"/>
                <w:szCs w:val="21"/>
                <w:highlight w:val="yellow"/>
              </w:rPr>
            </w:pPr>
            <w:r>
              <w:rPr>
                <w:rFonts w:eastAsia="仿宋_GB2312"/>
                <w:kern w:val="0"/>
                <w:szCs w:val="21"/>
              </w:rPr>
              <w:t>二氯乙烷</w:t>
            </w:r>
          </w:p>
        </w:tc>
        <w:tc>
          <w:tcPr>
            <w:tcW w:w="1086" w:type="pct"/>
            <w:shd w:val="clear" w:color="auto" w:fill="auto"/>
            <w:noWrap/>
            <w:tcMar>
              <w:top w:w="15" w:type="dxa"/>
              <w:left w:w="15" w:type="dxa"/>
              <w:bottom w:w="0" w:type="dxa"/>
              <w:right w:w="15" w:type="dxa"/>
            </w:tcMar>
            <w:vAlign w:val="center"/>
          </w:tcPr>
          <w:p w14:paraId="70DAFE1A">
            <w:pPr>
              <w:jc w:val="center"/>
              <w:rPr>
                <w:szCs w:val="21"/>
              </w:rPr>
            </w:pPr>
            <w:r>
              <w:rPr>
                <w:rFonts w:hint="eastAsia"/>
                <w:szCs w:val="21"/>
              </w:rPr>
              <w:t>0.09</w:t>
            </w:r>
          </w:p>
        </w:tc>
        <w:tc>
          <w:tcPr>
            <w:tcW w:w="926" w:type="pct"/>
            <w:vAlign w:val="center"/>
          </w:tcPr>
          <w:p w14:paraId="1C532954">
            <w:pPr>
              <w:widowControl/>
              <w:spacing w:line="240" w:lineRule="exact"/>
              <w:jc w:val="center"/>
              <w:rPr>
                <w:rFonts w:eastAsia="仿宋_GB2312"/>
                <w:kern w:val="0"/>
                <w:szCs w:val="21"/>
              </w:rPr>
            </w:pPr>
            <w:r>
              <w:rPr>
                <w:rFonts w:hint="eastAsia" w:eastAsia="仿宋_GB2312"/>
                <w:kern w:val="0"/>
                <w:szCs w:val="21"/>
              </w:rPr>
              <w:t>/</w:t>
            </w:r>
          </w:p>
        </w:tc>
        <w:tc>
          <w:tcPr>
            <w:tcW w:w="922" w:type="pct"/>
            <w:vAlign w:val="center"/>
          </w:tcPr>
          <w:p w14:paraId="3D6534FC">
            <w:pPr>
              <w:jc w:val="center"/>
              <w:rPr>
                <w:b/>
                <w:szCs w:val="21"/>
                <w:highlight w:val="yellow"/>
              </w:rPr>
            </w:pPr>
            <w:r>
              <w:rPr>
                <w:szCs w:val="21"/>
              </w:rPr>
              <w:t>0.09</w:t>
            </w:r>
          </w:p>
        </w:tc>
      </w:tr>
      <w:tr w14:paraId="45444B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614" w:type="pct"/>
            <w:vMerge w:val="continue"/>
            <w:shd w:val="clear" w:color="auto" w:fill="auto"/>
            <w:vAlign w:val="center"/>
          </w:tcPr>
          <w:p w14:paraId="397B0F8F">
            <w:pPr>
              <w:widowControl/>
              <w:spacing w:line="240" w:lineRule="exact"/>
              <w:jc w:val="center"/>
              <w:rPr>
                <w:rFonts w:eastAsia="仿宋_GB2312"/>
                <w:kern w:val="0"/>
                <w:szCs w:val="21"/>
                <w:highlight w:val="yellow"/>
              </w:rPr>
            </w:pPr>
          </w:p>
        </w:tc>
        <w:tc>
          <w:tcPr>
            <w:tcW w:w="1450" w:type="pct"/>
            <w:shd w:val="clear" w:color="auto" w:fill="auto"/>
            <w:tcMar>
              <w:top w:w="15" w:type="dxa"/>
              <w:left w:w="15" w:type="dxa"/>
              <w:bottom w:w="0" w:type="dxa"/>
              <w:right w:w="15" w:type="dxa"/>
            </w:tcMar>
            <w:vAlign w:val="center"/>
          </w:tcPr>
          <w:p w14:paraId="4110A6DC">
            <w:pPr>
              <w:widowControl/>
              <w:spacing w:line="240" w:lineRule="exact"/>
              <w:jc w:val="center"/>
              <w:rPr>
                <w:rFonts w:eastAsia="仿宋_GB2312"/>
                <w:kern w:val="0"/>
                <w:szCs w:val="21"/>
                <w:highlight w:val="yellow"/>
              </w:rPr>
            </w:pPr>
            <w:r>
              <w:rPr>
                <w:rFonts w:eastAsia="仿宋_GB2312"/>
                <w:kern w:val="0"/>
                <w:szCs w:val="21"/>
              </w:rPr>
              <w:t>乙醇</w:t>
            </w:r>
          </w:p>
        </w:tc>
        <w:tc>
          <w:tcPr>
            <w:tcW w:w="1086" w:type="pct"/>
            <w:shd w:val="clear" w:color="auto" w:fill="auto"/>
            <w:noWrap/>
            <w:tcMar>
              <w:top w:w="15" w:type="dxa"/>
              <w:left w:w="15" w:type="dxa"/>
              <w:bottom w:w="0" w:type="dxa"/>
              <w:right w:w="15" w:type="dxa"/>
            </w:tcMar>
            <w:vAlign w:val="center"/>
          </w:tcPr>
          <w:p w14:paraId="36DE0B75">
            <w:pPr>
              <w:jc w:val="center"/>
              <w:rPr>
                <w:szCs w:val="21"/>
              </w:rPr>
            </w:pPr>
            <w:r>
              <w:rPr>
                <w:rFonts w:hint="eastAsia"/>
                <w:szCs w:val="21"/>
              </w:rPr>
              <w:t>0.124</w:t>
            </w:r>
          </w:p>
        </w:tc>
        <w:tc>
          <w:tcPr>
            <w:tcW w:w="926" w:type="pct"/>
            <w:vAlign w:val="center"/>
          </w:tcPr>
          <w:p w14:paraId="7F6A508E">
            <w:pPr>
              <w:widowControl/>
              <w:spacing w:line="240" w:lineRule="exact"/>
              <w:jc w:val="center"/>
              <w:rPr>
                <w:rFonts w:eastAsia="仿宋_GB2312"/>
                <w:kern w:val="0"/>
                <w:szCs w:val="21"/>
              </w:rPr>
            </w:pPr>
            <w:r>
              <w:rPr>
                <w:rFonts w:hint="eastAsia" w:eastAsia="仿宋_GB2312"/>
                <w:kern w:val="0"/>
                <w:szCs w:val="21"/>
              </w:rPr>
              <w:t>/</w:t>
            </w:r>
          </w:p>
        </w:tc>
        <w:tc>
          <w:tcPr>
            <w:tcW w:w="922" w:type="pct"/>
            <w:vAlign w:val="center"/>
          </w:tcPr>
          <w:p w14:paraId="2CA15B9C">
            <w:pPr>
              <w:jc w:val="center"/>
              <w:rPr>
                <w:b/>
                <w:szCs w:val="21"/>
                <w:highlight w:val="yellow"/>
              </w:rPr>
            </w:pPr>
            <w:r>
              <w:rPr>
                <w:szCs w:val="21"/>
              </w:rPr>
              <w:t>0.</w:t>
            </w:r>
            <w:r>
              <w:rPr>
                <w:rFonts w:hint="eastAsia"/>
                <w:szCs w:val="21"/>
              </w:rPr>
              <w:t>12</w:t>
            </w:r>
            <w:r>
              <w:rPr>
                <w:szCs w:val="21"/>
              </w:rPr>
              <w:t>4</w:t>
            </w:r>
          </w:p>
        </w:tc>
      </w:tr>
      <w:tr w14:paraId="768CAA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614" w:type="pct"/>
            <w:vMerge w:val="continue"/>
            <w:shd w:val="clear" w:color="auto" w:fill="auto"/>
            <w:vAlign w:val="center"/>
          </w:tcPr>
          <w:p w14:paraId="681574A3">
            <w:pPr>
              <w:widowControl/>
              <w:spacing w:line="240" w:lineRule="exact"/>
              <w:jc w:val="center"/>
              <w:rPr>
                <w:rFonts w:eastAsia="仿宋_GB2312"/>
                <w:kern w:val="0"/>
                <w:szCs w:val="21"/>
                <w:highlight w:val="yellow"/>
              </w:rPr>
            </w:pPr>
          </w:p>
        </w:tc>
        <w:tc>
          <w:tcPr>
            <w:tcW w:w="1450" w:type="pct"/>
            <w:shd w:val="clear" w:color="auto" w:fill="auto"/>
            <w:tcMar>
              <w:top w:w="15" w:type="dxa"/>
              <w:left w:w="15" w:type="dxa"/>
              <w:bottom w:w="0" w:type="dxa"/>
              <w:right w:w="15" w:type="dxa"/>
            </w:tcMar>
            <w:vAlign w:val="center"/>
          </w:tcPr>
          <w:p w14:paraId="1A2890AC">
            <w:pPr>
              <w:widowControl/>
              <w:spacing w:line="240" w:lineRule="exact"/>
              <w:jc w:val="center"/>
              <w:rPr>
                <w:rFonts w:eastAsia="仿宋_GB2312"/>
                <w:kern w:val="0"/>
                <w:szCs w:val="21"/>
                <w:highlight w:val="yellow"/>
              </w:rPr>
            </w:pPr>
            <w:r>
              <w:rPr>
                <w:rFonts w:eastAsia="仿宋_GB2312"/>
                <w:kern w:val="0"/>
                <w:szCs w:val="21"/>
              </w:rPr>
              <w:t>乙腈</w:t>
            </w:r>
          </w:p>
        </w:tc>
        <w:tc>
          <w:tcPr>
            <w:tcW w:w="1086" w:type="pct"/>
            <w:shd w:val="clear" w:color="auto" w:fill="auto"/>
            <w:noWrap/>
            <w:tcMar>
              <w:top w:w="15" w:type="dxa"/>
              <w:left w:w="15" w:type="dxa"/>
              <w:bottom w:w="0" w:type="dxa"/>
              <w:right w:w="15" w:type="dxa"/>
            </w:tcMar>
            <w:vAlign w:val="center"/>
          </w:tcPr>
          <w:p w14:paraId="2142C8D7">
            <w:pPr>
              <w:jc w:val="center"/>
              <w:rPr>
                <w:szCs w:val="21"/>
              </w:rPr>
            </w:pPr>
            <w:r>
              <w:rPr>
                <w:rFonts w:hint="eastAsia"/>
                <w:szCs w:val="21"/>
              </w:rPr>
              <w:t>0.039</w:t>
            </w:r>
          </w:p>
        </w:tc>
        <w:tc>
          <w:tcPr>
            <w:tcW w:w="926" w:type="pct"/>
            <w:vAlign w:val="center"/>
          </w:tcPr>
          <w:p w14:paraId="1A1F95FB">
            <w:pPr>
              <w:widowControl/>
              <w:spacing w:line="240" w:lineRule="exact"/>
              <w:jc w:val="center"/>
              <w:rPr>
                <w:rFonts w:eastAsia="仿宋_GB2312"/>
                <w:kern w:val="0"/>
                <w:szCs w:val="21"/>
              </w:rPr>
            </w:pPr>
            <w:r>
              <w:rPr>
                <w:rFonts w:hint="eastAsia" w:eastAsia="仿宋_GB2312"/>
                <w:kern w:val="0"/>
                <w:szCs w:val="21"/>
              </w:rPr>
              <w:t>/</w:t>
            </w:r>
          </w:p>
        </w:tc>
        <w:tc>
          <w:tcPr>
            <w:tcW w:w="922" w:type="pct"/>
            <w:vAlign w:val="center"/>
          </w:tcPr>
          <w:p w14:paraId="48C988A9">
            <w:pPr>
              <w:jc w:val="center"/>
              <w:rPr>
                <w:b/>
                <w:szCs w:val="21"/>
                <w:highlight w:val="yellow"/>
              </w:rPr>
            </w:pPr>
            <w:r>
              <w:rPr>
                <w:szCs w:val="21"/>
              </w:rPr>
              <w:t>0.039</w:t>
            </w:r>
          </w:p>
        </w:tc>
      </w:tr>
      <w:tr w14:paraId="65D8E6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614" w:type="pct"/>
            <w:vMerge w:val="continue"/>
            <w:shd w:val="clear" w:color="auto" w:fill="auto"/>
            <w:vAlign w:val="center"/>
          </w:tcPr>
          <w:p w14:paraId="0D708C01">
            <w:pPr>
              <w:widowControl/>
              <w:spacing w:line="240" w:lineRule="exact"/>
              <w:jc w:val="center"/>
              <w:rPr>
                <w:rFonts w:eastAsia="仿宋_GB2312"/>
                <w:kern w:val="0"/>
                <w:szCs w:val="21"/>
                <w:highlight w:val="yellow"/>
              </w:rPr>
            </w:pPr>
          </w:p>
        </w:tc>
        <w:tc>
          <w:tcPr>
            <w:tcW w:w="1450" w:type="pct"/>
            <w:shd w:val="clear" w:color="auto" w:fill="auto"/>
            <w:tcMar>
              <w:top w:w="15" w:type="dxa"/>
              <w:left w:w="15" w:type="dxa"/>
              <w:bottom w:w="0" w:type="dxa"/>
              <w:right w:w="15" w:type="dxa"/>
            </w:tcMar>
            <w:vAlign w:val="center"/>
          </w:tcPr>
          <w:p w14:paraId="31B7AA27">
            <w:pPr>
              <w:widowControl/>
              <w:spacing w:line="240" w:lineRule="exact"/>
              <w:jc w:val="center"/>
              <w:rPr>
                <w:rFonts w:eastAsia="仿宋_GB2312"/>
                <w:kern w:val="0"/>
                <w:szCs w:val="21"/>
                <w:highlight w:val="yellow"/>
              </w:rPr>
            </w:pPr>
            <w:r>
              <w:rPr>
                <w:rFonts w:eastAsia="仿宋_GB2312"/>
                <w:kern w:val="0"/>
                <w:szCs w:val="21"/>
              </w:rPr>
              <w:t>丙二醇</w:t>
            </w:r>
          </w:p>
        </w:tc>
        <w:tc>
          <w:tcPr>
            <w:tcW w:w="1086" w:type="pct"/>
            <w:shd w:val="clear" w:color="auto" w:fill="auto"/>
            <w:noWrap/>
            <w:tcMar>
              <w:top w:w="15" w:type="dxa"/>
              <w:left w:w="15" w:type="dxa"/>
              <w:bottom w:w="0" w:type="dxa"/>
              <w:right w:w="15" w:type="dxa"/>
            </w:tcMar>
            <w:vAlign w:val="center"/>
          </w:tcPr>
          <w:p w14:paraId="6E075EF3">
            <w:pPr>
              <w:jc w:val="center"/>
              <w:rPr>
                <w:szCs w:val="21"/>
              </w:rPr>
            </w:pPr>
            <w:r>
              <w:rPr>
                <w:rFonts w:hint="eastAsia"/>
                <w:szCs w:val="21"/>
              </w:rPr>
              <w:t>0.022</w:t>
            </w:r>
          </w:p>
        </w:tc>
        <w:tc>
          <w:tcPr>
            <w:tcW w:w="926" w:type="pct"/>
            <w:vAlign w:val="center"/>
          </w:tcPr>
          <w:p w14:paraId="2BD286BE">
            <w:pPr>
              <w:widowControl/>
              <w:spacing w:line="240" w:lineRule="exact"/>
              <w:jc w:val="center"/>
              <w:rPr>
                <w:rFonts w:eastAsia="仿宋_GB2312"/>
                <w:kern w:val="0"/>
                <w:szCs w:val="21"/>
              </w:rPr>
            </w:pPr>
            <w:r>
              <w:rPr>
                <w:rFonts w:hint="eastAsia" w:eastAsia="仿宋_GB2312"/>
                <w:kern w:val="0"/>
                <w:szCs w:val="21"/>
              </w:rPr>
              <w:t>0.0063</w:t>
            </w:r>
          </w:p>
        </w:tc>
        <w:tc>
          <w:tcPr>
            <w:tcW w:w="922" w:type="pct"/>
            <w:vAlign w:val="center"/>
          </w:tcPr>
          <w:p w14:paraId="4687E13E">
            <w:pPr>
              <w:jc w:val="center"/>
              <w:rPr>
                <w:b/>
                <w:szCs w:val="21"/>
                <w:highlight w:val="yellow"/>
              </w:rPr>
            </w:pPr>
            <w:r>
              <w:rPr>
                <w:szCs w:val="21"/>
              </w:rPr>
              <w:t>0.0283</w:t>
            </w:r>
          </w:p>
        </w:tc>
      </w:tr>
      <w:tr w14:paraId="330564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614" w:type="pct"/>
            <w:vMerge w:val="continue"/>
            <w:shd w:val="clear" w:color="auto" w:fill="auto"/>
            <w:vAlign w:val="center"/>
          </w:tcPr>
          <w:p w14:paraId="4D10D588">
            <w:pPr>
              <w:widowControl/>
              <w:spacing w:line="240" w:lineRule="exact"/>
              <w:jc w:val="center"/>
              <w:rPr>
                <w:rFonts w:eastAsia="仿宋_GB2312"/>
                <w:kern w:val="0"/>
                <w:szCs w:val="21"/>
                <w:highlight w:val="yellow"/>
              </w:rPr>
            </w:pPr>
          </w:p>
        </w:tc>
        <w:tc>
          <w:tcPr>
            <w:tcW w:w="1450" w:type="pct"/>
            <w:shd w:val="clear" w:color="auto" w:fill="auto"/>
            <w:tcMar>
              <w:top w:w="15" w:type="dxa"/>
              <w:left w:w="15" w:type="dxa"/>
              <w:bottom w:w="0" w:type="dxa"/>
              <w:right w:w="15" w:type="dxa"/>
            </w:tcMar>
            <w:vAlign w:val="center"/>
          </w:tcPr>
          <w:p w14:paraId="19DCB25A">
            <w:pPr>
              <w:widowControl/>
              <w:spacing w:line="240" w:lineRule="exact"/>
              <w:jc w:val="center"/>
              <w:rPr>
                <w:rFonts w:eastAsia="仿宋_GB2312"/>
                <w:kern w:val="0"/>
                <w:szCs w:val="21"/>
                <w:highlight w:val="yellow"/>
              </w:rPr>
            </w:pPr>
            <w:r>
              <w:rPr>
                <w:rFonts w:eastAsia="仿宋_GB2312"/>
                <w:kern w:val="0"/>
                <w:szCs w:val="21"/>
              </w:rPr>
              <w:t>醋酸</w:t>
            </w:r>
          </w:p>
        </w:tc>
        <w:tc>
          <w:tcPr>
            <w:tcW w:w="1086" w:type="pct"/>
            <w:shd w:val="clear" w:color="auto" w:fill="auto"/>
            <w:noWrap/>
            <w:tcMar>
              <w:top w:w="15" w:type="dxa"/>
              <w:left w:w="15" w:type="dxa"/>
              <w:bottom w:w="0" w:type="dxa"/>
              <w:right w:w="15" w:type="dxa"/>
            </w:tcMar>
            <w:vAlign w:val="center"/>
          </w:tcPr>
          <w:p w14:paraId="42B2E868">
            <w:pPr>
              <w:jc w:val="center"/>
              <w:rPr>
                <w:szCs w:val="21"/>
              </w:rPr>
            </w:pPr>
            <w:r>
              <w:rPr>
                <w:rFonts w:hint="eastAsia"/>
                <w:szCs w:val="21"/>
              </w:rPr>
              <w:t>0.009</w:t>
            </w:r>
          </w:p>
        </w:tc>
        <w:tc>
          <w:tcPr>
            <w:tcW w:w="926" w:type="pct"/>
            <w:vAlign w:val="center"/>
          </w:tcPr>
          <w:p w14:paraId="648AC315">
            <w:pPr>
              <w:widowControl/>
              <w:spacing w:line="240" w:lineRule="exact"/>
              <w:jc w:val="center"/>
              <w:rPr>
                <w:rFonts w:eastAsia="仿宋_GB2312"/>
                <w:kern w:val="0"/>
                <w:szCs w:val="21"/>
              </w:rPr>
            </w:pPr>
            <w:r>
              <w:rPr>
                <w:rFonts w:hint="eastAsia" w:eastAsia="仿宋_GB2312"/>
                <w:kern w:val="0"/>
                <w:szCs w:val="21"/>
              </w:rPr>
              <w:t>/</w:t>
            </w:r>
          </w:p>
        </w:tc>
        <w:tc>
          <w:tcPr>
            <w:tcW w:w="922" w:type="pct"/>
            <w:vAlign w:val="center"/>
          </w:tcPr>
          <w:p w14:paraId="3A6AECA6">
            <w:pPr>
              <w:jc w:val="center"/>
              <w:rPr>
                <w:b/>
                <w:szCs w:val="21"/>
                <w:highlight w:val="yellow"/>
              </w:rPr>
            </w:pPr>
            <w:r>
              <w:rPr>
                <w:szCs w:val="21"/>
              </w:rPr>
              <w:t>0.009</w:t>
            </w:r>
          </w:p>
        </w:tc>
      </w:tr>
      <w:tr w14:paraId="5B02BE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614" w:type="pct"/>
            <w:vMerge w:val="continue"/>
            <w:shd w:val="clear" w:color="auto" w:fill="auto"/>
            <w:vAlign w:val="center"/>
          </w:tcPr>
          <w:p w14:paraId="70FFF8BA">
            <w:pPr>
              <w:widowControl/>
              <w:spacing w:line="240" w:lineRule="exact"/>
              <w:jc w:val="center"/>
              <w:rPr>
                <w:rFonts w:eastAsia="仿宋_GB2312"/>
                <w:kern w:val="0"/>
                <w:szCs w:val="21"/>
                <w:highlight w:val="yellow"/>
              </w:rPr>
            </w:pPr>
          </w:p>
        </w:tc>
        <w:tc>
          <w:tcPr>
            <w:tcW w:w="1450" w:type="pct"/>
            <w:shd w:val="clear" w:color="auto" w:fill="auto"/>
            <w:tcMar>
              <w:top w:w="15" w:type="dxa"/>
              <w:left w:w="15" w:type="dxa"/>
              <w:bottom w:w="0" w:type="dxa"/>
              <w:right w:w="15" w:type="dxa"/>
            </w:tcMar>
            <w:vAlign w:val="center"/>
          </w:tcPr>
          <w:p w14:paraId="26F5E7F7">
            <w:pPr>
              <w:widowControl/>
              <w:spacing w:line="240" w:lineRule="exact"/>
              <w:jc w:val="center"/>
              <w:rPr>
                <w:rFonts w:eastAsia="仿宋_GB2312"/>
                <w:kern w:val="0"/>
                <w:szCs w:val="21"/>
                <w:highlight w:val="yellow"/>
              </w:rPr>
            </w:pPr>
            <w:r>
              <w:rPr>
                <w:rFonts w:eastAsia="仿宋_GB2312"/>
                <w:kern w:val="0"/>
                <w:szCs w:val="21"/>
              </w:rPr>
              <w:t>己烷</w:t>
            </w:r>
          </w:p>
        </w:tc>
        <w:tc>
          <w:tcPr>
            <w:tcW w:w="1086" w:type="pct"/>
            <w:shd w:val="clear" w:color="auto" w:fill="auto"/>
            <w:noWrap/>
            <w:tcMar>
              <w:top w:w="15" w:type="dxa"/>
              <w:left w:w="15" w:type="dxa"/>
              <w:bottom w:w="0" w:type="dxa"/>
              <w:right w:w="15" w:type="dxa"/>
            </w:tcMar>
            <w:vAlign w:val="center"/>
          </w:tcPr>
          <w:p w14:paraId="42D0B3E4">
            <w:pPr>
              <w:jc w:val="center"/>
              <w:rPr>
                <w:szCs w:val="21"/>
              </w:rPr>
            </w:pPr>
            <w:r>
              <w:rPr>
                <w:rFonts w:hint="eastAsia"/>
                <w:szCs w:val="21"/>
              </w:rPr>
              <w:t>0.011</w:t>
            </w:r>
          </w:p>
        </w:tc>
        <w:tc>
          <w:tcPr>
            <w:tcW w:w="926" w:type="pct"/>
            <w:vAlign w:val="center"/>
          </w:tcPr>
          <w:p w14:paraId="5B91FE67">
            <w:pPr>
              <w:widowControl/>
              <w:spacing w:line="240" w:lineRule="exact"/>
              <w:jc w:val="center"/>
              <w:rPr>
                <w:rFonts w:eastAsia="仿宋_GB2312"/>
                <w:kern w:val="0"/>
                <w:szCs w:val="21"/>
              </w:rPr>
            </w:pPr>
            <w:r>
              <w:rPr>
                <w:rFonts w:hint="eastAsia" w:eastAsia="仿宋_GB2312"/>
                <w:kern w:val="0"/>
                <w:szCs w:val="21"/>
              </w:rPr>
              <w:t>/</w:t>
            </w:r>
          </w:p>
        </w:tc>
        <w:tc>
          <w:tcPr>
            <w:tcW w:w="922" w:type="pct"/>
            <w:vAlign w:val="center"/>
          </w:tcPr>
          <w:p w14:paraId="0AD9A7B0">
            <w:pPr>
              <w:jc w:val="center"/>
              <w:rPr>
                <w:b/>
                <w:szCs w:val="21"/>
                <w:highlight w:val="yellow"/>
              </w:rPr>
            </w:pPr>
            <w:r>
              <w:rPr>
                <w:szCs w:val="21"/>
              </w:rPr>
              <w:t>0.011</w:t>
            </w:r>
          </w:p>
        </w:tc>
      </w:tr>
      <w:tr w14:paraId="29F480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614" w:type="pct"/>
            <w:vMerge w:val="continue"/>
            <w:shd w:val="clear" w:color="auto" w:fill="auto"/>
            <w:vAlign w:val="center"/>
          </w:tcPr>
          <w:p w14:paraId="13529A0E">
            <w:pPr>
              <w:widowControl/>
              <w:spacing w:line="240" w:lineRule="exact"/>
              <w:jc w:val="center"/>
              <w:rPr>
                <w:rFonts w:eastAsia="仿宋_GB2312"/>
                <w:kern w:val="0"/>
                <w:szCs w:val="21"/>
                <w:highlight w:val="yellow"/>
              </w:rPr>
            </w:pPr>
          </w:p>
        </w:tc>
        <w:tc>
          <w:tcPr>
            <w:tcW w:w="1450" w:type="pct"/>
            <w:shd w:val="clear" w:color="auto" w:fill="auto"/>
            <w:tcMar>
              <w:top w:w="15" w:type="dxa"/>
              <w:left w:w="15" w:type="dxa"/>
              <w:bottom w:w="0" w:type="dxa"/>
              <w:right w:w="15" w:type="dxa"/>
            </w:tcMar>
            <w:vAlign w:val="center"/>
          </w:tcPr>
          <w:p w14:paraId="62ECB9FD">
            <w:pPr>
              <w:widowControl/>
              <w:spacing w:line="240" w:lineRule="exact"/>
              <w:jc w:val="center"/>
              <w:rPr>
                <w:rFonts w:eastAsia="仿宋_GB2312"/>
                <w:kern w:val="0"/>
                <w:szCs w:val="21"/>
                <w:highlight w:val="yellow"/>
              </w:rPr>
            </w:pPr>
            <w:r>
              <w:rPr>
                <w:rFonts w:eastAsia="仿宋_GB2312"/>
                <w:kern w:val="0"/>
                <w:szCs w:val="21"/>
              </w:rPr>
              <w:t>正庚烷</w:t>
            </w:r>
          </w:p>
        </w:tc>
        <w:tc>
          <w:tcPr>
            <w:tcW w:w="1086" w:type="pct"/>
            <w:shd w:val="clear" w:color="auto" w:fill="auto"/>
            <w:noWrap/>
            <w:tcMar>
              <w:top w:w="15" w:type="dxa"/>
              <w:left w:w="15" w:type="dxa"/>
              <w:bottom w:w="0" w:type="dxa"/>
              <w:right w:w="15" w:type="dxa"/>
            </w:tcMar>
            <w:vAlign w:val="center"/>
          </w:tcPr>
          <w:p w14:paraId="2EA813E0">
            <w:pPr>
              <w:jc w:val="center"/>
              <w:rPr>
                <w:szCs w:val="21"/>
              </w:rPr>
            </w:pPr>
            <w:r>
              <w:rPr>
                <w:rFonts w:hint="eastAsia"/>
                <w:szCs w:val="21"/>
              </w:rPr>
              <w:t>0.036</w:t>
            </w:r>
          </w:p>
        </w:tc>
        <w:tc>
          <w:tcPr>
            <w:tcW w:w="926" w:type="pct"/>
            <w:vAlign w:val="center"/>
          </w:tcPr>
          <w:p w14:paraId="010F409C">
            <w:pPr>
              <w:widowControl/>
              <w:spacing w:line="240" w:lineRule="exact"/>
              <w:jc w:val="center"/>
              <w:rPr>
                <w:rFonts w:eastAsia="仿宋_GB2312"/>
                <w:kern w:val="0"/>
                <w:szCs w:val="21"/>
              </w:rPr>
            </w:pPr>
            <w:r>
              <w:rPr>
                <w:rFonts w:hint="eastAsia" w:eastAsia="仿宋_GB2312"/>
                <w:kern w:val="0"/>
                <w:szCs w:val="21"/>
              </w:rPr>
              <w:t>/</w:t>
            </w:r>
          </w:p>
        </w:tc>
        <w:tc>
          <w:tcPr>
            <w:tcW w:w="922" w:type="pct"/>
            <w:vAlign w:val="center"/>
          </w:tcPr>
          <w:p w14:paraId="412E580B">
            <w:pPr>
              <w:jc w:val="center"/>
              <w:rPr>
                <w:b/>
                <w:szCs w:val="21"/>
                <w:highlight w:val="yellow"/>
              </w:rPr>
            </w:pPr>
            <w:r>
              <w:rPr>
                <w:szCs w:val="21"/>
              </w:rPr>
              <w:t>0.036</w:t>
            </w:r>
          </w:p>
        </w:tc>
      </w:tr>
      <w:tr w14:paraId="2C01EB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614" w:type="pct"/>
            <w:vMerge w:val="continue"/>
            <w:shd w:val="clear" w:color="auto" w:fill="auto"/>
            <w:vAlign w:val="center"/>
          </w:tcPr>
          <w:p w14:paraId="23FC3A7E">
            <w:pPr>
              <w:widowControl/>
              <w:spacing w:line="240" w:lineRule="exact"/>
              <w:jc w:val="center"/>
              <w:rPr>
                <w:rFonts w:eastAsia="仿宋_GB2312"/>
                <w:kern w:val="0"/>
                <w:szCs w:val="21"/>
                <w:highlight w:val="yellow"/>
              </w:rPr>
            </w:pPr>
          </w:p>
        </w:tc>
        <w:tc>
          <w:tcPr>
            <w:tcW w:w="1450" w:type="pct"/>
            <w:shd w:val="clear" w:color="auto" w:fill="auto"/>
            <w:tcMar>
              <w:top w:w="15" w:type="dxa"/>
              <w:left w:w="15" w:type="dxa"/>
              <w:bottom w:w="0" w:type="dxa"/>
              <w:right w:w="15" w:type="dxa"/>
            </w:tcMar>
            <w:vAlign w:val="center"/>
          </w:tcPr>
          <w:p w14:paraId="1E5CA71A">
            <w:pPr>
              <w:widowControl/>
              <w:spacing w:line="240" w:lineRule="exact"/>
              <w:jc w:val="center"/>
              <w:rPr>
                <w:rFonts w:eastAsia="仿宋_GB2312"/>
                <w:kern w:val="0"/>
                <w:szCs w:val="21"/>
                <w:highlight w:val="yellow"/>
              </w:rPr>
            </w:pPr>
            <w:r>
              <w:rPr>
                <w:rFonts w:eastAsia="仿宋_GB2312"/>
                <w:kern w:val="0"/>
                <w:szCs w:val="21"/>
              </w:rPr>
              <w:t>乙酸乙酯</w:t>
            </w:r>
          </w:p>
        </w:tc>
        <w:tc>
          <w:tcPr>
            <w:tcW w:w="1086" w:type="pct"/>
            <w:shd w:val="clear" w:color="auto" w:fill="auto"/>
            <w:noWrap/>
            <w:tcMar>
              <w:top w:w="15" w:type="dxa"/>
              <w:left w:w="15" w:type="dxa"/>
              <w:bottom w:w="0" w:type="dxa"/>
              <w:right w:w="15" w:type="dxa"/>
            </w:tcMar>
            <w:vAlign w:val="center"/>
          </w:tcPr>
          <w:p w14:paraId="6383542E">
            <w:pPr>
              <w:jc w:val="center"/>
              <w:rPr>
                <w:szCs w:val="21"/>
              </w:rPr>
            </w:pPr>
            <w:r>
              <w:rPr>
                <w:rFonts w:hint="eastAsia"/>
                <w:szCs w:val="21"/>
              </w:rPr>
              <w:t>0.096</w:t>
            </w:r>
          </w:p>
        </w:tc>
        <w:tc>
          <w:tcPr>
            <w:tcW w:w="926" w:type="pct"/>
            <w:vAlign w:val="center"/>
          </w:tcPr>
          <w:p w14:paraId="40414A58">
            <w:pPr>
              <w:widowControl/>
              <w:spacing w:line="240" w:lineRule="exact"/>
              <w:jc w:val="center"/>
              <w:rPr>
                <w:rFonts w:eastAsia="仿宋_GB2312"/>
                <w:kern w:val="0"/>
                <w:szCs w:val="21"/>
              </w:rPr>
            </w:pPr>
            <w:r>
              <w:rPr>
                <w:rFonts w:hint="eastAsia" w:eastAsia="仿宋_GB2312"/>
                <w:kern w:val="0"/>
                <w:szCs w:val="21"/>
              </w:rPr>
              <w:t>0.2</w:t>
            </w:r>
          </w:p>
        </w:tc>
        <w:tc>
          <w:tcPr>
            <w:tcW w:w="922" w:type="pct"/>
            <w:vAlign w:val="center"/>
          </w:tcPr>
          <w:p w14:paraId="23CDDF72">
            <w:pPr>
              <w:jc w:val="center"/>
              <w:rPr>
                <w:b/>
                <w:szCs w:val="21"/>
                <w:highlight w:val="yellow"/>
              </w:rPr>
            </w:pPr>
            <w:r>
              <w:rPr>
                <w:szCs w:val="21"/>
              </w:rPr>
              <w:t>0.</w:t>
            </w:r>
            <w:r>
              <w:rPr>
                <w:rFonts w:hint="eastAsia"/>
                <w:szCs w:val="21"/>
              </w:rPr>
              <w:t>296</w:t>
            </w:r>
          </w:p>
        </w:tc>
      </w:tr>
      <w:tr w14:paraId="02FEF2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614" w:type="pct"/>
            <w:vMerge w:val="continue"/>
            <w:shd w:val="clear" w:color="auto" w:fill="auto"/>
            <w:vAlign w:val="center"/>
          </w:tcPr>
          <w:p w14:paraId="60A94571">
            <w:pPr>
              <w:widowControl/>
              <w:spacing w:line="240" w:lineRule="exact"/>
              <w:jc w:val="center"/>
              <w:rPr>
                <w:rFonts w:eastAsia="仿宋_GB2312"/>
                <w:kern w:val="0"/>
                <w:szCs w:val="21"/>
                <w:highlight w:val="yellow"/>
              </w:rPr>
            </w:pPr>
          </w:p>
        </w:tc>
        <w:tc>
          <w:tcPr>
            <w:tcW w:w="1450" w:type="pct"/>
            <w:shd w:val="clear" w:color="auto" w:fill="auto"/>
            <w:tcMar>
              <w:top w:w="15" w:type="dxa"/>
              <w:left w:w="15" w:type="dxa"/>
              <w:bottom w:w="0" w:type="dxa"/>
              <w:right w:w="15" w:type="dxa"/>
            </w:tcMar>
            <w:vAlign w:val="center"/>
          </w:tcPr>
          <w:p w14:paraId="58D9DD2F">
            <w:pPr>
              <w:widowControl/>
              <w:spacing w:line="240" w:lineRule="exact"/>
              <w:jc w:val="center"/>
              <w:rPr>
                <w:rFonts w:eastAsia="仿宋_GB2312"/>
                <w:kern w:val="0"/>
                <w:szCs w:val="21"/>
                <w:highlight w:val="yellow"/>
              </w:rPr>
            </w:pPr>
            <w:r>
              <w:rPr>
                <w:rFonts w:eastAsia="仿宋_GB2312"/>
                <w:kern w:val="0"/>
                <w:szCs w:val="21"/>
              </w:rPr>
              <w:t>石油醚</w:t>
            </w:r>
          </w:p>
        </w:tc>
        <w:tc>
          <w:tcPr>
            <w:tcW w:w="1086" w:type="pct"/>
            <w:shd w:val="clear" w:color="auto" w:fill="auto"/>
            <w:noWrap/>
            <w:tcMar>
              <w:top w:w="15" w:type="dxa"/>
              <w:left w:w="15" w:type="dxa"/>
              <w:bottom w:w="0" w:type="dxa"/>
              <w:right w:w="15" w:type="dxa"/>
            </w:tcMar>
            <w:vAlign w:val="center"/>
          </w:tcPr>
          <w:p w14:paraId="39074BCF">
            <w:pPr>
              <w:jc w:val="center"/>
              <w:rPr>
                <w:szCs w:val="21"/>
              </w:rPr>
            </w:pPr>
            <w:r>
              <w:rPr>
                <w:rFonts w:hint="eastAsia"/>
                <w:szCs w:val="21"/>
              </w:rPr>
              <w:t>0.004</w:t>
            </w:r>
          </w:p>
        </w:tc>
        <w:tc>
          <w:tcPr>
            <w:tcW w:w="926" w:type="pct"/>
            <w:vAlign w:val="center"/>
          </w:tcPr>
          <w:p w14:paraId="67F42814">
            <w:pPr>
              <w:jc w:val="center"/>
              <w:rPr>
                <w:szCs w:val="21"/>
                <w:highlight w:val="yellow"/>
              </w:rPr>
            </w:pPr>
            <w:r>
              <w:rPr>
                <w:rFonts w:hint="eastAsia" w:eastAsia="仿宋_GB2312"/>
                <w:kern w:val="0"/>
                <w:szCs w:val="21"/>
              </w:rPr>
              <w:t>/</w:t>
            </w:r>
          </w:p>
        </w:tc>
        <w:tc>
          <w:tcPr>
            <w:tcW w:w="922" w:type="pct"/>
            <w:vAlign w:val="center"/>
          </w:tcPr>
          <w:p w14:paraId="1CB265FA">
            <w:pPr>
              <w:jc w:val="center"/>
              <w:rPr>
                <w:b/>
                <w:szCs w:val="21"/>
                <w:highlight w:val="yellow"/>
              </w:rPr>
            </w:pPr>
            <w:r>
              <w:rPr>
                <w:szCs w:val="21"/>
              </w:rPr>
              <w:t>0.004</w:t>
            </w:r>
          </w:p>
        </w:tc>
      </w:tr>
      <w:tr w14:paraId="2AC49E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614" w:type="pct"/>
            <w:vMerge w:val="continue"/>
            <w:shd w:val="clear" w:color="auto" w:fill="auto"/>
            <w:vAlign w:val="center"/>
          </w:tcPr>
          <w:p w14:paraId="09999CF8">
            <w:pPr>
              <w:widowControl/>
              <w:spacing w:line="240" w:lineRule="exact"/>
              <w:jc w:val="center"/>
              <w:rPr>
                <w:rFonts w:eastAsia="仿宋_GB2312"/>
                <w:kern w:val="0"/>
                <w:szCs w:val="21"/>
                <w:highlight w:val="yellow"/>
              </w:rPr>
            </w:pPr>
          </w:p>
        </w:tc>
        <w:tc>
          <w:tcPr>
            <w:tcW w:w="1450" w:type="pct"/>
            <w:shd w:val="clear" w:color="auto" w:fill="auto"/>
            <w:tcMar>
              <w:top w:w="15" w:type="dxa"/>
              <w:left w:w="15" w:type="dxa"/>
              <w:bottom w:w="0" w:type="dxa"/>
              <w:right w:w="15" w:type="dxa"/>
            </w:tcMar>
            <w:vAlign w:val="center"/>
          </w:tcPr>
          <w:p w14:paraId="6527964F">
            <w:pPr>
              <w:widowControl/>
              <w:spacing w:line="240" w:lineRule="exact"/>
              <w:jc w:val="center"/>
              <w:rPr>
                <w:rFonts w:eastAsia="仿宋_GB2312"/>
                <w:kern w:val="0"/>
                <w:szCs w:val="21"/>
                <w:highlight w:val="yellow"/>
              </w:rPr>
            </w:pPr>
            <w:r>
              <w:rPr>
                <w:rFonts w:eastAsia="仿宋_GB2312"/>
                <w:kern w:val="0"/>
                <w:szCs w:val="21"/>
              </w:rPr>
              <w:t>甲苯</w:t>
            </w:r>
          </w:p>
        </w:tc>
        <w:tc>
          <w:tcPr>
            <w:tcW w:w="1086" w:type="pct"/>
            <w:shd w:val="clear" w:color="auto" w:fill="auto"/>
            <w:noWrap/>
            <w:tcMar>
              <w:top w:w="15" w:type="dxa"/>
              <w:left w:w="15" w:type="dxa"/>
              <w:bottom w:w="0" w:type="dxa"/>
              <w:right w:w="15" w:type="dxa"/>
            </w:tcMar>
            <w:vAlign w:val="center"/>
          </w:tcPr>
          <w:p w14:paraId="3ABE38B8">
            <w:pPr>
              <w:jc w:val="center"/>
              <w:rPr>
                <w:szCs w:val="21"/>
              </w:rPr>
            </w:pPr>
            <w:r>
              <w:rPr>
                <w:rFonts w:hint="eastAsia"/>
                <w:szCs w:val="21"/>
              </w:rPr>
              <w:t>0.071</w:t>
            </w:r>
          </w:p>
        </w:tc>
        <w:tc>
          <w:tcPr>
            <w:tcW w:w="926" w:type="pct"/>
            <w:shd w:val="clear" w:color="auto" w:fill="auto"/>
            <w:vAlign w:val="center"/>
          </w:tcPr>
          <w:p w14:paraId="2E92C835">
            <w:pPr>
              <w:widowControl/>
              <w:spacing w:line="240" w:lineRule="exact"/>
              <w:jc w:val="center"/>
              <w:rPr>
                <w:rFonts w:eastAsia="仿宋_GB2312"/>
                <w:kern w:val="0"/>
                <w:szCs w:val="21"/>
              </w:rPr>
            </w:pPr>
            <w:r>
              <w:rPr>
                <w:rFonts w:eastAsia="仿宋_GB2312"/>
                <w:kern w:val="0"/>
                <w:szCs w:val="21"/>
              </w:rPr>
              <w:t>0.2</w:t>
            </w:r>
          </w:p>
        </w:tc>
        <w:tc>
          <w:tcPr>
            <w:tcW w:w="922" w:type="pct"/>
            <w:vAlign w:val="center"/>
          </w:tcPr>
          <w:p w14:paraId="5017592B">
            <w:pPr>
              <w:jc w:val="center"/>
              <w:rPr>
                <w:b/>
                <w:szCs w:val="21"/>
                <w:highlight w:val="yellow"/>
              </w:rPr>
            </w:pPr>
            <w:r>
              <w:rPr>
                <w:szCs w:val="21"/>
              </w:rPr>
              <w:t>0.271</w:t>
            </w:r>
          </w:p>
        </w:tc>
      </w:tr>
      <w:tr w14:paraId="19314E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614" w:type="pct"/>
            <w:vMerge w:val="continue"/>
            <w:shd w:val="clear" w:color="auto" w:fill="auto"/>
            <w:vAlign w:val="center"/>
          </w:tcPr>
          <w:p w14:paraId="53F3848C">
            <w:pPr>
              <w:widowControl/>
              <w:spacing w:line="240" w:lineRule="exact"/>
              <w:jc w:val="center"/>
              <w:rPr>
                <w:rFonts w:eastAsia="仿宋_GB2312"/>
                <w:kern w:val="0"/>
                <w:szCs w:val="21"/>
                <w:highlight w:val="yellow"/>
              </w:rPr>
            </w:pPr>
          </w:p>
        </w:tc>
        <w:tc>
          <w:tcPr>
            <w:tcW w:w="1450" w:type="pct"/>
            <w:shd w:val="clear" w:color="auto" w:fill="auto"/>
            <w:tcMar>
              <w:top w:w="15" w:type="dxa"/>
              <w:left w:w="15" w:type="dxa"/>
              <w:bottom w:w="0" w:type="dxa"/>
              <w:right w:w="15" w:type="dxa"/>
            </w:tcMar>
            <w:vAlign w:val="center"/>
          </w:tcPr>
          <w:p w14:paraId="4030D4E9">
            <w:pPr>
              <w:widowControl/>
              <w:spacing w:line="240" w:lineRule="exact"/>
              <w:jc w:val="center"/>
              <w:rPr>
                <w:rFonts w:eastAsia="仿宋_GB2312"/>
                <w:kern w:val="0"/>
                <w:szCs w:val="21"/>
                <w:highlight w:val="yellow"/>
              </w:rPr>
            </w:pPr>
            <w:r>
              <w:rPr>
                <w:rFonts w:eastAsia="仿宋_GB2312"/>
                <w:kern w:val="0"/>
                <w:szCs w:val="21"/>
              </w:rPr>
              <w:t>二甲苯</w:t>
            </w:r>
          </w:p>
        </w:tc>
        <w:tc>
          <w:tcPr>
            <w:tcW w:w="1086" w:type="pct"/>
            <w:shd w:val="clear" w:color="auto" w:fill="auto"/>
            <w:noWrap/>
            <w:tcMar>
              <w:top w:w="15" w:type="dxa"/>
              <w:left w:w="15" w:type="dxa"/>
              <w:bottom w:w="0" w:type="dxa"/>
              <w:right w:w="15" w:type="dxa"/>
            </w:tcMar>
            <w:vAlign w:val="center"/>
          </w:tcPr>
          <w:p w14:paraId="2C64D79F">
            <w:pPr>
              <w:jc w:val="center"/>
              <w:rPr>
                <w:szCs w:val="21"/>
              </w:rPr>
            </w:pPr>
            <w:r>
              <w:rPr>
                <w:rFonts w:hint="eastAsia"/>
                <w:szCs w:val="21"/>
              </w:rPr>
              <w:t>0.065</w:t>
            </w:r>
          </w:p>
        </w:tc>
        <w:tc>
          <w:tcPr>
            <w:tcW w:w="926" w:type="pct"/>
            <w:shd w:val="clear" w:color="auto" w:fill="auto"/>
            <w:vAlign w:val="center"/>
          </w:tcPr>
          <w:p w14:paraId="33B0B499">
            <w:pPr>
              <w:widowControl/>
              <w:spacing w:line="240" w:lineRule="exact"/>
              <w:jc w:val="center"/>
              <w:rPr>
                <w:rFonts w:eastAsia="仿宋_GB2312"/>
                <w:kern w:val="0"/>
                <w:szCs w:val="21"/>
              </w:rPr>
            </w:pPr>
            <w:r>
              <w:rPr>
                <w:rFonts w:eastAsia="仿宋_GB2312"/>
                <w:kern w:val="0"/>
                <w:szCs w:val="21"/>
              </w:rPr>
              <w:t>0.2</w:t>
            </w:r>
          </w:p>
        </w:tc>
        <w:tc>
          <w:tcPr>
            <w:tcW w:w="922" w:type="pct"/>
            <w:vAlign w:val="center"/>
          </w:tcPr>
          <w:p w14:paraId="1D0D1026">
            <w:pPr>
              <w:jc w:val="center"/>
              <w:rPr>
                <w:b/>
                <w:szCs w:val="21"/>
                <w:highlight w:val="yellow"/>
              </w:rPr>
            </w:pPr>
            <w:r>
              <w:rPr>
                <w:szCs w:val="21"/>
              </w:rPr>
              <w:t>0.</w:t>
            </w:r>
            <w:r>
              <w:rPr>
                <w:rFonts w:hint="eastAsia"/>
                <w:szCs w:val="21"/>
              </w:rPr>
              <w:t>265</w:t>
            </w:r>
          </w:p>
        </w:tc>
      </w:tr>
      <w:tr w14:paraId="1426F1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614" w:type="pct"/>
            <w:vMerge w:val="continue"/>
            <w:shd w:val="clear" w:color="auto" w:fill="auto"/>
            <w:vAlign w:val="center"/>
          </w:tcPr>
          <w:p w14:paraId="13AFD079">
            <w:pPr>
              <w:widowControl/>
              <w:spacing w:line="240" w:lineRule="exact"/>
              <w:jc w:val="center"/>
              <w:rPr>
                <w:rFonts w:eastAsia="仿宋_GB2312"/>
                <w:kern w:val="0"/>
                <w:szCs w:val="21"/>
                <w:highlight w:val="yellow"/>
              </w:rPr>
            </w:pPr>
          </w:p>
        </w:tc>
        <w:tc>
          <w:tcPr>
            <w:tcW w:w="1450" w:type="pct"/>
            <w:shd w:val="clear" w:color="auto" w:fill="auto"/>
            <w:tcMar>
              <w:top w:w="15" w:type="dxa"/>
              <w:left w:w="15" w:type="dxa"/>
              <w:bottom w:w="0" w:type="dxa"/>
              <w:right w:w="15" w:type="dxa"/>
            </w:tcMar>
            <w:vAlign w:val="center"/>
          </w:tcPr>
          <w:p w14:paraId="5ADD6AE7">
            <w:pPr>
              <w:widowControl/>
              <w:spacing w:line="240" w:lineRule="exact"/>
              <w:jc w:val="center"/>
              <w:rPr>
                <w:rFonts w:eastAsia="仿宋_GB2312"/>
                <w:kern w:val="0"/>
                <w:szCs w:val="21"/>
                <w:highlight w:val="yellow"/>
              </w:rPr>
            </w:pPr>
            <w:r>
              <w:rPr>
                <w:rFonts w:eastAsia="仿宋_GB2312"/>
                <w:kern w:val="0"/>
                <w:szCs w:val="21"/>
              </w:rPr>
              <w:t>乙酸丁酯</w:t>
            </w:r>
          </w:p>
        </w:tc>
        <w:tc>
          <w:tcPr>
            <w:tcW w:w="1086" w:type="pct"/>
            <w:shd w:val="clear" w:color="auto" w:fill="auto"/>
            <w:noWrap/>
            <w:tcMar>
              <w:top w:w="15" w:type="dxa"/>
              <w:left w:w="15" w:type="dxa"/>
              <w:bottom w:w="0" w:type="dxa"/>
              <w:right w:w="15" w:type="dxa"/>
            </w:tcMar>
            <w:vAlign w:val="center"/>
          </w:tcPr>
          <w:p w14:paraId="7B5AFB8D">
            <w:pPr>
              <w:jc w:val="center"/>
              <w:rPr>
                <w:szCs w:val="21"/>
              </w:rPr>
            </w:pPr>
            <w:r>
              <w:rPr>
                <w:rFonts w:hint="eastAsia"/>
                <w:szCs w:val="21"/>
              </w:rPr>
              <w:t>0.04</w:t>
            </w:r>
          </w:p>
        </w:tc>
        <w:tc>
          <w:tcPr>
            <w:tcW w:w="926" w:type="pct"/>
            <w:shd w:val="clear" w:color="auto" w:fill="auto"/>
            <w:vAlign w:val="center"/>
          </w:tcPr>
          <w:p w14:paraId="6C71560B">
            <w:pPr>
              <w:widowControl/>
              <w:spacing w:line="240" w:lineRule="exact"/>
              <w:jc w:val="center"/>
              <w:rPr>
                <w:rFonts w:eastAsia="仿宋_GB2312"/>
                <w:kern w:val="0"/>
                <w:szCs w:val="21"/>
              </w:rPr>
            </w:pPr>
            <w:r>
              <w:rPr>
                <w:rFonts w:eastAsia="仿宋_GB2312"/>
                <w:kern w:val="0"/>
                <w:szCs w:val="21"/>
              </w:rPr>
              <w:t>0.2</w:t>
            </w:r>
          </w:p>
        </w:tc>
        <w:tc>
          <w:tcPr>
            <w:tcW w:w="922" w:type="pct"/>
            <w:vAlign w:val="center"/>
          </w:tcPr>
          <w:p w14:paraId="52FECDB8">
            <w:pPr>
              <w:jc w:val="center"/>
              <w:rPr>
                <w:b/>
                <w:szCs w:val="21"/>
                <w:highlight w:val="yellow"/>
              </w:rPr>
            </w:pPr>
            <w:r>
              <w:rPr>
                <w:szCs w:val="21"/>
              </w:rPr>
              <w:t>0.2</w:t>
            </w:r>
            <w:r>
              <w:rPr>
                <w:rFonts w:hint="eastAsia"/>
                <w:szCs w:val="21"/>
              </w:rPr>
              <w:t>4</w:t>
            </w:r>
          </w:p>
        </w:tc>
      </w:tr>
      <w:tr w14:paraId="1A7ABD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614" w:type="pct"/>
            <w:vMerge w:val="continue"/>
            <w:shd w:val="clear" w:color="auto" w:fill="auto"/>
            <w:vAlign w:val="center"/>
          </w:tcPr>
          <w:p w14:paraId="34FB2897">
            <w:pPr>
              <w:widowControl/>
              <w:spacing w:line="240" w:lineRule="exact"/>
              <w:jc w:val="center"/>
              <w:rPr>
                <w:rFonts w:eastAsia="仿宋_GB2312"/>
                <w:kern w:val="0"/>
                <w:szCs w:val="21"/>
                <w:highlight w:val="yellow"/>
              </w:rPr>
            </w:pPr>
          </w:p>
        </w:tc>
        <w:tc>
          <w:tcPr>
            <w:tcW w:w="1450" w:type="pct"/>
            <w:shd w:val="clear" w:color="auto" w:fill="auto"/>
            <w:tcMar>
              <w:top w:w="15" w:type="dxa"/>
              <w:left w:w="15" w:type="dxa"/>
              <w:bottom w:w="0" w:type="dxa"/>
              <w:right w:w="15" w:type="dxa"/>
            </w:tcMar>
            <w:vAlign w:val="center"/>
          </w:tcPr>
          <w:p w14:paraId="2250F5A9">
            <w:pPr>
              <w:widowControl/>
              <w:spacing w:line="240" w:lineRule="exact"/>
              <w:jc w:val="center"/>
              <w:rPr>
                <w:rFonts w:eastAsia="仿宋_GB2312"/>
                <w:kern w:val="0"/>
                <w:szCs w:val="21"/>
              </w:rPr>
            </w:pPr>
            <w:r>
              <w:rPr>
                <w:rFonts w:eastAsia="仿宋_GB2312"/>
                <w:kern w:val="0"/>
                <w:szCs w:val="21"/>
              </w:rPr>
              <w:t>二甘醇</w:t>
            </w:r>
          </w:p>
        </w:tc>
        <w:tc>
          <w:tcPr>
            <w:tcW w:w="1086" w:type="pct"/>
            <w:shd w:val="clear" w:color="auto" w:fill="auto"/>
            <w:noWrap/>
            <w:tcMar>
              <w:top w:w="15" w:type="dxa"/>
              <w:left w:w="15" w:type="dxa"/>
              <w:bottom w:w="0" w:type="dxa"/>
              <w:right w:w="15" w:type="dxa"/>
            </w:tcMar>
            <w:vAlign w:val="center"/>
          </w:tcPr>
          <w:p w14:paraId="16ED0ED7">
            <w:pPr>
              <w:jc w:val="center"/>
              <w:rPr>
                <w:szCs w:val="21"/>
              </w:rPr>
            </w:pPr>
            <w:r>
              <w:rPr>
                <w:rFonts w:hint="eastAsia"/>
                <w:szCs w:val="21"/>
              </w:rPr>
              <w:t>0</w:t>
            </w:r>
          </w:p>
        </w:tc>
        <w:tc>
          <w:tcPr>
            <w:tcW w:w="926" w:type="pct"/>
            <w:shd w:val="clear" w:color="auto" w:fill="auto"/>
            <w:vAlign w:val="center"/>
          </w:tcPr>
          <w:p w14:paraId="1F5F1BA9">
            <w:pPr>
              <w:widowControl/>
              <w:spacing w:line="240" w:lineRule="exact"/>
              <w:jc w:val="center"/>
              <w:rPr>
                <w:rFonts w:eastAsia="仿宋_GB2312"/>
                <w:kern w:val="0"/>
                <w:szCs w:val="21"/>
              </w:rPr>
            </w:pPr>
            <w:r>
              <w:rPr>
                <w:rFonts w:eastAsia="仿宋_GB2312"/>
                <w:kern w:val="0"/>
                <w:szCs w:val="21"/>
              </w:rPr>
              <w:t>0.00879</w:t>
            </w:r>
          </w:p>
        </w:tc>
        <w:tc>
          <w:tcPr>
            <w:tcW w:w="922" w:type="pct"/>
            <w:vAlign w:val="center"/>
          </w:tcPr>
          <w:p w14:paraId="1EB4D5CC">
            <w:pPr>
              <w:jc w:val="center"/>
              <w:rPr>
                <w:szCs w:val="21"/>
              </w:rPr>
            </w:pPr>
            <w:r>
              <w:rPr>
                <w:rFonts w:eastAsia="仿宋_GB2312"/>
                <w:kern w:val="0"/>
                <w:szCs w:val="21"/>
              </w:rPr>
              <w:t>0.00879</w:t>
            </w:r>
          </w:p>
        </w:tc>
      </w:tr>
      <w:tr w14:paraId="79C8A2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614" w:type="pct"/>
            <w:vMerge w:val="continue"/>
            <w:shd w:val="clear" w:color="auto" w:fill="auto"/>
            <w:vAlign w:val="center"/>
          </w:tcPr>
          <w:p w14:paraId="71D0B212">
            <w:pPr>
              <w:widowControl/>
              <w:spacing w:line="240" w:lineRule="exact"/>
              <w:jc w:val="center"/>
              <w:rPr>
                <w:rFonts w:eastAsia="仿宋_GB2312"/>
                <w:kern w:val="0"/>
                <w:szCs w:val="21"/>
                <w:highlight w:val="yellow"/>
              </w:rPr>
            </w:pPr>
          </w:p>
        </w:tc>
        <w:tc>
          <w:tcPr>
            <w:tcW w:w="1450" w:type="pct"/>
            <w:shd w:val="clear" w:color="auto" w:fill="auto"/>
            <w:tcMar>
              <w:top w:w="15" w:type="dxa"/>
              <w:left w:w="15" w:type="dxa"/>
              <w:bottom w:w="0" w:type="dxa"/>
              <w:right w:w="15" w:type="dxa"/>
            </w:tcMar>
            <w:vAlign w:val="center"/>
          </w:tcPr>
          <w:p w14:paraId="6E4C50C0">
            <w:pPr>
              <w:widowControl/>
              <w:spacing w:line="240" w:lineRule="exact"/>
              <w:jc w:val="center"/>
              <w:rPr>
                <w:rFonts w:eastAsia="仿宋_GB2312"/>
                <w:kern w:val="0"/>
                <w:szCs w:val="21"/>
                <w:highlight w:val="yellow"/>
              </w:rPr>
            </w:pPr>
            <w:r>
              <w:rPr>
                <w:rFonts w:hint="eastAsia" w:eastAsia="仿宋_GB2312"/>
                <w:kern w:val="0"/>
                <w:szCs w:val="21"/>
              </w:rPr>
              <w:t>二乙二醇</w:t>
            </w:r>
          </w:p>
        </w:tc>
        <w:tc>
          <w:tcPr>
            <w:tcW w:w="1086" w:type="pct"/>
            <w:shd w:val="clear" w:color="auto" w:fill="auto"/>
            <w:noWrap/>
            <w:tcMar>
              <w:top w:w="15" w:type="dxa"/>
              <w:left w:w="15" w:type="dxa"/>
              <w:bottom w:w="0" w:type="dxa"/>
              <w:right w:w="15" w:type="dxa"/>
            </w:tcMar>
            <w:vAlign w:val="center"/>
          </w:tcPr>
          <w:p w14:paraId="00C2CB77">
            <w:pPr>
              <w:jc w:val="center"/>
              <w:rPr>
                <w:szCs w:val="21"/>
              </w:rPr>
            </w:pPr>
            <w:r>
              <w:rPr>
                <w:rFonts w:hint="eastAsia"/>
                <w:szCs w:val="21"/>
              </w:rPr>
              <w:t>0.01879</w:t>
            </w:r>
          </w:p>
        </w:tc>
        <w:tc>
          <w:tcPr>
            <w:tcW w:w="926" w:type="pct"/>
            <w:shd w:val="clear" w:color="auto" w:fill="auto"/>
            <w:vAlign w:val="center"/>
          </w:tcPr>
          <w:p w14:paraId="4C04557E">
            <w:pPr>
              <w:widowControl/>
              <w:spacing w:line="240" w:lineRule="exact"/>
              <w:jc w:val="center"/>
              <w:rPr>
                <w:rFonts w:eastAsia="仿宋_GB2312"/>
                <w:kern w:val="0"/>
                <w:szCs w:val="21"/>
              </w:rPr>
            </w:pPr>
            <w:r>
              <w:rPr>
                <w:rFonts w:hint="eastAsia" w:eastAsia="仿宋_GB2312"/>
                <w:kern w:val="0"/>
                <w:szCs w:val="21"/>
              </w:rPr>
              <w:t>/</w:t>
            </w:r>
          </w:p>
        </w:tc>
        <w:tc>
          <w:tcPr>
            <w:tcW w:w="922" w:type="pct"/>
            <w:vAlign w:val="center"/>
          </w:tcPr>
          <w:p w14:paraId="5D50A4A1">
            <w:pPr>
              <w:jc w:val="center"/>
              <w:rPr>
                <w:b/>
                <w:szCs w:val="21"/>
                <w:highlight w:val="yellow"/>
              </w:rPr>
            </w:pPr>
            <w:r>
              <w:rPr>
                <w:szCs w:val="21"/>
              </w:rPr>
              <w:t>0.0</w:t>
            </w:r>
            <w:r>
              <w:rPr>
                <w:rFonts w:hint="eastAsia"/>
                <w:szCs w:val="21"/>
              </w:rPr>
              <w:t>1</w:t>
            </w:r>
            <w:r>
              <w:rPr>
                <w:szCs w:val="21"/>
              </w:rPr>
              <w:t>879</w:t>
            </w:r>
          </w:p>
        </w:tc>
      </w:tr>
      <w:tr w14:paraId="4AF66F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614" w:type="pct"/>
            <w:vMerge w:val="continue"/>
            <w:shd w:val="clear" w:color="auto" w:fill="auto"/>
            <w:vAlign w:val="center"/>
          </w:tcPr>
          <w:p w14:paraId="21087BA9">
            <w:pPr>
              <w:widowControl/>
              <w:spacing w:line="240" w:lineRule="exact"/>
              <w:jc w:val="center"/>
              <w:rPr>
                <w:rFonts w:eastAsia="仿宋_GB2312"/>
                <w:kern w:val="0"/>
                <w:szCs w:val="21"/>
                <w:highlight w:val="yellow"/>
              </w:rPr>
            </w:pPr>
          </w:p>
        </w:tc>
        <w:tc>
          <w:tcPr>
            <w:tcW w:w="1450" w:type="pct"/>
            <w:shd w:val="clear" w:color="auto" w:fill="auto"/>
            <w:tcMar>
              <w:top w:w="15" w:type="dxa"/>
              <w:left w:w="15" w:type="dxa"/>
              <w:bottom w:w="0" w:type="dxa"/>
              <w:right w:w="15" w:type="dxa"/>
            </w:tcMar>
            <w:vAlign w:val="center"/>
          </w:tcPr>
          <w:p w14:paraId="5D7CC1B5">
            <w:pPr>
              <w:widowControl/>
              <w:spacing w:line="240" w:lineRule="exact"/>
              <w:jc w:val="center"/>
              <w:rPr>
                <w:rFonts w:eastAsia="仿宋_GB2312"/>
                <w:kern w:val="0"/>
                <w:szCs w:val="21"/>
                <w:highlight w:val="yellow"/>
              </w:rPr>
            </w:pPr>
            <w:r>
              <w:rPr>
                <w:rFonts w:eastAsia="仿宋_GB2312"/>
                <w:kern w:val="0"/>
                <w:szCs w:val="21"/>
              </w:rPr>
              <w:t>丙三醇</w:t>
            </w:r>
          </w:p>
        </w:tc>
        <w:tc>
          <w:tcPr>
            <w:tcW w:w="1086" w:type="pct"/>
            <w:shd w:val="clear" w:color="auto" w:fill="auto"/>
            <w:noWrap/>
            <w:tcMar>
              <w:top w:w="15" w:type="dxa"/>
              <w:left w:w="15" w:type="dxa"/>
              <w:bottom w:w="0" w:type="dxa"/>
              <w:right w:w="15" w:type="dxa"/>
            </w:tcMar>
            <w:vAlign w:val="center"/>
          </w:tcPr>
          <w:p w14:paraId="16202941">
            <w:pPr>
              <w:jc w:val="center"/>
              <w:rPr>
                <w:szCs w:val="21"/>
              </w:rPr>
            </w:pPr>
            <w:r>
              <w:rPr>
                <w:rFonts w:hint="eastAsia"/>
                <w:szCs w:val="21"/>
              </w:rPr>
              <w:t>0.035</w:t>
            </w:r>
          </w:p>
        </w:tc>
        <w:tc>
          <w:tcPr>
            <w:tcW w:w="926" w:type="pct"/>
            <w:shd w:val="clear" w:color="auto" w:fill="auto"/>
            <w:vAlign w:val="center"/>
          </w:tcPr>
          <w:p w14:paraId="6ADB56B0">
            <w:pPr>
              <w:widowControl/>
              <w:spacing w:line="240" w:lineRule="exact"/>
              <w:jc w:val="center"/>
              <w:rPr>
                <w:rFonts w:eastAsia="仿宋_GB2312"/>
                <w:kern w:val="0"/>
                <w:szCs w:val="21"/>
              </w:rPr>
            </w:pPr>
            <w:r>
              <w:rPr>
                <w:rFonts w:hint="eastAsia" w:eastAsia="仿宋_GB2312"/>
                <w:kern w:val="0"/>
                <w:szCs w:val="21"/>
              </w:rPr>
              <w:t>/</w:t>
            </w:r>
          </w:p>
        </w:tc>
        <w:tc>
          <w:tcPr>
            <w:tcW w:w="922" w:type="pct"/>
            <w:vAlign w:val="center"/>
          </w:tcPr>
          <w:p w14:paraId="7B9980FD">
            <w:pPr>
              <w:jc w:val="center"/>
              <w:rPr>
                <w:b/>
                <w:szCs w:val="21"/>
                <w:highlight w:val="yellow"/>
              </w:rPr>
            </w:pPr>
            <w:r>
              <w:rPr>
                <w:szCs w:val="21"/>
              </w:rPr>
              <w:t>0.035</w:t>
            </w:r>
          </w:p>
        </w:tc>
      </w:tr>
      <w:tr w14:paraId="71B3A2A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614" w:type="pct"/>
            <w:vMerge w:val="continue"/>
            <w:shd w:val="clear" w:color="auto" w:fill="auto"/>
            <w:vAlign w:val="center"/>
          </w:tcPr>
          <w:p w14:paraId="6B15237C">
            <w:pPr>
              <w:widowControl/>
              <w:spacing w:line="240" w:lineRule="exact"/>
              <w:jc w:val="center"/>
              <w:rPr>
                <w:rFonts w:eastAsia="仿宋_GB2312"/>
                <w:kern w:val="0"/>
                <w:szCs w:val="21"/>
                <w:highlight w:val="yellow"/>
              </w:rPr>
            </w:pPr>
          </w:p>
        </w:tc>
        <w:tc>
          <w:tcPr>
            <w:tcW w:w="1450" w:type="pct"/>
            <w:shd w:val="clear" w:color="auto" w:fill="auto"/>
            <w:tcMar>
              <w:top w:w="15" w:type="dxa"/>
              <w:left w:w="15" w:type="dxa"/>
              <w:bottom w:w="0" w:type="dxa"/>
              <w:right w:w="15" w:type="dxa"/>
            </w:tcMar>
            <w:vAlign w:val="center"/>
          </w:tcPr>
          <w:p w14:paraId="24FF4715">
            <w:pPr>
              <w:widowControl/>
              <w:spacing w:line="240" w:lineRule="exact"/>
              <w:jc w:val="center"/>
              <w:rPr>
                <w:rFonts w:eastAsia="仿宋_GB2312"/>
                <w:kern w:val="0"/>
                <w:szCs w:val="21"/>
                <w:highlight w:val="yellow"/>
              </w:rPr>
            </w:pPr>
            <w:r>
              <w:rPr>
                <w:rFonts w:eastAsia="仿宋_GB2312"/>
                <w:kern w:val="0"/>
                <w:szCs w:val="21"/>
              </w:rPr>
              <w:t>氨</w:t>
            </w:r>
          </w:p>
        </w:tc>
        <w:tc>
          <w:tcPr>
            <w:tcW w:w="1086" w:type="pct"/>
            <w:shd w:val="clear" w:color="auto" w:fill="auto"/>
            <w:noWrap/>
            <w:tcMar>
              <w:top w:w="15" w:type="dxa"/>
              <w:left w:w="15" w:type="dxa"/>
              <w:bottom w:w="0" w:type="dxa"/>
              <w:right w:w="15" w:type="dxa"/>
            </w:tcMar>
            <w:vAlign w:val="center"/>
          </w:tcPr>
          <w:p w14:paraId="7056ADFE">
            <w:pPr>
              <w:jc w:val="center"/>
              <w:rPr>
                <w:szCs w:val="21"/>
              </w:rPr>
            </w:pPr>
            <w:r>
              <w:rPr>
                <w:rFonts w:hint="eastAsia"/>
                <w:szCs w:val="21"/>
              </w:rPr>
              <w:t>0.465</w:t>
            </w:r>
          </w:p>
        </w:tc>
        <w:tc>
          <w:tcPr>
            <w:tcW w:w="926" w:type="pct"/>
            <w:shd w:val="clear" w:color="auto" w:fill="auto"/>
            <w:vAlign w:val="center"/>
          </w:tcPr>
          <w:p w14:paraId="485DE069">
            <w:pPr>
              <w:widowControl/>
              <w:spacing w:line="240" w:lineRule="exact"/>
              <w:jc w:val="center"/>
              <w:rPr>
                <w:rFonts w:eastAsia="仿宋_GB2312"/>
                <w:kern w:val="0"/>
                <w:szCs w:val="21"/>
              </w:rPr>
            </w:pPr>
            <w:r>
              <w:rPr>
                <w:rFonts w:hint="eastAsia" w:eastAsia="仿宋_GB2312"/>
                <w:kern w:val="0"/>
                <w:szCs w:val="21"/>
              </w:rPr>
              <w:t>/</w:t>
            </w:r>
          </w:p>
        </w:tc>
        <w:tc>
          <w:tcPr>
            <w:tcW w:w="922" w:type="pct"/>
            <w:vAlign w:val="center"/>
          </w:tcPr>
          <w:p w14:paraId="5476EECA">
            <w:pPr>
              <w:jc w:val="center"/>
              <w:rPr>
                <w:b/>
                <w:szCs w:val="21"/>
                <w:highlight w:val="yellow"/>
              </w:rPr>
            </w:pPr>
            <w:r>
              <w:rPr>
                <w:szCs w:val="21"/>
              </w:rPr>
              <w:t>0.465</w:t>
            </w:r>
          </w:p>
        </w:tc>
      </w:tr>
      <w:tr w14:paraId="385B1D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614" w:type="pct"/>
            <w:vMerge w:val="continue"/>
            <w:shd w:val="clear" w:color="auto" w:fill="auto"/>
            <w:vAlign w:val="center"/>
          </w:tcPr>
          <w:p w14:paraId="1373063C">
            <w:pPr>
              <w:widowControl/>
              <w:spacing w:line="240" w:lineRule="exact"/>
              <w:jc w:val="center"/>
              <w:rPr>
                <w:rFonts w:eastAsia="仿宋_GB2312"/>
                <w:kern w:val="0"/>
                <w:szCs w:val="21"/>
                <w:highlight w:val="yellow"/>
              </w:rPr>
            </w:pPr>
          </w:p>
        </w:tc>
        <w:tc>
          <w:tcPr>
            <w:tcW w:w="1450" w:type="pct"/>
            <w:shd w:val="clear" w:color="auto" w:fill="auto"/>
            <w:tcMar>
              <w:top w:w="15" w:type="dxa"/>
              <w:left w:w="15" w:type="dxa"/>
              <w:bottom w:w="0" w:type="dxa"/>
              <w:right w:w="15" w:type="dxa"/>
            </w:tcMar>
            <w:vAlign w:val="center"/>
          </w:tcPr>
          <w:p w14:paraId="3EC2D622">
            <w:pPr>
              <w:widowControl/>
              <w:spacing w:line="240" w:lineRule="exact"/>
              <w:jc w:val="center"/>
              <w:rPr>
                <w:rFonts w:eastAsia="仿宋_GB2312"/>
                <w:kern w:val="0"/>
                <w:szCs w:val="21"/>
                <w:highlight w:val="yellow"/>
              </w:rPr>
            </w:pPr>
            <w:r>
              <w:rPr>
                <w:rFonts w:eastAsia="仿宋_GB2312"/>
                <w:kern w:val="0"/>
                <w:szCs w:val="21"/>
              </w:rPr>
              <w:t>硫化氢</w:t>
            </w:r>
          </w:p>
        </w:tc>
        <w:tc>
          <w:tcPr>
            <w:tcW w:w="1086" w:type="pct"/>
            <w:shd w:val="clear" w:color="auto" w:fill="auto"/>
            <w:noWrap/>
            <w:tcMar>
              <w:top w:w="15" w:type="dxa"/>
              <w:left w:w="15" w:type="dxa"/>
              <w:bottom w:w="0" w:type="dxa"/>
              <w:right w:w="15" w:type="dxa"/>
            </w:tcMar>
            <w:vAlign w:val="center"/>
          </w:tcPr>
          <w:p w14:paraId="539DA1E1">
            <w:pPr>
              <w:jc w:val="center"/>
              <w:rPr>
                <w:szCs w:val="21"/>
              </w:rPr>
            </w:pPr>
            <w:r>
              <w:rPr>
                <w:rFonts w:hint="eastAsia"/>
                <w:szCs w:val="21"/>
              </w:rPr>
              <w:t>0.0318</w:t>
            </w:r>
          </w:p>
        </w:tc>
        <w:tc>
          <w:tcPr>
            <w:tcW w:w="926" w:type="pct"/>
            <w:shd w:val="clear" w:color="auto" w:fill="auto"/>
            <w:vAlign w:val="center"/>
          </w:tcPr>
          <w:p w14:paraId="6158122C">
            <w:pPr>
              <w:widowControl/>
              <w:spacing w:line="240" w:lineRule="exact"/>
              <w:jc w:val="center"/>
              <w:rPr>
                <w:rFonts w:eastAsia="仿宋_GB2312"/>
                <w:kern w:val="0"/>
                <w:szCs w:val="21"/>
              </w:rPr>
            </w:pPr>
            <w:r>
              <w:rPr>
                <w:rFonts w:hint="eastAsia" w:eastAsia="仿宋_GB2312"/>
                <w:kern w:val="0"/>
                <w:szCs w:val="21"/>
              </w:rPr>
              <w:t>/</w:t>
            </w:r>
          </w:p>
        </w:tc>
        <w:tc>
          <w:tcPr>
            <w:tcW w:w="922" w:type="pct"/>
            <w:vAlign w:val="center"/>
          </w:tcPr>
          <w:p w14:paraId="0ABE0F3C">
            <w:pPr>
              <w:jc w:val="center"/>
              <w:rPr>
                <w:b/>
                <w:szCs w:val="21"/>
                <w:highlight w:val="yellow"/>
              </w:rPr>
            </w:pPr>
            <w:r>
              <w:rPr>
                <w:szCs w:val="21"/>
              </w:rPr>
              <w:t>0.0318</w:t>
            </w:r>
          </w:p>
        </w:tc>
      </w:tr>
      <w:tr w14:paraId="0197E5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614" w:type="pct"/>
            <w:vMerge w:val="continue"/>
            <w:shd w:val="clear" w:color="auto" w:fill="auto"/>
            <w:vAlign w:val="center"/>
          </w:tcPr>
          <w:p w14:paraId="1A942E3A">
            <w:pPr>
              <w:widowControl/>
              <w:spacing w:line="240" w:lineRule="exact"/>
              <w:jc w:val="center"/>
              <w:rPr>
                <w:rFonts w:eastAsia="仿宋_GB2312"/>
                <w:kern w:val="0"/>
                <w:szCs w:val="21"/>
                <w:highlight w:val="yellow"/>
              </w:rPr>
            </w:pPr>
          </w:p>
        </w:tc>
        <w:tc>
          <w:tcPr>
            <w:tcW w:w="1450" w:type="pct"/>
            <w:shd w:val="clear" w:color="auto" w:fill="auto"/>
            <w:tcMar>
              <w:top w:w="15" w:type="dxa"/>
              <w:left w:w="15" w:type="dxa"/>
              <w:bottom w:w="0" w:type="dxa"/>
              <w:right w:w="15" w:type="dxa"/>
            </w:tcMar>
            <w:vAlign w:val="center"/>
          </w:tcPr>
          <w:p w14:paraId="41BE233D">
            <w:pPr>
              <w:widowControl/>
              <w:spacing w:line="240" w:lineRule="exact"/>
              <w:jc w:val="center"/>
              <w:rPr>
                <w:rFonts w:eastAsia="仿宋_GB2312"/>
                <w:kern w:val="0"/>
                <w:szCs w:val="21"/>
                <w:highlight w:val="yellow"/>
              </w:rPr>
            </w:pPr>
            <w:r>
              <w:rPr>
                <w:rFonts w:eastAsia="仿宋_GB2312"/>
                <w:kern w:val="0"/>
                <w:szCs w:val="21"/>
              </w:rPr>
              <w:t>环己烷</w:t>
            </w:r>
          </w:p>
        </w:tc>
        <w:tc>
          <w:tcPr>
            <w:tcW w:w="1086" w:type="pct"/>
            <w:shd w:val="clear" w:color="auto" w:fill="auto"/>
            <w:noWrap/>
            <w:tcMar>
              <w:top w:w="15" w:type="dxa"/>
              <w:left w:w="15" w:type="dxa"/>
              <w:bottom w:w="0" w:type="dxa"/>
              <w:right w:w="15" w:type="dxa"/>
            </w:tcMar>
            <w:vAlign w:val="center"/>
          </w:tcPr>
          <w:p w14:paraId="365AAF88">
            <w:pPr>
              <w:jc w:val="center"/>
              <w:rPr>
                <w:szCs w:val="21"/>
              </w:rPr>
            </w:pPr>
            <w:r>
              <w:rPr>
                <w:rFonts w:hint="eastAsia"/>
                <w:szCs w:val="21"/>
              </w:rPr>
              <w:t>0.029</w:t>
            </w:r>
          </w:p>
        </w:tc>
        <w:tc>
          <w:tcPr>
            <w:tcW w:w="926" w:type="pct"/>
            <w:shd w:val="clear" w:color="auto" w:fill="auto"/>
            <w:vAlign w:val="center"/>
          </w:tcPr>
          <w:p w14:paraId="500CBC1D">
            <w:pPr>
              <w:widowControl/>
              <w:spacing w:line="240" w:lineRule="exact"/>
              <w:jc w:val="center"/>
              <w:rPr>
                <w:rFonts w:eastAsia="仿宋_GB2312"/>
                <w:kern w:val="0"/>
                <w:szCs w:val="21"/>
              </w:rPr>
            </w:pPr>
            <w:r>
              <w:rPr>
                <w:rFonts w:hint="eastAsia" w:eastAsia="仿宋_GB2312"/>
                <w:kern w:val="0"/>
                <w:szCs w:val="21"/>
              </w:rPr>
              <w:t>/</w:t>
            </w:r>
          </w:p>
        </w:tc>
        <w:tc>
          <w:tcPr>
            <w:tcW w:w="922" w:type="pct"/>
            <w:vAlign w:val="center"/>
          </w:tcPr>
          <w:p w14:paraId="139977DC">
            <w:pPr>
              <w:jc w:val="center"/>
              <w:rPr>
                <w:b/>
                <w:szCs w:val="21"/>
                <w:highlight w:val="yellow"/>
              </w:rPr>
            </w:pPr>
            <w:r>
              <w:rPr>
                <w:szCs w:val="21"/>
              </w:rPr>
              <w:t>0.029</w:t>
            </w:r>
          </w:p>
        </w:tc>
      </w:tr>
      <w:tr w14:paraId="59CF55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614" w:type="pct"/>
            <w:vMerge w:val="continue"/>
            <w:shd w:val="clear" w:color="auto" w:fill="auto"/>
            <w:vAlign w:val="center"/>
          </w:tcPr>
          <w:p w14:paraId="3B57A9C3">
            <w:pPr>
              <w:widowControl/>
              <w:spacing w:line="240" w:lineRule="exact"/>
              <w:jc w:val="center"/>
              <w:rPr>
                <w:rFonts w:eastAsia="仿宋_GB2312"/>
                <w:kern w:val="0"/>
                <w:szCs w:val="21"/>
                <w:highlight w:val="yellow"/>
              </w:rPr>
            </w:pPr>
          </w:p>
        </w:tc>
        <w:tc>
          <w:tcPr>
            <w:tcW w:w="1450" w:type="pct"/>
            <w:shd w:val="clear" w:color="auto" w:fill="auto"/>
            <w:tcMar>
              <w:top w:w="15" w:type="dxa"/>
              <w:left w:w="15" w:type="dxa"/>
              <w:bottom w:w="0" w:type="dxa"/>
              <w:right w:w="15" w:type="dxa"/>
            </w:tcMar>
            <w:vAlign w:val="center"/>
          </w:tcPr>
          <w:p w14:paraId="2D1871D6">
            <w:pPr>
              <w:widowControl/>
              <w:spacing w:line="240" w:lineRule="exact"/>
              <w:jc w:val="center"/>
              <w:rPr>
                <w:rFonts w:eastAsia="仿宋_GB2312"/>
                <w:kern w:val="0"/>
                <w:szCs w:val="21"/>
                <w:highlight w:val="yellow"/>
              </w:rPr>
            </w:pPr>
            <w:r>
              <w:rPr>
                <w:rFonts w:eastAsia="仿宋_GB2312"/>
                <w:kern w:val="0"/>
                <w:szCs w:val="21"/>
              </w:rPr>
              <w:t>环己酮</w:t>
            </w:r>
          </w:p>
        </w:tc>
        <w:tc>
          <w:tcPr>
            <w:tcW w:w="1086" w:type="pct"/>
            <w:shd w:val="clear" w:color="auto" w:fill="auto"/>
            <w:noWrap/>
            <w:tcMar>
              <w:top w:w="15" w:type="dxa"/>
              <w:left w:w="15" w:type="dxa"/>
              <w:bottom w:w="0" w:type="dxa"/>
              <w:right w:w="15" w:type="dxa"/>
            </w:tcMar>
            <w:vAlign w:val="center"/>
          </w:tcPr>
          <w:p w14:paraId="1DD3F570">
            <w:pPr>
              <w:jc w:val="center"/>
              <w:rPr>
                <w:szCs w:val="21"/>
              </w:rPr>
            </w:pPr>
            <w:r>
              <w:rPr>
                <w:rFonts w:hint="eastAsia"/>
                <w:szCs w:val="21"/>
              </w:rPr>
              <w:t>0.04</w:t>
            </w:r>
          </w:p>
        </w:tc>
        <w:tc>
          <w:tcPr>
            <w:tcW w:w="926" w:type="pct"/>
            <w:shd w:val="clear" w:color="auto" w:fill="auto"/>
            <w:vAlign w:val="center"/>
          </w:tcPr>
          <w:p w14:paraId="677B833B">
            <w:pPr>
              <w:widowControl/>
              <w:spacing w:line="240" w:lineRule="exact"/>
              <w:jc w:val="center"/>
              <w:rPr>
                <w:rFonts w:eastAsia="仿宋_GB2312"/>
                <w:kern w:val="0"/>
                <w:szCs w:val="21"/>
              </w:rPr>
            </w:pPr>
            <w:r>
              <w:rPr>
                <w:rFonts w:hint="eastAsia" w:eastAsia="仿宋_GB2312"/>
                <w:kern w:val="0"/>
                <w:szCs w:val="21"/>
              </w:rPr>
              <w:t>/</w:t>
            </w:r>
          </w:p>
        </w:tc>
        <w:tc>
          <w:tcPr>
            <w:tcW w:w="922" w:type="pct"/>
            <w:vAlign w:val="center"/>
          </w:tcPr>
          <w:p w14:paraId="08665B75">
            <w:pPr>
              <w:jc w:val="center"/>
              <w:rPr>
                <w:b/>
                <w:szCs w:val="21"/>
                <w:highlight w:val="yellow"/>
              </w:rPr>
            </w:pPr>
            <w:r>
              <w:rPr>
                <w:szCs w:val="21"/>
              </w:rPr>
              <w:t>0.04</w:t>
            </w:r>
          </w:p>
        </w:tc>
      </w:tr>
      <w:tr w14:paraId="41C27D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614" w:type="pct"/>
            <w:vMerge w:val="continue"/>
            <w:shd w:val="clear" w:color="auto" w:fill="auto"/>
            <w:vAlign w:val="center"/>
          </w:tcPr>
          <w:p w14:paraId="0222DDD9">
            <w:pPr>
              <w:widowControl/>
              <w:spacing w:line="240" w:lineRule="exact"/>
              <w:jc w:val="center"/>
              <w:rPr>
                <w:rFonts w:eastAsia="仿宋_GB2312"/>
                <w:kern w:val="0"/>
                <w:szCs w:val="21"/>
                <w:highlight w:val="yellow"/>
              </w:rPr>
            </w:pPr>
          </w:p>
        </w:tc>
        <w:tc>
          <w:tcPr>
            <w:tcW w:w="1450" w:type="pct"/>
            <w:shd w:val="clear" w:color="auto" w:fill="auto"/>
            <w:tcMar>
              <w:top w:w="15" w:type="dxa"/>
              <w:left w:w="15" w:type="dxa"/>
              <w:bottom w:w="0" w:type="dxa"/>
              <w:right w:w="15" w:type="dxa"/>
            </w:tcMar>
            <w:vAlign w:val="center"/>
          </w:tcPr>
          <w:p w14:paraId="0EA588E1">
            <w:pPr>
              <w:widowControl/>
              <w:spacing w:line="240" w:lineRule="exact"/>
              <w:jc w:val="center"/>
              <w:rPr>
                <w:rFonts w:eastAsia="仿宋_GB2312"/>
                <w:kern w:val="0"/>
                <w:szCs w:val="21"/>
                <w:highlight w:val="yellow"/>
              </w:rPr>
            </w:pPr>
            <w:r>
              <w:rPr>
                <w:rFonts w:eastAsia="仿宋_GB2312"/>
                <w:kern w:val="0"/>
                <w:szCs w:val="21"/>
              </w:rPr>
              <w:t>二甲基亚砜</w:t>
            </w:r>
          </w:p>
        </w:tc>
        <w:tc>
          <w:tcPr>
            <w:tcW w:w="1086" w:type="pct"/>
            <w:shd w:val="clear" w:color="auto" w:fill="auto"/>
            <w:noWrap/>
            <w:tcMar>
              <w:top w:w="15" w:type="dxa"/>
              <w:left w:w="15" w:type="dxa"/>
              <w:bottom w:w="0" w:type="dxa"/>
              <w:right w:w="15" w:type="dxa"/>
            </w:tcMar>
            <w:vAlign w:val="center"/>
          </w:tcPr>
          <w:p w14:paraId="7F80D84F">
            <w:pPr>
              <w:jc w:val="center"/>
              <w:rPr>
                <w:szCs w:val="21"/>
              </w:rPr>
            </w:pPr>
            <w:r>
              <w:rPr>
                <w:rFonts w:hint="eastAsia"/>
                <w:szCs w:val="21"/>
              </w:rPr>
              <w:t>0.015</w:t>
            </w:r>
          </w:p>
        </w:tc>
        <w:tc>
          <w:tcPr>
            <w:tcW w:w="926" w:type="pct"/>
            <w:shd w:val="clear" w:color="auto" w:fill="auto"/>
            <w:vAlign w:val="center"/>
          </w:tcPr>
          <w:p w14:paraId="0CF744DD">
            <w:pPr>
              <w:widowControl/>
              <w:spacing w:line="240" w:lineRule="exact"/>
              <w:jc w:val="center"/>
              <w:rPr>
                <w:rFonts w:eastAsia="仿宋_GB2312"/>
                <w:kern w:val="0"/>
                <w:szCs w:val="21"/>
              </w:rPr>
            </w:pPr>
            <w:r>
              <w:rPr>
                <w:rFonts w:hint="eastAsia" w:eastAsia="仿宋_GB2312"/>
                <w:kern w:val="0"/>
                <w:szCs w:val="21"/>
              </w:rPr>
              <w:t>/</w:t>
            </w:r>
          </w:p>
        </w:tc>
        <w:tc>
          <w:tcPr>
            <w:tcW w:w="922" w:type="pct"/>
            <w:vAlign w:val="center"/>
          </w:tcPr>
          <w:p w14:paraId="05199700">
            <w:pPr>
              <w:jc w:val="center"/>
              <w:rPr>
                <w:b/>
                <w:szCs w:val="21"/>
                <w:highlight w:val="yellow"/>
              </w:rPr>
            </w:pPr>
            <w:r>
              <w:rPr>
                <w:szCs w:val="21"/>
              </w:rPr>
              <w:t>0.015</w:t>
            </w:r>
          </w:p>
        </w:tc>
      </w:tr>
      <w:tr w14:paraId="31E4AF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614" w:type="pct"/>
            <w:vMerge w:val="continue"/>
            <w:shd w:val="clear" w:color="auto" w:fill="auto"/>
            <w:vAlign w:val="center"/>
          </w:tcPr>
          <w:p w14:paraId="5D5FACD5">
            <w:pPr>
              <w:widowControl/>
              <w:spacing w:line="240" w:lineRule="exact"/>
              <w:jc w:val="center"/>
              <w:rPr>
                <w:rFonts w:eastAsia="仿宋_GB2312"/>
                <w:kern w:val="0"/>
                <w:szCs w:val="21"/>
                <w:highlight w:val="yellow"/>
              </w:rPr>
            </w:pPr>
          </w:p>
        </w:tc>
        <w:tc>
          <w:tcPr>
            <w:tcW w:w="1450" w:type="pct"/>
            <w:shd w:val="clear" w:color="auto" w:fill="auto"/>
            <w:tcMar>
              <w:top w:w="15" w:type="dxa"/>
              <w:left w:w="15" w:type="dxa"/>
              <w:bottom w:w="0" w:type="dxa"/>
              <w:right w:w="15" w:type="dxa"/>
            </w:tcMar>
            <w:vAlign w:val="center"/>
          </w:tcPr>
          <w:p w14:paraId="3A763F0C">
            <w:pPr>
              <w:widowControl/>
              <w:spacing w:line="240" w:lineRule="exact"/>
              <w:jc w:val="center"/>
              <w:rPr>
                <w:rFonts w:eastAsia="仿宋_GB2312"/>
                <w:kern w:val="0"/>
                <w:szCs w:val="21"/>
                <w:highlight w:val="yellow"/>
              </w:rPr>
            </w:pPr>
            <w:r>
              <w:rPr>
                <w:rFonts w:eastAsia="仿宋_GB2312"/>
                <w:kern w:val="0"/>
                <w:szCs w:val="21"/>
              </w:rPr>
              <w:t>丁醇</w:t>
            </w:r>
          </w:p>
        </w:tc>
        <w:tc>
          <w:tcPr>
            <w:tcW w:w="1086" w:type="pct"/>
            <w:shd w:val="clear" w:color="auto" w:fill="auto"/>
            <w:noWrap/>
            <w:tcMar>
              <w:top w:w="15" w:type="dxa"/>
              <w:left w:w="15" w:type="dxa"/>
              <w:bottom w:w="0" w:type="dxa"/>
              <w:right w:w="15" w:type="dxa"/>
            </w:tcMar>
            <w:vAlign w:val="center"/>
          </w:tcPr>
          <w:p w14:paraId="655D76C4">
            <w:pPr>
              <w:jc w:val="center"/>
              <w:rPr>
                <w:szCs w:val="21"/>
              </w:rPr>
            </w:pPr>
            <w:r>
              <w:rPr>
                <w:rFonts w:hint="eastAsia"/>
                <w:szCs w:val="21"/>
              </w:rPr>
              <w:t>0.085</w:t>
            </w:r>
          </w:p>
        </w:tc>
        <w:tc>
          <w:tcPr>
            <w:tcW w:w="926" w:type="pct"/>
            <w:shd w:val="clear" w:color="auto" w:fill="auto"/>
            <w:vAlign w:val="center"/>
          </w:tcPr>
          <w:p w14:paraId="4DA21B03">
            <w:pPr>
              <w:widowControl/>
              <w:spacing w:line="240" w:lineRule="exact"/>
              <w:jc w:val="center"/>
              <w:rPr>
                <w:rFonts w:eastAsia="仿宋_GB2312"/>
                <w:kern w:val="0"/>
                <w:szCs w:val="21"/>
              </w:rPr>
            </w:pPr>
            <w:r>
              <w:rPr>
                <w:rFonts w:hint="eastAsia" w:eastAsia="仿宋_GB2312"/>
                <w:kern w:val="0"/>
                <w:szCs w:val="21"/>
              </w:rPr>
              <w:t>/</w:t>
            </w:r>
          </w:p>
        </w:tc>
        <w:tc>
          <w:tcPr>
            <w:tcW w:w="922" w:type="pct"/>
            <w:vAlign w:val="center"/>
          </w:tcPr>
          <w:p w14:paraId="5EF32BD0">
            <w:pPr>
              <w:jc w:val="center"/>
              <w:rPr>
                <w:b/>
                <w:szCs w:val="21"/>
                <w:highlight w:val="yellow"/>
              </w:rPr>
            </w:pPr>
            <w:r>
              <w:rPr>
                <w:szCs w:val="21"/>
              </w:rPr>
              <w:t>0.085</w:t>
            </w:r>
          </w:p>
        </w:tc>
      </w:tr>
      <w:tr w14:paraId="677B1D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614" w:type="pct"/>
            <w:vMerge w:val="continue"/>
            <w:shd w:val="clear" w:color="auto" w:fill="auto"/>
            <w:vAlign w:val="center"/>
          </w:tcPr>
          <w:p w14:paraId="2D35E190">
            <w:pPr>
              <w:widowControl/>
              <w:spacing w:line="240" w:lineRule="exact"/>
              <w:jc w:val="center"/>
              <w:rPr>
                <w:rFonts w:eastAsia="仿宋_GB2312"/>
                <w:kern w:val="0"/>
                <w:szCs w:val="21"/>
                <w:highlight w:val="yellow"/>
              </w:rPr>
            </w:pPr>
          </w:p>
        </w:tc>
        <w:tc>
          <w:tcPr>
            <w:tcW w:w="1450" w:type="pct"/>
            <w:shd w:val="clear" w:color="auto" w:fill="auto"/>
            <w:tcMar>
              <w:top w:w="15" w:type="dxa"/>
              <w:left w:w="15" w:type="dxa"/>
              <w:bottom w:w="0" w:type="dxa"/>
              <w:right w:w="15" w:type="dxa"/>
            </w:tcMar>
            <w:vAlign w:val="center"/>
          </w:tcPr>
          <w:p w14:paraId="071B223D">
            <w:pPr>
              <w:widowControl/>
              <w:spacing w:line="240" w:lineRule="exact"/>
              <w:jc w:val="center"/>
              <w:rPr>
                <w:rFonts w:eastAsia="仿宋_GB2312"/>
                <w:kern w:val="0"/>
                <w:szCs w:val="21"/>
                <w:highlight w:val="yellow"/>
              </w:rPr>
            </w:pPr>
            <w:r>
              <w:rPr>
                <w:rFonts w:eastAsia="仿宋_GB2312"/>
                <w:kern w:val="0"/>
                <w:szCs w:val="21"/>
              </w:rPr>
              <w:t>辛醇</w:t>
            </w:r>
          </w:p>
        </w:tc>
        <w:tc>
          <w:tcPr>
            <w:tcW w:w="1086" w:type="pct"/>
            <w:shd w:val="clear" w:color="auto" w:fill="auto"/>
            <w:noWrap/>
            <w:tcMar>
              <w:top w:w="15" w:type="dxa"/>
              <w:left w:w="15" w:type="dxa"/>
              <w:bottom w:w="0" w:type="dxa"/>
              <w:right w:w="15" w:type="dxa"/>
            </w:tcMar>
            <w:vAlign w:val="center"/>
          </w:tcPr>
          <w:p w14:paraId="36FD383B">
            <w:pPr>
              <w:jc w:val="center"/>
              <w:rPr>
                <w:szCs w:val="21"/>
              </w:rPr>
            </w:pPr>
            <w:r>
              <w:rPr>
                <w:rFonts w:hint="eastAsia"/>
                <w:szCs w:val="21"/>
              </w:rPr>
              <w:t>0.027</w:t>
            </w:r>
          </w:p>
        </w:tc>
        <w:tc>
          <w:tcPr>
            <w:tcW w:w="926" w:type="pct"/>
            <w:shd w:val="clear" w:color="auto" w:fill="auto"/>
            <w:vAlign w:val="center"/>
          </w:tcPr>
          <w:p w14:paraId="2B630082">
            <w:pPr>
              <w:widowControl/>
              <w:spacing w:line="240" w:lineRule="exact"/>
              <w:jc w:val="center"/>
              <w:rPr>
                <w:rFonts w:eastAsia="仿宋_GB2312"/>
                <w:kern w:val="0"/>
                <w:szCs w:val="21"/>
              </w:rPr>
            </w:pPr>
            <w:r>
              <w:rPr>
                <w:rFonts w:hint="eastAsia" w:eastAsia="仿宋_GB2312"/>
                <w:kern w:val="0"/>
                <w:szCs w:val="21"/>
              </w:rPr>
              <w:t>/</w:t>
            </w:r>
          </w:p>
        </w:tc>
        <w:tc>
          <w:tcPr>
            <w:tcW w:w="922" w:type="pct"/>
            <w:vAlign w:val="center"/>
          </w:tcPr>
          <w:p w14:paraId="1017433C">
            <w:pPr>
              <w:jc w:val="center"/>
              <w:rPr>
                <w:b/>
                <w:szCs w:val="21"/>
                <w:highlight w:val="yellow"/>
              </w:rPr>
            </w:pPr>
            <w:r>
              <w:rPr>
                <w:szCs w:val="21"/>
              </w:rPr>
              <w:t>0.027</w:t>
            </w:r>
          </w:p>
        </w:tc>
      </w:tr>
      <w:tr w14:paraId="5EA043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614" w:type="pct"/>
            <w:vMerge w:val="continue"/>
            <w:shd w:val="clear" w:color="auto" w:fill="auto"/>
            <w:vAlign w:val="center"/>
          </w:tcPr>
          <w:p w14:paraId="792C723E">
            <w:pPr>
              <w:widowControl/>
              <w:spacing w:line="240" w:lineRule="exact"/>
              <w:jc w:val="center"/>
              <w:rPr>
                <w:rFonts w:eastAsia="仿宋_GB2312"/>
                <w:kern w:val="0"/>
                <w:szCs w:val="21"/>
                <w:highlight w:val="yellow"/>
              </w:rPr>
            </w:pPr>
          </w:p>
        </w:tc>
        <w:tc>
          <w:tcPr>
            <w:tcW w:w="1450" w:type="pct"/>
            <w:shd w:val="clear" w:color="auto" w:fill="auto"/>
            <w:tcMar>
              <w:top w:w="15" w:type="dxa"/>
              <w:left w:w="15" w:type="dxa"/>
              <w:bottom w:w="0" w:type="dxa"/>
              <w:right w:w="15" w:type="dxa"/>
            </w:tcMar>
            <w:vAlign w:val="center"/>
          </w:tcPr>
          <w:p w14:paraId="39279CAD">
            <w:pPr>
              <w:widowControl/>
              <w:spacing w:line="240" w:lineRule="exact"/>
              <w:jc w:val="center"/>
              <w:rPr>
                <w:rFonts w:eastAsia="仿宋_GB2312"/>
                <w:kern w:val="0"/>
                <w:szCs w:val="21"/>
                <w:highlight w:val="yellow"/>
              </w:rPr>
            </w:pPr>
            <w:r>
              <w:rPr>
                <w:rFonts w:eastAsia="仿宋_GB2312"/>
                <w:kern w:val="0"/>
                <w:szCs w:val="21"/>
              </w:rPr>
              <w:t>碳九</w:t>
            </w:r>
          </w:p>
        </w:tc>
        <w:tc>
          <w:tcPr>
            <w:tcW w:w="1086" w:type="pct"/>
            <w:shd w:val="clear" w:color="auto" w:fill="auto"/>
            <w:noWrap/>
            <w:tcMar>
              <w:top w:w="15" w:type="dxa"/>
              <w:left w:w="15" w:type="dxa"/>
              <w:bottom w:w="0" w:type="dxa"/>
              <w:right w:w="15" w:type="dxa"/>
            </w:tcMar>
            <w:vAlign w:val="center"/>
          </w:tcPr>
          <w:p w14:paraId="3FB25EE8">
            <w:pPr>
              <w:jc w:val="center"/>
              <w:rPr>
                <w:szCs w:val="21"/>
              </w:rPr>
            </w:pPr>
            <w:r>
              <w:rPr>
                <w:rFonts w:hint="eastAsia"/>
                <w:szCs w:val="21"/>
              </w:rPr>
              <w:t>0.051</w:t>
            </w:r>
          </w:p>
        </w:tc>
        <w:tc>
          <w:tcPr>
            <w:tcW w:w="926" w:type="pct"/>
            <w:shd w:val="clear" w:color="auto" w:fill="auto"/>
            <w:vAlign w:val="center"/>
          </w:tcPr>
          <w:p w14:paraId="38EFBDC1">
            <w:pPr>
              <w:widowControl/>
              <w:spacing w:line="240" w:lineRule="exact"/>
              <w:jc w:val="center"/>
              <w:rPr>
                <w:rFonts w:eastAsia="仿宋_GB2312"/>
                <w:kern w:val="0"/>
                <w:szCs w:val="21"/>
              </w:rPr>
            </w:pPr>
            <w:r>
              <w:rPr>
                <w:rFonts w:hint="eastAsia" w:eastAsia="仿宋_GB2312"/>
                <w:kern w:val="0"/>
                <w:szCs w:val="21"/>
              </w:rPr>
              <w:t>/</w:t>
            </w:r>
          </w:p>
        </w:tc>
        <w:tc>
          <w:tcPr>
            <w:tcW w:w="922" w:type="pct"/>
            <w:vAlign w:val="center"/>
          </w:tcPr>
          <w:p w14:paraId="604F55ED">
            <w:pPr>
              <w:jc w:val="center"/>
              <w:rPr>
                <w:b/>
                <w:szCs w:val="21"/>
                <w:highlight w:val="yellow"/>
              </w:rPr>
            </w:pPr>
            <w:r>
              <w:rPr>
                <w:szCs w:val="21"/>
              </w:rPr>
              <w:t>0.0</w:t>
            </w:r>
            <w:r>
              <w:rPr>
                <w:rFonts w:hint="eastAsia"/>
                <w:szCs w:val="21"/>
              </w:rPr>
              <w:t>51</w:t>
            </w:r>
          </w:p>
        </w:tc>
      </w:tr>
      <w:tr w14:paraId="633DF7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614" w:type="pct"/>
            <w:vMerge w:val="continue"/>
            <w:shd w:val="clear" w:color="auto" w:fill="auto"/>
            <w:vAlign w:val="center"/>
          </w:tcPr>
          <w:p w14:paraId="454AA6F8">
            <w:pPr>
              <w:widowControl/>
              <w:spacing w:line="240" w:lineRule="exact"/>
              <w:jc w:val="center"/>
              <w:rPr>
                <w:rFonts w:eastAsia="仿宋_GB2312"/>
                <w:kern w:val="0"/>
                <w:szCs w:val="21"/>
                <w:highlight w:val="yellow"/>
              </w:rPr>
            </w:pPr>
          </w:p>
        </w:tc>
        <w:tc>
          <w:tcPr>
            <w:tcW w:w="1450" w:type="pct"/>
            <w:shd w:val="clear" w:color="auto" w:fill="auto"/>
            <w:tcMar>
              <w:top w:w="15" w:type="dxa"/>
              <w:left w:w="15" w:type="dxa"/>
              <w:bottom w:w="0" w:type="dxa"/>
              <w:right w:w="15" w:type="dxa"/>
            </w:tcMar>
            <w:vAlign w:val="center"/>
          </w:tcPr>
          <w:p w14:paraId="5BF462A4">
            <w:pPr>
              <w:widowControl/>
              <w:spacing w:line="240" w:lineRule="exact"/>
              <w:jc w:val="center"/>
              <w:rPr>
                <w:rFonts w:eastAsia="仿宋_GB2312"/>
                <w:kern w:val="0"/>
                <w:szCs w:val="21"/>
                <w:highlight w:val="yellow"/>
              </w:rPr>
            </w:pPr>
            <w:r>
              <w:rPr>
                <w:rFonts w:eastAsia="仿宋_GB2312"/>
                <w:kern w:val="0"/>
                <w:szCs w:val="21"/>
              </w:rPr>
              <w:t>苯乙烯</w:t>
            </w:r>
          </w:p>
        </w:tc>
        <w:tc>
          <w:tcPr>
            <w:tcW w:w="1086" w:type="pct"/>
            <w:shd w:val="clear" w:color="auto" w:fill="auto"/>
            <w:noWrap/>
            <w:tcMar>
              <w:top w:w="15" w:type="dxa"/>
              <w:left w:w="15" w:type="dxa"/>
              <w:bottom w:w="0" w:type="dxa"/>
              <w:right w:w="15" w:type="dxa"/>
            </w:tcMar>
            <w:vAlign w:val="center"/>
          </w:tcPr>
          <w:p w14:paraId="497912A8">
            <w:pPr>
              <w:jc w:val="center"/>
              <w:rPr>
                <w:szCs w:val="21"/>
              </w:rPr>
            </w:pPr>
            <w:r>
              <w:rPr>
                <w:rFonts w:hint="eastAsia"/>
                <w:szCs w:val="21"/>
              </w:rPr>
              <w:t>0.01</w:t>
            </w:r>
          </w:p>
        </w:tc>
        <w:tc>
          <w:tcPr>
            <w:tcW w:w="926" w:type="pct"/>
            <w:shd w:val="clear" w:color="auto" w:fill="auto"/>
            <w:vAlign w:val="center"/>
          </w:tcPr>
          <w:p w14:paraId="44CD9225">
            <w:pPr>
              <w:widowControl/>
              <w:spacing w:line="240" w:lineRule="exact"/>
              <w:jc w:val="center"/>
              <w:rPr>
                <w:rFonts w:eastAsia="仿宋_GB2312"/>
                <w:kern w:val="0"/>
                <w:szCs w:val="21"/>
              </w:rPr>
            </w:pPr>
            <w:r>
              <w:rPr>
                <w:rFonts w:hint="eastAsia" w:eastAsia="仿宋_GB2312"/>
                <w:kern w:val="0"/>
                <w:szCs w:val="21"/>
              </w:rPr>
              <w:t>/</w:t>
            </w:r>
          </w:p>
        </w:tc>
        <w:tc>
          <w:tcPr>
            <w:tcW w:w="922" w:type="pct"/>
            <w:vAlign w:val="center"/>
          </w:tcPr>
          <w:p w14:paraId="1D6C6A7D">
            <w:pPr>
              <w:jc w:val="center"/>
              <w:rPr>
                <w:b/>
                <w:szCs w:val="21"/>
                <w:highlight w:val="yellow"/>
              </w:rPr>
            </w:pPr>
            <w:r>
              <w:rPr>
                <w:szCs w:val="21"/>
              </w:rPr>
              <w:t>0.01</w:t>
            </w:r>
          </w:p>
        </w:tc>
      </w:tr>
      <w:tr w14:paraId="22470A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614" w:type="pct"/>
            <w:vMerge w:val="continue"/>
            <w:shd w:val="clear" w:color="auto" w:fill="auto"/>
            <w:vAlign w:val="center"/>
          </w:tcPr>
          <w:p w14:paraId="5B3D9B67">
            <w:pPr>
              <w:widowControl/>
              <w:spacing w:line="240" w:lineRule="exact"/>
              <w:jc w:val="center"/>
              <w:rPr>
                <w:rFonts w:eastAsia="仿宋_GB2312"/>
                <w:kern w:val="0"/>
                <w:szCs w:val="21"/>
                <w:highlight w:val="yellow"/>
              </w:rPr>
            </w:pPr>
          </w:p>
        </w:tc>
        <w:tc>
          <w:tcPr>
            <w:tcW w:w="1450" w:type="pct"/>
            <w:shd w:val="clear" w:color="auto" w:fill="auto"/>
            <w:tcMar>
              <w:top w:w="15" w:type="dxa"/>
              <w:left w:w="15" w:type="dxa"/>
              <w:bottom w:w="0" w:type="dxa"/>
              <w:right w:w="15" w:type="dxa"/>
            </w:tcMar>
            <w:vAlign w:val="center"/>
          </w:tcPr>
          <w:p w14:paraId="657F9B07">
            <w:pPr>
              <w:widowControl/>
              <w:spacing w:line="240" w:lineRule="exact"/>
              <w:jc w:val="center"/>
              <w:rPr>
                <w:rFonts w:eastAsia="仿宋_GB2312"/>
                <w:kern w:val="0"/>
                <w:szCs w:val="21"/>
                <w:highlight w:val="yellow"/>
              </w:rPr>
            </w:pPr>
            <w:r>
              <w:rPr>
                <w:rFonts w:eastAsia="仿宋_GB2312"/>
                <w:kern w:val="0"/>
                <w:szCs w:val="21"/>
              </w:rPr>
              <w:t>环戊酮</w:t>
            </w:r>
          </w:p>
        </w:tc>
        <w:tc>
          <w:tcPr>
            <w:tcW w:w="1086" w:type="pct"/>
            <w:shd w:val="clear" w:color="auto" w:fill="auto"/>
            <w:noWrap/>
            <w:tcMar>
              <w:top w:w="15" w:type="dxa"/>
              <w:left w:w="15" w:type="dxa"/>
              <w:bottom w:w="0" w:type="dxa"/>
              <w:right w:w="15" w:type="dxa"/>
            </w:tcMar>
            <w:vAlign w:val="center"/>
          </w:tcPr>
          <w:p w14:paraId="6B6B48DC">
            <w:pPr>
              <w:jc w:val="center"/>
              <w:rPr>
                <w:szCs w:val="21"/>
              </w:rPr>
            </w:pPr>
            <w:r>
              <w:rPr>
                <w:rFonts w:hint="eastAsia"/>
                <w:szCs w:val="21"/>
              </w:rPr>
              <w:t>0.035</w:t>
            </w:r>
          </w:p>
        </w:tc>
        <w:tc>
          <w:tcPr>
            <w:tcW w:w="926" w:type="pct"/>
            <w:shd w:val="clear" w:color="auto" w:fill="auto"/>
            <w:vAlign w:val="center"/>
          </w:tcPr>
          <w:p w14:paraId="0DD720A7">
            <w:pPr>
              <w:widowControl/>
              <w:spacing w:line="240" w:lineRule="exact"/>
              <w:jc w:val="center"/>
              <w:rPr>
                <w:rFonts w:eastAsia="仿宋_GB2312"/>
                <w:kern w:val="0"/>
                <w:szCs w:val="21"/>
              </w:rPr>
            </w:pPr>
            <w:r>
              <w:rPr>
                <w:rFonts w:hint="eastAsia" w:eastAsia="仿宋_GB2312"/>
                <w:kern w:val="0"/>
                <w:szCs w:val="21"/>
              </w:rPr>
              <w:t>/</w:t>
            </w:r>
          </w:p>
        </w:tc>
        <w:tc>
          <w:tcPr>
            <w:tcW w:w="922" w:type="pct"/>
            <w:vAlign w:val="center"/>
          </w:tcPr>
          <w:p w14:paraId="110C5C8B">
            <w:pPr>
              <w:jc w:val="center"/>
              <w:rPr>
                <w:b/>
                <w:szCs w:val="21"/>
                <w:highlight w:val="yellow"/>
              </w:rPr>
            </w:pPr>
            <w:r>
              <w:rPr>
                <w:szCs w:val="21"/>
              </w:rPr>
              <w:t>0.0</w:t>
            </w:r>
            <w:r>
              <w:rPr>
                <w:rFonts w:hint="eastAsia"/>
                <w:szCs w:val="21"/>
              </w:rPr>
              <w:t>35</w:t>
            </w:r>
          </w:p>
        </w:tc>
      </w:tr>
      <w:tr w14:paraId="713A9B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614" w:type="pct"/>
            <w:vMerge w:val="continue"/>
            <w:shd w:val="clear" w:color="auto" w:fill="auto"/>
            <w:vAlign w:val="center"/>
          </w:tcPr>
          <w:p w14:paraId="1A7CE16E">
            <w:pPr>
              <w:widowControl/>
              <w:spacing w:line="240" w:lineRule="exact"/>
              <w:jc w:val="center"/>
              <w:rPr>
                <w:rFonts w:eastAsia="仿宋_GB2312"/>
                <w:kern w:val="0"/>
                <w:szCs w:val="21"/>
                <w:highlight w:val="yellow"/>
              </w:rPr>
            </w:pPr>
          </w:p>
        </w:tc>
        <w:tc>
          <w:tcPr>
            <w:tcW w:w="1450" w:type="pct"/>
            <w:shd w:val="clear" w:color="auto" w:fill="auto"/>
            <w:tcMar>
              <w:top w:w="15" w:type="dxa"/>
              <w:left w:w="15" w:type="dxa"/>
              <w:bottom w:w="0" w:type="dxa"/>
              <w:right w:w="15" w:type="dxa"/>
            </w:tcMar>
            <w:vAlign w:val="center"/>
          </w:tcPr>
          <w:p w14:paraId="43E0ECD0">
            <w:pPr>
              <w:widowControl/>
              <w:spacing w:line="240" w:lineRule="exact"/>
              <w:jc w:val="center"/>
              <w:rPr>
                <w:rFonts w:eastAsia="仿宋_GB2312"/>
                <w:kern w:val="0"/>
                <w:szCs w:val="21"/>
                <w:highlight w:val="yellow"/>
              </w:rPr>
            </w:pPr>
            <w:r>
              <w:rPr>
                <w:rFonts w:eastAsia="仿宋_GB2312"/>
                <w:kern w:val="0"/>
                <w:szCs w:val="21"/>
              </w:rPr>
              <w:t>乙酸甲酯</w:t>
            </w:r>
          </w:p>
        </w:tc>
        <w:tc>
          <w:tcPr>
            <w:tcW w:w="1086" w:type="pct"/>
            <w:shd w:val="clear" w:color="auto" w:fill="auto"/>
            <w:noWrap/>
            <w:tcMar>
              <w:top w:w="15" w:type="dxa"/>
              <w:left w:w="15" w:type="dxa"/>
              <w:bottom w:w="0" w:type="dxa"/>
              <w:right w:w="15" w:type="dxa"/>
            </w:tcMar>
            <w:vAlign w:val="center"/>
          </w:tcPr>
          <w:p w14:paraId="26E9B5B7">
            <w:pPr>
              <w:jc w:val="center"/>
              <w:rPr>
                <w:szCs w:val="21"/>
              </w:rPr>
            </w:pPr>
            <w:r>
              <w:rPr>
                <w:rFonts w:hint="eastAsia"/>
                <w:szCs w:val="21"/>
              </w:rPr>
              <w:t>0.029</w:t>
            </w:r>
          </w:p>
        </w:tc>
        <w:tc>
          <w:tcPr>
            <w:tcW w:w="926" w:type="pct"/>
            <w:shd w:val="clear" w:color="auto" w:fill="auto"/>
            <w:vAlign w:val="center"/>
          </w:tcPr>
          <w:p w14:paraId="6EECF243">
            <w:pPr>
              <w:widowControl/>
              <w:spacing w:line="240" w:lineRule="exact"/>
              <w:jc w:val="center"/>
              <w:rPr>
                <w:rFonts w:eastAsia="仿宋_GB2312"/>
                <w:kern w:val="0"/>
                <w:szCs w:val="21"/>
              </w:rPr>
            </w:pPr>
            <w:r>
              <w:rPr>
                <w:rFonts w:hint="eastAsia" w:eastAsia="仿宋_GB2312"/>
                <w:kern w:val="0"/>
                <w:szCs w:val="21"/>
              </w:rPr>
              <w:t>/</w:t>
            </w:r>
          </w:p>
        </w:tc>
        <w:tc>
          <w:tcPr>
            <w:tcW w:w="922" w:type="pct"/>
            <w:vAlign w:val="center"/>
          </w:tcPr>
          <w:p w14:paraId="1316EACE">
            <w:pPr>
              <w:jc w:val="center"/>
              <w:rPr>
                <w:b/>
                <w:szCs w:val="21"/>
                <w:highlight w:val="yellow"/>
              </w:rPr>
            </w:pPr>
            <w:r>
              <w:rPr>
                <w:szCs w:val="21"/>
              </w:rPr>
              <w:t>0.0</w:t>
            </w:r>
            <w:r>
              <w:rPr>
                <w:rFonts w:hint="eastAsia"/>
                <w:szCs w:val="21"/>
              </w:rPr>
              <w:t>29</w:t>
            </w:r>
          </w:p>
        </w:tc>
      </w:tr>
      <w:tr w14:paraId="577DAB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614" w:type="pct"/>
            <w:vMerge w:val="continue"/>
            <w:shd w:val="clear" w:color="auto" w:fill="auto"/>
            <w:vAlign w:val="center"/>
          </w:tcPr>
          <w:p w14:paraId="705B4718">
            <w:pPr>
              <w:widowControl/>
              <w:spacing w:line="240" w:lineRule="exact"/>
              <w:jc w:val="center"/>
              <w:rPr>
                <w:rFonts w:eastAsia="仿宋_GB2312"/>
                <w:kern w:val="0"/>
                <w:szCs w:val="21"/>
                <w:highlight w:val="yellow"/>
              </w:rPr>
            </w:pPr>
          </w:p>
        </w:tc>
        <w:tc>
          <w:tcPr>
            <w:tcW w:w="1450" w:type="pct"/>
            <w:shd w:val="clear" w:color="auto" w:fill="auto"/>
            <w:tcMar>
              <w:top w:w="15" w:type="dxa"/>
              <w:left w:w="15" w:type="dxa"/>
              <w:bottom w:w="0" w:type="dxa"/>
              <w:right w:w="15" w:type="dxa"/>
            </w:tcMar>
            <w:vAlign w:val="center"/>
          </w:tcPr>
          <w:p w14:paraId="78C349D8">
            <w:pPr>
              <w:widowControl/>
              <w:spacing w:line="240" w:lineRule="exact"/>
              <w:jc w:val="center"/>
              <w:rPr>
                <w:rFonts w:eastAsia="仿宋_GB2312"/>
                <w:kern w:val="0"/>
                <w:szCs w:val="21"/>
                <w:highlight w:val="yellow"/>
              </w:rPr>
            </w:pPr>
            <w:r>
              <w:rPr>
                <w:rFonts w:eastAsia="仿宋_GB2312"/>
                <w:kern w:val="0"/>
                <w:szCs w:val="21"/>
              </w:rPr>
              <w:t>二甲基甲酰胺</w:t>
            </w:r>
          </w:p>
        </w:tc>
        <w:tc>
          <w:tcPr>
            <w:tcW w:w="1086" w:type="pct"/>
            <w:shd w:val="clear" w:color="auto" w:fill="auto"/>
            <w:noWrap/>
            <w:tcMar>
              <w:top w:w="15" w:type="dxa"/>
              <w:left w:w="15" w:type="dxa"/>
              <w:bottom w:w="0" w:type="dxa"/>
              <w:right w:w="15" w:type="dxa"/>
            </w:tcMar>
            <w:vAlign w:val="center"/>
          </w:tcPr>
          <w:p w14:paraId="76F4D37C">
            <w:pPr>
              <w:jc w:val="center"/>
              <w:rPr>
                <w:szCs w:val="21"/>
              </w:rPr>
            </w:pPr>
            <w:r>
              <w:rPr>
                <w:rFonts w:hint="eastAsia"/>
                <w:szCs w:val="21"/>
              </w:rPr>
              <w:t>0.024</w:t>
            </w:r>
          </w:p>
        </w:tc>
        <w:tc>
          <w:tcPr>
            <w:tcW w:w="926" w:type="pct"/>
            <w:vAlign w:val="center"/>
          </w:tcPr>
          <w:p w14:paraId="29622B2B">
            <w:pPr>
              <w:jc w:val="center"/>
              <w:rPr>
                <w:szCs w:val="21"/>
                <w:highlight w:val="yellow"/>
              </w:rPr>
            </w:pPr>
            <w:r>
              <w:rPr>
                <w:rFonts w:hint="eastAsia" w:eastAsia="仿宋_GB2312"/>
                <w:kern w:val="0"/>
                <w:szCs w:val="21"/>
              </w:rPr>
              <w:t>/</w:t>
            </w:r>
          </w:p>
        </w:tc>
        <w:tc>
          <w:tcPr>
            <w:tcW w:w="922" w:type="pct"/>
            <w:vAlign w:val="center"/>
          </w:tcPr>
          <w:p w14:paraId="361ED27C">
            <w:pPr>
              <w:jc w:val="center"/>
              <w:rPr>
                <w:b/>
                <w:szCs w:val="21"/>
                <w:highlight w:val="yellow"/>
              </w:rPr>
            </w:pPr>
            <w:r>
              <w:rPr>
                <w:szCs w:val="21"/>
              </w:rPr>
              <w:t>0.024</w:t>
            </w:r>
          </w:p>
        </w:tc>
      </w:tr>
      <w:tr w14:paraId="223BAB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614" w:type="pct"/>
            <w:vMerge w:val="continue"/>
            <w:shd w:val="clear" w:color="auto" w:fill="auto"/>
            <w:vAlign w:val="center"/>
          </w:tcPr>
          <w:p w14:paraId="0B396483">
            <w:pPr>
              <w:widowControl/>
              <w:spacing w:line="240" w:lineRule="exact"/>
              <w:jc w:val="center"/>
              <w:rPr>
                <w:rFonts w:eastAsia="仿宋_GB2312"/>
                <w:kern w:val="0"/>
                <w:szCs w:val="21"/>
                <w:highlight w:val="yellow"/>
              </w:rPr>
            </w:pPr>
          </w:p>
        </w:tc>
        <w:tc>
          <w:tcPr>
            <w:tcW w:w="1450" w:type="pct"/>
            <w:shd w:val="clear" w:color="auto" w:fill="auto"/>
            <w:tcMar>
              <w:top w:w="15" w:type="dxa"/>
              <w:left w:w="15" w:type="dxa"/>
              <w:bottom w:w="0" w:type="dxa"/>
              <w:right w:w="15" w:type="dxa"/>
            </w:tcMar>
            <w:vAlign w:val="center"/>
          </w:tcPr>
          <w:p w14:paraId="33D1BF05">
            <w:pPr>
              <w:widowControl/>
              <w:spacing w:line="240" w:lineRule="exact"/>
              <w:jc w:val="center"/>
              <w:rPr>
                <w:rFonts w:eastAsia="仿宋_GB2312"/>
                <w:kern w:val="0"/>
                <w:szCs w:val="21"/>
                <w:highlight w:val="yellow"/>
              </w:rPr>
            </w:pPr>
            <w:r>
              <w:rPr>
                <w:rFonts w:eastAsia="仿宋_GB2312"/>
                <w:kern w:val="0"/>
                <w:szCs w:val="21"/>
              </w:rPr>
              <w:t>非甲烷总烃</w:t>
            </w:r>
          </w:p>
        </w:tc>
        <w:tc>
          <w:tcPr>
            <w:tcW w:w="1811" w:type="dxa"/>
            <w:shd w:val="clear" w:color="auto" w:fill="auto"/>
            <w:noWrap/>
            <w:tcMar>
              <w:top w:w="15" w:type="dxa"/>
              <w:left w:w="15" w:type="dxa"/>
              <w:bottom w:w="0" w:type="dxa"/>
              <w:right w:w="15" w:type="dxa"/>
            </w:tcMar>
            <w:vAlign w:val="center"/>
          </w:tcPr>
          <w:p w14:paraId="1099FCF5">
            <w:pPr>
              <w:jc w:val="center"/>
              <w:rPr>
                <w:rFonts w:hint="eastAsia"/>
                <w:szCs w:val="21"/>
              </w:rPr>
            </w:pPr>
            <w:r>
              <w:rPr>
                <w:rFonts w:hint="default"/>
                <w:szCs w:val="21"/>
                <w:lang w:val="en-US" w:eastAsia="zh-CN"/>
              </w:rPr>
              <w:t>2.23543</w:t>
            </w:r>
          </w:p>
        </w:tc>
        <w:tc>
          <w:tcPr>
            <w:tcW w:w="1544" w:type="dxa"/>
            <w:vAlign w:val="center"/>
          </w:tcPr>
          <w:p w14:paraId="7E8A0A2F">
            <w:pPr>
              <w:jc w:val="center"/>
              <w:rPr>
                <w:rFonts w:hint="eastAsia"/>
                <w:szCs w:val="21"/>
              </w:rPr>
            </w:pPr>
            <w:r>
              <w:rPr>
                <w:rFonts w:hint="default"/>
                <w:szCs w:val="21"/>
                <w:lang w:val="en-US" w:eastAsia="zh-CN"/>
              </w:rPr>
              <w:t>1.2118</w:t>
            </w:r>
          </w:p>
        </w:tc>
        <w:tc>
          <w:tcPr>
            <w:tcW w:w="1537" w:type="dxa"/>
            <w:vAlign w:val="center"/>
          </w:tcPr>
          <w:p w14:paraId="10B59C59">
            <w:pPr>
              <w:jc w:val="center"/>
              <w:rPr>
                <w:rFonts w:hint="eastAsia"/>
                <w:szCs w:val="21"/>
              </w:rPr>
            </w:pPr>
            <w:r>
              <w:rPr>
                <w:rFonts w:hint="default"/>
                <w:szCs w:val="21"/>
                <w:lang w:val="en-US" w:eastAsia="zh-CN"/>
              </w:rPr>
              <w:t>3.44723</w:t>
            </w:r>
          </w:p>
        </w:tc>
      </w:tr>
      <w:tr w14:paraId="031144A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614" w:type="pct"/>
            <w:vMerge w:val="continue"/>
            <w:shd w:val="clear" w:color="auto" w:fill="auto"/>
            <w:vAlign w:val="center"/>
          </w:tcPr>
          <w:p w14:paraId="66396933">
            <w:pPr>
              <w:widowControl/>
              <w:spacing w:line="240" w:lineRule="exact"/>
              <w:jc w:val="center"/>
              <w:rPr>
                <w:rFonts w:eastAsia="仿宋_GB2312"/>
                <w:kern w:val="0"/>
                <w:szCs w:val="21"/>
                <w:highlight w:val="yellow"/>
              </w:rPr>
            </w:pPr>
          </w:p>
        </w:tc>
        <w:tc>
          <w:tcPr>
            <w:tcW w:w="1450" w:type="pct"/>
            <w:shd w:val="clear" w:color="auto" w:fill="auto"/>
            <w:tcMar>
              <w:top w:w="15" w:type="dxa"/>
              <w:left w:w="15" w:type="dxa"/>
              <w:bottom w:w="0" w:type="dxa"/>
              <w:right w:w="15" w:type="dxa"/>
            </w:tcMar>
            <w:vAlign w:val="center"/>
          </w:tcPr>
          <w:p w14:paraId="4385B20D">
            <w:pPr>
              <w:widowControl/>
              <w:spacing w:line="240" w:lineRule="exact"/>
              <w:jc w:val="center"/>
              <w:rPr>
                <w:rFonts w:eastAsia="仿宋_GB2312"/>
                <w:kern w:val="0"/>
                <w:szCs w:val="21"/>
                <w:highlight w:val="yellow"/>
              </w:rPr>
            </w:pPr>
            <w:r>
              <w:rPr>
                <w:rFonts w:eastAsia="仿宋_GB2312"/>
                <w:kern w:val="0"/>
                <w:szCs w:val="21"/>
              </w:rPr>
              <w:t>VOCs</w:t>
            </w:r>
          </w:p>
        </w:tc>
        <w:tc>
          <w:tcPr>
            <w:tcW w:w="1811" w:type="dxa"/>
            <w:shd w:val="clear" w:color="auto" w:fill="auto"/>
            <w:noWrap/>
            <w:tcMar>
              <w:top w:w="15" w:type="dxa"/>
              <w:left w:w="15" w:type="dxa"/>
              <w:bottom w:w="0" w:type="dxa"/>
              <w:right w:w="15" w:type="dxa"/>
            </w:tcMar>
            <w:vAlign w:val="center"/>
          </w:tcPr>
          <w:p w14:paraId="7B0C8578">
            <w:pPr>
              <w:jc w:val="center"/>
              <w:rPr>
                <w:rFonts w:hint="eastAsia"/>
                <w:szCs w:val="21"/>
              </w:rPr>
            </w:pPr>
            <w:r>
              <w:rPr>
                <w:rFonts w:hint="default"/>
                <w:szCs w:val="21"/>
                <w:lang w:val="en-US" w:eastAsia="zh-CN"/>
              </w:rPr>
              <w:t>3.89065</w:t>
            </w:r>
          </w:p>
        </w:tc>
        <w:tc>
          <w:tcPr>
            <w:tcW w:w="1544" w:type="dxa"/>
            <w:vAlign w:val="center"/>
          </w:tcPr>
          <w:p w14:paraId="2A694A40">
            <w:pPr>
              <w:jc w:val="center"/>
              <w:rPr>
                <w:rFonts w:hint="eastAsia"/>
                <w:szCs w:val="21"/>
              </w:rPr>
            </w:pPr>
            <w:r>
              <w:rPr>
                <w:rFonts w:hint="default"/>
                <w:szCs w:val="21"/>
                <w:lang w:val="en-US" w:eastAsia="zh-CN"/>
              </w:rPr>
              <w:t>1.83758</w:t>
            </w:r>
          </w:p>
        </w:tc>
        <w:tc>
          <w:tcPr>
            <w:tcW w:w="1537" w:type="dxa"/>
            <w:vAlign w:val="center"/>
          </w:tcPr>
          <w:p w14:paraId="24524441">
            <w:pPr>
              <w:jc w:val="center"/>
              <w:rPr>
                <w:rFonts w:hint="eastAsia"/>
                <w:szCs w:val="21"/>
              </w:rPr>
            </w:pPr>
            <w:r>
              <w:rPr>
                <w:rFonts w:hint="default"/>
                <w:szCs w:val="21"/>
                <w:lang w:val="en-US" w:eastAsia="zh-CN"/>
              </w:rPr>
              <w:t>5.72823</w:t>
            </w:r>
          </w:p>
        </w:tc>
      </w:tr>
      <w:tr w14:paraId="02F3F8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614" w:type="pct"/>
            <w:vMerge w:val="restart"/>
            <w:shd w:val="clear" w:color="auto" w:fill="auto"/>
            <w:tcMar>
              <w:top w:w="15" w:type="dxa"/>
              <w:left w:w="15" w:type="dxa"/>
              <w:bottom w:w="0" w:type="dxa"/>
              <w:right w:w="15" w:type="dxa"/>
            </w:tcMar>
            <w:vAlign w:val="center"/>
          </w:tcPr>
          <w:p w14:paraId="4882DE95">
            <w:pPr>
              <w:widowControl/>
              <w:spacing w:line="240" w:lineRule="exact"/>
              <w:jc w:val="center"/>
              <w:rPr>
                <w:rFonts w:eastAsia="仿宋_GB2312"/>
                <w:kern w:val="0"/>
                <w:szCs w:val="21"/>
              </w:rPr>
            </w:pPr>
            <w:r>
              <w:rPr>
                <w:rFonts w:eastAsia="仿宋_GB2312"/>
                <w:kern w:val="0"/>
                <w:szCs w:val="21"/>
              </w:rPr>
              <w:t>废水</w:t>
            </w:r>
          </w:p>
          <w:p w14:paraId="5FA1CAE7">
            <w:pPr>
              <w:widowControl/>
              <w:spacing w:line="240" w:lineRule="exact"/>
              <w:jc w:val="center"/>
              <w:rPr>
                <w:rFonts w:eastAsia="仿宋_GB2312"/>
                <w:kern w:val="0"/>
                <w:szCs w:val="21"/>
              </w:rPr>
            </w:pPr>
            <w:r>
              <w:rPr>
                <w:rFonts w:eastAsia="仿宋_GB2312"/>
                <w:kern w:val="0"/>
                <w:szCs w:val="21"/>
              </w:rPr>
              <w:t>（接管）</w:t>
            </w:r>
          </w:p>
        </w:tc>
        <w:tc>
          <w:tcPr>
            <w:tcW w:w="1450" w:type="pct"/>
            <w:shd w:val="clear" w:color="auto" w:fill="auto"/>
            <w:tcMar>
              <w:top w:w="15" w:type="dxa"/>
              <w:left w:w="15" w:type="dxa"/>
              <w:bottom w:w="0" w:type="dxa"/>
              <w:right w:w="15" w:type="dxa"/>
            </w:tcMar>
            <w:vAlign w:val="center"/>
          </w:tcPr>
          <w:p w14:paraId="5CF1E96A">
            <w:pPr>
              <w:widowControl/>
              <w:spacing w:line="240" w:lineRule="exact"/>
              <w:jc w:val="center"/>
              <w:rPr>
                <w:rFonts w:eastAsia="仿宋_GB2312"/>
                <w:kern w:val="0"/>
                <w:szCs w:val="21"/>
              </w:rPr>
            </w:pPr>
            <w:r>
              <w:rPr>
                <w:rFonts w:eastAsia="仿宋_GB2312"/>
                <w:kern w:val="0"/>
                <w:szCs w:val="21"/>
              </w:rPr>
              <w:t>废水量</w:t>
            </w:r>
            <w:r>
              <w:rPr>
                <w:rFonts w:hint="eastAsia" w:eastAsia="仿宋_GB2312"/>
                <w:kern w:val="0"/>
                <w:szCs w:val="21"/>
              </w:rPr>
              <w:t>（m</w:t>
            </w:r>
            <w:r>
              <w:rPr>
                <w:rFonts w:hint="eastAsia" w:eastAsia="仿宋_GB2312"/>
                <w:kern w:val="0"/>
                <w:szCs w:val="21"/>
                <w:vertAlign w:val="superscript"/>
              </w:rPr>
              <w:t>3</w:t>
            </w:r>
            <w:r>
              <w:rPr>
                <w:rFonts w:hint="eastAsia" w:eastAsia="仿宋_GB2312"/>
                <w:kern w:val="0"/>
                <w:szCs w:val="21"/>
              </w:rPr>
              <w:t>/a）</w:t>
            </w:r>
          </w:p>
        </w:tc>
        <w:tc>
          <w:tcPr>
            <w:tcW w:w="1086" w:type="pct"/>
            <w:shd w:val="clear" w:color="auto" w:fill="auto"/>
            <w:noWrap/>
            <w:tcMar>
              <w:top w:w="15" w:type="dxa"/>
              <w:left w:w="15" w:type="dxa"/>
              <w:bottom w:w="0" w:type="dxa"/>
              <w:right w:w="15" w:type="dxa"/>
            </w:tcMar>
            <w:vAlign w:val="center"/>
          </w:tcPr>
          <w:p w14:paraId="47947E1F">
            <w:pPr>
              <w:widowControl/>
              <w:spacing w:line="240" w:lineRule="exact"/>
              <w:jc w:val="center"/>
              <w:rPr>
                <w:rFonts w:hint="default" w:eastAsia="仿宋_GB2312"/>
                <w:color w:val="auto"/>
                <w:kern w:val="0"/>
                <w:szCs w:val="21"/>
                <w:lang w:val="en-US" w:eastAsia="zh-CN"/>
              </w:rPr>
            </w:pPr>
            <w:r>
              <w:rPr>
                <w:rFonts w:hint="eastAsia" w:eastAsia="仿宋_GB2312"/>
                <w:color w:val="auto"/>
                <w:kern w:val="0"/>
                <w:szCs w:val="21"/>
                <w:lang w:val="en-US" w:eastAsia="zh-CN"/>
              </w:rPr>
              <w:t>66320.17</w:t>
            </w:r>
          </w:p>
        </w:tc>
        <w:tc>
          <w:tcPr>
            <w:tcW w:w="926" w:type="pct"/>
            <w:shd w:val="clear" w:color="auto" w:fill="auto"/>
            <w:vAlign w:val="center"/>
          </w:tcPr>
          <w:p w14:paraId="26B73358">
            <w:pPr>
              <w:widowControl/>
              <w:spacing w:line="240" w:lineRule="exact"/>
              <w:jc w:val="center"/>
              <w:rPr>
                <w:rFonts w:hint="default" w:eastAsia="仿宋_GB2312"/>
                <w:color w:val="auto"/>
                <w:kern w:val="0"/>
                <w:szCs w:val="21"/>
                <w:lang w:val="en-US" w:eastAsia="zh-CN"/>
              </w:rPr>
            </w:pPr>
            <w:r>
              <w:rPr>
                <w:rFonts w:hint="eastAsia" w:eastAsia="仿宋_GB2312"/>
                <w:color w:val="auto"/>
                <w:kern w:val="0"/>
                <w:szCs w:val="21"/>
                <w:lang w:val="en-US" w:eastAsia="zh-CN"/>
              </w:rPr>
              <w:t>217520</w:t>
            </w:r>
          </w:p>
        </w:tc>
        <w:tc>
          <w:tcPr>
            <w:tcW w:w="922" w:type="pct"/>
            <w:vAlign w:val="center"/>
          </w:tcPr>
          <w:p w14:paraId="5D3986C4">
            <w:pPr>
              <w:widowControl/>
              <w:spacing w:line="240" w:lineRule="exact"/>
              <w:jc w:val="center"/>
              <w:rPr>
                <w:rFonts w:hint="default" w:eastAsia="仿宋_GB2312"/>
                <w:color w:val="auto"/>
                <w:kern w:val="0"/>
                <w:szCs w:val="21"/>
                <w:lang w:val="en-US" w:eastAsia="zh-CN"/>
              </w:rPr>
            </w:pPr>
            <w:r>
              <w:rPr>
                <w:rFonts w:hint="eastAsia" w:eastAsia="仿宋_GB2312"/>
                <w:color w:val="auto"/>
                <w:kern w:val="0"/>
                <w:szCs w:val="21"/>
                <w:lang w:val="en-US" w:eastAsia="zh-CN"/>
              </w:rPr>
              <w:t>283840.17</w:t>
            </w:r>
          </w:p>
        </w:tc>
      </w:tr>
      <w:tr w14:paraId="7C2899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614" w:type="pct"/>
            <w:vMerge w:val="continue"/>
            <w:shd w:val="clear" w:color="auto" w:fill="auto"/>
            <w:vAlign w:val="center"/>
          </w:tcPr>
          <w:p w14:paraId="6485A50D">
            <w:pPr>
              <w:widowControl/>
              <w:spacing w:line="240" w:lineRule="exact"/>
              <w:jc w:val="center"/>
              <w:rPr>
                <w:rFonts w:eastAsia="仿宋_GB2312"/>
                <w:kern w:val="0"/>
                <w:szCs w:val="21"/>
              </w:rPr>
            </w:pPr>
          </w:p>
        </w:tc>
        <w:tc>
          <w:tcPr>
            <w:tcW w:w="1450" w:type="pct"/>
            <w:shd w:val="clear" w:color="auto" w:fill="auto"/>
            <w:tcMar>
              <w:top w:w="15" w:type="dxa"/>
              <w:left w:w="15" w:type="dxa"/>
              <w:bottom w:w="0" w:type="dxa"/>
              <w:right w:w="15" w:type="dxa"/>
            </w:tcMar>
            <w:vAlign w:val="center"/>
          </w:tcPr>
          <w:p w14:paraId="7619CC79">
            <w:pPr>
              <w:widowControl/>
              <w:spacing w:line="240" w:lineRule="exact"/>
              <w:jc w:val="center"/>
              <w:rPr>
                <w:rFonts w:eastAsia="仿宋_GB2312"/>
                <w:kern w:val="0"/>
                <w:szCs w:val="21"/>
              </w:rPr>
            </w:pPr>
            <w:r>
              <w:rPr>
                <w:rFonts w:eastAsia="仿宋_GB2312"/>
                <w:kern w:val="0"/>
                <w:szCs w:val="21"/>
              </w:rPr>
              <w:t>COD</w:t>
            </w:r>
          </w:p>
        </w:tc>
        <w:tc>
          <w:tcPr>
            <w:tcW w:w="1086" w:type="pct"/>
            <w:shd w:val="clear" w:color="auto" w:fill="auto"/>
            <w:noWrap/>
            <w:tcMar>
              <w:top w:w="15" w:type="dxa"/>
              <w:left w:w="15" w:type="dxa"/>
              <w:bottom w:w="0" w:type="dxa"/>
              <w:right w:w="15" w:type="dxa"/>
            </w:tcMar>
            <w:vAlign w:val="center"/>
          </w:tcPr>
          <w:p w14:paraId="56C62C40">
            <w:pPr>
              <w:widowControl/>
              <w:spacing w:line="240" w:lineRule="exact"/>
              <w:jc w:val="center"/>
              <w:rPr>
                <w:rFonts w:hint="default" w:eastAsia="仿宋_GB2312"/>
                <w:color w:val="auto"/>
                <w:kern w:val="0"/>
                <w:szCs w:val="21"/>
                <w:lang w:val="en-US" w:eastAsia="zh-CN"/>
              </w:rPr>
            </w:pPr>
            <w:r>
              <w:rPr>
                <w:rFonts w:hint="eastAsia" w:eastAsia="仿宋_GB2312"/>
                <w:color w:val="auto"/>
                <w:kern w:val="0"/>
                <w:szCs w:val="21"/>
                <w:lang w:val="en-US" w:eastAsia="zh-CN"/>
              </w:rPr>
              <w:t>26.528</w:t>
            </w:r>
          </w:p>
        </w:tc>
        <w:tc>
          <w:tcPr>
            <w:tcW w:w="926" w:type="pct"/>
            <w:shd w:val="clear" w:color="auto" w:fill="auto"/>
            <w:vAlign w:val="center"/>
          </w:tcPr>
          <w:p w14:paraId="0B9C7B7B">
            <w:pPr>
              <w:widowControl/>
              <w:spacing w:line="240" w:lineRule="exact"/>
              <w:jc w:val="center"/>
              <w:rPr>
                <w:rFonts w:eastAsia="仿宋_GB2312"/>
                <w:color w:val="auto"/>
                <w:kern w:val="0"/>
                <w:szCs w:val="21"/>
              </w:rPr>
            </w:pPr>
            <w:r>
              <w:rPr>
                <w:rFonts w:eastAsia="仿宋_GB2312"/>
                <w:color w:val="auto"/>
                <w:kern w:val="0"/>
                <w:szCs w:val="21"/>
              </w:rPr>
              <w:t>40.9114</w:t>
            </w:r>
          </w:p>
        </w:tc>
        <w:tc>
          <w:tcPr>
            <w:tcW w:w="922" w:type="pct"/>
            <w:vAlign w:val="center"/>
          </w:tcPr>
          <w:p w14:paraId="0D39C433">
            <w:pPr>
              <w:widowControl/>
              <w:spacing w:line="240" w:lineRule="exact"/>
              <w:jc w:val="center"/>
              <w:rPr>
                <w:rFonts w:hint="default" w:eastAsia="仿宋_GB2312"/>
                <w:color w:val="auto"/>
                <w:kern w:val="0"/>
                <w:szCs w:val="21"/>
                <w:lang w:val="en-US" w:eastAsia="zh-CN"/>
              </w:rPr>
            </w:pPr>
            <w:r>
              <w:rPr>
                <w:rFonts w:hint="eastAsia" w:eastAsia="仿宋_GB2312"/>
                <w:color w:val="auto"/>
                <w:kern w:val="0"/>
                <w:szCs w:val="21"/>
                <w:lang w:val="en-US" w:eastAsia="zh-CN"/>
              </w:rPr>
              <w:t>67.4394</w:t>
            </w:r>
          </w:p>
        </w:tc>
      </w:tr>
      <w:tr w14:paraId="332221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614" w:type="pct"/>
            <w:vMerge w:val="continue"/>
            <w:shd w:val="clear" w:color="auto" w:fill="auto"/>
            <w:vAlign w:val="center"/>
          </w:tcPr>
          <w:p w14:paraId="3CA67BFB">
            <w:pPr>
              <w:widowControl/>
              <w:spacing w:line="240" w:lineRule="exact"/>
              <w:jc w:val="center"/>
              <w:rPr>
                <w:rFonts w:eastAsia="仿宋_GB2312"/>
                <w:kern w:val="0"/>
                <w:szCs w:val="21"/>
              </w:rPr>
            </w:pPr>
          </w:p>
        </w:tc>
        <w:tc>
          <w:tcPr>
            <w:tcW w:w="1450" w:type="pct"/>
            <w:shd w:val="clear" w:color="auto" w:fill="auto"/>
            <w:tcMar>
              <w:top w:w="15" w:type="dxa"/>
              <w:left w:w="15" w:type="dxa"/>
              <w:bottom w:w="0" w:type="dxa"/>
              <w:right w:w="15" w:type="dxa"/>
            </w:tcMar>
            <w:vAlign w:val="center"/>
          </w:tcPr>
          <w:p w14:paraId="59EF2652">
            <w:pPr>
              <w:widowControl/>
              <w:spacing w:line="240" w:lineRule="exact"/>
              <w:jc w:val="center"/>
              <w:rPr>
                <w:rFonts w:eastAsia="仿宋_GB2312"/>
                <w:kern w:val="0"/>
                <w:szCs w:val="21"/>
              </w:rPr>
            </w:pPr>
            <w:r>
              <w:rPr>
                <w:rFonts w:eastAsia="仿宋_GB2312"/>
                <w:kern w:val="0"/>
                <w:szCs w:val="21"/>
              </w:rPr>
              <w:t>SS</w:t>
            </w:r>
          </w:p>
        </w:tc>
        <w:tc>
          <w:tcPr>
            <w:tcW w:w="1086" w:type="pct"/>
            <w:shd w:val="clear" w:color="auto" w:fill="auto"/>
            <w:noWrap/>
            <w:tcMar>
              <w:top w:w="15" w:type="dxa"/>
              <w:left w:w="15" w:type="dxa"/>
              <w:bottom w:w="0" w:type="dxa"/>
              <w:right w:w="15" w:type="dxa"/>
            </w:tcMar>
            <w:vAlign w:val="center"/>
          </w:tcPr>
          <w:p w14:paraId="469E0556">
            <w:pPr>
              <w:widowControl/>
              <w:spacing w:line="240" w:lineRule="exact"/>
              <w:jc w:val="center"/>
              <w:rPr>
                <w:rFonts w:hint="default" w:eastAsia="仿宋_GB2312"/>
                <w:color w:val="auto"/>
                <w:kern w:val="0"/>
                <w:szCs w:val="21"/>
                <w:lang w:val="en-US" w:eastAsia="zh-CN"/>
              </w:rPr>
            </w:pPr>
            <w:r>
              <w:rPr>
                <w:rFonts w:hint="eastAsia" w:eastAsia="仿宋_GB2312"/>
                <w:color w:val="auto"/>
                <w:kern w:val="0"/>
                <w:szCs w:val="21"/>
                <w:lang w:val="en-US" w:eastAsia="zh-CN"/>
              </w:rPr>
              <w:t>19.896</w:t>
            </w:r>
          </w:p>
        </w:tc>
        <w:tc>
          <w:tcPr>
            <w:tcW w:w="926" w:type="pct"/>
            <w:shd w:val="clear" w:color="auto" w:fill="auto"/>
            <w:vAlign w:val="center"/>
          </w:tcPr>
          <w:p w14:paraId="373F7D26">
            <w:pPr>
              <w:widowControl/>
              <w:spacing w:line="240" w:lineRule="exact"/>
              <w:jc w:val="center"/>
              <w:rPr>
                <w:rFonts w:eastAsia="仿宋_GB2312"/>
                <w:color w:val="auto"/>
                <w:kern w:val="0"/>
                <w:szCs w:val="21"/>
              </w:rPr>
            </w:pPr>
            <w:r>
              <w:rPr>
                <w:rFonts w:eastAsia="仿宋_GB2312"/>
                <w:color w:val="auto"/>
                <w:kern w:val="0"/>
                <w:szCs w:val="21"/>
              </w:rPr>
              <w:t>11.1407</w:t>
            </w:r>
          </w:p>
        </w:tc>
        <w:tc>
          <w:tcPr>
            <w:tcW w:w="922" w:type="pct"/>
            <w:vAlign w:val="center"/>
          </w:tcPr>
          <w:p w14:paraId="19B0EA88">
            <w:pPr>
              <w:widowControl/>
              <w:spacing w:line="240" w:lineRule="exact"/>
              <w:jc w:val="center"/>
              <w:rPr>
                <w:rFonts w:hint="default" w:eastAsia="仿宋_GB2312"/>
                <w:color w:val="auto"/>
                <w:kern w:val="0"/>
                <w:szCs w:val="21"/>
                <w:lang w:val="en-US" w:eastAsia="zh-CN"/>
              </w:rPr>
            </w:pPr>
            <w:r>
              <w:rPr>
                <w:rFonts w:hint="eastAsia" w:eastAsia="仿宋_GB2312"/>
                <w:color w:val="auto"/>
                <w:kern w:val="0"/>
                <w:szCs w:val="21"/>
                <w:lang w:val="en-US" w:eastAsia="zh-CN"/>
              </w:rPr>
              <w:t>31.0367</w:t>
            </w:r>
          </w:p>
        </w:tc>
      </w:tr>
      <w:tr w14:paraId="3B2EF95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614" w:type="pct"/>
            <w:vMerge w:val="continue"/>
            <w:shd w:val="clear" w:color="auto" w:fill="auto"/>
            <w:vAlign w:val="center"/>
          </w:tcPr>
          <w:p w14:paraId="3F5B9C2F">
            <w:pPr>
              <w:widowControl/>
              <w:spacing w:line="240" w:lineRule="exact"/>
              <w:jc w:val="center"/>
              <w:rPr>
                <w:rFonts w:eastAsia="仿宋_GB2312"/>
                <w:kern w:val="0"/>
                <w:szCs w:val="21"/>
              </w:rPr>
            </w:pPr>
          </w:p>
        </w:tc>
        <w:tc>
          <w:tcPr>
            <w:tcW w:w="1450" w:type="pct"/>
            <w:shd w:val="clear" w:color="auto" w:fill="auto"/>
            <w:tcMar>
              <w:top w:w="15" w:type="dxa"/>
              <w:left w:w="15" w:type="dxa"/>
              <w:bottom w:w="0" w:type="dxa"/>
              <w:right w:w="15" w:type="dxa"/>
            </w:tcMar>
            <w:vAlign w:val="center"/>
          </w:tcPr>
          <w:p w14:paraId="38839F73">
            <w:pPr>
              <w:widowControl/>
              <w:spacing w:line="240" w:lineRule="exact"/>
              <w:jc w:val="center"/>
              <w:rPr>
                <w:rFonts w:eastAsia="仿宋_GB2312"/>
                <w:kern w:val="0"/>
                <w:szCs w:val="21"/>
              </w:rPr>
            </w:pPr>
            <w:r>
              <w:rPr>
                <w:rFonts w:eastAsia="仿宋_GB2312"/>
                <w:kern w:val="0"/>
                <w:szCs w:val="21"/>
              </w:rPr>
              <w:t>NH</w:t>
            </w:r>
            <w:r>
              <w:rPr>
                <w:rFonts w:eastAsia="仿宋_GB2312"/>
                <w:kern w:val="0"/>
                <w:szCs w:val="21"/>
                <w:vertAlign w:val="subscript"/>
              </w:rPr>
              <w:t>3</w:t>
            </w:r>
            <w:r>
              <w:rPr>
                <w:rFonts w:eastAsia="仿宋_GB2312"/>
                <w:kern w:val="0"/>
                <w:szCs w:val="21"/>
              </w:rPr>
              <w:t>-N</w:t>
            </w:r>
          </w:p>
        </w:tc>
        <w:tc>
          <w:tcPr>
            <w:tcW w:w="1086" w:type="pct"/>
            <w:shd w:val="clear" w:color="auto" w:fill="auto"/>
            <w:noWrap/>
            <w:tcMar>
              <w:top w:w="15" w:type="dxa"/>
              <w:left w:w="15" w:type="dxa"/>
              <w:bottom w:w="0" w:type="dxa"/>
              <w:right w:w="15" w:type="dxa"/>
            </w:tcMar>
            <w:vAlign w:val="center"/>
          </w:tcPr>
          <w:p w14:paraId="2C88D998">
            <w:pPr>
              <w:widowControl/>
              <w:spacing w:line="240" w:lineRule="exact"/>
              <w:jc w:val="center"/>
              <w:rPr>
                <w:rFonts w:eastAsia="仿宋_GB2312"/>
                <w:color w:val="auto"/>
                <w:kern w:val="0"/>
                <w:szCs w:val="21"/>
              </w:rPr>
            </w:pPr>
            <w:r>
              <w:rPr>
                <w:rFonts w:eastAsia="仿宋_GB2312"/>
                <w:color w:val="auto"/>
                <w:kern w:val="0"/>
                <w:szCs w:val="21"/>
              </w:rPr>
              <w:t>0.159</w:t>
            </w:r>
          </w:p>
        </w:tc>
        <w:tc>
          <w:tcPr>
            <w:tcW w:w="926" w:type="pct"/>
            <w:shd w:val="clear" w:color="auto" w:fill="auto"/>
            <w:vAlign w:val="center"/>
          </w:tcPr>
          <w:p w14:paraId="19105564">
            <w:pPr>
              <w:widowControl/>
              <w:spacing w:line="240" w:lineRule="exact"/>
              <w:jc w:val="center"/>
              <w:rPr>
                <w:rFonts w:eastAsia="仿宋_GB2312"/>
                <w:color w:val="auto"/>
                <w:kern w:val="0"/>
                <w:szCs w:val="21"/>
              </w:rPr>
            </w:pPr>
            <w:r>
              <w:rPr>
                <w:rFonts w:eastAsia="仿宋_GB2312"/>
                <w:color w:val="auto"/>
                <w:kern w:val="0"/>
                <w:szCs w:val="21"/>
              </w:rPr>
              <w:t>0.2592</w:t>
            </w:r>
          </w:p>
        </w:tc>
        <w:tc>
          <w:tcPr>
            <w:tcW w:w="922" w:type="pct"/>
            <w:vAlign w:val="center"/>
          </w:tcPr>
          <w:p w14:paraId="22A8A782">
            <w:pPr>
              <w:widowControl/>
              <w:spacing w:line="240" w:lineRule="exact"/>
              <w:jc w:val="center"/>
              <w:rPr>
                <w:rFonts w:eastAsia="仿宋_GB2312"/>
                <w:color w:val="auto"/>
                <w:kern w:val="0"/>
                <w:szCs w:val="21"/>
              </w:rPr>
            </w:pPr>
            <w:r>
              <w:rPr>
                <w:rFonts w:eastAsia="仿宋_GB2312"/>
                <w:color w:val="auto"/>
                <w:kern w:val="0"/>
                <w:szCs w:val="21"/>
              </w:rPr>
              <w:t>0.4182</w:t>
            </w:r>
          </w:p>
        </w:tc>
      </w:tr>
      <w:tr w14:paraId="73014C0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614" w:type="pct"/>
            <w:vMerge w:val="continue"/>
            <w:shd w:val="clear" w:color="auto" w:fill="auto"/>
            <w:vAlign w:val="center"/>
          </w:tcPr>
          <w:p w14:paraId="141FA97D">
            <w:pPr>
              <w:widowControl/>
              <w:spacing w:line="240" w:lineRule="exact"/>
              <w:jc w:val="center"/>
              <w:rPr>
                <w:rFonts w:eastAsia="仿宋_GB2312"/>
                <w:kern w:val="0"/>
                <w:szCs w:val="21"/>
              </w:rPr>
            </w:pPr>
          </w:p>
        </w:tc>
        <w:tc>
          <w:tcPr>
            <w:tcW w:w="1450" w:type="pct"/>
            <w:shd w:val="clear" w:color="auto" w:fill="auto"/>
            <w:tcMar>
              <w:top w:w="15" w:type="dxa"/>
              <w:left w:w="15" w:type="dxa"/>
              <w:bottom w:w="0" w:type="dxa"/>
              <w:right w:w="15" w:type="dxa"/>
            </w:tcMar>
            <w:vAlign w:val="center"/>
          </w:tcPr>
          <w:p w14:paraId="1DB5ED10">
            <w:pPr>
              <w:widowControl/>
              <w:spacing w:line="240" w:lineRule="exact"/>
              <w:jc w:val="center"/>
              <w:rPr>
                <w:rFonts w:eastAsia="仿宋_GB2312"/>
                <w:kern w:val="0"/>
                <w:szCs w:val="21"/>
              </w:rPr>
            </w:pPr>
            <w:r>
              <w:rPr>
                <w:rFonts w:eastAsia="仿宋_GB2312"/>
                <w:kern w:val="0"/>
                <w:szCs w:val="21"/>
              </w:rPr>
              <w:t>TP</w:t>
            </w:r>
          </w:p>
        </w:tc>
        <w:tc>
          <w:tcPr>
            <w:tcW w:w="1086" w:type="pct"/>
            <w:shd w:val="clear" w:color="auto" w:fill="auto"/>
            <w:noWrap/>
            <w:tcMar>
              <w:top w:w="15" w:type="dxa"/>
              <w:left w:w="15" w:type="dxa"/>
              <w:bottom w:w="0" w:type="dxa"/>
              <w:right w:w="15" w:type="dxa"/>
            </w:tcMar>
            <w:vAlign w:val="center"/>
          </w:tcPr>
          <w:p w14:paraId="675451AE">
            <w:pPr>
              <w:widowControl/>
              <w:spacing w:line="240" w:lineRule="exact"/>
              <w:jc w:val="center"/>
              <w:rPr>
                <w:rFonts w:eastAsia="仿宋_GB2312"/>
                <w:color w:val="auto"/>
                <w:kern w:val="0"/>
                <w:szCs w:val="21"/>
              </w:rPr>
            </w:pPr>
            <w:r>
              <w:rPr>
                <w:rFonts w:eastAsia="仿宋_GB2312"/>
                <w:color w:val="auto"/>
                <w:kern w:val="0"/>
                <w:szCs w:val="21"/>
              </w:rPr>
              <w:t>0.0584</w:t>
            </w:r>
          </w:p>
        </w:tc>
        <w:tc>
          <w:tcPr>
            <w:tcW w:w="926" w:type="pct"/>
            <w:shd w:val="clear" w:color="auto" w:fill="auto"/>
            <w:vAlign w:val="center"/>
          </w:tcPr>
          <w:p w14:paraId="28CE7C5E">
            <w:pPr>
              <w:widowControl/>
              <w:spacing w:line="240" w:lineRule="exact"/>
              <w:jc w:val="center"/>
              <w:rPr>
                <w:rFonts w:eastAsia="仿宋_GB2312"/>
                <w:color w:val="auto"/>
                <w:kern w:val="0"/>
                <w:szCs w:val="21"/>
              </w:rPr>
            </w:pPr>
            <w:r>
              <w:rPr>
                <w:rFonts w:eastAsia="仿宋_GB2312"/>
                <w:color w:val="auto"/>
                <w:kern w:val="0"/>
                <w:szCs w:val="21"/>
              </w:rPr>
              <w:t>0.02342</w:t>
            </w:r>
          </w:p>
        </w:tc>
        <w:tc>
          <w:tcPr>
            <w:tcW w:w="922" w:type="pct"/>
            <w:vAlign w:val="center"/>
          </w:tcPr>
          <w:p w14:paraId="1485FB2B">
            <w:pPr>
              <w:widowControl/>
              <w:spacing w:line="240" w:lineRule="exact"/>
              <w:jc w:val="center"/>
              <w:rPr>
                <w:rFonts w:eastAsia="仿宋_GB2312"/>
                <w:color w:val="auto"/>
                <w:kern w:val="0"/>
                <w:szCs w:val="21"/>
              </w:rPr>
            </w:pPr>
            <w:r>
              <w:rPr>
                <w:rFonts w:eastAsia="仿宋_GB2312"/>
                <w:color w:val="auto"/>
                <w:kern w:val="0"/>
                <w:szCs w:val="21"/>
              </w:rPr>
              <w:t>0.08182</w:t>
            </w:r>
          </w:p>
        </w:tc>
      </w:tr>
      <w:tr w14:paraId="76E217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614" w:type="pct"/>
            <w:vMerge w:val="continue"/>
            <w:shd w:val="clear" w:color="auto" w:fill="auto"/>
            <w:vAlign w:val="center"/>
          </w:tcPr>
          <w:p w14:paraId="25AF5C94">
            <w:pPr>
              <w:widowControl/>
              <w:spacing w:line="240" w:lineRule="exact"/>
              <w:jc w:val="center"/>
              <w:rPr>
                <w:rFonts w:eastAsia="仿宋_GB2312"/>
                <w:kern w:val="0"/>
                <w:szCs w:val="21"/>
              </w:rPr>
            </w:pPr>
          </w:p>
        </w:tc>
        <w:tc>
          <w:tcPr>
            <w:tcW w:w="1450" w:type="pct"/>
            <w:shd w:val="clear" w:color="auto" w:fill="auto"/>
            <w:tcMar>
              <w:top w:w="15" w:type="dxa"/>
              <w:left w:w="15" w:type="dxa"/>
              <w:bottom w:w="0" w:type="dxa"/>
              <w:right w:w="15" w:type="dxa"/>
            </w:tcMar>
            <w:vAlign w:val="center"/>
          </w:tcPr>
          <w:p w14:paraId="537F4E4A">
            <w:pPr>
              <w:widowControl/>
              <w:spacing w:line="240" w:lineRule="exact"/>
              <w:jc w:val="center"/>
              <w:rPr>
                <w:rFonts w:eastAsia="仿宋_GB2312"/>
                <w:kern w:val="0"/>
                <w:szCs w:val="21"/>
              </w:rPr>
            </w:pPr>
            <w:r>
              <w:rPr>
                <w:rFonts w:eastAsia="仿宋_GB2312"/>
                <w:kern w:val="0"/>
                <w:szCs w:val="21"/>
              </w:rPr>
              <w:t>甲苯</w:t>
            </w:r>
          </w:p>
        </w:tc>
        <w:tc>
          <w:tcPr>
            <w:tcW w:w="1086" w:type="pct"/>
            <w:shd w:val="clear" w:color="auto" w:fill="auto"/>
            <w:noWrap/>
            <w:tcMar>
              <w:top w:w="15" w:type="dxa"/>
              <w:left w:w="15" w:type="dxa"/>
              <w:bottom w:w="0" w:type="dxa"/>
              <w:right w:w="15" w:type="dxa"/>
            </w:tcMar>
            <w:vAlign w:val="center"/>
          </w:tcPr>
          <w:p w14:paraId="55EB5362">
            <w:pPr>
              <w:widowControl/>
              <w:spacing w:line="240" w:lineRule="exact"/>
              <w:jc w:val="center"/>
              <w:rPr>
                <w:rFonts w:eastAsia="仿宋_GB2312"/>
                <w:color w:val="auto"/>
                <w:kern w:val="0"/>
                <w:szCs w:val="21"/>
              </w:rPr>
            </w:pPr>
            <w:r>
              <w:rPr>
                <w:rFonts w:eastAsia="仿宋_GB2312"/>
                <w:color w:val="auto"/>
                <w:kern w:val="0"/>
                <w:szCs w:val="21"/>
              </w:rPr>
              <w:t>0.0029</w:t>
            </w:r>
          </w:p>
        </w:tc>
        <w:tc>
          <w:tcPr>
            <w:tcW w:w="926" w:type="pct"/>
            <w:shd w:val="clear" w:color="auto" w:fill="auto"/>
            <w:vAlign w:val="center"/>
          </w:tcPr>
          <w:p w14:paraId="3FEAC306">
            <w:pPr>
              <w:widowControl/>
              <w:spacing w:line="240" w:lineRule="exact"/>
              <w:jc w:val="center"/>
              <w:rPr>
                <w:rFonts w:eastAsia="仿宋_GB2312"/>
                <w:color w:val="auto"/>
                <w:kern w:val="0"/>
                <w:szCs w:val="21"/>
              </w:rPr>
            </w:pPr>
            <w:r>
              <w:rPr>
                <w:rFonts w:eastAsia="仿宋_GB2312"/>
                <w:color w:val="auto"/>
                <w:kern w:val="0"/>
                <w:szCs w:val="21"/>
              </w:rPr>
              <w:t>/</w:t>
            </w:r>
          </w:p>
        </w:tc>
        <w:tc>
          <w:tcPr>
            <w:tcW w:w="922" w:type="pct"/>
            <w:vAlign w:val="center"/>
          </w:tcPr>
          <w:p w14:paraId="2C4890A7">
            <w:pPr>
              <w:widowControl/>
              <w:spacing w:line="240" w:lineRule="exact"/>
              <w:jc w:val="center"/>
              <w:rPr>
                <w:rFonts w:eastAsia="仿宋_GB2312"/>
                <w:color w:val="auto"/>
                <w:kern w:val="0"/>
                <w:szCs w:val="21"/>
              </w:rPr>
            </w:pPr>
            <w:r>
              <w:rPr>
                <w:rFonts w:eastAsia="仿宋_GB2312"/>
                <w:color w:val="auto"/>
                <w:kern w:val="0"/>
                <w:szCs w:val="21"/>
              </w:rPr>
              <w:t>0.0029</w:t>
            </w:r>
          </w:p>
        </w:tc>
      </w:tr>
      <w:tr w14:paraId="45CAB1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614" w:type="pct"/>
            <w:vMerge w:val="continue"/>
            <w:shd w:val="clear" w:color="auto" w:fill="auto"/>
            <w:vAlign w:val="center"/>
          </w:tcPr>
          <w:p w14:paraId="5AABA818">
            <w:pPr>
              <w:widowControl/>
              <w:spacing w:line="240" w:lineRule="exact"/>
              <w:jc w:val="center"/>
              <w:rPr>
                <w:rFonts w:eastAsia="仿宋_GB2312"/>
                <w:kern w:val="0"/>
                <w:szCs w:val="21"/>
              </w:rPr>
            </w:pPr>
          </w:p>
        </w:tc>
        <w:tc>
          <w:tcPr>
            <w:tcW w:w="1450" w:type="pct"/>
            <w:shd w:val="clear" w:color="auto" w:fill="auto"/>
            <w:tcMar>
              <w:top w:w="15" w:type="dxa"/>
              <w:left w:w="15" w:type="dxa"/>
              <w:bottom w:w="0" w:type="dxa"/>
              <w:right w:w="15" w:type="dxa"/>
            </w:tcMar>
            <w:vAlign w:val="center"/>
          </w:tcPr>
          <w:p w14:paraId="065C7577">
            <w:pPr>
              <w:widowControl/>
              <w:spacing w:line="240" w:lineRule="exact"/>
              <w:jc w:val="center"/>
              <w:rPr>
                <w:rFonts w:eastAsia="仿宋_GB2312"/>
                <w:kern w:val="0"/>
                <w:szCs w:val="21"/>
              </w:rPr>
            </w:pPr>
            <w:r>
              <w:rPr>
                <w:rFonts w:eastAsia="仿宋_GB2312"/>
                <w:kern w:val="0"/>
                <w:szCs w:val="21"/>
              </w:rPr>
              <w:t>二甲苯</w:t>
            </w:r>
          </w:p>
        </w:tc>
        <w:tc>
          <w:tcPr>
            <w:tcW w:w="1086" w:type="pct"/>
            <w:shd w:val="clear" w:color="auto" w:fill="auto"/>
            <w:noWrap/>
            <w:tcMar>
              <w:top w:w="15" w:type="dxa"/>
              <w:left w:w="15" w:type="dxa"/>
              <w:bottom w:w="0" w:type="dxa"/>
              <w:right w:w="15" w:type="dxa"/>
            </w:tcMar>
            <w:vAlign w:val="center"/>
          </w:tcPr>
          <w:p w14:paraId="24131A6B">
            <w:pPr>
              <w:widowControl/>
              <w:spacing w:line="240" w:lineRule="exact"/>
              <w:jc w:val="center"/>
              <w:rPr>
                <w:rFonts w:eastAsia="仿宋_GB2312"/>
                <w:color w:val="auto"/>
                <w:kern w:val="0"/>
                <w:szCs w:val="21"/>
              </w:rPr>
            </w:pPr>
            <w:r>
              <w:rPr>
                <w:rFonts w:eastAsia="仿宋_GB2312"/>
                <w:color w:val="auto"/>
                <w:kern w:val="0"/>
                <w:szCs w:val="21"/>
              </w:rPr>
              <w:t>0.00241</w:t>
            </w:r>
          </w:p>
        </w:tc>
        <w:tc>
          <w:tcPr>
            <w:tcW w:w="926" w:type="pct"/>
            <w:shd w:val="clear" w:color="auto" w:fill="auto"/>
            <w:vAlign w:val="center"/>
          </w:tcPr>
          <w:p w14:paraId="0BE93997">
            <w:pPr>
              <w:widowControl/>
              <w:spacing w:line="240" w:lineRule="exact"/>
              <w:jc w:val="center"/>
              <w:rPr>
                <w:rFonts w:eastAsia="仿宋_GB2312"/>
                <w:color w:val="auto"/>
                <w:kern w:val="0"/>
                <w:szCs w:val="21"/>
              </w:rPr>
            </w:pPr>
            <w:r>
              <w:rPr>
                <w:rFonts w:eastAsia="仿宋_GB2312"/>
                <w:color w:val="auto"/>
                <w:kern w:val="0"/>
                <w:szCs w:val="21"/>
              </w:rPr>
              <w:t>/</w:t>
            </w:r>
          </w:p>
        </w:tc>
        <w:tc>
          <w:tcPr>
            <w:tcW w:w="922" w:type="pct"/>
            <w:vAlign w:val="center"/>
          </w:tcPr>
          <w:p w14:paraId="0D530A9C">
            <w:pPr>
              <w:widowControl/>
              <w:spacing w:line="240" w:lineRule="exact"/>
              <w:jc w:val="center"/>
              <w:rPr>
                <w:rFonts w:eastAsia="仿宋_GB2312"/>
                <w:color w:val="auto"/>
                <w:kern w:val="0"/>
                <w:szCs w:val="21"/>
              </w:rPr>
            </w:pPr>
            <w:r>
              <w:rPr>
                <w:rFonts w:eastAsia="仿宋_GB2312"/>
                <w:color w:val="auto"/>
                <w:kern w:val="0"/>
                <w:szCs w:val="21"/>
              </w:rPr>
              <w:t>0.00241</w:t>
            </w:r>
          </w:p>
        </w:tc>
      </w:tr>
      <w:tr w14:paraId="552BA8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614" w:type="pct"/>
            <w:vMerge w:val="continue"/>
            <w:shd w:val="clear" w:color="auto" w:fill="auto"/>
            <w:vAlign w:val="center"/>
          </w:tcPr>
          <w:p w14:paraId="0C02A9C2">
            <w:pPr>
              <w:widowControl/>
              <w:spacing w:line="240" w:lineRule="exact"/>
              <w:jc w:val="center"/>
              <w:rPr>
                <w:rFonts w:eastAsia="仿宋_GB2312"/>
                <w:kern w:val="0"/>
                <w:szCs w:val="21"/>
              </w:rPr>
            </w:pPr>
          </w:p>
        </w:tc>
        <w:tc>
          <w:tcPr>
            <w:tcW w:w="1450" w:type="pct"/>
            <w:shd w:val="clear" w:color="auto" w:fill="auto"/>
            <w:tcMar>
              <w:top w:w="15" w:type="dxa"/>
              <w:left w:w="15" w:type="dxa"/>
              <w:bottom w:w="0" w:type="dxa"/>
              <w:right w:w="15" w:type="dxa"/>
            </w:tcMar>
            <w:vAlign w:val="center"/>
          </w:tcPr>
          <w:p w14:paraId="5D3725B5">
            <w:pPr>
              <w:widowControl/>
              <w:spacing w:line="240" w:lineRule="exact"/>
              <w:jc w:val="center"/>
              <w:rPr>
                <w:rFonts w:eastAsia="仿宋_GB2312"/>
                <w:kern w:val="0"/>
                <w:szCs w:val="21"/>
              </w:rPr>
            </w:pPr>
            <w:r>
              <w:rPr>
                <w:rFonts w:eastAsia="仿宋_GB2312"/>
                <w:kern w:val="0"/>
                <w:szCs w:val="21"/>
              </w:rPr>
              <w:t>石油类</w:t>
            </w:r>
          </w:p>
        </w:tc>
        <w:tc>
          <w:tcPr>
            <w:tcW w:w="1086" w:type="pct"/>
            <w:shd w:val="clear" w:color="auto" w:fill="auto"/>
            <w:noWrap/>
            <w:tcMar>
              <w:top w:w="15" w:type="dxa"/>
              <w:left w:w="15" w:type="dxa"/>
              <w:bottom w:w="0" w:type="dxa"/>
              <w:right w:w="15" w:type="dxa"/>
            </w:tcMar>
            <w:vAlign w:val="center"/>
          </w:tcPr>
          <w:p w14:paraId="27AE6D5E">
            <w:pPr>
              <w:widowControl/>
              <w:spacing w:line="240" w:lineRule="exact"/>
              <w:jc w:val="center"/>
              <w:rPr>
                <w:rFonts w:eastAsia="仿宋_GB2312"/>
                <w:color w:val="auto"/>
                <w:kern w:val="0"/>
                <w:szCs w:val="21"/>
              </w:rPr>
            </w:pPr>
            <w:r>
              <w:rPr>
                <w:rFonts w:eastAsia="仿宋_GB2312"/>
                <w:color w:val="auto"/>
                <w:kern w:val="0"/>
                <w:szCs w:val="21"/>
              </w:rPr>
              <w:t>/</w:t>
            </w:r>
          </w:p>
        </w:tc>
        <w:tc>
          <w:tcPr>
            <w:tcW w:w="926" w:type="pct"/>
            <w:shd w:val="clear" w:color="auto" w:fill="auto"/>
            <w:vAlign w:val="center"/>
          </w:tcPr>
          <w:p w14:paraId="69A6761A">
            <w:pPr>
              <w:widowControl/>
              <w:spacing w:line="240" w:lineRule="exact"/>
              <w:jc w:val="center"/>
              <w:rPr>
                <w:rFonts w:eastAsia="仿宋_GB2312"/>
                <w:color w:val="auto"/>
                <w:kern w:val="0"/>
                <w:szCs w:val="21"/>
              </w:rPr>
            </w:pPr>
            <w:r>
              <w:rPr>
                <w:rFonts w:eastAsia="仿宋_GB2312"/>
                <w:color w:val="auto"/>
                <w:kern w:val="0"/>
                <w:szCs w:val="21"/>
              </w:rPr>
              <w:t>1.1</w:t>
            </w:r>
          </w:p>
        </w:tc>
        <w:tc>
          <w:tcPr>
            <w:tcW w:w="922" w:type="pct"/>
            <w:vAlign w:val="center"/>
          </w:tcPr>
          <w:p w14:paraId="320DC42C">
            <w:pPr>
              <w:widowControl/>
              <w:spacing w:line="240" w:lineRule="exact"/>
              <w:jc w:val="center"/>
              <w:rPr>
                <w:rFonts w:eastAsia="仿宋_GB2312"/>
                <w:color w:val="auto"/>
                <w:kern w:val="0"/>
                <w:szCs w:val="21"/>
              </w:rPr>
            </w:pPr>
            <w:r>
              <w:rPr>
                <w:rFonts w:eastAsia="仿宋_GB2312"/>
                <w:color w:val="auto"/>
                <w:kern w:val="0"/>
                <w:szCs w:val="21"/>
              </w:rPr>
              <w:t>1.1</w:t>
            </w:r>
          </w:p>
        </w:tc>
      </w:tr>
      <w:tr w14:paraId="2ADF2E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614" w:type="pct"/>
            <w:vMerge w:val="continue"/>
            <w:shd w:val="clear" w:color="auto" w:fill="auto"/>
            <w:vAlign w:val="center"/>
          </w:tcPr>
          <w:p w14:paraId="06DB9D73">
            <w:pPr>
              <w:widowControl/>
              <w:spacing w:line="240" w:lineRule="exact"/>
              <w:jc w:val="center"/>
              <w:rPr>
                <w:rFonts w:eastAsia="仿宋_GB2312"/>
                <w:kern w:val="0"/>
                <w:szCs w:val="21"/>
              </w:rPr>
            </w:pPr>
          </w:p>
        </w:tc>
        <w:tc>
          <w:tcPr>
            <w:tcW w:w="1450" w:type="pct"/>
            <w:shd w:val="clear" w:color="auto" w:fill="auto"/>
            <w:tcMar>
              <w:top w:w="15" w:type="dxa"/>
              <w:left w:w="15" w:type="dxa"/>
              <w:bottom w:w="0" w:type="dxa"/>
              <w:right w:w="15" w:type="dxa"/>
            </w:tcMar>
            <w:vAlign w:val="center"/>
          </w:tcPr>
          <w:p w14:paraId="3233EF43">
            <w:pPr>
              <w:widowControl/>
              <w:spacing w:line="240" w:lineRule="exact"/>
              <w:jc w:val="center"/>
              <w:rPr>
                <w:rFonts w:eastAsia="仿宋_GB2312"/>
                <w:kern w:val="0"/>
                <w:szCs w:val="21"/>
              </w:rPr>
            </w:pPr>
            <w:r>
              <w:rPr>
                <w:rFonts w:eastAsia="仿宋_GB2312"/>
                <w:kern w:val="0"/>
                <w:szCs w:val="21"/>
              </w:rPr>
              <w:t>铜</w:t>
            </w:r>
          </w:p>
        </w:tc>
        <w:tc>
          <w:tcPr>
            <w:tcW w:w="1086" w:type="pct"/>
            <w:shd w:val="clear" w:color="auto" w:fill="auto"/>
            <w:noWrap/>
            <w:tcMar>
              <w:top w:w="15" w:type="dxa"/>
              <w:left w:w="15" w:type="dxa"/>
              <w:bottom w:w="0" w:type="dxa"/>
              <w:right w:w="15" w:type="dxa"/>
            </w:tcMar>
            <w:vAlign w:val="center"/>
          </w:tcPr>
          <w:p w14:paraId="0D6EB6CF">
            <w:pPr>
              <w:widowControl/>
              <w:spacing w:line="240" w:lineRule="exact"/>
              <w:jc w:val="center"/>
              <w:rPr>
                <w:rFonts w:eastAsia="仿宋_GB2312"/>
                <w:color w:val="auto"/>
                <w:kern w:val="0"/>
                <w:szCs w:val="21"/>
              </w:rPr>
            </w:pPr>
            <w:r>
              <w:rPr>
                <w:rFonts w:eastAsia="仿宋_GB2312"/>
                <w:color w:val="auto"/>
                <w:kern w:val="0"/>
                <w:szCs w:val="21"/>
              </w:rPr>
              <w:t>/</w:t>
            </w:r>
          </w:p>
        </w:tc>
        <w:tc>
          <w:tcPr>
            <w:tcW w:w="926" w:type="pct"/>
            <w:shd w:val="clear" w:color="auto" w:fill="auto"/>
            <w:vAlign w:val="center"/>
          </w:tcPr>
          <w:p w14:paraId="6B67D207">
            <w:pPr>
              <w:widowControl/>
              <w:spacing w:line="240" w:lineRule="exact"/>
              <w:jc w:val="center"/>
              <w:rPr>
                <w:rFonts w:eastAsia="仿宋_GB2312"/>
                <w:color w:val="auto"/>
                <w:kern w:val="0"/>
                <w:szCs w:val="21"/>
              </w:rPr>
            </w:pPr>
            <w:r>
              <w:rPr>
                <w:rFonts w:eastAsia="仿宋_GB2312"/>
                <w:color w:val="auto"/>
                <w:kern w:val="0"/>
                <w:szCs w:val="21"/>
              </w:rPr>
              <w:t>0.08</w:t>
            </w:r>
          </w:p>
        </w:tc>
        <w:tc>
          <w:tcPr>
            <w:tcW w:w="922" w:type="pct"/>
            <w:vAlign w:val="center"/>
          </w:tcPr>
          <w:p w14:paraId="08F1448B">
            <w:pPr>
              <w:widowControl/>
              <w:spacing w:line="240" w:lineRule="exact"/>
              <w:jc w:val="center"/>
              <w:rPr>
                <w:rFonts w:eastAsia="仿宋_GB2312"/>
                <w:color w:val="auto"/>
                <w:kern w:val="0"/>
                <w:szCs w:val="21"/>
              </w:rPr>
            </w:pPr>
            <w:r>
              <w:rPr>
                <w:rFonts w:eastAsia="仿宋_GB2312"/>
                <w:color w:val="auto"/>
                <w:kern w:val="0"/>
                <w:szCs w:val="21"/>
              </w:rPr>
              <w:t>0.08</w:t>
            </w:r>
          </w:p>
        </w:tc>
      </w:tr>
      <w:tr w14:paraId="462017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614" w:type="pct"/>
            <w:vMerge w:val="continue"/>
            <w:shd w:val="clear" w:color="auto" w:fill="auto"/>
            <w:vAlign w:val="center"/>
          </w:tcPr>
          <w:p w14:paraId="4F072868">
            <w:pPr>
              <w:widowControl/>
              <w:spacing w:line="240" w:lineRule="exact"/>
              <w:jc w:val="center"/>
              <w:rPr>
                <w:rFonts w:eastAsia="仿宋_GB2312"/>
                <w:kern w:val="0"/>
                <w:szCs w:val="21"/>
              </w:rPr>
            </w:pPr>
          </w:p>
        </w:tc>
        <w:tc>
          <w:tcPr>
            <w:tcW w:w="1450" w:type="pct"/>
            <w:shd w:val="clear" w:color="auto" w:fill="auto"/>
            <w:tcMar>
              <w:top w:w="15" w:type="dxa"/>
              <w:left w:w="15" w:type="dxa"/>
              <w:bottom w:w="0" w:type="dxa"/>
              <w:right w:w="15" w:type="dxa"/>
            </w:tcMar>
            <w:vAlign w:val="center"/>
          </w:tcPr>
          <w:p w14:paraId="60A6040F">
            <w:pPr>
              <w:widowControl/>
              <w:spacing w:line="240" w:lineRule="exact"/>
              <w:jc w:val="center"/>
              <w:rPr>
                <w:rFonts w:eastAsia="仿宋_GB2312"/>
                <w:kern w:val="0"/>
                <w:szCs w:val="21"/>
              </w:rPr>
            </w:pPr>
            <w:r>
              <w:rPr>
                <w:rFonts w:eastAsia="仿宋_GB2312"/>
                <w:kern w:val="0"/>
                <w:szCs w:val="21"/>
              </w:rPr>
              <w:t>镍</w:t>
            </w:r>
          </w:p>
        </w:tc>
        <w:tc>
          <w:tcPr>
            <w:tcW w:w="1086" w:type="pct"/>
            <w:shd w:val="clear" w:color="auto" w:fill="auto"/>
            <w:noWrap/>
            <w:tcMar>
              <w:top w:w="15" w:type="dxa"/>
              <w:left w:w="15" w:type="dxa"/>
              <w:bottom w:w="0" w:type="dxa"/>
              <w:right w:w="15" w:type="dxa"/>
            </w:tcMar>
            <w:vAlign w:val="center"/>
          </w:tcPr>
          <w:p w14:paraId="5BF68AF7">
            <w:pPr>
              <w:widowControl/>
              <w:spacing w:line="240" w:lineRule="exact"/>
              <w:jc w:val="center"/>
              <w:rPr>
                <w:rFonts w:eastAsia="仿宋_GB2312"/>
                <w:color w:val="auto"/>
                <w:kern w:val="0"/>
                <w:szCs w:val="21"/>
              </w:rPr>
            </w:pPr>
            <w:r>
              <w:rPr>
                <w:rFonts w:eastAsia="仿宋_GB2312"/>
                <w:color w:val="auto"/>
                <w:kern w:val="0"/>
                <w:szCs w:val="21"/>
              </w:rPr>
              <w:t>/</w:t>
            </w:r>
          </w:p>
        </w:tc>
        <w:tc>
          <w:tcPr>
            <w:tcW w:w="926" w:type="pct"/>
            <w:shd w:val="clear" w:color="auto" w:fill="auto"/>
            <w:vAlign w:val="center"/>
          </w:tcPr>
          <w:p w14:paraId="1C3E0591">
            <w:pPr>
              <w:widowControl/>
              <w:spacing w:line="240" w:lineRule="exact"/>
              <w:jc w:val="center"/>
              <w:rPr>
                <w:rFonts w:eastAsia="仿宋_GB2312"/>
                <w:color w:val="auto"/>
                <w:kern w:val="0"/>
                <w:szCs w:val="21"/>
              </w:rPr>
            </w:pPr>
            <w:r>
              <w:rPr>
                <w:rFonts w:eastAsia="仿宋_GB2312"/>
                <w:color w:val="auto"/>
                <w:kern w:val="0"/>
                <w:szCs w:val="21"/>
              </w:rPr>
              <w:t>0.003</w:t>
            </w:r>
          </w:p>
        </w:tc>
        <w:tc>
          <w:tcPr>
            <w:tcW w:w="922" w:type="pct"/>
            <w:vAlign w:val="center"/>
          </w:tcPr>
          <w:p w14:paraId="12684B5E">
            <w:pPr>
              <w:widowControl/>
              <w:spacing w:line="240" w:lineRule="exact"/>
              <w:jc w:val="center"/>
              <w:rPr>
                <w:rFonts w:eastAsia="仿宋_GB2312"/>
                <w:color w:val="auto"/>
                <w:kern w:val="0"/>
                <w:szCs w:val="21"/>
              </w:rPr>
            </w:pPr>
            <w:r>
              <w:rPr>
                <w:rFonts w:eastAsia="仿宋_GB2312"/>
                <w:color w:val="auto"/>
                <w:kern w:val="0"/>
                <w:szCs w:val="21"/>
              </w:rPr>
              <w:t>0.003</w:t>
            </w:r>
          </w:p>
        </w:tc>
      </w:tr>
      <w:tr w14:paraId="25785E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614" w:type="pct"/>
            <w:vMerge w:val="continue"/>
            <w:shd w:val="clear" w:color="auto" w:fill="auto"/>
            <w:vAlign w:val="center"/>
          </w:tcPr>
          <w:p w14:paraId="583C59AC">
            <w:pPr>
              <w:widowControl/>
              <w:spacing w:line="240" w:lineRule="exact"/>
              <w:jc w:val="center"/>
              <w:rPr>
                <w:rFonts w:eastAsia="仿宋_GB2312"/>
                <w:kern w:val="0"/>
                <w:szCs w:val="21"/>
              </w:rPr>
            </w:pPr>
          </w:p>
        </w:tc>
        <w:tc>
          <w:tcPr>
            <w:tcW w:w="1450" w:type="pct"/>
            <w:shd w:val="clear" w:color="auto" w:fill="auto"/>
            <w:tcMar>
              <w:top w:w="15" w:type="dxa"/>
              <w:left w:w="15" w:type="dxa"/>
              <w:bottom w:w="0" w:type="dxa"/>
              <w:right w:w="15" w:type="dxa"/>
            </w:tcMar>
            <w:vAlign w:val="center"/>
          </w:tcPr>
          <w:p w14:paraId="1E49006A">
            <w:pPr>
              <w:widowControl/>
              <w:spacing w:line="240" w:lineRule="exact"/>
              <w:jc w:val="center"/>
              <w:rPr>
                <w:rFonts w:eastAsia="仿宋_GB2312"/>
                <w:kern w:val="0"/>
                <w:szCs w:val="21"/>
              </w:rPr>
            </w:pPr>
            <w:r>
              <w:rPr>
                <w:rFonts w:eastAsia="仿宋_GB2312"/>
                <w:kern w:val="0"/>
                <w:szCs w:val="21"/>
              </w:rPr>
              <w:t>锌</w:t>
            </w:r>
          </w:p>
        </w:tc>
        <w:tc>
          <w:tcPr>
            <w:tcW w:w="1086" w:type="pct"/>
            <w:shd w:val="clear" w:color="auto" w:fill="auto"/>
            <w:noWrap/>
            <w:tcMar>
              <w:top w:w="15" w:type="dxa"/>
              <w:left w:w="15" w:type="dxa"/>
              <w:bottom w:w="0" w:type="dxa"/>
              <w:right w:w="15" w:type="dxa"/>
            </w:tcMar>
            <w:vAlign w:val="center"/>
          </w:tcPr>
          <w:p w14:paraId="71A1AFAE">
            <w:pPr>
              <w:widowControl/>
              <w:spacing w:line="240" w:lineRule="exact"/>
              <w:jc w:val="center"/>
              <w:rPr>
                <w:rFonts w:eastAsia="仿宋_GB2312"/>
                <w:color w:val="auto"/>
                <w:kern w:val="0"/>
                <w:szCs w:val="21"/>
              </w:rPr>
            </w:pPr>
            <w:r>
              <w:rPr>
                <w:rFonts w:eastAsia="仿宋_GB2312"/>
                <w:color w:val="auto"/>
                <w:kern w:val="0"/>
                <w:szCs w:val="21"/>
              </w:rPr>
              <w:t>/</w:t>
            </w:r>
          </w:p>
        </w:tc>
        <w:tc>
          <w:tcPr>
            <w:tcW w:w="926" w:type="pct"/>
            <w:shd w:val="clear" w:color="auto" w:fill="auto"/>
            <w:vAlign w:val="center"/>
          </w:tcPr>
          <w:p w14:paraId="62DDA9DC">
            <w:pPr>
              <w:widowControl/>
              <w:spacing w:line="240" w:lineRule="exact"/>
              <w:jc w:val="center"/>
              <w:rPr>
                <w:rFonts w:eastAsia="仿宋_GB2312"/>
                <w:color w:val="auto"/>
                <w:kern w:val="0"/>
                <w:szCs w:val="21"/>
              </w:rPr>
            </w:pPr>
            <w:r>
              <w:rPr>
                <w:rFonts w:eastAsia="仿宋_GB2312"/>
                <w:color w:val="auto"/>
                <w:kern w:val="0"/>
                <w:szCs w:val="21"/>
              </w:rPr>
              <w:t>1</w:t>
            </w:r>
          </w:p>
        </w:tc>
        <w:tc>
          <w:tcPr>
            <w:tcW w:w="922" w:type="pct"/>
            <w:vAlign w:val="center"/>
          </w:tcPr>
          <w:p w14:paraId="6CCA3C4E">
            <w:pPr>
              <w:widowControl/>
              <w:spacing w:line="240" w:lineRule="exact"/>
              <w:jc w:val="center"/>
              <w:rPr>
                <w:rFonts w:eastAsia="仿宋_GB2312"/>
                <w:color w:val="auto"/>
                <w:kern w:val="0"/>
                <w:szCs w:val="21"/>
              </w:rPr>
            </w:pPr>
            <w:r>
              <w:rPr>
                <w:rFonts w:eastAsia="仿宋_GB2312"/>
                <w:color w:val="auto"/>
                <w:kern w:val="0"/>
                <w:szCs w:val="21"/>
              </w:rPr>
              <w:t>1</w:t>
            </w:r>
          </w:p>
        </w:tc>
      </w:tr>
      <w:tr w14:paraId="7C74D4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614" w:type="pct"/>
            <w:vMerge w:val="continue"/>
            <w:shd w:val="clear" w:color="auto" w:fill="auto"/>
            <w:vAlign w:val="center"/>
          </w:tcPr>
          <w:p w14:paraId="15DF1EE4">
            <w:pPr>
              <w:widowControl/>
              <w:spacing w:line="240" w:lineRule="exact"/>
              <w:jc w:val="center"/>
              <w:rPr>
                <w:rFonts w:eastAsia="仿宋_GB2312"/>
                <w:kern w:val="0"/>
                <w:szCs w:val="21"/>
              </w:rPr>
            </w:pPr>
          </w:p>
        </w:tc>
        <w:tc>
          <w:tcPr>
            <w:tcW w:w="1450" w:type="pct"/>
            <w:shd w:val="clear" w:color="auto" w:fill="auto"/>
            <w:tcMar>
              <w:top w:w="15" w:type="dxa"/>
              <w:left w:w="15" w:type="dxa"/>
              <w:bottom w:w="0" w:type="dxa"/>
              <w:right w:w="15" w:type="dxa"/>
            </w:tcMar>
            <w:vAlign w:val="center"/>
          </w:tcPr>
          <w:p w14:paraId="2BB0D46A">
            <w:pPr>
              <w:widowControl/>
              <w:spacing w:line="240" w:lineRule="exact"/>
              <w:jc w:val="center"/>
              <w:rPr>
                <w:rFonts w:eastAsia="仿宋_GB2312"/>
                <w:kern w:val="0"/>
                <w:szCs w:val="21"/>
              </w:rPr>
            </w:pPr>
            <w:r>
              <w:rPr>
                <w:rFonts w:eastAsia="仿宋_GB2312"/>
                <w:kern w:val="0"/>
                <w:szCs w:val="21"/>
              </w:rPr>
              <w:t>锡</w:t>
            </w:r>
          </w:p>
        </w:tc>
        <w:tc>
          <w:tcPr>
            <w:tcW w:w="1086" w:type="pct"/>
            <w:shd w:val="clear" w:color="auto" w:fill="auto"/>
            <w:noWrap/>
            <w:tcMar>
              <w:top w:w="15" w:type="dxa"/>
              <w:left w:w="15" w:type="dxa"/>
              <w:bottom w:w="0" w:type="dxa"/>
              <w:right w:w="15" w:type="dxa"/>
            </w:tcMar>
            <w:vAlign w:val="center"/>
          </w:tcPr>
          <w:p w14:paraId="39D1BA34">
            <w:pPr>
              <w:widowControl/>
              <w:spacing w:line="240" w:lineRule="exact"/>
              <w:jc w:val="center"/>
              <w:rPr>
                <w:rFonts w:eastAsia="仿宋_GB2312"/>
                <w:kern w:val="0"/>
                <w:szCs w:val="21"/>
              </w:rPr>
            </w:pPr>
            <w:r>
              <w:rPr>
                <w:rFonts w:eastAsia="仿宋_GB2312"/>
                <w:kern w:val="0"/>
                <w:szCs w:val="21"/>
              </w:rPr>
              <w:t>/</w:t>
            </w:r>
          </w:p>
        </w:tc>
        <w:tc>
          <w:tcPr>
            <w:tcW w:w="926" w:type="pct"/>
            <w:shd w:val="clear" w:color="auto" w:fill="auto"/>
            <w:vAlign w:val="center"/>
          </w:tcPr>
          <w:p w14:paraId="3DE1329C">
            <w:pPr>
              <w:widowControl/>
              <w:spacing w:line="240" w:lineRule="exact"/>
              <w:jc w:val="center"/>
              <w:rPr>
                <w:rFonts w:eastAsia="仿宋_GB2312"/>
                <w:kern w:val="0"/>
                <w:szCs w:val="21"/>
              </w:rPr>
            </w:pPr>
            <w:r>
              <w:rPr>
                <w:rFonts w:eastAsia="仿宋_GB2312"/>
                <w:kern w:val="0"/>
                <w:szCs w:val="21"/>
              </w:rPr>
              <w:t>0.2</w:t>
            </w:r>
          </w:p>
        </w:tc>
        <w:tc>
          <w:tcPr>
            <w:tcW w:w="922" w:type="pct"/>
            <w:vAlign w:val="center"/>
          </w:tcPr>
          <w:p w14:paraId="035F5CB9">
            <w:pPr>
              <w:widowControl/>
              <w:spacing w:line="240" w:lineRule="exact"/>
              <w:jc w:val="center"/>
              <w:rPr>
                <w:rFonts w:eastAsia="仿宋_GB2312"/>
                <w:kern w:val="0"/>
                <w:szCs w:val="21"/>
              </w:rPr>
            </w:pPr>
            <w:r>
              <w:rPr>
                <w:rFonts w:eastAsia="仿宋_GB2312"/>
                <w:kern w:val="0"/>
                <w:szCs w:val="21"/>
              </w:rPr>
              <w:t>0.2</w:t>
            </w:r>
          </w:p>
        </w:tc>
      </w:tr>
      <w:tr w14:paraId="558A70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614" w:type="pct"/>
            <w:vMerge w:val="continue"/>
            <w:shd w:val="clear" w:color="auto" w:fill="auto"/>
            <w:vAlign w:val="center"/>
          </w:tcPr>
          <w:p w14:paraId="29112A1A">
            <w:pPr>
              <w:widowControl/>
              <w:spacing w:line="240" w:lineRule="exact"/>
              <w:jc w:val="center"/>
              <w:rPr>
                <w:rFonts w:eastAsia="仿宋_GB2312"/>
                <w:kern w:val="0"/>
                <w:szCs w:val="21"/>
              </w:rPr>
            </w:pPr>
          </w:p>
        </w:tc>
        <w:tc>
          <w:tcPr>
            <w:tcW w:w="1450" w:type="pct"/>
            <w:shd w:val="clear" w:color="auto" w:fill="auto"/>
            <w:tcMar>
              <w:top w:w="15" w:type="dxa"/>
              <w:left w:w="15" w:type="dxa"/>
              <w:bottom w:w="0" w:type="dxa"/>
              <w:right w:w="15" w:type="dxa"/>
            </w:tcMar>
            <w:vAlign w:val="center"/>
          </w:tcPr>
          <w:p w14:paraId="1288F526">
            <w:pPr>
              <w:widowControl/>
              <w:spacing w:line="240" w:lineRule="exact"/>
              <w:jc w:val="center"/>
              <w:rPr>
                <w:rFonts w:eastAsia="仿宋_GB2312"/>
                <w:kern w:val="0"/>
                <w:szCs w:val="21"/>
              </w:rPr>
            </w:pPr>
            <w:r>
              <w:rPr>
                <w:rFonts w:eastAsia="仿宋_GB2312"/>
                <w:kern w:val="0"/>
                <w:szCs w:val="21"/>
              </w:rPr>
              <w:t>六价铬</w:t>
            </w:r>
          </w:p>
        </w:tc>
        <w:tc>
          <w:tcPr>
            <w:tcW w:w="1086" w:type="pct"/>
            <w:shd w:val="clear" w:color="auto" w:fill="auto"/>
            <w:noWrap/>
            <w:tcMar>
              <w:top w:w="15" w:type="dxa"/>
              <w:left w:w="15" w:type="dxa"/>
              <w:bottom w:w="0" w:type="dxa"/>
              <w:right w:w="15" w:type="dxa"/>
            </w:tcMar>
            <w:vAlign w:val="center"/>
          </w:tcPr>
          <w:p w14:paraId="2B317425">
            <w:pPr>
              <w:widowControl/>
              <w:spacing w:line="240" w:lineRule="exact"/>
              <w:jc w:val="center"/>
              <w:rPr>
                <w:rFonts w:eastAsia="仿宋_GB2312"/>
                <w:kern w:val="0"/>
                <w:szCs w:val="21"/>
              </w:rPr>
            </w:pPr>
            <w:r>
              <w:rPr>
                <w:rFonts w:eastAsia="仿宋_GB2312"/>
                <w:kern w:val="0"/>
                <w:szCs w:val="21"/>
              </w:rPr>
              <w:t>/</w:t>
            </w:r>
          </w:p>
        </w:tc>
        <w:tc>
          <w:tcPr>
            <w:tcW w:w="926" w:type="pct"/>
            <w:shd w:val="clear" w:color="auto" w:fill="auto"/>
            <w:vAlign w:val="center"/>
          </w:tcPr>
          <w:p w14:paraId="234171E8">
            <w:pPr>
              <w:widowControl/>
              <w:spacing w:line="240" w:lineRule="exact"/>
              <w:jc w:val="center"/>
              <w:rPr>
                <w:rFonts w:eastAsia="仿宋_GB2312"/>
                <w:kern w:val="0"/>
                <w:szCs w:val="21"/>
              </w:rPr>
            </w:pPr>
            <w:r>
              <w:rPr>
                <w:rFonts w:eastAsia="仿宋_GB2312"/>
                <w:kern w:val="0"/>
                <w:szCs w:val="21"/>
              </w:rPr>
              <w:t>0.001</w:t>
            </w:r>
          </w:p>
        </w:tc>
        <w:tc>
          <w:tcPr>
            <w:tcW w:w="922" w:type="pct"/>
            <w:vAlign w:val="center"/>
          </w:tcPr>
          <w:p w14:paraId="20BB892E">
            <w:pPr>
              <w:widowControl/>
              <w:spacing w:line="240" w:lineRule="exact"/>
              <w:jc w:val="center"/>
              <w:rPr>
                <w:rFonts w:eastAsia="仿宋_GB2312"/>
                <w:kern w:val="0"/>
                <w:szCs w:val="21"/>
              </w:rPr>
            </w:pPr>
            <w:r>
              <w:rPr>
                <w:rFonts w:eastAsia="仿宋_GB2312"/>
                <w:kern w:val="0"/>
                <w:szCs w:val="21"/>
              </w:rPr>
              <w:t>0.001</w:t>
            </w:r>
          </w:p>
        </w:tc>
      </w:tr>
      <w:tr w14:paraId="26E9A9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614" w:type="pct"/>
            <w:vMerge w:val="continue"/>
            <w:shd w:val="clear" w:color="auto" w:fill="auto"/>
            <w:vAlign w:val="center"/>
          </w:tcPr>
          <w:p w14:paraId="3B0B6ABE">
            <w:pPr>
              <w:widowControl/>
              <w:spacing w:line="240" w:lineRule="exact"/>
              <w:jc w:val="center"/>
              <w:rPr>
                <w:rFonts w:eastAsia="仿宋_GB2312"/>
                <w:kern w:val="0"/>
                <w:szCs w:val="21"/>
              </w:rPr>
            </w:pPr>
          </w:p>
        </w:tc>
        <w:tc>
          <w:tcPr>
            <w:tcW w:w="1450" w:type="pct"/>
            <w:shd w:val="clear" w:color="auto" w:fill="auto"/>
            <w:tcMar>
              <w:top w:w="15" w:type="dxa"/>
              <w:left w:w="15" w:type="dxa"/>
              <w:bottom w:w="0" w:type="dxa"/>
              <w:right w:w="15" w:type="dxa"/>
            </w:tcMar>
            <w:vAlign w:val="center"/>
          </w:tcPr>
          <w:p w14:paraId="400ADF5A">
            <w:pPr>
              <w:widowControl/>
              <w:spacing w:line="240" w:lineRule="exact"/>
              <w:jc w:val="center"/>
              <w:rPr>
                <w:rFonts w:eastAsia="仿宋_GB2312"/>
                <w:kern w:val="0"/>
                <w:szCs w:val="21"/>
              </w:rPr>
            </w:pPr>
            <w:r>
              <w:rPr>
                <w:rFonts w:eastAsia="仿宋_GB2312"/>
                <w:kern w:val="0"/>
                <w:szCs w:val="21"/>
              </w:rPr>
              <w:t>总铬</w:t>
            </w:r>
          </w:p>
        </w:tc>
        <w:tc>
          <w:tcPr>
            <w:tcW w:w="1086" w:type="pct"/>
            <w:shd w:val="clear" w:color="auto" w:fill="auto"/>
            <w:noWrap/>
            <w:tcMar>
              <w:top w:w="15" w:type="dxa"/>
              <w:left w:w="15" w:type="dxa"/>
              <w:bottom w:w="0" w:type="dxa"/>
              <w:right w:w="15" w:type="dxa"/>
            </w:tcMar>
            <w:vAlign w:val="center"/>
          </w:tcPr>
          <w:p w14:paraId="7C2761D9">
            <w:pPr>
              <w:widowControl/>
              <w:spacing w:line="240" w:lineRule="exact"/>
              <w:jc w:val="center"/>
              <w:rPr>
                <w:rFonts w:eastAsia="仿宋_GB2312"/>
                <w:kern w:val="0"/>
                <w:szCs w:val="21"/>
              </w:rPr>
            </w:pPr>
            <w:r>
              <w:rPr>
                <w:rFonts w:eastAsia="仿宋_GB2312"/>
                <w:kern w:val="0"/>
                <w:szCs w:val="21"/>
              </w:rPr>
              <w:t>/</w:t>
            </w:r>
          </w:p>
        </w:tc>
        <w:tc>
          <w:tcPr>
            <w:tcW w:w="926" w:type="pct"/>
            <w:shd w:val="clear" w:color="auto" w:fill="auto"/>
            <w:vAlign w:val="center"/>
          </w:tcPr>
          <w:p w14:paraId="0DE1C017">
            <w:pPr>
              <w:widowControl/>
              <w:spacing w:line="240" w:lineRule="exact"/>
              <w:jc w:val="center"/>
              <w:rPr>
                <w:rFonts w:eastAsia="仿宋_GB2312"/>
                <w:kern w:val="0"/>
                <w:szCs w:val="21"/>
              </w:rPr>
            </w:pPr>
            <w:r>
              <w:rPr>
                <w:rFonts w:eastAsia="仿宋_GB2312"/>
                <w:kern w:val="0"/>
                <w:szCs w:val="21"/>
              </w:rPr>
              <w:t>0.003</w:t>
            </w:r>
          </w:p>
        </w:tc>
        <w:tc>
          <w:tcPr>
            <w:tcW w:w="922" w:type="pct"/>
            <w:vAlign w:val="center"/>
          </w:tcPr>
          <w:p w14:paraId="2892E861">
            <w:pPr>
              <w:widowControl/>
              <w:spacing w:line="240" w:lineRule="exact"/>
              <w:jc w:val="center"/>
              <w:rPr>
                <w:rFonts w:eastAsia="仿宋_GB2312"/>
                <w:kern w:val="0"/>
                <w:szCs w:val="21"/>
              </w:rPr>
            </w:pPr>
            <w:r>
              <w:rPr>
                <w:rFonts w:eastAsia="仿宋_GB2312"/>
                <w:kern w:val="0"/>
                <w:szCs w:val="21"/>
              </w:rPr>
              <w:t>0.003</w:t>
            </w:r>
          </w:p>
        </w:tc>
      </w:tr>
      <w:tr w14:paraId="09175A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614" w:type="pct"/>
            <w:vMerge w:val="continue"/>
            <w:shd w:val="clear" w:color="auto" w:fill="auto"/>
            <w:vAlign w:val="center"/>
          </w:tcPr>
          <w:p w14:paraId="6D1E5264">
            <w:pPr>
              <w:widowControl/>
              <w:spacing w:line="240" w:lineRule="exact"/>
              <w:jc w:val="center"/>
              <w:rPr>
                <w:rFonts w:eastAsia="仿宋_GB2312"/>
                <w:kern w:val="0"/>
                <w:szCs w:val="21"/>
              </w:rPr>
            </w:pPr>
          </w:p>
        </w:tc>
        <w:tc>
          <w:tcPr>
            <w:tcW w:w="1450" w:type="pct"/>
            <w:shd w:val="clear" w:color="auto" w:fill="auto"/>
            <w:tcMar>
              <w:top w:w="15" w:type="dxa"/>
              <w:left w:w="15" w:type="dxa"/>
              <w:bottom w:w="0" w:type="dxa"/>
              <w:right w:w="15" w:type="dxa"/>
            </w:tcMar>
            <w:vAlign w:val="center"/>
          </w:tcPr>
          <w:p w14:paraId="3F4BC7A8">
            <w:pPr>
              <w:widowControl/>
              <w:spacing w:line="240" w:lineRule="exact"/>
              <w:jc w:val="center"/>
              <w:rPr>
                <w:rFonts w:eastAsia="仿宋_GB2312"/>
                <w:kern w:val="0"/>
                <w:szCs w:val="21"/>
              </w:rPr>
            </w:pPr>
            <w:r>
              <w:rPr>
                <w:rFonts w:eastAsia="仿宋_GB2312"/>
                <w:kern w:val="0"/>
                <w:szCs w:val="21"/>
              </w:rPr>
              <w:t>氰化物</w:t>
            </w:r>
          </w:p>
        </w:tc>
        <w:tc>
          <w:tcPr>
            <w:tcW w:w="1086" w:type="pct"/>
            <w:shd w:val="clear" w:color="auto" w:fill="auto"/>
            <w:noWrap/>
            <w:tcMar>
              <w:top w:w="15" w:type="dxa"/>
              <w:left w:w="15" w:type="dxa"/>
              <w:bottom w:w="0" w:type="dxa"/>
              <w:right w:w="15" w:type="dxa"/>
            </w:tcMar>
            <w:vAlign w:val="center"/>
          </w:tcPr>
          <w:p w14:paraId="59373F49">
            <w:pPr>
              <w:widowControl/>
              <w:spacing w:line="240" w:lineRule="exact"/>
              <w:jc w:val="center"/>
              <w:rPr>
                <w:rFonts w:eastAsia="仿宋_GB2312"/>
                <w:kern w:val="0"/>
                <w:szCs w:val="21"/>
              </w:rPr>
            </w:pPr>
            <w:r>
              <w:rPr>
                <w:rFonts w:eastAsia="仿宋_GB2312"/>
                <w:kern w:val="0"/>
                <w:szCs w:val="21"/>
              </w:rPr>
              <w:t>/</w:t>
            </w:r>
          </w:p>
        </w:tc>
        <w:tc>
          <w:tcPr>
            <w:tcW w:w="926" w:type="pct"/>
            <w:shd w:val="clear" w:color="auto" w:fill="auto"/>
            <w:vAlign w:val="center"/>
          </w:tcPr>
          <w:p w14:paraId="3783C9C2">
            <w:pPr>
              <w:widowControl/>
              <w:spacing w:line="240" w:lineRule="exact"/>
              <w:jc w:val="center"/>
              <w:rPr>
                <w:rFonts w:eastAsia="仿宋_GB2312"/>
                <w:kern w:val="0"/>
                <w:szCs w:val="21"/>
              </w:rPr>
            </w:pPr>
            <w:r>
              <w:rPr>
                <w:rFonts w:eastAsia="仿宋_GB2312"/>
                <w:kern w:val="0"/>
                <w:szCs w:val="21"/>
              </w:rPr>
              <w:t>0.06</w:t>
            </w:r>
          </w:p>
        </w:tc>
        <w:tc>
          <w:tcPr>
            <w:tcW w:w="922" w:type="pct"/>
            <w:vAlign w:val="center"/>
          </w:tcPr>
          <w:p w14:paraId="55DFE314">
            <w:pPr>
              <w:widowControl/>
              <w:spacing w:line="240" w:lineRule="exact"/>
              <w:jc w:val="center"/>
              <w:rPr>
                <w:rFonts w:eastAsia="仿宋_GB2312"/>
                <w:kern w:val="0"/>
                <w:szCs w:val="21"/>
              </w:rPr>
            </w:pPr>
            <w:r>
              <w:rPr>
                <w:rFonts w:eastAsia="仿宋_GB2312"/>
                <w:kern w:val="0"/>
                <w:szCs w:val="21"/>
              </w:rPr>
              <w:t>0.06</w:t>
            </w:r>
          </w:p>
        </w:tc>
      </w:tr>
      <w:tr w14:paraId="6CA4A0A9">
        <w:tblPrEx>
          <w:tblCellMar>
            <w:top w:w="0" w:type="dxa"/>
            <w:left w:w="0" w:type="dxa"/>
            <w:bottom w:w="0" w:type="dxa"/>
            <w:right w:w="0" w:type="dxa"/>
          </w:tblCellMar>
        </w:tblPrEx>
        <w:trPr>
          <w:trHeight w:val="340" w:hRule="atLeast"/>
          <w:jc w:val="center"/>
        </w:trPr>
        <w:tc>
          <w:tcPr>
            <w:tcW w:w="614" w:type="pct"/>
            <w:vMerge w:val="continue"/>
            <w:shd w:val="clear" w:color="auto" w:fill="auto"/>
            <w:vAlign w:val="center"/>
          </w:tcPr>
          <w:p w14:paraId="5FFE3B3E">
            <w:pPr>
              <w:widowControl/>
              <w:spacing w:line="240" w:lineRule="exact"/>
              <w:jc w:val="center"/>
              <w:rPr>
                <w:rFonts w:eastAsia="仿宋_GB2312"/>
                <w:kern w:val="0"/>
                <w:szCs w:val="21"/>
              </w:rPr>
            </w:pPr>
          </w:p>
        </w:tc>
        <w:tc>
          <w:tcPr>
            <w:tcW w:w="1450" w:type="pct"/>
            <w:shd w:val="clear" w:color="auto" w:fill="auto"/>
            <w:tcMar>
              <w:top w:w="15" w:type="dxa"/>
              <w:left w:w="15" w:type="dxa"/>
              <w:bottom w:w="0" w:type="dxa"/>
              <w:right w:w="15" w:type="dxa"/>
            </w:tcMar>
            <w:vAlign w:val="center"/>
          </w:tcPr>
          <w:p w14:paraId="3733B3A8">
            <w:pPr>
              <w:widowControl/>
              <w:spacing w:line="240" w:lineRule="exact"/>
              <w:jc w:val="center"/>
              <w:rPr>
                <w:rFonts w:eastAsia="仿宋_GB2312"/>
                <w:kern w:val="0"/>
                <w:szCs w:val="21"/>
              </w:rPr>
            </w:pPr>
            <w:r>
              <w:rPr>
                <w:rFonts w:eastAsia="仿宋_GB2312"/>
                <w:kern w:val="0"/>
                <w:szCs w:val="21"/>
              </w:rPr>
              <w:t>总银</w:t>
            </w:r>
          </w:p>
        </w:tc>
        <w:tc>
          <w:tcPr>
            <w:tcW w:w="1086" w:type="pct"/>
            <w:shd w:val="clear" w:color="auto" w:fill="auto"/>
            <w:noWrap/>
            <w:tcMar>
              <w:top w:w="15" w:type="dxa"/>
              <w:left w:w="15" w:type="dxa"/>
              <w:bottom w:w="0" w:type="dxa"/>
              <w:right w:w="15" w:type="dxa"/>
            </w:tcMar>
            <w:vAlign w:val="center"/>
          </w:tcPr>
          <w:p w14:paraId="558010B7">
            <w:pPr>
              <w:widowControl/>
              <w:spacing w:line="240" w:lineRule="exact"/>
              <w:jc w:val="center"/>
              <w:rPr>
                <w:rFonts w:eastAsia="仿宋_GB2312"/>
                <w:kern w:val="0"/>
                <w:szCs w:val="21"/>
              </w:rPr>
            </w:pPr>
            <w:r>
              <w:rPr>
                <w:rFonts w:eastAsia="仿宋_GB2312"/>
                <w:kern w:val="0"/>
                <w:szCs w:val="21"/>
              </w:rPr>
              <w:t>/</w:t>
            </w:r>
          </w:p>
        </w:tc>
        <w:tc>
          <w:tcPr>
            <w:tcW w:w="926" w:type="pct"/>
            <w:shd w:val="clear" w:color="auto" w:fill="auto"/>
            <w:vAlign w:val="center"/>
          </w:tcPr>
          <w:p w14:paraId="2D0E30C5">
            <w:pPr>
              <w:widowControl/>
              <w:spacing w:line="240" w:lineRule="exact"/>
              <w:jc w:val="center"/>
              <w:rPr>
                <w:rFonts w:eastAsia="仿宋_GB2312"/>
                <w:kern w:val="0"/>
                <w:szCs w:val="21"/>
              </w:rPr>
            </w:pPr>
            <w:r>
              <w:rPr>
                <w:rFonts w:eastAsia="仿宋_GB2312"/>
                <w:kern w:val="0"/>
                <w:szCs w:val="21"/>
              </w:rPr>
              <w:t>0.003</w:t>
            </w:r>
          </w:p>
        </w:tc>
        <w:tc>
          <w:tcPr>
            <w:tcW w:w="922" w:type="pct"/>
            <w:vAlign w:val="center"/>
          </w:tcPr>
          <w:p w14:paraId="1471CBD0">
            <w:pPr>
              <w:widowControl/>
              <w:spacing w:line="240" w:lineRule="exact"/>
              <w:jc w:val="center"/>
              <w:rPr>
                <w:rFonts w:eastAsia="仿宋_GB2312"/>
                <w:kern w:val="0"/>
                <w:szCs w:val="21"/>
              </w:rPr>
            </w:pPr>
            <w:r>
              <w:rPr>
                <w:rFonts w:eastAsia="仿宋_GB2312"/>
                <w:kern w:val="0"/>
                <w:szCs w:val="21"/>
              </w:rPr>
              <w:t>0.003</w:t>
            </w:r>
          </w:p>
        </w:tc>
      </w:tr>
      <w:tr w14:paraId="52D09F7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614" w:type="pct"/>
            <w:vMerge w:val="continue"/>
            <w:shd w:val="clear" w:color="auto" w:fill="auto"/>
            <w:vAlign w:val="center"/>
          </w:tcPr>
          <w:p w14:paraId="2F454FB1">
            <w:pPr>
              <w:widowControl/>
              <w:spacing w:line="240" w:lineRule="exact"/>
              <w:jc w:val="center"/>
              <w:rPr>
                <w:rFonts w:eastAsia="仿宋_GB2312"/>
                <w:kern w:val="0"/>
                <w:szCs w:val="21"/>
              </w:rPr>
            </w:pPr>
          </w:p>
        </w:tc>
        <w:tc>
          <w:tcPr>
            <w:tcW w:w="1450" w:type="pct"/>
            <w:shd w:val="clear" w:color="auto" w:fill="auto"/>
            <w:tcMar>
              <w:top w:w="15" w:type="dxa"/>
              <w:left w:w="15" w:type="dxa"/>
              <w:bottom w:w="0" w:type="dxa"/>
              <w:right w:w="15" w:type="dxa"/>
            </w:tcMar>
            <w:vAlign w:val="center"/>
          </w:tcPr>
          <w:p w14:paraId="110F0A14">
            <w:pPr>
              <w:widowControl/>
              <w:spacing w:line="240" w:lineRule="exact"/>
              <w:jc w:val="center"/>
              <w:rPr>
                <w:rFonts w:eastAsia="仿宋_GB2312"/>
                <w:kern w:val="0"/>
                <w:szCs w:val="21"/>
              </w:rPr>
            </w:pPr>
            <w:r>
              <w:rPr>
                <w:rFonts w:eastAsia="仿宋_GB2312"/>
                <w:kern w:val="0"/>
                <w:szCs w:val="21"/>
              </w:rPr>
              <w:t>盐分</w:t>
            </w:r>
          </w:p>
        </w:tc>
        <w:tc>
          <w:tcPr>
            <w:tcW w:w="1086" w:type="pct"/>
            <w:shd w:val="clear" w:color="auto" w:fill="auto"/>
            <w:noWrap/>
            <w:tcMar>
              <w:top w:w="15" w:type="dxa"/>
              <w:left w:w="15" w:type="dxa"/>
              <w:bottom w:w="0" w:type="dxa"/>
              <w:right w:w="15" w:type="dxa"/>
            </w:tcMar>
            <w:vAlign w:val="center"/>
          </w:tcPr>
          <w:p w14:paraId="09024D67">
            <w:pPr>
              <w:widowControl/>
              <w:spacing w:line="240" w:lineRule="exact"/>
              <w:jc w:val="center"/>
              <w:rPr>
                <w:rFonts w:eastAsia="仿宋_GB2312"/>
                <w:kern w:val="0"/>
                <w:szCs w:val="21"/>
              </w:rPr>
            </w:pPr>
            <w:r>
              <w:rPr>
                <w:rFonts w:eastAsia="仿宋_GB2312"/>
                <w:kern w:val="0"/>
                <w:szCs w:val="21"/>
              </w:rPr>
              <w:t>13.12</w:t>
            </w:r>
          </w:p>
        </w:tc>
        <w:tc>
          <w:tcPr>
            <w:tcW w:w="926" w:type="pct"/>
            <w:shd w:val="clear" w:color="auto" w:fill="auto"/>
            <w:vAlign w:val="center"/>
          </w:tcPr>
          <w:p w14:paraId="38601B5F">
            <w:pPr>
              <w:widowControl/>
              <w:spacing w:line="240" w:lineRule="exact"/>
              <w:jc w:val="center"/>
              <w:rPr>
                <w:rFonts w:eastAsia="仿宋_GB2312"/>
                <w:kern w:val="0"/>
                <w:szCs w:val="21"/>
              </w:rPr>
            </w:pPr>
            <w:r>
              <w:rPr>
                <w:rFonts w:eastAsia="仿宋_GB2312"/>
                <w:kern w:val="0"/>
                <w:szCs w:val="21"/>
              </w:rPr>
              <w:t>3.6</w:t>
            </w:r>
          </w:p>
        </w:tc>
        <w:tc>
          <w:tcPr>
            <w:tcW w:w="922" w:type="pct"/>
            <w:vAlign w:val="center"/>
          </w:tcPr>
          <w:p w14:paraId="5A06D2C4">
            <w:pPr>
              <w:widowControl/>
              <w:spacing w:line="240" w:lineRule="exact"/>
              <w:jc w:val="center"/>
              <w:rPr>
                <w:rFonts w:eastAsia="仿宋_GB2312"/>
                <w:kern w:val="0"/>
                <w:szCs w:val="21"/>
              </w:rPr>
            </w:pPr>
            <w:r>
              <w:rPr>
                <w:rFonts w:eastAsia="仿宋_GB2312"/>
                <w:kern w:val="0"/>
                <w:szCs w:val="21"/>
              </w:rPr>
              <w:t>16.72</w:t>
            </w:r>
          </w:p>
        </w:tc>
      </w:tr>
    </w:tbl>
    <w:p w14:paraId="28817DA8">
      <w:pPr>
        <w:spacing w:line="500" w:lineRule="exact"/>
        <w:jc w:val="center"/>
        <w:rPr>
          <w:rFonts w:eastAsia="仿宋_GB2312"/>
          <w:b/>
          <w:color w:val="FF0000"/>
          <w:sz w:val="24"/>
        </w:rPr>
      </w:pPr>
    </w:p>
    <w:p w14:paraId="0ABE5413">
      <w:pPr>
        <w:pStyle w:val="35"/>
      </w:pPr>
    </w:p>
    <w:p w14:paraId="42AC1FAA">
      <w:pPr>
        <w:widowControl/>
        <w:jc w:val="left"/>
        <w:rPr>
          <w:rFonts w:eastAsia="仿宋_GB2312"/>
          <w:b/>
          <w:color w:val="FF0000"/>
          <w:sz w:val="24"/>
        </w:rPr>
      </w:pPr>
      <w:r>
        <w:rPr>
          <w:rFonts w:eastAsia="仿宋_GB2312"/>
          <w:b/>
          <w:color w:val="FF0000"/>
          <w:sz w:val="24"/>
        </w:rPr>
        <w:br w:type="page"/>
      </w:r>
    </w:p>
    <w:p w14:paraId="60479087">
      <w:pPr>
        <w:keepNext/>
        <w:tabs>
          <w:tab w:val="left" w:pos="709"/>
        </w:tabs>
        <w:spacing w:before="120" w:beforeLines="50" w:after="120" w:afterLines="50" w:line="500" w:lineRule="exact"/>
        <w:outlineLvl w:val="2"/>
        <w:rPr>
          <w:rFonts w:eastAsia="仿宋_GB2312"/>
          <w:b/>
          <w:bCs/>
          <w:color w:val="auto"/>
          <w:sz w:val="28"/>
          <w:szCs w:val="28"/>
        </w:rPr>
      </w:pPr>
      <w:bookmarkStart w:id="26" w:name="_Toc27628"/>
      <w:r>
        <w:rPr>
          <w:rFonts w:eastAsia="仿宋_GB2312"/>
          <w:b/>
          <w:bCs/>
          <w:color w:val="auto"/>
          <w:sz w:val="28"/>
          <w:szCs w:val="28"/>
          <w:lang w:val="zh-CN"/>
        </w:rPr>
        <w:t>3.1.</w:t>
      </w:r>
      <w:r>
        <w:rPr>
          <w:rFonts w:hint="eastAsia" w:eastAsia="仿宋_GB2312"/>
          <w:b/>
          <w:bCs/>
          <w:color w:val="auto"/>
          <w:sz w:val="28"/>
          <w:szCs w:val="28"/>
        </w:rPr>
        <w:t>8</w:t>
      </w:r>
      <w:r>
        <w:rPr>
          <w:rFonts w:eastAsia="仿宋_GB2312"/>
          <w:b/>
          <w:bCs/>
          <w:color w:val="auto"/>
          <w:sz w:val="28"/>
          <w:szCs w:val="28"/>
        </w:rPr>
        <w:t>原有项目</w:t>
      </w:r>
      <w:r>
        <w:rPr>
          <w:rFonts w:eastAsia="仿宋_GB2312"/>
          <w:b/>
          <w:bCs/>
          <w:color w:val="auto"/>
          <w:sz w:val="28"/>
          <w:szCs w:val="28"/>
          <w:lang w:val="zh-CN"/>
        </w:rPr>
        <w:t>环境问题及“以新带老”措施</w:t>
      </w:r>
      <w:bookmarkEnd w:id="26"/>
    </w:p>
    <w:p w14:paraId="1152E133">
      <w:pPr>
        <w:spacing w:line="500" w:lineRule="exact"/>
        <w:ind w:firstLine="561"/>
        <w:rPr>
          <w:rFonts w:eastAsia="仿宋_GB2312"/>
          <w:color w:val="auto"/>
          <w:sz w:val="28"/>
          <w:szCs w:val="28"/>
        </w:rPr>
      </w:pPr>
      <w:r>
        <w:rPr>
          <w:rFonts w:hint="eastAsia" w:eastAsia="仿宋_GB2312"/>
          <w:color w:val="auto"/>
          <w:sz w:val="28"/>
          <w:szCs w:val="28"/>
        </w:rPr>
        <w:t>本项目为扩建项目，企业原有项目均已完善履行环保手续，</w:t>
      </w:r>
      <w:r>
        <w:rPr>
          <w:rFonts w:hint="eastAsia" w:eastAsia="仿宋_GB2312"/>
          <w:color w:val="auto"/>
          <w:sz w:val="28"/>
          <w:szCs w:val="28"/>
          <w:lang w:val="en-US" w:eastAsia="zh-CN"/>
        </w:rPr>
        <w:t>已验收项目均</w:t>
      </w:r>
      <w:r>
        <w:rPr>
          <w:rFonts w:hint="eastAsia" w:eastAsia="仿宋_GB2312"/>
          <w:color w:val="auto"/>
          <w:sz w:val="28"/>
          <w:szCs w:val="28"/>
        </w:rPr>
        <w:t>已落实环评及批复各项污染防治措施要求，废水、废气、噪声污染物均可达标排放，固废妥善处理，污染物排放总量符合审批要求</w:t>
      </w:r>
      <w:r>
        <w:rPr>
          <w:rFonts w:hint="eastAsia" w:eastAsia="仿宋_GB2312"/>
          <w:color w:val="auto"/>
          <w:sz w:val="28"/>
          <w:szCs w:val="28"/>
          <w:lang w:eastAsia="zh-CN"/>
        </w:rPr>
        <w:t>，</w:t>
      </w:r>
      <w:r>
        <w:rPr>
          <w:rFonts w:hint="eastAsia" w:eastAsia="仿宋_GB2312"/>
          <w:color w:val="auto"/>
          <w:sz w:val="28"/>
          <w:szCs w:val="28"/>
        </w:rPr>
        <w:t>原有项目无环境问题。</w:t>
      </w:r>
    </w:p>
    <w:p w14:paraId="641736FA">
      <w:pPr>
        <w:widowControl/>
        <w:spacing w:line="500" w:lineRule="exact"/>
        <w:ind w:firstLine="562" w:firstLineChars="200"/>
        <w:jc w:val="left"/>
        <w:rPr>
          <w:rFonts w:eastAsia="仿宋_GB2312"/>
          <w:b/>
          <w:sz w:val="28"/>
          <w:szCs w:val="28"/>
        </w:rPr>
      </w:pPr>
      <w:r>
        <w:rPr>
          <w:rFonts w:hint="eastAsia" w:eastAsia="仿宋_GB2312"/>
          <w:b/>
          <w:sz w:val="28"/>
          <w:szCs w:val="28"/>
          <w:lang w:val="en-US" w:eastAsia="zh-CN"/>
        </w:rPr>
        <w:t>一、</w:t>
      </w:r>
      <w:r>
        <w:rPr>
          <w:rFonts w:eastAsia="仿宋_GB2312"/>
          <w:b/>
          <w:sz w:val="28"/>
          <w:szCs w:val="28"/>
        </w:rPr>
        <w:t>本项目建成后</w:t>
      </w:r>
      <w:r>
        <w:rPr>
          <w:rFonts w:hint="eastAsia" w:eastAsia="仿宋_GB2312"/>
          <w:b/>
          <w:sz w:val="28"/>
          <w:szCs w:val="28"/>
          <w:lang w:val="en-US" w:eastAsia="zh-CN"/>
        </w:rPr>
        <w:t>与本项目相关的</w:t>
      </w:r>
      <w:r>
        <w:rPr>
          <w:rFonts w:eastAsia="仿宋_GB2312"/>
          <w:b/>
          <w:sz w:val="28"/>
          <w:szCs w:val="28"/>
        </w:rPr>
        <w:t>原有项目</w:t>
      </w:r>
      <w:r>
        <w:rPr>
          <w:rFonts w:eastAsia="仿宋_GB2312"/>
          <w:b/>
          <w:bCs/>
          <w:sz w:val="28"/>
          <w:szCs w:val="28"/>
        </w:rPr>
        <w:t>三废削减量</w:t>
      </w:r>
      <w:r>
        <w:rPr>
          <w:rFonts w:hint="eastAsia" w:eastAsia="仿宋_GB2312"/>
          <w:b/>
          <w:bCs/>
          <w:sz w:val="28"/>
          <w:szCs w:val="28"/>
          <w:lang w:val="en-US" w:eastAsia="zh-CN"/>
        </w:rPr>
        <w:t>核算</w:t>
      </w:r>
      <w:r>
        <w:rPr>
          <w:rFonts w:eastAsia="仿宋_GB2312"/>
          <w:b/>
          <w:bCs/>
          <w:sz w:val="28"/>
          <w:szCs w:val="28"/>
        </w:rPr>
        <w:t>：</w:t>
      </w:r>
    </w:p>
    <w:p w14:paraId="17E07771">
      <w:pPr>
        <w:widowControl/>
        <w:spacing w:line="500" w:lineRule="exact"/>
        <w:ind w:firstLine="560" w:firstLineChars="200"/>
        <w:jc w:val="left"/>
        <w:rPr>
          <w:rFonts w:eastAsia="仿宋_GB2312"/>
          <w:color w:val="FF0000"/>
          <w:sz w:val="28"/>
          <w:szCs w:val="28"/>
        </w:rPr>
      </w:pPr>
      <w:r>
        <w:rPr>
          <w:rFonts w:eastAsia="仿宋_GB2312"/>
          <w:sz w:val="28"/>
          <w:szCs w:val="28"/>
        </w:rPr>
        <w:t>本项目建成后，</w:t>
      </w:r>
      <w:r>
        <w:rPr>
          <w:rFonts w:hint="eastAsia" w:eastAsia="仿宋_GB2312"/>
          <w:sz w:val="28"/>
          <w:szCs w:val="28"/>
          <w:lang w:val="en-US" w:eastAsia="zh-CN"/>
        </w:rPr>
        <w:t>B-7车间所有废液回收综合利用均已重新开展工程分析核算，覆盖原B-7车间74620t</w:t>
      </w:r>
      <w:r>
        <w:rPr>
          <w:rFonts w:hint="eastAsia" w:eastAsia="仿宋_GB2312"/>
          <w:color w:val="auto"/>
          <w:sz w:val="28"/>
          <w:szCs w:val="28"/>
          <w:lang w:val="en-US" w:eastAsia="zh-CN"/>
        </w:rPr>
        <w:t>/a废液“三废”产排污。</w:t>
      </w:r>
      <w:r>
        <w:rPr>
          <w:rFonts w:eastAsia="仿宋_GB2312"/>
          <w:color w:val="auto"/>
          <w:sz w:val="28"/>
          <w:szCs w:val="28"/>
        </w:rPr>
        <w:t>结合原环评“三废”核算量，相应污染物削减情况如下：</w:t>
      </w:r>
    </w:p>
    <w:p w14:paraId="1952F56E">
      <w:pPr>
        <w:widowControl/>
        <w:spacing w:line="500" w:lineRule="exact"/>
        <w:ind w:firstLine="562" w:firstLineChars="200"/>
        <w:jc w:val="left"/>
        <w:rPr>
          <w:rFonts w:eastAsia="仿宋_GB2312"/>
          <w:color w:val="auto"/>
          <w:sz w:val="28"/>
          <w:szCs w:val="28"/>
        </w:rPr>
      </w:pPr>
      <w:r>
        <w:rPr>
          <w:rFonts w:hint="default" w:eastAsia="仿宋_GB2312"/>
          <w:b/>
          <w:bCs/>
          <w:color w:val="auto"/>
          <w:sz w:val="28"/>
          <w:szCs w:val="28"/>
        </w:rPr>
        <w:t>①</w:t>
      </w:r>
      <w:r>
        <w:rPr>
          <w:rFonts w:eastAsia="仿宋_GB2312"/>
          <w:b/>
          <w:bCs/>
          <w:color w:val="auto"/>
          <w:sz w:val="28"/>
          <w:szCs w:val="28"/>
        </w:rPr>
        <w:t>废气削减排放量</w:t>
      </w:r>
      <w:r>
        <w:rPr>
          <w:rFonts w:eastAsia="仿宋_GB2312"/>
          <w:color w:val="auto"/>
          <w:sz w:val="28"/>
          <w:szCs w:val="28"/>
        </w:rPr>
        <w:t>（仅考虑</w:t>
      </w:r>
      <w:r>
        <w:rPr>
          <w:rFonts w:hint="eastAsia" w:eastAsia="仿宋_GB2312"/>
          <w:color w:val="auto"/>
          <w:sz w:val="28"/>
          <w:szCs w:val="28"/>
          <w:lang w:val="en-US" w:eastAsia="zh-CN"/>
        </w:rPr>
        <w:t>B-7车间</w:t>
      </w:r>
      <w:r>
        <w:rPr>
          <w:rFonts w:eastAsia="仿宋_GB2312"/>
          <w:color w:val="auto"/>
          <w:sz w:val="28"/>
          <w:szCs w:val="28"/>
        </w:rPr>
        <w:t>工艺过程产生的废气削减量）</w:t>
      </w:r>
    </w:p>
    <w:p w14:paraId="1E9E4C76">
      <w:pPr>
        <w:spacing w:line="500" w:lineRule="exact"/>
        <w:jc w:val="center"/>
        <w:rPr>
          <w:rFonts w:eastAsia="仿宋_GB2312"/>
          <w:b/>
          <w:color w:val="auto"/>
          <w:sz w:val="24"/>
        </w:rPr>
      </w:pPr>
      <w:r>
        <w:rPr>
          <w:rFonts w:eastAsia="仿宋_GB2312"/>
          <w:b/>
          <w:color w:val="auto"/>
          <w:sz w:val="24"/>
        </w:rPr>
        <w:t>表3.1-2</w:t>
      </w:r>
      <w:r>
        <w:rPr>
          <w:rFonts w:hint="eastAsia" w:eastAsia="仿宋_GB2312"/>
          <w:b/>
          <w:color w:val="auto"/>
          <w:sz w:val="24"/>
          <w:lang w:val="en-US" w:eastAsia="zh-CN"/>
        </w:rPr>
        <w:t>2</w:t>
      </w:r>
      <w:r>
        <w:rPr>
          <w:rFonts w:eastAsia="仿宋_GB2312"/>
          <w:b/>
          <w:color w:val="auto"/>
          <w:sz w:val="24"/>
        </w:rPr>
        <w:t xml:space="preserve">  废气排放量削减统计表</w:t>
      </w:r>
    </w:p>
    <w:tbl>
      <w:tblPr>
        <w:tblStyle w:val="88"/>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1716"/>
        <w:gridCol w:w="3543"/>
        <w:gridCol w:w="3078"/>
      </w:tblGrid>
      <w:tr w14:paraId="39F18E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12" w:hRule="atLeast"/>
          <w:jc w:val="center"/>
        </w:trPr>
        <w:tc>
          <w:tcPr>
            <w:tcW w:w="1029" w:type="pct"/>
            <w:shd w:val="clear" w:color="auto" w:fill="auto"/>
            <w:tcMar>
              <w:top w:w="15" w:type="dxa"/>
              <w:left w:w="15" w:type="dxa"/>
              <w:bottom w:w="0" w:type="dxa"/>
              <w:right w:w="15" w:type="dxa"/>
            </w:tcMar>
            <w:vAlign w:val="center"/>
          </w:tcPr>
          <w:p w14:paraId="39E819FE">
            <w:pPr>
              <w:widowControl/>
              <w:spacing w:line="240" w:lineRule="exact"/>
              <w:jc w:val="center"/>
              <w:rPr>
                <w:rFonts w:eastAsia="仿宋_GB2312"/>
                <w:b/>
                <w:bCs/>
                <w:color w:val="auto"/>
                <w:kern w:val="0"/>
                <w:szCs w:val="21"/>
              </w:rPr>
            </w:pPr>
            <w:r>
              <w:rPr>
                <w:rFonts w:eastAsia="仿宋_GB2312"/>
                <w:b/>
                <w:bCs/>
                <w:color w:val="auto"/>
                <w:kern w:val="0"/>
                <w:szCs w:val="21"/>
              </w:rPr>
              <w:t>类别</w:t>
            </w:r>
          </w:p>
        </w:tc>
        <w:tc>
          <w:tcPr>
            <w:tcW w:w="2124" w:type="pct"/>
            <w:shd w:val="clear" w:color="auto" w:fill="auto"/>
            <w:tcMar>
              <w:top w:w="15" w:type="dxa"/>
              <w:left w:w="15" w:type="dxa"/>
              <w:bottom w:w="0" w:type="dxa"/>
              <w:right w:w="15" w:type="dxa"/>
            </w:tcMar>
            <w:vAlign w:val="center"/>
          </w:tcPr>
          <w:p w14:paraId="1839F7EC">
            <w:pPr>
              <w:widowControl/>
              <w:spacing w:line="240" w:lineRule="exact"/>
              <w:jc w:val="center"/>
              <w:rPr>
                <w:rFonts w:eastAsia="仿宋_GB2312"/>
                <w:b/>
                <w:bCs/>
                <w:color w:val="auto"/>
                <w:kern w:val="0"/>
                <w:szCs w:val="21"/>
              </w:rPr>
            </w:pPr>
            <w:r>
              <w:rPr>
                <w:rFonts w:eastAsia="仿宋_GB2312"/>
                <w:b/>
                <w:bCs/>
                <w:color w:val="auto"/>
                <w:kern w:val="0"/>
                <w:szCs w:val="21"/>
              </w:rPr>
              <w:t>污染物名称</w:t>
            </w:r>
          </w:p>
        </w:tc>
        <w:tc>
          <w:tcPr>
            <w:tcW w:w="1845" w:type="pct"/>
            <w:vAlign w:val="center"/>
          </w:tcPr>
          <w:p w14:paraId="02E8D9A0">
            <w:pPr>
              <w:adjustRightInd w:val="0"/>
              <w:snapToGrid w:val="0"/>
              <w:spacing w:line="320" w:lineRule="exact"/>
              <w:jc w:val="center"/>
              <w:rPr>
                <w:rFonts w:eastAsia="仿宋_GB2312"/>
                <w:b/>
                <w:bCs/>
                <w:color w:val="auto"/>
                <w:szCs w:val="21"/>
              </w:rPr>
            </w:pPr>
            <w:r>
              <w:rPr>
                <w:rFonts w:eastAsia="仿宋_GB2312"/>
                <w:b/>
                <w:bCs/>
                <w:color w:val="auto"/>
                <w:kern w:val="0"/>
                <w:szCs w:val="21"/>
              </w:rPr>
              <w:t>“以新带老”削减量（t/a）</w:t>
            </w:r>
          </w:p>
        </w:tc>
      </w:tr>
      <w:tr w14:paraId="657E86A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12" w:hRule="atLeast"/>
          <w:jc w:val="center"/>
        </w:trPr>
        <w:tc>
          <w:tcPr>
            <w:tcW w:w="1029" w:type="pct"/>
            <w:vMerge w:val="restart"/>
            <w:shd w:val="clear" w:color="auto" w:fill="auto"/>
            <w:tcMar>
              <w:top w:w="15" w:type="dxa"/>
              <w:left w:w="15" w:type="dxa"/>
              <w:bottom w:w="0" w:type="dxa"/>
              <w:right w:w="15" w:type="dxa"/>
            </w:tcMar>
            <w:vAlign w:val="center"/>
          </w:tcPr>
          <w:p w14:paraId="02E6CBB5">
            <w:pPr>
              <w:widowControl/>
              <w:spacing w:line="240" w:lineRule="exact"/>
              <w:jc w:val="center"/>
              <w:rPr>
                <w:rFonts w:eastAsia="仿宋_GB2312"/>
                <w:color w:val="auto"/>
                <w:kern w:val="0"/>
                <w:szCs w:val="21"/>
              </w:rPr>
            </w:pPr>
            <w:r>
              <w:rPr>
                <w:rFonts w:eastAsia="仿宋_GB2312"/>
                <w:color w:val="auto"/>
                <w:kern w:val="0"/>
                <w:szCs w:val="21"/>
              </w:rPr>
              <w:t>有组织废气</w:t>
            </w:r>
          </w:p>
        </w:tc>
        <w:tc>
          <w:tcPr>
            <w:tcW w:w="2124" w:type="pct"/>
            <w:shd w:val="clear" w:color="auto" w:fill="auto"/>
            <w:tcMar>
              <w:top w:w="15" w:type="dxa"/>
              <w:left w:w="15" w:type="dxa"/>
              <w:bottom w:w="0" w:type="dxa"/>
              <w:right w:w="15" w:type="dxa"/>
            </w:tcMar>
            <w:vAlign w:val="center"/>
          </w:tcPr>
          <w:p w14:paraId="6B2193F3">
            <w:pPr>
              <w:keepNext w:val="0"/>
              <w:keepLines w:val="0"/>
              <w:widowControl/>
              <w:suppressLineNumbers w:val="0"/>
              <w:jc w:val="center"/>
              <w:textAlignment w:val="center"/>
              <w:rPr>
                <w:rFonts w:eastAsia="仿宋_GB2312"/>
                <w:color w:val="auto"/>
                <w:kern w:val="0"/>
                <w:szCs w:val="21"/>
              </w:rPr>
            </w:pPr>
            <w:r>
              <w:rPr>
                <w:rFonts w:hint="default" w:ascii="Times New Roman" w:hAnsi="Times New Roman" w:eastAsia="宋体" w:cs="Times New Roman"/>
                <w:i w:val="0"/>
                <w:iCs w:val="0"/>
                <w:color w:val="auto"/>
                <w:kern w:val="0"/>
                <w:sz w:val="21"/>
                <w:szCs w:val="21"/>
                <w:u w:val="none"/>
                <w:lang w:val="en-US" w:eastAsia="zh-CN" w:bidi="ar"/>
              </w:rPr>
              <w:t>NMP</w:t>
            </w:r>
          </w:p>
        </w:tc>
        <w:tc>
          <w:tcPr>
            <w:tcW w:w="1845" w:type="pct"/>
            <w:vAlign w:val="center"/>
          </w:tcPr>
          <w:p w14:paraId="0235D023">
            <w:pPr>
              <w:keepNext w:val="0"/>
              <w:keepLines w:val="0"/>
              <w:widowControl/>
              <w:suppressLineNumbers w:val="0"/>
              <w:jc w:val="center"/>
              <w:textAlignment w:val="center"/>
              <w:rPr>
                <w:color w:val="auto"/>
                <w:szCs w:val="21"/>
                <w:highlight w:val="yellow"/>
              </w:rPr>
            </w:pPr>
            <w:r>
              <w:rPr>
                <w:rFonts w:hint="default" w:ascii="Times New Roman" w:hAnsi="Times New Roman" w:eastAsia="宋体" w:cs="Times New Roman"/>
                <w:i w:val="0"/>
                <w:iCs w:val="0"/>
                <w:color w:val="auto"/>
                <w:kern w:val="0"/>
                <w:sz w:val="21"/>
                <w:szCs w:val="21"/>
                <w:u w:val="none"/>
                <w:lang w:val="en-US" w:eastAsia="zh-CN" w:bidi="ar"/>
              </w:rPr>
              <w:t>0.22</w:t>
            </w:r>
          </w:p>
        </w:tc>
      </w:tr>
      <w:tr w14:paraId="25C1C6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12" w:hRule="atLeast"/>
          <w:jc w:val="center"/>
        </w:trPr>
        <w:tc>
          <w:tcPr>
            <w:tcW w:w="1029" w:type="pct"/>
            <w:vMerge w:val="continue"/>
            <w:shd w:val="clear" w:color="auto" w:fill="auto"/>
            <w:vAlign w:val="center"/>
          </w:tcPr>
          <w:p w14:paraId="4201DBB7">
            <w:pPr>
              <w:widowControl/>
              <w:spacing w:line="240" w:lineRule="exact"/>
              <w:jc w:val="center"/>
              <w:rPr>
                <w:rFonts w:eastAsia="仿宋_GB2312"/>
                <w:color w:val="auto"/>
                <w:kern w:val="0"/>
                <w:szCs w:val="21"/>
              </w:rPr>
            </w:pPr>
          </w:p>
        </w:tc>
        <w:tc>
          <w:tcPr>
            <w:tcW w:w="2124" w:type="pct"/>
            <w:shd w:val="clear" w:color="auto" w:fill="auto"/>
            <w:tcMar>
              <w:top w:w="15" w:type="dxa"/>
              <w:left w:w="15" w:type="dxa"/>
              <w:bottom w:w="0" w:type="dxa"/>
              <w:right w:w="15" w:type="dxa"/>
            </w:tcMar>
            <w:vAlign w:val="center"/>
          </w:tcPr>
          <w:p w14:paraId="5C56DACA">
            <w:pPr>
              <w:keepNext w:val="0"/>
              <w:keepLines w:val="0"/>
              <w:widowControl/>
              <w:suppressLineNumbers w:val="0"/>
              <w:jc w:val="center"/>
              <w:textAlignment w:val="center"/>
              <w:rPr>
                <w:rFonts w:eastAsia="仿宋_GB2312"/>
                <w:color w:val="auto"/>
                <w:kern w:val="0"/>
                <w:szCs w:val="21"/>
              </w:rPr>
            </w:pPr>
            <w:r>
              <w:rPr>
                <w:rFonts w:hint="default" w:ascii="仿宋_GB2312" w:hAnsi="宋体" w:eastAsia="仿宋_GB2312" w:cs="仿宋_GB2312"/>
                <w:i w:val="0"/>
                <w:iCs w:val="0"/>
                <w:color w:val="auto"/>
                <w:kern w:val="0"/>
                <w:sz w:val="21"/>
                <w:szCs w:val="21"/>
                <w:u w:val="none"/>
                <w:lang w:val="en-US" w:eastAsia="zh-CN" w:bidi="ar"/>
              </w:rPr>
              <w:t>异丙醇</w:t>
            </w:r>
          </w:p>
        </w:tc>
        <w:tc>
          <w:tcPr>
            <w:tcW w:w="1845" w:type="pct"/>
            <w:vAlign w:val="center"/>
          </w:tcPr>
          <w:p w14:paraId="0B145306">
            <w:pPr>
              <w:keepNext w:val="0"/>
              <w:keepLines w:val="0"/>
              <w:widowControl/>
              <w:suppressLineNumbers w:val="0"/>
              <w:jc w:val="center"/>
              <w:textAlignment w:val="center"/>
              <w:rPr>
                <w:color w:val="auto"/>
                <w:szCs w:val="21"/>
              </w:rPr>
            </w:pPr>
            <w:r>
              <w:rPr>
                <w:rFonts w:hint="default" w:ascii="Times New Roman" w:hAnsi="Times New Roman" w:eastAsia="宋体" w:cs="Times New Roman"/>
                <w:i w:val="0"/>
                <w:iCs w:val="0"/>
                <w:color w:val="auto"/>
                <w:kern w:val="0"/>
                <w:sz w:val="21"/>
                <w:szCs w:val="21"/>
                <w:u w:val="none"/>
                <w:lang w:val="en-US" w:eastAsia="zh-CN" w:bidi="ar"/>
              </w:rPr>
              <w:t>0.39</w:t>
            </w:r>
          </w:p>
        </w:tc>
      </w:tr>
      <w:tr w14:paraId="022548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12" w:hRule="atLeast"/>
          <w:jc w:val="center"/>
        </w:trPr>
        <w:tc>
          <w:tcPr>
            <w:tcW w:w="1029" w:type="pct"/>
            <w:vMerge w:val="continue"/>
            <w:shd w:val="clear" w:color="auto" w:fill="auto"/>
            <w:vAlign w:val="center"/>
          </w:tcPr>
          <w:p w14:paraId="15E05502">
            <w:pPr>
              <w:widowControl/>
              <w:spacing w:line="240" w:lineRule="exact"/>
              <w:jc w:val="center"/>
              <w:rPr>
                <w:rFonts w:eastAsia="仿宋_GB2312"/>
                <w:color w:val="auto"/>
                <w:kern w:val="0"/>
                <w:szCs w:val="21"/>
              </w:rPr>
            </w:pPr>
          </w:p>
        </w:tc>
        <w:tc>
          <w:tcPr>
            <w:tcW w:w="2124" w:type="pct"/>
            <w:shd w:val="clear" w:color="auto" w:fill="auto"/>
            <w:tcMar>
              <w:top w:w="15" w:type="dxa"/>
              <w:left w:w="15" w:type="dxa"/>
              <w:bottom w:w="0" w:type="dxa"/>
              <w:right w:w="15" w:type="dxa"/>
            </w:tcMar>
            <w:vAlign w:val="center"/>
          </w:tcPr>
          <w:p w14:paraId="5A29DE94">
            <w:pPr>
              <w:keepNext w:val="0"/>
              <w:keepLines w:val="0"/>
              <w:widowControl/>
              <w:suppressLineNumbers w:val="0"/>
              <w:jc w:val="center"/>
              <w:textAlignment w:val="center"/>
              <w:rPr>
                <w:rFonts w:eastAsia="仿宋_GB2312"/>
                <w:color w:val="auto"/>
                <w:kern w:val="0"/>
                <w:szCs w:val="21"/>
              </w:rPr>
            </w:pPr>
            <w:r>
              <w:rPr>
                <w:rFonts w:hint="default" w:ascii="仿宋_GB2312" w:hAnsi="宋体" w:eastAsia="仿宋_GB2312" w:cs="仿宋_GB2312"/>
                <w:i w:val="0"/>
                <w:iCs w:val="0"/>
                <w:color w:val="auto"/>
                <w:kern w:val="0"/>
                <w:sz w:val="21"/>
                <w:szCs w:val="21"/>
                <w:u w:val="none"/>
                <w:lang w:val="en-US" w:eastAsia="zh-CN" w:bidi="ar"/>
              </w:rPr>
              <w:t>丁酮</w:t>
            </w:r>
          </w:p>
        </w:tc>
        <w:tc>
          <w:tcPr>
            <w:tcW w:w="1845" w:type="pct"/>
            <w:vAlign w:val="center"/>
          </w:tcPr>
          <w:p w14:paraId="134CBE18">
            <w:pPr>
              <w:keepNext w:val="0"/>
              <w:keepLines w:val="0"/>
              <w:widowControl/>
              <w:suppressLineNumbers w:val="0"/>
              <w:jc w:val="center"/>
              <w:textAlignment w:val="center"/>
              <w:rPr>
                <w:color w:val="auto"/>
                <w:szCs w:val="21"/>
              </w:rPr>
            </w:pPr>
            <w:r>
              <w:rPr>
                <w:rFonts w:hint="default" w:ascii="Times New Roman" w:hAnsi="Times New Roman" w:eastAsia="宋体" w:cs="Times New Roman"/>
                <w:i w:val="0"/>
                <w:iCs w:val="0"/>
                <w:color w:val="auto"/>
                <w:kern w:val="0"/>
                <w:sz w:val="21"/>
                <w:szCs w:val="21"/>
                <w:u w:val="none"/>
                <w:lang w:val="en-US" w:eastAsia="zh-CN" w:bidi="ar"/>
              </w:rPr>
              <w:t>0.07</w:t>
            </w:r>
          </w:p>
        </w:tc>
      </w:tr>
      <w:tr w14:paraId="208759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12" w:hRule="atLeast"/>
          <w:jc w:val="center"/>
        </w:trPr>
        <w:tc>
          <w:tcPr>
            <w:tcW w:w="1029" w:type="pct"/>
            <w:vMerge w:val="continue"/>
            <w:shd w:val="clear" w:color="auto" w:fill="auto"/>
            <w:vAlign w:val="center"/>
          </w:tcPr>
          <w:p w14:paraId="6B5C4A84">
            <w:pPr>
              <w:widowControl/>
              <w:spacing w:line="240" w:lineRule="exact"/>
              <w:jc w:val="center"/>
              <w:rPr>
                <w:rFonts w:eastAsia="仿宋_GB2312"/>
                <w:color w:val="auto"/>
                <w:kern w:val="0"/>
                <w:szCs w:val="21"/>
              </w:rPr>
            </w:pPr>
          </w:p>
        </w:tc>
        <w:tc>
          <w:tcPr>
            <w:tcW w:w="2124" w:type="pct"/>
            <w:shd w:val="clear" w:color="auto" w:fill="auto"/>
            <w:tcMar>
              <w:top w:w="15" w:type="dxa"/>
              <w:left w:w="15" w:type="dxa"/>
              <w:bottom w:w="0" w:type="dxa"/>
              <w:right w:w="15" w:type="dxa"/>
            </w:tcMar>
            <w:vAlign w:val="center"/>
          </w:tcPr>
          <w:p w14:paraId="4EA3A43D">
            <w:pPr>
              <w:keepNext w:val="0"/>
              <w:keepLines w:val="0"/>
              <w:widowControl/>
              <w:suppressLineNumbers w:val="0"/>
              <w:jc w:val="center"/>
              <w:textAlignment w:val="center"/>
              <w:rPr>
                <w:rFonts w:eastAsia="仿宋_GB2312"/>
                <w:color w:val="auto"/>
                <w:kern w:val="0"/>
                <w:szCs w:val="21"/>
              </w:rPr>
            </w:pPr>
            <w:r>
              <w:rPr>
                <w:rFonts w:hint="default" w:ascii="仿宋_GB2312" w:hAnsi="宋体" w:eastAsia="仿宋_GB2312" w:cs="仿宋_GB2312"/>
                <w:i w:val="0"/>
                <w:iCs w:val="0"/>
                <w:color w:val="auto"/>
                <w:kern w:val="0"/>
                <w:sz w:val="21"/>
                <w:szCs w:val="21"/>
                <w:u w:val="none"/>
                <w:lang w:val="en-US" w:eastAsia="zh-CN" w:bidi="ar"/>
              </w:rPr>
              <w:t>乙醇</w:t>
            </w:r>
          </w:p>
        </w:tc>
        <w:tc>
          <w:tcPr>
            <w:tcW w:w="1845" w:type="pct"/>
            <w:vAlign w:val="center"/>
          </w:tcPr>
          <w:p w14:paraId="76E0937F">
            <w:pPr>
              <w:keepNext w:val="0"/>
              <w:keepLines w:val="0"/>
              <w:widowControl/>
              <w:suppressLineNumbers w:val="0"/>
              <w:jc w:val="center"/>
              <w:textAlignment w:val="center"/>
              <w:rPr>
                <w:color w:val="auto"/>
                <w:szCs w:val="21"/>
              </w:rPr>
            </w:pPr>
            <w:r>
              <w:rPr>
                <w:rFonts w:hint="default" w:ascii="Times New Roman" w:hAnsi="Times New Roman" w:eastAsia="宋体" w:cs="Times New Roman"/>
                <w:i w:val="0"/>
                <w:iCs w:val="0"/>
                <w:color w:val="auto"/>
                <w:kern w:val="0"/>
                <w:sz w:val="21"/>
                <w:szCs w:val="21"/>
                <w:u w:val="none"/>
                <w:lang w:val="en-US" w:eastAsia="zh-CN" w:bidi="ar"/>
              </w:rPr>
              <w:t>0.33</w:t>
            </w:r>
          </w:p>
        </w:tc>
      </w:tr>
      <w:tr w14:paraId="4110F9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12" w:hRule="atLeast"/>
          <w:jc w:val="center"/>
        </w:trPr>
        <w:tc>
          <w:tcPr>
            <w:tcW w:w="1029" w:type="pct"/>
            <w:vMerge w:val="continue"/>
            <w:shd w:val="clear" w:color="auto" w:fill="auto"/>
            <w:vAlign w:val="center"/>
          </w:tcPr>
          <w:p w14:paraId="037174D7">
            <w:pPr>
              <w:widowControl/>
              <w:spacing w:line="240" w:lineRule="exact"/>
              <w:jc w:val="center"/>
              <w:rPr>
                <w:rFonts w:eastAsia="仿宋_GB2312"/>
                <w:color w:val="auto"/>
                <w:kern w:val="0"/>
                <w:szCs w:val="21"/>
              </w:rPr>
            </w:pPr>
          </w:p>
        </w:tc>
        <w:tc>
          <w:tcPr>
            <w:tcW w:w="2124" w:type="pct"/>
            <w:shd w:val="clear" w:color="auto" w:fill="auto"/>
            <w:tcMar>
              <w:top w:w="15" w:type="dxa"/>
              <w:left w:w="15" w:type="dxa"/>
              <w:bottom w:w="0" w:type="dxa"/>
              <w:right w:w="15" w:type="dxa"/>
            </w:tcMar>
            <w:vAlign w:val="center"/>
          </w:tcPr>
          <w:p w14:paraId="329C1966">
            <w:pPr>
              <w:keepNext w:val="0"/>
              <w:keepLines w:val="0"/>
              <w:widowControl/>
              <w:suppressLineNumbers w:val="0"/>
              <w:jc w:val="center"/>
              <w:textAlignment w:val="center"/>
              <w:rPr>
                <w:rFonts w:eastAsia="仿宋_GB2312"/>
                <w:color w:val="auto"/>
                <w:kern w:val="0"/>
                <w:szCs w:val="21"/>
              </w:rPr>
            </w:pPr>
            <w:r>
              <w:rPr>
                <w:rFonts w:hint="default" w:ascii="仿宋_GB2312" w:hAnsi="宋体" w:eastAsia="仿宋_GB2312" w:cs="仿宋_GB2312"/>
                <w:i w:val="0"/>
                <w:iCs w:val="0"/>
                <w:color w:val="auto"/>
                <w:kern w:val="0"/>
                <w:sz w:val="21"/>
                <w:szCs w:val="21"/>
                <w:u w:val="none"/>
                <w:lang w:val="en-US" w:eastAsia="zh-CN" w:bidi="ar"/>
              </w:rPr>
              <w:t>乙酸乙酯</w:t>
            </w:r>
          </w:p>
        </w:tc>
        <w:tc>
          <w:tcPr>
            <w:tcW w:w="1845" w:type="pct"/>
            <w:vAlign w:val="center"/>
          </w:tcPr>
          <w:p w14:paraId="298727DC">
            <w:pPr>
              <w:keepNext w:val="0"/>
              <w:keepLines w:val="0"/>
              <w:widowControl/>
              <w:suppressLineNumbers w:val="0"/>
              <w:jc w:val="center"/>
              <w:textAlignment w:val="center"/>
              <w:rPr>
                <w:color w:val="auto"/>
                <w:szCs w:val="21"/>
              </w:rPr>
            </w:pPr>
            <w:r>
              <w:rPr>
                <w:rFonts w:hint="default" w:ascii="Times New Roman" w:hAnsi="Times New Roman" w:eastAsia="宋体" w:cs="Times New Roman"/>
                <w:i w:val="0"/>
                <w:iCs w:val="0"/>
                <w:color w:val="auto"/>
                <w:kern w:val="0"/>
                <w:sz w:val="21"/>
                <w:szCs w:val="21"/>
                <w:u w:val="none"/>
                <w:lang w:val="en-US" w:eastAsia="zh-CN" w:bidi="ar"/>
              </w:rPr>
              <w:t>0.34</w:t>
            </w:r>
          </w:p>
        </w:tc>
      </w:tr>
      <w:tr w14:paraId="39C0F2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12" w:hRule="atLeast"/>
          <w:jc w:val="center"/>
        </w:trPr>
        <w:tc>
          <w:tcPr>
            <w:tcW w:w="1029" w:type="pct"/>
            <w:vMerge w:val="continue"/>
            <w:shd w:val="clear" w:color="auto" w:fill="auto"/>
            <w:vAlign w:val="center"/>
          </w:tcPr>
          <w:p w14:paraId="4341FC13">
            <w:pPr>
              <w:widowControl/>
              <w:spacing w:line="240" w:lineRule="exact"/>
              <w:jc w:val="center"/>
              <w:rPr>
                <w:rFonts w:eastAsia="仿宋_GB2312"/>
                <w:color w:val="auto"/>
                <w:kern w:val="0"/>
                <w:szCs w:val="21"/>
              </w:rPr>
            </w:pPr>
          </w:p>
        </w:tc>
        <w:tc>
          <w:tcPr>
            <w:tcW w:w="2124" w:type="pct"/>
            <w:shd w:val="clear" w:color="auto" w:fill="auto"/>
            <w:tcMar>
              <w:top w:w="15" w:type="dxa"/>
              <w:left w:w="15" w:type="dxa"/>
              <w:bottom w:w="0" w:type="dxa"/>
              <w:right w:w="15" w:type="dxa"/>
            </w:tcMar>
            <w:vAlign w:val="center"/>
          </w:tcPr>
          <w:p w14:paraId="55702FAE">
            <w:pPr>
              <w:keepNext w:val="0"/>
              <w:keepLines w:val="0"/>
              <w:widowControl/>
              <w:suppressLineNumbers w:val="0"/>
              <w:jc w:val="center"/>
              <w:textAlignment w:val="center"/>
              <w:rPr>
                <w:rFonts w:eastAsia="仿宋_GB2312"/>
                <w:color w:val="auto"/>
                <w:kern w:val="0"/>
                <w:szCs w:val="21"/>
              </w:rPr>
            </w:pPr>
            <w:r>
              <w:rPr>
                <w:rFonts w:hint="default" w:ascii="仿宋_GB2312" w:hAnsi="宋体" w:eastAsia="仿宋_GB2312" w:cs="仿宋_GB2312"/>
                <w:i w:val="0"/>
                <w:iCs w:val="0"/>
                <w:color w:val="auto"/>
                <w:kern w:val="0"/>
                <w:sz w:val="21"/>
                <w:szCs w:val="21"/>
                <w:u w:val="none"/>
                <w:lang w:val="en-US" w:eastAsia="zh-CN" w:bidi="ar"/>
              </w:rPr>
              <w:t>乙二醇</w:t>
            </w:r>
          </w:p>
        </w:tc>
        <w:tc>
          <w:tcPr>
            <w:tcW w:w="1845" w:type="pct"/>
            <w:vAlign w:val="center"/>
          </w:tcPr>
          <w:p w14:paraId="4BE20AB0">
            <w:pPr>
              <w:keepNext w:val="0"/>
              <w:keepLines w:val="0"/>
              <w:widowControl/>
              <w:suppressLineNumbers w:val="0"/>
              <w:jc w:val="center"/>
              <w:textAlignment w:val="center"/>
              <w:rPr>
                <w:color w:val="auto"/>
                <w:szCs w:val="21"/>
              </w:rPr>
            </w:pPr>
            <w:r>
              <w:rPr>
                <w:rFonts w:hint="default" w:ascii="Times New Roman" w:hAnsi="Times New Roman" w:eastAsia="宋体" w:cs="Times New Roman"/>
                <w:i w:val="0"/>
                <w:iCs w:val="0"/>
                <w:color w:val="auto"/>
                <w:kern w:val="0"/>
                <w:sz w:val="21"/>
                <w:szCs w:val="21"/>
                <w:u w:val="none"/>
                <w:lang w:val="en-US" w:eastAsia="zh-CN" w:bidi="ar"/>
              </w:rPr>
              <w:t>0.05</w:t>
            </w:r>
          </w:p>
        </w:tc>
      </w:tr>
      <w:tr w14:paraId="142EA9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12" w:hRule="atLeast"/>
          <w:jc w:val="center"/>
        </w:trPr>
        <w:tc>
          <w:tcPr>
            <w:tcW w:w="1029" w:type="pct"/>
            <w:vMerge w:val="continue"/>
            <w:shd w:val="clear" w:color="auto" w:fill="auto"/>
            <w:vAlign w:val="center"/>
          </w:tcPr>
          <w:p w14:paraId="3A11EC8E">
            <w:pPr>
              <w:widowControl/>
              <w:spacing w:line="240" w:lineRule="exact"/>
              <w:jc w:val="center"/>
              <w:rPr>
                <w:rFonts w:eastAsia="仿宋_GB2312"/>
                <w:color w:val="auto"/>
                <w:kern w:val="0"/>
                <w:szCs w:val="21"/>
              </w:rPr>
            </w:pPr>
          </w:p>
        </w:tc>
        <w:tc>
          <w:tcPr>
            <w:tcW w:w="2124" w:type="pct"/>
            <w:shd w:val="clear" w:color="auto" w:fill="auto"/>
            <w:tcMar>
              <w:top w:w="15" w:type="dxa"/>
              <w:left w:w="15" w:type="dxa"/>
              <w:bottom w:w="0" w:type="dxa"/>
              <w:right w:w="15" w:type="dxa"/>
            </w:tcMar>
            <w:vAlign w:val="center"/>
          </w:tcPr>
          <w:p w14:paraId="5CACE0A5">
            <w:pPr>
              <w:keepNext w:val="0"/>
              <w:keepLines w:val="0"/>
              <w:widowControl/>
              <w:suppressLineNumbers w:val="0"/>
              <w:jc w:val="center"/>
              <w:textAlignment w:val="center"/>
              <w:rPr>
                <w:rFonts w:eastAsia="仿宋_GB2312"/>
                <w:color w:val="auto"/>
                <w:kern w:val="0"/>
                <w:szCs w:val="21"/>
              </w:rPr>
            </w:pPr>
            <w:r>
              <w:rPr>
                <w:rFonts w:hint="default" w:ascii="仿宋_GB2312" w:hAnsi="宋体" w:eastAsia="仿宋_GB2312" w:cs="仿宋_GB2312"/>
                <w:i w:val="0"/>
                <w:iCs w:val="0"/>
                <w:color w:val="auto"/>
                <w:kern w:val="0"/>
                <w:sz w:val="21"/>
                <w:szCs w:val="21"/>
                <w:u w:val="none"/>
                <w:lang w:val="en-US" w:eastAsia="zh-CN" w:bidi="ar"/>
              </w:rPr>
              <w:t>二氯甲烷</w:t>
            </w:r>
          </w:p>
        </w:tc>
        <w:tc>
          <w:tcPr>
            <w:tcW w:w="1845" w:type="pct"/>
            <w:vAlign w:val="center"/>
          </w:tcPr>
          <w:p w14:paraId="6F330AB5">
            <w:pPr>
              <w:keepNext w:val="0"/>
              <w:keepLines w:val="0"/>
              <w:widowControl/>
              <w:suppressLineNumbers w:val="0"/>
              <w:jc w:val="center"/>
              <w:textAlignment w:val="center"/>
              <w:rPr>
                <w:color w:val="auto"/>
                <w:szCs w:val="21"/>
              </w:rPr>
            </w:pPr>
            <w:r>
              <w:rPr>
                <w:rFonts w:hint="default" w:ascii="Times New Roman" w:hAnsi="Times New Roman" w:eastAsia="宋体" w:cs="Times New Roman"/>
                <w:i w:val="0"/>
                <w:iCs w:val="0"/>
                <w:color w:val="auto"/>
                <w:kern w:val="0"/>
                <w:sz w:val="21"/>
                <w:szCs w:val="21"/>
                <w:u w:val="none"/>
                <w:lang w:val="en-US" w:eastAsia="zh-CN" w:bidi="ar"/>
              </w:rPr>
              <w:t>0.46</w:t>
            </w:r>
          </w:p>
        </w:tc>
      </w:tr>
      <w:tr w14:paraId="3EBA7E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12" w:hRule="atLeast"/>
          <w:jc w:val="center"/>
        </w:trPr>
        <w:tc>
          <w:tcPr>
            <w:tcW w:w="1029" w:type="pct"/>
            <w:vMerge w:val="continue"/>
            <w:shd w:val="clear" w:color="auto" w:fill="auto"/>
            <w:vAlign w:val="center"/>
          </w:tcPr>
          <w:p w14:paraId="5D332F72">
            <w:pPr>
              <w:widowControl/>
              <w:spacing w:line="240" w:lineRule="exact"/>
              <w:jc w:val="center"/>
              <w:rPr>
                <w:rFonts w:eastAsia="仿宋_GB2312"/>
                <w:color w:val="auto"/>
                <w:kern w:val="0"/>
                <w:szCs w:val="21"/>
              </w:rPr>
            </w:pPr>
          </w:p>
        </w:tc>
        <w:tc>
          <w:tcPr>
            <w:tcW w:w="2124" w:type="pct"/>
            <w:shd w:val="clear" w:color="auto" w:fill="auto"/>
            <w:tcMar>
              <w:top w:w="15" w:type="dxa"/>
              <w:left w:w="15" w:type="dxa"/>
              <w:bottom w:w="0" w:type="dxa"/>
              <w:right w:w="15" w:type="dxa"/>
            </w:tcMar>
            <w:vAlign w:val="center"/>
          </w:tcPr>
          <w:p w14:paraId="0FB01C8E">
            <w:pPr>
              <w:keepNext w:val="0"/>
              <w:keepLines w:val="0"/>
              <w:widowControl/>
              <w:suppressLineNumbers w:val="0"/>
              <w:jc w:val="center"/>
              <w:textAlignment w:val="center"/>
              <w:rPr>
                <w:rFonts w:eastAsia="仿宋_GB2312"/>
                <w:color w:val="auto"/>
                <w:kern w:val="0"/>
                <w:szCs w:val="21"/>
              </w:rPr>
            </w:pPr>
            <w:r>
              <w:rPr>
                <w:rFonts w:hint="default" w:ascii="仿宋_GB2312" w:hAnsi="宋体" w:eastAsia="仿宋_GB2312" w:cs="仿宋_GB2312"/>
                <w:i w:val="0"/>
                <w:iCs w:val="0"/>
                <w:color w:val="auto"/>
                <w:kern w:val="0"/>
                <w:sz w:val="21"/>
                <w:szCs w:val="21"/>
                <w:u w:val="none"/>
                <w:lang w:val="en-US" w:eastAsia="zh-CN" w:bidi="ar"/>
              </w:rPr>
              <w:t>乙酸丁酯</w:t>
            </w:r>
          </w:p>
        </w:tc>
        <w:tc>
          <w:tcPr>
            <w:tcW w:w="1845" w:type="pct"/>
            <w:vAlign w:val="center"/>
          </w:tcPr>
          <w:p w14:paraId="72443BE4">
            <w:pPr>
              <w:keepNext w:val="0"/>
              <w:keepLines w:val="0"/>
              <w:widowControl/>
              <w:suppressLineNumbers w:val="0"/>
              <w:jc w:val="center"/>
              <w:textAlignment w:val="center"/>
              <w:rPr>
                <w:color w:val="auto"/>
                <w:szCs w:val="21"/>
              </w:rPr>
            </w:pPr>
            <w:r>
              <w:rPr>
                <w:rFonts w:hint="default" w:ascii="Times New Roman" w:hAnsi="Times New Roman" w:eastAsia="宋体" w:cs="Times New Roman"/>
                <w:i w:val="0"/>
                <w:iCs w:val="0"/>
                <w:color w:val="auto"/>
                <w:kern w:val="0"/>
                <w:sz w:val="21"/>
                <w:szCs w:val="21"/>
                <w:u w:val="none"/>
                <w:lang w:val="en-US" w:eastAsia="zh-CN" w:bidi="ar"/>
              </w:rPr>
              <w:t>0.14</w:t>
            </w:r>
          </w:p>
        </w:tc>
      </w:tr>
      <w:tr w14:paraId="6F1086C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12" w:hRule="atLeast"/>
          <w:jc w:val="center"/>
        </w:trPr>
        <w:tc>
          <w:tcPr>
            <w:tcW w:w="1029" w:type="pct"/>
            <w:vMerge w:val="continue"/>
            <w:shd w:val="clear" w:color="auto" w:fill="auto"/>
            <w:vAlign w:val="center"/>
          </w:tcPr>
          <w:p w14:paraId="1395060B">
            <w:pPr>
              <w:widowControl/>
              <w:spacing w:line="240" w:lineRule="exact"/>
              <w:jc w:val="center"/>
              <w:rPr>
                <w:rFonts w:eastAsia="仿宋_GB2312"/>
                <w:color w:val="FF0000"/>
                <w:kern w:val="0"/>
                <w:szCs w:val="21"/>
                <w:highlight w:val="yellow"/>
              </w:rPr>
            </w:pPr>
          </w:p>
        </w:tc>
        <w:tc>
          <w:tcPr>
            <w:tcW w:w="2124" w:type="pct"/>
            <w:shd w:val="clear" w:color="auto" w:fill="auto"/>
            <w:tcMar>
              <w:top w:w="15" w:type="dxa"/>
              <w:left w:w="15" w:type="dxa"/>
              <w:bottom w:w="0" w:type="dxa"/>
              <w:right w:w="15" w:type="dxa"/>
            </w:tcMar>
            <w:vAlign w:val="center"/>
          </w:tcPr>
          <w:p w14:paraId="57159748">
            <w:pPr>
              <w:keepNext w:val="0"/>
              <w:keepLines w:val="0"/>
              <w:widowControl/>
              <w:suppressLineNumbers w:val="0"/>
              <w:jc w:val="center"/>
              <w:textAlignment w:val="center"/>
              <w:rPr>
                <w:rFonts w:eastAsia="仿宋_GB2312"/>
                <w:color w:val="FF0000"/>
                <w:kern w:val="0"/>
                <w:szCs w:val="21"/>
              </w:rPr>
            </w:pPr>
            <w:r>
              <w:rPr>
                <w:rFonts w:hint="default" w:ascii="仿宋_GB2312" w:hAnsi="宋体" w:eastAsia="仿宋_GB2312" w:cs="仿宋_GB2312"/>
                <w:i w:val="0"/>
                <w:iCs w:val="0"/>
                <w:color w:val="000000"/>
                <w:kern w:val="0"/>
                <w:sz w:val="21"/>
                <w:szCs w:val="21"/>
                <w:u w:val="none"/>
                <w:lang w:val="en-US" w:eastAsia="zh-CN" w:bidi="ar"/>
              </w:rPr>
              <w:t>二甲苯</w:t>
            </w:r>
          </w:p>
        </w:tc>
        <w:tc>
          <w:tcPr>
            <w:tcW w:w="1845" w:type="pct"/>
            <w:vAlign w:val="center"/>
          </w:tcPr>
          <w:p w14:paraId="72598357">
            <w:pPr>
              <w:keepNext w:val="0"/>
              <w:keepLines w:val="0"/>
              <w:widowControl/>
              <w:suppressLineNumbers w:val="0"/>
              <w:jc w:val="center"/>
              <w:textAlignment w:val="center"/>
              <w:rPr>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0.19</w:t>
            </w:r>
          </w:p>
        </w:tc>
      </w:tr>
      <w:tr w14:paraId="593D5D8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12" w:hRule="atLeast"/>
          <w:jc w:val="center"/>
        </w:trPr>
        <w:tc>
          <w:tcPr>
            <w:tcW w:w="1029" w:type="pct"/>
            <w:vMerge w:val="continue"/>
            <w:shd w:val="clear" w:color="auto" w:fill="auto"/>
            <w:vAlign w:val="center"/>
          </w:tcPr>
          <w:p w14:paraId="681083BF">
            <w:pPr>
              <w:widowControl/>
              <w:spacing w:line="240" w:lineRule="exact"/>
              <w:jc w:val="center"/>
              <w:rPr>
                <w:rFonts w:eastAsia="仿宋_GB2312"/>
                <w:color w:val="FF0000"/>
                <w:kern w:val="0"/>
                <w:szCs w:val="21"/>
                <w:highlight w:val="yellow"/>
              </w:rPr>
            </w:pPr>
          </w:p>
        </w:tc>
        <w:tc>
          <w:tcPr>
            <w:tcW w:w="2124" w:type="pct"/>
            <w:shd w:val="clear" w:color="auto" w:fill="auto"/>
            <w:tcMar>
              <w:top w:w="15" w:type="dxa"/>
              <w:left w:w="15" w:type="dxa"/>
              <w:bottom w:w="0" w:type="dxa"/>
              <w:right w:w="15" w:type="dxa"/>
            </w:tcMar>
            <w:vAlign w:val="center"/>
          </w:tcPr>
          <w:p w14:paraId="5C9B1A6A">
            <w:pPr>
              <w:keepNext w:val="0"/>
              <w:keepLines w:val="0"/>
              <w:widowControl/>
              <w:suppressLineNumbers w:val="0"/>
              <w:jc w:val="center"/>
              <w:textAlignment w:val="center"/>
              <w:rPr>
                <w:rFonts w:eastAsia="仿宋_GB2312"/>
                <w:color w:val="FF0000"/>
                <w:kern w:val="0"/>
                <w:szCs w:val="21"/>
              </w:rPr>
            </w:pPr>
            <w:r>
              <w:rPr>
                <w:rFonts w:hint="default" w:ascii="仿宋_GB2312" w:hAnsi="宋体" w:eastAsia="仿宋_GB2312" w:cs="仿宋_GB2312"/>
                <w:i w:val="0"/>
                <w:iCs w:val="0"/>
                <w:color w:val="000000"/>
                <w:kern w:val="0"/>
                <w:sz w:val="21"/>
                <w:szCs w:val="21"/>
                <w:u w:val="none"/>
                <w:lang w:val="en-US" w:eastAsia="zh-CN" w:bidi="ar"/>
              </w:rPr>
              <w:t>正庚烷</w:t>
            </w:r>
          </w:p>
        </w:tc>
        <w:tc>
          <w:tcPr>
            <w:tcW w:w="1845" w:type="pct"/>
            <w:vAlign w:val="center"/>
          </w:tcPr>
          <w:p w14:paraId="45514127">
            <w:pPr>
              <w:keepNext w:val="0"/>
              <w:keepLines w:val="0"/>
              <w:widowControl/>
              <w:suppressLineNumbers w:val="0"/>
              <w:jc w:val="center"/>
              <w:textAlignment w:val="center"/>
              <w:rPr>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0.2</w:t>
            </w:r>
          </w:p>
        </w:tc>
      </w:tr>
      <w:tr w14:paraId="3D4ED2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12" w:hRule="atLeast"/>
          <w:jc w:val="center"/>
        </w:trPr>
        <w:tc>
          <w:tcPr>
            <w:tcW w:w="1029" w:type="pct"/>
            <w:vMerge w:val="continue"/>
            <w:shd w:val="clear" w:color="auto" w:fill="auto"/>
            <w:vAlign w:val="center"/>
          </w:tcPr>
          <w:p w14:paraId="223A7850">
            <w:pPr>
              <w:widowControl/>
              <w:spacing w:line="240" w:lineRule="exact"/>
              <w:jc w:val="center"/>
              <w:rPr>
                <w:rFonts w:eastAsia="仿宋_GB2312"/>
                <w:color w:val="FF0000"/>
                <w:kern w:val="0"/>
                <w:szCs w:val="21"/>
                <w:highlight w:val="yellow"/>
              </w:rPr>
            </w:pPr>
          </w:p>
        </w:tc>
        <w:tc>
          <w:tcPr>
            <w:tcW w:w="2124" w:type="pct"/>
            <w:shd w:val="clear" w:color="auto" w:fill="auto"/>
            <w:tcMar>
              <w:top w:w="15" w:type="dxa"/>
              <w:left w:w="15" w:type="dxa"/>
              <w:bottom w:w="0" w:type="dxa"/>
              <w:right w:w="15" w:type="dxa"/>
            </w:tcMar>
            <w:vAlign w:val="center"/>
          </w:tcPr>
          <w:p w14:paraId="38264E3C">
            <w:pPr>
              <w:keepNext w:val="0"/>
              <w:keepLines w:val="0"/>
              <w:widowControl/>
              <w:suppressLineNumbers w:val="0"/>
              <w:jc w:val="center"/>
              <w:textAlignment w:val="center"/>
              <w:rPr>
                <w:rFonts w:eastAsia="仿宋_GB2312"/>
                <w:color w:val="FF0000"/>
                <w:kern w:val="0"/>
                <w:szCs w:val="21"/>
              </w:rPr>
            </w:pPr>
            <w:r>
              <w:rPr>
                <w:rFonts w:hint="default" w:ascii="仿宋_GB2312" w:hAnsi="宋体" w:eastAsia="仿宋_GB2312" w:cs="仿宋_GB2312"/>
                <w:i w:val="0"/>
                <w:iCs w:val="0"/>
                <w:color w:val="000000"/>
                <w:kern w:val="0"/>
                <w:sz w:val="21"/>
                <w:szCs w:val="21"/>
                <w:u w:val="none"/>
                <w:lang w:val="en-US" w:eastAsia="zh-CN" w:bidi="ar"/>
              </w:rPr>
              <w:t>甲苯</w:t>
            </w:r>
          </w:p>
        </w:tc>
        <w:tc>
          <w:tcPr>
            <w:tcW w:w="1845" w:type="pct"/>
            <w:vAlign w:val="center"/>
          </w:tcPr>
          <w:p w14:paraId="30941DFA">
            <w:pPr>
              <w:keepNext w:val="0"/>
              <w:keepLines w:val="0"/>
              <w:widowControl/>
              <w:suppressLineNumbers w:val="0"/>
              <w:jc w:val="center"/>
              <w:textAlignment w:val="center"/>
              <w:rPr>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0.24</w:t>
            </w:r>
          </w:p>
        </w:tc>
      </w:tr>
      <w:tr w14:paraId="745B49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12" w:hRule="atLeast"/>
          <w:jc w:val="center"/>
        </w:trPr>
        <w:tc>
          <w:tcPr>
            <w:tcW w:w="1029" w:type="pct"/>
            <w:vMerge w:val="continue"/>
            <w:shd w:val="clear" w:color="auto" w:fill="auto"/>
            <w:vAlign w:val="center"/>
          </w:tcPr>
          <w:p w14:paraId="13FE45B5">
            <w:pPr>
              <w:widowControl/>
              <w:spacing w:line="240" w:lineRule="exact"/>
              <w:jc w:val="center"/>
              <w:rPr>
                <w:rFonts w:eastAsia="仿宋_GB2312"/>
                <w:color w:val="FF0000"/>
                <w:kern w:val="0"/>
                <w:szCs w:val="21"/>
                <w:highlight w:val="yellow"/>
              </w:rPr>
            </w:pPr>
          </w:p>
        </w:tc>
        <w:tc>
          <w:tcPr>
            <w:tcW w:w="2124" w:type="pct"/>
            <w:shd w:val="clear" w:color="auto" w:fill="auto"/>
            <w:tcMar>
              <w:top w:w="15" w:type="dxa"/>
              <w:left w:w="15" w:type="dxa"/>
              <w:bottom w:w="0" w:type="dxa"/>
              <w:right w:w="15" w:type="dxa"/>
            </w:tcMar>
            <w:vAlign w:val="center"/>
          </w:tcPr>
          <w:p w14:paraId="1CC4FD68">
            <w:pPr>
              <w:keepNext w:val="0"/>
              <w:keepLines w:val="0"/>
              <w:widowControl/>
              <w:suppressLineNumbers w:val="0"/>
              <w:jc w:val="center"/>
              <w:textAlignment w:val="center"/>
              <w:rPr>
                <w:rFonts w:eastAsia="仿宋_GB2312"/>
                <w:color w:val="FF0000"/>
                <w:kern w:val="0"/>
                <w:szCs w:val="21"/>
              </w:rPr>
            </w:pPr>
            <w:r>
              <w:rPr>
                <w:rFonts w:hint="default" w:ascii="Times New Roman" w:hAnsi="Times New Roman" w:eastAsia="宋体" w:cs="Times New Roman"/>
                <w:i w:val="0"/>
                <w:iCs w:val="0"/>
                <w:color w:val="000000"/>
                <w:kern w:val="0"/>
                <w:sz w:val="21"/>
                <w:szCs w:val="21"/>
                <w:u w:val="none"/>
                <w:lang w:val="en-US" w:eastAsia="zh-CN" w:bidi="ar"/>
              </w:rPr>
              <w:t>DMF</w:t>
            </w:r>
          </w:p>
        </w:tc>
        <w:tc>
          <w:tcPr>
            <w:tcW w:w="1845" w:type="pct"/>
            <w:vAlign w:val="center"/>
          </w:tcPr>
          <w:p w14:paraId="4C3A51A7">
            <w:pPr>
              <w:keepNext w:val="0"/>
              <w:keepLines w:val="0"/>
              <w:widowControl/>
              <w:suppressLineNumbers w:val="0"/>
              <w:jc w:val="center"/>
              <w:textAlignment w:val="center"/>
              <w:rPr>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0.13</w:t>
            </w:r>
          </w:p>
        </w:tc>
      </w:tr>
      <w:tr w14:paraId="166355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12" w:hRule="atLeast"/>
          <w:jc w:val="center"/>
        </w:trPr>
        <w:tc>
          <w:tcPr>
            <w:tcW w:w="1029" w:type="pct"/>
            <w:vMerge w:val="continue"/>
            <w:shd w:val="clear" w:color="auto" w:fill="auto"/>
            <w:vAlign w:val="center"/>
          </w:tcPr>
          <w:p w14:paraId="6D1E0CE1">
            <w:pPr>
              <w:widowControl/>
              <w:spacing w:line="240" w:lineRule="exact"/>
              <w:jc w:val="center"/>
              <w:rPr>
                <w:rFonts w:eastAsia="仿宋_GB2312"/>
                <w:color w:val="FF0000"/>
                <w:kern w:val="0"/>
                <w:szCs w:val="21"/>
                <w:highlight w:val="yellow"/>
              </w:rPr>
            </w:pPr>
          </w:p>
        </w:tc>
        <w:tc>
          <w:tcPr>
            <w:tcW w:w="2124" w:type="pct"/>
            <w:shd w:val="clear" w:color="auto" w:fill="auto"/>
            <w:tcMar>
              <w:top w:w="15" w:type="dxa"/>
              <w:left w:w="15" w:type="dxa"/>
              <w:bottom w:w="0" w:type="dxa"/>
              <w:right w:w="15" w:type="dxa"/>
            </w:tcMar>
            <w:vAlign w:val="center"/>
          </w:tcPr>
          <w:p w14:paraId="34E10BD9">
            <w:pPr>
              <w:keepNext w:val="0"/>
              <w:keepLines w:val="0"/>
              <w:widowControl/>
              <w:suppressLineNumbers w:val="0"/>
              <w:jc w:val="center"/>
              <w:textAlignment w:val="center"/>
              <w:rPr>
                <w:rFonts w:eastAsia="仿宋_GB2312"/>
                <w:color w:val="FF0000"/>
                <w:kern w:val="0"/>
                <w:szCs w:val="21"/>
              </w:rPr>
            </w:pPr>
            <w:r>
              <w:rPr>
                <w:rFonts w:hint="default" w:ascii="仿宋_GB2312" w:hAnsi="宋体" w:eastAsia="仿宋_GB2312" w:cs="仿宋_GB2312"/>
                <w:i w:val="0"/>
                <w:iCs w:val="0"/>
                <w:color w:val="000000"/>
                <w:kern w:val="0"/>
                <w:sz w:val="21"/>
                <w:szCs w:val="21"/>
                <w:u w:val="none"/>
                <w:lang w:val="en-US" w:eastAsia="zh-CN" w:bidi="ar"/>
              </w:rPr>
              <w:t>环己烷</w:t>
            </w:r>
          </w:p>
        </w:tc>
        <w:tc>
          <w:tcPr>
            <w:tcW w:w="1845" w:type="pct"/>
            <w:vAlign w:val="center"/>
          </w:tcPr>
          <w:p w14:paraId="38906444">
            <w:pPr>
              <w:keepNext w:val="0"/>
              <w:keepLines w:val="0"/>
              <w:widowControl/>
              <w:suppressLineNumbers w:val="0"/>
              <w:jc w:val="center"/>
              <w:textAlignment w:val="center"/>
              <w:rPr>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0.12</w:t>
            </w:r>
          </w:p>
        </w:tc>
      </w:tr>
      <w:tr w14:paraId="79DBFD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12" w:hRule="atLeast"/>
          <w:jc w:val="center"/>
        </w:trPr>
        <w:tc>
          <w:tcPr>
            <w:tcW w:w="1029" w:type="pct"/>
            <w:vMerge w:val="continue"/>
            <w:shd w:val="clear" w:color="auto" w:fill="auto"/>
            <w:vAlign w:val="center"/>
          </w:tcPr>
          <w:p w14:paraId="7BDE7B4C">
            <w:pPr>
              <w:widowControl/>
              <w:spacing w:line="240" w:lineRule="exact"/>
              <w:jc w:val="center"/>
              <w:rPr>
                <w:rFonts w:eastAsia="仿宋_GB2312"/>
                <w:color w:val="FF0000"/>
                <w:kern w:val="0"/>
                <w:szCs w:val="21"/>
                <w:highlight w:val="yellow"/>
              </w:rPr>
            </w:pPr>
          </w:p>
        </w:tc>
        <w:tc>
          <w:tcPr>
            <w:tcW w:w="2124" w:type="pct"/>
            <w:shd w:val="clear" w:color="auto" w:fill="auto"/>
            <w:tcMar>
              <w:top w:w="15" w:type="dxa"/>
              <w:left w:w="15" w:type="dxa"/>
              <w:bottom w:w="0" w:type="dxa"/>
              <w:right w:w="15" w:type="dxa"/>
            </w:tcMar>
            <w:vAlign w:val="center"/>
          </w:tcPr>
          <w:p w14:paraId="212D01CE">
            <w:pPr>
              <w:keepNext w:val="0"/>
              <w:keepLines w:val="0"/>
              <w:widowControl/>
              <w:suppressLineNumbers w:val="0"/>
              <w:jc w:val="center"/>
              <w:textAlignment w:val="center"/>
              <w:rPr>
                <w:rFonts w:eastAsia="仿宋_GB2312"/>
                <w:color w:val="FF0000"/>
                <w:kern w:val="0"/>
                <w:szCs w:val="21"/>
              </w:rPr>
            </w:pPr>
            <w:r>
              <w:rPr>
                <w:rFonts w:hint="default" w:ascii="仿宋_GB2312" w:hAnsi="宋体" w:eastAsia="仿宋_GB2312" w:cs="仿宋_GB2312"/>
                <w:i w:val="0"/>
                <w:iCs w:val="0"/>
                <w:color w:val="000000"/>
                <w:kern w:val="0"/>
                <w:sz w:val="21"/>
                <w:szCs w:val="21"/>
                <w:u w:val="none"/>
                <w:lang w:val="en-US" w:eastAsia="zh-CN" w:bidi="ar"/>
              </w:rPr>
              <w:t>环己酮</w:t>
            </w:r>
          </w:p>
        </w:tc>
        <w:tc>
          <w:tcPr>
            <w:tcW w:w="1845" w:type="pct"/>
            <w:vAlign w:val="center"/>
          </w:tcPr>
          <w:p w14:paraId="56AB0497">
            <w:pPr>
              <w:keepNext w:val="0"/>
              <w:keepLines w:val="0"/>
              <w:widowControl/>
              <w:suppressLineNumbers w:val="0"/>
              <w:jc w:val="center"/>
              <w:textAlignment w:val="center"/>
              <w:rPr>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0.04</w:t>
            </w:r>
          </w:p>
        </w:tc>
      </w:tr>
      <w:tr w14:paraId="5972E5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12" w:hRule="atLeast"/>
          <w:jc w:val="center"/>
        </w:trPr>
        <w:tc>
          <w:tcPr>
            <w:tcW w:w="1029" w:type="pct"/>
            <w:vMerge w:val="continue"/>
            <w:shd w:val="clear" w:color="auto" w:fill="auto"/>
            <w:vAlign w:val="center"/>
          </w:tcPr>
          <w:p w14:paraId="0785FBA3">
            <w:pPr>
              <w:widowControl/>
              <w:spacing w:line="240" w:lineRule="exact"/>
              <w:jc w:val="center"/>
              <w:rPr>
                <w:rFonts w:eastAsia="仿宋_GB2312"/>
                <w:color w:val="FF0000"/>
                <w:kern w:val="0"/>
                <w:szCs w:val="21"/>
                <w:highlight w:val="yellow"/>
              </w:rPr>
            </w:pPr>
          </w:p>
        </w:tc>
        <w:tc>
          <w:tcPr>
            <w:tcW w:w="2124" w:type="pct"/>
            <w:shd w:val="clear" w:color="auto" w:fill="auto"/>
            <w:tcMar>
              <w:top w:w="15" w:type="dxa"/>
              <w:left w:w="15" w:type="dxa"/>
              <w:bottom w:w="0" w:type="dxa"/>
              <w:right w:w="15" w:type="dxa"/>
            </w:tcMar>
            <w:vAlign w:val="center"/>
          </w:tcPr>
          <w:p w14:paraId="3A1361D3">
            <w:pPr>
              <w:keepNext w:val="0"/>
              <w:keepLines w:val="0"/>
              <w:widowControl/>
              <w:suppressLineNumbers w:val="0"/>
              <w:jc w:val="center"/>
              <w:textAlignment w:val="center"/>
              <w:rPr>
                <w:rFonts w:eastAsia="仿宋_GB2312"/>
                <w:color w:val="FF0000"/>
                <w:kern w:val="0"/>
                <w:szCs w:val="21"/>
              </w:rPr>
            </w:pPr>
            <w:r>
              <w:rPr>
                <w:rFonts w:hint="default" w:ascii="仿宋_GB2312" w:hAnsi="宋体" w:eastAsia="仿宋_GB2312" w:cs="仿宋_GB2312"/>
                <w:i w:val="0"/>
                <w:iCs w:val="0"/>
                <w:color w:val="000000"/>
                <w:kern w:val="0"/>
                <w:sz w:val="21"/>
                <w:szCs w:val="21"/>
                <w:u w:val="none"/>
                <w:lang w:val="en-US" w:eastAsia="zh-CN" w:bidi="ar"/>
              </w:rPr>
              <w:t>二氯乙烷</w:t>
            </w:r>
          </w:p>
        </w:tc>
        <w:tc>
          <w:tcPr>
            <w:tcW w:w="1845" w:type="pct"/>
            <w:vAlign w:val="center"/>
          </w:tcPr>
          <w:p w14:paraId="149CABAE">
            <w:pPr>
              <w:keepNext w:val="0"/>
              <w:keepLines w:val="0"/>
              <w:widowControl/>
              <w:suppressLineNumbers w:val="0"/>
              <w:jc w:val="center"/>
              <w:textAlignment w:val="center"/>
              <w:rPr>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0.37</w:t>
            </w:r>
          </w:p>
        </w:tc>
      </w:tr>
      <w:tr w14:paraId="550845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12" w:hRule="atLeast"/>
          <w:jc w:val="center"/>
        </w:trPr>
        <w:tc>
          <w:tcPr>
            <w:tcW w:w="1029" w:type="pct"/>
            <w:vMerge w:val="continue"/>
            <w:shd w:val="clear" w:color="auto" w:fill="auto"/>
            <w:vAlign w:val="center"/>
          </w:tcPr>
          <w:p w14:paraId="27D6E321">
            <w:pPr>
              <w:widowControl/>
              <w:spacing w:line="240" w:lineRule="exact"/>
              <w:jc w:val="center"/>
              <w:rPr>
                <w:rFonts w:eastAsia="仿宋_GB2312"/>
                <w:color w:val="FF0000"/>
                <w:kern w:val="0"/>
                <w:szCs w:val="21"/>
                <w:highlight w:val="yellow"/>
              </w:rPr>
            </w:pPr>
          </w:p>
        </w:tc>
        <w:tc>
          <w:tcPr>
            <w:tcW w:w="2124" w:type="pct"/>
            <w:shd w:val="clear" w:color="auto" w:fill="auto"/>
            <w:tcMar>
              <w:top w:w="15" w:type="dxa"/>
              <w:left w:w="15" w:type="dxa"/>
              <w:bottom w:w="0" w:type="dxa"/>
              <w:right w:w="15" w:type="dxa"/>
            </w:tcMar>
            <w:vAlign w:val="center"/>
          </w:tcPr>
          <w:p w14:paraId="79D42C7F">
            <w:pPr>
              <w:keepNext w:val="0"/>
              <w:keepLines w:val="0"/>
              <w:widowControl/>
              <w:suppressLineNumbers w:val="0"/>
              <w:jc w:val="center"/>
              <w:textAlignment w:val="center"/>
              <w:rPr>
                <w:rFonts w:eastAsia="仿宋_GB2312"/>
                <w:color w:val="FF0000"/>
                <w:kern w:val="0"/>
                <w:szCs w:val="21"/>
              </w:rPr>
            </w:pPr>
            <w:r>
              <w:rPr>
                <w:rFonts w:hint="default" w:ascii="Times New Roman" w:hAnsi="Times New Roman" w:eastAsia="宋体" w:cs="Times New Roman"/>
                <w:i w:val="0"/>
                <w:iCs w:val="0"/>
                <w:color w:val="000000"/>
                <w:kern w:val="0"/>
                <w:sz w:val="21"/>
                <w:szCs w:val="21"/>
                <w:u w:val="none"/>
                <w:lang w:val="en-US" w:eastAsia="zh-CN" w:bidi="ar"/>
              </w:rPr>
              <w:t>DMSO</w:t>
            </w:r>
          </w:p>
        </w:tc>
        <w:tc>
          <w:tcPr>
            <w:tcW w:w="1845" w:type="pct"/>
            <w:vAlign w:val="center"/>
          </w:tcPr>
          <w:p w14:paraId="5BBBF73A">
            <w:pPr>
              <w:keepNext w:val="0"/>
              <w:keepLines w:val="0"/>
              <w:widowControl/>
              <w:suppressLineNumbers w:val="0"/>
              <w:jc w:val="center"/>
              <w:textAlignment w:val="center"/>
              <w:rPr>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0.05</w:t>
            </w:r>
          </w:p>
        </w:tc>
      </w:tr>
      <w:tr w14:paraId="69D620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12" w:hRule="atLeast"/>
          <w:jc w:val="center"/>
        </w:trPr>
        <w:tc>
          <w:tcPr>
            <w:tcW w:w="1029" w:type="pct"/>
            <w:vMerge w:val="continue"/>
            <w:shd w:val="clear" w:color="auto" w:fill="auto"/>
            <w:vAlign w:val="center"/>
          </w:tcPr>
          <w:p w14:paraId="396ECD51">
            <w:pPr>
              <w:widowControl/>
              <w:spacing w:line="240" w:lineRule="exact"/>
              <w:jc w:val="center"/>
              <w:rPr>
                <w:rFonts w:eastAsia="仿宋_GB2312"/>
                <w:color w:val="FF0000"/>
                <w:kern w:val="0"/>
                <w:szCs w:val="21"/>
                <w:highlight w:val="yellow"/>
              </w:rPr>
            </w:pPr>
          </w:p>
        </w:tc>
        <w:tc>
          <w:tcPr>
            <w:tcW w:w="2124" w:type="pct"/>
            <w:shd w:val="clear" w:color="auto" w:fill="auto"/>
            <w:tcMar>
              <w:top w:w="15" w:type="dxa"/>
              <w:left w:w="15" w:type="dxa"/>
              <w:bottom w:w="0" w:type="dxa"/>
              <w:right w:w="15" w:type="dxa"/>
            </w:tcMar>
            <w:vAlign w:val="center"/>
          </w:tcPr>
          <w:p w14:paraId="6AC775D0">
            <w:pPr>
              <w:keepNext w:val="0"/>
              <w:keepLines w:val="0"/>
              <w:widowControl/>
              <w:suppressLineNumbers w:val="0"/>
              <w:jc w:val="center"/>
              <w:textAlignment w:val="center"/>
              <w:rPr>
                <w:rFonts w:eastAsia="仿宋_GB2312"/>
                <w:color w:val="FF0000"/>
                <w:kern w:val="0"/>
                <w:szCs w:val="21"/>
              </w:rPr>
            </w:pPr>
            <w:r>
              <w:rPr>
                <w:rFonts w:hint="default" w:ascii="仿宋_GB2312" w:hAnsi="宋体" w:eastAsia="仿宋_GB2312" w:cs="仿宋_GB2312"/>
                <w:i w:val="0"/>
                <w:iCs w:val="0"/>
                <w:color w:val="000000"/>
                <w:kern w:val="0"/>
                <w:sz w:val="21"/>
                <w:szCs w:val="21"/>
                <w:u w:val="none"/>
                <w:lang w:val="en-US" w:eastAsia="zh-CN" w:bidi="ar"/>
              </w:rPr>
              <w:t>丁醇</w:t>
            </w:r>
          </w:p>
        </w:tc>
        <w:tc>
          <w:tcPr>
            <w:tcW w:w="1845" w:type="pct"/>
            <w:vAlign w:val="center"/>
          </w:tcPr>
          <w:p w14:paraId="00FFA128">
            <w:pPr>
              <w:keepNext w:val="0"/>
              <w:keepLines w:val="0"/>
              <w:widowControl/>
              <w:suppressLineNumbers w:val="0"/>
              <w:jc w:val="center"/>
              <w:textAlignment w:val="center"/>
              <w:rPr>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0.22</w:t>
            </w:r>
          </w:p>
        </w:tc>
      </w:tr>
      <w:tr w14:paraId="50519D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12" w:hRule="atLeast"/>
          <w:jc w:val="center"/>
        </w:trPr>
        <w:tc>
          <w:tcPr>
            <w:tcW w:w="1029" w:type="pct"/>
            <w:vMerge w:val="continue"/>
            <w:shd w:val="clear" w:color="auto" w:fill="auto"/>
            <w:vAlign w:val="center"/>
          </w:tcPr>
          <w:p w14:paraId="56B9C9B6">
            <w:pPr>
              <w:widowControl/>
              <w:spacing w:line="240" w:lineRule="exact"/>
              <w:jc w:val="center"/>
              <w:rPr>
                <w:rFonts w:eastAsia="仿宋_GB2312"/>
                <w:color w:val="FF0000"/>
                <w:kern w:val="0"/>
                <w:szCs w:val="21"/>
                <w:highlight w:val="yellow"/>
              </w:rPr>
            </w:pPr>
          </w:p>
        </w:tc>
        <w:tc>
          <w:tcPr>
            <w:tcW w:w="2124" w:type="pct"/>
            <w:shd w:val="clear" w:color="auto" w:fill="auto"/>
            <w:tcMar>
              <w:top w:w="15" w:type="dxa"/>
              <w:left w:w="15" w:type="dxa"/>
              <w:bottom w:w="0" w:type="dxa"/>
              <w:right w:w="15" w:type="dxa"/>
            </w:tcMar>
            <w:vAlign w:val="center"/>
          </w:tcPr>
          <w:p w14:paraId="307C3777">
            <w:pPr>
              <w:keepNext w:val="0"/>
              <w:keepLines w:val="0"/>
              <w:widowControl/>
              <w:suppressLineNumbers w:val="0"/>
              <w:jc w:val="center"/>
              <w:textAlignment w:val="center"/>
              <w:rPr>
                <w:rFonts w:eastAsia="仿宋_GB2312"/>
                <w:color w:val="FF0000"/>
                <w:kern w:val="0"/>
                <w:szCs w:val="21"/>
              </w:rPr>
            </w:pPr>
            <w:r>
              <w:rPr>
                <w:rFonts w:hint="default" w:ascii="仿宋_GB2312" w:hAnsi="宋体" w:eastAsia="仿宋_GB2312" w:cs="仿宋_GB2312"/>
                <w:i w:val="0"/>
                <w:iCs w:val="0"/>
                <w:color w:val="000000"/>
                <w:kern w:val="0"/>
                <w:sz w:val="21"/>
                <w:szCs w:val="21"/>
                <w:u w:val="none"/>
                <w:lang w:val="en-US" w:eastAsia="zh-CN" w:bidi="ar"/>
              </w:rPr>
              <w:t>辛醇</w:t>
            </w:r>
          </w:p>
        </w:tc>
        <w:tc>
          <w:tcPr>
            <w:tcW w:w="1845" w:type="pct"/>
            <w:vAlign w:val="center"/>
          </w:tcPr>
          <w:p w14:paraId="28689CBC">
            <w:pPr>
              <w:keepNext w:val="0"/>
              <w:keepLines w:val="0"/>
              <w:widowControl/>
              <w:suppressLineNumbers w:val="0"/>
              <w:jc w:val="center"/>
              <w:textAlignment w:val="center"/>
              <w:rPr>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0.22</w:t>
            </w:r>
          </w:p>
        </w:tc>
      </w:tr>
      <w:tr w14:paraId="76481A5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12" w:hRule="atLeast"/>
          <w:jc w:val="center"/>
        </w:trPr>
        <w:tc>
          <w:tcPr>
            <w:tcW w:w="1029" w:type="pct"/>
            <w:vMerge w:val="continue"/>
            <w:shd w:val="clear" w:color="auto" w:fill="auto"/>
            <w:vAlign w:val="center"/>
          </w:tcPr>
          <w:p w14:paraId="6609BE77">
            <w:pPr>
              <w:widowControl/>
              <w:spacing w:line="240" w:lineRule="exact"/>
              <w:jc w:val="center"/>
              <w:rPr>
                <w:rFonts w:eastAsia="仿宋_GB2312"/>
                <w:color w:val="FF0000"/>
                <w:kern w:val="0"/>
                <w:szCs w:val="21"/>
                <w:highlight w:val="yellow"/>
              </w:rPr>
            </w:pPr>
          </w:p>
        </w:tc>
        <w:tc>
          <w:tcPr>
            <w:tcW w:w="2124" w:type="pct"/>
            <w:shd w:val="clear" w:color="auto" w:fill="auto"/>
            <w:tcMar>
              <w:top w:w="15" w:type="dxa"/>
              <w:left w:w="15" w:type="dxa"/>
              <w:bottom w:w="0" w:type="dxa"/>
              <w:right w:w="15" w:type="dxa"/>
            </w:tcMar>
            <w:vAlign w:val="center"/>
          </w:tcPr>
          <w:p w14:paraId="1EDCD9DD">
            <w:pPr>
              <w:keepNext w:val="0"/>
              <w:keepLines w:val="0"/>
              <w:widowControl/>
              <w:suppressLineNumbers w:val="0"/>
              <w:jc w:val="center"/>
              <w:textAlignment w:val="center"/>
              <w:rPr>
                <w:rFonts w:eastAsia="仿宋_GB2312"/>
                <w:color w:val="FF0000"/>
                <w:kern w:val="0"/>
                <w:szCs w:val="21"/>
              </w:rPr>
            </w:pPr>
            <w:r>
              <w:rPr>
                <w:rFonts w:hint="default" w:ascii="仿宋_GB2312" w:hAnsi="宋体" w:eastAsia="仿宋_GB2312" w:cs="仿宋_GB2312"/>
                <w:i w:val="0"/>
                <w:iCs w:val="0"/>
                <w:color w:val="000000"/>
                <w:kern w:val="0"/>
                <w:sz w:val="21"/>
                <w:szCs w:val="21"/>
                <w:u w:val="none"/>
                <w:lang w:val="en-US" w:eastAsia="zh-CN" w:bidi="ar"/>
              </w:rPr>
              <w:t>碳九</w:t>
            </w:r>
          </w:p>
        </w:tc>
        <w:tc>
          <w:tcPr>
            <w:tcW w:w="1845" w:type="pct"/>
            <w:vAlign w:val="center"/>
          </w:tcPr>
          <w:p w14:paraId="199EA5B7">
            <w:pPr>
              <w:keepNext w:val="0"/>
              <w:keepLines w:val="0"/>
              <w:widowControl/>
              <w:suppressLineNumbers w:val="0"/>
              <w:jc w:val="center"/>
              <w:textAlignment w:val="center"/>
              <w:rPr>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0.16</w:t>
            </w:r>
          </w:p>
        </w:tc>
      </w:tr>
      <w:tr w14:paraId="6BEC4C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12" w:hRule="atLeast"/>
          <w:jc w:val="center"/>
        </w:trPr>
        <w:tc>
          <w:tcPr>
            <w:tcW w:w="1029" w:type="pct"/>
            <w:vMerge w:val="continue"/>
            <w:shd w:val="clear" w:color="auto" w:fill="auto"/>
            <w:vAlign w:val="center"/>
          </w:tcPr>
          <w:p w14:paraId="4726A883">
            <w:pPr>
              <w:widowControl/>
              <w:spacing w:line="240" w:lineRule="exact"/>
              <w:jc w:val="center"/>
              <w:rPr>
                <w:rFonts w:eastAsia="仿宋_GB2312"/>
                <w:color w:val="FF0000"/>
                <w:kern w:val="0"/>
                <w:szCs w:val="21"/>
                <w:highlight w:val="yellow"/>
              </w:rPr>
            </w:pPr>
          </w:p>
        </w:tc>
        <w:tc>
          <w:tcPr>
            <w:tcW w:w="2124" w:type="pct"/>
            <w:shd w:val="clear" w:color="auto" w:fill="auto"/>
            <w:tcMar>
              <w:top w:w="15" w:type="dxa"/>
              <w:left w:w="15" w:type="dxa"/>
              <w:bottom w:w="0" w:type="dxa"/>
              <w:right w:w="15" w:type="dxa"/>
            </w:tcMar>
            <w:vAlign w:val="center"/>
          </w:tcPr>
          <w:p w14:paraId="311B72A5">
            <w:pPr>
              <w:keepNext w:val="0"/>
              <w:keepLines w:val="0"/>
              <w:widowControl/>
              <w:suppressLineNumbers w:val="0"/>
              <w:jc w:val="center"/>
              <w:textAlignment w:val="center"/>
              <w:rPr>
                <w:rFonts w:eastAsia="仿宋_GB2312"/>
                <w:color w:val="FF0000"/>
                <w:kern w:val="0"/>
                <w:szCs w:val="21"/>
              </w:rPr>
            </w:pPr>
            <w:r>
              <w:rPr>
                <w:rFonts w:hint="default" w:ascii="仿宋_GB2312" w:hAnsi="宋体" w:eastAsia="仿宋_GB2312" w:cs="仿宋_GB2312"/>
                <w:i w:val="0"/>
                <w:iCs w:val="0"/>
                <w:color w:val="000000"/>
                <w:kern w:val="0"/>
                <w:sz w:val="21"/>
                <w:szCs w:val="21"/>
                <w:u w:val="none"/>
                <w:lang w:val="en-US" w:eastAsia="zh-CN" w:bidi="ar"/>
              </w:rPr>
              <w:t>苯乙烯</w:t>
            </w:r>
          </w:p>
        </w:tc>
        <w:tc>
          <w:tcPr>
            <w:tcW w:w="1845" w:type="pct"/>
            <w:vAlign w:val="center"/>
          </w:tcPr>
          <w:p w14:paraId="050A019B">
            <w:pPr>
              <w:keepNext w:val="0"/>
              <w:keepLines w:val="0"/>
              <w:widowControl/>
              <w:suppressLineNumbers w:val="0"/>
              <w:jc w:val="center"/>
              <w:textAlignment w:val="center"/>
              <w:rPr>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0.05</w:t>
            </w:r>
          </w:p>
        </w:tc>
      </w:tr>
      <w:tr w14:paraId="104A1B8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12" w:hRule="atLeast"/>
          <w:jc w:val="center"/>
        </w:trPr>
        <w:tc>
          <w:tcPr>
            <w:tcW w:w="1029" w:type="pct"/>
            <w:vMerge w:val="continue"/>
            <w:shd w:val="clear" w:color="auto" w:fill="auto"/>
            <w:vAlign w:val="center"/>
          </w:tcPr>
          <w:p w14:paraId="63488F54">
            <w:pPr>
              <w:widowControl/>
              <w:spacing w:line="240" w:lineRule="exact"/>
              <w:jc w:val="center"/>
              <w:rPr>
                <w:rFonts w:eastAsia="仿宋_GB2312"/>
                <w:color w:val="FF0000"/>
                <w:kern w:val="0"/>
                <w:szCs w:val="21"/>
                <w:highlight w:val="yellow"/>
              </w:rPr>
            </w:pPr>
          </w:p>
        </w:tc>
        <w:tc>
          <w:tcPr>
            <w:tcW w:w="2124" w:type="pct"/>
            <w:shd w:val="clear" w:color="auto" w:fill="auto"/>
            <w:tcMar>
              <w:top w:w="15" w:type="dxa"/>
              <w:left w:w="15" w:type="dxa"/>
              <w:bottom w:w="0" w:type="dxa"/>
              <w:right w:w="15" w:type="dxa"/>
            </w:tcMar>
            <w:vAlign w:val="center"/>
          </w:tcPr>
          <w:p w14:paraId="71AF6AD8">
            <w:pPr>
              <w:keepNext w:val="0"/>
              <w:keepLines w:val="0"/>
              <w:widowControl/>
              <w:suppressLineNumbers w:val="0"/>
              <w:jc w:val="center"/>
              <w:textAlignment w:val="center"/>
              <w:rPr>
                <w:rFonts w:eastAsia="仿宋_GB2312"/>
                <w:color w:val="FF0000"/>
                <w:kern w:val="0"/>
                <w:szCs w:val="21"/>
              </w:rPr>
            </w:pPr>
            <w:r>
              <w:rPr>
                <w:rFonts w:hint="default" w:ascii="仿宋_GB2312" w:hAnsi="宋体" w:eastAsia="仿宋_GB2312" w:cs="仿宋_GB2312"/>
                <w:i w:val="0"/>
                <w:iCs w:val="0"/>
                <w:color w:val="000000"/>
                <w:kern w:val="0"/>
                <w:sz w:val="21"/>
                <w:szCs w:val="21"/>
                <w:u w:val="none"/>
                <w:lang w:val="en-US" w:eastAsia="zh-CN" w:bidi="ar"/>
              </w:rPr>
              <w:t>二乙二醇</w:t>
            </w:r>
          </w:p>
        </w:tc>
        <w:tc>
          <w:tcPr>
            <w:tcW w:w="1845" w:type="pct"/>
            <w:vAlign w:val="center"/>
          </w:tcPr>
          <w:p w14:paraId="71A2DECC">
            <w:pPr>
              <w:keepNext w:val="0"/>
              <w:keepLines w:val="0"/>
              <w:widowControl/>
              <w:suppressLineNumbers w:val="0"/>
              <w:jc w:val="center"/>
              <w:textAlignment w:val="center"/>
              <w:rPr>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0.06</w:t>
            </w:r>
          </w:p>
        </w:tc>
      </w:tr>
      <w:tr w14:paraId="0D9DBA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12" w:hRule="atLeast"/>
          <w:jc w:val="center"/>
        </w:trPr>
        <w:tc>
          <w:tcPr>
            <w:tcW w:w="1029" w:type="pct"/>
            <w:vMerge w:val="continue"/>
            <w:shd w:val="clear" w:color="auto" w:fill="auto"/>
            <w:vAlign w:val="center"/>
          </w:tcPr>
          <w:p w14:paraId="060F5879">
            <w:pPr>
              <w:widowControl/>
              <w:spacing w:line="240" w:lineRule="exact"/>
              <w:jc w:val="center"/>
              <w:rPr>
                <w:rFonts w:eastAsia="仿宋_GB2312"/>
                <w:color w:val="FF0000"/>
                <w:kern w:val="0"/>
                <w:szCs w:val="21"/>
                <w:highlight w:val="yellow"/>
              </w:rPr>
            </w:pPr>
          </w:p>
        </w:tc>
        <w:tc>
          <w:tcPr>
            <w:tcW w:w="2124" w:type="pct"/>
            <w:shd w:val="clear" w:color="auto" w:fill="auto"/>
            <w:tcMar>
              <w:top w:w="15" w:type="dxa"/>
              <w:left w:w="15" w:type="dxa"/>
              <w:bottom w:w="0" w:type="dxa"/>
              <w:right w:w="15" w:type="dxa"/>
            </w:tcMar>
            <w:vAlign w:val="center"/>
          </w:tcPr>
          <w:p w14:paraId="15C1DD8C">
            <w:pPr>
              <w:keepNext w:val="0"/>
              <w:keepLines w:val="0"/>
              <w:widowControl/>
              <w:suppressLineNumbers w:val="0"/>
              <w:jc w:val="center"/>
              <w:textAlignment w:val="center"/>
              <w:rPr>
                <w:rFonts w:eastAsia="仿宋_GB2312"/>
                <w:color w:val="FF0000"/>
                <w:kern w:val="0"/>
                <w:szCs w:val="21"/>
              </w:rPr>
            </w:pPr>
            <w:r>
              <w:rPr>
                <w:rFonts w:hint="default" w:ascii="仿宋_GB2312" w:hAnsi="宋体" w:eastAsia="仿宋_GB2312" w:cs="仿宋_GB2312"/>
                <w:i w:val="0"/>
                <w:iCs w:val="0"/>
                <w:color w:val="000000"/>
                <w:kern w:val="0"/>
                <w:sz w:val="21"/>
                <w:szCs w:val="21"/>
                <w:u w:val="none"/>
                <w:lang w:val="en-US" w:eastAsia="zh-CN" w:bidi="ar"/>
              </w:rPr>
              <w:t>四氢呋喃</w:t>
            </w:r>
          </w:p>
        </w:tc>
        <w:tc>
          <w:tcPr>
            <w:tcW w:w="1845" w:type="pct"/>
            <w:vAlign w:val="center"/>
          </w:tcPr>
          <w:p w14:paraId="495CF131">
            <w:pPr>
              <w:keepNext w:val="0"/>
              <w:keepLines w:val="0"/>
              <w:widowControl/>
              <w:suppressLineNumbers w:val="0"/>
              <w:jc w:val="center"/>
              <w:textAlignment w:val="center"/>
              <w:rPr>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0.41</w:t>
            </w:r>
          </w:p>
        </w:tc>
      </w:tr>
      <w:tr w14:paraId="4FC8690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12" w:hRule="atLeast"/>
          <w:jc w:val="center"/>
        </w:trPr>
        <w:tc>
          <w:tcPr>
            <w:tcW w:w="1029" w:type="pct"/>
            <w:vMerge w:val="continue"/>
            <w:shd w:val="clear" w:color="auto" w:fill="auto"/>
            <w:vAlign w:val="center"/>
          </w:tcPr>
          <w:p w14:paraId="7709525C">
            <w:pPr>
              <w:widowControl/>
              <w:spacing w:line="240" w:lineRule="exact"/>
              <w:jc w:val="center"/>
              <w:rPr>
                <w:rFonts w:eastAsia="仿宋_GB2312"/>
                <w:color w:val="FF0000"/>
                <w:kern w:val="0"/>
                <w:szCs w:val="21"/>
                <w:highlight w:val="yellow"/>
              </w:rPr>
            </w:pPr>
          </w:p>
        </w:tc>
        <w:tc>
          <w:tcPr>
            <w:tcW w:w="2124" w:type="pct"/>
            <w:shd w:val="clear" w:color="auto" w:fill="auto"/>
            <w:tcMar>
              <w:top w:w="15" w:type="dxa"/>
              <w:left w:w="15" w:type="dxa"/>
              <w:bottom w:w="0" w:type="dxa"/>
              <w:right w:w="15" w:type="dxa"/>
            </w:tcMar>
            <w:vAlign w:val="center"/>
          </w:tcPr>
          <w:p w14:paraId="3BA98FA7">
            <w:pPr>
              <w:keepNext w:val="0"/>
              <w:keepLines w:val="0"/>
              <w:widowControl/>
              <w:suppressLineNumbers w:val="0"/>
              <w:jc w:val="center"/>
              <w:textAlignment w:val="center"/>
              <w:rPr>
                <w:rFonts w:eastAsia="仿宋_GB2312"/>
                <w:color w:val="FF0000"/>
                <w:kern w:val="0"/>
                <w:szCs w:val="21"/>
              </w:rPr>
            </w:pPr>
            <w:r>
              <w:rPr>
                <w:rFonts w:hint="default" w:ascii="仿宋_GB2312" w:hAnsi="宋体" w:eastAsia="仿宋_GB2312" w:cs="仿宋_GB2312"/>
                <w:i w:val="0"/>
                <w:iCs w:val="0"/>
                <w:color w:val="000000"/>
                <w:kern w:val="0"/>
                <w:sz w:val="21"/>
                <w:szCs w:val="21"/>
                <w:u w:val="none"/>
                <w:lang w:val="en-US" w:eastAsia="zh-CN" w:bidi="ar"/>
              </w:rPr>
              <w:t>甲醇</w:t>
            </w:r>
          </w:p>
        </w:tc>
        <w:tc>
          <w:tcPr>
            <w:tcW w:w="1845" w:type="pct"/>
            <w:vAlign w:val="center"/>
          </w:tcPr>
          <w:p w14:paraId="72F8D9CC">
            <w:pPr>
              <w:keepNext w:val="0"/>
              <w:keepLines w:val="0"/>
              <w:widowControl/>
              <w:suppressLineNumbers w:val="0"/>
              <w:jc w:val="center"/>
              <w:textAlignment w:val="center"/>
              <w:rPr>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1.04</w:t>
            </w:r>
          </w:p>
        </w:tc>
      </w:tr>
      <w:tr w14:paraId="158DD0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12" w:hRule="atLeast"/>
          <w:jc w:val="center"/>
        </w:trPr>
        <w:tc>
          <w:tcPr>
            <w:tcW w:w="1029" w:type="pct"/>
            <w:vMerge w:val="continue"/>
            <w:shd w:val="clear" w:color="auto" w:fill="auto"/>
            <w:vAlign w:val="center"/>
          </w:tcPr>
          <w:p w14:paraId="567256E9">
            <w:pPr>
              <w:widowControl/>
              <w:spacing w:line="240" w:lineRule="exact"/>
              <w:jc w:val="center"/>
              <w:rPr>
                <w:rFonts w:eastAsia="仿宋_GB2312"/>
                <w:color w:val="FF0000"/>
                <w:kern w:val="0"/>
                <w:szCs w:val="21"/>
                <w:highlight w:val="yellow"/>
              </w:rPr>
            </w:pPr>
          </w:p>
        </w:tc>
        <w:tc>
          <w:tcPr>
            <w:tcW w:w="2124" w:type="pct"/>
            <w:shd w:val="clear" w:color="auto" w:fill="auto"/>
            <w:noWrap/>
            <w:tcMar>
              <w:top w:w="15" w:type="dxa"/>
              <w:left w:w="15" w:type="dxa"/>
              <w:bottom w:w="0" w:type="dxa"/>
              <w:right w:w="15" w:type="dxa"/>
            </w:tcMar>
            <w:vAlign w:val="center"/>
          </w:tcPr>
          <w:p w14:paraId="7B7CFDE9">
            <w:pPr>
              <w:keepNext w:val="0"/>
              <w:keepLines w:val="0"/>
              <w:widowControl/>
              <w:suppressLineNumbers w:val="0"/>
              <w:jc w:val="center"/>
              <w:textAlignment w:val="center"/>
              <w:rPr>
                <w:rFonts w:eastAsia="仿宋_GB2312"/>
                <w:color w:val="FF0000"/>
                <w:kern w:val="0"/>
                <w:szCs w:val="21"/>
              </w:rPr>
            </w:pPr>
            <w:r>
              <w:rPr>
                <w:rFonts w:hint="default" w:ascii="仿宋_GB2312" w:hAnsi="宋体" w:eastAsia="仿宋_GB2312" w:cs="仿宋_GB2312"/>
                <w:i w:val="0"/>
                <w:iCs w:val="0"/>
                <w:color w:val="000000"/>
                <w:kern w:val="0"/>
                <w:sz w:val="21"/>
                <w:szCs w:val="21"/>
                <w:u w:val="none"/>
                <w:lang w:val="en-US" w:eastAsia="zh-CN" w:bidi="ar"/>
              </w:rPr>
              <w:t>乙腈</w:t>
            </w:r>
          </w:p>
        </w:tc>
        <w:tc>
          <w:tcPr>
            <w:tcW w:w="1845" w:type="pct"/>
            <w:vAlign w:val="center"/>
          </w:tcPr>
          <w:p w14:paraId="0525C89D">
            <w:pPr>
              <w:keepNext w:val="0"/>
              <w:keepLines w:val="0"/>
              <w:widowControl/>
              <w:suppressLineNumbers w:val="0"/>
              <w:jc w:val="center"/>
              <w:textAlignment w:val="center"/>
              <w:rPr>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0.22</w:t>
            </w:r>
          </w:p>
        </w:tc>
      </w:tr>
      <w:tr w14:paraId="1A2AF4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12" w:hRule="atLeast"/>
          <w:jc w:val="center"/>
        </w:trPr>
        <w:tc>
          <w:tcPr>
            <w:tcW w:w="1029" w:type="pct"/>
            <w:vMerge w:val="continue"/>
            <w:shd w:val="clear" w:color="auto" w:fill="auto"/>
            <w:vAlign w:val="center"/>
          </w:tcPr>
          <w:p w14:paraId="7C96EB85">
            <w:pPr>
              <w:widowControl/>
              <w:spacing w:line="240" w:lineRule="exact"/>
              <w:jc w:val="center"/>
              <w:rPr>
                <w:rFonts w:eastAsia="仿宋_GB2312"/>
                <w:color w:val="FF0000"/>
                <w:kern w:val="0"/>
                <w:szCs w:val="21"/>
                <w:highlight w:val="yellow"/>
              </w:rPr>
            </w:pPr>
          </w:p>
        </w:tc>
        <w:tc>
          <w:tcPr>
            <w:tcW w:w="2124" w:type="pct"/>
            <w:shd w:val="clear" w:color="auto" w:fill="auto"/>
            <w:noWrap/>
            <w:tcMar>
              <w:top w:w="15" w:type="dxa"/>
              <w:left w:w="15" w:type="dxa"/>
              <w:bottom w:w="0" w:type="dxa"/>
              <w:right w:w="15" w:type="dxa"/>
            </w:tcMar>
            <w:vAlign w:val="center"/>
          </w:tcPr>
          <w:p w14:paraId="44D65250">
            <w:pPr>
              <w:keepNext w:val="0"/>
              <w:keepLines w:val="0"/>
              <w:widowControl/>
              <w:suppressLineNumbers w:val="0"/>
              <w:jc w:val="center"/>
              <w:textAlignment w:val="center"/>
              <w:rPr>
                <w:rFonts w:eastAsia="仿宋_GB2312"/>
                <w:color w:val="FF0000"/>
                <w:kern w:val="0"/>
                <w:szCs w:val="21"/>
              </w:rPr>
            </w:pPr>
            <w:r>
              <w:rPr>
                <w:rFonts w:hint="default" w:ascii="仿宋_GB2312" w:hAnsi="宋体" w:eastAsia="仿宋_GB2312" w:cs="仿宋_GB2312"/>
                <w:i w:val="0"/>
                <w:iCs w:val="0"/>
                <w:color w:val="000000"/>
                <w:kern w:val="0"/>
                <w:sz w:val="21"/>
                <w:szCs w:val="21"/>
                <w:u w:val="none"/>
                <w:lang w:val="en-US" w:eastAsia="zh-CN" w:bidi="ar"/>
              </w:rPr>
              <w:t>丙二醇单甲醚</w:t>
            </w:r>
          </w:p>
        </w:tc>
        <w:tc>
          <w:tcPr>
            <w:tcW w:w="1845" w:type="pct"/>
            <w:vAlign w:val="center"/>
          </w:tcPr>
          <w:p w14:paraId="6D20B0C9">
            <w:pPr>
              <w:keepNext w:val="0"/>
              <w:keepLines w:val="0"/>
              <w:widowControl/>
              <w:suppressLineNumbers w:val="0"/>
              <w:jc w:val="center"/>
              <w:textAlignment w:val="center"/>
              <w:rPr>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0.29</w:t>
            </w:r>
          </w:p>
        </w:tc>
      </w:tr>
      <w:tr w14:paraId="5A0A572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12" w:hRule="atLeast"/>
          <w:jc w:val="center"/>
        </w:trPr>
        <w:tc>
          <w:tcPr>
            <w:tcW w:w="1029" w:type="pct"/>
            <w:vMerge w:val="continue"/>
            <w:shd w:val="clear" w:color="auto" w:fill="auto"/>
            <w:vAlign w:val="center"/>
          </w:tcPr>
          <w:p w14:paraId="7CE61E36">
            <w:pPr>
              <w:widowControl/>
              <w:spacing w:line="240" w:lineRule="exact"/>
              <w:jc w:val="center"/>
              <w:rPr>
                <w:rFonts w:eastAsia="仿宋_GB2312"/>
                <w:color w:val="FF0000"/>
                <w:kern w:val="0"/>
                <w:szCs w:val="21"/>
                <w:highlight w:val="yellow"/>
              </w:rPr>
            </w:pPr>
          </w:p>
        </w:tc>
        <w:tc>
          <w:tcPr>
            <w:tcW w:w="2124" w:type="pct"/>
            <w:shd w:val="clear" w:color="auto" w:fill="auto"/>
            <w:noWrap/>
            <w:tcMar>
              <w:top w:w="15" w:type="dxa"/>
              <w:left w:w="15" w:type="dxa"/>
              <w:bottom w:w="0" w:type="dxa"/>
              <w:right w:w="15" w:type="dxa"/>
            </w:tcMar>
            <w:vAlign w:val="center"/>
          </w:tcPr>
          <w:p w14:paraId="232202D7">
            <w:pPr>
              <w:keepNext w:val="0"/>
              <w:keepLines w:val="0"/>
              <w:widowControl/>
              <w:suppressLineNumbers w:val="0"/>
              <w:jc w:val="center"/>
              <w:textAlignment w:val="center"/>
              <w:rPr>
                <w:rFonts w:eastAsia="仿宋_GB2312"/>
                <w:color w:val="FF0000"/>
                <w:kern w:val="0"/>
                <w:szCs w:val="21"/>
              </w:rPr>
            </w:pPr>
            <w:r>
              <w:rPr>
                <w:rFonts w:hint="default" w:ascii="仿宋_GB2312" w:hAnsi="宋体" w:eastAsia="仿宋_GB2312" w:cs="仿宋_GB2312"/>
                <w:i w:val="0"/>
                <w:iCs w:val="0"/>
                <w:color w:val="000000"/>
                <w:kern w:val="0"/>
                <w:sz w:val="21"/>
                <w:szCs w:val="21"/>
                <w:u w:val="none"/>
                <w:lang w:val="en-US" w:eastAsia="zh-CN" w:bidi="ar"/>
              </w:rPr>
              <w:t>环戊酮</w:t>
            </w:r>
          </w:p>
        </w:tc>
        <w:tc>
          <w:tcPr>
            <w:tcW w:w="1845" w:type="pct"/>
            <w:vAlign w:val="center"/>
          </w:tcPr>
          <w:p w14:paraId="6AD3CA72">
            <w:pPr>
              <w:keepNext w:val="0"/>
              <w:keepLines w:val="0"/>
              <w:widowControl/>
              <w:suppressLineNumbers w:val="0"/>
              <w:jc w:val="center"/>
              <w:textAlignment w:val="center"/>
              <w:rPr>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0.12</w:t>
            </w:r>
          </w:p>
        </w:tc>
      </w:tr>
      <w:tr w14:paraId="3C4CE25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12" w:hRule="atLeast"/>
          <w:jc w:val="center"/>
        </w:trPr>
        <w:tc>
          <w:tcPr>
            <w:tcW w:w="1029" w:type="pct"/>
            <w:vMerge w:val="continue"/>
            <w:shd w:val="clear" w:color="auto" w:fill="auto"/>
            <w:vAlign w:val="center"/>
          </w:tcPr>
          <w:p w14:paraId="59BF1238">
            <w:pPr>
              <w:widowControl/>
              <w:spacing w:line="240" w:lineRule="exact"/>
              <w:jc w:val="center"/>
              <w:rPr>
                <w:rFonts w:eastAsia="仿宋_GB2312"/>
                <w:color w:val="FF0000"/>
                <w:kern w:val="0"/>
                <w:szCs w:val="21"/>
                <w:highlight w:val="yellow"/>
              </w:rPr>
            </w:pPr>
          </w:p>
        </w:tc>
        <w:tc>
          <w:tcPr>
            <w:tcW w:w="2124" w:type="pct"/>
            <w:shd w:val="clear" w:color="auto" w:fill="auto"/>
            <w:tcMar>
              <w:top w:w="15" w:type="dxa"/>
              <w:left w:w="15" w:type="dxa"/>
              <w:bottom w:w="0" w:type="dxa"/>
              <w:right w:w="15" w:type="dxa"/>
            </w:tcMar>
            <w:vAlign w:val="center"/>
          </w:tcPr>
          <w:p w14:paraId="122AC304">
            <w:pPr>
              <w:keepNext w:val="0"/>
              <w:keepLines w:val="0"/>
              <w:widowControl/>
              <w:suppressLineNumbers w:val="0"/>
              <w:jc w:val="center"/>
              <w:textAlignment w:val="center"/>
              <w:rPr>
                <w:rFonts w:eastAsia="仿宋_GB2312"/>
                <w:color w:val="FF0000"/>
                <w:kern w:val="0"/>
                <w:szCs w:val="21"/>
              </w:rPr>
            </w:pPr>
            <w:r>
              <w:rPr>
                <w:rFonts w:hint="default" w:ascii="仿宋_GB2312" w:hAnsi="宋体" w:eastAsia="仿宋_GB2312" w:cs="仿宋_GB2312"/>
                <w:i w:val="0"/>
                <w:iCs w:val="0"/>
                <w:color w:val="000000"/>
                <w:kern w:val="0"/>
                <w:sz w:val="21"/>
                <w:szCs w:val="21"/>
                <w:u w:val="none"/>
                <w:lang w:val="en-US" w:eastAsia="zh-CN" w:bidi="ar"/>
              </w:rPr>
              <w:t>乙酸甲酯</w:t>
            </w:r>
          </w:p>
        </w:tc>
        <w:tc>
          <w:tcPr>
            <w:tcW w:w="1845" w:type="pct"/>
            <w:vAlign w:val="center"/>
          </w:tcPr>
          <w:p w14:paraId="0D882DAC">
            <w:pPr>
              <w:keepNext w:val="0"/>
              <w:keepLines w:val="0"/>
              <w:widowControl/>
              <w:suppressLineNumbers w:val="0"/>
              <w:jc w:val="center"/>
              <w:textAlignment w:val="center"/>
              <w:rPr>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0.23</w:t>
            </w:r>
          </w:p>
        </w:tc>
      </w:tr>
      <w:tr w14:paraId="2F82A9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12" w:hRule="atLeast"/>
          <w:jc w:val="center"/>
        </w:trPr>
        <w:tc>
          <w:tcPr>
            <w:tcW w:w="1029" w:type="pct"/>
            <w:vMerge w:val="continue"/>
            <w:shd w:val="clear" w:color="auto" w:fill="auto"/>
            <w:vAlign w:val="center"/>
          </w:tcPr>
          <w:p w14:paraId="1585A39B">
            <w:pPr>
              <w:widowControl/>
              <w:spacing w:line="240" w:lineRule="exact"/>
              <w:jc w:val="center"/>
              <w:rPr>
                <w:rFonts w:eastAsia="仿宋_GB2312"/>
                <w:color w:val="FF0000"/>
                <w:kern w:val="0"/>
                <w:szCs w:val="21"/>
                <w:highlight w:val="yellow"/>
              </w:rPr>
            </w:pPr>
          </w:p>
        </w:tc>
        <w:tc>
          <w:tcPr>
            <w:tcW w:w="2124" w:type="pct"/>
            <w:shd w:val="clear" w:color="auto" w:fill="auto"/>
            <w:tcMar>
              <w:top w:w="15" w:type="dxa"/>
              <w:left w:w="15" w:type="dxa"/>
              <w:bottom w:w="0" w:type="dxa"/>
              <w:right w:w="15" w:type="dxa"/>
            </w:tcMar>
            <w:vAlign w:val="center"/>
          </w:tcPr>
          <w:p w14:paraId="585312D4">
            <w:pPr>
              <w:keepNext w:val="0"/>
              <w:keepLines w:val="0"/>
              <w:widowControl/>
              <w:suppressLineNumbers w:val="0"/>
              <w:jc w:val="center"/>
              <w:textAlignment w:val="center"/>
              <w:rPr>
                <w:rFonts w:eastAsia="仿宋_GB2312"/>
                <w:color w:val="FF0000"/>
                <w:kern w:val="0"/>
                <w:szCs w:val="21"/>
              </w:rPr>
            </w:pPr>
            <w:r>
              <w:rPr>
                <w:rFonts w:hint="default" w:ascii="仿宋_GB2312" w:hAnsi="宋体" w:eastAsia="仿宋_GB2312" w:cs="仿宋_GB2312"/>
                <w:i w:val="0"/>
                <w:iCs w:val="0"/>
                <w:color w:val="000000"/>
                <w:kern w:val="0"/>
                <w:sz w:val="21"/>
                <w:szCs w:val="21"/>
                <w:u w:val="none"/>
                <w:lang w:val="en-US" w:eastAsia="zh-CN" w:bidi="ar"/>
              </w:rPr>
              <w:t>乙酸酯类</w:t>
            </w:r>
          </w:p>
        </w:tc>
        <w:tc>
          <w:tcPr>
            <w:tcW w:w="1845" w:type="pct"/>
            <w:vAlign w:val="center"/>
          </w:tcPr>
          <w:p w14:paraId="0F95150D">
            <w:pPr>
              <w:keepNext w:val="0"/>
              <w:keepLines w:val="0"/>
              <w:widowControl/>
              <w:suppressLineNumbers w:val="0"/>
              <w:jc w:val="center"/>
              <w:textAlignment w:val="center"/>
              <w:rPr>
                <w:rFonts w:hint="eastAsia"/>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0.49</w:t>
            </w:r>
          </w:p>
        </w:tc>
      </w:tr>
      <w:tr w14:paraId="2208E7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12" w:hRule="atLeast"/>
          <w:jc w:val="center"/>
        </w:trPr>
        <w:tc>
          <w:tcPr>
            <w:tcW w:w="1029" w:type="pct"/>
            <w:vMerge w:val="continue"/>
            <w:shd w:val="clear" w:color="auto" w:fill="auto"/>
            <w:vAlign w:val="center"/>
          </w:tcPr>
          <w:p w14:paraId="6C89432D">
            <w:pPr>
              <w:widowControl/>
              <w:spacing w:line="240" w:lineRule="exact"/>
              <w:jc w:val="center"/>
              <w:rPr>
                <w:rFonts w:eastAsia="仿宋_GB2312"/>
                <w:color w:val="FF0000"/>
                <w:kern w:val="0"/>
                <w:szCs w:val="21"/>
                <w:highlight w:val="yellow"/>
              </w:rPr>
            </w:pPr>
          </w:p>
        </w:tc>
        <w:tc>
          <w:tcPr>
            <w:tcW w:w="2124" w:type="pct"/>
            <w:shd w:val="clear" w:color="auto" w:fill="auto"/>
            <w:tcMar>
              <w:top w:w="15" w:type="dxa"/>
              <w:left w:w="15" w:type="dxa"/>
              <w:bottom w:w="0" w:type="dxa"/>
              <w:right w:w="15" w:type="dxa"/>
            </w:tcMar>
            <w:vAlign w:val="center"/>
          </w:tcPr>
          <w:p w14:paraId="2B6985D9">
            <w:pPr>
              <w:keepNext w:val="0"/>
              <w:keepLines w:val="0"/>
              <w:widowControl/>
              <w:suppressLineNumbers w:val="0"/>
              <w:jc w:val="center"/>
              <w:textAlignment w:val="center"/>
              <w:rPr>
                <w:rFonts w:eastAsia="仿宋_GB2312"/>
                <w:color w:val="FF0000"/>
                <w:kern w:val="0"/>
                <w:szCs w:val="21"/>
              </w:rPr>
            </w:pPr>
            <w:r>
              <w:rPr>
                <w:rFonts w:hint="default" w:ascii="仿宋_GB2312" w:hAnsi="宋体" w:eastAsia="仿宋_GB2312" w:cs="仿宋_GB2312"/>
                <w:i w:val="0"/>
                <w:iCs w:val="0"/>
                <w:color w:val="000000"/>
                <w:kern w:val="0"/>
                <w:sz w:val="21"/>
                <w:szCs w:val="21"/>
                <w:u w:val="none"/>
                <w:lang w:val="en-US" w:eastAsia="zh-CN" w:bidi="ar"/>
              </w:rPr>
              <w:t>非甲烷总烃</w:t>
            </w:r>
          </w:p>
        </w:tc>
        <w:tc>
          <w:tcPr>
            <w:tcW w:w="1845" w:type="pct"/>
            <w:vAlign w:val="center"/>
          </w:tcPr>
          <w:p w14:paraId="7598C29D">
            <w:pPr>
              <w:keepNext w:val="0"/>
              <w:keepLines w:val="0"/>
              <w:widowControl/>
              <w:suppressLineNumbers w:val="0"/>
              <w:jc w:val="center"/>
              <w:textAlignment w:val="center"/>
              <w:rPr>
                <w:rFonts w:hint="eastAsia"/>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4.21</w:t>
            </w:r>
          </w:p>
        </w:tc>
      </w:tr>
      <w:tr w14:paraId="3DCDB2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12" w:hRule="atLeast"/>
          <w:jc w:val="center"/>
        </w:trPr>
        <w:tc>
          <w:tcPr>
            <w:tcW w:w="1029" w:type="pct"/>
            <w:vMerge w:val="continue"/>
            <w:shd w:val="clear" w:color="auto" w:fill="auto"/>
            <w:vAlign w:val="center"/>
          </w:tcPr>
          <w:p w14:paraId="4BD0D08C">
            <w:pPr>
              <w:widowControl/>
              <w:spacing w:line="240" w:lineRule="exact"/>
              <w:jc w:val="center"/>
              <w:rPr>
                <w:rFonts w:eastAsia="仿宋_GB2312"/>
                <w:color w:val="FF0000"/>
                <w:kern w:val="0"/>
                <w:szCs w:val="21"/>
                <w:highlight w:val="yellow"/>
              </w:rPr>
            </w:pPr>
          </w:p>
        </w:tc>
        <w:tc>
          <w:tcPr>
            <w:tcW w:w="2124" w:type="pct"/>
            <w:shd w:val="clear" w:color="auto" w:fill="auto"/>
            <w:tcMar>
              <w:top w:w="15" w:type="dxa"/>
              <w:left w:w="15" w:type="dxa"/>
              <w:bottom w:w="0" w:type="dxa"/>
              <w:right w:w="15" w:type="dxa"/>
            </w:tcMar>
            <w:vAlign w:val="center"/>
          </w:tcPr>
          <w:p w14:paraId="51FEAECF">
            <w:pPr>
              <w:keepNext w:val="0"/>
              <w:keepLines w:val="0"/>
              <w:widowControl/>
              <w:suppressLineNumbers w:val="0"/>
              <w:jc w:val="center"/>
              <w:textAlignment w:val="center"/>
              <w:rPr>
                <w:rFonts w:eastAsia="仿宋_GB2312"/>
                <w:color w:val="FF0000"/>
                <w:kern w:val="0"/>
                <w:szCs w:val="21"/>
              </w:rPr>
            </w:pPr>
            <w:r>
              <w:rPr>
                <w:rFonts w:hint="default" w:ascii="Times New Roman" w:hAnsi="Times New Roman" w:eastAsia="宋体" w:cs="Times New Roman"/>
                <w:i w:val="0"/>
                <w:iCs w:val="0"/>
                <w:color w:val="000000"/>
                <w:kern w:val="0"/>
                <w:sz w:val="21"/>
                <w:szCs w:val="21"/>
                <w:u w:val="none"/>
                <w:lang w:val="en-US" w:eastAsia="zh-CN" w:bidi="ar"/>
              </w:rPr>
              <w:t>VOCs</w:t>
            </w:r>
          </w:p>
        </w:tc>
        <w:tc>
          <w:tcPr>
            <w:tcW w:w="1845" w:type="pct"/>
            <w:vAlign w:val="center"/>
          </w:tcPr>
          <w:p w14:paraId="7DB52477">
            <w:pPr>
              <w:keepNext w:val="0"/>
              <w:keepLines w:val="0"/>
              <w:widowControl/>
              <w:suppressLineNumbers w:val="0"/>
              <w:jc w:val="center"/>
              <w:textAlignment w:val="center"/>
              <w:rPr>
                <w:rFonts w:hint="eastAsia"/>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7.75</w:t>
            </w:r>
          </w:p>
        </w:tc>
      </w:tr>
      <w:tr w14:paraId="4F57F5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12" w:hRule="atLeast"/>
          <w:jc w:val="center"/>
        </w:trPr>
        <w:tc>
          <w:tcPr>
            <w:tcW w:w="1029" w:type="pct"/>
            <w:vMerge w:val="restart"/>
            <w:shd w:val="clear" w:color="auto" w:fill="auto"/>
            <w:tcMar>
              <w:top w:w="15" w:type="dxa"/>
              <w:left w:w="15" w:type="dxa"/>
              <w:bottom w:w="0" w:type="dxa"/>
              <w:right w:w="15" w:type="dxa"/>
            </w:tcMar>
            <w:vAlign w:val="center"/>
          </w:tcPr>
          <w:p w14:paraId="4B0C5259">
            <w:pPr>
              <w:widowControl/>
              <w:spacing w:line="240" w:lineRule="exact"/>
              <w:jc w:val="center"/>
              <w:rPr>
                <w:rFonts w:eastAsia="仿宋_GB2312"/>
                <w:color w:val="FF0000"/>
                <w:kern w:val="0"/>
                <w:szCs w:val="21"/>
              </w:rPr>
            </w:pPr>
            <w:r>
              <w:rPr>
                <w:rFonts w:eastAsia="仿宋_GB2312"/>
                <w:color w:val="auto"/>
                <w:kern w:val="0"/>
                <w:szCs w:val="21"/>
              </w:rPr>
              <w:t>无组织废气</w:t>
            </w:r>
          </w:p>
        </w:tc>
        <w:tc>
          <w:tcPr>
            <w:tcW w:w="2124" w:type="pct"/>
            <w:shd w:val="clear" w:color="auto" w:fill="auto"/>
            <w:tcMar>
              <w:top w:w="15" w:type="dxa"/>
              <w:left w:w="15" w:type="dxa"/>
              <w:bottom w:w="0" w:type="dxa"/>
              <w:right w:w="15" w:type="dxa"/>
            </w:tcMar>
            <w:vAlign w:val="center"/>
          </w:tcPr>
          <w:p w14:paraId="32C0026A">
            <w:pPr>
              <w:keepNext w:val="0"/>
              <w:keepLines w:val="0"/>
              <w:widowControl/>
              <w:suppressLineNumbers w:val="0"/>
              <w:jc w:val="center"/>
              <w:textAlignment w:val="center"/>
              <w:rPr>
                <w:rFonts w:eastAsia="仿宋_GB2312"/>
                <w:color w:val="FF0000"/>
                <w:kern w:val="0"/>
                <w:szCs w:val="21"/>
              </w:rPr>
            </w:pPr>
            <w:r>
              <w:rPr>
                <w:rFonts w:hint="default" w:ascii="Times New Roman" w:hAnsi="Times New Roman" w:eastAsia="宋体" w:cs="Times New Roman"/>
                <w:i w:val="0"/>
                <w:iCs w:val="0"/>
                <w:color w:val="000000"/>
                <w:kern w:val="0"/>
                <w:sz w:val="21"/>
                <w:szCs w:val="21"/>
                <w:u w:val="none"/>
                <w:lang w:val="en-US" w:eastAsia="zh-CN" w:bidi="ar"/>
              </w:rPr>
              <w:t>NMP</w:t>
            </w:r>
          </w:p>
        </w:tc>
        <w:tc>
          <w:tcPr>
            <w:tcW w:w="1845" w:type="pct"/>
            <w:vAlign w:val="center"/>
          </w:tcPr>
          <w:p w14:paraId="0B296D6F">
            <w:pPr>
              <w:keepNext w:val="0"/>
              <w:keepLines w:val="0"/>
              <w:widowControl/>
              <w:suppressLineNumbers w:val="0"/>
              <w:jc w:val="center"/>
              <w:textAlignment w:val="center"/>
              <w:rPr>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0.084</w:t>
            </w:r>
          </w:p>
        </w:tc>
      </w:tr>
      <w:tr w14:paraId="079FA76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12" w:hRule="atLeast"/>
          <w:jc w:val="center"/>
        </w:trPr>
        <w:tc>
          <w:tcPr>
            <w:tcW w:w="1029" w:type="pct"/>
            <w:vMerge w:val="continue"/>
            <w:shd w:val="clear" w:color="auto" w:fill="auto"/>
            <w:vAlign w:val="center"/>
          </w:tcPr>
          <w:p w14:paraId="7C6DF4C3">
            <w:pPr>
              <w:widowControl/>
              <w:spacing w:line="240" w:lineRule="exact"/>
              <w:jc w:val="center"/>
              <w:rPr>
                <w:rFonts w:eastAsia="仿宋_GB2312"/>
                <w:color w:val="FF0000"/>
                <w:kern w:val="0"/>
                <w:szCs w:val="21"/>
              </w:rPr>
            </w:pPr>
          </w:p>
        </w:tc>
        <w:tc>
          <w:tcPr>
            <w:tcW w:w="2124" w:type="pct"/>
            <w:shd w:val="clear" w:color="auto" w:fill="auto"/>
            <w:tcMar>
              <w:top w:w="15" w:type="dxa"/>
              <w:left w:w="15" w:type="dxa"/>
              <w:bottom w:w="0" w:type="dxa"/>
              <w:right w:w="15" w:type="dxa"/>
            </w:tcMar>
            <w:vAlign w:val="center"/>
          </w:tcPr>
          <w:p w14:paraId="2153CB36">
            <w:pPr>
              <w:keepNext w:val="0"/>
              <w:keepLines w:val="0"/>
              <w:widowControl/>
              <w:suppressLineNumbers w:val="0"/>
              <w:jc w:val="center"/>
              <w:textAlignment w:val="center"/>
              <w:rPr>
                <w:rFonts w:eastAsia="仿宋_GB2312"/>
                <w:color w:val="FF0000"/>
                <w:kern w:val="0"/>
                <w:szCs w:val="21"/>
              </w:rPr>
            </w:pPr>
            <w:r>
              <w:rPr>
                <w:rFonts w:hint="default" w:ascii="仿宋_GB2312" w:hAnsi="宋体" w:eastAsia="仿宋_GB2312" w:cs="仿宋_GB2312"/>
                <w:i w:val="0"/>
                <w:iCs w:val="0"/>
                <w:color w:val="000000"/>
                <w:kern w:val="0"/>
                <w:sz w:val="21"/>
                <w:szCs w:val="21"/>
                <w:u w:val="none"/>
                <w:lang w:val="en-US" w:eastAsia="zh-CN" w:bidi="ar"/>
              </w:rPr>
              <w:t>异丙醇</w:t>
            </w:r>
          </w:p>
        </w:tc>
        <w:tc>
          <w:tcPr>
            <w:tcW w:w="1845" w:type="pct"/>
            <w:vAlign w:val="center"/>
          </w:tcPr>
          <w:p w14:paraId="26A79F86">
            <w:pPr>
              <w:keepNext w:val="0"/>
              <w:keepLines w:val="0"/>
              <w:widowControl/>
              <w:suppressLineNumbers w:val="0"/>
              <w:jc w:val="center"/>
              <w:textAlignment w:val="center"/>
              <w:rPr>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0.254</w:t>
            </w:r>
          </w:p>
        </w:tc>
      </w:tr>
      <w:tr w14:paraId="066F2C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12" w:hRule="atLeast"/>
          <w:jc w:val="center"/>
        </w:trPr>
        <w:tc>
          <w:tcPr>
            <w:tcW w:w="1029" w:type="pct"/>
            <w:vMerge w:val="continue"/>
            <w:shd w:val="clear" w:color="auto" w:fill="auto"/>
            <w:vAlign w:val="center"/>
          </w:tcPr>
          <w:p w14:paraId="12E5FE73">
            <w:pPr>
              <w:widowControl/>
              <w:spacing w:line="240" w:lineRule="exact"/>
              <w:jc w:val="center"/>
              <w:rPr>
                <w:rFonts w:eastAsia="仿宋_GB2312"/>
                <w:color w:val="FF0000"/>
                <w:kern w:val="0"/>
                <w:szCs w:val="21"/>
              </w:rPr>
            </w:pPr>
          </w:p>
        </w:tc>
        <w:tc>
          <w:tcPr>
            <w:tcW w:w="2124" w:type="pct"/>
            <w:shd w:val="clear" w:color="auto" w:fill="auto"/>
            <w:tcMar>
              <w:top w:w="15" w:type="dxa"/>
              <w:left w:w="15" w:type="dxa"/>
              <w:bottom w:w="0" w:type="dxa"/>
              <w:right w:w="15" w:type="dxa"/>
            </w:tcMar>
            <w:vAlign w:val="center"/>
          </w:tcPr>
          <w:p w14:paraId="1C5F4810">
            <w:pPr>
              <w:keepNext w:val="0"/>
              <w:keepLines w:val="0"/>
              <w:widowControl/>
              <w:suppressLineNumbers w:val="0"/>
              <w:jc w:val="center"/>
              <w:textAlignment w:val="center"/>
              <w:rPr>
                <w:rFonts w:eastAsia="仿宋_GB2312"/>
                <w:color w:val="FF0000"/>
                <w:kern w:val="0"/>
                <w:szCs w:val="21"/>
              </w:rPr>
            </w:pPr>
            <w:r>
              <w:rPr>
                <w:rFonts w:hint="default" w:ascii="仿宋_GB2312" w:hAnsi="宋体" w:eastAsia="仿宋_GB2312" w:cs="仿宋_GB2312"/>
                <w:i w:val="0"/>
                <w:iCs w:val="0"/>
                <w:color w:val="000000"/>
                <w:kern w:val="0"/>
                <w:sz w:val="21"/>
                <w:szCs w:val="21"/>
                <w:u w:val="none"/>
                <w:lang w:val="en-US" w:eastAsia="zh-CN" w:bidi="ar"/>
              </w:rPr>
              <w:t>丁酮</w:t>
            </w:r>
          </w:p>
        </w:tc>
        <w:tc>
          <w:tcPr>
            <w:tcW w:w="1845" w:type="pct"/>
            <w:vAlign w:val="center"/>
          </w:tcPr>
          <w:p w14:paraId="0E5C4FD4">
            <w:pPr>
              <w:keepNext w:val="0"/>
              <w:keepLines w:val="0"/>
              <w:widowControl/>
              <w:suppressLineNumbers w:val="0"/>
              <w:jc w:val="center"/>
              <w:textAlignment w:val="center"/>
              <w:rPr>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0.014</w:t>
            </w:r>
          </w:p>
        </w:tc>
      </w:tr>
      <w:tr w14:paraId="708732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12" w:hRule="atLeast"/>
          <w:jc w:val="center"/>
        </w:trPr>
        <w:tc>
          <w:tcPr>
            <w:tcW w:w="1029" w:type="pct"/>
            <w:vMerge w:val="continue"/>
            <w:shd w:val="clear" w:color="auto" w:fill="auto"/>
            <w:vAlign w:val="center"/>
          </w:tcPr>
          <w:p w14:paraId="7209B0C3">
            <w:pPr>
              <w:widowControl/>
              <w:spacing w:line="240" w:lineRule="exact"/>
              <w:jc w:val="center"/>
              <w:rPr>
                <w:rFonts w:eastAsia="仿宋_GB2312"/>
                <w:color w:val="FF0000"/>
                <w:kern w:val="0"/>
                <w:szCs w:val="21"/>
              </w:rPr>
            </w:pPr>
          </w:p>
        </w:tc>
        <w:tc>
          <w:tcPr>
            <w:tcW w:w="2124" w:type="pct"/>
            <w:shd w:val="clear" w:color="auto" w:fill="auto"/>
            <w:tcMar>
              <w:top w:w="15" w:type="dxa"/>
              <w:left w:w="15" w:type="dxa"/>
              <w:bottom w:w="0" w:type="dxa"/>
              <w:right w:w="15" w:type="dxa"/>
            </w:tcMar>
            <w:vAlign w:val="center"/>
          </w:tcPr>
          <w:p w14:paraId="78CF1961">
            <w:pPr>
              <w:keepNext w:val="0"/>
              <w:keepLines w:val="0"/>
              <w:widowControl/>
              <w:suppressLineNumbers w:val="0"/>
              <w:jc w:val="center"/>
              <w:textAlignment w:val="center"/>
              <w:rPr>
                <w:rFonts w:eastAsia="仿宋_GB2312"/>
                <w:color w:val="FF0000"/>
                <w:kern w:val="0"/>
                <w:szCs w:val="21"/>
              </w:rPr>
            </w:pPr>
            <w:r>
              <w:rPr>
                <w:rFonts w:hint="default" w:ascii="仿宋_GB2312" w:hAnsi="宋体" w:eastAsia="仿宋_GB2312" w:cs="仿宋_GB2312"/>
                <w:i w:val="0"/>
                <w:iCs w:val="0"/>
                <w:color w:val="000000"/>
                <w:kern w:val="0"/>
                <w:sz w:val="21"/>
                <w:szCs w:val="21"/>
                <w:u w:val="none"/>
                <w:lang w:val="en-US" w:eastAsia="zh-CN" w:bidi="ar"/>
              </w:rPr>
              <w:t>乙醇</w:t>
            </w:r>
          </w:p>
        </w:tc>
        <w:tc>
          <w:tcPr>
            <w:tcW w:w="1845" w:type="pct"/>
            <w:vAlign w:val="center"/>
          </w:tcPr>
          <w:p w14:paraId="3C0D97D9">
            <w:pPr>
              <w:keepNext w:val="0"/>
              <w:keepLines w:val="0"/>
              <w:widowControl/>
              <w:suppressLineNumbers w:val="0"/>
              <w:jc w:val="center"/>
              <w:textAlignment w:val="center"/>
              <w:rPr>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0.061</w:t>
            </w:r>
          </w:p>
        </w:tc>
      </w:tr>
      <w:tr w14:paraId="58274B0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12" w:hRule="atLeast"/>
          <w:jc w:val="center"/>
        </w:trPr>
        <w:tc>
          <w:tcPr>
            <w:tcW w:w="1029" w:type="pct"/>
            <w:vMerge w:val="continue"/>
            <w:shd w:val="clear" w:color="auto" w:fill="auto"/>
            <w:vAlign w:val="center"/>
          </w:tcPr>
          <w:p w14:paraId="0D9CDA18">
            <w:pPr>
              <w:widowControl/>
              <w:spacing w:line="240" w:lineRule="exact"/>
              <w:jc w:val="center"/>
              <w:rPr>
                <w:rFonts w:eastAsia="仿宋_GB2312"/>
                <w:color w:val="FF0000"/>
                <w:kern w:val="0"/>
                <w:szCs w:val="21"/>
              </w:rPr>
            </w:pPr>
          </w:p>
        </w:tc>
        <w:tc>
          <w:tcPr>
            <w:tcW w:w="2124" w:type="pct"/>
            <w:shd w:val="clear" w:color="auto" w:fill="auto"/>
            <w:tcMar>
              <w:top w:w="15" w:type="dxa"/>
              <w:left w:w="15" w:type="dxa"/>
              <w:bottom w:w="0" w:type="dxa"/>
              <w:right w:w="15" w:type="dxa"/>
            </w:tcMar>
            <w:vAlign w:val="center"/>
          </w:tcPr>
          <w:p w14:paraId="55677401">
            <w:pPr>
              <w:keepNext w:val="0"/>
              <w:keepLines w:val="0"/>
              <w:widowControl/>
              <w:suppressLineNumbers w:val="0"/>
              <w:jc w:val="center"/>
              <w:textAlignment w:val="center"/>
              <w:rPr>
                <w:rFonts w:eastAsia="仿宋_GB2312"/>
                <w:color w:val="FF0000"/>
                <w:kern w:val="0"/>
                <w:szCs w:val="21"/>
              </w:rPr>
            </w:pPr>
            <w:r>
              <w:rPr>
                <w:rFonts w:hint="default" w:ascii="仿宋_GB2312" w:hAnsi="宋体" w:eastAsia="仿宋_GB2312" w:cs="仿宋_GB2312"/>
                <w:i w:val="0"/>
                <w:iCs w:val="0"/>
                <w:color w:val="000000"/>
                <w:kern w:val="0"/>
                <w:sz w:val="21"/>
                <w:szCs w:val="21"/>
                <w:u w:val="none"/>
                <w:lang w:val="en-US" w:eastAsia="zh-CN" w:bidi="ar"/>
              </w:rPr>
              <w:t>乙酸乙酯</w:t>
            </w:r>
          </w:p>
        </w:tc>
        <w:tc>
          <w:tcPr>
            <w:tcW w:w="1845" w:type="pct"/>
            <w:vAlign w:val="center"/>
          </w:tcPr>
          <w:p w14:paraId="7CDA276C">
            <w:pPr>
              <w:keepNext w:val="0"/>
              <w:keepLines w:val="0"/>
              <w:widowControl/>
              <w:suppressLineNumbers w:val="0"/>
              <w:jc w:val="center"/>
              <w:textAlignment w:val="center"/>
              <w:rPr>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0.083</w:t>
            </w:r>
          </w:p>
        </w:tc>
      </w:tr>
      <w:tr w14:paraId="21B736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12" w:hRule="atLeast"/>
          <w:jc w:val="center"/>
        </w:trPr>
        <w:tc>
          <w:tcPr>
            <w:tcW w:w="1029" w:type="pct"/>
            <w:vMerge w:val="continue"/>
            <w:shd w:val="clear" w:color="auto" w:fill="auto"/>
            <w:vAlign w:val="center"/>
          </w:tcPr>
          <w:p w14:paraId="76752713">
            <w:pPr>
              <w:widowControl/>
              <w:spacing w:line="240" w:lineRule="exact"/>
              <w:jc w:val="center"/>
              <w:rPr>
                <w:rFonts w:eastAsia="仿宋_GB2312"/>
                <w:color w:val="FF0000"/>
                <w:kern w:val="0"/>
                <w:szCs w:val="21"/>
              </w:rPr>
            </w:pPr>
          </w:p>
        </w:tc>
        <w:tc>
          <w:tcPr>
            <w:tcW w:w="2124" w:type="pct"/>
            <w:shd w:val="clear" w:color="auto" w:fill="auto"/>
            <w:tcMar>
              <w:top w:w="15" w:type="dxa"/>
              <w:left w:w="15" w:type="dxa"/>
              <w:bottom w:w="0" w:type="dxa"/>
              <w:right w:w="15" w:type="dxa"/>
            </w:tcMar>
            <w:vAlign w:val="center"/>
          </w:tcPr>
          <w:p w14:paraId="0768E936">
            <w:pPr>
              <w:keepNext w:val="0"/>
              <w:keepLines w:val="0"/>
              <w:widowControl/>
              <w:suppressLineNumbers w:val="0"/>
              <w:jc w:val="center"/>
              <w:textAlignment w:val="center"/>
              <w:rPr>
                <w:rFonts w:eastAsia="仿宋_GB2312"/>
                <w:color w:val="FF0000"/>
                <w:kern w:val="0"/>
                <w:szCs w:val="21"/>
              </w:rPr>
            </w:pPr>
            <w:r>
              <w:rPr>
                <w:rFonts w:hint="default" w:ascii="仿宋_GB2312" w:hAnsi="宋体" w:eastAsia="仿宋_GB2312" w:cs="仿宋_GB2312"/>
                <w:i w:val="0"/>
                <w:iCs w:val="0"/>
                <w:color w:val="000000"/>
                <w:kern w:val="0"/>
                <w:sz w:val="21"/>
                <w:szCs w:val="21"/>
                <w:u w:val="none"/>
                <w:lang w:val="en-US" w:eastAsia="zh-CN" w:bidi="ar"/>
              </w:rPr>
              <w:t>乙二醇</w:t>
            </w:r>
          </w:p>
        </w:tc>
        <w:tc>
          <w:tcPr>
            <w:tcW w:w="1845" w:type="pct"/>
            <w:vAlign w:val="center"/>
          </w:tcPr>
          <w:p w14:paraId="5EC75FE8">
            <w:pPr>
              <w:keepNext w:val="0"/>
              <w:keepLines w:val="0"/>
              <w:widowControl/>
              <w:suppressLineNumbers w:val="0"/>
              <w:jc w:val="center"/>
              <w:textAlignment w:val="center"/>
              <w:rPr>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0.187</w:t>
            </w:r>
          </w:p>
        </w:tc>
      </w:tr>
      <w:tr w14:paraId="4457E7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12" w:hRule="atLeast"/>
          <w:jc w:val="center"/>
        </w:trPr>
        <w:tc>
          <w:tcPr>
            <w:tcW w:w="1029" w:type="pct"/>
            <w:vMerge w:val="continue"/>
            <w:shd w:val="clear" w:color="auto" w:fill="auto"/>
            <w:vAlign w:val="center"/>
          </w:tcPr>
          <w:p w14:paraId="0CABEF56">
            <w:pPr>
              <w:widowControl/>
              <w:spacing w:line="240" w:lineRule="exact"/>
              <w:jc w:val="center"/>
              <w:rPr>
                <w:rFonts w:eastAsia="仿宋_GB2312"/>
                <w:color w:val="FF0000"/>
                <w:kern w:val="0"/>
                <w:szCs w:val="21"/>
              </w:rPr>
            </w:pPr>
          </w:p>
        </w:tc>
        <w:tc>
          <w:tcPr>
            <w:tcW w:w="2124" w:type="pct"/>
            <w:shd w:val="clear" w:color="auto" w:fill="auto"/>
            <w:tcMar>
              <w:top w:w="15" w:type="dxa"/>
              <w:left w:w="15" w:type="dxa"/>
              <w:bottom w:w="0" w:type="dxa"/>
              <w:right w:w="15" w:type="dxa"/>
            </w:tcMar>
            <w:vAlign w:val="center"/>
          </w:tcPr>
          <w:p w14:paraId="3B098046">
            <w:pPr>
              <w:keepNext w:val="0"/>
              <w:keepLines w:val="0"/>
              <w:widowControl/>
              <w:suppressLineNumbers w:val="0"/>
              <w:jc w:val="center"/>
              <w:textAlignment w:val="center"/>
              <w:rPr>
                <w:rFonts w:eastAsia="仿宋_GB2312"/>
                <w:color w:val="FF0000"/>
                <w:kern w:val="0"/>
                <w:szCs w:val="21"/>
              </w:rPr>
            </w:pPr>
            <w:r>
              <w:rPr>
                <w:rFonts w:hint="default" w:ascii="仿宋_GB2312" w:hAnsi="宋体" w:eastAsia="仿宋_GB2312" w:cs="仿宋_GB2312"/>
                <w:i w:val="0"/>
                <w:iCs w:val="0"/>
                <w:color w:val="000000"/>
                <w:kern w:val="0"/>
                <w:sz w:val="21"/>
                <w:szCs w:val="21"/>
                <w:u w:val="none"/>
                <w:lang w:val="en-US" w:eastAsia="zh-CN" w:bidi="ar"/>
              </w:rPr>
              <w:t>二氯甲烷</w:t>
            </w:r>
          </w:p>
        </w:tc>
        <w:tc>
          <w:tcPr>
            <w:tcW w:w="1845" w:type="pct"/>
            <w:vAlign w:val="center"/>
          </w:tcPr>
          <w:p w14:paraId="768AC296">
            <w:pPr>
              <w:keepNext w:val="0"/>
              <w:keepLines w:val="0"/>
              <w:widowControl/>
              <w:suppressLineNumbers w:val="0"/>
              <w:jc w:val="center"/>
              <w:textAlignment w:val="center"/>
              <w:rPr>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0.125</w:t>
            </w:r>
          </w:p>
        </w:tc>
      </w:tr>
      <w:tr w14:paraId="604029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12" w:hRule="atLeast"/>
          <w:jc w:val="center"/>
        </w:trPr>
        <w:tc>
          <w:tcPr>
            <w:tcW w:w="1029" w:type="pct"/>
            <w:vMerge w:val="continue"/>
            <w:shd w:val="clear" w:color="auto" w:fill="auto"/>
            <w:vAlign w:val="center"/>
          </w:tcPr>
          <w:p w14:paraId="7B565960">
            <w:pPr>
              <w:widowControl/>
              <w:spacing w:line="240" w:lineRule="exact"/>
              <w:jc w:val="center"/>
              <w:rPr>
                <w:rFonts w:eastAsia="仿宋_GB2312"/>
                <w:color w:val="FF0000"/>
                <w:kern w:val="0"/>
                <w:szCs w:val="21"/>
              </w:rPr>
            </w:pPr>
          </w:p>
        </w:tc>
        <w:tc>
          <w:tcPr>
            <w:tcW w:w="2124" w:type="pct"/>
            <w:shd w:val="clear" w:color="auto" w:fill="auto"/>
            <w:tcMar>
              <w:top w:w="15" w:type="dxa"/>
              <w:left w:w="15" w:type="dxa"/>
              <w:bottom w:w="0" w:type="dxa"/>
              <w:right w:w="15" w:type="dxa"/>
            </w:tcMar>
            <w:vAlign w:val="center"/>
          </w:tcPr>
          <w:p w14:paraId="3AAF9FBA">
            <w:pPr>
              <w:keepNext w:val="0"/>
              <w:keepLines w:val="0"/>
              <w:widowControl/>
              <w:suppressLineNumbers w:val="0"/>
              <w:jc w:val="center"/>
              <w:textAlignment w:val="center"/>
              <w:rPr>
                <w:rFonts w:eastAsia="仿宋_GB2312"/>
                <w:color w:val="FF0000"/>
                <w:kern w:val="0"/>
                <w:szCs w:val="21"/>
              </w:rPr>
            </w:pPr>
            <w:r>
              <w:rPr>
                <w:rFonts w:hint="default" w:ascii="仿宋_GB2312" w:hAnsi="宋体" w:eastAsia="仿宋_GB2312" w:cs="仿宋_GB2312"/>
                <w:i w:val="0"/>
                <w:iCs w:val="0"/>
                <w:color w:val="000000"/>
                <w:kern w:val="0"/>
                <w:sz w:val="21"/>
                <w:szCs w:val="21"/>
                <w:u w:val="none"/>
                <w:lang w:val="en-US" w:eastAsia="zh-CN" w:bidi="ar"/>
              </w:rPr>
              <w:t>乙酸丁酯</w:t>
            </w:r>
          </w:p>
        </w:tc>
        <w:tc>
          <w:tcPr>
            <w:tcW w:w="1845" w:type="pct"/>
            <w:vAlign w:val="center"/>
          </w:tcPr>
          <w:p w14:paraId="7E8F731D">
            <w:pPr>
              <w:keepNext w:val="0"/>
              <w:keepLines w:val="0"/>
              <w:widowControl/>
              <w:suppressLineNumbers w:val="0"/>
              <w:jc w:val="center"/>
              <w:textAlignment w:val="center"/>
              <w:rPr>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0.022</w:t>
            </w:r>
          </w:p>
        </w:tc>
      </w:tr>
      <w:tr w14:paraId="14FD76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12" w:hRule="atLeast"/>
          <w:jc w:val="center"/>
        </w:trPr>
        <w:tc>
          <w:tcPr>
            <w:tcW w:w="1029" w:type="pct"/>
            <w:vMerge w:val="continue"/>
            <w:shd w:val="clear" w:color="auto" w:fill="auto"/>
            <w:vAlign w:val="center"/>
          </w:tcPr>
          <w:p w14:paraId="18927607">
            <w:pPr>
              <w:widowControl/>
              <w:spacing w:line="240" w:lineRule="exact"/>
              <w:jc w:val="center"/>
              <w:rPr>
                <w:rFonts w:eastAsia="仿宋_GB2312"/>
                <w:color w:val="FF0000"/>
                <w:kern w:val="0"/>
                <w:szCs w:val="21"/>
              </w:rPr>
            </w:pPr>
          </w:p>
        </w:tc>
        <w:tc>
          <w:tcPr>
            <w:tcW w:w="2124" w:type="pct"/>
            <w:shd w:val="clear" w:color="auto" w:fill="auto"/>
            <w:tcMar>
              <w:top w:w="15" w:type="dxa"/>
              <w:left w:w="15" w:type="dxa"/>
              <w:bottom w:w="0" w:type="dxa"/>
              <w:right w:w="15" w:type="dxa"/>
            </w:tcMar>
            <w:vAlign w:val="center"/>
          </w:tcPr>
          <w:p w14:paraId="45C69840">
            <w:pPr>
              <w:keepNext w:val="0"/>
              <w:keepLines w:val="0"/>
              <w:widowControl/>
              <w:suppressLineNumbers w:val="0"/>
              <w:jc w:val="center"/>
              <w:textAlignment w:val="center"/>
              <w:rPr>
                <w:rFonts w:eastAsia="仿宋_GB2312"/>
                <w:color w:val="FF0000"/>
                <w:kern w:val="0"/>
                <w:szCs w:val="21"/>
              </w:rPr>
            </w:pPr>
            <w:r>
              <w:rPr>
                <w:rFonts w:hint="default" w:ascii="仿宋_GB2312" w:hAnsi="宋体" w:eastAsia="仿宋_GB2312" w:cs="仿宋_GB2312"/>
                <w:i w:val="0"/>
                <w:iCs w:val="0"/>
                <w:color w:val="000000"/>
                <w:kern w:val="0"/>
                <w:sz w:val="21"/>
                <w:szCs w:val="21"/>
                <w:u w:val="none"/>
                <w:lang w:val="en-US" w:eastAsia="zh-CN" w:bidi="ar"/>
              </w:rPr>
              <w:t>二甲苯</w:t>
            </w:r>
          </w:p>
        </w:tc>
        <w:tc>
          <w:tcPr>
            <w:tcW w:w="1845" w:type="pct"/>
            <w:vAlign w:val="center"/>
          </w:tcPr>
          <w:p w14:paraId="6ECBA172">
            <w:pPr>
              <w:keepNext w:val="0"/>
              <w:keepLines w:val="0"/>
              <w:widowControl/>
              <w:suppressLineNumbers w:val="0"/>
              <w:jc w:val="center"/>
              <w:textAlignment w:val="center"/>
              <w:rPr>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0.04</w:t>
            </w:r>
          </w:p>
        </w:tc>
      </w:tr>
      <w:tr w14:paraId="6BF7BA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12" w:hRule="atLeast"/>
          <w:jc w:val="center"/>
        </w:trPr>
        <w:tc>
          <w:tcPr>
            <w:tcW w:w="1029" w:type="pct"/>
            <w:vMerge w:val="continue"/>
            <w:shd w:val="clear" w:color="auto" w:fill="auto"/>
            <w:vAlign w:val="center"/>
          </w:tcPr>
          <w:p w14:paraId="5AAD1A15">
            <w:pPr>
              <w:widowControl/>
              <w:spacing w:line="240" w:lineRule="exact"/>
              <w:jc w:val="center"/>
              <w:rPr>
                <w:rFonts w:eastAsia="仿宋_GB2312"/>
                <w:color w:val="FF0000"/>
                <w:kern w:val="0"/>
                <w:szCs w:val="21"/>
              </w:rPr>
            </w:pPr>
          </w:p>
        </w:tc>
        <w:tc>
          <w:tcPr>
            <w:tcW w:w="2124" w:type="pct"/>
            <w:shd w:val="clear" w:color="auto" w:fill="auto"/>
            <w:tcMar>
              <w:top w:w="15" w:type="dxa"/>
              <w:left w:w="15" w:type="dxa"/>
              <w:bottom w:w="0" w:type="dxa"/>
              <w:right w:w="15" w:type="dxa"/>
            </w:tcMar>
            <w:vAlign w:val="center"/>
          </w:tcPr>
          <w:p w14:paraId="3DCE8C5E">
            <w:pPr>
              <w:keepNext w:val="0"/>
              <w:keepLines w:val="0"/>
              <w:widowControl/>
              <w:suppressLineNumbers w:val="0"/>
              <w:jc w:val="center"/>
              <w:textAlignment w:val="center"/>
              <w:rPr>
                <w:rFonts w:eastAsia="仿宋_GB2312"/>
                <w:color w:val="FF0000"/>
                <w:kern w:val="0"/>
                <w:szCs w:val="21"/>
              </w:rPr>
            </w:pPr>
            <w:r>
              <w:rPr>
                <w:rFonts w:hint="default" w:ascii="仿宋_GB2312" w:hAnsi="宋体" w:eastAsia="仿宋_GB2312" w:cs="仿宋_GB2312"/>
                <w:i w:val="0"/>
                <w:iCs w:val="0"/>
                <w:color w:val="000000"/>
                <w:kern w:val="0"/>
                <w:sz w:val="21"/>
                <w:szCs w:val="21"/>
                <w:u w:val="none"/>
                <w:lang w:val="en-US" w:eastAsia="zh-CN" w:bidi="ar"/>
              </w:rPr>
              <w:t>正庚烷</w:t>
            </w:r>
          </w:p>
        </w:tc>
        <w:tc>
          <w:tcPr>
            <w:tcW w:w="1845" w:type="pct"/>
            <w:vAlign w:val="center"/>
          </w:tcPr>
          <w:p w14:paraId="37EBCBD7">
            <w:pPr>
              <w:keepNext w:val="0"/>
              <w:keepLines w:val="0"/>
              <w:widowControl/>
              <w:suppressLineNumbers w:val="0"/>
              <w:jc w:val="center"/>
              <w:textAlignment w:val="center"/>
              <w:rPr>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0.028</w:t>
            </w:r>
          </w:p>
        </w:tc>
      </w:tr>
      <w:tr w14:paraId="765A6A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12" w:hRule="atLeast"/>
          <w:jc w:val="center"/>
        </w:trPr>
        <w:tc>
          <w:tcPr>
            <w:tcW w:w="1029" w:type="pct"/>
            <w:vMerge w:val="continue"/>
            <w:shd w:val="clear" w:color="auto" w:fill="auto"/>
            <w:vAlign w:val="center"/>
          </w:tcPr>
          <w:p w14:paraId="3DC0E4BD">
            <w:pPr>
              <w:widowControl/>
              <w:spacing w:line="240" w:lineRule="exact"/>
              <w:jc w:val="center"/>
              <w:rPr>
                <w:rFonts w:eastAsia="仿宋_GB2312"/>
                <w:color w:val="FF0000"/>
                <w:kern w:val="0"/>
                <w:szCs w:val="21"/>
              </w:rPr>
            </w:pPr>
          </w:p>
        </w:tc>
        <w:tc>
          <w:tcPr>
            <w:tcW w:w="2124" w:type="pct"/>
            <w:shd w:val="clear" w:color="auto" w:fill="auto"/>
            <w:tcMar>
              <w:top w:w="15" w:type="dxa"/>
              <w:left w:w="15" w:type="dxa"/>
              <w:bottom w:w="0" w:type="dxa"/>
              <w:right w:w="15" w:type="dxa"/>
            </w:tcMar>
            <w:vAlign w:val="center"/>
          </w:tcPr>
          <w:p w14:paraId="2C1FC3FC">
            <w:pPr>
              <w:keepNext w:val="0"/>
              <w:keepLines w:val="0"/>
              <w:widowControl/>
              <w:suppressLineNumbers w:val="0"/>
              <w:jc w:val="center"/>
              <w:textAlignment w:val="center"/>
              <w:rPr>
                <w:rFonts w:eastAsia="仿宋_GB2312"/>
                <w:color w:val="FF0000"/>
                <w:kern w:val="0"/>
                <w:szCs w:val="21"/>
              </w:rPr>
            </w:pPr>
            <w:r>
              <w:rPr>
                <w:rFonts w:hint="default" w:ascii="仿宋_GB2312" w:hAnsi="宋体" w:eastAsia="仿宋_GB2312" w:cs="仿宋_GB2312"/>
                <w:i w:val="0"/>
                <w:iCs w:val="0"/>
                <w:color w:val="000000"/>
                <w:kern w:val="0"/>
                <w:sz w:val="21"/>
                <w:szCs w:val="21"/>
                <w:u w:val="none"/>
                <w:lang w:val="en-US" w:eastAsia="zh-CN" w:bidi="ar"/>
              </w:rPr>
              <w:t>甲苯</w:t>
            </w:r>
          </w:p>
        </w:tc>
        <w:tc>
          <w:tcPr>
            <w:tcW w:w="1845" w:type="pct"/>
            <w:vAlign w:val="center"/>
          </w:tcPr>
          <w:p w14:paraId="304096C8">
            <w:pPr>
              <w:keepNext w:val="0"/>
              <w:keepLines w:val="0"/>
              <w:widowControl/>
              <w:suppressLineNumbers w:val="0"/>
              <w:jc w:val="center"/>
              <w:textAlignment w:val="center"/>
              <w:rPr>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0.06</w:t>
            </w:r>
          </w:p>
        </w:tc>
      </w:tr>
      <w:tr w14:paraId="03C73F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12" w:hRule="atLeast"/>
          <w:jc w:val="center"/>
        </w:trPr>
        <w:tc>
          <w:tcPr>
            <w:tcW w:w="1029" w:type="pct"/>
            <w:vMerge w:val="continue"/>
            <w:shd w:val="clear" w:color="auto" w:fill="auto"/>
            <w:vAlign w:val="center"/>
          </w:tcPr>
          <w:p w14:paraId="6A622445">
            <w:pPr>
              <w:widowControl/>
              <w:spacing w:line="240" w:lineRule="exact"/>
              <w:jc w:val="center"/>
              <w:rPr>
                <w:rFonts w:eastAsia="仿宋_GB2312"/>
                <w:color w:val="FF0000"/>
                <w:kern w:val="0"/>
                <w:szCs w:val="21"/>
              </w:rPr>
            </w:pPr>
          </w:p>
        </w:tc>
        <w:tc>
          <w:tcPr>
            <w:tcW w:w="2124" w:type="pct"/>
            <w:shd w:val="clear" w:color="auto" w:fill="auto"/>
            <w:tcMar>
              <w:top w:w="15" w:type="dxa"/>
              <w:left w:w="15" w:type="dxa"/>
              <w:bottom w:w="0" w:type="dxa"/>
              <w:right w:w="15" w:type="dxa"/>
            </w:tcMar>
            <w:vAlign w:val="center"/>
          </w:tcPr>
          <w:p w14:paraId="6E82BA42">
            <w:pPr>
              <w:keepNext w:val="0"/>
              <w:keepLines w:val="0"/>
              <w:widowControl/>
              <w:suppressLineNumbers w:val="0"/>
              <w:jc w:val="center"/>
              <w:textAlignment w:val="center"/>
              <w:rPr>
                <w:rFonts w:eastAsia="仿宋_GB2312"/>
                <w:color w:val="FF0000"/>
                <w:kern w:val="0"/>
                <w:szCs w:val="21"/>
              </w:rPr>
            </w:pPr>
            <w:r>
              <w:rPr>
                <w:rFonts w:hint="default" w:ascii="Times New Roman" w:hAnsi="Times New Roman" w:eastAsia="宋体" w:cs="Times New Roman"/>
                <w:i w:val="0"/>
                <w:iCs w:val="0"/>
                <w:color w:val="000000"/>
                <w:kern w:val="0"/>
                <w:sz w:val="21"/>
                <w:szCs w:val="21"/>
                <w:u w:val="none"/>
                <w:lang w:val="en-US" w:eastAsia="zh-CN" w:bidi="ar"/>
              </w:rPr>
              <w:t>DMF</w:t>
            </w:r>
          </w:p>
        </w:tc>
        <w:tc>
          <w:tcPr>
            <w:tcW w:w="1845" w:type="pct"/>
            <w:vAlign w:val="center"/>
          </w:tcPr>
          <w:p w14:paraId="5DA48799">
            <w:pPr>
              <w:keepNext w:val="0"/>
              <w:keepLines w:val="0"/>
              <w:widowControl/>
              <w:suppressLineNumbers w:val="0"/>
              <w:jc w:val="center"/>
              <w:textAlignment w:val="center"/>
              <w:rPr>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0.024</w:t>
            </w:r>
          </w:p>
        </w:tc>
      </w:tr>
      <w:tr w14:paraId="600CE9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12" w:hRule="atLeast"/>
          <w:jc w:val="center"/>
        </w:trPr>
        <w:tc>
          <w:tcPr>
            <w:tcW w:w="1029" w:type="pct"/>
            <w:vMerge w:val="continue"/>
            <w:shd w:val="clear" w:color="auto" w:fill="auto"/>
            <w:vAlign w:val="center"/>
          </w:tcPr>
          <w:p w14:paraId="7456A9D8">
            <w:pPr>
              <w:widowControl/>
              <w:spacing w:line="240" w:lineRule="exact"/>
              <w:jc w:val="center"/>
              <w:rPr>
                <w:rFonts w:eastAsia="仿宋_GB2312"/>
                <w:color w:val="FF0000"/>
                <w:kern w:val="0"/>
                <w:szCs w:val="21"/>
              </w:rPr>
            </w:pPr>
          </w:p>
        </w:tc>
        <w:tc>
          <w:tcPr>
            <w:tcW w:w="2124" w:type="pct"/>
            <w:shd w:val="clear" w:color="auto" w:fill="auto"/>
            <w:tcMar>
              <w:top w:w="15" w:type="dxa"/>
              <w:left w:w="15" w:type="dxa"/>
              <w:bottom w:w="0" w:type="dxa"/>
              <w:right w:w="15" w:type="dxa"/>
            </w:tcMar>
            <w:vAlign w:val="center"/>
          </w:tcPr>
          <w:p w14:paraId="7936AA36">
            <w:pPr>
              <w:keepNext w:val="0"/>
              <w:keepLines w:val="0"/>
              <w:widowControl/>
              <w:suppressLineNumbers w:val="0"/>
              <w:jc w:val="center"/>
              <w:textAlignment w:val="center"/>
              <w:rPr>
                <w:rFonts w:eastAsia="仿宋_GB2312"/>
                <w:color w:val="FF0000"/>
                <w:kern w:val="0"/>
                <w:szCs w:val="21"/>
              </w:rPr>
            </w:pPr>
            <w:r>
              <w:rPr>
                <w:rFonts w:hint="default" w:ascii="仿宋_GB2312" w:hAnsi="宋体" w:eastAsia="仿宋_GB2312" w:cs="仿宋_GB2312"/>
                <w:i w:val="0"/>
                <w:iCs w:val="0"/>
                <w:color w:val="000000"/>
                <w:kern w:val="0"/>
                <w:sz w:val="21"/>
                <w:szCs w:val="21"/>
                <w:u w:val="none"/>
                <w:lang w:val="en-US" w:eastAsia="zh-CN" w:bidi="ar"/>
              </w:rPr>
              <w:t>环己烷</w:t>
            </w:r>
          </w:p>
        </w:tc>
        <w:tc>
          <w:tcPr>
            <w:tcW w:w="1845" w:type="pct"/>
            <w:vAlign w:val="center"/>
          </w:tcPr>
          <w:p w14:paraId="0FE0FBEA">
            <w:pPr>
              <w:keepNext w:val="0"/>
              <w:keepLines w:val="0"/>
              <w:widowControl/>
              <w:suppressLineNumbers w:val="0"/>
              <w:jc w:val="center"/>
              <w:textAlignment w:val="center"/>
              <w:rPr>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0.029</w:t>
            </w:r>
          </w:p>
        </w:tc>
      </w:tr>
      <w:tr w14:paraId="37D848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12" w:hRule="atLeast"/>
          <w:jc w:val="center"/>
        </w:trPr>
        <w:tc>
          <w:tcPr>
            <w:tcW w:w="1029" w:type="pct"/>
            <w:vMerge w:val="continue"/>
            <w:shd w:val="clear" w:color="auto" w:fill="auto"/>
            <w:vAlign w:val="center"/>
          </w:tcPr>
          <w:p w14:paraId="3DD81C7C">
            <w:pPr>
              <w:widowControl/>
              <w:spacing w:line="240" w:lineRule="exact"/>
              <w:jc w:val="center"/>
              <w:rPr>
                <w:rFonts w:eastAsia="仿宋_GB2312"/>
                <w:color w:val="FF0000"/>
                <w:kern w:val="0"/>
                <w:szCs w:val="21"/>
              </w:rPr>
            </w:pPr>
          </w:p>
        </w:tc>
        <w:tc>
          <w:tcPr>
            <w:tcW w:w="2124" w:type="pct"/>
            <w:shd w:val="clear" w:color="auto" w:fill="auto"/>
            <w:tcMar>
              <w:top w:w="15" w:type="dxa"/>
              <w:left w:w="15" w:type="dxa"/>
              <w:bottom w:w="0" w:type="dxa"/>
              <w:right w:w="15" w:type="dxa"/>
            </w:tcMar>
            <w:vAlign w:val="center"/>
          </w:tcPr>
          <w:p w14:paraId="2E338914">
            <w:pPr>
              <w:keepNext w:val="0"/>
              <w:keepLines w:val="0"/>
              <w:widowControl/>
              <w:suppressLineNumbers w:val="0"/>
              <w:jc w:val="center"/>
              <w:textAlignment w:val="center"/>
              <w:rPr>
                <w:rFonts w:eastAsia="仿宋_GB2312"/>
                <w:color w:val="FF0000"/>
                <w:kern w:val="0"/>
                <w:szCs w:val="21"/>
              </w:rPr>
            </w:pPr>
            <w:r>
              <w:rPr>
                <w:rFonts w:hint="default" w:ascii="仿宋_GB2312" w:hAnsi="宋体" w:eastAsia="仿宋_GB2312" w:cs="仿宋_GB2312"/>
                <w:i w:val="0"/>
                <w:iCs w:val="0"/>
                <w:color w:val="000000"/>
                <w:kern w:val="0"/>
                <w:sz w:val="21"/>
                <w:szCs w:val="21"/>
                <w:u w:val="none"/>
                <w:lang w:val="en-US" w:eastAsia="zh-CN" w:bidi="ar"/>
              </w:rPr>
              <w:t>环己酮</w:t>
            </w:r>
          </w:p>
        </w:tc>
        <w:tc>
          <w:tcPr>
            <w:tcW w:w="1845" w:type="pct"/>
            <w:vAlign w:val="center"/>
          </w:tcPr>
          <w:p w14:paraId="406BA09A">
            <w:pPr>
              <w:keepNext w:val="0"/>
              <w:keepLines w:val="0"/>
              <w:widowControl/>
              <w:suppressLineNumbers w:val="0"/>
              <w:jc w:val="center"/>
              <w:textAlignment w:val="center"/>
              <w:rPr>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0.038</w:t>
            </w:r>
          </w:p>
        </w:tc>
      </w:tr>
      <w:tr w14:paraId="6A8FAA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12" w:hRule="atLeast"/>
          <w:jc w:val="center"/>
        </w:trPr>
        <w:tc>
          <w:tcPr>
            <w:tcW w:w="1029" w:type="pct"/>
            <w:vMerge w:val="continue"/>
            <w:shd w:val="clear" w:color="auto" w:fill="auto"/>
            <w:vAlign w:val="center"/>
          </w:tcPr>
          <w:p w14:paraId="36643413">
            <w:pPr>
              <w:widowControl/>
              <w:spacing w:line="240" w:lineRule="exact"/>
              <w:jc w:val="center"/>
              <w:rPr>
                <w:rFonts w:eastAsia="仿宋_GB2312"/>
                <w:color w:val="FF0000"/>
                <w:kern w:val="0"/>
                <w:szCs w:val="21"/>
              </w:rPr>
            </w:pPr>
          </w:p>
        </w:tc>
        <w:tc>
          <w:tcPr>
            <w:tcW w:w="2124" w:type="pct"/>
            <w:shd w:val="clear" w:color="auto" w:fill="auto"/>
            <w:tcMar>
              <w:top w:w="15" w:type="dxa"/>
              <w:left w:w="15" w:type="dxa"/>
              <w:bottom w:w="0" w:type="dxa"/>
              <w:right w:w="15" w:type="dxa"/>
            </w:tcMar>
            <w:vAlign w:val="center"/>
          </w:tcPr>
          <w:p w14:paraId="6B30DDBF">
            <w:pPr>
              <w:keepNext w:val="0"/>
              <w:keepLines w:val="0"/>
              <w:widowControl/>
              <w:suppressLineNumbers w:val="0"/>
              <w:jc w:val="center"/>
              <w:textAlignment w:val="center"/>
              <w:rPr>
                <w:rFonts w:eastAsia="仿宋_GB2312"/>
                <w:color w:val="FF0000"/>
                <w:kern w:val="0"/>
                <w:szCs w:val="21"/>
              </w:rPr>
            </w:pPr>
            <w:r>
              <w:rPr>
                <w:rFonts w:hint="default" w:ascii="仿宋_GB2312" w:hAnsi="宋体" w:eastAsia="仿宋_GB2312" w:cs="仿宋_GB2312"/>
                <w:i w:val="0"/>
                <w:iCs w:val="0"/>
                <w:color w:val="000000"/>
                <w:kern w:val="0"/>
                <w:sz w:val="21"/>
                <w:szCs w:val="21"/>
                <w:u w:val="none"/>
                <w:lang w:val="en-US" w:eastAsia="zh-CN" w:bidi="ar"/>
              </w:rPr>
              <w:t>二氯乙烷</w:t>
            </w:r>
          </w:p>
        </w:tc>
        <w:tc>
          <w:tcPr>
            <w:tcW w:w="1845" w:type="pct"/>
            <w:vAlign w:val="center"/>
          </w:tcPr>
          <w:p w14:paraId="6F7C39ED">
            <w:pPr>
              <w:keepNext w:val="0"/>
              <w:keepLines w:val="0"/>
              <w:widowControl/>
              <w:suppressLineNumbers w:val="0"/>
              <w:jc w:val="center"/>
              <w:textAlignment w:val="center"/>
              <w:rPr>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0.086</w:t>
            </w:r>
          </w:p>
        </w:tc>
      </w:tr>
      <w:tr w14:paraId="7081B8A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12" w:hRule="atLeast"/>
          <w:jc w:val="center"/>
        </w:trPr>
        <w:tc>
          <w:tcPr>
            <w:tcW w:w="1029" w:type="pct"/>
            <w:vMerge w:val="continue"/>
            <w:shd w:val="clear" w:color="auto" w:fill="auto"/>
            <w:vAlign w:val="center"/>
          </w:tcPr>
          <w:p w14:paraId="12DF9908">
            <w:pPr>
              <w:widowControl/>
              <w:spacing w:line="240" w:lineRule="exact"/>
              <w:jc w:val="center"/>
              <w:rPr>
                <w:rFonts w:eastAsia="仿宋_GB2312"/>
                <w:color w:val="FF0000"/>
                <w:kern w:val="0"/>
                <w:szCs w:val="21"/>
              </w:rPr>
            </w:pPr>
          </w:p>
        </w:tc>
        <w:tc>
          <w:tcPr>
            <w:tcW w:w="2124" w:type="pct"/>
            <w:shd w:val="clear" w:color="auto" w:fill="auto"/>
            <w:tcMar>
              <w:top w:w="15" w:type="dxa"/>
              <w:left w:w="15" w:type="dxa"/>
              <w:bottom w:w="0" w:type="dxa"/>
              <w:right w:w="15" w:type="dxa"/>
            </w:tcMar>
            <w:vAlign w:val="center"/>
          </w:tcPr>
          <w:p w14:paraId="386D291D">
            <w:pPr>
              <w:keepNext w:val="0"/>
              <w:keepLines w:val="0"/>
              <w:widowControl/>
              <w:suppressLineNumbers w:val="0"/>
              <w:jc w:val="center"/>
              <w:textAlignment w:val="center"/>
              <w:rPr>
                <w:rFonts w:eastAsia="仿宋_GB2312"/>
                <w:color w:val="FF0000"/>
                <w:kern w:val="0"/>
                <w:szCs w:val="21"/>
              </w:rPr>
            </w:pPr>
            <w:r>
              <w:rPr>
                <w:rFonts w:hint="default" w:ascii="Times New Roman" w:hAnsi="Times New Roman" w:eastAsia="宋体" w:cs="Times New Roman"/>
                <w:i w:val="0"/>
                <w:iCs w:val="0"/>
                <w:color w:val="000000"/>
                <w:kern w:val="0"/>
                <w:sz w:val="21"/>
                <w:szCs w:val="21"/>
                <w:u w:val="none"/>
                <w:lang w:val="en-US" w:eastAsia="zh-CN" w:bidi="ar"/>
              </w:rPr>
              <w:t>DMSO</w:t>
            </w:r>
          </w:p>
        </w:tc>
        <w:tc>
          <w:tcPr>
            <w:tcW w:w="1845" w:type="pct"/>
            <w:vAlign w:val="center"/>
          </w:tcPr>
          <w:p w14:paraId="06008F86">
            <w:pPr>
              <w:keepNext w:val="0"/>
              <w:keepLines w:val="0"/>
              <w:widowControl/>
              <w:suppressLineNumbers w:val="0"/>
              <w:jc w:val="center"/>
              <w:textAlignment w:val="center"/>
              <w:rPr>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0.015</w:t>
            </w:r>
          </w:p>
        </w:tc>
      </w:tr>
      <w:tr w14:paraId="37BFD2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12" w:hRule="atLeast"/>
          <w:jc w:val="center"/>
        </w:trPr>
        <w:tc>
          <w:tcPr>
            <w:tcW w:w="1029" w:type="pct"/>
            <w:vMerge w:val="continue"/>
            <w:shd w:val="clear" w:color="auto" w:fill="auto"/>
            <w:vAlign w:val="center"/>
          </w:tcPr>
          <w:p w14:paraId="454D5C77">
            <w:pPr>
              <w:widowControl/>
              <w:spacing w:line="240" w:lineRule="exact"/>
              <w:jc w:val="center"/>
              <w:rPr>
                <w:rFonts w:eastAsia="仿宋_GB2312"/>
                <w:color w:val="FF0000"/>
                <w:kern w:val="0"/>
                <w:szCs w:val="21"/>
              </w:rPr>
            </w:pPr>
          </w:p>
        </w:tc>
        <w:tc>
          <w:tcPr>
            <w:tcW w:w="2124" w:type="pct"/>
            <w:shd w:val="clear" w:color="auto" w:fill="auto"/>
            <w:tcMar>
              <w:top w:w="15" w:type="dxa"/>
              <w:left w:w="15" w:type="dxa"/>
              <w:bottom w:w="0" w:type="dxa"/>
              <w:right w:w="15" w:type="dxa"/>
            </w:tcMar>
            <w:vAlign w:val="center"/>
          </w:tcPr>
          <w:p w14:paraId="70EF4E79">
            <w:pPr>
              <w:keepNext w:val="0"/>
              <w:keepLines w:val="0"/>
              <w:widowControl/>
              <w:suppressLineNumbers w:val="0"/>
              <w:jc w:val="center"/>
              <w:textAlignment w:val="center"/>
              <w:rPr>
                <w:rFonts w:eastAsia="仿宋_GB2312"/>
                <w:color w:val="FF0000"/>
                <w:kern w:val="0"/>
                <w:szCs w:val="21"/>
              </w:rPr>
            </w:pPr>
            <w:r>
              <w:rPr>
                <w:rFonts w:hint="default" w:ascii="仿宋_GB2312" w:hAnsi="宋体" w:eastAsia="仿宋_GB2312" w:cs="仿宋_GB2312"/>
                <w:i w:val="0"/>
                <w:iCs w:val="0"/>
                <w:color w:val="000000"/>
                <w:kern w:val="0"/>
                <w:sz w:val="21"/>
                <w:szCs w:val="21"/>
                <w:u w:val="none"/>
                <w:lang w:val="en-US" w:eastAsia="zh-CN" w:bidi="ar"/>
              </w:rPr>
              <w:t>丁醇</w:t>
            </w:r>
          </w:p>
        </w:tc>
        <w:tc>
          <w:tcPr>
            <w:tcW w:w="1845" w:type="pct"/>
            <w:vAlign w:val="center"/>
          </w:tcPr>
          <w:p w14:paraId="67707FB2">
            <w:pPr>
              <w:keepNext w:val="0"/>
              <w:keepLines w:val="0"/>
              <w:widowControl/>
              <w:suppressLineNumbers w:val="0"/>
              <w:jc w:val="center"/>
              <w:textAlignment w:val="center"/>
              <w:rPr>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0.085</w:t>
            </w:r>
          </w:p>
        </w:tc>
      </w:tr>
      <w:tr w14:paraId="3FF82E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12" w:hRule="atLeast"/>
          <w:jc w:val="center"/>
        </w:trPr>
        <w:tc>
          <w:tcPr>
            <w:tcW w:w="1029" w:type="pct"/>
            <w:vMerge w:val="continue"/>
            <w:shd w:val="clear" w:color="auto" w:fill="auto"/>
            <w:vAlign w:val="center"/>
          </w:tcPr>
          <w:p w14:paraId="3F34C0D4">
            <w:pPr>
              <w:widowControl/>
              <w:spacing w:line="240" w:lineRule="exact"/>
              <w:jc w:val="center"/>
              <w:rPr>
                <w:rFonts w:eastAsia="仿宋_GB2312"/>
                <w:color w:val="FF0000"/>
                <w:kern w:val="0"/>
                <w:szCs w:val="21"/>
              </w:rPr>
            </w:pPr>
          </w:p>
        </w:tc>
        <w:tc>
          <w:tcPr>
            <w:tcW w:w="2124" w:type="pct"/>
            <w:shd w:val="clear" w:color="auto" w:fill="auto"/>
            <w:tcMar>
              <w:top w:w="15" w:type="dxa"/>
              <w:left w:w="15" w:type="dxa"/>
              <w:bottom w:w="0" w:type="dxa"/>
              <w:right w:w="15" w:type="dxa"/>
            </w:tcMar>
            <w:vAlign w:val="center"/>
          </w:tcPr>
          <w:p w14:paraId="44597C94">
            <w:pPr>
              <w:keepNext w:val="0"/>
              <w:keepLines w:val="0"/>
              <w:widowControl/>
              <w:suppressLineNumbers w:val="0"/>
              <w:jc w:val="center"/>
              <w:textAlignment w:val="center"/>
              <w:rPr>
                <w:rFonts w:eastAsia="仿宋_GB2312"/>
                <w:color w:val="FF0000"/>
                <w:kern w:val="0"/>
                <w:szCs w:val="21"/>
              </w:rPr>
            </w:pPr>
            <w:r>
              <w:rPr>
                <w:rFonts w:hint="default" w:ascii="仿宋_GB2312" w:hAnsi="宋体" w:eastAsia="仿宋_GB2312" w:cs="仿宋_GB2312"/>
                <w:i w:val="0"/>
                <w:iCs w:val="0"/>
                <w:color w:val="000000"/>
                <w:kern w:val="0"/>
                <w:sz w:val="21"/>
                <w:szCs w:val="21"/>
                <w:u w:val="none"/>
                <w:lang w:val="en-US" w:eastAsia="zh-CN" w:bidi="ar"/>
              </w:rPr>
              <w:t>辛醇</w:t>
            </w:r>
          </w:p>
        </w:tc>
        <w:tc>
          <w:tcPr>
            <w:tcW w:w="1845" w:type="pct"/>
            <w:vAlign w:val="center"/>
          </w:tcPr>
          <w:p w14:paraId="58F63CC6">
            <w:pPr>
              <w:keepNext w:val="0"/>
              <w:keepLines w:val="0"/>
              <w:widowControl/>
              <w:suppressLineNumbers w:val="0"/>
              <w:jc w:val="center"/>
              <w:textAlignment w:val="center"/>
              <w:rPr>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0.027</w:t>
            </w:r>
          </w:p>
        </w:tc>
      </w:tr>
      <w:tr w14:paraId="30C98A3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12" w:hRule="atLeast"/>
          <w:jc w:val="center"/>
        </w:trPr>
        <w:tc>
          <w:tcPr>
            <w:tcW w:w="1029" w:type="pct"/>
            <w:vMerge w:val="continue"/>
            <w:shd w:val="clear" w:color="auto" w:fill="auto"/>
            <w:vAlign w:val="center"/>
          </w:tcPr>
          <w:p w14:paraId="0CD6B18C">
            <w:pPr>
              <w:widowControl/>
              <w:spacing w:line="240" w:lineRule="exact"/>
              <w:jc w:val="center"/>
              <w:rPr>
                <w:rFonts w:eastAsia="仿宋_GB2312"/>
                <w:color w:val="FF0000"/>
                <w:kern w:val="0"/>
                <w:szCs w:val="21"/>
              </w:rPr>
            </w:pPr>
          </w:p>
        </w:tc>
        <w:tc>
          <w:tcPr>
            <w:tcW w:w="2124" w:type="pct"/>
            <w:shd w:val="clear" w:color="auto" w:fill="auto"/>
            <w:tcMar>
              <w:top w:w="15" w:type="dxa"/>
              <w:left w:w="15" w:type="dxa"/>
              <w:bottom w:w="0" w:type="dxa"/>
              <w:right w:w="15" w:type="dxa"/>
            </w:tcMar>
            <w:vAlign w:val="center"/>
          </w:tcPr>
          <w:p w14:paraId="34EA5489">
            <w:pPr>
              <w:keepNext w:val="0"/>
              <w:keepLines w:val="0"/>
              <w:widowControl/>
              <w:suppressLineNumbers w:val="0"/>
              <w:jc w:val="center"/>
              <w:textAlignment w:val="center"/>
              <w:rPr>
                <w:rFonts w:eastAsia="仿宋_GB2312"/>
                <w:color w:val="FF0000"/>
                <w:kern w:val="0"/>
                <w:szCs w:val="21"/>
              </w:rPr>
            </w:pPr>
            <w:r>
              <w:rPr>
                <w:rFonts w:hint="default" w:ascii="仿宋_GB2312" w:hAnsi="宋体" w:eastAsia="仿宋_GB2312" w:cs="仿宋_GB2312"/>
                <w:i w:val="0"/>
                <w:iCs w:val="0"/>
                <w:color w:val="000000"/>
                <w:kern w:val="0"/>
                <w:sz w:val="21"/>
                <w:szCs w:val="21"/>
                <w:u w:val="none"/>
                <w:lang w:val="en-US" w:eastAsia="zh-CN" w:bidi="ar"/>
              </w:rPr>
              <w:t>碳九</w:t>
            </w:r>
          </w:p>
        </w:tc>
        <w:tc>
          <w:tcPr>
            <w:tcW w:w="1845" w:type="pct"/>
            <w:vAlign w:val="center"/>
          </w:tcPr>
          <w:p w14:paraId="51330D83">
            <w:pPr>
              <w:keepNext w:val="0"/>
              <w:keepLines w:val="0"/>
              <w:widowControl/>
              <w:suppressLineNumbers w:val="0"/>
              <w:jc w:val="center"/>
              <w:textAlignment w:val="center"/>
              <w:rPr>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0.051</w:t>
            </w:r>
          </w:p>
        </w:tc>
      </w:tr>
      <w:tr w14:paraId="261CC7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12" w:hRule="atLeast"/>
          <w:jc w:val="center"/>
        </w:trPr>
        <w:tc>
          <w:tcPr>
            <w:tcW w:w="1029" w:type="pct"/>
            <w:vMerge w:val="continue"/>
            <w:shd w:val="clear" w:color="auto" w:fill="auto"/>
            <w:vAlign w:val="center"/>
          </w:tcPr>
          <w:p w14:paraId="4AE381C6">
            <w:pPr>
              <w:widowControl/>
              <w:spacing w:line="240" w:lineRule="exact"/>
              <w:jc w:val="center"/>
              <w:rPr>
                <w:rFonts w:eastAsia="仿宋_GB2312"/>
                <w:color w:val="FF0000"/>
                <w:kern w:val="0"/>
                <w:szCs w:val="21"/>
              </w:rPr>
            </w:pPr>
          </w:p>
        </w:tc>
        <w:tc>
          <w:tcPr>
            <w:tcW w:w="2124" w:type="pct"/>
            <w:shd w:val="clear" w:color="auto" w:fill="auto"/>
            <w:tcMar>
              <w:top w:w="15" w:type="dxa"/>
              <w:left w:w="15" w:type="dxa"/>
              <w:bottom w:w="0" w:type="dxa"/>
              <w:right w:w="15" w:type="dxa"/>
            </w:tcMar>
            <w:vAlign w:val="center"/>
          </w:tcPr>
          <w:p w14:paraId="027C3895">
            <w:pPr>
              <w:keepNext w:val="0"/>
              <w:keepLines w:val="0"/>
              <w:widowControl/>
              <w:suppressLineNumbers w:val="0"/>
              <w:jc w:val="center"/>
              <w:textAlignment w:val="center"/>
              <w:rPr>
                <w:rFonts w:eastAsia="仿宋_GB2312"/>
                <w:color w:val="FF0000"/>
                <w:kern w:val="0"/>
                <w:szCs w:val="21"/>
              </w:rPr>
            </w:pPr>
            <w:r>
              <w:rPr>
                <w:rFonts w:hint="default" w:ascii="仿宋_GB2312" w:hAnsi="宋体" w:eastAsia="仿宋_GB2312" w:cs="仿宋_GB2312"/>
                <w:i w:val="0"/>
                <w:iCs w:val="0"/>
                <w:color w:val="000000"/>
                <w:kern w:val="0"/>
                <w:sz w:val="21"/>
                <w:szCs w:val="21"/>
                <w:u w:val="none"/>
                <w:lang w:val="en-US" w:eastAsia="zh-CN" w:bidi="ar"/>
              </w:rPr>
              <w:t>苯乙烯</w:t>
            </w:r>
          </w:p>
        </w:tc>
        <w:tc>
          <w:tcPr>
            <w:tcW w:w="1845" w:type="pct"/>
            <w:vAlign w:val="center"/>
          </w:tcPr>
          <w:p w14:paraId="58E3CC96">
            <w:pPr>
              <w:keepNext w:val="0"/>
              <w:keepLines w:val="0"/>
              <w:widowControl/>
              <w:suppressLineNumbers w:val="0"/>
              <w:jc w:val="center"/>
              <w:textAlignment w:val="center"/>
              <w:rPr>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0.01</w:t>
            </w:r>
          </w:p>
        </w:tc>
      </w:tr>
      <w:tr w14:paraId="4683FD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12" w:hRule="atLeast"/>
          <w:jc w:val="center"/>
        </w:trPr>
        <w:tc>
          <w:tcPr>
            <w:tcW w:w="1029" w:type="pct"/>
            <w:vMerge w:val="continue"/>
            <w:shd w:val="clear" w:color="auto" w:fill="auto"/>
            <w:vAlign w:val="center"/>
          </w:tcPr>
          <w:p w14:paraId="6FE78640">
            <w:pPr>
              <w:widowControl/>
              <w:spacing w:line="240" w:lineRule="exact"/>
              <w:jc w:val="center"/>
              <w:rPr>
                <w:rFonts w:eastAsia="仿宋_GB2312"/>
                <w:color w:val="FF0000"/>
                <w:kern w:val="0"/>
                <w:szCs w:val="21"/>
              </w:rPr>
            </w:pPr>
          </w:p>
        </w:tc>
        <w:tc>
          <w:tcPr>
            <w:tcW w:w="2124" w:type="pct"/>
            <w:shd w:val="clear" w:color="auto" w:fill="auto"/>
            <w:tcMar>
              <w:top w:w="15" w:type="dxa"/>
              <w:left w:w="15" w:type="dxa"/>
              <w:bottom w:w="0" w:type="dxa"/>
              <w:right w:w="15" w:type="dxa"/>
            </w:tcMar>
            <w:vAlign w:val="center"/>
          </w:tcPr>
          <w:p w14:paraId="5158DD0F">
            <w:pPr>
              <w:keepNext w:val="0"/>
              <w:keepLines w:val="0"/>
              <w:widowControl/>
              <w:suppressLineNumbers w:val="0"/>
              <w:jc w:val="center"/>
              <w:textAlignment w:val="center"/>
              <w:rPr>
                <w:rFonts w:eastAsia="仿宋_GB2312"/>
                <w:color w:val="FF0000"/>
                <w:kern w:val="0"/>
                <w:szCs w:val="21"/>
              </w:rPr>
            </w:pPr>
            <w:r>
              <w:rPr>
                <w:rFonts w:hint="default" w:ascii="仿宋_GB2312" w:hAnsi="宋体" w:eastAsia="仿宋_GB2312" w:cs="仿宋_GB2312"/>
                <w:i w:val="0"/>
                <w:iCs w:val="0"/>
                <w:color w:val="000000"/>
                <w:kern w:val="0"/>
                <w:sz w:val="21"/>
                <w:szCs w:val="21"/>
                <w:u w:val="none"/>
                <w:lang w:val="en-US" w:eastAsia="zh-CN" w:bidi="ar"/>
              </w:rPr>
              <w:t>二乙二醇</w:t>
            </w:r>
          </w:p>
        </w:tc>
        <w:tc>
          <w:tcPr>
            <w:tcW w:w="1845" w:type="pct"/>
            <w:vAlign w:val="center"/>
          </w:tcPr>
          <w:p w14:paraId="2608B6CB">
            <w:pPr>
              <w:keepNext w:val="0"/>
              <w:keepLines w:val="0"/>
              <w:widowControl/>
              <w:suppressLineNumbers w:val="0"/>
              <w:jc w:val="center"/>
              <w:textAlignment w:val="center"/>
              <w:rPr>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0.01</w:t>
            </w:r>
          </w:p>
        </w:tc>
      </w:tr>
      <w:tr w14:paraId="325B84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12" w:hRule="atLeast"/>
          <w:jc w:val="center"/>
        </w:trPr>
        <w:tc>
          <w:tcPr>
            <w:tcW w:w="1029" w:type="pct"/>
            <w:vMerge w:val="continue"/>
            <w:shd w:val="clear" w:color="auto" w:fill="auto"/>
            <w:vAlign w:val="center"/>
          </w:tcPr>
          <w:p w14:paraId="0B84D6F6">
            <w:pPr>
              <w:widowControl/>
              <w:spacing w:line="240" w:lineRule="exact"/>
              <w:jc w:val="center"/>
              <w:rPr>
                <w:rFonts w:eastAsia="仿宋_GB2312"/>
                <w:color w:val="FF0000"/>
                <w:kern w:val="0"/>
                <w:szCs w:val="21"/>
              </w:rPr>
            </w:pPr>
          </w:p>
        </w:tc>
        <w:tc>
          <w:tcPr>
            <w:tcW w:w="2124" w:type="pct"/>
            <w:shd w:val="clear" w:color="auto" w:fill="auto"/>
            <w:tcMar>
              <w:top w:w="15" w:type="dxa"/>
              <w:left w:w="15" w:type="dxa"/>
              <w:bottom w:w="0" w:type="dxa"/>
              <w:right w:w="15" w:type="dxa"/>
            </w:tcMar>
            <w:vAlign w:val="center"/>
          </w:tcPr>
          <w:p w14:paraId="6201549C">
            <w:pPr>
              <w:keepNext w:val="0"/>
              <w:keepLines w:val="0"/>
              <w:widowControl/>
              <w:suppressLineNumbers w:val="0"/>
              <w:jc w:val="center"/>
              <w:textAlignment w:val="center"/>
              <w:rPr>
                <w:rFonts w:eastAsia="仿宋_GB2312"/>
                <w:color w:val="FF0000"/>
                <w:kern w:val="0"/>
                <w:szCs w:val="21"/>
              </w:rPr>
            </w:pPr>
            <w:r>
              <w:rPr>
                <w:rFonts w:hint="default" w:ascii="仿宋_GB2312" w:hAnsi="宋体" w:eastAsia="仿宋_GB2312" w:cs="仿宋_GB2312"/>
                <w:i w:val="0"/>
                <w:iCs w:val="0"/>
                <w:color w:val="000000"/>
                <w:kern w:val="0"/>
                <w:sz w:val="21"/>
                <w:szCs w:val="21"/>
                <w:u w:val="none"/>
                <w:lang w:val="en-US" w:eastAsia="zh-CN" w:bidi="ar"/>
              </w:rPr>
              <w:t>四氢呋喃</w:t>
            </w:r>
          </w:p>
        </w:tc>
        <w:tc>
          <w:tcPr>
            <w:tcW w:w="1845" w:type="pct"/>
            <w:vAlign w:val="center"/>
          </w:tcPr>
          <w:p w14:paraId="7E002641">
            <w:pPr>
              <w:keepNext w:val="0"/>
              <w:keepLines w:val="0"/>
              <w:widowControl/>
              <w:suppressLineNumbers w:val="0"/>
              <w:jc w:val="center"/>
              <w:textAlignment w:val="center"/>
              <w:rPr>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0.07</w:t>
            </w:r>
          </w:p>
        </w:tc>
      </w:tr>
      <w:tr w14:paraId="586DF0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12" w:hRule="atLeast"/>
          <w:jc w:val="center"/>
        </w:trPr>
        <w:tc>
          <w:tcPr>
            <w:tcW w:w="1029" w:type="pct"/>
            <w:vMerge w:val="continue"/>
            <w:shd w:val="clear" w:color="auto" w:fill="auto"/>
            <w:vAlign w:val="center"/>
          </w:tcPr>
          <w:p w14:paraId="5DC98235">
            <w:pPr>
              <w:widowControl/>
              <w:spacing w:line="240" w:lineRule="exact"/>
              <w:jc w:val="center"/>
              <w:rPr>
                <w:rFonts w:eastAsia="仿宋_GB2312"/>
                <w:color w:val="FF0000"/>
                <w:kern w:val="0"/>
                <w:szCs w:val="21"/>
              </w:rPr>
            </w:pPr>
          </w:p>
        </w:tc>
        <w:tc>
          <w:tcPr>
            <w:tcW w:w="2124" w:type="pct"/>
            <w:shd w:val="clear" w:color="auto" w:fill="auto"/>
            <w:tcMar>
              <w:top w:w="15" w:type="dxa"/>
              <w:left w:w="15" w:type="dxa"/>
              <w:bottom w:w="0" w:type="dxa"/>
              <w:right w:w="15" w:type="dxa"/>
            </w:tcMar>
            <w:vAlign w:val="center"/>
          </w:tcPr>
          <w:p w14:paraId="08E7645E">
            <w:pPr>
              <w:keepNext w:val="0"/>
              <w:keepLines w:val="0"/>
              <w:widowControl/>
              <w:suppressLineNumbers w:val="0"/>
              <w:jc w:val="center"/>
              <w:textAlignment w:val="center"/>
              <w:rPr>
                <w:rFonts w:eastAsia="仿宋_GB2312"/>
                <w:color w:val="FF0000"/>
                <w:kern w:val="0"/>
                <w:szCs w:val="21"/>
              </w:rPr>
            </w:pPr>
            <w:r>
              <w:rPr>
                <w:rFonts w:hint="default" w:ascii="仿宋_GB2312" w:hAnsi="宋体" w:eastAsia="仿宋_GB2312" w:cs="仿宋_GB2312"/>
                <w:i w:val="0"/>
                <w:iCs w:val="0"/>
                <w:color w:val="000000"/>
                <w:kern w:val="0"/>
                <w:sz w:val="21"/>
                <w:szCs w:val="21"/>
                <w:u w:val="none"/>
                <w:lang w:val="en-US" w:eastAsia="zh-CN" w:bidi="ar"/>
              </w:rPr>
              <w:t>甲醇</w:t>
            </w:r>
          </w:p>
        </w:tc>
        <w:tc>
          <w:tcPr>
            <w:tcW w:w="1845" w:type="pct"/>
            <w:vAlign w:val="center"/>
          </w:tcPr>
          <w:p w14:paraId="3081E7C2">
            <w:pPr>
              <w:keepNext w:val="0"/>
              <w:keepLines w:val="0"/>
              <w:widowControl/>
              <w:suppressLineNumbers w:val="0"/>
              <w:jc w:val="center"/>
              <w:textAlignment w:val="center"/>
              <w:rPr>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0.184</w:t>
            </w:r>
          </w:p>
        </w:tc>
      </w:tr>
      <w:tr w14:paraId="63EF16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12" w:hRule="atLeast"/>
          <w:jc w:val="center"/>
        </w:trPr>
        <w:tc>
          <w:tcPr>
            <w:tcW w:w="1029" w:type="pct"/>
            <w:vMerge w:val="continue"/>
            <w:shd w:val="clear" w:color="auto" w:fill="auto"/>
            <w:vAlign w:val="center"/>
          </w:tcPr>
          <w:p w14:paraId="7C672025">
            <w:pPr>
              <w:widowControl/>
              <w:spacing w:line="240" w:lineRule="exact"/>
              <w:jc w:val="center"/>
              <w:rPr>
                <w:rFonts w:eastAsia="仿宋_GB2312"/>
                <w:color w:val="FF0000"/>
                <w:kern w:val="0"/>
                <w:szCs w:val="21"/>
              </w:rPr>
            </w:pPr>
          </w:p>
        </w:tc>
        <w:tc>
          <w:tcPr>
            <w:tcW w:w="2124" w:type="pct"/>
            <w:shd w:val="clear" w:color="auto" w:fill="auto"/>
            <w:tcMar>
              <w:top w:w="15" w:type="dxa"/>
              <w:left w:w="15" w:type="dxa"/>
              <w:bottom w:w="0" w:type="dxa"/>
              <w:right w:w="15" w:type="dxa"/>
            </w:tcMar>
            <w:vAlign w:val="center"/>
          </w:tcPr>
          <w:p w14:paraId="7CC29363">
            <w:pPr>
              <w:keepNext w:val="0"/>
              <w:keepLines w:val="0"/>
              <w:widowControl/>
              <w:suppressLineNumbers w:val="0"/>
              <w:jc w:val="center"/>
              <w:textAlignment w:val="center"/>
              <w:rPr>
                <w:rFonts w:eastAsia="仿宋_GB2312"/>
                <w:color w:val="FF0000"/>
                <w:kern w:val="0"/>
                <w:szCs w:val="21"/>
              </w:rPr>
            </w:pPr>
            <w:r>
              <w:rPr>
                <w:rFonts w:hint="default" w:ascii="仿宋_GB2312" w:hAnsi="宋体" w:eastAsia="仿宋_GB2312" w:cs="仿宋_GB2312"/>
                <w:i w:val="0"/>
                <w:iCs w:val="0"/>
                <w:color w:val="000000"/>
                <w:kern w:val="0"/>
                <w:sz w:val="21"/>
                <w:szCs w:val="21"/>
                <w:u w:val="none"/>
                <w:lang w:val="en-US" w:eastAsia="zh-CN" w:bidi="ar"/>
              </w:rPr>
              <w:t>乙腈</w:t>
            </w:r>
          </w:p>
        </w:tc>
        <w:tc>
          <w:tcPr>
            <w:tcW w:w="1845" w:type="pct"/>
            <w:vAlign w:val="center"/>
          </w:tcPr>
          <w:p w14:paraId="7833E76E">
            <w:pPr>
              <w:keepNext w:val="0"/>
              <w:keepLines w:val="0"/>
              <w:widowControl/>
              <w:suppressLineNumbers w:val="0"/>
              <w:jc w:val="center"/>
              <w:textAlignment w:val="center"/>
              <w:rPr>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0.035</w:t>
            </w:r>
          </w:p>
        </w:tc>
      </w:tr>
      <w:tr w14:paraId="2C7CF4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12" w:hRule="atLeast"/>
          <w:jc w:val="center"/>
        </w:trPr>
        <w:tc>
          <w:tcPr>
            <w:tcW w:w="1029" w:type="pct"/>
            <w:vMerge w:val="continue"/>
            <w:shd w:val="clear" w:color="auto" w:fill="auto"/>
            <w:vAlign w:val="center"/>
          </w:tcPr>
          <w:p w14:paraId="3AD0A945">
            <w:pPr>
              <w:widowControl/>
              <w:spacing w:line="240" w:lineRule="exact"/>
              <w:jc w:val="center"/>
              <w:rPr>
                <w:rFonts w:eastAsia="仿宋_GB2312"/>
                <w:color w:val="FF0000"/>
                <w:kern w:val="0"/>
                <w:szCs w:val="21"/>
              </w:rPr>
            </w:pPr>
          </w:p>
        </w:tc>
        <w:tc>
          <w:tcPr>
            <w:tcW w:w="2124" w:type="pct"/>
            <w:shd w:val="clear" w:color="auto" w:fill="auto"/>
            <w:tcMar>
              <w:top w:w="15" w:type="dxa"/>
              <w:left w:w="15" w:type="dxa"/>
              <w:bottom w:w="0" w:type="dxa"/>
              <w:right w:w="15" w:type="dxa"/>
            </w:tcMar>
            <w:vAlign w:val="center"/>
          </w:tcPr>
          <w:p w14:paraId="579CEDEA">
            <w:pPr>
              <w:keepNext w:val="0"/>
              <w:keepLines w:val="0"/>
              <w:widowControl/>
              <w:suppressLineNumbers w:val="0"/>
              <w:jc w:val="center"/>
              <w:textAlignment w:val="center"/>
              <w:rPr>
                <w:rFonts w:eastAsia="仿宋_GB2312"/>
                <w:color w:val="FF0000"/>
                <w:kern w:val="0"/>
                <w:szCs w:val="21"/>
              </w:rPr>
            </w:pPr>
            <w:r>
              <w:rPr>
                <w:rFonts w:hint="default" w:ascii="仿宋_GB2312" w:hAnsi="宋体" w:eastAsia="仿宋_GB2312" w:cs="仿宋_GB2312"/>
                <w:i w:val="0"/>
                <w:iCs w:val="0"/>
                <w:color w:val="000000"/>
                <w:kern w:val="0"/>
                <w:sz w:val="21"/>
                <w:szCs w:val="21"/>
                <w:u w:val="none"/>
                <w:lang w:val="en-US" w:eastAsia="zh-CN" w:bidi="ar"/>
              </w:rPr>
              <w:t>丙二醇单甲醚</w:t>
            </w:r>
          </w:p>
        </w:tc>
        <w:tc>
          <w:tcPr>
            <w:tcW w:w="1845" w:type="pct"/>
            <w:vAlign w:val="center"/>
          </w:tcPr>
          <w:p w14:paraId="086FA047">
            <w:pPr>
              <w:keepNext w:val="0"/>
              <w:keepLines w:val="0"/>
              <w:widowControl/>
              <w:suppressLineNumbers w:val="0"/>
              <w:jc w:val="center"/>
              <w:textAlignment w:val="center"/>
              <w:rPr>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0.051</w:t>
            </w:r>
          </w:p>
        </w:tc>
      </w:tr>
      <w:tr w14:paraId="027520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12" w:hRule="atLeast"/>
          <w:jc w:val="center"/>
        </w:trPr>
        <w:tc>
          <w:tcPr>
            <w:tcW w:w="1029" w:type="pct"/>
            <w:vMerge w:val="continue"/>
            <w:shd w:val="clear" w:color="auto" w:fill="auto"/>
            <w:vAlign w:val="center"/>
          </w:tcPr>
          <w:p w14:paraId="1C86EB34">
            <w:pPr>
              <w:widowControl/>
              <w:spacing w:line="240" w:lineRule="exact"/>
              <w:jc w:val="center"/>
              <w:rPr>
                <w:rFonts w:eastAsia="仿宋_GB2312"/>
                <w:color w:val="FF0000"/>
                <w:kern w:val="0"/>
                <w:szCs w:val="21"/>
              </w:rPr>
            </w:pPr>
          </w:p>
        </w:tc>
        <w:tc>
          <w:tcPr>
            <w:tcW w:w="2124" w:type="pct"/>
            <w:shd w:val="clear" w:color="auto" w:fill="auto"/>
            <w:tcMar>
              <w:top w:w="15" w:type="dxa"/>
              <w:left w:w="15" w:type="dxa"/>
              <w:bottom w:w="0" w:type="dxa"/>
              <w:right w:w="15" w:type="dxa"/>
            </w:tcMar>
            <w:vAlign w:val="center"/>
          </w:tcPr>
          <w:p w14:paraId="58B40D95">
            <w:pPr>
              <w:keepNext w:val="0"/>
              <w:keepLines w:val="0"/>
              <w:widowControl/>
              <w:suppressLineNumbers w:val="0"/>
              <w:jc w:val="center"/>
              <w:textAlignment w:val="center"/>
              <w:rPr>
                <w:rFonts w:eastAsia="仿宋_GB2312"/>
                <w:color w:val="FF0000"/>
                <w:kern w:val="0"/>
                <w:szCs w:val="21"/>
              </w:rPr>
            </w:pPr>
            <w:r>
              <w:rPr>
                <w:rFonts w:hint="default" w:ascii="仿宋_GB2312" w:hAnsi="宋体" w:eastAsia="仿宋_GB2312" w:cs="仿宋_GB2312"/>
                <w:i w:val="0"/>
                <w:iCs w:val="0"/>
                <w:color w:val="000000"/>
                <w:kern w:val="0"/>
                <w:sz w:val="21"/>
                <w:szCs w:val="21"/>
                <w:u w:val="none"/>
                <w:lang w:val="en-US" w:eastAsia="zh-CN" w:bidi="ar"/>
              </w:rPr>
              <w:t>环戊酮</w:t>
            </w:r>
          </w:p>
        </w:tc>
        <w:tc>
          <w:tcPr>
            <w:tcW w:w="1845" w:type="pct"/>
            <w:vAlign w:val="center"/>
          </w:tcPr>
          <w:p w14:paraId="03DB887F">
            <w:pPr>
              <w:keepNext w:val="0"/>
              <w:keepLines w:val="0"/>
              <w:widowControl/>
              <w:suppressLineNumbers w:val="0"/>
              <w:jc w:val="center"/>
              <w:textAlignment w:val="center"/>
              <w:rPr>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0.028</w:t>
            </w:r>
          </w:p>
        </w:tc>
      </w:tr>
      <w:tr w14:paraId="20BCE57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12" w:hRule="atLeast"/>
          <w:jc w:val="center"/>
        </w:trPr>
        <w:tc>
          <w:tcPr>
            <w:tcW w:w="1029" w:type="pct"/>
            <w:vMerge w:val="continue"/>
            <w:shd w:val="clear" w:color="auto" w:fill="auto"/>
            <w:vAlign w:val="center"/>
          </w:tcPr>
          <w:p w14:paraId="3497FA69">
            <w:pPr>
              <w:widowControl/>
              <w:spacing w:line="240" w:lineRule="exact"/>
              <w:jc w:val="center"/>
              <w:rPr>
                <w:rFonts w:eastAsia="仿宋_GB2312"/>
                <w:color w:val="FF0000"/>
                <w:kern w:val="0"/>
                <w:szCs w:val="21"/>
              </w:rPr>
            </w:pPr>
          </w:p>
        </w:tc>
        <w:tc>
          <w:tcPr>
            <w:tcW w:w="2124" w:type="pct"/>
            <w:shd w:val="clear" w:color="auto" w:fill="auto"/>
            <w:tcMar>
              <w:top w:w="15" w:type="dxa"/>
              <w:left w:w="15" w:type="dxa"/>
              <w:bottom w:w="0" w:type="dxa"/>
              <w:right w:w="15" w:type="dxa"/>
            </w:tcMar>
            <w:vAlign w:val="center"/>
          </w:tcPr>
          <w:p w14:paraId="761C4947">
            <w:pPr>
              <w:keepNext w:val="0"/>
              <w:keepLines w:val="0"/>
              <w:widowControl/>
              <w:suppressLineNumbers w:val="0"/>
              <w:jc w:val="center"/>
              <w:textAlignment w:val="center"/>
              <w:rPr>
                <w:rFonts w:eastAsia="仿宋_GB2312"/>
                <w:color w:val="FF0000"/>
                <w:kern w:val="0"/>
                <w:szCs w:val="21"/>
              </w:rPr>
            </w:pPr>
            <w:r>
              <w:rPr>
                <w:rFonts w:hint="default" w:ascii="仿宋_GB2312" w:hAnsi="宋体" w:eastAsia="仿宋_GB2312" w:cs="仿宋_GB2312"/>
                <w:i w:val="0"/>
                <w:iCs w:val="0"/>
                <w:color w:val="000000"/>
                <w:kern w:val="0"/>
                <w:sz w:val="21"/>
                <w:szCs w:val="21"/>
                <w:u w:val="none"/>
                <w:lang w:val="en-US" w:eastAsia="zh-CN" w:bidi="ar"/>
              </w:rPr>
              <w:t>乙酸甲酯</w:t>
            </w:r>
          </w:p>
        </w:tc>
        <w:tc>
          <w:tcPr>
            <w:tcW w:w="1845" w:type="pct"/>
            <w:vAlign w:val="center"/>
          </w:tcPr>
          <w:p w14:paraId="10F66CD2">
            <w:pPr>
              <w:keepNext w:val="0"/>
              <w:keepLines w:val="0"/>
              <w:widowControl/>
              <w:suppressLineNumbers w:val="0"/>
              <w:jc w:val="center"/>
              <w:textAlignment w:val="center"/>
              <w:rPr>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0.026</w:t>
            </w:r>
          </w:p>
        </w:tc>
      </w:tr>
      <w:tr w14:paraId="0CE57E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12" w:hRule="atLeast"/>
          <w:jc w:val="center"/>
        </w:trPr>
        <w:tc>
          <w:tcPr>
            <w:tcW w:w="1029" w:type="pct"/>
            <w:vMerge w:val="continue"/>
            <w:shd w:val="clear" w:color="auto" w:fill="auto"/>
            <w:vAlign w:val="center"/>
          </w:tcPr>
          <w:p w14:paraId="3BB940E4">
            <w:pPr>
              <w:widowControl/>
              <w:spacing w:line="240" w:lineRule="exact"/>
              <w:jc w:val="center"/>
              <w:rPr>
                <w:rFonts w:eastAsia="仿宋_GB2312"/>
                <w:color w:val="FF0000"/>
                <w:kern w:val="0"/>
                <w:szCs w:val="21"/>
              </w:rPr>
            </w:pPr>
          </w:p>
        </w:tc>
        <w:tc>
          <w:tcPr>
            <w:tcW w:w="2124" w:type="pct"/>
            <w:shd w:val="clear" w:color="auto" w:fill="auto"/>
            <w:tcMar>
              <w:top w:w="15" w:type="dxa"/>
              <w:left w:w="15" w:type="dxa"/>
              <w:bottom w:w="0" w:type="dxa"/>
              <w:right w:w="15" w:type="dxa"/>
            </w:tcMar>
            <w:vAlign w:val="center"/>
          </w:tcPr>
          <w:p w14:paraId="1C143F37">
            <w:pPr>
              <w:keepNext w:val="0"/>
              <w:keepLines w:val="0"/>
              <w:widowControl/>
              <w:suppressLineNumbers w:val="0"/>
              <w:jc w:val="center"/>
              <w:textAlignment w:val="center"/>
              <w:rPr>
                <w:rFonts w:eastAsia="仿宋_GB2312"/>
                <w:color w:val="FF0000"/>
                <w:kern w:val="0"/>
                <w:szCs w:val="21"/>
              </w:rPr>
            </w:pPr>
            <w:r>
              <w:rPr>
                <w:rFonts w:hint="default" w:ascii="仿宋_GB2312" w:hAnsi="宋体" w:eastAsia="仿宋_GB2312" w:cs="仿宋_GB2312"/>
                <w:i w:val="0"/>
                <w:iCs w:val="0"/>
                <w:color w:val="000000"/>
                <w:kern w:val="0"/>
                <w:sz w:val="21"/>
                <w:szCs w:val="21"/>
                <w:u w:val="none"/>
                <w:lang w:val="en-US" w:eastAsia="zh-CN" w:bidi="ar"/>
              </w:rPr>
              <w:t>非甲烷总烃</w:t>
            </w:r>
          </w:p>
        </w:tc>
        <w:tc>
          <w:tcPr>
            <w:tcW w:w="1845" w:type="pct"/>
            <w:vAlign w:val="center"/>
          </w:tcPr>
          <w:p w14:paraId="4FC9D461">
            <w:pPr>
              <w:keepNext w:val="0"/>
              <w:keepLines w:val="0"/>
              <w:widowControl/>
              <w:suppressLineNumbers w:val="0"/>
              <w:jc w:val="center"/>
              <w:textAlignment w:val="center"/>
              <w:rPr>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0.928</w:t>
            </w:r>
          </w:p>
        </w:tc>
      </w:tr>
      <w:tr w14:paraId="475B4E6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12" w:hRule="atLeast"/>
          <w:jc w:val="center"/>
        </w:trPr>
        <w:tc>
          <w:tcPr>
            <w:tcW w:w="1029" w:type="pct"/>
            <w:vMerge w:val="continue"/>
            <w:shd w:val="clear" w:color="auto" w:fill="auto"/>
            <w:vAlign w:val="center"/>
          </w:tcPr>
          <w:p w14:paraId="5B2B53D8">
            <w:pPr>
              <w:widowControl/>
              <w:spacing w:line="240" w:lineRule="exact"/>
              <w:jc w:val="center"/>
              <w:rPr>
                <w:rFonts w:eastAsia="仿宋_GB2312"/>
                <w:color w:val="FF0000"/>
                <w:kern w:val="0"/>
                <w:szCs w:val="21"/>
              </w:rPr>
            </w:pPr>
          </w:p>
        </w:tc>
        <w:tc>
          <w:tcPr>
            <w:tcW w:w="2124" w:type="pct"/>
            <w:shd w:val="clear" w:color="auto" w:fill="auto"/>
            <w:tcMar>
              <w:top w:w="15" w:type="dxa"/>
              <w:left w:w="15" w:type="dxa"/>
              <w:bottom w:w="0" w:type="dxa"/>
              <w:right w:w="15" w:type="dxa"/>
            </w:tcMar>
            <w:vAlign w:val="center"/>
          </w:tcPr>
          <w:p w14:paraId="283C79AF">
            <w:pPr>
              <w:keepNext w:val="0"/>
              <w:keepLines w:val="0"/>
              <w:widowControl/>
              <w:suppressLineNumbers w:val="0"/>
              <w:jc w:val="center"/>
              <w:textAlignment w:val="center"/>
              <w:rPr>
                <w:rFonts w:eastAsia="仿宋_GB2312"/>
                <w:color w:val="FF0000"/>
                <w:kern w:val="0"/>
                <w:szCs w:val="21"/>
              </w:rPr>
            </w:pPr>
            <w:r>
              <w:rPr>
                <w:rFonts w:hint="default" w:ascii="Times New Roman" w:hAnsi="Times New Roman" w:eastAsia="宋体" w:cs="Times New Roman"/>
                <w:i w:val="0"/>
                <w:iCs w:val="0"/>
                <w:color w:val="000000"/>
                <w:kern w:val="0"/>
                <w:sz w:val="21"/>
                <w:szCs w:val="21"/>
                <w:u w:val="none"/>
                <w:lang w:val="en-US" w:eastAsia="zh-CN" w:bidi="ar"/>
              </w:rPr>
              <w:t>VOCs</w:t>
            </w:r>
          </w:p>
        </w:tc>
        <w:tc>
          <w:tcPr>
            <w:tcW w:w="1845" w:type="pct"/>
            <w:vAlign w:val="center"/>
          </w:tcPr>
          <w:p w14:paraId="3314FDD9">
            <w:pPr>
              <w:keepNext w:val="0"/>
              <w:keepLines w:val="0"/>
              <w:widowControl/>
              <w:suppressLineNumbers w:val="0"/>
              <w:jc w:val="center"/>
              <w:textAlignment w:val="center"/>
              <w:rPr>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1.785</w:t>
            </w:r>
          </w:p>
        </w:tc>
      </w:tr>
    </w:tbl>
    <w:p w14:paraId="0A2D04E9">
      <w:pPr>
        <w:widowControl/>
        <w:spacing w:line="500" w:lineRule="exact"/>
        <w:ind w:firstLine="703" w:firstLineChars="250"/>
        <w:jc w:val="left"/>
        <w:rPr>
          <w:rFonts w:eastAsia="仿宋_GB2312"/>
          <w:color w:val="auto"/>
          <w:sz w:val="28"/>
          <w:szCs w:val="28"/>
        </w:rPr>
      </w:pPr>
      <w:r>
        <w:rPr>
          <w:rFonts w:hint="default" w:eastAsia="仿宋_GB2312"/>
          <w:b/>
          <w:bCs/>
          <w:color w:val="auto"/>
          <w:sz w:val="28"/>
          <w:szCs w:val="28"/>
        </w:rPr>
        <w:t>②</w:t>
      </w:r>
      <w:r>
        <w:rPr>
          <w:rFonts w:eastAsia="仿宋_GB2312"/>
          <w:b/>
          <w:bCs/>
          <w:color w:val="auto"/>
          <w:sz w:val="28"/>
          <w:szCs w:val="28"/>
        </w:rPr>
        <w:t>废水削减排放量</w:t>
      </w:r>
      <w:r>
        <w:rPr>
          <w:rFonts w:eastAsia="仿宋_GB2312"/>
          <w:color w:val="auto"/>
          <w:sz w:val="28"/>
          <w:szCs w:val="28"/>
        </w:rPr>
        <w:t>（仅考虑工艺过程废水削减量）</w:t>
      </w:r>
    </w:p>
    <w:p w14:paraId="7C221FE7">
      <w:pPr>
        <w:widowControl/>
        <w:spacing w:line="500" w:lineRule="exact"/>
        <w:ind w:firstLine="700" w:firstLineChars="250"/>
        <w:jc w:val="left"/>
        <w:rPr>
          <w:rFonts w:hint="eastAsia" w:eastAsia="仿宋_GB2312"/>
          <w:color w:val="auto"/>
          <w:sz w:val="28"/>
          <w:szCs w:val="28"/>
          <w:lang w:eastAsia="zh-CN"/>
        </w:rPr>
      </w:pPr>
      <w:r>
        <w:rPr>
          <w:rFonts w:eastAsia="仿宋_GB2312"/>
          <w:color w:val="auto"/>
          <w:sz w:val="28"/>
          <w:szCs w:val="28"/>
        </w:rPr>
        <w:t>工艺过程产生的废水经厂区3#污水站处理后回用，废水</w:t>
      </w:r>
      <w:r>
        <w:rPr>
          <w:rFonts w:hint="eastAsia" w:eastAsia="仿宋_GB2312"/>
          <w:color w:val="auto"/>
          <w:sz w:val="28"/>
          <w:szCs w:val="28"/>
          <w:lang w:val="en-US" w:eastAsia="zh-CN"/>
        </w:rPr>
        <w:t>产生</w:t>
      </w:r>
      <w:r>
        <w:rPr>
          <w:rFonts w:eastAsia="仿宋_GB2312"/>
          <w:color w:val="auto"/>
          <w:sz w:val="28"/>
          <w:szCs w:val="28"/>
        </w:rPr>
        <w:t>量</w:t>
      </w:r>
      <w:r>
        <w:rPr>
          <w:rFonts w:hint="eastAsia" w:eastAsia="仿宋_GB2312"/>
          <w:color w:val="auto"/>
          <w:sz w:val="28"/>
          <w:szCs w:val="28"/>
          <w:lang w:val="en-US" w:eastAsia="zh-CN"/>
        </w:rPr>
        <w:t>削减情况如下</w:t>
      </w:r>
      <w:r>
        <w:rPr>
          <w:rFonts w:hint="eastAsia" w:eastAsia="仿宋_GB2312"/>
          <w:color w:val="auto"/>
          <w:sz w:val="28"/>
          <w:szCs w:val="28"/>
          <w:lang w:eastAsia="zh-CN"/>
        </w:rPr>
        <w:t>：</w:t>
      </w:r>
    </w:p>
    <w:p w14:paraId="10B5EE30">
      <w:pPr>
        <w:spacing w:line="500" w:lineRule="exact"/>
        <w:jc w:val="center"/>
        <w:rPr>
          <w:rFonts w:eastAsia="仿宋_GB2312"/>
          <w:b/>
          <w:color w:val="auto"/>
          <w:sz w:val="24"/>
        </w:rPr>
      </w:pPr>
      <w:r>
        <w:rPr>
          <w:rFonts w:eastAsia="仿宋_GB2312"/>
          <w:b/>
          <w:color w:val="auto"/>
          <w:sz w:val="24"/>
        </w:rPr>
        <w:t>表3.1-2</w:t>
      </w:r>
      <w:r>
        <w:rPr>
          <w:rFonts w:hint="eastAsia" w:eastAsia="仿宋_GB2312"/>
          <w:b/>
          <w:color w:val="auto"/>
          <w:sz w:val="24"/>
          <w:lang w:val="en-US" w:eastAsia="zh-CN"/>
        </w:rPr>
        <w:t>3</w:t>
      </w:r>
      <w:r>
        <w:rPr>
          <w:rFonts w:eastAsia="仿宋_GB2312"/>
          <w:b/>
          <w:color w:val="auto"/>
          <w:sz w:val="24"/>
        </w:rPr>
        <w:t xml:space="preserve">  废</w:t>
      </w:r>
      <w:r>
        <w:rPr>
          <w:rFonts w:hint="eastAsia" w:eastAsia="仿宋_GB2312"/>
          <w:b/>
          <w:color w:val="auto"/>
          <w:sz w:val="24"/>
          <w:lang w:val="en-US" w:eastAsia="zh-CN"/>
        </w:rPr>
        <w:t>水产生</w:t>
      </w:r>
      <w:r>
        <w:rPr>
          <w:rFonts w:eastAsia="仿宋_GB2312"/>
          <w:b/>
          <w:color w:val="auto"/>
          <w:sz w:val="24"/>
        </w:rPr>
        <w:t>量削减统计表</w:t>
      </w:r>
    </w:p>
    <w:tbl>
      <w:tblPr>
        <w:tblStyle w:val="88"/>
        <w:tblpPr w:leftFromText="180" w:rightFromText="180" w:vertAnchor="text" w:tblpXSpec="center" w:tblpY="1"/>
        <w:tblOverlap w:val="never"/>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068"/>
        <w:gridCol w:w="1218"/>
        <w:gridCol w:w="1646"/>
        <w:gridCol w:w="1796"/>
        <w:gridCol w:w="1487"/>
        <w:gridCol w:w="1308"/>
      </w:tblGrid>
      <w:tr w14:paraId="024F068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627" w:type="pct"/>
            <w:vMerge w:val="restart"/>
            <w:shd w:val="clear" w:color="auto" w:fill="auto"/>
            <w:vAlign w:val="center"/>
          </w:tcPr>
          <w:p w14:paraId="762BFCDD">
            <w:pPr>
              <w:snapToGrid w:val="0"/>
              <w:spacing w:line="320" w:lineRule="exact"/>
              <w:jc w:val="center"/>
              <w:rPr>
                <w:rFonts w:eastAsia="仿宋_GB2312"/>
                <w:b/>
                <w:szCs w:val="21"/>
              </w:rPr>
            </w:pPr>
            <w:r>
              <w:rPr>
                <w:rFonts w:eastAsia="仿宋_GB2312"/>
                <w:b/>
                <w:szCs w:val="21"/>
              </w:rPr>
              <w:t>废水来源</w:t>
            </w:r>
          </w:p>
        </w:tc>
        <w:tc>
          <w:tcPr>
            <w:tcW w:w="714" w:type="pct"/>
            <w:vMerge w:val="restart"/>
            <w:shd w:val="clear" w:color="auto" w:fill="auto"/>
            <w:vAlign w:val="center"/>
          </w:tcPr>
          <w:p w14:paraId="2248EE1C">
            <w:pPr>
              <w:snapToGrid w:val="0"/>
              <w:spacing w:line="320" w:lineRule="exact"/>
              <w:jc w:val="center"/>
              <w:rPr>
                <w:rFonts w:eastAsia="仿宋_GB2312"/>
                <w:b/>
                <w:szCs w:val="21"/>
              </w:rPr>
            </w:pPr>
            <w:r>
              <w:rPr>
                <w:rFonts w:eastAsia="仿宋_GB2312"/>
                <w:b/>
                <w:szCs w:val="21"/>
              </w:rPr>
              <w:t>废水量(m</w:t>
            </w:r>
            <w:r>
              <w:rPr>
                <w:rFonts w:eastAsia="仿宋_GB2312"/>
                <w:b/>
                <w:szCs w:val="21"/>
                <w:vertAlign w:val="superscript"/>
              </w:rPr>
              <w:t>3</w:t>
            </w:r>
            <w:r>
              <w:rPr>
                <w:rFonts w:eastAsia="仿宋_GB2312"/>
                <w:b/>
                <w:szCs w:val="21"/>
              </w:rPr>
              <w:t>/a)</w:t>
            </w:r>
          </w:p>
        </w:tc>
        <w:tc>
          <w:tcPr>
            <w:tcW w:w="2890" w:type="pct"/>
            <w:gridSpan w:val="3"/>
            <w:shd w:val="clear" w:color="auto" w:fill="auto"/>
            <w:vAlign w:val="center"/>
          </w:tcPr>
          <w:p w14:paraId="418EF654">
            <w:pPr>
              <w:snapToGrid w:val="0"/>
              <w:spacing w:line="320" w:lineRule="exact"/>
              <w:jc w:val="center"/>
              <w:rPr>
                <w:rFonts w:eastAsia="仿宋_GB2312"/>
                <w:b/>
                <w:szCs w:val="21"/>
              </w:rPr>
            </w:pPr>
            <w:r>
              <w:rPr>
                <w:rFonts w:eastAsia="仿宋_GB2312"/>
                <w:b/>
                <w:szCs w:val="21"/>
              </w:rPr>
              <w:t>污染物产生情况</w:t>
            </w:r>
          </w:p>
        </w:tc>
        <w:tc>
          <w:tcPr>
            <w:tcW w:w="767" w:type="pct"/>
            <w:vMerge w:val="restart"/>
            <w:shd w:val="clear" w:color="auto" w:fill="auto"/>
            <w:vAlign w:val="center"/>
          </w:tcPr>
          <w:p w14:paraId="18DFB2F9">
            <w:pPr>
              <w:snapToGrid w:val="0"/>
              <w:spacing w:line="320" w:lineRule="exact"/>
              <w:jc w:val="center"/>
              <w:rPr>
                <w:rFonts w:eastAsia="仿宋_GB2312"/>
                <w:b/>
                <w:szCs w:val="21"/>
              </w:rPr>
            </w:pPr>
            <w:r>
              <w:rPr>
                <w:rFonts w:eastAsia="仿宋_GB2312"/>
                <w:b/>
                <w:szCs w:val="21"/>
              </w:rPr>
              <w:t>治理方式计排放去向</w:t>
            </w:r>
          </w:p>
        </w:tc>
      </w:tr>
      <w:tr w14:paraId="470002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trPr>
        <w:tc>
          <w:tcPr>
            <w:tcW w:w="627" w:type="pct"/>
            <w:vMerge w:val="continue"/>
            <w:vAlign w:val="center"/>
          </w:tcPr>
          <w:p w14:paraId="4119B091">
            <w:pPr>
              <w:snapToGrid w:val="0"/>
              <w:spacing w:line="320" w:lineRule="exact"/>
              <w:jc w:val="center"/>
              <w:rPr>
                <w:rFonts w:eastAsia="仿宋_GB2312"/>
                <w:szCs w:val="21"/>
              </w:rPr>
            </w:pPr>
          </w:p>
        </w:tc>
        <w:tc>
          <w:tcPr>
            <w:tcW w:w="714" w:type="pct"/>
            <w:vMerge w:val="continue"/>
            <w:vAlign w:val="center"/>
          </w:tcPr>
          <w:p w14:paraId="550CE3D7">
            <w:pPr>
              <w:snapToGrid w:val="0"/>
              <w:spacing w:line="320" w:lineRule="exact"/>
              <w:jc w:val="center"/>
              <w:rPr>
                <w:rFonts w:eastAsia="仿宋_GB2312"/>
                <w:szCs w:val="21"/>
              </w:rPr>
            </w:pPr>
          </w:p>
        </w:tc>
        <w:tc>
          <w:tcPr>
            <w:tcW w:w="965" w:type="pct"/>
            <w:shd w:val="clear" w:color="auto" w:fill="auto"/>
            <w:vAlign w:val="center"/>
          </w:tcPr>
          <w:p w14:paraId="713F2A81">
            <w:pPr>
              <w:snapToGrid w:val="0"/>
              <w:spacing w:line="320" w:lineRule="exact"/>
              <w:jc w:val="center"/>
              <w:rPr>
                <w:rFonts w:eastAsia="仿宋_GB2312"/>
                <w:b/>
                <w:szCs w:val="21"/>
              </w:rPr>
            </w:pPr>
            <w:r>
              <w:rPr>
                <w:rFonts w:eastAsia="仿宋_GB2312"/>
                <w:b/>
                <w:szCs w:val="21"/>
              </w:rPr>
              <w:t>污染物名称</w:t>
            </w:r>
          </w:p>
        </w:tc>
        <w:tc>
          <w:tcPr>
            <w:tcW w:w="1053" w:type="pct"/>
            <w:shd w:val="clear" w:color="auto" w:fill="auto"/>
            <w:vAlign w:val="center"/>
          </w:tcPr>
          <w:p w14:paraId="1FD978DB">
            <w:pPr>
              <w:snapToGrid w:val="0"/>
              <w:spacing w:line="320" w:lineRule="exact"/>
              <w:jc w:val="center"/>
              <w:rPr>
                <w:rFonts w:eastAsia="仿宋_GB2312"/>
                <w:b/>
                <w:szCs w:val="21"/>
              </w:rPr>
            </w:pPr>
            <w:r>
              <w:rPr>
                <w:rFonts w:eastAsia="仿宋_GB2312"/>
                <w:b/>
                <w:szCs w:val="21"/>
              </w:rPr>
              <w:t>产生浓度(mg/L)</w:t>
            </w:r>
          </w:p>
        </w:tc>
        <w:tc>
          <w:tcPr>
            <w:tcW w:w="871" w:type="pct"/>
            <w:shd w:val="clear" w:color="auto" w:fill="auto"/>
            <w:vAlign w:val="center"/>
          </w:tcPr>
          <w:p w14:paraId="23396D67">
            <w:pPr>
              <w:snapToGrid w:val="0"/>
              <w:spacing w:line="320" w:lineRule="exact"/>
              <w:jc w:val="center"/>
              <w:rPr>
                <w:rFonts w:eastAsia="仿宋_GB2312"/>
                <w:b/>
                <w:szCs w:val="21"/>
              </w:rPr>
            </w:pPr>
            <w:r>
              <w:rPr>
                <w:rFonts w:eastAsia="仿宋_GB2312"/>
                <w:b/>
                <w:szCs w:val="21"/>
              </w:rPr>
              <w:t>产生量(t/a)</w:t>
            </w:r>
          </w:p>
        </w:tc>
        <w:tc>
          <w:tcPr>
            <w:tcW w:w="767" w:type="pct"/>
            <w:vMerge w:val="continue"/>
            <w:vAlign w:val="center"/>
          </w:tcPr>
          <w:p w14:paraId="4C91AB76">
            <w:pPr>
              <w:snapToGrid w:val="0"/>
              <w:spacing w:line="320" w:lineRule="exact"/>
              <w:jc w:val="center"/>
              <w:rPr>
                <w:rFonts w:eastAsia="仿宋_GB2312"/>
                <w:szCs w:val="21"/>
              </w:rPr>
            </w:pPr>
          </w:p>
        </w:tc>
      </w:tr>
      <w:tr w14:paraId="0AEB44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627" w:type="pct"/>
            <w:vMerge w:val="restart"/>
            <w:vAlign w:val="center"/>
          </w:tcPr>
          <w:p w14:paraId="6210C103">
            <w:pPr>
              <w:widowControl/>
              <w:spacing w:line="300" w:lineRule="exact"/>
              <w:jc w:val="center"/>
              <w:rPr>
                <w:rFonts w:eastAsia="仿宋_GB2312"/>
                <w:kern w:val="0"/>
                <w:szCs w:val="21"/>
              </w:rPr>
            </w:pPr>
            <w:r>
              <w:rPr>
                <w:rFonts w:eastAsia="仿宋_GB2312"/>
                <w:kern w:val="0"/>
                <w:szCs w:val="21"/>
              </w:rPr>
              <w:t>工艺废水汇总</w:t>
            </w:r>
          </w:p>
        </w:tc>
        <w:tc>
          <w:tcPr>
            <w:tcW w:w="714" w:type="pct"/>
            <w:vMerge w:val="restart"/>
            <w:vAlign w:val="center"/>
          </w:tcPr>
          <w:p w14:paraId="4A82F095">
            <w:pPr>
              <w:snapToGrid w:val="0"/>
              <w:spacing w:line="320" w:lineRule="exact"/>
              <w:jc w:val="center"/>
              <w:rPr>
                <w:rFonts w:hint="default" w:eastAsia="仿宋_GB2312"/>
                <w:kern w:val="0"/>
                <w:szCs w:val="21"/>
                <w:lang w:val="en-US" w:eastAsia="zh-CN"/>
              </w:rPr>
            </w:pPr>
            <w:r>
              <w:rPr>
                <w:rFonts w:hint="eastAsia" w:eastAsia="仿宋_GB2312"/>
                <w:kern w:val="0"/>
                <w:szCs w:val="21"/>
                <w:lang w:val="en-US" w:eastAsia="zh-CN"/>
              </w:rPr>
              <w:t>16448.19</w:t>
            </w:r>
          </w:p>
        </w:tc>
        <w:tc>
          <w:tcPr>
            <w:tcW w:w="965" w:type="pct"/>
            <w:vAlign w:val="center"/>
          </w:tcPr>
          <w:p w14:paraId="18E49136">
            <w:pPr>
              <w:snapToGrid w:val="0"/>
              <w:spacing w:line="320" w:lineRule="exact"/>
              <w:jc w:val="center"/>
              <w:rPr>
                <w:rFonts w:eastAsia="仿宋_GB2312"/>
                <w:szCs w:val="21"/>
              </w:rPr>
            </w:pPr>
            <w:r>
              <w:rPr>
                <w:rFonts w:eastAsia="仿宋_GB2312"/>
                <w:szCs w:val="21"/>
              </w:rPr>
              <w:t>COD</w:t>
            </w:r>
          </w:p>
        </w:tc>
        <w:tc>
          <w:tcPr>
            <w:tcW w:w="1053" w:type="pct"/>
            <w:vAlign w:val="center"/>
          </w:tcPr>
          <w:p w14:paraId="560A4B53">
            <w:pPr>
              <w:snapToGrid w:val="0"/>
              <w:spacing w:line="320" w:lineRule="exact"/>
              <w:jc w:val="center"/>
              <w:rPr>
                <w:rFonts w:eastAsia="仿宋_GB2312"/>
                <w:szCs w:val="21"/>
              </w:rPr>
            </w:pPr>
            <w:r>
              <w:rPr>
                <w:rFonts w:hint="eastAsia" w:eastAsia="仿宋_GB2312"/>
                <w:szCs w:val="21"/>
                <w:lang w:val="en-US" w:eastAsia="zh-CN"/>
              </w:rPr>
              <w:t>22794.7</w:t>
            </w:r>
          </w:p>
        </w:tc>
        <w:tc>
          <w:tcPr>
            <w:tcW w:w="871" w:type="pct"/>
            <w:vAlign w:val="center"/>
          </w:tcPr>
          <w:p w14:paraId="2EB7FD12">
            <w:pPr>
              <w:snapToGrid w:val="0"/>
              <w:spacing w:line="320" w:lineRule="exact"/>
              <w:jc w:val="center"/>
              <w:rPr>
                <w:rFonts w:eastAsia="仿宋_GB2312"/>
                <w:szCs w:val="21"/>
              </w:rPr>
            </w:pPr>
            <w:r>
              <w:rPr>
                <w:rFonts w:hint="eastAsia" w:eastAsia="仿宋_GB2312"/>
                <w:szCs w:val="21"/>
                <w:lang w:val="en-US" w:eastAsia="zh-CN"/>
              </w:rPr>
              <w:t>374.932</w:t>
            </w:r>
          </w:p>
        </w:tc>
        <w:tc>
          <w:tcPr>
            <w:tcW w:w="767" w:type="pct"/>
            <w:vMerge w:val="restart"/>
            <w:vAlign w:val="center"/>
          </w:tcPr>
          <w:p w14:paraId="4FC20841">
            <w:pPr>
              <w:snapToGrid w:val="0"/>
              <w:spacing w:line="320" w:lineRule="exact"/>
              <w:jc w:val="center"/>
              <w:rPr>
                <w:rFonts w:eastAsia="仿宋_GB2312"/>
                <w:szCs w:val="21"/>
              </w:rPr>
            </w:pPr>
            <w:r>
              <w:rPr>
                <w:rFonts w:eastAsia="仿宋_GB2312"/>
                <w:szCs w:val="21"/>
              </w:rPr>
              <w:t>经厂区3#污水站处理后回用</w:t>
            </w:r>
          </w:p>
        </w:tc>
      </w:tr>
      <w:tr w14:paraId="309824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627" w:type="pct"/>
            <w:vMerge w:val="continue"/>
            <w:vAlign w:val="center"/>
          </w:tcPr>
          <w:p w14:paraId="2FEEBF29">
            <w:pPr>
              <w:widowControl/>
              <w:spacing w:line="300" w:lineRule="exact"/>
              <w:jc w:val="center"/>
              <w:rPr>
                <w:rFonts w:eastAsia="仿宋_GB2312"/>
                <w:kern w:val="0"/>
                <w:szCs w:val="21"/>
              </w:rPr>
            </w:pPr>
          </w:p>
        </w:tc>
        <w:tc>
          <w:tcPr>
            <w:tcW w:w="714" w:type="pct"/>
            <w:vMerge w:val="continue"/>
            <w:vAlign w:val="center"/>
          </w:tcPr>
          <w:p w14:paraId="79F2D8CD">
            <w:pPr>
              <w:widowControl/>
              <w:spacing w:line="300" w:lineRule="exact"/>
              <w:jc w:val="center"/>
              <w:rPr>
                <w:rFonts w:eastAsia="仿宋_GB2312"/>
                <w:kern w:val="0"/>
                <w:szCs w:val="21"/>
              </w:rPr>
            </w:pPr>
          </w:p>
        </w:tc>
        <w:tc>
          <w:tcPr>
            <w:tcW w:w="965" w:type="pct"/>
            <w:vAlign w:val="center"/>
          </w:tcPr>
          <w:p w14:paraId="7977A3CA">
            <w:pPr>
              <w:snapToGrid w:val="0"/>
              <w:spacing w:line="320" w:lineRule="exact"/>
              <w:jc w:val="center"/>
              <w:rPr>
                <w:rFonts w:eastAsia="仿宋_GB2312"/>
                <w:szCs w:val="21"/>
              </w:rPr>
            </w:pPr>
            <w:r>
              <w:rPr>
                <w:rFonts w:eastAsia="仿宋_GB2312"/>
                <w:szCs w:val="21"/>
              </w:rPr>
              <w:t>SS</w:t>
            </w:r>
          </w:p>
        </w:tc>
        <w:tc>
          <w:tcPr>
            <w:tcW w:w="1053" w:type="pct"/>
            <w:vAlign w:val="center"/>
          </w:tcPr>
          <w:p w14:paraId="40A89AC2">
            <w:pPr>
              <w:snapToGrid w:val="0"/>
              <w:spacing w:line="320" w:lineRule="exact"/>
              <w:jc w:val="center"/>
              <w:rPr>
                <w:rFonts w:eastAsia="仿宋_GB2312"/>
                <w:szCs w:val="21"/>
              </w:rPr>
            </w:pPr>
            <w:r>
              <w:rPr>
                <w:rFonts w:hint="eastAsia" w:eastAsia="仿宋_GB2312"/>
                <w:szCs w:val="21"/>
                <w:lang w:val="en-US" w:eastAsia="zh-CN"/>
              </w:rPr>
              <w:t>100</w:t>
            </w:r>
          </w:p>
        </w:tc>
        <w:tc>
          <w:tcPr>
            <w:tcW w:w="871" w:type="pct"/>
            <w:vAlign w:val="center"/>
          </w:tcPr>
          <w:p w14:paraId="375FA4EC">
            <w:pPr>
              <w:snapToGrid w:val="0"/>
              <w:spacing w:line="320" w:lineRule="exact"/>
              <w:jc w:val="center"/>
              <w:rPr>
                <w:rFonts w:eastAsia="仿宋_GB2312"/>
                <w:szCs w:val="21"/>
              </w:rPr>
            </w:pPr>
            <w:r>
              <w:rPr>
                <w:rFonts w:hint="eastAsia" w:eastAsia="仿宋_GB2312"/>
                <w:szCs w:val="21"/>
                <w:lang w:val="en-US" w:eastAsia="zh-CN"/>
              </w:rPr>
              <w:t>1.6452</w:t>
            </w:r>
          </w:p>
        </w:tc>
        <w:tc>
          <w:tcPr>
            <w:tcW w:w="767" w:type="pct"/>
            <w:vMerge w:val="continue"/>
            <w:vAlign w:val="center"/>
          </w:tcPr>
          <w:p w14:paraId="4968098F">
            <w:pPr>
              <w:snapToGrid w:val="0"/>
              <w:spacing w:line="320" w:lineRule="exact"/>
              <w:jc w:val="center"/>
              <w:rPr>
                <w:rFonts w:eastAsia="仿宋_GB2312"/>
                <w:szCs w:val="21"/>
              </w:rPr>
            </w:pPr>
          </w:p>
        </w:tc>
      </w:tr>
      <w:tr w14:paraId="2B884CD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627" w:type="pct"/>
            <w:vMerge w:val="continue"/>
            <w:vAlign w:val="center"/>
          </w:tcPr>
          <w:p w14:paraId="79750B56">
            <w:pPr>
              <w:widowControl/>
              <w:spacing w:line="300" w:lineRule="exact"/>
              <w:jc w:val="center"/>
              <w:rPr>
                <w:rFonts w:eastAsia="仿宋_GB2312"/>
                <w:kern w:val="0"/>
                <w:szCs w:val="21"/>
              </w:rPr>
            </w:pPr>
          </w:p>
        </w:tc>
        <w:tc>
          <w:tcPr>
            <w:tcW w:w="714" w:type="pct"/>
            <w:vMerge w:val="continue"/>
            <w:vAlign w:val="center"/>
          </w:tcPr>
          <w:p w14:paraId="5033F33D">
            <w:pPr>
              <w:widowControl/>
              <w:spacing w:line="300" w:lineRule="exact"/>
              <w:jc w:val="center"/>
              <w:rPr>
                <w:rFonts w:eastAsia="仿宋_GB2312"/>
                <w:kern w:val="0"/>
                <w:szCs w:val="21"/>
              </w:rPr>
            </w:pPr>
          </w:p>
        </w:tc>
        <w:tc>
          <w:tcPr>
            <w:tcW w:w="965" w:type="pct"/>
            <w:vAlign w:val="center"/>
          </w:tcPr>
          <w:p w14:paraId="52791136">
            <w:pPr>
              <w:snapToGrid w:val="0"/>
              <w:spacing w:line="320" w:lineRule="exact"/>
              <w:jc w:val="center"/>
              <w:rPr>
                <w:rFonts w:eastAsia="仿宋_GB2312"/>
                <w:szCs w:val="21"/>
              </w:rPr>
            </w:pPr>
            <w:r>
              <w:rPr>
                <w:rFonts w:eastAsia="仿宋_GB2312"/>
                <w:szCs w:val="21"/>
              </w:rPr>
              <w:t>NH</w:t>
            </w:r>
            <w:r>
              <w:rPr>
                <w:rFonts w:eastAsia="仿宋_GB2312"/>
                <w:szCs w:val="21"/>
                <w:vertAlign w:val="subscript"/>
              </w:rPr>
              <w:t>3</w:t>
            </w:r>
            <w:r>
              <w:rPr>
                <w:rFonts w:eastAsia="仿宋_GB2312"/>
                <w:szCs w:val="21"/>
              </w:rPr>
              <w:t>-N</w:t>
            </w:r>
          </w:p>
        </w:tc>
        <w:tc>
          <w:tcPr>
            <w:tcW w:w="1053" w:type="pct"/>
            <w:vAlign w:val="center"/>
          </w:tcPr>
          <w:p w14:paraId="15D50AE6">
            <w:pPr>
              <w:snapToGrid w:val="0"/>
              <w:spacing w:line="320" w:lineRule="exact"/>
              <w:jc w:val="center"/>
              <w:rPr>
                <w:rFonts w:eastAsia="仿宋_GB2312"/>
                <w:szCs w:val="21"/>
              </w:rPr>
            </w:pPr>
            <w:r>
              <w:rPr>
                <w:rFonts w:hint="eastAsia" w:eastAsia="仿宋_GB2312"/>
                <w:szCs w:val="21"/>
                <w:lang w:val="en-US" w:eastAsia="zh-CN"/>
              </w:rPr>
              <w:t>57</w:t>
            </w:r>
          </w:p>
        </w:tc>
        <w:tc>
          <w:tcPr>
            <w:tcW w:w="871" w:type="pct"/>
            <w:vAlign w:val="center"/>
          </w:tcPr>
          <w:p w14:paraId="59CDC78E">
            <w:pPr>
              <w:snapToGrid w:val="0"/>
              <w:spacing w:line="320" w:lineRule="exact"/>
              <w:jc w:val="center"/>
              <w:rPr>
                <w:rFonts w:eastAsia="仿宋_GB2312"/>
                <w:szCs w:val="21"/>
              </w:rPr>
            </w:pPr>
            <w:r>
              <w:rPr>
                <w:rFonts w:hint="eastAsia" w:eastAsia="仿宋_GB2312"/>
                <w:szCs w:val="21"/>
                <w:lang w:val="en-US" w:eastAsia="zh-CN"/>
              </w:rPr>
              <w:t>0.9382</w:t>
            </w:r>
          </w:p>
        </w:tc>
        <w:tc>
          <w:tcPr>
            <w:tcW w:w="767" w:type="pct"/>
            <w:vMerge w:val="continue"/>
            <w:vAlign w:val="center"/>
          </w:tcPr>
          <w:p w14:paraId="03EB86D2">
            <w:pPr>
              <w:snapToGrid w:val="0"/>
              <w:spacing w:line="320" w:lineRule="exact"/>
              <w:jc w:val="center"/>
              <w:rPr>
                <w:rFonts w:eastAsia="仿宋_GB2312"/>
                <w:szCs w:val="21"/>
              </w:rPr>
            </w:pPr>
          </w:p>
        </w:tc>
      </w:tr>
      <w:tr w14:paraId="212968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627" w:type="pct"/>
            <w:vMerge w:val="continue"/>
            <w:vAlign w:val="center"/>
          </w:tcPr>
          <w:p w14:paraId="0550A9D2">
            <w:pPr>
              <w:widowControl/>
              <w:spacing w:line="300" w:lineRule="exact"/>
              <w:jc w:val="center"/>
              <w:rPr>
                <w:rFonts w:eastAsia="仿宋_GB2312"/>
                <w:kern w:val="0"/>
                <w:szCs w:val="21"/>
              </w:rPr>
            </w:pPr>
          </w:p>
        </w:tc>
        <w:tc>
          <w:tcPr>
            <w:tcW w:w="714" w:type="pct"/>
            <w:vMerge w:val="continue"/>
            <w:vAlign w:val="center"/>
          </w:tcPr>
          <w:p w14:paraId="16AE4A90">
            <w:pPr>
              <w:widowControl/>
              <w:spacing w:line="300" w:lineRule="exact"/>
              <w:jc w:val="center"/>
              <w:rPr>
                <w:rFonts w:eastAsia="仿宋_GB2312"/>
                <w:kern w:val="0"/>
                <w:szCs w:val="21"/>
              </w:rPr>
            </w:pPr>
          </w:p>
        </w:tc>
        <w:tc>
          <w:tcPr>
            <w:tcW w:w="965" w:type="pct"/>
            <w:vAlign w:val="center"/>
          </w:tcPr>
          <w:p w14:paraId="3EEAECBB">
            <w:pPr>
              <w:snapToGrid w:val="0"/>
              <w:spacing w:line="320" w:lineRule="exact"/>
              <w:jc w:val="center"/>
              <w:rPr>
                <w:rFonts w:eastAsia="仿宋_GB2312"/>
                <w:szCs w:val="21"/>
              </w:rPr>
            </w:pPr>
            <w:r>
              <w:rPr>
                <w:rFonts w:eastAsia="仿宋_GB2312"/>
                <w:szCs w:val="21"/>
              </w:rPr>
              <w:t>TN</w:t>
            </w:r>
          </w:p>
        </w:tc>
        <w:tc>
          <w:tcPr>
            <w:tcW w:w="1053" w:type="pct"/>
            <w:vAlign w:val="center"/>
          </w:tcPr>
          <w:p w14:paraId="2315DFEF">
            <w:pPr>
              <w:snapToGrid w:val="0"/>
              <w:spacing w:line="320" w:lineRule="exact"/>
              <w:jc w:val="center"/>
              <w:rPr>
                <w:rFonts w:eastAsia="仿宋_GB2312"/>
                <w:szCs w:val="21"/>
              </w:rPr>
            </w:pPr>
            <w:r>
              <w:rPr>
                <w:rFonts w:hint="eastAsia" w:eastAsia="仿宋_GB2312"/>
                <w:szCs w:val="21"/>
                <w:lang w:val="en-US" w:eastAsia="zh-CN"/>
              </w:rPr>
              <w:t>1112</w:t>
            </w:r>
          </w:p>
        </w:tc>
        <w:tc>
          <w:tcPr>
            <w:tcW w:w="871" w:type="pct"/>
            <w:vAlign w:val="center"/>
          </w:tcPr>
          <w:p w14:paraId="4048668E">
            <w:pPr>
              <w:snapToGrid w:val="0"/>
              <w:spacing w:line="320" w:lineRule="exact"/>
              <w:jc w:val="center"/>
              <w:rPr>
                <w:rFonts w:eastAsia="仿宋_GB2312"/>
                <w:szCs w:val="21"/>
              </w:rPr>
            </w:pPr>
            <w:r>
              <w:rPr>
                <w:rFonts w:hint="eastAsia" w:eastAsia="仿宋_GB2312"/>
                <w:szCs w:val="21"/>
                <w:lang w:val="en-US" w:eastAsia="zh-CN"/>
              </w:rPr>
              <w:t>18.2964</w:t>
            </w:r>
          </w:p>
        </w:tc>
        <w:tc>
          <w:tcPr>
            <w:tcW w:w="767" w:type="pct"/>
            <w:vMerge w:val="continue"/>
            <w:vAlign w:val="center"/>
          </w:tcPr>
          <w:p w14:paraId="70393724">
            <w:pPr>
              <w:snapToGrid w:val="0"/>
              <w:spacing w:line="320" w:lineRule="exact"/>
              <w:jc w:val="center"/>
              <w:rPr>
                <w:rFonts w:eastAsia="仿宋_GB2312"/>
                <w:szCs w:val="21"/>
              </w:rPr>
            </w:pPr>
          </w:p>
        </w:tc>
      </w:tr>
      <w:tr w14:paraId="13A763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627" w:type="pct"/>
            <w:vMerge w:val="continue"/>
            <w:vAlign w:val="center"/>
          </w:tcPr>
          <w:p w14:paraId="6D128028">
            <w:pPr>
              <w:widowControl/>
              <w:spacing w:line="300" w:lineRule="exact"/>
              <w:jc w:val="center"/>
              <w:rPr>
                <w:rFonts w:eastAsia="仿宋_GB2312"/>
                <w:kern w:val="0"/>
                <w:szCs w:val="21"/>
              </w:rPr>
            </w:pPr>
          </w:p>
        </w:tc>
        <w:tc>
          <w:tcPr>
            <w:tcW w:w="714" w:type="pct"/>
            <w:vMerge w:val="continue"/>
            <w:vAlign w:val="center"/>
          </w:tcPr>
          <w:p w14:paraId="3A009E40">
            <w:pPr>
              <w:widowControl/>
              <w:spacing w:line="300" w:lineRule="exact"/>
              <w:jc w:val="center"/>
              <w:rPr>
                <w:rFonts w:eastAsia="仿宋_GB2312"/>
                <w:kern w:val="0"/>
                <w:szCs w:val="21"/>
              </w:rPr>
            </w:pPr>
          </w:p>
        </w:tc>
        <w:tc>
          <w:tcPr>
            <w:tcW w:w="965" w:type="pct"/>
            <w:vAlign w:val="center"/>
          </w:tcPr>
          <w:p w14:paraId="7F61CF4A">
            <w:pPr>
              <w:snapToGrid w:val="0"/>
              <w:spacing w:line="320" w:lineRule="exact"/>
              <w:jc w:val="center"/>
              <w:rPr>
                <w:rFonts w:eastAsia="仿宋_GB2312"/>
                <w:szCs w:val="21"/>
              </w:rPr>
            </w:pPr>
            <w:r>
              <w:rPr>
                <w:rFonts w:eastAsia="仿宋_GB2312"/>
                <w:szCs w:val="21"/>
              </w:rPr>
              <w:t>TP</w:t>
            </w:r>
          </w:p>
        </w:tc>
        <w:tc>
          <w:tcPr>
            <w:tcW w:w="1053" w:type="pct"/>
            <w:vAlign w:val="center"/>
          </w:tcPr>
          <w:p w14:paraId="08FB6D11">
            <w:pPr>
              <w:snapToGrid w:val="0"/>
              <w:spacing w:line="320" w:lineRule="exact"/>
              <w:jc w:val="center"/>
              <w:rPr>
                <w:rFonts w:eastAsia="仿宋_GB2312"/>
                <w:szCs w:val="21"/>
              </w:rPr>
            </w:pPr>
            <w:r>
              <w:rPr>
                <w:rFonts w:hint="eastAsia" w:eastAsia="仿宋_GB2312"/>
                <w:szCs w:val="21"/>
                <w:lang w:val="en-US" w:eastAsia="zh-CN"/>
              </w:rPr>
              <w:t>2.9</w:t>
            </w:r>
          </w:p>
        </w:tc>
        <w:tc>
          <w:tcPr>
            <w:tcW w:w="871" w:type="pct"/>
            <w:vAlign w:val="center"/>
          </w:tcPr>
          <w:p w14:paraId="254B1B6C">
            <w:pPr>
              <w:snapToGrid w:val="0"/>
              <w:spacing w:line="320" w:lineRule="exact"/>
              <w:jc w:val="center"/>
              <w:rPr>
                <w:rFonts w:eastAsia="仿宋_GB2312"/>
                <w:szCs w:val="21"/>
              </w:rPr>
            </w:pPr>
            <w:r>
              <w:rPr>
                <w:rFonts w:hint="eastAsia" w:eastAsia="仿宋_GB2312"/>
                <w:szCs w:val="21"/>
                <w:lang w:val="en-US" w:eastAsia="zh-CN"/>
              </w:rPr>
              <w:t>0.0485</w:t>
            </w:r>
          </w:p>
        </w:tc>
        <w:tc>
          <w:tcPr>
            <w:tcW w:w="767" w:type="pct"/>
            <w:vMerge w:val="continue"/>
            <w:vAlign w:val="center"/>
          </w:tcPr>
          <w:p w14:paraId="153ED8CB">
            <w:pPr>
              <w:snapToGrid w:val="0"/>
              <w:spacing w:line="320" w:lineRule="exact"/>
              <w:jc w:val="center"/>
              <w:rPr>
                <w:rFonts w:eastAsia="仿宋_GB2312"/>
                <w:szCs w:val="21"/>
              </w:rPr>
            </w:pPr>
          </w:p>
        </w:tc>
      </w:tr>
      <w:tr w14:paraId="664D571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627" w:type="pct"/>
            <w:vMerge w:val="continue"/>
            <w:vAlign w:val="center"/>
          </w:tcPr>
          <w:p w14:paraId="2E432585">
            <w:pPr>
              <w:widowControl/>
              <w:spacing w:line="300" w:lineRule="exact"/>
              <w:jc w:val="center"/>
              <w:rPr>
                <w:rFonts w:eastAsia="仿宋_GB2312"/>
                <w:kern w:val="0"/>
                <w:szCs w:val="21"/>
              </w:rPr>
            </w:pPr>
          </w:p>
        </w:tc>
        <w:tc>
          <w:tcPr>
            <w:tcW w:w="714" w:type="pct"/>
            <w:vMerge w:val="continue"/>
            <w:vAlign w:val="center"/>
          </w:tcPr>
          <w:p w14:paraId="5C8DBF30">
            <w:pPr>
              <w:widowControl/>
              <w:spacing w:line="300" w:lineRule="exact"/>
              <w:jc w:val="center"/>
              <w:rPr>
                <w:rFonts w:eastAsia="仿宋_GB2312"/>
                <w:kern w:val="0"/>
                <w:szCs w:val="21"/>
              </w:rPr>
            </w:pPr>
          </w:p>
        </w:tc>
        <w:tc>
          <w:tcPr>
            <w:tcW w:w="965" w:type="pct"/>
            <w:vAlign w:val="center"/>
          </w:tcPr>
          <w:p w14:paraId="6A29FE55">
            <w:pPr>
              <w:snapToGrid w:val="0"/>
              <w:spacing w:line="320" w:lineRule="exact"/>
              <w:jc w:val="center"/>
              <w:rPr>
                <w:rFonts w:eastAsia="仿宋_GB2312"/>
                <w:szCs w:val="21"/>
              </w:rPr>
            </w:pPr>
            <w:r>
              <w:rPr>
                <w:rFonts w:eastAsia="仿宋_GB2312"/>
                <w:szCs w:val="21"/>
              </w:rPr>
              <w:t>甲苯</w:t>
            </w:r>
          </w:p>
        </w:tc>
        <w:tc>
          <w:tcPr>
            <w:tcW w:w="1053" w:type="pct"/>
            <w:vAlign w:val="center"/>
          </w:tcPr>
          <w:p w14:paraId="3FBB9D77">
            <w:pPr>
              <w:snapToGrid w:val="0"/>
              <w:spacing w:line="320" w:lineRule="exact"/>
              <w:jc w:val="center"/>
              <w:rPr>
                <w:rFonts w:eastAsia="仿宋_GB2312"/>
                <w:szCs w:val="21"/>
              </w:rPr>
            </w:pPr>
            <w:r>
              <w:rPr>
                <w:rFonts w:hint="eastAsia" w:eastAsia="仿宋_GB2312"/>
                <w:szCs w:val="21"/>
                <w:lang w:val="en-US" w:eastAsia="zh-CN"/>
              </w:rPr>
              <w:t>13.7</w:t>
            </w:r>
          </w:p>
        </w:tc>
        <w:tc>
          <w:tcPr>
            <w:tcW w:w="871" w:type="pct"/>
            <w:vAlign w:val="center"/>
          </w:tcPr>
          <w:p w14:paraId="0DEC9D54">
            <w:pPr>
              <w:snapToGrid w:val="0"/>
              <w:spacing w:line="320" w:lineRule="exact"/>
              <w:jc w:val="center"/>
              <w:rPr>
                <w:rFonts w:eastAsia="仿宋_GB2312"/>
                <w:szCs w:val="21"/>
              </w:rPr>
            </w:pPr>
            <w:r>
              <w:rPr>
                <w:rFonts w:hint="eastAsia" w:eastAsia="仿宋_GB2312"/>
                <w:szCs w:val="21"/>
                <w:lang w:val="en-US" w:eastAsia="zh-CN"/>
              </w:rPr>
              <w:t>0.226</w:t>
            </w:r>
          </w:p>
        </w:tc>
        <w:tc>
          <w:tcPr>
            <w:tcW w:w="767" w:type="pct"/>
            <w:vMerge w:val="continue"/>
            <w:vAlign w:val="center"/>
          </w:tcPr>
          <w:p w14:paraId="34A2FA87">
            <w:pPr>
              <w:snapToGrid w:val="0"/>
              <w:spacing w:line="320" w:lineRule="exact"/>
              <w:jc w:val="center"/>
              <w:rPr>
                <w:rFonts w:eastAsia="仿宋_GB2312"/>
                <w:szCs w:val="21"/>
              </w:rPr>
            </w:pPr>
          </w:p>
        </w:tc>
      </w:tr>
      <w:tr w14:paraId="1CE33D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627" w:type="pct"/>
            <w:vMerge w:val="continue"/>
            <w:vAlign w:val="center"/>
          </w:tcPr>
          <w:p w14:paraId="0E3A94F5">
            <w:pPr>
              <w:widowControl/>
              <w:spacing w:line="300" w:lineRule="exact"/>
              <w:jc w:val="center"/>
              <w:rPr>
                <w:rFonts w:eastAsia="仿宋_GB2312"/>
                <w:kern w:val="0"/>
                <w:szCs w:val="21"/>
              </w:rPr>
            </w:pPr>
          </w:p>
        </w:tc>
        <w:tc>
          <w:tcPr>
            <w:tcW w:w="714" w:type="pct"/>
            <w:vMerge w:val="continue"/>
            <w:vAlign w:val="center"/>
          </w:tcPr>
          <w:p w14:paraId="1D3926E0">
            <w:pPr>
              <w:widowControl/>
              <w:spacing w:line="300" w:lineRule="exact"/>
              <w:jc w:val="center"/>
              <w:rPr>
                <w:rFonts w:eastAsia="仿宋_GB2312"/>
                <w:kern w:val="0"/>
                <w:szCs w:val="21"/>
              </w:rPr>
            </w:pPr>
          </w:p>
        </w:tc>
        <w:tc>
          <w:tcPr>
            <w:tcW w:w="965" w:type="pct"/>
            <w:vAlign w:val="center"/>
          </w:tcPr>
          <w:p w14:paraId="71E94F20">
            <w:pPr>
              <w:snapToGrid w:val="0"/>
              <w:spacing w:line="320" w:lineRule="exact"/>
              <w:jc w:val="center"/>
              <w:rPr>
                <w:rFonts w:eastAsia="仿宋_GB2312"/>
                <w:szCs w:val="21"/>
              </w:rPr>
            </w:pPr>
            <w:r>
              <w:rPr>
                <w:rFonts w:eastAsia="仿宋_GB2312"/>
                <w:szCs w:val="21"/>
              </w:rPr>
              <w:t>二甲苯</w:t>
            </w:r>
          </w:p>
        </w:tc>
        <w:tc>
          <w:tcPr>
            <w:tcW w:w="1053" w:type="pct"/>
            <w:vAlign w:val="center"/>
          </w:tcPr>
          <w:p w14:paraId="2CFD9782">
            <w:pPr>
              <w:snapToGrid w:val="0"/>
              <w:spacing w:line="320" w:lineRule="exact"/>
              <w:jc w:val="center"/>
              <w:rPr>
                <w:rFonts w:eastAsia="仿宋_GB2312"/>
                <w:szCs w:val="21"/>
              </w:rPr>
            </w:pPr>
            <w:r>
              <w:rPr>
                <w:rFonts w:hint="eastAsia" w:eastAsia="仿宋_GB2312"/>
                <w:szCs w:val="21"/>
                <w:lang w:val="en-US" w:eastAsia="zh-CN"/>
              </w:rPr>
              <w:t>13.7</w:t>
            </w:r>
          </w:p>
        </w:tc>
        <w:tc>
          <w:tcPr>
            <w:tcW w:w="871" w:type="pct"/>
            <w:vAlign w:val="center"/>
          </w:tcPr>
          <w:p w14:paraId="40F15B04">
            <w:pPr>
              <w:snapToGrid w:val="0"/>
              <w:spacing w:line="320" w:lineRule="exact"/>
              <w:jc w:val="center"/>
              <w:rPr>
                <w:rFonts w:eastAsia="仿宋_GB2312"/>
                <w:szCs w:val="21"/>
              </w:rPr>
            </w:pPr>
            <w:r>
              <w:rPr>
                <w:rFonts w:hint="eastAsia" w:eastAsia="仿宋_GB2312"/>
                <w:szCs w:val="21"/>
                <w:lang w:val="en-US" w:eastAsia="zh-CN"/>
              </w:rPr>
              <w:t>0.226</w:t>
            </w:r>
          </w:p>
        </w:tc>
        <w:tc>
          <w:tcPr>
            <w:tcW w:w="767" w:type="pct"/>
            <w:vMerge w:val="continue"/>
            <w:vAlign w:val="center"/>
          </w:tcPr>
          <w:p w14:paraId="5CB844C4">
            <w:pPr>
              <w:snapToGrid w:val="0"/>
              <w:spacing w:line="320" w:lineRule="exact"/>
              <w:jc w:val="center"/>
              <w:rPr>
                <w:rFonts w:eastAsia="仿宋_GB2312"/>
                <w:szCs w:val="21"/>
              </w:rPr>
            </w:pPr>
          </w:p>
        </w:tc>
      </w:tr>
      <w:tr w14:paraId="7B226F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627" w:type="pct"/>
            <w:vMerge w:val="continue"/>
            <w:vAlign w:val="center"/>
          </w:tcPr>
          <w:p w14:paraId="1F6592F0">
            <w:pPr>
              <w:widowControl/>
              <w:spacing w:line="300" w:lineRule="exact"/>
              <w:jc w:val="center"/>
              <w:rPr>
                <w:rFonts w:eastAsia="仿宋_GB2312"/>
                <w:kern w:val="0"/>
                <w:szCs w:val="21"/>
              </w:rPr>
            </w:pPr>
          </w:p>
        </w:tc>
        <w:tc>
          <w:tcPr>
            <w:tcW w:w="714" w:type="pct"/>
            <w:vMerge w:val="continue"/>
            <w:vAlign w:val="center"/>
          </w:tcPr>
          <w:p w14:paraId="4B7105F3">
            <w:pPr>
              <w:widowControl/>
              <w:spacing w:line="300" w:lineRule="exact"/>
              <w:jc w:val="center"/>
              <w:rPr>
                <w:rFonts w:eastAsia="仿宋_GB2312"/>
                <w:kern w:val="0"/>
                <w:szCs w:val="21"/>
              </w:rPr>
            </w:pPr>
          </w:p>
        </w:tc>
        <w:tc>
          <w:tcPr>
            <w:tcW w:w="965" w:type="pct"/>
            <w:vAlign w:val="center"/>
          </w:tcPr>
          <w:p w14:paraId="3468E640">
            <w:pPr>
              <w:snapToGrid w:val="0"/>
              <w:spacing w:line="320" w:lineRule="exact"/>
              <w:jc w:val="center"/>
              <w:rPr>
                <w:rFonts w:eastAsia="仿宋_GB2312"/>
                <w:szCs w:val="21"/>
              </w:rPr>
            </w:pPr>
            <w:r>
              <w:rPr>
                <w:rFonts w:eastAsia="仿宋_GB2312"/>
                <w:szCs w:val="21"/>
              </w:rPr>
              <w:t>苯乙烯</w:t>
            </w:r>
          </w:p>
        </w:tc>
        <w:tc>
          <w:tcPr>
            <w:tcW w:w="1053" w:type="pct"/>
            <w:vAlign w:val="center"/>
          </w:tcPr>
          <w:p w14:paraId="659EC731">
            <w:pPr>
              <w:snapToGrid w:val="0"/>
              <w:spacing w:line="320" w:lineRule="exact"/>
              <w:jc w:val="center"/>
              <w:rPr>
                <w:rFonts w:eastAsia="仿宋_GB2312"/>
                <w:szCs w:val="21"/>
              </w:rPr>
            </w:pPr>
            <w:r>
              <w:rPr>
                <w:rFonts w:hint="eastAsia" w:eastAsia="仿宋_GB2312"/>
                <w:szCs w:val="21"/>
                <w:lang w:val="en-US" w:eastAsia="zh-CN"/>
              </w:rPr>
              <w:t>49.7</w:t>
            </w:r>
          </w:p>
        </w:tc>
        <w:tc>
          <w:tcPr>
            <w:tcW w:w="871" w:type="pct"/>
            <w:vAlign w:val="center"/>
          </w:tcPr>
          <w:p w14:paraId="5DCA2ED4">
            <w:pPr>
              <w:snapToGrid w:val="0"/>
              <w:spacing w:line="320" w:lineRule="exact"/>
              <w:jc w:val="center"/>
              <w:rPr>
                <w:rFonts w:eastAsia="仿宋_GB2312"/>
                <w:szCs w:val="21"/>
              </w:rPr>
            </w:pPr>
            <w:r>
              <w:rPr>
                <w:rFonts w:hint="eastAsia" w:eastAsia="仿宋_GB2312"/>
                <w:szCs w:val="21"/>
                <w:lang w:val="en-US" w:eastAsia="zh-CN"/>
              </w:rPr>
              <w:t>0.817</w:t>
            </w:r>
          </w:p>
        </w:tc>
        <w:tc>
          <w:tcPr>
            <w:tcW w:w="767" w:type="pct"/>
            <w:vMerge w:val="continue"/>
            <w:vAlign w:val="center"/>
          </w:tcPr>
          <w:p w14:paraId="0317DB2C">
            <w:pPr>
              <w:snapToGrid w:val="0"/>
              <w:spacing w:line="320" w:lineRule="exact"/>
              <w:jc w:val="center"/>
              <w:rPr>
                <w:rFonts w:eastAsia="仿宋_GB2312"/>
                <w:szCs w:val="21"/>
              </w:rPr>
            </w:pPr>
          </w:p>
        </w:tc>
      </w:tr>
      <w:tr w14:paraId="7A2391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627" w:type="pct"/>
            <w:vMerge w:val="continue"/>
            <w:vAlign w:val="center"/>
          </w:tcPr>
          <w:p w14:paraId="7CA3A7AD">
            <w:pPr>
              <w:widowControl/>
              <w:spacing w:line="300" w:lineRule="exact"/>
              <w:jc w:val="center"/>
              <w:rPr>
                <w:rFonts w:eastAsia="仿宋_GB2312"/>
                <w:kern w:val="0"/>
                <w:szCs w:val="21"/>
              </w:rPr>
            </w:pPr>
          </w:p>
        </w:tc>
        <w:tc>
          <w:tcPr>
            <w:tcW w:w="714" w:type="pct"/>
            <w:vMerge w:val="continue"/>
            <w:vAlign w:val="center"/>
          </w:tcPr>
          <w:p w14:paraId="17BCC485">
            <w:pPr>
              <w:widowControl/>
              <w:spacing w:line="300" w:lineRule="exact"/>
              <w:jc w:val="center"/>
              <w:rPr>
                <w:rFonts w:eastAsia="仿宋_GB2312"/>
                <w:kern w:val="0"/>
                <w:szCs w:val="21"/>
              </w:rPr>
            </w:pPr>
          </w:p>
        </w:tc>
        <w:tc>
          <w:tcPr>
            <w:tcW w:w="965" w:type="pct"/>
            <w:vAlign w:val="center"/>
          </w:tcPr>
          <w:p w14:paraId="0A92ACA4">
            <w:pPr>
              <w:snapToGrid w:val="0"/>
              <w:spacing w:line="320" w:lineRule="exact"/>
              <w:jc w:val="center"/>
              <w:rPr>
                <w:rFonts w:eastAsia="仿宋_GB2312"/>
                <w:szCs w:val="21"/>
              </w:rPr>
            </w:pPr>
            <w:r>
              <w:rPr>
                <w:rFonts w:eastAsia="仿宋_GB2312"/>
                <w:szCs w:val="21"/>
              </w:rPr>
              <w:t>二氯乙烷</w:t>
            </w:r>
          </w:p>
        </w:tc>
        <w:tc>
          <w:tcPr>
            <w:tcW w:w="1053" w:type="pct"/>
            <w:vAlign w:val="center"/>
          </w:tcPr>
          <w:p w14:paraId="70854ED9">
            <w:pPr>
              <w:snapToGrid w:val="0"/>
              <w:spacing w:line="320" w:lineRule="exact"/>
              <w:jc w:val="center"/>
              <w:rPr>
                <w:rFonts w:eastAsia="仿宋_GB2312"/>
                <w:szCs w:val="21"/>
              </w:rPr>
            </w:pPr>
            <w:r>
              <w:rPr>
                <w:rFonts w:hint="eastAsia" w:eastAsia="仿宋_GB2312"/>
                <w:szCs w:val="21"/>
                <w:lang w:val="en-US" w:eastAsia="zh-CN"/>
              </w:rPr>
              <w:t>11.8</w:t>
            </w:r>
          </w:p>
        </w:tc>
        <w:tc>
          <w:tcPr>
            <w:tcW w:w="871" w:type="pct"/>
            <w:vAlign w:val="center"/>
          </w:tcPr>
          <w:p w14:paraId="77E38EB7">
            <w:pPr>
              <w:snapToGrid w:val="0"/>
              <w:spacing w:line="320" w:lineRule="exact"/>
              <w:jc w:val="center"/>
              <w:rPr>
                <w:rFonts w:eastAsia="仿宋_GB2312"/>
                <w:szCs w:val="21"/>
              </w:rPr>
            </w:pPr>
            <w:r>
              <w:rPr>
                <w:rFonts w:hint="eastAsia" w:eastAsia="仿宋_GB2312"/>
                <w:szCs w:val="21"/>
                <w:lang w:val="en-US" w:eastAsia="zh-CN"/>
              </w:rPr>
              <w:t>0.195</w:t>
            </w:r>
          </w:p>
        </w:tc>
        <w:tc>
          <w:tcPr>
            <w:tcW w:w="767" w:type="pct"/>
            <w:vMerge w:val="continue"/>
            <w:vAlign w:val="center"/>
          </w:tcPr>
          <w:p w14:paraId="304E628F">
            <w:pPr>
              <w:snapToGrid w:val="0"/>
              <w:spacing w:line="320" w:lineRule="exact"/>
              <w:jc w:val="center"/>
              <w:rPr>
                <w:rFonts w:eastAsia="仿宋_GB2312"/>
                <w:szCs w:val="21"/>
              </w:rPr>
            </w:pPr>
          </w:p>
        </w:tc>
      </w:tr>
      <w:tr w14:paraId="011255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627" w:type="pct"/>
            <w:vMerge w:val="continue"/>
            <w:vAlign w:val="center"/>
          </w:tcPr>
          <w:p w14:paraId="6F6D1F93">
            <w:pPr>
              <w:widowControl/>
              <w:spacing w:line="300" w:lineRule="exact"/>
              <w:jc w:val="center"/>
              <w:rPr>
                <w:rFonts w:eastAsia="仿宋_GB2312"/>
                <w:kern w:val="0"/>
                <w:szCs w:val="21"/>
              </w:rPr>
            </w:pPr>
          </w:p>
        </w:tc>
        <w:tc>
          <w:tcPr>
            <w:tcW w:w="714" w:type="pct"/>
            <w:vMerge w:val="continue"/>
            <w:vAlign w:val="center"/>
          </w:tcPr>
          <w:p w14:paraId="12422E13">
            <w:pPr>
              <w:widowControl/>
              <w:spacing w:line="300" w:lineRule="exact"/>
              <w:jc w:val="center"/>
              <w:rPr>
                <w:rFonts w:eastAsia="仿宋_GB2312"/>
                <w:kern w:val="0"/>
                <w:szCs w:val="21"/>
              </w:rPr>
            </w:pPr>
          </w:p>
        </w:tc>
        <w:tc>
          <w:tcPr>
            <w:tcW w:w="965" w:type="pct"/>
            <w:vAlign w:val="center"/>
          </w:tcPr>
          <w:p w14:paraId="5444BEA8">
            <w:pPr>
              <w:snapToGrid w:val="0"/>
              <w:spacing w:line="320" w:lineRule="exact"/>
              <w:jc w:val="center"/>
              <w:rPr>
                <w:rFonts w:eastAsia="仿宋_GB2312"/>
                <w:szCs w:val="21"/>
              </w:rPr>
            </w:pPr>
            <w:r>
              <w:rPr>
                <w:rFonts w:eastAsia="仿宋_GB2312"/>
                <w:szCs w:val="21"/>
              </w:rPr>
              <w:t>四氢呋喃</w:t>
            </w:r>
          </w:p>
        </w:tc>
        <w:tc>
          <w:tcPr>
            <w:tcW w:w="1053" w:type="pct"/>
            <w:vAlign w:val="center"/>
          </w:tcPr>
          <w:p w14:paraId="125BBCD6">
            <w:pPr>
              <w:snapToGrid w:val="0"/>
              <w:spacing w:line="320" w:lineRule="exact"/>
              <w:jc w:val="center"/>
              <w:rPr>
                <w:rFonts w:eastAsia="仿宋_GB2312"/>
                <w:szCs w:val="21"/>
              </w:rPr>
            </w:pPr>
            <w:r>
              <w:rPr>
                <w:rFonts w:hint="eastAsia" w:eastAsia="仿宋_GB2312"/>
                <w:szCs w:val="21"/>
                <w:lang w:val="en-US" w:eastAsia="zh-CN"/>
              </w:rPr>
              <w:t>66.9</w:t>
            </w:r>
          </w:p>
        </w:tc>
        <w:tc>
          <w:tcPr>
            <w:tcW w:w="871" w:type="pct"/>
            <w:vAlign w:val="center"/>
          </w:tcPr>
          <w:p w14:paraId="4675E41D">
            <w:pPr>
              <w:snapToGrid w:val="0"/>
              <w:spacing w:line="320" w:lineRule="exact"/>
              <w:jc w:val="center"/>
              <w:rPr>
                <w:rFonts w:eastAsia="仿宋_GB2312"/>
                <w:szCs w:val="21"/>
              </w:rPr>
            </w:pPr>
            <w:r>
              <w:rPr>
                <w:rFonts w:hint="eastAsia" w:eastAsia="仿宋_GB2312"/>
                <w:szCs w:val="21"/>
                <w:lang w:val="en-US" w:eastAsia="zh-CN"/>
              </w:rPr>
              <w:t>1.1</w:t>
            </w:r>
          </w:p>
        </w:tc>
        <w:tc>
          <w:tcPr>
            <w:tcW w:w="767" w:type="pct"/>
            <w:vMerge w:val="continue"/>
            <w:vAlign w:val="center"/>
          </w:tcPr>
          <w:p w14:paraId="70B6C14A">
            <w:pPr>
              <w:snapToGrid w:val="0"/>
              <w:spacing w:line="320" w:lineRule="exact"/>
              <w:jc w:val="center"/>
              <w:rPr>
                <w:rFonts w:eastAsia="仿宋_GB2312"/>
                <w:szCs w:val="21"/>
              </w:rPr>
            </w:pPr>
          </w:p>
        </w:tc>
      </w:tr>
    </w:tbl>
    <w:p w14:paraId="442EE923">
      <w:pPr>
        <w:widowControl/>
        <w:spacing w:line="500" w:lineRule="exact"/>
        <w:ind w:firstLine="703" w:firstLineChars="250"/>
        <w:jc w:val="left"/>
        <w:rPr>
          <w:rFonts w:eastAsia="仿宋_GB2312"/>
          <w:color w:val="auto"/>
          <w:sz w:val="28"/>
          <w:szCs w:val="28"/>
        </w:rPr>
      </w:pPr>
      <w:r>
        <w:rPr>
          <w:rFonts w:hint="default" w:eastAsia="仿宋_GB2312"/>
          <w:b/>
          <w:bCs/>
          <w:color w:val="auto"/>
          <w:sz w:val="28"/>
          <w:szCs w:val="28"/>
        </w:rPr>
        <w:t>③</w:t>
      </w:r>
      <w:r>
        <w:rPr>
          <w:rFonts w:eastAsia="仿宋_GB2312"/>
          <w:b/>
          <w:bCs/>
          <w:color w:val="auto"/>
          <w:sz w:val="28"/>
          <w:szCs w:val="28"/>
        </w:rPr>
        <w:t>固废量削减</w:t>
      </w:r>
      <w:r>
        <w:rPr>
          <w:rFonts w:eastAsia="仿宋_GB2312"/>
          <w:color w:val="auto"/>
          <w:sz w:val="28"/>
          <w:szCs w:val="28"/>
        </w:rPr>
        <w:t>（仅考虑工艺过程固废削减量）</w:t>
      </w:r>
    </w:p>
    <w:p w14:paraId="56B2C63F">
      <w:pPr>
        <w:spacing w:line="500" w:lineRule="exact"/>
        <w:jc w:val="center"/>
        <w:rPr>
          <w:rFonts w:eastAsia="仿宋_GB2312"/>
          <w:b/>
          <w:color w:val="auto"/>
          <w:sz w:val="24"/>
        </w:rPr>
      </w:pPr>
      <w:r>
        <w:rPr>
          <w:rFonts w:eastAsia="仿宋_GB2312"/>
          <w:b/>
          <w:color w:val="auto"/>
          <w:sz w:val="24"/>
        </w:rPr>
        <w:t>表3.1-2</w:t>
      </w:r>
      <w:r>
        <w:rPr>
          <w:rFonts w:hint="eastAsia" w:eastAsia="仿宋_GB2312"/>
          <w:b/>
          <w:color w:val="auto"/>
          <w:sz w:val="24"/>
          <w:lang w:val="en-US" w:eastAsia="zh-CN"/>
        </w:rPr>
        <w:t>4</w:t>
      </w:r>
      <w:r>
        <w:rPr>
          <w:rFonts w:eastAsia="仿宋_GB2312"/>
          <w:b/>
          <w:color w:val="auto"/>
          <w:sz w:val="24"/>
        </w:rPr>
        <w:t xml:space="preserve">  固废削减量统计表</w:t>
      </w:r>
    </w:p>
    <w:tbl>
      <w:tblPr>
        <w:tblStyle w:val="882"/>
        <w:tblW w:w="5055"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2263"/>
        <w:gridCol w:w="1692"/>
        <w:gridCol w:w="2252"/>
        <w:gridCol w:w="2248"/>
      </w:tblGrid>
      <w:tr w14:paraId="210B456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40" w:hRule="atLeast"/>
          <w:jc w:val="center"/>
        </w:trPr>
        <w:tc>
          <w:tcPr>
            <w:tcW w:w="1338" w:type="pct"/>
            <w:vAlign w:val="center"/>
          </w:tcPr>
          <w:p w14:paraId="4AD36084">
            <w:pPr>
              <w:pStyle w:val="487"/>
              <w:adjustRightInd w:val="0"/>
              <w:snapToGrid w:val="0"/>
              <w:spacing w:line="320" w:lineRule="exact"/>
              <w:rPr>
                <w:rFonts w:ascii="Times New Roman" w:hAnsi="Times New Roman" w:cs="Times New Roman"/>
                <w:b/>
              </w:rPr>
            </w:pPr>
            <w:r>
              <w:rPr>
                <w:rFonts w:ascii="Times New Roman" w:hAnsi="Times New Roman" w:cs="Times New Roman"/>
                <w:b/>
              </w:rPr>
              <w:t>固废名称</w:t>
            </w:r>
          </w:p>
        </w:tc>
        <w:tc>
          <w:tcPr>
            <w:tcW w:w="1000" w:type="pct"/>
            <w:vAlign w:val="center"/>
          </w:tcPr>
          <w:p w14:paraId="7FE0ACA3">
            <w:pPr>
              <w:pStyle w:val="487"/>
              <w:adjustRightInd w:val="0"/>
              <w:snapToGrid w:val="0"/>
              <w:spacing w:line="320" w:lineRule="exact"/>
              <w:rPr>
                <w:rFonts w:ascii="Times New Roman" w:hAnsi="Times New Roman" w:cs="Times New Roman"/>
                <w:b/>
              </w:rPr>
            </w:pPr>
            <w:r>
              <w:rPr>
                <w:rFonts w:ascii="Times New Roman" w:hAnsi="Times New Roman" w:cs="Times New Roman"/>
                <w:b/>
              </w:rPr>
              <w:t>固废类别</w:t>
            </w:r>
          </w:p>
        </w:tc>
        <w:tc>
          <w:tcPr>
            <w:tcW w:w="1331" w:type="pct"/>
            <w:vAlign w:val="center"/>
          </w:tcPr>
          <w:p w14:paraId="427D8EA3">
            <w:pPr>
              <w:pStyle w:val="487"/>
              <w:adjustRightInd w:val="0"/>
              <w:snapToGrid w:val="0"/>
              <w:spacing w:line="320" w:lineRule="exact"/>
              <w:rPr>
                <w:rFonts w:ascii="Times New Roman" w:hAnsi="Times New Roman" w:cs="Times New Roman"/>
                <w:b/>
              </w:rPr>
            </w:pPr>
            <w:r>
              <w:rPr>
                <w:rFonts w:ascii="Times New Roman" w:hAnsi="Times New Roman" w:cs="Times New Roman"/>
                <w:b/>
              </w:rPr>
              <w:t>固废代码</w:t>
            </w:r>
          </w:p>
        </w:tc>
        <w:tc>
          <w:tcPr>
            <w:tcW w:w="1329" w:type="pct"/>
            <w:vAlign w:val="center"/>
          </w:tcPr>
          <w:p w14:paraId="71D02776">
            <w:pPr>
              <w:pStyle w:val="487"/>
              <w:adjustRightInd w:val="0"/>
              <w:snapToGrid w:val="0"/>
              <w:spacing w:line="320" w:lineRule="exact"/>
              <w:rPr>
                <w:rFonts w:ascii="Times New Roman" w:hAnsi="Times New Roman" w:cs="Times New Roman"/>
                <w:b/>
              </w:rPr>
            </w:pPr>
            <w:r>
              <w:rPr>
                <w:rFonts w:ascii="Times New Roman" w:hAnsi="Times New Roman" w:cs="Times New Roman"/>
                <w:b/>
              </w:rPr>
              <w:t>产生量(t/a)</w:t>
            </w:r>
          </w:p>
        </w:tc>
      </w:tr>
      <w:tr w14:paraId="795459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40" w:hRule="atLeast"/>
          <w:jc w:val="center"/>
        </w:trPr>
        <w:tc>
          <w:tcPr>
            <w:tcW w:w="1338" w:type="pct"/>
            <w:vAlign w:val="center"/>
          </w:tcPr>
          <w:p w14:paraId="7A8A0A9F">
            <w:pPr>
              <w:widowControl/>
              <w:spacing w:line="300" w:lineRule="exact"/>
              <w:jc w:val="center"/>
              <w:rPr>
                <w:rFonts w:eastAsia="仿宋_GB2312"/>
                <w:kern w:val="0"/>
                <w:szCs w:val="21"/>
              </w:rPr>
            </w:pPr>
            <w:r>
              <w:rPr>
                <w:rFonts w:eastAsia="仿宋_GB2312"/>
                <w:kern w:val="0"/>
                <w:szCs w:val="21"/>
              </w:rPr>
              <w:t>过滤残渣</w:t>
            </w:r>
          </w:p>
        </w:tc>
        <w:tc>
          <w:tcPr>
            <w:tcW w:w="1000" w:type="pct"/>
            <w:vAlign w:val="center"/>
          </w:tcPr>
          <w:p w14:paraId="66B4E663">
            <w:pPr>
              <w:widowControl/>
              <w:spacing w:line="300" w:lineRule="exact"/>
              <w:jc w:val="center"/>
              <w:rPr>
                <w:rFonts w:eastAsia="仿宋_GB2312"/>
                <w:kern w:val="0"/>
                <w:szCs w:val="21"/>
              </w:rPr>
            </w:pPr>
            <w:r>
              <w:rPr>
                <w:rFonts w:eastAsia="仿宋_GB2312"/>
                <w:kern w:val="0"/>
                <w:szCs w:val="21"/>
              </w:rPr>
              <w:t>HW06</w:t>
            </w:r>
          </w:p>
        </w:tc>
        <w:tc>
          <w:tcPr>
            <w:tcW w:w="1331" w:type="pct"/>
            <w:vAlign w:val="center"/>
          </w:tcPr>
          <w:p w14:paraId="6289CB59">
            <w:pPr>
              <w:widowControl/>
              <w:spacing w:line="300" w:lineRule="exact"/>
              <w:jc w:val="center"/>
              <w:rPr>
                <w:rFonts w:eastAsia="仿宋_GB2312"/>
                <w:kern w:val="0"/>
                <w:szCs w:val="21"/>
              </w:rPr>
            </w:pPr>
            <w:r>
              <w:rPr>
                <w:rFonts w:eastAsia="仿宋_GB2312"/>
                <w:kern w:val="0"/>
                <w:szCs w:val="21"/>
              </w:rPr>
              <w:t>900-405-06</w:t>
            </w:r>
          </w:p>
        </w:tc>
        <w:tc>
          <w:tcPr>
            <w:tcW w:w="1329" w:type="pct"/>
            <w:vAlign w:val="center"/>
          </w:tcPr>
          <w:p w14:paraId="70A80859">
            <w:pPr>
              <w:widowControl/>
              <w:spacing w:line="300" w:lineRule="exact"/>
              <w:jc w:val="center"/>
              <w:rPr>
                <w:rFonts w:eastAsia="仿宋_GB2312"/>
                <w:kern w:val="0"/>
                <w:szCs w:val="21"/>
              </w:rPr>
            </w:pPr>
            <w:r>
              <w:rPr>
                <w:rFonts w:hint="eastAsia" w:eastAsia="仿宋_GB2312"/>
                <w:kern w:val="0"/>
                <w:szCs w:val="21"/>
              </w:rPr>
              <w:t>425.607</w:t>
            </w:r>
          </w:p>
        </w:tc>
      </w:tr>
      <w:tr w14:paraId="68910F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40" w:hRule="atLeast"/>
          <w:jc w:val="center"/>
        </w:trPr>
        <w:tc>
          <w:tcPr>
            <w:tcW w:w="1338" w:type="pct"/>
            <w:vAlign w:val="center"/>
          </w:tcPr>
          <w:p w14:paraId="6842C89C">
            <w:pPr>
              <w:widowControl/>
              <w:spacing w:line="300" w:lineRule="exact"/>
              <w:jc w:val="center"/>
              <w:rPr>
                <w:rFonts w:eastAsia="仿宋_GB2312"/>
                <w:kern w:val="0"/>
                <w:szCs w:val="21"/>
              </w:rPr>
            </w:pPr>
            <w:r>
              <w:rPr>
                <w:rFonts w:eastAsia="仿宋_GB2312"/>
                <w:kern w:val="0"/>
                <w:szCs w:val="21"/>
              </w:rPr>
              <w:t>精馏残渣</w:t>
            </w:r>
          </w:p>
        </w:tc>
        <w:tc>
          <w:tcPr>
            <w:tcW w:w="1000" w:type="pct"/>
            <w:vAlign w:val="center"/>
          </w:tcPr>
          <w:p w14:paraId="4CFE5F9A">
            <w:pPr>
              <w:widowControl/>
              <w:spacing w:line="300" w:lineRule="exact"/>
              <w:jc w:val="center"/>
              <w:rPr>
                <w:rFonts w:eastAsia="仿宋_GB2312"/>
                <w:kern w:val="0"/>
                <w:szCs w:val="21"/>
              </w:rPr>
            </w:pPr>
            <w:r>
              <w:rPr>
                <w:rFonts w:eastAsia="仿宋_GB2312"/>
                <w:kern w:val="0"/>
                <w:szCs w:val="21"/>
              </w:rPr>
              <w:t>HW06</w:t>
            </w:r>
          </w:p>
        </w:tc>
        <w:tc>
          <w:tcPr>
            <w:tcW w:w="1331" w:type="pct"/>
            <w:vAlign w:val="center"/>
          </w:tcPr>
          <w:p w14:paraId="2605FFB5">
            <w:pPr>
              <w:widowControl/>
              <w:spacing w:line="300" w:lineRule="exact"/>
              <w:jc w:val="center"/>
              <w:rPr>
                <w:rFonts w:eastAsia="仿宋_GB2312"/>
                <w:kern w:val="0"/>
                <w:szCs w:val="21"/>
              </w:rPr>
            </w:pPr>
            <w:r>
              <w:rPr>
                <w:rFonts w:eastAsia="仿宋_GB2312"/>
                <w:kern w:val="0"/>
                <w:szCs w:val="21"/>
              </w:rPr>
              <w:t>900-407-06</w:t>
            </w:r>
          </w:p>
        </w:tc>
        <w:tc>
          <w:tcPr>
            <w:tcW w:w="1329" w:type="pct"/>
            <w:vAlign w:val="center"/>
          </w:tcPr>
          <w:p w14:paraId="2302DB65">
            <w:pPr>
              <w:widowControl/>
              <w:spacing w:line="300" w:lineRule="exact"/>
              <w:jc w:val="center"/>
              <w:rPr>
                <w:rFonts w:eastAsia="仿宋_GB2312"/>
                <w:kern w:val="0"/>
                <w:szCs w:val="21"/>
              </w:rPr>
            </w:pPr>
            <w:r>
              <w:rPr>
                <w:rFonts w:hint="eastAsia" w:eastAsia="仿宋_GB2312"/>
                <w:kern w:val="0"/>
                <w:szCs w:val="21"/>
              </w:rPr>
              <w:t>2735.205</w:t>
            </w:r>
          </w:p>
        </w:tc>
      </w:tr>
      <w:tr w14:paraId="23A678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40" w:hRule="atLeast"/>
          <w:jc w:val="center"/>
        </w:trPr>
        <w:tc>
          <w:tcPr>
            <w:tcW w:w="1338" w:type="pct"/>
            <w:vAlign w:val="center"/>
          </w:tcPr>
          <w:p w14:paraId="149BAD43">
            <w:pPr>
              <w:widowControl/>
              <w:spacing w:line="300" w:lineRule="exact"/>
              <w:jc w:val="center"/>
              <w:rPr>
                <w:rFonts w:eastAsia="仿宋_GB2312"/>
                <w:kern w:val="0"/>
                <w:szCs w:val="21"/>
              </w:rPr>
            </w:pPr>
            <w:r>
              <w:rPr>
                <w:rFonts w:eastAsia="仿宋_GB2312"/>
                <w:bCs/>
                <w:szCs w:val="21"/>
              </w:rPr>
              <w:t>釜底残液</w:t>
            </w:r>
          </w:p>
        </w:tc>
        <w:tc>
          <w:tcPr>
            <w:tcW w:w="1000" w:type="pct"/>
            <w:vAlign w:val="center"/>
          </w:tcPr>
          <w:p w14:paraId="67CFCB4F">
            <w:pPr>
              <w:widowControl/>
              <w:spacing w:line="300" w:lineRule="exact"/>
              <w:jc w:val="center"/>
              <w:rPr>
                <w:rFonts w:eastAsia="仿宋_GB2312"/>
                <w:kern w:val="0"/>
                <w:szCs w:val="21"/>
              </w:rPr>
            </w:pPr>
            <w:r>
              <w:rPr>
                <w:rFonts w:eastAsia="仿宋_GB2312"/>
                <w:kern w:val="0"/>
                <w:szCs w:val="21"/>
              </w:rPr>
              <w:t>HW06</w:t>
            </w:r>
          </w:p>
        </w:tc>
        <w:tc>
          <w:tcPr>
            <w:tcW w:w="1331" w:type="pct"/>
            <w:vAlign w:val="center"/>
          </w:tcPr>
          <w:p w14:paraId="508A35D4">
            <w:pPr>
              <w:widowControl/>
              <w:spacing w:line="300" w:lineRule="exact"/>
              <w:jc w:val="center"/>
              <w:rPr>
                <w:rFonts w:eastAsia="仿宋_GB2312"/>
                <w:kern w:val="0"/>
                <w:szCs w:val="21"/>
              </w:rPr>
            </w:pPr>
            <w:r>
              <w:rPr>
                <w:rFonts w:eastAsia="仿宋_GB2312"/>
                <w:kern w:val="0"/>
                <w:szCs w:val="21"/>
              </w:rPr>
              <w:t>900-407-06</w:t>
            </w:r>
          </w:p>
        </w:tc>
        <w:tc>
          <w:tcPr>
            <w:tcW w:w="1329" w:type="pct"/>
            <w:vAlign w:val="center"/>
          </w:tcPr>
          <w:p w14:paraId="2E219E90">
            <w:pPr>
              <w:widowControl/>
              <w:spacing w:line="300" w:lineRule="exact"/>
              <w:jc w:val="center"/>
              <w:rPr>
                <w:rFonts w:eastAsia="仿宋_GB2312"/>
                <w:kern w:val="0"/>
                <w:szCs w:val="21"/>
              </w:rPr>
            </w:pPr>
            <w:r>
              <w:rPr>
                <w:rFonts w:eastAsia="仿宋_GB2312"/>
                <w:kern w:val="0"/>
                <w:szCs w:val="21"/>
              </w:rPr>
              <w:t>554.971</w:t>
            </w:r>
          </w:p>
        </w:tc>
      </w:tr>
      <w:tr w14:paraId="5C9210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40" w:hRule="atLeast"/>
          <w:jc w:val="center"/>
        </w:trPr>
        <w:tc>
          <w:tcPr>
            <w:tcW w:w="1338" w:type="pct"/>
            <w:vAlign w:val="center"/>
          </w:tcPr>
          <w:p w14:paraId="15A20C90">
            <w:pPr>
              <w:widowControl/>
              <w:spacing w:line="300" w:lineRule="exact"/>
              <w:jc w:val="center"/>
              <w:rPr>
                <w:rFonts w:eastAsia="仿宋_GB2312"/>
                <w:kern w:val="0"/>
                <w:szCs w:val="21"/>
              </w:rPr>
            </w:pPr>
            <w:r>
              <w:rPr>
                <w:rFonts w:eastAsia="仿宋_GB2312"/>
                <w:kern w:val="0"/>
                <w:szCs w:val="21"/>
              </w:rPr>
              <w:t>冷凝废液</w:t>
            </w:r>
          </w:p>
        </w:tc>
        <w:tc>
          <w:tcPr>
            <w:tcW w:w="1000" w:type="pct"/>
            <w:vAlign w:val="center"/>
          </w:tcPr>
          <w:p w14:paraId="20AACA92">
            <w:pPr>
              <w:widowControl/>
              <w:spacing w:line="300" w:lineRule="exact"/>
              <w:jc w:val="center"/>
              <w:rPr>
                <w:rFonts w:eastAsia="仿宋_GB2312"/>
                <w:kern w:val="0"/>
                <w:szCs w:val="21"/>
              </w:rPr>
            </w:pPr>
            <w:r>
              <w:rPr>
                <w:rFonts w:eastAsia="仿宋_GB2312"/>
                <w:kern w:val="0"/>
                <w:szCs w:val="21"/>
              </w:rPr>
              <w:t>HW06</w:t>
            </w:r>
          </w:p>
        </w:tc>
        <w:tc>
          <w:tcPr>
            <w:tcW w:w="1331" w:type="pct"/>
            <w:vAlign w:val="center"/>
          </w:tcPr>
          <w:p w14:paraId="1EC219F8">
            <w:pPr>
              <w:widowControl/>
              <w:spacing w:line="300" w:lineRule="exact"/>
              <w:jc w:val="center"/>
              <w:rPr>
                <w:rFonts w:eastAsia="仿宋_GB2312"/>
                <w:kern w:val="0"/>
                <w:szCs w:val="21"/>
              </w:rPr>
            </w:pPr>
            <w:r>
              <w:rPr>
                <w:rFonts w:eastAsia="仿宋_GB2312"/>
                <w:kern w:val="0"/>
                <w:szCs w:val="21"/>
              </w:rPr>
              <w:t>900-404-06</w:t>
            </w:r>
          </w:p>
        </w:tc>
        <w:tc>
          <w:tcPr>
            <w:tcW w:w="1329" w:type="pct"/>
            <w:vAlign w:val="center"/>
          </w:tcPr>
          <w:p w14:paraId="43BB27DB">
            <w:pPr>
              <w:widowControl/>
              <w:spacing w:line="300" w:lineRule="exact"/>
              <w:jc w:val="center"/>
              <w:rPr>
                <w:rFonts w:eastAsia="仿宋_GB2312"/>
                <w:kern w:val="0"/>
                <w:szCs w:val="21"/>
              </w:rPr>
            </w:pPr>
            <w:r>
              <w:rPr>
                <w:rFonts w:hint="eastAsia" w:eastAsia="仿宋_GB2312"/>
                <w:kern w:val="0"/>
                <w:szCs w:val="21"/>
              </w:rPr>
              <w:t>3177.362</w:t>
            </w:r>
          </w:p>
        </w:tc>
      </w:tr>
    </w:tbl>
    <w:p w14:paraId="62495D07">
      <w:pPr>
        <w:spacing w:line="500" w:lineRule="exact"/>
        <w:ind w:firstLine="562"/>
        <w:rPr>
          <w:rFonts w:hint="default" w:eastAsia="仿宋_GB2312"/>
          <w:b/>
          <w:bCs/>
          <w:color w:val="auto"/>
          <w:sz w:val="28"/>
          <w:szCs w:val="28"/>
          <w:lang w:val="en-US" w:eastAsia="zh-CN"/>
        </w:rPr>
      </w:pPr>
      <w:r>
        <w:rPr>
          <w:rFonts w:hint="eastAsia" w:eastAsia="仿宋_GB2312"/>
          <w:b/>
          <w:bCs/>
          <w:color w:val="auto"/>
          <w:sz w:val="28"/>
          <w:szCs w:val="28"/>
          <w:lang w:val="en-US" w:eastAsia="zh-CN"/>
        </w:rPr>
        <w:t>二、现有2#焚烧炉出渣方式优化改造</w:t>
      </w:r>
    </w:p>
    <w:p w14:paraId="08CFFFC8">
      <w:pPr>
        <w:widowControl/>
        <w:spacing w:line="500" w:lineRule="exact"/>
        <w:ind w:firstLine="700" w:firstLineChars="250"/>
        <w:jc w:val="left"/>
        <w:rPr>
          <w:rFonts w:hint="default"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盈天公司现2#焚烧炉出渣方式为湿式出渣，焚烧废渣（HW18，772-003-18）产生量为5371.9t/a，废渣含水率</w:t>
      </w:r>
      <w:r>
        <w:rPr>
          <w:rFonts w:hint="eastAsia" w:eastAsia="仿宋_GB2312" w:cs="Times New Roman"/>
          <w:color w:val="auto"/>
          <w:sz w:val="28"/>
          <w:szCs w:val="28"/>
          <w:lang w:val="en-US" w:eastAsia="zh-CN"/>
        </w:rPr>
        <w:t>23.2</w:t>
      </w:r>
      <w:r>
        <w:rPr>
          <w:rFonts w:hint="eastAsia" w:ascii="Times New Roman" w:hAnsi="Times New Roman" w:eastAsia="仿宋_GB2312" w:cs="Times New Roman"/>
          <w:color w:val="auto"/>
          <w:sz w:val="28"/>
          <w:szCs w:val="28"/>
          <w:lang w:val="en-US" w:eastAsia="zh-CN"/>
        </w:rPr>
        <w:t>%</w:t>
      </w:r>
      <w:r>
        <w:rPr>
          <w:rFonts w:hint="eastAsia" w:eastAsia="仿宋_GB2312" w:cs="Times New Roman"/>
          <w:color w:val="auto"/>
          <w:sz w:val="28"/>
          <w:szCs w:val="28"/>
          <w:lang w:val="en-US" w:eastAsia="zh-CN"/>
        </w:rPr>
        <w:t>（取盈天公司2026年1~6月所有出厂废渣含水率平均值）</w:t>
      </w:r>
      <w:r>
        <w:rPr>
          <w:rFonts w:hint="eastAsia" w:ascii="Times New Roman" w:hAnsi="Times New Roman" w:eastAsia="仿宋_GB2312" w:cs="Times New Roman"/>
          <w:color w:val="auto"/>
          <w:sz w:val="28"/>
          <w:szCs w:val="28"/>
          <w:lang w:val="en-US" w:eastAsia="zh-CN"/>
        </w:rPr>
        <w:t>。为进一步满足固废减量化、安全化、资源化的原则和企业自身发展的需要，盈天公司拟对出渣系统进行优化改造，将原湿式出渣改造为干式出渣。具体改造内容如下：</w:t>
      </w:r>
    </w:p>
    <w:p w14:paraId="7A094055">
      <w:pPr>
        <w:widowControl/>
        <w:spacing w:line="500" w:lineRule="exact"/>
        <w:ind w:firstLine="700" w:firstLineChars="25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①</w:t>
      </w:r>
      <w:r>
        <w:rPr>
          <w:rFonts w:hint="eastAsia" w:ascii="Times New Roman" w:hAnsi="Times New Roman" w:eastAsia="仿宋_GB2312" w:cs="Times New Roman"/>
          <w:color w:val="auto"/>
          <w:sz w:val="28"/>
          <w:szCs w:val="28"/>
          <w:lang w:val="en-US" w:eastAsia="zh-CN"/>
        </w:rPr>
        <w:t>改造方案</w:t>
      </w:r>
    </w:p>
    <w:p w14:paraId="4A7AA0F5">
      <w:pPr>
        <w:widowControl/>
        <w:spacing w:line="500" w:lineRule="exact"/>
        <w:ind w:firstLine="700" w:firstLineChars="250"/>
        <w:jc w:val="left"/>
        <w:rPr>
          <w:rFonts w:hint="default"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现有工艺：回砖窑/二燃室产生的炉渣自由落入水封刮板出渣机，被冷却后的炉渣由输送机送至渣箱中（输送过程完成除铁），工艺流程图如下。</w:t>
      </w:r>
    </w:p>
    <w:p w14:paraId="0553767B">
      <w:pPr>
        <w:widowControl/>
        <w:spacing w:line="240" w:lineRule="auto"/>
        <w:ind w:left="0" w:leftChars="0" w:firstLine="0" w:firstLineChars="0"/>
        <w:jc w:val="center"/>
        <w:rPr>
          <w:rFonts w:hint="eastAsia"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object>
          <v:shape id="_x0000_i1029" o:spt="75" type="#_x0000_t75" style="height:23.9pt;width:399.3pt;" o:ole="t" filled="f" o:preferrelative="t" stroked="f" coordsize="21600,21600">
            <v:path/>
            <v:fill on="f" focussize="0,0"/>
            <v:stroke on="f"/>
            <v:imagedata r:id="rId23" o:title=""/>
            <o:lock v:ext="edit" aspectratio="f"/>
            <w10:wrap type="none"/>
            <w10:anchorlock/>
          </v:shape>
          <o:OLEObject Type="Embed" ProgID="Visio.Drawing.15" ShapeID="_x0000_i1029" DrawAspect="Content" ObjectID="_1468075729" r:id="rId22">
            <o:LockedField>false</o:LockedField>
          </o:OLEObject>
        </w:object>
      </w:r>
    </w:p>
    <w:p w14:paraId="6A3D2158">
      <w:pPr>
        <w:spacing w:line="500" w:lineRule="exact"/>
        <w:jc w:val="center"/>
        <w:rPr>
          <w:rFonts w:hint="default" w:ascii="Times New Roman" w:hAnsi="Times New Roman" w:eastAsia="仿宋_GB2312" w:cs="Times New Roman"/>
          <w:b/>
          <w:color w:val="auto"/>
          <w:sz w:val="24"/>
          <w:lang w:val="en-US" w:eastAsia="zh-CN"/>
        </w:rPr>
      </w:pPr>
      <w:r>
        <w:rPr>
          <w:rFonts w:hint="eastAsia" w:ascii="Times New Roman" w:hAnsi="Times New Roman" w:eastAsia="仿宋_GB2312" w:cs="Times New Roman"/>
          <w:b/>
          <w:color w:val="auto"/>
          <w:sz w:val="24"/>
          <w:lang w:val="en-US" w:eastAsia="zh-CN"/>
        </w:rPr>
        <w:t>图3.1-5  原2#焚烧炉湿式出渣方式</w:t>
      </w:r>
    </w:p>
    <w:p w14:paraId="2B3EFB40">
      <w:pPr>
        <w:widowControl/>
        <w:spacing w:line="500" w:lineRule="exact"/>
        <w:ind w:firstLine="700" w:firstLineChars="250"/>
        <w:jc w:val="left"/>
        <w:rPr>
          <w:rFonts w:hint="default"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改造后工艺：回砖窑/二燃室产生的炉渣采用干式水冷刮板机将灰渣从落料口传送出来，出渣机采用水循环冷却，出渣口设置2道密封液压插板阀，灰渣进入冷渣机，冷渣机通过水喷淋/水槽间接降温，将灰渣冷却至20-70℃灰渣进入输送机（输送过程完成除铁），以上工序均为密闭操作。灰渣到尾部集料桶收集，收集过程在隔间内进行，隔间进行整体换风（风量约为150m</w:t>
      </w:r>
      <w:r>
        <w:rPr>
          <w:rFonts w:hint="eastAsia" w:ascii="Times New Roman" w:hAnsi="Times New Roman" w:eastAsia="仿宋_GB2312" w:cs="Times New Roman"/>
          <w:color w:val="auto"/>
          <w:sz w:val="28"/>
          <w:szCs w:val="28"/>
          <w:vertAlign w:val="superscript"/>
          <w:lang w:val="en-US" w:eastAsia="zh-CN"/>
        </w:rPr>
        <w:t>3</w:t>
      </w:r>
      <w:r>
        <w:rPr>
          <w:rFonts w:hint="eastAsia" w:ascii="Times New Roman" w:hAnsi="Times New Roman" w:eastAsia="仿宋_GB2312" w:cs="Times New Roman"/>
          <w:color w:val="auto"/>
          <w:sz w:val="28"/>
          <w:szCs w:val="28"/>
          <w:lang w:val="en-US" w:eastAsia="zh-CN"/>
        </w:rPr>
        <w:t>/h），经布袋除尘后通入干式脱酸塔同焚烧炉主体工艺尾气一同经后续治理设施处理。因此，本次不再定量考虑灰渣收集过程产生的少量粉尘。</w:t>
      </w:r>
    </w:p>
    <w:p w14:paraId="1FCD6AE1">
      <w:pPr>
        <w:spacing w:line="500" w:lineRule="exact"/>
        <w:jc w:val="center"/>
        <w:rPr>
          <w:rFonts w:hint="default" w:ascii="Times New Roman" w:hAnsi="Times New Roman" w:eastAsia="仿宋_GB2312" w:cs="Times New Roman"/>
          <w:b/>
          <w:color w:val="auto"/>
          <w:sz w:val="24"/>
          <w:lang w:val="en-US" w:eastAsia="zh-CN"/>
        </w:rPr>
      </w:pPr>
      <w:r>
        <w:rPr>
          <w:rFonts w:hint="eastAsia" w:ascii="Times New Roman" w:hAnsi="Times New Roman" w:eastAsia="仿宋_GB2312" w:cs="Times New Roman"/>
          <w:color w:val="auto"/>
          <w:sz w:val="28"/>
          <w:szCs w:val="28"/>
          <w:lang w:val="en-US" w:eastAsia="zh-CN"/>
        </w:rPr>
        <w:object>
          <v:shape id="_x0000_i1030" o:spt="75" type="#_x0000_t75" style="height:21.2pt;width:415.95pt;" o:ole="t" filled="f" o:preferrelative="t" stroked="f" coordsize="21600,21600">
            <v:path/>
            <v:fill on="f" focussize="0,0"/>
            <v:stroke on="f"/>
            <v:imagedata r:id="rId25" o:title=""/>
            <o:lock v:ext="edit" aspectratio="f"/>
            <w10:wrap type="none"/>
            <w10:anchorlock/>
          </v:shape>
          <o:OLEObject Type="Embed" ProgID="Visio.Drawing.15" ShapeID="_x0000_i1030" DrawAspect="Content" ObjectID="_1468075730" r:id="rId24">
            <o:LockedField>false</o:LockedField>
          </o:OLEObject>
        </w:object>
      </w:r>
      <w:r>
        <w:rPr>
          <w:rFonts w:hint="eastAsia" w:ascii="Times New Roman" w:hAnsi="Times New Roman" w:eastAsia="仿宋_GB2312" w:cs="Times New Roman"/>
          <w:b/>
          <w:color w:val="auto"/>
          <w:sz w:val="24"/>
          <w:lang w:val="en-US" w:eastAsia="zh-CN"/>
        </w:rPr>
        <w:t>图3.1-6  改造后2#焚烧炉干式出渣方式</w:t>
      </w:r>
    </w:p>
    <w:p w14:paraId="7D8ED5BD">
      <w:pPr>
        <w:widowControl/>
        <w:spacing w:line="500" w:lineRule="exact"/>
        <w:ind w:firstLine="700" w:firstLineChars="25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②</w:t>
      </w:r>
      <w:r>
        <w:rPr>
          <w:rFonts w:hint="eastAsia" w:ascii="Times New Roman" w:hAnsi="Times New Roman" w:eastAsia="仿宋_GB2312" w:cs="Times New Roman"/>
          <w:color w:val="auto"/>
          <w:sz w:val="28"/>
          <w:szCs w:val="28"/>
          <w:lang w:val="en-US" w:eastAsia="zh-CN"/>
        </w:rPr>
        <w:t>新增设备</w:t>
      </w:r>
    </w:p>
    <w:p w14:paraId="6D0C3452">
      <w:pPr>
        <w:widowControl/>
        <w:spacing w:line="500" w:lineRule="exact"/>
        <w:ind w:firstLine="700" w:firstLineChars="250"/>
        <w:jc w:val="left"/>
        <w:rPr>
          <w:rFonts w:hint="default"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优化改造后新增的主要设备见下表：</w:t>
      </w:r>
    </w:p>
    <w:p w14:paraId="36420ECC">
      <w:pPr>
        <w:spacing w:line="500" w:lineRule="exact"/>
        <w:jc w:val="center"/>
        <w:rPr>
          <w:rFonts w:eastAsia="仿宋_GB2312"/>
          <w:b/>
          <w:color w:val="auto"/>
          <w:sz w:val="24"/>
        </w:rPr>
      </w:pPr>
      <w:r>
        <w:rPr>
          <w:rFonts w:eastAsia="仿宋_GB2312"/>
          <w:b/>
          <w:color w:val="auto"/>
          <w:sz w:val="24"/>
        </w:rPr>
        <w:t>表3.1-2</w:t>
      </w:r>
      <w:r>
        <w:rPr>
          <w:rFonts w:hint="eastAsia" w:eastAsia="仿宋_GB2312"/>
          <w:b/>
          <w:color w:val="auto"/>
          <w:sz w:val="24"/>
          <w:lang w:val="en-US" w:eastAsia="zh-CN"/>
        </w:rPr>
        <w:t>4</w:t>
      </w:r>
      <w:r>
        <w:rPr>
          <w:rFonts w:eastAsia="仿宋_GB2312"/>
          <w:b/>
          <w:color w:val="auto"/>
          <w:sz w:val="24"/>
        </w:rPr>
        <w:t xml:space="preserve">  固废削减量统计表</w:t>
      </w:r>
    </w:p>
    <w:tbl>
      <w:tblPr>
        <w:tblStyle w:val="882"/>
        <w:tblW w:w="4998"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650"/>
        <w:gridCol w:w="1253"/>
        <w:gridCol w:w="5505"/>
        <w:gridCol w:w="952"/>
      </w:tblGrid>
      <w:tr w14:paraId="776B98E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40" w:hRule="atLeast"/>
          <w:jc w:val="center"/>
        </w:trPr>
        <w:tc>
          <w:tcPr>
            <w:tcW w:w="389" w:type="pct"/>
            <w:vAlign w:val="center"/>
          </w:tcPr>
          <w:p w14:paraId="001AD1AE">
            <w:pPr>
              <w:pStyle w:val="487"/>
              <w:adjustRightInd w:val="0"/>
              <w:snapToGrid w:val="0"/>
              <w:spacing w:line="320" w:lineRule="exact"/>
              <w:rPr>
                <w:rFonts w:hint="eastAsia" w:ascii="Times New Roman" w:hAnsi="Times New Roman" w:eastAsia="仿宋_GB2312" w:cs="Times New Roman"/>
                <w:b/>
                <w:lang w:val="en-US" w:eastAsia="zh-CN"/>
              </w:rPr>
            </w:pPr>
            <w:r>
              <w:rPr>
                <w:rFonts w:hint="eastAsia" w:ascii="Times New Roman" w:hAnsi="Times New Roman" w:cs="Times New Roman"/>
                <w:b/>
                <w:lang w:val="en-US" w:eastAsia="zh-CN"/>
              </w:rPr>
              <w:t>序号</w:t>
            </w:r>
          </w:p>
        </w:tc>
        <w:tc>
          <w:tcPr>
            <w:tcW w:w="749" w:type="pct"/>
            <w:vAlign w:val="center"/>
          </w:tcPr>
          <w:p w14:paraId="2445ED8A">
            <w:pPr>
              <w:pStyle w:val="487"/>
              <w:adjustRightInd w:val="0"/>
              <w:snapToGrid w:val="0"/>
              <w:spacing w:line="320" w:lineRule="exact"/>
              <w:rPr>
                <w:rFonts w:hint="default" w:ascii="Times New Roman" w:hAnsi="Times New Roman" w:eastAsia="仿宋_GB2312" w:cs="Times New Roman"/>
                <w:b/>
                <w:lang w:val="en-US" w:eastAsia="zh-CN"/>
              </w:rPr>
            </w:pPr>
            <w:r>
              <w:rPr>
                <w:rFonts w:hint="eastAsia" w:ascii="Times New Roman" w:hAnsi="Times New Roman" w:cs="Times New Roman"/>
                <w:b/>
                <w:lang w:val="en-US" w:eastAsia="zh-CN"/>
              </w:rPr>
              <w:t>设备名称</w:t>
            </w:r>
          </w:p>
        </w:tc>
        <w:tc>
          <w:tcPr>
            <w:tcW w:w="3291" w:type="pct"/>
            <w:vAlign w:val="center"/>
          </w:tcPr>
          <w:p w14:paraId="058873ED">
            <w:pPr>
              <w:pStyle w:val="487"/>
              <w:adjustRightInd w:val="0"/>
              <w:snapToGrid w:val="0"/>
              <w:spacing w:line="320" w:lineRule="exact"/>
              <w:rPr>
                <w:rFonts w:hint="default" w:ascii="Times New Roman" w:hAnsi="Times New Roman" w:eastAsia="仿宋_GB2312" w:cs="Times New Roman"/>
                <w:b/>
                <w:lang w:val="en-US" w:eastAsia="zh-CN"/>
              </w:rPr>
            </w:pPr>
            <w:r>
              <w:rPr>
                <w:rFonts w:hint="eastAsia" w:ascii="Times New Roman" w:hAnsi="Times New Roman" w:cs="Times New Roman"/>
                <w:b/>
                <w:lang w:val="en-US" w:eastAsia="zh-CN"/>
              </w:rPr>
              <w:t>设备规格</w:t>
            </w:r>
          </w:p>
        </w:tc>
        <w:tc>
          <w:tcPr>
            <w:tcW w:w="569" w:type="pct"/>
            <w:vAlign w:val="center"/>
          </w:tcPr>
          <w:p w14:paraId="264308DD">
            <w:pPr>
              <w:pStyle w:val="487"/>
              <w:adjustRightInd w:val="0"/>
              <w:snapToGrid w:val="0"/>
              <w:spacing w:line="320" w:lineRule="exact"/>
              <w:rPr>
                <w:rFonts w:hint="eastAsia" w:ascii="Times New Roman" w:hAnsi="Times New Roman" w:eastAsia="仿宋_GB2312" w:cs="Times New Roman"/>
                <w:b/>
                <w:lang w:eastAsia="zh-CN"/>
              </w:rPr>
            </w:pPr>
            <w:r>
              <w:rPr>
                <w:rFonts w:hint="eastAsia" w:ascii="Times New Roman" w:hAnsi="Times New Roman" w:cs="Times New Roman"/>
                <w:b/>
                <w:lang w:val="en-US" w:eastAsia="zh-CN"/>
              </w:rPr>
              <w:t>数量（套）</w:t>
            </w:r>
          </w:p>
        </w:tc>
      </w:tr>
      <w:tr w14:paraId="79D729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40" w:hRule="atLeast"/>
          <w:jc w:val="center"/>
        </w:trPr>
        <w:tc>
          <w:tcPr>
            <w:tcW w:w="389" w:type="pct"/>
            <w:vAlign w:val="center"/>
          </w:tcPr>
          <w:p w14:paraId="540E6900">
            <w:pPr>
              <w:widowControl/>
              <w:spacing w:line="300" w:lineRule="exact"/>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w:t>
            </w:r>
          </w:p>
        </w:tc>
        <w:tc>
          <w:tcPr>
            <w:tcW w:w="749" w:type="pct"/>
            <w:vAlign w:val="center"/>
          </w:tcPr>
          <w:p w14:paraId="2F2A6163">
            <w:pPr>
              <w:widowControl/>
              <w:spacing w:line="300" w:lineRule="exact"/>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水冷出渣机</w:t>
            </w:r>
          </w:p>
        </w:tc>
        <w:tc>
          <w:tcPr>
            <w:tcW w:w="3291" w:type="pct"/>
            <w:vAlign w:val="center"/>
          </w:tcPr>
          <w:p w14:paraId="697B6B7D">
            <w:pPr>
              <w:widowControl/>
              <w:spacing w:line="300" w:lineRule="exact"/>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总长L=12.9m，H=1350mm，中间隔板：NM400，16mm内部侧板：Q345，10mm，水夹套内板加强，水加套厚度：100mm；水夹套外板：Q235，8mm，刮板：Q345，16mm，加强底板：Q235，12mm；链条衬板：NM400耐磨钢16mm；压板：NM400耐磨钢20mm；模锻链20CrMnTi，P=200，链条刮板专用喷雾装置3套，国泰硬齿面减速机，皖南电机变频；</w:t>
            </w:r>
          </w:p>
        </w:tc>
        <w:tc>
          <w:tcPr>
            <w:tcW w:w="569" w:type="pct"/>
            <w:vAlign w:val="center"/>
          </w:tcPr>
          <w:p w14:paraId="24CDB2D9">
            <w:pPr>
              <w:widowControl/>
              <w:spacing w:line="300" w:lineRule="exact"/>
              <w:jc w:val="center"/>
              <w:rPr>
                <w:rFonts w:hint="eastAsia" w:eastAsia="仿宋_GB2312"/>
                <w:kern w:val="0"/>
                <w:szCs w:val="21"/>
                <w:lang w:val="en-US" w:eastAsia="zh-CN"/>
              </w:rPr>
            </w:pPr>
            <w:r>
              <w:rPr>
                <w:rFonts w:hint="eastAsia" w:eastAsia="仿宋_GB2312"/>
                <w:kern w:val="0"/>
                <w:szCs w:val="21"/>
                <w:lang w:val="en-US" w:eastAsia="zh-CN"/>
              </w:rPr>
              <w:t>1</w:t>
            </w:r>
          </w:p>
        </w:tc>
      </w:tr>
      <w:tr w14:paraId="75B841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40" w:hRule="atLeast"/>
          <w:jc w:val="center"/>
        </w:trPr>
        <w:tc>
          <w:tcPr>
            <w:tcW w:w="389" w:type="pct"/>
            <w:shd w:val="clear" w:color="auto" w:fill="auto"/>
            <w:vAlign w:val="center"/>
          </w:tcPr>
          <w:p w14:paraId="5A03D966">
            <w:pPr>
              <w:widowControl/>
              <w:spacing w:line="300" w:lineRule="exact"/>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w:t>
            </w:r>
          </w:p>
        </w:tc>
        <w:tc>
          <w:tcPr>
            <w:tcW w:w="749" w:type="pct"/>
            <w:shd w:val="clear" w:color="auto" w:fill="auto"/>
            <w:vAlign w:val="center"/>
          </w:tcPr>
          <w:p w14:paraId="11500E03">
            <w:pPr>
              <w:widowControl/>
              <w:spacing w:line="300" w:lineRule="exact"/>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循环冷却系统</w:t>
            </w:r>
          </w:p>
        </w:tc>
        <w:tc>
          <w:tcPr>
            <w:tcW w:w="3291" w:type="pct"/>
            <w:shd w:val="clear" w:color="auto" w:fill="auto"/>
            <w:vAlign w:val="center"/>
          </w:tcPr>
          <w:p w14:paraId="0A945215">
            <w:pPr>
              <w:widowControl/>
              <w:spacing w:line="300" w:lineRule="exact"/>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循环水泵2套，流量2t/h，扬程15m；链条刮板专用喷雾装置3套，附喷淋管路；</w:t>
            </w:r>
          </w:p>
        </w:tc>
        <w:tc>
          <w:tcPr>
            <w:tcW w:w="569" w:type="pct"/>
            <w:vAlign w:val="center"/>
          </w:tcPr>
          <w:p w14:paraId="27AE8AB8">
            <w:pPr>
              <w:widowControl/>
              <w:spacing w:line="300" w:lineRule="exact"/>
              <w:jc w:val="center"/>
              <w:rPr>
                <w:rFonts w:hint="eastAsia" w:eastAsia="仿宋_GB2312"/>
                <w:kern w:val="0"/>
                <w:szCs w:val="21"/>
                <w:lang w:val="en-US" w:eastAsia="zh-CN"/>
              </w:rPr>
            </w:pPr>
            <w:r>
              <w:rPr>
                <w:rFonts w:hint="eastAsia" w:eastAsia="仿宋_GB2312"/>
                <w:kern w:val="0"/>
                <w:szCs w:val="21"/>
                <w:lang w:val="en-US" w:eastAsia="zh-CN"/>
              </w:rPr>
              <w:t>1</w:t>
            </w:r>
          </w:p>
        </w:tc>
      </w:tr>
      <w:tr w14:paraId="16EC97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40" w:hRule="atLeast"/>
          <w:jc w:val="center"/>
        </w:trPr>
        <w:tc>
          <w:tcPr>
            <w:tcW w:w="389" w:type="pct"/>
            <w:shd w:val="clear" w:color="auto" w:fill="auto"/>
            <w:vAlign w:val="center"/>
          </w:tcPr>
          <w:p w14:paraId="5342978A">
            <w:pPr>
              <w:widowControl/>
              <w:spacing w:line="300" w:lineRule="exact"/>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w:t>
            </w:r>
          </w:p>
        </w:tc>
        <w:tc>
          <w:tcPr>
            <w:tcW w:w="749" w:type="pct"/>
            <w:shd w:val="clear" w:color="auto" w:fill="auto"/>
            <w:vAlign w:val="center"/>
          </w:tcPr>
          <w:p w14:paraId="75A2F3D0">
            <w:pPr>
              <w:widowControl/>
              <w:spacing w:line="300" w:lineRule="exact"/>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出渣溜槽</w:t>
            </w:r>
          </w:p>
        </w:tc>
        <w:tc>
          <w:tcPr>
            <w:tcW w:w="3291" w:type="pct"/>
            <w:shd w:val="clear" w:color="auto" w:fill="auto"/>
            <w:vAlign w:val="center"/>
          </w:tcPr>
          <w:p w14:paraId="5768371A">
            <w:pPr>
              <w:widowControl/>
              <w:spacing w:line="300" w:lineRule="exact"/>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外形尺寸：600*600*3000，碳钢防腐</w:t>
            </w:r>
          </w:p>
        </w:tc>
        <w:tc>
          <w:tcPr>
            <w:tcW w:w="569" w:type="pct"/>
            <w:vAlign w:val="center"/>
          </w:tcPr>
          <w:p w14:paraId="2766A6DB">
            <w:pPr>
              <w:widowControl/>
              <w:spacing w:line="300" w:lineRule="exact"/>
              <w:jc w:val="center"/>
              <w:rPr>
                <w:rFonts w:hint="eastAsia" w:eastAsia="仿宋_GB2312"/>
                <w:kern w:val="0"/>
                <w:szCs w:val="21"/>
                <w:lang w:val="en-US" w:eastAsia="zh-CN"/>
              </w:rPr>
            </w:pPr>
            <w:r>
              <w:rPr>
                <w:rFonts w:hint="eastAsia" w:eastAsia="仿宋_GB2312"/>
                <w:kern w:val="0"/>
                <w:szCs w:val="21"/>
                <w:lang w:val="en-US" w:eastAsia="zh-CN"/>
              </w:rPr>
              <w:t>1</w:t>
            </w:r>
          </w:p>
        </w:tc>
      </w:tr>
      <w:tr w14:paraId="7DD4F38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40" w:hRule="atLeast"/>
          <w:jc w:val="center"/>
        </w:trPr>
        <w:tc>
          <w:tcPr>
            <w:tcW w:w="389" w:type="pct"/>
            <w:shd w:val="clear" w:color="auto" w:fill="auto"/>
            <w:vAlign w:val="center"/>
          </w:tcPr>
          <w:p w14:paraId="3D5E2BF5">
            <w:pPr>
              <w:widowControl/>
              <w:spacing w:line="300" w:lineRule="exact"/>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w:t>
            </w:r>
          </w:p>
        </w:tc>
        <w:tc>
          <w:tcPr>
            <w:tcW w:w="749" w:type="pct"/>
            <w:shd w:val="clear" w:color="auto" w:fill="auto"/>
            <w:vAlign w:val="center"/>
          </w:tcPr>
          <w:p w14:paraId="49D19AB3">
            <w:pPr>
              <w:widowControl/>
              <w:spacing w:line="300" w:lineRule="exact"/>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冷渣机</w:t>
            </w:r>
          </w:p>
        </w:tc>
        <w:tc>
          <w:tcPr>
            <w:tcW w:w="3291" w:type="pct"/>
            <w:shd w:val="clear" w:color="auto" w:fill="auto"/>
            <w:vAlign w:val="center"/>
          </w:tcPr>
          <w:p w14:paraId="4ECAE78F">
            <w:pPr>
              <w:widowControl/>
              <w:spacing w:line="300" w:lineRule="exact"/>
              <w:jc w:val="center"/>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lang w:val="en-US" w:eastAsia="zh-CN"/>
              </w:rPr>
              <w:t>Φ1-1.5m*</w:t>
            </w:r>
            <w:r>
              <w:rPr>
                <w:rFonts w:hint="eastAsia" w:ascii="Times New Roman" w:hAnsi="Times New Roman" w:eastAsia="仿宋_GB2312" w:cs="Times New Roman"/>
                <w:kern w:val="0"/>
                <w:szCs w:val="21"/>
                <w:lang w:val="en-US" w:eastAsia="zh-CN"/>
              </w:rPr>
              <w:t>6</w:t>
            </w:r>
            <w:r>
              <w:rPr>
                <w:rFonts w:ascii="Times New Roman" w:hAnsi="Times New Roman" w:eastAsia="仿宋_GB2312" w:cs="Times New Roman"/>
                <w:kern w:val="0"/>
                <w:szCs w:val="21"/>
                <w:lang w:val="en-US" w:eastAsia="zh-CN"/>
              </w:rPr>
              <w:t>m（总长）；附水冷槽，喷淋管路；外支架壳体</w:t>
            </w:r>
          </w:p>
        </w:tc>
        <w:tc>
          <w:tcPr>
            <w:tcW w:w="569" w:type="pct"/>
            <w:vAlign w:val="center"/>
          </w:tcPr>
          <w:p w14:paraId="25108013">
            <w:pPr>
              <w:widowControl/>
              <w:spacing w:line="300" w:lineRule="exact"/>
              <w:jc w:val="center"/>
              <w:rPr>
                <w:rFonts w:hint="eastAsia" w:eastAsia="仿宋_GB2312"/>
                <w:kern w:val="0"/>
                <w:szCs w:val="21"/>
                <w:lang w:val="en-US" w:eastAsia="zh-CN"/>
              </w:rPr>
            </w:pPr>
            <w:r>
              <w:rPr>
                <w:rFonts w:hint="eastAsia" w:eastAsia="仿宋_GB2312"/>
                <w:kern w:val="0"/>
                <w:szCs w:val="21"/>
                <w:lang w:val="en-US" w:eastAsia="zh-CN"/>
              </w:rPr>
              <w:t>1</w:t>
            </w:r>
          </w:p>
        </w:tc>
      </w:tr>
      <w:tr w14:paraId="61BFEF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40" w:hRule="atLeast"/>
          <w:jc w:val="center"/>
        </w:trPr>
        <w:tc>
          <w:tcPr>
            <w:tcW w:w="389" w:type="pct"/>
            <w:shd w:val="clear" w:color="auto" w:fill="auto"/>
            <w:vAlign w:val="center"/>
          </w:tcPr>
          <w:p w14:paraId="123B5964">
            <w:pPr>
              <w:widowControl/>
              <w:spacing w:line="300" w:lineRule="exact"/>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5</w:t>
            </w:r>
          </w:p>
        </w:tc>
        <w:tc>
          <w:tcPr>
            <w:tcW w:w="749" w:type="pct"/>
            <w:shd w:val="clear" w:color="auto" w:fill="auto"/>
            <w:vAlign w:val="center"/>
          </w:tcPr>
          <w:p w14:paraId="31E92252">
            <w:pPr>
              <w:widowControl/>
              <w:spacing w:line="300" w:lineRule="exact"/>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皮带输送机</w:t>
            </w:r>
          </w:p>
        </w:tc>
        <w:tc>
          <w:tcPr>
            <w:tcW w:w="3291" w:type="pct"/>
            <w:shd w:val="clear" w:color="auto" w:fill="auto"/>
            <w:vAlign w:val="center"/>
          </w:tcPr>
          <w:p w14:paraId="78ACE084">
            <w:pPr>
              <w:widowControl/>
              <w:spacing w:line="300" w:lineRule="exact"/>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L型，宽度0.8m，总长度4.5m，耐高温皮带，含整体密封罩</w:t>
            </w:r>
          </w:p>
        </w:tc>
        <w:tc>
          <w:tcPr>
            <w:tcW w:w="569" w:type="pct"/>
            <w:vAlign w:val="center"/>
          </w:tcPr>
          <w:p w14:paraId="5F627256">
            <w:pPr>
              <w:widowControl/>
              <w:spacing w:line="300" w:lineRule="exact"/>
              <w:jc w:val="center"/>
              <w:rPr>
                <w:rFonts w:hint="eastAsia" w:eastAsia="仿宋_GB2312"/>
                <w:kern w:val="0"/>
                <w:szCs w:val="21"/>
                <w:lang w:val="en-US" w:eastAsia="zh-CN"/>
              </w:rPr>
            </w:pPr>
            <w:r>
              <w:rPr>
                <w:rFonts w:hint="eastAsia" w:eastAsia="仿宋_GB2312"/>
                <w:kern w:val="0"/>
                <w:szCs w:val="21"/>
                <w:lang w:val="en-US" w:eastAsia="zh-CN"/>
              </w:rPr>
              <w:t>1</w:t>
            </w:r>
          </w:p>
        </w:tc>
      </w:tr>
      <w:tr w14:paraId="10689A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40" w:hRule="atLeast"/>
          <w:jc w:val="center"/>
        </w:trPr>
        <w:tc>
          <w:tcPr>
            <w:tcW w:w="389" w:type="pct"/>
            <w:shd w:val="clear" w:color="auto" w:fill="auto"/>
            <w:vAlign w:val="center"/>
          </w:tcPr>
          <w:p w14:paraId="7C91D0AD">
            <w:pPr>
              <w:widowControl/>
              <w:spacing w:line="300" w:lineRule="exact"/>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6</w:t>
            </w:r>
          </w:p>
        </w:tc>
        <w:tc>
          <w:tcPr>
            <w:tcW w:w="749" w:type="pct"/>
            <w:shd w:val="clear" w:color="auto" w:fill="auto"/>
            <w:vAlign w:val="center"/>
          </w:tcPr>
          <w:p w14:paraId="0AF60AB5">
            <w:pPr>
              <w:widowControl/>
              <w:spacing w:line="300" w:lineRule="exact"/>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布袋除尘器</w:t>
            </w:r>
          </w:p>
        </w:tc>
        <w:tc>
          <w:tcPr>
            <w:tcW w:w="3291" w:type="pct"/>
            <w:shd w:val="clear" w:color="auto" w:fill="auto"/>
            <w:vAlign w:val="center"/>
          </w:tcPr>
          <w:p w14:paraId="1C5DE9A7">
            <w:pPr>
              <w:widowControl/>
              <w:spacing w:line="300" w:lineRule="exact"/>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外形尺寸1*1*5m，过滤面积20平方，附脉冲阀，控制仪等</w:t>
            </w:r>
          </w:p>
        </w:tc>
        <w:tc>
          <w:tcPr>
            <w:tcW w:w="569" w:type="pct"/>
            <w:vAlign w:val="center"/>
          </w:tcPr>
          <w:p w14:paraId="3C7DF5BE">
            <w:pPr>
              <w:widowControl/>
              <w:spacing w:line="300" w:lineRule="exact"/>
              <w:jc w:val="center"/>
              <w:rPr>
                <w:rFonts w:hint="eastAsia" w:eastAsia="仿宋_GB2312"/>
                <w:kern w:val="0"/>
                <w:szCs w:val="21"/>
                <w:lang w:val="en-US" w:eastAsia="zh-CN"/>
              </w:rPr>
            </w:pPr>
            <w:r>
              <w:rPr>
                <w:rFonts w:hint="eastAsia" w:eastAsia="仿宋_GB2312"/>
                <w:kern w:val="0"/>
                <w:szCs w:val="21"/>
                <w:lang w:val="en-US" w:eastAsia="zh-CN"/>
              </w:rPr>
              <w:t>1</w:t>
            </w:r>
          </w:p>
        </w:tc>
      </w:tr>
    </w:tbl>
    <w:p w14:paraId="58414249">
      <w:pPr>
        <w:widowControl/>
        <w:spacing w:line="500" w:lineRule="exact"/>
        <w:ind w:firstLine="700" w:firstLineChars="25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③</w:t>
      </w:r>
      <w:r>
        <w:rPr>
          <w:rFonts w:hint="eastAsia" w:ascii="Times New Roman" w:hAnsi="Times New Roman" w:eastAsia="仿宋_GB2312" w:cs="Times New Roman"/>
          <w:color w:val="auto"/>
          <w:sz w:val="28"/>
          <w:szCs w:val="28"/>
          <w:lang w:val="en-US" w:eastAsia="zh-CN"/>
        </w:rPr>
        <w:t>固废减量化</w:t>
      </w:r>
      <w:r>
        <w:rPr>
          <w:rFonts w:hint="eastAsia" w:eastAsia="仿宋_GB2312" w:cs="Times New Roman"/>
          <w:color w:val="auto"/>
          <w:sz w:val="28"/>
          <w:szCs w:val="28"/>
          <w:lang w:val="en-US" w:eastAsia="zh-CN"/>
        </w:rPr>
        <w:t>核算</w:t>
      </w:r>
    </w:p>
    <w:p w14:paraId="47D60EED">
      <w:pPr>
        <w:widowControl/>
        <w:spacing w:line="500" w:lineRule="exact"/>
        <w:ind w:firstLine="700" w:firstLineChars="250"/>
        <w:jc w:val="both"/>
        <w:rPr>
          <w:rFonts w:eastAsia="仿宋_GB2312"/>
          <w:color w:val="FF0000"/>
          <w:sz w:val="28"/>
          <w:szCs w:val="28"/>
        </w:rPr>
      </w:pPr>
      <w:r>
        <w:rPr>
          <w:rFonts w:hint="eastAsia" w:ascii="Times New Roman" w:hAnsi="Times New Roman" w:eastAsia="仿宋_GB2312" w:cs="Times New Roman"/>
          <w:color w:val="auto"/>
          <w:sz w:val="28"/>
          <w:szCs w:val="28"/>
          <w:lang w:val="en-US" w:eastAsia="zh-CN"/>
        </w:rPr>
        <w:t>盈天公司原2#焚烧炉出渣方式为湿式出渣，焚烧废渣（HW18，772-003-18）产生量为5371.9t/a，废渣含水率</w:t>
      </w:r>
      <w:r>
        <w:rPr>
          <w:rFonts w:hint="eastAsia" w:eastAsia="仿宋_GB2312" w:cs="Times New Roman"/>
          <w:color w:val="auto"/>
          <w:sz w:val="28"/>
          <w:szCs w:val="28"/>
          <w:lang w:val="en-US" w:eastAsia="zh-CN"/>
        </w:rPr>
        <w:t>23.2</w:t>
      </w:r>
      <w:r>
        <w:rPr>
          <w:rFonts w:hint="eastAsia" w:ascii="Times New Roman" w:hAnsi="Times New Roman" w:eastAsia="仿宋_GB2312" w:cs="Times New Roman"/>
          <w:color w:val="auto"/>
          <w:sz w:val="28"/>
          <w:szCs w:val="28"/>
          <w:lang w:val="en-US" w:eastAsia="zh-CN"/>
        </w:rPr>
        <w:t>%。本次优化改造后，焚烧废渣产生量约削减</w:t>
      </w:r>
      <w:r>
        <w:rPr>
          <w:rFonts w:hint="eastAsia" w:eastAsia="仿宋_GB2312" w:cs="Times New Roman"/>
          <w:color w:val="auto"/>
          <w:sz w:val="28"/>
          <w:szCs w:val="28"/>
          <w:lang w:val="en-US" w:eastAsia="zh-CN"/>
        </w:rPr>
        <w:t>977.6</w:t>
      </w:r>
      <w:r>
        <w:rPr>
          <w:rFonts w:hint="eastAsia" w:ascii="Times New Roman" w:hAnsi="Times New Roman" w:eastAsia="仿宋_GB2312" w:cs="Times New Roman"/>
          <w:color w:val="auto"/>
          <w:sz w:val="28"/>
          <w:szCs w:val="28"/>
          <w:lang w:val="en-US" w:eastAsia="zh-CN"/>
        </w:rPr>
        <w:t>t/a（</w:t>
      </w:r>
      <w:r>
        <w:rPr>
          <w:rFonts w:hint="eastAsia" w:eastAsia="仿宋_GB2312" w:cs="Times New Roman"/>
          <w:color w:val="auto"/>
          <w:sz w:val="28"/>
          <w:szCs w:val="28"/>
          <w:lang w:val="en-US" w:eastAsia="zh-CN"/>
        </w:rPr>
        <w:t>优化改造后的焚烧废渣含水率＜5%</w:t>
      </w:r>
      <w:r>
        <w:rPr>
          <w:rFonts w:hint="eastAsia" w:ascii="Times New Roman" w:hAnsi="Times New Roman" w:eastAsia="仿宋_GB2312" w:cs="Times New Roman"/>
          <w:color w:val="auto"/>
          <w:sz w:val="28"/>
          <w:szCs w:val="28"/>
          <w:lang w:val="en-US" w:eastAsia="zh-CN"/>
        </w:rPr>
        <w:t>）。</w:t>
      </w:r>
      <w:r>
        <w:rPr>
          <w:rFonts w:eastAsia="仿宋_GB2312"/>
          <w:color w:val="FF0000"/>
          <w:sz w:val="28"/>
          <w:szCs w:val="28"/>
        </w:rPr>
        <w:br w:type="page"/>
      </w:r>
    </w:p>
    <w:p w14:paraId="7A076ED7">
      <w:pPr>
        <w:pStyle w:val="5"/>
        <w:spacing w:before="120" w:after="120"/>
        <w:rPr>
          <w:color w:val="auto"/>
          <w:sz w:val="30"/>
          <w:szCs w:val="30"/>
        </w:rPr>
      </w:pPr>
      <w:bookmarkStart w:id="27" w:name="_Toc26190"/>
      <w:bookmarkStart w:id="28" w:name="_Toc140174713"/>
      <w:r>
        <w:rPr>
          <w:color w:val="auto"/>
          <w:sz w:val="30"/>
          <w:szCs w:val="30"/>
        </w:rPr>
        <w:t>3.2本项目概况</w:t>
      </w:r>
      <w:bookmarkEnd w:id="27"/>
      <w:bookmarkEnd w:id="28"/>
    </w:p>
    <w:p w14:paraId="0A3418A8">
      <w:pPr>
        <w:pStyle w:val="6"/>
        <w:keepLines w:val="0"/>
        <w:tabs>
          <w:tab w:val="left" w:pos="709"/>
        </w:tabs>
        <w:spacing w:before="120" w:beforeLines="50" w:after="120" w:afterLines="50" w:line="500" w:lineRule="exact"/>
        <w:rPr>
          <w:rFonts w:eastAsia="仿宋_GB2312"/>
          <w:color w:val="auto"/>
          <w:sz w:val="28"/>
          <w:szCs w:val="28"/>
        </w:rPr>
      </w:pPr>
      <w:bookmarkStart w:id="29" w:name="_Toc32437"/>
      <w:r>
        <w:rPr>
          <w:rFonts w:eastAsia="仿宋_GB2312"/>
          <w:color w:val="auto"/>
          <w:sz w:val="28"/>
          <w:szCs w:val="28"/>
        </w:rPr>
        <w:t>3.2.1项目名称、性质及建设地点</w:t>
      </w:r>
      <w:bookmarkEnd w:id="29"/>
    </w:p>
    <w:p w14:paraId="0BA2A3E6">
      <w:pPr>
        <w:spacing w:line="500" w:lineRule="exact"/>
        <w:ind w:firstLine="560" w:firstLineChars="200"/>
        <w:rPr>
          <w:rFonts w:eastAsia="仿宋_GB2312"/>
          <w:color w:val="auto"/>
          <w:sz w:val="28"/>
          <w:szCs w:val="28"/>
        </w:rPr>
      </w:pPr>
      <w:r>
        <w:rPr>
          <w:rFonts w:eastAsia="仿宋_GB2312"/>
          <w:color w:val="auto"/>
          <w:sz w:val="28"/>
          <w:szCs w:val="28"/>
        </w:rPr>
        <w:t>（1）项目名称：危险废物综合利用处置技改项目</w:t>
      </w:r>
    </w:p>
    <w:p w14:paraId="7976713D">
      <w:pPr>
        <w:spacing w:line="500" w:lineRule="exact"/>
        <w:ind w:firstLine="560" w:firstLineChars="200"/>
        <w:rPr>
          <w:rFonts w:eastAsia="仿宋_GB2312"/>
          <w:color w:val="auto"/>
          <w:sz w:val="28"/>
          <w:szCs w:val="28"/>
        </w:rPr>
      </w:pPr>
      <w:r>
        <w:rPr>
          <w:rFonts w:eastAsia="仿宋_GB2312"/>
          <w:color w:val="auto"/>
          <w:sz w:val="28"/>
          <w:szCs w:val="28"/>
        </w:rPr>
        <w:t>（2）建设地点：滨江经济开发区新材料产业园</w:t>
      </w:r>
    </w:p>
    <w:p w14:paraId="4FE32453">
      <w:pPr>
        <w:spacing w:line="500" w:lineRule="exact"/>
        <w:ind w:firstLine="560" w:firstLineChars="200"/>
        <w:rPr>
          <w:rFonts w:eastAsia="仿宋_GB2312"/>
          <w:color w:val="auto"/>
          <w:sz w:val="28"/>
          <w:szCs w:val="28"/>
        </w:rPr>
      </w:pPr>
      <w:r>
        <w:rPr>
          <w:rFonts w:eastAsia="仿宋_GB2312"/>
          <w:color w:val="auto"/>
          <w:sz w:val="28"/>
          <w:szCs w:val="28"/>
        </w:rPr>
        <w:t>（3）占地面积：全厂占地面积</w:t>
      </w:r>
      <w:r>
        <w:rPr>
          <w:rFonts w:hint="eastAsia" w:eastAsia="仿宋_GB2312"/>
          <w:color w:val="auto"/>
          <w:sz w:val="28"/>
          <w:szCs w:val="28"/>
          <w:lang w:val="en-US" w:eastAsia="zh-CN"/>
        </w:rPr>
        <w:t>56375</w:t>
      </w:r>
      <w:r>
        <w:rPr>
          <w:rFonts w:eastAsia="仿宋_GB2312"/>
          <w:color w:val="auto"/>
          <w:sz w:val="28"/>
          <w:szCs w:val="28"/>
        </w:rPr>
        <w:t>m</w:t>
      </w:r>
      <w:r>
        <w:rPr>
          <w:rFonts w:eastAsia="仿宋_GB2312"/>
          <w:color w:val="auto"/>
          <w:sz w:val="28"/>
          <w:szCs w:val="28"/>
          <w:vertAlign w:val="superscript"/>
        </w:rPr>
        <w:t>2</w:t>
      </w:r>
      <w:r>
        <w:rPr>
          <w:rFonts w:eastAsia="仿宋_GB2312"/>
          <w:color w:val="auto"/>
          <w:sz w:val="28"/>
          <w:szCs w:val="28"/>
        </w:rPr>
        <w:t>，本项目不新增用地</w:t>
      </w:r>
    </w:p>
    <w:p w14:paraId="57F56509">
      <w:pPr>
        <w:spacing w:line="500" w:lineRule="exact"/>
        <w:ind w:firstLine="560" w:firstLineChars="200"/>
        <w:rPr>
          <w:rFonts w:hint="eastAsia" w:eastAsia="仿宋_GB2312"/>
          <w:color w:val="auto"/>
          <w:sz w:val="28"/>
          <w:szCs w:val="28"/>
          <w:lang w:eastAsia="zh-CN"/>
        </w:rPr>
      </w:pPr>
      <w:r>
        <w:rPr>
          <w:rFonts w:eastAsia="仿宋_GB2312"/>
          <w:color w:val="auto"/>
          <w:sz w:val="28"/>
          <w:szCs w:val="28"/>
        </w:rPr>
        <w:t>（4）项目性质：</w:t>
      </w:r>
      <w:r>
        <w:rPr>
          <w:rFonts w:hint="eastAsia" w:eastAsia="仿宋_GB2312"/>
          <w:color w:val="auto"/>
          <w:sz w:val="28"/>
          <w:szCs w:val="28"/>
          <w:lang w:val="en-US" w:eastAsia="zh-CN"/>
        </w:rPr>
        <w:t>扩建</w:t>
      </w:r>
    </w:p>
    <w:p w14:paraId="7C31DEC9">
      <w:pPr>
        <w:spacing w:line="500" w:lineRule="exact"/>
        <w:ind w:firstLine="560" w:firstLineChars="200"/>
        <w:rPr>
          <w:rFonts w:eastAsia="仿宋_GB2312"/>
          <w:color w:val="auto"/>
          <w:sz w:val="28"/>
          <w:szCs w:val="28"/>
        </w:rPr>
      </w:pPr>
      <w:r>
        <w:rPr>
          <w:rFonts w:eastAsia="仿宋_GB2312"/>
          <w:color w:val="auto"/>
          <w:sz w:val="28"/>
          <w:szCs w:val="28"/>
        </w:rPr>
        <w:t>（5）投资总额：本项目总投资</w:t>
      </w:r>
      <w:r>
        <w:rPr>
          <w:rFonts w:hint="eastAsia" w:eastAsia="仿宋_GB2312"/>
          <w:color w:val="auto"/>
          <w:sz w:val="28"/>
          <w:szCs w:val="28"/>
          <w:lang w:val="en-US" w:eastAsia="zh-CN"/>
        </w:rPr>
        <w:t>7800</w:t>
      </w:r>
      <w:r>
        <w:rPr>
          <w:rFonts w:eastAsia="仿宋_GB2312"/>
          <w:color w:val="auto"/>
          <w:sz w:val="28"/>
          <w:szCs w:val="28"/>
        </w:rPr>
        <w:t>万元，环保投资</w:t>
      </w:r>
      <w:r>
        <w:rPr>
          <w:rFonts w:hint="eastAsia" w:eastAsia="仿宋_GB2312"/>
          <w:color w:val="auto"/>
          <w:sz w:val="28"/>
          <w:szCs w:val="28"/>
          <w:lang w:val="en-US" w:eastAsia="zh-CN"/>
        </w:rPr>
        <w:t>3</w:t>
      </w:r>
      <w:r>
        <w:rPr>
          <w:rFonts w:eastAsia="仿宋_GB2312"/>
          <w:color w:val="auto"/>
          <w:sz w:val="28"/>
          <w:szCs w:val="28"/>
        </w:rPr>
        <w:t>0万，占总投资0.</w:t>
      </w:r>
      <w:r>
        <w:rPr>
          <w:rFonts w:hint="eastAsia" w:eastAsia="仿宋_GB2312"/>
          <w:color w:val="auto"/>
          <w:sz w:val="28"/>
          <w:szCs w:val="28"/>
          <w:lang w:val="en-US" w:eastAsia="zh-CN"/>
        </w:rPr>
        <w:t>38</w:t>
      </w:r>
      <w:r>
        <w:rPr>
          <w:rFonts w:eastAsia="仿宋_GB2312"/>
          <w:color w:val="auto"/>
          <w:sz w:val="28"/>
          <w:szCs w:val="28"/>
        </w:rPr>
        <w:t>%</w:t>
      </w:r>
    </w:p>
    <w:p w14:paraId="203CC107">
      <w:pPr>
        <w:spacing w:line="500" w:lineRule="exact"/>
        <w:ind w:firstLine="560" w:firstLineChars="200"/>
        <w:rPr>
          <w:rFonts w:eastAsia="仿宋_GB2312"/>
          <w:color w:val="auto"/>
          <w:sz w:val="28"/>
          <w:szCs w:val="28"/>
        </w:rPr>
      </w:pPr>
      <w:r>
        <w:rPr>
          <w:rFonts w:eastAsia="仿宋_GB2312"/>
          <w:color w:val="auto"/>
          <w:sz w:val="28"/>
          <w:szCs w:val="28"/>
        </w:rPr>
        <w:t>（6）人员编制：本项目不新增员工</w:t>
      </w:r>
    </w:p>
    <w:p w14:paraId="55C5F4B2">
      <w:pPr>
        <w:spacing w:line="500" w:lineRule="exact"/>
        <w:ind w:firstLine="560" w:firstLineChars="200"/>
        <w:rPr>
          <w:rFonts w:eastAsia="仿宋_GB2312"/>
          <w:color w:val="auto"/>
          <w:sz w:val="28"/>
          <w:szCs w:val="28"/>
        </w:rPr>
      </w:pPr>
      <w:r>
        <w:rPr>
          <w:rFonts w:eastAsia="仿宋_GB2312"/>
          <w:color w:val="auto"/>
          <w:sz w:val="28"/>
          <w:szCs w:val="28"/>
        </w:rPr>
        <w:t>（7）运行工况：年运行时间3</w:t>
      </w:r>
      <w:r>
        <w:rPr>
          <w:rFonts w:hint="eastAsia" w:eastAsia="仿宋_GB2312"/>
          <w:color w:val="auto"/>
          <w:sz w:val="28"/>
          <w:szCs w:val="28"/>
          <w:lang w:val="en-US" w:eastAsia="zh-CN"/>
        </w:rPr>
        <w:t>5</w:t>
      </w:r>
      <w:r>
        <w:rPr>
          <w:rFonts w:eastAsia="仿宋_GB2312"/>
          <w:color w:val="auto"/>
          <w:sz w:val="28"/>
          <w:szCs w:val="28"/>
        </w:rPr>
        <w:t>0天，三班制生产，每班8小时，年生产</w:t>
      </w:r>
      <w:r>
        <w:rPr>
          <w:rFonts w:hint="eastAsia" w:eastAsia="仿宋_GB2312"/>
          <w:color w:val="auto"/>
          <w:sz w:val="28"/>
          <w:szCs w:val="28"/>
          <w:lang w:val="en-US" w:eastAsia="zh-CN"/>
        </w:rPr>
        <w:t>8400</w:t>
      </w:r>
      <w:r>
        <w:rPr>
          <w:rFonts w:eastAsia="仿宋_GB2312"/>
          <w:color w:val="auto"/>
          <w:sz w:val="28"/>
          <w:szCs w:val="28"/>
        </w:rPr>
        <w:t>小时</w:t>
      </w:r>
    </w:p>
    <w:p w14:paraId="264931A0">
      <w:pPr>
        <w:pStyle w:val="6"/>
        <w:keepLines w:val="0"/>
        <w:tabs>
          <w:tab w:val="left" w:pos="709"/>
        </w:tabs>
        <w:spacing w:before="120" w:beforeLines="50" w:after="120" w:afterLines="50" w:line="500" w:lineRule="exact"/>
        <w:rPr>
          <w:rFonts w:eastAsia="仿宋_GB2312"/>
          <w:color w:val="auto"/>
          <w:sz w:val="28"/>
          <w:szCs w:val="28"/>
        </w:rPr>
      </w:pPr>
      <w:bookmarkStart w:id="30" w:name="_Toc1482"/>
      <w:r>
        <w:rPr>
          <w:rFonts w:eastAsia="仿宋_GB2312"/>
          <w:color w:val="auto"/>
          <w:sz w:val="28"/>
          <w:szCs w:val="28"/>
        </w:rPr>
        <w:t>3.2.</w:t>
      </w:r>
      <w:r>
        <w:rPr>
          <w:rFonts w:hint="eastAsia" w:eastAsia="仿宋_GB2312"/>
          <w:color w:val="auto"/>
          <w:sz w:val="28"/>
          <w:szCs w:val="28"/>
        </w:rPr>
        <w:t>2</w:t>
      </w:r>
      <w:r>
        <w:rPr>
          <w:rFonts w:eastAsia="仿宋_GB2312"/>
          <w:color w:val="auto"/>
          <w:sz w:val="28"/>
          <w:szCs w:val="28"/>
        </w:rPr>
        <w:t>项目</w:t>
      </w:r>
      <w:r>
        <w:rPr>
          <w:rFonts w:hint="eastAsia" w:eastAsia="仿宋_GB2312"/>
          <w:color w:val="auto"/>
          <w:sz w:val="28"/>
          <w:szCs w:val="28"/>
        </w:rPr>
        <w:t>建设必要性及规模合理性</w:t>
      </w:r>
      <w:bookmarkEnd w:id="30"/>
    </w:p>
    <w:p w14:paraId="61017C3F">
      <w:pPr>
        <w:spacing w:line="500" w:lineRule="exact"/>
        <w:ind w:firstLine="562" w:firstLineChars="200"/>
        <w:rPr>
          <w:rFonts w:eastAsia="仿宋_GB2312"/>
          <w:b/>
          <w:color w:val="auto"/>
          <w:sz w:val="28"/>
          <w:szCs w:val="28"/>
        </w:rPr>
      </w:pPr>
      <w:r>
        <w:rPr>
          <w:rFonts w:hint="eastAsia" w:eastAsia="仿宋_GB2312"/>
          <w:b/>
          <w:color w:val="auto"/>
          <w:sz w:val="28"/>
          <w:szCs w:val="28"/>
        </w:rPr>
        <w:t>1、市场需要</w:t>
      </w:r>
    </w:p>
    <w:p w14:paraId="3A564459">
      <w:pPr>
        <w:spacing w:line="500" w:lineRule="exact"/>
        <w:ind w:firstLine="560" w:firstLineChars="200"/>
        <w:rPr>
          <w:rFonts w:eastAsia="仿宋_GB2312"/>
          <w:spacing w:val="-8"/>
          <w:kern w:val="0"/>
          <w:sz w:val="28"/>
          <w:szCs w:val="28"/>
        </w:rPr>
      </w:pPr>
      <w:r>
        <w:rPr>
          <w:rFonts w:hint="eastAsia" w:eastAsia="仿宋_GB2312"/>
          <w:color w:val="auto"/>
          <w:sz w:val="28"/>
          <w:szCs w:val="28"/>
        </w:rPr>
        <w:t>盈天环保公司目前持有溶剂回收处置的危险废物经营许可证</w:t>
      </w:r>
      <w:r>
        <w:rPr>
          <w:rFonts w:eastAsia="仿宋_GB2312"/>
          <w:color w:val="auto"/>
          <w:spacing w:val="-8"/>
          <w:kern w:val="0"/>
          <w:sz w:val="28"/>
          <w:szCs w:val="28"/>
        </w:rPr>
        <w:t>（编号JSCZ0411OOD016-</w:t>
      </w:r>
      <w:r>
        <w:rPr>
          <w:rFonts w:hint="eastAsia" w:eastAsia="仿宋_GB2312"/>
          <w:color w:val="auto"/>
          <w:spacing w:val="-8"/>
          <w:kern w:val="0"/>
          <w:sz w:val="28"/>
          <w:szCs w:val="28"/>
        </w:rPr>
        <w:t>1</w:t>
      </w:r>
      <w:r>
        <w:rPr>
          <w:rFonts w:hint="eastAsia" w:eastAsia="仿宋_GB2312"/>
          <w:color w:val="auto"/>
          <w:spacing w:val="-8"/>
          <w:kern w:val="0"/>
          <w:sz w:val="28"/>
          <w:szCs w:val="28"/>
          <w:lang w:val="en-US" w:eastAsia="zh-CN"/>
        </w:rPr>
        <w:t>1</w:t>
      </w:r>
      <w:r>
        <w:rPr>
          <w:rFonts w:eastAsia="仿宋_GB2312"/>
          <w:color w:val="auto"/>
          <w:spacing w:val="-8"/>
          <w:kern w:val="0"/>
          <w:sz w:val="28"/>
          <w:szCs w:val="28"/>
        </w:rPr>
        <w:t>）</w:t>
      </w:r>
      <w:r>
        <w:rPr>
          <w:rFonts w:hint="eastAsia" w:eastAsia="仿宋_GB2312"/>
          <w:color w:val="auto"/>
          <w:spacing w:val="-8"/>
          <w:kern w:val="0"/>
          <w:sz w:val="28"/>
          <w:szCs w:val="28"/>
          <w:lang w:eastAsia="zh-CN"/>
        </w:rPr>
        <w:t>，</w:t>
      </w:r>
      <w:r>
        <w:rPr>
          <w:rFonts w:hint="eastAsia" w:eastAsia="仿宋_GB2312"/>
          <w:color w:val="auto"/>
          <w:spacing w:val="-8"/>
          <w:kern w:val="0"/>
          <w:sz w:val="28"/>
          <w:szCs w:val="28"/>
        </w:rPr>
        <w:t>核准经营利用废有机溶剂</w:t>
      </w:r>
      <w:r>
        <w:rPr>
          <w:rFonts w:hint="eastAsia" w:eastAsia="仿宋_GB2312"/>
          <w:color w:val="auto"/>
          <w:spacing w:val="-8"/>
          <w:kern w:val="0"/>
          <w:sz w:val="28"/>
          <w:szCs w:val="28"/>
          <w:lang w:val="en-US" w:eastAsia="zh-CN"/>
        </w:rPr>
        <w:t>102150</w:t>
      </w:r>
      <w:r>
        <w:rPr>
          <w:rFonts w:hint="eastAsia" w:eastAsia="仿宋_GB2312"/>
          <w:color w:val="auto"/>
          <w:spacing w:val="-8"/>
          <w:kern w:val="0"/>
          <w:sz w:val="28"/>
          <w:szCs w:val="28"/>
        </w:rPr>
        <w:t>吨/年；预</w:t>
      </w:r>
      <w:r>
        <w:rPr>
          <w:rFonts w:hint="eastAsia" w:eastAsia="仿宋_GB2312"/>
          <w:spacing w:val="-8"/>
          <w:kern w:val="0"/>
          <w:sz w:val="28"/>
          <w:szCs w:val="28"/>
        </w:rPr>
        <w:t>处理矿物油500吨/年；处置废有机溶剂与含有机溶剂废物</w:t>
      </w:r>
      <w:r>
        <w:rPr>
          <w:rFonts w:hint="eastAsia" w:eastAsia="仿宋_GB2312"/>
          <w:spacing w:val="-8"/>
          <w:kern w:val="0"/>
          <w:sz w:val="28"/>
          <w:szCs w:val="28"/>
          <w:lang w:val="en-US" w:eastAsia="zh-CN"/>
        </w:rPr>
        <w:t>100</w:t>
      </w:r>
      <w:r>
        <w:rPr>
          <w:rFonts w:hint="eastAsia" w:eastAsia="仿宋_GB2312"/>
          <w:spacing w:val="-8"/>
          <w:kern w:val="0"/>
          <w:sz w:val="28"/>
          <w:szCs w:val="28"/>
        </w:rPr>
        <w:t>00吨/年；合计112650吨/年。</w:t>
      </w:r>
    </w:p>
    <w:p w14:paraId="0C749B63">
      <w:pPr>
        <w:spacing w:line="500" w:lineRule="exact"/>
        <w:ind w:firstLine="560" w:firstLineChars="200"/>
        <w:rPr>
          <w:rFonts w:eastAsia="仿宋_GB2312"/>
          <w:color w:val="auto"/>
          <w:sz w:val="28"/>
          <w:szCs w:val="28"/>
        </w:rPr>
      </w:pPr>
      <w:r>
        <w:rPr>
          <w:rFonts w:hint="eastAsia" w:eastAsia="仿宋_GB2312"/>
          <w:color w:val="auto"/>
          <w:sz w:val="28"/>
          <w:szCs w:val="28"/>
        </w:rPr>
        <w:t>经过几年规模化生产实践，并结合目前废液市场的调研，企业目前危废处置类别及处置量需进一步完善，淘汰部分市场需求较小的废溶剂，新增完善部分市场需求较大的废溶剂，以更好的匹配目前废液市场。</w:t>
      </w:r>
    </w:p>
    <w:p w14:paraId="7079D511">
      <w:pPr>
        <w:spacing w:line="500" w:lineRule="exact"/>
        <w:ind w:firstLine="562" w:firstLineChars="200"/>
        <w:rPr>
          <w:rFonts w:eastAsia="仿宋_GB2312"/>
          <w:b/>
          <w:color w:val="auto"/>
          <w:sz w:val="28"/>
          <w:szCs w:val="28"/>
        </w:rPr>
      </w:pPr>
      <w:r>
        <w:rPr>
          <w:rFonts w:hint="eastAsia" w:eastAsia="仿宋_GB2312"/>
          <w:b/>
          <w:color w:val="auto"/>
          <w:sz w:val="28"/>
          <w:szCs w:val="28"/>
        </w:rPr>
        <w:t>2、企业自身发展需要</w:t>
      </w:r>
    </w:p>
    <w:p w14:paraId="19CE9599">
      <w:pPr>
        <w:spacing w:line="500" w:lineRule="exact"/>
        <w:ind w:firstLine="560" w:firstLineChars="200"/>
        <w:rPr>
          <w:rFonts w:hint="default" w:eastAsia="仿宋_GB2312"/>
          <w:color w:val="FF0000"/>
          <w:sz w:val="28"/>
          <w:szCs w:val="28"/>
          <w:lang w:val="en-US" w:eastAsia="zh-CN"/>
        </w:rPr>
      </w:pPr>
      <w:r>
        <w:rPr>
          <w:rFonts w:hint="eastAsia" w:eastAsia="仿宋_GB2312"/>
          <w:color w:val="auto"/>
          <w:sz w:val="28"/>
          <w:szCs w:val="28"/>
        </w:rPr>
        <w:t>盈天环保公司</w:t>
      </w:r>
      <w:r>
        <w:rPr>
          <w:rFonts w:hint="eastAsia" w:eastAsia="仿宋_GB2312"/>
          <w:color w:val="auto"/>
          <w:sz w:val="28"/>
          <w:szCs w:val="28"/>
          <w:lang w:val="en-US" w:eastAsia="zh-CN"/>
        </w:rPr>
        <w:t>对现有B-7车间</w:t>
      </w:r>
      <w:r>
        <w:rPr>
          <w:rFonts w:hint="eastAsia" w:ascii="Times New Roman" w:hAnsi="Times New Roman" w:eastAsia="仿宋_GB2312" w:cs="Times New Roman"/>
          <w:color w:val="auto"/>
          <w:sz w:val="28"/>
          <w:szCs w:val="28"/>
          <w:lang w:val="en-US" w:eastAsia="zh-CN"/>
        </w:rPr>
        <w:t>废液回收利用工艺进一步优化，主要为以下4个方面：</w:t>
      </w:r>
    </w:p>
    <w:p w14:paraId="48EAA3D9">
      <w:pPr>
        <w:spacing w:line="500" w:lineRule="exact"/>
        <w:ind w:firstLine="560" w:firstLineChars="200"/>
        <w:rPr>
          <w:rFonts w:hint="eastAsia"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①</w:t>
      </w:r>
      <w:r>
        <w:rPr>
          <w:rFonts w:hint="eastAsia" w:ascii="Times New Roman" w:hAnsi="Times New Roman" w:eastAsia="仿宋_GB2312" w:cs="Times New Roman"/>
          <w:color w:val="auto"/>
          <w:sz w:val="28"/>
          <w:szCs w:val="28"/>
          <w:lang w:val="en-US" w:eastAsia="zh-CN"/>
        </w:rPr>
        <w:t>将现有两套4塔连续精馏装置改造成3塔连续精馏装置，改造后进一步提高废液精馏效率；</w:t>
      </w:r>
    </w:p>
    <w:p w14:paraId="296DC040">
      <w:pPr>
        <w:spacing w:line="500" w:lineRule="exact"/>
        <w:ind w:firstLine="560" w:firstLineChars="200"/>
        <w:rPr>
          <w:rFonts w:hint="eastAsia"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②</w:t>
      </w:r>
      <w:r>
        <w:rPr>
          <w:rFonts w:hint="eastAsia" w:ascii="Times New Roman" w:hAnsi="Times New Roman" w:eastAsia="仿宋_GB2312" w:cs="Times New Roman"/>
          <w:color w:val="auto"/>
          <w:sz w:val="28"/>
          <w:szCs w:val="28"/>
          <w:lang w:val="en-US" w:eastAsia="zh-CN"/>
        </w:rPr>
        <w:t>新增两套处理能力为10t/a的渗透汽化膜系统，与原连续精馏装置改造后腾出的2只精馏塔组成两套膜处理+连续精馏装置；</w:t>
      </w:r>
    </w:p>
    <w:p w14:paraId="505CF5DD">
      <w:pPr>
        <w:spacing w:line="500" w:lineRule="exact"/>
        <w:ind w:firstLine="560" w:firstLineChars="200"/>
        <w:rPr>
          <w:rFonts w:hint="eastAsia"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③</w:t>
      </w:r>
      <w:r>
        <w:rPr>
          <w:rFonts w:hint="eastAsia" w:ascii="Times New Roman" w:hAnsi="Times New Roman" w:eastAsia="仿宋_GB2312" w:cs="Times New Roman"/>
          <w:color w:val="auto"/>
          <w:sz w:val="28"/>
          <w:szCs w:val="28"/>
          <w:lang w:val="en-US" w:eastAsia="zh-CN"/>
        </w:rPr>
        <w:t>将现有两套膜处理+间歇精馏装置中的膜处理装置淘汰，直接作为间歇精馏装置，改造后B-7车间间歇精馏装置共计8套；</w:t>
      </w:r>
    </w:p>
    <w:p w14:paraId="4BDC210F">
      <w:pPr>
        <w:spacing w:line="500" w:lineRule="exact"/>
        <w:ind w:firstLine="560" w:firstLineChars="200"/>
        <w:rPr>
          <w:rFonts w:hint="default"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④新增两套能力均为2.5t/h的超重力精馏系统。</w:t>
      </w:r>
    </w:p>
    <w:p w14:paraId="0CEFDE8C">
      <w:pPr>
        <w:spacing w:line="500" w:lineRule="exact"/>
        <w:ind w:firstLine="560" w:firstLineChars="200"/>
        <w:rPr>
          <w:rFonts w:eastAsia="仿宋_GB2312"/>
          <w:color w:val="auto"/>
          <w:sz w:val="28"/>
          <w:szCs w:val="28"/>
        </w:rPr>
      </w:pPr>
      <w:r>
        <w:rPr>
          <w:rFonts w:hint="eastAsia" w:eastAsia="仿宋_GB2312"/>
          <w:color w:val="auto"/>
          <w:sz w:val="28"/>
          <w:szCs w:val="28"/>
          <w:lang w:val="en-US" w:eastAsia="zh-CN"/>
        </w:rPr>
        <w:t>工艺优化后，B-7车间</w:t>
      </w:r>
      <w:r>
        <w:rPr>
          <w:rFonts w:hint="eastAsia" w:eastAsia="仿宋_GB2312"/>
          <w:color w:val="auto"/>
          <w:sz w:val="28"/>
          <w:szCs w:val="28"/>
        </w:rPr>
        <w:t>溶剂回收处置量由现有的</w:t>
      </w:r>
      <w:r>
        <w:rPr>
          <w:rFonts w:hint="eastAsia" w:eastAsia="仿宋_GB2312"/>
          <w:color w:val="auto"/>
          <w:sz w:val="28"/>
          <w:szCs w:val="28"/>
          <w:lang w:val="en-US" w:eastAsia="zh-CN"/>
        </w:rPr>
        <w:t>74620</w:t>
      </w:r>
      <w:r>
        <w:rPr>
          <w:rFonts w:hint="eastAsia" w:eastAsia="仿宋_GB2312"/>
          <w:color w:val="auto"/>
          <w:sz w:val="28"/>
          <w:szCs w:val="28"/>
        </w:rPr>
        <w:t>t/a</w:t>
      </w:r>
      <w:r>
        <w:rPr>
          <w:rFonts w:hint="eastAsia" w:ascii="Times New Roman" w:hAnsi="Times New Roman" w:eastAsia="仿宋_GB2312" w:cs="Times New Roman"/>
          <w:color w:val="auto"/>
          <w:sz w:val="28"/>
          <w:szCs w:val="28"/>
          <w:lang w:val="en-US" w:eastAsia="zh-CN"/>
        </w:rPr>
        <w:t>增加至</w:t>
      </w:r>
      <w:r>
        <w:rPr>
          <w:rFonts w:hint="eastAsia" w:eastAsia="仿宋_GB2312"/>
          <w:color w:val="auto"/>
          <w:sz w:val="28"/>
          <w:szCs w:val="28"/>
          <w:lang w:val="en-US" w:eastAsia="zh-CN"/>
        </w:rPr>
        <w:t>280620t/a，增加了206000t/a。</w:t>
      </w:r>
    </w:p>
    <w:p w14:paraId="585F11B3">
      <w:pPr>
        <w:spacing w:line="500" w:lineRule="exact"/>
        <w:ind w:firstLine="560" w:firstLineChars="200"/>
        <w:rPr>
          <w:rFonts w:hint="eastAsia"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同时废液处置方案进一步优化调整，增加废碱液处置量500t/a，增加废有机溶剂与含有机溶剂废物处置量9500t/a，调整后全厂废液处置量由10000t/a增加至20000t/a，增加了10000t/a。</w:t>
      </w:r>
    </w:p>
    <w:p w14:paraId="5662848D">
      <w:pPr>
        <w:spacing w:line="500" w:lineRule="exact"/>
        <w:ind w:firstLine="560" w:firstLineChars="200"/>
        <w:rPr>
          <w:rFonts w:eastAsia="仿宋_GB2312"/>
          <w:color w:val="auto"/>
          <w:sz w:val="28"/>
          <w:szCs w:val="28"/>
        </w:rPr>
      </w:pPr>
      <w:r>
        <w:rPr>
          <w:rFonts w:hint="eastAsia" w:eastAsia="仿宋_GB2312"/>
          <w:color w:val="auto"/>
          <w:sz w:val="28"/>
          <w:szCs w:val="28"/>
        </w:rPr>
        <w:t>本项目建成后</w:t>
      </w:r>
      <w:r>
        <w:rPr>
          <w:rFonts w:hint="eastAsia" w:eastAsia="仿宋_GB2312"/>
          <w:color w:val="auto"/>
          <w:sz w:val="28"/>
          <w:szCs w:val="28"/>
          <w:lang w:val="en-US" w:eastAsia="zh-CN"/>
        </w:rPr>
        <w:t>全厂</w:t>
      </w:r>
      <w:r>
        <w:rPr>
          <w:rFonts w:hint="eastAsia" w:eastAsia="仿宋_GB2312"/>
          <w:color w:val="auto"/>
          <w:sz w:val="28"/>
          <w:szCs w:val="28"/>
        </w:rPr>
        <w:t>溶剂回收利用处置量合计为</w:t>
      </w:r>
      <w:r>
        <w:rPr>
          <w:rFonts w:hint="eastAsia" w:eastAsia="仿宋_GB2312"/>
          <w:color w:val="auto"/>
          <w:sz w:val="28"/>
          <w:szCs w:val="28"/>
          <w:lang w:val="en-US" w:eastAsia="zh-CN"/>
        </w:rPr>
        <w:t>328650</w:t>
      </w:r>
      <w:r>
        <w:rPr>
          <w:rFonts w:hint="eastAsia" w:eastAsia="仿宋_GB2312"/>
          <w:color w:val="auto"/>
          <w:sz w:val="28"/>
          <w:szCs w:val="28"/>
        </w:rPr>
        <w:t>t/a，单种废液最大量</w:t>
      </w:r>
      <w:r>
        <w:rPr>
          <w:rFonts w:hint="eastAsia" w:eastAsia="仿宋_GB2312"/>
          <w:color w:val="auto"/>
          <w:sz w:val="28"/>
          <w:szCs w:val="28"/>
          <w:lang w:val="en-US" w:eastAsia="zh-CN"/>
        </w:rPr>
        <w:t>46000</w:t>
      </w:r>
      <w:r>
        <w:rPr>
          <w:rFonts w:hint="eastAsia" w:eastAsia="仿宋_GB2312"/>
          <w:color w:val="auto"/>
          <w:sz w:val="28"/>
          <w:szCs w:val="28"/>
        </w:rPr>
        <w:t>t/a（</w:t>
      </w:r>
      <w:r>
        <w:rPr>
          <w:rFonts w:hint="eastAsia" w:eastAsia="仿宋_GB2312"/>
          <w:color w:val="auto"/>
          <w:sz w:val="28"/>
          <w:szCs w:val="28"/>
          <w:lang w:val="en-US" w:eastAsia="zh-CN"/>
        </w:rPr>
        <w:t>甲醇</w:t>
      </w:r>
      <w:r>
        <w:rPr>
          <w:rFonts w:hint="eastAsia" w:eastAsia="仿宋_GB2312"/>
          <w:color w:val="auto"/>
          <w:sz w:val="28"/>
          <w:szCs w:val="28"/>
        </w:rPr>
        <w:t>废液），各废液回收规模经过充分的市场调研，规模设置合理。</w:t>
      </w:r>
    </w:p>
    <w:p w14:paraId="1C84083D">
      <w:pPr>
        <w:rPr>
          <w:rFonts w:eastAsia="仿宋_GB2312"/>
          <w:color w:val="FF0000"/>
          <w:sz w:val="28"/>
          <w:szCs w:val="28"/>
        </w:rPr>
      </w:pPr>
    </w:p>
    <w:p w14:paraId="103CDF09">
      <w:pPr>
        <w:rPr>
          <w:rFonts w:eastAsia="仿宋_GB2312"/>
          <w:color w:val="FF0000"/>
          <w:sz w:val="28"/>
          <w:szCs w:val="28"/>
        </w:rPr>
      </w:pPr>
    </w:p>
    <w:p w14:paraId="0A450BB4">
      <w:pPr>
        <w:rPr>
          <w:rFonts w:eastAsia="仿宋_GB2312"/>
          <w:color w:val="FF0000"/>
          <w:sz w:val="28"/>
          <w:szCs w:val="28"/>
        </w:rPr>
      </w:pPr>
    </w:p>
    <w:p w14:paraId="15DEAB0C">
      <w:pPr>
        <w:rPr>
          <w:rFonts w:eastAsia="仿宋_GB2312"/>
          <w:color w:val="FF0000"/>
          <w:sz w:val="28"/>
          <w:szCs w:val="28"/>
        </w:rPr>
      </w:pPr>
    </w:p>
    <w:p w14:paraId="1A5496BF">
      <w:pPr>
        <w:rPr>
          <w:rFonts w:eastAsia="仿宋_GB2312"/>
          <w:color w:val="FF0000"/>
          <w:sz w:val="28"/>
          <w:szCs w:val="28"/>
        </w:rPr>
      </w:pPr>
    </w:p>
    <w:p w14:paraId="3A27D762">
      <w:pPr>
        <w:rPr>
          <w:rFonts w:eastAsia="仿宋_GB2312"/>
          <w:color w:val="FF0000"/>
          <w:sz w:val="28"/>
          <w:szCs w:val="28"/>
        </w:rPr>
      </w:pPr>
    </w:p>
    <w:p w14:paraId="257E94B5">
      <w:pPr>
        <w:rPr>
          <w:color w:val="FF0000"/>
        </w:rPr>
        <w:sectPr>
          <w:pgSz w:w="11907" w:h="16840"/>
          <w:pgMar w:top="1440" w:right="1800" w:bottom="1440" w:left="1800" w:header="851" w:footer="992" w:gutter="0"/>
          <w:pgBorders>
            <w:top w:val="none" w:sz="0" w:space="0"/>
            <w:left w:val="none" w:sz="0" w:space="0"/>
            <w:bottom w:val="none" w:sz="0" w:space="0"/>
            <w:right w:val="none" w:sz="0" w:space="0"/>
          </w:pgBorders>
          <w:pgNumType w:fmt="decimal"/>
          <w:cols w:space="425" w:num="1"/>
          <w:docGrid w:linePitch="326" w:charSpace="0"/>
        </w:sectPr>
      </w:pPr>
    </w:p>
    <w:p w14:paraId="041BAFE3">
      <w:pPr>
        <w:pStyle w:val="6"/>
        <w:keepLines w:val="0"/>
        <w:tabs>
          <w:tab w:val="left" w:pos="709"/>
        </w:tabs>
        <w:spacing w:before="0" w:after="60" w:afterLines="25" w:line="500" w:lineRule="exact"/>
        <w:rPr>
          <w:rFonts w:eastAsia="仿宋_GB2312"/>
          <w:sz w:val="28"/>
          <w:szCs w:val="28"/>
        </w:rPr>
      </w:pPr>
      <w:bookmarkStart w:id="31" w:name="_Toc2783"/>
      <w:r>
        <w:rPr>
          <w:rFonts w:eastAsia="仿宋_GB2312"/>
          <w:sz w:val="28"/>
          <w:szCs w:val="28"/>
        </w:rPr>
        <w:t>3.2.</w:t>
      </w:r>
      <w:r>
        <w:rPr>
          <w:rFonts w:hint="eastAsia" w:eastAsia="仿宋_GB2312"/>
          <w:sz w:val="28"/>
          <w:szCs w:val="28"/>
        </w:rPr>
        <w:t>3</w:t>
      </w:r>
      <w:r>
        <w:rPr>
          <w:rFonts w:eastAsia="仿宋_GB2312"/>
          <w:sz w:val="28"/>
          <w:szCs w:val="28"/>
        </w:rPr>
        <w:t>本项目建设内容</w:t>
      </w:r>
      <w:bookmarkEnd w:id="31"/>
    </w:p>
    <w:p w14:paraId="3537398F">
      <w:pPr>
        <w:pStyle w:val="7"/>
        <w:keepLines w:val="0"/>
        <w:widowControl/>
        <w:adjustRightInd w:val="0"/>
        <w:snapToGrid w:val="0"/>
        <w:spacing w:after="60" w:afterLines="25"/>
        <w:jc w:val="left"/>
        <w:rPr>
          <w:rFonts w:ascii="Times New Roman" w:hAnsi="Times New Roman"/>
          <w:b/>
        </w:rPr>
      </w:pPr>
      <w:r>
        <w:rPr>
          <w:rFonts w:ascii="Times New Roman" w:hAnsi="Times New Roman"/>
          <w:b/>
        </w:rPr>
        <w:t>3.2.</w:t>
      </w:r>
      <w:r>
        <w:rPr>
          <w:rFonts w:hint="eastAsia" w:ascii="Times New Roman" w:hAnsi="Times New Roman"/>
          <w:b/>
        </w:rPr>
        <w:t>3</w:t>
      </w:r>
      <w:r>
        <w:rPr>
          <w:rFonts w:ascii="Times New Roman" w:hAnsi="Times New Roman"/>
          <w:b/>
        </w:rPr>
        <w:t>.1回收及产品方案</w:t>
      </w:r>
    </w:p>
    <w:p w14:paraId="22A7EF3A">
      <w:pPr>
        <w:spacing w:line="500" w:lineRule="exact"/>
        <w:ind w:firstLine="562" w:firstLineChars="200"/>
        <w:rPr>
          <w:rFonts w:eastAsia="仿宋_GB2312"/>
          <w:b/>
          <w:bCs/>
          <w:sz w:val="28"/>
          <w:szCs w:val="28"/>
        </w:rPr>
      </w:pPr>
      <w:r>
        <w:rPr>
          <w:rFonts w:eastAsia="仿宋_GB2312"/>
          <w:b/>
          <w:bCs/>
          <w:sz w:val="28"/>
          <w:szCs w:val="28"/>
        </w:rPr>
        <w:t>一、溶剂回收综合利用</w:t>
      </w:r>
    </w:p>
    <w:p w14:paraId="1F915A77">
      <w:pPr>
        <w:spacing w:line="500" w:lineRule="exact"/>
        <w:ind w:firstLine="560" w:firstLineChars="200"/>
        <w:rPr>
          <w:rFonts w:eastAsia="仿宋_GB2312"/>
          <w:sz w:val="28"/>
          <w:szCs w:val="28"/>
        </w:rPr>
      </w:pPr>
      <w:r>
        <w:rPr>
          <w:rFonts w:eastAsia="仿宋_GB2312"/>
          <w:sz w:val="28"/>
          <w:szCs w:val="28"/>
        </w:rPr>
        <w:t>企业目前废溶剂回收综合利用分别在1#车间和B-7车间进行，</w:t>
      </w:r>
      <w:r>
        <w:rPr>
          <w:rFonts w:hint="eastAsia" w:eastAsia="仿宋_GB2312"/>
          <w:sz w:val="28"/>
          <w:szCs w:val="28"/>
        </w:rPr>
        <w:t>本次仅对</w:t>
      </w:r>
      <w:r>
        <w:rPr>
          <w:rFonts w:eastAsia="仿宋_GB2312"/>
          <w:sz w:val="28"/>
          <w:szCs w:val="28"/>
        </w:rPr>
        <w:t>B-7车间</w:t>
      </w:r>
      <w:r>
        <w:rPr>
          <w:rFonts w:hint="eastAsia" w:eastAsia="仿宋_GB2312"/>
          <w:sz w:val="28"/>
          <w:szCs w:val="28"/>
        </w:rPr>
        <w:t>溶剂回收方案进行调整，</w:t>
      </w:r>
      <w:r>
        <w:rPr>
          <w:rFonts w:eastAsia="仿宋_GB2312"/>
          <w:sz w:val="28"/>
          <w:szCs w:val="28"/>
        </w:rPr>
        <w:t>具体溶剂回收调整方案分别见</w:t>
      </w:r>
      <w:r>
        <w:rPr>
          <w:rFonts w:hint="eastAsia" w:eastAsia="仿宋_GB2312"/>
          <w:sz w:val="28"/>
          <w:szCs w:val="28"/>
        </w:rPr>
        <w:t>下表</w:t>
      </w:r>
      <w:r>
        <w:rPr>
          <w:rFonts w:eastAsia="仿宋_GB2312"/>
          <w:sz w:val="28"/>
          <w:szCs w:val="28"/>
        </w:rPr>
        <w:t>。</w:t>
      </w:r>
    </w:p>
    <w:p w14:paraId="26484B44">
      <w:pPr>
        <w:pStyle w:val="162"/>
        <w:spacing w:line="480" w:lineRule="exact"/>
        <w:ind w:firstLine="0" w:firstLineChars="0"/>
        <w:rPr>
          <w:rFonts w:ascii="Times New Roman"/>
        </w:rPr>
      </w:pPr>
      <w:r>
        <w:rPr>
          <w:rFonts w:ascii="Times New Roman"/>
        </w:rPr>
        <w:t>表3.2-</w:t>
      </w:r>
      <w:r>
        <w:rPr>
          <w:rFonts w:hint="eastAsia" w:ascii="Times New Roman"/>
        </w:rPr>
        <w:t>1</w:t>
      </w:r>
      <w:r>
        <w:rPr>
          <w:rFonts w:ascii="Times New Roman"/>
        </w:rPr>
        <w:t xml:space="preserve">  B-7车间溶剂回收调整方案表</w:t>
      </w:r>
    </w:p>
    <w:tbl>
      <w:tblPr>
        <w:tblStyle w:val="88"/>
        <w:tblW w:w="491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70"/>
        <w:gridCol w:w="984"/>
        <w:gridCol w:w="1042"/>
        <w:gridCol w:w="2754"/>
        <w:gridCol w:w="1229"/>
        <w:gridCol w:w="1017"/>
        <w:gridCol w:w="2801"/>
        <w:gridCol w:w="1118"/>
        <w:gridCol w:w="1599"/>
      </w:tblGrid>
      <w:tr w14:paraId="1586B6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3" w:type="pct"/>
            <w:vMerge w:val="restart"/>
            <w:tcBorders>
              <w:tl2br w:val="nil"/>
              <w:tr2bl w:val="nil"/>
            </w:tcBorders>
            <w:vAlign w:val="center"/>
          </w:tcPr>
          <w:p w14:paraId="3E7C46D8">
            <w:pPr>
              <w:widowControl/>
              <w:jc w:val="center"/>
              <w:rPr>
                <w:rFonts w:eastAsia="仿宋_GB2312"/>
                <w:b/>
                <w:kern w:val="0"/>
                <w:szCs w:val="21"/>
              </w:rPr>
            </w:pPr>
            <w:r>
              <w:rPr>
                <w:rFonts w:eastAsia="仿宋_GB2312"/>
                <w:b/>
                <w:kern w:val="0"/>
                <w:szCs w:val="21"/>
              </w:rPr>
              <w:t>序号</w:t>
            </w:r>
          </w:p>
        </w:tc>
        <w:tc>
          <w:tcPr>
            <w:tcW w:w="372" w:type="pct"/>
            <w:vMerge w:val="restart"/>
            <w:tcBorders>
              <w:tl2br w:val="nil"/>
              <w:tr2bl w:val="nil"/>
            </w:tcBorders>
            <w:vAlign w:val="center"/>
          </w:tcPr>
          <w:p w14:paraId="40B6AFD3">
            <w:pPr>
              <w:widowControl/>
              <w:jc w:val="center"/>
              <w:rPr>
                <w:rFonts w:eastAsia="仿宋_GB2312"/>
                <w:b/>
                <w:kern w:val="0"/>
                <w:szCs w:val="21"/>
              </w:rPr>
            </w:pPr>
            <w:r>
              <w:rPr>
                <w:rFonts w:eastAsia="仿宋_GB2312"/>
                <w:b/>
                <w:kern w:val="0"/>
                <w:szCs w:val="21"/>
              </w:rPr>
              <w:t>废液种类</w:t>
            </w:r>
          </w:p>
        </w:tc>
        <w:tc>
          <w:tcPr>
            <w:tcW w:w="1901" w:type="pct"/>
            <w:gridSpan w:val="3"/>
            <w:tcBorders>
              <w:tl2br w:val="nil"/>
              <w:tr2bl w:val="nil"/>
            </w:tcBorders>
            <w:vAlign w:val="center"/>
          </w:tcPr>
          <w:p w14:paraId="3B8405F3">
            <w:pPr>
              <w:widowControl/>
              <w:jc w:val="center"/>
              <w:rPr>
                <w:rFonts w:eastAsia="仿宋_GB2312"/>
                <w:b/>
                <w:kern w:val="0"/>
                <w:szCs w:val="21"/>
              </w:rPr>
            </w:pPr>
            <w:r>
              <w:rPr>
                <w:rFonts w:hint="eastAsia" w:eastAsia="仿宋_GB2312"/>
                <w:b/>
                <w:kern w:val="0"/>
                <w:szCs w:val="21"/>
              </w:rPr>
              <w:t>原有</w:t>
            </w:r>
            <w:r>
              <w:rPr>
                <w:rFonts w:eastAsia="仿宋_GB2312"/>
                <w:b/>
                <w:kern w:val="0"/>
                <w:szCs w:val="21"/>
              </w:rPr>
              <w:t>方案情况</w:t>
            </w:r>
          </w:p>
        </w:tc>
        <w:tc>
          <w:tcPr>
            <w:tcW w:w="1867" w:type="pct"/>
            <w:gridSpan w:val="3"/>
            <w:tcBorders>
              <w:tl2br w:val="nil"/>
              <w:tr2bl w:val="nil"/>
            </w:tcBorders>
            <w:vAlign w:val="center"/>
          </w:tcPr>
          <w:p w14:paraId="52E4FC04">
            <w:pPr>
              <w:widowControl/>
              <w:jc w:val="center"/>
              <w:rPr>
                <w:rFonts w:eastAsia="仿宋_GB2312"/>
                <w:b/>
                <w:kern w:val="0"/>
                <w:szCs w:val="21"/>
              </w:rPr>
            </w:pPr>
            <w:r>
              <w:rPr>
                <w:rFonts w:hint="eastAsia" w:eastAsia="仿宋_GB2312"/>
                <w:b/>
                <w:kern w:val="0"/>
                <w:szCs w:val="21"/>
              </w:rPr>
              <w:t>调整后方案情况</w:t>
            </w:r>
          </w:p>
        </w:tc>
        <w:tc>
          <w:tcPr>
            <w:tcW w:w="605" w:type="pct"/>
            <w:vMerge w:val="restart"/>
            <w:tcBorders>
              <w:tl2br w:val="nil"/>
              <w:tr2bl w:val="nil"/>
            </w:tcBorders>
            <w:vAlign w:val="center"/>
          </w:tcPr>
          <w:p w14:paraId="35A4FCE5">
            <w:pPr>
              <w:widowControl/>
              <w:jc w:val="center"/>
              <w:rPr>
                <w:rFonts w:eastAsia="仿宋_GB2312"/>
                <w:b/>
                <w:kern w:val="0"/>
                <w:szCs w:val="21"/>
              </w:rPr>
            </w:pPr>
            <w:r>
              <w:rPr>
                <w:rFonts w:eastAsia="仿宋_GB2312"/>
                <w:b/>
                <w:kern w:val="0"/>
                <w:szCs w:val="21"/>
              </w:rPr>
              <w:t>备注</w:t>
            </w:r>
          </w:p>
        </w:tc>
      </w:tr>
      <w:tr w14:paraId="7F42F5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3" w:type="pct"/>
            <w:vMerge w:val="continue"/>
            <w:tcBorders>
              <w:tl2br w:val="nil"/>
              <w:tr2bl w:val="nil"/>
            </w:tcBorders>
            <w:vAlign w:val="center"/>
          </w:tcPr>
          <w:p w14:paraId="6C032142">
            <w:pPr>
              <w:widowControl/>
              <w:jc w:val="center"/>
              <w:rPr>
                <w:rFonts w:eastAsia="仿宋_GB2312"/>
                <w:b/>
                <w:kern w:val="0"/>
                <w:szCs w:val="21"/>
              </w:rPr>
            </w:pPr>
          </w:p>
        </w:tc>
        <w:tc>
          <w:tcPr>
            <w:tcW w:w="372" w:type="pct"/>
            <w:vMerge w:val="continue"/>
            <w:tcBorders>
              <w:tl2br w:val="nil"/>
              <w:tr2bl w:val="nil"/>
            </w:tcBorders>
            <w:vAlign w:val="center"/>
          </w:tcPr>
          <w:p w14:paraId="4F1FC993">
            <w:pPr>
              <w:widowControl/>
              <w:jc w:val="center"/>
              <w:rPr>
                <w:rFonts w:eastAsia="仿宋_GB2312"/>
                <w:b/>
                <w:kern w:val="0"/>
                <w:szCs w:val="21"/>
              </w:rPr>
            </w:pPr>
          </w:p>
        </w:tc>
        <w:tc>
          <w:tcPr>
            <w:tcW w:w="1436" w:type="pct"/>
            <w:gridSpan w:val="2"/>
            <w:tcBorders>
              <w:tl2br w:val="nil"/>
              <w:tr2bl w:val="nil"/>
            </w:tcBorders>
            <w:vAlign w:val="center"/>
          </w:tcPr>
          <w:p w14:paraId="1184FC20">
            <w:pPr>
              <w:widowControl/>
              <w:jc w:val="center"/>
              <w:rPr>
                <w:rFonts w:eastAsia="仿宋_GB2312"/>
                <w:b/>
                <w:kern w:val="0"/>
                <w:szCs w:val="21"/>
              </w:rPr>
            </w:pPr>
            <w:r>
              <w:rPr>
                <w:rFonts w:eastAsia="仿宋_GB2312"/>
                <w:b/>
                <w:kern w:val="0"/>
                <w:szCs w:val="21"/>
              </w:rPr>
              <w:t>危废代码</w:t>
            </w:r>
          </w:p>
        </w:tc>
        <w:tc>
          <w:tcPr>
            <w:tcW w:w="465" w:type="pct"/>
            <w:tcBorders>
              <w:tl2br w:val="nil"/>
              <w:tr2bl w:val="nil"/>
            </w:tcBorders>
            <w:vAlign w:val="center"/>
          </w:tcPr>
          <w:p w14:paraId="35C9046F">
            <w:pPr>
              <w:widowControl/>
              <w:jc w:val="center"/>
              <w:rPr>
                <w:rFonts w:eastAsia="仿宋_GB2312"/>
                <w:b/>
                <w:kern w:val="0"/>
                <w:szCs w:val="21"/>
              </w:rPr>
            </w:pPr>
            <w:r>
              <w:rPr>
                <w:rFonts w:eastAsia="仿宋_GB2312"/>
                <w:b/>
                <w:kern w:val="0"/>
                <w:szCs w:val="21"/>
              </w:rPr>
              <w:t>回收量t/a</w:t>
            </w:r>
          </w:p>
        </w:tc>
        <w:tc>
          <w:tcPr>
            <w:tcW w:w="1444" w:type="pct"/>
            <w:gridSpan w:val="2"/>
            <w:tcBorders>
              <w:tl2br w:val="nil"/>
              <w:tr2bl w:val="nil"/>
            </w:tcBorders>
            <w:vAlign w:val="center"/>
          </w:tcPr>
          <w:p w14:paraId="7BBBE1A0">
            <w:pPr>
              <w:widowControl/>
              <w:jc w:val="center"/>
              <w:rPr>
                <w:rFonts w:eastAsia="仿宋_GB2312"/>
                <w:b/>
                <w:kern w:val="0"/>
                <w:szCs w:val="21"/>
              </w:rPr>
            </w:pPr>
            <w:r>
              <w:rPr>
                <w:rFonts w:eastAsia="仿宋_GB2312"/>
                <w:b/>
                <w:kern w:val="0"/>
                <w:szCs w:val="21"/>
              </w:rPr>
              <w:t>危废代码</w:t>
            </w:r>
          </w:p>
        </w:tc>
        <w:tc>
          <w:tcPr>
            <w:tcW w:w="423" w:type="pct"/>
            <w:tcBorders>
              <w:tl2br w:val="nil"/>
              <w:tr2bl w:val="nil"/>
            </w:tcBorders>
            <w:vAlign w:val="center"/>
          </w:tcPr>
          <w:p w14:paraId="71CBA604">
            <w:pPr>
              <w:widowControl/>
              <w:jc w:val="center"/>
              <w:rPr>
                <w:rFonts w:eastAsia="仿宋_GB2312"/>
                <w:b/>
                <w:kern w:val="0"/>
                <w:szCs w:val="21"/>
              </w:rPr>
            </w:pPr>
            <w:r>
              <w:rPr>
                <w:rFonts w:eastAsia="仿宋_GB2312"/>
                <w:b/>
                <w:kern w:val="0"/>
                <w:szCs w:val="21"/>
              </w:rPr>
              <w:t>回收量t/a</w:t>
            </w:r>
          </w:p>
        </w:tc>
        <w:tc>
          <w:tcPr>
            <w:tcW w:w="605" w:type="pct"/>
            <w:vMerge w:val="continue"/>
            <w:tcBorders>
              <w:tl2br w:val="nil"/>
              <w:tr2bl w:val="nil"/>
            </w:tcBorders>
            <w:vAlign w:val="center"/>
          </w:tcPr>
          <w:p w14:paraId="2CACE110">
            <w:pPr>
              <w:widowControl/>
              <w:jc w:val="center"/>
              <w:rPr>
                <w:rFonts w:eastAsia="仿宋_GB2312"/>
                <w:b/>
                <w:kern w:val="0"/>
                <w:szCs w:val="21"/>
              </w:rPr>
            </w:pPr>
          </w:p>
        </w:tc>
      </w:tr>
      <w:tr w14:paraId="3228BA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3" w:type="pct"/>
            <w:vMerge w:val="restart"/>
            <w:tcBorders>
              <w:tl2br w:val="nil"/>
              <w:tr2bl w:val="nil"/>
            </w:tcBorders>
            <w:vAlign w:val="center"/>
          </w:tcPr>
          <w:p w14:paraId="46C3F146">
            <w:pPr>
              <w:widowControl/>
              <w:jc w:val="center"/>
              <w:rPr>
                <w:rFonts w:eastAsia="仿宋_GB2312"/>
                <w:kern w:val="0"/>
                <w:szCs w:val="21"/>
              </w:rPr>
            </w:pPr>
            <w:r>
              <w:rPr>
                <w:rFonts w:eastAsia="仿宋_GB2312"/>
                <w:kern w:val="0"/>
                <w:szCs w:val="21"/>
              </w:rPr>
              <w:t>1</w:t>
            </w:r>
          </w:p>
        </w:tc>
        <w:tc>
          <w:tcPr>
            <w:tcW w:w="372" w:type="pct"/>
            <w:vMerge w:val="restart"/>
            <w:tcBorders>
              <w:tl2br w:val="nil"/>
              <w:tr2bl w:val="nil"/>
            </w:tcBorders>
            <w:vAlign w:val="center"/>
          </w:tcPr>
          <w:p w14:paraId="660BDA14">
            <w:pPr>
              <w:widowControl/>
              <w:jc w:val="center"/>
              <w:rPr>
                <w:rFonts w:eastAsia="仿宋_GB2312"/>
                <w:kern w:val="0"/>
                <w:szCs w:val="21"/>
              </w:rPr>
            </w:pPr>
            <w:r>
              <w:rPr>
                <w:rFonts w:eastAsia="仿宋_GB2312"/>
                <w:kern w:val="0"/>
                <w:szCs w:val="21"/>
              </w:rPr>
              <w:t>丁酮废液</w:t>
            </w:r>
          </w:p>
        </w:tc>
        <w:tc>
          <w:tcPr>
            <w:tcW w:w="394" w:type="pct"/>
            <w:tcBorders>
              <w:tl2br w:val="nil"/>
              <w:tr2bl w:val="nil"/>
            </w:tcBorders>
            <w:vAlign w:val="center"/>
          </w:tcPr>
          <w:p w14:paraId="6FBA0E53">
            <w:pPr>
              <w:widowControl/>
              <w:jc w:val="center"/>
              <w:rPr>
                <w:rFonts w:eastAsia="仿宋_GB2312"/>
                <w:kern w:val="0"/>
                <w:szCs w:val="21"/>
              </w:rPr>
            </w:pPr>
            <w:r>
              <w:rPr>
                <w:rFonts w:eastAsia="仿宋_GB2312"/>
                <w:kern w:val="0"/>
                <w:szCs w:val="21"/>
              </w:rPr>
              <w:t>HW02</w:t>
            </w:r>
          </w:p>
        </w:tc>
        <w:tc>
          <w:tcPr>
            <w:tcW w:w="1042" w:type="pct"/>
            <w:tcBorders>
              <w:tl2br w:val="nil"/>
              <w:tr2bl w:val="nil"/>
            </w:tcBorders>
            <w:vAlign w:val="center"/>
          </w:tcPr>
          <w:p w14:paraId="4FC476EB">
            <w:pPr>
              <w:widowControl/>
              <w:jc w:val="center"/>
              <w:rPr>
                <w:rFonts w:eastAsia="仿宋_GB2312"/>
                <w:kern w:val="0"/>
                <w:szCs w:val="21"/>
              </w:rPr>
            </w:pPr>
            <w:r>
              <w:rPr>
                <w:rFonts w:eastAsia="仿宋_GB2312"/>
                <w:kern w:val="0"/>
                <w:szCs w:val="21"/>
              </w:rPr>
              <w:t>271-001-02，271-002-02，</w:t>
            </w:r>
            <w:r>
              <w:rPr>
                <w:rFonts w:hint="eastAsia" w:eastAsia="仿宋_GB2312"/>
                <w:kern w:val="0"/>
                <w:szCs w:val="21"/>
              </w:rPr>
              <w:t>271-004-02，</w:t>
            </w:r>
            <w:r>
              <w:rPr>
                <w:rFonts w:eastAsia="仿宋_GB2312"/>
                <w:kern w:val="0"/>
                <w:szCs w:val="21"/>
              </w:rPr>
              <w:t>272-001-02，</w:t>
            </w:r>
            <w:r>
              <w:rPr>
                <w:rFonts w:hint="eastAsia" w:eastAsia="仿宋_GB2312"/>
                <w:kern w:val="0"/>
                <w:szCs w:val="21"/>
              </w:rPr>
              <w:t>272-003-02，275-004-02，275-005-02，</w:t>
            </w:r>
            <w:r>
              <w:rPr>
                <w:rFonts w:eastAsia="仿宋_GB2312"/>
                <w:kern w:val="0"/>
                <w:szCs w:val="21"/>
              </w:rPr>
              <w:t>276-001-02，276-002-02</w:t>
            </w:r>
            <w:r>
              <w:rPr>
                <w:rFonts w:hint="eastAsia" w:eastAsia="仿宋_GB2312"/>
                <w:kern w:val="0"/>
                <w:szCs w:val="21"/>
              </w:rPr>
              <w:t>，276-004-02</w:t>
            </w:r>
          </w:p>
        </w:tc>
        <w:tc>
          <w:tcPr>
            <w:tcW w:w="465" w:type="pct"/>
            <w:vMerge w:val="restart"/>
            <w:tcBorders>
              <w:tl2br w:val="nil"/>
              <w:tr2bl w:val="nil"/>
            </w:tcBorders>
            <w:vAlign w:val="center"/>
          </w:tcPr>
          <w:p w14:paraId="3F12FD72">
            <w:pPr>
              <w:widowControl/>
              <w:jc w:val="center"/>
              <w:rPr>
                <w:rFonts w:eastAsia="仿宋_GB2312"/>
                <w:kern w:val="0"/>
                <w:szCs w:val="21"/>
              </w:rPr>
            </w:pPr>
            <w:r>
              <w:rPr>
                <w:rFonts w:eastAsia="仿宋_GB2312"/>
                <w:kern w:val="0"/>
                <w:szCs w:val="21"/>
              </w:rPr>
              <w:t>600</w:t>
            </w:r>
          </w:p>
        </w:tc>
        <w:tc>
          <w:tcPr>
            <w:tcW w:w="384" w:type="pct"/>
            <w:tcBorders>
              <w:tl2br w:val="nil"/>
              <w:tr2bl w:val="nil"/>
            </w:tcBorders>
            <w:shd w:val="clear" w:color="auto" w:fill="auto"/>
            <w:vAlign w:val="center"/>
          </w:tcPr>
          <w:p w14:paraId="5691E3B7">
            <w:pPr>
              <w:widowControl/>
              <w:jc w:val="center"/>
              <w:textAlignment w:val="center"/>
              <w:rPr>
                <w:rFonts w:eastAsia="仿宋_GB2312"/>
                <w:kern w:val="0"/>
                <w:szCs w:val="21"/>
              </w:rPr>
            </w:pPr>
            <w:r>
              <w:rPr>
                <w:kern w:val="0"/>
                <w:szCs w:val="21"/>
                <w:lang w:bidi="ar"/>
              </w:rPr>
              <w:t>HW02</w:t>
            </w:r>
          </w:p>
        </w:tc>
        <w:tc>
          <w:tcPr>
            <w:tcW w:w="1059" w:type="pct"/>
            <w:tcBorders>
              <w:tl2br w:val="nil"/>
              <w:tr2bl w:val="nil"/>
            </w:tcBorders>
            <w:shd w:val="clear" w:color="auto" w:fill="auto"/>
            <w:vAlign w:val="center"/>
          </w:tcPr>
          <w:p w14:paraId="35D9D380">
            <w:pPr>
              <w:widowControl/>
              <w:jc w:val="center"/>
              <w:textAlignment w:val="center"/>
              <w:rPr>
                <w:rFonts w:eastAsia="仿宋_GB2312"/>
                <w:kern w:val="0"/>
                <w:szCs w:val="21"/>
              </w:rPr>
            </w:pPr>
            <w:r>
              <w:rPr>
                <w:kern w:val="0"/>
                <w:szCs w:val="21"/>
                <w:lang w:bidi="ar"/>
              </w:rPr>
              <w:t>271-001-02</w:t>
            </w:r>
            <w:r>
              <w:rPr>
                <w:rFonts w:ascii="仿宋_GB2312" w:eastAsia="仿宋_GB2312" w:cs="仿宋_GB2312"/>
                <w:kern w:val="0"/>
                <w:szCs w:val="21"/>
                <w:lang w:bidi="ar"/>
              </w:rPr>
              <w:t>，</w:t>
            </w:r>
            <w:r>
              <w:rPr>
                <w:kern w:val="0"/>
                <w:szCs w:val="21"/>
                <w:lang w:bidi="ar"/>
              </w:rPr>
              <w:t>271-002-02</w:t>
            </w:r>
            <w:r>
              <w:rPr>
                <w:rFonts w:ascii="仿宋_GB2312" w:eastAsia="仿宋_GB2312" w:cs="仿宋_GB2312"/>
                <w:kern w:val="0"/>
                <w:szCs w:val="21"/>
                <w:lang w:bidi="ar"/>
              </w:rPr>
              <w:t>，</w:t>
            </w:r>
            <w:r>
              <w:rPr>
                <w:kern w:val="0"/>
                <w:szCs w:val="21"/>
                <w:lang w:bidi="ar"/>
              </w:rPr>
              <w:t>272-001-02</w:t>
            </w:r>
            <w:r>
              <w:rPr>
                <w:rFonts w:ascii="仿宋_GB2312" w:eastAsia="仿宋_GB2312" w:cs="仿宋_GB2312"/>
                <w:kern w:val="0"/>
                <w:szCs w:val="21"/>
                <w:lang w:bidi="ar"/>
              </w:rPr>
              <w:t>，</w:t>
            </w:r>
            <w:r>
              <w:rPr>
                <w:b/>
                <w:bCs/>
                <w:kern w:val="0"/>
                <w:szCs w:val="21"/>
                <w:lang w:bidi="ar"/>
              </w:rPr>
              <w:t>272-00</w:t>
            </w:r>
            <w:r>
              <w:rPr>
                <w:rFonts w:hint="eastAsia"/>
                <w:b/>
                <w:bCs/>
                <w:kern w:val="0"/>
                <w:szCs w:val="21"/>
                <w:lang w:val="en-US" w:eastAsia="zh-CN" w:bidi="ar"/>
              </w:rPr>
              <w:t>5</w:t>
            </w:r>
            <w:r>
              <w:rPr>
                <w:b/>
                <w:bCs/>
                <w:kern w:val="0"/>
                <w:szCs w:val="21"/>
                <w:lang w:bidi="ar"/>
              </w:rPr>
              <w:t>-02</w:t>
            </w:r>
            <w:r>
              <w:rPr>
                <w:rFonts w:ascii="仿宋_GB2312" w:eastAsia="仿宋_GB2312" w:cs="仿宋_GB2312"/>
                <w:kern w:val="0"/>
                <w:szCs w:val="21"/>
                <w:lang w:bidi="ar"/>
              </w:rPr>
              <w:t>，</w:t>
            </w:r>
            <w:r>
              <w:rPr>
                <w:kern w:val="0"/>
                <w:szCs w:val="21"/>
                <w:lang w:bidi="ar"/>
              </w:rPr>
              <w:t>275-004-02</w:t>
            </w:r>
            <w:r>
              <w:rPr>
                <w:rFonts w:ascii="仿宋_GB2312" w:eastAsia="仿宋_GB2312" w:cs="仿宋_GB2312"/>
                <w:kern w:val="0"/>
                <w:szCs w:val="21"/>
                <w:lang w:bidi="ar"/>
              </w:rPr>
              <w:t>，</w:t>
            </w:r>
            <w:r>
              <w:rPr>
                <w:b/>
                <w:bCs/>
                <w:kern w:val="0"/>
                <w:szCs w:val="21"/>
                <w:lang w:bidi="ar"/>
              </w:rPr>
              <w:t>275-00</w:t>
            </w:r>
            <w:r>
              <w:rPr>
                <w:rFonts w:hint="eastAsia"/>
                <w:b/>
                <w:bCs/>
                <w:kern w:val="0"/>
                <w:szCs w:val="21"/>
                <w:lang w:val="en-US" w:eastAsia="zh-CN" w:bidi="ar"/>
              </w:rPr>
              <w:t>6</w:t>
            </w:r>
            <w:r>
              <w:rPr>
                <w:b/>
                <w:bCs/>
                <w:kern w:val="0"/>
                <w:szCs w:val="21"/>
                <w:lang w:bidi="ar"/>
              </w:rPr>
              <w:t>-02</w:t>
            </w:r>
            <w:r>
              <w:rPr>
                <w:rFonts w:ascii="仿宋_GB2312" w:eastAsia="仿宋_GB2312" w:cs="仿宋_GB2312"/>
                <w:kern w:val="0"/>
                <w:szCs w:val="21"/>
                <w:lang w:bidi="ar"/>
              </w:rPr>
              <w:t>，</w:t>
            </w:r>
            <w:r>
              <w:rPr>
                <w:kern w:val="0"/>
                <w:szCs w:val="21"/>
                <w:lang w:bidi="ar"/>
              </w:rPr>
              <w:t>276-001-02</w:t>
            </w:r>
            <w:r>
              <w:rPr>
                <w:rFonts w:ascii="仿宋_GB2312" w:eastAsia="仿宋_GB2312" w:cs="仿宋_GB2312"/>
                <w:kern w:val="0"/>
                <w:szCs w:val="21"/>
                <w:lang w:bidi="ar"/>
              </w:rPr>
              <w:t>，</w:t>
            </w:r>
            <w:r>
              <w:rPr>
                <w:kern w:val="0"/>
                <w:szCs w:val="21"/>
                <w:lang w:bidi="ar"/>
              </w:rPr>
              <w:t>276-002-02</w:t>
            </w:r>
            <w:r>
              <w:rPr>
                <w:rFonts w:ascii="仿宋_GB2312" w:eastAsia="仿宋_GB2312" w:cs="仿宋_GB2312"/>
                <w:kern w:val="0"/>
                <w:szCs w:val="21"/>
                <w:lang w:bidi="ar"/>
              </w:rPr>
              <w:t>，</w:t>
            </w:r>
            <w:r>
              <w:rPr>
                <w:b/>
                <w:bCs/>
                <w:kern w:val="0"/>
                <w:szCs w:val="21"/>
                <w:lang w:bidi="ar"/>
              </w:rPr>
              <w:t>276-00</w:t>
            </w:r>
            <w:r>
              <w:rPr>
                <w:rFonts w:hint="eastAsia"/>
                <w:b/>
                <w:bCs/>
                <w:kern w:val="0"/>
                <w:szCs w:val="21"/>
                <w:lang w:val="en-US" w:eastAsia="zh-CN" w:bidi="ar"/>
              </w:rPr>
              <w:t>5</w:t>
            </w:r>
            <w:r>
              <w:rPr>
                <w:b/>
                <w:bCs/>
                <w:kern w:val="0"/>
                <w:szCs w:val="21"/>
                <w:lang w:bidi="ar"/>
              </w:rPr>
              <w:t>-02</w:t>
            </w:r>
          </w:p>
        </w:tc>
        <w:tc>
          <w:tcPr>
            <w:tcW w:w="423" w:type="pct"/>
            <w:vMerge w:val="restart"/>
            <w:tcBorders>
              <w:tl2br w:val="nil"/>
              <w:tr2bl w:val="nil"/>
            </w:tcBorders>
            <w:vAlign w:val="center"/>
          </w:tcPr>
          <w:p w14:paraId="00939E2F">
            <w:pPr>
              <w:widowControl/>
              <w:jc w:val="center"/>
              <w:rPr>
                <w:rFonts w:eastAsia="仿宋_GB2312"/>
                <w:bCs/>
                <w:kern w:val="0"/>
                <w:szCs w:val="21"/>
              </w:rPr>
            </w:pPr>
            <w:r>
              <w:rPr>
                <w:rFonts w:hint="eastAsia" w:eastAsia="仿宋_GB2312"/>
                <w:bCs/>
                <w:kern w:val="0"/>
                <w:szCs w:val="21"/>
              </w:rPr>
              <w:t>600</w:t>
            </w:r>
          </w:p>
        </w:tc>
        <w:tc>
          <w:tcPr>
            <w:tcW w:w="605" w:type="pct"/>
            <w:vMerge w:val="restart"/>
            <w:tcBorders>
              <w:tl2br w:val="nil"/>
              <w:tr2bl w:val="nil"/>
            </w:tcBorders>
            <w:vAlign w:val="center"/>
          </w:tcPr>
          <w:p w14:paraId="3A282BE5">
            <w:pPr>
              <w:widowControl/>
              <w:jc w:val="center"/>
              <w:rPr>
                <w:rFonts w:eastAsia="仿宋_GB2312"/>
                <w:bCs/>
              </w:rPr>
            </w:pPr>
            <w:r>
              <w:rPr>
                <w:rFonts w:eastAsia="仿宋_GB2312"/>
                <w:bCs/>
              </w:rPr>
              <w:t>回收综合利用量不变，危废代码增加</w:t>
            </w:r>
          </w:p>
        </w:tc>
      </w:tr>
      <w:tr w14:paraId="72EE98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3" w:type="pct"/>
            <w:vMerge w:val="continue"/>
            <w:tcBorders>
              <w:tl2br w:val="nil"/>
              <w:tr2bl w:val="nil"/>
            </w:tcBorders>
            <w:vAlign w:val="center"/>
          </w:tcPr>
          <w:p w14:paraId="5F7CED54">
            <w:pPr>
              <w:widowControl/>
              <w:jc w:val="center"/>
              <w:rPr>
                <w:rFonts w:eastAsia="仿宋_GB2312"/>
                <w:kern w:val="0"/>
                <w:szCs w:val="21"/>
              </w:rPr>
            </w:pPr>
          </w:p>
        </w:tc>
        <w:tc>
          <w:tcPr>
            <w:tcW w:w="372" w:type="pct"/>
            <w:vMerge w:val="continue"/>
            <w:tcBorders>
              <w:tl2br w:val="nil"/>
              <w:tr2bl w:val="nil"/>
            </w:tcBorders>
            <w:vAlign w:val="center"/>
          </w:tcPr>
          <w:p w14:paraId="56A99A70">
            <w:pPr>
              <w:widowControl/>
              <w:jc w:val="center"/>
              <w:rPr>
                <w:rFonts w:eastAsia="仿宋_GB2312"/>
                <w:kern w:val="0"/>
                <w:szCs w:val="21"/>
              </w:rPr>
            </w:pPr>
          </w:p>
        </w:tc>
        <w:tc>
          <w:tcPr>
            <w:tcW w:w="394" w:type="pct"/>
            <w:tcBorders>
              <w:tl2br w:val="nil"/>
              <w:tr2bl w:val="nil"/>
            </w:tcBorders>
            <w:vAlign w:val="center"/>
          </w:tcPr>
          <w:p w14:paraId="43969C3F">
            <w:pPr>
              <w:widowControl/>
              <w:jc w:val="center"/>
              <w:rPr>
                <w:rFonts w:eastAsia="仿宋_GB2312"/>
                <w:kern w:val="0"/>
                <w:szCs w:val="21"/>
              </w:rPr>
            </w:pPr>
            <w:r>
              <w:rPr>
                <w:rFonts w:hint="eastAsia" w:eastAsia="仿宋_GB2312"/>
                <w:kern w:val="0"/>
                <w:szCs w:val="21"/>
              </w:rPr>
              <w:t>/</w:t>
            </w:r>
          </w:p>
        </w:tc>
        <w:tc>
          <w:tcPr>
            <w:tcW w:w="1042" w:type="pct"/>
            <w:tcBorders>
              <w:tl2br w:val="nil"/>
              <w:tr2bl w:val="nil"/>
            </w:tcBorders>
            <w:vAlign w:val="center"/>
          </w:tcPr>
          <w:p w14:paraId="03F4E366">
            <w:pPr>
              <w:widowControl/>
              <w:jc w:val="center"/>
              <w:rPr>
                <w:rFonts w:eastAsia="仿宋_GB2312"/>
                <w:kern w:val="0"/>
                <w:szCs w:val="21"/>
              </w:rPr>
            </w:pPr>
            <w:r>
              <w:rPr>
                <w:rFonts w:hint="eastAsia" w:eastAsia="仿宋_GB2312"/>
                <w:kern w:val="0"/>
                <w:szCs w:val="21"/>
              </w:rPr>
              <w:t>/</w:t>
            </w:r>
          </w:p>
        </w:tc>
        <w:tc>
          <w:tcPr>
            <w:tcW w:w="465" w:type="pct"/>
            <w:vMerge w:val="continue"/>
            <w:tcBorders>
              <w:tl2br w:val="nil"/>
              <w:tr2bl w:val="nil"/>
            </w:tcBorders>
            <w:vAlign w:val="center"/>
          </w:tcPr>
          <w:p w14:paraId="64C4709B">
            <w:pPr>
              <w:widowControl/>
              <w:jc w:val="center"/>
              <w:rPr>
                <w:rFonts w:eastAsia="仿宋_GB2312"/>
                <w:kern w:val="0"/>
                <w:szCs w:val="21"/>
              </w:rPr>
            </w:pPr>
          </w:p>
        </w:tc>
        <w:tc>
          <w:tcPr>
            <w:tcW w:w="384" w:type="pct"/>
            <w:tcBorders>
              <w:tl2br w:val="nil"/>
              <w:tr2bl w:val="nil"/>
            </w:tcBorders>
            <w:shd w:val="clear" w:color="auto" w:fill="auto"/>
            <w:vAlign w:val="center"/>
          </w:tcPr>
          <w:p w14:paraId="5F20DF1F">
            <w:pPr>
              <w:widowControl/>
              <w:jc w:val="center"/>
              <w:textAlignment w:val="center"/>
              <w:rPr>
                <w:rFonts w:eastAsia="仿宋_GB2312"/>
                <w:b/>
                <w:bCs/>
                <w:kern w:val="0"/>
                <w:szCs w:val="21"/>
              </w:rPr>
            </w:pPr>
            <w:r>
              <w:rPr>
                <w:b/>
                <w:bCs/>
                <w:kern w:val="0"/>
                <w:szCs w:val="21"/>
                <w:lang w:bidi="ar"/>
              </w:rPr>
              <w:t>HW04</w:t>
            </w:r>
          </w:p>
        </w:tc>
        <w:tc>
          <w:tcPr>
            <w:tcW w:w="1059" w:type="pct"/>
            <w:tcBorders>
              <w:tl2br w:val="nil"/>
              <w:tr2bl w:val="nil"/>
            </w:tcBorders>
            <w:shd w:val="clear" w:color="auto" w:fill="auto"/>
            <w:vAlign w:val="center"/>
          </w:tcPr>
          <w:p w14:paraId="0B1C88EC">
            <w:pPr>
              <w:widowControl/>
              <w:jc w:val="center"/>
              <w:textAlignment w:val="center"/>
              <w:rPr>
                <w:rFonts w:eastAsia="仿宋_GB2312"/>
                <w:b/>
                <w:bCs/>
                <w:kern w:val="0"/>
                <w:szCs w:val="21"/>
              </w:rPr>
            </w:pPr>
            <w:r>
              <w:rPr>
                <w:b/>
                <w:bCs/>
                <w:kern w:val="0"/>
                <w:szCs w:val="21"/>
                <w:lang w:bidi="ar"/>
              </w:rPr>
              <w:t>263-008-04</w:t>
            </w:r>
          </w:p>
        </w:tc>
        <w:tc>
          <w:tcPr>
            <w:tcW w:w="423" w:type="pct"/>
            <w:vMerge w:val="continue"/>
            <w:tcBorders>
              <w:tl2br w:val="nil"/>
              <w:tr2bl w:val="nil"/>
            </w:tcBorders>
            <w:vAlign w:val="center"/>
          </w:tcPr>
          <w:p w14:paraId="60BD8559">
            <w:pPr>
              <w:widowControl/>
              <w:jc w:val="center"/>
              <w:rPr>
                <w:rFonts w:eastAsia="仿宋_GB2312"/>
                <w:bCs/>
                <w:kern w:val="0"/>
                <w:szCs w:val="21"/>
              </w:rPr>
            </w:pPr>
          </w:p>
        </w:tc>
        <w:tc>
          <w:tcPr>
            <w:tcW w:w="605" w:type="pct"/>
            <w:vMerge w:val="continue"/>
            <w:tcBorders>
              <w:tl2br w:val="nil"/>
              <w:tr2bl w:val="nil"/>
            </w:tcBorders>
            <w:vAlign w:val="center"/>
          </w:tcPr>
          <w:p w14:paraId="61B18956">
            <w:pPr>
              <w:widowControl/>
              <w:jc w:val="center"/>
              <w:rPr>
                <w:rFonts w:eastAsia="仿宋_GB2312"/>
                <w:bCs/>
              </w:rPr>
            </w:pPr>
          </w:p>
        </w:tc>
      </w:tr>
      <w:tr w14:paraId="0EB4F0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3" w:type="pct"/>
            <w:vMerge w:val="continue"/>
            <w:tcBorders>
              <w:tl2br w:val="nil"/>
              <w:tr2bl w:val="nil"/>
            </w:tcBorders>
            <w:vAlign w:val="center"/>
          </w:tcPr>
          <w:p w14:paraId="465F8A81">
            <w:pPr>
              <w:widowControl/>
              <w:jc w:val="center"/>
              <w:rPr>
                <w:rFonts w:eastAsia="仿宋_GB2312"/>
                <w:kern w:val="0"/>
                <w:szCs w:val="21"/>
              </w:rPr>
            </w:pPr>
          </w:p>
        </w:tc>
        <w:tc>
          <w:tcPr>
            <w:tcW w:w="372" w:type="pct"/>
            <w:vMerge w:val="continue"/>
            <w:tcBorders>
              <w:tl2br w:val="nil"/>
              <w:tr2bl w:val="nil"/>
            </w:tcBorders>
            <w:vAlign w:val="center"/>
          </w:tcPr>
          <w:p w14:paraId="5A5147B6">
            <w:pPr>
              <w:widowControl/>
              <w:jc w:val="center"/>
              <w:rPr>
                <w:rFonts w:eastAsia="仿宋_GB2312"/>
                <w:kern w:val="0"/>
                <w:szCs w:val="21"/>
              </w:rPr>
            </w:pPr>
          </w:p>
        </w:tc>
        <w:tc>
          <w:tcPr>
            <w:tcW w:w="394" w:type="pct"/>
            <w:tcBorders>
              <w:tl2br w:val="nil"/>
              <w:tr2bl w:val="nil"/>
            </w:tcBorders>
            <w:vAlign w:val="center"/>
          </w:tcPr>
          <w:p w14:paraId="7B38EA94">
            <w:pPr>
              <w:widowControl/>
              <w:jc w:val="center"/>
              <w:rPr>
                <w:rFonts w:eastAsia="仿宋_GB2312"/>
                <w:kern w:val="0"/>
                <w:szCs w:val="21"/>
              </w:rPr>
            </w:pPr>
            <w:r>
              <w:rPr>
                <w:rFonts w:eastAsia="仿宋_GB2312"/>
                <w:kern w:val="0"/>
                <w:szCs w:val="21"/>
              </w:rPr>
              <w:t>HW06</w:t>
            </w:r>
          </w:p>
        </w:tc>
        <w:tc>
          <w:tcPr>
            <w:tcW w:w="1042" w:type="pct"/>
            <w:tcBorders>
              <w:tl2br w:val="nil"/>
              <w:tr2bl w:val="nil"/>
            </w:tcBorders>
            <w:vAlign w:val="center"/>
          </w:tcPr>
          <w:p w14:paraId="518C2B52">
            <w:pPr>
              <w:widowControl/>
              <w:jc w:val="center"/>
              <w:rPr>
                <w:rFonts w:eastAsia="仿宋_GB2312"/>
                <w:kern w:val="0"/>
                <w:szCs w:val="21"/>
              </w:rPr>
            </w:pPr>
            <w:r>
              <w:rPr>
                <w:rFonts w:eastAsia="仿宋_GB2312"/>
                <w:kern w:val="0"/>
                <w:szCs w:val="21"/>
              </w:rPr>
              <w:t>900-402-06，900-404-06，900-407-06</w:t>
            </w:r>
          </w:p>
        </w:tc>
        <w:tc>
          <w:tcPr>
            <w:tcW w:w="465" w:type="pct"/>
            <w:vMerge w:val="continue"/>
            <w:tcBorders>
              <w:tl2br w:val="nil"/>
              <w:tr2bl w:val="nil"/>
            </w:tcBorders>
            <w:vAlign w:val="center"/>
          </w:tcPr>
          <w:p w14:paraId="0966D6DD">
            <w:pPr>
              <w:widowControl/>
              <w:jc w:val="center"/>
              <w:rPr>
                <w:rFonts w:eastAsia="仿宋_GB2312"/>
                <w:kern w:val="0"/>
                <w:szCs w:val="21"/>
              </w:rPr>
            </w:pPr>
          </w:p>
        </w:tc>
        <w:tc>
          <w:tcPr>
            <w:tcW w:w="384" w:type="pct"/>
            <w:tcBorders>
              <w:tl2br w:val="nil"/>
              <w:tr2bl w:val="nil"/>
            </w:tcBorders>
            <w:shd w:val="clear" w:color="auto" w:fill="auto"/>
            <w:vAlign w:val="center"/>
          </w:tcPr>
          <w:p w14:paraId="494D893E">
            <w:pPr>
              <w:widowControl/>
              <w:jc w:val="center"/>
              <w:textAlignment w:val="center"/>
              <w:rPr>
                <w:rFonts w:eastAsia="仿宋_GB2312"/>
                <w:kern w:val="0"/>
                <w:szCs w:val="21"/>
              </w:rPr>
            </w:pPr>
            <w:r>
              <w:rPr>
                <w:kern w:val="0"/>
                <w:szCs w:val="21"/>
                <w:lang w:bidi="ar"/>
              </w:rPr>
              <w:t>HW06</w:t>
            </w:r>
          </w:p>
        </w:tc>
        <w:tc>
          <w:tcPr>
            <w:tcW w:w="1059" w:type="pct"/>
            <w:tcBorders>
              <w:tl2br w:val="nil"/>
              <w:tr2bl w:val="nil"/>
            </w:tcBorders>
            <w:shd w:val="clear" w:color="auto" w:fill="auto"/>
            <w:vAlign w:val="center"/>
          </w:tcPr>
          <w:p w14:paraId="3E96E8C3">
            <w:pPr>
              <w:widowControl/>
              <w:jc w:val="center"/>
              <w:textAlignment w:val="center"/>
              <w:rPr>
                <w:rFonts w:eastAsia="仿宋_GB2312"/>
                <w:kern w:val="0"/>
                <w:szCs w:val="21"/>
              </w:rPr>
            </w:pPr>
            <w:r>
              <w:rPr>
                <w:kern w:val="0"/>
                <w:szCs w:val="21"/>
                <w:lang w:bidi="ar"/>
              </w:rPr>
              <w:t>900-402-06</w:t>
            </w:r>
            <w:r>
              <w:rPr>
                <w:rFonts w:ascii="仿宋_GB2312" w:eastAsia="仿宋_GB2312" w:cs="仿宋_GB2312"/>
                <w:kern w:val="0"/>
                <w:szCs w:val="21"/>
                <w:lang w:bidi="ar"/>
              </w:rPr>
              <w:t>，</w:t>
            </w:r>
            <w:r>
              <w:rPr>
                <w:kern w:val="0"/>
                <w:szCs w:val="21"/>
                <w:lang w:bidi="ar"/>
              </w:rPr>
              <w:t>900-404-06</w:t>
            </w:r>
            <w:r>
              <w:rPr>
                <w:rFonts w:ascii="仿宋_GB2312" w:eastAsia="仿宋_GB2312" w:cs="仿宋_GB2312"/>
                <w:kern w:val="0"/>
                <w:szCs w:val="21"/>
                <w:lang w:bidi="ar"/>
              </w:rPr>
              <w:t>，</w:t>
            </w:r>
            <w:r>
              <w:rPr>
                <w:kern w:val="0"/>
                <w:szCs w:val="21"/>
                <w:lang w:bidi="ar"/>
              </w:rPr>
              <w:t>900-407-06</w:t>
            </w:r>
          </w:p>
        </w:tc>
        <w:tc>
          <w:tcPr>
            <w:tcW w:w="423" w:type="pct"/>
            <w:vMerge w:val="continue"/>
            <w:tcBorders>
              <w:tl2br w:val="nil"/>
              <w:tr2bl w:val="nil"/>
            </w:tcBorders>
            <w:vAlign w:val="center"/>
          </w:tcPr>
          <w:p w14:paraId="3E6C677E">
            <w:pPr>
              <w:widowControl/>
              <w:jc w:val="center"/>
              <w:rPr>
                <w:rFonts w:eastAsia="仿宋_GB2312"/>
                <w:b/>
                <w:kern w:val="0"/>
                <w:szCs w:val="21"/>
              </w:rPr>
            </w:pPr>
          </w:p>
        </w:tc>
        <w:tc>
          <w:tcPr>
            <w:tcW w:w="605" w:type="pct"/>
            <w:vMerge w:val="continue"/>
            <w:tcBorders>
              <w:tl2br w:val="nil"/>
              <w:tr2bl w:val="nil"/>
            </w:tcBorders>
            <w:vAlign w:val="center"/>
          </w:tcPr>
          <w:p w14:paraId="5FCB20C4">
            <w:pPr>
              <w:widowControl/>
              <w:jc w:val="center"/>
              <w:rPr>
                <w:rFonts w:eastAsia="仿宋_GB2312"/>
                <w:bCs/>
              </w:rPr>
            </w:pPr>
          </w:p>
        </w:tc>
      </w:tr>
      <w:tr w14:paraId="433962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3" w:type="pct"/>
            <w:vMerge w:val="continue"/>
            <w:tcBorders>
              <w:tl2br w:val="nil"/>
              <w:tr2bl w:val="nil"/>
            </w:tcBorders>
            <w:vAlign w:val="center"/>
          </w:tcPr>
          <w:p w14:paraId="4E8683AC">
            <w:pPr>
              <w:widowControl/>
              <w:jc w:val="center"/>
              <w:rPr>
                <w:rFonts w:eastAsia="仿宋_GB2312"/>
                <w:kern w:val="0"/>
                <w:szCs w:val="21"/>
              </w:rPr>
            </w:pPr>
          </w:p>
        </w:tc>
        <w:tc>
          <w:tcPr>
            <w:tcW w:w="372" w:type="pct"/>
            <w:vMerge w:val="continue"/>
            <w:tcBorders>
              <w:tl2br w:val="nil"/>
              <w:tr2bl w:val="nil"/>
            </w:tcBorders>
            <w:vAlign w:val="center"/>
          </w:tcPr>
          <w:p w14:paraId="197634DA">
            <w:pPr>
              <w:widowControl/>
              <w:jc w:val="center"/>
              <w:rPr>
                <w:rFonts w:eastAsia="仿宋_GB2312"/>
                <w:kern w:val="0"/>
                <w:szCs w:val="21"/>
              </w:rPr>
            </w:pPr>
          </w:p>
        </w:tc>
        <w:tc>
          <w:tcPr>
            <w:tcW w:w="394" w:type="pct"/>
            <w:tcBorders>
              <w:tl2br w:val="nil"/>
              <w:tr2bl w:val="nil"/>
            </w:tcBorders>
            <w:vAlign w:val="center"/>
          </w:tcPr>
          <w:p w14:paraId="66D66117">
            <w:pPr>
              <w:widowControl/>
              <w:jc w:val="center"/>
              <w:rPr>
                <w:rFonts w:eastAsia="仿宋_GB2312"/>
                <w:kern w:val="0"/>
                <w:szCs w:val="21"/>
              </w:rPr>
            </w:pPr>
            <w:r>
              <w:rPr>
                <w:rFonts w:eastAsia="仿宋_GB2312"/>
                <w:kern w:val="0"/>
                <w:szCs w:val="21"/>
              </w:rPr>
              <w:t>HW11</w:t>
            </w:r>
          </w:p>
        </w:tc>
        <w:tc>
          <w:tcPr>
            <w:tcW w:w="1042" w:type="pct"/>
            <w:tcBorders>
              <w:tl2br w:val="nil"/>
              <w:tr2bl w:val="nil"/>
            </w:tcBorders>
            <w:vAlign w:val="center"/>
          </w:tcPr>
          <w:p w14:paraId="49579DA6">
            <w:pPr>
              <w:widowControl/>
              <w:jc w:val="center"/>
              <w:rPr>
                <w:rFonts w:eastAsia="仿宋_GB2312"/>
                <w:kern w:val="0"/>
                <w:szCs w:val="21"/>
              </w:rPr>
            </w:pPr>
            <w:r>
              <w:rPr>
                <w:rFonts w:eastAsia="仿宋_GB2312"/>
                <w:kern w:val="0"/>
                <w:szCs w:val="21"/>
              </w:rPr>
              <w:t>900-013-11，261-128-11，261-129-11，261-130-11，261-013-11，261-031-11</w:t>
            </w:r>
          </w:p>
        </w:tc>
        <w:tc>
          <w:tcPr>
            <w:tcW w:w="465" w:type="pct"/>
            <w:vMerge w:val="continue"/>
            <w:tcBorders>
              <w:tl2br w:val="nil"/>
              <w:tr2bl w:val="nil"/>
            </w:tcBorders>
            <w:vAlign w:val="center"/>
          </w:tcPr>
          <w:p w14:paraId="4147D188">
            <w:pPr>
              <w:widowControl/>
              <w:jc w:val="center"/>
              <w:rPr>
                <w:rFonts w:eastAsia="仿宋_GB2312"/>
                <w:kern w:val="0"/>
                <w:szCs w:val="21"/>
              </w:rPr>
            </w:pPr>
          </w:p>
        </w:tc>
        <w:tc>
          <w:tcPr>
            <w:tcW w:w="384" w:type="pct"/>
            <w:tcBorders>
              <w:tl2br w:val="nil"/>
              <w:tr2bl w:val="nil"/>
            </w:tcBorders>
            <w:shd w:val="clear" w:color="auto" w:fill="auto"/>
            <w:vAlign w:val="center"/>
          </w:tcPr>
          <w:p w14:paraId="7B3E1B48">
            <w:pPr>
              <w:widowControl/>
              <w:jc w:val="center"/>
              <w:textAlignment w:val="center"/>
              <w:rPr>
                <w:rFonts w:eastAsia="仿宋_GB2312"/>
                <w:kern w:val="0"/>
                <w:szCs w:val="21"/>
              </w:rPr>
            </w:pPr>
            <w:r>
              <w:rPr>
                <w:kern w:val="0"/>
                <w:szCs w:val="21"/>
                <w:lang w:bidi="ar"/>
              </w:rPr>
              <w:t>HW11</w:t>
            </w:r>
          </w:p>
        </w:tc>
        <w:tc>
          <w:tcPr>
            <w:tcW w:w="1059" w:type="pct"/>
            <w:tcBorders>
              <w:tl2br w:val="nil"/>
              <w:tr2bl w:val="nil"/>
            </w:tcBorders>
            <w:shd w:val="clear" w:color="auto" w:fill="auto"/>
            <w:vAlign w:val="center"/>
          </w:tcPr>
          <w:p w14:paraId="18A980EF">
            <w:pPr>
              <w:widowControl/>
              <w:jc w:val="center"/>
              <w:textAlignment w:val="center"/>
              <w:rPr>
                <w:rFonts w:eastAsia="仿宋_GB2312"/>
                <w:kern w:val="0"/>
                <w:szCs w:val="21"/>
              </w:rPr>
            </w:pPr>
            <w:r>
              <w:rPr>
                <w:kern w:val="0"/>
                <w:szCs w:val="21"/>
                <w:lang w:bidi="ar"/>
              </w:rPr>
              <w:t>900-013-11</w:t>
            </w:r>
            <w:r>
              <w:rPr>
                <w:rFonts w:ascii="仿宋_GB2312" w:eastAsia="仿宋_GB2312" w:cs="仿宋_GB2312"/>
                <w:kern w:val="0"/>
                <w:szCs w:val="21"/>
                <w:lang w:bidi="ar"/>
              </w:rPr>
              <w:t>，</w:t>
            </w:r>
            <w:r>
              <w:rPr>
                <w:kern w:val="0"/>
                <w:szCs w:val="21"/>
                <w:lang w:bidi="ar"/>
              </w:rPr>
              <w:t>261-128-11</w:t>
            </w:r>
            <w:r>
              <w:rPr>
                <w:rFonts w:ascii="仿宋_GB2312" w:eastAsia="仿宋_GB2312" w:cs="仿宋_GB2312"/>
                <w:kern w:val="0"/>
                <w:szCs w:val="21"/>
                <w:lang w:bidi="ar"/>
              </w:rPr>
              <w:t>，</w:t>
            </w:r>
            <w:r>
              <w:rPr>
                <w:kern w:val="0"/>
                <w:szCs w:val="21"/>
                <w:lang w:bidi="ar"/>
              </w:rPr>
              <w:t>261-129-11</w:t>
            </w:r>
            <w:r>
              <w:rPr>
                <w:rFonts w:ascii="仿宋_GB2312" w:eastAsia="仿宋_GB2312" w:cs="仿宋_GB2312"/>
                <w:kern w:val="0"/>
                <w:szCs w:val="21"/>
                <w:lang w:bidi="ar"/>
              </w:rPr>
              <w:t>，</w:t>
            </w:r>
            <w:r>
              <w:rPr>
                <w:kern w:val="0"/>
                <w:szCs w:val="21"/>
                <w:lang w:bidi="ar"/>
              </w:rPr>
              <w:t>261-130-11</w:t>
            </w:r>
            <w:r>
              <w:rPr>
                <w:rFonts w:ascii="仿宋_GB2312" w:eastAsia="仿宋_GB2312" w:cs="仿宋_GB2312"/>
                <w:kern w:val="0"/>
                <w:szCs w:val="21"/>
                <w:lang w:bidi="ar"/>
              </w:rPr>
              <w:t>，</w:t>
            </w:r>
            <w:r>
              <w:rPr>
                <w:kern w:val="0"/>
                <w:szCs w:val="21"/>
                <w:lang w:bidi="ar"/>
              </w:rPr>
              <w:t>261-013-11</w:t>
            </w:r>
            <w:r>
              <w:rPr>
                <w:rFonts w:ascii="仿宋_GB2312" w:eastAsia="仿宋_GB2312" w:cs="仿宋_GB2312"/>
                <w:kern w:val="0"/>
                <w:szCs w:val="21"/>
                <w:lang w:bidi="ar"/>
              </w:rPr>
              <w:t>，</w:t>
            </w:r>
            <w:r>
              <w:rPr>
                <w:kern w:val="0"/>
                <w:szCs w:val="21"/>
                <w:lang w:bidi="ar"/>
              </w:rPr>
              <w:t>261-031-11</w:t>
            </w:r>
            <w:r>
              <w:rPr>
                <w:rFonts w:hint="eastAsia" w:ascii="宋体" w:hAnsi="宋体" w:cs="宋体"/>
                <w:kern w:val="0"/>
                <w:szCs w:val="21"/>
                <w:lang w:bidi="ar"/>
              </w:rPr>
              <w:t>，</w:t>
            </w:r>
            <w:r>
              <w:rPr>
                <w:b/>
                <w:bCs/>
                <w:kern w:val="0"/>
                <w:szCs w:val="21"/>
                <w:lang w:bidi="ar"/>
              </w:rPr>
              <w:t>261-012-11</w:t>
            </w:r>
            <w:r>
              <w:rPr>
                <w:rFonts w:hint="eastAsia" w:ascii="宋体" w:hAnsi="宋体" w:cs="宋体"/>
                <w:b/>
                <w:bCs/>
                <w:kern w:val="0"/>
                <w:szCs w:val="21"/>
                <w:lang w:bidi="ar"/>
              </w:rPr>
              <w:t>，</w:t>
            </w:r>
            <w:r>
              <w:rPr>
                <w:b/>
                <w:bCs/>
                <w:kern w:val="0"/>
                <w:szCs w:val="21"/>
                <w:lang w:bidi="ar"/>
              </w:rPr>
              <w:t>261-106-11</w:t>
            </w:r>
          </w:p>
        </w:tc>
        <w:tc>
          <w:tcPr>
            <w:tcW w:w="423" w:type="pct"/>
            <w:vMerge w:val="continue"/>
            <w:tcBorders>
              <w:tl2br w:val="nil"/>
              <w:tr2bl w:val="nil"/>
            </w:tcBorders>
            <w:vAlign w:val="center"/>
          </w:tcPr>
          <w:p w14:paraId="39C41A54">
            <w:pPr>
              <w:widowControl/>
              <w:jc w:val="center"/>
              <w:rPr>
                <w:rFonts w:eastAsia="仿宋_GB2312"/>
                <w:b/>
                <w:kern w:val="0"/>
                <w:szCs w:val="21"/>
              </w:rPr>
            </w:pPr>
          </w:p>
        </w:tc>
        <w:tc>
          <w:tcPr>
            <w:tcW w:w="605" w:type="pct"/>
            <w:vMerge w:val="continue"/>
            <w:tcBorders>
              <w:tl2br w:val="nil"/>
              <w:tr2bl w:val="nil"/>
            </w:tcBorders>
            <w:vAlign w:val="center"/>
          </w:tcPr>
          <w:p w14:paraId="3332E9A0">
            <w:pPr>
              <w:widowControl/>
              <w:jc w:val="center"/>
              <w:rPr>
                <w:rFonts w:eastAsia="仿宋_GB2312"/>
                <w:bCs/>
              </w:rPr>
            </w:pPr>
          </w:p>
        </w:tc>
      </w:tr>
      <w:tr w14:paraId="53B6C2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3" w:type="pct"/>
            <w:vMerge w:val="continue"/>
            <w:tcBorders>
              <w:tl2br w:val="nil"/>
              <w:tr2bl w:val="nil"/>
            </w:tcBorders>
            <w:vAlign w:val="center"/>
          </w:tcPr>
          <w:p w14:paraId="0B7894B9">
            <w:pPr>
              <w:widowControl/>
              <w:jc w:val="center"/>
              <w:rPr>
                <w:rFonts w:eastAsia="仿宋_GB2312"/>
                <w:kern w:val="0"/>
                <w:szCs w:val="21"/>
              </w:rPr>
            </w:pPr>
          </w:p>
        </w:tc>
        <w:tc>
          <w:tcPr>
            <w:tcW w:w="372" w:type="pct"/>
            <w:vMerge w:val="continue"/>
            <w:tcBorders>
              <w:tl2br w:val="nil"/>
              <w:tr2bl w:val="nil"/>
            </w:tcBorders>
            <w:vAlign w:val="center"/>
          </w:tcPr>
          <w:p w14:paraId="2BEE230C">
            <w:pPr>
              <w:widowControl/>
              <w:jc w:val="center"/>
              <w:rPr>
                <w:rFonts w:eastAsia="仿宋_GB2312"/>
                <w:kern w:val="0"/>
                <w:szCs w:val="21"/>
              </w:rPr>
            </w:pPr>
          </w:p>
        </w:tc>
        <w:tc>
          <w:tcPr>
            <w:tcW w:w="394" w:type="pct"/>
            <w:tcBorders>
              <w:tl2br w:val="nil"/>
              <w:tr2bl w:val="nil"/>
            </w:tcBorders>
            <w:vAlign w:val="center"/>
          </w:tcPr>
          <w:p w14:paraId="69C352C8">
            <w:pPr>
              <w:widowControl/>
              <w:jc w:val="center"/>
              <w:rPr>
                <w:rFonts w:eastAsia="仿宋_GB2312"/>
                <w:kern w:val="0"/>
                <w:szCs w:val="21"/>
              </w:rPr>
            </w:pPr>
            <w:r>
              <w:rPr>
                <w:rFonts w:eastAsia="仿宋_GB2312"/>
                <w:kern w:val="0"/>
                <w:szCs w:val="21"/>
              </w:rPr>
              <w:t>HW12</w:t>
            </w:r>
          </w:p>
        </w:tc>
        <w:tc>
          <w:tcPr>
            <w:tcW w:w="1042" w:type="pct"/>
            <w:tcBorders>
              <w:tl2br w:val="nil"/>
              <w:tr2bl w:val="nil"/>
            </w:tcBorders>
            <w:vAlign w:val="center"/>
          </w:tcPr>
          <w:p w14:paraId="054BB12E">
            <w:pPr>
              <w:widowControl/>
              <w:jc w:val="center"/>
              <w:rPr>
                <w:rFonts w:eastAsia="仿宋_GB2312"/>
                <w:kern w:val="0"/>
                <w:szCs w:val="21"/>
              </w:rPr>
            </w:pPr>
            <w:r>
              <w:rPr>
                <w:rFonts w:eastAsia="仿宋_GB2312"/>
                <w:kern w:val="0"/>
                <w:szCs w:val="21"/>
              </w:rPr>
              <w:t>264-011-12，264-013-12，900-250-12，900-251-12，900-252-12，900-253-12</w:t>
            </w:r>
          </w:p>
        </w:tc>
        <w:tc>
          <w:tcPr>
            <w:tcW w:w="465" w:type="pct"/>
            <w:vMerge w:val="continue"/>
            <w:tcBorders>
              <w:tl2br w:val="nil"/>
              <w:tr2bl w:val="nil"/>
            </w:tcBorders>
            <w:vAlign w:val="center"/>
          </w:tcPr>
          <w:p w14:paraId="43D8E21D">
            <w:pPr>
              <w:widowControl/>
              <w:jc w:val="center"/>
              <w:rPr>
                <w:rFonts w:eastAsia="仿宋_GB2312"/>
                <w:kern w:val="0"/>
                <w:szCs w:val="21"/>
              </w:rPr>
            </w:pPr>
          </w:p>
        </w:tc>
        <w:tc>
          <w:tcPr>
            <w:tcW w:w="384" w:type="pct"/>
            <w:tcBorders>
              <w:tl2br w:val="nil"/>
              <w:tr2bl w:val="nil"/>
            </w:tcBorders>
            <w:shd w:val="clear" w:color="auto" w:fill="auto"/>
            <w:vAlign w:val="center"/>
          </w:tcPr>
          <w:p w14:paraId="72675969">
            <w:pPr>
              <w:widowControl/>
              <w:jc w:val="center"/>
              <w:textAlignment w:val="center"/>
              <w:rPr>
                <w:rFonts w:eastAsia="仿宋_GB2312"/>
                <w:kern w:val="0"/>
                <w:szCs w:val="21"/>
              </w:rPr>
            </w:pPr>
            <w:r>
              <w:rPr>
                <w:kern w:val="0"/>
                <w:szCs w:val="21"/>
                <w:lang w:bidi="ar"/>
              </w:rPr>
              <w:t>HW12</w:t>
            </w:r>
          </w:p>
        </w:tc>
        <w:tc>
          <w:tcPr>
            <w:tcW w:w="1059" w:type="pct"/>
            <w:tcBorders>
              <w:tl2br w:val="nil"/>
              <w:tr2bl w:val="nil"/>
            </w:tcBorders>
            <w:shd w:val="clear" w:color="auto" w:fill="auto"/>
            <w:vAlign w:val="center"/>
          </w:tcPr>
          <w:p w14:paraId="01DDFA0C">
            <w:pPr>
              <w:widowControl/>
              <w:jc w:val="center"/>
              <w:textAlignment w:val="center"/>
              <w:rPr>
                <w:rFonts w:eastAsia="仿宋_GB2312"/>
                <w:kern w:val="0"/>
                <w:szCs w:val="21"/>
              </w:rPr>
            </w:pPr>
            <w:r>
              <w:rPr>
                <w:kern w:val="0"/>
                <w:szCs w:val="21"/>
                <w:lang w:bidi="ar"/>
              </w:rPr>
              <w:t>264-011-12</w:t>
            </w:r>
            <w:r>
              <w:rPr>
                <w:rFonts w:ascii="仿宋_GB2312" w:eastAsia="仿宋_GB2312" w:cs="仿宋_GB2312"/>
                <w:kern w:val="0"/>
                <w:szCs w:val="21"/>
                <w:lang w:bidi="ar"/>
              </w:rPr>
              <w:t>，</w:t>
            </w:r>
            <w:r>
              <w:rPr>
                <w:kern w:val="0"/>
                <w:szCs w:val="21"/>
                <w:lang w:bidi="ar"/>
              </w:rPr>
              <w:t>264-013-12</w:t>
            </w:r>
            <w:r>
              <w:rPr>
                <w:rFonts w:ascii="仿宋_GB2312" w:eastAsia="仿宋_GB2312" w:cs="仿宋_GB2312"/>
                <w:kern w:val="0"/>
                <w:szCs w:val="21"/>
                <w:lang w:bidi="ar"/>
              </w:rPr>
              <w:t>，</w:t>
            </w:r>
            <w:r>
              <w:rPr>
                <w:kern w:val="0"/>
                <w:szCs w:val="21"/>
                <w:lang w:bidi="ar"/>
              </w:rPr>
              <w:t>900-250-12</w:t>
            </w:r>
            <w:r>
              <w:rPr>
                <w:rFonts w:ascii="仿宋_GB2312" w:eastAsia="仿宋_GB2312" w:cs="仿宋_GB2312"/>
                <w:kern w:val="0"/>
                <w:szCs w:val="21"/>
                <w:lang w:bidi="ar"/>
              </w:rPr>
              <w:t>，</w:t>
            </w:r>
            <w:r>
              <w:rPr>
                <w:kern w:val="0"/>
                <w:szCs w:val="21"/>
                <w:lang w:bidi="ar"/>
              </w:rPr>
              <w:t>900-251-12</w:t>
            </w:r>
            <w:r>
              <w:rPr>
                <w:rFonts w:ascii="仿宋_GB2312" w:eastAsia="仿宋_GB2312" w:cs="仿宋_GB2312"/>
                <w:kern w:val="0"/>
                <w:szCs w:val="21"/>
                <w:lang w:bidi="ar"/>
              </w:rPr>
              <w:t>，</w:t>
            </w:r>
            <w:r>
              <w:rPr>
                <w:kern w:val="0"/>
                <w:szCs w:val="21"/>
                <w:lang w:bidi="ar"/>
              </w:rPr>
              <w:t>900-252-12</w:t>
            </w:r>
            <w:r>
              <w:rPr>
                <w:rFonts w:ascii="仿宋_GB2312" w:eastAsia="仿宋_GB2312" w:cs="仿宋_GB2312"/>
                <w:kern w:val="0"/>
                <w:szCs w:val="21"/>
                <w:lang w:bidi="ar"/>
              </w:rPr>
              <w:t>，</w:t>
            </w:r>
            <w:r>
              <w:rPr>
                <w:kern w:val="0"/>
                <w:szCs w:val="21"/>
                <w:lang w:bidi="ar"/>
              </w:rPr>
              <w:t>900-253-12</w:t>
            </w:r>
            <w:r>
              <w:rPr>
                <w:rFonts w:hint="eastAsia" w:ascii="宋体" w:hAnsi="宋体" w:cs="宋体"/>
                <w:kern w:val="0"/>
                <w:szCs w:val="21"/>
                <w:lang w:bidi="ar"/>
              </w:rPr>
              <w:t>，</w:t>
            </w:r>
            <w:r>
              <w:rPr>
                <w:b/>
                <w:bCs/>
                <w:kern w:val="0"/>
                <w:szCs w:val="21"/>
                <w:lang w:bidi="ar"/>
              </w:rPr>
              <w:t>900-256-12</w:t>
            </w:r>
          </w:p>
        </w:tc>
        <w:tc>
          <w:tcPr>
            <w:tcW w:w="423" w:type="pct"/>
            <w:vMerge w:val="continue"/>
            <w:tcBorders>
              <w:tl2br w:val="nil"/>
              <w:tr2bl w:val="nil"/>
            </w:tcBorders>
            <w:vAlign w:val="center"/>
          </w:tcPr>
          <w:p w14:paraId="3BCE5D3A">
            <w:pPr>
              <w:widowControl/>
              <w:jc w:val="center"/>
              <w:rPr>
                <w:rFonts w:eastAsia="仿宋_GB2312"/>
                <w:b/>
                <w:kern w:val="0"/>
                <w:szCs w:val="21"/>
              </w:rPr>
            </w:pPr>
          </w:p>
        </w:tc>
        <w:tc>
          <w:tcPr>
            <w:tcW w:w="605" w:type="pct"/>
            <w:vMerge w:val="continue"/>
            <w:tcBorders>
              <w:tl2br w:val="nil"/>
              <w:tr2bl w:val="nil"/>
            </w:tcBorders>
            <w:vAlign w:val="center"/>
          </w:tcPr>
          <w:p w14:paraId="76DB3CC1">
            <w:pPr>
              <w:widowControl/>
              <w:jc w:val="center"/>
              <w:rPr>
                <w:rFonts w:eastAsia="仿宋_GB2312"/>
                <w:bCs/>
              </w:rPr>
            </w:pPr>
          </w:p>
        </w:tc>
      </w:tr>
      <w:tr w14:paraId="16C001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3" w:type="pct"/>
            <w:vMerge w:val="continue"/>
            <w:tcBorders>
              <w:tl2br w:val="nil"/>
              <w:tr2bl w:val="nil"/>
            </w:tcBorders>
            <w:vAlign w:val="center"/>
          </w:tcPr>
          <w:p w14:paraId="25481BE6">
            <w:pPr>
              <w:widowControl/>
              <w:jc w:val="center"/>
              <w:rPr>
                <w:rFonts w:eastAsia="仿宋_GB2312"/>
                <w:kern w:val="0"/>
                <w:szCs w:val="21"/>
              </w:rPr>
            </w:pPr>
          </w:p>
        </w:tc>
        <w:tc>
          <w:tcPr>
            <w:tcW w:w="372" w:type="pct"/>
            <w:vMerge w:val="continue"/>
            <w:tcBorders>
              <w:tl2br w:val="nil"/>
              <w:tr2bl w:val="nil"/>
            </w:tcBorders>
            <w:vAlign w:val="center"/>
          </w:tcPr>
          <w:p w14:paraId="5A6314EE">
            <w:pPr>
              <w:widowControl/>
              <w:jc w:val="center"/>
              <w:rPr>
                <w:rFonts w:eastAsia="仿宋_GB2312"/>
                <w:kern w:val="0"/>
                <w:szCs w:val="21"/>
              </w:rPr>
            </w:pPr>
          </w:p>
        </w:tc>
        <w:tc>
          <w:tcPr>
            <w:tcW w:w="394" w:type="pct"/>
            <w:tcBorders>
              <w:tl2br w:val="nil"/>
              <w:tr2bl w:val="nil"/>
            </w:tcBorders>
            <w:vAlign w:val="center"/>
          </w:tcPr>
          <w:p w14:paraId="2626C827">
            <w:pPr>
              <w:widowControl/>
              <w:jc w:val="center"/>
              <w:rPr>
                <w:rFonts w:eastAsia="仿宋_GB2312"/>
                <w:kern w:val="0"/>
                <w:szCs w:val="21"/>
              </w:rPr>
            </w:pPr>
            <w:r>
              <w:rPr>
                <w:rFonts w:eastAsia="仿宋_GB2312"/>
                <w:kern w:val="0"/>
                <w:szCs w:val="21"/>
              </w:rPr>
              <w:t>HW13</w:t>
            </w:r>
          </w:p>
        </w:tc>
        <w:tc>
          <w:tcPr>
            <w:tcW w:w="1042" w:type="pct"/>
            <w:tcBorders>
              <w:tl2br w:val="nil"/>
              <w:tr2bl w:val="nil"/>
            </w:tcBorders>
            <w:vAlign w:val="center"/>
          </w:tcPr>
          <w:p w14:paraId="38D943E7">
            <w:pPr>
              <w:widowControl/>
              <w:jc w:val="center"/>
              <w:rPr>
                <w:rFonts w:eastAsia="仿宋_GB2312"/>
                <w:kern w:val="0"/>
                <w:szCs w:val="21"/>
              </w:rPr>
            </w:pPr>
            <w:r>
              <w:rPr>
                <w:rFonts w:eastAsia="仿宋_GB2312"/>
                <w:kern w:val="0"/>
                <w:szCs w:val="21"/>
              </w:rPr>
              <w:t>265-102-13</w:t>
            </w:r>
          </w:p>
        </w:tc>
        <w:tc>
          <w:tcPr>
            <w:tcW w:w="465" w:type="pct"/>
            <w:vMerge w:val="continue"/>
            <w:tcBorders>
              <w:tl2br w:val="nil"/>
              <w:tr2bl w:val="nil"/>
            </w:tcBorders>
            <w:vAlign w:val="center"/>
          </w:tcPr>
          <w:p w14:paraId="020ED68E">
            <w:pPr>
              <w:widowControl/>
              <w:jc w:val="center"/>
              <w:rPr>
                <w:rFonts w:eastAsia="仿宋_GB2312"/>
                <w:kern w:val="0"/>
                <w:szCs w:val="21"/>
              </w:rPr>
            </w:pPr>
          </w:p>
        </w:tc>
        <w:tc>
          <w:tcPr>
            <w:tcW w:w="384" w:type="pct"/>
            <w:tcBorders>
              <w:tl2br w:val="nil"/>
              <w:tr2bl w:val="nil"/>
            </w:tcBorders>
            <w:shd w:val="clear" w:color="auto" w:fill="auto"/>
            <w:vAlign w:val="center"/>
          </w:tcPr>
          <w:p w14:paraId="0E49ACB4">
            <w:pPr>
              <w:widowControl/>
              <w:jc w:val="center"/>
              <w:textAlignment w:val="center"/>
              <w:rPr>
                <w:rFonts w:eastAsia="仿宋_GB2312"/>
                <w:kern w:val="0"/>
                <w:szCs w:val="21"/>
              </w:rPr>
            </w:pPr>
            <w:r>
              <w:rPr>
                <w:kern w:val="0"/>
                <w:szCs w:val="21"/>
                <w:lang w:bidi="ar"/>
              </w:rPr>
              <w:t>HW13</w:t>
            </w:r>
          </w:p>
        </w:tc>
        <w:tc>
          <w:tcPr>
            <w:tcW w:w="1059" w:type="pct"/>
            <w:tcBorders>
              <w:tl2br w:val="nil"/>
              <w:tr2bl w:val="nil"/>
            </w:tcBorders>
            <w:shd w:val="clear" w:color="auto" w:fill="auto"/>
            <w:vAlign w:val="center"/>
          </w:tcPr>
          <w:p w14:paraId="3B7321D3">
            <w:pPr>
              <w:widowControl/>
              <w:jc w:val="center"/>
              <w:textAlignment w:val="center"/>
              <w:rPr>
                <w:rFonts w:eastAsia="仿宋_GB2312"/>
                <w:kern w:val="0"/>
                <w:szCs w:val="21"/>
              </w:rPr>
            </w:pPr>
            <w:r>
              <w:rPr>
                <w:kern w:val="0"/>
                <w:szCs w:val="21"/>
                <w:lang w:bidi="ar"/>
              </w:rPr>
              <w:t>265-102-13</w:t>
            </w:r>
            <w:r>
              <w:rPr>
                <w:rFonts w:hint="eastAsia" w:ascii="宋体" w:hAnsi="宋体" w:cs="宋体"/>
                <w:b/>
                <w:bCs/>
                <w:kern w:val="0"/>
                <w:szCs w:val="21"/>
                <w:lang w:bidi="ar"/>
              </w:rPr>
              <w:t>，</w:t>
            </w:r>
            <w:r>
              <w:rPr>
                <w:b/>
                <w:bCs/>
                <w:kern w:val="0"/>
                <w:szCs w:val="21"/>
                <w:lang w:bidi="ar"/>
              </w:rPr>
              <w:t>900-014-13</w:t>
            </w:r>
          </w:p>
        </w:tc>
        <w:tc>
          <w:tcPr>
            <w:tcW w:w="423" w:type="pct"/>
            <w:vMerge w:val="continue"/>
            <w:tcBorders>
              <w:tl2br w:val="nil"/>
              <w:tr2bl w:val="nil"/>
            </w:tcBorders>
            <w:vAlign w:val="center"/>
          </w:tcPr>
          <w:p w14:paraId="4AE5817B">
            <w:pPr>
              <w:widowControl/>
              <w:jc w:val="center"/>
              <w:rPr>
                <w:rFonts w:eastAsia="仿宋_GB2312"/>
                <w:b/>
                <w:kern w:val="0"/>
                <w:szCs w:val="21"/>
              </w:rPr>
            </w:pPr>
          </w:p>
        </w:tc>
        <w:tc>
          <w:tcPr>
            <w:tcW w:w="605" w:type="pct"/>
            <w:vMerge w:val="continue"/>
            <w:tcBorders>
              <w:tl2br w:val="nil"/>
              <w:tr2bl w:val="nil"/>
            </w:tcBorders>
            <w:vAlign w:val="center"/>
          </w:tcPr>
          <w:p w14:paraId="61A51FC0">
            <w:pPr>
              <w:widowControl/>
              <w:jc w:val="center"/>
              <w:rPr>
                <w:rFonts w:eastAsia="仿宋_GB2312"/>
                <w:bCs/>
              </w:rPr>
            </w:pPr>
          </w:p>
        </w:tc>
      </w:tr>
      <w:tr w14:paraId="0E7A9C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3" w:type="pct"/>
            <w:vMerge w:val="restart"/>
            <w:tcBorders>
              <w:tl2br w:val="nil"/>
              <w:tr2bl w:val="nil"/>
            </w:tcBorders>
            <w:vAlign w:val="center"/>
          </w:tcPr>
          <w:p w14:paraId="5EFF1781">
            <w:pPr>
              <w:widowControl/>
              <w:jc w:val="center"/>
              <w:rPr>
                <w:rFonts w:eastAsia="仿宋_GB2312"/>
                <w:kern w:val="0"/>
                <w:szCs w:val="21"/>
              </w:rPr>
            </w:pPr>
            <w:r>
              <w:rPr>
                <w:rFonts w:eastAsia="仿宋_GB2312"/>
                <w:kern w:val="0"/>
                <w:szCs w:val="21"/>
              </w:rPr>
              <w:t>2</w:t>
            </w:r>
          </w:p>
        </w:tc>
        <w:tc>
          <w:tcPr>
            <w:tcW w:w="372" w:type="pct"/>
            <w:vMerge w:val="restart"/>
            <w:tcBorders>
              <w:tl2br w:val="nil"/>
              <w:tr2bl w:val="nil"/>
            </w:tcBorders>
            <w:vAlign w:val="center"/>
          </w:tcPr>
          <w:p w14:paraId="7B35879A">
            <w:pPr>
              <w:widowControl/>
              <w:jc w:val="center"/>
              <w:rPr>
                <w:rFonts w:eastAsia="仿宋_GB2312"/>
                <w:kern w:val="0"/>
                <w:szCs w:val="21"/>
              </w:rPr>
            </w:pPr>
            <w:r>
              <w:rPr>
                <w:rFonts w:eastAsia="仿宋_GB2312"/>
                <w:kern w:val="0"/>
                <w:szCs w:val="21"/>
              </w:rPr>
              <w:t>N-甲基吡咯烷酮废液</w:t>
            </w:r>
          </w:p>
        </w:tc>
        <w:tc>
          <w:tcPr>
            <w:tcW w:w="394" w:type="pct"/>
            <w:tcBorders>
              <w:tl2br w:val="nil"/>
              <w:tr2bl w:val="nil"/>
            </w:tcBorders>
            <w:vAlign w:val="center"/>
          </w:tcPr>
          <w:p w14:paraId="4FA013AF">
            <w:pPr>
              <w:widowControl/>
              <w:jc w:val="center"/>
              <w:rPr>
                <w:rFonts w:eastAsia="仿宋_GB2312"/>
                <w:kern w:val="0"/>
                <w:szCs w:val="21"/>
              </w:rPr>
            </w:pPr>
            <w:r>
              <w:rPr>
                <w:rFonts w:eastAsia="仿宋_GB2312"/>
                <w:kern w:val="0"/>
                <w:szCs w:val="21"/>
              </w:rPr>
              <w:t>HW06</w:t>
            </w:r>
          </w:p>
        </w:tc>
        <w:tc>
          <w:tcPr>
            <w:tcW w:w="1042" w:type="pct"/>
            <w:tcBorders>
              <w:tl2br w:val="nil"/>
              <w:tr2bl w:val="nil"/>
            </w:tcBorders>
            <w:vAlign w:val="center"/>
          </w:tcPr>
          <w:p w14:paraId="4B1FFA6A">
            <w:pPr>
              <w:widowControl/>
              <w:jc w:val="center"/>
              <w:rPr>
                <w:rFonts w:eastAsia="仿宋_GB2312"/>
                <w:kern w:val="0"/>
                <w:szCs w:val="21"/>
              </w:rPr>
            </w:pPr>
            <w:r>
              <w:rPr>
                <w:rFonts w:eastAsia="仿宋_GB2312"/>
                <w:kern w:val="0"/>
                <w:szCs w:val="21"/>
              </w:rPr>
              <w:t>900-402-06，900-404-06</w:t>
            </w:r>
          </w:p>
        </w:tc>
        <w:tc>
          <w:tcPr>
            <w:tcW w:w="465" w:type="pct"/>
            <w:vMerge w:val="restart"/>
            <w:tcBorders>
              <w:tl2br w:val="nil"/>
              <w:tr2bl w:val="nil"/>
            </w:tcBorders>
            <w:vAlign w:val="center"/>
          </w:tcPr>
          <w:p w14:paraId="24D6862E">
            <w:pPr>
              <w:widowControl/>
              <w:jc w:val="center"/>
              <w:rPr>
                <w:rFonts w:eastAsia="仿宋_GB2312"/>
                <w:kern w:val="0"/>
                <w:szCs w:val="21"/>
              </w:rPr>
            </w:pPr>
            <w:r>
              <w:rPr>
                <w:rFonts w:eastAsia="仿宋_GB2312"/>
                <w:kern w:val="0"/>
                <w:szCs w:val="21"/>
              </w:rPr>
              <w:t>1</w:t>
            </w:r>
            <w:r>
              <w:rPr>
                <w:rFonts w:hint="eastAsia" w:eastAsia="仿宋_GB2312"/>
                <w:kern w:val="0"/>
                <w:szCs w:val="21"/>
              </w:rPr>
              <w:t>25</w:t>
            </w:r>
            <w:r>
              <w:rPr>
                <w:rFonts w:eastAsia="仿宋_GB2312"/>
                <w:kern w:val="0"/>
                <w:szCs w:val="21"/>
              </w:rPr>
              <w:t>00</w:t>
            </w:r>
          </w:p>
        </w:tc>
        <w:tc>
          <w:tcPr>
            <w:tcW w:w="384" w:type="pct"/>
            <w:tcBorders>
              <w:tl2br w:val="nil"/>
              <w:tr2bl w:val="nil"/>
            </w:tcBorders>
            <w:shd w:val="clear" w:color="auto" w:fill="auto"/>
            <w:vAlign w:val="center"/>
          </w:tcPr>
          <w:p w14:paraId="54E66C19">
            <w:pPr>
              <w:widowControl/>
              <w:jc w:val="center"/>
              <w:textAlignment w:val="center"/>
              <w:rPr>
                <w:rFonts w:eastAsia="仿宋_GB2312"/>
                <w:kern w:val="0"/>
                <w:szCs w:val="21"/>
              </w:rPr>
            </w:pPr>
            <w:r>
              <w:rPr>
                <w:kern w:val="0"/>
                <w:szCs w:val="21"/>
                <w:lang w:bidi="ar"/>
              </w:rPr>
              <w:t>HW06</w:t>
            </w:r>
          </w:p>
        </w:tc>
        <w:tc>
          <w:tcPr>
            <w:tcW w:w="1059" w:type="pct"/>
            <w:tcBorders>
              <w:tl2br w:val="nil"/>
              <w:tr2bl w:val="nil"/>
            </w:tcBorders>
            <w:shd w:val="clear" w:color="auto" w:fill="auto"/>
            <w:vAlign w:val="center"/>
          </w:tcPr>
          <w:p w14:paraId="26CDEFAC">
            <w:pPr>
              <w:widowControl/>
              <w:jc w:val="center"/>
              <w:textAlignment w:val="center"/>
              <w:rPr>
                <w:rFonts w:eastAsia="仿宋_GB2312"/>
                <w:kern w:val="0"/>
                <w:szCs w:val="21"/>
              </w:rPr>
            </w:pPr>
            <w:r>
              <w:rPr>
                <w:kern w:val="0"/>
                <w:szCs w:val="21"/>
                <w:lang w:bidi="ar"/>
              </w:rPr>
              <w:t>900-402-06</w:t>
            </w:r>
            <w:r>
              <w:rPr>
                <w:rFonts w:ascii="仿宋_GB2312" w:eastAsia="仿宋_GB2312" w:cs="仿宋_GB2312"/>
                <w:kern w:val="0"/>
                <w:szCs w:val="21"/>
                <w:lang w:bidi="ar"/>
              </w:rPr>
              <w:t>，</w:t>
            </w:r>
            <w:r>
              <w:rPr>
                <w:kern w:val="0"/>
                <w:szCs w:val="21"/>
                <w:lang w:bidi="ar"/>
              </w:rPr>
              <w:t>900-404-06</w:t>
            </w:r>
          </w:p>
        </w:tc>
        <w:tc>
          <w:tcPr>
            <w:tcW w:w="423" w:type="pct"/>
            <w:vMerge w:val="restart"/>
            <w:tcBorders>
              <w:tl2br w:val="nil"/>
              <w:tr2bl w:val="nil"/>
            </w:tcBorders>
            <w:vAlign w:val="center"/>
          </w:tcPr>
          <w:p w14:paraId="4570653D">
            <w:pPr>
              <w:widowControl/>
              <w:jc w:val="center"/>
              <w:rPr>
                <w:rFonts w:eastAsia="仿宋_GB2312"/>
                <w:bCs/>
                <w:kern w:val="0"/>
                <w:szCs w:val="21"/>
              </w:rPr>
            </w:pPr>
            <w:r>
              <w:rPr>
                <w:rFonts w:hint="eastAsia" w:eastAsia="仿宋_GB2312"/>
                <w:bCs/>
                <w:kern w:val="0"/>
                <w:szCs w:val="21"/>
              </w:rPr>
              <w:t>12500</w:t>
            </w:r>
          </w:p>
        </w:tc>
        <w:tc>
          <w:tcPr>
            <w:tcW w:w="605" w:type="pct"/>
            <w:vMerge w:val="restart"/>
            <w:tcBorders>
              <w:tl2br w:val="nil"/>
              <w:tr2bl w:val="nil"/>
            </w:tcBorders>
            <w:vAlign w:val="center"/>
          </w:tcPr>
          <w:p w14:paraId="03E8A124">
            <w:pPr>
              <w:widowControl/>
              <w:jc w:val="center"/>
              <w:rPr>
                <w:rFonts w:eastAsia="仿宋_GB2312"/>
                <w:bCs/>
              </w:rPr>
            </w:pPr>
            <w:r>
              <w:rPr>
                <w:rFonts w:eastAsia="仿宋_GB2312"/>
                <w:bCs/>
              </w:rPr>
              <w:t>回收综合利用量不变，危废代码增加</w:t>
            </w:r>
          </w:p>
        </w:tc>
      </w:tr>
      <w:tr w14:paraId="5C0DFA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3" w:type="pct"/>
            <w:vMerge w:val="continue"/>
            <w:tcBorders>
              <w:tl2br w:val="nil"/>
              <w:tr2bl w:val="nil"/>
            </w:tcBorders>
            <w:vAlign w:val="center"/>
          </w:tcPr>
          <w:p w14:paraId="10D66E1B">
            <w:pPr>
              <w:widowControl/>
              <w:jc w:val="center"/>
              <w:rPr>
                <w:rFonts w:eastAsia="仿宋_GB2312"/>
                <w:kern w:val="0"/>
                <w:szCs w:val="21"/>
              </w:rPr>
            </w:pPr>
          </w:p>
        </w:tc>
        <w:tc>
          <w:tcPr>
            <w:tcW w:w="372" w:type="pct"/>
            <w:vMerge w:val="continue"/>
            <w:tcBorders>
              <w:tl2br w:val="nil"/>
              <w:tr2bl w:val="nil"/>
            </w:tcBorders>
            <w:vAlign w:val="center"/>
          </w:tcPr>
          <w:p w14:paraId="0D4AB117">
            <w:pPr>
              <w:widowControl/>
              <w:jc w:val="center"/>
              <w:rPr>
                <w:rFonts w:eastAsia="仿宋_GB2312"/>
                <w:kern w:val="0"/>
                <w:szCs w:val="21"/>
              </w:rPr>
            </w:pPr>
          </w:p>
        </w:tc>
        <w:tc>
          <w:tcPr>
            <w:tcW w:w="394" w:type="pct"/>
            <w:tcBorders>
              <w:tl2br w:val="nil"/>
              <w:tr2bl w:val="nil"/>
            </w:tcBorders>
            <w:vAlign w:val="center"/>
          </w:tcPr>
          <w:p w14:paraId="05788A70">
            <w:pPr>
              <w:widowControl/>
              <w:jc w:val="center"/>
              <w:rPr>
                <w:rFonts w:eastAsia="仿宋_GB2312"/>
                <w:kern w:val="0"/>
                <w:szCs w:val="21"/>
              </w:rPr>
            </w:pPr>
            <w:r>
              <w:rPr>
                <w:rFonts w:eastAsia="仿宋_GB2312"/>
                <w:kern w:val="0"/>
                <w:szCs w:val="21"/>
              </w:rPr>
              <w:t>HW11</w:t>
            </w:r>
          </w:p>
        </w:tc>
        <w:tc>
          <w:tcPr>
            <w:tcW w:w="1042" w:type="pct"/>
            <w:tcBorders>
              <w:tl2br w:val="nil"/>
              <w:tr2bl w:val="nil"/>
            </w:tcBorders>
            <w:vAlign w:val="center"/>
          </w:tcPr>
          <w:p w14:paraId="7C639E4F">
            <w:pPr>
              <w:widowControl/>
              <w:jc w:val="center"/>
              <w:rPr>
                <w:rFonts w:eastAsia="仿宋_GB2312"/>
                <w:kern w:val="0"/>
                <w:szCs w:val="21"/>
              </w:rPr>
            </w:pPr>
            <w:r>
              <w:rPr>
                <w:rFonts w:eastAsia="仿宋_GB2312"/>
                <w:kern w:val="0"/>
                <w:szCs w:val="21"/>
              </w:rPr>
              <w:t>900-013-11</w:t>
            </w:r>
          </w:p>
        </w:tc>
        <w:tc>
          <w:tcPr>
            <w:tcW w:w="465" w:type="pct"/>
            <w:vMerge w:val="continue"/>
            <w:tcBorders>
              <w:tl2br w:val="nil"/>
              <w:tr2bl w:val="nil"/>
            </w:tcBorders>
            <w:vAlign w:val="center"/>
          </w:tcPr>
          <w:p w14:paraId="14BD42AD">
            <w:pPr>
              <w:widowControl/>
              <w:jc w:val="center"/>
              <w:rPr>
                <w:rFonts w:eastAsia="仿宋_GB2312"/>
                <w:kern w:val="0"/>
                <w:szCs w:val="21"/>
              </w:rPr>
            </w:pPr>
          </w:p>
        </w:tc>
        <w:tc>
          <w:tcPr>
            <w:tcW w:w="384" w:type="pct"/>
            <w:tcBorders>
              <w:tl2br w:val="nil"/>
              <w:tr2bl w:val="nil"/>
            </w:tcBorders>
            <w:shd w:val="clear" w:color="auto" w:fill="auto"/>
            <w:vAlign w:val="center"/>
          </w:tcPr>
          <w:p w14:paraId="3BB391A2">
            <w:pPr>
              <w:widowControl/>
              <w:jc w:val="center"/>
              <w:textAlignment w:val="center"/>
              <w:rPr>
                <w:rFonts w:eastAsia="仿宋_GB2312"/>
                <w:kern w:val="0"/>
                <w:szCs w:val="21"/>
              </w:rPr>
            </w:pPr>
            <w:r>
              <w:rPr>
                <w:kern w:val="0"/>
                <w:szCs w:val="21"/>
                <w:lang w:bidi="ar"/>
              </w:rPr>
              <w:t>HW11</w:t>
            </w:r>
          </w:p>
        </w:tc>
        <w:tc>
          <w:tcPr>
            <w:tcW w:w="1059" w:type="pct"/>
            <w:tcBorders>
              <w:tl2br w:val="nil"/>
              <w:tr2bl w:val="nil"/>
            </w:tcBorders>
            <w:shd w:val="clear" w:color="auto" w:fill="auto"/>
            <w:vAlign w:val="center"/>
          </w:tcPr>
          <w:p w14:paraId="72E6C2D3">
            <w:pPr>
              <w:widowControl/>
              <w:jc w:val="center"/>
              <w:textAlignment w:val="center"/>
              <w:rPr>
                <w:rFonts w:eastAsia="仿宋_GB2312"/>
                <w:kern w:val="0"/>
                <w:szCs w:val="21"/>
              </w:rPr>
            </w:pPr>
            <w:r>
              <w:rPr>
                <w:kern w:val="0"/>
                <w:szCs w:val="21"/>
                <w:lang w:bidi="ar"/>
              </w:rPr>
              <w:t>900-013-11</w:t>
            </w:r>
          </w:p>
        </w:tc>
        <w:tc>
          <w:tcPr>
            <w:tcW w:w="423" w:type="pct"/>
            <w:vMerge w:val="continue"/>
            <w:tcBorders>
              <w:tl2br w:val="nil"/>
              <w:tr2bl w:val="nil"/>
            </w:tcBorders>
            <w:vAlign w:val="center"/>
          </w:tcPr>
          <w:p w14:paraId="19CD03BA">
            <w:pPr>
              <w:widowControl/>
              <w:jc w:val="center"/>
              <w:rPr>
                <w:rFonts w:eastAsia="仿宋_GB2312"/>
                <w:b/>
                <w:kern w:val="0"/>
                <w:szCs w:val="21"/>
              </w:rPr>
            </w:pPr>
          </w:p>
        </w:tc>
        <w:tc>
          <w:tcPr>
            <w:tcW w:w="605" w:type="pct"/>
            <w:vMerge w:val="continue"/>
            <w:tcBorders>
              <w:tl2br w:val="nil"/>
              <w:tr2bl w:val="nil"/>
            </w:tcBorders>
            <w:vAlign w:val="center"/>
          </w:tcPr>
          <w:p w14:paraId="6914BFC6">
            <w:pPr>
              <w:widowControl/>
              <w:jc w:val="center"/>
              <w:rPr>
                <w:rFonts w:eastAsia="仿宋_GB2312"/>
                <w:kern w:val="0"/>
                <w:szCs w:val="21"/>
              </w:rPr>
            </w:pPr>
          </w:p>
        </w:tc>
      </w:tr>
      <w:tr w14:paraId="1FE0E94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3" w:type="pct"/>
            <w:vMerge w:val="continue"/>
            <w:tcBorders>
              <w:tl2br w:val="nil"/>
              <w:tr2bl w:val="nil"/>
            </w:tcBorders>
            <w:vAlign w:val="center"/>
          </w:tcPr>
          <w:p w14:paraId="1F50E097">
            <w:pPr>
              <w:widowControl/>
              <w:jc w:val="center"/>
              <w:rPr>
                <w:rFonts w:eastAsia="仿宋_GB2312"/>
                <w:kern w:val="0"/>
                <w:szCs w:val="21"/>
              </w:rPr>
            </w:pPr>
          </w:p>
        </w:tc>
        <w:tc>
          <w:tcPr>
            <w:tcW w:w="372" w:type="pct"/>
            <w:vMerge w:val="continue"/>
            <w:tcBorders>
              <w:tl2br w:val="nil"/>
              <w:tr2bl w:val="nil"/>
            </w:tcBorders>
            <w:vAlign w:val="center"/>
          </w:tcPr>
          <w:p w14:paraId="7CC4C8A2">
            <w:pPr>
              <w:widowControl/>
              <w:jc w:val="center"/>
              <w:rPr>
                <w:rFonts w:eastAsia="仿宋_GB2312"/>
                <w:kern w:val="0"/>
                <w:szCs w:val="21"/>
              </w:rPr>
            </w:pPr>
          </w:p>
        </w:tc>
        <w:tc>
          <w:tcPr>
            <w:tcW w:w="394" w:type="pct"/>
            <w:tcBorders>
              <w:tl2br w:val="nil"/>
              <w:tr2bl w:val="nil"/>
            </w:tcBorders>
            <w:vAlign w:val="center"/>
          </w:tcPr>
          <w:p w14:paraId="2451EF81">
            <w:pPr>
              <w:widowControl/>
              <w:jc w:val="center"/>
              <w:rPr>
                <w:rFonts w:eastAsia="仿宋_GB2312"/>
                <w:kern w:val="0"/>
                <w:szCs w:val="21"/>
              </w:rPr>
            </w:pPr>
            <w:r>
              <w:rPr>
                <w:rFonts w:eastAsia="仿宋_GB2312"/>
                <w:kern w:val="0"/>
                <w:szCs w:val="21"/>
              </w:rPr>
              <w:t>HW49</w:t>
            </w:r>
          </w:p>
        </w:tc>
        <w:tc>
          <w:tcPr>
            <w:tcW w:w="1042" w:type="pct"/>
            <w:tcBorders>
              <w:tl2br w:val="nil"/>
              <w:tr2bl w:val="nil"/>
            </w:tcBorders>
            <w:vAlign w:val="center"/>
          </w:tcPr>
          <w:p w14:paraId="765DFD0E">
            <w:pPr>
              <w:widowControl/>
              <w:jc w:val="center"/>
              <w:rPr>
                <w:rFonts w:eastAsia="仿宋_GB2312"/>
                <w:kern w:val="0"/>
                <w:szCs w:val="21"/>
              </w:rPr>
            </w:pPr>
            <w:r>
              <w:rPr>
                <w:rFonts w:eastAsia="仿宋_GB2312"/>
                <w:kern w:val="0"/>
                <w:szCs w:val="21"/>
              </w:rPr>
              <w:t>900-047-49</w:t>
            </w:r>
          </w:p>
        </w:tc>
        <w:tc>
          <w:tcPr>
            <w:tcW w:w="465" w:type="pct"/>
            <w:vMerge w:val="continue"/>
            <w:tcBorders>
              <w:tl2br w:val="nil"/>
              <w:tr2bl w:val="nil"/>
            </w:tcBorders>
            <w:vAlign w:val="center"/>
          </w:tcPr>
          <w:p w14:paraId="0EC1F016">
            <w:pPr>
              <w:widowControl/>
              <w:jc w:val="center"/>
              <w:rPr>
                <w:rFonts w:eastAsia="仿宋_GB2312"/>
                <w:kern w:val="0"/>
                <w:szCs w:val="21"/>
              </w:rPr>
            </w:pPr>
          </w:p>
        </w:tc>
        <w:tc>
          <w:tcPr>
            <w:tcW w:w="384" w:type="pct"/>
            <w:tcBorders>
              <w:tl2br w:val="nil"/>
              <w:tr2bl w:val="nil"/>
            </w:tcBorders>
            <w:shd w:val="clear" w:color="auto" w:fill="auto"/>
            <w:vAlign w:val="center"/>
          </w:tcPr>
          <w:p w14:paraId="412421FB">
            <w:pPr>
              <w:widowControl/>
              <w:jc w:val="center"/>
              <w:textAlignment w:val="center"/>
              <w:rPr>
                <w:rFonts w:eastAsia="仿宋_GB2312"/>
                <w:kern w:val="0"/>
                <w:szCs w:val="21"/>
              </w:rPr>
            </w:pPr>
            <w:r>
              <w:rPr>
                <w:kern w:val="0"/>
                <w:szCs w:val="21"/>
                <w:lang w:bidi="ar"/>
              </w:rPr>
              <w:t>HW49</w:t>
            </w:r>
          </w:p>
        </w:tc>
        <w:tc>
          <w:tcPr>
            <w:tcW w:w="1059" w:type="pct"/>
            <w:tcBorders>
              <w:tl2br w:val="nil"/>
              <w:tr2bl w:val="nil"/>
            </w:tcBorders>
            <w:shd w:val="clear" w:color="auto" w:fill="auto"/>
            <w:vAlign w:val="center"/>
          </w:tcPr>
          <w:p w14:paraId="2238778C">
            <w:pPr>
              <w:widowControl/>
              <w:jc w:val="center"/>
              <w:textAlignment w:val="center"/>
              <w:rPr>
                <w:rFonts w:eastAsia="仿宋_GB2312"/>
                <w:kern w:val="0"/>
                <w:szCs w:val="21"/>
              </w:rPr>
            </w:pPr>
            <w:r>
              <w:rPr>
                <w:kern w:val="0"/>
                <w:szCs w:val="21"/>
                <w:lang w:bidi="ar"/>
              </w:rPr>
              <w:t>900-047-49</w:t>
            </w:r>
          </w:p>
        </w:tc>
        <w:tc>
          <w:tcPr>
            <w:tcW w:w="423" w:type="pct"/>
            <w:vMerge w:val="continue"/>
            <w:tcBorders>
              <w:tl2br w:val="nil"/>
              <w:tr2bl w:val="nil"/>
            </w:tcBorders>
            <w:vAlign w:val="center"/>
          </w:tcPr>
          <w:p w14:paraId="6B4EF5C5">
            <w:pPr>
              <w:widowControl/>
              <w:jc w:val="center"/>
              <w:rPr>
                <w:rFonts w:eastAsia="仿宋_GB2312"/>
                <w:b/>
                <w:kern w:val="0"/>
                <w:szCs w:val="21"/>
              </w:rPr>
            </w:pPr>
          </w:p>
        </w:tc>
        <w:tc>
          <w:tcPr>
            <w:tcW w:w="605" w:type="pct"/>
            <w:vMerge w:val="continue"/>
            <w:tcBorders>
              <w:tl2br w:val="nil"/>
              <w:tr2bl w:val="nil"/>
            </w:tcBorders>
            <w:vAlign w:val="center"/>
          </w:tcPr>
          <w:p w14:paraId="4F378472">
            <w:pPr>
              <w:widowControl/>
              <w:jc w:val="center"/>
              <w:rPr>
                <w:rFonts w:eastAsia="仿宋_GB2312"/>
                <w:b/>
                <w:kern w:val="0"/>
                <w:szCs w:val="21"/>
              </w:rPr>
            </w:pPr>
          </w:p>
        </w:tc>
      </w:tr>
      <w:tr w14:paraId="0D3B03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3" w:type="pct"/>
            <w:vMerge w:val="restart"/>
            <w:tcBorders>
              <w:tl2br w:val="nil"/>
              <w:tr2bl w:val="nil"/>
            </w:tcBorders>
            <w:vAlign w:val="center"/>
          </w:tcPr>
          <w:p w14:paraId="1260FBF1">
            <w:pPr>
              <w:widowControl/>
              <w:jc w:val="center"/>
              <w:rPr>
                <w:rFonts w:eastAsia="仿宋_GB2312"/>
                <w:kern w:val="0"/>
                <w:szCs w:val="21"/>
              </w:rPr>
            </w:pPr>
            <w:r>
              <w:rPr>
                <w:rFonts w:eastAsia="仿宋_GB2312"/>
                <w:kern w:val="0"/>
                <w:szCs w:val="21"/>
              </w:rPr>
              <w:t>3</w:t>
            </w:r>
          </w:p>
        </w:tc>
        <w:tc>
          <w:tcPr>
            <w:tcW w:w="372" w:type="pct"/>
            <w:vMerge w:val="restart"/>
            <w:tcBorders>
              <w:tl2br w:val="nil"/>
              <w:tr2bl w:val="nil"/>
            </w:tcBorders>
            <w:vAlign w:val="center"/>
          </w:tcPr>
          <w:p w14:paraId="2DAE0F2A">
            <w:pPr>
              <w:widowControl/>
              <w:jc w:val="center"/>
              <w:rPr>
                <w:rFonts w:eastAsia="仿宋_GB2312"/>
                <w:kern w:val="0"/>
                <w:szCs w:val="21"/>
              </w:rPr>
            </w:pPr>
            <w:r>
              <w:rPr>
                <w:rFonts w:eastAsia="仿宋_GB2312"/>
                <w:kern w:val="0"/>
                <w:szCs w:val="21"/>
              </w:rPr>
              <w:t>四氢呋喃废液</w:t>
            </w:r>
          </w:p>
        </w:tc>
        <w:tc>
          <w:tcPr>
            <w:tcW w:w="394" w:type="pct"/>
            <w:tcBorders>
              <w:tl2br w:val="nil"/>
              <w:tr2bl w:val="nil"/>
            </w:tcBorders>
            <w:vAlign w:val="center"/>
          </w:tcPr>
          <w:p w14:paraId="09888418">
            <w:pPr>
              <w:widowControl/>
              <w:jc w:val="center"/>
              <w:rPr>
                <w:rFonts w:eastAsia="仿宋_GB2312"/>
                <w:kern w:val="0"/>
                <w:szCs w:val="21"/>
              </w:rPr>
            </w:pPr>
            <w:r>
              <w:rPr>
                <w:rFonts w:eastAsia="仿宋_GB2312"/>
                <w:kern w:val="0"/>
                <w:szCs w:val="21"/>
              </w:rPr>
              <w:t>HW02</w:t>
            </w:r>
          </w:p>
        </w:tc>
        <w:tc>
          <w:tcPr>
            <w:tcW w:w="1042" w:type="pct"/>
            <w:tcBorders>
              <w:tl2br w:val="nil"/>
              <w:tr2bl w:val="nil"/>
            </w:tcBorders>
            <w:vAlign w:val="center"/>
          </w:tcPr>
          <w:p w14:paraId="55404B48">
            <w:pPr>
              <w:widowControl/>
              <w:jc w:val="center"/>
              <w:rPr>
                <w:rFonts w:eastAsia="仿宋_GB2312"/>
                <w:kern w:val="0"/>
                <w:szCs w:val="21"/>
              </w:rPr>
            </w:pPr>
            <w:r>
              <w:rPr>
                <w:rFonts w:eastAsia="仿宋_GB2312"/>
                <w:kern w:val="0"/>
                <w:szCs w:val="21"/>
              </w:rPr>
              <w:t>271-001-02，271-002-02，</w:t>
            </w:r>
            <w:r>
              <w:rPr>
                <w:rFonts w:hint="eastAsia" w:eastAsia="仿宋_GB2312"/>
                <w:kern w:val="0"/>
                <w:szCs w:val="21"/>
              </w:rPr>
              <w:t>271-004-02，</w:t>
            </w:r>
            <w:r>
              <w:rPr>
                <w:rFonts w:eastAsia="仿宋_GB2312"/>
                <w:kern w:val="0"/>
                <w:szCs w:val="21"/>
              </w:rPr>
              <w:t>272-001-02，</w:t>
            </w:r>
            <w:r>
              <w:rPr>
                <w:rFonts w:hint="eastAsia" w:eastAsia="仿宋_GB2312"/>
                <w:kern w:val="0"/>
                <w:szCs w:val="21"/>
              </w:rPr>
              <w:t>272-003-02，275-004-02，275-005-02，</w:t>
            </w:r>
            <w:r>
              <w:rPr>
                <w:rFonts w:eastAsia="仿宋_GB2312"/>
                <w:kern w:val="0"/>
                <w:szCs w:val="21"/>
              </w:rPr>
              <w:t>276-001-02，276-002-02</w:t>
            </w:r>
            <w:r>
              <w:rPr>
                <w:rFonts w:hint="eastAsia" w:eastAsia="仿宋_GB2312"/>
                <w:kern w:val="0"/>
                <w:szCs w:val="21"/>
              </w:rPr>
              <w:t>，276-004-02</w:t>
            </w:r>
          </w:p>
        </w:tc>
        <w:tc>
          <w:tcPr>
            <w:tcW w:w="465" w:type="pct"/>
            <w:vMerge w:val="restart"/>
            <w:tcBorders>
              <w:tl2br w:val="nil"/>
              <w:tr2bl w:val="nil"/>
            </w:tcBorders>
            <w:vAlign w:val="center"/>
          </w:tcPr>
          <w:p w14:paraId="1E94FCB3">
            <w:pPr>
              <w:widowControl/>
              <w:jc w:val="center"/>
              <w:rPr>
                <w:rFonts w:eastAsia="仿宋_GB2312"/>
                <w:kern w:val="0"/>
                <w:szCs w:val="21"/>
              </w:rPr>
            </w:pPr>
            <w:r>
              <w:rPr>
                <w:rFonts w:eastAsia="仿宋_GB2312"/>
                <w:kern w:val="0"/>
                <w:szCs w:val="21"/>
              </w:rPr>
              <w:t>3100</w:t>
            </w:r>
          </w:p>
        </w:tc>
        <w:tc>
          <w:tcPr>
            <w:tcW w:w="384" w:type="pct"/>
            <w:tcBorders>
              <w:tl2br w:val="nil"/>
              <w:tr2bl w:val="nil"/>
            </w:tcBorders>
            <w:shd w:val="clear" w:color="auto" w:fill="auto"/>
            <w:vAlign w:val="center"/>
          </w:tcPr>
          <w:p w14:paraId="54AF15F3">
            <w:pPr>
              <w:widowControl/>
              <w:jc w:val="center"/>
              <w:textAlignment w:val="center"/>
              <w:rPr>
                <w:rFonts w:eastAsia="仿宋_GB2312"/>
                <w:kern w:val="0"/>
                <w:szCs w:val="21"/>
              </w:rPr>
            </w:pPr>
            <w:r>
              <w:rPr>
                <w:kern w:val="0"/>
                <w:szCs w:val="21"/>
                <w:lang w:bidi="ar"/>
              </w:rPr>
              <w:t>HW02</w:t>
            </w:r>
          </w:p>
        </w:tc>
        <w:tc>
          <w:tcPr>
            <w:tcW w:w="1059" w:type="pct"/>
            <w:tcBorders>
              <w:tl2br w:val="nil"/>
              <w:tr2bl w:val="nil"/>
            </w:tcBorders>
            <w:shd w:val="clear" w:color="auto" w:fill="auto"/>
            <w:vAlign w:val="center"/>
          </w:tcPr>
          <w:p w14:paraId="5BE9EA96">
            <w:pPr>
              <w:widowControl/>
              <w:jc w:val="center"/>
              <w:textAlignment w:val="center"/>
              <w:rPr>
                <w:rFonts w:eastAsia="仿宋_GB2312"/>
                <w:kern w:val="0"/>
                <w:szCs w:val="21"/>
              </w:rPr>
            </w:pPr>
            <w:r>
              <w:rPr>
                <w:kern w:val="0"/>
                <w:szCs w:val="21"/>
                <w:lang w:bidi="ar"/>
              </w:rPr>
              <w:t>271-001-02</w:t>
            </w:r>
            <w:r>
              <w:rPr>
                <w:rFonts w:ascii="仿宋_GB2312" w:eastAsia="仿宋_GB2312" w:cs="仿宋_GB2312"/>
                <w:kern w:val="0"/>
                <w:szCs w:val="21"/>
                <w:lang w:bidi="ar"/>
              </w:rPr>
              <w:t>，</w:t>
            </w:r>
            <w:r>
              <w:rPr>
                <w:kern w:val="0"/>
                <w:szCs w:val="21"/>
                <w:lang w:bidi="ar"/>
              </w:rPr>
              <w:t>271-002-02</w:t>
            </w:r>
            <w:r>
              <w:rPr>
                <w:rFonts w:ascii="仿宋_GB2312" w:eastAsia="仿宋_GB2312" w:cs="仿宋_GB2312"/>
                <w:kern w:val="0"/>
                <w:szCs w:val="21"/>
                <w:lang w:bidi="ar"/>
              </w:rPr>
              <w:t>，</w:t>
            </w:r>
            <w:r>
              <w:rPr>
                <w:kern w:val="0"/>
                <w:szCs w:val="21"/>
                <w:lang w:bidi="ar"/>
              </w:rPr>
              <w:t>272-001-02</w:t>
            </w:r>
            <w:r>
              <w:rPr>
                <w:rFonts w:ascii="仿宋_GB2312" w:eastAsia="仿宋_GB2312" w:cs="仿宋_GB2312"/>
                <w:kern w:val="0"/>
                <w:szCs w:val="21"/>
                <w:lang w:bidi="ar"/>
              </w:rPr>
              <w:t>，</w:t>
            </w:r>
            <w:r>
              <w:rPr>
                <w:b/>
                <w:bCs/>
                <w:kern w:val="0"/>
                <w:szCs w:val="21"/>
                <w:lang w:bidi="ar"/>
              </w:rPr>
              <w:t>272-00</w:t>
            </w:r>
            <w:r>
              <w:rPr>
                <w:rFonts w:hint="eastAsia"/>
                <w:b/>
                <w:bCs/>
                <w:kern w:val="0"/>
                <w:szCs w:val="21"/>
                <w:lang w:val="en-US" w:eastAsia="zh-CN" w:bidi="ar"/>
              </w:rPr>
              <w:t>5</w:t>
            </w:r>
            <w:r>
              <w:rPr>
                <w:b/>
                <w:bCs/>
                <w:kern w:val="0"/>
                <w:szCs w:val="21"/>
                <w:lang w:bidi="ar"/>
              </w:rPr>
              <w:t>-02</w:t>
            </w:r>
            <w:r>
              <w:rPr>
                <w:rFonts w:ascii="仿宋_GB2312" w:eastAsia="仿宋_GB2312" w:cs="仿宋_GB2312"/>
                <w:kern w:val="0"/>
                <w:szCs w:val="21"/>
                <w:lang w:bidi="ar"/>
              </w:rPr>
              <w:t>，</w:t>
            </w:r>
            <w:r>
              <w:rPr>
                <w:kern w:val="0"/>
                <w:szCs w:val="21"/>
                <w:lang w:bidi="ar"/>
              </w:rPr>
              <w:t>275-004-02</w:t>
            </w:r>
            <w:r>
              <w:rPr>
                <w:rFonts w:ascii="仿宋_GB2312" w:eastAsia="仿宋_GB2312" w:cs="仿宋_GB2312"/>
                <w:kern w:val="0"/>
                <w:szCs w:val="21"/>
                <w:lang w:bidi="ar"/>
              </w:rPr>
              <w:t>，</w:t>
            </w:r>
            <w:r>
              <w:rPr>
                <w:b/>
                <w:bCs/>
                <w:kern w:val="0"/>
                <w:szCs w:val="21"/>
                <w:lang w:bidi="ar"/>
              </w:rPr>
              <w:t>275-00</w:t>
            </w:r>
            <w:r>
              <w:rPr>
                <w:rFonts w:hint="eastAsia"/>
                <w:b/>
                <w:bCs/>
                <w:kern w:val="0"/>
                <w:szCs w:val="21"/>
                <w:lang w:val="en-US" w:eastAsia="zh-CN" w:bidi="ar"/>
              </w:rPr>
              <w:t>6</w:t>
            </w:r>
            <w:r>
              <w:rPr>
                <w:b/>
                <w:bCs/>
                <w:kern w:val="0"/>
                <w:szCs w:val="21"/>
                <w:lang w:bidi="ar"/>
              </w:rPr>
              <w:t>-02</w:t>
            </w:r>
            <w:r>
              <w:rPr>
                <w:rFonts w:ascii="仿宋_GB2312" w:eastAsia="仿宋_GB2312" w:cs="仿宋_GB2312"/>
                <w:kern w:val="0"/>
                <w:szCs w:val="21"/>
                <w:lang w:bidi="ar"/>
              </w:rPr>
              <w:t>，</w:t>
            </w:r>
            <w:r>
              <w:rPr>
                <w:kern w:val="0"/>
                <w:szCs w:val="21"/>
                <w:lang w:bidi="ar"/>
              </w:rPr>
              <w:t>276-001-02</w:t>
            </w:r>
            <w:r>
              <w:rPr>
                <w:rFonts w:ascii="仿宋_GB2312" w:eastAsia="仿宋_GB2312" w:cs="仿宋_GB2312"/>
                <w:kern w:val="0"/>
                <w:szCs w:val="21"/>
                <w:lang w:bidi="ar"/>
              </w:rPr>
              <w:t>，</w:t>
            </w:r>
            <w:r>
              <w:rPr>
                <w:kern w:val="0"/>
                <w:szCs w:val="21"/>
                <w:lang w:bidi="ar"/>
              </w:rPr>
              <w:t>276-002-02</w:t>
            </w:r>
            <w:r>
              <w:rPr>
                <w:rFonts w:ascii="仿宋_GB2312" w:eastAsia="仿宋_GB2312" w:cs="仿宋_GB2312"/>
                <w:kern w:val="0"/>
                <w:szCs w:val="21"/>
                <w:lang w:bidi="ar"/>
              </w:rPr>
              <w:t>，</w:t>
            </w:r>
            <w:r>
              <w:rPr>
                <w:b/>
                <w:bCs/>
                <w:kern w:val="0"/>
                <w:szCs w:val="21"/>
                <w:lang w:bidi="ar"/>
              </w:rPr>
              <w:t>276-00</w:t>
            </w:r>
            <w:r>
              <w:rPr>
                <w:rFonts w:hint="eastAsia"/>
                <w:b/>
                <w:bCs/>
                <w:kern w:val="0"/>
                <w:szCs w:val="21"/>
                <w:lang w:val="en-US" w:eastAsia="zh-CN" w:bidi="ar"/>
              </w:rPr>
              <w:t>5</w:t>
            </w:r>
            <w:r>
              <w:rPr>
                <w:b/>
                <w:bCs/>
                <w:kern w:val="0"/>
                <w:szCs w:val="21"/>
                <w:lang w:bidi="ar"/>
              </w:rPr>
              <w:t>-02</w:t>
            </w:r>
          </w:p>
        </w:tc>
        <w:tc>
          <w:tcPr>
            <w:tcW w:w="423" w:type="pct"/>
            <w:vMerge w:val="restart"/>
            <w:tcBorders>
              <w:tl2br w:val="nil"/>
              <w:tr2bl w:val="nil"/>
            </w:tcBorders>
            <w:vAlign w:val="center"/>
          </w:tcPr>
          <w:p w14:paraId="37D95821">
            <w:pPr>
              <w:widowControl/>
              <w:jc w:val="center"/>
              <w:rPr>
                <w:rFonts w:eastAsia="仿宋_GB2312"/>
                <w:bCs/>
                <w:kern w:val="0"/>
                <w:szCs w:val="21"/>
              </w:rPr>
            </w:pPr>
            <w:r>
              <w:rPr>
                <w:rFonts w:hint="eastAsia" w:eastAsia="仿宋_GB2312"/>
                <w:bCs/>
                <w:kern w:val="0"/>
                <w:szCs w:val="21"/>
              </w:rPr>
              <w:t>11100</w:t>
            </w:r>
          </w:p>
        </w:tc>
        <w:tc>
          <w:tcPr>
            <w:tcW w:w="605" w:type="pct"/>
            <w:vMerge w:val="restart"/>
            <w:tcBorders>
              <w:tl2br w:val="nil"/>
              <w:tr2bl w:val="nil"/>
            </w:tcBorders>
            <w:vAlign w:val="center"/>
          </w:tcPr>
          <w:p w14:paraId="2816C973">
            <w:pPr>
              <w:widowControl/>
              <w:jc w:val="center"/>
              <w:rPr>
                <w:rFonts w:eastAsia="仿宋_GB2312"/>
                <w:b/>
                <w:kern w:val="0"/>
                <w:szCs w:val="21"/>
              </w:rPr>
            </w:pPr>
            <w:r>
              <w:rPr>
                <w:rFonts w:eastAsia="仿宋_GB2312"/>
                <w:bCs/>
              </w:rPr>
              <w:t>回收综合利用量增加，危废代码增加</w:t>
            </w:r>
          </w:p>
        </w:tc>
      </w:tr>
      <w:tr w14:paraId="65622F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3" w:type="pct"/>
            <w:vMerge w:val="continue"/>
            <w:tcBorders>
              <w:tl2br w:val="nil"/>
              <w:tr2bl w:val="nil"/>
            </w:tcBorders>
            <w:vAlign w:val="center"/>
          </w:tcPr>
          <w:p w14:paraId="2C14D821">
            <w:pPr>
              <w:widowControl/>
              <w:jc w:val="center"/>
              <w:rPr>
                <w:rFonts w:eastAsia="仿宋_GB2312"/>
                <w:kern w:val="0"/>
                <w:szCs w:val="21"/>
              </w:rPr>
            </w:pPr>
          </w:p>
        </w:tc>
        <w:tc>
          <w:tcPr>
            <w:tcW w:w="372" w:type="pct"/>
            <w:vMerge w:val="continue"/>
            <w:tcBorders>
              <w:tl2br w:val="nil"/>
              <w:tr2bl w:val="nil"/>
            </w:tcBorders>
            <w:vAlign w:val="center"/>
          </w:tcPr>
          <w:p w14:paraId="36B42DF3">
            <w:pPr>
              <w:widowControl/>
              <w:jc w:val="center"/>
              <w:rPr>
                <w:rFonts w:eastAsia="仿宋_GB2312"/>
                <w:kern w:val="0"/>
                <w:szCs w:val="21"/>
              </w:rPr>
            </w:pPr>
          </w:p>
        </w:tc>
        <w:tc>
          <w:tcPr>
            <w:tcW w:w="394" w:type="pct"/>
            <w:tcBorders>
              <w:tl2br w:val="nil"/>
              <w:tr2bl w:val="nil"/>
            </w:tcBorders>
            <w:shd w:val="clear" w:color="auto" w:fill="auto"/>
            <w:vAlign w:val="center"/>
          </w:tcPr>
          <w:p w14:paraId="39539374">
            <w:pPr>
              <w:widowControl/>
              <w:jc w:val="center"/>
              <w:rPr>
                <w:rFonts w:eastAsia="仿宋_GB2312"/>
                <w:kern w:val="0"/>
                <w:szCs w:val="21"/>
              </w:rPr>
            </w:pPr>
            <w:r>
              <w:rPr>
                <w:rFonts w:hint="eastAsia" w:eastAsia="仿宋_GB2312"/>
                <w:kern w:val="0"/>
                <w:szCs w:val="21"/>
              </w:rPr>
              <w:t>/</w:t>
            </w:r>
          </w:p>
        </w:tc>
        <w:tc>
          <w:tcPr>
            <w:tcW w:w="1042" w:type="pct"/>
            <w:tcBorders>
              <w:tl2br w:val="nil"/>
              <w:tr2bl w:val="nil"/>
            </w:tcBorders>
            <w:shd w:val="clear" w:color="auto" w:fill="auto"/>
            <w:vAlign w:val="center"/>
          </w:tcPr>
          <w:p w14:paraId="564C8A41">
            <w:pPr>
              <w:widowControl/>
              <w:jc w:val="center"/>
              <w:rPr>
                <w:rFonts w:eastAsia="仿宋_GB2312"/>
                <w:kern w:val="0"/>
                <w:szCs w:val="21"/>
              </w:rPr>
            </w:pPr>
            <w:r>
              <w:rPr>
                <w:rFonts w:hint="eastAsia" w:eastAsia="仿宋_GB2312"/>
                <w:kern w:val="0"/>
                <w:szCs w:val="21"/>
              </w:rPr>
              <w:t>/</w:t>
            </w:r>
          </w:p>
        </w:tc>
        <w:tc>
          <w:tcPr>
            <w:tcW w:w="465" w:type="pct"/>
            <w:vMerge w:val="continue"/>
            <w:tcBorders>
              <w:tl2br w:val="nil"/>
              <w:tr2bl w:val="nil"/>
            </w:tcBorders>
            <w:vAlign w:val="center"/>
          </w:tcPr>
          <w:p w14:paraId="5160B388">
            <w:pPr>
              <w:widowControl/>
              <w:jc w:val="center"/>
              <w:rPr>
                <w:rFonts w:eastAsia="仿宋_GB2312"/>
                <w:kern w:val="0"/>
                <w:szCs w:val="21"/>
              </w:rPr>
            </w:pPr>
          </w:p>
        </w:tc>
        <w:tc>
          <w:tcPr>
            <w:tcW w:w="384" w:type="pct"/>
            <w:tcBorders>
              <w:tl2br w:val="nil"/>
              <w:tr2bl w:val="nil"/>
            </w:tcBorders>
            <w:shd w:val="clear" w:color="auto" w:fill="auto"/>
            <w:vAlign w:val="center"/>
          </w:tcPr>
          <w:p w14:paraId="05D45308">
            <w:pPr>
              <w:widowControl/>
              <w:jc w:val="center"/>
              <w:textAlignment w:val="center"/>
              <w:rPr>
                <w:rFonts w:eastAsia="仿宋_GB2312"/>
                <w:kern w:val="0"/>
                <w:szCs w:val="21"/>
              </w:rPr>
            </w:pPr>
            <w:r>
              <w:rPr>
                <w:b/>
                <w:bCs/>
                <w:kern w:val="0"/>
                <w:szCs w:val="21"/>
                <w:lang w:bidi="ar"/>
              </w:rPr>
              <w:t>HW04</w:t>
            </w:r>
          </w:p>
        </w:tc>
        <w:tc>
          <w:tcPr>
            <w:tcW w:w="1059" w:type="pct"/>
            <w:tcBorders>
              <w:tl2br w:val="nil"/>
              <w:tr2bl w:val="nil"/>
            </w:tcBorders>
            <w:shd w:val="clear" w:color="auto" w:fill="auto"/>
            <w:vAlign w:val="center"/>
          </w:tcPr>
          <w:p w14:paraId="3D821F97">
            <w:pPr>
              <w:widowControl/>
              <w:jc w:val="center"/>
              <w:textAlignment w:val="center"/>
              <w:rPr>
                <w:rFonts w:eastAsia="仿宋_GB2312"/>
                <w:kern w:val="0"/>
                <w:szCs w:val="21"/>
              </w:rPr>
            </w:pPr>
            <w:r>
              <w:rPr>
                <w:b/>
                <w:bCs/>
                <w:kern w:val="0"/>
                <w:szCs w:val="21"/>
                <w:lang w:bidi="ar"/>
              </w:rPr>
              <w:t>263-008-04</w:t>
            </w:r>
          </w:p>
        </w:tc>
        <w:tc>
          <w:tcPr>
            <w:tcW w:w="423" w:type="pct"/>
            <w:vMerge w:val="continue"/>
            <w:tcBorders>
              <w:tl2br w:val="nil"/>
              <w:tr2bl w:val="nil"/>
            </w:tcBorders>
            <w:vAlign w:val="center"/>
          </w:tcPr>
          <w:p w14:paraId="4402BAD9">
            <w:pPr>
              <w:widowControl/>
              <w:jc w:val="center"/>
              <w:rPr>
                <w:rFonts w:eastAsia="仿宋_GB2312"/>
                <w:bCs/>
                <w:kern w:val="0"/>
                <w:szCs w:val="21"/>
              </w:rPr>
            </w:pPr>
          </w:p>
        </w:tc>
        <w:tc>
          <w:tcPr>
            <w:tcW w:w="605" w:type="pct"/>
            <w:vMerge w:val="continue"/>
            <w:tcBorders>
              <w:tl2br w:val="nil"/>
              <w:tr2bl w:val="nil"/>
            </w:tcBorders>
            <w:vAlign w:val="center"/>
          </w:tcPr>
          <w:p w14:paraId="37C6EC40">
            <w:pPr>
              <w:widowControl/>
              <w:jc w:val="center"/>
              <w:rPr>
                <w:rFonts w:eastAsia="仿宋_GB2312"/>
                <w:bCs/>
              </w:rPr>
            </w:pPr>
          </w:p>
        </w:tc>
      </w:tr>
      <w:tr w14:paraId="4B25AF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3" w:type="pct"/>
            <w:vMerge w:val="continue"/>
            <w:tcBorders>
              <w:tl2br w:val="nil"/>
              <w:tr2bl w:val="nil"/>
            </w:tcBorders>
            <w:vAlign w:val="center"/>
          </w:tcPr>
          <w:p w14:paraId="02D01860">
            <w:pPr>
              <w:widowControl/>
              <w:jc w:val="center"/>
              <w:rPr>
                <w:rFonts w:eastAsia="仿宋_GB2312"/>
                <w:kern w:val="0"/>
                <w:szCs w:val="21"/>
              </w:rPr>
            </w:pPr>
          </w:p>
        </w:tc>
        <w:tc>
          <w:tcPr>
            <w:tcW w:w="372" w:type="pct"/>
            <w:vMerge w:val="continue"/>
            <w:tcBorders>
              <w:tl2br w:val="nil"/>
              <w:tr2bl w:val="nil"/>
            </w:tcBorders>
            <w:vAlign w:val="center"/>
          </w:tcPr>
          <w:p w14:paraId="0443D300">
            <w:pPr>
              <w:widowControl/>
              <w:jc w:val="center"/>
              <w:rPr>
                <w:rFonts w:eastAsia="仿宋_GB2312"/>
                <w:kern w:val="0"/>
                <w:szCs w:val="21"/>
              </w:rPr>
            </w:pPr>
          </w:p>
        </w:tc>
        <w:tc>
          <w:tcPr>
            <w:tcW w:w="394" w:type="pct"/>
            <w:tcBorders>
              <w:tl2br w:val="nil"/>
              <w:tr2bl w:val="nil"/>
            </w:tcBorders>
            <w:vAlign w:val="center"/>
          </w:tcPr>
          <w:p w14:paraId="39025C5A">
            <w:pPr>
              <w:widowControl/>
              <w:jc w:val="center"/>
              <w:rPr>
                <w:rFonts w:eastAsia="仿宋_GB2312"/>
                <w:kern w:val="0"/>
                <w:szCs w:val="21"/>
              </w:rPr>
            </w:pPr>
            <w:r>
              <w:rPr>
                <w:rFonts w:eastAsia="仿宋_GB2312"/>
                <w:kern w:val="0"/>
                <w:szCs w:val="21"/>
              </w:rPr>
              <w:t>HW06</w:t>
            </w:r>
          </w:p>
        </w:tc>
        <w:tc>
          <w:tcPr>
            <w:tcW w:w="1042" w:type="pct"/>
            <w:tcBorders>
              <w:tl2br w:val="nil"/>
              <w:tr2bl w:val="nil"/>
            </w:tcBorders>
            <w:vAlign w:val="center"/>
          </w:tcPr>
          <w:p w14:paraId="2A9DBFC1">
            <w:pPr>
              <w:widowControl/>
              <w:jc w:val="center"/>
              <w:rPr>
                <w:rFonts w:eastAsia="仿宋_GB2312"/>
                <w:kern w:val="0"/>
                <w:szCs w:val="21"/>
              </w:rPr>
            </w:pPr>
            <w:r>
              <w:rPr>
                <w:rFonts w:eastAsia="仿宋_GB2312"/>
                <w:kern w:val="0"/>
                <w:szCs w:val="21"/>
              </w:rPr>
              <w:t>900-402-06，900-404-06，900-407-06</w:t>
            </w:r>
          </w:p>
        </w:tc>
        <w:tc>
          <w:tcPr>
            <w:tcW w:w="465" w:type="pct"/>
            <w:vMerge w:val="continue"/>
            <w:tcBorders>
              <w:tl2br w:val="nil"/>
              <w:tr2bl w:val="nil"/>
            </w:tcBorders>
            <w:vAlign w:val="center"/>
          </w:tcPr>
          <w:p w14:paraId="00D21C38">
            <w:pPr>
              <w:widowControl/>
              <w:jc w:val="center"/>
              <w:rPr>
                <w:rFonts w:eastAsia="仿宋_GB2312"/>
                <w:kern w:val="0"/>
                <w:szCs w:val="21"/>
              </w:rPr>
            </w:pPr>
          </w:p>
        </w:tc>
        <w:tc>
          <w:tcPr>
            <w:tcW w:w="384" w:type="pct"/>
            <w:tcBorders>
              <w:tl2br w:val="nil"/>
              <w:tr2bl w:val="nil"/>
            </w:tcBorders>
            <w:shd w:val="clear" w:color="auto" w:fill="auto"/>
            <w:vAlign w:val="center"/>
          </w:tcPr>
          <w:p w14:paraId="1791404D">
            <w:pPr>
              <w:widowControl/>
              <w:jc w:val="center"/>
              <w:textAlignment w:val="center"/>
              <w:rPr>
                <w:rFonts w:eastAsia="仿宋_GB2312"/>
                <w:kern w:val="0"/>
                <w:szCs w:val="21"/>
              </w:rPr>
            </w:pPr>
            <w:r>
              <w:rPr>
                <w:kern w:val="0"/>
                <w:szCs w:val="21"/>
                <w:lang w:bidi="ar"/>
              </w:rPr>
              <w:t>HW06</w:t>
            </w:r>
          </w:p>
        </w:tc>
        <w:tc>
          <w:tcPr>
            <w:tcW w:w="1059" w:type="pct"/>
            <w:tcBorders>
              <w:tl2br w:val="nil"/>
              <w:tr2bl w:val="nil"/>
            </w:tcBorders>
            <w:shd w:val="clear" w:color="auto" w:fill="auto"/>
            <w:vAlign w:val="center"/>
          </w:tcPr>
          <w:p w14:paraId="3A5C870B">
            <w:pPr>
              <w:widowControl/>
              <w:jc w:val="center"/>
              <w:textAlignment w:val="center"/>
              <w:rPr>
                <w:rFonts w:eastAsia="仿宋_GB2312"/>
                <w:kern w:val="0"/>
                <w:szCs w:val="21"/>
              </w:rPr>
            </w:pPr>
            <w:r>
              <w:rPr>
                <w:kern w:val="0"/>
                <w:szCs w:val="21"/>
                <w:lang w:bidi="ar"/>
              </w:rPr>
              <w:t>900-402-06</w:t>
            </w:r>
            <w:r>
              <w:rPr>
                <w:rFonts w:ascii="仿宋_GB2312" w:eastAsia="仿宋_GB2312" w:cs="仿宋_GB2312"/>
                <w:kern w:val="0"/>
                <w:szCs w:val="21"/>
                <w:lang w:bidi="ar"/>
              </w:rPr>
              <w:t>，</w:t>
            </w:r>
            <w:r>
              <w:rPr>
                <w:kern w:val="0"/>
                <w:szCs w:val="21"/>
                <w:lang w:bidi="ar"/>
              </w:rPr>
              <w:t>900-404-06</w:t>
            </w:r>
            <w:r>
              <w:rPr>
                <w:rFonts w:ascii="仿宋_GB2312" w:eastAsia="仿宋_GB2312" w:cs="仿宋_GB2312"/>
                <w:kern w:val="0"/>
                <w:szCs w:val="21"/>
                <w:lang w:bidi="ar"/>
              </w:rPr>
              <w:t>，</w:t>
            </w:r>
            <w:r>
              <w:rPr>
                <w:kern w:val="0"/>
                <w:szCs w:val="21"/>
                <w:lang w:bidi="ar"/>
              </w:rPr>
              <w:t>900-407-06</w:t>
            </w:r>
          </w:p>
        </w:tc>
        <w:tc>
          <w:tcPr>
            <w:tcW w:w="423" w:type="pct"/>
            <w:vMerge w:val="continue"/>
            <w:tcBorders>
              <w:tl2br w:val="nil"/>
              <w:tr2bl w:val="nil"/>
            </w:tcBorders>
            <w:vAlign w:val="center"/>
          </w:tcPr>
          <w:p w14:paraId="0AB57167">
            <w:pPr>
              <w:widowControl/>
              <w:jc w:val="center"/>
              <w:rPr>
                <w:rFonts w:eastAsia="仿宋_GB2312"/>
                <w:bCs/>
                <w:kern w:val="0"/>
                <w:szCs w:val="21"/>
              </w:rPr>
            </w:pPr>
          </w:p>
        </w:tc>
        <w:tc>
          <w:tcPr>
            <w:tcW w:w="605" w:type="pct"/>
            <w:vMerge w:val="continue"/>
            <w:tcBorders>
              <w:tl2br w:val="nil"/>
              <w:tr2bl w:val="nil"/>
            </w:tcBorders>
            <w:vAlign w:val="center"/>
          </w:tcPr>
          <w:p w14:paraId="6DCC2148">
            <w:pPr>
              <w:widowControl/>
              <w:jc w:val="center"/>
              <w:rPr>
                <w:rFonts w:eastAsia="仿宋_GB2312"/>
                <w:b/>
                <w:kern w:val="0"/>
                <w:szCs w:val="21"/>
              </w:rPr>
            </w:pPr>
          </w:p>
        </w:tc>
      </w:tr>
      <w:tr w14:paraId="4AFCE3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3" w:type="pct"/>
            <w:vMerge w:val="restart"/>
            <w:tcBorders>
              <w:tl2br w:val="nil"/>
              <w:tr2bl w:val="nil"/>
            </w:tcBorders>
            <w:vAlign w:val="center"/>
          </w:tcPr>
          <w:p w14:paraId="7FBA9011">
            <w:pPr>
              <w:widowControl/>
              <w:jc w:val="center"/>
              <w:rPr>
                <w:rFonts w:eastAsia="仿宋_GB2312"/>
                <w:kern w:val="0"/>
                <w:szCs w:val="21"/>
              </w:rPr>
            </w:pPr>
            <w:r>
              <w:rPr>
                <w:rFonts w:eastAsia="仿宋_GB2312"/>
                <w:kern w:val="0"/>
                <w:szCs w:val="21"/>
              </w:rPr>
              <w:t>4</w:t>
            </w:r>
          </w:p>
        </w:tc>
        <w:tc>
          <w:tcPr>
            <w:tcW w:w="372" w:type="pct"/>
            <w:vMerge w:val="restart"/>
            <w:tcBorders>
              <w:tl2br w:val="nil"/>
              <w:tr2bl w:val="nil"/>
            </w:tcBorders>
            <w:vAlign w:val="center"/>
          </w:tcPr>
          <w:p w14:paraId="3335DB68">
            <w:pPr>
              <w:widowControl/>
              <w:jc w:val="center"/>
              <w:rPr>
                <w:rFonts w:eastAsia="仿宋_GB2312"/>
                <w:kern w:val="0"/>
                <w:szCs w:val="21"/>
              </w:rPr>
            </w:pPr>
            <w:r>
              <w:rPr>
                <w:rFonts w:eastAsia="仿宋_GB2312"/>
                <w:kern w:val="0"/>
                <w:szCs w:val="21"/>
              </w:rPr>
              <w:t>二氯甲烷废液</w:t>
            </w:r>
          </w:p>
        </w:tc>
        <w:tc>
          <w:tcPr>
            <w:tcW w:w="394" w:type="pct"/>
            <w:tcBorders>
              <w:tl2br w:val="nil"/>
              <w:tr2bl w:val="nil"/>
            </w:tcBorders>
            <w:vAlign w:val="center"/>
          </w:tcPr>
          <w:p w14:paraId="342EE8BE">
            <w:pPr>
              <w:widowControl/>
              <w:jc w:val="center"/>
              <w:rPr>
                <w:rFonts w:eastAsia="仿宋_GB2312"/>
                <w:kern w:val="0"/>
                <w:szCs w:val="21"/>
              </w:rPr>
            </w:pPr>
            <w:r>
              <w:rPr>
                <w:rFonts w:eastAsia="仿宋_GB2312"/>
                <w:kern w:val="0"/>
                <w:szCs w:val="21"/>
              </w:rPr>
              <w:t>HW02</w:t>
            </w:r>
          </w:p>
        </w:tc>
        <w:tc>
          <w:tcPr>
            <w:tcW w:w="1042" w:type="pct"/>
            <w:tcBorders>
              <w:tl2br w:val="nil"/>
              <w:tr2bl w:val="nil"/>
            </w:tcBorders>
            <w:vAlign w:val="center"/>
          </w:tcPr>
          <w:p w14:paraId="06A39133">
            <w:pPr>
              <w:widowControl/>
              <w:jc w:val="center"/>
              <w:rPr>
                <w:rFonts w:eastAsia="仿宋_GB2312"/>
                <w:kern w:val="0"/>
                <w:szCs w:val="21"/>
              </w:rPr>
            </w:pPr>
            <w:r>
              <w:rPr>
                <w:rFonts w:eastAsia="仿宋_GB2312"/>
                <w:kern w:val="0"/>
                <w:szCs w:val="21"/>
              </w:rPr>
              <w:t>271-001-02，271-002-02，</w:t>
            </w:r>
            <w:r>
              <w:rPr>
                <w:rFonts w:hint="eastAsia" w:eastAsia="仿宋_GB2312"/>
                <w:kern w:val="0"/>
                <w:szCs w:val="21"/>
              </w:rPr>
              <w:t>271-004-02，</w:t>
            </w:r>
            <w:r>
              <w:rPr>
                <w:rFonts w:eastAsia="仿宋_GB2312"/>
                <w:kern w:val="0"/>
                <w:szCs w:val="21"/>
              </w:rPr>
              <w:t>272-001-02，</w:t>
            </w:r>
            <w:r>
              <w:rPr>
                <w:rFonts w:hint="eastAsia" w:eastAsia="仿宋_GB2312"/>
                <w:kern w:val="0"/>
                <w:szCs w:val="21"/>
              </w:rPr>
              <w:t>272-003-02，275-004-02，275-005-02，</w:t>
            </w:r>
            <w:r>
              <w:rPr>
                <w:rFonts w:eastAsia="仿宋_GB2312"/>
                <w:kern w:val="0"/>
                <w:szCs w:val="21"/>
              </w:rPr>
              <w:t>276-001-02，276-002-02</w:t>
            </w:r>
            <w:r>
              <w:rPr>
                <w:rFonts w:hint="eastAsia" w:eastAsia="仿宋_GB2312"/>
                <w:kern w:val="0"/>
                <w:szCs w:val="21"/>
              </w:rPr>
              <w:t>，276-004-02</w:t>
            </w:r>
          </w:p>
        </w:tc>
        <w:tc>
          <w:tcPr>
            <w:tcW w:w="465" w:type="pct"/>
            <w:vMerge w:val="restart"/>
            <w:tcBorders>
              <w:tl2br w:val="nil"/>
              <w:tr2bl w:val="nil"/>
            </w:tcBorders>
            <w:vAlign w:val="center"/>
          </w:tcPr>
          <w:p w14:paraId="4C0612A4">
            <w:pPr>
              <w:widowControl/>
              <w:jc w:val="center"/>
              <w:rPr>
                <w:rFonts w:eastAsia="仿宋_GB2312"/>
                <w:kern w:val="0"/>
                <w:szCs w:val="21"/>
              </w:rPr>
            </w:pPr>
            <w:r>
              <w:rPr>
                <w:rFonts w:eastAsia="仿宋_GB2312"/>
                <w:kern w:val="0"/>
                <w:szCs w:val="21"/>
              </w:rPr>
              <w:t>2650</w:t>
            </w:r>
          </w:p>
        </w:tc>
        <w:tc>
          <w:tcPr>
            <w:tcW w:w="384" w:type="pct"/>
            <w:tcBorders>
              <w:tl2br w:val="nil"/>
              <w:tr2bl w:val="nil"/>
            </w:tcBorders>
            <w:shd w:val="clear" w:color="auto" w:fill="auto"/>
            <w:vAlign w:val="center"/>
          </w:tcPr>
          <w:p w14:paraId="2005F180">
            <w:pPr>
              <w:widowControl/>
              <w:jc w:val="center"/>
              <w:textAlignment w:val="center"/>
              <w:rPr>
                <w:rFonts w:eastAsia="仿宋_GB2312"/>
                <w:kern w:val="0"/>
                <w:szCs w:val="21"/>
              </w:rPr>
            </w:pPr>
            <w:r>
              <w:rPr>
                <w:kern w:val="0"/>
                <w:szCs w:val="21"/>
                <w:lang w:bidi="ar"/>
              </w:rPr>
              <w:t>HW02</w:t>
            </w:r>
          </w:p>
        </w:tc>
        <w:tc>
          <w:tcPr>
            <w:tcW w:w="1059" w:type="pct"/>
            <w:tcBorders>
              <w:tl2br w:val="nil"/>
              <w:tr2bl w:val="nil"/>
            </w:tcBorders>
            <w:shd w:val="clear" w:color="auto" w:fill="auto"/>
            <w:vAlign w:val="center"/>
          </w:tcPr>
          <w:p w14:paraId="1F0E7FC3">
            <w:pPr>
              <w:widowControl/>
              <w:jc w:val="center"/>
              <w:textAlignment w:val="center"/>
              <w:rPr>
                <w:rFonts w:eastAsia="仿宋_GB2312"/>
                <w:kern w:val="0"/>
                <w:szCs w:val="21"/>
              </w:rPr>
            </w:pPr>
            <w:r>
              <w:rPr>
                <w:kern w:val="0"/>
                <w:szCs w:val="21"/>
                <w:lang w:bidi="ar"/>
              </w:rPr>
              <w:t>271-001-02</w:t>
            </w:r>
            <w:r>
              <w:rPr>
                <w:rFonts w:ascii="仿宋_GB2312" w:eastAsia="仿宋_GB2312" w:cs="仿宋_GB2312"/>
                <w:kern w:val="0"/>
                <w:szCs w:val="21"/>
                <w:lang w:bidi="ar"/>
              </w:rPr>
              <w:t>，</w:t>
            </w:r>
            <w:r>
              <w:rPr>
                <w:kern w:val="0"/>
                <w:szCs w:val="21"/>
                <w:lang w:bidi="ar"/>
              </w:rPr>
              <w:t>271-002-02</w:t>
            </w:r>
            <w:r>
              <w:rPr>
                <w:rFonts w:ascii="仿宋_GB2312" w:eastAsia="仿宋_GB2312" w:cs="仿宋_GB2312"/>
                <w:kern w:val="0"/>
                <w:szCs w:val="21"/>
                <w:lang w:bidi="ar"/>
              </w:rPr>
              <w:t>，</w:t>
            </w:r>
            <w:r>
              <w:rPr>
                <w:kern w:val="0"/>
                <w:szCs w:val="21"/>
                <w:lang w:bidi="ar"/>
              </w:rPr>
              <w:t>272-001-02</w:t>
            </w:r>
            <w:r>
              <w:rPr>
                <w:rFonts w:ascii="仿宋_GB2312" w:eastAsia="仿宋_GB2312" w:cs="仿宋_GB2312"/>
                <w:kern w:val="0"/>
                <w:szCs w:val="21"/>
                <w:lang w:bidi="ar"/>
              </w:rPr>
              <w:t>，</w:t>
            </w:r>
            <w:r>
              <w:rPr>
                <w:b/>
                <w:bCs/>
                <w:kern w:val="0"/>
                <w:szCs w:val="21"/>
                <w:lang w:bidi="ar"/>
              </w:rPr>
              <w:t>272-00</w:t>
            </w:r>
            <w:r>
              <w:rPr>
                <w:rFonts w:hint="eastAsia"/>
                <w:b/>
                <w:bCs/>
                <w:kern w:val="0"/>
                <w:szCs w:val="21"/>
                <w:lang w:val="en-US" w:eastAsia="zh-CN" w:bidi="ar"/>
              </w:rPr>
              <w:t>5</w:t>
            </w:r>
            <w:r>
              <w:rPr>
                <w:b/>
                <w:bCs/>
                <w:kern w:val="0"/>
                <w:szCs w:val="21"/>
                <w:lang w:bidi="ar"/>
              </w:rPr>
              <w:t>-02</w:t>
            </w:r>
            <w:r>
              <w:rPr>
                <w:rFonts w:ascii="仿宋_GB2312" w:eastAsia="仿宋_GB2312" w:cs="仿宋_GB2312"/>
                <w:kern w:val="0"/>
                <w:szCs w:val="21"/>
                <w:lang w:bidi="ar"/>
              </w:rPr>
              <w:t>，</w:t>
            </w:r>
            <w:r>
              <w:rPr>
                <w:kern w:val="0"/>
                <w:szCs w:val="21"/>
                <w:lang w:bidi="ar"/>
              </w:rPr>
              <w:t>275-004-02</w:t>
            </w:r>
            <w:r>
              <w:rPr>
                <w:rFonts w:ascii="仿宋_GB2312" w:eastAsia="仿宋_GB2312" w:cs="仿宋_GB2312"/>
                <w:kern w:val="0"/>
                <w:szCs w:val="21"/>
                <w:lang w:bidi="ar"/>
              </w:rPr>
              <w:t>，</w:t>
            </w:r>
            <w:r>
              <w:rPr>
                <w:b/>
                <w:bCs/>
                <w:kern w:val="0"/>
                <w:szCs w:val="21"/>
                <w:lang w:bidi="ar"/>
              </w:rPr>
              <w:t>275-00</w:t>
            </w:r>
            <w:r>
              <w:rPr>
                <w:rFonts w:hint="eastAsia"/>
                <w:b/>
                <w:bCs/>
                <w:kern w:val="0"/>
                <w:szCs w:val="21"/>
                <w:lang w:val="en-US" w:eastAsia="zh-CN" w:bidi="ar"/>
              </w:rPr>
              <w:t>6</w:t>
            </w:r>
            <w:r>
              <w:rPr>
                <w:b/>
                <w:bCs/>
                <w:kern w:val="0"/>
                <w:szCs w:val="21"/>
                <w:lang w:bidi="ar"/>
              </w:rPr>
              <w:t>-02</w:t>
            </w:r>
            <w:r>
              <w:rPr>
                <w:rFonts w:ascii="仿宋_GB2312" w:eastAsia="仿宋_GB2312" w:cs="仿宋_GB2312"/>
                <w:kern w:val="0"/>
                <w:szCs w:val="21"/>
                <w:lang w:bidi="ar"/>
              </w:rPr>
              <w:t>，</w:t>
            </w:r>
            <w:r>
              <w:rPr>
                <w:kern w:val="0"/>
                <w:szCs w:val="21"/>
                <w:lang w:bidi="ar"/>
              </w:rPr>
              <w:t>276-001-02</w:t>
            </w:r>
            <w:r>
              <w:rPr>
                <w:rFonts w:ascii="仿宋_GB2312" w:eastAsia="仿宋_GB2312" w:cs="仿宋_GB2312"/>
                <w:kern w:val="0"/>
                <w:szCs w:val="21"/>
                <w:lang w:bidi="ar"/>
              </w:rPr>
              <w:t>，</w:t>
            </w:r>
            <w:r>
              <w:rPr>
                <w:kern w:val="0"/>
                <w:szCs w:val="21"/>
                <w:lang w:bidi="ar"/>
              </w:rPr>
              <w:t>276-002-02</w:t>
            </w:r>
            <w:r>
              <w:rPr>
                <w:rFonts w:ascii="仿宋_GB2312" w:eastAsia="仿宋_GB2312" w:cs="仿宋_GB2312"/>
                <w:kern w:val="0"/>
                <w:szCs w:val="21"/>
                <w:lang w:bidi="ar"/>
              </w:rPr>
              <w:t>，</w:t>
            </w:r>
            <w:r>
              <w:rPr>
                <w:b/>
                <w:bCs/>
                <w:kern w:val="0"/>
                <w:szCs w:val="21"/>
                <w:lang w:bidi="ar"/>
              </w:rPr>
              <w:t>276-00</w:t>
            </w:r>
            <w:r>
              <w:rPr>
                <w:rFonts w:hint="eastAsia"/>
                <w:b/>
                <w:bCs/>
                <w:kern w:val="0"/>
                <w:szCs w:val="21"/>
                <w:lang w:val="en-US" w:eastAsia="zh-CN" w:bidi="ar"/>
              </w:rPr>
              <w:t>5</w:t>
            </w:r>
            <w:r>
              <w:rPr>
                <w:b/>
                <w:bCs/>
                <w:kern w:val="0"/>
                <w:szCs w:val="21"/>
                <w:lang w:bidi="ar"/>
              </w:rPr>
              <w:t>-02</w:t>
            </w:r>
          </w:p>
        </w:tc>
        <w:tc>
          <w:tcPr>
            <w:tcW w:w="423" w:type="pct"/>
            <w:vMerge w:val="restart"/>
            <w:tcBorders>
              <w:tl2br w:val="nil"/>
              <w:tr2bl w:val="nil"/>
            </w:tcBorders>
            <w:vAlign w:val="center"/>
          </w:tcPr>
          <w:p w14:paraId="0A482187">
            <w:pPr>
              <w:widowControl/>
              <w:jc w:val="center"/>
              <w:rPr>
                <w:rFonts w:eastAsia="仿宋_GB2312"/>
                <w:bCs/>
                <w:kern w:val="0"/>
                <w:szCs w:val="21"/>
              </w:rPr>
            </w:pPr>
            <w:r>
              <w:rPr>
                <w:rFonts w:hint="eastAsia" w:eastAsia="仿宋_GB2312"/>
                <w:bCs/>
                <w:kern w:val="0"/>
                <w:szCs w:val="21"/>
              </w:rPr>
              <w:t>2650</w:t>
            </w:r>
          </w:p>
        </w:tc>
        <w:tc>
          <w:tcPr>
            <w:tcW w:w="605" w:type="pct"/>
            <w:vMerge w:val="restart"/>
            <w:tcBorders>
              <w:tl2br w:val="nil"/>
              <w:tr2bl w:val="nil"/>
            </w:tcBorders>
            <w:vAlign w:val="center"/>
          </w:tcPr>
          <w:p w14:paraId="0C3AE8AD">
            <w:pPr>
              <w:widowControl/>
              <w:jc w:val="center"/>
              <w:rPr>
                <w:rFonts w:eastAsia="仿宋_GB2312"/>
                <w:kern w:val="0"/>
                <w:szCs w:val="21"/>
              </w:rPr>
            </w:pPr>
            <w:r>
              <w:rPr>
                <w:rFonts w:eastAsia="仿宋_GB2312"/>
                <w:bCs/>
              </w:rPr>
              <w:t>回收综合利用量不变，危废代码增加</w:t>
            </w:r>
          </w:p>
        </w:tc>
      </w:tr>
      <w:tr w14:paraId="2283E5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3" w:type="pct"/>
            <w:vMerge w:val="continue"/>
            <w:tcBorders>
              <w:tl2br w:val="nil"/>
              <w:tr2bl w:val="nil"/>
            </w:tcBorders>
            <w:vAlign w:val="center"/>
          </w:tcPr>
          <w:p w14:paraId="62BFF174">
            <w:pPr>
              <w:widowControl/>
              <w:jc w:val="center"/>
              <w:rPr>
                <w:rFonts w:eastAsia="仿宋_GB2312"/>
                <w:kern w:val="0"/>
                <w:szCs w:val="21"/>
              </w:rPr>
            </w:pPr>
          </w:p>
        </w:tc>
        <w:tc>
          <w:tcPr>
            <w:tcW w:w="372" w:type="pct"/>
            <w:vMerge w:val="continue"/>
            <w:tcBorders>
              <w:tl2br w:val="nil"/>
              <w:tr2bl w:val="nil"/>
            </w:tcBorders>
            <w:vAlign w:val="center"/>
          </w:tcPr>
          <w:p w14:paraId="789ED57D">
            <w:pPr>
              <w:widowControl/>
              <w:jc w:val="center"/>
              <w:rPr>
                <w:rFonts w:eastAsia="仿宋_GB2312"/>
                <w:kern w:val="0"/>
                <w:szCs w:val="21"/>
              </w:rPr>
            </w:pPr>
          </w:p>
        </w:tc>
        <w:tc>
          <w:tcPr>
            <w:tcW w:w="394" w:type="pct"/>
            <w:tcBorders>
              <w:tl2br w:val="nil"/>
              <w:tr2bl w:val="nil"/>
            </w:tcBorders>
            <w:shd w:val="clear" w:color="auto" w:fill="auto"/>
            <w:vAlign w:val="center"/>
          </w:tcPr>
          <w:p w14:paraId="00712143">
            <w:pPr>
              <w:widowControl/>
              <w:jc w:val="center"/>
              <w:rPr>
                <w:rFonts w:eastAsia="仿宋_GB2312"/>
                <w:kern w:val="0"/>
                <w:szCs w:val="21"/>
              </w:rPr>
            </w:pPr>
            <w:r>
              <w:rPr>
                <w:rFonts w:hint="eastAsia" w:eastAsia="仿宋_GB2312"/>
                <w:kern w:val="0"/>
                <w:szCs w:val="21"/>
              </w:rPr>
              <w:t>/</w:t>
            </w:r>
          </w:p>
        </w:tc>
        <w:tc>
          <w:tcPr>
            <w:tcW w:w="1042" w:type="pct"/>
            <w:tcBorders>
              <w:tl2br w:val="nil"/>
              <w:tr2bl w:val="nil"/>
            </w:tcBorders>
            <w:shd w:val="clear" w:color="auto" w:fill="auto"/>
            <w:vAlign w:val="center"/>
          </w:tcPr>
          <w:p w14:paraId="0F15BCC4">
            <w:pPr>
              <w:widowControl/>
              <w:jc w:val="center"/>
              <w:rPr>
                <w:rFonts w:eastAsia="仿宋_GB2312"/>
                <w:kern w:val="0"/>
                <w:szCs w:val="21"/>
              </w:rPr>
            </w:pPr>
            <w:r>
              <w:rPr>
                <w:rFonts w:hint="eastAsia" w:eastAsia="仿宋_GB2312"/>
                <w:kern w:val="0"/>
                <w:szCs w:val="21"/>
              </w:rPr>
              <w:t>/</w:t>
            </w:r>
          </w:p>
        </w:tc>
        <w:tc>
          <w:tcPr>
            <w:tcW w:w="465" w:type="pct"/>
            <w:vMerge w:val="continue"/>
            <w:tcBorders>
              <w:tl2br w:val="nil"/>
              <w:tr2bl w:val="nil"/>
            </w:tcBorders>
            <w:vAlign w:val="center"/>
          </w:tcPr>
          <w:p w14:paraId="4FF7723C">
            <w:pPr>
              <w:widowControl/>
              <w:jc w:val="center"/>
              <w:rPr>
                <w:rFonts w:eastAsia="仿宋_GB2312"/>
                <w:kern w:val="0"/>
                <w:szCs w:val="21"/>
              </w:rPr>
            </w:pPr>
          </w:p>
        </w:tc>
        <w:tc>
          <w:tcPr>
            <w:tcW w:w="384" w:type="pct"/>
            <w:tcBorders>
              <w:tl2br w:val="nil"/>
              <w:tr2bl w:val="nil"/>
            </w:tcBorders>
            <w:shd w:val="clear" w:color="auto" w:fill="auto"/>
            <w:vAlign w:val="center"/>
          </w:tcPr>
          <w:p w14:paraId="62E654A1">
            <w:pPr>
              <w:widowControl/>
              <w:jc w:val="center"/>
              <w:textAlignment w:val="center"/>
              <w:rPr>
                <w:rFonts w:eastAsia="仿宋_GB2312"/>
                <w:kern w:val="0"/>
                <w:szCs w:val="21"/>
              </w:rPr>
            </w:pPr>
            <w:r>
              <w:rPr>
                <w:b/>
                <w:bCs/>
                <w:kern w:val="0"/>
                <w:szCs w:val="21"/>
                <w:lang w:bidi="ar"/>
              </w:rPr>
              <w:t>HW04</w:t>
            </w:r>
          </w:p>
        </w:tc>
        <w:tc>
          <w:tcPr>
            <w:tcW w:w="1059" w:type="pct"/>
            <w:tcBorders>
              <w:tl2br w:val="nil"/>
              <w:tr2bl w:val="nil"/>
            </w:tcBorders>
            <w:shd w:val="clear" w:color="auto" w:fill="auto"/>
            <w:vAlign w:val="center"/>
          </w:tcPr>
          <w:p w14:paraId="39498B24">
            <w:pPr>
              <w:widowControl/>
              <w:jc w:val="center"/>
              <w:textAlignment w:val="center"/>
              <w:rPr>
                <w:rFonts w:eastAsia="仿宋_GB2312"/>
                <w:kern w:val="0"/>
                <w:szCs w:val="21"/>
              </w:rPr>
            </w:pPr>
            <w:r>
              <w:rPr>
                <w:b/>
                <w:bCs/>
                <w:kern w:val="0"/>
                <w:szCs w:val="21"/>
                <w:lang w:bidi="ar"/>
              </w:rPr>
              <w:t>263-008-04</w:t>
            </w:r>
          </w:p>
        </w:tc>
        <w:tc>
          <w:tcPr>
            <w:tcW w:w="423" w:type="pct"/>
            <w:vMerge w:val="continue"/>
            <w:tcBorders>
              <w:tl2br w:val="nil"/>
              <w:tr2bl w:val="nil"/>
            </w:tcBorders>
            <w:vAlign w:val="center"/>
          </w:tcPr>
          <w:p w14:paraId="556BB812">
            <w:pPr>
              <w:widowControl/>
              <w:jc w:val="center"/>
              <w:rPr>
                <w:rFonts w:eastAsia="仿宋_GB2312"/>
                <w:bCs/>
                <w:kern w:val="0"/>
                <w:szCs w:val="21"/>
              </w:rPr>
            </w:pPr>
          </w:p>
        </w:tc>
        <w:tc>
          <w:tcPr>
            <w:tcW w:w="605" w:type="pct"/>
            <w:vMerge w:val="continue"/>
            <w:tcBorders>
              <w:tl2br w:val="nil"/>
              <w:tr2bl w:val="nil"/>
            </w:tcBorders>
            <w:vAlign w:val="center"/>
          </w:tcPr>
          <w:p w14:paraId="20817C22">
            <w:pPr>
              <w:widowControl/>
              <w:jc w:val="center"/>
              <w:rPr>
                <w:rFonts w:eastAsia="仿宋_GB2312"/>
                <w:bCs/>
              </w:rPr>
            </w:pPr>
          </w:p>
        </w:tc>
      </w:tr>
      <w:tr w14:paraId="336C18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3" w:type="pct"/>
            <w:vMerge w:val="continue"/>
            <w:tcBorders>
              <w:tl2br w:val="nil"/>
              <w:tr2bl w:val="nil"/>
            </w:tcBorders>
            <w:vAlign w:val="center"/>
          </w:tcPr>
          <w:p w14:paraId="39181960">
            <w:pPr>
              <w:widowControl/>
              <w:jc w:val="center"/>
              <w:rPr>
                <w:rFonts w:eastAsia="仿宋_GB2312"/>
                <w:kern w:val="0"/>
                <w:szCs w:val="21"/>
              </w:rPr>
            </w:pPr>
          </w:p>
        </w:tc>
        <w:tc>
          <w:tcPr>
            <w:tcW w:w="372" w:type="pct"/>
            <w:vMerge w:val="continue"/>
            <w:tcBorders>
              <w:tl2br w:val="nil"/>
              <w:tr2bl w:val="nil"/>
            </w:tcBorders>
            <w:vAlign w:val="center"/>
          </w:tcPr>
          <w:p w14:paraId="6C9249C5">
            <w:pPr>
              <w:widowControl/>
              <w:jc w:val="center"/>
              <w:rPr>
                <w:rFonts w:eastAsia="仿宋_GB2312"/>
                <w:kern w:val="0"/>
                <w:szCs w:val="21"/>
              </w:rPr>
            </w:pPr>
          </w:p>
        </w:tc>
        <w:tc>
          <w:tcPr>
            <w:tcW w:w="394" w:type="pct"/>
            <w:tcBorders>
              <w:tl2br w:val="nil"/>
              <w:tr2bl w:val="nil"/>
            </w:tcBorders>
            <w:vAlign w:val="center"/>
          </w:tcPr>
          <w:p w14:paraId="4324F8DC">
            <w:pPr>
              <w:widowControl/>
              <w:jc w:val="center"/>
              <w:rPr>
                <w:rFonts w:eastAsia="仿宋_GB2312"/>
                <w:kern w:val="0"/>
                <w:szCs w:val="21"/>
              </w:rPr>
            </w:pPr>
            <w:r>
              <w:rPr>
                <w:rFonts w:eastAsia="仿宋_GB2312"/>
                <w:kern w:val="0"/>
                <w:szCs w:val="21"/>
              </w:rPr>
              <w:t>HW06</w:t>
            </w:r>
          </w:p>
        </w:tc>
        <w:tc>
          <w:tcPr>
            <w:tcW w:w="1042" w:type="pct"/>
            <w:tcBorders>
              <w:tl2br w:val="nil"/>
              <w:tr2bl w:val="nil"/>
            </w:tcBorders>
            <w:vAlign w:val="center"/>
          </w:tcPr>
          <w:p w14:paraId="7C6BF825">
            <w:pPr>
              <w:widowControl/>
              <w:jc w:val="center"/>
              <w:rPr>
                <w:rFonts w:eastAsia="仿宋_GB2312"/>
                <w:kern w:val="0"/>
                <w:szCs w:val="21"/>
              </w:rPr>
            </w:pPr>
            <w:r>
              <w:rPr>
                <w:rFonts w:eastAsia="仿宋_GB2312"/>
                <w:kern w:val="0"/>
                <w:szCs w:val="21"/>
              </w:rPr>
              <w:t>900-401-06，900-407-06</w:t>
            </w:r>
          </w:p>
        </w:tc>
        <w:tc>
          <w:tcPr>
            <w:tcW w:w="465" w:type="pct"/>
            <w:vMerge w:val="continue"/>
            <w:tcBorders>
              <w:tl2br w:val="nil"/>
              <w:tr2bl w:val="nil"/>
            </w:tcBorders>
            <w:vAlign w:val="center"/>
          </w:tcPr>
          <w:p w14:paraId="551B96AE">
            <w:pPr>
              <w:widowControl/>
              <w:jc w:val="center"/>
              <w:rPr>
                <w:rFonts w:eastAsia="仿宋_GB2312"/>
                <w:kern w:val="0"/>
                <w:szCs w:val="21"/>
              </w:rPr>
            </w:pPr>
          </w:p>
        </w:tc>
        <w:tc>
          <w:tcPr>
            <w:tcW w:w="384" w:type="pct"/>
            <w:tcBorders>
              <w:tl2br w:val="nil"/>
              <w:tr2bl w:val="nil"/>
            </w:tcBorders>
            <w:shd w:val="clear" w:color="auto" w:fill="auto"/>
            <w:vAlign w:val="center"/>
          </w:tcPr>
          <w:p w14:paraId="1E707924">
            <w:pPr>
              <w:widowControl/>
              <w:jc w:val="center"/>
              <w:textAlignment w:val="center"/>
              <w:rPr>
                <w:rFonts w:eastAsia="仿宋_GB2312"/>
                <w:kern w:val="0"/>
                <w:szCs w:val="21"/>
              </w:rPr>
            </w:pPr>
            <w:r>
              <w:rPr>
                <w:kern w:val="0"/>
                <w:szCs w:val="21"/>
                <w:lang w:bidi="ar"/>
              </w:rPr>
              <w:t>HW06</w:t>
            </w:r>
          </w:p>
        </w:tc>
        <w:tc>
          <w:tcPr>
            <w:tcW w:w="1059" w:type="pct"/>
            <w:tcBorders>
              <w:tl2br w:val="nil"/>
              <w:tr2bl w:val="nil"/>
            </w:tcBorders>
            <w:shd w:val="clear" w:color="auto" w:fill="auto"/>
            <w:vAlign w:val="center"/>
          </w:tcPr>
          <w:p w14:paraId="5BE40B14">
            <w:pPr>
              <w:widowControl/>
              <w:jc w:val="center"/>
              <w:textAlignment w:val="center"/>
              <w:rPr>
                <w:rFonts w:eastAsia="仿宋_GB2312"/>
                <w:kern w:val="0"/>
                <w:szCs w:val="21"/>
              </w:rPr>
            </w:pPr>
            <w:r>
              <w:rPr>
                <w:kern w:val="0"/>
                <w:szCs w:val="21"/>
                <w:lang w:bidi="ar"/>
              </w:rPr>
              <w:t>900-401-06</w:t>
            </w:r>
            <w:r>
              <w:rPr>
                <w:rFonts w:ascii="仿宋_GB2312" w:eastAsia="仿宋_GB2312" w:cs="仿宋_GB2312"/>
                <w:kern w:val="0"/>
                <w:szCs w:val="21"/>
                <w:lang w:bidi="ar"/>
              </w:rPr>
              <w:t>，</w:t>
            </w:r>
            <w:r>
              <w:rPr>
                <w:b/>
                <w:bCs/>
                <w:kern w:val="0"/>
                <w:szCs w:val="21"/>
                <w:lang w:bidi="ar"/>
              </w:rPr>
              <w:t>900-402-06</w:t>
            </w:r>
            <w:r>
              <w:rPr>
                <w:rFonts w:ascii="仿宋_GB2312" w:eastAsia="仿宋_GB2312" w:cs="仿宋_GB2312"/>
                <w:b/>
                <w:bCs/>
                <w:kern w:val="0"/>
                <w:szCs w:val="21"/>
                <w:lang w:bidi="ar"/>
              </w:rPr>
              <w:t>，</w:t>
            </w:r>
            <w:r>
              <w:rPr>
                <w:b/>
                <w:bCs/>
                <w:kern w:val="0"/>
                <w:szCs w:val="21"/>
                <w:lang w:bidi="ar"/>
              </w:rPr>
              <w:t>900-404-06</w:t>
            </w:r>
            <w:r>
              <w:rPr>
                <w:rFonts w:ascii="仿宋_GB2312" w:eastAsia="仿宋_GB2312" w:cs="仿宋_GB2312"/>
                <w:b/>
                <w:bCs/>
                <w:kern w:val="0"/>
                <w:szCs w:val="21"/>
                <w:lang w:bidi="ar"/>
              </w:rPr>
              <w:t>，</w:t>
            </w:r>
            <w:r>
              <w:rPr>
                <w:kern w:val="0"/>
                <w:szCs w:val="21"/>
                <w:lang w:bidi="ar"/>
              </w:rPr>
              <w:t>900-407-06</w:t>
            </w:r>
          </w:p>
        </w:tc>
        <w:tc>
          <w:tcPr>
            <w:tcW w:w="423" w:type="pct"/>
            <w:vMerge w:val="continue"/>
            <w:tcBorders>
              <w:tl2br w:val="nil"/>
              <w:tr2bl w:val="nil"/>
            </w:tcBorders>
            <w:vAlign w:val="center"/>
          </w:tcPr>
          <w:p w14:paraId="5689F686">
            <w:pPr>
              <w:widowControl/>
              <w:jc w:val="center"/>
              <w:rPr>
                <w:rFonts w:eastAsia="仿宋_GB2312"/>
                <w:kern w:val="0"/>
                <w:szCs w:val="21"/>
              </w:rPr>
            </w:pPr>
          </w:p>
        </w:tc>
        <w:tc>
          <w:tcPr>
            <w:tcW w:w="605" w:type="pct"/>
            <w:vMerge w:val="continue"/>
            <w:tcBorders>
              <w:tl2br w:val="nil"/>
              <w:tr2bl w:val="nil"/>
            </w:tcBorders>
            <w:vAlign w:val="center"/>
          </w:tcPr>
          <w:p w14:paraId="05C360FA">
            <w:pPr>
              <w:widowControl/>
              <w:jc w:val="center"/>
              <w:rPr>
                <w:rFonts w:eastAsia="仿宋_GB2312"/>
                <w:kern w:val="0"/>
                <w:szCs w:val="21"/>
              </w:rPr>
            </w:pPr>
          </w:p>
        </w:tc>
      </w:tr>
      <w:tr w14:paraId="595C69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3" w:type="pct"/>
            <w:vMerge w:val="restart"/>
            <w:tcBorders>
              <w:tl2br w:val="nil"/>
              <w:tr2bl w:val="nil"/>
            </w:tcBorders>
            <w:vAlign w:val="center"/>
          </w:tcPr>
          <w:p w14:paraId="54FBBE73">
            <w:pPr>
              <w:widowControl/>
              <w:jc w:val="center"/>
              <w:rPr>
                <w:rFonts w:eastAsia="仿宋_GB2312"/>
                <w:kern w:val="0"/>
                <w:szCs w:val="21"/>
              </w:rPr>
            </w:pPr>
            <w:r>
              <w:rPr>
                <w:rFonts w:eastAsia="仿宋_GB2312"/>
                <w:kern w:val="0"/>
                <w:szCs w:val="21"/>
              </w:rPr>
              <w:t>5</w:t>
            </w:r>
          </w:p>
        </w:tc>
        <w:tc>
          <w:tcPr>
            <w:tcW w:w="372" w:type="pct"/>
            <w:vMerge w:val="restart"/>
            <w:tcBorders>
              <w:tl2br w:val="nil"/>
              <w:tr2bl w:val="nil"/>
            </w:tcBorders>
            <w:vAlign w:val="center"/>
          </w:tcPr>
          <w:p w14:paraId="58C6298D">
            <w:pPr>
              <w:widowControl/>
              <w:jc w:val="center"/>
              <w:rPr>
                <w:rFonts w:eastAsia="仿宋_GB2312"/>
                <w:kern w:val="0"/>
                <w:szCs w:val="21"/>
              </w:rPr>
            </w:pPr>
            <w:r>
              <w:rPr>
                <w:rFonts w:eastAsia="仿宋_GB2312"/>
                <w:kern w:val="0"/>
                <w:szCs w:val="21"/>
              </w:rPr>
              <w:t>甲苯废液</w:t>
            </w:r>
          </w:p>
        </w:tc>
        <w:tc>
          <w:tcPr>
            <w:tcW w:w="394" w:type="pct"/>
            <w:tcBorders>
              <w:tl2br w:val="nil"/>
              <w:tr2bl w:val="nil"/>
            </w:tcBorders>
            <w:vAlign w:val="center"/>
          </w:tcPr>
          <w:p w14:paraId="4534F604">
            <w:pPr>
              <w:widowControl/>
              <w:jc w:val="center"/>
              <w:rPr>
                <w:rFonts w:eastAsia="仿宋_GB2312"/>
                <w:kern w:val="0"/>
                <w:szCs w:val="21"/>
              </w:rPr>
            </w:pPr>
            <w:r>
              <w:rPr>
                <w:rFonts w:eastAsia="仿宋_GB2312"/>
                <w:kern w:val="0"/>
                <w:szCs w:val="21"/>
              </w:rPr>
              <w:t>HW02</w:t>
            </w:r>
          </w:p>
        </w:tc>
        <w:tc>
          <w:tcPr>
            <w:tcW w:w="1042" w:type="pct"/>
            <w:tcBorders>
              <w:tl2br w:val="nil"/>
              <w:tr2bl w:val="nil"/>
            </w:tcBorders>
            <w:vAlign w:val="center"/>
          </w:tcPr>
          <w:p w14:paraId="1BCED198">
            <w:pPr>
              <w:widowControl/>
              <w:jc w:val="center"/>
              <w:rPr>
                <w:rFonts w:eastAsia="仿宋_GB2312"/>
                <w:kern w:val="0"/>
                <w:szCs w:val="21"/>
              </w:rPr>
            </w:pPr>
            <w:r>
              <w:rPr>
                <w:rFonts w:eastAsia="仿宋_GB2312"/>
                <w:kern w:val="0"/>
                <w:szCs w:val="21"/>
              </w:rPr>
              <w:t>271-001-02，271-002-02，</w:t>
            </w:r>
            <w:r>
              <w:rPr>
                <w:rFonts w:hint="eastAsia" w:eastAsia="仿宋_GB2312"/>
                <w:kern w:val="0"/>
                <w:szCs w:val="21"/>
              </w:rPr>
              <w:t>271-004-02，</w:t>
            </w:r>
            <w:r>
              <w:rPr>
                <w:rFonts w:eastAsia="仿宋_GB2312"/>
                <w:kern w:val="0"/>
                <w:szCs w:val="21"/>
              </w:rPr>
              <w:t>272-001-02，</w:t>
            </w:r>
            <w:r>
              <w:rPr>
                <w:rFonts w:hint="eastAsia" w:eastAsia="仿宋_GB2312"/>
                <w:kern w:val="0"/>
                <w:szCs w:val="21"/>
              </w:rPr>
              <w:t>272-003-02，275-004-02，275-005-02，</w:t>
            </w:r>
            <w:r>
              <w:rPr>
                <w:rFonts w:eastAsia="仿宋_GB2312"/>
                <w:kern w:val="0"/>
                <w:szCs w:val="21"/>
              </w:rPr>
              <w:t>276-001-02，276-002-02</w:t>
            </w:r>
            <w:r>
              <w:rPr>
                <w:rFonts w:hint="eastAsia" w:eastAsia="仿宋_GB2312"/>
                <w:kern w:val="0"/>
                <w:szCs w:val="21"/>
              </w:rPr>
              <w:t>，276-004-02</w:t>
            </w:r>
          </w:p>
        </w:tc>
        <w:tc>
          <w:tcPr>
            <w:tcW w:w="465" w:type="pct"/>
            <w:vMerge w:val="restart"/>
            <w:tcBorders>
              <w:tl2br w:val="nil"/>
              <w:tr2bl w:val="nil"/>
            </w:tcBorders>
            <w:vAlign w:val="center"/>
          </w:tcPr>
          <w:p w14:paraId="684B7B66">
            <w:pPr>
              <w:widowControl/>
              <w:jc w:val="center"/>
              <w:rPr>
                <w:rFonts w:eastAsia="仿宋_GB2312"/>
                <w:kern w:val="0"/>
                <w:szCs w:val="21"/>
              </w:rPr>
            </w:pPr>
            <w:r>
              <w:rPr>
                <w:rFonts w:eastAsia="仿宋_GB2312"/>
                <w:kern w:val="0"/>
                <w:szCs w:val="21"/>
              </w:rPr>
              <w:t>2155</w:t>
            </w:r>
          </w:p>
        </w:tc>
        <w:tc>
          <w:tcPr>
            <w:tcW w:w="384" w:type="pct"/>
            <w:tcBorders>
              <w:tl2br w:val="nil"/>
              <w:tr2bl w:val="nil"/>
            </w:tcBorders>
            <w:shd w:val="clear" w:color="auto" w:fill="auto"/>
            <w:vAlign w:val="center"/>
          </w:tcPr>
          <w:p w14:paraId="32C9E753">
            <w:pPr>
              <w:widowControl/>
              <w:jc w:val="center"/>
              <w:textAlignment w:val="center"/>
              <w:rPr>
                <w:rFonts w:eastAsia="仿宋_GB2312"/>
                <w:kern w:val="0"/>
                <w:szCs w:val="21"/>
              </w:rPr>
            </w:pPr>
            <w:r>
              <w:rPr>
                <w:kern w:val="0"/>
                <w:szCs w:val="21"/>
                <w:lang w:bidi="ar"/>
              </w:rPr>
              <w:t>HW02</w:t>
            </w:r>
          </w:p>
        </w:tc>
        <w:tc>
          <w:tcPr>
            <w:tcW w:w="1059" w:type="pct"/>
            <w:tcBorders>
              <w:tl2br w:val="nil"/>
              <w:tr2bl w:val="nil"/>
            </w:tcBorders>
            <w:shd w:val="clear" w:color="auto" w:fill="auto"/>
            <w:vAlign w:val="center"/>
          </w:tcPr>
          <w:p w14:paraId="06BC2AE1">
            <w:pPr>
              <w:widowControl/>
              <w:jc w:val="center"/>
              <w:textAlignment w:val="center"/>
              <w:rPr>
                <w:rFonts w:eastAsia="仿宋_GB2312"/>
                <w:kern w:val="0"/>
                <w:szCs w:val="21"/>
              </w:rPr>
            </w:pPr>
            <w:r>
              <w:rPr>
                <w:kern w:val="0"/>
                <w:szCs w:val="21"/>
                <w:lang w:bidi="ar"/>
              </w:rPr>
              <w:t>271-001-02</w:t>
            </w:r>
            <w:r>
              <w:rPr>
                <w:rFonts w:ascii="仿宋_GB2312" w:eastAsia="仿宋_GB2312" w:cs="仿宋_GB2312"/>
                <w:kern w:val="0"/>
                <w:szCs w:val="21"/>
                <w:lang w:bidi="ar"/>
              </w:rPr>
              <w:t>，</w:t>
            </w:r>
            <w:r>
              <w:rPr>
                <w:kern w:val="0"/>
                <w:szCs w:val="21"/>
                <w:lang w:bidi="ar"/>
              </w:rPr>
              <w:t>271-002-02</w:t>
            </w:r>
            <w:r>
              <w:rPr>
                <w:rFonts w:ascii="仿宋_GB2312" w:eastAsia="仿宋_GB2312" w:cs="仿宋_GB2312"/>
                <w:kern w:val="0"/>
                <w:szCs w:val="21"/>
                <w:lang w:bidi="ar"/>
              </w:rPr>
              <w:t>，</w:t>
            </w:r>
            <w:r>
              <w:rPr>
                <w:kern w:val="0"/>
                <w:szCs w:val="21"/>
                <w:lang w:bidi="ar"/>
              </w:rPr>
              <w:t>272-001-02</w:t>
            </w:r>
            <w:r>
              <w:rPr>
                <w:rFonts w:ascii="仿宋_GB2312" w:eastAsia="仿宋_GB2312" w:cs="仿宋_GB2312"/>
                <w:kern w:val="0"/>
                <w:szCs w:val="21"/>
                <w:lang w:bidi="ar"/>
              </w:rPr>
              <w:t>，</w:t>
            </w:r>
            <w:r>
              <w:rPr>
                <w:b/>
                <w:bCs/>
                <w:kern w:val="0"/>
                <w:szCs w:val="21"/>
                <w:lang w:bidi="ar"/>
              </w:rPr>
              <w:t>272-00</w:t>
            </w:r>
            <w:r>
              <w:rPr>
                <w:rFonts w:hint="eastAsia"/>
                <w:b/>
                <w:bCs/>
                <w:kern w:val="0"/>
                <w:szCs w:val="21"/>
                <w:lang w:val="en-US" w:eastAsia="zh-CN" w:bidi="ar"/>
              </w:rPr>
              <w:t>5</w:t>
            </w:r>
            <w:r>
              <w:rPr>
                <w:b/>
                <w:bCs/>
                <w:kern w:val="0"/>
                <w:szCs w:val="21"/>
                <w:lang w:bidi="ar"/>
              </w:rPr>
              <w:t>-02</w:t>
            </w:r>
            <w:r>
              <w:rPr>
                <w:rFonts w:ascii="仿宋_GB2312" w:eastAsia="仿宋_GB2312" w:cs="仿宋_GB2312"/>
                <w:kern w:val="0"/>
                <w:szCs w:val="21"/>
                <w:lang w:bidi="ar"/>
              </w:rPr>
              <w:t>，</w:t>
            </w:r>
            <w:r>
              <w:rPr>
                <w:kern w:val="0"/>
                <w:szCs w:val="21"/>
                <w:lang w:bidi="ar"/>
              </w:rPr>
              <w:t>275-004-02</w:t>
            </w:r>
            <w:r>
              <w:rPr>
                <w:rFonts w:ascii="仿宋_GB2312" w:eastAsia="仿宋_GB2312" w:cs="仿宋_GB2312"/>
                <w:kern w:val="0"/>
                <w:szCs w:val="21"/>
                <w:lang w:bidi="ar"/>
              </w:rPr>
              <w:t>，</w:t>
            </w:r>
            <w:r>
              <w:rPr>
                <w:b/>
                <w:bCs/>
                <w:kern w:val="0"/>
                <w:szCs w:val="21"/>
                <w:lang w:bidi="ar"/>
              </w:rPr>
              <w:t>275-00</w:t>
            </w:r>
            <w:r>
              <w:rPr>
                <w:rFonts w:hint="eastAsia"/>
                <w:b/>
                <w:bCs/>
                <w:kern w:val="0"/>
                <w:szCs w:val="21"/>
                <w:lang w:val="en-US" w:eastAsia="zh-CN" w:bidi="ar"/>
              </w:rPr>
              <w:t>6</w:t>
            </w:r>
            <w:r>
              <w:rPr>
                <w:b/>
                <w:bCs/>
                <w:kern w:val="0"/>
                <w:szCs w:val="21"/>
                <w:lang w:bidi="ar"/>
              </w:rPr>
              <w:t>-02</w:t>
            </w:r>
            <w:r>
              <w:rPr>
                <w:rFonts w:ascii="仿宋_GB2312" w:eastAsia="仿宋_GB2312" w:cs="仿宋_GB2312"/>
                <w:kern w:val="0"/>
                <w:szCs w:val="21"/>
                <w:lang w:bidi="ar"/>
              </w:rPr>
              <w:t>，</w:t>
            </w:r>
            <w:r>
              <w:rPr>
                <w:kern w:val="0"/>
                <w:szCs w:val="21"/>
                <w:lang w:bidi="ar"/>
              </w:rPr>
              <w:t>276-001-02</w:t>
            </w:r>
            <w:r>
              <w:rPr>
                <w:rFonts w:ascii="仿宋_GB2312" w:eastAsia="仿宋_GB2312" w:cs="仿宋_GB2312"/>
                <w:kern w:val="0"/>
                <w:szCs w:val="21"/>
                <w:lang w:bidi="ar"/>
              </w:rPr>
              <w:t>，</w:t>
            </w:r>
            <w:r>
              <w:rPr>
                <w:kern w:val="0"/>
                <w:szCs w:val="21"/>
                <w:lang w:bidi="ar"/>
              </w:rPr>
              <w:t>276-002-02</w:t>
            </w:r>
            <w:r>
              <w:rPr>
                <w:rFonts w:ascii="仿宋_GB2312" w:eastAsia="仿宋_GB2312" w:cs="仿宋_GB2312"/>
                <w:kern w:val="0"/>
                <w:szCs w:val="21"/>
                <w:lang w:bidi="ar"/>
              </w:rPr>
              <w:t>，</w:t>
            </w:r>
            <w:r>
              <w:rPr>
                <w:b/>
                <w:bCs/>
                <w:kern w:val="0"/>
                <w:szCs w:val="21"/>
                <w:lang w:bidi="ar"/>
              </w:rPr>
              <w:t>276-00</w:t>
            </w:r>
            <w:r>
              <w:rPr>
                <w:rFonts w:hint="eastAsia"/>
                <w:b/>
                <w:bCs/>
                <w:kern w:val="0"/>
                <w:szCs w:val="21"/>
                <w:lang w:val="en-US" w:eastAsia="zh-CN" w:bidi="ar"/>
              </w:rPr>
              <w:t>5</w:t>
            </w:r>
            <w:r>
              <w:rPr>
                <w:b/>
                <w:bCs/>
                <w:kern w:val="0"/>
                <w:szCs w:val="21"/>
                <w:lang w:bidi="ar"/>
              </w:rPr>
              <w:t>-02</w:t>
            </w:r>
          </w:p>
        </w:tc>
        <w:tc>
          <w:tcPr>
            <w:tcW w:w="423" w:type="pct"/>
            <w:vMerge w:val="restart"/>
            <w:tcBorders>
              <w:tl2br w:val="nil"/>
              <w:tr2bl w:val="nil"/>
            </w:tcBorders>
            <w:vAlign w:val="center"/>
          </w:tcPr>
          <w:p w14:paraId="7BC5B767">
            <w:pPr>
              <w:widowControl/>
              <w:jc w:val="center"/>
              <w:rPr>
                <w:rFonts w:eastAsia="仿宋_GB2312"/>
                <w:kern w:val="0"/>
                <w:szCs w:val="21"/>
              </w:rPr>
            </w:pPr>
            <w:r>
              <w:rPr>
                <w:rFonts w:hint="eastAsia" w:eastAsia="仿宋_GB2312"/>
                <w:kern w:val="0"/>
                <w:szCs w:val="21"/>
              </w:rPr>
              <w:t>5155</w:t>
            </w:r>
          </w:p>
        </w:tc>
        <w:tc>
          <w:tcPr>
            <w:tcW w:w="605" w:type="pct"/>
            <w:vMerge w:val="restart"/>
            <w:tcBorders>
              <w:tl2br w:val="nil"/>
              <w:tr2bl w:val="nil"/>
            </w:tcBorders>
            <w:vAlign w:val="center"/>
          </w:tcPr>
          <w:p w14:paraId="6B19D710">
            <w:pPr>
              <w:widowControl/>
              <w:jc w:val="center"/>
              <w:rPr>
                <w:rFonts w:eastAsia="仿宋_GB2312"/>
                <w:kern w:val="0"/>
                <w:szCs w:val="21"/>
              </w:rPr>
            </w:pPr>
            <w:r>
              <w:rPr>
                <w:rFonts w:eastAsia="仿宋_GB2312"/>
                <w:bCs/>
              </w:rPr>
              <w:t>回收综合利用量增加，危废代码增加</w:t>
            </w:r>
          </w:p>
        </w:tc>
      </w:tr>
      <w:tr w14:paraId="5B8A0C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3" w:type="pct"/>
            <w:vMerge w:val="continue"/>
            <w:tcBorders>
              <w:tl2br w:val="nil"/>
              <w:tr2bl w:val="nil"/>
            </w:tcBorders>
            <w:vAlign w:val="center"/>
          </w:tcPr>
          <w:p w14:paraId="4941F111">
            <w:pPr>
              <w:widowControl/>
              <w:jc w:val="center"/>
              <w:rPr>
                <w:rFonts w:eastAsia="仿宋_GB2312"/>
                <w:kern w:val="0"/>
                <w:szCs w:val="21"/>
              </w:rPr>
            </w:pPr>
          </w:p>
        </w:tc>
        <w:tc>
          <w:tcPr>
            <w:tcW w:w="372" w:type="pct"/>
            <w:vMerge w:val="continue"/>
            <w:tcBorders>
              <w:tl2br w:val="nil"/>
              <w:tr2bl w:val="nil"/>
            </w:tcBorders>
            <w:vAlign w:val="center"/>
          </w:tcPr>
          <w:p w14:paraId="01C9F771">
            <w:pPr>
              <w:widowControl/>
              <w:jc w:val="center"/>
              <w:rPr>
                <w:rFonts w:eastAsia="仿宋_GB2312"/>
                <w:kern w:val="0"/>
                <w:szCs w:val="21"/>
              </w:rPr>
            </w:pPr>
          </w:p>
        </w:tc>
        <w:tc>
          <w:tcPr>
            <w:tcW w:w="394" w:type="pct"/>
            <w:tcBorders>
              <w:tl2br w:val="nil"/>
              <w:tr2bl w:val="nil"/>
            </w:tcBorders>
            <w:shd w:val="clear" w:color="auto" w:fill="auto"/>
            <w:vAlign w:val="center"/>
          </w:tcPr>
          <w:p w14:paraId="3C264A7F">
            <w:pPr>
              <w:widowControl/>
              <w:jc w:val="center"/>
              <w:rPr>
                <w:rFonts w:eastAsia="仿宋_GB2312"/>
                <w:kern w:val="0"/>
                <w:szCs w:val="21"/>
              </w:rPr>
            </w:pPr>
            <w:r>
              <w:rPr>
                <w:rFonts w:hint="eastAsia" w:eastAsia="仿宋_GB2312"/>
                <w:kern w:val="0"/>
                <w:szCs w:val="21"/>
              </w:rPr>
              <w:t>/</w:t>
            </w:r>
          </w:p>
        </w:tc>
        <w:tc>
          <w:tcPr>
            <w:tcW w:w="1042" w:type="pct"/>
            <w:tcBorders>
              <w:tl2br w:val="nil"/>
              <w:tr2bl w:val="nil"/>
            </w:tcBorders>
            <w:shd w:val="clear" w:color="auto" w:fill="auto"/>
            <w:vAlign w:val="center"/>
          </w:tcPr>
          <w:p w14:paraId="2404B691">
            <w:pPr>
              <w:widowControl/>
              <w:jc w:val="center"/>
              <w:rPr>
                <w:rFonts w:eastAsia="仿宋_GB2312"/>
                <w:kern w:val="0"/>
                <w:szCs w:val="21"/>
              </w:rPr>
            </w:pPr>
            <w:r>
              <w:rPr>
                <w:rFonts w:hint="eastAsia" w:eastAsia="仿宋_GB2312"/>
                <w:kern w:val="0"/>
                <w:szCs w:val="21"/>
              </w:rPr>
              <w:t>/</w:t>
            </w:r>
          </w:p>
        </w:tc>
        <w:tc>
          <w:tcPr>
            <w:tcW w:w="465" w:type="pct"/>
            <w:vMerge w:val="continue"/>
            <w:tcBorders>
              <w:tl2br w:val="nil"/>
              <w:tr2bl w:val="nil"/>
            </w:tcBorders>
            <w:vAlign w:val="center"/>
          </w:tcPr>
          <w:p w14:paraId="63DCADA5">
            <w:pPr>
              <w:widowControl/>
              <w:jc w:val="center"/>
              <w:rPr>
                <w:rFonts w:eastAsia="仿宋_GB2312"/>
                <w:kern w:val="0"/>
                <w:szCs w:val="21"/>
              </w:rPr>
            </w:pPr>
          </w:p>
        </w:tc>
        <w:tc>
          <w:tcPr>
            <w:tcW w:w="384" w:type="pct"/>
            <w:tcBorders>
              <w:tl2br w:val="nil"/>
              <w:tr2bl w:val="nil"/>
            </w:tcBorders>
            <w:shd w:val="clear" w:color="auto" w:fill="auto"/>
            <w:vAlign w:val="center"/>
          </w:tcPr>
          <w:p w14:paraId="23FE6C08">
            <w:pPr>
              <w:widowControl/>
              <w:jc w:val="center"/>
              <w:textAlignment w:val="center"/>
              <w:rPr>
                <w:rFonts w:eastAsia="仿宋_GB2312"/>
                <w:kern w:val="0"/>
                <w:szCs w:val="21"/>
              </w:rPr>
            </w:pPr>
            <w:r>
              <w:rPr>
                <w:b/>
                <w:bCs/>
                <w:kern w:val="0"/>
                <w:szCs w:val="21"/>
                <w:lang w:bidi="ar"/>
              </w:rPr>
              <w:t>HW04</w:t>
            </w:r>
          </w:p>
        </w:tc>
        <w:tc>
          <w:tcPr>
            <w:tcW w:w="1059" w:type="pct"/>
            <w:tcBorders>
              <w:tl2br w:val="nil"/>
              <w:tr2bl w:val="nil"/>
            </w:tcBorders>
            <w:shd w:val="clear" w:color="auto" w:fill="auto"/>
            <w:vAlign w:val="center"/>
          </w:tcPr>
          <w:p w14:paraId="7283479E">
            <w:pPr>
              <w:widowControl/>
              <w:jc w:val="center"/>
              <w:textAlignment w:val="center"/>
              <w:rPr>
                <w:rFonts w:eastAsia="仿宋_GB2312"/>
                <w:kern w:val="0"/>
                <w:szCs w:val="21"/>
              </w:rPr>
            </w:pPr>
            <w:r>
              <w:rPr>
                <w:b/>
                <w:bCs/>
                <w:kern w:val="0"/>
                <w:szCs w:val="21"/>
                <w:lang w:bidi="ar"/>
              </w:rPr>
              <w:t>263-008-04</w:t>
            </w:r>
          </w:p>
        </w:tc>
        <w:tc>
          <w:tcPr>
            <w:tcW w:w="423" w:type="pct"/>
            <w:vMerge w:val="continue"/>
            <w:tcBorders>
              <w:tl2br w:val="nil"/>
              <w:tr2bl w:val="nil"/>
            </w:tcBorders>
            <w:vAlign w:val="center"/>
          </w:tcPr>
          <w:p w14:paraId="315F7B00">
            <w:pPr>
              <w:widowControl/>
              <w:jc w:val="center"/>
              <w:rPr>
                <w:rFonts w:eastAsia="仿宋_GB2312"/>
                <w:kern w:val="0"/>
                <w:szCs w:val="21"/>
              </w:rPr>
            </w:pPr>
          </w:p>
        </w:tc>
        <w:tc>
          <w:tcPr>
            <w:tcW w:w="605" w:type="pct"/>
            <w:vMerge w:val="continue"/>
            <w:tcBorders>
              <w:tl2br w:val="nil"/>
              <w:tr2bl w:val="nil"/>
            </w:tcBorders>
            <w:vAlign w:val="center"/>
          </w:tcPr>
          <w:p w14:paraId="36FE798E">
            <w:pPr>
              <w:widowControl/>
              <w:jc w:val="center"/>
              <w:rPr>
                <w:rFonts w:eastAsia="仿宋_GB2312"/>
                <w:bCs/>
              </w:rPr>
            </w:pPr>
          </w:p>
        </w:tc>
      </w:tr>
      <w:tr w14:paraId="01EB4F8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3" w:type="pct"/>
            <w:vMerge w:val="continue"/>
            <w:tcBorders>
              <w:tl2br w:val="nil"/>
              <w:tr2bl w:val="nil"/>
            </w:tcBorders>
            <w:vAlign w:val="center"/>
          </w:tcPr>
          <w:p w14:paraId="5A0156FC">
            <w:pPr>
              <w:widowControl/>
              <w:jc w:val="center"/>
              <w:rPr>
                <w:rFonts w:eastAsia="仿宋_GB2312"/>
                <w:kern w:val="0"/>
                <w:szCs w:val="21"/>
              </w:rPr>
            </w:pPr>
          </w:p>
        </w:tc>
        <w:tc>
          <w:tcPr>
            <w:tcW w:w="372" w:type="pct"/>
            <w:vMerge w:val="continue"/>
            <w:tcBorders>
              <w:tl2br w:val="nil"/>
              <w:tr2bl w:val="nil"/>
            </w:tcBorders>
            <w:vAlign w:val="center"/>
          </w:tcPr>
          <w:p w14:paraId="0072F670">
            <w:pPr>
              <w:widowControl/>
              <w:jc w:val="center"/>
              <w:rPr>
                <w:rFonts w:eastAsia="仿宋_GB2312"/>
                <w:kern w:val="0"/>
                <w:szCs w:val="21"/>
              </w:rPr>
            </w:pPr>
          </w:p>
        </w:tc>
        <w:tc>
          <w:tcPr>
            <w:tcW w:w="394" w:type="pct"/>
            <w:tcBorders>
              <w:tl2br w:val="nil"/>
              <w:tr2bl w:val="nil"/>
            </w:tcBorders>
            <w:vAlign w:val="center"/>
          </w:tcPr>
          <w:p w14:paraId="5564E7F3">
            <w:pPr>
              <w:widowControl/>
              <w:jc w:val="center"/>
              <w:rPr>
                <w:rFonts w:eastAsia="仿宋_GB2312"/>
                <w:kern w:val="0"/>
                <w:szCs w:val="21"/>
              </w:rPr>
            </w:pPr>
            <w:r>
              <w:rPr>
                <w:rFonts w:eastAsia="仿宋_GB2312"/>
                <w:kern w:val="0"/>
                <w:szCs w:val="21"/>
              </w:rPr>
              <w:t>HW06</w:t>
            </w:r>
          </w:p>
        </w:tc>
        <w:tc>
          <w:tcPr>
            <w:tcW w:w="1042" w:type="pct"/>
            <w:tcBorders>
              <w:tl2br w:val="nil"/>
              <w:tr2bl w:val="nil"/>
            </w:tcBorders>
            <w:vAlign w:val="center"/>
          </w:tcPr>
          <w:p w14:paraId="1B233723">
            <w:pPr>
              <w:widowControl/>
              <w:jc w:val="center"/>
              <w:rPr>
                <w:rFonts w:eastAsia="仿宋_GB2312"/>
                <w:kern w:val="0"/>
                <w:szCs w:val="21"/>
              </w:rPr>
            </w:pPr>
            <w:r>
              <w:rPr>
                <w:rFonts w:eastAsia="仿宋_GB2312"/>
                <w:kern w:val="0"/>
                <w:szCs w:val="21"/>
              </w:rPr>
              <w:t>900-402-06，900-404-06，900-407-06</w:t>
            </w:r>
          </w:p>
        </w:tc>
        <w:tc>
          <w:tcPr>
            <w:tcW w:w="465" w:type="pct"/>
            <w:vMerge w:val="continue"/>
            <w:tcBorders>
              <w:tl2br w:val="nil"/>
              <w:tr2bl w:val="nil"/>
            </w:tcBorders>
            <w:vAlign w:val="center"/>
          </w:tcPr>
          <w:p w14:paraId="31070133">
            <w:pPr>
              <w:widowControl/>
              <w:jc w:val="center"/>
              <w:rPr>
                <w:rFonts w:eastAsia="仿宋_GB2312"/>
                <w:kern w:val="0"/>
                <w:szCs w:val="21"/>
              </w:rPr>
            </w:pPr>
          </w:p>
        </w:tc>
        <w:tc>
          <w:tcPr>
            <w:tcW w:w="384" w:type="pct"/>
            <w:tcBorders>
              <w:tl2br w:val="nil"/>
              <w:tr2bl w:val="nil"/>
            </w:tcBorders>
            <w:shd w:val="clear" w:color="auto" w:fill="auto"/>
            <w:vAlign w:val="center"/>
          </w:tcPr>
          <w:p w14:paraId="74C5BFF1">
            <w:pPr>
              <w:widowControl/>
              <w:jc w:val="center"/>
              <w:textAlignment w:val="center"/>
              <w:rPr>
                <w:rFonts w:eastAsia="仿宋_GB2312"/>
                <w:kern w:val="0"/>
                <w:szCs w:val="21"/>
              </w:rPr>
            </w:pPr>
            <w:r>
              <w:rPr>
                <w:kern w:val="0"/>
                <w:szCs w:val="21"/>
                <w:lang w:bidi="ar"/>
              </w:rPr>
              <w:t>HW06</w:t>
            </w:r>
          </w:p>
        </w:tc>
        <w:tc>
          <w:tcPr>
            <w:tcW w:w="1059" w:type="pct"/>
            <w:tcBorders>
              <w:tl2br w:val="nil"/>
              <w:tr2bl w:val="nil"/>
            </w:tcBorders>
            <w:shd w:val="clear" w:color="auto" w:fill="auto"/>
            <w:vAlign w:val="center"/>
          </w:tcPr>
          <w:p w14:paraId="61616627">
            <w:pPr>
              <w:widowControl/>
              <w:jc w:val="center"/>
              <w:textAlignment w:val="center"/>
              <w:rPr>
                <w:rFonts w:eastAsia="仿宋_GB2312"/>
                <w:kern w:val="0"/>
                <w:szCs w:val="21"/>
              </w:rPr>
            </w:pPr>
            <w:r>
              <w:rPr>
                <w:kern w:val="0"/>
                <w:szCs w:val="21"/>
                <w:lang w:bidi="ar"/>
              </w:rPr>
              <w:t>900-402-06</w:t>
            </w:r>
            <w:r>
              <w:rPr>
                <w:rFonts w:ascii="仿宋_GB2312" w:eastAsia="仿宋_GB2312" w:cs="仿宋_GB2312"/>
                <w:kern w:val="0"/>
                <w:szCs w:val="21"/>
                <w:lang w:bidi="ar"/>
              </w:rPr>
              <w:t>，</w:t>
            </w:r>
            <w:r>
              <w:rPr>
                <w:kern w:val="0"/>
                <w:szCs w:val="21"/>
                <w:lang w:bidi="ar"/>
              </w:rPr>
              <w:t>900-404-06</w:t>
            </w:r>
            <w:r>
              <w:rPr>
                <w:rFonts w:ascii="仿宋_GB2312" w:eastAsia="仿宋_GB2312" w:cs="仿宋_GB2312"/>
                <w:kern w:val="0"/>
                <w:szCs w:val="21"/>
                <w:lang w:bidi="ar"/>
              </w:rPr>
              <w:t>，</w:t>
            </w:r>
            <w:r>
              <w:rPr>
                <w:kern w:val="0"/>
                <w:szCs w:val="21"/>
                <w:lang w:bidi="ar"/>
              </w:rPr>
              <w:t>900-407-06</w:t>
            </w:r>
          </w:p>
        </w:tc>
        <w:tc>
          <w:tcPr>
            <w:tcW w:w="423" w:type="pct"/>
            <w:vMerge w:val="continue"/>
            <w:tcBorders>
              <w:tl2br w:val="nil"/>
              <w:tr2bl w:val="nil"/>
            </w:tcBorders>
            <w:vAlign w:val="center"/>
          </w:tcPr>
          <w:p w14:paraId="7098CBB1">
            <w:pPr>
              <w:widowControl/>
              <w:jc w:val="center"/>
              <w:rPr>
                <w:rFonts w:eastAsia="仿宋_GB2312"/>
                <w:kern w:val="0"/>
                <w:szCs w:val="21"/>
              </w:rPr>
            </w:pPr>
          </w:p>
        </w:tc>
        <w:tc>
          <w:tcPr>
            <w:tcW w:w="605" w:type="pct"/>
            <w:vMerge w:val="continue"/>
            <w:tcBorders>
              <w:tl2br w:val="nil"/>
              <w:tr2bl w:val="nil"/>
            </w:tcBorders>
            <w:vAlign w:val="center"/>
          </w:tcPr>
          <w:p w14:paraId="30CB4A3A">
            <w:pPr>
              <w:widowControl/>
              <w:jc w:val="center"/>
              <w:rPr>
                <w:rFonts w:eastAsia="仿宋_GB2312"/>
                <w:kern w:val="0"/>
                <w:szCs w:val="21"/>
              </w:rPr>
            </w:pPr>
          </w:p>
        </w:tc>
      </w:tr>
      <w:tr w14:paraId="65E4BC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3" w:type="pct"/>
            <w:vMerge w:val="continue"/>
            <w:tcBorders>
              <w:tl2br w:val="nil"/>
              <w:tr2bl w:val="nil"/>
            </w:tcBorders>
            <w:vAlign w:val="center"/>
          </w:tcPr>
          <w:p w14:paraId="3B572B03">
            <w:pPr>
              <w:widowControl/>
              <w:jc w:val="center"/>
              <w:rPr>
                <w:rFonts w:eastAsia="仿宋_GB2312"/>
                <w:kern w:val="0"/>
                <w:szCs w:val="21"/>
              </w:rPr>
            </w:pPr>
          </w:p>
        </w:tc>
        <w:tc>
          <w:tcPr>
            <w:tcW w:w="372" w:type="pct"/>
            <w:vMerge w:val="continue"/>
            <w:tcBorders>
              <w:tl2br w:val="nil"/>
              <w:tr2bl w:val="nil"/>
            </w:tcBorders>
            <w:vAlign w:val="center"/>
          </w:tcPr>
          <w:p w14:paraId="1A19EFAE">
            <w:pPr>
              <w:widowControl/>
              <w:jc w:val="center"/>
              <w:rPr>
                <w:rFonts w:eastAsia="仿宋_GB2312"/>
                <w:kern w:val="0"/>
                <w:szCs w:val="21"/>
              </w:rPr>
            </w:pPr>
          </w:p>
        </w:tc>
        <w:tc>
          <w:tcPr>
            <w:tcW w:w="394" w:type="pct"/>
            <w:tcBorders>
              <w:tl2br w:val="nil"/>
              <w:tr2bl w:val="nil"/>
            </w:tcBorders>
            <w:vAlign w:val="center"/>
          </w:tcPr>
          <w:p w14:paraId="700CABAB">
            <w:pPr>
              <w:widowControl/>
              <w:jc w:val="center"/>
              <w:rPr>
                <w:rFonts w:eastAsia="仿宋_GB2312"/>
                <w:kern w:val="0"/>
                <w:szCs w:val="21"/>
              </w:rPr>
            </w:pPr>
            <w:r>
              <w:rPr>
                <w:rFonts w:eastAsia="仿宋_GB2312"/>
                <w:kern w:val="0"/>
                <w:szCs w:val="21"/>
              </w:rPr>
              <w:t>HW11</w:t>
            </w:r>
          </w:p>
        </w:tc>
        <w:tc>
          <w:tcPr>
            <w:tcW w:w="1042" w:type="pct"/>
            <w:tcBorders>
              <w:tl2br w:val="nil"/>
              <w:tr2bl w:val="nil"/>
            </w:tcBorders>
            <w:vAlign w:val="center"/>
          </w:tcPr>
          <w:p w14:paraId="3122A793">
            <w:pPr>
              <w:widowControl/>
              <w:jc w:val="center"/>
              <w:rPr>
                <w:rFonts w:eastAsia="仿宋_GB2312"/>
                <w:kern w:val="0"/>
                <w:szCs w:val="21"/>
              </w:rPr>
            </w:pPr>
            <w:r>
              <w:rPr>
                <w:rFonts w:eastAsia="仿宋_GB2312"/>
                <w:kern w:val="0"/>
                <w:szCs w:val="21"/>
              </w:rPr>
              <w:t>900-013-11，261-128-11，261-129-11，261-130-11，261-013-11，261-031-11</w:t>
            </w:r>
          </w:p>
        </w:tc>
        <w:tc>
          <w:tcPr>
            <w:tcW w:w="465" w:type="pct"/>
            <w:vMerge w:val="continue"/>
            <w:tcBorders>
              <w:tl2br w:val="nil"/>
              <w:tr2bl w:val="nil"/>
            </w:tcBorders>
            <w:vAlign w:val="center"/>
          </w:tcPr>
          <w:p w14:paraId="19836DF9">
            <w:pPr>
              <w:widowControl/>
              <w:jc w:val="center"/>
              <w:rPr>
                <w:rFonts w:eastAsia="仿宋_GB2312"/>
                <w:kern w:val="0"/>
                <w:szCs w:val="21"/>
              </w:rPr>
            </w:pPr>
          </w:p>
        </w:tc>
        <w:tc>
          <w:tcPr>
            <w:tcW w:w="384" w:type="pct"/>
            <w:tcBorders>
              <w:tl2br w:val="nil"/>
              <w:tr2bl w:val="nil"/>
            </w:tcBorders>
            <w:shd w:val="clear" w:color="auto" w:fill="auto"/>
            <w:vAlign w:val="center"/>
          </w:tcPr>
          <w:p w14:paraId="621EAC71">
            <w:pPr>
              <w:widowControl/>
              <w:jc w:val="center"/>
              <w:textAlignment w:val="center"/>
              <w:rPr>
                <w:rFonts w:eastAsia="仿宋_GB2312"/>
                <w:kern w:val="0"/>
                <w:szCs w:val="21"/>
              </w:rPr>
            </w:pPr>
            <w:r>
              <w:rPr>
                <w:kern w:val="0"/>
                <w:szCs w:val="21"/>
                <w:lang w:bidi="ar"/>
              </w:rPr>
              <w:t>HW11</w:t>
            </w:r>
          </w:p>
        </w:tc>
        <w:tc>
          <w:tcPr>
            <w:tcW w:w="1059" w:type="pct"/>
            <w:tcBorders>
              <w:tl2br w:val="nil"/>
              <w:tr2bl w:val="nil"/>
            </w:tcBorders>
            <w:shd w:val="clear" w:color="auto" w:fill="auto"/>
            <w:vAlign w:val="center"/>
          </w:tcPr>
          <w:p w14:paraId="4DCA53BA">
            <w:pPr>
              <w:widowControl/>
              <w:jc w:val="center"/>
              <w:textAlignment w:val="center"/>
              <w:rPr>
                <w:rFonts w:eastAsia="仿宋_GB2312"/>
                <w:kern w:val="0"/>
                <w:szCs w:val="21"/>
              </w:rPr>
            </w:pPr>
            <w:r>
              <w:rPr>
                <w:kern w:val="0"/>
                <w:szCs w:val="21"/>
                <w:lang w:bidi="ar"/>
              </w:rPr>
              <w:t>900-013-11</w:t>
            </w:r>
            <w:r>
              <w:rPr>
                <w:rFonts w:ascii="仿宋_GB2312" w:eastAsia="仿宋_GB2312" w:cs="仿宋_GB2312"/>
                <w:kern w:val="0"/>
                <w:szCs w:val="21"/>
                <w:lang w:bidi="ar"/>
              </w:rPr>
              <w:t>，</w:t>
            </w:r>
            <w:r>
              <w:rPr>
                <w:kern w:val="0"/>
                <w:szCs w:val="21"/>
                <w:lang w:bidi="ar"/>
              </w:rPr>
              <w:t>261-128-11</w:t>
            </w:r>
            <w:r>
              <w:rPr>
                <w:rFonts w:ascii="仿宋_GB2312" w:eastAsia="仿宋_GB2312" w:cs="仿宋_GB2312"/>
                <w:kern w:val="0"/>
                <w:szCs w:val="21"/>
                <w:lang w:bidi="ar"/>
              </w:rPr>
              <w:t>，</w:t>
            </w:r>
            <w:r>
              <w:rPr>
                <w:kern w:val="0"/>
                <w:szCs w:val="21"/>
                <w:lang w:bidi="ar"/>
              </w:rPr>
              <w:t>261-129-11</w:t>
            </w:r>
            <w:r>
              <w:rPr>
                <w:rFonts w:ascii="仿宋_GB2312" w:eastAsia="仿宋_GB2312" w:cs="仿宋_GB2312"/>
                <w:kern w:val="0"/>
                <w:szCs w:val="21"/>
                <w:lang w:bidi="ar"/>
              </w:rPr>
              <w:t>，</w:t>
            </w:r>
            <w:r>
              <w:rPr>
                <w:kern w:val="0"/>
                <w:szCs w:val="21"/>
                <w:lang w:bidi="ar"/>
              </w:rPr>
              <w:t>261-130-11</w:t>
            </w:r>
            <w:r>
              <w:rPr>
                <w:rFonts w:ascii="仿宋_GB2312" w:eastAsia="仿宋_GB2312" w:cs="仿宋_GB2312"/>
                <w:kern w:val="0"/>
                <w:szCs w:val="21"/>
                <w:lang w:bidi="ar"/>
              </w:rPr>
              <w:t>，</w:t>
            </w:r>
            <w:r>
              <w:rPr>
                <w:kern w:val="0"/>
                <w:szCs w:val="21"/>
                <w:lang w:bidi="ar"/>
              </w:rPr>
              <w:t>261-013-11</w:t>
            </w:r>
            <w:r>
              <w:rPr>
                <w:rFonts w:ascii="仿宋_GB2312" w:eastAsia="仿宋_GB2312" w:cs="仿宋_GB2312"/>
                <w:kern w:val="0"/>
                <w:szCs w:val="21"/>
                <w:lang w:bidi="ar"/>
              </w:rPr>
              <w:t>，</w:t>
            </w:r>
            <w:r>
              <w:rPr>
                <w:kern w:val="0"/>
                <w:szCs w:val="21"/>
                <w:lang w:bidi="ar"/>
              </w:rPr>
              <w:t>261-031-11</w:t>
            </w:r>
            <w:r>
              <w:rPr>
                <w:rFonts w:hint="eastAsia" w:ascii="宋体" w:hAnsi="宋体" w:cs="宋体"/>
                <w:kern w:val="0"/>
                <w:szCs w:val="21"/>
                <w:lang w:bidi="ar"/>
              </w:rPr>
              <w:t>，</w:t>
            </w:r>
            <w:r>
              <w:rPr>
                <w:b/>
                <w:bCs/>
                <w:kern w:val="0"/>
                <w:szCs w:val="21"/>
                <w:lang w:bidi="ar"/>
              </w:rPr>
              <w:t>261-012-11</w:t>
            </w:r>
            <w:r>
              <w:rPr>
                <w:rFonts w:hint="eastAsia" w:ascii="宋体" w:hAnsi="宋体" w:cs="宋体"/>
                <w:b/>
                <w:bCs/>
                <w:kern w:val="0"/>
                <w:szCs w:val="21"/>
                <w:lang w:bidi="ar"/>
              </w:rPr>
              <w:t>，</w:t>
            </w:r>
            <w:r>
              <w:rPr>
                <w:b/>
                <w:bCs/>
                <w:kern w:val="0"/>
                <w:szCs w:val="21"/>
                <w:lang w:bidi="ar"/>
              </w:rPr>
              <w:t>261-106-11</w:t>
            </w:r>
          </w:p>
        </w:tc>
        <w:tc>
          <w:tcPr>
            <w:tcW w:w="423" w:type="pct"/>
            <w:vMerge w:val="continue"/>
            <w:tcBorders>
              <w:tl2br w:val="nil"/>
              <w:tr2bl w:val="nil"/>
            </w:tcBorders>
            <w:vAlign w:val="center"/>
          </w:tcPr>
          <w:p w14:paraId="65FAD6E4">
            <w:pPr>
              <w:widowControl/>
              <w:jc w:val="center"/>
              <w:rPr>
                <w:rFonts w:eastAsia="仿宋_GB2312"/>
                <w:kern w:val="0"/>
                <w:szCs w:val="21"/>
              </w:rPr>
            </w:pPr>
          </w:p>
        </w:tc>
        <w:tc>
          <w:tcPr>
            <w:tcW w:w="605" w:type="pct"/>
            <w:vMerge w:val="continue"/>
            <w:tcBorders>
              <w:tl2br w:val="nil"/>
              <w:tr2bl w:val="nil"/>
            </w:tcBorders>
            <w:vAlign w:val="center"/>
          </w:tcPr>
          <w:p w14:paraId="6312DE3D">
            <w:pPr>
              <w:widowControl/>
              <w:jc w:val="center"/>
              <w:rPr>
                <w:rFonts w:eastAsia="仿宋_GB2312"/>
                <w:kern w:val="0"/>
                <w:szCs w:val="21"/>
              </w:rPr>
            </w:pPr>
          </w:p>
        </w:tc>
      </w:tr>
      <w:tr w14:paraId="04E59B9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3" w:type="pct"/>
            <w:vMerge w:val="continue"/>
            <w:tcBorders>
              <w:tl2br w:val="nil"/>
              <w:tr2bl w:val="nil"/>
            </w:tcBorders>
            <w:vAlign w:val="center"/>
          </w:tcPr>
          <w:p w14:paraId="1314DBE7">
            <w:pPr>
              <w:widowControl/>
              <w:jc w:val="center"/>
              <w:rPr>
                <w:rFonts w:eastAsia="仿宋_GB2312"/>
                <w:kern w:val="0"/>
                <w:szCs w:val="21"/>
              </w:rPr>
            </w:pPr>
          </w:p>
        </w:tc>
        <w:tc>
          <w:tcPr>
            <w:tcW w:w="372" w:type="pct"/>
            <w:vMerge w:val="continue"/>
            <w:tcBorders>
              <w:tl2br w:val="nil"/>
              <w:tr2bl w:val="nil"/>
            </w:tcBorders>
            <w:vAlign w:val="center"/>
          </w:tcPr>
          <w:p w14:paraId="2244EB8F">
            <w:pPr>
              <w:widowControl/>
              <w:jc w:val="center"/>
              <w:rPr>
                <w:rFonts w:eastAsia="仿宋_GB2312"/>
                <w:kern w:val="0"/>
                <w:szCs w:val="21"/>
              </w:rPr>
            </w:pPr>
          </w:p>
        </w:tc>
        <w:tc>
          <w:tcPr>
            <w:tcW w:w="394" w:type="pct"/>
            <w:tcBorders>
              <w:tl2br w:val="nil"/>
              <w:tr2bl w:val="nil"/>
            </w:tcBorders>
            <w:vAlign w:val="center"/>
          </w:tcPr>
          <w:p w14:paraId="490DA118">
            <w:pPr>
              <w:widowControl/>
              <w:jc w:val="center"/>
              <w:rPr>
                <w:rFonts w:eastAsia="仿宋_GB2312"/>
                <w:kern w:val="0"/>
                <w:szCs w:val="21"/>
              </w:rPr>
            </w:pPr>
            <w:r>
              <w:rPr>
                <w:rFonts w:eastAsia="仿宋_GB2312"/>
                <w:kern w:val="0"/>
                <w:szCs w:val="21"/>
              </w:rPr>
              <w:t>HW12</w:t>
            </w:r>
          </w:p>
        </w:tc>
        <w:tc>
          <w:tcPr>
            <w:tcW w:w="1042" w:type="pct"/>
            <w:tcBorders>
              <w:tl2br w:val="nil"/>
              <w:tr2bl w:val="nil"/>
            </w:tcBorders>
            <w:vAlign w:val="center"/>
          </w:tcPr>
          <w:p w14:paraId="2AE9EEE3">
            <w:pPr>
              <w:widowControl/>
              <w:jc w:val="center"/>
              <w:rPr>
                <w:rFonts w:eastAsia="仿宋_GB2312"/>
                <w:kern w:val="0"/>
                <w:szCs w:val="21"/>
              </w:rPr>
            </w:pPr>
            <w:r>
              <w:rPr>
                <w:rFonts w:eastAsia="仿宋_GB2312"/>
                <w:kern w:val="0"/>
                <w:szCs w:val="21"/>
              </w:rPr>
              <w:t>264-011-12，264-013-12，900-250-12，900-251-12，900-252-12，900-253-12</w:t>
            </w:r>
          </w:p>
        </w:tc>
        <w:tc>
          <w:tcPr>
            <w:tcW w:w="465" w:type="pct"/>
            <w:vMerge w:val="continue"/>
            <w:tcBorders>
              <w:tl2br w:val="nil"/>
              <w:tr2bl w:val="nil"/>
            </w:tcBorders>
            <w:vAlign w:val="center"/>
          </w:tcPr>
          <w:p w14:paraId="6B7E33C8">
            <w:pPr>
              <w:widowControl/>
              <w:jc w:val="center"/>
              <w:rPr>
                <w:rFonts w:eastAsia="仿宋_GB2312"/>
                <w:kern w:val="0"/>
                <w:szCs w:val="21"/>
              </w:rPr>
            </w:pPr>
          </w:p>
        </w:tc>
        <w:tc>
          <w:tcPr>
            <w:tcW w:w="384" w:type="pct"/>
            <w:tcBorders>
              <w:tl2br w:val="nil"/>
              <w:tr2bl w:val="nil"/>
            </w:tcBorders>
            <w:shd w:val="clear" w:color="auto" w:fill="auto"/>
            <w:vAlign w:val="center"/>
          </w:tcPr>
          <w:p w14:paraId="63957E22">
            <w:pPr>
              <w:widowControl/>
              <w:jc w:val="center"/>
              <w:textAlignment w:val="center"/>
              <w:rPr>
                <w:rFonts w:eastAsia="仿宋_GB2312"/>
                <w:kern w:val="0"/>
                <w:szCs w:val="21"/>
              </w:rPr>
            </w:pPr>
            <w:r>
              <w:rPr>
                <w:kern w:val="0"/>
                <w:szCs w:val="21"/>
                <w:lang w:bidi="ar"/>
              </w:rPr>
              <w:t>HW12</w:t>
            </w:r>
          </w:p>
        </w:tc>
        <w:tc>
          <w:tcPr>
            <w:tcW w:w="1059" w:type="pct"/>
            <w:tcBorders>
              <w:tl2br w:val="nil"/>
              <w:tr2bl w:val="nil"/>
            </w:tcBorders>
            <w:shd w:val="clear" w:color="auto" w:fill="auto"/>
            <w:vAlign w:val="center"/>
          </w:tcPr>
          <w:p w14:paraId="7914CF91">
            <w:pPr>
              <w:widowControl/>
              <w:jc w:val="center"/>
              <w:textAlignment w:val="center"/>
              <w:rPr>
                <w:rFonts w:eastAsia="仿宋_GB2312"/>
                <w:kern w:val="0"/>
                <w:szCs w:val="21"/>
              </w:rPr>
            </w:pPr>
            <w:r>
              <w:rPr>
                <w:kern w:val="0"/>
                <w:szCs w:val="21"/>
                <w:lang w:bidi="ar"/>
              </w:rPr>
              <w:t>264-011-12</w:t>
            </w:r>
            <w:r>
              <w:rPr>
                <w:rFonts w:ascii="仿宋_GB2312" w:eastAsia="仿宋_GB2312" w:cs="仿宋_GB2312"/>
                <w:kern w:val="0"/>
                <w:szCs w:val="21"/>
                <w:lang w:bidi="ar"/>
              </w:rPr>
              <w:t>，</w:t>
            </w:r>
            <w:r>
              <w:rPr>
                <w:kern w:val="0"/>
                <w:szCs w:val="21"/>
                <w:lang w:bidi="ar"/>
              </w:rPr>
              <w:t>264-013-12</w:t>
            </w:r>
            <w:r>
              <w:rPr>
                <w:rFonts w:ascii="仿宋_GB2312" w:eastAsia="仿宋_GB2312" w:cs="仿宋_GB2312"/>
                <w:kern w:val="0"/>
                <w:szCs w:val="21"/>
                <w:lang w:bidi="ar"/>
              </w:rPr>
              <w:t>，</w:t>
            </w:r>
            <w:r>
              <w:rPr>
                <w:kern w:val="0"/>
                <w:szCs w:val="21"/>
                <w:lang w:bidi="ar"/>
              </w:rPr>
              <w:t>900-250-12</w:t>
            </w:r>
            <w:r>
              <w:rPr>
                <w:rFonts w:ascii="仿宋_GB2312" w:eastAsia="仿宋_GB2312" w:cs="仿宋_GB2312"/>
                <w:kern w:val="0"/>
                <w:szCs w:val="21"/>
                <w:lang w:bidi="ar"/>
              </w:rPr>
              <w:t>，</w:t>
            </w:r>
            <w:r>
              <w:rPr>
                <w:kern w:val="0"/>
                <w:szCs w:val="21"/>
                <w:lang w:bidi="ar"/>
              </w:rPr>
              <w:t>900-251-12</w:t>
            </w:r>
            <w:r>
              <w:rPr>
                <w:rFonts w:ascii="仿宋_GB2312" w:eastAsia="仿宋_GB2312" w:cs="仿宋_GB2312"/>
                <w:kern w:val="0"/>
                <w:szCs w:val="21"/>
                <w:lang w:bidi="ar"/>
              </w:rPr>
              <w:t>，</w:t>
            </w:r>
            <w:r>
              <w:rPr>
                <w:kern w:val="0"/>
                <w:szCs w:val="21"/>
                <w:lang w:bidi="ar"/>
              </w:rPr>
              <w:t>900-252-12</w:t>
            </w:r>
            <w:r>
              <w:rPr>
                <w:rFonts w:ascii="仿宋_GB2312" w:eastAsia="仿宋_GB2312" w:cs="仿宋_GB2312"/>
                <w:kern w:val="0"/>
                <w:szCs w:val="21"/>
                <w:lang w:bidi="ar"/>
              </w:rPr>
              <w:t>，</w:t>
            </w:r>
            <w:r>
              <w:rPr>
                <w:kern w:val="0"/>
                <w:szCs w:val="21"/>
                <w:lang w:bidi="ar"/>
              </w:rPr>
              <w:t>900-253-12</w:t>
            </w:r>
            <w:r>
              <w:rPr>
                <w:rFonts w:hint="eastAsia" w:ascii="宋体" w:hAnsi="宋体" w:cs="宋体"/>
                <w:b/>
                <w:bCs/>
                <w:kern w:val="0"/>
                <w:szCs w:val="21"/>
                <w:lang w:bidi="ar"/>
              </w:rPr>
              <w:t>，</w:t>
            </w:r>
            <w:r>
              <w:rPr>
                <w:b/>
                <w:bCs/>
                <w:kern w:val="0"/>
                <w:szCs w:val="21"/>
                <w:lang w:bidi="ar"/>
              </w:rPr>
              <w:t>900-256-12</w:t>
            </w:r>
          </w:p>
        </w:tc>
        <w:tc>
          <w:tcPr>
            <w:tcW w:w="423" w:type="pct"/>
            <w:vMerge w:val="continue"/>
            <w:tcBorders>
              <w:tl2br w:val="nil"/>
              <w:tr2bl w:val="nil"/>
            </w:tcBorders>
            <w:vAlign w:val="center"/>
          </w:tcPr>
          <w:p w14:paraId="2E6BD920">
            <w:pPr>
              <w:widowControl/>
              <w:jc w:val="center"/>
              <w:rPr>
                <w:rFonts w:eastAsia="仿宋_GB2312"/>
                <w:kern w:val="0"/>
                <w:szCs w:val="21"/>
              </w:rPr>
            </w:pPr>
          </w:p>
        </w:tc>
        <w:tc>
          <w:tcPr>
            <w:tcW w:w="605" w:type="pct"/>
            <w:vMerge w:val="continue"/>
            <w:tcBorders>
              <w:tl2br w:val="nil"/>
              <w:tr2bl w:val="nil"/>
            </w:tcBorders>
            <w:vAlign w:val="center"/>
          </w:tcPr>
          <w:p w14:paraId="7A756661">
            <w:pPr>
              <w:widowControl/>
              <w:jc w:val="center"/>
              <w:rPr>
                <w:rFonts w:eastAsia="仿宋_GB2312"/>
                <w:kern w:val="0"/>
                <w:szCs w:val="21"/>
              </w:rPr>
            </w:pPr>
          </w:p>
        </w:tc>
      </w:tr>
      <w:tr w14:paraId="489B8C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3" w:type="pct"/>
            <w:vMerge w:val="continue"/>
            <w:tcBorders>
              <w:tl2br w:val="nil"/>
              <w:tr2bl w:val="nil"/>
            </w:tcBorders>
            <w:vAlign w:val="center"/>
          </w:tcPr>
          <w:p w14:paraId="778DB4C2">
            <w:pPr>
              <w:widowControl/>
              <w:jc w:val="center"/>
              <w:rPr>
                <w:rFonts w:eastAsia="仿宋_GB2312"/>
                <w:kern w:val="0"/>
                <w:szCs w:val="21"/>
              </w:rPr>
            </w:pPr>
          </w:p>
        </w:tc>
        <w:tc>
          <w:tcPr>
            <w:tcW w:w="372" w:type="pct"/>
            <w:vMerge w:val="continue"/>
            <w:tcBorders>
              <w:tl2br w:val="nil"/>
              <w:tr2bl w:val="nil"/>
            </w:tcBorders>
            <w:vAlign w:val="center"/>
          </w:tcPr>
          <w:p w14:paraId="125C6154">
            <w:pPr>
              <w:widowControl/>
              <w:jc w:val="center"/>
              <w:rPr>
                <w:rFonts w:eastAsia="仿宋_GB2312"/>
                <w:kern w:val="0"/>
                <w:szCs w:val="21"/>
              </w:rPr>
            </w:pPr>
          </w:p>
        </w:tc>
        <w:tc>
          <w:tcPr>
            <w:tcW w:w="394" w:type="pct"/>
            <w:tcBorders>
              <w:tl2br w:val="nil"/>
              <w:tr2bl w:val="nil"/>
            </w:tcBorders>
            <w:vAlign w:val="center"/>
          </w:tcPr>
          <w:p w14:paraId="7D0E87E3">
            <w:pPr>
              <w:widowControl/>
              <w:jc w:val="center"/>
              <w:rPr>
                <w:rFonts w:eastAsia="仿宋_GB2312"/>
                <w:kern w:val="0"/>
                <w:szCs w:val="21"/>
              </w:rPr>
            </w:pPr>
            <w:r>
              <w:rPr>
                <w:rFonts w:eastAsia="仿宋_GB2312"/>
                <w:kern w:val="0"/>
                <w:szCs w:val="21"/>
              </w:rPr>
              <w:t>HW13</w:t>
            </w:r>
          </w:p>
        </w:tc>
        <w:tc>
          <w:tcPr>
            <w:tcW w:w="1042" w:type="pct"/>
            <w:tcBorders>
              <w:tl2br w:val="nil"/>
              <w:tr2bl w:val="nil"/>
            </w:tcBorders>
            <w:vAlign w:val="center"/>
          </w:tcPr>
          <w:p w14:paraId="31800E65">
            <w:pPr>
              <w:widowControl/>
              <w:jc w:val="center"/>
              <w:rPr>
                <w:rFonts w:eastAsia="仿宋_GB2312"/>
                <w:kern w:val="0"/>
                <w:szCs w:val="21"/>
              </w:rPr>
            </w:pPr>
            <w:r>
              <w:rPr>
                <w:rFonts w:eastAsia="仿宋_GB2312"/>
                <w:kern w:val="0"/>
                <w:szCs w:val="21"/>
              </w:rPr>
              <w:t>265-102-13</w:t>
            </w:r>
          </w:p>
        </w:tc>
        <w:tc>
          <w:tcPr>
            <w:tcW w:w="465" w:type="pct"/>
            <w:vMerge w:val="continue"/>
            <w:tcBorders>
              <w:tl2br w:val="nil"/>
              <w:tr2bl w:val="nil"/>
            </w:tcBorders>
            <w:vAlign w:val="center"/>
          </w:tcPr>
          <w:p w14:paraId="18B50725">
            <w:pPr>
              <w:widowControl/>
              <w:jc w:val="center"/>
              <w:rPr>
                <w:rFonts w:eastAsia="仿宋_GB2312"/>
                <w:kern w:val="0"/>
                <w:szCs w:val="21"/>
              </w:rPr>
            </w:pPr>
          </w:p>
        </w:tc>
        <w:tc>
          <w:tcPr>
            <w:tcW w:w="384" w:type="pct"/>
            <w:tcBorders>
              <w:tl2br w:val="nil"/>
              <w:tr2bl w:val="nil"/>
            </w:tcBorders>
            <w:shd w:val="clear" w:color="auto" w:fill="auto"/>
            <w:vAlign w:val="center"/>
          </w:tcPr>
          <w:p w14:paraId="73DFD0BC">
            <w:pPr>
              <w:widowControl/>
              <w:jc w:val="center"/>
              <w:textAlignment w:val="center"/>
              <w:rPr>
                <w:rFonts w:eastAsia="仿宋_GB2312"/>
                <w:kern w:val="0"/>
                <w:szCs w:val="21"/>
              </w:rPr>
            </w:pPr>
            <w:r>
              <w:rPr>
                <w:kern w:val="0"/>
                <w:szCs w:val="21"/>
                <w:lang w:bidi="ar"/>
              </w:rPr>
              <w:t>HW13</w:t>
            </w:r>
          </w:p>
        </w:tc>
        <w:tc>
          <w:tcPr>
            <w:tcW w:w="1059" w:type="pct"/>
            <w:tcBorders>
              <w:tl2br w:val="nil"/>
              <w:tr2bl w:val="nil"/>
            </w:tcBorders>
            <w:shd w:val="clear" w:color="auto" w:fill="auto"/>
            <w:vAlign w:val="center"/>
          </w:tcPr>
          <w:p w14:paraId="6C57A246">
            <w:pPr>
              <w:widowControl/>
              <w:jc w:val="center"/>
              <w:textAlignment w:val="center"/>
              <w:rPr>
                <w:rFonts w:eastAsia="仿宋_GB2312"/>
                <w:kern w:val="0"/>
                <w:szCs w:val="21"/>
              </w:rPr>
            </w:pPr>
            <w:r>
              <w:rPr>
                <w:kern w:val="0"/>
                <w:szCs w:val="21"/>
                <w:lang w:bidi="ar"/>
              </w:rPr>
              <w:t>265-102-13</w:t>
            </w:r>
            <w:r>
              <w:rPr>
                <w:rFonts w:hint="eastAsia" w:ascii="宋体" w:hAnsi="宋体" w:cs="宋体"/>
                <w:b/>
                <w:bCs/>
                <w:kern w:val="0"/>
                <w:szCs w:val="21"/>
                <w:lang w:bidi="ar"/>
              </w:rPr>
              <w:t>，</w:t>
            </w:r>
            <w:r>
              <w:rPr>
                <w:b/>
                <w:bCs/>
                <w:kern w:val="0"/>
                <w:szCs w:val="21"/>
                <w:lang w:bidi="ar"/>
              </w:rPr>
              <w:t>900-014-13</w:t>
            </w:r>
          </w:p>
        </w:tc>
        <w:tc>
          <w:tcPr>
            <w:tcW w:w="423" w:type="pct"/>
            <w:vMerge w:val="continue"/>
            <w:tcBorders>
              <w:tl2br w:val="nil"/>
              <w:tr2bl w:val="nil"/>
            </w:tcBorders>
            <w:vAlign w:val="center"/>
          </w:tcPr>
          <w:p w14:paraId="78F93982">
            <w:pPr>
              <w:widowControl/>
              <w:jc w:val="center"/>
              <w:rPr>
                <w:rFonts w:eastAsia="仿宋_GB2312"/>
                <w:kern w:val="0"/>
                <w:szCs w:val="21"/>
              </w:rPr>
            </w:pPr>
          </w:p>
        </w:tc>
        <w:tc>
          <w:tcPr>
            <w:tcW w:w="605" w:type="pct"/>
            <w:vMerge w:val="continue"/>
            <w:tcBorders>
              <w:tl2br w:val="nil"/>
              <w:tr2bl w:val="nil"/>
            </w:tcBorders>
            <w:vAlign w:val="center"/>
          </w:tcPr>
          <w:p w14:paraId="0C202797">
            <w:pPr>
              <w:widowControl/>
              <w:jc w:val="center"/>
              <w:rPr>
                <w:rFonts w:eastAsia="仿宋_GB2312"/>
                <w:kern w:val="0"/>
                <w:szCs w:val="21"/>
              </w:rPr>
            </w:pPr>
          </w:p>
        </w:tc>
      </w:tr>
      <w:tr w14:paraId="56D12E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3" w:type="pct"/>
            <w:vMerge w:val="restart"/>
            <w:tcBorders>
              <w:tl2br w:val="nil"/>
              <w:tr2bl w:val="nil"/>
            </w:tcBorders>
            <w:vAlign w:val="center"/>
          </w:tcPr>
          <w:p w14:paraId="127BDA04">
            <w:pPr>
              <w:widowControl/>
              <w:jc w:val="center"/>
              <w:rPr>
                <w:rFonts w:eastAsia="仿宋_GB2312"/>
                <w:kern w:val="0"/>
                <w:szCs w:val="21"/>
              </w:rPr>
            </w:pPr>
            <w:r>
              <w:rPr>
                <w:rFonts w:eastAsia="仿宋_GB2312"/>
                <w:kern w:val="0"/>
                <w:szCs w:val="21"/>
              </w:rPr>
              <w:t>6</w:t>
            </w:r>
          </w:p>
        </w:tc>
        <w:tc>
          <w:tcPr>
            <w:tcW w:w="372" w:type="pct"/>
            <w:vMerge w:val="restart"/>
            <w:tcBorders>
              <w:tl2br w:val="nil"/>
              <w:tr2bl w:val="nil"/>
            </w:tcBorders>
            <w:vAlign w:val="center"/>
          </w:tcPr>
          <w:p w14:paraId="34678FB7">
            <w:pPr>
              <w:widowControl/>
              <w:jc w:val="center"/>
              <w:rPr>
                <w:rFonts w:eastAsia="仿宋_GB2312"/>
                <w:kern w:val="0"/>
                <w:szCs w:val="21"/>
              </w:rPr>
            </w:pPr>
            <w:r>
              <w:rPr>
                <w:rFonts w:eastAsia="仿宋_GB2312"/>
                <w:kern w:val="0"/>
                <w:szCs w:val="21"/>
              </w:rPr>
              <w:t>二甲苯废液</w:t>
            </w:r>
          </w:p>
        </w:tc>
        <w:tc>
          <w:tcPr>
            <w:tcW w:w="394" w:type="pct"/>
            <w:tcBorders>
              <w:tl2br w:val="nil"/>
              <w:tr2bl w:val="nil"/>
            </w:tcBorders>
            <w:vAlign w:val="center"/>
          </w:tcPr>
          <w:p w14:paraId="0401252B">
            <w:pPr>
              <w:widowControl/>
              <w:jc w:val="center"/>
              <w:rPr>
                <w:rFonts w:eastAsia="仿宋_GB2312"/>
                <w:kern w:val="0"/>
                <w:szCs w:val="21"/>
              </w:rPr>
            </w:pPr>
            <w:r>
              <w:rPr>
                <w:rFonts w:eastAsia="仿宋_GB2312"/>
                <w:kern w:val="0"/>
                <w:szCs w:val="21"/>
              </w:rPr>
              <w:t>HW02</w:t>
            </w:r>
          </w:p>
        </w:tc>
        <w:tc>
          <w:tcPr>
            <w:tcW w:w="1042" w:type="pct"/>
            <w:tcBorders>
              <w:tl2br w:val="nil"/>
              <w:tr2bl w:val="nil"/>
            </w:tcBorders>
            <w:vAlign w:val="center"/>
          </w:tcPr>
          <w:p w14:paraId="3AFB9340">
            <w:pPr>
              <w:widowControl/>
              <w:jc w:val="center"/>
              <w:rPr>
                <w:rFonts w:eastAsia="仿宋_GB2312"/>
                <w:kern w:val="0"/>
                <w:szCs w:val="21"/>
              </w:rPr>
            </w:pPr>
            <w:r>
              <w:rPr>
                <w:rFonts w:eastAsia="仿宋_GB2312"/>
                <w:kern w:val="0"/>
                <w:szCs w:val="21"/>
              </w:rPr>
              <w:t>271-001-02，271-002-02，</w:t>
            </w:r>
            <w:r>
              <w:rPr>
                <w:rFonts w:hint="eastAsia" w:eastAsia="仿宋_GB2312"/>
                <w:kern w:val="0"/>
                <w:szCs w:val="21"/>
              </w:rPr>
              <w:t>271-004-02，</w:t>
            </w:r>
            <w:r>
              <w:rPr>
                <w:rFonts w:eastAsia="仿宋_GB2312"/>
                <w:kern w:val="0"/>
                <w:szCs w:val="21"/>
              </w:rPr>
              <w:t>272-001-02，</w:t>
            </w:r>
            <w:r>
              <w:rPr>
                <w:rFonts w:hint="eastAsia" w:eastAsia="仿宋_GB2312"/>
                <w:kern w:val="0"/>
                <w:szCs w:val="21"/>
              </w:rPr>
              <w:t>272-003-02，275-004-02，275-005-02，</w:t>
            </w:r>
            <w:r>
              <w:rPr>
                <w:rFonts w:eastAsia="仿宋_GB2312"/>
                <w:kern w:val="0"/>
                <w:szCs w:val="21"/>
              </w:rPr>
              <w:t>276-001-02，276-002-02</w:t>
            </w:r>
            <w:r>
              <w:rPr>
                <w:rFonts w:hint="eastAsia" w:eastAsia="仿宋_GB2312"/>
                <w:kern w:val="0"/>
                <w:szCs w:val="21"/>
              </w:rPr>
              <w:t>，276-004-02</w:t>
            </w:r>
          </w:p>
        </w:tc>
        <w:tc>
          <w:tcPr>
            <w:tcW w:w="465" w:type="pct"/>
            <w:vMerge w:val="restart"/>
            <w:tcBorders>
              <w:tl2br w:val="nil"/>
              <w:tr2bl w:val="nil"/>
            </w:tcBorders>
            <w:vAlign w:val="center"/>
          </w:tcPr>
          <w:p w14:paraId="604CD3AB">
            <w:pPr>
              <w:widowControl/>
              <w:jc w:val="center"/>
              <w:rPr>
                <w:rFonts w:eastAsia="仿宋_GB2312"/>
                <w:kern w:val="0"/>
                <w:szCs w:val="21"/>
              </w:rPr>
            </w:pPr>
            <w:r>
              <w:rPr>
                <w:rFonts w:eastAsia="仿宋_GB2312"/>
                <w:kern w:val="0"/>
                <w:szCs w:val="21"/>
              </w:rPr>
              <w:t>1765</w:t>
            </w:r>
          </w:p>
        </w:tc>
        <w:tc>
          <w:tcPr>
            <w:tcW w:w="384" w:type="pct"/>
            <w:tcBorders>
              <w:tl2br w:val="nil"/>
              <w:tr2bl w:val="nil"/>
            </w:tcBorders>
            <w:shd w:val="clear" w:color="auto" w:fill="auto"/>
            <w:vAlign w:val="center"/>
          </w:tcPr>
          <w:p w14:paraId="7E6123A7">
            <w:pPr>
              <w:widowControl/>
              <w:jc w:val="center"/>
              <w:textAlignment w:val="center"/>
              <w:rPr>
                <w:rFonts w:eastAsia="仿宋_GB2312"/>
                <w:kern w:val="0"/>
                <w:szCs w:val="21"/>
              </w:rPr>
            </w:pPr>
            <w:r>
              <w:rPr>
                <w:kern w:val="0"/>
                <w:szCs w:val="21"/>
                <w:lang w:bidi="ar"/>
              </w:rPr>
              <w:t>HW02</w:t>
            </w:r>
          </w:p>
        </w:tc>
        <w:tc>
          <w:tcPr>
            <w:tcW w:w="1059" w:type="pct"/>
            <w:tcBorders>
              <w:tl2br w:val="nil"/>
              <w:tr2bl w:val="nil"/>
            </w:tcBorders>
            <w:shd w:val="clear" w:color="auto" w:fill="auto"/>
            <w:vAlign w:val="center"/>
          </w:tcPr>
          <w:p w14:paraId="6FA1CA61">
            <w:pPr>
              <w:widowControl/>
              <w:jc w:val="center"/>
              <w:textAlignment w:val="center"/>
              <w:rPr>
                <w:rFonts w:eastAsia="仿宋_GB2312"/>
                <w:kern w:val="0"/>
                <w:szCs w:val="21"/>
              </w:rPr>
            </w:pPr>
            <w:r>
              <w:rPr>
                <w:kern w:val="0"/>
                <w:szCs w:val="21"/>
                <w:lang w:bidi="ar"/>
              </w:rPr>
              <w:t>271-001-02</w:t>
            </w:r>
            <w:r>
              <w:rPr>
                <w:rFonts w:ascii="仿宋_GB2312" w:eastAsia="仿宋_GB2312" w:cs="仿宋_GB2312"/>
                <w:kern w:val="0"/>
                <w:szCs w:val="21"/>
                <w:lang w:bidi="ar"/>
              </w:rPr>
              <w:t>，</w:t>
            </w:r>
            <w:r>
              <w:rPr>
                <w:kern w:val="0"/>
                <w:szCs w:val="21"/>
                <w:lang w:bidi="ar"/>
              </w:rPr>
              <w:t>271-002-02</w:t>
            </w:r>
            <w:r>
              <w:rPr>
                <w:rFonts w:ascii="仿宋_GB2312" w:eastAsia="仿宋_GB2312" w:cs="仿宋_GB2312"/>
                <w:kern w:val="0"/>
                <w:szCs w:val="21"/>
                <w:lang w:bidi="ar"/>
              </w:rPr>
              <w:t>，</w:t>
            </w:r>
            <w:r>
              <w:rPr>
                <w:kern w:val="0"/>
                <w:szCs w:val="21"/>
                <w:lang w:bidi="ar"/>
              </w:rPr>
              <w:t>272-001-02</w:t>
            </w:r>
            <w:r>
              <w:rPr>
                <w:rFonts w:ascii="仿宋_GB2312" w:eastAsia="仿宋_GB2312" w:cs="仿宋_GB2312"/>
                <w:kern w:val="0"/>
                <w:szCs w:val="21"/>
                <w:lang w:bidi="ar"/>
              </w:rPr>
              <w:t>，</w:t>
            </w:r>
            <w:r>
              <w:rPr>
                <w:b/>
                <w:bCs/>
                <w:kern w:val="0"/>
                <w:szCs w:val="21"/>
                <w:lang w:bidi="ar"/>
              </w:rPr>
              <w:t>272-00</w:t>
            </w:r>
            <w:r>
              <w:rPr>
                <w:rFonts w:hint="eastAsia"/>
                <w:b/>
                <w:bCs/>
                <w:kern w:val="0"/>
                <w:szCs w:val="21"/>
                <w:lang w:val="en-US" w:eastAsia="zh-CN" w:bidi="ar"/>
              </w:rPr>
              <w:t>5</w:t>
            </w:r>
            <w:r>
              <w:rPr>
                <w:b/>
                <w:bCs/>
                <w:kern w:val="0"/>
                <w:szCs w:val="21"/>
                <w:lang w:bidi="ar"/>
              </w:rPr>
              <w:t>-02</w:t>
            </w:r>
            <w:r>
              <w:rPr>
                <w:rFonts w:ascii="仿宋_GB2312" w:eastAsia="仿宋_GB2312" w:cs="仿宋_GB2312"/>
                <w:kern w:val="0"/>
                <w:szCs w:val="21"/>
                <w:lang w:bidi="ar"/>
              </w:rPr>
              <w:t>，</w:t>
            </w:r>
            <w:r>
              <w:rPr>
                <w:kern w:val="0"/>
                <w:szCs w:val="21"/>
                <w:lang w:bidi="ar"/>
              </w:rPr>
              <w:t>275-004-02</w:t>
            </w:r>
            <w:r>
              <w:rPr>
                <w:rFonts w:ascii="仿宋_GB2312" w:eastAsia="仿宋_GB2312" w:cs="仿宋_GB2312"/>
                <w:kern w:val="0"/>
                <w:szCs w:val="21"/>
                <w:lang w:bidi="ar"/>
              </w:rPr>
              <w:t>，</w:t>
            </w:r>
            <w:r>
              <w:rPr>
                <w:b/>
                <w:bCs/>
                <w:kern w:val="0"/>
                <w:szCs w:val="21"/>
                <w:lang w:bidi="ar"/>
              </w:rPr>
              <w:t>275-00</w:t>
            </w:r>
            <w:r>
              <w:rPr>
                <w:rFonts w:hint="eastAsia"/>
                <w:b/>
                <w:bCs/>
                <w:kern w:val="0"/>
                <w:szCs w:val="21"/>
                <w:lang w:val="en-US" w:eastAsia="zh-CN" w:bidi="ar"/>
              </w:rPr>
              <w:t>6</w:t>
            </w:r>
            <w:r>
              <w:rPr>
                <w:b/>
                <w:bCs/>
                <w:kern w:val="0"/>
                <w:szCs w:val="21"/>
                <w:lang w:bidi="ar"/>
              </w:rPr>
              <w:t>-02</w:t>
            </w:r>
            <w:r>
              <w:rPr>
                <w:rFonts w:ascii="仿宋_GB2312" w:eastAsia="仿宋_GB2312" w:cs="仿宋_GB2312"/>
                <w:kern w:val="0"/>
                <w:szCs w:val="21"/>
                <w:lang w:bidi="ar"/>
              </w:rPr>
              <w:t>，</w:t>
            </w:r>
            <w:r>
              <w:rPr>
                <w:kern w:val="0"/>
                <w:szCs w:val="21"/>
                <w:lang w:bidi="ar"/>
              </w:rPr>
              <w:t>276-001-02</w:t>
            </w:r>
            <w:r>
              <w:rPr>
                <w:rFonts w:ascii="仿宋_GB2312" w:eastAsia="仿宋_GB2312" w:cs="仿宋_GB2312"/>
                <w:kern w:val="0"/>
                <w:szCs w:val="21"/>
                <w:lang w:bidi="ar"/>
              </w:rPr>
              <w:t>，</w:t>
            </w:r>
            <w:r>
              <w:rPr>
                <w:kern w:val="0"/>
                <w:szCs w:val="21"/>
                <w:lang w:bidi="ar"/>
              </w:rPr>
              <w:t>276-002-02</w:t>
            </w:r>
            <w:r>
              <w:rPr>
                <w:rFonts w:ascii="仿宋_GB2312" w:eastAsia="仿宋_GB2312" w:cs="仿宋_GB2312"/>
                <w:kern w:val="0"/>
                <w:szCs w:val="21"/>
                <w:lang w:bidi="ar"/>
              </w:rPr>
              <w:t>，</w:t>
            </w:r>
            <w:r>
              <w:rPr>
                <w:b/>
                <w:bCs/>
                <w:kern w:val="0"/>
                <w:szCs w:val="21"/>
                <w:lang w:bidi="ar"/>
              </w:rPr>
              <w:t>276-00</w:t>
            </w:r>
            <w:r>
              <w:rPr>
                <w:rFonts w:hint="eastAsia"/>
                <w:b/>
                <w:bCs/>
                <w:kern w:val="0"/>
                <w:szCs w:val="21"/>
                <w:lang w:val="en-US" w:eastAsia="zh-CN" w:bidi="ar"/>
              </w:rPr>
              <w:t>5</w:t>
            </w:r>
            <w:r>
              <w:rPr>
                <w:b/>
                <w:bCs/>
                <w:kern w:val="0"/>
                <w:szCs w:val="21"/>
                <w:lang w:bidi="ar"/>
              </w:rPr>
              <w:t>-02</w:t>
            </w:r>
          </w:p>
        </w:tc>
        <w:tc>
          <w:tcPr>
            <w:tcW w:w="423" w:type="pct"/>
            <w:vMerge w:val="restart"/>
            <w:tcBorders>
              <w:tl2br w:val="nil"/>
              <w:tr2bl w:val="nil"/>
            </w:tcBorders>
            <w:vAlign w:val="center"/>
          </w:tcPr>
          <w:p w14:paraId="2CDDF03D">
            <w:pPr>
              <w:widowControl/>
              <w:jc w:val="center"/>
              <w:rPr>
                <w:rFonts w:eastAsia="仿宋_GB2312"/>
                <w:kern w:val="0"/>
                <w:szCs w:val="21"/>
              </w:rPr>
            </w:pPr>
            <w:r>
              <w:rPr>
                <w:rFonts w:hint="eastAsia" w:eastAsia="仿宋_GB2312"/>
                <w:kern w:val="0"/>
                <w:szCs w:val="21"/>
                <w:lang w:val="en-US" w:eastAsia="zh-CN"/>
              </w:rPr>
              <w:t>8</w:t>
            </w:r>
            <w:r>
              <w:rPr>
                <w:rFonts w:hint="eastAsia" w:eastAsia="仿宋_GB2312"/>
                <w:kern w:val="0"/>
                <w:szCs w:val="21"/>
              </w:rPr>
              <w:t>7</w:t>
            </w:r>
            <w:r>
              <w:rPr>
                <w:rFonts w:hint="eastAsia" w:eastAsia="仿宋_GB2312"/>
                <w:kern w:val="0"/>
                <w:szCs w:val="21"/>
                <w:lang w:val="en-US" w:eastAsia="zh-CN"/>
              </w:rPr>
              <w:t>6</w:t>
            </w:r>
            <w:r>
              <w:rPr>
                <w:rFonts w:hint="eastAsia" w:eastAsia="仿宋_GB2312"/>
                <w:kern w:val="0"/>
                <w:szCs w:val="21"/>
              </w:rPr>
              <w:t>5</w:t>
            </w:r>
          </w:p>
        </w:tc>
        <w:tc>
          <w:tcPr>
            <w:tcW w:w="605" w:type="pct"/>
            <w:vMerge w:val="restart"/>
            <w:tcBorders>
              <w:tl2br w:val="nil"/>
              <w:tr2bl w:val="nil"/>
            </w:tcBorders>
            <w:vAlign w:val="center"/>
          </w:tcPr>
          <w:p w14:paraId="59561785">
            <w:pPr>
              <w:widowControl/>
              <w:jc w:val="center"/>
              <w:rPr>
                <w:rFonts w:eastAsia="仿宋_GB2312"/>
                <w:kern w:val="0"/>
                <w:szCs w:val="21"/>
              </w:rPr>
            </w:pPr>
            <w:r>
              <w:rPr>
                <w:rFonts w:eastAsia="仿宋_GB2312"/>
                <w:bCs/>
              </w:rPr>
              <w:t>回收综合利用量增加，危废代码增加</w:t>
            </w:r>
          </w:p>
        </w:tc>
      </w:tr>
      <w:tr w14:paraId="0EE7EE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3" w:type="pct"/>
            <w:vMerge w:val="continue"/>
            <w:tcBorders>
              <w:tl2br w:val="nil"/>
              <w:tr2bl w:val="nil"/>
            </w:tcBorders>
            <w:vAlign w:val="center"/>
          </w:tcPr>
          <w:p w14:paraId="31F093AD">
            <w:pPr>
              <w:widowControl/>
              <w:jc w:val="center"/>
              <w:rPr>
                <w:rFonts w:eastAsia="仿宋_GB2312"/>
                <w:kern w:val="0"/>
                <w:szCs w:val="21"/>
              </w:rPr>
            </w:pPr>
          </w:p>
        </w:tc>
        <w:tc>
          <w:tcPr>
            <w:tcW w:w="372" w:type="pct"/>
            <w:vMerge w:val="continue"/>
            <w:tcBorders>
              <w:tl2br w:val="nil"/>
              <w:tr2bl w:val="nil"/>
            </w:tcBorders>
            <w:vAlign w:val="center"/>
          </w:tcPr>
          <w:p w14:paraId="755E24C4">
            <w:pPr>
              <w:widowControl/>
              <w:jc w:val="center"/>
              <w:rPr>
                <w:rFonts w:eastAsia="仿宋_GB2312"/>
                <w:kern w:val="0"/>
                <w:szCs w:val="21"/>
              </w:rPr>
            </w:pPr>
          </w:p>
        </w:tc>
        <w:tc>
          <w:tcPr>
            <w:tcW w:w="394" w:type="pct"/>
            <w:tcBorders>
              <w:tl2br w:val="nil"/>
              <w:tr2bl w:val="nil"/>
            </w:tcBorders>
            <w:shd w:val="clear" w:color="auto" w:fill="auto"/>
            <w:vAlign w:val="center"/>
          </w:tcPr>
          <w:p w14:paraId="37B57A00">
            <w:pPr>
              <w:widowControl/>
              <w:jc w:val="center"/>
              <w:rPr>
                <w:rFonts w:eastAsia="仿宋_GB2312"/>
                <w:kern w:val="0"/>
                <w:szCs w:val="21"/>
              </w:rPr>
            </w:pPr>
            <w:r>
              <w:rPr>
                <w:rFonts w:hint="eastAsia" w:eastAsia="仿宋_GB2312"/>
                <w:kern w:val="0"/>
                <w:szCs w:val="21"/>
              </w:rPr>
              <w:t>/</w:t>
            </w:r>
          </w:p>
        </w:tc>
        <w:tc>
          <w:tcPr>
            <w:tcW w:w="1042" w:type="pct"/>
            <w:tcBorders>
              <w:tl2br w:val="nil"/>
              <w:tr2bl w:val="nil"/>
            </w:tcBorders>
            <w:shd w:val="clear" w:color="auto" w:fill="auto"/>
            <w:vAlign w:val="center"/>
          </w:tcPr>
          <w:p w14:paraId="48162326">
            <w:pPr>
              <w:widowControl/>
              <w:jc w:val="center"/>
              <w:rPr>
                <w:rFonts w:eastAsia="仿宋_GB2312"/>
                <w:kern w:val="0"/>
                <w:szCs w:val="21"/>
              </w:rPr>
            </w:pPr>
            <w:r>
              <w:rPr>
                <w:rFonts w:hint="eastAsia" w:eastAsia="仿宋_GB2312"/>
                <w:kern w:val="0"/>
                <w:szCs w:val="21"/>
              </w:rPr>
              <w:t>/</w:t>
            </w:r>
          </w:p>
        </w:tc>
        <w:tc>
          <w:tcPr>
            <w:tcW w:w="465" w:type="pct"/>
            <w:vMerge w:val="continue"/>
            <w:tcBorders>
              <w:tl2br w:val="nil"/>
              <w:tr2bl w:val="nil"/>
            </w:tcBorders>
            <w:vAlign w:val="center"/>
          </w:tcPr>
          <w:p w14:paraId="144F37C8">
            <w:pPr>
              <w:widowControl/>
              <w:jc w:val="center"/>
              <w:rPr>
                <w:rFonts w:eastAsia="仿宋_GB2312"/>
                <w:kern w:val="0"/>
                <w:szCs w:val="21"/>
              </w:rPr>
            </w:pPr>
          </w:p>
        </w:tc>
        <w:tc>
          <w:tcPr>
            <w:tcW w:w="384" w:type="pct"/>
            <w:tcBorders>
              <w:tl2br w:val="nil"/>
              <w:tr2bl w:val="nil"/>
            </w:tcBorders>
            <w:shd w:val="clear" w:color="auto" w:fill="auto"/>
            <w:vAlign w:val="center"/>
          </w:tcPr>
          <w:p w14:paraId="3E1BB85E">
            <w:pPr>
              <w:widowControl/>
              <w:jc w:val="center"/>
              <w:textAlignment w:val="center"/>
              <w:rPr>
                <w:rFonts w:eastAsia="仿宋_GB2312"/>
                <w:kern w:val="0"/>
                <w:szCs w:val="21"/>
              </w:rPr>
            </w:pPr>
            <w:r>
              <w:rPr>
                <w:b/>
                <w:bCs/>
                <w:kern w:val="0"/>
                <w:szCs w:val="21"/>
                <w:lang w:bidi="ar"/>
              </w:rPr>
              <w:t>HW04</w:t>
            </w:r>
          </w:p>
        </w:tc>
        <w:tc>
          <w:tcPr>
            <w:tcW w:w="1059" w:type="pct"/>
            <w:tcBorders>
              <w:tl2br w:val="nil"/>
              <w:tr2bl w:val="nil"/>
            </w:tcBorders>
            <w:shd w:val="clear" w:color="auto" w:fill="auto"/>
            <w:vAlign w:val="center"/>
          </w:tcPr>
          <w:p w14:paraId="487CB747">
            <w:pPr>
              <w:widowControl/>
              <w:jc w:val="center"/>
              <w:textAlignment w:val="center"/>
              <w:rPr>
                <w:rFonts w:eastAsia="仿宋_GB2312"/>
                <w:kern w:val="0"/>
                <w:szCs w:val="21"/>
              </w:rPr>
            </w:pPr>
            <w:r>
              <w:rPr>
                <w:b/>
                <w:bCs/>
                <w:kern w:val="0"/>
                <w:szCs w:val="21"/>
                <w:lang w:bidi="ar"/>
              </w:rPr>
              <w:t>263-008-04</w:t>
            </w:r>
          </w:p>
        </w:tc>
        <w:tc>
          <w:tcPr>
            <w:tcW w:w="423" w:type="pct"/>
            <w:vMerge w:val="continue"/>
            <w:tcBorders>
              <w:tl2br w:val="nil"/>
              <w:tr2bl w:val="nil"/>
            </w:tcBorders>
            <w:vAlign w:val="center"/>
          </w:tcPr>
          <w:p w14:paraId="7390036B">
            <w:pPr>
              <w:widowControl/>
              <w:jc w:val="center"/>
              <w:rPr>
                <w:rFonts w:eastAsia="仿宋_GB2312"/>
                <w:kern w:val="0"/>
                <w:szCs w:val="21"/>
              </w:rPr>
            </w:pPr>
          </w:p>
        </w:tc>
        <w:tc>
          <w:tcPr>
            <w:tcW w:w="605" w:type="pct"/>
            <w:vMerge w:val="continue"/>
            <w:tcBorders>
              <w:tl2br w:val="nil"/>
              <w:tr2bl w:val="nil"/>
            </w:tcBorders>
            <w:vAlign w:val="center"/>
          </w:tcPr>
          <w:p w14:paraId="76E01DE6">
            <w:pPr>
              <w:widowControl/>
              <w:jc w:val="center"/>
              <w:rPr>
                <w:rFonts w:eastAsia="仿宋_GB2312"/>
                <w:bCs/>
              </w:rPr>
            </w:pPr>
          </w:p>
        </w:tc>
      </w:tr>
      <w:tr w14:paraId="375EE8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3" w:type="pct"/>
            <w:vMerge w:val="continue"/>
            <w:tcBorders>
              <w:tl2br w:val="nil"/>
              <w:tr2bl w:val="nil"/>
            </w:tcBorders>
            <w:vAlign w:val="center"/>
          </w:tcPr>
          <w:p w14:paraId="72B483C7">
            <w:pPr>
              <w:widowControl/>
              <w:jc w:val="center"/>
              <w:rPr>
                <w:rFonts w:eastAsia="仿宋_GB2312"/>
                <w:kern w:val="0"/>
                <w:szCs w:val="21"/>
              </w:rPr>
            </w:pPr>
          </w:p>
        </w:tc>
        <w:tc>
          <w:tcPr>
            <w:tcW w:w="372" w:type="pct"/>
            <w:vMerge w:val="continue"/>
            <w:tcBorders>
              <w:tl2br w:val="nil"/>
              <w:tr2bl w:val="nil"/>
            </w:tcBorders>
            <w:vAlign w:val="center"/>
          </w:tcPr>
          <w:p w14:paraId="123051BF">
            <w:pPr>
              <w:widowControl/>
              <w:jc w:val="center"/>
              <w:rPr>
                <w:rFonts w:eastAsia="仿宋_GB2312"/>
                <w:kern w:val="0"/>
                <w:szCs w:val="21"/>
              </w:rPr>
            </w:pPr>
          </w:p>
        </w:tc>
        <w:tc>
          <w:tcPr>
            <w:tcW w:w="394" w:type="pct"/>
            <w:tcBorders>
              <w:tl2br w:val="nil"/>
              <w:tr2bl w:val="nil"/>
            </w:tcBorders>
            <w:vAlign w:val="center"/>
          </w:tcPr>
          <w:p w14:paraId="62BCC7F4">
            <w:pPr>
              <w:widowControl/>
              <w:jc w:val="center"/>
              <w:rPr>
                <w:rFonts w:eastAsia="仿宋_GB2312"/>
                <w:kern w:val="0"/>
                <w:szCs w:val="21"/>
              </w:rPr>
            </w:pPr>
            <w:r>
              <w:rPr>
                <w:rFonts w:eastAsia="仿宋_GB2312"/>
                <w:kern w:val="0"/>
                <w:szCs w:val="21"/>
              </w:rPr>
              <w:t>HW06</w:t>
            </w:r>
          </w:p>
        </w:tc>
        <w:tc>
          <w:tcPr>
            <w:tcW w:w="1042" w:type="pct"/>
            <w:tcBorders>
              <w:tl2br w:val="nil"/>
              <w:tr2bl w:val="nil"/>
            </w:tcBorders>
            <w:vAlign w:val="center"/>
          </w:tcPr>
          <w:p w14:paraId="7F4FC4FC">
            <w:pPr>
              <w:widowControl/>
              <w:jc w:val="center"/>
              <w:rPr>
                <w:rFonts w:eastAsia="仿宋_GB2312"/>
                <w:kern w:val="0"/>
                <w:szCs w:val="21"/>
              </w:rPr>
            </w:pPr>
            <w:r>
              <w:rPr>
                <w:rFonts w:eastAsia="仿宋_GB2312"/>
                <w:kern w:val="0"/>
                <w:szCs w:val="21"/>
              </w:rPr>
              <w:t>900-402-06，900-404-06，900-407-06</w:t>
            </w:r>
          </w:p>
        </w:tc>
        <w:tc>
          <w:tcPr>
            <w:tcW w:w="465" w:type="pct"/>
            <w:vMerge w:val="continue"/>
            <w:tcBorders>
              <w:tl2br w:val="nil"/>
              <w:tr2bl w:val="nil"/>
            </w:tcBorders>
            <w:vAlign w:val="center"/>
          </w:tcPr>
          <w:p w14:paraId="32450696">
            <w:pPr>
              <w:widowControl/>
              <w:jc w:val="center"/>
              <w:rPr>
                <w:rFonts w:eastAsia="仿宋_GB2312"/>
                <w:kern w:val="0"/>
                <w:szCs w:val="21"/>
              </w:rPr>
            </w:pPr>
          </w:p>
        </w:tc>
        <w:tc>
          <w:tcPr>
            <w:tcW w:w="384" w:type="pct"/>
            <w:tcBorders>
              <w:tl2br w:val="nil"/>
              <w:tr2bl w:val="nil"/>
            </w:tcBorders>
            <w:shd w:val="clear" w:color="auto" w:fill="auto"/>
            <w:vAlign w:val="center"/>
          </w:tcPr>
          <w:p w14:paraId="1D1A78E5">
            <w:pPr>
              <w:widowControl/>
              <w:jc w:val="center"/>
              <w:textAlignment w:val="center"/>
              <w:rPr>
                <w:rFonts w:eastAsia="仿宋_GB2312"/>
                <w:kern w:val="0"/>
                <w:szCs w:val="21"/>
              </w:rPr>
            </w:pPr>
            <w:r>
              <w:rPr>
                <w:kern w:val="0"/>
                <w:szCs w:val="21"/>
                <w:lang w:bidi="ar"/>
              </w:rPr>
              <w:t>HW06</w:t>
            </w:r>
          </w:p>
        </w:tc>
        <w:tc>
          <w:tcPr>
            <w:tcW w:w="1059" w:type="pct"/>
            <w:tcBorders>
              <w:tl2br w:val="nil"/>
              <w:tr2bl w:val="nil"/>
            </w:tcBorders>
            <w:shd w:val="clear" w:color="auto" w:fill="auto"/>
            <w:vAlign w:val="center"/>
          </w:tcPr>
          <w:p w14:paraId="1B9C98D9">
            <w:pPr>
              <w:widowControl/>
              <w:jc w:val="center"/>
              <w:textAlignment w:val="center"/>
              <w:rPr>
                <w:rFonts w:eastAsia="仿宋_GB2312"/>
                <w:kern w:val="0"/>
                <w:szCs w:val="21"/>
              </w:rPr>
            </w:pPr>
            <w:r>
              <w:rPr>
                <w:kern w:val="0"/>
                <w:szCs w:val="21"/>
                <w:lang w:bidi="ar"/>
              </w:rPr>
              <w:t>900-402-06</w:t>
            </w:r>
            <w:r>
              <w:rPr>
                <w:rFonts w:ascii="仿宋_GB2312" w:eastAsia="仿宋_GB2312" w:cs="仿宋_GB2312"/>
                <w:kern w:val="0"/>
                <w:szCs w:val="21"/>
                <w:lang w:bidi="ar"/>
              </w:rPr>
              <w:t>，</w:t>
            </w:r>
            <w:r>
              <w:rPr>
                <w:kern w:val="0"/>
                <w:szCs w:val="21"/>
                <w:lang w:bidi="ar"/>
              </w:rPr>
              <w:t>900-404-06</w:t>
            </w:r>
            <w:r>
              <w:rPr>
                <w:rFonts w:ascii="仿宋_GB2312" w:eastAsia="仿宋_GB2312" w:cs="仿宋_GB2312"/>
                <w:kern w:val="0"/>
                <w:szCs w:val="21"/>
                <w:lang w:bidi="ar"/>
              </w:rPr>
              <w:t>，</w:t>
            </w:r>
            <w:r>
              <w:rPr>
                <w:kern w:val="0"/>
                <w:szCs w:val="21"/>
                <w:lang w:bidi="ar"/>
              </w:rPr>
              <w:t>900-407-06</w:t>
            </w:r>
          </w:p>
        </w:tc>
        <w:tc>
          <w:tcPr>
            <w:tcW w:w="423" w:type="pct"/>
            <w:vMerge w:val="continue"/>
            <w:tcBorders>
              <w:tl2br w:val="nil"/>
              <w:tr2bl w:val="nil"/>
            </w:tcBorders>
            <w:vAlign w:val="center"/>
          </w:tcPr>
          <w:p w14:paraId="61A08463">
            <w:pPr>
              <w:widowControl/>
              <w:jc w:val="center"/>
              <w:rPr>
                <w:rFonts w:eastAsia="仿宋_GB2312"/>
                <w:kern w:val="0"/>
                <w:szCs w:val="21"/>
              </w:rPr>
            </w:pPr>
          </w:p>
        </w:tc>
        <w:tc>
          <w:tcPr>
            <w:tcW w:w="605" w:type="pct"/>
            <w:vMerge w:val="continue"/>
            <w:tcBorders>
              <w:tl2br w:val="nil"/>
              <w:tr2bl w:val="nil"/>
            </w:tcBorders>
            <w:vAlign w:val="center"/>
          </w:tcPr>
          <w:p w14:paraId="6603B5B6">
            <w:pPr>
              <w:widowControl/>
              <w:jc w:val="center"/>
              <w:rPr>
                <w:rFonts w:eastAsia="仿宋_GB2312"/>
                <w:kern w:val="0"/>
                <w:szCs w:val="21"/>
              </w:rPr>
            </w:pPr>
          </w:p>
        </w:tc>
      </w:tr>
      <w:tr w14:paraId="6B2D15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3" w:type="pct"/>
            <w:vMerge w:val="continue"/>
            <w:tcBorders>
              <w:tl2br w:val="nil"/>
              <w:tr2bl w:val="nil"/>
            </w:tcBorders>
            <w:vAlign w:val="center"/>
          </w:tcPr>
          <w:p w14:paraId="4F0E1B7C">
            <w:pPr>
              <w:widowControl/>
              <w:jc w:val="center"/>
              <w:rPr>
                <w:rFonts w:eastAsia="仿宋_GB2312"/>
                <w:kern w:val="0"/>
                <w:szCs w:val="21"/>
              </w:rPr>
            </w:pPr>
          </w:p>
        </w:tc>
        <w:tc>
          <w:tcPr>
            <w:tcW w:w="372" w:type="pct"/>
            <w:vMerge w:val="continue"/>
            <w:tcBorders>
              <w:tl2br w:val="nil"/>
              <w:tr2bl w:val="nil"/>
            </w:tcBorders>
            <w:vAlign w:val="center"/>
          </w:tcPr>
          <w:p w14:paraId="6B413F15">
            <w:pPr>
              <w:widowControl/>
              <w:jc w:val="center"/>
              <w:rPr>
                <w:rFonts w:eastAsia="仿宋_GB2312"/>
                <w:kern w:val="0"/>
                <w:szCs w:val="21"/>
              </w:rPr>
            </w:pPr>
          </w:p>
        </w:tc>
        <w:tc>
          <w:tcPr>
            <w:tcW w:w="394" w:type="pct"/>
            <w:tcBorders>
              <w:tl2br w:val="nil"/>
              <w:tr2bl w:val="nil"/>
            </w:tcBorders>
            <w:vAlign w:val="center"/>
          </w:tcPr>
          <w:p w14:paraId="411DFD11">
            <w:pPr>
              <w:widowControl/>
              <w:jc w:val="center"/>
              <w:rPr>
                <w:rFonts w:eastAsia="仿宋_GB2312"/>
                <w:kern w:val="0"/>
                <w:szCs w:val="21"/>
              </w:rPr>
            </w:pPr>
            <w:r>
              <w:rPr>
                <w:rFonts w:eastAsia="仿宋_GB2312"/>
                <w:kern w:val="0"/>
                <w:szCs w:val="21"/>
              </w:rPr>
              <w:t>HW11</w:t>
            </w:r>
          </w:p>
        </w:tc>
        <w:tc>
          <w:tcPr>
            <w:tcW w:w="1042" w:type="pct"/>
            <w:tcBorders>
              <w:tl2br w:val="nil"/>
              <w:tr2bl w:val="nil"/>
            </w:tcBorders>
            <w:vAlign w:val="center"/>
          </w:tcPr>
          <w:p w14:paraId="36825981">
            <w:pPr>
              <w:widowControl/>
              <w:jc w:val="center"/>
              <w:rPr>
                <w:rFonts w:eastAsia="仿宋_GB2312"/>
                <w:kern w:val="0"/>
                <w:szCs w:val="21"/>
              </w:rPr>
            </w:pPr>
            <w:r>
              <w:rPr>
                <w:rFonts w:eastAsia="仿宋_GB2312"/>
                <w:kern w:val="0"/>
                <w:szCs w:val="21"/>
              </w:rPr>
              <w:t>900-013-11，261-128-11，261-129-11，261-130-11，261-013-11，261-031-11</w:t>
            </w:r>
          </w:p>
        </w:tc>
        <w:tc>
          <w:tcPr>
            <w:tcW w:w="465" w:type="pct"/>
            <w:vMerge w:val="continue"/>
            <w:tcBorders>
              <w:tl2br w:val="nil"/>
              <w:tr2bl w:val="nil"/>
            </w:tcBorders>
            <w:vAlign w:val="center"/>
          </w:tcPr>
          <w:p w14:paraId="41B08C05">
            <w:pPr>
              <w:widowControl/>
              <w:jc w:val="center"/>
              <w:rPr>
                <w:rFonts w:eastAsia="仿宋_GB2312"/>
                <w:kern w:val="0"/>
                <w:szCs w:val="21"/>
              </w:rPr>
            </w:pPr>
          </w:p>
        </w:tc>
        <w:tc>
          <w:tcPr>
            <w:tcW w:w="384" w:type="pct"/>
            <w:tcBorders>
              <w:tl2br w:val="nil"/>
              <w:tr2bl w:val="nil"/>
            </w:tcBorders>
            <w:shd w:val="clear" w:color="auto" w:fill="auto"/>
            <w:vAlign w:val="center"/>
          </w:tcPr>
          <w:p w14:paraId="2CF873B5">
            <w:pPr>
              <w:widowControl/>
              <w:jc w:val="center"/>
              <w:textAlignment w:val="center"/>
              <w:rPr>
                <w:rFonts w:eastAsia="仿宋_GB2312"/>
                <w:kern w:val="0"/>
                <w:szCs w:val="21"/>
              </w:rPr>
            </w:pPr>
            <w:r>
              <w:rPr>
                <w:kern w:val="0"/>
                <w:szCs w:val="21"/>
                <w:lang w:bidi="ar"/>
              </w:rPr>
              <w:t>HW11</w:t>
            </w:r>
          </w:p>
        </w:tc>
        <w:tc>
          <w:tcPr>
            <w:tcW w:w="1059" w:type="pct"/>
            <w:tcBorders>
              <w:tl2br w:val="nil"/>
              <w:tr2bl w:val="nil"/>
            </w:tcBorders>
            <w:shd w:val="clear" w:color="auto" w:fill="auto"/>
            <w:vAlign w:val="center"/>
          </w:tcPr>
          <w:p w14:paraId="527BC311">
            <w:pPr>
              <w:widowControl/>
              <w:jc w:val="center"/>
              <w:textAlignment w:val="center"/>
              <w:rPr>
                <w:rFonts w:eastAsia="仿宋_GB2312"/>
                <w:kern w:val="0"/>
                <w:szCs w:val="21"/>
              </w:rPr>
            </w:pPr>
            <w:r>
              <w:rPr>
                <w:kern w:val="0"/>
                <w:szCs w:val="21"/>
                <w:lang w:bidi="ar"/>
              </w:rPr>
              <w:t>900-013-11</w:t>
            </w:r>
            <w:r>
              <w:rPr>
                <w:rFonts w:ascii="仿宋_GB2312" w:eastAsia="仿宋_GB2312" w:cs="仿宋_GB2312"/>
                <w:kern w:val="0"/>
                <w:szCs w:val="21"/>
                <w:lang w:bidi="ar"/>
              </w:rPr>
              <w:t>，</w:t>
            </w:r>
            <w:r>
              <w:rPr>
                <w:kern w:val="0"/>
                <w:szCs w:val="21"/>
                <w:lang w:bidi="ar"/>
              </w:rPr>
              <w:t>261-128-11</w:t>
            </w:r>
            <w:r>
              <w:rPr>
                <w:rFonts w:ascii="仿宋_GB2312" w:eastAsia="仿宋_GB2312" w:cs="仿宋_GB2312"/>
                <w:kern w:val="0"/>
                <w:szCs w:val="21"/>
                <w:lang w:bidi="ar"/>
              </w:rPr>
              <w:t>，</w:t>
            </w:r>
            <w:r>
              <w:rPr>
                <w:kern w:val="0"/>
                <w:szCs w:val="21"/>
                <w:lang w:bidi="ar"/>
              </w:rPr>
              <w:t>261-129-11</w:t>
            </w:r>
            <w:r>
              <w:rPr>
                <w:rFonts w:ascii="仿宋_GB2312" w:eastAsia="仿宋_GB2312" w:cs="仿宋_GB2312"/>
                <w:kern w:val="0"/>
                <w:szCs w:val="21"/>
                <w:lang w:bidi="ar"/>
              </w:rPr>
              <w:t>，</w:t>
            </w:r>
            <w:r>
              <w:rPr>
                <w:kern w:val="0"/>
                <w:szCs w:val="21"/>
                <w:lang w:bidi="ar"/>
              </w:rPr>
              <w:t>261-130-11</w:t>
            </w:r>
            <w:r>
              <w:rPr>
                <w:rFonts w:ascii="仿宋_GB2312" w:eastAsia="仿宋_GB2312" w:cs="仿宋_GB2312"/>
                <w:kern w:val="0"/>
                <w:szCs w:val="21"/>
                <w:lang w:bidi="ar"/>
              </w:rPr>
              <w:t>，</w:t>
            </w:r>
            <w:r>
              <w:rPr>
                <w:kern w:val="0"/>
                <w:szCs w:val="21"/>
                <w:lang w:bidi="ar"/>
              </w:rPr>
              <w:t>261-013-11</w:t>
            </w:r>
            <w:r>
              <w:rPr>
                <w:rFonts w:ascii="仿宋_GB2312" w:eastAsia="仿宋_GB2312" w:cs="仿宋_GB2312"/>
                <w:kern w:val="0"/>
                <w:szCs w:val="21"/>
                <w:lang w:bidi="ar"/>
              </w:rPr>
              <w:t>，</w:t>
            </w:r>
            <w:r>
              <w:rPr>
                <w:kern w:val="0"/>
                <w:szCs w:val="21"/>
                <w:lang w:bidi="ar"/>
              </w:rPr>
              <w:t>261-031-11</w:t>
            </w:r>
            <w:r>
              <w:rPr>
                <w:rFonts w:hint="eastAsia" w:ascii="宋体" w:hAnsi="宋体" w:cs="宋体"/>
                <w:kern w:val="0"/>
                <w:szCs w:val="21"/>
                <w:lang w:bidi="ar"/>
              </w:rPr>
              <w:t>，</w:t>
            </w:r>
            <w:r>
              <w:rPr>
                <w:b/>
                <w:bCs/>
                <w:kern w:val="0"/>
                <w:szCs w:val="21"/>
                <w:lang w:bidi="ar"/>
              </w:rPr>
              <w:t>261-012-11</w:t>
            </w:r>
            <w:r>
              <w:rPr>
                <w:rFonts w:hint="eastAsia" w:ascii="宋体" w:hAnsi="宋体" w:cs="宋体"/>
                <w:b/>
                <w:bCs/>
                <w:kern w:val="0"/>
                <w:szCs w:val="21"/>
                <w:lang w:bidi="ar"/>
              </w:rPr>
              <w:t>，</w:t>
            </w:r>
            <w:r>
              <w:rPr>
                <w:b/>
                <w:bCs/>
                <w:kern w:val="0"/>
                <w:szCs w:val="21"/>
                <w:lang w:bidi="ar"/>
              </w:rPr>
              <w:t>261-106-11</w:t>
            </w:r>
          </w:p>
        </w:tc>
        <w:tc>
          <w:tcPr>
            <w:tcW w:w="423" w:type="pct"/>
            <w:vMerge w:val="continue"/>
            <w:tcBorders>
              <w:tl2br w:val="nil"/>
              <w:tr2bl w:val="nil"/>
            </w:tcBorders>
            <w:vAlign w:val="center"/>
          </w:tcPr>
          <w:p w14:paraId="70F7349F">
            <w:pPr>
              <w:widowControl/>
              <w:jc w:val="center"/>
              <w:rPr>
                <w:rFonts w:eastAsia="仿宋_GB2312"/>
                <w:kern w:val="0"/>
                <w:szCs w:val="21"/>
              </w:rPr>
            </w:pPr>
          </w:p>
        </w:tc>
        <w:tc>
          <w:tcPr>
            <w:tcW w:w="605" w:type="pct"/>
            <w:vMerge w:val="continue"/>
            <w:tcBorders>
              <w:tl2br w:val="nil"/>
              <w:tr2bl w:val="nil"/>
            </w:tcBorders>
            <w:vAlign w:val="center"/>
          </w:tcPr>
          <w:p w14:paraId="56AAA29C">
            <w:pPr>
              <w:widowControl/>
              <w:jc w:val="center"/>
              <w:rPr>
                <w:rFonts w:eastAsia="仿宋_GB2312"/>
                <w:kern w:val="0"/>
                <w:szCs w:val="21"/>
              </w:rPr>
            </w:pPr>
          </w:p>
        </w:tc>
      </w:tr>
      <w:tr w14:paraId="768305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3" w:type="pct"/>
            <w:vMerge w:val="continue"/>
            <w:tcBorders>
              <w:tl2br w:val="nil"/>
              <w:tr2bl w:val="nil"/>
            </w:tcBorders>
            <w:vAlign w:val="center"/>
          </w:tcPr>
          <w:p w14:paraId="3B9B35B6">
            <w:pPr>
              <w:widowControl/>
              <w:jc w:val="center"/>
              <w:rPr>
                <w:rFonts w:eastAsia="仿宋_GB2312"/>
                <w:kern w:val="0"/>
                <w:szCs w:val="21"/>
              </w:rPr>
            </w:pPr>
          </w:p>
        </w:tc>
        <w:tc>
          <w:tcPr>
            <w:tcW w:w="372" w:type="pct"/>
            <w:vMerge w:val="continue"/>
            <w:tcBorders>
              <w:tl2br w:val="nil"/>
              <w:tr2bl w:val="nil"/>
            </w:tcBorders>
            <w:vAlign w:val="center"/>
          </w:tcPr>
          <w:p w14:paraId="4C685591">
            <w:pPr>
              <w:widowControl/>
              <w:jc w:val="center"/>
              <w:rPr>
                <w:rFonts w:eastAsia="仿宋_GB2312"/>
                <w:kern w:val="0"/>
                <w:szCs w:val="21"/>
              </w:rPr>
            </w:pPr>
          </w:p>
        </w:tc>
        <w:tc>
          <w:tcPr>
            <w:tcW w:w="394" w:type="pct"/>
            <w:tcBorders>
              <w:tl2br w:val="nil"/>
              <w:tr2bl w:val="nil"/>
            </w:tcBorders>
            <w:vAlign w:val="center"/>
          </w:tcPr>
          <w:p w14:paraId="59A77C55">
            <w:pPr>
              <w:widowControl/>
              <w:jc w:val="center"/>
              <w:rPr>
                <w:rFonts w:eastAsia="仿宋_GB2312"/>
                <w:kern w:val="0"/>
                <w:szCs w:val="21"/>
              </w:rPr>
            </w:pPr>
            <w:r>
              <w:rPr>
                <w:rFonts w:eastAsia="仿宋_GB2312"/>
                <w:kern w:val="0"/>
                <w:szCs w:val="21"/>
              </w:rPr>
              <w:t>HW12</w:t>
            </w:r>
          </w:p>
        </w:tc>
        <w:tc>
          <w:tcPr>
            <w:tcW w:w="1042" w:type="pct"/>
            <w:tcBorders>
              <w:tl2br w:val="nil"/>
              <w:tr2bl w:val="nil"/>
            </w:tcBorders>
            <w:vAlign w:val="center"/>
          </w:tcPr>
          <w:p w14:paraId="0959AEDC">
            <w:pPr>
              <w:widowControl/>
              <w:jc w:val="center"/>
              <w:rPr>
                <w:rFonts w:eastAsia="仿宋_GB2312"/>
                <w:kern w:val="0"/>
                <w:szCs w:val="21"/>
              </w:rPr>
            </w:pPr>
            <w:r>
              <w:rPr>
                <w:rFonts w:eastAsia="仿宋_GB2312"/>
                <w:kern w:val="0"/>
                <w:szCs w:val="21"/>
              </w:rPr>
              <w:t>264-011-12，264-013-12，900-250-12，900-251-12，900-252-12，900-253-12</w:t>
            </w:r>
          </w:p>
        </w:tc>
        <w:tc>
          <w:tcPr>
            <w:tcW w:w="465" w:type="pct"/>
            <w:vMerge w:val="continue"/>
            <w:tcBorders>
              <w:tl2br w:val="nil"/>
              <w:tr2bl w:val="nil"/>
            </w:tcBorders>
            <w:vAlign w:val="center"/>
          </w:tcPr>
          <w:p w14:paraId="5095E990">
            <w:pPr>
              <w:widowControl/>
              <w:jc w:val="center"/>
              <w:rPr>
                <w:rFonts w:eastAsia="仿宋_GB2312"/>
                <w:kern w:val="0"/>
                <w:szCs w:val="21"/>
              </w:rPr>
            </w:pPr>
          </w:p>
        </w:tc>
        <w:tc>
          <w:tcPr>
            <w:tcW w:w="384" w:type="pct"/>
            <w:tcBorders>
              <w:tl2br w:val="nil"/>
              <w:tr2bl w:val="nil"/>
            </w:tcBorders>
            <w:shd w:val="clear" w:color="auto" w:fill="auto"/>
            <w:vAlign w:val="center"/>
          </w:tcPr>
          <w:p w14:paraId="222E29A2">
            <w:pPr>
              <w:widowControl/>
              <w:jc w:val="center"/>
              <w:textAlignment w:val="center"/>
              <w:rPr>
                <w:rFonts w:eastAsia="仿宋_GB2312"/>
                <w:kern w:val="0"/>
                <w:szCs w:val="21"/>
              </w:rPr>
            </w:pPr>
            <w:r>
              <w:rPr>
                <w:kern w:val="0"/>
                <w:szCs w:val="21"/>
                <w:lang w:bidi="ar"/>
              </w:rPr>
              <w:t>HW12</w:t>
            </w:r>
          </w:p>
        </w:tc>
        <w:tc>
          <w:tcPr>
            <w:tcW w:w="1059" w:type="pct"/>
            <w:tcBorders>
              <w:tl2br w:val="nil"/>
              <w:tr2bl w:val="nil"/>
            </w:tcBorders>
            <w:shd w:val="clear" w:color="auto" w:fill="auto"/>
            <w:vAlign w:val="center"/>
          </w:tcPr>
          <w:p w14:paraId="5FFFEA0A">
            <w:pPr>
              <w:widowControl/>
              <w:jc w:val="center"/>
              <w:textAlignment w:val="center"/>
              <w:rPr>
                <w:rFonts w:eastAsia="仿宋_GB2312"/>
                <w:kern w:val="0"/>
                <w:szCs w:val="21"/>
              </w:rPr>
            </w:pPr>
            <w:r>
              <w:rPr>
                <w:kern w:val="0"/>
                <w:szCs w:val="21"/>
                <w:lang w:bidi="ar"/>
              </w:rPr>
              <w:t>264-011-12</w:t>
            </w:r>
            <w:r>
              <w:rPr>
                <w:rFonts w:ascii="仿宋_GB2312" w:eastAsia="仿宋_GB2312" w:cs="仿宋_GB2312"/>
                <w:kern w:val="0"/>
                <w:szCs w:val="21"/>
                <w:lang w:bidi="ar"/>
              </w:rPr>
              <w:t>，</w:t>
            </w:r>
            <w:r>
              <w:rPr>
                <w:kern w:val="0"/>
                <w:szCs w:val="21"/>
                <w:lang w:bidi="ar"/>
              </w:rPr>
              <w:t>264-013-12</w:t>
            </w:r>
            <w:r>
              <w:rPr>
                <w:rFonts w:ascii="仿宋_GB2312" w:eastAsia="仿宋_GB2312" w:cs="仿宋_GB2312"/>
                <w:kern w:val="0"/>
                <w:szCs w:val="21"/>
                <w:lang w:bidi="ar"/>
              </w:rPr>
              <w:t>，</w:t>
            </w:r>
            <w:r>
              <w:rPr>
                <w:kern w:val="0"/>
                <w:szCs w:val="21"/>
                <w:lang w:bidi="ar"/>
              </w:rPr>
              <w:t>900-250-12</w:t>
            </w:r>
            <w:r>
              <w:rPr>
                <w:rFonts w:ascii="仿宋_GB2312" w:eastAsia="仿宋_GB2312" w:cs="仿宋_GB2312"/>
                <w:kern w:val="0"/>
                <w:szCs w:val="21"/>
                <w:lang w:bidi="ar"/>
              </w:rPr>
              <w:t>，</w:t>
            </w:r>
            <w:r>
              <w:rPr>
                <w:kern w:val="0"/>
                <w:szCs w:val="21"/>
                <w:lang w:bidi="ar"/>
              </w:rPr>
              <w:t>900-251-12</w:t>
            </w:r>
            <w:r>
              <w:rPr>
                <w:rFonts w:ascii="仿宋_GB2312" w:eastAsia="仿宋_GB2312" w:cs="仿宋_GB2312"/>
                <w:kern w:val="0"/>
                <w:szCs w:val="21"/>
                <w:lang w:bidi="ar"/>
              </w:rPr>
              <w:t>，</w:t>
            </w:r>
            <w:r>
              <w:rPr>
                <w:kern w:val="0"/>
                <w:szCs w:val="21"/>
                <w:lang w:bidi="ar"/>
              </w:rPr>
              <w:t>900-252-12</w:t>
            </w:r>
            <w:r>
              <w:rPr>
                <w:rFonts w:ascii="仿宋_GB2312" w:eastAsia="仿宋_GB2312" w:cs="仿宋_GB2312"/>
                <w:kern w:val="0"/>
                <w:szCs w:val="21"/>
                <w:lang w:bidi="ar"/>
              </w:rPr>
              <w:t>，</w:t>
            </w:r>
            <w:r>
              <w:rPr>
                <w:kern w:val="0"/>
                <w:szCs w:val="21"/>
                <w:lang w:bidi="ar"/>
              </w:rPr>
              <w:t>900-253-12</w:t>
            </w:r>
            <w:r>
              <w:rPr>
                <w:rFonts w:hint="eastAsia" w:ascii="宋体" w:hAnsi="宋体" w:cs="宋体"/>
                <w:b/>
                <w:bCs/>
                <w:kern w:val="0"/>
                <w:szCs w:val="21"/>
                <w:lang w:bidi="ar"/>
              </w:rPr>
              <w:t>，</w:t>
            </w:r>
            <w:r>
              <w:rPr>
                <w:b/>
                <w:bCs/>
                <w:kern w:val="0"/>
                <w:szCs w:val="21"/>
                <w:lang w:bidi="ar"/>
              </w:rPr>
              <w:t>900-256-12</w:t>
            </w:r>
          </w:p>
        </w:tc>
        <w:tc>
          <w:tcPr>
            <w:tcW w:w="423" w:type="pct"/>
            <w:vMerge w:val="continue"/>
            <w:tcBorders>
              <w:tl2br w:val="nil"/>
              <w:tr2bl w:val="nil"/>
            </w:tcBorders>
            <w:vAlign w:val="center"/>
          </w:tcPr>
          <w:p w14:paraId="77C278B1">
            <w:pPr>
              <w:widowControl/>
              <w:jc w:val="center"/>
              <w:rPr>
                <w:rFonts w:eastAsia="仿宋_GB2312"/>
                <w:kern w:val="0"/>
                <w:szCs w:val="21"/>
              </w:rPr>
            </w:pPr>
          </w:p>
        </w:tc>
        <w:tc>
          <w:tcPr>
            <w:tcW w:w="605" w:type="pct"/>
            <w:vMerge w:val="continue"/>
            <w:tcBorders>
              <w:tl2br w:val="nil"/>
              <w:tr2bl w:val="nil"/>
            </w:tcBorders>
            <w:vAlign w:val="center"/>
          </w:tcPr>
          <w:p w14:paraId="7A9D1030">
            <w:pPr>
              <w:widowControl/>
              <w:jc w:val="center"/>
              <w:rPr>
                <w:rFonts w:eastAsia="仿宋_GB2312"/>
                <w:kern w:val="0"/>
                <w:szCs w:val="21"/>
              </w:rPr>
            </w:pPr>
          </w:p>
        </w:tc>
      </w:tr>
      <w:tr w14:paraId="1E29E58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3" w:type="pct"/>
            <w:vMerge w:val="continue"/>
            <w:tcBorders>
              <w:tl2br w:val="nil"/>
              <w:tr2bl w:val="nil"/>
            </w:tcBorders>
            <w:vAlign w:val="center"/>
          </w:tcPr>
          <w:p w14:paraId="1B6CBC1F">
            <w:pPr>
              <w:widowControl/>
              <w:jc w:val="center"/>
              <w:rPr>
                <w:rFonts w:eastAsia="仿宋_GB2312"/>
                <w:kern w:val="0"/>
                <w:szCs w:val="21"/>
              </w:rPr>
            </w:pPr>
          </w:p>
        </w:tc>
        <w:tc>
          <w:tcPr>
            <w:tcW w:w="372" w:type="pct"/>
            <w:vMerge w:val="continue"/>
            <w:tcBorders>
              <w:tl2br w:val="nil"/>
              <w:tr2bl w:val="nil"/>
            </w:tcBorders>
            <w:vAlign w:val="center"/>
          </w:tcPr>
          <w:p w14:paraId="3579A556">
            <w:pPr>
              <w:widowControl/>
              <w:jc w:val="center"/>
              <w:rPr>
                <w:rFonts w:eastAsia="仿宋_GB2312"/>
                <w:kern w:val="0"/>
                <w:szCs w:val="21"/>
              </w:rPr>
            </w:pPr>
          </w:p>
        </w:tc>
        <w:tc>
          <w:tcPr>
            <w:tcW w:w="394" w:type="pct"/>
            <w:tcBorders>
              <w:tl2br w:val="nil"/>
              <w:tr2bl w:val="nil"/>
            </w:tcBorders>
            <w:vAlign w:val="center"/>
          </w:tcPr>
          <w:p w14:paraId="16C8B74D">
            <w:pPr>
              <w:widowControl/>
              <w:jc w:val="center"/>
              <w:rPr>
                <w:rFonts w:eastAsia="仿宋_GB2312"/>
                <w:kern w:val="0"/>
                <w:szCs w:val="21"/>
              </w:rPr>
            </w:pPr>
            <w:r>
              <w:rPr>
                <w:rFonts w:eastAsia="仿宋_GB2312"/>
                <w:kern w:val="0"/>
                <w:szCs w:val="21"/>
              </w:rPr>
              <w:t>HW13</w:t>
            </w:r>
          </w:p>
        </w:tc>
        <w:tc>
          <w:tcPr>
            <w:tcW w:w="1042" w:type="pct"/>
            <w:tcBorders>
              <w:tl2br w:val="nil"/>
              <w:tr2bl w:val="nil"/>
            </w:tcBorders>
            <w:vAlign w:val="center"/>
          </w:tcPr>
          <w:p w14:paraId="2D2CBD65">
            <w:pPr>
              <w:widowControl/>
              <w:jc w:val="center"/>
              <w:rPr>
                <w:rFonts w:eastAsia="仿宋_GB2312"/>
                <w:kern w:val="0"/>
                <w:szCs w:val="21"/>
              </w:rPr>
            </w:pPr>
            <w:r>
              <w:rPr>
                <w:rFonts w:eastAsia="仿宋_GB2312"/>
                <w:kern w:val="0"/>
                <w:szCs w:val="21"/>
              </w:rPr>
              <w:t>265-102-13</w:t>
            </w:r>
          </w:p>
        </w:tc>
        <w:tc>
          <w:tcPr>
            <w:tcW w:w="465" w:type="pct"/>
            <w:vMerge w:val="continue"/>
            <w:tcBorders>
              <w:tl2br w:val="nil"/>
              <w:tr2bl w:val="nil"/>
            </w:tcBorders>
            <w:vAlign w:val="center"/>
          </w:tcPr>
          <w:p w14:paraId="286A9CEA">
            <w:pPr>
              <w:widowControl/>
              <w:jc w:val="center"/>
              <w:rPr>
                <w:rFonts w:eastAsia="仿宋_GB2312"/>
                <w:kern w:val="0"/>
                <w:szCs w:val="21"/>
              </w:rPr>
            </w:pPr>
          </w:p>
        </w:tc>
        <w:tc>
          <w:tcPr>
            <w:tcW w:w="384" w:type="pct"/>
            <w:tcBorders>
              <w:tl2br w:val="nil"/>
              <w:tr2bl w:val="nil"/>
            </w:tcBorders>
            <w:shd w:val="clear" w:color="auto" w:fill="auto"/>
            <w:vAlign w:val="center"/>
          </w:tcPr>
          <w:p w14:paraId="1D1292F4">
            <w:pPr>
              <w:widowControl/>
              <w:jc w:val="center"/>
              <w:textAlignment w:val="center"/>
              <w:rPr>
                <w:rFonts w:eastAsia="仿宋_GB2312"/>
                <w:kern w:val="0"/>
                <w:szCs w:val="21"/>
              </w:rPr>
            </w:pPr>
            <w:r>
              <w:rPr>
                <w:kern w:val="0"/>
                <w:szCs w:val="21"/>
                <w:lang w:bidi="ar"/>
              </w:rPr>
              <w:t>HW13</w:t>
            </w:r>
          </w:p>
        </w:tc>
        <w:tc>
          <w:tcPr>
            <w:tcW w:w="1059" w:type="pct"/>
            <w:tcBorders>
              <w:tl2br w:val="nil"/>
              <w:tr2bl w:val="nil"/>
            </w:tcBorders>
            <w:shd w:val="clear" w:color="auto" w:fill="auto"/>
            <w:vAlign w:val="center"/>
          </w:tcPr>
          <w:p w14:paraId="6C9C5B3A">
            <w:pPr>
              <w:widowControl/>
              <w:jc w:val="center"/>
              <w:textAlignment w:val="center"/>
              <w:rPr>
                <w:rFonts w:eastAsia="仿宋_GB2312"/>
                <w:kern w:val="0"/>
                <w:szCs w:val="21"/>
              </w:rPr>
            </w:pPr>
            <w:r>
              <w:rPr>
                <w:kern w:val="0"/>
                <w:szCs w:val="21"/>
                <w:lang w:bidi="ar"/>
              </w:rPr>
              <w:t>265-102-13</w:t>
            </w:r>
            <w:r>
              <w:rPr>
                <w:rFonts w:hint="eastAsia" w:ascii="宋体" w:hAnsi="宋体" w:cs="宋体"/>
                <w:b/>
                <w:bCs/>
                <w:kern w:val="0"/>
                <w:szCs w:val="21"/>
                <w:lang w:bidi="ar"/>
              </w:rPr>
              <w:t>，</w:t>
            </w:r>
            <w:r>
              <w:rPr>
                <w:b/>
                <w:bCs/>
                <w:kern w:val="0"/>
                <w:szCs w:val="21"/>
                <w:lang w:bidi="ar"/>
              </w:rPr>
              <w:t>900-014-13</w:t>
            </w:r>
          </w:p>
        </w:tc>
        <w:tc>
          <w:tcPr>
            <w:tcW w:w="423" w:type="pct"/>
            <w:vMerge w:val="continue"/>
            <w:tcBorders>
              <w:tl2br w:val="nil"/>
              <w:tr2bl w:val="nil"/>
            </w:tcBorders>
            <w:vAlign w:val="center"/>
          </w:tcPr>
          <w:p w14:paraId="4564AFF0">
            <w:pPr>
              <w:widowControl/>
              <w:jc w:val="center"/>
              <w:rPr>
                <w:rFonts w:eastAsia="仿宋_GB2312"/>
                <w:kern w:val="0"/>
                <w:szCs w:val="21"/>
              </w:rPr>
            </w:pPr>
          </w:p>
        </w:tc>
        <w:tc>
          <w:tcPr>
            <w:tcW w:w="605" w:type="pct"/>
            <w:vMerge w:val="continue"/>
            <w:tcBorders>
              <w:tl2br w:val="nil"/>
              <w:tr2bl w:val="nil"/>
            </w:tcBorders>
            <w:vAlign w:val="center"/>
          </w:tcPr>
          <w:p w14:paraId="42BE6B5F">
            <w:pPr>
              <w:widowControl/>
              <w:jc w:val="center"/>
              <w:rPr>
                <w:rFonts w:eastAsia="仿宋_GB2312"/>
                <w:kern w:val="0"/>
                <w:szCs w:val="21"/>
              </w:rPr>
            </w:pPr>
          </w:p>
        </w:tc>
      </w:tr>
      <w:tr w14:paraId="0DF9B8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3" w:type="pct"/>
            <w:vMerge w:val="restart"/>
            <w:tcBorders>
              <w:tl2br w:val="nil"/>
              <w:tr2bl w:val="nil"/>
            </w:tcBorders>
            <w:vAlign w:val="center"/>
          </w:tcPr>
          <w:p w14:paraId="4857CAA8">
            <w:pPr>
              <w:widowControl/>
              <w:jc w:val="center"/>
              <w:rPr>
                <w:rFonts w:eastAsia="仿宋_GB2312"/>
                <w:kern w:val="0"/>
                <w:szCs w:val="21"/>
              </w:rPr>
            </w:pPr>
            <w:r>
              <w:rPr>
                <w:rFonts w:eastAsia="仿宋_GB2312"/>
                <w:kern w:val="0"/>
                <w:szCs w:val="21"/>
              </w:rPr>
              <w:t>7</w:t>
            </w:r>
          </w:p>
        </w:tc>
        <w:tc>
          <w:tcPr>
            <w:tcW w:w="372" w:type="pct"/>
            <w:vMerge w:val="restart"/>
            <w:tcBorders>
              <w:tl2br w:val="nil"/>
              <w:tr2bl w:val="nil"/>
            </w:tcBorders>
            <w:vAlign w:val="center"/>
          </w:tcPr>
          <w:p w14:paraId="6B065B9B">
            <w:pPr>
              <w:widowControl/>
              <w:jc w:val="center"/>
              <w:rPr>
                <w:rFonts w:eastAsia="仿宋_GB2312"/>
                <w:kern w:val="0"/>
                <w:szCs w:val="21"/>
              </w:rPr>
            </w:pPr>
            <w:r>
              <w:rPr>
                <w:rFonts w:eastAsia="仿宋_GB2312"/>
                <w:kern w:val="0"/>
                <w:szCs w:val="21"/>
              </w:rPr>
              <w:t>乙酸乙酯废液</w:t>
            </w:r>
          </w:p>
        </w:tc>
        <w:tc>
          <w:tcPr>
            <w:tcW w:w="394" w:type="pct"/>
            <w:tcBorders>
              <w:tl2br w:val="nil"/>
              <w:tr2bl w:val="nil"/>
            </w:tcBorders>
            <w:vAlign w:val="center"/>
          </w:tcPr>
          <w:p w14:paraId="6DF53B92">
            <w:pPr>
              <w:widowControl/>
              <w:jc w:val="center"/>
              <w:rPr>
                <w:rFonts w:eastAsia="仿宋_GB2312"/>
                <w:kern w:val="0"/>
                <w:szCs w:val="21"/>
              </w:rPr>
            </w:pPr>
            <w:r>
              <w:rPr>
                <w:rFonts w:eastAsia="仿宋_GB2312"/>
                <w:kern w:val="0"/>
                <w:szCs w:val="21"/>
              </w:rPr>
              <w:t>HW02</w:t>
            </w:r>
          </w:p>
        </w:tc>
        <w:tc>
          <w:tcPr>
            <w:tcW w:w="1042" w:type="pct"/>
            <w:tcBorders>
              <w:tl2br w:val="nil"/>
              <w:tr2bl w:val="nil"/>
            </w:tcBorders>
            <w:vAlign w:val="center"/>
          </w:tcPr>
          <w:p w14:paraId="73FB5063">
            <w:pPr>
              <w:widowControl/>
              <w:jc w:val="center"/>
              <w:rPr>
                <w:rFonts w:eastAsia="仿宋_GB2312"/>
                <w:kern w:val="0"/>
                <w:szCs w:val="21"/>
              </w:rPr>
            </w:pPr>
            <w:r>
              <w:rPr>
                <w:rFonts w:eastAsia="仿宋_GB2312"/>
                <w:kern w:val="0"/>
                <w:szCs w:val="21"/>
              </w:rPr>
              <w:t>271-001-02，271-002-02，</w:t>
            </w:r>
            <w:r>
              <w:rPr>
                <w:rFonts w:hint="eastAsia" w:eastAsia="仿宋_GB2312"/>
                <w:kern w:val="0"/>
                <w:szCs w:val="21"/>
              </w:rPr>
              <w:t>271-004-02，</w:t>
            </w:r>
            <w:r>
              <w:rPr>
                <w:rFonts w:eastAsia="仿宋_GB2312"/>
                <w:kern w:val="0"/>
                <w:szCs w:val="21"/>
              </w:rPr>
              <w:t>272-001-02，</w:t>
            </w:r>
            <w:r>
              <w:rPr>
                <w:rFonts w:hint="eastAsia" w:eastAsia="仿宋_GB2312"/>
                <w:kern w:val="0"/>
                <w:szCs w:val="21"/>
              </w:rPr>
              <w:t>272-003-02，275-004-02，275-005-02，</w:t>
            </w:r>
            <w:r>
              <w:rPr>
                <w:rFonts w:eastAsia="仿宋_GB2312"/>
                <w:kern w:val="0"/>
                <w:szCs w:val="21"/>
              </w:rPr>
              <w:t>276-001-02，276-002-02</w:t>
            </w:r>
            <w:r>
              <w:rPr>
                <w:rFonts w:hint="eastAsia" w:eastAsia="仿宋_GB2312"/>
                <w:kern w:val="0"/>
                <w:szCs w:val="21"/>
              </w:rPr>
              <w:t>，276-004-02</w:t>
            </w:r>
          </w:p>
        </w:tc>
        <w:tc>
          <w:tcPr>
            <w:tcW w:w="465" w:type="pct"/>
            <w:vMerge w:val="restart"/>
            <w:tcBorders>
              <w:tl2br w:val="nil"/>
              <w:tr2bl w:val="nil"/>
            </w:tcBorders>
            <w:vAlign w:val="center"/>
          </w:tcPr>
          <w:p w14:paraId="0B47EC04">
            <w:pPr>
              <w:widowControl/>
              <w:jc w:val="center"/>
              <w:rPr>
                <w:rFonts w:eastAsia="仿宋_GB2312"/>
                <w:kern w:val="0"/>
                <w:szCs w:val="21"/>
              </w:rPr>
            </w:pPr>
            <w:r>
              <w:rPr>
                <w:rFonts w:eastAsia="仿宋_GB2312"/>
                <w:kern w:val="0"/>
                <w:szCs w:val="21"/>
              </w:rPr>
              <w:t>2650</w:t>
            </w:r>
          </w:p>
        </w:tc>
        <w:tc>
          <w:tcPr>
            <w:tcW w:w="384" w:type="pct"/>
            <w:tcBorders>
              <w:tl2br w:val="nil"/>
              <w:tr2bl w:val="nil"/>
            </w:tcBorders>
            <w:shd w:val="clear" w:color="auto" w:fill="auto"/>
            <w:vAlign w:val="center"/>
          </w:tcPr>
          <w:p w14:paraId="61360747">
            <w:pPr>
              <w:widowControl/>
              <w:jc w:val="center"/>
              <w:textAlignment w:val="center"/>
              <w:rPr>
                <w:rFonts w:eastAsia="仿宋_GB2312"/>
                <w:kern w:val="0"/>
                <w:szCs w:val="21"/>
              </w:rPr>
            </w:pPr>
            <w:r>
              <w:rPr>
                <w:kern w:val="0"/>
                <w:szCs w:val="21"/>
                <w:lang w:bidi="ar"/>
              </w:rPr>
              <w:t>HW02</w:t>
            </w:r>
          </w:p>
        </w:tc>
        <w:tc>
          <w:tcPr>
            <w:tcW w:w="1059" w:type="pct"/>
            <w:tcBorders>
              <w:tl2br w:val="nil"/>
              <w:tr2bl w:val="nil"/>
            </w:tcBorders>
            <w:shd w:val="clear" w:color="auto" w:fill="auto"/>
            <w:vAlign w:val="center"/>
          </w:tcPr>
          <w:p w14:paraId="70C226FA">
            <w:pPr>
              <w:widowControl/>
              <w:jc w:val="center"/>
              <w:textAlignment w:val="center"/>
              <w:rPr>
                <w:rFonts w:eastAsia="仿宋_GB2312"/>
                <w:kern w:val="0"/>
                <w:szCs w:val="21"/>
              </w:rPr>
            </w:pPr>
            <w:r>
              <w:rPr>
                <w:kern w:val="0"/>
                <w:szCs w:val="21"/>
                <w:lang w:bidi="ar"/>
              </w:rPr>
              <w:t>271-001-02</w:t>
            </w:r>
            <w:r>
              <w:rPr>
                <w:rFonts w:ascii="仿宋_GB2312" w:eastAsia="仿宋_GB2312" w:cs="仿宋_GB2312"/>
                <w:kern w:val="0"/>
                <w:szCs w:val="21"/>
                <w:lang w:bidi="ar"/>
              </w:rPr>
              <w:t>，</w:t>
            </w:r>
            <w:r>
              <w:rPr>
                <w:kern w:val="0"/>
                <w:szCs w:val="21"/>
                <w:lang w:bidi="ar"/>
              </w:rPr>
              <w:t>271-002-02</w:t>
            </w:r>
            <w:r>
              <w:rPr>
                <w:rFonts w:ascii="仿宋_GB2312" w:eastAsia="仿宋_GB2312" w:cs="仿宋_GB2312"/>
                <w:kern w:val="0"/>
                <w:szCs w:val="21"/>
                <w:lang w:bidi="ar"/>
              </w:rPr>
              <w:t>，</w:t>
            </w:r>
            <w:r>
              <w:rPr>
                <w:kern w:val="0"/>
                <w:szCs w:val="21"/>
                <w:lang w:bidi="ar"/>
              </w:rPr>
              <w:t>272-001-02</w:t>
            </w:r>
            <w:r>
              <w:rPr>
                <w:rFonts w:ascii="仿宋_GB2312" w:eastAsia="仿宋_GB2312" w:cs="仿宋_GB2312"/>
                <w:kern w:val="0"/>
                <w:szCs w:val="21"/>
                <w:lang w:bidi="ar"/>
              </w:rPr>
              <w:t>，</w:t>
            </w:r>
            <w:r>
              <w:rPr>
                <w:b/>
                <w:bCs/>
                <w:kern w:val="0"/>
                <w:szCs w:val="21"/>
                <w:lang w:bidi="ar"/>
              </w:rPr>
              <w:t>272-00</w:t>
            </w:r>
            <w:r>
              <w:rPr>
                <w:rFonts w:hint="eastAsia"/>
                <w:b/>
                <w:bCs/>
                <w:kern w:val="0"/>
                <w:szCs w:val="21"/>
                <w:lang w:val="en-US" w:eastAsia="zh-CN" w:bidi="ar"/>
              </w:rPr>
              <w:t>5</w:t>
            </w:r>
            <w:r>
              <w:rPr>
                <w:b/>
                <w:bCs/>
                <w:kern w:val="0"/>
                <w:szCs w:val="21"/>
                <w:lang w:bidi="ar"/>
              </w:rPr>
              <w:t>-02</w:t>
            </w:r>
            <w:r>
              <w:rPr>
                <w:rFonts w:ascii="仿宋_GB2312" w:eastAsia="仿宋_GB2312" w:cs="仿宋_GB2312"/>
                <w:kern w:val="0"/>
                <w:szCs w:val="21"/>
                <w:lang w:bidi="ar"/>
              </w:rPr>
              <w:t>，</w:t>
            </w:r>
            <w:r>
              <w:rPr>
                <w:kern w:val="0"/>
                <w:szCs w:val="21"/>
                <w:lang w:bidi="ar"/>
              </w:rPr>
              <w:t>275-004-02</w:t>
            </w:r>
            <w:r>
              <w:rPr>
                <w:rFonts w:ascii="仿宋_GB2312" w:eastAsia="仿宋_GB2312" w:cs="仿宋_GB2312"/>
                <w:kern w:val="0"/>
                <w:szCs w:val="21"/>
                <w:lang w:bidi="ar"/>
              </w:rPr>
              <w:t>，</w:t>
            </w:r>
            <w:r>
              <w:rPr>
                <w:b/>
                <w:bCs/>
                <w:kern w:val="0"/>
                <w:szCs w:val="21"/>
                <w:lang w:bidi="ar"/>
              </w:rPr>
              <w:t>275-00</w:t>
            </w:r>
            <w:r>
              <w:rPr>
                <w:rFonts w:hint="eastAsia"/>
                <w:b/>
                <w:bCs/>
                <w:kern w:val="0"/>
                <w:szCs w:val="21"/>
                <w:lang w:val="en-US" w:eastAsia="zh-CN" w:bidi="ar"/>
              </w:rPr>
              <w:t>6</w:t>
            </w:r>
            <w:r>
              <w:rPr>
                <w:b/>
                <w:bCs/>
                <w:kern w:val="0"/>
                <w:szCs w:val="21"/>
                <w:lang w:bidi="ar"/>
              </w:rPr>
              <w:t>-02</w:t>
            </w:r>
            <w:r>
              <w:rPr>
                <w:rFonts w:ascii="仿宋_GB2312" w:eastAsia="仿宋_GB2312" w:cs="仿宋_GB2312"/>
                <w:kern w:val="0"/>
                <w:szCs w:val="21"/>
                <w:lang w:bidi="ar"/>
              </w:rPr>
              <w:t>，</w:t>
            </w:r>
            <w:r>
              <w:rPr>
                <w:kern w:val="0"/>
                <w:szCs w:val="21"/>
                <w:lang w:bidi="ar"/>
              </w:rPr>
              <w:t>276-001-02</w:t>
            </w:r>
            <w:r>
              <w:rPr>
                <w:rFonts w:ascii="仿宋_GB2312" w:eastAsia="仿宋_GB2312" w:cs="仿宋_GB2312"/>
                <w:kern w:val="0"/>
                <w:szCs w:val="21"/>
                <w:lang w:bidi="ar"/>
              </w:rPr>
              <w:t>，</w:t>
            </w:r>
            <w:r>
              <w:rPr>
                <w:kern w:val="0"/>
                <w:szCs w:val="21"/>
                <w:lang w:bidi="ar"/>
              </w:rPr>
              <w:t>276-002-02</w:t>
            </w:r>
            <w:r>
              <w:rPr>
                <w:rFonts w:ascii="仿宋_GB2312" w:eastAsia="仿宋_GB2312" w:cs="仿宋_GB2312"/>
                <w:kern w:val="0"/>
                <w:szCs w:val="21"/>
                <w:lang w:bidi="ar"/>
              </w:rPr>
              <w:t>，</w:t>
            </w:r>
            <w:r>
              <w:rPr>
                <w:b/>
                <w:bCs/>
                <w:kern w:val="0"/>
                <w:szCs w:val="21"/>
                <w:lang w:bidi="ar"/>
              </w:rPr>
              <w:t>276-00</w:t>
            </w:r>
            <w:r>
              <w:rPr>
                <w:rFonts w:hint="eastAsia"/>
                <w:b/>
                <w:bCs/>
                <w:kern w:val="0"/>
                <w:szCs w:val="21"/>
                <w:lang w:val="en-US" w:eastAsia="zh-CN" w:bidi="ar"/>
              </w:rPr>
              <w:t>5</w:t>
            </w:r>
            <w:r>
              <w:rPr>
                <w:b/>
                <w:bCs/>
                <w:kern w:val="0"/>
                <w:szCs w:val="21"/>
                <w:lang w:bidi="ar"/>
              </w:rPr>
              <w:t>-02</w:t>
            </w:r>
          </w:p>
        </w:tc>
        <w:tc>
          <w:tcPr>
            <w:tcW w:w="423" w:type="pct"/>
            <w:vMerge w:val="restart"/>
            <w:tcBorders>
              <w:tl2br w:val="nil"/>
              <w:tr2bl w:val="nil"/>
            </w:tcBorders>
            <w:vAlign w:val="center"/>
          </w:tcPr>
          <w:p w14:paraId="635E2C25">
            <w:pPr>
              <w:widowControl/>
              <w:jc w:val="center"/>
              <w:rPr>
                <w:rFonts w:eastAsia="仿宋_GB2312"/>
                <w:kern w:val="0"/>
                <w:szCs w:val="21"/>
              </w:rPr>
            </w:pPr>
            <w:r>
              <w:rPr>
                <w:rFonts w:hint="eastAsia" w:eastAsia="仿宋_GB2312"/>
                <w:kern w:val="0"/>
                <w:szCs w:val="21"/>
              </w:rPr>
              <w:t>5650</w:t>
            </w:r>
          </w:p>
        </w:tc>
        <w:tc>
          <w:tcPr>
            <w:tcW w:w="605" w:type="pct"/>
            <w:vMerge w:val="restart"/>
            <w:tcBorders>
              <w:tl2br w:val="nil"/>
              <w:tr2bl w:val="nil"/>
            </w:tcBorders>
            <w:vAlign w:val="center"/>
          </w:tcPr>
          <w:p w14:paraId="2ED073DD">
            <w:pPr>
              <w:widowControl/>
              <w:jc w:val="center"/>
              <w:rPr>
                <w:rFonts w:eastAsia="仿宋_GB2312"/>
                <w:kern w:val="0"/>
                <w:szCs w:val="21"/>
              </w:rPr>
            </w:pPr>
            <w:r>
              <w:rPr>
                <w:rFonts w:eastAsia="仿宋_GB2312"/>
                <w:bCs/>
              </w:rPr>
              <w:t>回收综合利用量增加，危废代码增加</w:t>
            </w:r>
          </w:p>
        </w:tc>
      </w:tr>
      <w:tr w14:paraId="7F7181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3" w:type="pct"/>
            <w:vMerge w:val="continue"/>
            <w:tcBorders>
              <w:tl2br w:val="nil"/>
              <w:tr2bl w:val="nil"/>
            </w:tcBorders>
            <w:vAlign w:val="center"/>
          </w:tcPr>
          <w:p w14:paraId="4031AB4A">
            <w:pPr>
              <w:widowControl/>
              <w:jc w:val="center"/>
              <w:rPr>
                <w:rFonts w:eastAsia="仿宋_GB2312"/>
                <w:kern w:val="0"/>
                <w:szCs w:val="21"/>
              </w:rPr>
            </w:pPr>
          </w:p>
        </w:tc>
        <w:tc>
          <w:tcPr>
            <w:tcW w:w="372" w:type="pct"/>
            <w:vMerge w:val="continue"/>
            <w:tcBorders>
              <w:tl2br w:val="nil"/>
              <w:tr2bl w:val="nil"/>
            </w:tcBorders>
            <w:vAlign w:val="center"/>
          </w:tcPr>
          <w:p w14:paraId="4C85144B">
            <w:pPr>
              <w:widowControl/>
              <w:jc w:val="center"/>
              <w:rPr>
                <w:rFonts w:eastAsia="仿宋_GB2312"/>
                <w:kern w:val="0"/>
                <w:szCs w:val="21"/>
              </w:rPr>
            </w:pPr>
          </w:p>
        </w:tc>
        <w:tc>
          <w:tcPr>
            <w:tcW w:w="394" w:type="pct"/>
            <w:tcBorders>
              <w:tl2br w:val="nil"/>
              <w:tr2bl w:val="nil"/>
            </w:tcBorders>
            <w:shd w:val="clear" w:color="auto" w:fill="auto"/>
            <w:vAlign w:val="center"/>
          </w:tcPr>
          <w:p w14:paraId="286855FE">
            <w:pPr>
              <w:widowControl/>
              <w:jc w:val="center"/>
              <w:rPr>
                <w:rFonts w:eastAsia="仿宋_GB2312"/>
                <w:kern w:val="0"/>
                <w:szCs w:val="21"/>
              </w:rPr>
            </w:pPr>
            <w:r>
              <w:rPr>
                <w:rFonts w:hint="eastAsia" w:eastAsia="仿宋_GB2312"/>
                <w:kern w:val="0"/>
                <w:szCs w:val="21"/>
              </w:rPr>
              <w:t>/</w:t>
            </w:r>
          </w:p>
        </w:tc>
        <w:tc>
          <w:tcPr>
            <w:tcW w:w="1042" w:type="pct"/>
            <w:tcBorders>
              <w:tl2br w:val="nil"/>
              <w:tr2bl w:val="nil"/>
            </w:tcBorders>
            <w:shd w:val="clear" w:color="auto" w:fill="auto"/>
            <w:vAlign w:val="center"/>
          </w:tcPr>
          <w:p w14:paraId="45B7B575">
            <w:pPr>
              <w:widowControl/>
              <w:jc w:val="center"/>
              <w:rPr>
                <w:rFonts w:eastAsia="仿宋_GB2312"/>
                <w:kern w:val="0"/>
                <w:szCs w:val="21"/>
              </w:rPr>
            </w:pPr>
            <w:r>
              <w:rPr>
                <w:rFonts w:hint="eastAsia" w:eastAsia="仿宋_GB2312"/>
                <w:kern w:val="0"/>
                <w:szCs w:val="21"/>
              </w:rPr>
              <w:t>/</w:t>
            </w:r>
          </w:p>
        </w:tc>
        <w:tc>
          <w:tcPr>
            <w:tcW w:w="465" w:type="pct"/>
            <w:vMerge w:val="continue"/>
            <w:tcBorders>
              <w:tl2br w:val="nil"/>
              <w:tr2bl w:val="nil"/>
            </w:tcBorders>
            <w:vAlign w:val="center"/>
          </w:tcPr>
          <w:p w14:paraId="33B92E95">
            <w:pPr>
              <w:widowControl/>
              <w:jc w:val="center"/>
              <w:rPr>
                <w:rFonts w:eastAsia="仿宋_GB2312"/>
                <w:kern w:val="0"/>
                <w:szCs w:val="21"/>
              </w:rPr>
            </w:pPr>
          </w:p>
        </w:tc>
        <w:tc>
          <w:tcPr>
            <w:tcW w:w="384" w:type="pct"/>
            <w:tcBorders>
              <w:tl2br w:val="nil"/>
              <w:tr2bl w:val="nil"/>
            </w:tcBorders>
            <w:shd w:val="clear" w:color="auto" w:fill="auto"/>
            <w:vAlign w:val="center"/>
          </w:tcPr>
          <w:p w14:paraId="623CE53D">
            <w:pPr>
              <w:widowControl/>
              <w:jc w:val="center"/>
              <w:textAlignment w:val="center"/>
              <w:rPr>
                <w:rFonts w:eastAsia="仿宋_GB2312"/>
                <w:kern w:val="0"/>
                <w:szCs w:val="21"/>
              </w:rPr>
            </w:pPr>
            <w:r>
              <w:rPr>
                <w:b/>
                <w:bCs/>
                <w:kern w:val="0"/>
                <w:szCs w:val="21"/>
                <w:lang w:bidi="ar"/>
              </w:rPr>
              <w:t>HW04</w:t>
            </w:r>
          </w:p>
        </w:tc>
        <w:tc>
          <w:tcPr>
            <w:tcW w:w="1059" w:type="pct"/>
            <w:tcBorders>
              <w:tl2br w:val="nil"/>
              <w:tr2bl w:val="nil"/>
            </w:tcBorders>
            <w:shd w:val="clear" w:color="auto" w:fill="auto"/>
            <w:vAlign w:val="center"/>
          </w:tcPr>
          <w:p w14:paraId="55335091">
            <w:pPr>
              <w:widowControl/>
              <w:jc w:val="center"/>
              <w:textAlignment w:val="center"/>
              <w:rPr>
                <w:rFonts w:eastAsia="仿宋_GB2312"/>
                <w:kern w:val="0"/>
                <w:szCs w:val="21"/>
              </w:rPr>
            </w:pPr>
            <w:r>
              <w:rPr>
                <w:b/>
                <w:bCs/>
                <w:kern w:val="0"/>
                <w:szCs w:val="21"/>
                <w:lang w:bidi="ar"/>
              </w:rPr>
              <w:t>263-008-04</w:t>
            </w:r>
          </w:p>
        </w:tc>
        <w:tc>
          <w:tcPr>
            <w:tcW w:w="423" w:type="pct"/>
            <w:vMerge w:val="continue"/>
            <w:tcBorders>
              <w:tl2br w:val="nil"/>
              <w:tr2bl w:val="nil"/>
            </w:tcBorders>
            <w:vAlign w:val="center"/>
          </w:tcPr>
          <w:p w14:paraId="2CA6AABC">
            <w:pPr>
              <w:widowControl/>
              <w:jc w:val="center"/>
              <w:rPr>
                <w:rFonts w:eastAsia="仿宋_GB2312"/>
                <w:kern w:val="0"/>
                <w:szCs w:val="21"/>
              </w:rPr>
            </w:pPr>
          </w:p>
        </w:tc>
        <w:tc>
          <w:tcPr>
            <w:tcW w:w="605" w:type="pct"/>
            <w:vMerge w:val="continue"/>
            <w:tcBorders>
              <w:tl2br w:val="nil"/>
              <w:tr2bl w:val="nil"/>
            </w:tcBorders>
            <w:vAlign w:val="center"/>
          </w:tcPr>
          <w:p w14:paraId="10F0C2E5">
            <w:pPr>
              <w:widowControl/>
              <w:jc w:val="center"/>
              <w:rPr>
                <w:rFonts w:eastAsia="仿宋_GB2312"/>
                <w:bCs/>
              </w:rPr>
            </w:pPr>
          </w:p>
        </w:tc>
      </w:tr>
      <w:tr w14:paraId="162882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3" w:type="pct"/>
            <w:vMerge w:val="continue"/>
            <w:tcBorders>
              <w:tl2br w:val="nil"/>
              <w:tr2bl w:val="nil"/>
            </w:tcBorders>
            <w:vAlign w:val="center"/>
          </w:tcPr>
          <w:p w14:paraId="407F9302">
            <w:pPr>
              <w:widowControl/>
              <w:jc w:val="center"/>
              <w:rPr>
                <w:rFonts w:eastAsia="仿宋_GB2312"/>
                <w:kern w:val="0"/>
                <w:szCs w:val="21"/>
              </w:rPr>
            </w:pPr>
          </w:p>
        </w:tc>
        <w:tc>
          <w:tcPr>
            <w:tcW w:w="372" w:type="pct"/>
            <w:vMerge w:val="continue"/>
            <w:tcBorders>
              <w:tl2br w:val="nil"/>
              <w:tr2bl w:val="nil"/>
            </w:tcBorders>
            <w:vAlign w:val="center"/>
          </w:tcPr>
          <w:p w14:paraId="79378E29">
            <w:pPr>
              <w:widowControl/>
              <w:jc w:val="center"/>
              <w:rPr>
                <w:rFonts w:eastAsia="仿宋_GB2312"/>
                <w:kern w:val="0"/>
                <w:szCs w:val="21"/>
              </w:rPr>
            </w:pPr>
          </w:p>
        </w:tc>
        <w:tc>
          <w:tcPr>
            <w:tcW w:w="394" w:type="pct"/>
            <w:tcBorders>
              <w:tl2br w:val="nil"/>
              <w:tr2bl w:val="nil"/>
            </w:tcBorders>
            <w:vAlign w:val="center"/>
          </w:tcPr>
          <w:p w14:paraId="6355C450">
            <w:pPr>
              <w:widowControl/>
              <w:jc w:val="center"/>
              <w:rPr>
                <w:rFonts w:eastAsia="仿宋_GB2312"/>
                <w:kern w:val="0"/>
                <w:szCs w:val="21"/>
              </w:rPr>
            </w:pPr>
            <w:r>
              <w:rPr>
                <w:rFonts w:eastAsia="仿宋_GB2312"/>
                <w:kern w:val="0"/>
                <w:szCs w:val="21"/>
              </w:rPr>
              <w:t>HW06</w:t>
            </w:r>
          </w:p>
        </w:tc>
        <w:tc>
          <w:tcPr>
            <w:tcW w:w="1042" w:type="pct"/>
            <w:tcBorders>
              <w:tl2br w:val="nil"/>
              <w:tr2bl w:val="nil"/>
            </w:tcBorders>
            <w:vAlign w:val="center"/>
          </w:tcPr>
          <w:p w14:paraId="6C590FFF">
            <w:pPr>
              <w:widowControl/>
              <w:jc w:val="center"/>
              <w:rPr>
                <w:rFonts w:eastAsia="仿宋_GB2312"/>
                <w:kern w:val="0"/>
                <w:szCs w:val="21"/>
              </w:rPr>
            </w:pPr>
            <w:r>
              <w:rPr>
                <w:rFonts w:eastAsia="仿宋_GB2312"/>
                <w:kern w:val="0"/>
                <w:szCs w:val="21"/>
              </w:rPr>
              <w:t>900-402-06，900-404-06，900-407-06</w:t>
            </w:r>
          </w:p>
        </w:tc>
        <w:tc>
          <w:tcPr>
            <w:tcW w:w="465" w:type="pct"/>
            <w:vMerge w:val="continue"/>
            <w:tcBorders>
              <w:tl2br w:val="nil"/>
              <w:tr2bl w:val="nil"/>
            </w:tcBorders>
            <w:vAlign w:val="center"/>
          </w:tcPr>
          <w:p w14:paraId="2FC788CC">
            <w:pPr>
              <w:widowControl/>
              <w:jc w:val="center"/>
              <w:rPr>
                <w:rFonts w:eastAsia="仿宋_GB2312"/>
                <w:kern w:val="0"/>
                <w:szCs w:val="21"/>
              </w:rPr>
            </w:pPr>
          </w:p>
        </w:tc>
        <w:tc>
          <w:tcPr>
            <w:tcW w:w="384" w:type="pct"/>
            <w:tcBorders>
              <w:tl2br w:val="nil"/>
              <w:tr2bl w:val="nil"/>
            </w:tcBorders>
            <w:shd w:val="clear" w:color="auto" w:fill="auto"/>
            <w:vAlign w:val="center"/>
          </w:tcPr>
          <w:p w14:paraId="14D7C7F6">
            <w:pPr>
              <w:widowControl/>
              <w:jc w:val="center"/>
              <w:textAlignment w:val="center"/>
              <w:rPr>
                <w:rFonts w:eastAsia="仿宋_GB2312"/>
                <w:kern w:val="0"/>
                <w:szCs w:val="21"/>
              </w:rPr>
            </w:pPr>
            <w:r>
              <w:rPr>
                <w:kern w:val="0"/>
                <w:szCs w:val="21"/>
                <w:lang w:bidi="ar"/>
              </w:rPr>
              <w:t>HW06</w:t>
            </w:r>
          </w:p>
        </w:tc>
        <w:tc>
          <w:tcPr>
            <w:tcW w:w="1059" w:type="pct"/>
            <w:tcBorders>
              <w:tl2br w:val="nil"/>
              <w:tr2bl w:val="nil"/>
            </w:tcBorders>
            <w:shd w:val="clear" w:color="auto" w:fill="auto"/>
            <w:vAlign w:val="center"/>
          </w:tcPr>
          <w:p w14:paraId="351EF7A4">
            <w:pPr>
              <w:widowControl/>
              <w:jc w:val="center"/>
              <w:textAlignment w:val="center"/>
              <w:rPr>
                <w:rFonts w:eastAsia="仿宋_GB2312"/>
                <w:kern w:val="0"/>
                <w:szCs w:val="21"/>
              </w:rPr>
            </w:pPr>
            <w:r>
              <w:rPr>
                <w:kern w:val="0"/>
                <w:szCs w:val="21"/>
                <w:lang w:bidi="ar"/>
              </w:rPr>
              <w:t>900-402-06</w:t>
            </w:r>
            <w:r>
              <w:rPr>
                <w:rFonts w:ascii="仿宋_GB2312" w:eastAsia="仿宋_GB2312" w:cs="仿宋_GB2312"/>
                <w:kern w:val="0"/>
                <w:szCs w:val="21"/>
                <w:lang w:bidi="ar"/>
              </w:rPr>
              <w:t>，</w:t>
            </w:r>
            <w:r>
              <w:rPr>
                <w:kern w:val="0"/>
                <w:szCs w:val="21"/>
                <w:lang w:bidi="ar"/>
              </w:rPr>
              <w:t>900-404-06</w:t>
            </w:r>
            <w:r>
              <w:rPr>
                <w:rFonts w:ascii="仿宋_GB2312" w:eastAsia="仿宋_GB2312" w:cs="仿宋_GB2312"/>
                <w:kern w:val="0"/>
                <w:szCs w:val="21"/>
                <w:lang w:bidi="ar"/>
              </w:rPr>
              <w:t>，</w:t>
            </w:r>
            <w:r>
              <w:rPr>
                <w:kern w:val="0"/>
                <w:szCs w:val="21"/>
                <w:lang w:bidi="ar"/>
              </w:rPr>
              <w:t>900-407-06</w:t>
            </w:r>
          </w:p>
        </w:tc>
        <w:tc>
          <w:tcPr>
            <w:tcW w:w="423" w:type="pct"/>
            <w:vMerge w:val="continue"/>
            <w:tcBorders>
              <w:tl2br w:val="nil"/>
              <w:tr2bl w:val="nil"/>
            </w:tcBorders>
            <w:vAlign w:val="center"/>
          </w:tcPr>
          <w:p w14:paraId="000F2F2A">
            <w:pPr>
              <w:widowControl/>
              <w:jc w:val="center"/>
              <w:rPr>
                <w:rFonts w:eastAsia="仿宋_GB2312"/>
                <w:kern w:val="0"/>
                <w:szCs w:val="21"/>
              </w:rPr>
            </w:pPr>
          </w:p>
        </w:tc>
        <w:tc>
          <w:tcPr>
            <w:tcW w:w="605" w:type="pct"/>
            <w:vMerge w:val="continue"/>
            <w:tcBorders>
              <w:tl2br w:val="nil"/>
              <w:tr2bl w:val="nil"/>
            </w:tcBorders>
            <w:vAlign w:val="center"/>
          </w:tcPr>
          <w:p w14:paraId="619116E7">
            <w:pPr>
              <w:widowControl/>
              <w:jc w:val="center"/>
              <w:rPr>
                <w:rFonts w:eastAsia="仿宋_GB2312"/>
                <w:kern w:val="0"/>
                <w:szCs w:val="21"/>
              </w:rPr>
            </w:pPr>
          </w:p>
        </w:tc>
      </w:tr>
      <w:tr w14:paraId="12A7712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3" w:type="pct"/>
            <w:vMerge w:val="continue"/>
            <w:tcBorders>
              <w:tl2br w:val="nil"/>
              <w:tr2bl w:val="nil"/>
            </w:tcBorders>
            <w:vAlign w:val="center"/>
          </w:tcPr>
          <w:p w14:paraId="2B11DD94">
            <w:pPr>
              <w:widowControl/>
              <w:jc w:val="center"/>
              <w:rPr>
                <w:rFonts w:eastAsia="仿宋_GB2312"/>
                <w:kern w:val="0"/>
                <w:szCs w:val="21"/>
              </w:rPr>
            </w:pPr>
          </w:p>
        </w:tc>
        <w:tc>
          <w:tcPr>
            <w:tcW w:w="372" w:type="pct"/>
            <w:vMerge w:val="continue"/>
            <w:tcBorders>
              <w:tl2br w:val="nil"/>
              <w:tr2bl w:val="nil"/>
            </w:tcBorders>
            <w:vAlign w:val="center"/>
          </w:tcPr>
          <w:p w14:paraId="676E3AB9">
            <w:pPr>
              <w:widowControl/>
              <w:jc w:val="center"/>
              <w:rPr>
                <w:rFonts w:eastAsia="仿宋_GB2312"/>
                <w:kern w:val="0"/>
                <w:szCs w:val="21"/>
              </w:rPr>
            </w:pPr>
          </w:p>
        </w:tc>
        <w:tc>
          <w:tcPr>
            <w:tcW w:w="394" w:type="pct"/>
            <w:tcBorders>
              <w:tl2br w:val="nil"/>
              <w:tr2bl w:val="nil"/>
            </w:tcBorders>
            <w:vAlign w:val="center"/>
          </w:tcPr>
          <w:p w14:paraId="0ACFC1BF">
            <w:pPr>
              <w:widowControl/>
              <w:jc w:val="center"/>
              <w:rPr>
                <w:rFonts w:eastAsia="仿宋_GB2312"/>
                <w:kern w:val="0"/>
                <w:szCs w:val="21"/>
              </w:rPr>
            </w:pPr>
            <w:r>
              <w:rPr>
                <w:rFonts w:eastAsia="仿宋_GB2312"/>
                <w:kern w:val="0"/>
                <w:szCs w:val="21"/>
              </w:rPr>
              <w:t>HW11</w:t>
            </w:r>
          </w:p>
        </w:tc>
        <w:tc>
          <w:tcPr>
            <w:tcW w:w="1042" w:type="pct"/>
            <w:tcBorders>
              <w:tl2br w:val="nil"/>
              <w:tr2bl w:val="nil"/>
            </w:tcBorders>
            <w:vAlign w:val="center"/>
          </w:tcPr>
          <w:p w14:paraId="5F487D7F">
            <w:pPr>
              <w:widowControl/>
              <w:jc w:val="center"/>
              <w:rPr>
                <w:rFonts w:eastAsia="仿宋_GB2312"/>
                <w:kern w:val="0"/>
                <w:szCs w:val="21"/>
              </w:rPr>
            </w:pPr>
            <w:r>
              <w:rPr>
                <w:rFonts w:eastAsia="仿宋_GB2312"/>
                <w:kern w:val="0"/>
                <w:szCs w:val="21"/>
              </w:rPr>
              <w:t>900-013-11，261-128-11，261-129-11，261-130-11，261-013-11，261-031-11</w:t>
            </w:r>
          </w:p>
        </w:tc>
        <w:tc>
          <w:tcPr>
            <w:tcW w:w="465" w:type="pct"/>
            <w:vMerge w:val="continue"/>
            <w:tcBorders>
              <w:tl2br w:val="nil"/>
              <w:tr2bl w:val="nil"/>
            </w:tcBorders>
            <w:vAlign w:val="center"/>
          </w:tcPr>
          <w:p w14:paraId="7B036B6B">
            <w:pPr>
              <w:widowControl/>
              <w:jc w:val="center"/>
              <w:rPr>
                <w:rFonts w:eastAsia="仿宋_GB2312"/>
                <w:kern w:val="0"/>
                <w:szCs w:val="21"/>
              </w:rPr>
            </w:pPr>
          </w:p>
        </w:tc>
        <w:tc>
          <w:tcPr>
            <w:tcW w:w="384" w:type="pct"/>
            <w:tcBorders>
              <w:tl2br w:val="nil"/>
              <w:tr2bl w:val="nil"/>
            </w:tcBorders>
            <w:shd w:val="clear" w:color="auto" w:fill="auto"/>
            <w:vAlign w:val="center"/>
          </w:tcPr>
          <w:p w14:paraId="4D3CD27E">
            <w:pPr>
              <w:widowControl/>
              <w:jc w:val="center"/>
              <w:textAlignment w:val="center"/>
              <w:rPr>
                <w:rFonts w:eastAsia="仿宋_GB2312"/>
                <w:kern w:val="0"/>
                <w:szCs w:val="21"/>
              </w:rPr>
            </w:pPr>
            <w:r>
              <w:rPr>
                <w:kern w:val="0"/>
                <w:szCs w:val="21"/>
                <w:lang w:bidi="ar"/>
              </w:rPr>
              <w:t>HW11</w:t>
            </w:r>
          </w:p>
        </w:tc>
        <w:tc>
          <w:tcPr>
            <w:tcW w:w="1059" w:type="pct"/>
            <w:tcBorders>
              <w:tl2br w:val="nil"/>
              <w:tr2bl w:val="nil"/>
            </w:tcBorders>
            <w:shd w:val="clear" w:color="auto" w:fill="auto"/>
            <w:vAlign w:val="center"/>
          </w:tcPr>
          <w:p w14:paraId="316417E5">
            <w:pPr>
              <w:widowControl/>
              <w:jc w:val="center"/>
              <w:textAlignment w:val="center"/>
              <w:rPr>
                <w:rFonts w:eastAsia="仿宋_GB2312"/>
                <w:kern w:val="0"/>
                <w:szCs w:val="21"/>
              </w:rPr>
            </w:pPr>
            <w:r>
              <w:rPr>
                <w:kern w:val="0"/>
                <w:szCs w:val="21"/>
                <w:lang w:bidi="ar"/>
              </w:rPr>
              <w:t>900-013-11</w:t>
            </w:r>
            <w:r>
              <w:rPr>
                <w:rFonts w:ascii="仿宋_GB2312" w:eastAsia="仿宋_GB2312" w:cs="仿宋_GB2312"/>
                <w:kern w:val="0"/>
                <w:szCs w:val="21"/>
                <w:lang w:bidi="ar"/>
              </w:rPr>
              <w:t>，</w:t>
            </w:r>
            <w:r>
              <w:rPr>
                <w:kern w:val="0"/>
                <w:szCs w:val="21"/>
                <w:lang w:bidi="ar"/>
              </w:rPr>
              <w:t>261-128-11</w:t>
            </w:r>
            <w:r>
              <w:rPr>
                <w:rFonts w:ascii="仿宋_GB2312" w:eastAsia="仿宋_GB2312" w:cs="仿宋_GB2312"/>
                <w:kern w:val="0"/>
                <w:szCs w:val="21"/>
                <w:lang w:bidi="ar"/>
              </w:rPr>
              <w:t>，</w:t>
            </w:r>
            <w:r>
              <w:rPr>
                <w:kern w:val="0"/>
                <w:szCs w:val="21"/>
                <w:lang w:bidi="ar"/>
              </w:rPr>
              <w:t>261-129-11</w:t>
            </w:r>
            <w:r>
              <w:rPr>
                <w:rFonts w:ascii="仿宋_GB2312" w:eastAsia="仿宋_GB2312" w:cs="仿宋_GB2312"/>
                <w:kern w:val="0"/>
                <w:szCs w:val="21"/>
                <w:lang w:bidi="ar"/>
              </w:rPr>
              <w:t>，</w:t>
            </w:r>
            <w:r>
              <w:rPr>
                <w:kern w:val="0"/>
                <w:szCs w:val="21"/>
                <w:lang w:bidi="ar"/>
              </w:rPr>
              <w:t>261-130-11</w:t>
            </w:r>
            <w:r>
              <w:rPr>
                <w:rFonts w:ascii="仿宋_GB2312" w:eastAsia="仿宋_GB2312" w:cs="仿宋_GB2312"/>
                <w:kern w:val="0"/>
                <w:szCs w:val="21"/>
                <w:lang w:bidi="ar"/>
              </w:rPr>
              <w:t>，</w:t>
            </w:r>
            <w:r>
              <w:rPr>
                <w:kern w:val="0"/>
                <w:szCs w:val="21"/>
                <w:lang w:bidi="ar"/>
              </w:rPr>
              <w:t>261-013-11</w:t>
            </w:r>
            <w:r>
              <w:rPr>
                <w:rFonts w:ascii="仿宋_GB2312" w:eastAsia="仿宋_GB2312" w:cs="仿宋_GB2312"/>
                <w:kern w:val="0"/>
                <w:szCs w:val="21"/>
                <w:lang w:bidi="ar"/>
              </w:rPr>
              <w:t>，</w:t>
            </w:r>
            <w:r>
              <w:rPr>
                <w:kern w:val="0"/>
                <w:szCs w:val="21"/>
                <w:lang w:bidi="ar"/>
              </w:rPr>
              <w:t>261-031-11</w:t>
            </w:r>
            <w:r>
              <w:rPr>
                <w:rFonts w:hint="eastAsia" w:ascii="宋体" w:hAnsi="宋体" w:cs="宋体"/>
                <w:kern w:val="0"/>
                <w:szCs w:val="21"/>
                <w:lang w:bidi="ar"/>
              </w:rPr>
              <w:t>，</w:t>
            </w:r>
            <w:r>
              <w:rPr>
                <w:b/>
                <w:bCs/>
                <w:kern w:val="0"/>
                <w:szCs w:val="21"/>
                <w:lang w:bidi="ar"/>
              </w:rPr>
              <w:t>261-012-11</w:t>
            </w:r>
            <w:r>
              <w:rPr>
                <w:rFonts w:hint="eastAsia" w:ascii="宋体" w:hAnsi="宋体" w:cs="宋体"/>
                <w:b/>
                <w:bCs/>
                <w:kern w:val="0"/>
                <w:szCs w:val="21"/>
                <w:lang w:bidi="ar"/>
              </w:rPr>
              <w:t>，</w:t>
            </w:r>
            <w:r>
              <w:rPr>
                <w:b/>
                <w:bCs/>
                <w:kern w:val="0"/>
                <w:szCs w:val="21"/>
                <w:lang w:bidi="ar"/>
              </w:rPr>
              <w:t>261-106-11</w:t>
            </w:r>
          </w:p>
        </w:tc>
        <w:tc>
          <w:tcPr>
            <w:tcW w:w="423" w:type="pct"/>
            <w:vMerge w:val="continue"/>
            <w:tcBorders>
              <w:tl2br w:val="nil"/>
              <w:tr2bl w:val="nil"/>
            </w:tcBorders>
            <w:vAlign w:val="center"/>
          </w:tcPr>
          <w:p w14:paraId="67F58A26">
            <w:pPr>
              <w:widowControl/>
              <w:jc w:val="center"/>
              <w:rPr>
                <w:rFonts w:eastAsia="仿宋_GB2312"/>
                <w:kern w:val="0"/>
                <w:szCs w:val="21"/>
              </w:rPr>
            </w:pPr>
          </w:p>
        </w:tc>
        <w:tc>
          <w:tcPr>
            <w:tcW w:w="605" w:type="pct"/>
            <w:vMerge w:val="continue"/>
            <w:tcBorders>
              <w:tl2br w:val="nil"/>
              <w:tr2bl w:val="nil"/>
            </w:tcBorders>
            <w:vAlign w:val="center"/>
          </w:tcPr>
          <w:p w14:paraId="51C1CB77">
            <w:pPr>
              <w:widowControl/>
              <w:jc w:val="center"/>
              <w:rPr>
                <w:rFonts w:eastAsia="仿宋_GB2312"/>
                <w:kern w:val="0"/>
                <w:szCs w:val="21"/>
              </w:rPr>
            </w:pPr>
          </w:p>
        </w:tc>
      </w:tr>
      <w:tr w14:paraId="70B3C7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3" w:type="pct"/>
            <w:vMerge w:val="continue"/>
            <w:tcBorders>
              <w:tl2br w:val="nil"/>
              <w:tr2bl w:val="nil"/>
            </w:tcBorders>
            <w:vAlign w:val="center"/>
          </w:tcPr>
          <w:p w14:paraId="3CAC54E9">
            <w:pPr>
              <w:widowControl/>
              <w:jc w:val="center"/>
              <w:rPr>
                <w:rFonts w:eastAsia="仿宋_GB2312"/>
                <w:kern w:val="0"/>
                <w:szCs w:val="21"/>
              </w:rPr>
            </w:pPr>
          </w:p>
        </w:tc>
        <w:tc>
          <w:tcPr>
            <w:tcW w:w="372" w:type="pct"/>
            <w:vMerge w:val="continue"/>
            <w:tcBorders>
              <w:tl2br w:val="nil"/>
              <w:tr2bl w:val="nil"/>
            </w:tcBorders>
            <w:vAlign w:val="center"/>
          </w:tcPr>
          <w:p w14:paraId="3A423886">
            <w:pPr>
              <w:widowControl/>
              <w:jc w:val="center"/>
              <w:rPr>
                <w:rFonts w:eastAsia="仿宋_GB2312"/>
                <w:kern w:val="0"/>
                <w:szCs w:val="21"/>
              </w:rPr>
            </w:pPr>
          </w:p>
        </w:tc>
        <w:tc>
          <w:tcPr>
            <w:tcW w:w="394" w:type="pct"/>
            <w:tcBorders>
              <w:tl2br w:val="nil"/>
              <w:tr2bl w:val="nil"/>
            </w:tcBorders>
            <w:vAlign w:val="center"/>
          </w:tcPr>
          <w:p w14:paraId="197F4A45">
            <w:pPr>
              <w:widowControl/>
              <w:jc w:val="center"/>
              <w:rPr>
                <w:rFonts w:eastAsia="仿宋_GB2312"/>
                <w:kern w:val="0"/>
                <w:szCs w:val="21"/>
              </w:rPr>
            </w:pPr>
            <w:r>
              <w:rPr>
                <w:rFonts w:eastAsia="仿宋_GB2312"/>
                <w:kern w:val="0"/>
                <w:szCs w:val="21"/>
              </w:rPr>
              <w:t>HW12</w:t>
            </w:r>
          </w:p>
        </w:tc>
        <w:tc>
          <w:tcPr>
            <w:tcW w:w="1042" w:type="pct"/>
            <w:tcBorders>
              <w:tl2br w:val="nil"/>
              <w:tr2bl w:val="nil"/>
            </w:tcBorders>
            <w:vAlign w:val="center"/>
          </w:tcPr>
          <w:p w14:paraId="4350E786">
            <w:pPr>
              <w:widowControl/>
              <w:jc w:val="center"/>
              <w:rPr>
                <w:rFonts w:eastAsia="仿宋_GB2312"/>
                <w:kern w:val="0"/>
                <w:szCs w:val="21"/>
              </w:rPr>
            </w:pPr>
            <w:r>
              <w:rPr>
                <w:rFonts w:eastAsia="仿宋_GB2312"/>
                <w:kern w:val="0"/>
                <w:szCs w:val="21"/>
              </w:rPr>
              <w:t>264-011-12，264-013-12，900-250-12，900-251-12，900-252-12，900-253-12</w:t>
            </w:r>
          </w:p>
        </w:tc>
        <w:tc>
          <w:tcPr>
            <w:tcW w:w="465" w:type="pct"/>
            <w:vMerge w:val="continue"/>
            <w:tcBorders>
              <w:tl2br w:val="nil"/>
              <w:tr2bl w:val="nil"/>
            </w:tcBorders>
            <w:vAlign w:val="center"/>
          </w:tcPr>
          <w:p w14:paraId="11CECAD6">
            <w:pPr>
              <w:widowControl/>
              <w:jc w:val="center"/>
              <w:rPr>
                <w:rFonts w:eastAsia="仿宋_GB2312"/>
                <w:kern w:val="0"/>
                <w:szCs w:val="21"/>
              </w:rPr>
            </w:pPr>
          </w:p>
        </w:tc>
        <w:tc>
          <w:tcPr>
            <w:tcW w:w="384" w:type="pct"/>
            <w:tcBorders>
              <w:tl2br w:val="nil"/>
              <w:tr2bl w:val="nil"/>
            </w:tcBorders>
            <w:shd w:val="clear" w:color="auto" w:fill="auto"/>
            <w:vAlign w:val="center"/>
          </w:tcPr>
          <w:p w14:paraId="45482E56">
            <w:pPr>
              <w:widowControl/>
              <w:jc w:val="center"/>
              <w:textAlignment w:val="center"/>
              <w:rPr>
                <w:rFonts w:eastAsia="仿宋_GB2312"/>
                <w:kern w:val="0"/>
                <w:szCs w:val="21"/>
              </w:rPr>
            </w:pPr>
            <w:r>
              <w:rPr>
                <w:kern w:val="0"/>
                <w:szCs w:val="21"/>
                <w:lang w:bidi="ar"/>
              </w:rPr>
              <w:t>HW12</w:t>
            </w:r>
          </w:p>
        </w:tc>
        <w:tc>
          <w:tcPr>
            <w:tcW w:w="1059" w:type="pct"/>
            <w:tcBorders>
              <w:tl2br w:val="nil"/>
              <w:tr2bl w:val="nil"/>
            </w:tcBorders>
            <w:shd w:val="clear" w:color="auto" w:fill="auto"/>
            <w:vAlign w:val="center"/>
          </w:tcPr>
          <w:p w14:paraId="7D2674BA">
            <w:pPr>
              <w:widowControl/>
              <w:jc w:val="center"/>
              <w:textAlignment w:val="center"/>
              <w:rPr>
                <w:rFonts w:eastAsia="仿宋_GB2312"/>
                <w:kern w:val="0"/>
                <w:szCs w:val="21"/>
              </w:rPr>
            </w:pPr>
            <w:r>
              <w:rPr>
                <w:kern w:val="0"/>
                <w:szCs w:val="21"/>
                <w:lang w:bidi="ar"/>
              </w:rPr>
              <w:t>264-011-12</w:t>
            </w:r>
            <w:r>
              <w:rPr>
                <w:rFonts w:ascii="仿宋_GB2312" w:eastAsia="仿宋_GB2312" w:cs="仿宋_GB2312"/>
                <w:kern w:val="0"/>
                <w:szCs w:val="21"/>
                <w:lang w:bidi="ar"/>
              </w:rPr>
              <w:t>，</w:t>
            </w:r>
            <w:r>
              <w:rPr>
                <w:kern w:val="0"/>
                <w:szCs w:val="21"/>
                <w:lang w:bidi="ar"/>
              </w:rPr>
              <w:t>264-013-12</w:t>
            </w:r>
            <w:r>
              <w:rPr>
                <w:rFonts w:ascii="仿宋_GB2312" w:eastAsia="仿宋_GB2312" w:cs="仿宋_GB2312"/>
                <w:kern w:val="0"/>
                <w:szCs w:val="21"/>
                <w:lang w:bidi="ar"/>
              </w:rPr>
              <w:t>，</w:t>
            </w:r>
            <w:r>
              <w:rPr>
                <w:kern w:val="0"/>
                <w:szCs w:val="21"/>
                <w:lang w:bidi="ar"/>
              </w:rPr>
              <w:t>900-250-12</w:t>
            </w:r>
            <w:r>
              <w:rPr>
                <w:rFonts w:ascii="仿宋_GB2312" w:eastAsia="仿宋_GB2312" w:cs="仿宋_GB2312"/>
                <w:kern w:val="0"/>
                <w:szCs w:val="21"/>
                <w:lang w:bidi="ar"/>
              </w:rPr>
              <w:t>，</w:t>
            </w:r>
            <w:r>
              <w:rPr>
                <w:kern w:val="0"/>
                <w:szCs w:val="21"/>
                <w:lang w:bidi="ar"/>
              </w:rPr>
              <w:t>900-251-12</w:t>
            </w:r>
            <w:r>
              <w:rPr>
                <w:rFonts w:ascii="仿宋_GB2312" w:eastAsia="仿宋_GB2312" w:cs="仿宋_GB2312"/>
                <w:kern w:val="0"/>
                <w:szCs w:val="21"/>
                <w:lang w:bidi="ar"/>
              </w:rPr>
              <w:t>，</w:t>
            </w:r>
            <w:r>
              <w:rPr>
                <w:kern w:val="0"/>
                <w:szCs w:val="21"/>
                <w:lang w:bidi="ar"/>
              </w:rPr>
              <w:t>900-252-12</w:t>
            </w:r>
            <w:r>
              <w:rPr>
                <w:rFonts w:ascii="仿宋_GB2312" w:eastAsia="仿宋_GB2312" w:cs="仿宋_GB2312"/>
                <w:kern w:val="0"/>
                <w:szCs w:val="21"/>
                <w:lang w:bidi="ar"/>
              </w:rPr>
              <w:t>，</w:t>
            </w:r>
            <w:r>
              <w:rPr>
                <w:kern w:val="0"/>
                <w:szCs w:val="21"/>
                <w:lang w:bidi="ar"/>
              </w:rPr>
              <w:t>900-253-12</w:t>
            </w:r>
            <w:r>
              <w:rPr>
                <w:rFonts w:hint="eastAsia" w:ascii="宋体" w:hAnsi="宋体" w:cs="宋体"/>
                <w:b/>
                <w:bCs/>
                <w:kern w:val="0"/>
                <w:szCs w:val="21"/>
                <w:lang w:bidi="ar"/>
              </w:rPr>
              <w:t>，</w:t>
            </w:r>
            <w:r>
              <w:rPr>
                <w:b/>
                <w:bCs/>
                <w:kern w:val="0"/>
                <w:szCs w:val="21"/>
                <w:lang w:bidi="ar"/>
              </w:rPr>
              <w:t>900-256-12</w:t>
            </w:r>
          </w:p>
        </w:tc>
        <w:tc>
          <w:tcPr>
            <w:tcW w:w="423" w:type="pct"/>
            <w:vMerge w:val="continue"/>
            <w:tcBorders>
              <w:tl2br w:val="nil"/>
              <w:tr2bl w:val="nil"/>
            </w:tcBorders>
            <w:vAlign w:val="center"/>
          </w:tcPr>
          <w:p w14:paraId="4758FB75">
            <w:pPr>
              <w:widowControl/>
              <w:jc w:val="center"/>
              <w:rPr>
                <w:rFonts w:eastAsia="仿宋_GB2312"/>
                <w:kern w:val="0"/>
                <w:szCs w:val="21"/>
              </w:rPr>
            </w:pPr>
          </w:p>
        </w:tc>
        <w:tc>
          <w:tcPr>
            <w:tcW w:w="605" w:type="pct"/>
            <w:vMerge w:val="continue"/>
            <w:tcBorders>
              <w:tl2br w:val="nil"/>
              <w:tr2bl w:val="nil"/>
            </w:tcBorders>
            <w:vAlign w:val="center"/>
          </w:tcPr>
          <w:p w14:paraId="3BB382F5">
            <w:pPr>
              <w:widowControl/>
              <w:jc w:val="center"/>
              <w:rPr>
                <w:rFonts w:eastAsia="仿宋_GB2312"/>
                <w:kern w:val="0"/>
                <w:szCs w:val="21"/>
              </w:rPr>
            </w:pPr>
          </w:p>
        </w:tc>
      </w:tr>
      <w:tr w14:paraId="4C82C5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3" w:type="pct"/>
            <w:vMerge w:val="continue"/>
            <w:tcBorders>
              <w:tl2br w:val="nil"/>
              <w:tr2bl w:val="nil"/>
            </w:tcBorders>
            <w:vAlign w:val="center"/>
          </w:tcPr>
          <w:p w14:paraId="3BF837F6">
            <w:pPr>
              <w:widowControl/>
              <w:jc w:val="center"/>
              <w:rPr>
                <w:rFonts w:eastAsia="仿宋_GB2312"/>
                <w:kern w:val="0"/>
                <w:szCs w:val="21"/>
              </w:rPr>
            </w:pPr>
          </w:p>
        </w:tc>
        <w:tc>
          <w:tcPr>
            <w:tcW w:w="372" w:type="pct"/>
            <w:vMerge w:val="continue"/>
            <w:tcBorders>
              <w:tl2br w:val="nil"/>
              <w:tr2bl w:val="nil"/>
            </w:tcBorders>
            <w:vAlign w:val="center"/>
          </w:tcPr>
          <w:p w14:paraId="3C87AB77">
            <w:pPr>
              <w:widowControl/>
              <w:jc w:val="center"/>
              <w:rPr>
                <w:rFonts w:eastAsia="仿宋_GB2312"/>
                <w:kern w:val="0"/>
                <w:szCs w:val="21"/>
              </w:rPr>
            </w:pPr>
          </w:p>
        </w:tc>
        <w:tc>
          <w:tcPr>
            <w:tcW w:w="394" w:type="pct"/>
            <w:tcBorders>
              <w:tl2br w:val="nil"/>
              <w:tr2bl w:val="nil"/>
            </w:tcBorders>
            <w:vAlign w:val="center"/>
          </w:tcPr>
          <w:p w14:paraId="3BC9B891">
            <w:pPr>
              <w:widowControl/>
              <w:jc w:val="center"/>
              <w:rPr>
                <w:rFonts w:eastAsia="仿宋_GB2312"/>
                <w:kern w:val="0"/>
                <w:szCs w:val="21"/>
              </w:rPr>
            </w:pPr>
            <w:r>
              <w:rPr>
                <w:rFonts w:eastAsia="仿宋_GB2312"/>
                <w:kern w:val="0"/>
                <w:szCs w:val="21"/>
              </w:rPr>
              <w:t>HW13</w:t>
            </w:r>
          </w:p>
        </w:tc>
        <w:tc>
          <w:tcPr>
            <w:tcW w:w="1042" w:type="pct"/>
            <w:tcBorders>
              <w:tl2br w:val="nil"/>
              <w:tr2bl w:val="nil"/>
            </w:tcBorders>
            <w:vAlign w:val="center"/>
          </w:tcPr>
          <w:p w14:paraId="44BA5F54">
            <w:pPr>
              <w:widowControl/>
              <w:jc w:val="center"/>
              <w:rPr>
                <w:rFonts w:eastAsia="仿宋_GB2312"/>
                <w:kern w:val="0"/>
                <w:szCs w:val="21"/>
              </w:rPr>
            </w:pPr>
            <w:r>
              <w:rPr>
                <w:rFonts w:eastAsia="仿宋_GB2312"/>
                <w:kern w:val="0"/>
                <w:szCs w:val="21"/>
              </w:rPr>
              <w:t>265-102-13</w:t>
            </w:r>
          </w:p>
        </w:tc>
        <w:tc>
          <w:tcPr>
            <w:tcW w:w="465" w:type="pct"/>
            <w:vMerge w:val="continue"/>
            <w:tcBorders>
              <w:tl2br w:val="nil"/>
              <w:tr2bl w:val="nil"/>
            </w:tcBorders>
            <w:vAlign w:val="center"/>
          </w:tcPr>
          <w:p w14:paraId="3CE7EC63">
            <w:pPr>
              <w:widowControl/>
              <w:jc w:val="center"/>
              <w:rPr>
                <w:rFonts w:eastAsia="仿宋_GB2312"/>
                <w:kern w:val="0"/>
                <w:szCs w:val="21"/>
              </w:rPr>
            </w:pPr>
          </w:p>
        </w:tc>
        <w:tc>
          <w:tcPr>
            <w:tcW w:w="384" w:type="pct"/>
            <w:tcBorders>
              <w:tl2br w:val="nil"/>
              <w:tr2bl w:val="nil"/>
            </w:tcBorders>
            <w:shd w:val="clear" w:color="auto" w:fill="auto"/>
            <w:vAlign w:val="center"/>
          </w:tcPr>
          <w:p w14:paraId="286467C2">
            <w:pPr>
              <w:widowControl/>
              <w:jc w:val="center"/>
              <w:textAlignment w:val="center"/>
              <w:rPr>
                <w:rFonts w:eastAsia="仿宋_GB2312"/>
                <w:kern w:val="0"/>
                <w:szCs w:val="21"/>
              </w:rPr>
            </w:pPr>
            <w:r>
              <w:rPr>
                <w:kern w:val="0"/>
                <w:szCs w:val="21"/>
                <w:lang w:bidi="ar"/>
              </w:rPr>
              <w:t>HW13</w:t>
            </w:r>
          </w:p>
        </w:tc>
        <w:tc>
          <w:tcPr>
            <w:tcW w:w="1059" w:type="pct"/>
            <w:tcBorders>
              <w:tl2br w:val="nil"/>
              <w:tr2bl w:val="nil"/>
            </w:tcBorders>
            <w:shd w:val="clear" w:color="auto" w:fill="auto"/>
            <w:vAlign w:val="center"/>
          </w:tcPr>
          <w:p w14:paraId="2EED567E">
            <w:pPr>
              <w:widowControl/>
              <w:jc w:val="center"/>
              <w:textAlignment w:val="center"/>
              <w:rPr>
                <w:rFonts w:eastAsia="仿宋_GB2312"/>
                <w:kern w:val="0"/>
                <w:szCs w:val="21"/>
              </w:rPr>
            </w:pPr>
            <w:r>
              <w:rPr>
                <w:kern w:val="0"/>
                <w:szCs w:val="21"/>
                <w:lang w:bidi="ar"/>
              </w:rPr>
              <w:t>265-102-13</w:t>
            </w:r>
            <w:r>
              <w:rPr>
                <w:rFonts w:hint="eastAsia" w:ascii="宋体" w:hAnsi="宋体" w:cs="宋体"/>
                <w:b/>
                <w:bCs/>
                <w:kern w:val="0"/>
                <w:szCs w:val="21"/>
                <w:lang w:bidi="ar"/>
              </w:rPr>
              <w:t>，</w:t>
            </w:r>
            <w:r>
              <w:rPr>
                <w:b/>
                <w:bCs/>
                <w:kern w:val="0"/>
                <w:szCs w:val="21"/>
                <w:lang w:bidi="ar"/>
              </w:rPr>
              <w:t>900-014-13</w:t>
            </w:r>
          </w:p>
        </w:tc>
        <w:tc>
          <w:tcPr>
            <w:tcW w:w="423" w:type="pct"/>
            <w:vMerge w:val="continue"/>
            <w:tcBorders>
              <w:tl2br w:val="nil"/>
              <w:tr2bl w:val="nil"/>
            </w:tcBorders>
            <w:vAlign w:val="center"/>
          </w:tcPr>
          <w:p w14:paraId="621BF185">
            <w:pPr>
              <w:widowControl/>
              <w:jc w:val="center"/>
              <w:rPr>
                <w:rFonts w:eastAsia="仿宋_GB2312"/>
                <w:kern w:val="0"/>
                <w:szCs w:val="21"/>
              </w:rPr>
            </w:pPr>
          </w:p>
        </w:tc>
        <w:tc>
          <w:tcPr>
            <w:tcW w:w="605" w:type="pct"/>
            <w:vMerge w:val="continue"/>
            <w:tcBorders>
              <w:tl2br w:val="nil"/>
              <w:tr2bl w:val="nil"/>
            </w:tcBorders>
            <w:vAlign w:val="center"/>
          </w:tcPr>
          <w:p w14:paraId="650D5BAC">
            <w:pPr>
              <w:widowControl/>
              <w:jc w:val="center"/>
              <w:rPr>
                <w:rFonts w:eastAsia="仿宋_GB2312"/>
                <w:kern w:val="0"/>
                <w:szCs w:val="21"/>
              </w:rPr>
            </w:pPr>
          </w:p>
        </w:tc>
      </w:tr>
      <w:tr w14:paraId="7786DC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3" w:type="pct"/>
            <w:vMerge w:val="restart"/>
            <w:tcBorders>
              <w:tl2br w:val="nil"/>
              <w:tr2bl w:val="nil"/>
            </w:tcBorders>
            <w:vAlign w:val="center"/>
          </w:tcPr>
          <w:p w14:paraId="4FF0EDC4">
            <w:pPr>
              <w:widowControl/>
              <w:jc w:val="center"/>
              <w:rPr>
                <w:rFonts w:eastAsia="仿宋_GB2312"/>
                <w:kern w:val="0"/>
                <w:szCs w:val="21"/>
              </w:rPr>
            </w:pPr>
            <w:r>
              <w:rPr>
                <w:rFonts w:eastAsia="仿宋_GB2312"/>
                <w:kern w:val="0"/>
                <w:szCs w:val="21"/>
              </w:rPr>
              <w:t>8</w:t>
            </w:r>
          </w:p>
        </w:tc>
        <w:tc>
          <w:tcPr>
            <w:tcW w:w="372" w:type="pct"/>
            <w:vMerge w:val="restart"/>
            <w:tcBorders>
              <w:tl2br w:val="nil"/>
              <w:tr2bl w:val="nil"/>
            </w:tcBorders>
            <w:vAlign w:val="center"/>
          </w:tcPr>
          <w:p w14:paraId="68DE6705">
            <w:pPr>
              <w:widowControl/>
              <w:jc w:val="center"/>
              <w:rPr>
                <w:rFonts w:eastAsia="仿宋_GB2312"/>
                <w:kern w:val="0"/>
                <w:szCs w:val="21"/>
              </w:rPr>
            </w:pPr>
            <w:r>
              <w:rPr>
                <w:rFonts w:eastAsia="仿宋_GB2312"/>
                <w:kern w:val="0"/>
                <w:szCs w:val="21"/>
              </w:rPr>
              <w:t>乙酸丁酯废液</w:t>
            </w:r>
          </w:p>
        </w:tc>
        <w:tc>
          <w:tcPr>
            <w:tcW w:w="394" w:type="pct"/>
            <w:tcBorders>
              <w:tl2br w:val="nil"/>
              <w:tr2bl w:val="nil"/>
            </w:tcBorders>
            <w:vAlign w:val="center"/>
          </w:tcPr>
          <w:p w14:paraId="37231D75">
            <w:pPr>
              <w:widowControl/>
              <w:jc w:val="center"/>
              <w:rPr>
                <w:rFonts w:eastAsia="仿宋_GB2312"/>
                <w:kern w:val="0"/>
                <w:szCs w:val="21"/>
              </w:rPr>
            </w:pPr>
            <w:r>
              <w:rPr>
                <w:rFonts w:eastAsia="仿宋_GB2312"/>
                <w:kern w:val="0"/>
                <w:szCs w:val="21"/>
              </w:rPr>
              <w:t>HW02</w:t>
            </w:r>
          </w:p>
        </w:tc>
        <w:tc>
          <w:tcPr>
            <w:tcW w:w="1042" w:type="pct"/>
            <w:tcBorders>
              <w:tl2br w:val="nil"/>
              <w:tr2bl w:val="nil"/>
            </w:tcBorders>
            <w:vAlign w:val="center"/>
          </w:tcPr>
          <w:p w14:paraId="592DE7E5">
            <w:pPr>
              <w:widowControl/>
              <w:jc w:val="center"/>
              <w:rPr>
                <w:rFonts w:eastAsia="仿宋_GB2312"/>
                <w:kern w:val="0"/>
                <w:szCs w:val="21"/>
              </w:rPr>
            </w:pPr>
            <w:r>
              <w:rPr>
                <w:rFonts w:eastAsia="仿宋_GB2312"/>
                <w:kern w:val="0"/>
                <w:szCs w:val="21"/>
              </w:rPr>
              <w:t>271-001-02，271-002-02，</w:t>
            </w:r>
            <w:r>
              <w:rPr>
                <w:rFonts w:hint="eastAsia" w:eastAsia="仿宋_GB2312"/>
                <w:kern w:val="0"/>
                <w:szCs w:val="21"/>
              </w:rPr>
              <w:t>271-004-02，</w:t>
            </w:r>
            <w:r>
              <w:rPr>
                <w:rFonts w:eastAsia="仿宋_GB2312"/>
                <w:kern w:val="0"/>
                <w:szCs w:val="21"/>
              </w:rPr>
              <w:t>272-001-02，</w:t>
            </w:r>
            <w:r>
              <w:rPr>
                <w:rFonts w:hint="eastAsia" w:eastAsia="仿宋_GB2312"/>
                <w:kern w:val="0"/>
                <w:szCs w:val="21"/>
              </w:rPr>
              <w:t>272-003-02，275-004-02，275-005-02，</w:t>
            </w:r>
            <w:r>
              <w:rPr>
                <w:rFonts w:eastAsia="仿宋_GB2312"/>
                <w:kern w:val="0"/>
                <w:szCs w:val="21"/>
              </w:rPr>
              <w:t>276-001-02，276-002-02</w:t>
            </w:r>
            <w:r>
              <w:rPr>
                <w:rFonts w:hint="eastAsia" w:eastAsia="仿宋_GB2312"/>
                <w:kern w:val="0"/>
                <w:szCs w:val="21"/>
              </w:rPr>
              <w:t>，276-004-02</w:t>
            </w:r>
          </w:p>
        </w:tc>
        <w:tc>
          <w:tcPr>
            <w:tcW w:w="465" w:type="pct"/>
            <w:vMerge w:val="restart"/>
            <w:tcBorders>
              <w:tl2br w:val="nil"/>
              <w:tr2bl w:val="nil"/>
            </w:tcBorders>
            <w:vAlign w:val="center"/>
          </w:tcPr>
          <w:p w14:paraId="51262697">
            <w:pPr>
              <w:widowControl/>
              <w:jc w:val="center"/>
              <w:rPr>
                <w:rFonts w:eastAsia="仿宋_GB2312"/>
                <w:kern w:val="0"/>
                <w:szCs w:val="21"/>
              </w:rPr>
            </w:pPr>
            <w:r>
              <w:rPr>
                <w:rFonts w:eastAsia="仿宋_GB2312"/>
                <w:kern w:val="0"/>
                <w:szCs w:val="21"/>
              </w:rPr>
              <w:t>1000</w:t>
            </w:r>
          </w:p>
        </w:tc>
        <w:tc>
          <w:tcPr>
            <w:tcW w:w="384" w:type="pct"/>
            <w:tcBorders>
              <w:tl2br w:val="nil"/>
              <w:tr2bl w:val="nil"/>
            </w:tcBorders>
            <w:shd w:val="clear" w:color="auto" w:fill="auto"/>
            <w:vAlign w:val="center"/>
          </w:tcPr>
          <w:p w14:paraId="3FA345FF">
            <w:pPr>
              <w:widowControl/>
              <w:jc w:val="center"/>
              <w:textAlignment w:val="center"/>
              <w:rPr>
                <w:rFonts w:eastAsia="仿宋_GB2312"/>
                <w:kern w:val="0"/>
                <w:szCs w:val="21"/>
              </w:rPr>
            </w:pPr>
            <w:r>
              <w:rPr>
                <w:kern w:val="0"/>
                <w:szCs w:val="21"/>
                <w:lang w:bidi="ar"/>
              </w:rPr>
              <w:t>HW02</w:t>
            </w:r>
          </w:p>
        </w:tc>
        <w:tc>
          <w:tcPr>
            <w:tcW w:w="1059" w:type="pct"/>
            <w:tcBorders>
              <w:tl2br w:val="nil"/>
              <w:tr2bl w:val="nil"/>
            </w:tcBorders>
            <w:shd w:val="clear" w:color="auto" w:fill="auto"/>
            <w:vAlign w:val="center"/>
          </w:tcPr>
          <w:p w14:paraId="75C12AFD">
            <w:pPr>
              <w:widowControl/>
              <w:jc w:val="center"/>
              <w:textAlignment w:val="center"/>
              <w:rPr>
                <w:rFonts w:eastAsia="仿宋_GB2312"/>
                <w:kern w:val="0"/>
                <w:szCs w:val="21"/>
              </w:rPr>
            </w:pPr>
            <w:r>
              <w:rPr>
                <w:kern w:val="0"/>
                <w:szCs w:val="21"/>
                <w:lang w:bidi="ar"/>
              </w:rPr>
              <w:t>271-001-02</w:t>
            </w:r>
            <w:r>
              <w:rPr>
                <w:rFonts w:ascii="仿宋_GB2312" w:eastAsia="仿宋_GB2312" w:cs="仿宋_GB2312"/>
                <w:kern w:val="0"/>
                <w:szCs w:val="21"/>
                <w:lang w:bidi="ar"/>
              </w:rPr>
              <w:t>，</w:t>
            </w:r>
            <w:r>
              <w:rPr>
                <w:kern w:val="0"/>
                <w:szCs w:val="21"/>
                <w:lang w:bidi="ar"/>
              </w:rPr>
              <w:t>271-002-02</w:t>
            </w:r>
            <w:r>
              <w:rPr>
                <w:rFonts w:ascii="仿宋_GB2312" w:eastAsia="仿宋_GB2312" w:cs="仿宋_GB2312"/>
                <w:kern w:val="0"/>
                <w:szCs w:val="21"/>
                <w:lang w:bidi="ar"/>
              </w:rPr>
              <w:t>，</w:t>
            </w:r>
            <w:r>
              <w:rPr>
                <w:kern w:val="0"/>
                <w:szCs w:val="21"/>
                <w:lang w:bidi="ar"/>
              </w:rPr>
              <w:t>272-001-02</w:t>
            </w:r>
            <w:r>
              <w:rPr>
                <w:rFonts w:ascii="仿宋_GB2312" w:eastAsia="仿宋_GB2312" w:cs="仿宋_GB2312"/>
                <w:kern w:val="0"/>
                <w:szCs w:val="21"/>
                <w:lang w:bidi="ar"/>
              </w:rPr>
              <w:t>，</w:t>
            </w:r>
            <w:r>
              <w:rPr>
                <w:b/>
                <w:bCs/>
                <w:kern w:val="0"/>
                <w:szCs w:val="21"/>
                <w:lang w:bidi="ar"/>
              </w:rPr>
              <w:t>272-00</w:t>
            </w:r>
            <w:r>
              <w:rPr>
                <w:rFonts w:hint="eastAsia"/>
                <w:b/>
                <w:bCs/>
                <w:kern w:val="0"/>
                <w:szCs w:val="21"/>
                <w:lang w:val="en-US" w:eastAsia="zh-CN" w:bidi="ar"/>
              </w:rPr>
              <w:t>5</w:t>
            </w:r>
            <w:r>
              <w:rPr>
                <w:b/>
                <w:bCs/>
                <w:kern w:val="0"/>
                <w:szCs w:val="21"/>
                <w:lang w:bidi="ar"/>
              </w:rPr>
              <w:t>-02</w:t>
            </w:r>
            <w:r>
              <w:rPr>
                <w:rFonts w:ascii="仿宋_GB2312" w:eastAsia="仿宋_GB2312" w:cs="仿宋_GB2312"/>
                <w:kern w:val="0"/>
                <w:szCs w:val="21"/>
                <w:lang w:bidi="ar"/>
              </w:rPr>
              <w:t>，</w:t>
            </w:r>
            <w:r>
              <w:rPr>
                <w:kern w:val="0"/>
                <w:szCs w:val="21"/>
                <w:lang w:bidi="ar"/>
              </w:rPr>
              <w:t>275-004-02</w:t>
            </w:r>
            <w:r>
              <w:rPr>
                <w:rFonts w:ascii="仿宋_GB2312" w:eastAsia="仿宋_GB2312" w:cs="仿宋_GB2312"/>
                <w:kern w:val="0"/>
                <w:szCs w:val="21"/>
                <w:lang w:bidi="ar"/>
              </w:rPr>
              <w:t>，</w:t>
            </w:r>
            <w:r>
              <w:rPr>
                <w:b/>
                <w:bCs/>
                <w:kern w:val="0"/>
                <w:szCs w:val="21"/>
                <w:lang w:bidi="ar"/>
              </w:rPr>
              <w:t>275-00</w:t>
            </w:r>
            <w:r>
              <w:rPr>
                <w:rFonts w:hint="eastAsia"/>
                <w:b/>
                <w:bCs/>
                <w:kern w:val="0"/>
                <w:szCs w:val="21"/>
                <w:lang w:val="en-US" w:eastAsia="zh-CN" w:bidi="ar"/>
              </w:rPr>
              <w:t>6</w:t>
            </w:r>
            <w:r>
              <w:rPr>
                <w:b/>
                <w:bCs/>
                <w:kern w:val="0"/>
                <w:szCs w:val="21"/>
                <w:lang w:bidi="ar"/>
              </w:rPr>
              <w:t>-02</w:t>
            </w:r>
            <w:r>
              <w:rPr>
                <w:rFonts w:ascii="仿宋_GB2312" w:eastAsia="仿宋_GB2312" w:cs="仿宋_GB2312"/>
                <w:kern w:val="0"/>
                <w:szCs w:val="21"/>
                <w:lang w:bidi="ar"/>
              </w:rPr>
              <w:t>，</w:t>
            </w:r>
            <w:r>
              <w:rPr>
                <w:kern w:val="0"/>
                <w:szCs w:val="21"/>
                <w:lang w:bidi="ar"/>
              </w:rPr>
              <w:t>276-001-02</w:t>
            </w:r>
            <w:r>
              <w:rPr>
                <w:rFonts w:ascii="仿宋_GB2312" w:eastAsia="仿宋_GB2312" w:cs="仿宋_GB2312"/>
                <w:kern w:val="0"/>
                <w:szCs w:val="21"/>
                <w:lang w:bidi="ar"/>
              </w:rPr>
              <w:t>，</w:t>
            </w:r>
            <w:r>
              <w:rPr>
                <w:kern w:val="0"/>
                <w:szCs w:val="21"/>
                <w:lang w:bidi="ar"/>
              </w:rPr>
              <w:t>276-002-02</w:t>
            </w:r>
            <w:r>
              <w:rPr>
                <w:rFonts w:ascii="仿宋_GB2312" w:eastAsia="仿宋_GB2312" w:cs="仿宋_GB2312"/>
                <w:kern w:val="0"/>
                <w:szCs w:val="21"/>
                <w:lang w:bidi="ar"/>
              </w:rPr>
              <w:t>，</w:t>
            </w:r>
            <w:r>
              <w:rPr>
                <w:b/>
                <w:bCs/>
                <w:kern w:val="0"/>
                <w:szCs w:val="21"/>
                <w:lang w:bidi="ar"/>
              </w:rPr>
              <w:t>276-00</w:t>
            </w:r>
            <w:r>
              <w:rPr>
                <w:rFonts w:hint="eastAsia"/>
                <w:b/>
                <w:bCs/>
                <w:kern w:val="0"/>
                <w:szCs w:val="21"/>
                <w:lang w:val="en-US" w:eastAsia="zh-CN" w:bidi="ar"/>
              </w:rPr>
              <w:t>5</w:t>
            </w:r>
            <w:r>
              <w:rPr>
                <w:b/>
                <w:bCs/>
                <w:kern w:val="0"/>
                <w:szCs w:val="21"/>
                <w:lang w:bidi="ar"/>
              </w:rPr>
              <w:t>-02</w:t>
            </w:r>
          </w:p>
        </w:tc>
        <w:tc>
          <w:tcPr>
            <w:tcW w:w="423" w:type="pct"/>
            <w:vMerge w:val="restart"/>
            <w:tcBorders>
              <w:tl2br w:val="nil"/>
              <w:tr2bl w:val="nil"/>
            </w:tcBorders>
            <w:vAlign w:val="center"/>
          </w:tcPr>
          <w:p w14:paraId="0E9B2692">
            <w:pPr>
              <w:widowControl/>
              <w:jc w:val="center"/>
              <w:rPr>
                <w:rFonts w:eastAsia="仿宋_GB2312"/>
                <w:kern w:val="0"/>
                <w:szCs w:val="21"/>
              </w:rPr>
            </w:pPr>
            <w:r>
              <w:rPr>
                <w:rFonts w:hint="eastAsia" w:eastAsia="仿宋_GB2312"/>
                <w:kern w:val="0"/>
                <w:szCs w:val="21"/>
                <w:lang w:val="en-US" w:eastAsia="zh-CN"/>
              </w:rPr>
              <w:t>8</w:t>
            </w:r>
            <w:r>
              <w:rPr>
                <w:rFonts w:hint="eastAsia" w:eastAsia="仿宋_GB2312"/>
                <w:kern w:val="0"/>
                <w:szCs w:val="21"/>
              </w:rPr>
              <w:t>000</w:t>
            </w:r>
          </w:p>
        </w:tc>
        <w:tc>
          <w:tcPr>
            <w:tcW w:w="605" w:type="pct"/>
            <w:vMerge w:val="restart"/>
            <w:tcBorders>
              <w:tl2br w:val="nil"/>
              <w:tr2bl w:val="nil"/>
            </w:tcBorders>
            <w:vAlign w:val="center"/>
          </w:tcPr>
          <w:p w14:paraId="71236FD9">
            <w:pPr>
              <w:widowControl/>
              <w:jc w:val="center"/>
              <w:rPr>
                <w:rFonts w:eastAsia="仿宋_GB2312"/>
                <w:kern w:val="0"/>
                <w:szCs w:val="21"/>
              </w:rPr>
            </w:pPr>
            <w:r>
              <w:rPr>
                <w:rFonts w:eastAsia="仿宋_GB2312"/>
                <w:bCs/>
              </w:rPr>
              <w:t>回收综合利用量增加，危废代码增加</w:t>
            </w:r>
          </w:p>
        </w:tc>
      </w:tr>
      <w:tr w14:paraId="093FDCE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3" w:type="pct"/>
            <w:vMerge w:val="continue"/>
            <w:tcBorders>
              <w:tl2br w:val="nil"/>
              <w:tr2bl w:val="nil"/>
            </w:tcBorders>
            <w:vAlign w:val="center"/>
          </w:tcPr>
          <w:p w14:paraId="0BC9FB0E">
            <w:pPr>
              <w:widowControl/>
              <w:jc w:val="center"/>
              <w:rPr>
                <w:rFonts w:eastAsia="仿宋_GB2312"/>
                <w:kern w:val="0"/>
                <w:szCs w:val="21"/>
              </w:rPr>
            </w:pPr>
          </w:p>
        </w:tc>
        <w:tc>
          <w:tcPr>
            <w:tcW w:w="372" w:type="pct"/>
            <w:vMerge w:val="continue"/>
            <w:tcBorders>
              <w:tl2br w:val="nil"/>
              <w:tr2bl w:val="nil"/>
            </w:tcBorders>
            <w:vAlign w:val="center"/>
          </w:tcPr>
          <w:p w14:paraId="5EB10C58">
            <w:pPr>
              <w:widowControl/>
              <w:jc w:val="center"/>
              <w:rPr>
                <w:rFonts w:eastAsia="仿宋_GB2312"/>
                <w:kern w:val="0"/>
                <w:szCs w:val="21"/>
              </w:rPr>
            </w:pPr>
          </w:p>
        </w:tc>
        <w:tc>
          <w:tcPr>
            <w:tcW w:w="394" w:type="pct"/>
            <w:tcBorders>
              <w:tl2br w:val="nil"/>
              <w:tr2bl w:val="nil"/>
            </w:tcBorders>
            <w:shd w:val="clear" w:color="auto" w:fill="auto"/>
            <w:vAlign w:val="center"/>
          </w:tcPr>
          <w:p w14:paraId="49337804">
            <w:pPr>
              <w:widowControl/>
              <w:jc w:val="center"/>
              <w:rPr>
                <w:rFonts w:eastAsia="仿宋_GB2312"/>
                <w:kern w:val="0"/>
                <w:szCs w:val="21"/>
              </w:rPr>
            </w:pPr>
            <w:r>
              <w:rPr>
                <w:rFonts w:hint="eastAsia" w:eastAsia="仿宋_GB2312"/>
                <w:kern w:val="0"/>
                <w:szCs w:val="21"/>
              </w:rPr>
              <w:t>/</w:t>
            </w:r>
          </w:p>
        </w:tc>
        <w:tc>
          <w:tcPr>
            <w:tcW w:w="1042" w:type="pct"/>
            <w:tcBorders>
              <w:tl2br w:val="nil"/>
              <w:tr2bl w:val="nil"/>
            </w:tcBorders>
            <w:shd w:val="clear" w:color="auto" w:fill="auto"/>
            <w:vAlign w:val="center"/>
          </w:tcPr>
          <w:p w14:paraId="56900872">
            <w:pPr>
              <w:widowControl/>
              <w:jc w:val="center"/>
              <w:rPr>
                <w:rFonts w:eastAsia="仿宋_GB2312"/>
                <w:kern w:val="0"/>
                <w:szCs w:val="21"/>
              </w:rPr>
            </w:pPr>
            <w:r>
              <w:rPr>
                <w:rFonts w:hint="eastAsia" w:eastAsia="仿宋_GB2312"/>
                <w:kern w:val="0"/>
                <w:szCs w:val="21"/>
              </w:rPr>
              <w:t>/</w:t>
            </w:r>
          </w:p>
        </w:tc>
        <w:tc>
          <w:tcPr>
            <w:tcW w:w="465" w:type="pct"/>
            <w:vMerge w:val="continue"/>
            <w:tcBorders>
              <w:tl2br w:val="nil"/>
              <w:tr2bl w:val="nil"/>
            </w:tcBorders>
            <w:vAlign w:val="center"/>
          </w:tcPr>
          <w:p w14:paraId="6EA0D2D4">
            <w:pPr>
              <w:widowControl/>
              <w:jc w:val="center"/>
              <w:rPr>
                <w:rFonts w:eastAsia="仿宋_GB2312"/>
                <w:kern w:val="0"/>
                <w:szCs w:val="21"/>
              </w:rPr>
            </w:pPr>
          </w:p>
        </w:tc>
        <w:tc>
          <w:tcPr>
            <w:tcW w:w="384" w:type="pct"/>
            <w:tcBorders>
              <w:tl2br w:val="nil"/>
              <w:tr2bl w:val="nil"/>
            </w:tcBorders>
            <w:shd w:val="clear" w:color="auto" w:fill="auto"/>
            <w:vAlign w:val="center"/>
          </w:tcPr>
          <w:p w14:paraId="2AC511EB">
            <w:pPr>
              <w:widowControl/>
              <w:jc w:val="center"/>
              <w:textAlignment w:val="center"/>
              <w:rPr>
                <w:rFonts w:eastAsia="仿宋_GB2312"/>
                <w:kern w:val="0"/>
                <w:szCs w:val="21"/>
              </w:rPr>
            </w:pPr>
            <w:r>
              <w:rPr>
                <w:b/>
                <w:bCs/>
                <w:kern w:val="0"/>
                <w:szCs w:val="21"/>
                <w:lang w:bidi="ar"/>
              </w:rPr>
              <w:t>HW04</w:t>
            </w:r>
          </w:p>
        </w:tc>
        <w:tc>
          <w:tcPr>
            <w:tcW w:w="1059" w:type="pct"/>
            <w:tcBorders>
              <w:tl2br w:val="nil"/>
              <w:tr2bl w:val="nil"/>
            </w:tcBorders>
            <w:shd w:val="clear" w:color="auto" w:fill="auto"/>
            <w:vAlign w:val="center"/>
          </w:tcPr>
          <w:p w14:paraId="654D246F">
            <w:pPr>
              <w:widowControl/>
              <w:jc w:val="center"/>
              <w:textAlignment w:val="center"/>
              <w:rPr>
                <w:rFonts w:eastAsia="仿宋_GB2312"/>
                <w:kern w:val="0"/>
                <w:szCs w:val="21"/>
              </w:rPr>
            </w:pPr>
            <w:r>
              <w:rPr>
                <w:b/>
                <w:bCs/>
                <w:kern w:val="0"/>
                <w:szCs w:val="21"/>
                <w:lang w:bidi="ar"/>
              </w:rPr>
              <w:t>263-008-04</w:t>
            </w:r>
          </w:p>
        </w:tc>
        <w:tc>
          <w:tcPr>
            <w:tcW w:w="423" w:type="pct"/>
            <w:vMerge w:val="continue"/>
            <w:tcBorders>
              <w:tl2br w:val="nil"/>
              <w:tr2bl w:val="nil"/>
            </w:tcBorders>
            <w:vAlign w:val="center"/>
          </w:tcPr>
          <w:p w14:paraId="5B7B9BC7">
            <w:pPr>
              <w:widowControl/>
              <w:jc w:val="center"/>
              <w:rPr>
                <w:rFonts w:eastAsia="仿宋_GB2312"/>
                <w:kern w:val="0"/>
                <w:szCs w:val="21"/>
              </w:rPr>
            </w:pPr>
          </w:p>
        </w:tc>
        <w:tc>
          <w:tcPr>
            <w:tcW w:w="605" w:type="pct"/>
            <w:vMerge w:val="continue"/>
            <w:tcBorders>
              <w:tl2br w:val="nil"/>
              <w:tr2bl w:val="nil"/>
            </w:tcBorders>
            <w:vAlign w:val="center"/>
          </w:tcPr>
          <w:p w14:paraId="3013F8E3">
            <w:pPr>
              <w:widowControl/>
              <w:jc w:val="center"/>
              <w:rPr>
                <w:rFonts w:eastAsia="仿宋_GB2312"/>
                <w:bCs/>
              </w:rPr>
            </w:pPr>
          </w:p>
        </w:tc>
      </w:tr>
      <w:tr w14:paraId="0C1BD7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3" w:type="pct"/>
            <w:vMerge w:val="continue"/>
            <w:tcBorders>
              <w:tl2br w:val="nil"/>
              <w:tr2bl w:val="nil"/>
            </w:tcBorders>
            <w:vAlign w:val="center"/>
          </w:tcPr>
          <w:p w14:paraId="720A6BD9">
            <w:pPr>
              <w:widowControl/>
              <w:jc w:val="center"/>
              <w:rPr>
                <w:rFonts w:eastAsia="仿宋_GB2312"/>
                <w:kern w:val="0"/>
                <w:szCs w:val="21"/>
              </w:rPr>
            </w:pPr>
          </w:p>
        </w:tc>
        <w:tc>
          <w:tcPr>
            <w:tcW w:w="372" w:type="pct"/>
            <w:vMerge w:val="continue"/>
            <w:tcBorders>
              <w:tl2br w:val="nil"/>
              <w:tr2bl w:val="nil"/>
            </w:tcBorders>
            <w:vAlign w:val="center"/>
          </w:tcPr>
          <w:p w14:paraId="14D84D2F">
            <w:pPr>
              <w:widowControl/>
              <w:jc w:val="center"/>
              <w:rPr>
                <w:rFonts w:eastAsia="仿宋_GB2312"/>
                <w:kern w:val="0"/>
                <w:szCs w:val="21"/>
              </w:rPr>
            </w:pPr>
          </w:p>
        </w:tc>
        <w:tc>
          <w:tcPr>
            <w:tcW w:w="394" w:type="pct"/>
            <w:tcBorders>
              <w:tl2br w:val="nil"/>
              <w:tr2bl w:val="nil"/>
            </w:tcBorders>
            <w:vAlign w:val="center"/>
          </w:tcPr>
          <w:p w14:paraId="4915C689">
            <w:pPr>
              <w:widowControl/>
              <w:jc w:val="center"/>
              <w:rPr>
                <w:rFonts w:eastAsia="仿宋_GB2312"/>
                <w:kern w:val="0"/>
                <w:szCs w:val="21"/>
              </w:rPr>
            </w:pPr>
            <w:r>
              <w:rPr>
                <w:rFonts w:eastAsia="仿宋_GB2312"/>
                <w:kern w:val="0"/>
                <w:szCs w:val="21"/>
              </w:rPr>
              <w:t>HW06</w:t>
            </w:r>
          </w:p>
        </w:tc>
        <w:tc>
          <w:tcPr>
            <w:tcW w:w="1042" w:type="pct"/>
            <w:tcBorders>
              <w:tl2br w:val="nil"/>
              <w:tr2bl w:val="nil"/>
            </w:tcBorders>
            <w:vAlign w:val="center"/>
          </w:tcPr>
          <w:p w14:paraId="636E5407">
            <w:pPr>
              <w:widowControl/>
              <w:jc w:val="center"/>
              <w:rPr>
                <w:rFonts w:eastAsia="仿宋_GB2312"/>
                <w:kern w:val="0"/>
                <w:szCs w:val="21"/>
              </w:rPr>
            </w:pPr>
            <w:r>
              <w:rPr>
                <w:rFonts w:eastAsia="仿宋_GB2312"/>
                <w:kern w:val="0"/>
                <w:szCs w:val="21"/>
              </w:rPr>
              <w:t>900-402-06，900-404-06，900-407-06</w:t>
            </w:r>
          </w:p>
        </w:tc>
        <w:tc>
          <w:tcPr>
            <w:tcW w:w="465" w:type="pct"/>
            <w:vMerge w:val="continue"/>
            <w:tcBorders>
              <w:tl2br w:val="nil"/>
              <w:tr2bl w:val="nil"/>
            </w:tcBorders>
            <w:vAlign w:val="center"/>
          </w:tcPr>
          <w:p w14:paraId="1A9A7DB7">
            <w:pPr>
              <w:widowControl/>
              <w:jc w:val="center"/>
              <w:rPr>
                <w:rFonts w:eastAsia="仿宋_GB2312"/>
                <w:kern w:val="0"/>
                <w:szCs w:val="21"/>
              </w:rPr>
            </w:pPr>
          </w:p>
        </w:tc>
        <w:tc>
          <w:tcPr>
            <w:tcW w:w="384" w:type="pct"/>
            <w:tcBorders>
              <w:tl2br w:val="nil"/>
              <w:tr2bl w:val="nil"/>
            </w:tcBorders>
            <w:shd w:val="clear" w:color="auto" w:fill="auto"/>
            <w:vAlign w:val="center"/>
          </w:tcPr>
          <w:p w14:paraId="33D5A1E9">
            <w:pPr>
              <w:widowControl/>
              <w:jc w:val="center"/>
              <w:textAlignment w:val="center"/>
              <w:rPr>
                <w:rFonts w:eastAsia="仿宋_GB2312"/>
                <w:kern w:val="0"/>
                <w:szCs w:val="21"/>
              </w:rPr>
            </w:pPr>
            <w:r>
              <w:rPr>
                <w:kern w:val="0"/>
                <w:szCs w:val="21"/>
                <w:lang w:bidi="ar"/>
              </w:rPr>
              <w:t>HW06</w:t>
            </w:r>
          </w:p>
        </w:tc>
        <w:tc>
          <w:tcPr>
            <w:tcW w:w="1059" w:type="pct"/>
            <w:tcBorders>
              <w:tl2br w:val="nil"/>
              <w:tr2bl w:val="nil"/>
            </w:tcBorders>
            <w:shd w:val="clear" w:color="auto" w:fill="auto"/>
            <w:vAlign w:val="center"/>
          </w:tcPr>
          <w:p w14:paraId="25B1259D">
            <w:pPr>
              <w:widowControl/>
              <w:jc w:val="center"/>
              <w:textAlignment w:val="center"/>
              <w:rPr>
                <w:rFonts w:eastAsia="仿宋_GB2312"/>
                <w:kern w:val="0"/>
                <w:szCs w:val="21"/>
              </w:rPr>
            </w:pPr>
            <w:r>
              <w:rPr>
                <w:kern w:val="0"/>
                <w:szCs w:val="21"/>
                <w:lang w:bidi="ar"/>
              </w:rPr>
              <w:t>900-402-06</w:t>
            </w:r>
            <w:r>
              <w:rPr>
                <w:rFonts w:ascii="仿宋_GB2312" w:eastAsia="仿宋_GB2312" w:cs="仿宋_GB2312"/>
                <w:kern w:val="0"/>
                <w:szCs w:val="21"/>
                <w:lang w:bidi="ar"/>
              </w:rPr>
              <w:t>，</w:t>
            </w:r>
            <w:r>
              <w:rPr>
                <w:kern w:val="0"/>
                <w:szCs w:val="21"/>
                <w:lang w:bidi="ar"/>
              </w:rPr>
              <w:t>900-404-06</w:t>
            </w:r>
            <w:r>
              <w:rPr>
                <w:rFonts w:ascii="仿宋_GB2312" w:eastAsia="仿宋_GB2312" w:cs="仿宋_GB2312"/>
                <w:kern w:val="0"/>
                <w:szCs w:val="21"/>
                <w:lang w:bidi="ar"/>
              </w:rPr>
              <w:t>，</w:t>
            </w:r>
            <w:r>
              <w:rPr>
                <w:kern w:val="0"/>
                <w:szCs w:val="21"/>
                <w:lang w:bidi="ar"/>
              </w:rPr>
              <w:t>900-407-06</w:t>
            </w:r>
          </w:p>
        </w:tc>
        <w:tc>
          <w:tcPr>
            <w:tcW w:w="423" w:type="pct"/>
            <w:vMerge w:val="continue"/>
            <w:tcBorders>
              <w:tl2br w:val="nil"/>
              <w:tr2bl w:val="nil"/>
            </w:tcBorders>
            <w:vAlign w:val="center"/>
          </w:tcPr>
          <w:p w14:paraId="17FCB3D5">
            <w:pPr>
              <w:widowControl/>
              <w:jc w:val="center"/>
              <w:rPr>
                <w:rFonts w:eastAsia="仿宋_GB2312"/>
                <w:kern w:val="0"/>
                <w:szCs w:val="21"/>
              </w:rPr>
            </w:pPr>
          </w:p>
        </w:tc>
        <w:tc>
          <w:tcPr>
            <w:tcW w:w="605" w:type="pct"/>
            <w:vMerge w:val="continue"/>
            <w:tcBorders>
              <w:tl2br w:val="nil"/>
              <w:tr2bl w:val="nil"/>
            </w:tcBorders>
            <w:vAlign w:val="center"/>
          </w:tcPr>
          <w:p w14:paraId="548BA3E8">
            <w:pPr>
              <w:widowControl/>
              <w:jc w:val="center"/>
              <w:rPr>
                <w:rFonts w:eastAsia="仿宋_GB2312"/>
                <w:kern w:val="0"/>
                <w:szCs w:val="21"/>
              </w:rPr>
            </w:pPr>
          </w:p>
        </w:tc>
      </w:tr>
      <w:tr w14:paraId="00609A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3" w:type="pct"/>
            <w:vMerge w:val="continue"/>
            <w:tcBorders>
              <w:tl2br w:val="nil"/>
              <w:tr2bl w:val="nil"/>
            </w:tcBorders>
            <w:vAlign w:val="center"/>
          </w:tcPr>
          <w:p w14:paraId="232AB3AB">
            <w:pPr>
              <w:widowControl/>
              <w:jc w:val="center"/>
              <w:rPr>
                <w:rFonts w:eastAsia="仿宋_GB2312"/>
                <w:kern w:val="0"/>
                <w:szCs w:val="21"/>
              </w:rPr>
            </w:pPr>
          </w:p>
        </w:tc>
        <w:tc>
          <w:tcPr>
            <w:tcW w:w="372" w:type="pct"/>
            <w:vMerge w:val="continue"/>
            <w:tcBorders>
              <w:tl2br w:val="nil"/>
              <w:tr2bl w:val="nil"/>
            </w:tcBorders>
            <w:vAlign w:val="center"/>
          </w:tcPr>
          <w:p w14:paraId="383B6B9B">
            <w:pPr>
              <w:widowControl/>
              <w:jc w:val="center"/>
              <w:rPr>
                <w:rFonts w:eastAsia="仿宋_GB2312"/>
                <w:kern w:val="0"/>
                <w:szCs w:val="21"/>
              </w:rPr>
            </w:pPr>
          </w:p>
        </w:tc>
        <w:tc>
          <w:tcPr>
            <w:tcW w:w="394" w:type="pct"/>
            <w:tcBorders>
              <w:tl2br w:val="nil"/>
              <w:tr2bl w:val="nil"/>
            </w:tcBorders>
            <w:vAlign w:val="center"/>
          </w:tcPr>
          <w:p w14:paraId="5A9BF3E5">
            <w:pPr>
              <w:widowControl/>
              <w:jc w:val="center"/>
              <w:rPr>
                <w:rFonts w:eastAsia="仿宋_GB2312"/>
                <w:kern w:val="0"/>
                <w:szCs w:val="21"/>
              </w:rPr>
            </w:pPr>
            <w:r>
              <w:rPr>
                <w:rFonts w:eastAsia="仿宋_GB2312"/>
                <w:kern w:val="0"/>
                <w:szCs w:val="21"/>
              </w:rPr>
              <w:t>HW11</w:t>
            </w:r>
          </w:p>
        </w:tc>
        <w:tc>
          <w:tcPr>
            <w:tcW w:w="1042" w:type="pct"/>
            <w:tcBorders>
              <w:tl2br w:val="nil"/>
              <w:tr2bl w:val="nil"/>
            </w:tcBorders>
            <w:vAlign w:val="center"/>
          </w:tcPr>
          <w:p w14:paraId="2BE8892F">
            <w:pPr>
              <w:widowControl/>
              <w:jc w:val="center"/>
              <w:rPr>
                <w:rFonts w:eastAsia="仿宋_GB2312"/>
                <w:kern w:val="0"/>
                <w:szCs w:val="21"/>
              </w:rPr>
            </w:pPr>
            <w:r>
              <w:rPr>
                <w:rFonts w:eastAsia="仿宋_GB2312"/>
                <w:kern w:val="0"/>
                <w:szCs w:val="21"/>
              </w:rPr>
              <w:t>900-013-11，261-128-11，261-129-11，261-130-11，261-013-11，261-031-11</w:t>
            </w:r>
          </w:p>
        </w:tc>
        <w:tc>
          <w:tcPr>
            <w:tcW w:w="465" w:type="pct"/>
            <w:vMerge w:val="continue"/>
            <w:tcBorders>
              <w:tl2br w:val="nil"/>
              <w:tr2bl w:val="nil"/>
            </w:tcBorders>
            <w:vAlign w:val="center"/>
          </w:tcPr>
          <w:p w14:paraId="12E3A69F">
            <w:pPr>
              <w:widowControl/>
              <w:jc w:val="center"/>
              <w:rPr>
                <w:rFonts w:eastAsia="仿宋_GB2312"/>
                <w:kern w:val="0"/>
                <w:szCs w:val="21"/>
              </w:rPr>
            </w:pPr>
          </w:p>
        </w:tc>
        <w:tc>
          <w:tcPr>
            <w:tcW w:w="384" w:type="pct"/>
            <w:tcBorders>
              <w:tl2br w:val="nil"/>
              <w:tr2bl w:val="nil"/>
            </w:tcBorders>
            <w:shd w:val="clear" w:color="auto" w:fill="auto"/>
            <w:vAlign w:val="center"/>
          </w:tcPr>
          <w:p w14:paraId="427BCD5F">
            <w:pPr>
              <w:widowControl/>
              <w:jc w:val="center"/>
              <w:textAlignment w:val="center"/>
              <w:rPr>
                <w:rFonts w:eastAsia="仿宋_GB2312"/>
                <w:kern w:val="0"/>
                <w:szCs w:val="21"/>
              </w:rPr>
            </w:pPr>
            <w:r>
              <w:rPr>
                <w:kern w:val="0"/>
                <w:szCs w:val="21"/>
                <w:lang w:bidi="ar"/>
              </w:rPr>
              <w:t>HW11</w:t>
            </w:r>
          </w:p>
        </w:tc>
        <w:tc>
          <w:tcPr>
            <w:tcW w:w="1059" w:type="pct"/>
            <w:tcBorders>
              <w:tl2br w:val="nil"/>
              <w:tr2bl w:val="nil"/>
            </w:tcBorders>
            <w:shd w:val="clear" w:color="auto" w:fill="auto"/>
            <w:vAlign w:val="center"/>
          </w:tcPr>
          <w:p w14:paraId="2282846A">
            <w:pPr>
              <w:widowControl/>
              <w:jc w:val="center"/>
              <w:textAlignment w:val="center"/>
              <w:rPr>
                <w:rFonts w:eastAsia="仿宋_GB2312"/>
                <w:kern w:val="0"/>
                <w:szCs w:val="21"/>
              </w:rPr>
            </w:pPr>
            <w:r>
              <w:rPr>
                <w:kern w:val="0"/>
                <w:szCs w:val="21"/>
                <w:lang w:bidi="ar"/>
              </w:rPr>
              <w:t>900-013-11</w:t>
            </w:r>
            <w:r>
              <w:rPr>
                <w:rFonts w:ascii="仿宋_GB2312" w:eastAsia="仿宋_GB2312" w:cs="仿宋_GB2312"/>
                <w:kern w:val="0"/>
                <w:szCs w:val="21"/>
                <w:lang w:bidi="ar"/>
              </w:rPr>
              <w:t>，</w:t>
            </w:r>
            <w:r>
              <w:rPr>
                <w:kern w:val="0"/>
                <w:szCs w:val="21"/>
                <w:lang w:bidi="ar"/>
              </w:rPr>
              <w:t>261-128-11</w:t>
            </w:r>
            <w:r>
              <w:rPr>
                <w:rFonts w:ascii="仿宋_GB2312" w:eastAsia="仿宋_GB2312" w:cs="仿宋_GB2312"/>
                <w:kern w:val="0"/>
                <w:szCs w:val="21"/>
                <w:lang w:bidi="ar"/>
              </w:rPr>
              <w:t>，</w:t>
            </w:r>
            <w:r>
              <w:rPr>
                <w:kern w:val="0"/>
                <w:szCs w:val="21"/>
                <w:lang w:bidi="ar"/>
              </w:rPr>
              <w:t>261-129-11</w:t>
            </w:r>
            <w:r>
              <w:rPr>
                <w:rFonts w:ascii="仿宋_GB2312" w:eastAsia="仿宋_GB2312" w:cs="仿宋_GB2312"/>
                <w:kern w:val="0"/>
                <w:szCs w:val="21"/>
                <w:lang w:bidi="ar"/>
              </w:rPr>
              <w:t>，</w:t>
            </w:r>
            <w:r>
              <w:rPr>
                <w:kern w:val="0"/>
                <w:szCs w:val="21"/>
                <w:lang w:bidi="ar"/>
              </w:rPr>
              <w:t>261-130-11</w:t>
            </w:r>
            <w:r>
              <w:rPr>
                <w:rFonts w:ascii="仿宋_GB2312" w:eastAsia="仿宋_GB2312" w:cs="仿宋_GB2312"/>
                <w:kern w:val="0"/>
                <w:szCs w:val="21"/>
                <w:lang w:bidi="ar"/>
              </w:rPr>
              <w:t>，</w:t>
            </w:r>
            <w:r>
              <w:rPr>
                <w:kern w:val="0"/>
                <w:szCs w:val="21"/>
                <w:lang w:bidi="ar"/>
              </w:rPr>
              <w:t>261-013-11</w:t>
            </w:r>
            <w:r>
              <w:rPr>
                <w:rFonts w:ascii="仿宋_GB2312" w:eastAsia="仿宋_GB2312" w:cs="仿宋_GB2312"/>
                <w:kern w:val="0"/>
                <w:szCs w:val="21"/>
                <w:lang w:bidi="ar"/>
              </w:rPr>
              <w:t>，</w:t>
            </w:r>
            <w:r>
              <w:rPr>
                <w:kern w:val="0"/>
                <w:szCs w:val="21"/>
                <w:lang w:bidi="ar"/>
              </w:rPr>
              <w:t>261-031-11</w:t>
            </w:r>
            <w:r>
              <w:rPr>
                <w:rFonts w:hint="eastAsia" w:ascii="宋体" w:hAnsi="宋体" w:cs="宋体"/>
                <w:kern w:val="0"/>
                <w:szCs w:val="21"/>
                <w:lang w:bidi="ar"/>
              </w:rPr>
              <w:t>，</w:t>
            </w:r>
            <w:r>
              <w:rPr>
                <w:b/>
                <w:bCs/>
                <w:kern w:val="0"/>
                <w:szCs w:val="21"/>
                <w:lang w:bidi="ar"/>
              </w:rPr>
              <w:t>261-012-11</w:t>
            </w:r>
            <w:r>
              <w:rPr>
                <w:rFonts w:hint="eastAsia" w:ascii="宋体" w:hAnsi="宋体" w:cs="宋体"/>
                <w:b/>
                <w:bCs/>
                <w:kern w:val="0"/>
                <w:szCs w:val="21"/>
                <w:lang w:bidi="ar"/>
              </w:rPr>
              <w:t>，</w:t>
            </w:r>
            <w:r>
              <w:rPr>
                <w:b/>
                <w:bCs/>
                <w:kern w:val="0"/>
                <w:szCs w:val="21"/>
                <w:lang w:bidi="ar"/>
              </w:rPr>
              <w:t>261-106-11</w:t>
            </w:r>
          </w:p>
        </w:tc>
        <w:tc>
          <w:tcPr>
            <w:tcW w:w="423" w:type="pct"/>
            <w:vMerge w:val="continue"/>
            <w:tcBorders>
              <w:tl2br w:val="nil"/>
              <w:tr2bl w:val="nil"/>
            </w:tcBorders>
            <w:vAlign w:val="center"/>
          </w:tcPr>
          <w:p w14:paraId="041E9441">
            <w:pPr>
              <w:widowControl/>
              <w:jc w:val="center"/>
              <w:rPr>
                <w:rFonts w:eastAsia="仿宋_GB2312"/>
                <w:kern w:val="0"/>
                <w:szCs w:val="21"/>
              </w:rPr>
            </w:pPr>
          </w:p>
        </w:tc>
        <w:tc>
          <w:tcPr>
            <w:tcW w:w="605" w:type="pct"/>
            <w:vMerge w:val="continue"/>
            <w:tcBorders>
              <w:tl2br w:val="nil"/>
              <w:tr2bl w:val="nil"/>
            </w:tcBorders>
            <w:vAlign w:val="center"/>
          </w:tcPr>
          <w:p w14:paraId="242A2881">
            <w:pPr>
              <w:widowControl/>
              <w:jc w:val="center"/>
              <w:rPr>
                <w:rFonts w:eastAsia="仿宋_GB2312"/>
                <w:kern w:val="0"/>
                <w:szCs w:val="21"/>
              </w:rPr>
            </w:pPr>
          </w:p>
        </w:tc>
      </w:tr>
      <w:tr w14:paraId="528D5D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3" w:type="pct"/>
            <w:vMerge w:val="continue"/>
            <w:tcBorders>
              <w:tl2br w:val="nil"/>
              <w:tr2bl w:val="nil"/>
            </w:tcBorders>
            <w:vAlign w:val="center"/>
          </w:tcPr>
          <w:p w14:paraId="151DB94E">
            <w:pPr>
              <w:widowControl/>
              <w:jc w:val="center"/>
              <w:rPr>
                <w:rFonts w:eastAsia="仿宋_GB2312"/>
                <w:kern w:val="0"/>
                <w:szCs w:val="21"/>
              </w:rPr>
            </w:pPr>
          </w:p>
        </w:tc>
        <w:tc>
          <w:tcPr>
            <w:tcW w:w="372" w:type="pct"/>
            <w:vMerge w:val="continue"/>
            <w:tcBorders>
              <w:tl2br w:val="nil"/>
              <w:tr2bl w:val="nil"/>
            </w:tcBorders>
            <w:vAlign w:val="center"/>
          </w:tcPr>
          <w:p w14:paraId="305A9AFD">
            <w:pPr>
              <w:widowControl/>
              <w:jc w:val="center"/>
              <w:rPr>
                <w:rFonts w:eastAsia="仿宋_GB2312"/>
                <w:kern w:val="0"/>
                <w:szCs w:val="21"/>
              </w:rPr>
            </w:pPr>
          </w:p>
        </w:tc>
        <w:tc>
          <w:tcPr>
            <w:tcW w:w="394" w:type="pct"/>
            <w:tcBorders>
              <w:tl2br w:val="nil"/>
              <w:tr2bl w:val="nil"/>
            </w:tcBorders>
            <w:vAlign w:val="center"/>
          </w:tcPr>
          <w:p w14:paraId="1EF89FDB">
            <w:pPr>
              <w:widowControl/>
              <w:jc w:val="center"/>
              <w:rPr>
                <w:rFonts w:eastAsia="仿宋_GB2312"/>
                <w:kern w:val="0"/>
                <w:szCs w:val="21"/>
              </w:rPr>
            </w:pPr>
            <w:r>
              <w:rPr>
                <w:rFonts w:eastAsia="仿宋_GB2312"/>
                <w:kern w:val="0"/>
                <w:szCs w:val="21"/>
              </w:rPr>
              <w:t>HW12</w:t>
            </w:r>
          </w:p>
        </w:tc>
        <w:tc>
          <w:tcPr>
            <w:tcW w:w="1042" w:type="pct"/>
            <w:tcBorders>
              <w:tl2br w:val="nil"/>
              <w:tr2bl w:val="nil"/>
            </w:tcBorders>
            <w:vAlign w:val="center"/>
          </w:tcPr>
          <w:p w14:paraId="4319463C">
            <w:pPr>
              <w:widowControl/>
              <w:jc w:val="center"/>
              <w:rPr>
                <w:rFonts w:eastAsia="仿宋_GB2312"/>
                <w:kern w:val="0"/>
                <w:szCs w:val="21"/>
              </w:rPr>
            </w:pPr>
            <w:r>
              <w:rPr>
                <w:rFonts w:eastAsia="仿宋_GB2312"/>
                <w:kern w:val="0"/>
                <w:szCs w:val="21"/>
              </w:rPr>
              <w:t>264-011-12，264-013-12，900-250-12，900-251-12，900-252-12，900-253-12</w:t>
            </w:r>
          </w:p>
        </w:tc>
        <w:tc>
          <w:tcPr>
            <w:tcW w:w="465" w:type="pct"/>
            <w:vMerge w:val="continue"/>
            <w:tcBorders>
              <w:tl2br w:val="nil"/>
              <w:tr2bl w:val="nil"/>
            </w:tcBorders>
            <w:vAlign w:val="center"/>
          </w:tcPr>
          <w:p w14:paraId="3BA8560C">
            <w:pPr>
              <w:widowControl/>
              <w:jc w:val="center"/>
              <w:rPr>
                <w:rFonts w:eastAsia="仿宋_GB2312"/>
                <w:kern w:val="0"/>
                <w:szCs w:val="21"/>
              </w:rPr>
            </w:pPr>
          </w:p>
        </w:tc>
        <w:tc>
          <w:tcPr>
            <w:tcW w:w="384" w:type="pct"/>
            <w:tcBorders>
              <w:tl2br w:val="nil"/>
              <w:tr2bl w:val="nil"/>
            </w:tcBorders>
            <w:shd w:val="clear" w:color="auto" w:fill="auto"/>
            <w:vAlign w:val="center"/>
          </w:tcPr>
          <w:p w14:paraId="43F9D390">
            <w:pPr>
              <w:widowControl/>
              <w:jc w:val="center"/>
              <w:textAlignment w:val="center"/>
              <w:rPr>
                <w:rFonts w:eastAsia="仿宋_GB2312"/>
                <w:kern w:val="0"/>
                <w:szCs w:val="21"/>
              </w:rPr>
            </w:pPr>
            <w:r>
              <w:rPr>
                <w:kern w:val="0"/>
                <w:szCs w:val="21"/>
                <w:lang w:bidi="ar"/>
              </w:rPr>
              <w:t>HW12</w:t>
            </w:r>
          </w:p>
        </w:tc>
        <w:tc>
          <w:tcPr>
            <w:tcW w:w="1059" w:type="pct"/>
            <w:tcBorders>
              <w:tl2br w:val="nil"/>
              <w:tr2bl w:val="nil"/>
            </w:tcBorders>
            <w:shd w:val="clear" w:color="auto" w:fill="auto"/>
            <w:vAlign w:val="center"/>
          </w:tcPr>
          <w:p w14:paraId="623626E8">
            <w:pPr>
              <w:widowControl/>
              <w:jc w:val="center"/>
              <w:textAlignment w:val="center"/>
              <w:rPr>
                <w:rFonts w:eastAsia="仿宋_GB2312"/>
                <w:kern w:val="0"/>
                <w:szCs w:val="21"/>
              </w:rPr>
            </w:pPr>
            <w:r>
              <w:rPr>
                <w:kern w:val="0"/>
                <w:szCs w:val="21"/>
                <w:lang w:bidi="ar"/>
              </w:rPr>
              <w:t>264-011-12</w:t>
            </w:r>
            <w:r>
              <w:rPr>
                <w:rFonts w:ascii="仿宋_GB2312" w:eastAsia="仿宋_GB2312" w:cs="仿宋_GB2312"/>
                <w:kern w:val="0"/>
                <w:szCs w:val="21"/>
                <w:lang w:bidi="ar"/>
              </w:rPr>
              <w:t>，</w:t>
            </w:r>
            <w:r>
              <w:rPr>
                <w:kern w:val="0"/>
                <w:szCs w:val="21"/>
                <w:lang w:bidi="ar"/>
              </w:rPr>
              <w:t>264-013-12</w:t>
            </w:r>
            <w:r>
              <w:rPr>
                <w:rFonts w:ascii="仿宋_GB2312" w:eastAsia="仿宋_GB2312" w:cs="仿宋_GB2312"/>
                <w:kern w:val="0"/>
                <w:szCs w:val="21"/>
                <w:lang w:bidi="ar"/>
              </w:rPr>
              <w:t>，</w:t>
            </w:r>
            <w:r>
              <w:rPr>
                <w:kern w:val="0"/>
                <w:szCs w:val="21"/>
                <w:lang w:bidi="ar"/>
              </w:rPr>
              <w:t>900-250-12</w:t>
            </w:r>
            <w:r>
              <w:rPr>
                <w:rFonts w:ascii="仿宋_GB2312" w:eastAsia="仿宋_GB2312" w:cs="仿宋_GB2312"/>
                <w:kern w:val="0"/>
                <w:szCs w:val="21"/>
                <w:lang w:bidi="ar"/>
              </w:rPr>
              <w:t>，</w:t>
            </w:r>
            <w:r>
              <w:rPr>
                <w:kern w:val="0"/>
                <w:szCs w:val="21"/>
                <w:lang w:bidi="ar"/>
              </w:rPr>
              <w:t>900-251-12</w:t>
            </w:r>
            <w:r>
              <w:rPr>
                <w:rFonts w:ascii="仿宋_GB2312" w:eastAsia="仿宋_GB2312" w:cs="仿宋_GB2312"/>
                <w:kern w:val="0"/>
                <w:szCs w:val="21"/>
                <w:lang w:bidi="ar"/>
              </w:rPr>
              <w:t>，</w:t>
            </w:r>
            <w:r>
              <w:rPr>
                <w:kern w:val="0"/>
                <w:szCs w:val="21"/>
                <w:lang w:bidi="ar"/>
              </w:rPr>
              <w:t>900-252-12</w:t>
            </w:r>
            <w:r>
              <w:rPr>
                <w:rFonts w:ascii="仿宋_GB2312" w:eastAsia="仿宋_GB2312" w:cs="仿宋_GB2312"/>
                <w:kern w:val="0"/>
                <w:szCs w:val="21"/>
                <w:lang w:bidi="ar"/>
              </w:rPr>
              <w:t>，</w:t>
            </w:r>
            <w:r>
              <w:rPr>
                <w:kern w:val="0"/>
                <w:szCs w:val="21"/>
                <w:lang w:bidi="ar"/>
              </w:rPr>
              <w:t>900-253-12</w:t>
            </w:r>
            <w:r>
              <w:rPr>
                <w:rFonts w:hint="eastAsia" w:ascii="宋体" w:hAnsi="宋体" w:cs="宋体"/>
                <w:b/>
                <w:bCs/>
                <w:kern w:val="0"/>
                <w:szCs w:val="21"/>
                <w:lang w:bidi="ar"/>
              </w:rPr>
              <w:t>，</w:t>
            </w:r>
            <w:r>
              <w:rPr>
                <w:b/>
                <w:bCs/>
                <w:kern w:val="0"/>
                <w:szCs w:val="21"/>
                <w:lang w:bidi="ar"/>
              </w:rPr>
              <w:t>900-256-12</w:t>
            </w:r>
          </w:p>
        </w:tc>
        <w:tc>
          <w:tcPr>
            <w:tcW w:w="423" w:type="pct"/>
            <w:vMerge w:val="continue"/>
            <w:tcBorders>
              <w:tl2br w:val="nil"/>
              <w:tr2bl w:val="nil"/>
            </w:tcBorders>
            <w:vAlign w:val="center"/>
          </w:tcPr>
          <w:p w14:paraId="527F8C30">
            <w:pPr>
              <w:widowControl/>
              <w:jc w:val="center"/>
              <w:rPr>
                <w:rFonts w:eastAsia="仿宋_GB2312"/>
                <w:kern w:val="0"/>
                <w:szCs w:val="21"/>
              </w:rPr>
            </w:pPr>
          </w:p>
        </w:tc>
        <w:tc>
          <w:tcPr>
            <w:tcW w:w="605" w:type="pct"/>
            <w:vMerge w:val="continue"/>
            <w:tcBorders>
              <w:tl2br w:val="nil"/>
              <w:tr2bl w:val="nil"/>
            </w:tcBorders>
            <w:vAlign w:val="center"/>
          </w:tcPr>
          <w:p w14:paraId="0231FB96">
            <w:pPr>
              <w:widowControl/>
              <w:jc w:val="center"/>
              <w:rPr>
                <w:rFonts w:eastAsia="仿宋_GB2312"/>
                <w:kern w:val="0"/>
                <w:szCs w:val="21"/>
              </w:rPr>
            </w:pPr>
          </w:p>
        </w:tc>
      </w:tr>
      <w:tr w14:paraId="05B97E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3" w:type="pct"/>
            <w:vMerge w:val="continue"/>
            <w:tcBorders>
              <w:tl2br w:val="nil"/>
              <w:tr2bl w:val="nil"/>
            </w:tcBorders>
            <w:vAlign w:val="center"/>
          </w:tcPr>
          <w:p w14:paraId="1445A6FF">
            <w:pPr>
              <w:widowControl/>
              <w:jc w:val="center"/>
              <w:rPr>
                <w:rFonts w:eastAsia="仿宋_GB2312"/>
                <w:kern w:val="0"/>
                <w:szCs w:val="21"/>
              </w:rPr>
            </w:pPr>
          </w:p>
        </w:tc>
        <w:tc>
          <w:tcPr>
            <w:tcW w:w="372" w:type="pct"/>
            <w:vMerge w:val="continue"/>
            <w:tcBorders>
              <w:tl2br w:val="nil"/>
              <w:tr2bl w:val="nil"/>
            </w:tcBorders>
            <w:vAlign w:val="center"/>
          </w:tcPr>
          <w:p w14:paraId="4F2435F0">
            <w:pPr>
              <w:widowControl/>
              <w:jc w:val="center"/>
              <w:rPr>
                <w:rFonts w:eastAsia="仿宋_GB2312"/>
                <w:kern w:val="0"/>
                <w:szCs w:val="21"/>
              </w:rPr>
            </w:pPr>
          </w:p>
        </w:tc>
        <w:tc>
          <w:tcPr>
            <w:tcW w:w="394" w:type="pct"/>
            <w:tcBorders>
              <w:tl2br w:val="nil"/>
              <w:tr2bl w:val="nil"/>
            </w:tcBorders>
            <w:vAlign w:val="center"/>
          </w:tcPr>
          <w:p w14:paraId="3B3625F5">
            <w:pPr>
              <w:widowControl/>
              <w:jc w:val="center"/>
              <w:rPr>
                <w:rFonts w:eastAsia="仿宋_GB2312"/>
                <w:kern w:val="0"/>
                <w:szCs w:val="21"/>
              </w:rPr>
            </w:pPr>
            <w:r>
              <w:rPr>
                <w:rFonts w:eastAsia="仿宋_GB2312"/>
                <w:kern w:val="0"/>
                <w:szCs w:val="21"/>
              </w:rPr>
              <w:t>HW13</w:t>
            </w:r>
          </w:p>
        </w:tc>
        <w:tc>
          <w:tcPr>
            <w:tcW w:w="1042" w:type="pct"/>
            <w:tcBorders>
              <w:tl2br w:val="nil"/>
              <w:tr2bl w:val="nil"/>
            </w:tcBorders>
            <w:vAlign w:val="center"/>
          </w:tcPr>
          <w:p w14:paraId="275B05D1">
            <w:pPr>
              <w:widowControl/>
              <w:jc w:val="center"/>
              <w:rPr>
                <w:rFonts w:eastAsia="仿宋_GB2312"/>
                <w:kern w:val="0"/>
                <w:szCs w:val="21"/>
              </w:rPr>
            </w:pPr>
            <w:r>
              <w:rPr>
                <w:rFonts w:eastAsia="仿宋_GB2312"/>
                <w:kern w:val="0"/>
                <w:szCs w:val="21"/>
              </w:rPr>
              <w:t>265-102-13</w:t>
            </w:r>
          </w:p>
        </w:tc>
        <w:tc>
          <w:tcPr>
            <w:tcW w:w="465" w:type="pct"/>
            <w:vMerge w:val="continue"/>
            <w:tcBorders>
              <w:tl2br w:val="nil"/>
              <w:tr2bl w:val="nil"/>
            </w:tcBorders>
            <w:vAlign w:val="center"/>
          </w:tcPr>
          <w:p w14:paraId="69FAE649">
            <w:pPr>
              <w:widowControl/>
              <w:jc w:val="center"/>
              <w:rPr>
                <w:rFonts w:eastAsia="仿宋_GB2312"/>
                <w:kern w:val="0"/>
                <w:szCs w:val="21"/>
              </w:rPr>
            </w:pPr>
          </w:p>
        </w:tc>
        <w:tc>
          <w:tcPr>
            <w:tcW w:w="384" w:type="pct"/>
            <w:tcBorders>
              <w:tl2br w:val="nil"/>
              <w:tr2bl w:val="nil"/>
            </w:tcBorders>
            <w:shd w:val="clear" w:color="auto" w:fill="auto"/>
            <w:vAlign w:val="center"/>
          </w:tcPr>
          <w:p w14:paraId="596163AC">
            <w:pPr>
              <w:widowControl/>
              <w:jc w:val="center"/>
              <w:textAlignment w:val="center"/>
              <w:rPr>
                <w:rFonts w:eastAsia="仿宋_GB2312"/>
                <w:kern w:val="0"/>
                <w:szCs w:val="21"/>
              </w:rPr>
            </w:pPr>
            <w:r>
              <w:rPr>
                <w:kern w:val="0"/>
                <w:szCs w:val="21"/>
                <w:lang w:bidi="ar"/>
              </w:rPr>
              <w:t>HW13</w:t>
            </w:r>
          </w:p>
        </w:tc>
        <w:tc>
          <w:tcPr>
            <w:tcW w:w="1059" w:type="pct"/>
            <w:tcBorders>
              <w:tl2br w:val="nil"/>
              <w:tr2bl w:val="nil"/>
            </w:tcBorders>
            <w:shd w:val="clear" w:color="auto" w:fill="auto"/>
            <w:vAlign w:val="center"/>
          </w:tcPr>
          <w:p w14:paraId="08399F92">
            <w:pPr>
              <w:widowControl/>
              <w:jc w:val="center"/>
              <w:textAlignment w:val="center"/>
              <w:rPr>
                <w:rFonts w:eastAsia="仿宋_GB2312"/>
                <w:kern w:val="0"/>
                <w:szCs w:val="21"/>
              </w:rPr>
            </w:pPr>
            <w:r>
              <w:rPr>
                <w:kern w:val="0"/>
                <w:szCs w:val="21"/>
                <w:lang w:bidi="ar"/>
              </w:rPr>
              <w:t>265-102-13</w:t>
            </w:r>
            <w:r>
              <w:rPr>
                <w:rFonts w:hint="eastAsia" w:ascii="宋体" w:hAnsi="宋体" w:cs="宋体"/>
                <w:b/>
                <w:bCs/>
                <w:kern w:val="0"/>
                <w:szCs w:val="21"/>
                <w:lang w:bidi="ar"/>
              </w:rPr>
              <w:t>，</w:t>
            </w:r>
            <w:r>
              <w:rPr>
                <w:b/>
                <w:bCs/>
                <w:kern w:val="0"/>
                <w:szCs w:val="21"/>
                <w:lang w:bidi="ar"/>
              </w:rPr>
              <w:t>900-014-13</w:t>
            </w:r>
          </w:p>
        </w:tc>
        <w:tc>
          <w:tcPr>
            <w:tcW w:w="423" w:type="pct"/>
            <w:vMerge w:val="continue"/>
            <w:tcBorders>
              <w:tl2br w:val="nil"/>
              <w:tr2bl w:val="nil"/>
            </w:tcBorders>
            <w:vAlign w:val="center"/>
          </w:tcPr>
          <w:p w14:paraId="25AB4E9A">
            <w:pPr>
              <w:widowControl/>
              <w:jc w:val="center"/>
              <w:rPr>
                <w:rFonts w:eastAsia="仿宋_GB2312"/>
                <w:kern w:val="0"/>
                <w:szCs w:val="21"/>
              </w:rPr>
            </w:pPr>
          </w:p>
        </w:tc>
        <w:tc>
          <w:tcPr>
            <w:tcW w:w="605" w:type="pct"/>
            <w:vMerge w:val="continue"/>
            <w:tcBorders>
              <w:tl2br w:val="nil"/>
              <w:tr2bl w:val="nil"/>
            </w:tcBorders>
            <w:vAlign w:val="center"/>
          </w:tcPr>
          <w:p w14:paraId="37F32404">
            <w:pPr>
              <w:widowControl/>
              <w:jc w:val="center"/>
              <w:rPr>
                <w:rFonts w:eastAsia="仿宋_GB2312"/>
                <w:kern w:val="0"/>
                <w:szCs w:val="21"/>
              </w:rPr>
            </w:pPr>
          </w:p>
        </w:tc>
      </w:tr>
      <w:tr w14:paraId="50D71A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3" w:type="pct"/>
            <w:vMerge w:val="restart"/>
            <w:tcBorders>
              <w:tl2br w:val="nil"/>
              <w:tr2bl w:val="nil"/>
            </w:tcBorders>
            <w:vAlign w:val="center"/>
          </w:tcPr>
          <w:p w14:paraId="3837C90D">
            <w:pPr>
              <w:widowControl/>
              <w:jc w:val="center"/>
              <w:rPr>
                <w:rFonts w:eastAsia="仿宋_GB2312"/>
                <w:kern w:val="0"/>
                <w:szCs w:val="21"/>
              </w:rPr>
            </w:pPr>
            <w:r>
              <w:rPr>
                <w:rFonts w:eastAsia="仿宋_GB2312"/>
                <w:kern w:val="0"/>
                <w:szCs w:val="21"/>
              </w:rPr>
              <w:t>9</w:t>
            </w:r>
          </w:p>
        </w:tc>
        <w:tc>
          <w:tcPr>
            <w:tcW w:w="372" w:type="pct"/>
            <w:vMerge w:val="restart"/>
            <w:tcBorders>
              <w:tl2br w:val="nil"/>
              <w:tr2bl w:val="nil"/>
            </w:tcBorders>
            <w:vAlign w:val="center"/>
          </w:tcPr>
          <w:p w14:paraId="4F28C08D">
            <w:pPr>
              <w:widowControl/>
              <w:jc w:val="center"/>
              <w:rPr>
                <w:rFonts w:eastAsia="仿宋_GB2312"/>
                <w:kern w:val="0"/>
                <w:szCs w:val="21"/>
              </w:rPr>
            </w:pPr>
            <w:r>
              <w:rPr>
                <w:rFonts w:eastAsia="仿宋_GB2312"/>
                <w:kern w:val="0"/>
                <w:szCs w:val="21"/>
              </w:rPr>
              <w:t>乙醇废液</w:t>
            </w:r>
          </w:p>
        </w:tc>
        <w:tc>
          <w:tcPr>
            <w:tcW w:w="394" w:type="pct"/>
            <w:tcBorders>
              <w:tl2br w:val="nil"/>
              <w:tr2bl w:val="nil"/>
            </w:tcBorders>
            <w:vAlign w:val="center"/>
          </w:tcPr>
          <w:p w14:paraId="696FD057">
            <w:pPr>
              <w:widowControl/>
              <w:jc w:val="center"/>
              <w:rPr>
                <w:rFonts w:eastAsia="仿宋_GB2312"/>
                <w:kern w:val="0"/>
                <w:szCs w:val="21"/>
              </w:rPr>
            </w:pPr>
            <w:r>
              <w:rPr>
                <w:rFonts w:eastAsia="仿宋_GB2312"/>
                <w:kern w:val="0"/>
                <w:szCs w:val="21"/>
              </w:rPr>
              <w:t>HW02</w:t>
            </w:r>
          </w:p>
        </w:tc>
        <w:tc>
          <w:tcPr>
            <w:tcW w:w="1042" w:type="pct"/>
            <w:tcBorders>
              <w:tl2br w:val="nil"/>
              <w:tr2bl w:val="nil"/>
            </w:tcBorders>
            <w:vAlign w:val="center"/>
          </w:tcPr>
          <w:p w14:paraId="019881C3">
            <w:pPr>
              <w:widowControl/>
              <w:jc w:val="center"/>
              <w:rPr>
                <w:rFonts w:eastAsia="仿宋_GB2312"/>
                <w:kern w:val="0"/>
                <w:szCs w:val="21"/>
              </w:rPr>
            </w:pPr>
            <w:r>
              <w:rPr>
                <w:rFonts w:eastAsia="仿宋_GB2312"/>
                <w:kern w:val="0"/>
                <w:szCs w:val="21"/>
              </w:rPr>
              <w:t>271-001-02，271-002-02，</w:t>
            </w:r>
            <w:r>
              <w:rPr>
                <w:rFonts w:hint="eastAsia" w:eastAsia="仿宋_GB2312"/>
                <w:kern w:val="0"/>
                <w:szCs w:val="21"/>
              </w:rPr>
              <w:t>271-004-02，</w:t>
            </w:r>
            <w:r>
              <w:rPr>
                <w:rFonts w:eastAsia="仿宋_GB2312"/>
                <w:kern w:val="0"/>
                <w:szCs w:val="21"/>
              </w:rPr>
              <w:t>272-001-02，</w:t>
            </w:r>
            <w:r>
              <w:rPr>
                <w:rFonts w:hint="eastAsia" w:eastAsia="仿宋_GB2312"/>
                <w:kern w:val="0"/>
                <w:szCs w:val="21"/>
              </w:rPr>
              <w:t>272-003-02，275-004-02，275-005-02，</w:t>
            </w:r>
            <w:r>
              <w:rPr>
                <w:rFonts w:eastAsia="仿宋_GB2312"/>
                <w:kern w:val="0"/>
                <w:szCs w:val="21"/>
              </w:rPr>
              <w:t>276-001-02，276-002-02</w:t>
            </w:r>
            <w:r>
              <w:rPr>
                <w:rFonts w:hint="eastAsia" w:eastAsia="仿宋_GB2312"/>
                <w:kern w:val="0"/>
                <w:szCs w:val="21"/>
              </w:rPr>
              <w:t>，276-004-02</w:t>
            </w:r>
          </w:p>
        </w:tc>
        <w:tc>
          <w:tcPr>
            <w:tcW w:w="465" w:type="pct"/>
            <w:vMerge w:val="restart"/>
            <w:tcBorders>
              <w:tl2br w:val="nil"/>
              <w:tr2bl w:val="nil"/>
            </w:tcBorders>
            <w:vAlign w:val="center"/>
          </w:tcPr>
          <w:p w14:paraId="52B6B562">
            <w:pPr>
              <w:widowControl/>
              <w:jc w:val="center"/>
              <w:rPr>
                <w:rFonts w:eastAsia="仿宋_GB2312"/>
                <w:kern w:val="0"/>
                <w:szCs w:val="21"/>
              </w:rPr>
            </w:pPr>
            <w:r>
              <w:rPr>
                <w:rFonts w:hint="eastAsia" w:eastAsia="仿宋_GB2312"/>
                <w:kern w:val="0"/>
                <w:szCs w:val="21"/>
              </w:rPr>
              <w:t>1</w:t>
            </w:r>
            <w:r>
              <w:rPr>
                <w:rFonts w:eastAsia="仿宋_GB2312"/>
                <w:kern w:val="0"/>
                <w:szCs w:val="21"/>
              </w:rPr>
              <w:t>610</w:t>
            </w:r>
          </w:p>
        </w:tc>
        <w:tc>
          <w:tcPr>
            <w:tcW w:w="384" w:type="pct"/>
            <w:tcBorders>
              <w:tl2br w:val="nil"/>
              <w:tr2bl w:val="nil"/>
            </w:tcBorders>
            <w:shd w:val="clear" w:color="auto" w:fill="auto"/>
            <w:vAlign w:val="center"/>
          </w:tcPr>
          <w:p w14:paraId="46595C80">
            <w:pPr>
              <w:widowControl/>
              <w:jc w:val="center"/>
              <w:textAlignment w:val="center"/>
              <w:rPr>
                <w:rFonts w:eastAsia="仿宋_GB2312"/>
                <w:kern w:val="0"/>
                <w:szCs w:val="21"/>
              </w:rPr>
            </w:pPr>
            <w:r>
              <w:rPr>
                <w:kern w:val="0"/>
                <w:szCs w:val="21"/>
                <w:lang w:bidi="ar"/>
              </w:rPr>
              <w:t>HW02</w:t>
            </w:r>
          </w:p>
        </w:tc>
        <w:tc>
          <w:tcPr>
            <w:tcW w:w="1059" w:type="pct"/>
            <w:tcBorders>
              <w:tl2br w:val="nil"/>
              <w:tr2bl w:val="nil"/>
            </w:tcBorders>
            <w:shd w:val="clear" w:color="auto" w:fill="auto"/>
            <w:vAlign w:val="center"/>
          </w:tcPr>
          <w:p w14:paraId="6D3E6F04">
            <w:pPr>
              <w:widowControl/>
              <w:jc w:val="center"/>
              <w:textAlignment w:val="center"/>
              <w:rPr>
                <w:rFonts w:eastAsia="仿宋_GB2312"/>
                <w:kern w:val="0"/>
                <w:szCs w:val="21"/>
              </w:rPr>
            </w:pPr>
            <w:r>
              <w:rPr>
                <w:kern w:val="0"/>
                <w:szCs w:val="21"/>
                <w:lang w:bidi="ar"/>
              </w:rPr>
              <w:t>271-001-02</w:t>
            </w:r>
            <w:r>
              <w:rPr>
                <w:rFonts w:ascii="仿宋_GB2312" w:eastAsia="仿宋_GB2312" w:cs="仿宋_GB2312"/>
                <w:kern w:val="0"/>
                <w:szCs w:val="21"/>
                <w:lang w:bidi="ar"/>
              </w:rPr>
              <w:t>，</w:t>
            </w:r>
            <w:r>
              <w:rPr>
                <w:kern w:val="0"/>
                <w:szCs w:val="21"/>
                <w:lang w:bidi="ar"/>
              </w:rPr>
              <w:t>271-002-02</w:t>
            </w:r>
            <w:r>
              <w:rPr>
                <w:rFonts w:ascii="仿宋_GB2312" w:eastAsia="仿宋_GB2312" w:cs="仿宋_GB2312"/>
                <w:kern w:val="0"/>
                <w:szCs w:val="21"/>
                <w:lang w:bidi="ar"/>
              </w:rPr>
              <w:t>，</w:t>
            </w:r>
            <w:r>
              <w:rPr>
                <w:kern w:val="0"/>
                <w:szCs w:val="21"/>
                <w:lang w:bidi="ar"/>
              </w:rPr>
              <w:t>272-001-02</w:t>
            </w:r>
            <w:r>
              <w:rPr>
                <w:rFonts w:ascii="仿宋_GB2312" w:eastAsia="仿宋_GB2312" w:cs="仿宋_GB2312"/>
                <w:kern w:val="0"/>
                <w:szCs w:val="21"/>
                <w:lang w:bidi="ar"/>
              </w:rPr>
              <w:t>，</w:t>
            </w:r>
            <w:r>
              <w:rPr>
                <w:b/>
                <w:bCs/>
                <w:kern w:val="0"/>
                <w:szCs w:val="21"/>
                <w:lang w:bidi="ar"/>
              </w:rPr>
              <w:t>272-00</w:t>
            </w:r>
            <w:r>
              <w:rPr>
                <w:rFonts w:hint="eastAsia"/>
                <w:b/>
                <w:bCs/>
                <w:kern w:val="0"/>
                <w:szCs w:val="21"/>
                <w:lang w:val="en-US" w:eastAsia="zh-CN" w:bidi="ar"/>
              </w:rPr>
              <w:t>5</w:t>
            </w:r>
            <w:r>
              <w:rPr>
                <w:b/>
                <w:bCs/>
                <w:kern w:val="0"/>
                <w:szCs w:val="21"/>
                <w:lang w:bidi="ar"/>
              </w:rPr>
              <w:t>-02</w:t>
            </w:r>
            <w:r>
              <w:rPr>
                <w:rFonts w:ascii="仿宋_GB2312" w:eastAsia="仿宋_GB2312" w:cs="仿宋_GB2312"/>
                <w:kern w:val="0"/>
                <w:szCs w:val="21"/>
                <w:lang w:bidi="ar"/>
              </w:rPr>
              <w:t>，</w:t>
            </w:r>
            <w:r>
              <w:rPr>
                <w:kern w:val="0"/>
                <w:szCs w:val="21"/>
                <w:lang w:bidi="ar"/>
              </w:rPr>
              <w:t>275-004-02</w:t>
            </w:r>
            <w:r>
              <w:rPr>
                <w:rFonts w:ascii="仿宋_GB2312" w:eastAsia="仿宋_GB2312" w:cs="仿宋_GB2312"/>
                <w:kern w:val="0"/>
                <w:szCs w:val="21"/>
                <w:lang w:bidi="ar"/>
              </w:rPr>
              <w:t>，</w:t>
            </w:r>
            <w:r>
              <w:rPr>
                <w:b/>
                <w:bCs/>
                <w:kern w:val="0"/>
                <w:szCs w:val="21"/>
                <w:lang w:bidi="ar"/>
              </w:rPr>
              <w:t>275-00</w:t>
            </w:r>
            <w:r>
              <w:rPr>
                <w:rFonts w:hint="eastAsia"/>
                <w:b/>
                <w:bCs/>
                <w:kern w:val="0"/>
                <w:szCs w:val="21"/>
                <w:lang w:val="en-US" w:eastAsia="zh-CN" w:bidi="ar"/>
              </w:rPr>
              <w:t>6</w:t>
            </w:r>
            <w:r>
              <w:rPr>
                <w:b/>
                <w:bCs/>
                <w:kern w:val="0"/>
                <w:szCs w:val="21"/>
                <w:lang w:bidi="ar"/>
              </w:rPr>
              <w:t>-02</w:t>
            </w:r>
            <w:r>
              <w:rPr>
                <w:rFonts w:ascii="仿宋_GB2312" w:eastAsia="仿宋_GB2312" w:cs="仿宋_GB2312"/>
                <w:kern w:val="0"/>
                <w:szCs w:val="21"/>
                <w:lang w:bidi="ar"/>
              </w:rPr>
              <w:t>，</w:t>
            </w:r>
            <w:r>
              <w:rPr>
                <w:kern w:val="0"/>
                <w:szCs w:val="21"/>
                <w:lang w:bidi="ar"/>
              </w:rPr>
              <w:t>276-001-02</w:t>
            </w:r>
            <w:r>
              <w:rPr>
                <w:rFonts w:ascii="仿宋_GB2312" w:eastAsia="仿宋_GB2312" w:cs="仿宋_GB2312"/>
                <w:kern w:val="0"/>
                <w:szCs w:val="21"/>
                <w:lang w:bidi="ar"/>
              </w:rPr>
              <w:t>，</w:t>
            </w:r>
            <w:r>
              <w:rPr>
                <w:kern w:val="0"/>
                <w:szCs w:val="21"/>
                <w:lang w:bidi="ar"/>
              </w:rPr>
              <w:t>276-002-02</w:t>
            </w:r>
            <w:r>
              <w:rPr>
                <w:rFonts w:ascii="仿宋_GB2312" w:eastAsia="仿宋_GB2312" w:cs="仿宋_GB2312"/>
                <w:kern w:val="0"/>
                <w:szCs w:val="21"/>
                <w:lang w:bidi="ar"/>
              </w:rPr>
              <w:t>，</w:t>
            </w:r>
            <w:r>
              <w:rPr>
                <w:b/>
                <w:bCs/>
                <w:kern w:val="0"/>
                <w:szCs w:val="21"/>
                <w:lang w:bidi="ar"/>
              </w:rPr>
              <w:t>276-00</w:t>
            </w:r>
            <w:r>
              <w:rPr>
                <w:rFonts w:hint="eastAsia"/>
                <w:b/>
                <w:bCs/>
                <w:kern w:val="0"/>
                <w:szCs w:val="21"/>
                <w:lang w:val="en-US" w:eastAsia="zh-CN" w:bidi="ar"/>
              </w:rPr>
              <w:t>5</w:t>
            </w:r>
            <w:r>
              <w:rPr>
                <w:b/>
                <w:bCs/>
                <w:kern w:val="0"/>
                <w:szCs w:val="21"/>
                <w:lang w:bidi="ar"/>
              </w:rPr>
              <w:t>-02</w:t>
            </w:r>
          </w:p>
        </w:tc>
        <w:tc>
          <w:tcPr>
            <w:tcW w:w="423" w:type="pct"/>
            <w:vMerge w:val="restart"/>
            <w:tcBorders>
              <w:tl2br w:val="nil"/>
              <w:tr2bl w:val="nil"/>
            </w:tcBorders>
            <w:vAlign w:val="center"/>
          </w:tcPr>
          <w:p w14:paraId="0F35E876">
            <w:pPr>
              <w:widowControl/>
              <w:jc w:val="center"/>
              <w:rPr>
                <w:rFonts w:eastAsia="仿宋_GB2312"/>
                <w:kern w:val="0"/>
                <w:szCs w:val="21"/>
              </w:rPr>
            </w:pPr>
            <w:r>
              <w:rPr>
                <w:rFonts w:hint="eastAsia" w:eastAsia="仿宋_GB2312"/>
                <w:kern w:val="0"/>
                <w:szCs w:val="21"/>
                <w:lang w:val="en-US" w:eastAsia="zh-CN"/>
              </w:rPr>
              <w:t>363</w:t>
            </w:r>
            <w:r>
              <w:rPr>
                <w:rFonts w:hint="eastAsia" w:eastAsia="仿宋_GB2312"/>
                <w:kern w:val="0"/>
                <w:szCs w:val="21"/>
              </w:rPr>
              <w:t>10</w:t>
            </w:r>
          </w:p>
        </w:tc>
        <w:tc>
          <w:tcPr>
            <w:tcW w:w="605" w:type="pct"/>
            <w:vMerge w:val="restart"/>
            <w:tcBorders>
              <w:tl2br w:val="nil"/>
              <w:tr2bl w:val="nil"/>
            </w:tcBorders>
            <w:vAlign w:val="center"/>
          </w:tcPr>
          <w:p w14:paraId="2223C206">
            <w:pPr>
              <w:widowControl/>
              <w:jc w:val="center"/>
              <w:rPr>
                <w:rFonts w:eastAsia="仿宋_GB2312"/>
                <w:kern w:val="0"/>
                <w:szCs w:val="21"/>
              </w:rPr>
            </w:pPr>
            <w:r>
              <w:rPr>
                <w:rFonts w:eastAsia="仿宋_GB2312"/>
                <w:bCs/>
              </w:rPr>
              <w:t>回收综合利用量增加，危废代码增加</w:t>
            </w:r>
          </w:p>
        </w:tc>
      </w:tr>
      <w:tr w14:paraId="7AD812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3" w:type="pct"/>
            <w:vMerge w:val="continue"/>
            <w:tcBorders>
              <w:tl2br w:val="nil"/>
              <w:tr2bl w:val="nil"/>
            </w:tcBorders>
            <w:vAlign w:val="center"/>
          </w:tcPr>
          <w:p w14:paraId="672AF96A">
            <w:pPr>
              <w:widowControl/>
              <w:jc w:val="center"/>
              <w:rPr>
                <w:rFonts w:eastAsia="仿宋_GB2312"/>
                <w:kern w:val="0"/>
                <w:szCs w:val="21"/>
              </w:rPr>
            </w:pPr>
          </w:p>
        </w:tc>
        <w:tc>
          <w:tcPr>
            <w:tcW w:w="372" w:type="pct"/>
            <w:vMerge w:val="continue"/>
            <w:tcBorders>
              <w:tl2br w:val="nil"/>
              <w:tr2bl w:val="nil"/>
            </w:tcBorders>
            <w:vAlign w:val="center"/>
          </w:tcPr>
          <w:p w14:paraId="76AF4F64">
            <w:pPr>
              <w:widowControl/>
              <w:jc w:val="center"/>
              <w:rPr>
                <w:rFonts w:eastAsia="仿宋_GB2312"/>
                <w:kern w:val="0"/>
                <w:szCs w:val="21"/>
              </w:rPr>
            </w:pPr>
          </w:p>
        </w:tc>
        <w:tc>
          <w:tcPr>
            <w:tcW w:w="394" w:type="pct"/>
            <w:tcBorders>
              <w:tl2br w:val="nil"/>
              <w:tr2bl w:val="nil"/>
            </w:tcBorders>
            <w:shd w:val="clear" w:color="auto" w:fill="auto"/>
            <w:vAlign w:val="center"/>
          </w:tcPr>
          <w:p w14:paraId="3E85A125">
            <w:pPr>
              <w:widowControl/>
              <w:jc w:val="center"/>
              <w:rPr>
                <w:rFonts w:eastAsia="仿宋_GB2312"/>
                <w:kern w:val="0"/>
                <w:szCs w:val="21"/>
              </w:rPr>
            </w:pPr>
            <w:r>
              <w:rPr>
                <w:rFonts w:hint="eastAsia" w:eastAsia="仿宋_GB2312"/>
                <w:kern w:val="0"/>
                <w:szCs w:val="21"/>
              </w:rPr>
              <w:t>/</w:t>
            </w:r>
          </w:p>
        </w:tc>
        <w:tc>
          <w:tcPr>
            <w:tcW w:w="1042" w:type="pct"/>
            <w:tcBorders>
              <w:tl2br w:val="nil"/>
              <w:tr2bl w:val="nil"/>
            </w:tcBorders>
            <w:shd w:val="clear" w:color="auto" w:fill="auto"/>
            <w:vAlign w:val="center"/>
          </w:tcPr>
          <w:p w14:paraId="2783DEFC">
            <w:pPr>
              <w:widowControl/>
              <w:jc w:val="center"/>
              <w:rPr>
                <w:rFonts w:eastAsia="仿宋_GB2312"/>
                <w:kern w:val="0"/>
                <w:szCs w:val="21"/>
              </w:rPr>
            </w:pPr>
            <w:r>
              <w:rPr>
                <w:rFonts w:hint="eastAsia" w:eastAsia="仿宋_GB2312"/>
                <w:kern w:val="0"/>
                <w:szCs w:val="21"/>
              </w:rPr>
              <w:t>/</w:t>
            </w:r>
          </w:p>
        </w:tc>
        <w:tc>
          <w:tcPr>
            <w:tcW w:w="465" w:type="pct"/>
            <w:vMerge w:val="continue"/>
            <w:tcBorders>
              <w:tl2br w:val="nil"/>
              <w:tr2bl w:val="nil"/>
            </w:tcBorders>
            <w:vAlign w:val="center"/>
          </w:tcPr>
          <w:p w14:paraId="090E3B86">
            <w:pPr>
              <w:widowControl/>
              <w:jc w:val="center"/>
              <w:rPr>
                <w:rFonts w:eastAsia="仿宋_GB2312"/>
                <w:kern w:val="0"/>
                <w:szCs w:val="21"/>
              </w:rPr>
            </w:pPr>
          </w:p>
        </w:tc>
        <w:tc>
          <w:tcPr>
            <w:tcW w:w="384" w:type="pct"/>
            <w:tcBorders>
              <w:tl2br w:val="nil"/>
              <w:tr2bl w:val="nil"/>
            </w:tcBorders>
            <w:shd w:val="clear" w:color="auto" w:fill="auto"/>
            <w:vAlign w:val="center"/>
          </w:tcPr>
          <w:p w14:paraId="020E2C38">
            <w:pPr>
              <w:widowControl/>
              <w:jc w:val="center"/>
              <w:textAlignment w:val="center"/>
              <w:rPr>
                <w:rFonts w:eastAsia="仿宋_GB2312"/>
                <w:kern w:val="0"/>
                <w:szCs w:val="21"/>
              </w:rPr>
            </w:pPr>
            <w:r>
              <w:rPr>
                <w:b/>
                <w:bCs/>
                <w:kern w:val="0"/>
                <w:szCs w:val="21"/>
                <w:lang w:bidi="ar"/>
              </w:rPr>
              <w:t>HW04</w:t>
            </w:r>
          </w:p>
        </w:tc>
        <w:tc>
          <w:tcPr>
            <w:tcW w:w="1059" w:type="pct"/>
            <w:tcBorders>
              <w:tl2br w:val="nil"/>
              <w:tr2bl w:val="nil"/>
            </w:tcBorders>
            <w:shd w:val="clear" w:color="auto" w:fill="auto"/>
            <w:vAlign w:val="center"/>
          </w:tcPr>
          <w:p w14:paraId="74C31E15">
            <w:pPr>
              <w:widowControl/>
              <w:jc w:val="center"/>
              <w:textAlignment w:val="center"/>
              <w:rPr>
                <w:rFonts w:eastAsia="仿宋_GB2312"/>
                <w:kern w:val="0"/>
                <w:szCs w:val="21"/>
              </w:rPr>
            </w:pPr>
            <w:r>
              <w:rPr>
                <w:b/>
                <w:bCs/>
                <w:kern w:val="0"/>
                <w:szCs w:val="21"/>
                <w:lang w:bidi="ar"/>
              </w:rPr>
              <w:t>263-008-04</w:t>
            </w:r>
          </w:p>
        </w:tc>
        <w:tc>
          <w:tcPr>
            <w:tcW w:w="423" w:type="pct"/>
            <w:vMerge w:val="continue"/>
            <w:tcBorders>
              <w:tl2br w:val="nil"/>
              <w:tr2bl w:val="nil"/>
            </w:tcBorders>
            <w:vAlign w:val="center"/>
          </w:tcPr>
          <w:p w14:paraId="7C65FF3E">
            <w:pPr>
              <w:widowControl/>
              <w:jc w:val="center"/>
              <w:rPr>
                <w:rFonts w:eastAsia="仿宋_GB2312"/>
                <w:kern w:val="0"/>
                <w:szCs w:val="21"/>
              </w:rPr>
            </w:pPr>
          </w:p>
        </w:tc>
        <w:tc>
          <w:tcPr>
            <w:tcW w:w="605" w:type="pct"/>
            <w:vMerge w:val="continue"/>
            <w:tcBorders>
              <w:tl2br w:val="nil"/>
              <w:tr2bl w:val="nil"/>
            </w:tcBorders>
            <w:vAlign w:val="center"/>
          </w:tcPr>
          <w:p w14:paraId="6FFDE8C7">
            <w:pPr>
              <w:widowControl/>
              <w:jc w:val="center"/>
              <w:rPr>
                <w:rFonts w:eastAsia="仿宋_GB2312"/>
                <w:bCs/>
              </w:rPr>
            </w:pPr>
          </w:p>
        </w:tc>
      </w:tr>
      <w:tr w14:paraId="39477E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3" w:type="pct"/>
            <w:vMerge w:val="continue"/>
            <w:tcBorders>
              <w:tl2br w:val="nil"/>
              <w:tr2bl w:val="nil"/>
            </w:tcBorders>
            <w:vAlign w:val="center"/>
          </w:tcPr>
          <w:p w14:paraId="4E581913">
            <w:pPr>
              <w:widowControl/>
              <w:jc w:val="center"/>
              <w:rPr>
                <w:rFonts w:eastAsia="仿宋_GB2312"/>
                <w:kern w:val="0"/>
                <w:szCs w:val="21"/>
              </w:rPr>
            </w:pPr>
          </w:p>
        </w:tc>
        <w:tc>
          <w:tcPr>
            <w:tcW w:w="372" w:type="pct"/>
            <w:vMerge w:val="continue"/>
            <w:tcBorders>
              <w:tl2br w:val="nil"/>
              <w:tr2bl w:val="nil"/>
            </w:tcBorders>
            <w:vAlign w:val="center"/>
          </w:tcPr>
          <w:p w14:paraId="24C6CCB0">
            <w:pPr>
              <w:widowControl/>
              <w:jc w:val="center"/>
              <w:rPr>
                <w:rFonts w:eastAsia="仿宋_GB2312"/>
                <w:kern w:val="0"/>
                <w:szCs w:val="21"/>
              </w:rPr>
            </w:pPr>
          </w:p>
        </w:tc>
        <w:tc>
          <w:tcPr>
            <w:tcW w:w="394" w:type="pct"/>
            <w:tcBorders>
              <w:tl2br w:val="nil"/>
              <w:tr2bl w:val="nil"/>
            </w:tcBorders>
            <w:vAlign w:val="center"/>
          </w:tcPr>
          <w:p w14:paraId="79A74D28">
            <w:pPr>
              <w:widowControl/>
              <w:jc w:val="center"/>
              <w:rPr>
                <w:rFonts w:eastAsia="仿宋_GB2312"/>
                <w:kern w:val="0"/>
                <w:szCs w:val="21"/>
              </w:rPr>
            </w:pPr>
            <w:r>
              <w:rPr>
                <w:rFonts w:eastAsia="仿宋_GB2312"/>
                <w:kern w:val="0"/>
                <w:szCs w:val="21"/>
              </w:rPr>
              <w:t>HW06</w:t>
            </w:r>
          </w:p>
        </w:tc>
        <w:tc>
          <w:tcPr>
            <w:tcW w:w="1042" w:type="pct"/>
            <w:tcBorders>
              <w:tl2br w:val="nil"/>
              <w:tr2bl w:val="nil"/>
            </w:tcBorders>
            <w:vAlign w:val="center"/>
          </w:tcPr>
          <w:p w14:paraId="2247F3D7">
            <w:pPr>
              <w:widowControl/>
              <w:jc w:val="center"/>
              <w:rPr>
                <w:rFonts w:eastAsia="仿宋_GB2312"/>
                <w:kern w:val="0"/>
                <w:szCs w:val="21"/>
              </w:rPr>
            </w:pPr>
            <w:r>
              <w:rPr>
                <w:rFonts w:eastAsia="仿宋_GB2312"/>
                <w:kern w:val="0"/>
                <w:szCs w:val="21"/>
              </w:rPr>
              <w:t>900-402-06，900-404-06，900-407-06</w:t>
            </w:r>
          </w:p>
        </w:tc>
        <w:tc>
          <w:tcPr>
            <w:tcW w:w="465" w:type="pct"/>
            <w:vMerge w:val="continue"/>
            <w:tcBorders>
              <w:tl2br w:val="nil"/>
              <w:tr2bl w:val="nil"/>
            </w:tcBorders>
            <w:vAlign w:val="center"/>
          </w:tcPr>
          <w:p w14:paraId="3D623FC5">
            <w:pPr>
              <w:widowControl/>
              <w:jc w:val="center"/>
              <w:rPr>
                <w:rFonts w:eastAsia="仿宋_GB2312"/>
                <w:kern w:val="0"/>
                <w:szCs w:val="21"/>
              </w:rPr>
            </w:pPr>
          </w:p>
        </w:tc>
        <w:tc>
          <w:tcPr>
            <w:tcW w:w="384" w:type="pct"/>
            <w:tcBorders>
              <w:tl2br w:val="nil"/>
              <w:tr2bl w:val="nil"/>
            </w:tcBorders>
            <w:shd w:val="clear" w:color="auto" w:fill="auto"/>
            <w:vAlign w:val="center"/>
          </w:tcPr>
          <w:p w14:paraId="7D353909">
            <w:pPr>
              <w:widowControl/>
              <w:jc w:val="center"/>
              <w:textAlignment w:val="center"/>
              <w:rPr>
                <w:rFonts w:eastAsia="仿宋_GB2312"/>
                <w:kern w:val="0"/>
                <w:szCs w:val="21"/>
              </w:rPr>
            </w:pPr>
            <w:r>
              <w:rPr>
                <w:kern w:val="0"/>
                <w:szCs w:val="21"/>
                <w:lang w:bidi="ar"/>
              </w:rPr>
              <w:t>HW06</w:t>
            </w:r>
          </w:p>
        </w:tc>
        <w:tc>
          <w:tcPr>
            <w:tcW w:w="1059" w:type="pct"/>
            <w:tcBorders>
              <w:tl2br w:val="nil"/>
              <w:tr2bl w:val="nil"/>
            </w:tcBorders>
            <w:shd w:val="clear" w:color="auto" w:fill="auto"/>
            <w:vAlign w:val="center"/>
          </w:tcPr>
          <w:p w14:paraId="7DDA119E">
            <w:pPr>
              <w:widowControl/>
              <w:jc w:val="center"/>
              <w:textAlignment w:val="center"/>
              <w:rPr>
                <w:rFonts w:eastAsia="仿宋_GB2312"/>
                <w:kern w:val="0"/>
                <w:szCs w:val="21"/>
              </w:rPr>
            </w:pPr>
            <w:r>
              <w:rPr>
                <w:kern w:val="0"/>
                <w:szCs w:val="21"/>
                <w:lang w:bidi="ar"/>
              </w:rPr>
              <w:t>900-402-06</w:t>
            </w:r>
            <w:r>
              <w:rPr>
                <w:rFonts w:ascii="仿宋_GB2312" w:eastAsia="仿宋_GB2312" w:cs="仿宋_GB2312"/>
                <w:kern w:val="0"/>
                <w:szCs w:val="21"/>
                <w:lang w:bidi="ar"/>
              </w:rPr>
              <w:t>，</w:t>
            </w:r>
            <w:r>
              <w:rPr>
                <w:kern w:val="0"/>
                <w:szCs w:val="21"/>
                <w:lang w:bidi="ar"/>
              </w:rPr>
              <w:t>900-404-06</w:t>
            </w:r>
            <w:r>
              <w:rPr>
                <w:rFonts w:ascii="仿宋_GB2312" w:eastAsia="仿宋_GB2312" w:cs="仿宋_GB2312"/>
                <w:kern w:val="0"/>
                <w:szCs w:val="21"/>
                <w:lang w:bidi="ar"/>
              </w:rPr>
              <w:t>，</w:t>
            </w:r>
            <w:r>
              <w:rPr>
                <w:kern w:val="0"/>
                <w:szCs w:val="21"/>
                <w:lang w:bidi="ar"/>
              </w:rPr>
              <w:t>900-407-06</w:t>
            </w:r>
          </w:p>
        </w:tc>
        <w:tc>
          <w:tcPr>
            <w:tcW w:w="423" w:type="pct"/>
            <w:vMerge w:val="continue"/>
            <w:tcBorders>
              <w:tl2br w:val="nil"/>
              <w:tr2bl w:val="nil"/>
            </w:tcBorders>
            <w:vAlign w:val="center"/>
          </w:tcPr>
          <w:p w14:paraId="31E2C446">
            <w:pPr>
              <w:widowControl/>
              <w:jc w:val="center"/>
              <w:rPr>
                <w:rFonts w:eastAsia="仿宋_GB2312"/>
                <w:kern w:val="0"/>
                <w:szCs w:val="21"/>
              </w:rPr>
            </w:pPr>
          </w:p>
        </w:tc>
        <w:tc>
          <w:tcPr>
            <w:tcW w:w="605" w:type="pct"/>
            <w:vMerge w:val="continue"/>
            <w:tcBorders>
              <w:tl2br w:val="nil"/>
              <w:tr2bl w:val="nil"/>
            </w:tcBorders>
            <w:vAlign w:val="center"/>
          </w:tcPr>
          <w:p w14:paraId="63907E3B">
            <w:pPr>
              <w:widowControl/>
              <w:jc w:val="center"/>
              <w:rPr>
                <w:rFonts w:eastAsia="仿宋_GB2312"/>
                <w:kern w:val="0"/>
                <w:szCs w:val="21"/>
              </w:rPr>
            </w:pPr>
          </w:p>
        </w:tc>
      </w:tr>
      <w:tr w14:paraId="4576BE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3" w:type="pct"/>
            <w:vMerge w:val="continue"/>
            <w:tcBorders>
              <w:tl2br w:val="nil"/>
              <w:tr2bl w:val="nil"/>
            </w:tcBorders>
            <w:vAlign w:val="center"/>
          </w:tcPr>
          <w:p w14:paraId="06C2DE14">
            <w:pPr>
              <w:widowControl/>
              <w:jc w:val="center"/>
              <w:rPr>
                <w:rFonts w:eastAsia="仿宋_GB2312"/>
                <w:kern w:val="0"/>
                <w:szCs w:val="21"/>
              </w:rPr>
            </w:pPr>
          </w:p>
        </w:tc>
        <w:tc>
          <w:tcPr>
            <w:tcW w:w="372" w:type="pct"/>
            <w:vMerge w:val="continue"/>
            <w:tcBorders>
              <w:tl2br w:val="nil"/>
              <w:tr2bl w:val="nil"/>
            </w:tcBorders>
            <w:vAlign w:val="center"/>
          </w:tcPr>
          <w:p w14:paraId="7CCE58AA">
            <w:pPr>
              <w:widowControl/>
              <w:jc w:val="center"/>
              <w:rPr>
                <w:rFonts w:eastAsia="仿宋_GB2312"/>
                <w:kern w:val="0"/>
                <w:szCs w:val="21"/>
              </w:rPr>
            </w:pPr>
          </w:p>
        </w:tc>
        <w:tc>
          <w:tcPr>
            <w:tcW w:w="394" w:type="pct"/>
            <w:tcBorders>
              <w:tl2br w:val="nil"/>
              <w:tr2bl w:val="nil"/>
            </w:tcBorders>
            <w:vAlign w:val="center"/>
          </w:tcPr>
          <w:p w14:paraId="132C62D4">
            <w:pPr>
              <w:widowControl/>
              <w:jc w:val="center"/>
              <w:rPr>
                <w:rFonts w:eastAsia="仿宋_GB2312"/>
                <w:kern w:val="0"/>
                <w:szCs w:val="21"/>
              </w:rPr>
            </w:pPr>
            <w:r>
              <w:rPr>
                <w:rFonts w:eastAsia="仿宋_GB2312"/>
                <w:kern w:val="0"/>
                <w:szCs w:val="21"/>
              </w:rPr>
              <w:t>HW11</w:t>
            </w:r>
          </w:p>
        </w:tc>
        <w:tc>
          <w:tcPr>
            <w:tcW w:w="1042" w:type="pct"/>
            <w:tcBorders>
              <w:tl2br w:val="nil"/>
              <w:tr2bl w:val="nil"/>
            </w:tcBorders>
            <w:vAlign w:val="center"/>
          </w:tcPr>
          <w:p w14:paraId="28D8163D">
            <w:pPr>
              <w:widowControl/>
              <w:jc w:val="center"/>
              <w:rPr>
                <w:rFonts w:eastAsia="仿宋_GB2312"/>
                <w:kern w:val="0"/>
                <w:szCs w:val="21"/>
              </w:rPr>
            </w:pPr>
            <w:r>
              <w:rPr>
                <w:rFonts w:eastAsia="仿宋_GB2312"/>
                <w:kern w:val="0"/>
                <w:szCs w:val="21"/>
              </w:rPr>
              <w:t>900-013-11，261-128-11，261-129-11，261-130-11，261-013-11，261-031-11</w:t>
            </w:r>
          </w:p>
        </w:tc>
        <w:tc>
          <w:tcPr>
            <w:tcW w:w="465" w:type="pct"/>
            <w:vMerge w:val="continue"/>
            <w:tcBorders>
              <w:tl2br w:val="nil"/>
              <w:tr2bl w:val="nil"/>
            </w:tcBorders>
            <w:vAlign w:val="center"/>
          </w:tcPr>
          <w:p w14:paraId="04D9F6FC">
            <w:pPr>
              <w:widowControl/>
              <w:jc w:val="center"/>
              <w:rPr>
                <w:rFonts w:eastAsia="仿宋_GB2312"/>
                <w:kern w:val="0"/>
                <w:szCs w:val="21"/>
              </w:rPr>
            </w:pPr>
          </w:p>
        </w:tc>
        <w:tc>
          <w:tcPr>
            <w:tcW w:w="384" w:type="pct"/>
            <w:tcBorders>
              <w:tl2br w:val="nil"/>
              <w:tr2bl w:val="nil"/>
            </w:tcBorders>
            <w:shd w:val="clear" w:color="auto" w:fill="auto"/>
            <w:vAlign w:val="center"/>
          </w:tcPr>
          <w:p w14:paraId="38E4C656">
            <w:pPr>
              <w:widowControl/>
              <w:jc w:val="center"/>
              <w:textAlignment w:val="center"/>
              <w:rPr>
                <w:rFonts w:eastAsia="仿宋_GB2312"/>
                <w:kern w:val="0"/>
                <w:szCs w:val="21"/>
              </w:rPr>
            </w:pPr>
            <w:r>
              <w:rPr>
                <w:kern w:val="0"/>
                <w:szCs w:val="21"/>
                <w:lang w:bidi="ar"/>
              </w:rPr>
              <w:t>HW11</w:t>
            </w:r>
          </w:p>
        </w:tc>
        <w:tc>
          <w:tcPr>
            <w:tcW w:w="1059" w:type="pct"/>
            <w:tcBorders>
              <w:tl2br w:val="nil"/>
              <w:tr2bl w:val="nil"/>
            </w:tcBorders>
            <w:shd w:val="clear" w:color="auto" w:fill="auto"/>
            <w:vAlign w:val="center"/>
          </w:tcPr>
          <w:p w14:paraId="3B99B233">
            <w:pPr>
              <w:widowControl/>
              <w:jc w:val="center"/>
              <w:textAlignment w:val="center"/>
              <w:rPr>
                <w:rFonts w:eastAsia="仿宋_GB2312"/>
                <w:kern w:val="0"/>
                <w:szCs w:val="21"/>
              </w:rPr>
            </w:pPr>
            <w:r>
              <w:rPr>
                <w:kern w:val="0"/>
                <w:szCs w:val="21"/>
                <w:lang w:bidi="ar"/>
              </w:rPr>
              <w:t>900-013-11</w:t>
            </w:r>
            <w:r>
              <w:rPr>
                <w:rFonts w:ascii="仿宋_GB2312" w:eastAsia="仿宋_GB2312" w:cs="仿宋_GB2312"/>
                <w:kern w:val="0"/>
                <w:szCs w:val="21"/>
                <w:lang w:bidi="ar"/>
              </w:rPr>
              <w:t>，</w:t>
            </w:r>
            <w:r>
              <w:rPr>
                <w:kern w:val="0"/>
                <w:szCs w:val="21"/>
                <w:lang w:bidi="ar"/>
              </w:rPr>
              <w:t>261-128-11</w:t>
            </w:r>
            <w:r>
              <w:rPr>
                <w:rFonts w:ascii="仿宋_GB2312" w:eastAsia="仿宋_GB2312" w:cs="仿宋_GB2312"/>
                <w:kern w:val="0"/>
                <w:szCs w:val="21"/>
                <w:lang w:bidi="ar"/>
              </w:rPr>
              <w:t>，</w:t>
            </w:r>
            <w:r>
              <w:rPr>
                <w:kern w:val="0"/>
                <w:szCs w:val="21"/>
                <w:lang w:bidi="ar"/>
              </w:rPr>
              <w:t>261-129-11</w:t>
            </w:r>
            <w:r>
              <w:rPr>
                <w:rFonts w:ascii="仿宋_GB2312" w:eastAsia="仿宋_GB2312" w:cs="仿宋_GB2312"/>
                <w:kern w:val="0"/>
                <w:szCs w:val="21"/>
                <w:lang w:bidi="ar"/>
              </w:rPr>
              <w:t>，</w:t>
            </w:r>
            <w:r>
              <w:rPr>
                <w:kern w:val="0"/>
                <w:szCs w:val="21"/>
                <w:lang w:bidi="ar"/>
              </w:rPr>
              <w:t>261-130-11</w:t>
            </w:r>
            <w:r>
              <w:rPr>
                <w:rFonts w:ascii="仿宋_GB2312" w:eastAsia="仿宋_GB2312" w:cs="仿宋_GB2312"/>
                <w:kern w:val="0"/>
                <w:szCs w:val="21"/>
                <w:lang w:bidi="ar"/>
              </w:rPr>
              <w:t>，</w:t>
            </w:r>
            <w:r>
              <w:rPr>
                <w:kern w:val="0"/>
                <w:szCs w:val="21"/>
                <w:lang w:bidi="ar"/>
              </w:rPr>
              <w:t>261-013-11</w:t>
            </w:r>
            <w:r>
              <w:rPr>
                <w:rFonts w:ascii="仿宋_GB2312" w:eastAsia="仿宋_GB2312" w:cs="仿宋_GB2312"/>
                <w:kern w:val="0"/>
                <w:szCs w:val="21"/>
                <w:lang w:bidi="ar"/>
              </w:rPr>
              <w:t>，</w:t>
            </w:r>
            <w:r>
              <w:rPr>
                <w:kern w:val="0"/>
                <w:szCs w:val="21"/>
                <w:lang w:bidi="ar"/>
              </w:rPr>
              <w:t>261-031-11</w:t>
            </w:r>
            <w:r>
              <w:rPr>
                <w:rFonts w:hint="eastAsia" w:ascii="宋体" w:hAnsi="宋体" w:cs="宋体"/>
                <w:kern w:val="0"/>
                <w:szCs w:val="21"/>
                <w:lang w:bidi="ar"/>
              </w:rPr>
              <w:t>，</w:t>
            </w:r>
            <w:r>
              <w:rPr>
                <w:b/>
                <w:bCs/>
                <w:kern w:val="0"/>
                <w:szCs w:val="21"/>
                <w:lang w:bidi="ar"/>
              </w:rPr>
              <w:t>261-012-11</w:t>
            </w:r>
            <w:r>
              <w:rPr>
                <w:rFonts w:hint="eastAsia" w:ascii="宋体" w:hAnsi="宋体" w:cs="宋体"/>
                <w:b/>
                <w:bCs/>
                <w:kern w:val="0"/>
                <w:szCs w:val="21"/>
                <w:lang w:bidi="ar"/>
              </w:rPr>
              <w:t>，</w:t>
            </w:r>
            <w:r>
              <w:rPr>
                <w:b/>
                <w:bCs/>
                <w:kern w:val="0"/>
                <w:szCs w:val="21"/>
                <w:lang w:bidi="ar"/>
              </w:rPr>
              <w:t>261-106-11</w:t>
            </w:r>
          </w:p>
        </w:tc>
        <w:tc>
          <w:tcPr>
            <w:tcW w:w="423" w:type="pct"/>
            <w:vMerge w:val="continue"/>
            <w:tcBorders>
              <w:tl2br w:val="nil"/>
              <w:tr2bl w:val="nil"/>
            </w:tcBorders>
            <w:vAlign w:val="center"/>
          </w:tcPr>
          <w:p w14:paraId="12562A05">
            <w:pPr>
              <w:widowControl/>
              <w:jc w:val="center"/>
              <w:rPr>
                <w:rFonts w:eastAsia="仿宋_GB2312"/>
                <w:kern w:val="0"/>
                <w:szCs w:val="21"/>
              </w:rPr>
            </w:pPr>
          </w:p>
        </w:tc>
        <w:tc>
          <w:tcPr>
            <w:tcW w:w="605" w:type="pct"/>
            <w:vMerge w:val="continue"/>
            <w:tcBorders>
              <w:tl2br w:val="nil"/>
              <w:tr2bl w:val="nil"/>
            </w:tcBorders>
            <w:vAlign w:val="center"/>
          </w:tcPr>
          <w:p w14:paraId="0E96ACFA">
            <w:pPr>
              <w:widowControl/>
              <w:jc w:val="center"/>
              <w:rPr>
                <w:rFonts w:eastAsia="仿宋_GB2312"/>
                <w:kern w:val="0"/>
                <w:szCs w:val="21"/>
              </w:rPr>
            </w:pPr>
          </w:p>
        </w:tc>
      </w:tr>
      <w:tr w14:paraId="5D276A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3" w:type="pct"/>
            <w:vMerge w:val="continue"/>
            <w:tcBorders>
              <w:tl2br w:val="nil"/>
              <w:tr2bl w:val="nil"/>
            </w:tcBorders>
            <w:vAlign w:val="center"/>
          </w:tcPr>
          <w:p w14:paraId="776E59E5">
            <w:pPr>
              <w:widowControl/>
              <w:jc w:val="center"/>
              <w:rPr>
                <w:rFonts w:eastAsia="仿宋_GB2312"/>
                <w:kern w:val="0"/>
                <w:szCs w:val="21"/>
              </w:rPr>
            </w:pPr>
          </w:p>
        </w:tc>
        <w:tc>
          <w:tcPr>
            <w:tcW w:w="372" w:type="pct"/>
            <w:vMerge w:val="continue"/>
            <w:tcBorders>
              <w:tl2br w:val="nil"/>
              <w:tr2bl w:val="nil"/>
            </w:tcBorders>
            <w:vAlign w:val="center"/>
          </w:tcPr>
          <w:p w14:paraId="5F7B978E">
            <w:pPr>
              <w:widowControl/>
              <w:jc w:val="center"/>
              <w:rPr>
                <w:rFonts w:eastAsia="仿宋_GB2312"/>
                <w:kern w:val="0"/>
                <w:szCs w:val="21"/>
              </w:rPr>
            </w:pPr>
          </w:p>
        </w:tc>
        <w:tc>
          <w:tcPr>
            <w:tcW w:w="394" w:type="pct"/>
            <w:tcBorders>
              <w:tl2br w:val="nil"/>
              <w:tr2bl w:val="nil"/>
            </w:tcBorders>
            <w:vAlign w:val="center"/>
          </w:tcPr>
          <w:p w14:paraId="23721C0C">
            <w:pPr>
              <w:widowControl/>
              <w:jc w:val="center"/>
              <w:rPr>
                <w:rFonts w:eastAsia="仿宋_GB2312"/>
                <w:kern w:val="0"/>
                <w:szCs w:val="21"/>
              </w:rPr>
            </w:pPr>
            <w:r>
              <w:rPr>
                <w:rFonts w:eastAsia="仿宋_GB2312"/>
                <w:kern w:val="0"/>
                <w:szCs w:val="21"/>
              </w:rPr>
              <w:t>HW12</w:t>
            </w:r>
          </w:p>
        </w:tc>
        <w:tc>
          <w:tcPr>
            <w:tcW w:w="1042" w:type="pct"/>
            <w:tcBorders>
              <w:tl2br w:val="nil"/>
              <w:tr2bl w:val="nil"/>
            </w:tcBorders>
            <w:vAlign w:val="center"/>
          </w:tcPr>
          <w:p w14:paraId="6BAABCB1">
            <w:pPr>
              <w:widowControl/>
              <w:jc w:val="center"/>
              <w:rPr>
                <w:rFonts w:eastAsia="仿宋_GB2312"/>
                <w:kern w:val="0"/>
                <w:szCs w:val="21"/>
              </w:rPr>
            </w:pPr>
            <w:r>
              <w:rPr>
                <w:rFonts w:eastAsia="仿宋_GB2312"/>
                <w:kern w:val="0"/>
                <w:szCs w:val="21"/>
              </w:rPr>
              <w:t>264-011-12，264-013-12，900-250-12，900-251-12，900-252-12，900-253-12</w:t>
            </w:r>
          </w:p>
        </w:tc>
        <w:tc>
          <w:tcPr>
            <w:tcW w:w="465" w:type="pct"/>
            <w:vMerge w:val="continue"/>
            <w:tcBorders>
              <w:tl2br w:val="nil"/>
              <w:tr2bl w:val="nil"/>
            </w:tcBorders>
            <w:vAlign w:val="center"/>
          </w:tcPr>
          <w:p w14:paraId="1015C552">
            <w:pPr>
              <w:widowControl/>
              <w:jc w:val="center"/>
              <w:rPr>
                <w:rFonts w:eastAsia="仿宋_GB2312"/>
                <w:kern w:val="0"/>
                <w:szCs w:val="21"/>
              </w:rPr>
            </w:pPr>
          </w:p>
        </w:tc>
        <w:tc>
          <w:tcPr>
            <w:tcW w:w="384" w:type="pct"/>
            <w:tcBorders>
              <w:tl2br w:val="nil"/>
              <w:tr2bl w:val="nil"/>
            </w:tcBorders>
            <w:shd w:val="clear" w:color="auto" w:fill="auto"/>
            <w:vAlign w:val="center"/>
          </w:tcPr>
          <w:p w14:paraId="2E3F875F">
            <w:pPr>
              <w:widowControl/>
              <w:jc w:val="center"/>
              <w:textAlignment w:val="center"/>
              <w:rPr>
                <w:rFonts w:eastAsia="仿宋_GB2312"/>
                <w:kern w:val="0"/>
                <w:szCs w:val="21"/>
              </w:rPr>
            </w:pPr>
            <w:r>
              <w:rPr>
                <w:kern w:val="0"/>
                <w:szCs w:val="21"/>
                <w:lang w:bidi="ar"/>
              </w:rPr>
              <w:t>HW12</w:t>
            </w:r>
          </w:p>
        </w:tc>
        <w:tc>
          <w:tcPr>
            <w:tcW w:w="1059" w:type="pct"/>
            <w:tcBorders>
              <w:tl2br w:val="nil"/>
              <w:tr2bl w:val="nil"/>
            </w:tcBorders>
            <w:shd w:val="clear" w:color="auto" w:fill="auto"/>
            <w:vAlign w:val="center"/>
          </w:tcPr>
          <w:p w14:paraId="56392446">
            <w:pPr>
              <w:widowControl/>
              <w:jc w:val="center"/>
              <w:textAlignment w:val="center"/>
              <w:rPr>
                <w:rFonts w:eastAsia="仿宋_GB2312"/>
                <w:kern w:val="0"/>
                <w:szCs w:val="21"/>
              </w:rPr>
            </w:pPr>
            <w:r>
              <w:rPr>
                <w:kern w:val="0"/>
                <w:szCs w:val="21"/>
                <w:lang w:bidi="ar"/>
              </w:rPr>
              <w:t>264-011-12</w:t>
            </w:r>
            <w:r>
              <w:rPr>
                <w:rFonts w:ascii="仿宋_GB2312" w:eastAsia="仿宋_GB2312" w:cs="仿宋_GB2312"/>
                <w:kern w:val="0"/>
                <w:szCs w:val="21"/>
                <w:lang w:bidi="ar"/>
              </w:rPr>
              <w:t>，</w:t>
            </w:r>
            <w:r>
              <w:rPr>
                <w:kern w:val="0"/>
                <w:szCs w:val="21"/>
                <w:lang w:bidi="ar"/>
              </w:rPr>
              <w:t>264-013-12</w:t>
            </w:r>
            <w:r>
              <w:rPr>
                <w:rFonts w:ascii="仿宋_GB2312" w:eastAsia="仿宋_GB2312" w:cs="仿宋_GB2312"/>
                <w:kern w:val="0"/>
                <w:szCs w:val="21"/>
                <w:lang w:bidi="ar"/>
              </w:rPr>
              <w:t>，</w:t>
            </w:r>
            <w:r>
              <w:rPr>
                <w:kern w:val="0"/>
                <w:szCs w:val="21"/>
                <w:lang w:bidi="ar"/>
              </w:rPr>
              <w:t>900-250-12</w:t>
            </w:r>
            <w:r>
              <w:rPr>
                <w:rFonts w:ascii="仿宋_GB2312" w:eastAsia="仿宋_GB2312" w:cs="仿宋_GB2312"/>
                <w:kern w:val="0"/>
                <w:szCs w:val="21"/>
                <w:lang w:bidi="ar"/>
              </w:rPr>
              <w:t>，</w:t>
            </w:r>
            <w:r>
              <w:rPr>
                <w:kern w:val="0"/>
                <w:szCs w:val="21"/>
                <w:lang w:bidi="ar"/>
              </w:rPr>
              <w:t>900-251-12</w:t>
            </w:r>
            <w:r>
              <w:rPr>
                <w:rFonts w:ascii="仿宋_GB2312" w:eastAsia="仿宋_GB2312" w:cs="仿宋_GB2312"/>
                <w:kern w:val="0"/>
                <w:szCs w:val="21"/>
                <w:lang w:bidi="ar"/>
              </w:rPr>
              <w:t>，</w:t>
            </w:r>
            <w:r>
              <w:rPr>
                <w:kern w:val="0"/>
                <w:szCs w:val="21"/>
                <w:lang w:bidi="ar"/>
              </w:rPr>
              <w:t>900-252-12</w:t>
            </w:r>
            <w:r>
              <w:rPr>
                <w:rFonts w:ascii="仿宋_GB2312" w:eastAsia="仿宋_GB2312" w:cs="仿宋_GB2312"/>
                <w:kern w:val="0"/>
                <w:szCs w:val="21"/>
                <w:lang w:bidi="ar"/>
              </w:rPr>
              <w:t>，</w:t>
            </w:r>
            <w:r>
              <w:rPr>
                <w:kern w:val="0"/>
                <w:szCs w:val="21"/>
                <w:lang w:bidi="ar"/>
              </w:rPr>
              <w:t>900-253-12</w:t>
            </w:r>
            <w:r>
              <w:rPr>
                <w:rFonts w:hint="eastAsia" w:ascii="宋体" w:hAnsi="宋体" w:cs="宋体"/>
                <w:b/>
                <w:bCs/>
                <w:kern w:val="0"/>
                <w:szCs w:val="21"/>
                <w:lang w:bidi="ar"/>
              </w:rPr>
              <w:t>，</w:t>
            </w:r>
            <w:r>
              <w:rPr>
                <w:b/>
                <w:bCs/>
                <w:kern w:val="0"/>
                <w:szCs w:val="21"/>
                <w:lang w:bidi="ar"/>
              </w:rPr>
              <w:t>900-256-12</w:t>
            </w:r>
          </w:p>
        </w:tc>
        <w:tc>
          <w:tcPr>
            <w:tcW w:w="423" w:type="pct"/>
            <w:vMerge w:val="continue"/>
            <w:tcBorders>
              <w:tl2br w:val="nil"/>
              <w:tr2bl w:val="nil"/>
            </w:tcBorders>
            <w:vAlign w:val="center"/>
          </w:tcPr>
          <w:p w14:paraId="69316652">
            <w:pPr>
              <w:widowControl/>
              <w:jc w:val="center"/>
              <w:rPr>
                <w:rFonts w:eastAsia="仿宋_GB2312"/>
                <w:kern w:val="0"/>
                <w:szCs w:val="21"/>
              </w:rPr>
            </w:pPr>
          </w:p>
        </w:tc>
        <w:tc>
          <w:tcPr>
            <w:tcW w:w="605" w:type="pct"/>
            <w:vMerge w:val="continue"/>
            <w:tcBorders>
              <w:tl2br w:val="nil"/>
              <w:tr2bl w:val="nil"/>
            </w:tcBorders>
            <w:vAlign w:val="center"/>
          </w:tcPr>
          <w:p w14:paraId="272F5047">
            <w:pPr>
              <w:widowControl/>
              <w:jc w:val="center"/>
              <w:rPr>
                <w:rFonts w:eastAsia="仿宋_GB2312"/>
                <w:kern w:val="0"/>
                <w:szCs w:val="21"/>
              </w:rPr>
            </w:pPr>
          </w:p>
        </w:tc>
      </w:tr>
      <w:tr w14:paraId="3CD10D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3" w:type="pct"/>
            <w:vMerge w:val="continue"/>
            <w:tcBorders>
              <w:tl2br w:val="nil"/>
              <w:tr2bl w:val="nil"/>
            </w:tcBorders>
            <w:vAlign w:val="center"/>
          </w:tcPr>
          <w:p w14:paraId="4C248E91">
            <w:pPr>
              <w:widowControl/>
              <w:jc w:val="center"/>
              <w:rPr>
                <w:rFonts w:eastAsia="仿宋_GB2312"/>
                <w:kern w:val="0"/>
                <w:szCs w:val="21"/>
              </w:rPr>
            </w:pPr>
          </w:p>
        </w:tc>
        <w:tc>
          <w:tcPr>
            <w:tcW w:w="372" w:type="pct"/>
            <w:vMerge w:val="continue"/>
            <w:tcBorders>
              <w:tl2br w:val="nil"/>
              <w:tr2bl w:val="nil"/>
            </w:tcBorders>
            <w:vAlign w:val="center"/>
          </w:tcPr>
          <w:p w14:paraId="317E1EAD">
            <w:pPr>
              <w:widowControl/>
              <w:jc w:val="center"/>
              <w:rPr>
                <w:rFonts w:eastAsia="仿宋_GB2312"/>
                <w:kern w:val="0"/>
                <w:szCs w:val="21"/>
              </w:rPr>
            </w:pPr>
          </w:p>
        </w:tc>
        <w:tc>
          <w:tcPr>
            <w:tcW w:w="394" w:type="pct"/>
            <w:tcBorders>
              <w:tl2br w:val="nil"/>
              <w:tr2bl w:val="nil"/>
            </w:tcBorders>
            <w:vAlign w:val="center"/>
          </w:tcPr>
          <w:p w14:paraId="4E6BB00F">
            <w:pPr>
              <w:widowControl/>
              <w:jc w:val="center"/>
              <w:rPr>
                <w:rFonts w:eastAsia="仿宋_GB2312"/>
                <w:kern w:val="0"/>
                <w:szCs w:val="21"/>
              </w:rPr>
            </w:pPr>
            <w:r>
              <w:rPr>
                <w:rFonts w:eastAsia="仿宋_GB2312"/>
                <w:kern w:val="0"/>
                <w:szCs w:val="21"/>
              </w:rPr>
              <w:t>HW13</w:t>
            </w:r>
          </w:p>
        </w:tc>
        <w:tc>
          <w:tcPr>
            <w:tcW w:w="1042" w:type="pct"/>
            <w:tcBorders>
              <w:tl2br w:val="nil"/>
              <w:tr2bl w:val="nil"/>
            </w:tcBorders>
            <w:vAlign w:val="center"/>
          </w:tcPr>
          <w:p w14:paraId="144E07CB">
            <w:pPr>
              <w:widowControl/>
              <w:jc w:val="center"/>
              <w:rPr>
                <w:rFonts w:eastAsia="仿宋_GB2312"/>
                <w:kern w:val="0"/>
                <w:szCs w:val="21"/>
              </w:rPr>
            </w:pPr>
            <w:r>
              <w:rPr>
                <w:rFonts w:eastAsia="仿宋_GB2312"/>
                <w:kern w:val="0"/>
                <w:szCs w:val="21"/>
              </w:rPr>
              <w:t>265-102-13</w:t>
            </w:r>
          </w:p>
        </w:tc>
        <w:tc>
          <w:tcPr>
            <w:tcW w:w="465" w:type="pct"/>
            <w:vMerge w:val="continue"/>
            <w:tcBorders>
              <w:tl2br w:val="nil"/>
              <w:tr2bl w:val="nil"/>
            </w:tcBorders>
            <w:vAlign w:val="center"/>
          </w:tcPr>
          <w:p w14:paraId="108DB025">
            <w:pPr>
              <w:widowControl/>
              <w:jc w:val="center"/>
              <w:rPr>
                <w:rFonts w:eastAsia="仿宋_GB2312"/>
                <w:kern w:val="0"/>
                <w:szCs w:val="21"/>
              </w:rPr>
            </w:pPr>
          </w:p>
        </w:tc>
        <w:tc>
          <w:tcPr>
            <w:tcW w:w="384" w:type="pct"/>
            <w:tcBorders>
              <w:tl2br w:val="nil"/>
              <w:tr2bl w:val="nil"/>
            </w:tcBorders>
            <w:shd w:val="clear" w:color="auto" w:fill="auto"/>
            <w:vAlign w:val="center"/>
          </w:tcPr>
          <w:p w14:paraId="26AB342A">
            <w:pPr>
              <w:widowControl/>
              <w:jc w:val="center"/>
              <w:textAlignment w:val="center"/>
              <w:rPr>
                <w:rFonts w:eastAsia="仿宋_GB2312"/>
                <w:kern w:val="0"/>
                <w:szCs w:val="21"/>
              </w:rPr>
            </w:pPr>
            <w:r>
              <w:rPr>
                <w:kern w:val="0"/>
                <w:szCs w:val="21"/>
                <w:lang w:bidi="ar"/>
              </w:rPr>
              <w:t>HW13</w:t>
            </w:r>
          </w:p>
        </w:tc>
        <w:tc>
          <w:tcPr>
            <w:tcW w:w="1059" w:type="pct"/>
            <w:tcBorders>
              <w:tl2br w:val="nil"/>
              <w:tr2bl w:val="nil"/>
            </w:tcBorders>
            <w:shd w:val="clear" w:color="auto" w:fill="auto"/>
            <w:vAlign w:val="center"/>
          </w:tcPr>
          <w:p w14:paraId="10FCF5FE">
            <w:pPr>
              <w:widowControl/>
              <w:jc w:val="center"/>
              <w:textAlignment w:val="center"/>
              <w:rPr>
                <w:rFonts w:eastAsia="仿宋_GB2312"/>
                <w:kern w:val="0"/>
                <w:szCs w:val="21"/>
              </w:rPr>
            </w:pPr>
            <w:r>
              <w:rPr>
                <w:kern w:val="0"/>
                <w:szCs w:val="21"/>
                <w:lang w:bidi="ar"/>
              </w:rPr>
              <w:t>265-102-13</w:t>
            </w:r>
            <w:r>
              <w:rPr>
                <w:rFonts w:hint="eastAsia" w:ascii="宋体" w:hAnsi="宋体" w:cs="宋体"/>
                <w:b/>
                <w:bCs/>
                <w:kern w:val="0"/>
                <w:szCs w:val="21"/>
                <w:lang w:bidi="ar"/>
              </w:rPr>
              <w:t>，</w:t>
            </w:r>
            <w:r>
              <w:rPr>
                <w:b/>
                <w:bCs/>
                <w:kern w:val="0"/>
                <w:szCs w:val="21"/>
                <w:lang w:bidi="ar"/>
              </w:rPr>
              <w:t>900-014-13</w:t>
            </w:r>
          </w:p>
        </w:tc>
        <w:tc>
          <w:tcPr>
            <w:tcW w:w="423" w:type="pct"/>
            <w:vMerge w:val="continue"/>
            <w:tcBorders>
              <w:tl2br w:val="nil"/>
              <w:tr2bl w:val="nil"/>
            </w:tcBorders>
            <w:vAlign w:val="center"/>
          </w:tcPr>
          <w:p w14:paraId="5375D6BB">
            <w:pPr>
              <w:widowControl/>
              <w:jc w:val="center"/>
              <w:rPr>
                <w:rFonts w:eastAsia="仿宋_GB2312"/>
                <w:kern w:val="0"/>
                <w:szCs w:val="21"/>
              </w:rPr>
            </w:pPr>
          </w:p>
        </w:tc>
        <w:tc>
          <w:tcPr>
            <w:tcW w:w="605" w:type="pct"/>
            <w:vMerge w:val="continue"/>
            <w:tcBorders>
              <w:tl2br w:val="nil"/>
              <w:tr2bl w:val="nil"/>
            </w:tcBorders>
            <w:vAlign w:val="center"/>
          </w:tcPr>
          <w:p w14:paraId="6ABBAC62">
            <w:pPr>
              <w:widowControl/>
              <w:jc w:val="center"/>
              <w:rPr>
                <w:rFonts w:eastAsia="仿宋_GB2312"/>
                <w:kern w:val="0"/>
                <w:szCs w:val="21"/>
              </w:rPr>
            </w:pPr>
          </w:p>
        </w:tc>
      </w:tr>
      <w:tr w14:paraId="3C49E6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3" w:type="pct"/>
            <w:vMerge w:val="continue"/>
            <w:tcBorders>
              <w:tl2br w:val="nil"/>
              <w:tr2bl w:val="nil"/>
            </w:tcBorders>
            <w:vAlign w:val="center"/>
          </w:tcPr>
          <w:p w14:paraId="3AFB4404">
            <w:pPr>
              <w:widowControl/>
              <w:jc w:val="center"/>
              <w:rPr>
                <w:rFonts w:eastAsia="仿宋_GB2312"/>
                <w:kern w:val="0"/>
                <w:szCs w:val="21"/>
              </w:rPr>
            </w:pPr>
          </w:p>
        </w:tc>
        <w:tc>
          <w:tcPr>
            <w:tcW w:w="372" w:type="pct"/>
            <w:vMerge w:val="continue"/>
            <w:tcBorders>
              <w:tl2br w:val="nil"/>
              <w:tr2bl w:val="nil"/>
            </w:tcBorders>
            <w:vAlign w:val="center"/>
          </w:tcPr>
          <w:p w14:paraId="546D1801">
            <w:pPr>
              <w:widowControl/>
              <w:jc w:val="center"/>
              <w:rPr>
                <w:rFonts w:eastAsia="仿宋_GB2312"/>
                <w:kern w:val="0"/>
                <w:szCs w:val="21"/>
              </w:rPr>
            </w:pPr>
          </w:p>
        </w:tc>
        <w:tc>
          <w:tcPr>
            <w:tcW w:w="394" w:type="pct"/>
            <w:tcBorders>
              <w:tl2br w:val="nil"/>
              <w:tr2bl w:val="nil"/>
            </w:tcBorders>
            <w:vAlign w:val="center"/>
          </w:tcPr>
          <w:p w14:paraId="783ED44C">
            <w:pPr>
              <w:widowControl/>
              <w:jc w:val="center"/>
              <w:rPr>
                <w:rFonts w:eastAsia="仿宋_GB2312"/>
                <w:kern w:val="0"/>
                <w:szCs w:val="21"/>
              </w:rPr>
            </w:pPr>
            <w:r>
              <w:rPr>
                <w:rFonts w:eastAsia="仿宋_GB2312"/>
                <w:kern w:val="0"/>
                <w:szCs w:val="21"/>
              </w:rPr>
              <w:t>HW49</w:t>
            </w:r>
          </w:p>
        </w:tc>
        <w:tc>
          <w:tcPr>
            <w:tcW w:w="1042" w:type="pct"/>
            <w:tcBorders>
              <w:tl2br w:val="nil"/>
              <w:tr2bl w:val="nil"/>
            </w:tcBorders>
            <w:vAlign w:val="center"/>
          </w:tcPr>
          <w:p w14:paraId="1D636411">
            <w:pPr>
              <w:widowControl/>
              <w:jc w:val="center"/>
              <w:rPr>
                <w:rFonts w:eastAsia="仿宋_GB2312"/>
                <w:kern w:val="0"/>
                <w:szCs w:val="21"/>
              </w:rPr>
            </w:pPr>
            <w:r>
              <w:rPr>
                <w:rFonts w:eastAsia="仿宋_GB2312"/>
                <w:kern w:val="0"/>
                <w:szCs w:val="21"/>
              </w:rPr>
              <w:t>900-047-49</w:t>
            </w:r>
          </w:p>
        </w:tc>
        <w:tc>
          <w:tcPr>
            <w:tcW w:w="465" w:type="pct"/>
            <w:vMerge w:val="continue"/>
            <w:tcBorders>
              <w:tl2br w:val="nil"/>
              <w:tr2bl w:val="nil"/>
            </w:tcBorders>
            <w:vAlign w:val="center"/>
          </w:tcPr>
          <w:p w14:paraId="0902AEC7">
            <w:pPr>
              <w:widowControl/>
              <w:jc w:val="center"/>
              <w:rPr>
                <w:rFonts w:eastAsia="仿宋_GB2312"/>
                <w:kern w:val="0"/>
                <w:szCs w:val="21"/>
              </w:rPr>
            </w:pPr>
          </w:p>
        </w:tc>
        <w:tc>
          <w:tcPr>
            <w:tcW w:w="384" w:type="pct"/>
            <w:tcBorders>
              <w:tl2br w:val="nil"/>
              <w:tr2bl w:val="nil"/>
            </w:tcBorders>
            <w:shd w:val="clear" w:color="auto" w:fill="auto"/>
            <w:vAlign w:val="center"/>
          </w:tcPr>
          <w:p w14:paraId="46F7D086">
            <w:pPr>
              <w:widowControl/>
              <w:jc w:val="center"/>
              <w:textAlignment w:val="center"/>
              <w:rPr>
                <w:rFonts w:eastAsia="仿宋_GB2312"/>
                <w:kern w:val="0"/>
                <w:szCs w:val="21"/>
              </w:rPr>
            </w:pPr>
            <w:r>
              <w:rPr>
                <w:kern w:val="0"/>
                <w:szCs w:val="21"/>
                <w:lang w:bidi="ar"/>
              </w:rPr>
              <w:t>HW49</w:t>
            </w:r>
          </w:p>
        </w:tc>
        <w:tc>
          <w:tcPr>
            <w:tcW w:w="1059" w:type="pct"/>
            <w:tcBorders>
              <w:tl2br w:val="nil"/>
              <w:tr2bl w:val="nil"/>
            </w:tcBorders>
            <w:shd w:val="clear" w:color="auto" w:fill="auto"/>
            <w:vAlign w:val="center"/>
          </w:tcPr>
          <w:p w14:paraId="2C07826B">
            <w:pPr>
              <w:widowControl/>
              <w:jc w:val="center"/>
              <w:textAlignment w:val="center"/>
              <w:rPr>
                <w:rFonts w:eastAsia="仿宋_GB2312"/>
                <w:kern w:val="0"/>
                <w:szCs w:val="21"/>
              </w:rPr>
            </w:pPr>
            <w:r>
              <w:rPr>
                <w:kern w:val="0"/>
                <w:szCs w:val="21"/>
                <w:lang w:bidi="ar"/>
              </w:rPr>
              <w:t>900-047-49</w:t>
            </w:r>
          </w:p>
        </w:tc>
        <w:tc>
          <w:tcPr>
            <w:tcW w:w="423" w:type="pct"/>
            <w:vMerge w:val="continue"/>
            <w:tcBorders>
              <w:tl2br w:val="nil"/>
              <w:tr2bl w:val="nil"/>
            </w:tcBorders>
            <w:vAlign w:val="center"/>
          </w:tcPr>
          <w:p w14:paraId="3722FF44">
            <w:pPr>
              <w:widowControl/>
              <w:jc w:val="center"/>
              <w:rPr>
                <w:rFonts w:eastAsia="仿宋_GB2312"/>
                <w:kern w:val="0"/>
                <w:szCs w:val="21"/>
              </w:rPr>
            </w:pPr>
          </w:p>
        </w:tc>
        <w:tc>
          <w:tcPr>
            <w:tcW w:w="605" w:type="pct"/>
            <w:vMerge w:val="continue"/>
            <w:tcBorders>
              <w:tl2br w:val="nil"/>
              <w:tr2bl w:val="nil"/>
            </w:tcBorders>
            <w:vAlign w:val="center"/>
          </w:tcPr>
          <w:p w14:paraId="54A7969D">
            <w:pPr>
              <w:widowControl/>
              <w:jc w:val="center"/>
              <w:rPr>
                <w:rFonts w:eastAsia="仿宋_GB2312"/>
                <w:kern w:val="0"/>
                <w:szCs w:val="21"/>
              </w:rPr>
            </w:pPr>
          </w:p>
        </w:tc>
      </w:tr>
      <w:tr w14:paraId="54AD30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3" w:type="pct"/>
            <w:vMerge w:val="restart"/>
            <w:tcBorders>
              <w:tl2br w:val="nil"/>
              <w:tr2bl w:val="nil"/>
            </w:tcBorders>
            <w:vAlign w:val="center"/>
          </w:tcPr>
          <w:p w14:paraId="7A25DB77">
            <w:pPr>
              <w:widowControl/>
              <w:jc w:val="center"/>
              <w:rPr>
                <w:rFonts w:eastAsia="仿宋_GB2312"/>
                <w:kern w:val="0"/>
                <w:szCs w:val="21"/>
              </w:rPr>
            </w:pPr>
            <w:r>
              <w:rPr>
                <w:rFonts w:eastAsia="仿宋_GB2312"/>
                <w:kern w:val="0"/>
                <w:szCs w:val="21"/>
              </w:rPr>
              <w:t>10</w:t>
            </w:r>
          </w:p>
        </w:tc>
        <w:tc>
          <w:tcPr>
            <w:tcW w:w="372" w:type="pct"/>
            <w:vMerge w:val="restart"/>
            <w:tcBorders>
              <w:tl2br w:val="nil"/>
              <w:tr2bl w:val="nil"/>
            </w:tcBorders>
            <w:vAlign w:val="center"/>
          </w:tcPr>
          <w:p w14:paraId="19615945">
            <w:pPr>
              <w:widowControl/>
              <w:jc w:val="center"/>
              <w:rPr>
                <w:rFonts w:eastAsia="仿宋_GB2312"/>
                <w:kern w:val="0"/>
                <w:szCs w:val="21"/>
              </w:rPr>
            </w:pPr>
            <w:r>
              <w:rPr>
                <w:rFonts w:eastAsia="仿宋_GB2312"/>
                <w:kern w:val="0"/>
                <w:szCs w:val="21"/>
              </w:rPr>
              <w:t>丙二醇单甲醚废液</w:t>
            </w:r>
          </w:p>
        </w:tc>
        <w:tc>
          <w:tcPr>
            <w:tcW w:w="394" w:type="pct"/>
            <w:tcBorders>
              <w:tl2br w:val="nil"/>
              <w:tr2bl w:val="nil"/>
            </w:tcBorders>
            <w:vAlign w:val="center"/>
          </w:tcPr>
          <w:p w14:paraId="46AA7B6A">
            <w:pPr>
              <w:widowControl/>
              <w:jc w:val="center"/>
              <w:rPr>
                <w:rFonts w:eastAsia="仿宋_GB2312"/>
                <w:kern w:val="0"/>
                <w:szCs w:val="21"/>
              </w:rPr>
            </w:pPr>
            <w:r>
              <w:rPr>
                <w:rFonts w:eastAsia="仿宋_GB2312"/>
                <w:kern w:val="0"/>
                <w:szCs w:val="21"/>
              </w:rPr>
              <w:t>HW02</w:t>
            </w:r>
          </w:p>
        </w:tc>
        <w:tc>
          <w:tcPr>
            <w:tcW w:w="1042" w:type="pct"/>
            <w:tcBorders>
              <w:tl2br w:val="nil"/>
              <w:tr2bl w:val="nil"/>
            </w:tcBorders>
            <w:vAlign w:val="center"/>
          </w:tcPr>
          <w:p w14:paraId="154D7910">
            <w:pPr>
              <w:widowControl/>
              <w:jc w:val="center"/>
              <w:rPr>
                <w:rFonts w:eastAsia="仿宋_GB2312"/>
                <w:kern w:val="0"/>
                <w:szCs w:val="21"/>
              </w:rPr>
            </w:pPr>
            <w:r>
              <w:rPr>
                <w:rFonts w:eastAsia="仿宋_GB2312"/>
                <w:kern w:val="0"/>
                <w:szCs w:val="21"/>
              </w:rPr>
              <w:t>271-001-02，271-002-02，</w:t>
            </w:r>
            <w:r>
              <w:rPr>
                <w:rFonts w:hint="eastAsia" w:eastAsia="仿宋_GB2312"/>
                <w:kern w:val="0"/>
                <w:szCs w:val="21"/>
              </w:rPr>
              <w:t>271-004-02，</w:t>
            </w:r>
            <w:r>
              <w:rPr>
                <w:rFonts w:eastAsia="仿宋_GB2312"/>
                <w:kern w:val="0"/>
                <w:szCs w:val="21"/>
              </w:rPr>
              <w:t>272-001-02，</w:t>
            </w:r>
            <w:r>
              <w:rPr>
                <w:rFonts w:hint="eastAsia" w:eastAsia="仿宋_GB2312"/>
                <w:kern w:val="0"/>
                <w:szCs w:val="21"/>
              </w:rPr>
              <w:t>272-003-02，275-004-02，275-005-02，</w:t>
            </w:r>
            <w:r>
              <w:rPr>
                <w:rFonts w:eastAsia="仿宋_GB2312"/>
                <w:kern w:val="0"/>
                <w:szCs w:val="21"/>
              </w:rPr>
              <w:t>276-001-02，276-002-02</w:t>
            </w:r>
            <w:r>
              <w:rPr>
                <w:rFonts w:hint="eastAsia" w:eastAsia="仿宋_GB2312"/>
                <w:kern w:val="0"/>
                <w:szCs w:val="21"/>
              </w:rPr>
              <w:t>，276-004-02</w:t>
            </w:r>
          </w:p>
        </w:tc>
        <w:tc>
          <w:tcPr>
            <w:tcW w:w="465" w:type="pct"/>
            <w:vMerge w:val="restart"/>
            <w:tcBorders>
              <w:tl2br w:val="nil"/>
              <w:tr2bl w:val="nil"/>
            </w:tcBorders>
            <w:vAlign w:val="center"/>
          </w:tcPr>
          <w:p w14:paraId="582A0F56">
            <w:pPr>
              <w:widowControl/>
              <w:jc w:val="center"/>
              <w:rPr>
                <w:rFonts w:eastAsia="仿宋_GB2312"/>
                <w:kern w:val="0"/>
                <w:szCs w:val="21"/>
              </w:rPr>
            </w:pPr>
            <w:r>
              <w:rPr>
                <w:rFonts w:eastAsia="仿宋_GB2312"/>
                <w:kern w:val="0"/>
                <w:szCs w:val="21"/>
              </w:rPr>
              <w:t>2650</w:t>
            </w:r>
          </w:p>
        </w:tc>
        <w:tc>
          <w:tcPr>
            <w:tcW w:w="384" w:type="pct"/>
            <w:tcBorders>
              <w:tl2br w:val="nil"/>
              <w:tr2bl w:val="nil"/>
            </w:tcBorders>
            <w:shd w:val="clear" w:color="auto" w:fill="auto"/>
            <w:vAlign w:val="center"/>
          </w:tcPr>
          <w:p w14:paraId="609B3CBE">
            <w:pPr>
              <w:widowControl/>
              <w:jc w:val="center"/>
              <w:textAlignment w:val="center"/>
              <w:rPr>
                <w:rFonts w:eastAsia="仿宋_GB2312"/>
                <w:kern w:val="0"/>
                <w:szCs w:val="21"/>
              </w:rPr>
            </w:pPr>
            <w:r>
              <w:rPr>
                <w:kern w:val="0"/>
                <w:szCs w:val="21"/>
                <w:lang w:bidi="ar"/>
              </w:rPr>
              <w:t>HW02</w:t>
            </w:r>
          </w:p>
        </w:tc>
        <w:tc>
          <w:tcPr>
            <w:tcW w:w="1059" w:type="pct"/>
            <w:tcBorders>
              <w:tl2br w:val="nil"/>
              <w:tr2bl w:val="nil"/>
            </w:tcBorders>
            <w:shd w:val="clear" w:color="auto" w:fill="auto"/>
            <w:vAlign w:val="center"/>
          </w:tcPr>
          <w:p w14:paraId="3E763172">
            <w:pPr>
              <w:widowControl/>
              <w:jc w:val="center"/>
              <w:textAlignment w:val="center"/>
              <w:rPr>
                <w:rFonts w:eastAsia="仿宋_GB2312"/>
                <w:kern w:val="0"/>
                <w:szCs w:val="21"/>
              </w:rPr>
            </w:pPr>
            <w:r>
              <w:rPr>
                <w:kern w:val="0"/>
                <w:szCs w:val="21"/>
                <w:lang w:bidi="ar"/>
              </w:rPr>
              <w:t>271-001-02</w:t>
            </w:r>
            <w:r>
              <w:rPr>
                <w:rFonts w:ascii="仿宋_GB2312" w:eastAsia="仿宋_GB2312" w:cs="仿宋_GB2312"/>
                <w:kern w:val="0"/>
                <w:szCs w:val="21"/>
                <w:lang w:bidi="ar"/>
              </w:rPr>
              <w:t>，</w:t>
            </w:r>
            <w:r>
              <w:rPr>
                <w:kern w:val="0"/>
                <w:szCs w:val="21"/>
                <w:lang w:bidi="ar"/>
              </w:rPr>
              <w:t>271-002-02</w:t>
            </w:r>
            <w:r>
              <w:rPr>
                <w:rFonts w:ascii="仿宋_GB2312" w:eastAsia="仿宋_GB2312" w:cs="仿宋_GB2312"/>
                <w:kern w:val="0"/>
                <w:szCs w:val="21"/>
                <w:lang w:bidi="ar"/>
              </w:rPr>
              <w:t>，</w:t>
            </w:r>
            <w:r>
              <w:rPr>
                <w:kern w:val="0"/>
                <w:szCs w:val="21"/>
                <w:lang w:bidi="ar"/>
              </w:rPr>
              <w:t>272-001-02</w:t>
            </w:r>
            <w:r>
              <w:rPr>
                <w:rFonts w:ascii="仿宋_GB2312" w:eastAsia="仿宋_GB2312" w:cs="仿宋_GB2312"/>
                <w:kern w:val="0"/>
                <w:szCs w:val="21"/>
                <w:lang w:bidi="ar"/>
              </w:rPr>
              <w:t>，</w:t>
            </w:r>
            <w:r>
              <w:rPr>
                <w:b/>
                <w:bCs/>
                <w:kern w:val="0"/>
                <w:szCs w:val="21"/>
                <w:lang w:bidi="ar"/>
              </w:rPr>
              <w:t>272-00</w:t>
            </w:r>
            <w:r>
              <w:rPr>
                <w:rFonts w:hint="eastAsia"/>
                <w:b/>
                <w:bCs/>
                <w:kern w:val="0"/>
                <w:szCs w:val="21"/>
                <w:lang w:val="en-US" w:eastAsia="zh-CN" w:bidi="ar"/>
              </w:rPr>
              <w:t>5</w:t>
            </w:r>
            <w:r>
              <w:rPr>
                <w:b/>
                <w:bCs/>
                <w:kern w:val="0"/>
                <w:szCs w:val="21"/>
                <w:lang w:bidi="ar"/>
              </w:rPr>
              <w:t>-02</w:t>
            </w:r>
            <w:r>
              <w:rPr>
                <w:rFonts w:ascii="仿宋_GB2312" w:eastAsia="仿宋_GB2312" w:cs="仿宋_GB2312"/>
                <w:kern w:val="0"/>
                <w:szCs w:val="21"/>
                <w:lang w:bidi="ar"/>
              </w:rPr>
              <w:t>，</w:t>
            </w:r>
            <w:r>
              <w:rPr>
                <w:kern w:val="0"/>
                <w:szCs w:val="21"/>
                <w:lang w:bidi="ar"/>
              </w:rPr>
              <w:t>275-004-02</w:t>
            </w:r>
            <w:r>
              <w:rPr>
                <w:rFonts w:ascii="仿宋_GB2312" w:eastAsia="仿宋_GB2312" w:cs="仿宋_GB2312"/>
                <w:kern w:val="0"/>
                <w:szCs w:val="21"/>
                <w:lang w:bidi="ar"/>
              </w:rPr>
              <w:t>，</w:t>
            </w:r>
            <w:r>
              <w:rPr>
                <w:b/>
                <w:bCs/>
                <w:kern w:val="0"/>
                <w:szCs w:val="21"/>
                <w:lang w:bidi="ar"/>
              </w:rPr>
              <w:t>275-00</w:t>
            </w:r>
            <w:r>
              <w:rPr>
                <w:rFonts w:hint="eastAsia"/>
                <w:b/>
                <w:bCs/>
                <w:kern w:val="0"/>
                <w:szCs w:val="21"/>
                <w:lang w:val="en-US" w:eastAsia="zh-CN" w:bidi="ar"/>
              </w:rPr>
              <w:t>6</w:t>
            </w:r>
            <w:r>
              <w:rPr>
                <w:b/>
                <w:bCs/>
                <w:kern w:val="0"/>
                <w:szCs w:val="21"/>
                <w:lang w:bidi="ar"/>
              </w:rPr>
              <w:t>-02</w:t>
            </w:r>
            <w:r>
              <w:rPr>
                <w:rFonts w:ascii="仿宋_GB2312" w:eastAsia="仿宋_GB2312" w:cs="仿宋_GB2312"/>
                <w:kern w:val="0"/>
                <w:szCs w:val="21"/>
                <w:lang w:bidi="ar"/>
              </w:rPr>
              <w:t>，</w:t>
            </w:r>
            <w:r>
              <w:rPr>
                <w:kern w:val="0"/>
                <w:szCs w:val="21"/>
                <w:lang w:bidi="ar"/>
              </w:rPr>
              <w:t>276-001-02</w:t>
            </w:r>
            <w:r>
              <w:rPr>
                <w:rFonts w:ascii="仿宋_GB2312" w:eastAsia="仿宋_GB2312" w:cs="仿宋_GB2312"/>
                <w:kern w:val="0"/>
                <w:szCs w:val="21"/>
                <w:lang w:bidi="ar"/>
              </w:rPr>
              <w:t>，</w:t>
            </w:r>
            <w:r>
              <w:rPr>
                <w:kern w:val="0"/>
                <w:szCs w:val="21"/>
                <w:lang w:bidi="ar"/>
              </w:rPr>
              <w:t>276-002-02</w:t>
            </w:r>
            <w:r>
              <w:rPr>
                <w:rFonts w:ascii="仿宋_GB2312" w:eastAsia="仿宋_GB2312" w:cs="仿宋_GB2312"/>
                <w:kern w:val="0"/>
                <w:szCs w:val="21"/>
                <w:lang w:bidi="ar"/>
              </w:rPr>
              <w:t>，</w:t>
            </w:r>
            <w:r>
              <w:rPr>
                <w:b/>
                <w:bCs/>
                <w:kern w:val="0"/>
                <w:szCs w:val="21"/>
                <w:lang w:bidi="ar"/>
              </w:rPr>
              <w:t>276-00</w:t>
            </w:r>
            <w:r>
              <w:rPr>
                <w:rFonts w:hint="eastAsia"/>
                <w:b/>
                <w:bCs/>
                <w:kern w:val="0"/>
                <w:szCs w:val="21"/>
                <w:lang w:val="en-US" w:eastAsia="zh-CN" w:bidi="ar"/>
              </w:rPr>
              <w:t>5</w:t>
            </w:r>
            <w:r>
              <w:rPr>
                <w:b/>
                <w:bCs/>
                <w:kern w:val="0"/>
                <w:szCs w:val="21"/>
                <w:lang w:bidi="ar"/>
              </w:rPr>
              <w:t>-02</w:t>
            </w:r>
          </w:p>
        </w:tc>
        <w:tc>
          <w:tcPr>
            <w:tcW w:w="423" w:type="pct"/>
            <w:vMerge w:val="restart"/>
            <w:tcBorders>
              <w:tl2br w:val="nil"/>
              <w:tr2bl w:val="nil"/>
            </w:tcBorders>
            <w:vAlign w:val="center"/>
          </w:tcPr>
          <w:p w14:paraId="5753B5E2">
            <w:pPr>
              <w:widowControl/>
              <w:jc w:val="center"/>
              <w:rPr>
                <w:rFonts w:eastAsia="仿宋_GB2312"/>
                <w:kern w:val="0"/>
                <w:szCs w:val="21"/>
              </w:rPr>
            </w:pPr>
            <w:r>
              <w:rPr>
                <w:rFonts w:hint="eastAsia" w:eastAsia="仿宋_GB2312"/>
                <w:kern w:val="0"/>
                <w:szCs w:val="21"/>
              </w:rPr>
              <w:t>2650</w:t>
            </w:r>
          </w:p>
        </w:tc>
        <w:tc>
          <w:tcPr>
            <w:tcW w:w="605" w:type="pct"/>
            <w:vMerge w:val="restart"/>
            <w:tcBorders>
              <w:tl2br w:val="nil"/>
              <w:tr2bl w:val="nil"/>
            </w:tcBorders>
            <w:vAlign w:val="center"/>
          </w:tcPr>
          <w:p w14:paraId="41758647">
            <w:pPr>
              <w:widowControl/>
              <w:jc w:val="center"/>
              <w:rPr>
                <w:rFonts w:eastAsia="仿宋_GB2312"/>
                <w:kern w:val="0"/>
                <w:szCs w:val="21"/>
              </w:rPr>
            </w:pPr>
            <w:r>
              <w:rPr>
                <w:rFonts w:eastAsia="仿宋_GB2312"/>
                <w:bCs/>
              </w:rPr>
              <w:t>回收综合利用量</w:t>
            </w:r>
            <w:r>
              <w:rPr>
                <w:rFonts w:hint="eastAsia" w:eastAsia="仿宋_GB2312"/>
                <w:bCs/>
              </w:rPr>
              <w:t>不变</w:t>
            </w:r>
            <w:r>
              <w:rPr>
                <w:rFonts w:eastAsia="仿宋_GB2312"/>
                <w:bCs/>
              </w:rPr>
              <w:t>，危废代码增加</w:t>
            </w:r>
          </w:p>
        </w:tc>
      </w:tr>
      <w:tr w14:paraId="0F6E53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3" w:type="pct"/>
            <w:vMerge w:val="continue"/>
            <w:tcBorders>
              <w:tl2br w:val="nil"/>
              <w:tr2bl w:val="nil"/>
            </w:tcBorders>
            <w:vAlign w:val="center"/>
          </w:tcPr>
          <w:p w14:paraId="131F0FA3">
            <w:pPr>
              <w:widowControl/>
              <w:jc w:val="center"/>
              <w:rPr>
                <w:rFonts w:eastAsia="仿宋_GB2312"/>
                <w:kern w:val="0"/>
                <w:szCs w:val="21"/>
              </w:rPr>
            </w:pPr>
          </w:p>
        </w:tc>
        <w:tc>
          <w:tcPr>
            <w:tcW w:w="372" w:type="pct"/>
            <w:vMerge w:val="continue"/>
            <w:tcBorders>
              <w:tl2br w:val="nil"/>
              <w:tr2bl w:val="nil"/>
            </w:tcBorders>
            <w:vAlign w:val="center"/>
          </w:tcPr>
          <w:p w14:paraId="29A7A467">
            <w:pPr>
              <w:widowControl/>
              <w:jc w:val="center"/>
              <w:rPr>
                <w:rFonts w:eastAsia="仿宋_GB2312"/>
                <w:kern w:val="0"/>
                <w:szCs w:val="21"/>
              </w:rPr>
            </w:pPr>
          </w:p>
        </w:tc>
        <w:tc>
          <w:tcPr>
            <w:tcW w:w="394" w:type="pct"/>
            <w:tcBorders>
              <w:tl2br w:val="nil"/>
              <w:tr2bl w:val="nil"/>
            </w:tcBorders>
            <w:shd w:val="clear" w:color="auto" w:fill="auto"/>
            <w:vAlign w:val="center"/>
          </w:tcPr>
          <w:p w14:paraId="1F5AC223">
            <w:pPr>
              <w:widowControl/>
              <w:jc w:val="center"/>
              <w:rPr>
                <w:rFonts w:eastAsia="仿宋_GB2312"/>
                <w:kern w:val="0"/>
                <w:szCs w:val="21"/>
              </w:rPr>
            </w:pPr>
            <w:r>
              <w:rPr>
                <w:rFonts w:hint="eastAsia" w:eastAsia="仿宋_GB2312"/>
                <w:kern w:val="0"/>
                <w:szCs w:val="21"/>
              </w:rPr>
              <w:t>/</w:t>
            </w:r>
          </w:p>
        </w:tc>
        <w:tc>
          <w:tcPr>
            <w:tcW w:w="1042" w:type="pct"/>
            <w:tcBorders>
              <w:tl2br w:val="nil"/>
              <w:tr2bl w:val="nil"/>
            </w:tcBorders>
            <w:shd w:val="clear" w:color="auto" w:fill="auto"/>
            <w:vAlign w:val="center"/>
          </w:tcPr>
          <w:p w14:paraId="77D66D76">
            <w:pPr>
              <w:widowControl/>
              <w:jc w:val="center"/>
              <w:rPr>
                <w:rFonts w:eastAsia="仿宋_GB2312"/>
                <w:kern w:val="0"/>
                <w:szCs w:val="21"/>
              </w:rPr>
            </w:pPr>
            <w:r>
              <w:rPr>
                <w:rFonts w:hint="eastAsia" w:eastAsia="仿宋_GB2312"/>
                <w:kern w:val="0"/>
                <w:szCs w:val="21"/>
              </w:rPr>
              <w:t>/</w:t>
            </w:r>
          </w:p>
        </w:tc>
        <w:tc>
          <w:tcPr>
            <w:tcW w:w="465" w:type="pct"/>
            <w:vMerge w:val="continue"/>
            <w:tcBorders>
              <w:tl2br w:val="nil"/>
              <w:tr2bl w:val="nil"/>
            </w:tcBorders>
            <w:vAlign w:val="center"/>
          </w:tcPr>
          <w:p w14:paraId="78324345">
            <w:pPr>
              <w:widowControl/>
              <w:jc w:val="center"/>
              <w:rPr>
                <w:rFonts w:eastAsia="仿宋_GB2312"/>
                <w:kern w:val="0"/>
                <w:szCs w:val="21"/>
              </w:rPr>
            </w:pPr>
          </w:p>
        </w:tc>
        <w:tc>
          <w:tcPr>
            <w:tcW w:w="384" w:type="pct"/>
            <w:tcBorders>
              <w:tl2br w:val="nil"/>
              <w:tr2bl w:val="nil"/>
            </w:tcBorders>
            <w:shd w:val="clear" w:color="auto" w:fill="auto"/>
            <w:vAlign w:val="center"/>
          </w:tcPr>
          <w:p w14:paraId="3B4BB490">
            <w:pPr>
              <w:widowControl/>
              <w:jc w:val="center"/>
              <w:textAlignment w:val="center"/>
              <w:rPr>
                <w:rFonts w:eastAsia="仿宋_GB2312"/>
                <w:kern w:val="0"/>
                <w:szCs w:val="21"/>
              </w:rPr>
            </w:pPr>
            <w:r>
              <w:rPr>
                <w:b/>
                <w:bCs/>
                <w:kern w:val="0"/>
                <w:szCs w:val="21"/>
                <w:lang w:bidi="ar"/>
              </w:rPr>
              <w:t>HW04</w:t>
            </w:r>
          </w:p>
        </w:tc>
        <w:tc>
          <w:tcPr>
            <w:tcW w:w="1059" w:type="pct"/>
            <w:tcBorders>
              <w:tl2br w:val="nil"/>
              <w:tr2bl w:val="nil"/>
            </w:tcBorders>
            <w:shd w:val="clear" w:color="auto" w:fill="auto"/>
            <w:vAlign w:val="center"/>
          </w:tcPr>
          <w:p w14:paraId="625AD3F3">
            <w:pPr>
              <w:widowControl/>
              <w:jc w:val="center"/>
              <w:textAlignment w:val="center"/>
              <w:rPr>
                <w:rFonts w:eastAsia="仿宋_GB2312"/>
                <w:kern w:val="0"/>
                <w:szCs w:val="21"/>
              </w:rPr>
            </w:pPr>
            <w:r>
              <w:rPr>
                <w:b/>
                <w:bCs/>
                <w:kern w:val="0"/>
                <w:szCs w:val="21"/>
                <w:lang w:bidi="ar"/>
              </w:rPr>
              <w:t>263-008-04</w:t>
            </w:r>
          </w:p>
        </w:tc>
        <w:tc>
          <w:tcPr>
            <w:tcW w:w="423" w:type="pct"/>
            <w:vMerge w:val="continue"/>
            <w:tcBorders>
              <w:tl2br w:val="nil"/>
              <w:tr2bl w:val="nil"/>
            </w:tcBorders>
            <w:vAlign w:val="center"/>
          </w:tcPr>
          <w:p w14:paraId="5181F0BC">
            <w:pPr>
              <w:widowControl/>
              <w:jc w:val="center"/>
              <w:rPr>
                <w:rFonts w:eastAsia="仿宋_GB2312"/>
                <w:kern w:val="0"/>
                <w:szCs w:val="21"/>
              </w:rPr>
            </w:pPr>
          </w:p>
        </w:tc>
        <w:tc>
          <w:tcPr>
            <w:tcW w:w="605" w:type="pct"/>
            <w:vMerge w:val="continue"/>
            <w:tcBorders>
              <w:tl2br w:val="nil"/>
              <w:tr2bl w:val="nil"/>
            </w:tcBorders>
            <w:vAlign w:val="center"/>
          </w:tcPr>
          <w:p w14:paraId="00FD45E0">
            <w:pPr>
              <w:widowControl/>
              <w:jc w:val="center"/>
              <w:rPr>
                <w:rFonts w:eastAsia="仿宋_GB2312"/>
                <w:bCs/>
              </w:rPr>
            </w:pPr>
          </w:p>
        </w:tc>
      </w:tr>
      <w:tr w14:paraId="64927B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3" w:type="pct"/>
            <w:vMerge w:val="continue"/>
            <w:tcBorders>
              <w:tl2br w:val="nil"/>
              <w:tr2bl w:val="nil"/>
            </w:tcBorders>
            <w:vAlign w:val="center"/>
          </w:tcPr>
          <w:p w14:paraId="167BC266">
            <w:pPr>
              <w:widowControl/>
              <w:jc w:val="center"/>
              <w:rPr>
                <w:rFonts w:eastAsia="仿宋_GB2312"/>
                <w:kern w:val="0"/>
                <w:szCs w:val="21"/>
              </w:rPr>
            </w:pPr>
          </w:p>
        </w:tc>
        <w:tc>
          <w:tcPr>
            <w:tcW w:w="372" w:type="pct"/>
            <w:vMerge w:val="continue"/>
            <w:tcBorders>
              <w:tl2br w:val="nil"/>
              <w:tr2bl w:val="nil"/>
            </w:tcBorders>
            <w:vAlign w:val="center"/>
          </w:tcPr>
          <w:p w14:paraId="24DD785E">
            <w:pPr>
              <w:widowControl/>
              <w:jc w:val="center"/>
              <w:rPr>
                <w:rFonts w:eastAsia="仿宋_GB2312"/>
                <w:kern w:val="0"/>
                <w:szCs w:val="21"/>
              </w:rPr>
            </w:pPr>
          </w:p>
        </w:tc>
        <w:tc>
          <w:tcPr>
            <w:tcW w:w="394" w:type="pct"/>
            <w:tcBorders>
              <w:tl2br w:val="nil"/>
              <w:tr2bl w:val="nil"/>
            </w:tcBorders>
            <w:vAlign w:val="center"/>
          </w:tcPr>
          <w:p w14:paraId="5F5F7DE8">
            <w:pPr>
              <w:widowControl/>
              <w:jc w:val="center"/>
              <w:rPr>
                <w:rFonts w:eastAsia="仿宋_GB2312"/>
                <w:kern w:val="0"/>
                <w:szCs w:val="21"/>
              </w:rPr>
            </w:pPr>
            <w:r>
              <w:rPr>
                <w:rFonts w:eastAsia="仿宋_GB2312"/>
                <w:kern w:val="0"/>
                <w:szCs w:val="21"/>
              </w:rPr>
              <w:t>HW06</w:t>
            </w:r>
          </w:p>
        </w:tc>
        <w:tc>
          <w:tcPr>
            <w:tcW w:w="1042" w:type="pct"/>
            <w:tcBorders>
              <w:tl2br w:val="nil"/>
              <w:tr2bl w:val="nil"/>
            </w:tcBorders>
            <w:vAlign w:val="center"/>
          </w:tcPr>
          <w:p w14:paraId="6D6E27F9">
            <w:pPr>
              <w:widowControl/>
              <w:jc w:val="center"/>
              <w:rPr>
                <w:rFonts w:eastAsia="仿宋_GB2312"/>
                <w:kern w:val="0"/>
                <w:szCs w:val="21"/>
              </w:rPr>
            </w:pPr>
            <w:r>
              <w:rPr>
                <w:rFonts w:eastAsia="仿宋_GB2312"/>
                <w:kern w:val="0"/>
                <w:szCs w:val="21"/>
              </w:rPr>
              <w:t>900-402-06，900-404-06，900-407-06</w:t>
            </w:r>
          </w:p>
        </w:tc>
        <w:tc>
          <w:tcPr>
            <w:tcW w:w="465" w:type="pct"/>
            <w:vMerge w:val="continue"/>
            <w:tcBorders>
              <w:tl2br w:val="nil"/>
              <w:tr2bl w:val="nil"/>
            </w:tcBorders>
            <w:vAlign w:val="center"/>
          </w:tcPr>
          <w:p w14:paraId="36007930">
            <w:pPr>
              <w:widowControl/>
              <w:jc w:val="center"/>
              <w:rPr>
                <w:rFonts w:eastAsia="仿宋_GB2312"/>
                <w:kern w:val="0"/>
                <w:szCs w:val="21"/>
              </w:rPr>
            </w:pPr>
          </w:p>
        </w:tc>
        <w:tc>
          <w:tcPr>
            <w:tcW w:w="384" w:type="pct"/>
            <w:tcBorders>
              <w:tl2br w:val="nil"/>
              <w:tr2bl w:val="nil"/>
            </w:tcBorders>
            <w:shd w:val="clear" w:color="auto" w:fill="auto"/>
            <w:vAlign w:val="center"/>
          </w:tcPr>
          <w:p w14:paraId="4B35F87C">
            <w:pPr>
              <w:widowControl/>
              <w:jc w:val="center"/>
              <w:textAlignment w:val="center"/>
              <w:rPr>
                <w:rFonts w:eastAsia="仿宋_GB2312"/>
                <w:kern w:val="0"/>
                <w:szCs w:val="21"/>
              </w:rPr>
            </w:pPr>
            <w:r>
              <w:rPr>
                <w:kern w:val="0"/>
                <w:szCs w:val="21"/>
                <w:lang w:bidi="ar"/>
              </w:rPr>
              <w:t>HW06</w:t>
            </w:r>
          </w:p>
        </w:tc>
        <w:tc>
          <w:tcPr>
            <w:tcW w:w="1059" w:type="pct"/>
            <w:tcBorders>
              <w:tl2br w:val="nil"/>
              <w:tr2bl w:val="nil"/>
            </w:tcBorders>
            <w:shd w:val="clear" w:color="auto" w:fill="auto"/>
            <w:vAlign w:val="center"/>
          </w:tcPr>
          <w:p w14:paraId="708A82E9">
            <w:pPr>
              <w:widowControl/>
              <w:jc w:val="center"/>
              <w:textAlignment w:val="center"/>
              <w:rPr>
                <w:rFonts w:eastAsia="仿宋_GB2312"/>
                <w:kern w:val="0"/>
                <w:szCs w:val="21"/>
              </w:rPr>
            </w:pPr>
            <w:r>
              <w:rPr>
                <w:kern w:val="0"/>
                <w:szCs w:val="21"/>
                <w:lang w:bidi="ar"/>
              </w:rPr>
              <w:t>900-402-06</w:t>
            </w:r>
            <w:r>
              <w:rPr>
                <w:rFonts w:ascii="仿宋_GB2312" w:eastAsia="仿宋_GB2312" w:cs="仿宋_GB2312"/>
                <w:kern w:val="0"/>
                <w:szCs w:val="21"/>
                <w:lang w:bidi="ar"/>
              </w:rPr>
              <w:t>，</w:t>
            </w:r>
            <w:r>
              <w:rPr>
                <w:kern w:val="0"/>
                <w:szCs w:val="21"/>
                <w:lang w:bidi="ar"/>
              </w:rPr>
              <w:t>900-404-06</w:t>
            </w:r>
            <w:r>
              <w:rPr>
                <w:rFonts w:ascii="仿宋_GB2312" w:eastAsia="仿宋_GB2312" w:cs="仿宋_GB2312"/>
                <w:kern w:val="0"/>
                <w:szCs w:val="21"/>
                <w:lang w:bidi="ar"/>
              </w:rPr>
              <w:t>，</w:t>
            </w:r>
            <w:r>
              <w:rPr>
                <w:kern w:val="0"/>
                <w:szCs w:val="21"/>
                <w:lang w:bidi="ar"/>
              </w:rPr>
              <w:t>900-407-06</w:t>
            </w:r>
          </w:p>
        </w:tc>
        <w:tc>
          <w:tcPr>
            <w:tcW w:w="423" w:type="pct"/>
            <w:vMerge w:val="continue"/>
            <w:tcBorders>
              <w:tl2br w:val="nil"/>
              <w:tr2bl w:val="nil"/>
            </w:tcBorders>
            <w:vAlign w:val="center"/>
          </w:tcPr>
          <w:p w14:paraId="0CCD2AFF">
            <w:pPr>
              <w:widowControl/>
              <w:jc w:val="center"/>
              <w:rPr>
                <w:rFonts w:eastAsia="仿宋_GB2312"/>
                <w:kern w:val="0"/>
                <w:szCs w:val="21"/>
              </w:rPr>
            </w:pPr>
          </w:p>
        </w:tc>
        <w:tc>
          <w:tcPr>
            <w:tcW w:w="605" w:type="pct"/>
            <w:vMerge w:val="continue"/>
            <w:tcBorders>
              <w:tl2br w:val="nil"/>
              <w:tr2bl w:val="nil"/>
            </w:tcBorders>
            <w:vAlign w:val="center"/>
          </w:tcPr>
          <w:p w14:paraId="35F71FFA">
            <w:pPr>
              <w:widowControl/>
              <w:jc w:val="center"/>
              <w:rPr>
                <w:rFonts w:eastAsia="仿宋_GB2312"/>
                <w:kern w:val="0"/>
                <w:szCs w:val="21"/>
              </w:rPr>
            </w:pPr>
          </w:p>
        </w:tc>
      </w:tr>
      <w:tr w14:paraId="27AC952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3" w:type="pct"/>
            <w:vMerge w:val="continue"/>
            <w:tcBorders>
              <w:tl2br w:val="nil"/>
              <w:tr2bl w:val="nil"/>
            </w:tcBorders>
            <w:vAlign w:val="center"/>
          </w:tcPr>
          <w:p w14:paraId="628B965B">
            <w:pPr>
              <w:widowControl/>
              <w:jc w:val="center"/>
              <w:rPr>
                <w:rFonts w:eastAsia="仿宋_GB2312"/>
                <w:kern w:val="0"/>
                <w:szCs w:val="21"/>
              </w:rPr>
            </w:pPr>
          </w:p>
        </w:tc>
        <w:tc>
          <w:tcPr>
            <w:tcW w:w="372" w:type="pct"/>
            <w:vMerge w:val="continue"/>
            <w:tcBorders>
              <w:tl2br w:val="nil"/>
              <w:tr2bl w:val="nil"/>
            </w:tcBorders>
            <w:vAlign w:val="center"/>
          </w:tcPr>
          <w:p w14:paraId="2013FF52">
            <w:pPr>
              <w:widowControl/>
              <w:jc w:val="center"/>
              <w:rPr>
                <w:rFonts w:eastAsia="仿宋_GB2312"/>
                <w:kern w:val="0"/>
                <w:szCs w:val="21"/>
              </w:rPr>
            </w:pPr>
          </w:p>
        </w:tc>
        <w:tc>
          <w:tcPr>
            <w:tcW w:w="394" w:type="pct"/>
            <w:tcBorders>
              <w:tl2br w:val="nil"/>
              <w:tr2bl w:val="nil"/>
            </w:tcBorders>
            <w:vAlign w:val="center"/>
          </w:tcPr>
          <w:p w14:paraId="3A36B399">
            <w:pPr>
              <w:widowControl/>
              <w:jc w:val="center"/>
              <w:rPr>
                <w:rFonts w:eastAsia="仿宋_GB2312"/>
                <w:kern w:val="0"/>
                <w:szCs w:val="21"/>
              </w:rPr>
            </w:pPr>
            <w:r>
              <w:rPr>
                <w:rFonts w:eastAsia="仿宋_GB2312"/>
                <w:kern w:val="0"/>
                <w:szCs w:val="21"/>
              </w:rPr>
              <w:t>HW40</w:t>
            </w:r>
          </w:p>
        </w:tc>
        <w:tc>
          <w:tcPr>
            <w:tcW w:w="1042" w:type="pct"/>
            <w:tcBorders>
              <w:tl2br w:val="nil"/>
              <w:tr2bl w:val="nil"/>
            </w:tcBorders>
            <w:vAlign w:val="center"/>
          </w:tcPr>
          <w:p w14:paraId="5F94C102">
            <w:pPr>
              <w:widowControl/>
              <w:jc w:val="center"/>
              <w:rPr>
                <w:rFonts w:eastAsia="仿宋_GB2312"/>
                <w:kern w:val="0"/>
                <w:szCs w:val="21"/>
              </w:rPr>
            </w:pPr>
            <w:r>
              <w:rPr>
                <w:rFonts w:eastAsia="仿宋_GB2312"/>
                <w:kern w:val="0"/>
                <w:szCs w:val="21"/>
              </w:rPr>
              <w:t>261-072-40</w:t>
            </w:r>
          </w:p>
        </w:tc>
        <w:tc>
          <w:tcPr>
            <w:tcW w:w="465" w:type="pct"/>
            <w:vMerge w:val="continue"/>
            <w:tcBorders>
              <w:tl2br w:val="nil"/>
              <w:tr2bl w:val="nil"/>
            </w:tcBorders>
            <w:vAlign w:val="center"/>
          </w:tcPr>
          <w:p w14:paraId="68BD4E0E">
            <w:pPr>
              <w:widowControl/>
              <w:jc w:val="center"/>
              <w:rPr>
                <w:rFonts w:eastAsia="仿宋_GB2312"/>
                <w:kern w:val="0"/>
                <w:szCs w:val="21"/>
              </w:rPr>
            </w:pPr>
          </w:p>
        </w:tc>
        <w:tc>
          <w:tcPr>
            <w:tcW w:w="384" w:type="pct"/>
            <w:tcBorders>
              <w:tl2br w:val="nil"/>
              <w:tr2bl w:val="nil"/>
            </w:tcBorders>
            <w:shd w:val="clear" w:color="auto" w:fill="auto"/>
            <w:vAlign w:val="center"/>
          </w:tcPr>
          <w:p w14:paraId="4168513E">
            <w:pPr>
              <w:widowControl/>
              <w:jc w:val="center"/>
              <w:textAlignment w:val="center"/>
              <w:rPr>
                <w:rFonts w:eastAsia="仿宋_GB2312"/>
                <w:kern w:val="0"/>
                <w:szCs w:val="21"/>
              </w:rPr>
            </w:pPr>
            <w:r>
              <w:rPr>
                <w:kern w:val="0"/>
                <w:szCs w:val="21"/>
                <w:lang w:bidi="ar"/>
              </w:rPr>
              <w:t>HW40</w:t>
            </w:r>
          </w:p>
        </w:tc>
        <w:tc>
          <w:tcPr>
            <w:tcW w:w="1059" w:type="pct"/>
            <w:tcBorders>
              <w:tl2br w:val="nil"/>
              <w:tr2bl w:val="nil"/>
            </w:tcBorders>
            <w:shd w:val="clear" w:color="auto" w:fill="auto"/>
            <w:vAlign w:val="center"/>
          </w:tcPr>
          <w:p w14:paraId="5A018F6A">
            <w:pPr>
              <w:widowControl/>
              <w:jc w:val="center"/>
              <w:textAlignment w:val="center"/>
              <w:rPr>
                <w:rFonts w:eastAsia="仿宋_GB2312"/>
                <w:kern w:val="0"/>
                <w:szCs w:val="21"/>
              </w:rPr>
            </w:pPr>
            <w:r>
              <w:rPr>
                <w:kern w:val="0"/>
                <w:szCs w:val="21"/>
                <w:lang w:bidi="ar"/>
              </w:rPr>
              <w:t>261-072-40</w:t>
            </w:r>
          </w:p>
        </w:tc>
        <w:tc>
          <w:tcPr>
            <w:tcW w:w="423" w:type="pct"/>
            <w:vMerge w:val="continue"/>
            <w:tcBorders>
              <w:tl2br w:val="nil"/>
              <w:tr2bl w:val="nil"/>
            </w:tcBorders>
            <w:vAlign w:val="center"/>
          </w:tcPr>
          <w:p w14:paraId="08E7B1D3">
            <w:pPr>
              <w:widowControl/>
              <w:jc w:val="center"/>
              <w:rPr>
                <w:rFonts w:eastAsia="仿宋_GB2312"/>
                <w:kern w:val="0"/>
                <w:szCs w:val="21"/>
              </w:rPr>
            </w:pPr>
          </w:p>
        </w:tc>
        <w:tc>
          <w:tcPr>
            <w:tcW w:w="605" w:type="pct"/>
            <w:vMerge w:val="continue"/>
            <w:tcBorders>
              <w:tl2br w:val="nil"/>
              <w:tr2bl w:val="nil"/>
            </w:tcBorders>
            <w:vAlign w:val="center"/>
          </w:tcPr>
          <w:p w14:paraId="3B9D96BD">
            <w:pPr>
              <w:widowControl/>
              <w:jc w:val="center"/>
              <w:rPr>
                <w:rFonts w:eastAsia="仿宋_GB2312"/>
                <w:kern w:val="0"/>
                <w:szCs w:val="21"/>
              </w:rPr>
            </w:pPr>
          </w:p>
        </w:tc>
      </w:tr>
      <w:tr w14:paraId="2022A2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3" w:type="pct"/>
            <w:vMerge w:val="restart"/>
            <w:tcBorders>
              <w:tl2br w:val="nil"/>
              <w:tr2bl w:val="nil"/>
            </w:tcBorders>
            <w:vAlign w:val="center"/>
          </w:tcPr>
          <w:p w14:paraId="22E28708">
            <w:pPr>
              <w:widowControl/>
              <w:jc w:val="center"/>
              <w:rPr>
                <w:rFonts w:eastAsia="仿宋_GB2312"/>
                <w:kern w:val="0"/>
                <w:szCs w:val="21"/>
              </w:rPr>
            </w:pPr>
            <w:r>
              <w:rPr>
                <w:rFonts w:eastAsia="仿宋_GB2312"/>
                <w:kern w:val="0"/>
                <w:szCs w:val="21"/>
              </w:rPr>
              <w:t>11</w:t>
            </w:r>
          </w:p>
        </w:tc>
        <w:tc>
          <w:tcPr>
            <w:tcW w:w="372" w:type="pct"/>
            <w:vMerge w:val="restart"/>
            <w:tcBorders>
              <w:tl2br w:val="nil"/>
              <w:tr2bl w:val="nil"/>
            </w:tcBorders>
            <w:vAlign w:val="center"/>
          </w:tcPr>
          <w:p w14:paraId="67630888">
            <w:pPr>
              <w:widowControl/>
              <w:jc w:val="center"/>
              <w:rPr>
                <w:rFonts w:eastAsia="仿宋_GB2312"/>
                <w:kern w:val="0"/>
                <w:szCs w:val="21"/>
              </w:rPr>
            </w:pPr>
            <w:r>
              <w:rPr>
                <w:rFonts w:eastAsia="仿宋_GB2312"/>
                <w:kern w:val="0"/>
                <w:szCs w:val="21"/>
              </w:rPr>
              <w:t>甲醇废液</w:t>
            </w:r>
          </w:p>
        </w:tc>
        <w:tc>
          <w:tcPr>
            <w:tcW w:w="394" w:type="pct"/>
            <w:tcBorders>
              <w:tl2br w:val="nil"/>
              <w:tr2bl w:val="nil"/>
            </w:tcBorders>
            <w:vAlign w:val="center"/>
          </w:tcPr>
          <w:p w14:paraId="5D4B464F">
            <w:pPr>
              <w:widowControl/>
              <w:jc w:val="center"/>
              <w:rPr>
                <w:rFonts w:eastAsia="仿宋_GB2312"/>
                <w:kern w:val="0"/>
                <w:szCs w:val="21"/>
              </w:rPr>
            </w:pPr>
            <w:r>
              <w:rPr>
                <w:rFonts w:eastAsia="仿宋_GB2312"/>
                <w:kern w:val="0"/>
                <w:szCs w:val="21"/>
              </w:rPr>
              <w:t>HW02</w:t>
            </w:r>
          </w:p>
        </w:tc>
        <w:tc>
          <w:tcPr>
            <w:tcW w:w="1042" w:type="pct"/>
            <w:tcBorders>
              <w:tl2br w:val="nil"/>
              <w:tr2bl w:val="nil"/>
            </w:tcBorders>
            <w:vAlign w:val="center"/>
          </w:tcPr>
          <w:p w14:paraId="2BD53D09">
            <w:pPr>
              <w:widowControl/>
              <w:jc w:val="center"/>
              <w:rPr>
                <w:rFonts w:eastAsia="仿宋_GB2312"/>
                <w:kern w:val="0"/>
                <w:szCs w:val="21"/>
              </w:rPr>
            </w:pPr>
            <w:r>
              <w:rPr>
                <w:rFonts w:eastAsia="仿宋_GB2312"/>
                <w:kern w:val="0"/>
                <w:szCs w:val="21"/>
              </w:rPr>
              <w:t>271-001-02，271-002-02，</w:t>
            </w:r>
            <w:r>
              <w:rPr>
                <w:rFonts w:hint="eastAsia" w:eastAsia="仿宋_GB2312"/>
                <w:kern w:val="0"/>
                <w:szCs w:val="21"/>
              </w:rPr>
              <w:t>271-004-02，</w:t>
            </w:r>
            <w:r>
              <w:rPr>
                <w:rFonts w:eastAsia="仿宋_GB2312"/>
                <w:kern w:val="0"/>
                <w:szCs w:val="21"/>
              </w:rPr>
              <w:t>272-001-02，</w:t>
            </w:r>
            <w:r>
              <w:rPr>
                <w:rFonts w:hint="eastAsia" w:eastAsia="仿宋_GB2312"/>
                <w:kern w:val="0"/>
                <w:szCs w:val="21"/>
              </w:rPr>
              <w:t>272-003-02，275-004-02，275-005-02，</w:t>
            </w:r>
            <w:r>
              <w:rPr>
                <w:rFonts w:eastAsia="仿宋_GB2312"/>
                <w:kern w:val="0"/>
                <w:szCs w:val="21"/>
              </w:rPr>
              <w:t>276-001-02，276-002-02</w:t>
            </w:r>
            <w:r>
              <w:rPr>
                <w:rFonts w:hint="eastAsia" w:eastAsia="仿宋_GB2312"/>
                <w:kern w:val="0"/>
                <w:szCs w:val="21"/>
              </w:rPr>
              <w:t>，276-004-02</w:t>
            </w:r>
          </w:p>
        </w:tc>
        <w:tc>
          <w:tcPr>
            <w:tcW w:w="465" w:type="pct"/>
            <w:vMerge w:val="restart"/>
            <w:tcBorders>
              <w:tl2br w:val="nil"/>
              <w:tr2bl w:val="nil"/>
            </w:tcBorders>
            <w:vAlign w:val="center"/>
          </w:tcPr>
          <w:p w14:paraId="2E93512C">
            <w:pPr>
              <w:widowControl/>
              <w:jc w:val="center"/>
              <w:rPr>
                <w:rFonts w:eastAsia="仿宋_GB2312"/>
                <w:kern w:val="0"/>
                <w:szCs w:val="21"/>
              </w:rPr>
            </w:pPr>
            <w:r>
              <w:rPr>
                <w:rFonts w:eastAsia="仿宋_GB2312"/>
                <w:kern w:val="0"/>
                <w:szCs w:val="21"/>
              </w:rPr>
              <w:t>6000</w:t>
            </w:r>
          </w:p>
        </w:tc>
        <w:tc>
          <w:tcPr>
            <w:tcW w:w="384" w:type="pct"/>
            <w:tcBorders>
              <w:tl2br w:val="nil"/>
              <w:tr2bl w:val="nil"/>
            </w:tcBorders>
            <w:shd w:val="clear" w:color="auto" w:fill="auto"/>
            <w:vAlign w:val="center"/>
          </w:tcPr>
          <w:p w14:paraId="649DC2B9">
            <w:pPr>
              <w:widowControl/>
              <w:jc w:val="center"/>
              <w:textAlignment w:val="center"/>
              <w:rPr>
                <w:rFonts w:eastAsia="仿宋_GB2312"/>
                <w:kern w:val="0"/>
                <w:szCs w:val="21"/>
              </w:rPr>
            </w:pPr>
            <w:r>
              <w:rPr>
                <w:kern w:val="0"/>
                <w:szCs w:val="21"/>
                <w:lang w:bidi="ar"/>
              </w:rPr>
              <w:t>HW02</w:t>
            </w:r>
          </w:p>
        </w:tc>
        <w:tc>
          <w:tcPr>
            <w:tcW w:w="1059" w:type="pct"/>
            <w:tcBorders>
              <w:tl2br w:val="nil"/>
              <w:tr2bl w:val="nil"/>
            </w:tcBorders>
            <w:shd w:val="clear" w:color="auto" w:fill="auto"/>
            <w:vAlign w:val="center"/>
          </w:tcPr>
          <w:p w14:paraId="134426D3">
            <w:pPr>
              <w:widowControl/>
              <w:jc w:val="center"/>
              <w:textAlignment w:val="center"/>
              <w:rPr>
                <w:rFonts w:eastAsia="仿宋_GB2312"/>
                <w:kern w:val="0"/>
                <w:szCs w:val="21"/>
              </w:rPr>
            </w:pPr>
            <w:r>
              <w:rPr>
                <w:kern w:val="0"/>
                <w:szCs w:val="21"/>
                <w:lang w:bidi="ar"/>
              </w:rPr>
              <w:t>271-001-02</w:t>
            </w:r>
            <w:r>
              <w:rPr>
                <w:rFonts w:ascii="仿宋_GB2312" w:eastAsia="仿宋_GB2312" w:cs="仿宋_GB2312"/>
                <w:kern w:val="0"/>
                <w:szCs w:val="21"/>
                <w:lang w:bidi="ar"/>
              </w:rPr>
              <w:t>，</w:t>
            </w:r>
            <w:r>
              <w:rPr>
                <w:kern w:val="0"/>
                <w:szCs w:val="21"/>
                <w:lang w:bidi="ar"/>
              </w:rPr>
              <w:t>271-002-02</w:t>
            </w:r>
            <w:r>
              <w:rPr>
                <w:rFonts w:ascii="仿宋_GB2312" w:eastAsia="仿宋_GB2312" w:cs="仿宋_GB2312"/>
                <w:kern w:val="0"/>
                <w:szCs w:val="21"/>
                <w:lang w:bidi="ar"/>
              </w:rPr>
              <w:t>，</w:t>
            </w:r>
            <w:r>
              <w:rPr>
                <w:kern w:val="0"/>
                <w:szCs w:val="21"/>
                <w:lang w:bidi="ar"/>
              </w:rPr>
              <w:t>272-001-02</w:t>
            </w:r>
            <w:r>
              <w:rPr>
                <w:rFonts w:ascii="仿宋_GB2312" w:eastAsia="仿宋_GB2312" w:cs="仿宋_GB2312"/>
                <w:kern w:val="0"/>
                <w:szCs w:val="21"/>
                <w:lang w:bidi="ar"/>
              </w:rPr>
              <w:t>，</w:t>
            </w:r>
            <w:r>
              <w:rPr>
                <w:b/>
                <w:bCs/>
                <w:kern w:val="0"/>
                <w:szCs w:val="21"/>
                <w:lang w:bidi="ar"/>
              </w:rPr>
              <w:t>272-00</w:t>
            </w:r>
            <w:r>
              <w:rPr>
                <w:rFonts w:hint="eastAsia"/>
                <w:b/>
                <w:bCs/>
                <w:kern w:val="0"/>
                <w:szCs w:val="21"/>
                <w:lang w:val="en-US" w:eastAsia="zh-CN" w:bidi="ar"/>
              </w:rPr>
              <w:t>5</w:t>
            </w:r>
            <w:r>
              <w:rPr>
                <w:b/>
                <w:bCs/>
                <w:kern w:val="0"/>
                <w:szCs w:val="21"/>
                <w:lang w:bidi="ar"/>
              </w:rPr>
              <w:t>-02</w:t>
            </w:r>
            <w:r>
              <w:rPr>
                <w:rFonts w:ascii="仿宋_GB2312" w:eastAsia="仿宋_GB2312" w:cs="仿宋_GB2312"/>
                <w:kern w:val="0"/>
                <w:szCs w:val="21"/>
                <w:lang w:bidi="ar"/>
              </w:rPr>
              <w:t>，</w:t>
            </w:r>
            <w:r>
              <w:rPr>
                <w:kern w:val="0"/>
                <w:szCs w:val="21"/>
                <w:lang w:bidi="ar"/>
              </w:rPr>
              <w:t>275-004-02</w:t>
            </w:r>
            <w:r>
              <w:rPr>
                <w:rFonts w:ascii="仿宋_GB2312" w:eastAsia="仿宋_GB2312" w:cs="仿宋_GB2312"/>
                <w:kern w:val="0"/>
                <w:szCs w:val="21"/>
                <w:lang w:bidi="ar"/>
              </w:rPr>
              <w:t>，</w:t>
            </w:r>
            <w:r>
              <w:rPr>
                <w:b/>
                <w:bCs/>
                <w:kern w:val="0"/>
                <w:szCs w:val="21"/>
                <w:lang w:bidi="ar"/>
              </w:rPr>
              <w:t>275-00</w:t>
            </w:r>
            <w:r>
              <w:rPr>
                <w:rFonts w:hint="eastAsia"/>
                <w:b/>
                <w:bCs/>
                <w:kern w:val="0"/>
                <w:szCs w:val="21"/>
                <w:lang w:val="en-US" w:eastAsia="zh-CN" w:bidi="ar"/>
              </w:rPr>
              <w:t>6</w:t>
            </w:r>
            <w:r>
              <w:rPr>
                <w:b/>
                <w:bCs/>
                <w:kern w:val="0"/>
                <w:szCs w:val="21"/>
                <w:lang w:bidi="ar"/>
              </w:rPr>
              <w:t>-02</w:t>
            </w:r>
            <w:r>
              <w:rPr>
                <w:rFonts w:ascii="仿宋_GB2312" w:eastAsia="仿宋_GB2312" w:cs="仿宋_GB2312"/>
                <w:kern w:val="0"/>
                <w:szCs w:val="21"/>
                <w:lang w:bidi="ar"/>
              </w:rPr>
              <w:t>，</w:t>
            </w:r>
            <w:r>
              <w:rPr>
                <w:kern w:val="0"/>
                <w:szCs w:val="21"/>
                <w:lang w:bidi="ar"/>
              </w:rPr>
              <w:t>276-001-02</w:t>
            </w:r>
            <w:r>
              <w:rPr>
                <w:rFonts w:ascii="仿宋_GB2312" w:eastAsia="仿宋_GB2312" w:cs="仿宋_GB2312"/>
                <w:kern w:val="0"/>
                <w:szCs w:val="21"/>
                <w:lang w:bidi="ar"/>
              </w:rPr>
              <w:t>，</w:t>
            </w:r>
            <w:r>
              <w:rPr>
                <w:kern w:val="0"/>
                <w:szCs w:val="21"/>
                <w:lang w:bidi="ar"/>
              </w:rPr>
              <w:t>276-002-02</w:t>
            </w:r>
            <w:r>
              <w:rPr>
                <w:rFonts w:ascii="仿宋_GB2312" w:eastAsia="仿宋_GB2312" w:cs="仿宋_GB2312"/>
                <w:kern w:val="0"/>
                <w:szCs w:val="21"/>
                <w:lang w:bidi="ar"/>
              </w:rPr>
              <w:t>，</w:t>
            </w:r>
            <w:r>
              <w:rPr>
                <w:b/>
                <w:bCs/>
                <w:kern w:val="0"/>
                <w:szCs w:val="21"/>
                <w:lang w:bidi="ar"/>
              </w:rPr>
              <w:t>276-00</w:t>
            </w:r>
            <w:r>
              <w:rPr>
                <w:rFonts w:hint="eastAsia"/>
                <w:b/>
                <w:bCs/>
                <w:kern w:val="0"/>
                <w:szCs w:val="21"/>
                <w:lang w:val="en-US" w:eastAsia="zh-CN" w:bidi="ar"/>
              </w:rPr>
              <w:t>5</w:t>
            </w:r>
            <w:r>
              <w:rPr>
                <w:b/>
                <w:bCs/>
                <w:kern w:val="0"/>
                <w:szCs w:val="21"/>
                <w:lang w:bidi="ar"/>
              </w:rPr>
              <w:t>-02</w:t>
            </w:r>
          </w:p>
        </w:tc>
        <w:tc>
          <w:tcPr>
            <w:tcW w:w="423" w:type="pct"/>
            <w:vMerge w:val="restart"/>
            <w:tcBorders>
              <w:tl2br w:val="nil"/>
              <w:tr2bl w:val="nil"/>
            </w:tcBorders>
            <w:vAlign w:val="center"/>
          </w:tcPr>
          <w:p w14:paraId="38922A8B">
            <w:pPr>
              <w:widowControl/>
              <w:jc w:val="center"/>
              <w:rPr>
                <w:rFonts w:eastAsia="仿宋_GB2312"/>
                <w:kern w:val="0"/>
                <w:szCs w:val="21"/>
              </w:rPr>
            </w:pPr>
            <w:r>
              <w:rPr>
                <w:rFonts w:hint="eastAsia" w:eastAsia="仿宋_GB2312"/>
                <w:kern w:val="0"/>
                <w:szCs w:val="21"/>
                <w:lang w:val="en-US" w:eastAsia="zh-CN"/>
              </w:rPr>
              <w:t>46</w:t>
            </w:r>
            <w:r>
              <w:rPr>
                <w:rFonts w:hint="eastAsia" w:eastAsia="仿宋_GB2312"/>
                <w:kern w:val="0"/>
                <w:szCs w:val="21"/>
              </w:rPr>
              <w:t>000</w:t>
            </w:r>
          </w:p>
        </w:tc>
        <w:tc>
          <w:tcPr>
            <w:tcW w:w="605" w:type="pct"/>
            <w:vMerge w:val="restart"/>
            <w:tcBorders>
              <w:tl2br w:val="nil"/>
              <w:tr2bl w:val="nil"/>
            </w:tcBorders>
            <w:vAlign w:val="center"/>
          </w:tcPr>
          <w:p w14:paraId="5A76F1AF">
            <w:pPr>
              <w:widowControl/>
              <w:jc w:val="center"/>
              <w:rPr>
                <w:rFonts w:eastAsia="仿宋_GB2312"/>
                <w:kern w:val="0"/>
                <w:szCs w:val="21"/>
              </w:rPr>
            </w:pPr>
            <w:r>
              <w:rPr>
                <w:rFonts w:eastAsia="仿宋_GB2312"/>
                <w:bCs/>
              </w:rPr>
              <w:t>回收综合利用量增加，危废代码增加</w:t>
            </w:r>
          </w:p>
        </w:tc>
      </w:tr>
      <w:tr w14:paraId="74FC23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3" w:type="pct"/>
            <w:vMerge w:val="continue"/>
            <w:tcBorders>
              <w:tl2br w:val="nil"/>
              <w:tr2bl w:val="nil"/>
            </w:tcBorders>
            <w:vAlign w:val="center"/>
          </w:tcPr>
          <w:p w14:paraId="6BC4306D">
            <w:pPr>
              <w:widowControl/>
              <w:jc w:val="center"/>
              <w:rPr>
                <w:rFonts w:eastAsia="仿宋_GB2312"/>
                <w:kern w:val="0"/>
                <w:szCs w:val="21"/>
              </w:rPr>
            </w:pPr>
          </w:p>
        </w:tc>
        <w:tc>
          <w:tcPr>
            <w:tcW w:w="372" w:type="pct"/>
            <w:vMerge w:val="continue"/>
            <w:tcBorders>
              <w:tl2br w:val="nil"/>
              <w:tr2bl w:val="nil"/>
            </w:tcBorders>
            <w:vAlign w:val="center"/>
          </w:tcPr>
          <w:p w14:paraId="6082C0EE">
            <w:pPr>
              <w:widowControl/>
              <w:jc w:val="center"/>
              <w:rPr>
                <w:rFonts w:eastAsia="仿宋_GB2312"/>
                <w:kern w:val="0"/>
                <w:szCs w:val="21"/>
              </w:rPr>
            </w:pPr>
          </w:p>
        </w:tc>
        <w:tc>
          <w:tcPr>
            <w:tcW w:w="394" w:type="pct"/>
            <w:tcBorders>
              <w:tl2br w:val="nil"/>
              <w:tr2bl w:val="nil"/>
            </w:tcBorders>
            <w:shd w:val="clear" w:color="auto" w:fill="auto"/>
            <w:vAlign w:val="center"/>
          </w:tcPr>
          <w:p w14:paraId="133043B4">
            <w:pPr>
              <w:widowControl/>
              <w:jc w:val="center"/>
              <w:rPr>
                <w:rFonts w:eastAsia="仿宋_GB2312"/>
                <w:kern w:val="0"/>
                <w:szCs w:val="21"/>
              </w:rPr>
            </w:pPr>
            <w:r>
              <w:rPr>
                <w:rFonts w:hint="eastAsia" w:eastAsia="仿宋_GB2312"/>
                <w:kern w:val="0"/>
                <w:szCs w:val="21"/>
              </w:rPr>
              <w:t>/</w:t>
            </w:r>
          </w:p>
        </w:tc>
        <w:tc>
          <w:tcPr>
            <w:tcW w:w="1042" w:type="pct"/>
            <w:tcBorders>
              <w:tl2br w:val="nil"/>
              <w:tr2bl w:val="nil"/>
            </w:tcBorders>
            <w:shd w:val="clear" w:color="auto" w:fill="auto"/>
            <w:vAlign w:val="center"/>
          </w:tcPr>
          <w:p w14:paraId="3DA210AE">
            <w:pPr>
              <w:widowControl/>
              <w:jc w:val="center"/>
              <w:rPr>
                <w:rFonts w:eastAsia="仿宋_GB2312"/>
                <w:kern w:val="0"/>
                <w:szCs w:val="21"/>
              </w:rPr>
            </w:pPr>
            <w:r>
              <w:rPr>
                <w:rFonts w:hint="eastAsia" w:eastAsia="仿宋_GB2312"/>
                <w:kern w:val="0"/>
                <w:szCs w:val="21"/>
              </w:rPr>
              <w:t>/</w:t>
            </w:r>
          </w:p>
        </w:tc>
        <w:tc>
          <w:tcPr>
            <w:tcW w:w="465" w:type="pct"/>
            <w:vMerge w:val="continue"/>
            <w:tcBorders>
              <w:tl2br w:val="nil"/>
              <w:tr2bl w:val="nil"/>
            </w:tcBorders>
            <w:vAlign w:val="center"/>
          </w:tcPr>
          <w:p w14:paraId="0D66B735">
            <w:pPr>
              <w:widowControl/>
              <w:jc w:val="center"/>
              <w:rPr>
                <w:rFonts w:eastAsia="仿宋_GB2312"/>
                <w:kern w:val="0"/>
                <w:szCs w:val="21"/>
              </w:rPr>
            </w:pPr>
          </w:p>
        </w:tc>
        <w:tc>
          <w:tcPr>
            <w:tcW w:w="384" w:type="pct"/>
            <w:tcBorders>
              <w:tl2br w:val="nil"/>
              <w:tr2bl w:val="nil"/>
            </w:tcBorders>
            <w:shd w:val="clear" w:color="auto" w:fill="auto"/>
            <w:vAlign w:val="center"/>
          </w:tcPr>
          <w:p w14:paraId="388F377C">
            <w:pPr>
              <w:widowControl/>
              <w:jc w:val="center"/>
              <w:textAlignment w:val="center"/>
              <w:rPr>
                <w:rFonts w:eastAsia="仿宋_GB2312"/>
                <w:kern w:val="0"/>
                <w:szCs w:val="21"/>
              </w:rPr>
            </w:pPr>
            <w:r>
              <w:rPr>
                <w:b/>
                <w:bCs/>
                <w:kern w:val="0"/>
                <w:szCs w:val="21"/>
                <w:lang w:bidi="ar"/>
              </w:rPr>
              <w:t>HW04</w:t>
            </w:r>
          </w:p>
        </w:tc>
        <w:tc>
          <w:tcPr>
            <w:tcW w:w="1059" w:type="pct"/>
            <w:tcBorders>
              <w:tl2br w:val="nil"/>
              <w:tr2bl w:val="nil"/>
            </w:tcBorders>
            <w:shd w:val="clear" w:color="auto" w:fill="auto"/>
            <w:vAlign w:val="center"/>
          </w:tcPr>
          <w:p w14:paraId="6950519B">
            <w:pPr>
              <w:widowControl/>
              <w:jc w:val="center"/>
              <w:textAlignment w:val="center"/>
              <w:rPr>
                <w:rFonts w:eastAsia="仿宋_GB2312"/>
                <w:kern w:val="0"/>
                <w:szCs w:val="21"/>
              </w:rPr>
            </w:pPr>
            <w:r>
              <w:rPr>
                <w:b/>
                <w:bCs/>
                <w:kern w:val="0"/>
                <w:szCs w:val="21"/>
                <w:lang w:bidi="ar"/>
              </w:rPr>
              <w:t>263-008-04</w:t>
            </w:r>
          </w:p>
        </w:tc>
        <w:tc>
          <w:tcPr>
            <w:tcW w:w="423" w:type="pct"/>
            <w:vMerge w:val="continue"/>
            <w:tcBorders>
              <w:tl2br w:val="nil"/>
              <w:tr2bl w:val="nil"/>
            </w:tcBorders>
            <w:vAlign w:val="center"/>
          </w:tcPr>
          <w:p w14:paraId="4957A50A">
            <w:pPr>
              <w:widowControl/>
              <w:jc w:val="center"/>
              <w:rPr>
                <w:rFonts w:eastAsia="仿宋_GB2312"/>
                <w:kern w:val="0"/>
                <w:szCs w:val="21"/>
              </w:rPr>
            </w:pPr>
          </w:p>
        </w:tc>
        <w:tc>
          <w:tcPr>
            <w:tcW w:w="605" w:type="pct"/>
            <w:vMerge w:val="continue"/>
            <w:tcBorders>
              <w:tl2br w:val="nil"/>
              <w:tr2bl w:val="nil"/>
            </w:tcBorders>
            <w:vAlign w:val="center"/>
          </w:tcPr>
          <w:p w14:paraId="42634288">
            <w:pPr>
              <w:widowControl/>
              <w:jc w:val="center"/>
              <w:rPr>
                <w:rFonts w:eastAsia="仿宋_GB2312"/>
                <w:bCs/>
              </w:rPr>
            </w:pPr>
          </w:p>
        </w:tc>
      </w:tr>
      <w:tr w14:paraId="1B2168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3" w:type="pct"/>
            <w:vMerge w:val="continue"/>
            <w:tcBorders>
              <w:tl2br w:val="nil"/>
              <w:tr2bl w:val="nil"/>
            </w:tcBorders>
            <w:vAlign w:val="center"/>
          </w:tcPr>
          <w:p w14:paraId="07E48279">
            <w:pPr>
              <w:widowControl/>
              <w:jc w:val="center"/>
              <w:rPr>
                <w:rFonts w:eastAsia="仿宋_GB2312"/>
                <w:kern w:val="0"/>
                <w:szCs w:val="21"/>
              </w:rPr>
            </w:pPr>
          </w:p>
        </w:tc>
        <w:tc>
          <w:tcPr>
            <w:tcW w:w="372" w:type="pct"/>
            <w:vMerge w:val="continue"/>
            <w:tcBorders>
              <w:tl2br w:val="nil"/>
              <w:tr2bl w:val="nil"/>
            </w:tcBorders>
            <w:vAlign w:val="center"/>
          </w:tcPr>
          <w:p w14:paraId="646E028B">
            <w:pPr>
              <w:widowControl/>
              <w:jc w:val="center"/>
              <w:rPr>
                <w:rFonts w:eastAsia="仿宋_GB2312"/>
                <w:kern w:val="0"/>
                <w:szCs w:val="21"/>
              </w:rPr>
            </w:pPr>
          </w:p>
        </w:tc>
        <w:tc>
          <w:tcPr>
            <w:tcW w:w="394" w:type="pct"/>
            <w:tcBorders>
              <w:tl2br w:val="nil"/>
              <w:tr2bl w:val="nil"/>
            </w:tcBorders>
            <w:vAlign w:val="center"/>
          </w:tcPr>
          <w:p w14:paraId="6B647D3D">
            <w:pPr>
              <w:widowControl/>
              <w:jc w:val="center"/>
              <w:rPr>
                <w:rFonts w:eastAsia="仿宋_GB2312"/>
                <w:kern w:val="0"/>
                <w:szCs w:val="21"/>
              </w:rPr>
            </w:pPr>
            <w:r>
              <w:rPr>
                <w:rFonts w:eastAsia="仿宋_GB2312"/>
                <w:kern w:val="0"/>
                <w:szCs w:val="21"/>
              </w:rPr>
              <w:t>HW06</w:t>
            </w:r>
          </w:p>
        </w:tc>
        <w:tc>
          <w:tcPr>
            <w:tcW w:w="1042" w:type="pct"/>
            <w:tcBorders>
              <w:tl2br w:val="nil"/>
              <w:tr2bl w:val="nil"/>
            </w:tcBorders>
            <w:vAlign w:val="center"/>
          </w:tcPr>
          <w:p w14:paraId="092578D6">
            <w:pPr>
              <w:widowControl/>
              <w:jc w:val="center"/>
              <w:rPr>
                <w:rFonts w:eastAsia="仿宋_GB2312"/>
                <w:kern w:val="0"/>
                <w:szCs w:val="21"/>
              </w:rPr>
            </w:pPr>
            <w:r>
              <w:rPr>
                <w:rFonts w:eastAsia="仿宋_GB2312"/>
                <w:kern w:val="0"/>
                <w:szCs w:val="21"/>
              </w:rPr>
              <w:t>900-402-06，900-404-06，900-407-06</w:t>
            </w:r>
          </w:p>
        </w:tc>
        <w:tc>
          <w:tcPr>
            <w:tcW w:w="465" w:type="pct"/>
            <w:vMerge w:val="continue"/>
            <w:tcBorders>
              <w:tl2br w:val="nil"/>
              <w:tr2bl w:val="nil"/>
            </w:tcBorders>
            <w:vAlign w:val="center"/>
          </w:tcPr>
          <w:p w14:paraId="7D995DF7">
            <w:pPr>
              <w:widowControl/>
              <w:jc w:val="center"/>
              <w:rPr>
                <w:rFonts w:eastAsia="仿宋_GB2312"/>
                <w:kern w:val="0"/>
                <w:szCs w:val="21"/>
              </w:rPr>
            </w:pPr>
          </w:p>
        </w:tc>
        <w:tc>
          <w:tcPr>
            <w:tcW w:w="384" w:type="pct"/>
            <w:tcBorders>
              <w:tl2br w:val="nil"/>
              <w:tr2bl w:val="nil"/>
            </w:tcBorders>
            <w:shd w:val="clear" w:color="auto" w:fill="auto"/>
            <w:vAlign w:val="center"/>
          </w:tcPr>
          <w:p w14:paraId="7FB6BDB8">
            <w:pPr>
              <w:widowControl/>
              <w:jc w:val="center"/>
              <w:textAlignment w:val="center"/>
              <w:rPr>
                <w:rFonts w:eastAsia="仿宋_GB2312"/>
                <w:kern w:val="0"/>
                <w:szCs w:val="21"/>
              </w:rPr>
            </w:pPr>
            <w:r>
              <w:rPr>
                <w:kern w:val="0"/>
                <w:szCs w:val="21"/>
                <w:lang w:bidi="ar"/>
              </w:rPr>
              <w:t>HW06</w:t>
            </w:r>
          </w:p>
        </w:tc>
        <w:tc>
          <w:tcPr>
            <w:tcW w:w="1059" w:type="pct"/>
            <w:tcBorders>
              <w:tl2br w:val="nil"/>
              <w:tr2bl w:val="nil"/>
            </w:tcBorders>
            <w:shd w:val="clear" w:color="auto" w:fill="auto"/>
            <w:vAlign w:val="center"/>
          </w:tcPr>
          <w:p w14:paraId="209938C0">
            <w:pPr>
              <w:widowControl/>
              <w:jc w:val="center"/>
              <w:textAlignment w:val="center"/>
              <w:rPr>
                <w:rFonts w:eastAsia="仿宋_GB2312"/>
                <w:kern w:val="0"/>
                <w:szCs w:val="21"/>
              </w:rPr>
            </w:pPr>
            <w:r>
              <w:rPr>
                <w:kern w:val="0"/>
                <w:szCs w:val="21"/>
                <w:lang w:bidi="ar"/>
              </w:rPr>
              <w:t>900-402-06</w:t>
            </w:r>
            <w:r>
              <w:rPr>
                <w:rFonts w:ascii="仿宋_GB2312" w:eastAsia="仿宋_GB2312" w:cs="仿宋_GB2312"/>
                <w:kern w:val="0"/>
                <w:szCs w:val="21"/>
                <w:lang w:bidi="ar"/>
              </w:rPr>
              <w:t>，</w:t>
            </w:r>
            <w:r>
              <w:rPr>
                <w:kern w:val="0"/>
                <w:szCs w:val="21"/>
                <w:lang w:bidi="ar"/>
              </w:rPr>
              <w:t>900-404-06</w:t>
            </w:r>
            <w:r>
              <w:rPr>
                <w:rFonts w:ascii="仿宋_GB2312" w:eastAsia="仿宋_GB2312" w:cs="仿宋_GB2312"/>
                <w:kern w:val="0"/>
                <w:szCs w:val="21"/>
                <w:lang w:bidi="ar"/>
              </w:rPr>
              <w:t>，</w:t>
            </w:r>
            <w:r>
              <w:rPr>
                <w:kern w:val="0"/>
                <w:szCs w:val="21"/>
                <w:lang w:bidi="ar"/>
              </w:rPr>
              <w:t>900-407-06</w:t>
            </w:r>
          </w:p>
        </w:tc>
        <w:tc>
          <w:tcPr>
            <w:tcW w:w="423" w:type="pct"/>
            <w:vMerge w:val="continue"/>
            <w:tcBorders>
              <w:tl2br w:val="nil"/>
              <w:tr2bl w:val="nil"/>
            </w:tcBorders>
            <w:vAlign w:val="center"/>
          </w:tcPr>
          <w:p w14:paraId="3122EFCC">
            <w:pPr>
              <w:widowControl/>
              <w:jc w:val="center"/>
              <w:rPr>
                <w:rFonts w:eastAsia="仿宋_GB2312"/>
                <w:kern w:val="0"/>
                <w:szCs w:val="21"/>
              </w:rPr>
            </w:pPr>
          </w:p>
        </w:tc>
        <w:tc>
          <w:tcPr>
            <w:tcW w:w="605" w:type="pct"/>
            <w:vMerge w:val="continue"/>
            <w:tcBorders>
              <w:tl2br w:val="nil"/>
              <w:tr2bl w:val="nil"/>
            </w:tcBorders>
            <w:vAlign w:val="center"/>
          </w:tcPr>
          <w:p w14:paraId="24563AFB">
            <w:pPr>
              <w:widowControl/>
              <w:jc w:val="center"/>
              <w:rPr>
                <w:rFonts w:eastAsia="仿宋_GB2312"/>
                <w:kern w:val="0"/>
                <w:szCs w:val="21"/>
              </w:rPr>
            </w:pPr>
          </w:p>
        </w:tc>
      </w:tr>
      <w:tr w14:paraId="6AD55C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3" w:type="pct"/>
            <w:vMerge w:val="continue"/>
            <w:tcBorders>
              <w:tl2br w:val="nil"/>
              <w:tr2bl w:val="nil"/>
            </w:tcBorders>
            <w:vAlign w:val="center"/>
          </w:tcPr>
          <w:p w14:paraId="6BBE7476">
            <w:pPr>
              <w:widowControl/>
              <w:jc w:val="center"/>
              <w:rPr>
                <w:rFonts w:eastAsia="仿宋_GB2312"/>
                <w:kern w:val="0"/>
                <w:szCs w:val="21"/>
              </w:rPr>
            </w:pPr>
          </w:p>
        </w:tc>
        <w:tc>
          <w:tcPr>
            <w:tcW w:w="372" w:type="pct"/>
            <w:vMerge w:val="continue"/>
            <w:tcBorders>
              <w:tl2br w:val="nil"/>
              <w:tr2bl w:val="nil"/>
            </w:tcBorders>
            <w:vAlign w:val="center"/>
          </w:tcPr>
          <w:p w14:paraId="0486B39B">
            <w:pPr>
              <w:widowControl/>
              <w:jc w:val="center"/>
              <w:rPr>
                <w:rFonts w:eastAsia="仿宋_GB2312"/>
                <w:kern w:val="0"/>
                <w:szCs w:val="21"/>
              </w:rPr>
            </w:pPr>
          </w:p>
        </w:tc>
        <w:tc>
          <w:tcPr>
            <w:tcW w:w="394" w:type="pct"/>
            <w:tcBorders>
              <w:tl2br w:val="nil"/>
              <w:tr2bl w:val="nil"/>
            </w:tcBorders>
            <w:vAlign w:val="center"/>
          </w:tcPr>
          <w:p w14:paraId="3EA4E19A">
            <w:pPr>
              <w:widowControl/>
              <w:jc w:val="center"/>
              <w:rPr>
                <w:rFonts w:eastAsia="仿宋_GB2312"/>
                <w:kern w:val="0"/>
                <w:szCs w:val="21"/>
              </w:rPr>
            </w:pPr>
            <w:r>
              <w:rPr>
                <w:rFonts w:eastAsia="仿宋_GB2312"/>
                <w:kern w:val="0"/>
                <w:szCs w:val="21"/>
              </w:rPr>
              <w:t>HW11</w:t>
            </w:r>
          </w:p>
        </w:tc>
        <w:tc>
          <w:tcPr>
            <w:tcW w:w="1042" w:type="pct"/>
            <w:tcBorders>
              <w:tl2br w:val="nil"/>
              <w:tr2bl w:val="nil"/>
            </w:tcBorders>
            <w:vAlign w:val="center"/>
          </w:tcPr>
          <w:p w14:paraId="566FB5CC">
            <w:pPr>
              <w:widowControl/>
              <w:jc w:val="center"/>
              <w:rPr>
                <w:rFonts w:eastAsia="仿宋_GB2312"/>
                <w:kern w:val="0"/>
                <w:szCs w:val="21"/>
              </w:rPr>
            </w:pPr>
            <w:r>
              <w:rPr>
                <w:rFonts w:eastAsia="仿宋_GB2312"/>
                <w:kern w:val="0"/>
                <w:szCs w:val="21"/>
              </w:rPr>
              <w:t>900-013-11，261-128-11，261-129-11，261-130-11，261-013-11，261-031-11</w:t>
            </w:r>
          </w:p>
        </w:tc>
        <w:tc>
          <w:tcPr>
            <w:tcW w:w="465" w:type="pct"/>
            <w:vMerge w:val="continue"/>
            <w:tcBorders>
              <w:tl2br w:val="nil"/>
              <w:tr2bl w:val="nil"/>
            </w:tcBorders>
            <w:vAlign w:val="center"/>
          </w:tcPr>
          <w:p w14:paraId="169E3FAF">
            <w:pPr>
              <w:widowControl/>
              <w:jc w:val="center"/>
              <w:rPr>
                <w:rFonts w:eastAsia="仿宋_GB2312"/>
                <w:kern w:val="0"/>
                <w:szCs w:val="21"/>
              </w:rPr>
            </w:pPr>
          </w:p>
        </w:tc>
        <w:tc>
          <w:tcPr>
            <w:tcW w:w="384" w:type="pct"/>
            <w:tcBorders>
              <w:tl2br w:val="nil"/>
              <w:tr2bl w:val="nil"/>
            </w:tcBorders>
            <w:shd w:val="clear" w:color="auto" w:fill="auto"/>
            <w:vAlign w:val="center"/>
          </w:tcPr>
          <w:p w14:paraId="4FFDD79E">
            <w:pPr>
              <w:widowControl/>
              <w:jc w:val="center"/>
              <w:textAlignment w:val="center"/>
              <w:rPr>
                <w:rFonts w:eastAsia="仿宋_GB2312"/>
                <w:kern w:val="0"/>
                <w:szCs w:val="21"/>
              </w:rPr>
            </w:pPr>
            <w:r>
              <w:rPr>
                <w:kern w:val="0"/>
                <w:szCs w:val="21"/>
                <w:lang w:bidi="ar"/>
              </w:rPr>
              <w:t>HW11</w:t>
            </w:r>
          </w:p>
        </w:tc>
        <w:tc>
          <w:tcPr>
            <w:tcW w:w="1059" w:type="pct"/>
            <w:tcBorders>
              <w:tl2br w:val="nil"/>
              <w:tr2bl w:val="nil"/>
            </w:tcBorders>
            <w:shd w:val="clear" w:color="auto" w:fill="auto"/>
            <w:vAlign w:val="center"/>
          </w:tcPr>
          <w:p w14:paraId="5845A755">
            <w:pPr>
              <w:widowControl/>
              <w:jc w:val="center"/>
              <w:textAlignment w:val="center"/>
              <w:rPr>
                <w:rFonts w:eastAsia="仿宋_GB2312"/>
                <w:kern w:val="0"/>
                <w:szCs w:val="21"/>
              </w:rPr>
            </w:pPr>
            <w:r>
              <w:rPr>
                <w:kern w:val="0"/>
                <w:szCs w:val="21"/>
                <w:lang w:bidi="ar"/>
              </w:rPr>
              <w:t>900-013-11</w:t>
            </w:r>
            <w:r>
              <w:rPr>
                <w:rFonts w:ascii="仿宋_GB2312" w:eastAsia="仿宋_GB2312" w:cs="仿宋_GB2312"/>
                <w:kern w:val="0"/>
                <w:szCs w:val="21"/>
                <w:lang w:bidi="ar"/>
              </w:rPr>
              <w:t>，</w:t>
            </w:r>
            <w:r>
              <w:rPr>
                <w:kern w:val="0"/>
                <w:szCs w:val="21"/>
                <w:lang w:bidi="ar"/>
              </w:rPr>
              <w:t>261-128-11</w:t>
            </w:r>
            <w:r>
              <w:rPr>
                <w:rFonts w:ascii="仿宋_GB2312" w:eastAsia="仿宋_GB2312" w:cs="仿宋_GB2312"/>
                <w:kern w:val="0"/>
                <w:szCs w:val="21"/>
                <w:lang w:bidi="ar"/>
              </w:rPr>
              <w:t>，</w:t>
            </w:r>
            <w:r>
              <w:rPr>
                <w:kern w:val="0"/>
                <w:szCs w:val="21"/>
                <w:lang w:bidi="ar"/>
              </w:rPr>
              <w:t>261-129-11</w:t>
            </w:r>
            <w:r>
              <w:rPr>
                <w:rFonts w:ascii="仿宋_GB2312" w:eastAsia="仿宋_GB2312" w:cs="仿宋_GB2312"/>
                <w:kern w:val="0"/>
                <w:szCs w:val="21"/>
                <w:lang w:bidi="ar"/>
              </w:rPr>
              <w:t>，</w:t>
            </w:r>
            <w:r>
              <w:rPr>
                <w:kern w:val="0"/>
                <w:szCs w:val="21"/>
                <w:lang w:bidi="ar"/>
              </w:rPr>
              <w:t>261-130-11</w:t>
            </w:r>
            <w:r>
              <w:rPr>
                <w:rFonts w:ascii="仿宋_GB2312" w:eastAsia="仿宋_GB2312" w:cs="仿宋_GB2312"/>
                <w:kern w:val="0"/>
                <w:szCs w:val="21"/>
                <w:lang w:bidi="ar"/>
              </w:rPr>
              <w:t>，</w:t>
            </w:r>
            <w:r>
              <w:rPr>
                <w:kern w:val="0"/>
                <w:szCs w:val="21"/>
                <w:lang w:bidi="ar"/>
              </w:rPr>
              <w:t>261-013-11</w:t>
            </w:r>
            <w:r>
              <w:rPr>
                <w:rFonts w:ascii="仿宋_GB2312" w:eastAsia="仿宋_GB2312" w:cs="仿宋_GB2312"/>
                <w:kern w:val="0"/>
                <w:szCs w:val="21"/>
                <w:lang w:bidi="ar"/>
              </w:rPr>
              <w:t>，</w:t>
            </w:r>
            <w:r>
              <w:rPr>
                <w:kern w:val="0"/>
                <w:szCs w:val="21"/>
                <w:lang w:bidi="ar"/>
              </w:rPr>
              <w:t>261-031-11</w:t>
            </w:r>
            <w:r>
              <w:rPr>
                <w:rFonts w:hint="eastAsia" w:ascii="宋体" w:hAnsi="宋体" w:cs="宋体"/>
                <w:kern w:val="0"/>
                <w:szCs w:val="21"/>
                <w:lang w:bidi="ar"/>
              </w:rPr>
              <w:t>，</w:t>
            </w:r>
            <w:r>
              <w:rPr>
                <w:b/>
                <w:bCs/>
                <w:kern w:val="0"/>
                <w:szCs w:val="21"/>
                <w:lang w:bidi="ar"/>
              </w:rPr>
              <w:t>261-012-11</w:t>
            </w:r>
            <w:r>
              <w:rPr>
                <w:rFonts w:hint="eastAsia" w:ascii="宋体" w:hAnsi="宋体" w:cs="宋体"/>
                <w:b/>
                <w:bCs/>
                <w:kern w:val="0"/>
                <w:szCs w:val="21"/>
                <w:lang w:bidi="ar"/>
              </w:rPr>
              <w:t>，</w:t>
            </w:r>
            <w:r>
              <w:rPr>
                <w:b/>
                <w:bCs/>
                <w:kern w:val="0"/>
                <w:szCs w:val="21"/>
                <w:lang w:bidi="ar"/>
              </w:rPr>
              <w:t>261-106-11</w:t>
            </w:r>
          </w:p>
        </w:tc>
        <w:tc>
          <w:tcPr>
            <w:tcW w:w="423" w:type="pct"/>
            <w:vMerge w:val="continue"/>
            <w:tcBorders>
              <w:tl2br w:val="nil"/>
              <w:tr2bl w:val="nil"/>
            </w:tcBorders>
            <w:vAlign w:val="center"/>
          </w:tcPr>
          <w:p w14:paraId="0331470B">
            <w:pPr>
              <w:widowControl/>
              <w:jc w:val="center"/>
              <w:rPr>
                <w:rFonts w:eastAsia="仿宋_GB2312"/>
                <w:kern w:val="0"/>
                <w:szCs w:val="21"/>
              </w:rPr>
            </w:pPr>
          </w:p>
        </w:tc>
        <w:tc>
          <w:tcPr>
            <w:tcW w:w="605" w:type="pct"/>
            <w:vMerge w:val="continue"/>
            <w:tcBorders>
              <w:tl2br w:val="nil"/>
              <w:tr2bl w:val="nil"/>
            </w:tcBorders>
            <w:vAlign w:val="center"/>
          </w:tcPr>
          <w:p w14:paraId="147F1856">
            <w:pPr>
              <w:widowControl/>
              <w:jc w:val="center"/>
              <w:rPr>
                <w:rFonts w:eastAsia="仿宋_GB2312"/>
                <w:kern w:val="0"/>
                <w:szCs w:val="21"/>
              </w:rPr>
            </w:pPr>
          </w:p>
        </w:tc>
      </w:tr>
      <w:tr w14:paraId="75D0E0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3" w:type="pct"/>
            <w:vMerge w:val="continue"/>
            <w:tcBorders>
              <w:tl2br w:val="nil"/>
              <w:tr2bl w:val="nil"/>
            </w:tcBorders>
            <w:vAlign w:val="center"/>
          </w:tcPr>
          <w:p w14:paraId="164D9999">
            <w:pPr>
              <w:widowControl/>
              <w:jc w:val="center"/>
              <w:rPr>
                <w:rFonts w:eastAsia="仿宋_GB2312"/>
                <w:kern w:val="0"/>
                <w:szCs w:val="21"/>
              </w:rPr>
            </w:pPr>
          </w:p>
        </w:tc>
        <w:tc>
          <w:tcPr>
            <w:tcW w:w="372" w:type="pct"/>
            <w:vMerge w:val="continue"/>
            <w:tcBorders>
              <w:tl2br w:val="nil"/>
              <w:tr2bl w:val="nil"/>
            </w:tcBorders>
            <w:vAlign w:val="center"/>
          </w:tcPr>
          <w:p w14:paraId="3A0A3190">
            <w:pPr>
              <w:widowControl/>
              <w:jc w:val="center"/>
              <w:rPr>
                <w:rFonts w:eastAsia="仿宋_GB2312"/>
                <w:kern w:val="0"/>
                <w:szCs w:val="21"/>
              </w:rPr>
            </w:pPr>
          </w:p>
        </w:tc>
        <w:tc>
          <w:tcPr>
            <w:tcW w:w="394" w:type="pct"/>
            <w:tcBorders>
              <w:tl2br w:val="nil"/>
              <w:tr2bl w:val="nil"/>
            </w:tcBorders>
            <w:vAlign w:val="center"/>
          </w:tcPr>
          <w:p w14:paraId="341C36E2">
            <w:pPr>
              <w:widowControl/>
              <w:jc w:val="center"/>
              <w:rPr>
                <w:rFonts w:eastAsia="仿宋_GB2312"/>
                <w:kern w:val="0"/>
                <w:szCs w:val="21"/>
              </w:rPr>
            </w:pPr>
            <w:r>
              <w:rPr>
                <w:rFonts w:eastAsia="仿宋_GB2312"/>
                <w:kern w:val="0"/>
                <w:szCs w:val="21"/>
              </w:rPr>
              <w:t>HW12</w:t>
            </w:r>
          </w:p>
        </w:tc>
        <w:tc>
          <w:tcPr>
            <w:tcW w:w="1042" w:type="pct"/>
            <w:tcBorders>
              <w:tl2br w:val="nil"/>
              <w:tr2bl w:val="nil"/>
            </w:tcBorders>
            <w:vAlign w:val="center"/>
          </w:tcPr>
          <w:p w14:paraId="39724036">
            <w:pPr>
              <w:widowControl/>
              <w:jc w:val="center"/>
              <w:rPr>
                <w:rFonts w:eastAsia="仿宋_GB2312"/>
                <w:kern w:val="0"/>
                <w:szCs w:val="21"/>
              </w:rPr>
            </w:pPr>
            <w:r>
              <w:rPr>
                <w:rFonts w:eastAsia="仿宋_GB2312"/>
                <w:kern w:val="0"/>
                <w:szCs w:val="21"/>
              </w:rPr>
              <w:t>264-011-12，264-013-12，900-250-12，900-251-12，900-252-12，900-253-12</w:t>
            </w:r>
          </w:p>
        </w:tc>
        <w:tc>
          <w:tcPr>
            <w:tcW w:w="465" w:type="pct"/>
            <w:vMerge w:val="continue"/>
            <w:tcBorders>
              <w:tl2br w:val="nil"/>
              <w:tr2bl w:val="nil"/>
            </w:tcBorders>
            <w:vAlign w:val="center"/>
          </w:tcPr>
          <w:p w14:paraId="6F1635B9">
            <w:pPr>
              <w:widowControl/>
              <w:jc w:val="center"/>
              <w:rPr>
                <w:rFonts w:eastAsia="仿宋_GB2312"/>
                <w:kern w:val="0"/>
                <w:szCs w:val="21"/>
              </w:rPr>
            </w:pPr>
          </w:p>
        </w:tc>
        <w:tc>
          <w:tcPr>
            <w:tcW w:w="384" w:type="pct"/>
            <w:tcBorders>
              <w:tl2br w:val="nil"/>
              <w:tr2bl w:val="nil"/>
            </w:tcBorders>
            <w:shd w:val="clear" w:color="auto" w:fill="auto"/>
            <w:vAlign w:val="center"/>
          </w:tcPr>
          <w:p w14:paraId="4217FFCE">
            <w:pPr>
              <w:widowControl/>
              <w:jc w:val="center"/>
              <w:textAlignment w:val="center"/>
              <w:rPr>
                <w:rFonts w:eastAsia="仿宋_GB2312"/>
                <w:kern w:val="0"/>
                <w:szCs w:val="21"/>
              </w:rPr>
            </w:pPr>
            <w:r>
              <w:rPr>
                <w:kern w:val="0"/>
                <w:szCs w:val="21"/>
                <w:lang w:bidi="ar"/>
              </w:rPr>
              <w:t>HW12</w:t>
            </w:r>
          </w:p>
        </w:tc>
        <w:tc>
          <w:tcPr>
            <w:tcW w:w="1059" w:type="pct"/>
            <w:tcBorders>
              <w:tl2br w:val="nil"/>
              <w:tr2bl w:val="nil"/>
            </w:tcBorders>
            <w:shd w:val="clear" w:color="auto" w:fill="auto"/>
            <w:vAlign w:val="center"/>
          </w:tcPr>
          <w:p w14:paraId="2DBD5695">
            <w:pPr>
              <w:widowControl/>
              <w:jc w:val="center"/>
              <w:textAlignment w:val="center"/>
              <w:rPr>
                <w:rFonts w:eastAsia="仿宋_GB2312"/>
                <w:kern w:val="0"/>
                <w:szCs w:val="21"/>
              </w:rPr>
            </w:pPr>
            <w:r>
              <w:rPr>
                <w:kern w:val="0"/>
                <w:szCs w:val="21"/>
                <w:lang w:bidi="ar"/>
              </w:rPr>
              <w:t>264-011-12</w:t>
            </w:r>
            <w:r>
              <w:rPr>
                <w:rFonts w:ascii="仿宋_GB2312" w:eastAsia="仿宋_GB2312" w:cs="仿宋_GB2312"/>
                <w:kern w:val="0"/>
                <w:szCs w:val="21"/>
                <w:lang w:bidi="ar"/>
              </w:rPr>
              <w:t>，</w:t>
            </w:r>
            <w:r>
              <w:rPr>
                <w:kern w:val="0"/>
                <w:szCs w:val="21"/>
                <w:lang w:bidi="ar"/>
              </w:rPr>
              <w:t>264-013-12</w:t>
            </w:r>
            <w:r>
              <w:rPr>
                <w:rFonts w:ascii="仿宋_GB2312" w:eastAsia="仿宋_GB2312" w:cs="仿宋_GB2312"/>
                <w:kern w:val="0"/>
                <w:szCs w:val="21"/>
                <w:lang w:bidi="ar"/>
              </w:rPr>
              <w:t>，</w:t>
            </w:r>
            <w:r>
              <w:rPr>
                <w:kern w:val="0"/>
                <w:szCs w:val="21"/>
                <w:lang w:bidi="ar"/>
              </w:rPr>
              <w:t>900-250-12</w:t>
            </w:r>
            <w:r>
              <w:rPr>
                <w:rFonts w:ascii="仿宋_GB2312" w:eastAsia="仿宋_GB2312" w:cs="仿宋_GB2312"/>
                <w:kern w:val="0"/>
                <w:szCs w:val="21"/>
                <w:lang w:bidi="ar"/>
              </w:rPr>
              <w:t>，</w:t>
            </w:r>
            <w:r>
              <w:rPr>
                <w:kern w:val="0"/>
                <w:szCs w:val="21"/>
                <w:lang w:bidi="ar"/>
              </w:rPr>
              <w:t>900-251-12</w:t>
            </w:r>
            <w:r>
              <w:rPr>
                <w:rFonts w:ascii="仿宋_GB2312" w:eastAsia="仿宋_GB2312" w:cs="仿宋_GB2312"/>
                <w:kern w:val="0"/>
                <w:szCs w:val="21"/>
                <w:lang w:bidi="ar"/>
              </w:rPr>
              <w:t>，</w:t>
            </w:r>
            <w:r>
              <w:rPr>
                <w:kern w:val="0"/>
                <w:szCs w:val="21"/>
                <w:lang w:bidi="ar"/>
              </w:rPr>
              <w:t>900-252-12</w:t>
            </w:r>
            <w:r>
              <w:rPr>
                <w:rFonts w:ascii="仿宋_GB2312" w:eastAsia="仿宋_GB2312" w:cs="仿宋_GB2312"/>
                <w:kern w:val="0"/>
                <w:szCs w:val="21"/>
                <w:lang w:bidi="ar"/>
              </w:rPr>
              <w:t>，</w:t>
            </w:r>
            <w:r>
              <w:rPr>
                <w:kern w:val="0"/>
                <w:szCs w:val="21"/>
                <w:lang w:bidi="ar"/>
              </w:rPr>
              <w:t>900-253-12</w:t>
            </w:r>
            <w:r>
              <w:rPr>
                <w:rFonts w:hint="eastAsia" w:ascii="宋体" w:hAnsi="宋体" w:cs="宋体"/>
                <w:kern w:val="0"/>
                <w:szCs w:val="21"/>
                <w:lang w:bidi="ar"/>
              </w:rPr>
              <w:t>，</w:t>
            </w:r>
            <w:r>
              <w:rPr>
                <w:b/>
                <w:bCs/>
                <w:kern w:val="0"/>
                <w:szCs w:val="21"/>
                <w:lang w:bidi="ar"/>
              </w:rPr>
              <w:t>900-256-12</w:t>
            </w:r>
          </w:p>
        </w:tc>
        <w:tc>
          <w:tcPr>
            <w:tcW w:w="423" w:type="pct"/>
            <w:vMerge w:val="continue"/>
            <w:tcBorders>
              <w:tl2br w:val="nil"/>
              <w:tr2bl w:val="nil"/>
            </w:tcBorders>
            <w:vAlign w:val="center"/>
          </w:tcPr>
          <w:p w14:paraId="53AF5650">
            <w:pPr>
              <w:widowControl/>
              <w:jc w:val="center"/>
              <w:rPr>
                <w:rFonts w:eastAsia="仿宋_GB2312"/>
                <w:kern w:val="0"/>
                <w:szCs w:val="21"/>
              </w:rPr>
            </w:pPr>
          </w:p>
        </w:tc>
        <w:tc>
          <w:tcPr>
            <w:tcW w:w="605" w:type="pct"/>
            <w:vMerge w:val="continue"/>
            <w:tcBorders>
              <w:tl2br w:val="nil"/>
              <w:tr2bl w:val="nil"/>
            </w:tcBorders>
            <w:vAlign w:val="center"/>
          </w:tcPr>
          <w:p w14:paraId="088F2025">
            <w:pPr>
              <w:widowControl/>
              <w:jc w:val="center"/>
              <w:rPr>
                <w:rFonts w:eastAsia="仿宋_GB2312"/>
                <w:kern w:val="0"/>
                <w:szCs w:val="21"/>
              </w:rPr>
            </w:pPr>
          </w:p>
        </w:tc>
      </w:tr>
      <w:tr w14:paraId="7E3599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3" w:type="pct"/>
            <w:vMerge w:val="continue"/>
            <w:tcBorders>
              <w:tl2br w:val="nil"/>
              <w:tr2bl w:val="nil"/>
            </w:tcBorders>
            <w:vAlign w:val="center"/>
          </w:tcPr>
          <w:p w14:paraId="69358CD8">
            <w:pPr>
              <w:widowControl/>
              <w:jc w:val="center"/>
              <w:rPr>
                <w:rFonts w:eastAsia="仿宋_GB2312"/>
                <w:kern w:val="0"/>
                <w:szCs w:val="21"/>
              </w:rPr>
            </w:pPr>
          </w:p>
        </w:tc>
        <w:tc>
          <w:tcPr>
            <w:tcW w:w="372" w:type="pct"/>
            <w:vMerge w:val="continue"/>
            <w:tcBorders>
              <w:tl2br w:val="nil"/>
              <w:tr2bl w:val="nil"/>
            </w:tcBorders>
            <w:vAlign w:val="center"/>
          </w:tcPr>
          <w:p w14:paraId="46691A9A">
            <w:pPr>
              <w:widowControl/>
              <w:jc w:val="center"/>
              <w:rPr>
                <w:rFonts w:eastAsia="仿宋_GB2312"/>
                <w:kern w:val="0"/>
                <w:szCs w:val="21"/>
              </w:rPr>
            </w:pPr>
          </w:p>
        </w:tc>
        <w:tc>
          <w:tcPr>
            <w:tcW w:w="394" w:type="pct"/>
            <w:tcBorders>
              <w:tl2br w:val="nil"/>
              <w:tr2bl w:val="nil"/>
            </w:tcBorders>
            <w:vAlign w:val="center"/>
          </w:tcPr>
          <w:p w14:paraId="492E6182">
            <w:pPr>
              <w:widowControl/>
              <w:jc w:val="center"/>
              <w:rPr>
                <w:rFonts w:eastAsia="仿宋_GB2312"/>
                <w:kern w:val="0"/>
                <w:szCs w:val="21"/>
              </w:rPr>
            </w:pPr>
            <w:r>
              <w:rPr>
                <w:rFonts w:eastAsia="仿宋_GB2312"/>
                <w:kern w:val="0"/>
                <w:szCs w:val="21"/>
              </w:rPr>
              <w:t>HW13</w:t>
            </w:r>
          </w:p>
        </w:tc>
        <w:tc>
          <w:tcPr>
            <w:tcW w:w="1042" w:type="pct"/>
            <w:tcBorders>
              <w:tl2br w:val="nil"/>
              <w:tr2bl w:val="nil"/>
            </w:tcBorders>
            <w:vAlign w:val="center"/>
          </w:tcPr>
          <w:p w14:paraId="135F90B8">
            <w:pPr>
              <w:widowControl/>
              <w:jc w:val="center"/>
              <w:rPr>
                <w:rFonts w:eastAsia="仿宋_GB2312"/>
                <w:kern w:val="0"/>
                <w:szCs w:val="21"/>
              </w:rPr>
            </w:pPr>
            <w:r>
              <w:rPr>
                <w:rFonts w:eastAsia="仿宋_GB2312"/>
                <w:kern w:val="0"/>
                <w:szCs w:val="21"/>
              </w:rPr>
              <w:t>265-102-13</w:t>
            </w:r>
          </w:p>
        </w:tc>
        <w:tc>
          <w:tcPr>
            <w:tcW w:w="465" w:type="pct"/>
            <w:vMerge w:val="continue"/>
            <w:tcBorders>
              <w:tl2br w:val="nil"/>
              <w:tr2bl w:val="nil"/>
            </w:tcBorders>
            <w:vAlign w:val="center"/>
          </w:tcPr>
          <w:p w14:paraId="543FAA2D">
            <w:pPr>
              <w:widowControl/>
              <w:jc w:val="center"/>
              <w:rPr>
                <w:rFonts w:eastAsia="仿宋_GB2312"/>
                <w:kern w:val="0"/>
                <w:szCs w:val="21"/>
              </w:rPr>
            </w:pPr>
          </w:p>
        </w:tc>
        <w:tc>
          <w:tcPr>
            <w:tcW w:w="384" w:type="pct"/>
            <w:tcBorders>
              <w:tl2br w:val="nil"/>
              <w:tr2bl w:val="nil"/>
            </w:tcBorders>
            <w:shd w:val="clear" w:color="auto" w:fill="auto"/>
            <w:vAlign w:val="center"/>
          </w:tcPr>
          <w:p w14:paraId="29705731">
            <w:pPr>
              <w:widowControl/>
              <w:jc w:val="center"/>
              <w:textAlignment w:val="center"/>
              <w:rPr>
                <w:rFonts w:eastAsia="仿宋_GB2312"/>
                <w:kern w:val="0"/>
                <w:szCs w:val="21"/>
              </w:rPr>
            </w:pPr>
            <w:r>
              <w:rPr>
                <w:kern w:val="0"/>
                <w:szCs w:val="21"/>
                <w:lang w:bidi="ar"/>
              </w:rPr>
              <w:t>HW13</w:t>
            </w:r>
          </w:p>
        </w:tc>
        <w:tc>
          <w:tcPr>
            <w:tcW w:w="1059" w:type="pct"/>
            <w:tcBorders>
              <w:tl2br w:val="nil"/>
              <w:tr2bl w:val="nil"/>
            </w:tcBorders>
            <w:shd w:val="clear" w:color="auto" w:fill="auto"/>
            <w:vAlign w:val="center"/>
          </w:tcPr>
          <w:p w14:paraId="55CDBA48">
            <w:pPr>
              <w:widowControl/>
              <w:jc w:val="center"/>
              <w:textAlignment w:val="center"/>
              <w:rPr>
                <w:rFonts w:eastAsia="仿宋_GB2312"/>
                <w:kern w:val="0"/>
                <w:szCs w:val="21"/>
              </w:rPr>
            </w:pPr>
            <w:r>
              <w:rPr>
                <w:kern w:val="0"/>
                <w:szCs w:val="21"/>
                <w:lang w:bidi="ar"/>
              </w:rPr>
              <w:t>265-102-13</w:t>
            </w:r>
            <w:r>
              <w:rPr>
                <w:rFonts w:hint="eastAsia" w:ascii="宋体" w:hAnsi="宋体" w:cs="宋体"/>
                <w:b/>
                <w:bCs/>
                <w:kern w:val="0"/>
                <w:szCs w:val="21"/>
                <w:lang w:bidi="ar"/>
              </w:rPr>
              <w:t>，</w:t>
            </w:r>
            <w:r>
              <w:rPr>
                <w:b/>
                <w:bCs/>
                <w:kern w:val="0"/>
                <w:szCs w:val="21"/>
                <w:lang w:bidi="ar"/>
              </w:rPr>
              <w:t>900-014-13</w:t>
            </w:r>
          </w:p>
        </w:tc>
        <w:tc>
          <w:tcPr>
            <w:tcW w:w="423" w:type="pct"/>
            <w:vMerge w:val="continue"/>
            <w:tcBorders>
              <w:tl2br w:val="nil"/>
              <w:tr2bl w:val="nil"/>
            </w:tcBorders>
            <w:vAlign w:val="center"/>
          </w:tcPr>
          <w:p w14:paraId="507040EF">
            <w:pPr>
              <w:widowControl/>
              <w:jc w:val="center"/>
              <w:rPr>
                <w:rFonts w:eastAsia="仿宋_GB2312"/>
                <w:kern w:val="0"/>
                <w:szCs w:val="21"/>
              </w:rPr>
            </w:pPr>
          </w:p>
        </w:tc>
        <w:tc>
          <w:tcPr>
            <w:tcW w:w="605" w:type="pct"/>
            <w:vMerge w:val="continue"/>
            <w:tcBorders>
              <w:tl2br w:val="nil"/>
              <w:tr2bl w:val="nil"/>
            </w:tcBorders>
            <w:vAlign w:val="center"/>
          </w:tcPr>
          <w:p w14:paraId="7D77F66C">
            <w:pPr>
              <w:widowControl/>
              <w:jc w:val="center"/>
              <w:rPr>
                <w:rFonts w:eastAsia="仿宋_GB2312"/>
                <w:kern w:val="0"/>
                <w:szCs w:val="21"/>
              </w:rPr>
            </w:pPr>
          </w:p>
        </w:tc>
      </w:tr>
      <w:tr w14:paraId="1FDE8D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3" w:type="pct"/>
            <w:vMerge w:val="continue"/>
            <w:tcBorders>
              <w:tl2br w:val="nil"/>
              <w:tr2bl w:val="nil"/>
            </w:tcBorders>
            <w:vAlign w:val="center"/>
          </w:tcPr>
          <w:p w14:paraId="69403F42">
            <w:pPr>
              <w:widowControl/>
              <w:jc w:val="center"/>
              <w:rPr>
                <w:rFonts w:eastAsia="仿宋_GB2312"/>
                <w:kern w:val="0"/>
                <w:szCs w:val="21"/>
              </w:rPr>
            </w:pPr>
          </w:p>
        </w:tc>
        <w:tc>
          <w:tcPr>
            <w:tcW w:w="372" w:type="pct"/>
            <w:vMerge w:val="continue"/>
            <w:tcBorders>
              <w:tl2br w:val="nil"/>
              <w:tr2bl w:val="nil"/>
            </w:tcBorders>
            <w:vAlign w:val="center"/>
          </w:tcPr>
          <w:p w14:paraId="60C7B0B3">
            <w:pPr>
              <w:widowControl/>
              <w:jc w:val="center"/>
              <w:rPr>
                <w:rFonts w:eastAsia="仿宋_GB2312"/>
                <w:kern w:val="0"/>
                <w:szCs w:val="21"/>
              </w:rPr>
            </w:pPr>
          </w:p>
        </w:tc>
        <w:tc>
          <w:tcPr>
            <w:tcW w:w="394" w:type="pct"/>
            <w:tcBorders>
              <w:tl2br w:val="nil"/>
              <w:tr2bl w:val="nil"/>
            </w:tcBorders>
            <w:vAlign w:val="center"/>
          </w:tcPr>
          <w:p w14:paraId="67D2A82E">
            <w:pPr>
              <w:widowControl/>
              <w:jc w:val="center"/>
              <w:rPr>
                <w:rFonts w:eastAsia="仿宋_GB2312"/>
                <w:kern w:val="0"/>
                <w:szCs w:val="21"/>
              </w:rPr>
            </w:pPr>
            <w:r>
              <w:rPr>
                <w:rFonts w:eastAsia="仿宋_GB2312"/>
                <w:kern w:val="0"/>
                <w:szCs w:val="21"/>
              </w:rPr>
              <w:t>HW49</w:t>
            </w:r>
          </w:p>
        </w:tc>
        <w:tc>
          <w:tcPr>
            <w:tcW w:w="1042" w:type="pct"/>
            <w:tcBorders>
              <w:tl2br w:val="nil"/>
              <w:tr2bl w:val="nil"/>
            </w:tcBorders>
            <w:vAlign w:val="center"/>
          </w:tcPr>
          <w:p w14:paraId="178ACECB">
            <w:pPr>
              <w:widowControl/>
              <w:jc w:val="center"/>
              <w:rPr>
                <w:rFonts w:eastAsia="仿宋_GB2312"/>
                <w:kern w:val="0"/>
                <w:szCs w:val="21"/>
              </w:rPr>
            </w:pPr>
            <w:r>
              <w:rPr>
                <w:rFonts w:eastAsia="仿宋_GB2312"/>
                <w:kern w:val="0"/>
                <w:szCs w:val="21"/>
              </w:rPr>
              <w:t>900-047-49</w:t>
            </w:r>
          </w:p>
        </w:tc>
        <w:tc>
          <w:tcPr>
            <w:tcW w:w="465" w:type="pct"/>
            <w:vMerge w:val="continue"/>
            <w:tcBorders>
              <w:tl2br w:val="nil"/>
              <w:tr2bl w:val="nil"/>
            </w:tcBorders>
            <w:vAlign w:val="center"/>
          </w:tcPr>
          <w:p w14:paraId="432C12AB">
            <w:pPr>
              <w:widowControl/>
              <w:jc w:val="center"/>
              <w:rPr>
                <w:rFonts w:eastAsia="仿宋_GB2312"/>
                <w:kern w:val="0"/>
                <w:szCs w:val="21"/>
              </w:rPr>
            </w:pPr>
          </w:p>
        </w:tc>
        <w:tc>
          <w:tcPr>
            <w:tcW w:w="384" w:type="pct"/>
            <w:tcBorders>
              <w:tl2br w:val="nil"/>
              <w:tr2bl w:val="nil"/>
            </w:tcBorders>
            <w:shd w:val="clear" w:color="auto" w:fill="auto"/>
            <w:vAlign w:val="center"/>
          </w:tcPr>
          <w:p w14:paraId="0CD50A8F">
            <w:pPr>
              <w:widowControl/>
              <w:jc w:val="center"/>
              <w:textAlignment w:val="center"/>
              <w:rPr>
                <w:rFonts w:eastAsia="仿宋_GB2312"/>
                <w:kern w:val="0"/>
                <w:szCs w:val="21"/>
              </w:rPr>
            </w:pPr>
            <w:r>
              <w:rPr>
                <w:kern w:val="0"/>
                <w:szCs w:val="21"/>
                <w:lang w:bidi="ar"/>
              </w:rPr>
              <w:t>HW49</w:t>
            </w:r>
          </w:p>
        </w:tc>
        <w:tc>
          <w:tcPr>
            <w:tcW w:w="1059" w:type="pct"/>
            <w:tcBorders>
              <w:tl2br w:val="nil"/>
              <w:tr2bl w:val="nil"/>
            </w:tcBorders>
            <w:shd w:val="clear" w:color="auto" w:fill="auto"/>
            <w:vAlign w:val="center"/>
          </w:tcPr>
          <w:p w14:paraId="6402BAA8">
            <w:pPr>
              <w:widowControl/>
              <w:jc w:val="center"/>
              <w:textAlignment w:val="center"/>
              <w:rPr>
                <w:rFonts w:eastAsia="仿宋_GB2312"/>
                <w:kern w:val="0"/>
                <w:szCs w:val="21"/>
              </w:rPr>
            </w:pPr>
            <w:r>
              <w:rPr>
                <w:kern w:val="0"/>
                <w:szCs w:val="21"/>
                <w:lang w:bidi="ar"/>
              </w:rPr>
              <w:t>900-047-49</w:t>
            </w:r>
          </w:p>
        </w:tc>
        <w:tc>
          <w:tcPr>
            <w:tcW w:w="423" w:type="pct"/>
            <w:vMerge w:val="continue"/>
            <w:tcBorders>
              <w:tl2br w:val="nil"/>
              <w:tr2bl w:val="nil"/>
            </w:tcBorders>
            <w:vAlign w:val="center"/>
          </w:tcPr>
          <w:p w14:paraId="57BFAD66">
            <w:pPr>
              <w:widowControl/>
              <w:jc w:val="center"/>
              <w:rPr>
                <w:rFonts w:eastAsia="仿宋_GB2312"/>
                <w:kern w:val="0"/>
                <w:szCs w:val="21"/>
              </w:rPr>
            </w:pPr>
          </w:p>
        </w:tc>
        <w:tc>
          <w:tcPr>
            <w:tcW w:w="605" w:type="pct"/>
            <w:vMerge w:val="continue"/>
            <w:tcBorders>
              <w:tl2br w:val="nil"/>
              <w:tr2bl w:val="nil"/>
            </w:tcBorders>
            <w:vAlign w:val="center"/>
          </w:tcPr>
          <w:p w14:paraId="6F6C113F">
            <w:pPr>
              <w:widowControl/>
              <w:jc w:val="center"/>
              <w:rPr>
                <w:rFonts w:eastAsia="仿宋_GB2312"/>
                <w:kern w:val="0"/>
                <w:szCs w:val="21"/>
              </w:rPr>
            </w:pPr>
          </w:p>
        </w:tc>
      </w:tr>
      <w:tr w14:paraId="47CA7E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3" w:type="pct"/>
            <w:vMerge w:val="restart"/>
            <w:tcBorders>
              <w:tl2br w:val="nil"/>
              <w:tr2bl w:val="nil"/>
            </w:tcBorders>
            <w:vAlign w:val="center"/>
          </w:tcPr>
          <w:p w14:paraId="37D44797">
            <w:pPr>
              <w:widowControl/>
              <w:jc w:val="center"/>
              <w:rPr>
                <w:rFonts w:eastAsia="仿宋_GB2312"/>
                <w:kern w:val="0"/>
                <w:szCs w:val="21"/>
              </w:rPr>
            </w:pPr>
            <w:r>
              <w:rPr>
                <w:rFonts w:eastAsia="仿宋_GB2312"/>
                <w:kern w:val="0"/>
                <w:szCs w:val="21"/>
              </w:rPr>
              <w:t>12</w:t>
            </w:r>
          </w:p>
        </w:tc>
        <w:tc>
          <w:tcPr>
            <w:tcW w:w="372" w:type="pct"/>
            <w:vMerge w:val="restart"/>
            <w:tcBorders>
              <w:tl2br w:val="nil"/>
              <w:tr2bl w:val="nil"/>
            </w:tcBorders>
            <w:vAlign w:val="center"/>
          </w:tcPr>
          <w:p w14:paraId="65CB38BB">
            <w:pPr>
              <w:widowControl/>
              <w:jc w:val="center"/>
              <w:rPr>
                <w:rFonts w:eastAsia="仿宋_GB2312"/>
                <w:kern w:val="0"/>
                <w:szCs w:val="21"/>
              </w:rPr>
            </w:pPr>
            <w:r>
              <w:rPr>
                <w:rFonts w:eastAsia="仿宋_GB2312"/>
                <w:kern w:val="0"/>
                <w:szCs w:val="21"/>
              </w:rPr>
              <w:t>正庚烷废液</w:t>
            </w:r>
          </w:p>
        </w:tc>
        <w:tc>
          <w:tcPr>
            <w:tcW w:w="394" w:type="pct"/>
            <w:tcBorders>
              <w:tl2br w:val="nil"/>
              <w:tr2bl w:val="nil"/>
            </w:tcBorders>
            <w:vAlign w:val="center"/>
          </w:tcPr>
          <w:p w14:paraId="404C45B6">
            <w:pPr>
              <w:widowControl/>
              <w:jc w:val="center"/>
              <w:rPr>
                <w:rFonts w:eastAsia="仿宋_GB2312"/>
                <w:kern w:val="0"/>
                <w:szCs w:val="21"/>
              </w:rPr>
            </w:pPr>
            <w:r>
              <w:rPr>
                <w:rFonts w:eastAsia="仿宋_GB2312"/>
                <w:kern w:val="0"/>
                <w:szCs w:val="21"/>
              </w:rPr>
              <w:t>HW02</w:t>
            </w:r>
          </w:p>
        </w:tc>
        <w:tc>
          <w:tcPr>
            <w:tcW w:w="1042" w:type="pct"/>
            <w:tcBorders>
              <w:tl2br w:val="nil"/>
              <w:tr2bl w:val="nil"/>
            </w:tcBorders>
            <w:vAlign w:val="center"/>
          </w:tcPr>
          <w:p w14:paraId="491B208C">
            <w:pPr>
              <w:widowControl/>
              <w:jc w:val="center"/>
              <w:rPr>
                <w:rFonts w:eastAsia="仿宋_GB2312"/>
                <w:kern w:val="0"/>
                <w:szCs w:val="21"/>
              </w:rPr>
            </w:pPr>
            <w:r>
              <w:rPr>
                <w:rFonts w:eastAsia="仿宋_GB2312"/>
                <w:kern w:val="0"/>
                <w:szCs w:val="21"/>
              </w:rPr>
              <w:t>271-001-02，271-002-02，</w:t>
            </w:r>
            <w:r>
              <w:rPr>
                <w:rFonts w:hint="eastAsia" w:eastAsia="仿宋_GB2312"/>
                <w:kern w:val="0"/>
                <w:szCs w:val="21"/>
              </w:rPr>
              <w:t>271-004-02，</w:t>
            </w:r>
            <w:r>
              <w:rPr>
                <w:rFonts w:eastAsia="仿宋_GB2312"/>
                <w:kern w:val="0"/>
                <w:szCs w:val="21"/>
              </w:rPr>
              <w:t>272-001-02，</w:t>
            </w:r>
            <w:r>
              <w:rPr>
                <w:rFonts w:hint="eastAsia" w:eastAsia="仿宋_GB2312"/>
                <w:kern w:val="0"/>
                <w:szCs w:val="21"/>
              </w:rPr>
              <w:t>272-003-02，275-004-02，275-005-02，</w:t>
            </w:r>
            <w:r>
              <w:rPr>
                <w:rFonts w:eastAsia="仿宋_GB2312"/>
                <w:kern w:val="0"/>
                <w:szCs w:val="21"/>
              </w:rPr>
              <w:t>276-001-02，276-002-02</w:t>
            </w:r>
            <w:r>
              <w:rPr>
                <w:rFonts w:hint="eastAsia" w:eastAsia="仿宋_GB2312"/>
                <w:kern w:val="0"/>
                <w:szCs w:val="21"/>
              </w:rPr>
              <w:t>，276-004-02</w:t>
            </w:r>
          </w:p>
        </w:tc>
        <w:tc>
          <w:tcPr>
            <w:tcW w:w="465" w:type="pct"/>
            <w:vMerge w:val="restart"/>
            <w:tcBorders>
              <w:tl2br w:val="nil"/>
              <w:tr2bl w:val="nil"/>
            </w:tcBorders>
            <w:vAlign w:val="center"/>
          </w:tcPr>
          <w:p w14:paraId="30BC7500">
            <w:pPr>
              <w:widowControl/>
              <w:jc w:val="center"/>
              <w:rPr>
                <w:rFonts w:eastAsia="仿宋_GB2312"/>
                <w:kern w:val="0"/>
                <w:szCs w:val="21"/>
              </w:rPr>
            </w:pPr>
            <w:r>
              <w:rPr>
                <w:rFonts w:eastAsia="仿宋_GB2312"/>
                <w:kern w:val="0"/>
                <w:szCs w:val="21"/>
              </w:rPr>
              <w:t>1475</w:t>
            </w:r>
          </w:p>
        </w:tc>
        <w:tc>
          <w:tcPr>
            <w:tcW w:w="384" w:type="pct"/>
            <w:vMerge w:val="restart"/>
            <w:tcBorders>
              <w:tl2br w:val="nil"/>
              <w:tr2bl w:val="nil"/>
            </w:tcBorders>
            <w:shd w:val="clear" w:color="auto" w:fill="auto"/>
            <w:vAlign w:val="center"/>
          </w:tcPr>
          <w:p w14:paraId="48E1482F">
            <w:pPr>
              <w:widowControl/>
              <w:jc w:val="center"/>
              <w:textAlignment w:val="center"/>
              <w:rPr>
                <w:rFonts w:hint="eastAsia" w:eastAsia="仿宋_GB2312"/>
                <w:kern w:val="0"/>
                <w:szCs w:val="21"/>
                <w:lang w:val="en-US" w:eastAsia="zh-CN"/>
              </w:rPr>
            </w:pPr>
            <w:r>
              <w:rPr>
                <w:rFonts w:hint="eastAsia" w:eastAsia="仿宋_GB2312"/>
                <w:kern w:val="0"/>
                <w:szCs w:val="21"/>
                <w:lang w:val="en-US" w:eastAsia="zh-CN"/>
              </w:rPr>
              <w:t>/</w:t>
            </w:r>
          </w:p>
        </w:tc>
        <w:tc>
          <w:tcPr>
            <w:tcW w:w="1059" w:type="pct"/>
            <w:vMerge w:val="restart"/>
            <w:tcBorders>
              <w:tl2br w:val="nil"/>
              <w:tr2bl w:val="nil"/>
            </w:tcBorders>
            <w:shd w:val="clear" w:color="auto" w:fill="auto"/>
            <w:vAlign w:val="center"/>
          </w:tcPr>
          <w:p w14:paraId="059AFBFC">
            <w:pPr>
              <w:widowControl/>
              <w:jc w:val="center"/>
              <w:textAlignment w:val="center"/>
              <w:rPr>
                <w:rFonts w:hint="eastAsia" w:eastAsia="仿宋_GB2312"/>
                <w:kern w:val="0"/>
                <w:szCs w:val="21"/>
                <w:lang w:val="en-US" w:eastAsia="zh-CN"/>
              </w:rPr>
            </w:pPr>
            <w:r>
              <w:rPr>
                <w:rFonts w:hint="eastAsia" w:eastAsia="仿宋_GB2312"/>
                <w:kern w:val="0"/>
                <w:szCs w:val="21"/>
                <w:lang w:val="en-US" w:eastAsia="zh-CN"/>
              </w:rPr>
              <w:t>/</w:t>
            </w:r>
          </w:p>
        </w:tc>
        <w:tc>
          <w:tcPr>
            <w:tcW w:w="423" w:type="pct"/>
            <w:vMerge w:val="restart"/>
            <w:tcBorders>
              <w:tl2br w:val="nil"/>
              <w:tr2bl w:val="nil"/>
            </w:tcBorders>
            <w:vAlign w:val="center"/>
          </w:tcPr>
          <w:p w14:paraId="25C19BE9">
            <w:pPr>
              <w:widowControl/>
              <w:jc w:val="center"/>
              <w:rPr>
                <w:rFonts w:eastAsia="仿宋_GB2312"/>
                <w:kern w:val="0"/>
                <w:szCs w:val="21"/>
              </w:rPr>
            </w:pPr>
            <w:r>
              <w:rPr>
                <w:rFonts w:hint="eastAsia" w:eastAsia="仿宋_GB2312"/>
                <w:kern w:val="0"/>
                <w:szCs w:val="21"/>
                <w:lang w:val="en-US" w:eastAsia="zh-CN"/>
              </w:rPr>
              <w:t>0</w:t>
            </w:r>
          </w:p>
        </w:tc>
        <w:tc>
          <w:tcPr>
            <w:tcW w:w="605" w:type="pct"/>
            <w:vMerge w:val="restart"/>
            <w:tcBorders>
              <w:tl2br w:val="nil"/>
              <w:tr2bl w:val="nil"/>
            </w:tcBorders>
            <w:vAlign w:val="center"/>
          </w:tcPr>
          <w:p w14:paraId="0F86F750">
            <w:pPr>
              <w:widowControl/>
              <w:jc w:val="center"/>
              <w:rPr>
                <w:rFonts w:eastAsia="仿宋_GB2312"/>
                <w:kern w:val="0"/>
                <w:szCs w:val="21"/>
              </w:rPr>
            </w:pPr>
            <w:r>
              <w:rPr>
                <w:rFonts w:hint="eastAsia" w:eastAsia="仿宋_GB2312"/>
                <w:kern w:val="0"/>
                <w:szCs w:val="21"/>
              </w:rPr>
              <w:t>本次取消</w:t>
            </w:r>
          </w:p>
        </w:tc>
      </w:tr>
      <w:tr w14:paraId="515467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3" w:type="pct"/>
            <w:vMerge w:val="continue"/>
            <w:tcBorders>
              <w:tl2br w:val="nil"/>
              <w:tr2bl w:val="nil"/>
            </w:tcBorders>
            <w:vAlign w:val="center"/>
          </w:tcPr>
          <w:p w14:paraId="0E3076EF">
            <w:pPr>
              <w:widowControl/>
              <w:jc w:val="center"/>
              <w:rPr>
                <w:rFonts w:eastAsia="仿宋_GB2312"/>
                <w:kern w:val="0"/>
                <w:szCs w:val="21"/>
              </w:rPr>
            </w:pPr>
          </w:p>
        </w:tc>
        <w:tc>
          <w:tcPr>
            <w:tcW w:w="372" w:type="pct"/>
            <w:vMerge w:val="continue"/>
            <w:tcBorders>
              <w:tl2br w:val="nil"/>
              <w:tr2bl w:val="nil"/>
            </w:tcBorders>
            <w:vAlign w:val="center"/>
          </w:tcPr>
          <w:p w14:paraId="744F68D1">
            <w:pPr>
              <w:widowControl/>
              <w:jc w:val="center"/>
              <w:rPr>
                <w:rFonts w:eastAsia="仿宋_GB2312"/>
                <w:kern w:val="0"/>
                <w:szCs w:val="21"/>
              </w:rPr>
            </w:pPr>
          </w:p>
        </w:tc>
        <w:tc>
          <w:tcPr>
            <w:tcW w:w="394" w:type="pct"/>
            <w:tcBorders>
              <w:tl2br w:val="nil"/>
              <w:tr2bl w:val="nil"/>
            </w:tcBorders>
            <w:vAlign w:val="center"/>
          </w:tcPr>
          <w:p w14:paraId="25750A65">
            <w:pPr>
              <w:widowControl/>
              <w:jc w:val="center"/>
              <w:rPr>
                <w:rFonts w:eastAsia="仿宋_GB2312"/>
                <w:kern w:val="0"/>
                <w:szCs w:val="21"/>
              </w:rPr>
            </w:pPr>
            <w:r>
              <w:rPr>
                <w:rFonts w:eastAsia="仿宋_GB2312"/>
                <w:kern w:val="0"/>
                <w:szCs w:val="21"/>
              </w:rPr>
              <w:t>HW06</w:t>
            </w:r>
          </w:p>
        </w:tc>
        <w:tc>
          <w:tcPr>
            <w:tcW w:w="1042" w:type="pct"/>
            <w:tcBorders>
              <w:tl2br w:val="nil"/>
              <w:tr2bl w:val="nil"/>
            </w:tcBorders>
            <w:vAlign w:val="center"/>
          </w:tcPr>
          <w:p w14:paraId="161C90E5">
            <w:pPr>
              <w:widowControl/>
              <w:jc w:val="center"/>
              <w:rPr>
                <w:rFonts w:eastAsia="仿宋_GB2312"/>
                <w:kern w:val="0"/>
                <w:szCs w:val="21"/>
              </w:rPr>
            </w:pPr>
            <w:r>
              <w:rPr>
                <w:rFonts w:eastAsia="仿宋_GB2312"/>
                <w:kern w:val="0"/>
                <w:szCs w:val="21"/>
              </w:rPr>
              <w:t>900-402-06，900-404-06，900-407-06</w:t>
            </w:r>
          </w:p>
        </w:tc>
        <w:tc>
          <w:tcPr>
            <w:tcW w:w="465" w:type="pct"/>
            <w:vMerge w:val="continue"/>
            <w:tcBorders>
              <w:tl2br w:val="nil"/>
              <w:tr2bl w:val="nil"/>
            </w:tcBorders>
            <w:vAlign w:val="center"/>
          </w:tcPr>
          <w:p w14:paraId="60EF709D">
            <w:pPr>
              <w:widowControl/>
              <w:jc w:val="center"/>
              <w:rPr>
                <w:rFonts w:eastAsia="仿宋_GB2312"/>
                <w:kern w:val="0"/>
                <w:szCs w:val="21"/>
              </w:rPr>
            </w:pPr>
          </w:p>
        </w:tc>
        <w:tc>
          <w:tcPr>
            <w:tcW w:w="384" w:type="pct"/>
            <w:vMerge w:val="continue"/>
            <w:tcBorders>
              <w:tl2br w:val="nil"/>
              <w:tr2bl w:val="nil"/>
            </w:tcBorders>
            <w:shd w:val="clear" w:color="auto" w:fill="auto"/>
            <w:vAlign w:val="center"/>
          </w:tcPr>
          <w:p w14:paraId="5CC0258E">
            <w:pPr>
              <w:widowControl/>
              <w:jc w:val="center"/>
              <w:textAlignment w:val="center"/>
              <w:rPr>
                <w:rFonts w:eastAsia="仿宋_GB2312"/>
                <w:kern w:val="0"/>
                <w:szCs w:val="21"/>
              </w:rPr>
            </w:pPr>
          </w:p>
        </w:tc>
        <w:tc>
          <w:tcPr>
            <w:tcW w:w="1059" w:type="pct"/>
            <w:vMerge w:val="continue"/>
            <w:tcBorders>
              <w:tl2br w:val="nil"/>
              <w:tr2bl w:val="nil"/>
            </w:tcBorders>
            <w:shd w:val="clear" w:color="auto" w:fill="auto"/>
            <w:vAlign w:val="center"/>
          </w:tcPr>
          <w:p w14:paraId="526D8F5A">
            <w:pPr>
              <w:widowControl/>
              <w:jc w:val="center"/>
              <w:textAlignment w:val="center"/>
              <w:rPr>
                <w:rFonts w:eastAsia="仿宋_GB2312"/>
                <w:kern w:val="0"/>
                <w:szCs w:val="21"/>
              </w:rPr>
            </w:pPr>
          </w:p>
        </w:tc>
        <w:tc>
          <w:tcPr>
            <w:tcW w:w="423" w:type="pct"/>
            <w:vMerge w:val="continue"/>
            <w:tcBorders>
              <w:tl2br w:val="nil"/>
              <w:tr2bl w:val="nil"/>
            </w:tcBorders>
            <w:vAlign w:val="center"/>
          </w:tcPr>
          <w:p w14:paraId="50215692">
            <w:pPr>
              <w:widowControl/>
              <w:jc w:val="center"/>
              <w:rPr>
                <w:rFonts w:eastAsia="仿宋_GB2312"/>
                <w:kern w:val="0"/>
                <w:szCs w:val="21"/>
              </w:rPr>
            </w:pPr>
          </w:p>
        </w:tc>
        <w:tc>
          <w:tcPr>
            <w:tcW w:w="605" w:type="pct"/>
            <w:vMerge w:val="continue"/>
            <w:tcBorders>
              <w:tl2br w:val="nil"/>
              <w:tr2bl w:val="nil"/>
            </w:tcBorders>
            <w:vAlign w:val="center"/>
          </w:tcPr>
          <w:p w14:paraId="2A0307F1">
            <w:pPr>
              <w:widowControl/>
              <w:jc w:val="center"/>
              <w:rPr>
                <w:rFonts w:eastAsia="仿宋_GB2312"/>
                <w:kern w:val="0"/>
                <w:szCs w:val="21"/>
              </w:rPr>
            </w:pPr>
          </w:p>
        </w:tc>
      </w:tr>
      <w:tr w14:paraId="063B6A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3" w:type="pct"/>
            <w:vMerge w:val="continue"/>
            <w:tcBorders>
              <w:tl2br w:val="nil"/>
              <w:tr2bl w:val="nil"/>
            </w:tcBorders>
            <w:vAlign w:val="center"/>
          </w:tcPr>
          <w:p w14:paraId="2E10368F">
            <w:pPr>
              <w:widowControl/>
              <w:jc w:val="center"/>
              <w:rPr>
                <w:rFonts w:eastAsia="仿宋_GB2312"/>
                <w:kern w:val="0"/>
                <w:szCs w:val="21"/>
              </w:rPr>
            </w:pPr>
          </w:p>
        </w:tc>
        <w:tc>
          <w:tcPr>
            <w:tcW w:w="372" w:type="pct"/>
            <w:vMerge w:val="continue"/>
            <w:tcBorders>
              <w:tl2br w:val="nil"/>
              <w:tr2bl w:val="nil"/>
            </w:tcBorders>
            <w:vAlign w:val="center"/>
          </w:tcPr>
          <w:p w14:paraId="3F09D8C0">
            <w:pPr>
              <w:widowControl/>
              <w:jc w:val="center"/>
              <w:rPr>
                <w:rFonts w:eastAsia="仿宋_GB2312"/>
                <w:kern w:val="0"/>
                <w:szCs w:val="21"/>
              </w:rPr>
            </w:pPr>
          </w:p>
        </w:tc>
        <w:tc>
          <w:tcPr>
            <w:tcW w:w="394" w:type="pct"/>
            <w:tcBorders>
              <w:tl2br w:val="nil"/>
              <w:tr2bl w:val="nil"/>
            </w:tcBorders>
            <w:vAlign w:val="center"/>
          </w:tcPr>
          <w:p w14:paraId="77CD1E8E">
            <w:pPr>
              <w:widowControl/>
              <w:jc w:val="center"/>
              <w:rPr>
                <w:rFonts w:eastAsia="仿宋_GB2312"/>
                <w:kern w:val="0"/>
                <w:szCs w:val="21"/>
              </w:rPr>
            </w:pPr>
            <w:r>
              <w:rPr>
                <w:rFonts w:eastAsia="仿宋_GB2312"/>
                <w:kern w:val="0"/>
                <w:szCs w:val="21"/>
              </w:rPr>
              <w:t>HW11</w:t>
            </w:r>
          </w:p>
        </w:tc>
        <w:tc>
          <w:tcPr>
            <w:tcW w:w="1042" w:type="pct"/>
            <w:tcBorders>
              <w:tl2br w:val="nil"/>
              <w:tr2bl w:val="nil"/>
            </w:tcBorders>
            <w:vAlign w:val="center"/>
          </w:tcPr>
          <w:p w14:paraId="131A2181">
            <w:pPr>
              <w:widowControl/>
              <w:jc w:val="center"/>
              <w:rPr>
                <w:rFonts w:eastAsia="仿宋_GB2312"/>
                <w:kern w:val="0"/>
                <w:szCs w:val="21"/>
              </w:rPr>
            </w:pPr>
            <w:r>
              <w:rPr>
                <w:rFonts w:eastAsia="仿宋_GB2312"/>
                <w:kern w:val="0"/>
                <w:szCs w:val="21"/>
              </w:rPr>
              <w:t>900-013-11，261-128-11，261-129-11，261-130-11，261-013-11，261-031-11</w:t>
            </w:r>
          </w:p>
        </w:tc>
        <w:tc>
          <w:tcPr>
            <w:tcW w:w="465" w:type="pct"/>
            <w:vMerge w:val="continue"/>
            <w:tcBorders>
              <w:tl2br w:val="nil"/>
              <w:tr2bl w:val="nil"/>
            </w:tcBorders>
            <w:vAlign w:val="center"/>
          </w:tcPr>
          <w:p w14:paraId="6C840556">
            <w:pPr>
              <w:widowControl/>
              <w:jc w:val="center"/>
              <w:rPr>
                <w:rFonts w:eastAsia="仿宋_GB2312"/>
                <w:kern w:val="0"/>
                <w:szCs w:val="21"/>
              </w:rPr>
            </w:pPr>
          </w:p>
        </w:tc>
        <w:tc>
          <w:tcPr>
            <w:tcW w:w="384" w:type="pct"/>
            <w:vMerge w:val="continue"/>
            <w:tcBorders>
              <w:tl2br w:val="nil"/>
              <w:tr2bl w:val="nil"/>
            </w:tcBorders>
            <w:shd w:val="clear" w:color="auto" w:fill="auto"/>
            <w:vAlign w:val="center"/>
          </w:tcPr>
          <w:p w14:paraId="1FCDAC48">
            <w:pPr>
              <w:widowControl/>
              <w:jc w:val="center"/>
              <w:textAlignment w:val="center"/>
              <w:rPr>
                <w:rFonts w:eastAsia="仿宋_GB2312"/>
                <w:kern w:val="0"/>
                <w:szCs w:val="21"/>
              </w:rPr>
            </w:pPr>
          </w:p>
        </w:tc>
        <w:tc>
          <w:tcPr>
            <w:tcW w:w="1059" w:type="pct"/>
            <w:vMerge w:val="continue"/>
            <w:tcBorders>
              <w:tl2br w:val="nil"/>
              <w:tr2bl w:val="nil"/>
            </w:tcBorders>
            <w:shd w:val="clear" w:color="auto" w:fill="auto"/>
            <w:vAlign w:val="center"/>
          </w:tcPr>
          <w:p w14:paraId="3056F955">
            <w:pPr>
              <w:widowControl/>
              <w:jc w:val="center"/>
              <w:textAlignment w:val="center"/>
              <w:rPr>
                <w:rFonts w:eastAsia="仿宋_GB2312"/>
                <w:kern w:val="0"/>
                <w:szCs w:val="21"/>
              </w:rPr>
            </w:pPr>
          </w:p>
        </w:tc>
        <w:tc>
          <w:tcPr>
            <w:tcW w:w="423" w:type="pct"/>
            <w:vMerge w:val="continue"/>
            <w:tcBorders>
              <w:tl2br w:val="nil"/>
              <w:tr2bl w:val="nil"/>
            </w:tcBorders>
            <w:vAlign w:val="center"/>
          </w:tcPr>
          <w:p w14:paraId="13A80E0B">
            <w:pPr>
              <w:widowControl/>
              <w:jc w:val="center"/>
              <w:rPr>
                <w:rFonts w:eastAsia="仿宋_GB2312"/>
                <w:kern w:val="0"/>
                <w:szCs w:val="21"/>
              </w:rPr>
            </w:pPr>
          </w:p>
        </w:tc>
        <w:tc>
          <w:tcPr>
            <w:tcW w:w="605" w:type="pct"/>
            <w:vMerge w:val="continue"/>
            <w:tcBorders>
              <w:tl2br w:val="nil"/>
              <w:tr2bl w:val="nil"/>
            </w:tcBorders>
            <w:vAlign w:val="center"/>
          </w:tcPr>
          <w:p w14:paraId="312F7F82">
            <w:pPr>
              <w:widowControl/>
              <w:jc w:val="center"/>
              <w:rPr>
                <w:rFonts w:eastAsia="仿宋_GB2312"/>
                <w:kern w:val="0"/>
                <w:szCs w:val="21"/>
              </w:rPr>
            </w:pPr>
          </w:p>
        </w:tc>
      </w:tr>
      <w:tr w14:paraId="02FDD4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3" w:type="pct"/>
            <w:vMerge w:val="continue"/>
            <w:tcBorders>
              <w:tl2br w:val="nil"/>
              <w:tr2bl w:val="nil"/>
            </w:tcBorders>
            <w:vAlign w:val="center"/>
          </w:tcPr>
          <w:p w14:paraId="3082EC7B">
            <w:pPr>
              <w:widowControl/>
              <w:jc w:val="center"/>
              <w:rPr>
                <w:rFonts w:eastAsia="仿宋_GB2312"/>
                <w:kern w:val="0"/>
                <w:szCs w:val="21"/>
              </w:rPr>
            </w:pPr>
          </w:p>
        </w:tc>
        <w:tc>
          <w:tcPr>
            <w:tcW w:w="372" w:type="pct"/>
            <w:vMerge w:val="continue"/>
            <w:tcBorders>
              <w:tl2br w:val="nil"/>
              <w:tr2bl w:val="nil"/>
            </w:tcBorders>
            <w:vAlign w:val="center"/>
          </w:tcPr>
          <w:p w14:paraId="29B6FC5B">
            <w:pPr>
              <w:widowControl/>
              <w:jc w:val="center"/>
              <w:rPr>
                <w:rFonts w:eastAsia="仿宋_GB2312"/>
                <w:kern w:val="0"/>
                <w:szCs w:val="21"/>
              </w:rPr>
            </w:pPr>
          </w:p>
        </w:tc>
        <w:tc>
          <w:tcPr>
            <w:tcW w:w="394" w:type="pct"/>
            <w:tcBorders>
              <w:tl2br w:val="nil"/>
              <w:tr2bl w:val="nil"/>
            </w:tcBorders>
            <w:vAlign w:val="center"/>
          </w:tcPr>
          <w:p w14:paraId="6BFC0872">
            <w:pPr>
              <w:widowControl/>
              <w:jc w:val="center"/>
              <w:rPr>
                <w:rFonts w:eastAsia="仿宋_GB2312"/>
                <w:kern w:val="0"/>
                <w:szCs w:val="21"/>
              </w:rPr>
            </w:pPr>
            <w:r>
              <w:rPr>
                <w:rFonts w:eastAsia="仿宋_GB2312"/>
                <w:kern w:val="0"/>
                <w:szCs w:val="21"/>
              </w:rPr>
              <w:t>HW12</w:t>
            </w:r>
          </w:p>
        </w:tc>
        <w:tc>
          <w:tcPr>
            <w:tcW w:w="1042" w:type="pct"/>
            <w:tcBorders>
              <w:tl2br w:val="nil"/>
              <w:tr2bl w:val="nil"/>
            </w:tcBorders>
            <w:vAlign w:val="center"/>
          </w:tcPr>
          <w:p w14:paraId="3EDCF201">
            <w:pPr>
              <w:widowControl/>
              <w:jc w:val="center"/>
              <w:rPr>
                <w:rFonts w:eastAsia="仿宋_GB2312"/>
                <w:kern w:val="0"/>
                <w:szCs w:val="21"/>
              </w:rPr>
            </w:pPr>
            <w:r>
              <w:rPr>
                <w:rFonts w:eastAsia="仿宋_GB2312"/>
                <w:kern w:val="0"/>
                <w:szCs w:val="21"/>
              </w:rPr>
              <w:t>264-011-12，264-013-12，900-250-12，900-251-12，900-252-12，900-253-12</w:t>
            </w:r>
          </w:p>
        </w:tc>
        <w:tc>
          <w:tcPr>
            <w:tcW w:w="465" w:type="pct"/>
            <w:vMerge w:val="continue"/>
            <w:tcBorders>
              <w:tl2br w:val="nil"/>
              <w:tr2bl w:val="nil"/>
            </w:tcBorders>
            <w:vAlign w:val="center"/>
          </w:tcPr>
          <w:p w14:paraId="3D3CDC1E">
            <w:pPr>
              <w:widowControl/>
              <w:jc w:val="center"/>
              <w:rPr>
                <w:rFonts w:eastAsia="仿宋_GB2312"/>
                <w:kern w:val="0"/>
                <w:szCs w:val="21"/>
              </w:rPr>
            </w:pPr>
          </w:p>
        </w:tc>
        <w:tc>
          <w:tcPr>
            <w:tcW w:w="384" w:type="pct"/>
            <w:vMerge w:val="continue"/>
            <w:tcBorders>
              <w:tl2br w:val="nil"/>
              <w:tr2bl w:val="nil"/>
            </w:tcBorders>
            <w:shd w:val="clear" w:color="auto" w:fill="auto"/>
            <w:vAlign w:val="center"/>
          </w:tcPr>
          <w:p w14:paraId="62D536E0">
            <w:pPr>
              <w:widowControl/>
              <w:jc w:val="center"/>
              <w:textAlignment w:val="center"/>
              <w:rPr>
                <w:rFonts w:eastAsia="仿宋_GB2312"/>
                <w:kern w:val="0"/>
                <w:szCs w:val="21"/>
              </w:rPr>
            </w:pPr>
          </w:p>
        </w:tc>
        <w:tc>
          <w:tcPr>
            <w:tcW w:w="1059" w:type="pct"/>
            <w:vMerge w:val="continue"/>
            <w:tcBorders>
              <w:tl2br w:val="nil"/>
              <w:tr2bl w:val="nil"/>
            </w:tcBorders>
            <w:shd w:val="clear" w:color="auto" w:fill="auto"/>
            <w:vAlign w:val="center"/>
          </w:tcPr>
          <w:p w14:paraId="28A71042">
            <w:pPr>
              <w:widowControl/>
              <w:jc w:val="center"/>
              <w:textAlignment w:val="center"/>
              <w:rPr>
                <w:rFonts w:eastAsia="仿宋_GB2312"/>
                <w:kern w:val="0"/>
                <w:szCs w:val="21"/>
              </w:rPr>
            </w:pPr>
          </w:p>
        </w:tc>
        <w:tc>
          <w:tcPr>
            <w:tcW w:w="423" w:type="pct"/>
            <w:vMerge w:val="continue"/>
            <w:tcBorders>
              <w:tl2br w:val="nil"/>
              <w:tr2bl w:val="nil"/>
            </w:tcBorders>
            <w:vAlign w:val="center"/>
          </w:tcPr>
          <w:p w14:paraId="2C27887F">
            <w:pPr>
              <w:widowControl/>
              <w:jc w:val="center"/>
              <w:rPr>
                <w:rFonts w:eastAsia="仿宋_GB2312"/>
                <w:kern w:val="0"/>
                <w:szCs w:val="21"/>
              </w:rPr>
            </w:pPr>
          </w:p>
        </w:tc>
        <w:tc>
          <w:tcPr>
            <w:tcW w:w="605" w:type="pct"/>
            <w:vMerge w:val="continue"/>
            <w:tcBorders>
              <w:tl2br w:val="nil"/>
              <w:tr2bl w:val="nil"/>
            </w:tcBorders>
            <w:vAlign w:val="center"/>
          </w:tcPr>
          <w:p w14:paraId="03AC45C9">
            <w:pPr>
              <w:widowControl/>
              <w:jc w:val="center"/>
              <w:rPr>
                <w:rFonts w:eastAsia="仿宋_GB2312"/>
                <w:kern w:val="0"/>
                <w:szCs w:val="21"/>
              </w:rPr>
            </w:pPr>
          </w:p>
        </w:tc>
      </w:tr>
      <w:tr w14:paraId="44DDD8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3" w:type="pct"/>
            <w:vMerge w:val="continue"/>
            <w:tcBorders>
              <w:tl2br w:val="nil"/>
              <w:tr2bl w:val="nil"/>
            </w:tcBorders>
            <w:vAlign w:val="center"/>
          </w:tcPr>
          <w:p w14:paraId="5ED70A49">
            <w:pPr>
              <w:widowControl/>
              <w:jc w:val="center"/>
              <w:rPr>
                <w:rFonts w:eastAsia="仿宋_GB2312"/>
                <w:kern w:val="0"/>
                <w:szCs w:val="21"/>
              </w:rPr>
            </w:pPr>
          </w:p>
        </w:tc>
        <w:tc>
          <w:tcPr>
            <w:tcW w:w="372" w:type="pct"/>
            <w:vMerge w:val="continue"/>
            <w:tcBorders>
              <w:tl2br w:val="nil"/>
              <w:tr2bl w:val="nil"/>
            </w:tcBorders>
            <w:vAlign w:val="center"/>
          </w:tcPr>
          <w:p w14:paraId="7AB27221">
            <w:pPr>
              <w:widowControl/>
              <w:jc w:val="center"/>
              <w:rPr>
                <w:rFonts w:eastAsia="仿宋_GB2312"/>
                <w:kern w:val="0"/>
                <w:szCs w:val="21"/>
              </w:rPr>
            </w:pPr>
          </w:p>
        </w:tc>
        <w:tc>
          <w:tcPr>
            <w:tcW w:w="394" w:type="pct"/>
            <w:tcBorders>
              <w:tl2br w:val="nil"/>
              <w:tr2bl w:val="nil"/>
            </w:tcBorders>
            <w:vAlign w:val="center"/>
          </w:tcPr>
          <w:p w14:paraId="2AD14424">
            <w:pPr>
              <w:widowControl/>
              <w:jc w:val="center"/>
              <w:rPr>
                <w:rFonts w:eastAsia="仿宋_GB2312"/>
                <w:kern w:val="0"/>
                <w:szCs w:val="21"/>
              </w:rPr>
            </w:pPr>
            <w:r>
              <w:rPr>
                <w:rFonts w:eastAsia="仿宋_GB2312"/>
                <w:kern w:val="0"/>
                <w:szCs w:val="21"/>
              </w:rPr>
              <w:t>HW13</w:t>
            </w:r>
          </w:p>
        </w:tc>
        <w:tc>
          <w:tcPr>
            <w:tcW w:w="1042" w:type="pct"/>
            <w:tcBorders>
              <w:tl2br w:val="nil"/>
              <w:tr2bl w:val="nil"/>
            </w:tcBorders>
            <w:vAlign w:val="center"/>
          </w:tcPr>
          <w:p w14:paraId="392FDF23">
            <w:pPr>
              <w:widowControl/>
              <w:jc w:val="center"/>
              <w:rPr>
                <w:rFonts w:eastAsia="仿宋_GB2312"/>
                <w:kern w:val="0"/>
                <w:szCs w:val="21"/>
              </w:rPr>
            </w:pPr>
            <w:r>
              <w:rPr>
                <w:rFonts w:eastAsia="仿宋_GB2312"/>
                <w:kern w:val="0"/>
                <w:szCs w:val="21"/>
              </w:rPr>
              <w:t>265-102-13</w:t>
            </w:r>
          </w:p>
        </w:tc>
        <w:tc>
          <w:tcPr>
            <w:tcW w:w="465" w:type="pct"/>
            <w:vMerge w:val="continue"/>
            <w:tcBorders>
              <w:tl2br w:val="nil"/>
              <w:tr2bl w:val="nil"/>
            </w:tcBorders>
            <w:vAlign w:val="center"/>
          </w:tcPr>
          <w:p w14:paraId="7C90152E">
            <w:pPr>
              <w:widowControl/>
              <w:jc w:val="center"/>
              <w:rPr>
                <w:rFonts w:eastAsia="仿宋_GB2312"/>
                <w:kern w:val="0"/>
                <w:szCs w:val="21"/>
              </w:rPr>
            </w:pPr>
          </w:p>
        </w:tc>
        <w:tc>
          <w:tcPr>
            <w:tcW w:w="384" w:type="pct"/>
            <w:vMerge w:val="continue"/>
            <w:tcBorders>
              <w:tl2br w:val="nil"/>
              <w:tr2bl w:val="nil"/>
            </w:tcBorders>
            <w:shd w:val="clear" w:color="auto" w:fill="auto"/>
            <w:vAlign w:val="center"/>
          </w:tcPr>
          <w:p w14:paraId="3E899340">
            <w:pPr>
              <w:widowControl/>
              <w:jc w:val="center"/>
              <w:textAlignment w:val="center"/>
              <w:rPr>
                <w:rFonts w:eastAsia="仿宋_GB2312"/>
                <w:kern w:val="0"/>
                <w:szCs w:val="21"/>
              </w:rPr>
            </w:pPr>
          </w:p>
        </w:tc>
        <w:tc>
          <w:tcPr>
            <w:tcW w:w="1059" w:type="pct"/>
            <w:vMerge w:val="continue"/>
            <w:tcBorders>
              <w:tl2br w:val="nil"/>
              <w:tr2bl w:val="nil"/>
            </w:tcBorders>
            <w:shd w:val="clear" w:color="auto" w:fill="auto"/>
            <w:vAlign w:val="center"/>
          </w:tcPr>
          <w:p w14:paraId="3EE2DCBC">
            <w:pPr>
              <w:widowControl/>
              <w:jc w:val="center"/>
              <w:textAlignment w:val="center"/>
              <w:rPr>
                <w:rFonts w:eastAsia="仿宋_GB2312"/>
                <w:kern w:val="0"/>
                <w:szCs w:val="21"/>
              </w:rPr>
            </w:pPr>
          </w:p>
        </w:tc>
        <w:tc>
          <w:tcPr>
            <w:tcW w:w="423" w:type="pct"/>
            <w:vMerge w:val="continue"/>
            <w:tcBorders>
              <w:tl2br w:val="nil"/>
              <w:tr2bl w:val="nil"/>
            </w:tcBorders>
            <w:vAlign w:val="center"/>
          </w:tcPr>
          <w:p w14:paraId="203AF403">
            <w:pPr>
              <w:widowControl/>
              <w:jc w:val="center"/>
              <w:rPr>
                <w:rFonts w:eastAsia="仿宋_GB2312"/>
                <w:kern w:val="0"/>
                <w:szCs w:val="21"/>
              </w:rPr>
            </w:pPr>
          </w:p>
        </w:tc>
        <w:tc>
          <w:tcPr>
            <w:tcW w:w="605" w:type="pct"/>
            <w:vMerge w:val="continue"/>
            <w:tcBorders>
              <w:tl2br w:val="nil"/>
              <w:tr2bl w:val="nil"/>
            </w:tcBorders>
            <w:vAlign w:val="center"/>
          </w:tcPr>
          <w:p w14:paraId="10AFD728">
            <w:pPr>
              <w:widowControl/>
              <w:jc w:val="center"/>
              <w:rPr>
                <w:rFonts w:eastAsia="仿宋_GB2312"/>
                <w:kern w:val="0"/>
                <w:szCs w:val="21"/>
              </w:rPr>
            </w:pPr>
          </w:p>
        </w:tc>
      </w:tr>
      <w:tr w14:paraId="10D299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3" w:type="pct"/>
            <w:vMerge w:val="restart"/>
            <w:tcBorders>
              <w:tl2br w:val="nil"/>
              <w:tr2bl w:val="nil"/>
            </w:tcBorders>
            <w:vAlign w:val="center"/>
          </w:tcPr>
          <w:p w14:paraId="0DCC235B">
            <w:pPr>
              <w:widowControl/>
              <w:jc w:val="center"/>
              <w:rPr>
                <w:rFonts w:eastAsia="仿宋_GB2312"/>
                <w:kern w:val="0"/>
                <w:szCs w:val="21"/>
              </w:rPr>
            </w:pPr>
            <w:r>
              <w:rPr>
                <w:rFonts w:eastAsia="仿宋_GB2312"/>
                <w:kern w:val="0"/>
                <w:szCs w:val="21"/>
              </w:rPr>
              <w:t>13</w:t>
            </w:r>
          </w:p>
        </w:tc>
        <w:tc>
          <w:tcPr>
            <w:tcW w:w="372" w:type="pct"/>
            <w:vMerge w:val="restart"/>
            <w:tcBorders>
              <w:tl2br w:val="nil"/>
              <w:tr2bl w:val="nil"/>
            </w:tcBorders>
            <w:vAlign w:val="center"/>
          </w:tcPr>
          <w:p w14:paraId="6B751A7F">
            <w:pPr>
              <w:widowControl/>
              <w:jc w:val="center"/>
              <w:rPr>
                <w:rFonts w:eastAsia="仿宋_GB2312"/>
                <w:kern w:val="0"/>
                <w:szCs w:val="21"/>
              </w:rPr>
            </w:pPr>
            <w:r>
              <w:rPr>
                <w:rFonts w:eastAsia="仿宋_GB2312"/>
                <w:kern w:val="0"/>
                <w:szCs w:val="21"/>
              </w:rPr>
              <w:t>乙腈废液</w:t>
            </w:r>
          </w:p>
        </w:tc>
        <w:tc>
          <w:tcPr>
            <w:tcW w:w="394" w:type="pct"/>
            <w:tcBorders>
              <w:tl2br w:val="nil"/>
              <w:tr2bl w:val="nil"/>
            </w:tcBorders>
            <w:vAlign w:val="center"/>
          </w:tcPr>
          <w:p w14:paraId="06865C12">
            <w:pPr>
              <w:widowControl/>
              <w:jc w:val="center"/>
              <w:rPr>
                <w:rFonts w:eastAsia="仿宋_GB2312"/>
                <w:kern w:val="0"/>
                <w:szCs w:val="21"/>
              </w:rPr>
            </w:pPr>
            <w:r>
              <w:rPr>
                <w:rFonts w:eastAsia="仿宋_GB2312"/>
                <w:kern w:val="0"/>
                <w:szCs w:val="21"/>
              </w:rPr>
              <w:t>HW02</w:t>
            </w:r>
          </w:p>
        </w:tc>
        <w:tc>
          <w:tcPr>
            <w:tcW w:w="1042" w:type="pct"/>
            <w:tcBorders>
              <w:tl2br w:val="nil"/>
              <w:tr2bl w:val="nil"/>
            </w:tcBorders>
            <w:vAlign w:val="center"/>
          </w:tcPr>
          <w:p w14:paraId="6B86E199">
            <w:pPr>
              <w:widowControl/>
              <w:jc w:val="center"/>
              <w:rPr>
                <w:rFonts w:eastAsia="仿宋_GB2312"/>
                <w:kern w:val="0"/>
                <w:szCs w:val="21"/>
              </w:rPr>
            </w:pPr>
            <w:r>
              <w:rPr>
                <w:rFonts w:eastAsia="仿宋_GB2312"/>
                <w:kern w:val="0"/>
                <w:szCs w:val="21"/>
              </w:rPr>
              <w:t>271-001-02，271-002-02，</w:t>
            </w:r>
            <w:r>
              <w:rPr>
                <w:rFonts w:hint="eastAsia" w:eastAsia="仿宋_GB2312"/>
                <w:kern w:val="0"/>
                <w:szCs w:val="21"/>
              </w:rPr>
              <w:t>271-004-02，</w:t>
            </w:r>
            <w:r>
              <w:rPr>
                <w:rFonts w:eastAsia="仿宋_GB2312"/>
                <w:kern w:val="0"/>
                <w:szCs w:val="21"/>
              </w:rPr>
              <w:t>272-001-02，</w:t>
            </w:r>
            <w:r>
              <w:rPr>
                <w:rFonts w:hint="eastAsia" w:eastAsia="仿宋_GB2312"/>
                <w:kern w:val="0"/>
                <w:szCs w:val="21"/>
              </w:rPr>
              <w:t>272-003-02，275-004-02，275-005-02，</w:t>
            </w:r>
            <w:r>
              <w:rPr>
                <w:rFonts w:eastAsia="仿宋_GB2312"/>
                <w:kern w:val="0"/>
                <w:szCs w:val="21"/>
              </w:rPr>
              <w:t>276-001-02，276-002-02</w:t>
            </w:r>
            <w:r>
              <w:rPr>
                <w:rFonts w:hint="eastAsia" w:eastAsia="仿宋_GB2312"/>
                <w:kern w:val="0"/>
                <w:szCs w:val="21"/>
              </w:rPr>
              <w:t>，276-004-02</w:t>
            </w:r>
          </w:p>
        </w:tc>
        <w:tc>
          <w:tcPr>
            <w:tcW w:w="465" w:type="pct"/>
            <w:vMerge w:val="restart"/>
            <w:tcBorders>
              <w:tl2br w:val="nil"/>
              <w:tr2bl w:val="nil"/>
            </w:tcBorders>
            <w:vAlign w:val="center"/>
          </w:tcPr>
          <w:p w14:paraId="30899A3A">
            <w:pPr>
              <w:widowControl/>
              <w:jc w:val="center"/>
              <w:rPr>
                <w:rFonts w:eastAsia="仿宋_GB2312"/>
                <w:kern w:val="0"/>
                <w:szCs w:val="21"/>
              </w:rPr>
            </w:pPr>
            <w:r>
              <w:rPr>
                <w:rFonts w:eastAsia="仿宋_GB2312"/>
                <w:kern w:val="0"/>
                <w:szCs w:val="21"/>
              </w:rPr>
              <w:t>1650</w:t>
            </w:r>
          </w:p>
        </w:tc>
        <w:tc>
          <w:tcPr>
            <w:tcW w:w="384" w:type="pct"/>
            <w:tcBorders>
              <w:tl2br w:val="nil"/>
              <w:tr2bl w:val="nil"/>
            </w:tcBorders>
            <w:shd w:val="clear" w:color="auto" w:fill="auto"/>
            <w:vAlign w:val="center"/>
          </w:tcPr>
          <w:p w14:paraId="29EE6F6D">
            <w:pPr>
              <w:widowControl/>
              <w:jc w:val="center"/>
              <w:textAlignment w:val="center"/>
              <w:rPr>
                <w:rFonts w:eastAsia="仿宋_GB2312"/>
                <w:kern w:val="0"/>
                <w:szCs w:val="21"/>
              </w:rPr>
            </w:pPr>
            <w:r>
              <w:rPr>
                <w:kern w:val="0"/>
                <w:szCs w:val="21"/>
                <w:lang w:bidi="ar"/>
              </w:rPr>
              <w:t>HW02</w:t>
            </w:r>
          </w:p>
        </w:tc>
        <w:tc>
          <w:tcPr>
            <w:tcW w:w="1059" w:type="pct"/>
            <w:tcBorders>
              <w:tl2br w:val="nil"/>
              <w:tr2bl w:val="nil"/>
            </w:tcBorders>
            <w:shd w:val="clear" w:color="auto" w:fill="auto"/>
            <w:vAlign w:val="center"/>
          </w:tcPr>
          <w:p w14:paraId="3B355F98">
            <w:pPr>
              <w:widowControl/>
              <w:jc w:val="center"/>
              <w:textAlignment w:val="center"/>
              <w:rPr>
                <w:rFonts w:eastAsia="仿宋_GB2312"/>
                <w:kern w:val="0"/>
                <w:szCs w:val="21"/>
              </w:rPr>
            </w:pPr>
            <w:r>
              <w:rPr>
                <w:kern w:val="0"/>
                <w:szCs w:val="21"/>
                <w:lang w:bidi="ar"/>
              </w:rPr>
              <w:t>271-001-02</w:t>
            </w:r>
            <w:r>
              <w:rPr>
                <w:rFonts w:ascii="仿宋_GB2312" w:eastAsia="仿宋_GB2312" w:cs="仿宋_GB2312"/>
                <w:kern w:val="0"/>
                <w:szCs w:val="21"/>
                <w:lang w:bidi="ar"/>
              </w:rPr>
              <w:t>，</w:t>
            </w:r>
            <w:r>
              <w:rPr>
                <w:kern w:val="0"/>
                <w:szCs w:val="21"/>
                <w:lang w:bidi="ar"/>
              </w:rPr>
              <w:t>271-002-02</w:t>
            </w:r>
            <w:r>
              <w:rPr>
                <w:rFonts w:ascii="仿宋_GB2312" w:eastAsia="仿宋_GB2312" w:cs="仿宋_GB2312"/>
                <w:kern w:val="0"/>
                <w:szCs w:val="21"/>
                <w:lang w:bidi="ar"/>
              </w:rPr>
              <w:t>，</w:t>
            </w:r>
            <w:r>
              <w:rPr>
                <w:kern w:val="0"/>
                <w:szCs w:val="21"/>
                <w:lang w:bidi="ar"/>
              </w:rPr>
              <w:t>272-001-02</w:t>
            </w:r>
            <w:r>
              <w:rPr>
                <w:rFonts w:ascii="仿宋_GB2312" w:eastAsia="仿宋_GB2312" w:cs="仿宋_GB2312"/>
                <w:kern w:val="0"/>
                <w:szCs w:val="21"/>
                <w:lang w:bidi="ar"/>
              </w:rPr>
              <w:t>，</w:t>
            </w:r>
            <w:r>
              <w:rPr>
                <w:b/>
                <w:bCs/>
                <w:kern w:val="0"/>
                <w:szCs w:val="21"/>
                <w:lang w:bidi="ar"/>
              </w:rPr>
              <w:t>272-00</w:t>
            </w:r>
            <w:r>
              <w:rPr>
                <w:rFonts w:hint="eastAsia"/>
                <w:b/>
                <w:bCs/>
                <w:kern w:val="0"/>
                <w:szCs w:val="21"/>
                <w:lang w:val="en-US" w:eastAsia="zh-CN" w:bidi="ar"/>
              </w:rPr>
              <w:t>5</w:t>
            </w:r>
            <w:r>
              <w:rPr>
                <w:b/>
                <w:bCs/>
                <w:kern w:val="0"/>
                <w:szCs w:val="21"/>
                <w:lang w:bidi="ar"/>
              </w:rPr>
              <w:t>-02</w:t>
            </w:r>
            <w:r>
              <w:rPr>
                <w:rFonts w:ascii="仿宋_GB2312" w:eastAsia="仿宋_GB2312" w:cs="仿宋_GB2312"/>
                <w:kern w:val="0"/>
                <w:szCs w:val="21"/>
                <w:lang w:bidi="ar"/>
              </w:rPr>
              <w:t>，</w:t>
            </w:r>
            <w:r>
              <w:rPr>
                <w:kern w:val="0"/>
                <w:szCs w:val="21"/>
                <w:lang w:bidi="ar"/>
              </w:rPr>
              <w:t>275-004-02</w:t>
            </w:r>
            <w:r>
              <w:rPr>
                <w:rFonts w:ascii="仿宋_GB2312" w:eastAsia="仿宋_GB2312" w:cs="仿宋_GB2312"/>
                <w:kern w:val="0"/>
                <w:szCs w:val="21"/>
                <w:lang w:bidi="ar"/>
              </w:rPr>
              <w:t>，</w:t>
            </w:r>
            <w:r>
              <w:rPr>
                <w:b/>
                <w:bCs/>
                <w:kern w:val="0"/>
                <w:szCs w:val="21"/>
                <w:lang w:bidi="ar"/>
              </w:rPr>
              <w:t>275-00</w:t>
            </w:r>
            <w:r>
              <w:rPr>
                <w:rFonts w:hint="eastAsia"/>
                <w:b/>
                <w:bCs/>
                <w:kern w:val="0"/>
                <w:szCs w:val="21"/>
                <w:lang w:val="en-US" w:eastAsia="zh-CN" w:bidi="ar"/>
              </w:rPr>
              <w:t>6</w:t>
            </w:r>
            <w:r>
              <w:rPr>
                <w:b/>
                <w:bCs/>
                <w:kern w:val="0"/>
                <w:szCs w:val="21"/>
                <w:lang w:bidi="ar"/>
              </w:rPr>
              <w:t>-02</w:t>
            </w:r>
            <w:r>
              <w:rPr>
                <w:rFonts w:ascii="仿宋_GB2312" w:eastAsia="仿宋_GB2312" w:cs="仿宋_GB2312"/>
                <w:kern w:val="0"/>
                <w:szCs w:val="21"/>
                <w:lang w:bidi="ar"/>
              </w:rPr>
              <w:t>，</w:t>
            </w:r>
            <w:r>
              <w:rPr>
                <w:kern w:val="0"/>
                <w:szCs w:val="21"/>
                <w:lang w:bidi="ar"/>
              </w:rPr>
              <w:t>276-001-02</w:t>
            </w:r>
            <w:r>
              <w:rPr>
                <w:rFonts w:ascii="仿宋_GB2312" w:eastAsia="仿宋_GB2312" w:cs="仿宋_GB2312"/>
                <w:kern w:val="0"/>
                <w:szCs w:val="21"/>
                <w:lang w:bidi="ar"/>
              </w:rPr>
              <w:t>，</w:t>
            </w:r>
            <w:r>
              <w:rPr>
                <w:kern w:val="0"/>
                <w:szCs w:val="21"/>
                <w:lang w:bidi="ar"/>
              </w:rPr>
              <w:t>276-002-02</w:t>
            </w:r>
            <w:r>
              <w:rPr>
                <w:rFonts w:ascii="仿宋_GB2312" w:eastAsia="仿宋_GB2312" w:cs="仿宋_GB2312"/>
                <w:kern w:val="0"/>
                <w:szCs w:val="21"/>
                <w:lang w:bidi="ar"/>
              </w:rPr>
              <w:t>，</w:t>
            </w:r>
            <w:r>
              <w:rPr>
                <w:b/>
                <w:bCs/>
                <w:kern w:val="0"/>
                <w:szCs w:val="21"/>
                <w:lang w:bidi="ar"/>
              </w:rPr>
              <w:t>276-00</w:t>
            </w:r>
            <w:r>
              <w:rPr>
                <w:rFonts w:hint="eastAsia"/>
                <w:b/>
                <w:bCs/>
                <w:kern w:val="0"/>
                <w:szCs w:val="21"/>
                <w:lang w:val="en-US" w:eastAsia="zh-CN" w:bidi="ar"/>
              </w:rPr>
              <w:t>5</w:t>
            </w:r>
            <w:r>
              <w:rPr>
                <w:b/>
                <w:bCs/>
                <w:kern w:val="0"/>
                <w:szCs w:val="21"/>
                <w:lang w:bidi="ar"/>
              </w:rPr>
              <w:t>-02</w:t>
            </w:r>
          </w:p>
        </w:tc>
        <w:tc>
          <w:tcPr>
            <w:tcW w:w="423" w:type="pct"/>
            <w:vMerge w:val="restart"/>
            <w:tcBorders>
              <w:tl2br w:val="nil"/>
              <w:tr2bl w:val="nil"/>
            </w:tcBorders>
            <w:vAlign w:val="center"/>
          </w:tcPr>
          <w:p w14:paraId="09A13080">
            <w:pPr>
              <w:widowControl/>
              <w:jc w:val="center"/>
              <w:rPr>
                <w:rFonts w:eastAsia="仿宋_GB2312"/>
                <w:kern w:val="0"/>
                <w:szCs w:val="21"/>
              </w:rPr>
            </w:pPr>
            <w:r>
              <w:rPr>
                <w:rFonts w:hint="eastAsia" w:eastAsia="仿宋_GB2312"/>
                <w:kern w:val="0"/>
                <w:szCs w:val="21"/>
                <w:lang w:val="en-US" w:eastAsia="zh-CN"/>
              </w:rPr>
              <w:t>43</w:t>
            </w:r>
            <w:r>
              <w:rPr>
                <w:rFonts w:hint="eastAsia" w:eastAsia="仿宋_GB2312"/>
                <w:kern w:val="0"/>
                <w:szCs w:val="21"/>
              </w:rPr>
              <w:t>650</w:t>
            </w:r>
          </w:p>
        </w:tc>
        <w:tc>
          <w:tcPr>
            <w:tcW w:w="605" w:type="pct"/>
            <w:vMerge w:val="restart"/>
            <w:tcBorders>
              <w:tl2br w:val="nil"/>
              <w:tr2bl w:val="nil"/>
            </w:tcBorders>
            <w:vAlign w:val="center"/>
          </w:tcPr>
          <w:p w14:paraId="07CE4FA8">
            <w:pPr>
              <w:widowControl/>
              <w:jc w:val="center"/>
              <w:rPr>
                <w:rFonts w:eastAsia="仿宋_GB2312"/>
                <w:kern w:val="0"/>
                <w:szCs w:val="21"/>
              </w:rPr>
            </w:pPr>
            <w:r>
              <w:rPr>
                <w:rFonts w:eastAsia="仿宋_GB2312"/>
                <w:bCs/>
              </w:rPr>
              <w:t>回收综合利用量增加，危废代码增加</w:t>
            </w:r>
          </w:p>
        </w:tc>
      </w:tr>
      <w:tr w14:paraId="3351AE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3" w:type="pct"/>
            <w:vMerge w:val="continue"/>
            <w:tcBorders>
              <w:tl2br w:val="nil"/>
              <w:tr2bl w:val="nil"/>
            </w:tcBorders>
            <w:vAlign w:val="center"/>
          </w:tcPr>
          <w:p w14:paraId="7A57A98D">
            <w:pPr>
              <w:widowControl/>
              <w:jc w:val="center"/>
              <w:rPr>
                <w:rFonts w:eastAsia="仿宋_GB2312"/>
                <w:kern w:val="0"/>
                <w:szCs w:val="21"/>
              </w:rPr>
            </w:pPr>
          </w:p>
        </w:tc>
        <w:tc>
          <w:tcPr>
            <w:tcW w:w="372" w:type="pct"/>
            <w:vMerge w:val="continue"/>
            <w:tcBorders>
              <w:tl2br w:val="nil"/>
              <w:tr2bl w:val="nil"/>
            </w:tcBorders>
            <w:vAlign w:val="center"/>
          </w:tcPr>
          <w:p w14:paraId="10106F33">
            <w:pPr>
              <w:widowControl/>
              <w:jc w:val="center"/>
              <w:rPr>
                <w:rFonts w:eastAsia="仿宋_GB2312"/>
                <w:kern w:val="0"/>
                <w:szCs w:val="21"/>
              </w:rPr>
            </w:pPr>
          </w:p>
        </w:tc>
        <w:tc>
          <w:tcPr>
            <w:tcW w:w="394" w:type="pct"/>
            <w:tcBorders>
              <w:tl2br w:val="nil"/>
              <w:tr2bl w:val="nil"/>
            </w:tcBorders>
            <w:shd w:val="clear" w:color="auto" w:fill="auto"/>
            <w:vAlign w:val="center"/>
          </w:tcPr>
          <w:p w14:paraId="6186BD6F">
            <w:pPr>
              <w:widowControl/>
              <w:jc w:val="center"/>
              <w:rPr>
                <w:rFonts w:eastAsia="仿宋_GB2312"/>
                <w:kern w:val="0"/>
                <w:szCs w:val="21"/>
              </w:rPr>
            </w:pPr>
            <w:r>
              <w:rPr>
                <w:rFonts w:hint="eastAsia" w:eastAsia="仿宋_GB2312"/>
                <w:kern w:val="0"/>
                <w:szCs w:val="21"/>
              </w:rPr>
              <w:t>/</w:t>
            </w:r>
          </w:p>
        </w:tc>
        <w:tc>
          <w:tcPr>
            <w:tcW w:w="1042" w:type="pct"/>
            <w:tcBorders>
              <w:tl2br w:val="nil"/>
              <w:tr2bl w:val="nil"/>
            </w:tcBorders>
            <w:shd w:val="clear" w:color="auto" w:fill="auto"/>
            <w:vAlign w:val="center"/>
          </w:tcPr>
          <w:p w14:paraId="091E373A">
            <w:pPr>
              <w:widowControl/>
              <w:jc w:val="center"/>
              <w:rPr>
                <w:rFonts w:eastAsia="仿宋_GB2312"/>
                <w:kern w:val="0"/>
                <w:szCs w:val="21"/>
              </w:rPr>
            </w:pPr>
            <w:r>
              <w:rPr>
                <w:rFonts w:hint="eastAsia" w:eastAsia="仿宋_GB2312"/>
                <w:kern w:val="0"/>
                <w:szCs w:val="21"/>
              </w:rPr>
              <w:t>/</w:t>
            </w:r>
          </w:p>
        </w:tc>
        <w:tc>
          <w:tcPr>
            <w:tcW w:w="465" w:type="pct"/>
            <w:vMerge w:val="continue"/>
            <w:tcBorders>
              <w:tl2br w:val="nil"/>
              <w:tr2bl w:val="nil"/>
            </w:tcBorders>
            <w:vAlign w:val="center"/>
          </w:tcPr>
          <w:p w14:paraId="67394EC3">
            <w:pPr>
              <w:widowControl/>
              <w:jc w:val="center"/>
              <w:rPr>
                <w:rFonts w:eastAsia="仿宋_GB2312"/>
                <w:kern w:val="0"/>
                <w:szCs w:val="21"/>
              </w:rPr>
            </w:pPr>
          </w:p>
        </w:tc>
        <w:tc>
          <w:tcPr>
            <w:tcW w:w="384" w:type="pct"/>
            <w:tcBorders>
              <w:tl2br w:val="nil"/>
              <w:tr2bl w:val="nil"/>
            </w:tcBorders>
            <w:shd w:val="clear" w:color="auto" w:fill="auto"/>
            <w:vAlign w:val="center"/>
          </w:tcPr>
          <w:p w14:paraId="1C8F6C81">
            <w:pPr>
              <w:widowControl/>
              <w:jc w:val="center"/>
              <w:textAlignment w:val="center"/>
              <w:rPr>
                <w:rFonts w:eastAsia="仿宋_GB2312"/>
                <w:kern w:val="0"/>
                <w:szCs w:val="21"/>
              </w:rPr>
            </w:pPr>
            <w:r>
              <w:rPr>
                <w:b/>
                <w:bCs/>
                <w:kern w:val="0"/>
                <w:szCs w:val="21"/>
                <w:lang w:bidi="ar"/>
              </w:rPr>
              <w:t>HW04</w:t>
            </w:r>
          </w:p>
        </w:tc>
        <w:tc>
          <w:tcPr>
            <w:tcW w:w="1059" w:type="pct"/>
            <w:tcBorders>
              <w:tl2br w:val="nil"/>
              <w:tr2bl w:val="nil"/>
            </w:tcBorders>
            <w:shd w:val="clear" w:color="auto" w:fill="auto"/>
            <w:vAlign w:val="center"/>
          </w:tcPr>
          <w:p w14:paraId="4542464A">
            <w:pPr>
              <w:widowControl/>
              <w:jc w:val="center"/>
              <w:textAlignment w:val="center"/>
              <w:rPr>
                <w:rFonts w:eastAsia="仿宋_GB2312"/>
                <w:kern w:val="0"/>
                <w:szCs w:val="21"/>
              </w:rPr>
            </w:pPr>
            <w:r>
              <w:rPr>
                <w:b/>
                <w:bCs/>
                <w:kern w:val="0"/>
                <w:szCs w:val="21"/>
                <w:lang w:bidi="ar"/>
              </w:rPr>
              <w:t>263-008-04</w:t>
            </w:r>
          </w:p>
        </w:tc>
        <w:tc>
          <w:tcPr>
            <w:tcW w:w="423" w:type="pct"/>
            <w:vMerge w:val="continue"/>
            <w:tcBorders>
              <w:tl2br w:val="nil"/>
              <w:tr2bl w:val="nil"/>
            </w:tcBorders>
            <w:vAlign w:val="center"/>
          </w:tcPr>
          <w:p w14:paraId="1A8F4BEB">
            <w:pPr>
              <w:widowControl/>
              <w:jc w:val="center"/>
              <w:rPr>
                <w:rFonts w:eastAsia="仿宋_GB2312"/>
                <w:kern w:val="0"/>
                <w:szCs w:val="21"/>
              </w:rPr>
            </w:pPr>
          </w:p>
        </w:tc>
        <w:tc>
          <w:tcPr>
            <w:tcW w:w="605" w:type="pct"/>
            <w:vMerge w:val="continue"/>
            <w:tcBorders>
              <w:tl2br w:val="nil"/>
              <w:tr2bl w:val="nil"/>
            </w:tcBorders>
            <w:vAlign w:val="center"/>
          </w:tcPr>
          <w:p w14:paraId="06603158">
            <w:pPr>
              <w:widowControl/>
              <w:jc w:val="center"/>
              <w:rPr>
                <w:rFonts w:eastAsia="仿宋_GB2312"/>
                <w:bCs/>
              </w:rPr>
            </w:pPr>
          </w:p>
        </w:tc>
      </w:tr>
      <w:tr w14:paraId="6152EE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3" w:type="pct"/>
            <w:vMerge w:val="continue"/>
            <w:tcBorders>
              <w:tl2br w:val="nil"/>
              <w:tr2bl w:val="nil"/>
            </w:tcBorders>
            <w:vAlign w:val="center"/>
          </w:tcPr>
          <w:p w14:paraId="5FA2FA51">
            <w:pPr>
              <w:widowControl/>
              <w:jc w:val="center"/>
              <w:rPr>
                <w:rFonts w:eastAsia="仿宋_GB2312"/>
                <w:kern w:val="0"/>
                <w:szCs w:val="21"/>
              </w:rPr>
            </w:pPr>
          </w:p>
        </w:tc>
        <w:tc>
          <w:tcPr>
            <w:tcW w:w="372" w:type="pct"/>
            <w:vMerge w:val="continue"/>
            <w:tcBorders>
              <w:tl2br w:val="nil"/>
              <w:tr2bl w:val="nil"/>
            </w:tcBorders>
            <w:vAlign w:val="center"/>
          </w:tcPr>
          <w:p w14:paraId="0A69E91E">
            <w:pPr>
              <w:widowControl/>
              <w:jc w:val="center"/>
              <w:rPr>
                <w:rFonts w:eastAsia="仿宋_GB2312"/>
                <w:kern w:val="0"/>
                <w:szCs w:val="21"/>
              </w:rPr>
            </w:pPr>
          </w:p>
        </w:tc>
        <w:tc>
          <w:tcPr>
            <w:tcW w:w="394" w:type="pct"/>
            <w:tcBorders>
              <w:tl2br w:val="nil"/>
              <w:tr2bl w:val="nil"/>
            </w:tcBorders>
            <w:vAlign w:val="center"/>
          </w:tcPr>
          <w:p w14:paraId="1C20E8C3">
            <w:pPr>
              <w:widowControl/>
              <w:jc w:val="center"/>
              <w:rPr>
                <w:rFonts w:eastAsia="仿宋_GB2312"/>
                <w:kern w:val="0"/>
                <w:szCs w:val="21"/>
              </w:rPr>
            </w:pPr>
            <w:r>
              <w:rPr>
                <w:rFonts w:eastAsia="仿宋_GB2312"/>
                <w:kern w:val="0"/>
                <w:szCs w:val="21"/>
              </w:rPr>
              <w:t>HW06</w:t>
            </w:r>
          </w:p>
        </w:tc>
        <w:tc>
          <w:tcPr>
            <w:tcW w:w="1042" w:type="pct"/>
            <w:tcBorders>
              <w:tl2br w:val="nil"/>
              <w:tr2bl w:val="nil"/>
            </w:tcBorders>
            <w:vAlign w:val="center"/>
          </w:tcPr>
          <w:p w14:paraId="358E318B">
            <w:pPr>
              <w:widowControl/>
              <w:jc w:val="center"/>
              <w:rPr>
                <w:rFonts w:eastAsia="仿宋_GB2312"/>
                <w:kern w:val="0"/>
                <w:szCs w:val="21"/>
              </w:rPr>
            </w:pPr>
            <w:r>
              <w:rPr>
                <w:rFonts w:eastAsia="仿宋_GB2312"/>
                <w:kern w:val="0"/>
                <w:szCs w:val="21"/>
              </w:rPr>
              <w:t>900-402-06，900-404-06，900-407-06</w:t>
            </w:r>
          </w:p>
        </w:tc>
        <w:tc>
          <w:tcPr>
            <w:tcW w:w="465" w:type="pct"/>
            <w:vMerge w:val="continue"/>
            <w:tcBorders>
              <w:tl2br w:val="nil"/>
              <w:tr2bl w:val="nil"/>
            </w:tcBorders>
            <w:vAlign w:val="center"/>
          </w:tcPr>
          <w:p w14:paraId="2B0F7DE2">
            <w:pPr>
              <w:widowControl/>
              <w:jc w:val="center"/>
              <w:rPr>
                <w:rFonts w:eastAsia="仿宋_GB2312"/>
                <w:kern w:val="0"/>
                <w:szCs w:val="21"/>
              </w:rPr>
            </w:pPr>
          </w:p>
        </w:tc>
        <w:tc>
          <w:tcPr>
            <w:tcW w:w="384" w:type="pct"/>
            <w:tcBorders>
              <w:tl2br w:val="nil"/>
              <w:tr2bl w:val="nil"/>
            </w:tcBorders>
            <w:shd w:val="clear" w:color="auto" w:fill="auto"/>
            <w:vAlign w:val="center"/>
          </w:tcPr>
          <w:p w14:paraId="0C5D1F85">
            <w:pPr>
              <w:widowControl/>
              <w:jc w:val="center"/>
              <w:textAlignment w:val="center"/>
              <w:rPr>
                <w:rFonts w:eastAsia="仿宋_GB2312"/>
                <w:kern w:val="0"/>
                <w:szCs w:val="21"/>
              </w:rPr>
            </w:pPr>
            <w:r>
              <w:rPr>
                <w:kern w:val="0"/>
                <w:szCs w:val="21"/>
                <w:lang w:bidi="ar"/>
              </w:rPr>
              <w:t>HW06</w:t>
            </w:r>
          </w:p>
        </w:tc>
        <w:tc>
          <w:tcPr>
            <w:tcW w:w="1059" w:type="pct"/>
            <w:tcBorders>
              <w:tl2br w:val="nil"/>
              <w:tr2bl w:val="nil"/>
            </w:tcBorders>
            <w:shd w:val="clear" w:color="auto" w:fill="auto"/>
            <w:vAlign w:val="center"/>
          </w:tcPr>
          <w:p w14:paraId="6B8EF1AD">
            <w:pPr>
              <w:widowControl/>
              <w:jc w:val="center"/>
              <w:textAlignment w:val="center"/>
              <w:rPr>
                <w:rFonts w:eastAsia="仿宋_GB2312"/>
                <w:kern w:val="0"/>
                <w:szCs w:val="21"/>
              </w:rPr>
            </w:pPr>
            <w:r>
              <w:rPr>
                <w:kern w:val="0"/>
                <w:szCs w:val="21"/>
                <w:lang w:bidi="ar"/>
              </w:rPr>
              <w:t>900-402-06</w:t>
            </w:r>
            <w:r>
              <w:rPr>
                <w:rFonts w:ascii="仿宋_GB2312" w:eastAsia="仿宋_GB2312" w:cs="仿宋_GB2312"/>
                <w:kern w:val="0"/>
                <w:szCs w:val="21"/>
                <w:lang w:bidi="ar"/>
              </w:rPr>
              <w:t>，</w:t>
            </w:r>
            <w:r>
              <w:rPr>
                <w:kern w:val="0"/>
                <w:szCs w:val="21"/>
                <w:lang w:bidi="ar"/>
              </w:rPr>
              <w:t>900-404-06</w:t>
            </w:r>
            <w:r>
              <w:rPr>
                <w:rFonts w:ascii="仿宋_GB2312" w:eastAsia="仿宋_GB2312" w:cs="仿宋_GB2312"/>
                <w:kern w:val="0"/>
                <w:szCs w:val="21"/>
                <w:lang w:bidi="ar"/>
              </w:rPr>
              <w:t>，</w:t>
            </w:r>
            <w:r>
              <w:rPr>
                <w:kern w:val="0"/>
                <w:szCs w:val="21"/>
                <w:lang w:bidi="ar"/>
              </w:rPr>
              <w:t>900-407-06</w:t>
            </w:r>
          </w:p>
        </w:tc>
        <w:tc>
          <w:tcPr>
            <w:tcW w:w="423" w:type="pct"/>
            <w:vMerge w:val="continue"/>
            <w:tcBorders>
              <w:tl2br w:val="nil"/>
              <w:tr2bl w:val="nil"/>
            </w:tcBorders>
            <w:vAlign w:val="center"/>
          </w:tcPr>
          <w:p w14:paraId="65DA7B2C">
            <w:pPr>
              <w:widowControl/>
              <w:jc w:val="center"/>
              <w:rPr>
                <w:rFonts w:eastAsia="仿宋_GB2312"/>
                <w:kern w:val="0"/>
                <w:szCs w:val="21"/>
              </w:rPr>
            </w:pPr>
          </w:p>
        </w:tc>
        <w:tc>
          <w:tcPr>
            <w:tcW w:w="605" w:type="pct"/>
            <w:vMerge w:val="continue"/>
            <w:tcBorders>
              <w:tl2br w:val="nil"/>
              <w:tr2bl w:val="nil"/>
            </w:tcBorders>
            <w:vAlign w:val="center"/>
          </w:tcPr>
          <w:p w14:paraId="09B4349C">
            <w:pPr>
              <w:widowControl/>
              <w:jc w:val="center"/>
              <w:rPr>
                <w:rFonts w:eastAsia="仿宋_GB2312"/>
                <w:kern w:val="0"/>
                <w:szCs w:val="21"/>
              </w:rPr>
            </w:pPr>
          </w:p>
        </w:tc>
      </w:tr>
      <w:tr w14:paraId="2C19E6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3" w:type="pct"/>
            <w:vMerge w:val="continue"/>
            <w:tcBorders>
              <w:tl2br w:val="nil"/>
              <w:tr2bl w:val="nil"/>
            </w:tcBorders>
            <w:vAlign w:val="center"/>
          </w:tcPr>
          <w:p w14:paraId="45884CAD">
            <w:pPr>
              <w:widowControl/>
              <w:jc w:val="center"/>
              <w:rPr>
                <w:rFonts w:eastAsia="仿宋_GB2312"/>
                <w:kern w:val="0"/>
                <w:szCs w:val="21"/>
              </w:rPr>
            </w:pPr>
          </w:p>
        </w:tc>
        <w:tc>
          <w:tcPr>
            <w:tcW w:w="372" w:type="pct"/>
            <w:vMerge w:val="continue"/>
            <w:tcBorders>
              <w:tl2br w:val="nil"/>
              <w:tr2bl w:val="nil"/>
            </w:tcBorders>
            <w:vAlign w:val="center"/>
          </w:tcPr>
          <w:p w14:paraId="18F26D41">
            <w:pPr>
              <w:widowControl/>
              <w:jc w:val="center"/>
              <w:rPr>
                <w:rFonts w:eastAsia="仿宋_GB2312"/>
                <w:kern w:val="0"/>
                <w:szCs w:val="21"/>
              </w:rPr>
            </w:pPr>
          </w:p>
        </w:tc>
        <w:tc>
          <w:tcPr>
            <w:tcW w:w="394" w:type="pct"/>
            <w:tcBorders>
              <w:tl2br w:val="nil"/>
              <w:tr2bl w:val="nil"/>
            </w:tcBorders>
            <w:vAlign w:val="center"/>
          </w:tcPr>
          <w:p w14:paraId="27561960">
            <w:pPr>
              <w:widowControl/>
              <w:jc w:val="center"/>
              <w:rPr>
                <w:rFonts w:eastAsia="仿宋_GB2312"/>
                <w:kern w:val="0"/>
                <w:szCs w:val="21"/>
              </w:rPr>
            </w:pPr>
            <w:r>
              <w:rPr>
                <w:rFonts w:eastAsia="仿宋_GB2312"/>
                <w:kern w:val="0"/>
                <w:szCs w:val="21"/>
              </w:rPr>
              <w:t>HW11</w:t>
            </w:r>
          </w:p>
        </w:tc>
        <w:tc>
          <w:tcPr>
            <w:tcW w:w="1042" w:type="pct"/>
            <w:tcBorders>
              <w:tl2br w:val="nil"/>
              <w:tr2bl w:val="nil"/>
            </w:tcBorders>
            <w:vAlign w:val="center"/>
          </w:tcPr>
          <w:p w14:paraId="2D184BA5">
            <w:pPr>
              <w:widowControl/>
              <w:jc w:val="center"/>
              <w:rPr>
                <w:rFonts w:eastAsia="仿宋_GB2312"/>
                <w:kern w:val="0"/>
                <w:szCs w:val="21"/>
              </w:rPr>
            </w:pPr>
            <w:r>
              <w:rPr>
                <w:rFonts w:eastAsia="仿宋_GB2312"/>
                <w:kern w:val="0"/>
                <w:szCs w:val="21"/>
              </w:rPr>
              <w:t>900-013-11，261-128-11，261-129-11，261-130-11，261-013-11，261-031-11</w:t>
            </w:r>
          </w:p>
        </w:tc>
        <w:tc>
          <w:tcPr>
            <w:tcW w:w="465" w:type="pct"/>
            <w:vMerge w:val="continue"/>
            <w:tcBorders>
              <w:tl2br w:val="nil"/>
              <w:tr2bl w:val="nil"/>
            </w:tcBorders>
            <w:vAlign w:val="center"/>
          </w:tcPr>
          <w:p w14:paraId="181AD5A1">
            <w:pPr>
              <w:widowControl/>
              <w:jc w:val="center"/>
              <w:rPr>
                <w:rFonts w:eastAsia="仿宋_GB2312"/>
                <w:kern w:val="0"/>
                <w:szCs w:val="21"/>
              </w:rPr>
            </w:pPr>
          </w:p>
        </w:tc>
        <w:tc>
          <w:tcPr>
            <w:tcW w:w="384" w:type="pct"/>
            <w:tcBorders>
              <w:tl2br w:val="nil"/>
              <w:tr2bl w:val="nil"/>
            </w:tcBorders>
            <w:shd w:val="clear" w:color="auto" w:fill="auto"/>
            <w:vAlign w:val="center"/>
          </w:tcPr>
          <w:p w14:paraId="58824F6A">
            <w:pPr>
              <w:widowControl/>
              <w:jc w:val="center"/>
              <w:textAlignment w:val="center"/>
              <w:rPr>
                <w:rFonts w:eastAsia="仿宋_GB2312"/>
                <w:kern w:val="0"/>
                <w:szCs w:val="21"/>
              </w:rPr>
            </w:pPr>
            <w:r>
              <w:rPr>
                <w:kern w:val="0"/>
                <w:szCs w:val="21"/>
                <w:lang w:bidi="ar"/>
              </w:rPr>
              <w:t>HW11</w:t>
            </w:r>
          </w:p>
        </w:tc>
        <w:tc>
          <w:tcPr>
            <w:tcW w:w="1059" w:type="pct"/>
            <w:tcBorders>
              <w:tl2br w:val="nil"/>
              <w:tr2bl w:val="nil"/>
            </w:tcBorders>
            <w:shd w:val="clear" w:color="auto" w:fill="auto"/>
            <w:vAlign w:val="center"/>
          </w:tcPr>
          <w:p w14:paraId="1A2D6BC1">
            <w:pPr>
              <w:widowControl/>
              <w:jc w:val="center"/>
              <w:textAlignment w:val="center"/>
              <w:rPr>
                <w:rFonts w:eastAsia="仿宋_GB2312"/>
                <w:kern w:val="0"/>
                <w:szCs w:val="21"/>
              </w:rPr>
            </w:pPr>
            <w:r>
              <w:rPr>
                <w:kern w:val="0"/>
                <w:szCs w:val="21"/>
                <w:lang w:bidi="ar"/>
              </w:rPr>
              <w:t>900-013-11</w:t>
            </w:r>
            <w:r>
              <w:rPr>
                <w:rFonts w:ascii="仿宋_GB2312" w:eastAsia="仿宋_GB2312" w:cs="仿宋_GB2312"/>
                <w:kern w:val="0"/>
                <w:szCs w:val="21"/>
                <w:lang w:bidi="ar"/>
              </w:rPr>
              <w:t>，</w:t>
            </w:r>
            <w:r>
              <w:rPr>
                <w:kern w:val="0"/>
                <w:szCs w:val="21"/>
                <w:lang w:bidi="ar"/>
              </w:rPr>
              <w:t>261-128-11</w:t>
            </w:r>
            <w:r>
              <w:rPr>
                <w:rFonts w:ascii="仿宋_GB2312" w:eastAsia="仿宋_GB2312" w:cs="仿宋_GB2312"/>
                <w:kern w:val="0"/>
                <w:szCs w:val="21"/>
                <w:lang w:bidi="ar"/>
              </w:rPr>
              <w:t>，</w:t>
            </w:r>
            <w:r>
              <w:rPr>
                <w:kern w:val="0"/>
                <w:szCs w:val="21"/>
                <w:lang w:bidi="ar"/>
              </w:rPr>
              <w:t>261-129-11</w:t>
            </w:r>
            <w:r>
              <w:rPr>
                <w:rFonts w:ascii="仿宋_GB2312" w:eastAsia="仿宋_GB2312" w:cs="仿宋_GB2312"/>
                <w:kern w:val="0"/>
                <w:szCs w:val="21"/>
                <w:lang w:bidi="ar"/>
              </w:rPr>
              <w:t>，</w:t>
            </w:r>
            <w:r>
              <w:rPr>
                <w:kern w:val="0"/>
                <w:szCs w:val="21"/>
                <w:lang w:bidi="ar"/>
              </w:rPr>
              <w:t>261-130-11</w:t>
            </w:r>
            <w:r>
              <w:rPr>
                <w:rFonts w:ascii="仿宋_GB2312" w:eastAsia="仿宋_GB2312" w:cs="仿宋_GB2312"/>
                <w:kern w:val="0"/>
                <w:szCs w:val="21"/>
                <w:lang w:bidi="ar"/>
              </w:rPr>
              <w:t>，</w:t>
            </w:r>
            <w:r>
              <w:rPr>
                <w:kern w:val="0"/>
                <w:szCs w:val="21"/>
                <w:lang w:bidi="ar"/>
              </w:rPr>
              <w:t>261-013-11</w:t>
            </w:r>
            <w:r>
              <w:rPr>
                <w:rFonts w:ascii="仿宋_GB2312" w:eastAsia="仿宋_GB2312" w:cs="仿宋_GB2312"/>
                <w:kern w:val="0"/>
                <w:szCs w:val="21"/>
                <w:lang w:bidi="ar"/>
              </w:rPr>
              <w:t>，</w:t>
            </w:r>
            <w:r>
              <w:rPr>
                <w:kern w:val="0"/>
                <w:szCs w:val="21"/>
                <w:lang w:bidi="ar"/>
              </w:rPr>
              <w:t>261-031-11</w:t>
            </w:r>
            <w:r>
              <w:rPr>
                <w:rFonts w:hint="eastAsia" w:ascii="宋体" w:hAnsi="宋体" w:cs="宋体"/>
                <w:kern w:val="0"/>
                <w:szCs w:val="21"/>
                <w:lang w:bidi="ar"/>
              </w:rPr>
              <w:t>，</w:t>
            </w:r>
            <w:r>
              <w:rPr>
                <w:b/>
                <w:bCs/>
                <w:kern w:val="0"/>
                <w:szCs w:val="21"/>
                <w:lang w:bidi="ar"/>
              </w:rPr>
              <w:t>261-012-11</w:t>
            </w:r>
            <w:r>
              <w:rPr>
                <w:rFonts w:hint="eastAsia" w:ascii="宋体" w:hAnsi="宋体" w:cs="宋体"/>
                <w:b/>
                <w:bCs/>
                <w:kern w:val="0"/>
                <w:szCs w:val="21"/>
                <w:lang w:bidi="ar"/>
              </w:rPr>
              <w:t>，</w:t>
            </w:r>
            <w:r>
              <w:rPr>
                <w:b/>
                <w:bCs/>
                <w:kern w:val="0"/>
                <w:szCs w:val="21"/>
                <w:lang w:bidi="ar"/>
              </w:rPr>
              <w:t>261-106-11</w:t>
            </w:r>
          </w:p>
        </w:tc>
        <w:tc>
          <w:tcPr>
            <w:tcW w:w="423" w:type="pct"/>
            <w:vMerge w:val="continue"/>
            <w:tcBorders>
              <w:tl2br w:val="nil"/>
              <w:tr2bl w:val="nil"/>
            </w:tcBorders>
            <w:vAlign w:val="center"/>
          </w:tcPr>
          <w:p w14:paraId="5B8B8136">
            <w:pPr>
              <w:widowControl/>
              <w:jc w:val="center"/>
              <w:rPr>
                <w:rFonts w:eastAsia="仿宋_GB2312"/>
                <w:kern w:val="0"/>
                <w:szCs w:val="21"/>
              </w:rPr>
            </w:pPr>
          </w:p>
        </w:tc>
        <w:tc>
          <w:tcPr>
            <w:tcW w:w="605" w:type="pct"/>
            <w:vMerge w:val="continue"/>
            <w:tcBorders>
              <w:tl2br w:val="nil"/>
              <w:tr2bl w:val="nil"/>
            </w:tcBorders>
            <w:vAlign w:val="center"/>
          </w:tcPr>
          <w:p w14:paraId="11E8D401">
            <w:pPr>
              <w:widowControl/>
              <w:jc w:val="center"/>
              <w:rPr>
                <w:rFonts w:eastAsia="仿宋_GB2312"/>
                <w:kern w:val="0"/>
                <w:szCs w:val="21"/>
              </w:rPr>
            </w:pPr>
          </w:p>
        </w:tc>
      </w:tr>
      <w:tr w14:paraId="288261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3" w:type="pct"/>
            <w:vMerge w:val="continue"/>
            <w:tcBorders>
              <w:tl2br w:val="nil"/>
              <w:tr2bl w:val="nil"/>
            </w:tcBorders>
            <w:vAlign w:val="center"/>
          </w:tcPr>
          <w:p w14:paraId="78B0A3A5">
            <w:pPr>
              <w:widowControl/>
              <w:jc w:val="center"/>
              <w:rPr>
                <w:rFonts w:eastAsia="仿宋_GB2312"/>
                <w:kern w:val="0"/>
                <w:szCs w:val="21"/>
              </w:rPr>
            </w:pPr>
          </w:p>
        </w:tc>
        <w:tc>
          <w:tcPr>
            <w:tcW w:w="372" w:type="pct"/>
            <w:vMerge w:val="continue"/>
            <w:tcBorders>
              <w:tl2br w:val="nil"/>
              <w:tr2bl w:val="nil"/>
            </w:tcBorders>
            <w:vAlign w:val="center"/>
          </w:tcPr>
          <w:p w14:paraId="2B82DAE4">
            <w:pPr>
              <w:widowControl/>
              <w:jc w:val="center"/>
              <w:rPr>
                <w:rFonts w:eastAsia="仿宋_GB2312"/>
                <w:kern w:val="0"/>
                <w:szCs w:val="21"/>
              </w:rPr>
            </w:pPr>
          </w:p>
        </w:tc>
        <w:tc>
          <w:tcPr>
            <w:tcW w:w="394" w:type="pct"/>
            <w:tcBorders>
              <w:tl2br w:val="nil"/>
              <w:tr2bl w:val="nil"/>
            </w:tcBorders>
            <w:vAlign w:val="center"/>
          </w:tcPr>
          <w:p w14:paraId="561430AC">
            <w:pPr>
              <w:widowControl/>
              <w:jc w:val="center"/>
              <w:rPr>
                <w:rFonts w:eastAsia="仿宋_GB2312"/>
                <w:kern w:val="0"/>
                <w:szCs w:val="21"/>
              </w:rPr>
            </w:pPr>
            <w:r>
              <w:rPr>
                <w:rFonts w:eastAsia="仿宋_GB2312"/>
                <w:kern w:val="0"/>
                <w:szCs w:val="21"/>
              </w:rPr>
              <w:t>HW12</w:t>
            </w:r>
          </w:p>
        </w:tc>
        <w:tc>
          <w:tcPr>
            <w:tcW w:w="1042" w:type="pct"/>
            <w:tcBorders>
              <w:tl2br w:val="nil"/>
              <w:tr2bl w:val="nil"/>
            </w:tcBorders>
            <w:vAlign w:val="center"/>
          </w:tcPr>
          <w:p w14:paraId="5F9C1A23">
            <w:pPr>
              <w:widowControl/>
              <w:jc w:val="center"/>
              <w:rPr>
                <w:rFonts w:eastAsia="仿宋_GB2312"/>
                <w:kern w:val="0"/>
                <w:szCs w:val="21"/>
              </w:rPr>
            </w:pPr>
            <w:r>
              <w:rPr>
                <w:rFonts w:eastAsia="仿宋_GB2312"/>
                <w:kern w:val="0"/>
                <w:szCs w:val="21"/>
              </w:rPr>
              <w:t>264-011-12，264-013-12，900-250-12，900-251-12，900-252-12，900-253-12</w:t>
            </w:r>
          </w:p>
        </w:tc>
        <w:tc>
          <w:tcPr>
            <w:tcW w:w="465" w:type="pct"/>
            <w:vMerge w:val="continue"/>
            <w:tcBorders>
              <w:tl2br w:val="nil"/>
              <w:tr2bl w:val="nil"/>
            </w:tcBorders>
            <w:vAlign w:val="center"/>
          </w:tcPr>
          <w:p w14:paraId="02A3A0E3">
            <w:pPr>
              <w:widowControl/>
              <w:jc w:val="center"/>
              <w:rPr>
                <w:rFonts w:eastAsia="仿宋_GB2312"/>
                <w:kern w:val="0"/>
                <w:szCs w:val="21"/>
              </w:rPr>
            </w:pPr>
          </w:p>
        </w:tc>
        <w:tc>
          <w:tcPr>
            <w:tcW w:w="384" w:type="pct"/>
            <w:tcBorders>
              <w:tl2br w:val="nil"/>
              <w:tr2bl w:val="nil"/>
            </w:tcBorders>
            <w:shd w:val="clear" w:color="auto" w:fill="auto"/>
            <w:vAlign w:val="center"/>
          </w:tcPr>
          <w:p w14:paraId="5A5FD4B8">
            <w:pPr>
              <w:widowControl/>
              <w:jc w:val="center"/>
              <w:textAlignment w:val="center"/>
              <w:rPr>
                <w:rFonts w:eastAsia="仿宋_GB2312"/>
                <w:kern w:val="0"/>
                <w:szCs w:val="21"/>
              </w:rPr>
            </w:pPr>
            <w:r>
              <w:rPr>
                <w:kern w:val="0"/>
                <w:szCs w:val="21"/>
                <w:lang w:bidi="ar"/>
              </w:rPr>
              <w:t>HW12</w:t>
            </w:r>
          </w:p>
        </w:tc>
        <w:tc>
          <w:tcPr>
            <w:tcW w:w="1059" w:type="pct"/>
            <w:tcBorders>
              <w:tl2br w:val="nil"/>
              <w:tr2bl w:val="nil"/>
            </w:tcBorders>
            <w:shd w:val="clear" w:color="auto" w:fill="auto"/>
            <w:vAlign w:val="center"/>
          </w:tcPr>
          <w:p w14:paraId="29706FCA">
            <w:pPr>
              <w:widowControl/>
              <w:jc w:val="center"/>
              <w:textAlignment w:val="center"/>
              <w:rPr>
                <w:rFonts w:eastAsia="仿宋_GB2312"/>
                <w:kern w:val="0"/>
                <w:szCs w:val="21"/>
              </w:rPr>
            </w:pPr>
            <w:r>
              <w:rPr>
                <w:kern w:val="0"/>
                <w:szCs w:val="21"/>
                <w:lang w:bidi="ar"/>
              </w:rPr>
              <w:t>264-011-12</w:t>
            </w:r>
            <w:r>
              <w:rPr>
                <w:rFonts w:ascii="仿宋_GB2312" w:eastAsia="仿宋_GB2312" w:cs="仿宋_GB2312"/>
                <w:kern w:val="0"/>
                <w:szCs w:val="21"/>
                <w:lang w:bidi="ar"/>
              </w:rPr>
              <w:t>，</w:t>
            </w:r>
            <w:r>
              <w:rPr>
                <w:kern w:val="0"/>
                <w:szCs w:val="21"/>
                <w:lang w:bidi="ar"/>
              </w:rPr>
              <w:t>264-013-12</w:t>
            </w:r>
            <w:r>
              <w:rPr>
                <w:rFonts w:ascii="仿宋_GB2312" w:eastAsia="仿宋_GB2312" w:cs="仿宋_GB2312"/>
                <w:kern w:val="0"/>
                <w:szCs w:val="21"/>
                <w:lang w:bidi="ar"/>
              </w:rPr>
              <w:t>，</w:t>
            </w:r>
            <w:r>
              <w:rPr>
                <w:kern w:val="0"/>
                <w:szCs w:val="21"/>
                <w:lang w:bidi="ar"/>
              </w:rPr>
              <w:t>900-250-12</w:t>
            </w:r>
            <w:r>
              <w:rPr>
                <w:rFonts w:ascii="仿宋_GB2312" w:eastAsia="仿宋_GB2312" w:cs="仿宋_GB2312"/>
                <w:kern w:val="0"/>
                <w:szCs w:val="21"/>
                <w:lang w:bidi="ar"/>
              </w:rPr>
              <w:t>，</w:t>
            </w:r>
            <w:r>
              <w:rPr>
                <w:kern w:val="0"/>
                <w:szCs w:val="21"/>
                <w:lang w:bidi="ar"/>
              </w:rPr>
              <w:t>900-251-12</w:t>
            </w:r>
            <w:r>
              <w:rPr>
                <w:rFonts w:ascii="仿宋_GB2312" w:eastAsia="仿宋_GB2312" w:cs="仿宋_GB2312"/>
                <w:kern w:val="0"/>
                <w:szCs w:val="21"/>
                <w:lang w:bidi="ar"/>
              </w:rPr>
              <w:t>，</w:t>
            </w:r>
            <w:r>
              <w:rPr>
                <w:kern w:val="0"/>
                <w:szCs w:val="21"/>
                <w:lang w:bidi="ar"/>
              </w:rPr>
              <w:t>900-252-12</w:t>
            </w:r>
            <w:r>
              <w:rPr>
                <w:rFonts w:ascii="仿宋_GB2312" w:eastAsia="仿宋_GB2312" w:cs="仿宋_GB2312"/>
                <w:kern w:val="0"/>
                <w:szCs w:val="21"/>
                <w:lang w:bidi="ar"/>
              </w:rPr>
              <w:t>，</w:t>
            </w:r>
            <w:r>
              <w:rPr>
                <w:kern w:val="0"/>
                <w:szCs w:val="21"/>
                <w:lang w:bidi="ar"/>
              </w:rPr>
              <w:t>900-253-12</w:t>
            </w:r>
            <w:r>
              <w:rPr>
                <w:rFonts w:hint="eastAsia" w:ascii="宋体" w:hAnsi="宋体" w:cs="宋体"/>
                <w:b/>
                <w:bCs/>
                <w:kern w:val="0"/>
                <w:szCs w:val="21"/>
                <w:lang w:bidi="ar"/>
              </w:rPr>
              <w:t>，</w:t>
            </w:r>
            <w:r>
              <w:rPr>
                <w:b/>
                <w:bCs/>
                <w:kern w:val="0"/>
                <w:szCs w:val="21"/>
                <w:lang w:bidi="ar"/>
              </w:rPr>
              <w:t>900-256-12</w:t>
            </w:r>
          </w:p>
        </w:tc>
        <w:tc>
          <w:tcPr>
            <w:tcW w:w="423" w:type="pct"/>
            <w:vMerge w:val="continue"/>
            <w:tcBorders>
              <w:tl2br w:val="nil"/>
              <w:tr2bl w:val="nil"/>
            </w:tcBorders>
            <w:vAlign w:val="center"/>
          </w:tcPr>
          <w:p w14:paraId="597D53CD">
            <w:pPr>
              <w:widowControl/>
              <w:jc w:val="center"/>
              <w:rPr>
                <w:rFonts w:eastAsia="仿宋_GB2312"/>
                <w:kern w:val="0"/>
                <w:szCs w:val="21"/>
              </w:rPr>
            </w:pPr>
          </w:p>
        </w:tc>
        <w:tc>
          <w:tcPr>
            <w:tcW w:w="605" w:type="pct"/>
            <w:vMerge w:val="continue"/>
            <w:tcBorders>
              <w:tl2br w:val="nil"/>
              <w:tr2bl w:val="nil"/>
            </w:tcBorders>
            <w:vAlign w:val="center"/>
          </w:tcPr>
          <w:p w14:paraId="3804BAE3">
            <w:pPr>
              <w:widowControl/>
              <w:jc w:val="center"/>
              <w:rPr>
                <w:rFonts w:eastAsia="仿宋_GB2312"/>
                <w:kern w:val="0"/>
                <w:szCs w:val="21"/>
              </w:rPr>
            </w:pPr>
          </w:p>
        </w:tc>
      </w:tr>
      <w:tr w14:paraId="7E2277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3" w:type="pct"/>
            <w:vMerge w:val="continue"/>
            <w:tcBorders>
              <w:tl2br w:val="nil"/>
              <w:tr2bl w:val="nil"/>
            </w:tcBorders>
            <w:vAlign w:val="center"/>
          </w:tcPr>
          <w:p w14:paraId="2CD0CC64">
            <w:pPr>
              <w:widowControl/>
              <w:jc w:val="center"/>
              <w:rPr>
                <w:rFonts w:eastAsia="仿宋_GB2312"/>
                <w:kern w:val="0"/>
                <w:szCs w:val="21"/>
              </w:rPr>
            </w:pPr>
          </w:p>
        </w:tc>
        <w:tc>
          <w:tcPr>
            <w:tcW w:w="372" w:type="pct"/>
            <w:vMerge w:val="continue"/>
            <w:tcBorders>
              <w:tl2br w:val="nil"/>
              <w:tr2bl w:val="nil"/>
            </w:tcBorders>
            <w:vAlign w:val="center"/>
          </w:tcPr>
          <w:p w14:paraId="613DEE6B">
            <w:pPr>
              <w:widowControl/>
              <w:jc w:val="center"/>
              <w:rPr>
                <w:rFonts w:eastAsia="仿宋_GB2312"/>
                <w:kern w:val="0"/>
                <w:szCs w:val="21"/>
              </w:rPr>
            </w:pPr>
          </w:p>
        </w:tc>
        <w:tc>
          <w:tcPr>
            <w:tcW w:w="394" w:type="pct"/>
            <w:tcBorders>
              <w:tl2br w:val="nil"/>
              <w:tr2bl w:val="nil"/>
            </w:tcBorders>
            <w:vAlign w:val="center"/>
          </w:tcPr>
          <w:p w14:paraId="1FF073C3">
            <w:pPr>
              <w:widowControl/>
              <w:jc w:val="center"/>
              <w:rPr>
                <w:rFonts w:eastAsia="仿宋_GB2312"/>
                <w:kern w:val="0"/>
                <w:szCs w:val="21"/>
              </w:rPr>
            </w:pPr>
            <w:r>
              <w:rPr>
                <w:rFonts w:eastAsia="仿宋_GB2312"/>
                <w:kern w:val="0"/>
                <w:szCs w:val="21"/>
              </w:rPr>
              <w:t>HW13</w:t>
            </w:r>
          </w:p>
        </w:tc>
        <w:tc>
          <w:tcPr>
            <w:tcW w:w="1042" w:type="pct"/>
            <w:tcBorders>
              <w:tl2br w:val="nil"/>
              <w:tr2bl w:val="nil"/>
            </w:tcBorders>
            <w:vAlign w:val="center"/>
          </w:tcPr>
          <w:p w14:paraId="6695C11A">
            <w:pPr>
              <w:widowControl/>
              <w:jc w:val="center"/>
              <w:rPr>
                <w:rFonts w:eastAsia="仿宋_GB2312"/>
                <w:kern w:val="0"/>
                <w:szCs w:val="21"/>
              </w:rPr>
            </w:pPr>
            <w:r>
              <w:rPr>
                <w:rFonts w:eastAsia="仿宋_GB2312"/>
                <w:kern w:val="0"/>
                <w:szCs w:val="21"/>
              </w:rPr>
              <w:t>265-102-13</w:t>
            </w:r>
          </w:p>
        </w:tc>
        <w:tc>
          <w:tcPr>
            <w:tcW w:w="465" w:type="pct"/>
            <w:vMerge w:val="continue"/>
            <w:tcBorders>
              <w:tl2br w:val="nil"/>
              <w:tr2bl w:val="nil"/>
            </w:tcBorders>
            <w:vAlign w:val="center"/>
          </w:tcPr>
          <w:p w14:paraId="1A1DE44E">
            <w:pPr>
              <w:widowControl/>
              <w:jc w:val="center"/>
              <w:rPr>
                <w:rFonts w:eastAsia="仿宋_GB2312"/>
                <w:kern w:val="0"/>
                <w:szCs w:val="21"/>
              </w:rPr>
            </w:pPr>
          </w:p>
        </w:tc>
        <w:tc>
          <w:tcPr>
            <w:tcW w:w="384" w:type="pct"/>
            <w:tcBorders>
              <w:tl2br w:val="nil"/>
              <w:tr2bl w:val="nil"/>
            </w:tcBorders>
            <w:shd w:val="clear" w:color="auto" w:fill="auto"/>
            <w:vAlign w:val="center"/>
          </w:tcPr>
          <w:p w14:paraId="07CC405B">
            <w:pPr>
              <w:widowControl/>
              <w:jc w:val="center"/>
              <w:textAlignment w:val="center"/>
              <w:rPr>
                <w:rFonts w:eastAsia="仿宋_GB2312"/>
                <w:kern w:val="0"/>
                <w:szCs w:val="21"/>
              </w:rPr>
            </w:pPr>
            <w:r>
              <w:rPr>
                <w:kern w:val="0"/>
                <w:szCs w:val="21"/>
                <w:lang w:bidi="ar"/>
              </w:rPr>
              <w:t>HW13</w:t>
            </w:r>
          </w:p>
        </w:tc>
        <w:tc>
          <w:tcPr>
            <w:tcW w:w="1059" w:type="pct"/>
            <w:tcBorders>
              <w:tl2br w:val="nil"/>
              <w:tr2bl w:val="nil"/>
            </w:tcBorders>
            <w:shd w:val="clear" w:color="auto" w:fill="auto"/>
            <w:vAlign w:val="center"/>
          </w:tcPr>
          <w:p w14:paraId="41CDA97E">
            <w:pPr>
              <w:widowControl/>
              <w:jc w:val="center"/>
              <w:textAlignment w:val="center"/>
              <w:rPr>
                <w:rFonts w:eastAsia="仿宋_GB2312"/>
                <w:kern w:val="0"/>
                <w:szCs w:val="21"/>
              </w:rPr>
            </w:pPr>
            <w:r>
              <w:rPr>
                <w:kern w:val="0"/>
                <w:szCs w:val="21"/>
                <w:lang w:bidi="ar"/>
              </w:rPr>
              <w:t>265-102-13</w:t>
            </w:r>
            <w:r>
              <w:rPr>
                <w:rFonts w:hint="eastAsia" w:ascii="宋体" w:hAnsi="宋体" w:cs="宋体"/>
                <w:b/>
                <w:bCs/>
                <w:kern w:val="0"/>
                <w:szCs w:val="21"/>
                <w:lang w:bidi="ar"/>
              </w:rPr>
              <w:t>，</w:t>
            </w:r>
            <w:r>
              <w:rPr>
                <w:b/>
                <w:bCs/>
                <w:kern w:val="0"/>
                <w:szCs w:val="21"/>
                <w:lang w:bidi="ar"/>
              </w:rPr>
              <w:t>900-014-13</w:t>
            </w:r>
          </w:p>
        </w:tc>
        <w:tc>
          <w:tcPr>
            <w:tcW w:w="423" w:type="pct"/>
            <w:vMerge w:val="continue"/>
            <w:tcBorders>
              <w:tl2br w:val="nil"/>
              <w:tr2bl w:val="nil"/>
            </w:tcBorders>
            <w:vAlign w:val="center"/>
          </w:tcPr>
          <w:p w14:paraId="09EC16BA">
            <w:pPr>
              <w:widowControl/>
              <w:jc w:val="center"/>
              <w:rPr>
                <w:rFonts w:eastAsia="仿宋_GB2312"/>
                <w:kern w:val="0"/>
                <w:szCs w:val="21"/>
              </w:rPr>
            </w:pPr>
          </w:p>
        </w:tc>
        <w:tc>
          <w:tcPr>
            <w:tcW w:w="605" w:type="pct"/>
            <w:vMerge w:val="continue"/>
            <w:tcBorders>
              <w:tl2br w:val="nil"/>
              <w:tr2bl w:val="nil"/>
            </w:tcBorders>
            <w:vAlign w:val="center"/>
          </w:tcPr>
          <w:p w14:paraId="413089C7">
            <w:pPr>
              <w:widowControl/>
              <w:jc w:val="center"/>
              <w:rPr>
                <w:rFonts w:eastAsia="仿宋_GB2312"/>
                <w:kern w:val="0"/>
                <w:szCs w:val="21"/>
              </w:rPr>
            </w:pPr>
          </w:p>
        </w:tc>
      </w:tr>
      <w:tr w14:paraId="6F96DE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3" w:type="pct"/>
            <w:vMerge w:val="continue"/>
            <w:tcBorders>
              <w:tl2br w:val="nil"/>
              <w:tr2bl w:val="nil"/>
            </w:tcBorders>
            <w:vAlign w:val="center"/>
          </w:tcPr>
          <w:p w14:paraId="0B522BE8">
            <w:pPr>
              <w:widowControl/>
              <w:jc w:val="center"/>
              <w:rPr>
                <w:rFonts w:eastAsia="仿宋_GB2312"/>
                <w:kern w:val="0"/>
                <w:szCs w:val="21"/>
              </w:rPr>
            </w:pPr>
          </w:p>
        </w:tc>
        <w:tc>
          <w:tcPr>
            <w:tcW w:w="372" w:type="pct"/>
            <w:vMerge w:val="continue"/>
            <w:tcBorders>
              <w:tl2br w:val="nil"/>
              <w:tr2bl w:val="nil"/>
            </w:tcBorders>
            <w:vAlign w:val="center"/>
          </w:tcPr>
          <w:p w14:paraId="6A6B0D2A">
            <w:pPr>
              <w:widowControl/>
              <w:jc w:val="center"/>
              <w:rPr>
                <w:rFonts w:eastAsia="仿宋_GB2312"/>
                <w:kern w:val="0"/>
                <w:szCs w:val="21"/>
              </w:rPr>
            </w:pPr>
          </w:p>
        </w:tc>
        <w:tc>
          <w:tcPr>
            <w:tcW w:w="394" w:type="pct"/>
            <w:tcBorders>
              <w:tl2br w:val="nil"/>
              <w:tr2bl w:val="nil"/>
            </w:tcBorders>
            <w:vAlign w:val="center"/>
          </w:tcPr>
          <w:p w14:paraId="27E4F2B4">
            <w:pPr>
              <w:widowControl/>
              <w:jc w:val="center"/>
              <w:rPr>
                <w:rFonts w:eastAsia="仿宋_GB2312"/>
                <w:kern w:val="0"/>
                <w:szCs w:val="21"/>
              </w:rPr>
            </w:pPr>
            <w:r>
              <w:rPr>
                <w:rFonts w:eastAsia="仿宋_GB2312"/>
                <w:kern w:val="0"/>
                <w:szCs w:val="21"/>
              </w:rPr>
              <w:t>HW49</w:t>
            </w:r>
          </w:p>
        </w:tc>
        <w:tc>
          <w:tcPr>
            <w:tcW w:w="1042" w:type="pct"/>
            <w:tcBorders>
              <w:tl2br w:val="nil"/>
              <w:tr2bl w:val="nil"/>
            </w:tcBorders>
            <w:vAlign w:val="center"/>
          </w:tcPr>
          <w:p w14:paraId="153FB331">
            <w:pPr>
              <w:widowControl/>
              <w:jc w:val="center"/>
              <w:rPr>
                <w:rFonts w:eastAsia="仿宋_GB2312"/>
                <w:kern w:val="0"/>
                <w:szCs w:val="21"/>
              </w:rPr>
            </w:pPr>
            <w:r>
              <w:rPr>
                <w:rFonts w:eastAsia="仿宋_GB2312"/>
                <w:kern w:val="0"/>
                <w:szCs w:val="21"/>
              </w:rPr>
              <w:t>900-047-49</w:t>
            </w:r>
          </w:p>
        </w:tc>
        <w:tc>
          <w:tcPr>
            <w:tcW w:w="465" w:type="pct"/>
            <w:vMerge w:val="continue"/>
            <w:tcBorders>
              <w:tl2br w:val="nil"/>
              <w:tr2bl w:val="nil"/>
            </w:tcBorders>
            <w:vAlign w:val="center"/>
          </w:tcPr>
          <w:p w14:paraId="47CA236F">
            <w:pPr>
              <w:widowControl/>
              <w:jc w:val="center"/>
              <w:rPr>
                <w:rFonts w:eastAsia="仿宋_GB2312"/>
                <w:kern w:val="0"/>
                <w:szCs w:val="21"/>
              </w:rPr>
            </w:pPr>
          </w:p>
        </w:tc>
        <w:tc>
          <w:tcPr>
            <w:tcW w:w="384" w:type="pct"/>
            <w:tcBorders>
              <w:tl2br w:val="nil"/>
              <w:tr2bl w:val="nil"/>
            </w:tcBorders>
            <w:shd w:val="clear" w:color="auto" w:fill="auto"/>
            <w:vAlign w:val="center"/>
          </w:tcPr>
          <w:p w14:paraId="30BE41DA">
            <w:pPr>
              <w:widowControl/>
              <w:jc w:val="center"/>
              <w:textAlignment w:val="center"/>
              <w:rPr>
                <w:rFonts w:eastAsia="仿宋_GB2312"/>
                <w:kern w:val="0"/>
                <w:szCs w:val="21"/>
              </w:rPr>
            </w:pPr>
            <w:r>
              <w:rPr>
                <w:kern w:val="0"/>
                <w:szCs w:val="21"/>
                <w:lang w:bidi="ar"/>
              </w:rPr>
              <w:t>HW49</w:t>
            </w:r>
          </w:p>
        </w:tc>
        <w:tc>
          <w:tcPr>
            <w:tcW w:w="1059" w:type="pct"/>
            <w:tcBorders>
              <w:tl2br w:val="nil"/>
              <w:tr2bl w:val="nil"/>
            </w:tcBorders>
            <w:shd w:val="clear" w:color="auto" w:fill="auto"/>
            <w:vAlign w:val="center"/>
          </w:tcPr>
          <w:p w14:paraId="0DF10A96">
            <w:pPr>
              <w:widowControl/>
              <w:jc w:val="center"/>
              <w:textAlignment w:val="center"/>
              <w:rPr>
                <w:rFonts w:eastAsia="仿宋_GB2312"/>
                <w:kern w:val="0"/>
                <w:szCs w:val="21"/>
              </w:rPr>
            </w:pPr>
            <w:r>
              <w:rPr>
                <w:kern w:val="0"/>
                <w:szCs w:val="21"/>
                <w:lang w:bidi="ar"/>
              </w:rPr>
              <w:t>900-047-49</w:t>
            </w:r>
          </w:p>
        </w:tc>
        <w:tc>
          <w:tcPr>
            <w:tcW w:w="423" w:type="pct"/>
            <w:vMerge w:val="continue"/>
            <w:tcBorders>
              <w:tl2br w:val="nil"/>
              <w:tr2bl w:val="nil"/>
            </w:tcBorders>
            <w:vAlign w:val="center"/>
          </w:tcPr>
          <w:p w14:paraId="732FCD6B">
            <w:pPr>
              <w:widowControl/>
              <w:jc w:val="center"/>
              <w:rPr>
                <w:rFonts w:eastAsia="仿宋_GB2312"/>
                <w:kern w:val="0"/>
                <w:szCs w:val="21"/>
              </w:rPr>
            </w:pPr>
          </w:p>
        </w:tc>
        <w:tc>
          <w:tcPr>
            <w:tcW w:w="605" w:type="pct"/>
            <w:vMerge w:val="continue"/>
            <w:tcBorders>
              <w:tl2br w:val="nil"/>
              <w:tr2bl w:val="nil"/>
            </w:tcBorders>
            <w:vAlign w:val="center"/>
          </w:tcPr>
          <w:p w14:paraId="0BE8732B">
            <w:pPr>
              <w:widowControl/>
              <w:jc w:val="center"/>
              <w:rPr>
                <w:rFonts w:eastAsia="仿宋_GB2312"/>
                <w:kern w:val="0"/>
                <w:szCs w:val="21"/>
              </w:rPr>
            </w:pPr>
          </w:p>
        </w:tc>
      </w:tr>
      <w:tr w14:paraId="754FAE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3" w:type="pct"/>
            <w:vMerge w:val="restart"/>
            <w:tcBorders>
              <w:tl2br w:val="nil"/>
              <w:tr2bl w:val="nil"/>
            </w:tcBorders>
            <w:vAlign w:val="center"/>
          </w:tcPr>
          <w:p w14:paraId="09DB648E">
            <w:pPr>
              <w:widowControl/>
              <w:jc w:val="center"/>
              <w:rPr>
                <w:rFonts w:eastAsia="仿宋_GB2312"/>
                <w:kern w:val="0"/>
                <w:szCs w:val="21"/>
              </w:rPr>
            </w:pPr>
            <w:r>
              <w:rPr>
                <w:rFonts w:eastAsia="仿宋_GB2312"/>
                <w:kern w:val="0"/>
                <w:szCs w:val="21"/>
              </w:rPr>
              <w:t>14</w:t>
            </w:r>
          </w:p>
        </w:tc>
        <w:tc>
          <w:tcPr>
            <w:tcW w:w="372" w:type="pct"/>
            <w:vMerge w:val="restart"/>
            <w:tcBorders>
              <w:tl2br w:val="nil"/>
              <w:tr2bl w:val="nil"/>
            </w:tcBorders>
            <w:vAlign w:val="center"/>
          </w:tcPr>
          <w:p w14:paraId="40AD45C5">
            <w:pPr>
              <w:widowControl/>
              <w:jc w:val="center"/>
              <w:rPr>
                <w:rFonts w:eastAsia="仿宋_GB2312"/>
                <w:kern w:val="0"/>
                <w:szCs w:val="21"/>
              </w:rPr>
            </w:pPr>
            <w:r>
              <w:rPr>
                <w:rFonts w:eastAsia="仿宋_GB2312"/>
                <w:kern w:val="0"/>
                <w:szCs w:val="21"/>
              </w:rPr>
              <w:t>二氯乙烷废液</w:t>
            </w:r>
          </w:p>
        </w:tc>
        <w:tc>
          <w:tcPr>
            <w:tcW w:w="394" w:type="pct"/>
            <w:tcBorders>
              <w:tl2br w:val="nil"/>
              <w:tr2bl w:val="nil"/>
            </w:tcBorders>
            <w:vAlign w:val="center"/>
          </w:tcPr>
          <w:p w14:paraId="525A7A85">
            <w:pPr>
              <w:widowControl/>
              <w:jc w:val="center"/>
              <w:rPr>
                <w:rFonts w:eastAsia="仿宋_GB2312"/>
                <w:kern w:val="0"/>
                <w:szCs w:val="21"/>
              </w:rPr>
            </w:pPr>
            <w:r>
              <w:rPr>
                <w:rFonts w:eastAsia="仿宋_GB2312"/>
                <w:kern w:val="0"/>
                <w:szCs w:val="21"/>
              </w:rPr>
              <w:t>HW02</w:t>
            </w:r>
          </w:p>
        </w:tc>
        <w:tc>
          <w:tcPr>
            <w:tcW w:w="1042" w:type="pct"/>
            <w:tcBorders>
              <w:tl2br w:val="nil"/>
              <w:tr2bl w:val="nil"/>
            </w:tcBorders>
            <w:vAlign w:val="center"/>
          </w:tcPr>
          <w:p w14:paraId="741B25FE">
            <w:pPr>
              <w:widowControl/>
              <w:jc w:val="center"/>
              <w:rPr>
                <w:rFonts w:eastAsia="仿宋_GB2312"/>
                <w:kern w:val="0"/>
                <w:szCs w:val="21"/>
              </w:rPr>
            </w:pPr>
            <w:r>
              <w:rPr>
                <w:rFonts w:eastAsia="仿宋_GB2312"/>
                <w:kern w:val="0"/>
                <w:szCs w:val="21"/>
              </w:rPr>
              <w:t>271-001-02，271-002-02，</w:t>
            </w:r>
            <w:r>
              <w:rPr>
                <w:rFonts w:hint="eastAsia" w:eastAsia="仿宋_GB2312"/>
                <w:kern w:val="0"/>
                <w:szCs w:val="21"/>
              </w:rPr>
              <w:t>271-004-02，</w:t>
            </w:r>
            <w:r>
              <w:rPr>
                <w:rFonts w:eastAsia="仿宋_GB2312"/>
                <w:kern w:val="0"/>
                <w:szCs w:val="21"/>
              </w:rPr>
              <w:t>272-001-02，</w:t>
            </w:r>
            <w:r>
              <w:rPr>
                <w:rFonts w:hint="eastAsia" w:eastAsia="仿宋_GB2312"/>
                <w:kern w:val="0"/>
                <w:szCs w:val="21"/>
              </w:rPr>
              <w:t>272-003-02，275-004-02，275-005-02，</w:t>
            </w:r>
            <w:r>
              <w:rPr>
                <w:rFonts w:eastAsia="仿宋_GB2312"/>
                <w:kern w:val="0"/>
                <w:szCs w:val="21"/>
              </w:rPr>
              <w:t>276-001-02，276-002-02</w:t>
            </w:r>
            <w:r>
              <w:rPr>
                <w:rFonts w:hint="eastAsia" w:eastAsia="仿宋_GB2312"/>
                <w:kern w:val="0"/>
                <w:szCs w:val="21"/>
              </w:rPr>
              <w:t>，276-004-02</w:t>
            </w:r>
          </w:p>
        </w:tc>
        <w:tc>
          <w:tcPr>
            <w:tcW w:w="465" w:type="pct"/>
            <w:vMerge w:val="restart"/>
            <w:tcBorders>
              <w:tl2br w:val="nil"/>
              <w:tr2bl w:val="nil"/>
            </w:tcBorders>
            <w:vAlign w:val="center"/>
          </w:tcPr>
          <w:p w14:paraId="508D6DC5">
            <w:pPr>
              <w:widowControl/>
              <w:jc w:val="center"/>
              <w:rPr>
                <w:rFonts w:eastAsia="仿宋_GB2312"/>
                <w:kern w:val="0"/>
                <w:szCs w:val="21"/>
              </w:rPr>
            </w:pPr>
            <w:r>
              <w:rPr>
                <w:rFonts w:eastAsia="仿宋_GB2312"/>
                <w:kern w:val="0"/>
                <w:szCs w:val="21"/>
              </w:rPr>
              <w:t>2765</w:t>
            </w:r>
          </w:p>
        </w:tc>
        <w:tc>
          <w:tcPr>
            <w:tcW w:w="384" w:type="pct"/>
            <w:tcBorders>
              <w:tl2br w:val="nil"/>
              <w:tr2bl w:val="nil"/>
            </w:tcBorders>
            <w:shd w:val="clear" w:color="auto" w:fill="auto"/>
            <w:vAlign w:val="center"/>
          </w:tcPr>
          <w:p w14:paraId="5CB8F901">
            <w:pPr>
              <w:widowControl/>
              <w:jc w:val="center"/>
              <w:textAlignment w:val="center"/>
              <w:rPr>
                <w:rFonts w:eastAsia="仿宋_GB2312"/>
                <w:kern w:val="0"/>
                <w:szCs w:val="21"/>
              </w:rPr>
            </w:pPr>
            <w:r>
              <w:rPr>
                <w:kern w:val="0"/>
                <w:szCs w:val="21"/>
                <w:lang w:bidi="ar"/>
              </w:rPr>
              <w:t>HW02</w:t>
            </w:r>
          </w:p>
        </w:tc>
        <w:tc>
          <w:tcPr>
            <w:tcW w:w="1059" w:type="pct"/>
            <w:tcBorders>
              <w:tl2br w:val="nil"/>
              <w:tr2bl w:val="nil"/>
            </w:tcBorders>
            <w:shd w:val="clear" w:color="auto" w:fill="auto"/>
            <w:vAlign w:val="center"/>
          </w:tcPr>
          <w:p w14:paraId="3F357E6B">
            <w:pPr>
              <w:widowControl/>
              <w:jc w:val="center"/>
              <w:textAlignment w:val="center"/>
              <w:rPr>
                <w:rFonts w:eastAsia="仿宋_GB2312"/>
                <w:kern w:val="0"/>
                <w:szCs w:val="21"/>
              </w:rPr>
            </w:pPr>
            <w:r>
              <w:rPr>
                <w:kern w:val="0"/>
                <w:szCs w:val="21"/>
                <w:lang w:bidi="ar"/>
              </w:rPr>
              <w:t>271-001-02</w:t>
            </w:r>
            <w:r>
              <w:rPr>
                <w:rFonts w:ascii="仿宋_GB2312" w:eastAsia="仿宋_GB2312" w:cs="仿宋_GB2312"/>
                <w:kern w:val="0"/>
                <w:szCs w:val="21"/>
                <w:lang w:bidi="ar"/>
              </w:rPr>
              <w:t>，</w:t>
            </w:r>
            <w:r>
              <w:rPr>
                <w:kern w:val="0"/>
                <w:szCs w:val="21"/>
                <w:lang w:bidi="ar"/>
              </w:rPr>
              <w:t>271-002-02</w:t>
            </w:r>
            <w:r>
              <w:rPr>
                <w:rFonts w:ascii="仿宋_GB2312" w:eastAsia="仿宋_GB2312" w:cs="仿宋_GB2312"/>
                <w:kern w:val="0"/>
                <w:szCs w:val="21"/>
                <w:lang w:bidi="ar"/>
              </w:rPr>
              <w:t>，</w:t>
            </w:r>
            <w:r>
              <w:rPr>
                <w:kern w:val="0"/>
                <w:szCs w:val="21"/>
                <w:lang w:bidi="ar"/>
              </w:rPr>
              <w:t>272-001-02</w:t>
            </w:r>
            <w:r>
              <w:rPr>
                <w:rFonts w:ascii="仿宋_GB2312" w:eastAsia="仿宋_GB2312" w:cs="仿宋_GB2312"/>
                <w:kern w:val="0"/>
                <w:szCs w:val="21"/>
                <w:lang w:bidi="ar"/>
              </w:rPr>
              <w:t>，</w:t>
            </w:r>
            <w:r>
              <w:rPr>
                <w:b/>
                <w:bCs/>
                <w:kern w:val="0"/>
                <w:szCs w:val="21"/>
                <w:lang w:bidi="ar"/>
              </w:rPr>
              <w:t>272-00</w:t>
            </w:r>
            <w:r>
              <w:rPr>
                <w:rFonts w:hint="eastAsia"/>
                <w:b/>
                <w:bCs/>
                <w:kern w:val="0"/>
                <w:szCs w:val="21"/>
                <w:lang w:val="en-US" w:eastAsia="zh-CN" w:bidi="ar"/>
              </w:rPr>
              <w:t>5</w:t>
            </w:r>
            <w:r>
              <w:rPr>
                <w:b/>
                <w:bCs/>
                <w:kern w:val="0"/>
                <w:szCs w:val="21"/>
                <w:lang w:bidi="ar"/>
              </w:rPr>
              <w:t>-02</w:t>
            </w:r>
            <w:r>
              <w:rPr>
                <w:rFonts w:ascii="仿宋_GB2312" w:eastAsia="仿宋_GB2312" w:cs="仿宋_GB2312"/>
                <w:kern w:val="0"/>
                <w:szCs w:val="21"/>
                <w:lang w:bidi="ar"/>
              </w:rPr>
              <w:t>，</w:t>
            </w:r>
            <w:r>
              <w:rPr>
                <w:kern w:val="0"/>
                <w:szCs w:val="21"/>
                <w:lang w:bidi="ar"/>
              </w:rPr>
              <w:t>275-004-02</w:t>
            </w:r>
            <w:r>
              <w:rPr>
                <w:rFonts w:ascii="仿宋_GB2312" w:eastAsia="仿宋_GB2312" w:cs="仿宋_GB2312"/>
                <w:kern w:val="0"/>
                <w:szCs w:val="21"/>
                <w:lang w:bidi="ar"/>
              </w:rPr>
              <w:t>，</w:t>
            </w:r>
            <w:r>
              <w:rPr>
                <w:b/>
                <w:bCs/>
                <w:kern w:val="0"/>
                <w:szCs w:val="21"/>
                <w:lang w:bidi="ar"/>
              </w:rPr>
              <w:t>275-00</w:t>
            </w:r>
            <w:r>
              <w:rPr>
                <w:rFonts w:hint="eastAsia"/>
                <w:b/>
                <w:bCs/>
                <w:kern w:val="0"/>
                <w:szCs w:val="21"/>
                <w:lang w:val="en-US" w:eastAsia="zh-CN" w:bidi="ar"/>
              </w:rPr>
              <w:t>6</w:t>
            </w:r>
            <w:r>
              <w:rPr>
                <w:b/>
                <w:bCs/>
                <w:kern w:val="0"/>
                <w:szCs w:val="21"/>
                <w:lang w:bidi="ar"/>
              </w:rPr>
              <w:t>-02</w:t>
            </w:r>
            <w:r>
              <w:rPr>
                <w:rFonts w:ascii="仿宋_GB2312" w:eastAsia="仿宋_GB2312" w:cs="仿宋_GB2312"/>
                <w:kern w:val="0"/>
                <w:szCs w:val="21"/>
                <w:lang w:bidi="ar"/>
              </w:rPr>
              <w:t>，</w:t>
            </w:r>
            <w:r>
              <w:rPr>
                <w:kern w:val="0"/>
                <w:szCs w:val="21"/>
                <w:lang w:bidi="ar"/>
              </w:rPr>
              <w:t>276-001-02</w:t>
            </w:r>
            <w:r>
              <w:rPr>
                <w:rFonts w:ascii="仿宋_GB2312" w:eastAsia="仿宋_GB2312" w:cs="仿宋_GB2312"/>
                <w:kern w:val="0"/>
                <w:szCs w:val="21"/>
                <w:lang w:bidi="ar"/>
              </w:rPr>
              <w:t>，</w:t>
            </w:r>
            <w:r>
              <w:rPr>
                <w:kern w:val="0"/>
                <w:szCs w:val="21"/>
                <w:lang w:bidi="ar"/>
              </w:rPr>
              <w:t>276-002-02</w:t>
            </w:r>
            <w:r>
              <w:rPr>
                <w:rFonts w:ascii="仿宋_GB2312" w:eastAsia="仿宋_GB2312" w:cs="仿宋_GB2312"/>
                <w:kern w:val="0"/>
                <w:szCs w:val="21"/>
                <w:lang w:bidi="ar"/>
              </w:rPr>
              <w:t>，</w:t>
            </w:r>
            <w:r>
              <w:rPr>
                <w:b/>
                <w:bCs/>
                <w:kern w:val="0"/>
                <w:szCs w:val="21"/>
                <w:lang w:bidi="ar"/>
              </w:rPr>
              <w:t>276-00</w:t>
            </w:r>
            <w:r>
              <w:rPr>
                <w:rFonts w:hint="eastAsia"/>
                <w:b/>
                <w:bCs/>
                <w:kern w:val="0"/>
                <w:szCs w:val="21"/>
                <w:lang w:val="en-US" w:eastAsia="zh-CN" w:bidi="ar"/>
              </w:rPr>
              <w:t>5</w:t>
            </w:r>
            <w:r>
              <w:rPr>
                <w:b/>
                <w:bCs/>
                <w:kern w:val="0"/>
                <w:szCs w:val="21"/>
                <w:lang w:bidi="ar"/>
              </w:rPr>
              <w:t>-02</w:t>
            </w:r>
          </w:p>
        </w:tc>
        <w:tc>
          <w:tcPr>
            <w:tcW w:w="423" w:type="pct"/>
            <w:vMerge w:val="restart"/>
            <w:tcBorders>
              <w:tl2br w:val="nil"/>
              <w:tr2bl w:val="nil"/>
            </w:tcBorders>
            <w:vAlign w:val="center"/>
          </w:tcPr>
          <w:p w14:paraId="023FADA9">
            <w:pPr>
              <w:widowControl/>
              <w:jc w:val="center"/>
              <w:rPr>
                <w:rFonts w:eastAsia="仿宋_GB2312"/>
                <w:kern w:val="0"/>
                <w:szCs w:val="21"/>
              </w:rPr>
            </w:pPr>
            <w:r>
              <w:rPr>
                <w:rFonts w:hint="eastAsia" w:eastAsia="仿宋_GB2312"/>
                <w:kern w:val="0"/>
                <w:szCs w:val="21"/>
              </w:rPr>
              <w:t>2765</w:t>
            </w:r>
          </w:p>
        </w:tc>
        <w:tc>
          <w:tcPr>
            <w:tcW w:w="605" w:type="pct"/>
            <w:vMerge w:val="restart"/>
            <w:tcBorders>
              <w:tl2br w:val="nil"/>
              <w:tr2bl w:val="nil"/>
            </w:tcBorders>
            <w:vAlign w:val="center"/>
          </w:tcPr>
          <w:p w14:paraId="5FF5D740">
            <w:pPr>
              <w:widowControl/>
              <w:jc w:val="center"/>
              <w:rPr>
                <w:rFonts w:eastAsia="仿宋_GB2312"/>
                <w:kern w:val="0"/>
                <w:szCs w:val="21"/>
              </w:rPr>
            </w:pPr>
            <w:r>
              <w:rPr>
                <w:rFonts w:eastAsia="仿宋_GB2312"/>
                <w:bCs/>
              </w:rPr>
              <w:t>回收综合利用量</w:t>
            </w:r>
            <w:r>
              <w:rPr>
                <w:rFonts w:hint="eastAsia" w:eastAsia="仿宋_GB2312"/>
                <w:bCs/>
              </w:rPr>
              <w:t>不变</w:t>
            </w:r>
            <w:r>
              <w:rPr>
                <w:rFonts w:eastAsia="仿宋_GB2312"/>
                <w:bCs/>
              </w:rPr>
              <w:t>，危废代码增加</w:t>
            </w:r>
          </w:p>
        </w:tc>
      </w:tr>
      <w:tr w14:paraId="732142E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3" w:type="pct"/>
            <w:vMerge w:val="continue"/>
            <w:tcBorders>
              <w:tl2br w:val="nil"/>
              <w:tr2bl w:val="nil"/>
            </w:tcBorders>
            <w:vAlign w:val="center"/>
          </w:tcPr>
          <w:p w14:paraId="0CE87B8B">
            <w:pPr>
              <w:widowControl/>
              <w:jc w:val="center"/>
              <w:rPr>
                <w:rFonts w:eastAsia="仿宋_GB2312"/>
                <w:kern w:val="0"/>
                <w:szCs w:val="21"/>
              </w:rPr>
            </w:pPr>
          </w:p>
        </w:tc>
        <w:tc>
          <w:tcPr>
            <w:tcW w:w="372" w:type="pct"/>
            <w:vMerge w:val="continue"/>
            <w:tcBorders>
              <w:tl2br w:val="nil"/>
              <w:tr2bl w:val="nil"/>
            </w:tcBorders>
            <w:vAlign w:val="center"/>
          </w:tcPr>
          <w:p w14:paraId="4DD84402">
            <w:pPr>
              <w:widowControl/>
              <w:jc w:val="center"/>
              <w:rPr>
                <w:rFonts w:eastAsia="仿宋_GB2312"/>
                <w:kern w:val="0"/>
                <w:szCs w:val="21"/>
              </w:rPr>
            </w:pPr>
          </w:p>
        </w:tc>
        <w:tc>
          <w:tcPr>
            <w:tcW w:w="394" w:type="pct"/>
            <w:tcBorders>
              <w:tl2br w:val="nil"/>
              <w:tr2bl w:val="nil"/>
            </w:tcBorders>
            <w:shd w:val="clear" w:color="auto" w:fill="auto"/>
            <w:vAlign w:val="center"/>
          </w:tcPr>
          <w:p w14:paraId="7CB5E99F">
            <w:pPr>
              <w:widowControl/>
              <w:jc w:val="center"/>
              <w:rPr>
                <w:rFonts w:eastAsia="仿宋_GB2312"/>
                <w:kern w:val="0"/>
                <w:szCs w:val="21"/>
              </w:rPr>
            </w:pPr>
            <w:r>
              <w:rPr>
                <w:rFonts w:hint="eastAsia" w:eastAsia="仿宋_GB2312"/>
                <w:kern w:val="0"/>
                <w:szCs w:val="21"/>
              </w:rPr>
              <w:t>/</w:t>
            </w:r>
          </w:p>
        </w:tc>
        <w:tc>
          <w:tcPr>
            <w:tcW w:w="1042" w:type="pct"/>
            <w:tcBorders>
              <w:tl2br w:val="nil"/>
              <w:tr2bl w:val="nil"/>
            </w:tcBorders>
            <w:shd w:val="clear" w:color="auto" w:fill="auto"/>
            <w:vAlign w:val="center"/>
          </w:tcPr>
          <w:p w14:paraId="69D0845A">
            <w:pPr>
              <w:widowControl/>
              <w:jc w:val="center"/>
              <w:rPr>
                <w:rFonts w:eastAsia="仿宋_GB2312"/>
                <w:kern w:val="0"/>
                <w:szCs w:val="21"/>
              </w:rPr>
            </w:pPr>
            <w:r>
              <w:rPr>
                <w:rFonts w:hint="eastAsia" w:eastAsia="仿宋_GB2312"/>
                <w:kern w:val="0"/>
                <w:szCs w:val="21"/>
              </w:rPr>
              <w:t>/</w:t>
            </w:r>
          </w:p>
        </w:tc>
        <w:tc>
          <w:tcPr>
            <w:tcW w:w="465" w:type="pct"/>
            <w:vMerge w:val="continue"/>
            <w:tcBorders>
              <w:tl2br w:val="nil"/>
              <w:tr2bl w:val="nil"/>
            </w:tcBorders>
            <w:vAlign w:val="center"/>
          </w:tcPr>
          <w:p w14:paraId="7F7259D1">
            <w:pPr>
              <w:widowControl/>
              <w:jc w:val="center"/>
              <w:rPr>
                <w:rFonts w:eastAsia="仿宋_GB2312"/>
                <w:kern w:val="0"/>
                <w:szCs w:val="21"/>
              </w:rPr>
            </w:pPr>
          </w:p>
        </w:tc>
        <w:tc>
          <w:tcPr>
            <w:tcW w:w="384" w:type="pct"/>
            <w:tcBorders>
              <w:tl2br w:val="nil"/>
              <w:tr2bl w:val="nil"/>
            </w:tcBorders>
            <w:shd w:val="clear" w:color="auto" w:fill="auto"/>
            <w:vAlign w:val="center"/>
          </w:tcPr>
          <w:p w14:paraId="60ECA10F">
            <w:pPr>
              <w:widowControl/>
              <w:jc w:val="center"/>
              <w:textAlignment w:val="center"/>
              <w:rPr>
                <w:rFonts w:eastAsia="仿宋_GB2312"/>
                <w:kern w:val="0"/>
                <w:szCs w:val="21"/>
              </w:rPr>
            </w:pPr>
            <w:r>
              <w:rPr>
                <w:b/>
                <w:bCs/>
                <w:kern w:val="0"/>
                <w:szCs w:val="21"/>
                <w:lang w:bidi="ar"/>
              </w:rPr>
              <w:t>HW04</w:t>
            </w:r>
          </w:p>
        </w:tc>
        <w:tc>
          <w:tcPr>
            <w:tcW w:w="1059" w:type="pct"/>
            <w:tcBorders>
              <w:tl2br w:val="nil"/>
              <w:tr2bl w:val="nil"/>
            </w:tcBorders>
            <w:shd w:val="clear" w:color="auto" w:fill="auto"/>
            <w:vAlign w:val="center"/>
          </w:tcPr>
          <w:p w14:paraId="70EB9948">
            <w:pPr>
              <w:widowControl/>
              <w:jc w:val="center"/>
              <w:textAlignment w:val="center"/>
              <w:rPr>
                <w:rFonts w:eastAsia="仿宋_GB2312"/>
                <w:kern w:val="0"/>
                <w:szCs w:val="21"/>
              </w:rPr>
            </w:pPr>
            <w:r>
              <w:rPr>
                <w:b/>
                <w:bCs/>
                <w:kern w:val="0"/>
                <w:szCs w:val="21"/>
                <w:lang w:bidi="ar"/>
              </w:rPr>
              <w:t>263-008-04</w:t>
            </w:r>
          </w:p>
        </w:tc>
        <w:tc>
          <w:tcPr>
            <w:tcW w:w="423" w:type="pct"/>
            <w:vMerge w:val="continue"/>
            <w:tcBorders>
              <w:tl2br w:val="nil"/>
              <w:tr2bl w:val="nil"/>
            </w:tcBorders>
            <w:vAlign w:val="center"/>
          </w:tcPr>
          <w:p w14:paraId="19646162">
            <w:pPr>
              <w:widowControl/>
              <w:jc w:val="center"/>
              <w:rPr>
                <w:rFonts w:eastAsia="仿宋_GB2312"/>
                <w:kern w:val="0"/>
                <w:szCs w:val="21"/>
              </w:rPr>
            </w:pPr>
          </w:p>
        </w:tc>
        <w:tc>
          <w:tcPr>
            <w:tcW w:w="605" w:type="pct"/>
            <w:vMerge w:val="continue"/>
            <w:tcBorders>
              <w:tl2br w:val="nil"/>
              <w:tr2bl w:val="nil"/>
            </w:tcBorders>
            <w:vAlign w:val="center"/>
          </w:tcPr>
          <w:p w14:paraId="3AF8BAC1">
            <w:pPr>
              <w:widowControl/>
              <w:jc w:val="center"/>
              <w:rPr>
                <w:rFonts w:eastAsia="仿宋_GB2312"/>
                <w:kern w:val="0"/>
                <w:szCs w:val="21"/>
              </w:rPr>
            </w:pPr>
          </w:p>
        </w:tc>
      </w:tr>
      <w:tr w14:paraId="3A136FE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3" w:type="pct"/>
            <w:vMerge w:val="continue"/>
            <w:tcBorders>
              <w:tl2br w:val="nil"/>
              <w:tr2bl w:val="nil"/>
            </w:tcBorders>
            <w:vAlign w:val="center"/>
          </w:tcPr>
          <w:p w14:paraId="5E1041A7">
            <w:pPr>
              <w:widowControl/>
              <w:rPr>
                <w:rFonts w:eastAsia="仿宋_GB2312"/>
                <w:kern w:val="0"/>
                <w:szCs w:val="21"/>
              </w:rPr>
            </w:pPr>
          </w:p>
        </w:tc>
        <w:tc>
          <w:tcPr>
            <w:tcW w:w="372" w:type="pct"/>
            <w:vMerge w:val="continue"/>
            <w:tcBorders>
              <w:tl2br w:val="nil"/>
              <w:tr2bl w:val="nil"/>
            </w:tcBorders>
            <w:vAlign w:val="center"/>
          </w:tcPr>
          <w:p w14:paraId="30B38440">
            <w:pPr>
              <w:widowControl/>
              <w:jc w:val="center"/>
              <w:rPr>
                <w:rFonts w:eastAsia="仿宋_GB2312"/>
                <w:kern w:val="0"/>
                <w:szCs w:val="21"/>
              </w:rPr>
            </w:pPr>
          </w:p>
        </w:tc>
        <w:tc>
          <w:tcPr>
            <w:tcW w:w="394" w:type="pct"/>
            <w:tcBorders>
              <w:tl2br w:val="nil"/>
              <w:tr2bl w:val="nil"/>
            </w:tcBorders>
            <w:vAlign w:val="center"/>
          </w:tcPr>
          <w:p w14:paraId="71E56A42">
            <w:pPr>
              <w:widowControl/>
              <w:jc w:val="center"/>
              <w:rPr>
                <w:rFonts w:eastAsia="仿宋_GB2312"/>
                <w:kern w:val="0"/>
                <w:szCs w:val="21"/>
              </w:rPr>
            </w:pPr>
            <w:r>
              <w:rPr>
                <w:rFonts w:eastAsia="仿宋_GB2312"/>
                <w:kern w:val="0"/>
                <w:szCs w:val="21"/>
              </w:rPr>
              <w:t>HW06</w:t>
            </w:r>
          </w:p>
        </w:tc>
        <w:tc>
          <w:tcPr>
            <w:tcW w:w="1042" w:type="pct"/>
            <w:tcBorders>
              <w:tl2br w:val="nil"/>
              <w:tr2bl w:val="nil"/>
            </w:tcBorders>
            <w:vAlign w:val="center"/>
          </w:tcPr>
          <w:p w14:paraId="092A4C1C">
            <w:pPr>
              <w:widowControl/>
              <w:jc w:val="center"/>
              <w:rPr>
                <w:rFonts w:eastAsia="仿宋_GB2312"/>
                <w:kern w:val="0"/>
                <w:szCs w:val="21"/>
              </w:rPr>
            </w:pPr>
            <w:r>
              <w:rPr>
                <w:rFonts w:eastAsia="仿宋_GB2312"/>
                <w:kern w:val="0"/>
                <w:szCs w:val="21"/>
              </w:rPr>
              <w:t>900-401-06，900-407-06</w:t>
            </w:r>
          </w:p>
        </w:tc>
        <w:tc>
          <w:tcPr>
            <w:tcW w:w="465" w:type="pct"/>
            <w:vMerge w:val="continue"/>
            <w:tcBorders>
              <w:tl2br w:val="nil"/>
              <w:tr2bl w:val="nil"/>
            </w:tcBorders>
            <w:vAlign w:val="center"/>
          </w:tcPr>
          <w:p w14:paraId="36B67177">
            <w:pPr>
              <w:widowControl/>
              <w:jc w:val="center"/>
              <w:rPr>
                <w:rFonts w:eastAsia="仿宋_GB2312"/>
                <w:kern w:val="0"/>
                <w:szCs w:val="21"/>
              </w:rPr>
            </w:pPr>
          </w:p>
        </w:tc>
        <w:tc>
          <w:tcPr>
            <w:tcW w:w="384" w:type="pct"/>
            <w:tcBorders>
              <w:tl2br w:val="nil"/>
              <w:tr2bl w:val="nil"/>
            </w:tcBorders>
            <w:shd w:val="clear" w:color="auto" w:fill="auto"/>
            <w:vAlign w:val="center"/>
          </w:tcPr>
          <w:p w14:paraId="102BAAEA">
            <w:pPr>
              <w:widowControl/>
              <w:jc w:val="center"/>
              <w:textAlignment w:val="center"/>
              <w:rPr>
                <w:rFonts w:eastAsia="仿宋_GB2312"/>
                <w:kern w:val="0"/>
                <w:szCs w:val="21"/>
              </w:rPr>
            </w:pPr>
            <w:r>
              <w:rPr>
                <w:kern w:val="0"/>
                <w:szCs w:val="21"/>
                <w:lang w:bidi="ar"/>
              </w:rPr>
              <w:t>HW06</w:t>
            </w:r>
          </w:p>
        </w:tc>
        <w:tc>
          <w:tcPr>
            <w:tcW w:w="1059" w:type="pct"/>
            <w:tcBorders>
              <w:tl2br w:val="nil"/>
              <w:tr2bl w:val="nil"/>
            </w:tcBorders>
            <w:shd w:val="clear" w:color="auto" w:fill="auto"/>
            <w:vAlign w:val="center"/>
          </w:tcPr>
          <w:p w14:paraId="76488DD3">
            <w:pPr>
              <w:widowControl/>
              <w:jc w:val="center"/>
              <w:textAlignment w:val="center"/>
              <w:rPr>
                <w:rFonts w:eastAsia="仿宋_GB2312"/>
                <w:kern w:val="0"/>
                <w:szCs w:val="21"/>
              </w:rPr>
            </w:pPr>
            <w:r>
              <w:rPr>
                <w:kern w:val="0"/>
                <w:szCs w:val="21"/>
                <w:lang w:bidi="ar"/>
              </w:rPr>
              <w:t>900-401-06</w:t>
            </w:r>
            <w:r>
              <w:rPr>
                <w:rFonts w:ascii="仿宋_GB2312" w:eastAsia="仿宋_GB2312" w:cs="仿宋_GB2312"/>
                <w:kern w:val="0"/>
                <w:szCs w:val="21"/>
                <w:lang w:bidi="ar"/>
              </w:rPr>
              <w:t>，</w:t>
            </w:r>
            <w:r>
              <w:rPr>
                <w:b/>
                <w:bCs/>
                <w:kern w:val="0"/>
                <w:szCs w:val="21"/>
                <w:lang w:bidi="ar"/>
              </w:rPr>
              <w:t>900-402-06</w:t>
            </w:r>
            <w:r>
              <w:rPr>
                <w:rFonts w:ascii="仿宋_GB2312" w:eastAsia="仿宋_GB2312" w:cs="仿宋_GB2312"/>
                <w:b/>
                <w:bCs/>
                <w:kern w:val="0"/>
                <w:szCs w:val="21"/>
                <w:lang w:bidi="ar"/>
              </w:rPr>
              <w:t>，</w:t>
            </w:r>
            <w:r>
              <w:rPr>
                <w:b/>
                <w:bCs/>
                <w:kern w:val="0"/>
                <w:szCs w:val="21"/>
                <w:lang w:bidi="ar"/>
              </w:rPr>
              <w:t>900-404-06</w:t>
            </w:r>
            <w:r>
              <w:rPr>
                <w:rFonts w:ascii="仿宋_GB2312" w:eastAsia="仿宋_GB2312" w:cs="仿宋_GB2312"/>
                <w:b/>
                <w:bCs/>
                <w:kern w:val="0"/>
                <w:szCs w:val="21"/>
                <w:lang w:bidi="ar"/>
              </w:rPr>
              <w:t>，</w:t>
            </w:r>
            <w:r>
              <w:rPr>
                <w:kern w:val="0"/>
                <w:szCs w:val="21"/>
                <w:lang w:bidi="ar"/>
              </w:rPr>
              <w:t>900-407-06</w:t>
            </w:r>
          </w:p>
        </w:tc>
        <w:tc>
          <w:tcPr>
            <w:tcW w:w="423" w:type="pct"/>
            <w:vMerge w:val="continue"/>
            <w:tcBorders>
              <w:tl2br w:val="nil"/>
              <w:tr2bl w:val="nil"/>
            </w:tcBorders>
            <w:vAlign w:val="center"/>
          </w:tcPr>
          <w:p w14:paraId="5875C80B">
            <w:pPr>
              <w:widowControl/>
              <w:jc w:val="center"/>
              <w:rPr>
                <w:rFonts w:eastAsia="仿宋_GB2312"/>
                <w:kern w:val="0"/>
                <w:szCs w:val="21"/>
              </w:rPr>
            </w:pPr>
          </w:p>
        </w:tc>
        <w:tc>
          <w:tcPr>
            <w:tcW w:w="605" w:type="pct"/>
            <w:vMerge w:val="continue"/>
            <w:tcBorders>
              <w:tl2br w:val="nil"/>
              <w:tr2bl w:val="nil"/>
            </w:tcBorders>
            <w:vAlign w:val="center"/>
          </w:tcPr>
          <w:p w14:paraId="39883985">
            <w:pPr>
              <w:widowControl/>
              <w:jc w:val="center"/>
              <w:rPr>
                <w:rFonts w:eastAsia="仿宋_GB2312"/>
                <w:kern w:val="0"/>
                <w:szCs w:val="21"/>
              </w:rPr>
            </w:pPr>
          </w:p>
        </w:tc>
      </w:tr>
      <w:tr w14:paraId="7AC0FD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3" w:type="pct"/>
            <w:vMerge w:val="restart"/>
            <w:tcBorders>
              <w:tl2br w:val="nil"/>
              <w:tr2bl w:val="nil"/>
            </w:tcBorders>
            <w:vAlign w:val="center"/>
          </w:tcPr>
          <w:p w14:paraId="16B87019">
            <w:pPr>
              <w:widowControl/>
              <w:jc w:val="center"/>
              <w:rPr>
                <w:rFonts w:eastAsia="仿宋_GB2312"/>
                <w:kern w:val="0"/>
                <w:szCs w:val="21"/>
              </w:rPr>
            </w:pPr>
            <w:r>
              <w:rPr>
                <w:rFonts w:eastAsia="仿宋_GB2312"/>
                <w:kern w:val="0"/>
                <w:szCs w:val="21"/>
              </w:rPr>
              <w:t>15</w:t>
            </w:r>
          </w:p>
        </w:tc>
        <w:tc>
          <w:tcPr>
            <w:tcW w:w="372" w:type="pct"/>
            <w:vMerge w:val="restart"/>
            <w:tcBorders>
              <w:tl2br w:val="nil"/>
              <w:tr2bl w:val="nil"/>
            </w:tcBorders>
            <w:vAlign w:val="center"/>
          </w:tcPr>
          <w:p w14:paraId="3CB122A2">
            <w:pPr>
              <w:widowControl/>
              <w:jc w:val="center"/>
              <w:rPr>
                <w:rFonts w:eastAsia="仿宋_GB2312"/>
                <w:kern w:val="0"/>
                <w:szCs w:val="21"/>
              </w:rPr>
            </w:pPr>
            <w:r>
              <w:rPr>
                <w:rFonts w:eastAsia="仿宋_GB2312"/>
                <w:kern w:val="0"/>
                <w:szCs w:val="21"/>
              </w:rPr>
              <w:t>DMF废液</w:t>
            </w:r>
          </w:p>
        </w:tc>
        <w:tc>
          <w:tcPr>
            <w:tcW w:w="394" w:type="pct"/>
            <w:tcBorders>
              <w:tl2br w:val="nil"/>
              <w:tr2bl w:val="nil"/>
            </w:tcBorders>
            <w:vAlign w:val="center"/>
          </w:tcPr>
          <w:p w14:paraId="728A797D">
            <w:pPr>
              <w:widowControl/>
              <w:jc w:val="center"/>
              <w:rPr>
                <w:rFonts w:eastAsia="仿宋_GB2312"/>
                <w:kern w:val="0"/>
                <w:szCs w:val="21"/>
              </w:rPr>
            </w:pPr>
            <w:r>
              <w:rPr>
                <w:rFonts w:eastAsia="仿宋_GB2312"/>
                <w:kern w:val="0"/>
                <w:szCs w:val="21"/>
              </w:rPr>
              <w:t>HW02</w:t>
            </w:r>
          </w:p>
        </w:tc>
        <w:tc>
          <w:tcPr>
            <w:tcW w:w="1042" w:type="pct"/>
            <w:tcBorders>
              <w:tl2br w:val="nil"/>
              <w:tr2bl w:val="nil"/>
            </w:tcBorders>
            <w:vAlign w:val="center"/>
          </w:tcPr>
          <w:p w14:paraId="4563AC0B">
            <w:pPr>
              <w:widowControl/>
              <w:jc w:val="center"/>
              <w:rPr>
                <w:rFonts w:eastAsia="仿宋_GB2312"/>
                <w:kern w:val="0"/>
                <w:szCs w:val="21"/>
              </w:rPr>
            </w:pPr>
            <w:r>
              <w:rPr>
                <w:rFonts w:eastAsia="仿宋_GB2312"/>
                <w:kern w:val="0"/>
                <w:szCs w:val="21"/>
              </w:rPr>
              <w:t>271-001-02，271-002-02，</w:t>
            </w:r>
            <w:r>
              <w:rPr>
                <w:rFonts w:hint="eastAsia" w:eastAsia="仿宋_GB2312"/>
                <w:kern w:val="0"/>
                <w:szCs w:val="21"/>
              </w:rPr>
              <w:t>271-004-02，</w:t>
            </w:r>
            <w:r>
              <w:rPr>
                <w:rFonts w:eastAsia="仿宋_GB2312"/>
                <w:kern w:val="0"/>
                <w:szCs w:val="21"/>
              </w:rPr>
              <w:t>272-001-02，</w:t>
            </w:r>
            <w:r>
              <w:rPr>
                <w:rFonts w:hint="eastAsia" w:eastAsia="仿宋_GB2312"/>
                <w:kern w:val="0"/>
                <w:szCs w:val="21"/>
              </w:rPr>
              <w:t>272-003-02，275-004-02，275-005-02，</w:t>
            </w:r>
            <w:r>
              <w:rPr>
                <w:rFonts w:eastAsia="仿宋_GB2312"/>
                <w:kern w:val="0"/>
                <w:szCs w:val="21"/>
              </w:rPr>
              <w:t>276-001-02，276-002-02</w:t>
            </w:r>
            <w:r>
              <w:rPr>
                <w:rFonts w:hint="eastAsia" w:eastAsia="仿宋_GB2312"/>
                <w:kern w:val="0"/>
                <w:szCs w:val="21"/>
              </w:rPr>
              <w:t>，276-004-02</w:t>
            </w:r>
          </w:p>
        </w:tc>
        <w:tc>
          <w:tcPr>
            <w:tcW w:w="465" w:type="pct"/>
            <w:vMerge w:val="restart"/>
            <w:tcBorders>
              <w:tl2br w:val="nil"/>
              <w:tr2bl w:val="nil"/>
            </w:tcBorders>
            <w:vAlign w:val="center"/>
          </w:tcPr>
          <w:p w14:paraId="1BCBF0C0">
            <w:pPr>
              <w:widowControl/>
              <w:jc w:val="center"/>
              <w:rPr>
                <w:rFonts w:eastAsia="仿宋_GB2312"/>
                <w:kern w:val="0"/>
                <w:szCs w:val="21"/>
              </w:rPr>
            </w:pPr>
            <w:r>
              <w:rPr>
                <w:rFonts w:eastAsia="仿宋_GB2312"/>
                <w:kern w:val="0"/>
                <w:szCs w:val="21"/>
              </w:rPr>
              <w:t>1500</w:t>
            </w:r>
          </w:p>
        </w:tc>
        <w:tc>
          <w:tcPr>
            <w:tcW w:w="384" w:type="pct"/>
            <w:tcBorders>
              <w:tl2br w:val="nil"/>
              <w:tr2bl w:val="nil"/>
            </w:tcBorders>
            <w:shd w:val="clear" w:color="auto" w:fill="auto"/>
            <w:vAlign w:val="center"/>
          </w:tcPr>
          <w:p w14:paraId="79DFA58D">
            <w:pPr>
              <w:widowControl/>
              <w:jc w:val="center"/>
              <w:textAlignment w:val="center"/>
              <w:rPr>
                <w:rFonts w:eastAsia="仿宋_GB2312"/>
                <w:kern w:val="0"/>
                <w:szCs w:val="21"/>
              </w:rPr>
            </w:pPr>
            <w:r>
              <w:rPr>
                <w:kern w:val="0"/>
                <w:szCs w:val="21"/>
                <w:lang w:bidi="ar"/>
              </w:rPr>
              <w:t>HW02</w:t>
            </w:r>
          </w:p>
        </w:tc>
        <w:tc>
          <w:tcPr>
            <w:tcW w:w="1059" w:type="pct"/>
            <w:tcBorders>
              <w:tl2br w:val="nil"/>
              <w:tr2bl w:val="nil"/>
            </w:tcBorders>
            <w:shd w:val="clear" w:color="auto" w:fill="auto"/>
            <w:vAlign w:val="center"/>
          </w:tcPr>
          <w:p w14:paraId="13DF0E15">
            <w:pPr>
              <w:widowControl/>
              <w:jc w:val="center"/>
              <w:textAlignment w:val="center"/>
              <w:rPr>
                <w:rFonts w:eastAsia="仿宋_GB2312"/>
                <w:kern w:val="0"/>
                <w:szCs w:val="21"/>
              </w:rPr>
            </w:pPr>
            <w:r>
              <w:rPr>
                <w:kern w:val="0"/>
                <w:szCs w:val="21"/>
                <w:lang w:bidi="ar"/>
              </w:rPr>
              <w:t>271-001-02</w:t>
            </w:r>
            <w:r>
              <w:rPr>
                <w:rFonts w:ascii="仿宋_GB2312" w:eastAsia="仿宋_GB2312" w:cs="仿宋_GB2312"/>
                <w:kern w:val="0"/>
                <w:szCs w:val="21"/>
                <w:lang w:bidi="ar"/>
              </w:rPr>
              <w:t>，</w:t>
            </w:r>
            <w:r>
              <w:rPr>
                <w:kern w:val="0"/>
                <w:szCs w:val="21"/>
                <w:lang w:bidi="ar"/>
              </w:rPr>
              <w:t>271-002-02</w:t>
            </w:r>
            <w:r>
              <w:rPr>
                <w:rFonts w:ascii="仿宋_GB2312" w:eastAsia="仿宋_GB2312" w:cs="仿宋_GB2312"/>
                <w:kern w:val="0"/>
                <w:szCs w:val="21"/>
                <w:lang w:bidi="ar"/>
              </w:rPr>
              <w:t>，</w:t>
            </w:r>
            <w:r>
              <w:rPr>
                <w:kern w:val="0"/>
                <w:szCs w:val="21"/>
                <w:lang w:bidi="ar"/>
              </w:rPr>
              <w:t>272-001-02</w:t>
            </w:r>
            <w:r>
              <w:rPr>
                <w:rFonts w:ascii="仿宋_GB2312" w:eastAsia="仿宋_GB2312" w:cs="仿宋_GB2312"/>
                <w:kern w:val="0"/>
                <w:szCs w:val="21"/>
                <w:lang w:bidi="ar"/>
              </w:rPr>
              <w:t>，</w:t>
            </w:r>
            <w:r>
              <w:rPr>
                <w:b/>
                <w:bCs/>
                <w:kern w:val="0"/>
                <w:szCs w:val="21"/>
                <w:lang w:bidi="ar"/>
              </w:rPr>
              <w:t>272-00</w:t>
            </w:r>
            <w:r>
              <w:rPr>
                <w:rFonts w:hint="eastAsia"/>
                <w:b/>
                <w:bCs/>
                <w:kern w:val="0"/>
                <w:szCs w:val="21"/>
                <w:lang w:val="en-US" w:eastAsia="zh-CN" w:bidi="ar"/>
              </w:rPr>
              <w:t>5</w:t>
            </w:r>
            <w:r>
              <w:rPr>
                <w:b/>
                <w:bCs/>
                <w:kern w:val="0"/>
                <w:szCs w:val="21"/>
                <w:lang w:bidi="ar"/>
              </w:rPr>
              <w:t>-02</w:t>
            </w:r>
            <w:r>
              <w:rPr>
                <w:rFonts w:ascii="仿宋_GB2312" w:eastAsia="仿宋_GB2312" w:cs="仿宋_GB2312"/>
                <w:kern w:val="0"/>
                <w:szCs w:val="21"/>
                <w:lang w:bidi="ar"/>
              </w:rPr>
              <w:t>，</w:t>
            </w:r>
            <w:r>
              <w:rPr>
                <w:kern w:val="0"/>
                <w:szCs w:val="21"/>
                <w:lang w:bidi="ar"/>
              </w:rPr>
              <w:t>275-004-02</w:t>
            </w:r>
            <w:r>
              <w:rPr>
                <w:rFonts w:ascii="仿宋_GB2312" w:eastAsia="仿宋_GB2312" w:cs="仿宋_GB2312"/>
                <w:kern w:val="0"/>
                <w:szCs w:val="21"/>
                <w:lang w:bidi="ar"/>
              </w:rPr>
              <w:t>，</w:t>
            </w:r>
            <w:r>
              <w:rPr>
                <w:b/>
                <w:bCs/>
                <w:kern w:val="0"/>
                <w:szCs w:val="21"/>
                <w:lang w:bidi="ar"/>
              </w:rPr>
              <w:t>275-00</w:t>
            </w:r>
            <w:r>
              <w:rPr>
                <w:rFonts w:hint="eastAsia"/>
                <w:b/>
                <w:bCs/>
                <w:kern w:val="0"/>
                <w:szCs w:val="21"/>
                <w:lang w:val="en-US" w:eastAsia="zh-CN" w:bidi="ar"/>
              </w:rPr>
              <w:t>6</w:t>
            </w:r>
            <w:r>
              <w:rPr>
                <w:b/>
                <w:bCs/>
                <w:kern w:val="0"/>
                <w:szCs w:val="21"/>
                <w:lang w:bidi="ar"/>
              </w:rPr>
              <w:t>-02</w:t>
            </w:r>
            <w:r>
              <w:rPr>
                <w:rFonts w:ascii="仿宋_GB2312" w:eastAsia="仿宋_GB2312" w:cs="仿宋_GB2312"/>
                <w:kern w:val="0"/>
                <w:szCs w:val="21"/>
                <w:lang w:bidi="ar"/>
              </w:rPr>
              <w:t>，</w:t>
            </w:r>
            <w:r>
              <w:rPr>
                <w:kern w:val="0"/>
                <w:szCs w:val="21"/>
                <w:lang w:bidi="ar"/>
              </w:rPr>
              <w:t>276-001-02</w:t>
            </w:r>
            <w:r>
              <w:rPr>
                <w:rFonts w:ascii="仿宋_GB2312" w:eastAsia="仿宋_GB2312" w:cs="仿宋_GB2312"/>
                <w:kern w:val="0"/>
                <w:szCs w:val="21"/>
                <w:lang w:bidi="ar"/>
              </w:rPr>
              <w:t>，</w:t>
            </w:r>
            <w:r>
              <w:rPr>
                <w:kern w:val="0"/>
                <w:szCs w:val="21"/>
                <w:lang w:bidi="ar"/>
              </w:rPr>
              <w:t>276-002-02</w:t>
            </w:r>
            <w:r>
              <w:rPr>
                <w:rFonts w:ascii="仿宋_GB2312" w:eastAsia="仿宋_GB2312" w:cs="仿宋_GB2312"/>
                <w:kern w:val="0"/>
                <w:szCs w:val="21"/>
                <w:lang w:bidi="ar"/>
              </w:rPr>
              <w:t>，</w:t>
            </w:r>
            <w:r>
              <w:rPr>
                <w:b/>
                <w:bCs/>
                <w:kern w:val="0"/>
                <w:szCs w:val="21"/>
                <w:lang w:bidi="ar"/>
              </w:rPr>
              <w:t>276-00</w:t>
            </w:r>
            <w:r>
              <w:rPr>
                <w:rFonts w:hint="eastAsia"/>
                <w:b/>
                <w:bCs/>
                <w:kern w:val="0"/>
                <w:szCs w:val="21"/>
                <w:lang w:val="en-US" w:eastAsia="zh-CN" w:bidi="ar"/>
              </w:rPr>
              <w:t>5</w:t>
            </w:r>
            <w:r>
              <w:rPr>
                <w:b/>
                <w:bCs/>
                <w:kern w:val="0"/>
                <w:szCs w:val="21"/>
                <w:lang w:bidi="ar"/>
              </w:rPr>
              <w:t>-02</w:t>
            </w:r>
          </w:p>
        </w:tc>
        <w:tc>
          <w:tcPr>
            <w:tcW w:w="423" w:type="pct"/>
            <w:vMerge w:val="restart"/>
            <w:tcBorders>
              <w:tl2br w:val="nil"/>
              <w:tr2bl w:val="nil"/>
            </w:tcBorders>
            <w:vAlign w:val="center"/>
          </w:tcPr>
          <w:p w14:paraId="6F2BF8D8">
            <w:pPr>
              <w:widowControl/>
              <w:jc w:val="center"/>
              <w:rPr>
                <w:rFonts w:eastAsia="仿宋_GB2312"/>
                <w:kern w:val="0"/>
                <w:szCs w:val="21"/>
              </w:rPr>
            </w:pPr>
            <w:r>
              <w:rPr>
                <w:rFonts w:hint="eastAsia" w:eastAsia="仿宋_GB2312"/>
                <w:kern w:val="0"/>
                <w:szCs w:val="21"/>
              </w:rPr>
              <w:t>2</w:t>
            </w:r>
            <w:r>
              <w:rPr>
                <w:rFonts w:hint="eastAsia" w:eastAsia="仿宋_GB2312"/>
                <w:kern w:val="0"/>
                <w:szCs w:val="21"/>
                <w:lang w:val="en-US" w:eastAsia="zh-CN"/>
              </w:rPr>
              <w:t>43</w:t>
            </w:r>
            <w:r>
              <w:rPr>
                <w:rFonts w:hint="eastAsia" w:eastAsia="仿宋_GB2312"/>
                <w:kern w:val="0"/>
                <w:szCs w:val="21"/>
              </w:rPr>
              <w:t>00</w:t>
            </w:r>
          </w:p>
        </w:tc>
        <w:tc>
          <w:tcPr>
            <w:tcW w:w="605" w:type="pct"/>
            <w:vMerge w:val="restart"/>
            <w:tcBorders>
              <w:tl2br w:val="nil"/>
              <w:tr2bl w:val="nil"/>
            </w:tcBorders>
            <w:vAlign w:val="center"/>
          </w:tcPr>
          <w:p w14:paraId="04F65FAC">
            <w:pPr>
              <w:widowControl/>
              <w:jc w:val="center"/>
              <w:rPr>
                <w:rFonts w:eastAsia="仿宋_GB2312"/>
                <w:kern w:val="0"/>
                <w:szCs w:val="21"/>
              </w:rPr>
            </w:pPr>
            <w:r>
              <w:rPr>
                <w:rFonts w:eastAsia="仿宋_GB2312"/>
                <w:bCs/>
              </w:rPr>
              <w:t>回收综合利用量</w:t>
            </w:r>
            <w:r>
              <w:rPr>
                <w:rFonts w:hint="eastAsia" w:eastAsia="仿宋_GB2312"/>
                <w:bCs/>
              </w:rPr>
              <w:t>增加</w:t>
            </w:r>
            <w:r>
              <w:rPr>
                <w:rFonts w:eastAsia="仿宋_GB2312"/>
                <w:bCs/>
              </w:rPr>
              <w:t>，危废代码增加</w:t>
            </w:r>
          </w:p>
        </w:tc>
      </w:tr>
      <w:tr w14:paraId="791D65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3" w:type="pct"/>
            <w:vMerge w:val="continue"/>
            <w:tcBorders>
              <w:tl2br w:val="nil"/>
              <w:tr2bl w:val="nil"/>
            </w:tcBorders>
            <w:vAlign w:val="center"/>
          </w:tcPr>
          <w:p w14:paraId="58D7B97C">
            <w:pPr>
              <w:widowControl/>
              <w:jc w:val="center"/>
              <w:rPr>
                <w:rFonts w:eastAsia="仿宋_GB2312"/>
                <w:kern w:val="0"/>
                <w:szCs w:val="21"/>
              </w:rPr>
            </w:pPr>
          </w:p>
        </w:tc>
        <w:tc>
          <w:tcPr>
            <w:tcW w:w="372" w:type="pct"/>
            <w:vMerge w:val="continue"/>
            <w:tcBorders>
              <w:tl2br w:val="nil"/>
              <w:tr2bl w:val="nil"/>
            </w:tcBorders>
            <w:vAlign w:val="center"/>
          </w:tcPr>
          <w:p w14:paraId="66F3BEDC">
            <w:pPr>
              <w:widowControl/>
              <w:jc w:val="center"/>
              <w:rPr>
                <w:rFonts w:eastAsia="仿宋_GB2312"/>
                <w:kern w:val="0"/>
                <w:szCs w:val="21"/>
              </w:rPr>
            </w:pPr>
          </w:p>
        </w:tc>
        <w:tc>
          <w:tcPr>
            <w:tcW w:w="394" w:type="pct"/>
            <w:tcBorders>
              <w:tl2br w:val="nil"/>
              <w:tr2bl w:val="nil"/>
            </w:tcBorders>
            <w:shd w:val="clear" w:color="auto" w:fill="auto"/>
            <w:vAlign w:val="center"/>
          </w:tcPr>
          <w:p w14:paraId="2FEDDE95">
            <w:pPr>
              <w:widowControl/>
              <w:jc w:val="center"/>
              <w:rPr>
                <w:rFonts w:eastAsia="仿宋_GB2312"/>
                <w:kern w:val="0"/>
                <w:szCs w:val="21"/>
              </w:rPr>
            </w:pPr>
            <w:r>
              <w:rPr>
                <w:rFonts w:hint="eastAsia" w:eastAsia="仿宋_GB2312"/>
                <w:kern w:val="0"/>
                <w:szCs w:val="21"/>
              </w:rPr>
              <w:t>/</w:t>
            </w:r>
          </w:p>
        </w:tc>
        <w:tc>
          <w:tcPr>
            <w:tcW w:w="1042" w:type="pct"/>
            <w:tcBorders>
              <w:tl2br w:val="nil"/>
              <w:tr2bl w:val="nil"/>
            </w:tcBorders>
            <w:shd w:val="clear" w:color="auto" w:fill="auto"/>
            <w:vAlign w:val="center"/>
          </w:tcPr>
          <w:p w14:paraId="5380B9BE">
            <w:pPr>
              <w:widowControl/>
              <w:jc w:val="center"/>
              <w:rPr>
                <w:rFonts w:eastAsia="仿宋_GB2312"/>
                <w:kern w:val="0"/>
                <w:szCs w:val="21"/>
              </w:rPr>
            </w:pPr>
            <w:r>
              <w:rPr>
                <w:rFonts w:hint="eastAsia" w:eastAsia="仿宋_GB2312"/>
                <w:kern w:val="0"/>
                <w:szCs w:val="21"/>
              </w:rPr>
              <w:t>/</w:t>
            </w:r>
          </w:p>
        </w:tc>
        <w:tc>
          <w:tcPr>
            <w:tcW w:w="465" w:type="pct"/>
            <w:vMerge w:val="continue"/>
            <w:tcBorders>
              <w:tl2br w:val="nil"/>
              <w:tr2bl w:val="nil"/>
            </w:tcBorders>
            <w:vAlign w:val="center"/>
          </w:tcPr>
          <w:p w14:paraId="0C629008">
            <w:pPr>
              <w:widowControl/>
              <w:jc w:val="center"/>
              <w:rPr>
                <w:rFonts w:eastAsia="仿宋_GB2312"/>
                <w:kern w:val="0"/>
                <w:szCs w:val="21"/>
              </w:rPr>
            </w:pPr>
          </w:p>
        </w:tc>
        <w:tc>
          <w:tcPr>
            <w:tcW w:w="384" w:type="pct"/>
            <w:tcBorders>
              <w:tl2br w:val="nil"/>
              <w:tr2bl w:val="nil"/>
            </w:tcBorders>
            <w:shd w:val="clear" w:color="auto" w:fill="auto"/>
            <w:vAlign w:val="center"/>
          </w:tcPr>
          <w:p w14:paraId="3C3C4CDC">
            <w:pPr>
              <w:widowControl/>
              <w:jc w:val="center"/>
              <w:textAlignment w:val="center"/>
              <w:rPr>
                <w:rFonts w:eastAsia="仿宋_GB2312"/>
                <w:kern w:val="0"/>
                <w:szCs w:val="21"/>
              </w:rPr>
            </w:pPr>
            <w:r>
              <w:rPr>
                <w:b/>
                <w:bCs/>
                <w:kern w:val="0"/>
                <w:szCs w:val="21"/>
                <w:lang w:bidi="ar"/>
              </w:rPr>
              <w:t>HW04</w:t>
            </w:r>
          </w:p>
        </w:tc>
        <w:tc>
          <w:tcPr>
            <w:tcW w:w="1059" w:type="pct"/>
            <w:tcBorders>
              <w:tl2br w:val="nil"/>
              <w:tr2bl w:val="nil"/>
            </w:tcBorders>
            <w:shd w:val="clear" w:color="auto" w:fill="auto"/>
            <w:vAlign w:val="center"/>
          </w:tcPr>
          <w:p w14:paraId="705D7879">
            <w:pPr>
              <w:widowControl/>
              <w:jc w:val="center"/>
              <w:textAlignment w:val="center"/>
              <w:rPr>
                <w:rFonts w:eastAsia="仿宋_GB2312"/>
                <w:kern w:val="0"/>
                <w:szCs w:val="21"/>
              </w:rPr>
            </w:pPr>
            <w:r>
              <w:rPr>
                <w:b/>
                <w:bCs/>
                <w:kern w:val="0"/>
                <w:szCs w:val="21"/>
                <w:lang w:bidi="ar"/>
              </w:rPr>
              <w:t>263-008-04</w:t>
            </w:r>
          </w:p>
        </w:tc>
        <w:tc>
          <w:tcPr>
            <w:tcW w:w="423" w:type="pct"/>
            <w:vMerge w:val="continue"/>
            <w:tcBorders>
              <w:tl2br w:val="nil"/>
              <w:tr2bl w:val="nil"/>
            </w:tcBorders>
            <w:vAlign w:val="center"/>
          </w:tcPr>
          <w:p w14:paraId="4CE3B105">
            <w:pPr>
              <w:widowControl/>
              <w:jc w:val="center"/>
              <w:rPr>
                <w:rFonts w:eastAsia="仿宋_GB2312"/>
                <w:kern w:val="0"/>
                <w:szCs w:val="21"/>
              </w:rPr>
            </w:pPr>
          </w:p>
        </w:tc>
        <w:tc>
          <w:tcPr>
            <w:tcW w:w="605" w:type="pct"/>
            <w:vMerge w:val="continue"/>
            <w:tcBorders>
              <w:tl2br w:val="nil"/>
              <w:tr2bl w:val="nil"/>
            </w:tcBorders>
            <w:vAlign w:val="center"/>
          </w:tcPr>
          <w:p w14:paraId="560AD86B">
            <w:pPr>
              <w:widowControl/>
              <w:jc w:val="center"/>
              <w:rPr>
                <w:rFonts w:eastAsia="仿宋_GB2312"/>
                <w:kern w:val="0"/>
                <w:szCs w:val="21"/>
              </w:rPr>
            </w:pPr>
          </w:p>
        </w:tc>
      </w:tr>
      <w:tr w14:paraId="53A7B5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3" w:type="pct"/>
            <w:vMerge w:val="continue"/>
            <w:tcBorders>
              <w:tl2br w:val="nil"/>
              <w:tr2bl w:val="nil"/>
            </w:tcBorders>
            <w:vAlign w:val="center"/>
          </w:tcPr>
          <w:p w14:paraId="77C3178D">
            <w:pPr>
              <w:widowControl/>
              <w:jc w:val="center"/>
              <w:rPr>
                <w:rFonts w:eastAsia="仿宋_GB2312"/>
                <w:kern w:val="0"/>
                <w:szCs w:val="21"/>
              </w:rPr>
            </w:pPr>
          </w:p>
        </w:tc>
        <w:tc>
          <w:tcPr>
            <w:tcW w:w="372" w:type="pct"/>
            <w:vMerge w:val="continue"/>
            <w:tcBorders>
              <w:tl2br w:val="nil"/>
              <w:tr2bl w:val="nil"/>
            </w:tcBorders>
            <w:vAlign w:val="center"/>
          </w:tcPr>
          <w:p w14:paraId="126B766F">
            <w:pPr>
              <w:widowControl/>
              <w:jc w:val="center"/>
              <w:rPr>
                <w:rFonts w:eastAsia="仿宋_GB2312"/>
                <w:kern w:val="0"/>
                <w:szCs w:val="21"/>
              </w:rPr>
            </w:pPr>
          </w:p>
        </w:tc>
        <w:tc>
          <w:tcPr>
            <w:tcW w:w="394" w:type="pct"/>
            <w:tcBorders>
              <w:tl2br w:val="nil"/>
              <w:tr2bl w:val="nil"/>
            </w:tcBorders>
            <w:vAlign w:val="center"/>
          </w:tcPr>
          <w:p w14:paraId="3FAB3DB1">
            <w:pPr>
              <w:widowControl/>
              <w:jc w:val="center"/>
              <w:rPr>
                <w:rFonts w:eastAsia="仿宋_GB2312"/>
                <w:kern w:val="0"/>
                <w:szCs w:val="21"/>
              </w:rPr>
            </w:pPr>
            <w:r>
              <w:rPr>
                <w:rFonts w:eastAsia="仿宋_GB2312"/>
                <w:kern w:val="0"/>
                <w:szCs w:val="21"/>
              </w:rPr>
              <w:t>HW06</w:t>
            </w:r>
          </w:p>
        </w:tc>
        <w:tc>
          <w:tcPr>
            <w:tcW w:w="1042" w:type="pct"/>
            <w:tcBorders>
              <w:tl2br w:val="nil"/>
              <w:tr2bl w:val="nil"/>
            </w:tcBorders>
            <w:vAlign w:val="center"/>
          </w:tcPr>
          <w:p w14:paraId="276A8013">
            <w:pPr>
              <w:widowControl/>
              <w:jc w:val="center"/>
              <w:rPr>
                <w:rFonts w:eastAsia="仿宋_GB2312"/>
                <w:kern w:val="0"/>
                <w:szCs w:val="21"/>
              </w:rPr>
            </w:pPr>
            <w:r>
              <w:rPr>
                <w:rFonts w:eastAsia="仿宋_GB2312"/>
                <w:kern w:val="0"/>
                <w:szCs w:val="21"/>
              </w:rPr>
              <w:t>900-402-06，900-404-06</w:t>
            </w:r>
          </w:p>
          <w:p w14:paraId="3BC02B66">
            <w:pPr>
              <w:widowControl/>
              <w:jc w:val="center"/>
              <w:rPr>
                <w:rFonts w:eastAsia="仿宋_GB2312"/>
                <w:kern w:val="0"/>
                <w:szCs w:val="21"/>
              </w:rPr>
            </w:pPr>
            <w:r>
              <w:rPr>
                <w:rFonts w:eastAsia="仿宋_GB2312"/>
                <w:kern w:val="0"/>
                <w:szCs w:val="21"/>
              </w:rPr>
              <w:t>900-40</w:t>
            </w:r>
            <w:r>
              <w:rPr>
                <w:rFonts w:hint="eastAsia" w:eastAsia="仿宋_GB2312"/>
                <w:kern w:val="0"/>
                <w:szCs w:val="21"/>
              </w:rPr>
              <w:t>7</w:t>
            </w:r>
            <w:r>
              <w:rPr>
                <w:rFonts w:eastAsia="仿宋_GB2312"/>
                <w:kern w:val="0"/>
                <w:szCs w:val="21"/>
              </w:rPr>
              <w:t>-06</w:t>
            </w:r>
          </w:p>
        </w:tc>
        <w:tc>
          <w:tcPr>
            <w:tcW w:w="465" w:type="pct"/>
            <w:vMerge w:val="continue"/>
            <w:tcBorders>
              <w:tl2br w:val="nil"/>
              <w:tr2bl w:val="nil"/>
            </w:tcBorders>
            <w:vAlign w:val="center"/>
          </w:tcPr>
          <w:p w14:paraId="564DC15E">
            <w:pPr>
              <w:widowControl/>
              <w:jc w:val="center"/>
              <w:rPr>
                <w:rFonts w:eastAsia="仿宋_GB2312"/>
                <w:kern w:val="0"/>
                <w:szCs w:val="21"/>
              </w:rPr>
            </w:pPr>
          </w:p>
        </w:tc>
        <w:tc>
          <w:tcPr>
            <w:tcW w:w="384" w:type="pct"/>
            <w:tcBorders>
              <w:tl2br w:val="nil"/>
              <w:tr2bl w:val="nil"/>
            </w:tcBorders>
            <w:shd w:val="clear" w:color="auto" w:fill="auto"/>
            <w:vAlign w:val="center"/>
          </w:tcPr>
          <w:p w14:paraId="000020C6">
            <w:pPr>
              <w:widowControl/>
              <w:jc w:val="center"/>
              <w:textAlignment w:val="center"/>
              <w:rPr>
                <w:rFonts w:eastAsia="仿宋_GB2312"/>
                <w:kern w:val="0"/>
                <w:szCs w:val="21"/>
              </w:rPr>
            </w:pPr>
            <w:r>
              <w:rPr>
                <w:kern w:val="0"/>
                <w:szCs w:val="21"/>
                <w:lang w:bidi="ar"/>
              </w:rPr>
              <w:t>HW06</w:t>
            </w:r>
          </w:p>
        </w:tc>
        <w:tc>
          <w:tcPr>
            <w:tcW w:w="1059" w:type="pct"/>
            <w:tcBorders>
              <w:tl2br w:val="nil"/>
              <w:tr2bl w:val="nil"/>
            </w:tcBorders>
            <w:shd w:val="clear" w:color="auto" w:fill="auto"/>
            <w:vAlign w:val="center"/>
          </w:tcPr>
          <w:p w14:paraId="1FF5F571">
            <w:pPr>
              <w:widowControl/>
              <w:jc w:val="center"/>
              <w:textAlignment w:val="center"/>
              <w:rPr>
                <w:rFonts w:eastAsia="仿宋_GB2312"/>
                <w:kern w:val="0"/>
                <w:szCs w:val="21"/>
              </w:rPr>
            </w:pPr>
            <w:r>
              <w:rPr>
                <w:kern w:val="0"/>
                <w:szCs w:val="21"/>
                <w:lang w:bidi="ar"/>
              </w:rPr>
              <w:t>900-402-06</w:t>
            </w:r>
            <w:r>
              <w:rPr>
                <w:rFonts w:ascii="仿宋_GB2312" w:eastAsia="仿宋_GB2312" w:cs="仿宋_GB2312"/>
                <w:kern w:val="0"/>
                <w:szCs w:val="21"/>
                <w:lang w:bidi="ar"/>
              </w:rPr>
              <w:t>，</w:t>
            </w:r>
            <w:r>
              <w:rPr>
                <w:kern w:val="0"/>
                <w:szCs w:val="21"/>
                <w:lang w:bidi="ar"/>
              </w:rPr>
              <w:t>900-404-06</w:t>
            </w:r>
            <w:r>
              <w:rPr>
                <w:rFonts w:hint="eastAsia" w:ascii="宋体" w:hAnsi="宋体" w:cs="宋体"/>
                <w:kern w:val="0"/>
                <w:szCs w:val="21"/>
                <w:lang w:bidi="ar"/>
              </w:rPr>
              <w:t>，</w:t>
            </w:r>
            <w:r>
              <w:rPr>
                <w:kern w:val="0"/>
                <w:szCs w:val="21"/>
                <w:lang w:bidi="ar"/>
              </w:rPr>
              <w:t>900-407-06</w:t>
            </w:r>
          </w:p>
        </w:tc>
        <w:tc>
          <w:tcPr>
            <w:tcW w:w="423" w:type="pct"/>
            <w:vMerge w:val="continue"/>
            <w:tcBorders>
              <w:tl2br w:val="nil"/>
              <w:tr2bl w:val="nil"/>
            </w:tcBorders>
            <w:vAlign w:val="center"/>
          </w:tcPr>
          <w:p w14:paraId="39D5BBA8">
            <w:pPr>
              <w:widowControl/>
              <w:jc w:val="center"/>
              <w:rPr>
                <w:rFonts w:eastAsia="仿宋_GB2312"/>
                <w:kern w:val="0"/>
                <w:szCs w:val="21"/>
              </w:rPr>
            </w:pPr>
          </w:p>
        </w:tc>
        <w:tc>
          <w:tcPr>
            <w:tcW w:w="605" w:type="pct"/>
            <w:vMerge w:val="continue"/>
            <w:tcBorders>
              <w:tl2br w:val="nil"/>
              <w:tr2bl w:val="nil"/>
            </w:tcBorders>
            <w:vAlign w:val="center"/>
          </w:tcPr>
          <w:p w14:paraId="578CE7DC">
            <w:pPr>
              <w:widowControl/>
              <w:jc w:val="center"/>
              <w:rPr>
                <w:rFonts w:eastAsia="仿宋_GB2312"/>
                <w:kern w:val="0"/>
                <w:szCs w:val="21"/>
              </w:rPr>
            </w:pPr>
          </w:p>
        </w:tc>
      </w:tr>
      <w:tr w14:paraId="46F0D34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3" w:type="pct"/>
            <w:vMerge w:val="continue"/>
            <w:tcBorders>
              <w:tl2br w:val="nil"/>
              <w:tr2bl w:val="nil"/>
            </w:tcBorders>
            <w:vAlign w:val="center"/>
          </w:tcPr>
          <w:p w14:paraId="63F8E268">
            <w:pPr>
              <w:widowControl/>
              <w:jc w:val="center"/>
              <w:rPr>
                <w:rFonts w:eastAsia="仿宋_GB2312"/>
                <w:kern w:val="0"/>
                <w:szCs w:val="21"/>
              </w:rPr>
            </w:pPr>
          </w:p>
        </w:tc>
        <w:tc>
          <w:tcPr>
            <w:tcW w:w="372" w:type="pct"/>
            <w:vMerge w:val="continue"/>
            <w:tcBorders>
              <w:tl2br w:val="nil"/>
              <w:tr2bl w:val="nil"/>
            </w:tcBorders>
            <w:vAlign w:val="center"/>
          </w:tcPr>
          <w:p w14:paraId="5E12AB09">
            <w:pPr>
              <w:widowControl/>
              <w:jc w:val="center"/>
              <w:rPr>
                <w:rFonts w:eastAsia="仿宋_GB2312"/>
                <w:kern w:val="0"/>
                <w:szCs w:val="21"/>
              </w:rPr>
            </w:pPr>
          </w:p>
        </w:tc>
        <w:tc>
          <w:tcPr>
            <w:tcW w:w="394" w:type="pct"/>
            <w:tcBorders>
              <w:tl2br w:val="nil"/>
              <w:tr2bl w:val="nil"/>
            </w:tcBorders>
            <w:vAlign w:val="center"/>
          </w:tcPr>
          <w:p w14:paraId="0D3870C2">
            <w:pPr>
              <w:widowControl/>
              <w:jc w:val="center"/>
              <w:rPr>
                <w:rFonts w:eastAsia="仿宋_GB2312"/>
                <w:kern w:val="0"/>
                <w:szCs w:val="21"/>
              </w:rPr>
            </w:pPr>
            <w:r>
              <w:rPr>
                <w:rFonts w:eastAsia="仿宋_GB2312"/>
                <w:kern w:val="0"/>
                <w:szCs w:val="21"/>
              </w:rPr>
              <w:t>HW11</w:t>
            </w:r>
          </w:p>
        </w:tc>
        <w:tc>
          <w:tcPr>
            <w:tcW w:w="1042" w:type="pct"/>
            <w:tcBorders>
              <w:tl2br w:val="nil"/>
              <w:tr2bl w:val="nil"/>
            </w:tcBorders>
            <w:vAlign w:val="center"/>
          </w:tcPr>
          <w:p w14:paraId="494A78F3">
            <w:pPr>
              <w:widowControl/>
              <w:jc w:val="center"/>
              <w:rPr>
                <w:rFonts w:eastAsia="仿宋_GB2312"/>
                <w:kern w:val="0"/>
                <w:szCs w:val="21"/>
              </w:rPr>
            </w:pPr>
            <w:r>
              <w:rPr>
                <w:rFonts w:eastAsia="仿宋_GB2312"/>
                <w:kern w:val="0"/>
                <w:szCs w:val="21"/>
              </w:rPr>
              <w:t>900-013-11</w:t>
            </w:r>
          </w:p>
        </w:tc>
        <w:tc>
          <w:tcPr>
            <w:tcW w:w="465" w:type="pct"/>
            <w:vMerge w:val="continue"/>
            <w:tcBorders>
              <w:tl2br w:val="nil"/>
              <w:tr2bl w:val="nil"/>
            </w:tcBorders>
            <w:vAlign w:val="center"/>
          </w:tcPr>
          <w:p w14:paraId="490EDE24">
            <w:pPr>
              <w:widowControl/>
              <w:jc w:val="center"/>
              <w:rPr>
                <w:rFonts w:eastAsia="仿宋_GB2312"/>
                <w:kern w:val="0"/>
                <w:szCs w:val="21"/>
              </w:rPr>
            </w:pPr>
          </w:p>
        </w:tc>
        <w:tc>
          <w:tcPr>
            <w:tcW w:w="384" w:type="pct"/>
            <w:tcBorders>
              <w:tl2br w:val="nil"/>
              <w:tr2bl w:val="nil"/>
            </w:tcBorders>
            <w:shd w:val="clear" w:color="auto" w:fill="auto"/>
            <w:vAlign w:val="center"/>
          </w:tcPr>
          <w:p w14:paraId="5A6CD914">
            <w:pPr>
              <w:widowControl/>
              <w:jc w:val="center"/>
              <w:textAlignment w:val="center"/>
              <w:rPr>
                <w:rFonts w:eastAsia="仿宋_GB2312"/>
                <w:kern w:val="0"/>
                <w:szCs w:val="21"/>
              </w:rPr>
            </w:pPr>
            <w:r>
              <w:rPr>
                <w:kern w:val="0"/>
                <w:szCs w:val="21"/>
                <w:lang w:bidi="ar"/>
              </w:rPr>
              <w:t>HW11</w:t>
            </w:r>
          </w:p>
        </w:tc>
        <w:tc>
          <w:tcPr>
            <w:tcW w:w="1059" w:type="pct"/>
            <w:tcBorders>
              <w:tl2br w:val="nil"/>
              <w:tr2bl w:val="nil"/>
            </w:tcBorders>
            <w:shd w:val="clear" w:color="auto" w:fill="auto"/>
            <w:vAlign w:val="center"/>
          </w:tcPr>
          <w:p w14:paraId="1CD0B17B">
            <w:pPr>
              <w:widowControl/>
              <w:jc w:val="center"/>
              <w:textAlignment w:val="center"/>
              <w:rPr>
                <w:rFonts w:eastAsia="仿宋_GB2312"/>
                <w:kern w:val="0"/>
                <w:szCs w:val="21"/>
              </w:rPr>
            </w:pPr>
            <w:r>
              <w:rPr>
                <w:kern w:val="0"/>
                <w:szCs w:val="21"/>
                <w:lang w:bidi="ar"/>
              </w:rPr>
              <w:t>900-013-11</w:t>
            </w:r>
          </w:p>
        </w:tc>
        <w:tc>
          <w:tcPr>
            <w:tcW w:w="423" w:type="pct"/>
            <w:vMerge w:val="continue"/>
            <w:tcBorders>
              <w:tl2br w:val="nil"/>
              <w:tr2bl w:val="nil"/>
            </w:tcBorders>
            <w:vAlign w:val="center"/>
          </w:tcPr>
          <w:p w14:paraId="0D356DAA">
            <w:pPr>
              <w:widowControl/>
              <w:jc w:val="center"/>
              <w:rPr>
                <w:rFonts w:eastAsia="仿宋_GB2312"/>
                <w:kern w:val="0"/>
                <w:szCs w:val="21"/>
              </w:rPr>
            </w:pPr>
          </w:p>
        </w:tc>
        <w:tc>
          <w:tcPr>
            <w:tcW w:w="605" w:type="pct"/>
            <w:vMerge w:val="continue"/>
            <w:tcBorders>
              <w:tl2br w:val="nil"/>
              <w:tr2bl w:val="nil"/>
            </w:tcBorders>
            <w:vAlign w:val="center"/>
          </w:tcPr>
          <w:p w14:paraId="55BCCC27">
            <w:pPr>
              <w:widowControl/>
              <w:jc w:val="center"/>
              <w:rPr>
                <w:rFonts w:eastAsia="仿宋_GB2312"/>
                <w:kern w:val="0"/>
                <w:szCs w:val="21"/>
              </w:rPr>
            </w:pPr>
          </w:p>
        </w:tc>
      </w:tr>
      <w:tr w14:paraId="002E06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3" w:type="pct"/>
            <w:vMerge w:val="continue"/>
            <w:tcBorders>
              <w:tl2br w:val="nil"/>
              <w:tr2bl w:val="nil"/>
            </w:tcBorders>
            <w:vAlign w:val="center"/>
          </w:tcPr>
          <w:p w14:paraId="1FE52B59">
            <w:pPr>
              <w:widowControl/>
              <w:rPr>
                <w:rFonts w:eastAsia="仿宋_GB2312"/>
                <w:kern w:val="0"/>
                <w:szCs w:val="21"/>
              </w:rPr>
            </w:pPr>
          </w:p>
        </w:tc>
        <w:tc>
          <w:tcPr>
            <w:tcW w:w="372" w:type="pct"/>
            <w:vMerge w:val="continue"/>
            <w:tcBorders>
              <w:tl2br w:val="nil"/>
              <w:tr2bl w:val="nil"/>
            </w:tcBorders>
            <w:vAlign w:val="center"/>
          </w:tcPr>
          <w:p w14:paraId="35BCBACB">
            <w:pPr>
              <w:widowControl/>
              <w:jc w:val="center"/>
              <w:rPr>
                <w:rFonts w:eastAsia="仿宋_GB2312"/>
                <w:kern w:val="0"/>
                <w:szCs w:val="21"/>
              </w:rPr>
            </w:pPr>
          </w:p>
        </w:tc>
        <w:tc>
          <w:tcPr>
            <w:tcW w:w="394" w:type="pct"/>
            <w:tcBorders>
              <w:tl2br w:val="nil"/>
              <w:tr2bl w:val="nil"/>
            </w:tcBorders>
            <w:vAlign w:val="center"/>
          </w:tcPr>
          <w:p w14:paraId="2456BFD6">
            <w:pPr>
              <w:widowControl/>
              <w:jc w:val="center"/>
              <w:rPr>
                <w:rFonts w:eastAsia="仿宋_GB2312"/>
                <w:kern w:val="0"/>
                <w:szCs w:val="21"/>
              </w:rPr>
            </w:pPr>
            <w:r>
              <w:rPr>
                <w:rFonts w:eastAsia="仿宋_GB2312"/>
                <w:kern w:val="0"/>
                <w:szCs w:val="21"/>
              </w:rPr>
              <w:t>HW49</w:t>
            </w:r>
          </w:p>
        </w:tc>
        <w:tc>
          <w:tcPr>
            <w:tcW w:w="1042" w:type="pct"/>
            <w:tcBorders>
              <w:tl2br w:val="nil"/>
              <w:tr2bl w:val="nil"/>
            </w:tcBorders>
            <w:vAlign w:val="center"/>
          </w:tcPr>
          <w:p w14:paraId="2F0A3029">
            <w:pPr>
              <w:widowControl/>
              <w:jc w:val="center"/>
              <w:rPr>
                <w:rFonts w:eastAsia="仿宋_GB2312"/>
                <w:kern w:val="0"/>
                <w:szCs w:val="21"/>
              </w:rPr>
            </w:pPr>
            <w:r>
              <w:rPr>
                <w:rFonts w:eastAsia="仿宋_GB2312"/>
                <w:kern w:val="0"/>
                <w:szCs w:val="21"/>
              </w:rPr>
              <w:t>900-047-49</w:t>
            </w:r>
          </w:p>
        </w:tc>
        <w:tc>
          <w:tcPr>
            <w:tcW w:w="465" w:type="pct"/>
            <w:vMerge w:val="continue"/>
            <w:tcBorders>
              <w:tl2br w:val="nil"/>
              <w:tr2bl w:val="nil"/>
            </w:tcBorders>
            <w:vAlign w:val="center"/>
          </w:tcPr>
          <w:p w14:paraId="34E6704F">
            <w:pPr>
              <w:widowControl/>
              <w:jc w:val="center"/>
              <w:rPr>
                <w:rFonts w:eastAsia="仿宋_GB2312"/>
                <w:kern w:val="0"/>
                <w:szCs w:val="21"/>
              </w:rPr>
            </w:pPr>
          </w:p>
        </w:tc>
        <w:tc>
          <w:tcPr>
            <w:tcW w:w="384" w:type="pct"/>
            <w:tcBorders>
              <w:tl2br w:val="nil"/>
              <w:tr2bl w:val="nil"/>
            </w:tcBorders>
            <w:shd w:val="clear" w:color="auto" w:fill="auto"/>
            <w:vAlign w:val="center"/>
          </w:tcPr>
          <w:p w14:paraId="076F5142">
            <w:pPr>
              <w:widowControl/>
              <w:jc w:val="center"/>
              <w:textAlignment w:val="center"/>
              <w:rPr>
                <w:rFonts w:eastAsia="仿宋_GB2312"/>
                <w:kern w:val="0"/>
                <w:szCs w:val="21"/>
              </w:rPr>
            </w:pPr>
            <w:r>
              <w:rPr>
                <w:kern w:val="0"/>
                <w:szCs w:val="21"/>
                <w:lang w:bidi="ar"/>
              </w:rPr>
              <w:t>HW49</w:t>
            </w:r>
          </w:p>
        </w:tc>
        <w:tc>
          <w:tcPr>
            <w:tcW w:w="1059" w:type="pct"/>
            <w:tcBorders>
              <w:tl2br w:val="nil"/>
              <w:tr2bl w:val="nil"/>
            </w:tcBorders>
            <w:shd w:val="clear" w:color="auto" w:fill="auto"/>
            <w:vAlign w:val="center"/>
          </w:tcPr>
          <w:p w14:paraId="548CFA30">
            <w:pPr>
              <w:widowControl/>
              <w:jc w:val="center"/>
              <w:textAlignment w:val="center"/>
              <w:rPr>
                <w:rFonts w:eastAsia="仿宋_GB2312"/>
                <w:kern w:val="0"/>
                <w:szCs w:val="21"/>
              </w:rPr>
            </w:pPr>
            <w:r>
              <w:rPr>
                <w:kern w:val="0"/>
                <w:szCs w:val="21"/>
                <w:lang w:bidi="ar"/>
              </w:rPr>
              <w:t>900-047-49</w:t>
            </w:r>
          </w:p>
        </w:tc>
        <w:tc>
          <w:tcPr>
            <w:tcW w:w="423" w:type="pct"/>
            <w:vMerge w:val="continue"/>
            <w:tcBorders>
              <w:tl2br w:val="nil"/>
              <w:tr2bl w:val="nil"/>
            </w:tcBorders>
            <w:vAlign w:val="center"/>
          </w:tcPr>
          <w:p w14:paraId="3F66D988">
            <w:pPr>
              <w:widowControl/>
              <w:jc w:val="center"/>
              <w:rPr>
                <w:rFonts w:eastAsia="仿宋_GB2312"/>
                <w:kern w:val="0"/>
                <w:szCs w:val="21"/>
              </w:rPr>
            </w:pPr>
          </w:p>
        </w:tc>
        <w:tc>
          <w:tcPr>
            <w:tcW w:w="605" w:type="pct"/>
            <w:vMerge w:val="continue"/>
            <w:tcBorders>
              <w:tl2br w:val="nil"/>
              <w:tr2bl w:val="nil"/>
            </w:tcBorders>
            <w:vAlign w:val="center"/>
          </w:tcPr>
          <w:p w14:paraId="67B404EE">
            <w:pPr>
              <w:widowControl/>
              <w:jc w:val="center"/>
              <w:rPr>
                <w:rFonts w:eastAsia="仿宋_GB2312"/>
                <w:kern w:val="0"/>
                <w:szCs w:val="21"/>
              </w:rPr>
            </w:pPr>
          </w:p>
        </w:tc>
      </w:tr>
      <w:tr w14:paraId="68E75F5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3" w:type="pct"/>
            <w:vMerge w:val="restart"/>
            <w:tcBorders>
              <w:tl2br w:val="nil"/>
              <w:tr2bl w:val="nil"/>
            </w:tcBorders>
            <w:vAlign w:val="center"/>
          </w:tcPr>
          <w:p w14:paraId="00AC5BDA">
            <w:pPr>
              <w:widowControl/>
              <w:jc w:val="center"/>
              <w:rPr>
                <w:rFonts w:eastAsia="仿宋_GB2312"/>
                <w:kern w:val="0"/>
                <w:szCs w:val="21"/>
              </w:rPr>
            </w:pPr>
            <w:r>
              <w:rPr>
                <w:rFonts w:eastAsia="仿宋_GB2312"/>
                <w:kern w:val="0"/>
                <w:szCs w:val="21"/>
              </w:rPr>
              <w:t>16</w:t>
            </w:r>
          </w:p>
        </w:tc>
        <w:tc>
          <w:tcPr>
            <w:tcW w:w="372" w:type="pct"/>
            <w:vMerge w:val="restart"/>
            <w:tcBorders>
              <w:tl2br w:val="nil"/>
              <w:tr2bl w:val="nil"/>
            </w:tcBorders>
            <w:vAlign w:val="center"/>
          </w:tcPr>
          <w:p w14:paraId="6F4C7636">
            <w:pPr>
              <w:widowControl/>
              <w:jc w:val="center"/>
              <w:rPr>
                <w:rFonts w:eastAsia="仿宋_GB2312"/>
                <w:kern w:val="0"/>
                <w:szCs w:val="21"/>
              </w:rPr>
            </w:pPr>
            <w:r>
              <w:rPr>
                <w:rFonts w:eastAsia="仿宋_GB2312"/>
                <w:kern w:val="0"/>
                <w:szCs w:val="21"/>
              </w:rPr>
              <w:t>二甲基亚砜废液</w:t>
            </w:r>
          </w:p>
        </w:tc>
        <w:tc>
          <w:tcPr>
            <w:tcW w:w="394" w:type="pct"/>
            <w:tcBorders>
              <w:tl2br w:val="nil"/>
              <w:tr2bl w:val="nil"/>
            </w:tcBorders>
            <w:vAlign w:val="center"/>
          </w:tcPr>
          <w:p w14:paraId="635FF0C9">
            <w:pPr>
              <w:widowControl/>
              <w:jc w:val="center"/>
              <w:rPr>
                <w:rFonts w:eastAsia="仿宋_GB2312"/>
                <w:kern w:val="0"/>
                <w:szCs w:val="21"/>
              </w:rPr>
            </w:pPr>
            <w:r>
              <w:rPr>
                <w:rFonts w:eastAsia="仿宋_GB2312"/>
                <w:kern w:val="0"/>
                <w:szCs w:val="21"/>
              </w:rPr>
              <w:t>HW02</w:t>
            </w:r>
          </w:p>
        </w:tc>
        <w:tc>
          <w:tcPr>
            <w:tcW w:w="1042" w:type="pct"/>
            <w:tcBorders>
              <w:tl2br w:val="nil"/>
              <w:tr2bl w:val="nil"/>
            </w:tcBorders>
            <w:vAlign w:val="center"/>
          </w:tcPr>
          <w:p w14:paraId="72A5354B">
            <w:pPr>
              <w:widowControl/>
              <w:jc w:val="center"/>
              <w:rPr>
                <w:rFonts w:eastAsia="仿宋_GB2312"/>
                <w:kern w:val="0"/>
                <w:szCs w:val="21"/>
              </w:rPr>
            </w:pPr>
            <w:r>
              <w:rPr>
                <w:rFonts w:eastAsia="仿宋_GB2312"/>
                <w:kern w:val="0"/>
                <w:szCs w:val="21"/>
              </w:rPr>
              <w:t>271-001-02，271-002-02，</w:t>
            </w:r>
            <w:r>
              <w:rPr>
                <w:rFonts w:hint="eastAsia" w:eastAsia="仿宋_GB2312"/>
                <w:kern w:val="0"/>
                <w:szCs w:val="21"/>
              </w:rPr>
              <w:t>271-004-02，</w:t>
            </w:r>
            <w:r>
              <w:rPr>
                <w:rFonts w:eastAsia="仿宋_GB2312"/>
                <w:kern w:val="0"/>
                <w:szCs w:val="21"/>
              </w:rPr>
              <w:t>272-001-02，</w:t>
            </w:r>
            <w:r>
              <w:rPr>
                <w:rFonts w:hint="eastAsia" w:eastAsia="仿宋_GB2312"/>
                <w:kern w:val="0"/>
                <w:szCs w:val="21"/>
              </w:rPr>
              <w:t>272-003-02，275-004-02，275-005-02，</w:t>
            </w:r>
            <w:r>
              <w:rPr>
                <w:rFonts w:eastAsia="仿宋_GB2312"/>
                <w:kern w:val="0"/>
                <w:szCs w:val="21"/>
              </w:rPr>
              <w:t>276-001-02，276-002-02</w:t>
            </w:r>
            <w:r>
              <w:rPr>
                <w:rFonts w:hint="eastAsia" w:eastAsia="仿宋_GB2312"/>
                <w:kern w:val="0"/>
                <w:szCs w:val="21"/>
              </w:rPr>
              <w:t>，276-004-02</w:t>
            </w:r>
          </w:p>
        </w:tc>
        <w:tc>
          <w:tcPr>
            <w:tcW w:w="465" w:type="pct"/>
            <w:vMerge w:val="restart"/>
            <w:tcBorders>
              <w:tl2br w:val="nil"/>
              <w:tr2bl w:val="nil"/>
            </w:tcBorders>
            <w:vAlign w:val="center"/>
          </w:tcPr>
          <w:p w14:paraId="46FA7C20">
            <w:pPr>
              <w:widowControl/>
              <w:jc w:val="center"/>
              <w:rPr>
                <w:rFonts w:eastAsia="仿宋_GB2312"/>
                <w:kern w:val="0"/>
                <w:szCs w:val="21"/>
              </w:rPr>
            </w:pPr>
            <w:r>
              <w:rPr>
                <w:rFonts w:eastAsia="仿宋_GB2312"/>
                <w:kern w:val="0"/>
                <w:szCs w:val="21"/>
              </w:rPr>
              <w:t>1000</w:t>
            </w:r>
          </w:p>
        </w:tc>
        <w:tc>
          <w:tcPr>
            <w:tcW w:w="384" w:type="pct"/>
            <w:tcBorders>
              <w:tl2br w:val="nil"/>
              <w:tr2bl w:val="nil"/>
            </w:tcBorders>
            <w:shd w:val="clear" w:color="auto" w:fill="auto"/>
            <w:vAlign w:val="center"/>
          </w:tcPr>
          <w:p w14:paraId="1278B776">
            <w:pPr>
              <w:widowControl/>
              <w:jc w:val="center"/>
              <w:textAlignment w:val="center"/>
              <w:rPr>
                <w:rFonts w:eastAsia="仿宋_GB2312"/>
                <w:kern w:val="0"/>
                <w:szCs w:val="21"/>
              </w:rPr>
            </w:pPr>
            <w:r>
              <w:rPr>
                <w:kern w:val="0"/>
                <w:szCs w:val="21"/>
                <w:lang w:bidi="ar"/>
              </w:rPr>
              <w:t>HW02</w:t>
            </w:r>
          </w:p>
        </w:tc>
        <w:tc>
          <w:tcPr>
            <w:tcW w:w="1059" w:type="pct"/>
            <w:tcBorders>
              <w:tl2br w:val="nil"/>
              <w:tr2bl w:val="nil"/>
            </w:tcBorders>
            <w:shd w:val="clear" w:color="auto" w:fill="auto"/>
            <w:vAlign w:val="center"/>
          </w:tcPr>
          <w:p w14:paraId="3C22E98F">
            <w:pPr>
              <w:widowControl/>
              <w:jc w:val="center"/>
              <w:textAlignment w:val="center"/>
              <w:rPr>
                <w:rFonts w:eastAsia="仿宋_GB2312"/>
                <w:kern w:val="0"/>
                <w:szCs w:val="21"/>
              </w:rPr>
            </w:pPr>
            <w:r>
              <w:rPr>
                <w:kern w:val="0"/>
                <w:szCs w:val="21"/>
                <w:lang w:bidi="ar"/>
              </w:rPr>
              <w:t>271-001-02</w:t>
            </w:r>
            <w:r>
              <w:rPr>
                <w:rFonts w:ascii="仿宋_GB2312" w:eastAsia="仿宋_GB2312" w:cs="仿宋_GB2312"/>
                <w:kern w:val="0"/>
                <w:szCs w:val="21"/>
                <w:lang w:bidi="ar"/>
              </w:rPr>
              <w:t>，</w:t>
            </w:r>
            <w:r>
              <w:rPr>
                <w:kern w:val="0"/>
                <w:szCs w:val="21"/>
                <w:lang w:bidi="ar"/>
              </w:rPr>
              <w:t>271-002-02</w:t>
            </w:r>
            <w:r>
              <w:rPr>
                <w:rFonts w:ascii="仿宋_GB2312" w:eastAsia="仿宋_GB2312" w:cs="仿宋_GB2312"/>
                <w:kern w:val="0"/>
                <w:szCs w:val="21"/>
                <w:lang w:bidi="ar"/>
              </w:rPr>
              <w:t>，</w:t>
            </w:r>
            <w:r>
              <w:rPr>
                <w:kern w:val="0"/>
                <w:szCs w:val="21"/>
                <w:lang w:bidi="ar"/>
              </w:rPr>
              <w:t>272-001-02</w:t>
            </w:r>
            <w:r>
              <w:rPr>
                <w:rFonts w:ascii="仿宋_GB2312" w:eastAsia="仿宋_GB2312" w:cs="仿宋_GB2312"/>
                <w:kern w:val="0"/>
                <w:szCs w:val="21"/>
                <w:lang w:bidi="ar"/>
              </w:rPr>
              <w:t>，</w:t>
            </w:r>
            <w:r>
              <w:rPr>
                <w:b/>
                <w:bCs/>
                <w:kern w:val="0"/>
                <w:szCs w:val="21"/>
                <w:lang w:bidi="ar"/>
              </w:rPr>
              <w:t>272-00</w:t>
            </w:r>
            <w:r>
              <w:rPr>
                <w:rFonts w:hint="eastAsia"/>
                <w:b/>
                <w:bCs/>
                <w:kern w:val="0"/>
                <w:szCs w:val="21"/>
                <w:lang w:val="en-US" w:eastAsia="zh-CN" w:bidi="ar"/>
              </w:rPr>
              <w:t>5</w:t>
            </w:r>
            <w:r>
              <w:rPr>
                <w:b/>
                <w:bCs/>
                <w:kern w:val="0"/>
                <w:szCs w:val="21"/>
                <w:lang w:bidi="ar"/>
              </w:rPr>
              <w:t>-02</w:t>
            </w:r>
            <w:r>
              <w:rPr>
                <w:rFonts w:ascii="仿宋_GB2312" w:eastAsia="仿宋_GB2312" w:cs="仿宋_GB2312"/>
                <w:kern w:val="0"/>
                <w:szCs w:val="21"/>
                <w:lang w:bidi="ar"/>
              </w:rPr>
              <w:t>，</w:t>
            </w:r>
            <w:r>
              <w:rPr>
                <w:kern w:val="0"/>
                <w:szCs w:val="21"/>
                <w:lang w:bidi="ar"/>
              </w:rPr>
              <w:t>275-004-02</w:t>
            </w:r>
            <w:r>
              <w:rPr>
                <w:rFonts w:ascii="仿宋_GB2312" w:eastAsia="仿宋_GB2312" w:cs="仿宋_GB2312"/>
                <w:kern w:val="0"/>
                <w:szCs w:val="21"/>
                <w:lang w:bidi="ar"/>
              </w:rPr>
              <w:t>，</w:t>
            </w:r>
            <w:r>
              <w:rPr>
                <w:b/>
                <w:bCs/>
                <w:kern w:val="0"/>
                <w:szCs w:val="21"/>
                <w:lang w:bidi="ar"/>
              </w:rPr>
              <w:t>275-00</w:t>
            </w:r>
            <w:r>
              <w:rPr>
                <w:rFonts w:hint="eastAsia"/>
                <w:b/>
                <w:bCs/>
                <w:kern w:val="0"/>
                <w:szCs w:val="21"/>
                <w:lang w:val="en-US" w:eastAsia="zh-CN" w:bidi="ar"/>
              </w:rPr>
              <w:t>6</w:t>
            </w:r>
            <w:r>
              <w:rPr>
                <w:b/>
                <w:bCs/>
                <w:kern w:val="0"/>
                <w:szCs w:val="21"/>
                <w:lang w:bidi="ar"/>
              </w:rPr>
              <w:t>-02</w:t>
            </w:r>
            <w:r>
              <w:rPr>
                <w:rFonts w:ascii="仿宋_GB2312" w:eastAsia="仿宋_GB2312" w:cs="仿宋_GB2312"/>
                <w:kern w:val="0"/>
                <w:szCs w:val="21"/>
                <w:lang w:bidi="ar"/>
              </w:rPr>
              <w:t>，</w:t>
            </w:r>
            <w:r>
              <w:rPr>
                <w:kern w:val="0"/>
                <w:szCs w:val="21"/>
                <w:lang w:bidi="ar"/>
              </w:rPr>
              <w:t>276-001-02</w:t>
            </w:r>
            <w:r>
              <w:rPr>
                <w:rFonts w:ascii="仿宋_GB2312" w:eastAsia="仿宋_GB2312" w:cs="仿宋_GB2312"/>
                <w:kern w:val="0"/>
                <w:szCs w:val="21"/>
                <w:lang w:bidi="ar"/>
              </w:rPr>
              <w:t>，</w:t>
            </w:r>
            <w:r>
              <w:rPr>
                <w:kern w:val="0"/>
                <w:szCs w:val="21"/>
                <w:lang w:bidi="ar"/>
              </w:rPr>
              <w:t>276-002-02</w:t>
            </w:r>
            <w:r>
              <w:rPr>
                <w:rFonts w:ascii="仿宋_GB2312" w:eastAsia="仿宋_GB2312" w:cs="仿宋_GB2312"/>
                <w:kern w:val="0"/>
                <w:szCs w:val="21"/>
                <w:lang w:bidi="ar"/>
              </w:rPr>
              <w:t>，</w:t>
            </w:r>
            <w:r>
              <w:rPr>
                <w:b/>
                <w:bCs/>
                <w:kern w:val="0"/>
                <w:szCs w:val="21"/>
                <w:lang w:bidi="ar"/>
              </w:rPr>
              <w:t>276-00</w:t>
            </w:r>
            <w:r>
              <w:rPr>
                <w:rFonts w:hint="eastAsia"/>
                <w:b/>
                <w:bCs/>
                <w:kern w:val="0"/>
                <w:szCs w:val="21"/>
                <w:lang w:val="en-US" w:eastAsia="zh-CN" w:bidi="ar"/>
              </w:rPr>
              <w:t>5</w:t>
            </w:r>
            <w:r>
              <w:rPr>
                <w:b/>
                <w:bCs/>
                <w:kern w:val="0"/>
                <w:szCs w:val="21"/>
                <w:lang w:bidi="ar"/>
              </w:rPr>
              <w:t>-02</w:t>
            </w:r>
          </w:p>
        </w:tc>
        <w:tc>
          <w:tcPr>
            <w:tcW w:w="423" w:type="pct"/>
            <w:vMerge w:val="restart"/>
            <w:tcBorders>
              <w:tl2br w:val="nil"/>
              <w:tr2bl w:val="nil"/>
            </w:tcBorders>
            <w:vAlign w:val="center"/>
          </w:tcPr>
          <w:p w14:paraId="2266D590">
            <w:pPr>
              <w:widowControl/>
              <w:jc w:val="center"/>
              <w:rPr>
                <w:rFonts w:hint="default" w:eastAsia="仿宋_GB2312"/>
                <w:kern w:val="0"/>
                <w:szCs w:val="21"/>
                <w:lang w:val="en-US" w:eastAsia="zh-CN"/>
              </w:rPr>
            </w:pPr>
            <w:r>
              <w:rPr>
                <w:rFonts w:hint="eastAsia" w:eastAsia="仿宋_GB2312"/>
                <w:kern w:val="0"/>
                <w:szCs w:val="21"/>
                <w:lang w:val="en-US" w:eastAsia="zh-CN"/>
              </w:rPr>
              <w:t>23775</w:t>
            </w:r>
          </w:p>
        </w:tc>
        <w:tc>
          <w:tcPr>
            <w:tcW w:w="605" w:type="pct"/>
            <w:vMerge w:val="restart"/>
            <w:tcBorders>
              <w:tl2br w:val="nil"/>
              <w:tr2bl w:val="nil"/>
            </w:tcBorders>
            <w:vAlign w:val="center"/>
          </w:tcPr>
          <w:p w14:paraId="5E1BBB25">
            <w:pPr>
              <w:widowControl/>
              <w:jc w:val="center"/>
              <w:rPr>
                <w:rFonts w:eastAsia="仿宋_GB2312"/>
                <w:kern w:val="0"/>
                <w:szCs w:val="21"/>
              </w:rPr>
            </w:pPr>
            <w:r>
              <w:rPr>
                <w:rFonts w:eastAsia="仿宋_GB2312"/>
                <w:bCs/>
              </w:rPr>
              <w:t>回收综合利用量</w:t>
            </w:r>
            <w:r>
              <w:rPr>
                <w:rFonts w:hint="eastAsia" w:eastAsia="仿宋_GB2312"/>
                <w:bCs/>
              </w:rPr>
              <w:t>增加</w:t>
            </w:r>
            <w:r>
              <w:rPr>
                <w:rFonts w:eastAsia="仿宋_GB2312"/>
                <w:bCs/>
              </w:rPr>
              <w:t>，危废代码增加</w:t>
            </w:r>
          </w:p>
        </w:tc>
      </w:tr>
      <w:tr w14:paraId="24F4A9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3" w:type="pct"/>
            <w:vMerge w:val="continue"/>
            <w:tcBorders>
              <w:tl2br w:val="nil"/>
              <w:tr2bl w:val="nil"/>
            </w:tcBorders>
            <w:vAlign w:val="center"/>
          </w:tcPr>
          <w:p w14:paraId="0F428CB1">
            <w:pPr>
              <w:widowControl/>
              <w:jc w:val="center"/>
              <w:rPr>
                <w:rFonts w:eastAsia="仿宋_GB2312"/>
                <w:kern w:val="0"/>
                <w:szCs w:val="21"/>
              </w:rPr>
            </w:pPr>
          </w:p>
        </w:tc>
        <w:tc>
          <w:tcPr>
            <w:tcW w:w="372" w:type="pct"/>
            <w:vMerge w:val="continue"/>
            <w:tcBorders>
              <w:tl2br w:val="nil"/>
              <w:tr2bl w:val="nil"/>
            </w:tcBorders>
            <w:vAlign w:val="center"/>
          </w:tcPr>
          <w:p w14:paraId="071C193A">
            <w:pPr>
              <w:widowControl/>
              <w:jc w:val="center"/>
              <w:rPr>
                <w:rFonts w:eastAsia="仿宋_GB2312"/>
                <w:kern w:val="0"/>
                <w:szCs w:val="21"/>
              </w:rPr>
            </w:pPr>
          </w:p>
        </w:tc>
        <w:tc>
          <w:tcPr>
            <w:tcW w:w="394" w:type="pct"/>
            <w:tcBorders>
              <w:tl2br w:val="nil"/>
              <w:tr2bl w:val="nil"/>
            </w:tcBorders>
            <w:shd w:val="clear" w:color="auto" w:fill="auto"/>
            <w:vAlign w:val="center"/>
          </w:tcPr>
          <w:p w14:paraId="5C007F04">
            <w:pPr>
              <w:widowControl/>
              <w:jc w:val="center"/>
              <w:rPr>
                <w:rFonts w:eastAsia="仿宋_GB2312"/>
                <w:kern w:val="0"/>
                <w:szCs w:val="21"/>
              </w:rPr>
            </w:pPr>
            <w:r>
              <w:rPr>
                <w:rFonts w:hint="eastAsia" w:eastAsia="仿宋_GB2312"/>
                <w:kern w:val="0"/>
                <w:szCs w:val="21"/>
              </w:rPr>
              <w:t>/</w:t>
            </w:r>
          </w:p>
        </w:tc>
        <w:tc>
          <w:tcPr>
            <w:tcW w:w="1042" w:type="pct"/>
            <w:tcBorders>
              <w:tl2br w:val="nil"/>
              <w:tr2bl w:val="nil"/>
            </w:tcBorders>
            <w:shd w:val="clear" w:color="auto" w:fill="auto"/>
            <w:vAlign w:val="center"/>
          </w:tcPr>
          <w:p w14:paraId="1A159818">
            <w:pPr>
              <w:widowControl/>
              <w:jc w:val="center"/>
              <w:rPr>
                <w:rFonts w:eastAsia="仿宋_GB2312"/>
                <w:kern w:val="0"/>
                <w:szCs w:val="21"/>
              </w:rPr>
            </w:pPr>
            <w:r>
              <w:rPr>
                <w:rFonts w:hint="eastAsia" w:eastAsia="仿宋_GB2312"/>
                <w:kern w:val="0"/>
                <w:szCs w:val="21"/>
              </w:rPr>
              <w:t>/</w:t>
            </w:r>
          </w:p>
        </w:tc>
        <w:tc>
          <w:tcPr>
            <w:tcW w:w="465" w:type="pct"/>
            <w:vMerge w:val="continue"/>
            <w:tcBorders>
              <w:tl2br w:val="nil"/>
              <w:tr2bl w:val="nil"/>
            </w:tcBorders>
            <w:vAlign w:val="center"/>
          </w:tcPr>
          <w:p w14:paraId="497889D0">
            <w:pPr>
              <w:widowControl/>
              <w:jc w:val="center"/>
              <w:rPr>
                <w:rFonts w:eastAsia="仿宋_GB2312"/>
                <w:kern w:val="0"/>
                <w:szCs w:val="21"/>
              </w:rPr>
            </w:pPr>
          </w:p>
        </w:tc>
        <w:tc>
          <w:tcPr>
            <w:tcW w:w="384" w:type="pct"/>
            <w:tcBorders>
              <w:tl2br w:val="nil"/>
              <w:tr2bl w:val="nil"/>
            </w:tcBorders>
            <w:shd w:val="clear" w:color="auto" w:fill="auto"/>
            <w:vAlign w:val="center"/>
          </w:tcPr>
          <w:p w14:paraId="304BDA23">
            <w:pPr>
              <w:widowControl/>
              <w:jc w:val="center"/>
              <w:textAlignment w:val="center"/>
              <w:rPr>
                <w:rFonts w:eastAsia="仿宋_GB2312"/>
                <w:kern w:val="0"/>
                <w:szCs w:val="21"/>
              </w:rPr>
            </w:pPr>
            <w:r>
              <w:rPr>
                <w:b/>
                <w:bCs/>
                <w:kern w:val="0"/>
                <w:szCs w:val="21"/>
                <w:lang w:bidi="ar"/>
              </w:rPr>
              <w:t>HW04</w:t>
            </w:r>
          </w:p>
        </w:tc>
        <w:tc>
          <w:tcPr>
            <w:tcW w:w="1059" w:type="pct"/>
            <w:tcBorders>
              <w:tl2br w:val="nil"/>
              <w:tr2bl w:val="nil"/>
            </w:tcBorders>
            <w:shd w:val="clear" w:color="auto" w:fill="auto"/>
            <w:vAlign w:val="center"/>
          </w:tcPr>
          <w:p w14:paraId="68FC47EE">
            <w:pPr>
              <w:widowControl/>
              <w:jc w:val="center"/>
              <w:textAlignment w:val="center"/>
              <w:rPr>
                <w:rFonts w:eastAsia="仿宋_GB2312"/>
                <w:kern w:val="0"/>
                <w:szCs w:val="21"/>
              </w:rPr>
            </w:pPr>
            <w:r>
              <w:rPr>
                <w:b/>
                <w:bCs/>
                <w:kern w:val="0"/>
                <w:szCs w:val="21"/>
                <w:lang w:bidi="ar"/>
              </w:rPr>
              <w:t>263-008-04</w:t>
            </w:r>
          </w:p>
        </w:tc>
        <w:tc>
          <w:tcPr>
            <w:tcW w:w="423" w:type="pct"/>
            <w:vMerge w:val="continue"/>
            <w:tcBorders>
              <w:tl2br w:val="nil"/>
              <w:tr2bl w:val="nil"/>
            </w:tcBorders>
            <w:vAlign w:val="center"/>
          </w:tcPr>
          <w:p w14:paraId="31605FC9">
            <w:pPr>
              <w:widowControl/>
              <w:jc w:val="center"/>
              <w:rPr>
                <w:rFonts w:eastAsia="仿宋_GB2312"/>
                <w:kern w:val="0"/>
                <w:szCs w:val="21"/>
              </w:rPr>
            </w:pPr>
          </w:p>
        </w:tc>
        <w:tc>
          <w:tcPr>
            <w:tcW w:w="605" w:type="pct"/>
            <w:vMerge w:val="continue"/>
            <w:tcBorders>
              <w:tl2br w:val="nil"/>
              <w:tr2bl w:val="nil"/>
            </w:tcBorders>
            <w:vAlign w:val="center"/>
          </w:tcPr>
          <w:p w14:paraId="59477231">
            <w:pPr>
              <w:widowControl/>
              <w:jc w:val="center"/>
              <w:rPr>
                <w:rFonts w:eastAsia="仿宋_GB2312"/>
                <w:kern w:val="0"/>
                <w:szCs w:val="21"/>
              </w:rPr>
            </w:pPr>
          </w:p>
        </w:tc>
      </w:tr>
      <w:tr w14:paraId="00FB57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3" w:type="pct"/>
            <w:vMerge w:val="continue"/>
            <w:tcBorders>
              <w:tl2br w:val="nil"/>
              <w:tr2bl w:val="nil"/>
            </w:tcBorders>
            <w:vAlign w:val="center"/>
          </w:tcPr>
          <w:p w14:paraId="590EDCB6">
            <w:pPr>
              <w:widowControl/>
              <w:rPr>
                <w:rFonts w:eastAsia="仿宋_GB2312"/>
                <w:kern w:val="0"/>
                <w:szCs w:val="21"/>
              </w:rPr>
            </w:pPr>
          </w:p>
        </w:tc>
        <w:tc>
          <w:tcPr>
            <w:tcW w:w="372" w:type="pct"/>
            <w:vMerge w:val="continue"/>
            <w:tcBorders>
              <w:tl2br w:val="nil"/>
              <w:tr2bl w:val="nil"/>
            </w:tcBorders>
            <w:vAlign w:val="center"/>
          </w:tcPr>
          <w:p w14:paraId="2A361CBE">
            <w:pPr>
              <w:widowControl/>
              <w:jc w:val="center"/>
              <w:rPr>
                <w:rFonts w:eastAsia="仿宋_GB2312"/>
                <w:kern w:val="0"/>
                <w:szCs w:val="21"/>
              </w:rPr>
            </w:pPr>
          </w:p>
        </w:tc>
        <w:tc>
          <w:tcPr>
            <w:tcW w:w="394" w:type="pct"/>
            <w:tcBorders>
              <w:tl2br w:val="nil"/>
              <w:tr2bl w:val="nil"/>
            </w:tcBorders>
            <w:vAlign w:val="center"/>
          </w:tcPr>
          <w:p w14:paraId="78F96AB4">
            <w:pPr>
              <w:widowControl/>
              <w:jc w:val="center"/>
              <w:rPr>
                <w:rFonts w:eastAsia="仿宋_GB2312"/>
                <w:kern w:val="0"/>
                <w:szCs w:val="21"/>
              </w:rPr>
            </w:pPr>
            <w:r>
              <w:rPr>
                <w:rFonts w:eastAsia="仿宋_GB2312"/>
                <w:kern w:val="0"/>
                <w:szCs w:val="21"/>
              </w:rPr>
              <w:t>HW06</w:t>
            </w:r>
          </w:p>
        </w:tc>
        <w:tc>
          <w:tcPr>
            <w:tcW w:w="1042" w:type="pct"/>
            <w:tcBorders>
              <w:tl2br w:val="nil"/>
              <w:tr2bl w:val="nil"/>
            </w:tcBorders>
            <w:vAlign w:val="center"/>
          </w:tcPr>
          <w:p w14:paraId="137F78C0">
            <w:pPr>
              <w:widowControl/>
              <w:jc w:val="center"/>
              <w:rPr>
                <w:rFonts w:eastAsia="仿宋_GB2312"/>
                <w:kern w:val="0"/>
                <w:szCs w:val="21"/>
              </w:rPr>
            </w:pPr>
            <w:r>
              <w:rPr>
                <w:rFonts w:eastAsia="仿宋_GB2312"/>
                <w:kern w:val="0"/>
                <w:szCs w:val="21"/>
              </w:rPr>
              <w:t>900-402-06，900-404-06，900-407-06</w:t>
            </w:r>
          </w:p>
        </w:tc>
        <w:tc>
          <w:tcPr>
            <w:tcW w:w="465" w:type="pct"/>
            <w:vMerge w:val="continue"/>
            <w:tcBorders>
              <w:tl2br w:val="nil"/>
              <w:tr2bl w:val="nil"/>
            </w:tcBorders>
            <w:vAlign w:val="center"/>
          </w:tcPr>
          <w:p w14:paraId="1C480CE2">
            <w:pPr>
              <w:widowControl/>
              <w:jc w:val="center"/>
              <w:rPr>
                <w:rFonts w:eastAsia="仿宋_GB2312"/>
                <w:kern w:val="0"/>
                <w:szCs w:val="21"/>
              </w:rPr>
            </w:pPr>
          </w:p>
        </w:tc>
        <w:tc>
          <w:tcPr>
            <w:tcW w:w="384" w:type="pct"/>
            <w:tcBorders>
              <w:tl2br w:val="nil"/>
              <w:tr2bl w:val="nil"/>
            </w:tcBorders>
            <w:shd w:val="clear" w:color="auto" w:fill="auto"/>
            <w:vAlign w:val="center"/>
          </w:tcPr>
          <w:p w14:paraId="1322F73F">
            <w:pPr>
              <w:widowControl/>
              <w:jc w:val="center"/>
              <w:textAlignment w:val="center"/>
              <w:rPr>
                <w:rFonts w:eastAsia="仿宋_GB2312"/>
                <w:kern w:val="0"/>
                <w:szCs w:val="21"/>
              </w:rPr>
            </w:pPr>
            <w:r>
              <w:rPr>
                <w:kern w:val="0"/>
                <w:szCs w:val="21"/>
                <w:lang w:bidi="ar"/>
              </w:rPr>
              <w:t>HW06</w:t>
            </w:r>
          </w:p>
        </w:tc>
        <w:tc>
          <w:tcPr>
            <w:tcW w:w="1059" w:type="pct"/>
            <w:tcBorders>
              <w:tl2br w:val="nil"/>
              <w:tr2bl w:val="nil"/>
            </w:tcBorders>
            <w:shd w:val="clear" w:color="auto" w:fill="auto"/>
            <w:vAlign w:val="center"/>
          </w:tcPr>
          <w:p w14:paraId="3F73E7C1">
            <w:pPr>
              <w:widowControl/>
              <w:jc w:val="center"/>
              <w:textAlignment w:val="center"/>
              <w:rPr>
                <w:rFonts w:eastAsia="仿宋_GB2312"/>
                <w:kern w:val="0"/>
                <w:szCs w:val="21"/>
              </w:rPr>
            </w:pPr>
            <w:r>
              <w:rPr>
                <w:kern w:val="0"/>
                <w:szCs w:val="21"/>
                <w:lang w:bidi="ar"/>
              </w:rPr>
              <w:t>900-402-06</w:t>
            </w:r>
            <w:r>
              <w:rPr>
                <w:rFonts w:ascii="仿宋_GB2312" w:eastAsia="仿宋_GB2312" w:cs="仿宋_GB2312"/>
                <w:kern w:val="0"/>
                <w:szCs w:val="21"/>
                <w:lang w:bidi="ar"/>
              </w:rPr>
              <w:t>，</w:t>
            </w:r>
            <w:r>
              <w:rPr>
                <w:kern w:val="0"/>
                <w:szCs w:val="21"/>
                <w:lang w:bidi="ar"/>
              </w:rPr>
              <w:t>900-404-06</w:t>
            </w:r>
            <w:r>
              <w:rPr>
                <w:rFonts w:ascii="仿宋_GB2312" w:eastAsia="仿宋_GB2312" w:cs="仿宋_GB2312"/>
                <w:kern w:val="0"/>
                <w:szCs w:val="21"/>
                <w:lang w:bidi="ar"/>
              </w:rPr>
              <w:t>，</w:t>
            </w:r>
            <w:r>
              <w:rPr>
                <w:kern w:val="0"/>
                <w:szCs w:val="21"/>
                <w:lang w:bidi="ar"/>
              </w:rPr>
              <w:t>900-407-06</w:t>
            </w:r>
          </w:p>
        </w:tc>
        <w:tc>
          <w:tcPr>
            <w:tcW w:w="423" w:type="pct"/>
            <w:vMerge w:val="continue"/>
            <w:tcBorders>
              <w:tl2br w:val="nil"/>
              <w:tr2bl w:val="nil"/>
            </w:tcBorders>
            <w:vAlign w:val="center"/>
          </w:tcPr>
          <w:p w14:paraId="5C8EB5F9">
            <w:pPr>
              <w:widowControl/>
              <w:jc w:val="center"/>
              <w:rPr>
                <w:rFonts w:eastAsia="仿宋_GB2312"/>
                <w:kern w:val="0"/>
                <w:szCs w:val="21"/>
              </w:rPr>
            </w:pPr>
          </w:p>
        </w:tc>
        <w:tc>
          <w:tcPr>
            <w:tcW w:w="605" w:type="pct"/>
            <w:vMerge w:val="continue"/>
            <w:tcBorders>
              <w:tl2br w:val="nil"/>
              <w:tr2bl w:val="nil"/>
            </w:tcBorders>
            <w:vAlign w:val="center"/>
          </w:tcPr>
          <w:p w14:paraId="69E7E9A5">
            <w:pPr>
              <w:widowControl/>
              <w:jc w:val="center"/>
              <w:rPr>
                <w:rFonts w:eastAsia="仿宋_GB2312"/>
                <w:kern w:val="0"/>
                <w:szCs w:val="21"/>
              </w:rPr>
            </w:pPr>
          </w:p>
        </w:tc>
      </w:tr>
      <w:tr w14:paraId="267A69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3" w:type="pct"/>
            <w:vMerge w:val="continue"/>
            <w:tcBorders>
              <w:tl2br w:val="nil"/>
              <w:tr2bl w:val="nil"/>
            </w:tcBorders>
            <w:vAlign w:val="center"/>
          </w:tcPr>
          <w:p w14:paraId="454A4DF3">
            <w:pPr>
              <w:widowControl/>
              <w:rPr>
                <w:rFonts w:eastAsia="仿宋_GB2312"/>
                <w:kern w:val="0"/>
                <w:szCs w:val="21"/>
              </w:rPr>
            </w:pPr>
          </w:p>
        </w:tc>
        <w:tc>
          <w:tcPr>
            <w:tcW w:w="372" w:type="pct"/>
            <w:vMerge w:val="continue"/>
            <w:tcBorders>
              <w:tl2br w:val="nil"/>
              <w:tr2bl w:val="nil"/>
            </w:tcBorders>
            <w:vAlign w:val="center"/>
          </w:tcPr>
          <w:p w14:paraId="4E9D4FA0">
            <w:pPr>
              <w:widowControl/>
              <w:jc w:val="center"/>
              <w:rPr>
                <w:rFonts w:eastAsia="仿宋_GB2312"/>
                <w:kern w:val="0"/>
                <w:szCs w:val="21"/>
              </w:rPr>
            </w:pPr>
          </w:p>
        </w:tc>
        <w:tc>
          <w:tcPr>
            <w:tcW w:w="394" w:type="pct"/>
            <w:tcBorders>
              <w:tl2br w:val="nil"/>
              <w:tr2bl w:val="nil"/>
            </w:tcBorders>
            <w:vAlign w:val="center"/>
          </w:tcPr>
          <w:p w14:paraId="04048518">
            <w:pPr>
              <w:widowControl/>
              <w:jc w:val="center"/>
              <w:rPr>
                <w:rFonts w:eastAsia="仿宋_GB2312"/>
                <w:kern w:val="0"/>
                <w:szCs w:val="21"/>
              </w:rPr>
            </w:pPr>
            <w:r>
              <w:rPr>
                <w:rFonts w:eastAsia="仿宋_GB2312"/>
                <w:kern w:val="0"/>
                <w:szCs w:val="21"/>
              </w:rPr>
              <w:t>HW11</w:t>
            </w:r>
          </w:p>
        </w:tc>
        <w:tc>
          <w:tcPr>
            <w:tcW w:w="1042" w:type="pct"/>
            <w:tcBorders>
              <w:tl2br w:val="nil"/>
              <w:tr2bl w:val="nil"/>
            </w:tcBorders>
            <w:vAlign w:val="center"/>
          </w:tcPr>
          <w:p w14:paraId="3C72A6A3">
            <w:pPr>
              <w:widowControl/>
              <w:jc w:val="center"/>
              <w:rPr>
                <w:rFonts w:eastAsia="仿宋_GB2312"/>
                <w:kern w:val="0"/>
                <w:szCs w:val="21"/>
              </w:rPr>
            </w:pPr>
            <w:r>
              <w:rPr>
                <w:rFonts w:eastAsia="仿宋_GB2312"/>
                <w:kern w:val="0"/>
                <w:szCs w:val="21"/>
              </w:rPr>
              <w:t>900-013-11</w:t>
            </w:r>
          </w:p>
        </w:tc>
        <w:tc>
          <w:tcPr>
            <w:tcW w:w="465" w:type="pct"/>
            <w:vMerge w:val="continue"/>
            <w:tcBorders>
              <w:tl2br w:val="nil"/>
              <w:tr2bl w:val="nil"/>
            </w:tcBorders>
            <w:vAlign w:val="center"/>
          </w:tcPr>
          <w:p w14:paraId="156F888B">
            <w:pPr>
              <w:widowControl/>
              <w:jc w:val="center"/>
              <w:rPr>
                <w:rFonts w:eastAsia="仿宋_GB2312"/>
                <w:kern w:val="0"/>
                <w:szCs w:val="21"/>
              </w:rPr>
            </w:pPr>
          </w:p>
        </w:tc>
        <w:tc>
          <w:tcPr>
            <w:tcW w:w="384" w:type="pct"/>
            <w:tcBorders>
              <w:tl2br w:val="nil"/>
              <w:tr2bl w:val="nil"/>
            </w:tcBorders>
            <w:shd w:val="clear" w:color="auto" w:fill="auto"/>
            <w:vAlign w:val="center"/>
          </w:tcPr>
          <w:p w14:paraId="72D6015A">
            <w:pPr>
              <w:widowControl/>
              <w:jc w:val="center"/>
              <w:textAlignment w:val="center"/>
              <w:rPr>
                <w:rFonts w:eastAsia="仿宋_GB2312"/>
                <w:kern w:val="0"/>
                <w:szCs w:val="21"/>
              </w:rPr>
            </w:pPr>
            <w:r>
              <w:rPr>
                <w:kern w:val="0"/>
                <w:szCs w:val="21"/>
                <w:lang w:bidi="ar"/>
              </w:rPr>
              <w:t>HW11</w:t>
            </w:r>
          </w:p>
        </w:tc>
        <w:tc>
          <w:tcPr>
            <w:tcW w:w="1059" w:type="pct"/>
            <w:tcBorders>
              <w:tl2br w:val="nil"/>
              <w:tr2bl w:val="nil"/>
            </w:tcBorders>
            <w:shd w:val="clear" w:color="auto" w:fill="auto"/>
            <w:vAlign w:val="center"/>
          </w:tcPr>
          <w:p w14:paraId="16FED721">
            <w:pPr>
              <w:widowControl/>
              <w:jc w:val="center"/>
              <w:textAlignment w:val="center"/>
              <w:rPr>
                <w:rFonts w:eastAsia="仿宋_GB2312"/>
                <w:kern w:val="0"/>
                <w:szCs w:val="21"/>
              </w:rPr>
            </w:pPr>
            <w:r>
              <w:rPr>
                <w:kern w:val="0"/>
                <w:szCs w:val="21"/>
                <w:lang w:bidi="ar"/>
              </w:rPr>
              <w:t>900-013-11</w:t>
            </w:r>
          </w:p>
        </w:tc>
        <w:tc>
          <w:tcPr>
            <w:tcW w:w="423" w:type="pct"/>
            <w:vMerge w:val="continue"/>
            <w:tcBorders>
              <w:tl2br w:val="nil"/>
              <w:tr2bl w:val="nil"/>
            </w:tcBorders>
            <w:vAlign w:val="center"/>
          </w:tcPr>
          <w:p w14:paraId="498FC329">
            <w:pPr>
              <w:widowControl/>
              <w:jc w:val="center"/>
              <w:rPr>
                <w:rFonts w:eastAsia="仿宋_GB2312"/>
                <w:kern w:val="0"/>
                <w:szCs w:val="21"/>
              </w:rPr>
            </w:pPr>
          </w:p>
        </w:tc>
        <w:tc>
          <w:tcPr>
            <w:tcW w:w="605" w:type="pct"/>
            <w:vMerge w:val="continue"/>
            <w:tcBorders>
              <w:tl2br w:val="nil"/>
              <w:tr2bl w:val="nil"/>
            </w:tcBorders>
            <w:vAlign w:val="center"/>
          </w:tcPr>
          <w:p w14:paraId="2B3EE240">
            <w:pPr>
              <w:widowControl/>
              <w:jc w:val="center"/>
              <w:rPr>
                <w:rFonts w:eastAsia="仿宋_GB2312"/>
                <w:kern w:val="0"/>
                <w:szCs w:val="21"/>
              </w:rPr>
            </w:pPr>
          </w:p>
        </w:tc>
      </w:tr>
      <w:tr w14:paraId="1552B7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3" w:type="pct"/>
            <w:vMerge w:val="continue"/>
            <w:tcBorders>
              <w:tl2br w:val="nil"/>
              <w:tr2bl w:val="nil"/>
            </w:tcBorders>
            <w:vAlign w:val="center"/>
          </w:tcPr>
          <w:p w14:paraId="41293D39">
            <w:pPr>
              <w:widowControl/>
              <w:rPr>
                <w:rFonts w:eastAsia="仿宋_GB2312"/>
                <w:kern w:val="0"/>
                <w:szCs w:val="21"/>
              </w:rPr>
            </w:pPr>
          </w:p>
        </w:tc>
        <w:tc>
          <w:tcPr>
            <w:tcW w:w="372" w:type="pct"/>
            <w:vMerge w:val="continue"/>
            <w:tcBorders>
              <w:tl2br w:val="nil"/>
              <w:tr2bl w:val="nil"/>
            </w:tcBorders>
            <w:vAlign w:val="center"/>
          </w:tcPr>
          <w:p w14:paraId="661E9A22">
            <w:pPr>
              <w:widowControl/>
              <w:jc w:val="center"/>
              <w:rPr>
                <w:rFonts w:eastAsia="仿宋_GB2312"/>
                <w:kern w:val="0"/>
                <w:szCs w:val="21"/>
              </w:rPr>
            </w:pPr>
          </w:p>
        </w:tc>
        <w:tc>
          <w:tcPr>
            <w:tcW w:w="394" w:type="pct"/>
            <w:tcBorders>
              <w:tl2br w:val="nil"/>
              <w:tr2bl w:val="nil"/>
            </w:tcBorders>
            <w:vAlign w:val="center"/>
          </w:tcPr>
          <w:p w14:paraId="3F0BEFCE">
            <w:pPr>
              <w:widowControl/>
              <w:jc w:val="center"/>
              <w:rPr>
                <w:rFonts w:eastAsia="仿宋_GB2312"/>
                <w:kern w:val="0"/>
                <w:szCs w:val="21"/>
              </w:rPr>
            </w:pPr>
            <w:r>
              <w:rPr>
                <w:rFonts w:eastAsia="仿宋_GB2312"/>
                <w:kern w:val="0"/>
                <w:szCs w:val="21"/>
              </w:rPr>
              <w:t>HW16</w:t>
            </w:r>
          </w:p>
        </w:tc>
        <w:tc>
          <w:tcPr>
            <w:tcW w:w="1042" w:type="pct"/>
            <w:tcBorders>
              <w:tl2br w:val="nil"/>
              <w:tr2bl w:val="nil"/>
            </w:tcBorders>
            <w:vAlign w:val="center"/>
          </w:tcPr>
          <w:p w14:paraId="47FB896D">
            <w:pPr>
              <w:widowControl/>
              <w:jc w:val="center"/>
              <w:rPr>
                <w:rFonts w:eastAsia="仿宋_GB2312"/>
                <w:kern w:val="0"/>
                <w:szCs w:val="21"/>
              </w:rPr>
            </w:pPr>
            <w:r>
              <w:rPr>
                <w:rFonts w:eastAsia="仿宋_GB2312"/>
                <w:kern w:val="0"/>
                <w:szCs w:val="21"/>
              </w:rPr>
              <w:t>398-001-16，266-009-16，900-019-16</w:t>
            </w:r>
          </w:p>
        </w:tc>
        <w:tc>
          <w:tcPr>
            <w:tcW w:w="465" w:type="pct"/>
            <w:vMerge w:val="continue"/>
            <w:tcBorders>
              <w:tl2br w:val="nil"/>
              <w:tr2bl w:val="nil"/>
            </w:tcBorders>
            <w:vAlign w:val="center"/>
          </w:tcPr>
          <w:p w14:paraId="17D40167">
            <w:pPr>
              <w:widowControl/>
              <w:jc w:val="center"/>
              <w:rPr>
                <w:rFonts w:eastAsia="仿宋_GB2312"/>
                <w:kern w:val="0"/>
                <w:szCs w:val="21"/>
              </w:rPr>
            </w:pPr>
          </w:p>
        </w:tc>
        <w:tc>
          <w:tcPr>
            <w:tcW w:w="384" w:type="pct"/>
            <w:tcBorders>
              <w:tl2br w:val="nil"/>
              <w:tr2bl w:val="nil"/>
            </w:tcBorders>
            <w:shd w:val="clear" w:color="auto" w:fill="auto"/>
            <w:vAlign w:val="center"/>
          </w:tcPr>
          <w:p w14:paraId="3B4687FD">
            <w:pPr>
              <w:widowControl/>
              <w:jc w:val="center"/>
              <w:textAlignment w:val="center"/>
              <w:rPr>
                <w:rFonts w:eastAsia="仿宋_GB2312"/>
                <w:kern w:val="0"/>
                <w:szCs w:val="21"/>
              </w:rPr>
            </w:pPr>
            <w:r>
              <w:rPr>
                <w:kern w:val="0"/>
                <w:szCs w:val="21"/>
                <w:lang w:bidi="ar"/>
              </w:rPr>
              <w:t>HW16</w:t>
            </w:r>
          </w:p>
        </w:tc>
        <w:tc>
          <w:tcPr>
            <w:tcW w:w="1059" w:type="pct"/>
            <w:tcBorders>
              <w:tl2br w:val="nil"/>
              <w:tr2bl w:val="nil"/>
            </w:tcBorders>
            <w:shd w:val="clear" w:color="auto" w:fill="auto"/>
            <w:vAlign w:val="center"/>
          </w:tcPr>
          <w:p w14:paraId="1BDBB7E6">
            <w:pPr>
              <w:widowControl/>
              <w:jc w:val="center"/>
              <w:textAlignment w:val="center"/>
              <w:rPr>
                <w:rFonts w:eastAsia="仿宋_GB2312"/>
                <w:kern w:val="0"/>
                <w:szCs w:val="21"/>
              </w:rPr>
            </w:pPr>
            <w:r>
              <w:rPr>
                <w:kern w:val="0"/>
                <w:szCs w:val="21"/>
                <w:lang w:bidi="ar"/>
              </w:rPr>
              <w:t>398-001-16</w:t>
            </w:r>
            <w:r>
              <w:rPr>
                <w:rFonts w:ascii="仿宋_GB2312" w:eastAsia="仿宋_GB2312" w:cs="仿宋_GB2312"/>
                <w:kern w:val="0"/>
                <w:szCs w:val="21"/>
                <w:lang w:bidi="ar"/>
              </w:rPr>
              <w:t>，</w:t>
            </w:r>
            <w:r>
              <w:rPr>
                <w:kern w:val="0"/>
                <w:szCs w:val="21"/>
                <w:lang w:bidi="ar"/>
              </w:rPr>
              <w:t>266-009-16</w:t>
            </w:r>
            <w:r>
              <w:rPr>
                <w:rFonts w:ascii="仿宋_GB2312" w:eastAsia="仿宋_GB2312" w:cs="仿宋_GB2312"/>
                <w:kern w:val="0"/>
                <w:szCs w:val="21"/>
                <w:lang w:bidi="ar"/>
              </w:rPr>
              <w:t>，</w:t>
            </w:r>
            <w:r>
              <w:rPr>
                <w:kern w:val="0"/>
                <w:szCs w:val="21"/>
                <w:lang w:bidi="ar"/>
              </w:rPr>
              <w:t>900-019-16</w:t>
            </w:r>
          </w:p>
        </w:tc>
        <w:tc>
          <w:tcPr>
            <w:tcW w:w="423" w:type="pct"/>
            <w:vMerge w:val="continue"/>
            <w:tcBorders>
              <w:tl2br w:val="nil"/>
              <w:tr2bl w:val="nil"/>
            </w:tcBorders>
            <w:vAlign w:val="center"/>
          </w:tcPr>
          <w:p w14:paraId="572AB4DD">
            <w:pPr>
              <w:widowControl/>
              <w:jc w:val="center"/>
              <w:rPr>
                <w:rFonts w:eastAsia="仿宋_GB2312"/>
                <w:kern w:val="0"/>
                <w:szCs w:val="21"/>
              </w:rPr>
            </w:pPr>
          </w:p>
        </w:tc>
        <w:tc>
          <w:tcPr>
            <w:tcW w:w="605" w:type="pct"/>
            <w:vMerge w:val="continue"/>
            <w:tcBorders>
              <w:tl2br w:val="nil"/>
              <w:tr2bl w:val="nil"/>
            </w:tcBorders>
            <w:vAlign w:val="center"/>
          </w:tcPr>
          <w:p w14:paraId="1C6978F9">
            <w:pPr>
              <w:widowControl/>
              <w:jc w:val="center"/>
              <w:rPr>
                <w:rFonts w:eastAsia="仿宋_GB2312"/>
                <w:kern w:val="0"/>
                <w:szCs w:val="21"/>
              </w:rPr>
            </w:pPr>
          </w:p>
        </w:tc>
      </w:tr>
      <w:tr w14:paraId="4E410F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3" w:type="pct"/>
            <w:vMerge w:val="continue"/>
            <w:tcBorders>
              <w:tl2br w:val="nil"/>
              <w:tr2bl w:val="nil"/>
            </w:tcBorders>
            <w:vAlign w:val="center"/>
          </w:tcPr>
          <w:p w14:paraId="2156C1E8">
            <w:pPr>
              <w:widowControl/>
              <w:rPr>
                <w:rFonts w:eastAsia="仿宋_GB2312"/>
                <w:kern w:val="0"/>
                <w:szCs w:val="21"/>
              </w:rPr>
            </w:pPr>
          </w:p>
        </w:tc>
        <w:tc>
          <w:tcPr>
            <w:tcW w:w="372" w:type="pct"/>
            <w:vMerge w:val="continue"/>
            <w:tcBorders>
              <w:tl2br w:val="nil"/>
              <w:tr2bl w:val="nil"/>
            </w:tcBorders>
            <w:vAlign w:val="center"/>
          </w:tcPr>
          <w:p w14:paraId="1859A64B">
            <w:pPr>
              <w:widowControl/>
              <w:jc w:val="center"/>
              <w:rPr>
                <w:rFonts w:eastAsia="仿宋_GB2312"/>
                <w:kern w:val="0"/>
                <w:szCs w:val="21"/>
              </w:rPr>
            </w:pPr>
          </w:p>
        </w:tc>
        <w:tc>
          <w:tcPr>
            <w:tcW w:w="394" w:type="pct"/>
            <w:tcBorders>
              <w:tl2br w:val="nil"/>
              <w:tr2bl w:val="nil"/>
            </w:tcBorders>
            <w:vAlign w:val="center"/>
          </w:tcPr>
          <w:p w14:paraId="424D49E3">
            <w:pPr>
              <w:widowControl/>
              <w:jc w:val="center"/>
              <w:rPr>
                <w:rFonts w:eastAsia="仿宋_GB2312"/>
                <w:kern w:val="0"/>
                <w:szCs w:val="21"/>
              </w:rPr>
            </w:pPr>
            <w:r>
              <w:rPr>
                <w:rFonts w:eastAsia="仿宋_GB2312"/>
                <w:kern w:val="0"/>
                <w:szCs w:val="21"/>
              </w:rPr>
              <w:t>HW49</w:t>
            </w:r>
          </w:p>
        </w:tc>
        <w:tc>
          <w:tcPr>
            <w:tcW w:w="1042" w:type="pct"/>
            <w:tcBorders>
              <w:tl2br w:val="nil"/>
              <w:tr2bl w:val="nil"/>
            </w:tcBorders>
            <w:vAlign w:val="center"/>
          </w:tcPr>
          <w:p w14:paraId="2A185D9C">
            <w:pPr>
              <w:widowControl/>
              <w:jc w:val="center"/>
              <w:rPr>
                <w:rFonts w:eastAsia="仿宋_GB2312"/>
                <w:kern w:val="0"/>
                <w:szCs w:val="21"/>
              </w:rPr>
            </w:pPr>
            <w:r>
              <w:rPr>
                <w:rFonts w:eastAsia="仿宋_GB2312"/>
                <w:kern w:val="0"/>
                <w:szCs w:val="21"/>
              </w:rPr>
              <w:t>900-047-49</w:t>
            </w:r>
          </w:p>
        </w:tc>
        <w:tc>
          <w:tcPr>
            <w:tcW w:w="465" w:type="pct"/>
            <w:vMerge w:val="continue"/>
            <w:tcBorders>
              <w:tl2br w:val="nil"/>
              <w:tr2bl w:val="nil"/>
            </w:tcBorders>
            <w:vAlign w:val="center"/>
          </w:tcPr>
          <w:p w14:paraId="03CC02D7">
            <w:pPr>
              <w:widowControl/>
              <w:jc w:val="center"/>
              <w:rPr>
                <w:rFonts w:eastAsia="仿宋_GB2312"/>
                <w:kern w:val="0"/>
                <w:szCs w:val="21"/>
              </w:rPr>
            </w:pPr>
          </w:p>
        </w:tc>
        <w:tc>
          <w:tcPr>
            <w:tcW w:w="384" w:type="pct"/>
            <w:tcBorders>
              <w:tl2br w:val="nil"/>
              <w:tr2bl w:val="nil"/>
            </w:tcBorders>
            <w:shd w:val="clear" w:color="auto" w:fill="auto"/>
            <w:vAlign w:val="center"/>
          </w:tcPr>
          <w:p w14:paraId="4495AB6D">
            <w:pPr>
              <w:widowControl/>
              <w:jc w:val="center"/>
              <w:textAlignment w:val="center"/>
              <w:rPr>
                <w:rFonts w:eastAsia="仿宋_GB2312"/>
                <w:kern w:val="0"/>
                <w:szCs w:val="21"/>
              </w:rPr>
            </w:pPr>
            <w:r>
              <w:rPr>
                <w:kern w:val="0"/>
                <w:szCs w:val="21"/>
                <w:lang w:bidi="ar"/>
              </w:rPr>
              <w:t>HW49</w:t>
            </w:r>
          </w:p>
        </w:tc>
        <w:tc>
          <w:tcPr>
            <w:tcW w:w="1059" w:type="pct"/>
            <w:tcBorders>
              <w:tl2br w:val="nil"/>
              <w:tr2bl w:val="nil"/>
            </w:tcBorders>
            <w:shd w:val="clear" w:color="auto" w:fill="auto"/>
            <w:vAlign w:val="center"/>
          </w:tcPr>
          <w:p w14:paraId="3CDE4CB7">
            <w:pPr>
              <w:widowControl/>
              <w:jc w:val="center"/>
              <w:textAlignment w:val="center"/>
              <w:rPr>
                <w:rFonts w:eastAsia="仿宋_GB2312"/>
                <w:kern w:val="0"/>
                <w:szCs w:val="21"/>
              </w:rPr>
            </w:pPr>
            <w:r>
              <w:rPr>
                <w:kern w:val="0"/>
                <w:szCs w:val="21"/>
                <w:lang w:bidi="ar"/>
              </w:rPr>
              <w:t>900-047-49</w:t>
            </w:r>
          </w:p>
        </w:tc>
        <w:tc>
          <w:tcPr>
            <w:tcW w:w="423" w:type="pct"/>
            <w:vMerge w:val="continue"/>
            <w:tcBorders>
              <w:tl2br w:val="nil"/>
              <w:tr2bl w:val="nil"/>
            </w:tcBorders>
            <w:vAlign w:val="center"/>
          </w:tcPr>
          <w:p w14:paraId="3731D356">
            <w:pPr>
              <w:widowControl/>
              <w:jc w:val="center"/>
              <w:rPr>
                <w:rFonts w:eastAsia="仿宋_GB2312"/>
                <w:kern w:val="0"/>
                <w:szCs w:val="21"/>
              </w:rPr>
            </w:pPr>
          </w:p>
        </w:tc>
        <w:tc>
          <w:tcPr>
            <w:tcW w:w="605" w:type="pct"/>
            <w:vMerge w:val="continue"/>
            <w:tcBorders>
              <w:tl2br w:val="nil"/>
              <w:tr2bl w:val="nil"/>
            </w:tcBorders>
            <w:vAlign w:val="center"/>
          </w:tcPr>
          <w:p w14:paraId="0D854F54">
            <w:pPr>
              <w:widowControl/>
              <w:jc w:val="center"/>
              <w:rPr>
                <w:rFonts w:eastAsia="仿宋_GB2312"/>
                <w:kern w:val="0"/>
                <w:szCs w:val="21"/>
              </w:rPr>
            </w:pPr>
          </w:p>
        </w:tc>
      </w:tr>
      <w:tr w14:paraId="001C5C7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3" w:type="pct"/>
            <w:vMerge w:val="restart"/>
            <w:tcBorders>
              <w:tl2br w:val="nil"/>
              <w:tr2bl w:val="nil"/>
            </w:tcBorders>
            <w:vAlign w:val="center"/>
          </w:tcPr>
          <w:p w14:paraId="30EE0EA6">
            <w:pPr>
              <w:widowControl/>
              <w:jc w:val="center"/>
              <w:rPr>
                <w:rFonts w:eastAsia="仿宋_GB2312"/>
                <w:kern w:val="0"/>
                <w:szCs w:val="21"/>
              </w:rPr>
            </w:pPr>
            <w:r>
              <w:rPr>
                <w:rFonts w:eastAsia="仿宋_GB2312"/>
                <w:kern w:val="0"/>
                <w:szCs w:val="21"/>
              </w:rPr>
              <w:t>17</w:t>
            </w:r>
          </w:p>
        </w:tc>
        <w:tc>
          <w:tcPr>
            <w:tcW w:w="372" w:type="pct"/>
            <w:vMerge w:val="restart"/>
            <w:tcBorders>
              <w:tl2br w:val="nil"/>
              <w:tr2bl w:val="nil"/>
            </w:tcBorders>
            <w:vAlign w:val="center"/>
          </w:tcPr>
          <w:p w14:paraId="37B4CFD8">
            <w:pPr>
              <w:widowControl/>
              <w:jc w:val="center"/>
              <w:rPr>
                <w:rFonts w:eastAsia="仿宋_GB2312"/>
                <w:kern w:val="0"/>
                <w:szCs w:val="21"/>
              </w:rPr>
            </w:pPr>
            <w:r>
              <w:rPr>
                <w:rFonts w:eastAsia="仿宋_GB2312"/>
                <w:kern w:val="0"/>
                <w:szCs w:val="21"/>
              </w:rPr>
              <w:t>丁醇、辛醇轻重组分废液</w:t>
            </w:r>
          </w:p>
        </w:tc>
        <w:tc>
          <w:tcPr>
            <w:tcW w:w="394" w:type="pct"/>
            <w:tcBorders>
              <w:tl2br w:val="nil"/>
              <w:tr2bl w:val="nil"/>
            </w:tcBorders>
            <w:vAlign w:val="center"/>
          </w:tcPr>
          <w:p w14:paraId="2E966DA2">
            <w:pPr>
              <w:widowControl/>
              <w:jc w:val="center"/>
              <w:rPr>
                <w:rFonts w:eastAsia="仿宋_GB2312"/>
                <w:kern w:val="0"/>
                <w:szCs w:val="21"/>
              </w:rPr>
            </w:pPr>
            <w:r>
              <w:rPr>
                <w:rFonts w:eastAsia="仿宋_GB2312"/>
                <w:kern w:val="0"/>
                <w:szCs w:val="21"/>
              </w:rPr>
              <w:t>HW06</w:t>
            </w:r>
          </w:p>
        </w:tc>
        <w:tc>
          <w:tcPr>
            <w:tcW w:w="1042" w:type="pct"/>
            <w:tcBorders>
              <w:tl2br w:val="nil"/>
              <w:tr2bl w:val="nil"/>
            </w:tcBorders>
            <w:vAlign w:val="center"/>
          </w:tcPr>
          <w:p w14:paraId="5BF8A35C">
            <w:pPr>
              <w:widowControl/>
              <w:jc w:val="center"/>
              <w:rPr>
                <w:rFonts w:eastAsia="仿宋_GB2312"/>
                <w:kern w:val="0"/>
                <w:szCs w:val="21"/>
              </w:rPr>
            </w:pPr>
            <w:r>
              <w:rPr>
                <w:rFonts w:eastAsia="仿宋_GB2312"/>
                <w:kern w:val="0"/>
                <w:szCs w:val="21"/>
              </w:rPr>
              <w:t>900-402-06，900-404-06，900-407-06</w:t>
            </w:r>
          </w:p>
        </w:tc>
        <w:tc>
          <w:tcPr>
            <w:tcW w:w="465" w:type="pct"/>
            <w:vMerge w:val="restart"/>
            <w:tcBorders>
              <w:tl2br w:val="nil"/>
              <w:tr2bl w:val="nil"/>
            </w:tcBorders>
            <w:vAlign w:val="center"/>
          </w:tcPr>
          <w:p w14:paraId="6C9FF382">
            <w:pPr>
              <w:widowControl/>
              <w:jc w:val="center"/>
              <w:rPr>
                <w:rFonts w:eastAsia="仿宋_GB2312"/>
                <w:kern w:val="0"/>
                <w:szCs w:val="21"/>
              </w:rPr>
            </w:pPr>
            <w:r>
              <w:rPr>
                <w:rFonts w:hint="eastAsia" w:eastAsia="仿宋_GB2312"/>
                <w:kern w:val="0"/>
                <w:szCs w:val="21"/>
              </w:rPr>
              <w:t>7000</w:t>
            </w:r>
          </w:p>
        </w:tc>
        <w:tc>
          <w:tcPr>
            <w:tcW w:w="384" w:type="pct"/>
            <w:tcBorders>
              <w:tl2br w:val="nil"/>
              <w:tr2bl w:val="nil"/>
            </w:tcBorders>
            <w:shd w:val="clear" w:color="auto" w:fill="auto"/>
            <w:vAlign w:val="center"/>
          </w:tcPr>
          <w:p w14:paraId="4F4DC26E">
            <w:pPr>
              <w:widowControl/>
              <w:jc w:val="center"/>
              <w:textAlignment w:val="center"/>
              <w:rPr>
                <w:rFonts w:eastAsia="仿宋_GB2312"/>
                <w:kern w:val="0"/>
                <w:szCs w:val="21"/>
              </w:rPr>
            </w:pPr>
            <w:r>
              <w:rPr>
                <w:kern w:val="0"/>
                <w:szCs w:val="21"/>
                <w:lang w:bidi="ar"/>
              </w:rPr>
              <w:t>HW06</w:t>
            </w:r>
          </w:p>
        </w:tc>
        <w:tc>
          <w:tcPr>
            <w:tcW w:w="1059" w:type="pct"/>
            <w:tcBorders>
              <w:tl2br w:val="nil"/>
              <w:tr2bl w:val="nil"/>
            </w:tcBorders>
            <w:shd w:val="clear" w:color="auto" w:fill="auto"/>
            <w:vAlign w:val="center"/>
          </w:tcPr>
          <w:p w14:paraId="7528C7B4">
            <w:pPr>
              <w:widowControl/>
              <w:jc w:val="center"/>
              <w:textAlignment w:val="center"/>
              <w:rPr>
                <w:rFonts w:eastAsia="仿宋_GB2312"/>
                <w:kern w:val="0"/>
                <w:szCs w:val="21"/>
              </w:rPr>
            </w:pPr>
            <w:r>
              <w:rPr>
                <w:kern w:val="0"/>
                <w:szCs w:val="21"/>
                <w:lang w:bidi="ar"/>
              </w:rPr>
              <w:t>900-402-06</w:t>
            </w:r>
            <w:r>
              <w:rPr>
                <w:rFonts w:ascii="仿宋_GB2312" w:eastAsia="仿宋_GB2312" w:cs="仿宋_GB2312"/>
                <w:kern w:val="0"/>
                <w:szCs w:val="21"/>
                <w:lang w:bidi="ar"/>
              </w:rPr>
              <w:t>，</w:t>
            </w:r>
            <w:r>
              <w:rPr>
                <w:kern w:val="0"/>
                <w:szCs w:val="21"/>
                <w:lang w:bidi="ar"/>
              </w:rPr>
              <w:t>900-404-06</w:t>
            </w:r>
            <w:r>
              <w:rPr>
                <w:rFonts w:ascii="仿宋_GB2312" w:eastAsia="仿宋_GB2312" w:cs="仿宋_GB2312"/>
                <w:kern w:val="0"/>
                <w:szCs w:val="21"/>
                <w:lang w:bidi="ar"/>
              </w:rPr>
              <w:t>，</w:t>
            </w:r>
            <w:r>
              <w:rPr>
                <w:kern w:val="0"/>
                <w:szCs w:val="21"/>
                <w:lang w:bidi="ar"/>
              </w:rPr>
              <w:t>900-407-06</w:t>
            </w:r>
          </w:p>
        </w:tc>
        <w:tc>
          <w:tcPr>
            <w:tcW w:w="423" w:type="pct"/>
            <w:vMerge w:val="restart"/>
            <w:tcBorders>
              <w:tl2br w:val="nil"/>
              <w:tr2bl w:val="nil"/>
            </w:tcBorders>
            <w:vAlign w:val="center"/>
          </w:tcPr>
          <w:p w14:paraId="38824B1D">
            <w:pPr>
              <w:widowControl/>
              <w:jc w:val="center"/>
              <w:rPr>
                <w:rFonts w:eastAsia="仿宋_GB2312"/>
                <w:kern w:val="0"/>
                <w:szCs w:val="21"/>
              </w:rPr>
            </w:pPr>
            <w:r>
              <w:rPr>
                <w:rFonts w:hint="eastAsia" w:eastAsia="仿宋_GB2312"/>
                <w:kern w:val="0"/>
                <w:szCs w:val="21"/>
                <w:lang w:val="en-US" w:eastAsia="zh-CN"/>
              </w:rPr>
              <w:t>10</w:t>
            </w:r>
            <w:r>
              <w:rPr>
                <w:rFonts w:hint="eastAsia" w:eastAsia="仿宋_GB2312"/>
                <w:kern w:val="0"/>
                <w:szCs w:val="21"/>
              </w:rPr>
              <w:t>00</w:t>
            </w:r>
          </w:p>
        </w:tc>
        <w:tc>
          <w:tcPr>
            <w:tcW w:w="605" w:type="pct"/>
            <w:vMerge w:val="restart"/>
            <w:tcBorders>
              <w:tl2br w:val="nil"/>
              <w:tr2bl w:val="nil"/>
            </w:tcBorders>
            <w:vAlign w:val="center"/>
          </w:tcPr>
          <w:p w14:paraId="798861C9">
            <w:pPr>
              <w:widowControl/>
              <w:jc w:val="center"/>
              <w:rPr>
                <w:rFonts w:eastAsia="仿宋_GB2312"/>
                <w:kern w:val="0"/>
                <w:szCs w:val="21"/>
              </w:rPr>
            </w:pPr>
            <w:r>
              <w:rPr>
                <w:rFonts w:eastAsia="仿宋_GB2312"/>
                <w:bCs/>
              </w:rPr>
              <w:t>回收综合利用量</w:t>
            </w:r>
            <w:r>
              <w:rPr>
                <w:rFonts w:hint="eastAsia" w:eastAsia="仿宋_GB2312"/>
                <w:bCs/>
              </w:rPr>
              <w:t>减少</w:t>
            </w:r>
            <w:r>
              <w:rPr>
                <w:rFonts w:eastAsia="仿宋_GB2312"/>
                <w:bCs/>
              </w:rPr>
              <w:t>，危废代码增加</w:t>
            </w:r>
          </w:p>
        </w:tc>
      </w:tr>
      <w:tr w14:paraId="5DBA8E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3" w:type="pct"/>
            <w:vMerge w:val="continue"/>
            <w:tcBorders>
              <w:tl2br w:val="nil"/>
              <w:tr2bl w:val="nil"/>
            </w:tcBorders>
            <w:vAlign w:val="center"/>
          </w:tcPr>
          <w:p w14:paraId="5B136824">
            <w:pPr>
              <w:widowControl/>
              <w:jc w:val="center"/>
              <w:rPr>
                <w:rFonts w:eastAsia="仿宋_GB2312"/>
                <w:kern w:val="0"/>
                <w:szCs w:val="21"/>
              </w:rPr>
            </w:pPr>
          </w:p>
        </w:tc>
        <w:tc>
          <w:tcPr>
            <w:tcW w:w="372" w:type="pct"/>
            <w:vMerge w:val="continue"/>
            <w:tcBorders>
              <w:tl2br w:val="nil"/>
              <w:tr2bl w:val="nil"/>
            </w:tcBorders>
            <w:vAlign w:val="center"/>
          </w:tcPr>
          <w:p w14:paraId="128F080C">
            <w:pPr>
              <w:widowControl/>
              <w:jc w:val="center"/>
              <w:rPr>
                <w:rFonts w:eastAsia="仿宋_GB2312"/>
                <w:kern w:val="0"/>
                <w:szCs w:val="21"/>
              </w:rPr>
            </w:pPr>
          </w:p>
        </w:tc>
        <w:tc>
          <w:tcPr>
            <w:tcW w:w="394" w:type="pct"/>
            <w:tcBorders>
              <w:tl2br w:val="nil"/>
              <w:tr2bl w:val="nil"/>
            </w:tcBorders>
            <w:vAlign w:val="center"/>
          </w:tcPr>
          <w:p w14:paraId="1434637E">
            <w:pPr>
              <w:widowControl/>
              <w:jc w:val="center"/>
              <w:rPr>
                <w:rFonts w:eastAsia="仿宋_GB2312"/>
                <w:kern w:val="0"/>
                <w:szCs w:val="21"/>
              </w:rPr>
            </w:pPr>
            <w:r>
              <w:rPr>
                <w:rFonts w:eastAsia="仿宋_GB2312"/>
                <w:kern w:val="0"/>
                <w:szCs w:val="21"/>
              </w:rPr>
              <w:t>HW11</w:t>
            </w:r>
          </w:p>
        </w:tc>
        <w:tc>
          <w:tcPr>
            <w:tcW w:w="1042" w:type="pct"/>
            <w:tcBorders>
              <w:tl2br w:val="nil"/>
              <w:tr2bl w:val="nil"/>
            </w:tcBorders>
            <w:vAlign w:val="center"/>
          </w:tcPr>
          <w:p w14:paraId="38D995EA">
            <w:pPr>
              <w:widowControl/>
              <w:jc w:val="center"/>
              <w:rPr>
                <w:rFonts w:eastAsia="仿宋_GB2312"/>
                <w:kern w:val="0"/>
                <w:szCs w:val="21"/>
              </w:rPr>
            </w:pPr>
            <w:r>
              <w:rPr>
                <w:rFonts w:eastAsia="仿宋_GB2312"/>
                <w:kern w:val="0"/>
                <w:szCs w:val="21"/>
              </w:rPr>
              <w:t>900-013-11，261-129-11，261-130-11，261-031-11</w:t>
            </w:r>
          </w:p>
        </w:tc>
        <w:tc>
          <w:tcPr>
            <w:tcW w:w="465" w:type="pct"/>
            <w:vMerge w:val="continue"/>
            <w:tcBorders>
              <w:tl2br w:val="nil"/>
              <w:tr2bl w:val="nil"/>
            </w:tcBorders>
            <w:vAlign w:val="center"/>
          </w:tcPr>
          <w:p w14:paraId="0E59143E">
            <w:pPr>
              <w:widowControl/>
              <w:jc w:val="center"/>
              <w:rPr>
                <w:rFonts w:eastAsia="仿宋_GB2312"/>
                <w:kern w:val="0"/>
                <w:szCs w:val="21"/>
              </w:rPr>
            </w:pPr>
          </w:p>
        </w:tc>
        <w:tc>
          <w:tcPr>
            <w:tcW w:w="384" w:type="pct"/>
            <w:tcBorders>
              <w:tl2br w:val="nil"/>
              <w:tr2bl w:val="nil"/>
            </w:tcBorders>
            <w:shd w:val="clear" w:color="auto" w:fill="auto"/>
            <w:vAlign w:val="center"/>
          </w:tcPr>
          <w:p w14:paraId="0A6A4706">
            <w:pPr>
              <w:widowControl/>
              <w:jc w:val="center"/>
              <w:textAlignment w:val="center"/>
              <w:rPr>
                <w:rFonts w:eastAsia="仿宋_GB2312"/>
                <w:kern w:val="0"/>
                <w:szCs w:val="21"/>
              </w:rPr>
            </w:pPr>
            <w:r>
              <w:rPr>
                <w:kern w:val="0"/>
                <w:szCs w:val="21"/>
                <w:lang w:bidi="ar"/>
              </w:rPr>
              <w:t>HW11</w:t>
            </w:r>
          </w:p>
        </w:tc>
        <w:tc>
          <w:tcPr>
            <w:tcW w:w="1059" w:type="pct"/>
            <w:tcBorders>
              <w:tl2br w:val="nil"/>
              <w:tr2bl w:val="nil"/>
            </w:tcBorders>
            <w:shd w:val="clear" w:color="auto" w:fill="auto"/>
            <w:vAlign w:val="center"/>
          </w:tcPr>
          <w:p w14:paraId="2A336302">
            <w:pPr>
              <w:widowControl/>
              <w:jc w:val="center"/>
              <w:textAlignment w:val="center"/>
              <w:rPr>
                <w:rFonts w:eastAsia="仿宋_GB2312"/>
                <w:kern w:val="0"/>
                <w:szCs w:val="21"/>
              </w:rPr>
            </w:pPr>
            <w:r>
              <w:rPr>
                <w:kern w:val="0"/>
                <w:szCs w:val="21"/>
                <w:lang w:bidi="ar"/>
              </w:rPr>
              <w:t>900-013-11</w:t>
            </w:r>
            <w:r>
              <w:rPr>
                <w:rFonts w:ascii="仿宋_GB2312" w:eastAsia="仿宋_GB2312" w:cs="仿宋_GB2312"/>
                <w:kern w:val="0"/>
                <w:szCs w:val="21"/>
                <w:lang w:bidi="ar"/>
              </w:rPr>
              <w:t>，</w:t>
            </w:r>
            <w:r>
              <w:rPr>
                <w:kern w:val="0"/>
                <w:szCs w:val="21"/>
                <w:lang w:bidi="ar"/>
              </w:rPr>
              <w:t>261-129-11</w:t>
            </w:r>
            <w:r>
              <w:rPr>
                <w:rFonts w:ascii="仿宋_GB2312" w:eastAsia="仿宋_GB2312" w:cs="仿宋_GB2312"/>
                <w:kern w:val="0"/>
                <w:szCs w:val="21"/>
                <w:lang w:bidi="ar"/>
              </w:rPr>
              <w:t>，</w:t>
            </w:r>
            <w:r>
              <w:rPr>
                <w:kern w:val="0"/>
                <w:szCs w:val="21"/>
                <w:lang w:bidi="ar"/>
              </w:rPr>
              <w:t>261-130-11</w:t>
            </w:r>
            <w:r>
              <w:rPr>
                <w:rFonts w:ascii="仿宋_GB2312" w:eastAsia="仿宋_GB2312" w:cs="仿宋_GB2312"/>
                <w:kern w:val="0"/>
                <w:szCs w:val="21"/>
                <w:lang w:bidi="ar"/>
              </w:rPr>
              <w:t>，</w:t>
            </w:r>
            <w:r>
              <w:rPr>
                <w:kern w:val="0"/>
                <w:szCs w:val="21"/>
                <w:lang w:bidi="ar"/>
              </w:rPr>
              <w:t>261-031-11</w:t>
            </w:r>
            <w:r>
              <w:rPr>
                <w:rFonts w:hint="eastAsia" w:ascii="宋体" w:hAnsi="宋体" w:cs="宋体"/>
                <w:kern w:val="0"/>
                <w:szCs w:val="21"/>
                <w:lang w:bidi="ar"/>
              </w:rPr>
              <w:t>，</w:t>
            </w:r>
            <w:r>
              <w:rPr>
                <w:b/>
                <w:bCs/>
                <w:kern w:val="0"/>
                <w:szCs w:val="21"/>
                <w:lang w:bidi="ar"/>
              </w:rPr>
              <w:t>261-012-11</w:t>
            </w:r>
            <w:r>
              <w:rPr>
                <w:rFonts w:hint="eastAsia" w:ascii="宋体" w:hAnsi="宋体" w:cs="宋体"/>
                <w:b/>
                <w:bCs/>
                <w:kern w:val="0"/>
                <w:szCs w:val="21"/>
                <w:lang w:bidi="ar"/>
              </w:rPr>
              <w:t>，</w:t>
            </w:r>
            <w:r>
              <w:rPr>
                <w:b/>
                <w:bCs/>
                <w:kern w:val="0"/>
                <w:szCs w:val="21"/>
                <w:lang w:bidi="ar"/>
              </w:rPr>
              <w:t>261-106-11</w:t>
            </w:r>
          </w:p>
        </w:tc>
        <w:tc>
          <w:tcPr>
            <w:tcW w:w="423" w:type="pct"/>
            <w:vMerge w:val="continue"/>
            <w:tcBorders>
              <w:tl2br w:val="nil"/>
              <w:tr2bl w:val="nil"/>
            </w:tcBorders>
            <w:vAlign w:val="center"/>
          </w:tcPr>
          <w:p w14:paraId="106A158D">
            <w:pPr>
              <w:widowControl/>
              <w:jc w:val="center"/>
              <w:rPr>
                <w:rFonts w:eastAsia="仿宋_GB2312"/>
                <w:kern w:val="0"/>
                <w:szCs w:val="21"/>
              </w:rPr>
            </w:pPr>
          </w:p>
        </w:tc>
        <w:tc>
          <w:tcPr>
            <w:tcW w:w="605" w:type="pct"/>
            <w:vMerge w:val="continue"/>
            <w:tcBorders>
              <w:tl2br w:val="nil"/>
              <w:tr2bl w:val="nil"/>
            </w:tcBorders>
            <w:vAlign w:val="center"/>
          </w:tcPr>
          <w:p w14:paraId="50C9832F">
            <w:pPr>
              <w:widowControl/>
              <w:jc w:val="center"/>
              <w:rPr>
                <w:rFonts w:eastAsia="仿宋_GB2312"/>
                <w:kern w:val="0"/>
                <w:szCs w:val="21"/>
              </w:rPr>
            </w:pPr>
          </w:p>
        </w:tc>
      </w:tr>
      <w:tr w14:paraId="03DDD3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3" w:type="pct"/>
            <w:vMerge w:val="continue"/>
            <w:tcBorders>
              <w:tl2br w:val="nil"/>
              <w:tr2bl w:val="nil"/>
            </w:tcBorders>
            <w:vAlign w:val="center"/>
          </w:tcPr>
          <w:p w14:paraId="58F691BC">
            <w:pPr>
              <w:widowControl/>
              <w:jc w:val="center"/>
              <w:rPr>
                <w:rFonts w:eastAsia="仿宋_GB2312"/>
                <w:kern w:val="0"/>
                <w:szCs w:val="21"/>
              </w:rPr>
            </w:pPr>
          </w:p>
        </w:tc>
        <w:tc>
          <w:tcPr>
            <w:tcW w:w="372" w:type="pct"/>
            <w:vMerge w:val="continue"/>
            <w:tcBorders>
              <w:tl2br w:val="nil"/>
              <w:tr2bl w:val="nil"/>
            </w:tcBorders>
            <w:vAlign w:val="center"/>
          </w:tcPr>
          <w:p w14:paraId="0641C499">
            <w:pPr>
              <w:widowControl/>
              <w:jc w:val="center"/>
              <w:rPr>
                <w:rFonts w:eastAsia="仿宋_GB2312"/>
                <w:kern w:val="0"/>
                <w:szCs w:val="21"/>
              </w:rPr>
            </w:pPr>
          </w:p>
        </w:tc>
        <w:tc>
          <w:tcPr>
            <w:tcW w:w="394" w:type="pct"/>
            <w:tcBorders>
              <w:tl2br w:val="nil"/>
              <w:tr2bl w:val="nil"/>
            </w:tcBorders>
            <w:vAlign w:val="center"/>
          </w:tcPr>
          <w:p w14:paraId="241FD941">
            <w:pPr>
              <w:widowControl/>
              <w:jc w:val="center"/>
              <w:rPr>
                <w:rFonts w:eastAsia="仿宋_GB2312"/>
                <w:kern w:val="0"/>
                <w:szCs w:val="21"/>
              </w:rPr>
            </w:pPr>
            <w:r>
              <w:rPr>
                <w:rFonts w:eastAsia="仿宋_GB2312"/>
                <w:kern w:val="0"/>
                <w:szCs w:val="21"/>
              </w:rPr>
              <w:t>HW12</w:t>
            </w:r>
          </w:p>
        </w:tc>
        <w:tc>
          <w:tcPr>
            <w:tcW w:w="1042" w:type="pct"/>
            <w:tcBorders>
              <w:tl2br w:val="nil"/>
              <w:tr2bl w:val="nil"/>
            </w:tcBorders>
            <w:vAlign w:val="center"/>
          </w:tcPr>
          <w:p w14:paraId="74DE6AE0">
            <w:pPr>
              <w:widowControl/>
              <w:jc w:val="center"/>
              <w:rPr>
                <w:rFonts w:eastAsia="仿宋_GB2312"/>
                <w:kern w:val="0"/>
                <w:szCs w:val="21"/>
              </w:rPr>
            </w:pPr>
            <w:r>
              <w:rPr>
                <w:rFonts w:eastAsia="仿宋_GB2312"/>
                <w:kern w:val="0"/>
                <w:szCs w:val="21"/>
              </w:rPr>
              <w:t>264-011-12，264-013-12，900-250-12，900-251-12，900-252-12，900-253-12</w:t>
            </w:r>
          </w:p>
        </w:tc>
        <w:tc>
          <w:tcPr>
            <w:tcW w:w="465" w:type="pct"/>
            <w:vMerge w:val="continue"/>
            <w:tcBorders>
              <w:tl2br w:val="nil"/>
              <w:tr2bl w:val="nil"/>
            </w:tcBorders>
            <w:vAlign w:val="center"/>
          </w:tcPr>
          <w:p w14:paraId="13B71288">
            <w:pPr>
              <w:widowControl/>
              <w:jc w:val="center"/>
              <w:rPr>
                <w:rFonts w:eastAsia="仿宋_GB2312"/>
                <w:kern w:val="0"/>
                <w:szCs w:val="21"/>
              </w:rPr>
            </w:pPr>
          </w:p>
        </w:tc>
        <w:tc>
          <w:tcPr>
            <w:tcW w:w="384" w:type="pct"/>
            <w:tcBorders>
              <w:tl2br w:val="nil"/>
              <w:tr2bl w:val="nil"/>
            </w:tcBorders>
            <w:shd w:val="clear" w:color="auto" w:fill="auto"/>
            <w:vAlign w:val="center"/>
          </w:tcPr>
          <w:p w14:paraId="714EA852">
            <w:pPr>
              <w:widowControl/>
              <w:jc w:val="center"/>
              <w:textAlignment w:val="center"/>
              <w:rPr>
                <w:rFonts w:eastAsia="仿宋_GB2312"/>
                <w:kern w:val="0"/>
                <w:szCs w:val="21"/>
              </w:rPr>
            </w:pPr>
            <w:r>
              <w:rPr>
                <w:kern w:val="0"/>
                <w:szCs w:val="21"/>
                <w:lang w:bidi="ar"/>
              </w:rPr>
              <w:t>HW12</w:t>
            </w:r>
          </w:p>
        </w:tc>
        <w:tc>
          <w:tcPr>
            <w:tcW w:w="1059" w:type="pct"/>
            <w:tcBorders>
              <w:tl2br w:val="nil"/>
              <w:tr2bl w:val="nil"/>
            </w:tcBorders>
            <w:shd w:val="clear" w:color="auto" w:fill="auto"/>
            <w:vAlign w:val="center"/>
          </w:tcPr>
          <w:p w14:paraId="719C457A">
            <w:pPr>
              <w:widowControl/>
              <w:jc w:val="center"/>
              <w:textAlignment w:val="center"/>
              <w:rPr>
                <w:rFonts w:eastAsia="仿宋_GB2312"/>
                <w:kern w:val="0"/>
                <w:szCs w:val="21"/>
              </w:rPr>
            </w:pPr>
            <w:r>
              <w:rPr>
                <w:kern w:val="0"/>
                <w:szCs w:val="21"/>
                <w:lang w:bidi="ar"/>
              </w:rPr>
              <w:t>264-011-12</w:t>
            </w:r>
            <w:r>
              <w:rPr>
                <w:rFonts w:ascii="仿宋_GB2312" w:eastAsia="仿宋_GB2312" w:cs="仿宋_GB2312"/>
                <w:kern w:val="0"/>
                <w:szCs w:val="21"/>
                <w:lang w:bidi="ar"/>
              </w:rPr>
              <w:t>，</w:t>
            </w:r>
            <w:r>
              <w:rPr>
                <w:kern w:val="0"/>
                <w:szCs w:val="21"/>
                <w:lang w:bidi="ar"/>
              </w:rPr>
              <w:t>264-013-12</w:t>
            </w:r>
            <w:r>
              <w:rPr>
                <w:rFonts w:ascii="仿宋_GB2312" w:eastAsia="仿宋_GB2312" w:cs="仿宋_GB2312"/>
                <w:kern w:val="0"/>
                <w:szCs w:val="21"/>
                <w:lang w:bidi="ar"/>
              </w:rPr>
              <w:t>，</w:t>
            </w:r>
            <w:r>
              <w:rPr>
                <w:kern w:val="0"/>
                <w:szCs w:val="21"/>
                <w:lang w:bidi="ar"/>
              </w:rPr>
              <w:t>900-250-12</w:t>
            </w:r>
            <w:r>
              <w:rPr>
                <w:rFonts w:ascii="仿宋_GB2312" w:eastAsia="仿宋_GB2312" w:cs="仿宋_GB2312"/>
                <w:kern w:val="0"/>
                <w:szCs w:val="21"/>
                <w:lang w:bidi="ar"/>
              </w:rPr>
              <w:t>，</w:t>
            </w:r>
            <w:r>
              <w:rPr>
                <w:kern w:val="0"/>
                <w:szCs w:val="21"/>
                <w:lang w:bidi="ar"/>
              </w:rPr>
              <w:t>900-251-12</w:t>
            </w:r>
            <w:r>
              <w:rPr>
                <w:rFonts w:ascii="仿宋_GB2312" w:eastAsia="仿宋_GB2312" w:cs="仿宋_GB2312"/>
                <w:kern w:val="0"/>
                <w:szCs w:val="21"/>
                <w:lang w:bidi="ar"/>
              </w:rPr>
              <w:t>，</w:t>
            </w:r>
            <w:r>
              <w:rPr>
                <w:kern w:val="0"/>
                <w:szCs w:val="21"/>
                <w:lang w:bidi="ar"/>
              </w:rPr>
              <w:t>900-252-12</w:t>
            </w:r>
            <w:r>
              <w:rPr>
                <w:rFonts w:ascii="仿宋_GB2312" w:eastAsia="仿宋_GB2312" w:cs="仿宋_GB2312"/>
                <w:kern w:val="0"/>
                <w:szCs w:val="21"/>
                <w:lang w:bidi="ar"/>
              </w:rPr>
              <w:t>，</w:t>
            </w:r>
            <w:r>
              <w:rPr>
                <w:kern w:val="0"/>
                <w:szCs w:val="21"/>
                <w:lang w:bidi="ar"/>
              </w:rPr>
              <w:t>900-253-12</w:t>
            </w:r>
            <w:r>
              <w:rPr>
                <w:rFonts w:hint="eastAsia" w:ascii="宋体" w:hAnsi="宋体" w:cs="宋体"/>
                <w:b/>
                <w:bCs/>
                <w:kern w:val="0"/>
                <w:szCs w:val="21"/>
                <w:lang w:bidi="ar"/>
              </w:rPr>
              <w:t>，</w:t>
            </w:r>
            <w:r>
              <w:rPr>
                <w:b/>
                <w:bCs/>
                <w:kern w:val="0"/>
                <w:szCs w:val="21"/>
                <w:lang w:bidi="ar"/>
              </w:rPr>
              <w:t>900-256-12</w:t>
            </w:r>
          </w:p>
        </w:tc>
        <w:tc>
          <w:tcPr>
            <w:tcW w:w="423" w:type="pct"/>
            <w:vMerge w:val="continue"/>
            <w:tcBorders>
              <w:tl2br w:val="nil"/>
              <w:tr2bl w:val="nil"/>
            </w:tcBorders>
            <w:vAlign w:val="center"/>
          </w:tcPr>
          <w:p w14:paraId="1322448C">
            <w:pPr>
              <w:widowControl/>
              <w:jc w:val="center"/>
              <w:rPr>
                <w:rFonts w:eastAsia="仿宋_GB2312"/>
                <w:kern w:val="0"/>
                <w:szCs w:val="21"/>
              </w:rPr>
            </w:pPr>
          </w:p>
        </w:tc>
        <w:tc>
          <w:tcPr>
            <w:tcW w:w="605" w:type="pct"/>
            <w:vMerge w:val="continue"/>
            <w:tcBorders>
              <w:tl2br w:val="nil"/>
              <w:tr2bl w:val="nil"/>
            </w:tcBorders>
            <w:vAlign w:val="center"/>
          </w:tcPr>
          <w:p w14:paraId="24AC5FA4">
            <w:pPr>
              <w:widowControl/>
              <w:jc w:val="center"/>
              <w:rPr>
                <w:rFonts w:eastAsia="仿宋_GB2312"/>
                <w:kern w:val="0"/>
                <w:szCs w:val="21"/>
              </w:rPr>
            </w:pPr>
          </w:p>
        </w:tc>
      </w:tr>
      <w:tr w14:paraId="5476064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3" w:type="pct"/>
            <w:vMerge w:val="continue"/>
            <w:tcBorders>
              <w:tl2br w:val="nil"/>
              <w:tr2bl w:val="nil"/>
            </w:tcBorders>
            <w:vAlign w:val="center"/>
          </w:tcPr>
          <w:p w14:paraId="700A5C55">
            <w:pPr>
              <w:widowControl/>
              <w:jc w:val="center"/>
              <w:rPr>
                <w:rFonts w:eastAsia="仿宋_GB2312"/>
                <w:kern w:val="0"/>
                <w:szCs w:val="21"/>
              </w:rPr>
            </w:pPr>
          </w:p>
        </w:tc>
        <w:tc>
          <w:tcPr>
            <w:tcW w:w="372" w:type="pct"/>
            <w:vMerge w:val="continue"/>
            <w:tcBorders>
              <w:tl2br w:val="nil"/>
              <w:tr2bl w:val="nil"/>
            </w:tcBorders>
            <w:vAlign w:val="center"/>
          </w:tcPr>
          <w:p w14:paraId="58850FFB">
            <w:pPr>
              <w:widowControl/>
              <w:jc w:val="center"/>
              <w:rPr>
                <w:rFonts w:eastAsia="仿宋_GB2312"/>
                <w:kern w:val="0"/>
                <w:szCs w:val="21"/>
              </w:rPr>
            </w:pPr>
          </w:p>
        </w:tc>
        <w:tc>
          <w:tcPr>
            <w:tcW w:w="394" w:type="pct"/>
            <w:tcBorders>
              <w:tl2br w:val="nil"/>
              <w:tr2bl w:val="nil"/>
            </w:tcBorders>
            <w:vAlign w:val="center"/>
          </w:tcPr>
          <w:p w14:paraId="03C2E7A1">
            <w:pPr>
              <w:widowControl/>
              <w:jc w:val="center"/>
              <w:rPr>
                <w:rFonts w:eastAsia="仿宋_GB2312"/>
                <w:kern w:val="0"/>
                <w:szCs w:val="21"/>
              </w:rPr>
            </w:pPr>
            <w:r>
              <w:rPr>
                <w:rFonts w:eastAsia="仿宋_GB2312"/>
                <w:kern w:val="0"/>
                <w:szCs w:val="21"/>
              </w:rPr>
              <w:t>HW13</w:t>
            </w:r>
          </w:p>
        </w:tc>
        <w:tc>
          <w:tcPr>
            <w:tcW w:w="1042" w:type="pct"/>
            <w:tcBorders>
              <w:tl2br w:val="nil"/>
              <w:tr2bl w:val="nil"/>
            </w:tcBorders>
            <w:vAlign w:val="center"/>
          </w:tcPr>
          <w:p w14:paraId="673CBDFD">
            <w:pPr>
              <w:widowControl/>
              <w:jc w:val="center"/>
              <w:rPr>
                <w:rFonts w:eastAsia="仿宋_GB2312"/>
                <w:kern w:val="0"/>
                <w:szCs w:val="21"/>
              </w:rPr>
            </w:pPr>
            <w:r>
              <w:rPr>
                <w:rFonts w:eastAsia="仿宋_GB2312"/>
                <w:kern w:val="0"/>
                <w:szCs w:val="21"/>
              </w:rPr>
              <w:t>265-102-13，265-103-13，265-101-13</w:t>
            </w:r>
          </w:p>
        </w:tc>
        <w:tc>
          <w:tcPr>
            <w:tcW w:w="465" w:type="pct"/>
            <w:vMerge w:val="continue"/>
            <w:tcBorders>
              <w:tl2br w:val="nil"/>
              <w:tr2bl w:val="nil"/>
            </w:tcBorders>
            <w:vAlign w:val="center"/>
          </w:tcPr>
          <w:p w14:paraId="20517D16">
            <w:pPr>
              <w:widowControl/>
              <w:jc w:val="center"/>
              <w:rPr>
                <w:rFonts w:eastAsia="仿宋_GB2312"/>
                <w:kern w:val="0"/>
                <w:szCs w:val="21"/>
              </w:rPr>
            </w:pPr>
          </w:p>
        </w:tc>
        <w:tc>
          <w:tcPr>
            <w:tcW w:w="384" w:type="pct"/>
            <w:tcBorders>
              <w:tl2br w:val="nil"/>
              <w:tr2bl w:val="nil"/>
            </w:tcBorders>
            <w:shd w:val="clear" w:color="auto" w:fill="auto"/>
            <w:vAlign w:val="center"/>
          </w:tcPr>
          <w:p w14:paraId="7138773A">
            <w:pPr>
              <w:widowControl/>
              <w:jc w:val="center"/>
              <w:textAlignment w:val="center"/>
              <w:rPr>
                <w:rFonts w:eastAsia="仿宋_GB2312"/>
                <w:kern w:val="0"/>
                <w:szCs w:val="21"/>
              </w:rPr>
            </w:pPr>
            <w:r>
              <w:rPr>
                <w:kern w:val="0"/>
                <w:szCs w:val="21"/>
                <w:lang w:bidi="ar"/>
              </w:rPr>
              <w:t>HW13</w:t>
            </w:r>
          </w:p>
        </w:tc>
        <w:tc>
          <w:tcPr>
            <w:tcW w:w="1059" w:type="pct"/>
            <w:tcBorders>
              <w:tl2br w:val="nil"/>
              <w:tr2bl w:val="nil"/>
            </w:tcBorders>
            <w:shd w:val="clear" w:color="auto" w:fill="auto"/>
            <w:vAlign w:val="center"/>
          </w:tcPr>
          <w:p w14:paraId="1E42DBCA">
            <w:pPr>
              <w:widowControl/>
              <w:jc w:val="center"/>
              <w:textAlignment w:val="center"/>
              <w:rPr>
                <w:rFonts w:eastAsia="仿宋_GB2312"/>
                <w:kern w:val="0"/>
                <w:szCs w:val="21"/>
              </w:rPr>
            </w:pPr>
            <w:r>
              <w:rPr>
                <w:kern w:val="0"/>
                <w:szCs w:val="21"/>
                <w:lang w:bidi="ar"/>
              </w:rPr>
              <w:t>265-102-13</w:t>
            </w:r>
            <w:r>
              <w:rPr>
                <w:rFonts w:ascii="仿宋_GB2312" w:eastAsia="仿宋_GB2312" w:cs="仿宋_GB2312"/>
                <w:kern w:val="0"/>
                <w:szCs w:val="21"/>
                <w:lang w:bidi="ar"/>
              </w:rPr>
              <w:t>，</w:t>
            </w:r>
            <w:r>
              <w:rPr>
                <w:kern w:val="0"/>
                <w:szCs w:val="21"/>
                <w:lang w:bidi="ar"/>
              </w:rPr>
              <w:t>265-103-13</w:t>
            </w:r>
            <w:r>
              <w:rPr>
                <w:rFonts w:ascii="仿宋_GB2312" w:eastAsia="仿宋_GB2312" w:cs="仿宋_GB2312"/>
                <w:kern w:val="0"/>
                <w:szCs w:val="21"/>
                <w:lang w:bidi="ar"/>
              </w:rPr>
              <w:t>，</w:t>
            </w:r>
            <w:r>
              <w:rPr>
                <w:kern w:val="0"/>
                <w:szCs w:val="21"/>
                <w:lang w:bidi="ar"/>
              </w:rPr>
              <w:t>265-101-13</w:t>
            </w:r>
          </w:p>
        </w:tc>
        <w:tc>
          <w:tcPr>
            <w:tcW w:w="423" w:type="pct"/>
            <w:vMerge w:val="continue"/>
            <w:tcBorders>
              <w:tl2br w:val="nil"/>
              <w:tr2bl w:val="nil"/>
            </w:tcBorders>
            <w:vAlign w:val="center"/>
          </w:tcPr>
          <w:p w14:paraId="05F6A7A2">
            <w:pPr>
              <w:widowControl/>
              <w:jc w:val="center"/>
              <w:rPr>
                <w:rFonts w:eastAsia="仿宋_GB2312"/>
                <w:kern w:val="0"/>
                <w:szCs w:val="21"/>
              </w:rPr>
            </w:pPr>
          </w:p>
        </w:tc>
        <w:tc>
          <w:tcPr>
            <w:tcW w:w="605" w:type="pct"/>
            <w:vMerge w:val="continue"/>
            <w:tcBorders>
              <w:tl2br w:val="nil"/>
              <w:tr2bl w:val="nil"/>
            </w:tcBorders>
            <w:vAlign w:val="center"/>
          </w:tcPr>
          <w:p w14:paraId="62899DC2">
            <w:pPr>
              <w:widowControl/>
              <w:jc w:val="center"/>
              <w:rPr>
                <w:rFonts w:eastAsia="仿宋_GB2312"/>
                <w:kern w:val="0"/>
                <w:szCs w:val="21"/>
              </w:rPr>
            </w:pPr>
          </w:p>
        </w:tc>
      </w:tr>
      <w:tr w14:paraId="234D5F7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3" w:type="pct"/>
            <w:tcBorders>
              <w:tl2br w:val="nil"/>
              <w:tr2bl w:val="nil"/>
            </w:tcBorders>
            <w:vAlign w:val="center"/>
          </w:tcPr>
          <w:p w14:paraId="4EDA98DF">
            <w:pPr>
              <w:widowControl/>
              <w:jc w:val="center"/>
              <w:rPr>
                <w:rFonts w:eastAsia="仿宋_GB2312"/>
                <w:kern w:val="0"/>
                <w:szCs w:val="21"/>
              </w:rPr>
            </w:pPr>
            <w:r>
              <w:rPr>
                <w:rFonts w:eastAsia="仿宋_GB2312"/>
                <w:kern w:val="0"/>
                <w:szCs w:val="21"/>
              </w:rPr>
              <w:t>18</w:t>
            </w:r>
          </w:p>
        </w:tc>
        <w:tc>
          <w:tcPr>
            <w:tcW w:w="372" w:type="pct"/>
            <w:tcBorders>
              <w:tl2br w:val="nil"/>
              <w:tr2bl w:val="nil"/>
            </w:tcBorders>
            <w:vAlign w:val="center"/>
          </w:tcPr>
          <w:p w14:paraId="332771C3">
            <w:pPr>
              <w:widowControl/>
              <w:jc w:val="center"/>
              <w:rPr>
                <w:rFonts w:eastAsia="仿宋_GB2312"/>
                <w:kern w:val="0"/>
                <w:szCs w:val="21"/>
              </w:rPr>
            </w:pPr>
            <w:r>
              <w:rPr>
                <w:rFonts w:eastAsia="仿宋_GB2312"/>
                <w:kern w:val="0"/>
                <w:szCs w:val="21"/>
              </w:rPr>
              <w:t>精馏残液</w:t>
            </w:r>
            <w:r>
              <w:rPr>
                <w:rFonts w:hint="eastAsia" w:eastAsia="仿宋_GB2312"/>
                <w:kern w:val="0"/>
                <w:szCs w:val="21"/>
              </w:rPr>
              <w:t>（含碳九、苯乙烯）</w:t>
            </w:r>
          </w:p>
        </w:tc>
        <w:tc>
          <w:tcPr>
            <w:tcW w:w="394" w:type="pct"/>
            <w:tcBorders>
              <w:tl2br w:val="nil"/>
              <w:tr2bl w:val="nil"/>
            </w:tcBorders>
            <w:vAlign w:val="center"/>
          </w:tcPr>
          <w:p w14:paraId="0B441C03">
            <w:pPr>
              <w:widowControl/>
              <w:jc w:val="center"/>
              <w:rPr>
                <w:rFonts w:eastAsia="仿宋_GB2312"/>
                <w:kern w:val="0"/>
                <w:szCs w:val="21"/>
              </w:rPr>
            </w:pPr>
            <w:r>
              <w:rPr>
                <w:rFonts w:eastAsia="仿宋_GB2312"/>
                <w:kern w:val="0"/>
                <w:szCs w:val="21"/>
              </w:rPr>
              <w:t>HW11</w:t>
            </w:r>
          </w:p>
        </w:tc>
        <w:tc>
          <w:tcPr>
            <w:tcW w:w="1042" w:type="pct"/>
            <w:tcBorders>
              <w:tl2br w:val="nil"/>
              <w:tr2bl w:val="nil"/>
            </w:tcBorders>
            <w:vAlign w:val="center"/>
          </w:tcPr>
          <w:p w14:paraId="4EF34E38">
            <w:pPr>
              <w:widowControl/>
              <w:jc w:val="center"/>
              <w:rPr>
                <w:rFonts w:eastAsia="仿宋_GB2312"/>
                <w:kern w:val="0"/>
                <w:szCs w:val="21"/>
              </w:rPr>
            </w:pPr>
            <w:r>
              <w:rPr>
                <w:rFonts w:eastAsia="仿宋_GB2312"/>
                <w:kern w:val="0"/>
                <w:szCs w:val="21"/>
              </w:rPr>
              <w:t>251-013-11，</w:t>
            </w:r>
            <w:r>
              <w:rPr>
                <w:rFonts w:hint="eastAsia" w:eastAsia="仿宋_GB2312"/>
                <w:kern w:val="0"/>
                <w:szCs w:val="21"/>
              </w:rPr>
              <w:t>252-002-11，252-004-11，252-011-11，</w:t>
            </w:r>
            <w:r>
              <w:rPr>
                <w:rFonts w:eastAsia="仿宋_GB2312"/>
                <w:kern w:val="0"/>
                <w:szCs w:val="21"/>
              </w:rPr>
              <w:t>261-0</w:t>
            </w:r>
            <w:r>
              <w:rPr>
                <w:rFonts w:hint="eastAsia" w:eastAsia="仿宋_GB2312"/>
                <w:kern w:val="0"/>
                <w:szCs w:val="21"/>
              </w:rPr>
              <w:t>12</w:t>
            </w:r>
            <w:r>
              <w:rPr>
                <w:rFonts w:eastAsia="仿宋_GB2312"/>
                <w:kern w:val="0"/>
                <w:szCs w:val="21"/>
              </w:rPr>
              <w:t>-11，261-0</w:t>
            </w:r>
            <w:r>
              <w:rPr>
                <w:rFonts w:hint="eastAsia" w:eastAsia="仿宋_GB2312"/>
                <w:kern w:val="0"/>
                <w:szCs w:val="21"/>
              </w:rPr>
              <w:t>15</w:t>
            </w:r>
            <w:r>
              <w:rPr>
                <w:rFonts w:eastAsia="仿宋_GB2312"/>
                <w:kern w:val="0"/>
                <w:szCs w:val="21"/>
              </w:rPr>
              <w:t>-11，261-031-11，261-106-11，261-129-11，261-130-11</w:t>
            </w:r>
            <w:r>
              <w:rPr>
                <w:rFonts w:hint="eastAsia" w:eastAsia="仿宋_GB2312"/>
                <w:kern w:val="0"/>
                <w:szCs w:val="21"/>
              </w:rPr>
              <w:t>，309-001-11，451-003-11，772-001-11，</w:t>
            </w:r>
            <w:r>
              <w:rPr>
                <w:rFonts w:eastAsia="仿宋_GB2312"/>
                <w:kern w:val="0"/>
                <w:szCs w:val="21"/>
              </w:rPr>
              <w:t>900-013-11</w:t>
            </w:r>
          </w:p>
        </w:tc>
        <w:tc>
          <w:tcPr>
            <w:tcW w:w="465" w:type="pct"/>
            <w:tcBorders>
              <w:tl2br w:val="nil"/>
              <w:tr2bl w:val="nil"/>
            </w:tcBorders>
            <w:vAlign w:val="center"/>
          </w:tcPr>
          <w:p w14:paraId="670C9DD9">
            <w:pPr>
              <w:widowControl/>
              <w:jc w:val="center"/>
              <w:rPr>
                <w:rFonts w:eastAsia="仿宋_GB2312"/>
                <w:kern w:val="0"/>
                <w:szCs w:val="21"/>
              </w:rPr>
            </w:pPr>
            <w:r>
              <w:rPr>
                <w:rFonts w:hint="eastAsia" w:eastAsia="仿宋_GB2312"/>
                <w:kern w:val="0"/>
                <w:szCs w:val="21"/>
              </w:rPr>
              <w:t>4</w:t>
            </w:r>
            <w:r>
              <w:rPr>
                <w:rFonts w:eastAsia="仿宋_GB2312"/>
                <w:kern w:val="0"/>
                <w:szCs w:val="21"/>
              </w:rPr>
              <w:t>000</w:t>
            </w:r>
          </w:p>
        </w:tc>
        <w:tc>
          <w:tcPr>
            <w:tcW w:w="384" w:type="pct"/>
            <w:tcBorders>
              <w:tl2br w:val="nil"/>
              <w:tr2bl w:val="nil"/>
            </w:tcBorders>
            <w:shd w:val="clear" w:color="auto" w:fill="auto"/>
            <w:vAlign w:val="center"/>
          </w:tcPr>
          <w:p w14:paraId="6A107010">
            <w:pPr>
              <w:widowControl/>
              <w:jc w:val="center"/>
              <w:textAlignment w:val="center"/>
              <w:rPr>
                <w:rFonts w:eastAsia="仿宋_GB2312"/>
                <w:kern w:val="0"/>
                <w:szCs w:val="21"/>
              </w:rPr>
            </w:pPr>
            <w:r>
              <w:rPr>
                <w:kern w:val="0"/>
                <w:szCs w:val="21"/>
                <w:lang w:bidi="ar"/>
              </w:rPr>
              <w:t>HW11</w:t>
            </w:r>
          </w:p>
        </w:tc>
        <w:tc>
          <w:tcPr>
            <w:tcW w:w="1059" w:type="pct"/>
            <w:tcBorders>
              <w:tl2br w:val="nil"/>
              <w:tr2bl w:val="nil"/>
            </w:tcBorders>
            <w:shd w:val="clear" w:color="auto" w:fill="auto"/>
            <w:vAlign w:val="center"/>
          </w:tcPr>
          <w:p w14:paraId="13A7F4AD">
            <w:pPr>
              <w:widowControl/>
              <w:jc w:val="center"/>
              <w:textAlignment w:val="center"/>
              <w:rPr>
                <w:rFonts w:eastAsia="仿宋_GB2312"/>
                <w:kern w:val="0"/>
                <w:szCs w:val="21"/>
              </w:rPr>
            </w:pPr>
            <w:r>
              <w:rPr>
                <w:kern w:val="0"/>
                <w:szCs w:val="21"/>
                <w:lang w:bidi="ar"/>
              </w:rPr>
              <w:t>251-013-11</w:t>
            </w:r>
            <w:r>
              <w:rPr>
                <w:rFonts w:ascii="仿宋_GB2312" w:eastAsia="仿宋_GB2312" w:cs="仿宋_GB2312"/>
                <w:kern w:val="0"/>
                <w:szCs w:val="21"/>
                <w:lang w:bidi="ar"/>
              </w:rPr>
              <w:t>，</w:t>
            </w:r>
            <w:r>
              <w:rPr>
                <w:kern w:val="0"/>
                <w:szCs w:val="21"/>
                <w:lang w:bidi="ar"/>
              </w:rPr>
              <w:t>252-002-11</w:t>
            </w:r>
            <w:r>
              <w:rPr>
                <w:rFonts w:ascii="仿宋_GB2312" w:eastAsia="仿宋_GB2312" w:cs="仿宋_GB2312"/>
                <w:kern w:val="0"/>
                <w:szCs w:val="21"/>
                <w:lang w:bidi="ar"/>
              </w:rPr>
              <w:t>，</w:t>
            </w:r>
            <w:r>
              <w:rPr>
                <w:kern w:val="0"/>
                <w:szCs w:val="21"/>
                <w:lang w:bidi="ar"/>
              </w:rPr>
              <w:t>252-004-11</w:t>
            </w:r>
            <w:r>
              <w:rPr>
                <w:rFonts w:ascii="仿宋_GB2312" w:eastAsia="仿宋_GB2312" w:cs="仿宋_GB2312"/>
                <w:kern w:val="0"/>
                <w:szCs w:val="21"/>
                <w:lang w:bidi="ar"/>
              </w:rPr>
              <w:t>，</w:t>
            </w:r>
            <w:r>
              <w:rPr>
                <w:kern w:val="0"/>
                <w:szCs w:val="21"/>
                <w:lang w:bidi="ar"/>
              </w:rPr>
              <w:t>252-011-11</w:t>
            </w:r>
            <w:r>
              <w:rPr>
                <w:rFonts w:ascii="仿宋_GB2312" w:eastAsia="仿宋_GB2312" w:cs="仿宋_GB2312"/>
                <w:kern w:val="0"/>
                <w:szCs w:val="21"/>
                <w:lang w:bidi="ar"/>
              </w:rPr>
              <w:t>，</w:t>
            </w:r>
            <w:r>
              <w:rPr>
                <w:kern w:val="0"/>
                <w:szCs w:val="21"/>
                <w:lang w:bidi="ar"/>
              </w:rPr>
              <w:t>261-012-11</w:t>
            </w:r>
            <w:r>
              <w:rPr>
                <w:rFonts w:ascii="仿宋_GB2312" w:eastAsia="仿宋_GB2312" w:cs="仿宋_GB2312"/>
                <w:kern w:val="0"/>
                <w:szCs w:val="21"/>
                <w:lang w:bidi="ar"/>
              </w:rPr>
              <w:t>，</w:t>
            </w:r>
            <w:r>
              <w:rPr>
                <w:kern w:val="0"/>
                <w:szCs w:val="21"/>
                <w:lang w:bidi="ar"/>
              </w:rPr>
              <w:t>261-015-11</w:t>
            </w:r>
            <w:r>
              <w:rPr>
                <w:rFonts w:ascii="仿宋_GB2312" w:eastAsia="仿宋_GB2312" w:cs="仿宋_GB2312"/>
                <w:kern w:val="0"/>
                <w:szCs w:val="21"/>
                <w:lang w:bidi="ar"/>
              </w:rPr>
              <w:t>，</w:t>
            </w:r>
            <w:r>
              <w:rPr>
                <w:kern w:val="0"/>
                <w:szCs w:val="21"/>
                <w:lang w:bidi="ar"/>
              </w:rPr>
              <w:t>261-031-11</w:t>
            </w:r>
            <w:r>
              <w:rPr>
                <w:rFonts w:ascii="仿宋_GB2312" w:eastAsia="仿宋_GB2312" w:cs="仿宋_GB2312"/>
                <w:kern w:val="0"/>
                <w:szCs w:val="21"/>
                <w:lang w:bidi="ar"/>
              </w:rPr>
              <w:t>，</w:t>
            </w:r>
            <w:r>
              <w:rPr>
                <w:kern w:val="0"/>
                <w:szCs w:val="21"/>
                <w:lang w:bidi="ar"/>
              </w:rPr>
              <w:t>261-106-11</w:t>
            </w:r>
            <w:r>
              <w:rPr>
                <w:rFonts w:ascii="仿宋_GB2312" w:eastAsia="仿宋_GB2312" w:cs="仿宋_GB2312"/>
                <w:kern w:val="0"/>
                <w:szCs w:val="21"/>
                <w:lang w:bidi="ar"/>
              </w:rPr>
              <w:t>，</w:t>
            </w:r>
            <w:r>
              <w:rPr>
                <w:kern w:val="0"/>
                <w:szCs w:val="21"/>
                <w:lang w:bidi="ar"/>
              </w:rPr>
              <w:t>261-129-11</w:t>
            </w:r>
            <w:r>
              <w:rPr>
                <w:rFonts w:ascii="仿宋_GB2312" w:eastAsia="仿宋_GB2312" w:cs="仿宋_GB2312"/>
                <w:kern w:val="0"/>
                <w:szCs w:val="21"/>
                <w:lang w:bidi="ar"/>
              </w:rPr>
              <w:t>，</w:t>
            </w:r>
            <w:r>
              <w:rPr>
                <w:kern w:val="0"/>
                <w:szCs w:val="21"/>
                <w:lang w:bidi="ar"/>
              </w:rPr>
              <w:t>261-130-11</w:t>
            </w:r>
            <w:r>
              <w:rPr>
                <w:rFonts w:ascii="仿宋_GB2312" w:eastAsia="仿宋_GB2312" w:cs="仿宋_GB2312"/>
                <w:kern w:val="0"/>
                <w:szCs w:val="21"/>
                <w:lang w:bidi="ar"/>
              </w:rPr>
              <w:t>，</w:t>
            </w:r>
            <w:r>
              <w:rPr>
                <w:kern w:val="0"/>
                <w:szCs w:val="21"/>
                <w:lang w:bidi="ar"/>
              </w:rPr>
              <w:t>309-001-11</w:t>
            </w:r>
            <w:r>
              <w:rPr>
                <w:rFonts w:ascii="仿宋_GB2312" w:eastAsia="仿宋_GB2312" w:cs="仿宋_GB2312"/>
                <w:kern w:val="0"/>
                <w:szCs w:val="21"/>
                <w:lang w:bidi="ar"/>
              </w:rPr>
              <w:t>，</w:t>
            </w:r>
            <w:r>
              <w:rPr>
                <w:kern w:val="0"/>
                <w:szCs w:val="21"/>
                <w:lang w:bidi="ar"/>
              </w:rPr>
              <w:t>451-003-11</w:t>
            </w:r>
            <w:r>
              <w:rPr>
                <w:rFonts w:ascii="仿宋_GB2312" w:eastAsia="仿宋_GB2312" w:cs="仿宋_GB2312"/>
                <w:kern w:val="0"/>
                <w:szCs w:val="21"/>
                <w:lang w:bidi="ar"/>
              </w:rPr>
              <w:t>，</w:t>
            </w:r>
            <w:r>
              <w:rPr>
                <w:kern w:val="0"/>
                <w:szCs w:val="21"/>
                <w:lang w:bidi="ar"/>
              </w:rPr>
              <w:t>772-001-11</w:t>
            </w:r>
            <w:r>
              <w:rPr>
                <w:rFonts w:ascii="仿宋_GB2312" w:eastAsia="仿宋_GB2312" w:cs="仿宋_GB2312"/>
                <w:kern w:val="0"/>
                <w:szCs w:val="21"/>
                <w:lang w:bidi="ar"/>
              </w:rPr>
              <w:t>，</w:t>
            </w:r>
            <w:r>
              <w:rPr>
                <w:kern w:val="0"/>
                <w:szCs w:val="21"/>
                <w:lang w:bidi="ar"/>
              </w:rPr>
              <w:t>900-013-11</w:t>
            </w:r>
          </w:p>
        </w:tc>
        <w:tc>
          <w:tcPr>
            <w:tcW w:w="423" w:type="pct"/>
            <w:tcBorders>
              <w:tl2br w:val="nil"/>
              <w:tr2bl w:val="nil"/>
            </w:tcBorders>
            <w:vAlign w:val="center"/>
          </w:tcPr>
          <w:p w14:paraId="2D6242AD">
            <w:pPr>
              <w:widowControl/>
              <w:jc w:val="center"/>
              <w:rPr>
                <w:rFonts w:eastAsia="仿宋_GB2312"/>
                <w:kern w:val="0"/>
                <w:szCs w:val="21"/>
              </w:rPr>
            </w:pPr>
            <w:r>
              <w:rPr>
                <w:rFonts w:hint="eastAsia" w:eastAsia="仿宋_GB2312"/>
                <w:kern w:val="0"/>
                <w:szCs w:val="21"/>
                <w:lang w:val="en-US" w:eastAsia="zh-CN"/>
              </w:rPr>
              <w:t>1</w:t>
            </w:r>
            <w:r>
              <w:rPr>
                <w:rFonts w:hint="eastAsia" w:eastAsia="仿宋_GB2312"/>
                <w:kern w:val="0"/>
                <w:szCs w:val="21"/>
              </w:rPr>
              <w:t>000</w:t>
            </w:r>
          </w:p>
        </w:tc>
        <w:tc>
          <w:tcPr>
            <w:tcW w:w="605" w:type="pct"/>
            <w:tcBorders>
              <w:tl2br w:val="nil"/>
              <w:tr2bl w:val="nil"/>
            </w:tcBorders>
            <w:vAlign w:val="center"/>
          </w:tcPr>
          <w:p w14:paraId="2DA4B8AC">
            <w:pPr>
              <w:widowControl/>
              <w:jc w:val="center"/>
              <w:rPr>
                <w:rFonts w:eastAsia="仿宋_GB2312"/>
                <w:kern w:val="0"/>
                <w:szCs w:val="21"/>
              </w:rPr>
            </w:pPr>
            <w:r>
              <w:rPr>
                <w:rFonts w:eastAsia="仿宋_GB2312"/>
                <w:bCs/>
              </w:rPr>
              <w:t>回收综合利用量</w:t>
            </w:r>
            <w:r>
              <w:rPr>
                <w:rFonts w:hint="eastAsia" w:eastAsia="仿宋_GB2312"/>
                <w:bCs/>
              </w:rPr>
              <w:t>不变</w:t>
            </w:r>
            <w:r>
              <w:rPr>
                <w:rFonts w:eastAsia="仿宋_GB2312"/>
                <w:bCs/>
              </w:rPr>
              <w:t>，危废代码增加</w:t>
            </w:r>
          </w:p>
        </w:tc>
      </w:tr>
      <w:tr w14:paraId="48ECEE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3" w:type="pct"/>
            <w:vMerge w:val="restart"/>
            <w:tcBorders>
              <w:tl2br w:val="nil"/>
              <w:tr2bl w:val="nil"/>
            </w:tcBorders>
            <w:vAlign w:val="center"/>
          </w:tcPr>
          <w:p w14:paraId="6A5384C2">
            <w:pPr>
              <w:widowControl/>
              <w:jc w:val="center"/>
              <w:rPr>
                <w:rFonts w:eastAsia="仿宋_GB2312"/>
                <w:kern w:val="0"/>
                <w:szCs w:val="21"/>
              </w:rPr>
            </w:pPr>
            <w:r>
              <w:rPr>
                <w:rFonts w:eastAsia="仿宋_GB2312"/>
                <w:kern w:val="0"/>
                <w:szCs w:val="21"/>
              </w:rPr>
              <w:t>19</w:t>
            </w:r>
          </w:p>
        </w:tc>
        <w:tc>
          <w:tcPr>
            <w:tcW w:w="372" w:type="pct"/>
            <w:vMerge w:val="restart"/>
            <w:tcBorders>
              <w:tl2br w:val="nil"/>
              <w:tr2bl w:val="nil"/>
            </w:tcBorders>
            <w:vAlign w:val="center"/>
          </w:tcPr>
          <w:p w14:paraId="2118F958">
            <w:pPr>
              <w:widowControl/>
              <w:jc w:val="center"/>
              <w:rPr>
                <w:rFonts w:eastAsia="仿宋_GB2312"/>
                <w:kern w:val="0"/>
                <w:szCs w:val="21"/>
              </w:rPr>
            </w:pPr>
            <w:r>
              <w:rPr>
                <w:rFonts w:eastAsia="仿宋_GB2312"/>
                <w:kern w:val="0"/>
                <w:szCs w:val="21"/>
              </w:rPr>
              <w:t>多元醇废液</w:t>
            </w:r>
          </w:p>
        </w:tc>
        <w:tc>
          <w:tcPr>
            <w:tcW w:w="394" w:type="pct"/>
            <w:tcBorders>
              <w:tl2br w:val="nil"/>
              <w:tr2bl w:val="nil"/>
            </w:tcBorders>
            <w:vAlign w:val="center"/>
          </w:tcPr>
          <w:p w14:paraId="562269E7">
            <w:pPr>
              <w:widowControl/>
              <w:jc w:val="center"/>
              <w:rPr>
                <w:rFonts w:eastAsia="仿宋_GB2312"/>
                <w:kern w:val="0"/>
                <w:szCs w:val="21"/>
              </w:rPr>
            </w:pPr>
            <w:r>
              <w:rPr>
                <w:rFonts w:eastAsia="仿宋_GB2312"/>
                <w:kern w:val="0"/>
                <w:szCs w:val="21"/>
              </w:rPr>
              <w:t>HW02</w:t>
            </w:r>
          </w:p>
        </w:tc>
        <w:tc>
          <w:tcPr>
            <w:tcW w:w="1042" w:type="pct"/>
            <w:tcBorders>
              <w:tl2br w:val="nil"/>
              <w:tr2bl w:val="nil"/>
            </w:tcBorders>
            <w:vAlign w:val="center"/>
          </w:tcPr>
          <w:p w14:paraId="0145A0F5">
            <w:pPr>
              <w:widowControl/>
              <w:jc w:val="center"/>
              <w:rPr>
                <w:rFonts w:eastAsia="仿宋_GB2312"/>
                <w:kern w:val="0"/>
                <w:szCs w:val="21"/>
              </w:rPr>
            </w:pPr>
            <w:r>
              <w:rPr>
                <w:rFonts w:eastAsia="仿宋_GB2312"/>
                <w:kern w:val="0"/>
                <w:szCs w:val="21"/>
              </w:rPr>
              <w:t>271-001-02，271-002-02，</w:t>
            </w:r>
            <w:r>
              <w:rPr>
                <w:rFonts w:hint="eastAsia" w:eastAsia="仿宋_GB2312"/>
                <w:kern w:val="0"/>
                <w:szCs w:val="21"/>
              </w:rPr>
              <w:t>271-004-02，</w:t>
            </w:r>
            <w:r>
              <w:rPr>
                <w:rFonts w:eastAsia="仿宋_GB2312"/>
                <w:kern w:val="0"/>
                <w:szCs w:val="21"/>
              </w:rPr>
              <w:t>272-001-02，</w:t>
            </w:r>
            <w:r>
              <w:rPr>
                <w:rFonts w:hint="eastAsia" w:eastAsia="仿宋_GB2312"/>
                <w:kern w:val="0"/>
                <w:szCs w:val="21"/>
              </w:rPr>
              <w:t>272-003-02，275-004-02，275-005-02，</w:t>
            </w:r>
            <w:r>
              <w:rPr>
                <w:rFonts w:eastAsia="仿宋_GB2312"/>
                <w:kern w:val="0"/>
                <w:szCs w:val="21"/>
              </w:rPr>
              <w:t>276-001-02，276-002-02</w:t>
            </w:r>
            <w:r>
              <w:rPr>
                <w:rFonts w:hint="eastAsia" w:eastAsia="仿宋_GB2312"/>
                <w:kern w:val="0"/>
                <w:szCs w:val="21"/>
              </w:rPr>
              <w:t>，276-004-02</w:t>
            </w:r>
          </w:p>
        </w:tc>
        <w:tc>
          <w:tcPr>
            <w:tcW w:w="465" w:type="pct"/>
            <w:vMerge w:val="restart"/>
            <w:tcBorders>
              <w:tl2br w:val="nil"/>
              <w:tr2bl w:val="nil"/>
            </w:tcBorders>
            <w:vAlign w:val="center"/>
          </w:tcPr>
          <w:p w14:paraId="673C88E7">
            <w:pPr>
              <w:widowControl/>
              <w:jc w:val="center"/>
              <w:rPr>
                <w:rFonts w:eastAsia="仿宋_GB2312"/>
                <w:kern w:val="0"/>
                <w:szCs w:val="21"/>
              </w:rPr>
            </w:pPr>
            <w:r>
              <w:rPr>
                <w:rFonts w:eastAsia="仿宋_GB2312"/>
                <w:kern w:val="0"/>
                <w:szCs w:val="21"/>
              </w:rPr>
              <w:t>1500</w:t>
            </w:r>
          </w:p>
        </w:tc>
        <w:tc>
          <w:tcPr>
            <w:tcW w:w="384" w:type="pct"/>
            <w:tcBorders>
              <w:tl2br w:val="nil"/>
              <w:tr2bl w:val="nil"/>
            </w:tcBorders>
            <w:shd w:val="clear" w:color="auto" w:fill="auto"/>
            <w:vAlign w:val="center"/>
          </w:tcPr>
          <w:p w14:paraId="185D0513">
            <w:pPr>
              <w:widowControl/>
              <w:jc w:val="center"/>
              <w:textAlignment w:val="center"/>
              <w:rPr>
                <w:rFonts w:eastAsia="仿宋_GB2312"/>
                <w:kern w:val="0"/>
                <w:szCs w:val="21"/>
              </w:rPr>
            </w:pPr>
            <w:r>
              <w:rPr>
                <w:kern w:val="0"/>
                <w:szCs w:val="21"/>
                <w:lang w:bidi="ar"/>
              </w:rPr>
              <w:t>HW02</w:t>
            </w:r>
          </w:p>
        </w:tc>
        <w:tc>
          <w:tcPr>
            <w:tcW w:w="1059" w:type="pct"/>
            <w:tcBorders>
              <w:tl2br w:val="nil"/>
              <w:tr2bl w:val="nil"/>
            </w:tcBorders>
            <w:shd w:val="clear" w:color="auto" w:fill="auto"/>
            <w:vAlign w:val="center"/>
          </w:tcPr>
          <w:p w14:paraId="43987235">
            <w:pPr>
              <w:widowControl/>
              <w:jc w:val="center"/>
              <w:textAlignment w:val="center"/>
              <w:rPr>
                <w:rFonts w:eastAsia="仿宋_GB2312"/>
                <w:kern w:val="0"/>
                <w:szCs w:val="21"/>
              </w:rPr>
            </w:pPr>
            <w:r>
              <w:rPr>
                <w:kern w:val="0"/>
                <w:szCs w:val="21"/>
                <w:lang w:bidi="ar"/>
              </w:rPr>
              <w:t>271-001-02</w:t>
            </w:r>
            <w:r>
              <w:rPr>
                <w:rFonts w:ascii="仿宋_GB2312" w:eastAsia="仿宋_GB2312" w:cs="仿宋_GB2312"/>
                <w:kern w:val="0"/>
                <w:szCs w:val="21"/>
                <w:lang w:bidi="ar"/>
              </w:rPr>
              <w:t>，</w:t>
            </w:r>
            <w:r>
              <w:rPr>
                <w:kern w:val="0"/>
                <w:szCs w:val="21"/>
                <w:lang w:bidi="ar"/>
              </w:rPr>
              <w:t>271-002-02</w:t>
            </w:r>
            <w:r>
              <w:rPr>
                <w:rFonts w:ascii="仿宋_GB2312" w:eastAsia="仿宋_GB2312" w:cs="仿宋_GB2312"/>
                <w:kern w:val="0"/>
                <w:szCs w:val="21"/>
                <w:lang w:bidi="ar"/>
              </w:rPr>
              <w:t>，</w:t>
            </w:r>
            <w:r>
              <w:rPr>
                <w:kern w:val="0"/>
                <w:szCs w:val="21"/>
                <w:lang w:bidi="ar"/>
              </w:rPr>
              <w:t>272-001-02</w:t>
            </w:r>
            <w:r>
              <w:rPr>
                <w:rFonts w:ascii="仿宋_GB2312" w:eastAsia="仿宋_GB2312" w:cs="仿宋_GB2312"/>
                <w:kern w:val="0"/>
                <w:szCs w:val="21"/>
                <w:lang w:bidi="ar"/>
              </w:rPr>
              <w:t>，</w:t>
            </w:r>
            <w:r>
              <w:rPr>
                <w:b/>
                <w:bCs/>
                <w:kern w:val="0"/>
                <w:szCs w:val="21"/>
                <w:lang w:bidi="ar"/>
              </w:rPr>
              <w:t>272-00</w:t>
            </w:r>
            <w:r>
              <w:rPr>
                <w:rFonts w:hint="eastAsia"/>
                <w:b/>
                <w:bCs/>
                <w:kern w:val="0"/>
                <w:szCs w:val="21"/>
                <w:lang w:val="en-US" w:eastAsia="zh-CN" w:bidi="ar"/>
              </w:rPr>
              <w:t>5</w:t>
            </w:r>
            <w:r>
              <w:rPr>
                <w:b/>
                <w:bCs/>
                <w:kern w:val="0"/>
                <w:szCs w:val="21"/>
                <w:lang w:bidi="ar"/>
              </w:rPr>
              <w:t>-02</w:t>
            </w:r>
            <w:r>
              <w:rPr>
                <w:rFonts w:ascii="仿宋_GB2312" w:eastAsia="仿宋_GB2312" w:cs="仿宋_GB2312"/>
                <w:kern w:val="0"/>
                <w:szCs w:val="21"/>
                <w:lang w:bidi="ar"/>
              </w:rPr>
              <w:t>，</w:t>
            </w:r>
            <w:r>
              <w:rPr>
                <w:kern w:val="0"/>
                <w:szCs w:val="21"/>
                <w:lang w:bidi="ar"/>
              </w:rPr>
              <w:t>275-004-02</w:t>
            </w:r>
            <w:r>
              <w:rPr>
                <w:rFonts w:ascii="仿宋_GB2312" w:eastAsia="仿宋_GB2312" w:cs="仿宋_GB2312"/>
                <w:kern w:val="0"/>
                <w:szCs w:val="21"/>
                <w:lang w:bidi="ar"/>
              </w:rPr>
              <w:t>，</w:t>
            </w:r>
            <w:r>
              <w:rPr>
                <w:b/>
                <w:bCs/>
                <w:kern w:val="0"/>
                <w:szCs w:val="21"/>
                <w:lang w:bidi="ar"/>
              </w:rPr>
              <w:t>275-00</w:t>
            </w:r>
            <w:r>
              <w:rPr>
                <w:rFonts w:hint="eastAsia"/>
                <w:b/>
                <w:bCs/>
                <w:kern w:val="0"/>
                <w:szCs w:val="21"/>
                <w:lang w:val="en-US" w:eastAsia="zh-CN" w:bidi="ar"/>
              </w:rPr>
              <w:t>6</w:t>
            </w:r>
            <w:r>
              <w:rPr>
                <w:b/>
                <w:bCs/>
                <w:kern w:val="0"/>
                <w:szCs w:val="21"/>
                <w:lang w:bidi="ar"/>
              </w:rPr>
              <w:t>-02</w:t>
            </w:r>
            <w:r>
              <w:rPr>
                <w:rFonts w:ascii="仿宋_GB2312" w:eastAsia="仿宋_GB2312" w:cs="仿宋_GB2312"/>
                <w:kern w:val="0"/>
                <w:szCs w:val="21"/>
                <w:lang w:bidi="ar"/>
              </w:rPr>
              <w:t>，</w:t>
            </w:r>
            <w:r>
              <w:rPr>
                <w:kern w:val="0"/>
                <w:szCs w:val="21"/>
                <w:lang w:bidi="ar"/>
              </w:rPr>
              <w:t>276-001-02</w:t>
            </w:r>
            <w:r>
              <w:rPr>
                <w:rFonts w:ascii="仿宋_GB2312" w:eastAsia="仿宋_GB2312" w:cs="仿宋_GB2312"/>
                <w:kern w:val="0"/>
                <w:szCs w:val="21"/>
                <w:lang w:bidi="ar"/>
              </w:rPr>
              <w:t>，</w:t>
            </w:r>
            <w:r>
              <w:rPr>
                <w:kern w:val="0"/>
                <w:szCs w:val="21"/>
                <w:lang w:bidi="ar"/>
              </w:rPr>
              <w:t>276-002-02</w:t>
            </w:r>
            <w:r>
              <w:rPr>
                <w:rFonts w:ascii="仿宋_GB2312" w:eastAsia="仿宋_GB2312" w:cs="仿宋_GB2312"/>
                <w:kern w:val="0"/>
                <w:szCs w:val="21"/>
                <w:lang w:bidi="ar"/>
              </w:rPr>
              <w:t>，</w:t>
            </w:r>
            <w:r>
              <w:rPr>
                <w:b/>
                <w:bCs/>
                <w:kern w:val="0"/>
                <w:szCs w:val="21"/>
                <w:lang w:bidi="ar"/>
              </w:rPr>
              <w:t>276-00</w:t>
            </w:r>
            <w:r>
              <w:rPr>
                <w:rFonts w:hint="eastAsia"/>
                <w:b/>
                <w:bCs/>
                <w:kern w:val="0"/>
                <w:szCs w:val="21"/>
                <w:lang w:val="en-US" w:eastAsia="zh-CN" w:bidi="ar"/>
              </w:rPr>
              <w:t>5</w:t>
            </w:r>
            <w:r>
              <w:rPr>
                <w:b/>
                <w:bCs/>
                <w:kern w:val="0"/>
                <w:szCs w:val="21"/>
                <w:lang w:bidi="ar"/>
              </w:rPr>
              <w:t>-02</w:t>
            </w:r>
          </w:p>
        </w:tc>
        <w:tc>
          <w:tcPr>
            <w:tcW w:w="423" w:type="pct"/>
            <w:vMerge w:val="restart"/>
            <w:tcBorders>
              <w:tl2br w:val="nil"/>
              <w:tr2bl w:val="nil"/>
            </w:tcBorders>
            <w:vAlign w:val="center"/>
          </w:tcPr>
          <w:p w14:paraId="4A623FF5">
            <w:pPr>
              <w:widowControl/>
              <w:jc w:val="center"/>
              <w:rPr>
                <w:rFonts w:eastAsia="仿宋_GB2312"/>
                <w:kern w:val="0"/>
                <w:szCs w:val="21"/>
              </w:rPr>
            </w:pPr>
            <w:r>
              <w:rPr>
                <w:rFonts w:hint="eastAsia" w:eastAsia="仿宋_GB2312"/>
                <w:kern w:val="0"/>
                <w:szCs w:val="21"/>
              </w:rPr>
              <w:t>1000</w:t>
            </w:r>
          </w:p>
        </w:tc>
        <w:tc>
          <w:tcPr>
            <w:tcW w:w="605" w:type="pct"/>
            <w:vMerge w:val="restart"/>
            <w:tcBorders>
              <w:tl2br w:val="nil"/>
              <w:tr2bl w:val="nil"/>
            </w:tcBorders>
            <w:vAlign w:val="center"/>
          </w:tcPr>
          <w:p w14:paraId="363C78A4">
            <w:pPr>
              <w:widowControl/>
              <w:jc w:val="center"/>
              <w:rPr>
                <w:rFonts w:eastAsia="仿宋_GB2312"/>
                <w:kern w:val="0"/>
                <w:szCs w:val="21"/>
              </w:rPr>
            </w:pPr>
            <w:r>
              <w:rPr>
                <w:rFonts w:eastAsia="仿宋_GB2312"/>
                <w:bCs/>
              </w:rPr>
              <w:t>回收综合利用量</w:t>
            </w:r>
            <w:r>
              <w:rPr>
                <w:rFonts w:hint="eastAsia" w:eastAsia="仿宋_GB2312"/>
                <w:bCs/>
              </w:rPr>
              <w:t>减少</w:t>
            </w:r>
            <w:r>
              <w:rPr>
                <w:rFonts w:eastAsia="仿宋_GB2312"/>
                <w:bCs/>
              </w:rPr>
              <w:t>，危废代码增加</w:t>
            </w:r>
          </w:p>
        </w:tc>
      </w:tr>
      <w:tr w14:paraId="5F276DF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3" w:type="pct"/>
            <w:vMerge w:val="continue"/>
            <w:tcBorders>
              <w:tl2br w:val="nil"/>
              <w:tr2bl w:val="nil"/>
            </w:tcBorders>
            <w:vAlign w:val="center"/>
          </w:tcPr>
          <w:p w14:paraId="44947278">
            <w:pPr>
              <w:widowControl/>
              <w:jc w:val="center"/>
              <w:rPr>
                <w:rFonts w:eastAsia="仿宋_GB2312"/>
                <w:kern w:val="0"/>
                <w:szCs w:val="21"/>
              </w:rPr>
            </w:pPr>
          </w:p>
        </w:tc>
        <w:tc>
          <w:tcPr>
            <w:tcW w:w="372" w:type="pct"/>
            <w:vMerge w:val="continue"/>
            <w:tcBorders>
              <w:tl2br w:val="nil"/>
              <w:tr2bl w:val="nil"/>
            </w:tcBorders>
            <w:vAlign w:val="center"/>
          </w:tcPr>
          <w:p w14:paraId="0DF84BCD">
            <w:pPr>
              <w:widowControl/>
              <w:jc w:val="center"/>
              <w:rPr>
                <w:rFonts w:eastAsia="仿宋_GB2312"/>
                <w:kern w:val="0"/>
                <w:szCs w:val="21"/>
              </w:rPr>
            </w:pPr>
          </w:p>
        </w:tc>
        <w:tc>
          <w:tcPr>
            <w:tcW w:w="394" w:type="pct"/>
            <w:tcBorders>
              <w:tl2br w:val="nil"/>
              <w:tr2bl w:val="nil"/>
            </w:tcBorders>
            <w:shd w:val="clear" w:color="auto" w:fill="auto"/>
            <w:vAlign w:val="center"/>
          </w:tcPr>
          <w:p w14:paraId="0980A1A9">
            <w:pPr>
              <w:widowControl/>
              <w:jc w:val="center"/>
              <w:rPr>
                <w:rFonts w:eastAsia="仿宋_GB2312"/>
                <w:kern w:val="0"/>
                <w:szCs w:val="21"/>
              </w:rPr>
            </w:pPr>
            <w:r>
              <w:rPr>
                <w:rFonts w:hint="eastAsia" w:eastAsia="仿宋_GB2312"/>
                <w:kern w:val="0"/>
                <w:szCs w:val="21"/>
              </w:rPr>
              <w:t>/</w:t>
            </w:r>
          </w:p>
        </w:tc>
        <w:tc>
          <w:tcPr>
            <w:tcW w:w="1042" w:type="pct"/>
            <w:tcBorders>
              <w:tl2br w:val="nil"/>
              <w:tr2bl w:val="nil"/>
            </w:tcBorders>
            <w:shd w:val="clear" w:color="auto" w:fill="auto"/>
            <w:vAlign w:val="center"/>
          </w:tcPr>
          <w:p w14:paraId="26C68DFD">
            <w:pPr>
              <w:widowControl/>
              <w:jc w:val="center"/>
              <w:rPr>
                <w:rFonts w:eastAsia="仿宋_GB2312"/>
                <w:kern w:val="0"/>
                <w:szCs w:val="21"/>
              </w:rPr>
            </w:pPr>
            <w:r>
              <w:rPr>
                <w:rFonts w:hint="eastAsia" w:eastAsia="仿宋_GB2312"/>
                <w:kern w:val="0"/>
                <w:szCs w:val="21"/>
              </w:rPr>
              <w:t>/</w:t>
            </w:r>
          </w:p>
        </w:tc>
        <w:tc>
          <w:tcPr>
            <w:tcW w:w="465" w:type="pct"/>
            <w:vMerge w:val="continue"/>
            <w:tcBorders>
              <w:tl2br w:val="nil"/>
              <w:tr2bl w:val="nil"/>
            </w:tcBorders>
            <w:vAlign w:val="center"/>
          </w:tcPr>
          <w:p w14:paraId="2A41E23A">
            <w:pPr>
              <w:widowControl/>
              <w:jc w:val="center"/>
              <w:rPr>
                <w:rFonts w:eastAsia="仿宋_GB2312"/>
                <w:kern w:val="0"/>
                <w:szCs w:val="21"/>
              </w:rPr>
            </w:pPr>
          </w:p>
        </w:tc>
        <w:tc>
          <w:tcPr>
            <w:tcW w:w="384" w:type="pct"/>
            <w:tcBorders>
              <w:tl2br w:val="nil"/>
              <w:tr2bl w:val="nil"/>
            </w:tcBorders>
            <w:shd w:val="clear" w:color="auto" w:fill="auto"/>
            <w:vAlign w:val="center"/>
          </w:tcPr>
          <w:p w14:paraId="3C909134">
            <w:pPr>
              <w:widowControl/>
              <w:jc w:val="center"/>
              <w:textAlignment w:val="center"/>
              <w:rPr>
                <w:rFonts w:eastAsia="仿宋_GB2312"/>
                <w:kern w:val="0"/>
                <w:szCs w:val="21"/>
              </w:rPr>
            </w:pPr>
            <w:r>
              <w:rPr>
                <w:b/>
                <w:bCs/>
                <w:kern w:val="0"/>
                <w:szCs w:val="21"/>
                <w:lang w:bidi="ar"/>
              </w:rPr>
              <w:t>HW04</w:t>
            </w:r>
          </w:p>
        </w:tc>
        <w:tc>
          <w:tcPr>
            <w:tcW w:w="1059" w:type="pct"/>
            <w:tcBorders>
              <w:tl2br w:val="nil"/>
              <w:tr2bl w:val="nil"/>
            </w:tcBorders>
            <w:shd w:val="clear" w:color="auto" w:fill="auto"/>
            <w:vAlign w:val="center"/>
          </w:tcPr>
          <w:p w14:paraId="111F5255">
            <w:pPr>
              <w:widowControl/>
              <w:jc w:val="center"/>
              <w:textAlignment w:val="center"/>
              <w:rPr>
                <w:rFonts w:eastAsia="仿宋_GB2312"/>
                <w:kern w:val="0"/>
                <w:szCs w:val="21"/>
              </w:rPr>
            </w:pPr>
            <w:r>
              <w:rPr>
                <w:b/>
                <w:bCs/>
                <w:kern w:val="0"/>
                <w:szCs w:val="21"/>
                <w:lang w:bidi="ar"/>
              </w:rPr>
              <w:t>263-008-04</w:t>
            </w:r>
          </w:p>
        </w:tc>
        <w:tc>
          <w:tcPr>
            <w:tcW w:w="423" w:type="pct"/>
            <w:vMerge w:val="continue"/>
            <w:tcBorders>
              <w:tl2br w:val="nil"/>
              <w:tr2bl w:val="nil"/>
            </w:tcBorders>
            <w:vAlign w:val="center"/>
          </w:tcPr>
          <w:p w14:paraId="79A64391">
            <w:pPr>
              <w:widowControl/>
              <w:jc w:val="center"/>
              <w:rPr>
                <w:rFonts w:eastAsia="仿宋_GB2312"/>
                <w:kern w:val="0"/>
                <w:szCs w:val="21"/>
              </w:rPr>
            </w:pPr>
          </w:p>
        </w:tc>
        <w:tc>
          <w:tcPr>
            <w:tcW w:w="605" w:type="pct"/>
            <w:vMerge w:val="continue"/>
            <w:tcBorders>
              <w:tl2br w:val="nil"/>
              <w:tr2bl w:val="nil"/>
            </w:tcBorders>
            <w:vAlign w:val="center"/>
          </w:tcPr>
          <w:p w14:paraId="7A7B16D2">
            <w:pPr>
              <w:widowControl/>
              <w:jc w:val="center"/>
              <w:rPr>
                <w:rFonts w:eastAsia="仿宋_GB2312"/>
                <w:kern w:val="0"/>
                <w:szCs w:val="21"/>
              </w:rPr>
            </w:pPr>
          </w:p>
        </w:tc>
      </w:tr>
      <w:tr w14:paraId="702F68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3" w:type="pct"/>
            <w:vMerge w:val="continue"/>
            <w:tcBorders>
              <w:tl2br w:val="nil"/>
              <w:tr2bl w:val="nil"/>
            </w:tcBorders>
            <w:vAlign w:val="center"/>
          </w:tcPr>
          <w:p w14:paraId="06B1E044">
            <w:pPr>
              <w:widowControl/>
              <w:jc w:val="center"/>
              <w:rPr>
                <w:rFonts w:eastAsia="仿宋_GB2312"/>
                <w:kern w:val="0"/>
                <w:szCs w:val="21"/>
              </w:rPr>
            </w:pPr>
          </w:p>
        </w:tc>
        <w:tc>
          <w:tcPr>
            <w:tcW w:w="372" w:type="pct"/>
            <w:vMerge w:val="continue"/>
            <w:tcBorders>
              <w:tl2br w:val="nil"/>
              <w:tr2bl w:val="nil"/>
            </w:tcBorders>
            <w:vAlign w:val="center"/>
          </w:tcPr>
          <w:p w14:paraId="70F55423">
            <w:pPr>
              <w:widowControl/>
              <w:jc w:val="center"/>
              <w:rPr>
                <w:rFonts w:eastAsia="仿宋_GB2312"/>
                <w:kern w:val="0"/>
                <w:szCs w:val="21"/>
              </w:rPr>
            </w:pPr>
          </w:p>
        </w:tc>
        <w:tc>
          <w:tcPr>
            <w:tcW w:w="394" w:type="pct"/>
            <w:tcBorders>
              <w:tl2br w:val="nil"/>
              <w:tr2bl w:val="nil"/>
            </w:tcBorders>
            <w:vAlign w:val="center"/>
          </w:tcPr>
          <w:p w14:paraId="0EA9AED7">
            <w:pPr>
              <w:widowControl/>
              <w:jc w:val="center"/>
              <w:rPr>
                <w:rFonts w:eastAsia="仿宋_GB2312"/>
                <w:kern w:val="0"/>
                <w:szCs w:val="21"/>
              </w:rPr>
            </w:pPr>
            <w:r>
              <w:rPr>
                <w:rFonts w:eastAsia="仿宋_GB2312"/>
                <w:kern w:val="0"/>
                <w:szCs w:val="21"/>
              </w:rPr>
              <w:t>HW06</w:t>
            </w:r>
          </w:p>
        </w:tc>
        <w:tc>
          <w:tcPr>
            <w:tcW w:w="1042" w:type="pct"/>
            <w:tcBorders>
              <w:tl2br w:val="nil"/>
              <w:tr2bl w:val="nil"/>
            </w:tcBorders>
            <w:vAlign w:val="center"/>
          </w:tcPr>
          <w:p w14:paraId="1EA525C8">
            <w:pPr>
              <w:widowControl/>
              <w:jc w:val="center"/>
              <w:rPr>
                <w:rFonts w:eastAsia="仿宋_GB2312"/>
                <w:kern w:val="0"/>
                <w:szCs w:val="21"/>
              </w:rPr>
            </w:pPr>
            <w:r>
              <w:rPr>
                <w:rFonts w:eastAsia="仿宋_GB2312"/>
                <w:kern w:val="0"/>
                <w:szCs w:val="21"/>
              </w:rPr>
              <w:t>900-402-06，900-404-06，900-407-06</w:t>
            </w:r>
          </w:p>
        </w:tc>
        <w:tc>
          <w:tcPr>
            <w:tcW w:w="465" w:type="pct"/>
            <w:vMerge w:val="continue"/>
            <w:tcBorders>
              <w:tl2br w:val="nil"/>
              <w:tr2bl w:val="nil"/>
            </w:tcBorders>
            <w:vAlign w:val="center"/>
          </w:tcPr>
          <w:p w14:paraId="40A71B8F">
            <w:pPr>
              <w:widowControl/>
              <w:jc w:val="center"/>
              <w:rPr>
                <w:rFonts w:eastAsia="仿宋_GB2312"/>
                <w:kern w:val="0"/>
                <w:szCs w:val="21"/>
              </w:rPr>
            </w:pPr>
          </w:p>
        </w:tc>
        <w:tc>
          <w:tcPr>
            <w:tcW w:w="384" w:type="pct"/>
            <w:tcBorders>
              <w:tl2br w:val="nil"/>
              <w:tr2bl w:val="nil"/>
            </w:tcBorders>
            <w:shd w:val="clear" w:color="auto" w:fill="auto"/>
            <w:vAlign w:val="center"/>
          </w:tcPr>
          <w:p w14:paraId="65D915BD">
            <w:pPr>
              <w:widowControl/>
              <w:jc w:val="center"/>
              <w:textAlignment w:val="center"/>
              <w:rPr>
                <w:rFonts w:eastAsia="仿宋_GB2312"/>
                <w:kern w:val="0"/>
                <w:szCs w:val="21"/>
              </w:rPr>
            </w:pPr>
            <w:r>
              <w:rPr>
                <w:kern w:val="0"/>
                <w:szCs w:val="21"/>
                <w:lang w:bidi="ar"/>
              </w:rPr>
              <w:t>HW06</w:t>
            </w:r>
          </w:p>
        </w:tc>
        <w:tc>
          <w:tcPr>
            <w:tcW w:w="1059" w:type="pct"/>
            <w:tcBorders>
              <w:tl2br w:val="nil"/>
              <w:tr2bl w:val="nil"/>
            </w:tcBorders>
            <w:shd w:val="clear" w:color="auto" w:fill="auto"/>
            <w:vAlign w:val="center"/>
          </w:tcPr>
          <w:p w14:paraId="5423D6DD">
            <w:pPr>
              <w:widowControl/>
              <w:jc w:val="center"/>
              <w:textAlignment w:val="center"/>
              <w:rPr>
                <w:rFonts w:eastAsia="仿宋_GB2312"/>
                <w:kern w:val="0"/>
                <w:szCs w:val="21"/>
              </w:rPr>
            </w:pPr>
            <w:r>
              <w:rPr>
                <w:kern w:val="0"/>
                <w:szCs w:val="21"/>
                <w:lang w:bidi="ar"/>
              </w:rPr>
              <w:t>900-402-06</w:t>
            </w:r>
            <w:r>
              <w:rPr>
                <w:rFonts w:ascii="仿宋_GB2312" w:eastAsia="仿宋_GB2312" w:cs="仿宋_GB2312"/>
                <w:kern w:val="0"/>
                <w:szCs w:val="21"/>
                <w:lang w:bidi="ar"/>
              </w:rPr>
              <w:t>，</w:t>
            </w:r>
            <w:r>
              <w:rPr>
                <w:kern w:val="0"/>
                <w:szCs w:val="21"/>
                <w:lang w:bidi="ar"/>
              </w:rPr>
              <w:t>900-404-06</w:t>
            </w:r>
            <w:r>
              <w:rPr>
                <w:rFonts w:ascii="仿宋_GB2312" w:eastAsia="仿宋_GB2312" w:cs="仿宋_GB2312"/>
                <w:kern w:val="0"/>
                <w:szCs w:val="21"/>
                <w:lang w:bidi="ar"/>
              </w:rPr>
              <w:t>，</w:t>
            </w:r>
            <w:r>
              <w:rPr>
                <w:kern w:val="0"/>
                <w:szCs w:val="21"/>
                <w:lang w:bidi="ar"/>
              </w:rPr>
              <w:t>900-407-06</w:t>
            </w:r>
          </w:p>
        </w:tc>
        <w:tc>
          <w:tcPr>
            <w:tcW w:w="423" w:type="pct"/>
            <w:vMerge w:val="continue"/>
            <w:tcBorders>
              <w:tl2br w:val="nil"/>
              <w:tr2bl w:val="nil"/>
            </w:tcBorders>
            <w:vAlign w:val="center"/>
          </w:tcPr>
          <w:p w14:paraId="7DF6C901">
            <w:pPr>
              <w:widowControl/>
              <w:jc w:val="center"/>
              <w:rPr>
                <w:rFonts w:eastAsia="仿宋_GB2312"/>
                <w:kern w:val="0"/>
                <w:szCs w:val="21"/>
              </w:rPr>
            </w:pPr>
          </w:p>
        </w:tc>
        <w:tc>
          <w:tcPr>
            <w:tcW w:w="605" w:type="pct"/>
            <w:vMerge w:val="continue"/>
            <w:tcBorders>
              <w:tl2br w:val="nil"/>
              <w:tr2bl w:val="nil"/>
            </w:tcBorders>
            <w:vAlign w:val="center"/>
          </w:tcPr>
          <w:p w14:paraId="7F8A1AB4">
            <w:pPr>
              <w:widowControl/>
              <w:jc w:val="center"/>
              <w:rPr>
                <w:rFonts w:eastAsia="仿宋_GB2312"/>
                <w:kern w:val="0"/>
                <w:szCs w:val="21"/>
              </w:rPr>
            </w:pPr>
          </w:p>
        </w:tc>
      </w:tr>
      <w:tr w14:paraId="03204E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3" w:type="pct"/>
            <w:vMerge w:val="continue"/>
            <w:tcBorders>
              <w:tl2br w:val="nil"/>
              <w:tr2bl w:val="nil"/>
            </w:tcBorders>
            <w:vAlign w:val="center"/>
          </w:tcPr>
          <w:p w14:paraId="65CC7D23">
            <w:pPr>
              <w:widowControl/>
              <w:jc w:val="center"/>
              <w:rPr>
                <w:rFonts w:eastAsia="仿宋_GB2312"/>
                <w:kern w:val="0"/>
                <w:szCs w:val="21"/>
              </w:rPr>
            </w:pPr>
          </w:p>
        </w:tc>
        <w:tc>
          <w:tcPr>
            <w:tcW w:w="372" w:type="pct"/>
            <w:vMerge w:val="continue"/>
            <w:tcBorders>
              <w:tl2br w:val="nil"/>
              <w:tr2bl w:val="nil"/>
            </w:tcBorders>
            <w:vAlign w:val="center"/>
          </w:tcPr>
          <w:p w14:paraId="70E99389">
            <w:pPr>
              <w:widowControl/>
              <w:jc w:val="center"/>
              <w:rPr>
                <w:rFonts w:eastAsia="仿宋_GB2312"/>
                <w:kern w:val="0"/>
                <w:szCs w:val="21"/>
              </w:rPr>
            </w:pPr>
          </w:p>
        </w:tc>
        <w:tc>
          <w:tcPr>
            <w:tcW w:w="394" w:type="pct"/>
            <w:tcBorders>
              <w:tl2br w:val="nil"/>
              <w:tr2bl w:val="nil"/>
            </w:tcBorders>
            <w:vAlign w:val="center"/>
          </w:tcPr>
          <w:p w14:paraId="4BCDD738">
            <w:pPr>
              <w:widowControl/>
              <w:jc w:val="center"/>
              <w:rPr>
                <w:rFonts w:eastAsia="仿宋_GB2312"/>
                <w:kern w:val="0"/>
                <w:szCs w:val="21"/>
              </w:rPr>
            </w:pPr>
            <w:r>
              <w:rPr>
                <w:rFonts w:eastAsia="仿宋_GB2312"/>
                <w:kern w:val="0"/>
                <w:szCs w:val="21"/>
              </w:rPr>
              <w:t>HW11</w:t>
            </w:r>
          </w:p>
        </w:tc>
        <w:tc>
          <w:tcPr>
            <w:tcW w:w="1042" w:type="pct"/>
            <w:tcBorders>
              <w:tl2br w:val="nil"/>
              <w:tr2bl w:val="nil"/>
            </w:tcBorders>
            <w:vAlign w:val="center"/>
          </w:tcPr>
          <w:p w14:paraId="32C66147">
            <w:pPr>
              <w:widowControl/>
              <w:jc w:val="center"/>
              <w:rPr>
                <w:rFonts w:eastAsia="仿宋_GB2312"/>
                <w:kern w:val="0"/>
                <w:szCs w:val="21"/>
              </w:rPr>
            </w:pPr>
            <w:r>
              <w:rPr>
                <w:rFonts w:eastAsia="仿宋_GB2312"/>
                <w:kern w:val="0"/>
                <w:szCs w:val="21"/>
              </w:rPr>
              <w:t>900-013-11，261-129-11，261-031-11，261-130-11</w:t>
            </w:r>
          </w:p>
        </w:tc>
        <w:tc>
          <w:tcPr>
            <w:tcW w:w="465" w:type="pct"/>
            <w:vMerge w:val="continue"/>
            <w:tcBorders>
              <w:tl2br w:val="nil"/>
              <w:tr2bl w:val="nil"/>
            </w:tcBorders>
            <w:vAlign w:val="center"/>
          </w:tcPr>
          <w:p w14:paraId="7F8EA3C6">
            <w:pPr>
              <w:widowControl/>
              <w:jc w:val="center"/>
              <w:rPr>
                <w:rFonts w:eastAsia="仿宋_GB2312"/>
                <w:kern w:val="0"/>
                <w:szCs w:val="21"/>
              </w:rPr>
            </w:pPr>
          </w:p>
        </w:tc>
        <w:tc>
          <w:tcPr>
            <w:tcW w:w="384" w:type="pct"/>
            <w:tcBorders>
              <w:tl2br w:val="nil"/>
              <w:tr2bl w:val="nil"/>
            </w:tcBorders>
            <w:shd w:val="clear" w:color="auto" w:fill="auto"/>
            <w:vAlign w:val="center"/>
          </w:tcPr>
          <w:p w14:paraId="1E2DF1F8">
            <w:pPr>
              <w:widowControl/>
              <w:jc w:val="center"/>
              <w:textAlignment w:val="center"/>
              <w:rPr>
                <w:rFonts w:eastAsia="仿宋_GB2312"/>
                <w:kern w:val="0"/>
                <w:szCs w:val="21"/>
              </w:rPr>
            </w:pPr>
            <w:r>
              <w:rPr>
                <w:kern w:val="0"/>
                <w:szCs w:val="21"/>
                <w:lang w:bidi="ar"/>
              </w:rPr>
              <w:t>HW11</w:t>
            </w:r>
          </w:p>
        </w:tc>
        <w:tc>
          <w:tcPr>
            <w:tcW w:w="1059" w:type="pct"/>
            <w:tcBorders>
              <w:tl2br w:val="nil"/>
              <w:tr2bl w:val="nil"/>
            </w:tcBorders>
            <w:shd w:val="clear" w:color="auto" w:fill="auto"/>
            <w:vAlign w:val="center"/>
          </w:tcPr>
          <w:p w14:paraId="63A8877D">
            <w:pPr>
              <w:widowControl/>
              <w:jc w:val="center"/>
              <w:textAlignment w:val="center"/>
              <w:rPr>
                <w:rFonts w:eastAsia="仿宋_GB2312"/>
                <w:kern w:val="0"/>
                <w:szCs w:val="21"/>
              </w:rPr>
            </w:pPr>
            <w:r>
              <w:rPr>
                <w:kern w:val="0"/>
                <w:szCs w:val="21"/>
                <w:lang w:bidi="ar"/>
              </w:rPr>
              <w:t>900-013-11</w:t>
            </w:r>
            <w:r>
              <w:rPr>
                <w:rFonts w:ascii="仿宋_GB2312" w:eastAsia="仿宋_GB2312" w:cs="仿宋_GB2312"/>
                <w:kern w:val="0"/>
                <w:szCs w:val="21"/>
                <w:lang w:bidi="ar"/>
              </w:rPr>
              <w:t>，</w:t>
            </w:r>
            <w:r>
              <w:rPr>
                <w:kern w:val="0"/>
                <w:szCs w:val="21"/>
                <w:lang w:bidi="ar"/>
              </w:rPr>
              <w:t>261-129-11</w:t>
            </w:r>
            <w:r>
              <w:rPr>
                <w:rFonts w:ascii="仿宋_GB2312" w:eastAsia="仿宋_GB2312" w:cs="仿宋_GB2312"/>
                <w:kern w:val="0"/>
                <w:szCs w:val="21"/>
                <w:lang w:bidi="ar"/>
              </w:rPr>
              <w:t>，</w:t>
            </w:r>
            <w:r>
              <w:rPr>
                <w:kern w:val="0"/>
                <w:szCs w:val="21"/>
                <w:lang w:bidi="ar"/>
              </w:rPr>
              <w:t>261-031-11</w:t>
            </w:r>
            <w:r>
              <w:rPr>
                <w:rFonts w:ascii="仿宋_GB2312" w:eastAsia="仿宋_GB2312" w:cs="仿宋_GB2312"/>
                <w:kern w:val="0"/>
                <w:szCs w:val="21"/>
                <w:lang w:bidi="ar"/>
              </w:rPr>
              <w:t>，</w:t>
            </w:r>
            <w:r>
              <w:rPr>
                <w:kern w:val="0"/>
                <w:szCs w:val="21"/>
                <w:lang w:bidi="ar"/>
              </w:rPr>
              <w:t>261-130-11</w:t>
            </w:r>
            <w:r>
              <w:rPr>
                <w:rFonts w:hint="eastAsia" w:ascii="宋体" w:hAnsi="宋体" w:cs="宋体"/>
                <w:kern w:val="0"/>
                <w:szCs w:val="21"/>
                <w:lang w:bidi="ar"/>
              </w:rPr>
              <w:t>，</w:t>
            </w:r>
            <w:r>
              <w:rPr>
                <w:b/>
                <w:bCs/>
                <w:kern w:val="0"/>
                <w:szCs w:val="21"/>
                <w:lang w:bidi="ar"/>
              </w:rPr>
              <w:t>261-012-11</w:t>
            </w:r>
            <w:r>
              <w:rPr>
                <w:rFonts w:hint="eastAsia" w:ascii="宋体" w:hAnsi="宋体" w:cs="宋体"/>
                <w:b/>
                <w:bCs/>
                <w:kern w:val="0"/>
                <w:szCs w:val="21"/>
                <w:lang w:bidi="ar"/>
              </w:rPr>
              <w:t>，</w:t>
            </w:r>
            <w:r>
              <w:rPr>
                <w:b/>
                <w:bCs/>
                <w:kern w:val="0"/>
                <w:szCs w:val="21"/>
                <w:lang w:bidi="ar"/>
              </w:rPr>
              <w:t>261-106-11</w:t>
            </w:r>
          </w:p>
        </w:tc>
        <w:tc>
          <w:tcPr>
            <w:tcW w:w="423" w:type="pct"/>
            <w:vMerge w:val="continue"/>
            <w:tcBorders>
              <w:tl2br w:val="nil"/>
              <w:tr2bl w:val="nil"/>
            </w:tcBorders>
            <w:vAlign w:val="center"/>
          </w:tcPr>
          <w:p w14:paraId="5362C2CA">
            <w:pPr>
              <w:widowControl/>
              <w:jc w:val="center"/>
              <w:rPr>
                <w:rFonts w:eastAsia="仿宋_GB2312"/>
                <w:kern w:val="0"/>
                <w:szCs w:val="21"/>
              </w:rPr>
            </w:pPr>
          </w:p>
        </w:tc>
        <w:tc>
          <w:tcPr>
            <w:tcW w:w="605" w:type="pct"/>
            <w:vMerge w:val="continue"/>
            <w:tcBorders>
              <w:tl2br w:val="nil"/>
              <w:tr2bl w:val="nil"/>
            </w:tcBorders>
            <w:vAlign w:val="center"/>
          </w:tcPr>
          <w:p w14:paraId="0ED7AD4E">
            <w:pPr>
              <w:widowControl/>
              <w:jc w:val="center"/>
              <w:rPr>
                <w:rFonts w:eastAsia="仿宋_GB2312"/>
                <w:kern w:val="0"/>
                <w:szCs w:val="21"/>
              </w:rPr>
            </w:pPr>
          </w:p>
        </w:tc>
      </w:tr>
      <w:tr w14:paraId="3571F2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3" w:type="pct"/>
            <w:vMerge w:val="continue"/>
            <w:tcBorders>
              <w:tl2br w:val="nil"/>
              <w:tr2bl w:val="nil"/>
            </w:tcBorders>
            <w:vAlign w:val="center"/>
          </w:tcPr>
          <w:p w14:paraId="0978CA54">
            <w:pPr>
              <w:widowControl/>
              <w:jc w:val="center"/>
              <w:rPr>
                <w:rFonts w:eastAsia="仿宋_GB2312"/>
                <w:kern w:val="0"/>
                <w:szCs w:val="21"/>
              </w:rPr>
            </w:pPr>
          </w:p>
        </w:tc>
        <w:tc>
          <w:tcPr>
            <w:tcW w:w="372" w:type="pct"/>
            <w:vMerge w:val="continue"/>
            <w:tcBorders>
              <w:tl2br w:val="nil"/>
              <w:tr2bl w:val="nil"/>
            </w:tcBorders>
            <w:vAlign w:val="center"/>
          </w:tcPr>
          <w:p w14:paraId="79F6B80E">
            <w:pPr>
              <w:widowControl/>
              <w:jc w:val="center"/>
              <w:rPr>
                <w:rFonts w:eastAsia="仿宋_GB2312"/>
                <w:kern w:val="0"/>
                <w:szCs w:val="21"/>
              </w:rPr>
            </w:pPr>
          </w:p>
        </w:tc>
        <w:tc>
          <w:tcPr>
            <w:tcW w:w="394" w:type="pct"/>
            <w:tcBorders>
              <w:tl2br w:val="nil"/>
              <w:tr2bl w:val="nil"/>
            </w:tcBorders>
            <w:vAlign w:val="center"/>
          </w:tcPr>
          <w:p w14:paraId="08FFE31F">
            <w:pPr>
              <w:widowControl/>
              <w:jc w:val="center"/>
              <w:rPr>
                <w:rFonts w:eastAsia="仿宋_GB2312"/>
                <w:kern w:val="0"/>
                <w:szCs w:val="21"/>
              </w:rPr>
            </w:pPr>
            <w:r>
              <w:rPr>
                <w:rFonts w:eastAsia="仿宋_GB2312"/>
                <w:kern w:val="0"/>
                <w:szCs w:val="21"/>
              </w:rPr>
              <w:t>HW13</w:t>
            </w:r>
          </w:p>
        </w:tc>
        <w:tc>
          <w:tcPr>
            <w:tcW w:w="1042" w:type="pct"/>
            <w:tcBorders>
              <w:tl2br w:val="nil"/>
              <w:tr2bl w:val="nil"/>
            </w:tcBorders>
            <w:vAlign w:val="center"/>
          </w:tcPr>
          <w:p w14:paraId="5BB8D222">
            <w:pPr>
              <w:widowControl/>
              <w:jc w:val="center"/>
              <w:rPr>
                <w:rFonts w:eastAsia="仿宋_GB2312"/>
                <w:kern w:val="0"/>
                <w:szCs w:val="21"/>
              </w:rPr>
            </w:pPr>
            <w:r>
              <w:rPr>
                <w:rFonts w:eastAsia="仿宋_GB2312"/>
                <w:kern w:val="0"/>
                <w:szCs w:val="21"/>
              </w:rPr>
              <w:t>265-102-13，265-103-13，265-101-13</w:t>
            </w:r>
          </w:p>
        </w:tc>
        <w:tc>
          <w:tcPr>
            <w:tcW w:w="465" w:type="pct"/>
            <w:vMerge w:val="continue"/>
            <w:tcBorders>
              <w:tl2br w:val="nil"/>
              <w:tr2bl w:val="nil"/>
            </w:tcBorders>
            <w:vAlign w:val="center"/>
          </w:tcPr>
          <w:p w14:paraId="5C625331">
            <w:pPr>
              <w:widowControl/>
              <w:jc w:val="center"/>
              <w:rPr>
                <w:rFonts w:eastAsia="仿宋_GB2312"/>
                <w:kern w:val="0"/>
                <w:szCs w:val="21"/>
              </w:rPr>
            </w:pPr>
          </w:p>
        </w:tc>
        <w:tc>
          <w:tcPr>
            <w:tcW w:w="384" w:type="pct"/>
            <w:tcBorders>
              <w:tl2br w:val="nil"/>
              <w:tr2bl w:val="nil"/>
            </w:tcBorders>
            <w:shd w:val="clear" w:color="auto" w:fill="auto"/>
            <w:vAlign w:val="center"/>
          </w:tcPr>
          <w:p w14:paraId="431E6DC5">
            <w:pPr>
              <w:widowControl/>
              <w:jc w:val="center"/>
              <w:textAlignment w:val="center"/>
              <w:rPr>
                <w:rFonts w:eastAsia="仿宋_GB2312"/>
                <w:kern w:val="0"/>
                <w:szCs w:val="21"/>
              </w:rPr>
            </w:pPr>
            <w:r>
              <w:rPr>
                <w:kern w:val="0"/>
                <w:szCs w:val="21"/>
                <w:lang w:bidi="ar"/>
              </w:rPr>
              <w:t>HW13</w:t>
            </w:r>
          </w:p>
        </w:tc>
        <w:tc>
          <w:tcPr>
            <w:tcW w:w="1059" w:type="pct"/>
            <w:tcBorders>
              <w:tl2br w:val="nil"/>
              <w:tr2bl w:val="nil"/>
            </w:tcBorders>
            <w:shd w:val="clear" w:color="auto" w:fill="auto"/>
            <w:vAlign w:val="center"/>
          </w:tcPr>
          <w:p w14:paraId="0165F8C9">
            <w:pPr>
              <w:widowControl/>
              <w:jc w:val="center"/>
              <w:textAlignment w:val="center"/>
              <w:rPr>
                <w:rFonts w:eastAsia="仿宋_GB2312"/>
                <w:kern w:val="0"/>
                <w:szCs w:val="21"/>
              </w:rPr>
            </w:pPr>
            <w:r>
              <w:rPr>
                <w:kern w:val="0"/>
                <w:szCs w:val="21"/>
                <w:lang w:bidi="ar"/>
              </w:rPr>
              <w:t>265-102-13</w:t>
            </w:r>
            <w:r>
              <w:rPr>
                <w:rFonts w:ascii="仿宋_GB2312" w:eastAsia="仿宋_GB2312" w:cs="仿宋_GB2312"/>
                <w:kern w:val="0"/>
                <w:szCs w:val="21"/>
                <w:lang w:bidi="ar"/>
              </w:rPr>
              <w:t>，</w:t>
            </w:r>
            <w:r>
              <w:rPr>
                <w:kern w:val="0"/>
                <w:szCs w:val="21"/>
                <w:lang w:bidi="ar"/>
              </w:rPr>
              <w:t>265-103-13</w:t>
            </w:r>
            <w:r>
              <w:rPr>
                <w:rFonts w:ascii="仿宋_GB2312" w:eastAsia="仿宋_GB2312" w:cs="仿宋_GB2312"/>
                <w:kern w:val="0"/>
                <w:szCs w:val="21"/>
                <w:lang w:bidi="ar"/>
              </w:rPr>
              <w:t>，</w:t>
            </w:r>
            <w:r>
              <w:rPr>
                <w:kern w:val="0"/>
                <w:szCs w:val="21"/>
                <w:lang w:bidi="ar"/>
              </w:rPr>
              <w:t>265-101-13</w:t>
            </w:r>
          </w:p>
        </w:tc>
        <w:tc>
          <w:tcPr>
            <w:tcW w:w="423" w:type="pct"/>
            <w:vMerge w:val="continue"/>
            <w:tcBorders>
              <w:tl2br w:val="nil"/>
              <w:tr2bl w:val="nil"/>
            </w:tcBorders>
            <w:vAlign w:val="center"/>
          </w:tcPr>
          <w:p w14:paraId="4005DECF">
            <w:pPr>
              <w:widowControl/>
              <w:jc w:val="center"/>
              <w:rPr>
                <w:rFonts w:eastAsia="仿宋_GB2312"/>
                <w:kern w:val="0"/>
                <w:szCs w:val="21"/>
              </w:rPr>
            </w:pPr>
          </w:p>
        </w:tc>
        <w:tc>
          <w:tcPr>
            <w:tcW w:w="605" w:type="pct"/>
            <w:vMerge w:val="continue"/>
            <w:tcBorders>
              <w:tl2br w:val="nil"/>
              <w:tr2bl w:val="nil"/>
            </w:tcBorders>
            <w:vAlign w:val="center"/>
          </w:tcPr>
          <w:p w14:paraId="3C416FFC">
            <w:pPr>
              <w:widowControl/>
              <w:jc w:val="center"/>
              <w:rPr>
                <w:rFonts w:eastAsia="仿宋_GB2312"/>
                <w:kern w:val="0"/>
                <w:szCs w:val="21"/>
              </w:rPr>
            </w:pPr>
          </w:p>
        </w:tc>
      </w:tr>
      <w:tr w14:paraId="73AE29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3" w:type="pct"/>
            <w:vMerge w:val="restart"/>
            <w:tcBorders>
              <w:tl2br w:val="nil"/>
              <w:tr2bl w:val="nil"/>
            </w:tcBorders>
            <w:vAlign w:val="center"/>
          </w:tcPr>
          <w:p w14:paraId="6F61F4A9">
            <w:pPr>
              <w:widowControl/>
              <w:jc w:val="center"/>
              <w:rPr>
                <w:rFonts w:eastAsia="仿宋_GB2312"/>
                <w:kern w:val="0"/>
                <w:szCs w:val="21"/>
              </w:rPr>
            </w:pPr>
            <w:r>
              <w:rPr>
                <w:rFonts w:eastAsia="仿宋_GB2312"/>
                <w:kern w:val="0"/>
                <w:szCs w:val="21"/>
              </w:rPr>
              <w:t>20</w:t>
            </w:r>
          </w:p>
        </w:tc>
        <w:tc>
          <w:tcPr>
            <w:tcW w:w="372" w:type="pct"/>
            <w:vMerge w:val="restart"/>
            <w:tcBorders>
              <w:tl2br w:val="nil"/>
              <w:tr2bl w:val="nil"/>
            </w:tcBorders>
            <w:vAlign w:val="center"/>
          </w:tcPr>
          <w:p w14:paraId="1BF3E518">
            <w:pPr>
              <w:widowControl/>
              <w:jc w:val="center"/>
              <w:rPr>
                <w:rFonts w:eastAsia="仿宋_GB2312"/>
                <w:kern w:val="0"/>
                <w:szCs w:val="21"/>
              </w:rPr>
            </w:pPr>
            <w:r>
              <w:rPr>
                <w:rFonts w:eastAsia="仿宋_GB2312"/>
                <w:kern w:val="0"/>
                <w:szCs w:val="21"/>
              </w:rPr>
              <w:t>环己烷废液</w:t>
            </w:r>
          </w:p>
        </w:tc>
        <w:tc>
          <w:tcPr>
            <w:tcW w:w="394" w:type="pct"/>
            <w:tcBorders>
              <w:tl2br w:val="nil"/>
              <w:tr2bl w:val="nil"/>
            </w:tcBorders>
            <w:vAlign w:val="center"/>
          </w:tcPr>
          <w:p w14:paraId="76A87A32">
            <w:pPr>
              <w:widowControl/>
              <w:jc w:val="center"/>
              <w:rPr>
                <w:rFonts w:eastAsia="仿宋_GB2312"/>
                <w:kern w:val="0"/>
                <w:szCs w:val="21"/>
                <w:highlight w:val="yellow"/>
              </w:rPr>
            </w:pPr>
            <w:r>
              <w:rPr>
                <w:rFonts w:eastAsia="仿宋_GB2312"/>
                <w:kern w:val="0"/>
                <w:szCs w:val="21"/>
              </w:rPr>
              <w:t>HW06</w:t>
            </w:r>
          </w:p>
        </w:tc>
        <w:tc>
          <w:tcPr>
            <w:tcW w:w="1042" w:type="pct"/>
            <w:tcBorders>
              <w:tl2br w:val="nil"/>
              <w:tr2bl w:val="nil"/>
            </w:tcBorders>
            <w:vAlign w:val="center"/>
          </w:tcPr>
          <w:p w14:paraId="3864BE02">
            <w:pPr>
              <w:widowControl/>
              <w:jc w:val="center"/>
              <w:rPr>
                <w:rFonts w:eastAsia="仿宋_GB2312"/>
                <w:kern w:val="0"/>
                <w:szCs w:val="21"/>
              </w:rPr>
            </w:pPr>
            <w:r>
              <w:rPr>
                <w:rFonts w:eastAsia="仿宋_GB2312"/>
                <w:kern w:val="0"/>
                <w:szCs w:val="21"/>
              </w:rPr>
              <w:t>900-402-06，900-404-06</w:t>
            </w:r>
          </w:p>
          <w:p w14:paraId="0BDA37A9">
            <w:pPr>
              <w:widowControl/>
              <w:jc w:val="center"/>
              <w:rPr>
                <w:rFonts w:eastAsia="仿宋_GB2312"/>
                <w:kern w:val="0"/>
                <w:szCs w:val="21"/>
                <w:highlight w:val="yellow"/>
              </w:rPr>
            </w:pPr>
            <w:r>
              <w:rPr>
                <w:rFonts w:eastAsia="仿宋_GB2312"/>
                <w:kern w:val="0"/>
                <w:szCs w:val="21"/>
              </w:rPr>
              <w:t>900-40</w:t>
            </w:r>
            <w:r>
              <w:rPr>
                <w:rFonts w:hint="eastAsia" w:eastAsia="仿宋_GB2312"/>
                <w:kern w:val="0"/>
                <w:szCs w:val="21"/>
              </w:rPr>
              <w:t>7</w:t>
            </w:r>
            <w:r>
              <w:rPr>
                <w:rFonts w:eastAsia="仿宋_GB2312"/>
                <w:kern w:val="0"/>
                <w:szCs w:val="21"/>
              </w:rPr>
              <w:t>-06</w:t>
            </w:r>
          </w:p>
        </w:tc>
        <w:tc>
          <w:tcPr>
            <w:tcW w:w="465" w:type="pct"/>
            <w:vMerge w:val="restart"/>
            <w:tcBorders>
              <w:tl2br w:val="nil"/>
              <w:tr2bl w:val="nil"/>
            </w:tcBorders>
            <w:vAlign w:val="center"/>
          </w:tcPr>
          <w:p w14:paraId="4D95F535">
            <w:pPr>
              <w:widowControl/>
              <w:jc w:val="center"/>
              <w:rPr>
                <w:rFonts w:eastAsia="仿宋_GB2312"/>
                <w:kern w:val="0"/>
                <w:szCs w:val="21"/>
              </w:rPr>
            </w:pPr>
            <w:r>
              <w:rPr>
                <w:rFonts w:eastAsia="仿宋_GB2312"/>
                <w:kern w:val="0"/>
                <w:szCs w:val="21"/>
              </w:rPr>
              <w:t>1000</w:t>
            </w:r>
          </w:p>
        </w:tc>
        <w:tc>
          <w:tcPr>
            <w:tcW w:w="384" w:type="pct"/>
            <w:tcBorders>
              <w:tl2br w:val="nil"/>
              <w:tr2bl w:val="nil"/>
            </w:tcBorders>
            <w:shd w:val="clear" w:color="auto" w:fill="auto"/>
            <w:vAlign w:val="center"/>
          </w:tcPr>
          <w:p w14:paraId="0CECCF8B">
            <w:pPr>
              <w:widowControl/>
              <w:jc w:val="center"/>
              <w:textAlignment w:val="center"/>
              <w:rPr>
                <w:rFonts w:eastAsia="仿宋_GB2312"/>
                <w:kern w:val="0"/>
                <w:szCs w:val="21"/>
                <w:highlight w:val="yellow"/>
              </w:rPr>
            </w:pPr>
            <w:r>
              <w:rPr>
                <w:kern w:val="0"/>
                <w:szCs w:val="21"/>
                <w:lang w:bidi="ar"/>
              </w:rPr>
              <w:t>HW06</w:t>
            </w:r>
          </w:p>
        </w:tc>
        <w:tc>
          <w:tcPr>
            <w:tcW w:w="1059" w:type="pct"/>
            <w:tcBorders>
              <w:tl2br w:val="nil"/>
              <w:tr2bl w:val="nil"/>
            </w:tcBorders>
            <w:shd w:val="clear" w:color="auto" w:fill="auto"/>
            <w:vAlign w:val="center"/>
          </w:tcPr>
          <w:p w14:paraId="73E2C070">
            <w:pPr>
              <w:widowControl/>
              <w:jc w:val="center"/>
              <w:textAlignment w:val="center"/>
              <w:rPr>
                <w:rFonts w:eastAsia="仿宋_GB2312"/>
                <w:kern w:val="0"/>
                <w:szCs w:val="21"/>
                <w:highlight w:val="yellow"/>
              </w:rPr>
            </w:pPr>
            <w:r>
              <w:rPr>
                <w:kern w:val="0"/>
                <w:szCs w:val="21"/>
                <w:lang w:bidi="ar"/>
              </w:rPr>
              <w:t>900-402-06</w:t>
            </w:r>
            <w:r>
              <w:rPr>
                <w:rFonts w:ascii="仿宋_GB2312" w:eastAsia="仿宋_GB2312" w:cs="仿宋_GB2312"/>
                <w:kern w:val="0"/>
                <w:szCs w:val="21"/>
                <w:lang w:bidi="ar"/>
              </w:rPr>
              <w:t>，</w:t>
            </w:r>
            <w:r>
              <w:rPr>
                <w:kern w:val="0"/>
                <w:szCs w:val="21"/>
                <w:lang w:bidi="ar"/>
              </w:rPr>
              <w:t>900-404-06</w:t>
            </w:r>
            <w:r>
              <w:rPr>
                <w:rFonts w:hint="eastAsia" w:ascii="宋体" w:hAnsi="宋体" w:cs="宋体"/>
                <w:kern w:val="0"/>
                <w:szCs w:val="21"/>
                <w:lang w:bidi="ar"/>
              </w:rPr>
              <w:t>，</w:t>
            </w:r>
            <w:r>
              <w:rPr>
                <w:kern w:val="0"/>
                <w:szCs w:val="21"/>
                <w:lang w:bidi="ar"/>
              </w:rPr>
              <w:t>900-407-06</w:t>
            </w:r>
          </w:p>
        </w:tc>
        <w:tc>
          <w:tcPr>
            <w:tcW w:w="423" w:type="pct"/>
            <w:vMerge w:val="restart"/>
            <w:tcBorders>
              <w:tl2br w:val="nil"/>
              <w:tr2bl w:val="nil"/>
            </w:tcBorders>
            <w:vAlign w:val="center"/>
          </w:tcPr>
          <w:p w14:paraId="5CFD8AB0">
            <w:pPr>
              <w:widowControl/>
              <w:jc w:val="center"/>
              <w:rPr>
                <w:rFonts w:eastAsia="仿宋_GB2312"/>
                <w:kern w:val="0"/>
                <w:szCs w:val="21"/>
              </w:rPr>
            </w:pPr>
            <w:r>
              <w:rPr>
                <w:rFonts w:hint="eastAsia" w:eastAsia="仿宋_GB2312"/>
                <w:kern w:val="0"/>
                <w:szCs w:val="21"/>
                <w:lang w:val="en-US" w:eastAsia="zh-CN"/>
              </w:rPr>
              <w:t>2</w:t>
            </w:r>
            <w:r>
              <w:rPr>
                <w:rFonts w:hint="eastAsia" w:eastAsia="仿宋_GB2312"/>
                <w:kern w:val="0"/>
                <w:szCs w:val="21"/>
              </w:rPr>
              <w:t>000</w:t>
            </w:r>
          </w:p>
        </w:tc>
        <w:tc>
          <w:tcPr>
            <w:tcW w:w="605" w:type="pct"/>
            <w:vMerge w:val="restart"/>
            <w:tcBorders>
              <w:tl2br w:val="nil"/>
              <w:tr2bl w:val="nil"/>
            </w:tcBorders>
            <w:vAlign w:val="center"/>
          </w:tcPr>
          <w:p w14:paraId="05BE617A">
            <w:pPr>
              <w:widowControl/>
              <w:jc w:val="center"/>
              <w:rPr>
                <w:rFonts w:eastAsia="仿宋_GB2312"/>
                <w:kern w:val="0"/>
                <w:szCs w:val="21"/>
              </w:rPr>
            </w:pPr>
            <w:r>
              <w:rPr>
                <w:rFonts w:eastAsia="仿宋_GB2312"/>
                <w:bCs/>
              </w:rPr>
              <w:t>回收综合利用量</w:t>
            </w:r>
            <w:r>
              <w:rPr>
                <w:rFonts w:hint="eastAsia" w:eastAsia="仿宋_GB2312"/>
                <w:bCs/>
              </w:rPr>
              <w:t>不变</w:t>
            </w:r>
            <w:r>
              <w:rPr>
                <w:rFonts w:eastAsia="仿宋_GB2312"/>
                <w:bCs/>
              </w:rPr>
              <w:t>，危废代码增加</w:t>
            </w:r>
          </w:p>
        </w:tc>
      </w:tr>
      <w:tr w14:paraId="1EA322F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3" w:type="pct"/>
            <w:vMerge w:val="continue"/>
            <w:tcBorders>
              <w:tl2br w:val="nil"/>
              <w:tr2bl w:val="nil"/>
            </w:tcBorders>
            <w:vAlign w:val="center"/>
          </w:tcPr>
          <w:p w14:paraId="7B6CF6CF">
            <w:pPr>
              <w:widowControl/>
              <w:jc w:val="center"/>
              <w:rPr>
                <w:rFonts w:eastAsia="仿宋_GB2312"/>
                <w:kern w:val="0"/>
                <w:szCs w:val="21"/>
              </w:rPr>
            </w:pPr>
          </w:p>
        </w:tc>
        <w:tc>
          <w:tcPr>
            <w:tcW w:w="372" w:type="pct"/>
            <w:vMerge w:val="continue"/>
            <w:tcBorders>
              <w:tl2br w:val="nil"/>
              <w:tr2bl w:val="nil"/>
            </w:tcBorders>
            <w:vAlign w:val="center"/>
          </w:tcPr>
          <w:p w14:paraId="1E454DF9">
            <w:pPr>
              <w:widowControl/>
              <w:jc w:val="center"/>
              <w:rPr>
                <w:rFonts w:eastAsia="仿宋_GB2312"/>
                <w:kern w:val="0"/>
                <w:szCs w:val="21"/>
              </w:rPr>
            </w:pPr>
          </w:p>
        </w:tc>
        <w:tc>
          <w:tcPr>
            <w:tcW w:w="394" w:type="pct"/>
            <w:tcBorders>
              <w:tl2br w:val="nil"/>
              <w:tr2bl w:val="nil"/>
            </w:tcBorders>
            <w:vAlign w:val="center"/>
          </w:tcPr>
          <w:p w14:paraId="63CD1D26">
            <w:pPr>
              <w:widowControl/>
              <w:jc w:val="center"/>
              <w:rPr>
                <w:rFonts w:eastAsia="仿宋_GB2312"/>
                <w:kern w:val="0"/>
                <w:szCs w:val="21"/>
                <w:highlight w:val="yellow"/>
              </w:rPr>
            </w:pPr>
            <w:r>
              <w:rPr>
                <w:rFonts w:eastAsia="仿宋_GB2312"/>
                <w:kern w:val="0"/>
                <w:szCs w:val="21"/>
              </w:rPr>
              <w:t>HW11</w:t>
            </w:r>
          </w:p>
        </w:tc>
        <w:tc>
          <w:tcPr>
            <w:tcW w:w="1042" w:type="pct"/>
            <w:tcBorders>
              <w:tl2br w:val="nil"/>
              <w:tr2bl w:val="nil"/>
            </w:tcBorders>
            <w:vAlign w:val="center"/>
          </w:tcPr>
          <w:p w14:paraId="4EE436E3">
            <w:pPr>
              <w:widowControl/>
              <w:jc w:val="center"/>
              <w:rPr>
                <w:rFonts w:eastAsia="仿宋_GB2312"/>
                <w:kern w:val="0"/>
                <w:szCs w:val="21"/>
                <w:highlight w:val="yellow"/>
              </w:rPr>
            </w:pPr>
            <w:r>
              <w:rPr>
                <w:rFonts w:eastAsia="仿宋_GB2312"/>
                <w:kern w:val="0"/>
                <w:szCs w:val="21"/>
              </w:rPr>
              <w:t>900-013-11，261-128-11，261-129-11，261-130-11，261-013-11，261-031-11</w:t>
            </w:r>
          </w:p>
        </w:tc>
        <w:tc>
          <w:tcPr>
            <w:tcW w:w="465" w:type="pct"/>
            <w:vMerge w:val="continue"/>
            <w:tcBorders>
              <w:tl2br w:val="nil"/>
              <w:tr2bl w:val="nil"/>
            </w:tcBorders>
            <w:vAlign w:val="center"/>
          </w:tcPr>
          <w:p w14:paraId="241A7483">
            <w:pPr>
              <w:widowControl/>
              <w:jc w:val="center"/>
              <w:rPr>
                <w:rFonts w:eastAsia="仿宋_GB2312"/>
                <w:kern w:val="0"/>
                <w:szCs w:val="21"/>
              </w:rPr>
            </w:pPr>
          </w:p>
        </w:tc>
        <w:tc>
          <w:tcPr>
            <w:tcW w:w="384" w:type="pct"/>
            <w:tcBorders>
              <w:tl2br w:val="nil"/>
              <w:tr2bl w:val="nil"/>
            </w:tcBorders>
            <w:shd w:val="clear" w:color="auto" w:fill="auto"/>
            <w:vAlign w:val="center"/>
          </w:tcPr>
          <w:p w14:paraId="25F49B76">
            <w:pPr>
              <w:widowControl/>
              <w:jc w:val="center"/>
              <w:textAlignment w:val="center"/>
              <w:rPr>
                <w:rFonts w:eastAsia="仿宋_GB2312"/>
                <w:kern w:val="0"/>
                <w:szCs w:val="21"/>
                <w:highlight w:val="yellow"/>
              </w:rPr>
            </w:pPr>
            <w:r>
              <w:rPr>
                <w:b/>
                <w:bCs/>
                <w:kern w:val="0"/>
                <w:szCs w:val="21"/>
                <w:lang w:bidi="ar"/>
              </w:rPr>
              <w:t>HW11</w:t>
            </w:r>
          </w:p>
        </w:tc>
        <w:tc>
          <w:tcPr>
            <w:tcW w:w="1059" w:type="pct"/>
            <w:tcBorders>
              <w:tl2br w:val="nil"/>
              <w:tr2bl w:val="nil"/>
            </w:tcBorders>
            <w:shd w:val="clear" w:color="auto" w:fill="auto"/>
            <w:vAlign w:val="center"/>
          </w:tcPr>
          <w:p w14:paraId="33FCB77D">
            <w:pPr>
              <w:widowControl/>
              <w:jc w:val="center"/>
              <w:textAlignment w:val="center"/>
              <w:rPr>
                <w:rFonts w:eastAsia="仿宋_GB2312"/>
                <w:kern w:val="0"/>
                <w:szCs w:val="21"/>
                <w:highlight w:val="yellow"/>
              </w:rPr>
            </w:pPr>
            <w:r>
              <w:rPr>
                <w:kern w:val="0"/>
                <w:szCs w:val="21"/>
                <w:lang w:bidi="ar"/>
              </w:rPr>
              <w:t>900-013-11</w:t>
            </w:r>
            <w:r>
              <w:rPr>
                <w:rFonts w:hint="eastAsia" w:ascii="宋体" w:hAnsi="宋体" w:cs="宋体"/>
                <w:kern w:val="0"/>
                <w:szCs w:val="21"/>
                <w:lang w:bidi="ar"/>
              </w:rPr>
              <w:t>，</w:t>
            </w:r>
            <w:r>
              <w:rPr>
                <w:b/>
                <w:bCs/>
                <w:kern w:val="0"/>
                <w:szCs w:val="21"/>
                <w:lang w:bidi="ar"/>
              </w:rPr>
              <w:t>251-013-11</w:t>
            </w:r>
            <w:r>
              <w:rPr>
                <w:rFonts w:hint="eastAsia" w:ascii="宋体" w:hAnsi="宋体" w:cs="宋体"/>
                <w:b/>
                <w:bCs/>
                <w:kern w:val="0"/>
                <w:szCs w:val="21"/>
                <w:lang w:bidi="ar"/>
              </w:rPr>
              <w:t>，</w:t>
            </w:r>
            <w:r>
              <w:rPr>
                <w:b/>
                <w:bCs/>
                <w:kern w:val="0"/>
                <w:szCs w:val="21"/>
                <w:lang w:bidi="ar"/>
              </w:rPr>
              <w:t>252-002-11</w:t>
            </w:r>
            <w:r>
              <w:rPr>
                <w:rFonts w:hint="eastAsia" w:ascii="宋体" w:hAnsi="宋体" w:cs="宋体"/>
                <w:b/>
                <w:bCs/>
                <w:kern w:val="0"/>
                <w:szCs w:val="21"/>
                <w:lang w:bidi="ar"/>
              </w:rPr>
              <w:t>，</w:t>
            </w:r>
            <w:r>
              <w:rPr>
                <w:b/>
                <w:bCs/>
                <w:kern w:val="0"/>
                <w:szCs w:val="21"/>
                <w:lang w:bidi="ar"/>
              </w:rPr>
              <w:t>252-004-11</w:t>
            </w:r>
            <w:r>
              <w:rPr>
                <w:rFonts w:hint="eastAsia" w:ascii="宋体" w:hAnsi="宋体" w:cs="宋体"/>
                <w:b/>
                <w:bCs/>
                <w:kern w:val="0"/>
                <w:szCs w:val="21"/>
                <w:lang w:bidi="ar"/>
              </w:rPr>
              <w:t>，</w:t>
            </w:r>
            <w:r>
              <w:rPr>
                <w:b/>
                <w:bCs/>
                <w:kern w:val="0"/>
                <w:szCs w:val="21"/>
                <w:lang w:bidi="ar"/>
              </w:rPr>
              <w:t>252-011-11</w:t>
            </w:r>
            <w:r>
              <w:rPr>
                <w:rFonts w:hint="eastAsia" w:ascii="宋体" w:hAnsi="宋体" w:cs="宋体"/>
                <w:b/>
                <w:bCs/>
                <w:kern w:val="0"/>
                <w:szCs w:val="21"/>
                <w:lang w:bidi="ar"/>
              </w:rPr>
              <w:t>，</w:t>
            </w:r>
            <w:r>
              <w:rPr>
                <w:b/>
                <w:bCs/>
                <w:kern w:val="0"/>
                <w:szCs w:val="21"/>
                <w:lang w:bidi="ar"/>
              </w:rPr>
              <w:t>252-016-11</w:t>
            </w:r>
            <w:r>
              <w:rPr>
                <w:rFonts w:hint="eastAsia" w:ascii="宋体" w:hAnsi="宋体" w:cs="宋体"/>
                <w:b/>
                <w:bCs/>
                <w:kern w:val="0"/>
                <w:szCs w:val="21"/>
                <w:lang w:bidi="ar"/>
              </w:rPr>
              <w:t>，</w:t>
            </w:r>
            <w:r>
              <w:rPr>
                <w:b/>
                <w:bCs/>
                <w:kern w:val="0"/>
                <w:szCs w:val="21"/>
                <w:lang w:bidi="ar"/>
              </w:rPr>
              <w:t>261-012-11</w:t>
            </w:r>
            <w:r>
              <w:rPr>
                <w:rFonts w:hint="eastAsia" w:ascii="宋体" w:hAnsi="宋体" w:cs="宋体"/>
                <w:b/>
                <w:bCs/>
                <w:kern w:val="0"/>
                <w:szCs w:val="21"/>
                <w:lang w:bidi="ar"/>
              </w:rPr>
              <w:t>，</w:t>
            </w:r>
            <w:r>
              <w:rPr>
                <w:kern w:val="0"/>
                <w:szCs w:val="21"/>
                <w:lang w:bidi="ar"/>
              </w:rPr>
              <w:t>261-013-11</w:t>
            </w:r>
            <w:r>
              <w:rPr>
                <w:rFonts w:hint="eastAsia" w:ascii="宋体" w:hAnsi="宋体" w:cs="宋体"/>
                <w:kern w:val="0"/>
                <w:szCs w:val="21"/>
                <w:lang w:bidi="ar"/>
              </w:rPr>
              <w:t>，</w:t>
            </w:r>
            <w:r>
              <w:rPr>
                <w:b/>
                <w:bCs/>
                <w:kern w:val="0"/>
                <w:szCs w:val="21"/>
                <w:lang w:bidi="ar"/>
              </w:rPr>
              <w:t>261-015-11</w:t>
            </w:r>
            <w:r>
              <w:rPr>
                <w:rFonts w:hint="eastAsia" w:ascii="宋体" w:hAnsi="宋体" w:cs="宋体"/>
                <w:b/>
                <w:bCs/>
                <w:kern w:val="0"/>
                <w:szCs w:val="21"/>
                <w:lang w:bidi="ar"/>
              </w:rPr>
              <w:t>，</w:t>
            </w:r>
            <w:r>
              <w:rPr>
                <w:kern w:val="0"/>
                <w:szCs w:val="21"/>
                <w:lang w:bidi="ar"/>
              </w:rPr>
              <w:t>261-031-11</w:t>
            </w:r>
            <w:r>
              <w:rPr>
                <w:rFonts w:hint="eastAsia" w:ascii="宋体" w:hAnsi="宋体" w:cs="宋体"/>
                <w:kern w:val="0"/>
                <w:szCs w:val="21"/>
                <w:lang w:bidi="ar"/>
              </w:rPr>
              <w:t>，</w:t>
            </w:r>
            <w:r>
              <w:rPr>
                <w:b/>
                <w:bCs/>
                <w:kern w:val="0"/>
                <w:szCs w:val="21"/>
                <w:lang w:bidi="ar"/>
              </w:rPr>
              <w:t>261-106-11</w:t>
            </w:r>
            <w:r>
              <w:rPr>
                <w:rFonts w:hint="eastAsia" w:ascii="宋体" w:hAnsi="宋体" w:cs="宋体"/>
                <w:b/>
                <w:bCs/>
                <w:kern w:val="0"/>
                <w:szCs w:val="21"/>
                <w:lang w:bidi="ar"/>
              </w:rPr>
              <w:t>，</w:t>
            </w:r>
            <w:r>
              <w:rPr>
                <w:kern w:val="0"/>
                <w:szCs w:val="21"/>
                <w:lang w:bidi="ar"/>
              </w:rPr>
              <w:t>261-129-11</w:t>
            </w:r>
            <w:r>
              <w:rPr>
                <w:rFonts w:hint="eastAsia" w:ascii="宋体" w:hAnsi="宋体" w:cs="宋体"/>
                <w:kern w:val="0"/>
                <w:szCs w:val="21"/>
                <w:lang w:bidi="ar"/>
              </w:rPr>
              <w:t>，</w:t>
            </w:r>
            <w:r>
              <w:rPr>
                <w:kern w:val="0"/>
                <w:szCs w:val="21"/>
                <w:lang w:bidi="ar"/>
              </w:rPr>
              <w:t>261-130-11</w:t>
            </w:r>
            <w:r>
              <w:rPr>
                <w:rFonts w:hint="eastAsia" w:ascii="宋体" w:hAnsi="宋体" w:cs="宋体"/>
                <w:kern w:val="0"/>
                <w:szCs w:val="21"/>
                <w:lang w:bidi="ar"/>
              </w:rPr>
              <w:t>，</w:t>
            </w:r>
            <w:r>
              <w:rPr>
                <w:b/>
                <w:bCs/>
                <w:kern w:val="0"/>
                <w:szCs w:val="21"/>
                <w:lang w:bidi="ar"/>
              </w:rPr>
              <w:t>309-001-11</w:t>
            </w:r>
            <w:r>
              <w:rPr>
                <w:rFonts w:hint="eastAsia" w:ascii="宋体" w:hAnsi="宋体" w:cs="宋体"/>
                <w:b/>
                <w:bCs/>
                <w:kern w:val="0"/>
                <w:szCs w:val="21"/>
                <w:lang w:bidi="ar"/>
              </w:rPr>
              <w:t>，</w:t>
            </w:r>
            <w:r>
              <w:rPr>
                <w:b/>
                <w:bCs/>
                <w:kern w:val="0"/>
                <w:szCs w:val="21"/>
                <w:lang w:bidi="ar"/>
              </w:rPr>
              <w:t>451-003-11</w:t>
            </w:r>
            <w:r>
              <w:rPr>
                <w:rFonts w:hint="eastAsia" w:ascii="宋体" w:hAnsi="宋体" w:cs="宋体"/>
                <w:b/>
                <w:bCs/>
                <w:kern w:val="0"/>
                <w:szCs w:val="21"/>
                <w:lang w:bidi="ar"/>
              </w:rPr>
              <w:t>，</w:t>
            </w:r>
            <w:r>
              <w:rPr>
                <w:b/>
                <w:bCs/>
                <w:kern w:val="0"/>
                <w:szCs w:val="21"/>
                <w:lang w:bidi="ar"/>
              </w:rPr>
              <w:t>772-001-11</w:t>
            </w:r>
          </w:p>
        </w:tc>
        <w:tc>
          <w:tcPr>
            <w:tcW w:w="423" w:type="pct"/>
            <w:vMerge w:val="continue"/>
            <w:tcBorders>
              <w:tl2br w:val="nil"/>
              <w:tr2bl w:val="nil"/>
            </w:tcBorders>
            <w:vAlign w:val="center"/>
          </w:tcPr>
          <w:p w14:paraId="0118040A">
            <w:pPr>
              <w:widowControl/>
              <w:jc w:val="center"/>
              <w:rPr>
                <w:rFonts w:eastAsia="仿宋_GB2312"/>
                <w:kern w:val="0"/>
                <w:szCs w:val="21"/>
              </w:rPr>
            </w:pPr>
          </w:p>
        </w:tc>
        <w:tc>
          <w:tcPr>
            <w:tcW w:w="605" w:type="pct"/>
            <w:vMerge w:val="continue"/>
            <w:tcBorders>
              <w:tl2br w:val="nil"/>
              <w:tr2bl w:val="nil"/>
            </w:tcBorders>
            <w:vAlign w:val="center"/>
          </w:tcPr>
          <w:p w14:paraId="115FAE01">
            <w:pPr>
              <w:widowControl/>
              <w:jc w:val="center"/>
              <w:rPr>
                <w:rFonts w:eastAsia="仿宋_GB2312"/>
                <w:kern w:val="0"/>
                <w:szCs w:val="21"/>
              </w:rPr>
            </w:pPr>
          </w:p>
        </w:tc>
      </w:tr>
      <w:tr w14:paraId="6E74E2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3" w:type="pct"/>
            <w:vMerge w:val="continue"/>
            <w:tcBorders>
              <w:tl2br w:val="nil"/>
              <w:tr2bl w:val="nil"/>
            </w:tcBorders>
            <w:vAlign w:val="center"/>
          </w:tcPr>
          <w:p w14:paraId="7380874C">
            <w:pPr>
              <w:widowControl/>
              <w:jc w:val="center"/>
              <w:rPr>
                <w:rFonts w:eastAsia="仿宋_GB2312"/>
                <w:kern w:val="0"/>
                <w:szCs w:val="21"/>
              </w:rPr>
            </w:pPr>
          </w:p>
        </w:tc>
        <w:tc>
          <w:tcPr>
            <w:tcW w:w="372" w:type="pct"/>
            <w:vMerge w:val="continue"/>
            <w:tcBorders>
              <w:tl2br w:val="nil"/>
              <w:tr2bl w:val="nil"/>
            </w:tcBorders>
            <w:vAlign w:val="center"/>
          </w:tcPr>
          <w:p w14:paraId="24D36DF4">
            <w:pPr>
              <w:widowControl/>
              <w:jc w:val="center"/>
              <w:rPr>
                <w:rFonts w:eastAsia="仿宋_GB2312"/>
                <w:kern w:val="0"/>
                <w:szCs w:val="21"/>
              </w:rPr>
            </w:pPr>
          </w:p>
        </w:tc>
        <w:tc>
          <w:tcPr>
            <w:tcW w:w="394" w:type="pct"/>
            <w:tcBorders>
              <w:tl2br w:val="nil"/>
              <w:tr2bl w:val="nil"/>
            </w:tcBorders>
            <w:vAlign w:val="center"/>
          </w:tcPr>
          <w:p w14:paraId="5E2DE4C2">
            <w:pPr>
              <w:widowControl/>
              <w:jc w:val="center"/>
              <w:rPr>
                <w:rFonts w:eastAsia="仿宋_GB2312"/>
                <w:kern w:val="0"/>
                <w:szCs w:val="21"/>
                <w:highlight w:val="yellow"/>
              </w:rPr>
            </w:pPr>
            <w:r>
              <w:rPr>
                <w:rFonts w:eastAsia="仿宋_GB2312"/>
                <w:kern w:val="0"/>
                <w:szCs w:val="21"/>
              </w:rPr>
              <w:t>HW12</w:t>
            </w:r>
          </w:p>
        </w:tc>
        <w:tc>
          <w:tcPr>
            <w:tcW w:w="1042" w:type="pct"/>
            <w:tcBorders>
              <w:tl2br w:val="nil"/>
              <w:tr2bl w:val="nil"/>
            </w:tcBorders>
            <w:vAlign w:val="center"/>
          </w:tcPr>
          <w:p w14:paraId="21ADCC62">
            <w:pPr>
              <w:widowControl/>
              <w:jc w:val="center"/>
              <w:rPr>
                <w:rFonts w:eastAsia="仿宋_GB2312"/>
                <w:kern w:val="0"/>
                <w:szCs w:val="21"/>
                <w:highlight w:val="yellow"/>
              </w:rPr>
            </w:pPr>
            <w:r>
              <w:rPr>
                <w:rFonts w:eastAsia="仿宋_GB2312"/>
                <w:kern w:val="0"/>
                <w:szCs w:val="21"/>
              </w:rPr>
              <w:t>264-011-12，264-013-12</w:t>
            </w:r>
          </w:p>
        </w:tc>
        <w:tc>
          <w:tcPr>
            <w:tcW w:w="465" w:type="pct"/>
            <w:vMerge w:val="continue"/>
            <w:tcBorders>
              <w:tl2br w:val="nil"/>
              <w:tr2bl w:val="nil"/>
            </w:tcBorders>
            <w:vAlign w:val="center"/>
          </w:tcPr>
          <w:p w14:paraId="23868047">
            <w:pPr>
              <w:widowControl/>
              <w:jc w:val="center"/>
              <w:rPr>
                <w:rFonts w:eastAsia="仿宋_GB2312"/>
                <w:kern w:val="0"/>
                <w:szCs w:val="21"/>
              </w:rPr>
            </w:pPr>
          </w:p>
        </w:tc>
        <w:tc>
          <w:tcPr>
            <w:tcW w:w="384" w:type="pct"/>
            <w:tcBorders>
              <w:tl2br w:val="nil"/>
              <w:tr2bl w:val="nil"/>
            </w:tcBorders>
            <w:shd w:val="clear" w:color="auto" w:fill="auto"/>
            <w:vAlign w:val="center"/>
          </w:tcPr>
          <w:p w14:paraId="79F3F1DD">
            <w:pPr>
              <w:widowControl/>
              <w:jc w:val="center"/>
              <w:textAlignment w:val="center"/>
              <w:rPr>
                <w:rFonts w:eastAsia="仿宋_GB2312"/>
                <w:kern w:val="0"/>
                <w:szCs w:val="21"/>
                <w:highlight w:val="yellow"/>
              </w:rPr>
            </w:pPr>
            <w:r>
              <w:rPr>
                <w:kern w:val="0"/>
                <w:szCs w:val="21"/>
                <w:lang w:bidi="ar"/>
              </w:rPr>
              <w:t>HW12</w:t>
            </w:r>
          </w:p>
        </w:tc>
        <w:tc>
          <w:tcPr>
            <w:tcW w:w="1059" w:type="pct"/>
            <w:tcBorders>
              <w:tl2br w:val="nil"/>
              <w:tr2bl w:val="nil"/>
            </w:tcBorders>
            <w:shd w:val="clear" w:color="auto" w:fill="auto"/>
            <w:vAlign w:val="center"/>
          </w:tcPr>
          <w:p w14:paraId="1E92B5D4">
            <w:pPr>
              <w:widowControl/>
              <w:jc w:val="center"/>
              <w:textAlignment w:val="center"/>
              <w:rPr>
                <w:rFonts w:eastAsia="仿宋_GB2312"/>
                <w:kern w:val="0"/>
                <w:szCs w:val="21"/>
                <w:highlight w:val="yellow"/>
              </w:rPr>
            </w:pPr>
            <w:r>
              <w:rPr>
                <w:kern w:val="0"/>
                <w:szCs w:val="21"/>
                <w:lang w:bidi="ar"/>
              </w:rPr>
              <w:t>264-011-12</w:t>
            </w:r>
            <w:r>
              <w:rPr>
                <w:rFonts w:ascii="仿宋_GB2312" w:eastAsia="仿宋_GB2312" w:cs="仿宋_GB2312"/>
                <w:kern w:val="0"/>
                <w:szCs w:val="21"/>
                <w:lang w:bidi="ar"/>
              </w:rPr>
              <w:t>，</w:t>
            </w:r>
            <w:r>
              <w:rPr>
                <w:kern w:val="0"/>
                <w:szCs w:val="21"/>
                <w:lang w:bidi="ar"/>
              </w:rPr>
              <w:t>264-013-12</w:t>
            </w:r>
          </w:p>
        </w:tc>
        <w:tc>
          <w:tcPr>
            <w:tcW w:w="423" w:type="pct"/>
            <w:vMerge w:val="continue"/>
            <w:tcBorders>
              <w:tl2br w:val="nil"/>
              <w:tr2bl w:val="nil"/>
            </w:tcBorders>
            <w:vAlign w:val="center"/>
          </w:tcPr>
          <w:p w14:paraId="7D565A4E">
            <w:pPr>
              <w:widowControl/>
              <w:jc w:val="center"/>
              <w:rPr>
                <w:rFonts w:eastAsia="仿宋_GB2312"/>
                <w:kern w:val="0"/>
                <w:szCs w:val="21"/>
              </w:rPr>
            </w:pPr>
          </w:p>
        </w:tc>
        <w:tc>
          <w:tcPr>
            <w:tcW w:w="605" w:type="pct"/>
            <w:vMerge w:val="continue"/>
            <w:tcBorders>
              <w:tl2br w:val="nil"/>
              <w:tr2bl w:val="nil"/>
            </w:tcBorders>
            <w:vAlign w:val="center"/>
          </w:tcPr>
          <w:p w14:paraId="74D36FCC">
            <w:pPr>
              <w:widowControl/>
              <w:jc w:val="center"/>
              <w:rPr>
                <w:rFonts w:eastAsia="仿宋_GB2312"/>
                <w:kern w:val="0"/>
                <w:szCs w:val="21"/>
              </w:rPr>
            </w:pPr>
          </w:p>
        </w:tc>
      </w:tr>
      <w:tr w14:paraId="4D8DDA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3" w:type="pct"/>
            <w:vMerge w:val="continue"/>
            <w:tcBorders>
              <w:tl2br w:val="nil"/>
              <w:tr2bl w:val="nil"/>
            </w:tcBorders>
            <w:vAlign w:val="center"/>
          </w:tcPr>
          <w:p w14:paraId="153203F3">
            <w:pPr>
              <w:widowControl/>
              <w:jc w:val="center"/>
              <w:rPr>
                <w:rFonts w:eastAsia="仿宋_GB2312"/>
                <w:kern w:val="0"/>
                <w:szCs w:val="21"/>
              </w:rPr>
            </w:pPr>
          </w:p>
        </w:tc>
        <w:tc>
          <w:tcPr>
            <w:tcW w:w="372" w:type="pct"/>
            <w:vMerge w:val="continue"/>
            <w:tcBorders>
              <w:tl2br w:val="nil"/>
              <w:tr2bl w:val="nil"/>
            </w:tcBorders>
            <w:vAlign w:val="center"/>
          </w:tcPr>
          <w:p w14:paraId="3ACE4C22">
            <w:pPr>
              <w:widowControl/>
              <w:jc w:val="center"/>
              <w:rPr>
                <w:rFonts w:eastAsia="仿宋_GB2312"/>
                <w:kern w:val="0"/>
                <w:szCs w:val="21"/>
              </w:rPr>
            </w:pPr>
          </w:p>
        </w:tc>
        <w:tc>
          <w:tcPr>
            <w:tcW w:w="394" w:type="pct"/>
            <w:tcBorders>
              <w:tl2br w:val="nil"/>
              <w:tr2bl w:val="nil"/>
            </w:tcBorders>
            <w:vAlign w:val="center"/>
          </w:tcPr>
          <w:p w14:paraId="174B7970">
            <w:pPr>
              <w:widowControl/>
              <w:jc w:val="center"/>
              <w:rPr>
                <w:rFonts w:eastAsia="仿宋_GB2312"/>
                <w:kern w:val="0"/>
                <w:szCs w:val="21"/>
              </w:rPr>
            </w:pPr>
            <w:r>
              <w:rPr>
                <w:rFonts w:eastAsia="仿宋_GB2312"/>
                <w:kern w:val="0"/>
                <w:szCs w:val="21"/>
              </w:rPr>
              <w:t>HW13</w:t>
            </w:r>
          </w:p>
        </w:tc>
        <w:tc>
          <w:tcPr>
            <w:tcW w:w="1042" w:type="pct"/>
            <w:tcBorders>
              <w:tl2br w:val="nil"/>
              <w:tr2bl w:val="nil"/>
            </w:tcBorders>
            <w:vAlign w:val="center"/>
          </w:tcPr>
          <w:p w14:paraId="457E834C">
            <w:pPr>
              <w:widowControl/>
              <w:jc w:val="center"/>
              <w:rPr>
                <w:rFonts w:eastAsia="仿宋_GB2312"/>
                <w:kern w:val="0"/>
                <w:szCs w:val="21"/>
              </w:rPr>
            </w:pPr>
            <w:r>
              <w:rPr>
                <w:rFonts w:eastAsia="仿宋_GB2312"/>
                <w:kern w:val="0"/>
                <w:szCs w:val="21"/>
              </w:rPr>
              <w:t>265-102-13，265-103-13，900-016-13</w:t>
            </w:r>
          </w:p>
        </w:tc>
        <w:tc>
          <w:tcPr>
            <w:tcW w:w="465" w:type="pct"/>
            <w:vMerge w:val="continue"/>
            <w:tcBorders>
              <w:tl2br w:val="nil"/>
              <w:tr2bl w:val="nil"/>
            </w:tcBorders>
            <w:vAlign w:val="center"/>
          </w:tcPr>
          <w:p w14:paraId="217FCAA3">
            <w:pPr>
              <w:widowControl/>
              <w:jc w:val="center"/>
              <w:rPr>
                <w:rFonts w:eastAsia="仿宋_GB2312"/>
                <w:kern w:val="0"/>
                <w:szCs w:val="21"/>
              </w:rPr>
            </w:pPr>
          </w:p>
        </w:tc>
        <w:tc>
          <w:tcPr>
            <w:tcW w:w="384" w:type="pct"/>
            <w:tcBorders>
              <w:tl2br w:val="nil"/>
              <w:tr2bl w:val="nil"/>
            </w:tcBorders>
            <w:shd w:val="clear" w:color="auto" w:fill="auto"/>
            <w:vAlign w:val="center"/>
          </w:tcPr>
          <w:p w14:paraId="3E8D8264">
            <w:pPr>
              <w:widowControl/>
              <w:jc w:val="center"/>
              <w:textAlignment w:val="center"/>
              <w:rPr>
                <w:rFonts w:eastAsia="仿宋_GB2312"/>
                <w:kern w:val="0"/>
                <w:szCs w:val="21"/>
              </w:rPr>
            </w:pPr>
            <w:r>
              <w:rPr>
                <w:kern w:val="0"/>
                <w:szCs w:val="21"/>
                <w:lang w:bidi="ar"/>
              </w:rPr>
              <w:t>HW13</w:t>
            </w:r>
          </w:p>
        </w:tc>
        <w:tc>
          <w:tcPr>
            <w:tcW w:w="1059" w:type="pct"/>
            <w:tcBorders>
              <w:tl2br w:val="nil"/>
              <w:tr2bl w:val="nil"/>
            </w:tcBorders>
            <w:shd w:val="clear" w:color="auto" w:fill="auto"/>
            <w:vAlign w:val="center"/>
          </w:tcPr>
          <w:p w14:paraId="55D0127D">
            <w:pPr>
              <w:widowControl/>
              <w:jc w:val="center"/>
              <w:textAlignment w:val="center"/>
              <w:rPr>
                <w:rFonts w:eastAsia="仿宋_GB2312"/>
                <w:kern w:val="0"/>
                <w:szCs w:val="21"/>
              </w:rPr>
            </w:pPr>
            <w:r>
              <w:rPr>
                <w:kern w:val="0"/>
                <w:szCs w:val="21"/>
                <w:lang w:bidi="ar"/>
              </w:rPr>
              <w:t>265-102-13</w:t>
            </w:r>
            <w:r>
              <w:rPr>
                <w:rFonts w:ascii="仿宋_GB2312" w:eastAsia="仿宋_GB2312" w:cs="仿宋_GB2312"/>
                <w:kern w:val="0"/>
                <w:szCs w:val="21"/>
                <w:lang w:bidi="ar"/>
              </w:rPr>
              <w:t>，</w:t>
            </w:r>
            <w:r>
              <w:rPr>
                <w:kern w:val="0"/>
                <w:szCs w:val="21"/>
                <w:lang w:bidi="ar"/>
              </w:rPr>
              <w:t>265-103-13</w:t>
            </w:r>
            <w:r>
              <w:rPr>
                <w:rFonts w:ascii="仿宋_GB2312" w:eastAsia="仿宋_GB2312" w:cs="仿宋_GB2312"/>
                <w:kern w:val="0"/>
                <w:szCs w:val="21"/>
                <w:lang w:bidi="ar"/>
              </w:rPr>
              <w:t>，</w:t>
            </w:r>
            <w:r>
              <w:rPr>
                <w:kern w:val="0"/>
                <w:szCs w:val="21"/>
                <w:lang w:bidi="ar"/>
              </w:rPr>
              <w:t>900-016-13</w:t>
            </w:r>
          </w:p>
        </w:tc>
        <w:tc>
          <w:tcPr>
            <w:tcW w:w="423" w:type="pct"/>
            <w:vMerge w:val="continue"/>
            <w:tcBorders>
              <w:tl2br w:val="nil"/>
              <w:tr2bl w:val="nil"/>
            </w:tcBorders>
            <w:vAlign w:val="center"/>
          </w:tcPr>
          <w:p w14:paraId="2A622F49">
            <w:pPr>
              <w:widowControl/>
              <w:jc w:val="center"/>
              <w:rPr>
                <w:rFonts w:eastAsia="仿宋_GB2312"/>
                <w:kern w:val="0"/>
                <w:szCs w:val="21"/>
              </w:rPr>
            </w:pPr>
          </w:p>
        </w:tc>
        <w:tc>
          <w:tcPr>
            <w:tcW w:w="605" w:type="pct"/>
            <w:vMerge w:val="continue"/>
            <w:tcBorders>
              <w:tl2br w:val="nil"/>
              <w:tr2bl w:val="nil"/>
            </w:tcBorders>
            <w:vAlign w:val="center"/>
          </w:tcPr>
          <w:p w14:paraId="13BCD040">
            <w:pPr>
              <w:widowControl/>
              <w:jc w:val="center"/>
              <w:rPr>
                <w:rFonts w:eastAsia="仿宋_GB2312"/>
                <w:kern w:val="0"/>
                <w:szCs w:val="21"/>
              </w:rPr>
            </w:pPr>
          </w:p>
        </w:tc>
      </w:tr>
      <w:tr w14:paraId="0FE55D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3" w:type="pct"/>
            <w:vMerge w:val="restart"/>
            <w:tcBorders>
              <w:tl2br w:val="nil"/>
              <w:tr2bl w:val="nil"/>
            </w:tcBorders>
            <w:vAlign w:val="center"/>
          </w:tcPr>
          <w:p w14:paraId="560CE33E">
            <w:pPr>
              <w:widowControl/>
              <w:jc w:val="center"/>
              <w:rPr>
                <w:rFonts w:eastAsia="仿宋_GB2312"/>
                <w:kern w:val="0"/>
                <w:szCs w:val="21"/>
              </w:rPr>
            </w:pPr>
            <w:r>
              <w:rPr>
                <w:rFonts w:eastAsia="仿宋_GB2312"/>
                <w:kern w:val="0"/>
                <w:szCs w:val="21"/>
              </w:rPr>
              <w:t>21</w:t>
            </w:r>
          </w:p>
        </w:tc>
        <w:tc>
          <w:tcPr>
            <w:tcW w:w="372" w:type="pct"/>
            <w:vMerge w:val="restart"/>
            <w:tcBorders>
              <w:tl2br w:val="nil"/>
              <w:tr2bl w:val="nil"/>
            </w:tcBorders>
            <w:vAlign w:val="center"/>
          </w:tcPr>
          <w:p w14:paraId="47769AEA">
            <w:pPr>
              <w:widowControl/>
              <w:jc w:val="center"/>
              <w:rPr>
                <w:rFonts w:eastAsia="仿宋_GB2312"/>
                <w:kern w:val="0"/>
                <w:szCs w:val="21"/>
              </w:rPr>
            </w:pPr>
            <w:r>
              <w:rPr>
                <w:rFonts w:eastAsia="仿宋_GB2312"/>
                <w:kern w:val="0"/>
                <w:szCs w:val="21"/>
              </w:rPr>
              <w:t>环己酮废液</w:t>
            </w:r>
          </w:p>
        </w:tc>
        <w:tc>
          <w:tcPr>
            <w:tcW w:w="394" w:type="pct"/>
            <w:tcBorders>
              <w:tl2br w:val="nil"/>
              <w:tr2bl w:val="nil"/>
            </w:tcBorders>
            <w:vAlign w:val="center"/>
          </w:tcPr>
          <w:p w14:paraId="2C21D13C">
            <w:pPr>
              <w:widowControl/>
              <w:jc w:val="center"/>
              <w:rPr>
                <w:rFonts w:eastAsia="仿宋_GB2312"/>
                <w:kern w:val="0"/>
                <w:szCs w:val="21"/>
              </w:rPr>
            </w:pPr>
            <w:r>
              <w:rPr>
                <w:rFonts w:eastAsia="仿宋_GB2312"/>
                <w:kern w:val="0"/>
                <w:szCs w:val="21"/>
              </w:rPr>
              <w:t>HW06</w:t>
            </w:r>
          </w:p>
        </w:tc>
        <w:tc>
          <w:tcPr>
            <w:tcW w:w="1042" w:type="pct"/>
            <w:tcBorders>
              <w:tl2br w:val="nil"/>
              <w:tr2bl w:val="nil"/>
            </w:tcBorders>
            <w:vAlign w:val="center"/>
          </w:tcPr>
          <w:p w14:paraId="2864B68D">
            <w:pPr>
              <w:widowControl/>
              <w:jc w:val="center"/>
              <w:rPr>
                <w:rFonts w:eastAsia="仿宋_GB2312"/>
                <w:kern w:val="0"/>
                <w:szCs w:val="21"/>
              </w:rPr>
            </w:pPr>
            <w:r>
              <w:rPr>
                <w:rFonts w:eastAsia="仿宋_GB2312"/>
                <w:kern w:val="0"/>
                <w:szCs w:val="21"/>
              </w:rPr>
              <w:t>900-402-06，900-404-06</w:t>
            </w:r>
          </w:p>
          <w:p w14:paraId="3ABC0B33">
            <w:pPr>
              <w:widowControl/>
              <w:jc w:val="center"/>
              <w:rPr>
                <w:rFonts w:eastAsia="仿宋_GB2312"/>
                <w:kern w:val="0"/>
                <w:szCs w:val="21"/>
              </w:rPr>
            </w:pPr>
            <w:r>
              <w:rPr>
                <w:rFonts w:eastAsia="仿宋_GB2312"/>
                <w:kern w:val="0"/>
                <w:szCs w:val="21"/>
              </w:rPr>
              <w:t>900-40</w:t>
            </w:r>
            <w:r>
              <w:rPr>
                <w:rFonts w:hint="eastAsia" w:eastAsia="仿宋_GB2312"/>
                <w:kern w:val="0"/>
                <w:szCs w:val="21"/>
              </w:rPr>
              <w:t>7</w:t>
            </w:r>
            <w:r>
              <w:rPr>
                <w:rFonts w:eastAsia="仿宋_GB2312"/>
                <w:kern w:val="0"/>
                <w:szCs w:val="21"/>
              </w:rPr>
              <w:t>-06</w:t>
            </w:r>
          </w:p>
        </w:tc>
        <w:tc>
          <w:tcPr>
            <w:tcW w:w="465" w:type="pct"/>
            <w:vMerge w:val="restart"/>
            <w:tcBorders>
              <w:tl2br w:val="nil"/>
              <w:tr2bl w:val="nil"/>
            </w:tcBorders>
            <w:vAlign w:val="center"/>
          </w:tcPr>
          <w:p w14:paraId="5B068469">
            <w:pPr>
              <w:widowControl/>
              <w:jc w:val="center"/>
              <w:rPr>
                <w:rFonts w:eastAsia="仿宋_GB2312"/>
                <w:kern w:val="0"/>
                <w:szCs w:val="21"/>
              </w:rPr>
            </w:pPr>
            <w:r>
              <w:rPr>
                <w:rFonts w:eastAsia="仿宋_GB2312"/>
                <w:kern w:val="0"/>
                <w:szCs w:val="21"/>
              </w:rPr>
              <w:t>500</w:t>
            </w:r>
          </w:p>
        </w:tc>
        <w:tc>
          <w:tcPr>
            <w:tcW w:w="384" w:type="pct"/>
            <w:tcBorders>
              <w:tl2br w:val="nil"/>
              <w:tr2bl w:val="nil"/>
            </w:tcBorders>
            <w:shd w:val="clear" w:color="auto" w:fill="auto"/>
            <w:vAlign w:val="center"/>
          </w:tcPr>
          <w:p w14:paraId="241284AA">
            <w:pPr>
              <w:widowControl/>
              <w:jc w:val="center"/>
              <w:textAlignment w:val="center"/>
              <w:rPr>
                <w:rFonts w:eastAsia="仿宋_GB2312"/>
                <w:kern w:val="0"/>
                <w:szCs w:val="21"/>
              </w:rPr>
            </w:pPr>
            <w:r>
              <w:rPr>
                <w:kern w:val="0"/>
                <w:szCs w:val="21"/>
                <w:lang w:bidi="ar"/>
              </w:rPr>
              <w:t>HW06</w:t>
            </w:r>
          </w:p>
        </w:tc>
        <w:tc>
          <w:tcPr>
            <w:tcW w:w="1059" w:type="pct"/>
            <w:tcBorders>
              <w:tl2br w:val="nil"/>
              <w:tr2bl w:val="nil"/>
            </w:tcBorders>
            <w:shd w:val="clear" w:color="auto" w:fill="auto"/>
            <w:vAlign w:val="center"/>
          </w:tcPr>
          <w:p w14:paraId="75784366">
            <w:pPr>
              <w:widowControl/>
              <w:jc w:val="center"/>
              <w:textAlignment w:val="center"/>
              <w:rPr>
                <w:rFonts w:eastAsia="仿宋_GB2312"/>
                <w:kern w:val="0"/>
                <w:szCs w:val="21"/>
              </w:rPr>
            </w:pPr>
            <w:r>
              <w:rPr>
                <w:kern w:val="0"/>
                <w:szCs w:val="21"/>
                <w:lang w:bidi="ar"/>
              </w:rPr>
              <w:t>900-402-06</w:t>
            </w:r>
            <w:r>
              <w:rPr>
                <w:rFonts w:ascii="仿宋_GB2312" w:eastAsia="仿宋_GB2312" w:cs="仿宋_GB2312"/>
                <w:kern w:val="0"/>
                <w:szCs w:val="21"/>
                <w:lang w:bidi="ar"/>
              </w:rPr>
              <w:t>，</w:t>
            </w:r>
            <w:r>
              <w:rPr>
                <w:kern w:val="0"/>
                <w:szCs w:val="21"/>
                <w:lang w:bidi="ar"/>
              </w:rPr>
              <w:t>900-404-06</w:t>
            </w:r>
            <w:r>
              <w:rPr>
                <w:rFonts w:hint="eastAsia" w:ascii="宋体" w:hAnsi="宋体" w:cs="宋体"/>
                <w:kern w:val="0"/>
                <w:szCs w:val="21"/>
                <w:lang w:bidi="ar"/>
              </w:rPr>
              <w:t>，</w:t>
            </w:r>
            <w:r>
              <w:rPr>
                <w:kern w:val="0"/>
                <w:szCs w:val="21"/>
                <w:lang w:bidi="ar"/>
              </w:rPr>
              <w:t>900-407-06</w:t>
            </w:r>
          </w:p>
        </w:tc>
        <w:tc>
          <w:tcPr>
            <w:tcW w:w="423" w:type="pct"/>
            <w:vMerge w:val="restart"/>
            <w:tcBorders>
              <w:tl2br w:val="nil"/>
              <w:tr2bl w:val="nil"/>
            </w:tcBorders>
            <w:vAlign w:val="center"/>
          </w:tcPr>
          <w:p w14:paraId="21BE9180">
            <w:pPr>
              <w:widowControl/>
              <w:jc w:val="center"/>
              <w:rPr>
                <w:rFonts w:eastAsia="仿宋_GB2312"/>
                <w:kern w:val="0"/>
                <w:szCs w:val="21"/>
              </w:rPr>
            </w:pPr>
            <w:r>
              <w:rPr>
                <w:rFonts w:hint="eastAsia" w:eastAsia="仿宋_GB2312"/>
                <w:kern w:val="0"/>
                <w:szCs w:val="21"/>
              </w:rPr>
              <w:t>500</w:t>
            </w:r>
          </w:p>
        </w:tc>
        <w:tc>
          <w:tcPr>
            <w:tcW w:w="605" w:type="pct"/>
            <w:vMerge w:val="restart"/>
            <w:tcBorders>
              <w:tl2br w:val="nil"/>
              <w:tr2bl w:val="nil"/>
            </w:tcBorders>
            <w:vAlign w:val="center"/>
          </w:tcPr>
          <w:p w14:paraId="26E08F47">
            <w:pPr>
              <w:widowControl/>
              <w:jc w:val="center"/>
              <w:rPr>
                <w:rFonts w:eastAsia="仿宋_GB2312"/>
                <w:kern w:val="0"/>
                <w:szCs w:val="21"/>
              </w:rPr>
            </w:pPr>
            <w:r>
              <w:rPr>
                <w:rFonts w:eastAsia="仿宋_GB2312"/>
                <w:bCs/>
              </w:rPr>
              <w:t>回收综合利用量</w:t>
            </w:r>
            <w:r>
              <w:rPr>
                <w:rFonts w:hint="eastAsia" w:eastAsia="仿宋_GB2312"/>
                <w:bCs/>
              </w:rPr>
              <w:t>不变</w:t>
            </w:r>
            <w:r>
              <w:rPr>
                <w:rFonts w:eastAsia="仿宋_GB2312"/>
                <w:bCs/>
              </w:rPr>
              <w:t>，危废代码增加</w:t>
            </w:r>
          </w:p>
        </w:tc>
      </w:tr>
      <w:tr w14:paraId="38E6B0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3" w:type="pct"/>
            <w:vMerge w:val="continue"/>
            <w:tcBorders>
              <w:tl2br w:val="nil"/>
              <w:tr2bl w:val="nil"/>
            </w:tcBorders>
            <w:vAlign w:val="center"/>
          </w:tcPr>
          <w:p w14:paraId="6D5308B9">
            <w:pPr>
              <w:widowControl/>
              <w:jc w:val="center"/>
              <w:rPr>
                <w:rFonts w:eastAsia="仿宋_GB2312"/>
                <w:kern w:val="0"/>
                <w:szCs w:val="21"/>
              </w:rPr>
            </w:pPr>
          </w:p>
        </w:tc>
        <w:tc>
          <w:tcPr>
            <w:tcW w:w="372" w:type="pct"/>
            <w:vMerge w:val="continue"/>
            <w:tcBorders>
              <w:tl2br w:val="nil"/>
              <w:tr2bl w:val="nil"/>
            </w:tcBorders>
            <w:vAlign w:val="center"/>
          </w:tcPr>
          <w:p w14:paraId="2582974C">
            <w:pPr>
              <w:widowControl/>
              <w:jc w:val="center"/>
              <w:rPr>
                <w:rFonts w:eastAsia="仿宋_GB2312"/>
                <w:kern w:val="0"/>
                <w:szCs w:val="21"/>
              </w:rPr>
            </w:pPr>
          </w:p>
        </w:tc>
        <w:tc>
          <w:tcPr>
            <w:tcW w:w="394" w:type="pct"/>
            <w:tcBorders>
              <w:tl2br w:val="nil"/>
              <w:tr2bl w:val="nil"/>
            </w:tcBorders>
            <w:vAlign w:val="center"/>
          </w:tcPr>
          <w:p w14:paraId="1DF2FC47">
            <w:pPr>
              <w:widowControl/>
              <w:jc w:val="center"/>
              <w:rPr>
                <w:rFonts w:eastAsia="仿宋_GB2312"/>
                <w:kern w:val="0"/>
                <w:szCs w:val="21"/>
              </w:rPr>
            </w:pPr>
            <w:r>
              <w:rPr>
                <w:rFonts w:eastAsia="仿宋_GB2312"/>
                <w:kern w:val="0"/>
                <w:szCs w:val="21"/>
              </w:rPr>
              <w:t>HW11</w:t>
            </w:r>
          </w:p>
        </w:tc>
        <w:tc>
          <w:tcPr>
            <w:tcW w:w="1042" w:type="pct"/>
            <w:tcBorders>
              <w:tl2br w:val="nil"/>
              <w:tr2bl w:val="nil"/>
            </w:tcBorders>
            <w:vAlign w:val="center"/>
          </w:tcPr>
          <w:p w14:paraId="0DC4F614">
            <w:pPr>
              <w:widowControl/>
              <w:jc w:val="center"/>
              <w:rPr>
                <w:rFonts w:eastAsia="仿宋_GB2312"/>
                <w:kern w:val="0"/>
                <w:szCs w:val="21"/>
              </w:rPr>
            </w:pPr>
            <w:r>
              <w:rPr>
                <w:rFonts w:eastAsia="仿宋_GB2312"/>
                <w:kern w:val="0"/>
                <w:szCs w:val="21"/>
              </w:rPr>
              <w:t>900-013-11，261-128-11，261-129-11，261-130-11，261-013-11，261-031-11</w:t>
            </w:r>
          </w:p>
        </w:tc>
        <w:tc>
          <w:tcPr>
            <w:tcW w:w="465" w:type="pct"/>
            <w:vMerge w:val="continue"/>
            <w:tcBorders>
              <w:tl2br w:val="nil"/>
              <w:tr2bl w:val="nil"/>
            </w:tcBorders>
            <w:vAlign w:val="center"/>
          </w:tcPr>
          <w:p w14:paraId="58211F47">
            <w:pPr>
              <w:widowControl/>
              <w:jc w:val="center"/>
              <w:rPr>
                <w:rFonts w:eastAsia="仿宋_GB2312"/>
                <w:kern w:val="0"/>
                <w:szCs w:val="21"/>
              </w:rPr>
            </w:pPr>
          </w:p>
        </w:tc>
        <w:tc>
          <w:tcPr>
            <w:tcW w:w="384" w:type="pct"/>
            <w:tcBorders>
              <w:tl2br w:val="nil"/>
              <w:tr2bl w:val="nil"/>
            </w:tcBorders>
            <w:shd w:val="clear" w:color="auto" w:fill="auto"/>
            <w:vAlign w:val="center"/>
          </w:tcPr>
          <w:p w14:paraId="09B9C19C">
            <w:pPr>
              <w:widowControl/>
              <w:jc w:val="center"/>
              <w:textAlignment w:val="center"/>
              <w:rPr>
                <w:rFonts w:eastAsia="仿宋_GB2312"/>
                <w:kern w:val="0"/>
                <w:szCs w:val="21"/>
              </w:rPr>
            </w:pPr>
            <w:r>
              <w:rPr>
                <w:b/>
                <w:bCs/>
                <w:kern w:val="0"/>
                <w:szCs w:val="21"/>
                <w:lang w:bidi="ar"/>
              </w:rPr>
              <w:t>HW11</w:t>
            </w:r>
          </w:p>
        </w:tc>
        <w:tc>
          <w:tcPr>
            <w:tcW w:w="1059" w:type="pct"/>
            <w:tcBorders>
              <w:tl2br w:val="nil"/>
              <w:tr2bl w:val="nil"/>
            </w:tcBorders>
            <w:shd w:val="clear" w:color="auto" w:fill="auto"/>
            <w:vAlign w:val="center"/>
          </w:tcPr>
          <w:p w14:paraId="364536D8">
            <w:pPr>
              <w:widowControl/>
              <w:jc w:val="center"/>
              <w:textAlignment w:val="center"/>
              <w:rPr>
                <w:rFonts w:eastAsia="仿宋_GB2312"/>
                <w:kern w:val="0"/>
                <w:szCs w:val="21"/>
              </w:rPr>
            </w:pPr>
            <w:r>
              <w:rPr>
                <w:kern w:val="0"/>
                <w:szCs w:val="21"/>
                <w:lang w:bidi="ar"/>
              </w:rPr>
              <w:t>900-013-11</w:t>
            </w:r>
            <w:r>
              <w:rPr>
                <w:rFonts w:hint="eastAsia" w:ascii="宋体" w:hAnsi="宋体" w:cs="宋体"/>
                <w:kern w:val="0"/>
                <w:szCs w:val="21"/>
                <w:lang w:bidi="ar"/>
              </w:rPr>
              <w:t>，</w:t>
            </w:r>
            <w:r>
              <w:rPr>
                <w:b/>
                <w:bCs/>
                <w:kern w:val="0"/>
                <w:szCs w:val="21"/>
                <w:lang w:bidi="ar"/>
              </w:rPr>
              <w:t>251-013-11</w:t>
            </w:r>
            <w:r>
              <w:rPr>
                <w:rFonts w:hint="eastAsia" w:ascii="宋体" w:hAnsi="宋体" w:cs="宋体"/>
                <w:b/>
                <w:bCs/>
                <w:kern w:val="0"/>
                <w:szCs w:val="21"/>
                <w:lang w:bidi="ar"/>
              </w:rPr>
              <w:t>，</w:t>
            </w:r>
            <w:r>
              <w:rPr>
                <w:b/>
                <w:bCs/>
                <w:kern w:val="0"/>
                <w:szCs w:val="21"/>
                <w:lang w:bidi="ar"/>
              </w:rPr>
              <w:t>252-002-11</w:t>
            </w:r>
            <w:r>
              <w:rPr>
                <w:rFonts w:hint="eastAsia" w:ascii="宋体" w:hAnsi="宋体" w:cs="宋体"/>
                <w:b/>
                <w:bCs/>
                <w:kern w:val="0"/>
                <w:szCs w:val="21"/>
                <w:lang w:bidi="ar"/>
              </w:rPr>
              <w:t>，</w:t>
            </w:r>
            <w:r>
              <w:rPr>
                <w:b/>
                <w:bCs/>
                <w:kern w:val="0"/>
                <w:szCs w:val="21"/>
                <w:lang w:bidi="ar"/>
              </w:rPr>
              <w:t>252-004-11</w:t>
            </w:r>
            <w:r>
              <w:rPr>
                <w:rFonts w:hint="eastAsia" w:ascii="宋体" w:hAnsi="宋体" w:cs="宋体"/>
                <w:b/>
                <w:bCs/>
                <w:kern w:val="0"/>
                <w:szCs w:val="21"/>
                <w:lang w:bidi="ar"/>
              </w:rPr>
              <w:t>，</w:t>
            </w:r>
            <w:r>
              <w:rPr>
                <w:b/>
                <w:bCs/>
                <w:kern w:val="0"/>
                <w:szCs w:val="21"/>
                <w:lang w:bidi="ar"/>
              </w:rPr>
              <w:t>252-011-11</w:t>
            </w:r>
            <w:r>
              <w:rPr>
                <w:rFonts w:hint="eastAsia" w:ascii="宋体" w:hAnsi="宋体" w:cs="宋体"/>
                <w:b/>
                <w:bCs/>
                <w:kern w:val="0"/>
                <w:szCs w:val="21"/>
                <w:lang w:bidi="ar"/>
              </w:rPr>
              <w:t>，</w:t>
            </w:r>
            <w:r>
              <w:rPr>
                <w:b/>
                <w:bCs/>
                <w:kern w:val="0"/>
                <w:szCs w:val="21"/>
                <w:lang w:bidi="ar"/>
              </w:rPr>
              <w:t>252-016-11</w:t>
            </w:r>
            <w:r>
              <w:rPr>
                <w:rFonts w:hint="eastAsia" w:ascii="宋体" w:hAnsi="宋体" w:cs="宋体"/>
                <w:b/>
                <w:bCs/>
                <w:kern w:val="0"/>
                <w:szCs w:val="21"/>
                <w:lang w:bidi="ar"/>
              </w:rPr>
              <w:t>，</w:t>
            </w:r>
            <w:r>
              <w:rPr>
                <w:b/>
                <w:bCs/>
                <w:kern w:val="0"/>
                <w:szCs w:val="21"/>
                <w:lang w:bidi="ar"/>
              </w:rPr>
              <w:t>261-012-11</w:t>
            </w:r>
            <w:r>
              <w:rPr>
                <w:rFonts w:hint="eastAsia" w:ascii="宋体" w:hAnsi="宋体" w:cs="宋体"/>
                <w:b/>
                <w:bCs/>
                <w:kern w:val="0"/>
                <w:szCs w:val="21"/>
                <w:lang w:bidi="ar"/>
              </w:rPr>
              <w:t>，</w:t>
            </w:r>
            <w:r>
              <w:rPr>
                <w:kern w:val="0"/>
                <w:szCs w:val="21"/>
                <w:lang w:bidi="ar"/>
              </w:rPr>
              <w:t>261-013-11</w:t>
            </w:r>
            <w:r>
              <w:rPr>
                <w:rFonts w:hint="eastAsia" w:ascii="宋体" w:hAnsi="宋体" w:cs="宋体"/>
                <w:kern w:val="0"/>
                <w:szCs w:val="21"/>
                <w:lang w:bidi="ar"/>
              </w:rPr>
              <w:t>，</w:t>
            </w:r>
            <w:r>
              <w:rPr>
                <w:b/>
                <w:bCs/>
                <w:kern w:val="0"/>
                <w:szCs w:val="21"/>
                <w:lang w:bidi="ar"/>
              </w:rPr>
              <w:t>261-015-11</w:t>
            </w:r>
            <w:r>
              <w:rPr>
                <w:rFonts w:hint="eastAsia" w:ascii="宋体" w:hAnsi="宋体" w:cs="宋体"/>
                <w:b/>
                <w:bCs/>
                <w:kern w:val="0"/>
                <w:szCs w:val="21"/>
                <w:lang w:bidi="ar"/>
              </w:rPr>
              <w:t>，</w:t>
            </w:r>
            <w:r>
              <w:rPr>
                <w:kern w:val="0"/>
                <w:szCs w:val="21"/>
                <w:lang w:bidi="ar"/>
              </w:rPr>
              <w:t>261-031-11</w:t>
            </w:r>
            <w:r>
              <w:rPr>
                <w:rFonts w:hint="eastAsia" w:ascii="宋体" w:hAnsi="宋体" w:cs="宋体"/>
                <w:kern w:val="0"/>
                <w:szCs w:val="21"/>
                <w:lang w:bidi="ar"/>
              </w:rPr>
              <w:t>，</w:t>
            </w:r>
            <w:r>
              <w:rPr>
                <w:b/>
                <w:bCs/>
                <w:kern w:val="0"/>
                <w:szCs w:val="21"/>
                <w:lang w:bidi="ar"/>
              </w:rPr>
              <w:t>261-106-11</w:t>
            </w:r>
            <w:r>
              <w:rPr>
                <w:rFonts w:hint="eastAsia" w:ascii="宋体" w:hAnsi="宋体" w:cs="宋体"/>
                <w:b/>
                <w:bCs/>
                <w:kern w:val="0"/>
                <w:szCs w:val="21"/>
                <w:lang w:bidi="ar"/>
              </w:rPr>
              <w:t>，</w:t>
            </w:r>
            <w:r>
              <w:rPr>
                <w:kern w:val="0"/>
                <w:szCs w:val="21"/>
                <w:lang w:bidi="ar"/>
              </w:rPr>
              <w:t>261-129-11</w:t>
            </w:r>
            <w:r>
              <w:rPr>
                <w:rFonts w:hint="eastAsia" w:ascii="宋体" w:hAnsi="宋体" w:cs="宋体"/>
                <w:kern w:val="0"/>
                <w:szCs w:val="21"/>
                <w:lang w:bidi="ar"/>
              </w:rPr>
              <w:t>，</w:t>
            </w:r>
            <w:r>
              <w:rPr>
                <w:kern w:val="0"/>
                <w:szCs w:val="21"/>
                <w:lang w:bidi="ar"/>
              </w:rPr>
              <w:t>261-130-11</w:t>
            </w:r>
            <w:r>
              <w:rPr>
                <w:rFonts w:hint="eastAsia" w:ascii="宋体" w:hAnsi="宋体" w:cs="宋体"/>
                <w:kern w:val="0"/>
                <w:szCs w:val="21"/>
                <w:lang w:bidi="ar"/>
              </w:rPr>
              <w:t>，</w:t>
            </w:r>
            <w:r>
              <w:rPr>
                <w:b/>
                <w:bCs/>
                <w:kern w:val="0"/>
                <w:szCs w:val="21"/>
                <w:lang w:bidi="ar"/>
              </w:rPr>
              <w:t>309-001-11</w:t>
            </w:r>
            <w:r>
              <w:rPr>
                <w:rFonts w:hint="eastAsia" w:ascii="宋体" w:hAnsi="宋体" w:cs="宋体"/>
                <w:b/>
                <w:bCs/>
                <w:kern w:val="0"/>
                <w:szCs w:val="21"/>
                <w:lang w:bidi="ar"/>
              </w:rPr>
              <w:t>，</w:t>
            </w:r>
            <w:r>
              <w:rPr>
                <w:b/>
                <w:bCs/>
                <w:kern w:val="0"/>
                <w:szCs w:val="21"/>
                <w:lang w:bidi="ar"/>
              </w:rPr>
              <w:t>451-003-11</w:t>
            </w:r>
            <w:r>
              <w:rPr>
                <w:rFonts w:hint="eastAsia" w:ascii="宋体" w:hAnsi="宋体" w:cs="宋体"/>
                <w:b/>
                <w:bCs/>
                <w:kern w:val="0"/>
                <w:szCs w:val="21"/>
                <w:lang w:bidi="ar"/>
              </w:rPr>
              <w:t>，</w:t>
            </w:r>
            <w:r>
              <w:rPr>
                <w:b/>
                <w:bCs/>
                <w:kern w:val="0"/>
                <w:szCs w:val="21"/>
                <w:lang w:bidi="ar"/>
              </w:rPr>
              <w:t>772-001-11</w:t>
            </w:r>
          </w:p>
        </w:tc>
        <w:tc>
          <w:tcPr>
            <w:tcW w:w="423" w:type="pct"/>
            <w:vMerge w:val="continue"/>
            <w:tcBorders>
              <w:tl2br w:val="nil"/>
              <w:tr2bl w:val="nil"/>
            </w:tcBorders>
            <w:vAlign w:val="center"/>
          </w:tcPr>
          <w:p w14:paraId="1855C6A7">
            <w:pPr>
              <w:widowControl/>
              <w:jc w:val="center"/>
              <w:rPr>
                <w:rFonts w:eastAsia="仿宋_GB2312"/>
                <w:kern w:val="0"/>
                <w:szCs w:val="21"/>
              </w:rPr>
            </w:pPr>
          </w:p>
        </w:tc>
        <w:tc>
          <w:tcPr>
            <w:tcW w:w="605" w:type="pct"/>
            <w:vMerge w:val="continue"/>
            <w:tcBorders>
              <w:tl2br w:val="nil"/>
              <w:tr2bl w:val="nil"/>
            </w:tcBorders>
            <w:vAlign w:val="center"/>
          </w:tcPr>
          <w:p w14:paraId="2DB2A167">
            <w:pPr>
              <w:widowControl/>
              <w:jc w:val="center"/>
              <w:rPr>
                <w:rFonts w:eastAsia="仿宋_GB2312"/>
                <w:kern w:val="0"/>
                <w:szCs w:val="21"/>
              </w:rPr>
            </w:pPr>
          </w:p>
        </w:tc>
      </w:tr>
      <w:tr w14:paraId="2F2F394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3" w:type="pct"/>
            <w:vMerge w:val="continue"/>
            <w:tcBorders>
              <w:tl2br w:val="nil"/>
              <w:tr2bl w:val="nil"/>
            </w:tcBorders>
            <w:vAlign w:val="center"/>
          </w:tcPr>
          <w:p w14:paraId="0517A8C5">
            <w:pPr>
              <w:widowControl/>
              <w:jc w:val="center"/>
              <w:rPr>
                <w:rFonts w:eastAsia="仿宋_GB2312"/>
                <w:kern w:val="0"/>
                <w:szCs w:val="21"/>
              </w:rPr>
            </w:pPr>
          </w:p>
        </w:tc>
        <w:tc>
          <w:tcPr>
            <w:tcW w:w="372" w:type="pct"/>
            <w:vMerge w:val="continue"/>
            <w:tcBorders>
              <w:tl2br w:val="nil"/>
              <w:tr2bl w:val="nil"/>
            </w:tcBorders>
            <w:vAlign w:val="center"/>
          </w:tcPr>
          <w:p w14:paraId="77B23A12">
            <w:pPr>
              <w:widowControl/>
              <w:jc w:val="center"/>
              <w:rPr>
                <w:rFonts w:eastAsia="仿宋_GB2312"/>
                <w:kern w:val="0"/>
                <w:szCs w:val="21"/>
              </w:rPr>
            </w:pPr>
          </w:p>
        </w:tc>
        <w:tc>
          <w:tcPr>
            <w:tcW w:w="394" w:type="pct"/>
            <w:tcBorders>
              <w:tl2br w:val="nil"/>
              <w:tr2bl w:val="nil"/>
            </w:tcBorders>
            <w:vAlign w:val="center"/>
          </w:tcPr>
          <w:p w14:paraId="0B6AC0B3">
            <w:pPr>
              <w:widowControl/>
              <w:jc w:val="center"/>
              <w:rPr>
                <w:rFonts w:eastAsia="仿宋_GB2312"/>
                <w:kern w:val="0"/>
                <w:szCs w:val="21"/>
              </w:rPr>
            </w:pPr>
            <w:r>
              <w:rPr>
                <w:rFonts w:eastAsia="仿宋_GB2312"/>
                <w:kern w:val="0"/>
                <w:szCs w:val="21"/>
              </w:rPr>
              <w:t>HW12</w:t>
            </w:r>
          </w:p>
        </w:tc>
        <w:tc>
          <w:tcPr>
            <w:tcW w:w="1042" w:type="pct"/>
            <w:tcBorders>
              <w:tl2br w:val="nil"/>
              <w:tr2bl w:val="nil"/>
            </w:tcBorders>
            <w:vAlign w:val="center"/>
          </w:tcPr>
          <w:p w14:paraId="196F45C2">
            <w:pPr>
              <w:widowControl/>
              <w:jc w:val="center"/>
              <w:rPr>
                <w:rFonts w:eastAsia="仿宋_GB2312"/>
                <w:kern w:val="0"/>
                <w:szCs w:val="21"/>
              </w:rPr>
            </w:pPr>
            <w:r>
              <w:rPr>
                <w:rFonts w:eastAsia="仿宋_GB2312"/>
                <w:kern w:val="0"/>
                <w:szCs w:val="21"/>
              </w:rPr>
              <w:t>264-011-12，264-013-12</w:t>
            </w:r>
          </w:p>
        </w:tc>
        <w:tc>
          <w:tcPr>
            <w:tcW w:w="465" w:type="pct"/>
            <w:vMerge w:val="continue"/>
            <w:tcBorders>
              <w:tl2br w:val="nil"/>
              <w:tr2bl w:val="nil"/>
            </w:tcBorders>
            <w:vAlign w:val="center"/>
          </w:tcPr>
          <w:p w14:paraId="5CD3D5D4">
            <w:pPr>
              <w:widowControl/>
              <w:jc w:val="center"/>
              <w:rPr>
                <w:rFonts w:eastAsia="仿宋_GB2312"/>
                <w:kern w:val="0"/>
                <w:szCs w:val="21"/>
              </w:rPr>
            </w:pPr>
          </w:p>
        </w:tc>
        <w:tc>
          <w:tcPr>
            <w:tcW w:w="384" w:type="pct"/>
            <w:tcBorders>
              <w:tl2br w:val="nil"/>
              <w:tr2bl w:val="nil"/>
            </w:tcBorders>
            <w:shd w:val="clear" w:color="auto" w:fill="auto"/>
            <w:vAlign w:val="center"/>
          </w:tcPr>
          <w:p w14:paraId="45BF0241">
            <w:pPr>
              <w:widowControl/>
              <w:jc w:val="center"/>
              <w:textAlignment w:val="center"/>
              <w:rPr>
                <w:rFonts w:eastAsia="仿宋_GB2312"/>
                <w:kern w:val="0"/>
                <w:szCs w:val="21"/>
              </w:rPr>
            </w:pPr>
            <w:r>
              <w:rPr>
                <w:kern w:val="0"/>
                <w:szCs w:val="21"/>
                <w:lang w:bidi="ar"/>
              </w:rPr>
              <w:t>HW12</w:t>
            </w:r>
          </w:p>
        </w:tc>
        <w:tc>
          <w:tcPr>
            <w:tcW w:w="1059" w:type="pct"/>
            <w:tcBorders>
              <w:tl2br w:val="nil"/>
              <w:tr2bl w:val="nil"/>
            </w:tcBorders>
            <w:shd w:val="clear" w:color="auto" w:fill="auto"/>
            <w:vAlign w:val="center"/>
          </w:tcPr>
          <w:p w14:paraId="4BC64217">
            <w:pPr>
              <w:widowControl/>
              <w:jc w:val="center"/>
              <w:textAlignment w:val="center"/>
              <w:rPr>
                <w:rFonts w:eastAsia="仿宋_GB2312"/>
                <w:kern w:val="0"/>
                <w:szCs w:val="21"/>
              </w:rPr>
            </w:pPr>
            <w:r>
              <w:rPr>
                <w:kern w:val="0"/>
                <w:szCs w:val="21"/>
                <w:lang w:bidi="ar"/>
              </w:rPr>
              <w:t>264-011-12</w:t>
            </w:r>
            <w:r>
              <w:rPr>
                <w:rFonts w:ascii="仿宋_GB2312" w:eastAsia="仿宋_GB2312" w:cs="仿宋_GB2312"/>
                <w:kern w:val="0"/>
                <w:szCs w:val="21"/>
                <w:lang w:bidi="ar"/>
              </w:rPr>
              <w:t>，</w:t>
            </w:r>
            <w:r>
              <w:rPr>
                <w:kern w:val="0"/>
                <w:szCs w:val="21"/>
                <w:lang w:bidi="ar"/>
              </w:rPr>
              <w:t>264-013-12</w:t>
            </w:r>
          </w:p>
        </w:tc>
        <w:tc>
          <w:tcPr>
            <w:tcW w:w="423" w:type="pct"/>
            <w:vMerge w:val="continue"/>
            <w:tcBorders>
              <w:tl2br w:val="nil"/>
              <w:tr2bl w:val="nil"/>
            </w:tcBorders>
            <w:vAlign w:val="center"/>
          </w:tcPr>
          <w:p w14:paraId="0FE25B54">
            <w:pPr>
              <w:widowControl/>
              <w:jc w:val="center"/>
              <w:rPr>
                <w:rFonts w:eastAsia="仿宋_GB2312"/>
                <w:kern w:val="0"/>
                <w:szCs w:val="21"/>
              </w:rPr>
            </w:pPr>
          </w:p>
        </w:tc>
        <w:tc>
          <w:tcPr>
            <w:tcW w:w="605" w:type="pct"/>
            <w:vMerge w:val="continue"/>
            <w:tcBorders>
              <w:tl2br w:val="nil"/>
              <w:tr2bl w:val="nil"/>
            </w:tcBorders>
            <w:vAlign w:val="center"/>
          </w:tcPr>
          <w:p w14:paraId="79D6595D">
            <w:pPr>
              <w:widowControl/>
              <w:jc w:val="center"/>
              <w:rPr>
                <w:rFonts w:eastAsia="仿宋_GB2312"/>
                <w:kern w:val="0"/>
                <w:szCs w:val="21"/>
              </w:rPr>
            </w:pPr>
          </w:p>
        </w:tc>
      </w:tr>
      <w:tr w14:paraId="22610D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3" w:type="pct"/>
            <w:vMerge w:val="continue"/>
            <w:tcBorders>
              <w:tl2br w:val="nil"/>
              <w:tr2bl w:val="nil"/>
            </w:tcBorders>
            <w:vAlign w:val="center"/>
          </w:tcPr>
          <w:p w14:paraId="41B603D5">
            <w:pPr>
              <w:widowControl/>
              <w:jc w:val="center"/>
              <w:rPr>
                <w:rFonts w:eastAsia="仿宋_GB2312"/>
                <w:kern w:val="0"/>
                <w:szCs w:val="21"/>
              </w:rPr>
            </w:pPr>
          </w:p>
        </w:tc>
        <w:tc>
          <w:tcPr>
            <w:tcW w:w="372" w:type="pct"/>
            <w:vMerge w:val="continue"/>
            <w:tcBorders>
              <w:tl2br w:val="nil"/>
              <w:tr2bl w:val="nil"/>
            </w:tcBorders>
            <w:vAlign w:val="center"/>
          </w:tcPr>
          <w:p w14:paraId="7EBDD971">
            <w:pPr>
              <w:widowControl/>
              <w:jc w:val="center"/>
              <w:rPr>
                <w:rFonts w:eastAsia="仿宋_GB2312"/>
                <w:kern w:val="0"/>
                <w:szCs w:val="21"/>
              </w:rPr>
            </w:pPr>
          </w:p>
        </w:tc>
        <w:tc>
          <w:tcPr>
            <w:tcW w:w="394" w:type="pct"/>
            <w:tcBorders>
              <w:tl2br w:val="nil"/>
              <w:tr2bl w:val="nil"/>
            </w:tcBorders>
            <w:vAlign w:val="center"/>
          </w:tcPr>
          <w:p w14:paraId="544BC6CD">
            <w:pPr>
              <w:widowControl/>
              <w:jc w:val="center"/>
              <w:rPr>
                <w:rFonts w:eastAsia="仿宋_GB2312"/>
                <w:kern w:val="0"/>
                <w:szCs w:val="21"/>
              </w:rPr>
            </w:pPr>
            <w:r>
              <w:rPr>
                <w:rFonts w:eastAsia="仿宋_GB2312"/>
                <w:kern w:val="0"/>
                <w:szCs w:val="21"/>
              </w:rPr>
              <w:t>HW13</w:t>
            </w:r>
          </w:p>
        </w:tc>
        <w:tc>
          <w:tcPr>
            <w:tcW w:w="1042" w:type="pct"/>
            <w:tcBorders>
              <w:tl2br w:val="nil"/>
              <w:tr2bl w:val="nil"/>
            </w:tcBorders>
            <w:vAlign w:val="center"/>
          </w:tcPr>
          <w:p w14:paraId="7A167EF6">
            <w:pPr>
              <w:widowControl/>
              <w:jc w:val="center"/>
              <w:rPr>
                <w:rFonts w:eastAsia="仿宋_GB2312"/>
                <w:kern w:val="0"/>
                <w:szCs w:val="21"/>
              </w:rPr>
            </w:pPr>
            <w:r>
              <w:rPr>
                <w:rFonts w:eastAsia="仿宋_GB2312"/>
                <w:kern w:val="0"/>
                <w:szCs w:val="21"/>
              </w:rPr>
              <w:t>265-102-13，265-103-13，900-016-13</w:t>
            </w:r>
          </w:p>
        </w:tc>
        <w:tc>
          <w:tcPr>
            <w:tcW w:w="465" w:type="pct"/>
            <w:vMerge w:val="continue"/>
            <w:tcBorders>
              <w:tl2br w:val="nil"/>
              <w:tr2bl w:val="nil"/>
            </w:tcBorders>
            <w:vAlign w:val="center"/>
          </w:tcPr>
          <w:p w14:paraId="4C119110">
            <w:pPr>
              <w:widowControl/>
              <w:jc w:val="center"/>
              <w:rPr>
                <w:rFonts w:eastAsia="仿宋_GB2312"/>
                <w:kern w:val="0"/>
                <w:szCs w:val="21"/>
              </w:rPr>
            </w:pPr>
          </w:p>
        </w:tc>
        <w:tc>
          <w:tcPr>
            <w:tcW w:w="384" w:type="pct"/>
            <w:tcBorders>
              <w:tl2br w:val="nil"/>
              <w:tr2bl w:val="nil"/>
            </w:tcBorders>
            <w:shd w:val="clear" w:color="auto" w:fill="auto"/>
            <w:vAlign w:val="center"/>
          </w:tcPr>
          <w:p w14:paraId="58F6E9A7">
            <w:pPr>
              <w:widowControl/>
              <w:jc w:val="center"/>
              <w:textAlignment w:val="center"/>
              <w:rPr>
                <w:rFonts w:eastAsia="仿宋_GB2312"/>
                <w:kern w:val="0"/>
                <w:szCs w:val="21"/>
              </w:rPr>
            </w:pPr>
            <w:r>
              <w:rPr>
                <w:kern w:val="0"/>
                <w:szCs w:val="21"/>
                <w:lang w:bidi="ar"/>
              </w:rPr>
              <w:t>HW13</w:t>
            </w:r>
          </w:p>
        </w:tc>
        <w:tc>
          <w:tcPr>
            <w:tcW w:w="1059" w:type="pct"/>
            <w:tcBorders>
              <w:tl2br w:val="nil"/>
              <w:tr2bl w:val="nil"/>
            </w:tcBorders>
            <w:shd w:val="clear" w:color="auto" w:fill="auto"/>
            <w:vAlign w:val="center"/>
          </w:tcPr>
          <w:p w14:paraId="136E9984">
            <w:pPr>
              <w:widowControl/>
              <w:jc w:val="center"/>
              <w:textAlignment w:val="center"/>
              <w:rPr>
                <w:rFonts w:eastAsia="仿宋_GB2312"/>
                <w:kern w:val="0"/>
                <w:szCs w:val="21"/>
              </w:rPr>
            </w:pPr>
            <w:r>
              <w:rPr>
                <w:kern w:val="0"/>
                <w:szCs w:val="21"/>
                <w:lang w:bidi="ar"/>
              </w:rPr>
              <w:t>265-102-13</w:t>
            </w:r>
            <w:r>
              <w:rPr>
                <w:rFonts w:ascii="仿宋_GB2312" w:eastAsia="仿宋_GB2312" w:cs="仿宋_GB2312"/>
                <w:kern w:val="0"/>
                <w:szCs w:val="21"/>
                <w:lang w:bidi="ar"/>
              </w:rPr>
              <w:t>，</w:t>
            </w:r>
            <w:r>
              <w:rPr>
                <w:kern w:val="0"/>
                <w:szCs w:val="21"/>
                <w:lang w:bidi="ar"/>
              </w:rPr>
              <w:t>265-103-13</w:t>
            </w:r>
            <w:r>
              <w:rPr>
                <w:rFonts w:ascii="仿宋_GB2312" w:eastAsia="仿宋_GB2312" w:cs="仿宋_GB2312"/>
                <w:kern w:val="0"/>
                <w:szCs w:val="21"/>
                <w:lang w:bidi="ar"/>
              </w:rPr>
              <w:t>，</w:t>
            </w:r>
            <w:r>
              <w:rPr>
                <w:kern w:val="0"/>
                <w:szCs w:val="21"/>
                <w:lang w:bidi="ar"/>
              </w:rPr>
              <w:t>900-016-13</w:t>
            </w:r>
          </w:p>
        </w:tc>
        <w:tc>
          <w:tcPr>
            <w:tcW w:w="423" w:type="pct"/>
            <w:vMerge w:val="continue"/>
            <w:tcBorders>
              <w:tl2br w:val="nil"/>
              <w:tr2bl w:val="nil"/>
            </w:tcBorders>
            <w:vAlign w:val="center"/>
          </w:tcPr>
          <w:p w14:paraId="15041B5F">
            <w:pPr>
              <w:widowControl/>
              <w:jc w:val="center"/>
              <w:rPr>
                <w:rFonts w:eastAsia="仿宋_GB2312"/>
                <w:kern w:val="0"/>
                <w:szCs w:val="21"/>
              </w:rPr>
            </w:pPr>
          </w:p>
        </w:tc>
        <w:tc>
          <w:tcPr>
            <w:tcW w:w="605" w:type="pct"/>
            <w:vMerge w:val="continue"/>
            <w:tcBorders>
              <w:tl2br w:val="nil"/>
              <w:tr2bl w:val="nil"/>
            </w:tcBorders>
            <w:vAlign w:val="center"/>
          </w:tcPr>
          <w:p w14:paraId="599ACAC0">
            <w:pPr>
              <w:widowControl/>
              <w:jc w:val="center"/>
              <w:rPr>
                <w:rFonts w:eastAsia="仿宋_GB2312"/>
                <w:kern w:val="0"/>
                <w:szCs w:val="21"/>
              </w:rPr>
            </w:pPr>
          </w:p>
        </w:tc>
      </w:tr>
      <w:tr w14:paraId="48E9E9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3" w:type="pct"/>
            <w:vMerge w:val="restart"/>
            <w:tcBorders>
              <w:tl2br w:val="nil"/>
              <w:tr2bl w:val="nil"/>
            </w:tcBorders>
            <w:vAlign w:val="center"/>
          </w:tcPr>
          <w:p w14:paraId="00473B5B">
            <w:pPr>
              <w:widowControl/>
              <w:jc w:val="center"/>
              <w:rPr>
                <w:rFonts w:eastAsia="仿宋_GB2312"/>
                <w:kern w:val="0"/>
                <w:szCs w:val="21"/>
              </w:rPr>
            </w:pPr>
            <w:r>
              <w:rPr>
                <w:rFonts w:eastAsia="仿宋_GB2312"/>
                <w:kern w:val="0"/>
                <w:szCs w:val="21"/>
              </w:rPr>
              <w:t>22</w:t>
            </w:r>
          </w:p>
        </w:tc>
        <w:tc>
          <w:tcPr>
            <w:tcW w:w="372" w:type="pct"/>
            <w:vMerge w:val="restart"/>
            <w:tcBorders>
              <w:tl2br w:val="nil"/>
              <w:tr2bl w:val="nil"/>
            </w:tcBorders>
            <w:vAlign w:val="center"/>
          </w:tcPr>
          <w:p w14:paraId="47BCCE60">
            <w:pPr>
              <w:widowControl/>
              <w:jc w:val="center"/>
              <w:rPr>
                <w:rFonts w:eastAsia="仿宋_GB2312"/>
                <w:kern w:val="0"/>
                <w:szCs w:val="21"/>
              </w:rPr>
            </w:pPr>
            <w:r>
              <w:rPr>
                <w:rFonts w:eastAsia="仿宋_GB2312"/>
                <w:kern w:val="0"/>
                <w:szCs w:val="21"/>
              </w:rPr>
              <w:t>环戊酮废液</w:t>
            </w:r>
          </w:p>
        </w:tc>
        <w:tc>
          <w:tcPr>
            <w:tcW w:w="394" w:type="pct"/>
            <w:tcBorders>
              <w:tl2br w:val="nil"/>
              <w:tr2bl w:val="nil"/>
            </w:tcBorders>
            <w:vAlign w:val="center"/>
          </w:tcPr>
          <w:p w14:paraId="31461B2F">
            <w:pPr>
              <w:widowControl/>
              <w:jc w:val="center"/>
              <w:rPr>
                <w:rFonts w:eastAsia="仿宋_GB2312"/>
                <w:kern w:val="0"/>
                <w:szCs w:val="21"/>
              </w:rPr>
            </w:pPr>
            <w:r>
              <w:rPr>
                <w:rFonts w:eastAsia="仿宋_GB2312"/>
                <w:kern w:val="0"/>
                <w:szCs w:val="21"/>
              </w:rPr>
              <w:t>HW06</w:t>
            </w:r>
          </w:p>
        </w:tc>
        <w:tc>
          <w:tcPr>
            <w:tcW w:w="1042" w:type="pct"/>
            <w:tcBorders>
              <w:tl2br w:val="nil"/>
              <w:tr2bl w:val="nil"/>
            </w:tcBorders>
            <w:vAlign w:val="center"/>
          </w:tcPr>
          <w:p w14:paraId="698DA7EC">
            <w:pPr>
              <w:widowControl/>
              <w:jc w:val="center"/>
              <w:rPr>
                <w:rFonts w:eastAsia="仿宋_GB2312"/>
                <w:kern w:val="0"/>
                <w:szCs w:val="21"/>
              </w:rPr>
            </w:pPr>
            <w:r>
              <w:rPr>
                <w:rFonts w:eastAsia="仿宋_GB2312"/>
                <w:kern w:val="0"/>
                <w:szCs w:val="21"/>
              </w:rPr>
              <w:t>900-402-06，900-404-06</w:t>
            </w:r>
            <w:r>
              <w:rPr>
                <w:rFonts w:hint="eastAsia" w:eastAsia="仿宋_GB2312"/>
                <w:kern w:val="0"/>
                <w:szCs w:val="21"/>
              </w:rPr>
              <w:t>，</w:t>
            </w:r>
          </w:p>
          <w:p w14:paraId="7A6FFE5E">
            <w:pPr>
              <w:widowControl/>
              <w:jc w:val="center"/>
              <w:rPr>
                <w:rFonts w:eastAsia="仿宋_GB2312"/>
                <w:kern w:val="0"/>
                <w:szCs w:val="21"/>
              </w:rPr>
            </w:pPr>
            <w:r>
              <w:rPr>
                <w:rFonts w:eastAsia="仿宋_GB2312"/>
                <w:kern w:val="0"/>
                <w:szCs w:val="21"/>
              </w:rPr>
              <w:t>900-40</w:t>
            </w:r>
            <w:r>
              <w:rPr>
                <w:rFonts w:hint="eastAsia" w:eastAsia="仿宋_GB2312"/>
                <w:kern w:val="0"/>
                <w:szCs w:val="21"/>
              </w:rPr>
              <w:t>7</w:t>
            </w:r>
            <w:r>
              <w:rPr>
                <w:rFonts w:eastAsia="仿宋_GB2312"/>
                <w:kern w:val="0"/>
                <w:szCs w:val="21"/>
              </w:rPr>
              <w:t>-06</w:t>
            </w:r>
          </w:p>
        </w:tc>
        <w:tc>
          <w:tcPr>
            <w:tcW w:w="465" w:type="pct"/>
            <w:vMerge w:val="restart"/>
            <w:tcBorders>
              <w:tl2br w:val="nil"/>
              <w:tr2bl w:val="nil"/>
            </w:tcBorders>
            <w:vAlign w:val="center"/>
          </w:tcPr>
          <w:p w14:paraId="357E6318">
            <w:pPr>
              <w:widowControl/>
              <w:jc w:val="center"/>
              <w:rPr>
                <w:rFonts w:eastAsia="仿宋_GB2312"/>
                <w:kern w:val="0"/>
                <w:szCs w:val="21"/>
              </w:rPr>
            </w:pPr>
            <w:r>
              <w:rPr>
                <w:rFonts w:eastAsia="仿宋_GB2312"/>
                <w:kern w:val="0"/>
                <w:szCs w:val="21"/>
              </w:rPr>
              <w:t>1500</w:t>
            </w:r>
          </w:p>
        </w:tc>
        <w:tc>
          <w:tcPr>
            <w:tcW w:w="384" w:type="pct"/>
            <w:tcBorders>
              <w:tl2br w:val="nil"/>
              <w:tr2bl w:val="nil"/>
            </w:tcBorders>
            <w:shd w:val="clear" w:color="auto" w:fill="auto"/>
            <w:vAlign w:val="center"/>
          </w:tcPr>
          <w:p w14:paraId="4CAC6ECD">
            <w:pPr>
              <w:widowControl/>
              <w:jc w:val="center"/>
              <w:textAlignment w:val="center"/>
              <w:rPr>
                <w:rFonts w:eastAsia="仿宋_GB2312"/>
                <w:kern w:val="0"/>
                <w:szCs w:val="21"/>
              </w:rPr>
            </w:pPr>
            <w:r>
              <w:rPr>
                <w:kern w:val="0"/>
                <w:szCs w:val="21"/>
                <w:lang w:bidi="ar"/>
              </w:rPr>
              <w:t>HW06</w:t>
            </w:r>
          </w:p>
        </w:tc>
        <w:tc>
          <w:tcPr>
            <w:tcW w:w="1059" w:type="pct"/>
            <w:tcBorders>
              <w:tl2br w:val="nil"/>
              <w:tr2bl w:val="nil"/>
            </w:tcBorders>
            <w:shd w:val="clear" w:color="auto" w:fill="auto"/>
            <w:vAlign w:val="center"/>
          </w:tcPr>
          <w:p w14:paraId="0E239B92">
            <w:pPr>
              <w:widowControl/>
              <w:jc w:val="center"/>
              <w:textAlignment w:val="center"/>
              <w:rPr>
                <w:rFonts w:eastAsia="仿宋_GB2312"/>
                <w:kern w:val="0"/>
                <w:szCs w:val="21"/>
              </w:rPr>
            </w:pPr>
            <w:r>
              <w:rPr>
                <w:kern w:val="0"/>
                <w:szCs w:val="21"/>
                <w:lang w:bidi="ar"/>
              </w:rPr>
              <w:t>900-402-06</w:t>
            </w:r>
            <w:r>
              <w:rPr>
                <w:rFonts w:ascii="仿宋_GB2312" w:eastAsia="仿宋_GB2312" w:cs="仿宋_GB2312"/>
                <w:kern w:val="0"/>
                <w:szCs w:val="21"/>
                <w:lang w:bidi="ar"/>
              </w:rPr>
              <w:t>，</w:t>
            </w:r>
            <w:r>
              <w:rPr>
                <w:kern w:val="0"/>
                <w:szCs w:val="21"/>
                <w:lang w:bidi="ar"/>
              </w:rPr>
              <w:t>900-404-06</w:t>
            </w:r>
            <w:r>
              <w:rPr>
                <w:rFonts w:hint="eastAsia" w:ascii="宋体" w:hAnsi="宋体" w:cs="宋体"/>
                <w:kern w:val="0"/>
                <w:szCs w:val="21"/>
                <w:lang w:bidi="ar"/>
              </w:rPr>
              <w:t>，</w:t>
            </w:r>
            <w:r>
              <w:rPr>
                <w:kern w:val="0"/>
                <w:szCs w:val="21"/>
                <w:lang w:bidi="ar"/>
              </w:rPr>
              <w:t>900-407-06</w:t>
            </w:r>
          </w:p>
        </w:tc>
        <w:tc>
          <w:tcPr>
            <w:tcW w:w="423" w:type="pct"/>
            <w:vMerge w:val="restart"/>
            <w:tcBorders>
              <w:tl2br w:val="nil"/>
              <w:tr2bl w:val="nil"/>
            </w:tcBorders>
            <w:vAlign w:val="center"/>
          </w:tcPr>
          <w:p w14:paraId="0713F580">
            <w:pPr>
              <w:widowControl/>
              <w:jc w:val="center"/>
              <w:rPr>
                <w:rFonts w:eastAsia="仿宋_GB2312"/>
                <w:kern w:val="0"/>
                <w:szCs w:val="21"/>
              </w:rPr>
            </w:pPr>
            <w:r>
              <w:rPr>
                <w:rFonts w:hint="eastAsia" w:eastAsia="仿宋_GB2312"/>
                <w:kern w:val="0"/>
                <w:szCs w:val="21"/>
              </w:rPr>
              <w:t>1500</w:t>
            </w:r>
          </w:p>
        </w:tc>
        <w:tc>
          <w:tcPr>
            <w:tcW w:w="605" w:type="pct"/>
            <w:vMerge w:val="restart"/>
            <w:tcBorders>
              <w:tl2br w:val="nil"/>
              <w:tr2bl w:val="nil"/>
            </w:tcBorders>
            <w:vAlign w:val="center"/>
          </w:tcPr>
          <w:p w14:paraId="23BDF197">
            <w:pPr>
              <w:widowControl/>
              <w:jc w:val="center"/>
              <w:rPr>
                <w:rFonts w:eastAsia="仿宋_GB2312"/>
                <w:kern w:val="0"/>
                <w:szCs w:val="21"/>
              </w:rPr>
            </w:pPr>
            <w:r>
              <w:rPr>
                <w:rFonts w:eastAsia="仿宋_GB2312"/>
                <w:bCs/>
              </w:rPr>
              <w:t>回收综合利用量</w:t>
            </w:r>
            <w:r>
              <w:rPr>
                <w:rFonts w:hint="eastAsia" w:eastAsia="仿宋_GB2312"/>
                <w:bCs/>
              </w:rPr>
              <w:t>不变</w:t>
            </w:r>
            <w:r>
              <w:rPr>
                <w:rFonts w:eastAsia="仿宋_GB2312"/>
                <w:bCs/>
              </w:rPr>
              <w:t>，危废代码增加</w:t>
            </w:r>
          </w:p>
        </w:tc>
      </w:tr>
      <w:tr w14:paraId="0E2F40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3" w:type="pct"/>
            <w:vMerge w:val="continue"/>
            <w:tcBorders>
              <w:tl2br w:val="nil"/>
              <w:tr2bl w:val="nil"/>
            </w:tcBorders>
            <w:vAlign w:val="center"/>
          </w:tcPr>
          <w:p w14:paraId="50A6FDD7">
            <w:pPr>
              <w:widowControl/>
              <w:jc w:val="center"/>
              <w:rPr>
                <w:rFonts w:eastAsia="仿宋_GB2312"/>
                <w:kern w:val="0"/>
                <w:szCs w:val="21"/>
              </w:rPr>
            </w:pPr>
          </w:p>
        </w:tc>
        <w:tc>
          <w:tcPr>
            <w:tcW w:w="372" w:type="pct"/>
            <w:vMerge w:val="continue"/>
            <w:tcBorders>
              <w:tl2br w:val="nil"/>
              <w:tr2bl w:val="nil"/>
            </w:tcBorders>
            <w:vAlign w:val="center"/>
          </w:tcPr>
          <w:p w14:paraId="31651206">
            <w:pPr>
              <w:widowControl/>
              <w:jc w:val="center"/>
              <w:rPr>
                <w:rFonts w:eastAsia="仿宋_GB2312"/>
                <w:kern w:val="0"/>
                <w:szCs w:val="21"/>
              </w:rPr>
            </w:pPr>
          </w:p>
        </w:tc>
        <w:tc>
          <w:tcPr>
            <w:tcW w:w="394" w:type="pct"/>
            <w:tcBorders>
              <w:tl2br w:val="nil"/>
              <w:tr2bl w:val="nil"/>
            </w:tcBorders>
            <w:vAlign w:val="center"/>
          </w:tcPr>
          <w:p w14:paraId="0D713FC2">
            <w:pPr>
              <w:widowControl/>
              <w:jc w:val="center"/>
              <w:rPr>
                <w:rFonts w:eastAsia="仿宋_GB2312"/>
                <w:kern w:val="0"/>
                <w:szCs w:val="21"/>
              </w:rPr>
            </w:pPr>
            <w:r>
              <w:rPr>
                <w:rFonts w:eastAsia="仿宋_GB2312"/>
                <w:kern w:val="0"/>
                <w:szCs w:val="21"/>
              </w:rPr>
              <w:t>HW11</w:t>
            </w:r>
          </w:p>
        </w:tc>
        <w:tc>
          <w:tcPr>
            <w:tcW w:w="1042" w:type="pct"/>
            <w:tcBorders>
              <w:tl2br w:val="nil"/>
              <w:tr2bl w:val="nil"/>
            </w:tcBorders>
            <w:vAlign w:val="center"/>
          </w:tcPr>
          <w:p w14:paraId="4CA7A535">
            <w:pPr>
              <w:widowControl/>
              <w:jc w:val="center"/>
              <w:rPr>
                <w:rFonts w:eastAsia="仿宋_GB2312"/>
                <w:kern w:val="0"/>
                <w:szCs w:val="21"/>
              </w:rPr>
            </w:pPr>
            <w:r>
              <w:rPr>
                <w:rFonts w:eastAsia="仿宋_GB2312"/>
                <w:kern w:val="0"/>
                <w:szCs w:val="21"/>
              </w:rPr>
              <w:t>900-013-11，261-128-11，261-129-11，261-130-11，261-013-11，261-031-11</w:t>
            </w:r>
          </w:p>
        </w:tc>
        <w:tc>
          <w:tcPr>
            <w:tcW w:w="465" w:type="pct"/>
            <w:vMerge w:val="continue"/>
            <w:tcBorders>
              <w:tl2br w:val="nil"/>
              <w:tr2bl w:val="nil"/>
            </w:tcBorders>
            <w:vAlign w:val="center"/>
          </w:tcPr>
          <w:p w14:paraId="5679B0C7">
            <w:pPr>
              <w:widowControl/>
              <w:jc w:val="center"/>
              <w:rPr>
                <w:rFonts w:eastAsia="仿宋_GB2312"/>
                <w:kern w:val="0"/>
                <w:szCs w:val="21"/>
              </w:rPr>
            </w:pPr>
          </w:p>
        </w:tc>
        <w:tc>
          <w:tcPr>
            <w:tcW w:w="384" w:type="pct"/>
            <w:tcBorders>
              <w:tl2br w:val="nil"/>
              <w:tr2bl w:val="nil"/>
            </w:tcBorders>
            <w:shd w:val="clear" w:color="auto" w:fill="auto"/>
            <w:vAlign w:val="center"/>
          </w:tcPr>
          <w:p w14:paraId="157FA9EC">
            <w:pPr>
              <w:widowControl/>
              <w:jc w:val="center"/>
              <w:textAlignment w:val="center"/>
              <w:rPr>
                <w:rFonts w:eastAsia="仿宋_GB2312"/>
                <w:kern w:val="0"/>
                <w:szCs w:val="21"/>
              </w:rPr>
            </w:pPr>
            <w:r>
              <w:rPr>
                <w:kern w:val="0"/>
                <w:szCs w:val="21"/>
                <w:lang w:bidi="ar"/>
              </w:rPr>
              <w:t>HW11</w:t>
            </w:r>
          </w:p>
        </w:tc>
        <w:tc>
          <w:tcPr>
            <w:tcW w:w="1059" w:type="pct"/>
            <w:tcBorders>
              <w:tl2br w:val="nil"/>
              <w:tr2bl w:val="nil"/>
            </w:tcBorders>
            <w:shd w:val="clear" w:color="auto" w:fill="auto"/>
            <w:vAlign w:val="center"/>
          </w:tcPr>
          <w:p w14:paraId="5DA67E3A">
            <w:pPr>
              <w:widowControl/>
              <w:jc w:val="center"/>
              <w:textAlignment w:val="center"/>
              <w:rPr>
                <w:rFonts w:eastAsia="仿宋_GB2312"/>
                <w:kern w:val="0"/>
                <w:szCs w:val="21"/>
              </w:rPr>
            </w:pPr>
            <w:r>
              <w:rPr>
                <w:kern w:val="0"/>
                <w:szCs w:val="21"/>
                <w:lang w:bidi="ar"/>
              </w:rPr>
              <w:t>900-013-11</w:t>
            </w:r>
            <w:r>
              <w:rPr>
                <w:rFonts w:ascii="仿宋_GB2312" w:eastAsia="仿宋_GB2312" w:cs="仿宋_GB2312"/>
                <w:kern w:val="0"/>
                <w:szCs w:val="21"/>
                <w:lang w:bidi="ar"/>
              </w:rPr>
              <w:t>，</w:t>
            </w:r>
            <w:r>
              <w:rPr>
                <w:kern w:val="0"/>
                <w:szCs w:val="21"/>
                <w:lang w:bidi="ar"/>
              </w:rPr>
              <w:t>261-128-11</w:t>
            </w:r>
            <w:r>
              <w:rPr>
                <w:rFonts w:ascii="仿宋_GB2312" w:eastAsia="仿宋_GB2312" w:cs="仿宋_GB2312"/>
                <w:kern w:val="0"/>
                <w:szCs w:val="21"/>
                <w:lang w:bidi="ar"/>
              </w:rPr>
              <w:t>，</w:t>
            </w:r>
            <w:r>
              <w:rPr>
                <w:kern w:val="0"/>
                <w:szCs w:val="21"/>
                <w:lang w:bidi="ar"/>
              </w:rPr>
              <w:t>261-129-11</w:t>
            </w:r>
            <w:r>
              <w:rPr>
                <w:rFonts w:ascii="仿宋_GB2312" w:eastAsia="仿宋_GB2312" w:cs="仿宋_GB2312"/>
                <w:kern w:val="0"/>
                <w:szCs w:val="21"/>
                <w:lang w:bidi="ar"/>
              </w:rPr>
              <w:t>，</w:t>
            </w:r>
            <w:r>
              <w:rPr>
                <w:kern w:val="0"/>
                <w:szCs w:val="21"/>
                <w:lang w:bidi="ar"/>
              </w:rPr>
              <w:t>261-130-11</w:t>
            </w:r>
            <w:r>
              <w:rPr>
                <w:rFonts w:ascii="仿宋_GB2312" w:eastAsia="仿宋_GB2312" w:cs="仿宋_GB2312"/>
                <w:kern w:val="0"/>
                <w:szCs w:val="21"/>
                <w:lang w:bidi="ar"/>
              </w:rPr>
              <w:t>，</w:t>
            </w:r>
            <w:r>
              <w:rPr>
                <w:kern w:val="0"/>
                <w:szCs w:val="21"/>
                <w:lang w:bidi="ar"/>
              </w:rPr>
              <w:t>261-013-11</w:t>
            </w:r>
            <w:r>
              <w:rPr>
                <w:rFonts w:ascii="仿宋_GB2312" w:eastAsia="仿宋_GB2312" w:cs="仿宋_GB2312"/>
                <w:kern w:val="0"/>
                <w:szCs w:val="21"/>
                <w:lang w:bidi="ar"/>
              </w:rPr>
              <w:t>，</w:t>
            </w:r>
            <w:r>
              <w:rPr>
                <w:kern w:val="0"/>
                <w:szCs w:val="21"/>
                <w:lang w:bidi="ar"/>
              </w:rPr>
              <w:t>261-031-11</w:t>
            </w:r>
            <w:r>
              <w:rPr>
                <w:rFonts w:hint="eastAsia" w:ascii="宋体" w:hAnsi="宋体" w:cs="宋体"/>
                <w:kern w:val="0"/>
                <w:szCs w:val="21"/>
                <w:lang w:bidi="ar"/>
              </w:rPr>
              <w:t>，</w:t>
            </w:r>
            <w:r>
              <w:rPr>
                <w:b/>
                <w:bCs/>
                <w:kern w:val="0"/>
                <w:szCs w:val="21"/>
                <w:lang w:bidi="ar"/>
              </w:rPr>
              <w:t>261-012-11</w:t>
            </w:r>
            <w:r>
              <w:rPr>
                <w:rFonts w:hint="eastAsia" w:ascii="宋体" w:hAnsi="宋体" w:cs="宋体"/>
                <w:b/>
                <w:bCs/>
                <w:kern w:val="0"/>
                <w:szCs w:val="21"/>
                <w:lang w:bidi="ar"/>
              </w:rPr>
              <w:t>，</w:t>
            </w:r>
            <w:r>
              <w:rPr>
                <w:b/>
                <w:bCs/>
                <w:kern w:val="0"/>
                <w:szCs w:val="21"/>
                <w:lang w:bidi="ar"/>
              </w:rPr>
              <w:t>261-106-11</w:t>
            </w:r>
          </w:p>
        </w:tc>
        <w:tc>
          <w:tcPr>
            <w:tcW w:w="423" w:type="pct"/>
            <w:vMerge w:val="continue"/>
            <w:tcBorders>
              <w:tl2br w:val="nil"/>
              <w:tr2bl w:val="nil"/>
            </w:tcBorders>
            <w:vAlign w:val="center"/>
          </w:tcPr>
          <w:p w14:paraId="57455973">
            <w:pPr>
              <w:widowControl/>
              <w:jc w:val="center"/>
              <w:rPr>
                <w:rFonts w:eastAsia="仿宋_GB2312"/>
                <w:kern w:val="0"/>
                <w:szCs w:val="21"/>
              </w:rPr>
            </w:pPr>
          </w:p>
        </w:tc>
        <w:tc>
          <w:tcPr>
            <w:tcW w:w="605" w:type="pct"/>
            <w:vMerge w:val="continue"/>
            <w:tcBorders>
              <w:tl2br w:val="nil"/>
              <w:tr2bl w:val="nil"/>
            </w:tcBorders>
            <w:vAlign w:val="center"/>
          </w:tcPr>
          <w:p w14:paraId="1A857D93">
            <w:pPr>
              <w:widowControl/>
              <w:jc w:val="center"/>
              <w:rPr>
                <w:rFonts w:eastAsia="仿宋_GB2312"/>
                <w:kern w:val="0"/>
                <w:szCs w:val="21"/>
              </w:rPr>
            </w:pPr>
          </w:p>
        </w:tc>
      </w:tr>
      <w:tr w14:paraId="7884604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3" w:type="pct"/>
            <w:vMerge w:val="continue"/>
            <w:tcBorders>
              <w:tl2br w:val="nil"/>
              <w:tr2bl w:val="nil"/>
            </w:tcBorders>
            <w:vAlign w:val="center"/>
          </w:tcPr>
          <w:p w14:paraId="45C48F44">
            <w:pPr>
              <w:widowControl/>
              <w:jc w:val="center"/>
              <w:rPr>
                <w:rFonts w:eastAsia="仿宋_GB2312"/>
                <w:kern w:val="0"/>
                <w:szCs w:val="21"/>
              </w:rPr>
            </w:pPr>
          </w:p>
        </w:tc>
        <w:tc>
          <w:tcPr>
            <w:tcW w:w="372" w:type="pct"/>
            <w:vMerge w:val="continue"/>
            <w:tcBorders>
              <w:tl2br w:val="nil"/>
              <w:tr2bl w:val="nil"/>
            </w:tcBorders>
            <w:vAlign w:val="center"/>
          </w:tcPr>
          <w:p w14:paraId="20B903FD">
            <w:pPr>
              <w:widowControl/>
              <w:jc w:val="center"/>
              <w:rPr>
                <w:rFonts w:eastAsia="仿宋_GB2312"/>
                <w:kern w:val="0"/>
                <w:szCs w:val="21"/>
              </w:rPr>
            </w:pPr>
          </w:p>
        </w:tc>
        <w:tc>
          <w:tcPr>
            <w:tcW w:w="394" w:type="pct"/>
            <w:tcBorders>
              <w:tl2br w:val="nil"/>
              <w:tr2bl w:val="nil"/>
            </w:tcBorders>
            <w:vAlign w:val="center"/>
          </w:tcPr>
          <w:p w14:paraId="74DAC40B">
            <w:pPr>
              <w:widowControl/>
              <w:jc w:val="center"/>
              <w:rPr>
                <w:rFonts w:eastAsia="仿宋_GB2312"/>
                <w:kern w:val="0"/>
                <w:szCs w:val="21"/>
              </w:rPr>
            </w:pPr>
            <w:r>
              <w:rPr>
                <w:rFonts w:eastAsia="仿宋_GB2312"/>
                <w:kern w:val="0"/>
                <w:szCs w:val="21"/>
              </w:rPr>
              <w:t>HW12</w:t>
            </w:r>
          </w:p>
        </w:tc>
        <w:tc>
          <w:tcPr>
            <w:tcW w:w="1042" w:type="pct"/>
            <w:tcBorders>
              <w:tl2br w:val="nil"/>
              <w:tr2bl w:val="nil"/>
            </w:tcBorders>
            <w:vAlign w:val="center"/>
          </w:tcPr>
          <w:p w14:paraId="079FD09D">
            <w:pPr>
              <w:widowControl/>
              <w:jc w:val="center"/>
              <w:rPr>
                <w:rFonts w:eastAsia="仿宋_GB2312"/>
                <w:kern w:val="0"/>
                <w:szCs w:val="21"/>
              </w:rPr>
            </w:pPr>
            <w:r>
              <w:rPr>
                <w:rFonts w:eastAsia="仿宋_GB2312"/>
                <w:kern w:val="0"/>
                <w:szCs w:val="21"/>
              </w:rPr>
              <w:t>264-011-12，264-013-12</w:t>
            </w:r>
          </w:p>
        </w:tc>
        <w:tc>
          <w:tcPr>
            <w:tcW w:w="465" w:type="pct"/>
            <w:vMerge w:val="continue"/>
            <w:tcBorders>
              <w:tl2br w:val="nil"/>
              <w:tr2bl w:val="nil"/>
            </w:tcBorders>
            <w:vAlign w:val="center"/>
          </w:tcPr>
          <w:p w14:paraId="1912B8D5">
            <w:pPr>
              <w:widowControl/>
              <w:jc w:val="center"/>
              <w:rPr>
                <w:rFonts w:eastAsia="仿宋_GB2312"/>
                <w:kern w:val="0"/>
                <w:szCs w:val="21"/>
              </w:rPr>
            </w:pPr>
          </w:p>
        </w:tc>
        <w:tc>
          <w:tcPr>
            <w:tcW w:w="384" w:type="pct"/>
            <w:tcBorders>
              <w:tl2br w:val="nil"/>
              <w:tr2bl w:val="nil"/>
            </w:tcBorders>
            <w:shd w:val="clear" w:color="auto" w:fill="auto"/>
            <w:vAlign w:val="center"/>
          </w:tcPr>
          <w:p w14:paraId="7E4973C7">
            <w:pPr>
              <w:widowControl/>
              <w:jc w:val="center"/>
              <w:textAlignment w:val="center"/>
              <w:rPr>
                <w:rFonts w:eastAsia="仿宋_GB2312"/>
                <w:kern w:val="0"/>
                <w:szCs w:val="21"/>
              </w:rPr>
            </w:pPr>
            <w:r>
              <w:rPr>
                <w:kern w:val="0"/>
                <w:szCs w:val="21"/>
                <w:lang w:bidi="ar"/>
              </w:rPr>
              <w:t>HW12</w:t>
            </w:r>
          </w:p>
        </w:tc>
        <w:tc>
          <w:tcPr>
            <w:tcW w:w="1059" w:type="pct"/>
            <w:tcBorders>
              <w:tl2br w:val="nil"/>
              <w:tr2bl w:val="nil"/>
            </w:tcBorders>
            <w:shd w:val="clear" w:color="auto" w:fill="auto"/>
            <w:vAlign w:val="center"/>
          </w:tcPr>
          <w:p w14:paraId="62EBA688">
            <w:pPr>
              <w:widowControl/>
              <w:jc w:val="center"/>
              <w:textAlignment w:val="center"/>
              <w:rPr>
                <w:rFonts w:eastAsia="仿宋_GB2312"/>
                <w:kern w:val="0"/>
                <w:szCs w:val="21"/>
              </w:rPr>
            </w:pPr>
            <w:r>
              <w:rPr>
                <w:kern w:val="0"/>
                <w:szCs w:val="21"/>
                <w:lang w:bidi="ar"/>
              </w:rPr>
              <w:t>264-011-12</w:t>
            </w:r>
            <w:r>
              <w:rPr>
                <w:rFonts w:ascii="仿宋_GB2312" w:eastAsia="仿宋_GB2312" w:cs="仿宋_GB2312"/>
                <w:kern w:val="0"/>
                <w:szCs w:val="21"/>
                <w:lang w:bidi="ar"/>
              </w:rPr>
              <w:t>，</w:t>
            </w:r>
            <w:r>
              <w:rPr>
                <w:kern w:val="0"/>
                <w:szCs w:val="21"/>
                <w:lang w:bidi="ar"/>
              </w:rPr>
              <w:t>264-013-12</w:t>
            </w:r>
          </w:p>
        </w:tc>
        <w:tc>
          <w:tcPr>
            <w:tcW w:w="423" w:type="pct"/>
            <w:vMerge w:val="continue"/>
            <w:tcBorders>
              <w:tl2br w:val="nil"/>
              <w:tr2bl w:val="nil"/>
            </w:tcBorders>
            <w:vAlign w:val="center"/>
          </w:tcPr>
          <w:p w14:paraId="05609862">
            <w:pPr>
              <w:widowControl/>
              <w:jc w:val="center"/>
              <w:rPr>
                <w:rFonts w:eastAsia="仿宋_GB2312"/>
                <w:kern w:val="0"/>
                <w:szCs w:val="21"/>
              </w:rPr>
            </w:pPr>
          </w:p>
        </w:tc>
        <w:tc>
          <w:tcPr>
            <w:tcW w:w="605" w:type="pct"/>
            <w:vMerge w:val="continue"/>
            <w:tcBorders>
              <w:tl2br w:val="nil"/>
              <w:tr2bl w:val="nil"/>
            </w:tcBorders>
            <w:vAlign w:val="center"/>
          </w:tcPr>
          <w:p w14:paraId="65C2AD6F">
            <w:pPr>
              <w:widowControl/>
              <w:jc w:val="center"/>
              <w:rPr>
                <w:rFonts w:eastAsia="仿宋_GB2312"/>
                <w:kern w:val="0"/>
                <w:szCs w:val="21"/>
              </w:rPr>
            </w:pPr>
          </w:p>
        </w:tc>
      </w:tr>
      <w:tr w14:paraId="591A579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3" w:type="pct"/>
            <w:vMerge w:val="continue"/>
            <w:tcBorders>
              <w:tl2br w:val="nil"/>
              <w:tr2bl w:val="nil"/>
            </w:tcBorders>
            <w:vAlign w:val="center"/>
          </w:tcPr>
          <w:p w14:paraId="096D6ACB">
            <w:pPr>
              <w:widowControl/>
              <w:jc w:val="center"/>
              <w:rPr>
                <w:rFonts w:eastAsia="仿宋_GB2312"/>
                <w:kern w:val="0"/>
                <w:szCs w:val="21"/>
              </w:rPr>
            </w:pPr>
          </w:p>
        </w:tc>
        <w:tc>
          <w:tcPr>
            <w:tcW w:w="372" w:type="pct"/>
            <w:vMerge w:val="continue"/>
            <w:tcBorders>
              <w:tl2br w:val="nil"/>
              <w:tr2bl w:val="nil"/>
            </w:tcBorders>
            <w:vAlign w:val="center"/>
          </w:tcPr>
          <w:p w14:paraId="45A6A4D2">
            <w:pPr>
              <w:widowControl/>
              <w:jc w:val="center"/>
              <w:rPr>
                <w:rFonts w:eastAsia="仿宋_GB2312"/>
                <w:kern w:val="0"/>
                <w:szCs w:val="21"/>
              </w:rPr>
            </w:pPr>
          </w:p>
        </w:tc>
        <w:tc>
          <w:tcPr>
            <w:tcW w:w="394" w:type="pct"/>
            <w:tcBorders>
              <w:tl2br w:val="nil"/>
              <w:tr2bl w:val="nil"/>
            </w:tcBorders>
            <w:vAlign w:val="center"/>
          </w:tcPr>
          <w:p w14:paraId="250DD32C">
            <w:pPr>
              <w:widowControl/>
              <w:jc w:val="center"/>
              <w:rPr>
                <w:rFonts w:eastAsia="仿宋_GB2312"/>
                <w:kern w:val="0"/>
                <w:szCs w:val="21"/>
              </w:rPr>
            </w:pPr>
            <w:r>
              <w:rPr>
                <w:rFonts w:eastAsia="仿宋_GB2312"/>
                <w:kern w:val="0"/>
                <w:szCs w:val="21"/>
              </w:rPr>
              <w:t>HW13</w:t>
            </w:r>
          </w:p>
        </w:tc>
        <w:tc>
          <w:tcPr>
            <w:tcW w:w="1042" w:type="pct"/>
            <w:tcBorders>
              <w:tl2br w:val="nil"/>
              <w:tr2bl w:val="nil"/>
            </w:tcBorders>
            <w:vAlign w:val="center"/>
          </w:tcPr>
          <w:p w14:paraId="1E6B1262">
            <w:pPr>
              <w:widowControl/>
              <w:jc w:val="center"/>
              <w:rPr>
                <w:rFonts w:eastAsia="仿宋_GB2312"/>
                <w:kern w:val="0"/>
                <w:szCs w:val="21"/>
              </w:rPr>
            </w:pPr>
            <w:r>
              <w:rPr>
                <w:rFonts w:eastAsia="仿宋_GB2312"/>
                <w:kern w:val="0"/>
                <w:szCs w:val="21"/>
              </w:rPr>
              <w:t>265-102-13，265-103-13，900-016-13</w:t>
            </w:r>
          </w:p>
        </w:tc>
        <w:tc>
          <w:tcPr>
            <w:tcW w:w="465" w:type="pct"/>
            <w:vMerge w:val="continue"/>
            <w:tcBorders>
              <w:tl2br w:val="nil"/>
              <w:tr2bl w:val="nil"/>
            </w:tcBorders>
            <w:vAlign w:val="center"/>
          </w:tcPr>
          <w:p w14:paraId="0CACF373">
            <w:pPr>
              <w:widowControl/>
              <w:jc w:val="center"/>
              <w:rPr>
                <w:rFonts w:eastAsia="仿宋_GB2312"/>
                <w:kern w:val="0"/>
                <w:szCs w:val="21"/>
              </w:rPr>
            </w:pPr>
          </w:p>
        </w:tc>
        <w:tc>
          <w:tcPr>
            <w:tcW w:w="384" w:type="pct"/>
            <w:tcBorders>
              <w:tl2br w:val="nil"/>
              <w:tr2bl w:val="nil"/>
            </w:tcBorders>
            <w:shd w:val="clear" w:color="auto" w:fill="auto"/>
            <w:vAlign w:val="center"/>
          </w:tcPr>
          <w:p w14:paraId="62043EF1">
            <w:pPr>
              <w:widowControl/>
              <w:jc w:val="center"/>
              <w:textAlignment w:val="center"/>
              <w:rPr>
                <w:rFonts w:eastAsia="仿宋_GB2312"/>
                <w:kern w:val="0"/>
                <w:szCs w:val="21"/>
              </w:rPr>
            </w:pPr>
            <w:r>
              <w:rPr>
                <w:kern w:val="0"/>
                <w:szCs w:val="21"/>
                <w:lang w:bidi="ar"/>
              </w:rPr>
              <w:t>HW13</w:t>
            </w:r>
          </w:p>
        </w:tc>
        <w:tc>
          <w:tcPr>
            <w:tcW w:w="1059" w:type="pct"/>
            <w:tcBorders>
              <w:tl2br w:val="nil"/>
              <w:tr2bl w:val="nil"/>
            </w:tcBorders>
            <w:shd w:val="clear" w:color="auto" w:fill="auto"/>
            <w:vAlign w:val="center"/>
          </w:tcPr>
          <w:p w14:paraId="57EF9E48">
            <w:pPr>
              <w:widowControl/>
              <w:jc w:val="center"/>
              <w:textAlignment w:val="center"/>
              <w:rPr>
                <w:rFonts w:eastAsia="仿宋_GB2312"/>
                <w:kern w:val="0"/>
                <w:szCs w:val="21"/>
              </w:rPr>
            </w:pPr>
            <w:r>
              <w:rPr>
                <w:kern w:val="0"/>
                <w:szCs w:val="21"/>
                <w:lang w:bidi="ar"/>
              </w:rPr>
              <w:t>265-102-13</w:t>
            </w:r>
            <w:r>
              <w:rPr>
                <w:rFonts w:ascii="仿宋_GB2312" w:eastAsia="仿宋_GB2312" w:cs="仿宋_GB2312"/>
                <w:kern w:val="0"/>
                <w:szCs w:val="21"/>
                <w:lang w:bidi="ar"/>
              </w:rPr>
              <w:t>，</w:t>
            </w:r>
            <w:r>
              <w:rPr>
                <w:kern w:val="0"/>
                <w:szCs w:val="21"/>
                <w:lang w:bidi="ar"/>
              </w:rPr>
              <w:t>265-103-13</w:t>
            </w:r>
            <w:r>
              <w:rPr>
                <w:rFonts w:ascii="仿宋_GB2312" w:eastAsia="仿宋_GB2312" w:cs="仿宋_GB2312"/>
                <w:kern w:val="0"/>
                <w:szCs w:val="21"/>
                <w:lang w:bidi="ar"/>
              </w:rPr>
              <w:t>，</w:t>
            </w:r>
            <w:r>
              <w:rPr>
                <w:kern w:val="0"/>
                <w:szCs w:val="21"/>
                <w:lang w:bidi="ar"/>
              </w:rPr>
              <w:t>900-016-13</w:t>
            </w:r>
          </w:p>
        </w:tc>
        <w:tc>
          <w:tcPr>
            <w:tcW w:w="423" w:type="pct"/>
            <w:vMerge w:val="continue"/>
            <w:tcBorders>
              <w:tl2br w:val="nil"/>
              <w:tr2bl w:val="nil"/>
            </w:tcBorders>
            <w:vAlign w:val="center"/>
          </w:tcPr>
          <w:p w14:paraId="1E981E3A">
            <w:pPr>
              <w:widowControl/>
              <w:jc w:val="center"/>
              <w:rPr>
                <w:rFonts w:eastAsia="仿宋_GB2312"/>
                <w:kern w:val="0"/>
                <w:szCs w:val="21"/>
              </w:rPr>
            </w:pPr>
          </w:p>
        </w:tc>
        <w:tc>
          <w:tcPr>
            <w:tcW w:w="605" w:type="pct"/>
            <w:vMerge w:val="continue"/>
            <w:tcBorders>
              <w:tl2br w:val="nil"/>
              <w:tr2bl w:val="nil"/>
            </w:tcBorders>
            <w:vAlign w:val="center"/>
          </w:tcPr>
          <w:p w14:paraId="4CCC6A64">
            <w:pPr>
              <w:widowControl/>
              <w:jc w:val="center"/>
              <w:rPr>
                <w:rFonts w:eastAsia="仿宋_GB2312"/>
                <w:kern w:val="0"/>
                <w:szCs w:val="21"/>
              </w:rPr>
            </w:pPr>
          </w:p>
        </w:tc>
      </w:tr>
      <w:tr w14:paraId="48C749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3" w:type="pct"/>
            <w:vMerge w:val="restart"/>
            <w:tcBorders>
              <w:tl2br w:val="nil"/>
              <w:tr2bl w:val="nil"/>
            </w:tcBorders>
            <w:vAlign w:val="center"/>
          </w:tcPr>
          <w:p w14:paraId="629E3C53">
            <w:pPr>
              <w:widowControl/>
              <w:jc w:val="center"/>
              <w:rPr>
                <w:rFonts w:eastAsia="仿宋_GB2312"/>
                <w:kern w:val="0"/>
                <w:szCs w:val="21"/>
              </w:rPr>
            </w:pPr>
            <w:r>
              <w:rPr>
                <w:rFonts w:eastAsia="仿宋_GB2312"/>
                <w:kern w:val="0"/>
                <w:szCs w:val="21"/>
              </w:rPr>
              <w:t>23</w:t>
            </w:r>
          </w:p>
        </w:tc>
        <w:tc>
          <w:tcPr>
            <w:tcW w:w="372" w:type="pct"/>
            <w:vMerge w:val="restart"/>
            <w:tcBorders>
              <w:tl2br w:val="nil"/>
              <w:tr2bl w:val="nil"/>
            </w:tcBorders>
            <w:vAlign w:val="center"/>
          </w:tcPr>
          <w:p w14:paraId="6B7D3682">
            <w:pPr>
              <w:widowControl/>
              <w:jc w:val="center"/>
              <w:rPr>
                <w:rFonts w:eastAsia="仿宋_GB2312"/>
                <w:kern w:val="0"/>
                <w:szCs w:val="21"/>
              </w:rPr>
            </w:pPr>
            <w:r>
              <w:rPr>
                <w:rFonts w:eastAsia="仿宋_GB2312"/>
                <w:kern w:val="0"/>
                <w:szCs w:val="21"/>
              </w:rPr>
              <w:t>乙酸甲酯废液</w:t>
            </w:r>
          </w:p>
        </w:tc>
        <w:tc>
          <w:tcPr>
            <w:tcW w:w="394" w:type="pct"/>
            <w:tcBorders>
              <w:tl2br w:val="nil"/>
              <w:tr2bl w:val="nil"/>
            </w:tcBorders>
            <w:vAlign w:val="center"/>
          </w:tcPr>
          <w:p w14:paraId="3DA10AD1">
            <w:pPr>
              <w:widowControl/>
              <w:jc w:val="center"/>
              <w:rPr>
                <w:rFonts w:eastAsia="仿宋_GB2312"/>
                <w:kern w:val="0"/>
                <w:szCs w:val="21"/>
              </w:rPr>
            </w:pPr>
            <w:r>
              <w:rPr>
                <w:rFonts w:eastAsia="仿宋_GB2312"/>
                <w:kern w:val="0"/>
                <w:szCs w:val="21"/>
              </w:rPr>
              <w:t>HW02</w:t>
            </w:r>
          </w:p>
        </w:tc>
        <w:tc>
          <w:tcPr>
            <w:tcW w:w="1042" w:type="pct"/>
            <w:tcBorders>
              <w:tl2br w:val="nil"/>
              <w:tr2bl w:val="nil"/>
            </w:tcBorders>
            <w:vAlign w:val="center"/>
          </w:tcPr>
          <w:p w14:paraId="6628DBD9">
            <w:pPr>
              <w:widowControl/>
              <w:jc w:val="center"/>
              <w:rPr>
                <w:rFonts w:eastAsia="仿宋_GB2312"/>
                <w:kern w:val="0"/>
                <w:szCs w:val="21"/>
              </w:rPr>
            </w:pPr>
            <w:r>
              <w:rPr>
                <w:rFonts w:eastAsia="仿宋_GB2312"/>
                <w:kern w:val="0"/>
                <w:szCs w:val="21"/>
              </w:rPr>
              <w:t>271-001-02，271-002-02，</w:t>
            </w:r>
            <w:r>
              <w:rPr>
                <w:rFonts w:hint="eastAsia" w:eastAsia="仿宋_GB2312"/>
                <w:kern w:val="0"/>
                <w:szCs w:val="21"/>
              </w:rPr>
              <w:t>271-004-02，</w:t>
            </w:r>
            <w:r>
              <w:rPr>
                <w:rFonts w:eastAsia="仿宋_GB2312"/>
                <w:kern w:val="0"/>
                <w:szCs w:val="21"/>
              </w:rPr>
              <w:t>272-001-02，</w:t>
            </w:r>
            <w:r>
              <w:rPr>
                <w:rFonts w:hint="eastAsia" w:eastAsia="仿宋_GB2312"/>
                <w:kern w:val="0"/>
                <w:szCs w:val="21"/>
              </w:rPr>
              <w:t>272-003-02，275-004-02，275-005-02，</w:t>
            </w:r>
            <w:r>
              <w:rPr>
                <w:rFonts w:eastAsia="仿宋_GB2312"/>
                <w:kern w:val="0"/>
                <w:szCs w:val="21"/>
              </w:rPr>
              <w:t>276-001-02，276-002-02</w:t>
            </w:r>
            <w:r>
              <w:rPr>
                <w:rFonts w:hint="eastAsia" w:eastAsia="仿宋_GB2312"/>
                <w:kern w:val="0"/>
                <w:szCs w:val="21"/>
              </w:rPr>
              <w:t>，276-004-02</w:t>
            </w:r>
          </w:p>
        </w:tc>
        <w:tc>
          <w:tcPr>
            <w:tcW w:w="465" w:type="pct"/>
            <w:vMerge w:val="restart"/>
            <w:tcBorders>
              <w:tl2br w:val="nil"/>
              <w:tr2bl w:val="nil"/>
            </w:tcBorders>
            <w:vAlign w:val="center"/>
          </w:tcPr>
          <w:p w14:paraId="48871190">
            <w:pPr>
              <w:widowControl/>
              <w:jc w:val="center"/>
              <w:rPr>
                <w:rFonts w:eastAsia="仿宋_GB2312"/>
                <w:kern w:val="0"/>
                <w:szCs w:val="21"/>
              </w:rPr>
            </w:pPr>
            <w:r>
              <w:rPr>
                <w:rFonts w:eastAsia="仿宋_GB2312"/>
                <w:kern w:val="0"/>
                <w:szCs w:val="21"/>
              </w:rPr>
              <w:t>1050</w:t>
            </w:r>
          </w:p>
        </w:tc>
        <w:tc>
          <w:tcPr>
            <w:tcW w:w="384" w:type="pct"/>
            <w:tcBorders>
              <w:tl2br w:val="nil"/>
              <w:tr2bl w:val="nil"/>
            </w:tcBorders>
            <w:shd w:val="clear" w:color="auto" w:fill="auto"/>
            <w:vAlign w:val="center"/>
          </w:tcPr>
          <w:p w14:paraId="00B99337">
            <w:pPr>
              <w:widowControl/>
              <w:jc w:val="center"/>
              <w:textAlignment w:val="center"/>
              <w:rPr>
                <w:rFonts w:eastAsia="仿宋_GB2312"/>
                <w:kern w:val="0"/>
                <w:szCs w:val="21"/>
              </w:rPr>
            </w:pPr>
            <w:r>
              <w:rPr>
                <w:kern w:val="0"/>
                <w:szCs w:val="21"/>
                <w:lang w:bidi="ar"/>
              </w:rPr>
              <w:t>HW02</w:t>
            </w:r>
          </w:p>
        </w:tc>
        <w:tc>
          <w:tcPr>
            <w:tcW w:w="1059" w:type="pct"/>
            <w:tcBorders>
              <w:tl2br w:val="nil"/>
              <w:tr2bl w:val="nil"/>
            </w:tcBorders>
            <w:shd w:val="clear" w:color="auto" w:fill="auto"/>
            <w:vAlign w:val="center"/>
          </w:tcPr>
          <w:p w14:paraId="6A51468C">
            <w:pPr>
              <w:widowControl/>
              <w:jc w:val="center"/>
              <w:textAlignment w:val="center"/>
              <w:rPr>
                <w:rFonts w:eastAsia="仿宋_GB2312"/>
                <w:kern w:val="0"/>
                <w:szCs w:val="21"/>
              </w:rPr>
            </w:pPr>
            <w:r>
              <w:rPr>
                <w:kern w:val="0"/>
                <w:szCs w:val="21"/>
                <w:lang w:bidi="ar"/>
              </w:rPr>
              <w:t>271-001-02</w:t>
            </w:r>
            <w:r>
              <w:rPr>
                <w:rFonts w:ascii="仿宋_GB2312" w:eastAsia="仿宋_GB2312" w:cs="仿宋_GB2312"/>
                <w:kern w:val="0"/>
                <w:szCs w:val="21"/>
                <w:lang w:bidi="ar"/>
              </w:rPr>
              <w:t>，</w:t>
            </w:r>
            <w:r>
              <w:rPr>
                <w:kern w:val="0"/>
                <w:szCs w:val="21"/>
                <w:lang w:bidi="ar"/>
              </w:rPr>
              <w:t>271-002-02</w:t>
            </w:r>
            <w:r>
              <w:rPr>
                <w:rFonts w:ascii="仿宋_GB2312" w:eastAsia="仿宋_GB2312" w:cs="仿宋_GB2312"/>
                <w:kern w:val="0"/>
                <w:szCs w:val="21"/>
                <w:lang w:bidi="ar"/>
              </w:rPr>
              <w:t>，</w:t>
            </w:r>
            <w:r>
              <w:rPr>
                <w:kern w:val="0"/>
                <w:szCs w:val="21"/>
                <w:lang w:bidi="ar"/>
              </w:rPr>
              <w:t>272-001-02</w:t>
            </w:r>
            <w:r>
              <w:rPr>
                <w:rFonts w:ascii="仿宋_GB2312" w:eastAsia="仿宋_GB2312" w:cs="仿宋_GB2312"/>
                <w:kern w:val="0"/>
                <w:szCs w:val="21"/>
                <w:lang w:bidi="ar"/>
              </w:rPr>
              <w:t>，</w:t>
            </w:r>
            <w:r>
              <w:rPr>
                <w:b/>
                <w:bCs/>
                <w:kern w:val="0"/>
                <w:szCs w:val="21"/>
                <w:lang w:bidi="ar"/>
              </w:rPr>
              <w:t>272-00</w:t>
            </w:r>
            <w:r>
              <w:rPr>
                <w:rFonts w:hint="eastAsia"/>
                <w:b/>
                <w:bCs/>
                <w:kern w:val="0"/>
                <w:szCs w:val="21"/>
                <w:lang w:val="en-US" w:eastAsia="zh-CN" w:bidi="ar"/>
              </w:rPr>
              <w:t>5</w:t>
            </w:r>
            <w:r>
              <w:rPr>
                <w:b/>
                <w:bCs/>
                <w:kern w:val="0"/>
                <w:szCs w:val="21"/>
                <w:lang w:bidi="ar"/>
              </w:rPr>
              <w:t>-02</w:t>
            </w:r>
            <w:r>
              <w:rPr>
                <w:rFonts w:ascii="仿宋_GB2312" w:eastAsia="仿宋_GB2312" w:cs="仿宋_GB2312"/>
                <w:kern w:val="0"/>
                <w:szCs w:val="21"/>
                <w:lang w:bidi="ar"/>
              </w:rPr>
              <w:t>，</w:t>
            </w:r>
            <w:r>
              <w:rPr>
                <w:kern w:val="0"/>
                <w:szCs w:val="21"/>
                <w:lang w:bidi="ar"/>
              </w:rPr>
              <w:t>275-004-02</w:t>
            </w:r>
            <w:r>
              <w:rPr>
                <w:rFonts w:ascii="仿宋_GB2312" w:eastAsia="仿宋_GB2312" w:cs="仿宋_GB2312"/>
                <w:kern w:val="0"/>
                <w:szCs w:val="21"/>
                <w:lang w:bidi="ar"/>
              </w:rPr>
              <w:t>，</w:t>
            </w:r>
            <w:r>
              <w:rPr>
                <w:b/>
                <w:bCs/>
                <w:kern w:val="0"/>
                <w:szCs w:val="21"/>
                <w:lang w:bidi="ar"/>
              </w:rPr>
              <w:t>275-00</w:t>
            </w:r>
            <w:r>
              <w:rPr>
                <w:rFonts w:hint="eastAsia"/>
                <w:b/>
                <w:bCs/>
                <w:kern w:val="0"/>
                <w:szCs w:val="21"/>
                <w:lang w:val="en-US" w:eastAsia="zh-CN" w:bidi="ar"/>
              </w:rPr>
              <w:t>6</w:t>
            </w:r>
            <w:r>
              <w:rPr>
                <w:b/>
                <w:bCs/>
                <w:kern w:val="0"/>
                <w:szCs w:val="21"/>
                <w:lang w:bidi="ar"/>
              </w:rPr>
              <w:t>-02</w:t>
            </w:r>
            <w:r>
              <w:rPr>
                <w:rFonts w:ascii="仿宋_GB2312" w:eastAsia="仿宋_GB2312" w:cs="仿宋_GB2312"/>
                <w:kern w:val="0"/>
                <w:szCs w:val="21"/>
                <w:lang w:bidi="ar"/>
              </w:rPr>
              <w:t>，</w:t>
            </w:r>
            <w:r>
              <w:rPr>
                <w:kern w:val="0"/>
                <w:szCs w:val="21"/>
                <w:lang w:bidi="ar"/>
              </w:rPr>
              <w:t>276-001-02</w:t>
            </w:r>
            <w:r>
              <w:rPr>
                <w:rFonts w:ascii="仿宋_GB2312" w:eastAsia="仿宋_GB2312" w:cs="仿宋_GB2312"/>
                <w:kern w:val="0"/>
                <w:szCs w:val="21"/>
                <w:lang w:bidi="ar"/>
              </w:rPr>
              <w:t>，</w:t>
            </w:r>
            <w:r>
              <w:rPr>
                <w:kern w:val="0"/>
                <w:szCs w:val="21"/>
                <w:lang w:bidi="ar"/>
              </w:rPr>
              <w:t>276-002-02</w:t>
            </w:r>
            <w:r>
              <w:rPr>
                <w:rFonts w:ascii="仿宋_GB2312" w:eastAsia="仿宋_GB2312" w:cs="仿宋_GB2312"/>
                <w:kern w:val="0"/>
                <w:szCs w:val="21"/>
                <w:lang w:bidi="ar"/>
              </w:rPr>
              <w:t>，</w:t>
            </w:r>
            <w:r>
              <w:rPr>
                <w:b/>
                <w:bCs/>
                <w:kern w:val="0"/>
                <w:szCs w:val="21"/>
                <w:lang w:bidi="ar"/>
              </w:rPr>
              <w:t>276-00</w:t>
            </w:r>
            <w:r>
              <w:rPr>
                <w:rFonts w:hint="eastAsia"/>
                <w:b/>
                <w:bCs/>
                <w:kern w:val="0"/>
                <w:szCs w:val="21"/>
                <w:lang w:val="en-US" w:eastAsia="zh-CN" w:bidi="ar"/>
              </w:rPr>
              <w:t>5</w:t>
            </w:r>
            <w:r>
              <w:rPr>
                <w:b/>
                <w:bCs/>
                <w:kern w:val="0"/>
                <w:szCs w:val="21"/>
                <w:lang w:bidi="ar"/>
              </w:rPr>
              <w:t>-02</w:t>
            </w:r>
          </w:p>
        </w:tc>
        <w:tc>
          <w:tcPr>
            <w:tcW w:w="423" w:type="pct"/>
            <w:vMerge w:val="restart"/>
            <w:tcBorders>
              <w:tl2br w:val="nil"/>
              <w:tr2bl w:val="nil"/>
            </w:tcBorders>
            <w:vAlign w:val="center"/>
          </w:tcPr>
          <w:p w14:paraId="4B0C5116">
            <w:pPr>
              <w:widowControl/>
              <w:jc w:val="center"/>
              <w:rPr>
                <w:rFonts w:eastAsia="仿宋_GB2312"/>
                <w:kern w:val="0"/>
                <w:szCs w:val="21"/>
              </w:rPr>
            </w:pPr>
            <w:r>
              <w:rPr>
                <w:rFonts w:hint="eastAsia" w:eastAsia="仿宋_GB2312"/>
                <w:kern w:val="0"/>
                <w:szCs w:val="21"/>
              </w:rPr>
              <w:t>1050</w:t>
            </w:r>
          </w:p>
        </w:tc>
        <w:tc>
          <w:tcPr>
            <w:tcW w:w="605" w:type="pct"/>
            <w:vMerge w:val="restart"/>
            <w:tcBorders>
              <w:tl2br w:val="nil"/>
              <w:tr2bl w:val="nil"/>
            </w:tcBorders>
            <w:vAlign w:val="center"/>
          </w:tcPr>
          <w:p w14:paraId="328F9155">
            <w:pPr>
              <w:widowControl/>
              <w:jc w:val="center"/>
              <w:rPr>
                <w:rFonts w:eastAsia="仿宋_GB2312"/>
                <w:kern w:val="0"/>
                <w:szCs w:val="21"/>
              </w:rPr>
            </w:pPr>
            <w:r>
              <w:rPr>
                <w:rFonts w:eastAsia="仿宋_GB2312"/>
                <w:bCs/>
              </w:rPr>
              <w:t>回收综合利用量</w:t>
            </w:r>
            <w:r>
              <w:rPr>
                <w:rFonts w:hint="eastAsia" w:eastAsia="仿宋_GB2312"/>
                <w:bCs/>
              </w:rPr>
              <w:t>不变</w:t>
            </w:r>
            <w:r>
              <w:rPr>
                <w:rFonts w:eastAsia="仿宋_GB2312"/>
                <w:bCs/>
              </w:rPr>
              <w:t>，危废代码增加</w:t>
            </w:r>
          </w:p>
        </w:tc>
      </w:tr>
      <w:tr w14:paraId="20049A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3" w:type="pct"/>
            <w:vMerge w:val="continue"/>
            <w:tcBorders>
              <w:tl2br w:val="nil"/>
              <w:tr2bl w:val="nil"/>
            </w:tcBorders>
            <w:vAlign w:val="center"/>
          </w:tcPr>
          <w:p w14:paraId="2060D14D">
            <w:pPr>
              <w:widowControl/>
              <w:jc w:val="center"/>
              <w:rPr>
                <w:rFonts w:eastAsia="仿宋_GB2312"/>
                <w:kern w:val="0"/>
                <w:szCs w:val="21"/>
              </w:rPr>
            </w:pPr>
          </w:p>
        </w:tc>
        <w:tc>
          <w:tcPr>
            <w:tcW w:w="372" w:type="pct"/>
            <w:vMerge w:val="continue"/>
            <w:tcBorders>
              <w:tl2br w:val="nil"/>
              <w:tr2bl w:val="nil"/>
            </w:tcBorders>
            <w:vAlign w:val="center"/>
          </w:tcPr>
          <w:p w14:paraId="3D4A3DB5">
            <w:pPr>
              <w:widowControl/>
              <w:jc w:val="center"/>
              <w:rPr>
                <w:rFonts w:eastAsia="仿宋_GB2312"/>
                <w:kern w:val="0"/>
                <w:szCs w:val="21"/>
              </w:rPr>
            </w:pPr>
          </w:p>
        </w:tc>
        <w:tc>
          <w:tcPr>
            <w:tcW w:w="394" w:type="pct"/>
            <w:tcBorders>
              <w:tl2br w:val="nil"/>
              <w:tr2bl w:val="nil"/>
            </w:tcBorders>
            <w:shd w:val="clear" w:color="auto" w:fill="auto"/>
            <w:vAlign w:val="center"/>
          </w:tcPr>
          <w:p w14:paraId="642E0E36">
            <w:pPr>
              <w:widowControl/>
              <w:jc w:val="center"/>
              <w:rPr>
                <w:rFonts w:eastAsia="仿宋_GB2312"/>
                <w:kern w:val="0"/>
                <w:szCs w:val="21"/>
              </w:rPr>
            </w:pPr>
            <w:r>
              <w:rPr>
                <w:rFonts w:hint="eastAsia" w:eastAsia="仿宋_GB2312"/>
                <w:kern w:val="0"/>
                <w:szCs w:val="21"/>
              </w:rPr>
              <w:t>/</w:t>
            </w:r>
          </w:p>
        </w:tc>
        <w:tc>
          <w:tcPr>
            <w:tcW w:w="1042" w:type="pct"/>
            <w:tcBorders>
              <w:tl2br w:val="nil"/>
              <w:tr2bl w:val="nil"/>
            </w:tcBorders>
            <w:shd w:val="clear" w:color="auto" w:fill="auto"/>
            <w:vAlign w:val="center"/>
          </w:tcPr>
          <w:p w14:paraId="55E41611">
            <w:pPr>
              <w:widowControl/>
              <w:jc w:val="center"/>
              <w:rPr>
                <w:rFonts w:eastAsia="仿宋_GB2312"/>
                <w:kern w:val="0"/>
                <w:szCs w:val="21"/>
              </w:rPr>
            </w:pPr>
            <w:r>
              <w:rPr>
                <w:rFonts w:hint="eastAsia" w:eastAsia="仿宋_GB2312"/>
                <w:kern w:val="0"/>
                <w:szCs w:val="21"/>
              </w:rPr>
              <w:t>/</w:t>
            </w:r>
          </w:p>
        </w:tc>
        <w:tc>
          <w:tcPr>
            <w:tcW w:w="465" w:type="pct"/>
            <w:vMerge w:val="continue"/>
            <w:tcBorders>
              <w:tl2br w:val="nil"/>
              <w:tr2bl w:val="nil"/>
            </w:tcBorders>
            <w:vAlign w:val="center"/>
          </w:tcPr>
          <w:p w14:paraId="2A2F6BF5">
            <w:pPr>
              <w:widowControl/>
              <w:jc w:val="center"/>
              <w:rPr>
                <w:rFonts w:eastAsia="仿宋_GB2312"/>
                <w:kern w:val="0"/>
                <w:szCs w:val="21"/>
              </w:rPr>
            </w:pPr>
          </w:p>
        </w:tc>
        <w:tc>
          <w:tcPr>
            <w:tcW w:w="384" w:type="pct"/>
            <w:tcBorders>
              <w:tl2br w:val="nil"/>
              <w:tr2bl w:val="nil"/>
            </w:tcBorders>
            <w:shd w:val="clear" w:color="auto" w:fill="auto"/>
            <w:vAlign w:val="center"/>
          </w:tcPr>
          <w:p w14:paraId="784D716A">
            <w:pPr>
              <w:widowControl/>
              <w:jc w:val="center"/>
              <w:textAlignment w:val="center"/>
              <w:rPr>
                <w:rFonts w:eastAsia="仿宋_GB2312"/>
                <w:kern w:val="0"/>
                <w:szCs w:val="21"/>
              </w:rPr>
            </w:pPr>
            <w:r>
              <w:rPr>
                <w:b/>
                <w:bCs/>
                <w:kern w:val="0"/>
                <w:szCs w:val="21"/>
                <w:lang w:bidi="ar"/>
              </w:rPr>
              <w:t>HW04</w:t>
            </w:r>
          </w:p>
        </w:tc>
        <w:tc>
          <w:tcPr>
            <w:tcW w:w="1059" w:type="pct"/>
            <w:tcBorders>
              <w:tl2br w:val="nil"/>
              <w:tr2bl w:val="nil"/>
            </w:tcBorders>
            <w:shd w:val="clear" w:color="auto" w:fill="auto"/>
            <w:vAlign w:val="center"/>
          </w:tcPr>
          <w:p w14:paraId="4E04E06D">
            <w:pPr>
              <w:widowControl/>
              <w:jc w:val="center"/>
              <w:textAlignment w:val="center"/>
              <w:rPr>
                <w:rFonts w:eastAsia="仿宋_GB2312"/>
                <w:kern w:val="0"/>
                <w:szCs w:val="21"/>
              </w:rPr>
            </w:pPr>
            <w:r>
              <w:rPr>
                <w:b/>
                <w:bCs/>
                <w:kern w:val="0"/>
                <w:szCs w:val="21"/>
                <w:lang w:bidi="ar"/>
              </w:rPr>
              <w:t>263-008-04</w:t>
            </w:r>
          </w:p>
        </w:tc>
        <w:tc>
          <w:tcPr>
            <w:tcW w:w="423" w:type="pct"/>
            <w:vMerge w:val="continue"/>
            <w:tcBorders>
              <w:tl2br w:val="nil"/>
              <w:tr2bl w:val="nil"/>
            </w:tcBorders>
            <w:vAlign w:val="center"/>
          </w:tcPr>
          <w:p w14:paraId="2C22853F">
            <w:pPr>
              <w:widowControl/>
              <w:jc w:val="center"/>
              <w:rPr>
                <w:rFonts w:eastAsia="仿宋_GB2312"/>
                <w:kern w:val="0"/>
                <w:szCs w:val="21"/>
              </w:rPr>
            </w:pPr>
          </w:p>
        </w:tc>
        <w:tc>
          <w:tcPr>
            <w:tcW w:w="605" w:type="pct"/>
            <w:vMerge w:val="continue"/>
            <w:tcBorders>
              <w:tl2br w:val="nil"/>
              <w:tr2bl w:val="nil"/>
            </w:tcBorders>
            <w:vAlign w:val="center"/>
          </w:tcPr>
          <w:p w14:paraId="435E9EF3">
            <w:pPr>
              <w:widowControl/>
              <w:jc w:val="center"/>
              <w:rPr>
                <w:rFonts w:eastAsia="仿宋_GB2312"/>
                <w:kern w:val="0"/>
                <w:szCs w:val="21"/>
              </w:rPr>
            </w:pPr>
          </w:p>
        </w:tc>
      </w:tr>
      <w:tr w14:paraId="263670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3" w:type="pct"/>
            <w:vMerge w:val="continue"/>
            <w:tcBorders>
              <w:tl2br w:val="nil"/>
              <w:tr2bl w:val="nil"/>
            </w:tcBorders>
            <w:vAlign w:val="center"/>
          </w:tcPr>
          <w:p w14:paraId="6BAEED36">
            <w:pPr>
              <w:widowControl/>
              <w:jc w:val="center"/>
              <w:rPr>
                <w:rFonts w:eastAsia="仿宋_GB2312"/>
                <w:kern w:val="0"/>
                <w:szCs w:val="21"/>
              </w:rPr>
            </w:pPr>
          </w:p>
        </w:tc>
        <w:tc>
          <w:tcPr>
            <w:tcW w:w="372" w:type="pct"/>
            <w:vMerge w:val="continue"/>
            <w:tcBorders>
              <w:tl2br w:val="nil"/>
              <w:tr2bl w:val="nil"/>
            </w:tcBorders>
            <w:vAlign w:val="center"/>
          </w:tcPr>
          <w:p w14:paraId="30CF0EF4">
            <w:pPr>
              <w:widowControl/>
              <w:jc w:val="center"/>
              <w:rPr>
                <w:rFonts w:eastAsia="仿宋_GB2312"/>
                <w:kern w:val="0"/>
                <w:szCs w:val="21"/>
              </w:rPr>
            </w:pPr>
          </w:p>
        </w:tc>
        <w:tc>
          <w:tcPr>
            <w:tcW w:w="394" w:type="pct"/>
            <w:tcBorders>
              <w:tl2br w:val="nil"/>
              <w:tr2bl w:val="nil"/>
            </w:tcBorders>
            <w:vAlign w:val="center"/>
          </w:tcPr>
          <w:p w14:paraId="127D747F">
            <w:pPr>
              <w:widowControl/>
              <w:jc w:val="center"/>
              <w:rPr>
                <w:rFonts w:eastAsia="仿宋_GB2312"/>
                <w:kern w:val="0"/>
                <w:szCs w:val="21"/>
              </w:rPr>
            </w:pPr>
            <w:r>
              <w:rPr>
                <w:rFonts w:eastAsia="仿宋_GB2312"/>
                <w:kern w:val="0"/>
                <w:szCs w:val="21"/>
              </w:rPr>
              <w:t>HW06</w:t>
            </w:r>
          </w:p>
        </w:tc>
        <w:tc>
          <w:tcPr>
            <w:tcW w:w="1042" w:type="pct"/>
            <w:tcBorders>
              <w:tl2br w:val="nil"/>
              <w:tr2bl w:val="nil"/>
            </w:tcBorders>
            <w:vAlign w:val="center"/>
          </w:tcPr>
          <w:p w14:paraId="71EAD50B">
            <w:pPr>
              <w:widowControl/>
              <w:jc w:val="center"/>
              <w:rPr>
                <w:rFonts w:eastAsia="仿宋_GB2312"/>
                <w:kern w:val="0"/>
                <w:szCs w:val="21"/>
              </w:rPr>
            </w:pPr>
            <w:r>
              <w:rPr>
                <w:rFonts w:eastAsia="仿宋_GB2312"/>
                <w:kern w:val="0"/>
                <w:szCs w:val="21"/>
              </w:rPr>
              <w:t>900-402-06，900-404-06，900-407-06</w:t>
            </w:r>
          </w:p>
        </w:tc>
        <w:tc>
          <w:tcPr>
            <w:tcW w:w="465" w:type="pct"/>
            <w:vMerge w:val="continue"/>
            <w:tcBorders>
              <w:tl2br w:val="nil"/>
              <w:tr2bl w:val="nil"/>
            </w:tcBorders>
            <w:vAlign w:val="center"/>
          </w:tcPr>
          <w:p w14:paraId="58FC0DF1">
            <w:pPr>
              <w:widowControl/>
              <w:jc w:val="center"/>
              <w:rPr>
                <w:rFonts w:eastAsia="仿宋_GB2312"/>
                <w:kern w:val="0"/>
                <w:szCs w:val="21"/>
              </w:rPr>
            </w:pPr>
          </w:p>
        </w:tc>
        <w:tc>
          <w:tcPr>
            <w:tcW w:w="384" w:type="pct"/>
            <w:tcBorders>
              <w:tl2br w:val="nil"/>
              <w:tr2bl w:val="nil"/>
            </w:tcBorders>
            <w:shd w:val="clear" w:color="auto" w:fill="auto"/>
            <w:vAlign w:val="center"/>
          </w:tcPr>
          <w:p w14:paraId="58AFB5A2">
            <w:pPr>
              <w:widowControl/>
              <w:jc w:val="center"/>
              <w:textAlignment w:val="center"/>
              <w:rPr>
                <w:rFonts w:eastAsia="仿宋_GB2312"/>
                <w:kern w:val="0"/>
                <w:szCs w:val="21"/>
              </w:rPr>
            </w:pPr>
            <w:r>
              <w:rPr>
                <w:kern w:val="0"/>
                <w:szCs w:val="21"/>
                <w:lang w:bidi="ar"/>
              </w:rPr>
              <w:t>HW06</w:t>
            </w:r>
          </w:p>
        </w:tc>
        <w:tc>
          <w:tcPr>
            <w:tcW w:w="1059" w:type="pct"/>
            <w:tcBorders>
              <w:tl2br w:val="nil"/>
              <w:tr2bl w:val="nil"/>
            </w:tcBorders>
            <w:shd w:val="clear" w:color="auto" w:fill="auto"/>
            <w:vAlign w:val="center"/>
          </w:tcPr>
          <w:p w14:paraId="67D7F4F2">
            <w:pPr>
              <w:widowControl/>
              <w:jc w:val="center"/>
              <w:textAlignment w:val="center"/>
              <w:rPr>
                <w:rFonts w:eastAsia="仿宋_GB2312"/>
                <w:kern w:val="0"/>
                <w:szCs w:val="21"/>
              </w:rPr>
            </w:pPr>
            <w:r>
              <w:rPr>
                <w:kern w:val="0"/>
                <w:szCs w:val="21"/>
                <w:lang w:bidi="ar"/>
              </w:rPr>
              <w:t>900-402-06</w:t>
            </w:r>
            <w:r>
              <w:rPr>
                <w:rFonts w:ascii="仿宋_GB2312" w:eastAsia="仿宋_GB2312" w:cs="仿宋_GB2312"/>
                <w:kern w:val="0"/>
                <w:szCs w:val="21"/>
                <w:lang w:bidi="ar"/>
              </w:rPr>
              <w:t>，</w:t>
            </w:r>
            <w:r>
              <w:rPr>
                <w:kern w:val="0"/>
                <w:szCs w:val="21"/>
                <w:lang w:bidi="ar"/>
              </w:rPr>
              <w:t>900-404-06</w:t>
            </w:r>
            <w:r>
              <w:rPr>
                <w:rFonts w:ascii="仿宋_GB2312" w:eastAsia="仿宋_GB2312" w:cs="仿宋_GB2312"/>
                <w:kern w:val="0"/>
                <w:szCs w:val="21"/>
                <w:lang w:bidi="ar"/>
              </w:rPr>
              <w:t>，</w:t>
            </w:r>
            <w:r>
              <w:rPr>
                <w:kern w:val="0"/>
                <w:szCs w:val="21"/>
                <w:lang w:bidi="ar"/>
              </w:rPr>
              <w:t>900-407-06</w:t>
            </w:r>
          </w:p>
        </w:tc>
        <w:tc>
          <w:tcPr>
            <w:tcW w:w="423" w:type="pct"/>
            <w:vMerge w:val="continue"/>
            <w:tcBorders>
              <w:tl2br w:val="nil"/>
              <w:tr2bl w:val="nil"/>
            </w:tcBorders>
            <w:vAlign w:val="center"/>
          </w:tcPr>
          <w:p w14:paraId="62DCD3BC">
            <w:pPr>
              <w:widowControl/>
              <w:jc w:val="center"/>
              <w:rPr>
                <w:rFonts w:eastAsia="仿宋_GB2312"/>
                <w:kern w:val="0"/>
                <w:szCs w:val="21"/>
              </w:rPr>
            </w:pPr>
          </w:p>
        </w:tc>
        <w:tc>
          <w:tcPr>
            <w:tcW w:w="605" w:type="pct"/>
            <w:vMerge w:val="continue"/>
            <w:tcBorders>
              <w:tl2br w:val="nil"/>
              <w:tr2bl w:val="nil"/>
            </w:tcBorders>
            <w:vAlign w:val="center"/>
          </w:tcPr>
          <w:p w14:paraId="4CB3BBBF">
            <w:pPr>
              <w:widowControl/>
              <w:jc w:val="center"/>
              <w:rPr>
                <w:rFonts w:eastAsia="仿宋_GB2312"/>
                <w:kern w:val="0"/>
                <w:szCs w:val="21"/>
              </w:rPr>
            </w:pPr>
          </w:p>
        </w:tc>
      </w:tr>
      <w:tr w14:paraId="1E22C7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3" w:type="pct"/>
            <w:vMerge w:val="continue"/>
            <w:tcBorders>
              <w:tl2br w:val="nil"/>
              <w:tr2bl w:val="nil"/>
            </w:tcBorders>
            <w:vAlign w:val="center"/>
          </w:tcPr>
          <w:p w14:paraId="1179FD09">
            <w:pPr>
              <w:widowControl/>
              <w:jc w:val="center"/>
              <w:rPr>
                <w:rFonts w:eastAsia="仿宋_GB2312"/>
                <w:kern w:val="0"/>
                <w:szCs w:val="21"/>
              </w:rPr>
            </w:pPr>
          </w:p>
        </w:tc>
        <w:tc>
          <w:tcPr>
            <w:tcW w:w="372" w:type="pct"/>
            <w:vMerge w:val="continue"/>
            <w:tcBorders>
              <w:tl2br w:val="nil"/>
              <w:tr2bl w:val="nil"/>
            </w:tcBorders>
            <w:vAlign w:val="center"/>
          </w:tcPr>
          <w:p w14:paraId="0FED0CD4">
            <w:pPr>
              <w:widowControl/>
              <w:jc w:val="center"/>
              <w:rPr>
                <w:rFonts w:eastAsia="仿宋_GB2312"/>
                <w:kern w:val="0"/>
                <w:szCs w:val="21"/>
              </w:rPr>
            </w:pPr>
          </w:p>
        </w:tc>
        <w:tc>
          <w:tcPr>
            <w:tcW w:w="394" w:type="pct"/>
            <w:tcBorders>
              <w:tl2br w:val="nil"/>
              <w:tr2bl w:val="nil"/>
            </w:tcBorders>
            <w:vAlign w:val="center"/>
          </w:tcPr>
          <w:p w14:paraId="1411CA3B">
            <w:pPr>
              <w:widowControl/>
              <w:jc w:val="center"/>
              <w:rPr>
                <w:rFonts w:eastAsia="仿宋_GB2312"/>
                <w:kern w:val="0"/>
                <w:szCs w:val="21"/>
              </w:rPr>
            </w:pPr>
            <w:r>
              <w:rPr>
                <w:rFonts w:eastAsia="仿宋_GB2312"/>
                <w:kern w:val="0"/>
                <w:szCs w:val="21"/>
              </w:rPr>
              <w:t>HW11</w:t>
            </w:r>
          </w:p>
        </w:tc>
        <w:tc>
          <w:tcPr>
            <w:tcW w:w="1042" w:type="pct"/>
            <w:tcBorders>
              <w:tl2br w:val="nil"/>
              <w:tr2bl w:val="nil"/>
            </w:tcBorders>
            <w:vAlign w:val="center"/>
          </w:tcPr>
          <w:p w14:paraId="0987E92B">
            <w:pPr>
              <w:widowControl/>
              <w:jc w:val="center"/>
              <w:rPr>
                <w:rFonts w:eastAsia="仿宋_GB2312"/>
                <w:kern w:val="0"/>
                <w:szCs w:val="21"/>
              </w:rPr>
            </w:pPr>
            <w:r>
              <w:rPr>
                <w:rFonts w:eastAsia="仿宋_GB2312"/>
                <w:kern w:val="0"/>
                <w:szCs w:val="21"/>
              </w:rPr>
              <w:t>900-013-11，261-128-11，261-129-11，261-130-11，261-013-11，261-031-11</w:t>
            </w:r>
          </w:p>
        </w:tc>
        <w:tc>
          <w:tcPr>
            <w:tcW w:w="465" w:type="pct"/>
            <w:vMerge w:val="continue"/>
            <w:tcBorders>
              <w:tl2br w:val="nil"/>
              <w:tr2bl w:val="nil"/>
            </w:tcBorders>
            <w:vAlign w:val="center"/>
          </w:tcPr>
          <w:p w14:paraId="3E08BEC8">
            <w:pPr>
              <w:widowControl/>
              <w:jc w:val="center"/>
              <w:rPr>
                <w:rFonts w:eastAsia="仿宋_GB2312"/>
                <w:kern w:val="0"/>
                <w:szCs w:val="21"/>
              </w:rPr>
            </w:pPr>
          </w:p>
        </w:tc>
        <w:tc>
          <w:tcPr>
            <w:tcW w:w="384" w:type="pct"/>
            <w:tcBorders>
              <w:tl2br w:val="nil"/>
              <w:tr2bl w:val="nil"/>
            </w:tcBorders>
            <w:shd w:val="clear" w:color="auto" w:fill="auto"/>
            <w:vAlign w:val="center"/>
          </w:tcPr>
          <w:p w14:paraId="708BE648">
            <w:pPr>
              <w:widowControl/>
              <w:jc w:val="center"/>
              <w:textAlignment w:val="center"/>
              <w:rPr>
                <w:rFonts w:eastAsia="仿宋_GB2312"/>
                <w:kern w:val="0"/>
                <w:szCs w:val="21"/>
              </w:rPr>
            </w:pPr>
            <w:r>
              <w:rPr>
                <w:kern w:val="0"/>
                <w:szCs w:val="21"/>
                <w:lang w:bidi="ar"/>
              </w:rPr>
              <w:t>HW11</w:t>
            </w:r>
          </w:p>
        </w:tc>
        <w:tc>
          <w:tcPr>
            <w:tcW w:w="1059" w:type="pct"/>
            <w:tcBorders>
              <w:tl2br w:val="nil"/>
              <w:tr2bl w:val="nil"/>
            </w:tcBorders>
            <w:shd w:val="clear" w:color="auto" w:fill="auto"/>
            <w:vAlign w:val="center"/>
          </w:tcPr>
          <w:p w14:paraId="420E3A03">
            <w:pPr>
              <w:widowControl/>
              <w:jc w:val="center"/>
              <w:textAlignment w:val="center"/>
              <w:rPr>
                <w:rFonts w:eastAsia="仿宋_GB2312"/>
                <w:kern w:val="0"/>
                <w:szCs w:val="21"/>
              </w:rPr>
            </w:pPr>
            <w:r>
              <w:rPr>
                <w:kern w:val="0"/>
                <w:szCs w:val="21"/>
                <w:lang w:bidi="ar"/>
              </w:rPr>
              <w:t>900-013-11</w:t>
            </w:r>
            <w:r>
              <w:rPr>
                <w:rFonts w:ascii="仿宋_GB2312" w:eastAsia="仿宋_GB2312" w:cs="仿宋_GB2312"/>
                <w:kern w:val="0"/>
                <w:szCs w:val="21"/>
                <w:lang w:bidi="ar"/>
              </w:rPr>
              <w:t>，</w:t>
            </w:r>
            <w:r>
              <w:rPr>
                <w:kern w:val="0"/>
                <w:szCs w:val="21"/>
                <w:lang w:bidi="ar"/>
              </w:rPr>
              <w:t>261-128-11</w:t>
            </w:r>
            <w:r>
              <w:rPr>
                <w:rFonts w:ascii="仿宋_GB2312" w:eastAsia="仿宋_GB2312" w:cs="仿宋_GB2312"/>
                <w:kern w:val="0"/>
                <w:szCs w:val="21"/>
                <w:lang w:bidi="ar"/>
              </w:rPr>
              <w:t>，</w:t>
            </w:r>
            <w:r>
              <w:rPr>
                <w:kern w:val="0"/>
                <w:szCs w:val="21"/>
                <w:lang w:bidi="ar"/>
              </w:rPr>
              <w:t>261-129-11</w:t>
            </w:r>
            <w:r>
              <w:rPr>
                <w:rFonts w:ascii="仿宋_GB2312" w:eastAsia="仿宋_GB2312" w:cs="仿宋_GB2312"/>
                <w:kern w:val="0"/>
                <w:szCs w:val="21"/>
                <w:lang w:bidi="ar"/>
              </w:rPr>
              <w:t>，</w:t>
            </w:r>
            <w:r>
              <w:rPr>
                <w:kern w:val="0"/>
                <w:szCs w:val="21"/>
                <w:lang w:bidi="ar"/>
              </w:rPr>
              <w:t>261-130-11</w:t>
            </w:r>
            <w:r>
              <w:rPr>
                <w:rFonts w:ascii="仿宋_GB2312" w:eastAsia="仿宋_GB2312" w:cs="仿宋_GB2312"/>
                <w:kern w:val="0"/>
                <w:szCs w:val="21"/>
                <w:lang w:bidi="ar"/>
              </w:rPr>
              <w:t>，</w:t>
            </w:r>
            <w:r>
              <w:rPr>
                <w:kern w:val="0"/>
                <w:szCs w:val="21"/>
                <w:lang w:bidi="ar"/>
              </w:rPr>
              <w:t>261-013-11</w:t>
            </w:r>
            <w:r>
              <w:rPr>
                <w:rFonts w:ascii="仿宋_GB2312" w:eastAsia="仿宋_GB2312" w:cs="仿宋_GB2312"/>
                <w:kern w:val="0"/>
                <w:szCs w:val="21"/>
                <w:lang w:bidi="ar"/>
              </w:rPr>
              <w:t>，</w:t>
            </w:r>
            <w:r>
              <w:rPr>
                <w:kern w:val="0"/>
                <w:szCs w:val="21"/>
                <w:lang w:bidi="ar"/>
              </w:rPr>
              <w:t>261-031-11</w:t>
            </w:r>
            <w:r>
              <w:rPr>
                <w:rFonts w:hint="eastAsia" w:ascii="宋体" w:hAnsi="宋体" w:cs="宋体"/>
                <w:kern w:val="0"/>
                <w:szCs w:val="21"/>
                <w:lang w:bidi="ar"/>
              </w:rPr>
              <w:t>，</w:t>
            </w:r>
            <w:r>
              <w:rPr>
                <w:b/>
                <w:bCs/>
                <w:kern w:val="0"/>
                <w:szCs w:val="21"/>
                <w:lang w:bidi="ar"/>
              </w:rPr>
              <w:t>261-012-11</w:t>
            </w:r>
            <w:r>
              <w:rPr>
                <w:rFonts w:hint="eastAsia" w:ascii="宋体" w:hAnsi="宋体" w:cs="宋体"/>
                <w:b/>
                <w:bCs/>
                <w:kern w:val="0"/>
                <w:szCs w:val="21"/>
                <w:lang w:bidi="ar"/>
              </w:rPr>
              <w:t>，</w:t>
            </w:r>
            <w:r>
              <w:rPr>
                <w:b/>
                <w:bCs/>
                <w:kern w:val="0"/>
                <w:szCs w:val="21"/>
                <w:lang w:bidi="ar"/>
              </w:rPr>
              <w:t>261-106-11</w:t>
            </w:r>
          </w:p>
        </w:tc>
        <w:tc>
          <w:tcPr>
            <w:tcW w:w="423" w:type="pct"/>
            <w:vMerge w:val="continue"/>
            <w:tcBorders>
              <w:tl2br w:val="nil"/>
              <w:tr2bl w:val="nil"/>
            </w:tcBorders>
            <w:vAlign w:val="center"/>
          </w:tcPr>
          <w:p w14:paraId="36D4679F">
            <w:pPr>
              <w:widowControl/>
              <w:jc w:val="center"/>
              <w:rPr>
                <w:rFonts w:eastAsia="仿宋_GB2312"/>
                <w:kern w:val="0"/>
                <w:szCs w:val="21"/>
              </w:rPr>
            </w:pPr>
          </w:p>
        </w:tc>
        <w:tc>
          <w:tcPr>
            <w:tcW w:w="605" w:type="pct"/>
            <w:vMerge w:val="continue"/>
            <w:tcBorders>
              <w:tl2br w:val="nil"/>
              <w:tr2bl w:val="nil"/>
            </w:tcBorders>
            <w:vAlign w:val="center"/>
          </w:tcPr>
          <w:p w14:paraId="0D981322">
            <w:pPr>
              <w:widowControl/>
              <w:jc w:val="center"/>
              <w:rPr>
                <w:rFonts w:eastAsia="仿宋_GB2312"/>
                <w:kern w:val="0"/>
                <w:szCs w:val="21"/>
              </w:rPr>
            </w:pPr>
          </w:p>
        </w:tc>
      </w:tr>
      <w:tr w14:paraId="206E9CD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3" w:type="pct"/>
            <w:vMerge w:val="continue"/>
            <w:tcBorders>
              <w:tl2br w:val="nil"/>
              <w:tr2bl w:val="nil"/>
            </w:tcBorders>
            <w:vAlign w:val="center"/>
          </w:tcPr>
          <w:p w14:paraId="373B5DC5">
            <w:pPr>
              <w:widowControl/>
              <w:jc w:val="center"/>
              <w:rPr>
                <w:rFonts w:eastAsia="仿宋_GB2312"/>
                <w:kern w:val="0"/>
                <w:szCs w:val="21"/>
              </w:rPr>
            </w:pPr>
          </w:p>
        </w:tc>
        <w:tc>
          <w:tcPr>
            <w:tcW w:w="372" w:type="pct"/>
            <w:vMerge w:val="continue"/>
            <w:tcBorders>
              <w:tl2br w:val="nil"/>
              <w:tr2bl w:val="nil"/>
            </w:tcBorders>
            <w:vAlign w:val="center"/>
          </w:tcPr>
          <w:p w14:paraId="7B8927CD">
            <w:pPr>
              <w:widowControl/>
              <w:jc w:val="center"/>
              <w:rPr>
                <w:rFonts w:eastAsia="仿宋_GB2312"/>
                <w:kern w:val="0"/>
                <w:szCs w:val="21"/>
              </w:rPr>
            </w:pPr>
          </w:p>
        </w:tc>
        <w:tc>
          <w:tcPr>
            <w:tcW w:w="394" w:type="pct"/>
            <w:tcBorders>
              <w:tl2br w:val="nil"/>
              <w:tr2bl w:val="nil"/>
            </w:tcBorders>
            <w:vAlign w:val="center"/>
          </w:tcPr>
          <w:p w14:paraId="57C8F07D">
            <w:pPr>
              <w:widowControl/>
              <w:jc w:val="center"/>
              <w:rPr>
                <w:rFonts w:eastAsia="仿宋_GB2312"/>
                <w:kern w:val="0"/>
                <w:szCs w:val="21"/>
              </w:rPr>
            </w:pPr>
            <w:r>
              <w:rPr>
                <w:rFonts w:eastAsia="仿宋_GB2312"/>
                <w:kern w:val="0"/>
                <w:szCs w:val="21"/>
              </w:rPr>
              <w:t>HW12</w:t>
            </w:r>
          </w:p>
        </w:tc>
        <w:tc>
          <w:tcPr>
            <w:tcW w:w="1042" w:type="pct"/>
            <w:tcBorders>
              <w:tl2br w:val="nil"/>
              <w:tr2bl w:val="nil"/>
            </w:tcBorders>
            <w:vAlign w:val="center"/>
          </w:tcPr>
          <w:p w14:paraId="52BEBF8E">
            <w:pPr>
              <w:widowControl/>
              <w:jc w:val="center"/>
              <w:rPr>
                <w:rFonts w:eastAsia="仿宋_GB2312"/>
                <w:kern w:val="0"/>
                <w:szCs w:val="21"/>
              </w:rPr>
            </w:pPr>
            <w:r>
              <w:rPr>
                <w:rFonts w:eastAsia="仿宋_GB2312"/>
                <w:kern w:val="0"/>
                <w:szCs w:val="21"/>
              </w:rPr>
              <w:t>264-011-12，264-013-12，</w:t>
            </w:r>
          </w:p>
          <w:p w14:paraId="7AC783BF">
            <w:pPr>
              <w:widowControl/>
              <w:jc w:val="center"/>
              <w:rPr>
                <w:rFonts w:eastAsia="仿宋_GB2312"/>
                <w:kern w:val="0"/>
                <w:szCs w:val="21"/>
              </w:rPr>
            </w:pPr>
            <w:r>
              <w:rPr>
                <w:rFonts w:eastAsia="仿宋_GB2312"/>
                <w:kern w:val="0"/>
                <w:szCs w:val="21"/>
              </w:rPr>
              <w:t>900-250-12，900-251-12，900-252-12，900-253-12</w:t>
            </w:r>
          </w:p>
        </w:tc>
        <w:tc>
          <w:tcPr>
            <w:tcW w:w="465" w:type="pct"/>
            <w:vMerge w:val="continue"/>
            <w:tcBorders>
              <w:tl2br w:val="nil"/>
              <w:tr2bl w:val="nil"/>
            </w:tcBorders>
            <w:vAlign w:val="center"/>
          </w:tcPr>
          <w:p w14:paraId="53163C6F">
            <w:pPr>
              <w:widowControl/>
              <w:jc w:val="center"/>
              <w:rPr>
                <w:rFonts w:eastAsia="仿宋_GB2312"/>
                <w:kern w:val="0"/>
                <w:szCs w:val="21"/>
              </w:rPr>
            </w:pPr>
          </w:p>
        </w:tc>
        <w:tc>
          <w:tcPr>
            <w:tcW w:w="384" w:type="pct"/>
            <w:tcBorders>
              <w:tl2br w:val="nil"/>
              <w:tr2bl w:val="nil"/>
            </w:tcBorders>
            <w:shd w:val="clear" w:color="auto" w:fill="auto"/>
            <w:vAlign w:val="center"/>
          </w:tcPr>
          <w:p w14:paraId="17194685">
            <w:pPr>
              <w:widowControl/>
              <w:jc w:val="center"/>
              <w:textAlignment w:val="center"/>
              <w:rPr>
                <w:rFonts w:eastAsia="仿宋_GB2312"/>
                <w:kern w:val="0"/>
                <w:szCs w:val="21"/>
              </w:rPr>
            </w:pPr>
            <w:r>
              <w:rPr>
                <w:kern w:val="0"/>
                <w:szCs w:val="21"/>
                <w:lang w:bidi="ar"/>
              </w:rPr>
              <w:t>HW12</w:t>
            </w:r>
          </w:p>
        </w:tc>
        <w:tc>
          <w:tcPr>
            <w:tcW w:w="1059" w:type="pct"/>
            <w:tcBorders>
              <w:tl2br w:val="nil"/>
              <w:tr2bl w:val="nil"/>
            </w:tcBorders>
            <w:shd w:val="clear" w:color="auto" w:fill="auto"/>
            <w:vAlign w:val="center"/>
          </w:tcPr>
          <w:p w14:paraId="3FB307C6">
            <w:pPr>
              <w:widowControl/>
              <w:jc w:val="center"/>
              <w:textAlignment w:val="center"/>
              <w:rPr>
                <w:rFonts w:eastAsia="仿宋_GB2312"/>
                <w:kern w:val="0"/>
                <w:szCs w:val="21"/>
              </w:rPr>
            </w:pPr>
            <w:r>
              <w:rPr>
                <w:kern w:val="0"/>
                <w:szCs w:val="21"/>
                <w:lang w:bidi="ar"/>
              </w:rPr>
              <w:t>264-011-12</w:t>
            </w:r>
            <w:r>
              <w:rPr>
                <w:rFonts w:ascii="仿宋_GB2312" w:eastAsia="仿宋_GB2312" w:cs="仿宋_GB2312"/>
                <w:kern w:val="0"/>
                <w:szCs w:val="21"/>
                <w:lang w:bidi="ar"/>
              </w:rPr>
              <w:t>，</w:t>
            </w:r>
            <w:r>
              <w:rPr>
                <w:kern w:val="0"/>
                <w:szCs w:val="21"/>
                <w:lang w:bidi="ar"/>
              </w:rPr>
              <w:t>264-013-12</w:t>
            </w:r>
            <w:r>
              <w:rPr>
                <w:rFonts w:ascii="仿宋_GB2312" w:eastAsia="仿宋_GB2312" w:cs="仿宋_GB2312"/>
                <w:kern w:val="0"/>
                <w:szCs w:val="21"/>
                <w:lang w:bidi="ar"/>
              </w:rPr>
              <w:t>，</w:t>
            </w:r>
            <w:r>
              <w:rPr>
                <w:kern w:val="0"/>
                <w:szCs w:val="21"/>
                <w:lang w:bidi="ar"/>
              </w:rPr>
              <w:t>900-250-12</w:t>
            </w:r>
            <w:r>
              <w:rPr>
                <w:rFonts w:hint="eastAsia" w:ascii="宋体" w:hAnsi="宋体" w:cs="宋体"/>
                <w:kern w:val="0"/>
                <w:szCs w:val="21"/>
                <w:lang w:bidi="ar"/>
              </w:rPr>
              <w:t>，</w:t>
            </w:r>
            <w:r>
              <w:rPr>
                <w:kern w:val="0"/>
                <w:szCs w:val="21"/>
                <w:lang w:bidi="ar"/>
              </w:rPr>
              <w:t>900-251-12</w:t>
            </w:r>
            <w:r>
              <w:rPr>
                <w:rFonts w:hint="eastAsia" w:ascii="宋体" w:hAnsi="宋体" w:cs="宋体"/>
                <w:kern w:val="0"/>
                <w:szCs w:val="21"/>
                <w:lang w:bidi="ar"/>
              </w:rPr>
              <w:t>，</w:t>
            </w:r>
            <w:r>
              <w:rPr>
                <w:kern w:val="0"/>
                <w:szCs w:val="21"/>
                <w:lang w:bidi="ar"/>
              </w:rPr>
              <w:t>900-252-12</w:t>
            </w:r>
            <w:r>
              <w:rPr>
                <w:rFonts w:hint="eastAsia" w:ascii="宋体" w:hAnsi="宋体" w:cs="宋体"/>
                <w:kern w:val="0"/>
                <w:szCs w:val="21"/>
                <w:lang w:bidi="ar"/>
              </w:rPr>
              <w:t>，</w:t>
            </w:r>
            <w:r>
              <w:rPr>
                <w:kern w:val="0"/>
                <w:szCs w:val="21"/>
                <w:lang w:bidi="ar"/>
              </w:rPr>
              <w:t>900-253-12</w:t>
            </w:r>
            <w:r>
              <w:rPr>
                <w:rFonts w:hint="eastAsia" w:ascii="宋体" w:hAnsi="宋体" w:cs="宋体"/>
                <w:kern w:val="0"/>
                <w:szCs w:val="21"/>
                <w:lang w:bidi="ar"/>
              </w:rPr>
              <w:t>，</w:t>
            </w:r>
            <w:r>
              <w:rPr>
                <w:kern w:val="0"/>
                <w:szCs w:val="21"/>
                <w:lang w:bidi="ar"/>
              </w:rPr>
              <w:t>900-256-12</w:t>
            </w:r>
          </w:p>
        </w:tc>
        <w:tc>
          <w:tcPr>
            <w:tcW w:w="423" w:type="pct"/>
            <w:vMerge w:val="continue"/>
            <w:tcBorders>
              <w:tl2br w:val="nil"/>
              <w:tr2bl w:val="nil"/>
            </w:tcBorders>
            <w:vAlign w:val="center"/>
          </w:tcPr>
          <w:p w14:paraId="523E1E41">
            <w:pPr>
              <w:widowControl/>
              <w:jc w:val="center"/>
              <w:rPr>
                <w:rFonts w:eastAsia="仿宋_GB2312"/>
                <w:kern w:val="0"/>
                <w:szCs w:val="21"/>
              </w:rPr>
            </w:pPr>
          </w:p>
        </w:tc>
        <w:tc>
          <w:tcPr>
            <w:tcW w:w="605" w:type="pct"/>
            <w:vMerge w:val="continue"/>
            <w:tcBorders>
              <w:tl2br w:val="nil"/>
              <w:tr2bl w:val="nil"/>
            </w:tcBorders>
            <w:vAlign w:val="center"/>
          </w:tcPr>
          <w:p w14:paraId="341B8FF6">
            <w:pPr>
              <w:widowControl/>
              <w:jc w:val="center"/>
              <w:rPr>
                <w:rFonts w:eastAsia="仿宋_GB2312"/>
                <w:kern w:val="0"/>
                <w:szCs w:val="21"/>
              </w:rPr>
            </w:pPr>
          </w:p>
        </w:tc>
      </w:tr>
      <w:tr w14:paraId="69A7D6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3" w:type="pct"/>
            <w:vMerge w:val="continue"/>
            <w:tcBorders>
              <w:tl2br w:val="nil"/>
              <w:tr2bl w:val="nil"/>
            </w:tcBorders>
            <w:vAlign w:val="center"/>
          </w:tcPr>
          <w:p w14:paraId="4E84DBF2">
            <w:pPr>
              <w:widowControl/>
              <w:jc w:val="center"/>
              <w:rPr>
                <w:rFonts w:eastAsia="仿宋_GB2312"/>
                <w:kern w:val="0"/>
                <w:szCs w:val="21"/>
              </w:rPr>
            </w:pPr>
          </w:p>
        </w:tc>
        <w:tc>
          <w:tcPr>
            <w:tcW w:w="372" w:type="pct"/>
            <w:vMerge w:val="continue"/>
            <w:tcBorders>
              <w:tl2br w:val="nil"/>
              <w:tr2bl w:val="nil"/>
            </w:tcBorders>
            <w:vAlign w:val="center"/>
          </w:tcPr>
          <w:p w14:paraId="59F6B0F3">
            <w:pPr>
              <w:widowControl/>
              <w:jc w:val="center"/>
              <w:rPr>
                <w:rFonts w:eastAsia="仿宋_GB2312"/>
                <w:kern w:val="0"/>
                <w:szCs w:val="21"/>
              </w:rPr>
            </w:pPr>
          </w:p>
        </w:tc>
        <w:tc>
          <w:tcPr>
            <w:tcW w:w="394" w:type="pct"/>
            <w:tcBorders>
              <w:tl2br w:val="nil"/>
              <w:tr2bl w:val="nil"/>
            </w:tcBorders>
            <w:vAlign w:val="center"/>
          </w:tcPr>
          <w:p w14:paraId="67EF328A">
            <w:pPr>
              <w:widowControl/>
              <w:jc w:val="center"/>
              <w:rPr>
                <w:rFonts w:eastAsia="仿宋_GB2312"/>
                <w:kern w:val="0"/>
                <w:szCs w:val="21"/>
              </w:rPr>
            </w:pPr>
            <w:r>
              <w:rPr>
                <w:rFonts w:eastAsia="仿宋_GB2312"/>
                <w:kern w:val="0"/>
                <w:szCs w:val="21"/>
              </w:rPr>
              <w:t>HW13</w:t>
            </w:r>
          </w:p>
        </w:tc>
        <w:tc>
          <w:tcPr>
            <w:tcW w:w="1042" w:type="pct"/>
            <w:tcBorders>
              <w:tl2br w:val="nil"/>
              <w:tr2bl w:val="nil"/>
            </w:tcBorders>
            <w:vAlign w:val="center"/>
          </w:tcPr>
          <w:p w14:paraId="5E72D749">
            <w:pPr>
              <w:widowControl/>
              <w:jc w:val="center"/>
              <w:rPr>
                <w:rFonts w:eastAsia="仿宋_GB2312"/>
                <w:kern w:val="0"/>
                <w:szCs w:val="21"/>
              </w:rPr>
            </w:pPr>
            <w:r>
              <w:rPr>
                <w:rFonts w:eastAsia="仿宋_GB2312"/>
                <w:kern w:val="0"/>
                <w:szCs w:val="21"/>
              </w:rPr>
              <w:t>265-102-13</w:t>
            </w:r>
          </w:p>
        </w:tc>
        <w:tc>
          <w:tcPr>
            <w:tcW w:w="465" w:type="pct"/>
            <w:vMerge w:val="continue"/>
            <w:tcBorders>
              <w:tl2br w:val="nil"/>
              <w:tr2bl w:val="nil"/>
            </w:tcBorders>
            <w:vAlign w:val="center"/>
          </w:tcPr>
          <w:p w14:paraId="76B9EEB9">
            <w:pPr>
              <w:widowControl/>
              <w:jc w:val="center"/>
              <w:rPr>
                <w:rFonts w:eastAsia="仿宋_GB2312"/>
                <w:kern w:val="0"/>
                <w:szCs w:val="21"/>
              </w:rPr>
            </w:pPr>
          </w:p>
        </w:tc>
        <w:tc>
          <w:tcPr>
            <w:tcW w:w="384" w:type="pct"/>
            <w:tcBorders>
              <w:tl2br w:val="nil"/>
              <w:tr2bl w:val="nil"/>
            </w:tcBorders>
            <w:shd w:val="clear" w:color="auto" w:fill="auto"/>
            <w:vAlign w:val="center"/>
          </w:tcPr>
          <w:p w14:paraId="56081BED">
            <w:pPr>
              <w:widowControl/>
              <w:jc w:val="center"/>
              <w:textAlignment w:val="center"/>
              <w:rPr>
                <w:rFonts w:eastAsia="仿宋_GB2312"/>
                <w:kern w:val="0"/>
                <w:szCs w:val="21"/>
              </w:rPr>
            </w:pPr>
            <w:r>
              <w:rPr>
                <w:kern w:val="0"/>
                <w:szCs w:val="21"/>
                <w:lang w:bidi="ar"/>
              </w:rPr>
              <w:t>HW13</w:t>
            </w:r>
          </w:p>
        </w:tc>
        <w:tc>
          <w:tcPr>
            <w:tcW w:w="1059" w:type="pct"/>
            <w:tcBorders>
              <w:tl2br w:val="nil"/>
              <w:tr2bl w:val="nil"/>
            </w:tcBorders>
            <w:shd w:val="clear" w:color="auto" w:fill="auto"/>
            <w:vAlign w:val="center"/>
          </w:tcPr>
          <w:p w14:paraId="10244285">
            <w:pPr>
              <w:widowControl/>
              <w:jc w:val="center"/>
              <w:textAlignment w:val="center"/>
              <w:rPr>
                <w:rFonts w:eastAsia="仿宋_GB2312"/>
                <w:kern w:val="0"/>
                <w:szCs w:val="21"/>
              </w:rPr>
            </w:pPr>
            <w:r>
              <w:rPr>
                <w:kern w:val="0"/>
                <w:szCs w:val="21"/>
                <w:lang w:bidi="ar"/>
              </w:rPr>
              <w:t>265-102-13</w:t>
            </w:r>
            <w:r>
              <w:rPr>
                <w:rFonts w:hint="eastAsia" w:ascii="宋体" w:hAnsi="宋体" w:cs="宋体"/>
                <w:b/>
                <w:bCs/>
                <w:kern w:val="0"/>
                <w:szCs w:val="21"/>
                <w:lang w:bidi="ar"/>
              </w:rPr>
              <w:t>，</w:t>
            </w:r>
            <w:r>
              <w:rPr>
                <w:b/>
                <w:bCs/>
                <w:kern w:val="0"/>
                <w:szCs w:val="21"/>
                <w:lang w:bidi="ar"/>
              </w:rPr>
              <w:t>900-014-13</w:t>
            </w:r>
          </w:p>
        </w:tc>
        <w:tc>
          <w:tcPr>
            <w:tcW w:w="423" w:type="pct"/>
            <w:vMerge w:val="continue"/>
            <w:tcBorders>
              <w:tl2br w:val="nil"/>
              <w:tr2bl w:val="nil"/>
            </w:tcBorders>
            <w:vAlign w:val="center"/>
          </w:tcPr>
          <w:p w14:paraId="5A189F9D">
            <w:pPr>
              <w:widowControl/>
              <w:jc w:val="center"/>
              <w:rPr>
                <w:rFonts w:eastAsia="仿宋_GB2312"/>
                <w:kern w:val="0"/>
                <w:szCs w:val="21"/>
              </w:rPr>
            </w:pPr>
          </w:p>
        </w:tc>
        <w:tc>
          <w:tcPr>
            <w:tcW w:w="605" w:type="pct"/>
            <w:vMerge w:val="continue"/>
            <w:tcBorders>
              <w:tl2br w:val="nil"/>
              <w:tr2bl w:val="nil"/>
            </w:tcBorders>
            <w:vAlign w:val="center"/>
          </w:tcPr>
          <w:p w14:paraId="7DB025D2">
            <w:pPr>
              <w:widowControl/>
              <w:jc w:val="center"/>
              <w:rPr>
                <w:rFonts w:eastAsia="仿宋_GB2312"/>
                <w:kern w:val="0"/>
                <w:szCs w:val="21"/>
              </w:rPr>
            </w:pPr>
          </w:p>
        </w:tc>
      </w:tr>
      <w:tr w14:paraId="48E2CE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3" w:type="pct"/>
            <w:vMerge w:val="restart"/>
            <w:tcBorders>
              <w:tl2br w:val="nil"/>
              <w:tr2bl w:val="nil"/>
            </w:tcBorders>
            <w:vAlign w:val="center"/>
          </w:tcPr>
          <w:p w14:paraId="66E3D8E7">
            <w:pPr>
              <w:widowControl/>
              <w:jc w:val="center"/>
              <w:rPr>
                <w:rFonts w:eastAsia="仿宋_GB2312"/>
                <w:kern w:val="0"/>
                <w:szCs w:val="21"/>
              </w:rPr>
            </w:pPr>
            <w:r>
              <w:rPr>
                <w:rFonts w:eastAsia="仿宋_GB2312"/>
                <w:kern w:val="0"/>
                <w:szCs w:val="21"/>
              </w:rPr>
              <w:t>24</w:t>
            </w:r>
          </w:p>
        </w:tc>
        <w:tc>
          <w:tcPr>
            <w:tcW w:w="372" w:type="pct"/>
            <w:vMerge w:val="restart"/>
            <w:tcBorders>
              <w:tl2br w:val="nil"/>
              <w:tr2bl w:val="nil"/>
            </w:tcBorders>
            <w:vAlign w:val="center"/>
          </w:tcPr>
          <w:p w14:paraId="4E05143F">
            <w:pPr>
              <w:widowControl/>
              <w:jc w:val="center"/>
              <w:rPr>
                <w:rFonts w:eastAsia="仿宋_GB2312"/>
                <w:kern w:val="0"/>
                <w:szCs w:val="21"/>
              </w:rPr>
            </w:pPr>
            <w:r>
              <w:rPr>
                <w:rFonts w:eastAsia="仿宋_GB2312"/>
                <w:kern w:val="0"/>
                <w:szCs w:val="21"/>
              </w:rPr>
              <w:t>乙二醇废液</w:t>
            </w:r>
          </w:p>
        </w:tc>
        <w:tc>
          <w:tcPr>
            <w:tcW w:w="394" w:type="pct"/>
            <w:tcBorders>
              <w:tl2br w:val="nil"/>
              <w:tr2bl w:val="nil"/>
            </w:tcBorders>
            <w:vAlign w:val="center"/>
          </w:tcPr>
          <w:p w14:paraId="33E6982B">
            <w:pPr>
              <w:widowControl/>
              <w:jc w:val="center"/>
              <w:rPr>
                <w:rFonts w:eastAsia="仿宋_GB2312"/>
                <w:kern w:val="0"/>
                <w:szCs w:val="21"/>
              </w:rPr>
            </w:pPr>
            <w:r>
              <w:rPr>
                <w:rFonts w:eastAsia="仿宋_GB2312"/>
                <w:kern w:val="0"/>
                <w:szCs w:val="21"/>
              </w:rPr>
              <w:t>HW06</w:t>
            </w:r>
          </w:p>
        </w:tc>
        <w:tc>
          <w:tcPr>
            <w:tcW w:w="1042" w:type="pct"/>
            <w:tcBorders>
              <w:tl2br w:val="nil"/>
              <w:tr2bl w:val="nil"/>
            </w:tcBorders>
            <w:vAlign w:val="center"/>
          </w:tcPr>
          <w:p w14:paraId="306876F3">
            <w:pPr>
              <w:widowControl/>
              <w:jc w:val="center"/>
            </w:pPr>
            <w:r>
              <w:t>900-402-06，900-404-06</w:t>
            </w:r>
          </w:p>
        </w:tc>
        <w:tc>
          <w:tcPr>
            <w:tcW w:w="465" w:type="pct"/>
            <w:vMerge w:val="restart"/>
            <w:tcBorders>
              <w:tl2br w:val="nil"/>
              <w:tr2bl w:val="nil"/>
            </w:tcBorders>
            <w:vAlign w:val="center"/>
          </w:tcPr>
          <w:p w14:paraId="32A80D23">
            <w:pPr>
              <w:widowControl/>
              <w:jc w:val="center"/>
              <w:rPr>
                <w:rFonts w:eastAsia="仿宋_GB2312"/>
                <w:kern w:val="0"/>
                <w:szCs w:val="21"/>
              </w:rPr>
            </w:pPr>
            <w:r>
              <w:rPr>
                <w:rFonts w:eastAsia="仿宋_GB2312"/>
                <w:kern w:val="0"/>
                <w:szCs w:val="21"/>
              </w:rPr>
              <w:t>1000</w:t>
            </w:r>
          </w:p>
        </w:tc>
        <w:tc>
          <w:tcPr>
            <w:tcW w:w="384" w:type="pct"/>
            <w:vMerge w:val="restart"/>
            <w:tcBorders>
              <w:tl2br w:val="nil"/>
              <w:tr2bl w:val="nil"/>
            </w:tcBorders>
            <w:shd w:val="clear" w:color="auto" w:fill="auto"/>
            <w:vAlign w:val="center"/>
          </w:tcPr>
          <w:p w14:paraId="740CCEC7">
            <w:pPr>
              <w:widowControl/>
              <w:jc w:val="center"/>
              <w:textAlignment w:val="center"/>
              <w:rPr>
                <w:rFonts w:eastAsia="仿宋_GB2312"/>
                <w:kern w:val="0"/>
                <w:szCs w:val="21"/>
              </w:rPr>
            </w:pPr>
            <w:r>
              <w:rPr>
                <w:rFonts w:hint="eastAsia" w:eastAsia="仿宋_GB2312"/>
                <w:kern w:val="0"/>
                <w:szCs w:val="21"/>
              </w:rPr>
              <w:t>/</w:t>
            </w:r>
          </w:p>
        </w:tc>
        <w:tc>
          <w:tcPr>
            <w:tcW w:w="1059" w:type="pct"/>
            <w:vMerge w:val="restart"/>
            <w:tcBorders>
              <w:tl2br w:val="nil"/>
              <w:tr2bl w:val="nil"/>
            </w:tcBorders>
            <w:shd w:val="clear" w:color="auto" w:fill="auto"/>
            <w:vAlign w:val="center"/>
          </w:tcPr>
          <w:p w14:paraId="2A65AB0B">
            <w:pPr>
              <w:widowControl/>
              <w:jc w:val="center"/>
              <w:textAlignment w:val="center"/>
            </w:pPr>
            <w:r>
              <w:rPr>
                <w:rFonts w:hint="eastAsia"/>
              </w:rPr>
              <w:t>/</w:t>
            </w:r>
          </w:p>
        </w:tc>
        <w:tc>
          <w:tcPr>
            <w:tcW w:w="423" w:type="pct"/>
            <w:vMerge w:val="restart"/>
            <w:tcBorders>
              <w:tl2br w:val="nil"/>
              <w:tr2bl w:val="nil"/>
            </w:tcBorders>
            <w:vAlign w:val="center"/>
          </w:tcPr>
          <w:p w14:paraId="195F9D7D">
            <w:pPr>
              <w:widowControl/>
              <w:jc w:val="center"/>
              <w:rPr>
                <w:rFonts w:eastAsia="仿宋_GB2312"/>
                <w:kern w:val="0"/>
                <w:szCs w:val="21"/>
              </w:rPr>
            </w:pPr>
            <w:r>
              <w:rPr>
                <w:rFonts w:hint="eastAsia" w:eastAsia="仿宋_GB2312"/>
                <w:kern w:val="0"/>
                <w:szCs w:val="21"/>
              </w:rPr>
              <w:t>0</w:t>
            </w:r>
          </w:p>
        </w:tc>
        <w:tc>
          <w:tcPr>
            <w:tcW w:w="605" w:type="pct"/>
            <w:vMerge w:val="restart"/>
            <w:tcBorders>
              <w:tl2br w:val="nil"/>
              <w:tr2bl w:val="nil"/>
            </w:tcBorders>
            <w:vAlign w:val="center"/>
          </w:tcPr>
          <w:p w14:paraId="04298BBF">
            <w:pPr>
              <w:widowControl/>
              <w:jc w:val="center"/>
              <w:rPr>
                <w:rFonts w:eastAsia="仿宋_GB2312"/>
                <w:kern w:val="0"/>
                <w:szCs w:val="21"/>
              </w:rPr>
            </w:pPr>
            <w:r>
              <w:rPr>
                <w:rFonts w:hint="eastAsia" w:eastAsia="仿宋_GB2312"/>
                <w:kern w:val="0"/>
                <w:szCs w:val="21"/>
              </w:rPr>
              <w:t>本次取消</w:t>
            </w:r>
          </w:p>
        </w:tc>
      </w:tr>
      <w:tr w14:paraId="05151D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3" w:type="pct"/>
            <w:vMerge w:val="continue"/>
            <w:tcBorders>
              <w:tl2br w:val="nil"/>
              <w:tr2bl w:val="nil"/>
            </w:tcBorders>
            <w:vAlign w:val="center"/>
          </w:tcPr>
          <w:p w14:paraId="4026E221">
            <w:pPr>
              <w:widowControl/>
              <w:jc w:val="center"/>
              <w:rPr>
                <w:rFonts w:eastAsia="仿宋_GB2312"/>
                <w:kern w:val="0"/>
                <w:szCs w:val="21"/>
              </w:rPr>
            </w:pPr>
          </w:p>
        </w:tc>
        <w:tc>
          <w:tcPr>
            <w:tcW w:w="372" w:type="pct"/>
            <w:vMerge w:val="continue"/>
            <w:tcBorders>
              <w:tl2br w:val="nil"/>
              <w:tr2bl w:val="nil"/>
            </w:tcBorders>
            <w:vAlign w:val="center"/>
          </w:tcPr>
          <w:p w14:paraId="2EBDF0C5">
            <w:pPr>
              <w:widowControl/>
              <w:jc w:val="center"/>
              <w:rPr>
                <w:rFonts w:eastAsia="仿宋_GB2312"/>
                <w:kern w:val="0"/>
                <w:szCs w:val="21"/>
              </w:rPr>
            </w:pPr>
          </w:p>
        </w:tc>
        <w:tc>
          <w:tcPr>
            <w:tcW w:w="394" w:type="pct"/>
            <w:tcBorders>
              <w:tl2br w:val="nil"/>
              <w:tr2bl w:val="nil"/>
            </w:tcBorders>
            <w:vAlign w:val="center"/>
          </w:tcPr>
          <w:p w14:paraId="47CA74CE">
            <w:pPr>
              <w:widowControl/>
              <w:jc w:val="center"/>
              <w:rPr>
                <w:rFonts w:eastAsia="仿宋_GB2312"/>
                <w:kern w:val="0"/>
                <w:szCs w:val="21"/>
              </w:rPr>
            </w:pPr>
            <w:r>
              <w:rPr>
                <w:rFonts w:eastAsia="仿宋_GB2312"/>
                <w:kern w:val="0"/>
                <w:szCs w:val="21"/>
              </w:rPr>
              <w:t>HW11</w:t>
            </w:r>
          </w:p>
        </w:tc>
        <w:tc>
          <w:tcPr>
            <w:tcW w:w="1042" w:type="pct"/>
            <w:tcBorders>
              <w:tl2br w:val="nil"/>
              <w:tr2bl w:val="nil"/>
            </w:tcBorders>
            <w:vAlign w:val="center"/>
          </w:tcPr>
          <w:p w14:paraId="3CEFE85D">
            <w:pPr>
              <w:widowControl/>
              <w:jc w:val="center"/>
              <w:rPr>
                <w:rFonts w:eastAsia="仿宋_GB2312"/>
                <w:kern w:val="0"/>
                <w:szCs w:val="21"/>
              </w:rPr>
            </w:pPr>
            <w:r>
              <w:rPr>
                <w:rFonts w:eastAsia="仿宋_GB2312"/>
                <w:kern w:val="0"/>
                <w:szCs w:val="21"/>
              </w:rPr>
              <w:t>900-013-11，261-128-11，261-129-11，261-130-11，261-031-11</w:t>
            </w:r>
          </w:p>
        </w:tc>
        <w:tc>
          <w:tcPr>
            <w:tcW w:w="465" w:type="pct"/>
            <w:vMerge w:val="continue"/>
            <w:tcBorders>
              <w:tl2br w:val="nil"/>
              <w:tr2bl w:val="nil"/>
            </w:tcBorders>
            <w:vAlign w:val="center"/>
          </w:tcPr>
          <w:p w14:paraId="5AB21658">
            <w:pPr>
              <w:widowControl/>
              <w:jc w:val="center"/>
              <w:rPr>
                <w:rFonts w:eastAsia="仿宋_GB2312"/>
                <w:kern w:val="0"/>
                <w:szCs w:val="21"/>
              </w:rPr>
            </w:pPr>
          </w:p>
        </w:tc>
        <w:tc>
          <w:tcPr>
            <w:tcW w:w="384" w:type="pct"/>
            <w:vMerge w:val="continue"/>
            <w:tcBorders>
              <w:tl2br w:val="nil"/>
              <w:tr2bl w:val="nil"/>
            </w:tcBorders>
            <w:shd w:val="clear" w:color="auto" w:fill="auto"/>
            <w:vAlign w:val="center"/>
          </w:tcPr>
          <w:p w14:paraId="7D1010A5">
            <w:pPr>
              <w:widowControl/>
              <w:jc w:val="center"/>
              <w:textAlignment w:val="center"/>
              <w:rPr>
                <w:rFonts w:eastAsia="仿宋_GB2312"/>
                <w:kern w:val="0"/>
                <w:szCs w:val="21"/>
              </w:rPr>
            </w:pPr>
          </w:p>
        </w:tc>
        <w:tc>
          <w:tcPr>
            <w:tcW w:w="1059" w:type="pct"/>
            <w:vMerge w:val="continue"/>
            <w:tcBorders>
              <w:tl2br w:val="nil"/>
              <w:tr2bl w:val="nil"/>
            </w:tcBorders>
            <w:shd w:val="clear" w:color="auto" w:fill="auto"/>
            <w:vAlign w:val="center"/>
          </w:tcPr>
          <w:p w14:paraId="6C5B929C">
            <w:pPr>
              <w:widowControl/>
              <w:jc w:val="center"/>
              <w:textAlignment w:val="center"/>
              <w:rPr>
                <w:rFonts w:eastAsia="仿宋_GB2312"/>
                <w:kern w:val="0"/>
                <w:szCs w:val="21"/>
              </w:rPr>
            </w:pPr>
          </w:p>
        </w:tc>
        <w:tc>
          <w:tcPr>
            <w:tcW w:w="423" w:type="pct"/>
            <w:vMerge w:val="continue"/>
            <w:tcBorders>
              <w:tl2br w:val="nil"/>
              <w:tr2bl w:val="nil"/>
            </w:tcBorders>
            <w:vAlign w:val="center"/>
          </w:tcPr>
          <w:p w14:paraId="10145081">
            <w:pPr>
              <w:widowControl/>
              <w:jc w:val="center"/>
              <w:rPr>
                <w:rFonts w:eastAsia="仿宋_GB2312"/>
                <w:kern w:val="0"/>
                <w:szCs w:val="21"/>
              </w:rPr>
            </w:pPr>
          </w:p>
        </w:tc>
        <w:tc>
          <w:tcPr>
            <w:tcW w:w="605" w:type="pct"/>
            <w:vMerge w:val="continue"/>
            <w:tcBorders>
              <w:tl2br w:val="nil"/>
              <w:tr2bl w:val="nil"/>
            </w:tcBorders>
            <w:vAlign w:val="center"/>
          </w:tcPr>
          <w:p w14:paraId="766112A4">
            <w:pPr>
              <w:widowControl/>
              <w:jc w:val="center"/>
              <w:rPr>
                <w:rFonts w:eastAsia="仿宋_GB2312"/>
                <w:kern w:val="0"/>
                <w:szCs w:val="21"/>
              </w:rPr>
            </w:pPr>
          </w:p>
        </w:tc>
      </w:tr>
      <w:tr w14:paraId="11DBA9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3" w:type="pct"/>
            <w:vMerge w:val="continue"/>
            <w:tcBorders>
              <w:tl2br w:val="nil"/>
              <w:tr2bl w:val="nil"/>
            </w:tcBorders>
            <w:vAlign w:val="center"/>
          </w:tcPr>
          <w:p w14:paraId="160A74A5">
            <w:pPr>
              <w:widowControl/>
              <w:jc w:val="center"/>
              <w:rPr>
                <w:rFonts w:eastAsia="仿宋_GB2312"/>
                <w:kern w:val="0"/>
                <w:szCs w:val="21"/>
              </w:rPr>
            </w:pPr>
          </w:p>
        </w:tc>
        <w:tc>
          <w:tcPr>
            <w:tcW w:w="372" w:type="pct"/>
            <w:vMerge w:val="continue"/>
            <w:tcBorders>
              <w:tl2br w:val="nil"/>
              <w:tr2bl w:val="nil"/>
            </w:tcBorders>
            <w:vAlign w:val="center"/>
          </w:tcPr>
          <w:p w14:paraId="2A299DA2">
            <w:pPr>
              <w:widowControl/>
              <w:jc w:val="center"/>
              <w:rPr>
                <w:rFonts w:eastAsia="仿宋_GB2312"/>
                <w:kern w:val="0"/>
                <w:szCs w:val="21"/>
              </w:rPr>
            </w:pPr>
          </w:p>
        </w:tc>
        <w:tc>
          <w:tcPr>
            <w:tcW w:w="394" w:type="pct"/>
            <w:tcBorders>
              <w:tl2br w:val="nil"/>
              <w:tr2bl w:val="nil"/>
            </w:tcBorders>
            <w:vAlign w:val="center"/>
          </w:tcPr>
          <w:p w14:paraId="19911277">
            <w:pPr>
              <w:widowControl/>
              <w:jc w:val="center"/>
              <w:rPr>
                <w:rFonts w:eastAsia="仿宋_GB2312"/>
                <w:kern w:val="0"/>
                <w:szCs w:val="21"/>
              </w:rPr>
            </w:pPr>
            <w:r>
              <w:rPr>
                <w:rFonts w:eastAsia="仿宋_GB2312"/>
                <w:kern w:val="0"/>
                <w:szCs w:val="21"/>
              </w:rPr>
              <w:t>HW12</w:t>
            </w:r>
          </w:p>
        </w:tc>
        <w:tc>
          <w:tcPr>
            <w:tcW w:w="1042" w:type="pct"/>
            <w:tcBorders>
              <w:tl2br w:val="nil"/>
              <w:tr2bl w:val="nil"/>
            </w:tcBorders>
            <w:vAlign w:val="center"/>
          </w:tcPr>
          <w:p w14:paraId="6D7E2510">
            <w:pPr>
              <w:widowControl/>
              <w:jc w:val="center"/>
              <w:rPr>
                <w:rFonts w:eastAsia="仿宋_GB2312"/>
                <w:kern w:val="0"/>
                <w:szCs w:val="21"/>
              </w:rPr>
            </w:pPr>
            <w:r>
              <w:rPr>
                <w:rFonts w:eastAsia="仿宋_GB2312"/>
                <w:kern w:val="0"/>
                <w:szCs w:val="21"/>
              </w:rPr>
              <w:t>264-011-12，264-013-12</w:t>
            </w:r>
          </w:p>
        </w:tc>
        <w:tc>
          <w:tcPr>
            <w:tcW w:w="465" w:type="pct"/>
            <w:vMerge w:val="continue"/>
            <w:tcBorders>
              <w:tl2br w:val="nil"/>
              <w:tr2bl w:val="nil"/>
            </w:tcBorders>
            <w:vAlign w:val="center"/>
          </w:tcPr>
          <w:p w14:paraId="1B60BBBE">
            <w:pPr>
              <w:widowControl/>
              <w:jc w:val="center"/>
              <w:rPr>
                <w:rFonts w:eastAsia="仿宋_GB2312"/>
                <w:kern w:val="0"/>
                <w:szCs w:val="21"/>
              </w:rPr>
            </w:pPr>
          </w:p>
        </w:tc>
        <w:tc>
          <w:tcPr>
            <w:tcW w:w="384" w:type="pct"/>
            <w:vMerge w:val="continue"/>
            <w:tcBorders>
              <w:tl2br w:val="nil"/>
              <w:tr2bl w:val="nil"/>
            </w:tcBorders>
            <w:shd w:val="clear" w:color="auto" w:fill="auto"/>
            <w:vAlign w:val="center"/>
          </w:tcPr>
          <w:p w14:paraId="690F3546">
            <w:pPr>
              <w:widowControl/>
              <w:jc w:val="center"/>
              <w:textAlignment w:val="center"/>
              <w:rPr>
                <w:rFonts w:eastAsia="仿宋_GB2312"/>
                <w:kern w:val="0"/>
                <w:szCs w:val="21"/>
              </w:rPr>
            </w:pPr>
          </w:p>
        </w:tc>
        <w:tc>
          <w:tcPr>
            <w:tcW w:w="1059" w:type="pct"/>
            <w:vMerge w:val="continue"/>
            <w:tcBorders>
              <w:tl2br w:val="nil"/>
              <w:tr2bl w:val="nil"/>
            </w:tcBorders>
            <w:shd w:val="clear" w:color="auto" w:fill="auto"/>
            <w:vAlign w:val="center"/>
          </w:tcPr>
          <w:p w14:paraId="077BA2B0">
            <w:pPr>
              <w:widowControl/>
              <w:jc w:val="center"/>
              <w:textAlignment w:val="center"/>
              <w:rPr>
                <w:rFonts w:eastAsia="仿宋_GB2312"/>
                <w:kern w:val="0"/>
                <w:szCs w:val="21"/>
              </w:rPr>
            </w:pPr>
          </w:p>
        </w:tc>
        <w:tc>
          <w:tcPr>
            <w:tcW w:w="423" w:type="pct"/>
            <w:vMerge w:val="continue"/>
            <w:tcBorders>
              <w:tl2br w:val="nil"/>
              <w:tr2bl w:val="nil"/>
            </w:tcBorders>
            <w:vAlign w:val="center"/>
          </w:tcPr>
          <w:p w14:paraId="2D1CEEC3">
            <w:pPr>
              <w:widowControl/>
              <w:jc w:val="center"/>
              <w:rPr>
                <w:rFonts w:eastAsia="仿宋_GB2312"/>
                <w:kern w:val="0"/>
                <w:szCs w:val="21"/>
              </w:rPr>
            </w:pPr>
          </w:p>
        </w:tc>
        <w:tc>
          <w:tcPr>
            <w:tcW w:w="605" w:type="pct"/>
            <w:vMerge w:val="continue"/>
            <w:tcBorders>
              <w:tl2br w:val="nil"/>
              <w:tr2bl w:val="nil"/>
            </w:tcBorders>
            <w:vAlign w:val="center"/>
          </w:tcPr>
          <w:p w14:paraId="4A008ADA">
            <w:pPr>
              <w:widowControl/>
              <w:jc w:val="center"/>
              <w:rPr>
                <w:rFonts w:eastAsia="仿宋_GB2312"/>
                <w:kern w:val="0"/>
                <w:szCs w:val="21"/>
              </w:rPr>
            </w:pPr>
          </w:p>
        </w:tc>
      </w:tr>
      <w:tr w14:paraId="188A64E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3" w:type="pct"/>
            <w:vMerge w:val="continue"/>
            <w:tcBorders>
              <w:tl2br w:val="nil"/>
              <w:tr2bl w:val="nil"/>
            </w:tcBorders>
            <w:vAlign w:val="center"/>
          </w:tcPr>
          <w:p w14:paraId="32F45252">
            <w:pPr>
              <w:widowControl/>
              <w:jc w:val="center"/>
              <w:rPr>
                <w:rFonts w:eastAsia="仿宋_GB2312"/>
                <w:kern w:val="0"/>
                <w:szCs w:val="21"/>
              </w:rPr>
            </w:pPr>
          </w:p>
        </w:tc>
        <w:tc>
          <w:tcPr>
            <w:tcW w:w="372" w:type="pct"/>
            <w:vMerge w:val="continue"/>
            <w:tcBorders>
              <w:tl2br w:val="nil"/>
              <w:tr2bl w:val="nil"/>
            </w:tcBorders>
            <w:vAlign w:val="center"/>
          </w:tcPr>
          <w:p w14:paraId="6206ECE1">
            <w:pPr>
              <w:widowControl/>
              <w:jc w:val="center"/>
              <w:rPr>
                <w:rFonts w:eastAsia="仿宋_GB2312"/>
                <w:kern w:val="0"/>
                <w:szCs w:val="21"/>
              </w:rPr>
            </w:pPr>
          </w:p>
        </w:tc>
        <w:tc>
          <w:tcPr>
            <w:tcW w:w="394" w:type="pct"/>
            <w:tcBorders>
              <w:tl2br w:val="nil"/>
              <w:tr2bl w:val="nil"/>
            </w:tcBorders>
            <w:vAlign w:val="center"/>
          </w:tcPr>
          <w:p w14:paraId="3EBA4C74">
            <w:pPr>
              <w:widowControl/>
              <w:jc w:val="center"/>
              <w:rPr>
                <w:rFonts w:eastAsia="仿宋_GB2312"/>
                <w:kern w:val="0"/>
                <w:szCs w:val="21"/>
              </w:rPr>
            </w:pPr>
            <w:r>
              <w:rPr>
                <w:rFonts w:hint="eastAsia" w:eastAsia="仿宋_GB2312"/>
                <w:kern w:val="0"/>
                <w:szCs w:val="21"/>
              </w:rPr>
              <w:t>HW13</w:t>
            </w:r>
          </w:p>
        </w:tc>
        <w:tc>
          <w:tcPr>
            <w:tcW w:w="1042" w:type="pct"/>
            <w:tcBorders>
              <w:tl2br w:val="nil"/>
              <w:tr2bl w:val="nil"/>
            </w:tcBorders>
            <w:vAlign w:val="center"/>
          </w:tcPr>
          <w:p w14:paraId="0C13DA61">
            <w:pPr>
              <w:widowControl/>
              <w:jc w:val="center"/>
              <w:rPr>
                <w:rFonts w:eastAsia="仿宋_GB2312"/>
                <w:kern w:val="0"/>
                <w:szCs w:val="21"/>
              </w:rPr>
            </w:pPr>
            <w:r>
              <w:rPr>
                <w:szCs w:val="21"/>
              </w:rPr>
              <w:t>265-101-</w:t>
            </w:r>
            <w:r>
              <w:rPr>
                <w:rFonts w:hint="eastAsia"/>
                <w:szCs w:val="21"/>
              </w:rPr>
              <w:t>13</w:t>
            </w:r>
          </w:p>
        </w:tc>
        <w:tc>
          <w:tcPr>
            <w:tcW w:w="465" w:type="pct"/>
            <w:vMerge w:val="continue"/>
            <w:tcBorders>
              <w:tl2br w:val="nil"/>
              <w:tr2bl w:val="nil"/>
            </w:tcBorders>
            <w:vAlign w:val="center"/>
          </w:tcPr>
          <w:p w14:paraId="70AD85B7">
            <w:pPr>
              <w:widowControl/>
              <w:jc w:val="center"/>
              <w:rPr>
                <w:rFonts w:eastAsia="仿宋_GB2312"/>
                <w:kern w:val="0"/>
                <w:szCs w:val="21"/>
              </w:rPr>
            </w:pPr>
          </w:p>
        </w:tc>
        <w:tc>
          <w:tcPr>
            <w:tcW w:w="384" w:type="pct"/>
            <w:vMerge w:val="continue"/>
            <w:tcBorders>
              <w:tl2br w:val="nil"/>
              <w:tr2bl w:val="nil"/>
            </w:tcBorders>
            <w:shd w:val="clear" w:color="auto" w:fill="auto"/>
            <w:vAlign w:val="center"/>
          </w:tcPr>
          <w:p w14:paraId="4BEFAC73">
            <w:pPr>
              <w:widowControl/>
              <w:jc w:val="center"/>
              <w:textAlignment w:val="center"/>
              <w:rPr>
                <w:rFonts w:eastAsia="仿宋_GB2312"/>
                <w:kern w:val="0"/>
                <w:szCs w:val="21"/>
              </w:rPr>
            </w:pPr>
          </w:p>
        </w:tc>
        <w:tc>
          <w:tcPr>
            <w:tcW w:w="1059" w:type="pct"/>
            <w:vMerge w:val="continue"/>
            <w:tcBorders>
              <w:tl2br w:val="nil"/>
              <w:tr2bl w:val="nil"/>
            </w:tcBorders>
            <w:shd w:val="clear" w:color="auto" w:fill="auto"/>
            <w:vAlign w:val="center"/>
          </w:tcPr>
          <w:p w14:paraId="44B79211">
            <w:pPr>
              <w:widowControl/>
              <w:jc w:val="center"/>
              <w:textAlignment w:val="center"/>
              <w:rPr>
                <w:rFonts w:eastAsia="仿宋_GB2312"/>
                <w:kern w:val="0"/>
                <w:szCs w:val="21"/>
              </w:rPr>
            </w:pPr>
          </w:p>
        </w:tc>
        <w:tc>
          <w:tcPr>
            <w:tcW w:w="423" w:type="pct"/>
            <w:vMerge w:val="continue"/>
            <w:tcBorders>
              <w:tl2br w:val="nil"/>
              <w:tr2bl w:val="nil"/>
            </w:tcBorders>
            <w:vAlign w:val="center"/>
          </w:tcPr>
          <w:p w14:paraId="516B6B4B">
            <w:pPr>
              <w:widowControl/>
              <w:jc w:val="center"/>
              <w:rPr>
                <w:rFonts w:eastAsia="仿宋_GB2312"/>
                <w:kern w:val="0"/>
                <w:szCs w:val="21"/>
              </w:rPr>
            </w:pPr>
          </w:p>
        </w:tc>
        <w:tc>
          <w:tcPr>
            <w:tcW w:w="605" w:type="pct"/>
            <w:vMerge w:val="continue"/>
            <w:tcBorders>
              <w:tl2br w:val="nil"/>
              <w:tr2bl w:val="nil"/>
            </w:tcBorders>
            <w:vAlign w:val="center"/>
          </w:tcPr>
          <w:p w14:paraId="21000346">
            <w:pPr>
              <w:widowControl/>
              <w:jc w:val="center"/>
              <w:rPr>
                <w:rFonts w:eastAsia="仿宋_GB2312"/>
                <w:kern w:val="0"/>
                <w:szCs w:val="21"/>
              </w:rPr>
            </w:pPr>
          </w:p>
        </w:tc>
      </w:tr>
      <w:tr w14:paraId="014F22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3" w:type="pct"/>
            <w:vMerge w:val="restart"/>
            <w:tcBorders>
              <w:tl2br w:val="nil"/>
              <w:tr2bl w:val="nil"/>
            </w:tcBorders>
            <w:vAlign w:val="center"/>
          </w:tcPr>
          <w:p w14:paraId="104DCEE8">
            <w:pPr>
              <w:widowControl/>
              <w:jc w:val="center"/>
              <w:rPr>
                <w:rFonts w:eastAsia="仿宋_GB2312"/>
                <w:kern w:val="0"/>
                <w:szCs w:val="21"/>
              </w:rPr>
            </w:pPr>
            <w:r>
              <w:rPr>
                <w:rFonts w:eastAsia="仿宋_GB2312"/>
                <w:kern w:val="0"/>
                <w:szCs w:val="21"/>
              </w:rPr>
              <w:t>25</w:t>
            </w:r>
          </w:p>
        </w:tc>
        <w:tc>
          <w:tcPr>
            <w:tcW w:w="372" w:type="pct"/>
            <w:vMerge w:val="restart"/>
            <w:tcBorders>
              <w:tl2br w:val="nil"/>
              <w:tr2bl w:val="nil"/>
            </w:tcBorders>
            <w:vAlign w:val="center"/>
          </w:tcPr>
          <w:p w14:paraId="14075DB8">
            <w:pPr>
              <w:widowControl/>
              <w:jc w:val="center"/>
              <w:rPr>
                <w:rFonts w:eastAsia="仿宋_GB2312"/>
                <w:kern w:val="0"/>
                <w:szCs w:val="21"/>
              </w:rPr>
            </w:pPr>
            <w:r>
              <w:rPr>
                <w:rFonts w:eastAsia="仿宋_GB2312"/>
                <w:kern w:val="0"/>
                <w:szCs w:val="21"/>
              </w:rPr>
              <w:t>异丙醇废液</w:t>
            </w:r>
          </w:p>
        </w:tc>
        <w:tc>
          <w:tcPr>
            <w:tcW w:w="394" w:type="pct"/>
            <w:tcBorders>
              <w:tl2br w:val="nil"/>
              <w:tr2bl w:val="nil"/>
            </w:tcBorders>
            <w:vAlign w:val="center"/>
          </w:tcPr>
          <w:p w14:paraId="79A32199">
            <w:pPr>
              <w:widowControl/>
              <w:jc w:val="center"/>
              <w:rPr>
                <w:rFonts w:eastAsia="仿宋_GB2312"/>
                <w:kern w:val="0"/>
                <w:szCs w:val="21"/>
              </w:rPr>
            </w:pPr>
            <w:r>
              <w:rPr>
                <w:rFonts w:eastAsia="仿宋_GB2312"/>
                <w:kern w:val="0"/>
                <w:szCs w:val="21"/>
              </w:rPr>
              <w:t>HW02</w:t>
            </w:r>
          </w:p>
        </w:tc>
        <w:tc>
          <w:tcPr>
            <w:tcW w:w="1042" w:type="pct"/>
            <w:tcBorders>
              <w:tl2br w:val="nil"/>
              <w:tr2bl w:val="nil"/>
            </w:tcBorders>
            <w:vAlign w:val="center"/>
          </w:tcPr>
          <w:p w14:paraId="024CEEE9">
            <w:pPr>
              <w:widowControl/>
              <w:jc w:val="center"/>
              <w:rPr>
                <w:rFonts w:eastAsia="仿宋_GB2312"/>
                <w:kern w:val="0"/>
                <w:szCs w:val="21"/>
              </w:rPr>
            </w:pPr>
            <w:r>
              <w:rPr>
                <w:rFonts w:eastAsia="仿宋_GB2312"/>
                <w:kern w:val="0"/>
                <w:szCs w:val="21"/>
              </w:rPr>
              <w:t>271-001-02，271-002-02，</w:t>
            </w:r>
            <w:r>
              <w:rPr>
                <w:rFonts w:hint="eastAsia" w:eastAsia="仿宋_GB2312"/>
                <w:kern w:val="0"/>
                <w:szCs w:val="21"/>
              </w:rPr>
              <w:t>271-004-02，</w:t>
            </w:r>
            <w:r>
              <w:rPr>
                <w:rFonts w:eastAsia="仿宋_GB2312"/>
                <w:kern w:val="0"/>
                <w:szCs w:val="21"/>
              </w:rPr>
              <w:t>272-001-02，</w:t>
            </w:r>
            <w:r>
              <w:rPr>
                <w:rFonts w:hint="eastAsia" w:eastAsia="仿宋_GB2312"/>
                <w:kern w:val="0"/>
                <w:szCs w:val="21"/>
              </w:rPr>
              <w:t>272-003-02，275-004-02，275-005-02，</w:t>
            </w:r>
            <w:r>
              <w:rPr>
                <w:rFonts w:eastAsia="仿宋_GB2312"/>
                <w:kern w:val="0"/>
                <w:szCs w:val="21"/>
              </w:rPr>
              <w:t>276-001-02，276-002-02</w:t>
            </w:r>
            <w:r>
              <w:rPr>
                <w:rFonts w:hint="eastAsia" w:eastAsia="仿宋_GB2312"/>
                <w:kern w:val="0"/>
                <w:szCs w:val="21"/>
              </w:rPr>
              <w:t>，276-004-02</w:t>
            </w:r>
          </w:p>
        </w:tc>
        <w:tc>
          <w:tcPr>
            <w:tcW w:w="465" w:type="pct"/>
            <w:vMerge w:val="restart"/>
            <w:tcBorders>
              <w:tl2br w:val="nil"/>
              <w:tr2bl w:val="nil"/>
            </w:tcBorders>
            <w:vAlign w:val="center"/>
          </w:tcPr>
          <w:p w14:paraId="5C760BBA">
            <w:pPr>
              <w:widowControl/>
              <w:jc w:val="center"/>
              <w:rPr>
                <w:rFonts w:eastAsia="仿宋_GB2312"/>
                <w:kern w:val="0"/>
                <w:szCs w:val="21"/>
              </w:rPr>
            </w:pPr>
            <w:r>
              <w:rPr>
                <w:rFonts w:eastAsia="仿宋_GB2312"/>
                <w:kern w:val="0"/>
                <w:szCs w:val="21"/>
              </w:rPr>
              <w:t>12000</w:t>
            </w:r>
          </w:p>
        </w:tc>
        <w:tc>
          <w:tcPr>
            <w:tcW w:w="384" w:type="pct"/>
            <w:tcBorders>
              <w:tl2br w:val="nil"/>
              <w:tr2bl w:val="nil"/>
            </w:tcBorders>
            <w:shd w:val="clear" w:color="auto" w:fill="auto"/>
            <w:vAlign w:val="center"/>
          </w:tcPr>
          <w:p w14:paraId="37ACC96C">
            <w:pPr>
              <w:widowControl/>
              <w:jc w:val="center"/>
              <w:textAlignment w:val="center"/>
              <w:rPr>
                <w:rFonts w:eastAsia="仿宋_GB2312"/>
                <w:kern w:val="0"/>
                <w:szCs w:val="21"/>
              </w:rPr>
            </w:pPr>
            <w:r>
              <w:rPr>
                <w:kern w:val="0"/>
                <w:szCs w:val="21"/>
                <w:lang w:bidi="ar"/>
              </w:rPr>
              <w:t>HW02</w:t>
            </w:r>
          </w:p>
        </w:tc>
        <w:tc>
          <w:tcPr>
            <w:tcW w:w="1059" w:type="pct"/>
            <w:tcBorders>
              <w:tl2br w:val="nil"/>
              <w:tr2bl w:val="nil"/>
            </w:tcBorders>
            <w:shd w:val="clear" w:color="auto" w:fill="auto"/>
            <w:vAlign w:val="center"/>
          </w:tcPr>
          <w:p w14:paraId="7AB7FF76">
            <w:pPr>
              <w:widowControl/>
              <w:jc w:val="center"/>
              <w:textAlignment w:val="center"/>
              <w:rPr>
                <w:rFonts w:eastAsia="仿宋_GB2312"/>
                <w:kern w:val="0"/>
                <w:szCs w:val="21"/>
              </w:rPr>
            </w:pPr>
            <w:r>
              <w:rPr>
                <w:kern w:val="0"/>
                <w:szCs w:val="21"/>
                <w:lang w:bidi="ar"/>
              </w:rPr>
              <w:t>271-001-02</w:t>
            </w:r>
            <w:r>
              <w:rPr>
                <w:rFonts w:ascii="仿宋_GB2312" w:eastAsia="仿宋_GB2312" w:cs="仿宋_GB2312"/>
                <w:kern w:val="0"/>
                <w:szCs w:val="21"/>
                <w:lang w:bidi="ar"/>
              </w:rPr>
              <w:t>，</w:t>
            </w:r>
            <w:r>
              <w:rPr>
                <w:kern w:val="0"/>
                <w:szCs w:val="21"/>
                <w:lang w:bidi="ar"/>
              </w:rPr>
              <w:t>271-002-02</w:t>
            </w:r>
            <w:r>
              <w:rPr>
                <w:rFonts w:ascii="仿宋_GB2312" w:eastAsia="仿宋_GB2312" w:cs="仿宋_GB2312"/>
                <w:kern w:val="0"/>
                <w:szCs w:val="21"/>
                <w:lang w:bidi="ar"/>
              </w:rPr>
              <w:t>，</w:t>
            </w:r>
            <w:r>
              <w:rPr>
                <w:kern w:val="0"/>
                <w:szCs w:val="21"/>
                <w:lang w:bidi="ar"/>
              </w:rPr>
              <w:t>272-001-02</w:t>
            </w:r>
            <w:r>
              <w:rPr>
                <w:rFonts w:ascii="仿宋_GB2312" w:eastAsia="仿宋_GB2312" w:cs="仿宋_GB2312"/>
                <w:kern w:val="0"/>
                <w:szCs w:val="21"/>
                <w:lang w:bidi="ar"/>
              </w:rPr>
              <w:t>，</w:t>
            </w:r>
            <w:r>
              <w:rPr>
                <w:b/>
                <w:bCs/>
                <w:kern w:val="0"/>
                <w:szCs w:val="21"/>
                <w:lang w:bidi="ar"/>
              </w:rPr>
              <w:t>272-00</w:t>
            </w:r>
            <w:r>
              <w:rPr>
                <w:rFonts w:hint="eastAsia"/>
                <w:b/>
                <w:bCs/>
                <w:kern w:val="0"/>
                <w:szCs w:val="21"/>
                <w:lang w:val="en-US" w:eastAsia="zh-CN" w:bidi="ar"/>
              </w:rPr>
              <w:t>5</w:t>
            </w:r>
            <w:r>
              <w:rPr>
                <w:b/>
                <w:bCs/>
                <w:kern w:val="0"/>
                <w:szCs w:val="21"/>
                <w:lang w:bidi="ar"/>
              </w:rPr>
              <w:t>-02</w:t>
            </w:r>
            <w:r>
              <w:rPr>
                <w:rFonts w:ascii="仿宋_GB2312" w:eastAsia="仿宋_GB2312" w:cs="仿宋_GB2312"/>
                <w:kern w:val="0"/>
                <w:szCs w:val="21"/>
                <w:lang w:bidi="ar"/>
              </w:rPr>
              <w:t>，</w:t>
            </w:r>
            <w:r>
              <w:rPr>
                <w:kern w:val="0"/>
                <w:szCs w:val="21"/>
                <w:lang w:bidi="ar"/>
              </w:rPr>
              <w:t>275-004-02</w:t>
            </w:r>
            <w:r>
              <w:rPr>
                <w:rFonts w:ascii="仿宋_GB2312" w:eastAsia="仿宋_GB2312" w:cs="仿宋_GB2312"/>
                <w:kern w:val="0"/>
                <w:szCs w:val="21"/>
                <w:lang w:bidi="ar"/>
              </w:rPr>
              <w:t>，</w:t>
            </w:r>
            <w:r>
              <w:rPr>
                <w:b/>
                <w:bCs/>
                <w:kern w:val="0"/>
                <w:szCs w:val="21"/>
                <w:lang w:bidi="ar"/>
              </w:rPr>
              <w:t>275-00</w:t>
            </w:r>
            <w:r>
              <w:rPr>
                <w:rFonts w:hint="eastAsia"/>
                <w:b/>
                <w:bCs/>
                <w:kern w:val="0"/>
                <w:szCs w:val="21"/>
                <w:lang w:val="en-US" w:eastAsia="zh-CN" w:bidi="ar"/>
              </w:rPr>
              <w:t>6</w:t>
            </w:r>
            <w:r>
              <w:rPr>
                <w:b/>
                <w:bCs/>
                <w:kern w:val="0"/>
                <w:szCs w:val="21"/>
                <w:lang w:bidi="ar"/>
              </w:rPr>
              <w:t>-02</w:t>
            </w:r>
            <w:r>
              <w:rPr>
                <w:rFonts w:ascii="仿宋_GB2312" w:eastAsia="仿宋_GB2312" w:cs="仿宋_GB2312"/>
                <w:kern w:val="0"/>
                <w:szCs w:val="21"/>
                <w:lang w:bidi="ar"/>
              </w:rPr>
              <w:t>，</w:t>
            </w:r>
            <w:r>
              <w:rPr>
                <w:kern w:val="0"/>
                <w:szCs w:val="21"/>
                <w:lang w:bidi="ar"/>
              </w:rPr>
              <w:t>276-001-02</w:t>
            </w:r>
            <w:r>
              <w:rPr>
                <w:rFonts w:ascii="仿宋_GB2312" w:eastAsia="仿宋_GB2312" w:cs="仿宋_GB2312"/>
                <w:kern w:val="0"/>
                <w:szCs w:val="21"/>
                <w:lang w:bidi="ar"/>
              </w:rPr>
              <w:t>，</w:t>
            </w:r>
            <w:r>
              <w:rPr>
                <w:kern w:val="0"/>
                <w:szCs w:val="21"/>
                <w:lang w:bidi="ar"/>
              </w:rPr>
              <w:t>276-002-02</w:t>
            </w:r>
            <w:r>
              <w:rPr>
                <w:rFonts w:ascii="仿宋_GB2312" w:eastAsia="仿宋_GB2312" w:cs="仿宋_GB2312"/>
                <w:kern w:val="0"/>
                <w:szCs w:val="21"/>
                <w:lang w:bidi="ar"/>
              </w:rPr>
              <w:t>，</w:t>
            </w:r>
            <w:r>
              <w:rPr>
                <w:b/>
                <w:bCs/>
                <w:kern w:val="0"/>
                <w:szCs w:val="21"/>
                <w:lang w:bidi="ar"/>
              </w:rPr>
              <w:t>276-00</w:t>
            </w:r>
            <w:r>
              <w:rPr>
                <w:rFonts w:hint="eastAsia"/>
                <w:b/>
                <w:bCs/>
                <w:kern w:val="0"/>
                <w:szCs w:val="21"/>
                <w:lang w:val="en-US" w:eastAsia="zh-CN" w:bidi="ar"/>
              </w:rPr>
              <w:t>5</w:t>
            </w:r>
            <w:r>
              <w:rPr>
                <w:b/>
                <w:bCs/>
                <w:kern w:val="0"/>
                <w:szCs w:val="21"/>
                <w:lang w:bidi="ar"/>
              </w:rPr>
              <w:t>-02</w:t>
            </w:r>
          </w:p>
        </w:tc>
        <w:tc>
          <w:tcPr>
            <w:tcW w:w="423" w:type="pct"/>
            <w:vMerge w:val="restart"/>
            <w:tcBorders>
              <w:tl2br w:val="nil"/>
              <w:tr2bl w:val="nil"/>
            </w:tcBorders>
            <w:vAlign w:val="center"/>
          </w:tcPr>
          <w:p w14:paraId="7FD039CA">
            <w:pPr>
              <w:widowControl/>
              <w:jc w:val="center"/>
              <w:rPr>
                <w:rFonts w:eastAsia="仿宋_GB2312"/>
                <w:kern w:val="0"/>
                <w:szCs w:val="21"/>
              </w:rPr>
            </w:pPr>
            <w:r>
              <w:rPr>
                <w:rFonts w:hint="eastAsia" w:eastAsia="仿宋_GB2312"/>
                <w:kern w:val="0"/>
                <w:szCs w:val="21"/>
              </w:rPr>
              <w:t>23700</w:t>
            </w:r>
          </w:p>
        </w:tc>
        <w:tc>
          <w:tcPr>
            <w:tcW w:w="605" w:type="pct"/>
            <w:vMerge w:val="restart"/>
            <w:tcBorders>
              <w:tl2br w:val="nil"/>
              <w:tr2bl w:val="nil"/>
            </w:tcBorders>
            <w:vAlign w:val="center"/>
          </w:tcPr>
          <w:p w14:paraId="7245F82F">
            <w:pPr>
              <w:widowControl/>
              <w:jc w:val="center"/>
              <w:rPr>
                <w:rFonts w:eastAsia="仿宋_GB2312"/>
                <w:kern w:val="0"/>
                <w:szCs w:val="21"/>
              </w:rPr>
            </w:pPr>
            <w:r>
              <w:rPr>
                <w:rFonts w:eastAsia="仿宋_GB2312"/>
                <w:kern w:val="0"/>
                <w:szCs w:val="21"/>
              </w:rPr>
              <w:t>本次新增</w:t>
            </w:r>
          </w:p>
        </w:tc>
      </w:tr>
      <w:tr w14:paraId="3E1BF5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3" w:type="pct"/>
            <w:vMerge w:val="continue"/>
            <w:tcBorders>
              <w:tl2br w:val="nil"/>
              <w:tr2bl w:val="nil"/>
            </w:tcBorders>
            <w:vAlign w:val="center"/>
          </w:tcPr>
          <w:p w14:paraId="53E6AE17">
            <w:pPr>
              <w:widowControl/>
              <w:jc w:val="center"/>
              <w:rPr>
                <w:rFonts w:eastAsia="仿宋_GB2312"/>
                <w:kern w:val="0"/>
                <w:szCs w:val="21"/>
              </w:rPr>
            </w:pPr>
          </w:p>
        </w:tc>
        <w:tc>
          <w:tcPr>
            <w:tcW w:w="372" w:type="pct"/>
            <w:vMerge w:val="continue"/>
            <w:tcBorders>
              <w:tl2br w:val="nil"/>
              <w:tr2bl w:val="nil"/>
            </w:tcBorders>
            <w:vAlign w:val="center"/>
          </w:tcPr>
          <w:p w14:paraId="53B193CE">
            <w:pPr>
              <w:widowControl/>
              <w:jc w:val="center"/>
              <w:rPr>
                <w:rFonts w:eastAsia="仿宋_GB2312"/>
                <w:kern w:val="0"/>
                <w:szCs w:val="21"/>
              </w:rPr>
            </w:pPr>
          </w:p>
        </w:tc>
        <w:tc>
          <w:tcPr>
            <w:tcW w:w="394" w:type="pct"/>
            <w:tcBorders>
              <w:tl2br w:val="nil"/>
              <w:tr2bl w:val="nil"/>
            </w:tcBorders>
            <w:shd w:val="clear" w:color="auto" w:fill="auto"/>
            <w:vAlign w:val="center"/>
          </w:tcPr>
          <w:p w14:paraId="5E8016E8">
            <w:pPr>
              <w:widowControl/>
              <w:jc w:val="center"/>
              <w:rPr>
                <w:rFonts w:eastAsia="仿宋_GB2312"/>
                <w:kern w:val="0"/>
                <w:szCs w:val="21"/>
              </w:rPr>
            </w:pPr>
            <w:r>
              <w:rPr>
                <w:rFonts w:hint="eastAsia" w:eastAsia="仿宋_GB2312"/>
                <w:kern w:val="0"/>
                <w:szCs w:val="21"/>
              </w:rPr>
              <w:t>/</w:t>
            </w:r>
          </w:p>
        </w:tc>
        <w:tc>
          <w:tcPr>
            <w:tcW w:w="1042" w:type="pct"/>
            <w:tcBorders>
              <w:tl2br w:val="nil"/>
              <w:tr2bl w:val="nil"/>
            </w:tcBorders>
            <w:shd w:val="clear" w:color="auto" w:fill="auto"/>
            <w:vAlign w:val="center"/>
          </w:tcPr>
          <w:p w14:paraId="72FBB0A6">
            <w:pPr>
              <w:widowControl/>
              <w:jc w:val="center"/>
              <w:rPr>
                <w:rFonts w:eastAsia="仿宋_GB2312"/>
                <w:kern w:val="0"/>
                <w:szCs w:val="21"/>
              </w:rPr>
            </w:pPr>
            <w:r>
              <w:rPr>
                <w:rFonts w:hint="eastAsia" w:eastAsia="仿宋_GB2312"/>
                <w:kern w:val="0"/>
                <w:szCs w:val="21"/>
              </w:rPr>
              <w:t>/</w:t>
            </w:r>
          </w:p>
        </w:tc>
        <w:tc>
          <w:tcPr>
            <w:tcW w:w="465" w:type="pct"/>
            <w:vMerge w:val="continue"/>
            <w:tcBorders>
              <w:tl2br w:val="nil"/>
              <w:tr2bl w:val="nil"/>
            </w:tcBorders>
            <w:vAlign w:val="center"/>
          </w:tcPr>
          <w:p w14:paraId="3CB4BF80">
            <w:pPr>
              <w:widowControl/>
              <w:jc w:val="center"/>
              <w:rPr>
                <w:rFonts w:eastAsia="仿宋_GB2312"/>
                <w:kern w:val="0"/>
                <w:szCs w:val="21"/>
              </w:rPr>
            </w:pPr>
          </w:p>
        </w:tc>
        <w:tc>
          <w:tcPr>
            <w:tcW w:w="384" w:type="pct"/>
            <w:tcBorders>
              <w:tl2br w:val="nil"/>
              <w:tr2bl w:val="nil"/>
            </w:tcBorders>
            <w:shd w:val="clear" w:color="auto" w:fill="auto"/>
            <w:vAlign w:val="center"/>
          </w:tcPr>
          <w:p w14:paraId="7D235A41">
            <w:pPr>
              <w:widowControl/>
              <w:jc w:val="center"/>
              <w:textAlignment w:val="center"/>
              <w:rPr>
                <w:rFonts w:eastAsia="仿宋_GB2312"/>
                <w:kern w:val="0"/>
                <w:szCs w:val="21"/>
              </w:rPr>
            </w:pPr>
            <w:r>
              <w:rPr>
                <w:b/>
                <w:bCs/>
                <w:kern w:val="0"/>
                <w:szCs w:val="21"/>
                <w:lang w:bidi="ar"/>
              </w:rPr>
              <w:t>HW04</w:t>
            </w:r>
          </w:p>
        </w:tc>
        <w:tc>
          <w:tcPr>
            <w:tcW w:w="1059" w:type="pct"/>
            <w:tcBorders>
              <w:tl2br w:val="nil"/>
              <w:tr2bl w:val="nil"/>
            </w:tcBorders>
            <w:shd w:val="clear" w:color="auto" w:fill="auto"/>
            <w:vAlign w:val="center"/>
          </w:tcPr>
          <w:p w14:paraId="504A57C3">
            <w:pPr>
              <w:widowControl/>
              <w:jc w:val="center"/>
              <w:textAlignment w:val="center"/>
              <w:rPr>
                <w:rFonts w:eastAsia="仿宋_GB2312"/>
                <w:kern w:val="0"/>
                <w:szCs w:val="21"/>
              </w:rPr>
            </w:pPr>
            <w:r>
              <w:rPr>
                <w:b/>
                <w:bCs/>
                <w:kern w:val="0"/>
                <w:szCs w:val="21"/>
                <w:lang w:bidi="ar"/>
              </w:rPr>
              <w:t>263-008-04</w:t>
            </w:r>
          </w:p>
        </w:tc>
        <w:tc>
          <w:tcPr>
            <w:tcW w:w="423" w:type="pct"/>
            <w:vMerge w:val="continue"/>
            <w:tcBorders>
              <w:tl2br w:val="nil"/>
              <w:tr2bl w:val="nil"/>
            </w:tcBorders>
            <w:vAlign w:val="center"/>
          </w:tcPr>
          <w:p w14:paraId="4F15C043">
            <w:pPr>
              <w:widowControl/>
              <w:jc w:val="center"/>
              <w:rPr>
                <w:rFonts w:eastAsia="仿宋_GB2312"/>
                <w:kern w:val="0"/>
                <w:szCs w:val="21"/>
              </w:rPr>
            </w:pPr>
          </w:p>
        </w:tc>
        <w:tc>
          <w:tcPr>
            <w:tcW w:w="605" w:type="pct"/>
            <w:vMerge w:val="continue"/>
            <w:tcBorders>
              <w:tl2br w:val="nil"/>
              <w:tr2bl w:val="nil"/>
            </w:tcBorders>
            <w:vAlign w:val="center"/>
          </w:tcPr>
          <w:p w14:paraId="107D9DD0">
            <w:pPr>
              <w:widowControl/>
              <w:jc w:val="center"/>
              <w:rPr>
                <w:rFonts w:eastAsia="仿宋_GB2312"/>
                <w:kern w:val="0"/>
                <w:szCs w:val="21"/>
              </w:rPr>
            </w:pPr>
          </w:p>
        </w:tc>
      </w:tr>
      <w:tr w14:paraId="07B9A0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3" w:type="pct"/>
            <w:vMerge w:val="continue"/>
            <w:tcBorders>
              <w:tl2br w:val="nil"/>
              <w:tr2bl w:val="nil"/>
            </w:tcBorders>
            <w:vAlign w:val="center"/>
          </w:tcPr>
          <w:p w14:paraId="51A14249">
            <w:pPr>
              <w:widowControl/>
              <w:jc w:val="center"/>
              <w:rPr>
                <w:rFonts w:eastAsia="仿宋_GB2312"/>
                <w:kern w:val="0"/>
                <w:szCs w:val="21"/>
              </w:rPr>
            </w:pPr>
          </w:p>
        </w:tc>
        <w:tc>
          <w:tcPr>
            <w:tcW w:w="372" w:type="pct"/>
            <w:vMerge w:val="continue"/>
            <w:tcBorders>
              <w:tl2br w:val="nil"/>
              <w:tr2bl w:val="nil"/>
            </w:tcBorders>
            <w:vAlign w:val="center"/>
          </w:tcPr>
          <w:p w14:paraId="3278BF44">
            <w:pPr>
              <w:widowControl/>
              <w:jc w:val="center"/>
              <w:rPr>
                <w:rFonts w:eastAsia="仿宋_GB2312"/>
                <w:kern w:val="0"/>
                <w:szCs w:val="21"/>
              </w:rPr>
            </w:pPr>
          </w:p>
        </w:tc>
        <w:tc>
          <w:tcPr>
            <w:tcW w:w="394" w:type="pct"/>
            <w:tcBorders>
              <w:tl2br w:val="nil"/>
              <w:tr2bl w:val="nil"/>
            </w:tcBorders>
            <w:vAlign w:val="center"/>
          </w:tcPr>
          <w:p w14:paraId="5D4E57E3">
            <w:pPr>
              <w:widowControl/>
              <w:jc w:val="center"/>
              <w:rPr>
                <w:rFonts w:eastAsia="仿宋_GB2312"/>
                <w:kern w:val="0"/>
                <w:szCs w:val="21"/>
              </w:rPr>
            </w:pPr>
            <w:r>
              <w:rPr>
                <w:rFonts w:eastAsia="仿宋_GB2312"/>
                <w:kern w:val="0"/>
                <w:szCs w:val="21"/>
              </w:rPr>
              <w:t>HW06</w:t>
            </w:r>
          </w:p>
        </w:tc>
        <w:tc>
          <w:tcPr>
            <w:tcW w:w="1042" w:type="pct"/>
            <w:tcBorders>
              <w:tl2br w:val="nil"/>
              <w:tr2bl w:val="nil"/>
            </w:tcBorders>
            <w:vAlign w:val="center"/>
          </w:tcPr>
          <w:p w14:paraId="218E848C">
            <w:pPr>
              <w:widowControl/>
              <w:jc w:val="center"/>
              <w:rPr>
                <w:rFonts w:eastAsia="仿宋_GB2312"/>
                <w:kern w:val="0"/>
                <w:szCs w:val="21"/>
              </w:rPr>
            </w:pPr>
            <w:r>
              <w:rPr>
                <w:rFonts w:eastAsia="仿宋_GB2312"/>
                <w:kern w:val="0"/>
                <w:szCs w:val="21"/>
              </w:rPr>
              <w:t>900-402-06，900-404-06，900-407-06</w:t>
            </w:r>
          </w:p>
        </w:tc>
        <w:tc>
          <w:tcPr>
            <w:tcW w:w="465" w:type="pct"/>
            <w:vMerge w:val="continue"/>
            <w:tcBorders>
              <w:tl2br w:val="nil"/>
              <w:tr2bl w:val="nil"/>
            </w:tcBorders>
            <w:vAlign w:val="center"/>
          </w:tcPr>
          <w:p w14:paraId="737FA39B">
            <w:pPr>
              <w:widowControl/>
              <w:jc w:val="center"/>
              <w:rPr>
                <w:rFonts w:eastAsia="仿宋_GB2312"/>
                <w:kern w:val="0"/>
                <w:szCs w:val="21"/>
              </w:rPr>
            </w:pPr>
          </w:p>
        </w:tc>
        <w:tc>
          <w:tcPr>
            <w:tcW w:w="384" w:type="pct"/>
            <w:tcBorders>
              <w:tl2br w:val="nil"/>
              <w:tr2bl w:val="nil"/>
            </w:tcBorders>
            <w:shd w:val="clear" w:color="auto" w:fill="auto"/>
            <w:vAlign w:val="center"/>
          </w:tcPr>
          <w:p w14:paraId="02B46CB8">
            <w:pPr>
              <w:widowControl/>
              <w:jc w:val="center"/>
              <w:textAlignment w:val="center"/>
              <w:rPr>
                <w:rFonts w:eastAsia="仿宋_GB2312"/>
                <w:kern w:val="0"/>
                <w:szCs w:val="21"/>
              </w:rPr>
            </w:pPr>
            <w:r>
              <w:rPr>
                <w:kern w:val="0"/>
                <w:szCs w:val="21"/>
                <w:lang w:bidi="ar"/>
              </w:rPr>
              <w:t>HW06</w:t>
            </w:r>
          </w:p>
        </w:tc>
        <w:tc>
          <w:tcPr>
            <w:tcW w:w="1059" w:type="pct"/>
            <w:tcBorders>
              <w:tl2br w:val="nil"/>
              <w:tr2bl w:val="nil"/>
            </w:tcBorders>
            <w:shd w:val="clear" w:color="auto" w:fill="auto"/>
            <w:vAlign w:val="center"/>
          </w:tcPr>
          <w:p w14:paraId="5EBB889D">
            <w:pPr>
              <w:widowControl/>
              <w:jc w:val="center"/>
              <w:textAlignment w:val="center"/>
              <w:rPr>
                <w:rFonts w:eastAsia="仿宋_GB2312"/>
                <w:kern w:val="0"/>
                <w:szCs w:val="21"/>
              </w:rPr>
            </w:pPr>
            <w:r>
              <w:rPr>
                <w:kern w:val="0"/>
                <w:szCs w:val="21"/>
                <w:lang w:bidi="ar"/>
              </w:rPr>
              <w:t>900-402-06</w:t>
            </w:r>
            <w:r>
              <w:rPr>
                <w:rFonts w:ascii="仿宋_GB2312" w:eastAsia="仿宋_GB2312" w:cs="仿宋_GB2312"/>
                <w:kern w:val="0"/>
                <w:szCs w:val="21"/>
                <w:lang w:bidi="ar"/>
              </w:rPr>
              <w:t>，</w:t>
            </w:r>
            <w:r>
              <w:rPr>
                <w:kern w:val="0"/>
                <w:szCs w:val="21"/>
                <w:lang w:bidi="ar"/>
              </w:rPr>
              <w:t>900-404-06</w:t>
            </w:r>
            <w:r>
              <w:rPr>
                <w:rFonts w:ascii="仿宋_GB2312" w:eastAsia="仿宋_GB2312" w:cs="仿宋_GB2312"/>
                <w:kern w:val="0"/>
                <w:szCs w:val="21"/>
                <w:lang w:bidi="ar"/>
              </w:rPr>
              <w:t>，</w:t>
            </w:r>
            <w:r>
              <w:rPr>
                <w:kern w:val="0"/>
                <w:szCs w:val="21"/>
                <w:lang w:bidi="ar"/>
              </w:rPr>
              <w:t>900-407-06</w:t>
            </w:r>
          </w:p>
        </w:tc>
        <w:tc>
          <w:tcPr>
            <w:tcW w:w="423" w:type="pct"/>
            <w:vMerge w:val="continue"/>
            <w:tcBorders>
              <w:tl2br w:val="nil"/>
              <w:tr2bl w:val="nil"/>
            </w:tcBorders>
            <w:vAlign w:val="center"/>
          </w:tcPr>
          <w:p w14:paraId="5B74CA99">
            <w:pPr>
              <w:widowControl/>
              <w:jc w:val="center"/>
              <w:rPr>
                <w:rFonts w:eastAsia="仿宋_GB2312"/>
                <w:kern w:val="0"/>
                <w:szCs w:val="21"/>
              </w:rPr>
            </w:pPr>
          </w:p>
        </w:tc>
        <w:tc>
          <w:tcPr>
            <w:tcW w:w="605" w:type="pct"/>
            <w:vMerge w:val="continue"/>
            <w:tcBorders>
              <w:tl2br w:val="nil"/>
              <w:tr2bl w:val="nil"/>
            </w:tcBorders>
            <w:vAlign w:val="center"/>
          </w:tcPr>
          <w:p w14:paraId="2A8D3F14">
            <w:pPr>
              <w:widowControl/>
              <w:jc w:val="center"/>
              <w:rPr>
                <w:rFonts w:eastAsia="仿宋_GB2312"/>
                <w:kern w:val="0"/>
                <w:szCs w:val="21"/>
              </w:rPr>
            </w:pPr>
          </w:p>
        </w:tc>
      </w:tr>
      <w:tr w14:paraId="4A3F6E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3" w:type="pct"/>
            <w:vMerge w:val="continue"/>
            <w:tcBorders>
              <w:tl2br w:val="nil"/>
              <w:tr2bl w:val="nil"/>
            </w:tcBorders>
            <w:vAlign w:val="center"/>
          </w:tcPr>
          <w:p w14:paraId="77505912">
            <w:pPr>
              <w:widowControl/>
              <w:jc w:val="center"/>
              <w:rPr>
                <w:rFonts w:eastAsia="仿宋_GB2312"/>
                <w:kern w:val="0"/>
                <w:szCs w:val="21"/>
              </w:rPr>
            </w:pPr>
          </w:p>
        </w:tc>
        <w:tc>
          <w:tcPr>
            <w:tcW w:w="372" w:type="pct"/>
            <w:vMerge w:val="continue"/>
            <w:tcBorders>
              <w:tl2br w:val="nil"/>
              <w:tr2bl w:val="nil"/>
            </w:tcBorders>
            <w:vAlign w:val="center"/>
          </w:tcPr>
          <w:p w14:paraId="6075F54F">
            <w:pPr>
              <w:widowControl/>
              <w:jc w:val="center"/>
              <w:rPr>
                <w:rFonts w:eastAsia="仿宋_GB2312"/>
                <w:kern w:val="0"/>
                <w:szCs w:val="21"/>
              </w:rPr>
            </w:pPr>
          </w:p>
        </w:tc>
        <w:tc>
          <w:tcPr>
            <w:tcW w:w="394" w:type="pct"/>
            <w:tcBorders>
              <w:tl2br w:val="nil"/>
              <w:tr2bl w:val="nil"/>
            </w:tcBorders>
            <w:vAlign w:val="center"/>
          </w:tcPr>
          <w:p w14:paraId="2850B596">
            <w:pPr>
              <w:widowControl/>
              <w:jc w:val="center"/>
              <w:rPr>
                <w:rFonts w:eastAsia="仿宋_GB2312"/>
                <w:kern w:val="0"/>
                <w:szCs w:val="21"/>
              </w:rPr>
            </w:pPr>
            <w:r>
              <w:rPr>
                <w:rFonts w:eastAsia="仿宋_GB2312"/>
                <w:kern w:val="0"/>
                <w:szCs w:val="21"/>
              </w:rPr>
              <w:t>HW11</w:t>
            </w:r>
          </w:p>
        </w:tc>
        <w:tc>
          <w:tcPr>
            <w:tcW w:w="1042" w:type="pct"/>
            <w:tcBorders>
              <w:tl2br w:val="nil"/>
              <w:tr2bl w:val="nil"/>
            </w:tcBorders>
            <w:vAlign w:val="center"/>
          </w:tcPr>
          <w:p w14:paraId="3B5305D2">
            <w:pPr>
              <w:widowControl/>
              <w:jc w:val="center"/>
              <w:rPr>
                <w:rFonts w:eastAsia="仿宋_GB2312"/>
                <w:kern w:val="0"/>
                <w:szCs w:val="21"/>
              </w:rPr>
            </w:pPr>
            <w:r>
              <w:rPr>
                <w:rFonts w:eastAsia="仿宋_GB2312"/>
                <w:kern w:val="0"/>
                <w:szCs w:val="21"/>
              </w:rPr>
              <w:t>900-013-11，261-128-11，261-129-11，261-130-11，261-013-11，261-031-11</w:t>
            </w:r>
          </w:p>
        </w:tc>
        <w:tc>
          <w:tcPr>
            <w:tcW w:w="465" w:type="pct"/>
            <w:vMerge w:val="continue"/>
            <w:tcBorders>
              <w:tl2br w:val="nil"/>
              <w:tr2bl w:val="nil"/>
            </w:tcBorders>
            <w:vAlign w:val="center"/>
          </w:tcPr>
          <w:p w14:paraId="7B132A51">
            <w:pPr>
              <w:widowControl/>
              <w:jc w:val="center"/>
              <w:rPr>
                <w:rFonts w:eastAsia="仿宋_GB2312"/>
                <w:kern w:val="0"/>
                <w:szCs w:val="21"/>
              </w:rPr>
            </w:pPr>
          </w:p>
        </w:tc>
        <w:tc>
          <w:tcPr>
            <w:tcW w:w="384" w:type="pct"/>
            <w:tcBorders>
              <w:tl2br w:val="nil"/>
              <w:tr2bl w:val="nil"/>
            </w:tcBorders>
            <w:shd w:val="clear" w:color="auto" w:fill="auto"/>
            <w:vAlign w:val="center"/>
          </w:tcPr>
          <w:p w14:paraId="294B6E3F">
            <w:pPr>
              <w:widowControl/>
              <w:jc w:val="center"/>
              <w:textAlignment w:val="center"/>
              <w:rPr>
                <w:rFonts w:eastAsia="仿宋_GB2312"/>
                <w:kern w:val="0"/>
                <w:szCs w:val="21"/>
              </w:rPr>
            </w:pPr>
            <w:r>
              <w:rPr>
                <w:kern w:val="0"/>
                <w:szCs w:val="21"/>
                <w:lang w:bidi="ar"/>
              </w:rPr>
              <w:t>HW11</w:t>
            </w:r>
          </w:p>
        </w:tc>
        <w:tc>
          <w:tcPr>
            <w:tcW w:w="1059" w:type="pct"/>
            <w:tcBorders>
              <w:tl2br w:val="nil"/>
              <w:tr2bl w:val="nil"/>
            </w:tcBorders>
            <w:shd w:val="clear" w:color="auto" w:fill="auto"/>
            <w:vAlign w:val="center"/>
          </w:tcPr>
          <w:p w14:paraId="4DD13470">
            <w:pPr>
              <w:widowControl/>
              <w:jc w:val="center"/>
              <w:textAlignment w:val="center"/>
              <w:rPr>
                <w:rFonts w:eastAsia="仿宋_GB2312"/>
                <w:kern w:val="0"/>
                <w:szCs w:val="21"/>
              </w:rPr>
            </w:pPr>
            <w:r>
              <w:rPr>
                <w:kern w:val="0"/>
                <w:szCs w:val="21"/>
                <w:lang w:bidi="ar"/>
              </w:rPr>
              <w:t>900-013-11</w:t>
            </w:r>
            <w:r>
              <w:rPr>
                <w:rFonts w:ascii="仿宋_GB2312" w:eastAsia="仿宋_GB2312" w:cs="仿宋_GB2312"/>
                <w:kern w:val="0"/>
                <w:szCs w:val="21"/>
                <w:lang w:bidi="ar"/>
              </w:rPr>
              <w:t>，</w:t>
            </w:r>
            <w:r>
              <w:rPr>
                <w:kern w:val="0"/>
                <w:szCs w:val="21"/>
                <w:lang w:bidi="ar"/>
              </w:rPr>
              <w:t>261-128-11</w:t>
            </w:r>
            <w:r>
              <w:rPr>
                <w:rFonts w:ascii="仿宋_GB2312" w:eastAsia="仿宋_GB2312" w:cs="仿宋_GB2312"/>
                <w:kern w:val="0"/>
                <w:szCs w:val="21"/>
                <w:lang w:bidi="ar"/>
              </w:rPr>
              <w:t>，</w:t>
            </w:r>
            <w:r>
              <w:rPr>
                <w:kern w:val="0"/>
                <w:szCs w:val="21"/>
                <w:lang w:bidi="ar"/>
              </w:rPr>
              <w:t>261-129-11</w:t>
            </w:r>
            <w:r>
              <w:rPr>
                <w:rFonts w:ascii="仿宋_GB2312" w:eastAsia="仿宋_GB2312" w:cs="仿宋_GB2312"/>
                <w:kern w:val="0"/>
                <w:szCs w:val="21"/>
                <w:lang w:bidi="ar"/>
              </w:rPr>
              <w:t>，</w:t>
            </w:r>
            <w:r>
              <w:rPr>
                <w:kern w:val="0"/>
                <w:szCs w:val="21"/>
                <w:lang w:bidi="ar"/>
              </w:rPr>
              <w:t>261-130-11</w:t>
            </w:r>
            <w:r>
              <w:rPr>
                <w:rFonts w:ascii="仿宋_GB2312" w:eastAsia="仿宋_GB2312" w:cs="仿宋_GB2312"/>
                <w:kern w:val="0"/>
                <w:szCs w:val="21"/>
                <w:lang w:bidi="ar"/>
              </w:rPr>
              <w:t>，</w:t>
            </w:r>
            <w:r>
              <w:rPr>
                <w:kern w:val="0"/>
                <w:szCs w:val="21"/>
                <w:lang w:bidi="ar"/>
              </w:rPr>
              <w:t>261-013-11</w:t>
            </w:r>
            <w:r>
              <w:rPr>
                <w:rFonts w:ascii="仿宋_GB2312" w:eastAsia="仿宋_GB2312" w:cs="仿宋_GB2312"/>
                <w:kern w:val="0"/>
                <w:szCs w:val="21"/>
                <w:lang w:bidi="ar"/>
              </w:rPr>
              <w:t>，</w:t>
            </w:r>
            <w:r>
              <w:rPr>
                <w:kern w:val="0"/>
                <w:szCs w:val="21"/>
                <w:lang w:bidi="ar"/>
              </w:rPr>
              <w:t>261-031-11</w:t>
            </w:r>
            <w:r>
              <w:rPr>
                <w:rFonts w:hint="eastAsia" w:ascii="宋体" w:hAnsi="宋体" w:cs="宋体"/>
                <w:kern w:val="0"/>
                <w:szCs w:val="21"/>
                <w:lang w:bidi="ar"/>
              </w:rPr>
              <w:t>，</w:t>
            </w:r>
            <w:r>
              <w:rPr>
                <w:b/>
                <w:bCs/>
                <w:kern w:val="0"/>
                <w:szCs w:val="21"/>
                <w:lang w:bidi="ar"/>
              </w:rPr>
              <w:t>261-012-11</w:t>
            </w:r>
            <w:r>
              <w:rPr>
                <w:rFonts w:hint="eastAsia" w:ascii="宋体" w:hAnsi="宋体" w:cs="宋体"/>
                <w:b/>
                <w:bCs/>
                <w:kern w:val="0"/>
                <w:szCs w:val="21"/>
                <w:lang w:bidi="ar"/>
              </w:rPr>
              <w:t>，</w:t>
            </w:r>
            <w:r>
              <w:rPr>
                <w:b/>
                <w:bCs/>
                <w:kern w:val="0"/>
                <w:szCs w:val="21"/>
                <w:lang w:bidi="ar"/>
              </w:rPr>
              <w:t>261-106-11</w:t>
            </w:r>
          </w:p>
        </w:tc>
        <w:tc>
          <w:tcPr>
            <w:tcW w:w="423" w:type="pct"/>
            <w:vMerge w:val="continue"/>
            <w:tcBorders>
              <w:tl2br w:val="nil"/>
              <w:tr2bl w:val="nil"/>
            </w:tcBorders>
            <w:vAlign w:val="center"/>
          </w:tcPr>
          <w:p w14:paraId="6DD58673">
            <w:pPr>
              <w:widowControl/>
              <w:jc w:val="center"/>
              <w:rPr>
                <w:rFonts w:eastAsia="仿宋_GB2312"/>
                <w:kern w:val="0"/>
                <w:szCs w:val="21"/>
              </w:rPr>
            </w:pPr>
          </w:p>
        </w:tc>
        <w:tc>
          <w:tcPr>
            <w:tcW w:w="605" w:type="pct"/>
            <w:vMerge w:val="continue"/>
            <w:tcBorders>
              <w:tl2br w:val="nil"/>
              <w:tr2bl w:val="nil"/>
            </w:tcBorders>
            <w:vAlign w:val="center"/>
          </w:tcPr>
          <w:p w14:paraId="3393DAD8">
            <w:pPr>
              <w:widowControl/>
              <w:jc w:val="center"/>
              <w:rPr>
                <w:rFonts w:eastAsia="仿宋_GB2312"/>
                <w:kern w:val="0"/>
                <w:szCs w:val="21"/>
              </w:rPr>
            </w:pPr>
          </w:p>
        </w:tc>
      </w:tr>
      <w:tr w14:paraId="1B2EA1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3" w:type="pct"/>
            <w:vMerge w:val="continue"/>
            <w:tcBorders>
              <w:tl2br w:val="nil"/>
              <w:tr2bl w:val="nil"/>
            </w:tcBorders>
            <w:vAlign w:val="center"/>
          </w:tcPr>
          <w:p w14:paraId="7E6DE3E7">
            <w:pPr>
              <w:widowControl/>
              <w:jc w:val="center"/>
              <w:rPr>
                <w:rFonts w:eastAsia="仿宋_GB2312"/>
                <w:kern w:val="0"/>
                <w:szCs w:val="21"/>
              </w:rPr>
            </w:pPr>
          </w:p>
        </w:tc>
        <w:tc>
          <w:tcPr>
            <w:tcW w:w="372" w:type="pct"/>
            <w:vMerge w:val="continue"/>
            <w:tcBorders>
              <w:tl2br w:val="nil"/>
              <w:tr2bl w:val="nil"/>
            </w:tcBorders>
            <w:vAlign w:val="center"/>
          </w:tcPr>
          <w:p w14:paraId="58CD066F">
            <w:pPr>
              <w:widowControl/>
              <w:jc w:val="center"/>
              <w:rPr>
                <w:rFonts w:eastAsia="仿宋_GB2312"/>
                <w:kern w:val="0"/>
                <w:szCs w:val="21"/>
              </w:rPr>
            </w:pPr>
          </w:p>
        </w:tc>
        <w:tc>
          <w:tcPr>
            <w:tcW w:w="394" w:type="pct"/>
            <w:tcBorders>
              <w:tl2br w:val="nil"/>
              <w:tr2bl w:val="nil"/>
            </w:tcBorders>
            <w:vAlign w:val="center"/>
          </w:tcPr>
          <w:p w14:paraId="4C7CB15B">
            <w:pPr>
              <w:widowControl/>
              <w:jc w:val="center"/>
              <w:rPr>
                <w:rFonts w:eastAsia="仿宋_GB2312"/>
                <w:kern w:val="0"/>
                <w:szCs w:val="21"/>
              </w:rPr>
            </w:pPr>
            <w:r>
              <w:rPr>
                <w:rFonts w:eastAsia="仿宋_GB2312"/>
                <w:kern w:val="0"/>
                <w:szCs w:val="21"/>
              </w:rPr>
              <w:t>HW12</w:t>
            </w:r>
          </w:p>
        </w:tc>
        <w:tc>
          <w:tcPr>
            <w:tcW w:w="1042" w:type="pct"/>
            <w:tcBorders>
              <w:tl2br w:val="nil"/>
              <w:tr2bl w:val="nil"/>
            </w:tcBorders>
            <w:vAlign w:val="center"/>
          </w:tcPr>
          <w:p w14:paraId="66ACD283">
            <w:pPr>
              <w:widowControl/>
              <w:jc w:val="center"/>
              <w:rPr>
                <w:rFonts w:eastAsia="仿宋_GB2312"/>
                <w:kern w:val="0"/>
                <w:szCs w:val="21"/>
              </w:rPr>
            </w:pPr>
            <w:r>
              <w:rPr>
                <w:rFonts w:eastAsia="仿宋_GB2312"/>
                <w:kern w:val="0"/>
                <w:szCs w:val="21"/>
              </w:rPr>
              <w:t>264-011-12，264-013-12，</w:t>
            </w:r>
          </w:p>
          <w:p w14:paraId="0F14DF5B">
            <w:pPr>
              <w:widowControl/>
              <w:jc w:val="center"/>
              <w:rPr>
                <w:rFonts w:eastAsia="仿宋_GB2312"/>
                <w:kern w:val="0"/>
                <w:szCs w:val="21"/>
              </w:rPr>
            </w:pPr>
            <w:r>
              <w:rPr>
                <w:rFonts w:eastAsia="仿宋_GB2312"/>
                <w:kern w:val="0"/>
                <w:szCs w:val="21"/>
              </w:rPr>
              <w:t>900-250-12，900-251-12，900-252-12，900-253-12</w:t>
            </w:r>
          </w:p>
        </w:tc>
        <w:tc>
          <w:tcPr>
            <w:tcW w:w="465" w:type="pct"/>
            <w:vMerge w:val="continue"/>
            <w:tcBorders>
              <w:tl2br w:val="nil"/>
              <w:tr2bl w:val="nil"/>
            </w:tcBorders>
            <w:vAlign w:val="center"/>
          </w:tcPr>
          <w:p w14:paraId="2EC971E3">
            <w:pPr>
              <w:widowControl/>
              <w:jc w:val="center"/>
              <w:rPr>
                <w:rFonts w:eastAsia="仿宋_GB2312"/>
                <w:kern w:val="0"/>
                <w:szCs w:val="21"/>
              </w:rPr>
            </w:pPr>
          </w:p>
        </w:tc>
        <w:tc>
          <w:tcPr>
            <w:tcW w:w="384" w:type="pct"/>
            <w:tcBorders>
              <w:tl2br w:val="nil"/>
              <w:tr2bl w:val="nil"/>
            </w:tcBorders>
            <w:shd w:val="clear" w:color="auto" w:fill="auto"/>
            <w:vAlign w:val="center"/>
          </w:tcPr>
          <w:p w14:paraId="0122E46A">
            <w:pPr>
              <w:widowControl/>
              <w:jc w:val="center"/>
              <w:textAlignment w:val="center"/>
              <w:rPr>
                <w:rFonts w:eastAsia="仿宋_GB2312"/>
                <w:kern w:val="0"/>
                <w:szCs w:val="21"/>
              </w:rPr>
            </w:pPr>
            <w:r>
              <w:rPr>
                <w:kern w:val="0"/>
                <w:szCs w:val="21"/>
                <w:lang w:bidi="ar"/>
              </w:rPr>
              <w:t>HW12</w:t>
            </w:r>
          </w:p>
        </w:tc>
        <w:tc>
          <w:tcPr>
            <w:tcW w:w="1059" w:type="pct"/>
            <w:tcBorders>
              <w:tl2br w:val="nil"/>
              <w:tr2bl w:val="nil"/>
            </w:tcBorders>
            <w:shd w:val="clear" w:color="auto" w:fill="auto"/>
            <w:vAlign w:val="center"/>
          </w:tcPr>
          <w:p w14:paraId="32A16CE8">
            <w:pPr>
              <w:widowControl/>
              <w:jc w:val="center"/>
              <w:textAlignment w:val="center"/>
              <w:rPr>
                <w:rFonts w:eastAsia="仿宋_GB2312"/>
                <w:kern w:val="0"/>
                <w:szCs w:val="21"/>
              </w:rPr>
            </w:pPr>
            <w:r>
              <w:rPr>
                <w:kern w:val="0"/>
                <w:szCs w:val="21"/>
                <w:lang w:bidi="ar"/>
              </w:rPr>
              <w:t>264-011-12</w:t>
            </w:r>
            <w:r>
              <w:rPr>
                <w:rFonts w:ascii="仿宋_GB2312" w:eastAsia="仿宋_GB2312" w:cs="仿宋_GB2312"/>
                <w:kern w:val="0"/>
                <w:szCs w:val="21"/>
                <w:lang w:bidi="ar"/>
              </w:rPr>
              <w:t>，</w:t>
            </w:r>
            <w:r>
              <w:rPr>
                <w:kern w:val="0"/>
                <w:szCs w:val="21"/>
                <w:lang w:bidi="ar"/>
              </w:rPr>
              <w:t>264-013-12</w:t>
            </w:r>
            <w:r>
              <w:rPr>
                <w:rFonts w:ascii="仿宋_GB2312" w:eastAsia="仿宋_GB2312" w:cs="仿宋_GB2312"/>
                <w:kern w:val="0"/>
                <w:szCs w:val="21"/>
                <w:lang w:bidi="ar"/>
              </w:rPr>
              <w:t>，</w:t>
            </w:r>
            <w:r>
              <w:rPr>
                <w:kern w:val="0"/>
                <w:szCs w:val="21"/>
                <w:lang w:bidi="ar"/>
              </w:rPr>
              <w:t>900-250-12</w:t>
            </w:r>
            <w:r>
              <w:rPr>
                <w:rFonts w:hint="eastAsia" w:ascii="宋体" w:hAnsi="宋体" w:cs="宋体"/>
                <w:kern w:val="0"/>
                <w:szCs w:val="21"/>
                <w:lang w:bidi="ar"/>
              </w:rPr>
              <w:t>，</w:t>
            </w:r>
            <w:r>
              <w:rPr>
                <w:kern w:val="0"/>
                <w:szCs w:val="21"/>
                <w:lang w:bidi="ar"/>
              </w:rPr>
              <w:t>900-251-12</w:t>
            </w:r>
            <w:r>
              <w:rPr>
                <w:rFonts w:hint="eastAsia" w:ascii="宋体" w:hAnsi="宋体" w:cs="宋体"/>
                <w:kern w:val="0"/>
                <w:szCs w:val="21"/>
                <w:lang w:bidi="ar"/>
              </w:rPr>
              <w:t>，</w:t>
            </w:r>
            <w:r>
              <w:rPr>
                <w:kern w:val="0"/>
                <w:szCs w:val="21"/>
                <w:lang w:bidi="ar"/>
              </w:rPr>
              <w:t>900-252-12</w:t>
            </w:r>
            <w:r>
              <w:rPr>
                <w:rFonts w:hint="eastAsia" w:ascii="宋体" w:hAnsi="宋体" w:cs="宋体"/>
                <w:kern w:val="0"/>
                <w:szCs w:val="21"/>
                <w:lang w:bidi="ar"/>
              </w:rPr>
              <w:t>，</w:t>
            </w:r>
            <w:r>
              <w:rPr>
                <w:kern w:val="0"/>
                <w:szCs w:val="21"/>
                <w:lang w:bidi="ar"/>
              </w:rPr>
              <w:t>900-253-12</w:t>
            </w:r>
            <w:r>
              <w:rPr>
                <w:rFonts w:hint="eastAsia" w:ascii="宋体" w:hAnsi="宋体" w:cs="宋体"/>
                <w:kern w:val="0"/>
                <w:szCs w:val="21"/>
                <w:lang w:bidi="ar"/>
              </w:rPr>
              <w:t>，</w:t>
            </w:r>
            <w:r>
              <w:rPr>
                <w:kern w:val="0"/>
                <w:szCs w:val="21"/>
                <w:lang w:bidi="ar"/>
              </w:rPr>
              <w:t>900-256-12</w:t>
            </w:r>
          </w:p>
        </w:tc>
        <w:tc>
          <w:tcPr>
            <w:tcW w:w="423" w:type="pct"/>
            <w:vMerge w:val="continue"/>
            <w:tcBorders>
              <w:tl2br w:val="nil"/>
              <w:tr2bl w:val="nil"/>
            </w:tcBorders>
            <w:vAlign w:val="center"/>
          </w:tcPr>
          <w:p w14:paraId="75DBD52C">
            <w:pPr>
              <w:widowControl/>
              <w:jc w:val="center"/>
              <w:rPr>
                <w:rFonts w:eastAsia="仿宋_GB2312"/>
                <w:kern w:val="0"/>
                <w:szCs w:val="21"/>
              </w:rPr>
            </w:pPr>
          </w:p>
        </w:tc>
        <w:tc>
          <w:tcPr>
            <w:tcW w:w="605" w:type="pct"/>
            <w:vMerge w:val="continue"/>
            <w:tcBorders>
              <w:tl2br w:val="nil"/>
              <w:tr2bl w:val="nil"/>
            </w:tcBorders>
            <w:vAlign w:val="center"/>
          </w:tcPr>
          <w:p w14:paraId="0D8DFCF9">
            <w:pPr>
              <w:widowControl/>
              <w:jc w:val="center"/>
              <w:rPr>
                <w:rFonts w:eastAsia="仿宋_GB2312"/>
                <w:kern w:val="0"/>
                <w:szCs w:val="21"/>
              </w:rPr>
            </w:pPr>
          </w:p>
        </w:tc>
      </w:tr>
      <w:tr w14:paraId="2AE68E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3" w:type="pct"/>
            <w:vMerge w:val="continue"/>
            <w:tcBorders>
              <w:tl2br w:val="nil"/>
              <w:tr2bl w:val="nil"/>
            </w:tcBorders>
            <w:vAlign w:val="center"/>
          </w:tcPr>
          <w:p w14:paraId="66FAF6F9">
            <w:pPr>
              <w:widowControl/>
              <w:jc w:val="center"/>
              <w:rPr>
                <w:rFonts w:eastAsia="仿宋_GB2312"/>
                <w:kern w:val="0"/>
                <w:szCs w:val="21"/>
              </w:rPr>
            </w:pPr>
          </w:p>
        </w:tc>
        <w:tc>
          <w:tcPr>
            <w:tcW w:w="372" w:type="pct"/>
            <w:vMerge w:val="continue"/>
            <w:tcBorders>
              <w:tl2br w:val="nil"/>
              <w:tr2bl w:val="nil"/>
            </w:tcBorders>
            <w:vAlign w:val="center"/>
          </w:tcPr>
          <w:p w14:paraId="44E1A0B9">
            <w:pPr>
              <w:widowControl/>
              <w:jc w:val="center"/>
              <w:rPr>
                <w:rFonts w:eastAsia="仿宋_GB2312"/>
                <w:kern w:val="0"/>
                <w:szCs w:val="21"/>
              </w:rPr>
            </w:pPr>
          </w:p>
        </w:tc>
        <w:tc>
          <w:tcPr>
            <w:tcW w:w="394" w:type="pct"/>
            <w:tcBorders>
              <w:tl2br w:val="nil"/>
              <w:tr2bl w:val="nil"/>
            </w:tcBorders>
            <w:vAlign w:val="center"/>
          </w:tcPr>
          <w:p w14:paraId="1EDFB320">
            <w:pPr>
              <w:widowControl/>
              <w:jc w:val="center"/>
              <w:rPr>
                <w:rFonts w:eastAsia="仿宋_GB2312"/>
                <w:kern w:val="0"/>
                <w:szCs w:val="21"/>
              </w:rPr>
            </w:pPr>
            <w:r>
              <w:rPr>
                <w:rFonts w:eastAsia="仿宋_GB2312"/>
                <w:kern w:val="0"/>
                <w:szCs w:val="21"/>
              </w:rPr>
              <w:t>HW13</w:t>
            </w:r>
          </w:p>
        </w:tc>
        <w:tc>
          <w:tcPr>
            <w:tcW w:w="1042" w:type="pct"/>
            <w:tcBorders>
              <w:tl2br w:val="nil"/>
              <w:tr2bl w:val="nil"/>
            </w:tcBorders>
            <w:vAlign w:val="center"/>
          </w:tcPr>
          <w:p w14:paraId="06E784E8">
            <w:pPr>
              <w:widowControl/>
              <w:jc w:val="center"/>
              <w:rPr>
                <w:rFonts w:eastAsia="仿宋_GB2312"/>
                <w:kern w:val="0"/>
                <w:szCs w:val="21"/>
              </w:rPr>
            </w:pPr>
            <w:r>
              <w:rPr>
                <w:rFonts w:eastAsia="仿宋_GB2312"/>
                <w:kern w:val="0"/>
                <w:szCs w:val="21"/>
              </w:rPr>
              <w:t>265-102-13</w:t>
            </w:r>
          </w:p>
        </w:tc>
        <w:tc>
          <w:tcPr>
            <w:tcW w:w="465" w:type="pct"/>
            <w:vMerge w:val="continue"/>
            <w:tcBorders>
              <w:tl2br w:val="nil"/>
              <w:tr2bl w:val="nil"/>
            </w:tcBorders>
            <w:vAlign w:val="center"/>
          </w:tcPr>
          <w:p w14:paraId="7AE2672F">
            <w:pPr>
              <w:widowControl/>
              <w:jc w:val="center"/>
              <w:rPr>
                <w:rFonts w:eastAsia="仿宋_GB2312"/>
                <w:kern w:val="0"/>
                <w:szCs w:val="21"/>
              </w:rPr>
            </w:pPr>
          </w:p>
        </w:tc>
        <w:tc>
          <w:tcPr>
            <w:tcW w:w="384" w:type="pct"/>
            <w:tcBorders>
              <w:tl2br w:val="nil"/>
              <w:tr2bl w:val="nil"/>
            </w:tcBorders>
            <w:shd w:val="clear" w:color="auto" w:fill="auto"/>
            <w:vAlign w:val="center"/>
          </w:tcPr>
          <w:p w14:paraId="5A9D6B09">
            <w:pPr>
              <w:widowControl/>
              <w:jc w:val="center"/>
              <w:textAlignment w:val="center"/>
              <w:rPr>
                <w:rFonts w:eastAsia="仿宋_GB2312"/>
                <w:kern w:val="0"/>
                <w:szCs w:val="21"/>
              </w:rPr>
            </w:pPr>
            <w:r>
              <w:rPr>
                <w:kern w:val="0"/>
                <w:szCs w:val="21"/>
                <w:lang w:bidi="ar"/>
              </w:rPr>
              <w:t>HW13</w:t>
            </w:r>
          </w:p>
        </w:tc>
        <w:tc>
          <w:tcPr>
            <w:tcW w:w="1059" w:type="pct"/>
            <w:tcBorders>
              <w:tl2br w:val="nil"/>
              <w:tr2bl w:val="nil"/>
            </w:tcBorders>
            <w:shd w:val="clear" w:color="auto" w:fill="auto"/>
            <w:vAlign w:val="center"/>
          </w:tcPr>
          <w:p w14:paraId="642026F0">
            <w:pPr>
              <w:widowControl/>
              <w:jc w:val="center"/>
              <w:textAlignment w:val="center"/>
              <w:rPr>
                <w:rFonts w:eastAsia="仿宋_GB2312"/>
                <w:kern w:val="0"/>
                <w:szCs w:val="21"/>
              </w:rPr>
            </w:pPr>
            <w:r>
              <w:rPr>
                <w:kern w:val="0"/>
                <w:szCs w:val="21"/>
                <w:lang w:bidi="ar"/>
              </w:rPr>
              <w:t>265-102-13</w:t>
            </w:r>
            <w:r>
              <w:rPr>
                <w:rFonts w:hint="eastAsia" w:ascii="宋体" w:hAnsi="宋体" w:cs="宋体"/>
                <w:b/>
                <w:bCs/>
                <w:kern w:val="0"/>
                <w:szCs w:val="21"/>
                <w:lang w:bidi="ar"/>
              </w:rPr>
              <w:t>，</w:t>
            </w:r>
            <w:r>
              <w:rPr>
                <w:b/>
                <w:bCs/>
                <w:kern w:val="0"/>
                <w:szCs w:val="21"/>
                <w:lang w:bidi="ar"/>
              </w:rPr>
              <w:t>900-014-13</w:t>
            </w:r>
          </w:p>
        </w:tc>
        <w:tc>
          <w:tcPr>
            <w:tcW w:w="423" w:type="pct"/>
            <w:vMerge w:val="continue"/>
            <w:tcBorders>
              <w:tl2br w:val="nil"/>
              <w:tr2bl w:val="nil"/>
            </w:tcBorders>
            <w:vAlign w:val="center"/>
          </w:tcPr>
          <w:p w14:paraId="4082A9E4">
            <w:pPr>
              <w:widowControl/>
              <w:jc w:val="center"/>
              <w:rPr>
                <w:rFonts w:eastAsia="仿宋_GB2312"/>
                <w:kern w:val="0"/>
                <w:szCs w:val="21"/>
              </w:rPr>
            </w:pPr>
          </w:p>
        </w:tc>
        <w:tc>
          <w:tcPr>
            <w:tcW w:w="605" w:type="pct"/>
            <w:vMerge w:val="continue"/>
            <w:tcBorders>
              <w:tl2br w:val="nil"/>
              <w:tr2bl w:val="nil"/>
            </w:tcBorders>
            <w:vAlign w:val="center"/>
          </w:tcPr>
          <w:p w14:paraId="6FBC6E76">
            <w:pPr>
              <w:widowControl/>
              <w:jc w:val="center"/>
              <w:rPr>
                <w:rFonts w:eastAsia="仿宋_GB2312"/>
                <w:kern w:val="0"/>
                <w:szCs w:val="21"/>
              </w:rPr>
            </w:pPr>
          </w:p>
        </w:tc>
      </w:tr>
      <w:tr w14:paraId="74F507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3" w:type="pct"/>
            <w:vMerge w:val="restart"/>
            <w:tcBorders>
              <w:tl2br w:val="nil"/>
              <w:tr2bl w:val="nil"/>
            </w:tcBorders>
            <w:vAlign w:val="center"/>
          </w:tcPr>
          <w:p w14:paraId="69F63C49">
            <w:pPr>
              <w:widowControl/>
              <w:jc w:val="center"/>
              <w:rPr>
                <w:rFonts w:eastAsia="仿宋_GB2312"/>
                <w:kern w:val="0"/>
                <w:szCs w:val="21"/>
              </w:rPr>
            </w:pPr>
            <w:r>
              <w:rPr>
                <w:rFonts w:hint="eastAsia" w:eastAsia="仿宋_GB2312"/>
                <w:kern w:val="0"/>
                <w:szCs w:val="21"/>
              </w:rPr>
              <w:t>26</w:t>
            </w:r>
          </w:p>
        </w:tc>
        <w:tc>
          <w:tcPr>
            <w:tcW w:w="372" w:type="pct"/>
            <w:vMerge w:val="restart"/>
            <w:tcBorders>
              <w:tl2br w:val="nil"/>
              <w:tr2bl w:val="nil"/>
            </w:tcBorders>
            <w:vAlign w:val="center"/>
          </w:tcPr>
          <w:p w14:paraId="2673B0A9">
            <w:pPr>
              <w:widowControl/>
              <w:jc w:val="center"/>
              <w:rPr>
                <w:rFonts w:eastAsia="仿宋_GB2312"/>
                <w:kern w:val="0"/>
                <w:szCs w:val="21"/>
              </w:rPr>
            </w:pPr>
            <w:r>
              <w:rPr>
                <w:rFonts w:hint="eastAsia" w:eastAsia="仿宋_GB2312"/>
                <w:kern w:val="0"/>
                <w:szCs w:val="21"/>
              </w:rPr>
              <w:t>己烷废液</w:t>
            </w:r>
          </w:p>
        </w:tc>
        <w:tc>
          <w:tcPr>
            <w:tcW w:w="394" w:type="pct"/>
            <w:vMerge w:val="restart"/>
            <w:tcBorders>
              <w:tl2br w:val="nil"/>
              <w:tr2bl w:val="nil"/>
            </w:tcBorders>
            <w:vAlign w:val="center"/>
          </w:tcPr>
          <w:p w14:paraId="3F4D0BB3">
            <w:pPr>
              <w:widowControl/>
              <w:jc w:val="center"/>
              <w:rPr>
                <w:rFonts w:eastAsia="仿宋_GB2312"/>
                <w:kern w:val="0"/>
                <w:szCs w:val="21"/>
              </w:rPr>
            </w:pPr>
            <w:r>
              <w:rPr>
                <w:rFonts w:hint="eastAsia" w:eastAsia="仿宋_GB2312"/>
                <w:kern w:val="0"/>
                <w:szCs w:val="21"/>
              </w:rPr>
              <w:t>/</w:t>
            </w:r>
          </w:p>
        </w:tc>
        <w:tc>
          <w:tcPr>
            <w:tcW w:w="1042" w:type="pct"/>
            <w:vMerge w:val="restart"/>
            <w:tcBorders>
              <w:tl2br w:val="nil"/>
              <w:tr2bl w:val="nil"/>
            </w:tcBorders>
            <w:vAlign w:val="center"/>
          </w:tcPr>
          <w:p w14:paraId="09C6B6BC">
            <w:pPr>
              <w:widowControl/>
              <w:jc w:val="center"/>
              <w:rPr>
                <w:rFonts w:eastAsia="仿宋_GB2312"/>
                <w:kern w:val="0"/>
                <w:szCs w:val="21"/>
              </w:rPr>
            </w:pPr>
            <w:r>
              <w:rPr>
                <w:rFonts w:hint="eastAsia" w:eastAsia="仿宋_GB2312"/>
                <w:kern w:val="0"/>
                <w:szCs w:val="21"/>
              </w:rPr>
              <w:t>/</w:t>
            </w:r>
          </w:p>
        </w:tc>
        <w:tc>
          <w:tcPr>
            <w:tcW w:w="465" w:type="pct"/>
            <w:vMerge w:val="restart"/>
            <w:tcBorders>
              <w:tl2br w:val="nil"/>
              <w:tr2bl w:val="nil"/>
            </w:tcBorders>
            <w:vAlign w:val="center"/>
          </w:tcPr>
          <w:p w14:paraId="275D0292">
            <w:pPr>
              <w:widowControl/>
              <w:jc w:val="center"/>
              <w:rPr>
                <w:rFonts w:eastAsia="仿宋_GB2312"/>
                <w:kern w:val="0"/>
                <w:szCs w:val="21"/>
              </w:rPr>
            </w:pPr>
            <w:r>
              <w:rPr>
                <w:rFonts w:hint="eastAsia" w:eastAsia="仿宋_GB2312"/>
                <w:kern w:val="0"/>
                <w:szCs w:val="21"/>
              </w:rPr>
              <w:t>0</w:t>
            </w:r>
          </w:p>
        </w:tc>
        <w:tc>
          <w:tcPr>
            <w:tcW w:w="384" w:type="pct"/>
            <w:tcBorders>
              <w:tl2br w:val="nil"/>
              <w:tr2bl w:val="nil"/>
            </w:tcBorders>
            <w:shd w:val="clear" w:color="auto" w:fill="auto"/>
            <w:vAlign w:val="center"/>
          </w:tcPr>
          <w:p w14:paraId="36385E53">
            <w:pPr>
              <w:widowControl/>
              <w:jc w:val="center"/>
              <w:textAlignment w:val="center"/>
              <w:rPr>
                <w:rFonts w:eastAsia="仿宋_GB2312"/>
                <w:kern w:val="0"/>
                <w:szCs w:val="21"/>
              </w:rPr>
            </w:pPr>
            <w:r>
              <w:rPr>
                <w:b/>
                <w:bCs/>
                <w:kern w:val="0"/>
                <w:szCs w:val="21"/>
                <w:lang w:bidi="ar"/>
              </w:rPr>
              <w:t>HW06</w:t>
            </w:r>
          </w:p>
        </w:tc>
        <w:tc>
          <w:tcPr>
            <w:tcW w:w="1059" w:type="pct"/>
            <w:tcBorders>
              <w:tl2br w:val="nil"/>
              <w:tr2bl w:val="nil"/>
            </w:tcBorders>
            <w:shd w:val="clear" w:color="auto" w:fill="auto"/>
            <w:vAlign w:val="center"/>
          </w:tcPr>
          <w:p w14:paraId="2B877457">
            <w:pPr>
              <w:widowControl/>
              <w:jc w:val="center"/>
              <w:textAlignment w:val="center"/>
              <w:rPr>
                <w:kern w:val="0"/>
                <w:szCs w:val="21"/>
                <w:lang w:bidi="ar"/>
              </w:rPr>
            </w:pPr>
            <w:r>
              <w:rPr>
                <w:b/>
                <w:bCs/>
                <w:kern w:val="0"/>
                <w:szCs w:val="21"/>
                <w:lang w:bidi="ar"/>
              </w:rPr>
              <w:t>900-402-06</w:t>
            </w:r>
            <w:r>
              <w:rPr>
                <w:rFonts w:ascii="仿宋_GB2312" w:eastAsia="仿宋_GB2312" w:cs="仿宋_GB2312"/>
                <w:b/>
                <w:bCs/>
                <w:kern w:val="0"/>
                <w:szCs w:val="21"/>
                <w:lang w:bidi="ar"/>
              </w:rPr>
              <w:t>，</w:t>
            </w:r>
            <w:r>
              <w:rPr>
                <w:b/>
                <w:bCs/>
                <w:kern w:val="0"/>
                <w:szCs w:val="21"/>
                <w:lang w:bidi="ar"/>
              </w:rPr>
              <w:t>900-404-06</w:t>
            </w:r>
          </w:p>
        </w:tc>
        <w:tc>
          <w:tcPr>
            <w:tcW w:w="423" w:type="pct"/>
            <w:vMerge w:val="restart"/>
            <w:tcBorders>
              <w:tl2br w:val="nil"/>
              <w:tr2bl w:val="nil"/>
            </w:tcBorders>
            <w:vAlign w:val="center"/>
          </w:tcPr>
          <w:p w14:paraId="0686ED73">
            <w:pPr>
              <w:widowControl/>
              <w:jc w:val="center"/>
              <w:rPr>
                <w:rFonts w:eastAsia="仿宋_GB2312"/>
                <w:kern w:val="0"/>
                <w:szCs w:val="21"/>
              </w:rPr>
            </w:pPr>
            <w:r>
              <w:rPr>
                <w:rFonts w:hint="eastAsia" w:eastAsia="仿宋_GB2312"/>
                <w:kern w:val="0"/>
                <w:szCs w:val="21"/>
                <w:lang w:val="en-US" w:eastAsia="zh-CN"/>
              </w:rPr>
              <w:t>3</w:t>
            </w:r>
            <w:r>
              <w:rPr>
                <w:rFonts w:hint="eastAsia" w:eastAsia="仿宋_GB2312"/>
                <w:kern w:val="0"/>
                <w:szCs w:val="21"/>
              </w:rPr>
              <w:t>000</w:t>
            </w:r>
          </w:p>
        </w:tc>
        <w:tc>
          <w:tcPr>
            <w:tcW w:w="605" w:type="pct"/>
            <w:vMerge w:val="restart"/>
            <w:tcBorders>
              <w:tl2br w:val="nil"/>
              <w:tr2bl w:val="nil"/>
            </w:tcBorders>
            <w:vAlign w:val="center"/>
          </w:tcPr>
          <w:p w14:paraId="014FFEF7">
            <w:pPr>
              <w:widowControl/>
              <w:jc w:val="center"/>
              <w:rPr>
                <w:rFonts w:eastAsia="仿宋_GB2312"/>
                <w:kern w:val="0"/>
                <w:szCs w:val="21"/>
              </w:rPr>
            </w:pPr>
            <w:r>
              <w:rPr>
                <w:rFonts w:eastAsia="仿宋_GB2312"/>
                <w:kern w:val="0"/>
                <w:szCs w:val="21"/>
              </w:rPr>
              <w:t>本次新增</w:t>
            </w:r>
          </w:p>
        </w:tc>
      </w:tr>
      <w:tr w14:paraId="641FB9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3" w:type="pct"/>
            <w:vMerge w:val="continue"/>
            <w:tcBorders>
              <w:tl2br w:val="nil"/>
              <w:tr2bl w:val="nil"/>
            </w:tcBorders>
            <w:vAlign w:val="center"/>
          </w:tcPr>
          <w:p w14:paraId="7726BA77">
            <w:pPr>
              <w:widowControl/>
              <w:jc w:val="center"/>
              <w:rPr>
                <w:rFonts w:eastAsia="仿宋_GB2312"/>
                <w:kern w:val="0"/>
                <w:szCs w:val="21"/>
              </w:rPr>
            </w:pPr>
          </w:p>
        </w:tc>
        <w:tc>
          <w:tcPr>
            <w:tcW w:w="372" w:type="pct"/>
            <w:vMerge w:val="continue"/>
            <w:tcBorders>
              <w:tl2br w:val="nil"/>
              <w:tr2bl w:val="nil"/>
            </w:tcBorders>
            <w:vAlign w:val="center"/>
          </w:tcPr>
          <w:p w14:paraId="23CC5F58">
            <w:pPr>
              <w:widowControl/>
              <w:jc w:val="center"/>
              <w:rPr>
                <w:rFonts w:eastAsia="仿宋_GB2312"/>
                <w:kern w:val="0"/>
                <w:szCs w:val="21"/>
              </w:rPr>
            </w:pPr>
          </w:p>
        </w:tc>
        <w:tc>
          <w:tcPr>
            <w:tcW w:w="394" w:type="pct"/>
            <w:vMerge w:val="continue"/>
            <w:tcBorders>
              <w:tl2br w:val="nil"/>
              <w:tr2bl w:val="nil"/>
            </w:tcBorders>
            <w:vAlign w:val="center"/>
          </w:tcPr>
          <w:p w14:paraId="72726D09">
            <w:pPr>
              <w:widowControl/>
              <w:jc w:val="center"/>
              <w:rPr>
                <w:rFonts w:eastAsia="仿宋_GB2312"/>
                <w:kern w:val="0"/>
                <w:szCs w:val="21"/>
              </w:rPr>
            </w:pPr>
          </w:p>
        </w:tc>
        <w:tc>
          <w:tcPr>
            <w:tcW w:w="1042" w:type="pct"/>
            <w:vMerge w:val="continue"/>
            <w:tcBorders>
              <w:tl2br w:val="nil"/>
              <w:tr2bl w:val="nil"/>
            </w:tcBorders>
            <w:vAlign w:val="center"/>
          </w:tcPr>
          <w:p w14:paraId="2ACDE9B5">
            <w:pPr>
              <w:widowControl/>
              <w:jc w:val="center"/>
              <w:rPr>
                <w:rFonts w:eastAsia="仿宋_GB2312"/>
                <w:kern w:val="0"/>
                <w:szCs w:val="21"/>
              </w:rPr>
            </w:pPr>
          </w:p>
        </w:tc>
        <w:tc>
          <w:tcPr>
            <w:tcW w:w="465" w:type="pct"/>
            <w:vMerge w:val="continue"/>
            <w:tcBorders>
              <w:tl2br w:val="nil"/>
              <w:tr2bl w:val="nil"/>
            </w:tcBorders>
            <w:vAlign w:val="center"/>
          </w:tcPr>
          <w:p w14:paraId="388B8CE9">
            <w:pPr>
              <w:widowControl/>
              <w:jc w:val="center"/>
              <w:rPr>
                <w:rFonts w:eastAsia="仿宋_GB2312"/>
                <w:kern w:val="0"/>
                <w:szCs w:val="21"/>
              </w:rPr>
            </w:pPr>
          </w:p>
        </w:tc>
        <w:tc>
          <w:tcPr>
            <w:tcW w:w="384" w:type="pct"/>
            <w:tcBorders>
              <w:tl2br w:val="nil"/>
              <w:tr2bl w:val="nil"/>
            </w:tcBorders>
            <w:shd w:val="clear" w:color="auto" w:fill="auto"/>
            <w:vAlign w:val="center"/>
          </w:tcPr>
          <w:p w14:paraId="5CA99D69">
            <w:pPr>
              <w:widowControl/>
              <w:jc w:val="center"/>
              <w:textAlignment w:val="center"/>
              <w:rPr>
                <w:rFonts w:eastAsia="仿宋_GB2312"/>
                <w:kern w:val="0"/>
                <w:szCs w:val="21"/>
              </w:rPr>
            </w:pPr>
            <w:r>
              <w:rPr>
                <w:b/>
                <w:bCs/>
                <w:kern w:val="0"/>
                <w:szCs w:val="21"/>
                <w:lang w:bidi="ar"/>
              </w:rPr>
              <w:t>HW11</w:t>
            </w:r>
          </w:p>
        </w:tc>
        <w:tc>
          <w:tcPr>
            <w:tcW w:w="1059" w:type="pct"/>
            <w:tcBorders>
              <w:tl2br w:val="nil"/>
              <w:tr2bl w:val="nil"/>
            </w:tcBorders>
            <w:shd w:val="clear" w:color="auto" w:fill="auto"/>
            <w:vAlign w:val="center"/>
          </w:tcPr>
          <w:p w14:paraId="7208AC05">
            <w:pPr>
              <w:widowControl/>
              <w:jc w:val="center"/>
              <w:textAlignment w:val="center"/>
              <w:rPr>
                <w:kern w:val="0"/>
                <w:szCs w:val="21"/>
                <w:lang w:bidi="ar"/>
              </w:rPr>
            </w:pPr>
            <w:r>
              <w:rPr>
                <w:b/>
                <w:bCs/>
                <w:kern w:val="0"/>
                <w:szCs w:val="21"/>
                <w:lang w:bidi="ar"/>
              </w:rPr>
              <w:t>900-013-11</w:t>
            </w:r>
            <w:r>
              <w:rPr>
                <w:rFonts w:hint="eastAsia" w:ascii="宋体" w:hAnsi="宋体" w:cs="宋体"/>
                <w:b/>
                <w:bCs/>
                <w:kern w:val="0"/>
                <w:szCs w:val="21"/>
                <w:lang w:bidi="ar"/>
              </w:rPr>
              <w:t>，</w:t>
            </w:r>
            <w:r>
              <w:rPr>
                <w:b/>
                <w:bCs/>
                <w:kern w:val="0"/>
                <w:szCs w:val="21"/>
                <w:lang w:bidi="ar"/>
              </w:rPr>
              <w:t>251-013-11</w:t>
            </w:r>
            <w:r>
              <w:rPr>
                <w:rFonts w:hint="eastAsia" w:ascii="宋体" w:hAnsi="宋体" w:cs="宋体"/>
                <w:b/>
                <w:bCs/>
                <w:kern w:val="0"/>
                <w:szCs w:val="21"/>
                <w:lang w:bidi="ar"/>
              </w:rPr>
              <w:t>，</w:t>
            </w:r>
            <w:r>
              <w:rPr>
                <w:b/>
                <w:bCs/>
                <w:kern w:val="0"/>
                <w:szCs w:val="21"/>
                <w:lang w:bidi="ar"/>
              </w:rPr>
              <w:t>252-002-11</w:t>
            </w:r>
            <w:r>
              <w:rPr>
                <w:rFonts w:hint="eastAsia" w:ascii="宋体" w:hAnsi="宋体" w:cs="宋体"/>
                <w:b/>
                <w:bCs/>
                <w:kern w:val="0"/>
                <w:szCs w:val="21"/>
                <w:lang w:bidi="ar"/>
              </w:rPr>
              <w:t>，</w:t>
            </w:r>
            <w:r>
              <w:rPr>
                <w:b/>
                <w:bCs/>
                <w:kern w:val="0"/>
                <w:szCs w:val="21"/>
                <w:lang w:bidi="ar"/>
              </w:rPr>
              <w:t>252-004-11</w:t>
            </w:r>
            <w:r>
              <w:rPr>
                <w:rFonts w:hint="eastAsia" w:ascii="宋体" w:hAnsi="宋体" w:cs="宋体"/>
                <w:b/>
                <w:bCs/>
                <w:kern w:val="0"/>
                <w:szCs w:val="21"/>
                <w:lang w:bidi="ar"/>
              </w:rPr>
              <w:t>，</w:t>
            </w:r>
            <w:r>
              <w:rPr>
                <w:b/>
                <w:bCs/>
                <w:kern w:val="0"/>
                <w:szCs w:val="21"/>
                <w:lang w:bidi="ar"/>
              </w:rPr>
              <w:t>252-011-11</w:t>
            </w:r>
            <w:r>
              <w:rPr>
                <w:rFonts w:hint="eastAsia" w:ascii="宋体" w:hAnsi="宋体" w:cs="宋体"/>
                <w:b/>
                <w:bCs/>
                <w:kern w:val="0"/>
                <w:szCs w:val="21"/>
                <w:lang w:bidi="ar"/>
              </w:rPr>
              <w:t>，</w:t>
            </w:r>
            <w:r>
              <w:rPr>
                <w:b/>
                <w:bCs/>
                <w:kern w:val="0"/>
                <w:szCs w:val="21"/>
                <w:lang w:bidi="ar"/>
              </w:rPr>
              <w:t>252-016-11</w:t>
            </w:r>
            <w:r>
              <w:rPr>
                <w:rFonts w:hint="eastAsia" w:ascii="宋体" w:hAnsi="宋体" w:cs="宋体"/>
                <w:b/>
                <w:bCs/>
                <w:kern w:val="0"/>
                <w:szCs w:val="21"/>
                <w:lang w:bidi="ar"/>
              </w:rPr>
              <w:t>，</w:t>
            </w:r>
            <w:r>
              <w:rPr>
                <w:b/>
                <w:bCs/>
                <w:kern w:val="0"/>
                <w:szCs w:val="21"/>
                <w:lang w:bidi="ar"/>
              </w:rPr>
              <w:t>261-012-11</w:t>
            </w:r>
            <w:r>
              <w:rPr>
                <w:rFonts w:hint="eastAsia" w:ascii="宋体" w:hAnsi="宋体" w:cs="宋体"/>
                <w:b/>
                <w:bCs/>
                <w:kern w:val="0"/>
                <w:szCs w:val="21"/>
                <w:lang w:bidi="ar"/>
              </w:rPr>
              <w:t>，</w:t>
            </w:r>
            <w:r>
              <w:rPr>
                <w:b/>
                <w:bCs/>
                <w:kern w:val="0"/>
                <w:szCs w:val="21"/>
                <w:lang w:bidi="ar"/>
              </w:rPr>
              <w:t>261-013-11</w:t>
            </w:r>
            <w:r>
              <w:rPr>
                <w:rFonts w:hint="eastAsia" w:ascii="宋体" w:hAnsi="宋体" w:cs="宋体"/>
                <w:b/>
                <w:bCs/>
                <w:kern w:val="0"/>
                <w:szCs w:val="21"/>
                <w:lang w:bidi="ar"/>
              </w:rPr>
              <w:t>，</w:t>
            </w:r>
            <w:r>
              <w:rPr>
                <w:b/>
                <w:bCs/>
                <w:kern w:val="0"/>
                <w:szCs w:val="21"/>
                <w:lang w:bidi="ar"/>
              </w:rPr>
              <w:t>261-015-11</w:t>
            </w:r>
            <w:r>
              <w:rPr>
                <w:rFonts w:hint="eastAsia" w:ascii="宋体" w:hAnsi="宋体" w:cs="宋体"/>
                <w:b/>
                <w:bCs/>
                <w:kern w:val="0"/>
                <w:szCs w:val="21"/>
                <w:lang w:bidi="ar"/>
              </w:rPr>
              <w:t>，</w:t>
            </w:r>
            <w:r>
              <w:rPr>
                <w:b/>
                <w:bCs/>
                <w:kern w:val="0"/>
                <w:szCs w:val="21"/>
                <w:lang w:bidi="ar"/>
              </w:rPr>
              <w:t>261-031-11</w:t>
            </w:r>
            <w:r>
              <w:rPr>
                <w:rFonts w:hint="eastAsia" w:ascii="宋体" w:hAnsi="宋体" w:cs="宋体"/>
                <w:b/>
                <w:bCs/>
                <w:kern w:val="0"/>
                <w:szCs w:val="21"/>
                <w:lang w:bidi="ar"/>
              </w:rPr>
              <w:t>，</w:t>
            </w:r>
            <w:r>
              <w:rPr>
                <w:b/>
                <w:bCs/>
                <w:kern w:val="0"/>
                <w:szCs w:val="21"/>
                <w:lang w:bidi="ar"/>
              </w:rPr>
              <w:t>261-106-11</w:t>
            </w:r>
            <w:r>
              <w:rPr>
                <w:rFonts w:hint="eastAsia" w:ascii="宋体" w:hAnsi="宋体" w:cs="宋体"/>
                <w:b/>
                <w:bCs/>
                <w:kern w:val="0"/>
                <w:szCs w:val="21"/>
                <w:lang w:bidi="ar"/>
              </w:rPr>
              <w:t>，</w:t>
            </w:r>
            <w:r>
              <w:rPr>
                <w:b/>
                <w:bCs/>
                <w:kern w:val="0"/>
                <w:szCs w:val="21"/>
                <w:lang w:bidi="ar"/>
              </w:rPr>
              <w:t>261-129-11</w:t>
            </w:r>
            <w:r>
              <w:rPr>
                <w:rFonts w:hint="eastAsia" w:ascii="宋体" w:hAnsi="宋体" w:cs="宋体"/>
                <w:b/>
                <w:bCs/>
                <w:kern w:val="0"/>
                <w:szCs w:val="21"/>
                <w:lang w:bidi="ar"/>
              </w:rPr>
              <w:t>，</w:t>
            </w:r>
            <w:r>
              <w:rPr>
                <w:b/>
                <w:bCs/>
                <w:kern w:val="0"/>
                <w:szCs w:val="21"/>
                <w:lang w:bidi="ar"/>
              </w:rPr>
              <w:t>261-130-11</w:t>
            </w:r>
            <w:r>
              <w:rPr>
                <w:rFonts w:hint="eastAsia" w:ascii="宋体" w:hAnsi="宋体" w:cs="宋体"/>
                <w:b/>
                <w:bCs/>
                <w:kern w:val="0"/>
                <w:szCs w:val="21"/>
                <w:lang w:bidi="ar"/>
              </w:rPr>
              <w:t>，</w:t>
            </w:r>
            <w:r>
              <w:rPr>
                <w:b/>
                <w:bCs/>
                <w:kern w:val="0"/>
                <w:szCs w:val="21"/>
                <w:lang w:bidi="ar"/>
              </w:rPr>
              <w:t>309-001-11</w:t>
            </w:r>
            <w:r>
              <w:rPr>
                <w:rFonts w:hint="eastAsia" w:ascii="宋体" w:hAnsi="宋体" w:cs="宋体"/>
                <w:b/>
                <w:bCs/>
                <w:kern w:val="0"/>
                <w:szCs w:val="21"/>
                <w:lang w:bidi="ar"/>
              </w:rPr>
              <w:t>，</w:t>
            </w:r>
            <w:r>
              <w:rPr>
                <w:b/>
                <w:bCs/>
                <w:kern w:val="0"/>
                <w:szCs w:val="21"/>
                <w:lang w:bidi="ar"/>
              </w:rPr>
              <w:t>451-003-11</w:t>
            </w:r>
            <w:r>
              <w:rPr>
                <w:rFonts w:hint="eastAsia" w:ascii="宋体" w:hAnsi="宋体" w:cs="宋体"/>
                <w:b/>
                <w:bCs/>
                <w:kern w:val="0"/>
                <w:szCs w:val="21"/>
                <w:lang w:bidi="ar"/>
              </w:rPr>
              <w:t>，</w:t>
            </w:r>
            <w:r>
              <w:rPr>
                <w:b/>
                <w:bCs/>
                <w:kern w:val="0"/>
                <w:szCs w:val="21"/>
                <w:lang w:bidi="ar"/>
              </w:rPr>
              <w:t>772-001-11</w:t>
            </w:r>
          </w:p>
        </w:tc>
        <w:tc>
          <w:tcPr>
            <w:tcW w:w="423" w:type="pct"/>
            <w:vMerge w:val="continue"/>
            <w:tcBorders>
              <w:tl2br w:val="nil"/>
              <w:tr2bl w:val="nil"/>
            </w:tcBorders>
            <w:vAlign w:val="center"/>
          </w:tcPr>
          <w:p w14:paraId="51BC24B7">
            <w:pPr>
              <w:widowControl/>
              <w:jc w:val="center"/>
              <w:rPr>
                <w:rFonts w:eastAsia="仿宋_GB2312"/>
                <w:kern w:val="0"/>
                <w:szCs w:val="21"/>
              </w:rPr>
            </w:pPr>
          </w:p>
        </w:tc>
        <w:tc>
          <w:tcPr>
            <w:tcW w:w="605" w:type="pct"/>
            <w:vMerge w:val="continue"/>
            <w:tcBorders>
              <w:tl2br w:val="nil"/>
              <w:tr2bl w:val="nil"/>
            </w:tcBorders>
            <w:vAlign w:val="center"/>
          </w:tcPr>
          <w:p w14:paraId="39D965B6">
            <w:pPr>
              <w:widowControl/>
              <w:jc w:val="center"/>
              <w:rPr>
                <w:rFonts w:eastAsia="仿宋_GB2312"/>
                <w:kern w:val="0"/>
                <w:szCs w:val="21"/>
              </w:rPr>
            </w:pPr>
          </w:p>
        </w:tc>
      </w:tr>
      <w:tr w14:paraId="048BDF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3" w:type="pct"/>
            <w:tcBorders>
              <w:tl2br w:val="nil"/>
              <w:tr2bl w:val="nil"/>
            </w:tcBorders>
            <w:vAlign w:val="center"/>
          </w:tcPr>
          <w:p w14:paraId="3027E0A4">
            <w:pPr>
              <w:widowControl/>
              <w:jc w:val="center"/>
              <w:rPr>
                <w:rFonts w:eastAsia="仿宋_GB2312"/>
                <w:kern w:val="0"/>
                <w:szCs w:val="21"/>
              </w:rPr>
            </w:pPr>
            <w:r>
              <w:rPr>
                <w:rFonts w:hint="eastAsia" w:eastAsia="仿宋_GB2312"/>
                <w:kern w:val="0"/>
                <w:szCs w:val="21"/>
              </w:rPr>
              <w:t>27</w:t>
            </w:r>
          </w:p>
        </w:tc>
        <w:tc>
          <w:tcPr>
            <w:tcW w:w="372" w:type="pct"/>
            <w:tcBorders>
              <w:tl2br w:val="nil"/>
              <w:tr2bl w:val="nil"/>
            </w:tcBorders>
            <w:vAlign w:val="center"/>
          </w:tcPr>
          <w:p w14:paraId="04E1AE07">
            <w:pPr>
              <w:widowControl/>
              <w:jc w:val="center"/>
              <w:rPr>
                <w:rFonts w:eastAsia="仿宋_GB2312"/>
                <w:kern w:val="0"/>
                <w:szCs w:val="21"/>
              </w:rPr>
            </w:pPr>
            <w:r>
              <w:rPr>
                <w:rFonts w:hint="eastAsia" w:eastAsia="仿宋_GB2312"/>
                <w:kern w:val="0"/>
                <w:szCs w:val="21"/>
              </w:rPr>
              <w:t>精馏残液（含异丙苯废液）</w:t>
            </w:r>
          </w:p>
        </w:tc>
        <w:tc>
          <w:tcPr>
            <w:tcW w:w="394" w:type="pct"/>
            <w:tcBorders>
              <w:tl2br w:val="nil"/>
              <w:tr2bl w:val="nil"/>
            </w:tcBorders>
            <w:vAlign w:val="center"/>
          </w:tcPr>
          <w:p w14:paraId="60DDE9BB">
            <w:pPr>
              <w:widowControl/>
              <w:jc w:val="center"/>
              <w:rPr>
                <w:rFonts w:eastAsia="仿宋_GB2312"/>
                <w:kern w:val="0"/>
                <w:szCs w:val="21"/>
              </w:rPr>
            </w:pPr>
            <w:r>
              <w:rPr>
                <w:rFonts w:hint="eastAsia" w:eastAsia="仿宋_GB2312"/>
                <w:kern w:val="0"/>
                <w:szCs w:val="21"/>
              </w:rPr>
              <w:t>/</w:t>
            </w:r>
          </w:p>
        </w:tc>
        <w:tc>
          <w:tcPr>
            <w:tcW w:w="1042" w:type="pct"/>
            <w:tcBorders>
              <w:tl2br w:val="nil"/>
              <w:tr2bl w:val="nil"/>
            </w:tcBorders>
            <w:vAlign w:val="center"/>
          </w:tcPr>
          <w:p w14:paraId="3C5C84B3">
            <w:pPr>
              <w:widowControl/>
              <w:jc w:val="center"/>
              <w:rPr>
                <w:rFonts w:eastAsia="仿宋_GB2312"/>
                <w:kern w:val="0"/>
                <w:szCs w:val="21"/>
              </w:rPr>
            </w:pPr>
            <w:r>
              <w:rPr>
                <w:rFonts w:hint="eastAsia" w:eastAsia="仿宋_GB2312"/>
                <w:kern w:val="0"/>
                <w:szCs w:val="21"/>
              </w:rPr>
              <w:t>/</w:t>
            </w:r>
          </w:p>
        </w:tc>
        <w:tc>
          <w:tcPr>
            <w:tcW w:w="465" w:type="pct"/>
            <w:tcBorders>
              <w:tl2br w:val="nil"/>
              <w:tr2bl w:val="nil"/>
            </w:tcBorders>
            <w:vAlign w:val="center"/>
          </w:tcPr>
          <w:p w14:paraId="445B91BB">
            <w:pPr>
              <w:widowControl/>
              <w:jc w:val="center"/>
              <w:rPr>
                <w:rFonts w:eastAsia="仿宋_GB2312"/>
                <w:kern w:val="0"/>
                <w:szCs w:val="21"/>
              </w:rPr>
            </w:pPr>
            <w:r>
              <w:rPr>
                <w:rFonts w:hint="eastAsia" w:eastAsia="仿宋_GB2312"/>
                <w:kern w:val="0"/>
                <w:szCs w:val="21"/>
              </w:rPr>
              <w:t>0</w:t>
            </w:r>
          </w:p>
        </w:tc>
        <w:tc>
          <w:tcPr>
            <w:tcW w:w="384" w:type="pct"/>
            <w:tcBorders>
              <w:tl2br w:val="nil"/>
              <w:tr2bl w:val="nil"/>
            </w:tcBorders>
            <w:shd w:val="clear" w:color="auto" w:fill="auto"/>
            <w:vAlign w:val="center"/>
          </w:tcPr>
          <w:p w14:paraId="07F29073">
            <w:pPr>
              <w:widowControl/>
              <w:jc w:val="center"/>
              <w:textAlignment w:val="center"/>
              <w:rPr>
                <w:rFonts w:eastAsia="仿宋_GB2312"/>
                <w:kern w:val="0"/>
                <w:szCs w:val="21"/>
              </w:rPr>
            </w:pPr>
            <w:r>
              <w:rPr>
                <w:b/>
                <w:bCs/>
                <w:kern w:val="0"/>
                <w:szCs w:val="21"/>
                <w:lang w:bidi="ar"/>
              </w:rPr>
              <w:t>HW11</w:t>
            </w:r>
          </w:p>
        </w:tc>
        <w:tc>
          <w:tcPr>
            <w:tcW w:w="1059" w:type="pct"/>
            <w:tcBorders>
              <w:tl2br w:val="nil"/>
              <w:tr2bl w:val="nil"/>
            </w:tcBorders>
            <w:shd w:val="clear" w:color="auto" w:fill="auto"/>
            <w:vAlign w:val="center"/>
          </w:tcPr>
          <w:p w14:paraId="7F9C3343">
            <w:pPr>
              <w:widowControl/>
              <w:jc w:val="center"/>
              <w:textAlignment w:val="center"/>
              <w:rPr>
                <w:kern w:val="0"/>
                <w:szCs w:val="21"/>
                <w:lang w:bidi="ar"/>
              </w:rPr>
            </w:pPr>
            <w:r>
              <w:rPr>
                <w:b/>
                <w:bCs/>
                <w:kern w:val="0"/>
                <w:szCs w:val="21"/>
                <w:lang w:bidi="ar"/>
              </w:rPr>
              <w:t>900-013-11</w:t>
            </w:r>
            <w:r>
              <w:rPr>
                <w:rFonts w:hint="eastAsia" w:ascii="宋体" w:hAnsi="宋体" w:cs="宋体"/>
                <w:b/>
                <w:bCs/>
                <w:kern w:val="0"/>
                <w:szCs w:val="21"/>
                <w:lang w:bidi="ar"/>
              </w:rPr>
              <w:t>，</w:t>
            </w:r>
            <w:r>
              <w:rPr>
                <w:b/>
                <w:bCs/>
                <w:kern w:val="0"/>
                <w:szCs w:val="21"/>
                <w:lang w:bidi="ar"/>
              </w:rPr>
              <w:t>251-013-11</w:t>
            </w:r>
            <w:r>
              <w:rPr>
                <w:rFonts w:hint="eastAsia" w:ascii="宋体" w:hAnsi="宋体" w:cs="宋体"/>
                <w:b/>
                <w:bCs/>
                <w:kern w:val="0"/>
                <w:szCs w:val="21"/>
                <w:lang w:bidi="ar"/>
              </w:rPr>
              <w:t>，</w:t>
            </w:r>
            <w:r>
              <w:rPr>
                <w:b/>
                <w:bCs/>
                <w:kern w:val="0"/>
                <w:szCs w:val="21"/>
                <w:lang w:bidi="ar"/>
              </w:rPr>
              <w:t>252-002-11</w:t>
            </w:r>
            <w:r>
              <w:rPr>
                <w:rFonts w:hint="eastAsia" w:ascii="宋体" w:hAnsi="宋体" w:cs="宋体"/>
                <w:b/>
                <w:bCs/>
                <w:kern w:val="0"/>
                <w:szCs w:val="21"/>
                <w:lang w:bidi="ar"/>
              </w:rPr>
              <w:t>，</w:t>
            </w:r>
            <w:r>
              <w:rPr>
                <w:b/>
                <w:bCs/>
                <w:kern w:val="0"/>
                <w:szCs w:val="21"/>
                <w:lang w:bidi="ar"/>
              </w:rPr>
              <w:t>252-004-11</w:t>
            </w:r>
            <w:r>
              <w:rPr>
                <w:rFonts w:hint="eastAsia" w:ascii="宋体" w:hAnsi="宋体" w:cs="宋体"/>
                <w:b/>
                <w:bCs/>
                <w:kern w:val="0"/>
                <w:szCs w:val="21"/>
                <w:lang w:bidi="ar"/>
              </w:rPr>
              <w:t>，</w:t>
            </w:r>
            <w:r>
              <w:rPr>
                <w:b/>
                <w:bCs/>
                <w:kern w:val="0"/>
                <w:szCs w:val="21"/>
                <w:lang w:bidi="ar"/>
              </w:rPr>
              <w:t>252-011-11</w:t>
            </w:r>
            <w:r>
              <w:rPr>
                <w:rFonts w:hint="eastAsia" w:ascii="宋体" w:hAnsi="宋体" w:cs="宋体"/>
                <w:b/>
                <w:bCs/>
                <w:kern w:val="0"/>
                <w:szCs w:val="21"/>
                <w:lang w:bidi="ar"/>
              </w:rPr>
              <w:t>，</w:t>
            </w:r>
            <w:r>
              <w:rPr>
                <w:b/>
                <w:bCs/>
                <w:kern w:val="0"/>
                <w:szCs w:val="21"/>
                <w:lang w:bidi="ar"/>
              </w:rPr>
              <w:t>252-016-11</w:t>
            </w:r>
            <w:r>
              <w:rPr>
                <w:rFonts w:hint="eastAsia" w:ascii="宋体" w:hAnsi="宋体" w:cs="宋体"/>
                <w:b/>
                <w:bCs/>
                <w:kern w:val="0"/>
                <w:szCs w:val="21"/>
                <w:lang w:bidi="ar"/>
              </w:rPr>
              <w:t>，</w:t>
            </w:r>
            <w:r>
              <w:rPr>
                <w:b/>
                <w:bCs/>
                <w:kern w:val="0"/>
                <w:szCs w:val="21"/>
                <w:lang w:bidi="ar"/>
              </w:rPr>
              <w:t>261-012-11</w:t>
            </w:r>
            <w:r>
              <w:rPr>
                <w:rFonts w:hint="eastAsia" w:ascii="宋体" w:hAnsi="宋体" w:cs="宋体"/>
                <w:b/>
                <w:bCs/>
                <w:kern w:val="0"/>
                <w:szCs w:val="21"/>
                <w:lang w:bidi="ar"/>
              </w:rPr>
              <w:t>，</w:t>
            </w:r>
            <w:r>
              <w:rPr>
                <w:b/>
                <w:bCs/>
                <w:kern w:val="0"/>
                <w:szCs w:val="21"/>
                <w:lang w:bidi="ar"/>
              </w:rPr>
              <w:t>261-013-11</w:t>
            </w:r>
            <w:r>
              <w:rPr>
                <w:rFonts w:hint="eastAsia" w:ascii="宋体" w:hAnsi="宋体" w:cs="宋体"/>
                <w:b/>
                <w:bCs/>
                <w:kern w:val="0"/>
                <w:szCs w:val="21"/>
                <w:lang w:bidi="ar"/>
              </w:rPr>
              <w:t>，</w:t>
            </w:r>
            <w:r>
              <w:rPr>
                <w:b/>
                <w:bCs/>
                <w:kern w:val="0"/>
                <w:szCs w:val="21"/>
                <w:lang w:bidi="ar"/>
              </w:rPr>
              <w:t>261-015-11</w:t>
            </w:r>
            <w:r>
              <w:rPr>
                <w:rFonts w:hint="eastAsia" w:ascii="宋体" w:hAnsi="宋体" w:cs="宋体"/>
                <w:b/>
                <w:bCs/>
                <w:kern w:val="0"/>
                <w:szCs w:val="21"/>
                <w:lang w:bidi="ar"/>
              </w:rPr>
              <w:t>，</w:t>
            </w:r>
            <w:r>
              <w:rPr>
                <w:b/>
                <w:bCs/>
                <w:kern w:val="0"/>
                <w:szCs w:val="21"/>
                <w:lang w:bidi="ar"/>
              </w:rPr>
              <w:t>261-031-11</w:t>
            </w:r>
            <w:r>
              <w:rPr>
                <w:rFonts w:hint="eastAsia" w:ascii="宋体" w:hAnsi="宋体" w:cs="宋体"/>
                <w:b/>
                <w:bCs/>
                <w:kern w:val="0"/>
                <w:szCs w:val="21"/>
                <w:lang w:bidi="ar"/>
              </w:rPr>
              <w:t>，</w:t>
            </w:r>
            <w:r>
              <w:rPr>
                <w:b/>
                <w:bCs/>
                <w:kern w:val="0"/>
                <w:szCs w:val="21"/>
                <w:lang w:bidi="ar"/>
              </w:rPr>
              <w:t>261-106-11</w:t>
            </w:r>
            <w:r>
              <w:rPr>
                <w:rFonts w:hint="eastAsia" w:ascii="宋体" w:hAnsi="宋体" w:cs="宋体"/>
                <w:b/>
                <w:bCs/>
                <w:kern w:val="0"/>
                <w:szCs w:val="21"/>
                <w:lang w:bidi="ar"/>
              </w:rPr>
              <w:t>，</w:t>
            </w:r>
            <w:r>
              <w:rPr>
                <w:b/>
                <w:bCs/>
                <w:kern w:val="0"/>
                <w:szCs w:val="21"/>
                <w:lang w:bidi="ar"/>
              </w:rPr>
              <w:t>261-129-11</w:t>
            </w:r>
            <w:r>
              <w:rPr>
                <w:rFonts w:hint="eastAsia" w:ascii="宋体" w:hAnsi="宋体" w:cs="宋体"/>
                <w:b/>
                <w:bCs/>
                <w:kern w:val="0"/>
                <w:szCs w:val="21"/>
                <w:lang w:bidi="ar"/>
              </w:rPr>
              <w:t>，</w:t>
            </w:r>
            <w:r>
              <w:rPr>
                <w:b/>
                <w:bCs/>
                <w:kern w:val="0"/>
                <w:szCs w:val="21"/>
                <w:lang w:bidi="ar"/>
              </w:rPr>
              <w:t>261-130-11</w:t>
            </w:r>
            <w:r>
              <w:rPr>
                <w:rFonts w:hint="eastAsia" w:ascii="宋体" w:hAnsi="宋体" w:cs="宋体"/>
                <w:b/>
                <w:bCs/>
                <w:kern w:val="0"/>
                <w:szCs w:val="21"/>
                <w:lang w:bidi="ar"/>
              </w:rPr>
              <w:t>，</w:t>
            </w:r>
            <w:r>
              <w:rPr>
                <w:b/>
                <w:bCs/>
                <w:kern w:val="0"/>
                <w:szCs w:val="21"/>
                <w:lang w:bidi="ar"/>
              </w:rPr>
              <w:t>309-001-11</w:t>
            </w:r>
            <w:r>
              <w:rPr>
                <w:rFonts w:hint="eastAsia" w:ascii="宋体" w:hAnsi="宋体" w:cs="宋体"/>
                <w:b/>
                <w:bCs/>
                <w:kern w:val="0"/>
                <w:szCs w:val="21"/>
                <w:lang w:bidi="ar"/>
              </w:rPr>
              <w:t>，</w:t>
            </w:r>
            <w:r>
              <w:rPr>
                <w:b/>
                <w:bCs/>
                <w:kern w:val="0"/>
                <w:szCs w:val="21"/>
                <w:lang w:bidi="ar"/>
              </w:rPr>
              <w:t>451-003-11</w:t>
            </w:r>
            <w:r>
              <w:rPr>
                <w:rFonts w:hint="eastAsia" w:ascii="宋体" w:hAnsi="宋体" w:cs="宋体"/>
                <w:b/>
                <w:bCs/>
                <w:kern w:val="0"/>
                <w:szCs w:val="21"/>
                <w:lang w:bidi="ar"/>
              </w:rPr>
              <w:t>，</w:t>
            </w:r>
            <w:r>
              <w:rPr>
                <w:b/>
                <w:bCs/>
                <w:kern w:val="0"/>
                <w:szCs w:val="21"/>
                <w:lang w:bidi="ar"/>
              </w:rPr>
              <w:t>772-001-11</w:t>
            </w:r>
          </w:p>
        </w:tc>
        <w:tc>
          <w:tcPr>
            <w:tcW w:w="423" w:type="pct"/>
            <w:tcBorders>
              <w:tl2br w:val="nil"/>
              <w:tr2bl w:val="nil"/>
            </w:tcBorders>
            <w:vAlign w:val="center"/>
          </w:tcPr>
          <w:p w14:paraId="266786FB">
            <w:pPr>
              <w:widowControl/>
              <w:jc w:val="center"/>
              <w:rPr>
                <w:rFonts w:eastAsia="仿宋_GB2312"/>
                <w:kern w:val="0"/>
                <w:szCs w:val="21"/>
              </w:rPr>
            </w:pPr>
            <w:r>
              <w:rPr>
                <w:rFonts w:hint="eastAsia" w:eastAsia="仿宋_GB2312"/>
                <w:kern w:val="0"/>
                <w:szCs w:val="21"/>
                <w:lang w:val="en-US" w:eastAsia="zh-CN"/>
              </w:rPr>
              <w:t>1</w:t>
            </w:r>
            <w:r>
              <w:rPr>
                <w:rFonts w:hint="eastAsia" w:eastAsia="仿宋_GB2312"/>
                <w:kern w:val="0"/>
                <w:szCs w:val="21"/>
              </w:rPr>
              <w:t>000</w:t>
            </w:r>
          </w:p>
        </w:tc>
        <w:tc>
          <w:tcPr>
            <w:tcW w:w="605" w:type="pct"/>
            <w:tcBorders>
              <w:tl2br w:val="nil"/>
              <w:tr2bl w:val="nil"/>
            </w:tcBorders>
            <w:vAlign w:val="center"/>
          </w:tcPr>
          <w:p w14:paraId="6CB2058D">
            <w:pPr>
              <w:widowControl/>
              <w:jc w:val="center"/>
              <w:rPr>
                <w:rFonts w:eastAsia="仿宋_GB2312"/>
                <w:kern w:val="0"/>
                <w:szCs w:val="21"/>
              </w:rPr>
            </w:pPr>
            <w:r>
              <w:rPr>
                <w:rFonts w:eastAsia="仿宋_GB2312"/>
                <w:kern w:val="0"/>
                <w:szCs w:val="21"/>
              </w:rPr>
              <w:t>本次新增</w:t>
            </w:r>
          </w:p>
        </w:tc>
      </w:tr>
      <w:tr w14:paraId="5A0A6EF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3" w:type="pct"/>
            <w:tcBorders>
              <w:tl2br w:val="nil"/>
              <w:tr2bl w:val="nil"/>
            </w:tcBorders>
            <w:vAlign w:val="center"/>
          </w:tcPr>
          <w:p w14:paraId="04FD52A9">
            <w:pPr>
              <w:widowControl/>
              <w:jc w:val="center"/>
              <w:rPr>
                <w:rFonts w:eastAsia="仿宋_GB2312"/>
                <w:kern w:val="0"/>
                <w:szCs w:val="21"/>
              </w:rPr>
            </w:pPr>
            <w:r>
              <w:rPr>
                <w:rFonts w:hint="eastAsia" w:eastAsia="仿宋_GB2312"/>
                <w:kern w:val="0"/>
                <w:szCs w:val="21"/>
              </w:rPr>
              <w:t>28</w:t>
            </w:r>
          </w:p>
        </w:tc>
        <w:tc>
          <w:tcPr>
            <w:tcW w:w="372" w:type="pct"/>
            <w:tcBorders>
              <w:tl2br w:val="nil"/>
              <w:tr2bl w:val="nil"/>
            </w:tcBorders>
            <w:vAlign w:val="center"/>
          </w:tcPr>
          <w:p w14:paraId="0558CF4D">
            <w:pPr>
              <w:widowControl/>
              <w:jc w:val="center"/>
              <w:rPr>
                <w:rFonts w:eastAsia="仿宋_GB2312"/>
                <w:kern w:val="0"/>
                <w:szCs w:val="21"/>
              </w:rPr>
            </w:pPr>
            <w:r>
              <w:rPr>
                <w:rFonts w:hint="eastAsia" w:eastAsia="仿宋_GB2312"/>
                <w:kern w:val="0"/>
                <w:szCs w:val="21"/>
              </w:rPr>
              <w:t>精馏残液（含苯酚废液）</w:t>
            </w:r>
          </w:p>
        </w:tc>
        <w:tc>
          <w:tcPr>
            <w:tcW w:w="394" w:type="pct"/>
            <w:tcBorders>
              <w:tl2br w:val="nil"/>
              <w:tr2bl w:val="nil"/>
            </w:tcBorders>
            <w:vAlign w:val="center"/>
          </w:tcPr>
          <w:p w14:paraId="3B156F66">
            <w:pPr>
              <w:widowControl/>
              <w:jc w:val="center"/>
              <w:rPr>
                <w:rFonts w:eastAsia="仿宋_GB2312"/>
                <w:kern w:val="0"/>
                <w:szCs w:val="21"/>
              </w:rPr>
            </w:pPr>
            <w:r>
              <w:rPr>
                <w:rFonts w:hint="eastAsia" w:eastAsia="仿宋_GB2312"/>
                <w:kern w:val="0"/>
                <w:szCs w:val="21"/>
              </w:rPr>
              <w:t>/</w:t>
            </w:r>
          </w:p>
        </w:tc>
        <w:tc>
          <w:tcPr>
            <w:tcW w:w="1042" w:type="pct"/>
            <w:tcBorders>
              <w:tl2br w:val="nil"/>
              <w:tr2bl w:val="nil"/>
            </w:tcBorders>
            <w:vAlign w:val="center"/>
          </w:tcPr>
          <w:p w14:paraId="405F7F43">
            <w:pPr>
              <w:widowControl/>
              <w:jc w:val="center"/>
              <w:rPr>
                <w:rFonts w:eastAsia="仿宋_GB2312"/>
                <w:kern w:val="0"/>
                <w:szCs w:val="21"/>
              </w:rPr>
            </w:pPr>
            <w:r>
              <w:rPr>
                <w:rFonts w:hint="eastAsia" w:eastAsia="仿宋_GB2312"/>
                <w:kern w:val="0"/>
                <w:szCs w:val="21"/>
              </w:rPr>
              <w:t>/</w:t>
            </w:r>
          </w:p>
        </w:tc>
        <w:tc>
          <w:tcPr>
            <w:tcW w:w="465" w:type="pct"/>
            <w:tcBorders>
              <w:tl2br w:val="nil"/>
              <w:tr2bl w:val="nil"/>
            </w:tcBorders>
            <w:vAlign w:val="center"/>
          </w:tcPr>
          <w:p w14:paraId="2AA1F3B3">
            <w:pPr>
              <w:widowControl/>
              <w:jc w:val="center"/>
              <w:rPr>
                <w:rFonts w:eastAsia="仿宋_GB2312"/>
                <w:kern w:val="0"/>
                <w:szCs w:val="21"/>
              </w:rPr>
            </w:pPr>
            <w:r>
              <w:rPr>
                <w:rFonts w:hint="eastAsia" w:eastAsia="仿宋_GB2312"/>
                <w:kern w:val="0"/>
                <w:szCs w:val="21"/>
              </w:rPr>
              <w:t>0</w:t>
            </w:r>
          </w:p>
        </w:tc>
        <w:tc>
          <w:tcPr>
            <w:tcW w:w="384" w:type="pct"/>
            <w:tcBorders>
              <w:tl2br w:val="nil"/>
              <w:tr2bl w:val="nil"/>
            </w:tcBorders>
            <w:shd w:val="clear" w:color="auto" w:fill="auto"/>
            <w:vAlign w:val="center"/>
          </w:tcPr>
          <w:p w14:paraId="220EE302">
            <w:pPr>
              <w:widowControl/>
              <w:jc w:val="center"/>
              <w:textAlignment w:val="center"/>
              <w:rPr>
                <w:rFonts w:eastAsia="仿宋_GB2312"/>
                <w:kern w:val="0"/>
                <w:szCs w:val="21"/>
              </w:rPr>
            </w:pPr>
            <w:r>
              <w:rPr>
                <w:b/>
                <w:bCs/>
                <w:kern w:val="0"/>
                <w:szCs w:val="21"/>
                <w:lang w:bidi="ar"/>
              </w:rPr>
              <w:t>HW11</w:t>
            </w:r>
          </w:p>
        </w:tc>
        <w:tc>
          <w:tcPr>
            <w:tcW w:w="1059" w:type="pct"/>
            <w:tcBorders>
              <w:tl2br w:val="nil"/>
              <w:tr2bl w:val="nil"/>
            </w:tcBorders>
            <w:shd w:val="clear" w:color="auto" w:fill="auto"/>
            <w:vAlign w:val="center"/>
          </w:tcPr>
          <w:p w14:paraId="30279A6B">
            <w:pPr>
              <w:widowControl/>
              <w:jc w:val="center"/>
              <w:textAlignment w:val="center"/>
              <w:rPr>
                <w:kern w:val="0"/>
                <w:szCs w:val="21"/>
                <w:lang w:bidi="ar"/>
              </w:rPr>
            </w:pPr>
            <w:r>
              <w:rPr>
                <w:b/>
                <w:bCs/>
                <w:kern w:val="0"/>
                <w:szCs w:val="21"/>
                <w:lang w:bidi="ar"/>
              </w:rPr>
              <w:t>900-013-11</w:t>
            </w:r>
            <w:r>
              <w:rPr>
                <w:rFonts w:hint="eastAsia" w:ascii="宋体" w:hAnsi="宋体" w:cs="宋体"/>
                <w:b/>
                <w:bCs/>
                <w:kern w:val="0"/>
                <w:szCs w:val="21"/>
                <w:lang w:bidi="ar"/>
              </w:rPr>
              <w:t>，</w:t>
            </w:r>
            <w:r>
              <w:rPr>
                <w:b/>
                <w:bCs/>
                <w:kern w:val="0"/>
                <w:szCs w:val="21"/>
                <w:lang w:bidi="ar"/>
              </w:rPr>
              <w:t>251-013-11</w:t>
            </w:r>
            <w:r>
              <w:rPr>
                <w:rFonts w:hint="eastAsia" w:ascii="宋体" w:hAnsi="宋体" w:cs="宋体"/>
                <w:b/>
                <w:bCs/>
                <w:kern w:val="0"/>
                <w:szCs w:val="21"/>
                <w:lang w:bidi="ar"/>
              </w:rPr>
              <w:t>，</w:t>
            </w:r>
            <w:r>
              <w:rPr>
                <w:b/>
                <w:bCs/>
                <w:kern w:val="0"/>
                <w:szCs w:val="21"/>
                <w:lang w:bidi="ar"/>
              </w:rPr>
              <w:t>252-002-11</w:t>
            </w:r>
            <w:r>
              <w:rPr>
                <w:rFonts w:hint="eastAsia" w:ascii="宋体" w:hAnsi="宋体" w:cs="宋体"/>
                <w:b/>
                <w:bCs/>
                <w:kern w:val="0"/>
                <w:szCs w:val="21"/>
                <w:lang w:bidi="ar"/>
              </w:rPr>
              <w:t>，</w:t>
            </w:r>
            <w:r>
              <w:rPr>
                <w:b/>
                <w:bCs/>
                <w:kern w:val="0"/>
                <w:szCs w:val="21"/>
                <w:lang w:bidi="ar"/>
              </w:rPr>
              <w:t>252-004-11</w:t>
            </w:r>
            <w:r>
              <w:rPr>
                <w:rFonts w:hint="eastAsia" w:ascii="宋体" w:hAnsi="宋体" w:cs="宋体"/>
                <w:b/>
                <w:bCs/>
                <w:kern w:val="0"/>
                <w:szCs w:val="21"/>
                <w:lang w:bidi="ar"/>
              </w:rPr>
              <w:t>，</w:t>
            </w:r>
            <w:r>
              <w:rPr>
                <w:b/>
                <w:bCs/>
                <w:kern w:val="0"/>
                <w:szCs w:val="21"/>
                <w:lang w:bidi="ar"/>
              </w:rPr>
              <w:t>252-011-11</w:t>
            </w:r>
            <w:r>
              <w:rPr>
                <w:rFonts w:hint="eastAsia" w:ascii="宋体" w:hAnsi="宋体" w:cs="宋体"/>
                <w:b/>
                <w:bCs/>
                <w:kern w:val="0"/>
                <w:szCs w:val="21"/>
                <w:lang w:bidi="ar"/>
              </w:rPr>
              <w:t>，</w:t>
            </w:r>
            <w:r>
              <w:rPr>
                <w:b/>
                <w:bCs/>
                <w:kern w:val="0"/>
                <w:szCs w:val="21"/>
                <w:lang w:bidi="ar"/>
              </w:rPr>
              <w:t>252-016-11</w:t>
            </w:r>
            <w:r>
              <w:rPr>
                <w:rFonts w:hint="eastAsia" w:ascii="宋体" w:hAnsi="宋体" w:cs="宋体"/>
                <w:b/>
                <w:bCs/>
                <w:kern w:val="0"/>
                <w:szCs w:val="21"/>
                <w:lang w:bidi="ar"/>
              </w:rPr>
              <w:t>，</w:t>
            </w:r>
            <w:r>
              <w:rPr>
                <w:b/>
                <w:bCs/>
                <w:kern w:val="0"/>
                <w:szCs w:val="21"/>
                <w:lang w:bidi="ar"/>
              </w:rPr>
              <w:t>261-012-11</w:t>
            </w:r>
            <w:r>
              <w:rPr>
                <w:rFonts w:hint="eastAsia" w:ascii="宋体" w:hAnsi="宋体" w:cs="宋体"/>
                <w:b/>
                <w:bCs/>
                <w:kern w:val="0"/>
                <w:szCs w:val="21"/>
                <w:lang w:bidi="ar"/>
              </w:rPr>
              <w:t>，</w:t>
            </w:r>
            <w:r>
              <w:rPr>
                <w:b/>
                <w:bCs/>
                <w:kern w:val="0"/>
                <w:szCs w:val="21"/>
                <w:lang w:bidi="ar"/>
              </w:rPr>
              <w:t>261-013-11</w:t>
            </w:r>
            <w:r>
              <w:rPr>
                <w:rFonts w:hint="eastAsia" w:ascii="宋体" w:hAnsi="宋体" w:cs="宋体"/>
                <w:b/>
                <w:bCs/>
                <w:kern w:val="0"/>
                <w:szCs w:val="21"/>
                <w:lang w:bidi="ar"/>
              </w:rPr>
              <w:t>，</w:t>
            </w:r>
            <w:r>
              <w:rPr>
                <w:b/>
                <w:bCs/>
                <w:kern w:val="0"/>
                <w:szCs w:val="21"/>
                <w:lang w:bidi="ar"/>
              </w:rPr>
              <w:t>261-015-11</w:t>
            </w:r>
            <w:r>
              <w:rPr>
                <w:rFonts w:hint="eastAsia" w:ascii="宋体" w:hAnsi="宋体" w:cs="宋体"/>
                <w:b/>
                <w:bCs/>
                <w:kern w:val="0"/>
                <w:szCs w:val="21"/>
                <w:lang w:bidi="ar"/>
              </w:rPr>
              <w:t>，</w:t>
            </w:r>
            <w:r>
              <w:rPr>
                <w:b/>
                <w:bCs/>
                <w:kern w:val="0"/>
                <w:szCs w:val="21"/>
                <w:lang w:bidi="ar"/>
              </w:rPr>
              <w:t>261-031-11</w:t>
            </w:r>
            <w:r>
              <w:rPr>
                <w:rFonts w:hint="eastAsia" w:ascii="宋体" w:hAnsi="宋体" w:cs="宋体"/>
                <w:b/>
                <w:bCs/>
                <w:kern w:val="0"/>
                <w:szCs w:val="21"/>
                <w:lang w:bidi="ar"/>
              </w:rPr>
              <w:t>，</w:t>
            </w:r>
            <w:r>
              <w:rPr>
                <w:b/>
                <w:bCs/>
                <w:kern w:val="0"/>
                <w:szCs w:val="21"/>
                <w:lang w:bidi="ar"/>
              </w:rPr>
              <w:t>261-106-11</w:t>
            </w:r>
            <w:r>
              <w:rPr>
                <w:rFonts w:hint="eastAsia" w:ascii="宋体" w:hAnsi="宋体" w:cs="宋体"/>
                <w:b/>
                <w:bCs/>
                <w:kern w:val="0"/>
                <w:szCs w:val="21"/>
                <w:lang w:bidi="ar"/>
              </w:rPr>
              <w:t>，</w:t>
            </w:r>
            <w:r>
              <w:rPr>
                <w:b/>
                <w:bCs/>
                <w:kern w:val="0"/>
                <w:szCs w:val="21"/>
                <w:lang w:bidi="ar"/>
              </w:rPr>
              <w:t>261-129-11</w:t>
            </w:r>
            <w:r>
              <w:rPr>
                <w:rFonts w:hint="eastAsia" w:ascii="宋体" w:hAnsi="宋体" w:cs="宋体"/>
                <w:b/>
                <w:bCs/>
                <w:kern w:val="0"/>
                <w:szCs w:val="21"/>
                <w:lang w:bidi="ar"/>
              </w:rPr>
              <w:t>，</w:t>
            </w:r>
            <w:r>
              <w:rPr>
                <w:b/>
                <w:bCs/>
                <w:kern w:val="0"/>
                <w:szCs w:val="21"/>
                <w:lang w:bidi="ar"/>
              </w:rPr>
              <w:t>261-130-11</w:t>
            </w:r>
            <w:r>
              <w:rPr>
                <w:rFonts w:hint="eastAsia" w:ascii="宋体" w:hAnsi="宋体" w:cs="宋体"/>
                <w:b/>
                <w:bCs/>
                <w:kern w:val="0"/>
                <w:szCs w:val="21"/>
                <w:lang w:bidi="ar"/>
              </w:rPr>
              <w:t>，</w:t>
            </w:r>
            <w:r>
              <w:rPr>
                <w:b/>
                <w:bCs/>
                <w:kern w:val="0"/>
                <w:szCs w:val="21"/>
                <w:lang w:bidi="ar"/>
              </w:rPr>
              <w:t>309-001-11</w:t>
            </w:r>
            <w:r>
              <w:rPr>
                <w:rFonts w:hint="eastAsia" w:ascii="宋体" w:hAnsi="宋体" w:cs="宋体"/>
                <w:b/>
                <w:bCs/>
                <w:kern w:val="0"/>
                <w:szCs w:val="21"/>
                <w:lang w:bidi="ar"/>
              </w:rPr>
              <w:t>，</w:t>
            </w:r>
            <w:r>
              <w:rPr>
                <w:b/>
                <w:bCs/>
                <w:kern w:val="0"/>
                <w:szCs w:val="21"/>
                <w:lang w:bidi="ar"/>
              </w:rPr>
              <w:t>451-003-11</w:t>
            </w:r>
            <w:r>
              <w:rPr>
                <w:rFonts w:hint="eastAsia" w:ascii="宋体" w:hAnsi="宋体" w:cs="宋体"/>
                <w:b/>
                <w:bCs/>
                <w:kern w:val="0"/>
                <w:szCs w:val="21"/>
                <w:lang w:bidi="ar"/>
              </w:rPr>
              <w:t>，</w:t>
            </w:r>
            <w:r>
              <w:rPr>
                <w:b/>
                <w:bCs/>
                <w:kern w:val="0"/>
                <w:szCs w:val="21"/>
                <w:lang w:bidi="ar"/>
              </w:rPr>
              <w:t>772-001-11</w:t>
            </w:r>
          </w:p>
        </w:tc>
        <w:tc>
          <w:tcPr>
            <w:tcW w:w="423" w:type="pct"/>
            <w:tcBorders>
              <w:tl2br w:val="nil"/>
              <w:tr2bl w:val="nil"/>
            </w:tcBorders>
            <w:vAlign w:val="center"/>
          </w:tcPr>
          <w:p w14:paraId="7A5BDAC7">
            <w:pPr>
              <w:widowControl/>
              <w:jc w:val="center"/>
              <w:rPr>
                <w:rFonts w:eastAsia="仿宋_GB2312"/>
                <w:kern w:val="0"/>
                <w:szCs w:val="21"/>
              </w:rPr>
            </w:pPr>
            <w:r>
              <w:rPr>
                <w:rFonts w:hint="eastAsia" w:eastAsia="仿宋_GB2312"/>
                <w:kern w:val="0"/>
                <w:szCs w:val="21"/>
                <w:lang w:val="en-US" w:eastAsia="zh-CN"/>
              </w:rPr>
              <w:t>1</w:t>
            </w:r>
            <w:r>
              <w:rPr>
                <w:rFonts w:hint="eastAsia" w:eastAsia="仿宋_GB2312"/>
                <w:kern w:val="0"/>
                <w:szCs w:val="21"/>
              </w:rPr>
              <w:t>000</w:t>
            </w:r>
          </w:p>
        </w:tc>
        <w:tc>
          <w:tcPr>
            <w:tcW w:w="605" w:type="pct"/>
            <w:tcBorders>
              <w:tl2br w:val="nil"/>
              <w:tr2bl w:val="nil"/>
            </w:tcBorders>
            <w:vAlign w:val="center"/>
          </w:tcPr>
          <w:p w14:paraId="30E4F151">
            <w:pPr>
              <w:widowControl/>
              <w:jc w:val="center"/>
              <w:rPr>
                <w:rFonts w:eastAsia="仿宋_GB2312"/>
                <w:kern w:val="0"/>
                <w:szCs w:val="21"/>
              </w:rPr>
            </w:pPr>
            <w:r>
              <w:rPr>
                <w:rFonts w:eastAsia="仿宋_GB2312"/>
                <w:kern w:val="0"/>
                <w:szCs w:val="21"/>
              </w:rPr>
              <w:t>本次新增</w:t>
            </w:r>
          </w:p>
        </w:tc>
      </w:tr>
      <w:tr w14:paraId="08AFFB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3" w:type="pct"/>
            <w:vMerge w:val="restart"/>
            <w:tcBorders>
              <w:tl2br w:val="nil"/>
              <w:tr2bl w:val="nil"/>
            </w:tcBorders>
            <w:vAlign w:val="center"/>
          </w:tcPr>
          <w:p w14:paraId="5D50D373">
            <w:pPr>
              <w:widowControl/>
              <w:jc w:val="center"/>
              <w:rPr>
                <w:rFonts w:eastAsia="仿宋_GB2312"/>
                <w:kern w:val="0"/>
                <w:szCs w:val="21"/>
              </w:rPr>
            </w:pPr>
            <w:r>
              <w:rPr>
                <w:rFonts w:hint="eastAsia" w:eastAsia="仿宋_GB2312"/>
                <w:kern w:val="0"/>
                <w:szCs w:val="21"/>
              </w:rPr>
              <w:t>29</w:t>
            </w:r>
          </w:p>
        </w:tc>
        <w:tc>
          <w:tcPr>
            <w:tcW w:w="372" w:type="pct"/>
            <w:vMerge w:val="restart"/>
            <w:tcBorders>
              <w:tl2br w:val="nil"/>
              <w:tr2bl w:val="nil"/>
            </w:tcBorders>
            <w:vAlign w:val="center"/>
          </w:tcPr>
          <w:p w14:paraId="00CCC011">
            <w:pPr>
              <w:widowControl/>
              <w:jc w:val="center"/>
              <w:rPr>
                <w:rFonts w:eastAsia="仿宋_GB2312"/>
                <w:kern w:val="0"/>
                <w:szCs w:val="21"/>
              </w:rPr>
            </w:pPr>
            <w:r>
              <w:rPr>
                <w:rFonts w:hint="eastAsia" w:eastAsia="仿宋_GB2312"/>
                <w:kern w:val="0"/>
                <w:szCs w:val="21"/>
              </w:rPr>
              <w:t>精馏残液（含乙酸乙烯酯废液）</w:t>
            </w:r>
          </w:p>
        </w:tc>
        <w:tc>
          <w:tcPr>
            <w:tcW w:w="394" w:type="pct"/>
            <w:vMerge w:val="restart"/>
            <w:tcBorders>
              <w:tl2br w:val="nil"/>
              <w:tr2bl w:val="nil"/>
            </w:tcBorders>
            <w:vAlign w:val="center"/>
          </w:tcPr>
          <w:p w14:paraId="49F1051F">
            <w:pPr>
              <w:widowControl/>
              <w:jc w:val="center"/>
              <w:rPr>
                <w:rFonts w:eastAsia="仿宋_GB2312"/>
                <w:kern w:val="0"/>
                <w:szCs w:val="21"/>
              </w:rPr>
            </w:pPr>
            <w:r>
              <w:rPr>
                <w:rFonts w:hint="eastAsia" w:eastAsia="仿宋_GB2312"/>
                <w:kern w:val="0"/>
                <w:szCs w:val="21"/>
              </w:rPr>
              <w:t>/</w:t>
            </w:r>
          </w:p>
        </w:tc>
        <w:tc>
          <w:tcPr>
            <w:tcW w:w="1042" w:type="pct"/>
            <w:vMerge w:val="restart"/>
            <w:tcBorders>
              <w:tl2br w:val="nil"/>
              <w:tr2bl w:val="nil"/>
            </w:tcBorders>
            <w:vAlign w:val="center"/>
          </w:tcPr>
          <w:p w14:paraId="3E5E51E7">
            <w:pPr>
              <w:widowControl/>
              <w:jc w:val="center"/>
              <w:rPr>
                <w:rFonts w:eastAsia="仿宋_GB2312"/>
                <w:kern w:val="0"/>
                <w:szCs w:val="21"/>
              </w:rPr>
            </w:pPr>
            <w:r>
              <w:rPr>
                <w:rFonts w:hint="eastAsia" w:eastAsia="仿宋_GB2312"/>
                <w:kern w:val="0"/>
                <w:szCs w:val="21"/>
              </w:rPr>
              <w:t>/</w:t>
            </w:r>
          </w:p>
        </w:tc>
        <w:tc>
          <w:tcPr>
            <w:tcW w:w="465" w:type="pct"/>
            <w:vMerge w:val="restart"/>
            <w:tcBorders>
              <w:tl2br w:val="nil"/>
              <w:tr2bl w:val="nil"/>
            </w:tcBorders>
            <w:vAlign w:val="center"/>
          </w:tcPr>
          <w:p w14:paraId="4378CF7A">
            <w:pPr>
              <w:widowControl/>
              <w:jc w:val="center"/>
              <w:rPr>
                <w:rFonts w:eastAsia="仿宋_GB2312"/>
                <w:kern w:val="0"/>
                <w:szCs w:val="21"/>
              </w:rPr>
            </w:pPr>
            <w:r>
              <w:rPr>
                <w:rFonts w:hint="eastAsia" w:eastAsia="仿宋_GB2312"/>
                <w:kern w:val="0"/>
                <w:szCs w:val="21"/>
              </w:rPr>
              <w:t>0</w:t>
            </w:r>
          </w:p>
        </w:tc>
        <w:tc>
          <w:tcPr>
            <w:tcW w:w="384" w:type="pct"/>
            <w:tcBorders>
              <w:tl2br w:val="nil"/>
              <w:tr2bl w:val="nil"/>
            </w:tcBorders>
            <w:shd w:val="clear" w:color="auto" w:fill="auto"/>
            <w:vAlign w:val="center"/>
          </w:tcPr>
          <w:p w14:paraId="0CBC5CE1">
            <w:pPr>
              <w:widowControl/>
              <w:jc w:val="center"/>
              <w:textAlignment w:val="center"/>
              <w:rPr>
                <w:rFonts w:eastAsia="仿宋_GB2312"/>
                <w:kern w:val="0"/>
                <w:szCs w:val="21"/>
              </w:rPr>
            </w:pPr>
            <w:r>
              <w:rPr>
                <w:b/>
                <w:bCs/>
                <w:kern w:val="0"/>
                <w:szCs w:val="21"/>
                <w:lang w:bidi="ar"/>
              </w:rPr>
              <w:t>HW02</w:t>
            </w:r>
          </w:p>
        </w:tc>
        <w:tc>
          <w:tcPr>
            <w:tcW w:w="1059" w:type="pct"/>
            <w:tcBorders>
              <w:tl2br w:val="nil"/>
              <w:tr2bl w:val="nil"/>
            </w:tcBorders>
            <w:shd w:val="clear" w:color="auto" w:fill="auto"/>
            <w:vAlign w:val="center"/>
          </w:tcPr>
          <w:p w14:paraId="3143EA3F">
            <w:pPr>
              <w:widowControl/>
              <w:jc w:val="center"/>
              <w:textAlignment w:val="center"/>
              <w:rPr>
                <w:kern w:val="0"/>
                <w:szCs w:val="21"/>
                <w:lang w:bidi="ar"/>
              </w:rPr>
            </w:pPr>
            <w:r>
              <w:rPr>
                <w:b/>
                <w:bCs/>
                <w:kern w:val="0"/>
                <w:szCs w:val="21"/>
                <w:lang w:bidi="ar"/>
              </w:rPr>
              <w:t>271-001-02</w:t>
            </w:r>
            <w:r>
              <w:rPr>
                <w:rFonts w:ascii="仿宋_GB2312" w:eastAsia="仿宋_GB2312" w:cs="仿宋_GB2312"/>
                <w:b/>
                <w:bCs/>
                <w:kern w:val="0"/>
                <w:szCs w:val="21"/>
                <w:lang w:bidi="ar"/>
              </w:rPr>
              <w:t>，</w:t>
            </w:r>
            <w:r>
              <w:rPr>
                <w:b/>
                <w:bCs/>
                <w:kern w:val="0"/>
                <w:szCs w:val="21"/>
                <w:lang w:bidi="ar"/>
              </w:rPr>
              <w:t>271-002-02</w:t>
            </w:r>
            <w:r>
              <w:rPr>
                <w:rFonts w:ascii="仿宋_GB2312" w:eastAsia="仿宋_GB2312" w:cs="仿宋_GB2312"/>
                <w:b/>
                <w:bCs/>
                <w:kern w:val="0"/>
                <w:szCs w:val="21"/>
                <w:lang w:bidi="ar"/>
              </w:rPr>
              <w:t>，</w:t>
            </w:r>
            <w:r>
              <w:rPr>
                <w:b/>
                <w:bCs/>
                <w:kern w:val="0"/>
                <w:szCs w:val="21"/>
                <w:lang w:bidi="ar"/>
              </w:rPr>
              <w:t>272-001-02</w:t>
            </w:r>
            <w:r>
              <w:rPr>
                <w:rFonts w:ascii="仿宋_GB2312" w:eastAsia="仿宋_GB2312" w:cs="仿宋_GB2312"/>
                <w:b/>
                <w:bCs/>
                <w:kern w:val="0"/>
                <w:szCs w:val="21"/>
                <w:lang w:bidi="ar"/>
              </w:rPr>
              <w:t>，</w:t>
            </w:r>
            <w:r>
              <w:rPr>
                <w:b/>
                <w:bCs/>
                <w:kern w:val="0"/>
                <w:szCs w:val="21"/>
                <w:lang w:bidi="ar"/>
              </w:rPr>
              <w:t>272-00</w:t>
            </w:r>
            <w:r>
              <w:rPr>
                <w:rFonts w:hint="eastAsia"/>
                <w:b/>
                <w:bCs/>
                <w:kern w:val="0"/>
                <w:szCs w:val="21"/>
                <w:lang w:val="en-US" w:eastAsia="zh-CN" w:bidi="ar"/>
              </w:rPr>
              <w:t>5</w:t>
            </w:r>
            <w:r>
              <w:rPr>
                <w:b/>
                <w:bCs/>
                <w:kern w:val="0"/>
                <w:szCs w:val="21"/>
                <w:lang w:bidi="ar"/>
              </w:rPr>
              <w:t>-02</w:t>
            </w:r>
            <w:r>
              <w:rPr>
                <w:rFonts w:ascii="仿宋_GB2312" w:eastAsia="仿宋_GB2312" w:cs="仿宋_GB2312"/>
                <w:b/>
                <w:bCs/>
                <w:kern w:val="0"/>
                <w:szCs w:val="21"/>
                <w:lang w:bidi="ar"/>
              </w:rPr>
              <w:t>，</w:t>
            </w:r>
            <w:r>
              <w:rPr>
                <w:b/>
                <w:bCs/>
                <w:kern w:val="0"/>
                <w:szCs w:val="21"/>
                <w:lang w:bidi="ar"/>
              </w:rPr>
              <w:t>275-004-02</w:t>
            </w:r>
            <w:r>
              <w:rPr>
                <w:rFonts w:ascii="仿宋_GB2312" w:eastAsia="仿宋_GB2312" w:cs="仿宋_GB2312"/>
                <w:b/>
                <w:bCs/>
                <w:kern w:val="0"/>
                <w:szCs w:val="21"/>
                <w:lang w:bidi="ar"/>
              </w:rPr>
              <w:t>，</w:t>
            </w:r>
            <w:r>
              <w:rPr>
                <w:b/>
                <w:bCs/>
                <w:kern w:val="0"/>
                <w:szCs w:val="21"/>
                <w:lang w:bidi="ar"/>
              </w:rPr>
              <w:t>275-00</w:t>
            </w:r>
            <w:r>
              <w:rPr>
                <w:rFonts w:hint="eastAsia"/>
                <w:b/>
                <w:bCs/>
                <w:kern w:val="0"/>
                <w:szCs w:val="21"/>
                <w:lang w:val="en-US" w:eastAsia="zh-CN" w:bidi="ar"/>
              </w:rPr>
              <w:t>6</w:t>
            </w:r>
            <w:r>
              <w:rPr>
                <w:b/>
                <w:bCs/>
                <w:kern w:val="0"/>
                <w:szCs w:val="21"/>
                <w:lang w:bidi="ar"/>
              </w:rPr>
              <w:t>-02</w:t>
            </w:r>
            <w:r>
              <w:rPr>
                <w:rFonts w:ascii="仿宋_GB2312" w:eastAsia="仿宋_GB2312" w:cs="仿宋_GB2312"/>
                <w:b/>
                <w:bCs/>
                <w:kern w:val="0"/>
                <w:szCs w:val="21"/>
                <w:lang w:bidi="ar"/>
              </w:rPr>
              <w:t>，</w:t>
            </w:r>
            <w:r>
              <w:rPr>
                <w:b/>
                <w:bCs/>
                <w:kern w:val="0"/>
                <w:szCs w:val="21"/>
                <w:lang w:bidi="ar"/>
              </w:rPr>
              <w:t>276-001-02</w:t>
            </w:r>
            <w:r>
              <w:rPr>
                <w:rFonts w:ascii="仿宋_GB2312" w:eastAsia="仿宋_GB2312" w:cs="仿宋_GB2312"/>
                <w:b/>
                <w:bCs/>
                <w:kern w:val="0"/>
                <w:szCs w:val="21"/>
                <w:lang w:bidi="ar"/>
              </w:rPr>
              <w:t>，</w:t>
            </w:r>
            <w:r>
              <w:rPr>
                <w:b/>
                <w:bCs/>
                <w:kern w:val="0"/>
                <w:szCs w:val="21"/>
                <w:lang w:bidi="ar"/>
              </w:rPr>
              <w:t>276-002-02</w:t>
            </w:r>
            <w:r>
              <w:rPr>
                <w:rFonts w:ascii="仿宋_GB2312" w:eastAsia="仿宋_GB2312" w:cs="仿宋_GB2312"/>
                <w:b/>
                <w:bCs/>
                <w:kern w:val="0"/>
                <w:szCs w:val="21"/>
                <w:lang w:bidi="ar"/>
              </w:rPr>
              <w:t>，</w:t>
            </w:r>
            <w:r>
              <w:rPr>
                <w:b/>
                <w:bCs/>
                <w:kern w:val="0"/>
                <w:szCs w:val="21"/>
                <w:lang w:bidi="ar"/>
              </w:rPr>
              <w:t>276-00</w:t>
            </w:r>
            <w:r>
              <w:rPr>
                <w:rFonts w:hint="eastAsia"/>
                <w:b/>
                <w:bCs/>
                <w:kern w:val="0"/>
                <w:szCs w:val="21"/>
                <w:lang w:val="en-US" w:eastAsia="zh-CN" w:bidi="ar"/>
              </w:rPr>
              <w:t>5</w:t>
            </w:r>
            <w:r>
              <w:rPr>
                <w:b/>
                <w:bCs/>
                <w:kern w:val="0"/>
                <w:szCs w:val="21"/>
                <w:lang w:bidi="ar"/>
              </w:rPr>
              <w:t>-02</w:t>
            </w:r>
          </w:p>
        </w:tc>
        <w:tc>
          <w:tcPr>
            <w:tcW w:w="423" w:type="pct"/>
            <w:vMerge w:val="restart"/>
            <w:tcBorders>
              <w:tl2br w:val="nil"/>
              <w:tr2bl w:val="nil"/>
            </w:tcBorders>
            <w:vAlign w:val="center"/>
          </w:tcPr>
          <w:p w14:paraId="157E49CE">
            <w:pPr>
              <w:widowControl/>
              <w:jc w:val="center"/>
              <w:rPr>
                <w:rFonts w:eastAsia="仿宋_GB2312"/>
                <w:kern w:val="0"/>
                <w:szCs w:val="21"/>
              </w:rPr>
            </w:pPr>
            <w:r>
              <w:rPr>
                <w:rFonts w:hint="eastAsia" w:eastAsia="仿宋_GB2312"/>
                <w:kern w:val="0"/>
                <w:szCs w:val="21"/>
              </w:rPr>
              <w:t>1000</w:t>
            </w:r>
          </w:p>
        </w:tc>
        <w:tc>
          <w:tcPr>
            <w:tcW w:w="605" w:type="pct"/>
            <w:vMerge w:val="restart"/>
            <w:tcBorders>
              <w:tl2br w:val="nil"/>
              <w:tr2bl w:val="nil"/>
            </w:tcBorders>
            <w:vAlign w:val="center"/>
          </w:tcPr>
          <w:p w14:paraId="28E2324A">
            <w:pPr>
              <w:widowControl/>
              <w:jc w:val="center"/>
              <w:rPr>
                <w:rFonts w:eastAsia="仿宋_GB2312"/>
                <w:kern w:val="0"/>
                <w:szCs w:val="21"/>
              </w:rPr>
            </w:pPr>
            <w:r>
              <w:rPr>
                <w:rFonts w:eastAsia="仿宋_GB2312"/>
                <w:kern w:val="0"/>
                <w:szCs w:val="21"/>
              </w:rPr>
              <w:t>本次新增</w:t>
            </w:r>
          </w:p>
        </w:tc>
      </w:tr>
      <w:tr w14:paraId="29EBC5E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3" w:type="pct"/>
            <w:vMerge w:val="continue"/>
            <w:tcBorders>
              <w:tl2br w:val="nil"/>
              <w:tr2bl w:val="nil"/>
            </w:tcBorders>
            <w:vAlign w:val="center"/>
          </w:tcPr>
          <w:p w14:paraId="6243D353">
            <w:pPr>
              <w:widowControl/>
              <w:jc w:val="center"/>
              <w:rPr>
                <w:rFonts w:eastAsia="仿宋_GB2312"/>
                <w:kern w:val="0"/>
                <w:szCs w:val="21"/>
              </w:rPr>
            </w:pPr>
          </w:p>
        </w:tc>
        <w:tc>
          <w:tcPr>
            <w:tcW w:w="372" w:type="pct"/>
            <w:vMerge w:val="continue"/>
            <w:tcBorders>
              <w:tl2br w:val="nil"/>
              <w:tr2bl w:val="nil"/>
            </w:tcBorders>
            <w:vAlign w:val="center"/>
          </w:tcPr>
          <w:p w14:paraId="5F0EF928">
            <w:pPr>
              <w:widowControl/>
              <w:jc w:val="center"/>
              <w:rPr>
                <w:rFonts w:eastAsia="仿宋_GB2312"/>
                <w:kern w:val="0"/>
                <w:szCs w:val="21"/>
              </w:rPr>
            </w:pPr>
          </w:p>
        </w:tc>
        <w:tc>
          <w:tcPr>
            <w:tcW w:w="394" w:type="pct"/>
            <w:vMerge w:val="continue"/>
            <w:tcBorders>
              <w:tl2br w:val="nil"/>
              <w:tr2bl w:val="nil"/>
            </w:tcBorders>
            <w:vAlign w:val="center"/>
          </w:tcPr>
          <w:p w14:paraId="5C7963D9">
            <w:pPr>
              <w:widowControl/>
              <w:jc w:val="center"/>
              <w:rPr>
                <w:rFonts w:eastAsia="仿宋_GB2312"/>
                <w:kern w:val="0"/>
                <w:szCs w:val="21"/>
              </w:rPr>
            </w:pPr>
          </w:p>
        </w:tc>
        <w:tc>
          <w:tcPr>
            <w:tcW w:w="1042" w:type="pct"/>
            <w:vMerge w:val="continue"/>
            <w:tcBorders>
              <w:tl2br w:val="nil"/>
              <w:tr2bl w:val="nil"/>
            </w:tcBorders>
            <w:vAlign w:val="center"/>
          </w:tcPr>
          <w:p w14:paraId="37F86063">
            <w:pPr>
              <w:widowControl/>
              <w:jc w:val="center"/>
              <w:rPr>
                <w:rFonts w:eastAsia="仿宋_GB2312"/>
                <w:kern w:val="0"/>
                <w:szCs w:val="21"/>
              </w:rPr>
            </w:pPr>
          </w:p>
        </w:tc>
        <w:tc>
          <w:tcPr>
            <w:tcW w:w="465" w:type="pct"/>
            <w:vMerge w:val="continue"/>
            <w:tcBorders>
              <w:tl2br w:val="nil"/>
              <w:tr2bl w:val="nil"/>
            </w:tcBorders>
            <w:vAlign w:val="center"/>
          </w:tcPr>
          <w:p w14:paraId="4E9686A9">
            <w:pPr>
              <w:widowControl/>
              <w:jc w:val="center"/>
              <w:rPr>
                <w:rFonts w:eastAsia="仿宋_GB2312"/>
                <w:kern w:val="0"/>
                <w:szCs w:val="21"/>
              </w:rPr>
            </w:pPr>
          </w:p>
        </w:tc>
        <w:tc>
          <w:tcPr>
            <w:tcW w:w="384" w:type="pct"/>
            <w:tcBorders>
              <w:tl2br w:val="nil"/>
              <w:tr2bl w:val="nil"/>
            </w:tcBorders>
            <w:shd w:val="clear" w:color="auto" w:fill="auto"/>
            <w:vAlign w:val="center"/>
          </w:tcPr>
          <w:p w14:paraId="7FB8F348">
            <w:pPr>
              <w:widowControl/>
              <w:jc w:val="center"/>
              <w:textAlignment w:val="center"/>
              <w:rPr>
                <w:rFonts w:eastAsia="仿宋_GB2312"/>
                <w:kern w:val="0"/>
                <w:szCs w:val="21"/>
              </w:rPr>
            </w:pPr>
            <w:r>
              <w:rPr>
                <w:b/>
                <w:bCs/>
                <w:kern w:val="0"/>
                <w:szCs w:val="21"/>
                <w:lang w:bidi="ar"/>
              </w:rPr>
              <w:t>HW04</w:t>
            </w:r>
          </w:p>
        </w:tc>
        <w:tc>
          <w:tcPr>
            <w:tcW w:w="1059" w:type="pct"/>
            <w:tcBorders>
              <w:tl2br w:val="nil"/>
              <w:tr2bl w:val="nil"/>
            </w:tcBorders>
            <w:shd w:val="clear" w:color="auto" w:fill="auto"/>
            <w:vAlign w:val="center"/>
          </w:tcPr>
          <w:p w14:paraId="755A14F4">
            <w:pPr>
              <w:widowControl/>
              <w:jc w:val="center"/>
              <w:textAlignment w:val="center"/>
              <w:rPr>
                <w:kern w:val="0"/>
                <w:szCs w:val="21"/>
                <w:lang w:bidi="ar"/>
              </w:rPr>
            </w:pPr>
            <w:r>
              <w:rPr>
                <w:b/>
                <w:bCs/>
                <w:kern w:val="0"/>
                <w:szCs w:val="21"/>
                <w:lang w:bidi="ar"/>
              </w:rPr>
              <w:t>263-008-04</w:t>
            </w:r>
          </w:p>
        </w:tc>
        <w:tc>
          <w:tcPr>
            <w:tcW w:w="423" w:type="pct"/>
            <w:vMerge w:val="continue"/>
            <w:tcBorders>
              <w:tl2br w:val="nil"/>
              <w:tr2bl w:val="nil"/>
            </w:tcBorders>
            <w:vAlign w:val="center"/>
          </w:tcPr>
          <w:p w14:paraId="1BE2C1F7">
            <w:pPr>
              <w:widowControl/>
              <w:jc w:val="center"/>
              <w:rPr>
                <w:rFonts w:eastAsia="仿宋_GB2312"/>
                <w:kern w:val="0"/>
                <w:szCs w:val="21"/>
              </w:rPr>
            </w:pPr>
          </w:p>
        </w:tc>
        <w:tc>
          <w:tcPr>
            <w:tcW w:w="605" w:type="pct"/>
            <w:vMerge w:val="continue"/>
            <w:tcBorders>
              <w:tl2br w:val="nil"/>
              <w:tr2bl w:val="nil"/>
            </w:tcBorders>
            <w:vAlign w:val="center"/>
          </w:tcPr>
          <w:p w14:paraId="6537D4CE">
            <w:pPr>
              <w:widowControl/>
              <w:jc w:val="center"/>
              <w:rPr>
                <w:rFonts w:eastAsia="仿宋_GB2312"/>
                <w:kern w:val="0"/>
                <w:szCs w:val="21"/>
              </w:rPr>
            </w:pPr>
          </w:p>
        </w:tc>
      </w:tr>
      <w:tr w14:paraId="54E468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3" w:type="pct"/>
            <w:vMerge w:val="continue"/>
            <w:tcBorders>
              <w:tl2br w:val="nil"/>
              <w:tr2bl w:val="nil"/>
            </w:tcBorders>
            <w:vAlign w:val="center"/>
          </w:tcPr>
          <w:p w14:paraId="55139A9D">
            <w:pPr>
              <w:widowControl/>
              <w:jc w:val="center"/>
              <w:rPr>
                <w:rFonts w:eastAsia="仿宋_GB2312"/>
                <w:kern w:val="0"/>
                <w:szCs w:val="21"/>
              </w:rPr>
            </w:pPr>
          </w:p>
        </w:tc>
        <w:tc>
          <w:tcPr>
            <w:tcW w:w="372" w:type="pct"/>
            <w:vMerge w:val="continue"/>
            <w:tcBorders>
              <w:tl2br w:val="nil"/>
              <w:tr2bl w:val="nil"/>
            </w:tcBorders>
            <w:vAlign w:val="center"/>
          </w:tcPr>
          <w:p w14:paraId="6C1F4A41">
            <w:pPr>
              <w:widowControl/>
              <w:jc w:val="center"/>
              <w:rPr>
                <w:rFonts w:eastAsia="仿宋_GB2312"/>
                <w:kern w:val="0"/>
                <w:szCs w:val="21"/>
              </w:rPr>
            </w:pPr>
          </w:p>
        </w:tc>
        <w:tc>
          <w:tcPr>
            <w:tcW w:w="394" w:type="pct"/>
            <w:vMerge w:val="continue"/>
            <w:tcBorders>
              <w:tl2br w:val="nil"/>
              <w:tr2bl w:val="nil"/>
            </w:tcBorders>
            <w:vAlign w:val="center"/>
          </w:tcPr>
          <w:p w14:paraId="07709BEC">
            <w:pPr>
              <w:widowControl/>
              <w:jc w:val="center"/>
              <w:rPr>
                <w:rFonts w:eastAsia="仿宋_GB2312"/>
                <w:kern w:val="0"/>
                <w:szCs w:val="21"/>
              </w:rPr>
            </w:pPr>
          </w:p>
        </w:tc>
        <w:tc>
          <w:tcPr>
            <w:tcW w:w="1042" w:type="pct"/>
            <w:vMerge w:val="continue"/>
            <w:tcBorders>
              <w:tl2br w:val="nil"/>
              <w:tr2bl w:val="nil"/>
            </w:tcBorders>
            <w:vAlign w:val="center"/>
          </w:tcPr>
          <w:p w14:paraId="061A6D67">
            <w:pPr>
              <w:widowControl/>
              <w:jc w:val="center"/>
              <w:rPr>
                <w:rFonts w:eastAsia="仿宋_GB2312"/>
                <w:kern w:val="0"/>
                <w:szCs w:val="21"/>
              </w:rPr>
            </w:pPr>
          </w:p>
        </w:tc>
        <w:tc>
          <w:tcPr>
            <w:tcW w:w="465" w:type="pct"/>
            <w:vMerge w:val="continue"/>
            <w:tcBorders>
              <w:tl2br w:val="nil"/>
              <w:tr2bl w:val="nil"/>
            </w:tcBorders>
            <w:vAlign w:val="center"/>
          </w:tcPr>
          <w:p w14:paraId="3EE3B287">
            <w:pPr>
              <w:widowControl/>
              <w:jc w:val="center"/>
              <w:rPr>
                <w:rFonts w:eastAsia="仿宋_GB2312"/>
                <w:kern w:val="0"/>
                <w:szCs w:val="21"/>
              </w:rPr>
            </w:pPr>
          </w:p>
        </w:tc>
        <w:tc>
          <w:tcPr>
            <w:tcW w:w="384" w:type="pct"/>
            <w:tcBorders>
              <w:tl2br w:val="nil"/>
              <w:tr2bl w:val="nil"/>
            </w:tcBorders>
            <w:shd w:val="clear" w:color="auto" w:fill="auto"/>
            <w:vAlign w:val="center"/>
          </w:tcPr>
          <w:p w14:paraId="4044C207">
            <w:pPr>
              <w:widowControl/>
              <w:jc w:val="center"/>
              <w:textAlignment w:val="center"/>
              <w:rPr>
                <w:rFonts w:eastAsia="仿宋_GB2312"/>
                <w:kern w:val="0"/>
                <w:szCs w:val="21"/>
              </w:rPr>
            </w:pPr>
            <w:r>
              <w:rPr>
                <w:b/>
                <w:bCs/>
                <w:kern w:val="0"/>
                <w:szCs w:val="21"/>
                <w:lang w:bidi="ar"/>
              </w:rPr>
              <w:t>HW06</w:t>
            </w:r>
          </w:p>
        </w:tc>
        <w:tc>
          <w:tcPr>
            <w:tcW w:w="1059" w:type="pct"/>
            <w:tcBorders>
              <w:tl2br w:val="nil"/>
              <w:tr2bl w:val="nil"/>
            </w:tcBorders>
            <w:shd w:val="clear" w:color="auto" w:fill="auto"/>
            <w:vAlign w:val="center"/>
          </w:tcPr>
          <w:p w14:paraId="28D47058">
            <w:pPr>
              <w:widowControl/>
              <w:jc w:val="center"/>
              <w:textAlignment w:val="center"/>
              <w:rPr>
                <w:kern w:val="0"/>
                <w:szCs w:val="21"/>
                <w:lang w:bidi="ar"/>
              </w:rPr>
            </w:pPr>
            <w:r>
              <w:rPr>
                <w:b/>
                <w:bCs/>
                <w:kern w:val="0"/>
                <w:szCs w:val="21"/>
                <w:lang w:bidi="ar"/>
              </w:rPr>
              <w:t>900-402-06</w:t>
            </w:r>
            <w:r>
              <w:rPr>
                <w:rFonts w:ascii="仿宋_GB2312" w:eastAsia="仿宋_GB2312" w:cs="仿宋_GB2312"/>
                <w:b/>
                <w:bCs/>
                <w:kern w:val="0"/>
                <w:szCs w:val="21"/>
                <w:lang w:bidi="ar"/>
              </w:rPr>
              <w:t>，</w:t>
            </w:r>
            <w:r>
              <w:rPr>
                <w:b/>
                <w:bCs/>
                <w:kern w:val="0"/>
                <w:szCs w:val="21"/>
                <w:lang w:bidi="ar"/>
              </w:rPr>
              <w:t>900-404-06</w:t>
            </w:r>
            <w:r>
              <w:rPr>
                <w:rFonts w:ascii="仿宋_GB2312" w:eastAsia="仿宋_GB2312" w:cs="仿宋_GB2312"/>
                <w:b/>
                <w:bCs/>
                <w:kern w:val="0"/>
                <w:szCs w:val="21"/>
                <w:lang w:bidi="ar"/>
              </w:rPr>
              <w:t>，</w:t>
            </w:r>
            <w:r>
              <w:rPr>
                <w:b/>
                <w:bCs/>
                <w:kern w:val="0"/>
                <w:szCs w:val="21"/>
                <w:lang w:bidi="ar"/>
              </w:rPr>
              <w:t>900-407-06</w:t>
            </w:r>
          </w:p>
        </w:tc>
        <w:tc>
          <w:tcPr>
            <w:tcW w:w="423" w:type="pct"/>
            <w:vMerge w:val="continue"/>
            <w:tcBorders>
              <w:tl2br w:val="nil"/>
              <w:tr2bl w:val="nil"/>
            </w:tcBorders>
            <w:vAlign w:val="center"/>
          </w:tcPr>
          <w:p w14:paraId="78E6A5B9">
            <w:pPr>
              <w:widowControl/>
              <w:jc w:val="center"/>
              <w:rPr>
                <w:rFonts w:eastAsia="仿宋_GB2312"/>
                <w:kern w:val="0"/>
                <w:szCs w:val="21"/>
              </w:rPr>
            </w:pPr>
          </w:p>
        </w:tc>
        <w:tc>
          <w:tcPr>
            <w:tcW w:w="605" w:type="pct"/>
            <w:vMerge w:val="continue"/>
            <w:tcBorders>
              <w:tl2br w:val="nil"/>
              <w:tr2bl w:val="nil"/>
            </w:tcBorders>
            <w:vAlign w:val="center"/>
          </w:tcPr>
          <w:p w14:paraId="4370AE88">
            <w:pPr>
              <w:widowControl/>
              <w:jc w:val="center"/>
              <w:rPr>
                <w:rFonts w:eastAsia="仿宋_GB2312"/>
                <w:kern w:val="0"/>
                <w:szCs w:val="21"/>
              </w:rPr>
            </w:pPr>
          </w:p>
        </w:tc>
      </w:tr>
      <w:tr w14:paraId="643696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3" w:type="pct"/>
            <w:vMerge w:val="continue"/>
            <w:tcBorders>
              <w:tl2br w:val="nil"/>
              <w:tr2bl w:val="nil"/>
            </w:tcBorders>
            <w:vAlign w:val="center"/>
          </w:tcPr>
          <w:p w14:paraId="59975E0B">
            <w:pPr>
              <w:widowControl/>
              <w:jc w:val="center"/>
              <w:rPr>
                <w:rFonts w:eastAsia="仿宋_GB2312"/>
                <w:kern w:val="0"/>
                <w:szCs w:val="21"/>
              </w:rPr>
            </w:pPr>
          </w:p>
        </w:tc>
        <w:tc>
          <w:tcPr>
            <w:tcW w:w="372" w:type="pct"/>
            <w:vMerge w:val="continue"/>
            <w:tcBorders>
              <w:tl2br w:val="nil"/>
              <w:tr2bl w:val="nil"/>
            </w:tcBorders>
            <w:vAlign w:val="center"/>
          </w:tcPr>
          <w:p w14:paraId="1EFFA696">
            <w:pPr>
              <w:widowControl/>
              <w:jc w:val="center"/>
              <w:rPr>
                <w:rFonts w:eastAsia="仿宋_GB2312"/>
                <w:kern w:val="0"/>
                <w:szCs w:val="21"/>
              </w:rPr>
            </w:pPr>
          </w:p>
        </w:tc>
        <w:tc>
          <w:tcPr>
            <w:tcW w:w="394" w:type="pct"/>
            <w:vMerge w:val="continue"/>
            <w:tcBorders>
              <w:tl2br w:val="nil"/>
              <w:tr2bl w:val="nil"/>
            </w:tcBorders>
            <w:vAlign w:val="center"/>
          </w:tcPr>
          <w:p w14:paraId="50A6931F">
            <w:pPr>
              <w:widowControl/>
              <w:jc w:val="center"/>
              <w:rPr>
                <w:rFonts w:eastAsia="仿宋_GB2312"/>
                <w:kern w:val="0"/>
                <w:szCs w:val="21"/>
              </w:rPr>
            </w:pPr>
          </w:p>
        </w:tc>
        <w:tc>
          <w:tcPr>
            <w:tcW w:w="1042" w:type="pct"/>
            <w:vMerge w:val="continue"/>
            <w:tcBorders>
              <w:tl2br w:val="nil"/>
              <w:tr2bl w:val="nil"/>
            </w:tcBorders>
            <w:vAlign w:val="center"/>
          </w:tcPr>
          <w:p w14:paraId="2166E2CE">
            <w:pPr>
              <w:widowControl/>
              <w:jc w:val="center"/>
              <w:rPr>
                <w:rFonts w:eastAsia="仿宋_GB2312"/>
                <w:kern w:val="0"/>
                <w:szCs w:val="21"/>
              </w:rPr>
            </w:pPr>
          </w:p>
        </w:tc>
        <w:tc>
          <w:tcPr>
            <w:tcW w:w="465" w:type="pct"/>
            <w:vMerge w:val="continue"/>
            <w:tcBorders>
              <w:tl2br w:val="nil"/>
              <w:tr2bl w:val="nil"/>
            </w:tcBorders>
            <w:vAlign w:val="center"/>
          </w:tcPr>
          <w:p w14:paraId="0317CAD0">
            <w:pPr>
              <w:widowControl/>
              <w:jc w:val="center"/>
              <w:rPr>
                <w:rFonts w:eastAsia="仿宋_GB2312"/>
                <w:kern w:val="0"/>
                <w:szCs w:val="21"/>
              </w:rPr>
            </w:pPr>
          </w:p>
        </w:tc>
        <w:tc>
          <w:tcPr>
            <w:tcW w:w="384" w:type="pct"/>
            <w:tcBorders>
              <w:tl2br w:val="nil"/>
              <w:tr2bl w:val="nil"/>
            </w:tcBorders>
            <w:shd w:val="clear" w:color="auto" w:fill="auto"/>
            <w:vAlign w:val="center"/>
          </w:tcPr>
          <w:p w14:paraId="42CC3619">
            <w:pPr>
              <w:widowControl/>
              <w:jc w:val="center"/>
              <w:textAlignment w:val="center"/>
              <w:rPr>
                <w:rFonts w:eastAsia="仿宋_GB2312"/>
                <w:kern w:val="0"/>
                <w:szCs w:val="21"/>
              </w:rPr>
            </w:pPr>
            <w:r>
              <w:rPr>
                <w:b/>
                <w:bCs/>
                <w:kern w:val="0"/>
                <w:szCs w:val="21"/>
                <w:lang w:bidi="ar"/>
              </w:rPr>
              <w:t>HW11</w:t>
            </w:r>
          </w:p>
        </w:tc>
        <w:tc>
          <w:tcPr>
            <w:tcW w:w="1059" w:type="pct"/>
            <w:tcBorders>
              <w:tl2br w:val="nil"/>
              <w:tr2bl w:val="nil"/>
            </w:tcBorders>
            <w:shd w:val="clear" w:color="auto" w:fill="auto"/>
            <w:vAlign w:val="center"/>
          </w:tcPr>
          <w:p w14:paraId="2F444131">
            <w:pPr>
              <w:widowControl/>
              <w:jc w:val="center"/>
              <w:textAlignment w:val="center"/>
              <w:rPr>
                <w:kern w:val="0"/>
                <w:szCs w:val="21"/>
                <w:lang w:bidi="ar"/>
              </w:rPr>
            </w:pPr>
            <w:r>
              <w:rPr>
                <w:b/>
                <w:bCs/>
                <w:kern w:val="0"/>
                <w:szCs w:val="21"/>
                <w:lang w:bidi="ar"/>
              </w:rPr>
              <w:t>900-013-11</w:t>
            </w:r>
            <w:r>
              <w:rPr>
                <w:rFonts w:hint="eastAsia" w:ascii="宋体" w:hAnsi="宋体" w:cs="宋体"/>
                <w:b/>
                <w:bCs/>
                <w:kern w:val="0"/>
                <w:szCs w:val="21"/>
                <w:lang w:bidi="ar"/>
              </w:rPr>
              <w:t>，</w:t>
            </w:r>
            <w:r>
              <w:rPr>
                <w:b/>
                <w:bCs/>
                <w:kern w:val="0"/>
                <w:szCs w:val="21"/>
                <w:lang w:bidi="ar"/>
              </w:rPr>
              <w:t>251-013-11</w:t>
            </w:r>
            <w:r>
              <w:rPr>
                <w:rFonts w:hint="eastAsia" w:ascii="宋体" w:hAnsi="宋体" w:cs="宋体"/>
                <w:b/>
                <w:bCs/>
                <w:kern w:val="0"/>
                <w:szCs w:val="21"/>
                <w:lang w:bidi="ar"/>
              </w:rPr>
              <w:t>，</w:t>
            </w:r>
            <w:r>
              <w:rPr>
                <w:b/>
                <w:bCs/>
                <w:kern w:val="0"/>
                <w:szCs w:val="21"/>
                <w:lang w:bidi="ar"/>
              </w:rPr>
              <w:t>252-002-11</w:t>
            </w:r>
            <w:r>
              <w:rPr>
                <w:rFonts w:hint="eastAsia" w:ascii="宋体" w:hAnsi="宋体" w:cs="宋体"/>
                <w:b/>
                <w:bCs/>
                <w:kern w:val="0"/>
                <w:szCs w:val="21"/>
                <w:lang w:bidi="ar"/>
              </w:rPr>
              <w:t>，</w:t>
            </w:r>
            <w:r>
              <w:rPr>
                <w:b/>
                <w:bCs/>
                <w:kern w:val="0"/>
                <w:szCs w:val="21"/>
                <w:lang w:bidi="ar"/>
              </w:rPr>
              <w:t>252-004-11</w:t>
            </w:r>
            <w:r>
              <w:rPr>
                <w:rFonts w:hint="eastAsia" w:ascii="宋体" w:hAnsi="宋体" w:cs="宋体"/>
                <w:b/>
                <w:bCs/>
                <w:kern w:val="0"/>
                <w:szCs w:val="21"/>
                <w:lang w:bidi="ar"/>
              </w:rPr>
              <w:t>，</w:t>
            </w:r>
            <w:r>
              <w:rPr>
                <w:b/>
                <w:bCs/>
                <w:kern w:val="0"/>
                <w:szCs w:val="21"/>
                <w:lang w:bidi="ar"/>
              </w:rPr>
              <w:t>252-011-11</w:t>
            </w:r>
            <w:r>
              <w:rPr>
                <w:rFonts w:hint="eastAsia" w:ascii="宋体" w:hAnsi="宋体" w:cs="宋体"/>
                <w:b/>
                <w:bCs/>
                <w:kern w:val="0"/>
                <w:szCs w:val="21"/>
                <w:lang w:bidi="ar"/>
              </w:rPr>
              <w:t>，</w:t>
            </w:r>
            <w:r>
              <w:rPr>
                <w:b/>
                <w:bCs/>
                <w:kern w:val="0"/>
                <w:szCs w:val="21"/>
                <w:lang w:bidi="ar"/>
              </w:rPr>
              <w:t>252-016-11</w:t>
            </w:r>
            <w:r>
              <w:rPr>
                <w:rFonts w:hint="eastAsia" w:ascii="宋体" w:hAnsi="宋体" w:cs="宋体"/>
                <w:b/>
                <w:bCs/>
                <w:kern w:val="0"/>
                <w:szCs w:val="21"/>
                <w:lang w:bidi="ar"/>
              </w:rPr>
              <w:t>，</w:t>
            </w:r>
            <w:r>
              <w:rPr>
                <w:b/>
                <w:bCs/>
                <w:kern w:val="0"/>
                <w:szCs w:val="21"/>
                <w:lang w:bidi="ar"/>
              </w:rPr>
              <w:t>261-012-11</w:t>
            </w:r>
            <w:r>
              <w:rPr>
                <w:rFonts w:hint="eastAsia" w:ascii="宋体" w:hAnsi="宋体" w:cs="宋体"/>
                <w:b/>
                <w:bCs/>
                <w:kern w:val="0"/>
                <w:szCs w:val="21"/>
                <w:lang w:bidi="ar"/>
              </w:rPr>
              <w:t>，</w:t>
            </w:r>
            <w:r>
              <w:rPr>
                <w:b/>
                <w:bCs/>
                <w:kern w:val="0"/>
                <w:szCs w:val="21"/>
                <w:lang w:bidi="ar"/>
              </w:rPr>
              <w:t>261-013-11</w:t>
            </w:r>
            <w:r>
              <w:rPr>
                <w:rFonts w:hint="eastAsia" w:ascii="宋体" w:hAnsi="宋体" w:cs="宋体"/>
                <w:b/>
                <w:bCs/>
                <w:kern w:val="0"/>
                <w:szCs w:val="21"/>
                <w:lang w:bidi="ar"/>
              </w:rPr>
              <w:t>，</w:t>
            </w:r>
            <w:r>
              <w:rPr>
                <w:b/>
                <w:bCs/>
                <w:kern w:val="0"/>
                <w:szCs w:val="21"/>
                <w:lang w:bidi="ar"/>
              </w:rPr>
              <w:t>261-015-11</w:t>
            </w:r>
            <w:r>
              <w:rPr>
                <w:rFonts w:hint="eastAsia" w:ascii="宋体" w:hAnsi="宋体" w:cs="宋体"/>
                <w:b/>
                <w:bCs/>
                <w:kern w:val="0"/>
                <w:szCs w:val="21"/>
                <w:lang w:bidi="ar"/>
              </w:rPr>
              <w:t>，</w:t>
            </w:r>
            <w:r>
              <w:rPr>
                <w:b/>
                <w:bCs/>
                <w:kern w:val="0"/>
                <w:szCs w:val="21"/>
                <w:lang w:bidi="ar"/>
              </w:rPr>
              <w:t>261-031-11</w:t>
            </w:r>
            <w:r>
              <w:rPr>
                <w:rFonts w:hint="eastAsia" w:ascii="宋体" w:hAnsi="宋体" w:cs="宋体"/>
                <w:b/>
                <w:bCs/>
                <w:kern w:val="0"/>
                <w:szCs w:val="21"/>
                <w:lang w:bidi="ar"/>
              </w:rPr>
              <w:t>，</w:t>
            </w:r>
            <w:r>
              <w:rPr>
                <w:b/>
                <w:bCs/>
                <w:kern w:val="0"/>
                <w:szCs w:val="21"/>
                <w:lang w:bidi="ar"/>
              </w:rPr>
              <w:t>261-106-11</w:t>
            </w:r>
            <w:r>
              <w:rPr>
                <w:rFonts w:hint="eastAsia" w:ascii="宋体" w:hAnsi="宋体" w:cs="宋体"/>
                <w:b/>
                <w:bCs/>
                <w:kern w:val="0"/>
                <w:szCs w:val="21"/>
                <w:lang w:bidi="ar"/>
              </w:rPr>
              <w:t>，</w:t>
            </w:r>
            <w:r>
              <w:rPr>
                <w:b/>
                <w:bCs/>
                <w:kern w:val="0"/>
                <w:szCs w:val="21"/>
                <w:lang w:bidi="ar"/>
              </w:rPr>
              <w:t>261-129-11</w:t>
            </w:r>
            <w:r>
              <w:rPr>
                <w:rFonts w:hint="eastAsia" w:ascii="宋体" w:hAnsi="宋体" w:cs="宋体"/>
                <w:b/>
                <w:bCs/>
                <w:kern w:val="0"/>
                <w:szCs w:val="21"/>
                <w:lang w:bidi="ar"/>
              </w:rPr>
              <w:t>，</w:t>
            </w:r>
            <w:r>
              <w:rPr>
                <w:b/>
                <w:bCs/>
                <w:kern w:val="0"/>
                <w:szCs w:val="21"/>
                <w:lang w:bidi="ar"/>
              </w:rPr>
              <w:t>261-130-11</w:t>
            </w:r>
            <w:r>
              <w:rPr>
                <w:rFonts w:hint="eastAsia" w:ascii="宋体" w:hAnsi="宋体" w:cs="宋体"/>
                <w:b/>
                <w:bCs/>
                <w:kern w:val="0"/>
                <w:szCs w:val="21"/>
                <w:lang w:bidi="ar"/>
              </w:rPr>
              <w:t>，</w:t>
            </w:r>
            <w:r>
              <w:rPr>
                <w:b/>
                <w:bCs/>
                <w:kern w:val="0"/>
                <w:szCs w:val="21"/>
                <w:lang w:bidi="ar"/>
              </w:rPr>
              <w:t>309-001-11</w:t>
            </w:r>
            <w:r>
              <w:rPr>
                <w:rFonts w:hint="eastAsia" w:ascii="宋体" w:hAnsi="宋体" w:cs="宋体"/>
                <w:b/>
                <w:bCs/>
                <w:kern w:val="0"/>
                <w:szCs w:val="21"/>
                <w:lang w:bidi="ar"/>
              </w:rPr>
              <w:t>，</w:t>
            </w:r>
            <w:r>
              <w:rPr>
                <w:b/>
                <w:bCs/>
                <w:kern w:val="0"/>
                <w:szCs w:val="21"/>
                <w:lang w:bidi="ar"/>
              </w:rPr>
              <w:t>451-003-11</w:t>
            </w:r>
            <w:r>
              <w:rPr>
                <w:rFonts w:hint="eastAsia" w:ascii="宋体" w:hAnsi="宋体" w:cs="宋体"/>
                <w:b/>
                <w:bCs/>
                <w:kern w:val="0"/>
                <w:szCs w:val="21"/>
                <w:lang w:bidi="ar"/>
              </w:rPr>
              <w:t>，</w:t>
            </w:r>
            <w:r>
              <w:rPr>
                <w:b/>
                <w:bCs/>
                <w:kern w:val="0"/>
                <w:szCs w:val="21"/>
                <w:lang w:bidi="ar"/>
              </w:rPr>
              <w:t>772-001-11</w:t>
            </w:r>
          </w:p>
        </w:tc>
        <w:tc>
          <w:tcPr>
            <w:tcW w:w="423" w:type="pct"/>
            <w:vMerge w:val="continue"/>
            <w:tcBorders>
              <w:tl2br w:val="nil"/>
              <w:tr2bl w:val="nil"/>
            </w:tcBorders>
            <w:vAlign w:val="center"/>
          </w:tcPr>
          <w:p w14:paraId="6885B2B0">
            <w:pPr>
              <w:widowControl/>
              <w:jc w:val="center"/>
              <w:rPr>
                <w:rFonts w:eastAsia="仿宋_GB2312"/>
                <w:kern w:val="0"/>
                <w:szCs w:val="21"/>
              </w:rPr>
            </w:pPr>
          </w:p>
        </w:tc>
        <w:tc>
          <w:tcPr>
            <w:tcW w:w="605" w:type="pct"/>
            <w:vMerge w:val="continue"/>
            <w:tcBorders>
              <w:tl2br w:val="nil"/>
              <w:tr2bl w:val="nil"/>
            </w:tcBorders>
            <w:vAlign w:val="center"/>
          </w:tcPr>
          <w:p w14:paraId="6C250B7C">
            <w:pPr>
              <w:widowControl/>
              <w:jc w:val="center"/>
              <w:rPr>
                <w:rFonts w:eastAsia="仿宋_GB2312"/>
                <w:kern w:val="0"/>
                <w:szCs w:val="21"/>
              </w:rPr>
            </w:pPr>
          </w:p>
        </w:tc>
      </w:tr>
      <w:tr w14:paraId="03288E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3" w:type="pct"/>
            <w:vMerge w:val="restart"/>
            <w:tcBorders>
              <w:tl2br w:val="nil"/>
              <w:tr2bl w:val="nil"/>
            </w:tcBorders>
            <w:vAlign w:val="center"/>
          </w:tcPr>
          <w:p w14:paraId="1D35892D">
            <w:pPr>
              <w:widowControl/>
              <w:jc w:val="center"/>
              <w:rPr>
                <w:rFonts w:eastAsia="仿宋_GB2312"/>
                <w:kern w:val="0"/>
                <w:szCs w:val="21"/>
              </w:rPr>
            </w:pPr>
            <w:r>
              <w:rPr>
                <w:rFonts w:hint="eastAsia" w:eastAsia="仿宋_GB2312"/>
                <w:kern w:val="0"/>
                <w:szCs w:val="21"/>
              </w:rPr>
              <w:t>30</w:t>
            </w:r>
          </w:p>
        </w:tc>
        <w:tc>
          <w:tcPr>
            <w:tcW w:w="372" w:type="pct"/>
            <w:vMerge w:val="restart"/>
            <w:tcBorders>
              <w:tl2br w:val="nil"/>
              <w:tr2bl w:val="nil"/>
            </w:tcBorders>
            <w:vAlign w:val="center"/>
          </w:tcPr>
          <w:p w14:paraId="29DC31F4">
            <w:pPr>
              <w:widowControl/>
              <w:jc w:val="center"/>
              <w:rPr>
                <w:rFonts w:eastAsia="仿宋_GB2312"/>
                <w:kern w:val="0"/>
                <w:szCs w:val="21"/>
              </w:rPr>
            </w:pPr>
            <w:r>
              <w:rPr>
                <w:rFonts w:hint="eastAsia" w:eastAsia="仿宋_GB2312"/>
                <w:kern w:val="0"/>
                <w:szCs w:val="21"/>
              </w:rPr>
              <w:t>2-甲基四氢呋喃废液</w:t>
            </w:r>
          </w:p>
        </w:tc>
        <w:tc>
          <w:tcPr>
            <w:tcW w:w="394" w:type="pct"/>
            <w:vMerge w:val="restart"/>
            <w:tcBorders>
              <w:tl2br w:val="nil"/>
              <w:tr2bl w:val="nil"/>
            </w:tcBorders>
            <w:vAlign w:val="center"/>
          </w:tcPr>
          <w:p w14:paraId="7F7536BA">
            <w:pPr>
              <w:widowControl/>
              <w:jc w:val="center"/>
              <w:rPr>
                <w:rFonts w:eastAsia="仿宋_GB2312"/>
                <w:kern w:val="0"/>
                <w:szCs w:val="21"/>
              </w:rPr>
            </w:pPr>
            <w:r>
              <w:rPr>
                <w:rFonts w:hint="eastAsia" w:eastAsia="仿宋_GB2312"/>
                <w:kern w:val="0"/>
                <w:szCs w:val="21"/>
              </w:rPr>
              <w:t>/</w:t>
            </w:r>
          </w:p>
        </w:tc>
        <w:tc>
          <w:tcPr>
            <w:tcW w:w="1042" w:type="pct"/>
            <w:vMerge w:val="restart"/>
            <w:tcBorders>
              <w:tl2br w:val="nil"/>
              <w:tr2bl w:val="nil"/>
            </w:tcBorders>
            <w:vAlign w:val="center"/>
          </w:tcPr>
          <w:p w14:paraId="4EC17CA6">
            <w:pPr>
              <w:widowControl/>
              <w:jc w:val="center"/>
              <w:rPr>
                <w:rFonts w:eastAsia="仿宋_GB2312"/>
                <w:kern w:val="0"/>
                <w:szCs w:val="21"/>
              </w:rPr>
            </w:pPr>
            <w:r>
              <w:rPr>
                <w:rFonts w:hint="eastAsia" w:eastAsia="仿宋_GB2312"/>
                <w:kern w:val="0"/>
                <w:szCs w:val="21"/>
              </w:rPr>
              <w:t>/</w:t>
            </w:r>
          </w:p>
        </w:tc>
        <w:tc>
          <w:tcPr>
            <w:tcW w:w="465" w:type="pct"/>
            <w:vMerge w:val="restart"/>
            <w:tcBorders>
              <w:tl2br w:val="nil"/>
              <w:tr2bl w:val="nil"/>
            </w:tcBorders>
            <w:vAlign w:val="center"/>
          </w:tcPr>
          <w:p w14:paraId="6FD7C88A">
            <w:pPr>
              <w:widowControl/>
              <w:jc w:val="center"/>
              <w:rPr>
                <w:rFonts w:eastAsia="仿宋_GB2312"/>
                <w:kern w:val="0"/>
                <w:szCs w:val="21"/>
              </w:rPr>
            </w:pPr>
            <w:r>
              <w:rPr>
                <w:rFonts w:hint="eastAsia" w:eastAsia="仿宋_GB2312"/>
                <w:kern w:val="0"/>
                <w:szCs w:val="21"/>
              </w:rPr>
              <w:t>0</w:t>
            </w:r>
          </w:p>
        </w:tc>
        <w:tc>
          <w:tcPr>
            <w:tcW w:w="384" w:type="pct"/>
            <w:tcBorders>
              <w:tl2br w:val="nil"/>
              <w:tr2bl w:val="nil"/>
            </w:tcBorders>
            <w:shd w:val="clear" w:color="auto" w:fill="auto"/>
            <w:vAlign w:val="center"/>
          </w:tcPr>
          <w:p w14:paraId="443546FA">
            <w:pPr>
              <w:widowControl/>
              <w:jc w:val="center"/>
              <w:textAlignment w:val="center"/>
              <w:rPr>
                <w:rFonts w:eastAsia="仿宋_GB2312"/>
                <w:kern w:val="0"/>
                <w:szCs w:val="21"/>
              </w:rPr>
            </w:pPr>
            <w:r>
              <w:rPr>
                <w:b/>
                <w:bCs/>
                <w:kern w:val="0"/>
                <w:szCs w:val="21"/>
                <w:lang w:bidi="ar"/>
              </w:rPr>
              <w:t>HW02</w:t>
            </w:r>
          </w:p>
        </w:tc>
        <w:tc>
          <w:tcPr>
            <w:tcW w:w="1059" w:type="pct"/>
            <w:tcBorders>
              <w:tl2br w:val="nil"/>
              <w:tr2bl w:val="nil"/>
            </w:tcBorders>
            <w:shd w:val="clear" w:color="auto" w:fill="auto"/>
            <w:vAlign w:val="center"/>
          </w:tcPr>
          <w:p w14:paraId="4AF0AD93">
            <w:pPr>
              <w:widowControl/>
              <w:jc w:val="center"/>
              <w:textAlignment w:val="center"/>
              <w:rPr>
                <w:kern w:val="0"/>
                <w:szCs w:val="21"/>
                <w:lang w:bidi="ar"/>
              </w:rPr>
            </w:pPr>
            <w:r>
              <w:rPr>
                <w:b/>
                <w:bCs/>
                <w:kern w:val="0"/>
                <w:szCs w:val="21"/>
                <w:lang w:bidi="ar"/>
              </w:rPr>
              <w:t>271-001-02</w:t>
            </w:r>
            <w:r>
              <w:rPr>
                <w:rFonts w:ascii="仿宋_GB2312" w:eastAsia="仿宋_GB2312" w:cs="仿宋_GB2312"/>
                <w:b/>
                <w:bCs/>
                <w:kern w:val="0"/>
                <w:szCs w:val="21"/>
                <w:lang w:bidi="ar"/>
              </w:rPr>
              <w:t>，</w:t>
            </w:r>
            <w:r>
              <w:rPr>
                <w:b/>
                <w:bCs/>
                <w:kern w:val="0"/>
                <w:szCs w:val="21"/>
                <w:lang w:bidi="ar"/>
              </w:rPr>
              <w:t>271-002-02</w:t>
            </w:r>
            <w:r>
              <w:rPr>
                <w:rFonts w:ascii="仿宋_GB2312" w:eastAsia="仿宋_GB2312" w:cs="仿宋_GB2312"/>
                <w:b/>
                <w:bCs/>
                <w:kern w:val="0"/>
                <w:szCs w:val="21"/>
                <w:lang w:bidi="ar"/>
              </w:rPr>
              <w:t>，</w:t>
            </w:r>
            <w:r>
              <w:rPr>
                <w:b/>
                <w:bCs/>
                <w:kern w:val="0"/>
                <w:szCs w:val="21"/>
                <w:lang w:bidi="ar"/>
              </w:rPr>
              <w:t>272-001-02</w:t>
            </w:r>
            <w:r>
              <w:rPr>
                <w:rFonts w:ascii="仿宋_GB2312" w:eastAsia="仿宋_GB2312" w:cs="仿宋_GB2312"/>
                <w:b/>
                <w:bCs/>
                <w:kern w:val="0"/>
                <w:szCs w:val="21"/>
                <w:lang w:bidi="ar"/>
              </w:rPr>
              <w:t>，</w:t>
            </w:r>
            <w:r>
              <w:rPr>
                <w:b/>
                <w:bCs/>
                <w:kern w:val="0"/>
                <w:szCs w:val="21"/>
                <w:lang w:bidi="ar"/>
              </w:rPr>
              <w:t>272-00</w:t>
            </w:r>
            <w:r>
              <w:rPr>
                <w:rFonts w:hint="eastAsia"/>
                <w:b/>
                <w:bCs/>
                <w:kern w:val="0"/>
                <w:szCs w:val="21"/>
                <w:lang w:val="en-US" w:eastAsia="zh-CN" w:bidi="ar"/>
              </w:rPr>
              <w:t>5</w:t>
            </w:r>
            <w:r>
              <w:rPr>
                <w:b/>
                <w:bCs/>
                <w:kern w:val="0"/>
                <w:szCs w:val="21"/>
                <w:lang w:bidi="ar"/>
              </w:rPr>
              <w:t>-02</w:t>
            </w:r>
            <w:r>
              <w:rPr>
                <w:rFonts w:ascii="仿宋_GB2312" w:eastAsia="仿宋_GB2312" w:cs="仿宋_GB2312"/>
                <w:b/>
                <w:bCs/>
                <w:kern w:val="0"/>
                <w:szCs w:val="21"/>
                <w:lang w:bidi="ar"/>
              </w:rPr>
              <w:t>，</w:t>
            </w:r>
            <w:r>
              <w:rPr>
                <w:b/>
                <w:bCs/>
                <w:kern w:val="0"/>
                <w:szCs w:val="21"/>
                <w:lang w:bidi="ar"/>
              </w:rPr>
              <w:t>275-004-02</w:t>
            </w:r>
            <w:r>
              <w:rPr>
                <w:rFonts w:ascii="仿宋_GB2312" w:eastAsia="仿宋_GB2312" w:cs="仿宋_GB2312"/>
                <w:b/>
                <w:bCs/>
                <w:kern w:val="0"/>
                <w:szCs w:val="21"/>
                <w:lang w:bidi="ar"/>
              </w:rPr>
              <w:t>，</w:t>
            </w:r>
            <w:r>
              <w:rPr>
                <w:b/>
                <w:bCs/>
                <w:kern w:val="0"/>
                <w:szCs w:val="21"/>
                <w:lang w:bidi="ar"/>
              </w:rPr>
              <w:t>275-00</w:t>
            </w:r>
            <w:r>
              <w:rPr>
                <w:rFonts w:hint="eastAsia"/>
                <w:b/>
                <w:bCs/>
                <w:kern w:val="0"/>
                <w:szCs w:val="21"/>
                <w:lang w:val="en-US" w:eastAsia="zh-CN" w:bidi="ar"/>
              </w:rPr>
              <w:t>6</w:t>
            </w:r>
            <w:r>
              <w:rPr>
                <w:b/>
                <w:bCs/>
                <w:kern w:val="0"/>
                <w:szCs w:val="21"/>
                <w:lang w:bidi="ar"/>
              </w:rPr>
              <w:t>-02</w:t>
            </w:r>
            <w:r>
              <w:rPr>
                <w:rFonts w:ascii="仿宋_GB2312" w:eastAsia="仿宋_GB2312" w:cs="仿宋_GB2312"/>
                <w:b/>
                <w:bCs/>
                <w:kern w:val="0"/>
                <w:szCs w:val="21"/>
                <w:lang w:bidi="ar"/>
              </w:rPr>
              <w:t>，</w:t>
            </w:r>
            <w:r>
              <w:rPr>
                <w:b/>
                <w:bCs/>
                <w:kern w:val="0"/>
                <w:szCs w:val="21"/>
                <w:lang w:bidi="ar"/>
              </w:rPr>
              <w:t>276-001-02</w:t>
            </w:r>
            <w:r>
              <w:rPr>
                <w:rFonts w:ascii="仿宋_GB2312" w:eastAsia="仿宋_GB2312" w:cs="仿宋_GB2312"/>
                <w:b/>
                <w:bCs/>
                <w:kern w:val="0"/>
                <w:szCs w:val="21"/>
                <w:lang w:bidi="ar"/>
              </w:rPr>
              <w:t>，</w:t>
            </w:r>
            <w:r>
              <w:rPr>
                <w:b/>
                <w:bCs/>
                <w:kern w:val="0"/>
                <w:szCs w:val="21"/>
                <w:lang w:bidi="ar"/>
              </w:rPr>
              <w:t>276-002-02</w:t>
            </w:r>
            <w:r>
              <w:rPr>
                <w:rFonts w:ascii="仿宋_GB2312" w:eastAsia="仿宋_GB2312" w:cs="仿宋_GB2312"/>
                <w:b/>
                <w:bCs/>
                <w:kern w:val="0"/>
                <w:szCs w:val="21"/>
                <w:lang w:bidi="ar"/>
              </w:rPr>
              <w:t>，</w:t>
            </w:r>
            <w:r>
              <w:rPr>
                <w:b/>
                <w:bCs/>
                <w:kern w:val="0"/>
                <w:szCs w:val="21"/>
                <w:lang w:bidi="ar"/>
              </w:rPr>
              <w:t>276-00</w:t>
            </w:r>
            <w:r>
              <w:rPr>
                <w:rFonts w:hint="eastAsia"/>
                <w:b/>
                <w:bCs/>
                <w:kern w:val="0"/>
                <w:szCs w:val="21"/>
                <w:lang w:val="en-US" w:eastAsia="zh-CN" w:bidi="ar"/>
              </w:rPr>
              <w:t>5</w:t>
            </w:r>
            <w:r>
              <w:rPr>
                <w:b/>
                <w:bCs/>
                <w:kern w:val="0"/>
                <w:szCs w:val="21"/>
                <w:lang w:bidi="ar"/>
              </w:rPr>
              <w:t>-02</w:t>
            </w:r>
          </w:p>
        </w:tc>
        <w:tc>
          <w:tcPr>
            <w:tcW w:w="423" w:type="pct"/>
            <w:vMerge w:val="restart"/>
            <w:tcBorders>
              <w:tl2br w:val="nil"/>
              <w:tr2bl w:val="nil"/>
            </w:tcBorders>
            <w:vAlign w:val="center"/>
          </w:tcPr>
          <w:p w14:paraId="0E3FC88E">
            <w:pPr>
              <w:widowControl/>
              <w:jc w:val="center"/>
              <w:rPr>
                <w:rFonts w:eastAsia="仿宋_GB2312"/>
                <w:kern w:val="0"/>
                <w:szCs w:val="21"/>
              </w:rPr>
            </w:pPr>
            <w:r>
              <w:rPr>
                <w:rFonts w:hint="eastAsia" w:eastAsia="仿宋_GB2312"/>
                <w:kern w:val="0"/>
                <w:szCs w:val="21"/>
              </w:rPr>
              <w:t>5000</w:t>
            </w:r>
          </w:p>
        </w:tc>
        <w:tc>
          <w:tcPr>
            <w:tcW w:w="605" w:type="pct"/>
            <w:vMerge w:val="restart"/>
            <w:tcBorders>
              <w:tl2br w:val="nil"/>
              <w:tr2bl w:val="nil"/>
            </w:tcBorders>
            <w:vAlign w:val="center"/>
          </w:tcPr>
          <w:p w14:paraId="3FFDB57F">
            <w:pPr>
              <w:widowControl/>
              <w:jc w:val="center"/>
              <w:rPr>
                <w:rFonts w:eastAsia="仿宋_GB2312"/>
                <w:kern w:val="0"/>
                <w:szCs w:val="21"/>
              </w:rPr>
            </w:pPr>
            <w:r>
              <w:rPr>
                <w:rFonts w:eastAsia="仿宋_GB2312"/>
                <w:kern w:val="0"/>
                <w:szCs w:val="21"/>
              </w:rPr>
              <w:t>本次新增</w:t>
            </w:r>
          </w:p>
        </w:tc>
      </w:tr>
      <w:tr w14:paraId="3D2EE8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3" w:type="pct"/>
            <w:vMerge w:val="continue"/>
            <w:tcBorders>
              <w:tl2br w:val="nil"/>
              <w:tr2bl w:val="nil"/>
            </w:tcBorders>
            <w:vAlign w:val="center"/>
          </w:tcPr>
          <w:p w14:paraId="45F6258A">
            <w:pPr>
              <w:widowControl/>
              <w:jc w:val="center"/>
              <w:rPr>
                <w:rFonts w:eastAsia="仿宋_GB2312"/>
                <w:kern w:val="0"/>
                <w:szCs w:val="21"/>
              </w:rPr>
            </w:pPr>
          </w:p>
        </w:tc>
        <w:tc>
          <w:tcPr>
            <w:tcW w:w="372" w:type="pct"/>
            <w:vMerge w:val="continue"/>
            <w:tcBorders>
              <w:tl2br w:val="nil"/>
              <w:tr2bl w:val="nil"/>
            </w:tcBorders>
            <w:vAlign w:val="center"/>
          </w:tcPr>
          <w:p w14:paraId="0F0AFCCD">
            <w:pPr>
              <w:widowControl/>
              <w:jc w:val="center"/>
              <w:rPr>
                <w:rFonts w:eastAsia="仿宋_GB2312"/>
                <w:kern w:val="0"/>
                <w:szCs w:val="21"/>
              </w:rPr>
            </w:pPr>
          </w:p>
        </w:tc>
        <w:tc>
          <w:tcPr>
            <w:tcW w:w="394" w:type="pct"/>
            <w:vMerge w:val="continue"/>
            <w:tcBorders>
              <w:tl2br w:val="nil"/>
              <w:tr2bl w:val="nil"/>
            </w:tcBorders>
            <w:vAlign w:val="center"/>
          </w:tcPr>
          <w:p w14:paraId="3390EA8A">
            <w:pPr>
              <w:widowControl/>
              <w:jc w:val="center"/>
              <w:rPr>
                <w:rFonts w:eastAsia="仿宋_GB2312"/>
                <w:kern w:val="0"/>
                <w:szCs w:val="21"/>
              </w:rPr>
            </w:pPr>
          </w:p>
        </w:tc>
        <w:tc>
          <w:tcPr>
            <w:tcW w:w="1042" w:type="pct"/>
            <w:vMerge w:val="continue"/>
            <w:tcBorders>
              <w:tl2br w:val="nil"/>
              <w:tr2bl w:val="nil"/>
            </w:tcBorders>
            <w:vAlign w:val="center"/>
          </w:tcPr>
          <w:p w14:paraId="59826E19">
            <w:pPr>
              <w:widowControl/>
              <w:jc w:val="center"/>
              <w:rPr>
                <w:rFonts w:eastAsia="仿宋_GB2312"/>
                <w:kern w:val="0"/>
                <w:szCs w:val="21"/>
              </w:rPr>
            </w:pPr>
          </w:p>
        </w:tc>
        <w:tc>
          <w:tcPr>
            <w:tcW w:w="465" w:type="pct"/>
            <w:vMerge w:val="continue"/>
            <w:tcBorders>
              <w:tl2br w:val="nil"/>
              <w:tr2bl w:val="nil"/>
            </w:tcBorders>
            <w:vAlign w:val="center"/>
          </w:tcPr>
          <w:p w14:paraId="7BC6973C">
            <w:pPr>
              <w:widowControl/>
              <w:jc w:val="center"/>
              <w:rPr>
                <w:rFonts w:eastAsia="仿宋_GB2312"/>
                <w:kern w:val="0"/>
                <w:szCs w:val="21"/>
              </w:rPr>
            </w:pPr>
          </w:p>
        </w:tc>
        <w:tc>
          <w:tcPr>
            <w:tcW w:w="384" w:type="pct"/>
            <w:tcBorders>
              <w:tl2br w:val="nil"/>
              <w:tr2bl w:val="nil"/>
            </w:tcBorders>
            <w:shd w:val="clear" w:color="auto" w:fill="auto"/>
            <w:vAlign w:val="center"/>
          </w:tcPr>
          <w:p w14:paraId="0CA4D70E">
            <w:pPr>
              <w:widowControl/>
              <w:jc w:val="center"/>
              <w:textAlignment w:val="center"/>
              <w:rPr>
                <w:rFonts w:eastAsia="仿宋_GB2312"/>
                <w:kern w:val="0"/>
                <w:szCs w:val="21"/>
              </w:rPr>
            </w:pPr>
            <w:r>
              <w:rPr>
                <w:b/>
                <w:bCs/>
                <w:kern w:val="0"/>
                <w:szCs w:val="21"/>
                <w:lang w:bidi="ar"/>
              </w:rPr>
              <w:t>HW04</w:t>
            </w:r>
          </w:p>
        </w:tc>
        <w:tc>
          <w:tcPr>
            <w:tcW w:w="1059" w:type="pct"/>
            <w:tcBorders>
              <w:tl2br w:val="nil"/>
              <w:tr2bl w:val="nil"/>
            </w:tcBorders>
            <w:shd w:val="clear" w:color="auto" w:fill="auto"/>
            <w:vAlign w:val="center"/>
          </w:tcPr>
          <w:p w14:paraId="2ADAEA1C">
            <w:pPr>
              <w:widowControl/>
              <w:jc w:val="center"/>
              <w:textAlignment w:val="center"/>
              <w:rPr>
                <w:kern w:val="0"/>
                <w:szCs w:val="21"/>
                <w:lang w:bidi="ar"/>
              </w:rPr>
            </w:pPr>
            <w:r>
              <w:rPr>
                <w:b/>
                <w:bCs/>
                <w:kern w:val="0"/>
                <w:szCs w:val="21"/>
                <w:lang w:bidi="ar"/>
              </w:rPr>
              <w:t>263-008-04</w:t>
            </w:r>
          </w:p>
        </w:tc>
        <w:tc>
          <w:tcPr>
            <w:tcW w:w="423" w:type="pct"/>
            <w:vMerge w:val="continue"/>
            <w:tcBorders>
              <w:tl2br w:val="nil"/>
              <w:tr2bl w:val="nil"/>
            </w:tcBorders>
            <w:vAlign w:val="center"/>
          </w:tcPr>
          <w:p w14:paraId="2B540C97">
            <w:pPr>
              <w:widowControl/>
              <w:jc w:val="center"/>
              <w:rPr>
                <w:rFonts w:eastAsia="仿宋_GB2312"/>
                <w:kern w:val="0"/>
                <w:szCs w:val="21"/>
              </w:rPr>
            </w:pPr>
          </w:p>
        </w:tc>
        <w:tc>
          <w:tcPr>
            <w:tcW w:w="605" w:type="pct"/>
            <w:vMerge w:val="continue"/>
            <w:tcBorders>
              <w:tl2br w:val="nil"/>
              <w:tr2bl w:val="nil"/>
            </w:tcBorders>
            <w:vAlign w:val="center"/>
          </w:tcPr>
          <w:p w14:paraId="5273BD38">
            <w:pPr>
              <w:widowControl/>
              <w:jc w:val="center"/>
              <w:rPr>
                <w:rFonts w:eastAsia="仿宋_GB2312"/>
                <w:kern w:val="0"/>
                <w:szCs w:val="21"/>
              </w:rPr>
            </w:pPr>
          </w:p>
        </w:tc>
      </w:tr>
      <w:tr w14:paraId="233BF1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3" w:type="pct"/>
            <w:vMerge w:val="continue"/>
            <w:tcBorders>
              <w:tl2br w:val="nil"/>
              <w:tr2bl w:val="nil"/>
            </w:tcBorders>
            <w:vAlign w:val="center"/>
          </w:tcPr>
          <w:p w14:paraId="4B92E5CE">
            <w:pPr>
              <w:widowControl/>
              <w:jc w:val="center"/>
              <w:rPr>
                <w:rFonts w:eastAsia="仿宋_GB2312"/>
                <w:kern w:val="0"/>
                <w:szCs w:val="21"/>
              </w:rPr>
            </w:pPr>
          </w:p>
        </w:tc>
        <w:tc>
          <w:tcPr>
            <w:tcW w:w="372" w:type="pct"/>
            <w:vMerge w:val="continue"/>
            <w:tcBorders>
              <w:tl2br w:val="nil"/>
              <w:tr2bl w:val="nil"/>
            </w:tcBorders>
            <w:vAlign w:val="center"/>
          </w:tcPr>
          <w:p w14:paraId="5D86F822">
            <w:pPr>
              <w:widowControl/>
              <w:jc w:val="center"/>
              <w:rPr>
                <w:rFonts w:eastAsia="仿宋_GB2312"/>
                <w:kern w:val="0"/>
                <w:szCs w:val="21"/>
              </w:rPr>
            </w:pPr>
          </w:p>
        </w:tc>
        <w:tc>
          <w:tcPr>
            <w:tcW w:w="394" w:type="pct"/>
            <w:vMerge w:val="continue"/>
            <w:tcBorders>
              <w:tl2br w:val="nil"/>
              <w:tr2bl w:val="nil"/>
            </w:tcBorders>
            <w:vAlign w:val="center"/>
          </w:tcPr>
          <w:p w14:paraId="1DEA2A90">
            <w:pPr>
              <w:widowControl/>
              <w:jc w:val="center"/>
              <w:rPr>
                <w:rFonts w:eastAsia="仿宋_GB2312"/>
                <w:kern w:val="0"/>
                <w:szCs w:val="21"/>
              </w:rPr>
            </w:pPr>
          </w:p>
        </w:tc>
        <w:tc>
          <w:tcPr>
            <w:tcW w:w="1042" w:type="pct"/>
            <w:vMerge w:val="continue"/>
            <w:tcBorders>
              <w:tl2br w:val="nil"/>
              <w:tr2bl w:val="nil"/>
            </w:tcBorders>
            <w:vAlign w:val="center"/>
          </w:tcPr>
          <w:p w14:paraId="3B6F939B">
            <w:pPr>
              <w:widowControl/>
              <w:jc w:val="center"/>
              <w:rPr>
                <w:rFonts w:eastAsia="仿宋_GB2312"/>
                <w:kern w:val="0"/>
                <w:szCs w:val="21"/>
              </w:rPr>
            </w:pPr>
          </w:p>
        </w:tc>
        <w:tc>
          <w:tcPr>
            <w:tcW w:w="465" w:type="pct"/>
            <w:vMerge w:val="continue"/>
            <w:tcBorders>
              <w:tl2br w:val="nil"/>
              <w:tr2bl w:val="nil"/>
            </w:tcBorders>
            <w:vAlign w:val="center"/>
          </w:tcPr>
          <w:p w14:paraId="427E6B1D">
            <w:pPr>
              <w:widowControl/>
              <w:jc w:val="center"/>
              <w:rPr>
                <w:rFonts w:eastAsia="仿宋_GB2312"/>
                <w:kern w:val="0"/>
                <w:szCs w:val="21"/>
              </w:rPr>
            </w:pPr>
          </w:p>
        </w:tc>
        <w:tc>
          <w:tcPr>
            <w:tcW w:w="384" w:type="pct"/>
            <w:tcBorders>
              <w:tl2br w:val="nil"/>
              <w:tr2bl w:val="nil"/>
            </w:tcBorders>
            <w:shd w:val="clear" w:color="auto" w:fill="auto"/>
            <w:vAlign w:val="center"/>
          </w:tcPr>
          <w:p w14:paraId="06E00E28">
            <w:pPr>
              <w:widowControl/>
              <w:jc w:val="center"/>
              <w:textAlignment w:val="center"/>
              <w:rPr>
                <w:rFonts w:eastAsia="仿宋_GB2312"/>
                <w:kern w:val="0"/>
                <w:szCs w:val="21"/>
              </w:rPr>
            </w:pPr>
            <w:r>
              <w:rPr>
                <w:b/>
                <w:bCs/>
                <w:kern w:val="0"/>
                <w:szCs w:val="21"/>
                <w:lang w:bidi="ar"/>
              </w:rPr>
              <w:t>HW06</w:t>
            </w:r>
          </w:p>
        </w:tc>
        <w:tc>
          <w:tcPr>
            <w:tcW w:w="1059" w:type="pct"/>
            <w:tcBorders>
              <w:tl2br w:val="nil"/>
              <w:tr2bl w:val="nil"/>
            </w:tcBorders>
            <w:shd w:val="clear" w:color="auto" w:fill="auto"/>
            <w:vAlign w:val="center"/>
          </w:tcPr>
          <w:p w14:paraId="5C8BC71B">
            <w:pPr>
              <w:widowControl/>
              <w:jc w:val="center"/>
              <w:textAlignment w:val="center"/>
              <w:rPr>
                <w:kern w:val="0"/>
                <w:szCs w:val="21"/>
                <w:lang w:bidi="ar"/>
              </w:rPr>
            </w:pPr>
            <w:r>
              <w:rPr>
                <w:b/>
                <w:bCs/>
                <w:kern w:val="0"/>
                <w:szCs w:val="21"/>
                <w:lang w:bidi="ar"/>
              </w:rPr>
              <w:t>900-402-06</w:t>
            </w:r>
            <w:r>
              <w:rPr>
                <w:rFonts w:ascii="仿宋_GB2312" w:eastAsia="仿宋_GB2312" w:cs="仿宋_GB2312"/>
                <w:b/>
                <w:bCs/>
                <w:kern w:val="0"/>
                <w:szCs w:val="21"/>
                <w:lang w:bidi="ar"/>
              </w:rPr>
              <w:t>，</w:t>
            </w:r>
            <w:r>
              <w:rPr>
                <w:b/>
                <w:bCs/>
                <w:kern w:val="0"/>
                <w:szCs w:val="21"/>
                <w:lang w:bidi="ar"/>
              </w:rPr>
              <w:t>900-404-06</w:t>
            </w:r>
            <w:r>
              <w:rPr>
                <w:rFonts w:ascii="仿宋_GB2312" w:eastAsia="仿宋_GB2312" w:cs="仿宋_GB2312"/>
                <w:b/>
                <w:bCs/>
                <w:kern w:val="0"/>
                <w:szCs w:val="21"/>
                <w:lang w:bidi="ar"/>
              </w:rPr>
              <w:t>，</w:t>
            </w:r>
            <w:r>
              <w:rPr>
                <w:b/>
                <w:bCs/>
                <w:kern w:val="0"/>
                <w:szCs w:val="21"/>
                <w:lang w:bidi="ar"/>
              </w:rPr>
              <w:t>900-407-06</w:t>
            </w:r>
          </w:p>
        </w:tc>
        <w:tc>
          <w:tcPr>
            <w:tcW w:w="423" w:type="pct"/>
            <w:vMerge w:val="continue"/>
            <w:tcBorders>
              <w:tl2br w:val="nil"/>
              <w:tr2bl w:val="nil"/>
            </w:tcBorders>
            <w:vAlign w:val="center"/>
          </w:tcPr>
          <w:p w14:paraId="796247F2">
            <w:pPr>
              <w:widowControl/>
              <w:jc w:val="center"/>
              <w:rPr>
                <w:rFonts w:eastAsia="仿宋_GB2312"/>
                <w:kern w:val="0"/>
                <w:szCs w:val="21"/>
              </w:rPr>
            </w:pPr>
          </w:p>
        </w:tc>
        <w:tc>
          <w:tcPr>
            <w:tcW w:w="605" w:type="pct"/>
            <w:vMerge w:val="continue"/>
            <w:tcBorders>
              <w:tl2br w:val="nil"/>
              <w:tr2bl w:val="nil"/>
            </w:tcBorders>
            <w:vAlign w:val="center"/>
          </w:tcPr>
          <w:p w14:paraId="4A6F19C2">
            <w:pPr>
              <w:widowControl/>
              <w:jc w:val="center"/>
              <w:rPr>
                <w:rFonts w:eastAsia="仿宋_GB2312"/>
                <w:kern w:val="0"/>
                <w:szCs w:val="21"/>
              </w:rPr>
            </w:pPr>
          </w:p>
        </w:tc>
      </w:tr>
      <w:tr w14:paraId="32F7A0F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3" w:type="pct"/>
            <w:vMerge w:val="restart"/>
            <w:tcBorders>
              <w:tl2br w:val="nil"/>
              <w:tr2bl w:val="nil"/>
            </w:tcBorders>
            <w:vAlign w:val="center"/>
          </w:tcPr>
          <w:p w14:paraId="4DA42DC6">
            <w:pPr>
              <w:widowControl/>
              <w:jc w:val="center"/>
              <w:rPr>
                <w:rFonts w:eastAsia="仿宋_GB2312"/>
                <w:kern w:val="0"/>
                <w:szCs w:val="21"/>
              </w:rPr>
            </w:pPr>
            <w:r>
              <w:rPr>
                <w:rFonts w:hint="eastAsia" w:eastAsia="仿宋_GB2312"/>
                <w:kern w:val="0"/>
                <w:szCs w:val="21"/>
              </w:rPr>
              <w:t>31</w:t>
            </w:r>
          </w:p>
        </w:tc>
        <w:tc>
          <w:tcPr>
            <w:tcW w:w="372" w:type="pct"/>
            <w:vMerge w:val="restart"/>
            <w:tcBorders>
              <w:tl2br w:val="nil"/>
              <w:tr2bl w:val="nil"/>
            </w:tcBorders>
            <w:vAlign w:val="center"/>
          </w:tcPr>
          <w:p w14:paraId="2E7CDDDF">
            <w:pPr>
              <w:widowControl/>
              <w:jc w:val="center"/>
              <w:rPr>
                <w:rFonts w:eastAsia="仿宋_GB2312"/>
                <w:kern w:val="0"/>
                <w:szCs w:val="21"/>
              </w:rPr>
            </w:pPr>
            <w:r>
              <w:rPr>
                <w:rFonts w:hint="eastAsia" w:eastAsia="仿宋_GB2312"/>
                <w:kern w:val="0"/>
                <w:szCs w:val="21"/>
              </w:rPr>
              <w:t>甲基叔丁基醚废液</w:t>
            </w:r>
          </w:p>
        </w:tc>
        <w:tc>
          <w:tcPr>
            <w:tcW w:w="394" w:type="pct"/>
            <w:vMerge w:val="restart"/>
            <w:tcBorders>
              <w:tl2br w:val="nil"/>
              <w:tr2bl w:val="nil"/>
            </w:tcBorders>
            <w:vAlign w:val="center"/>
          </w:tcPr>
          <w:p w14:paraId="07587ECB">
            <w:pPr>
              <w:widowControl/>
              <w:jc w:val="center"/>
              <w:rPr>
                <w:rFonts w:eastAsia="仿宋_GB2312"/>
                <w:kern w:val="0"/>
                <w:szCs w:val="21"/>
              </w:rPr>
            </w:pPr>
            <w:r>
              <w:rPr>
                <w:rFonts w:hint="eastAsia" w:eastAsia="仿宋_GB2312"/>
                <w:kern w:val="0"/>
                <w:szCs w:val="21"/>
              </w:rPr>
              <w:t>/</w:t>
            </w:r>
          </w:p>
        </w:tc>
        <w:tc>
          <w:tcPr>
            <w:tcW w:w="1042" w:type="pct"/>
            <w:vMerge w:val="restart"/>
            <w:tcBorders>
              <w:tl2br w:val="nil"/>
              <w:tr2bl w:val="nil"/>
            </w:tcBorders>
            <w:vAlign w:val="center"/>
          </w:tcPr>
          <w:p w14:paraId="6904EFDC">
            <w:pPr>
              <w:widowControl/>
              <w:jc w:val="center"/>
              <w:rPr>
                <w:rFonts w:eastAsia="仿宋_GB2312"/>
                <w:kern w:val="0"/>
                <w:szCs w:val="21"/>
              </w:rPr>
            </w:pPr>
            <w:r>
              <w:rPr>
                <w:rFonts w:hint="eastAsia" w:eastAsia="仿宋_GB2312"/>
                <w:kern w:val="0"/>
                <w:szCs w:val="21"/>
              </w:rPr>
              <w:t>/</w:t>
            </w:r>
          </w:p>
        </w:tc>
        <w:tc>
          <w:tcPr>
            <w:tcW w:w="465" w:type="pct"/>
            <w:vMerge w:val="restart"/>
            <w:tcBorders>
              <w:tl2br w:val="nil"/>
              <w:tr2bl w:val="nil"/>
            </w:tcBorders>
            <w:vAlign w:val="center"/>
          </w:tcPr>
          <w:p w14:paraId="7D72BB03">
            <w:pPr>
              <w:widowControl/>
              <w:jc w:val="center"/>
              <w:rPr>
                <w:rFonts w:eastAsia="仿宋_GB2312"/>
                <w:kern w:val="0"/>
                <w:szCs w:val="21"/>
              </w:rPr>
            </w:pPr>
            <w:r>
              <w:rPr>
                <w:rFonts w:hint="eastAsia" w:eastAsia="仿宋_GB2312"/>
                <w:kern w:val="0"/>
                <w:szCs w:val="21"/>
              </w:rPr>
              <w:t>0</w:t>
            </w:r>
          </w:p>
        </w:tc>
        <w:tc>
          <w:tcPr>
            <w:tcW w:w="384" w:type="pct"/>
            <w:tcBorders>
              <w:tl2br w:val="nil"/>
              <w:tr2bl w:val="nil"/>
            </w:tcBorders>
            <w:shd w:val="clear" w:color="auto" w:fill="auto"/>
            <w:vAlign w:val="center"/>
          </w:tcPr>
          <w:p w14:paraId="357D581A">
            <w:pPr>
              <w:widowControl/>
              <w:jc w:val="center"/>
              <w:textAlignment w:val="center"/>
              <w:rPr>
                <w:rFonts w:eastAsia="仿宋_GB2312"/>
                <w:kern w:val="0"/>
                <w:szCs w:val="21"/>
              </w:rPr>
            </w:pPr>
            <w:r>
              <w:rPr>
                <w:b/>
                <w:bCs/>
                <w:kern w:val="0"/>
                <w:szCs w:val="21"/>
                <w:lang w:bidi="ar"/>
              </w:rPr>
              <w:t>HW02</w:t>
            </w:r>
          </w:p>
        </w:tc>
        <w:tc>
          <w:tcPr>
            <w:tcW w:w="1059" w:type="pct"/>
            <w:tcBorders>
              <w:tl2br w:val="nil"/>
              <w:tr2bl w:val="nil"/>
            </w:tcBorders>
            <w:shd w:val="clear" w:color="auto" w:fill="auto"/>
            <w:vAlign w:val="center"/>
          </w:tcPr>
          <w:p w14:paraId="24A9BA95">
            <w:pPr>
              <w:widowControl/>
              <w:jc w:val="center"/>
              <w:textAlignment w:val="center"/>
              <w:rPr>
                <w:kern w:val="0"/>
                <w:szCs w:val="21"/>
                <w:lang w:bidi="ar"/>
              </w:rPr>
            </w:pPr>
            <w:r>
              <w:rPr>
                <w:b/>
                <w:bCs/>
                <w:kern w:val="0"/>
                <w:szCs w:val="21"/>
                <w:lang w:bidi="ar"/>
              </w:rPr>
              <w:t>271-001-02</w:t>
            </w:r>
            <w:r>
              <w:rPr>
                <w:rFonts w:ascii="仿宋_GB2312" w:eastAsia="仿宋_GB2312" w:cs="仿宋_GB2312"/>
                <w:b/>
                <w:bCs/>
                <w:kern w:val="0"/>
                <w:szCs w:val="21"/>
                <w:lang w:bidi="ar"/>
              </w:rPr>
              <w:t>，</w:t>
            </w:r>
            <w:r>
              <w:rPr>
                <w:b/>
                <w:bCs/>
                <w:kern w:val="0"/>
                <w:szCs w:val="21"/>
                <w:lang w:bidi="ar"/>
              </w:rPr>
              <w:t>271-002-02</w:t>
            </w:r>
            <w:r>
              <w:rPr>
                <w:rFonts w:ascii="仿宋_GB2312" w:eastAsia="仿宋_GB2312" w:cs="仿宋_GB2312"/>
                <w:b/>
                <w:bCs/>
                <w:kern w:val="0"/>
                <w:szCs w:val="21"/>
                <w:lang w:bidi="ar"/>
              </w:rPr>
              <w:t>，</w:t>
            </w:r>
            <w:r>
              <w:rPr>
                <w:b/>
                <w:bCs/>
                <w:kern w:val="0"/>
                <w:szCs w:val="21"/>
                <w:lang w:bidi="ar"/>
              </w:rPr>
              <w:t>272-001-02</w:t>
            </w:r>
            <w:r>
              <w:rPr>
                <w:rFonts w:ascii="仿宋_GB2312" w:eastAsia="仿宋_GB2312" w:cs="仿宋_GB2312"/>
                <w:b/>
                <w:bCs/>
                <w:kern w:val="0"/>
                <w:szCs w:val="21"/>
                <w:lang w:bidi="ar"/>
              </w:rPr>
              <w:t>，</w:t>
            </w:r>
            <w:r>
              <w:rPr>
                <w:b/>
                <w:bCs/>
                <w:kern w:val="0"/>
                <w:szCs w:val="21"/>
                <w:lang w:bidi="ar"/>
              </w:rPr>
              <w:t>272-00</w:t>
            </w:r>
            <w:r>
              <w:rPr>
                <w:rFonts w:hint="eastAsia"/>
                <w:b/>
                <w:bCs/>
                <w:kern w:val="0"/>
                <w:szCs w:val="21"/>
                <w:lang w:val="en-US" w:eastAsia="zh-CN" w:bidi="ar"/>
              </w:rPr>
              <w:t>5</w:t>
            </w:r>
            <w:r>
              <w:rPr>
                <w:b/>
                <w:bCs/>
                <w:kern w:val="0"/>
                <w:szCs w:val="21"/>
                <w:lang w:bidi="ar"/>
              </w:rPr>
              <w:t>-02</w:t>
            </w:r>
            <w:r>
              <w:rPr>
                <w:rFonts w:ascii="仿宋_GB2312" w:eastAsia="仿宋_GB2312" w:cs="仿宋_GB2312"/>
                <w:b/>
                <w:bCs/>
                <w:kern w:val="0"/>
                <w:szCs w:val="21"/>
                <w:lang w:bidi="ar"/>
              </w:rPr>
              <w:t>，</w:t>
            </w:r>
            <w:r>
              <w:rPr>
                <w:b/>
                <w:bCs/>
                <w:kern w:val="0"/>
                <w:szCs w:val="21"/>
                <w:lang w:bidi="ar"/>
              </w:rPr>
              <w:t>275-004-02</w:t>
            </w:r>
            <w:r>
              <w:rPr>
                <w:rFonts w:ascii="仿宋_GB2312" w:eastAsia="仿宋_GB2312" w:cs="仿宋_GB2312"/>
                <w:b/>
                <w:bCs/>
                <w:kern w:val="0"/>
                <w:szCs w:val="21"/>
                <w:lang w:bidi="ar"/>
              </w:rPr>
              <w:t>，</w:t>
            </w:r>
            <w:r>
              <w:rPr>
                <w:b/>
                <w:bCs/>
                <w:kern w:val="0"/>
                <w:szCs w:val="21"/>
                <w:lang w:bidi="ar"/>
              </w:rPr>
              <w:t>275-00</w:t>
            </w:r>
            <w:r>
              <w:rPr>
                <w:rFonts w:hint="eastAsia"/>
                <w:b/>
                <w:bCs/>
                <w:kern w:val="0"/>
                <w:szCs w:val="21"/>
                <w:lang w:val="en-US" w:eastAsia="zh-CN" w:bidi="ar"/>
              </w:rPr>
              <w:t>6</w:t>
            </w:r>
            <w:r>
              <w:rPr>
                <w:b/>
                <w:bCs/>
                <w:kern w:val="0"/>
                <w:szCs w:val="21"/>
                <w:lang w:bidi="ar"/>
              </w:rPr>
              <w:t>-02</w:t>
            </w:r>
            <w:r>
              <w:rPr>
                <w:rFonts w:ascii="仿宋_GB2312" w:eastAsia="仿宋_GB2312" w:cs="仿宋_GB2312"/>
                <w:b/>
                <w:bCs/>
                <w:kern w:val="0"/>
                <w:szCs w:val="21"/>
                <w:lang w:bidi="ar"/>
              </w:rPr>
              <w:t>，</w:t>
            </w:r>
            <w:r>
              <w:rPr>
                <w:b/>
                <w:bCs/>
                <w:kern w:val="0"/>
                <w:szCs w:val="21"/>
                <w:lang w:bidi="ar"/>
              </w:rPr>
              <w:t>276-001-02</w:t>
            </w:r>
            <w:r>
              <w:rPr>
                <w:rFonts w:ascii="仿宋_GB2312" w:eastAsia="仿宋_GB2312" w:cs="仿宋_GB2312"/>
                <w:b/>
                <w:bCs/>
                <w:kern w:val="0"/>
                <w:szCs w:val="21"/>
                <w:lang w:bidi="ar"/>
              </w:rPr>
              <w:t>，</w:t>
            </w:r>
            <w:r>
              <w:rPr>
                <w:b/>
                <w:bCs/>
                <w:kern w:val="0"/>
                <w:szCs w:val="21"/>
                <w:lang w:bidi="ar"/>
              </w:rPr>
              <w:t>276-002-02</w:t>
            </w:r>
            <w:r>
              <w:rPr>
                <w:rFonts w:ascii="仿宋_GB2312" w:eastAsia="仿宋_GB2312" w:cs="仿宋_GB2312"/>
                <w:b/>
                <w:bCs/>
                <w:kern w:val="0"/>
                <w:szCs w:val="21"/>
                <w:lang w:bidi="ar"/>
              </w:rPr>
              <w:t>，</w:t>
            </w:r>
            <w:r>
              <w:rPr>
                <w:b/>
                <w:bCs/>
                <w:kern w:val="0"/>
                <w:szCs w:val="21"/>
                <w:lang w:bidi="ar"/>
              </w:rPr>
              <w:t>276-00</w:t>
            </w:r>
            <w:r>
              <w:rPr>
                <w:rFonts w:hint="eastAsia"/>
                <w:b/>
                <w:bCs/>
                <w:kern w:val="0"/>
                <w:szCs w:val="21"/>
                <w:lang w:val="en-US" w:eastAsia="zh-CN" w:bidi="ar"/>
              </w:rPr>
              <w:t>5</w:t>
            </w:r>
            <w:r>
              <w:rPr>
                <w:b/>
                <w:bCs/>
                <w:kern w:val="0"/>
                <w:szCs w:val="21"/>
                <w:lang w:bidi="ar"/>
              </w:rPr>
              <w:t>-02</w:t>
            </w:r>
          </w:p>
        </w:tc>
        <w:tc>
          <w:tcPr>
            <w:tcW w:w="423" w:type="pct"/>
            <w:vMerge w:val="restart"/>
            <w:tcBorders>
              <w:tl2br w:val="nil"/>
              <w:tr2bl w:val="nil"/>
            </w:tcBorders>
            <w:vAlign w:val="center"/>
          </w:tcPr>
          <w:p w14:paraId="1E67B781">
            <w:pPr>
              <w:widowControl/>
              <w:jc w:val="center"/>
              <w:rPr>
                <w:rFonts w:eastAsia="仿宋_GB2312"/>
                <w:kern w:val="0"/>
                <w:szCs w:val="21"/>
              </w:rPr>
            </w:pPr>
            <w:r>
              <w:rPr>
                <w:rFonts w:hint="eastAsia" w:eastAsia="仿宋_GB2312"/>
                <w:kern w:val="0"/>
                <w:szCs w:val="21"/>
              </w:rPr>
              <w:t>2000</w:t>
            </w:r>
          </w:p>
        </w:tc>
        <w:tc>
          <w:tcPr>
            <w:tcW w:w="605" w:type="pct"/>
            <w:vMerge w:val="restart"/>
            <w:tcBorders>
              <w:tl2br w:val="nil"/>
              <w:tr2bl w:val="nil"/>
            </w:tcBorders>
            <w:vAlign w:val="center"/>
          </w:tcPr>
          <w:p w14:paraId="0BF78D62">
            <w:pPr>
              <w:widowControl/>
              <w:jc w:val="center"/>
              <w:rPr>
                <w:rFonts w:eastAsia="仿宋_GB2312"/>
                <w:kern w:val="0"/>
                <w:szCs w:val="21"/>
              </w:rPr>
            </w:pPr>
            <w:r>
              <w:rPr>
                <w:rFonts w:eastAsia="仿宋_GB2312"/>
                <w:kern w:val="0"/>
                <w:szCs w:val="21"/>
              </w:rPr>
              <w:t>本次新增</w:t>
            </w:r>
          </w:p>
        </w:tc>
      </w:tr>
      <w:tr w14:paraId="37A3F4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3" w:type="pct"/>
            <w:vMerge w:val="continue"/>
            <w:tcBorders>
              <w:tl2br w:val="nil"/>
              <w:tr2bl w:val="nil"/>
            </w:tcBorders>
            <w:vAlign w:val="center"/>
          </w:tcPr>
          <w:p w14:paraId="60E65488">
            <w:pPr>
              <w:widowControl/>
              <w:jc w:val="center"/>
              <w:rPr>
                <w:rFonts w:eastAsia="仿宋_GB2312"/>
                <w:kern w:val="0"/>
                <w:szCs w:val="21"/>
              </w:rPr>
            </w:pPr>
          </w:p>
        </w:tc>
        <w:tc>
          <w:tcPr>
            <w:tcW w:w="372" w:type="pct"/>
            <w:vMerge w:val="continue"/>
            <w:tcBorders>
              <w:tl2br w:val="nil"/>
              <w:tr2bl w:val="nil"/>
            </w:tcBorders>
            <w:vAlign w:val="center"/>
          </w:tcPr>
          <w:p w14:paraId="7F45BF77">
            <w:pPr>
              <w:widowControl/>
              <w:jc w:val="center"/>
              <w:rPr>
                <w:rFonts w:eastAsia="仿宋_GB2312"/>
                <w:kern w:val="0"/>
                <w:szCs w:val="21"/>
              </w:rPr>
            </w:pPr>
          </w:p>
        </w:tc>
        <w:tc>
          <w:tcPr>
            <w:tcW w:w="394" w:type="pct"/>
            <w:vMerge w:val="continue"/>
            <w:tcBorders>
              <w:tl2br w:val="nil"/>
              <w:tr2bl w:val="nil"/>
            </w:tcBorders>
            <w:vAlign w:val="center"/>
          </w:tcPr>
          <w:p w14:paraId="31CF452C">
            <w:pPr>
              <w:widowControl/>
              <w:jc w:val="center"/>
              <w:rPr>
                <w:rFonts w:eastAsia="仿宋_GB2312"/>
                <w:kern w:val="0"/>
                <w:szCs w:val="21"/>
              </w:rPr>
            </w:pPr>
          </w:p>
        </w:tc>
        <w:tc>
          <w:tcPr>
            <w:tcW w:w="1042" w:type="pct"/>
            <w:vMerge w:val="continue"/>
            <w:tcBorders>
              <w:tl2br w:val="nil"/>
              <w:tr2bl w:val="nil"/>
            </w:tcBorders>
            <w:vAlign w:val="center"/>
          </w:tcPr>
          <w:p w14:paraId="779D7615">
            <w:pPr>
              <w:widowControl/>
              <w:jc w:val="center"/>
              <w:rPr>
                <w:rFonts w:eastAsia="仿宋_GB2312"/>
                <w:kern w:val="0"/>
                <w:szCs w:val="21"/>
              </w:rPr>
            </w:pPr>
          </w:p>
        </w:tc>
        <w:tc>
          <w:tcPr>
            <w:tcW w:w="465" w:type="pct"/>
            <w:vMerge w:val="continue"/>
            <w:tcBorders>
              <w:tl2br w:val="nil"/>
              <w:tr2bl w:val="nil"/>
            </w:tcBorders>
            <w:vAlign w:val="center"/>
          </w:tcPr>
          <w:p w14:paraId="6EC8004F">
            <w:pPr>
              <w:widowControl/>
              <w:jc w:val="center"/>
              <w:rPr>
                <w:rFonts w:eastAsia="仿宋_GB2312"/>
                <w:kern w:val="0"/>
                <w:szCs w:val="21"/>
              </w:rPr>
            </w:pPr>
          </w:p>
        </w:tc>
        <w:tc>
          <w:tcPr>
            <w:tcW w:w="384" w:type="pct"/>
            <w:tcBorders>
              <w:tl2br w:val="nil"/>
              <w:tr2bl w:val="nil"/>
            </w:tcBorders>
            <w:shd w:val="clear" w:color="auto" w:fill="auto"/>
            <w:vAlign w:val="center"/>
          </w:tcPr>
          <w:p w14:paraId="09C0BA22">
            <w:pPr>
              <w:widowControl/>
              <w:jc w:val="center"/>
              <w:textAlignment w:val="center"/>
              <w:rPr>
                <w:rFonts w:eastAsia="仿宋_GB2312"/>
                <w:kern w:val="0"/>
                <w:szCs w:val="21"/>
              </w:rPr>
            </w:pPr>
            <w:r>
              <w:rPr>
                <w:b/>
                <w:bCs/>
                <w:kern w:val="0"/>
                <w:szCs w:val="21"/>
                <w:lang w:bidi="ar"/>
              </w:rPr>
              <w:t>HW04</w:t>
            </w:r>
          </w:p>
        </w:tc>
        <w:tc>
          <w:tcPr>
            <w:tcW w:w="1059" w:type="pct"/>
            <w:tcBorders>
              <w:tl2br w:val="nil"/>
              <w:tr2bl w:val="nil"/>
            </w:tcBorders>
            <w:shd w:val="clear" w:color="auto" w:fill="auto"/>
            <w:vAlign w:val="center"/>
          </w:tcPr>
          <w:p w14:paraId="41B15F53">
            <w:pPr>
              <w:widowControl/>
              <w:jc w:val="center"/>
              <w:textAlignment w:val="center"/>
              <w:rPr>
                <w:kern w:val="0"/>
                <w:szCs w:val="21"/>
                <w:lang w:bidi="ar"/>
              </w:rPr>
            </w:pPr>
            <w:r>
              <w:rPr>
                <w:b/>
                <w:bCs/>
                <w:kern w:val="0"/>
                <w:szCs w:val="21"/>
                <w:lang w:bidi="ar"/>
              </w:rPr>
              <w:t>263-008-04</w:t>
            </w:r>
          </w:p>
        </w:tc>
        <w:tc>
          <w:tcPr>
            <w:tcW w:w="423" w:type="pct"/>
            <w:vMerge w:val="continue"/>
            <w:tcBorders>
              <w:tl2br w:val="nil"/>
              <w:tr2bl w:val="nil"/>
            </w:tcBorders>
            <w:vAlign w:val="center"/>
          </w:tcPr>
          <w:p w14:paraId="4CA2DD1A">
            <w:pPr>
              <w:widowControl/>
              <w:jc w:val="center"/>
              <w:rPr>
                <w:rFonts w:eastAsia="仿宋_GB2312"/>
                <w:kern w:val="0"/>
                <w:szCs w:val="21"/>
              </w:rPr>
            </w:pPr>
          </w:p>
        </w:tc>
        <w:tc>
          <w:tcPr>
            <w:tcW w:w="605" w:type="pct"/>
            <w:vMerge w:val="continue"/>
            <w:tcBorders>
              <w:tl2br w:val="nil"/>
              <w:tr2bl w:val="nil"/>
            </w:tcBorders>
            <w:vAlign w:val="center"/>
          </w:tcPr>
          <w:p w14:paraId="1F090224">
            <w:pPr>
              <w:widowControl/>
              <w:jc w:val="center"/>
              <w:rPr>
                <w:rFonts w:eastAsia="仿宋_GB2312"/>
                <w:kern w:val="0"/>
                <w:szCs w:val="21"/>
              </w:rPr>
            </w:pPr>
          </w:p>
        </w:tc>
      </w:tr>
      <w:tr w14:paraId="1EF49E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3" w:type="pct"/>
            <w:vMerge w:val="continue"/>
            <w:tcBorders>
              <w:tl2br w:val="nil"/>
              <w:tr2bl w:val="nil"/>
            </w:tcBorders>
            <w:vAlign w:val="center"/>
          </w:tcPr>
          <w:p w14:paraId="27F30828">
            <w:pPr>
              <w:widowControl/>
              <w:jc w:val="center"/>
              <w:rPr>
                <w:rFonts w:eastAsia="仿宋_GB2312"/>
                <w:kern w:val="0"/>
                <w:szCs w:val="21"/>
              </w:rPr>
            </w:pPr>
          </w:p>
        </w:tc>
        <w:tc>
          <w:tcPr>
            <w:tcW w:w="372" w:type="pct"/>
            <w:vMerge w:val="continue"/>
            <w:tcBorders>
              <w:tl2br w:val="nil"/>
              <w:tr2bl w:val="nil"/>
            </w:tcBorders>
            <w:vAlign w:val="center"/>
          </w:tcPr>
          <w:p w14:paraId="318CBC66">
            <w:pPr>
              <w:widowControl/>
              <w:jc w:val="center"/>
              <w:rPr>
                <w:rFonts w:eastAsia="仿宋_GB2312"/>
                <w:kern w:val="0"/>
                <w:szCs w:val="21"/>
              </w:rPr>
            </w:pPr>
          </w:p>
        </w:tc>
        <w:tc>
          <w:tcPr>
            <w:tcW w:w="394" w:type="pct"/>
            <w:vMerge w:val="continue"/>
            <w:tcBorders>
              <w:tl2br w:val="nil"/>
              <w:tr2bl w:val="nil"/>
            </w:tcBorders>
            <w:vAlign w:val="center"/>
          </w:tcPr>
          <w:p w14:paraId="7F247509">
            <w:pPr>
              <w:widowControl/>
              <w:jc w:val="center"/>
              <w:rPr>
                <w:rFonts w:eastAsia="仿宋_GB2312"/>
                <w:kern w:val="0"/>
                <w:szCs w:val="21"/>
              </w:rPr>
            </w:pPr>
          </w:p>
        </w:tc>
        <w:tc>
          <w:tcPr>
            <w:tcW w:w="1042" w:type="pct"/>
            <w:vMerge w:val="continue"/>
            <w:tcBorders>
              <w:tl2br w:val="nil"/>
              <w:tr2bl w:val="nil"/>
            </w:tcBorders>
            <w:vAlign w:val="center"/>
          </w:tcPr>
          <w:p w14:paraId="34AACE42">
            <w:pPr>
              <w:widowControl/>
              <w:jc w:val="center"/>
              <w:rPr>
                <w:rFonts w:eastAsia="仿宋_GB2312"/>
                <w:kern w:val="0"/>
                <w:szCs w:val="21"/>
              </w:rPr>
            </w:pPr>
          </w:p>
        </w:tc>
        <w:tc>
          <w:tcPr>
            <w:tcW w:w="465" w:type="pct"/>
            <w:vMerge w:val="continue"/>
            <w:tcBorders>
              <w:tl2br w:val="nil"/>
              <w:tr2bl w:val="nil"/>
            </w:tcBorders>
            <w:vAlign w:val="center"/>
          </w:tcPr>
          <w:p w14:paraId="17B79AB6">
            <w:pPr>
              <w:widowControl/>
              <w:jc w:val="center"/>
              <w:rPr>
                <w:rFonts w:eastAsia="仿宋_GB2312"/>
                <w:kern w:val="0"/>
                <w:szCs w:val="21"/>
              </w:rPr>
            </w:pPr>
          </w:p>
        </w:tc>
        <w:tc>
          <w:tcPr>
            <w:tcW w:w="384" w:type="pct"/>
            <w:tcBorders>
              <w:tl2br w:val="nil"/>
              <w:tr2bl w:val="nil"/>
            </w:tcBorders>
            <w:shd w:val="clear" w:color="auto" w:fill="auto"/>
            <w:vAlign w:val="center"/>
          </w:tcPr>
          <w:p w14:paraId="79B6FEB2">
            <w:pPr>
              <w:widowControl/>
              <w:jc w:val="center"/>
              <w:textAlignment w:val="center"/>
              <w:rPr>
                <w:rFonts w:eastAsia="仿宋_GB2312"/>
                <w:kern w:val="0"/>
                <w:szCs w:val="21"/>
              </w:rPr>
            </w:pPr>
            <w:r>
              <w:rPr>
                <w:b/>
                <w:bCs/>
                <w:kern w:val="0"/>
                <w:szCs w:val="21"/>
                <w:lang w:bidi="ar"/>
              </w:rPr>
              <w:t>HW06</w:t>
            </w:r>
          </w:p>
        </w:tc>
        <w:tc>
          <w:tcPr>
            <w:tcW w:w="1059" w:type="pct"/>
            <w:tcBorders>
              <w:tl2br w:val="nil"/>
              <w:tr2bl w:val="nil"/>
            </w:tcBorders>
            <w:shd w:val="clear" w:color="auto" w:fill="auto"/>
            <w:vAlign w:val="center"/>
          </w:tcPr>
          <w:p w14:paraId="7C55F6E9">
            <w:pPr>
              <w:widowControl/>
              <w:jc w:val="center"/>
              <w:textAlignment w:val="center"/>
              <w:rPr>
                <w:kern w:val="0"/>
                <w:szCs w:val="21"/>
                <w:lang w:bidi="ar"/>
              </w:rPr>
            </w:pPr>
            <w:r>
              <w:rPr>
                <w:b/>
                <w:bCs/>
                <w:kern w:val="0"/>
                <w:szCs w:val="21"/>
                <w:lang w:bidi="ar"/>
              </w:rPr>
              <w:t>900-402-06</w:t>
            </w:r>
            <w:r>
              <w:rPr>
                <w:rFonts w:ascii="仿宋_GB2312" w:eastAsia="仿宋_GB2312" w:cs="仿宋_GB2312"/>
                <w:b/>
                <w:bCs/>
                <w:kern w:val="0"/>
                <w:szCs w:val="21"/>
                <w:lang w:bidi="ar"/>
              </w:rPr>
              <w:t>，</w:t>
            </w:r>
            <w:r>
              <w:rPr>
                <w:b/>
                <w:bCs/>
                <w:kern w:val="0"/>
                <w:szCs w:val="21"/>
                <w:lang w:bidi="ar"/>
              </w:rPr>
              <w:t>900-404-06</w:t>
            </w:r>
            <w:r>
              <w:rPr>
                <w:rFonts w:ascii="仿宋_GB2312" w:eastAsia="仿宋_GB2312" w:cs="仿宋_GB2312"/>
                <w:b/>
                <w:bCs/>
                <w:kern w:val="0"/>
                <w:szCs w:val="21"/>
                <w:lang w:bidi="ar"/>
              </w:rPr>
              <w:t>，</w:t>
            </w:r>
            <w:r>
              <w:rPr>
                <w:b/>
                <w:bCs/>
                <w:kern w:val="0"/>
                <w:szCs w:val="21"/>
                <w:lang w:bidi="ar"/>
              </w:rPr>
              <w:t>900-407-06</w:t>
            </w:r>
          </w:p>
        </w:tc>
        <w:tc>
          <w:tcPr>
            <w:tcW w:w="423" w:type="pct"/>
            <w:vMerge w:val="continue"/>
            <w:tcBorders>
              <w:tl2br w:val="nil"/>
              <w:tr2bl w:val="nil"/>
            </w:tcBorders>
            <w:vAlign w:val="center"/>
          </w:tcPr>
          <w:p w14:paraId="08EE396A">
            <w:pPr>
              <w:widowControl/>
              <w:jc w:val="center"/>
              <w:rPr>
                <w:rFonts w:eastAsia="仿宋_GB2312"/>
                <w:kern w:val="0"/>
                <w:szCs w:val="21"/>
              </w:rPr>
            </w:pPr>
          </w:p>
        </w:tc>
        <w:tc>
          <w:tcPr>
            <w:tcW w:w="605" w:type="pct"/>
            <w:vMerge w:val="continue"/>
            <w:tcBorders>
              <w:tl2br w:val="nil"/>
              <w:tr2bl w:val="nil"/>
            </w:tcBorders>
            <w:vAlign w:val="center"/>
          </w:tcPr>
          <w:p w14:paraId="361D5939">
            <w:pPr>
              <w:widowControl/>
              <w:jc w:val="center"/>
              <w:rPr>
                <w:rFonts w:eastAsia="仿宋_GB2312"/>
                <w:kern w:val="0"/>
                <w:szCs w:val="21"/>
              </w:rPr>
            </w:pPr>
          </w:p>
        </w:tc>
      </w:tr>
      <w:tr w14:paraId="19E2FE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3" w:type="pct"/>
            <w:vMerge w:val="restart"/>
            <w:tcBorders>
              <w:tl2br w:val="nil"/>
              <w:tr2bl w:val="nil"/>
            </w:tcBorders>
            <w:vAlign w:val="center"/>
          </w:tcPr>
          <w:p w14:paraId="29770FF6">
            <w:pPr>
              <w:widowControl/>
              <w:jc w:val="center"/>
              <w:rPr>
                <w:rFonts w:eastAsia="仿宋_GB2312"/>
                <w:kern w:val="0"/>
                <w:szCs w:val="21"/>
              </w:rPr>
            </w:pPr>
            <w:r>
              <w:rPr>
                <w:rFonts w:hint="eastAsia" w:eastAsia="仿宋_GB2312"/>
                <w:kern w:val="0"/>
                <w:szCs w:val="21"/>
              </w:rPr>
              <w:t>32</w:t>
            </w:r>
          </w:p>
        </w:tc>
        <w:tc>
          <w:tcPr>
            <w:tcW w:w="372" w:type="pct"/>
            <w:vMerge w:val="restart"/>
            <w:tcBorders>
              <w:tl2br w:val="nil"/>
              <w:tr2bl w:val="nil"/>
            </w:tcBorders>
            <w:vAlign w:val="center"/>
          </w:tcPr>
          <w:p w14:paraId="57AC190C">
            <w:pPr>
              <w:widowControl/>
              <w:jc w:val="center"/>
              <w:rPr>
                <w:rFonts w:eastAsia="仿宋_GB2312"/>
                <w:kern w:val="0"/>
                <w:szCs w:val="21"/>
              </w:rPr>
            </w:pPr>
            <w:r>
              <w:rPr>
                <w:rFonts w:hint="eastAsia" w:eastAsia="仿宋_GB2312"/>
                <w:kern w:val="0"/>
                <w:szCs w:val="21"/>
              </w:rPr>
              <w:t>丙二醇甲醚醋酸酯废液</w:t>
            </w:r>
          </w:p>
        </w:tc>
        <w:tc>
          <w:tcPr>
            <w:tcW w:w="394" w:type="pct"/>
            <w:vMerge w:val="restart"/>
            <w:tcBorders>
              <w:tl2br w:val="nil"/>
              <w:tr2bl w:val="nil"/>
            </w:tcBorders>
            <w:vAlign w:val="center"/>
          </w:tcPr>
          <w:p w14:paraId="0049C28C">
            <w:pPr>
              <w:widowControl/>
              <w:jc w:val="center"/>
              <w:rPr>
                <w:rFonts w:eastAsia="仿宋_GB2312"/>
                <w:kern w:val="0"/>
                <w:szCs w:val="21"/>
              </w:rPr>
            </w:pPr>
            <w:r>
              <w:rPr>
                <w:rFonts w:hint="eastAsia" w:eastAsia="仿宋_GB2312"/>
                <w:kern w:val="0"/>
                <w:szCs w:val="21"/>
              </w:rPr>
              <w:t>/</w:t>
            </w:r>
          </w:p>
        </w:tc>
        <w:tc>
          <w:tcPr>
            <w:tcW w:w="1042" w:type="pct"/>
            <w:vMerge w:val="restart"/>
            <w:tcBorders>
              <w:tl2br w:val="nil"/>
              <w:tr2bl w:val="nil"/>
            </w:tcBorders>
            <w:vAlign w:val="center"/>
          </w:tcPr>
          <w:p w14:paraId="28B91887">
            <w:pPr>
              <w:widowControl/>
              <w:jc w:val="center"/>
              <w:rPr>
                <w:rFonts w:eastAsia="仿宋_GB2312"/>
                <w:kern w:val="0"/>
                <w:szCs w:val="21"/>
              </w:rPr>
            </w:pPr>
            <w:r>
              <w:rPr>
                <w:rFonts w:hint="eastAsia" w:eastAsia="仿宋_GB2312"/>
                <w:kern w:val="0"/>
                <w:szCs w:val="21"/>
              </w:rPr>
              <w:t>/</w:t>
            </w:r>
          </w:p>
        </w:tc>
        <w:tc>
          <w:tcPr>
            <w:tcW w:w="465" w:type="pct"/>
            <w:vMerge w:val="restart"/>
            <w:tcBorders>
              <w:tl2br w:val="nil"/>
              <w:tr2bl w:val="nil"/>
            </w:tcBorders>
            <w:vAlign w:val="center"/>
          </w:tcPr>
          <w:p w14:paraId="5FEEB834">
            <w:pPr>
              <w:widowControl/>
              <w:jc w:val="center"/>
              <w:rPr>
                <w:rFonts w:eastAsia="仿宋_GB2312"/>
                <w:kern w:val="0"/>
                <w:szCs w:val="21"/>
              </w:rPr>
            </w:pPr>
            <w:r>
              <w:rPr>
                <w:rFonts w:hint="eastAsia" w:eastAsia="仿宋_GB2312"/>
                <w:kern w:val="0"/>
                <w:szCs w:val="21"/>
              </w:rPr>
              <w:t>0</w:t>
            </w:r>
          </w:p>
        </w:tc>
        <w:tc>
          <w:tcPr>
            <w:tcW w:w="384" w:type="pct"/>
            <w:tcBorders>
              <w:tl2br w:val="nil"/>
              <w:tr2bl w:val="nil"/>
            </w:tcBorders>
            <w:shd w:val="clear" w:color="auto" w:fill="auto"/>
            <w:vAlign w:val="center"/>
          </w:tcPr>
          <w:p w14:paraId="641D7DDA">
            <w:pPr>
              <w:widowControl/>
              <w:jc w:val="center"/>
              <w:textAlignment w:val="center"/>
              <w:rPr>
                <w:rFonts w:eastAsia="仿宋_GB2312"/>
                <w:kern w:val="0"/>
                <w:szCs w:val="21"/>
              </w:rPr>
            </w:pPr>
            <w:r>
              <w:rPr>
                <w:b/>
                <w:bCs/>
                <w:kern w:val="0"/>
                <w:szCs w:val="21"/>
                <w:lang w:bidi="ar"/>
              </w:rPr>
              <w:t>HW02</w:t>
            </w:r>
          </w:p>
        </w:tc>
        <w:tc>
          <w:tcPr>
            <w:tcW w:w="1059" w:type="pct"/>
            <w:tcBorders>
              <w:tl2br w:val="nil"/>
              <w:tr2bl w:val="nil"/>
            </w:tcBorders>
            <w:shd w:val="clear" w:color="auto" w:fill="auto"/>
            <w:vAlign w:val="center"/>
          </w:tcPr>
          <w:p w14:paraId="5A7201AA">
            <w:pPr>
              <w:widowControl/>
              <w:jc w:val="center"/>
              <w:textAlignment w:val="center"/>
              <w:rPr>
                <w:kern w:val="0"/>
                <w:szCs w:val="21"/>
                <w:lang w:bidi="ar"/>
              </w:rPr>
            </w:pPr>
            <w:r>
              <w:rPr>
                <w:b/>
                <w:bCs/>
                <w:kern w:val="0"/>
                <w:szCs w:val="21"/>
                <w:lang w:bidi="ar"/>
              </w:rPr>
              <w:t>271-001-02</w:t>
            </w:r>
            <w:r>
              <w:rPr>
                <w:rFonts w:ascii="仿宋_GB2312" w:eastAsia="仿宋_GB2312" w:cs="仿宋_GB2312"/>
                <w:b/>
                <w:bCs/>
                <w:kern w:val="0"/>
                <w:szCs w:val="21"/>
                <w:lang w:bidi="ar"/>
              </w:rPr>
              <w:t>，</w:t>
            </w:r>
            <w:r>
              <w:rPr>
                <w:b/>
                <w:bCs/>
                <w:kern w:val="0"/>
                <w:szCs w:val="21"/>
                <w:lang w:bidi="ar"/>
              </w:rPr>
              <w:t>271-002-02</w:t>
            </w:r>
            <w:r>
              <w:rPr>
                <w:rFonts w:ascii="仿宋_GB2312" w:eastAsia="仿宋_GB2312" w:cs="仿宋_GB2312"/>
                <w:b/>
                <w:bCs/>
                <w:kern w:val="0"/>
                <w:szCs w:val="21"/>
                <w:lang w:bidi="ar"/>
              </w:rPr>
              <w:t>，</w:t>
            </w:r>
            <w:r>
              <w:rPr>
                <w:b/>
                <w:bCs/>
                <w:kern w:val="0"/>
                <w:szCs w:val="21"/>
                <w:lang w:bidi="ar"/>
              </w:rPr>
              <w:t>272-001-02</w:t>
            </w:r>
            <w:r>
              <w:rPr>
                <w:rFonts w:ascii="仿宋_GB2312" w:eastAsia="仿宋_GB2312" w:cs="仿宋_GB2312"/>
                <w:b/>
                <w:bCs/>
                <w:kern w:val="0"/>
                <w:szCs w:val="21"/>
                <w:lang w:bidi="ar"/>
              </w:rPr>
              <w:t>，</w:t>
            </w:r>
            <w:r>
              <w:rPr>
                <w:b/>
                <w:bCs/>
                <w:kern w:val="0"/>
                <w:szCs w:val="21"/>
                <w:lang w:bidi="ar"/>
              </w:rPr>
              <w:t>272-00</w:t>
            </w:r>
            <w:r>
              <w:rPr>
                <w:rFonts w:hint="eastAsia"/>
                <w:b/>
                <w:bCs/>
                <w:kern w:val="0"/>
                <w:szCs w:val="21"/>
                <w:lang w:val="en-US" w:eastAsia="zh-CN" w:bidi="ar"/>
              </w:rPr>
              <w:t>5</w:t>
            </w:r>
            <w:r>
              <w:rPr>
                <w:b/>
                <w:bCs/>
                <w:kern w:val="0"/>
                <w:szCs w:val="21"/>
                <w:lang w:bidi="ar"/>
              </w:rPr>
              <w:t>-02</w:t>
            </w:r>
            <w:r>
              <w:rPr>
                <w:rFonts w:ascii="仿宋_GB2312" w:eastAsia="仿宋_GB2312" w:cs="仿宋_GB2312"/>
                <w:b/>
                <w:bCs/>
                <w:kern w:val="0"/>
                <w:szCs w:val="21"/>
                <w:lang w:bidi="ar"/>
              </w:rPr>
              <w:t>，</w:t>
            </w:r>
            <w:r>
              <w:rPr>
                <w:b/>
                <w:bCs/>
                <w:kern w:val="0"/>
                <w:szCs w:val="21"/>
                <w:lang w:bidi="ar"/>
              </w:rPr>
              <w:t>275-004-02</w:t>
            </w:r>
            <w:r>
              <w:rPr>
                <w:rFonts w:ascii="仿宋_GB2312" w:eastAsia="仿宋_GB2312" w:cs="仿宋_GB2312"/>
                <w:b/>
                <w:bCs/>
                <w:kern w:val="0"/>
                <w:szCs w:val="21"/>
                <w:lang w:bidi="ar"/>
              </w:rPr>
              <w:t>，</w:t>
            </w:r>
            <w:r>
              <w:rPr>
                <w:b/>
                <w:bCs/>
                <w:kern w:val="0"/>
                <w:szCs w:val="21"/>
                <w:lang w:bidi="ar"/>
              </w:rPr>
              <w:t>275-00</w:t>
            </w:r>
            <w:r>
              <w:rPr>
                <w:rFonts w:hint="eastAsia"/>
                <w:b/>
                <w:bCs/>
                <w:kern w:val="0"/>
                <w:szCs w:val="21"/>
                <w:lang w:val="en-US" w:eastAsia="zh-CN" w:bidi="ar"/>
              </w:rPr>
              <w:t>6</w:t>
            </w:r>
            <w:r>
              <w:rPr>
                <w:b/>
                <w:bCs/>
                <w:kern w:val="0"/>
                <w:szCs w:val="21"/>
                <w:lang w:bidi="ar"/>
              </w:rPr>
              <w:t>-02</w:t>
            </w:r>
            <w:r>
              <w:rPr>
                <w:rFonts w:ascii="仿宋_GB2312" w:eastAsia="仿宋_GB2312" w:cs="仿宋_GB2312"/>
                <w:b/>
                <w:bCs/>
                <w:kern w:val="0"/>
                <w:szCs w:val="21"/>
                <w:lang w:bidi="ar"/>
              </w:rPr>
              <w:t>，</w:t>
            </w:r>
            <w:r>
              <w:rPr>
                <w:b/>
                <w:bCs/>
                <w:kern w:val="0"/>
                <w:szCs w:val="21"/>
                <w:lang w:bidi="ar"/>
              </w:rPr>
              <w:t>276-001-02</w:t>
            </w:r>
            <w:r>
              <w:rPr>
                <w:rFonts w:ascii="仿宋_GB2312" w:eastAsia="仿宋_GB2312" w:cs="仿宋_GB2312"/>
                <w:b/>
                <w:bCs/>
                <w:kern w:val="0"/>
                <w:szCs w:val="21"/>
                <w:lang w:bidi="ar"/>
              </w:rPr>
              <w:t>，</w:t>
            </w:r>
            <w:r>
              <w:rPr>
                <w:b/>
                <w:bCs/>
                <w:kern w:val="0"/>
                <w:szCs w:val="21"/>
                <w:lang w:bidi="ar"/>
              </w:rPr>
              <w:t>276-002-02</w:t>
            </w:r>
            <w:r>
              <w:rPr>
                <w:rFonts w:ascii="仿宋_GB2312" w:eastAsia="仿宋_GB2312" w:cs="仿宋_GB2312"/>
                <w:b/>
                <w:bCs/>
                <w:kern w:val="0"/>
                <w:szCs w:val="21"/>
                <w:lang w:bidi="ar"/>
              </w:rPr>
              <w:t>，</w:t>
            </w:r>
            <w:r>
              <w:rPr>
                <w:b/>
                <w:bCs/>
                <w:kern w:val="0"/>
                <w:szCs w:val="21"/>
                <w:lang w:bidi="ar"/>
              </w:rPr>
              <w:t>276-00</w:t>
            </w:r>
            <w:r>
              <w:rPr>
                <w:rFonts w:hint="eastAsia"/>
                <w:b/>
                <w:bCs/>
                <w:kern w:val="0"/>
                <w:szCs w:val="21"/>
                <w:lang w:val="en-US" w:eastAsia="zh-CN" w:bidi="ar"/>
              </w:rPr>
              <w:t>5</w:t>
            </w:r>
            <w:r>
              <w:rPr>
                <w:b/>
                <w:bCs/>
                <w:kern w:val="0"/>
                <w:szCs w:val="21"/>
                <w:lang w:bidi="ar"/>
              </w:rPr>
              <w:t>-02</w:t>
            </w:r>
          </w:p>
        </w:tc>
        <w:tc>
          <w:tcPr>
            <w:tcW w:w="423" w:type="pct"/>
            <w:vMerge w:val="restart"/>
            <w:tcBorders>
              <w:tl2br w:val="nil"/>
              <w:tr2bl w:val="nil"/>
            </w:tcBorders>
            <w:vAlign w:val="center"/>
          </w:tcPr>
          <w:p w14:paraId="62B6BF0E">
            <w:pPr>
              <w:widowControl/>
              <w:jc w:val="center"/>
              <w:rPr>
                <w:rFonts w:eastAsia="仿宋_GB2312"/>
                <w:kern w:val="0"/>
                <w:szCs w:val="21"/>
              </w:rPr>
            </w:pPr>
            <w:r>
              <w:rPr>
                <w:rFonts w:hint="eastAsia" w:eastAsia="仿宋_GB2312"/>
                <w:kern w:val="0"/>
                <w:szCs w:val="21"/>
              </w:rPr>
              <w:t>2000</w:t>
            </w:r>
          </w:p>
        </w:tc>
        <w:tc>
          <w:tcPr>
            <w:tcW w:w="605" w:type="pct"/>
            <w:vMerge w:val="restart"/>
            <w:tcBorders>
              <w:tl2br w:val="nil"/>
              <w:tr2bl w:val="nil"/>
            </w:tcBorders>
            <w:vAlign w:val="center"/>
          </w:tcPr>
          <w:p w14:paraId="17CC764C">
            <w:pPr>
              <w:widowControl/>
              <w:jc w:val="center"/>
              <w:rPr>
                <w:rFonts w:eastAsia="仿宋_GB2312"/>
                <w:kern w:val="0"/>
                <w:szCs w:val="21"/>
              </w:rPr>
            </w:pPr>
            <w:r>
              <w:rPr>
                <w:rFonts w:eastAsia="仿宋_GB2312"/>
                <w:kern w:val="0"/>
                <w:szCs w:val="21"/>
              </w:rPr>
              <w:t>本次新增</w:t>
            </w:r>
          </w:p>
        </w:tc>
      </w:tr>
      <w:tr w14:paraId="32C90A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3" w:type="pct"/>
            <w:vMerge w:val="continue"/>
            <w:tcBorders>
              <w:tl2br w:val="nil"/>
              <w:tr2bl w:val="nil"/>
            </w:tcBorders>
            <w:vAlign w:val="center"/>
          </w:tcPr>
          <w:p w14:paraId="3459ADB9">
            <w:pPr>
              <w:widowControl/>
              <w:jc w:val="center"/>
              <w:rPr>
                <w:rFonts w:eastAsia="仿宋_GB2312"/>
                <w:kern w:val="0"/>
                <w:szCs w:val="21"/>
              </w:rPr>
            </w:pPr>
          </w:p>
        </w:tc>
        <w:tc>
          <w:tcPr>
            <w:tcW w:w="372" w:type="pct"/>
            <w:vMerge w:val="continue"/>
            <w:tcBorders>
              <w:tl2br w:val="nil"/>
              <w:tr2bl w:val="nil"/>
            </w:tcBorders>
            <w:vAlign w:val="center"/>
          </w:tcPr>
          <w:p w14:paraId="6F6A68D2">
            <w:pPr>
              <w:widowControl/>
              <w:jc w:val="center"/>
              <w:rPr>
                <w:rFonts w:eastAsia="仿宋_GB2312"/>
                <w:kern w:val="0"/>
                <w:szCs w:val="21"/>
              </w:rPr>
            </w:pPr>
          </w:p>
        </w:tc>
        <w:tc>
          <w:tcPr>
            <w:tcW w:w="394" w:type="pct"/>
            <w:vMerge w:val="continue"/>
            <w:tcBorders>
              <w:tl2br w:val="nil"/>
              <w:tr2bl w:val="nil"/>
            </w:tcBorders>
            <w:vAlign w:val="center"/>
          </w:tcPr>
          <w:p w14:paraId="60443F97">
            <w:pPr>
              <w:widowControl/>
              <w:jc w:val="center"/>
              <w:rPr>
                <w:rFonts w:eastAsia="仿宋_GB2312"/>
                <w:kern w:val="0"/>
                <w:szCs w:val="21"/>
              </w:rPr>
            </w:pPr>
          </w:p>
        </w:tc>
        <w:tc>
          <w:tcPr>
            <w:tcW w:w="1042" w:type="pct"/>
            <w:vMerge w:val="continue"/>
            <w:tcBorders>
              <w:tl2br w:val="nil"/>
              <w:tr2bl w:val="nil"/>
            </w:tcBorders>
            <w:vAlign w:val="center"/>
          </w:tcPr>
          <w:p w14:paraId="35487513">
            <w:pPr>
              <w:widowControl/>
              <w:jc w:val="center"/>
              <w:rPr>
                <w:rFonts w:eastAsia="仿宋_GB2312"/>
                <w:kern w:val="0"/>
                <w:szCs w:val="21"/>
              </w:rPr>
            </w:pPr>
          </w:p>
        </w:tc>
        <w:tc>
          <w:tcPr>
            <w:tcW w:w="465" w:type="pct"/>
            <w:vMerge w:val="continue"/>
            <w:tcBorders>
              <w:tl2br w:val="nil"/>
              <w:tr2bl w:val="nil"/>
            </w:tcBorders>
            <w:vAlign w:val="center"/>
          </w:tcPr>
          <w:p w14:paraId="37C01EFD">
            <w:pPr>
              <w:widowControl/>
              <w:jc w:val="center"/>
              <w:rPr>
                <w:rFonts w:eastAsia="仿宋_GB2312"/>
                <w:kern w:val="0"/>
                <w:szCs w:val="21"/>
              </w:rPr>
            </w:pPr>
          </w:p>
        </w:tc>
        <w:tc>
          <w:tcPr>
            <w:tcW w:w="384" w:type="pct"/>
            <w:tcBorders>
              <w:tl2br w:val="nil"/>
              <w:tr2bl w:val="nil"/>
            </w:tcBorders>
            <w:shd w:val="clear" w:color="auto" w:fill="auto"/>
            <w:vAlign w:val="center"/>
          </w:tcPr>
          <w:p w14:paraId="60719584">
            <w:pPr>
              <w:widowControl/>
              <w:jc w:val="center"/>
              <w:textAlignment w:val="center"/>
              <w:rPr>
                <w:rFonts w:eastAsia="仿宋_GB2312"/>
                <w:kern w:val="0"/>
                <w:szCs w:val="21"/>
              </w:rPr>
            </w:pPr>
            <w:r>
              <w:rPr>
                <w:b/>
                <w:bCs/>
                <w:kern w:val="0"/>
                <w:szCs w:val="21"/>
                <w:lang w:bidi="ar"/>
              </w:rPr>
              <w:t>HW04</w:t>
            </w:r>
          </w:p>
        </w:tc>
        <w:tc>
          <w:tcPr>
            <w:tcW w:w="1059" w:type="pct"/>
            <w:tcBorders>
              <w:tl2br w:val="nil"/>
              <w:tr2bl w:val="nil"/>
            </w:tcBorders>
            <w:shd w:val="clear" w:color="auto" w:fill="auto"/>
            <w:vAlign w:val="center"/>
          </w:tcPr>
          <w:p w14:paraId="0081DF58">
            <w:pPr>
              <w:widowControl/>
              <w:jc w:val="center"/>
              <w:textAlignment w:val="center"/>
              <w:rPr>
                <w:kern w:val="0"/>
                <w:szCs w:val="21"/>
                <w:lang w:bidi="ar"/>
              </w:rPr>
            </w:pPr>
            <w:r>
              <w:rPr>
                <w:b/>
                <w:bCs/>
                <w:kern w:val="0"/>
                <w:szCs w:val="21"/>
                <w:lang w:bidi="ar"/>
              </w:rPr>
              <w:t>263-008-04</w:t>
            </w:r>
          </w:p>
        </w:tc>
        <w:tc>
          <w:tcPr>
            <w:tcW w:w="423" w:type="pct"/>
            <w:vMerge w:val="continue"/>
            <w:tcBorders>
              <w:tl2br w:val="nil"/>
              <w:tr2bl w:val="nil"/>
            </w:tcBorders>
            <w:vAlign w:val="center"/>
          </w:tcPr>
          <w:p w14:paraId="1161E626">
            <w:pPr>
              <w:widowControl/>
              <w:jc w:val="center"/>
              <w:rPr>
                <w:rFonts w:eastAsia="仿宋_GB2312"/>
                <w:kern w:val="0"/>
                <w:szCs w:val="21"/>
              </w:rPr>
            </w:pPr>
          </w:p>
        </w:tc>
        <w:tc>
          <w:tcPr>
            <w:tcW w:w="605" w:type="pct"/>
            <w:vMerge w:val="continue"/>
            <w:tcBorders>
              <w:tl2br w:val="nil"/>
              <w:tr2bl w:val="nil"/>
            </w:tcBorders>
            <w:vAlign w:val="center"/>
          </w:tcPr>
          <w:p w14:paraId="73C6F59A">
            <w:pPr>
              <w:widowControl/>
              <w:jc w:val="center"/>
              <w:rPr>
                <w:rFonts w:eastAsia="仿宋_GB2312"/>
                <w:kern w:val="0"/>
                <w:szCs w:val="21"/>
              </w:rPr>
            </w:pPr>
          </w:p>
        </w:tc>
      </w:tr>
      <w:tr w14:paraId="1922BF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3" w:type="pct"/>
            <w:vMerge w:val="continue"/>
            <w:tcBorders>
              <w:tl2br w:val="nil"/>
              <w:tr2bl w:val="nil"/>
            </w:tcBorders>
            <w:vAlign w:val="center"/>
          </w:tcPr>
          <w:p w14:paraId="659DC746">
            <w:pPr>
              <w:widowControl/>
              <w:jc w:val="center"/>
              <w:rPr>
                <w:rFonts w:eastAsia="仿宋_GB2312"/>
                <w:kern w:val="0"/>
                <w:szCs w:val="21"/>
              </w:rPr>
            </w:pPr>
          </w:p>
        </w:tc>
        <w:tc>
          <w:tcPr>
            <w:tcW w:w="372" w:type="pct"/>
            <w:vMerge w:val="continue"/>
            <w:tcBorders>
              <w:tl2br w:val="nil"/>
              <w:tr2bl w:val="nil"/>
            </w:tcBorders>
            <w:vAlign w:val="center"/>
          </w:tcPr>
          <w:p w14:paraId="70F2C050">
            <w:pPr>
              <w:widowControl/>
              <w:jc w:val="center"/>
              <w:rPr>
                <w:rFonts w:eastAsia="仿宋_GB2312"/>
                <w:kern w:val="0"/>
                <w:szCs w:val="21"/>
              </w:rPr>
            </w:pPr>
          </w:p>
        </w:tc>
        <w:tc>
          <w:tcPr>
            <w:tcW w:w="394" w:type="pct"/>
            <w:vMerge w:val="continue"/>
            <w:tcBorders>
              <w:tl2br w:val="nil"/>
              <w:tr2bl w:val="nil"/>
            </w:tcBorders>
            <w:vAlign w:val="center"/>
          </w:tcPr>
          <w:p w14:paraId="2BC8AEE1">
            <w:pPr>
              <w:widowControl/>
              <w:jc w:val="center"/>
              <w:rPr>
                <w:rFonts w:eastAsia="仿宋_GB2312"/>
                <w:kern w:val="0"/>
                <w:szCs w:val="21"/>
              </w:rPr>
            </w:pPr>
          </w:p>
        </w:tc>
        <w:tc>
          <w:tcPr>
            <w:tcW w:w="1042" w:type="pct"/>
            <w:vMerge w:val="continue"/>
            <w:tcBorders>
              <w:tl2br w:val="nil"/>
              <w:tr2bl w:val="nil"/>
            </w:tcBorders>
            <w:vAlign w:val="center"/>
          </w:tcPr>
          <w:p w14:paraId="4CE9C448">
            <w:pPr>
              <w:widowControl/>
              <w:jc w:val="center"/>
              <w:rPr>
                <w:rFonts w:eastAsia="仿宋_GB2312"/>
                <w:kern w:val="0"/>
                <w:szCs w:val="21"/>
              </w:rPr>
            </w:pPr>
          </w:p>
        </w:tc>
        <w:tc>
          <w:tcPr>
            <w:tcW w:w="465" w:type="pct"/>
            <w:vMerge w:val="continue"/>
            <w:tcBorders>
              <w:tl2br w:val="nil"/>
              <w:tr2bl w:val="nil"/>
            </w:tcBorders>
            <w:vAlign w:val="center"/>
          </w:tcPr>
          <w:p w14:paraId="3F1BD021">
            <w:pPr>
              <w:widowControl/>
              <w:jc w:val="center"/>
              <w:rPr>
                <w:rFonts w:eastAsia="仿宋_GB2312"/>
                <w:kern w:val="0"/>
                <w:szCs w:val="21"/>
              </w:rPr>
            </w:pPr>
          </w:p>
        </w:tc>
        <w:tc>
          <w:tcPr>
            <w:tcW w:w="384" w:type="pct"/>
            <w:tcBorders>
              <w:tl2br w:val="nil"/>
              <w:tr2bl w:val="nil"/>
            </w:tcBorders>
            <w:shd w:val="clear" w:color="auto" w:fill="auto"/>
            <w:vAlign w:val="center"/>
          </w:tcPr>
          <w:p w14:paraId="290C50E4">
            <w:pPr>
              <w:widowControl/>
              <w:jc w:val="center"/>
              <w:textAlignment w:val="center"/>
              <w:rPr>
                <w:rFonts w:eastAsia="仿宋_GB2312"/>
                <w:kern w:val="0"/>
                <w:szCs w:val="21"/>
              </w:rPr>
            </w:pPr>
            <w:r>
              <w:rPr>
                <w:b/>
                <w:bCs/>
                <w:kern w:val="0"/>
                <w:szCs w:val="21"/>
                <w:lang w:bidi="ar"/>
              </w:rPr>
              <w:t>HW06</w:t>
            </w:r>
          </w:p>
        </w:tc>
        <w:tc>
          <w:tcPr>
            <w:tcW w:w="1059" w:type="pct"/>
            <w:tcBorders>
              <w:tl2br w:val="nil"/>
              <w:tr2bl w:val="nil"/>
            </w:tcBorders>
            <w:shd w:val="clear" w:color="auto" w:fill="auto"/>
            <w:vAlign w:val="center"/>
          </w:tcPr>
          <w:p w14:paraId="5887F891">
            <w:pPr>
              <w:widowControl/>
              <w:jc w:val="center"/>
              <w:textAlignment w:val="center"/>
              <w:rPr>
                <w:kern w:val="0"/>
                <w:szCs w:val="21"/>
                <w:lang w:bidi="ar"/>
              </w:rPr>
            </w:pPr>
            <w:r>
              <w:rPr>
                <w:b/>
                <w:bCs/>
                <w:kern w:val="0"/>
                <w:szCs w:val="21"/>
                <w:lang w:bidi="ar"/>
              </w:rPr>
              <w:t>900-402-06</w:t>
            </w:r>
            <w:r>
              <w:rPr>
                <w:rFonts w:ascii="仿宋_GB2312" w:eastAsia="仿宋_GB2312" w:cs="仿宋_GB2312"/>
                <w:b/>
                <w:bCs/>
                <w:kern w:val="0"/>
                <w:szCs w:val="21"/>
                <w:lang w:bidi="ar"/>
              </w:rPr>
              <w:t>，</w:t>
            </w:r>
            <w:r>
              <w:rPr>
                <w:b/>
                <w:bCs/>
                <w:kern w:val="0"/>
                <w:szCs w:val="21"/>
                <w:lang w:bidi="ar"/>
              </w:rPr>
              <w:t>900-404-06</w:t>
            </w:r>
            <w:r>
              <w:rPr>
                <w:rFonts w:ascii="仿宋_GB2312" w:eastAsia="仿宋_GB2312" w:cs="仿宋_GB2312"/>
                <w:b/>
                <w:bCs/>
                <w:kern w:val="0"/>
                <w:szCs w:val="21"/>
                <w:lang w:bidi="ar"/>
              </w:rPr>
              <w:t>，</w:t>
            </w:r>
            <w:r>
              <w:rPr>
                <w:b/>
                <w:bCs/>
                <w:kern w:val="0"/>
                <w:szCs w:val="21"/>
                <w:lang w:bidi="ar"/>
              </w:rPr>
              <w:t>900-407-06</w:t>
            </w:r>
          </w:p>
        </w:tc>
        <w:tc>
          <w:tcPr>
            <w:tcW w:w="423" w:type="pct"/>
            <w:vMerge w:val="continue"/>
            <w:tcBorders>
              <w:tl2br w:val="nil"/>
              <w:tr2bl w:val="nil"/>
            </w:tcBorders>
            <w:vAlign w:val="center"/>
          </w:tcPr>
          <w:p w14:paraId="7357C64A">
            <w:pPr>
              <w:widowControl/>
              <w:jc w:val="center"/>
              <w:rPr>
                <w:rFonts w:eastAsia="仿宋_GB2312"/>
                <w:kern w:val="0"/>
                <w:szCs w:val="21"/>
              </w:rPr>
            </w:pPr>
          </w:p>
        </w:tc>
        <w:tc>
          <w:tcPr>
            <w:tcW w:w="605" w:type="pct"/>
            <w:vMerge w:val="continue"/>
            <w:tcBorders>
              <w:tl2br w:val="nil"/>
              <w:tr2bl w:val="nil"/>
            </w:tcBorders>
            <w:vAlign w:val="center"/>
          </w:tcPr>
          <w:p w14:paraId="095EE924">
            <w:pPr>
              <w:widowControl/>
              <w:jc w:val="center"/>
              <w:rPr>
                <w:rFonts w:eastAsia="仿宋_GB2312"/>
                <w:kern w:val="0"/>
                <w:szCs w:val="21"/>
              </w:rPr>
            </w:pPr>
          </w:p>
        </w:tc>
      </w:tr>
      <w:tr w14:paraId="1A9FEE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062" w:type="pct"/>
            <w:gridSpan w:val="4"/>
            <w:tcBorders>
              <w:tl2br w:val="nil"/>
              <w:tr2bl w:val="nil"/>
            </w:tcBorders>
            <w:vAlign w:val="center"/>
          </w:tcPr>
          <w:p w14:paraId="65083FAB">
            <w:pPr>
              <w:widowControl/>
              <w:jc w:val="center"/>
              <w:rPr>
                <w:rFonts w:eastAsia="仿宋_GB2312"/>
                <w:b/>
                <w:bCs/>
                <w:kern w:val="0"/>
                <w:szCs w:val="21"/>
              </w:rPr>
            </w:pPr>
            <w:r>
              <w:rPr>
                <w:rFonts w:eastAsia="仿宋_GB2312"/>
                <w:b/>
                <w:bCs/>
                <w:kern w:val="0"/>
                <w:szCs w:val="21"/>
              </w:rPr>
              <w:t>合计</w:t>
            </w:r>
          </w:p>
        </w:tc>
        <w:tc>
          <w:tcPr>
            <w:tcW w:w="465" w:type="pct"/>
            <w:tcBorders>
              <w:tl2br w:val="nil"/>
              <w:tr2bl w:val="nil"/>
            </w:tcBorders>
            <w:vAlign w:val="center"/>
          </w:tcPr>
          <w:p w14:paraId="087F7D2F">
            <w:pPr>
              <w:widowControl/>
              <w:jc w:val="center"/>
              <w:rPr>
                <w:rFonts w:eastAsia="仿宋_GB2312"/>
                <w:b/>
                <w:bCs/>
                <w:kern w:val="0"/>
                <w:szCs w:val="21"/>
              </w:rPr>
            </w:pPr>
            <w:r>
              <w:rPr>
                <w:rFonts w:hint="eastAsia" w:eastAsia="仿宋_GB2312"/>
                <w:b/>
                <w:bCs/>
                <w:kern w:val="0"/>
                <w:szCs w:val="21"/>
              </w:rPr>
              <w:t>74620</w:t>
            </w:r>
          </w:p>
        </w:tc>
        <w:tc>
          <w:tcPr>
            <w:tcW w:w="1444" w:type="pct"/>
            <w:gridSpan w:val="2"/>
            <w:tcBorders>
              <w:tl2br w:val="nil"/>
              <w:tr2bl w:val="nil"/>
            </w:tcBorders>
            <w:vAlign w:val="center"/>
          </w:tcPr>
          <w:p w14:paraId="1DF2236E">
            <w:pPr>
              <w:widowControl/>
              <w:jc w:val="center"/>
              <w:rPr>
                <w:rFonts w:eastAsia="仿宋_GB2312"/>
                <w:b/>
                <w:bCs/>
                <w:kern w:val="0"/>
                <w:szCs w:val="21"/>
              </w:rPr>
            </w:pPr>
            <w:r>
              <w:rPr>
                <w:rFonts w:hint="eastAsia" w:eastAsia="仿宋_GB2312"/>
                <w:b/>
                <w:bCs/>
                <w:kern w:val="0"/>
                <w:szCs w:val="21"/>
              </w:rPr>
              <w:t>合计</w:t>
            </w:r>
          </w:p>
        </w:tc>
        <w:tc>
          <w:tcPr>
            <w:tcW w:w="423" w:type="pct"/>
            <w:tcBorders>
              <w:tl2br w:val="nil"/>
              <w:tr2bl w:val="nil"/>
            </w:tcBorders>
            <w:vAlign w:val="center"/>
          </w:tcPr>
          <w:p w14:paraId="6D460501">
            <w:pPr>
              <w:widowControl/>
              <w:jc w:val="center"/>
              <w:rPr>
                <w:rFonts w:eastAsia="仿宋_GB2312"/>
                <w:b/>
                <w:bCs/>
                <w:kern w:val="0"/>
                <w:szCs w:val="21"/>
              </w:rPr>
            </w:pPr>
            <w:r>
              <w:rPr>
                <w:rFonts w:hint="eastAsia" w:eastAsia="仿宋_GB2312"/>
                <w:b/>
                <w:bCs/>
                <w:kern w:val="0"/>
                <w:szCs w:val="21"/>
                <w:lang w:val="en-US" w:eastAsia="zh-CN"/>
              </w:rPr>
              <w:t>280</w:t>
            </w:r>
            <w:r>
              <w:rPr>
                <w:rFonts w:hint="eastAsia" w:eastAsia="仿宋_GB2312"/>
                <w:b/>
                <w:bCs/>
                <w:kern w:val="0"/>
                <w:szCs w:val="21"/>
              </w:rPr>
              <w:t>620</w:t>
            </w:r>
          </w:p>
        </w:tc>
        <w:tc>
          <w:tcPr>
            <w:tcW w:w="605" w:type="pct"/>
            <w:tcBorders>
              <w:tl2br w:val="nil"/>
              <w:tr2bl w:val="nil"/>
            </w:tcBorders>
            <w:vAlign w:val="center"/>
          </w:tcPr>
          <w:p w14:paraId="323AF398">
            <w:pPr>
              <w:widowControl/>
              <w:jc w:val="center"/>
              <w:rPr>
                <w:rFonts w:eastAsia="仿宋_GB2312"/>
                <w:b/>
                <w:bCs/>
                <w:kern w:val="0"/>
                <w:szCs w:val="21"/>
              </w:rPr>
            </w:pPr>
            <w:r>
              <w:rPr>
                <w:rFonts w:hint="eastAsia" w:eastAsia="仿宋_GB2312"/>
                <w:b/>
                <w:bCs/>
                <w:kern w:val="0"/>
                <w:szCs w:val="21"/>
              </w:rPr>
              <w:t>+</w:t>
            </w:r>
            <w:r>
              <w:rPr>
                <w:rFonts w:hint="eastAsia" w:eastAsia="仿宋_GB2312"/>
                <w:b/>
                <w:bCs/>
                <w:kern w:val="0"/>
                <w:szCs w:val="21"/>
                <w:lang w:val="en-US" w:eastAsia="zh-CN"/>
              </w:rPr>
              <w:t>206</w:t>
            </w:r>
            <w:r>
              <w:rPr>
                <w:rFonts w:hint="eastAsia" w:eastAsia="仿宋_GB2312"/>
                <w:b/>
                <w:bCs/>
                <w:kern w:val="0"/>
                <w:szCs w:val="21"/>
              </w:rPr>
              <w:t>000</w:t>
            </w:r>
          </w:p>
        </w:tc>
      </w:tr>
    </w:tbl>
    <w:p w14:paraId="0487CE43">
      <w:pPr>
        <w:widowControl/>
        <w:jc w:val="left"/>
        <w:rPr>
          <w:rFonts w:eastAsia="仿宋_GB2312"/>
          <w:color w:val="FF0000"/>
          <w:sz w:val="28"/>
          <w:szCs w:val="28"/>
        </w:rPr>
      </w:pPr>
    </w:p>
    <w:p w14:paraId="5DE244F1">
      <w:pPr>
        <w:widowControl/>
        <w:jc w:val="left"/>
        <w:rPr>
          <w:rFonts w:eastAsia="仿宋_GB2312"/>
          <w:color w:val="FF0000"/>
          <w:sz w:val="28"/>
          <w:szCs w:val="28"/>
        </w:rPr>
        <w:sectPr>
          <w:pgSz w:w="16840" w:h="11907" w:orient="landscape"/>
          <w:pgMar w:top="1440" w:right="1800" w:bottom="1440" w:left="1800" w:header="851" w:footer="992" w:gutter="0"/>
          <w:pgBorders>
            <w:top w:val="none" w:sz="0" w:space="0"/>
            <w:left w:val="none" w:sz="0" w:space="0"/>
            <w:bottom w:val="none" w:sz="0" w:space="0"/>
            <w:right w:val="none" w:sz="0" w:space="0"/>
          </w:pgBorders>
          <w:pgNumType w:fmt="decimal"/>
          <w:cols w:space="425" w:num="1"/>
          <w:docGrid w:linePitch="326" w:charSpace="0"/>
        </w:sectPr>
      </w:pPr>
    </w:p>
    <w:p w14:paraId="69009277">
      <w:pPr>
        <w:spacing w:line="500" w:lineRule="exact"/>
        <w:ind w:firstLine="560" w:firstLineChars="200"/>
        <w:rPr>
          <w:rFonts w:eastAsia="仿宋_GB2312"/>
          <w:sz w:val="28"/>
          <w:szCs w:val="28"/>
        </w:rPr>
      </w:pPr>
      <w:r>
        <w:rPr>
          <w:rFonts w:eastAsia="仿宋_GB2312"/>
          <w:sz w:val="28"/>
          <w:szCs w:val="28"/>
        </w:rPr>
        <w:t>本项目建成后B-7车间产品方案情况见表3.2-</w:t>
      </w:r>
      <w:r>
        <w:rPr>
          <w:rFonts w:hint="eastAsia" w:eastAsia="仿宋_GB2312"/>
          <w:sz w:val="28"/>
          <w:szCs w:val="28"/>
        </w:rPr>
        <w:t>2</w:t>
      </w:r>
      <w:r>
        <w:rPr>
          <w:rFonts w:eastAsia="仿宋_GB2312"/>
          <w:sz w:val="28"/>
          <w:szCs w:val="28"/>
        </w:rPr>
        <w:t>。</w:t>
      </w:r>
    </w:p>
    <w:p w14:paraId="55FFCCED">
      <w:pPr>
        <w:pStyle w:val="162"/>
        <w:spacing w:line="480" w:lineRule="exact"/>
        <w:ind w:firstLine="0" w:firstLineChars="0"/>
        <w:rPr>
          <w:rFonts w:ascii="Times New Roman"/>
        </w:rPr>
      </w:pPr>
      <w:r>
        <w:rPr>
          <w:rFonts w:ascii="Times New Roman"/>
        </w:rPr>
        <w:t>表3.2-</w:t>
      </w:r>
      <w:r>
        <w:rPr>
          <w:rFonts w:hint="eastAsia" w:ascii="Times New Roman"/>
        </w:rPr>
        <w:t>2</w:t>
      </w:r>
      <w:r>
        <w:rPr>
          <w:rFonts w:ascii="Times New Roman"/>
        </w:rPr>
        <w:t xml:space="preserve">  本项目建成后B-7车间产品方案情况表</w:t>
      </w:r>
    </w:p>
    <w:tbl>
      <w:tblPr>
        <w:tblStyle w:val="88"/>
        <w:tblW w:w="507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6" w:space="0"/>
        </w:tblBorders>
        <w:tblLayout w:type="autofit"/>
        <w:tblCellMar>
          <w:top w:w="0" w:type="dxa"/>
          <w:left w:w="0" w:type="dxa"/>
          <w:bottom w:w="0" w:type="dxa"/>
          <w:right w:w="0" w:type="dxa"/>
        </w:tblCellMar>
      </w:tblPr>
      <w:tblGrid>
        <w:gridCol w:w="1066"/>
        <w:gridCol w:w="2393"/>
        <w:gridCol w:w="1428"/>
        <w:gridCol w:w="1811"/>
        <w:gridCol w:w="1756"/>
      </w:tblGrid>
      <w:tr w14:paraId="5796F993">
        <w:tblPrEx>
          <w:tblBorders>
            <w:top w:val="single" w:color="auto" w:sz="12" w:space="0"/>
            <w:left w:val="single" w:color="auto" w:sz="12" w:space="0"/>
            <w:bottom w:val="single" w:color="auto" w:sz="12" w:space="0"/>
            <w:right w:val="single" w:color="auto" w:sz="12" w:space="0"/>
            <w:insideH w:val="single" w:color="auto" w:sz="4" w:space="0"/>
            <w:insideV w:val="single" w:color="auto" w:sz="6" w:space="0"/>
          </w:tblBorders>
          <w:tblCellMar>
            <w:top w:w="0" w:type="dxa"/>
            <w:left w:w="0" w:type="dxa"/>
            <w:bottom w:w="0" w:type="dxa"/>
            <w:right w:w="0" w:type="dxa"/>
          </w:tblCellMar>
        </w:tblPrEx>
        <w:trPr>
          <w:trHeight w:val="312" w:hRule="atLeast"/>
          <w:jc w:val="center"/>
        </w:trPr>
        <w:tc>
          <w:tcPr>
            <w:tcW w:w="630" w:type="pct"/>
            <w:vAlign w:val="center"/>
          </w:tcPr>
          <w:p w14:paraId="64796FE4">
            <w:pPr>
              <w:widowControl/>
              <w:jc w:val="center"/>
              <w:rPr>
                <w:rFonts w:eastAsia="仿宋_GB2312"/>
                <w:b/>
                <w:kern w:val="0"/>
                <w:szCs w:val="21"/>
              </w:rPr>
            </w:pPr>
            <w:r>
              <w:rPr>
                <w:rFonts w:eastAsia="仿宋_GB2312"/>
                <w:b/>
                <w:kern w:val="0"/>
                <w:szCs w:val="21"/>
              </w:rPr>
              <w:t>序号</w:t>
            </w:r>
          </w:p>
        </w:tc>
        <w:tc>
          <w:tcPr>
            <w:tcW w:w="1415" w:type="pct"/>
            <w:tcMar>
              <w:top w:w="15" w:type="dxa"/>
              <w:left w:w="15" w:type="dxa"/>
              <w:bottom w:w="0" w:type="dxa"/>
              <w:right w:w="15" w:type="dxa"/>
            </w:tcMar>
            <w:vAlign w:val="center"/>
          </w:tcPr>
          <w:p w14:paraId="43D1FFCC">
            <w:pPr>
              <w:widowControl/>
              <w:jc w:val="center"/>
              <w:rPr>
                <w:rFonts w:eastAsia="仿宋_GB2312"/>
                <w:b/>
                <w:kern w:val="0"/>
                <w:szCs w:val="21"/>
              </w:rPr>
            </w:pPr>
            <w:r>
              <w:rPr>
                <w:rFonts w:eastAsia="仿宋_GB2312"/>
                <w:b/>
                <w:kern w:val="0"/>
                <w:szCs w:val="21"/>
              </w:rPr>
              <w:t>产品名称</w:t>
            </w:r>
          </w:p>
        </w:tc>
        <w:tc>
          <w:tcPr>
            <w:tcW w:w="844" w:type="pct"/>
            <w:tcMar>
              <w:top w:w="15" w:type="dxa"/>
              <w:left w:w="15" w:type="dxa"/>
              <w:bottom w:w="0" w:type="dxa"/>
              <w:right w:w="15" w:type="dxa"/>
            </w:tcMar>
            <w:vAlign w:val="center"/>
          </w:tcPr>
          <w:p w14:paraId="3E3D7D0C">
            <w:pPr>
              <w:widowControl/>
              <w:jc w:val="center"/>
              <w:rPr>
                <w:rFonts w:eastAsia="仿宋_GB2312"/>
                <w:b/>
                <w:kern w:val="0"/>
                <w:szCs w:val="21"/>
              </w:rPr>
            </w:pPr>
            <w:r>
              <w:rPr>
                <w:rFonts w:eastAsia="仿宋_GB2312"/>
                <w:b/>
                <w:kern w:val="0"/>
                <w:szCs w:val="21"/>
              </w:rPr>
              <w:t>改建前（t/a）</w:t>
            </w:r>
          </w:p>
        </w:tc>
        <w:tc>
          <w:tcPr>
            <w:tcW w:w="1071" w:type="pct"/>
            <w:tcMar>
              <w:top w:w="15" w:type="dxa"/>
              <w:left w:w="15" w:type="dxa"/>
              <w:bottom w:w="0" w:type="dxa"/>
              <w:right w:w="15" w:type="dxa"/>
            </w:tcMar>
            <w:vAlign w:val="center"/>
          </w:tcPr>
          <w:p w14:paraId="491B4893">
            <w:pPr>
              <w:widowControl/>
              <w:jc w:val="center"/>
              <w:rPr>
                <w:rFonts w:eastAsia="仿宋_GB2312"/>
                <w:b/>
                <w:color w:val="auto"/>
                <w:kern w:val="0"/>
                <w:szCs w:val="21"/>
              </w:rPr>
            </w:pPr>
            <w:r>
              <w:rPr>
                <w:rFonts w:eastAsia="仿宋_GB2312"/>
                <w:b/>
                <w:color w:val="auto"/>
                <w:kern w:val="0"/>
                <w:szCs w:val="21"/>
              </w:rPr>
              <w:t>改建后（t/a）</w:t>
            </w:r>
          </w:p>
        </w:tc>
        <w:tc>
          <w:tcPr>
            <w:tcW w:w="1038" w:type="pct"/>
            <w:tcMar>
              <w:top w:w="15" w:type="dxa"/>
              <w:left w:w="15" w:type="dxa"/>
              <w:bottom w:w="0" w:type="dxa"/>
              <w:right w:w="15" w:type="dxa"/>
            </w:tcMar>
            <w:vAlign w:val="center"/>
          </w:tcPr>
          <w:p w14:paraId="32A73A8B">
            <w:pPr>
              <w:widowControl/>
              <w:jc w:val="center"/>
              <w:rPr>
                <w:rFonts w:eastAsia="仿宋_GB2312"/>
                <w:b/>
                <w:color w:val="auto"/>
                <w:kern w:val="0"/>
                <w:szCs w:val="21"/>
              </w:rPr>
            </w:pPr>
            <w:r>
              <w:rPr>
                <w:rFonts w:eastAsia="仿宋_GB2312"/>
                <w:b/>
                <w:color w:val="auto"/>
                <w:kern w:val="0"/>
                <w:szCs w:val="21"/>
              </w:rPr>
              <w:t>变化量（t/a）</w:t>
            </w:r>
          </w:p>
        </w:tc>
      </w:tr>
      <w:tr w14:paraId="64C59AB2">
        <w:tblPrEx>
          <w:tblBorders>
            <w:top w:val="single" w:color="auto" w:sz="12" w:space="0"/>
            <w:left w:val="single" w:color="auto" w:sz="12" w:space="0"/>
            <w:bottom w:val="single" w:color="auto" w:sz="12" w:space="0"/>
            <w:right w:val="single" w:color="auto" w:sz="12" w:space="0"/>
            <w:insideH w:val="single" w:color="auto" w:sz="4" w:space="0"/>
            <w:insideV w:val="single" w:color="auto" w:sz="6" w:space="0"/>
          </w:tblBorders>
          <w:tblCellMar>
            <w:top w:w="0" w:type="dxa"/>
            <w:left w:w="0" w:type="dxa"/>
            <w:bottom w:w="0" w:type="dxa"/>
            <w:right w:w="0" w:type="dxa"/>
          </w:tblCellMar>
        </w:tblPrEx>
        <w:trPr>
          <w:trHeight w:val="312" w:hRule="atLeast"/>
          <w:jc w:val="center"/>
        </w:trPr>
        <w:tc>
          <w:tcPr>
            <w:tcW w:w="630" w:type="pct"/>
            <w:vAlign w:val="center"/>
          </w:tcPr>
          <w:p w14:paraId="4717CAD1">
            <w:pPr>
              <w:widowControl/>
              <w:jc w:val="center"/>
              <w:rPr>
                <w:rFonts w:eastAsia="仿宋_GB2312"/>
                <w:kern w:val="0"/>
                <w:szCs w:val="21"/>
              </w:rPr>
            </w:pPr>
            <w:r>
              <w:rPr>
                <w:rFonts w:eastAsia="仿宋_GB2312"/>
                <w:kern w:val="0"/>
                <w:szCs w:val="21"/>
              </w:rPr>
              <w:t>1</w:t>
            </w:r>
          </w:p>
        </w:tc>
        <w:tc>
          <w:tcPr>
            <w:tcW w:w="1415" w:type="pct"/>
            <w:tcMar>
              <w:top w:w="15" w:type="dxa"/>
              <w:left w:w="15" w:type="dxa"/>
              <w:bottom w:w="0" w:type="dxa"/>
              <w:right w:w="15" w:type="dxa"/>
            </w:tcMar>
            <w:vAlign w:val="center"/>
          </w:tcPr>
          <w:p w14:paraId="48FD2600">
            <w:pPr>
              <w:widowControl/>
              <w:jc w:val="center"/>
              <w:rPr>
                <w:rFonts w:eastAsia="仿宋_GB2312"/>
                <w:kern w:val="0"/>
                <w:szCs w:val="21"/>
              </w:rPr>
            </w:pPr>
            <w:r>
              <w:rPr>
                <w:rFonts w:eastAsia="仿宋_GB2312"/>
                <w:kern w:val="0"/>
                <w:szCs w:val="21"/>
              </w:rPr>
              <w:t>二氯甲烷</w:t>
            </w:r>
          </w:p>
        </w:tc>
        <w:tc>
          <w:tcPr>
            <w:tcW w:w="844" w:type="pct"/>
            <w:shd w:val="clear" w:color="auto" w:fill="auto"/>
            <w:tcMar>
              <w:top w:w="15" w:type="dxa"/>
              <w:left w:w="15" w:type="dxa"/>
              <w:bottom w:w="0" w:type="dxa"/>
              <w:right w:w="15" w:type="dxa"/>
            </w:tcMar>
            <w:vAlign w:val="center"/>
          </w:tcPr>
          <w:p w14:paraId="1FF6B31B">
            <w:pPr>
              <w:jc w:val="center"/>
              <w:rPr>
                <w:rFonts w:eastAsia="仿宋_GB2312"/>
                <w:kern w:val="0"/>
                <w:szCs w:val="21"/>
              </w:rPr>
            </w:pPr>
            <w:r>
              <w:rPr>
                <w:rFonts w:eastAsia="仿宋_GB2312"/>
                <w:kern w:val="0"/>
                <w:szCs w:val="21"/>
              </w:rPr>
              <w:t>2455.78</w:t>
            </w:r>
          </w:p>
        </w:tc>
        <w:tc>
          <w:tcPr>
            <w:tcW w:w="1071" w:type="pct"/>
            <w:tcMar>
              <w:top w:w="15" w:type="dxa"/>
              <w:left w:w="15" w:type="dxa"/>
              <w:bottom w:w="0" w:type="dxa"/>
              <w:right w:w="15" w:type="dxa"/>
            </w:tcMar>
            <w:vAlign w:val="center"/>
          </w:tcPr>
          <w:p w14:paraId="164F0458">
            <w:pPr>
              <w:jc w:val="center"/>
              <w:rPr>
                <w:rFonts w:eastAsia="仿宋_GB2312"/>
                <w:color w:val="auto"/>
                <w:kern w:val="0"/>
                <w:szCs w:val="21"/>
              </w:rPr>
            </w:pPr>
            <w:r>
              <w:rPr>
                <w:rFonts w:hint="eastAsia" w:eastAsia="仿宋_GB2312"/>
                <w:color w:val="auto"/>
                <w:kern w:val="0"/>
                <w:szCs w:val="21"/>
              </w:rPr>
              <w:t>2455</w:t>
            </w:r>
          </w:p>
        </w:tc>
        <w:tc>
          <w:tcPr>
            <w:tcW w:w="1038" w:type="pct"/>
            <w:shd w:val="clear" w:color="auto" w:fill="auto"/>
            <w:tcMar>
              <w:top w:w="15" w:type="dxa"/>
              <w:left w:w="15" w:type="dxa"/>
              <w:bottom w:w="0" w:type="dxa"/>
              <w:right w:w="15" w:type="dxa"/>
            </w:tcMar>
            <w:vAlign w:val="center"/>
          </w:tcPr>
          <w:p w14:paraId="65440AF4">
            <w:pPr>
              <w:widowControl/>
              <w:jc w:val="center"/>
              <w:rPr>
                <w:color w:val="auto"/>
                <w:kern w:val="0"/>
                <w:sz w:val="22"/>
                <w:szCs w:val="22"/>
              </w:rPr>
            </w:pPr>
            <w:r>
              <w:rPr>
                <w:rFonts w:hint="eastAsia"/>
                <w:color w:val="auto"/>
                <w:sz w:val="22"/>
                <w:szCs w:val="22"/>
              </w:rPr>
              <w:t>-0.78</w:t>
            </w:r>
          </w:p>
        </w:tc>
      </w:tr>
      <w:tr w14:paraId="35801AC4">
        <w:tblPrEx>
          <w:tblBorders>
            <w:top w:val="single" w:color="auto" w:sz="12" w:space="0"/>
            <w:left w:val="single" w:color="auto" w:sz="12" w:space="0"/>
            <w:bottom w:val="single" w:color="auto" w:sz="12" w:space="0"/>
            <w:right w:val="single" w:color="auto" w:sz="12" w:space="0"/>
            <w:insideH w:val="single" w:color="auto" w:sz="4" w:space="0"/>
            <w:insideV w:val="single" w:color="auto" w:sz="6" w:space="0"/>
          </w:tblBorders>
          <w:tblCellMar>
            <w:top w:w="0" w:type="dxa"/>
            <w:left w:w="0" w:type="dxa"/>
            <w:bottom w:w="0" w:type="dxa"/>
            <w:right w:w="0" w:type="dxa"/>
          </w:tblCellMar>
        </w:tblPrEx>
        <w:trPr>
          <w:trHeight w:val="312" w:hRule="atLeast"/>
          <w:jc w:val="center"/>
        </w:trPr>
        <w:tc>
          <w:tcPr>
            <w:tcW w:w="630" w:type="pct"/>
            <w:vAlign w:val="center"/>
          </w:tcPr>
          <w:p w14:paraId="5ACF0C52">
            <w:pPr>
              <w:widowControl/>
              <w:jc w:val="center"/>
              <w:rPr>
                <w:rFonts w:eastAsia="仿宋_GB2312"/>
                <w:kern w:val="0"/>
                <w:szCs w:val="21"/>
              </w:rPr>
            </w:pPr>
            <w:r>
              <w:rPr>
                <w:rFonts w:eastAsia="仿宋_GB2312"/>
                <w:kern w:val="0"/>
                <w:szCs w:val="21"/>
              </w:rPr>
              <w:t>2</w:t>
            </w:r>
          </w:p>
        </w:tc>
        <w:tc>
          <w:tcPr>
            <w:tcW w:w="1415" w:type="pct"/>
            <w:tcMar>
              <w:top w:w="15" w:type="dxa"/>
              <w:left w:w="15" w:type="dxa"/>
              <w:bottom w:w="0" w:type="dxa"/>
              <w:right w:w="15" w:type="dxa"/>
            </w:tcMar>
            <w:vAlign w:val="center"/>
          </w:tcPr>
          <w:p w14:paraId="5565B57F">
            <w:pPr>
              <w:widowControl/>
              <w:jc w:val="center"/>
              <w:rPr>
                <w:rFonts w:eastAsia="仿宋_GB2312"/>
                <w:kern w:val="0"/>
                <w:szCs w:val="21"/>
              </w:rPr>
            </w:pPr>
            <w:r>
              <w:rPr>
                <w:rFonts w:eastAsia="仿宋_GB2312"/>
                <w:kern w:val="0"/>
                <w:szCs w:val="21"/>
              </w:rPr>
              <w:t>甲苯</w:t>
            </w:r>
          </w:p>
        </w:tc>
        <w:tc>
          <w:tcPr>
            <w:tcW w:w="844" w:type="pct"/>
            <w:shd w:val="clear" w:color="auto" w:fill="auto"/>
            <w:tcMar>
              <w:top w:w="15" w:type="dxa"/>
              <w:left w:w="15" w:type="dxa"/>
              <w:bottom w:w="0" w:type="dxa"/>
              <w:right w:w="15" w:type="dxa"/>
            </w:tcMar>
            <w:vAlign w:val="center"/>
          </w:tcPr>
          <w:p w14:paraId="64FE199A">
            <w:pPr>
              <w:jc w:val="center"/>
              <w:rPr>
                <w:rFonts w:eastAsia="仿宋_GB2312"/>
                <w:kern w:val="0"/>
                <w:szCs w:val="21"/>
              </w:rPr>
            </w:pPr>
            <w:r>
              <w:rPr>
                <w:rFonts w:eastAsia="仿宋_GB2312"/>
                <w:kern w:val="0"/>
                <w:szCs w:val="21"/>
              </w:rPr>
              <w:t>1892.69</w:t>
            </w:r>
          </w:p>
        </w:tc>
        <w:tc>
          <w:tcPr>
            <w:tcW w:w="1071" w:type="pct"/>
            <w:tcMar>
              <w:top w:w="15" w:type="dxa"/>
              <w:left w:w="15" w:type="dxa"/>
              <w:bottom w:w="0" w:type="dxa"/>
              <w:right w:w="15" w:type="dxa"/>
            </w:tcMar>
            <w:vAlign w:val="center"/>
          </w:tcPr>
          <w:p w14:paraId="24E622C9">
            <w:pPr>
              <w:jc w:val="center"/>
              <w:rPr>
                <w:rFonts w:eastAsia="仿宋_GB2312"/>
                <w:color w:val="auto"/>
                <w:kern w:val="0"/>
                <w:szCs w:val="21"/>
              </w:rPr>
            </w:pPr>
            <w:r>
              <w:rPr>
                <w:rFonts w:eastAsia="仿宋_GB2312"/>
                <w:color w:val="auto"/>
                <w:kern w:val="0"/>
                <w:szCs w:val="21"/>
              </w:rPr>
              <w:t>452</w:t>
            </w:r>
            <w:r>
              <w:rPr>
                <w:rFonts w:hint="eastAsia" w:eastAsia="仿宋_GB2312"/>
                <w:color w:val="auto"/>
                <w:kern w:val="0"/>
                <w:szCs w:val="21"/>
              </w:rPr>
              <w:t>5</w:t>
            </w:r>
          </w:p>
        </w:tc>
        <w:tc>
          <w:tcPr>
            <w:tcW w:w="1038" w:type="pct"/>
            <w:shd w:val="clear" w:color="auto" w:fill="auto"/>
            <w:tcMar>
              <w:top w:w="15" w:type="dxa"/>
              <w:left w:w="15" w:type="dxa"/>
              <w:bottom w:w="0" w:type="dxa"/>
              <w:right w:w="15" w:type="dxa"/>
            </w:tcMar>
            <w:vAlign w:val="center"/>
          </w:tcPr>
          <w:p w14:paraId="47E6D95F">
            <w:pPr>
              <w:jc w:val="center"/>
              <w:rPr>
                <w:color w:val="auto"/>
                <w:sz w:val="22"/>
                <w:szCs w:val="22"/>
              </w:rPr>
            </w:pPr>
            <w:r>
              <w:rPr>
                <w:color w:val="auto"/>
                <w:sz w:val="22"/>
                <w:szCs w:val="22"/>
              </w:rPr>
              <w:t>+</w:t>
            </w:r>
            <w:r>
              <w:rPr>
                <w:rFonts w:hint="eastAsia"/>
                <w:color w:val="auto"/>
                <w:sz w:val="22"/>
                <w:szCs w:val="22"/>
              </w:rPr>
              <w:t>2632.31</w:t>
            </w:r>
          </w:p>
        </w:tc>
      </w:tr>
      <w:tr w14:paraId="79EDD2A9">
        <w:tblPrEx>
          <w:tblBorders>
            <w:top w:val="single" w:color="auto" w:sz="12" w:space="0"/>
            <w:left w:val="single" w:color="auto" w:sz="12" w:space="0"/>
            <w:bottom w:val="single" w:color="auto" w:sz="12" w:space="0"/>
            <w:right w:val="single" w:color="auto" w:sz="12" w:space="0"/>
            <w:insideH w:val="single" w:color="auto" w:sz="4" w:space="0"/>
            <w:insideV w:val="single" w:color="auto" w:sz="6" w:space="0"/>
          </w:tblBorders>
          <w:tblCellMar>
            <w:top w:w="0" w:type="dxa"/>
            <w:left w:w="0" w:type="dxa"/>
            <w:bottom w:w="0" w:type="dxa"/>
            <w:right w:w="0" w:type="dxa"/>
          </w:tblCellMar>
        </w:tblPrEx>
        <w:trPr>
          <w:trHeight w:val="312" w:hRule="atLeast"/>
          <w:jc w:val="center"/>
        </w:trPr>
        <w:tc>
          <w:tcPr>
            <w:tcW w:w="630" w:type="pct"/>
            <w:vAlign w:val="center"/>
          </w:tcPr>
          <w:p w14:paraId="22EBAE77">
            <w:pPr>
              <w:widowControl/>
              <w:jc w:val="center"/>
              <w:rPr>
                <w:rFonts w:eastAsia="仿宋_GB2312"/>
                <w:kern w:val="0"/>
                <w:szCs w:val="21"/>
              </w:rPr>
            </w:pPr>
            <w:r>
              <w:rPr>
                <w:rFonts w:eastAsia="仿宋_GB2312"/>
                <w:kern w:val="0"/>
                <w:szCs w:val="21"/>
              </w:rPr>
              <w:t>3</w:t>
            </w:r>
          </w:p>
        </w:tc>
        <w:tc>
          <w:tcPr>
            <w:tcW w:w="1415" w:type="pct"/>
            <w:tcMar>
              <w:top w:w="15" w:type="dxa"/>
              <w:left w:w="15" w:type="dxa"/>
              <w:bottom w:w="0" w:type="dxa"/>
              <w:right w:w="15" w:type="dxa"/>
            </w:tcMar>
            <w:vAlign w:val="center"/>
          </w:tcPr>
          <w:p w14:paraId="543CC44C">
            <w:pPr>
              <w:widowControl/>
              <w:jc w:val="center"/>
              <w:rPr>
                <w:rFonts w:eastAsia="仿宋_GB2312"/>
                <w:kern w:val="0"/>
                <w:szCs w:val="21"/>
              </w:rPr>
            </w:pPr>
            <w:r>
              <w:rPr>
                <w:rFonts w:eastAsia="仿宋_GB2312"/>
                <w:kern w:val="0"/>
                <w:szCs w:val="21"/>
              </w:rPr>
              <w:t>二甲苯</w:t>
            </w:r>
          </w:p>
        </w:tc>
        <w:tc>
          <w:tcPr>
            <w:tcW w:w="844" w:type="pct"/>
            <w:shd w:val="clear" w:color="auto" w:fill="auto"/>
            <w:tcMar>
              <w:top w:w="15" w:type="dxa"/>
              <w:left w:w="15" w:type="dxa"/>
              <w:bottom w:w="0" w:type="dxa"/>
              <w:right w:w="15" w:type="dxa"/>
            </w:tcMar>
            <w:vAlign w:val="center"/>
          </w:tcPr>
          <w:p w14:paraId="6CC17B84">
            <w:pPr>
              <w:jc w:val="center"/>
              <w:rPr>
                <w:rFonts w:eastAsia="仿宋_GB2312"/>
                <w:kern w:val="0"/>
                <w:szCs w:val="21"/>
              </w:rPr>
            </w:pPr>
            <w:r>
              <w:rPr>
                <w:rFonts w:eastAsia="仿宋_GB2312"/>
                <w:kern w:val="0"/>
                <w:szCs w:val="21"/>
              </w:rPr>
              <w:t>1548.76</w:t>
            </w:r>
          </w:p>
        </w:tc>
        <w:tc>
          <w:tcPr>
            <w:tcW w:w="1071" w:type="pct"/>
            <w:tcMar>
              <w:top w:w="15" w:type="dxa"/>
              <w:left w:w="15" w:type="dxa"/>
              <w:bottom w:w="0" w:type="dxa"/>
              <w:right w:w="15" w:type="dxa"/>
            </w:tcMar>
            <w:vAlign w:val="center"/>
          </w:tcPr>
          <w:p w14:paraId="0E6403EC">
            <w:pPr>
              <w:widowControl/>
              <w:jc w:val="center"/>
              <w:rPr>
                <w:rFonts w:eastAsia="仿宋_GB2312"/>
                <w:color w:val="auto"/>
                <w:kern w:val="0"/>
                <w:szCs w:val="21"/>
              </w:rPr>
            </w:pPr>
            <w:r>
              <w:rPr>
                <w:rFonts w:hint="eastAsia" w:eastAsia="仿宋_GB2312"/>
                <w:color w:val="auto"/>
                <w:kern w:val="0"/>
                <w:szCs w:val="21"/>
              </w:rPr>
              <w:t>7447.551</w:t>
            </w:r>
          </w:p>
        </w:tc>
        <w:tc>
          <w:tcPr>
            <w:tcW w:w="1038" w:type="pct"/>
            <w:shd w:val="clear" w:color="auto" w:fill="auto"/>
            <w:tcMar>
              <w:top w:w="15" w:type="dxa"/>
              <w:left w:w="15" w:type="dxa"/>
              <w:bottom w:w="0" w:type="dxa"/>
              <w:right w:w="15" w:type="dxa"/>
            </w:tcMar>
            <w:vAlign w:val="center"/>
          </w:tcPr>
          <w:p w14:paraId="00EC6A7B">
            <w:pPr>
              <w:jc w:val="center"/>
              <w:rPr>
                <w:color w:val="auto"/>
                <w:sz w:val="22"/>
                <w:szCs w:val="22"/>
              </w:rPr>
            </w:pPr>
            <w:r>
              <w:rPr>
                <w:color w:val="auto"/>
                <w:sz w:val="22"/>
                <w:szCs w:val="22"/>
              </w:rPr>
              <w:t>+</w:t>
            </w:r>
            <w:r>
              <w:rPr>
                <w:rFonts w:hint="eastAsia"/>
                <w:color w:val="auto"/>
                <w:sz w:val="22"/>
                <w:szCs w:val="22"/>
              </w:rPr>
              <w:t>5898.791</w:t>
            </w:r>
          </w:p>
        </w:tc>
      </w:tr>
      <w:tr w14:paraId="5DF5FAA8">
        <w:tblPrEx>
          <w:tblBorders>
            <w:top w:val="single" w:color="auto" w:sz="12" w:space="0"/>
            <w:left w:val="single" w:color="auto" w:sz="12" w:space="0"/>
            <w:bottom w:val="single" w:color="auto" w:sz="12" w:space="0"/>
            <w:right w:val="single" w:color="auto" w:sz="12" w:space="0"/>
            <w:insideH w:val="single" w:color="auto" w:sz="4" w:space="0"/>
            <w:insideV w:val="single" w:color="auto" w:sz="6" w:space="0"/>
          </w:tblBorders>
          <w:tblCellMar>
            <w:top w:w="0" w:type="dxa"/>
            <w:left w:w="0" w:type="dxa"/>
            <w:bottom w:w="0" w:type="dxa"/>
            <w:right w:w="0" w:type="dxa"/>
          </w:tblCellMar>
        </w:tblPrEx>
        <w:trPr>
          <w:trHeight w:val="312" w:hRule="atLeast"/>
          <w:jc w:val="center"/>
        </w:trPr>
        <w:tc>
          <w:tcPr>
            <w:tcW w:w="630" w:type="pct"/>
            <w:vAlign w:val="center"/>
          </w:tcPr>
          <w:p w14:paraId="749D718A">
            <w:pPr>
              <w:widowControl/>
              <w:jc w:val="center"/>
              <w:rPr>
                <w:rFonts w:eastAsia="仿宋_GB2312"/>
                <w:kern w:val="0"/>
                <w:szCs w:val="21"/>
              </w:rPr>
            </w:pPr>
            <w:r>
              <w:rPr>
                <w:rFonts w:eastAsia="仿宋_GB2312"/>
                <w:kern w:val="0"/>
                <w:szCs w:val="21"/>
              </w:rPr>
              <w:t>4</w:t>
            </w:r>
          </w:p>
        </w:tc>
        <w:tc>
          <w:tcPr>
            <w:tcW w:w="1415" w:type="pct"/>
            <w:tcMar>
              <w:top w:w="15" w:type="dxa"/>
              <w:left w:w="15" w:type="dxa"/>
              <w:bottom w:w="0" w:type="dxa"/>
              <w:right w:w="15" w:type="dxa"/>
            </w:tcMar>
            <w:vAlign w:val="center"/>
          </w:tcPr>
          <w:p w14:paraId="7A23BF40">
            <w:pPr>
              <w:widowControl/>
              <w:jc w:val="center"/>
              <w:rPr>
                <w:rFonts w:eastAsia="仿宋_GB2312"/>
                <w:kern w:val="0"/>
                <w:szCs w:val="21"/>
              </w:rPr>
            </w:pPr>
            <w:r>
              <w:rPr>
                <w:rFonts w:eastAsia="仿宋_GB2312"/>
                <w:kern w:val="0"/>
                <w:szCs w:val="21"/>
              </w:rPr>
              <w:t>乙酸乙酯</w:t>
            </w:r>
          </w:p>
        </w:tc>
        <w:tc>
          <w:tcPr>
            <w:tcW w:w="844" w:type="pct"/>
            <w:shd w:val="clear" w:color="auto" w:fill="auto"/>
            <w:tcMar>
              <w:top w:w="15" w:type="dxa"/>
              <w:left w:w="15" w:type="dxa"/>
              <w:bottom w:w="0" w:type="dxa"/>
              <w:right w:w="15" w:type="dxa"/>
            </w:tcMar>
            <w:vAlign w:val="center"/>
          </w:tcPr>
          <w:p w14:paraId="6FE6A114">
            <w:pPr>
              <w:jc w:val="center"/>
              <w:rPr>
                <w:rFonts w:eastAsia="仿宋_GB2312"/>
                <w:kern w:val="0"/>
                <w:szCs w:val="21"/>
              </w:rPr>
            </w:pPr>
            <w:r>
              <w:rPr>
                <w:rFonts w:eastAsia="仿宋_GB2312"/>
                <w:kern w:val="0"/>
                <w:szCs w:val="21"/>
              </w:rPr>
              <w:t>2183.63</w:t>
            </w:r>
          </w:p>
        </w:tc>
        <w:tc>
          <w:tcPr>
            <w:tcW w:w="1071" w:type="pct"/>
            <w:tcMar>
              <w:top w:w="15" w:type="dxa"/>
              <w:left w:w="15" w:type="dxa"/>
              <w:bottom w:w="0" w:type="dxa"/>
              <w:right w:w="15" w:type="dxa"/>
            </w:tcMar>
            <w:vAlign w:val="center"/>
          </w:tcPr>
          <w:p w14:paraId="00EA314F">
            <w:pPr>
              <w:widowControl/>
              <w:jc w:val="center"/>
              <w:rPr>
                <w:rFonts w:eastAsia="仿宋_GB2312"/>
                <w:color w:val="auto"/>
                <w:kern w:val="0"/>
                <w:szCs w:val="21"/>
              </w:rPr>
            </w:pPr>
            <w:r>
              <w:rPr>
                <w:rFonts w:hint="eastAsia" w:eastAsia="仿宋_GB2312"/>
                <w:color w:val="auto"/>
                <w:kern w:val="0"/>
                <w:szCs w:val="21"/>
              </w:rPr>
              <w:t>4690.295</w:t>
            </w:r>
          </w:p>
        </w:tc>
        <w:tc>
          <w:tcPr>
            <w:tcW w:w="1038" w:type="pct"/>
            <w:shd w:val="clear" w:color="auto" w:fill="auto"/>
            <w:tcMar>
              <w:top w:w="15" w:type="dxa"/>
              <w:left w:w="15" w:type="dxa"/>
              <w:bottom w:w="0" w:type="dxa"/>
              <w:right w:w="15" w:type="dxa"/>
            </w:tcMar>
            <w:vAlign w:val="center"/>
          </w:tcPr>
          <w:p w14:paraId="2760E1B9">
            <w:pPr>
              <w:jc w:val="center"/>
              <w:rPr>
                <w:color w:val="auto"/>
                <w:sz w:val="22"/>
                <w:szCs w:val="22"/>
              </w:rPr>
            </w:pPr>
            <w:r>
              <w:rPr>
                <w:color w:val="auto"/>
                <w:sz w:val="22"/>
                <w:szCs w:val="22"/>
              </w:rPr>
              <w:t>+</w:t>
            </w:r>
            <w:r>
              <w:rPr>
                <w:rFonts w:hint="eastAsia"/>
                <w:color w:val="auto"/>
                <w:sz w:val="22"/>
                <w:szCs w:val="22"/>
              </w:rPr>
              <w:t>2506.665</w:t>
            </w:r>
          </w:p>
        </w:tc>
      </w:tr>
      <w:tr w14:paraId="2F3DAE6C">
        <w:tblPrEx>
          <w:tblBorders>
            <w:top w:val="single" w:color="auto" w:sz="12" w:space="0"/>
            <w:left w:val="single" w:color="auto" w:sz="12" w:space="0"/>
            <w:bottom w:val="single" w:color="auto" w:sz="12" w:space="0"/>
            <w:right w:val="single" w:color="auto" w:sz="12" w:space="0"/>
            <w:insideH w:val="single" w:color="auto" w:sz="4" w:space="0"/>
            <w:insideV w:val="single" w:color="auto" w:sz="6" w:space="0"/>
          </w:tblBorders>
          <w:tblCellMar>
            <w:top w:w="0" w:type="dxa"/>
            <w:left w:w="0" w:type="dxa"/>
            <w:bottom w:w="0" w:type="dxa"/>
            <w:right w:w="0" w:type="dxa"/>
          </w:tblCellMar>
        </w:tblPrEx>
        <w:trPr>
          <w:trHeight w:val="312" w:hRule="atLeast"/>
          <w:jc w:val="center"/>
        </w:trPr>
        <w:tc>
          <w:tcPr>
            <w:tcW w:w="630" w:type="pct"/>
            <w:vAlign w:val="center"/>
          </w:tcPr>
          <w:p w14:paraId="07F039BC">
            <w:pPr>
              <w:widowControl/>
              <w:jc w:val="center"/>
              <w:rPr>
                <w:rFonts w:eastAsia="仿宋_GB2312"/>
                <w:kern w:val="0"/>
                <w:szCs w:val="21"/>
              </w:rPr>
            </w:pPr>
            <w:r>
              <w:rPr>
                <w:rFonts w:eastAsia="仿宋_GB2312"/>
                <w:kern w:val="0"/>
                <w:szCs w:val="21"/>
              </w:rPr>
              <w:t>5</w:t>
            </w:r>
          </w:p>
        </w:tc>
        <w:tc>
          <w:tcPr>
            <w:tcW w:w="1415" w:type="pct"/>
            <w:tcMar>
              <w:top w:w="15" w:type="dxa"/>
              <w:left w:w="15" w:type="dxa"/>
              <w:bottom w:w="0" w:type="dxa"/>
              <w:right w:w="15" w:type="dxa"/>
            </w:tcMar>
            <w:vAlign w:val="center"/>
          </w:tcPr>
          <w:p w14:paraId="0DC92A1E">
            <w:pPr>
              <w:widowControl/>
              <w:jc w:val="center"/>
              <w:rPr>
                <w:rFonts w:eastAsia="仿宋_GB2312"/>
                <w:kern w:val="0"/>
                <w:szCs w:val="21"/>
              </w:rPr>
            </w:pPr>
            <w:r>
              <w:rPr>
                <w:rFonts w:eastAsia="仿宋_GB2312"/>
                <w:kern w:val="0"/>
                <w:szCs w:val="21"/>
              </w:rPr>
              <w:t>乙酸丁酯</w:t>
            </w:r>
          </w:p>
        </w:tc>
        <w:tc>
          <w:tcPr>
            <w:tcW w:w="844" w:type="pct"/>
            <w:shd w:val="clear" w:color="auto" w:fill="auto"/>
            <w:tcMar>
              <w:top w:w="15" w:type="dxa"/>
              <w:left w:w="15" w:type="dxa"/>
              <w:bottom w:w="0" w:type="dxa"/>
              <w:right w:w="15" w:type="dxa"/>
            </w:tcMar>
            <w:vAlign w:val="center"/>
          </w:tcPr>
          <w:p w14:paraId="69C58EB3">
            <w:pPr>
              <w:jc w:val="center"/>
              <w:rPr>
                <w:rFonts w:eastAsia="仿宋_GB2312"/>
                <w:kern w:val="0"/>
                <w:szCs w:val="21"/>
              </w:rPr>
            </w:pPr>
            <w:r>
              <w:rPr>
                <w:rFonts w:eastAsia="仿宋_GB2312"/>
                <w:kern w:val="0"/>
                <w:szCs w:val="21"/>
              </w:rPr>
              <w:t>861</w:t>
            </w:r>
          </w:p>
        </w:tc>
        <w:tc>
          <w:tcPr>
            <w:tcW w:w="1071" w:type="pct"/>
            <w:tcMar>
              <w:top w:w="15" w:type="dxa"/>
              <w:left w:w="15" w:type="dxa"/>
              <w:bottom w:w="0" w:type="dxa"/>
              <w:right w:w="15" w:type="dxa"/>
            </w:tcMar>
            <w:vAlign w:val="center"/>
          </w:tcPr>
          <w:p w14:paraId="39512111">
            <w:pPr>
              <w:widowControl/>
              <w:jc w:val="center"/>
              <w:rPr>
                <w:rFonts w:eastAsia="仿宋_GB2312"/>
                <w:color w:val="auto"/>
                <w:kern w:val="0"/>
                <w:szCs w:val="21"/>
              </w:rPr>
            </w:pPr>
            <w:r>
              <w:rPr>
                <w:rFonts w:hint="eastAsia" w:eastAsia="仿宋_GB2312"/>
                <w:color w:val="auto"/>
                <w:kern w:val="0"/>
                <w:szCs w:val="21"/>
              </w:rPr>
              <w:t>7076.681</w:t>
            </w:r>
          </w:p>
        </w:tc>
        <w:tc>
          <w:tcPr>
            <w:tcW w:w="1038" w:type="pct"/>
            <w:shd w:val="clear" w:color="auto" w:fill="auto"/>
            <w:tcMar>
              <w:top w:w="15" w:type="dxa"/>
              <w:left w:w="15" w:type="dxa"/>
              <w:bottom w:w="0" w:type="dxa"/>
              <w:right w:w="15" w:type="dxa"/>
            </w:tcMar>
            <w:vAlign w:val="center"/>
          </w:tcPr>
          <w:p w14:paraId="1D2DEF08">
            <w:pPr>
              <w:jc w:val="center"/>
              <w:rPr>
                <w:color w:val="auto"/>
                <w:sz w:val="22"/>
                <w:szCs w:val="22"/>
              </w:rPr>
            </w:pPr>
            <w:r>
              <w:rPr>
                <w:color w:val="auto"/>
                <w:sz w:val="22"/>
                <w:szCs w:val="22"/>
              </w:rPr>
              <w:t>+</w:t>
            </w:r>
            <w:r>
              <w:rPr>
                <w:rFonts w:hint="eastAsia"/>
                <w:color w:val="auto"/>
                <w:sz w:val="22"/>
                <w:szCs w:val="22"/>
              </w:rPr>
              <w:t>6215.681</w:t>
            </w:r>
          </w:p>
        </w:tc>
      </w:tr>
      <w:tr w14:paraId="264BCC22">
        <w:tblPrEx>
          <w:tblBorders>
            <w:top w:val="single" w:color="auto" w:sz="12" w:space="0"/>
            <w:left w:val="single" w:color="auto" w:sz="12" w:space="0"/>
            <w:bottom w:val="single" w:color="auto" w:sz="12" w:space="0"/>
            <w:right w:val="single" w:color="auto" w:sz="12" w:space="0"/>
            <w:insideH w:val="single" w:color="auto" w:sz="4" w:space="0"/>
            <w:insideV w:val="single" w:color="auto" w:sz="6" w:space="0"/>
          </w:tblBorders>
          <w:tblCellMar>
            <w:top w:w="0" w:type="dxa"/>
            <w:left w:w="0" w:type="dxa"/>
            <w:bottom w:w="0" w:type="dxa"/>
            <w:right w:w="0" w:type="dxa"/>
          </w:tblCellMar>
        </w:tblPrEx>
        <w:trPr>
          <w:trHeight w:val="312" w:hRule="atLeast"/>
          <w:jc w:val="center"/>
        </w:trPr>
        <w:tc>
          <w:tcPr>
            <w:tcW w:w="630" w:type="pct"/>
            <w:vAlign w:val="center"/>
          </w:tcPr>
          <w:p w14:paraId="0571FDF4">
            <w:pPr>
              <w:widowControl/>
              <w:jc w:val="center"/>
              <w:rPr>
                <w:rFonts w:eastAsia="仿宋_GB2312"/>
                <w:kern w:val="0"/>
                <w:szCs w:val="21"/>
              </w:rPr>
            </w:pPr>
            <w:r>
              <w:rPr>
                <w:rFonts w:eastAsia="仿宋_GB2312"/>
                <w:kern w:val="0"/>
                <w:szCs w:val="21"/>
              </w:rPr>
              <w:t>6</w:t>
            </w:r>
          </w:p>
        </w:tc>
        <w:tc>
          <w:tcPr>
            <w:tcW w:w="1415" w:type="pct"/>
            <w:tcMar>
              <w:top w:w="15" w:type="dxa"/>
              <w:left w:w="15" w:type="dxa"/>
              <w:bottom w:w="0" w:type="dxa"/>
              <w:right w:w="15" w:type="dxa"/>
            </w:tcMar>
            <w:vAlign w:val="center"/>
          </w:tcPr>
          <w:p w14:paraId="4776A36A">
            <w:pPr>
              <w:widowControl/>
              <w:jc w:val="center"/>
              <w:rPr>
                <w:rFonts w:eastAsia="仿宋_GB2312"/>
                <w:kern w:val="0"/>
                <w:szCs w:val="21"/>
              </w:rPr>
            </w:pPr>
            <w:r>
              <w:rPr>
                <w:rFonts w:eastAsia="仿宋_GB2312"/>
                <w:kern w:val="0"/>
                <w:szCs w:val="21"/>
              </w:rPr>
              <w:t>乙醇</w:t>
            </w:r>
          </w:p>
        </w:tc>
        <w:tc>
          <w:tcPr>
            <w:tcW w:w="844" w:type="pct"/>
            <w:shd w:val="clear" w:color="auto" w:fill="auto"/>
            <w:tcMar>
              <w:top w:w="15" w:type="dxa"/>
              <w:left w:w="15" w:type="dxa"/>
              <w:bottom w:w="0" w:type="dxa"/>
              <w:right w:w="15" w:type="dxa"/>
            </w:tcMar>
            <w:vAlign w:val="center"/>
          </w:tcPr>
          <w:p w14:paraId="15E65168">
            <w:pPr>
              <w:jc w:val="center"/>
              <w:rPr>
                <w:rFonts w:eastAsia="仿宋_GB2312"/>
                <w:kern w:val="0"/>
                <w:szCs w:val="21"/>
              </w:rPr>
            </w:pPr>
            <w:r>
              <w:rPr>
                <w:rFonts w:hint="eastAsia" w:eastAsia="仿宋_GB2312"/>
                <w:kern w:val="0"/>
                <w:szCs w:val="21"/>
              </w:rPr>
              <w:t>660.1</w:t>
            </w:r>
          </w:p>
        </w:tc>
        <w:tc>
          <w:tcPr>
            <w:tcW w:w="1071" w:type="pct"/>
            <w:tcMar>
              <w:top w:w="15" w:type="dxa"/>
              <w:left w:w="15" w:type="dxa"/>
              <w:bottom w:w="0" w:type="dxa"/>
              <w:right w:w="15" w:type="dxa"/>
            </w:tcMar>
            <w:vAlign w:val="center"/>
          </w:tcPr>
          <w:p w14:paraId="308C661B">
            <w:pPr>
              <w:widowControl/>
              <w:jc w:val="center"/>
              <w:rPr>
                <w:rFonts w:hint="default" w:eastAsia="仿宋_GB2312"/>
                <w:color w:val="auto"/>
                <w:kern w:val="0"/>
                <w:szCs w:val="21"/>
                <w:lang w:val="en-US" w:eastAsia="zh-CN"/>
              </w:rPr>
            </w:pPr>
            <w:r>
              <w:rPr>
                <w:rFonts w:eastAsia="仿宋_GB2312"/>
                <w:color w:val="auto"/>
                <w:kern w:val="0"/>
                <w:szCs w:val="21"/>
              </w:rPr>
              <w:t>16</w:t>
            </w:r>
            <w:r>
              <w:rPr>
                <w:rFonts w:hint="eastAsia" w:eastAsia="仿宋_GB2312"/>
                <w:color w:val="auto"/>
                <w:kern w:val="0"/>
                <w:szCs w:val="21"/>
                <w:lang w:val="en-US" w:eastAsia="zh-CN"/>
              </w:rPr>
              <w:t>450.544</w:t>
            </w:r>
          </w:p>
        </w:tc>
        <w:tc>
          <w:tcPr>
            <w:tcW w:w="1038" w:type="pct"/>
            <w:shd w:val="clear" w:color="auto" w:fill="auto"/>
            <w:tcMar>
              <w:top w:w="15" w:type="dxa"/>
              <w:left w:w="15" w:type="dxa"/>
              <w:bottom w:w="0" w:type="dxa"/>
              <w:right w:w="15" w:type="dxa"/>
            </w:tcMar>
            <w:vAlign w:val="center"/>
          </w:tcPr>
          <w:p w14:paraId="353B6B23">
            <w:pPr>
              <w:jc w:val="center"/>
              <w:rPr>
                <w:rFonts w:hint="default" w:eastAsia="宋体"/>
                <w:color w:val="auto"/>
                <w:sz w:val="22"/>
                <w:szCs w:val="22"/>
                <w:lang w:val="en-US" w:eastAsia="zh-CN"/>
              </w:rPr>
            </w:pPr>
            <w:r>
              <w:rPr>
                <w:color w:val="auto"/>
                <w:sz w:val="22"/>
                <w:szCs w:val="22"/>
              </w:rPr>
              <w:t>+</w:t>
            </w:r>
            <w:r>
              <w:rPr>
                <w:rFonts w:hint="eastAsia"/>
                <w:color w:val="auto"/>
                <w:sz w:val="22"/>
                <w:szCs w:val="22"/>
              </w:rPr>
              <w:t>15</w:t>
            </w:r>
            <w:r>
              <w:rPr>
                <w:rFonts w:hint="eastAsia"/>
                <w:color w:val="auto"/>
                <w:sz w:val="22"/>
                <w:szCs w:val="22"/>
                <w:lang w:val="en-US" w:eastAsia="zh-CN"/>
              </w:rPr>
              <w:t>790.444</w:t>
            </w:r>
          </w:p>
        </w:tc>
      </w:tr>
      <w:tr w14:paraId="2F8B55DC">
        <w:tblPrEx>
          <w:tblBorders>
            <w:top w:val="single" w:color="auto" w:sz="12" w:space="0"/>
            <w:left w:val="single" w:color="auto" w:sz="12" w:space="0"/>
            <w:bottom w:val="single" w:color="auto" w:sz="12" w:space="0"/>
            <w:right w:val="single" w:color="auto" w:sz="12" w:space="0"/>
            <w:insideH w:val="single" w:color="auto" w:sz="4" w:space="0"/>
            <w:insideV w:val="single" w:color="auto" w:sz="6" w:space="0"/>
          </w:tblBorders>
          <w:tblCellMar>
            <w:top w:w="0" w:type="dxa"/>
            <w:left w:w="0" w:type="dxa"/>
            <w:bottom w:w="0" w:type="dxa"/>
            <w:right w:w="0" w:type="dxa"/>
          </w:tblCellMar>
        </w:tblPrEx>
        <w:trPr>
          <w:trHeight w:val="312" w:hRule="atLeast"/>
          <w:jc w:val="center"/>
        </w:trPr>
        <w:tc>
          <w:tcPr>
            <w:tcW w:w="630" w:type="pct"/>
            <w:vAlign w:val="center"/>
          </w:tcPr>
          <w:p w14:paraId="46DE4A40">
            <w:pPr>
              <w:widowControl/>
              <w:jc w:val="center"/>
              <w:rPr>
                <w:rFonts w:eastAsia="仿宋_GB2312"/>
                <w:kern w:val="0"/>
                <w:szCs w:val="21"/>
              </w:rPr>
            </w:pPr>
            <w:r>
              <w:rPr>
                <w:rFonts w:eastAsia="仿宋_GB2312"/>
                <w:kern w:val="0"/>
                <w:szCs w:val="21"/>
              </w:rPr>
              <w:t>7</w:t>
            </w:r>
          </w:p>
        </w:tc>
        <w:tc>
          <w:tcPr>
            <w:tcW w:w="1415" w:type="pct"/>
            <w:tcMar>
              <w:top w:w="15" w:type="dxa"/>
              <w:left w:w="15" w:type="dxa"/>
              <w:bottom w:w="0" w:type="dxa"/>
              <w:right w:w="15" w:type="dxa"/>
            </w:tcMar>
            <w:vAlign w:val="center"/>
          </w:tcPr>
          <w:p w14:paraId="0C07E5D5">
            <w:pPr>
              <w:widowControl/>
              <w:jc w:val="center"/>
              <w:rPr>
                <w:rFonts w:eastAsia="仿宋_GB2312"/>
                <w:kern w:val="0"/>
                <w:szCs w:val="21"/>
              </w:rPr>
            </w:pPr>
            <w:r>
              <w:rPr>
                <w:rFonts w:eastAsia="仿宋_GB2312"/>
                <w:kern w:val="0"/>
                <w:szCs w:val="21"/>
              </w:rPr>
              <w:t>醇基燃料（乙醇制）</w:t>
            </w:r>
          </w:p>
        </w:tc>
        <w:tc>
          <w:tcPr>
            <w:tcW w:w="844" w:type="pct"/>
            <w:shd w:val="clear" w:color="auto" w:fill="auto"/>
            <w:tcMar>
              <w:top w:w="15" w:type="dxa"/>
              <w:left w:w="15" w:type="dxa"/>
              <w:bottom w:w="0" w:type="dxa"/>
              <w:right w:w="15" w:type="dxa"/>
            </w:tcMar>
            <w:vAlign w:val="center"/>
          </w:tcPr>
          <w:p w14:paraId="7B608D0E">
            <w:pPr>
              <w:jc w:val="center"/>
              <w:rPr>
                <w:rFonts w:eastAsia="仿宋_GB2312"/>
                <w:kern w:val="0"/>
                <w:szCs w:val="21"/>
              </w:rPr>
            </w:pPr>
            <w:r>
              <w:rPr>
                <w:rFonts w:hint="eastAsia" w:eastAsia="仿宋_GB2312"/>
                <w:kern w:val="0"/>
                <w:szCs w:val="21"/>
              </w:rPr>
              <w:t>677.28</w:t>
            </w:r>
          </w:p>
        </w:tc>
        <w:tc>
          <w:tcPr>
            <w:tcW w:w="1071" w:type="pct"/>
            <w:tcMar>
              <w:top w:w="15" w:type="dxa"/>
              <w:left w:w="15" w:type="dxa"/>
              <w:bottom w:w="0" w:type="dxa"/>
              <w:right w:w="15" w:type="dxa"/>
            </w:tcMar>
            <w:vAlign w:val="center"/>
          </w:tcPr>
          <w:p w14:paraId="0B68B7FF">
            <w:pPr>
              <w:jc w:val="center"/>
              <w:rPr>
                <w:rFonts w:eastAsia="仿宋_GB2312"/>
                <w:color w:val="auto"/>
                <w:kern w:val="0"/>
                <w:szCs w:val="21"/>
              </w:rPr>
            </w:pPr>
            <w:r>
              <w:rPr>
                <w:rFonts w:hint="eastAsia" w:eastAsia="仿宋_GB2312"/>
                <w:color w:val="auto"/>
                <w:kern w:val="0"/>
                <w:szCs w:val="21"/>
              </w:rPr>
              <w:t>0</w:t>
            </w:r>
          </w:p>
        </w:tc>
        <w:tc>
          <w:tcPr>
            <w:tcW w:w="1038" w:type="pct"/>
            <w:shd w:val="clear" w:color="auto" w:fill="auto"/>
            <w:tcMar>
              <w:top w:w="15" w:type="dxa"/>
              <w:left w:w="15" w:type="dxa"/>
              <w:bottom w:w="0" w:type="dxa"/>
              <w:right w:w="15" w:type="dxa"/>
            </w:tcMar>
            <w:vAlign w:val="center"/>
          </w:tcPr>
          <w:p w14:paraId="167374BC">
            <w:pPr>
              <w:jc w:val="center"/>
              <w:rPr>
                <w:color w:val="auto"/>
                <w:sz w:val="22"/>
                <w:szCs w:val="22"/>
              </w:rPr>
            </w:pPr>
            <w:r>
              <w:rPr>
                <w:rFonts w:hint="eastAsia"/>
                <w:color w:val="auto"/>
                <w:sz w:val="22"/>
                <w:szCs w:val="22"/>
              </w:rPr>
              <w:t>-677.28</w:t>
            </w:r>
          </w:p>
        </w:tc>
      </w:tr>
      <w:tr w14:paraId="79024F96">
        <w:tblPrEx>
          <w:tblBorders>
            <w:top w:val="single" w:color="auto" w:sz="12" w:space="0"/>
            <w:left w:val="single" w:color="auto" w:sz="12" w:space="0"/>
            <w:bottom w:val="single" w:color="auto" w:sz="12" w:space="0"/>
            <w:right w:val="single" w:color="auto" w:sz="12" w:space="0"/>
            <w:insideH w:val="single" w:color="auto" w:sz="4" w:space="0"/>
            <w:insideV w:val="single" w:color="auto" w:sz="6" w:space="0"/>
          </w:tblBorders>
          <w:tblCellMar>
            <w:top w:w="0" w:type="dxa"/>
            <w:left w:w="0" w:type="dxa"/>
            <w:bottom w:w="0" w:type="dxa"/>
            <w:right w:w="0" w:type="dxa"/>
          </w:tblCellMar>
        </w:tblPrEx>
        <w:trPr>
          <w:trHeight w:val="312" w:hRule="atLeast"/>
          <w:jc w:val="center"/>
        </w:trPr>
        <w:tc>
          <w:tcPr>
            <w:tcW w:w="630" w:type="pct"/>
            <w:vAlign w:val="center"/>
          </w:tcPr>
          <w:p w14:paraId="5BCECFBC">
            <w:pPr>
              <w:widowControl/>
              <w:jc w:val="center"/>
              <w:rPr>
                <w:rFonts w:eastAsia="仿宋_GB2312"/>
                <w:kern w:val="0"/>
                <w:szCs w:val="21"/>
              </w:rPr>
            </w:pPr>
            <w:r>
              <w:rPr>
                <w:rFonts w:eastAsia="仿宋_GB2312"/>
                <w:kern w:val="0"/>
                <w:szCs w:val="21"/>
              </w:rPr>
              <w:t>8</w:t>
            </w:r>
          </w:p>
        </w:tc>
        <w:tc>
          <w:tcPr>
            <w:tcW w:w="1415" w:type="pct"/>
            <w:tcMar>
              <w:top w:w="15" w:type="dxa"/>
              <w:left w:w="15" w:type="dxa"/>
              <w:bottom w:w="0" w:type="dxa"/>
              <w:right w:w="15" w:type="dxa"/>
            </w:tcMar>
            <w:vAlign w:val="center"/>
          </w:tcPr>
          <w:p w14:paraId="77F53C32">
            <w:pPr>
              <w:widowControl/>
              <w:jc w:val="center"/>
              <w:rPr>
                <w:rFonts w:eastAsia="仿宋_GB2312"/>
                <w:kern w:val="0"/>
                <w:szCs w:val="21"/>
              </w:rPr>
            </w:pPr>
            <w:r>
              <w:rPr>
                <w:rFonts w:eastAsia="仿宋_GB2312"/>
                <w:kern w:val="0"/>
                <w:szCs w:val="21"/>
              </w:rPr>
              <w:t>N-甲基吡咯烷酮</w:t>
            </w:r>
          </w:p>
        </w:tc>
        <w:tc>
          <w:tcPr>
            <w:tcW w:w="844" w:type="pct"/>
            <w:shd w:val="clear" w:color="auto" w:fill="auto"/>
            <w:tcMar>
              <w:top w:w="15" w:type="dxa"/>
              <w:left w:w="15" w:type="dxa"/>
              <w:bottom w:w="0" w:type="dxa"/>
              <w:right w:w="15" w:type="dxa"/>
            </w:tcMar>
            <w:vAlign w:val="center"/>
          </w:tcPr>
          <w:p w14:paraId="55A8C92F">
            <w:pPr>
              <w:jc w:val="center"/>
              <w:rPr>
                <w:rFonts w:eastAsia="仿宋_GB2312"/>
                <w:kern w:val="0"/>
                <w:szCs w:val="21"/>
              </w:rPr>
            </w:pPr>
            <w:r>
              <w:rPr>
                <w:rFonts w:hint="eastAsia" w:eastAsia="仿宋_GB2312"/>
                <w:kern w:val="0"/>
                <w:szCs w:val="21"/>
              </w:rPr>
              <w:t>8067</w:t>
            </w:r>
          </w:p>
        </w:tc>
        <w:tc>
          <w:tcPr>
            <w:tcW w:w="1071" w:type="pct"/>
            <w:tcMar>
              <w:top w:w="15" w:type="dxa"/>
              <w:left w:w="15" w:type="dxa"/>
              <w:bottom w:w="0" w:type="dxa"/>
              <w:right w:w="15" w:type="dxa"/>
            </w:tcMar>
            <w:vAlign w:val="center"/>
          </w:tcPr>
          <w:p w14:paraId="0BE70FB9">
            <w:pPr>
              <w:widowControl/>
              <w:jc w:val="center"/>
              <w:rPr>
                <w:rFonts w:eastAsia="仿宋_GB2312"/>
                <w:color w:val="auto"/>
                <w:kern w:val="0"/>
                <w:szCs w:val="21"/>
              </w:rPr>
            </w:pPr>
            <w:r>
              <w:rPr>
                <w:rFonts w:eastAsia="仿宋_GB2312"/>
                <w:color w:val="auto"/>
                <w:kern w:val="0"/>
                <w:szCs w:val="21"/>
              </w:rPr>
              <w:t>11388</w:t>
            </w:r>
          </w:p>
        </w:tc>
        <w:tc>
          <w:tcPr>
            <w:tcW w:w="1038" w:type="pct"/>
            <w:shd w:val="clear" w:color="auto" w:fill="auto"/>
            <w:tcMar>
              <w:top w:w="15" w:type="dxa"/>
              <w:left w:w="15" w:type="dxa"/>
              <w:bottom w:w="0" w:type="dxa"/>
              <w:right w:w="15" w:type="dxa"/>
            </w:tcMar>
            <w:vAlign w:val="center"/>
          </w:tcPr>
          <w:p w14:paraId="0305B882">
            <w:pPr>
              <w:jc w:val="center"/>
              <w:rPr>
                <w:color w:val="auto"/>
                <w:sz w:val="22"/>
                <w:szCs w:val="22"/>
              </w:rPr>
            </w:pPr>
            <w:r>
              <w:rPr>
                <w:color w:val="auto"/>
                <w:sz w:val="22"/>
                <w:szCs w:val="22"/>
              </w:rPr>
              <w:t>+</w:t>
            </w:r>
            <w:r>
              <w:rPr>
                <w:rFonts w:hint="eastAsia"/>
                <w:color w:val="auto"/>
                <w:sz w:val="22"/>
                <w:szCs w:val="22"/>
              </w:rPr>
              <w:t>3321</w:t>
            </w:r>
          </w:p>
        </w:tc>
      </w:tr>
      <w:tr w14:paraId="10FF4DD5">
        <w:tblPrEx>
          <w:tblBorders>
            <w:top w:val="single" w:color="auto" w:sz="12" w:space="0"/>
            <w:left w:val="single" w:color="auto" w:sz="12" w:space="0"/>
            <w:bottom w:val="single" w:color="auto" w:sz="12" w:space="0"/>
            <w:right w:val="single" w:color="auto" w:sz="12" w:space="0"/>
            <w:insideH w:val="single" w:color="auto" w:sz="4" w:space="0"/>
            <w:insideV w:val="single" w:color="auto" w:sz="6" w:space="0"/>
          </w:tblBorders>
          <w:tblCellMar>
            <w:top w:w="0" w:type="dxa"/>
            <w:left w:w="0" w:type="dxa"/>
            <w:bottom w:w="0" w:type="dxa"/>
            <w:right w:w="0" w:type="dxa"/>
          </w:tblCellMar>
        </w:tblPrEx>
        <w:trPr>
          <w:trHeight w:val="312" w:hRule="atLeast"/>
          <w:jc w:val="center"/>
        </w:trPr>
        <w:tc>
          <w:tcPr>
            <w:tcW w:w="630" w:type="pct"/>
            <w:vAlign w:val="center"/>
          </w:tcPr>
          <w:p w14:paraId="2A05E216">
            <w:pPr>
              <w:widowControl/>
              <w:jc w:val="center"/>
              <w:rPr>
                <w:rFonts w:eastAsia="仿宋_GB2312"/>
                <w:kern w:val="0"/>
                <w:szCs w:val="21"/>
              </w:rPr>
            </w:pPr>
            <w:r>
              <w:rPr>
                <w:rFonts w:eastAsia="仿宋_GB2312"/>
                <w:kern w:val="0"/>
                <w:szCs w:val="21"/>
              </w:rPr>
              <w:t>9</w:t>
            </w:r>
          </w:p>
        </w:tc>
        <w:tc>
          <w:tcPr>
            <w:tcW w:w="1415" w:type="pct"/>
            <w:tcMar>
              <w:top w:w="15" w:type="dxa"/>
              <w:left w:w="15" w:type="dxa"/>
              <w:bottom w:w="0" w:type="dxa"/>
              <w:right w:w="15" w:type="dxa"/>
            </w:tcMar>
            <w:vAlign w:val="center"/>
          </w:tcPr>
          <w:p w14:paraId="63F5D760">
            <w:pPr>
              <w:widowControl/>
              <w:jc w:val="center"/>
              <w:rPr>
                <w:rFonts w:eastAsia="仿宋_GB2312"/>
                <w:kern w:val="0"/>
                <w:szCs w:val="21"/>
              </w:rPr>
            </w:pPr>
            <w:r>
              <w:rPr>
                <w:rFonts w:eastAsia="仿宋_GB2312"/>
                <w:kern w:val="0"/>
                <w:szCs w:val="21"/>
              </w:rPr>
              <w:t>四氢呋喃</w:t>
            </w:r>
          </w:p>
        </w:tc>
        <w:tc>
          <w:tcPr>
            <w:tcW w:w="844" w:type="pct"/>
            <w:shd w:val="clear" w:color="auto" w:fill="auto"/>
            <w:tcMar>
              <w:top w:w="15" w:type="dxa"/>
              <w:left w:w="15" w:type="dxa"/>
              <w:bottom w:w="0" w:type="dxa"/>
              <w:right w:w="15" w:type="dxa"/>
            </w:tcMar>
            <w:vAlign w:val="center"/>
          </w:tcPr>
          <w:p w14:paraId="243F920D">
            <w:pPr>
              <w:jc w:val="center"/>
              <w:rPr>
                <w:rFonts w:eastAsia="仿宋_GB2312"/>
                <w:kern w:val="0"/>
                <w:szCs w:val="21"/>
              </w:rPr>
            </w:pPr>
            <w:r>
              <w:rPr>
                <w:rFonts w:eastAsia="仿宋_GB2312"/>
                <w:kern w:val="0"/>
                <w:szCs w:val="21"/>
              </w:rPr>
              <w:t>1802.07</w:t>
            </w:r>
          </w:p>
        </w:tc>
        <w:tc>
          <w:tcPr>
            <w:tcW w:w="1071" w:type="pct"/>
            <w:tcMar>
              <w:top w:w="15" w:type="dxa"/>
              <w:left w:w="15" w:type="dxa"/>
              <w:bottom w:w="0" w:type="dxa"/>
              <w:right w:w="15" w:type="dxa"/>
            </w:tcMar>
            <w:vAlign w:val="center"/>
          </w:tcPr>
          <w:p w14:paraId="16BE5EFB">
            <w:pPr>
              <w:widowControl/>
              <w:jc w:val="center"/>
              <w:rPr>
                <w:rFonts w:eastAsia="仿宋_GB2312"/>
                <w:color w:val="auto"/>
                <w:kern w:val="0"/>
                <w:szCs w:val="21"/>
              </w:rPr>
            </w:pPr>
            <w:r>
              <w:rPr>
                <w:rFonts w:hint="eastAsia" w:eastAsia="仿宋_GB2312"/>
                <w:color w:val="auto"/>
                <w:kern w:val="0"/>
                <w:szCs w:val="21"/>
              </w:rPr>
              <w:t>7926.434</w:t>
            </w:r>
          </w:p>
        </w:tc>
        <w:tc>
          <w:tcPr>
            <w:tcW w:w="1038" w:type="pct"/>
            <w:shd w:val="clear" w:color="auto" w:fill="auto"/>
            <w:tcMar>
              <w:top w:w="15" w:type="dxa"/>
              <w:left w:w="15" w:type="dxa"/>
              <w:bottom w:w="0" w:type="dxa"/>
              <w:right w:w="15" w:type="dxa"/>
            </w:tcMar>
            <w:vAlign w:val="center"/>
          </w:tcPr>
          <w:p w14:paraId="2F2BA52A">
            <w:pPr>
              <w:jc w:val="center"/>
              <w:rPr>
                <w:color w:val="auto"/>
                <w:sz w:val="22"/>
                <w:szCs w:val="22"/>
              </w:rPr>
            </w:pPr>
            <w:r>
              <w:rPr>
                <w:color w:val="auto"/>
                <w:sz w:val="22"/>
                <w:szCs w:val="22"/>
              </w:rPr>
              <w:t>+</w:t>
            </w:r>
            <w:r>
              <w:rPr>
                <w:rFonts w:hint="eastAsia"/>
                <w:color w:val="auto"/>
                <w:sz w:val="22"/>
                <w:szCs w:val="22"/>
              </w:rPr>
              <w:t>6124.364</w:t>
            </w:r>
          </w:p>
        </w:tc>
      </w:tr>
      <w:tr w14:paraId="259FDA60">
        <w:tblPrEx>
          <w:tblBorders>
            <w:top w:val="single" w:color="auto" w:sz="12" w:space="0"/>
            <w:left w:val="single" w:color="auto" w:sz="12" w:space="0"/>
            <w:bottom w:val="single" w:color="auto" w:sz="12" w:space="0"/>
            <w:right w:val="single" w:color="auto" w:sz="12" w:space="0"/>
            <w:insideH w:val="single" w:color="auto" w:sz="4" w:space="0"/>
            <w:insideV w:val="single" w:color="auto" w:sz="6" w:space="0"/>
          </w:tblBorders>
          <w:tblCellMar>
            <w:top w:w="0" w:type="dxa"/>
            <w:left w:w="0" w:type="dxa"/>
            <w:bottom w:w="0" w:type="dxa"/>
            <w:right w:w="0" w:type="dxa"/>
          </w:tblCellMar>
        </w:tblPrEx>
        <w:trPr>
          <w:trHeight w:val="312" w:hRule="atLeast"/>
          <w:jc w:val="center"/>
        </w:trPr>
        <w:tc>
          <w:tcPr>
            <w:tcW w:w="630" w:type="pct"/>
            <w:vAlign w:val="center"/>
          </w:tcPr>
          <w:p w14:paraId="67D58838">
            <w:pPr>
              <w:widowControl/>
              <w:jc w:val="center"/>
              <w:rPr>
                <w:rFonts w:eastAsia="仿宋_GB2312"/>
                <w:kern w:val="0"/>
                <w:szCs w:val="21"/>
              </w:rPr>
            </w:pPr>
            <w:r>
              <w:rPr>
                <w:rFonts w:eastAsia="仿宋_GB2312"/>
                <w:kern w:val="0"/>
                <w:szCs w:val="21"/>
              </w:rPr>
              <w:t>10</w:t>
            </w:r>
          </w:p>
        </w:tc>
        <w:tc>
          <w:tcPr>
            <w:tcW w:w="1415" w:type="pct"/>
            <w:tcMar>
              <w:top w:w="15" w:type="dxa"/>
              <w:left w:w="15" w:type="dxa"/>
              <w:bottom w:w="0" w:type="dxa"/>
              <w:right w:w="15" w:type="dxa"/>
            </w:tcMar>
            <w:vAlign w:val="center"/>
          </w:tcPr>
          <w:p w14:paraId="4F3C453E">
            <w:pPr>
              <w:widowControl/>
              <w:jc w:val="center"/>
              <w:rPr>
                <w:rFonts w:eastAsia="仿宋_GB2312"/>
                <w:kern w:val="0"/>
                <w:szCs w:val="21"/>
              </w:rPr>
            </w:pPr>
            <w:r>
              <w:rPr>
                <w:rFonts w:eastAsia="仿宋_GB2312"/>
                <w:kern w:val="0"/>
                <w:szCs w:val="21"/>
              </w:rPr>
              <w:t>丁酮</w:t>
            </w:r>
          </w:p>
        </w:tc>
        <w:tc>
          <w:tcPr>
            <w:tcW w:w="844" w:type="pct"/>
            <w:shd w:val="clear" w:color="auto" w:fill="auto"/>
            <w:tcMar>
              <w:top w:w="15" w:type="dxa"/>
              <w:left w:w="15" w:type="dxa"/>
              <w:bottom w:w="0" w:type="dxa"/>
              <w:right w:w="15" w:type="dxa"/>
            </w:tcMar>
            <w:vAlign w:val="center"/>
          </w:tcPr>
          <w:p w14:paraId="2633F7C0">
            <w:pPr>
              <w:jc w:val="center"/>
              <w:rPr>
                <w:rFonts w:eastAsia="仿宋_GB2312"/>
                <w:kern w:val="0"/>
                <w:szCs w:val="21"/>
              </w:rPr>
            </w:pPr>
            <w:r>
              <w:rPr>
                <w:rFonts w:eastAsia="仿宋_GB2312"/>
                <w:kern w:val="0"/>
                <w:szCs w:val="21"/>
              </w:rPr>
              <w:t>447.72</w:t>
            </w:r>
          </w:p>
        </w:tc>
        <w:tc>
          <w:tcPr>
            <w:tcW w:w="1071" w:type="pct"/>
            <w:tcMar>
              <w:top w:w="15" w:type="dxa"/>
              <w:left w:w="15" w:type="dxa"/>
              <w:bottom w:w="0" w:type="dxa"/>
              <w:right w:w="15" w:type="dxa"/>
            </w:tcMar>
            <w:vAlign w:val="center"/>
          </w:tcPr>
          <w:p w14:paraId="0C1A0709">
            <w:pPr>
              <w:widowControl/>
              <w:jc w:val="center"/>
              <w:rPr>
                <w:rFonts w:eastAsia="仿宋_GB2312"/>
                <w:color w:val="auto"/>
                <w:kern w:val="0"/>
                <w:szCs w:val="21"/>
              </w:rPr>
            </w:pPr>
            <w:r>
              <w:rPr>
                <w:rFonts w:hint="eastAsia" w:eastAsia="仿宋_GB2312"/>
                <w:color w:val="auto"/>
                <w:kern w:val="0"/>
                <w:szCs w:val="21"/>
              </w:rPr>
              <w:t>494.601</w:t>
            </w:r>
          </w:p>
        </w:tc>
        <w:tc>
          <w:tcPr>
            <w:tcW w:w="1038" w:type="pct"/>
            <w:shd w:val="clear" w:color="auto" w:fill="auto"/>
            <w:tcMar>
              <w:top w:w="15" w:type="dxa"/>
              <w:left w:w="15" w:type="dxa"/>
              <w:bottom w:w="0" w:type="dxa"/>
              <w:right w:w="15" w:type="dxa"/>
            </w:tcMar>
            <w:vAlign w:val="center"/>
          </w:tcPr>
          <w:p w14:paraId="14A76940">
            <w:pPr>
              <w:jc w:val="center"/>
              <w:rPr>
                <w:color w:val="auto"/>
                <w:sz w:val="22"/>
                <w:szCs w:val="22"/>
              </w:rPr>
            </w:pPr>
            <w:r>
              <w:rPr>
                <w:color w:val="auto"/>
                <w:sz w:val="22"/>
                <w:szCs w:val="22"/>
              </w:rPr>
              <w:t>+</w:t>
            </w:r>
            <w:r>
              <w:rPr>
                <w:rFonts w:hint="eastAsia"/>
                <w:color w:val="auto"/>
                <w:sz w:val="22"/>
                <w:szCs w:val="22"/>
              </w:rPr>
              <w:t>46.881</w:t>
            </w:r>
          </w:p>
        </w:tc>
      </w:tr>
      <w:tr w14:paraId="5A82A001">
        <w:tblPrEx>
          <w:tblBorders>
            <w:top w:val="single" w:color="auto" w:sz="12" w:space="0"/>
            <w:left w:val="single" w:color="auto" w:sz="12" w:space="0"/>
            <w:bottom w:val="single" w:color="auto" w:sz="12" w:space="0"/>
            <w:right w:val="single" w:color="auto" w:sz="12" w:space="0"/>
            <w:insideH w:val="single" w:color="auto" w:sz="4" w:space="0"/>
            <w:insideV w:val="single" w:color="auto" w:sz="6" w:space="0"/>
          </w:tblBorders>
          <w:tblCellMar>
            <w:top w:w="0" w:type="dxa"/>
            <w:left w:w="0" w:type="dxa"/>
            <w:bottom w:w="0" w:type="dxa"/>
            <w:right w:w="0" w:type="dxa"/>
          </w:tblCellMar>
        </w:tblPrEx>
        <w:trPr>
          <w:trHeight w:val="312" w:hRule="atLeast"/>
          <w:jc w:val="center"/>
        </w:trPr>
        <w:tc>
          <w:tcPr>
            <w:tcW w:w="630" w:type="pct"/>
            <w:vAlign w:val="center"/>
          </w:tcPr>
          <w:p w14:paraId="21B489F4">
            <w:pPr>
              <w:widowControl/>
              <w:jc w:val="center"/>
              <w:rPr>
                <w:rFonts w:eastAsia="仿宋_GB2312"/>
                <w:kern w:val="0"/>
                <w:szCs w:val="21"/>
              </w:rPr>
            </w:pPr>
            <w:r>
              <w:rPr>
                <w:rFonts w:eastAsia="仿宋_GB2312"/>
                <w:kern w:val="0"/>
                <w:szCs w:val="21"/>
              </w:rPr>
              <w:t>11</w:t>
            </w:r>
          </w:p>
        </w:tc>
        <w:tc>
          <w:tcPr>
            <w:tcW w:w="1415" w:type="pct"/>
            <w:tcMar>
              <w:top w:w="15" w:type="dxa"/>
              <w:left w:w="15" w:type="dxa"/>
              <w:bottom w:w="0" w:type="dxa"/>
              <w:right w:w="15" w:type="dxa"/>
            </w:tcMar>
            <w:vAlign w:val="center"/>
          </w:tcPr>
          <w:p w14:paraId="3A1A9059">
            <w:pPr>
              <w:widowControl/>
              <w:jc w:val="center"/>
              <w:rPr>
                <w:rFonts w:eastAsia="仿宋_GB2312"/>
                <w:kern w:val="0"/>
                <w:szCs w:val="21"/>
              </w:rPr>
            </w:pPr>
            <w:r>
              <w:rPr>
                <w:rFonts w:eastAsia="仿宋_GB2312"/>
                <w:kern w:val="0"/>
                <w:szCs w:val="21"/>
              </w:rPr>
              <w:t>丙二醇单甲醚</w:t>
            </w:r>
          </w:p>
        </w:tc>
        <w:tc>
          <w:tcPr>
            <w:tcW w:w="844" w:type="pct"/>
            <w:shd w:val="clear" w:color="auto" w:fill="auto"/>
            <w:tcMar>
              <w:top w:w="15" w:type="dxa"/>
              <w:left w:w="15" w:type="dxa"/>
              <w:bottom w:w="0" w:type="dxa"/>
              <w:right w:w="15" w:type="dxa"/>
            </w:tcMar>
            <w:vAlign w:val="center"/>
          </w:tcPr>
          <w:p w14:paraId="55A3A649">
            <w:pPr>
              <w:jc w:val="center"/>
              <w:rPr>
                <w:rFonts w:eastAsia="仿宋_GB2312"/>
                <w:kern w:val="0"/>
                <w:szCs w:val="21"/>
              </w:rPr>
            </w:pPr>
            <w:r>
              <w:rPr>
                <w:rFonts w:eastAsia="仿宋_GB2312"/>
                <w:kern w:val="0"/>
                <w:szCs w:val="21"/>
              </w:rPr>
              <w:t>1667.74</w:t>
            </w:r>
          </w:p>
        </w:tc>
        <w:tc>
          <w:tcPr>
            <w:tcW w:w="1071" w:type="pct"/>
            <w:tcMar>
              <w:top w:w="15" w:type="dxa"/>
              <w:left w:w="15" w:type="dxa"/>
              <w:bottom w:w="0" w:type="dxa"/>
              <w:right w:w="15" w:type="dxa"/>
            </w:tcMar>
            <w:vAlign w:val="center"/>
          </w:tcPr>
          <w:p w14:paraId="35381A1C">
            <w:pPr>
              <w:widowControl/>
              <w:jc w:val="center"/>
              <w:rPr>
                <w:rFonts w:eastAsia="仿宋_GB2312"/>
                <w:color w:val="auto"/>
                <w:kern w:val="0"/>
                <w:szCs w:val="21"/>
              </w:rPr>
            </w:pPr>
            <w:r>
              <w:rPr>
                <w:rFonts w:hint="eastAsia" w:eastAsia="仿宋_GB2312"/>
                <w:color w:val="auto"/>
                <w:kern w:val="0"/>
                <w:szCs w:val="21"/>
              </w:rPr>
              <w:t>1752.453</w:t>
            </w:r>
          </w:p>
        </w:tc>
        <w:tc>
          <w:tcPr>
            <w:tcW w:w="1038" w:type="pct"/>
            <w:shd w:val="clear" w:color="auto" w:fill="auto"/>
            <w:tcMar>
              <w:top w:w="15" w:type="dxa"/>
              <w:left w:w="15" w:type="dxa"/>
              <w:bottom w:w="0" w:type="dxa"/>
              <w:right w:w="15" w:type="dxa"/>
            </w:tcMar>
            <w:vAlign w:val="center"/>
          </w:tcPr>
          <w:p w14:paraId="2EB8B025">
            <w:pPr>
              <w:jc w:val="center"/>
              <w:rPr>
                <w:color w:val="auto"/>
                <w:sz w:val="22"/>
                <w:szCs w:val="22"/>
              </w:rPr>
            </w:pPr>
            <w:r>
              <w:rPr>
                <w:color w:val="auto"/>
                <w:sz w:val="22"/>
                <w:szCs w:val="22"/>
              </w:rPr>
              <w:t>+</w:t>
            </w:r>
            <w:r>
              <w:rPr>
                <w:rFonts w:hint="eastAsia"/>
                <w:color w:val="auto"/>
                <w:sz w:val="22"/>
                <w:szCs w:val="22"/>
              </w:rPr>
              <w:t>84.713</w:t>
            </w:r>
          </w:p>
        </w:tc>
      </w:tr>
      <w:tr w14:paraId="4C5969B9">
        <w:tblPrEx>
          <w:tblBorders>
            <w:top w:val="single" w:color="auto" w:sz="12" w:space="0"/>
            <w:left w:val="single" w:color="auto" w:sz="12" w:space="0"/>
            <w:bottom w:val="single" w:color="auto" w:sz="12" w:space="0"/>
            <w:right w:val="single" w:color="auto" w:sz="12" w:space="0"/>
            <w:insideH w:val="single" w:color="auto" w:sz="4" w:space="0"/>
            <w:insideV w:val="single" w:color="auto" w:sz="6" w:space="0"/>
          </w:tblBorders>
          <w:tblCellMar>
            <w:top w:w="0" w:type="dxa"/>
            <w:left w:w="0" w:type="dxa"/>
            <w:bottom w:w="0" w:type="dxa"/>
            <w:right w:w="0" w:type="dxa"/>
          </w:tblCellMar>
        </w:tblPrEx>
        <w:trPr>
          <w:trHeight w:val="312" w:hRule="atLeast"/>
          <w:jc w:val="center"/>
        </w:trPr>
        <w:tc>
          <w:tcPr>
            <w:tcW w:w="630" w:type="pct"/>
            <w:vAlign w:val="center"/>
          </w:tcPr>
          <w:p w14:paraId="7587BFF4">
            <w:pPr>
              <w:widowControl/>
              <w:jc w:val="center"/>
              <w:rPr>
                <w:rFonts w:eastAsia="仿宋_GB2312"/>
                <w:kern w:val="0"/>
                <w:szCs w:val="21"/>
              </w:rPr>
            </w:pPr>
            <w:r>
              <w:rPr>
                <w:rFonts w:eastAsia="仿宋_GB2312"/>
                <w:kern w:val="0"/>
                <w:szCs w:val="21"/>
              </w:rPr>
              <w:t>12</w:t>
            </w:r>
          </w:p>
        </w:tc>
        <w:tc>
          <w:tcPr>
            <w:tcW w:w="1415" w:type="pct"/>
            <w:tcMar>
              <w:top w:w="15" w:type="dxa"/>
              <w:left w:w="15" w:type="dxa"/>
              <w:bottom w:w="0" w:type="dxa"/>
              <w:right w:w="15" w:type="dxa"/>
            </w:tcMar>
            <w:vAlign w:val="center"/>
          </w:tcPr>
          <w:p w14:paraId="77D1E749">
            <w:pPr>
              <w:widowControl/>
              <w:jc w:val="center"/>
              <w:rPr>
                <w:rFonts w:eastAsia="仿宋_GB2312"/>
                <w:kern w:val="0"/>
                <w:szCs w:val="21"/>
              </w:rPr>
            </w:pPr>
            <w:r>
              <w:rPr>
                <w:rFonts w:eastAsia="仿宋_GB2312"/>
                <w:kern w:val="0"/>
                <w:szCs w:val="21"/>
              </w:rPr>
              <w:t>甲醇</w:t>
            </w:r>
          </w:p>
        </w:tc>
        <w:tc>
          <w:tcPr>
            <w:tcW w:w="844" w:type="pct"/>
            <w:shd w:val="clear" w:color="auto" w:fill="auto"/>
            <w:tcMar>
              <w:top w:w="15" w:type="dxa"/>
              <w:left w:w="15" w:type="dxa"/>
              <w:bottom w:w="0" w:type="dxa"/>
              <w:right w:w="15" w:type="dxa"/>
            </w:tcMar>
            <w:vAlign w:val="center"/>
          </w:tcPr>
          <w:p w14:paraId="11CC6867">
            <w:pPr>
              <w:jc w:val="center"/>
              <w:rPr>
                <w:rFonts w:eastAsia="仿宋_GB2312"/>
                <w:kern w:val="0"/>
                <w:szCs w:val="21"/>
              </w:rPr>
            </w:pPr>
            <w:r>
              <w:rPr>
                <w:rFonts w:eastAsia="仿宋_GB2312"/>
                <w:kern w:val="0"/>
                <w:szCs w:val="21"/>
              </w:rPr>
              <w:t>2196.13</w:t>
            </w:r>
          </w:p>
        </w:tc>
        <w:tc>
          <w:tcPr>
            <w:tcW w:w="1071" w:type="pct"/>
            <w:tcMar>
              <w:top w:w="15" w:type="dxa"/>
              <w:left w:w="15" w:type="dxa"/>
              <w:bottom w:w="0" w:type="dxa"/>
              <w:right w:w="15" w:type="dxa"/>
            </w:tcMar>
            <w:vAlign w:val="center"/>
          </w:tcPr>
          <w:p w14:paraId="41ED94E1">
            <w:pPr>
              <w:widowControl/>
              <w:jc w:val="center"/>
              <w:rPr>
                <w:rFonts w:eastAsia="仿宋_GB2312"/>
                <w:color w:val="auto"/>
                <w:kern w:val="0"/>
                <w:szCs w:val="21"/>
              </w:rPr>
            </w:pPr>
            <w:r>
              <w:rPr>
                <w:rFonts w:eastAsia="仿宋_GB2312"/>
                <w:color w:val="auto"/>
                <w:kern w:val="0"/>
                <w:szCs w:val="21"/>
              </w:rPr>
              <w:t>25</w:t>
            </w:r>
            <w:r>
              <w:rPr>
                <w:rFonts w:hint="eastAsia" w:eastAsia="仿宋_GB2312"/>
                <w:color w:val="auto"/>
                <w:kern w:val="0"/>
                <w:szCs w:val="21"/>
                <w:lang w:val="en-US" w:eastAsia="zh-CN"/>
              </w:rPr>
              <w:t>728.307</w:t>
            </w:r>
            <w:r>
              <w:rPr>
                <w:rFonts w:eastAsia="仿宋_GB2312"/>
                <w:color w:val="auto"/>
                <w:kern w:val="0"/>
                <w:szCs w:val="21"/>
              </w:rPr>
              <w:t>‬</w:t>
            </w:r>
          </w:p>
        </w:tc>
        <w:tc>
          <w:tcPr>
            <w:tcW w:w="1038" w:type="pct"/>
            <w:shd w:val="clear" w:color="auto" w:fill="auto"/>
            <w:tcMar>
              <w:top w:w="15" w:type="dxa"/>
              <w:left w:w="15" w:type="dxa"/>
              <w:bottom w:w="0" w:type="dxa"/>
              <w:right w:w="15" w:type="dxa"/>
            </w:tcMar>
            <w:vAlign w:val="center"/>
          </w:tcPr>
          <w:p w14:paraId="44253ABD">
            <w:pPr>
              <w:jc w:val="center"/>
              <w:rPr>
                <w:rFonts w:hint="default" w:eastAsia="宋体"/>
                <w:color w:val="auto"/>
                <w:sz w:val="22"/>
                <w:szCs w:val="22"/>
                <w:lang w:val="en-US" w:eastAsia="zh-CN"/>
              </w:rPr>
            </w:pPr>
            <w:r>
              <w:rPr>
                <w:color w:val="auto"/>
                <w:sz w:val="22"/>
                <w:szCs w:val="22"/>
              </w:rPr>
              <w:t>+</w:t>
            </w:r>
            <w:r>
              <w:rPr>
                <w:rFonts w:hint="eastAsia"/>
                <w:color w:val="auto"/>
                <w:sz w:val="22"/>
                <w:szCs w:val="22"/>
              </w:rPr>
              <w:t>23</w:t>
            </w:r>
            <w:r>
              <w:rPr>
                <w:rFonts w:hint="eastAsia"/>
                <w:color w:val="auto"/>
                <w:sz w:val="22"/>
                <w:szCs w:val="22"/>
                <w:lang w:val="en-US" w:eastAsia="zh-CN"/>
              </w:rPr>
              <w:t>532.177</w:t>
            </w:r>
          </w:p>
        </w:tc>
      </w:tr>
      <w:tr w14:paraId="6FA666F5">
        <w:tblPrEx>
          <w:tblBorders>
            <w:top w:val="single" w:color="auto" w:sz="12" w:space="0"/>
            <w:left w:val="single" w:color="auto" w:sz="12" w:space="0"/>
            <w:bottom w:val="single" w:color="auto" w:sz="12" w:space="0"/>
            <w:right w:val="single" w:color="auto" w:sz="12" w:space="0"/>
            <w:insideH w:val="single" w:color="auto" w:sz="4" w:space="0"/>
            <w:insideV w:val="single" w:color="auto" w:sz="6" w:space="0"/>
          </w:tblBorders>
          <w:tblCellMar>
            <w:top w:w="0" w:type="dxa"/>
            <w:left w:w="0" w:type="dxa"/>
            <w:bottom w:w="0" w:type="dxa"/>
            <w:right w:w="0" w:type="dxa"/>
          </w:tblCellMar>
        </w:tblPrEx>
        <w:trPr>
          <w:trHeight w:val="312" w:hRule="atLeast"/>
          <w:jc w:val="center"/>
        </w:trPr>
        <w:tc>
          <w:tcPr>
            <w:tcW w:w="630" w:type="pct"/>
            <w:vAlign w:val="center"/>
          </w:tcPr>
          <w:p w14:paraId="6026A5DC">
            <w:pPr>
              <w:widowControl/>
              <w:jc w:val="center"/>
              <w:rPr>
                <w:rFonts w:eastAsia="仿宋_GB2312"/>
                <w:kern w:val="0"/>
                <w:szCs w:val="21"/>
              </w:rPr>
            </w:pPr>
            <w:r>
              <w:rPr>
                <w:rFonts w:eastAsia="仿宋_GB2312"/>
                <w:kern w:val="0"/>
                <w:szCs w:val="21"/>
              </w:rPr>
              <w:t>13</w:t>
            </w:r>
          </w:p>
        </w:tc>
        <w:tc>
          <w:tcPr>
            <w:tcW w:w="1415" w:type="pct"/>
            <w:tcMar>
              <w:top w:w="15" w:type="dxa"/>
              <w:left w:w="15" w:type="dxa"/>
              <w:bottom w:w="0" w:type="dxa"/>
              <w:right w:w="15" w:type="dxa"/>
            </w:tcMar>
            <w:vAlign w:val="center"/>
          </w:tcPr>
          <w:p w14:paraId="2E70CE20">
            <w:pPr>
              <w:widowControl/>
              <w:jc w:val="center"/>
              <w:rPr>
                <w:rFonts w:eastAsia="仿宋_GB2312"/>
                <w:kern w:val="0"/>
                <w:szCs w:val="21"/>
              </w:rPr>
            </w:pPr>
            <w:r>
              <w:rPr>
                <w:rFonts w:eastAsia="仿宋_GB2312"/>
                <w:kern w:val="0"/>
                <w:szCs w:val="21"/>
              </w:rPr>
              <w:t>醇基燃料（甲醇制）</w:t>
            </w:r>
          </w:p>
        </w:tc>
        <w:tc>
          <w:tcPr>
            <w:tcW w:w="844" w:type="pct"/>
            <w:shd w:val="clear" w:color="auto" w:fill="auto"/>
            <w:tcMar>
              <w:top w:w="15" w:type="dxa"/>
              <w:left w:w="15" w:type="dxa"/>
              <w:bottom w:w="0" w:type="dxa"/>
              <w:right w:w="15" w:type="dxa"/>
            </w:tcMar>
            <w:vAlign w:val="center"/>
          </w:tcPr>
          <w:p w14:paraId="2E546C12">
            <w:pPr>
              <w:jc w:val="center"/>
              <w:rPr>
                <w:rFonts w:eastAsia="仿宋_GB2312"/>
                <w:kern w:val="0"/>
                <w:szCs w:val="21"/>
              </w:rPr>
            </w:pPr>
            <w:r>
              <w:rPr>
                <w:rFonts w:eastAsia="仿宋_GB2312"/>
                <w:kern w:val="0"/>
                <w:szCs w:val="21"/>
              </w:rPr>
              <w:t>2224.65</w:t>
            </w:r>
          </w:p>
        </w:tc>
        <w:tc>
          <w:tcPr>
            <w:tcW w:w="1071" w:type="pct"/>
            <w:tcMar>
              <w:top w:w="15" w:type="dxa"/>
              <w:left w:w="15" w:type="dxa"/>
              <w:bottom w:w="0" w:type="dxa"/>
              <w:right w:w="15" w:type="dxa"/>
            </w:tcMar>
            <w:vAlign w:val="center"/>
          </w:tcPr>
          <w:p w14:paraId="54846452">
            <w:pPr>
              <w:jc w:val="center"/>
              <w:rPr>
                <w:rFonts w:eastAsia="仿宋_GB2312"/>
                <w:color w:val="auto"/>
                <w:kern w:val="0"/>
                <w:szCs w:val="21"/>
              </w:rPr>
            </w:pPr>
            <w:r>
              <w:rPr>
                <w:rFonts w:hint="eastAsia" w:eastAsia="仿宋_GB2312"/>
                <w:color w:val="auto"/>
                <w:kern w:val="0"/>
                <w:szCs w:val="21"/>
              </w:rPr>
              <w:t>0</w:t>
            </w:r>
          </w:p>
        </w:tc>
        <w:tc>
          <w:tcPr>
            <w:tcW w:w="1038" w:type="pct"/>
            <w:shd w:val="clear" w:color="auto" w:fill="auto"/>
            <w:tcMar>
              <w:top w:w="15" w:type="dxa"/>
              <w:left w:w="15" w:type="dxa"/>
              <w:bottom w:w="0" w:type="dxa"/>
              <w:right w:w="15" w:type="dxa"/>
            </w:tcMar>
            <w:vAlign w:val="center"/>
          </w:tcPr>
          <w:p w14:paraId="645DDC6B">
            <w:pPr>
              <w:jc w:val="center"/>
              <w:rPr>
                <w:color w:val="auto"/>
                <w:sz w:val="22"/>
                <w:szCs w:val="22"/>
              </w:rPr>
            </w:pPr>
            <w:r>
              <w:rPr>
                <w:rFonts w:hint="eastAsia"/>
                <w:color w:val="auto"/>
                <w:sz w:val="22"/>
                <w:szCs w:val="22"/>
              </w:rPr>
              <w:t>-2224.65</w:t>
            </w:r>
          </w:p>
        </w:tc>
      </w:tr>
      <w:tr w14:paraId="61397B0E">
        <w:tblPrEx>
          <w:tblBorders>
            <w:top w:val="single" w:color="auto" w:sz="12" w:space="0"/>
            <w:left w:val="single" w:color="auto" w:sz="12" w:space="0"/>
            <w:bottom w:val="single" w:color="auto" w:sz="12" w:space="0"/>
            <w:right w:val="single" w:color="auto" w:sz="12" w:space="0"/>
            <w:insideH w:val="single" w:color="auto" w:sz="4" w:space="0"/>
            <w:insideV w:val="single" w:color="auto" w:sz="6" w:space="0"/>
          </w:tblBorders>
          <w:tblCellMar>
            <w:top w:w="0" w:type="dxa"/>
            <w:left w:w="0" w:type="dxa"/>
            <w:bottom w:w="0" w:type="dxa"/>
            <w:right w:w="0" w:type="dxa"/>
          </w:tblCellMar>
        </w:tblPrEx>
        <w:trPr>
          <w:trHeight w:val="312" w:hRule="atLeast"/>
          <w:jc w:val="center"/>
        </w:trPr>
        <w:tc>
          <w:tcPr>
            <w:tcW w:w="630" w:type="pct"/>
            <w:vAlign w:val="center"/>
          </w:tcPr>
          <w:p w14:paraId="0DACC7F6">
            <w:pPr>
              <w:widowControl/>
              <w:jc w:val="center"/>
              <w:rPr>
                <w:rFonts w:eastAsia="仿宋_GB2312"/>
                <w:kern w:val="0"/>
                <w:szCs w:val="21"/>
              </w:rPr>
            </w:pPr>
            <w:r>
              <w:rPr>
                <w:rFonts w:eastAsia="仿宋_GB2312"/>
                <w:kern w:val="0"/>
                <w:szCs w:val="21"/>
              </w:rPr>
              <w:t>14</w:t>
            </w:r>
          </w:p>
        </w:tc>
        <w:tc>
          <w:tcPr>
            <w:tcW w:w="1415" w:type="pct"/>
            <w:tcMar>
              <w:top w:w="15" w:type="dxa"/>
              <w:left w:w="15" w:type="dxa"/>
              <w:bottom w:w="0" w:type="dxa"/>
              <w:right w:w="15" w:type="dxa"/>
            </w:tcMar>
            <w:vAlign w:val="center"/>
          </w:tcPr>
          <w:p w14:paraId="4A9852E2">
            <w:pPr>
              <w:widowControl/>
              <w:jc w:val="center"/>
              <w:rPr>
                <w:rFonts w:eastAsia="仿宋_GB2312"/>
                <w:kern w:val="0"/>
                <w:szCs w:val="21"/>
              </w:rPr>
            </w:pPr>
            <w:r>
              <w:rPr>
                <w:rFonts w:eastAsia="仿宋_GB2312"/>
                <w:kern w:val="0"/>
                <w:szCs w:val="21"/>
              </w:rPr>
              <w:t>正庚烷</w:t>
            </w:r>
          </w:p>
        </w:tc>
        <w:tc>
          <w:tcPr>
            <w:tcW w:w="844" w:type="pct"/>
            <w:shd w:val="clear" w:color="auto" w:fill="auto"/>
            <w:tcMar>
              <w:top w:w="15" w:type="dxa"/>
              <w:left w:w="15" w:type="dxa"/>
              <w:bottom w:w="0" w:type="dxa"/>
              <w:right w:w="15" w:type="dxa"/>
            </w:tcMar>
            <w:vAlign w:val="center"/>
          </w:tcPr>
          <w:p w14:paraId="6F210E52">
            <w:pPr>
              <w:jc w:val="center"/>
              <w:rPr>
                <w:rFonts w:eastAsia="仿宋_GB2312"/>
                <w:kern w:val="0"/>
                <w:szCs w:val="21"/>
              </w:rPr>
            </w:pPr>
            <w:r>
              <w:rPr>
                <w:rFonts w:eastAsia="仿宋_GB2312"/>
                <w:kern w:val="0"/>
                <w:szCs w:val="21"/>
              </w:rPr>
              <w:t>1163.33</w:t>
            </w:r>
          </w:p>
        </w:tc>
        <w:tc>
          <w:tcPr>
            <w:tcW w:w="1071" w:type="pct"/>
            <w:tcMar>
              <w:top w:w="15" w:type="dxa"/>
              <w:left w:w="15" w:type="dxa"/>
              <w:bottom w:w="0" w:type="dxa"/>
              <w:right w:w="15" w:type="dxa"/>
            </w:tcMar>
            <w:vAlign w:val="center"/>
          </w:tcPr>
          <w:p w14:paraId="4A2493A1">
            <w:pPr>
              <w:jc w:val="center"/>
              <w:rPr>
                <w:rFonts w:eastAsia="仿宋_GB2312"/>
                <w:color w:val="auto"/>
                <w:kern w:val="0"/>
                <w:szCs w:val="21"/>
              </w:rPr>
            </w:pPr>
            <w:r>
              <w:rPr>
                <w:rFonts w:hint="eastAsia" w:eastAsia="仿宋_GB2312"/>
                <w:color w:val="auto"/>
                <w:kern w:val="0"/>
                <w:szCs w:val="21"/>
              </w:rPr>
              <w:t>0</w:t>
            </w:r>
          </w:p>
        </w:tc>
        <w:tc>
          <w:tcPr>
            <w:tcW w:w="1038" w:type="pct"/>
            <w:shd w:val="clear" w:color="auto" w:fill="auto"/>
            <w:tcMar>
              <w:top w:w="15" w:type="dxa"/>
              <w:left w:w="15" w:type="dxa"/>
              <w:bottom w:w="0" w:type="dxa"/>
              <w:right w:w="15" w:type="dxa"/>
            </w:tcMar>
            <w:vAlign w:val="center"/>
          </w:tcPr>
          <w:p w14:paraId="5BE669B6">
            <w:pPr>
              <w:jc w:val="center"/>
              <w:rPr>
                <w:color w:val="auto"/>
                <w:sz w:val="22"/>
                <w:szCs w:val="22"/>
              </w:rPr>
            </w:pPr>
            <w:r>
              <w:rPr>
                <w:color w:val="auto"/>
                <w:sz w:val="22"/>
                <w:szCs w:val="22"/>
              </w:rPr>
              <w:t>-</w:t>
            </w:r>
            <w:r>
              <w:rPr>
                <w:rFonts w:hint="eastAsia"/>
                <w:color w:val="auto"/>
                <w:sz w:val="22"/>
                <w:szCs w:val="22"/>
              </w:rPr>
              <w:t>1163.33</w:t>
            </w:r>
          </w:p>
        </w:tc>
      </w:tr>
      <w:tr w14:paraId="67D2E0C4">
        <w:tblPrEx>
          <w:tblBorders>
            <w:top w:val="single" w:color="auto" w:sz="12" w:space="0"/>
            <w:left w:val="single" w:color="auto" w:sz="12" w:space="0"/>
            <w:bottom w:val="single" w:color="auto" w:sz="12" w:space="0"/>
            <w:right w:val="single" w:color="auto" w:sz="12" w:space="0"/>
            <w:insideH w:val="single" w:color="auto" w:sz="4" w:space="0"/>
            <w:insideV w:val="single" w:color="auto" w:sz="6" w:space="0"/>
          </w:tblBorders>
          <w:tblCellMar>
            <w:top w:w="0" w:type="dxa"/>
            <w:left w:w="0" w:type="dxa"/>
            <w:bottom w:w="0" w:type="dxa"/>
            <w:right w:w="0" w:type="dxa"/>
          </w:tblCellMar>
        </w:tblPrEx>
        <w:trPr>
          <w:trHeight w:val="312" w:hRule="atLeast"/>
          <w:jc w:val="center"/>
        </w:trPr>
        <w:tc>
          <w:tcPr>
            <w:tcW w:w="630" w:type="pct"/>
            <w:vAlign w:val="center"/>
          </w:tcPr>
          <w:p w14:paraId="481D905B">
            <w:pPr>
              <w:widowControl/>
              <w:jc w:val="center"/>
              <w:rPr>
                <w:rFonts w:eastAsia="仿宋_GB2312"/>
                <w:kern w:val="0"/>
                <w:szCs w:val="21"/>
              </w:rPr>
            </w:pPr>
            <w:r>
              <w:rPr>
                <w:rFonts w:eastAsia="仿宋_GB2312"/>
                <w:kern w:val="0"/>
                <w:szCs w:val="21"/>
              </w:rPr>
              <w:t>15</w:t>
            </w:r>
          </w:p>
        </w:tc>
        <w:tc>
          <w:tcPr>
            <w:tcW w:w="1415" w:type="pct"/>
            <w:tcMar>
              <w:top w:w="15" w:type="dxa"/>
              <w:left w:w="15" w:type="dxa"/>
              <w:bottom w:w="0" w:type="dxa"/>
              <w:right w:w="15" w:type="dxa"/>
            </w:tcMar>
            <w:vAlign w:val="center"/>
          </w:tcPr>
          <w:p w14:paraId="05907294">
            <w:pPr>
              <w:widowControl/>
              <w:jc w:val="center"/>
              <w:rPr>
                <w:rFonts w:eastAsia="仿宋_GB2312"/>
                <w:kern w:val="0"/>
                <w:szCs w:val="21"/>
              </w:rPr>
            </w:pPr>
            <w:r>
              <w:rPr>
                <w:rFonts w:eastAsia="仿宋_GB2312"/>
                <w:kern w:val="0"/>
                <w:szCs w:val="21"/>
              </w:rPr>
              <w:t>乙腈</w:t>
            </w:r>
          </w:p>
        </w:tc>
        <w:tc>
          <w:tcPr>
            <w:tcW w:w="844" w:type="pct"/>
            <w:shd w:val="clear" w:color="auto" w:fill="auto"/>
            <w:tcMar>
              <w:top w:w="15" w:type="dxa"/>
              <w:left w:w="15" w:type="dxa"/>
              <w:bottom w:w="0" w:type="dxa"/>
              <w:right w:w="15" w:type="dxa"/>
            </w:tcMar>
            <w:vAlign w:val="center"/>
          </w:tcPr>
          <w:p w14:paraId="622D86A0">
            <w:pPr>
              <w:jc w:val="center"/>
              <w:rPr>
                <w:rFonts w:eastAsia="仿宋_GB2312"/>
                <w:kern w:val="0"/>
                <w:szCs w:val="21"/>
              </w:rPr>
            </w:pPr>
            <w:r>
              <w:rPr>
                <w:rFonts w:eastAsia="仿宋_GB2312"/>
                <w:kern w:val="0"/>
                <w:szCs w:val="21"/>
              </w:rPr>
              <w:t>949.1</w:t>
            </w:r>
          </w:p>
        </w:tc>
        <w:tc>
          <w:tcPr>
            <w:tcW w:w="1071" w:type="pct"/>
            <w:tcMar>
              <w:top w:w="15" w:type="dxa"/>
              <w:left w:w="15" w:type="dxa"/>
              <w:bottom w:w="0" w:type="dxa"/>
              <w:right w:w="15" w:type="dxa"/>
            </w:tcMar>
            <w:vAlign w:val="center"/>
          </w:tcPr>
          <w:p w14:paraId="1A44301C">
            <w:pPr>
              <w:widowControl/>
              <w:jc w:val="center"/>
              <w:rPr>
                <w:rFonts w:eastAsia="仿宋_GB2312"/>
                <w:color w:val="auto"/>
                <w:kern w:val="0"/>
                <w:szCs w:val="21"/>
              </w:rPr>
            </w:pPr>
            <w:r>
              <w:rPr>
                <w:rFonts w:hint="eastAsia" w:eastAsia="仿宋_GB2312"/>
                <w:color w:val="auto"/>
                <w:kern w:val="0"/>
                <w:szCs w:val="21"/>
              </w:rPr>
              <w:t>25325.438</w:t>
            </w:r>
          </w:p>
        </w:tc>
        <w:tc>
          <w:tcPr>
            <w:tcW w:w="1038" w:type="pct"/>
            <w:shd w:val="clear" w:color="auto" w:fill="auto"/>
            <w:tcMar>
              <w:top w:w="15" w:type="dxa"/>
              <w:left w:w="15" w:type="dxa"/>
              <w:bottom w:w="0" w:type="dxa"/>
              <w:right w:w="15" w:type="dxa"/>
            </w:tcMar>
            <w:vAlign w:val="center"/>
          </w:tcPr>
          <w:p w14:paraId="68AD51E3">
            <w:pPr>
              <w:jc w:val="center"/>
              <w:rPr>
                <w:color w:val="auto"/>
                <w:sz w:val="22"/>
                <w:szCs w:val="22"/>
              </w:rPr>
            </w:pPr>
            <w:r>
              <w:rPr>
                <w:color w:val="auto"/>
                <w:sz w:val="22"/>
                <w:szCs w:val="22"/>
              </w:rPr>
              <w:t>+</w:t>
            </w:r>
            <w:r>
              <w:rPr>
                <w:rFonts w:hint="eastAsia"/>
                <w:color w:val="auto"/>
                <w:sz w:val="22"/>
                <w:szCs w:val="22"/>
              </w:rPr>
              <w:t>24376.338</w:t>
            </w:r>
          </w:p>
        </w:tc>
      </w:tr>
      <w:tr w14:paraId="763B7C22">
        <w:tblPrEx>
          <w:tblBorders>
            <w:top w:val="single" w:color="auto" w:sz="12" w:space="0"/>
            <w:left w:val="single" w:color="auto" w:sz="12" w:space="0"/>
            <w:bottom w:val="single" w:color="auto" w:sz="12" w:space="0"/>
            <w:right w:val="single" w:color="auto" w:sz="12" w:space="0"/>
            <w:insideH w:val="single" w:color="auto" w:sz="4" w:space="0"/>
            <w:insideV w:val="single" w:color="auto" w:sz="6" w:space="0"/>
          </w:tblBorders>
          <w:tblCellMar>
            <w:top w:w="0" w:type="dxa"/>
            <w:left w:w="0" w:type="dxa"/>
            <w:bottom w:w="0" w:type="dxa"/>
            <w:right w:w="0" w:type="dxa"/>
          </w:tblCellMar>
        </w:tblPrEx>
        <w:trPr>
          <w:trHeight w:val="312" w:hRule="atLeast"/>
          <w:jc w:val="center"/>
        </w:trPr>
        <w:tc>
          <w:tcPr>
            <w:tcW w:w="630" w:type="pct"/>
            <w:vAlign w:val="center"/>
          </w:tcPr>
          <w:p w14:paraId="6B325C00">
            <w:pPr>
              <w:widowControl/>
              <w:jc w:val="center"/>
              <w:rPr>
                <w:rFonts w:eastAsia="仿宋_GB2312"/>
                <w:kern w:val="0"/>
                <w:szCs w:val="21"/>
              </w:rPr>
            </w:pPr>
            <w:r>
              <w:rPr>
                <w:rFonts w:eastAsia="仿宋_GB2312"/>
                <w:kern w:val="0"/>
                <w:szCs w:val="21"/>
              </w:rPr>
              <w:t>16</w:t>
            </w:r>
          </w:p>
        </w:tc>
        <w:tc>
          <w:tcPr>
            <w:tcW w:w="1415" w:type="pct"/>
            <w:tcMar>
              <w:top w:w="15" w:type="dxa"/>
              <w:left w:w="15" w:type="dxa"/>
              <w:bottom w:w="0" w:type="dxa"/>
              <w:right w:w="15" w:type="dxa"/>
            </w:tcMar>
            <w:vAlign w:val="center"/>
          </w:tcPr>
          <w:p w14:paraId="7FBEE244">
            <w:pPr>
              <w:widowControl/>
              <w:jc w:val="center"/>
              <w:rPr>
                <w:rFonts w:eastAsia="仿宋_GB2312"/>
                <w:kern w:val="0"/>
                <w:szCs w:val="21"/>
              </w:rPr>
            </w:pPr>
            <w:r>
              <w:rPr>
                <w:rFonts w:eastAsia="仿宋_GB2312"/>
                <w:kern w:val="0"/>
                <w:szCs w:val="21"/>
              </w:rPr>
              <w:t>异丙醇</w:t>
            </w:r>
          </w:p>
        </w:tc>
        <w:tc>
          <w:tcPr>
            <w:tcW w:w="844" w:type="pct"/>
            <w:shd w:val="clear" w:color="auto" w:fill="auto"/>
            <w:tcMar>
              <w:top w:w="15" w:type="dxa"/>
              <w:left w:w="15" w:type="dxa"/>
              <w:bottom w:w="0" w:type="dxa"/>
              <w:right w:w="15" w:type="dxa"/>
            </w:tcMar>
            <w:vAlign w:val="center"/>
          </w:tcPr>
          <w:p w14:paraId="77084854">
            <w:pPr>
              <w:jc w:val="center"/>
              <w:rPr>
                <w:rFonts w:eastAsia="仿宋_GB2312"/>
                <w:kern w:val="0"/>
                <w:szCs w:val="21"/>
              </w:rPr>
            </w:pPr>
            <w:r>
              <w:rPr>
                <w:rFonts w:eastAsia="仿宋_GB2312"/>
                <w:kern w:val="0"/>
                <w:szCs w:val="21"/>
              </w:rPr>
              <w:t>73</w:t>
            </w:r>
            <w:r>
              <w:rPr>
                <w:rFonts w:hint="eastAsia" w:eastAsia="仿宋_GB2312"/>
                <w:kern w:val="0"/>
                <w:szCs w:val="21"/>
              </w:rPr>
              <w:t>9</w:t>
            </w:r>
            <w:r>
              <w:rPr>
                <w:rFonts w:eastAsia="仿宋_GB2312"/>
                <w:kern w:val="0"/>
                <w:szCs w:val="21"/>
              </w:rPr>
              <w:t>0</w:t>
            </w:r>
          </w:p>
        </w:tc>
        <w:tc>
          <w:tcPr>
            <w:tcW w:w="1071" w:type="pct"/>
            <w:tcMar>
              <w:top w:w="15" w:type="dxa"/>
              <w:left w:w="15" w:type="dxa"/>
              <w:bottom w:w="0" w:type="dxa"/>
              <w:right w:w="15" w:type="dxa"/>
            </w:tcMar>
            <w:vAlign w:val="center"/>
          </w:tcPr>
          <w:p w14:paraId="7E659EAD">
            <w:pPr>
              <w:jc w:val="center"/>
              <w:rPr>
                <w:rFonts w:eastAsia="仿宋_GB2312"/>
                <w:color w:val="auto"/>
                <w:kern w:val="0"/>
                <w:szCs w:val="21"/>
              </w:rPr>
            </w:pPr>
            <w:r>
              <w:rPr>
                <w:rFonts w:eastAsia="仿宋_GB2312"/>
                <w:color w:val="auto"/>
                <w:kern w:val="0"/>
                <w:szCs w:val="21"/>
              </w:rPr>
              <w:t>14862</w:t>
            </w:r>
          </w:p>
        </w:tc>
        <w:tc>
          <w:tcPr>
            <w:tcW w:w="1038" w:type="pct"/>
            <w:shd w:val="clear" w:color="auto" w:fill="auto"/>
            <w:tcMar>
              <w:top w:w="15" w:type="dxa"/>
              <w:left w:w="15" w:type="dxa"/>
              <w:bottom w:w="0" w:type="dxa"/>
              <w:right w:w="15" w:type="dxa"/>
            </w:tcMar>
            <w:vAlign w:val="center"/>
          </w:tcPr>
          <w:p w14:paraId="79C8FC9F">
            <w:pPr>
              <w:jc w:val="center"/>
              <w:rPr>
                <w:color w:val="auto"/>
                <w:sz w:val="22"/>
                <w:szCs w:val="22"/>
              </w:rPr>
            </w:pPr>
            <w:r>
              <w:rPr>
                <w:color w:val="auto"/>
                <w:sz w:val="22"/>
                <w:szCs w:val="22"/>
              </w:rPr>
              <w:t>+</w:t>
            </w:r>
            <w:r>
              <w:rPr>
                <w:rFonts w:hint="eastAsia"/>
                <w:color w:val="auto"/>
                <w:sz w:val="22"/>
                <w:szCs w:val="22"/>
              </w:rPr>
              <w:t>7472</w:t>
            </w:r>
          </w:p>
        </w:tc>
      </w:tr>
      <w:tr w14:paraId="3D6FB64C">
        <w:tblPrEx>
          <w:tblBorders>
            <w:top w:val="single" w:color="auto" w:sz="12" w:space="0"/>
            <w:left w:val="single" w:color="auto" w:sz="12" w:space="0"/>
            <w:bottom w:val="single" w:color="auto" w:sz="12" w:space="0"/>
            <w:right w:val="single" w:color="auto" w:sz="12" w:space="0"/>
            <w:insideH w:val="single" w:color="auto" w:sz="4" w:space="0"/>
            <w:insideV w:val="single" w:color="auto" w:sz="6" w:space="0"/>
          </w:tblBorders>
          <w:tblCellMar>
            <w:top w:w="0" w:type="dxa"/>
            <w:left w:w="0" w:type="dxa"/>
            <w:bottom w:w="0" w:type="dxa"/>
            <w:right w:w="0" w:type="dxa"/>
          </w:tblCellMar>
        </w:tblPrEx>
        <w:trPr>
          <w:trHeight w:val="312" w:hRule="atLeast"/>
          <w:jc w:val="center"/>
        </w:trPr>
        <w:tc>
          <w:tcPr>
            <w:tcW w:w="630" w:type="pct"/>
            <w:vAlign w:val="center"/>
          </w:tcPr>
          <w:p w14:paraId="34A5C625">
            <w:pPr>
              <w:widowControl/>
              <w:jc w:val="center"/>
              <w:rPr>
                <w:rFonts w:eastAsia="仿宋_GB2312"/>
                <w:kern w:val="0"/>
                <w:szCs w:val="21"/>
              </w:rPr>
            </w:pPr>
            <w:r>
              <w:rPr>
                <w:rFonts w:eastAsia="仿宋_GB2312"/>
                <w:kern w:val="0"/>
                <w:szCs w:val="21"/>
              </w:rPr>
              <w:t>17</w:t>
            </w:r>
          </w:p>
        </w:tc>
        <w:tc>
          <w:tcPr>
            <w:tcW w:w="1415" w:type="pct"/>
            <w:tcMar>
              <w:top w:w="15" w:type="dxa"/>
              <w:left w:w="15" w:type="dxa"/>
              <w:bottom w:w="0" w:type="dxa"/>
              <w:right w:w="15" w:type="dxa"/>
            </w:tcMar>
            <w:vAlign w:val="center"/>
          </w:tcPr>
          <w:p w14:paraId="64141302">
            <w:pPr>
              <w:widowControl/>
              <w:jc w:val="center"/>
              <w:rPr>
                <w:rFonts w:eastAsia="仿宋_GB2312"/>
                <w:kern w:val="0"/>
                <w:szCs w:val="21"/>
              </w:rPr>
            </w:pPr>
            <w:r>
              <w:rPr>
                <w:rFonts w:eastAsia="仿宋_GB2312"/>
                <w:kern w:val="0"/>
                <w:szCs w:val="21"/>
              </w:rPr>
              <w:t>DMF</w:t>
            </w:r>
          </w:p>
        </w:tc>
        <w:tc>
          <w:tcPr>
            <w:tcW w:w="844" w:type="pct"/>
            <w:shd w:val="clear" w:color="auto" w:fill="auto"/>
            <w:tcMar>
              <w:top w:w="15" w:type="dxa"/>
              <w:left w:w="15" w:type="dxa"/>
              <w:bottom w:w="0" w:type="dxa"/>
              <w:right w:w="15" w:type="dxa"/>
            </w:tcMar>
            <w:vAlign w:val="center"/>
          </w:tcPr>
          <w:p w14:paraId="340A84A9">
            <w:pPr>
              <w:jc w:val="center"/>
              <w:rPr>
                <w:rFonts w:eastAsia="仿宋_GB2312"/>
                <w:kern w:val="0"/>
                <w:szCs w:val="21"/>
              </w:rPr>
            </w:pPr>
            <w:r>
              <w:rPr>
                <w:rFonts w:eastAsia="仿宋_GB2312"/>
                <w:kern w:val="0"/>
                <w:szCs w:val="21"/>
              </w:rPr>
              <w:t>1176.92</w:t>
            </w:r>
          </w:p>
        </w:tc>
        <w:tc>
          <w:tcPr>
            <w:tcW w:w="1071" w:type="pct"/>
            <w:tcMar>
              <w:top w:w="15" w:type="dxa"/>
              <w:left w:w="15" w:type="dxa"/>
              <w:bottom w:w="0" w:type="dxa"/>
              <w:right w:w="15" w:type="dxa"/>
            </w:tcMar>
            <w:vAlign w:val="center"/>
          </w:tcPr>
          <w:p w14:paraId="4880C735">
            <w:pPr>
              <w:widowControl/>
              <w:jc w:val="center"/>
              <w:rPr>
                <w:rFonts w:hint="default" w:eastAsia="仿宋_GB2312"/>
                <w:color w:val="auto"/>
                <w:kern w:val="0"/>
                <w:szCs w:val="21"/>
                <w:lang w:val="en-US" w:eastAsia="zh-CN"/>
              </w:rPr>
            </w:pPr>
            <w:r>
              <w:rPr>
                <w:rFonts w:hint="eastAsia" w:eastAsia="仿宋_GB2312"/>
                <w:color w:val="auto"/>
                <w:kern w:val="0"/>
                <w:szCs w:val="21"/>
                <w:lang w:val="en-US" w:eastAsia="zh-CN"/>
              </w:rPr>
              <w:t>20508.148</w:t>
            </w:r>
          </w:p>
        </w:tc>
        <w:tc>
          <w:tcPr>
            <w:tcW w:w="1038" w:type="pct"/>
            <w:shd w:val="clear" w:color="auto" w:fill="auto"/>
            <w:tcMar>
              <w:top w:w="15" w:type="dxa"/>
              <w:left w:w="15" w:type="dxa"/>
              <w:bottom w:w="0" w:type="dxa"/>
              <w:right w:w="15" w:type="dxa"/>
            </w:tcMar>
            <w:vAlign w:val="center"/>
          </w:tcPr>
          <w:p w14:paraId="31983B7B">
            <w:pPr>
              <w:jc w:val="center"/>
              <w:rPr>
                <w:rFonts w:hint="default" w:eastAsia="宋体"/>
                <w:color w:val="auto"/>
                <w:sz w:val="22"/>
                <w:szCs w:val="22"/>
                <w:lang w:val="en-US" w:eastAsia="zh-CN"/>
              </w:rPr>
            </w:pPr>
            <w:r>
              <w:rPr>
                <w:color w:val="auto"/>
                <w:sz w:val="22"/>
                <w:szCs w:val="22"/>
              </w:rPr>
              <w:t>+</w:t>
            </w:r>
            <w:r>
              <w:rPr>
                <w:rFonts w:hint="eastAsia"/>
                <w:color w:val="auto"/>
                <w:sz w:val="22"/>
                <w:szCs w:val="22"/>
              </w:rPr>
              <w:t>19</w:t>
            </w:r>
            <w:r>
              <w:rPr>
                <w:rFonts w:hint="eastAsia"/>
                <w:color w:val="auto"/>
                <w:sz w:val="22"/>
                <w:szCs w:val="22"/>
                <w:lang w:val="en-US" w:eastAsia="zh-CN"/>
              </w:rPr>
              <w:t>331.228</w:t>
            </w:r>
          </w:p>
        </w:tc>
      </w:tr>
      <w:tr w14:paraId="25D59E9E">
        <w:tblPrEx>
          <w:tblBorders>
            <w:top w:val="single" w:color="auto" w:sz="12" w:space="0"/>
            <w:left w:val="single" w:color="auto" w:sz="12" w:space="0"/>
            <w:bottom w:val="single" w:color="auto" w:sz="12" w:space="0"/>
            <w:right w:val="single" w:color="auto" w:sz="12" w:space="0"/>
            <w:insideH w:val="single" w:color="auto" w:sz="4" w:space="0"/>
            <w:insideV w:val="single" w:color="auto" w:sz="6" w:space="0"/>
          </w:tblBorders>
          <w:tblCellMar>
            <w:top w:w="0" w:type="dxa"/>
            <w:left w:w="0" w:type="dxa"/>
            <w:bottom w:w="0" w:type="dxa"/>
            <w:right w:w="0" w:type="dxa"/>
          </w:tblCellMar>
        </w:tblPrEx>
        <w:trPr>
          <w:trHeight w:val="312" w:hRule="atLeast"/>
          <w:jc w:val="center"/>
        </w:trPr>
        <w:tc>
          <w:tcPr>
            <w:tcW w:w="630" w:type="pct"/>
            <w:vAlign w:val="center"/>
          </w:tcPr>
          <w:p w14:paraId="564DDA4B">
            <w:pPr>
              <w:widowControl/>
              <w:jc w:val="center"/>
              <w:rPr>
                <w:rFonts w:eastAsia="仿宋_GB2312"/>
                <w:kern w:val="0"/>
                <w:szCs w:val="21"/>
              </w:rPr>
            </w:pPr>
            <w:r>
              <w:rPr>
                <w:rFonts w:eastAsia="仿宋_GB2312"/>
                <w:kern w:val="0"/>
                <w:szCs w:val="21"/>
              </w:rPr>
              <w:t>18</w:t>
            </w:r>
          </w:p>
        </w:tc>
        <w:tc>
          <w:tcPr>
            <w:tcW w:w="1415" w:type="pct"/>
            <w:tcMar>
              <w:top w:w="15" w:type="dxa"/>
              <w:left w:w="15" w:type="dxa"/>
              <w:bottom w:w="0" w:type="dxa"/>
              <w:right w:w="15" w:type="dxa"/>
            </w:tcMar>
            <w:vAlign w:val="center"/>
          </w:tcPr>
          <w:p w14:paraId="26F97E2B">
            <w:pPr>
              <w:widowControl/>
              <w:jc w:val="center"/>
              <w:rPr>
                <w:rFonts w:eastAsia="仿宋_GB2312"/>
                <w:kern w:val="0"/>
                <w:szCs w:val="21"/>
              </w:rPr>
            </w:pPr>
            <w:r>
              <w:rPr>
                <w:rFonts w:eastAsia="仿宋_GB2312"/>
                <w:kern w:val="0"/>
                <w:szCs w:val="21"/>
              </w:rPr>
              <w:t>环己烷</w:t>
            </w:r>
          </w:p>
        </w:tc>
        <w:tc>
          <w:tcPr>
            <w:tcW w:w="844" w:type="pct"/>
            <w:shd w:val="clear" w:color="auto" w:fill="auto"/>
            <w:tcMar>
              <w:top w:w="15" w:type="dxa"/>
              <w:left w:w="15" w:type="dxa"/>
              <w:bottom w:w="0" w:type="dxa"/>
              <w:right w:w="15" w:type="dxa"/>
            </w:tcMar>
            <w:vAlign w:val="center"/>
          </w:tcPr>
          <w:p w14:paraId="6F8337B7">
            <w:pPr>
              <w:jc w:val="center"/>
              <w:rPr>
                <w:rFonts w:eastAsia="仿宋_GB2312"/>
                <w:kern w:val="0"/>
                <w:szCs w:val="21"/>
              </w:rPr>
            </w:pPr>
            <w:r>
              <w:rPr>
                <w:rFonts w:eastAsia="仿宋_GB2312"/>
                <w:kern w:val="0"/>
                <w:szCs w:val="21"/>
              </w:rPr>
              <w:t>799.14</w:t>
            </w:r>
          </w:p>
        </w:tc>
        <w:tc>
          <w:tcPr>
            <w:tcW w:w="1071" w:type="pct"/>
            <w:tcMar>
              <w:top w:w="15" w:type="dxa"/>
              <w:left w:w="15" w:type="dxa"/>
              <w:bottom w:w="0" w:type="dxa"/>
              <w:right w:w="15" w:type="dxa"/>
            </w:tcMar>
            <w:vAlign w:val="center"/>
          </w:tcPr>
          <w:p w14:paraId="7124DA62">
            <w:pPr>
              <w:jc w:val="center"/>
              <w:rPr>
                <w:rFonts w:eastAsia="仿宋_GB2312"/>
                <w:color w:val="auto"/>
                <w:kern w:val="0"/>
                <w:szCs w:val="21"/>
              </w:rPr>
            </w:pPr>
            <w:r>
              <w:rPr>
                <w:rFonts w:hint="eastAsia" w:eastAsia="仿宋_GB2312"/>
                <w:color w:val="auto"/>
                <w:kern w:val="0"/>
                <w:szCs w:val="21"/>
              </w:rPr>
              <w:t>1598</w:t>
            </w:r>
          </w:p>
        </w:tc>
        <w:tc>
          <w:tcPr>
            <w:tcW w:w="1038" w:type="pct"/>
            <w:shd w:val="clear" w:color="auto" w:fill="auto"/>
            <w:tcMar>
              <w:top w:w="15" w:type="dxa"/>
              <w:left w:w="15" w:type="dxa"/>
              <w:bottom w:w="0" w:type="dxa"/>
              <w:right w:w="15" w:type="dxa"/>
            </w:tcMar>
            <w:vAlign w:val="center"/>
          </w:tcPr>
          <w:p w14:paraId="5A9642AD">
            <w:pPr>
              <w:jc w:val="center"/>
              <w:rPr>
                <w:color w:val="auto"/>
                <w:sz w:val="22"/>
                <w:szCs w:val="22"/>
              </w:rPr>
            </w:pPr>
            <w:r>
              <w:rPr>
                <w:color w:val="auto"/>
                <w:sz w:val="22"/>
                <w:szCs w:val="22"/>
              </w:rPr>
              <w:t>+</w:t>
            </w:r>
            <w:r>
              <w:rPr>
                <w:rFonts w:hint="eastAsia"/>
                <w:color w:val="auto"/>
                <w:sz w:val="22"/>
                <w:szCs w:val="22"/>
              </w:rPr>
              <w:t>798.86</w:t>
            </w:r>
          </w:p>
        </w:tc>
      </w:tr>
      <w:tr w14:paraId="0A1CD185">
        <w:tblPrEx>
          <w:tblBorders>
            <w:top w:val="single" w:color="auto" w:sz="12" w:space="0"/>
            <w:left w:val="single" w:color="auto" w:sz="12" w:space="0"/>
            <w:bottom w:val="single" w:color="auto" w:sz="12" w:space="0"/>
            <w:right w:val="single" w:color="auto" w:sz="12" w:space="0"/>
            <w:insideH w:val="single" w:color="auto" w:sz="4" w:space="0"/>
            <w:insideV w:val="single" w:color="auto" w:sz="6" w:space="0"/>
          </w:tblBorders>
          <w:tblCellMar>
            <w:top w:w="0" w:type="dxa"/>
            <w:left w:w="0" w:type="dxa"/>
            <w:bottom w:w="0" w:type="dxa"/>
            <w:right w:w="0" w:type="dxa"/>
          </w:tblCellMar>
        </w:tblPrEx>
        <w:trPr>
          <w:trHeight w:val="312" w:hRule="atLeast"/>
          <w:jc w:val="center"/>
        </w:trPr>
        <w:tc>
          <w:tcPr>
            <w:tcW w:w="630" w:type="pct"/>
            <w:vAlign w:val="center"/>
          </w:tcPr>
          <w:p w14:paraId="0DC910EC">
            <w:pPr>
              <w:widowControl/>
              <w:jc w:val="center"/>
              <w:rPr>
                <w:rFonts w:eastAsia="仿宋_GB2312"/>
                <w:kern w:val="0"/>
                <w:szCs w:val="21"/>
              </w:rPr>
            </w:pPr>
            <w:r>
              <w:rPr>
                <w:rFonts w:eastAsia="仿宋_GB2312"/>
                <w:kern w:val="0"/>
                <w:szCs w:val="21"/>
              </w:rPr>
              <w:t>19</w:t>
            </w:r>
          </w:p>
        </w:tc>
        <w:tc>
          <w:tcPr>
            <w:tcW w:w="1415" w:type="pct"/>
            <w:tcMar>
              <w:top w:w="15" w:type="dxa"/>
              <w:left w:w="15" w:type="dxa"/>
              <w:bottom w:w="0" w:type="dxa"/>
              <w:right w:w="15" w:type="dxa"/>
            </w:tcMar>
            <w:vAlign w:val="center"/>
          </w:tcPr>
          <w:p w14:paraId="202593F4">
            <w:pPr>
              <w:widowControl/>
              <w:jc w:val="center"/>
              <w:rPr>
                <w:rFonts w:eastAsia="仿宋_GB2312"/>
                <w:kern w:val="0"/>
                <w:szCs w:val="21"/>
              </w:rPr>
            </w:pPr>
            <w:r>
              <w:rPr>
                <w:rFonts w:eastAsia="仿宋_GB2312"/>
                <w:kern w:val="0"/>
                <w:szCs w:val="21"/>
              </w:rPr>
              <w:t>环己酮</w:t>
            </w:r>
          </w:p>
        </w:tc>
        <w:tc>
          <w:tcPr>
            <w:tcW w:w="844" w:type="pct"/>
            <w:shd w:val="clear" w:color="auto" w:fill="auto"/>
            <w:tcMar>
              <w:top w:w="15" w:type="dxa"/>
              <w:left w:w="15" w:type="dxa"/>
              <w:bottom w:w="0" w:type="dxa"/>
              <w:right w:w="15" w:type="dxa"/>
            </w:tcMar>
            <w:vAlign w:val="center"/>
          </w:tcPr>
          <w:p w14:paraId="3CD65984">
            <w:pPr>
              <w:jc w:val="center"/>
              <w:rPr>
                <w:rFonts w:eastAsia="仿宋_GB2312"/>
                <w:kern w:val="0"/>
                <w:szCs w:val="21"/>
              </w:rPr>
            </w:pPr>
            <w:r>
              <w:rPr>
                <w:rFonts w:eastAsia="仿宋_GB2312"/>
                <w:kern w:val="0"/>
                <w:szCs w:val="21"/>
              </w:rPr>
              <w:t>363.98</w:t>
            </w:r>
          </w:p>
        </w:tc>
        <w:tc>
          <w:tcPr>
            <w:tcW w:w="1071" w:type="pct"/>
            <w:tcMar>
              <w:top w:w="15" w:type="dxa"/>
              <w:left w:w="15" w:type="dxa"/>
              <w:bottom w:w="0" w:type="dxa"/>
              <w:right w:w="15" w:type="dxa"/>
            </w:tcMar>
            <w:vAlign w:val="center"/>
          </w:tcPr>
          <w:p w14:paraId="11A94B63">
            <w:pPr>
              <w:widowControl/>
              <w:jc w:val="center"/>
              <w:rPr>
                <w:rFonts w:eastAsia="仿宋_GB2312"/>
                <w:color w:val="auto"/>
                <w:kern w:val="0"/>
                <w:szCs w:val="21"/>
              </w:rPr>
            </w:pPr>
            <w:r>
              <w:rPr>
                <w:rFonts w:hint="eastAsia" w:eastAsia="仿宋_GB2312"/>
                <w:color w:val="auto"/>
                <w:kern w:val="0"/>
                <w:szCs w:val="21"/>
              </w:rPr>
              <w:t>364.78</w:t>
            </w:r>
          </w:p>
        </w:tc>
        <w:tc>
          <w:tcPr>
            <w:tcW w:w="1038" w:type="pct"/>
            <w:shd w:val="clear" w:color="auto" w:fill="auto"/>
            <w:tcMar>
              <w:top w:w="15" w:type="dxa"/>
              <w:left w:w="15" w:type="dxa"/>
              <w:bottom w:w="0" w:type="dxa"/>
              <w:right w:w="15" w:type="dxa"/>
            </w:tcMar>
            <w:vAlign w:val="center"/>
          </w:tcPr>
          <w:p w14:paraId="730F49DE">
            <w:pPr>
              <w:jc w:val="center"/>
              <w:rPr>
                <w:color w:val="auto"/>
                <w:sz w:val="22"/>
                <w:szCs w:val="22"/>
              </w:rPr>
            </w:pPr>
            <w:r>
              <w:rPr>
                <w:color w:val="auto"/>
                <w:sz w:val="22"/>
                <w:szCs w:val="22"/>
              </w:rPr>
              <w:t>+</w:t>
            </w:r>
            <w:r>
              <w:rPr>
                <w:rFonts w:hint="eastAsia"/>
                <w:color w:val="auto"/>
                <w:sz w:val="22"/>
                <w:szCs w:val="22"/>
              </w:rPr>
              <w:t>0.8</w:t>
            </w:r>
          </w:p>
        </w:tc>
      </w:tr>
      <w:tr w14:paraId="38E004F5">
        <w:tblPrEx>
          <w:tblBorders>
            <w:top w:val="single" w:color="auto" w:sz="12" w:space="0"/>
            <w:left w:val="single" w:color="auto" w:sz="12" w:space="0"/>
            <w:bottom w:val="single" w:color="auto" w:sz="12" w:space="0"/>
            <w:right w:val="single" w:color="auto" w:sz="12" w:space="0"/>
            <w:insideH w:val="single" w:color="auto" w:sz="4" w:space="0"/>
            <w:insideV w:val="single" w:color="auto" w:sz="6" w:space="0"/>
          </w:tblBorders>
          <w:tblCellMar>
            <w:top w:w="0" w:type="dxa"/>
            <w:left w:w="0" w:type="dxa"/>
            <w:bottom w:w="0" w:type="dxa"/>
            <w:right w:w="0" w:type="dxa"/>
          </w:tblCellMar>
        </w:tblPrEx>
        <w:trPr>
          <w:trHeight w:val="312" w:hRule="atLeast"/>
          <w:jc w:val="center"/>
        </w:trPr>
        <w:tc>
          <w:tcPr>
            <w:tcW w:w="630" w:type="pct"/>
            <w:vAlign w:val="center"/>
          </w:tcPr>
          <w:p w14:paraId="51BAF5FC">
            <w:pPr>
              <w:widowControl/>
              <w:jc w:val="center"/>
              <w:rPr>
                <w:rFonts w:eastAsia="仿宋_GB2312"/>
                <w:kern w:val="0"/>
                <w:szCs w:val="21"/>
              </w:rPr>
            </w:pPr>
            <w:r>
              <w:rPr>
                <w:rFonts w:eastAsia="仿宋_GB2312"/>
                <w:kern w:val="0"/>
                <w:szCs w:val="21"/>
              </w:rPr>
              <w:t>20</w:t>
            </w:r>
          </w:p>
        </w:tc>
        <w:tc>
          <w:tcPr>
            <w:tcW w:w="1415" w:type="pct"/>
            <w:tcMar>
              <w:top w:w="15" w:type="dxa"/>
              <w:left w:w="15" w:type="dxa"/>
              <w:bottom w:w="0" w:type="dxa"/>
              <w:right w:w="15" w:type="dxa"/>
            </w:tcMar>
            <w:vAlign w:val="center"/>
          </w:tcPr>
          <w:p w14:paraId="63FBDAE5">
            <w:pPr>
              <w:widowControl/>
              <w:jc w:val="center"/>
              <w:rPr>
                <w:rFonts w:eastAsia="仿宋_GB2312"/>
                <w:kern w:val="0"/>
                <w:szCs w:val="21"/>
              </w:rPr>
            </w:pPr>
            <w:r>
              <w:rPr>
                <w:rFonts w:eastAsia="仿宋_GB2312"/>
                <w:kern w:val="0"/>
                <w:szCs w:val="21"/>
              </w:rPr>
              <w:t>乙二醇</w:t>
            </w:r>
          </w:p>
        </w:tc>
        <w:tc>
          <w:tcPr>
            <w:tcW w:w="844" w:type="pct"/>
            <w:shd w:val="clear" w:color="auto" w:fill="auto"/>
            <w:tcMar>
              <w:top w:w="15" w:type="dxa"/>
              <w:left w:w="15" w:type="dxa"/>
              <w:bottom w:w="0" w:type="dxa"/>
              <w:right w:w="15" w:type="dxa"/>
            </w:tcMar>
            <w:vAlign w:val="center"/>
          </w:tcPr>
          <w:p w14:paraId="6C94866B">
            <w:pPr>
              <w:jc w:val="center"/>
              <w:rPr>
                <w:rFonts w:eastAsia="仿宋_GB2312"/>
                <w:kern w:val="0"/>
                <w:szCs w:val="21"/>
              </w:rPr>
            </w:pPr>
            <w:r>
              <w:rPr>
                <w:rFonts w:eastAsia="仿宋_GB2312"/>
                <w:kern w:val="0"/>
                <w:szCs w:val="21"/>
              </w:rPr>
              <w:t>770.75</w:t>
            </w:r>
          </w:p>
        </w:tc>
        <w:tc>
          <w:tcPr>
            <w:tcW w:w="1071" w:type="pct"/>
            <w:tcMar>
              <w:top w:w="15" w:type="dxa"/>
              <w:left w:w="15" w:type="dxa"/>
              <w:bottom w:w="0" w:type="dxa"/>
              <w:right w:w="15" w:type="dxa"/>
            </w:tcMar>
            <w:vAlign w:val="center"/>
          </w:tcPr>
          <w:p w14:paraId="6849ED55">
            <w:pPr>
              <w:jc w:val="center"/>
              <w:rPr>
                <w:rFonts w:eastAsia="仿宋_GB2312"/>
                <w:color w:val="auto"/>
                <w:kern w:val="0"/>
                <w:szCs w:val="21"/>
              </w:rPr>
            </w:pPr>
            <w:r>
              <w:rPr>
                <w:rFonts w:hint="eastAsia" w:eastAsia="仿宋_GB2312"/>
                <w:color w:val="auto"/>
                <w:kern w:val="0"/>
                <w:szCs w:val="21"/>
              </w:rPr>
              <w:t>0</w:t>
            </w:r>
          </w:p>
        </w:tc>
        <w:tc>
          <w:tcPr>
            <w:tcW w:w="1038" w:type="pct"/>
            <w:shd w:val="clear" w:color="auto" w:fill="auto"/>
            <w:tcMar>
              <w:top w:w="15" w:type="dxa"/>
              <w:left w:w="15" w:type="dxa"/>
              <w:bottom w:w="0" w:type="dxa"/>
              <w:right w:w="15" w:type="dxa"/>
            </w:tcMar>
            <w:vAlign w:val="center"/>
          </w:tcPr>
          <w:p w14:paraId="503FF9EB">
            <w:pPr>
              <w:jc w:val="center"/>
              <w:rPr>
                <w:color w:val="auto"/>
                <w:sz w:val="22"/>
                <w:szCs w:val="22"/>
              </w:rPr>
            </w:pPr>
            <w:r>
              <w:rPr>
                <w:rFonts w:hint="eastAsia"/>
                <w:color w:val="auto"/>
                <w:sz w:val="22"/>
                <w:szCs w:val="22"/>
              </w:rPr>
              <w:t>-770.75</w:t>
            </w:r>
          </w:p>
        </w:tc>
      </w:tr>
      <w:tr w14:paraId="5D93A9C4">
        <w:tblPrEx>
          <w:tblBorders>
            <w:top w:val="single" w:color="auto" w:sz="12" w:space="0"/>
            <w:left w:val="single" w:color="auto" w:sz="12" w:space="0"/>
            <w:bottom w:val="single" w:color="auto" w:sz="12" w:space="0"/>
            <w:right w:val="single" w:color="auto" w:sz="12" w:space="0"/>
            <w:insideH w:val="single" w:color="auto" w:sz="4" w:space="0"/>
            <w:insideV w:val="single" w:color="auto" w:sz="6" w:space="0"/>
          </w:tblBorders>
          <w:tblCellMar>
            <w:top w:w="0" w:type="dxa"/>
            <w:left w:w="0" w:type="dxa"/>
            <w:bottom w:w="0" w:type="dxa"/>
            <w:right w:w="0" w:type="dxa"/>
          </w:tblCellMar>
        </w:tblPrEx>
        <w:trPr>
          <w:trHeight w:val="312" w:hRule="atLeast"/>
          <w:jc w:val="center"/>
        </w:trPr>
        <w:tc>
          <w:tcPr>
            <w:tcW w:w="630" w:type="pct"/>
            <w:vAlign w:val="center"/>
          </w:tcPr>
          <w:p w14:paraId="504CD117">
            <w:pPr>
              <w:widowControl/>
              <w:jc w:val="center"/>
              <w:rPr>
                <w:rFonts w:eastAsia="仿宋_GB2312"/>
                <w:kern w:val="0"/>
                <w:szCs w:val="21"/>
              </w:rPr>
            </w:pPr>
            <w:r>
              <w:rPr>
                <w:rFonts w:eastAsia="仿宋_GB2312"/>
                <w:kern w:val="0"/>
                <w:szCs w:val="21"/>
              </w:rPr>
              <w:t>21</w:t>
            </w:r>
          </w:p>
        </w:tc>
        <w:tc>
          <w:tcPr>
            <w:tcW w:w="1415" w:type="pct"/>
            <w:tcMar>
              <w:top w:w="15" w:type="dxa"/>
              <w:left w:w="15" w:type="dxa"/>
              <w:bottom w:w="0" w:type="dxa"/>
              <w:right w:w="15" w:type="dxa"/>
            </w:tcMar>
            <w:vAlign w:val="center"/>
          </w:tcPr>
          <w:p w14:paraId="74B90A4B">
            <w:pPr>
              <w:widowControl/>
              <w:jc w:val="center"/>
              <w:rPr>
                <w:rFonts w:eastAsia="仿宋_GB2312"/>
                <w:kern w:val="0"/>
                <w:szCs w:val="21"/>
              </w:rPr>
            </w:pPr>
            <w:r>
              <w:rPr>
                <w:rFonts w:eastAsia="仿宋_GB2312"/>
                <w:kern w:val="0"/>
                <w:szCs w:val="21"/>
              </w:rPr>
              <w:t>二氯乙烷</w:t>
            </w:r>
          </w:p>
        </w:tc>
        <w:tc>
          <w:tcPr>
            <w:tcW w:w="844" w:type="pct"/>
            <w:shd w:val="clear" w:color="auto" w:fill="auto"/>
            <w:tcMar>
              <w:top w:w="15" w:type="dxa"/>
              <w:left w:w="15" w:type="dxa"/>
              <w:bottom w:w="0" w:type="dxa"/>
              <w:right w:w="15" w:type="dxa"/>
            </w:tcMar>
            <w:vAlign w:val="center"/>
          </w:tcPr>
          <w:p w14:paraId="6EBB65FB">
            <w:pPr>
              <w:jc w:val="center"/>
              <w:rPr>
                <w:rFonts w:eastAsia="仿宋_GB2312"/>
                <w:kern w:val="0"/>
                <w:szCs w:val="21"/>
              </w:rPr>
            </w:pPr>
            <w:r>
              <w:rPr>
                <w:rFonts w:eastAsia="仿宋_GB2312"/>
                <w:kern w:val="0"/>
                <w:szCs w:val="21"/>
              </w:rPr>
              <w:t>2445.19</w:t>
            </w:r>
          </w:p>
        </w:tc>
        <w:tc>
          <w:tcPr>
            <w:tcW w:w="1071" w:type="pct"/>
            <w:tcMar>
              <w:top w:w="15" w:type="dxa"/>
              <w:left w:w="15" w:type="dxa"/>
              <w:bottom w:w="0" w:type="dxa"/>
              <w:right w:w="15" w:type="dxa"/>
            </w:tcMar>
            <w:vAlign w:val="center"/>
          </w:tcPr>
          <w:p w14:paraId="79F7C480">
            <w:pPr>
              <w:jc w:val="center"/>
              <w:rPr>
                <w:rFonts w:eastAsia="仿宋_GB2312"/>
                <w:color w:val="auto"/>
                <w:kern w:val="0"/>
                <w:szCs w:val="21"/>
              </w:rPr>
            </w:pPr>
            <w:r>
              <w:rPr>
                <w:rFonts w:eastAsia="仿宋_GB2312"/>
                <w:color w:val="auto"/>
                <w:kern w:val="0"/>
                <w:szCs w:val="21"/>
              </w:rPr>
              <w:t>2455</w:t>
            </w:r>
          </w:p>
        </w:tc>
        <w:tc>
          <w:tcPr>
            <w:tcW w:w="1038" w:type="pct"/>
            <w:shd w:val="clear" w:color="auto" w:fill="auto"/>
            <w:tcMar>
              <w:top w:w="15" w:type="dxa"/>
              <w:left w:w="15" w:type="dxa"/>
              <w:bottom w:w="0" w:type="dxa"/>
              <w:right w:w="15" w:type="dxa"/>
            </w:tcMar>
            <w:vAlign w:val="center"/>
          </w:tcPr>
          <w:p w14:paraId="0A653C23">
            <w:pPr>
              <w:jc w:val="center"/>
              <w:rPr>
                <w:color w:val="auto"/>
                <w:sz w:val="22"/>
                <w:szCs w:val="22"/>
              </w:rPr>
            </w:pPr>
            <w:r>
              <w:rPr>
                <w:color w:val="auto"/>
                <w:sz w:val="22"/>
                <w:szCs w:val="22"/>
              </w:rPr>
              <w:t>+</w:t>
            </w:r>
            <w:r>
              <w:rPr>
                <w:rFonts w:hint="eastAsia"/>
                <w:color w:val="auto"/>
                <w:sz w:val="22"/>
                <w:szCs w:val="22"/>
              </w:rPr>
              <w:t>9.81</w:t>
            </w:r>
          </w:p>
        </w:tc>
      </w:tr>
      <w:tr w14:paraId="062C3A30">
        <w:tblPrEx>
          <w:tblBorders>
            <w:top w:val="single" w:color="auto" w:sz="12" w:space="0"/>
            <w:left w:val="single" w:color="auto" w:sz="12" w:space="0"/>
            <w:bottom w:val="single" w:color="auto" w:sz="12" w:space="0"/>
            <w:right w:val="single" w:color="auto" w:sz="12" w:space="0"/>
            <w:insideH w:val="single" w:color="auto" w:sz="4" w:space="0"/>
            <w:insideV w:val="single" w:color="auto" w:sz="6" w:space="0"/>
          </w:tblBorders>
          <w:tblCellMar>
            <w:top w:w="0" w:type="dxa"/>
            <w:left w:w="0" w:type="dxa"/>
            <w:bottom w:w="0" w:type="dxa"/>
            <w:right w:w="0" w:type="dxa"/>
          </w:tblCellMar>
        </w:tblPrEx>
        <w:trPr>
          <w:trHeight w:val="312" w:hRule="atLeast"/>
          <w:jc w:val="center"/>
        </w:trPr>
        <w:tc>
          <w:tcPr>
            <w:tcW w:w="630" w:type="pct"/>
            <w:vAlign w:val="center"/>
          </w:tcPr>
          <w:p w14:paraId="588BAA96">
            <w:pPr>
              <w:widowControl/>
              <w:jc w:val="center"/>
              <w:rPr>
                <w:rFonts w:eastAsia="仿宋_GB2312"/>
                <w:kern w:val="0"/>
                <w:szCs w:val="21"/>
              </w:rPr>
            </w:pPr>
            <w:r>
              <w:rPr>
                <w:rFonts w:eastAsia="仿宋_GB2312"/>
                <w:kern w:val="0"/>
                <w:szCs w:val="21"/>
              </w:rPr>
              <w:t>22</w:t>
            </w:r>
          </w:p>
        </w:tc>
        <w:tc>
          <w:tcPr>
            <w:tcW w:w="1415" w:type="pct"/>
            <w:tcMar>
              <w:top w:w="15" w:type="dxa"/>
              <w:left w:w="15" w:type="dxa"/>
              <w:bottom w:w="0" w:type="dxa"/>
              <w:right w:w="15" w:type="dxa"/>
            </w:tcMar>
            <w:vAlign w:val="center"/>
          </w:tcPr>
          <w:p w14:paraId="4AF55B00">
            <w:pPr>
              <w:widowControl/>
              <w:jc w:val="center"/>
              <w:rPr>
                <w:rFonts w:eastAsia="仿宋_GB2312"/>
                <w:kern w:val="0"/>
                <w:szCs w:val="21"/>
              </w:rPr>
            </w:pPr>
            <w:r>
              <w:rPr>
                <w:rFonts w:eastAsia="仿宋_GB2312"/>
                <w:kern w:val="0"/>
                <w:szCs w:val="21"/>
              </w:rPr>
              <w:t>二甲基亚砜</w:t>
            </w:r>
          </w:p>
        </w:tc>
        <w:tc>
          <w:tcPr>
            <w:tcW w:w="844" w:type="pct"/>
            <w:shd w:val="clear" w:color="auto" w:fill="auto"/>
            <w:tcMar>
              <w:top w:w="15" w:type="dxa"/>
              <w:left w:w="15" w:type="dxa"/>
              <w:bottom w:w="0" w:type="dxa"/>
              <w:right w:w="15" w:type="dxa"/>
            </w:tcMar>
            <w:vAlign w:val="center"/>
          </w:tcPr>
          <w:p w14:paraId="383DDC95">
            <w:pPr>
              <w:jc w:val="center"/>
              <w:rPr>
                <w:rFonts w:eastAsia="仿宋_GB2312"/>
                <w:kern w:val="0"/>
                <w:szCs w:val="21"/>
              </w:rPr>
            </w:pPr>
            <w:r>
              <w:rPr>
                <w:rFonts w:eastAsia="仿宋_GB2312"/>
                <w:kern w:val="0"/>
                <w:szCs w:val="21"/>
              </w:rPr>
              <w:t>816.16</w:t>
            </w:r>
          </w:p>
        </w:tc>
        <w:tc>
          <w:tcPr>
            <w:tcW w:w="1071" w:type="pct"/>
            <w:tcMar>
              <w:top w:w="15" w:type="dxa"/>
              <w:left w:w="15" w:type="dxa"/>
              <w:bottom w:w="0" w:type="dxa"/>
              <w:right w:w="15" w:type="dxa"/>
            </w:tcMar>
            <w:vAlign w:val="center"/>
          </w:tcPr>
          <w:p w14:paraId="736D56DE">
            <w:pPr>
              <w:widowControl/>
              <w:jc w:val="center"/>
              <w:rPr>
                <w:rFonts w:eastAsia="仿宋_GB2312"/>
                <w:color w:val="auto"/>
                <w:kern w:val="0"/>
                <w:szCs w:val="21"/>
              </w:rPr>
            </w:pPr>
            <w:r>
              <w:rPr>
                <w:rFonts w:hint="eastAsia" w:eastAsia="仿宋_GB2312"/>
                <w:color w:val="auto"/>
                <w:kern w:val="0"/>
                <w:szCs w:val="21"/>
              </w:rPr>
              <w:t>2</w:t>
            </w:r>
            <w:r>
              <w:rPr>
                <w:rFonts w:hint="eastAsia" w:eastAsia="仿宋_GB2312"/>
                <w:color w:val="auto"/>
                <w:kern w:val="0"/>
                <w:szCs w:val="21"/>
                <w:lang w:val="en-US" w:eastAsia="zh-CN"/>
              </w:rPr>
              <w:t>2635</w:t>
            </w:r>
            <w:r>
              <w:rPr>
                <w:rFonts w:hint="eastAsia" w:eastAsia="仿宋_GB2312"/>
                <w:color w:val="auto"/>
                <w:kern w:val="0"/>
                <w:szCs w:val="21"/>
              </w:rPr>
              <w:t>.772</w:t>
            </w:r>
          </w:p>
        </w:tc>
        <w:tc>
          <w:tcPr>
            <w:tcW w:w="1038" w:type="pct"/>
            <w:shd w:val="clear" w:color="auto" w:fill="auto"/>
            <w:tcMar>
              <w:top w:w="15" w:type="dxa"/>
              <w:left w:w="15" w:type="dxa"/>
              <w:bottom w:w="0" w:type="dxa"/>
              <w:right w:w="15" w:type="dxa"/>
            </w:tcMar>
            <w:vAlign w:val="center"/>
          </w:tcPr>
          <w:p w14:paraId="20D4B20D">
            <w:pPr>
              <w:jc w:val="center"/>
              <w:rPr>
                <w:color w:val="auto"/>
                <w:sz w:val="22"/>
                <w:szCs w:val="22"/>
              </w:rPr>
            </w:pPr>
            <w:r>
              <w:rPr>
                <w:color w:val="auto"/>
                <w:sz w:val="22"/>
                <w:szCs w:val="22"/>
              </w:rPr>
              <w:t>+</w:t>
            </w:r>
            <w:r>
              <w:rPr>
                <w:rFonts w:hint="eastAsia"/>
                <w:color w:val="auto"/>
                <w:sz w:val="22"/>
                <w:szCs w:val="22"/>
                <w:lang w:val="en-US" w:eastAsia="zh-CN"/>
              </w:rPr>
              <w:t>21819</w:t>
            </w:r>
            <w:r>
              <w:rPr>
                <w:rFonts w:hint="eastAsia"/>
                <w:color w:val="auto"/>
                <w:sz w:val="22"/>
                <w:szCs w:val="22"/>
              </w:rPr>
              <w:t>.612</w:t>
            </w:r>
          </w:p>
        </w:tc>
      </w:tr>
      <w:tr w14:paraId="562E62E8">
        <w:tblPrEx>
          <w:tblBorders>
            <w:top w:val="single" w:color="auto" w:sz="12" w:space="0"/>
            <w:left w:val="single" w:color="auto" w:sz="12" w:space="0"/>
            <w:bottom w:val="single" w:color="auto" w:sz="12" w:space="0"/>
            <w:right w:val="single" w:color="auto" w:sz="12" w:space="0"/>
            <w:insideH w:val="single" w:color="auto" w:sz="4" w:space="0"/>
            <w:insideV w:val="single" w:color="auto" w:sz="6" w:space="0"/>
          </w:tblBorders>
          <w:tblCellMar>
            <w:top w:w="0" w:type="dxa"/>
            <w:left w:w="0" w:type="dxa"/>
            <w:bottom w:w="0" w:type="dxa"/>
            <w:right w:w="0" w:type="dxa"/>
          </w:tblCellMar>
        </w:tblPrEx>
        <w:trPr>
          <w:trHeight w:val="312" w:hRule="atLeast"/>
          <w:jc w:val="center"/>
        </w:trPr>
        <w:tc>
          <w:tcPr>
            <w:tcW w:w="630" w:type="pct"/>
            <w:vAlign w:val="center"/>
          </w:tcPr>
          <w:p w14:paraId="3C1E242E">
            <w:pPr>
              <w:widowControl/>
              <w:jc w:val="center"/>
              <w:rPr>
                <w:rFonts w:eastAsia="仿宋_GB2312"/>
                <w:kern w:val="0"/>
                <w:szCs w:val="21"/>
              </w:rPr>
            </w:pPr>
            <w:r>
              <w:rPr>
                <w:rFonts w:eastAsia="仿宋_GB2312"/>
                <w:kern w:val="0"/>
                <w:szCs w:val="21"/>
              </w:rPr>
              <w:t>23</w:t>
            </w:r>
          </w:p>
        </w:tc>
        <w:tc>
          <w:tcPr>
            <w:tcW w:w="1415" w:type="pct"/>
            <w:tcMar>
              <w:top w:w="15" w:type="dxa"/>
              <w:left w:w="15" w:type="dxa"/>
              <w:bottom w:w="0" w:type="dxa"/>
              <w:right w:w="15" w:type="dxa"/>
            </w:tcMar>
            <w:vAlign w:val="center"/>
          </w:tcPr>
          <w:p w14:paraId="5B843E7E">
            <w:pPr>
              <w:widowControl/>
              <w:jc w:val="center"/>
              <w:rPr>
                <w:rFonts w:eastAsia="仿宋_GB2312"/>
                <w:kern w:val="0"/>
                <w:szCs w:val="21"/>
              </w:rPr>
            </w:pPr>
            <w:r>
              <w:rPr>
                <w:rFonts w:eastAsia="仿宋_GB2312"/>
                <w:kern w:val="0"/>
                <w:szCs w:val="21"/>
              </w:rPr>
              <w:t>丁醇</w:t>
            </w:r>
          </w:p>
        </w:tc>
        <w:tc>
          <w:tcPr>
            <w:tcW w:w="844" w:type="pct"/>
            <w:shd w:val="clear" w:color="auto" w:fill="auto"/>
            <w:tcMar>
              <w:top w:w="15" w:type="dxa"/>
              <w:left w:w="15" w:type="dxa"/>
              <w:bottom w:w="0" w:type="dxa"/>
              <w:right w:w="15" w:type="dxa"/>
            </w:tcMar>
            <w:vAlign w:val="center"/>
          </w:tcPr>
          <w:p w14:paraId="594DC3A2">
            <w:pPr>
              <w:jc w:val="center"/>
              <w:rPr>
                <w:rFonts w:eastAsia="仿宋_GB2312"/>
                <w:kern w:val="0"/>
                <w:szCs w:val="21"/>
              </w:rPr>
            </w:pPr>
            <w:r>
              <w:rPr>
                <w:rFonts w:eastAsia="仿宋_GB2312"/>
                <w:kern w:val="0"/>
                <w:szCs w:val="21"/>
              </w:rPr>
              <w:t>2555</w:t>
            </w:r>
          </w:p>
        </w:tc>
        <w:tc>
          <w:tcPr>
            <w:tcW w:w="1071" w:type="pct"/>
            <w:tcMar>
              <w:top w:w="15" w:type="dxa"/>
              <w:left w:w="15" w:type="dxa"/>
              <w:bottom w:w="0" w:type="dxa"/>
              <w:right w:w="15" w:type="dxa"/>
            </w:tcMar>
            <w:vAlign w:val="center"/>
          </w:tcPr>
          <w:p w14:paraId="5A0D32BA">
            <w:pPr>
              <w:jc w:val="center"/>
              <w:rPr>
                <w:rFonts w:eastAsia="仿宋_GB2312"/>
                <w:color w:val="auto"/>
                <w:kern w:val="0"/>
                <w:szCs w:val="21"/>
              </w:rPr>
            </w:pPr>
            <w:r>
              <w:rPr>
                <w:rFonts w:hint="eastAsia" w:eastAsia="仿宋_GB2312"/>
                <w:color w:val="auto"/>
                <w:kern w:val="0"/>
                <w:szCs w:val="21"/>
              </w:rPr>
              <w:t>365.502</w:t>
            </w:r>
          </w:p>
        </w:tc>
        <w:tc>
          <w:tcPr>
            <w:tcW w:w="1038" w:type="pct"/>
            <w:shd w:val="clear" w:color="auto" w:fill="auto"/>
            <w:tcMar>
              <w:top w:w="15" w:type="dxa"/>
              <w:left w:w="15" w:type="dxa"/>
              <w:bottom w:w="0" w:type="dxa"/>
              <w:right w:w="15" w:type="dxa"/>
            </w:tcMar>
            <w:vAlign w:val="center"/>
          </w:tcPr>
          <w:p w14:paraId="6B44752F">
            <w:pPr>
              <w:jc w:val="center"/>
              <w:rPr>
                <w:color w:val="auto"/>
                <w:sz w:val="22"/>
                <w:szCs w:val="22"/>
              </w:rPr>
            </w:pPr>
            <w:r>
              <w:rPr>
                <w:rFonts w:hint="eastAsia"/>
                <w:color w:val="auto"/>
                <w:sz w:val="22"/>
                <w:szCs w:val="22"/>
              </w:rPr>
              <w:t>-2189.498</w:t>
            </w:r>
          </w:p>
        </w:tc>
      </w:tr>
      <w:tr w14:paraId="35A04DCC">
        <w:tblPrEx>
          <w:tblBorders>
            <w:top w:val="single" w:color="auto" w:sz="12" w:space="0"/>
            <w:left w:val="single" w:color="auto" w:sz="12" w:space="0"/>
            <w:bottom w:val="single" w:color="auto" w:sz="12" w:space="0"/>
            <w:right w:val="single" w:color="auto" w:sz="12" w:space="0"/>
            <w:insideH w:val="single" w:color="auto" w:sz="4" w:space="0"/>
            <w:insideV w:val="single" w:color="auto" w:sz="6" w:space="0"/>
          </w:tblBorders>
          <w:tblCellMar>
            <w:top w:w="0" w:type="dxa"/>
            <w:left w:w="0" w:type="dxa"/>
            <w:bottom w:w="0" w:type="dxa"/>
            <w:right w:w="0" w:type="dxa"/>
          </w:tblCellMar>
        </w:tblPrEx>
        <w:trPr>
          <w:trHeight w:val="312" w:hRule="atLeast"/>
          <w:jc w:val="center"/>
        </w:trPr>
        <w:tc>
          <w:tcPr>
            <w:tcW w:w="630" w:type="pct"/>
            <w:vAlign w:val="center"/>
          </w:tcPr>
          <w:p w14:paraId="1C41AA0B">
            <w:pPr>
              <w:widowControl/>
              <w:jc w:val="center"/>
              <w:rPr>
                <w:rFonts w:eastAsia="仿宋_GB2312"/>
                <w:kern w:val="0"/>
                <w:szCs w:val="21"/>
              </w:rPr>
            </w:pPr>
            <w:r>
              <w:rPr>
                <w:rFonts w:eastAsia="仿宋_GB2312"/>
                <w:kern w:val="0"/>
                <w:szCs w:val="21"/>
              </w:rPr>
              <w:t>24</w:t>
            </w:r>
          </w:p>
        </w:tc>
        <w:tc>
          <w:tcPr>
            <w:tcW w:w="1415" w:type="pct"/>
            <w:tcMar>
              <w:top w:w="15" w:type="dxa"/>
              <w:left w:w="15" w:type="dxa"/>
              <w:bottom w:w="0" w:type="dxa"/>
              <w:right w:w="15" w:type="dxa"/>
            </w:tcMar>
            <w:vAlign w:val="center"/>
          </w:tcPr>
          <w:p w14:paraId="6C033AAF">
            <w:pPr>
              <w:widowControl/>
              <w:jc w:val="center"/>
              <w:rPr>
                <w:rFonts w:eastAsia="仿宋_GB2312"/>
                <w:kern w:val="0"/>
                <w:szCs w:val="21"/>
              </w:rPr>
            </w:pPr>
            <w:r>
              <w:rPr>
                <w:rFonts w:eastAsia="仿宋_GB2312"/>
                <w:kern w:val="0"/>
                <w:szCs w:val="21"/>
              </w:rPr>
              <w:t>辛醇</w:t>
            </w:r>
          </w:p>
        </w:tc>
        <w:tc>
          <w:tcPr>
            <w:tcW w:w="844" w:type="pct"/>
            <w:shd w:val="clear" w:color="auto" w:fill="auto"/>
            <w:tcMar>
              <w:top w:w="15" w:type="dxa"/>
              <w:left w:w="15" w:type="dxa"/>
              <w:bottom w:w="0" w:type="dxa"/>
              <w:right w:w="15" w:type="dxa"/>
            </w:tcMar>
            <w:vAlign w:val="center"/>
          </w:tcPr>
          <w:p w14:paraId="1BB084A7">
            <w:pPr>
              <w:jc w:val="center"/>
              <w:rPr>
                <w:rFonts w:eastAsia="仿宋_GB2312"/>
                <w:kern w:val="0"/>
                <w:szCs w:val="21"/>
              </w:rPr>
            </w:pPr>
            <w:r>
              <w:rPr>
                <w:rFonts w:eastAsia="仿宋_GB2312"/>
                <w:kern w:val="0"/>
                <w:szCs w:val="21"/>
              </w:rPr>
              <w:t>1305.7</w:t>
            </w:r>
          </w:p>
        </w:tc>
        <w:tc>
          <w:tcPr>
            <w:tcW w:w="1071" w:type="pct"/>
            <w:tcMar>
              <w:top w:w="15" w:type="dxa"/>
              <w:left w:w="15" w:type="dxa"/>
              <w:bottom w:w="0" w:type="dxa"/>
              <w:right w:w="15" w:type="dxa"/>
            </w:tcMar>
            <w:vAlign w:val="center"/>
          </w:tcPr>
          <w:p w14:paraId="12DF0858">
            <w:pPr>
              <w:jc w:val="center"/>
              <w:rPr>
                <w:rFonts w:eastAsia="仿宋_GB2312"/>
                <w:color w:val="auto"/>
                <w:kern w:val="0"/>
                <w:szCs w:val="21"/>
              </w:rPr>
            </w:pPr>
            <w:r>
              <w:rPr>
                <w:rFonts w:hint="eastAsia" w:eastAsia="仿宋_GB2312"/>
                <w:color w:val="auto"/>
                <w:kern w:val="0"/>
                <w:szCs w:val="21"/>
              </w:rPr>
              <w:t>186.457</w:t>
            </w:r>
          </w:p>
        </w:tc>
        <w:tc>
          <w:tcPr>
            <w:tcW w:w="1038" w:type="pct"/>
            <w:shd w:val="clear" w:color="auto" w:fill="auto"/>
            <w:tcMar>
              <w:top w:w="15" w:type="dxa"/>
              <w:left w:w="15" w:type="dxa"/>
              <w:bottom w:w="0" w:type="dxa"/>
              <w:right w:w="15" w:type="dxa"/>
            </w:tcMar>
            <w:vAlign w:val="center"/>
          </w:tcPr>
          <w:p w14:paraId="69225BA3">
            <w:pPr>
              <w:jc w:val="center"/>
              <w:rPr>
                <w:color w:val="auto"/>
                <w:sz w:val="22"/>
                <w:szCs w:val="22"/>
              </w:rPr>
            </w:pPr>
            <w:r>
              <w:rPr>
                <w:rFonts w:hint="eastAsia"/>
                <w:color w:val="auto"/>
                <w:sz w:val="22"/>
                <w:szCs w:val="22"/>
              </w:rPr>
              <w:t>-1119.243</w:t>
            </w:r>
          </w:p>
        </w:tc>
      </w:tr>
      <w:tr w14:paraId="01A1465C">
        <w:tblPrEx>
          <w:tblBorders>
            <w:top w:val="single" w:color="auto" w:sz="12" w:space="0"/>
            <w:left w:val="single" w:color="auto" w:sz="12" w:space="0"/>
            <w:bottom w:val="single" w:color="auto" w:sz="12" w:space="0"/>
            <w:right w:val="single" w:color="auto" w:sz="12" w:space="0"/>
            <w:insideH w:val="single" w:color="auto" w:sz="4" w:space="0"/>
            <w:insideV w:val="single" w:color="auto" w:sz="6" w:space="0"/>
          </w:tblBorders>
          <w:tblCellMar>
            <w:top w:w="0" w:type="dxa"/>
            <w:left w:w="0" w:type="dxa"/>
            <w:bottom w:w="0" w:type="dxa"/>
            <w:right w:w="0" w:type="dxa"/>
          </w:tblCellMar>
        </w:tblPrEx>
        <w:trPr>
          <w:trHeight w:val="312" w:hRule="atLeast"/>
          <w:jc w:val="center"/>
        </w:trPr>
        <w:tc>
          <w:tcPr>
            <w:tcW w:w="630" w:type="pct"/>
            <w:vAlign w:val="center"/>
          </w:tcPr>
          <w:p w14:paraId="1AC547F4">
            <w:pPr>
              <w:widowControl/>
              <w:jc w:val="center"/>
              <w:rPr>
                <w:rFonts w:eastAsia="仿宋_GB2312"/>
                <w:kern w:val="0"/>
                <w:szCs w:val="21"/>
              </w:rPr>
            </w:pPr>
            <w:r>
              <w:rPr>
                <w:rFonts w:eastAsia="仿宋_GB2312"/>
                <w:kern w:val="0"/>
                <w:szCs w:val="21"/>
              </w:rPr>
              <w:t>25</w:t>
            </w:r>
          </w:p>
        </w:tc>
        <w:tc>
          <w:tcPr>
            <w:tcW w:w="1415" w:type="pct"/>
            <w:tcMar>
              <w:top w:w="15" w:type="dxa"/>
              <w:left w:w="15" w:type="dxa"/>
              <w:bottom w:w="0" w:type="dxa"/>
              <w:right w:w="15" w:type="dxa"/>
            </w:tcMar>
            <w:vAlign w:val="center"/>
          </w:tcPr>
          <w:p w14:paraId="2F15CB2D">
            <w:pPr>
              <w:widowControl/>
              <w:jc w:val="center"/>
              <w:rPr>
                <w:rFonts w:eastAsia="仿宋_GB2312"/>
                <w:kern w:val="0"/>
                <w:szCs w:val="21"/>
              </w:rPr>
            </w:pPr>
            <w:r>
              <w:rPr>
                <w:rFonts w:eastAsia="仿宋_GB2312"/>
                <w:kern w:val="0"/>
                <w:szCs w:val="21"/>
              </w:rPr>
              <w:t>碳九</w:t>
            </w:r>
          </w:p>
        </w:tc>
        <w:tc>
          <w:tcPr>
            <w:tcW w:w="844" w:type="pct"/>
            <w:shd w:val="clear" w:color="auto" w:fill="auto"/>
            <w:tcMar>
              <w:top w:w="15" w:type="dxa"/>
              <w:left w:w="15" w:type="dxa"/>
              <w:bottom w:w="0" w:type="dxa"/>
              <w:right w:w="15" w:type="dxa"/>
            </w:tcMar>
            <w:vAlign w:val="center"/>
          </w:tcPr>
          <w:p w14:paraId="180CB415">
            <w:pPr>
              <w:jc w:val="center"/>
              <w:rPr>
                <w:rFonts w:eastAsia="仿宋_GB2312"/>
                <w:kern w:val="0"/>
                <w:szCs w:val="21"/>
              </w:rPr>
            </w:pPr>
            <w:r>
              <w:rPr>
                <w:rFonts w:hint="eastAsia" w:eastAsia="仿宋_GB2312"/>
                <w:kern w:val="0"/>
                <w:szCs w:val="21"/>
              </w:rPr>
              <w:t>1830.37</w:t>
            </w:r>
          </w:p>
        </w:tc>
        <w:tc>
          <w:tcPr>
            <w:tcW w:w="1071" w:type="pct"/>
            <w:tcMar>
              <w:top w:w="15" w:type="dxa"/>
              <w:left w:w="15" w:type="dxa"/>
              <w:bottom w:w="0" w:type="dxa"/>
              <w:right w:w="15" w:type="dxa"/>
            </w:tcMar>
            <w:vAlign w:val="center"/>
          </w:tcPr>
          <w:p w14:paraId="3DA3C65F">
            <w:pPr>
              <w:jc w:val="center"/>
              <w:rPr>
                <w:rFonts w:eastAsia="仿宋_GB2312"/>
                <w:color w:val="auto"/>
                <w:kern w:val="0"/>
                <w:szCs w:val="21"/>
              </w:rPr>
            </w:pPr>
            <w:r>
              <w:rPr>
                <w:rFonts w:hint="eastAsia" w:eastAsia="仿宋_GB2312"/>
                <w:color w:val="auto"/>
                <w:kern w:val="0"/>
                <w:szCs w:val="21"/>
              </w:rPr>
              <w:t>457.594</w:t>
            </w:r>
          </w:p>
        </w:tc>
        <w:tc>
          <w:tcPr>
            <w:tcW w:w="1038" w:type="pct"/>
            <w:shd w:val="clear" w:color="auto" w:fill="auto"/>
            <w:tcMar>
              <w:top w:w="15" w:type="dxa"/>
              <w:left w:w="15" w:type="dxa"/>
              <w:bottom w:w="0" w:type="dxa"/>
              <w:right w:w="15" w:type="dxa"/>
            </w:tcMar>
            <w:vAlign w:val="center"/>
          </w:tcPr>
          <w:p w14:paraId="1086FDEB">
            <w:pPr>
              <w:jc w:val="center"/>
              <w:rPr>
                <w:color w:val="auto"/>
                <w:sz w:val="22"/>
                <w:szCs w:val="22"/>
              </w:rPr>
            </w:pPr>
            <w:r>
              <w:rPr>
                <w:rFonts w:hint="eastAsia"/>
                <w:color w:val="auto"/>
                <w:sz w:val="22"/>
                <w:szCs w:val="22"/>
              </w:rPr>
              <w:t>-1372.776</w:t>
            </w:r>
          </w:p>
        </w:tc>
      </w:tr>
      <w:tr w14:paraId="297B52C7">
        <w:tblPrEx>
          <w:tblBorders>
            <w:top w:val="single" w:color="auto" w:sz="12" w:space="0"/>
            <w:left w:val="single" w:color="auto" w:sz="12" w:space="0"/>
            <w:bottom w:val="single" w:color="auto" w:sz="12" w:space="0"/>
            <w:right w:val="single" w:color="auto" w:sz="12" w:space="0"/>
            <w:insideH w:val="single" w:color="auto" w:sz="4" w:space="0"/>
            <w:insideV w:val="single" w:color="auto" w:sz="6" w:space="0"/>
          </w:tblBorders>
          <w:tblCellMar>
            <w:top w:w="0" w:type="dxa"/>
            <w:left w:w="0" w:type="dxa"/>
            <w:bottom w:w="0" w:type="dxa"/>
            <w:right w:w="0" w:type="dxa"/>
          </w:tblCellMar>
        </w:tblPrEx>
        <w:trPr>
          <w:trHeight w:val="312" w:hRule="atLeast"/>
          <w:jc w:val="center"/>
        </w:trPr>
        <w:tc>
          <w:tcPr>
            <w:tcW w:w="630" w:type="pct"/>
            <w:vAlign w:val="center"/>
          </w:tcPr>
          <w:p w14:paraId="124D5B25">
            <w:pPr>
              <w:widowControl/>
              <w:jc w:val="center"/>
              <w:rPr>
                <w:rFonts w:eastAsia="仿宋_GB2312"/>
                <w:kern w:val="0"/>
                <w:szCs w:val="21"/>
              </w:rPr>
            </w:pPr>
            <w:r>
              <w:rPr>
                <w:rFonts w:eastAsia="仿宋_GB2312"/>
                <w:kern w:val="0"/>
                <w:szCs w:val="21"/>
              </w:rPr>
              <w:t>26</w:t>
            </w:r>
          </w:p>
        </w:tc>
        <w:tc>
          <w:tcPr>
            <w:tcW w:w="1415" w:type="pct"/>
            <w:tcMar>
              <w:top w:w="15" w:type="dxa"/>
              <w:left w:w="15" w:type="dxa"/>
              <w:bottom w:w="0" w:type="dxa"/>
              <w:right w:w="15" w:type="dxa"/>
            </w:tcMar>
            <w:vAlign w:val="center"/>
          </w:tcPr>
          <w:p w14:paraId="55061EAD">
            <w:pPr>
              <w:widowControl/>
              <w:jc w:val="center"/>
              <w:rPr>
                <w:rFonts w:eastAsia="仿宋_GB2312"/>
                <w:kern w:val="0"/>
                <w:szCs w:val="21"/>
              </w:rPr>
            </w:pPr>
            <w:r>
              <w:rPr>
                <w:rFonts w:eastAsia="仿宋_GB2312"/>
                <w:kern w:val="0"/>
                <w:szCs w:val="21"/>
              </w:rPr>
              <w:t>苯乙烯</w:t>
            </w:r>
          </w:p>
        </w:tc>
        <w:tc>
          <w:tcPr>
            <w:tcW w:w="844" w:type="pct"/>
            <w:shd w:val="clear" w:color="auto" w:fill="auto"/>
            <w:tcMar>
              <w:top w:w="15" w:type="dxa"/>
              <w:left w:w="15" w:type="dxa"/>
              <w:bottom w:w="0" w:type="dxa"/>
              <w:right w:w="15" w:type="dxa"/>
            </w:tcMar>
            <w:vAlign w:val="center"/>
          </w:tcPr>
          <w:p w14:paraId="4C2C0AC7">
            <w:pPr>
              <w:jc w:val="center"/>
              <w:rPr>
                <w:rFonts w:eastAsia="仿宋_GB2312"/>
                <w:kern w:val="0"/>
                <w:szCs w:val="21"/>
              </w:rPr>
            </w:pPr>
            <w:r>
              <w:rPr>
                <w:rFonts w:hint="eastAsia" w:eastAsia="仿宋_GB2312"/>
                <w:kern w:val="0"/>
                <w:szCs w:val="21"/>
              </w:rPr>
              <w:t>377.28</w:t>
            </w:r>
          </w:p>
        </w:tc>
        <w:tc>
          <w:tcPr>
            <w:tcW w:w="1071" w:type="pct"/>
            <w:tcMar>
              <w:top w:w="15" w:type="dxa"/>
              <w:left w:w="15" w:type="dxa"/>
              <w:bottom w:w="0" w:type="dxa"/>
              <w:right w:w="15" w:type="dxa"/>
            </w:tcMar>
            <w:vAlign w:val="center"/>
          </w:tcPr>
          <w:p w14:paraId="4D99852C">
            <w:pPr>
              <w:jc w:val="center"/>
              <w:rPr>
                <w:rFonts w:eastAsia="仿宋_GB2312"/>
                <w:color w:val="auto"/>
                <w:kern w:val="0"/>
                <w:szCs w:val="21"/>
              </w:rPr>
            </w:pPr>
            <w:r>
              <w:rPr>
                <w:rFonts w:hint="eastAsia" w:eastAsia="仿宋_GB2312"/>
                <w:color w:val="auto"/>
                <w:kern w:val="0"/>
                <w:szCs w:val="21"/>
              </w:rPr>
              <w:t>94.32</w:t>
            </w:r>
          </w:p>
        </w:tc>
        <w:tc>
          <w:tcPr>
            <w:tcW w:w="1038" w:type="pct"/>
            <w:shd w:val="clear" w:color="auto" w:fill="auto"/>
            <w:tcMar>
              <w:top w:w="15" w:type="dxa"/>
              <w:left w:w="15" w:type="dxa"/>
              <w:bottom w:w="0" w:type="dxa"/>
              <w:right w:w="15" w:type="dxa"/>
            </w:tcMar>
            <w:vAlign w:val="center"/>
          </w:tcPr>
          <w:p w14:paraId="06BBA0AE">
            <w:pPr>
              <w:jc w:val="center"/>
              <w:rPr>
                <w:color w:val="auto"/>
                <w:sz w:val="22"/>
                <w:szCs w:val="22"/>
              </w:rPr>
            </w:pPr>
            <w:r>
              <w:rPr>
                <w:rFonts w:hint="eastAsia"/>
                <w:color w:val="auto"/>
                <w:sz w:val="22"/>
                <w:szCs w:val="22"/>
              </w:rPr>
              <w:t>-282.96</w:t>
            </w:r>
          </w:p>
        </w:tc>
      </w:tr>
      <w:tr w14:paraId="1EF8CB67">
        <w:tblPrEx>
          <w:tblBorders>
            <w:top w:val="single" w:color="auto" w:sz="12" w:space="0"/>
            <w:left w:val="single" w:color="auto" w:sz="12" w:space="0"/>
            <w:bottom w:val="single" w:color="auto" w:sz="12" w:space="0"/>
            <w:right w:val="single" w:color="auto" w:sz="12" w:space="0"/>
            <w:insideH w:val="single" w:color="auto" w:sz="4" w:space="0"/>
            <w:insideV w:val="single" w:color="auto" w:sz="6" w:space="0"/>
          </w:tblBorders>
          <w:tblCellMar>
            <w:top w:w="0" w:type="dxa"/>
            <w:left w:w="0" w:type="dxa"/>
            <w:bottom w:w="0" w:type="dxa"/>
            <w:right w:w="0" w:type="dxa"/>
          </w:tblCellMar>
        </w:tblPrEx>
        <w:trPr>
          <w:trHeight w:val="312" w:hRule="atLeast"/>
          <w:jc w:val="center"/>
        </w:trPr>
        <w:tc>
          <w:tcPr>
            <w:tcW w:w="630" w:type="pct"/>
            <w:vAlign w:val="center"/>
          </w:tcPr>
          <w:p w14:paraId="7E81BE83">
            <w:pPr>
              <w:widowControl/>
              <w:jc w:val="center"/>
              <w:rPr>
                <w:rFonts w:eastAsia="仿宋_GB2312"/>
                <w:kern w:val="0"/>
                <w:szCs w:val="21"/>
              </w:rPr>
            </w:pPr>
            <w:r>
              <w:rPr>
                <w:rFonts w:eastAsia="仿宋_GB2312"/>
                <w:kern w:val="0"/>
                <w:szCs w:val="21"/>
              </w:rPr>
              <w:t>27</w:t>
            </w:r>
          </w:p>
        </w:tc>
        <w:tc>
          <w:tcPr>
            <w:tcW w:w="1415" w:type="pct"/>
            <w:tcMar>
              <w:top w:w="15" w:type="dxa"/>
              <w:left w:w="15" w:type="dxa"/>
              <w:bottom w:w="0" w:type="dxa"/>
              <w:right w:w="15" w:type="dxa"/>
            </w:tcMar>
            <w:vAlign w:val="center"/>
          </w:tcPr>
          <w:p w14:paraId="61633C15">
            <w:pPr>
              <w:widowControl/>
              <w:jc w:val="center"/>
              <w:rPr>
                <w:rFonts w:eastAsia="仿宋_GB2312"/>
                <w:kern w:val="0"/>
                <w:szCs w:val="21"/>
              </w:rPr>
            </w:pPr>
            <w:r>
              <w:rPr>
                <w:rFonts w:eastAsia="仿宋_GB2312"/>
                <w:kern w:val="0"/>
                <w:szCs w:val="21"/>
              </w:rPr>
              <w:t>二乙二醇</w:t>
            </w:r>
          </w:p>
        </w:tc>
        <w:tc>
          <w:tcPr>
            <w:tcW w:w="844" w:type="pct"/>
            <w:shd w:val="clear" w:color="auto" w:fill="auto"/>
            <w:tcMar>
              <w:top w:w="15" w:type="dxa"/>
              <w:left w:w="15" w:type="dxa"/>
              <w:bottom w:w="0" w:type="dxa"/>
              <w:right w:w="15" w:type="dxa"/>
            </w:tcMar>
            <w:vAlign w:val="center"/>
          </w:tcPr>
          <w:p w14:paraId="46BA3FFB">
            <w:pPr>
              <w:jc w:val="center"/>
              <w:rPr>
                <w:rFonts w:eastAsia="仿宋_GB2312"/>
                <w:kern w:val="0"/>
                <w:szCs w:val="21"/>
              </w:rPr>
            </w:pPr>
            <w:r>
              <w:rPr>
                <w:rFonts w:eastAsia="仿宋_GB2312"/>
                <w:kern w:val="0"/>
                <w:szCs w:val="21"/>
              </w:rPr>
              <w:t>996.36</w:t>
            </w:r>
          </w:p>
        </w:tc>
        <w:tc>
          <w:tcPr>
            <w:tcW w:w="1071" w:type="pct"/>
            <w:tcMar>
              <w:top w:w="15" w:type="dxa"/>
              <w:left w:w="15" w:type="dxa"/>
              <w:bottom w:w="0" w:type="dxa"/>
              <w:right w:w="15" w:type="dxa"/>
            </w:tcMar>
            <w:vAlign w:val="center"/>
          </w:tcPr>
          <w:p w14:paraId="454EEAA4">
            <w:pPr>
              <w:widowControl/>
              <w:jc w:val="center"/>
              <w:rPr>
                <w:rFonts w:eastAsia="仿宋_GB2312"/>
                <w:color w:val="auto"/>
                <w:kern w:val="0"/>
                <w:szCs w:val="21"/>
              </w:rPr>
            </w:pPr>
            <w:r>
              <w:rPr>
                <w:rFonts w:hint="eastAsia" w:eastAsia="仿宋_GB2312"/>
                <w:color w:val="auto"/>
                <w:kern w:val="0"/>
                <w:szCs w:val="21"/>
              </w:rPr>
              <w:t>639.6436</w:t>
            </w:r>
          </w:p>
        </w:tc>
        <w:tc>
          <w:tcPr>
            <w:tcW w:w="1038" w:type="pct"/>
            <w:shd w:val="clear" w:color="auto" w:fill="auto"/>
            <w:tcMar>
              <w:top w:w="15" w:type="dxa"/>
              <w:left w:w="15" w:type="dxa"/>
              <w:bottom w:w="0" w:type="dxa"/>
              <w:right w:w="15" w:type="dxa"/>
            </w:tcMar>
            <w:vAlign w:val="center"/>
          </w:tcPr>
          <w:p w14:paraId="54E5BD10">
            <w:pPr>
              <w:jc w:val="center"/>
              <w:rPr>
                <w:color w:val="auto"/>
                <w:sz w:val="22"/>
                <w:szCs w:val="22"/>
              </w:rPr>
            </w:pPr>
            <w:r>
              <w:rPr>
                <w:rFonts w:hint="eastAsia"/>
                <w:color w:val="auto"/>
                <w:sz w:val="22"/>
                <w:szCs w:val="22"/>
              </w:rPr>
              <w:t>-356.7164</w:t>
            </w:r>
          </w:p>
        </w:tc>
      </w:tr>
      <w:tr w14:paraId="5E8BBDCA">
        <w:tblPrEx>
          <w:tblBorders>
            <w:top w:val="single" w:color="auto" w:sz="12" w:space="0"/>
            <w:left w:val="single" w:color="auto" w:sz="12" w:space="0"/>
            <w:bottom w:val="single" w:color="auto" w:sz="12" w:space="0"/>
            <w:right w:val="single" w:color="auto" w:sz="12" w:space="0"/>
            <w:insideH w:val="single" w:color="auto" w:sz="4" w:space="0"/>
            <w:insideV w:val="single" w:color="auto" w:sz="6" w:space="0"/>
          </w:tblBorders>
          <w:tblCellMar>
            <w:top w:w="0" w:type="dxa"/>
            <w:left w:w="0" w:type="dxa"/>
            <w:bottom w:w="0" w:type="dxa"/>
            <w:right w:w="0" w:type="dxa"/>
          </w:tblCellMar>
        </w:tblPrEx>
        <w:trPr>
          <w:trHeight w:val="312" w:hRule="atLeast"/>
          <w:jc w:val="center"/>
        </w:trPr>
        <w:tc>
          <w:tcPr>
            <w:tcW w:w="630" w:type="pct"/>
            <w:vAlign w:val="center"/>
          </w:tcPr>
          <w:p w14:paraId="76FB7E73">
            <w:pPr>
              <w:widowControl/>
              <w:jc w:val="center"/>
              <w:rPr>
                <w:rFonts w:eastAsia="仿宋_GB2312"/>
                <w:kern w:val="0"/>
                <w:szCs w:val="21"/>
              </w:rPr>
            </w:pPr>
            <w:r>
              <w:rPr>
                <w:rFonts w:eastAsia="仿宋_GB2312"/>
                <w:kern w:val="0"/>
                <w:szCs w:val="21"/>
              </w:rPr>
              <w:t>28</w:t>
            </w:r>
          </w:p>
        </w:tc>
        <w:tc>
          <w:tcPr>
            <w:tcW w:w="1415" w:type="pct"/>
            <w:tcMar>
              <w:top w:w="15" w:type="dxa"/>
              <w:left w:w="15" w:type="dxa"/>
              <w:bottom w:w="0" w:type="dxa"/>
              <w:right w:w="15" w:type="dxa"/>
            </w:tcMar>
            <w:vAlign w:val="center"/>
          </w:tcPr>
          <w:p w14:paraId="1D263CA3">
            <w:pPr>
              <w:widowControl/>
              <w:jc w:val="center"/>
              <w:rPr>
                <w:rFonts w:eastAsia="仿宋_GB2312"/>
                <w:kern w:val="0"/>
                <w:szCs w:val="21"/>
              </w:rPr>
            </w:pPr>
            <w:r>
              <w:rPr>
                <w:rFonts w:eastAsia="仿宋_GB2312"/>
                <w:kern w:val="0"/>
                <w:szCs w:val="21"/>
              </w:rPr>
              <w:t>环戊酮</w:t>
            </w:r>
          </w:p>
        </w:tc>
        <w:tc>
          <w:tcPr>
            <w:tcW w:w="844" w:type="pct"/>
            <w:shd w:val="clear" w:color="auto" w:fill="auto"/>
            <w:tcMar>
              <w:top w:w="15" w:type="dxa"/>
              <w:left w:w="15" w:type="dxa"/>
              <w:bottom w:w="0" w:type="dxa"/>
              <w:right w:w="15" w:type="dxa"/>
            </w:tcMar>
            <w:vAlign w:val="center"/>
          </w:tcPr>
          <w:p w14:paraId="6ADD21E0">
            <w:pPr>
              <w:jc w:val="center"/>
              <w:rPr>
                <w:rFonts w:eastAsia="仿宋_GB2312"/>
                <w:kern w:val="0"/>
                <w:szCs w:val="21"/>
              </w:rPr>
            </w:pPr>
            <w:r>
              <w:rPr>
                <w:rFonts w:eastAsia="仿宋_GB2312"/>
                <w:kern w:val="0"/>
                <w:szCs w:val="21"/>
              </w:rPr>
              <w:t>1208.44</w:t>
            </w:r>
          </w:p>
        </w:tc>
        <w:tc>
          <w:tcPr>
            <w:tcW w:w="1071" w:type="pct"/>
            <w:tcMar>
              <w:top w:w="15" w:type="dxa"/>
              <w:left w:w="15" w:type="dxa"/>
              <w:bottom w:w="0" w:type="dxa"/>
              <w:right w:w="15" w:type="dxa"/>
            </w:tcMar>
            <w:vAlign w:val="center"/>
          </w:tcPr>
          <w:p w14:paraId="6DF56C78">
            <w:pPr>
              <w:widowControl/>
              <w:jc w:val="center"/>
              <w:rPr>
                <w:rFonts w:eastAsia="仿宋_GB2312"/>
                <w:color w:val="auto"/>
                <w:kern w:val="0"/>
                <w:szCs w:val="21"/>
              </w:rPr>
            </w:pPr>
            <w:r>
              <w:rPr>
                <w:rFonts w:hint="eastAsia" w:eastAsia="仿宋_GB2312"/>
                <w:color w:val="auto"/>
                <w:kern w:val="0"/>
                <w:szCs w:val="21"/>
              </w:rPr>
              <w:t>1142.057</w:t>
            </w:r>
          </w:p>
        </w:tc>
        <w:tc>
          <w:tcPr>
            <w:tcW w:w="1038" w:type="pct"/>
            <w:shd w:val="clear" w:color="auto" w:fill="auto"/>
            <w:tcMar>
              <w:top w:w="15" w:type="dxa"/>
              <w:left w:w="15" w:type="dxa"/>
              <w:bottom w:w="0" w:type="dxa"/>
              <w:right w:w="15" w:type="dxa"/>
            </w:tcMar>
            <w:vAlign w:val="center"/>
          </w:tcPr>
          <w:p w14:paraId="3A25308A">
            <w:pPr>
              <w:jc w:val="center"/>
              <w:rPr>
                <w:color w:val="auto"/>
                <w:sz w:val="22"/>
                <w:szCs w:val="22"/>
              </w:rPr>
            </w:pPr>
            <w:r>
              <w:rPr>
                <w:rFonts w:hint="eastAsia"/>
                <w:color w:val="auto"/>
                <w:sz w:val="22"/>
                <w:szCs w:val="22"/>
              </w:rPr>
              <w:t>-66.383</w:t>
            </w:r>
          </w:p>
        </w:tc>
      </w:tr>
      <w:tr w14:paraId="2E96FCBA">
        <w:tblPrEx>
          <w:tblBorders>
            <w:top w:val="single" w:color="auto" w:sz="12" w:space="0"/>
            <w:left w:val="single" w:color="auto" w:sz="12" w:space="0"/>
            <w:bottom w:val="single" w:color="auto" w:sz="12" w:space="0"/>
            <w:right w:val="single" w:color="auto" w:sz="12" w:space="0"/>
            <w:insideH w:val="single" w:color="auto" w:sz="4" w:space="0"/>
            <w:insideV w:val="single" w:color="auto" w:sz="6" w:space="0"/>
          </w:tblBorders>
          <w:tblCellMar>
            <w:top w:w="0" w:type="dxa"/>
            <w:left w:w="0" w:type="dxa"/>
            <w:bottom w:w="0" w:type="dxa"/>
            <w:right w:w="0" w:type="dxa"/>
          </w:tblCellMar>
        </w:tblPrEx>
        <w:trPr>
          <w:trHeight w:val="312" w:hRule="atLeast"/>
          <w:jc w:val="center"/>
        </w:trPr>
        <w:tc>
          <w:tcPr>
            <w:tcW w:w="630" w:type="pct"/>
            <w:vAlign w:val="center"/>
          </w:tcPr>
          <w:p w14:paraId="467ACB38">
            <w:pPr>
              <w:widowControl/>
              <w:jc w:val="center"/>
              <w:rPr>
                <w:rFonts w:eastAsia="仿宋_GB2312"/>
                <w:kern w:val="0"/>
                <w:szCs w:val="21"/>
              </w:rPr>
            </w:pPr>
            <w:r>
              <w:rPr>
                <w:rFonts w:eastAsia="仿宋_GB2312"/>
                <w:kern w:val="0"/>
                <w:szCs w:val="21"/>
              </w:rPr>
              <w:t>29</w:t>
            </w:r>
          </w:p>
        </w:tc>
        <w:tc>
          <w:tcPr>
            <w:tcW w:w="1415" w:type="pct"/>
            <w:tcMar>
              <w:top w:w="15" w:type="dxa"/>
              <w:left w:w="15" w:type="dxa"/>
              <w:bottom w:w="0" w:type="dxa"/>
              <w:right w:w="15" w:type="dxa"/>
            </w:tcMar>
            <w:vAlign w:val="center"/>
          </w:tcPr>
          <w:p w14:paraId="37B7A715">
            <w:pPr>
              <w:widowControl/>
              <w:jc w:val="center"/>
              <w:rPr>
                <w:rFonts w:eastAsia="仿宋_GB2312"/>
                <w:kern w:val="0"/>
                <w:szCs w:val="21"/>
              </w:rPr>
            </w:pPr>
            <w:r>
              <w:rPr>
                <w:rFonts w:eastAsia="仿宋_GB2312"/>
                <w:kern w:val="0"/>
                <w:szCs w:val="21"/>
              </w:rPr>
              <w:t>乙酸甲酯</w:t>
            </w:r>
          </w:p>
        </w:tc>
        <w:tc>
          <w:tcPr>
            <w:tcW w:w="844" w:type="pct"/>
            <w:shd w:val="clear" w:color="auto" w:fill="auto"/>
            <w:tcMar>
              <w:top w:w="15" w:type="dxa"/>
              <w:left w:w="15" w:type="dxa"/>
              <w:bottom w:w="0" w:type="dxa"/>
              <w:right w:w="15" w:type="dxa"/>
            </w:tcMar>
            <w:vAlign w:val="center"/>
          </w:tcPr>
          <w:p w14:paraId="2A9D35AA">
            <w:pPr>
              <w:jc w:val="center"/>
              <w:rPr>
                <w:rFonts w:eastAsia="仿宋_GB2312"/>
                <w:kern w:val="0"/>
                <w:szCs w:val="21"/>
              </w:rPr>
            </w:pPr>
            <w:r>
              <w:rPr>
                <w:rFonts w:eastAsia="仿宋_GB2312"/>
                <w:kern w:val="0"/>
                <w:szCs w:val="21"/>
              </w:rPr>
              <w:t>650.56</w:t>
            </w:r>
          </w:p>
        </w:tc>
        <w:tc>
          <w:tcPr>
            <w:tcW w:w="1071" w:type="pct"/>
            <w:tcMar>
              <w:top w:w="15" w:type="dxa"/>
              <w:left w:w="15" w:type="dxa"/>
              <w:bottom w:w="0" w:type="dxa"/>
              <w:right w:w="15" w:type="dxa"/>
            </w:tcMar>
            <w:vAlign w:val="center"/>
          </w:tcPr>
          <w:p w14:paraId="42117978">
            <w:pPr>
              <w:widowControl/>
              <w:jc w:val="center"/>
              <w:rPr>
                <w:rFonts w:eastAsia="仿宋_GB2312"/>
                <w:color w:val="auto"/>
                <w:kern w:val="0"/>
                <w:szCs w:val="21"/>
              </w:rPr>
            </w:pPr>
            <w:r>
              <w:rPr>
                <w:rFonts w:hint="eastAsia" w:eastAsia="仿宋_GB2312"/>
                <w:color w:val="auto"/>
                <w:kern w:val="0"/>
                <w:szCs w:val="21"/>
              </w:rPr>
              <w:t>739.93</w:t>
            </w:r>
          </w:p>
        </w:tc>
        <w:tc>
          <w:tcPr>
            <w:tcW w:w="1038" w:type="pct"/>
            <w:shd w:val="clear" w:color="auto" w:fill="auto"/>
            <w:tcMar>
              <w:top w:w="15" w:type="dxa"/>
              <w:left w:w="15" w:type="dxa"/>
              <w:bottom w:w="0" w:type="dxa"/>
              <w:right w:w="15" w:type="dxa"/>
            </w:tcMar>
            <w:vAlign w:val="center"/>
          </w:tcPr>
          <w:p w14:paraId="65BF7A25">
            <w:pPr>
              <w:jc w:val="center"/>
              <w:rPr>
                <w:color w:val="auto"/>
                <w:sz w:val="22"/>
                <w:szCs w:val="22"/>
              </w:rPr>
            </w:pPr>
            <w:r>
              <w:rPr>
                <w:color w:val="auto"/>
                <w:sz w:val="22"/>
                <w:szCs w:val="22"/>
              </w:rPr>
              <w:t>+</w:t>
            </w:r>
            <w:r>
              <w:rPr>
                <w:rFonts w:hint="eastAsia"/>
                <w:color w:val="auto"/>
                <w:sz w:val="22"/>
                <w:szCs w:val="22"/>
              </w:rPr>
              <w:t>89.37</w:t>
            </w:r>
          </w:p>
        </w:tc>
      </w:tr>
      <w:tr w14:paraId="0850ECA1">
        <w:tblPrEx>
          <w:tblBorders>
            <w:top w:val="single" w:color="auto" w:sz="12" w:space="0"/>
            <w:left w:val="single" w:color="auto" w:sz="12" w:space="0"/>
            <w:bottom w:val="single" w:color="auto" w:sz="12" w:space="0"/>
            <w:right w:val="single" w:color="auto" w:sz="12" w:space="0"/>
            <w:insideH w:val="single" w:color="auto" w:sz="4" w:space="0"/>
            <w:insideV w:val="single" w:color="auto" w:sz="6" w:space="0"/>
          </w:tblBorders>
          <w:tblCellMar>
            <w:top w:w="0" w:type="dxa"/>
            <w:left w:w="0" w:type="dxa"/>
            <w:bottom w:w="0" w:type="dxa"/>
            <w:right w:w="0" w:type="dxa"/>
          </w:tblCellMar>
        </w:tblPrEx>
        <w:trPr>
          <w:trHeight w:val="312" w:hRule="atLeast"/>
          <w:jc w:val="center"/>
        </w:trPr>
        <w:tc>
          <w:tcPr>
            <w:tcW w:w="630" w:type="pct"/>
            <w:vAlign w:val="center"/>
          </w:tcPr>
          <w:p w14:paraId="573FD69B">
            <w:pPr>
              <w:widowControl/>
              <w:jc w:val="center"/>
              <w:rPr>
                <w:rFonts w:eastAsia="仿宋_GB2312"/>
                <w:kern w:val="0"/>
                <w:szCs w:val="21"/>
              </w:rPr>
            </w:pPr>
            <w:r>
              <w:rPr>
                <w:rFonts w:hint="eastAsia" w:eastAsia="仿宋_GB2312"/>
                <w:kern w:val="0"/>
                <w:szCs w:val="21"/>
              </w:rPr>
              <w:t>30</w:t>
            </w:r>
          </w:p>
        </w:tc>
        <w:tc>
          <w:tcPr>
            <w:tcW w:w="1415" w:type="pct"/>
            <w:tcMar>
              <w:top w:w="15" w:type="dxa"/>
              <w:left w:w="15" w:type="dxa"/>
              <w:bottom w:w="0" w:type="dxa"/>
              <w:right w:w="15" w:type="dxa"/>
            </w:tcMar>
            <w:vAlign w:val="center"/>
          </w:tcPr>
          <w:p w14:paraId="67E9FFDE">
            <w:pPr>
              <w:widowControl/>
              <w:jc w:val="center"/>
              <w:rPr>
                <w:rFonts w:eastAsia="仿宋_GB2312"/>
                <w:kern w:val="0"/>
                <w:szCs w:val="21"/>
              </w:rPr>
            </w:pPr>
            <w:r>
              <w:rPr>
                <w:rFonts w:hint="eastAsia" w:eastAsia="仿宋_GB2312"/>
                <w:kern w:val="0"/>
                <w:szCs w:val="21"/>
              </w:rPr>
              <w:t>己烷</w:t>
            </w:r>
          </w:p>
        </w:tc>
        <w:tc>
          <w:tcPr>
            <w:tcW w:w="844" w:type="pct"/>
            <w:shd w:val="clear" w:color="auto" w:fill="auto"/>
            <w:tcMar>
              <w:top w:w="15" w:type="dxa"/>
              <w:left w:w="15" w:type="dxa"/>
              <w:bottom w:w="0" w:type="dxa"/>
              <w:right w:w="15" w:type="dxa"/>
            </w:tcMar>
            <w:vAlign w:val="center"/>
          </w:tcPr>
          <w:p w14:paraId="2D089959">
            <w:pPr>
              <w:jc w:val="center"/>
              <w:rPr>
                <w:rFonts w:eastAsia="仿宋_GB2312"/>
                <w:kern w:val="0"/>
                <w:szCs w:val="21"/>
              </w:rPr>
            </w:pPr>
            <w:r>
              <w:rPr>
                <w:rFonts w:hint="eastAsia" w:eastAsia="仿宋_GB2312"/>
                <w:kern w:val="0"/>
                <w:szCs w:val="21"/>
              </w:rPr>
              <w:t>0</w:t>
            </w:r>
          </w:p>
        </w:tc>
        <w:tc>
          <w:tcPr>
            <w:tcW w:w="1071" w:type="pct"/>
            <w:tcMar>
              <w:top w:w="15" w:type="dxa"/>
              <w:left w:w="15" w:type="dxa"/>
              <w:bottom w:w="0" w:type="dxa"/>
              <w:right w:w="15" w:type="dxa"/>
            </w:tcMar>
            <w:vAlign w:val="center"/>
          </w:tcPr>
          <w:p w14:paraId="4C02EBA4">
            <w:pPr>
              <w:widowControl/>
              <w:jc w:val="center"/>
              <w:rPr>
                <w:rFonts w:eastAsia="仿宋_GB2312"/>
                <w:color w:val="auto"/>
                <w:kern w:val="0"/>
                <w:szCs w:val="21"/>
              </w:rPr>
            </w:pPr>
            <w:r>
              <w:rPr>
                <w:rFonts w:hint="eastAsia" w:eastAsia="仿宋_GB2312"/>
                <w:color w:val="auto"/>
                <w:kern w:val="0"/>
                <w:szCs w:val="21"/>
              </w:rPr>
              <w:t>2669.385</w:t>
            </w:r>
          </w:p>
        </w:tc>
        <w:tc>
          <w:tcPr>
            <w:tcW w:w="1038" w:type="pct"/>
            <w:shd w:val="clear" w:color="auto" w:fill="auto"/>
            <w:tcMar>
              <w:top w:w="15" w:type="dxa"/>
              <w:left w:w="15" w:type="dxa"/>
              <w:bottom w:w="0" w:type="dxa"/>
              <w:right w:w="15" w:type="dxa"/>
            </w:tcMar>
            <w:vAlign w:val="center"/>
          </w:tcPr>
          <w:p w14:paraId="3F46884D">
            <w:pPr>
              <w:jc w:val="center"/>
              <w:rPr>
                <w:color w:val="auto"/>
                <w:sz w:val="22"/>
                <w:szCs w:val="22"/>
              </w:rPr>
            </w:pPr>
            <w:r>
              <w:rPr>
                <w:color w:val="auto"/>
                <w:sz w:val="22"/>
                <w:szCs w:val="22"/>
              </w:rPr>
              <w:t>+</w:t>
            </w:r>
            <w:r>
              <w:rPr>
                <w:rFonts w:hint="eastAsia"/>
                <w:color w:val="auto"/>
                <w:sz w:val="22"/>
                <w:szCs w:val="22"/>
              </w:rPr>
              <w:t>2669.385</w:t>
            </w:r>
          </w:p>
        </w:tc>
      </w:tr>
      <w:tr w14:paraId="7967E07B">
        <w:tblPrEx>
          <w:tblBorders>
            <w:top w:val="single" w:color="auto" w:sz="12" w:space="0"/>
            <w:left w:val="single" w:color="auto" w:sz="12" w:space="0"/>
            <w:bottom w:val="single" w:color="auto" w:sz="12" w:space="0"/>
            <w:right w:val="single" w:color="auto" w:sz="12" w:space="0"/>
            <w:insideH w:val="single" w:color="auto" w:sz="4" w:space="0"/>
            <w:insideV w:val="single" w:color="auto" w:sz="6" w:space="0"/>
          </w:tblBorders>
          <w:tblCellMar>
            <w:top w:w="0" w:type="dxa"/>
            <w:left w:w="0" w:type="dxa"/>
            <w:bottom w:w="0" w:type="dxa"/>
            <w:right w:w="0" w:type="dxa"/>
          </w:tblCellMar>
        </w:tblPrEx>
        <w:trPr>
          <w:trHeight w:val="312" w:hRule="atLeast"/>
          <w:jc w:val="center"/>
        </w:trPr>
        <w:tc>
          <w:tcPr>
            <w:tcW w:w="630" w:type="pct"/>
            <w:vAlign w:val="center"/>
          </w:tcPr>
          <w:p w14:paraId="3E04F2F3">
            <w:pPr>
              <w:widowControl/>
              <w:jc w:val="center"/>
              <w:rPr>
                <w:rFonts w:eastAsia="仿宋_GB2312"/>
                <w:kern w:val="0"/>
                <w:szCs w:val="21"/>
              </w:rPr>
            </w:pPr>
            <w:r>
              <w:rPr>
                <w:rFonts w:hint="eastAsia" w:eastAsia="仿宋_GB2312"/>
                <w:kern w:val="0"/>
                <w:szCs w:val="21"/>
              </w:rPr>
              <w:t>31</w:t>
            </w:r>
          </w:p>
        </w:tc>
        <w:tc>
          <w:tcPr>
            <w:tcW w:w="1415" w:type="pct"/>
            <w:tcMar>
              <w:top w:w="15" w:type="dxa"/>
              <w:left w:w="15" w:type="dxa"/>
              <w:bottom w:w="0" w:type="dxa"/>
              <w:right w:w="15" w:type="dxa"/>
            </w:tcMar>
            <w:vAlign w:val="center"/>
          </w:tcPr>
          <w:p w14:paraId="26D16CEE">
            <w:pPr>
              <w:widowControl/>
              <w:jc w:val="center"/>
              <w:rPr>
                <w:rFonts w:eastAsia="仿宋_GB2312"/>
                <w:kern w:val="0"/>
                <w:szCs w:val="21"/>
              </w:rPr>
            </w:pPr>
            <w:r>
              <w:rPr>
                <w:rFonts w:hint="eastAsia" w:eastAsia="仿宋_GB2312"/>
                <w:kern w:val="0"/>
                <w:szCs w:val="21"/>
              </w:rPr>
              <w:t>异丙苯</w:t>
            </w:r>
          </w:p>
        </w:tc>
        <w:tc>
          <w:tcPr>
            <w:tcW w:w="844" w:type="pct"/>
            <w:shd w:val="clear" w:color="auto" w:fill="auto"/>
            <w:tcMar>
              <w:top w:w="15" w:type="dxa"/>
              <w:left w:w="15" w:type="dxa"/>
              <w:bottom w:w="0" w:type="dxa"/>
              <w:right w:w="15" w:type="dxa"/>
            </w:tcMar>
            <w:vAlign w:val="center"/>
          </w:tcPr>
          <w:p w14:paraId="36C64590">
            <w:pPr>
              <w:jc w:val="center"/>
              <w:rPr>
                <w:rFonts w:eastAsia="仿宋_GB2312"/>
                <w:kern w:val="0"/>
                <w:szCs w:val="21"/>
              </w:rPr>
            </w:pPr>
            <w:r>
              <w:rPr>
                <w:rFonts w:hint="eastAsia" w:eastAsia="仿宋_GB2312"/>
                <w:kern w:val="0"/>
                <w:szCs w:val="21"/>
              </w:rPr>
              <w:t>0</w:t>
            </w:r>
          </w:p>
        </w:tc>
        <w:tc>
          <w:tcPr>
            <w:tcW w:w="1071" w:type="pct"/>
            <w:tcMar>
              <w:top w:w="15" w:type="dxa"/>
              <w:left w:w="15" w:type="dxa"/>
              <w:bottom w:w="0" w:type="dxa"/>
              <w:right w:w="15" w:type="dxa"/>
            </w:tcMar>
            <w:vAlign w:val="center"/>
          </w:tcPr>
          <w:p w14:paraId="4B88A038">
            <w:pPr>
              <w:widowControl/>
              <w:jc w:val="center"/>
              <w:rPr>
                <w:rFonts w:eastAsia="仿宋_GB2312"/>
                <w:color w:val="auto"/>
                <w:kern w:val="0"/>
                <w:szCs w:val="21"/>
              </w:rPr>
            </w:pPr>
            <w:r>
              <w:rPr>
                <w:rFonts w:hint="eastAsia" w:eastAsia="仿宋_GB2312"/>
                <w:color w:val="auto"/>
                <w:kern w:val="0"/>
                <w:szCs w:val="21"/>
              </w:rPr>
              <w:t>881.9943</w:t>
            </w:r>
          </w:p>
        </w:tc>
        <w:tc>
          <w:tcPr>
            <w:tcW w:w="1038" w:type="pct"/>
            <w:shd w:val="clear" w:color="auto" w:fill="auto"/>
            <w:tcMar>
              <w:top w:w="15" w:type="dxa"/>
              <w:left w:w="15" w:type="dxa"/>
              <w:bottom w:w="0" w:type="dxa"/>
              <w:right w:w="15" w:type="dxa"/>
            </w:tcMar>
            <w:vAlign w:val="center"/>
          </w:tcPr>
          <w:p w14:paraId="2F116E9B">
            <w:pPr>
              <w:jc w:val="center"/>
              <w:rPr>
                <w:color w:val="auto"/>
                <w:sz w:val="22"/>
                <w:szCs w:val="22"/>
              </w:rPr>
            </w:pPr>
            <w:r>
              <w:rPr>
                <w:color w:val="auto"/>
                <w:sz w:val="22"/>
                <w:szCs w:val="22"/>
              </w:rPr>
              <w:t>+</w:t>
            </w:r>
            <w:r>
              <w:rPr>
                <w:rFonts w:hint="eastAsia"/>
                <w:color w:val="auto"/>
                <w:sz w:val="22"/>
                <w:szCs w:val="22"/>
              </w:rPr>
              <w:t>881.9943</w:t>
            </w:r>
          </w:p>
        </w:tc>
      </w:tr>
      <w:tr w14:paraId="02DF07BD">
        <w:tblPrEx>
          <w:tblBorders>
            <w:top w:val="single" w:color="auto" w:sz="12" w:space="0"/>
            <w:left w:val="single" w:color="auto" w:sz="12" w:space="0"/>
            <w:bottom w:val="single" w:color="auto" w:sz="12" w:space="0"/>
            <w:right w:val="single" w:color="auto" w:sz="12" w:space="0"/>
            <w:insideH w:val="single" w:color="auto" w:sz="4" w:space="0"/>
            <w:insideV w:val="single" w:color="auto" w:sz="6" w:space="0"/>
          </w:tblBorders>
          <w:tblCellMar>
            <w:top w:w="0" w:type="dxa"/>
            <w:left w:w="0" w:type="dxa"/>
            <w:bottom w:w="0" w:type="dxa"/>
            <w:right w:w="0" w:type="dxa"/>
          </w:tblCellMar>
        </w:tblPrEx>
        <w:trPr>
          <w:trHeight w:val="312" w:hRule="atLeast"/>
          <w:jc w:val="center"/>
        </w:trPr>
        <w:tc>
          <w:tcPr>
            <w:tcW w:w="630" w:type="pct"/>
            <w:vAlign w:val="center"/>
          </w:tcPr>
          <w:p w14:paraId="2868EAB6">
            <w:pPr>
              <w:widowControl/>
              <w:jc w:val="center"/>
              <w:rPr>
                <w:rFonts w:eastAsia="仿宋_GB2312"/>
                <w:kern w:val="0"/>
                <w:szCs w:val="21"/>
              </w:rPr>
            </w:pPr>
            <w:r>
              <w:rPr>
                <w:rFonts w:hint="eastAsia" w:eastAsia="仿宋_GB2312"/>
                <w:kern w:val="0"/>
                <w:szCs w:val="21"/>
              </w:rPr>
              <w:t>32</w:t>
            </w:r>
          </w:p>
        </w:tc>
        <w:tc>
          <w:tcPr>
            <w:tcW w:w="1415" w:type="pct"/>
            <w:tcMar>
              <w:top w:w="15" w:type="dxa"/>
              <w:left w:w="15" w:type="dxa"/>
              <w:bottom w:w="0" w:type="dxa"/>
              <w:right w:w="15" w:type="dxa"/>
            </w:tcMar>
            <w:vAlign w:val="center"/>
          </w:tcPr>
          <w:p w14:paraId="7C10B12D">
            <w:pPr>
              <w:widowControl/>
              <w:jc w:val="center"/>
              <w:rPr>
                <w:rFonts w:eastAsia="仿宋_GB2312"/>
                <w:kern w:val="0"/>
                <w:szCs w:val="21"/>
              </w:rPr>
            </w:pPr>
            <w:r>
              <w:rPr>
                <w:rFonts w:hint="eastAsia" w:eastAsia="仿宋_GB2312"/>
                <w:kern w:val="0"/>
                <w:szCs w:val="21"/>
              </w:rPr>
              <w:t>苯酚</w:t>
            </w:r>
          </w:p>
        </w:tc>
        <w:tc>
          <w:tcPr>
            <w:tcW w:w="844" w:type="pct"/>
            <w:shd w:val="clear" w:color="auto" w:fill="auto"/>
            <w:tcMar>
              <w:top w:w="15" w:type="dxa"/>
              <w:left w:w="15" w:type="dxa"/>
              <w:bottom w:w="0" w:type="dxa"/>
              <w:right w:w="15" w:type="dxa"/>
            </w:tcMar>
            <w:vAlign w:val="center"/>
          </w:tcPr>
          <w:p w14:paraId="423AE5B9">
            <w:pPr>
              <w:jc w:val="center"/>
              <w:rPr>
                <w:rFonts w:eastAsia="仿宋_GB2312"/>
                <w:kern w:val="0"/>
                <w:szCs w:val="21"/>
              </w:rPr>
            </w:pPr>
            <w:r>
              <w:rPr>
                <w:rFonts w:hint="eastAsia" w:eastAsia="仿宋_GB2312"/>
                <w:kern w:val="0"/>
                <w:szCs w:val="21"/>
              </w:rPr>
              <w:t>0</w:t>
            </w:r>
          </w:p>
        </w:tc>
        <w:tc>
          <w:tcPr>
            <w:tcW w:w="1071" w:type="pct"/>
            <w:tcMar>
              <w:top w:w="15" w:type="dxa"/>
              <w:left w:w="15" w:type="dxa"/>
              <w:bottom w:w="0" w:type="dxa"/>
              <w:right w:w="15" w:type="dxa"/>
            </w:tcMar>
            <w:vAlign w:val="center"/>
          </w:tcPr>
          <w:p w14:paraId="70F195C8">
            <w:pPr>
              <w:widowControl/>
              <w:jc w:val="center"/>
              <w:rPr>
                <w:rFonts w:eastAsia="仿宋_GB2312"/>
                <w:kern w:val="0"/>
                <w:szCs w:val="21"/>
              </w:rPr>
            </w:pPr>
            <w:r>
              <w:rPr>
                <w:rFonts w:hint="eastAsia" w:eastAsia="仿宋_GB2312"/>
                <w:kern w:val="0"/>
                <w:szCs w:val="21"/>
              </w:rPr>
              <w:t>662.25</w:t>
            </w:r>
          </w:p>
        </w:tc>
        <w:tc>
          <w:tcPr>
            <w:tcW w:w="1038" w:type="pct"/>
            <w:shd w:val="clear" w:color="auto" w:fill="auto"/>
            <w:tcMar>
              <w:top w:w="15" w:type="dxa"/>
              <w:left w:w="15" w:type="dxa"/>
              <w:bottom w:w="0" w:type="dxa"/>
              <w:right w:w="15" w:type="dxa"/>
            </w:tcMar>
            <w:vAlign w:val="center"/>
          </w:tcPr>
          <w:p w14:paraId="41A6A16D">
            <w:pPr>
              <w:jc w:val="center"/>
              <w:rPr>
                <w:color w:val="000000"/>
                <w:sz w:val="22"/>
                <w:szCs w:val="22"/>
              </w:rPr>
            </w:pPr>
            <w:r>
              <w:rPr>
                <w:color w:val="000000"/>
                <w:sz w:val="22"/>
                <w:szCs w:val="22"/>
              </w:rPr>
              <w:t>+</w:t>
            </w:r>
            <w:r>
              <w:rPr>
                <w:rFonts w:hint="eastAsia"/>
                <w:color w:val="000000"/>
                <w:sz w:val="22"/>
                <w:szCs w:val="22"/>
              </w:rPr>
              <w:t>662.25</w:t>
            </w:r>
          </w:p>
        </w:tc>
      </w:tr>
      <w:tr w14:paraId="4CE6F729">
        <w:tblPrEx>
          <w:tblBorders>
            <w:top w:val="single" w:color="auto" w:sz="12" w:space="0"/>
            <w:left w:val="single" w:color="auto" w:sz="12" w:space="0"/>
            <w:bottom w:val="single" w:color="auto" w:sz="12" w:space="0"/>
            <w:right w:val="single" w:color="auto" w:sz="12" w:space="0"/>
            <w:insideH w:val="single" w:color="auto" w:sz="4" w:space="0"/>
            <w:insideV w:val="single" w:color="auto" w:sz="6" w:space="0"/>
          </w:tblBorders>
          <w:tblCellMar>
            <w:top w:w="0" w:type="dxa"/>
            <w:left w:w="0" w:type="dxa"/>
            <w:bottom w:w="0" w:type="dxa"/>
            <w:right w:w="0" w:type="dxa"/>
          </w:tblCellMar>
        </w:tblPrEx>
        <w:trPr>
          <w:trHeight w:val="312" w:hRule="atLeast"/>
          <w:jc w:val="center"/>
        </w:trPr>
        <w:tc>
          <w:tcPr>
            <w:tcW w:w="630" w:type="pct"/>
            <w:vAlign w:val="center"/>
          </w:tcPr>
          <w:p w14:paraId="0567E204">
            <w:pPr>
              <w:widowControl/>
              <w:jc w:val="center"/>
              <w:rPr>
                <w:rFonts w:eastAsia="仿宋_GB2312"/>
                <w:kern w:val="0"/>
                <w:szCs w:val="21"/>
              </w:rPr>
            </w:pPr>
            <w:r>
              <w:rPr>
                <w:rFonts w:hint="eastAsia" w:eastAsia="仿宋_GB2312"/>
                <w:kern w:val="0"/>
                <w:szCs w:val="21"/>
              </w:rPr>
              <w:t>33</w:t>
            </w:r>
          </w:p>
        </w:tc>
        <w:tc>
          <w:tcPr>
            <w:tcW w:w="1415" w:type="pct"/>
            <w:tcMar>
              <w:top w:w="15" w:type="dxa"/>
              <w:left w:w="15" w:type="dxa"/>
              <w:bottom w:w="0" w:type="dxa"/>
              <w:right w:w="15" w:type="dxa"/>
            </w:tcMar>
            <w:vAlign w:val="center"/>
          </w:tcPr>
          <w:p w14:paraId="68CFB721">
            <w:pPr>
              <w:widowControl/>
              <w:jc w:val="center"/>
              <w:rPr>
                <w:rFonts w:eastAsia="仿宋_GB2312"/>
                <w:kern w:val="0"/>
                <w:szCs w:val="21"/>
              </w:rPr>
            </w:pPr>
            <w:r>
              <w:rPr>
                <w:rFonts w:hint="eastAsia" w:eastAsia="仿宋_GB2312"/>
                <w:kern w:val="0"/>
                <w:szCs w:val="21"/>
              </w:rPr>
              <w:t>乙酸乙烯酯</w:t>
            </w:r>
          </w:p>
        </w:tc>
        <w:tc>
          <w:tcPr>
            <w:tcW w:w="844" w:type="pct"/>
            <w:shd w:val="clear" w:color="auto" w:fill="auto"/>
            <w:tcMar>
              <w:top w:w="15" w:type="dxa"/>
              <w:left w:w="15" w:type="dxa"/>
              <w:bottom w:w="0" w:type="dxa"/>
              <w:right w:w="15" w:type="dxa"/>
            </w:tcMar>
            <w:vAlign w:val="center"/>
          </w:tcPr>
          <w:p w14:paraId="3DA8422E">
            <w:pPr>
              <w:jc w:val="center"/>
              <w:rPr>
                <w:rFonts w:eastAsia="仿宋_GB2312"/>
                <w:kern w:val="0"/>
                <w:szCs w:val="21"/>
              </w:rPr>
            </w:pPr>
            <w:r>
              <w:rPr>
                <w:rFonts w:hint="eastAsia" w:eastAsia="仿宋_GB2312"/>
                <w:kern w:val="0"/>
                <w:szCs w:val="21"/>
              </w:rPr>
              <w:t>0</w:t>
            </w:r>
          </w:p>
        </w:tc>
        <w:tc>
          <w:tcPr>
            <w:tcW w:w="1071" w:type="pct"/>
            <w:tcMar>
              <w:top w:w="15" w:type="dxa"/>
              <w:left w:w="15" w:type="dxa"/>
              <w:bottom w:w="0" w:type="dxa"/>
              <w:right w:w="15" w:type="dxa"/>
            </w:tcMar>
            <w:vAlign w:val="center"/>
          </w:tcPr>
          <w:p w14:paraId="4F62666B">
            <w:pPr>
              <w:widowControl/>
              <w:jc w:val="center"/>
              <w:rPr>
                <w:rFonts w:eastAsia="仿宋_GB2312"/>
                <w:kern w:val="0"/>
                <w:szCs w:val="21"/>
              </w:rPr>
            </w:pPr>
            <w:r>
              <w:rPr>
                <w:rFonts w:hint="eastAsia" w:eastAsia="仿宋_GB2312"/>
                <w:kern w:val="0"/>
                <w:szCs w:val="21"/>
              </w:rPr>
              <w:t>673.599</w:t>
            </w:r>
          </w:p>
        </w:tc>
        <w:tc>
          <w:tcPr>
            <w:tcW w:w="1038" w:type="pct"/>
            <w:shd w:val="clear" w:color="auto" w:fill="auto"/>
            <w:tcMar>
              <w:top w:w="15" w:type="dxa"/>
              <w:left w:w="15" w:type="dxa"/>
              <w:bottom w:w="0" w:type="dxa"/>
              <w:right w:w="15" w:type="dxa"/>
            </w:tcMar>
            <w:vAlign w:val="center"/>
          </w:tcPr>
          <w:p w14:paraId="3C42BEA1">
            <w:pPr>
              <w:jc w:val="center"/>
              <w:rPr>
                <w:color w:val="000000"/>
                <w:sz w:val="22"/>
                <w:szCs w:val="22"/>
              </w:rPr>
            </w:pPr>
            <w:r>
              <w:rPr>
                <w:color w:val="000000"/>
                <w:sz w:val="22"/>
                <w:szCs w:val="22"/>
              </w:rPr>
              <w:t>+</w:t>
            </w:r>
            <w:r>
              <w:rPr>
                <w:rFonts w:hint="eastAsia"/>
                <w:color w:val="000000"/>
                <w:sz w:val="22"/>
                <w:szCs w:val="22"/>
              </w:rPr>
              <w:t>673.599</w:t>
            </w:r>
          </w:p>
        </w:tc>
      </w:tr>
      <w:tr w14:paraId="02ECF7B1">
        <w:tblPrEx>
          <w:tblBorders>
            <w:top w:val="single" w:color="auto" w:sz="12" w:space="0"/>
            <w:left w:val="single" w:color="auto" w:sz="12" w:space="0"/>
            <w:bottom w:val="single" w:color="auto" w:sz="12" w:space="0"/>
            <w:right w:val="single" w:color="auto" w:sz="12" w:space="0"/>
            <w:insideH w:val="single" w:color="auto" w:sz="4" w:space="0"/>
            <w:insideV w:val="single" w:color="auto" w:sz="6" w:space="0"/>
          </w:tblBorders>
          <w:tblCellMar>
            <w:top w:w="0" w:type="dxa"/>
            <w:left w:w="0" w:type="dxa"/>
            <w:bottom w:w="0" w:type="dxa"/>
            <w:right w:w="0" w:type="dxa"/>
          </w:tblCellMar>
        </w:tblPrEx>
        <w:trPr>
          <w:trHeight w:val="312" w:hRule="atLeast"/>
          <w:jc w:val="center"/>
        </w:trPr>
        <w:tc>
          <w:tcPr>
            <w:tcW w:w="630" w:type="pct"/>
            <w:vAlign w:val="center"/>
          </w:tcPr>
          <w:p w14:paraId="7C088568">
            <w:pPr>
              <w:widowControl/>
              <w:jc w:val="center"/>
              <w:rPr>
                <w:rFonts w:eastAsia="仿宋_GB2312"/>
                <w:kern w:val="0"/>
                <w:szCs w:val="21"/>
              </w:rPr>
            </w:pPr>
            <w:r>
              <w:rPr>
                <w:rFonts w:hint="eastAsia" w:eastAsia="仿宋_GB2312"/>
                <w:kern w:val="0"/>
                <w:szCs w:val="21"/>
              </w:rPr>
              <w:t>34</w:t>
            </w:r>
          </w:p>
        </w:tc>
        <w:tc>
          <w:tcPr>
            <w:tcW w:w="1415" w:type="pct"/>
            <w:tcMar>
              <w:top w:w="15" w:type="dxa"/>
              <w:left w:w="15" w:type="dxa"/>
              <w:bottom w:w="0" w:type="dxa"/>
              <w:right w:w="15" w:type="dxa"/>
            </w:tcMar>
            <w:vAlign w:val="center"/>
          </w:tcPr>
          <w:p w14:paraId="679A309D">
            <w:pPr>
              <w:widowControl/>
              <w:jc w:val="center"/>
              <w:rPr>
                <w:rFonts w:eastAsia="仿宋_GB2312"/>
                <w:kern w:val="0"/>
                <w:szCs w:val="21"/>
              </w:rPr>
            </w:pPr>
            <w:r>
              <w:rPr>
                <w:rFonts w:hint="eastAsia" w:eastAsia="仿宋_GB2312"/>
                <w:kern w:val="0"/>
                <w:szCs w:val="21"/>
              </w:rPr>
              <w:t>2-甲基四氢呋喃</w:t>
            </w:r>
          </w:p>
        </w:tc>
        <w:tc>
          <w:tcPr>
            <w:tcW w:w="844" w:type="pct"/>
            <w:shd w:val="clear" w:color="auto" w:fill="auto"/>
            <w:tcMar>
              <w:top w:w="15" w:type="dxa"/>
              <w:left w:w="15" w:type="dxa"/>
              <w:bottom w:w="0" w:type="dxa"/>
              <w:right w:w="15" w:type="dxa"/>
            </w:tcMar>
            <w:vAlign w:val="center"/>
          </w:tcPr>
          <w:p w14:paraId="06B4B9FE">
            <w:pPr>
              <w:jc w:val="center"/>
              <w:rPr>
                <w:rFonts w:eastAsia="仿宋_GB2312"/>
                <w:kern w:val="0"/>
                <w:szCs w:val="21"/>
              </w:rPr>
            </w:pPr>
            <w:r>
              <w:rPr>
                <w:rFonts w:hint="eastAsia" w:eastAsia="仿宋_GB2312"/>
                <w:kern w:val="0"/>
                <w:szCs w:val="21"/>
              </w:rPr>
              <w:t>0</w:t>
            </w:r>
          </w:p>
        </w:tc>
        <w:tc>
          <w:tcPr>
            <w:tcW w:w="1071" w:type="pct"/>
            <w:tcMar>
              <w:top w:w="15" w:type="dxa"/>
              <w:left w:w="15" w:type="dxa"/>
              <w:bottom w:w="0" w:type="dxa"/>
              <w:right w:w="15" w:type="dxa"/>
            </w:tcMar>
            <w:vAlign w:val="center"/>
          </w:tcPr>
          <w:p w14:paraId="30641C0F">
            <w:pPr>
              <w:widowControl/>
              <w:jc w:val="center"/>
              <w:rPr>
                <w:rFonts w:eastAsia="仿宋_GB2312"/>
                <w:kern w:val="0"/>
                <w:szCs w:val="21"/>
              </w:rPr>
            </w:pPr>
            <w:r>
              <w:rPr>
                <w:rFonts w:hint="eastAsia" w:eastAsia="仿宋_GB2312"/>
                <w:kern w:val="0"/>
                <w:szCs w:val="21"/>
              </w:rPr>
              <w:t>4461.037</w:t>
            </w:r>
          </w:p>
        </w:tc>
        <w:tc>
          <w:tcPr>
            <w:tcW w:w="1038" w:type="pct"/>
            <w:shd w:val="clear" w:color="auto" w:fill="auto"/>
            <w:tcMar>
              <w:top w:w="15" w:type="dxa"/>
              <w:left w:w="15" w:type="dxa"/>
              <w:bottom w:w="0" w:type="dxa"/>
              <w:right w:w="15" w:type="dxa"/>
            </w:tcMar>
            <w:vAlign w:val="center"/>
          </w:tcPr>
          <w:p w14:paraId="68C7D327">
            <w:pPr>
              <w:jc w:val="center"/>
              <w:rPr>
                <w:color w:val="000000"/>
                <w:sz w:val="22"/>
                <w:szCs w:val="22"/>
              </w:rPr>
            </w:pPr>
            <w:r>
              <w:rPr>
                <w:color w:val="000000"/>
                <w:sz w:val="22"/>
                <w:szCs w:val="22"/>
              </w:rPr>
              <w:t>+</w:t>
            </w:r>
            <w:r>
              <w:rPr>
                <w:rFonts w:hint="eastAsia"/>
                <w:color w:val="000000"/>
                <w:sz w:val="22"/>
                <w:szCs w:val="22"/>
              </w:rPr>
              <w:t>4461.037</w:t>
            </w:r>
          </w:p>
        </w:tc>
      </w:tr>
      <w:tr w14:paraId="142DCAB3">
        <w:tblPrEx>
          <w:tblBorders>
            <w:top w:val="single" w:color="auto" w:sz="12" w:space="0"/>
            <w:left w:val="single" w:color="auto" w:sz="12" w:space="0"/>
            <w:bottom w:val="single" w:color="auto" w:sz="12" w:space="0"/>
            <w:right w:val="single" w:color="auto" w:sz="12" w:space="0"/>
            <w:insideH w:val="single" w:color="auto" w:sz="4" w:space="0"/>
            <w:insideV w:val="single" w:color="auto" w:sz="6" w:space="0"/>
          </w:tblBorders>
          <w:tblCellMar>
            <w:top w:w="0" w:type="dxa"/>
            <w:left w:w="0" w:type="dxa"/>
            <w:bottom w:w="0" w:type="dxa"/>
            <w:right w:w="0" w:type="dxa"/>
          </w:tblCellMar>
        </w:tblPrEx>
        <w:trPr>
          <w:trHeight w:val="312" w:hRule="atLeast"/>
          <w:jc w:val="center"/>
        </w:trPr>
        <w:tc>
          <w:tcPr>
            <w:tcW w:w="630" w:type="pct"/>
            <w:vAlign w:val="center"/>
          </w:tcPr>
          <w:p w14:paraId="3F7F9F5C">
            <w:pPr>
              <w:widowControl/>
              <w:jc w:val="center"/>
              <w:rPr>
                <w:rFonts w:eastAsia="仿宋_GB2312"/>
                <w:kern w:val="0"/>
                <w:szCs w:val="21"/>
              </w:rPr>
            </w:pPr>
            <w:r>
              <w:rPr>
                <w:rFonts w:hint="eastAsia" w:eastAsia="仿宋_GB2312"/>
                <w:kern w:val="0"/>
                <w:szCs w:val="21"/>
              </w:rPr>
              <w:t>35</w:t>
            </w:r>
          </w:p>
        </w:tc>
        <w:tc>
          <w:tcPr>
            <w:tcW w:w="1415" w:type="pct"/>
            <w:tcMar>
              <w:top w:w="15" w:type="dxa"/>
              <w:left w:w="15" w:type="dxa"/>
              <w:bottom w:w="0" w:type="dxa"/>
              <w:right w:w="15" w:type="dxa"/>
            </w:tcMar>
            <w:vAlign w:val="center"/>
          </w:tcPr>
          <w:p w14:paraId="48077DDF">
            <w:pPr>
              <w:widowControl/>
              <w:jc w:val="center"/>
              <w:rPr>
                <w:rFonts w:eastAsia="仿宋_GB2312"/>
                <w:kern w:val="0"/>
                <w:szCs w:val="21"/>
              </w:rPr>
            </w:pPr>
            <w:r>
              <w:rPr>
                <w:rFonts w:hint="eastAsia" w:eastAsia="仿宋_GB2312"/>
                <w:kern w:val="0"/>
                <w:szCs w:val="21"/>
              </w:rPr>
              <w:t>甲基叔丁基醚</w:t>
            </w:r>
          </w:p>
        </w:tc>
        <w:tc>
          <w:tcPr>
            <w:tcW w:w="844" w:type="pct"/>
            <w:shd w:val="clear" w:color="auto" w:fill="auto"/>
            <w:tcMar>
              <w:top w:w="15" w:type="dxa"/>
              <w:left w:w="15" w:type="dxa"/>
              <w:bottom w:w="0" w:type="dxa"/>
              <w:right w:w="15" w:type="dxa"/>
            </w:tcMar>
            <w:vAlign w:val="center"/>
          </w:tcPr>
          <w:p w14:paraId="6217A5BF">
            <w:pPr>
              <w:jc w:val="center"/>
              <w:rPr>
                <w:rFonts w:eastAsia="仿宋_GB2312"/>
                <w:kern w:val="0"/>
                <w:szCs w:val="21"/>
              </w:rPr>
            </w:pPr>
            <w:r>
              <w:rPr>
                <w:rFonts w:hint="eastAsia" w:eastAsia="仿宋_GB2312"/>
                <w:kern w:val="0"/>
                <w:szCs w:val="21"/>
              </w:rPr>
              <w:t>0</w:t>
            </w:r>
          </w:p>
        </w:tc>
        <w:tc>
          <w:tcPr>
            <w:tcW w:w="1071" w:type="pct"/>
            <w:tcMar>
              <w:top w:w="15" w:type="dxa"/>
              <w:left w:w="15" w:type="dxa"/>
              <w:bottom w:w="0" w:type="dxa"/>
              <w:right w:w="15" w:type="dxa"/>
            </w:tcMar>
            <w:vAlign w:val="center"/>
          </w:tcPr>
          <w:p w14:paraId="090CBE75">
            <w:pPr>
              <w:widowControl/>
              <w:spacing w:line="250" w:lineRule="exact"/>
              <w:jc w:val="center"/>
              <w:rPr>
                <w:rFonts w:eastAsia="仿宋_GB2312"/>
                <w:kern w:val="0"/>
                <w:szCs w:val="21"/>
              </w:rPr>
            </w:pPr>
            <w:r>
              <w:rPr>
                <w:rFonts w:hint="eastAsia" w:eastAsia="仿宋_GB2312"/>
                <w:kern w:val="0"/>
                <w:szCs w:val="21"/>
              </w:rPr>
              <w:t>1504.78</w:t>
            </w:r>
          </w:p>
        </w:tc>
        <w:tc>
          <w:tcPr>
            <w:tcW w:w="1038" w:type="pct"/>
            <w:shd w:val="clear" w:color="auto" w:fill="auto"/>
            <w:tcMar>
              <w:top w:w="15" w:type="dxa"/>
              <w:left w:w="15" w:type="dxa"/>
              <w:bottom w:w="0" w:type="dxa"/>
              <w:right w:w="15" w:type="dxa"/>
            </w:tcMar>
            <w:vAlign w:val="center"/>
          </w:tcPr>
          <w:p w14:paraId="488E3135">
            <w:pPr>
              <w:jc w:val="center"/>
              <w:rPr>
                <w:color w:val="000000"/>
                <w:sz w:val="22"/>
                <w:szCs w:val="22"/>
              </w:rPr>
            </w:pPr>
            <w:r>
              <w:rPr>
                <w:color w:val="000000"/>
                <w:sz w:val="22"/>
                <w:szCs w:val="22"/>
              </w:rPr>
              <w:t>+</w:t>
            </w:r>
            <w:r>
              <w:rPr>
                <w:rFonts w:hint="eastAsia"/>
                <w:color w:val="000000"/>
                <w:sz w:val="22"/>
                <w:szCs w:val="22"/>
              </w:rPr>
              <w:t>1504.78</w:t>
            </w:r>
          </w:p>
        </w:tc>
      </w:tr>
      <w:tr w14:paraId="1A1655FC">
        <w:tblPrEx>
          <w:tblBorders>
            <w:top w:val="single" w:color="auto" w:sz="12" w:space="0"/>
            <w:left w:val="single" w:color="auto" w:sz="12" w:space="0"/>
            <w:bottom w:val="single" w:color="auto" w:sz="12" w:space="0"/>
            <w:right w:val="single" w:color="auto" w:sz="12" w:space="0"/>
            <w:insideH w:val="single" w:color="auto" w:sz="4" w:space="0"/>
            <w:insideV w:val="single" w:color="auto" w:sz="6" w:space="0"/>
          </w:tblBorders>
          <w:tblCellMar>
            <w:top w:w="0" w:type="dxa"/>
            <w:left w:w="0" w:type="dxa"/>
            <w:bottom w:w="0" w:type="dxa"/>
            <w:right w:w="0" w:type="dxa"/>
          </w:tblCellMar>
        </w:tblPrEx>
        <w:trPr>
          <w:trHeight w:val="312" w:hRule="atLeast"/>
          <w:jc w:val="center"/>
        </w:trPr>
        <w:tc>
          <w:tcPr>
            <w:tcW w:w="630" w:type="pct"/>
            <w:vAlign w:val="center"/>
          </w:tcPr>
          <w:p w14:paraId="78B1A0A2">
            <w:pPr>
              <w:widowControl/>
              <w:jc w:val="center"/>
              <w:rPr>
                <w:rFonts w:eastAsia="仿宋_GB2312"/>
                <w:kern w:val="0"/>
                <w:szCs w:val="21"/>
              </w:rPr>
            </w:pPr>
            <w:r>
              <w:rPr>
                <w:rFonts w:hint="eastAsia" w:eastAsia="仿宋_GB2312"/>
                <w:kern w:val="0"/>
                <w:szCs w:val="21"/>
              </w:rPr>
              <w:t>36</w:t>
            </w:r>
          </w:p>
        </w:tc>
        <w:tc>
          <w:tcPr>
            <w:tcW w:w="1415" w:type="pct"/>
            <w:tcMar>
              <w:top w:w="15" w:type="dxa"/>
              <w:left w:w="15" w:type="dxa"/>
              <w:bottom w:w="0" w:type="dxa"/>
              <w:right w:w="15" w:type="dxa"/>
            </w:tcMar>
            <w:vAlign w:val="center"/>
          </w:tcPr>
          <w:p w14:paraId="74B9BBF8">
            <w:pPr>
              <w:widowControl/>
              <w:jc w:val="center"/>
              <w:rPr>
                <w:rFonts w:eastAsia="仿宋_GB2312"/>
                <w:kern w:val="0"/>
                <w:szCs w:val="21"/>
              </w:rPr>
            </w:pPr>
            <w:r>
              <w:rPr>
                <w:rFonts w:hint="eastAsia" w:eastAsia="仿宋_GB2312"/>
                <w:kern w:val="0"/>
                <w:szCs w:val="21"/>
              </w:rPr>
              <w:t>丙二醇甲醚醋酸酯</w:t>
            </w:r>
          </w:p>
        </w:tc>
        <w:tc>
          <w:tcPr>
            <w:tcW w:w="844" w:type="pct"/>
            <w:shd w:val="clear" w:color="auto" w:fill="auto"/>
            <w:tcMar>
              <w:top w:w="15" w:type="dxa"/>
              <w:left w:w="15" w:type="dxa"/>
              <w:bottom w:w="0" w:type="dxa"/>
              <w:right w:w="15" w:type="dxa"/>
            </w:tcMar>
            <w:vAlign w:val="center"/>
          </w:tcPr>
          <w:p w14:paraId="052DAB38">
            <w:pPr>
              <w:jc w:val="center"/>
              <w:rPr>
                <w:rFonts w:eastAsia="仿宋_GB2312"/>
                <w:kern w:val="0"/>
                <w:szCs w:val="21"/>
              </w:rPr>
            </w:pPr>
            <w:r>
              <w:rPr>
                <w:rFonts w:hint="eastAsia" w:eastAsia="仿宋_GB2312"/>
                <w:kern w:val="0"/>
                <w:szCs w:val="21"/>
              </w:rPr>
              <w:t>0</w:t>
            </w:r>
          </w:p>
        </w:tc>
        <w:tc>
          <w:tcPr>
            <w:tcW w:w="1071" w:type="pct"/>
            <w:tcMar>
              <w:top w:w="15" w:type="dxa"/>
              <w:left w:w="15" w:type="dxa"/>
              <w:bottom w:w="0" w:type="dxa"/>
              <w:right w:w="15" w:type="dxa"/>
            </w:tcMar>
            <w:vAlign w:val="center"/>
          </w:tcPr>
          <w:p w14:paraId="7A8EA974">
            <w:pPr>
              <w:widowControl/>
              <w:jc w:val="center"/>
              <w:rPr>
                <w:rFonts w:eastAsia="仿宋_GB2312"/>
                <w:kern w:val="0"/>
                <w:szCs w:val="21"/>
              </w:rPr>
            </w:pPr>
            <w:r>
              <w:rPr>
                <w:rFonts w:hint="eastAsia" w:eastAsia="仿宋_GB2312"/>
                <w:kern w:val="0"/>
                <w:szCs w:val="21"/>
              </w:rPr>
              <w:t>1644.944</w:t>
            </w:r>
          </w:p>
        </w:tc>
        <w:tc>
          <w:tcPr>
            <w:tcW w:w="1038" w:type="pct"/>
            <w:shd w:val="clear" w:color="auto" w:fill="auto"/>
            <w:tcMar>
              <w:top w:w="15" w:type="dxa"/>
              <w:left w:w="15" w:type="dxa"/>
              <w:bottom w:w="0" w:type="dxa"/>
              <w:right w:w="15" w:type="dxa"/>
            </w:tcMar>
            <w:vAlign w:val="center"/>
          </w:tcPr>
          <w:p w14:paraId="5A4BDC88">
            <w:pPr>
              <w:jc w:val="center"/>
              <w:rPr>
                <w:color w:val="000000"/>
                <w:sz w:val="22"/>
                <w:szCs w:val="22"/>
              </w:rPr>
            </w:pPr>
            <w:r>
              <w:rPr>
                <w:color w:val="000000"/>
                <w:sz w:val="22"/>
                <w:szCs w:val="22"/>
              </w:rPr>
              <w:t>+</w:t>
            </w:r>
            <w:r>
              <w:rPr>
                <w:rFonts w:hint="eastAsia"/>
                <w:color w:val="000000"/>
                <w:sz w:val="22"/>
                <w:szCs w:val="22"/>
              </w:rPr>
              <w:t>1644.944</w:t>
            </w:r>
          </w:p>
        </w:tc>
      </w:tr>
    </w:tbl>
    <w:p w14:paraId="1A7939BA">
      <w:pPr>
        <w:rPr>
          <w:rFonts w:eastAsia="仿宋_GB2312"/>
          <w:color w:val="FF0000"/>
          <w:sz w:val="28"/>
          <w:szCs w:val="28"/>
        </w:rPr>
        <w:sectPr>
          <w:pgSz w:w="11907" w:h="16840"/>
          <w:pgMar w:top="1440" w:right="1800" w:bottom="1440" w:left="1800" w:header="851" w:footer="992" w:gutter="0"/>
          <w:pgBorders>
            <w:top w:val="none" w:sz="0" w:space="0"/>
            <w:left w:val="none" w:sz="0" w:space="0"/>
            <w:bottom w:val="none" w:sz="0" w:space="0"/>
            <w:right w:val="none" w:sz="0" w:space="0"/>
          </w:pgBorders>
          <w:pgNumType w:fmt="decimal"/>
          <w:cols w:space="425" w:num="1"/>
          <w:docGrid w:linePitch="326" w:charSpace="0"/>
        </w:sectPr>
      </w:pPr>
    </w:p>
    <w:p w14:paraId="37A8419A">
      <w:pPr>
        <w:spacing w:line="500" w:lineRule="exact"/>
        <w:ind w:firstLine="562" w:firstLineChars="200"/>
        <w:rPr>
          <w:rFonts w:eastAsia="仿宋_GB2312"/>
          <w:b/>
          <w:bCs/>
          <w:sz w:val="28"/>
          <w:szCs w:val="28"/>
        </w:rPr>
      </w:pPr>
      <w:r>
        <w:rPr>
          <w:rFonts w:eastAsia="仿宋_GB2312"/>
          <w:b/>
          <w:bCs/>
          <w:sz w:val="28"/>
          <w:szCs w:val="28"/>
        </w:rPr>
        <w:t>二、废液处置</w:t>
      </w:r>
    </w:p>
    <w:p w14:paraId="4CE99127">
      <w:pPr>
        <w:spacing w:line="500" w:lineRule="exact"/>
        <w:ind w:left="281" w:leftChars="134" w:firstLine="560" w:firstLineChars="200"/>
        <w:rPr>
          <w:rFonts w:eastAsia="仿宋_GB2312"/>
          <w:sz w:val="28"/>
          <w:szCs w:val="28"/>
        </w:rPr>
      </w:pPr>
      <w:r>
        <w:rPr>
          <w:rFonts w:hint="eastAsia" w:eastAsia="仿宋_GB2312"/>
          <w:sz w:val="28"/>
          <w:szCs w:val="28"/>
        </w:rPr>
        <w:t>企业现有废液处置能力为10000t/a，</w:t>
      </w:r>
      <w:r>
        <w:rPr>
          <w:rFonts w:eastAsia="仿宋_GB2312"/>
          <w:sz w:val="28"/>
          <w:szCs w:val="28"/>
        </w:rPr>
        <w:t>本次对废液处置方案进行调整，具体见表3.2-</w:t>
      </w:r>
      <w:r>
        <w:rPr>
          <w:rFonts w:hint="eastAsia" w:eastAsia="仿宋_GB2312"/>
          <w:sz w:val="28"/>
          <w:szCs w:val="28"/>
        </w:rPr>
        <w:t>3</w:t>
      </w:r>
      <w:r>
        <w:rPr>
          <w:rFonts w:eastAsia="仿宋_GB2312"/>
          <w:sz w:val="28"/>
          <w:szCs w:val="28"/>
        </w:rPr>
        <w:t>。</w:t>
      </w:r>
    </w:p>
    <w:p w14:paraId="377267B3">
      <w:pPr>
        <w:pStyle w:val="162"/>
        <w:spacing w:line="480" w:lineRule="exact"/>
        <w:ind w:firstLine="0" w:firstLineChars="0"/>
        <w:rPr>
          <w:rFonts w:ascii="Times New Roman"/>
        </w:rPr>
      </w:pPr>
      <w:r>
        <w:rPr>
          <w:rFonts w:ascii="Times New Roman"/>
        </w:rPr>
        <w:t>表3.2-</w:t>
      </w:r>
      <w:r>
        <w:rPr>
          <w:rFonts w:hint="eastAsia" w:ascii="Times New Roman"/>
        </w:rPr>
        <w:t>3</w:t>
      </w:r>
      <w:r>
        <w:rPr>
          <w:rFonts w:ascii="Times New Roman"/>
        </w:rPr>
        <w:t xml:space="preserve">  废液处置方案调整表</w:t>
      </w:r>
    </w:p>
    <w:tbl>
      <w:tblPr>
        <w:tblStyle w:val="88"/>
        <w:tblW w:w="522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698"/>
        <w:gridCol w:w="918"/>
        <w:gridCol w:w="1824"/>
        <w:gridCol w:w="977"/>
        <w:gridCol w:w="5854"/>
        <w:gridCol w:w="1075"/>
        <w:gridCol w:w="1165"/>
        <w:gridCol w:w="1559"/>
      </w:tblGrid>
      <w:tr w14:paraId="797929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248" w:type="pct"/>
            <w:tcBorders>
              <w:tl2br w:val="nil"/>
              <w:tr2bl w:val="nil"/>
            </w:tcBorders>
            <w:vAlign w:val="center"/>
          </w:tcPr>
          <w:p w14:paraId="3B011266">
            <w:pPr>
              <w:widowControl/>
              <w:jc w:val="center"/>
              <w:rPr>
                <w:rFonts w:eastAsia="仿宋_GB2312"/>
                <w:b/>
                <w:bCs/>
                <w:kern w:val="0"/>
                <w:szCs w:val="21"/>
              </w:rPr>
            </w:pPr>
            <w:r>
              <w:rPr>
                <w:rFonts w:eastAsia="仿宋_GB2312"/>
                <w:b/>
                <w:bCs/>
                <w:kern w:val="0"/>
                <w:szCs w:val="21"/>
              </w:rPr>
              <w:t>序号</w:t>
            </w:r>
          </w:p>
        </w:tc>
        <w:tc>
          <w:tcPr>
            <w:tcW w:w="326" w:type="pct"/>
            <w:tcBorders>
              <w:tl2br w:val="nil"/>
              <w:tr2bl w:val="nil"/>
            </w:tcBorders>
            <w:vAlign w:val="center"/>
          </w:tcPr>
          <w:p w14:paraId="332B9AC3">
            <w:pPr>
              <w:widowControl/>
              <w:jc w:val="center"/>
              <w:rPr>
                <w:rFonts w:eastAsia="仿宋_GB2312"/>
                <w:b/>
                <w:bCs/>
                <w:kern w:val="0"/>
                <w:szCs w:val="21"/>
              </w:rPr>
            </w:pPr>
            <w:r>
              <w:rPr>
                <w:rFonts w:eastAsia="仿宋_GB2312"/>
                <w:b/>
                <w:bCs/>
                <w:kern w:val="0"/>
                <w:szCs w:val="21"/>
              </w:rPr>
              <w:t>项目</w:t>
            </w:r>
          </w:p>
        </w:tc>
        <w:tc>
          <w:tcPr>
            <w:tcW w:w="648" w:type="pct"/>
            <w:tcBorders>
              <w:tl2br w:val="nil"/>
              <w:tr2bl w:val="nil"/>
            </w:tcBorders>
            <w:vAlign w:val="center"/>
          </w:tcPr>
          <w:p w14:paraId="2ADCFE29">
            <w:pPr>
              <w:widowControl/>
              <w:jc w:val="center"/>
              <w:rPr>
                <w:rFonts w:eastAsia="仿宋_GB2312"/>
                <w:b/>
                <w:bCs/>
                <w:kern w:val="0"/>
                <w:szCs w:val="21"/>
              </w:rPr>
            </w:pPr>
            <w:r>
              <w:rPr>
                <w:rFonts w:eastAsia="仿宋_GB2312"/>
                <w:b/>
                <w:bCs/>
                <w:kern w:val="0"/>
                <w:szCs w:val="21"/>
              </w:rPr>
              <w:t>废液种类</w:t>
            </w:r>
          </w:p>
        </w:tc>
        <w:tc>
          <w:tcPr>
            <w:tcW w:w="2426" w:type="pct"/>
            <w:gridSpan w:val="2"/>
            <w:tcBorders>
              <w:tl2br w:val="nil"/>
              <w:tr2bl w:val="nil"/>
            </w:tcBorders>
            <w:vAlign w:val="center"/>
          </w:tcPr>
          <w:p w14:paraId="7B0F4421">
            <w:pPr>
              <w:widowControl/>
              <w:jc w:val="center"/>
              <w:rPr>
                <w:rFonts w:eastAsia="仿宋_GB2312"/>
                <w:b/>
                <w:bCs/>
                <w:kern w:val="0"/>
                <w:szCs w:val="21"/>
              </w:rPr>
            </w:pPr>
            <w:r>
              <w:rPr>
                <w:rFonts w:eastAsia="仿宋_GB2312"/>
                <w:b/>
                <w:bCs/>
                <w:kern w:val="0"/>
                <w:szCs w:val="21"/>
              </w:rPr>
              <w:t>危废代码</w:t>
            </w:r>
          </w:p>
        </w:tc>
        <w:tc>
          <w:tcPr>
            <w:tcW w:w="382" w:type="pct"/>
            <w:tcBorders>
              <w:tl2br w:val="nil"/>
              <w:tr2bl w:val="nil"/>
            </w:tcBorders>
            <w:vAlign w:val="center"/>
          </w:tcPr>
          <w:p w14:paraId="13B5B302">
            <w:pPr>
              <w:widowControl/>
              <w:jc w:val="center"/>
              <w:rPr>
                <w:rFonts w:eastAsia="仿宋_GB2312"/>
                <w:b/>
                <w:bCs/>
                <w:kern w:val="0"/>
                <w:szCs w:val="21"/>
              </w:rPr>
            </w:pPr>
            <w:r>
              <w:rPr>
                <w:rFonts w:eastAsia="仿宋_GB2312"/>
                <w:b/>
                <w:bCs/>
                <w:kern w:val="0"/>
                <w:szCs w:val="21"/>
              </w:rPr>
              <w:t>原有处置量t/a</w:t>
            </w:r>
          </w:p>
        </w:tc>
        <w:tc>
          <w:tcPr>
            <w:tcW w:w="414" w:type="pct"/>
            <w:tcBorders>
              <w:tl2br w:val="nil"/>
              <w:tr2bl w:val="nil"/>
            </w:tcBorders>
            <w:vAlign w:val="center"/>
          </w:tcPr>
          <w:p w14:paraId="3CA10182">
            <w:pPr>
              <w:widowControl/>
              <w:jc w:val="center"/>
              <w:rPr>
                <w:rFonts w:eastAsia="仿宋_GB2312"/>
                <w:b/>
                <w:bCs/>
                <w:kern w:val="0"/>
                <w:szCs w:val="21"/>
              </w:rPr>
            </w:pPr>
            <w:r>
              <w:rPr>
                <w:rFonts w:hint="eastAsia" w:eastAsia="仿宋_GB2312"/>
                <w:b/>
                <w:bCs/>
                <w:kern w:val="0"/>
                <w:szCs w:val="21"/>
              </w:rPr>
              <w:t>调整后</w:t>
            </w:r>
            <w:r>
              <w:rPr>
                <w:rFonts w:eastAsia="仿宋_GB2312"/>
                <w:b/>
                <w:bCs/>
                <w:kern w:val="0"/>
                <w:szCs w:val="21"/>
              </w:rPr>
              <w:t>处置量t/a</w:t>
            </w:r>
          </w:p>
        </w:tc>
        <w:tc>
          <w:tcPr>
            <w:tcW w:w="554" w:type="pct"/>
            <w:tcBorders>
              <w:tl2br w:val="nil"/>
              <w:tr2bl w:val="nil"/>
            </w:tcBorders>
            <w:vAlign w:val="center"/>
          </w:tcPr>
          <w:p w14:paraId="07C3B165">
            <w:pPr>
              <w:widowControl/>
              <w:jc w:val="center"/>
              <w:rPr>
                <w:rFonts w:eastAsia="仿宋_GB2312"/>
                <w:b/>
                <w:bCs/>
                <w:kern w:val="0"/>
                <w:szCs w:val="21"/>
              </w:rPr>
            </w:pPr>
            <w:r>
              <w:rPr>
                <w:rFonts w:hint="eastAsia" w:eastAsia="仿宋_GB2312"/>
                <w:b/>
                <w:bCs/>
                <w:kern w:val="0"/>
                <w:szCs w:val="21"/>
              </w:rPr>
              <w:t>变化情况</w:t>
            </w:r>
          </w:p>
        </w:tc>
      </w:tr>
      <w:tr w14:paraId="186E7A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248" w:type="pct"/>
            <w:tcBorders>
              <w:tl2br w:val="nil"/>
              <w:tr2bl w:val="nil"/>
            </w:tcBorders>
            <w:vAlign w:val="center"/>
          </w:tcPr>
          <w:p w14:paraId="38273035">
            <w:pPr>
              <w:widowControl/>
              <w:jc w:val="center"/>
              <w:rPr>
                <w:rFonts w:eastAsia="仿宋_GB2312"/>
                <w:kern w:val="0"/>
                <w:szCs w:val="21"/>
              </w:rPr>
            </w:pPr>
            <w:r>
              <w:rPr>
                <w:rFonts w:eastAsia="仿宋_GB2312"/>
                <w:kern w:val="0"/>
                <w:szCs w:val="21"/>
              </w:rPr>
              <w:t>1</w:t>
            </w:r>
          </w:p>
        </w:tc>
        <w:tc>
          <w:tcPr>
            <w:tcW w:w="326" w:type="pct"/>
            <w:vMerge w:val="restart"/>
            <w:tcBorders>
              <w:tl2br w:val="nil"/>
              <w:tr2bl w:val="nil"/>
            </w:tcBorders>
            <w:vAlign w:val="center"/>
          </w:tcPr>
          <w:p w14:paraId="52712C1B">
            <w:pPr>
              <w:widowControl/>
              <w:jc w:val="center"/>
              <w:rPr>
                <w:rFonts w:eastAsia="仿宋_GB2312"/>
                <w:kern w:val="0"/>
                <w:szCs w:val="21"/>
              </w:rPr>
            </w:pPr>
            <w:r>
              <w:rPr>
                <w:rFonts w:eastAsia="仿宋_GB2312"/>
                <w:kern w:val="0"/>
                <w:szCs w:val="21"/>
              </w:rPr>
              <w:t>表面处理废液、含金属废液、废酸、废碱回收项目</w:t>
            </w:r>
          </w:p>
        </w:tc>
        <w:tc>
          <w:tcPr>
            <w:tcW w:w="648" w:type="pct"/>
            <w:tcBorders>
              <w:tl2br w:val="nil"/>
              <w:tr2bl w:val="nil"/>
            </w:tcBorders>
            <w:vAlign w:val="center"/>
          </w:tcPr>
          <w:p w14:paraId="5AB5F341">
            <w:pPr>
              <w:widowControl/>
              <w:jc w:val="center"/>
              <w:rPr>
                <w:rFonts w:eastAsia="仿宋_GB2312"/>
                <w:kern w:val="0"/>
                <w:szCs w:val="21"/>
              </w:rPr>
            </w:pPr>
            <w:r>
              <w:rPr>
                <w:rFonts w:eastAsia="仿宋_GB2312"/>
                <w:kern w:val="0"/>
                <w:szCs w:val="21"/>
              </w:rPr>
              <w:t>表面处理废物</w:t>
            </w:r>
          </w:p>
        </w:tc>
        <w:tc>
          <w:tcPr>
            <w:tcW w:w="347" w:type="pct"/>
            <w:tcBorders>
              <w:tl2br w:val="nil"/>
              <w:tr2bl w:val="nil"/>
            </w:tcBorders>
            <w:vAlign w:val="center"/>
          </w:tcPr>
          <w:p w14:paraId="1141F097">
            <w:pPr>
              <w:widowControl/>
              <w:jc w:val="center"/>
              <w:rPr>
                <w:rFonts w:eastAsia="仿宋_GB2312"/>
                <w:kern w:val="0"/>
                <w:szCs w:val="21"/>
              </w:rPr>
            </w:pPr>
            <w:r>
              <w:rPr>
                <w:rFonts w:eastAsia="仿宋_GB2312"/>
                <w:kern w:val="0"/>
                <w:szCs w:val="21"/>
              </w:rPr>
              <w:t>HW17</w:t>
            </w:r>
          </w:p>
        </w:tc>
        <w:tc>
          <w:tcPr>
            <w:tcW w:w="2078" w:type="pct"/>
            <w:tcBorders>
              <w:tl2br w:val="nil"/>
              <w:tr2bl w:val="nil"/>
            </w:tcBorders>
            <w:vAlign w:val="center"/>
          </w:tcPr>
          <w:p w14:paraId="29B77A84">
            <w:pPr>
              <w:widowControl/>
              <w:jc w:val="center"/>
              <w:rPr>
                <w:rFonts w:eastAsia="仿宋_GB2312"/>
                <w:kern w:val="0"/>
                <w:szCs w:val="21"/>
              </w:rPr>
            </w:pPr>
            <w:r>
              <w:rPr>
                <w:rFonts w:eastAsia="仿宋_GB2312"/>
                <w:kern w:val="0"/>
                <w:szCs w:val="21"/>
              </w:rPr>
              <w:t>336-052-17，336-054-17，336-055-17，336-056-17，336-057-17，</w:t>
            </w:r>
          </w:p>
          <w:p w14:paraId="7EE3F37D">
            <w:pPr>
              <w:widowControl/>
              <w:jc w:val="center"/>
              <w:rPr>
                <w:rFonts w:eastAsia="仿宋_GB2312"/>
                <w:kern w:val="0"/>
                <w:szCs w:val="21"/>
              </w:rPr>
            </w:pPr>
            <w:r>
              <w:rPr>
                <w:rFonts w:eastAsia="仿宋_GB2312"/>
                <w:kern w:val="0"/>
                <w:szCs w:val="21"/>
              </w:rPr>
              <w:t>336-058-17，336-062-17，336-063-17，336-064-17，336-066-17，</w:t>
            </w:r>
          </w:p>
        </w:tc>
        <w:tc>
          <w:tcPr>
            <w:tcW w:w="382" w:type="pct"/>
            <w:tcBorders>
              <w:tl2br w:val="nil"/>
              <w:tr2bl w:val="nil"/>
            </w:tcBorders>
            <w:vAlign w:val="center"/>
          </w:tcPr>
          <w:p w14:paraId="0A0104F0">
            <w:pPr>
              <w:widowControl/>
              <w:jc w:val="center"/>
              <w:rPr>
                <w:rFonts w:eastAsia="仿宋_GB2312"/>
                <w:kern w:val="0"/>
                <w:szCs w:val="21"/>
              </w:rPr>
            </w:pPr>
            <w:r>
              <w:rPr>
                <w:rFonts w:eastAsia="仿宋_GB2312"/>
                <w:kern w:val="0"/>
                <w:szCs w:val="21"/>
              </w:rPr>
              <w:t>1000</w:t>
            </w:r>
          </w:p>
        </w:tc>
        <w:tc>
          <w:tcPr>
            <w:tcW w:w="414" w:type="pct"/>
            <w:tcBorders>
              <w:tl2br w:val="nil"/>
              <w:tr2bl w:val="nil"/>
            </w:tcBorders>
            <w:vAlign w:val="center"/>
          </w:tcPr>
          <w:p w14:paraId="64272ED9">
            <w:pPr>
              <w:widowControl/>
              <w:jc w:val="center"/>
              <w:rPr>
                <w:rFonts w:eastAsia="仿宋_GB2312"/>
                <w:kern w:val="0"/>
                <w:szCs w:val="21"/>
              </w:rPr>
            </w:pPr>
            <w:r>
              <w:rPr>
                <w:rFonts w:eastAsia="仿宋_GB2312"/>
                <w:kern w:val="0"/>
                <w:szCs w:val="21"/>
              </w:rPr>
              <w:t>1000</w:t>
            </w:r>
          </w:p>
        </w:tc>
        <w:tc>
          <w:tcPr>
            <w:tcW w:w="554" w:type="pct"/>
            <w:tcBorders>
              <w:tl2br w:val="nil"/>
              <w:tr2bl w:val="nil"/>
            </w:tcBorders>
            <w:vAlign w:val="center"/>
          </w:tcPr>
          <w:p w14:paraId="4E3D157F">
            <w:pPr>
              <w:widowControl/>
              <w:jc w:val="center"/>
              <w:rPr>
                <w:rFonts w:eastAsia="仿宋_GB2312"/>
                <w:kern w:val="0"/>
                <w:szCs w:val="21"/>
              </w:rPr>
            </w:pPr>
            <w:r>
              <w:rPr>
                <w:rFonts w:hint="eastAsia" w:eastAsia="仿宋_GB2312"/>
                <w:kern w:val="0"/>
                <w:szCs w:val="21"/>
              </w:rPr>
              <w:t>/</w:t>
            </w:r>
          </w:p>
        </w:tc>
      </w:tr>
      <w:tr w14:paraId="1A19C7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248" w:type="pct"/>
            <w:tcBorders>
              <w:tl2br w:val="nil"/>
              <w:tr2bl w:val="nil"/>
            </w:tcBorders>
            <w:vAlign w:val="center"/>
          </w:tcPr>
          <w:p w14:paraId="616750B7">
            <w:pPr>
              <w:widowControl/>
              <w:jc w:val="center"/>
              <w:rPr>
                <w:rFonts w:eastAsia="仿宋_GB2312"/>
                <w:kern w:val="0"/>
                <w:szCs w:val="21"/>
              </w:rPr>
            </w:pPr>
            <w:r>
              <w:rPr>
                <w:rFonts w:hint="eastAsia" w:eastAsia="仿宋_GB2312"/>
                <w:kern w:val="0"/>
                <w:szCs w:val="21"/>
              </w:rPr>
              <w:t>2</w:t>
            </w:r>
          </w:p>
        </w:tc>
        <w:tc>
          <w:tcPr>
            <w:tcW w:w="326" w:type="pct"/>
            <w:vMerge w:val="continue"/>
            <w:tcBorders>
              <w:tl2br w:val="nil"/>
              <w:tr2bl w:val="nil"/>
            </w:tcBorders>
            <w:vAlign w:val="center"/>
          </w:tcPr>
          <w:p w14:paraId="53907530">
            <w:pPr>
              <w:widowControl/>
              <w:jc w:val="center"/>
              <w:rPr>
                <w:rFonts w:eastAsia="仿宋_GB2312"/>
                <w:kern w:val="0"/>
                <w:szCs w:val="21"/>
              </w:rPr>
            </w:pPr>
          </w:p>
        </w:tc>
        <w:tc>
          <w:tcPr>
            <w:tcW w:w="648" w:type="pct"/>
            <w:tcBorders>
              <w:tl2br w:val="nil"/>
              <w:tr2bl w:val="nil"/>
            </w:tcBorders>
            <w:vAlign w:val="center"/>
          </w:tcPr>
          <w:p w14:paraId="67ECA42D">
            <w:pPr>
              <w:widowControl/>
              <w:jc w:val="center"/>
              <w:rPr>
                <w:rFonts w:eastAsia="仿宋_GB2312"/>
                <w:kern w:val="0"/>
                <w:szCs w:val="21"/>
              </w:rPr>
            </w:pPr>
            <w:r>
              <w:rPr>
                <w:rFonts w:eastAsia="仿宋_GB2312"/>
                <w:kern w:val="0"/>
                <w:szCs w:val="21"/>
              </w:rPr>
              <w:t>废酸</w:t>
            </w:r>
          </w:p>
        </w:tc>
        <w:tc>
          <w:tcPr>
            <w:tcW w:w="347" w:type="pct"/>
            <w:tcBorders>
              <w:tl2br w:val="nil"/>
              <w:tr2bl w:val="nil"/>
            </w:tcBorders>
            <w:vAlign w:val="center"/>
          </w:tcPr>
          <w:p w14:paraId="7C634835">
            <w:pPr>
              <w:widowControl/>
              <w:jc w:val="center"/>
              <w:rPr>
                <w:rFonts w:eastAsia="仿宋_GB2312"/>
                <w:kern w:val="0"/>
                <w:szCs w:val="21"/>
              </w:rPr>
            </w:pPr>
            <w:r>
              <w:rPr>
                <w:rFonts w:eastAsia="仿宋_GB2312"/>
                <w:kern w:val="0"/>
                <w:szCs w:val="21"/>
              </w:rPr>
              <w:t>HW34</w:t>
            </w:r>
          </w:p>
        </w:tc>
        <w:tc>
          <w:tcPr>
            <w:tcW w:w="2078" w:type="pct"/>
            <w:tcBorders>
              <w:tl2br w:val="nil"/>
              <w:tr2bl w:val="nil"/>
            </w:tcBorders>
            <w:vAlign w:val="center"/>
          </w:tcPr>
          <w:p w14:paraId="07D60EBF">
            <w:pPr>
              <w:widowControl/>
              <w:jc w:val="center"/>
              <w:rPr>
                <w:rFonts w:eastAsia="仿宋_GB2312"/>
                <w:kern w:val="0"/>
                <w:szCs w:val="21"/>
              </w:rPr>
            </w:pPr>
            <w:r>
              <w:rPr>
                <w:rFonts w:eastAsia="仿宋_GB2312"/>
                <w:kern w:val="0"/>
                <w:szCs w:val="21"/>
              </w:rPr>
              <w:t>251-014-34，264-013-34，261-057-34，261-058-34，313-001-34，</w:t>
            </w:r>
          </w:p>
          <w:p w14:paraId="3A0061AC">
            <w:pPr>
              <w:widowControl/>
              <w:jc w:val="center"/>
              <w:rPr>
                <w:rFonts w:eastAsia="仿宋_GB2312"/>
                <w:kern w:val="0"/>
                <w:szCs w:val="21"/>
              </w:rPr>
            </w:pPr>
            <w:r>
              <w:rPr>
                <w:rFonts w:eastAsia="仿宋_GB2312"/>
                <w:kern w:val="0"/>
                <w:szCs w:val="21"/>
              </w:rPr>
              <w:t>336-105-34，398-005-34，398-006-34，398-007-34，900-300-34，</w:t>
            </w:r>
          </w:p>
          <w:p w14:paraId="3BAFC45F">
            <w:pPr>
              <w:widowControl/>
              <w:jc w:val="center"/>
              <w:rPr>
                <w:rFonts w:eastAsia="仿宋_GB2312"/>
                <w:kern w:val="0"/>
                <w:szCs w:val="21"/>
              </w:rPr>
            </w:pPr>
            <w:r>
              <w:rPr>
                <w:rFonts w:eastAsia="仿宋_GB2312"/>
                <w:kern w:val="0"/>
                <w:szCs w:val="21"/>
              </w:rPr>
              <w:t>900-301-34，900-302-34，900-303-34，900-304-34，900-305-34，</w:t>
            </w:r>
          </w:p>
          <w:p w14:paraId="610D55E3">
            <w:pPr>
              <w:widowControl/>
              <w:jc w:val="center"/>
              <w:rPr>
                <w:rFonts w:eastAsia="仿宋_GB2312"/>
                <w:kern w:val="0"/>
                <w:szCs w:val="21"/>
              </w:rPr>
            </w:pPr>
            <w:r>
              <w:rPr>
                <w:rFonts w:eastAsia="仿宋_GB2312"/>
                <w:kern w:val="0"/>
                <w:szCs w:val="21"/>
              </w:rPr>
              <w:t>900-306-34，900-307-34，900-308-34，900-349-34</w:t>
            </w:r>
          </w:p>
        </w:tc>
        <w:tc>
          <w:tcPr>
            <w:tcW w:w="382" w:type="pct"/>
            <w:tcBorders>
              <w:tl2br w:val="nil"/>
              <w:tr2bl w:val="nil"/>
            </w:tcBorders>
            <w:vAlign w:val="center"/>
          </w:tcPr>
          <w:p w14:paraId="57A4DC73">
            <w:pPr>
              <w:widowControl/>
              <w:jc w:val="center"/>
              <w:rPr>
                <w:rFonts w:eastAsia="仿宋_GB2312"/>
                <w:kern w:val="0"/>
                <w:szCs w:val="21"/>
              </w:rPr>
            </w:pPr>
            <w:r>
              <w:rPr>
                <w:rFonts w:hint="eastAsia" w:eastAsia="仿宋_GB2312"/>
                <w:kern w:val="0"/>
                <w:szCs w:val="21"/>
              </w:rPr>
              <w:t>500</w:t>
            </w:r>
          </w:p>
        </w:tc>
        <w:tc>
          <w:tcPr>
            <w:tcW w:w="414" w:type="pct"/>
            <w:tcBorders>
              <w:tl2br w:val="nil"/>
              <w:tr2bl w:val="nil"/>
            </w:tcBorders>
            <w:vAlign w:val="center"/>
          </w:tcPr>
          <w:p w14:paraId="6AAA12B3">
            <w:pPr>
              <w:widowControl/>
              <w:jc w:val="center"/>
              <w:rPr>
                <w:rFonts w:eastAsia="仿宋_GB2312"/>
                <w:kern w:val="0"/>
                <w:szCs w:val="21"/>
              </w:rPr>
            </w:pPr>
            <w:r>
              <w:rPr>
                <w:rFonts w:hint="eastAsia" w:eastAsia="仿宋_GB2312"/>
                <w:kern w:val="0"/>
                <w:szCs w:val="21"/>
              </w:rPr>
              <w:t>500</w:t>
            </w:r>
          </w:p>
        </w:tc>
        <w:tc>
          <w:tcPr>
            <w:tcW w:w="554" w:type="pct"/>
            <w:tcBorders>
              <w:tl2br w:val="nil"/>
              <w:tr2bl w:val="nil"/>
            </w:tcBorders>
            <w:vAlign w:val="center"/>
          </w:tcPr>
          <w:p w14:paraId="199C3E96">
            <w:pPr>
              <w:widowControl/>
              <w:jc w:val="center"/>
              <w:rPr>
                <w:rFonts w:eastAsia="仿宋_GB2312"/>
                <w:kern w:val="0"/>
                <w:szCs w:val="21"/>
              </w:rPr>
            </w:pPr>
            <w:r>
              <w:rPr>
                <w:rFonts w:hint="eastAsia" w:eastAsia="仿宋_GB2312"/>
                <w:kern w:val="0"/>
                <w:szCs w:val="21"/>
              </w:rPr>
              <w:t>/</w:t>
            </w:r>
          </w:p>
        </w:tc>
      </w:tr>
      <w:tr w14:paraId="314355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248" w:type="pct"/>
            <w:tcBorders>
              <w:tl2br w:val="nil"/>
              <w:tr2bl w:val="nil"/>
            </w:tcBorders>
            <w:vAlign w:val="center"/>
          </w:tcPr>
          <w:p w14:paraId="69F421EA">
            <w:pPr>
              <w:widowControl/>
              <w:jc w:val="center"/>
              <w:rPr>
                <w:rFonts w:eastAsia="仿宋_GB2312"/>
                <w:kern w:val="0"/>
                <w:szCs w:val="21"/>
              </w:rPr>
            </w:pPr>
            <w:r>
              <w:rPr>
                <w:rFonts w:hint="eastAsia" w:eastAsia="仿宋_GB2312"/>
                <w:kern w:val="0"/>
                <w:szCs w:val="21"/>
              </w:rPr>
              <w:t>3</w:t>
            </w:r>
          </w:p>
        </w:tc>
        <w:tc>
          <w:tcPr>
            <w:tcW w:w="326" w:type="pct"/>
            <w:vMerge w:val="continue"/>
            <w:tcBorders>
              <w:tl2br w:val="nil"/>
              <w:tr2bl w:val="nil"/>
            </w:tcBorders>
            <w:vAlign w:val="center"/>
          </w:tcPr>
          <w:p w14:paraId="55C602D2">
            <w:pPr>
              <w:widowControl/>
              <w:jc w:val="center"/>
              <w:rPr>
                <w:rFonts w:eastAsia="仿宋_GB2312"/>
                <w:kern w:val="0"/>
                <w:szCs w:val="21"/>
              </w:rPr>
            </w:pPr>
          </w:p>
        </w:tc>
        <w:tc>
          <w:tcPr>
            <w:tcW w:w="648" w:type="pct"/>
            <w:tcBorders>
              <w:tl2br w:val="nil"/>
              <w:tr2bl w:val="nil"/>
            </w:tcBorders>
            <w:vAlign w:val="center"/>
          </w:tcPr>
          <w:p w14:paraId="286712F3">
            <w:pPr>
              <w:widowControl/>
              <w:jc w:val="center"/>
              <w:rPr>
                <w:rFonts w:eastAsia="仿宋_GB2312"/>
                <w:kern w:val="0"/>
                <w:szCs w:val="21"/>
              </w:rPr>
            </w:pPr>
            <w:r>
              <w:rPr>
                <w:rFonts w:eastAsia="仿宋_GB2312"/>
                <w:kern w:val="0"/>
                <w:szCs w:val="21"/>
              </w:rPr>
              <w:t>废碱</w:t>
            </w:r>
          </w:p>
        </w:tc>
        <w:tc>
          <w:tcPr>
            <w:tcW w:w="347" w:type="pct"/>
            <w:tcBorders>
              <w:tl2br w:val="nil"/>
              <w:tr2bl w:val="nil"/>
            </w:tcBorders>
            <w:vAlign w:val="center"/>
          </w:tcPr>
          <w:p w14:paraId="154EB3E5">
            <w:pPr>
              <w:widowControl/>
              <w:jc w:val="center"/>
              <w:rPr>
                <w:rFonts w:eastAsia="仿宋_GB2312"/>
                <w:kern w:val="0"/>
                <w:szCs w:val="21"/>
              </w:rPr>
            </w:pPr>
            <w:r>
              <w:rPr>
                <w:rFonts w:eastAsia="仿宋_GB2312"/>
                <w:kern w:val="0"/>
                <w:szCs w:val="21"/>
              </w:rPr>
              <w:t>HW35</w:t>
            </w:r>
          </w:p>
        </w:tc>
        <w:tc>
          <w:tcPr>
            <w:tcW w:w="2078" w:type="pct"/>
            <w:tcBorders>
              <w:tl2br w:val="nil"/>
              <w:tr2bl w:val="nil"/>
            </w:tcBorders>
            <w:vAlign w:val="center"/>
          </w:tcPr>
          <w:p w14:paraId="075813D7">
            <w:pPr>
              <w:widowControl/>
              <w:jc w:val="center"/>
              <w:rPr>
                <w:rFonts w:eastAsia="仿宋_GB2312"/>
                <w:kern w:val="0"/>
                <w:szCs w:val="21"/>
              </w:rPr>
            </w:pPr>
            <w:r>
              <w:rPr>
                <w:rFonts w:eastAsia="仿宋_GB2312"/>
                <w:kern w:val="0"/>
                <w:szCs w:val="21"/>
              </w:rPr>
              <w:t>251-015-35，261-059-35，193-003-35，221-002-35，900-350-35，900-351-35，900-352-35，900-353-35，900-354-35，900-355-35，900-356-35，900-399-35，</w:t>
            </w:r>
          </w:p>
        </w:tc>
        <w:tc>
          <w:tcPr>
            <w:tcW w:w="382" w:type="pct"/>
            <w:tcBorders>
              <w:tl2br w:val="nil"/>
              <w:tr2bl w:val="nil"/>
            </w:tcBorders>
            <w:vAlign w:val="center"/>
          </w:tcPr>
          <w:p w14:paraId="58FDC2B2">
            <w:pPr>
              <w:widowControl/>
              <w:jc w:val="center"/>
              <w:rPr>
                <w:rFonts w:eastAsia="仿宋_GB2312"/>
                <w:kern w:val="0"/>
                <w:szCs w:val="21"/>
              </w:rPr>
            </w:pPr>
            <w:r>
              <w:rPr>
                <w:rFonts w:hint="eastAsia" w:eastAsia="仿宋_GB2312"/>
                <w:kern w:val="0"/>
                <w:szCs w:val="21"/>
              </w:rPr>
              <w:t>500</w:t>
            </w:r>
          </w:p>
        </w:tc>
        <w:tc>
          <w:tcPr>
            <w:tcW w:w="414" w:type="pct"/>
            <w:tcBorders>
              <w:tl2br w:val="nil"/>
              <w:tr2bl w:val="nil"/>
            </w:tcBorders>
            <w:vAlign w:val="center"/>
          </w:tcPr>
          <w:p w14:paraId="1A230B38">
            <w:pPr>
              <w:widowControl/>
              <w:jc w:val="center"/>
              <w:rPr>
                <w:rFonts w:eastAsia="仿宋_GB2312"/>
                <w:kern w:val="0"/>
                <w:szCs w:val="21"/>
              </w:rPr>
            </w:pPr>
            <w:r>
              <w:rPr>
                <w:rFonts w:hint="eastAsia" w:eastAsia="仿宋_GB2312"/>
                <w:kern w:val="0"/>
                <w:szCs w:val="21"/>
              </w:rPr>
              <w:t>1000</w:t>
            </w:r>
          </w:p>
        </w:tc>
        <w:tc>
          <w:tcPr>
            <w:tcW w:w="554" w:type="pct"/>
            <w:tcBorders>
              <w:tl2br w:val="nil"/>
              <w:tr2bl w:val="nil"/>
            </w:tcBorders>
            <w:vAlign w:val="center"/>
          </w:tcPr>
          <w:p w14:paraId="4D72340B">
            <w:pPr>
              <w:widowControl/>
              <w:jc w:val="center"/>
              <w:rPr>
                <w:rFonts w:eastAsia="仿宋_GB2312"/>
                <w:kern w:val="0"/>
                <w:szCs w:val="21"/>
              </w:rPr>
            </w:pPr>
            <w:r>
              <w:rPr>
                <w:rFonts w:hint="eastAsia" w:eastAsia="仿宋_GB2312"/>
                <w:kern w:val="0"/>
                <w:szCs w:val="21"/>
              </w:rPr>
              <w:t>代码不变，处置量增加500t/a</w:t>
            </w:r>
          </w:p>
        </w:tc>
      </w:tr>
      <w:tr w14:paraId="36BDCF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248" w:type="pct"/>
            <w:vMerge w:val="restart"/>
            <w:tcBorders>
              <w:tl2br w:val="nil"/>
              <w:tr2bl w:val="nil"/>
            </w:tcBorders>
            <w:vAlign w:val="center"/>
          </w:tcPr>
          <w:p w14:paraId="7F34D31D">
            <w:pPr>
              <w:widowControl/>
              <w:jc w:val="center"/>
              <w:rPr>
                <w:rFonts w:eastAsia="仿宋_GB2312"/>
                <w:kern w:val="0"/>
                <w:szCs w:val="21"/>
              </w:rPr>
            </w:pPr>
            <w:r>
              <w:rPr>
                <w:rFonts w:hint="eastAsia" w:eastAsia="仿宋_GB2312"/>
                <w:kern w:val="0"/>
                <w:szCs w:val="21"/>
              </w:rPr>
              <w:t>4</w:t>
            </w:r>
          </w:p>
        </w:tc>
        <w:tc>
          <w:tcPr>
            <w:tcW w:w="326" w:type="pct"/>
            <w:vMerge w:val="restart"/>
            <w:tcBorders>
              <w:tl2br w:val="nil"/>
              <w:tr2bl w:val="nil"/>
            </w:tcBorders>
            <w:vAlign w:val="center"/>
          </w:tcPr>
          <w:p w14:paraId="2893ECC8">
            <w:pPr>
              <w:widowControl/>
              <w:jc w:val="center"/>
              <w:rPr>
                <w:rFonts w:eastAsia="仿宋_GB2312"/>
                <w:kern w:val="0"/>
                <w:szCs w:val="21"/>
              </w:rPr>
            </w:pPr>
            <w:r>
              <w:rPr>
                <w:rFonts w:eastAsia="仿宋_GB2312"/>
                <w:kern w:val="0"/>
                <w:szCs w:val="21"/>
              </w:rPr>
              <w:t>低浓度有机废液回收项目</w:t>
            </w:r>
          </w:p>
        </w:tc>
        <w:tc>
          <w:tcPr>
            <w:tcW w:w="648" w:type="pct"/>
            <w:vMerge w:val="restart"/>
            <w:tcBorders>
              <w:tl2br w:val="nil"/>
              <w:tr2bl w:val="nil"/>
            </w:tcBorders>
            <w:vAlign w:val="center"/>
          </w:tcPr>
          <w:p w14:paraId="4DEF8833">
            <w:pPr>
              <w:widowControl/>
              <w:jc w:val="center"/>
              <w:rPr>
                <w:rFonts w:eastAsia="仿宋_GB2312"/>
                <w:kern w:val="0"/>
                <w:szCs w:val="21"/>
              </w:rPr>
            </w:pPr>
            <w:r>
              <w:rPr>
                <w:rFonts w:eastAsia="仿宋_GB2312"/>
                <w:kern w:val="0"/>
                <w:szCs w:val="21"/>
              </w:rPr>
              <w:t>废有机溶剂与含有机溶剂废物</w:t>
            </w:r>
          </w:p>
        </w:tc>
        <w:tc>
          <w:tcPr>
            <w:tcW w:w="347" w:type="pct"/>
            <w:tcBorders>
              <w:tl2br w:val="nil"/>
              <w:tr2bl w:val="nil"/>
            </w:tcBorders>
            <w:shd w:val="clear" w:color="auto" w:fill="auto"/>
            <w:vAlign w:val="center"/>
          </w:tcPr>
          <w:p w14:paraId="7948FAAB">
            <w:pPr>
              <w:widowControl/>
              <w:jc w:val="center"/>
              <w:rPr>
                <w:rFonts w:eastAsia="仿宋_GB2312"/>
                <w:b/>
                <w:bCs/>
                <w:kern w:val="0"/>
                <w:szCs w:val="21"/>
              </w:rPr>
            </w:pPr>
            <w:r>
              <w:rPr>
                <w:rFonts w:hint="eastAsia" w:eastAsia="仿宋_GB2312"/>
                <w:b/>
                <w:bCs/>
                <w:kern w:val="0"/>
                <w:szCs w:val="21"/>
              </w:rPr>
              <w:t>HW02</w:t>
            </w:r>
          </w:p>
        </w:tc>
        <w:tc>
          <w:tcPr>
            <w:tcW w:w="2078" w:type="pct"/>
            <w:tcBorders>
              <w:tl2br w:val="nil"/>
              <w:tr2bl w:val="nil"/>
            </w:tcBorders>
            <w:shd w:val="clear" w:color="auto" w:fill="auto"/>
            <w:vAlign w:val="center"/>
          </w:tcPr>
          <w:p w14:paraId="7FC572C5">
            <w:pPr>
              <w:widowControl/>
              <w:jc w:val="center"/>
              <w:rPr>
                <w:rFonts w:hint="eastAsia" w:eastAsia="仿宋_GB2312"/>
                <w:b/>
                <w:bCs/>
                <w:kern w:val="0"/>
                <w:szCs w:val="21"/>
                <w:lang w:eastAsia="zh-CN"/>
              </w:rPr>
            </w:pPr>
            <w:r>
              <w:rPr>
                <w:rFonts w:hint="eastAsia" w:eastAsia="仿宋_GB2312"/>
                <w:b/>
                <w:bCs/>
                <w:kern w:val="0"/>
                <w:szCs w:val="21"/>
              </w:rPr>
              <w:t>271-001-02，271-002-02，</w:t>
            </w:r>
            <w:r>
              <w:rPr>
                <w:rFonts w:hint="eastAsia" w:eastAsia="仿宋_GB2312"/>
                <w:b/>
                <w:bCs/>
                <w:color w:val="auto"/>
                <w:kern w:val="0"/>
                <w:szCs w:val="21"/>
              </w:rPr>
              <w:t>27</w:t>
            </w:r>
            <w:r>
              <w:rPr>
                <w:rFonts w:hint="eastAsia" w:eastAsia="仿宋_GB2312"/>
                <w:b/>
                <w:bCs/>
                <w:color w:val="auto"/>
                <w:kern w:val="0"/>
                <w:szCs w:val="21"/>
                <w:lang w:val="en-US" w:eastAsia="zh-CN"/>
              </w:rPr>
              <w:t>6</w:t>
            </w:r>
            <w:r>
              <w:rPr>
                <w:rFonts w:hint="eastAsia" w:eastAsia="仿宋_GB2312"/>
                <w:b/>
                <w:bCs/>
                <w:color w:val="auto"/>
                <w:kern w:val="0"/>
                <w:szCs w:val="21"/>
              </w:rPr>
              <w:t>-00</w:t>
            </w:r>
            <w:r>
              <w:rPr>
                <w:rFonts w:hint="eastAsia" w:eastAsia="仿宋_GB2312"/>
                <w:b/>
                <w:bCs/>
                <w:color w:val="auto"/>
                <w:kern w:val="0"/>
                <w:szCs w:val="21"/>
                <w:lang w:val="en-US" w:eastAsia="zh-CN"/>
              </w:rPr>
              <w:t>1</w:t>
            </w:r>
            <w:r>
              <w:rPr>
                <w:rFonts w:hint="eastAsia" w:eastAsia="仿宋_GB2312"/>
                <w:b/>
                <w:bCs/>
                <w:color w:val="auto"/>
                <w:kern w:val="0"/>
                <w:szCs w:val="21"/>
              </w:rPr>
              <w:t>-02</w:t>
            </w:r>
            <w:r>
              <w:rPr>
                <w:rFonts w:hint="eastAsia" w:eastAsia="仿宋_GB2312"/>
                <w:b/>
                <w:bCs/>
                <w:color w:val="auto"/>
                <w:kern w:val="0"/>
                <w:szCs w:val="21"/>
                <w:lang w:eastAsia="zh-CN"/>
              </w:rPr>
              <w:t>、</w:t>
            </w:r>
            <w:r>
              <w:rPr>
                <w:rFonts w:hint="eastAsia" w:eastAsia="仿宋_GB2312"/>
                <w:b/>
                <w:bCs/>
                <w:color w:val="auto"/>
                <w:kern w:val="0"/>
                <w:szCs w:val="21"/>
              </w:rPr>
              <w:t>27</w:t>
            </w:r>
            <w:r>
              <w:rPr>
                <w:rFonts w:hint="eastAsia" w:eastAsia="仿宋_GB2312"/>
                <w:b/>
                <w:bCs/>
                <w:color w:val="auto"/>
                <w:kern w:val="0"/>
                <w:szCs w:val="21"/>
                <w:lang w:val="en-US" w:eastAsia="zh-CN"/>
              </w:rPr>
              <w:t>6</w:t>
            </w:r>
            <w:r>
              <w:rPr>
                <w:rFonts w:hint="eastAsia" w:eastAsia="仿宋_GB2312"/>
                <w:b/>
                <w:bCs/>
                <w:color w:val="auto"/>
                <w:kern w:val="0"/>
                <w:szCs w:val="21"/>
              </w:rPr>
              <w:t>-00</w:t>
            </w:r>
            <w:r>
              <w:rPr>
                <w:rFonts w:hint="eastAsia" w:eastAsia="仿宋_GB2312"/>
                <w:b/>
                <w:bCs/>
                <w:color w:val="auto"/>
                <w:kern w:val="0"/>
                <w:szCs w:val="21"/>
                <w:lang w:val="en-US" w:eastAsia="zh-CN"/>
              </w:rPr>
              <w:t>2</w:t>
            </w:r>
            <w:r>
              <w:rPr>
                <w:rFonts w:hint="eastAsia" w:eastAsia="仿宋_GB2312"/>
                <w:b/>
                <w:bCs/>
                <w:color w:val="auto"/>
                <w:kern w:val="0"/>
                <w:szCs w:val="21"/>
              </w:rPr>
              <w:t>-02</w:t>
            </w:r>
          </w:p>
        </w:tc>
        <w:tc>
          <w:tcPr>
            <w:tcW w:w="382" w:type="pct"/>
            <w:vMerge w:val="restart"/>
            <w:tcBorders>
              <w:tl2br w:val="nil"/>
              <w:tr2bl w:val="nil"/>
            </w:tcBorders>
            <w:vAlign w:val="center"/>
          </w:tcPr>
          <w:p w14:paraId="54D0EB1F">
            <w:pPr>
              <w:widowControl/>
              <w:jc w:val="center"/>
              <w:rPr>
                <w:rFonts w:eastAsia="仿宋_GB2312"/>
                <w:kern w:val="0"/>
                <w:szCs w:val="21"/>
              </w:rPr>
            </w:pPr>
            <w:r>
              <w:rPr>
                <w:rFonts w:eastAsia="仿宋_GB2312"/>
                <w:kern w:val="0"/>
                <w:szCs w:val="21"/>
              </w:rPr>
              <w:t>6000</w:t>
            </w:r>
          </w:p>
        </w:tc>
        <w:tc>
          <w:tcPr>
            <w:tcW w:w="414" w:type="pct"/>
            <w:vMerge w:val="restart"/>
            <w:tcBorders>
              <w:tl2br w:val="nil"/>
              <w:tr2bl w:val="nil"/>
            </w:tcBorders>
            <w:shd w:val="clear" w:color="auto" w:fill="auto"/>
            <w:vAlign w:val="center"/>
          </w:tcPr>
          <w:p w14:paraId="6DD8F254">
            <w:pPr>
              <w:widowControl/>
              <w:jc w:val="center"/>
              <w:rPr>
                <w:rFonts w:eastAsia="仿宋_GB2312"/>
                <w:kern w:val="0"/>
                <w:szCs w:val="21"/>
              </w:rPr>
            </w:pPr>
            <w:r>
              <w:rPr>
                <w:rFonts w:hint="eastAsia" w:eastAsia="仿宋_GB2312"/>
                <w:kern w:val="0"/>
                <w:szCs w:val="21"/>
              </w:rPr>
              <w:t>155</w:t>
            </w:r>
            <w:r>
              <w:rPr>
                <w:rFonts w:eastAsia="仿宋_GB2312"/>
                <w:kern w:val="0"/>
                <w:szCs w:val="21"/>
              </w:rPr>
              <w:t>00</w:t>
            </w:r>
          </w:p>
        </w:tc>
        <w:tc>
          <w:tcPr>
            <w:tcW w:w="554" w:type="pct"/>
            <w:vMerge w:val="restart"/>
            <w:tcBorders>
              <w:tl2br w:val="nil"/>
              <w:tr2bl w:val="nil"/>
            </w:tcBorders>
            <w:shd w:val="clear" w:color="auto" w:fill="auto"/>
            <w:vAlign w:val="center"/>
          </w:tcPr>
          <w:p w14:paraId="36D57A33">
            <w:pPr>
              <w:widowControl/>
              <w:jc w:val="center"/>
              <w:rPr>
                <w:rFonts w:eastAsia="仿宋_GB2312"/>
                <w:kern w:val="0"/>
                <w:szCs w:val="21"/>
              </w:rPr>
            </w:pPr>
            <w:r>
              <w:rPr>
                <w:rFonts w:hint="eastAsia" w:eastAsia="仿宋_GB2312"/>
                <w:kern w:val="0"/>
                <w:szCs w:val="21"/>
              </w:rPr>
              <w:t>新增HW02类代码，处置量增加9500t/a</w:t>
            </w:r>
          </w:p>
        </w:tc>
      </w:tr>
      <w:tr w14:paraId="26307E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248" w:type="pct"/>
            <w:vMerge w:val="continue"/>
            <w:tcBorders>
              <w:tl2br w:val="nil"/>
              <w:tr2bl w:val="nil"/>
            </w:tcBorders>
            <w:vAlign w:val="center"/>
          </w:tcPr>
          <w:p w14:paraId="2AD878DB">
            <w:pPr>
              <w:widowControl/>
              <w:jc w:val="center"/>
              <w:rPr>
                <w:rFonts w:eastAsia="仿宋_GB2312"/>
                <w:kern w:val="0"/>
                <w:szCs w:val="21"/>
              </w:rPr>
            </w:pPr>
          </w:p>
        </w:tc>
        <w:tc>
          <w:tcPr>
            <w:tcW w:w="326" w:type="pct"/>
            <w:vMerge w:val="continue"/>
            <w:tcBorders>
              <w:tl2br w:val="nil"/>
              <w:tr2bl w:val="nil"/>
            </w:tcBorders>
            <w:vAlign w:val="center"/>
          </w:tcPr>
          <w:p w14:paraId="4DA13D8D">
            <w:pPr>
              <w:widowControl/>
              <w:jc w:val="center"/>
              <w:rPr>
                <w:rFonts w:eastAsia="仿宋_GB2312"/>
                <w:kern w:val="0"/>
                <w:szCs w:val="21"/>
              </w:rPr>
            </w:pPr>
          </w:p>
        </w:tc>
        <w:tc>
          <w:tcPr>
            <w:tcW w:w="648" w:type="pct"/>
            <w:vMerge w:val="continue"/>
            <w:tcBorders>
              <w:tl2br w:val="nil"/>
              <w:tr2bl w:val="nil"/>
            </w:tcBorders>
            <w:vAlign w:val="center"/>
          </w:tcPr>
          <w:p w14:paraId="3DC33BD0">
            <w:pPr>
              <w:widowControl/>
              <w:jc w:val="center"/>
              <w:rPr>
                <w:rFonts w:eastAsia="仿宋_GB2312"/>
                <w:kern w:val="0"/>
                <w:szCs w:val="21"/>
              </w:rPr>
            </w:pPr>
          </w:p>
        </w:tc>
        <w:tc>
          <w:tcPr>
            <w:tcW w:w="347" w:type="pct"/>
            <w:tcBorders>
              <w:tl2br w:val="nil"/>
              <w:tr2bl w:val="nil"/>
            </w:tcBorders>
            <w:shd w:val="clear" w:color="auto" w:fill="auto"/>
            <w:vAlign w:val="center"/>
          </w:tcPr>
          <w:p w14:paraId="05DA827E">
            <w:pPr>
              <w:widowControl/>
              <w:jc w:val="center"/>
              <w:rPr>
                <w:rFonts w:eastAsia="仿宋_GB2312"/>
                <w:kern w:val="0"/>
                <w:szCs w:val="21"/>
              </w:rPr>
            </w:pPr>
            <w:r>
              <w:rPr>
                <w:rFonts w:eastAsia="仿宋_GB2312"/>
                <w:kern w:val="0"/>
                <w:szCs w:val="21"/>
              </w:rPr>
              <w:t>HW06</w:t>
            </w:r>
          </w:p>
        </w:tc>
        <w:tc>
          <w:tcPr>
            <w:tcW w:w="2078" w:type="pct"/>
            <w:tcBorders>
              <w:tl2br w:val="nil"/>
              <w:tr2bl w:val="nil"/>
            </w:tcBorders>
            <w:shd w:val="clear" w:color="auto" w:fill="auto"/>
            <w:vAlign w:val="center"/>
          </w:tcPr>
          <w:p w14:paraId="2ACCCCC7">
            <w:pPr>
              <w:widowControl/>
              <w:jc w:val="center"/>
              <w:rPr>
                <w:rFonts w:eastAsia="仿宋_GB2312"/>
                <w:kern w:val="0"/>
                <w:szCs w:val="21"/>
              </w:rPr>
            </w:pPr>
            <w:r>
              <w:rPr>
                <w:rFonts w:eastAsia="仿宋_GB2312"/>
                <w:kern w:val="0"/>
                <w:szCs w:val="21"/>
              </w:rPr>
              <w:t>900-401-06，900-402-06，900-404-06，900-407-06</w:t>
            </w:r>
          </w:p>
        </w:tc>
        <w:tc>
          <w:tcPr>
            <w:tcW w:w="382" w:type="pct"/>
            <w:vMerge w:val="continue"/>
            <w:tcBorders>
              <w:tl2br w:val="nil"/>
              <w:tr2bl w:val="nil"/>
            </w:tcBorders>
            <w:vAlign w:val="center"/>
          </w:tcPr>
          <w:p w14:paraId="0DD8C031">
            <w:pPr>
              <w:widowControl/>
              <w:jc w:val="center"/>
              <w:rPr>
                <w:rFonts w:eastAsia="仿宋_GB2312"/>
                <w:kern w:val="0"/>
                <w:szCs w:val="21"/>
              </w:rPr>
            </w:pPr>
          </w:p>
        </w:tc>
        <w:tc>
          <w:tcPr>
            <w:tcW w:w="414" w:type="pct"/>
            <w:vMerge w:val="continue"/>
            <w:tcBorders>
              <w:tl2br w:val="nil"/>
              <w:tr2bl w:val="nil"/>
            </w:tcBorders>
            <w:shd w:val="clear" w:color="auto" w:fill="auto"/>
            <w:vAlign w:val="center"/>
          </w:tcPr>
          <w:p w14:paraId="4F51DFBB">
            <w:pPr>
              <w:widowControl/>
              <w:jc w:val="center"/>
              <w:rPr>
                <w:rFonts w:eastAsia="仿宋_GB2312"/>
                <w:kern w:val="0"/>
                <w:szCs w:val="21"/>
              </w:rPr>
            </w:pPr>
          </w:p>
        </w:tc>
        <w:tc>
          <w:tcPr>
            <w:tcW w:w="554" w:type="pct"/>
            <w:vMerge w:val="continue"/>
            <w:tcBorders>
              <w:tl2br w:val="nil"/>
              <w:tr2bl w:val="nil"/>
            </w:tcBorders>
            <w:shd w:val="clear" w:color="auto" w:fill="auto"/>
            <w:vAlign w:val="center"/>
          </w:tcPr>
          <w:p w14:paraId="1300F129">
            <w:pPr>
              <w:widowControl/>
              <w:jc w:val="center"/>
              <w:rPr>
                <w:rFonts w:eastAsia="仿宋_GB2312"/>
                <w:kern w:val="0"/>
                <w:szCs w:val="21"/>
              </w:rPr>
            </w:pPr>
          </w:p>
        </w:tc>
      </w:tr>
      <w:tr w14:paraId="155501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248" w:type="pct"/>
            <w:tcBorders>
              <w:tl2br w:val="nil"/>
              <w:tr2bl w:val="nil"/>
            </w:tcBorders>
            <w:vAlign w:val="center"/>
          </w:tcPr>
          <w:p w14:paraId="2D7C3358">
            <w:pPr>
              <w:widowControl/>
              <w:jc w:val="center"/>
              <w:rPr>
                <w:rFonts w:eastAsia="仿宋_GB2312"/>
                <w:kern w:val="0"/>
                <w:szCs w:val="21"/>
              </w:rPr>
            </w:pPr>
            <w:r>
              <w:rPr>
                <w:rFonts w:hint="eastAsia" w:eastAsia="仿宋_GB2312"/>
                <w:kern w:val="0"/>
                <w:szCs w:val="21"/>
              </w:rPr>
              <w:t>5</w:t>
            </w:r>
          </w:p>
        </w:tc>
        <w:tc>
          <w:tcPr>
            <w:tcW w:w="326" w:type="pct"/>
            <w:vMerge w:val="continue"/>
            <w:tcBorders>
              <w:tl2br w:val="nil"/>
              <w:tr2bl w:val="nil"/>
            </w:tcBorders>
            <w:vAlign w:val="center"/>
          </w:tcPr>
          <w:p w14:paraId="10CA8067">
            <w:pPr>
              <w:widowControl/>
              <w:jc w:val="center"/>
              <w:rPr>
                <w:rFonts w:eastAsia="仿宋_GB2312"/>
                <w:kern w:val="0"/>
                <w:szCs w:val="21"/>
              </w:rPr>
            </w:pPr>
          </w:p>
        </w:tc>
        <w:tc>
          <w:tcPr>
            <w:tcW w:w="648" w:type="pct"/>
            <w:tcBorders>
              <w:tl2br w:val="nil"/>
              <w:tr2bl w:val="nil"/>
            </w:tcBorders>
            <w:vAlign w:val="center"/>
          </w:tcPr>
          <w:p w14:paraId="43ACA332">
            <w:pPr>
              <w:widowControl/>
              <w:jc w:val="center"/>
              <w:rPr>
                <w:rFonts w:eastAsia="仿宋_GB2312"/>
                <w:kern w:val="0"/>
                <w:szCs w:val="21"/>
              </w:rPr>
            </w:pPr>
            <w:r>
              <w:rPr>
                <w:rFonts w:eastAsia="仿宋_GB2312"/>
                <w:kern w:val="0"/>
                <w:szCs w:val="21"/>
              </w:rPr>
              <w:t>染料、涂料废物</w:t>
            </w:r>
          </w:p>
        </w:tc>
        <w:tc>
          <w:tcPr>
            <w:tcW w:w="347" w:type="pct"/>
            <w:tcBorders>
              <w:tl2br w:val="nil"/>
              <w:tr2bl w:val="nil"/>
            </w:tcBorders>
            <w:vAlign w:val="center"/>
          </w:tcPr>
          <w:p w14:paraId="50FD7C58">
            <w:pPr>
              <w:widowControl/>
              <w:jc w:val="center"/>
              <w:rPr>
                <w:rFonts w:eastAsia="仿宋_GB2312"/>
                <w:kern w:val="0"/>
                <w:szCs w:val="21"/>
              </w:rPr>
            </w:pPr>
            <w:r>
              <w:rPr>
                <w:rFonts w:eastAsia="仿宋_GB2312"/>
                <w:kern w:val="0"/>
                <w:szCs w:val="21"/>
              </w:rPr>
              <w:t>HW12</w:t>
            </w:r>
          </w:p>
        </w:tc>
        <w:tc>
          <w:tcPr>
            <w:tcW w:w="2078" w:type="pct"/>
            <w:tcBorders>
              <w:tl2br w:val="nil"/>
              <w:tr2bl w:val="nil"/>
            </w:tcBorders>
            <w:vAlign w:val="center"/>
          </w:tcPr>
          <w:p w14:paraId="27982B3D">
            <w:pPr>
              <w:widowControl/>
              <w:jc w:val="center"/>
              <w:rPr>
                <w:rFonts w:eastAsia="仿宋_GB2312"/>
                <w:kern w:val="0"/>
                <w:szCs w:val="21"/>
              </w:rPr>
            </w:pPr>
            <w:r>
              <w:rPr>
                <w:rFonts w:eastAsia="仿宋_GB2312"/>
                <w:kern w:val="0"/>
                <w:szCs w:val="21"/>
              </w:rPr>
              <w:t>264-011-12，264-013-12，900-250-12，900-251-12，900-252-12，900-253-12</w:t>
            </w:r>
          </w:p>
        </w:tc>
        <w:tc>
          <w:tcPr>
            <w:tcW w:w="382" w:type="pct"/>
            <w:tcBorders>
              <w:tl2br w:val="nil"/>
              <w:tr2bl w:val="nil"/>
            </w:tcBorders>
            <w:vAlign w:val="center"/>
          </w:tcPr>
          <w:p w14:paraId="13BF92E3">
            <w:pPr>
              <w:widowControl/>
              <w:jc w:val="center"/>
              <w:rPr>
                <w:rFonts w:eastAsia="仿宋_GB2312"/>
                <w:kern w:val="0"/>
                <w:szCs w:val="21"/>
              </w:rPr>
            </w:pPr>
            <w:r>
              <w:rPr>
                <w:rFonts w:hint="eastAsia" w:eastAsia="仿宋_GB2312"/>
                <w:kern w:val="0"/>
                <w:szCs w:val="21"/>
              </w:rPr>
              <w:t>500</w:t>
            </w:r>
          </w:p>
        </w:tc>
        <w:tc>
          <w:tcPr>
            <w:tcW w:w="414" w:type="pct"/>
            <w:tcBorders>
              <w:tl2br w:val="nil"/>
              <w:tr2bl w:val="nil"/>
            </w:tcBorders>
            <w:shd w:val="clear" w:color="auto" w:fill="auto"/>
            <w:vAlign w:val="center"/>
          </w:tcPr>
          <w:p w14:paraId="3772CC22">
            <w:pPr>
              <w:widowControl/>
              <w:jc w:val="center"/>
              <w:rPr>
                <w:rFonts w:eastAsia="仿宋_GB2312"/>
                <w:kern w:val="0"/>
                <w:szCs w:val="21"/>
              </w:rPr>
            </w:pPr>
            <w:r>
              <w:rPr>
                <w:rFonts w:hint="eastAsia" w:eastAsia="仿宋_GB2312"/>
                <w:kern w:val="0"/>
                <w:szCs w:val="21"/>
              </w:rPr>
              <w:t>500</w:t>
            </w:r>
          </w:p>
        </w:tc>
        <w:tc>
          <w:tcPr>
            <w:tcW w:w="554" w:type="pct"/>
            <w:tcBorders>
              <w:tl2br w:val="nil"/>
              <w:tr2bl w:val="nil"/>
            </w:tcBorders>
            <w:shd w:val="clear" w:color="auto" w:fill="auto"/>
            <w:vAlign w:val="center"/>
          </w:tcPr>
          <w:p w14:paraId="4A0DFAA2">
            <w:pPr>
              <w:widowControl/>
              <w:jc w:val="center"/>
              <w:rPr>
                <w:rFonts w:eastAsia="仿宋_GB2312"/>
                <w:kern w:val="0"/>
                <w:szCs w:val="21"/>
              </w:rPr>
            </w:pPr>
            <w:r>
              <w:rPr>
                <w:rFonts w:hint="eastAsia" w:eastAsia="仿宋_GB2312"/>
                <w:kern w:val="0"/>
                <w:szCs w:val="21"/>
              </w:rPr>
              <w:t>/</w:t>
            </w:r>
          </w:p>
        </w:tc>
      </w:tr>
      <w:tr w14:paraId="18F450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248" w:type="pct"/>
            <w:tcBorders>
              <w:tl2br w:val="nil"/>
              <w:tr2bl w:val="nil"/>
            </w:tcBorders>
            <w:vAlign w:val="center"/>
          </w:tcPr>
          <w:p w14:paraId="791CE8E1">
            <w:pPr>
              <w:widowControl/>
              <w:jc w:val="center"/>
              <w:rPr>
                <w:rFonts w:eastAsia="仿宋_GB2312"/>
                <w:kern w:val="0"/>
                <w:szCs w:val="21"/>
              </w:rPr>
            </w:pPr>
            <w:r>
              <w:rPr>
                <w:rFonts w:hint="eastAsia" w:eastAsia="仿宋_GB2312"/>
                <w:kern w:val="0"/>
                <w:szCs w:val="21"/>
              </w:rPr>
              <w:t>6</w:t>
            </w:r>
          </w:p>
        </w:tc>
        <w:tc>
          <w:tcPr>
            <w:tcW w:w="326" w:type="pct"/>
            <w:vMerge w:val="continue"/>
            <w:tcBorders>
              <w:tl2br w:val="nil"/>
              <w:tr2bl w:val="nil"/>
            </w:tcBorders>
            <w:vAlign w:val="center"/>
          </w:tcPr>
          <w:p w14:paraId="651F05A2">
            <w:pPr>
              <w:widowControl/>
              <w:jc w:val="center"/>
              <w:rPr>
                <w:rFonts w:eastAsia="仿宋_GB2312"/>
                <w:kern w:val="0"/>
                <w:szCs w:val="21"/>
              </w:rPr>
            </w:pPr>
          </w:p>
        </w:tc>
        <w:tc>
          <w:tcPr>
            <w:tcW w:w="648" w:type="pct"/>
            <w:tcBorders>
              <w:tl2br w:val="nil"/>
              <w:tr2bl w:val="nil"/>
            </w:tcBorders>
            <w:vAlign w:val="center"/>
          </w:tcPr>
          <w:p w14:paraId="72280877">
            <w:pPr>
              <w:widowControl/>
              <w:jc w:val="center"/>
              <w:rPr>
                <w:rFonts w:eastAsia="仿宋_GB2312"/>
                <w:kern w:val="0"/>
                <w:szCs w:val="21"/>
              </w:rPr>
            </w:pPr>
            <w:r>
              <w:rPr>
                <w:rFonts w:eastAsia="仿宋_GB2312"/>
                <w:kern w:val="0"/>
                <w:szCs w:val="21"/>
              </w:rPr>
              <w:t>有机树脂类废物</w:t>
            </w:r>
          </w:p>
        </w:tc>
        <w:tc>
          <w:tcPr>
            <w:tcW w:w="347" w:type="pct"/>
            <w:tcBorders>
              <w:tl2br w:val="nil"/>
              <w:tr2bl w:val="nil"/>
            </w:tcBorders>
            <w:vAlign w:val="center"/>
          </w:tcPr>
          <w:p w14:paraId="04D9BDA9">
            <w:pPr>
              <w:widowControl/>
              <w:jc w:val="center"/>
              <w:rPr>
                <w:rFonts w:eastAsia="仿宋_GB2312"/>
                <w:kern w:val="0"/>
                <w:szCs w:val="21"/>
              </w:rPr>
            </w:pPr>
            <w:r>
              <w:rPr>
                <w:rFonts w:eastAsia="仿宋_GB2312"/>
                <w:kern w:val="0"/>
                <w:szCs w:val="21"/>
              </w:rPr>
              <w:t>HW13</w:t>
            </w:r>
          </w:p>
        </w:tc>
        <w:tc>
          <w:tcPr>
            <w:tcW w:w="2078" w:type="pct"/>
            <w:tcBorders>
              <w:tl2br w:val="nil"/>
              <w:tr2bl w:val="nil"/>
            </w:tcBorders>
            <w:vAlign w:val="center"/>
          </w:tcPr>
          <w:p w14:paraId="304DBCC2">
            <w:pPr>
              <w:widowControl/>
              <w:jc w:val="center"/>
              <w:rPr>
                <w:rFonts w:eastAsia="仿宋_GB2312"/>
                <w:kern w:val="0"/>
                <w:szCs w:val="21"/>
              </w:rPr>
            </w:pPr>
            <w:r>
              <w:rPr>
                <w:rFonts w:eastAsia="仿宋_GB2312"/>
                <w:kern w:val="0"/>
                <w:szCs w:val="21"/>
              </w:rPr>
              <w:t>265-102-13</w:t>
            </w:r>
          </w:p>
        </w:tc>
        <w:tc>
          <w:tcPr>
            <w:tcW w:w="382" w:type="pct"/>
            <w:tcBorders>
              <w:tl2br w:val="nil"/>
              <w:tr2bl w:val="nil"/>
            </w:tcBorders>
            <w:vAlign w:val="center"/>
          </w:tcPr>
          <w:p w14:paraId="314F3971">
            <w:pPr>
              <w:widowControl/>
              <w:jc w:val="center"/>
              <w:rPr>
                <w:rFonts w:eastAsia="仿宋_GB2312"/>
                <w:kern w:val="0"/>
                <w:szCs w:val="21"/>
              </w:rPr>
            </w:pPr>
            <w:r>
              <w:rPr>
                <w:rFonts w:hint="eastAsia" w:eastAsia="仿宋_GB2312"/>
                <w:kern w:val="0"/>
                <w:szCs w:val="21"/>
              </w:rPr>
              <w:t>300</w:t>
            </w:r>
          </w:p>
        </w:tc>
        <w:tc>
          <w:tcPr>
            <w:tcW w:w="414" w:type="pct"/>
            <w:tcBorders>
              <w:tl2br w:val="nil"/>
              <w:tr2bl w:val="nil"/>
            </w:tcBorders>
            <w:shd w:val="clear" w:color="auto" w:fill="auto"/>
            <w:vAlign w:val="center"/>
          </w:tcPr>
          <w:p w14:paraId="475B6B28">
            <w:pPr>
              <w:widowControl/>
              <w:jc w:val="center"/>
              <w:rPr>
                <w:rFonts w:eastAsia="仿宋_GB2312"/>
                <w:kern w:val="0"/>
                <w:szCs w:val="21"/>
              </w:rPr>
            </w:pPr>
            <w:r>
              <w:rPr>
                <w:rFonts w:hint="eastAsia" w:eastAsia="仿宋_GB2312"/>
                <w:kern w:val="0"/>
                <w:szCs w:val="21"/>
              </w:rPr>
              <w:t>300</w:t>
            </w:r>
          </w:p>
        </w:tc>
        <w:tc>
          <w:tcPr>
            <w:tcW w:w="554" w:type="pct"/>
            <w:tcBorders>
              <w:tl2br w:val="nil"/>
              <w:tr2bl w:val="nil"/>
            </w:tcBorders>
            <w:shd w:val="clear" w:color="auto" w:fill="auto"/>
            <w:vAlign w:val="center"/>
          </w:tcPr>
          <w:p w14:paraId="192AC5D6">
            <w:pPr>
              <w:widowControl/>
              <w:jc w:val="center"/>
              <w:rPr>
                <w:rFonts w:eastAsia="仿宋_GB2312"/>
                <w:kern w:val="0"/>
                <w:szCs w:val="21"/>
              </w:rPr>
            </w:pPr>
            <w:r>
              <w:rPr>
                <w:rFonts w:hint="eastAsia" w:eastAsia="仿宋_GB2312"/>
                <w:kern w:val="0"/>
                <w:szCs w:val="21"/>
              </w:rPr>
              <w:t>/</w:t>
            </w:r>
          </w:p>
        </w:tc>
      </w:tr>
      <w:tr w14:paraId="0D6A882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248" w:type="pct"/>
            <w:tcBorders>
              <w:tl2br w:val="nil"/>
              <w:tr2bl w:val="nil"/>
            </w:tcBorders>
            <w:vAlign w:val="center"/>
          </w:tcPr>
          <w:p w14:paraId="6FB67E5C">
            <w:pPr>
              <w:widowControl/>
              <w:jc w:val="center"/>
              <w:rPr>
                <w:rFonts w:eastAsia="仿宋_GB2312"/>
                <w:kern w:val="0"/>
                <w:szCs w:val="21"/>
              </w:rPr>
            </w:pPr>
            <w:r>
              <w:rPr>
                <w:rFonts w:hint="eastAsia" w:eastAsia="仿宋_GB2312"/>
                <w:kern w:val="0"/>
                <w:szCs w:val="21"/>
              </w:rPr>
              <w:t>7</w:t>
            </w:r>
          </w:p>
        </w:tc>
        <w:tc>
          <w:tcPr>
            <w:tcW w:w="326" w:type="pct"/>
            <w:vMerge w:val="restart"/>
            <w:tcBorders>
              <w:tl2br w:val="nil"/>
              <w:tr2bl w:val="nil"/>
            </w:tcBorders>
            <w:vAlign w:val="center"/>
          </w:tcPr>
          <w:p w14:paraId="471A7F97">
            <w:pPr>
              <w:widowControl/>
              <w:jc w:val="center"/>
              <w:rPr>
                <w:rFonts w:eastAsia="仿宋_GB2312"/>
                <w:kern w:val="0"/>
                <w:szCs w:val="21"/>
              </w:rPr>
            </w:pPr>
            <w:r>
              <w:rPr>
                <w:rFonts w:eastAsia="仿宋_GB2312"/>
                <w:kern w:val="0"/>
                <w:szCs w:val="21"/>
              </w:rPr>
              <w:t>废乳化液、废矿物油回收项目</w:t>
            </w:r>
          </w:p>
        </w:tc>
        <w:tc>
          <w:tcPr>
            <w:tcW w:w="648" w:type="pct"/>
            <w:tcBorders>
              <w:tl2br w:val="nil"/>
              <w:tr2bl w:val="nil"/>
            </w:tcBorders>
            <w:vAlign w:val="center"/>
          </w:tcPr>
          <w:p w14:paraId="5E9D9A8C">
            <w:pPr>
              <w:widowControl/>
              <w:jc w:val="center"/>
              <w:rPr>
                <w:rFonts w:eastAsia="仿宋_GB2312"/>
                <w:kern w:val="0"/>
                <w:szCs w:val="21"/>
              </w:rPr>
            </w:pPr>
            <w:r>
              <w:rPr>
                <w:rFonts w:eastAsia="仿宋_GB2312"/>
                <w:kern w:val="0"/>
                <w:szCs w:val="21"/>
              </w:rPr>
              <w:t>废矿物油与含矿物油废物</w:t>
            </w:r>
          </w:p>
        </w:tc>
        <w:tc>
          <w:tcPr>
            <w:tcW w:w="347" w:type="pct"/>
            <w:tcBorders>
              <w:tl2br w:val="nil"/>
              <w:tr2bl w:val="nil"/>
            </w:tcBorders>
            <w:vAlign w:val="center"/>
          </w:tcPr>
          <w:p w14:paraId="5F3ECCC4">
            <w:pPr>
              <w:widowControl/>
              <w:jc w:val="center"/>
              <w:rPr>
                <w:rFonts w:eastAsia="仿宋_GB2312"/>
                <w:kern w:val="0"/>
                <w:szCs w:val="21"/>
              </w:rPr>
            </w:pPr>
            <w:r>
              <w:rPr>
                <w:rFonts w:eastAsia="仿宋_GB2312"/>
                <w:kern w:val="0"/>
                <w:szCs w:val="21"/>
              </w:rPr>
              <w:t>HW08</w:t>
            </w:r>
          </w:p>
        </w:tc>
        <w:tc>
          <w:tcPr>
            <w:tcW w:w="2078" w:type="pct"/>
            <w:tcBorders>
              <w:tl2br w:val="nil"/>
              <w:tr2bl w:val="nil"/>
            </w:tcBorders>
            <w:vAlign w:val="center"/>
          </w:tcPr>
          <w:p w14:paraId="0742683A">
            <w:pPr>
              <w:widowControl/>
              <w:jc w:val="center"/>
              <w:rPr>
                <w:rFonts w:eastAsia="仿宋_GB2312"/>
                <w:kern w:val="0"/>
                <w:szCs w:val="21"/>
              </w:rPr>
            </w:pPr>
            <w:r>
              <w:rPr>
                <w:rFonts w:eastAsia="仿宋_GB2312"/>
                <w:kern w:val="0"/>
                <w:szCs w:val="21"/>
              </w:rPr>
              <w:t>251-001-08，251-003-08，251-005-08，900-199-08，900-200-08，900-201-08，900-203-08，900-204-08，900-205-08，900-209-08，900-210-08，900-214-08，900-216-08，900-217-08，900-218-08，900-219-08，900-220-08，900-249-08</w:t>
            </w:r>
          </w:p>
        </w:tc>
        <w:tc>
          <w:tcPr>
            <w:tcW w:w="382" w:type="pct"/>
            <w:tcBorders>
              <w:tl2br w:val="nil"/>
              <w:tr2bl w:val="nil"/>
            </w:tcBorders>
            <w:vAlign w:val="center"/>
          </w:tcPr>
          <w:p w14:paraId="19A53790">
            <w:pPr>
              <w:widowControl/>
              <w:jc w:val="center"/>
              <w:rPr>
                <w:rFonts w:eastAsia="仿宋_GB2312"/>
                <w:kern w:val="0"/>
                <w:szCs w:val="21"/>
              </w:rPr>
            </w:pPr>
            <w:r>
              <w:rPr>
                <w:rFonts w:hint="eastAsia" w:eastAsia="仿宋_GB2312"/>
                <w:kern w:val="0"/>
                <w:szCs w:val="21"/>
              </w:rPr>
              <w:t>200</w:t>
            </w:r>
          </w:p>
        </w:tc>
        <w:tc>
          <w:tcPr>
            <w:tcW w:w="414" w:type="pct"/>
            <w:tcBorders>
              <w:tl2br w:val="nil"/>
              <w:tr2bl w:val="nil"/>
            </w:tcBorders>
            <w:shd w:val="clear" w:color="auto" w:fill="auto"/>
            <w:vAlign w:val="center"/>
          </w:tcPr>
          <w:p w14:paraId="72515584">
            <w:pPr>
              <w:widowControl/>
              <w:jc w:val="center"/>
              <w:rPr>
                <w:rFonts w:eastAsia="仿宋_GB2312"/>
                <w:kern w:val="0"/>
                <w:szCs w:val="21"/>
              </w:rPr>
            </w:pPr>
            <w:r>
              <w:rPr>
                <w:rFonts w:hint="eastAsia" w:eastAsia="仿宋_GB2312"/>
                <w:kern w:val="0"/>
                <w:szCs w:val="21"/>
              </w:rPr>
              <w:t>200</w:t>
            </w:r>
          </w:p>
        </w:tc>
        <w:tc>
          <w:tcPr>
            <w:tcW w:w="554" w:type="pct"/>
            <w:tcBorders>
              <w:tl2br w:val="nil"/>
              <w:tr2bl w:val="nil"/>
            </w:tcBorders>
            <w:shd w:val="clear" w:color="auto" w:fill="auto"/>
            <w:vAlign w:val="center"/>
          </w:tcPr>
          <w:p w14:paraId="354AB0B9">
            <w:pPr>
              <w:widowControl/>
              <w:jc w:val="center"/>
              <w:rPr>
                <w:rFonts w:eastAsia="仿宋_GB2312"/>
                <w:kern w:val="0"/>
                <w:szCs w:val="21"/>
              </w:rPr>
            </w:pPr>
            <w:r>
              <w:rPr>
                <w:rFonts w:hint="eastAsia" w:eastAsia="仿宋_GB2312"/>
                <w:kern w:val="0"/>
                <w:szCs w:val="21"/>
              </w:rPr>
              <w:t>/</w:t>
            </w:r>
          </w:p>
        </w:tc>
      </w:tr>
      <w:tr w14:paraId="15D5C1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248" w:type="pct"/>
            <w:tcBorders>
              <w:tl2br w:val="nil"/>
              <w:tr2bl w:val="nil"/>
            </w:tcBorders>
            <w:vAlign w:val="center"/>
          </w:tcPr>
          <w:p w14:paraId="4AF5AC3D">
            <w:pPr>
              <w:widowControl/>
              <w:jc w:val="center"/>
              <w:rPr>
                <w:rFonts w:eastAsia="仿宋_GB2312"/>
                <w:color w:val="FF0000"/>
                <w:kern w:val="0"/>
                <w:szCs w:val="21"/>
              </w:rPr>
            </w:pPr>
            <w:r>
              <w:rPr>
                <w:rFonts w:hint="eastAsia" w:eastAsia="仿宋_GB2312"/>
                <w:kern w:val="0"/>
                <w:szCs w:val="21"/>
              </w:rPr>
              <w:t>8</w:t>
            </w:r>
          </w:p>
        </w:tc>
        <w:tc>
          <w:tcPr>
            <w:tcW w:w="326" w:type="pct"/>
            <w:vMerge w:val="continue"/>
            <w:tcBorders>
              <w:tl2br w:val="nil"/>
              <w:tr2bl w:val="nil"/>
            </w:tcBorders>
            <w:vAlign w:val="center"/>
          </w:tcPr>
          <w:p w14:paraId="4DDD6DDC">
            <w:pPr>
              <w:widowControl/>
              <w:jc w:val="center"/>
              <w:rPr>
                <w:rFonts w:eastAsia="仿宋_GB2312"/>
                <w:kern w:val="0"/>
                <w:szCs w:val="21"/>
              </w:rPr>
            </w:pPr>
          </w:p>
        </w:tc>
        <w:tc>
          <w:tcPr>
            <w:tcW w:w="648" w:type="pct"/>
            <w:tcBorders>
              <w:tl2br w:val="nil"/>
              <w:tr2bl w:val="nil"/>
            </w:tcBorders>
            <w:vAlign w:val="center"/>
          </w:tcPr>
          <w:p w14:paraId="42CC789F">
            <w:pPr>
              <w:widowControl/>
              <w:jc w:val="center"/>
              <w:rPr>
                <w:rFonts w:eastAsia="仿宋_GB2312"/>
                <w:kern w:val="0"/>
                <w:szCs w:val="21"/>
              </w:rPr>
            </w:pPr>
            <w:r>
              <w:rPr>
                <w:rFonts w:eastAsia="仿宋_GB2312"/>
                <w:kern w:val="0"/>
                <w:szCs w:val="21"/>
              </w:rPr>
              <w:t>油/水、烃/水混合物或乳化液</w:t>
            </w:r>
          </w:p>
        </w:tc>
        <w:tc>
          <w:tcPr>
            <w:tcW w:w="347" w:type="pct"/>
            <w:tcBorders>
              <w:tl2br w:val="nil"/>
              <w:tr2bl w:val="nil"/>
            </w:tcBorders>
            <w:vAlign w:val="center"/>
          </w:tcPr>
          <w:p w14:paraId="393C5496">
            <w:pPr>
              <w:widowControl/>
              <w:jc w:val="center"/>
              <w:rPr>
                <w:rFonts w:eastAsia="仿宋_GB2312"/>
                <w:kern w:val="0"/>
                <w:szCs w:val="21"/>
              </w:rPr>
            </w:pPr>
            <w:r>
              <w:rPr>
                <w:rFonts w:eastAsia="仿宋_GB2312"/>
                <w:kern w:val="0"/>
                <w:szCs w:val="21"/>
              </w:rPr>
              <w:t>HW09</w:t>
            </w:r>
          </w:p>
        </w:tc>
        <w:tc>
          <w:tcPr>
            <w:tcW w:w="2078" w:type="pct"/>
            <w:tcBorders>
              <w:tl2br w:val="nil"/>
              <w:tr2bl w:val="nil"/>
            </w:tcBorders>
            <w:vAlign w:val="center"/>
          </w:tcPr>
          <w:p w14:paraId="5A85DCC0">
            <w:pPr>
              <w:widowControl/>
              <w:jc w:val="center"/>
              <w:rPr>
                <w:rFonts w:eastAsia="仿宋_GB2312"/>
                <w:kern w:val="0"/>
                <w:szCs w:val="21"/>
              </w:rPr>
            </w:pPr>
            <w:r>
              <w:rPr>
                <w:rFonts w:eastAsia="仿宋_GB2312"/>
                <w:kern w:val="0"/>
                <w:szCs w:val="21"/>
              </w:rPr>
              <w:t>900-005-09，900-006-09，900-007-09</w:t>
            </w:r>
          </w:p>
        </w:tc>
        <w:tc>
          <w:tcPr>
            <w:tcW w:w="382" w:type="pct"/>
            <w:tcBorders>
              <w:tl2br w:val="nil"/>
              <w:tr2bl w:val="nil"/>
            </w:tcBorders>
            <w:vAlign w:val="center"/>
          </w:tcPr>
          <w:p w14:paraId="5C729EEB">
            <w:pPr>
              <w:widowControl/>
              <w:jc w:val="center"/>
              <w:rPr>
                <w:rFonts w:eastAsia="仿宋_GB2312"/>
                <w:kern w:val="0"/>
                <w:szCs w:val="21"/>
              </w:rPr>
            </w:pPr>
            <w:r>
              <w:rPr>
                <w:rFonts w:hint="eastAsia" w:eastAsia="仿宋_GB2312"/>
                <w:kern w:val="0"/>
                <w:szCs w:val="21"/>
              </w:rPr>
              <w:t>1</w:t>
            </w:r>
            <w:r>
              <w:rPr>
                <w:rFonts w:eastAsia="仿宋_GB2312"/>
                <w:kern w:val="0"/>
                <w:szCs w:val="21"/>
              </w:rPr>
              <w:t>000</w:t>
            </w:r>
          </w:p>
        </w:tc>
        <w:tc>
          <w:tcPr>
            <w:tcW w:w="414" w:type="pct"/>
            <w:tcBorders>
              <w:tl2br w:val="nil"/>
              <w:tr2bl w:val="nil"/>
            </w:tcBorders>
            <w:shd w:val="clear" w:color="auto" w:fill="auto"/>
            <w:vAlign w:val="center"/>
          </w:tcPr>
          <w:p w14:paraId="3447902A">
            <w:pPr>
              <w:widowControl/>
              <w:jc w:val="center"/>
              <w:rPr>
                <w:rFonts w:eastAsia="仿宋_GB2312"/>
                <w:kern w:val="0"/>
                <w:szCs w:val="21"/>
              </w:rPr>
            </w:pPr>
            <w:r>
              <w:rPr>
                <w:rFonts w:hint="eastAsia" w:eastAsia="仿宋_GB2312"/>
                <w:kern w:val="0"/>
                <w:szCs w:val="21"/>
              </w:rPr>
              <w:t>1</w:t>
            </w:r>
            <w:r>
              <w:rPr>
                <w:rFonts w:eastAsia="仿宋_GB2312"/>
                <w:kern w:val="0"/>
                <w:szCs w:val="21"/>
              </w:rPr>
              <w:t>000</w:t>
            </w:r>
          </w:p>
        </w:tc>
        <w:tc>
          <w:tcPr>
            <w:tcW w:w="554" w:type="pct"/>
            <w:tcBorders>
              <w:tl2br w:val="nil"/>
              <w:tr2bl w:val="nil"/>
            </w:tcBorders>
            <w:shd w:val="clear" w:color="auto" w:fill="auto"/>
            <w:vAlign w:val="center"/>
          </w:tcPr>
          <w:p w14:paraId="38725939">
            <w:pPr>
              <w:widowControl/>
              <w:jc w:val="center"/>
              <w:rPr>
                <w:rFonts w:eastAsia="仿宋_GB2312"/>
                <w:kern w:val="0"/>
                <w:szCs w:val="21"/>
              </w:rPr>
            </w:pPr>
            <w:r>
              <w:rPr>
                <w:rFonts w:hint="eastAsia" w:eastAsia="仿宋_GB2312"/>
                <w:kern w:val="0"/>
                <w:szCs w:val="21"/>
              </w:rPr>
              <w:t>/</w:t>
            </w:r>
          </w:p>
        </w:tc>
      </w:tr>
      <w:tr w14:paraId="15FA8E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3649" w:type="pct"/>
            <w:gridSpan w:val="5"/>
            <w:tcBorders>
              <w:tl2br w:val="nil"/>
              <w:tr2bl w:val="nil"/>
            </w:tcBorders>
            <w:vAlign w:val="center"/>
          </w:tcPr>
          <w:p w14:paraId="447B132D">
            <w:pPr>
              <w:widowControl/>
              <w:jc w:val="center"/>
              <w:rPr>
                <w:rFonts w:eastAsia="仿宋_GB2312"/>
                <w:b/>
                <w:bCs/>
                <w:kern w:val="0"/>
                <w:szCs w:val="21"/>
              </w:rPr>
            </w:pPr>
            <w:r>
              <w:rPr>
                <w:rFonts w:eastAsia="仿宋_GB2312"/>
                <w:b/>
                <w:bCs/>
                <w:kern w:val="0"/>
                <w:szCs w:val="21"/>
              </w:rPr>
              <w:t>总计</w:t>
            </w:r>
          </w:p>
        </w:tc>
        <w:tc>
          <w:tcPr>
            <w:tcW w:w="382" w:type="pct"/>
            <w:tcBorders>
              <w:tl2br w:val="nil"/>
              <w:tr2bl w:val="nil"/>
            </w:tcBorders>
            <w:vAlign w:val="center"/>
          </w:tcPr>
          <w:p w14:paraId="409B81A9">
            <w:pPr>
              <w:widowControl/>
              <w:jc w:val="center"/>
              <w:rPr>
                <w:rFonts w:eastAsia="仿宋_GB2312"/>
                <w:b/>
                <w:bCs/>
                <w:kern w:val="0"/>
                <w:szCs w:val="21"/>
              </w:rPr>
            </w:pPr>
            <w:r>
              <w:rPr>
                <w:rFonts w:hint="eastAsia" w:eastAsia="仿宋_GB2312"/>
                <w:b/>
                <w:bCs/>
                <w:kern w:val="0"/>
                <w:szCs w:val="21"/>
              </w:rPr>
              <w:t>10000</w:t>
            </w:r>
          </w:p>
        </w:tc>
        <w:tc>
          <w:tcPr>
            <w:tcW w:w="414" w:type="pct"/>
            <w:tcBorders>
              <w:tl2br w:val="nil"/>
              <w:tr2bl w:val="nil"/>
            </w:tcBorders>
            <w:vAlign w:val="center"/>
          </w:tcPr>
          <w:p w14:paraId="28CA01D8">
            <w:pPr>
              <w:widowControl/>
              <w:jc w:val="center"/>
              <w:rPr>
                <w:rFonts w:eastAsia="仿宋_GB2312"/>
                <w:b/>
                <w:bCs/>
                <w:kern w:val="0"/>
                <w:szCs w:val="21"/>
              </w:rPr>
            </w:pPr>
            <w:r>
              <w:rPr>
                <w:rFonts w:hint="eastAsia" w:eastAsia="仿宋_GB2312"/>
                <w:b/>
                <w:bCs/>
                <w:kern w:val="0"/>
                <w:szCs w:val="21"/>
              </w:rPr>
              <w:t>20000</w:t>
            </w:r>
          </w:p>
        </w:tc>
        <w:tc>
          <w:tcPr>
            <w:tcW w:w="554" w:type="pct"/>
            <w:tcBorders>
              <w:tl2br w:val="nil"/>
              <w:tr2bl w:val="nil"/>
            </w:tcBorders>
            <w:vAlign w:val="center"/>
          </w:tcPr>
          <w:p w14:paraId="68B57FF3">
            <w:pPr>
              <w:widowControl/>
              <w:jc w:val="center"/>
              <w:rPr>
                <w:rFonts w:hint="default" w:eastAsia="仿宋_GB2312"/>
                <w:b/>
                <w:bCs/>
                <w:kern w:val="0"/>
                <w:szCs w:val="21"/>
                <w:lang w:val="en-US" w:eastAsia="zh-CN"/>
              </w:rPr>
            </w:pPr>
            <w:r>
              <w:rPr>
                <w:rFonts w:hint="eastAsia" w:eastAsia="仿宋_GB2312"/>
                <w:b/>
                <w:bCs/>
                <w:kern w:val="0"/>
                <w:szCs w:val="21"/>
                <w:lang w:val="en-US" w:eastAsia="zh-CN"/>
              </w:rPr>
              <w:t>+10000</w:t>
            </w:r>
          </w:p>
        </w:tc>
      </w:tr>
    </w:tbl>
    <w:p w14:paraId="482F3810">
      <w:pPr>
        <w:rPr>
          <w:rFonts w:eastAsia="仿宋_GB2312"/>
          <w:color w:val="FF0000"/>
          <w:sz w:val="28"/>
          <w:szCs w:val="28"/>
        </w:rPr>
      </w:pPr>
      <w:r>
        <w:rPr>
          <w:rFonts w:hint="eastAsia" w:eastAsia="仿宋_GB2312"/>
          <w:color w:val="FF0000"/>
          <w:sz w:val="28"/>
          <w:szCs w:val="28"/>
        </w:rPr>
        <w:br w:type="page"/>
      </w:r>
    </w:p>
    <w:p w14:paraId="0A937F11">
      <w:pPr>
        <w:spacing w:line="500" w:lineRule="exact"/>
        <w:ind w:firstLine="560" w:firstLineChars="200"/>
        <w:rPr>
          <w:rFonts w:hint="eastAsia"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本项目建成后全厂溶剂回收处置方案（按代码统计）汇总见表3.2-4。</w:t>
      </w:r>
    </w:p>
    <w:p w14:paraId="7D0F1FA0">
      <w:pPr>
        <w:pStyle w:val="162"/>
        <w:spacing w:line="480" w:lineRule="exact"/>
        <w:ind w:firstLine="0" w:firstLineChars="0"/>
        <w:rPr>
          <w:rFonts w:hint="eastAsia" w:ascii="Times New Roman" w:hAnsi="Times New Roman" w:eastAsia="仿宋_GB2312" w:cs="Times New Roman"/>
          <w:color w:val="auto"/>
          <w:lang w:eastAsia="zh-CN"/>
        </w:rPr>
      </w:pPr>
      <w:r>
        <w:rPr>
          <w:rFonts w:hint="eastAsia" w:ascii="Times New Roman" w:hAnsi="Times New Roman" w:cs="Times New Roman"/>
          <w:color w:val="auto"/>
        </w:rPr>
        <w:t>表3</w:t>
      </w:r>
      <w:r>
        <w:rPr>
          <w:rFonts w:hint="eastAsia" w:ascii="Times New Roman" w:hAnsi="Times New Roman" w:cs="Times New Roman"/>
          <w:color w:val="auto"/>
          <w:lang w:val="en-US" w:eastAsia="zh-CN"/>
        </w:rPr>
        <w:t>.2-4</w:t>
      </w:r>
      <w:r>
        <w:rPr>
          <w:rFonts w:hint="eastAsia" w:ascii="Times New Roman" w:hAnsi="Times New Roman" w:cs="Times New Roman"/>
          <w:color w:val="auto"/>
        </w:rPr>
        <w:t xml:space="preserve">  本项目建成后全厂废液回收处置方案表</w:t>
      </w:r>
      <w:r>
        <w:rPr>
          <w:rFonts w:hint="eastAsia" w:ascii="Times New Roman" w:hAnsi="Times New Roman" w:cs="Times New Roman"/>
          <w:color w:val="auto"/>
          <w:lang w:eastAsia="zh-CN"/>
        </w:rPr>
        <w:t>（</w:t>
      </w:r>
      <w:r>
        <w:rPr>
          <w:rFonts w:hint="eastAsia" w:ascii="Times New Roman" w:hAnsi="Times New Roman" w:cs="Times New Roman"/>
          <w:color w:val="auto"/>
          <w:lang w:val="en-US" w:eastAsia="zh-CN"/>
        </w:rPr>
        <w:t>按代码统计</w:t>
      </w:r>
      <w:r>
        <w:rPr>
          <w:rFonts w:hint="eastAsia" w:ascii="Times New Roman" w:hAnsi="Times New Roman" w:cs="Times New Roman"/>
          <w:color w:val="auto"/>
          <w:lang w:eastAsia="zh-CN"/>
        </w:rPr>
        <w:t>）</w:t>
      </w:r>
    </w:p>
    <w:tbl>
      <w:tblPr>
        <w:tblStyle w:val="88"/>
        <w:tblW w:w="4995"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822"/>
        <w:gridCol w:w="1056"/>
        <w:gridCol w:w="784"/>
        <w:gridCol w:w="3576"/>
        <w:gridCol w:w="5700"/>
        <w:gridCol w:w="1505"/>
      </w:tblGrid>
      <w:tr w14:paraId="75D02E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06" w:type="pct"/>
            <w:tcBorders>
              <w:tl2br w:val="nil"/>
              <w:tr2bl w:val="nil"/>
            </w:tcBorders>
            <w:noWrap/>
            <w:vAlign w:val="center"/>
          </w:tcPr>
          <w:p w14:paraId="11B4A275">
            <w:pPr>
              <w:spacing w:before="46" w:beforeLines="15" w:after="46" w:afterLines="15"/>
              <w:jc w:val="center"/>
              <w:rPr>
                <w:rFonts w:hint="eastAsia" w:ascii="Times New Roman" w:hAnsi="Times New Roman" w:eastAsia="仿宋" w:cs="Times New Roman"/>
                <w:b/>
                <w:bCs w:val="0"/>
                <w:color w:val="auto"/>
                <w:sz w:val="21"/>
                <w:szCs w:val="21"/>
                <w:lang w:val="en-US" w:eastAsia="zh-CN"/>
              </w:rPr>
            </w:pPr>
            <w:r>
              <w:rPr>
                <w:rFonts w:hint="eastAsia" w:ascii="Times New Roman" w:hAnsi="Times New Roman" w:eastAsia="仿宋" w:cs="Times New Roman"/>
                <w:b/>
                <w:bCs w:val="0"/>
                <w:color w:val="auto"/>
                <w:sz w:val="21"/>
                <w:szCs w:val="21"/>
                <w:lang w:val="en-US" w:eastAsia="zh-CN"/>
              </w:rPr>
              <w:t>序号</w:t>
            </w:r>
          </w:p>
        </w:tc>
        <w:tc>
          <w:tcPr>
            <w:tcW w:w="392" w:type="pct"/>
            <w:tcBorders>
              <w:tl2br w:val="nil"/>
              <w:tr2bl w:val="nil"/>
            </w:tcBorders>
            <w:noWrap/>
            <w:vAlign w:val="center"/>
          </w:tcPr>
          <w:p w14:paraId="1E594123">
            <w:pPr>
              <w:spacing w:before="46" w:beforeLines="15" w:after="46" w:afterLines="15"/>
              <w:jc w:val="center"/>
              <w:rPr>
                <w:rFonts w:hint="eastAsia" w:ascii="Times New Roman" w:hAnsi="Times New Roman" w:eastAsia="仿宋" w:cs="Times New Roman"/>
                <w:b/>
                <w:bCs w:val="0"/>
                <w:color w:val="auto"/>
                <w:sz w:val="21"/>
                <w:szCs w:val="21"/>
                <w:lang w:val="en-US" w:eastAsia="zh-CN"/>
              </w:rPr>
            </w:pPr>
            <w:r>
              <w:rPr>
                <w:rFonts w:hint="eastAsia" w:ascii="Times New Roman" w:hAnsi="Times New Roman" w:eastAsia="仿宋" w:cs="Times New Roman"/>
                <w:b/>
                <w:bCs w:val="0"/>
                <w:color w:val="auto"/>
                <w:sz w:val="21"/>
                <w:szCs w:val="21"/>
                <w:lang w:val="en-US" w:eastAsia="zh-CN"/>
              </w:rPr>
              <w:t>类别</w:t>
            </w:r>
          </w:p>
        </w:tc>
        <w:tc>
          <w:tcPr>
            <w:tcW w:w="1622" w:type="pct"/>
            <w:gridSpan w:val="2"/>
            <w:tcBorders>
              <w:tl2br w:val="nil"/>
              <w:tr2bl w:val="nil"/>
            </w:tcBorders>
            <w:noWrap/>
            <w:vAlign w:val="center"/>
          </w:tcPr>
          <w:p w14:paraId="2E454A2D">
            <w:pPr>
              <w:spacing w:before="46" w:beforeLines="15" w:after="46" w:afterLines="15"/>
              <w:jc w:val="center"/>
              <w:rPr>
                <w:rFonts w:hint="eastAsia" w:ascii="Times New Roman" w:hAnsi="Times New Roman" w:eastAsia="仿宋" w:cs="Times New Roman"/>
                <w:b/>
                <w:bCs w:val="0"/>
                <w:color w:val="auto"/>
                <w:sz w:val="21"/>
                <w:szCs w:val="21"/>
                <w:lang w:val="en-US" w:eastAsia="zh-CN"/>
              </w:rPr>
            </w:pPr>
            <w:r>
              <w:rPr>
                <w:rFonts w:hint="eastAsia" w:ascii="Times New Roman" w:hAnsi="Times New Roman" w:eastAsia="仿宋" w:cs="Times New Roman"/>
                <w:b/>
                <w:bCs w:val="0"/>
                <w:color w:val="auto"/>
                <w:sz w:val="21"/>
                <w:szCs w:val="21"/>
                <w:lang w:val="en-US" w:eastAsia="zh-CN"/>
              </w:rPr>
              <w:t>代码</w:t>
            </w:r>
          </w:p>
        </w:tc>
        <w:tc>
          <w:tcPr>
            <w:tcW w:w="2118" w:type="pct"/>
            <w:tcBorders>
              <w:tl2br w:val="nil"/>
              <w:tr2bl w:val="nil"/>
            </w:tcBorders>
            <w:noWrap w:val="0"/>
            <w:vAlign w:val="center"/>
          </w:tcPr>
          <w:p w14:paraId="3C687FF6">
            <w:pPr>
              <w:spacing w:before="46" w:beforeLines="15" w:after="46" w:afterLines="15"/>
              <w:jc w:val="center"/>
              <w:rPr>
                <w:rFonts w:hint="eastAsia" w:ascii="Times New Roman" w:hAnsi="Times New Roman" w:eastAsia="仿宋" w:cs="Times New Roman"/>
                <w:b/>
                <w:bCs w:val="0"/>
                <w:color w:val="auto"/>
                <w:sz w:val="21"/>
                <w:szCs w:val="21"/>
                <w:lang w:val="en-US" w:eastAsia="zh-CN"/>
              </w:rPr>
            </w:pPr>
            <w:r>
              <w:rPr>
                <w:rFonts w:hint="eastAsia" w:ascii="Times New Roman" w:hAnsi="Times New Roman" w:eastAsia="仿宋" w:cs="Times New Roman"/>
                <w:b/>
                <w:bCs w:val="0"/>
                <w:color w:val="auto"/>
                <w:sz w:val="21"/>
                <w:szCs w:val="21"/>
                <w:lang w:val="en-US" w:eastAsia="zh-CN"/>
              </w:rPr>
              <w:t>名称</w:t>
            </w:r>
          </w:p>
        </w:tc>
        <w:tc>
          <w:tcPr>
            <w:tcW w:w="559" w:type="pct"/>
            <w:tcBorders>
              <w:tl2br w:val="nil"/>
              <w:tr2bl w:val="nil"/>
            </w:tcBorders>
            <w:noWrap/>
            <w:vAlign w:val="center"/>
          </w:tcPr>
          <w:p w14:paraId="320F6360">
            <w:pPr>
              <w:spacing w:before="46" w:beforeLines="15" w:after="46" w:afterLines="15"/>
              <w:jc w:val="center"/>
              <w:rPr>
                <w:rFonts w:hint="eastAsia" w:ascii="Times New Roman" w:hAnsi="Times New Roman" w:eastAsia="仿宋" w:cs="Times New Roman"/>
                <w:b/>
                <w:bCs w:val="0"/>
                <w:color w:val="auto"/>
                <w:sz w:val="21"/>
                <w:szCs w:val="21"/>
                <w:lang w:val="en-US" w:eastAsia="zh-CN"/>
              </w:rPr>
            </w:pPr>
            <w:r>
              <w:rPr>
                <w:rFonts w:hint="eastAsia" w:ascii="Times New Roman" w:hAnsi="Times New Roman" w:eastAsia="仿宋" w:cs="Times New Roman"/>
                <w:b/>
                <w:bCs w:val="0"/>
                <w:color w:val="auto"/>
                <w:sz w:val="21"/>
                <w:szCs w:val="21"/>
                <w:lang w:val="en-US" w:eastAsia="zh-CN"/>
              </w:rPr>
              <w:t>处置量（t/a）</w:t>
            </w:r>
          </w:p>
        </w:tc>
      </w:tr>
      <w:tr w14:paraId="49447C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06" w:type="pct"/>
            <w:tcBorders>
              <w:tl2br w:val="nil"/>
              <w:tr2bl w:val="nil"/>
            </w:tcBorders>
            <w:noWrap/>
            <w:vAlign w:val="center"/>
          </w:tcPr>
          <w:p w14:paraId="5F9C75A5">
            <w:pPr>
              <w:spacing w:before="46" w:beforeLines="15" w:after="46" w:afterLines="15"/>
              <w:jc w:val="center"/>
              <w:rPr>
                <w:rFonts w:hint="default" w:ascii="Times New Roman" w:hAnsi="Times New Roman" w:eastAsia="仿宋" w:cs="Times New Roman"/>
                <w:bCs/>
                <w:color w:val="auto"/>
                <w:sz w:val="21"/>
                <w:szCs w:val="21"/>
                <w:lang w:val="en-US" w:eastAsia="zh-CN"/>
              </w:rPr>
            </w:pPr>
            <w:r>
              <w:rPr>
                <w:rFonts w:hint="eastAsia" w:ascii="Times New Roman" w:hAnsi="Times New Roman" w:eastAsia="仿宋" w:cs="Times New Roman"/>
                <w:bCs/>
                <w:color w:val="auto"/>
                <w:sz w:val="21"/>
                <w:szCs w:val="21"/>
                <w:lang w:val="en-US" w:eastAsia="zh-CN"/>
              </w:rPr>
              <w:t>1</w:t>
            </w:r>
          </w:p>
        </w:tc>
        <w:tc>
          <w:tcPr>
            <w:tcW w:w="392" w:type="pct"/>
            <w:vMerge w:val="restart"/>
            <w:tcBorders>
              <w:tl2br w:val="nil"/>
              <w:tr2bl w:val="nil"/>
            </w:tcBorders>
            <w:noWrap/>
            <w:vAlign w:val="center"/>
          </w:tcPr>
          <w:p w14:paraId="2C1486FD">
            <w:pPr>
              <w:spacing w:before="46" w:beforeLines="15" w:after="46" w:afterLines="15"/>
              <w:jc w:val="center"/>
              <w:rPr>
                <w:rFonts w:hint="eastAsia" w:ascii="Times New Roman" w:hAnsi="Times New Roman" w:eastAsia="仿宋" w:cs="Times New Roman"/>
                <w:bCs/>
                <w:color w:val="auto"/>
                <w:sz w:val="21"/>
                <w:szCs w:val="21"/>
                <w:lang w:val="en-US" w:eastAsia="zh-CN"/>
              </w:rPr>
            </w:pPr>
            <w:r>
              <w:rPr>
                <w:rFonts w:hint="eastAsia" w:ascii="Times New Roman" w:hAnsi="Times New Roman" w:eastAsia="仿宋" w:cs="Times New Roman"/>
                <w:bCs/>
                <w:color w:val="auto"/>
                <w:sz w:val="21"/>
                <w:szCs w:val="21"/>
                <w:lang w:val="en-US" w:eastAsia="zh-CN"/>
              </w:rPr>
              <w:t>回收利用</w:t>
            </w:r>
          </w:p>
        </w:tc>
        <w:tc>
          <w:tcPr>
            <w:tcW w:w="292" w:type="pct"/>
            <w:tcBorders>
              <w:tl2br w:val="nil"/>
              <w:tr2bl w:val="nil"/>
            </w:tcBorders>
            <w:noWrap/>
            <w:vAlign w:val="center"/>
          </w:tcPr>
          <w:p w14:paraId="711AC0CD">
            <w:pPr>
              <w:spacing w:before="46" w:beforeLines="15" w:after="46" w:afterLines="15"/>
              <w:jc w:val="center"/>
              <w:rPr>
                <w:rFonts w:hint="eastAsia" w:ascii="Times New Roman" w:hAnsi="Times New Roman" w:eastAsia="仿宋" w:cs="Times New Roman"/>
                <w:bCs/>
                <w:color w:val="auto"/>
                <w:sz w:val="21"/>
                <w:szCs w:val="21"/>
              </w:rPr>
            </w:pPr>
            <w:r>
              <w:rPr>
                <w:rFonts w:hint="eastAsia" w:ascii="Times New Roman" w:hAnsi="Times New Roman" w:eastAsia="仿宋" w:cs="Times New Roman"/>
                <w:bCs/>
                <w:color w:val="auto"/>
                <w:sz w:val="21"/>
                <w:szCs w:val="21"/>
                <w:lang w:val="en-US" w:eastAsia="zh-CN"/>
              </w:rPr>
              <w:t>HW02</w:t>
            </w:r>
          </w:p>
        </w:tc>
        <w:tc>
          <w:tcPr>
            <w:tcW w:w="1330" w:type="pct"/>
            <w:tcBorders>
              <w:tl2br w:val="nil"/>
              <w:tr2bl w:val="nil"/>
            </w:tcBorders>
            <w:noWrap w:val="0"/>
            <w:vAlign w:val="center"/>
          </w:tcPr>
          <w:p w14:paraId="03E6B2F9">
            <w:pPr>
              <w:spacing w:before="46" w:beforeLines="15" w:after="46" w:afterLines="15"/>
              <w:jc w:val="center"/>
              <w:rPr>
                <w:rFonts w:hint="eastAsia" w:ascii="Times New Roman" w:hAnsi="Times New Roman" w:eastAsia="仿宋" w:cs="Times New Roman"/>
                <w:bCs/>
                <w:color w:val="auto"/>
                <w:sz w:val="21"/>
                <w:szCs w:val="21"/>
              </w:rPr>
            </w:pPr>
            <w:r>
              <w:rPr>
                <w:rFonts w:hint="eastAsia" w:ascii="Times New Roman" w:hAnsi="Times New Roman" w:eastAsia="仿宋" w:cs="Times New Roman"/>
                <w:bCs/>
                <w:color w:val="auto"/>
                <w:sz w:val="21"/>
                <w:szCs w:val="21"/>
                <w:lang w:val="en-US" w:eastAsia="zh-CN"/>
              </w:rPr>
              <w:t>271-001-02，271-002-02，272-001-02，272-005-02，275-00</w:t>
            </w:r>
            <w:r>
              <w:rPr>
                <w:rFonts w:hint="eastAsia" w:eastAsia="仿宋" w:cs="Times New Roman"/>
                <w:bCs/>
                <w:color w:val="auto"/>
                <w:sz w:val="21"/>
                <w:szCs w:val="21"/>
                <w:lang w:val="en-US" w:eastAsia="zh-CN"/>
              </w:rPr>
              <w:t>4</w:t>
            </w:r>
            <w:r>
              <w:rPr>
                <w:rFonts w:hint="eastAsia" w:ascii="Times New Roman" w:hAnsi="Times New Roman" w:eastAsia="仿宋" w:cs="Times New Roman"/>
                <w:bCs/>
                <w:color w:val="auto"/>
                <w:sz w:val="21"/>
                <w:szCs w:val="21"/>
                <w:lang w:val="en-US" w:eastAsia="zh-CN"/>
              </w:rPr>
              <w:t>-02，275-00</w:t>
            </w:r>
            <w:r>
              <w:rPr>
                <w:rFonts w:hint="eastAsia" w:eastAsia="仿宋" w:cs="Times New Roman"/>
                <w:bCs/>
                <w:color w:val="auto"/>
                <w:sz w:val="21"/>
                <w:szCs w:val="21"/>
                <w:lang w:val="en-US" w:eastAsia="zh-CN"/>
              </w:rPr>
              <w:t>6</w:t>
            </w:r>
            <w:r>
              <w:rPr>
                <w:rFonts w:hint="eastAsia" w:ascii="Times New Roman" w:hAnsi="Times New Roman" w:eastAsia="仿宋" w:cs="Times New Roman"/>
                <w:bCs/>
                <w:color w:val="auto"/>
                <w:sz w:val="21"/>
                <w:szCs w:val="21"/>
                <w:lang w:val="en-US" w:eastAsia="zh-CN"/>
              </w:rPr>
              <w:t>-02，276-001-02，276-002-02，276-00</w:t>
            </w:r>
            <w:r>
              <w:rPr>
                <w:rFonts w:hint="eastAsia" w:eastAsia="仿宋" w:cs="Times New Roman"/>
                <w:bCs/>
                <w:color w:val="auto"/>
                <w:sz w:val="21"/>
                <w:szCs w:val="21"/>
                <w:lang w:val="en-US" w:eastAsia="zh-CN"/>
              </w:rPr>
              <w:t>5</w:t>
            </w:r>
            <w:r>
              <w:rPr>
                <w:rFonts w:hint="eastAsia" w:ascii="Times New Roman" w:hAnsi="Times New Roman" w:eastAsia="仿宋" w:cs="Times New Roman"/>
                <w:bCs/>
                <w:color w:val="auto"/>
                <w:sz w:val="21"/>
                <w:szCs w:val="21"/>
                <w:lang w:val="en-US" w:eastAsia="zh-CN"/>
              </w:rPr>
              <w:t>-02</w:t>
            </w:r>
          </w:p>
        </w:tc>
        <w:tc>
          <w:tcPr>
            <w:tcW w:w="2118" w:type="pct"/>
            <w:tcBorders>
              <w:tl2br w:val="nil"/>
              <w:tr2bl w:val="nil"/>
            </w:tcBorders>
            <w:noWrap w:val="0"/>
            <w:vAlign w:val="center"/>
          </w:tcPr>
          <w:p w14:paraId="6AE0A023">
            <w:pPr>
              <w:spacing w:before="46" w:beforeLines="15" w:after="46" w:afterLines="15"/>
              <w:jc w:val="center"/>
              <w:rPr>
                <w:rFonts w:hint="default" w:ascii="Times New Roman" w:hAnsi="Times New Roman" w:eastAsia="仿宋" w:cs="Times New Roman"/>
                <w:bCs/>
                <w:color w:val="auto"/>
                <w:sz w:val="21"/>
                <w:szCs w:val="21"/>
                <w:lang w:val="en-US"/>
              </w:rPr>
            </w:pPr>
            <w:r>
              <w:rPr>
                <w:rFonts w:hint="eastAsia" w:ascii="Times New Roman" w:hAnsi="Times New Roman" w:eastAsia="仿宋" w:cs="Times New Roman"/>
                <w:bCs/>
                <w:color w:val="auto"/>
                <w:sz w:val="21"/>
                <w:szCs w:val="21"/>
                <w:lang w:val="en-US" w:eastAsia="zh-CN"/>
              </w:rPr>
              <w:t>二氯甲烷、二氯乙烷、丁酮废液、甲苯废液、二甲苯废液、乙酸乙酯废液、乙酸丁酯废液、正庚烷废液、乙酸甲酯废液、异丙醇废液、乙醇废液、甲醇废液、乙腈废液、四氢呋喃废液、丙二醇单甲醚废液、DMF废液、多元醇废液、二甲基亚砜废液</w:t>
            </w:r>
            <w:r>
              <w:rPr>
                <w:rFonts w:hint="eastAsia" w:eastAsia="仿宋" w:cs="Times New Roman"/>
                <w:bCs/>
                <w:color w:val="auto"/>
                <w:sz w:val="21"/>
                <w:szCs w:val="21"/>
                <w:lang w:val="en-US" w:eastAsia="zh-CN"/>
              </w:rPr>
              <w:t>、丙二醇单甲醚醋酸酯废液、2-甲基四氢呋喃、甲基叔丁基醚、精馏残液（含乙酸乙烯酯）</w:t>
            </w:r>
          </w:p>
        </w:tc>
        <w:tc>
          <w:tcPr>
            <w:tcW w:w="559" w:type="pct"/>
            <w:tcBorders>
              <w:tl2br w:val="nil"/>
              <w:tr2bl w:val="nil"/>
            </w:tcBorders>
            <w:noWrap/>
            <w:vAlign w:val="center"/>
          </w:tcPr>
          <w:p w14:paraId="263C462A">
            <w:pPr>
              <w:spacing w:before="46" w:beforeLines="15" w:after="46" w:afterLines="15"/>
              <w:jc w:val="center"/>
              <w:rPr>
                <w:rFonts w:hint="default" w:ascii="Times New Roman" w:hAnsi="Times New Roman" w:eastAsia="仿宋" w:cs="Times New Roman"/>
                <w:bCs/>
                <w:color w:val="auto"/>
                <w:sz w:val="21"/>
                <w:szCs w:val="21"/>
                <w:lang w:val="en-US"/>
              </w:rPr>
            </w:pPr>
            <w:r>
              <w:rPr>
                <w:rFonts w:hint="eastAsia" w:eastAsia="仿宋" w:cs="Times New Roman"/>
                <w:bCs/>
                <w:color w:val="auto"/>
                <w:sz w:val="21"/>
                <w:szCs w:val="21"/>
                <w:lang w:val="en-US" w:eastAsia="zh-CN"/>
              </w:rPr>
              <w:t>111000</w:t>
            </w:r>
          </w:p>
        </w:tc>
      </w:tr>
      <w:tr w14:paraId="00E554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06" w:type="pct"/>
            <w:tcBorders>
              <w:tl2br w:val="nil"/>
              <w:tr2bl w:val="nil"/>
            </w:tcBorders>
            <w:noWrap/>
            <w:vAlign w:val="center"/>
          </w:tcPr>
          <w:p w14:paraId="6D6C47C6">
            <w:pPr>
              <w:spacing w:before="46" w:beforeLines="15" w:after="46" w:afterLines="15"/>
              <w:jc w:val="center"/>
              <w:rPr>
                <w:rFonts w:hint="default" w:ascii="Times New Roman" w:hAnsi="Times New Roman" w:eastAsia="仿宋" w:cs="Times New Roman"/>
                <w:bCs/>
                <w:color w:val="auto"/>
                <w:sz w:val="21"/>
                <w:szCs w:val="21"/>
                <w:lang w:val="en-US" w:eastAsia="zh-CN"/>
              </w:rPr>
            </w:pPr>
            <w:r>
              <w:rPr>
                <w:rFonts w:hint="eastAsia" w:eastAsia="仿宋" w:cs="Times New Roman"/>
                <w:bCs/>
                <w:color w:val="auto"/>
                <w:sz w:val="21"/>
                <w:szCs w:val="21"/>
                <w:lang w:val="en-US" w:eastAsia="zh-CN"/>
              </w:rPr>
              <w:t>2</w:t>
            </w:r>
          </w:p>
        </w:tc>
        <w:tc>
          <w:tcPr>
            <w:tcW w:w="392" w:type="pct"/>
            <w:vMerge w:val="continue"/>
            <w:tcBorders>
              <w:tl2br w:val="nil"/>
              <w:tr2bl w:val="nil"/>
            </w:tcBorders>
            <w:noWrap/>
            <w:vAlign w:val="center"/>
          </w:tcPr>
          <w:p w14:paraId="75345897">
            <w:pPr>
              <w:spacing w:before="46" w:beforeLines="15" w:after="46" w:afterLines="15"/>
              <w:jc w:val="center"/>
              <w:rPr>
                <w:rFonts w:hint="eastAsia" w:ascii="Times New Roman" w:hAnsi="Times New Roman" w:eastAsia="仿宋" w:cs="Times New Roman"/>
                <w:bCs/>
                <w:color w:val="auto"/>
                <w:sz w:val="21"/>
                <w:szCs w:val="21"/>
                <w:lang w:val="en-US" w:eastAsia="zh-CN"/>
              </w:rPr>
            </w:pPr>
          </w:p>
        </w:tc>
        <w:tc>
          <w:tcPr>
            <w:tcW w:w="292" w:type="pct"/>
            <w:tcBorders>
              <w:tl2br w:val="nil"/>
              <w:tr2bl w:val="nil"/>
            </w:tcBorders>
            <w:noWrap/>
            <w:vAlign w:val="center"/>
          </w:tcPr>
          <w:p w14:paraId="74EF0471">
            <w:pPr>
              <w:spacing w:before="46" w:beforeLines="15" w:after="46" w:afterLines="15"/>
              <w:jc w:val="center"/>
              <w:rPr>
                <w:rFonts w:hint="default" w:ascii="Times New Roman" w:hAnsi="Times New Roman" w:eastAsia="仿宋" w:cs="Times New Roman"/>
                <w:bCs/>
                <w:color w:val="auto"/>
                <w:sz w:val="21"/>
                <w:szCs w:val="21"/>
                <w:lang w:val="en-US" w:eastAsia="zh-CN"/>
              </w:rPr>
            </w:pPr>
            <w:r>
              <w:rPr>
                <w:rFonts w:hint="eastAsia" w:eastAsia="仿宋" w:cs="Times New Roman"/>
                <w:bCs/>
                <w:color w:val="auto"/>
                <w:sz w:val="21"/>
                <w:szCs w:val="21"/>
                <w:lang w:val="en-US" w:eastAsia="zh-CN"/>
              </w:rPr>
              <w:t>HW04</w:t>
            </w:r>
          </w:p>
        </w:tc>
        <w:tc>
          <w:tcPr>
            <w:tcW w:w="1330" w:type="pct"/>
            <w:tcBorders>
              <w:tl2br w:val="nil"/>
              <w:tr2bl w:val="nil"/>
            </w:tcBorders>
            <w:noWrap w:val="0"/>
            <w:vAlign w:val="center"/>
          </w:tcPr>
          <w:p w14:paraId="086F2996">
            <w:pPr>
              <w:spacing w:before="46" w:beforeLines="15" w:after="46" w:afterLines="15"/>
              <w:jc w:val="center"/>
              <w:rPr>
                <w:rFonts w:hint="eastAsia" w:ascii="Times New Roman" w:hAnsi="Times New Roman" w:eastAsia="仿宋" w:cs="Times New Roman"/>
                <w:bCs/>
                <w:color w:val="auto"/>
                <w:sz w:val="21"/>
                <w:szCs w:val="21"/>
                <w:lang w:val="en-US" w:eastAsia="zh-CN"/>
              </w:rPr>
            </w:pPr>
            <w:r>
              <w:rPr>
                <w:rFonts w:hint="eastAsia" w:ascii="Times New Roman" w:hAnsi="Times New Roman" w:eastAsia="仿宋" w:cs="Times New Roman"/>
                <w:bCs/>
                <w:color w:val="auto"/>
                <w:sz w:val="21"/>
                <w:szCs w:val="21"/>
                <w:lang w:val="en-US" w:eastAsia="zh-CN"/>
              </w:rPr>
              <w:t>263-008-04</w:t>
            </w:r>
          </w:p>
        </w:tc>
        <w:tc>
          <w:tcPr>
            <w:tcW w:w="2118" w:type="pct"/>
            <w:tcBorders>
              <w:tl2br w:val="nil"/>
              <w:tr2bl w:val="nil"/>
            </w:tcBorders>
            <w:noWrap w:val="0"/>
            <w:vAlign w:val="center"/>
          </w:tcPr>
          <w:p w14:paraId="0CD70F13">
            <w:pPr>
              <w:spacing w:before="46" w:beforeLines="15" w:after="46" w:afterLines="15"/>
              <w:jc w:val="center"/>
              <w:rPr>
                <w:rFonts w:hint="eastAsia" w:ascii="Times New Roman" w:hAnsi="Times New Roman" w:eastAsia="仿宋" w:cs="Times New Roman"/>
                <w:bCs/>
                <w:color w:val="auto"/>
                <w:sz w:val="21"/>
                <w:szCs w:val="21"/>
                <w:lang w:val="en-US" w:eastAsia="zh-CN"/>
              </w:rPr>
            </w:pPr>
            <w:r>
              <w:rPr>
                <w:rFonts w:hint="eastAsia" w:ascii="Times New Roman" w:hAnsi="Times New Roman" w:eastAsia="仿宋" w:cs="Times New Roman"/>
                <w:bCs/>
                <w:color w:val="auto"/>
                <w:sz w:val="21"/>
                <w:szCs w:val="21"/>
                <w:lang w:val="en-US" w:eastAsia="zh-CN"/>
              </w:rPr>
              <w:t>二氯甲烷、二氯乙烷、丁酮废液、甲苯废液、二甲苯废液、乙酸乙酯废液、乙酸丁酯废液、正庚烷废液、乙酸甲酯废液、异丙醇废液、乙醇废液、甲醇废液、乙腈废液、四氢呋喃废液、丙二醇单甲醚废液、DMF废液、多元醇废液、二甲基亚砜废液</w:t>
            </w:r>
            <w:r>
              <w:rPr>
                <w:rFonts w:hint="eastAsia" w:eastAsia="仿宋" w:cs="Times New Roman"/>
                <w:bCs/>
                <w:color w:val="auto"/>
                <w:sz w:val="21"/>
                <w:szCs w:val="21"/>
                <w:lang w:val="en-US" w:eastAsia="zh-CN"/>
              </w:rPr>
              <w:t>、</w:t>
            </w:r>
            <w:r>
              <w:rPr>
                <w:rFonts w:hint="eastAsia" w:ascii="Times New Roman" w:hAnsi="Times New Roman" w:eastAsia="仿宋" w:cs="Times New Roman"/>
                <w:bCs/>
                <w:color w:val="auto"/>
                <w:sz w:val="21"/>
                <w:szCs w:val="21"/>
                <w:lang w:val="en-US" w:eastAsia="zh-CN"/>
              </w:rPr>
              <w:t>丙二醇单甲醚醋酸酯、2-甲基四氢呋喃、甲基</w:t>
            </w:r>
            <w:r>
              <w:rPr>
                <w:rFonts w:hint="eastAsia" w:eastAsia="仿宋" w:cs="Times New Roman"/>
                <w:bCs/>
                <w:color w:val="auto"/>
                <w:sz w:val="21"/>
                <w:szCs w:val="21"/>
                <w:lang w:val="en-US" w:eastAsia="zh-CN"/>
              </w:rPr>
              <w:t>叔</w:t>
            </w:r>
            <w:r>
              <w:rPr>
                <w:rFonts w:hint="eastAsia" w:ascii="Times New Roman" w:hAnsi="Times New Roman" w:eastAsia="仿宋" w:cs="Times New Roman"/>
                <w:bCs/>
                <w:color w:val="auto"/>
                <w:sz w:val="21"/>
                <w:szCs w:val="21"/>
                <w:lang w:val="en-US" w:eastAsia="zh-CN"/>
              </w:rPr>
              <w:t>丁基醚、</w:t>
            </w:r>
            <w:r>
              <w:rPr>
                <w:rFonts w:hint="eastAsia" w:eastAsia="仿宋" w:cs="Times New Roman"/>
                <w:bCs/>
                <w:color w:val="auto"/>
                <w:sz w:val="21"/>
                <w:szCs w:val="21"/>
                <w:lang w:val="en-US" w:eastAsia="zh-CN"/>
              </w:rPr>
              <w:t>精馏残液（含乙酸乙烯酯）</w:t>
            </w:r>
          </w:p>
        </w:tc>
        <w:tc>
          <w:tcPr>
            <w:tcW w:w="559" w:type="pct"/>
            <w:tcBorders>
              <w:tl2br w:val="nil"/>
              <w:tr2bl w:val="nil"/>
            </w:tcBorders>
            <w:noWrap/>
            <w:vAlign w:val="center"/>
          </w:tcPr>
          <w:p w14:paraId="349A26A5">
            <w:pPr>
              <w:spacing w:before="46" w:beforeLines="15" w:after="46" w:afterLines="15"/>
              <w:jc w:val="center"/>
              <w:rPr>
                <w:rFonts w:hint="default" w:eastAsia="仿宋" w:cs="Times New Roman"/>
                <w:bCs/>
                <w:color w:val="auto"/>
                <w:sz w:val="21"/>
                <w:szCs w:val="21"/>
                <w:lang w:val="en-US" w:eastAsia="zh-CN"/>
              </w:rPr>
            </w:pPr>
            <w:r>
              <w:rPr>
                <w:rFonts w:hint="eastAsia" w:eastAsia="仿宋" w:cs="Times New Roman"/>
                <w:bCs/>
                <w:color w:val="auto"/>
                <w:sz w:val="21"/>
                <w:szCs w:val="21"/>
                <w:lang w:val="en-US" w:eastAsia="zh-CN"/>
              </w:rPr>
              <w:t>15000</w:t>
            </w:r>
          </w:p>
        </w:tc>
      </w:tr>
      <w:tr w14:paraId="672B40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06" w:type="pct"/>
            <w:vMerge w:val="restart"/>
            <w:tcBorders>
              <w:tl2br w:val="nil"/>
              <w:tr2bl w:val="nil"/>
            </w:tcBorders>
            <w:noWrap/>
            <w:vAlign w:val="center"/>
          </w:tcPr>
          <w:p w14:paraId="757B122F">
            <w:pPr>
              <w:spacing w:before="46" w:beforeLines="15" w:after="46" w:afterLines="15"/>
              <w:jc w:val="center"/>
              <w:rPr>
                <w:rFonts w:hint="default" w:ascii="Times New Roman" w:hAnsi="Times New Roman" w:eastAsia="仿宋" w:cs="Times New Roman"/>
                <w:bCs/>
                <w:color w:val="auto"/>
                <w:sz w:val="21"/>
                <w:szCs w:val="21"/>
                <w:lang w:val="en-US" w:eastAsia="zh-CN"/>
              </w:rPr>
            </w:pPr>
            <w:r>
              <w:rPr>
                <w:rFonts w:hint="eastAsia" w:eastAsia="仿宋" w:cs="Times New Roman"/>
                <w:bCs/>
                <w:color w:val="auto"/>
                <w:sz w:val="21"/>
                <w:szCs w:val="21"/>
                <w:lang w:val="en-US" w:eastAsia="zh-CN"/>
              </w:rPr>
              <w:t>3</w:t>
            </w:r>
          </w:p>
        </w:tc>
        <w:tc>
          <w:tcPr>
            <w:tcW w:w="392" w:type="pct"/>
            <w:vMerge w:val="continue"/>
            <w:tcBorders>
              <w:tl2br w:val="nil"/>
              <w:tr2bl w:val="nil"/>
            </w:tcBorders>
            <w:noWrap/>
            <w:vAlign w:val="center"/>
          </w:tcPr>
          <w:p w14:paraId="2CC2E959">
            <w:pPr>
              <w:spacing w:before="46" w:beforeLines="15" w:after="46" w:afterLines="15"/>
              <w:jc w:val="center"/>
              <w:rPr>
                <w:rFonts w:hint="eastAsia" w:ascii="Times New Roman" w:hAnsi="Times New Roman" w:eastAsia="仿宋" w:cs="Times New Roman"/>
                <w:bCs/>
                <w:color w:val="auto"/>
                <w:sz w:val="21"/>
                <w:szCs w:val="21"/>
                <w:lang w:val="en-US" w:eastAsia="zh-CN"/>
              </w:rPr>
            </w:pPr>
          </w:p>
        </w:tc>
        <w:tc>
          <w:tcPr>
            <w:tcW w:w="292" w:type="pct"/>
            <w:vMerge w:val="restart"/>
            <w:tcBorders>
              <w:tl2br w:val="nil"/>
              <w:tr2bl w:val="nil"/>
            </w:tcBorders>
            <w:noWrap/>
            <w:vAlign w:val="center"/>
          </w:tcPr>
          <w:p w14:paraId="68BEA394">
            <w:pPr>
              <w:spacing w:before="46" w:beforeLines="15" w:after="46" w:afterLines="15"/>
              <w:jc w:val="center"/>
              <w:rPr>
                <w:rFonts w:hint="eastAsia" w:ascii="Times New Roman" w:hAnsi="Times New Roman" w:eastAsia="仿宋" w:cs="Times New Roman"/>
                <w:bCs/>
                <w:color w:val="auto"/>
                <w:sz w:val="21"/>
                <w:szCs w:val="21"/>
              </w:rPr>
            </w:pPr>
            <w:r>
              <w:rPr>
                <w:rFonts w:hint="eastAsia" w:ascii="Times New Roman" w:hAnsi="Times New Roman" w:eastAsia="仿宋" w:cs="Times New Roman"/>
                <w:bCs/>
                <w:color w:val="auto"/>
                <w:sz w:val="21"/>
                <w:szCs w:val="21"/>
                <w:lang w:val="en-US" w:eastAsia="zh-CN"/>
              </w:rPr>
              <w:t>HW06</w:t>
            </w:r>
          </w:p>
        </w:tc>
        <w:tc>
          <w:tcPr>
            <w:tcW w:w="1330" w:type="pct"/>
            <w:tcBorders>
              <w:tl2br w:val="nil"/>
              <w:tr2bl w:val="nil"/>
            </w:tcBorders>
            <w:noWrap/>
            <w:vAlign w:val="center"/>
          </w:tcPr>
          <w:p w14:paraId="63AB9E74">
            <w:pPr>
              <w:spacing w:before="46" w:beforeLines="15" w:after="46" w:afterLines="15"/>
              <w:jc w:val="center"/>
              <w:rPr>
                <w:rFonts w:hint="eastAsia" w:ascii="Times New Roman" w:hAnsi="Times New Roman" w:eastAsia="仿宋" w:cs="Times New Roman"/>
                <w:bCs/>
                <w:color w:val="auto"/>
                <w:sz w:val="21"/>
                <w:szCs w:val="21"/>
              </w:rPr>
            </w:pPr>
            <w:r>
              <w:rPr>
                <w:rFonts w:hint="eastAsia" w:ascii="Times New Roman" w:hAnsi="Times New Roman" w:eastAsia="仿宋" w:cs="Times New Roman"/>
                <w:bCs/>
                <w:color w:val="auto"/>
                <w:sz w:val="21"/>
                <w:szCs w:val="21"/>
                <w:lang w:val="en-US" w:eastAsia="zh-CN"/>
              </w:rPr>
              <w:t>900-401-06</w:t>
            </w:r>
          </w:p>
        </w:tc>
        <w:tc>
          <w:tcPr>
            <w:tcW w:w="2118" w:type="pct"/>
            <w:tcBorders>
              <w:tl2br w:val="nil"/>
              <w:tr2bl w:val="nil"/>
            </w:tcBorders>
            <w:noWrap w:val="0"/>
            <w:vAlign w:val="center"/>
          </w:tcPr>
          <w:p w14:paraId="6C9D4C54">
            <w:pPr>
              <w:spacing w:before="46" w:beforeLines="15" w:after="46" w:afterLines="15"/>
              <w:jc w:val="center"/>
              <w:rPr>
                <w:rFonts w:hint="eastAsia" w:ascii="Times New Roman" w:hAnsi="Times New Roman" w:eastAsia="仿宋" w:cs="Times New Roman"/>
                <w:bCs/>
                <w:color w:val="auto"/>
                <w:sz w:val="21"/>
                <w:szCs w:val="21"/>
              </w:rPr>
            </w:pPr>
            <w:r>
              <w:rPr>
                <w:rFonts w:hint="eastAsia" w:ascii="Times New Roman" w:hAnsi="Times New Roman" w:eastAsia="仿宋" w:cs="Times New Roman"/>
                <w:bCs/>
                <w:color w:val="auto"/>
                <w:sz w:val="21"/>
                <w:szCs w:val="21"/>
                <w:lang w:val="en-US" w:eastAsia="zh-CN"/>
              </w:rPr>
              <w:t>二氯甲烷废液、二氯乙烷废液</w:t>
            </w:r>
          </w:p>
        </w:tc>
        <w:tc>
          <w:tcPr>
            <w:tcW w:w="559" w:type="pct"/>
            <w:tcBorders>
              <w:tl2br w:val="nil"/>
              <w:tr2bl w:val="nil"/>
            </w:tcBorders>
            <w:noWrap/>
            <w:vAlign w:val="center"/>
          </w:tcPr>
          <w:p w14:paraId="30598A9C">
            <w:pPr>
              <w:spacing w:before="46" w:beforeLines="15" w:after="46" w:afterLines="15"/>
              <w:jc w:val="center"/>
              <w:rPr>
                <w:rFonts w:hint="eastAsia" w:ascii="Times New Roman" w:hAnsi="Times New Roman" w:eastAsia="仿宋" w:cs="Times New Roman"/>
                <w:bCs/>
                <w:color w:val="auto"/>
                <w:sz w:val="21"/>
                <w:szCs w:val="21"/>
              </w:rPr>
            </w:pPr>
            <w:r>
              <w:rPr>
                <w:rFonts w:hint="eastAsia" w:ascii="Times New Roman" w:hAnsi="Times New Roman" w:eastAsia="仿宋" w:cs="Times New Roman"/>
                <w:bCs/>
                <w:color w:val="auto"/>
                <w:sz w:val="21"/>
                <w:szCs w:val="21"/>
                <w:lang w:val="en-US" w:eastAsia="zh-CN"/>
              </w:rPr>
              <w:t>4000</w:t>
            </w:r>
          </w:p>
        </w:tc>
      </w:tr>
      <w:tr w14:paraId="363546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06" w:type="pct"/>
            <w:vMerge w:val="continue"/>
            <w:tcBorders>
              <w:tl2br w:val="nil"/>
              <w:tr2bl w:val="nil"/>
            </w:tcBorders>
            <w:noWrap/>
            <w:vAlign w:val="center"/>
          </w:tcPr>
          <w:p w14:paraId="5FBDDD88">
            <w:pPr>
              <w:spacing w:before="46" w:beforeLines="15" w:after="46" w:afterLines="15"/>
              <w:jc w:val="center"/>
              <w:rPr>
                <w:rFonts w:hint="eastAsia" w:ascii="Times New Roman" w:hAnsi="Times New Roman" w:eastAsia="仿宋" w:cs="Times New Roman"/>
                <w:bCs/>
                <w:color w:val="FF0000"/>
                <w:sz w:val="21"/>
                <w:szCs w:val="21"/>
              </w:rPr>
            </w:pPr>
          </w:p>
        </w:tc>
        <w:tc>
          <w:tcPr>
            <w:tcW w:w="392" w:type="pct"/>
            <w:vMerge w:val="continue"/>
            <w:tcBorders>
              <w:tl2br w:val="nil"/>
              <w:tr2bl w:val="nil"/>
            </w:tcBorders>
            <w:noWrap/>
            <w:vAlign w:val="center"/>
          </w:tcPr>
          <w:p w14:paraId="14B087D5">
            <w:pPr>
              <w:spacing w:before="46" w:beforeLines="15" w:after="46" w:afterLines="15"/>
              <w:jc w:val="center"/>
              <w:rPr>
                <w:rFonts w:hint="eastAsia" w:ascii="Times New Roman" w:hAnsi="Times New Roman" w:eastAsia="仿宋" w:cs="Times New Roman"/>
                <w:bCs/>
                <w:color w:val="FF0000"/>
                <w:sz w:val="21"/>
                <w:szCs w:val="21"/>
              </w:rPr>
            </w:pPr>
          </w:p>
        </w:tc>
        <w:tc>
          <w:tcPr>
            <w:tcW w:w="292" w:type="pct"/>
            <w:vMerge w:val="continue"/>
            <w:tcBorders>
              <w:tl2br w:val="nil"/>
              <w:tr2bl w:val="nil"/>
            </w:tcBorders>
            <w:noWrap/>
            <w:vAlign w:val="center"/>
          </w:tcPr>
          <w:p w14:paraId="668FA0DE">
            <w:pPr>
              <w:spacing w:before="46" w:beforeLines="15" w:after="46" w:afterLines="15"/>
              <w:jc w:val="center"/>
              <w:rPr>
                <w:rFonts w:hint="eastAsia" w:ascii="Times New Roman" w:hAnsi="Times New Roman" w:eastAsia="仿宋" w:cs="Times New Roman"/>
                <w:bCs/>
                <w:color w:val="FF0000"/>
                <w:sz w:val="21"/>
                <w:szCs w:val="21"/>
              </w:rPr>
            </w:pPr>
          </w:p>
        </w:tc>
        <w:tc>
          <w:tcPr>
            <w:tcW w:w="1330" w:type="pct"/>
            <w:tcBorders>
              <w:tl2br w:val="nil"/>
              <w:tr2bl w:val="nil"/>
            </w:tcBorders>
            <w:noWrap/>
            <w:vAlign w:val="center"/>
          </w:tcPr>
          <w:p w14:paraId="6B10D497">
            <w:pPr>
              <w:spacing w:before="46" w:beforeLines="15" w:after="46" w:afterLines="15"/>
              <w:jc w:val="center"/>
              <w:rPr>
                <w:rFonts w:hint="eastAsia" w:ascii="Times New Roman" w:hAnsi="Times New Roman" w:eastAsia="仿宋" w:cs="Times New Roman"/>
                <w:bCs/>
                <w:color w:val="auto"/>
                <w:sz w:val="21"/>
                <w:szCs w:val="21"/>
              </w:rPr>
            </w:pPr>
            <w:r>
              <w:rPr>
                <w:rFonts w:hint="eastAsia" w:ascii="Times New Roman" w:hAnsi="Times New Roman" w:eastAsia="仿宋" w:cs="Times New Roman"/>
                <w:bCs/>
                <w:color w:val="auto"/>
                <w:sz w:val="21"/>
                <w:szCs w:val="21"/>
                <w:lang w:val="en-US" w:eastAsia="zh-CN"/>
              </w:rPr>
              <w:t>900-402-06，900-404-06</w:t>
            </w:r>
          </w:p>
        </w:tc>
        <w:tc>
          <w:tcPr>
            <w:tcW w:w="2118" w:type="pct"/>
            <w:tcBorders>
              <w:tl2br w:val="nil"/>
              <w:tr2bl w:val="nil"/>
            </w:tcBorders>
            <w:noWrap w:val="0"/>
            <w:vAlign w:val="center"/>
          </w:tcPr>
          <w:p w14:paraId="3E8081BF">
            <w:pPr>
              <w:spacing w:before="46" w:beforeLines="15" w:after="46" w:afterLines="15"/>
              <w:jc w:val="center"/>
              <w:rPr>
                <w:rFonts w:hint="eastAsia" w:ascii="Times New Roman" w:hAnsi="Times New Roman" w:eastAsia="仿宋" w:cs="Times New Roman"/>
                <w:bCs/>
                <w:color w:val="auto"/>
                <w:sz w:val="21"/>
                <w:szCs w:val="21"/>
              </w:rPr>
            </w:pPr>
            <w:r>
              <w:rPr>
                <w:rFonts w:hint="eastAsia" w:ascii="Times New Roman" w:hAnsi="Times New Roman" w:eastAsia="仿宋" w:cs="Times New Roman"/>
                <w:bCs/>
                <w:color w:val="auto"/>
                <w:sz w:val="21"/>
                <w:szCs w:val="21"/>
                <w:lang w:val="en-US" w:eastAsia="zh-CN"/>
              </w:rPr>
              <w:t>二丙酮醇废液、丙酮废液、光阻液废液、二丁醚废液、丙二醇废液、己烷废液、N-甲基吡咯烷酮废液、乙二醇废液</w:t>
            </w:r>
          </w:p>
        </w:tc>
        <w:tc>
          <w:tcPr>
            <w:tcW w:w="559" w:type="pct"/>
            <w:tcBorders>
              <w:tl2br w:val="nil"/>
              <w:tr2bl w:val="nil"/>
            </w:tcBorders>
            <w:noWrap/>
            <w:vAlign w:val="center"/>
          </w:tcPr>
          <w:p w14:paraId="32DB9CB9">
            <w:pPr>
              <w:spacing w:before="46" w:beforeLines="15" w:after="46" w:afterLines="15"/>
              <w:jc w:val="center"/>
              <w:rPr>
                <w:rFonts w:hint="default" w:ascii="Times New Roman" w:hAnsi="Times New Roman" w:eastAsia="仿宋" w:cs="Times New Roman"/>
                <w:bCs/>
                <w:color w:val="auto"/>
                <w:sz w:val="21"/>
                <w:szCs w:val="21"/>
                <w:lang w:val="en-US"/>
              </w:rPr>
            </w:pPr>
            <w:r>
              <w:rPr>
                <w:rFonts w:hint="eastAsia" w:ascii="Times New Roman" w:hAnsi="Times New Roman" w:eastAsia="仿宋" w:cs="Times New Roman"/>
                <w:bCs/>
                <w:color w:val="auto"/>
                <w:sz w:val="21"/>
                <w:szCs w:val="21"/>
                <w:lang w:val="en-US" w:eastAsia="zh-CN"/>
              </w:rPr>
              <w:t>2</w:t>
            </w:r>
            <w:r>
              <w:rPr>
                <w:rFonts w:hint="eastAsia" w:eastAsia="仿宋" w:cs="Times New Roman"/>
                <w:bCs/>
                <w:color w:val="auto"/>
                <w:sz w:val="21"/>
                <w:szCs w:val="21"/>
                <w:lang w:val="en-US" w:eastAsia="zh-CN"/>
              </w:rPr>
              <w:t>3255</w:t>
            </w:r>
          </w:p>
        </w:tc>
      </w:tr>
      <w:tr w14:paraId="13DCC1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06" w:type="pct"/>
            <w:vMerge w:val="continue"/>
            <w:tcBorders>
              <w:tl2br w:val="nil"/>
              <w:tr2bl w:val="nil"/>
            </w:tcBorders>
            <w:noWrap/>
            <w:vAlign w:val="center"/>
          </w:tcPr>
          <w:p w14:paraId="2022378E">
            <w:pPr>
              <w:spacing w:before="46" w:beforeLines="15" w:after="46" w:afterLines="15"/>
              <w:jc w:val="center"/>
              <w:rPr>
                <w:rFonts w:hint="eastAsia" w:ascii="Times New Roman" w:hAnsi="Times New Roman" w:eastAsia="仿宋" w:cs="Times New Roman"/>
                <w:bCs/>
                <w:color w:val="FF0000"/>
                <w:sz w:val="21"/>
                <w:szCs w:val="21"/>
              </w:rPr>
            </w:pPr>
          </w:p>
        </w:tc>
        <w:tc>
          <w:tcPr>
            <w:tcW w:w="392" w:type="pct"/>
            <w:vMerge w:val="continue"/>
            <w:tcBorders>
              <w:tl2br w:val="nil"/>
              <w:tr2bl w:val="nil"/>
            </w:tcBorders>
            <w:noWrap/>
            <w:vAlign w:val="center"/>
          </w:tcPr>
          <w:p w14:paraId="62809A7B">
            <w:pPr>
              <w:spacing w:before="46" w:beforeLines="15" w:after="46" w:afterLines="15"/>
              <w:jc w:val="center"/>
              <w:rPr>
                <w:rFonts w:hint="eastAsia" w:ascii="Times New Roman" w:hAnsi="Times New Roman" w:eastAsia="仿宋" w:cs="Times New Roman"/>
                <w:bCs/>
                <w:color w:val="FF0000"/>
                <w:sz w:val="21"/>
                <w:szCs w:val="21"/>
              </w:rPr>
            </w:pPr>
          </w:p>
        </w:tc>
        <w:tc>
          <w:tcPr>
            <w:tcW w:w="292" w:type="pct"/>
            <w:vMerge w:val="continue"/>
            <w:tcBorders>
              <w:tl2br w:val="nil"/>
              <w:tr2bl w:val="nil"/>
            </w:tcBorders>
            <w:noWrap/>
            <w:vAlign w:val="center"/>
          </w:tcPr>
          <w:p w14:paraId="110F7807">
            <w:pPr>
              <w:spacing w:before="46" w:beforeLines="15" w:after="46" w:afterLines="15"/>
              <w:jc w:val="center"/>
              <w:rPr>
                <w:rFonts w:hint="eastAsia" w:ascii="Times New Roman" w:hAnsi="Times New Roman" w:eastAsia="仿宋" w:cs="Times New Roman"/>
                <w:bCs/>
                <w:color w:val="FF0000"/>
                <w:sz w:val="21"/>
                <w:szCs w:val="21"/>
              </w:rPr>
            </w:pPr>
          </w:p>
        </w:tc>
        <w:tc>
          <w:tcPr>
            <w:tcW w:w="1330" w:type="pct"/>
            <w:tcBorders>
              <w:tl2br w:val="nil"/>
              <w:tr2bl w:val="nil"/>
            </w:tcBorders>
            <w:noWrap/>
            <w:vAlign w:val="center"/>
          </w:tcPr>
          <w:p w14:paraId="5DF89CD0">
            <w:pPr>
              <w:spacing w:before="46" w:beforeLines="15" w:after="46" w:afterLines="15"/>
              <w:jc w:val="center"/>
              <w:rPr>
                <w:rFonts w:hint="eastAsia" w:ascii="Times New Roman" w:hAnsi="Times New Roman" w:eastAsia="仿宋" w:cs="Times New Roman"/>
                <w:bCs/>
                <w:color w:val="auto"/>
                <w:sz w:val="21"/>
                <w:szCs w:val="21"/>
              </w:rPr>
            </w:pPr>
            <w:r>
              <w:rPr>
                <w:rFonts w:hint="eastAsia" w:ascii="Times New Roman" w:hAnsi="Times New Roman" w:eastAsia="仿宋" w:cs="Times New Roman"/>
                <w:bCs/>
                <w:color w:val="auto"/>
                <w:sz w:val="21"/>
                <w:szCs w:val="21"/>
                <w:lang w:val="en-US" w:eastAsia="zh-CN"/>
              </w:rPr>
              <w:t>900-402-06，900-404-06，900-407-06</w:t>
            </w:r>
          </w:p>
        </w:tc>
        <w:tc>
          <w:tcPr>
            <w:tcW w:w="2118" w:type="pct"/>
            <w:tcBorders>
              <w:tl2br w:val="nil"/>
              <w:tr2bl w:val="nil"/>
            </w:tcBorders>
            <w:noWrap w:val="0"/>
            <w:vAlign w:val="center"/>
          </w:tcPr>
          <w:p w14:paraId="0A95AAF7">
            <w:pPr>
              <w:spacing w:before="46" w:beforeLines="15" w:after="46" w:afterLines="15"/>
              <w:jc w:val="center"/>
              <w:rPr>
                <w:rFonts w:hint="eastAsia" w:ascii="Times New Roman" w:hAnsi="Times New Roman" w:eastAsia="仿宋" w:cs="Times New Roman"/>
                <w:bCs/>
                <w:color w:val="auto"/>
                <w:sz w:val="21"/>
                <w:szCs w:val="21"/>
              </w:rPr>
            </w:pPr>
            <w:r>
              <w:rPr>
                <w:rFonts w:hint="eastAsia" w:ascii="Times New Roman" w:hAnsi="Times New Roman" w:eastAsia="仿宋" w:cs="Times New Roman"/>
                <w:bCs/>
                <w:color w:val="auto"/>
                <w:sz w:val="21"/>
                <w:szCs w:val="21"/>
                <w:lang w:val="en-US" w:eastAsia="zh-CN"/>
              </w:rPr>
              <w:t>二氯甲烷、二氯乙烷、丁酮废液、甲苯废液、二甲苯废液、乙酸乙酯废液、乙酸丁酯废液、正庚烷废液、乙酸甲酯废液、异丙醇废液、乙醇废液、甲醇废液、乙腈废液、四氢呋喃废液、丙二醇单甲醚废液、DMF废液、多元醇废液、二甲基亚砜废液</w:t>
            </w:r>
            <w:r>
              <w:rPr>
                <w:rFonts w:hint="eastAsia" w:eastAsia="仿宋" w:cs="Times New Roman"/>
                <w:bCs/>
                <w:color w:val="auto"/>
                <w:sz w:val="21"/>
                <w:szCs w:val="21"/>
                <w:lang w:val="en-US" w:eastAsia="zh-CN"/>
              </w:rPr>
              <w:t>、丙二醇单甲醚醋酸酯废液、2-甲基四氢呋喃、甲基叔丁基醚、精馏残液（含乙酸乙烯酯）</w:t>
            </w:r>
          </w:p>
        </w:tc>
        <w:tc>
          <w:tcPr>
            <w:tcW w:w="559" w:type="pct"/>
            <w:tcBorders>
              <w:tl2br w:val="nil"/>
              <w:tr2bl w:val="nil"/>
            </w:tcBorders>
            <w:noWrap/>
            <w:vAlign w:val="center"/>
          </w:tcPr>
          <w:p w14:paraId="330D7853">
            <w:pPr>
              <w:spacing w:before="46" w:beforeLines="15" w:after="46" w:afterLines="15"/>
              <w:jc w:val="center"/>
              <w:rPr>
                <w:rFonts w:hint="default" w:ascii="Times New Roman" w:hAnsi="Times New Roman" w:eastAsia="仿宋" w:cs="Times New Roman"/>
                <w:bCs/>
                <w:color w:val="FF0000"/>
                <w:sz w:val="21"/>
                <w:szCs w:val="21"/>
                <w:lang w:val="en-US"/>
              </w:rPr>
            </w:pPr>
            <w:r>
              <w:rPr>
                <w:rFonts w:hint="eastAsia" w:eastAsia="仿宋" w:cs="Times New Roman"/>
                <w:bCs/>
                <w:color w:val="auto"/>
                <w:sz w:val="21"/>
                <w:szCs w:val="21"/>
                <w:lang w:val="en-US" w:eastAsia="zh-CN"/>
              </w:rPr>
              <w:t>123650</w:t>
            </w:r>
          </w:p>
        </w:tc>
      </w:tr>
      <w:tr w14:paraId="6FE241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06" w:type="pct"/>
            <w:tcBorders>
              <w:tl2br w:val="nil"/>
              <w:tr2bl w:val="nil"/>
            </w:tcBorders>
            <w:noWrap/>
            <w:vAlign w:val="center"/>
          </w:tcPr>
          <w:p w14:paraId="0CC5E47F">
            <w:pPr>
              <w:spacing w:before="46" w:beforeLines="15" w:after="46" w:afterLines="15"/>
              <w:jc w:val="center"/>
              <w:rPr>
                <w:rFonts w:hint="default" w:ascii="Times New Roman" w:hAnsi="Times New Roman" w:eastAsia="仿宋" w:cs="Times New Roman"/>
                <w:bCs/>
                <w:color w:val="auto"/>
                <w:sz w:val="21"/>
                <w:szCs w:val="21"/>
                <w:lang w:val="en-US" w:eastAsia="zh-CN"/>
              </w:rPr>
            </w:pPr>
            <w:r>
              <w:rPr>
                <w:rFonts w:hint="eastAsia" w:eastAsia="仿宋" w:cs="Times New Roman"/>
                <w:bCs/>
                <w:color w:val="auto"/>
                <w:sz w:val="21"/>
                <w:szCs w:val="21"/>
                <w:lang w:val="en-US" w:eastAsia="zh-CN"/>
              </w:rPr>
              <w:t>4</w:t>
            </w:r>
          </w:p>
        </w:tc>
        <w:tc>
          <w:tcPr>
            <w:tcW w:w="392" w:type="pct"/>
            <w:vMerge w:val="continue"/>
            <w:tcBorders>
              <w:tl2br w:val="nil"/>
              <w:tr2bl w:val="nil"/>
            </w:tcBorders>
            <w:noWrap/>
            <w:vAlign w:val="center"/>
          </w:tcPr>
          <w:p w14:paraId="36B94711">
            <w:pPr>
              <w:spacing w:before="46" w:beforeLines="15" w:after="46" w:afterLines="15"/>
              <w:jc w:val="center"/>
              <w:rPr>
                <w:rFonts w:hint="eastAsia" w:ascii="Times New Roman" w:hAnsi="Times New Roman" w:eastAsia="仿宋" w:cs="Times New Roman"/>
                <w:bCs/>
                <w:color w:val="auto"/>
                <w:sz w:val="21"/>
                <w:szCs w:val="21"/>
                <w:lang w:val="en-US" w:eastAsia="zh-CN"/>
              </w:rPr>
            </w:pPr>
          </w:p>
        </w:tc>
        <w:tc>
          <w:tcPr>
            <w:tcW w:w="292" w:type="pct"/>
            <w:tcBorders>
              <w:tl2br w:val="nil"/>
              <w:tr2bl w:val="nil"/>
            </w:tcBorders>
            <w:noWrap/>
            <w:vAlign w:val="center"/>
          </w:tcPr>
          <w:p w14:paraId="0200F2FF">
            <w:pPr>
              <w:spacing w:before="46" w:beforeLines="15" w:after="46" w:afterLines="15"/>
              <w:jc w:val="center"/>
              <w:rPr>
                <w:rFonts w:hint="eastAsia" w:ascii="Times New Roman" w:hAnsi="Times New Roman" w:eastAsia="仿宋" w:cs="Times New Roman"/>
                <w:bCs/>
                <w:color w:val="auto"/>
                <w:sz w:val="21"/>
                <w:szCs w:val="21"/>
              </w:rPr>
            </w:pPr>
            <w:r>
              <w:rPr>
                <w:rFonts w:hint="eastAsia" w:ascii="Times New Roman" w:hAnsi="Times New Roman" w:eastAsia="仿宋" w:cs="Times New Roman"/>
                <w:bCs/>
                <w:color w:val="auto"/>
                <w:sz w:val="21"/>
                <w:szCs w:val="21"/>
                <w:lang w:val="en-US" w:eastAsia="zh-CN"/>
              </w:rPr>
              <w:t>HW08</w:t>
            </w:r>
          </w:p>
        </w:tc>
        <w:tc>
          <w:tcPr>
            <w:tcW w:w="1330" w:type="pct"/>
            <w:tcBorders>
              <w:tl2br w:val="nil"/>
              <w:tr2bl w:val="nil"/>
            </w:tcBorders>
            <w:noWrap w:val="0"/>
            <w:vAlign w:val="center"/>
          </w:tcPr>
          <w:p w14:paraId="722A22FF">
            <w:pPr>
              <w:spacing w:before="46" w:beforeLines="15" w:after="46" w:afterLines="15"/>
              <w:jc w:val="center"/>
              <w:rPr>
                <w:rFonts w:hint="eastAsia" w:ascii="Times New Roman" w:hAnsi="Times New Roman" w:eastAsia="仿宋" w:cs="Times New Roman"/>
                <w:bCs/>
                <w:color w:val="auto"/>
                <w:sz w:val="21"/>
                <w:szCs w:val="21"/>
                <w:lang w:val="en-US" w:eastAsia="zh-CN"/>
              </w:rPr>
            </w:pPr>
            <w:r>
              <w:rPr>
                <w:rFonts w:hint="eastAsia" w:ascii="Times New Roman" w:hAnsi="Times New Roman" w:eastAsia="仿宋" w:cs="Times New Roman"/>
                <w:bCs/>
                <w:color w:val="auto"/>
                <w:sz w:val="21"/>
                <w:szCs w:val="21"/>
                <w:lang w:val="en-US" w:eastAsia="zh-CN"/>
              </w:rPr>
              <w:t>900-199-08、900-200-08、900-201-08、</w:t>
            </w:r>
          </w:p>
          <w:p w14:paraId="235177F2">
            <w:pPr>
              <w:spacing w:before="46" w:beforeLines="15" w:after="46" w:afterLines="15"/>
              <w:jc w:val="center"/>
              <w:rPr>
                <w:rFonts w:hint="eastAsia" w:ascii="Times New Roman" w:hAnsi="Times New Roman" w:eastAsia="仿宋" w:cs="Times New Roman"/>
                <w:bCs/>
                <w:color w:val="auto"/>
                <w:sz w:val="21"/>
                <w:szCs w:val="21"/>
              </w:rPr>
            </w:pPr>
            <w:r>
              <w:rPr>
                <w:rFonts w:hint="eastAsia" w:ascii="Times New Roman" w:hAnsi="Times New Roman" w:eastAsia="仿宋" w:cs="Times New Roman"/>
                <w:bCs/>
                <w:color w:val="auto"/>
                <w:sz w:val="21"/>
                <w:szCs w:val="21"/>
                <w:lang w:val="en-US" w:eastAsia="zh-CN"/>
              </w:rPr>
              <w:t>900-203-08、</w:t>
            </w:r>
            <w:r>
              <w:rPr>
                <w:rFonts w:hint="eastAsia" w:eastAsia="仿宋" w:cs="Times New Roman"/>
                <w:bCs/>
                <w:color w:val="auto"/>
                <w:sz w:val="21"/>
                <w:szCs w:val="21"/>
                <w:lang w:val="en-US" w:eastAsia="zh-CN"/>
              </w:rPr>
              <w:t>9</w:t>
            </w:r>
            <w:r>
              <w:rPr>
                <w:rFonts w:hint="eastAsia" w:ascii="Times New Roman" w:hAnsi="Times New Roman" w:eastAsia="仿宋" w:cs="Times New Roman"/>
                <w:bCs/>
                <w:color w:val="auto"/>
                <w:sz w:val="21"/>
                <w:szCs w:val="21"/>
                <w:lang w:val="en-US" w:eastAsia="zh-CN"/>
              </w:rPr>
              <w:t>00-204-08、900-209-08、00-214-08、900-216-08、900-217-08、900-218-08、900-219-08、900-220-08、900-249-08</w:t>
            </w:r>
          </w:p>
        </w:tc>
        <w:tc>
          <w:tcPr>
            <w:tcW w:w="2118" w:type="pct"/>
            <w:tcBorders>
              <w:tl2br w:val="nil"/>
              <w:tr2bl w:val="nil"/>
            </w:tcBorders>
            <w:noWrap w:val="0"/>
            <w:vAlign w:val="center"/>
          </w:tcPr>
          <w:p w14:paraId="7A61EB0F">
            <w:pPr>
              <w:spacing w:before="46" w:beforeLines="15" w:after="46" w:afterLines="15"/>
              <w:jc w:val="center"/>
              <w:rPr>
                <w:rFonts w:hint="eastAsia" w:ascii="Times New Roman" w:hAnsi="Times New Roman" w:eastAsia="仿宋" w:cs="Times New Roman"/>
                <w:bCs/>
                <w:color w:val="auto"/>
                <w:sz w:val="21"/>
                <w:szCs w:val="21"/>
              </w:rPr>
            </w:pPr>
            <w:r>
              <w:rPr>
                <w:rFonts w:hint="eastAsia" w:ascii="Times New Roman" w:hAnsi="Times New Roman" w:eastAsia="仿宋" w:cs="Times New Roman"/>
                <w:bCs/>
                <w:color w:val="auto"/>
                <w:sz w:val="21"/>
                <w:szCs w:val="21"/>
                <w:lang w:val="en-US" w:eastAsia="zh-CN"/>
              </w:rPr>
              <w:t>预处理矿物油</w:t>
            </w:r>
          </w:p>
        </w:tc>
        <w:tc>
          <w:tcPr>
            <w:tcW w:w="559" w:type="pct"/>
            <w:tcBorders>
              <w:tl2br w:val="nil"/>
              <w:tr2bl w:val="nil"/>
            </w:tcBorders>
            <w:noWrap/>
            <w:vAlign w:val="center"/>
          </w:tcPr>
          <w:p w14:paraId="64A054C9">
            <w:pPr>
              <w:spacing w:before="46" w:beforeLines="15" w:after="46" w:afterLines="15"/>
              <w:jc w:val="center"/>
              <w:rPr>
                <w:rFonts w:hint="eastAsia" w:ascii="Times New Roman" w:hAnsi="Times New Roman" w:eastAsia="仿宋" w:cs="Times New Roman"/>
                <w:bCs/>
                <w:color w:val="auto"/>
                <w:sz w:val="21"/>
                <w:szCs w:val="21"/>
              </w:rPr>
            </w:pPr>
            <w:r>
              <w:rPr>
                <w:rFonts w:hint="eastAsia" w:ascii="Times New Roman" w:hAnsi="Times New Roman" w:eastAsia="仿宋" w:cs="Times New Roman"/>
                <w:bCs/>
                <w:color w:val="auto"/>
                <w:sz w:val="21"/>
                <w:szCs w:val="21"/>
                <w:lang w:val="en-US" w:eastAsia="zh-CN"/>
              </w:rPr>
              <w:t>500</w:t>
            </w:r>
          </w:p>
        </w:tc>
      </w:tr>
      <w:tr w14:paraId="7234A4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06" w:type="pct"/>
            <w:vMerge w:val="restart"/>
            <w:tcBorders>
              <w:tl2br w:val="nil"/>
              <w:tr2bl w:val="nil"/>
            </w:tcBorders>
            <w:noWrap/>
            <w:vAlign w:val="center"/>
          </w:tcPr>
          <w:p w14:paraId="7404BD15">
            <w:pPr>
              <w:spacing w:before="46" w:beforeLines="15" w:after="46" w:afterLines="15"/>
              <w:jc w:val="center"/>
              <w:rPr>
                <w:rFonts w:hint="default" w:ascii="Times New Roman" w:hAnsi="Times New Roman" w:eastAsia="仿宋" w:cs="Times New Roman"/>
                <w:bCs/>
                <w:color w:val="auto"/>
                <w:sz w:val="21"/>
                <w:szCs w:val="21"/>
                <w:lang w:val="en-US" w:eastAsia="zh-CN"/>
              </w:rPr>
            </w:pPr>
            <w:r>
              <w:rPr>
                <w:rFonts w:hint="eastAsia" w:eastAsia="仿宋" w:cs="Times New Roman"/>
                <w:bCs/>
                <w:color w:val="auto"/>
                <w:sz w:val="21"/>
                <w:szCs w:val="21"/>
                <w:lang w:val="en-US" w:eastAsia="zh-CN"/>
              </w:rPr>
              <w:t>5</w:t>
            </w:r>
          </w:p>
        </w:tc>
        <w:tc>
          <w:tcPr>
            <w:tcW w:w="392" w:type="pct"/>
            <w:vMerge w:val="continue"/>
            <w:tcBorders>
              <w:tl2br w:val="nil"/>
              <w:tr2bl w:val="nil"/>
            </w:tcBorders>
            <w:noWrap/>
            <w:vAlign w:val="center"/>
          </w:tcPr>
          <w:p w14:paraId="21E3BB71">
            <w:pPr>
              <w:spacing w:before="46" w:beforeLines="15" w:after="46" w:afterLines="15"/>
              <w:jc w:val="center"/>
              <w:rPr>
                <w:rFonts w:hint="eastAsia" w:ascii="Times New Roman" w:hAnsi="Times New Roman" w:eastAsia="仿宋" w:cs="Times New Roman"/>
                <w:bCs/>
                <w:color w:val="auto"/>
                <w:sz w:val="21"/>
                <w:szCs w:val="21"/>
                <w:lang w:val="en-US" w:eastAsia="zh-CN"/>
              </w:rPr>
            </w:pPr>
          </w:p>
        </w:tc>
        <w:tc>
          <w:tcPr>
            <w:tcW w:w="292" w:type="pct"/>
            <w:vMerge w:val="restart"/>
            <w:tcBorders>
              <w:tl2br w:val="nil"/>
              <w:tr2bl w:val="nil"/>
            </w:tcBorders>
            <w:noWrap/>
            <w:vAlign w:val="center"/>
          </w:tcPr>
          <w:p w14:paraId="5FC44AE0">
            <w:pPr>
              <w:spacing w:before="46" w:beforeLines="15" w:after="46" w:afterLines="15"/>
              <w:jc w:val="center"/>
              <w:rPr>
                <w:rFonts w:hint="eastAsia" w:ascii="Times New Roman" w:hAnsi="Times New Roman" w:eastAsia="仿宋" w:cs="Times New Roman"/>
                <w:bCs/>
                <w:color w:val="auto"/>
                <w:sz w:val="21"/>
                <w:szCs w:val="21"/>
              </w:rPr>
            </w:pPr>
            <w:r>
              <w:rPr>
                <w:rFonts w:hint="eastAsia" w:ascii="Times New Roman" w:hAnsi="Times New Roman" w:eastAsia="仿宋" w:cs="Times New Roman"/>
                <w:bCs/>
                <w:color w:val="auto"/>
                <w:sz w:val="21"/>
                <w:szCs w:val="21"/>
                <w:lang w:val="en-US" w:eastAsia="zh-CN"/>
              </w:rPr>
              <w:t>HW11</w:t>
            </w:r>
          </w:p>
        </w:tc>
        <w:tc>
          <w:tcPr>
            <w:tcW w:w="1330" w:type="pct"/>
            <w:tcBorders>
              <w:tl2br w:val="nil"/>
              <w:tr2bl w:val="nil"/>
            </w:tcBorders>
            <w:noWrap/>
            <w:vAlign w:val="center"/>
          </w:tcPr>
          <w:p w14:paraId="4BFA1044">
            <w:pPr>
              <w:spacing w:before="46" w:beforeLines="15" w:after="46" w:afterLines="15"/>
              <w:jc w:val="center"/>
              <w:rPr>
                <w:rFonts w:hint="eastAsia" w:ascii="Times New Roman" w:hAnsi="Times New Roman" w:eastAsia="仿宋" w:cs="Times New Roman"/>
                <w:bCs/>
                <w:color w:val="auto"/>
                <w:sz w:val="21"/>
                <w:szCs w:val="21"/>
              </w:rPr>
            </w:pPr>
            <w:r>
              <w:rPr>
                <w:rFonts w:hint="eastAsia" w:ascii="Times New Roman" w:hAnsi="Times New Roman" w:eastAsia="仿宋" w:cs="Times New Roman"/>
                <w:bCs/>
                <w:color w:val="auto"/>
                <w:sz w:val="21"/>
                <w:szCs w:val="21"/>
                <w:lang w:val="en-US" w:eastAsia="zh-CN"/>
              </w:rPr>
              <w:t>900-013-11</w:t>
            </w:r>
          </w:p>
        </w:tc>
        <w:tc>
          <w:tcPr>
            <w:tcW w:w="2118" w:type="pct"/>
            <w:tcBorders>
              <w:tl2br w:val="nil"/>
              <w:tr2bl w:val="nil"/>
            </w:tcBorders>
            <w:noWrap w:val="0"/>
            <w:vAlign w:val="center"/>
          </w:tcPr>
          <w:p w14:paraId="3B08EF4E">
            <w:pPr>
              <w:spacing w:before="46" w:beforeLines="15" w:after="46" w:afterLines="15"/>
              <w:jc w:val="center"/>
              <w:rPr>
                <w:rFonts w:hint="eastAsia" w:ascii="Times New Roman" w:hAnsi="Times New Roman" w:eastAsia="仿宋" w:cs="Times New Roman"/>
                <w:bCs/>
                <w:color w:val="auto"/>
                <w:sz w:val="21"/>
                <w:szCs w:val="21"/>
              </w:rPr>
            </w:pPr>
            <w:r>
              <w:rPr>
                <w:rFonts w:hint="eastAsia" w:ascii="Times New Roman" w:hAnsi="Times New Roman" w:eastAsia="仿宋" w:cs="Times New Roman"/>
                <w:bCs/>
                <w:color w:val="auto"/>
                <w:sz w:val="21"/>
                <w:szCs w:val="21"/>
                <w:lang w:val="en-US" w:eastAsia="zh-CN"/>
              </w:rPr>
              <w:t>N-甲基吡咯烷酮废液、DMF、二甲基亚砜废液</w:t>
            </w:r>
          </w:p>
        </w:tc>
        <w:tc>
          <w:tcPr>
            <w:tcW w:w="559" w:type="pct"/>
            <w:tcBorders>
              <w:tl2br w:val="nil"/>
              <w:tr2bl w:val="nil"/>
            </w:tcBorders>
            <w:noWrap/>
            <w:vAlign w:val="center"/>
          </w:tcPr>
          <w:p w14:paraId="537A7526">
            <w:pPr>
              <w:spacing w:before="46" w:beforeLines="15" w:after="46" w:afterLines="15"/>
              <w:jc w:val="center"/>
              <w:rPr>
                <w:rFonts w:hint="eastAsia" w:ascii="Times New Roman" w:hAnsi="Times New Roman" w:eastAsia="仿宋" w:cs="Times New Roman"/>
                <w:bCs/>
                <w:color w:val="auto"/>
                <w:sz w:val="21"/>
                <w:szCs w:val="21"/>
              </w:rPr>
            </w:pPr>
            <w:r>
              <w:rPr>
                <w:rFonts w:hint="eastAsia" w:eastAsia="仿宋" w:cs="Times New Roman"/>
                <w:bCs/>
                <w:color w:val="auto"/>
                <w:sz w:val="21"/>
                <w:szCs w:val="21"/>
                <w:lang w:val="en-US" w:eastAsia="zh-CN"/>
              </w:rPr>
              <w:t>5</w:t>
            </w:r>
            <w:r>
              <w:rPr>
                <w:rFonts w:hint="eastAsia" w:ascii="Times New Roman" w:hAnsi="Times New Roman" w:eastAsia="仿宋" w:cs="Times New Roman"/>
                <w:bCs/>
                <w:color w:val="auto"/>
                <w:sz w:val="21"/>
                <w:szCs w:val="21"/>
                <w:lang w:val="en-US" w:eastAsia="zh-CN"/>
              </w:rPr>
              <w:t>60</w:t>
            </w:r>
          </w:p>
        </w:tc>
      </w:tr>
      <w:tr w14:paraId="41AEFF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06" w:type="pct"/>
            <w:vMerge w:val="continue"/>
            <w:tcBorders>
              <w:tl2br w:val="nil"/>
              <w:tr2bl w:val="nil"/>
            </w:tcBorders>
            <w:noWrap/>
            <w:vAlign w:val="center"/>
          </w:tcPr>
          <w:p w14:paraId="192A811A">
            <w:pPr>
              <w:spacing w:before="46" w:beforeLines="15" w:after="46" w:afterLines="15"/>
              <w:jc w:val="center"/>
              <w:rPr>
                <w:rFonts w:hint="eastAsia" w:ascii="Times New Roman" w:hAnsi="Times New Roman" w:eastAsia="仿宋" w:cs="Times New Roman"/>
                <w:bCs/>
                <w:color w:val="FF0000"/>
                <w:sz w:val="21"/>
                <w:szCs w:val="21"/>
              </w:rPr>
            </w:pPr>
          </w:p>
        </w:tc>
        <w:tc>
          <w:tcPr>
            <w:tcW w:w="392" w:type="pct"/>
            <w:vMerge w:val="continue"/>
            <w:tcBorders>
              <w:tl2br w:val="nil"/>
              <w:tr2bl w:val="nil"/>
            </w:tcBorders>
            <w:noWrap/>
            <w:vAlign w:val="center"/>
          </w:tcPr>
          <w:p w14:paraId="26D8932C">
            <w:pPr>
              <w:spacing w:before="46" w:beforeLines="15" w:after="46" w:afterLines="15"/>
              <w:jc w:val="center"/>
              <w:rPr>
                <w:rFonts w:hint="eastAsia" w:ascii="Times New Roman" w:hAnsi="Times New Roman" w:eastAsia="仿宋" w:cs="Times New Roman"/>
                <w:bCs/>
                <w:color w:val="FF0000"/>
                <w:sz w:val="21"/>
                <w:szCs w:val="21"/>
              </w:rPr>
            </w:pPr>
          </w:p>
        </w:tc>
        <w:tc>
          <w:tcPr>
            <w:tcW w:w="292" w:type="pct"/>
            <w:vMerge w:val="continue"/>
            <w:tcBorders>
              <w:tl2br w:val="nil"/>
              <w:tr2bl w:val="nil"/>
            </w:tcBorders>
            <w:noWrap/>
            <w:vAlign w:val="center"/>
          </w:tcPr>
          <w:p w14:paraId="5E737A6F">
            <w:pPr>
              <w:spacing w:before="46" w:beforeLines="15" w:after="46" w:afterLines="15"/>
              <w:jc w:val="center"/>
              <w:rPr>
                <w:rFonts w:hint="eastAsia" w:ascii="Times New Roman" w:hAnsi="Times New Roman" w:eastAsia="仿宋" w:cs="Times New Roman"/>
                <w:bCs/>
                <w:color w:val="FF0000"/>
                <w:sz w:val="21"/>
                <w:szCs w:val="21"/>
              </w:rPr>
            </w:pPr>
          </w:p>
        </w:tc>
        <w:tc>
          <w:tcPr>
            <w:tcW w:w="1330" w:type="pct"/>
            <w:tcBorders>
              <w:tl2br w:val="nil"/>
              <w:tr2bl w:val="nil"/>
            </w:tcBorders>
            <w:noWrap w:val="0"/>
            <w:vAlign w:val="center"/>
          </w:tcPr>
          <w:p w14:paraId="5BA72523">
            <w:pPr>
              <w:spacing w:before="46" w:beforeLines="15" w:after="46" w:afterLines="15"/>
              <w:jc w:val="center"/>
              <w:rPr>
                <w:rFonts w:hint="eastAsia" w:ascii="Times New Roman" w:hAnsi="Times New Roman" w:eastAsia="仿宋" w:cs="Times New Roman"/>
                <w:bCs/>
                <w:color w:val="auto"/>
                <w:sz w:val="21"/>
                <w:szCs w:val="21"/>
              </w:rPr>
            </w:pPr>
            <w:r>
              <w:rPr>
                <w:rFonts w:hint="eastAsia" w:ascii="Times New Roman" w:hAnsi="Times New Roman" w:eastAsia="仿宋" w:cs="Times New Roman"/>
                <w:bCs/>
                <w:color w:val="auto"/>
                <w:sz w:val="21"/>
                <w:szCs w:val="21"/>
                <w:lang w:val="en-US" w:eastAsia="zh-CN"/>
              </w:rPr>
              <w:t>900-013-11，261-012-11，261-031-11，261-1</w:t>
            </w:r>
            <w:r>
              <w:rPr>
                <w:rFonts w:hint="eastAsia" w:eastAsia="仿宋" w:cs="Times New Roman"/>
                <w:bCs/>
                <w:color w:val="auto"/>
                <w:sz w:val="21"/>
                <w:szCs w:val="21"/>
                <w:lang w:val="en-US" w:eastAsia="zh-CN"/>
              </w:rPr>
              <w:t>06</w:t>
            </w:r>
            <w:r>
              <w:rPr>
                <w:rFonts w:hint="eastAsia" w:ascii="Times New Roman" w:hAnsi="Times New Roman" w:eastAsia="仿宋" w:cs="Times New Roman"/>
                <w:bCs/>
                <w:color w:val="auto"/>
                <w:sz w:val="21"/>
                <w:szCs w:val="21"/>
                <w:lang w:val="en-US" w:eastAsia="zh-CN"/>
              </w:rPr>
              <w:t>-11，261-1</w:t>
            </w:r>
            <w:r>
              <w:rPr>
                <w:rFonts w:hint="eastAsia" w:eastAsia="仿宋" w:cs="Times New Roman"/>
                <w:bCs/>
                <w:color w:val="auto"/>
                <w:sz w:val="21"/>
                <w:szCs w:val="21"/>
                <w:lang w:val="en-US" w:eastAsia="zh-CN"/>
              </w:rPr>
              <w:t>29</w:t>
            </w:r>
            <w:r>
              <w:rPr>
                <w:rFonts w:hint="eastAsia" w:ascii="Times New Roman" w:hAnsi="Times New Roman" w:eastAsia="仿宋" w:cs="Times New Roman"/>
                <w:bCs/>
                <w:color w:val="auto"/>
                <w:sz w:val="21"/>
                <w:szCs w:val="21"/>
                <w:lang w:val="en-US" w:eastAsia="zh-CN"/>
              </w:rPr>
              <w:t>-11，261-130-11</w:t>
            </w:r>
          </w:p>
        </w:tc>
        <w:tc>
          <w:tcPr>
            <w:tcW w:w="2118" w:type="pct"/>
            <w:tcBorders>
              <w:tl2br w:val="nil"/>
              <w:tr2bl w:val="nil"/>
            </w:tcBorders>
            <w:noWrap w:val="0"/>
            <w:vAlign w:val="center"/>
          </w:tcPr>
          <w:p w14:paraId="07493F86">
            <w:pPr>
              <w:spacing w:before="46" w:beforeLines="15" w:after="46" w:afterLines="15"/>
              <w:jc w:val="center"/>
              <w:rPr>
                <w:rFonts w:hint="eastAsia" w:ascii="Times New Roman" w:hAnsi="Times New Roman" w:eastAsia="仿宋" w:cs="Times New Roman"/>
                <w:bCs/>
                <w:color w:val="auto"/>
                <w:sz w:val="21"/>
                <w:szCs w:val="21"/>
              </w:rPr>
            </w:pPr>
            <w:r>
              <w:rPr>
                <w:rFonts w:hint="eastAsia" w:ascii="Times New Roman" w:hAnsi="Times New Roman" w:eastAsia="仿宋" w:cs="Times New Roman"/>
                <w:bCs/>
                <w:color w:val="auto"/>
                <w:sz w:val="21"/>
                <w:szCs w:val="21"/>
                <w:lang w:val="en-US" w:eastAsia="zh-CN"/>
              </w:rPr>
              <w:t>丁醇、辛醇轻重组分废液、多元醇废液</w:t>
            </w:r>
          </w:p>
        </w:tc>
        <w:tc>
          <w:tcPr>
            <w:tcW w:w="559" w:type="pct"/>
            <w:tcBorders>
              <w:tl2br w:val="nil"/>
              <w:tr2bl w:val="nil"/>
            </w:tcBorders>
            <w:noWrap/>
            <w:vAlign w:val="center"/>
          </w:tcPr>
          <w:p w14:paraId="301117FF">
            <w:pPr>
              <w:spacing w:before="46" w:beforeLines="15" w:after="46" w:afterLines="15"/>
              <w:jc w:val="center"/>
              <w:rPr>
                <w:rFonts w:hint="eastAsia" w:ascii="Times New Roman" w:hAnsi="Times New Roman" w:eastAsia="仿宋" w:cs="Times New Roman"/>
                <w:bCs/>
                <w:color w:val="auto"/>
                <w:sz w:val="21"/>
                <w:szCs w:val="21"/>
              </w:rPr>
            </w:pPr>
            <w:r>
              <w:rPr>
                <w:rFonts w:hint="eastAsia" w:eastAsia="仿宋" w:cs="Times New Roman"/>
                <w:bCs/>
                <w:color w:val="auto"/>
                <w:sz w:val="21"/>
                <w:szCs w:val="21"/>
                <w:lang w:val="en-US" w:eastAsia="zh-CN"/>
              </w:rPr>
              <w:t>30</w:t>
            </w:r>
            <w:r>
              <w:rPr>
                <w:rFonts w:hint="eastAsia" w:ascii="Times New Roman" w:hAnsi="Times New Roman" w:eastAsia="仿宋" w:cs="Times New Roman"/>
                <w:bCs/>
                <w:color w:val="auto"/>
                <w:sz w:val="21"/>
                <w:szCs w:val="21"/>
                <w:lang w:val="en-US" w:eastAsia="zh-CN"/>
              </w:rPr>
              <w:t>00</w:t>
            </w:r>
          </w:p>
        </w:tc>
      </w:tr>
      <w:tr w14:paraId="3C8FB8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06" w:type="pct"/>
            <w:vMerge w:val="continue"/>
            <w:tcBorders>
              <w:tl2br w:val="nil"/>
              <w:tr2bl w:val="nil"/>
            </w:tcBorders>
            <w:noWrap/>
            <w:vAlign w:val="center"/>
          </w:tcPr>
          <w:p w14:paraId="2CEC5BBC">
            <w:pPr>
              <w:spacing w:before="46" w:beforeLines="15" w:after="46" w:afterLines="15"/>
              <w:jc w:val="center"/>
              <w:rPr>
                <w:rFonts w:hint="eastAsia" w:ascii="Times New Roman" w:hAnsi="Times New Roman" w:eastAsia="仿宋" w:cs="Times New Roman"/>
                <w:bCs/>
                <w:color w:val="FF0000"/>
                <w:sz w:val="21"/>
                <w:szCs w:val="21"/>
              </w:rPr>
            </w:pPr>
          </w:p>
        </w:tc>
        <w:tc>
          <w:tcPr>
            <w:tcW w:w="392" w:type="pct"/>
            <w:vMerge w:val="continue"/>
            <w:tcBorders>
              <w:tl2br w:val="nil"/>
              <w:tr2bl w:val="nil"/>
            </w:tcBorders>
            <w:noWrap/>
            <w:vAlign w:val="center"/>
          </w:tcPr>
          <w:p w14:paraId="67177137">
            <w:pPr>
              <w:spacing w:before="46" w:beforeLines="15" w:after="46" w:afterLines="15"/>
              <w:jc w:val="center"/>
              <w:rPr>
                <w:rFonts w:hint="eastAsia" w:ascii="Times New Roman" w:hAnsi="Times New Roman" w:eastAsia="仿宋" w:cs="Times New Roman"/>
                <w:bCs/>
                <w:color w:val="FF0000"/>
                <w:sz w:val="21"/>
                <w:szCs w:val="21"/>
              </w:rPr>
            </w:pPr>
          </w:p>
        </w:tc>
        <w:tc>
          <w:tcPr>
            <w:tcW w:w="292" w:type="pct"/>
            <w:vMerge w:val="continue"/>
            <w:tcBorders>
              <w:tl2br w:val="nil"/>
              <w:tr2bl w:val="nil"/>
            </w:tcBorders>
            <w:noWrap/>
            <w:vAlign w:val="center"/>
          </w:tcPr>
          <w:p w14:paraId="5A3A40BC">
            <w:pPr>
              <w:spacing w:before="46" w:beforeLines="15" w:after="46" w:afterLines="15"/>
              <w:jc w:val="center"/>
              <w:rPr>
                <w:rFonts w:hint="eastAsia" w:ascii="Times New Roman" w:hAnsi="Times New Roman" w:eastAsia="仿宋" w:cs="Times New Roman"/>
                <w:bCs/>
                <w:color w:val="FF0000"/>
                <w:sz w:val="21"/>
                <w:szCs w:val="21"/>
              </w:rPr>
            </w:pPr>
          </w:p>
        </w:tc>
        <w:tc>
          <w:tcPr>
            <w:tcW w:w="1330" w:type="pct"/>
            <w:tcBorders>
              <w:tl2br w:val="nil"/>
              <w:tr2bl w:val="nil"/>
            </w:tcBorders>
            <w:noWrap w:val="0"/>
            <w:vAlign w:val="center"/>
          </w:tcPr>
          <w:p w14:paraId="54D0C107">
            <w:pPr>
              <w:spacing w:before="46" w:beforeLines="15" w:after="46" w:afterLines="15"/>
              <w:jc w:val="center"/>
              <w:rPr>
                <w:rFonts w:hint="eastAsia" w:ascii="Times New Roman" w:hAnsi="Times New Roman" w:eastAsia="仿宋" w:cs="Times New Roman"/>
                <w:bCs/>
                <w:color w:val="auto"/>
                <w:sz w:val="21"/>
                <w:szCs w:val="21"/>
              </w:rPr>
            </w:pPr>
            <w:r>
              <w:rPr>
                <w:rFonts w:hint="eastAsia" w:ascii="Times New Roman" w:hAnsi="Times New Roman" w:eastAsia="仿宋" w:cs="Times New Roman"/>
                <w:bCs/>
                <w:color w:val="auto"/>
                <w:sz w:val="21"/>
                <w:szCs w:val="21"/>
                <w:lang w:val="en-US" w:eastAsia="zh-CN"/>
              </w:rPr>
              <w:t>900-013-11，261-012-11，261-106-11，261-128-11，261-129-11，261-130-11，261-031-11</w:t>
            </w:r>
          </w:p>
        </w:tc>
        <w:tc>
          <w:tcPr>
            <w:tcW w:w="2118" w:type="pct"/>
            <w:tcBorders>
              <w:tl2br w:val="nil"/>
              <w:tr2bl w:val="nil"/>
            </w:tcBorders>
            <w:noWrap/>
            <w:vAlign w:val="center"/>
          </w:tcPr>
          <w:p w14:paraId="4F698EF7">
            <w:pPr>
              <w:spacing w:before="46" w:beforeLines="15" w:after="46" w:afterLines="15"/>
              <w:jc w:val="center"/>
              <w:rPr>
                <w:rFonts w:hint="eastAsia" w:ascii="Times New Roman" w:hAnsi="Times New Roman" w:eastAsia="仿宋" w:cs="Times New Roman"/>
                <w:bCs/>
                <w:color w:val="auto"/>
                <w:sz w:val="21"/>
                <w:szCs w:val="21"/>
              </w:rPr>
            </w:pPr>
            <w:r>
              <w:rPr>
                <w:rFonts w:hint="eastAsia" w:ascii="Times New Roman" w:hAnsi="Times New Roman" w:eastAsia="仿宋" w:cs="Times New Roman"/>
                <w:bCs/>
                <w:color w:val="auto"/>
                <w:sz w:val="21"/>
                <w:szCs w:val="21"/>
                <w:lang w:val="en-US" w:eastAsia="zh-CN"/>
              </w:rPr>
              <w:t>乙二醇废液</w:t>
            </w:r>
          </w:p>
        </w:tc>
        <w:tc>
          <w:tcPr>
            <w:tcW w:w="559" w:type="pct"/>
            <w:tcBorders>
              <w:tl2br w:val="nil"/>
              <w:tr2bl w:val="nil"/>
            </w:tcBorders>
            <w:noWrap/>
            <w:vAlign w:val="center"/>
          </w:tcPr>
          <w:p w14:paraId="1282C4EE">
            <w:pPr>
              <w:spacing w:before="46" w:beforeLines="15" w:after="46" w:afterLines="15"/>
              <w:jc w:val="center"/>
              <w:rPr>
                <w:rFonts w:hint="eastAsia" w:ascii="Times New Roman" w:hAnsi="Times New Roman" w:eastAsia="仿宋" w:cs="Times New Roman"/>
                <w:bCs/>
                <w:color w:val="auto"/>
                <w:sz w:val="21"/>
                <w:szCs w:val="21"/>
              </w:rPr>
            </w:pPr>
            <w:r>
              <w:rPr>
                <w:rFonts w:hint="eastAsia" w:ascii="Times New Roman" w:hAnsi="Times New Roman" w:eastAsia="仿宋" w:cs="Times New Roman"/>
                <w:bCs/>
                <w:color w:val="auto"/>
                <w:sz w:val="21"/>
                <w:szCs w:val="21"/>
                <w:lang w:val="en-US" w:eastAsia="zh-CN"/>
              </w:rPr>
              <w:t>1500</w:t>
            </w:r>
          </w:p>
        </w:tc>
      </w:tr>
      <w:tr w14:paraId="11F736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06" w:type="pct"/>
            <w:vMerge w:val="continue"/>
            <w:tcBorders>
              <w:tl2br w:val="nil"/>
              <w:tr2bl w:val="nil"/>
            </w:tcBorders>
            <w:noWrap/>
            <w:vAlign w:val="center"/>
          </w:tcPr>
          <w:p w14:paraId="679CC6F2">
            <w:pPr>
              <w:spacing w:before="46" w:beforeLines="15" w:after="46" w:afterLines="15"/>
              <w:jc w:val="center"/>
              <w:rPr>
                <w:rFonts w:hint="eastAsia" w:ascii="Times New Roman" w:hAnsi="Times New Roman" w:eastAsia="仿宋" w:cs="Times New Roman"/>
                <w:bCs/>
                <w:color w:val="FF0000"/>
                <w:sz w:val="21"/>
                <w:szCs w:val="21"/>
              </w:rPr>
            </w:pPr>
          </w:p>
        </w:tc>
        <w:tc>
          <w:tcPr>
            <w:tcW w:w="392" w:type="pct"/>
            <w:vMerge w:val="continue"/>
            <w:tcBorders>
              <w:tl2br w:val="nil"/>
              <w:tr2bl w:val="nil"/>
            </w:tcBorders>
            <w:noWrap/>
            <w:vAlign w:val="center"/>
          </w:tcPr>
          <w:p w14:paraId="081546D7">
            <w:pPr>
              <w:spacing w:before="46" w:beforeLines="15" w:after="46" w:afterLines="15"/>
              <w:jc w:val="center"/>
              <w:rPr>
                <w:rFonts w:hint="eastAsia" w:ascii="Times New Roman" w:hAnsi="Times New Roman" w:eastAsia="仿宋" w:cs="Times New Roman"/>
                <w:bCs/>
                <w:color w:val="FF0000"/>
                <w:sz w:val="21"/>
                <w:szCs w:val="21"/>
              </w:rPr>
            </w:pPr>
          </w:p>
        </w:tc>
        <w:tc>
          <w:tcPr>
            <w:tcW w:w="292" w:type="pct"/>
            <w:vMerge w:val="continue"/>
            <w:tcBorders>
              <w:tl2br w:val="nil"/>
              <w:tr2bl w:val="nil"/>
            </w:tcBorders>
            <w:noWrap/>
            <w:vAlign w:val="center"/>
          </w:tcPr>
          <w:p w14:paraId="67D7489D">
            <w:pPr>
              <w:spacing w:before="46" w:beforeLines="15" w:after="46" w:afterLines="15"/>
              <w:jc w:val="center"/>
              <w:rPr>
                <w:rFonts w:hint="eastAsia" w:ascii="Times New Roman" w:hAnsi="Times New Roman" w:eastAsia="仿宋" w:cs="Times New Roman"/>
                <w:bCs/>
                <w:color w:val="FF0000"/>
                <w:sz w:val="21"/>
                <w:szCs w:val="21"/>
              </w:rPr>
            </w:pPr>
          </w:p>
        </w:tc>
        <w:tc>
          <w:tcPr>
            <w:tcW w:w="1330" w:type="pct"/>
            <w:tcBorders>
              <w:tl2br w:val="nil"/>
              <w:tr2bl w:val="nil"/>
            </w:tcBorders>
            <w:noWrap w:val="0"/>
            <w:vAlign w:val="center"/>
          </w:tcPr>
          <w:p w14:paraId="14FBB3CA">
            <w:pPr>
              <w:spacing w:before="46" w:beforeLines="15" w:after="46" w:afterLines="15"/>
              <w:jc w:val="center"/>
              <w:rPr>
                <w:rFonts w:hint="eastAsia" w:ascii="Times New Roman" w:hAnsi="Times New Roman" w:eastAsia="仿宋" w:cs="Times New Roman"/>
                <w:bCs/>
                <w:color w:val="auto"/>
                <w:sz w:val="21"/>
                <w:szCs w:val="21"/>
              </w:rPr>
            </w:pPr>
            <w:r>
              <w:rPr>
                <w:rFonts w:hint="eastAsia" w:ascii="Times New Roman" w:hAnsi="Times New Roman" w:eastAsia="仿宋" w:cs="Times New Roman"/>
                <w:bCs/>
                <w:color w:val="auto"/>
                <w:sz w:val="21"/>
                <w:szCs w:val="21"/>
                <w:lang w:val="en-US" w:eastAsia="zh-CN"/>
              </w:rPr>
              <w:t>900-013-11，261-128-11，261-129-11，261-130-11，261-012-11，261-013-11，261-016-11，261-031-11</w:t>
            </w:r>
          </w:p>
        </w:tc>
        <w:tc>
          <w:tcPr>
            <w:tcW w:w="2118" w:type="pct"/>
            <w:tcBorders>
              <w:tl2br w:val="nil"/>
              <w:tr2bl w:val="nil"/>
            </w:tcBorders>
            <w:noWrap w:val="0"/>
            <w:vAlign w:val="center"/>
          </w:tcPr>
          <w:p w14:paraId="4D21830E">
            <w:pPr>
              <w:spacing w:before="46" w:beforeLines="15" w:after="46" w:afterLines="15"/>
              <w:jc w:val="center"/>
              <w:rPr>
                <w:rFonts w:hint="eastAsia" w:ascii="Times New Roman" w:hAnsi="Times New Roman" w:eastAsia="仿宋" w:cs="Times New Roman"/>
                <w:bCs/>
                <w:color w:val="auto"/>
                <w:sz w:val="21"/>
                <w:szCs w:val="21"/>
              </w:rPr>
            </w:pPr>
            <w:r>
              <w:rPr>
                <w:rFonts w:hint="eastAsia" w:ascii="Times New Roman" w:hAnsi="Times New Roman" w:eastAsia="仿宋" w:cs="Times New Roman"/>
                <w:bCs/>
                <w:color w:val="auto"/>
                <w:sz w:val="21"/>
                <w:szCs w:val="21"/>
                <w:lang w:val="en-US" w:eastAsia="zh-CN"/>
              </w:rPr>
              <w:t>丁酮废液、甲苯废液、二甲苯废液、乙酸乙酯废液、乙酸丁酯废液、正庚烷废液、乙酸甲酯废液、异丙醇废液、环己烷废液、环己酮废液、环戊酮废液、乙醇废液、甲醇废液、乙腈废液</w:t>
            </w:r>
          </w:p>
        </w:tc>
        <w:tc>
          <w:tcPr>
            <w:tcW w:w="559" w:type="pct"/>
            <w:tcBorders>
              <w:tl2br w:val="nil"/>
              <w:tr2bl w:val="nil"/>
            </w:tcBorders>
            <w:noWrap/>
            <w:vAlign w:val="center"/>
          </w:tcPr>
          <w:p w14:paraId="227A5CC0">
            <w:pPr>
              <w:spacing w:before="46" w:beforeLines="15" w:after="46" w:afterLines="15"/>
              <w:jc w:val="center"/>
              <w:rPr>
                <w:rFonts w:hint="eastAsia" w:ascii="Times New Roman" w:hAnsi="Times New Roman" w:eastAsia="仿宋" w:cs="Times New Roman"/>
                <w:bCs/>
                <w:color w:val="auto"/>
                <w:sz w:val="21"/>
                <w:szCs w:val="21"/>
              </w:rPr>
            </w:pPr>
            <w:r>
              <w:rPr>
                <w:rFonts w:hint="eastAsia" w:eastAsia="仿宋" w:cs="Times New Roman"/>
                <w:bCs/>
                <w:color w:val="auto"/>
                <w:sz w:val="21"/>
                <w:szCs w:val="21"/>
                <w:lang w:val="en-US" w:eastAsia="zh-CN"/>
              </w:rPr>
              <w:t>15</w:t>
            </w:r>
            <w:r>
              <w:rPr>
                <w:rFonts w:hint="eastAsia" w:ascii="Times New Roman" w:hAnsi="Times New Roman" w:eastAsia="仿宋" w:cs="Times New Roman"/>
                <w:bCs/>
                <w:color w:val="auto"/>
                <w:sz w:val="21"/>
                <w:szCs w:val="21"/>
                <w:lang w:val="en-US" w:eastAsia="zh-CN"/>
              </w:rPr>
              <w:t>50</w:t>
            </w:r>
          </w:p>
        </w:tc>
      </w:tr>
      <w:tr w14:paraId="7B3BA5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06" w:type="pct"/>
            <w:vMerge w:val="continue"/>
            <w:tcBorders>
              <w:tl2br w:val="nil"/>
              <w:tr2bl w:val="nil"/>
            </w:tcBorders>
            <w:noWrap/>
            <w:vAlign w:val="center"/>
          </w:tcPr>
          <w:p w14:paraId="2576381A">
            <w:pPr>
              <w:spacing w:before="46" w:beforeLines="15" w:after="46" w:afterLines="15"/>
              <w:jc w:val="center"/>
              <w:rPr>
                <w:rFonts w:hint="eastAsia" w:ascii="Times New Roman" w:hAnsi="Times New Roman" w:eastAsia="仿宋" w:cs="Times New Roman"/>
                <w:bCs/>
                <w:color w:val="FF0000"/>
                <w:sz w:val="21"/>
                <w:szCs w:val="21"/>
              </w:rPr>
            </w:pPr>
          </w:p>
        </w:tc>
        <w:tc>
          <w:tcPr>
            <w:tcW w:w="392" w:type="pct"/>
            <w:vMerge w:val="continue"/>
            <w:tcBorders>
              <w:tl2br w:val="nil"/>
              <w:tr2bl w:val="nil"/>
            </w:tcBorders>
            <w:noWrap/>
            <w:vAlign w:val="center"/>
          </w:tcPr>
          <w:p w14:paraId="37190B6B">
            <w:pPr>
              <w:spacing w:before="46" w:beforeLines="15" w:after="46" w:afterLines="15"/>
              <w:jc w:val="center"/>
              <w:rPr>
                <w:rFonts w:hint="eastAsia" w:ascii="Times New Roman" w:hAnsi="Times New Roman" w:eastAsia="仿宋" w:cs="Times New Roman"/>
                <w:bCs/>
                <w:color w:val="FF0000"/>
                <w:sz w:val="21"/>
                <w:szCs w:val="21"/>
              </w:rPr>
            </w:pPr>
          </w:p>
        </w:tc>
        <w:tc>
          <w:tcPr>
            <w:tcW w:w="292" w:type="pct"/>
            <w:vMerge w:val="continue"/>
            <w:tcBorders>
              <w:tl2br w:val="nil"/>
              <w:tr2bl w:val="nil"/>
            </w:tcBorders>
            <w:noWrap/>
            <w:vAlign w:val="center"/>
          </w:tcPr>
          <w:p w14:paraId="2728CFCC">
            <w:pPr>
              <w:spacing w:before="46" w:beforeLines="15" w:after="46" w:afterLines="15"/>
              <w:jc w:val="center"/>
              <w:rPr>
                <w:rFonts w:hint="eastAsia" w:ascii="Times New Roman" w:hAnsi="Times New Roman" w:eastAsia="仿宋" w:cs="Times New Roman"/>
                <w:bCs/>
                <w:color w:val="FF0000"/>
                <w:sz w:val="21"/>
                <w:szCs w:val="21"/>
              </w:rPr>
            </w:pPr>
          </w:p>
        </w:tc>
        <w:tc>
          <w:tcPr>
            <w:tcW w:w="1330" w:type="pct"/>
            <w:tcBorders>
              <w:tl2br w:val="nil"/>
              <w:tr2bl w:val="nil"/>
            </w:tcBorders>
            <w:noWrap w:val="0"/>
            <w:vAlign w:val="center"/>
          </w:tcPr>
          <w:p w14:paraId="2D1D56AA">
            <w:pPr>
              <w:spacing w:before="46" w:beforeLines="15" w:after="46" w:afterLines="15"/>
              <w:jc w:val="center"/>
              <w:rPr>
                <w:rFonts w:hint="eastAsia" w:ascii="Times New Roman" w:hAnsi="Times New Roman" w:eastAsia="仿宋" w:cs="Times New Roman"/>
                <w:bCs/>
                <w:color w:val="auto"/>
                <w:sz w:val="21"/>
                <w:szCs w:val="21"/>
              </w:rPr>
            </w:pPr>
            <w:r>
              <w:rPr>
                <w:rFonts w:hint="eastAsia" w:ascii="Times New Roman" w:hAnsi="Times New Roman" w:eastAsia="仿宋" w:cs="Times New Roman"/>
                <w:bCs/>
                <w:color w:val="auto"/>
                <w:sz w:val="21"/>
                <w:szCs w:val="21"/>
                <w:lang w:val="en-US" w:eastAsia="zh-CN"/>
              </w:rPr>
              <w:t>900-013-11，251-013-11，252-002-11，252-004-11，252-011-11，252-016-11，261-012-11，261-013-11，261-015-11，261-031-11，261-106-11，261-129-11，261-130-11，309-001-11，451-003-11，772-001-11</w:t>
            </w:r>
          </w:p>
        </w:tc>
        <w:tc>
          <w:tcPr>
            <w:tcW w:w="2118" w:type="pct"/>
            <w:tcBorders>
              <w:tl2br w:val="nil"/>
              <w:tr2bl w:val="nil"/>
            </w:tcBorders>
            <w:noWrap/>
            <w:vAlign w:val="center"/>
          </w:tcPr>
          <w:p w14:paraId="0FB12195">
            <w:pPr>
              <w:spacing w:before="46" w:beforeLines="15" w:after="46" w:afterLines="15"/>
              <w:jc w:val="center"/>
              <w:rPr>
                <w:rFonts w:hint="eastAsia" w:eastAsia="仿宋" w:cs="Times New Roman"/>
                <w:bCs/>
                <w:color w:val="auto"/>
                <w:sz w:val="21"/>
                <w:szCs w:val="21"/>
                <w:lang w:val="en-US" w:eastAsia="zh-CN"/>
              </w:rPr>
            </w:pPr>
            <w:r>
              <w:rPr>
                <w:rFonts w:hint="eastAsia" w:ascii="Times New Roman" w:hAnsi="Times New Roman" w:eastAsia="仿宋" w:cs="Times New Roman"/>
                <w:bCs/>
                <w:color w:val="auto"/>
                <w:sz w:val="21"/>
                <w:szCs w:val="21"/>
                <w:lang w:val="en-US" w:eastAsia="zh-CN"/>
              </w:rPr>
              <w:t>精馏残液</w:t>
            </w:r>
            <w:r>
              <w:rPr>
                <w:rFonts w:hint="eastAsia" w:eastAsia="仿宋" w:cs="Times New Roman"/>
                <w:bCs/>
                <w:color w:val="auto"/>
                <w:sz w:val="21"/>
                <w:szCs w:val="21"/>
                <w:lang w:val="en-US" w:eastAsia="zh-CN"/>
              </w:rPr>
              <w:t>（含碳九、苯乙烯）、环己烷废液、环己酮废液、</w:t>
            </w:r>
          </w:p>
          <w:p w14:paraId="10C0DF26">
            <w:pPr>
              <w:spacing w:before="46" w:beforeLines="15" w:after="46" w:afterLines="15"/>
              <w:jc w:val="center"/>
              <w:rPr>
                <w:rFonts w:hint="eastAsia" w:eastAsia="仿宋" w:cs="Times New Roman"/>
                <w:bCs/>
                <w:color w:val="auto"/>
                <w:sz w:val="21"/>
                <w:szCs w:val="21"/>
                <w:lang w:val="en-US" w:eastAsia="zh-CN"/>
              </w:rPr>
            </w:pPr>
            <w:r>
              <w:rPr>
                <w:rFonts w:hint="eastAsia" w:eastAsia="仿宋" w:cs="Times New Roman"/>
                <w:bCs/>
                <w:color w:val="auto"/>
                <w:sz w:val="21"/>
                <w:szCs w:val="21"/>
                <w:lang w:val="en-US" w:eastAsia="zh-CN"/>
              </w:rPr>
              <w:t>己烷废液、</w:t>
            </w:r>
            <w:r>
              <w:rPr>
                <w:rFonts w:hint="eastAsia" w:ascii="Times New Roman" w:hAnsi="Times New Roman" w:eastAsia="仿宋" w:cs="Times New Roman"/>
                <w:bCs/>
                <w:color w:val="auto"/>
                <w:sz w:val="21"/>
                <w:szCs w:val="21"/>
                <w:lang w:val="en-US" w:eastAsia="zh-CN"/>
              </w:rPr>
              <w:t>精馏残液</w:t>
            </w:r>
            <w:r>
              <w:rPr>
                <w:rFonts w:hint="eastAsia" w:eastAsia="仿宋" w:cs="Times New Roman"/>
                <w:bCs/>
                <w:color w:val="auto"/>
                <w:sz w:val="21"/>
                <w:szCs w:val="21"/>
                <w:lang w:val="en-US" w:eastAsia="zh-CN"/>
              </w:rPr>
              <w:t>（含异丙苯）、</w:t>
            </w:r>
            <w:r>
              <w:rPr>
                <w:rFonts w:hint="eastAsia" w:ascii="Times New Roman" w:hAnsi="Times New Roman" w:eastAsia="仿宋" w:cs="Times New Roman"/>
                <w:bCs/>
                <w:color w:val="auto"/>
                <w:sz w:val="21"/>
                <w:szCs w:val="21"/>
                <w:lang w:val="en-US" w:eastAsia="zh-CN"/>
              </w:rPr>
              <w:t>精馏残液</w:t>
            </w:r>
            <w:r>
              <w:rPr>
                <w:rFonts w:hint="eastAsia" w:eastAsia="仿宋" w:cs="Times New Roman"/>
                <w:bCs/>
                <w:color w:val="auto"/>
                <w:sz w:val="21"/>
                <w:szCs w:val="21"/>
                <w:lang w:val="en-US" w:eastAsia="zh-CN"/>
              </w:rPr>
              <w:t>（含苯酚）、</w:t>
            </w:r>
          </w:p>
          <w:p w14:paraId="3703E5CA">
            <w:pPr>
              <w:spacing w:before="46" w:beforeLines="15" w:after="46" w:afterLines="15"/>
              <w:jc w:val="center"/>
              <w:rPr>
                <w:rFonts w:hint="default" w:ascii="Times New Roman" w:hAnsi="Times New Roman" w:eastAsia="仿宋" w:cs="Times New Roman"/>
                <w:bCs/>
                <w:color w:val="auto"/>
                <w:sz w:val="21"/>
                <w:szCs w:val="21"/>
                <w:lang w:val="en-US"/>
              </w:rPr>
            </w:pPr>
            <w:r>
              <w:rPr>
                <w:rFonts w:hint="eastAsia" w:ascii="Times New Roman" w:hAnsi="Times New Roman" w:eastAsia="仿宋" w:cs="Times New Roman"/>
                <w:bCs/>
                <w:color w:val="auto"/>
                <w:sz w:val="21"/>
                <w:szCs w:val="21"/>
                <w:lang w:val="en-US" w:eastAsia="zh-CN"/>
              </w:rPr>
              <w:t>精馏残液</w:t>
            </w:r>
            <w:r>
              <w:rPr>
                <w:rFonts w:hint="eastAsia" w:eastAsia="仿宋" w:cs="Times New Roman"/>
                <w:bCs/>
                <w:color w:val="auto"/>
                <w:sz w:val="21"/>
                <w:szCs w:val="21"/>
                <w:lang w:val="en-US" w:eastAsia="zh-CN"/>
              </w:rPr>
              <w:t>（含乙酸乙烯酯）</w:t>
            </w:r>
          </w:p>
        </w:tc>
        <w:tc>
          <w:tcPr>
            <w:tcW w:w="559" w:type="pct"/>
            <w:tcBorders>
              <w:tl2br w:val="nil"/>
              <w:tr2bl w:val="nil"/>
            </w:tcBorders>
            <w:noWrap/>
            <w:vAlign w:val="center"/>
          </w:tcPr>
          <w:p w14:paraId="52F385BE">
            <w:pPr>
              <w:spacing w:before="46" w:beforeLines="15" w:after="46" w:afterLines="15"/>
              <w:jc w:val="center"/>
              <w:rPr>
                <w:rFonts w:hint="default" w:ascii="Times New Roman" w:hAnsi="Times New Roman" w:eastAsia="仿宋" w:cs="Times New Roman"/>
                <w:bCs/>
                <w:color w:val="auto"/>
                <w:sz w:val="21"/>
                <w:szCs w:val="21"/>
                <w:lang w:val="en-US"/>
              </w:rPr>
            </w:pPr>
            <w:r>
              <w:rPr>
                <w:rFonts w:hint="eastAsia" w:eastAsia="仿宋" w:cs="Times New Roman"/>
                <w:bCs/>
                <w:color w:val="auto"/>
                <w:sz w:val="21"/>
                <w:szCs w:val="21"/>
                <w:lang w:val="en-US" w:eastAsia="zh-CN"/>
              </w:rPr>
              <w:t>7500</w:t>
            </w:r>
          </w:p>
        </w:tc>
      </w:tr>
      <w:tr w14:paraId="519A034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06" w:type="pct"/>
            <w:vMerge w:val="restart"/>
            <w:tcBorders>
              <w:tl2br w:val="nil"/>
              <w:tr2bl w:val="nil"/>
            </w:tcBorders>
            <w:noWrap/>
            <w:vAlign w:val="center"/>
          </w:tcPr>
          <w:p w14:paraId="26E2C2F4">
            <w:pPr>
              <w:spacing w:before="46" w:beforeLines="15" w:after="46" w:afterLines="15"/>
              <w:jc w:val="center"/>
              <w:rPr>
                <w:rFonts w:hint="default" w:ascii="Times New Roman" w:hAnsi="Times New Roman" w:eastAsia="仿宋" w:cs="Times New Roman"/>
                <w:bCs/>
                <w:color w:val="auto"/>
                <w:sz w:val="21"/>
                <w:szCs w:val="21"/>
                <w:lang w:val="en-US" w:eastAsia="zh-CN"/>
              </w:rPr>
            </w:pPr>
            <w:r>
              <w:rPr>
                <w:rFonts w:hint="eastAsia" w:eastAsia="仿宋" w:cs="Times New Roman"/>
                <w:bCs/>
                <w:color w:val="auto"/>
                <w:sz w:val="21"/>
                <w:szCs w:val="21"/>
                <w:lang w:val="en-US" w:eastAsia="zh-CN"/>
              </w:rPr>
              <w:t>6</w:t>
            </w:r>
          </w:p>
        </w:tc>
        <w:tc>
          <w:tcPr>
            <w:tcW w:w="392" w:type="pct"/>
            <w:vMerge w:val="continue"/>
            <w:tcBorders>
              <w:tl2br w:val="nil"/>
              <w:tr2bl w:val="nil"/>
            </w:tcBorders>
            <w:noWrap/>
            <w:vAlign w:val="center"/>
          </w:tcPr>
          <w:p w14:paraId="4E3DAC5D">
            <w:pPr>
              <w:spacing w:before="46" w:beforeLines="15" w:after="46" w:afterLines="15"/>
              <w:jc w:val="center"/>
              <w:rPr>
                <w:rFonts w:hint="eastAsia" w:ascii="Times New Roman" w:hAnsi="Times New Roman" w:eastAsia="仿宋" w:cs="Times New Roman"/>
                <w:bCs/>
                <w:color w:val="auto"/>
                <w:sz w:val="21"/>
                <w:szCs w:val="21"/>
                <w:lang w:val="en-US" w:eastAsia="zh-CN"/>
              </w:rPr>
            </w:pPr>
          </w:p>
        </w:tc>
        <w:tc>
          <w:tcPr>
            <w:tcW w:w="292" w:type="pct"/>
            <w:vMerge w:val="restart"/>
            <w:tcBorders>
              <w:tl2br w:val="nil"/>
              <w:tr2bl w:val="nil"/>
            </w:tcBorders>
            <w:noWrap/>
            <w:vAlign w:val="center"/>
          </w:tcPr>
          <w:p w14:paraId="054E2E2C">
            <w:pPr>
              <w:spacing w:before="46" w:beforeLines="15" w:after="46" w:afterLines="15"/>
              <w:jc w:val="center"/>
              <w:rPr>
                <w:rFonts w:hint="eastAsia" w:ascii="Times New Roman" w:hAnsi="Times New Roman" w:eastAsia="仿宋" w:cs="Times New Roman"/>
                <w:bCs/>
                <w:color w:val="auto"/>
                <w:sz w:val="21"/>
                <w:szCs w:val="21"/>
              </w:rPr>
            </w:pPr>
            <w:r>
              <w:rPr>
                <w:rFonts w:hint="eastAsia" w:ascii="Times New Roman" w:hAnsi="Times New Roman" w:eastAsia="仿宋" w:cs="Times New Roman"/>
                <w:bCs/>
                <w:color w:val="auto"/>
                <w:sz w:val="21"/>
                <w:szCs w:val="21"/>
                <w:lang w:val="en-US" w:eastAsia="zh-CN"/>
              </w:rPr>
              <w:t>HW12</w:t>
            </w:r>
          </w:p>
        </w:tc>
        <w:tc>
          <w:tcPr>
            <w:tcW w:w="1330" w:type="pct"/>
            <w:tcBorders>
              <w:tl2br w:val="nil"/>
              <w:tr2bl w:val="nil"/>
            </w:tcBorders>
            <w:noWrap/>
            <w:vAlign w:val="center"/>
          </w:tcPr>
          <w:p w14:paraId="59B51E0B">
            <w:pPr>
              <w:spacing w:before="46" w:beforeLines="15" w:after="46" w:afterLines="15"/>
              <w:jc w:val="center"/>
              <w:rPr>
                <w:rFonts w:hint="eastAsia" w:ascii="Times New Roman" w:hAnsi="Times New Roman" w:eastAsia="仿宋" w:cs="Times New Roman"/>
                <w:bCs/>
                <w:color w:val="auto"/>
                <w:sz w:val="21"/>
                <w:szCs w:val="21"/>
              </w:rPr>
            </w:pPr>
            <w:r>
              <w:rPr>
                <w:rFonts w:hint="eastAsia" w:ascii="Times New Roman" w:hAnsi="Times New Roman" w:eastAsia="仿宋" w:cs="Times New Roman"/>
                <w:bCs/>
                <w:color w:val="auto"/>
                <w:sz w:val="21"/>
                <w:szCs w:val="21"/>
                <w:lang w:val="en-US" w:eastAsia="zh-CN"/>
              </w:rPr>
              <w:t>264-011-12，264-013-12</w:t>
            </w:r>
          </w:p>
        </w:tc>
        <w:tc>
          <w:tcPr>
            <w:tcW w:w="2118" w:type="pct"/>
            <w:tcBorders>
              <w:tl2br w:val="nil"/>
              <w:tr2bl w:val="nil"/>
            </w:tcBorders>
            <w:noWrap w:val="0"/>
            <w:vAlign w:val="center"/>
          </w:tcPr>
          <w:p w14:paraId="486D9D43">
            <w:pPr>
              <w:spacing w:before="46" w:beforeLines="15" w:after="46" w:afterLines="15"/>
              <w:jc w:val="center"/>
              <w:rPr>
                <w:rFonts w:hint="eastAsia" w:ascii="Times New Roman" w:hAnsi="Times New Roman" w:eastAsia="仿宋" w:cs="Times New Roman"/>
                <w:bCs/>
                <w:color w:val="auto"/>
                <w:sz w:val="21"/>
                <w:szCs w:val="21"/>
              </w:rPr>
            </w:pPr>
            <w:r>
              <w:rPr>
                <w:rFonts w:hint="eastAsia" w:ascii="Times New Roman" w:hAnsi="Times New Roman" w:eastAsia="仿宋" w:cs="Times New Roman"/>
                <w:bCs/>
                <w:color w:val="auto"/>
                <w:sz w:val="21"/>
                <w:szCs w:val="21"/>
                <w:lang w:val="en-US" w:eastAsia="zh-CN"/>
              </w:rPr>
              <w:t>环己烷废液、环己酮废液、环戊酮废液、乙二醇废液</w:t>
            </w:r>
          </w:p>
        </w:tc>
        <w:tc>
          <w:tcPr>
            <w:tcW w:w="559" w:type="pct"/>
            <w:tcBorders>
              <w:tl2br w:val="nil"/>
              <w:tr2bl w:val="nil"/>
            </w:tcBorders>
            <w:noWrap/>
            <w:vAlign w:val="center"/>
          </w:tcPr>
          <w:p w14:paraId="31BA4A2A">
            <w:pPr>
              <w:spacing w:before="46" w:beforeLines="15" w:after="46" w:afterLines="15"/>
              <w:jc w:val="center"/>
              <w:rPr>
                <w:rFonts w:hint="eastAsia" w:ascii="Times New Roman" w:hAnsi="Times New Roman" w:eastAsia="仿宋" w:cs="Times New Roman"/>
                <w:bCs/>
                <w:color w:val="auto"/>
                <w:sz w:val="21"/>
                <w:szCs w:val="21"/>
              </w:rPr>
            </w:pPr>
            <w:r>
              <w:rPr>
                <w:rFonts w:hint="eastAsia" w:ascii="Times New Roman" w:hAnsi="Times New Roman" w:eastAsia="仿宋" w:cs="Times New Roman"/>
                <w:bCs/>
                <w:color w:val="auto"/>
                <w:sz w:val="21"/>
                <w:szCs w:val="21"/>
                <w:lang w:val="en-US" w:eastAsia="zh-CN"/>
              </w:rPr>
              <w:t>250</w:t>
            </w:r>
          </w:p>
        </w:tc>
      </w:tr>
      <w:tr w14:paraId="4ED1BD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06" w:type="pct"/>
            <w:vMerge w:val="continue"/>
            <w:tcBorders>
              <w:tl2br w:val="nil"/>
              <w:tr2bl w:val="nil"/>
            </w:tcBorders>
            <w:noWrap/>
            <w:vAlign w:val="center"/>
          </w:tcPr>
          <w:p w14:paraId="52937A37">
            <w:pPr>
              <w:spacing w:before="46" w:beforeLines="15" w:after="46" w:afterLines="15"/>
              <w:jc w:val="center"/>
              <w:rPr>
                <w:rFonts w:hint="eastAsia" w:ascii="Times New Roman" w:hAnsi="Times New Roman" w:eastAsia="仿宋" w:cs="Times New Roman"/>
                <w:bCs/>
                <w:color w:val="FF0000"/>
                <w:sz w:val="21"/>
                <w:szCs w:val="21"/>
              </w:rPr>
            </w:pPr>
          </w:p>
        </w:tc>
        <w:tc>
          <w:tcPr>
            <w:tcW w:w="392" w:type="pct"/>
            <w:vMerge w:val="continue"/>
            <w:tcBorders>
              <w:tl2br w:val="nil"/>
              <w:tr2bl w:val="nil"/>
            </w:tcBorders>
            <w:noWrap/>
            <w:vAlign w:val="center"/>
          </w:tcPr>
          <w:p w14:paraId="511E1D67">
            <w:pPr>
              <w:spacing w:before="46" w:beforeLines="15" w:after="46" w:afterLines="15"/>
              <w:jc w:val="center"/>
              <w:rPr>
                <w:rFonts w:hint="eastAsia" w:ascii="Times New Roman" w:hAnsi="Times New Roman" w:eastAsia="仿宋" w:cs="Times New Roman"/>
                <w:bCs/>
                <w:color w:val="FF0000"/>
                <w:sz w:val="21"/>
                <w:szCs w:val="21"/>
              </w:rPr>
            </w:pPr>
          </w:p>
        </w:tc>
        <w:tc>
          <w:tcPr>
            <w:tcW w:w="292" w:type="pct"/>
            <w:vMerge w:val="continue"/>
            <w:tcBorders>
              <w:tl2br w:val="nil"/>
              <w:tr2bl w:val="nil"/>
            </w:tcBorders>
            <w:noWrap/>
            <w:vAlign w:val="center"/>
          </w:tcPr>
          <w:p w14:paraId="68A42E71">
            <w:pPr>
              <w:spacing w:before="46" w:beforeLines="15" w:after="46" w:afterLines="15"/>
              <w:jc w:val="center"/>
              <w:rPr>
                <w:rFonts w:hint="eastAsia" w:ascii="Times New Roman" w:hAnsi="Times New Roman" w:eastAsia="仿宋" w:cs="Times New Roman"/>
                <w:bCs/>
                <w:color w:val="auto"/>
                <w:sz w:val="21"/>
                <w:szCs w:val="21"/>
              </w:rPr>
            </w:pPr>
          </w:p>
        </w:tc>
        <w:tc>
          <w:tcPr>
            <w:tcW w:w="1330" w:type="pct"/>
            <w:tcBorders>
              <w:tl2br w:val="nil"/>
              <w:tr2bl w:val="nil"/>
            </w:tcBorders>
            <w:noWrap w:val="0"/>
            <w:vAlign w:val="center"/>
          </w:tcPr>
          <w:p w14:paraId="3ECB3401">
            <w:pPr>
              <w:spacing w:before="46" w:beforeLines="15" w:after="46" w:afterLines="15"/>
              <w:jc w:val="center"/>
              <w:rPr>
                <w:rFonts w:hint="default" w:ascii="Times New Roman" w:hAnsi="Times New Roman" w:eastAsia="仿宋" w:cs="Times New Roman"/>
                <w:bCs/>
                <w:color w:val="auto"/>
                <w:sz w:val="21"/>
                <w:szCs w:val="21"/>
                <w:lang w:val="en-US"/>
              </w:rPr>
            </w:pPr>
            <w:r>
              <w:rPr>
                <w:rFonts w:hint="eastAsia" w:ascii="Times New Roman" w:hAnsi="Times New Roman" w:eastAsia="仿宋" w:cs="Times New Roman"/>
                <w:bCs/>
                <w:color w:val="auto"/>
                <w:sz w:val="21"/>
                <w:szCs w:val="21"/>
                <w:lang w:val="en-US" w:eastAsia="zh-CN"/>
              </w:rPr>
              <w:t>264-011-12，264-013-12，900-250-12，900-251-12，900-252-12，900-253-12</w:t>
            </w:r>
            <w:r>
              <w:rPr>
                <w:rFonts w:hint="eastAsia" w:eastAsia="仿宋" w:cs="Times New Roman"/>
                <w:bCs/>
                <w:color w:val="auto"/>
                <w:sz w:val="21"/>
                <w:szCs w:val="21"/>
                <w:lang w:val="en-US" w:eastAsia="zh-CN"/>
              </w:rPr>
              <w:t>，90-256-12</w:t>
            </w:r>
          </w:p>
        </w:tc>
        <w:tc>
          <w:tcPr>
            <w:tcW w:w="2118" w:type="pct"/>
            <w:tcBorders>
              <w:tl2br w:val="nil"/>
              <w:tr2bl w:val="nil"/>
            </w:tcBorders>
            <w:noWrap w:val="0"/>
            <w:vAlign w:val="center"/>
          </w:tcPr>
          <w:p w14:paraId="5432539A">
            <w:pPr>
              <w:spacing w:before="46" w:beforeLines="15" w:after="46" w:afterLines="15"/>
              <w:jc w:val="center"/>
              <w:rPr>
                <w:rFonts w:hint="eastAsia" w:ascii="Times New Roman" w:hAnsi="Times New Roman" w:eastAsia="仿宋" w:cs="Times New Roman"/>
                <w:bCs/>
                <w:color w:val="auto"/>
                <w:sz w:val="21"/>
                <w:szCs w:val="21"/>
              </w:rPr>
            </w:pPr>
            <w:r>
              <w:rPr>
                <w:rFonts w:hint="eastAsia" w:ascii="Times New Roman" w:hAnsi="Times New Roman" w:eastAsia="仿宋" w:cs="Times New Roman"/>
                <w:bCs/>
                <w:color w:val="auto"/>
                <w:sz w:val="21"/>
                <w:szCs w:val="21"/>
                <w:lang w:val="en-US" w:eastAsia="zh-CN"/>
              </w:rPr>
              <w:t>丁酮废液、甲苯废液、二甲苯废液、乙酸乙酯废液、乙酸丁酯废液、正庚烷废液、乙酸甲酯废液、异丙醇废液、乙醇废液、甲醇废液、乙腈废液、丁醇、辛醇轻重组分废液</w:t>
            </w:r>
          </w:p>
        </w:tc>
        <w:tc>
          <w:tcPr>
            <w:tcW w:w="559" w:type="pct"/>
            <w:tcBorders>
              <w:tl2br w:val="nil"/>
              <w:tr2bl w:val="nil"/>
            </w:tcBorders>
            <w:noWrap/>
            <w:vAlign w:val="center"/>
          </w:tcPr>
          <w:p w14:paraId="03D4EF95">
            <w:pPr>
              <w:spacing w:before="46" w:beforeLines="15" w:after="46" w:afterLines="15"/>
              <w:jc w:val="center"/>
              <w:rPr>
                <w:rFonts w:hint="eastAsia" w:ascii="Times New Roman" w:hAnsi="Times New Roman" w:eastAsia="仿宋" w:cs="Times New Roman"/>
                <w:bCs/>
                <w:color w:val="auto"/>
                <w:sz w:val="21"/>
                <w:szCs w:val="21"/>
              </w:rPr>
            </w:pPr>
            <w:r>
              <w:rPr>
                <w:rFonts w:hint="eastAsia" w:ascii="Times New Roman" w:hAnsi="Times New Roman" w:eastAsia="仿宋" w:cs="Times New Roman"/>
                <w:bCs/>
                <w:color w:val="auto"/>
                <w:sz w:val="21"/>
                <w:szCs w:val="21"/>
                <w:lang w:val="en-US" w:eastAsia="zh-CN"/>
              </w:rPr>
              <w:t>1900</w:t>
            </w:r>
          </w:p>
        </w:tc>
      </w:tr>
      <w:tr w14:paraId="67D8F2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06" w:type="pct"/>
            <w:vMerge w:val="restart"/>
            <w:tcBorders>
              <w:tl2br w:val="nil"/>
              <w:tr2bl w:val="nil"/>
            </w:tcBorders>
            <w:noWrap/>
            <w:vAlign w:val="center"/>
          </w:tcPr>
          <w:p w14:paraId="033FA9CE">
            <w:pPr>
              <w:spacing w:before="46" w:beforeLines="15" w:after="46" w:afterLines="15"/>
              <w:jc w:val="center"/>
              <w:rPr>
                <w:rFonts w:hint="default" w:ascii="Times New Roman" w:hAnsi="Times New Roman" w:eastAsia="仿宋" w:cs="Times New Roman"/>
                <w:bCs/>
                <w:color w:val="FF0000"/>
                <w:sz w:val="21"/>
                <w:szCs w:val="21"/>
                <w:lang w:val="en-US" w:eastAsia="zh-CN"/>
              </w:rPr>
            </w:pPr>
            <w:r>
              <w:rPr>
                <w:rFonts w:hint="eastAsia" w:eastAsia="仿宋" w:cs="Times New Roman"/>
                <w:bCs/>
                <w:color w:val="auto"/>
                <w:sz w:val="21"/>
                <w:szCs w:val="21"/>
                <w:lang w:val="en-US" w:eastAsia="zh-CN"/>
              </w:rPr>
              <w:t>7</w:t>
            </w:r>
          </w:p>
        </w:tc>
        <w:tc>
          <w:tcPr>
            <w:tcW w:w="392" w:type="pct"/>
            <w:vMerge w:val="continue"/>
            <w:tcBorders>
              <w:tl2br w:val="nil"/>
              <w:tr2bl w:val="nil"/>
            </w:tcBorders>
            <w:noWrap/>
            <w:vAlign w:val="center"/>
          </w:tcPr>
          <w:p w14:paraId="3705A667">
            <w:pPr>
              <w:spacing w:before="46" w:beforeLines="15" w:after="46" w:afterLines="15"/>
              <w:jc w:val="center"/>
              <w:rPr>
                <w:rFonts w:hint="eastAsia" w:ascii="Times New Roman" w:hAnsi="Times New Roman" w:eastAsia="仿宋" w:cs="Times New Roman"/>
                <w:bCs/>
                <w:color w:val="FF0000"/>
                <w:sz w:val="21"/>
                <w:szCs w:val="21"/>
                <w:lang w:val="en-US" w:eastAsia="zh-CN"/>
              </w:rPr>
            </w:pPr>
          </w:p>
        </w:tc>
        <w:tc>
          <w:tcPr>
            <w:tcW w:w="292" w:type="pct"/>
            <w:vMerge w:val="restart"/>
            <w:tcBorders>
              <w:tl2br w:val="nil"/>
              <w:tr2bl w:val="nil"/>
            </w:tcBorders>
            <w:noWrap/>
            <w:vAlign w:val="center"/>
          </w:tcPr>
          <w:p w14:paraId="4F2A21D4">
            <w:pPr>
              <w:spacing w:before="46" w:beforeLines="15" w:after="46" w:afterLines="15"/>
              <w:jc w:val="center"/>
              <w:rPr>
                <w:rFonts w:hint="eastAsia" w:ascii="Times New Roman" w:hAnsi="Times New Roman" w:eastAsia="仿宋" w:cs="Times New Roman"/>
                <w:bCs/>
                <w:color w:val="auto"/>
                <w:sz w:val="21"/>
                <w:szCs w:val="21"/>
              </w:rPr>
            </w:pPr>
            <w:r>
              <w:rPr>
                <w:rFonts w:hint="eastAsia" w:ascii="Times New Roman" w:hAnsi="Times New Roman" w:eastAsia="仿宋" w:cs="Times New Roman"/>
                <w:bCs/>
                <w:color w:val="auto"/>
                <w:sz w:val="21"/>
                <w:szCs w:val="21"/>
                <w:lang w:val="en-US" w:eastAsia="zh-CN"/>
              </w:rPr>
              <w:t>HW13</w:t>
            </w:r>
          </w:p>
        </w:tc>
        <w:tc>
          <w:tcPr>
            <w:tcW w:w="1330" w:type="pct"/>
            <w:tcBorders>
              <w:tl2br w:val="nil"/>
              <w:tr2bl w:val="nil"/>
            </w:tcBorders>
            <w:noWrap/>
            <w:vAlign w:val="center"/>
          </w:tcPr>
          <w:p w14:paraId="4BF9A1B8">
            <w:pPr>
              <w:spacing w:before="46" w:beforeLines="15" w:after="46" w:afterLines="15"/>
              <w:jc w:val="center"/>
              <w:rPr>
                <w:rFonts w:hint="eastAsia" w:ascii="Times New Roman" w:hAnsi="Times New Roman" w:eastAsia="仿宋" w:cs="Times New Roman"/>
                <w:bCs/>
                <w:color w:val="auto"/>
                <w:sz w:val="21"/>
                <w:szCs w:val="21"/>
              </w:rPr>
            </w:pPr>
            <w:r>
              <w:rPr>
                <w:rFonts w:hint="eastAsia" w:ascii="Times New Roman" w:hAnsi="Times New Roman" w:eastAsia="仿宋" w:cs="Times New Roman"/>
                <w:bCs/>
                <w:color w:val="auto"/>
                <w:sz w:val="21"/>
                <w:szCs w:val="21"/>
                <w:lang w:val="en-US" w:eastAsia="zh-CN"/>
              </w:rPr>
              <w:t>265-101-13</w:t>
            </w:r>
          </w:p>
        </w:tc>
        <w:tc>
          <w:tcPr>
            <w:tcW w:w="2118" w:type="pct"/>
            <w:tcBorders>
              <w:tl2br w:val="nil"/>
              <w:tr2bl w:val="nil"/>
            </w:tcBorders>
            <w:noWrap/>
            <w:vAlign w:val="center"/>
          </w:tcPr>
          <w:p w14:paraId="79D69522">
            <w:pPr>
              <w:spacing w:before="46" w:beforeLines="15" w:after="46" w:afterLines="15"/>
              <w:jc w:val="center"/>
              <w:rPr>
                <w:rFonts w:hint="eastAsia" w:ascii="Times New Roman" w:hAnsi="Times New Roman" w:eastAsia="仿宋" w:cs="Times New Roman"/>
                <w:bCs/>
                <w:color w:val="auto"/>
                <w:sz w:val="21"/>
                <w:szCs w:val="21"/>
              </w:rPr>
            </w:pPr>
            <w:r>
              <w:rPr>
                <w:rFonts w:hint="eastAsia" w:ascii="Times New Roman" w:hAnsi="Times New Roman" w:eastAsia="仿宋" w:cs="Times New Roman"/>
                <w:bCs/>
                <w:color w:val="auto"/>
                <w:sz w:val="21"/>
                <w:szCs w:val="21"/>
                <w:lang w:val="en-US" w:eastAsia="zh-CN"/>
              </w:rPr>
              <w:t>乙二醇废液</w:t>
            </w:r>
          </w:p>
        </w:tc>
        <w:tc>
          <w:tcPr>
            <w:tcW w:w="559" w:type="pct"/>
            <w:tcBorders>
              <w:tl2br w:val="nil"/>
              <w:tr2bl w:val="nil"/>
            </w:tcBorders>
            <w:noWrap/>
            <w:vAlign w:val="center"/>
          </w:tcPr>
          <w:p w14:paraId="347EED59">
            <w:pPr>
              <w:spacing w:before="46" w:beforeLines="15" w:after="46" w:afterLines="15"/>
              <w:jc w:val="center"/>
              <w:rPr>
                <w:rFonts w:hint="eastAsia" w:ascii="Times New Roman" w:hAnsi="Times New Roman" w:eastAsia="仿宋" w:cs="Times New Roman"/>
                <w:bCs/>
                <w:color w:val="auto"/>
                <w:sz w:val="21"/>
                <w:szCs w:val="21"/>
              </w:rPr>
            </w:pPr>
            <w:r>
              <w:rPr>
                <w:rFonts w:hint="eastAsia" w:ascii="Times New Roman" w:hAnsi="Times New Roman" w:eastAsia="仿宋" w:cs="Times New Roman"/>
                <w:bCs/>
                <w:color w:val="auto"/>
                <w:sz w:val="21"/>
                <w:szCs w:val="21"/>
                <w:lang w:val="en-US" w:eastAsia="zh-CN"/>
              </w:rPr>
              <w:t>100</w:t>
            </w:r>
          </w:p>
        </w:tc>
      </w:tr>
      <w:tr w14:paraId="38C801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06" w:type="pct"/>
            <w:vMerge w:val="continue"/>
            <w:tcBorders>
              <w:tl2br w:val="nil"/>
              <w:tr2bl w:val="nil"/>
            </w:tcBorders>
            <w:noWrap/>
            <w:vAlign w:val="center"/>
          </w:tcPr>
          <w:p w14:paraId="5977A537">
            <w:pPr>
              <w:spacing w:before="46" w:beforeLines="15" w:after="46" w:afterLines="15"/>
              <w:jc w:val="center"/>
              <w:rPr>
                <w:rFonts w:hint="eastAsia" w:ascii="Times New Roman" w:hAnsi="Times New Roman" w:eastAsia="仿宋" w:cs="Times New Roman"/>
                <w:bCs/>
                <w:color w:val="FF0000"/>
                <w:sz w:val="21"/>
                <w:szCs w:val="21"/>
              </w:rPr>
            </w:pPr>
          </w:p>
        </w:tc>
        <w:tc>
          <w:tcPr>
            <w:tcW w:w="392" w:type="pct"/>
            <w:vMerge w:val="continue"/>
            <w:tcBorders>
              <w:tl2br w:val="nil"/>
              <w:tr2bl w:val="nil"/>
            </w:tcBorders>
            <w:noWrap/>
            <w:vAlign w:val="center"/>
          </w:tcPr>
          <w:p w14:paraId="5426BEA3">
            <w:pPr>
              <w:spacing w:before="46" w:beforeLines="15" w:after="46" w:afterLines="15"/>
              <w:jc w:val="center"/>
              <w:rPr>
                <w:rFonts w:hint="eastAsia" w:ascii="Times New Roman" w:hAnsi="Times New Roman" w:eastAsia="仿宋" w:cs="Times New Roman"/>
                <w:bCs/>
                <w:color w:val="FF0000"/>
                <w:sz w:val="21"/>
                <w:szCs w:val="21"/>
              </w:rPr>
            </w:pPr>
          </w:p>
        </w:tc>
        <w:tc>
          <w:tcPr>
            <w:tcW w:w="292" w:type="pct"/>
            <w:vMerge w:val="continue"/>
            <w:tcBorders>
              <w:tl2br w:val="nil"/>
              <w:tr2bl w:val="nil"/>
            </w:tcBorders>
            <w:noWrap/>
            <w:vAlign w:val="center"/>
          </w:tcPr>
          <w:p w14:paraId="49C4C1CA">
            <w:pPr>
              <w:spacing w:before="46" w:beforeLines="15" w:after="46" w:afterLines="15"/>
              <w:jc w:val="center"/>
              <w:rPr>
                <w:rFonts w:hint="eastAsia" w:ascii="Times New Roman" w:hAnsi="Times New Roman" w:eastAsia="仿宋" w:cs="Times New Roman"/>
                <w:bCs/>
                <w:color w:val="auto"/>
                <w:sz w:val="21"/>
                <w:szCs w:val="21"/>
              </w:rPr>
            </w:pPr>
          </w:p>
        </w:tc>
        <w:tc>
          <w:tcPr>
            <w:tcW w:w="1330" w:type="pct"/>
            <w:tcBorders>
              <w:tl2br w:val="nil"/>
              <w:tr2bl w:val="nil"/>
            </w:tcBorders>
            <w:noWrap/>
            <w:vAlign w:val="center"/>
          </w:tcPr>
          <w:p w14:paraId="08DF5B4E">
            <w:pPr>
              <w:spacing w:before="46" w:beforeLines="15" w:after="46" w:afterLines="15"/>
              <w:jc w:val="center"/>
              <w:rPr>
                <w:rFonts w:hint="default" w:ascii="Times New Roman" w:hAnsi="Times New Roman" w:eastAsia="仿宋" w:cs="Times New Roman"/>
                <w:bCs/>
                <w:color w:val="auto"/>
                <w:sz w:val="21"/>
                <w:szCs w:val="21"/>
                <w:lang w:val="en-US"/>
              </w:rPr>
            </w:pPr>
            <w:r>
              <w:rPr>
                <w:rFonts w:hint="eastAsia" w:ascii="Times New Roman" w:hAnsi="Times New Roman" w:eastAsia="仿宋" w:cs="Times New Roman"/>
                <w:bCs/>
                <w:color w:val="auto"/>
                <w:sz w:val="21"/>
                <w:szCs w:val="21"/>
                <w:lang w:val="en-US" w:eastAsia="zh-CN"/>
              </w:rPr>
              <w:t>265-102-13</w:t>
            </w:r>
            <w:r>
              <w:rPr>
                <w:rFonts w:hint="eastAsia" w:eastAsia="仿宋" w:cs="Times New Roman"/>
                <w:bCs/>
                <w:color w:val="auto"/>
                <w:sz w:val="21"/>
                <w:szCs w:val="21"/>
                <w:lang w:val="en-US" w:eastAsia="zh-CN"/>
              </w:rPr>
              <w:t>，900-014-13</w:t>
            </w:r>
          </w:p>
        </w:tc>
        <w:tc>
          <w:tcPr>
            <w:tcW w:w="2118" w:type="pct"/>
            <w:tcBorders>
              <w:tl2br w:val="nil"/>
              <w:tr2bl w:val="nil"/>
            </w:tcBorders>
            <w:noWrap w:val="0"/>
            <w:vAlign w:val="center"/>
          </w:tcPr>
          <w:p w14:paraId="1CF586F7">
            <w:pPr>
              <w:spacing w:before="46" w:beforeLines="15" w:after="46" w:afterLines="15"/>
              <w:jc w:val="center"/>
              <w:rPr>
                <w:rFonts w:hint="eastAsia" w:ascii="Times New Roman" w:hAnsi="Times New Roman" w:eastAsia="仿宋" w:cs="Times New Roman"/>
                <w:bCs/>
                <w:color w:val="auto"/>
                <w:sz w:val="21"/>
                <w:szCs w:val="21"/>
              </w:rPr>
            </w:pPr>
            <w:r>
              <w:rPr>
                <w:rFonts w:hint="eastAsia" w:ascii="Times New Roman" w:hAnsi="Times New Roman" w:eastAsia="仿宋" w:cs="Times New Roman"/>
                <w:bCs/>
                <w:color w:val="auto"/>
                <w:sz w:val="21"/>
                <w:szCs w:val="21"/>
                <w:lang w:val="en-US" w:eastAsia="zh-CN"/>
              </w:rPr>
              <w:t>丁酮废液、甲苯废液、二甲苯废液、乙酸乙酯废液、乙酸丁酯废液、正庚烷废液、乙酸甲酯废液、异丙醇废液、乙醇废液、甲醇废液、乙腈废液</w:t>
            </w:r>
          </w:p>
        </w:tc>
        <w:tc>
          <w:tcPr>
            <w:tcW w:w="559" w:type="pct"/>
            <w:tcBorders>
              <w:tl2br w:val="nil"/>
              <w:tr2bl w:val="nil"/>
            </w:tcBorders>
            <w:noWrap/>
            <w:vAlign w:val="center"/>
          </w:tcPr>
          <w:p w14:paraId="57F12140">
            <w:pPr>
              <w:spacing w:before="46" w:beforeLines="15" w:after="46" w:afterLines="15"/>
              <w:jc w:val="center"/>
              <w:rPr>
                <w:rFonts w:hint="default" w:ascii="Times New Roman" w:hAnsi="Times New Roman" w:eastAsia="仿宋" w:cs="Times New Roman"/>
                <w:bCs/>
                <w:color w:val="auto"/>
                <w:sz w:val="21"/>
                <w:szCs w:val="21"/>
                <w:lang w:val="en-US"/>
              </w:rPr>
            </w:pPr>
            <w:r>
              <w:rPr>
                <w:rFonts w:hint="eastAsia" w:eastAsia="仿宋" w:cs="Times New Roman"/>
                <w:bCs/>
                <w:color w:val="auto"/>
                <w:sz w:val="21"/>
                <w:szCs w:val="21"/>
                <w:lang w:val="en-US" w:eastAsia="zh-CN"/>
              </w:rPr>
              <w:t>505</w:t>
            </w:r>
          </w:p>
        </w:tc>
      </w:tr>
      <w:tr w14:paraId="056425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06" w:type="pct"/>
            <w:vMerge w:val="continue"/>
            <w:tcBorders>
              <w:tl2br w:val="nil"/>
              <w:tr2bl w:val="nil"/>
            </w:tcBorders>
            <w:noWrap/>
            <w:vAlign w:val="center"/>
          </w:tcPr>
          <w:p w14:paraId="0421C579">
            <w:pPr>
              <w:spacing w:before="46" w:beforeLines="15" w:after="46" w:afterLines="15"/>
              <w:jc w:val="center"/>
              <w:rPr>
                <w:rFonts w:hint="eastAsia" w:ascii="Times New Roman" w:hAnsi="Times New Roman" w:eastAsia="仿宋" w:cs="Times New Roman"/>
                <w:bCs/>
                <w:color w:val="FF0000"/>
                <w:sz w:val="21"/>
                <w:szCs w:val="21"/>
              </w:rPr>
            </w:pPr>
          </w:p>
        </w:tc>
        <w:tc>
          <w:tcPr>
            <w:tcW w:w="392" w:type="pct"/>
            <w:vMerge w:val="continue"/>
            <w:tcBorders>
              <w:tl2br w:val="nil"/>
              <w:tr2bl w:val="nil"/>
            </w:tcBorders>
            <w:noWrap/>
            <w:vAlign w:val="center"/>
          </w:tcPr>
          <w:p w14:paraId="63D5DE89">
            <w:pPr>
              <w:spacing w:before="46" w:beforeLines="15" w:after="46" w:afterLines="15"/>
              <w:jc w:val="center"/>
              <w:rPr>
                <w:rFonts w:hint="eastAsia" w:ascii="Times New Roman" w:hAnsi="Times New Roman" w:eastAsia="仿宋" w:cs="Times New Roman"/>
                <w:bCs/>
                <w:color w:val="FF0000"/>
                <w:sz w:val="21"/>
                <w:szCs w:val="21"/>
              </w:rPr>
            </w:pPr>
          </w:p>
        </w:tc>
        <w:tc>
          <w:tcPr>
            <w:tcW w:w="292" w:type="pct"/>
            <w:vMerge w:val="continue"/>
            <w:tcBorders>
              <w:tl2br w:val="nil"/>
              <w:tr2bl w:val="nil"/>
            </w:tcBorders>
            <w:noWrap/>
            <w:vAlign w:val="center"/>
          </w:tcPr>
          <w:p w14:paraId="39CDE629">
            <w:pPr>
              <w:spacing w:before="46" w:beforeLines="15" w:after="46" w:afterLines="15"/>
              <w:jc w:val="center"/>
              <w:rPr>
                <w:rFonts w:hint="eastAsia" w:ascii="Times New Roman" w:hAnsi="Times New Roman" w:eastAsia="仿宋" w:cs="Times New Roman"/>
                <w:bCs/>
                <w:color w:val="FF0000"/>
                <w:sz w:val="21"/>
                <w:szCs w:val="21"/>
              </w:rPr>
            </w:pPr>
          </w:p>
        </w:tc>
        <w:tc>
          <w:tcPr>
            <w:tcW w:w="1330" w:type="pct"/>
            <w:tcBorders>
              <w:tl2br w:val="nil"/>
              <w:tr2bl w:val="nil"/>
            </w:tcBorders>
            <w:noWrap/>
            <w:vAlign w:val="center"/>
          </w:tcPr>
          <w:p w14:paraId="49B37216">
            <w:pPr>
              <w:spacing w:before="46" w:beforeLines="15" w:after="46" w:afterLines="15"/>
              <w:jc w:val="center"/>
              <w:rPr>
                <w:rFonts w:hint="eastAsia" w:ascii="Times New Roman" w:hAnsi="Times New Roman" w:eastAsia="仿宋" w:cs="Times New Roman"/>
                <w:bCs/>
                <w:color w:val="auto"/>
                <w:sz w:val="21"/>
                <w:szCs w:val="21"/>
              </w:rPr>
            </w:pPr>
            <w:r>
              <w:rPr>
                <w:rFonts w:hint="eastAsia" w:ascii="Times New Roman" w:hAnsi="Times New Roman" w:eastAsia="仿宋" w:cs="Times New Roman"/>
                <w:bCs/>
                <w:color w:val="auto"/>
                <w:sz w:val="21"/>
                <w:szCs w:val="21"/>
                <w:lang w:val="en-US" w:eastAsia="zh-CN"/>
              </w:rPr>
              <w:t>265-102-13，265-103-13</w:t>
            </w:r>
          </w:p>
        </w:tc>
        <w:tc>
          <w:tcPr>
            <w:tcW w:w="2118" w:type="pct"/>
            <w:tcBorders>
              <w:tl2br w:val="nil"/>
              <w:tr2bl w:val="nil"/>
            </w:tcBorders>
            <w:noWrap w:val="0"/>
            <w:vAlign w:val="center"/>
          </w:tcPr>
          <w:p w14:paraId="28FD9DE5">
            <w:pPr>
              <w:spacing w:before="46" w:beforeLines="15" w:after="46" w:afterLines="15"/>
              <w:jc w:val="center"/>
              <w:rPr>
                <w:rFonts w:hint="eastAsia" w:ascii="Times New Roman" w:hAnsi="Times New Roman" w:eastAsia="仿宋" w:cs="Times New Roman"/>
                <w:bCs/>
                <w:color w:val="auto"/>
                <w:sz w:val="21"/>
                <w:szCs w:val="21"/>
              </w:rPr>
            </w:pPr>
            <w:r>
              <w:rPr>
                <w:rFonts w:hint="eastAsia" w:ascii="Times New Roman" w:hAnsi="Times New Roman" w:eastAsia="仿宋" w:cs="Times New Roman"/>
                <w:bCs/>
                <w:color w:val="auto"/>
                <w:sz w:val="21"/>
                <w:szCs w:val="21"/>
                <w:lang w:val="en-US" w:eastAsia="zh-CN"/>
              </w:rPr>
              <w:t>环己烷废液、环己酮废液、环戊酮废液</w:t>
            </w:r>
            <w:r>
              <w:rPr>
                <w:rFonts w:hint="eastAsia" w:eastAsia="仿宋" w:cs="Times New Roman"/>
                <w:bCs/>
                <w:color w:val="auto"/>
                <w:sz w:val="21"/>
                <w:szCs w:val="21"/>
                <w:lang w:val="en-US" w:eastAsia="zh-CN"/>
              </w:rPr>
              <w:t>、</w:t>
            </w:r>
            <w:r>
              <w:rPr>
                <w:rFonts w:hint="eastAsia" w:ascii="Times New Roman" w:hAnsi="Times New Roman" w:eastAsia="仿宋" w:cs="Times New Roman"/>
                <w:bCs/>
                <w:color w:val="auto"/>
                <w:sz w:val="21"/>
                <w:szCs w:val="21"/>
                <w:lang w:val="en-US" w:eastAsia="zh-CN"/>
              </w:rPr>
              <w:t>多元醇废液、丁醇、辛醇轻重组分废液</w:t>
            </w:r>
          </w:p>
        </w:tc>
        <w:tc>
          <w:tcPr>
            <w:tcW w:w="559" w:type="pct"/>
            <w:tcBorders>
              <w:tl2br w:val="nil"/>
              <w:tr2bl w:val="nil"/>
            </w:tcBorders>
            <w:noWrap/>
            <w:vAlign w:val="center"/>
          </w:tcPr>
          <w:p w14:paraId="1DF7C7F2">
            <w:pPr>
              <w:spacing w:before="46" w:beforeLines="15" w:after="46" w:afterLines="15"/>
              <w:jc w:val="center"/>
              <w:rPr>
                <w:rFonts w:hint="default" w:ascii="Times New Roman" w:hAnsi="Times New Roman" w:eastAsia="仿宋" w:cs="Times New Roman"/>
                <w:bCs/>
                <w:color w:val="auto"/>
                <w:sz w:val="21"/>
                <w:szCs w:val="21"/>
                <w:lang w:val="en-US"/>
              </w:rPr>
            </w:pPr>
            <w:r>
              <w:rPr>
                <w:rFonts w:hint="eastAsia" w:eastAsia="仿宋" w:cs="Times New Roman"/>
                <w:bCs/>
                <w:color w:val="auto"/>
                <w:sz w:val="21"/>
                <w:szCs w:val="21"/>
                <w:lang w:val="en-US" w:eastAsia="zh-CN"/>
              </w:rPr>
              <w:t>300</w:t>
            </w:r>
          </w:p>
        </w:tc>
      </w:tr>
      <w:tr w14:paraId="21CDDE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06" w:type="pct"/>
            <w:tcBorders>
              <w:tl2br w:val="nil"/>
              <w:tr2bl w:val="nil"/>
            </w:tcBorders>
            <w:noWrap/>
            <w:vAlign w:val="center"/>
          </w:tcPr>
          <w:p w14:paraId="2BE10CC8">
            <w:pPr>
              <w:spacing w:before="46" w:beforeLines="15" w:after="46" w:afterLines="15"/>
              <w:jc w:val="center"/>
              <w:rPr>
                <w:rFonts w:hint="default" w:ascii="Times New Roman" w:hAnsi="Times New Roman" w:eastAsia="仿宋" w:cs="Times New Roman"/>
                <w:bCs/>
                <w:color w:val="auto"/>
                <w:sz w:val="21"/>
                <w:szCs w:val="21"/>
                <w:lang w:val="en-US" w:eastAsia="zh-CN"/>
              </w:rPr>
            </w:pPr>
            <w:r>
              <w:rPr>
                <w:rFonts w:hint="eastAsia" w:eastAsia="仿宋" w:cs="Times New Roman"/>
                <w:bCs/>
                <w:color w:val="auto"/>
                <w:sz w:val="21"/>
                <w:szCs w:val="21"/>
                <w:lang w:val="en-US" w:eastAsia="zh-CN"/>
              </w:rPr>
              <w:t>8</w:t>
            </w:r>
          </w:p>
        </w:tc>
        <w:tc>
          <w:tcPr>
            <w:tcW w:w="392" w:type="pct"/>
            <w:vMerge w:val="continue"/>
            <w:tcBorders>
              <w:tl2br w:val="nil"/>
              <w:tr2bl w:val="nil"/>
            </w:tcBorders>
            <w:noWrap/>
            <w:vAlign w:val="center"/>
          </w:tcPr>
          <w:p w14:paraId="12FCA652">
            <w:pPr>
              <w:spacing w:before="46" w:beforeLines="15" w:after="46" w:afterLines="15"/>
              <w:jc w:val="center"/>
              <w:rPr>
                <w:rFonts w:hint="eastAsia" w:ascii="Times New Roman" w:hAnsi="Times New Roman" w:eastAsia="仿宋" w:cs="Times New Roman"/>
                <w:bCs/>
                <w:color w:val="auto"/>
                <w:sz w:val="21"/>
                <w:szCs w:val="21"/>
                <w:lang w:val="en-US" w:eastAsia="zh-CN"/>
              </w:rPr>
            </w:pPr>
          </w:p>
        </w:tc>
        <w:tc>
          <w:tcPr>
            <w:tcW w:w="292" w:type="pct"/>
            <w:tcBorders>
              <w:tl2br w:val="nil"/>
              <w:tr2bl w:val="nil"/>
            </w:tcBorders>
            <w:noWrap/>
            <w:vAlign w:val="center"/>
          </w:tcPr>
          <w:p w14:paraId="230AA5ED">
            <w:pPr>
              <w:spacing w:before="46" w:beforeLines="15" w:after="46" w:afterLines="15"/>
              <w:jc w:val="center"/>
              <w:rPr>
                <w:rFonts w:hint="eastAsia" w:ascii="Times New Roman" w:hAnsi="Times New Roman" w:eastAsia="仿宋" w:cs="Times New Roman"/>
                <w:bCs/>
                <w:color w:val="auto"/>
                <w:sz w:val="21"/>
                <w:szCs w:val="21"/>
              </w:rPr>
            </w:pPr>
            <w:r>
              <w:rPr>
                <w:rFonts w:hint="eastAsia" w:ascii="Times New Roman" w:hAnsi="Times New Roman" w:eastAsia="仿宋" w:cs="Times New Roman"/>
                <w:bCs/>
                <w:color w:val="auto"/>
                <w:sz w:val="21"/>
                <w:szCs w:val="21"/>
                <w:lang w:val="en-US" w:eastAsia="zh-CN"/>
              </w:rPr>
              <w:t>HW16</w:t>
            </w:r>
          </w:p>
        </w:tc>
        <w:tc>
          <w:tcPr>
            <w:tcW w:w="1330" w:type="pct"/>
            <w:tcBorders>
              <w:tl2br w:val="nil"/>
              <w:tr2bl w:val="nil"/>
            </w:tcBorders>
            <w:noWrap/>
            <w:vAlign w:val="center"/>
          </w:tcPr>
          <w:p w14:paraId="3C9A5CB9">
            <w:pPr>
              <w:spacing w:before="46" w:beforeLines="15" w:after="46" w:afterLines="15"/>
              <w:jc w:val="center"/>
              <w:rPr>
                <w:rFonts w:hint="eastAsia" w:ascii="Times New Roman" w:hAnsi="Times New Roman" w:eastAsia="仿宋" w:cs="Times New Roman"/>
                <w:bCs/>
                <w:color w:val="auto"/>
                <w:sz w:val="21"/>
                <w:szCs w:val="21"/>
              </w:rPr>
            </w:pPr>
            <w:r>
              <w:rPr>
                <w:rFonts w:hint="eastAsia" w:ascii="Times New Roman" w:hAnsi="Times New Roman" w:eastAsia="仿宋" w:cs="Times New Roman"/>
                <w:bCs/>
                <w:color w:val="auto"/>
                <w:sz w:val="21"/>
                <w:szCs w:val="21"/>
                <w:lang w:val="en-US" w:eastAsia="zh-CN"/>
              </w:rPr>
              <w:t>398-001-16，266-009-16，900-019-16</w:t>
            </w:r>
          </w:p>
        </w:tc>
        <w:tc>
          <w:tcPr>
            <w:tcW w:w="2118" w:type="pct"/>
            <w:tcBorders>
              <w:tl2br w:val="nil"/>
              <w:tr2bl w:val="nil"/>
            </w:tcBorders>
            <w:noWrap/>
            <w:vAlign w:val="center"/>
          </w:tcPr>
          <w:p w14:paraId="6BBE4599">
            <w:pPr>
              <w:spacing w:before="46" w:beforeLines="15" w:after="46" w:afterLines="15"/>
              <w:jc w:val="center"/>
              <w:rPr>
                <w:rFonts w:hint="eastAsia" w:ascii="Times New Roman" w:hAnsi="Times New Roman" w:eastAsia="仿宋" w:cs="Times New Roman"/>
                <w:bCs/>
                <w:color w:val="auto"/>
                <w:sz w:val="21"/>
                <w:szCs w:val="21"/>
              </w:rPr>
            </w:pPr>
            <w:r>
              <w:rPr>
                <w:rFonts w:hint="eastAsia" w:ascii="Times New Roman" w:hAnsi="Times New Roman" w:eastAsia="仿宋" w:cs="Times New Roman"/>
                <w:bCs/>
                <w:color w:val="auto"/>
                <w:sz w:val="21"/>
                <w:szCs w:val="21"/>
                <w:lang w:val="en-US" w:eastAsia="zh-CN"/>
              </w:rPr>
              <w:t>二甲基亚砜废液</w:t>
            </w:r>
          </w:p>
        </w:tc>
        <w:tc>
          <w:tcPr>
            <w:tcW w:w="559" w:type="pct"/>
            <w:tcBorders>
              <w:tl2br w:val="nil"/>
              <w:tr2bl w:val="nil"/>
            </w:tcBorders>
            <w:noWrap/>
            <w:vAlign w:val="center"/>
          </w:tcPr>
          <w:p w14:paraId="42EF4E60">
            <w:pPr>
              <w:spacing w:before="46" w:beforeLines="15" w:after="46" w:afterLines="15"/>
              <w:jc w:val="center"/>
              <w:rPr>
                <w:rFonts w:hint="eastAsia" w:ascii="Times New Roman" w:hAnsi="Times New Roman" w:eastAsia="仿宋" w:cs="Times New Roman"/>
                <w:bCs/>
                <w:color w:val="auto"/>
                <w:sz w:val="21"/>
                <w:szCs w:val="21"/>
              </w:rPr>
            </w:pPr>
            <w:r>
              <w:rPr>
                <w:rFonts w:hint="eastAsia" w:eastAsia="仿宋" w:cs="Times New Roman"/>
                <w:bCs/>
                <w:color w:val="auto"/>
                <w:sz w:val="21"/>
                <w:szCs w:val="21"/>
                <w:lang w:val="en-US" w:eastAsia="zh-CN"/>
              </w:rPr>
              <w:t>1</w:t>
            </w:r>
            <w:r>
              <w:rPr>
                <w:rFonts w:hint="eastAsia" w:ascii="Times New Roman" w:hAnsi="Times New Roman" w:eastAsia="仿宋" w:cs="Times New Roman"/>
                <w:bCs/>
                <w:color w:val="auto"/>
                <w:sz w:val="21"/>
                <w:szCs w:val="21"/>
                <w:lang w:val="en-US" w:eastAsia="zh-CN"/>
              </w:rPr>
              <w:t>580</w:t>
            </w:r>
          </w:p>
        </w:tc>
      </w:tr>
      <w:tr w14:paraId="479FCA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06" w:type="pct"/>
            <w:tcBorders>
              <w:tl2br w:val="nil"/>
              <w:tr2bl w:val="nil"/>
            </w:tcBorders>
            <w:noWrap/>
            <w:vAlign w:val="center"/>
          </w:tcPr>
          <w:p w14:paraId="7505EC36">
            <w:pPr>
              <w:spacing w:before="46" w:beforeLines="15" w:after="46" w:afterLines="15"/>
              <w:jc w:val="center"/>
              <w:rPr>
                <w:rFonts w:hint="default" w:ascii="Times New Roman" w:hAnsi="Times New Roman" w:eastAsia="仿宋" w:cs="Times New Roman"/>
                <w:bCs/>
                <w:color w:val="FF0000"/>
                <w:sz w:val="21"/>
                <w:szCs w:val="21"/>
                <w:lang w:val="en-US" w:eastAsia="zh-CN"/>
              </w:rPr>
            </w:pPr>
            <w:r>
              <w:rPr>
                <w:rFonts w:hint="eastAsia" w:eastAsia="仿宋" w:cs="Times New Roman"/>
                <w:bCs/>
                <w:color w:val="auto"/>
                <w:sz w:val="21"/>
                <w:szCs w:val="21"/>
                <w:lang w:val="en-US" w:eastAsia="zh-CN"/>
              </w:rPr>
              <w:t>9</w:t>
            </w:r>
          </w:p>
        </w:tc>
        <w:tc>
          <w:tcPr>
            <w:tcW w:w="392" w:type="pct"/>
            <w:vMerge w:val="continue"/>
            <w:tcBorders>
              <w:tl2br w:val="nil"/>
              <w:tr2bl w:val="nil"/>
            </w:tcBorders>
            <w:noWrap/>
            <w:vAlign w:val="center"/>
          </w:tcPr>
          <w:p w14:paraId="0D3E7CBB">
            <w:pPr>
              <w:spacing w:before="46" w:beforeLines="15" w:after="46" w:afterLines="15"/>
              <w:jc w:val="center"/>
              <w:rPr>
                <w:rFonts w:hint="eastAsia" w:ascii="Times New Roman" w:hAnsi="Times New Roman" w:eastAsia="仿宋" w:cs="Times New Roman"/>
                <w:bCs/>
                <w:color w:val="FF0000"/>
                <w:sz w:val="21"/>
                <w:szCs w:val="21"/>
                <w:lang w:val="en-US" w:eastAsia="zh-CN"/>
              </w:rPr>
            </w:pPr>
          </w:p>
        </w:tc>
        <w:tc>
          <w:tcPr>
            <w:tcW w:w="292" w:type="pct"/>
            <w:tcBorders>
              <w:tl2br w:val="nil"/>
              <w:tr2bl w:val="nil"/>
            </w:tcBorders>
            <w:noWrap/>
            <w:vAlign w:val="center"/>
          </w:tcPr>
          <w:p w14:paraId="6C2C5B15">
            <w:pPr>
              <w:spacing w:before="46" w:beforeLines="15" w:after="46" w:afterLines="15"/>
              <w:jc w:val="center"/>
              <w:rPr>
                <w:rFonts w:hint="eastAsia" w:ascii="Times New Roman" w:hAnsi="Times New Roman" w:eastAsia="仿宋" w:cs="Times New Roman"/>
                <w:bCs/>
                <w:color w:val="auto"/>
                <w:sz w:val="21"/>
                <w:szCs w:val="21"/>
              </w:rPr>
            </w:pPr>
            <w:r>
              <w:rPr>
                <w:rFonts w:hint="eastAsia" w:ascii="Times New Roman" w:hAnsi="Times New Roman" w:eastAsia="仿宋" w:cs="Times New Roman"/>
                <w:bCs/>
                <w:color w:val="auto"/>
                <w:sz w:val="21"/>
                <w:szCs w:val="21"/>
                <w:lang w:val="en-US" w:eastAsia="zh-CN"/>
              </w:rPr>
              <w:t>HW34</w:t>
            </w:r>
          </w:p>
        </w:tc>
        <w:tc>
          <w:tcPr>
            <w:tcW w:w="1330" w:type="pct"/>
            <w:tcBorders>
              <w:tl2br w:val="nil"/>
              <w:tr2bl w:val="nil"/>
            </w:tcBorders>
            <w:noWrap w:val="0"/>
            <w:vAlign w:val="center"/>
          </w:tcPr>
          <w:p w14:paraId="65A79C12">
            <w:pPr>
              <w:spacing w:before="46" w:beforeLines="15" w:after="46" w:afterLines="15"/>
              <w:jc w:val="center"/>
              <w:rPr>
                <w:rFonts w:hint="eastAsia" w:ascii="Times New Roman" w:hAnsi="Times New Roman" w:eastAsia="仿宋" w:cs="Times New Roman"/>
                <w:bCs/>
                <w:color w:val="auto"/>
                <w:sz w:val="21"/>
                <w:szCs w:val="21"/>
              </w:rPr>
            </w:pPr>
            <w:r>
              <w:rPr>
                <w:rFonts w:hint="eastAsia" w:ascii="Times New Roman" w:hAnsi="Times New Roman" w:eastAsia="仿宋" w:cs="Times New Roman"/>
                <w:bCs/>
                <w:color w:val="auto"/>
                <w:sz w:val="21"/>
                <w:szCs w:val="21"/>
                <w:lang w:val="en-US" w:eastAsia="zh-CN"/>
              </w:rPr>
              <w:t>261-057-34，398-005-34，900-300-34，900-304-34，900-307-34，900-308-34，900-349-34</w:t>
            </w:r>
          </w:p>
        </w:tc>
        <w:tc>
          <w:tcPr>
            <w:tcW w:w="2118" w:type="pct"/>
            <w:tcBorders>
              <w:tl2br w:val="nil"/>
              <w:tr2bl w:val="nil"/>
            </w:tcBorders>
            <w:noWrap/>
            <w:vAlign w:val="center"/>
          </w:tcPr>
          <w:p w14:paraId="20EB5E2C">
            <w:pPr>
              <w:spacing w:before="46" w:beforeLines="15" w:after="46" w:afterLines="15"/>
              <w:jc w:val="center"/>
              <w:rPr>
                <w:rFonts w:hint="eastAsia" w:ascii="Times New Roman" w:hAnsi="Times New Roman" w:eastAsia="仿宋" w:cs="Times New Roman"/>
                <w:bCs/>
                <w:color w:val="auto"/>
                <w:sz w:val="21"/>
                <w:szCs w:val="21"/>
              </w:rPr>
            </w:pPr>
            <w:r>
              <w:rPr>
                <w:rFonts w:hint="eastAsia" w:ascii="Times New Roman" w:hAnsi="Times New Roman" w:eastAsia="仿宋" w:cs="Times New Roman"/>
                <w:bCs/>
                <w:color w:val="auto"/>
                <w:sz w:val="21"/>
                <w:szCs w:val="21"/>
                <w:lang w:val="en-US" w:eastAsia="zh-CN"/>
              </w:rPr>
              <w:t>醋酸废液</w:t>
            </w:r>
          </w:p>
        </w:tc>
        <w:tc>
          <w:tcPr>
            <w:tcW w:w="559" w:type="pct"/>
            <w:tcBorders>
              <w:tl2br w:val="nil"/>
              <w:tr2bl w:val="nil"/>
            </w:tcBorders>
            <w:noWrap/>
            <w:vAlign w:val="center"/>
          </w:tcPr>
          <w:p w14:paraId="42079908">
            <w:pPr>
              <w:spacing w:before="46" w:beforeLines="15" w:after="46" w:afterLines="15"/>
              <w:jc w:val="center"/>
              <w:rPr>
                <w:rFonts w:hint="eastAsia" w:ascii="Times New Roman" w:hAnsi="Times New Roman" w:eastAsia="仿宋" w:cs="Times New Roman"/>
                <w:bCs/>
                <w:color w:val="auto"/>
                <w:sz w:val="21"/>
                <w:szCs w:val="21"/>
              </w:rPr>
            </w:pPr>
            <w:r>
              <w:rPr>
                <w:rFonts w:hint="eastAsia" w:eastAsia="仿宋" w:cs="Times New Roman"/>
                <w:bCs/>
                <w:color w:val="auto"/>
                <w:sz w:val="21"/>
                <w:szCs w:val="21"/>
                <w:lang w:val="en-US" w:eastAsia="zh-CN"/>
              </w:rPr>
              <w:t>40</w:t>
            </w:r>
            <w:r>
              <w:rPr>
                <w:rFonts w:hint="eastAsia" w:ascii="Times New Roman" w:hAnsi="Times New Roman" w:eastAsia="仿宋" w:cs="Times New Roman"/>
                <w:bCs/>
                <w:color w:val="auto"/>
                <w:sz w:val="21"/>
                <w:szCs w:val="21"/>
                <w:lang w:val="en-US" w:eastAsia="zh-CN"/>
              </w:rPr>
              <w:t>00</w:t>
            </w:r>
          </w:p>
        </w:tc>
      </w:tr>
      <w:tr w14:paraId="1A95C2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06" w:type="pct"/>
            <w:tcBorders>
              <w:tl2br w:val="nil"/>
              <w:tr2bl w:val="nil"/>
            </w:tcBorders>
            <w:noWrap/>
            <w:vAlign w:val="center"/>
          </w:tcPr>
          <w:p w14:paraId="67C5D442">
            <w:pPr>
              <w:spacing w:before="46" w:beforeLines="15" w:after="46" w:afterLines="15"/>
              <w:jc w:val="center"/>
              <w:rPr>
                <w:rFonts w:hint="default" w:ascii="Times New Roman" w:hAnsi="Times New Roman" w:eastAsia="仿宋" w:cs="Times New Roman"/>
                <w:bCs/>
                <w:color w:val="auto"/>
                <w:sz w:val="21"/>
                <w:szCs w:val="21"/>
                <w:lang w:val="en-US" w:eastAsia="zh-CN"/>
              </w:rPr>
            </w:pPr>
            <w:r>
              <w:rPr>
                <w:rFonts w:hint="eastAsia" w:eastAsia="仿宋" w:cs="Times New Roman"/>
                <w:bCs/>
                <w:color w:val="auto"/>
                <w:sz w:val="21"/>
                <w:szCs w:val="21"/>
                <w:lang w:val="en-US" w:eastAsia="zh-CN"/>
              </w:rPr>
              <w:t>10</w:t>
            </w:r>
          </w:p>
        </w:tc>
        <w:tc>
          <w:tcPr>
            <w:tcW w:w="392" w:type="pct"/>
            <w:vMerge w:val="continue"/>
            <w:tcBorders>
              <w:tl2br w:val="nil"/>
              <w:tr2bl w:val="nil"/>
            </w:tcBorders>
            <w:noWrap/>
            <w:vAlign w:val="center"/>
          </w:tcPr>
          <w:p w14:paraId="61A6731E">
            <w:pPr>
              <w:spacing w:before="46" w:beforeLines="15" w:after="46" w:afterLines="15"/>
              <w:jc w:val="center"/>
              <w:rPr>
                <w:rFonts w:hint="eastAsia" w:ascii="Times New Roman" w:hAnsi="Times New Roman" w:eastAsia="仿宋" w:cs="Times New Roman"/>
                <w:bCs/>
                <w:color w:val="auto"/>
                <w:sz w:val="21"/>
                <w:szCs w:val="21"/>
                <w:lang w:val="en-US" w:eastAsia="zh-CN"/>
              </w:rPr>
            </w:pPr>
          </w:p>
        </w:tc>
        <w:tc>
          <w:tcPr>
            <w:tcW w:w="292" w:type="pct"/>
            <w:tcBorders>
              <w:tl2br w:val="nil"/>
              <w:tr2bl w:val="nil"/>
            </w:tcBorders>
            <w:noWrap/>
            <w:vAlign w:val="center"/>
          </w:tcPr>
          <w:p w14:paraId="4669AA96">
            <w:pPr>
              <w:spacing w:before="46" w:beforeLines="15" w:after="46" w:afterLines="15"/>
              <w:jc w:val="center"/>
              <w:rPr>
                <w:rFonts w:hint="eastAsia" w:ascii="Times New Roman" w:hAnsi="Times New Roman" w:eastAsia="仿宋" w:cs="Times New Roman"/>
                <w:bCs/>
                <w:color w:val="auto"/>
                <w:sz w:val="21"/>
                <w:szCs w:val="21"/>
              </w:rPr>
            </w:pPr>
            <w:r>
              <w:rPr>
                <w:rFonts w:hint="eastAsia" w:ascii="Times New Roman" w:hAnsi="Times New Roman" w:eastAsia="仿宋" w:cs="Times New Roman"/>
                <w:bCs/>
                <w:color w:val="auto"/>
                <w:sz w:val="21"/>
                <w:szCs w:val="21"/>
                <w:lang w:val="en-US" w:eastAsia="zh-CN"/>
              </w:rPr>
              <w:t>HW40</w:t>
            </w:r>
          </w:p>
        </w:tc>
        <w:tc>
          <w:tcPr>
            <w:tcW w:w="1330" w:type="pct"/>
            <w:tcBorders>
              <w:tl2br w:val="nil"/>
              <w:tr2bl w:val="nil"/>
            </w:tcBorders>
            <w:noWrap/>
            <w:vAlign w:val="center"/>
          </w:tcPr>
          <w:p w14:paraId="75097BAC">
            <w:pPr>
              <w:spacing w:before="46" w:beforeLines="15" w:after="46" w:afterLines="15"/>
              <w:jc w:val="center"/>
              <w:rPr>
                <w:rFonts w:hint="eastAsia" w:ascii="Times New Roman" w:hAnsi="Times New Roman" w:eastAsia="仿宋" w:cs="Times New Roman"/>
                <w:bCs/>
                <w:color w:val="auto"/>
                <w:sz w:val="21"/>
                <w:szCs w:val="21"/>
              </w:rPr>
            </w:pPr>
            <w:r>
              <w:rPr>
                <w:rFonts w:hint="eastAsia" w:ascii="Times New Roman" w:hAnsi="Times New Roman" w:eastAsia="仿宋" w:cs="Times New Roman"/>
                <w:bCs/>
                <w:color w:val="auto"/>
                <w:sz w:val="21"/>
                <w:szCs w:val="21"/>
                <w:lang w:val="en-US" w:eastAsia="zh-CN"/>
              </w:rPr>
              <w:t>261-072-40</w:t>
            </w:r>
          </w:p>
        </w:tc>
        <w:tc>
          <w:tcPr>
            <w:tcW w:w="2118" w:type="pct"/>
            <w:tcBorders>
              <w:tl2br w:val="nil"/>
              <w:tr2bl w:val="nil"/>
            </w:tcBorders>
            <w:noWrap w:val="0"/>
            <w:vAlign w:val="center"/>
          </w:tcPr>
          <w:p w14:paraId="3C787272">
            <w:pPr>
              <w:spacing w:before="46" w:beforeLines="15" w:after="46" w:afterLines="15"/>
              <w:jc w:val="center"/>
              <w:rPr>
                <w:rFonts w:hint="eastAsia" w:ascii="Times New Roman" w:hAnsi="Times New Roman" w:eastAsia="仿宋" w:cs="Times New Roman"/>
                <w:bCs/>
                <w:color w:val="auto"/>
                <w:sz w:val="21"/>
                <w:szCs w:val="21"/>
              </w:rPr>
            </w:pPr>
            <w:r>
              <w:rPr>
                <w:rFonts w:hint="eastAsia" w:ascii="Times New Roman" w:hAnsi="Times New Roman" w:eastAsia="仿宋" w:cs="Times New Roman"/>
                <w:bCs/>
                <w:color w:val="auto"/>
                <w:sz w:val="21"/>
                <w:szCs w:val="21"/>
                <w:lang w:val="en-US" w:eastAsia="zh-CN"/>
              </w:rPr>
              <w:t>丙二醇单甲醚废液、石油醚废液</w:t>
            </w:r>
          </w:p>
        </w:tc>
        <w:tc>
          <w:tcPr>
            <w:tcW w:w="559" w:type="pct"/>
            <w:tcBorders>
              <w:tl2br w:val="nil"/>
              <w:tr2bl w:val="nil"/>
            </w:tcBorders>
            <w:noWrap/>
            <w:vAlign w:val="center"/>
          </w:tcPr>
          <w:p w14:paraId="50B05E15">
            <w:pPr>
              <w:spacing w:before="46" w:beforeLines="15" w:after="46" w:afterLines="15"/>
              <w:jc w:val="center"/>
              <w:rPr>
                <w:rFonts w:hint="default" w:ascii="Times New Roman" w:hAnsi="Times New Roman" w:eastAsia="仿宋" w:cs="Times New Roman"/>
                <w:bCs/>
                <w:color w:val="auto"/>
                <w:sz w:val="21"/>
                <w:szCs w:val="21"/>
                <w:lang w:val="en-US"/>
              </w:rPr>
            </w:pPr>
            <w:r>
              <w:rPr>
                <w:rFonts w:hint="eastAsia" w:eastAsia="仿宋" w:cs="Times New Roman"/>
                <w:bCs/>
                <w:color w:val="auto"/>
                <w:sz w:val="21"/>
                <w:szCs w:val="21"/>
                <w:lang w:val="en-US" w:eastAsia="zh-CN"/>
              </w:rPr>
              <w:t>500</w:t>
            </w:r>
          </w:p>
        </w:tc>
      </w:tr>
      <w:tr w14:paraId="343CE2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06" w:type="pct"/>
            <w:tcBorders>
              <w:tl2br w:val="nil"/>
              <w:tr2bl w:val="nil"/>
            </w:tcBorders>
            <w:noWrap/>
            <w:vAlign w:val="center"/>
          </w:tcPr>
          <w:p w14:paraId="415F5DDC">
            <w:pPr>
              <w:spacing w:before="46" w:beforeLines="15" w:after="46" w:afterLines="15"/>
              <w:jc w:val="center"/>
              <w:rPr>
                <w:rFonts w:hint="default" w:ascii="Times New Roman" w:hAnsi="Times New Roman" w:eastAsia="仿宋" w:cs="Times New Roman"/>
                <w:bCs/>
                <w:color w:val="auto"/>
                <w:sz w:val="21"/>
                <w:szCs w:val="21"/>
                <w:lang w:val="en-US" w:eastAsia="zh-CN"/>
              </w:rPr>
            </w:pPr>
            <w:r>
              <w:rPr>
                <w:rFonts w:hint="eastAsia" w:ascii="Times New Roman" w:hAnsi="Times New Roman" w:eastAsia="仿宋" w:cs="Times New Roman"/>
                <w:bCs/>
                <w:color w:val="auto"/>
                <w:sz w:val="21"/>
                <w:szCs w:val="21"/>
                <w:lang w:val="en-US" w:eastAsia="zh-CN"/>
              </w:rPr>
              <w:t>1</w:t>
            </w:r>
            <w:r>
              <w:rPr>
                <w:rFonts w:hint="eastAsia" w:eastAsia="仿宋" w:cs="Times New Roman"/>
                <w:bCs/>
                <w:color w:val="auto"/>
                <w:sz w:val="21"/>
                <w:szCs w:val="21"/>
                <w:lang w:val="en-US" w:eastAsia="zh-CN"/>
              </w:rPr>
              <w:t>1</w:t>
            </w:r>
          </w:p>
        </w:tc>
        <w:tc>
          <w:tcPr>
            <w:tcW w:w="392" w:type="pct"/>
            <w:vMerge w:val="continue"/>
            <w:tcBorders>
              <w:tl2br w:val="nil"/>
              <w:tr2bl w:val="nil"/>
            </w:tcBorders>
            <w:noWrap/>
            <w:vAlign w:val="center"/>
          </w:tcPr>
          <w:p w14:paraId="3E1357A6">
            <w:pPr>
              <w:spacing w:before="46" w:beforeLines="15" w:after="46" w:afterLines="15"/>
              <w:jc w:val="center"/>
              <w:rPr>
                <w:rFonts w:hint="eastAsia" w:ascii="Times New Roman" w:hAnsi="Times New Roman" w:eastAsia="仿宋" w:cs="Times New Roman"/>
                <w:bCs/>
                <w:color w:val="auto"/>
                <w:sz w:val="21"/>
                <w:szCs w:val="21"/>
                <w:lang w:val="en-US" w:eastAsia="zh-CN"/>
              </w:rPr>
            </w:pPr>
          </w:p>
        </w:tc>
        <w:tc>
          <w:tcPr>
            <w:tcW w:w="292" w:type="pct"/>
            <w:tcBorders>
              <w:tl2br w:val="nil"/>
              <w:tr2bl w:val="nil"/>
            </w:tcBorders>
            <w:noWrap/>
            <w:vAlign w:val="center"/>
          </w:tcPr>
          <w:p w14:paraId="16CC77E4">
            <w:pPr>
              <w:spacing w:before="46" w:beforeLines="15" w:after="46" w:afterLines="15"/>
              <w:jc w:val="center"/>
              <w:rPr>
                <w:rFonts w:hint="eastAsia" w:ascii="Times New Roman" w:hAnsi="Times New Roman" w:eastAsia="仿宋" w:cs="Times New Roman"/>
                <w:bCs/>
                <w:color w:val="auto"/>
                <w:sz w:val="21"/>
                <w:szCs w:val="21"/>
              </w:rPr>
            </w:pPr>
            <w:r>
              <w:rPr>
                <w:rFonts w:hint="eastAsia" w:ascii="Times New Roman" w:hAnsi="Times New Roman" w:eastAsia="仿宋" w:cs="Times New Roman"/>
                <w:bCs/>
                <w:color w:val="auto"/>
                <w:sz w:val="21"/>
                <w:szCs w:val="21"/>
                <w:lang w:val="en-US" w:eastAsia="zh-CN"/>
              </w:rPr>
              <w:t>HW49</w:t>
            </w:r>
          </w:p>
        </w:tc>
        <w:tc>
          <w:tcPr>
            <w:tcW w:w="1330" w:type="pct"/>
            <w:tcBorders>
              <w:tl2br w:val="nil"/>
              <w:tr2bl w:val="nil"/>
            </w:tcBorders>
            <w:noWrap/>
            <w:vAlign w:val="center"/>
          </w:tcPr>
          <w:p w14:paraId="63B04F92">
            <w:pPr>
              <w:spacing w:before="46" w:beforeLines="15" w:after="46" w:afterLines="15"/>
              <w:jc w:val="center"/>
              <w:rPr>
                <w:rFonts w:hint="eastAsia" w:ascii="Times New Roman" w:hAnsi="Times New Roman" w:eastAsia="仿宋" w:cs="Times New Roman"/>
                <w:bCs/>
                <w:color w:val="auto"/>
                <w:sz w:val="21"/>
                <w:szCs w:val="21"/>
              </w:rPr>
            </w:pPr>
            <w:r>
              <w:rPr>
                <w:rFonts w:hint="eastAsia" w:ascii="Times New Roman" w:hAnsi="Times New Roman" w:eastAsia="仿宋" w:cs="Times New Roman"/>
                <w:bCs/>
                <w:color w:val="auto"/>
                <w:sz w:val="21"/>
                <w:szCs w:val="21"/>
                <w:lang w:val="en-US" w:eastAsia="zh-CN"/>
              </w:rPr>
              <w:t>900-047-49</w:t>
            </w:r>
          </w:p>
        </w:tc>
        <w:tc>
          <w:tcPr>
            <w:tcW w:w="2118" w:type="pct"/>
            <w:tcBorders>
              <w:tl2br w:val="nil"/>
              <w:tr2bl w:val="nil"/>
            </w:tcBorders>
            <w:noWrap w:val="0"/>
            <w:vAlign w:val="center"/>
          </w:tcPr>
          <w:p w14:paraId="082A70F0">
            <w:pPr>
              <w:spacing w:before="46" w:beforeLines="15" w:after="46" w:afterLines="15"/>
              <w:jc w:val="center"/>
              <w:rPr>
                <w:rFonts w:hint="eastAsia" w:ascii="Times New Roman" w:hAnsi="Times New Roman" w:eastAsia="仿宋" w:cs="Times New Roman"/>
                <w:bCs/>
                <w:color w:val="auto"/>
                <w:sz w:val="21"/>
                <w:szCs w:val="21"/>
              </w:rPr>
            </w:pPr>
            <w:r>
              <w:rPr>
                <w:rFonts w:hint="eastAsia" w:ascii="Times New Roman" w:hAnsi="Times New Roman" w:eastAsia="仿宋" w:cs="Times New Roman"/>
                <w:bCs/>
                <w:color w:val="auto"/>
                <w:sz w:val="21"/>
                <w:szCs w:val="21"/>
                <w:lang w:val="en-US" w:eastAsia="zh-CN"/>
              </w:rPr>
              <w:t>乙醇废液、甲醇废液、乙腈废液、N-甲基吡咯烷酮废液、DMF废液、二甲基亚砜废液</w:t>
            </w:r>
          </w:p>
        </w:tc>
        <w:tc>
          <w:tcPr>
            <w:tcW w:w="559" w:type="pct"/>
            <w:tcBorders>
              <w:tl2br w:val="nil"/>
              <w:tr2bl w:val="nil"/>
            </w:tcBorders>
            <w:noWrap/>
            <w:vAlign w:val="center"/>
          </w:tcPr>
          <w:p w14:paraId="700E4D54">
            <w:pPr>
              <w:spacing w:before="46" w:beforeLines="15" w:after="46" w:afterLines="15"/>
              <w:jc w:val="center"/>
              <w:rPr>
                <w:rFonts w:hint="default" w:ascii="Times New Roman" w:hAnsi="Times New Roman" w:eastAsia="仿宋" w:cs="Times New Roman"/>
                <w:bCs/>
                <w:color w:val="auto"/>
                <w:sz w:val="21"/>
                <w:szCs w:val="21"/>
                <w:lang w:val="en-US"/>
              </w:rPr>
            </w:pPr>
            <w:r>
              <w:rPr>
                <w:rFonts w:hint="eastAsia" w:eastAsia="仿宋" w:cs="Times New Roman"/>
                <w:bCs/>
                <w:color w:val="auto"/>
                <w:sz w:val="21"/>
                <w:szCs w:val="21"/>
                <w:lang w:val="en-US" w:eastAsia="zh-CN"/>
              </w:rPr>
              <w:t>8000</w:t>
            </w:r>
          </w:p>
        </w:tc>
      </w:tr>
      <w:tr w14:paraId="4307B3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06" w:type="pct"/>
            <w:vMerge w:val="restart"/>
            <w:tcBorders>
              <w:tl2br w:val="nil"/>
              <w:tr2bl w:val="nil"/>
            </w:tcBorders>
            <w:noWrap/>
            <w:vAlign w:val="center"/>
          </w:tcPr>
          <w:p w14:paraId="6850797B">
            <w:pPr>
              <w:spacing w:before="46" w:beforeLines="15" w:after="46" w:afterLines="15"/>
              <w:jc w:val="center"/>
              <w:rPr>
                <w:rFonts w:hint="default" w:ascii="Times New Roman" w:hAnsi="Times New Roman" w:eastAsia="仿宋" w:cs="Times New Roman"/>
                <w:bCs/>
                <w:color w:val="auto"/>
                <w:sz w:val="21"/>
                <w:szCs w:val="21"/>
                <w:lang w:val="en-US" w:eastAsia="zh-CN"/>
              </w:rPr>
            </w:pPr>
            <w:r>
              <w:rPr>
                <w:rFonts w:hint="eastAsia" w:eastAsia="仿宋" w:cs="Times New Roman"/>
                <w:bCs/>
                <w:color w:val="auto"/>
                <w:sz w:val="21"/>
                <w:szCs w:val="21"/>
                <w:lang w:val="en-US" w:eastAsia="zh-CN"/>
              </w:rPr>
              <w:t>12</w:t>
            </w:r>
          </w:p>
        </w:tc>
        <w:tc>
          <w:tcPr>
            <w:tcW w:w="392" w:type="pct"/>
            <w:vMerge w:val="restart"/>
            <w:tcBorders>
              <w:tl2br w:val="nil"/>
              <w:tr2bl w:val="nil"/>
            </w:tcBorders>
            <w:noWrap/>
            <w:vAlign w:val="center"/>
          </w:tcPr>
          <w:p w14:paraId="3F0D1609">
            <w:pPr>
              <w:spacing w:before="46" w:beforeLines="15" w:after="46" w:afterLines="15"/>
              <w:jc w:val="center"/>
              <w:rPr>
                <w:rFonts w:hint="eastAsia" w:ascii="Times New Roman" w:hAnsi="Times New Roman" w:eastAsia="仿宋" w:cs="Times New Roman"/>
                <w:bCs/>
                <w:color w:val="auto"/>
                <w:sz w:val="21"/>
                <w:szCs w:val="21"/>
                <w:lang w:val="en-US" w:eastAsia="zh-CN"/>
              </w:rPr>
            </w:pPr>
            <w:r>
              <w:rPr>
                <w:rFonts w:hint="eastAsia" w:ascii="Times New Roman" w:hAnsi="Times New Roman" w:eastAsia="仿宋" w:cs="Times New Roman"/>
                <w:bCs/>
                <w:color w:val="auto"/>
                <w:sz w:val="21"/>
                <w:szCs w:val="21"/>
                <w:lang w:val="en-US" w:eastAsia="zh-CN"/>
              </w:rPr>
              <w:t>回收处置</w:t>
            </w:r>
          </w:p>
        </w:tc>
        <w:tc>
          <w:tcPr>
            <w:tcW w:w="292" w:type="pct"/>
            <w:tcBorders>
              <w:tl2br w:val="nil"/>
              <w:tr2bl w:val="nil"/>
            </w:tcBorders>
            <w:noWrap/>
            <w:vAlign w:val="center"/>
          </w:tcPr>
          <w:p w14:paraId="2D658E3C">
            <w:pPr>
              <w:spacing w:before="46" w:beforeLines="15" w:after="46" w:afterLines="15"/>
              <w:jc w:val="center"/>
              <w:rPr>
                <w:rFonts w:hint="default" w:ascii="Times New Roman" w:hAnsi="Times New Roman" w:eastAsia="仿宋" w:cs="Times New Roman"/>
                <w:bCs/>
                <w:color w:val="auto"/>
                <w:sz w:val="21"/>
                <w:szCs w:val="21"/>
                <w:lang w:val="en-US" w:eastAsia="zh-CN"/>
              </w:rPr>
            </w:pPr>
            <w:r>
              <w:rPr>
                <w:rFonts w:hint="eastAsia" w:eastAsia="仿宋" w:cs="Times New Roman"/>
                <w:bCs/>
                <w:color w:val="auto"/>
                <w:sz w:val="21"/>
                <w:szCs w:val="21"/>
                <w:lang w:val="en-US" w:eastAsia="zh-CN"/>
              </w:rPr>
              <w:t>HW02</w:t>
            </w:r>
          </w:p>
        </w:tc>
        <w:tc>
          <w:tcPr>
            <w:tcW w:w="1330" w:type="pct"/>
            <w:tcBorders>
              <w:tl2br w:val="nil"/>
              <w:tr2bl w:val="nil"/>
            </w:tcBorders>
            <w:noWrap w:val="0"/>
            <w:vAlign w:val="center"/>
          </w:tcPr>
          <w:p w14:paraId="3543EB96">
            <w:pPr>
              <w:spacing w:before="46" w:beforeLines="15" w:after="46" w:afterLines="15"/>
              <w:jc w:val="center"/>
              <w:rPr>
                <w:rFonts w:hint="default" w:ascii="Times New Roman" w:hAnsi="Times New Roman" w:eastAsia="仿宋" w:cs="Times New Roman"/>
                <w:bCs/>
                <w:color w:val="auto"/>
                <w:sz w:val="21"/>
                <w:szCs w:val="21"/>
                <w:lang w:val="en-US" w:eastAsia="zh-CN"/>
              </w:rPr>
            </w:pPr>
            <w:r>
              <w:rPr>
                <w:rFonts w:hint="eastAsia" w:eastAsia="仿宋" w:cs="Times New Roman"/>
                <w:bCs/>
                <w:color w:val="auto"/>
                <w:sz w:val="21"/>
                <w:szCs w:val="21"/>
                <w:lang w:val="en-US" w:eastAsia="zh-CN"/>
              </w:rPr>
              <w:t>271-001-02</w:t>
            </w:r>
            <w:r>
              <w:rPr>
                <w:rFonts w:hint="eastAsia" w:ascii="Times New Roman" w:hAnsi="Times New Roman" w:eastAsia="仿宋" w:cs="Times New Roman"/>
                <w:bCs/>
                <w:color w:val="auto"/>
                <w:sz w:val="21"/>
                <w:szCs w:val="21"/>
                <w:lang w:val="en-US" w:eastAsia="zh-CN"/>
              </w:rPr>
              <w:t>，</w:t>
            </w:r>
            <w:r>
              <w:rPr>
                <w:rFonts w:hint="eastAsia" w:eastAsia="仿宋" w:cs="Times New Roman"/>
                <w:bCs/>
                <w:color w:val="auto"/>
                <w:sz w:val="21"/>
                <w:szCs w:val="21"/>
                <w:lang w:val="en-US" w:eastAsia="zh-CN"/>
              </w:rPr>
              <w:t>271-002-02</w:t>
            </w:r>
            <w:r>
              <w:rPr>
                <w:rFonts w:hint="eastAsia" w:ascii="Times New Roman" w:hAnsi="Times New Roman" w:eastAsia="仿宋" w:cs="Times New Roman"/>
                <w:bCs/>
                <w:color w:val="auto"/>
                <w:sz w:val="21"/>
                <w:szCs w:val="21"/>
                <w:lang w:val="en-US" w:eastAsia="zh-CN"/>
              </w:rPr>
              <w:t>，</w:t>
            </w:r>
            <w:r>
              <w:rPr>
                <w:rFonts w:hint="eastAsia" w:eastAsia="仿宋" w:cs="Times New Roman"/>
                <w:bCs/>
                <w:color w:val="auto"/>
                <w:sz w:val="21"/>
                <w:szCs w:val="21"/>
                <w:lang w:val="en-US" w:eastAsia="zh-CN"/>
              </w:rPr>
              <w:t>276-001-02</w:t>
            </w:r>
            <w:r>
              <w:rPr>
                <w:rFonts w:hint="eastAsia" w:ascii="Times New Roman" w:hAnsi="Times New Roman" w:eastAsia="仿宋" w:cs="Times New Roman"/>
                <w:bCs/>
                <w:color w:val="auto"/>
                <w:sz w:val="21"/>
                <w:szCs w:val="21"/>
                <w:lang w:val="en-US" w:eastAsia="zh-CN"/>
              </w:rPr>
              <w:t>，</w:t>
            </w:r>
            <w:r>
              <w:rPr>
                <w:rFonts w:hint="eastAsia" w:eastAsia="仿宋" w:cs="Times New Roman"/>
                <w:bCs/>
                <w:color w:val="auto"/>
                <w:sz w:val="21"/>
                <w:szCs w:val="21"/>
                <w:lang w:val="en-US" w:eastAsia="zh-CN"/>
              </w:rPr>
              <w:t>276-002-02</w:t>
            </w:r>
          </w:p>
        </w:tc>
        <w:tc>
          <w:tcPr>
            <w:tcW w:w="2118" w:type="pct"/>
            <w:vMerge w:val="restart"/>
            <w:tcBorders>
              <w:tl2br w:val="nil"/>
              <w:tr2bl w:val="nil"/>
            </w:tcBorders>
            <w:noWrap w:val="0"/>
            <w:vAlign w:val="center"/>
          </w:tcPr>
          <w:p w14:paraId="15D1E6BB">
            <w:pPr>
              <w:spacing w:before="46" w:beforeLines="15" w:after="46" w:afterLines="15"/>
              <w:jc w:val="center"/>
              <w:rPr>
                <w:rFonts w:hint="eastAsia" w:ascii="Times New Roman" w:hAnsi="Times New Roman" w:eastAsia="仿宋" w:cs="Times New Roman"/>
                <w:bCs/>
                <w:color w:val="auto"/>
                <w:sz w:val="21"/>
                <w:szCs w:val="21"/>
              </w:rPr>
            </w:pPr>
            <w:r>
              <w:rPr>
                <w:rFonts w:hint="eastAsia" w:ascii="Times New Roman" w:hAnsi="Times New Roman" w:eastAsia="仿宋" w:cs="Times New Roman"/>
                <w:bCs/>
                <w:color w:val="auto"/>
                <w:sz w:val="21"/>
                <w:szCs w:val="21"/>
                <w:lang w:val="en-US" w:eastAsia="zh-CN"/>
              </w:rPr>
              <w:t>废有机溶剂与含有机溶剂废物</w:t>
            </w:r>
          </w:p>
        </w:tc>
        <w:tc>
          <w:tcPr>
            <w:tcW w:w="559" w:type="pct"/>
            <w:vMerge w:val="restart"/>
            <w:tcBorders>
              <w:tl2br w:val="nil"/>
              <w:tr2bl w:val="nil"/>
            </w:tcBorders>
            <w:noWrap/>
            <w:vAlign w:val="center"/>
          </w:tcPr>
          <w:p w14:paraId="47C9C920">
            <w:pPr>
              <w:spacing w:before="46" w:beforeLines="15" w:after="46" w:afterLines="15"/>
              <w:jc w:val="center"/>
              <w:rPr>
                <w:rFonts w:hint="default" w:ascii="Times New Roman" w:hAnsi="Times New Roman" w:eastAsia="仿宋" w:cs="Times New Roman"/>
                <w:bCs/>
                <w:color w:val="auto"/>
                <w:kern w:val="2"/>
                <w:sz w:val="21"/>
                <w:szCs w:val="21"/>
                <w:lang w:val="en-US" w:eastAsia="zh-CN" w:bidi="ar-SA"/>
              </w:rPr>
            </w:pPr>
            <w:r>
              <w:rPr>
                <w:rFonts w:hint="eastAsia" w:eastAsia="仿宋" w:cs="Times New Roman"/>
                <w:bCs/>
                <w:color w:val="auto"/>
                <w:sz w:val="21"/>
                <w:szCs w:val="21"/>
                <w:lang w:val="en-US" w:eastAsia="zh-CN"/>
              </w:rPr>
              <w:t>15500</w:t>
            </w:r>
          </w:p>
        </w:tc>
      </w:tr>
      <w:tr w14:paraId="4E0337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06" w:type="pct"/>
            <w:vMerge w:val="continue"/>
            <w:tcBorders>
              <w:tl2br w:val="nil"/>
              <w:tr2bl w:val="nil"/>
            </w:tcBorders>
            <w:noWrap/>
            <w:vAlign w:val="center"/>
          </w:tcPr>
          <w:p w14:paraId="4CF452D9">
            <w:pPr>
              <w:spacing w:before="46" w:beforeLines="15" w:after="46" w:afterLines="15"/>
              <w:jc w:val="center"/>
              <w:rPr>
                <w:rFonts w:hint="eastAsia" w:eastAsia="仿宋" w:cs="Times New Roman"/>
                <w:bCs/>
                <w:color w:val="auto"/>
                <w:sz w:val="21"/>
                <w:szCs w:val="21"/>
                <w:lang w:val="en-US" w:eastAsia="zh-CN"/>
              </w:rPr>
            </w:pPr>
          </w:p>
        </w:tc>
        <w:tc>
          <w:tcPr>
            <w:tcW w:w="392" w:type="pct"/>
            <w:vMerge w:val="continue"/>
            <w:tcBorders>
              <w:tl2br w:val="nil"/>
              <w:tr2bl w:val="nil"/>
            </w:tcBorders>
            <w:noWrap/>
            <w:vAlign w:val="center"/>
          </w:tcPr>
          <w:p w14:paraId="5684E153">
            <w:pPr>
              <w:spacing w:before="46" w:beforeLines="15" w:after="46" w:afterLines="15"/>
              <w:jc w:val="center"/>
              <w:rPr>
                <w:rFonts w:hint="eastAsia" w:ascii="Times New Roman" w:hAnsi="Times New Roman" w:eastAsia="仿宋" w:cs="Times New Roman"/>
                <w:bCs/>
                <w:color w:val="auto"/>
                <w:sz w:val="21"/>
                <w:szCs w:val="21"/>
                <w:lang w:val="en-US" w:eastAsia="zh-CN"/>
              </w:rPr>
            </w:pPr>
          </w:p>
        </w:tc>
        <w:tc>
          <w:tcPr>
            <w:tcW w:w="292" w:type="pct"/>
            <w:tcBorders>
              <w:tl2br w:val="nil"/>
              <w:tr2bl w:val="nil"/>
            </w:tcBorders>
            <w:shd w:val="clear" w:color="auto" w:fill="auto"/>
            <w:noWrap/>
            <w:vAlign w:val="center"/>
          </w:tcPr>
          <w:p w14:paraId="6A2FFC12">
            <w:pPr>
              <w:spacing w:before="46" w:beforeLines="15" w:after="46" w:afterLines="15"/>
              <w:jc w:val="center"/>
              <w:rPr>
                <w:rFonts w:hint="eastAsia" w:ascii="Times New Roman" w:hAnsi="Times New Roman" w:eastAsia="仿宋" w:cs="Times New Roman"/>
                <w:bCs/>
                <w:color w:val="auto"/>
                <w:kern w:val="2"/>
                <w:sz w:val="21"/>
                <w:szCs w:val="21"/>
                <w:lang w:val="en-US" w:eastAsia="zh-CN" w:bidi="ar-SA"/>
              </w:rPr>
            </w:pPr>
            <w:r>
              <w:rPr>
                <w:rFonts w:hint="eastAsia" w:ascii="Times New Roman" w:hAnsi="Times New Roman" w:eastAsia="仿宋" w:cs="Times New Roman"/>
                <w:bCs/>
                <w:color w:val="auto"/>
                <w:sz w:val="21"/>
                <w:szCs w:val="21"/>
                <w:lang w:val="en-US" w:eastAsia="zh-CN"/>
              </w:rPr>
              <w:t>HW06</w:t>
            </w:r>
          </w:p>
        </w:tc>
        <w:tc>
          <w:tcPr>
            <w:tcW w:w="1330" w:type="pct"/>
            <w:tcBorders>
              <w:tl2br w:val="nil"/>
              <w:tr2bl w:val="nil"/>
            </w:tcBorders>
            <w:shd w:val="clear" w:color="auto" w:fill="auto"/>
            <w:noWrap w:val="0"/>
            <w:vAlign w:val="center"/>
          </w:tcPr>
          <w:p w14:paraId="08BBFE4A">
            <w:pPr>
              <w:spacing w:before="46" w:beforeLines="15" w:after="46" w:afterLines="15"/>
              <w:jc w:val="center"/>
              <w:rPr>
                <w:rFonts w:hint="eastAsia" w:ascii="Times New Roman" w:hAnsi="Times New Roman" w:eastAsia="仿宋" w:cs="Times New Roman"/>
                <w:bCs/>
                <w:color w:val="auto"/>
                <w:kern w:val="2"/>
                <w:sz w:val="21"/>
                <w:szCs w:val="21"/>
                <w:lang w:val="en-US" w:eastAsia="zh-CN" w:bidi="ar-SA"/>
              </w:rPr>
            </w:pPr>
            <w:r>
              <w:rPr>
                <w:rFonts w:hint="eastAsia" w:ascii="Times New Roman" w:hAnsi="Times New Roman" w:eastAsia="仿宋" w:cs="Times New Roman"/>
                <w:bCs/>
                <w:color w:val="auto"/>
                <w:sz w:val="21"/>
                <w:szCs w:val="21"/>
                <w:lang w:val="en-US" w:eastAsia="zh-CN"/>
              </w:rPr>
              <w:t>900-401-06，900-402-06，900-404-06，900-407-06</w:t>
            </w:r>
          </w:p>
        </w:tc>
        <w:tc>
          <w:tcPr>
            <w:tcW w:w="2118" w:type="pct"/>
            <w:vMerge w:val="continue"/>
            <w:tcBorders>
              <w:tl2br w:val="nil"/>
              <w:tr2bl w:val="nil"/>
            </w:tcBorders>
            <w:shd w:val="clear" w:color="auto" w:fill="auto"/>
            <w:noWrap w:val="0"/>
            <w:vAlign w:val="center"/>
          </w:tcPr>
          <w:p w14:paraId="5229E5AE">
            <w:pPr>
              <w:spacing w:before="46" w:beforeLines="15" w:after="46" w:afterLines="15"/>
              <w:jc w:val="center"/>
              <w:rPr>
                <w:rFonts w:hint="eastAsia" w:ascii="Times New Roman" w:hAnsi="Times New Roman" w:eastAsia="仿宋" w:cs="Times New Roman"/>
                <w:bCs/>
                <w:color w:val="auto"/>
                <w:kern w:val="2"/>
                <w:sz w:val="21"/>
                <w:szCs w:val="21"/>
                <w:lang w:val="en-US" w:eastAsia="zh-CN" w:bidi="ar-SA"/>
              </w:rPr>
            </w:pPr>
          </w:p>
        </w:tc>
        <w:tc>
          <w:tcPr>
            <w:tcW w:w="559" w:type="pct"/>
            <w:vMerge w:val="continue"/>
            <w:tcBorders>
              <w:tl2br w:val="nil"/>
              <w:tr2bl w:val="nil"/>
            </w:tcBorders>
            <w:shd w:val="clear" w:color="auto" w:fill="auto"/>
            <w:noWrap/>
            <w:vAlign w:val="center"/>
          </w:tcPr>
          <w:p w14:paraId="169DF367">
            <w:pPr>
              <w:spacing w:before="46" w:beforeLines="15" w:after="46" w:afterLines="15"/>
              <w:jc w:val="center"/>
              <w:rPr>
                <w:rFonts w:hint="eastAsia" w:ascii="Times New Roman" w:hAnsi="Times New Roman" w:eastAsia="仿宋" w:cs="Times New Roman"/>
                <w:bCs/>
                <w:color w:val="auto"/>
                <w:kern w:val="2"/>
                <w:sz w:val="21"/>
                <w:szCs w:val="21"/>
                <w:lang w:val="en-US" w:eastAsia="zh-CN" w:bidi="ar-SA"/>
              </w:rPr>
            </w:pPr>
          </w:p>
        </w:tc>
      </w:tr>
      <w:tr w14:paraId="2A5D68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06" w:type="pct"/>
            <w:tcBorders>
              <w:tl2br w:val="nil"/>
              <w:tr2bl w:val="nil"/>
            </w:tcBorders>
            <w:noWrap/>
            <w:vAlign w:val="center"/>
          </w:tcPr>
          <w:p w14:paraId="5308AA4C">
            <w:pPr>
              <w:spacing w:before="46" w:beforeLines="15" w:after="46" w:afterLines="15"/>
              <w:jc w:val="center"/>
              <w:rPr>
                <w:rFonts w:hint="default" w:ascii="Times New Roman" w:hAnsi="Times New Roman" w:eastAsia="仿宋" w:cs="Times New Roman"/>
                <w:bCs/>
                <w:color w:val="auto"/>
                <w:sz w:val="21"/>
                <w:szCs w:val="21"/>
                <w:lang w:val="en-US" w:eastAsia="zh-CN"/>
              </w:rPr>
            </w:pPr>
            <w:r>
              <w:rPr>
                <w:rFonts w:hint="eastAsia" w:eastAsia="仿宋" w:cs="Times New Roman"/>
                <w:bCs/>
                <w:color w:val="auto"/>
                <w:sz w:val="21"/>
                <w:szCs w:val="21"/>
                <w:lang w:val="en-US" w:eastAsia="zh-CN"/>
              </w:rPr>
              <w:t>13</w:t>
            </w:r>
          </w:p>
        </w:tc>
        <w:tc>
          <w:tcPr>
            <w:tcW w:w="392" w:type="pct"/>
            <w:vMerge w:val="continue"/>
            <w:tcBorders>
              <w:tl2br w:val="nil"/>
              <w:tr2bl w:val="nil"/>
            </w:tcBorders>
            <w:noWrap/>
            <w:vAlign w:val="center"/>
          </w:tcPr>
          <w:p w14:paraId="3BD7E0A6">
            <w:pPr>
              <w:spacing w:before="46" w:beforeLines="15" w:after="46" w:afterLines="15"/>
              <w:jc w:val="center"/>
              <w:rPr>
                <w:rFonts w:hint="eastAsia" w:ascii="Times New Roman" w:hAnsi="Times New Roman" w:eastAsia="仿宋" w:cs="Times New Roman"/>
                <w:bCs/>
                <w:color w:val="auto"/>
                <w:sz w:val="21"/>
                <w:szCs w:val="21"/>
                <w:lang w:val="en-US" w:eastAsia="zh-CN"/>
              </w:rPr>
            </w:pPr>
          </w:p>
        </w:tc>
        <w:tc>
          <w:tcPr>
            <w:tcW w:w="292" w:type="pct"/>
            <w:tcBorders>
              <w:tl2br w:val="nil"/>
              <w:tr2bl w:val="nil"/>
            </w:tcBorders>
            <w:noWrap/>
            <w:vAlign w:val="center"/>
          </w:tcPr>
          <w:p w14:paraId="557DB365">
            <w:pPr>
              <w:spacing w:before="46" w:beforeLines="15" w:after="46" w:afterLines="15"/>
              <w:jc w:val="center"/>
              <w:rPr>
                <w:rFonts w:hint="eastAsia" w:ascii="Times New Roman" w:hAnsi="Times New Roman" w:eastAsia="仿宋" w:cs="Times New Roman"/>
                <w:bCs/>
                <w:color w:val="auto"/>
                <w:sz w:val="21"/>
                <w:szCs w:val="21"/>
              </w:rPr>
            </w:pPr>
            <w:r>
              <w:rPr>
                <w:rFonts w:hint="eastAsia" w:ascii="Times New Roman" w:hAnsi="Times New Roman" w:eastAsia="仿宋" w:cs="Times New Roman"/>
                <w:bCs/>
                <w:color w:val="auto"/>
                <w:sz w:val="21"/>
                <w:szCs w:val="21"/>
                <w:lang w:val="en-US" w:eastAsia="zh-CN"/>
              </w:rPr>
              <w:t>HW08</w:t>
            </w:r>
          </w:p>
        </w:tc>
        <w:tc>
          <w:tcPr>
            <w:tcW w:w="1330" w:type="pct"/>
            <w:tcBorders>
              <w:tl2br w:val="nil"/>
              <w:tr2bl w:val="nil"/>
            </w:tcBorders>
            <w:noWrap w:val="0"/>
            <w:vAlign w:val="center"/>
          </w:tcPr>
          <w:p w14:paraId="56462127">
            <w:pPr>
              <w:spacing w:before="46" w:beforeLines="15" w:after="46" w:afterLines="15"/>
              <w:jc w:val="center"/>
              <w:rPr>
                <w:rFonts w:hint="eastAsia" w:ascii="Times New Roman" w:hAnsi="Times New Roman" w:eastAsia="仿宋" w:cs="Times New Roman"/>
                <w:bCs/>
                <w:color w:val="auto"/>
                <w:sz w:val="21"/>
                <w:szCs w:val="21"/>
              </w:rPr>
            </w:pPr>
            <w:r>
              <w:rPr>
                <w:rFonts w:hint="eastAsia" w:ascii="Times New Roman" w:hAnsi="Times New Roman" w:eastAsia="仿宋" w:cs="Times New Roman"/>
                <w:bCs/>
                <w:color w:val="auto"/>
                <w:sz w:val="21"/>
                <w:szCs w:val="21"/>
                <w:lang w:val="en-US" w:eastAsia="zh-CN"/>
              </w:rPr>
              <w:t>251-001-08，251-003-08，251-005-08，900-199-08，900-200-08，900-201-08，900-203-08，900-204-08，900-205-08，900-209-08，900-210-08，900-214-08，900-216-08，900-217-08，900-218-08，900-219-08，900-220-08，900-249-08</w:t>
            </w:r>
          </w:p>
        </w:tc>
        <w:tc>
          <w:tcPr>
            <w:tcW w:w="2118" w:type="pct"/>
            <w:tcBorders>
              <w:tl2br w:val="nil"/>
              <w:tr2bl w:val="nil"/>
            </w:tcBorders>
            <w:noWrap w:val="0"/>
            <w:vAlign w:val="center"/>
          </w:tcPr>
          <w:p w14:paraId="1A87E042">
            <w:pPr>
              <w:spacing w:before="46" w:beforeLines="15" w:after="46" w:afterLines="15"/>
              <w:jc w:val="center"/>
              <w:rPr>
                <w:rFonts w:hint="eastAsia" w:ascii="Times New Roman" w:hAnsi="Times New Roman" w:eastAsia="仿宋" w:cs="Times New Roman"/>
                <w:bCs/>
                <w:color w:val="auto"/>
                <w:sz w:val="21"/>
                <w:szCs w:val="21"/>
              </w:rPr>
            </w:pPr>
            <w:r>
              <w:rPr>
                <w:rFonts w:hint="eastAsia" w:ascii="Times New Roman" w:hAnsi="Times New Roman" w:eastAsia="仿宋" w:cs="Times New Roman"/>
                <w:bCs/>
                <w:color w:val="auto"/>
                <w:sz w:val="21"/>
                <w:szCs w:val="21"/>
                <w:lang w:val="en-US" w:eastAsia="zh-CN"/>
              </w:rPr>
              <w:t>废矿物油与含矿物油废物</w:t>
            </w:r>
          </w:p>
        </w:tc>
        <w:tc>
          <w:tcPr>
            <w:tcW w:w="559" w:type="pct"/>
            <w:tcBorders>
              <w:tl2br w:val="nil"/>
              <w:tr2bl w:val="nil"/>
            </w:tcBorders>
            <w:noWrap/>
            <w:vAlign w:val="center"/>
          </w:tcPr>
          <w:p w14:paraId="4414C753">
            <w:pPr>
              <w:spacing w:before="46" w:beforeLines="15" w:after="46" w:afterLines="15"/>
              <w:jc w:val="center"/>
              <w:rPr>
                <w:rFonts w:hint="eastAsia" w:ascii="Times New Roman" w:hAnsi="Times New Roman" w:eastAsia="仿宋" w:cs="Times New Roman"/>
                <w:bCs/>
                <w:color w:val="auto"/>
                <w:sz w:val="21"/>
                <w:szCs w:val="21"/>
              </w:rPr>
            </w:pPr>
            <w:r>
              <w:rPr>
                <w:rFonts w:hint="eastAsia" w:ascii="Times New Roman" w:hAnsi="Times New Roman" w:eastAsia="仿宋" w:cs="Times New Roman"/>
                <w:bCs/>
                <w:color w:val="auto"/>
                <w:sz w:val="21"/>
                <w:szCs w:val="21"/>
                <w:lang w:val="en-US" w:eastAsia="zh-CN"/>
              </w:rPr>
              <w:t>200</w:t>
            </w:r>
          </w:p>
        </w:tc>
      </w:tr>
      <w:tr w14:paraId="70FCB5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06" w:type="pct"/>
            <w:tcBorders>
              <w:tl2br w:val="nil"/>
              <w:tr2bl w:val="nil"/>
            </w:tcBorders>
            <w:noWrap/>
            <w:vAlign w:val="center"/>
          </w:tcPr>
          <w:p w14:paraId="69BFE3E5">
            <w:pPr>
              <w:spacing w:before="46" w:beforeLines="15" w:after="46" w:afterLines="15"/>
              <w:jc w:val="center"/>
              <w:rPr>
                <w:rFonts w:hint="default" w:ascii="Times New Roman" w:hAnsi="Times New Roman" w:eastAsia="仿宋" w:cs="Times New Roman"/>
                <w:bCs/>
                <w:color w:val="auto"/>
                <w:sz w:val="21"/>
                <w:szCs w:val="21"/>
                <w:lang w:val="en-US" w:eastAsia="zh-CN"/>
              </w:rPr>
            </w:pPr>
            <w:r>
              <w:rPr>
                <w:rFonts w:hint="eastAsia" w:ascii="Times New Roman" w:hAnsi="Times New Roman" w:eastAsia="仿宋" w:cs="Times New Roman"/>
                <w:bCs/>
                <w:color w:val="auto"/>
                <w:sz w:val="21"/>
                <w:szCs w:val="21"/>
                <w:lang w:val="en-US" w:eastAsia="zh-CN"/>
              </w:rPr>
              <w:t>1</w:t>
            </w:r>
            <w:r>
              <w:rPr>
                <w:rFonts w:hint="eastAsia" w:eastAsia="仿宋" w:cs="Times New Roman"/>
                <w:bCs/>
                <w:color w:val="auto"/>
                <w:sz w:val="21"/>
                <w:szCs w:val="21"/>
                <w:lang w:val="en-US" w:eastAsia="zh-CN"/>
              </w:rPr>
              <w:t>4</w:t>
            </w:r>
          </w:p>
        </w:tc>
        <w:tc>
          <w:tcPr>
            <w:tcW w:w="392" w:type="pct"/>
            <w:vMerge w:val="continue"/>
            <w:tcBorders>
              <w:tl2br w:val="nil"/>
              <w:tr2bl w:val="nil"/>
            </w:tcBorders>
            <w:noWrap/>
            <w:vAlign w:val="center"/>
          </w:tcPr>
          <w:p w14:paraId="7DADCA13">
            <w:pPr>
              <w:spacing w:before="46" w:beforeLines="15" w:after="46" w:afterLines="15"/>
              <w:jc w:val="center"/>
              <w:rPr>
                <w:rFonts w:hint="eastAsia" w:ascii="Times New Roman" w:hAnsi="Times New Roman" w:eastAsia="仿宋" w:cs="Times New Roman"/>
                <w:bCs/>
                <w:color w:val="auto"/>
                <w:sz w:val="21"/>
                <w:szCs w:val="21"/>
                <w:lang w:val="en-US" w:eastAsia="zh-CN"/>
              </w:rPr>
            </w:pPr>
          </w:p>
        </w:tc>
        <w:tc>
          <w:tcPr>
            <w:tcW w:w="292" w:type="pct"/>
            <w:tcBorders>
              <w:tl2br w:val="nil"/>
              <w:tr2bl w:val="nil"/>
            </w:tcBorders>
            <w:noWrap/>
            <w:vAlign w:val="center"/>
          </w:tcPr>
          <w:p w14:paraId="4A2A08F7">
            <w:pPr>
              <w:spacing w:before="46" w:beforeLines="15" w:after="46" w:afterLines="15"/>
              <w:jc w:val="center"/>
              <w:rPr>
                <w:rFonts w:hint="eastAsia" w:ascii="Times New Roman" w:hAnsi="Times New Roman" w:eastAsia="仿宋" w:cs="Times New Roman"/>
                <w:bCs/>
                <w:color w:val="auto"/>
                <w:sz w:val="21"/>
                <w:szCs w:val="21"/>
              </w:rPr>
            </w:pPr>
            <w:r>
              <w:rPr>
                <w:rFonts w:hint="eastAsia" w:ascii="Times New Roman" w:hAnsi="Times New Roman" w:eastAsia="仿宋" w:cs="Times New Roman"/>
                <w:bCs/>
                <w:color w:val="auto"/>
                <w:sz w:val="21"/>
                <w:szCs w:val="21"/>
                <w:lang w:val="en-US" w:eastAsia="zh-CN"/>
              </w:rPr>
              <w:t>HW09</w:t>
            </w:r>
          </w:p>
        </w:tc>
        <w:tc>
          <w:tcPr>
            <w:tcW w:w="1330" w:type="pct"/>
            <w:tcBorders>
              <w:tl2br w:val="nil"/>
              <w:tr2bl w:val="nil"/>
            </w:tcBorders>
            <w:noWrap/>
            <w:vAlign w:val="center"/>
          </w:tcPr>
          <w:p w14:paraId="6FD24858">
            <w:pPr>
              <w:spacing w:before="46" w:beforeLines="15" w:after="46" w:afterLines="15"/>
              <w:jc w:val="center"/>
              <w:rPr>
                <w:rFonts w:hint="eastAsia" w:ascii="Times New Roman" w:hAnsi="Times New Roman" w:eastAsia="仿宋" w:cs="Times New Roman"/>
                <w:bCs/>
                <w:color w:val="auto"/>
                <w:sz w:val="21"/>
                <w:szCs w:val="21"/>
              </w:rPr>
            </w:pPr>
            <w:r>
              <w:rPr>
                <w:rFonts w:hint="eastAsia" w:ascii="Times New Roman" w:hAnsi="Times New Roman" w:eastAsia="仿宋" w:cs="Times New Roman"/>
                <w:bCs/>
                <w:color w:val="auto"/>
                <w:sz w:val="21"/>
                <w:szCs w:val="21"/>
                <w:lang w:val="en-US" w:eastAsia="zh-CN"/>
              </w:rPr>
              <w:t>900-005-09，900-006-09，900-007-09</w:t>
            </w:r>
          </w:p>
        </w:tc>
        <w:tc>
          <w:tcPr>
            <w:tcW w:w="2118" w:type="pct"/>
            <w:tcBorders>
              <w:tl2br w:val="nil"/>
              <w:tr2bl w:val="nil"/>
            </w:tcBorders>
            <w:noWrap w:val="0"/>
            <w:vAlign w:val="center"/>
          </w:tcPr>
          <w:p w14:paraId="7D9C9DC7">
            <w:pPr>
              <w:spacing w:before="46" w:beforeLines="15" w:after="46" w:afterLines="15"/>
              <w:jc w:val="center"/>
              <w:rPr>
                <w:rFonts w:hint="eastAsia" w:ascii="Times New Roman" w:hAnsi="Times New Roman" w:eastAsia="仿宋" w:cs="Times New Roman"/>
                <w:bCs/>
                <w:color w:val="auto"/>
                <w:sz w:val="21"/>
                <w:szCs w:val="21"/>
              </w:rPr>
            </w:pPr>
            <w:r>
              <w:rPr>
                <w:rFonts w:hint="eastAsia" w:ascii="Times New Roman" w:hAnsi="Times New Roman" w:eastAsia="仿宋" w:cs="Times New Roman"/>
                <w:bCs/>
                <w:color w:val="auto"/>
                <w:sz w:val="21"/>
                <w:szCs w:val="21"/>
                <w:lang w:val="en-US" w:eastAsia="zh-CN"/>
              </w:rPr>
              <w:t>油/水、烃/水混合物或乳化液</w:t>
            </w:r>
          </w:p>
        </w:tc>
        <w:tc>
          <w:tcPr>
            <w:tcW w:w="559" w:type="pct"/>
            <w:tcBorders>
              <w:tl2br w:val="nil"/>
              <w:tr2bl w:val="nil"/>
            </w:tcBorders>
            <w:noWrap/>
            <w:vAlign w:val="center"/>
          </w:tcPr>
          <w:p w14:paraId="67D10615">
            <w:pPr>
              <w:spacing w:before="46" w:beforeLines="15" w:after="46" w:afterLines="15"/>
              <w:jc w:val="center"/>
              <w:rPr>
                <w:rFonts w:hint="eastAsia" w:ascii="Times New Roman" w:hAnsi="Times New Roman" w:eastAsia="仿宋" w:cs="Times New Roman"/>
                <w:bCs/>
                <w:color w:val="auto"/>
                <w:sz w:val="21"/>
                <w:szCs w:val="21"/>
              </w:rPr>
            </w:pPr>
            <w:r>
              <w:rPr>
                <w:rFonts w:hint="eastAsia" w:ascii="Times New Roman" w:hAnsi="Times New Roman" w:eastAsia="仿宋" w:cs="Times New Roman"/>
                <w:bCs/>
                <w:color w:val="auto"/>
                <w:sz w:val="21"/>
                <w:szCs w:val="21"/>
                <w:lang w:val="en-US" w:eastAsia="zh-CN"/>
              </w:rPr>
              <w:t>1000</w:t>
            </w:r>
          </w:p>
        </w:tc>
      </w:tr>
      <w:tr w14:paraId="1DDCC1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06" w:type="pct"/>
            <w:tcBorders>
              <w:tl2br w:val="nil"/>
              <w:tr2bl w:val="nil"/>
            </w:tcBorders>
            <w:noWrap/>
            <w:vAlign w:val="center"/>
          </w:tcPr>
          <w:p w14:paraId="0D964B14">
            <w:pPr>
              <w:spacing w:before="46" w:beforeLines="15" w:after="46" w:afterLines="15"/>
              <w:jc w:val="center"/>
              <w:rPr>
                <w:rFonts w:hint="default" w:ascii="Times New Roman" w:hAnsi="Times New Roman" w:eastAsia="仿宋" w:cs="Times New Roman"/>
                <w:bCs/>
                <w:color w:val="auto"/>
                <w:sz w:val="21"/>
                <w:szCs w:val="21"/>
                <w:lang w:val="en-US" w:eastAsia="zh-CN"/>
              </w:rPr>
            </w:pPr>
            <w:r>
              <w:rPr>
                <w:rFonts w:hint="eastAsia" w:ascii="Times New Roman" w:hAnsi="Times New Roman" w:eastAsia="仿宋" w:cs="Times New Roman"/>
                <w:bCs/>
                <w:color w:val="auto"/>
                <w:sz w:val="21"/>
                <w:szCs w:val="21"/>
                <w:lang w:val="en-US" w:eastAsia="zh-CN"/>
              </w:rPr>
              <w:t>1</w:t>
            </w:r>
            <w:r>
              <w:rPr>
                <w:rFonts w:hint="eastAsia" w:eastAsia="仿宋" w:cs="Times New Roman"/>
                <w:bCs/>
                <w:color w:val="auto"/>
                <w:sz w:val="21"/>
                <w:szCs w:val="21"/>
                <w:lang w:val="en-US" w:eastAsia="zh-CN"/>
              </w:rPr>
              <w:t>5</w:t>
            </w:r>
          </w:p>
        </w:tc>
        <w:tc>
          <w:tcPr>
            <w:tcW w:w="392" w:type="pct"/>
            <w:vMerge w:val="continue"/>
            <w:tcBorders>
              <w:tl2br w:val="nil"/>
              <w:tr2bl w:val="nil"/>
            </w:tcBorders>
            <w:noWrap/>
            <w:vAlign w:val="center"/>
          </w:tcPr>
          <w:p w14:paraId="7A6185FD">
            <w:pPr>
              <w:spacing w:before="46" w:beforeLines="15" w:after="46" w:afterLines="15"/>
              <w:jc w:val="center"/>
              <w:rPr>
                <w:rFonts w:hint="eastAsia" w:ascii="Times New Roman" w:hAnsi="Times New Roman" w:eastAsia="仿宋" w:cs="Times New Roman"/>
                <w:bCs/>
                <w:color w:val="auto"/>
                <w:sz w:val="21"/>
                <w:szCs w:val="21"/>
                <w:lang w:val="en-US" w:eastAsia="zh-CN"/>
              </w:rPr>
            </w:pPr>
          </w:p>
        </w:tc>
        <w:tc>
          <w:tcPr>
            <w:tcW w:w="292" w:type="pct"/>
            <w:tcBorders>
              <w:tl2br w:val="nil"/>
              <w:tr2bl w:val="nil"/>
            </w:tcBorders>
            <w:noWrap/>
            <w:vAlign w:val="center"/>
          </w:tcPr>
          <w:p w14:paraId="1689DD01">
            <w:pPr>
              <w:spacing w:before="46" w:beforeLines="15" w:after="46" w:afterLines="15"/>
              <w:jc w:val="center"/>
              <w:rPr>
                <w:rFonts w:hint="eastAsia" w:ascii="Times New Roman" w:hAnsi="Times New Roman" w:eastAsia="仿宋" w:cs="Times New Roman"/>
                <w:bCs/>
                <w:color w:val="auto"/>
                <w:sz w:val="21"/>
                <w:szCs w:val="21"/>
              </w:rPr>
            </w:pPr>
            <w:r>
              <w:rPr>
                <w:rFonts w:hint="eastAsia" w:ascii="Times New Roman" w:hAnsi="Times New Roman" w:eastAsia="仿宋" w:cs="Times New Roman"/>
                <w:bCs/>
                <w:color w:val="auto"/>
                <w:sz w:val="21"/>
                <w:szCs w:val="21"/>
                <w:lang w:val="en-US" w:eastAsia="zh-CN"/>
              </w:rPr>
              <w:t>HW12</w:t>
            </w:r>
          </w:p>
        </w:tc>
        <w:tc>
          <w:tcPr>
            <w:tcW w:w="1330" w:type="pct"/>
            <w:tcBorders>
              <w:tl2br w:val="nil"/>
              <w:tr2bl w:val="nil"/>
            </w:tcBorders>
            <w:noWrap w:val="0"/>
            <w:vAlign w:val="center"/>
          </w:tcPr>
          <w:p w14:paraId="50DF2E84">
            <w:pPr>
              <w:spacing w:before="46" w:beforeLines="15" w:after="46" w:afterLines="15"/>
              <w:jc w:val="center"/>
              <w:rPr>
                <w:rFonts w:hint="eastAsia" w:ascii="Times New Roman" w:hAnsi="Times New Roman" w:eastAsia="仿宋" w:cs="Times New Roman"/>
                <w:bCs/>
                <w:color w:val="auto"/>
                <w:sz w:val="21"/>
                <w:szCs w:val="21"/>
              </w:rPr>
            </w:pPr>
            <w:r>
              <w:rPr>
                <w:rFonts w:hint="eastAsia" w:ascii="Times New Roman" w:hAnsi="Times New Roman" w:eastAsia="仿宋" w:cs="Times New Roman"/>
                <w:bCs/>
                <w:color w:val="auto"/>
                <w:sz w:val="21"/>
                <w:szCs w:val="21"/>
                <w:lang w:val="en-US" w:eastAsia="zh-CN"/>
              </w:rPr>
              <w:t>264-011-12，264-013-12，900-250-12，900-251-12，900-252-12，900-253-12</w:t>
            </w:r>
          </w:p>
        </w:tc>
        <w:tc>
          <w:tcPr>
            <w:tcW w:w="2118" w:type="pct"/>
            <w:tcBorders>
              <w:tl2br w:val="nil"/>
              <w:tr2bl w:val="nil"/>
            </w:tcBorders>
            <w:noWrap/>
            <w:vAlign w:val="center"/>
          </w:tcPr>
          <w:p w14:paraId="4FC1E5F4">
            <w:pPr>
              <w:spacing w:before="46" w:beforeLines="15" w:after="46" w:afterLines="15"/>
              <w:jc w:val="center"/>
              <w:rPr>
                <w:rFonts w:hint="eastAsia" w:ascii="Times New Roman" w:hAnsi="Times New Roman" w:eastAsia="仿宋" w:cs="Times New Roman"/>
                <w:bCs/>
                <w:color w:val="auto"/>
                <w:sz w:val="21"/>
                <w:szCs w:val="21"/>
              </w:rPr>
            </w:pPr>
            <w:r>
              <w:rPr>
                <w:rFonts w:hint="eastAsia" w:ascii="Times New Roman" w:hAnsi="Times New Roman" w:eastAsia="仿宋" w:cs="Times New Roman"/>
                <w:bCs/>
                <w:color w:val="auto"/>
                <w:sz w:val="21"/>
                <w:szCs w:val="21"/>
                <w:lang w:val="en-US" w:eastAsia="zh-CN"/>
              </w:rPr>
              <w:t>染料、涂料废物</w:t>
            </w:r>
          </w:p>
        </w:tc>
        <w:tc>
          <w:tcPr>
            <w:tcW w:w="559" w:type="pct"/>
            <w:tcBorders>
              <w:tl2br w:val="nil"/>
              <w:tr2bl w:val="nil"/>
            </w:tcBorders>
            <w:noWrap/>
            <w:vAlign w:val="center"/>
          </w:tcPr>
          <w:p w14:paraId="2EEC8445">
            <w:pPr>
              <w:spacing w:before="46" w:beforeLines="15" w:after="46" w:afterLines="15"/>
              <w:jc w:val="center"/>
              <w:rPr>
                <w:rFonts w:hint="eastAsia" w:ascii="Times New Roman" w:hAnsi="Times New Roman" w:eastAsia="仿宋" w:cs="Times New Roman"/>
                <w:bCs/>
                <w:color w:val="auto"/>
                <w:sz w:val="21"/>
                <w:szCs w:val="21"/>
              </w:rPr>
            </w:pPr>
            <w:r>
              <w:rPr>
                <w:rFonts w:hint="eastAsia" w:ascii="Times New Roman" w:hAnsi="Times New Roman" w:eastAsia="仿宋" w:cs="Times New Roman"/>
                <w:bCs/>
                <w:color w:val="auto"/>
                <w:sz w:val="21"/>
                <w:szCs w:val="21"/>
                <w:lang w:val="en-US" w:eastAsia="zh-CN"/>
              </w:rPr>
              <w:t>500</w:t>
            </w:r>
          </w:p>
        </w:tc>
      </w:tr>
      <w:tr w14:paraId="23A8CA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06" w:type="pct"/>
            <w:tcBorders>
              <w:tl2br w:val="nil"/>
              <w:tr2bl w:val="nil"/>
            </w:tcBorders>
            <w:noWrap/>
            <w:vAlign w:val="center"/>
          </w:tcPr>
          <w:p w14:paraId="0D3C5C96">
            <w:pPr>
              <w:spacing w:before="46" w:beforeLines="15" w:after="46" w:afterLines="15"/>
              <w:jc w:val="center"/>
              <w:rPr>
                <w:rFonts w:hint="default" w:ascii="Times New Roman" w:hAnsi="Times New Roman" w:eastAsia="仿宋" w:cs="Times New Roman"/>
                <w:bCs/>
                <w:color w:val="auto"/>
                <w:sz w:val="21"/>
                <w:szCs w:val="21"/>
                <w:lang w:val="en-US" w:eastAsia="zh-CN"/>
              </w:rPr>
            </w:pPr>
            <w:r>
              <w:rPr>
                <w:rFonts w:hint="eastAsia" w:ascii="Times New Roman" w:hAnsi="Times New Roman" w:eastAsia="仿宋" w:cs="Times New Roman"/>
                <w:bCs/>
                <w:color w:val="auto"/>
                <w:sz w:val="21"/>
                <w:szCs w:val="21"/>
                <w:lang w:val="en-US" w:eastAsia="zh-CN"/>
              </w:rPr>
              <w:t>1</w:t>
            </w:r>
            <w:r>
              <w:rPr>
                <w:rFonts w:hint="eastAsia" w:eastAsia="仿宋" w:cs="Times New Roman"/>
                <w:bCs/>
                <w:color w:val="auto"/>
                <w:sz w:val="21"/>
                <w:szCs w:val="21"/>
                <w:lang w:val="en-US" w:eastAsia="zh-CN"/>
              </w:rPr>
              <w:t>6</w:t>
            </w:r>
          </w:p>
        </w:tc>
        <w:tc>
          <w:tcPr>
            <w:tcW w:w="392" w:type="pct"/>
            <w:vMerge w:val="continue"/>
            <w:tcBorders>
              <w:tl2br w:val="nil"/>
              <w:tr2bl w:val="nil"/>
            </w:tcBorders>
            <w:noWrap/>
            <w:vAlign w:val="center"/>
          </w:tcPr>
          <w:p w14:paraId="476079C6">
            <w:pPr>
              <w:spacing w:before="46" w:beforeLines="15" w:after="46" w:afterLines="15"/>
              <w:jc w:val="center"/>
              <w:rPr>
                <w:rFonts w:hint="eastAsia" w:ascii="Times New Roman" w:hAnsi="Times New Roman" w:eastAsia="仿宋" w:cs="Times New Roman"/>
                <w:bCs/>
                <w:color w:val="auto"/>
                <w:sz w:val="21"/>
                <w:szCs w:val="21"/>
                <w:lang w:val="en-US" w:eastAsia="zh-CN"/>
              </w:rPr>
            </w:pPr>
          </w:p>
        </w:tc>
        <w:tc>
          <w:tcPr>
            <w:tcW w:w="292" w:type="pct"/>
            <w:tcBorders>
              <w:tl2br w:val="nil"/>
              <w:tr2bl w:val="nil"/>
            </w:tcBorders>
            <w:noWrap/>
            <w:vAlign w:val="center"/>
          </w:tcPr>
          <w:p w14:paraId="46C8E899">
            <w:pPr>
              <w:spacing w:before="46" w:beforeLines="15" w:after="46" w:afterLines="15"/>
              <w:jc w:val="center"/>
              <w:rPr>
                <w:rFonts w:hint="eastAsia" w:ascii="Times New Roman" w:hAnsi="Times New Roman" w:eastAsia="仿宋" w:cs="Times New Roman"/>
                <w:bCs/>
                <w:color w:val="auto"/>
                <w:sz w:val="21"/>
                <w:szCs w:val="21"/>
              </w:rPr>
            </w:pPr>
            <w:r>
              <w:rPr>
                <w:rFonts w:hint="eastAsia" w:ascii="Times New Roman" w:hAnsi="Times New Roman" w:eastAsia="仿宋" w:cs="Times New Roman"/>
                <w:bCs/>
                <w:color w:val="auto"/>
                <w:sz w:val="21"/>
                <w:szCs w:val="21"/>
                <w:lang w:val="en-US" w:eastAsia="zh-CN"/>
              </w:rPr>
              <w:t>HW13</w:t>
            </w:r>
          </w:p>
        </w:tc>
        <w:tc>
          <w:tcPr>
            <w:tcW w:w="1330" w:type="pct"/>
            <w:tcBorders>
              <w:tl2br w:val="nil"/>
              <w:tr2bl w:val="nil"/>
            </w:tcBorders>
            <w:noWrap/>
            <w:vAlign w:val="center"/>
          </w:tcPr>
          <w:p w14:paraId="22FF773D">
            <w:pPr>
              <w:spacing w:before="46" w:beforeLines="15" w:after="46" w:afterLines="15"/>
              <w:jc w:val="center"/>
              <w:rPr>
                <w:rFonts w:hint="eastAsia" w:ascii="Times New Roman" w:hAnsi="Times New Roman" w:eastAsia="仿宋" w:cs="Times New Roman"/>
                <w:bCs/>
                <w:color w:val="auto"/>
                <w:sz w:val="21"/>
                <w:szCs w:val="21"/>
              </w:rPr>
            </w:pPr>
            <w:r>
              <w:rPr>
                <w:rFonts w:hint="eastAsia" w:ascii="Times New Roman" w:hAnsi="Times New Roman" w:eastAsia="仿宋" w:cs="Times New Roman"/>
                <w:bCs/>
                <w:color w:val="auto"/>
                <w:sz w:val="21"/>
                <w:szCs w:val="21"/>
                <w:lang w:val="en-US" w:eastAsia="zh-CN"/>
              </w:rPr>
              <w:t>265-102-13</w:t>
            </w:r>
          </w:p>
        </w:tc>
        <w:tc>
          <w:tcPr>
            <w:tcW w:w="2118" w:type="pct"/>
            <w:tcBorders>
              <w:tl2br w:val="nil"/>
              <w:tr2bl w:val="nil"/>
            </w:tcBorders>
            <w:noWrap/>
            <w:vAlign w:val="center"/>
          </w:tcPr>
          <w:p w14:paraId="5A190E13">
            <w:pPr>
              <w:spacing w:before="46" w:beforeLines="15" w:after="46" w:afterLines="15"/>
              <w:jc w:val="center"/>
              <w:rPr>
                <w:rFonts w:hint="eastAsia" w:ascii="Times New Roman" w:hAnsi="Times New Roman" w:eastAsia="仿宋" w:cs="Times New Roman"/>
                <w:bCs/>
                <w:color w:val="auto"/>
                <w:sz w:val="21"/>
                <w:szCs w:val="21"/>
              </w:rPr>
            </w:pPr>
            <w:r>
              <w:rPr>
                <w:rFonts w:hint="eastAsia" w:ascii="Times New Roman" w:hAnsi="Times New Roman" w:eastAsia="仿宋" w:cs="Times New Roman"/>
                <w:bCs/>
                <w:color w:val="auto"/>
                <w:sz w:val="21"/>
                <w:szCs w:val="21"/>
                <w:lang w:val="en-US" w:eastAsia="zh-CN"/>
              </w:rPr>
              <w:t>有机树脂类废物</w:t>
            </w:r>
          </w:p>
        </w:tc>
        <w:tc>
          <w:tcPr>
            <w:tcW w:w="559" w:type="pct"/>
            <w:tcBorders>
              <w:tl2br w:val="nil"/>
              <w:tr2bl w:val="nil"/>
            </w:tcBorders>
            <w:noWrap/>
            <w:vAlign w:val="center"/>
          </w:tcPr>
          <w:p w14:paraId="50F9D261">
            <w:pPr>
              <w:spacing w:before="46" w:beforeLines="15" w:after="46" w:afterLines="15"/>
              <w:jc w:val="center"/>
              <w:rPr>
                <w:rFonts w:hint="eastAsia" w:ascii="Times New Roman" w:hAnsi="Times New Roman" w:eastAsia="仿宋" w:cs="Times New Roman"/>
                <w:bCs/>
                <w:color w:val="auto"/>
                <w:sz w:val="21"/>
                <w:szCs w:val="21"/>
              </w:rPr>
            </w:pPr>
            <w:r>
              <w:rPr>
                <w:rFonts w:hint="eastAsia" w:ascii="Times New Roman" w:hAnsi="Times New Roman" w:eastAsia="仿宋" w:cs="Times New Roman"/>
                <w:bCs/>
                <w:color w:val="auto"/>
                <w:sz w:val="21"/>
                <w:szCs w:val="21"/>
                <w:lang w:val="en-US" w:eastAsia="zh-CN"/>
              </w:rPr>
              <w:t>300</w:t>
            </w:r>
          </w:p>
        </w:tc>
      </w:tr>
      <w:tr w14:paraId="2C2E20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06" w:type="pct"/>
            <w:tcBorders>
              <w:tl2br w:val="nil"/>
              <w:tr2bl w:val="nil"/>
            </w:tcBorders>
            <w:noWrap/>
            <w:vAlign w:val="center"/>
          </w:tcPr>
          <w:p w14:paraId="4468E25F">
            <w:pPr>
              <w:spacing w:before="46" w:beforeLines="15" w:after="46" w:afterLines="15"/>
              <w:jc w:val="center"/>
              <w:rPr>
                <w:rFonts w:hint="default" w:ascii="Times New Roman" w:hAnsi="Times New Roman" w:eastAsia="仿宋" w:cs="Times New Roman"/>
                <w:bCs/>
                <w:color w:val="auto"/>
                <w:sz w:val="21"/>
                <w:szCs w:val="21"/>
                <w:lang w:val="en-US" w:eastAsia="zh-CN"/>
              </w:rPr>
            </w:pPr>
            <w:r>
              <w:rPr>
                <w:rFonts w:hint="eastAsia" w:ascii="Times New Roman" w:hAnsi="Times New Roman" w:eastAsia="仿宋" w:cs="Times New Roman"/>
                <w:bCs/>
                <w:color w:val="auto"/>
                <w:sz w:val="21"/>
                <w:szCs w:val="21"/>
                <w:lang w:val="en-US" w:eastAsia="zh-CN"/>
              </w:rPr>
              <w:t>1</w:t>
            </w:r>
            <w:r>
              <w:rPr>
                <w:rFonts w:hint="eastAsia" w:eastAsia="仿宋" w:cs="Times New Roman"/>
                <w:bCs/>
                <w:color w:val="auto"/>
                <w:sz w:val="21"/>
                <w:szCs w:val="21"/>
                <w:lang w:val="en-US" w:eastAsia="zh-CN"/>
              </w:rPr>
              <w:t>7</w:t>
            </w:r>
          </w:p>
        </w:tc>
        <w:tc>
          <w:tcPr>
            <w:tcW w:w="392" w:type="pct"/>
            <w:vMerge w:val="continue"/>
            <w:tcBorders>
              <w:tl2br w:val="nil"/>
              <w:tr2bl w:val="nil"/>
            </w:tcBorders>
            <w:noWrap/>
            <w:vAlign w:val="center"/>
          </w:tcPr>
          <w:p w14:paraId="08D48F8B">
            <w:pPr>
              <w:spacing w:before="46" w:beforeLines="15" w:after="46" w:afterLines="15"/>
              <w:jc w:val="center"/>
              <w:rPr>
                <w:rFonts w:hint="eastAsia" w:ascii="Times New Roman" w:hAnsi="Times New Roman" w:eastAsia="仿宋" w:cs="Times New Roman"/>
                <w:bCs/>
                <w:color w:val="auto"/>
                <w:sz w:val="21"/>
                <w:szCs w:val="21"/>
                <w:lang w:val="en-US" w:eastAsia="zh-CN"/>
              </w:rPr>
            </w:pPr>
          </w:p>
        </w:tc>
        <w:tc>
          <w:tcPr>
            <w:tcW w:w="292" w:type="pct"/>
            <w:tcBorders>
              <w:tl2br w:val="nil"/>
              <w:tr2bl w:val="nil"/>
            </w:tcBorders>
            <w:noWrap/>
            <w:vAlign w:val="center"/>
          </w:tcPr>
          <w:p w14:paraId="63D6F031">
            <w:pPr>
              <w:spacing w:before="46" w:beforeLines="15" w:after="46" w:afterLines="15"/>
              <w:jc w:val="center"/>
              <w:rPr>
                <w:rFonts w:hint="eastAsia" w:ascii="Times New Roman" w:hAnsi="Times New Roman" w:eastAsia="仿宋" w:cs="Times New Roman"/>
                <w:bCs/>
                <w:color w:val="auto"/>
                <w:sz w:val="21"/>
                <w:szCs w:val="21"/>
              </w:rPr>
            </w:pPr>
            <w:r>
              <w:rPr>
                <w:rFonts w:hint="eastAsia" w:ascii="Times New Roman" w:hAnsi="Times New Roman" w:eastAsia="仿宋" w:cs="Times New Roman"/>
                <w:bCs/>
                <w:color w:val="auto"/>
                <w:sz w:val="21"/>
                <w:szCs w:val="21"/>
                <w:lang w:val="en-US" w:eastAsia="zh-CN"/>
              </w:rPr>
              <w:t>HW17</w:t>
            </w:r>
          </w:p>
        </w:tc>
        <w:tc>
          <w:tcPr>
            <w:tcW w:w="1330" w:type="pct"/>
            <w:tcBorders>
              <w:tl2br w:val="nil"/>
              <w:tr2bl w:val="nil"/>
            </w:tcBorders>
            <w:noWrap w:val="0"/>
            <w:vAlign w:val="center"/>
          </w:tcPr>
          <w:p w14:paraId="55936AE7">
            <w:pPr>
              <w:spacing w:before="46" w:beforeLines="15" w:after="46" w:afterLines="15"/>
              <w:jc w:val="center"/>
              <w:rPr>
                <w:rFonts w:hint="eastAsia" w:ascii="Times New Roman" w:hAnsi="Times New Roman" w:eastAsia="仿宋" w:cs="Times New Roman"/>
                <w:bCs/>
                <w:color w:val="auto"/>
                <w:sz w:val="21"/>
                <w:szCs w:val="21"/>
              </w:rPr>
            </w:pPr>
            <w:r>
              <w:rPr>
                <w:rFonts w:hint="eastAsia" w:ascii="Times New Roman" w:hAnsi="Times New Roman" w:eastAsia="仿宋" w:cs="Times New Roman"/>
                <w:bCs/>
                <w:color w:val="auto"/>
                <w:sz w:val="21"/>
                <w:szCs w:val="21"/>
                <w:lang w:val="en-US" w:eastAsia="zh-CN"/>
              </w:rPr>
              <w:t>336-052-17，336-054-17，336-055-17，336-056-17，336-057-17，336-058-17，336-062-17，336-063-17，336-064-17，336-066-17，</w:t>
            </w:r>
          </w:p>
        </w:tc>
        <w:tc>
          <w:tcPr>
            <w:tcW w:w="2118" w:type="pct"/>
            <w:tcBorders>
              <w:tl2br w:val="nil"/>
              <w:tr2bl w:val="nil"/>
            </w:tcBorders>
            <w:noWrap/>
            <w:vAlign w:val="center"/>
          </w:tcPr>
          <w:p w14:paraId="56A85BF6">
            <w:pPr>
              <w:spacing w:before="46" w:beforeLines="15" w:after="46" w:afterLines="15"/>
              <w:jc w:val="center"/>
              <w:rPr>
                <w:rFonts w:hint="eastAsia" w:ascii="Times New Roman" w:hAnsi="Times New Roman" w:eastAsia="仿宋" w:cs="Times New Roman"/>
                <w:bCs/>
                <w:color w:val="auto"/>
                <w:sz w:val="21"/>
                <w:szCs w:val="21"/>
              </w:rPr>
            </w:pPr>
            <w:r>
              <w:rPr>
                <w:rFonts w:hint="eastAsia" w:ascii="Times New Roman" w:hAnsi="Times New Roman" w:eastAsia="仿宋" w:cs="Times New Roman"/>
                <w:bCs/>
                <w:color w:val="auto"/>
                <w:sz w:val="21"/>
                <w:szCs w:val="21"/>
                <w:lang w:val="en-US" w:eastAsia="zh-CN"/>
              </w:rPr>
              <w:t>表面处理废物</w:t>
            </w:r>
          </w:p>
        </w:tc>
        <w:tc>
          <w:tcPr>
            <w:tcW w:w="559" w:type="pct"/>
            <w:tcBorders>
              <w:tl2br w:val="nil"/>
              <w:tr2bl w:val="nil"/>
            </w:tcBorders>
            <w:noWrap/>
            <w:vAlign w:val="center"/>
          </w:tcPr>
          <w:p w14:paraId="0E9CE04D">
            <w:pPr>
              <w:spacing w:before="46" w:beforeLines="15" w:after="46" w:afterLines="15"/>
              <w:jc w:val="center"/>
              <w:rPr>
                <w:rFonts w:hint="eastAsia" w:ascii="Times New Roman" w:hAnsi="Times New Roman" w:eastAsia="仿宋" w:cs="Times New Roman"/>
                <w:bCs/>
                <w:color w:val="auto"/>
                <w:sz w:val="21"/>
                <w:szCs w:val="21"/>
              </w:rPr>
            </w:pPr>
            <w:r>
              <w:rPr>
                <w:rFonts w:hint="eastAsia" w:ascii="Times New Roman" w:hAnsi="Times New Roman" w:eastAsia="仿宋" w:cs="Times New Roman"/>
                <w:bCs/>
                <w:color w:val="auto"/>
                <w:sz w:val="21"/>
                <w:szCs w:val="21"/>
                <w:lang w:val="en-US" w:eastAsia="zh-CN"/>
              </w:rPr>
              <w:t>1000</w:t>
            </w:r>
          </w:p>
        </w:tc>
      </w:tr>
      <w:tr w14:paraId="3F6F8E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06" w:type="pct"/>
            <w:tcBorders>
              <w:tl2br w:val="nil"/>
              <w:tr2bl w:val="nil"/>
            </w:tcBorders>
            <w:noWrap/>
            <w:vAlign w:val="center"/>
          </w:tcPr>
          <w:p w14:paraId="1B39DF5B">
            <w:pPr>
              <w:spacing w:before="46" w:beforeLines="15" w:after="46" w:afterLines="15"/>
              <w:jc w:val="center"/>
              <w:rPr>
                <w:rFonts w:hint="default" w:ascii="Times New Roman" w:hAnsi="Times New Roman" w:eastAsia="仿宋" w:cs="Times New Roman"/>
                <w:bCs/>
                <w:color w:val="auto"/>
                <w:sz w:val="21"/>
                <w:szCs w:val="21"/>
                <w:lang w:val="en-US" w:eastAsia="zh-CN"/>
              </w:rPr>
            </w:pPr>
            <w:r>
              <w:rPr>
                <w:rFonts w:hint="eastAsia" w:ascii="Times New Roman" w:hAnsi="Times New Roman" w:eastAsia="仿宋" w:cs="Times New Roman"/>
                <w:bCs/>
                <w:color w:val="auto"/>
                <w:sz w:val="21"/>
                <w:szCs w:val="21"/>
                <w:lang w:val="en-US" w:eastAsia="zh-CN"/>
              </w:rPr>
              <w:t>1</w:t>
            </w:r>
            <w:r>
              <w:rPr>
                <w:rFonts w:hint="eastAsia" w:eastAsia="仿宋" w:cs="Times New Roman"/>
                <w:bCs/>
                <w:color w:val="auto"/>
                <w:sz w:val="21"/>
                <w:szCs w:val="21"/>
                <w:lang w:val="en-US" w:eastAsia="zh-CN"/>
              </w:rPr>
              <w:t>8</w:t>
            </w:r>
          </w:p>
        </w:tc>
        <w:tc>
          <w:tcPr>
            <w:tcW w:w="392" w:type="pct"/>
            <w:vMerge w:val="continue"/>
            <w:tcBorders>
              <w:tl2br w:val="nil"/>
              <w:tr2bl w:val="nil"/>
            </w:tcBorders>
            <w:noWrap/>
            <w:vAlign w:val="center"/>
          </w:tcPr>
          <w:p w14:paraId="3460DA5C">
            <w:pPr>
              <w:spacing w:before="46" w:beforeLines="15" w:after="46" w:afterLines="15"/>
              <w:jc w:val="center"/>
              <w:rPr>
                <w:rFonts w:hint="eastAsia" w:ascii="Times New Roman" w:hAnsi="Times New Roman" w:eastAsia="仿宋" w:cs="Times New Roman"/>
                <w:bCs/>
                <w:color w:val="auto"/>
                <w:sz w:val="21"/>
                <w:szCs w:val="21"/>
                <w:lang w:val="en-US" w:eastAsia="zh-CN"/>
              </w:rPr>
            </w:pPr>
          </w:p>
        </w:tc>
        <w:tc>
          <w:tcPr>
            <w:tcW w:w="292" w:type="pct"/>
            <w:tcBorders>
              <w:tl2br w:val="nil"/>
              <w:tr2bl w:val="nil"/>
            </w:tcBorders>
            <w:noWrap/>
            <w:vAlign w:val="center"/>
          </w:tcPr>
          <w:p w14:paraId="5FD6FFFE">
            <w:pPr>
              <w:spacing w:before="46" w:beforeLines="15" w:after="46" w:afterLines="15"/>
              <w:jc w:val="center"/>
              <w:rPr>
                <w:rFonts w:hint="eastAsia" w:ascii="Times New Roman" w:hAnsi="Times New Roman" w:eastAsia="仿宋" w:cs="Times New Roman"/>
                <w:bCs/>
                <w:color w:val="auto"/>
                <w:sz w:val="21"/>
                <w:szCs w:val="21"/>
              </w:rPr>
            </w:pPr>
            <w:r>
              <w:rPr>
                <w:rFonts w:hint="eastAsia" w:ascii="Times New Roman" w:hAnsi="Times New Roman" w:eastAsia="仿宋" w:cs="Times New Roman"/>
                <w:bCs/>
                <w:color w:val="auto"/>
                <w:sz w:val="21"/>
                <w:szCs w:val="21"/>
                <w:lang w:val="en-US" w:eastAsia="zh-CN"/>
              </w:rPr>
              <w:t>HW34</w:t>
            </w:r>
          </w:p>
        </w:tc>
        <w:tc>
          <w:tcPr>
            <w:tcW w:w="1330" w:type="pct"/>
            <w:tcBorders>
              <w:tl2br w:val="nil"/>
              <w:tr2bl w:val="nil"/>
            </w:tcBorders>
            <w:noWrap w:val="0"/>
            <w:vAlign w:val="center"/>
          </w:tcPr>
          <w:p w14:paraId="13AC6271">
            <w:pPr>
              <w:spacing w:before="46" w:beforeLines="15" w:after="46" w:afterLines="15"/>
              <w:jc w:val="center"/>
              <w:rPr>
                <w:rFonts w:hint="eastAsia" w:ascii="Times New Roman" w:hAnsi="Times New Roman" w:eastAsia="仿宋" w:cs="Times New Roman"/>
                <w:bCs/>
                <w:color w:val="auto"/>
                <w:sz w:val="21"/>
                <w:szCs w:val="21"/>
              </w:rPr>
            </w:pPr>
            <w:r>
              <w:rPr>
                <w:rFonts w:hint="eastAsia" w:ascii="Times New Roman" w:hAnsi="Times New Roman" w:eastAsia="仿宋" w:cs="Times New Roman"/>
                <w:bCs/>
                <w:color w:val="auto"/>
                <w:sz w:val="21"/>
                <w:szCs w:val="21"/>
                <w:lang w:val="en-US" w:eastAsia="zh-CN"/>
              </w:rPr>
              <w:t>251-014-34，264-013-34，261-057-34，261-058-34，313-001-34，336-105-34，398-005-34，398-006-34，398-007-34，900-300-34，900-301-34，900-302-34，900-303-34，900-304-34，900-305-34，900-306-34，900-307-34，900-308-34，900-349-34</w:t>
            </w:r>
          </w:p>
        </w:tc>
        <w:tc>
          <w:tcPr>
            <w:tcW w:w="2118" w:type="pct"/>
            <w:tcBorders>
              <w:tl2br w:val="nil"/>
              <w:tr2bl w:val="nil"/>
            </w:tcBorders>
            <w:noWrap/>
            <w:vAlign w:val="center"/>
          </w:tcPr>
          <w:p w14:paraId="7B90248B">
            <w:pPr>
              <w:spacing w:before="46" w:beforeLines="15" w:after="46" w:afterLines="15"/>
              <w:jc w:val="center"/>
              <w:rPr>
                <w:rFonts w:hint="eastAsia" w:ascii="Times New Roman" w:hAnsi="Times New Roman" w:eastAsia="仿宋" w:cs="Times New Roman"/>
                <w:bCs/>
                <w:color w:val="auto"/>
                <w:sz w:val="21"/>
                <w:szCs w:val="21"/>
              </w:rPr>
            </w:pPr>
            <w:r>
              <w:rPr>
                <w:rFonts w:hint="eastAsia" w:ascii="Times New Roman" w:hAnsi="Times New Roman" w:eastAsia="仿宋" w:cs="Times New Roman"/>
                <w:bCs/>
                <w:color w:val="auto"/>
                <w:sz w:val="21"/>
                <w:szCs w:val="21"/>
                <w:lang w:val="en-US" w:eastAsia="zh-CN"/>
              </w:rPr>
              <w:t>废酸</w:t>
            </w:r>
          </w:p>
        </w:tc>
        <w:tc>
          <w:tcPr>
            <w:tcW w:w="559" w:type="pct"/>
            <w:tcBorders>
              <w:tl2br w:val="nil"/>
              <w:tr2bl w:val="nil"/>
            </w:tcBorders>
            <w:noWrap/>
            <w:vAlign w:val="center"/>
          </w:tcPr>
          <w:p w14:paraId="2CB4A28D">
            <w:pPr>
              <w:spacing w:before="46" w:beforeLines="15" w:after="46" w:afterLines="15"/>
              <w:jc w:val="center"/>
              <w:rPr>
                <w:rFonts w:hint="eastAsia" w:ascii="Times New Roman" w:hAnsi="Times New Roman" w:eastAsia="仿宋" w:cs="Times New Roman"/>
                <w:bCs/>
                <w:color w:val="auto"/>
                <w:sz w:val="21"/>
                <w:szCs w:val="21"/>
              </w:rPr>
            </w:pPr>
            <w:r>
              <w:rPr>
                <w:rFonts w:hint="eastAsia" w:ascii="Times New Roman" w:hAnsi="Times New Roman" w:eastAsia="仿宋" w:cs="Times New Roman"/>
                <w:bCs/>
                <w:color w:val="auto"/>
                <w:sz w:val="21"/>
                <w:szCs w:val="21"/>
                <w:lang w:val="en-US" w:eastAsia="zh-CN"/>
              </w:rPr>
              <w:t>500</w:t>
            </w:r>
          </w:p>
        </w:tc>
      </w:tr>
      <w:tr w14:paraId="01B19A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06" w:type="pct"/>
            <w:tcBorders>
              <w:tl2br w:val="nil"/>
              <w:tr2bl w:val="nil"/>
            </w:tcBorders>
            <w:noWrap/>
            <w:vAlign w:val="center"/>
          </w:tcPr>
          <w:p w14:paraId="16BA41B3">
            <w:pPr>
              <w:spacing w:before="46" w:beforeLines="15" w:after="46" w:afterLines="15"/>
              <w:jc w:val="center"/>
              <w:rPr>
                <w:rFonts w:hint="default" w:ascii="Times New Roman" w:hAnsi="Times New Roman" w:eastAsia="仿宋" w:cs="Times New Roman"/>
                <w:bCs/>
                <w:color w:val="auto"/>
                <w:sz w:val="21"/>
                <w:szCs w:val="21"/>
                <w:lang w:val="en-US" w:eastAsia="zh-CN"/>
              </w:rPr>
            </w:pPr>
            <w:r>
              <w:rPr>
                <w:rFonts w:hint="eastAsia" w:ascii="Times New Roman" w:hAnsi="Times New Roman" w:eastAsia="仿宋" w:cs="Times New Roman"/>
                <w:bCs/>
                <w:color w:val="auto"/>
                <w:sz w:val="21"/>
                <w:szCs w:val="21"/>
                <w:lang w:val="en-US" w:eastAsia="zh-CN"/>
              </w:rPr>
              <w:t>1</w:t>
            </w:r>
            <w:r>
              <w:rPr>
                <w:rFonts w:hint="eastAsia" w:eastAsia="仿宋" w:cs="Times New Roman"/>
                <w:bCs/>
                <w:color w:val="auto"/>
                <w:sz w:val="21"/>
                <w:szCs w:val="21"/>
                <w:lang w:val="en-US" w:eastAsia="zh-CN"/>
              </w:rPr>
              <w:t>9</w:t>
            </w:r>
          </w:p>
        </w:tc>
        <w:tc>
          <w:tcPr>
            <w:tcW w:w="392" w:type="pct"/>
            <w:vMerge w:val="continue"/>
            <w:tcBorders>
              <w:tl2br w:val="nil"/>
              <w:tr2bl w:val="nil"/>
            </w:tcBorders>
            <w:noWrap/>
            <w:vAlign w:val="center"/>
          </w:tcPr>
          <w:p w14:paraId="50FD1A95">
            <w:pPr>
              <w:spacing w:before="46" w:beforeLines="15" w:after="46" w:afterLines="15"/>
              <w:jc w:val="center"/>
              <w:rPr>
                <w:rFonts w:hint="eastAsia" w:ascii="Times New Roman" w:hAnsi="Times New Roman" w:eastAsia="仿宋" w:cs="Times New Roman"/>
                <w:bCs/>
                <w:color w:val="auto"/>
                <w:sz w:val="21"/>
                <w:szCs w:val="21"/>
                <w:lang w:val="en-US" w:eastAsia="zh-CN"/>
              </w:rPr>
            </w:pPr>
          </w:p>
        </w:tc>
        <w:tc>
          <w:tcPr>
            <w:tcW w:w="292" w:type="pct"/>
            <w:tcBorders>
              <w:tl2br w:val="nil"/>
              <w:tr2bl w:val="nil"/>
            </w:tcBorders>
            <w:noWrap/>
            <w:vAlign w:val="center"/>
          </w:tcPr>
          <w:p w14:paraId="1CCCE73A">
            <w:pPr>
              <w:spacing w:before="46" w:beforeLines="15" w:after="46" w:afterLines="15"/>
              <w:jc w:val="center"/>
              <w:rPr>
                <w:rFonts w:hint="eastAsia" w:ascii="Times New Roman" w:hAnsi="Times New Roman" w:eastAsia="仿宋" w:cs="Times New Roman"/>
                <w:bCs/>
                <w:color w:val="auto"/>
                <w:sz w:val="21"/>
                <w:szCs w:val="21"/>
              </w:rPr>
            </w:pPr>
            <w:r>
              <w:rPr>
                <w:rFonts w:hint="eastAsia" w:ascii="Times New Roman" w:hAnsi="Times New Roman" w:eastAsia="仿宋" w:cs="Times New Roman"/>
                <w:bCs/>
                <w:color w:val="auto"/>
                <w:sz w:val="21"/>
                <w:szCs w:val="21"/>
                <w:lang w:val="en-US" w:eastAsia="zh-CN"/>
              </w:rPr>
              <w:t>HW35</w:t>
            </w:r>
          </w:p>
        </w:tc>
        <w:tc>
          <w:tcPr>
            <w:tcW w:w="1330" w:type="pct"/>
            <w:tcBorders>
              <w:tl2br w:val="nil"/>
              <w:tr2bl w:val="nil"/>
            </w:tcBorders>
            <w:noWrap w:val="0"/>
            <w:vAlign w:val="center"/>
          </w:tcPr>
          <w:p w14:paraId="1B69FBEB">
            <w:pPr>
              <w:spacing w:before="46" w:beforeLines="15" w:after="46" w:afterLines="15"/>
              <w:jc w:val="center"/>
              <w:rPr>
                <w:rFonts w:hint="eastAsia" w:ascii="Times New Roman" w:hAnsi="Times New Roman" w:eastAsia="仿宋" w:cs="Times New Roman"/>
                <w:bCs/>
                <w:color w:val="auto"/>
                <w:sz w:val="21"/>
                <w:szCs w:val="21"/>
              </w:rPr>
            </w:pPr>
            <w:r>
              <w:rPr>
                <w:rFonts w:hint="eastAsia" w:ascii="Times New Roman" w:hAnsi="Times New Roman" w:eastAsia="仿宋" w:cs="Times New Roman"/>
                <w:bCs/>
                <w:color w:val="auto"/>
                <w:sz w:val="21"/>
                <w:szCs w:val="21"/>
                <w:lang w:val="en-US" w:eastAsia="zh-CN"/>
              </w:rPr>
              <w:t>251-015-35，261-059-35，193-003-35，221-002-35，900-350-35，900-351-35，900-352-35，900-353-35，900-354-35，900-355-35，900-356-35，900-399-35，</w:t>
            </w:r>
          </w:p>
        </w:tc>
        <w:tc>
          <w:tcPr>
            <w:tcW w:w="2118" w:type="pct"/>
            <w:tcBorders>
              <w:tl2br w:val="nil"/>
              <w:tr2bl w:val="nil"/>
            </w:tcBorders>
            <w:noWrap/>
            <w:vAlign w:val="center"/>
          </w:tcPr>
          <w:p w14:paraId="0AD63734">
            <w:pPr>
              <w:spacing w:before="46" w:beforeLines="15" w:after="46" w:afterLines="15"/>
              <w:jc w:val="center"/>
              <w:rPr>
                <w:rFonts w:hint="eastAsia" w:ascii="Times New Roman" w:hAnsi="Times New Roman" w:eastAsia="仿宋" w:cs="Times New Roman"/>
                <w:bCs/>
                <w:color w:val="auto"/>
                <w:sz w:val="21"/>
                <w:szCs w:val="21"/>
              </w:rPr>
            </w:pPr>
            <w:r>
              <w:rPr>
                <w:rFonts w:hint="eastAsia" w:ascii="Times New Roman" w:hAnsi="Times New Roman" w:eastAsia="仿宋" w:cs="Times New Roman"/>
                <w:bCs/>
                <w:color w:val="auto"/>
                <w:sz w:val="21"/>
                <w:szCs w:val="21"/>
                <w:lang w:val="en-US" w:eastAsia="zh-CN"/>
              </w:rPr>
              <w:t>废碱</w:t>
            </w:r>
          </w:p>
        </w:tc>
        <w:tc>
          <w:tcPr>
            <w:tcW w:w="559" w:type="pct"/>
            <w:tcBorders>
              <w:tl2br w:val="nil"/>
              <w:tr2bl w:val="nil"/>
            </w:tcBorders>
            <w:noWrap/>
            <w:vAlign w:val="center"/>
          </w:tcPr>
          <w:p w14:paraId="541A3C80">
            <w:pPr>
              <w:spacing w:before="46" w:beforeLines="15" w:after="46" w:afterLines="15"/>
              <w:jc w:val="center"/>
              <w:rPr>
                <w:rFonts w:hint="eastAsia" w:ascii="Times New Roman" w:hAnsi="Times New Roman" w:eastAsia="仿宋" w:cs="Times New Roman"/>
                <w:bCs/>
                <w:color w:val="auto"/>
                <w:sz w:val="21"/>
                <w:szCs w:val="21"/>
              </w:rPr>
            </w:pPr>
            <w:r>
              <w:rPr>
                <w:rFonts w:hint="eastAsia" w:eastAsia="仿宋" w:cs="Times New Roman"/>
                <w:bCs/>
                <w:color w:val="auto"/>
                <w:sz w:val="21"/>
                <w:szCs w:val="21"/>
                <w:lang w:val="en-US" w:eastAsia="zh-CN"/>
              </w:rPr>
              <w:t>10</w:t>
            </w:r>
            <w:r>
              <w:rPr>
                <w:rFonts w:hint="eastAsia" w:ascii="Times New Roman" w:hAnsi="Times New Roman" w:eastAsia="仿宋" w:cs="Times New Roman"/>
                <w:bCs/>
                <w:color w:val="auto"/>
                <w:sz w:val="21"/>
                <w:szCs w:val="21"/>
                <w:lang w:val="en-US" w:eastAsia="zh-CN"/>
              </w:rPr>
              <w:t>00</w:t>
            </w:r>
          </w:p>
        </w:tc>
      </w:tr>
      <w:tr w14:paraId="740591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440" w:type="pct"/>
            <w:gridSpan w:val="5"/>
            <w:tcBorders>
              <w:tl2br w:val="nil"/>
              <w:tr2bl w:val="nil"/>
            </w:tcBorders>
            <w:noWrap/>
            <w:vAlign w:val="center"/>
          </w:tcPr>
          <w:p w14:paraId="44BA83D7">
            <w:pPr>
              <w:spacing w:before="46" w:beforeLines="15" w:after="46" w:afterLines="15"/>
              <w:jc w:val="center"/>
              <w:rPr>
                <w:rFonts w:hint="eastAsia" w:ascii="Times New Roman" w:hAnsi="Times New Roman" w:eastAsia="仿宋" w:cs="Times New Roman"/>
                <w:bCs/>
                <w:color w:val="FF0000"/>
                <w:sz w:val="21"/>
                <w:szCs w:val="21"/>
                <w:lang w:val="en-US" w:eastAsia="zh-CN"/>
              </w:rPr>
            </w:pPr>
            <w:r>
              <w:rPr>
                <w:rFonts w:hint="eastAsia" w:ascii="Times New Roman" w:hAnsi="Times New Roman" w:eastAsia="仿宋" w:cs="Times New Roman"/>
                <w:bCs/>
                <w:color w:val="auto"/>
                <w:sz w:val="21"/>
                <w:szCs w:val="21"/>
                <w:lang w:val="en-US" w:eastAsia="zh-CN"/>
              </w:rPr>
              <w:t>合计</w:t>
            </w:r>
          </w:p>
        </w:tc>
        <w:tc>
          <w:tcPr>
            <w:tcW w:w="559" w:type="pct"/>
            <w:tcBorders>
              <w:tl2br w:val="nil"/>
              <w:tr2bl w:val="nil"/>
            </w:tcBorders>
            <w:noWrap/>
            <w:vAlign w:val="center"/>
          </w:tcPr>
          <w:p w14:paraId="758E9C7C">
            <w:pPr>
              <w:spacing w:before="46" w:beforeLines="15" w:after="46" w:afterLines="15"/>
              <w:jc w:val="center"/>
              <w:rPr>
                <w:rFonts w:hint="default" w:ascii="Times New Roman" w:hAnsi="Times New Roman" w:eastAsia="仿宋" w:cs="Times New Roman"/>
                <w:bCs/>
                <w:color w:val="FF0000"/>
                <w:sz w:val="21"/>
                <w:szCs w:val="21"/>
                <w:lang w:val="en-US" w:eastAsia="zh-CN"/>
              </w:rPr>
            </w:pPr>
            <w:r>
              <w:rPr>
                <w:rFonts w:hint="eastAsia" w:eastAsia="仿宋" w:cs="Times New Roman"/>
                <w:bCs/>
                <w:color w:val="auto"/>
                <w:sz w:val="21"/>
                <w:szCs w:val="21"/>
                <w:lang w:val="en-US" w:eastAsia="zh-CN"/>
              </w:rPr>
              <w:t>328650</w:t>
            </w:r>
          </w:p>
        </w:tc>
      </w:tr>
    </w:tbl>
    <w:p w14:paraId="460269D1">
      <w:pPr>
        <w:rPr>
          <w:color w:val="FF0000"/>
        </w:rPr>
      </w:pPr>
    </w:p>
    <w:p w14:paraId="30ECE4F6">
      <w:pPr>
        <w:spacing w:line="500" w:lineRule="exact"/>
        <w:ind w:firstLine="560" w:firstLineChars="200"/>
        <w:rPr>
          <w:rFonts w:eastAsia="仿宋_GB2312"/>
          <w:color w:val="FF0000"/>
          <w:sz w:val="28"/>
          <w:szCs w:val="28"/>
        </w:rPr>
      </w:pPr>
    </w:p>
    <w:p w14:paraId="0B1875A1">
      <w:pPr>
        <w:pStyle w:val="189"/>
        <w:ind w:firstLine="560"/>
        <w:rPr>
          <w:rFonts w:eastAsia="仿宋_GB2312"/>
          <w:color w:val="FF0000"/>
          <w:sz w:val="28"/>
          <w:szCs w:val="28"/>
        </w:rPr>
        <w:sectPr>
          <w:pgSz w:w="16840" w:h="11907" w:orient="landscape"/>
          <w:pgMar w:top="1440" w:right="1800" w:bottom="1440" w:left="1800" w:header="851" w:footer="992" w:gutter="0"/>
          <w:pgBorders>
            <w:top w:val="none" w:sz="0" w:space="0"/>
            <w:left w:val="none" w:sz="0" w:space="0"/>
            <w:bottom w:val="none" w:sz="0" w:space="0"/>
            <w:right w:val="none" w:sz="0" w:space="0"/>
          </w:pgBorders>
          <w:pgNumType w:fmt="decimal"/>
          <w:cols w:space="425" w:num="1"/>
          <w:docGrid w:linePitch="326" w:charSpace="0"/>
        </w:sectPr>
      </w:pPr>
    </w:p>
    <w:p w14:paraId="4465672C">
      <w:pPr>
        <w:pStyle w:val="7"/>
        <w:keepLines w:val="0"/>
        <w:widowControl/>
        <w:adjustRightInd w:val="0"/>
        <w:snapToGrid w:val="0"/>
        <w:spacing w:after="60" w:afterLines="25"/>
        <w:jc w:val="left"/>
        <w:rPr>
          <w:rFonts w:ascii="Times New Roman" w:hAnsi="Times New Roman"/>
          <w:b/>
          <w:color w:val="auto"/>
        </w:rPr>
      </w:pPr>
      <w:r>
        <w:rPr>
          <w:rFonts w:ascii="Times New Roman" w:hAnsi="Times New Roman"/>
          <w:b/>
          <w:color w:val="auto"/>
        </w:rPr>
        <w:t>3.2.</w:t>
      </w:r>
      <w:r>
        <w:rPr>
          <w:rFonts w:hint="eastAsia" w:ascii="Times New Roman" w:hAnsi="Times New Roman"/>
          <w:b/>
          <w:color w:val="auto"/>
        </w:rPr>
        <w:t>3</w:t>
      </w:r>
      <w:r>
        <w:rPr>
          <w:rFonts w:ascii="Times New Roman" w:hAnsi="Times New Roman"/>
          <w:b/>
          <w:color w:val="auto"/>
        </w:rPr>
        <w:t>.2危废来源</w:t>
      </w:r>
    </w:p>
    <w:p w14:paraId="0133D9FB">
      <w:pPr>
        <w:spacing w:line="500" w:lineRule="exact"/>
        <w:ind w:firstLine="560" w:firstLineChars="200"/>
        <w:rPr>
          <w:rFonts w:eastAsia="仿宋_GB2312"/>
          <w:color w:val="auto"/>
          <w:sz w:val="28"/>
          <w:szCs w:val="28"/>
        </w:rPr>
      </w:pPr>
      <w:r>
        <w:rPr>
          <w:rFonts w:eastAsia="仿宋_GB2312"/>
          <w:color w:val="auto"/>
          <w:sz w:val="28"/>
          <w:szCs w:val="28"/>
        </w:rPr>
        <w:t>本项目优先服务于常州地区范围内的企业，收集的危废主要来自医药、机械、表面处理、材料、塑料、电子、化工等行业。</w:t>
      </w:r>
    </w:p>
    <w:p w14:paraId="3D3E213D">
      <w:pPr>
        <w:pStyle w:val="7"/>
        <w:keepLines w:val="0"/>
        <w:widowControl/>
        <w:adjustRightInd w:val="0"/>
        <w:snapToGrid w:val="0"/>
        <w:spacing w:after="60" w:afterLines="25"/>
        <w:jc w:val="left"/>
        <w:rPr>
          <w:rFonts w:ascii="Times New Roman" w:hAnsi="Times New Roman"/>
          <w:b/>
          <w:color w:val="auto"/>
        </w:rPr>
      </w:pPr>
      <w:r>
        <w:rPr>
          <w:rFonts w:ascii="Times New Roman" w:hAnsi="Times New Roman"/>
          <w:b/>
          <w:color w:val="auto"/>
        </w:rPr>
        <w:t>3.2.</w:t>
      </w:r>
      <w:r>
        <w:rPr>
          <w:rFonts w:hint="eastAsia" w:ascii="Times New Roman" w:hAnsi="Times New Roman"/>
          <w:b/>
          <w:color w:val="auto"/>
        </w:rPr>
        <w:t>3</w:t>
      </w:r>
      <w:r>
        <w:rPr>
          <w:rFonts w:ascii="Times New Roman" w:hAnsi="Times New Roman"/>
          <w:b/>
          <w:color w:val="auto"/>
        </w:rPr>
        <w:t>.3危废的包装、收集、运输、贮存</w:t>
      </w:r>
    </w:p>
    <w:p w14:paraId="138DFDB3">
      <w:pPr>
        <w:spacing w:line="500" w:lineRule="exact"/>
        <w:ind w:firstLine="562" w:firstLineChars="200"/>
        <w:rPr>
          <w:rFonts w:eastAsia="仿宋_GB2312"/>
          <w:b/>
          <w:bCs/>
          <w:color w:val="auto"/>
          <w:sz w:val="28"/>
          <w:szCs w:val="28"/>
        </w:rPr>
      </w:pPr>
      <w:r>
        <w:rPr>
          <w:rFonts w:eastAsia="仿宋_GB2312"/>
          <w:b/>
          <w:bCs/>
          <w:color w:val="auto"/>
          <w:sz w:val="28"/>
          <w:szCs w:val="28"/>
        </w:rPr>
        <w:t>一、危废的包装</w:t>
      </w:r>
    </w:p>
    <w:p w14:paraId="494A877B">
      <w:pPr>
        <w:spacing w:line="500" w:lineRule="exact"/>
        <w:ind w:firstLine="560" w:firstLineChars="200"/>
        <w:rPr>
          <w:rFonts w:eastAsia="仿宋_GB2312"/>
          <w:color w:val="auto"/>
          <w:sz w:val="28"/>
          <w:szCs w:val="28"/>
        </w:rPr>
      </w:pPr>
      <w:r>
        <w:rPr>
          <w:rFonts w:eastAsia="仿宋_GB2312"/>
          <w:color w:val="auto"/>
          <w:sz w:val="28"/>
          <w:szCs w:val="28"/>
        </w:rPr>
        <w:t>危废的包装方式：液体采用IBC吨桶、200L塑料桶或铁桶、25L桶、20L桶进行包装，运输到公司后将原料废液桶放入仓库，或者采用槽车直接装入对应收集罐进行贮存。禁止将不相容（相互反应）的危险废物在同一容器内混装。</w:t>
      </w:r>
    </w:p>
    <w:p w14:paraId="4B3C5027">
      <w:pPr>
        <w:spacing w:line="500" w:lineRule="exact"/>
        <w:ind w:firstLine="562" w:firstLineChars="200"/>
        <w:rPr>
          <w:rFonts w:eastAsia="仿宋_GB2312"/>
          <w:b/>
          <w:bCs/>
          <w:color w:val="auto"/>
          <w:sz w:val="28"/>
          <w:szCs w:val="28"/>
        </w:rPr>
      </w:pPr>
      <w:r>
        <w:rPr>
          <w:rFonts w:eastAsia="仿宋_GB2312"/>
          <w:b/>
          <w:bCs/>
          <w:color w:val="auto"/>
          <w:sz w:val="28"/>
          <w:szCs w:val="28"/>
        </w:rPr>
        <w:t>二、危废的收集、贮存和运输</w:t>
      </w:r>
    </w:p>
    <w:p w14:paraId="63DBB32B">
      <w:pPr>
        <w:spacing w:line="500" w:lineRule="exact"/>
        <w:ind w:firstLine="560" w:firstLineChars="200"/>
        <w:rPr>
          <w:rFonts w:eastAsia="仿宋_GB2312"/>
          <w:color w:val="auto"/>
          <w:sz w:val="28"/>
          <w:szCs w:val="28"/>
        </w:rPr>
      </w:pPr>
      <w:r>
        <w:rPr>
          <w:rFonts w:eastAsia="仿宋_GB2312"/>
          <w:color w:val="auto"/>
          <w:sz w:val="28"/>
          <w:szCs w:val="28"/>
        </w:rPr>
        <w:t>本项目危废贮存和运输按照《危险废物收集 贮存 运输技术规范》（HJ2025-2012）相关要求执行。</w:t>
      </w:r>
    </w:p>
    <w:p w14:paraId="7E757200">
      <w:pPr>
        <w:spacing w:line="500" w:lineRule="exact"/>
        <w:ind w:firstLine="560" w:firstLineChars="200"/>
        <w:rPr>
          <w:rFonts w:eastAsia="仿宋_GB2312"/>
          <w:color w:val="auto"/>
          <w:sz w:val="28"/>
          <w:szCs w:val="28"/>
        </w:rPr>
      </w:pPr>
      <w:r>
        <w:rPr>
          <w:rFonts w:eastAsia="仿宋_GB2312"/>
          <w:color w:val="auto"/>
          <w:sz w:val="28"/>
          <w:szCs w:val="28"/>
        </w:rPr>
        <w:t>根据原料的来源，企业选择合理的运输路线并配置专用运输车辆，防范原料运输过程的环境风险，杜绝原料运输过程的跑冒滴漏现象。危废运输过程配置有专职驾驶员和押运员，车辆装GPS定位系统，管理人员可随时了解车辆的行踪和位置，全面掌控危废运输过程，有效预防运输过程的污染事故，并与生态环境部门联网，接受监管。</w:t>
      </w:r>
      <w:bookmarkStart w:id="32" w:name="_Hlk504687363"/>
      <w:r>
        <w:rPr>
          <w:rFonts w:eastAsia="仿宋_GB2312"/>
          <w:color w:val="auto"/>
          <w:sz w:val="28"/>
          <w:szCs w:val="28"/>
        </w:rPr>
        <w:t>本项目危废在项目建成后委托外部有</w:t>
      </w:r>
      <w:bookmarkStart w:id="33" w:name="_Hlk504685031"/>
      <w:r>
        <w:rPr>
          <w:rFonts w:eastAsia="仿宋_GB2312"/>
          <w:color w:val="auto"/>
          <w:sz w:val="28"/>
          <w:szCs w:val="28"/>
        </w:rPr>
        <w:t>危化品运输</w:t>
      </w:r>
      <w:bookmarkEnd w:id="33"/>
      <w:r>
        <w:rPr>
          <w:rFonts w:eastAsia="仿宋_GB2312"/>
          <w:color w:val="auto"/>
          <w:sz w:val="28"/>
          <w:szCs w:val="28"/>
        </w:rPr>
        <w:t>资质的车辆进行运输</w:t>
      </w:r>
      <w:bookmarkEnd w:id="32"/>
      <w:r>
        <w:rPr>
          <w:rFonts w:eastAsia="仿宋_GB2312"/>
          <w:color w:val="auto"/>
          <w:sz w:val="28"/>
          <w:szCs w:val="28"/>
        </w:rPr>
        <w:t>，配备具备突发事件处理能力的押运员，控制并防范运输过程中可能产生的二次污染及环境风险。</w:t>
      </w:r>
    </w:p>
    <w:p w14:paraId="7AA37417">
      <w:pPr>
        <w:spacing w:line="500" w:lineRule="exact"/>
        <w:ind w:firstLine="560" w:firstLineChars="200"/>
        <w:rPr>
          <w:rFonts w:eastAsia="仿宋_GB2312"/>
          <w:color w:val="auto"/>
          <w:sz w:val="28"/>
          <w:szCs w:val="28"/>
        </w:rPr>
      </w:pPr>
      <w:r>
        <w:rPr>
          <w:rFonts w:eastAsia="仿宋_GB2312"/>
          <w:color w:val="auto"/>
          <w:sz w:val="28"/>
          <w:szCs w:val="28"/>
        </w:rPr>
        <w:t>根据《危险废物处置工程技术导则》（HJ2042-2014）要求，危险废物处置厂应设进厂危险废物计量设施，且应具有称重、记录、传输、打印与数据处理功能，有条件的，应将数据上传到当地生态环境部门。危险废物处置区布置应设置化验室，并配备危险废物特性鉴别及废水、废气、废渣等常规指标监测和分析的仪器设备。危险废物现场交接时应认真核对危险废物的数量、种类、标识等，并确认与危险废物转移联单是否相符；对接收的废物及时登记。</w:t>
      </w:r>
    </w:p>
    <w:p w14:paraId="6BA98D90">
      <w:pPr>
        <w:spacing w:line="500" w:lineRule="exact"/>
        <w:ind w:firstLine="560" w:firstLineChars="200"/>
        <w:rPr>
          <w:rFonts w:eastAsia="仿宋_GB2312"/>
          <w:color w:val="auto"/>
          <w:sz w:val="28"/>
          <w:szCs w:val="28"/>
        </w:rPr>
      </w:pPr>
      <w:r>
        <w:rPr>
          <w:rFonts w:eastAsia="仿宋_GB2312"/>
          <w:color w:val="auto"/>
          <w:sz w:val="28"/>
          <w:szCs w:val="28"/>
        </w:rPr>
        <w:t>本项目设置进厂危险废物计量设施，设置化验室用于对进厂的危废进行检验和分析。认真核对危险废物的数量、种类、标识，并严格按照危险废物转移联单的规定，保存需存档的转移联单。</w:t>
      </w:r>
    </w:p>
    <w:p w14:paraId="62A8CD37">
      <w:pPr>
        <w:spacing w:line="500" w:lineRule="exact"/>
        <w:ind w:firstLine="560" w:firstLineChars="200"/>
        <w:rPr>
          <w:rFonts w:eastAsia="仿宋_GB2312"/>
          <w:color w:val="auto"/>
          <w:sz w:val="28"/>
          <w:szCs w:val="28"/>
        </w:rPr>
      </w:pPr>
      <w:r>
        <w:rPr>
          <w:rFonts w:eastAsia="仿宋_GB2312"/>
          <w:color w:val="auto"/>
          <w:sz w:val="28"/>
          <w:szCs w:val="28"/>
        </w:rPr>
        <w:t>设置根据库存控制危废转入的方案：按总体库存的80%作为警戒线，当总体库存不超过最高库存的80%时，对转入的危废量不做限制，当库存超过最高库存的80%时，依据生产情况，转入量不得超过日生产量作为控制库存的方案。</w:t>
      </w:r>
    </w:p>
    <w:p w14:paraId="00D59339">
      <w:pPr>
        <w:spacing w:line="500" w:lineRule="exact"/>
        <w:ind w:firstLine="562" w:firstLineChars="200"/>
        <w:rPr>
          <w:rFonts w:eastAsia="仿宋_GB2312"/>
          <w:b/>
          <w:bCs/>
          <w:color w:val="auto"/>
          <w:sz w:val="28"/>
          <w:szCs w:val="28"/>
        </w:rPr>
      </w:pPr>
      <w:r>
        <w:rPr>
          <w:rFonts w:eastAsia="仿宋_GB2312"/>
          <w:b/>
          <w:bCs/>
          <w:color w:val="auto"/>
          <w:sz w:val="28"/>
          <w:szCs w:val="28"/>
        </w:rPr>
        <w:t>三、全厂危废暂存设施设置情况</w:t>
      </w:r>
    </w:p>
    <w:p w14:paraId="1C7D95D3">
      <w:pPr>
        <w:spacing w:line="500" w:lineRule="exact"/>
        <w:ind w:firstLine="560" w:firstLineChars="200"/>
        <w:rPr>
          <w:rFonts w:eastAsia="仿宋_GB2312"/>
          <w:color w:val="auto"/>
          <w:sz w:val="28"/>
          <w:szCs w:val="28"/>
        </w:rPr>
      </w:pPr>
      <w:r>
        <w:rPr>
          <w:rFonts w:eastAsia="仿宋_GB2312"/>
          <w:color w:val="auto"/>
          <w:sz w:val="28"/>
          <w:szCs w:val="28"/>
        </w:rPr>
        <w:t>全厂共设置</w:t>
      </w:r>
      <w:r>
        <w:rPr>
          <w:rFonts w:hint="eastAsia" w:eastAsia="仿宋_GB2312"/>
          <w:color w:val="auto"/>
          <w:sz w:val="28"/>
          <w:szCs w:val="28"/>
          <w:lang w:val="en-US" w:eastAsia="zh-CN"/>
        </w:rPr>
        <w:t>4</w:t>
      </w:r>
      <w:r>
        <w:rPr>
          <w:rFonts w:eastAsia="仿宋_GB2312"/>
          <w:color w:val="auto"/>
          <w:sz w:val="28"/>
          <w:szCs w:val="28"/>
        </w:rPr>
        <w:t>个危废仓库（1#仓库占地面积606m</w:t>
      </w:r>
      <w:r>
        <w:rPr>
          <w:rFonts w:eastAsia="仿宋_GB2312"/>
          <w:color w:val="auto"/>
          <w:sz w:val="28"/>
          <w:szCs w:val="28"/>
          <w:vertAlign w:val="superscript"/>
        </w:rPr>
        <w:t>2</w:t>
      </w:r>
      <w:r>
        <w:rPr>
          <w:rFonts w:eastAsia="仿宋_GB2312"/>
          <w:color w:val="auto"/>
          <w:sz w:val="28"/>
          <w:szCs w:val="28"/>
        </w:rPr>
        <w:t>、3#仓库占地面积1920m</w:t>
      </w:r>
      <w:r>
        <w:rPr>
          <w:rFonts w:eastAsia="仿宋_GB2312"/>
          <w:color w:val="auto"/>
          <w:sz w:val="28"/>
          <w:szCs w:val="28"/>
          <w:vertAlign w:val="superscript"/>
        </w:rPr>
        <w:t>2</w:t>
      </w:r>
      <w:r>
        <w:rPr>
          <w:rFonts w:eastAsia="仿宋_GB2312"/>
          <w:color w:val="auto"/>
          <w:sz w:val="28"/>
          <w:szCs w:val="28"/>
        </w:rPr>
        <w:t>、4#仓库占地面积2940m</w:t>
      </w:r>
      <w:r>
        <w:rPr>
          <w:rFonts w:eastAsia="仿宋_GB2312"/>
          <w:color w:val="auto"/>
          <w:sz w:val="28"/>
          <w:szCs w:val="28"/>
          <w:vertAlign w:val="superscript"/>
        </w:rPr>
        <w:t>2</w:t>
      </w:r>
      <w:r>
        <w:rPr>
          <w:rFonts w:eastAsia="仿宋_GB2312"/>
          <w:color w:val="auto"/>
          <w:sz w:val="28"/>
          <w:szCs w:val="28"/>
        </w:rPr>
        <w:t>、5#仓库占地面积1500m</w:t>
      </w:r>
      <w:r>
        <w:rPr>
          <w:rFonts w:eastAsia="仿宋_GB2312"/>
          <w:color w:val="auto"/>
          <w:sz w:val="28"/>
          <w:szCs w:val="28"/>
          <w:vertAlign w:val="superscript"/>
        </w:rPr>
        <w:t>2</w:t>
      </w:r>
      <w:r>
        <w:rPr>
          <w:rFonts w:eastAsia="仿宋_GB2312"/>
          <w:color w:val="auto"/>
          <w:sz w:val="28"/>
          <w:szCs w:val="28"/>
        </w:rPr>
        <w:t>）及1座储罐区（占地面积510m</w:t>
      </w:r>
      <w:r>
        <w:rPr>
          <w:rFonts w:eastAsia="仿宋_GB2312"/>
          <w:color w:val="auto"/>
          <w:sz w:val="28"/>
          <w:szCs w:val="28"/>
          <w:vertAlign w:val="superscript"/>
        </w:rPr>
        <w:t>2</w:t>
      </w:r>
      <w:r>
        <w:rPr>
          <w:rFonts w:eastAsia="仿宋_GB2312"/>
          <w:color w:val="auto"/>
          <w:sz w:val="28"/>
          <w:szCs w:val="28"/>
        </w:rPr>
        <w:t>，设置8个70m</w:t>
      </w:r>
      <w:r>
        <w:rPr>
          <w:rFonts w:eastAsia="仿宋_GB2312"/>
          <w:color w:val="auto"/>
          <w:sz w:val="28"/>
          <w:szCs w:val="28"/>
          <w:vertAlign w:val="superscript"/>
        </w:rPr>
        <w:t>3</w:t>
      </w:r>
      <w:r>
        <w:rPr>
          <w:rFonts w:eastAsia="仿宋_GB2312"/>
          <w:color w:val="auto"/>
          <w:sz w:val="28"/>
          <w:szCs w:val="28"/>
        </w:rPr>
        <w:t>储罐，其中两个因安全因素停用）用于储存全厂危废。具体设置情况见表3.2-</w:t>
      </w:r>
      <w:r>
        <w:rPr>
          <w:rFonts w:hint="eastAsia" w:eastAsia="仿宋_GB2312"/>
          <w:color w:val="auto"/>
          <w:sz w:val="28"/>
          <w:szCs w:val="28"/>
        </w:rPr>
        <w:t>5</w:t>
      </w:r>
      <w:r>
        <w:rPr>
          <w:rFonts w:eastAsia="仿宋_GB2312"/>
          <w:color w:val="auto"/>
          <w:sz w:val="28"/>
          <w:szCs w:val="28"/>
        </w:rPr>
        <w:t>。</w:t>
      </w:r>
    </w:p>
    <w:p w14:paraId="18E98843">
      <w:pPr>
        <w:pStyle w:val="162"/>
        <w:spacing w:line="480" w:lineRule="exact"/>
        <w:ind w:firstLine="0" w:firstLineChars="0"/>
        <w:rPr>
          <w:rFonts w:ascii="Times New Roman"/>
          <w:color w:val="auto"/>
        </w:rPr>
      </w:pPr>
      <w:r>
        <w:rPr>
          <w:rFonts w:ascii="Times New Roman"/>
          <w:color w:val="auto"/>
        </w:rPr>
        <w:t>表3.2-</w:t>
      </w:r>
      <w:r>
        <w:rPr>
          <w:rFonts w:hint="eastAsia" w:ascii="Times New Roman"/>
          <w:color w:val="auto"/>
        </w:rPr>
        <w:t>5</w:t>
      </w:r>
      <w:r>
        <w:rPr>
          <w:rFonts w:ascii="Times New Roman"/>
          <w:color w:val="auto"/>
        </w:rPr>
        <w:t xml:space="preserve">   全厂危废暂存设施设置情况一览表</w:t>
      </w:r>
    </w:p>
    <w:tbl>
      <w:tblPr>
        <w:tblStyle w:val="88"/>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994"/>
        <w:gridCol w:w="878"/>
        <w:gridCol w:w="861"/>
        <w:gridCol w:w="1159"/>
        <w:gridCol w:w="1137"/>
        <w:gridCol w:w="3491"/>
      </w:tblGrid>
      <w:tr w14:paraId="48A9AD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83" w:type="pct"/>
            <w:tcBorders>
              <w:tl2br w:val="nil"/>
              <w:tr2bl w:val="nil"/>
            </w:tcBorders>
            <w:vAlign w:val="center"/>
          </w:tcPr>
          <w:p w14:paraId="521D31B1">
            <w:pPr>
              <w:widowControl/>
              <w:jc w:val="center"/>
              <w:rPr>
                <w:rFonts w:eastAsia="仿宋_GB2312"/>
                <w:b/>
                <w:bCs/>
                <w:color w:val="auto"/>
                <w:kern w:val="0"/>
                <w:szCs w:val="21"/>
              </w:rPr>
            </w:pPr>
            <w:r>
              <w:rPr>
                <w:rFonts w:eastAsia="仿宋_GB2312"/>
                <w:b/>
                <w:bCs/>
                <w:color w:val="auto"/>
                <w:kern w:val="0"/>
                <w:szCs w:val="21"/>
              </w:rPr>
              <w:t>分类</w:t>
            </w:r>
          </w:p>
        </w:tc>
        <w:tc>
          <w:tcPr>
            <w:tcW w:w="515" w:type="pct"/>
            <w:tcBorders>
              <w:tl2br w:val="nil"/>
              <w:tr2bl w:val="nil"/>
            </w:tcBorders>
            <w:vAlign w:val="center"/>
          </w:tcPr>
          <w:p w14:paraId="45083019">
            <w:pPr>
              <w:widowControl/>
              <w:jc w:val="center"/>
              <w:rPr>
                <w:rFonts w:eastAsia="仿宋_GB2312"/>
                <w:b/>
                <w:bCs/>
                <w:color w:val="auto"/>
                <w:kern w:val="0"/>
                <w:szCs w:val="21"/>
              </w:rPr>
            </w:pPr>
            <w:r>
              <w:rPr>
                <w:rFonts w:eastAsia="仿宋_GB2312"/>
                <w:b/>
                <w:bCs/>
                <w:color w:val="auto"/>
                <w:kern w:val="0"/>
                <w:szCs w:val="21"/>
              </w:rPr>
              <w:t>建筑等级</w:t>
            </w:r>
          </w:p>
        </w:tc>
        <w:tc>
          <w:tcPr>
            <w:tcW w:w="505" w:type="pct"/>
            <w:tcBorders>
              <w:tl2br w:val="nil"/>
              <w:tr2bl w:val="nil"/>
            </w:tcBorders>
            <w:vAlign w:val="center"/>
          </w:tcPr>
          <w:p w14:paraId="662A1AAD">
            <w:pPr>
              <w:widowControl/>
              <w:jc w:val="center"/>
              <w:rPr>
                <w:rFonts w:eastAsia="仿宋_GB2312"/>
                <w:b/>
                <w:bCs/>
                <w:color w:val="auto"/>
                <w:kern w:val="0"/>
                <w:szCs w:val="21"/>
              </w:rPr>
            </w:pPr>
            <w:r>
              <w:rPr>
                <w:rFonts w:eastAsia="仿宋_GB2312"/>
                <w:b/>
                <w:bCs/>
                <w:color w:val="auto"/>
                <w:kern w:val="0"/>
                <w:szCs w:val="21"/>
              </w:rPr>
              <w:t>设置层数</w:t>
            </w:r>
          </w:p>
        </w:tc>
        <w:tc>
          <w:tcPr>
            <w:tcW w:w="680" w:type="pct"/>
            <w:tcBorders>
              <w:tl2br w:val="nil"/>
              <w:tr2bl w:val="nil"/>
            </w:tcBorders>
            <w:vAlign w:val="center"/>
          </w:tcPr>
          <w:p w14:paraId="784E58C1">
            <w:pPr>
              <w:widowControl/>
              <w:jc w:val="center"/>
              <w:rPr>
                <w:rFonts w:eastAsia="仿宋_GB2312"/>
                <w:b/>
                <w:bCs/>
                <w:color w:val="auto"/>
                <w:kern w:val="0"/>
                <w:szCs w:val="21"/>
              </w:rPr>
            </w:pPr>
            <w:r>
              <w:rPr>
                <w:rFonts w:eastAsia="仿宋_GB2312"/>
                <w:b/>
                <w:bCs/>
                <w:color w:val="auto"/>
                <w:kern w:val="0"/>
                <w:szCs w:val="21"/>
              </w:rPr>
              <w:t>分区</w:t>
            </w:r>
          </w:p>
        </w:tc>
        <w:tc>
          <w:tcPr>
            <w:tcW w:w="667" w:type="pct"/>
            <w:tcBorders>
              <w:tl2br w:val="nil"/>
              <w:tr2bl w:val="nil"/>
            </w:tcBorders>
            <w:vAlign w:val="center"/>
          </w:tcPr>
          <w:p w14:paraId="70AFD241">
            <w:pPr>
              <w:widowControl/>
              <w:jc w:val="center"/>
              <w:rPr>
                <w:rFonts w:eastAsia="仿宋_GB2312"/>
                <w:b/>
                <w:bCs/>
                <w:color w:val="auto"/>
                <w:kern w:val="0"/>
                <w:szCs w:val="21"/>
              </w:rPr>
            </w:pPr>
            <w:r>
              <w:rPr>
                <w:rFonts w:eastAsia="仿宋_GB2312"/>
                <w:b/>
                <w:bCs/>
                <w:color w:val="auto"/>
                <w:kern w:val="0"/>
                <w:szCs w:val="21"/>
              </w:rPr>
              <w:t>占地面积（m</w:t>
            </w:r>
            <w:r>
              <w:rPr>
                <w:rFonts w:eastAsia="仿宋_GB2312"/>
                <w:b/>
                <w:bCs/>
                <w:color w:val="auto"/>
                <w:kern w:val="0"/>
                <w:szCs w:val="21"/>
                <w:vertAlign w:val="superscript"/>
              </w:rPr>
              <w:t>2</w:t>
            </w:r>
            <w:r>
              <w:rPr>
                <w:rFonts w:eastAsia="仿宋_GB2312"/>
                <w:b/>
                <w:bCs/>
                <w:color w:val="auto"/>
                <w:kern w:val="0"/>
                <w:szCs w:val="21"/>
              </w:rPr>
              <w:t>）</w:t>
            </w:r>
          </w:p>
        </w:tc>
        <w:tc>
          <w:tcPr>
            <w:tcW w:w="2047" w:type="pct"/>
            <w:tcBorders>
              <w:tl2br w:val="nil"/>
              <w:tr2bl w:val="nil"/>
            </w:tcBorders>
            <w:vAlign w:val="center"/>
          </w:tcPr>
          <w:p w14:paraId="2422086B">
            <w:pPr>
              <w:widowControl/>
              <w:jc w:val="center"/>
              <w:rPr>
                <w:rFonts w:eastAsia="仿宋_GB2312"/>
                <w:b/>
                <w:bCs/>
                <w:color w:val="auto"/>
                <w:kern w:val="0"/>
                <w:szCs w:val="21"/>
              </w:rPr>
            </w:pPr>
            <w:r>
              <w:rPr>
                <w:rFonts w:eastAsia="仿宋_GB2312"/>
                <w:b/>
                <w:bCs/>
                <w:color w:val="auto"/>
                <w:kern w:val="0"/>
                <w:szCs w:val="21"/>
              </w:rPr>
              <w:t>贮存物料</w:t>
            </w:r>
          </w:p>
        </w:tc>
      </w:tr>
      <w:tr w14:paraId="56E35B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83" w:type="pct"/>
            <w:vMerge w:val="restart"/>
            <w:tcBorders>
              <w:tl2br w:val="nil"/>
              <w:tr2bl w:val="nil"/>
            </w:tcBorders>
            <w:vAlign w:val="center"/>
          </w:tcPr>
          <w:p w14:paraId="30772BF8">
            <w:pPr>
              <w:widowControl/>
              <w:jc w:val="center"/>
              <w:rPr>
                <w:rFonts w:eastAsia="仿宋_GB2312"/>
                <w:color w:val="auto"/>
                <w:kern w:val="0"/>
                <w:szCs w:val="21"/>
              </w:rPr>
            </w:pPr>
            <w:r>
              <w:rPr>
                <w:rFonts w:eastAsia="仿宋_GB2312"/>
                <w:color w:val="auto"/>
                <w:kern w:val="0"/>
                <w:szCs w:val="21"/>
              </w:rPr>
              <w:t>1#仓库</w:t>
            </w:r>
          </w:p>
        </w:tc>
        <w:tc>
          <w:tcPr>
            <w:tcW w:w="515" w:type="pct"/>
            <w:vMerge w:val="restart"/>
            <w:tcBorders>
              <w:tl2br w:val="nil"/>
              <w:tr2bl w:val="nil"/>
            </w:tcBorders>
            <w:vAlign w:val="center"/>
          </w:tcPr>
          <w:p w14:paraId="66DE9631">
            <w:pPr>
              <w:widowControl/>
              <w:jc w:val="center"/>
              <w:rPr>
                <w:rFonts w:eastAsia="仿宋_GB2312"/>
                <w:color w:val="auto"/>
                <w:kern w:val="0"/>
                <w:szCs w:val="21"/>
              </w:rPr>
            </w:pPr>
            <w:r>
              <w:rPr>
                <w:rFonts w:eastAsia="仿宋_GB2312"/>
                <w:color w:val="auto"/>
                <w:kern w:val="0"/>
                <w:szCs w:val="21"/>
              </w:rPr>
              <w:t>甲类</w:t>
            </w:r>
          </w:p>
        </w:tc>
        <w:tc>
          <w:tcPr>
            <w:tcW w:w="505" w:type="pct"/>
            <w:vMerge w:val="restart"/>
            <w:tcBorders>
              <w:tl2br w:val="nil"/>
              <w:tr2bl w:val="nil"/>
            </w:tcBorders>
            <w:vAlign w:val="center"/>
          </w:tcPr>
          <w:p w14:paraId="0434D27C">
            <w:pPr>
              <w:widowControl/>
              <w:jc w:val="center"/>
              <w:rPr>
                <w:rFonts w:eastAsia="仿宋_GB2312"/>
                <w:color w:val="auto"/>
                <w:kern w:val="0"/>
                <w:szCs w:val="21"/>
              </w:rPr>
            </w:pPr>
            <w:r>
              <w:rPr>
                <w:rFonts w:eastAsia="仿宋_GB2312"/>
                <w:color w:val="auto"/>
                <w:kern w:val="0"/>
                <w:szCs w:val="21"/>
              </w:rPr>
              <w:t>1</w:t>
            </w:r>
          </w:p>
        </w:tc>
        <w:tc>
          <w:tcPr>
            <w:tcW w:w="680" w:type="pct"/>
            <w:tcBorders>
              <w:tl2br w:val="nil"/>
              <w:tr2bl w:val="nil"/>
            </w:tcBorders>
            <w:vAlign w:val="center"/>
          </w:tcPr>
          <w:p w14:paraId="797B9C1C">
            <w:pPr>
              <w:widowControl/>
              <w:jc w:val="center"/>
              <w:rPr>
                <w:rFonts w:eastAsia="仿宋_GB2312"/>
                <w:color w:val="auto"/>
                <w:kern w:val="0"/>
                <w:szCs w:val="21"/>
              </w:rPr>
            </w:pPr>
            <w:r>
              <w:rPr>
                <w:rFonts w:eastAsia="仿宋_GB2312"/>
                <w:color w:val="auto"/>
                <w:kern w:val="0"/>
                <w:szCs w:val="21"/>
              </w:rPr>
              <w:t>1-1#A区</w:t>
            </w:r>
          </w:p>
        </w:tc>
        <w:tc>
          <w:tcPr>
            <w:tcW w:w="667" w:type="pct"/>
            <w:tcBorders>
              <w:tl2br w:val="nil"/>
              <w:tr2bl w:val="nil"/>
            </w:tcBorders>
            <w:vAlign w:val="center"/>
          </w:tcPr>
          <w:p w14:paraId="1620DFCD">
            <w:pPr>
              <w:widowControl/>
              <w:jc w:val="center"/>
              <w:rPr>
                <w:rFonts w:eastAsia="仿宋_GB2312"/>
                <w:color w:val="auto"/>
                <w:kern w:val="0"/>
                <w:szCs w:val="21"/>
              </w:rPr>
            </w:pPr>
            <w:r>
              <w:rPr>
                <w:rFonts w:eastAsia="仿宋_GB2312"/>
                <w:color w:val="auto"/>
                <w:kern w:val="0"/>
                <w:szCs w:val="21"/>
              </w:rPr>
              <w:t>120</w:t>
            </w:r>
          </w:p>
        </w:tc>
        <w:tc>
          <w:tcPr>
            <w:tcW w:w="2047" w:type="pct"/>
            <w:tcBorders>
              <w:tl2br w:val="nil"/>
              <w:tr2bl w:val="nil"/>
            </w:tcBorders>
            <w:vAlign w:val="center"/>
          </w:tcPr>
          <w:p w14:paraId="0636783E">
            <w:pPr>
              <w:widowControl/>
              <w:jc w:val="left"/>
              <w:rPr>
                <w:rFonts w:eastAsia="仿宋_GB2312"/>
                <w:color w:val="auto"/>
                <w:kern w:val="0"/>
                <w:szCs w:val="21"/>
              </w:rPr>
            </w:pPr>
            <w:r>
              <w:rPr>
                <w:rFonts w:hint="eastAsia" w:ascii="宋体" w:hAnsi="宋体" w:cs="宋体"/>
                <w:color w:val="auto"/>
                <w:kern w:val="0"/>
                <w:szCs w:val="21"/>
              </w:rPr>
              <w:t>①</w:t>
            </w:r>
            <w:r>
              <w:rPr>
                <w:rFonts w:eastAsia="仿宋_GB2312"/>
                <w:color w:val="auto"/>
                <w:kern w:val="0"/>
                <w:szCs w:val="21"/>
              </w:rPr>
              <w:t>全厂甲、乙类次生危废；</w:t>
            </w:r>
          </w:p>
          <w:p w14:paraId="72AFA1E9">
            <w:pPr>
              <w:widowControl/>
              <w:jc w:val="left"/>
              <w:rPr>
                <w:rFonts w:eastAsia="仿宋_GB2312"/>
                <w:color w:val="auto"/>
                <w:kern w:val="0"/>
                <w:szCs w:val="21"/>
              </w:rPr>
            </w:pPr>
            <w:r>
              <w:rPr>
                <w:rFonts w:hint="eastAsia" w:ascii="宋体" w:hAnsi="宋体" w:cs="宋体"/>
                <w:color w:val="auto"/>
                <w:kern w:val="0"/>
                <w:szCs w:val="21"/>
              </w:rPr>
              <w:t>②</w:t>
            </w:r>
            <w:r>
              <w:rPr>
                <w:rFonts w:eastAsia="仿宋_GB2312"/>
                <w:color w:val="auto"/>
                <w:kern w:val="0"/>
                <w:szCs w:val="21"/>
              </w:rPr>
              <w:t>焚烧项目收集的甲、乙类危废</w:t>
            </w:r>
          </w:p>
        </w:tc>
      </w:tr>
      <w:tr w14:paraId="7B21A47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83" w:type="pct"/>
            <w:vMerge w:val="continue"/>
            <w:tcBorders>
              <w:tl2br w:val="nil"/>
              <w:tr2bl w:val="nil"/>
            </w:tcBorders>
            <w:vAlign w:val="center"/>
          </w:tcPr>
          <w:p w14:paraId="6B2B1790">
            <w:pPr>
              <w:widowControl/>
              <w:jc w:val="center"/>
              <w:rPr>
                <w:rFonts w:eastAsia="仿宋_GB2312"/>
                <w:color w:val="auto"/>
                <w:kern w:val="0"/>
                <w:szCs w:val="21"/>
              </w:rPr>
            </w:pPr>
          </w:p>
        </w:tc>
        <w:tc>
          <w:tcPr>
            <w:tcW w:w="515" w:type="pct"/>
            <w:vMerge w:val="continue"/>
            <w:tcBorders>
              <w:tl2br w:val="nil"/>
              <w:tr2bl w:val="nil"/>
            </w:tcBorders>
            <w:vAlign w:val="center"/>
          </w:tcPr>
          <w:p w14:paraId="6F33D9B5">
            <w:pPr>
              <w:widowControl/>
              <w:jc w:val="center"/>
              <w:rPr>
                <w:rFonts w:eastAsia="仿宋_GB2312"/>
                <w:color w:val="auto"/>
                <w:kern w:val="0"/>
                <w:szCs w:val="21"/>
              </w:rPr>
            </w:pPr>
          </w:p>
        </w:tc>
        <w:tc>
          <w:tcPr>
            <w:tcW w:w="505" w:type="pct"/>
            <w:vMerge w:val="continue"/>
            <w:tcBorders>
              <w:tl2br w:val="nil"/>
              <w:tr2bl w:val="nil"/>
            </w:tcBorders>
            <w:vAlign w:val="center"/>
          </w:tcPr>
          <w:p w14:paraId="3333F243">
            <w:pPr>
              <w:widowControl/>
              <w:jc w:val="center"/>
              <w:rPr>
                <w:rFonts w:eastAsia="仿宋_GB2312"/>
                <w:color w:val="auto"/>
                <w:kern w:val="0"/>
                <w:szCs w:val="21"/>
              </w:rPr>
            </w:pPr>
          </w:p>
        </w:tc>
        <w:tc>
          <w:tcPr>
            <w:tcW w:w="680" w:type="pct"/>
            <w:tcBorders>
              <w:tl2br w:val="nil"/>
              <w:tr2bl w:val="nil"/>
            </w:tcBorders>
            <w:vAlign w:val="center"/>
          </w:tcPr>
          <w:p w14:paraId="6AE1B167">
            <w:pPr>
              <w:widowControl/>
              <w:jc w:val="center"/>
              <w:rPr>
                <w:rFonts w:eastAsia="仿宋_GB2312"/>
                <w:color w:val="auto"/>
                <w:kern w:val="0"/>
                <w:szCs w:val="21"/>
              </w:rPr>
            </w:pPr>
            <w:r>
              <w:rPr>
                <w:rFonts w:eastAsia="仿宋_GB2312"/>
                <w:color w:val="auto"/>
                <w:kern w:val="0"/>
                <w:szCs w:val="21"/>
              </w:rPr>
              <w:t>1-1#B区</w:t>
            </w:r>
          </w:p>
        </w:tc>
        <w:tc>
          <w:tcPr>
            <w:tcW w:w="667" w:type="pct"/>
            <w:tcBorders>
              <w:tl2br w:val="nil"/>
              <w:tr2bl w:val="nil"/>
            </w:tcBorders>
            <w:vAlign w:val="center"/>
          </w:tcPr>
          <w:p w14:paraId="6F5FBE0B">
            <w:pPr>
              <w:widowControl/>
              <w:jc w:val="center"/>
              <w:rPr>
                <w:rFonts w:eastAsia="仿宋_GB2312"/>
                <w:color w:val="auto"/>
                <w:kern w:val="0"/>
                <w:szCs w:val="21"/>
              </w:rPr>
            </w:pPr>
            <w:r>
              <w:rPr>
                <w:rFonts w:eastAsia="仿宋_GB2312"/>
                <w:color w:val="auto"/>
                <w:kern w:val="0"/>
                <w:szCs w:val="21"/>
              </w:rPr>
              <w:t>86</w:t>
            </w:r>
          </w:p>
        </w:tc>
        <w:tc>
          <w:tcPr>
            <w:tcW w:w="2047" w:type="pct"/>
            <w:tcBorders>
              <w:tl2br w:val="nil"/>
              <w:tr2bl w:val="nil"/>
            </w:tcBorders>
            <w:vAlign w:val="center"/>
          </w:tcPr>
          <w:p w14:paraId="470A8F20">
            <w:pPr>
              <w:widowControl/>
              <w:jc w:val="left"/>
              <w:rPr>
                <w:rFonts w:eastAsia="仿宋_GB2312"/>
                <w:color w:val="auto"/>
                <w:kern w:val="0"/>
                <w:szCs w:val="21"/>
              </w:rPr>
            </w:pPr>
            <w:r>
              <w:rPr>
                <w:rFonts w:eastAsia="仿宋_GB2312"/>
                <w:color w:val="auto"/>
                <w:kern w:val="0"/>
                <w:szCs w:val="21"/>
              </w:rPr>
              <w:t>全厂收集的甲、乙类原料废液</w:t>
            </w:r>
          </w:p>
        </w:tc>
      </w:tr>
      <w:tr w14:paraId="16D701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83" w:type="pct"/>
            <w:vMerge w:val="continue"/>
            <w:tcBorders>
              <w:tl2br w:val="nil"/>
              <w:tr2bl w:val="nil"/>
            </w:tcBorders>
            <w:vAlign w:val="center"/>
          </w:tcPr>
          <w:p w14:paraId="54AECA36">
            <w:pPr>
              <w:widowControl/>
              <w:jc w:val="center"/>
              <w:rPr>
                <w:rFonts w:eastAsia="仿宋_GB2312"/>
                <w:color w:val="auto"/>
                <w:kern w:val="0"/>
                <w:szCs w:val="21"/>
              </w:rPr>
            </w:pPr>
          </w:p>
        </w:tc>
        <w:tc>
          <w:tcPr>
            <w:tcW w:w="515" w:type="pct"/>
            <w:vMerge w:val="continue"/>
            <w:tcBorders>
              <w:tl2br w:val="nil"/>
              <w:tr2bl w:val="nil"/>
            </w:tcBorders>
            <w:vAlign w:val="center"/>
          </w:tcPr>
          <w:p w14:paraId="50904BF6">
            <w:pPr>
              <w:widowControl/>
              <w:jc w:val="center"/>
              <w:rPr>
                <w:rFonts w:eastAsia="仿宋_GB2312"/>
                <w:color w:val="auto"/>
                <w:kern w:val="0"/>
                <w:szCs w:val="21"/>
              </w:rPr>
            </w:pPr>
          </w:p>
        </w:tc>
        <w:tc>
          <w:tcPr>
            <w:tcW w:w="505" w:type="pct"/>
            <w:vMerge w:val="continue"/>
            <w:tcBorders>
              <w:tl2br w:val="nil"/>
              <w:tr2bl w:val="nil"/>
            </w:tcBorders>
            <w:vAlign w:val="center"/>
          </w:tcPr>
          <w:p w14:paraId="4ABF0E1C">
            <w:pPr>
              <w:widowControl/>
              <w:jc w:val="center"/>
              <w:rPr>
                <w:rFonts w:eastAsia="仿宋_GB2312"/>
                <w:color w:val="auto"/>
                <w:kern w:val="0"/>
                <w:szCs w:val="21"/>
              </w:rPr>
            </w:pPr>
          </w:p>
        </w:tc>
        <w:tc>
          <w:tcPr>
            <w:tcW w:w="680" w:type="pct"/>
            <w:tcBorders>
              <w:tl2br w:val="nil"/>
              <w:tr2bl w:val="nil"/>
            </w:tcBorders>
            <w:vAlign w:val="center"/>
          </w:tcPr>
          <w:p w14:paraId="1E8D17AC">
            <w:pPr>
              <w:widowControl/>
              <w:jc w:val="center"/>
              <w:rPr>
                <w:rFonts w:eastAsia="仿宋_GB2312"/>
                <w:color w:val="auto"/>
                <w:kern w:val="0"/>
                <w:szCs w:val="21"/>
              </w:rPr>
            </w:pPr>
            <w:r>
              <w:rPr>
                <w:rFonts w:eastAsia="仿宋_GB2312"/>
                <w:color w:val="auto"/>
                <w:kern w:val="0"/>
                <w:szCs w:val="21"/>
              </w:rPr>
              <w:t>1-2#区</w:t>
            </w:r>
          </w:p>
        </w:tc>
        <w:tc>
          <w:tcPr>
            <w:tcW w:w="667" w:type="pct"/>
            <w:tcBorders>
              <w:tl2br w:val="nil"/>
              <w:tr2bl w:val="nil"/>
            </w:tcBorders>
            <w:vAlign w:val="center"/>
          </w:tcPr>
          <w:p w14:paraId="25D1F09C">
            <w:pPr>
              <w:widowControl/>
              <w:jc w:val="center"/>
              <w:rPr>
                <w:rFonts w:eastAsia="仿宋_GB2312"/>
                <w:color w:val="auto"/>
                <w:kern w:val="0"/>
                <w:szCs w:val="21"/>
              </w:rPr>
            </w:pPr>
            <w:r>
              <w:rPr>
                <w:rFonts w:eastAsia="仿宋_GB2312"/>
                <w:color w:val="auto"/>
                <w:kern w:val="0"/>
                <w:szCs w:val="21"/>
              </w:rPr>
              <w:t>200</w:t>
            </w:r>
          </w:p>
        </w:tc>
        <w:tc>
          <w:tcPr>
            <w:tcW w:w="2047" w:type="pct"/>
            <w:tcBorders>
              <w:tl2br w:val="nil"/>
              <w:tr2bl w:val="nil"/>
            </w:tcBorders>
            <w:vAlign w:val="center"/>
          </w:tcPr>
          <w:p w14:paraId="02086352">
            <w:pPr>
              <w:widowControl/>
              <w:jc w:val="left"/>
              <w:rPr>
                <w:rFonts w:eastAsia="仿宋_GB2312"/>
                <w:color w:val="auto"/>
                <w:kern w:val="0"/>
                <w:szCs w:val="21"/>
              </w:rPr>
            </w:pPr>
            <w:r>
              <w:rPr>
                <w:rFonts w:eastAsia="仿宋_GB2312"/>
                <w:color w:val="auto"/>
                <w:kern w:val="0"/>
                <w:szCs w:val="21"/>
              </w:rPr>
              <w:t>全厂收集的甲、乙类原料废液</w:t>
            </w:r>
          </w:p>
        </w:tc>
      </w:tr>
      <w:tr w14:paraId="638B587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83" w:type="pct"/>
            <w:vMerge w:val="continue"/>
            <w:tcBorders>
              <w:tl2br w:val="nil"/>
              <w:tr2bl w:val="nil"/>
            </w:tcBorders>
            <w:vAlign w:val="center"/>
          </w:tcPr>
          <w:p w14:paraId="51682F3A">
            <w:pPr>
              <w:widowControl/>
              <w:jc w:val="center"/>
              <w:rPr>
                <w:rFonts w:eastAsia="仿宋_GB2312"/>
                <w:color w:val="auto"/>
                <w:kern w:val="0"/>
                <w:szCs w:val="21"/>
              </w:rPr>
            </w:pPr>
          </w:p>
        </w:tc>
        <w:tc>
          <w:tcPr>
            <w:tcW w:w="515" w:type="pct"/>
            <w:vMerge w:val="continue"/>
            <w:tcBorders>
              <w:tl2br w:val="nil"/>
              <w:tr2bl w:val="nil"/>
            </w:tcBorders>
            <w:vAlign w:val="center"/>
          </w:tcPr>
          <w:p w14:paraId="24E8ABB3">
            <w:pPr>
              <w:widowControl/>
              <w:jc w:val="center"/>
              <w:rPr>
                <w:rFonts w:eastAsia="仿宋_GB2312"/>
                <w:color w:val="auto"/>
                <w:kern w:val="0"/>
                <w:szCs w:val="21"/>
              </w:rPr>
            </w:pPr>
          </w:p>
        </w:tc>
        <w:tc>
          <w:tcPr>
            <w:tcW w:w="505" w:type="pct"/>
            <w:vMerge w:val="continue"/>
            <w:tcBorders>
              <w:tl2br w:val="nil"/>
              <w:tr2bl w:val="nil"/>
            </w:tcBorders>
            <w:vAlign w:val="center"/>
          </w:tcPr>
          <w:p w14:paraId="0D0FAD86">
            <w:pPr>
              <w:widowControl/>
              <w:jc w:val="center"/>
              <w:rPr>
                <w:rFonts w:eastAsia="仿宋_GB2312"/>
                <w:color w:val="auto"/>
                <w:kern w:val="0"/>
                <w:szCs w:val="21"/>
              </w:rPr>
            </w:pPr>
          </w:p>
        </w:tc>
        <w:tc>
          <w:tcPr>
            <w:tcW w:w="680" w:type="pct"/>
            <w:tcBorders>
              <w:tl2br w:val="nil"/>
              <w:tr2bl w:val="nil"/>
            </w:tcBorders>
            <w:vAlign w:val="center"/>
          </w:tcPr>
          <w:p w14:paraId="2D80A9B3">
            <w:pPr>
              <w:widowControl/>
              <w:jc w:val="center"/>
              <w:rPr>
                <w:rFonts w:eastAsia="仿宋_GB2312"/>
                <w:color w:val="auto"/>
                <w:kern w:val="0"/>
                <w:szCs w:val="21"/>
              </w:rPr>
            </w:pPr>
            <w:r>
              <w:rPr>
                <w:rFonts w:eastAsia="仿宋_GB2312"/>
                <w:color w:val="auto"/>
                <w:kern w:val="0"/>
                <w:szCs w:val="21"/>
              </w:rPr>
              <w:t>1-3#区</w:t>
            </w:r>
          </w:p>
        </w:tc>
        <w:tc>
          <w:tcPr>
            <w:tcW w:w="667" w:type="pct"/>
            <w:tcBorders>
              <w:tl2br w:val="nil"/>
              <w:tr2bl w:val="nil"/>
            </w:tcBorders>
            <w:vAlign w:val="center"/>
          </w:tcPr>
          <w:p w14:paraId="3BFAFE76">
            <w:pPr>
              <w:widowControl/>
              <w:jc w:val="center"/>
              <w:rPr>
                <w:rFonts w:eastAsia="仿宋_GB2312"/>
                <w:color w:val="auto"/>
                <w:kern w:val="0"/>
                <w:szCs w:val="21"/>
              </w:rPr>
            </w:pPr>
            <w:r>
              <w:rPr>
                <w:rFonts w:eastAsia="仿宋_GB2312"/>
                <w:color w:val="auto"/>
                <w:kern w:val="0"/>
                <w:szCs w:val="21"/>
              </w:rPr>
              <w:t>200</w:t>
            </w:r>
          </w:p>
        </w:tc>
        <w:tc>
          <w:tcPr>
            <w:tcW w:w="2047" w:type="pct"/>
            <w:tcBorders>
              <w:tl2br w:val="nil"/>
              <w:tr2bl w:val="nil"/>
            </w:tcBorders>
            <w:vAlign w:val="center"/>
          </w:tcPr>
          <w:p w14:paraId="2700C4D1">
            <w:pPr>
              <w:widowControl/>
              <w:jc w:val="left"/>
              <w:rPr>
                <w:rFonts w:eastAsia="仿宋_GB2312"/>
                <w:color w:val="auto"/>
                <w:kern w:val="0"/>
                <w:szCs w:val="21"/>
              </w:rPr>
            </w:pPr>
            <w:r>
              <w:rPr>
                <w:rFonts w:eastAsia="仿宋_GB2312"/>
                <w:color w:val="auto"/>
                <w:kern w:val="0"/>
                <w:szCs w:val="21"/>
              </w:rPr>
              <w:t>全厂收集的甲、乙类原料废液</w:t>
            </w:r>
          </w:p>
        </w:tc>
      </w:tr>
      <w:tr w14:paraId="5BFBFE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83" w:type="pct"/>
            <w:tcBorders>
              <w:tl2br w:val="nil"/>
              <w:tr2bl w:val="nil"/>
            </w:tcBorders>
            <w:vAlign w:val="center"/>
          </w:tcPr>
          <w:p w14:paraId="73CEE06B">
            <w:pPr>
              <w:widowControl/>
              <w:jc w:val="center"/>
              <w:rPr>
                <w:rFonts w:eastAsia="仿宋_GB2312"/>
                <w:color w:val="auto"/>
                <w:kern w:val="0"/>
                <w:szCs w:val="21"/>
              </w:rPr>
            </w:pPr>
            <w:r>
              <w:rPr>
                <w:rFonts w:eastAsia="仿宋_GB2312"/>
                <w:color w:val="auto"/>
                <w:kern w:val="0"/>
                <w:szCs w:val="21"/>
              </w:rPr>
              <w:t>1#储罐区</w:t>
            </w:r>
          </w:p>
        </w:tc>
        <w:tc>
          <w:tcPr>
            <w:tcW w:w="515" w:type="pct"/>
            <w:tcBorders>
              <w:tl2br w:val="nil"/>
              <w:tr2bl w:val="nil"/>
            </w:tcBorders>
            <w:vAlign w:val="center"/>
          </w:tcPr>
          <w:p w14:paraId="6284525E">
            <w:pPr>
              <w:widowControl/>
              <w:jc w:val="center"/>
              <w:rPr>
                <w:rFonts w:eastAsia="仿宋_GB2312"/>
                <w:color w:val="auto"/>
                <w:kern w:val="0"/>
                <w:szCs w:val="21"/>
              </w:rPr>
            </w:pPr>
            <w:r>
              <w:rPr>
                <w:rFonts w:eastAsia="仿宋_GB2312"/>
                <w:color w:val="auto"/>
                <w:kern w:val="0"/>
                <w:szCs w:val="21"/>
              </w:rPr>
              <w:t>甲类</w:t>
            </w:r>
          </w:p>
        </w:tc>
        <w:tc>
          <w:tcPr>
            <w:tcW w:w="505" w:type="pct"/>
            <w:tcBorders>
              <w:tl2br w:val="nil"/>
              <w:tr2bl w:val="nil"/>
            </w:tcBorders>
            <w:vAlign w:val="center"/>
          </w:tcPr>
          <w:p w14:paraId="0958D6C3">
            <w:pPr>
              <w:widowControl/>
              <w:jc w:val="center"/>
              <w:rPr>
                <w:rFonts w:eastAsia="仿宋_GB2312"/>
                <w:color w:val="auto"/>
                <w:kern w:val="0"/>
                <w:szCs w:val="21"/>
              </w:rPr>
            </w:pPr>
            <w:r>
              <w:rPr>
                <w:rFonts w:eastAsia="仿宋_GB2312"/>
                <w:color w:val="auto"/>
                <w:kern w:val="0"/>
                <w:szCs w:val="21"/>
              </w:rPr>
              <w:t>/</w:t>
            </w:r>
          </w:p>
        </w:tc>
        <w:tc>
          <w:tcPr>
            <w:tcW w:w="680" w:type="pct"/>
            <w:tcBorders>
              <w:tl2br w:val="nil"/>
              <w:tr2bl w:val="nil"/>
            </w:tcBorders>
            <w:vAlign w:val="center"/>
          </w:tcPr>
          <w:p w14:paraId="3033BEEC">
            <w:pPr>
              <w:widowControl/>
              <w:jc w:val="center"/>
              <w:rPr>
                <w:rFonts w:eastAsia="仿宋_GB2312"/>
                <w:color w:val="auto"/>
                <w:kern w:val="0"/>
                <w:szCs w:val="21"/>
              </w:rPr>
            </w:pPr>
            <w:r>
              <w:rPr>
                <w:rFonts w:eastAsia="仿宋_GB2312"/>
                <w:color w:val="auto"/>
                <w:kern w:val="0"/>
                <w:szCs w:val="21"/>
              </w:rPr>
              <w:t>/</w:t>
            </w:r>
          </w:p>
        </w:tc>
        <w:tc>
          <w:tcPr>
            <w:tcW w:w="667" w:type="pct"/>
            <w:tcBorders>
              <w:tl2br w:val="nil"/>
              <w:tr2bl w:val="nil"/>
            </w:tcBorders>
            <w:vAlign w:val="center"/>
          </w:tcPr>
          <w:p w14:paraId="4C303388">
            <w:pPr>
              <w:widowControl/>
              <w:jc w:val="center"/>
              <w:rPr>
                <w:rFonts w:eastAsia="仿宋_GB2312"/>
                <w:color w:val="auto"/>
                <w:kern w:val="0"/>
                <w:szCs w:val="21"/>
              </w:rPr>
            </w:pPr>
            <w:r>
              <w:rPr>
                <w:rFonts w:eastAsia="仿宋_GB2312"/>
                <w:color w:val="auto"/>
                <w:kern w:val="0"/>
                <w:szCs w:val="21"/>
              </w:rPr>
              <w:t>510</w:t>
            </w:r>
          </w:p>
        </w:tc>
        <w:tc>
          <w:tcPr>
            <w:tcW w:w="2047" w:type="pct"/>
            <w:tcBorders>
              <w:tl2br w:val="nil"/>
              <w:tr2bl w:val="nil"/>
            </w:tcBorders>
            <w:vAlign w:val="center"/>
          </w:tcPr>
          <w:p w14:paraId="7035D367">
            <w:pPr>
              <w:widowControl/>
              <w:jc w:val="left"/>
              <w:rPr>
                <w:rFonts w:eastAsia="仿宋_GB2312"/>
                <w:color w:val="auto"/>
                <w:kern w:val="0"/>
                <w:szCs w:val="21"/>
              </w:rPr>
            </w:pPr>
            <w:r>
              <w:rPr>
                <w:rFonts w:eastAsia="仿宋_GB2312"/>
                <w:color w:val="auto"/>
                <w:kern w:val="0"/>
                <w:szCs w:val="21"/>
              </w:rPr>
              <w:t>8个70m</w:t>
            </w:r>
            <w:r>
              <w:rPr>
                <w:rFonts w:eastAsia="仿宋_GB2312"/>
                <w:color w:val="auto"/>
                <w:kern w:val="0"/>
                <w:szCs w:val="21"/>
                <w:vertAlign w:val="superscript"/>
              </w:rPr>
              <w:t>3</w:t>
            </w:r>
            <w:r>
              <w:rPr>
                <w:rFonts w:eastAsia="仿宋_GB2312"/>
                <w:color w:val="auto"/>
                <w:kern w:val="0"/>
                <w:szCs w:val="21"/>
              </w:rPr>
              <w:t>储罐，其中两个因安全因素停用，4个废液罐分别存放甲醇废液、乙醇废液、丙酮废液、异丙醇废液，2个成品储罐分别存放甲醇和乙醇。</w:t>
            </w:r>
          </w:p>
        </w:tc>
      </w:tr>
      <w:tr w14:paraId="4296C4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83" w:type="pct"/>
            <w:tcBorders>
              <w:tl2br w:val="nil"/>
              <w:tr2bl w:val="nil"/>
            </w:tcBorders>
            <w:vAlign w:val="center"/>
          </w:tcPr>
          <w:p w14:paraId="72EBF769">
            <w:pPr>
              <w:widowControl/>
              <w:jc w:val="center"/>
              <w:rPr>
                <w:rFonts w:eastAsia="仿宋_GB2312"/>
                <w:color w:val="auto"/>
                <w:kern w:val="0"/>
                <w:szCs w:val="21"/>
              </w:rPr>
            </w:pPr>
            <w:r>
              <w:rPr>
                <w:rFonts w:eastAsia="仿宋_GB2312"/>
                <w:color w:val="auto"/>
                <w:kern w:val="0"/>
                <w:szCs w:val="21"/>
              </w:rPr>
              <w:t>3#仓库</w:t>
            </w:r>
          </w:p>
        </w:tc>
        <w:tc>
          <w:tcPr>
            <w:tcW w:w="515" w:type="pct"/>
            <w:tcBorders>
              <w:tl2br w:val="nil"/>
              <w:tr2bl w:val="nil"/>
            </w:tcBorders>
            <w:vAlign w:val="center"/>
          </w:tcPr>
          <w:p w14:paraId="617F68A9">
            <w:pPr>
              <w:widowControl/>
              <w:jc w:val="center"/>
              <w:rPr>
                <w:rFonts w:eastAsia="仿宋_GB2312"/>
                <w:color w:val="auto"/>
                <w:kern w:val="0"/>
                <w:szCs w:val="21"/>
              </w:rPr>
            </w:pPr>
            <w:r>
              <w:rPr>
                <w:rFonts w:eastAsia="仿宋_GB2312"/>
                <w:color w:val="auto"/>
                <w:kern w:val="0"/>
                <w:szCs w:val="21"/>
              </w:rPr>
              <w:t>丙类</w:t>
            </w:r>
          </w:p>
        </w:tc>
        <w:tc>
          <w:tcPr>
            <w:tcW w:w="505" w:type="pct"/>
            <w:tcBorders>
              <w:tl2br w:val="nil"/>
              <w:tr2bl w:val="nil"/>
            </w:tcBorders>
            <w:vAlign w:val="center"/>
          </w:tcPr>
          <w:p w14:paraId="6FDEFC6D">
            <w:pPr>
              <w:widowControl/>
              <w:jc w:val="center"/>
              <w:rPr>
                <w:rFonts w:eastAsia="仿宋_GB2312"/>
                <w:color w:val="auto"/>
                <w:kern w:val="0"/>
                <w:szCs w:val="21"/>
              </w:rPr>
            </w:pPr>
            <w:r>
              <w:rPr>
                <w:rFonts w:eastAsia="仿宋_GB2312"/>
                <w:color w:val="auto"/>
                <w:kern w:val="0"/>
                <w:szCs w:val="21"/>
              </w:rPr>
              <w:t>1</w:t>
            </w:r>
          </w:p>
        </w:tc>
        <w:tc>
          <w:tcPr>
            <w:tcW w:w="680" w:type="pct"/>
            <w:tcBorders>
              <w:tl2br w:val="nil"/>
              <w:tr2bl w:val="nil"/>
            </w:tcBorders>
            <w:vAlign w:val="center"/>
          </w:tcPr>
          <w:p w14:paraId="5886C40D">
            <w:pPr>
              <w:widowControl/>
              <w:jc w:val="center"/>
              <w:rPr>
                <w:rFonts w:eastAsia="仿宋_GB2312"/>
                <w:color w:val="auto"/>
                <w:kern w:val="0"/>
                <w:szCs w:val="21"/>
              </w:rPr>
            </w:pPr>
            <w:r>
              <w:rPr>
                <w:rFonts w:eastAsia="仿宋_GB2312"/>
                <w:color w:val="auto"/>
                <w:kern w:val="0"/>
                <w:szCs w:val="21"/>
              </w:rPr>
              <w:t>/</w:t>
            </w:r>
          </w:p>
        </w:tc>
        <w:tc>
          <w:tcPr>
            <w:tcW w:w="667" w:type="pct"/>
            <w:tcBorders>
              <w:tl2br w:val="nil"/>
              <w:tr2bl w:val="nil"/>
            </w:tcBorders>
            <w:vAlign w:val="center"/>
          </w:tcPr>
          <w:p w14:paraId="451C1AA3">
            <w:pPr>
              <w:widowControl/>
              <w:jc w:val="center"/>
              <w:rPr>
                <w:rFonts w:eastAsia="仿宋_GB2312"/>
                <w:color w:val="auto"/>
                <w:kern w:val="0"/>
                <w:szCs w:val="21"/>
              </w:rPr>
            </w:pPr>
            <w:r>
              <w:rPr>
                <w:rFonts w:eastAsia="仿宋_GB2312"/>
                <w:color w:val="auto"/>
                <w:kern w:val="0"/>
                <w:szCs w:val="21"/>
              </w:rPr>
              <w:t>1920</w:t>
            </w:r>
          </w:p>
        </w:tc>
        <w:tc>
          <w:tcPr>
            <w:tcW w:w="2047" w:type="pct"/>
            <w:tcBorders>
              <w:tl2br w:val="nil"/>
              <w:tr2bl w:val="nil"/>
            </w:tcBorders>
            <w:vAlign w:val="center"/>
          </w:tcPr>
          <w:p w14:paraId="6236B8FA">
            <w:pPr>
              <w:widowControl/>
              <w:jc w:val="left"/>
              <w:rPr>
                <w:rFonts w:eastAsia="仿宋_GB2312"/>
                <w:color w:val="auto"/>
                <w:kern w:val="0"/>
                <w:szCs w:val="21"/>
              </w:rPr>
            </w:pPr>
            <w:r>
              <w:rPr>
                <w:rFonts w:hint="eastAsia" w:ascii="宋体" w:hAnsi="宋体" w:cs="宋体"/>
                <w:color w:val="auto"/>
                <w:kern w:val="0"/>
                <w:szCs w:val="21"/>
              </w:rPr>
              <w:t>①</w:t>
            </w:r>
            <w:r>
              <w:rPr>
                <w:rFonts w:eastAsia="仿宋_GB2312"/>
                <w:color w:val="auto"/>
                <w:kern w:val="0"/>
                <w:szCs w:val="21"/>
              </w:rPr>
              <w:t>全厂收集的丙类及以下原料废液；</w:t>
            </w:r>
          </w:p>
          <w:p w14:paraId="68633FE3">
            <w:pPr>
              <w:widowControl/>
              <w:jc w:val="left"/>
              <w:rPr>
                <w:rFonts w:eastAsia="仿宋_GB2312"/>
                <w:color w:val="auto"/>
                <w:kern w:val="0"/>
                <w:szCs w:val="21"/>
              </w:rPr>
            </w:pPr>
            <w:r>
              <w:rPr>
                <w:rFonts w:hint="eastAsia" w:ascii="宋体" w:hAnsi="宋体" w:cs="宋体"/>
                <w:color w:val="auto"/>
                <w:kern w:val="0"/>
                <w:szCs w:val="21"/>
              </w:rPr>
              <w:t>②</w:t>
            </w:r>
            <w:r>
              <w:rPr>
                <w:rFonts w:eastAsia="仿宋_GB2312"/>
                <w:color w:val="auto"/>
                <w:kern w:val="0"/>
                <w:szCs w:val="21"/>
              </w:rPr>
              <w:t>危险化学品</w:t>
            </w:r>
          </w:p>
        </w:tc>
      </w:tr>
      <w:tr w14:paraId="58F534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83" w:type="pct"/>
            <w:tcBorders>
              <w:tl2br w:val="nil"/>
              <w:tr2bl w:val="nil"/>
            </w:tcBorders>
            <w:vAlign w:val="center"/>
          </w:tcPr>
          <w:p w14:paraId="2D0F78AC">
            <w:pPr>
              <w:widowControl/>
              <w:jc w:val="center"/>
              <w:rPr>
                <w:rFonts w:eastAsia="仿宋_GB2312"/>
                <w:color w:val="auto"/>
                <w:kern w:val="0"/>
                <w:szCs w:val="21"/>
              </w:rPr>
            </w:pPr>
            <w:r>
              <w:rPr>
                <w:rFonts w:eastAsia="仿宋_GB2312"/>
                <w:color w:val="auto"/>
                <w:kern w:val="0"/>
                <w:szCs w:val="21"/>
              </w:rPr>
              <w:t>4#仓库</w:t>
            </w:r>
          </w:p>
        </w:tc>
        <w:tc>
          <w:tcPr>
            <w:tcW w:w="515" w:type="pct"/>
            <w:tcBorders>
              <w:tl2br w:val="nil"/>
              <w:tr2bl w:val="nil"/>
            </w:tcBorders>
            <w:vAlign w:val="center"/>
          </w:tcPr>
          <w:p w14:paraId="45952DC2">
            <w:pPr>
              <w:widowControl/>
              <w:jc w:val="center"/>
              <w:rPr>
                <w:rFonts w:eastAsia="仿宋_GB2312"/>
                <w:color w:val="auto"/>
                <w:kern w:val="0"/>
                <w:szCs w:val="21"/>
              </w:rPr>
            </w:pPr>
            <w:r>
              <w:rPr>
                <w:rFonts w:eastAsia="仿宋_GB2312"/>
                <w:color w:val="auto"/>
                <w:kern w:val="0"/>
                <w:szCs w:val="21"/>
              </w:rPr>
              <w:t>丙类</w:t>
            </w:r>
          </w:p>
        </w:tc>
        <w:tc>
          <w:tcPr>
            <w:tcW w:w="505" w:type="pct"/>
            <w:tcBorders>
              <w:tl2br w:val="nil"/>
              <w:tr2bl w:val="nil"/>
            </w:tcBorders>
            <w:vAlign w:val="center"/>
          </w:tcPr>
          <w:p w14:paraId="07094C10">
            <w:pPr>
              <w:widowControl/>
              <w:jc w:val="center"/>
              <w:rPr>
                <w:rFonts w:eastAsia="仿宋_GB2312"/>
                <w:color w:val="auto"/>
                <w:kern w:val="0"/>
                <w:szCs w:val="21"/>
              </w:rPr>
            </w:pPr>
            <w:r>
              <w:rPr>
                <w:rFonts w:eastAsia="仿宋_GB2312"/>
                <w:color w:val="auto"/>
                <w:kern w:val="0"/>
                <w:szCs w:val="21"/>
              </w:rPr>
              <w:t>1</w:t>
            </w:r>
          </w:p>
        </w:tc>
        <w:tc>
          <w:tcPr>
            <w:tcW w:w="680" w:type="pct"/>
            <w:tcBorders>
              <w:tl2br w:val="nil"/>
              <w:tr2bl w:val="nil"/>
            </w:tcBorders>
            <w:vAlign w:val="center"/>
          </w:tcPr>
          <w:p w14:paraId="0AB7BA76">
            <w:pPr>
              <w:widowControl/>
              <w:jc w:val="center"/>
              <w:rPr>
                <w:rFonts w:eastAsia="仿宋_GB2312"/>
                <w:color w:val="auto"/>
                <w:kern w:val="0"/>
                <w:szCs w:val="21"/>
              </w:rPr>
            </w:pPr>
            <w:r>
              <w:rPr>
                <w:rFonts w:eastAsia="仿宋_GB2312"/>
                <w:color w:val="auto"/>
                <w:kern w:val="0"/>
                <w:szCs w:val="21"/>
              </w:rPr>
              <w:t>/</w:t>
            </w:r>
          </w:p>
        </w:tc>
        <w:tc>
          <w:tcPr>
            <w:tcW w:w="667" w:type="pct"/>
            <w:tcBorders>
              <w:tl2br w:val="nil"/>
              <w:tr2bl w:val="nil"/>
            </w:tcBorders>
            <w:vAlign w:val="center"/>
          </w:tcPr>
          <w:p w14:paraId="457900A2">
            <w:pPr>
              <w:widowControl/>
              <w:jc w:val="center"/>
              <w:rPr>
                <w:rFonts w:eastAsia="仿宋_GB2312"/>
                <w:color w:val="auto"/>
                <w:kern w:val="0"/>
                <w:szCs w:val="21"/>
              </w:rPr>
            </w:pPr>
            <w:r>
              <w:rPr>
                <w:rFonts w:eastAsia="仿宋_GB2312"/>
                <w:color w:val="auto"/>
                <w:kern w:val="0"/>
                <w:szCs w:val="21"/>
              </w:rPr>
              <w:t>2940</w:t>
            </w:r>
          </w:p>
        </w:tc>
        <w:tc>
          <w:tcPr>
            <w:tcW w:w="2047" w:type="pct"/>
            <w:tcBorders>
              <w:tl2br w:val="nil"/>
              <w:tr2bl w:val="nil"/>
            </w:tcBorders>
            <w:vAlign w:val="center"/>
          </w:tcPr>
          <w:p w14:paraId="4E1A106E">
            <w:pPr>
              <w:widowControl/>
              <w:jc w:val="left"/>
              <w:rPr>
                <w:rFonts w:eastAsia="仿宋_GB2312"/>
                <w:color w:val="auto"/>
                <w:kern w:val="0"/>
                <w:szCs w:val="21"/>
              </w:rPr>
            </w:pPr>
            <w:r>
              <w:rPr>
                <w:rFonts w:eastAsia="仿宋_GB2312"/>
                <w:color w:val="auto"/>
                <w:kern w:val="0"/>
                <w:szCs w:val="21"/>
              </w:rPr>
              <w:t>焚烧项目收集的丙类及以下危废</w:t>
            </w:r>
          </w:p>
        </w:tc>
      </w:tr>
      <w:tr w14:paraId="3DD8E19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83" w:type="pct"/>
            <w:tcBorders>
              <w:tl2br w:val="nil"/>
              <w:tr2bl w:val="nil"/>
            </w:tcBorders>
            <w:vAlign w:val="center"/>
          </w:tcPr>
          <w:p w14:paraId="51DA2292">
            <w:pPr>
              <w:widowControl/>
              <w:jc w:val="center"/>
              <w:rPr>
                <w:rFonts w:eastAsia="仿宋_GB2312"/>
                <w:color w:val="auto"/>
                <w:kern w:val="0"/>
                <w:szCs w:val="21"/>
              </w:rPr>
            </w:pPr>
            <w:r>
              <w:rPr>
                <w:rFonts w:eastAsia="仿宋_GB2312"/>
                <w:color w:val="auto"/>
                <w:kern w:val="0"/>
                <w:szCs w:val="21"/>
              </w:rPr>
              <w:t>5#仓库</w:t>
            </w:r>
          </w:p>
        </w:tc>
        <w:tc>
          <w:tcPr>
            <w:tcW w:w="515" w:type="pct"/>
            <w:tcBorders>
              <w:tl2br w:val="nil"/>
              <w:tr2bl w:val="nil"/>
            </w:tcBorders>
            <w:vAlign w:val="center"/>
          </w:tcPr>
          <w:p w14:paraId="386D2B0F">
            <w:pPr>
              <w:widowControl/>
              <w:jc w:val="center"/>
              <w:rPr>
                <w:rFonts w:eastAsia="仿宋_GB2312"/>
                <w:color w:val="auto"/>
                <w:kern w:val="0"/>
                <w:szCs w:val="21"/>
              </w:rPr>
            </w:pPr>
            <w:r>
              <w:rPr>
                <w:rFonts w:eastAsia="仿宋_GB2312"/>
                <w:color w:val="auto"/>
                <w:kern w:val="0"/>
                <w:szCs w:val="21"/>
              </w:rPr>
              <w:t>丙类</w:t>
            </w:r>
          </w:p>
        </w:tc>
        <w:tc>
          <w:tcPr>
            <w:tcW w:w="505" w:type="pct"/>
            <w:tcBorders>
              <w:tl2br w:val="nil"/>
              <w:tr2bl w:val="nil"/>
            </w:tcBorders>
            <w:vAlign w:val="center"/>
          </w:tcPr>
          <w:p w14:paraId="4F19A721">
            <w:pPr>
              <w:widowControl/>
              <w:jc w:val="center"/>
              <w:rPr>
                <w:rFonts w:eastAsia="仿宋_GB2312"/>
                <w:color w:val="auto"/>
                <w:kern w:val="0"/>
                <w:szCs w:val="21"/>
              </w:rPr>
            </w:pPr>
            <w:r>
              <w:rPr>
                <w:rFonts w:eastAsia="仿宋_GB2312"/>
                <w:color w:val="auto"/>
                <w:kern w:val="0"/>
                <w:szCs w:val="21"/>
              </w:rPr>
              <w:t>1</w:t>
            </w:r>
          </w:p>
        </w:tc>
        <w:tc>
          <w:tcPr>
            <w:tcW w:w="680" w:type="pct"/>
            <w:tcBorders>
              <w:tl2br w:val="nil"/>
              <w:tr2bl w:val="nil"/>
            </w:tcBorders>
            <w:vAlign w:val="center"/>
          </w:tcPr>
          <w:p w14:paraId="262D7E2C">
            <w:pPr>
              <w:widowControl/>
              <w:jc w:val="center"/>
              <w:rPr>
                <w:rFonts w:eastAsia="仿宋_GB2312"/>
                <w:color w:val="auto"/>
                <w:kern w:val="0"/>
                <w:szCs w:val="21"/>
              </w:rPr>
            </w:pPr>
            <w:r>
              <w:rPr>
                <w:rFonts w:eastAsia="仿宋_GB2312"/>
                <w:color w:val="auto"/>
                <w:kern w:val="0"/>
                <w:szCs w:val="21"/>
              </w:rPr>
              <w:t>/</w:t>
            </w:r>
          </w:p>
        </w:tc>
        <w:tc>
          <w:tcPr>
            <w:tcW w:w="667" w:type="pct"/>
            <w:tcBorders>
              <w:tl2br w:val="nil"/>
              <w:tr2bl w:val="nil"/>
            </w:tcBorders>
            <w:vAlign w:val="center"/>
          </w:tcPr>
          <w:p w14:paraId="3A4E2804">
            <w:pPr>
              <w:widowControl/>
              <w:jc w:val="center"/>
              <w:rPr>
                <w:rFonts w:eastAsia="仿宋_GB2312"/>
                <w:color w:val="auto"/>
                <w:kern w:val="0"/>
                <w:szCs w:val="21"/>
              </w:rPr>
            </w:pPr>
            <w:r>
              <w:rPr>
                <w:rFonts w:eastAsia="仿宋_GB2312"/>
                <w:color w:val="auto"/>
                <w:kern w:val="0"/>
                <w:szCs w:val="21"/>
              </w:rPr>
              <w:t>1500</w:t>
            </w:r>
          </w:p>
        </w:tc>
        <w:tc>
          <w:tcPr>
            <w:tcW w:w="2047" w:type="pct"/>
            <w:tcBorders>
              <w:tl2br w:val="nil"/>
              <w:tr2bl w:val="nil"/>
            </w:tcBorders>
            <w:vAlign w:val="center"/>
          </w:tcPr>
          <w:p w14:paraId="6361E69C">
            <w:pPr>
              <w:widowControl/>
              <w:jc w:val="left"/>
              <w:rPr>
                <w:rFonts w:eastAsia="仿宋_GB2312"/>
                <w:color w:val="auto"/>
                <w:kern w:val="0"/>
                <w:szCs w:val="21"/>
              </w:rPr>
            </w:pPr>
            <w:r>
              <w:rPr>
                <w:rFonts w:eastAsia="仿宋_GB2312"/>
                <w:color w:val="auto"/>
                <w:kern w:val="0"/>
                <w:szCs w:val="21"/>
              </w:rPr>
              <w:t>全厂丙类及以下次生危废</w:t>
            </w:r>
          </w:p>
        </w:tc>
      </w:tr>
    </w:tbl>
    <w:p w14:paraId="5A1831E8">
      <w:pPr>
        <w:rPr>
          <w:rFonts w:eastAsia="仿宋_GB2312"/>
          <w:color w:val="FF0000"/>
          <w:sz w:val="28"/>
          <w:szCs w:val="28"/>
        </w:rPr>
      </w:pPr>
      <w:r>
        <w:rPr>
          <w:rFonts w:eastAsia="仿宋_GB2312"/>
          <w:color w:val="FF0000"/>
          <w:sz w:val="28"/>
          <w:szCs w:val="28"/>
        </w:rPr>
        <w:br w:type="page"/>
      </w:r>
    </w:p>
    <w:p w14:paraId="21BC199F">
      <w:pPr>
        <w:pStyle w:val="7"/>
        <w:keepLines w:val="0"/>
        <w:widowControl/>
        <w:adjustRightInd w:val="0"/>
        <w:snapToGrid w:val="0"/>
        <w:spacing w:after="60" w:afterLines="25"/>
        <w:jc w:val="left"/>
        <w:rPr>
          <w:rFonts w:ascii="Times New Roman" w:hAnsi="Times New Roman"/>
          <w:b/>
          <w:color w:val="auto"/>
        </w:rPr>
      </w:pPr>
      <w:r>
        <w:rPr>
          <w:rFonts w:ascii="Times New Roman" w:hAnsi="Times New Roman"/>
          <w:b/>
          <w:color w:val="auto"/>
        </w:rPr>
        <w:t>3.2.</w:t>
      </w:r>
      <w:r>
        <w:rPr>
          <w:rFonts w:hint="eastAsia" w:ascii="Times New Roman" w:hAnsi="Times New Roman"/>
          <w:b/>
          <w:color w:val="auto"/>
        </w:rPr>
        <w:t>3</w:t>
      </w:r>
      <w:r>
        <w:rPr>
          <w:rFonts w:ascii="Times New Roman" w:hAnsi="Times New Roman"/>
          <w:b/>
          <w:color w:val="auto"/>
        </w:rPr>
        <w:t>.4危废入厂及生产过程控制</w:t>
      </w:r>
    </w:p>
    <w:p w14:paraId="67F44419">
      <w:pPr>
        <w:spacing w:line="500" w:lineRule="exact"/>
        <w:ind w:firstLine="560" w:firstLineChars="200"/>
        <w:rPr>
          <w:rFonts w:eastAsia="仿宋_GB2312"/>
          <w:color w:val="auto"/>
          <w:sz w:val="28"/>
          <w:szCs w:val="28"/>
        </w:rPr>
      </w:pPr>
      <w:r>
        <w:rPr>
          <w:rFonts w:eastAsia="仿宋_GB2312"/>
          <w:color w:val="auto"/>
          <w:sz w:val="28"/>
          <w:szCs w:val="28"/>
        </w:rPr>
        <w:t>根据废液可回收价值、工艺要求及环保监管三方面要求，企业制定了相应的危废入厂控制制度。</w:t>
      </w:r>
    </w:p>
    <w:p w14:paraId="20E57216">
      <w:pPr>
        <w:spacing w:line="500" w:lineRule="exact"/>
        <w:ind w:firstLine="560" w:firstLineChars="200"/>
        <w:rPr>
          <w:rFonts w:eastAsia="仿宋_GB2312"/>
          <w:color w:val="auto"/>
          <w:sz w:val="28"/>
          <w:szCs w:val="28"/>
        </w:rPr>
      </w:pPr>
      <w:r>
        <w:rPr>
          <w:rFonts w:eastAsia="仿宋_GB2312"/>
          <w:color w:val="auto"/>
          <w:sz w:val="28"/>
          <w:szCs w:val="28"/>
        </w:rPr>
        <w:t>1、合同签订阶段</w:t>
      </w:r>
    </w:p>
    <w:p w14:paraId="1D568B43">
      <w:pPr>
        <w:spacing w:line="500" w:lineRule="exact"/>
        <w:ind w:firstLine="560" w:firstLineChars="200"/>
        <w:rPr>
          <w:rFonts w:eastAsia="仿宋_GB2312"/>
          <w:color w:val="auto"/>
          <w:sz w:val="28"/>
          <w:szCs w:val="28"/>
        </w:rPr>
      </w:pPr>
      <w:r>
        <w:rPr>
          <w:rFonts w:eastAsia="仿宋_GB2312"/>
          <w:color w:val="auto"/>
          <w:sz w:val="28"/>
          <w:szCs w:val="28"/>
        </w:rPr>
        <w:t>在危废处置合同签订前，对拟接收危废进行取样分析，评估其处置的可行性，属于负面清单（见下文）中的危废不予接受。确认在企业处置能力范围之内的，允许签订危险废物处置合同。</w:t>
      </w:r>
    </w:p>
    <w:p w14:paraId="1C2957F1">
      <w:pPr>
        <w:spacing w:line="500" w:lineRule="exact"/>
        <w:ind w:firstLine="560" w:firstLineChars="200"/>
        <w:rPr>
          <w:rFonts w:eastAsia="仿宋_GB2312"/>
          <w:color w:val="auto"/>
          <w:sz w:val="28"/>
          <w:szCs w:val="28"/>
        </w:rPr>
      </w:pPr>
      <w:r>
        <w:rPr>
          <w:rFonts w:eastAsia="仿宋_GB2312"/>
          <w:color w:val="auto"/>
          <w:sz w:val="28"/>
          <w:szCs w:val="28"/>
        </w:rPr>
        <w:t>2、入厂检验分析</w:t>
      </w:r>
    </w:p>
    <w:p w14:paraId="791F80C7">
      <w:pPr>
        <w:spacing w:line="500" w:lineRule="exact"/>
        <w:ind w:firstLine="560" w:firstLineChars="200"/>
        <w:rPr>
          <w:rFonts w:eastAsia="仿宋_GB2312"/>
          <w:color w:val="auto"/>
          <w:sz w:val="28"/>
          <w:szCs w:val="28"/>
        </w:rPr>
      </w:pPr>
      <w:r>
        <w:rPr>
          <w:rFonts w:eastAsia="仿宋_GB2312"/>
          <w:color w:val="auto"/>
          <w:sz w:val="28"/>
          <w:szCs w:val="28"/>
        </w:rPr>
        <w:t>危废入厂前，企业需核对危废8位代码，并对</w:t>
      </w:r>
      <w:r>
        <w:rPr>
          <w:rFonts w:hint="eastAsia" w:eastAsia="仿宋_GB2312"/>
          <w:color w:val="auto"/>
          <w:sz w:val="28"/>
          <w:szCs w:val="28"/>
        </w:rPr>
        <w:t>入厂的每只废液包装桶</w:t>
      </w:r>
      <w:r>
        <w:rPr>
          <w:rFonts w:eastAsia="仿宋_GB2312"/>
          <w:color w:val="auto"/>
          <w:sz w:val="28"/>
          <w:szCs w:val="28"/>
        </w:rPr>
        <w:t>进行采样及入厂检验分析，对危废成分进行核实和确认。如采样结果与原始样品不一致或超出本单位处置范围内的，予以退回。</w:t>
      </w:r>
    </w:p>
    <w:p w14:paraId="489C5664">
      <w:pPr>
        <w:pStyle w:val="162"/>
        <w:spacing w:line="480" w:lineRule="exact"/>
        <w:ind w:firstLine="0" w:firstLineChars="0"/>
        <w:rPr>
          <w:rFonts w:ascii="Times New Roman"/>
          <w:color w:val="auto"/>
        </w:rPr>
      </w:pPr>
      <w:r>
        <w:rPr>
          <w:rFonts w:ascii="Times New Roman"/>
          <w:color w:val="auto"/>
        </w:rPr>
        <w:t>表3.2-</w:t>
      </w:r>
      <w:r>
        <w:rPr>
          <w:rFonts w:hint="eastAsia" w:ascii="Times New Roman"/>
          <w:color w:val="auto"/>
        </w:rPr>
        <w:t>6</w:t>
      </w:r>
      <w:r>
        <w:rPr>
          <w:rFonts w:ascii="Times New Roman"/>
          <w:color w:val="auto"/>
        </w:rPr>
        <w:t xml:space="preserve">  入厂检验分析指标</w:t>
      </w:r>
    </w:p>
    <w:tbl>
      <w:tblPr>
        <w:tblStyle w:val="88"/>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74"/>
        <w:gridCol w:w="1524"/>
        <w:gridCol w:w="6325"/>
      </w:tblGrid>
      <w:tr w14:paraId="207CD0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95" w:type="pct"/>
            <w:vAlign w:val="center"/>
          </w:tcPr>
          <w:p w14:paraId="30AB1D29">
            <w:pPr>
              <w:jc w:val="center"/>
              <w:rPr>
                <w:rFonts w:eastAsia="仿宋_GB2312"/>
                <w:b/>
                <w:color w:val="auto"/>
                <w:kern w:val="0"/>
                <w:szCs w:val="21"/>
              </w:rPr>
            </w:pPr>
            <w:r>
              <w:rPr>
                <w:rFonts w:eastAsia="仿宋_GB2312"/>
                <w:b/>
                <w:color w:val="auto"/>
                <w:kern w:val="0"/>
                <w:szCs w:val="21"/>
              </w:rPr>
              <w:t>序号</w:t>
            </w:r>
          </w:p>
        </w:tc>
        <w:tc>
          <w:tcPr>
            <w:tcW w:w="894" w:type="pct"/>
            <w:vAlign w:val="center"/>
          </w:tcPr>
          <w:p w14:paraId="2F8A77C6">
            <w:pPr>
              <w:jc w:val="center"/>
              <w:rPr>
                <w:rFonts w:eastAsia="仿宋_GB2312"/>
                <w:b/>
                <w:color w:val="auto"/>
                <w:kern w:val="0"/>
                <w:szCs w:val="21"/>
              </w:rPr>
            </w:pPr>
            <w:r>
              <w:rPr>
                <w:rFonts w:eastAsia="仿宋_GB2312"/>
                <w:b/>
                <w:color w:val="auto"/>
                <w:kern w:val="0"/>
                <w:szCs w:val="21"/>
              </w:rPr>
              <w:t>废液种类</w:t>
            </w:r>
          </w:p>
        </w:tc>
        <w:tc>
          <w:tcPr>
            <w:tcW w:w="3709" w:type="pct"/>
            <w:vAlign w:val="center"/>
          </w:tcPr>
          <w:p w14:paraId="6E21C483">
            <w:pPr>
              <w:jc w:val="center"/>
              <w:rPr>
                <w:rFonts w:eastAsia="仿宋_GB2312"/>
                <w:b/>
                <w:color w:val="FF0000"/>
                <w:kern w:val="0"/>
                <w:szCs w:val="21"/>
              </w:rPr>
            </w:pPr>
            <w:r>
              <w:rPr>
                <w:rFonts w:eastAsia="仿宋_GB2312"/>
                <w:b/>
                <w:color w:val="auto"/>
                <w:kern w:val="0"/>
                <w:szCs w:val="21"/>
              </w:rPr>
              <w:t>入厂检验指标</w:t>
            </w:r>
          </w:p>
        </w:tc>
      </w:tr>
      <w:tr w14:paraId="4B10E8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95" w:type="pct"/>
            <w:vAlign w:val="center"/>
          </w:tcPr>
          <w:p w14:paraId="6F620715">
            <w:pPr>
              <w:jc w:val="center"/>
              <w:rPr>
                <w:rFonts w:eastAsia="仿宋_GB2312"/>
                <w:color w:val="auto"/>
                <w:kern w:val="0"/>
                <w:szCs w:val="21"/>
              </w:rPr>
            </w:pPr>
            <w:r>
              <w:rPr>
                <w:rFonts w:eastAsia="仿宋_GB2312"/>
                <w:color w:val="auto"/>
                <w:kern w:val="0"/>
                <w:szCs w:val="21"/>
              </w:rPr>
              <w:t>1</w:t>
            </w:r>
          </w:p>
        </w:tc>
        <w:tc>
          <w:tcPr>
            <w:tcW w:w="894" w:type="pct"/>
            <w:vAlign w:val="center"/>
          </w:tcPr>
          <w:p w14:paraId="1EB69197">
            <w:pPr>
              <w:jc w:val="center"/>
              <w:rPr>
                <w:rFonts w:eastAsia="仿宋_GB2312"/>
                <w:color w:val="auto"/>
                <w:kern w:val="0"/>
                <w:szCs w:val="21"/>
              </w:rPr>
            </w:pPr>
            <w:r>
              <w:rPr>
                <w:rFonts w:eastAsia="仿宋_GB2312"/>
                <w:color w:val="auto"/>
                <w:kern w:val="0"/>
                <w:szCs w:val="21"/>
              </w:rPr>
              <w:t>废溶剂</w:t>
            </w:r>
          </w:p>
        </w:tc>
        <w:tc>
          <w:tcPr>
            <w:tcW w:w="3709" w:type="pct"/>
            <w:vAlign w:val="center"/>
          </w:tcPr>
          <w:p w14:paraId="5CFC0321">
            <w:pPr>
              <w:jc w:val="center"/>
              <w:rPr>
                <w:rFonts w:eastAsia="仿宋_GB2312"/>
                <w:color w:val="auto"/>
                <w:kern w:val="0"/>
                <w:szCs w:val="21"/>
              </w:rPr>
            </w:pPr>
            <w:r>
              <w:rPr>
                <w:rFonts w:eastAsia="仿宋_GB2312"/>
                <w:color w:val="auto"/>
                <w:kern w:val="0"/>
                <w:szCs w:val="21"/>
              </w:rPr>
              <w:t>pH、水分、NMP、异丙醇、丁酮、乙酸乙酯、乙酸丁酯、正庚烷、乙醇、DMF、环己烷、环己酮、乙二醇、甲苯、二甲苯、二氯甲烷、二氯乙烷、二甲基亚砜、丁醇、辛醇、碳九、苯乙烯、二乙二醇、四氢呋喃、丙二醇单甲醚、甲醇、乙腈、环戊酮、乙酸甲酯、</w:t>
            </w:r>
            <w:r>
              <w:rPr>
                <w:rFonts w:hint="eastAsia" w:eastAsia="仿宋_GB2312"/>
                <w:color w:val="auto"/>
                <w:kern w:val="0"/>
                <w:szCs w:val="21"/>
                <w:lang w:val="en-US" w:eastAsia="zh-CN"/>
              </w:rPr>
              <w:t>苯酚、异丙苯、乙酸乙烯酯、2-甲基四氢呋喃、甲基叔丁基醚、丙二醇甲醚醋酸酯、</w:t>
            </w:r>
            <w:r>
              <w:rPr>
                <w:rFonts w:eastAsia="仿宋_GB2312"/>
                <w:color w:val="auto"/>
                <w:kern w:val="0"/>
                <w:szCs w:val="21"/>
              </w:rPr>
              <w:t>不挥发份、重金属（铅、汞、铬、镉、砷）</w:t>
            </w:r>
          </w:p>
        </w:tc>
      </w:tr>
      <w:tr w14:paraId="49FFE2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95" w:type="pct"/>
            <w:vAlign w:val="center"/>
          </w:tcPr>
          <w:p w14:paraId="62B246FC">
            <w:pPr>
              <w:jc w:val="center"/>
              <w:rPr>
                <w:rFonts w:eastAsia="仿宋_GB2312"/>
                <w:color w:val="auto"/>
                <w:kern w:val="0"/>
                <w:szCs w:val="21"/>
              </w:rPr>
            </w:pPr>
            <w:r>
              <w:rPr>
                <w:rFonts w:eastAsia="仿宋_GB2312"/>
                <w:color w:val="auto"/>
                <w:kern w:val="0"/>
                <w:szCs w:val="21"/>
              </w:rPr>
              <w:t>2</w:t>
            </w:r>
          </w:p>
        </w:tc>
        <w:tc>
          <w:tcPr>
            <w:tcW w:w="894" w:type="pct"/>
            <w:vAlign w:val="center"/>
          </w:tcPr>
          <w:p w14:paraId="6C5A2F20">
            <w:pPr>
              <w:jc w:val="center"/>
              <w:rPr>
                <w:rFonts w:eastAsia="仿宋_GB2312"/>
                <w:color w:val="auto"/>
                <w:kern w:val="0"/>
                <w:szCs w:val="21"/>
              </w:rPr>
            </w:pPr>
            <w:r>
              <w:rPr>
                <w:rFonts w:eastAsia="仿宋_GB2312"/>
                <w:color w:val="auto"/>
                <w:kern w:val="0"/>
                <w:szCs w:val="21"/>
              </w:rPr>
              <w:t>低浓度有机废液</w:t>
            </w:r>
          </w:p>
        </w:tc>
        <w:tc>
          <w:tcPr>
            <w:tcW w:w="3709" w:type="pct"/>
            <w:vAlign w:val="center"/>
          </w:tcPr>
          <w:p w14:paraId="5ACEC8F2">
            <w:pPr>
              <w:jc w:val="center"/>
              <w:rPr>
                <w:rFonts w:eastAsia="仿宋_GB2312"/>
                <w:color w:val="auto"/>
                <w:kern w:val="0"/>
                <w:szCs w:val="21"/>
              </w:rPr>
            </w:pPr>
            <w:r>
              <w:rPr>
                <w:rFonts w:eastAsia="仿宋_GB2312"/>
                <w:color w:val="auto"/>
                <w:kern w:val="0"/>
                <w:szCs w:val="21"/>
              </w:rPr>
              <w:t>外观、pH、COD、电导率、氨氮、总氮、总磷、重金属（铅、汞、铬、镉、砷）</w:t>
            </w:r>
          </w:p>
        </w:tc>
      </w:tr>
      <w:tr w14:paraId="3F7079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95" w:type="pct"/>
            <w:vAlign w:val="center"/>
          </w:tcPr>
          <w:p w14:paraId="0852CEDA">
            <w:pPr>
              <w:jc w:val="center"/>
              <w:rPr>
                <w:rFonts w:hint="eastAsia" w:eastAsia="仿宋_GB2312"/>
                <w:color w:val="auto"/>
                <w:kern w:val="0"/>
                <w:szCs w:val="21"/>
                <w:lang w:val="en-US" w:eastAsia="zh-CN"/>
              </w:rPr>
            </w:pPr>
            <w:r>
              <w:rPr>
                <w:rFonts w:hint="eastAsia" w:eastAsia="仿宋_GB2312"/>
                <w:color w:val="auto"/>
                <w:kern w:val="0"/>
                <w:szCs w:val="21"/>
                <w:lang w:val="en-US" w:eastAsia="zh-CN"/>
              </w:rPr>
              <w:t>3</w:t>
            </w:r>
          </w:p>
        </w:tc>
        <w:tc>
          <w:tcPr>
            <w:tcW w:w="894" w:type="pct"/>
            <w:vAlign w:val="center"/>
          </w:tcPr>
          <w:p w14:paraId="264E6DC9">
            <w:pPr>
              <w:jc w:val="center"/>
              <w:rPr>
                <w:rFonts w:hint="default" w:eastAsia="仿宋_GB2312"/>
                <w:color w:val="auto"/>
                <w:kern w:val="0"/>
                <w:szCs w:val="21"/>
                <w:lang w:val="en-US" w:eastAsia="zh-CN"/>
              </w:rPr>
            </w:pPr>
            <w:r>
              <w:rPr>
                <w:rFonts w:hint="eastAsia" w:eastAsia="仿宋_GB2312"/>
                <w:color w:val="auto"/>
                <w:kern w:val="0"/>
                <w:szCs w:val="21"/>
                <w:lang w:val="en-US" w:eastAsia="zh-CN"/>
              </w:rPr>
              <w:t>废碱液</w:t>
            </w:r>
          </w:p>
        </w:tc>
        <w:tc>
          <w:tcPr>
            <w:tcW w:w="3709" w:type="pct"/>
            <w:vAlign w:val="center"/>
          </w:tcPr>
          <w:p w14:paraId="774E5BCC">
            <w:pPr>
              <w:jc w:val="center"/>
              <w:rPr>
                <w:rFonts w:eastAsia="仿宋_GB2312"/>
                <w:color w:val="auto"/>
                <w:kern w:val="0"/>
                <w:szCs w:val="21"/>
              </w:rPr>
            </w:pPr>
            <w:r>
              <w:rPr>
                <w:rFonts w:eastAsia="仿宋_GB2312"/>
                <w:color w:val="auto"/>
                <w:kern w:val="0"/>
                <w:szCs w:val="21"/>
              </w:rPr>
              <w:t>外观、pH、COD、电导率、氨氮、总氮、总磷、</w:t>
            </w:r>
            <w:r>
              <w:rPr>
                <w:rFonts w:hint="eastAsia" w:eastAsia="仿宋_GB2312"/>
                <w:color w:val="auto"/>
                <w:kern w:val="0"/>
                <w:szCs w:val="21"/>
                <w:lang w:val="en-US" w:eastAsia="zh-CN"/>
              </w:rPr>
              <w:t>总铜、总镍、总锌、</w:t>
            </w:r>
            <w:r>
              <w:rPr>
                <w:rFonts w:eastAsia="仿宋_GB2312"/>
                <w:color w:val="auto"/>
                <w:kern w:val="0"/>
                <w:szCs w:val="21"/>
              </w:rPr>
              <w:t>重金属（铅、汞、铬、镉、砷）</w:t>
            </w:r>
          </w:p>
        </w:tc>
      </w:tr>
    </w:tbl>
    <w:p w14:paraId="78A21D1F">
      <w:pPr>
        <w:spacing w:line="500" w:lineRule="exact"/>
        <w:ind w:firstLine="560" w:firstLineChars="200"/>
        <w:rPr>
          <w:rFonts w:eastAsia="仿宋_GB2312"/>
          <w:color w:val="auto"/>
          <w:sz w:val="28"/>
          <w:szCs w:val="28"/>
        </w:rPr>
      </w:pPr>
      <w:r>
        <w:rPr>
          <w:rFonts w:eastAsia="仿宋_GB2312"/>
          <w:color w:val="auto"/>
          <w:sz w:val="28"/>
          <w:szCs w:val="28"/>
        </w:rPr>
        <w:t>3、精馏测试</w:t>
      </w:r>
    </w:p>
    <w:p w14:paraId="7E44246C">
      <w:pPr>
        <w:spacing w:line="500" w:lineRule="exact"/>
        <w:ind w:firstLine="560" w:firstLineChars="200"/>
        <w:rPr>
          <w:rFonts w:eastAsia="仿宋_GB2312"/>
          <w:color w:val="auto"/>
          <w:sz w:val="28"/>
          <w:szCs w:val="28"/>
        </w:rPr>
      </w:pPr>
      <w:r>
        <w:rPr>
          <w:rFonts w:eastAsia="仿宋_GB2312"/>
          <w:color w:val="auto"/>
          <w:sz w:val="28"/>
          <w:szCs w:val="28"/>
        </w:rPr>
        <w:t>通过入厂检验分析明确回收的溶剂种类后，对该批次物料进行精馏测试，根据测试数据编制工艺指令单，有针对性的确定精馏各段工艺参数，降低废液来源品质变化对产品质量的影响，确保生产的稳定性和回收产品的可靠性。</w:t>
      </w:r>
    </w:p>
    <w:p w14:paraId="17362E4F">
      <w:pPr>
        <w:spacing w:line="500" w:lineRule="exact"/>
        <w:ind w:firstLine="560" w:firstLineChars="200"/>
        <w:rPr>
          <w:rFonts w:eastAsia="仿宋_GB2312"/>
          <w:color w:val="auto"/>
          <w:sz w:val="28"/>
          <w:szCs w:val="28"/>
        </w:rPr>
      </w:pPr>
      <w:r>
        <w:rPr>
          <w:rFonts w:eastAsia="仿宋_GB2312"/>
          <w:color w:val="auto"/>
          <w:sz w:val="28"/>
          <w:szCs w:val="28"/>
        </w:rPr>
        <w:t>产品质量检验与危废进厂分析</w:t>
      </w:r>
      <w:r>
        <w:rPr>
          <w:rFonts w:hint="eastAsia" w:eastAsia="仿宋_GB2312"/>
          <w:color w:val="auto"/>
          <w:sz w:val="28"/>
          <w:szCs w:val="28"/>
          <w:lang w:val="en-US" w:eastAsia="zh-CN"/>
        </w:rPr>
        <w:t>依托现有</w:t>
      </w:r>
      <w:r>
        <w:rPr>
          <w:rFonts w:eastAsia="仿宋_GB2312"/>
          <w:color w:val="auto"/>
          <w:sz w:val="28"/>
          <w:szCs w:val="28"/>
        </w:rPr>
        <w:t>分析实验室</w:t>
      </w:r>
      <w:r>
        <w:rPr>
          <w:rFonts w:hint="eastAsia" w:eastAsia="仿宋_GB2312"/>
          <w:color w:val="auto"/>
          <w:sz w:val="28"/>
          <w:szCs w:val="28"/>
          <w:lang w:eastAsia="zh-CN"/>
        </w:rPr>
        <w:t>，</w:t>
      </w:r>
      <w:r>
        <w:rPr>
          <w:rFonts w:eastAsia="仿宋_GB2312"/>
          <w:color w:val="auto"/>
          <w:sz w:val="28"/>
          <w:szCs w:val="28"/>
        </w:rPr>
        <w:t>实验室设备</w:t>
      </w:r>
      <w:r>
        <w:rPr>
          <w:rFonts w:hint="eastAsia" w:eastAsia="仿宋_GB2312"/>
          <w:color w:val="auto"/>
          <w:sz w:val="28"/>
          <w:szCs w:val="28"/>
          <w:lang w:val="en-US" w:eastAsia="zh-CN"/>
        </w:rPr>
        <w:t>和</w:t>
      </w:r>
      <w:r>
        <w:rPr>
          <w:rFonts w:eastAsia="仿宋_GB2312"/>
          <w:color w:val="auto"/>
          <w:sz w:val="28"/>
          <w:szCs w:val="28"/>
        </w:rPr>
        <w:t>仪器建设内容见</w:t>
      </w:r>
      <w:r>
        <w:rPr>
          <w:rFonts w:hint="eastAsia" w:eastAsia="仿宋_GB2312"/>
          <w:color w:val="auto"/>
          <w:sz w:val="28"/>
          <w:szCs w:val="28"/>
        </w:rPr>
        <w:t>下表</w:t>
      </w:r>
      <w:r>
        <w:rPr>
          <w:rFonts w:eastAsia="仿宋_GB2312"/>
          <w:color w:val="auto"/>
          <w:sz w:val="28"/>
          <w:szCs w:val="28"/>
        </w:rPr>
        <w:t>。</w:t>
      </w:r>
    </w:p>
    <w:p w14:paraId="7A4EC259">
      <w:pPr>
        <w:spacing w:line="500" w:lineRule="exact"/>
        <w:ind w:firstLine="560" w:firstLineChars="200"/>
        <w:rPr>
          <w:rFonts w:eastAsia="仿宋_GB2312"/>
          <w:color w:val="auto"/>
          <w:sz w:val="28"/>
          <w:szCs w:val="28"/>
        </w:rPr>
      </w:pPr>
    </w:p>
    <w:p w14:paraId="4992A5E7">
      <w:pPr>
        <w:spacing w:line="500" w:lineRule="exact"/>
        <w:ind w:firstLine="560" w:firstLineChars="200"/>
        <w:rPr>
          <w:rFonts w:eastAsia="仿宋_GB2312"/>
          <w:color w:val="auto"/>
          <w:sz w:val="28"/>
          <w:szCs w:val="28"/>
        </w:rPr>
      </w:pPr>
    </w:p>
    <w:p w14:paraId="149B55E8">
      <w:pPr>
        <w:pStyle w:val="162"/>
        <w:spacing w:line="480" w:lineRule="exact"/>
        <w:ind w:firstLine="0" w:firstLineChars="0"/>
        <w:rPr>
          <w:rFonts w:ascii="Times New Roman"/>
          <w:color w:val="auto"/>
        </w:rPr>
      </w:pPr>
      <w:r>
        <w:rPr>
          <w:rFonts w:ascii="Times New Roman"/>
          <w:color w:val="auto"/>
        </w:rPr>
        <w:t>表3.2-</w:t>
      </w:r>
      <w:r>
        <w:rPr>
          <w:rFonts w:hint="eastAsia" w:ascii="Times New Roman"/>
          <w:color w:val="auto"/>
        </w:rPr>
        <w:t>7</w:t>
      </w:r>
      <w:r>
        <w:rPr>
          <w:rFonts w:ascii="Times New Roman"/>
          <w:color w:val="auto"/>
        </w:rPr>
        <w:t xml:space="preserve">  实验室建设内容</w:t>
      </w:r>
    </w:p>
    <w:tbl>
      <w:tblPr>
        <w:tblStyle w:val="88"/>
        <w:tblW w:w="8608"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15" w:type="dxa"/>
          <w:left w:w="15" w:type="dxa"/>
          <w:bottom w:w="15" w:type="dxa"/>
          <w:right w:w="15" w:type="dxa"/>
        </w:tblCellMar>
      </w:tblPr>
      <w:tblGrid>
        <w:gridCol w:w="819"/>
        <w:gridCol w:w="1981"/>
        <w:gridCol w:w="1513"/>
        <w:gridCol w:w="692"/>
        <w:gridCol w:w="1831"/>
        <w:gridCol w:w="1772"/>
      </w:tblGrid>
      <w:tr w14:paraId="46BC37C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340" w:hRule="atLeast"/>
          <w:jc w:val="center"/>
        </w:trPr>
        <w:tc>
          <w:tcPr>
            <w:tcW w:w="819" w:type="dxa"/>
            <w:vAlign w:val="center"/>
          </w:tcPr>
          <w:p w14:paraId="263B6A84">
            <w:pPr>
              <w:jc w:val="center"/>
              <w:rPr>
                <w:rFonts w:eastAsia="仿宋_GB2312"/>
                <w:b/>
                <w:color w:val="auto"/>
                <w:kern w:val="0"/>
                <w:szCs w:val="21"/>
              </w:rPr>
            </w:pPr>
            <w:r>
              <w:rPr>
                <w:rFonts w:eastAsia="仿宋_GB2312"/>
                <w:b/>
                <w:color w:val="auto"/>
                <w:kern w:val="0"/>
                <w:szCs w:val="21"/>
              </w:rPr>
              <w:t>序号</w:t>
            </w:r>
          </w:p>
        </w:tc>
        <w:tc>
          <w:tcPr>
            <w:tcW w:w="1981" w:type="dxa"/>
            <w:vAlign w:val="center"/>
          </w:tcPr>
          <w:p w14:paraId="50721D7F">
            <w:pPr>
              <w:jc w:val="center"/>
              <w:rPr>
                <w:rFonts w:eastAsia="仿宋_GB2312"/>
                <w:b/>
                <w:color w:val="auto"/>
                <w:kern w:val="0"/>
                <w:szCs w:val="21"/>
              </w:rPr>
            </w:pPr>
            <w:r>
              <w:rPr>
                <w:rFonts w:eastAsia="仿宋_GB2312"/>
                <w:b/>
                <w:color w:val="auto"/>
                <w:kern w:val="0"/>
                <w:szCs w:val="21"/>
              </w:rPr>
              <w:t>仪器名称</w:t>
            </w:r>
          </w:p>
        </w:tc>
        <w:tc>
          <w:tcPr>
            <w:tcW w:w="1513" w:type="dxa"/>
            <w:vAlign w:val="center"/>
          </w:tcPr>
          <w:p w14:paraId="44E27F48">
            <w:pPr>
              <w:jc w:val="center"/>
              <w:rPr>
                <w:rFonts w:eastAsia="仿宋_GB2312"/>
                <w:b/>
                <w:color w:val="auto"/>
                <w:kern w:val="0"/>
                <w:szCs w:val="21"/>
              </w:rPr>
            </w:pPr>
            <w:r>
              <w:rPr>
                <w:rFonts w:eastAsia="仿宋_GB2312"/>
                <w:b/>
                <w:color w:val="auto"/>
                <w:kern w:val="0"/>
                <w:szCs w:val="21"/>
              </w:rPr>
              <w:t>型号</w:t>
            </w:r>
          </w:p>
        </w:tc>
        <w:tc>
          <w:tcPr>
            <w:tcW w:w="692" w:type="dxa"/>
            <w:vAlign w:val="center"/>
          </w:tcPr>
          <w:p w14:paraId="4039C772">
            <w:pPr>
              <w:jc w:val="center"/>
              <w:rPr>
                <w:rFonts w:eastAsia="仿宋_GB2312"/>
                <w:b/>
                <w:color w:val="auto"/>
                <w:kern w:val="0"/>
                <w:szCs w:val="21"/>
              </w:rPr>
            </w:pPr>
            <w:r>
              <w:rPr>
                <w:rFonts w:eastAsia="仿宋_GB2312"/>
                <w:b/>
                <w:color w:val="auto"/>
                <w:kern w:val="0"/>
                <w:szCs w:val="21"/>
              </w:rPr>
              <w:t>数量</w:t>
            </w:r>
          </w:p>
        </w:tc>
        <w:tc>
          <w:tcPr>
            <w:tcW w:w="1831" w:type="dxa"/>
            <w:vAlign w:val="center"/>
          </w:tcPr>
          <w:p w14:paraId="03A53589">
            <w:pPr>
              <w:jc w:val="center"/>
              <w:rPr>
                <w:rFonts w:eastAsia="仿宋_GB2312"/>
                <w:b/>
                <w:color w:val="auto"/>
                <w:kern w:val="0"/>
                <w:szCs w:val="21"/>
              </w:rPr>
            </w:pPr>
            <w:r>
              <w:rPr>
                <w:rFonts w:eastAsia="仿宋_GB2312"/>
                <w:b/>
                <w:color w:val="auto"/>
                <w:kern w:val="0"/>
                <w:szCs w:val="21"/>
              </w:rPr>
              <w:t>检测指标</w:t>
            </w:r>
          </w:p>
        </w:tc>
        <w:tc>
          <w:tcPr>
            <w:tcW w:w="1772" w:type="dxa"/>
            <w:vAlign w:val="center"/>
          </w:tcPr>
          <w:p w14:paraId="7403896E">
            <w:pPr>
              <w:jc w:val="center"/>
              <w:rPr>
                <w:rFonts w:eastAsia="仿宋_GB2312"/>
                <w:b/>
                <w:color w:val="auto"/>
                <w:kern w:val="0"/>
                <w:szCs w:val="21"/>
              </w:rPr>
            </w:pPr>
            <w:r>
              <w:rPr>
                <w:rFonts w:eastAsia="仿宋_GB2312"/>
                <w:b/>
                <w:color w:val="auto"/>
                <w:kern w:val="0"/>
                <w:szCs w:val="21"/>
              </w:rPr>
              <w:t>精度及测量范围</w:t>
            </w:r>
          </w:p>
        </w:tc>
      </w:tr>
      <w:tr w14:paraId="614BDC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340" w:hRule="atLeast"/>
          <w:jc w:val="center"/>
        </w:trPr>
        <w:tc>
          <w:tcPr>
            <w:tcW w:w="819" w:type="dxa"/>
            <w:vAlign w:val="center"/>
          </w:tcPr>
          <w:p w14:paraId="3DB56A3F">
            <w:pPr>
              <w:jc w:val="center"/>
              <w:rPr>
                <w:rFonts w:eastAsia="仿宋_GB2312"/>
                <w:color w:val="auto"/>
                <w:kern w:val="0"/>
                <w:szCs w:val="21"/>
              </w:rPr>
            </w:pPr>
            <w:r>
              <w:rPr>
                <w:rFonts w:eastAsia="仿宋_GB2312"/>
                <w:color w:val="auto"/>
                <w:kern w:val="0"/>
                <w:szCs w:val="21"/>
              </w:rPr>
              <w:t>1</w:t>
            </w:r>
          </w:p>
        </w:tc>
        <w:tc>
          <w:tcPr>
            <w:tcW w:w="1981" w:type="dxa"/>
            <w:vAlign w:val="center"/>
          </w:tcPr>
          <w:p w14:paraId="73B9C442">
            <w:pPr>
              <w:jc w:val="center"/>
              <w:rPr>
                <w:rFonts w:eastAsia="仿宋_GB2312"/>
                <w:color w:val="auto"/>
                <w:kern w:val="0"/>
                <w:szCs w:val="21"/>
              </w:rPr>
            </w:pPr>
            <w:r>
              <w:rPr>
                <w:rFonts w:eastAsia="仿宋_GB2312"/>
                <w:color w:val="auto"/>
                <w:kern w:val="0"/>
                <w:szCs w:val="21"/>
              </w:rPr>
              <w:t>卤素水份测定仪</w:t>
            </w:r>
          </w:p>
        </w:tc>
        <w:tc>
          <w:tcPr>
            <w:tcW w:w="1513" w:type="dxa"/>
            <w:vAlign w:val="center"/>
          </w:tcPr>
          <w:p w14:paraId="38AAFBDB">
            <w:pPr>
              <w:jc w:val="center"/>
              <w:rPr>
                <w:rFonts w:eastAsia="仿宋_GB2312"/>
                <w:color w:val="auto"/>
                <w:kern w:val="0"/>
                <w:szCs w:val="21"/>
              </w:rPr>
            </w:pPr>
            <w:r>
              <w:rPr>
                <w:rFonts w:eastAsia="仿宋_GB2312"/>
                <w:color w:val="auto"/>
                <w:kern w:val="0"/>
                <w:szCs w:val="21"/>
              </w:rPr>
              <w:t>HB43-S</w:t>
            </w:r>
          </w:p>
        </w:tc>
        <w:tc>
          <w:tcPr>
            <w:tcW w:w="692" w:type="dxa"/>
            <w:vAlign w:val="center"/>
          </w:tcPr>
          <w:p w14:paraId="128CDF59">
            <w:pPr>
              <w:jc w:val="center"/>
              <w:rPr>
                <w:rFonts w:eastAsia="仿宋_GB2312"/>
                <w:color w:val="auto"/>
                <w:kern w:val="0"/>
                <w:szCs w:val="21"/>
              </w:rPr>
            </w:pPr>
            <w:r>
              <w:rPr>
                <w:rFonts w:eastAsia="仿宋_GB2312"/>
                <w:color w:val="auto"/>
                <w:kern w:val="0"/>
                <w:szCs w:val="21"/>
              </w:rPr>
              <w:t>1</w:t>
            </w:r>
          </w:p>
        </w:tc>
        <w:tc>
          <w:tcPr>
            <w:tcW w:w="1831" w:type="dxa"/>
            <w:vAlign w:val="center"/>
          </w:tcPr>
          <w:p w14:paraId="41610431">
            <w:pPr>
              <w:jc w:val="center"/>
              <w:rPr>
                <w:rFonts w:eastAsia="仿宋_GB2312"/>
                <w:color w:val="auto"/>
                <w:kern w:val="0"/>
                <w:szCs w:val="21"/>
              </w:rPr>
            </w:pPr>
            <w:r>
              <w:rPr>
                <w:rFonts w:eastAsia="仿宋_GB2312"/>
                <w:color w:val="auto"/>
                <w:kern w:val="0"/>
                <w:szCs w:val="21"/>
              </w:rPr>
              <w:t>水分</w:t>
            </w:r>
          </w:p>
        </w:tc>
        <w:tc>
          <w:tcPr>
            <w:tcW w:w="1772" w:type="dxa"/>
            <w:vAlign w:val="center"/>
          </w:tcPr>
          <w:p w14:paraId="41EAA1BE">
            <w:pPr>
              <w:jc w:val="center"/>
              <w:rPr>
                <w:rFonts w:eastAsia="仿宋_GB2312"/>
                <w:color w:val="auto"/>
                <w:kern w:val="0"/>
                <w:szCs w:val="21"/>
              </w:rPr>
            </w:pPr>
            <w:r>
              <w:rPr>
                <w:rFonts w:eastAsia="仿宋_GB2312"/>
                <w:color w:val="auto"/>
                <w:kern w:val="0"/>
                <w:szCs w:val="21"/>
              </w:rPr>
              <w:t>0.01（0-100）</w:t>
            </w:r>
          </w:p>
        </w:tc>
      </w:tr>
      <w:tr w14:paraId="60D0F3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340" w:hRule="atLeast"/>
          <w:jc w:val="center"/>
        </w:trPr>
        <w:tc>
          <w:tcPr>
            <w:tcW w:w="819" w:type="dxa"/>
            <w:vAlign w:val="center"/>
          </w:tcPr>
          <w:p w14:paraId="36692C53">
            <w:pPr>
              <w:jc w:val="center"/>
              <w:rPr>
                <w:rFonts w:eastAsia="仿宋_GB2312"/>
                <w:color w:val="auto"/>
                <w:kern w:val="0"/>
                <w:szCs w:val="21"/>
              </w:rPr>
            </w:pPr>
            <w:r>
              <w:rPr>
                <w:rFonts w:eastAsia="仿宋_GB2312"/>
                <w:color w:val="auto"/>
                <w:kern w:val="0"/>
                <w:szCs w:val="21"/>
              </w:rPr>
              <w:t>2</w:t>
            </w:r>
          </w:p>
        </w:tc>
        <w:tc>
          <w:tcPr>
            <w:tcW w:w="1981" w:type="dxa"/>
            <w:vAlign w:val="center"/>
          </w:tcPr>
          <w:p w14:paraId="7BD64D42">
            <w:pPr>
              <w:jc w:val="center"/>
              <w:rPr>
                <w:rFonts w:eastAsia="仿宋_GB2312"/>
                <w:color w:val="auto"/>
                <w:kern w:val="0"/>
                <w:szCs w:val="21"/>
              </w:rPr>
            </w:pPr>
            <w:r>
              <w:rPr>
                <w:rFonts w:eastAsia="仿宋_GB2312"/>
                <w:color w:val="auto"/>
                <w:kern w:val="0"/>
                <w:szCs w:val="21"/>
              </w:rPr>
              <w:t>数显电导率仪</w:t>
            </w:r>
          </w:p>
        </w:tc>
        <w:tc>
          <w:tcPr>
            <w:tcW w:w="1513" w:type="dxa"/>
            <w:vAlign w:val="center"/>
          </w:tcPr>
          <w:p w14:paraId="675EC666">
            <w:pPr>
              <w:jc w:val="center"/>
              <w:rPr>
                <w:rFonts w:eastAsia="仿宋_GB2312"/>
                <w:color w:val="auto"/>
                <w:kern w:val="0"/>
                <w:szCs w:val="21"/>
              </w:rPr>
            </w:pPr>
            <w:r>
              <w:rPr>
                <w:rFonts w:eastAsia="仿宋_GB2312"/>
                <w:color w:val="auto"/>
                <w:kern w:val="0"/>
                <w:szCs w:val="21"/>
              </w:rPr>
              <w:t>DDS-11A型</w:t>
            </w:r>
          </w:p>
        </w:tc>
        <w:tc>
          <w:tcPr>
            <w:tcW w:w="692" w:type="dxa"/>
            <w:vAlign w:val="center"/>
          </w:tcPr>
          <w:p w14:paraId="39EE26C6">
            <w:pPr>
              <w:jc w:val="center"/>
              <w:rPr>
                <w:rFonts w:eastAsia="仿宋_GB2312"/>
                <w:color w:val="auto"/>
                <w:kern w:val="0"/>
                <w:szCs w:val="21"/>
              </w:rPr>
            </w:pPr>
            <w:r>
              <w:rPr>
                <w:rFonts w:eastAsia="仿宋_GB2312"/>
                <w:color w:val="auto"/>
                <w:kern w:val="0"/>
                <w:szCs w:val="21"/>
              </w:rPr>
              <w:t>1</w:t>
            </w:r>
          </w:p>
        </w:tc>
        <w:tc>
          <w:tcPr>
            <w:tcW w:w="1831" w:type="dxa"/>
            <w:vAlign w:val="center"/>
          </w:tcPr>
          <w:p w14:paraId="00524D1B">
            <w:pPr>
              <w:jc w:val="center"/>
              <w:rPr>
                <w:rFonts w:eastAsia="仿宋_GB2312"/>
                <w:color w:val="auto"/>
                <w:kern w:val="0"/>
                <w:szCs w:val="21"/>
              </w:rPr>
            </w:pPr>
            <w:r>
              <w:rPr>
                <w:rFonts w:eastAsia="仿宋_GB2312"/>
                <w:color w:val="auto"/>
                <w:kern w:val="0"/>
                <w:szCs w:val="21"/>
              </w:rPr>
              <w:t>样品电导</w:t>
            </w:r>
          </w:p>
        </w:tc>
        <w:tc>
          <w:tcPr>
            <w:tcW w:w="1772" w:type="dxa"/>
            <w:vAlign w:val="center"/>
          </w:tcPr>
          <w:p w14:paraId="7064A9BF">
            <w:pPr>
              <w:jc w:val="center"/>
              <w:rPr>
                <w:rFonts w:eastAsia="仿宋_GB2312"/>
                <w:color w:val="auto"/>
                <w:kern w:val="0"/>
                <w:szCs w:val="21"/>
              </w:rPr>
            </w:pPr>
            <w:r>
              <w:rPr>
                <w:rFonts w:eastAsia="仿宋_GB2312"/>
                <w:color w:val="auto"/>
                <w:kern w:val="0"/>
                <w:szCs w:val="21"/>
              </w:rPr>
              <w:t>0.02（0-10000）</w:t>
            </w:r>
          </w:p>
        </w:tc>
      </w:tr>
      <w:tr w14:paraId="5A6B3B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340" w:hRule="atLeast"/>
          <w:jc w:val="center"/>
        </w:trPr>
        <w:tc>
          <w:tcPr>
            <w:tcW w:w="819" w:type="dxa"/>
            <w:vAlign w:val="center"/>
          </w:tcPr>
          <w:p w14:paraId="4B11F2CA">
            <w:pPr>
              <w:jc w:val="center"/>
              <w:rPr>
                <w:rFonts w:eastAsia="仿宋_GB2312"/>
                <w:color w:val="auto"/>
                <w:kern w:val="0"/>
                <w:szCs w:val="21"/>
              </w:rPr>
            </w:pPr>
            <w:r>
              <w:rPr>
                <w:rFonts w:eastAsia="仿宋_GB2312"/>
                <w:color w:val="auto"/>
                <w:kern w:val="0"/>
                <w:szCs w:val="21"/>
              </w:rPr>
              <w:t>3</w:t>
            </w:r>
          </w:p>
        </w:tc>
        <w:tc>
          <w:tcPr>
            <w:tcW w:w="1981" w:type="dxa"/>
            <w:vAlign w:val="center"/>
          </w:tcPr>
          <w:p w14:paraId="0A9BFCDD">
            <w:pPr>
              <w:jc w:val="center"/>
              <w:rPr>
                <w:rFonts w:eastAsia="仿宋_GB2312"/>
                <w:color w:val="auto"/>
                <w:kern w:val="0"/>
                <w:szCs w:val="21"/>
              </w:rPr>
            </w:pPr>
            <w:r>
              <w:rPr>
                <w:rFonts w:eastAsia="仿宋_GB2312"/>
                <w:color w:val="auto"/>
                <w:kern w:val="0"/>
                <w:szCs w:val="21"/>
              </w:rPr>
              <w:t>黏度计</w:t>
            </w:r>
          </w:p>
        </w:tc>
        <w:tc>
          <w:tcPr>
            <w:tcW w:w="1513" w:type="dxa"/>
            <w:vAlign w:val="center"/>
          </w:tcPr>
          <w:p w14:paraId="1D4056B8">
            <w:pPr>
              <w:jc w:val="center"/>
              <w:rPr>
                <w:rFonts w:eastAsia="仿宋_GB2312"/>
                <w:color w:val="auto"/>
                <w:kern w:val="0"/>
                <w:szCs w:val="21"/>
              </w:rPr>
            </w:pPr>
            <w:r>
              <w:rPr>
                <w:rFonts w:eastAsia="仿宋_GB2312"/>
                <w:color w:val="auto"/>
                <w:kern w:val="0"/>
                <w:szCs w:val="21"/>
              </w:rPr>
              <w:t>LVDV-2+PRO</w:t>
            </w:r>
          </w:p>
        </w:tc>
        <w:tc>
          <w:tcPr>
            <w:tcW w:w="692" w:type="dxa"/>
            <w:vAlign w:val="center"/>
          </w:tcPr>
          <w:p w14:paraId="484B9FAB">
            <w:pPr>
              <w:jc w:val="center"/>
              <w:rPr>
                <w:rFonts w:eastAsia="仿宋_GB2312"/>
                <w:color w:val="auto"/>
                <w:kern w:val="0"/>
                <w:szCs w:val="21"/>
              </w:rPr>
            </w:pPr>
            <w:r>
              <w:rPr>
                <w:rFonts w:eastAsia="仿宋_GB2312"/>
                <w:color w:val="auto"/>
                <w:kern w:val="0"/>
                <w:szCs w:val="21"/>
              </w:rPr>
              <w:t>1</w:t>
            </w:r>
          </w:p>
        </w:tc>
        <w:tc>
          <w:tcPr>
            <w:tcW w:w="1831" w:type="dxa"/>
            <w:vAlign w:val="center"/>
          </w:tcPr>
          <w:p w14:paraId="18394042">
            <w:pPr>
              <w:jc w:val="center"/>
              <w:rPr>
                <w:rFonts w:eastAsia="仿宋_GB2312"/>
                <w:color w:val="auto"/>
                <w:kern w:val="0"/>
                <w:szCs w:val="21"/>
              </w:rPr>
            </w:pPr>
            <w:r>
              <w:rPr>
                <w:rFonts w:eastAsia="仿宋_GB2312"/>
                <w:color w:val="auto"/>
                <w:kern w:val="0"/>
                <w:szCs w:val="21"/>
              </w:rPr>
              <w:t>粘度</w:t>
            </w:r>
          </w:p>
        </w:tc>
        <w:tc>
          <w:tcPr>
            <w:tcW w:w="1772" w:type="dxa"/>
            <w:vAlign w:val="center"/>
          </w:tcPr>
          <w:p w14:paraId="6762F559">
            <w:pPr>
              <w:jc w:val="center"/>
              <w:rPr>
                <w:rFonts w:eastAsia="仿宋_GB2312"/>
                <w:color w:val="auto"/>
                <w:kern w:val="0"/>
                <w:szCs w:val="21"/>
              </w:rPr>
            </w:pPr>
            <w:r>
              <w:rPr>
                <w:rFonts w:eastAsia="仿宋_GB2312"/>
                <w:color w:val="auto"/>
                <w:kern w:val="0"/>
                <w:szCs w:val="21"/>
              </w:rPr>
              <w:t>±1（%10-10000）</w:t>
            </w:r>
          </w:p>
        </w:tc>
      </w:tr>
      <w:tr w14:paraId="451C4D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340" w:hRule="atLeast"/>
          <w:jc w:val="center"/>
        </w:trPr>
        <w:tc>
          <w:tcPr>
            <w:tcW w:w="819" w:type="dxa"/>
            <w:vAlign w:val="center"/>
          </w:tcPr>
          <w:p w14:paraId="5ECB6553">
            <w:pPr>
              <w:jc w:val="center"/>
              <w:rPr>
                <w:rFonts w:eastAsia="仿宋_GB2312"/>
                <w:color w:val="auto"/>
                <w:kern w:val="0"/>
                <w:szCs w:val="21"/>
              </w:rPr>
            </w:pPr>
            <w:r>
              <w:rPr>
                <w:rFonts w:eastAsia="仿宋_GB2312"/>
                <w:color w:val="auto"/>
                <w:kern w:val="0"/>
                <w:szCs w:val="21"/>
              </w:rPr>
              <w:t>4</w:t>
            </w:r>
          </w:p>
        </w:tc>
        <w:tc>
          <w:tcPr>
            <w:tcW w:w="1981" w:type="dxa"/>
            <w:vAlign w:val="center"/>
          </w:tcPr>
          <w:p w14:paraId="3BFB11C5">
            <w:pPr>
              <w:jc w:val="center"/>
              <w:rPr>
                <w:rFonts w:eastAsia="仿宋_GB2312"/>
                <w:color w:val="auto"/>
                <w:kern w:val="0"/>
                <w:szCs w:val="21"/>
              </w:rPr>
            </w:pPr>
            <w:r>
              <w:rPr>
                <w:rFonts w:eastAsia="仿宋_GB2312"/>
                <w:color w:val="auto"/>
                <w:kern w:val="0"/>
                <w:szCs w:val="21"/>
              </w:rPr>
              <w:t>（电子）分析天平</w:t>
            </w:r>
          </w:p>
        </w:tc>
        <w:tc>
          <w:tcPr>
            <w:tcW w:w="1513" w:type="dxa"/>
            <w:vAlign w:val="center"/>
          </w:tcPr>
          <w:p w14:paraId="29E58CA2">
            <w:pPr>
              <w:jc w:val="center"/>
              <w:rPr>
                <w:rFonts w:eastAsia="仿宋_GB2312"/>
                <w:color w:val="auto"/>
                <w:kern w:val="0"/>
                <w:szCs w:val="21"/>
              </w:rPr>
            </w:pPr>
            <w:r>
              <w:rPr>
                <w:rFonts w:eastAsia="仿宋_GB2312"/>
                <w:color w:val="auto"/>
                <w:kern w:val="0"/>
                <w:szCs w:val="21"/>
              </w:rPr>
              <w:t>AL104</w:t>
            </w:r>
          </w:p>
        </w:tc>
        <w:tc>
          <w:tcPr>
            <w:tcW w:w="692" w:type="dxa"/>
            <w:vAlign w:val="center"/>
          </w:tcPr>
          <w:p w14:paraId="6650E310">
            <w:pPr>
              <w:jc w:val="center"/>
              <w:rPr>
                <w:rFonts w:eastAsia="仿宋_GB2312"/>
                <w:color w:val="auto"/>
                <w:kern w:val="0"/>
                <w:szCs w:val="21"/>
              </w:rPr>
            </w:pPr>
            <w:r>
              <w:rPr>
                <w:rFonts w:eastAsia="仿宋_GB2312"/>
                <w:color w:val="auto"/>
                <w:kern w:val="0"/>
                <w:szCs w:val="21"/>
              </w:rPr>
              <w:t>1</w:t>
            </w:r>
          </w:p>
        </w:tc>
        <w:tc>
          <w:tcPr>
            <w:tcW w:w="1831" w:type="dxa"/>
            <w:vAlign w:val="center"/>
          </w:tcPr>
          <w:p w14:paraId="4823D034">
            <w:pPr>
              <w:jc w:val="center"/>
              <w:rPr>
                <w:rFonts w:eastAsia="仿宋_GB2312"/>
                <w:color w:val="auto"/>
                <w:kern w:val="0"/>
                <w:szCs w:val="21"/>
              </w:rPr>
            </w:pPr>
            <w:r>
              <w:rPr>
                <w:rFonts w:eastAsia="仿宋_GB2312"/>
                <w:color w:val="auto"/>
                <w:kern w:val="0"/>
                <w:szCs w:val="21"/>
              </w:rPr>
              <w:t>称重</w:t>
            </w:r>
          </w:p>
        </w:tc>
        <w:tc>
          <w:tcPr>
            <w:tcW w:w="1772" w:type="dxa"/>
            <w:vAlign w:val="center"/>
          </w:tcPr>
          <w:p w14:paraId="20F72A3E">
            <w:pPr>
              <w:jc w:val="center"/>
              <w:rPr>
                <w:rFonts w:eastAsia="仿宋_GB2312"/>
                <w:color w:val="auto"/>
                <w:kern w:val="0"/>
                <w:szCs w:val="21"/>
              </w:rPr>
            </w:pPr>
            <w:r>
              <w:rPr>
                <w:rFonts w:eastAsia="仿宋_GB2312"/>
                <w:color w:val="auto"/>
                <w:kern w:val="0"/>
                <w:szCs w:val="21"/>
              </w:rPr>
              <w:t>0.0001（0-120）</w:t>
            </w:r>
          </w:p>
        </w:tc>
      </w:tr>
      <w:tr w14:paraId="65360A5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340" w:hRule="atLeast"/>
          <w:jc w:val="center"/>
        </w:trPr>
        <w:tc>
          <w:tcPr>
            <w:tcW w:w="819" w:type="dxa"/>
            <w:vAlign w:val="center"/>
          </w:tcPr>
          <w:p w14:paraId="69DE1A01">
            <w:pPr>
              <w:jc w:val="center"/>
              <w:rPr>
                <w:rFonts w:eastAsia="仿宋_GB2312"/>
                <w:color w:val="auto"/>
                <w:kern w:val="0"/>
                <w:szCs w:val="21"/>
              </w:rPr>
            </w:pPr>
            <w:r>
              <w:rPr>
                <w:rFonts w:eastAsia="仿宋_GB2312"/>
                <w:color w:val="auto"/>
                <w:kern w:val="0"/>
                <w:szCs w:val="21"/>
              </w:rPr>
              <w:t>5</w:t>
            </w:r>
          </w:p>
        </w:tc>
        <w:tc>
          <w:tcPr>
            <w:tcW w:w="1981" w:type="dxa"/>
            <w:vAlign w:val="center"/>
          </w:tcPr>
          <w:p w14:paraId="08987EDE">
            <w:pPr>
              <w:jc w:val="center"/>
              <w:rPr>
                <w:rFonts w:eastAsia="仿宋_GB2312"/>
                <w:color w:val="auto"/>
                <w:kern w:val="0"/>
                <w:szCs w:val="21"/>
              </w:rPr>
            </w:pPr>
            <w:r>
              <w:rPr>
                <w:rFonts w:eastAsia="仿宋_GB2312"/>
                <w:color w:val="auto"/>
                <w:kern w:val="0"/>
                <w:szCs w:val="21"/>
              </w:rPr>
              <w:t>气相色谱仪</w:t>
            </w:r>
          </w:p>
        </w:tc>
        <w:tc>
          <w:tcPr>
            <w:tcW w:w="1513" w:type="dxa"/>
            <w:vAlign w:val="center"/>
          </w:tcPr>
          <w:p w14:paraId="5D47D0B4">
            <w:pPr>
              <w:jc w:val="center"/>
              <w:rPr>
                <w:rFonts w:eastAsia="仿宋_GB2312"/>
                <w:color w:val="auto"/>
                <w:kern w:val="0"/>
                <w:szCs w:val="21"/>
              </w:rPr>
            </w:pPr>
            <w:r>
              <w:rPr>
                <w:rFonts w:eastAsia="仿宋_GB2312"/>
                <w:color w:val="auto"/>
                <w:kern w:val="0"/>
                <w:szCs w:val="21"/>
              </w:rPr>
              <w:t>GC-2000II</w:t>
            </w:r>
          </w:p>
        </w:tc>
        <w:tc>
          <w:tcPr>
            <w:tcW w:w="692" w:type="dxa"/>
            <w:vAlign w:val="center"/>
          </w:tcPr>
          <w:p w14:paraId="271E833A">
            <w:pPr>
              <w:jc w:val="center"/>
              <w:rPr>
                <w:rFonts w:eastAsia="仿宋_GB2312"/>
                <w:color w:val="auto"/>
                <w:kern w:val="0"/>
                <w:szCs w:val="21"/>
              </w:rPr>
            </w:pPr>
            <w:r>
              <w:rPr>
                <w:rFonts w:eastAsia="仿宋_GB2312"/>
                <w:color w:val="auto"/>
                <w:kern w:val="0"/>
                <w:szCs w:val="21"/>
              </w:rPr>
              <w:t>1</w:t>
            </w:r>
          </w:p>
        </w:tc>
        <w:tc>
          <w:tcPr>
            <w:tcW w:w="1831" w:type="dxa"/>
            <w:vAlign w:val="center"/>
          </w:tcPr>
          <w:p w14:paraId="589D08E2">
            <w:pPr>
              <w:jc w:val="center"/>
              <w:rPr>
                <w:rFonts w:eastAsia="仿宋_GB2312"/>
                <w:color w:val="auto"/>
                <w:kern w:val="0"/>
                <w:szCs w:val="21"/>
              </w:rPr>
            </w:pPr>
            <w:r>
              <w:rPr>
                <w:rFonts w:eastAsia="仿宋_GB2312"/>
                <w:color w:val="auto"/>
                <w:kern w:val="0"/>
                <w:szCs w:val="21"/>
              </w:rPr>
              <w:t>含量</w:t>
            </w:r>
          </w:p>
        </w:tc>
        <w:tc>
          <w:tcPr>
            <w:tcW w:w="1772" w:type="dxa"/>
            <w:vAlign w:val="center"/>
          </w:tcPr>
          <w:p w14:paraId="1B6AA484">
            <w:pPr>
              <w:jc w:val="center"/>
              <w:rPr>
                <w:rFonts w:eastAsia="仿宋_GB2312"/>
                <w:color w:val="auto"/>
                <w:kern w:val="0"/>
                <w:szCs w:val="21"/>
              </w:rPr>
            </w:pPr>
            <w:r>
              <w:rPr>
                <w:rFonts w:eastAsia="仿宋_GB2312"/>
                <w:color w:val="auto"/>
                <w:kern w:val="0"/>
                <w:szCs w:val="21"/>
              </w:rPr>
              <w:t>0.1%(5-100)</w:t>
            </w:r>
          </w:p>
        </w:tc>
      </w:tr>
      <w:tr w14:paraId="3AF874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340" w:hRule="atLeast"/>
          <w:jc w:val="center"/>
        </w:trPr>
        <w:tc>
          <w:tcPr>
            <w:tcW w:w="819" w:type="dxa"/>
            <w:vAlign w:val="center"/>
          </w:tcPr>
          <w:p w14:paraId="6537496D">
            <w:pPr>
              <w:jc w:val="center"/>
              <w:rPr>
                <w:rFonts w:eastAsia="仿宋_GB2312"/>
                <w:color w:val="auto"/>
                <w:kern w:val="0"/>
                <w:szCs w:val="21"/>
              </w:rPr>
            </w:pPr>
            <w:r>
              <w:rPr>
                <w:rFonts w:eastAsia="仿宋_GB2312"/>
                <w:color w:val="auto"/>
                <w:kern w:val="0"/>
                <w:szCs w:val="21"/>
              </w:rPr>
              <w:t>6</w:t>
            </w:r>
          </w:p>
        </w:tc>
        <w:tc>
          <w:tcPr>
            <w:tcW w:w="1981" w:type="dxa"/>
            <w:vAlign w:val="center"/>
          </w:tcPr>
          <w:p w14:paraId="1508BFAE">
            <w:pPr>
              <w:jc w:val="center"/>
              <w:rPr>
                <w:rFonts w:eastAsia="仿宋_GB2312"/>
                <w:color w:val="auto"/>
                <w:kern w:val="0"/>
                <w:szCs w:val="21"/>
              </w:rPr>
            </w:pPr>
            <w:r>
              <w:rPr>
                <w:rFonts w:eastAsia="仿宋_GB2312"/>
                <w:color w:val="auto"/>
                <w:kern w:val="0"/>
                <w:szCs w:val="21"/>
              </w:rPr>
              <w:t>pH计</w:t>
            </w:r>
          </w:p>
        </w:tc>
        <w:tc>
          <w:tcPr>
            <w:tcW w:w="1513" w:type="dxa"/>
            <w:vAlign w:val="center"/>
          </w:tcPr>
          <w:p w14:paraId="0BAE2AF7">
            <w:pPr>
              <w:jc w:val="center"/>
              <w:rPr>
                <w:rFonts w:eastAsia="仿宋_GB2312"/>
                <w:color w:val="auto"/>
                <w:kern w:val="0"/>
                <w:szCs w:val="21"/>
              </w:rPr>
            </w:pPr>
            <w:r>
              <w:rPr>
                <w:rFonts w:eastAsia="仿宋_GB2312"/>
                <w:color w:val="auto"/>
                <w:kern w:val="0"/>
                <w:szCs w:val="21"/>
              </w:rPr>
              <w:t>FE20</w:t>
            </w:r>
          </w:p>
        </w:tc>
        <w:tc>
          <w:tcPr>
            <w:tcW w:w="692" w:type="dxa"/>
            <w:vAlign w:val="center"/>
          </w:tcPr>
          <w:p w14:paraId="33B2F469">
            <w:pPr>
              <w:jc w:val="center"/>
              <w:rPr>
                <w:rFonts w:eastAsia="仿宋_GB2312"/>
                <w:color w:val="auto"/>
                <w:kern w:val="0"/>
                <w:szCs w:val="21"/>
              </w:rPr>
            </w:pPr>
            <w:r>
              <w:rPr>
                <w:rFonts w:eastAsia="仿宋_GB2312"/>
                <w:color w:val="auto"/>
                <w:kern w:val="0"/>
                <w:szCs w:val="21"/>
              </w:rPr>
              <w:t>1</w:t>
            </w:r>
          </w:p>
        </w:tc>
        <w:tc>
          <w:tcPr>
            <w:tcW w:w="1831" w:type="dxa"/>
            <w:vAlign w:val="center"/>
          </w:tcPr>
          <w:p w14:paraId="73574033">
            <w:pPr>
              <w:jc w:val="center"/>
              <w:rPr>
                <w:rFonts w:eastAsia="仿宋_GB2312"/>
                <w:color w:val="auto"/>
                <w:kern w:val="0"/>
                <w:szCs w:val="21"/>
              </w:rPr>
            </w:pPr>
            <w:r>
              <w:rPr>
                <w:rFonts w:eastAsia="仿宋_GB2312"/>
                <w:color w:val="auto"/>
                <w:kern w:val="0"/>
                <w:szCs w:val="21"/>
              </w:rPr>
              <w:t>pH值</w:t>
            </w:r>
          </w:p>
        </w:tc>
        <w:tc>
          <w:tcPr>
            <w:tcW w:w="1772" w:type="dxa"/>
            <w:vAlign w:val="center"/>
          </w:tcPr>
          <w:p w14:paraId="7546DF7B">
            <w:pPr>
              <w:jc w:val="center"/>
              <w:rPr>
                <w:rFonts w:eastAsia="仿宋_GB2312"/>
                <w:color w:val="auto"/>
                <w:kern w:val="0"/>
                <w:szCs w:val="21"/>
              </w:rPr>
            </w:pPr>
            <w:r>
              <w:rPr>
                <w:rFonts w:eastAsia="仿宋_GB2312"/>
                <w:color w:val="auto"/>
                <w:kern w:val="0"/>
                <w:szCs w:val="21"/>
              </w:rPr>
              <w:t>0.01(1-14)</w:t>
            </w:r>
          </w:p>
        </w:tc>
      </w:tr>
      <w:tr w14:paraId="475EFD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340" w:hRule="atLeast"/>
          <w:jc w:val="center"/>
        </w:trPr>
        <w:tc>
          <w:tcPr>
            <w:tcW w:w="819" w:type="dxa"/>
            <w:vAlign w:val="center"/>
          </w:tcPr>
          <w:p w14:paraId="68A31E4C">
            <w:pPr>
              <w:jc w:val="center"/>
              <w:rPr>
                <w:rFonts w:eastAsia="仿宋_GB2312"/>
                <w:color w:val="auto"/>
                <w:kern w:val="0"/>
                <w:szCs w:val="21"/>
              </w:rPr>
            </w:pPr>
            <w:r>
              <w:rPr>
                <w:rFonts w:eastAsia="仿宋_GB2312"/>
                <w:color w:val="auto"/>
                <w:kern w:val="0"/>
                <w:szCs w:val="21"/>
              </w:rPr>
              <w:t>7</w:t>
            </w:r>
          </w:p>
        </w:tc>
        <w:tc>
          <w:tcPr>
            <w:tcW w:w="1981" w:type="dxa"/>
            <w:vAlign w:val="center"/>
          </w:tcPr>
          <w:p w14:paraId="54CE26D2">
            <w:pPr>
              <w:jc w:val="center"/>
              <w:rPr>
                <w:rFonts w:eastAsia="仿宋_GB2312"/>
                <w:color w:val="auto"/>
                <w:kern w:val="0"/>
                <w:szCs w:val="21"/>
              </w:rPr>
            </w:pPr>
            <w:r>
              <w:rPr>
                <w:rFonts w:eastAsia="仿宋_GB2312"/>
                <w:color w:val="auto"/>
                <w:kern w:val="0"/>
                <w:szCs w:val="21"/>
              </w:rPr>
              <w:t>电热鼓风干燥箱</w:t>
            </w:r>
          </w:p>
        </w:tc>
        <w:tc>
          <w:tcPr>
            <w:tcW w:w="1513" w:type="dxa"/>
            <w:vAlign w:val="center"/>
          </w:tcPr>
          <w:p w14:paraId="03B41EA2">
            <w:pPr>
              <w:jc w:val="center"/>
              <w:rPr>
                <w:rFonts w:eastAsia="仿宋_GB2312"/>
                <w:color w:val="auto"/>
                <w:kern w:val="0"/>
                <w:szCs w:val="21"/>
              </w:rPr>
            </w:pPr>
            <w:r>
              <w:rPr>
                <w:rFonts w:eastAsia="仿宋_GB2312"/>
                <w:color w:val="auto"/>
                <w:kern w:val="0"/>
                <w:szCs w:val="21"/>
              </w:rPr>
              <w:t>DHG-9146A</w:t>
            </w:r>
          </w:p>
        </w:tc>
        <w:tc>
          <w:tcPr>
            <w:tcW w:w="692" w:type="dxa"/>
            <w:vAlign w:val="center"/>
          </w:tcPr>
          <w:p w14:paraId="3007E63F">
            <w:pPr>
              <w:jc w:val="center"/>
              <w:rPr>
                <w:rFonts w:eastAsia="仿宋_GB2312"/>
                <w:color w:val="auto"/>
                <w:kern w:val="0"/>
                <w:szCs w:val="21"/>
              </w:rPr>
            </w:pPr>
            <w:r>
              <w:rPr>
                <w:rFonts w:eastAsia="仿宋_GB2312"/>
                <w:color w:val="auto"/>
                <w:kern w:val="0"/>
                <w:szCs w:val="21"/>
              </w:rPr>
              <w:t>1</w:t>
            </w:r>
          </w:p>
        </w:tc>
        <w:tc>
          <w:tcPr>
            <w:tcW w:w="1831" w:type="dxa"/>
            <w:vAlign w:val="center"/>
          </w:tcPr>
          <w:p w14:paraId="3A18DDF9">
            <w:pPr>
              <w:jc w:val="center"/>
              <w:rPr>
                <w:rFonts w:eastAsia="仿宋_GB2312"/>
                <w:color w:val="auto"/>
                <w:kern w:val="0"/>
                <w:szCs w:val="21"/>
              </w:rPr>
            </w:pPr>
            <w:r>
              <w:rPr>
                <w:rFonts w:eastAsia="仿宋_GB2312"/>
                <w:color w:val="auto"/>
                <w:kern w:val="0"/>
                <w:szCs w:val="21"/>
              </w:rPr>
              <w:t>干燥</w:t>
            </w:r>
          </w:p>
        </w:tc>
        <w:tc>
          <w:tcPr>
            <w:tcW w:w="1772" w:type="dxa"/>
            <w:vAlign w:val="center"/>
          </w:tcPr>
          <w:p w14:paraId="67086030">
            <w:pPr>
              <w:jc w:val="center"/>
              <w:rPr>
                <w:rFonts w:eastAsia="仿宋_GB2312"/>
                <w:color w:val="auto"/>
                <w:kern w:val="0"/>
                <w:szCs w:val="21"/>
              </w:rPr>
            </w:pPr>
            <w:r>
              <w:rPr>
                <w:rFonts w:eastAsia="仿宋_GB2312"/>
                <w:color w:val="auto"/>
                <w:kern w:val="0"/>
                <w:szCs w:val="21"/>
              </w:rPr>
              <w:t>1</w:t>
            </w:r>
            <w:r>
              <w:rPr>
                <w:rFonts w:hint="eastAsia" w:ascii="宋体" w:hAnsi="宋体" w:cs="宋体"/>
                <w:color w:val="auto"/>
                <w:kern w:val="0"/>
                <w:szCs w:val="21"/>
              </w:rPr>
              <w:t>℃</w:t>
            </w:r>
            <w:r>
              <w:rPr>
                <w:rFonts w:eastAsia="仿宋_GB2312"/>
                <w:color w:val="auto"/>
                <w:kern w:val="0"/>
                <w:szCs w:val="21"/>
              </w:rPr>
              <w:t>（1-300）</w:t>
            </w:r>
          </w:p>
        </w:tc>
      </w:tr>
      <w:tr w14:paraId="60868C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340" w:hRule="atLeast"/>
          <w:jc w:val="center"/>
        </w:trPr>
        <w:tc>
          <w:tcPr>
            <w:tcW w:w="819" w:type="dxa"/>
            <w:vAlign w:val="center"/>
          </w:tcPr>
          <w:p w14:paraId="2226B56E">
            <w:pPr>
              <w:jc w:val="center"/>
              <w:rPr>
                <w:rFonts w:eastAsia="仿宋_GB2312"/>
                <w:color w:val="auto"/>
                <w:kern w:val="0"/>
                <w:szCs w:val="21"/>
              </w:rPr>
            </w:pPr>
            <w:r>
              <w:rPr>
                <w:rFonts w:eastAsia="仿宋_GB2312"/>
                <w:color w:val="auto"/>
                <w:kern w:val="0"/>
                <w:szCs w:val="21"/>
              </w:rPr>
              <w:t>8</w:t>
            </w:r>
          </w:p>
        </w:tc>
        <w:tc>
          <w:tcPr>
            <w:tcW w:w="1981" w:type="dxa"/>
            <w:vAlign w:val="center"/>
          </w:tcPr>
          <w:p w14:paraId="420AF861">
            <w:pPr>
              <w:jc w:val="center"/>
              <w:rPr>
                <w:rFonts w:eastAsia="仿宋_GB2312"/>
                <w:color w:val="auto"/>
                <w:kern w:val="0"/>
                <w:szCs w:val="21"/>
              </w:rPr>
            </w:pPr>
            <w:r>
              <w:rPr>
                <w:rFonts w:eastAsia="仿宋_GB2312"/>
                <w:color w:val="auto"/>
                <w:kern w:val="0"/>
                <w:szCs w:val="21"/>
              </w:rPr>
              <w:t>pH酸度计</w:t>
            </w:r>
          </w:p>
        </w:tc>
        <w:tc>
          <w:tcPr>
            <w:tcW w:w="1513" w:type="dxa"/>
            <w:vAlign w:val="center"/>
          </w:tcPr>
          <w:p w14:paraId="39E77CA7">
            <w:pPr>
              <w:jc w:val="center"/>
              <w:rPr>
                <w:rFonts w:eastAsia="仿宋_GB2312"/>
                <w:color w:val="auto"/>
                <w:kern w:val="0"/>
                <w:szCs w:val="21"/>
              </w:rPr>
            </w:pPr>
            <w:r>
              <w:rPr>
                <w:rFonts w:eastAsia="仿宋_GB2312"/>
                <w:color w:val="auto"/>
                <w:kern w:val="0"/>
                <w:szCs w:val="21"/>
              </w:rPr>
              <w:t>PHS-3C</w:t>
            </w:r>
          </w:p>
        </w:tc>
        <w:tc>
          <w:tcPr>
            <w:tcW w:w="692" w:type="dxa"/>
            <w:vAlign w:val="center"/>
          </w:tcPr>
          <w:p w14:paraId="00A5DD3A">
            <w:pPr>
              <w:jc w:val="center"/>
              <w:rPr>
                <w:rFonts w:eastAsia="仿宋_GB2312"/>
                <w:color w:val="auto"/>
                <w:kern w:val="0"/>
                <w:szCs w:val="21"/>
              </w:rPr>
            </w:pPr>
            <w:r>
              <w:rPr>
                <w:rFonts w:eastAsia="仿宋_GB2312"/>
                <w:color w:val="auto"/>
                <w:kern w:val="0"/>
                <w:szCs w:val="21"/>
              </w:rPr>
              <w:t>1</w:t>
            </w:r>
          </w:p>
        </w:tc>
        <w:tc>
          <w:tcPr>
            <w:tcW w:w="1831" w:type="dxa"/>
            <w:vAlign w:val="center"/>
          </w:tcPr>
          <w:p w14:paraId="7624A347">
            <w:pPr>
              <w:jc w:val="center"/>
              <w:rPr>
                <w:rFonts w:eastAsia="仿宋_GB2312"/>
                <w:color w:val="auto"/>
                <w:kern w:val="0"/>
                <w:szCs w:val="21"/>
              </w:rPr>
            </w:pPr>
            <w:r>
              <w:rPr>
                <w:rFonts w:eastAsia="仿宋_GB2312"/>
                <w:color w:val="auto"/>
                <w:kern w:val="0"/>
                <w:szCs w:val="21"/>
              </w:rPr>
              <w:t>pH值</w:t>
            </w:r>
          </w:p>
        </w:tc>
        <w:tc>
          <w:tcPr>
            <w:tcW w:w="1772" w:type="dxa"/>
            <w:vAlign w:val="center"/>
          </w:tcPr>
          <w:p w14:paraId="7698D73F">
            <w:pPr>
              <w:jc w:val="center"/>
              <w:rPr>
                <w:rFonts w:eastAsia="仿宋_GB2312"/>
                <w:color w:val="auto"/>
                <w:kern w:val="0"/>
                <w:szCs w:val="21"/>
              </w:rPr>
            </w:pPr>
            <w:r>
              <w:rPr>
                <w:rFonts w:eastAsia="仿宋_GB2312"/>
                <w:color w:val="auto"/>
                <w:kern w:val="0"/>
                <w:szCs w:val="21"/>
              </w:rPr>
              <w:t>0.01（1-14）</w:t>
            </w:r>
          </w:p>
        </w:tc>
      </w:tr>
      <w:tr w14:paraId="2C0838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340" w:hRule="atLeast"/>
          <w:jc w:val="center"/>
        </w:trPr>
        <w:tc>
          <w:tcPr>
            <w:tcW w:w="819" w:type="dxa"/>
            <w:vAlign w:val="center"/>
          </w:tcPr>
          <w:p w14:paraId="24C49F96">
            <w:pPr>
              <w:jc w:val="center"/>
              <w:rPr>
                <w:rFonts w:eastAsia="仿宋_GB2312"/>
                <w:color w:val="auto"/>
                <w:kern w:val="0"/>
                <w:szCs w:val="21"/>
              </w:rPr>
            </w:pPr>
            <w:r>
              <w:rPr>
                <w:rFonts w:eastAsia="仿宋_GB2312"/>
                <w:color w:val="auto"/>
                <w:kern w:val="0"/>
                <w:szCs w:val="21"/>
              </w:rPr>
              <w:t>9</w:t>
            </w:r>
          </w:p>
        </w:tc>
        <w:tc>
          <w:tcPr>
            <w:tcW w:w="1981" w:type="dxa"/>
            <w:vAlign w:val="center"/>
          </w:tcPr>
          <w:p w14:paraId="262B0D5E">
            <w:pPr>
              <w:jc w:val="center"/>
              <w:rPr>
                <w:rFonts w:eastAsia="仿宋_GB2312"/>
                <w:color w:val="auto"/>
                <w:kern w:val="0"/>
                <w:szCs w:val="21"/>
              </w:rPr>
            </w:pPr>
            <w:r>
              <w:rPr>
                <w:rFonts w:eastAsia="仿宋_GB2312"/>
                <w:color w:val="auto"/>
                <w:kern w:val="0"/>
                <w:szCs w:val="21"/>
              </w:rPr>
              <w:t>原子吸收分光光度计</w:t>
            </w:r>
          </w:p>
        </w:tc>
        <w:tc>
          <w:tcPr>
            <w:tcW w:w="1513" w:type="dxa"/>
            <w:vAlign w:val="center"/>
          </w:tcPr>
          <w:p w14:paraId="5CAC9AC0">
            <w:pPr>
              <w:jc w:val="center"/>
              <w:rPr>
                <w:rFonts w:eastAsia="仿宋_GB2312"/>
                <w:color w:val="auto"/>
                <w:kern w:val="0"/>
                <w:szCs w:val="21"/>
              </w:rPr>
            </w:pPr>
            <w:r>
              <w:rPr>
                <w:rFonts w:eastAsia="仿宋_GB2312"/>
                <w:color w:val="auto"/>
                <w:kern w:val="0"/>
                <w:szCs w:val="21"/>
              </w:rPr>
              <w:t>TAS-990</w:t>
            </w:r>
          </w:p>
        </w:tc>
        <w:tc>
          <w:tcPr>
            <w:tcW w:w="692" w:type="dxa"/>
            <w:vAlign w:val="center"/>
          </w:tcPr>
          <w:p w14:paraId="64B99C27">
            <w:pPr>
              <w:jc w:val="center"/>
              <w:rPr>
                <w:rFonts w:eastAsia="仿宋_GB2312"/>
                <w:color w:val="auto"/>
                <w:kern w:val="0"/>
                <w:szCs w:val="21"/>
              </w:rPr>
            </w:pPr>
            <w:r>
              <w:rPr>
                <w:rFonts w:eastAsia="仿宋_GB2312"/>
                <w:color w:val="auto"/>
                <w:kern w:val="0"/>
                <w:szCs w:val="21"/>
              </w:rPr>
              <w:t>1</w:t>
            </w:r>
          </w:p>
        </w:tc>
        <w:tc>
          <w:tcPr>
            <w:tcW w:w="1831" w:type="dxa"/>
            <w:vAlign w:val="center"/>
          </w:tcPr>
          <w:p w14:paraId="3FA86D4B">
            <w:pPr>
              <w:jc w:val="center"/>
              <w:rPr>
                <w:rFonts w:eastAsia="仿宋_GB2312"/>
                <w:color w:val="auto"/>
                <w:kern w:val="0"/>
                <w:szCs w:val="21"/>
              </w:rPr>
            </w:pPr>
            <w:r>
              <w:rPr>
                <w:rFonts w:eastAsia="仿宋_GB2312"/>
                <w:color w:val="auto"/>
                <w:kern w:val="0"/>
                <w:szCs w:val="21"/>
              </w:rPr>
              <w:t>金属离子：铜、铁、铬、镍、锌、镁、锰、镉、铅、汞、砷</w:t>
            </w:r>
          </w:p>
        </w:tc>
        <w:tc>
          <w:tcPr>
            <w:tcW w:w="1772" w:type="dxa"/>
            <w:vAlign w:val="center"/>
          </w:tcPr>
          <w:p w14:paraId="3B75AA04">
            <w:pPr>
              <w:jc w:val="center"/>
              <w:rPr>
                <w:rFonts w:eastAsia="仿宋_GB2312"/>
                <w:color w:val="auto"/>
                <w:kern w:val="0"/>
                <w:szCs w:val="21"/>
              </w:rPr>
            </w:pPr>
            <w:r>
              <w:rPr>
                <w:rFonts w:eastAsia="仿宋_GB2312"/>
                <w:color w:val="auto"/>
                <w:kern w:val="0"/>
                <w:szCs w:val="21"/>
              </w:rPr>
              <w:t>(ppb-ppm)</w:t>
            </w:r>
          </w:p>
        </w:tc>
      </w:tr>
      <w:tr w14:paraId="4BE25CA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340" w:hRule="atLeast"/>
          <w:jc w:val="center"/>
        </w:trPr>
        <w:tc>
          <w:tcPr>
            <w:tcW w:w="819" w:type="dxa"/>
            <w:vAlign w:val="center"/>
          </w:tcPr>
          <w:p w14:paraId="525E8B01">
            <w:pPr>
              <w:jc w:val="center"/>
              <w:rPr>
                <w:rFonts w:eastAsia="仿宋_GB2312"/>
                <w:color w:val="auto"/>
                <w:kern w:val="0"/>
                <w:szCs w:val="21"/>
              </w:rPr>
            </w:pPr>
            <w:r>
              <w:rPr>
                <w:rFonts w:eastAsia="仿宋_GB2312"/>
                <w:color w:val="auto"/>
                <w:kern w:val="0"/>
                <w:szCs w:val="21"/>
              </w:rPr>
              <w:t>10</w:t>
            </w:r>
          </w:p>
        </w:tc>
        <w:tc>
          <w:tcPr>
            <w:tcW w:w="1981" w:type="dxa"/>
            <w:vAlign w:val="center"/>
          </w:tcPr>
          <w:p w14:paraId="10077B9C">
            <w:pPr>
              <w:jc w:val="center"/>
              <w:rPr>
                <w:rFonts w:eastAsia="仿宋_GB2312"/>
                <w:color w:val="auto"/>
                <w:kern w:val="0"/>
                <w:szCs w:val="21"/>
              </w:rPr>
            </w:pPr>
            <w:r>
              <w:rPr>
                <w:rFonts w:eastAsia="仿宋_GB2312"/>
                <w:color w:val="auto"/>
                <w:kern w:val="0"/>
                <w:szCs w:val="21"/>
              </w:rPr>
              <w:t>黏度计</w:t>
            </w:r>
          </w:p>
        </w:tc>
        <w:tc>
          <w:tcPr>
            <w:tcW w:w="1513" w:type="dxa"/>
            <w:vAlign w:val="center"/>
          </w:tcPr>
          <w:p w14:paraId="0A1DC5C6">
            <w:pPr>
              <w:jc w:val="center"/>
              <w:rPr>
                <w:rFonts w:eastAsia="仿宋_GB2312"/>
                <w:color w:val="auto"/>
                <w:kern w:val="0"/>
                <w:szCs w:val="21"/>
              </w:rPr>
            </w:pPr>
            <w:r>
              <w:rPr>
                <w:rFonts w:eastAsia="仿宋_GB2312"/>
                <w:color w:val="auto"/>
                <w:kern w:val="0"/>
                <w:szCs w:val="21"/>
              </w:rPr>
              <w:t>CAP2000+</w:t>
            </w:r>
          </w:p>
        </w:tc>
        <w:tc>
          <w:tcPr>
            <w:tcW w:w="692" w:type="dxa"/>
            <w:vAlign w:val="center"/>
          </w:tcPr>
          <w:p w14:paraId="3338F5F4">
            <w:pPr>
              <w:jc w:val="center"/>
              <w:rPr>
                <w:rFonts w:eastAsia="仿宋_GB2312"/>
                <w:color w:val="auto"/>
                <w:kern w:val="0"/>
                <w:szCs w:val="21"/>
              </w:rPr>
            </w:pPr>
            <w:r>
              <w:rPr>
                <w:rFonts w:eastAsia="仿宋_GB2312"/>
                <w:color w:val="auto"/>
                <w:kern w:val="0"/>
                <w:szCs w:val="21"/>
              </w:rPr>
              <w:t>1</w:t>
            </w:r>
          </w:p>
        </w:tc>
        <w:tc>
          <w:tcPr>
            <w:tcW w:w="1831" w:type="dxa"/>
            <w:vAlign w:val="center"/>
          </w:tcPr>
          <w:p w14:paraId="2B404DE2">
            <w:pPr>
              <w:jc w:val="center"/>
              <w:rPr>
                <w:rFonts w:eastAsia="仿宋_GB2312"/>
                <w:color w:val="auto"/>
                <w:kern w:val="0"/>
                <w:szCs w:val="21"/>
              </w:rPr>
            </w:pPr>
            <w:r>
              <w:rPr>
                <w:rFonts w:eastAsia="仿宋_GB2312"/>
                <w:color w:val="auto"/>
                <w:kern w:val="0"/>
                <w:szCs w:val="21"/>
              </w:rPr>
              <w:t>粘度</w:t>
            </w:r>
          </w:p>
        </w:tc>
        <w:tc>
          <w:tcPr>
            <w:tcW w:w="1772" w:type="dxa"/>
            <w:vAlign w:val="center"/>
          </w:tcPr>
          <w:p w14:paraId="5CF8B270">
            <w:pPr>
              <w:jc w:val="center"/>
              <w:rPr>
                <w:rFonts w:eastAsia="仿宋_GB2312"/>
                <w:color w:val="auto"/>
                <w:kern w:val="0"/>
                <w:szCs w:val="21"/>
              </w:rPr>
            </w:pPr>
            <w:r>
              <w:rPr>
                <w:rFonts w:eastAsia="仿宋_GB2312"/>
                <w:color w:val="auto"/>
                <w:kern w:val="0"/>
                <w:szCs w:val="21"/>
              </w:rPr>
              <w:t>±%1(80-300000)</w:t>
            </w:r>
          </w:p>
        </w:tc>
      </w:tr>
      <w:tr w14:paraId="55C857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340" w:hRule="atLeast"/>
          <w:jc w:val="center"/>
        </w:trPr>
        <w:tc>
          <w:tcPr>
            <w:tcW w:w="819" w:type="dxa"/>
            <w:vAlign w:val="center"/>
          </w:tcPr>
          <w:p w14:paraId="4608ACE9">
            <w:pPr>
              <w:jc w:val="center"/>
              <w:rPr>
                <w:rFonts w:eastAsia="仿宋_GB2312"/>
                <w:color w:val="auto"/>
                <w:kern w:val="0"/>
                <w:szCs w:val="21"/>
              </w:rPr>
            </w:pPr>
            <w:r>
              <w:rPr>
                <w:rFonts w:eastAsia="仿宋_GB2312"/>
                <w:color w:val="auto"/>
                <w:kern w:val="0"/>
                <w:szCs w:val="21"/>
              </w:rPr>
              <w:t>11</w:t>
            </w:r>
          </w:p>
        </w:tc>
        <w:tc>
          <w:tcPr>
            <w:tcW w:w="1981" w:type="dxa"/>
            <w:vAlign w:val="center"/>
          </w:tcPr>
          <w:p w14:paraId="55DE3C5D">
            <w:pPr>
              <w:jc w:val="center"/>
              <w:rPr>
                <w:rFonts w:eastAsia="仿宋_GB2312"/>
                <w:color w:val="auto"/>
                <w:kern w:val="0"/>
                <w:szCs w:val="21"/>
              </w:rPr>
            </w:pPr>
            <w:r>
              <w:rPr>
                <w:rFonts w:eastAsia="仿宋_GB2312"/>
                <w:color w:val="auto"/>
                <w:kern w:val="0"/>
                <w:szCs w:val="21"/>
              </w:rPr>
              <w:t>水分测定仪</w:t>
            </w:r>
          </w:p>
        </w:tc>
        <w:tc>
          <w:tcPr>
            <w:tcW w:w="1513" w:type="dxa"/>
            <w:vAlign w:val="center"/>
          </w:tcPr>
          <w:p w14:paraId="49BE8DD5">
            <w:pPr>
              <w:jc w:val="center"/>
              <w:rPr>
                <w:rFonts w:eastAsia="仿宋_GB2312"/>
                <w:color w:val="auto"/>
                <w:kern w:val="0"/>
                <w:szCs w:val="21"/>
              </w:rPr>
            </w:pPr>
            <w:r>
              <w:rPr>
                <w:rFonts w:eastAsia="仿宋_GB2312"/>
                <w:color w:val="auto"/>
                <w:kern w:val="0"/>
                <w:szCs w:val="21"/>
              </w:rPr>
              <w:t>870KF</w:t>
            </w:r>
          </w:p>
        </w:tc>
        <w:tc>
          <w:tcPr>
            <w:tcW w:w="692" w:type="dxa"/>
            <w:vAlign w:val="center"/>
          </w:tcPr>
          <w:p w14:paraId="2E53FA40">
            <w:pPr>
              <w:jc w:val="center"/>
              <w:rPr>
                <w:rFonts w:eastAsia="仿宋_GB2312"/>
                <w:color w:val="auto"/>
                <w:kern w:val="0"/>
                <w:szCs w:val="21"/>
              </w:rPr>
            </w:pPr>
            <w:r>
              <w:rPr>
                <w:rFonts w:eastAsia="仿宋_GB2312"/>
                <w:color w:val="auto"/>
                <w:kern w:val="0"/>
                <w:szCs w:val="21"/>
              </w:rPr>
              <w:t>1</w:t>
            </w:r>
          </w:p>
        </w:tc>
        <w:tc>
          <w:tcPr>
            <w:tcW w:w="1831" w:type="dxa"/>
            <w:vAlign w:val="center"/>
          </w:tcPr>
          <w:p w14:paraId="66B422DE">
            <w:pPr>
              <w:jc w:val="center"/>
              <w:rPr>
                <w:rFonts w:eastAsia="仿宋_GB2312"/>
                <w:color w:val="auto"/>
                <w:kern w:val="0"/>
                <w:szCs w:val="21"/>
              </w:rPr>
            </w:pPr>
            <w:r>
              <w:rPr>
                <w:rFonts w:eastAsia="仿宋_GB2312"/>
                <w:color w:val="auto"/>
                <w:kern w:val="0"/>
                <w:szCs w:val="21"/>
              </w:rPr>
              <w:t>水分</w:t>
            </w:r>
          </w:p>
        </w:tc>
        <w:tc>
          <w:tcPr>
            <w:tcW w:w="1772" w:type="dxa"/>
            <w:vAlign w:val="center"/>
          </w:tcPr>
          <w:p w14:paraId="27AA92A4">
            <w:pPr>
              <w:jc w:val="center"/>
              <w:rPr>
                <w:rFonts w:eastAsia="仿宋_GB2312"/>
                <w:color w:val="auto"/>
                <w:kern w:val="0"/>
                <w:szCs w:val="21"/>
              </w:rPr>
            </w:pPr>
            <w:r>
              <w:rPr>
                <w:rFonts w:eastAsia="仿宋_GB2312"/>
                <w:color w:val="auto"/>
                <w:kern w:val="0"/>
                <w:szCs w:val="21"/>
              </w:rPr>
              <w:t>0.01(0-100)</w:t>
            </w:r>
          </w:p>
        </w:tc>
      </w:tr>
      <w:tr w14:paraId="6AD4C8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340" w:hRule="atLeast"/>
          <w:jc w:val="center"/>
        </w:trPr>
        <w:tc>
          <w:tcPr>
            <w:tcW w:w="819" w:type="dxa"/>
            <w:vAlign w:val="center"/>
          </w:tcPr>
          <w:p w14:paraId="01E2CBDD">
            <w:pPr>
              <w:jc w:val="center"/>
              <w:rPr>
                <w:rFonts w:eastAsia="仿宋_GB2312"/>
                <w:color w:val="auto"/>
                <w:kern w:val="0"/>
                <w:szCs w:val="21"/>
              </w:rPr>
            </w:pPr>
            <w:r>
              <w:rPr>
                <w:rFonts w:eastAsia="仿宋_GB2312"/>
                <w:color w:val="auto"/>
                <w:kern w:val="0"/>
                <w:szCs w:val="21"/>
              </w:rPr>
              <w:t>12</w:t>
            </w:r>
          </w:p>
        </w:tc>
        <w:tc>
          <w:tcPr>
            <w:tcW w:w="1981" w:type="dxa"/>
            <w:vAlign w:val="center"/>
          </w:tcPr>
          <w:p w14:paraId="74B394CE">
            <w:pPr>
              <w:jc w:val="center"/>
              <w:rPr>
                <w:rFonts w:eastAsia="仿宋_GB2312"/>
                <w:color w:val="auto"/>
                <w:kern w:val="0"/>
                <w:szCs w:val="21"/>
              </w:rPr>
            </w:pPr>
            <w:r>
              <w:rPr>
                <w:rFonts w:eastAsia="仿宋_GB2312"/>
                <w:color w:val="auto"/>
                <w:kern w:val="0"/>
                <w:szCs w:val="21"/>
              </w:rPr>
              <w:t>气相色谱仪</w:t>
            </w:r>
          </w:p>
        </w:tc>
        <w:tc>
          <w:tcPr>
            <w:tcW w:w="1513" w:type="dxa"/>
            <w:vAlign w:val="center"/>
          </w:tcPr>
          <w:p w14:paraId="28609388">
            <w:pPr>
              <w:jc w:val="center"/>
              <w:rPr>
                <w:rFonts w:eastAsia="仿宋_GB2312"/>
                <w:color w:val="auto"/>
                <w:kern w:val="0"/>
                <w:szCs w:val="21"/>
              </w:rPr>
            </w:pPr>
            <w:r>
              <w:rPr>
                <w:rFonts w:eastAsia="仿宋_GB2312"/>
                <w:color w:val="auto"/>
                <w:kern w:val="0"/>
                <w:szCs w:val="21"/>
              </w:rPr>
              <w:t>GC-2011</w:t>
            </w:r>
          </w:p>
        </w:tc>
        <w:tc>
          <w:tcPr>
            <w:tcW w:w="692" w:type="dxa"/>
            <w:vAlign w:val="center"/>
          </w:tcPr>
          <w:p w14:paraId="1C089A28">
            <w:pPr>
              <w:jc w:val="center"/>
              <w:rPr>
                <w:rFonts w:eastAsia="仿宋_GB2312"/>
                <w:color w:val="auto"/>
                <w:kern w:val="0"/>
                <w:szCs w:val="21"/>
              </w:rPr>
            </w:pPr>
            <w:r>
              <w:rPr>
                <w:rFonts w:eastAsia="仿宋_GB2312"/>
                <w:color w:val="auto"/>
                <w:kern w:val="0"/>
                <w:szCs w:val="21"/>
              </w:rPr>
              <w:t>1</w:t>
            </w:r>
          </w:p>
        </w:tc>
        <w:tc>
          <w:tcPr>
            <w:tcW w:w="1831" w:type="dxa"/>
            <w:vAlign w:val="center"/>
          </w:tcPr>
          <w:p w14:paraId="110EAA87">
            <w:pPr>
              <w:jc w:val="center"/>
              <w:rPr>
                <w:rFonts w:eastAsia="仿宋_GB2312"/>
                <w:color w:val="auto"/>
                <w:kern w:val="0"/>
                <w:szCs w:val="21"/>
              </w:rPr>
            </w:pPr>
            <w:r>
              <w:rPr>
                <w:rFonts w:eastAsia="仿宋_GB2312"/>
                <w:color w:val="auto"/>
                <w:kern w:val="0"/>
                <w:szCs w:val="21"/>
              </w:rPr>
              <w:t>溶剂定性及定量</w:t>
            </w:r>
          </w:p>
        </w:tc>
        <w:tc>
          <w:tcPr>
            <w:tcW w:w="1772" w:type="dxa"/>
            <w:vAlign w:val="center"/>
          </w:tcPr>
          <w:p w14:paraId="7AB0C725">
            <w:pPr>
              <w:jc w:val="center"/>
              <w:rPr>
                <w:rFonts w:eastAsia="仿宋_GB2312"/>
                <w:color w:val="auto"/>
                <w:kern w:val="0"/>
                <w:szCs w:val="21"/>
              </w:rPr>
            </w:pPr>
            <w:r>
              <w:rPr>
                <w:rFonts w:eastAsia="仿宋_GB2312"/>
                <w:color w:val="auto"/>
                <w:kern w:val="0"/>
                <w:szCs w:val="21"/>
              </w:rPr>
              <w:t>0.1%(5-100)</w:t>
            </w:r>
          </w:p>
        </w:tc>
      </w:tr>
      <w:tr w14:paraId="12D6EAB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340" w:hRule="atLeast"/>
          <w:jc w:val="center"/>
        </w:trPr>
        <w:tc>
          <w:tcPr>
            <w:tcW w:w="819" w:type="dxa"/>
            <w:vAlign w:val="center"/>
          </w:tcPr>
          <w:p w14:paraId="002D4149">
            <w:pPr>
              <w:jc w:val="center"/>
              <w:rPr>
                <w:rFonts w:eastAsia="仿宋_GB2312"/>
                <w:color w:val="auto"/>
                <w:kern w:val="0"/>
                <w:szCs w:val="21"/>
              </w:rPr>
            </w:pPr>
            <w:r>
              <w:rPr>
                <w:rFonts w:eastAsia="仿宋_GB2312"/>
                <w:color w:val="auto"/>
                <w:kern w:val="0"/>
                <w:szCs w:val="21"/>
              </w:rPr>
              <w:t>13</w:t>
            </w:r>
          </w:p>
        </w:tc>
        <w:tc>
          <w:tcPr>
            <w:tcW w:w="1981" w:type="dxa"/>
            <w:vAlign w:val="center"/>
          </w:tcPr>
          <w:p w14:paraId="632E3382">
            <w:pPr>
              <w:jc w:val="center"/>
              <w:rPr>
                <w:rFonts w:eastAsia="仿宋_GB2312"/>
                <w:color w:val="auto"/>
                <w:kern w:val="0"/>
                <w:szCs w:val="21"/>
              </w:rPr>
            </w:pPr>
            <w:r>
              <w:rPr>
                <w:rFonts w:eastAsia="仿宋_GB2312"/>
                <w:color w:val="auto"/>
                <w:kern w:val="0"/>
                <w:szCs w:val="21"/>
              </w:rPr>
              <w:t>水质多参数测定仪</w:t>
            </w:r>
          </w:p>
        </w:tc>
        <w:tc>
          <w:tcPr>
            <w:tcW w:w="1513" w:type="dxa"/>
            <w:vAlign w:val="center"/>
          </w:tcPr>
          <w:p w14:paraId="7E7ADF96">
            <w:pPr>
              <w:jc w:val="center"/>
              <w:rPr>
                <w:rFonts w:eastAsia="仿宋_GB2312"/>
                <w:color w:val="auto"/>
                <w:kern w:val="0"/>
                <w:szCs w:val="21"/>
              </w:rPr>
            </w:pPr>
            <w:r>
              <w:rPr>
                <w:rFonts w:eastAsia="仿宋_GB2312"/>
                <w:color w:val="auto"/>
                <w:kern w:val="0"/>
                <w:szCs w:val="21"/>
              </w:rPr>
              <w:t>6B-2000</w:t>
            </w:r>
          </w:p>
        </w:tc>
        <w:tc>
          <w:tcPr>
            <w:tcW w:w="692" w:type="dxa"/>
            <w:vAlign w:val="center"/>
          </w:tcPr>
          <w:p w14:paraId="4AE07228">
            <w:pPr>
              <w:jc w:val="center"/>
              <w:rPr>
                <w:rFonts w:eastAsia="仿宋_GB2312"/>
                <w:color w:val="auto"/>
                <w:kern w:val="0"/>
                <w:szCs w:val="21"/>
              </w:rPr>
            </w:pPr>
            <w:r>
              <w:rPr>
                <w:rFonts w:eastAsia="仿宋_GB2312"/>
                <w:color w:val="auto"/>
                <w:kern w:val="0"/>
                <w:szCs w:val="21"/>
              </w:rPr>
              <w:t>1</w:t>
            </w:r>
          </w:p>
        </w:tc>
        <w:tc>
          <w:tcPr>
            <w:tcW w:w="1831" w:type="dxa"/>
            <w:vAlign w:val="center"/>
          </w:tcPr>
          <w:p w14:paraId="1F883B54">
            <w:pPr>
              <w:jc w:val="center"/>
              <w:rPr>
                <w:rFonts w:eastAsia="仿宋_GB2312"/>
                <w:color w:val="auto"/>
                <w:kern w:val="0"/>
                <w:szCs w:val="21"/>
              </w:rPr>
            </w:pPr>
            <w:r>
              <w:rPr>
                <w:rFonts w:eastAsia="仿宋_GB2312"/>
                <w:color w:val="auto"/>
                <w:kern w:val="0"/>
                <w:szCs w:val="21"/>
              </w:rPr>
              <w:t>COD、总氮、总磷、氨氮</w:t>
            </w:r>
          </w:p>
        </w:tc>
        <w:tc>
          <w:tcPr>
            <w:tcW w:w="1772" w:type="dxa"/>
            <w:shd w:val="clear" w:color="auto" w:fill="FFFFFF"/>
            <w:vAlign w:val="center"/>
          </w:tcPr>
          <w:p w14:paraId="4858D457">
            <w:pPr>
              <w:jc w:val="center"/>
              <w:rPr>
                <w:rFonts w:eastAsia="仿宋_GB2312"/>
                <w:color w:val="auto"/>
                <w:kern w:val="0"/>
                <w:szCs w:val="21"/>
              </w:rPr>
            </w:pPr>
            <w:r>
              <w:rPr>
                <w:rFonts w:eastAsia="仿宋_GB2312"/>
                <w:color w:val="auto"/>
                <w:kern w:val="0"/>
                <w:szCs w:val="21"/>
              </w:rPr>
              <w:t>总氮：0~40mg/l±5%</w:t>
            </w:r>
          </w:p>
        </w:tc>
      </w:tr>
      <w:tr w14:paraId="18B4D01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340" w:hRule="atLeast"/>
          <w:jc w:val="center"/>
        </w:trPr>
        <w:tc>
          <w:tcPr>
            <w:tcW w:w="819" w:type="dxa"/>
            <w:vAlign w:val="center"/>
          </w:tcPr>
          <w:p w14:paraId="59F84C65">
            <w:pPr>
              <w:jc w:val="center"/>
              <w:rPr>
                <w:rFonts w:eastAsia="仿宋_GB2312"/>
                <w:color w:val="auto"/>
                <w:kern w:val="0"/>
                <w:szCs w:val="21"/>
              </w:rPr>
            </w:pPr>
            <w:r>
              <w:rPr>
                <w:rFonts w:eastAsia="仿宋_GB2312"/>
                <w:color w:val="auto"/>
                <w:kern w:val="0"/>
                <w:szCs w:val="21"/>
              </w:rPr>
              <w:t>14</w:t>
            </w:r>
          </w:p>
        </w:tc>
        <w:tc>
          <w:tcPr>
            <w:tcW w:w="1981" w:type="dxa"/>
            <w:vAlign w:val="center"/>
          </w:tcPr>
          <w:p w14:paraId="2597A293">
            <w:pPr>
              <w:jc w:val="center"/>
              <w:rPr>
                <w:rFonts w:eastAsia="仿宋_GB2312"/>
                <w:color w:val="auto"/>
                <w:kern w:val="0"/>
                <w:szCs w:val="21"/>
              </w:rPr>
            </w:pPr>
            <w:r>
              <w:rPr>
                <w:rFonts w:eastAsia="仿宋_GB2312"/>
                <w:color w:val="auto"/>
                <w:kern w:val="0"/>
                <w:szCs w:val="21"/>
              </w:rPr>
              <w:t>超纯水机</w:t>
            </w:r>
          </w:p>
        </w:tc>
        <w:tc>
          <w:tcPr>
            <w:tcW w:w="1513" w:type="dxa"/>
            <w:vAlign w:val="center"/>
          </w:tcPr>
          <w:p w14:paraId="454499C0">
            <w:pPr>
              <w:jc w:val="center"/>
              <w:rPr>
                <w:rFonts w:eastAsia="仿宋_GB2312"/>
                <w:color w:val="auto"/>
                <w:kern w:val="0"/>
                <w:szCs w:val="21"/>
              </w:rPr>
            </w:pPr>
            <w:r>
              <w:rPr>
                <w:rFonts w:eastAsia="仿宋_GB2312"/>
                <w:color w:val="auto"/>
                <w:kern w:val="0"/>
                <w:szCs w:val="21"/>
              </w:rPr>
              <w:t>Z11010071</w:t>
            </w:r>
          </w:p>
        </w:tc>
        <w:tc>
          <w:tcPr>
            <w:tcW w:w="692" w:type="dxa"/>
            <w:vAlign w:val="center"/>
          </w:tcPr>
          <w:p w14:paraId="73CB2500">
            <w:pPr>
              <w:jc w:val="center"/>
              <w:rPr>
                <w:rFonts w:eastAsia="仿宋_GB2312"/>
                <w:color w:val="auto"/>
                <w:kern w:val="0"/>
                <w:szCs w:val="21"/>
              </w:rPr>
            </w:pPr>
            <w:r>
              <w:rPr>
                <w:rFonts w:eastAsia="仿宋_GB2312"/>
                <w:color w:val="auto"/>
                <w:kern w:val="0"/>
                <w:szCs w:val="21"/>
              </w:rPr>
              <w:t>1</w:t>
            </w:r>
          </w:p>
        </w:tc>
        <w:tc>
          <w:tcPr>
            <w:tcW w:w="1831" w:type="dxa"/>
            <w:vAlign w:val="center"/>
          </w:tcPr>
          <w:p w14:paraId="5357716D">
            <w:pPr>
              <w:jc w:val="center"/>
              <w:rPr>
                <w:rFonts w:eastAsia="仿宋_GB2312"/>
                <w:color w:val="auto"/>
                <w:kern w:val="0"/>
                <w:szCs w:val="21"/>
              </w:rPr>
            </w:pPr>
            <w:r>
              <w:rPr>
                <w:rFonts w:eastAsia="仿宋_GB2312"/>
                <w:color w:val="auto"/>
                <w:kern w:val="0"/>
                <w:szCs w:val="21"/>
              </w:rPr>
              <w:t>去离子水</w:t>
            </w:r>
          </w:p>
        </w:tc>
        <w:tc>
          <w:tcPr>
            <w:tcW w:w="1772" w:type="dxa"/>
            <w:vAlign w:val="center"/>
          </w:tcPr>
          <w:p w14:paraId="5CA74953">
            <w:pPr>
              <w:jc w:val="center"/>
              <w:rPr>
                <w:rFonts w:eastAsia="仿宋_GB2312"/>
                <w:color w:val="auto"/>
                <w:kern w:val="0"/>
                <w:szCs w:val="21"/>
              </w:rPr>
            </w:pPr>
            <w:r>
              <w:rPr>
                <w:rFonts w:eastAsia="仿宋_GB2312"/>
                <w:color w:val="auto"/>
                <w:kern w:val="0"/>
                <w:szCs w:val="21"/>
              </w:rPr>
              <w:t>电阻率10～16MΩ.cm</w:t>
            </w:r>
          </w:p>
        </w:tc>
      </w:tr>
      <w:tr w14:paraId="3F90AC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340" w:hRule="atLeast"/>
          <w:jc w:val="center"/>
        </w:trPr>
        <w:tc>
          <w:tcPr>
            <w:tcW w:w="819" w:type="dxa"/>
            <w:vAlign w:val="center"/>
          </w:tcPr>
          <w:p w14:paraId="6BA0D601">
            <w:pPr>
              <w:jc w:val="center"/>
              <w:rPr>
                <w:rFonts w:eastAsia="仿宋_GB2312"/>
                <w:color w:val="auto"/>
                <w:kern w:val="0"/>
                <w:szCs w:val="21"/>
              </w:rPr>
            </w:pPr>
            <w:r>
              <w:rPr>
                <w:rFonts w:eastAsia="仿宋_GB2312"/>
                <w:color w:val="auto"/>
                <w:kern w:val="0"/>
                <w:szCs w:val="21"/>
              </w:rPr>
              <w:t>15</w:t>
            </w:r>
          </w:p>
        </w:tc>
        <w:tc>
          <w:tcPr>
            <w:tcW w:w="1981" w:type="dxa"/>
            <w:vAlign w:val="center"/>
          </w:tcPr>
          <w:p w14:paraId="143ECCAB">
            <w:pPr>
              <w:jc w:val="center"/>
              <w:rPr>
                <w:rFonts w:eastAsia="仿宋_GB2312"/>
                <w:color w:val="auto"/>
                <w:kern w:val="0"/>
                <w:szCs w:val="21"/>
              </w:rPr>
            </w:pPr>
            <w:r>
              <w:rPr>
                <w:rFonts w:eastAsia="仿宋_GB2312"/>
                <w:color w:val="auto"/>
                <w:kern w:val="0"/>
                <w:szCs w:val="21"/>
              </w:rPr>
              <w:t>COD多元速测仪</w:t>
            </w:r>
          </w:p>
        </w:tc>
        <w:tc>
          <w:tcPr>
            <w:tcW w:w="1513" w:type="dxa"/>
            <w:vAlign w:val="center"/>
          </w:tcPr>
          <w:p w14:paraId="483E699A">
            <w:pPr>
              <w:jc w:val="center"/>
              <w:rPr>
                <w:rFonts w:eastAsia="仿宋_GB2312"/>
                <w:color w:val="auto"/>
                <w:kern w:val="0"/>
                <w:szCs w:val="21"/>
              </w:rPr>
            </w:pPr>
            <w:r>
              <w:rPr>
                <w:rFonts w:eastAsia="仿宋_GB2312"/>
                <w:color w:val="auto"/>
                <w:kern w:val="0"/>
                <w:szCs w:val="21"/>
              </w:rPr>
              <w:t>5B-(B)</w:t>
            </w:r>
          </w:p>
        </w:tc>
        <w:tc>
          <w:tcPr>
            <w:tcW w:w="692" w:type="dxa"/>
            <w:vAlign w:val="center"/>
          </w:tcPr>
          <w:p w14:paraId="1D661C9A">
            <w:pPr>
              <w:jc w:val="center"/>
              <w:rPr>
                <w:rFonts w:eastAsia="仿宋_GB2312"/>
                <w:color w:val="auto"/>
                <w:kern w:val="0"/>
                <w:szCs w:val="21"/>
              </w:rPr>
            </w:pPr>
            <w:r>
              <w:rPr>
                <w:rFonts w:eastAsia="仿宋_GB2312"/>
                <w:color w:val="auto"/>
                <w:kern w:val="0"/>
                <w:szCs w:val="21"/>
              </w:rPr>
              <w:t>1</w:t>
            </w:r>
          </w:p>
        </w:tc>
        <w:tc>
          <w:tcPr>
            <w:tcW w:w="1831" w:type="dxa"/>
            <w:vAlign w:val="center"/>
          </w:tcPr>
          <w:p w14:paraId="716409BF">
            <w:pPr>
              <w:jc w:val="center"/>
              <w:rPr>
                <w:rFonts w:eastAsia="仿宋_GB2312"/>
                <w:color w:val="auto"/>
                <w:kern w:val="0"/>
                <w:szCs w:val="21"/>
              </w:rPr>
            </w:pPr>
            <w:r>
              <w:rPr>
                <w:rFonts w:eastAsia="仿宋_GB2312"/>
                <w:color w:val="auto"/>
                <w:kern w:val="0"/>
                <w:szCs w:val="21"/>
              </w:rPr>
              <w:t>COD、总磷、氨氮</w:t>
            </w:r>
          </w:p>
        </w:tc>
        <w:tc>
          <w:tcPr>
            <w:tcW w:w="1772" w:type="dxa"/>
            <w:vAlign w:val="center"/>
          </w:tcPr>
          <w:p w14:paraId="25D6E15E">
            <w:pPr>
              <w:jc w:val="center"/>
              <w:rPr>
                <w:rFonts w:eastAsia="仿宋_GB2312"/>
                <w:color w:val="auto"/>
                <w:kern w:val="0"/>
                <w:szCs w:val="21"/>
              </w:rPr>
            </w:pPr>
            <w:r>
              <w:rPr>
                <w:rFonts w:eastAsia="仿宋_GB2312"/>
                <w:color w:val="auto"/>
                <w:kern w:val="0"/>
                <w:szCs w:val="21"/>
              </w:rPr>
              <w:t>0-500mg/L</w:t>
            </w:r>
          </w:p>
        </w:tc>
      </w:tr>
      <w:tr w14:paraId="34F456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340" w:hRule="atLeast"/>
          <w:jc w:val="center"/>
        </w:trPr>
        <w:tc>
          <w:tcPr>
            <w:tcW w:w="819" w:type="dxa"/>
            <w:vAlign w:val="center"/>
          </w:tcPr>
          <w:p w14:paraId="2C26B923">
            <w:pPr>
              <w:jc w:val="center"/>
              <w:rPr>
                <w:rFonts w:eastAsia="仿宋_GB2312"/>
                <w:color w:val="auto"/>
                <w:kern w:val="0"/>
                <w:szCs w:val="21"/>
              </w:rPr>
            </w:pPr>
            <w:r>
              <w:rPr>
                <w:rFonts w:eastAsia="仿宋_GB2312"/>
                <w:color w:val="auto"/>
                <w:kern w:val="0"/>
                <w:szCs w:val="21"/>
              </w:rPr>
              <w:t>16</w:t>
            </w:r>
          </w:p>
        </w:tc>
        <w:tc>
          <w:tcPr>
            <w:tcW w:w="1981" w:type="dxa"/>
            <w:vAlign w:val="center"/>
          </w:tcPr>
          <w:p w14:paraId="649931D4">
            <w:pPr>
              <w:jc w:val="center"/>
              <w:rPr>
                <w:rFonts w:eastAsia="仿宋_GB2312"/>
                <w:color w:val="auto"/>
                <w:kern w:val="0"/>
                <w:szCs w:val="21"/>
              </w:rPr>
            </w:pPr>
            <w:r>
              <w:rPr>
                <w:rFonts w:eastAsia="仿宋_GB2312"/>
                <w:color w:val="auto"/>
                <w:kern w:val="0"/>
                <w:szCs w:val="21"/>
              </w:rPr>
              <w:t>数显超级油浴</w:t>
            </w:r>
          </w:p>
        </w:tc>
        <w:tc>
          <w:tcPr>
            <w:tcW w:w="1513" w:type="dxa"/>
            <w:vAlign w:val="center"/>
          </w:tcPr>
          <w:p w14:paraId="6419821B">
            <w:pPr>
              <w:jc w:val="center"/>
              <w:rPr>
                <w:rFonts w:eastAsia="仿宋_GB2312"/>
                <w:color w:val="auto"/>
                <w:kern w:val="0"/>
                <w:szCs w:val="21"/>
              </w:rPr>
            </w:pPr>
            <w:r>
              <w:rPr>
                <w:rFonts w:eastAsia="仿宋_GB2312"/>
                <w:color w:val="auto"/>
                <w:kern w:val="0"/>
                <w:szCs w:val="21"/>
              </w:rPr>
              <w:t>HH-SA</w:t>
            </w:r>
          </w:p>
        </w:tc>
        <w:tc>
          <w:tcPr>
            <w:tcW w:w="692" w:type="dxa"/>
            <w:vAlign w:val="center"/>
          </w:tcPr>
          <w:p w14:paraId="41A13BD2">
            <w:pPr>
              <w:jc w:val="center"/>
              <w:rPr>
                <w:rFonts w:eastAsia="仿宋_GB2312"/>
                <w:color w:val="auto"/>
                <w:kern w:val="0"/>
                <w:szCs w:val="21"/>
              </w:rPr>
            </w:pPr>
            <w:r>
              <w:rPr>
                <w:rFonts w:eastAsia="仿宋_GB2312"/>
                <w:color w:val="auto"/>
                <w:kern w:val="0"/>
                <w:szCs w:val="21"/>
              </w:rPr>
              <w:t>1</w:t>
            </w:r>
          </w:p>
        </w:tc>
        <w:tc>
          <w:tcPr>
            <w:tcW w:w="1831" w:type="dxa"/>
            <w:vAlign w:val="center"/>
          </w:tcPr>
          <w:p w14:paraId="6180C459">
            <w:pPr>
              <w:jc w:val="center"/>
              <w:rPr>
                <w:rFonts w:eastAsia="仿宋_GB2312"/>
                <w:color w:val="auto"/>
                <w:kern w:val="0"/>
                <w:szCs w:val="21"/>
              </w:rPr>
            </w:pPr>
            <w:r>
              <w:rPr>
                <w:rFonts w:eastAsia="仿宋_GB2312"/>
                <w:color w:val="auto"/>
                <w:kern w:val="0"/>
                <w:szCs w:val="21"/>
              </w:rPr>
              <w:t>恒温</w:t>
            </w:r>
          </w:p>
        </w:tc>
        <w:tc>
          <w:tcPr>
            <w:tcW w:w="1772" w:type="dxa"/>
            <w:vAlign w:val="center"/>
          </w:tcPr>
          <w:p w14:paraId="23F97B1A">
            <w:pPr>
              <w:jc w:val="center"/>
              <w:rPr>
                <w:rFonts w:eastAsia="仿宋_GB2312"/>
                <w:color w:val="auto"/>
                <w:kern w:val="0"/>
                <w:szCs w:val="21"/>
              </w:rPr>
            </w:pPr>
            <w:r>
              <w:rPr>
                <w:rFonts w:eastAsia="仿宋_GB2312"/>
                <w:color w:val="auto"/>
                <w:kern w:val="0"/>
                <w:szCs w:val="21"/>
              </w:rPr>
              <w:t>0-300</w:t>
            </w:r>
            <w:r>
              <w:rPr>
                <w:rFonts w:hint="eastAsia" w:ascii="宋体" w:hAnsi="宋体" w:cs="宋体"/>
                <w:color w:val="auto"/>
                <w:kern w:val="0"/>
                <w:szCs w:val="21"/>
              </w:rPr>
              <w:t>℃</w:t>
            </w:r>
          </w:p>
        </w:tc>
      </w:tr>
      <w:tr w14:paraId="32514C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340" w:hRule="atLeast"/>
          <w:jc w:val="center"/>
        </w:trPr>
        <w:tc>
          <w:tcPr>
            <w:tcW w:w="819" w:type="dxa"/>
            <w:vAlign w:val="center"/>
          </w:tcPr>
          <w:p w14:paraId="1C9741F7">
            <w:pPr>
              <w:jc w:val="center"/>
              <w:rPr>
                <w:rFonts w:eastAsia="仿宋_GB2312"/>
                <w:color w:val="auto"/>
                <w:kern w:val="0"/>
                <w:szCs w:val="21"/>
              </w:rPr>
            </w:pPr>
            <w:r>
              <w:rPr>
                <w:rFonts w:eastAsia="仿宋_GB2312"/>
                <w:color w:val="auto"/>
                <w:kern w:val="0"/>
                <w:szCs w:val="21"/>
              </w:rPr>
              <w:t>17</w:t>
            </w:r>
          </w:p>
        </w:tc>
        <w:tc>
          <w:tcPr>
            <w:tcW w:w="1981" w:type="dxa"/>
            <w:vAlign w:val="center"/>
          </w:tcPr>
          <w:p w14:paraId="71CA6E81">
            <w:pPr>
              <w:jc w:val="center"/>
              <w:rPr>
                <w:rFonts w:eastAsia="仿宋_GB2312"/>
                <w:color w:val="auto"/>
                <w:kern w:val="0"/>
                <w:szCs w:val="21"/>
              </w:rPr>
            </w:pPr>
            <w:r>
              <w:rPr>
                <w:rFonts w:eastAsia="仿宋_GB2312"/>
                <w:color w:val="auto"/>
                <w:kern w:val="0"/>
                <w:szCs w:val="21"/>
              </w:rPr>
              <w:t>高精度燃油热值检测仪</w:t>
            </w:r>
          </w:p>
        </w:tc>
        <w:tc>
          <w:tcPr>
            <w:tcW w:w="1513" w:type="dxa"/>
            <w:vAlign w:val="center"/>
          </w:tcPr>
          <w:p w14:paraId="7DFE3987">
            <w:pPr>
              <w:jc w:val="center"/>
              <w:rPr>
                <w:rFonts w:eastAsia="仿宋_GB2312"/>
                <w:color w:val="auto"/>
                <w:kern w:val="0"/>
                <w:szCs w:val="21"/>
              </w:rPr>
            </w:pPr>
            <w:r>
              <w:rPr>
                <w:rFonts w:eastAsia="仿宋_GB2312"/>
                <w:color w:val="auto"/>
                <w:kern w:val="0"/>
                <w:szCs w:val="21"/>
              </w:rPr>
              <w:t>ZDHW-10000M</w:t>
            </w:r>
          </w:p>
        </w:tc>
        <w:tc>
          <w:tcPr>
            <w:tcW w:w="692" w:type="dxa"/>
            <w:vAlign w:val="center"/>
          </w:tcPr>
          <w:p w14:paraId="1CF1FB30">
            <w:pPr>
              <w:jc w:val="center"/>
              <w:rPr>
                <w:rFonts w:eastAsia="仿宋_GB2312"/>
                <w:color w:val="auto"/>
                <w:kern w:val="0"/>
                <w:szCs w:val="21"/>
              </w:rPr>
            </w:pPr>
            <w:r>
              <w:rPr>
                <w:rFonts w:eastAsia="仿宋_GB2312"/>
                <w:color w:val="auto"/>
                <w:kern w:val="0"/>
                <w:szCs w:val="21"/>
              </w:rPr>
              <w:t>1</w:t>
            </w:r>
          </w:p>
        </w:tc>
        <w:tc>
          <w:tcPr>
            <w:tcW w:w="1831" w:type="dxa"/>
            <w:vAlign w:val="center"/>
          </w:tcPr>
          <w:p w14:paraId="0A3E1FC1">
            <w:pPr>
              <w:jc w:val="center"/>
              <w:rPr>
                <w:rFonts w:eastAsia="仿宋_GB2312"/>
                <w:color w:val="auto"/>
                <w:kern w:val="0"/>
                <w:szCs w:val="21"/>
              </w:rPr>
            </w:pPr>
            <w:r>
              <w:rPr>
                <w:rFonts w:eastAsia="仿宋_GB2312"/>
                <w:color w:val="auto"/>
                <w:kern w:val="0"/>
                <w:szCs w:val="21"/>
              </w:rPr>
              <w:t>热值</w:t>
            </w:r>
          </w:p>
        </w:tc>
        <w:tc>
          <w:tcPr>
            <w:tcW w:w="1772" w:type="dxa"/>
            <w:vAlign w:val="center"/>
          </w:tcPr>
          <w:p w14:paraId="0C54F540">
            <w:pPr>
              <w:jc w:val="center"/>
              <w:rPr>
                <w:rFonts w:eastAsia="仿宋_GB2312"/>
                <w:color w:val="auto"/>
                <w:kern w:val="0"/>
                <w:szCs w:val="21"/>
              </w:rPr>
            </w:pPr>
            <w:r>
              <w:rPr>
                <w:rFonts w:eastAsia="仿宋_GB2312"/>
                <w:color w:val="auto"/>
                <w:kern w:val="0"/>
                <w:szCs w:val="21"/>
              </w:rPr>
              <w:t>1-10000卡</w:t>
            </w:r>
          </w:p>
        </w:tc>
      </w:tr>
      <w:tr w14:paraId="1A6458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340" w:hRule="atLeast"/>
          <w:jc w:val="center"/>
        </w:trPr>
        <w:tc>
          <w:tcPr>
            <w:tcW w:w="819" w:type="dxa"/>
            <w:vAlign w:val="center"/>
          </w:tcPr>
          <w:p w14:paraId="73E9EF34">
            <w:pPr>
              <w:jc w:val="center"/>
              <w:rPr>
                <w:rFonts w:eastAsia="仿宋_GB2312"/>
                <w:color w:val="auto"/>
                <w:kern w:val="0"/>
                <w:szCs w:val="21"/>
              </w:rPr>
            </w:pPr>
            <w:r>
              <w:rPr>
                <w:rFonts w:eastAsia="仿宋_GB2312"/>
                <w:color w:val="auto"/>
                <w:kern w:val="0"/>
                <w:szCs w:val="21"/>
              </w:rPr>
              <w:t>18</w:t>
            </w:r>
          </w:p>
        </w:tc>
        <w:tc>
          <w:tcPr>
            <w:tcW w:w="1981" w:type="dxa"/>
            <w:vAlign w:val="center"/>
          </w:tcPr>
          <w:p w14:paraId="708AA309">
            <w:pPr>
              <w:jc w:val="center"/>
              <w:rPr>
                <w:rFonts w:eastAsia="仿宋_GB2312"/>
                <w:color w:val="auto"/>
                <w:kern w:val="0"/>
                <w:szCs w:val="21"/>
              </w:rPr>
            </w:pPr>
            <w:r>
              <w:rPr>
                <w:rFonts w:eastAsia="仿宋_GB2312"/>
                <w:color w:val="auto"/>
                <w:kern w:val="0"/>
                <w:szCs w:val="21"/>
              </w:rPr>
              <w:t>气相色谱仪</w:t>
            </w:r>
          </w:p>
        </w:tc>
        <w:tc>
          <w:tcPr>
            <w:tcW w:w="1513" w:type="dxa"/>
            <w:vAlign w:val="center"/>
          </w:tcPr>
          <w:p w14:paraId="119D87EF">
            <w:pPr>
              <w:jc w:val="center"/>
              <w:rPr>
                <w:rFonts w:eastAsia="仿宋_GB2312"/>
                <w:color w:val="auto"/>
                <w:kern w:val="0"/>
                <w:szCs w:val="21"/>
              </w:rPr>
            </w:pPr>
            <w:r>
              <w:rPr>
                <w:rFonts w:eastAsia="仿宋_GB2312"/>
                <w:color w:val="auto"/>
                <w:kern w:val="0"/>
                <w:szCs w:val="21"/>
              </w:rPr>
              <w:t>9890AS</w:t>
            </w:r>
          </w:p>
        </w:tc>
        <w:tc>
          <w:tcPr>
            <w:tcW w:w="692" w:type="dxa"/>
            <w:vAlign w:val="center"/>
          </w:tcPr>
          <w:p w14:paraId="63749272">
            <w:pPr>
              <w:jc w:val="center"/>
              <w:rPr>
                <w:rFonts w:eastAsia="仿宋_GB2312"/>
                <w:color w:val="auto"/>
                <w:kern w:val="0"/>
                <w:szCs w:val="21"/>
              </w:rPr>
            </w:pPr>
            <w:r>
              <w:rPr>
                <w:rFonts w:eastAsia="仿宋_GB2312"/>
                <w:color w:val="auto"/>
                <w:kern w:val="0"/>
                <w:szCs w:val="21"/>
              </w:rPr>
              <w:t>2</w:t>
            </w:r>
          </w:p>
        </w:tc>
        <w:tc>
          <w:tcPr>
            <w:tcW w:w="1831" w:type="dxa"/>
            <w:vAlign w:val="center"/>
          </w:tcPr>
          <w:p w14:paraId="0A230937">
            <w:pPr>
              <w:jc w:val="center"/>
              <w:rPr>
                <w:rFonts w:eastAsia="仿宋_GB2312"/>
                <w:color w:val="auto"/>
                <w:kern w:val="0"/>
                <w:szCs w:val="21"/>
              </w:rPr>
            </w:pPr>
            <w:r>
              <w:rPr>
                <w:rFonts w:eastAsia="仿宋_GB2312"/>
                <w:color w:val="auto"/>
                <w:kern w:val="0"/>
                <w:szCs w:val="21"/>
              </w:rPr>
              <w:t>溶剂定性及定量</w:t>
            </w:r>
          </w:p>
        </w:tc>
        <w:tc>
          <w:tcPr>
            <w:tcW w:w="1772" w:type="dxa"/>
            <w:vAlign w:val="center"/>
          </w:tcPr>
          <w:p w14:paraId="7D2548BC">
            <w:pPr>
              <w:jc w:val="center"/>
              <w:rPr>
                <w:rFonts w:eastAsia="仿宋_GB2312"/>
                <w:color w:val="auto"/>
                <w:kern w:val="0"/>
                <w:szCs w:val="21"/>
              </w:rPr>
            </w:pPr>
            <w:r>
              <w:rPr>
                <w:rFonts w:eastAsia="仿宋_GB2312"/>
                <w:color w:val="auto"/>
                <w:kern w:val="0"/>
                <w:szCs w:val="21"/>
              </w:rPr>
              <w:t>0.1%(5-100)</w:t>
            </w:r>
          </w:p>
        </w:tc>
      </w:tr>
      <w:tr w14:paraId="50C642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340" w:hRule="atLeast"/>
          <w:jc w:val="center"/>
        </w:trPr>
        <w:tc>
          <w:tcPr>
            <w:tcW w:w="819" w:type="dxa"/>
            <w:vAlign w:val="center"/>
          </w:tcPr>
          <w:p w14:paraId="16A89D36">
            <w:pPr>
              <w:jc w:val="center"/>
              <w:rPr>
                <w:rFonts w:eastAsia="仿宋_GB2312"/>
                <w:color w:val="auto"/>
                <w:kern w:val="0"/>
                <w:szCs w:val="21"/>
              </w:rPr>
            </w:pPr>
            <w:r>
              <w:rPr>
                <w:rFonts w:eastAsia="仿宋_GB2312"/>
                <w:color w:val="auto"/>
                <w:kern w:val="0"/>
                <w:szCs w:val="21"/>
              </w:rPr>
              <w:t>19</w:t>
            </w:r>
          </w:p>
        </w:tc>
        <w:tc>
          <w:tcPr>
            <w:tcW w:w="1981" w:type="dxa"/>
            <w:vAlign w:val="center"/>
          </w:tcPr>
          <w:p w14:paraId="5DA3E51A">
            <w:pPr>
              <w:jc w:val="center"/>
              <w:rPr>
                <w:rFonts w:eastAsia="仿宋_GB2312"/>
                <w:color w:val="auto"/>
                <w:kern w:val="0"/>
                <w:szCs w:val="21"/>
              </w:rPr>
            </w:pPr>
            <w:r>
              <w:rPr>
                <w:rFonts w:eastAsia="仿宋_GB2312"/>
                <w:color w:val="auto"/>
                <w:kern w:val="0"/>
                <w:szCs w:val="21"/>
              </w:rPr>
              <w:t>pH计</w:t>
            </w:r>
          </w:p>
        </w:tc>
        <w:tc>
          <w:tcPr>
            <w:tcW w:w="1513" w:type="dxa"/>
            <w:vAlign w:val="center"/>
          </w:tcPr>
          <w:p w14:paraId="7398F108">
            <w:pPr>
              <w:jc w:val="center"/>
              <w:rPr>
                <w:rFonts w:eastAsia="仿宋_GB2312"/>
                <w:color w:val="auto"/>
                <w:kern w:val="0"/>
                <w:szCs w:val="21"/>
              </w:rPr>
            </w:pPr>
            <w:r>
              <w:rPr>
                <w:rFonts w:eastAsia="仿宋_GB2312"/>
                <w:color w:val="auto"/>
                <w:kern w:val="0"/>
                <w:szCs w:val="21"/>
              </w:rPr>
              <w:t>PHS-3C</w:t>
            </w:r>
          </w:p>
        </w:tc>
        <w:tc>
          <w:tcPr>
            <w:tcW w:w="692" w:type="dxa"/>
            <w:vAlign w:val="center"/>
          </w:tcPr>
          <w:p w14:paraId="4D63B0E6">
            <w:pPr>
              <w:jc w:val="center"/>
              <w:rPr>
                <w:rFonts w:eastAsia="仿宋_GB2312"/>
                <w:color w:val="auto"/>
                <w:kern w:val="0"/>
                <w:szCs w:val="21"/>
              </w:rPr>
            </w:pPr>
            <w:r>
              <w:rPr>
                <w:rFonts w:eastAsia="仿宋_GB2312"/>
                <w:color w:val="auto"/>
                <w:kern w:val="0"/>
                <w:szCs w:val="21"/>
              </w:rPr>
              <w:t>1</w:t>
            </w:r>
          </w:p>
        </w:tc>
        <w:tc>
          <w:tcPr>
            <w:tcW w:w="1831" w:type="dxa"/>
            <w:vAlign w:val="center"/>
          </w:tcPr>
          <w:p w14:paraId="04863E1A">
            <w:pPr>
              <w:jc w:val="center"/>
              <w:rPr>
                <w:rFonts w:eastAsia="仿宋_GB2312"/>
                <w:color w:val="auto"/>
                <w:kern w:val="0"/>
                <w:szCs w:val="21"/>
              </w:rPr>
            </w:pPr>
            <w:r>
              <w:rPr>
                <w:rFonts w:eastAsia="仿宋_GB2312"/>
                <w:color w:val="auto"/>
                <w:kern w:val="0"/>
                <w:szCs w:val="21"/>
              </w:rPr>
              <w:t>pH值</w:t>
            </w:r>
          </w:p>
        </w:tc>
        <w:tc>
          <w:tcPr>
            <w:tcW w:w="1772" w:type="dxa"/>
            <w:vAlign w:val="center"/>
          </w:tcPr>
          <w:p w14:paraId="2D09170E">
            <w:pPr>
              <w:jc w:val="center"/>
              <w:rPr>
                <w:rFonts w:eastAsia="仿宋_GB2312"/>
                <w:color w:val="auto"/>
                <w:kern w:val="0"/>
                <w:szCs w:val="21"/>
              </w:rPr>
            </w:pPr>
            <w:r>
              <w:rPr>
                <w:rFonts w:eastAsia="仿宋_GB2312"/>
                <w:color w:val="auto"/>
                <w:kern w:val="0"/>
                <w:szCs w:val="21"/>
              </w:rPr>
              <w:t>0.01(1-14)</w:t>
            </w:r>
          </w:p>
        </w:tc>
      </w:tr>
      <w:tr w14:paraId="48D016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340" w:hRule="atLeast"/>
          <w:jc w:val="center"/>
        </w:trPr>
        <w:tc>
          <w:tcPr>
            <w:tcW w:w="819" w:type="dxa"/>
            <w:vAlign w:val="center"/>
          </w:tcPr>
          <w:p w14:paraId="6104A1A6">
            <w:pPr>
              <w:jc w:val="center"/>
              <w:rPr>
                <w:rFonts w:eastAsia="仿宋_GB2312"/>
                <w:color w:val="auto"/>
                <w:kern w:val="0"/>
                <w:szCs w:val="21"/>
              </w:rPr>
            </w:pPr>
            <w:r>
              <w:rPr>
                <w:rFonts w:eastAsia="仿宋_GB2312"/>
                <w:color w:val="auto"/>
                <w:kern w:val="0"/>
                <w:szCs w:val="21"/>
              </w:rPr>
              <w:t>20</w:t>
            </w:r>
          </w:p>
        </w:tc>
        <w:tc>
          <w:tcPr>
            <w:tcW w:w="1981" w:type="dxa"/>
            <w:vAlign w:val="center"/>
          </w:tcPr>
          <w:p w14:paraId="09BA50EC">
            <w:pPr>
              <w:jc w:val="center"/>
              <w:rPr>
                <w:rFonts w:eastAsia="仿宋_GB2312"/>
                <w:color w:val="auto"/>
                <w:kern w:val="0"/>
                <w:szCs w:val="21"/>
              </w:rPr>
            </w:pPr>
            <w:r>
              <w:rPr>
                <w:rFonts w:eastAsia="仿宋_GB2312"/>
                <w:color w:val="auto"/>
                <w:kern w:val="0"/>
                <w:szCs w:val="21"/>
              </w:rPr>
              <w:t>BOD</w:t>
            </w:r>
            <w:r>
              <w:rPr>
                <w:rFonts w:eastAsia="仿宋_GB2312"/>
                <w:color w:val="auto"/>
                <w:kern w:val="0"/>
                <w:szCs w:val="21"/>
                <w:vertAlign w:val="subscript"/>
              </w:rPr>
              <w:t>5</w:t>
            </w:r>
          </w:p>
        </w:tc>
        <w:tc>
          <w:tcPr>
            <w:tcW w:w="1513" w:type="dxa"/>
            <w:vAlign w:val="center"/>
          </w:tcPr>
          <w:p w14:paraId="4BBF2BA0">
            <w:pPr>
              <w:jc w:val="center"/>
              <w:rPr>
                <w:rFonts w:eastAsia="仿宋_GB2312"/>
                <w:color w:val="auto"/>
                <w:kern w:val="0"/>
                <w:szCs w:val="21"/>
              </w:rPr>
            </w:pPr>
            <w:r>
              <w:rPr>
                <w:rFonts w:eastAsia="仿宋_GB2312"/>
                <w:color w:val="auto"/>
                <w:kern w:val="0"/>
                <w:szCs w:val="21"/>
              </w:rPr>
              <w:t>LH-BOD601</w:t>
            </w:r>
          </w:p>
        </w:tc>
        <w:tc>
          <w:tcPr>
            <w:tcW w:w="692" w:type="dxa"/>
            <w:vAlign w:val="center"/>
          </w:tcPr>
          <w:p w14:paraId="7FF9744F">
            <w:pPr>
              <w:jc w:val="center"/>
              <w:rPr>
                <w:rFonts w:eastAsia="仿宋_GB2312"/>
                <w:color w:val="auto"/>
                <w:kern w:val="0"/>
                <w:szCs w:val="21"/>
              </w:rPr>
            </w:pPr>
            <w:r>
              <w:rPr>
                <w:rFonts w:eastAsia="仿宋_GB2312"/>
                <w:color w:val="auto"/>
                <w:kern w:val="0"/>
                <w:szCs w:val="21"/>
              </w:rPr>
              <w:t>1</w:t>
            </w:r>
          </w:p>
        </w:tc>
        <w:tc>
          <w:tcPr>
            <w:tcW w:w="1831" w:type="dxa"/>
            <w:vAlign w:val="center"/>
          </w:tcPr>
          <w:p w14:paraId="1FEFFD14">
            <w:pPr>
              <w:jc w:val="center"/>
              <w:rPr>
                <w:rFonts w:eastAsia="仿宋_GB2312"/>
                <w:color w:val="auto"/>
                <w:kern w:val="0"/>
                <w:szCs w:val="21"/>
              </w:rPr>
            </w:pPr>
            <w:r>
              <w:rPr>
                <w:rFonts w:eastAsia="仿宋_GB2312"/>
                <w:color w:val="auto"/>
                <w:kern w:val="0"/>
                <w:szCs w:val="21"/>
              </w:rPr>
              <w:t>BOD5</w:t>
            </w:r>
          </w:p>
        </w:tc>
        <w:tc>
          <w:tcPr>
            <w:tcW w:w="1772" w:type="dxa"/>
            <w:vAlign w:val="center"/>
          </w:tcPr>
          <w:p w14:paraId="54CC9DD7">
            <w:pPr>
              <w:jc w:val="center"/>
              <w:rPr>
                <w:rFonts w:eastAsia="仿宋_GB2312"/>
                <w:color w:val="auto"/>
                <w:kern w:val="0"/>
                <w:szCs w:val="21"/>
              </w:rPr>
            </w:pPr>
            <w:r>
              <w:rPr>
                <w:rFonts w:eastAsia="仿宋_GB2312"/>
                <w:color w:val="auto"/>
                <w:kern w:val="0"/>
                <w:szCs w:val="21"/>
              </w:rPr>
              <w:t>0-4000mg/L</w:t>
            </w:r>
          </w:p>
        </w:tc>
      </w:tr>
      <w:tr w14:paraId="3AA4798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340" w:hRule="atLeast"/>
          <w:jc w:val="center"/>
        </w:trPr>
        <w:tc>
          <w:tcPr>
            <w:tcW w:w="819" w:type="dxa"/>
            <w:vAlign w:val="center"/>
          </w:tcPr>
          <w:p w14:paraId="71EBAFFD">
            <w:pPr>
              <w:jc w:val="center"/>
              <w:rPr>
                <w:rFonts w:eastAsia="仿宋_GB2312"/>
                <w:color w:val="auto"/>
                <w:kern w:val="0"/>
                <w:szCs w:val="21"/>
              </w:rPr>
            </w:pPr>
            <w:r>
              <w:rPr>
                <w:rFonts w:eastAsia="仿宋_GB2312"/>
                <w:color w:val="auto"/>
                <w:kern w:val="0"/>
                <w:szCs w:val="21"/>
              </w:rPr>
              <w:t>21</w:t>
            </w:r>
          </w:p>
        </w:tc>
        <w:tc>
          <w:tcPr>
            <w:tcW w:w="1981" w:type="dxa"/>
            <w:vAlign w:val="center"/>
          </w:tcPr>
          <w:p w14:paraId="79CB7BFC">
            <w:pPr>
              <w:jc w:val="center"/>
              <w:rPr>
                <w:rFonts w:eastAsia="仿宋_GB2312"/>
                <w:color w:val="auto"/>
                <w:kern w:val="0"/>
                <w:szCs w:val="21"/>
              </w:rPr>
            </w:pPr>
            <w:r>
              <w:rPr>
                <w:rFonts w:eastAsia="仿宋_GB2312"/>
                <w:color w:val="auto"/>
                <w:kern w:val="0"/>
                <w:szCs w:val="21"/>
              </w:rPr>
              <w:t>BOD生化培养箱</w:t>
            </w:r>
          </w:p>
        </w:tc>
        <w:tc>
          <w:tcPr>
            <w:tcW w:w="1513" w:type="dxa"/>
            <w:vAlign w:val="center"/>
          </w:tcPr>
          <w:p w14:paraId="0E607526">
            <w:pPr>
              <w:jc w:val="center"/>
              <w:rPr>
                <w:rFonts w:eastAsia="仿宋_GB2312"/>
                <w:color w:val="auto"/>
                <w:kern w:val="0"/>
                <w:szCs w:val="21"/>
              </w:rPr>
            </w:pPr>
            <w:r>
              <w:rPr>
                <w:rFonts w:eastAsia="仿宋_GB2312"/>
                <w:color w:val="auto"/>
                <w:kern w:val="0"/>
                <w:szCs w:val="21"/>
              </w:rPr>
              <w:t>LH-PYX3M</w:t>
            </w:r>
          </w:p>
        </w:tc>
        <w:tc>
          <w:tcPr>
            <w:tcW w:w="692" w:type="dxa"/>
            <w:vAlign w:val="center"/>
          </w:tcPr>
          <w:p w14:paraId="257AFD5C">
            <w:pPr>
              <w:jc w:val="center"/>
              <w:rPr>
                <w:rFonts w:eastAsia="仿宋_GB2312"/>
                <w:color w:val="auto"/>
                <w:kern w:val="0"/>
                <w:szCs w:val="21"/>
              </w:rPr>
            </w:pPr>
            <w:r>
              <w:rPr>
                <w:rFonts w:eastAsia="仿宋_GB2312"/>
                <w:color w:val="auto"/>
                <w:kern w:val="0"/>
                <w:szCs w:val="21"/>
              </w:rPr>
              <w:t>1</w:t>
            </w:r>
          </w:p>
        </w:tc>
        <w:tc>
          <w:tcPr>
            <w:tcW w:w="1831" w:type="dxa"/>
            <w:vAlign w:val="center"/>
          </w:tcPr>
          <w:p w14:paraId="7A5681FE">
            <w:pPr>
              <w:jc w:val="center"/>
              <w:rPr>
                <w:rFonts w:eastAsia="仿宋_GB2312"/>
                <w:color w:val="auto"/>
                <w:kern w:val="0"/>
                <w:szCs w:val="21"/>
              </w:rPr>
            </w:pPr>
            <w:r>
              <w:rPr>
                <w:rFonts w:eastAsia="仿宋_GB2312"/>
                <w:color w:val="auto"/>
                <w:kern w:val="0"/>
                <w:szCs w:val="21"/>
              </w:rPr>
              <w:t>BOD5</w:t>
            </w:r>
          </w:p>
        </w:tc>
        <w:tc>
          <w:tcPr>
            <w:tcW w:w="1772" w:type="dxa"/>
            <w:vAlign w:val="center"/>
          </w:tcPr>
          <w:p w14:paraId="63C5E9BA">
            <w:pPr>
              <w:jc w:val="center"/>
              <w:rPr>
                <w:rFonts w:eastAsia="仿宋_GB2312"/>
                <w:color w:val="auto"/>
                <w:kern w:val="0"/>
                <w:szCs w:val="21"/>
              </w:rPr>
            </w:pPr>
            <w:r>
              <w:rPr>
                <w:rFonts w:eastAsia="仿宋_GB2312"/>
                <w:color w:val="auto"/>
                <w:kern w:val="0"/>
                <w:szCs w:val="21"/>
              </w:rPr>
              <w:t>0-65</w:t>
            </w:r>
            <w:r>
              <w:rPr>
                <w:rFonts w:hint="eastAsia" w:ascii="宋体" w:hAnsi="宋体" w:cs="宋体"/>
                <w:color w:val="auto"/>
                <w:kern w:val="0"/>
                <w:szCs w:val="21"/>
              </w:rPr>
              <w:t>℃</w:t>
            </w:r>
          </w:p>
        </w:tc>
      </w:tr>
      <w:tr w14:paraId="0C38D9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340" w:hRule="atLeast"/>
          <w:jc w:val="center"/>
        </w:trPr>
        <w:tc>
          <w:tcPr>
            <w:tcW w:w="819" w:type="dxa"/>
            <w:vAlign w:val="center"/>
          </w:tcPr>
          <w:p w14:paraId="52D74500">
            <w:pPr>
              <w:jc w:val="center"/>
              <w:rPr>
                <w:rFonts w:eastAsia="仿宋_GB2312"/>
                <w:color w:val="auto"/>
                <w:kern w:val="0"/>
                <w:szCs w:val="21"/>
              </w:rPr>
            </w:pPr>
            <w:r>
              <w:rPr>
                <w:rFonts w:eastAsia="仿宋_GB2312"/>
                <w:color w:val="auto"/>
                <w:kern w:val="0"/>
                <w:szCs w:val="21"/>
              </w:rPr>
              <w:t>22</w:t>
            </w:r>
          </w:p>
        </w:tc>
        <w:tc>
          <w:tcPr>
            <w:tcW w:w="1981" w:type="dxa"/>
            <w:vAlign w:val="center"/>
          </w:tcPr>
          <w:p w14:paraId="277EEEBD">
            <w:pPr>
              <w:jc w:val="center"/>
              <w:rPr>
                <w:rFonts w:eastAsia="仿宋_GB2312"/>
                <w:color w:val="auto"/>
                <w:kern w:val="0"/>
                <w:szCs w:val="21"/>
              </w:rPr>
            </w:pPr>
            <w:r>
              <w:rPr>
                <w:rFonts w:eastAsia="仿宋_GB2312"/>
                <w:color w:val="auto"/>
                <w:kern w:val="0"/>
                <w:szCs w:val="21"/>
              </w:rPr>
              <w:t>气相色谱仪</w:t>
            </w:r>
          </w:p>
        </w:tc>
        <w:tc>
          <w:tcPr>
            <w:tcW w:w="1513" w:type="dxa"/>
            <w:vAlign w:val="center"/>
          </w:tcPr>
          <w:p w14:paraId="4B99850D">
            <w:pPr>
              <w:jc w:val="center"/>
              <w:rPr>
                <w:rFonts w:eastAsia="仿宋_GB2312"/>
                <w:color w:val="auto"/>
                <w:kern w:val="0"/>
                <w:szCs w:val="21"/>
              </w:rPr>
            </w:pPr>
            <w:r>
              <w:rPr>
                <w:rFonts w:eastAsia="仿宋_GB2312"/>
                <w:color w:val="auto"/>
                <w:kern w:val="0"/>
                <w:szCs w:val="21"/>
              </w:rPr>
              <w:t>9890AS（双）</w:t>
            </w:r>
          </w:p>
        </w:tc>
        <w:tc>
          <w:tcPr>
            <w:tcW w:w="692" w:type="dxa"/>
            <w:vAlign w:val="center"/>
          </w:tcPr>
          <w:p w14:paraId="5B922CFF">
            <w:pPr>
              <w:jc w:val="center"/>
              <w:rPr>
                <w:rFonts w:eastAsia="仿宋_GB2312"/>
                <w:color w:val="auto"/>
                <w:kern w:val="0"/>
                <w:szCs w:val="21"/>
              </w:rPr>
            </w:pPr>
            <w:r>
              <w:rPr>
                <w:rFonts w:eastAsia="仿宋_GB2312"/>
                <w:color w:val="auto"/>
                <w:kern w:val="0"/>
                <w:szCs w:val="21"/>
              </w:rPr>
              <w:t>1</w:t>
            </w:r>
          </w:p>
        </w:tc>
        <w:tc>
          <w:tcPr>
            <w:tcW w:w="1831" w:type="dxa"/>
            <w:vAlign w:val="center"/>
          </w:tcPr>
          <w:p w14:paraId="11D51459">
            <w:pPr>
              <w:jc w:val="center"/>
              <w:rPr>
                <w:rFonts w:eastAsia="仿宋_GB2312"/>
                <w:color w:val="auto"/>
                <w:kern w:val="0"/>
                <w:szCs w:val="21"/>
              </w:rPr>
            </w:pPr>
            <w:r>
              <w:rPr>
                <w:rFonts w:eastAsia="仿宋_GB2312"/>
                <w:color w:val="auto"/>
                <w:kern w:val="0"/>
                <w:szCs w:val="21"/>
              </w:rPr>
              <w:t>溶剂定性及定量</w:t>
            </w:r>
          </w:p>
        </w:tc>
        <w:tc>
          <w:tcPr>
            <w:tcW w:w="1772" w:type="dxa"/>
            <w:vAlign w:val="center"/>
          </w:tcPr>
          <w:p w14:paraId="367A486A">
            <w:pPr>
              <w:jc w:val="center"/>
              <w:rPr>
                <w:rFonts w:eastAsia="仿宋_GB2312"/>
                <w:color w:val="auto"/>
                <w:kern w:val="0"/>
                <w:szCs w:val="21"/>
              </w:rPr>
            </w:pPr>
            <w:r>
              <w:rPr>
                <w:rFonts w:eastAsia="仿宋_GB2312"/>
                <w:color w:val="auto"/>
                <w:kern w:val="0"/>
                <w:szCs w:val="21"/>
              </w:rPr>
              <w:t>0.1%(5-100)</w:t>
            </w:r>
          </w:p>
        </w:tc>
      </w:tr>
      <w:tr w14:paraId="02FF8D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340" w:hRule="atLeast"/>
          <w:jc w:val="center"/>
        </w:trPr>
        <w:tc>
          <w:tcPr>
            <w:tcW w:w="819" w:type="dxa"/>
            <w:vAlign w:val="center"/>
          </w:tcPr>
          <w:p w14:paraId="7BF0AF45">
            <w:pPr>
              <w:jc w:val="center"/>
              <w:rPr>
                <w:rFonts w:eastAsia="仿宋_GB2312"/>
                <w:color w:val="auto"/>
                <w:kern w:val="0"/>
                <w:szCs w:val="21"/>
              </w:rPr>
            </w:pPr>
            <w:r>
              <w:rPr>
                <w:rFonts w:eastAsia="仿宋_GB2312"/>
                <w:color w:val="auto"/>
                <w:kern w:val="0"/>
                <w:szCs w:val="21"/>
              </w:rPr>
              <w:t>23</w:t>
            </w:r>
          </w:p>
        </w:tc>
        <w:tc>
          <w:tcPr>
            <w:tcW w:w="1981" w:type="dxa"/>
            <w:vAlign w:val="center"/>
          </w:tcPr>
          <w:p w14:paraId="5B80EA0B">
            <w:pPr>
              <w:jc w:val="center"/>
              <w:rPr>
                <w:rFonts w:eastAsia="仿宋_GB2312"/>
                <w:color w:val="auto"/>
                <w:kern w:val="0"/>
                <w:szCs w:val="21"/>
              </w:rPr>
            </w:pPr>
            <w:r>
              <w:rPr>
                <w:rFonts w:eastAsia="仿宋_GB2312"/>
                <w:color w:val="auto"/>
                <w:kern w:val="0"/>
                <w:szCs w:val="21"/>
              </w:rPr>
              <w:t>盐度计</w:t>
            </w:r>
          </w:p>
        </w:tc>
        <w:tc>
          <w:tcPr>
            <w:tcW w:w="1513" w:type="dxa"/>
            <w:vAlign w:val="center"/>
          </w:tcPr>
          <w:p w14:paraId="7B9F8B1F">
            <w:pPr>
              <w:jc w:val="center"/>
              <w:rPr>
                <w:rFonts w:eastAsia="仿宋_GB2312"/>
                <w:color w:val="auto"/>
                <w:kern w:val="0"/>
                <w:szCs w:val="21"/>
              </w:rPr>
            </w:pPr>
            <w:r>
              <w:rPr>
                <w:rFonts w:eastAsia="仿宋_GB2312"/>
                <w:color w:val="auto"/>
                <w:kern w:val="0"/>
                <w:szCs w:val="21"/>
              </w:rPr>
              <w:t>5051笔试</w:t>
            </w:r>
          </w:p>
        </w:tc>
        <w:tc>
          <w:tcPr>
            <w:tcW w:w="692" w:type="dxa"/>
            <w:vAlign w:val="center"/>
          </w:tcPr>
          <w:p w14:paraId="32A93061">
            <w:pPr>
              <w:jc w:val="center"/>
              <w:rPr>
                <w:rFonts w:eastAsia="仿宋_GB2312"/>
                <w:color w:val="auto"/>
                <w:kern w:val="0"/>
                <w:szCs w:val="21"/>
              </w:rPr>
            </w:pPr>
            <w:r>
              <w:rPr>
                <w:rFonts w:eastAsia="仿宋_GB2312"/>
                <w:color w:val="auto"/>
                <w:kern w:val="0"/>
                <w:szCs w:val="21"/>
              </w:rPr>
              <w:t>1</w:t>
            </w:r>
          </w:p>
        </w:tc>
        <w:tc>
          <w:tcPr>
            <w:tcW w:w="1831" w:type="dxa"/>
            <w:vAlign w:val="center"/>
          </w:tcPr>
          <w:p w14:paraId="1FB1C67E">
            <w:pPr>
              <w:jc w:val="center"/>
              <w:rPr>
                <w:rFonts w:eastAsia="仿宋_GB2312"/>
                <w:color w:val="auto"/>
                <w:kern w:val="0"/>
                <w:szCs w:val="21"/>
              </w:rPr>
            </w:pPr>
            <w:r>
              <w:rPr>
                <w:rFonts w:eastAsia="仿宋_GB2312"/>
                <w:color w:val="auto"/>
                <w:kern w:val="0"/>
                <w:szCs w:val="21"/>
              </w:rPr>
              <w:t>盐含量</w:t>
            </w:r>
          </w:p>
        </w:tc>
        <w:tc>
          <w:tcPr>
            <w:tcW w:w="1772" w:type="dxa"/>
            <w:vAlign w:val="center"/>
          </w:tcPr>
          <w:p w14:paraId="02188DAB">
            <w:pPr>
              <w:jc w:val="center"/>
              <w:rPr>
                <w:rFonts w:eastAsia="仿宋_GB2312"/>
                <w:color w:val="auto"/>
                <w:kern w:val="0"/>
                <w:szCs w:val="21"/>
              </w:rPr>
            </w:pPr>
            <w:r>
              <w:rPr>
                <w:rFonts w:eastAsia="仿宋_GB2312"/>
                <w:color w:val="auto"/>
                <w:kern w:val="0"/>
                <w:szCs w:val="21"/>
              </w:rPr>
              <w:t>±2%FS</w:t>
            </w:r>
          </w:p>
        </w:tc>
      </w:tr>
      <w:tr w14:paraId="7A0E15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340" w:hRule="atLeast"/>
          <w:jc w:val="center"/>
        </w:trPr>
        <w:tc>
          <w:tcPr>
            <w:tcW w:w="819" w:type="dxa"/>
            <w:vAlign w:val="center"/>
          </w:tcPr>
          <w:p w14:paraId="20F558EE">
            <w:pPr>
              <w:jc w:val="center"/>
              <w:rPr>
                <w:rFonts w:eastAsia="仿宋_GB2312"/>
                <w:color w:val="auto"/>
                <w:kern w:val="0"/>
                <w:szCs w:val="21"/>
              </w:rPr>
            </w:pPr>
            <w:r>
              <w:rPr>
                <w:rFonts w:eastAsia="仿宋_GB2312"/>
                <w:color w:val="auto"/>
                <w:kern w:val="0"/>
                <w:szCs w:val="21"/>
              </w:rPr>
              <w:t>24</w:t>
            </w:r>
          </w:p>
        </w:tc>
        <w:tc>
          <w:tcPr>
            <w:tcW w:w="1981" w:type="dxa"/>
            <w:vAlign w:val="center"/>
          </w:tcPr>
          <w:p w14:paraId="7F616F08">
            <w:pPr>
              <w:jc w:val="center"/>
              <w:rPr>
                <w:rFonts w:eastAsia="仿宋_GB2312"/>
                <w:color w:val="auto"/>
                <w:kern w:val="0"/>
                <w:szCs w:val="21"/>
              </w:rPr>
            </w:pPr>
            <w:r>
              <w:rPr>
                <w:rFonts w:eastAsia="仿宋_GB2312"/>
                <w:color w:val="auto"/>
                <w:kern w:val="0"/>
                <w:szCs w:val="21"/>
              </w:rPr>
              <w:t>石墨消解仪</w:t>
            </w:r>
          </w:p>
        </w:tc>
        <w:tc>
          <w:tcPr>
            <w:tcW w:w="1513" w:type="dxa"/>
            <w:vAlign w:val="center"/>
          </w:tcPr>
          <w:p w14:paraId="57ED7087">
            <w:pPr>
              <w:jc w:val="center"/>
              <w:rPr>
                <w:rFonts w:eastAsia="仿宋_GB2312"/>
                <w:color w:val="auto"/>
                <w:kern w:val="0"/>
                <w:szCs w:val="21"/>
              </w:rPr>
            </w:pPr>
            <w:r>
              <w:rPr>
                <w:rFonts w:eastAsia="仿宋_GB2312"/>
                <w:color w:val="auto"/>
                <w:kern w:val="0"/>
                <w:szCs w:val="21"/>
              </w:rPr>
              <w:t>TRY-X350-36</w:t>
            </w:r>
          </w:p>
        </w:tc>
        <w:tc>
          <w:tcPr>
            <w:tcW w:w="692" w:type="dxa"/>
            <w:vAlign w:val="center"/>
          </w:tcPr>
          <w:p w14:paraId="4B02D72A">
            <w:pPr>
              <w:jc w:val="center"/>
              <w:rPr>
                <w:rFonts w:eastAsia="仿宋_GB2312"/>
                <w:color w:val="auto"/>
                <w:kern w:val="0"/>
                <w:szCs w:val="21"/>
              </w:rPr>
            </w:pPr>
            <w:r>
              <w:rPr>
                <w:rFonts w:eastAsia="仿宋_GB2312"/>
                <w:color w:val="auto"/>
                <w:kern w:val="0"/>
                <w:szCs w:val="21"/>
              </w:rPr>
              <w:t>1</w:t>
            </w:r>
          </w:p>
        </w:tc>
        <w:tc>
          <w:tcPr>
            <w:tcW w:w="1831" w:type="dxa"/>
            <w:vAlign w:val="center"/>
          </w:tcPr>
          <w:p w14:paraId="47054438">
            <w:pPr>
              <w:jc w:val="center"/>
              <w:rPr>
                <w:rFonts w:eastAsia="仿宋_GB2312"/>
                <w:color w:val="auto"/>
                <w:kern w:val="0"/>
                <w:szCs w:val="21"/>
              </w:rPr>
            </w:pPr>
            <w:r>
              <w:rPr>
                <w:rFonts w:eastAsia="仿宋_GB2312"/>
                <w:color w:val="auto"/>
                <w:kern w:val="0"/>
                <w:szCs w:val="21"/>
              </w:rPr>
              <w:t>样品处理</w:t>
            </w:r>
          </w:p>
        </w:tc>
        <w:tc>
          <w:tcPr>
            <w:tcW w:w="1772" w:type="dxa"/>
            <w:vAlign w:val="center"/>
          </w:tcPr>
          <w:p w14:paraId="3016E9A4">
            <w:pPr>
              <w:jc w:val="center"/>
              <w:rPr>
                <w:rFonts w:eastAsia="仿宋_GB2312"/>
                <w:color w:val="auto"/>
                <w:kern w:val="0"/>
                <w:szCs w:val="21"/>
              </w:rPr>
            </w:pPr>
            <w:r>
              <w:rPr>
                <w:rFonts w:eastAsia="仿宋_GB2312"/>
                <w:color w:val="auto"/>
                <w:kern w:val="0"/>
                <w:szCs w:val="21"/>
              </w:rPr>
              <w:t>±1</w:t>
            </w:r>
            <w:r>
              <w:rPr>
                <w:rFonts w:hint="eastAsia" w:ascii="宋体" w:hAnsi="宋体" w:cs="宋体"/>
                <w:color w:val="auto"/>
                <w:kern w:val="0"/>
                <w:szCs w:val="21"/>
              </w:rPr>
              <w:t>℃</w:t>
            </w:r>
          </w:p>
        </w:tc>
      </w:tr>
      <w:tr w14:paraId="4978F3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340" w:hRule="atLeast"/>
          <w:jc w:val="center"/>
        </w:trPr>
        <w:tc>
          <w:tcPr>
            <w:tcW w:w="819" w:type="dxa"/>
            <w:vAlign w:val="center"/>
          </w:tcPr>
          <w:p w14:paraId="095B3F3F">
            <w:pPr>
              <w:jc w:val="center"/>
              <w:rPr>
                <w:rFonts w:eastAsia="仿宋_GB2312"/>
                <w:color w:val="auto"/>
                <w:kern w:val="0"/>
                <w:szCs w:val="21"/>
              </w:rPr>
            </w:pPr>
            <w:r>
              <w:rPr>
                <w:rFonts w:eastAsia="仿宋_GB2312"/>
                <w:color w:val="auto"/>
                <w:kern w:val="0"/>
                <w:szCs w:val="21"/>
              </w:rPr>
              <w:t>25</w:t>
            </w:r>
          </w:p>
        </w:tc>
        <w:tc>
          <w:tcPr>
            <w:tcW w:w="1981" w:type="dxa"/>
            <w:vAlign w:val="center"/>
          </w:tcPr>
          <w:p w14:paraId="0C95F77B">
            <w:pPr>
              <w:jc w:val="center"/>
              <w:rPr>
                <w:rFonts w:eastAsia="仿宋_GB2312"/>
                <w:color w:val="auto"/>
                <w:kern w:val="0"/>
                <w:szCs w:val="21"/>
              </w:rPr>
            </w:pPr>
            <w:r>
              <w:rPr>
                <w:rFonts w:eastAsia="仿宋_GB2312"/>
                <w:color w:val="auto"/>
                <w:kern w:val="0"/>
                <w:szCs w:val="21"/>
              </w:rPr>
              <w:t>双频数控超声波清洗机</w:t>
            </w:r>
          </w:p>
        </w:tc>
        <w:tc>
          <w:tcPr>
            <w:tcW w:w="1513" w:type="dxa"/>
            <w:vAlign w:val="center"/>
          </w:tcPr>
          <w:p w14:paraId="7043E7DF">
            <w:pPr>
              <w:jc w:val="center"/>
              <w:rPr>
                <w:rFonts w:eastAsia="仿宋_GB2312"/>
                <w:color w:val="auto"/>
                <w:kern w:val="0"/>
                <w:szCs w:val="21"/>
              </w:rPr>
            </w:pPr>
            <w:r>
              <w:rPr>
                <w:rFonts w:eastAsia="仿宋_GB2312"/>
                <w:color w:val="auto"/>
                <w:kern w:val="0"/>
                <w:szCs w:val="21"/>
              </w:rPr>
              <w:t>KQ-700VDV27L</w:t>
            </w:r>
          </w:p>
        </w:tc>
        <w:tc>
          <w:tcPr>
            <w:tcW w:w="692" w:type="dxa"/>
            <w:vAlign w:val="center"/>
          </w:tcPr>
          <w:p w14:paraId="78234D12">
            <w:pPr>
              <w:jc w:val="center"/>
              <w:rPr>
                <w:rFonts w:eastAsia="仿宋_GB2312"/>
                <w:color w:val="auto"/>
                <w:kern w:val="0"/>
                <w:szCs w:val="21"/>
              </w:rPr>
            </w:pPr>
            <w:r>
              <w:rPr>
                <w:rFonts w:eastAsia="仿宋_GB2312"/>
                <w:color w:val="auto"/>
                <w:kern w:val="0"/>
                <w:szCs w:val="21"/>
              </w:rPr>
              <w:t>1</w:t>
            </w:r>
          </w:p>
        </w:tc>
        <w:tc>
          <w:tcPr>
            <w:tcW w:w="1831" w:type="dxa"/>
            <w:vAlign w:val="center"/>
          </w:tcPr>
          <w:p w14:paraId="7D509D80">
            <w:pPr>
              <w:jc w:val="center"/>
              <w:rPr>
                <w:rFonts w:eastAsia="仿宋_GB2312"/>
                <w:color w:val="auto"/>
                <w:kern w:val="0"/>
                <w:szCs w:val="21"/>
              </w:rPr>
            </w:pPr>
            <w:r>
              <w:rPr>
                <w:rFonts w:eastAsia="仿宋_GB2312"/>
                <w:color w:val="auto"/>
                <w:kern w:val="0"/>
                <w:szCs w:val="21"/>
              </w:rPr>
              <w:t>清洗</w:t>
            </w:r>
          </w:p>
        </w:tc>
        <w:tc>
          <w:tcPr>
            <w:tcW w:w="1772" w:type="dxa"/>
            <w:vAlign w:val="center"/>
          </w:tcPr>
          <w:p w14:paraId="18B74258">
            <w:pPr>
              <w:jc w:val="center"/>
              <w:rPr>
                <w:rFonts w:eastAsia="仿宋_GB2312"/>
                <w:color w:val="auto"/>
                <w:kern w:val="0"/>
                <w:szCs w:val="21"/>
              </w:rPr>
            </w:pPr>
            <w:r>
              <w:rPr>
                <w:rFonts w:eastAsia="仿宋_GB2312"/>
                <w:color w:val="auto"/>
                <w:kern w:val="0"/>
                <w:szCs w:val="21"/>
              </w:rPr>
              <w:t>/</w:t>
            </w:r>
          </w:p>
        </w:tc>
      </w:tr>
      <w:tr w14:paraId="086FD0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340" w:hRule="atLeast"/>
          <w:jc w:val="center"/>
        </w:trPr>
        <w:tc>
          <w:tcPr>
            <w:tcW w:w="819" w:type="dxa"/>
            <w:vAlign w:val="center"/>
          </w:tcPr>
          <w:p w14:paraId="402CC98C">
            <w:pPr>
              <w:jc w:val="center"/>
              <w:rPr>
                <w:rFonts w:eastAsia="仿宋_GB2312"/>
                <w:color w:val="auto"/>
                <w:kern w:val="0"/>
                <w:szCs w:val="21"/>
              </w:rPr>
            </w:pPr>
            <w:r>
              <w:rPr>
                <w:rFonts w:eastAsia="仿宋_GB2312"/>
                <w:color w:val="auto"/>
                <w:kern w:val="0"/>
                <w:szCs w:val="21"/>
              </w:rPr>
              <w:t>26</w:t>
            </w:r>
          </w:p>
        </w:tc>
        <w:tc>
          <w:tcPr>
            <w:tcW w:w="1981" w:type="dxa"/>
            <w:vAlign w:val="center"/>
          </w:tcPr>
          <w:p w14:paraId="113CD8CD">
            <w:pPr>
              <w:jc w:val="center"/>
              <w:rPr>
                <w:rFonts w:eastAsia="仿宋_GB2312"/>
                <w:color w:val="auto"/>
                <w:kern w:val="0"/>
                <w:szCs w:val="21"/>
              </w:rPr>
            </w:pPr>
            <w:r>
              <w:rPr>
                <w:rFonts w:eastAsia="仿宋_GB2312"/>
                <w:color w:val="auto"/>
                <w:kern w:val="0"/>
                <w:szCs w:val="21"/>
              </w:rPr>
              <w:t>翻转振荡器</w:t>
            </w:r>
          </w:p>
        </w:tc>
        <w:tc>
          <w:tcPr>
            <w:tcW w:w="1513" w:type="dxa"/>
            <w:vAlign w:val="center"/>
          </w:tcPr>
          <w:p w14:paraId="6655FB40">
            <w:pPr>
              <w:jc w:val="center"/>
              <w:rPr>
                <w:rFonts w:eastAsia="仿宋_GB2312"/>
                <w:color w:val="auto"/>
                <w:kern w:val="0"/>
                <w:szCs w:val="21"/>
              </w:rPr>
            </w:pPr>
            <w:r>
              <w:rPr>
                <w:rFonts w:eastAsia="仿宋_GB2312"/>
                <w:color w:val="auto"/>
                <w:kern w:val="0"/>
                <w:szCs w:val="21"/>
              </w:rPr>
              <w:t>JRY-Z06</w:t>
            </w:r>
          </w:p>
        </w:tc>
        <w:tc>
          <w:tcPr>
            <w:tcW w:w="692" w:type="dxa"/>
            <w:vAlign w:val="center"/>
          </w:tcPr>
          <w:p w14:paraId="0B94AABB">
            <w:pPr>
              <w:jc w:val="center"/>
              <w:rPr>
                <w:rFonts w:eastAsia="仿宋_GB2312"/>
                <w:color w:val="auto"/>
                <w:kern w:val="0"/>
                <w:szCs w:val="21"/>
              </w:rPr>
            </w:pPr>
            <w:r>
              <w:rPr>
                <w:rFonts w:eastAsia="仿宋_GB2312"/>
                <w:color w:val="auto"/>
                <w:kern w:val="0"/>
                <w:szCs w:val="21"/>
              </w:rPr>
              <w:t>1</w:t>
            </w:r>
          </w:p>
        </w:tc>
        <w:tc>
          <w:tcPr>
            <w:tcW w:w="1831" w:type="dxa"/>
            <w:vAlign w:val="center"/>
          </w:tcPr>
          <w:p w14:paraId="616691A9">
            <w:pPr>
              <w:jc w:val="center"/>
              <w:rPr>
                <w:rFonts w:eastAsia="仿宋_GB2312"/>
                <w:color w:val="auto"/>
                <w:kern w:val="0"/>
                <w:szCs w:val="21"/>
              </w:rPr>
            </w:pPr>
            <w:r>
              <w:rPr>
                <w:rFonts w:eastAsia="仿宋_GB2312"/>
                <w:color w:val="auto"/>
                <w:kern w:val="0"/>
                <w:szCs w:val="21"/>
              </w:rPr>
              <w:t>样品处理</w:t>
            </w:r>
          </w:p>
        </w:tc>
        <w:tc>
          <w:tcPr>
            <w:tcW w:w="1772" w:type="dxa"/>
            <w:vAlign w:val="center"/>
          </w:tcPr>
          <w:p w14:paraId="36EEF668">
            <w:pPr>
              <w:jc w:val="center"/>
              <w:rPr>
                <w:rFonts w:eastAsia="仿宋_GB2312"/>
                <w:color w:val="auto"/>
                <w:kern w:val="0"/>
                <w:szCs w:val="21"/>
              </w:rPr>
            </w:pPr>
            <w:r>
              <w:rPr>
                <w:rFonts w:eastAsia="仿宋_GB2312"/>
                <w:color w:val="auto"/>
                <w:kern w:val="0"/>
                <w:szCs w:val="21"/>
              </w:rPr>
              <w:t>/</w:t>
            </w:r>
          </w:p>
        </w:tc>
      </w:tr>
      <w:tr w14:paraId="6DB228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340" w:hRule="atLeast"/>
          <w:jc w:val="center"/>
        </w:trPr>
        <w:tc>
          <w:tcPr>
            <w:tcW w:w="819" w:type="dxa"/>
            <w:vAlign w:val="center"/>
          </w:tcPr>
          <w:p w14:paraId="44ABB8DF">
            <w:pPr>
              <w:jc w:val="center"/>
              <w:rPr>
                <w:rFonts w:eastAsia="仿宋_GB2312"/>
                <w:color w:val="auto"/>
                <w:kern w:val="0"/>
                <w:szCs w:val="21"/>
              </w:rPr>
            </w:pPr>
            <w:r>
              <w:rPr>
                <w:rFonts w:eastAsia="仿宋_GB2312"/>
                <w:color w:val="auto"/>
                <w:kern w:val="0"/>
                <w:szCs w:val="21"/>
              </w:rPr>
              <w:t>27</w:t>
            </w:r>
          </w:p>
        </w:tc>
        <w:tc>
          <w:tcPr>
            <w:tcW w:w="1981" w:type="dxa"/>
            <w:vAlign w:val="center"/>
          </w:tcPr>
          <w:p w14:paraId="0AE02B04">
            <w:pPr>
              <w:jc w:val="center"/>
              <w:rPr>
                <w:rFonts w:eastAsia="仿宋_GB2312"/>
                <w:color w:val="auto"/>
                <w:kern w:val="0"/>
                <w:szCs w:val="21"/>
              </w:rPr>
            </w:pPr>
            <w:r>
              <w:rPr>
                <w:rFonts w:eastAsia="仿宋_GB2312"/>
                <w:color w:val="auto"/>
                <w:kern w:val="0"/>
                <w:szCs w:val="21"/>
              </w:rPr>
              <w:t>离心机</w:t>
            </w:r>
          </w:p>
        </w:tc>
        <w:tc>
          <w:tcPr>
            <w:tcW w:w="1513" w:type="dxa"/>
            <w:vAlign w:val="center"/>
          </w:tcPr>
          <w:p w14:paraId="54DEF06C">
            <w:pPr>
              <w:jc w:val="center"/>
              <w:rPr>
                <w:rFonts w:eastAsia="仿宋_GB2312"/>
                <w:color w:val="auto"/>
                <w:kern w:val="0"/>
                <w:szCs w:val="21"/>
              </w:rPr>
            </w:pPr>
            <w:r>
              <w:rPr>
                <w:rFonts w:eastAsia="仿宋_GB2312"/>
                <w:color w:val="auto"/>
                <w:kern w:val="0"/>
                <w:szCs w:val="21"/>
              </w:rPr>
              <w:t>TDL-15B</w:t>
            </w:r>
          </w:p>
        </w:tc>
        <w:tc>
          <w:tcPr>
            <w:tcW w:w="692" w:type="dxa"/>
            <w:vAlign w:val="center"/>
          </w:tcPr>
          <w:p w14:paraId="07BA5361">
            <w:pPr>
              <w:jc w:val="center"/>
              <w:rPr>
                <w:rFonts w:eastAsia="仿宋_GB2312"/>
                <w:color w:val="auto"/>
                <w:kern w:val="0"/>
                <w:szCs w:val="21"/>
              </w:rPr>
            </w:pPr>
            <w:r>
              <w:rPr>
                <w:rFonts w:eastAsia="仿宋_GB2312"/>
                <w:color w:val="auto"/>
                <w:kern w:val="0"/>
                <w:szCs w:val="21"/>
              </w:rPr>
              <w:t>1</w:t>
            </w:r>
          </w:p>
        </w:tc>
        <w:tc>
          <w:tcPr>
            <w:tcW w:w="1831" w:type="dxa"/>
            <w:vAlign w:val="center"/>
          </w:tcPr>
          <w:p w14:paraId="121D522F">
            <w:pPr>
              <w:jc w:val="center"/>
              <w:rPr>
                <w:rFonts w:eastAsia="仿宋_GB2312"/>
                <w:color w:val="auto"/>
                <w:kern w:val="0"/>
                <w:szCs w:val="21"/>
              </w:rPr>
            </w:pPr>
            <w:r>
              <w:rPr>
                <w:rFonts w:eastAsia="仿宋_GB2312"/>
                <w:color w:val="auto"/>
                <w:kern w:val="0"/>
                <w:szCs w:val="21"/>
              </w:rPr>
              <w:t>样品分离</w:t>
            </w:r>
          </w:p>
        </w:tc>
        <w:tc>
          <w:tcPr>
            <w:tcW w:w="1772" w:type="dxa"/>
            <w:vAlign w:val="center"/>
          </w:tcPr>
          <w:p w14:paraId="09E6936B">
            <w:pPr>
              <w:jc w:val="center"/>
              <w:rPr>
                <w:rFonts w:eastAsia="仿宋_GB2312"/>
                <w:color w:val="auto"/>
                <w:kern w:val="0"/>
                <w:szCs w:val="21"/>
              </w:rPr>
            </w:pPr>
            <w:r>
              <w:rPr>
                <w:rFonts w:eastAsia="仿宋_GB2312"/>
                <w:color w:val="auto"/>
                <w:kern w:val="0"/>
                <w:szCs w:val="21"/>
              </w:rPr>
              <w:t>15000rpm</w:t>
            </w:r>
          </w:p>
        </w:tc>
      </w:tr>
      <w:tr w14:paraId="14AD4B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340" w:hRule="atLeast"/>
          <w:jc w:val="center"/>
        </w:trPr>
        <w:tc>
          <w:tcPr>
            <w:tcW w:w="819" w:type="dxa"/>
            <w:vAlign w:val="center"/>
          </w:tcPr>
          <w:p w14:paraId="66BAD6BA">
            <w:pPr>
              <w:jc w:val="center"/>
              <w:rPr>
                <w:rFonts w:eastAsia="仿宋_GB2312"/>
                <w:color w:val="auto"/>
                <w:kern w:val="0"/>
                <w:szCs w:val="21"/>
              </w:rPr>
            </w:pPr>
            <w:r>
              <w:rPr>
                <w:rFonts w:eastAsia="仿宋_GB2312"/>
                <w:color w:val="auto"/>
                <w:kern w:val="0"/>
                <w:szCs w:val="21"/>
              </w:rPr>
              <w:t>28</w:t>
            </w:r>
          </w:p>
        </w:tc>
        <w:tc>
          <w:tcPr>
            <w:tcW w:w="1981" w:type="dxa"/>
            <w:vAlign w:val="center"/>
          </w:tcPr>
          <w:p w14:paraId="28CC7BE8">
            <w:pPr>
              <w:jc w:val="center"/>
              <w:rPr>
                <w:rFonts w:eastAsia="仿宋_GB2312"/>
                <w:color w:val="auto"/>
                <w:kern w:val="0"/>
                <w:szCs w:val="21"/>
              </w:rPr>
            </w:pPr>
            <w:r>
              <w:rPr>
                <w:rFonts w:eastAsia="仿宋_GB2312"/>
                <w:color w:val="auto"/>
                <w:kern w:val="0"/>
                <w:szCs w:val="21"/>
              </w:rPr>
              <w:t>智能电热板</w:t>
            </w:r>
          </w:p>
        </w:tc>
        <w:tc>
          <w:tcPr>
            <w:tcW w:w="1513" w:type="dxa"/>
            <w:vAlign w:val="center"/>
          </w:tcPr>
          <w:p w14:paraId="47BA410F">
            <w:pPr>
              <w:jc w:val="center"/>
              <w:rPr>
                <w:rFonts w:eastAsia="仿宋_GB2312"/>
                <w:color w:val="auto"/>
                <w:kern w:val="0"/>
                <w:szCs w:val="21"/>
              </w:rPr>
            </w:pPr>
            <w:r>
              <w:rPr>
                <w:rFonts w:eastAsia="仿宋_GB2312"/>
                <w:color w:val="auto"/>
                <w:kern w:val="0"/>
                <w:szCs w:val="21"/>
              </w:rPr>
              <w:t>JRY-D350-C</w:t>
            </w:r>
          </w:p>
        </w:tc>
        <w:tc>
          <w:tcPr>
            <w:tcW w:w="692" w:type="dxa"/>
            <w:vAlign w:val="center"/>
          </w:tcPr>
          <w:p w14:paraId="4F5EA4C1">
            <w:pPr>
              <w:jc w:val="center"/>
              <w:rPr>
                <w:rFonts w:eastAsia="仿宋_GB2312"/>
                <w:color w:val="auto"/>
                <w:kern w:val="0"/>
                <w:szCs w:val="21"/>
              </w:rPr>
            </w:pPr>
            <w:r>
              <w:rPr>
                <w:rFonts w:eastAsia="仿宋_GB2312"/>
                <w:color w:val="auto"/>
                <w:kern w:val="0"/>
                <w:szCs w:val="21"/>
              </w:rPr>
              <w:t>1</w:t>
            </w:r>
          </w:p>
        </w:tc>
        <w:tc>
          <w:tcPr>
            <w:tcW w:w="1831" w:type="dxa"/>
            <w:vAlign w:val="center"/>
          </w:tcPr>
          <w:p w14:paraId="7CE364D0">
            <w:pPr>
              <w:jc w:val="center"/>
              <w:rPr>
                <w:rFonts w:eastAsia="仿宋_GB2312"/>
                <w:color w:val="auto"/>
                <w:kern w:val="0"/>
                <w:szCs w:val="21"/>
              </w:rPr>
            </w:pPr>
            <w:r>
              <w:rPr>
                <w:rFonts w:eastAsia="仿宋_GB2312"/>
                <w:color w:val="auto"/>
                <w:kern w:val="0"/>
                <w:szCs w:val="21"/>
              </w:rPr>
              <w:t>样品处理</w:t>
            </w:r>
          </w:p>
        </w:tc>
        <w:tc>
          <w:tcPr>
            <w:tcW w:w="1772" w:type="dxa"/>
            <w:vAlign w:val="center"/>
          </w:tcPr>
          <w:p w14:paraId="3A9F8490">
            <w:pPr>
              <w:jc w:val="center"/>
              <w:rPr>
                <w:rFonts w:eastAsia="仿宋_GB2312"/>
                <w:color w:val="auto"/>
                <w:kern w:val="0"/>
                <w:szCs w:val="21"/>
              </w:rPr>
            </w:pPr>
            <w:r>
              <w:rPr>
                <w:rFonts w:eastAsia="仿宋_GB2312"/>
                <w:color w:val="auto"/>
                <w:kern w:val="0"/>
                <w:szCs w:val="21"/>
              </w:rPr>
              <w:t>±1</w:t>
            </w:r>
            <w:r>
              <w:rPr>
                <w:rFonts w:hint="eastAsia" w:ascii="宋体" w:hAnsi="宋体" w:cs="宋体"/>
                <w:color w:val="auto"/>
                <w:kern w:val="0"/>
                <w:szCs w:val="21"/>
              </w:rPr>
              <w:t>℃</w:t>
            </w:r>
          </w:p>
        </w:tc>
      </w:tr>
      <w:tr w14:paraId="6994AD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340" w:hRule="atLeast"/>
          <w:jc w:val="center"/>
        </w:trPr>
        <w:tc>
          <w:tcPr>
            <w:tcW w:w="819" w:type="dxa"/>
            <w:vAlign w:val="center"/>
          </w:tcPr>
          <w:p w14:paraId="573CEAA3">
            <w:pPr>
              <w:jc w:val="center"/>
              <w:rPr>
                <w:rFonts w:eastAsia="仿宋_GB2312"/>
                <w:color w:val="auto"/>
                <w:kern w:val="0"/>
                <w:szCs w:val="21"/>
              </w:rPr>
            </w:pPr>
            <w:r>
              <w:rPr>
                <w:rFonts w:eastAsia="仿宋_GB2312"/>
                <w:color w:val="auto"/>
                <w:kern w:val="0"/>
                <w:szCs w:val="21"/>
              </w:rPr>
              <w:t>29</w:t>
            </w:r>
          </w:p>
        </w:tc>
        <w:tc>
          <w:tcPr>
            <w:tcW w:w="1981" w:type="dxa"/>
            <w:vAlign w:val="center"/>
          </w:tcPr>
          <w:p w14:paraId="5702514B">
            <w:pPr>
              <w:jc w:val="center"/>
              <w:rPr>
                <w:rFonts w:eastAsia="仿宋_GB2312"/>
                <w:color w:val="auto"/>
                <w:kern w:val="0"/>
                <w:szCs w:val="21"/>
              </w:rPr>
            </w:pPr>
            <w:r>
              <w:rPr>
                <w:rFonts w:eastAsia="仿宋_GB2312"/>
                <w:color w:val="auto"/>
                <w:kern w:val="0"/>
                <w:szCs w:val="21"/>
              </w:rPr>
              <w:t>马弗炉</w:t>
            </w:r>
          </w:p>
        </w:tc>
        <w:tc>
          <w:tcPr>
            <w:tcW w:w="1513" w:type="dxa"/>
            <w:vAlign w:val="center"/>
          </w:tcPr>
          <w:p w14:paraId="0EF5A189">
            <w:pPr>
              <w:jc w:val="center"/>
              <w:rPr>
                <w:rFonts w:eastAsia="仿宋_GB2312"/>
                <w:color w:val="auto"/>
                <w:kern w:val="0"/>
                <w:szCs w:val="21"/>
              </w:rPr>
            </w:pPr>
            <w:r>
              <w:rPr>
                <w:rFonts w:eastAsia="仿宋_GB2312"/>
                <w:color w:val="auto"/>
                <w:kern w:val="0"/>
                <w:szCs w:val="21"/>
              </w:rPr>
              <w:t>SX2-8-10</w:t>
            </w:r>
          </w:p>
        </w:tc>
        <w:tc>
          <w:tcPr>
            <w:tcW w:w="692" w:type="dxa"/>
            <w:vAlign w:val="center"/>
          </w:tcPr>
          <w:p w14:paraId="0042BED8">
            <w:pPr>
              <w:jc w:val="center"/>
              <w:rPr>
                <w:rFonts w:eastAsia="仿宋_GB2312"/>
                <w:color w:val="auto"/>
                <w:kern w:val="0"/>
                <w:szCs w:val="21"/>
              </w:rPr>
            </w:pPr>
            <w:r>
              <w:rPr>
                <w:rFonts w:eastAsia="仿宋_GB2312"/>
                <w:color w:val="auto"/>
                <w:kern w:val="0"/>
                <w:szCs w:val="21"/>
              </w:rPr>
              <w:t>1</w:t>
            </w:r>
          </w:p>
        </w:tc>
        <w:tc>
          <w:tcPr>
            <w:tcW w:w="1831" w:type="dxa"/>
            <w:vAlign w:val="center"/>
          </w:tcPr>
          <w:p w14:paraId="1BA00F2E">
            <w:pPr>
              <w:jc w:val="center"/>
              <w:rPr>
                <w:rFonts w:eastAsia="仿宋_GB2312"/>
                <w:color w:val="auto"/>
                <w:kern w:val="0"/>
                <w:szCs w:val="21"/>
              </w:rPr>
            </w:pPr>
            <w:r>
              <w:rPr>
                <w:rFonts w:eastAsia="仿宋_GB2312"/>
                <w:color w:val="auto"/>
                <w:kern w:val="0"/>
                <w:szCs w:val="21"/>
              </w:rPr>
              <w:t>灰分</w:t>
            </w:r>
          </w:p>
        </w:tc>
        <w:tc>
          <w:tcPr>
            <w:tcW w:w="1772" w:type="dxa"/>
            <w:vAlign w:val="center"/>
          </w:tcPr>
          <w:p w14:paraId="66731FB7">
            <w:pPr>
              <w:jc w:val="center"/>
              <w:rPr>
                <w:rFonts w:eastAsia="仿宋_GB2312"/>
                <w:color w:val="auto"/>
                <w:kern w:val="0"/>
                <w:szCs w:val="21"/>
              </w:rPr>
            </w:pPr>
            <w:r>
              <w:rPr>
                <w:rFonts w:eastAsia="仿宋_GB2312"/>
                <w:color w:val="auto"/>
                <w:kern w:val="0"/>
                <w:szCs w:val="21"/>
              </w:rPr>
              <w:t>±1</w:t>
            </w:r>
            <w:r>
              <w:rPr>
                <w:rFonts w:hint="eastAsia" w:ascii="宋体" w:hAnsi="宋体" w:cs="宋体"/>
                <w:color w:val="auto"/>
                <w:kern w:val="0"/>
                <w:szCs w:val="21"/>
              </w:rPr>
              <w:t>℃</w:t>
            </w:r>
          </w:p>
        </w:tc>
      </w:tr>
      <w:tr w14:paraId="040143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340" w:hRule="atLeast"/>
          <w:jc w:val="center"/>
        </w:trPr>
        <w:tc>
          <w:tcPr>
            <w:tcW w:w="819" w:type="dxa"/>
            <w:vAlign w:val="center"/>
          </w:tcPr>
          <w:p w14:paraId="07C002C7">
            <w:pPr>
              <w:jc w:val="center"/>
              <w:rPr>
                <w:rFonts w:eastAsia="仿宋_GB2312"/>
                <w:color w:val="auto"/>
                <w:kern w:val="0"/>
                <w:szCs w:val="21"/>
              </w:rPr>
            </w:pPr>
            <w:r>
              <w:rPr>
                <w:rFonts w:eastAsia="仿宋_GB2312"/>
                <w:color w:val="auto"/>
                <w:kern w:val="0"/>
                <w:szCs w:val="21"/>
              </w:rPr>
              <w:t>30</w:t>
            </w:r>
          </w:p>
        </w:tc>
        <w:tc>
          <w:tcPr>
            <w:tcW w:w="1981" w:type="dxa"/>
            <w:vAlign w:val="center"/>
          </w:tcPr>
          <w:p w14:paraId="6C37361A">
            <w:pPr>
              <w:jc w:val="center"/>
              <w:rPr>
                <w:rFonts w:eastAsia="仿宋_GB2312"/>
                <w:color w:val="auto"/>
                <w:kern w:val="0"/>
                <w:szCs w:val="21"/>
              </w:rPr>
            </w:pPr>
            <w:r>
              <w:rPr>
                <w:rFonts w:eastAsia="仿宋_GB2312"/>
                <w:color w:val="auto"/>
                <w:kern w:val="0"/>
                <w:szCs w:val="21"/>
              </w:rPr>
              <w:t>闭口闪点试验器</w:t>
            </w:r>
          </w:p>
        </w:tc>
        <w:tc>
          <w:tcPr>
            <w:tcW w:w="1513" w:type="dxa"/>
            <w:vAlign w:val="center"/>
          </w:tcPr>
          <w:p w14:paraId="1D236AEC">
            <w:pPr>
              <w:jc w:val="center"/>
              <w:rPr>
                <w:rFonts w:eastAsia="仿宋_GB2312"/>
                <w:color w:val="auto"/>
                <w:kern w:val="0"/>
                <w:szCs w:val="21"/>
              </w:rPr>
            </w:pPr>
            <w:r>
              <w:rPr>
                <w:rFonts w:eastAsia="仿宋_GB2312"/>
                <w:color w:val="auto"/>
                <w:kern w:val="0"/>
                <w:szCs w:val="21"/>
              </w:rPr>
              <w:t>BYD-5208D型</w:t>
            </w:r>
          </w:p>
        </w:tc>
        <w:tc>
          <w:tcPr>
            <w:tcW w:w="692" w:type="dxa"/>
            <w:vAlign w:val="center"/>
          </w:tcPr>
          <w:p w14:paraId="72C9B3BA">
            <w:pPr>
              <w:jc w:val="center"/>
              <w:rPr>
                <w:rFonts w:eastAsia="仿宋_GB2312"/>
                <w:color w:val="auto"/>
                <w:kern w:val="0"/>
                <w:szCs w:val="21"/>
              </w:rPr>
            </w:pPr>
            <w:r>
              <w:rPr>
                <w:rFonts w:eastAsia="仿宋_GB2312"/>
                <w:color w:val="auto"/>
                <w:kern w:val="0"/>
                <w:szCs w:val="21"/>
              </w:rPr>
              <w:t>1</w:t>
            </w:r>
          </w:p>
        </w:tc>
        <w:tc>
          <w:tcPr>
            <w:tcW w:w="1831" w:type="dxa"/>
            <w:vAlign w:val="center"/>
          </w:tcPr>
          <w:p w14:paraId="3F00D829">
            <w:pPr>
              <w:jc w:val="center"/>
              <w:rPr>
                <w:rFonts w:eastAsia="仿宋_GB2312"/>
                <w:color w:val="auto"/>
                <w:kern w:val="0"/>
                <w:szCs w:val="21"/>
              </w:rPr>
            </w:pPr>
            <w:r>
              <w:rPr>
                <w:rFonts w:eastAsia="仿宋_GB2312"/>
                <w:color w:val="auto"/>
                <w:kern w:val="0"/>
                <w:szCs w:val="21"/>
              </w:rPr>
              <w:t>闪点</w:t>
            </w:r>
          </w:p>
        </w:tc>
        <w:tc>
          <w:tcPr>
            <w:tcW w:w="1772" w:type="dxa"/>
            <w:vAlign w:val="center"/>
          </w:tcPr>
          <w:p w14:paraId="1E7184D3">
            <w:pPr>
              <w:jc w:val="center"/>
              <w:rPr>
                <w:rFonts w:eastAsia="仿宋_GB2312"/>
                <w:color w:val="auto"/>
                <w:kern w:val="0"/>
                <w:szCs w:val="21"/>
              </w:rPr>
            </w:pPr>
            <w:r>
              <w:rPr>
                <w:rFonts w:eastAsia="仿宋_GB2312"/>
                <w:color w:val="auto"/>
                <w:kern w:val="0"/>
                <w:szCs w:val="21"/>
              </w:rPr>
              <w:t>±0.1</w:t>
            </w:r>
            <w:r>
              <w:rPr>
                <w:rFonts w:hint="eastAsia" w:ascii="宋体" w:hAnsi="宋体" w:cs="宋体"/>
                <w:color w:val="auto"/>
                <w:kern w:val="0"/>
                <w:szCs w:val="21"/>
              </w:rPr>
              <w:t>℃</w:t>
            </w:r>
          </w:p>
        </w:tc>
      </w:tr>
      <w:tr w14:paraId="3F2CB2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340" w:hRule="atLeast"/>
          <w:jc w:val="center"/>
        </w:trPr>
        <w:tc>
          <w:tcPr>
            <w:tcW w:w="819" w:type="dxa"/>
            <w:vAlign w:val="center"/>
          </w:tcPr>
          <w:p w14:paraId="3F8D55EE">
            <w:pPr>
              <w:jc w:val="center"/>
              <w:rPr>
                <w:rFonts w:eastAsia="仿宋_GB2312"/>
                <w:color w:val="auto"/>
                <w:kern w:val="0"/>
                <w:szCs w:val="21"/>
              </w:rPr>
            </w:pPr>
            <w:r>
              <w:rPr>
                <w:rFonts w:eastAsia="仿宋_GB2312"/>
                <w:color w:val="auto"/>
                <w:kern w:val="0"/>
                <w:szCs w:val="21"/>
              </w:rPr>
              <w:t>31</w:t>
            </w:r>
          </w:p>
        </w:tc>
        <w:tc>
          <w:tcPr>
            <w:tcW w:w="1981" w:type="dxa"/>
            <w:vAlign w:val="center"/>
          </w:tcPr>
          <w:p w14:paraId="2C265365">
            <w:pPr>
              <w:jc w:val="center"/>
              <w:rPr>
                <w:rFonts w:eastAsia="仿宋_GB2312"/>
                <w:color w:val="auto"/>
                <w:kern w:val="0"/>
                <w:szCs w:val="21"/>
              </w:rPr>
            </w:pPr>
            <w:r>
              <w:rPr>
                <w:rFonts w:eastAsia="仿宋_GB2312"/>
                <w:color w:val="auto"/>
                <w:kern w:val="0"/>
                <w:szCs w:val="21"/>
              </w:rPr>
              <w:t>测硫仪</w:t>
            </w:r>
          </w:p>
        </w:tc>
        <w:tc>
          <w:tcPr>
            <w:tcW w:w="1513" w:type="dxa"/>
            <w:vAlign w:val="center"/>
          </w:tcPr>
          <w:p w14:paraId="555A0B8D">
            <w:pPr>
              <w:jc w:val="center"/>
              <w:rPr>
                <w:rFonts w:eastAsia="仿宋_GB2312"/>
                <w:color w:val="auto"/>
                <w:kern w:val="0"/>
                <w:szCs w:val="21"/>
              </w:rPr>
            </w:pPr>
            <w:r>
              <w:rPr>
                <w:rFonts w:eastAsia="仿宋_GB2312"/>
                <w:color w:val="auto"/>
                <w:kern w:val="0"/>
                <w:szCs w:val="21"/>
              </w:rPr>
              <w:t>CLS-6型</w:t>
            </w:r>
          </w:p>
        </w:tc>
        <w:tc>
          <w:tcPr>
            <w:tcW w:w="692" w:type="dxa"/>
            <w:vAlign w:val="center"/>
          </w:tcPr>
          <w:p w14:paraId="7A7A1376">
            <w:pPr>
              <w:jc w:val="center"/>
              <w:rPr>
                <w:rFonts w:eastAsia="仿宋_GB2312"/>
                <w:color w:val="auto"/>
                <w:kern w:val="0"/>
                <w:szCs w:val="21"/>
              </w:rPr>
            </w:pPr>
            <w:r>
              <w:rPr>
                <w:rFonts w:eastAsia="仿宋_GB2312"/>
                <w:color w:val="auto"/>
                <w:kern w:val="0"/>
                <w:szCs w:val="21"/>
              </w:rPr>
              <w:t>1</w:t>
            </w:r>
          </w:p>
        </w:tc>
        <w:tc>
          <w:tcPr>
            <w:tcW w:w="1831" w:type="dxa"/>
            <w:vAlign w:val="center"/>
          </w:tcPr>
          <w:p w14:paraId="38497DA5">
            <w:pPr>
              <w:jc w:val="center"/>
              <w:rPr>
                <w:rFonts w:eastAsia="仿宋_GB2312"/>
                <w:color w:val="auto"/>
                <w:kern w:val="0"/>
                <w:szCs w:val="21"/>
              </w:rPr>
            </w:pPr>
            <w:r>
              <w:rPr>
                <w:rFonts w:eastAsia="仿宋_GB2312"/>
                <w:color w:val="auto"/>
                <w:kern w:val="0"/>
                <w:szCs w:val="21"/>
              </w:rPr>
              <w:t>硫离子</w:t>
            </w:r>
          </w:p>
        </w:tc>
        <w:tc>
          <w:tcPr>
            <w:tcW w:w="1772" w:type="dxa"/>
            <w:vAlign w:val="center"/>
          </w:tcPr>
          <w:p w14:paraId="7665EC71">
            <w:pPr>
              <w:jc w:val="center"/>
              <w:rPr>
                <w:rFonts w:eastAsia="仿宋_GB2312"/>
                <w:color w:val="auto"/>
                <w:kern w:val="0"/>
                <w:szCs w:val="21"/>
              </w:rPr>
            </w:pPr>
            <w:r>
              <w:rPr>
                <w:rFonts w:eastAsia="仿宋_GB2312"/>
                <w:color w:val="auto"/>
                <w:kern w:val="0"/>
                <w:szCs w:val="21"/>
              </w:rPr>
              <w:t>0.01%</w:t>
            </w:r>
          </w:p>
        </w:tc>
      </w:tr>
      <w:tr w14:paraId="4BE3CE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340" w:hRule="atLeast"/>
          <w:jc w:val="center"/>
        </w:trPr>
        <w:tc>
          <w:tcPr>
            <w:tcW w:w="819" w:type="dxa"/>
            <w:vAlign w:val="center"/>
          </w:tcPr>
          <w:p w14:paraId="30C981BE">
            <w:pPr>
              <w:jc w:val="center"/>
              <w:rPr>
                <w:rFonts w:eastAsia="仿宋_GB2312"/>
                <w:color w:val="auto"/>
                <w:kern w:val="0"/>
                <w:szCs w:val="21"/>
              </w:rPr>
            </w:pPr>
            <w:r>
              <w:rPr>
                <w:rFonts w:eastAsia="仿宋_GB2312"/>
                <w:color w:val="auto"/>
                <w:kern w:val="0"/>
                <w:szCs w:val="21"/>
              </w:rPr>
              <w:t>32</w:t>
            </w:r>
          </w:p>
        </w:tc>
        <w:tc>
          <w:tcPr>
            <w:tcW w:w="1981" w:type="dxa"/>
            <w:vAlign w:val="center"/>
          </w:tcPr>
          <w:p w14:paraId="3D831F4E">
            <w:pPr>
              <w:jc w:val="center"/>
              <w:rPr>
                <w:rFonts w:eastAsia="仿宋_GB2312"/>
                <w:color w:val="auto"/>
                <w:kern w:val="0"/>
                <w:szCs w:val="21"/>
              </w:rPr>
            </w:pPr>
            <w:r>
              <w:rPr>
                <w:rFonts w:eastAsia="仿宋_GB2312"/>
                <w:color w:val="auto"/>
                <w:kern w:val="0"/>
                <w:szCs w:val="21"/>
              </w:rPr>
              <w:t>测氯仪</w:t>
            </w:r>
          </w:p>
        </w:tc>
        <w:tc>
          <w:tcPr>
            <w:tcW w:w="1513" w:type="dxa"/>
            <w:vAlign w:val="center"/>
          </w:tcPr>
          <w:p w14:paraId="6A54BF89">
            <w:pPr>
              <w:jc w:val="center"/>
              <w:rPr>
                <w:rFonts w:eastAsia="仿宋_GB2312"/>
                <w:color w:val="auto"/>
                <w:kern w:val="0"/>
                <w:szCs w:val="21"/>
              </w:rPr>
            </w:pPr>
            <w:r>
              <w:rPr>
                <w:rFonts w:eastAsia="仿宋_GB2312"/>
                <w:color w:val="auto"/>
                <w:kern w:val="0"/>
                <w:szCs w:val="21"/>
              </w:rPr>
              <w:t>DDY200W</w:t>
            </w:r>
          </w:p>
        </w:tc>
        <w:tc>
          <w:tcPr>
            <w:tcW w:w="692" w:type="dxa"/>
            <w:vAlign w:val="center"/>
          </w:tcPr>
          <w:p w14:paraId="5044E08E">
            <w:pPr>
              <w:jc w:val="center"/>
              <w:rPr>
                <w:rFonts w:eastAsia="仿宋_GB2312"/>
                <w:color w:val="auto"/>
                <w:kern w:val="0"/>
                <w:szCs w:val="21"/>
              </w:rPr>
            </w:pPr>
            <w:r>
              <w:rPr>
                <w:rFonts w:eastAsia="仿宋_GB2312"/>
                <w:color w:val="auto"/>
                <w:kern w:val="0"/>
                <w:szCs w:val="21"/>
              </w:rPr>
              <w:t>1</w:t>
            </w:r>
          </w:p>
        </w:tc>
        <w:tc>
          <w:tcPr>
            <w:tcW w:w="1831" w:type="dxa"/>
            <w:vAlign w:val="center"/>
          </w:tcPr>
          <w:p w14:paraId="7D67961A">
            <w:pPr>
              <w:jc w:val="center"/>
              <w:rPr>
                <w:rFonts w:eastAsia="仿宋_GB2312"/>
                <w:color w:val="auto"/>
                <w:kern w:val="0"/>
                <w:szCs w:val="21"/>
              </w:rPr>
            </w:pPr>
            <w:r>
              <w:rPr>
                <w:rFonts w:eastAsia="仿宋_GB2312"/>
                <w:color w:val="auto"/>
                <w:kern w:val="0"/>
                <w:szCs w:val="21"/>
              </w:rPr>
              <w:t>氯离子</w:t>
            </w:r>
          </w:p>
        </w:tc>
        <w:tc>
          <w:tcPr>
            <w:tcW w:w="1772" w:type="dxa"/>
            <w:vAlign w:val="center"/>
          </w:tcPr>
          <w:p w14:paraId="09F66094">
            <w:pPr>
              <w:jc w:val="center"/>
              <w:rPr>
                <w:rFonts w:eastAsia="仿宋_GB2312"/>
                <w:color w:val="auto"/>
                <w:kern w:val="0"/>
                <w:szCs w:val="21"/>
              </w:rPr>
            </w:pPr>
            <w:r>
              <w:rPr>
                <w:rFonts w:eastAsia="仿宋_GB2312"/>
                <w:color w:val="auto"/>
                <w:kern w:val="0"/>
                <w:szCs w:val="21"/>
              </w:rPr>
              <w:t>0.01%</w:t>
            </w:r>
          </w:p>
        </w:tc>
      </w:tr>
      <w:tr w14:paraId="0AA8E35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340" w:hRule="atLeast"/>
          <w:jc w:val="center"/>
        </w:trPr>
        <w:tc>
          <w:tcPr>
            <w:tcW w:w="819" w:type="dxa"/>
            <w:vAlign w:val="center"/>
          </w:tcPr>
          <w:p w14:paraId="7D73226E">
            <w:pPr>
              <w:jc w:val="center"/>
              <w:rPr>
                <w:rFonts w:eastAsia="仿宋_GB2312"/>
                <w:color w:val="auto"/>
                <w:kern w:val="0"/>
                <w:szCs w:val="21"/>
              </w:rPr>
            </w:pPr>
            <w:r>
              <w:rPr>
                <w:rFonts w:eastAsia="仿宋_GB2312"/>
                <w:color w:val="auto"/>
                <w:kern w:val="0"/>
                <w:szCs w:val="21"/>
              </w:rPr>
              <w:t>33</w:t>
            </w:r>
          </w:p>
        </w:tc>
        <w:tc>
          <w:tcPr>
            <w:tcW w:w="1981" w:type="dxa"/>
            <w:vAlign w:val="center"/>
          </w:tcPr>
          <w:p w14:paraId="44FCD94F">
            <w:pPr>
              <w:jc w:val="center"/>
              <w:rPr>
                <w:rFonts w:eastAsia="仿宋_GB2312"/>
                <w:color w:val="auto"/>
                <w:kern w:val="0"/>
                <w:szCs w:val="21"/>
              </w:rPr>
            </w:pPr>
            <w:r>
              <w:rPr>
                <w:rFonts w:eastAsia="仿宋_GB2312"/>
                <w:color w:val="auto"/>
                <w:kern w:val="0"/>
                <w:szCs w:val="21"/>
              </w:rPr>
              <w:t>Agilent5110等离子体发射光谱仪</w:t>
            </w:r>
          </w:p>
        </w:tc>
        <w:tc>
          <w:tcPr>
            <w:tcW w:w="1513" w:type="dxa"/>
            <w:vAlign w:val="center"/>
          </w:tcPr>
          <w:p w14:paraId="33299593">
            <w:pPr>
              <w:jc w:val="center"/>
              <w:rPr>
                <w:rFonts w:eastAsia="仿宋_GB2312"/>
                <w:color w:val="auto"/>
                <w:kern w:val="0"/>
                <w:szCs w:val="21"/>
              </w:rPr>
            </w:pPr>
            <w:r>
              <w:rPr>
                <w:rFonts w:eastAsia="仿宋_GB2312"/>
                <w:color w:val="auto"/>
                <w:kern w:val="0"/>
                <w:szCs w:val="21"/>
              </w:rPr>
              <w:t>5110</w:t>
            </w:r>
          </w:p>
        </w:tc>
        <w:tc>
          <w:tcPr>
            <w:tcW w:w="692" w:type="dxa"/>
            <w:vAlign w:val="center"/>
          </w:tcPr>
          <w:p w14:paraId="5D5BF521">
            <w:pPr>
              <w:jc w:val="center"/>
              <w:rPr>
                <w:rFonts w:eastAsia="仿宋_GB2312"/>
                <w:color w:val="auto"/>
                <w:kern w:val="0"/>
                <w:szCs w:val="21"/>
              </w:rPr>
            </w:pPr>
            <w:r>
              <w:rPr>
                <w:rFonts w:eastAsia="仿宋_GB2312"/>
                <w:color w:val="auto"/>
                <w:kern w:val="0"/>
                <w:szCs w:val="21"/>
              </w:rPr>
              <w:t>1</w:t>
            </w:r>
          </w:p>
        </w:tc>
        <w:tc>
          <w:tcPr>
            <w:tcW w:w="1831" w:type="dxa"/>
            <w:vAlign w:val="center"/>
          </w:tcPr>
          <w:p w14:paraId="2BD7CCD4">
            <w:pPr>
              <w:jc w:val="center"/>
              <w:rPr>
                <w:rFonts w:eastAsia="仿宋_GB2312"/>
                <w:color w:val="auto"/>
                <w:kern w:val="0"/>
                <w:szCs w:val="21"/>
              </w:rPr>
            </w:pPr>
            <w:r>
              <w:rPr>
                <w:rFonts w:eastAsia="仿宋_GB2312"/>
                <w:color w:val="auto"/>
                <w:kern w:val="0"/>
                <w:szCs w:val="21"/>
              </w:rPr>
              <w:t>挥发性有机溶剂，高基质；复杂样品</w:t>
            </w:r>
          </w:p>
        </w:tc>
        <w:tc>
          <w:tcPr>
            <w:tcW w:w="1772" w:type="dxa"/>
            <w:vAlign w:val="center"/>
          </w:tcPr>
          <w:p w14:paraId="10D9B2B1">
            <w:pPr>
              <w:jc w:val="center"/>
              <w:rPr>
                <w:rFonts w:eastAsia="仿宋_GB2312"/>
                <w:color w:val="auto"/>
                <w:kern w:val="0"/>
                <w:szCs w:val="21"/>
              </w:rPr>
            </w:pPr>
            <w:r>
              <w:rPr>
                <w:rFonts w:eastAsia="仿宋_GB2312"/>
                <w:color w:val="auto"/>
                <w:kern w:val="0"/>
                <w:szCs w:val="21"/>
              </w:rPr>
              <w:t>/</w:t>
            </w:r>
          </w:p>
        </w:tc>
      </w:tr>
      <w:tr w14:paraId="467DA2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340" w:hRule="atLeast"/>
          <w:jc w:val="center"/>
        </w:trPr>
        <w:tc>
          <w:tcPr>
            <w:tcW w:w="819" w:type="dxa"/>
            <w:vAlign w:val="center"/>
          </w:tcPr>
          <w:p w14:paraId="0C25DBBF">
            <w:pPr>
              <w:jc w:val="center"/>
              <w:rPr>
                <w:rFonts w:eastAsia="仿宋_GB2312"/>
                <w:color w:val="auto"/>
                <w:kern w:val="0"/>
                <w:szCs w:val="21"/>
              </w:rPr>
            </w:pPr>
            <w:r>
              <w:rPr>
                <w:rFonts w:eastAsia="仿宋_GB2312"/>
                <w:color w:val="auto"/>
                <w:kern w:val="0"/>
                <w:szCs w:val="21"/>
              </w:rPr>
              <w:t>34</w:t>
            </w:r>
          </w:p>
        </w:tc>
        <w:tc>
          <w:tcPr>
            <w:tcW w:w="1981" w:type="dxa"/>
            <w:vAlign w:val="center"/>
          </w:tcPr>
          <w:p w14:paraId="236BD3C7">
            <w:pPr>
              <w:jc w:val="center"/>
              <w:rPr>
                <w:rFonts w:eastAsia="仿宋_GB2312"/>
                <w:color w:val="auto"/>
                <w:kern w:val="0"/>
                <w:szCs w:val="21"/>
              </w:rPr>
            </w:pPr>
            <w:r>
              <w:rPr>
                <w:rFonts w:eastAsia="仿宋_GB2312"/>
                <w:color w:val="auto"/>
                <w:kern w:val="0"/>
                <w:szCs w:val="21"/>
              </w:rPr>
              <w:t>Agilent7820A+5977B气相色谱质谱仪</w:t>
            </w:r>
          </w:p>
        </w:tc>
        <w:tc>
          <w:tcPr>
            <w:tcW w:w="1513" w:type="dxa"/>
            <w:vAlign w:val="center"/>
          </w:tcPr>
          <w:p w14:paraId="7AA84544">
            <w:pPr>
              <w:jc w:val="center"/>
              <w:rPr>
                <w:rFonts w:eastAsia="仿宋_GB2312"/>
                <w:color w:val="auto"/>
                <w:kern w:val="0"/>
                <w:szCs w:val="21"/>
              </w:rPr>
            </w:pPr>
            <w:r>
              <w:rPr>
                <w:rFonts w:eastAsia="仿宋_GB2312"/>
                <w:color w:val="auto"/>
                <w:kern w:val="0"/>
                <w:szCs w:val="21"/>
              </w:rPr>
              <w:t>5977</w:t>
            </w:r>
          </w:p>
        </w:tc>
        <w:tc>
          <w:tcPr>
            <w:tcW w:w="692" w:type="dxa"/>
            <w:vAlign w:val="center"/>
          </w:tcPr>
          <w:p w14:paraId="247648F3">
            <w:pPr>
              <w:jc w:val="center"/>
              <w:rPr>
                <w:rFonts w:eastAsia="仿宋_GB2312"/>
                <w:color w:val="auto"/>
                <w:kern w:val="0"/>
                <w:szCs w:val="21"/>
              </w:rPr>
            </w:pPr>
            <w:r>
              <w:rPr>
                <w:rFonts w:eastAsia="仿宋_GB2312"/>
                <w:color w:val="auto"/>
                <w:kern w:val="0"/>
                <w:szCs w:val="21"/>
              </w:rPr>
              <w:t>1</w:t>
            </w:r>
          </w:p>
        </w:tc>
        <w:tc>
          <w:tcPr>
            <w:tcW w:w="1831" w:type="dxa"/>
            <w:vAlign w:val="center"/>
          </w:tcPr>
          <w:p w14:paraId="68D966DF">
            <w:pPr>
              <w:jc w:val="center"/>
              <w:rPr>
                <w:rFonts w:eastAsia="仿宋_GB2312"/>
                <w:color w:val="auto"/>
                <w:kern w:val="0"/>
                <w:szCs w:val="21"/>
              </w:rPr>
            </w:pPr>
            <w:r>
              <w:rPr>
                <w:rFonts w:eastAsia="仿宋_GB2312"/>
                <w:color w:val="auto"/>
                <w:kern w:val="0"/>
                <w:szCs w:val="21"/>
              </w:rPr>
              <w:t>溶剂定性及定量</w:t>
            </w:r>
          </w:p>
        </w:tc>
        <w:tc>
          <w:tcPr>
            <w:tcW w:w="1772" w:type="dxa"/>
            <w:vAlign w:val="center"/>
          </w:tcPr>
          <w:p w14:paraId="774C559F">
            <w:pPr>
              <w:jc w:val="center"/>
              <w:rPr>
                <w:rFonts w:eastAsia="仿宋_GB2312"/>
                <w:color w:val="auto"/>
                <w:kern w:val="0"/>
                <w:szCs w:val="21"/>
              </w:rPr>
            </w:pPr>
            <w:r>
              <w:rPr>
                <w:rFonts w:eastAsia="仿宋_GB2312"/>
                <w:color w:val="auto"/>
                <w:kern w:val="0"/>
                <w:szCs w:val="21"/>
              </w:rPr>
              <w:t>0.01%</w:t>
            </w:r>
          </w:p>
        </w:tc>
      </w:tr>
      <w:tr w14:paraId="0F3ED49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340" w:hRule="atLeast"/>
          <w:jc w:val="center"/>
        </w:trPr>
        <w:tc>
          <w:tcPr>
            <w:tcW w:w="819" w:type="dxa"/>
            <w:vAlign w:val="center"/>
          </w:tcPr>
          <w:p w14:paraId="5CBFDA11">
            <w:pPr>
              <w:jc w:val="center"/>
              <w:rPr>
                <w:rFonts w:eastAsia="仿宋_GB2312"/>
                <w:color w:val="auto"/>
                <w:kern w:val="0"/>
                <w:szCs w:val="21"/>
              </w:rPr>
            </w:pPr>
            <w:r>
              <w:rPr>
                <w:rFonts w:eastAsia="仿宋_GB2312"/>
                <w:color w:val="auto"/>
                <w:kern w:val="0"/>
                <w:szCs w:val="21"/>
              </w:rPr>
              <w:t>35</w:t>
            </w:r>
          </w:p>
        </w:tc>
        <w:tc>
          <w:tcPr>
            <w:tcW w:w="1981" w:type="dxa"/>
            <w:vAlign w:val="center"/>
          </w:tcPr>
          <w:p w14:paraId="471DA13B">
            <w:pPr>
              <w:jc w:val="center"/>
              <w:rPr>
                <w:rFonts w:eastAsia="仿宋_GB2312"/>
                <w:color w:val="auto"/>
                <w:kern w:val="0"/>
                <w:szCs w:val="21"/>
              </w:rPr>
            </w:pPr>
            <w:r>
              <w:rPr>
                <w:rFonts w:eastAsia="仿宋_GB2312"/>
                <w:color w:val="auto"/>
                <w:kern w:val="0"/>
                <w:szCs w:val="21"/>
              </w:rPr>
              <w:t>水质多参数测定仪</w:t>
            </w:r>
          </w:p>
        </w:tc>
        <w:tc>
          <w:tcPr>
            <w:tcW w:w="1513" w:type="dxa"/>
            <w:vAlign w:val="center"/>
          </w:tcPr>
          <w:p w14:paraId="56BF3338">
            <w:pPr>
              <w:jc w:val="center"/>
              <w:rPr>
                <w:rFonts w:eastAsia="仿宋_GB2312"/>
                <w:color w:val="auto"/>
                <w:kern w:val="0"/>
                <w:szCs w:val="21"/>
              </w:rPr>
            </w:pPr>
            <w:r>
              <w:rPr>
                <w:rFonts w:eastAsia="仿宋_GB2312"/>
                <w:color w:val="auto"/>
                <w:kern w:val="0"/>
                <w:szCs w:val="21"/>
              </w:rPr>
              <w:t>6B-3000A</w:t>
            </w:r>
          </w:p>
        </w:tc>
        <w:tc>
          <w:tcPr>
            <w:tcW w:w="692" w:type="dxa"/>
            <w:vAlign w:val="center"/>
          </w:tcPr>
          <w:p w14:paraId="001CBC92">
            <w:pPr>
              <w:jc w:val="center"/>
              <w:rPr>
                <w:rFonts w:eastAsia="仿宋_GB2312"/>
                <w:color w:val="auto"/>
                <w:kern w:val="0"/>
                <w:szCs w:val="21"/>
              </w:rPr>
            </w:pPr>
            <w:r>
              <w:rPr>
                <w:rFonts w:eastAsia="仿宋_GB2312"/>
                <w:color w:val="auto"/>
                <w:kern w:val="0"/>
                <w:szCs w:val="21"/>
              </w:rPr>
              <w:t>1</w:t>
            </w:r>
          </w:p>
        </w:tc>
        <w:tc>
          <w:tcPr>
            <w:tcW w:w="1831" w:type="dxa"/>
            <w:vAlign w:val="center"/>
          </w:tcPr>
          <w:p w14:paraId="697ADC9E">
            <w:pPr>
              <w:jc w:val="center"/>
              <w:rPr>
                <w:rFonts w:eastAsia="仿宋_GB2312"/>
                <w:color w:val="auto"/>
                <w:kern w:val="0"/>
                <w:szCs w:val="21"/>
              </w:rPr>
            </w:pPr>
            <w:r>
              <w:rPr>
                <w:rFonts w:eastAsia="仿宋_GB2312"/>
                <w:color w:val="auto"/>
                <w:kern w:val="0"/>
                <w:szCs w:val="21"/>
              </w:rPr>
              <w:t>COD、总氮、总磷、氨氮</w:t>
            </w:r>
          </w:p>
        </w:tc>
        <w:tc>
          <w:tcPr>
            <w:tcW w:w="1772" w:type="dxa"/>
            <w:vAlign w:val="center"/>
          </w:tcPr>
          <w:p w14:paraId="296E805A">
            <w:pPr>
              <w:jc w:val="center"/>
              <w:rPr>
                <w:rFonts w:eastAsia="仿宋_GB2312"/>
                <w:color w:val="auto"/>
                <w:kern w:val="0"/>
                <w:szCs w:val="21"/>
              </w:rPr>
            </w:pPr>
            <w:r>
              <w:rPr>
                <w:rFonts w:eastAsia="仿宋_GB2312"/>
                <w:color w:val="auto"/>
                <w:kern w:val="0"/>
                <w:szCs w:val="21"/>
              </w:rPr>
              <w:t>总氮：0~40mg/l±5%</w:t>
            </w:r>
          </w:p>
        </w:tc>
      </w:tr>
      <w:tr w14:paraId="1AD555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340" w:hRule="atLeast"/>
          <w:jc w:val="center"/>
        </w:trPr>
        <w:tc>
          <w:tcPr>
            <w:tcW w:w="819" w:type="dxa"/>
            <w:vAlign w:val="center"/>
          </w:tcPr>
          <w:p w14:paraId="786E5ACD">
            <w:pPr>
              <w:jc w:val="center"/>
              <w:rPr>
                <w:rFonts w:eastAsia="仿宋_GB2312"/>
                <w:color w:val="auto"/>
                <w:kern w:val="0"/>
                <w:szCs w:val="21"/>
              </w:rPr>
            </w:pPr>
            <w:r>
              <w:rPr>
                <w:rFonts w:eastAsia="仿宋_GB2312"/>
                <w:color w:val="auto"/>
                <w:kern w:val="0"/>
                <w:szCs w:val="21"/>
              </w:rPr>
              <w:t>36</w:t>
            </w:r>
          </w:p>
        </w:tc>
        <w:tc>
          <w:tcPr>
            <w:tcW w:w="1981" w:type="dxa"/>
            <w:vAlign w:val="center"/>
          </w:tcPr>
          <w:p w14:paraId="3C9E6249">
            <w:pPr>
              <w:jc w:val="center"/>
              <w:rPr>
                <w:rFonts w:eastAsia="仿宋_GB2312"/>
                <w:color w:val="auto"/>
                <w:kern w:val="0"/>
                <w:szCs w:val="21"/>
              </w:rPr>
            </w:pPr>
            <w:r>
              <w:rPr>
                <w:rFonts w:eastAsia="仿宋_GB2312"/>
                <w:color w:val="auto"/>
                <w:kern w:val="0"/>
                <w:szCs w:val="21"/>
              </w:rPr>
              <w:t>智能消解仪（加热器）</w:t>
            </w:r>
          </w:p>
        </w:tc>
        <w:tc>
          <w:tcPr>
            <w:tcW w:w="1513" w:type="dxa"/>
            <w:vAlign w:val="center"/>
          </w:tcPr>
          <w:p w14:paraId="232D4F15">
            <w:pPr>
              <w:jc w:val="center"/>
              <w:rPr>
                <w:rFonts w:eastAsia="仿宋_GB2312"/>
                <w:color w:val="auto"/>
                <w:kern w:val="0"/>
                <w:szCs w:val="21"/>
              </w:rPr>
            </w:pPr>
            <w:r>
              <w:rPr>
                <w:rFonts w:eastAsia="仿宋_GB2312"/>
                <w:color w:val="auto"/>
                <w:kern w:val="0"/>
                <w:szCs w:val="21"/>
              </w:rPr>
              <w:t>6B-214A</w:t>
            </w:r>
          </w:p>
        </w:tc>
        <w:tc>
          <w:tcPr>
            <w:tcW w:w="692" w:type="dxa"/>
            <w:vAlign w:val="center"/>
          </w:tcPr>
          <w:p w14:paraId="1C3F93D3">
            <w:pPr>
              <w:jc w:val="center"/>
              <w:rPr>
                <w:rFonts w:eastAsia="仿宋_GB2312"/>
                <w:color w:val="auto"/>
                <w:kern w:val="0"/>
                <w:szCs w:val="21"/>
              </w:rPr>
            </w:pPr>
            <w:r>
              <w:rPr>
                <w:rFonts w:eastAsia="仿宋_GB2312"/>
                <w:color w:val="auto"/>
                <w:kern w:val="0"/>
                <w:szCs w:val="21"/>
              </w:rPr>
              <w:t>2</w:t>
            </w:r>
          </w:p>
        </w:tc>
        <w:tc>
          <w:tcPr>
            <w:tcW w:w="1831" w:type="dxa"/>
            <w:vAlign w:val="center"/>
          </w:tcPr>
          <w:p w14:paraId="4E16CC29">
            <w:pPr>
              <w:jc w:val="center"/>
              <w:rPr>
                <w:rFonts w:eastAsia="仿宋_GB2312"/>
                <w:color w:val="auto"/>
                <w:kern w:val="0"/>
                <w:szCs w:val="21"/>
              </w:rPr>
            </w:pPr>
            <w:r>
              <w:rPr>
                <w:rFonts w:eastAsia="仿宋_GB2312"/>
                <w:color w:val="auto"/>
                <w:kern w:val="0"/>
                <w:szCs w:val="21"/>
              </w:rPr>
              <w:t>样品消解</w:t>
            </w:r>
          </w:p>
        </w:tc>
        <w:tc>
          <w:tcPr>
            <w:tcW w:w="1772" w:type="dxa"/>
            <w:shd w:val="clear" w:color="auto" w:fill="FFFFFF"/>
            <w:vAlign w:val="center"/>
          </w:tcPr>
          <w:p w14:paraId="5BA317CF">
            <w:pPr>
              <w:jc w:val="center"/>
              <w:rPr>
                <w:rFonts w:eastAsia="仿宋_GB2312"/>
                <w:color w:val="auto"/>
                <w:kern w:val="0"/>
                <w:szCs w:val="21"/>
              </w:rPr>
            </w:pPr>
            <w:r>
              <w:rPr>
                <w:rFonts w:eastAsia="仿宋_GB2312"/>
                <w:color w:val="auto"/>
                <w:kern w:val="0"/>
                <w:szCs w:val="21"/>
              </w:rPr>
              <w:t>±0.1</w:t>
            </w:r>
            <w:r>
              <w:rPr>
                <w:rFonts w:hint="eastAsia" w:ascii="宋体" w:hAnsi="宋体" w:cs="宋体"/>
                <w:color w:val="auto"/>
                <w:kern w:val="0"/>
                <w:szCs w:val="21"/>
              </w:rPr>
              <w:t>℃</w:t>
            </w:r>
          </w:p>
        </w:tc>
      </w:tr>
      <w:tr w14:paraId="076232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340" w:hRule="atLeast"/>
          <w:jc w:val="center"/>
        </w:trPr>
        <w:tc>
          <w:tcPr>
            <w:tcW w:w="819" w:type="dxa"/>
            <w:vAlign w:val="center"/>
          </w:tcPr>
          <w:p w14:paraId="052B34C0">
            <w:pPr>
              <w:jc w:val="center"/>
              <w:rPr>
                <w:rFonts w:eastAsia="仿宋_GB2312"/>
                <w:color w:val="auto"/>
                <w:kern w:val="0"/>
                <w:szCs w:val="21"/>
              </w:rPr>
            </w:pPr>
            <w:r>
              <w:rPr>
                <w:rFonts w:eastAsia="仿宋_GB2312"/>
                <w:color w:val="auto"/>
                <w:kern w:val="0"/>
                <w:szCs w:val="21"/>
              </w:rPr>
              <w:t>37</w:t>
            </w:r>
          </w:p>
        </w:tc>
        <w:tc>
          <w:tcPr>
            <w:tcW w:w="1981" w:type="dxa"/>
            <w:vAlign w:val="center"/>
          </w:tcPr>
          <w:p w14:paraId="6593695D">
            <w:pPr>
              <w:jc w:val="center"/>
              <w:rPr>
                <w:rFonts w:eastAsia="仿宋_GB2312"/>
                <w:color w:val="auto"/>
                <w:kern w:val="0"/>
                <w:szCs w:val="21"/>
              </w:rPr>
            </w:pPr>
            <w:r>
              <w:rPr>
                <w:rFonts w:eastAsia="仿宋_GB2312"/>
                <w:color w:val="auto"/>
                <w:kern w:val="0"/>
                <w:szCs w:val="21"/>
              </w:rPr>
              <w:t>恒温恒湿培养箱</w:t>
            </w:r>
          </w:p>
        </w:tc>
        <w:tc>
          <w:tcPr>
            <w:tcW w:w="1513" w:type="dxa"/>
            <w:vAlign w:val="center"/>
          </w:tcPr>
          <w:p w14:paraId="633DF6CA">
            <w:pPr>
              <w:jc w:val="center"/>
              <w:rPr>
                <w:rFonts w:eastAsia="仿宋_GB2312"/>
                <w:color w:val="auto"/>
                <w:kern w:val="0"/>
                <w:szCs w:val="21"/>
              </w:rPr>
            </w:pPr>
            <w:r>
              <w:rPr>
                <w:rFonts w:eastAsia="仿宋_GB2312"/>
                <w:color w:val="auto"/>
                <w:kern w:val="0"/>
                <w:szCs w:val="21"/>
              </w:rPr>
              <w:t>WS70</w:t>
            </w:r>
            <w:r>
              <w:rPr>
                <w:rFonts w:hint="eastAsia" w:ascii="宋体" w:hAnsi="宋体" w:cs="宋体"/>
                <w:color w:val="auto"/>
                <w:kern w:val="0"/>
                <w:szCs w:val="21"/>
              </w:rPr>
              <w:t>Ⅲ</w:t>
            </w:r>
          </w:p>
        </w:tc>
        <w:tc>
          <w:tcPr>
            <w:tcW w:w="692" w:type="dxa"/>
            <w:vAlign w:val="center"/>
          </w:tcPr>
          <w:p w14:paraId="5B3193B3">
            <w:pPr>
              <w:jc w:val="center"/>
              <w:rPr>
                <w:rFonts w:eastAsia="仿宋_GB2312"/>
                <w:color w:val="auto"/>
                <w:kern w:val="0"/>
                <w:szCs w:val="21"/>
              </w:rPr>
            </w:pPr>
            <w:r>
              <w:rPr>
                <w:rFonts w:eastAsia="仿宋_GB2312"/>
                <w:color w:val="auto"/>
                <w:kern w:val="0"/>
                <w:szCs w:val="21"/>
              </w:rPr>
              <w:t>1</w:t>
            </w:r>
          </w:p>
        </w:tc>
        <w:tc>
          <w:tcPr>
            <w:tcW w:w="1831" w:type="dxa"/>
            <w:vAlign w:val="center"/>
          </w:tcPr>
          <w:p w14:paraId="17FC1E95">
            <w:pPr>
              <w:jc w:val="center"/>
              <w:rPr>
                <w:rFonts w:eastAsia="仿宋_GB2312"/>
                <w:color w:val="auto"/>
                <w:kern w:val="0"/>
                <w:szCs w:val="21"/>
              </w:rPr>
            </w:pPr>
            <w:r>
              <w:rPr>
                <w:rFonts w:eastAsia="仿宋_GB2312"/>
                <w:color w:val="auto"/>
                <w:kern w:val="0"/>
                <w:szCs w:val="21"/>
              </w:rPr>
              <w:t>恒温</w:t>
            </w:r>
          </w:p>
        </w:tc>
        <w:tc>
          <w:tcPr>
            <w:tcW w:w="1772" w:type="dxa"/>
            <w:vAlign w:val="center"/>
          </w:tcPr>
          <w:p w14:paraId="3E2E0AD4">
            <w:pPr>
              <w:jc w:val="center"/>
              <w:rPr>
                <w:rFonts w:eastAsia="仿宋_GB2312"/>
                <w:color w:val="auto"/>
                <w:kern w:val="0"/>
                <w:szCs w:val="21"/>
              </w:rPr>
            </w:pPr>
            <w:r>
              <w:rPr>
                <w:rFonts w:eastAsia="仿宋_GB2312"/>
                <w:color w:val="auto"/>
                <w:kern w:val="0"/>
                <w:szCs w:val="21"/>
              </w:rPr>
              <w:t>±1</w:t>
            </w:r>
            <w:r>
              <w:rPr>
                <w:rFonts w:hint="eastAsia" w:ascii="宋体" w:hAnsi="宋体" w:cs="宋体"/>
                <w:color w:val="auto"/>
                <w:kern w:val="0"/>
                <w:szCs w:val="21"/>
              </w:rPr>
              <w:t>℃</w:t>
            </w:r>
          </w:p>
        </w:tc>
      </w:tr>
      <w:tr w14:paraId="48F8F7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340" w:hRule="atLeast"/>
          <w:jc w:val="center"/>
        </w:trPr>
        <w:tc>
          <w:tcPr>
            <w:tcW w:w="819" w:type="dxa"/>
            <w:vAlign w:val="center"/>
          </w:tcPr>
          <w:p w14:paraId="5D39DBEE">
            <w:pPr>
              <w:jc w:val="center"/>
              <w:rPr>
                <w:rFonts w:eastAsia="仿宋_GB2312"/>
                <w:color w:val="auto"/>
                <w:kern w:val="0"/>
                <w:szCs w:val="21"/>
              </w:rPr>
            </w:pPr>
            <w:r>
              <w:rPr>
                <w:rFonts w:eastAsia="仿宋_GB2312"/>
                <w:color w:val="auto"/>
                <w:kern w:val="0"/>
                <w:szCs w:val="21"/>
              </w:rPr>
              <w:t>38</w:t>
            </w:r>
          </w:p>
        </w:tc>
        <w:tc>
          <w:tcPr>
            <w:tcW w:w="1981" w:type="dxa"/>
            <w:vAlign w:val="center"/>
          </w:tcPr>
          <w:p w14:paraId="0FB726B6">
            <w:pPr>
              <w:jc w:val="center"/>
              <w:rPr>
                <w:rFonts w:eastAsia="仿宋_GB2312"/>
                <w:color w:val="auto"/>
                <w:kern w:val="0"/>
                <w:szCs w:val="21"/>
              </w:rPr>
            </w:pPr>
            <w:r>
              <w:rPr>
                <w:rFonts w:eastAsia="仿宋_GB2312"/>
                <w:color w:val="auto"/>
                <w:kern w:val="0"/>
                <w:szCs w:val="21"/>
              </w:rPr>
              <w:t>（电子）分析天平</w:t>
            </w:r>
          </w:p>
        </w:tc>
        <w:tc>
          <w:tcPr>
            <w:tcW w:w="1513" w:type="dxa"/>
            <w:vAlign w:val="center"/>
          </w:tcPr>
          <w:p w14:paraId="0054C127">
            <w:pPr>
              <w:jc w:val="center"/>
              <w:rPr>
                <w:rFonts w:eastAsia="仿宋_GB2312"/>
                <w:color w:val="auto"/>
                <w:kern w:val="0"/>
                <w:szCs w:val="21"/>
              </w:rPr>
            </w:pPr>
            <w:r>
              <w:rPr>
                <w:rFonts w:eastAsia="仿宋_GB2312"/>
                <w:color w:val="auto"/>
                <w:kern w:val="0"/>
                <w:szCs w:val="21"/>
              </w:rPr>
              <w:t>ME204E</w:t>
            </w:r>
          </w:p>
        </w:tc>
        <w:tc>
          <w:tcPr>
            <w:tcW w:w="692" w:type="dxa"/>
            <w:vAlign w:val="center"/>
          </w:tcPr>
          <w:p w14:paraId="4E82AF03">
            <w:pPr>
              <w:jc w:val="center"/>
              <w:rPr>
                <w:rFonts w:eastAsia="仿宋_GB2312"/>
                <w:color w:val="auto"/>
                <w:kern w:val="0"/>
                <w:szCs w:val="21"/>
              </w:rPr>
            </w:pPr>
            <w:r>
              <w:rPr>
                <w:rFonts w:eastAsia="仿宋_GB2312"/>
                <w:color w:val="auto"/>
                <w:kern w:val="0"/>
                <w:szCs w:val="21"/>
              </w:rPr>
              <w:t>1</w:t>
            </w:r>
          </w:p>
        </w:tc>
        <w:tc>
          <w:tcPr>
            <w:tcW w:w="1831" w:type="dxa"/>
            <w:vAlign w:val="center"/>
          </w:tcPr>
          <w:p w14:paraId="0680E8A0">
            <w:pPr>
              <w:jc w:val="center"/>
              <w:rPr>
                <w:rFonts w:eastAsia="仿宋_GB2312"/>
                <w:color w:val="auto"/>
                <w:kern w:val="0"/>
                <w:szCs w:val="21"/>
              </w:rPr>
            </w:pPr>
            <w:r>
              <w:rPr>
                <w:rFonts w:eastAsia="仿宋_GB2312"/>
                <w:color w:val="auto"/>
                <w:kern w:val="0"/>
                <w:szCs w:val="21"/>
              </w:rPr>
              <w:t>称重</w:t>
            </w:r>
          </w:p>
        </w:tc>
        <w:tc>
          <w:tcPr>
            <w:tcW w:w="1772" w:type="dxa"/>
            <w:vAlign w:val="center"/>
          </w:tcPr>
          <w:p w14:paraId="1A68FE85">
            <w:pPr>
              <w:jc w:val="center"/>
              <w:rPr>
                <w:rFonts w:eastAsia="仿宋_GB2312"/>
                <w:color w:val="auto"/>
                <w:kern w:val="0"/>
                <w:szCs w:val="21"/>
              </w:rPr>
            </w:pPr>
            <w:r>
              <w:rPr>
                <w:rFonts w:eastAsia="仿宋_GB2312"/>
                <w:color w:val="auto"/>
                <w:kern w:val="0"/>
                <w:szCs w:val="21"/>
              </w:rPr>
              <w:t>0.0001（0-120）</w:t>
            </w:r>
          </w:p>
        </w:tc>
      </w:tr>
      <w:tr w14:paraId="634666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340" w:hRule="atLeast"/>
          <w:jc w:val="center"/>
        </w:trPr>
        <w:tc>
          <w:tcPr>
            <w:tcW w:w="819" w:type="dxa"/>
            <w:vAlign w:val="center"/>
          </w:tcPr>
          <w:p w14:paraId="12314DC8">
            <w:pPr>
              <w:jc w:val="center"/>
              <w:rPr>
                <w:rFonts w:eastAsia="仿宋_GB2312"/>
                <w:color w:val="auto"/>
                <w:kern w:val="0"/>
                <w:szCs w:val="21"/>
              </w:rPr>
            </w:pPr>
            <w:r>
              <w:rPr>
                <w:rFonts w:eastAsia="仿宋_GB2312"/>
                <w:color w:val="auto"/>
                <w:kern w:val="0"/>
                <w:szCs w:val="21"/>
              </w:rPr>
              <w:t>39</w:t>
            </w:r>
          </w:p>
        </w:tc>
        <w:tc>
          <w:tcPr>
            <w:tcW w:w="1981" w:type="dxa"/>
            <w:vAlign w:val="center"/>
          </w:tcPr>
          <w:p w14:paraId="08819FBE">
            <w:pPr>
              <w:jc w:val="center"/>
              <w:rPr>
                <w:rFonts w:eastAsia="仿宋_GB2312"/>
                <w:color w:val="auto"/>
                <w:kern w:val="0"/>
                <w:szCs w:val="21"/>
              </w:rPr>
            </w:pPr>
            <w:r>
              <w:rPr>
                <w:rFonts w:eastAsia="仿宋_GB2312"/>
                <w:color w:val="auto"/>
                <w:kern w:val="0"/>
                <w:szCs w:val="21"/>
              </w:rPr>
              <w:t>马弗炉</w:t>
            </w:r>
          </w:p>
        </w:tc>
        <w:tc>
          <w:tcPr>
            <w:tcW w:w="1513" w:type="dxa"/>
            <w:vAlign w:val="center"/>
          </w:tcPr>
          <w:p w14:paraId="6FD9E455">
            <w:pPr>
              <w:jc w:val="center"/>
              <w:rPr>
                <w:rFonts w:eastAsia="仿宋_GB2312"/>
                <w:color w:val="auto"/>
                <w:kern w:val="0"/>
                <w:szCs w:val="21"/>
              </w:rPr>
            </w:pPr>
            <w:r>
              <w:rPr>
                <w:rFonts w:eastAsia="仿宋_GB2312"/>
                <w:color w:val="auto"/>
                <w:kern w:val="0"/>
                <w:szCs w:val="21"/>
              </w:rPr>
              <w:t>SX2-5-12N</w:t>
            </w:r>
          </w:p>
        </w:tc>
        <w:tc>
          <w:tcPr>
            <w:tcW w:w="692" w:type="dxa"/>
            <w:vAlign w:val="center"/>
          </w:tcPr>
          <w:p w14:paraId="15198672">
            <w:pPr>
              <w:jc w:val="center"/>
              <w:rPr>
                <w:rFonts w:eastAsia="仿宋_GB2312"/>
                <w:color w:val="auto"/>
                <w:kern w:val="0"/>
                <w:szCs w:val="21"/>
              </w:rPr>
            </w:pPr>
            <w:r>
              <w:rPr>
                <w:rFonts w:eastAsia="仿宋_GB2312"/>
                <w:color w:val="auto"/>
                <w:kern w:val="0"/>
                <w:szCs w:val="21"/>
              </w:rPr>
              <w:t>1</w:t>
            </w:r>
          </w:p>
        </w:tc>
        <w:tc>
          <w:tcPr>
            <w:tcW w:w="1831" w:type="dxa"/>
            <w:vAlign w:val="center"/>
          </w:tcPr>
          <w:p w14:paraId="0F4776BE">
            <w:pPr>
              <w:jc w:val="center"/>
              <w:rPr>
                <w:rFonts w:eastAsia="仿宋_GB2312"/>
                <w:color w:val="auto"/>
                <w:kern w:val="0"/>
                <w:szCs w:val="21"/>
              </w:rPr>
            </w:pPr>
            <w:r>
              <w:rPr>
                <w:rFonts w:eastAsia="仿宋_GB2312"/>
                <w:color w:val="auto"/>
                <w:kern w:val="0"/>
                <w:szCs w:val="21"/>
              </w:rPr>
              <w:t>灰分</w:t>
            </w:r>
          </w:p>
        </w:tc>
        <w:tc>
          <w:tcPr>
            <w:tcW w:w="1772" w:type="dxa"/>
            <w:vAlign w:val="center"/>
          </w:tcPr>
          <w:p w14:paraId="43A31AC2">
            <w:pPr>
              <w:jc w:val="center"/>
              <w:rPr>
                <w:rFonts w:eastAsia="仿宋_GB2312"/>
                <w:color w:val="auto"/>
                <w:kern w:val="0"/>
                <w:szCs w:val="21"/>
              </w:rPr>
            </w:pPr>
            <w:r>
              <w:rPr>
                <w:rFonts w:eastAsia="仿宋_GB2312"/>
                <w:color w:val="auto"/>
                <w:kern w:val="0"/>
                <w:szCs w:val="21"/>
              </w:rPr>
              <w:t>±1</w:t>
            </w:r>
            <w:r>
              <w:rPr>
                <w:rFonts w:hint="eastAsia" w:ascii="宋体" w:hAnsi="宋体" w:cs="宋体"/>
                <w:color w:val="auto"/>
                <w:kern w:val="0"/>
                <w:szCs w:val="21"/>
              </w:rPr>
              <w:t>℃</w:t>
            </w:r>
          </w:p>
        </w:tc>
      </w:tr>
      <w:tr w14:paraId="55AF29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340" w:hRule="atLeast"/>
          <w:jc w:val="center"/>
        </w:trPr>
        <w:tc>
          <w:tcPr>
            <w:tcW w:w="819" w:type="dxa"/>
            <w:vAlign w:val="center"/>
          </w:tcPr>
          <w:p w14:paraId="1EC80DA6">
            <w:pPr>
              <w:jc w:val="center"/>
              <w:rPr>
                <w:rFonts w:eastAsia="仿宋_GB2312"/>
                <w:color w:val="auto"/>
                <w:kern w:val="0"/>
                <w:szCs w:val="21"/>
              </w:rPr>
            </w:pPr>
            <w:r>
              <w:rPr>
                <w:rFonts w:eastAsia="仿宋_GB2312"/>
                <w:color w:val="auto"/>
                <w:kern w:val="0"/>
                <w:szCs w:val="21"/>
              </w:rPr>
              <w:t>40</w:t>
            </w:r>
          </w:p>
        </w:tc>
        <w:tc>
          <w:tcPr>
            <w:tcW w:w="1981" w:type="dxa"/>
            <w:vAlign w:val="center"/>
          </w:tcPr>
          <w:p w14:paraId="7BC06C19">
            <w:pPr>
              <w:jc w:val="center"/>
              <w:rPr>
                <w:rFonts w:eastAsia="仿宋_GB2312"/>
                <w:color w:val="auto"/>
                <w:kern w:val="0"/>
                <w:szCs w:val="21"/>
              </w:rPr>
            </w:pPr>
            <w:r>
              <w:rPr>
                <w:rFonts w:eastAsia="仿宋_GB2312"/>
                <w:color w:val="auto"/>
                <w:kern w:val="0"/>
                <w:szCs w:val="21"/>
              </w:rPr>
              <w:t>电子天平</w:t>
            </w:r>
          </w:p>
        </w:tc>
        <w:tc>
          <w:tcPr>
            <w:tcW w:w="1513" w:type="dxa"/>
            <w:vAlign w:val="center"/>
          </w:tcPr>
          <w:p w14:paraId="1FFFF046">
            <w:pPr>
              <w:jc w:val="center"/>
              <w:rPr>
                <w:rFonts w:eastAsia="仿宋_GB2312"/>
                <w:color w:val="auto"/>
                <w:kern w:val="0"/>
                <w:szCs w:val="21"/>
              </w:rPr>
            </w:pPr>
            <w:r>
              <w:rPr>
                <w:rFonts w:eastAsia="仿宋_GB2312"/>
                <w:color w:val="auto"/>
                <w:kern w:val="0"/>
                <w:szCs w:val="21"/>
              </w:rPr>
              <w:t>JM-BL1003</w:t>
            </w:r>
          </w:p>
        </w:tc>
        <w:tc>
          <w:tcPr>
            <w:tcW w:w="692" w:type="dxa"/>
            <w:vAlign w:val="center"/>
          </w:tcPr>
          <w:p w14:paraId="38B16434">
            <w:pPr>
              <w:jc w:val="center"/>
              <w:rPr>
                <w:rFonts w:eastAsia="仿宋_GB2312"/>
                <w:color w:val="auto"/>
                <w:kern w:val="0"/>
                <w:szCs w:val="21"/>
              </w:rPr>
            </w:pPr>
            <w:r>
              <w:rPr>
                <w:rFonts w:eastAsia="仿宋_GB2312"/>
                <w:color w:val="auto"/>
                <w:kern w:val="0"/>
                <w:szCs w:val="21"/>
              </w:rPr>
              <w:t>1</w:t>
            </w:r>
          </w:p>
        </w:tc>
        <w:tc>
          <w:tcPr>
            <w:tcW w:w="1831" w:type="dxa"/>
            <w:vAlign w:val="center"/>
          </w:tcPr>
          <w:p w14:paraId="085DF044">
            <w:pPr>
              <w:jc w:val="center"/>
              <w:rPr>
                <w:rFonts w:eastAsia="仿宋_GB2312"/>
                <w:color w:val="auto"/>
                <w:kern w:val="0"/>
                <w:szCs w:val="21"/>
              </w:rPr>
            </w:pPr>
            <w:r>
              <w:rPr>
                <w:rFonts w:eastAsia="仿宋_GB2312"/>
                <w:color w:val="auto"/>
                <w:kern w:val="0"/>
                <w:szCs w:val="21"/>
              </w:rPr>
              <w:t>称重</w:t>
            </w:r>
          </w:p>
        </w:tc>
        <w:tc>
          <w:tcPr>
            <w:tcW w:w="1772" w:type="dxa"/>
            <w:vAlign w:val="center"/>
          </w:tcPr>
          <w:p w14:paraId="16D71E39">
            <w:pPr>
              <w:jc w:val="center"/>
              <w:rPr>
                <w:rFonts w:eastAsia="仿宋_GB2312"/>
                <w:color w:val="auto"/>
                <w:kern w:val="0"/>
                <w:szCs w:val="21"/>
              </w:rPr>
            </w:pPr>
            <w:r>
              <w:rPr>
                <w:rFonts w:eastAsia="仿宋_GB2312"/>
                <w:color w:val="auto"/>
                <w:kern w:val="0"/>
                <w:szCs w:val="21"/>
              </w:rPr>
              <w:t>0.001（0.01-100）g</w:t>
            </w:r>
          </w:p>
        </w:tc>
      </w:tr>
      <w:tr w14:paraId="1AF38E4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340" w:hRule="atLeast"/>
          <w:jc w:val="center"/>
        </w:trPr>
        <w:tc>
          <w:tcPr>
            <w:tcW w:w="819" w:type="dxa"/>
            <w:vAlign w:val="center"/>
          </w:tcPr>
          <w:p w14:paraId="3BC6C857">
            <w:pPr>
              <w:jc w:val="center"/>
              <w:rPr>
                <w:rFonts w:eastAsia="仿宋_GB2312"/>
                <w:color w:val="auto"/>
                <w:kern w:val="0"/>
                <w:szCs w:val="21"/>
              </w:rPr>
            </w:pPr>
            <w:r>
              <w:rPr>
                <w:rFonts w:eastAsia="仿宋_GB2312"/>
                <w:color w:val="auto"/>
                <w:kern w:val="0"/>
                <w:szCs w:val="21"/>
              </w:rPr>
              <w:t>41</w:t>
            </w:r>
          </w:p>
        </w:tc>
        <w:tc>
          <w:tcPr>
            <w:tcW w:w="1981" w:type="dxa"/>
            <w:vAlign w:val="center"/>
          </w:tcPr>
          <w:p w14:paraId="54008BAB">
            <w:pPr>
              <w:jc w:val="center"/>
              <w:rPr>
                <w:rFonts w:eastAsia="仿宋_GB2312"/>
                <w:color w:val="auto"/>
                <w:kern w:val="0"/>
                <w:szCs w:val="21"/>
              </w:rPr>
            </w:pPr>
            <w:r>
              <w:rPr>
                <w:rFonts w:eastAsia="仿宋_GB2312"/>
                <w:color w:val="auto"/>
                <w:kern w:val="0"/>
                <w:szCs w:val="21"/>
              </w:rPr>
              <w:t>高速多功能</w:t>
            </w:r>
          </w:p>
        </w:tc>
        <w:tc>
          <w:tcPr>
            <w:tcW w:w="1513" w:type="dxa"/>
            <w:vAlign w:val="center"/>
          </w:tcPr>
          <w:p w14:paraId="33FB05B3">
            <w:pPr>
              <w:jc w:val="center"/>
              <w:rPr>
                <w:rFonts w:eastAsia="仿宋_GB2312"/>
                <w:color w:val="auto"/>
                <w:kern w:val="0"/>
                <w:szCs w:val="21"/>
              </w:rPr>
            </w:pPr>
            <w:r>
              <w:rPr>
                <w:rFonts w:eastAsia="仿宋_GB2312"/>
                <w:color w:val="auto"/>
                <w:kern w:val="0"/>
                <w:szCs w:val="21"/>
              </w:rPr>
              <w:t>CS-700</w:t>
            </w:r>
          </w:p>
        </w:tc>
        <w:tc>
          <w:tcPr>
            <w:tcW w:w="692" w:type="dxa"/>
            <w:vAlign w:val="center"/>
          </w:tcPr>
          <w:p w14:paraId="4016710E">
            <w:pPr>
              <w:jc w:val="center"/>
              <w:rPr>
                <w:rFonts w:eastAsia="仿宋_GB2312"/>
                <w:color w:val="auto"/>
                <w:kern w:val="0"/>
                <w:szCs w:val="21"/>
              </w:rPr>
            </w:pPr>
            <w:r>
              <w:rPr>
                <w:rFonts w:eastAsia="仿宋_GB2312"/>
                <w:color w:val="auto"/>
                <w:kern w:val="0"/>
                <w:szCs w:val="21"/>
              </w:rPr>
              <w:t>1</w:t>
            </w:r>
          </w:p>
        </w:tc>
        <w:tc>
          <w:tcPr>
            <w:tcW w:w="1831" w:type="dxa"/>
            <w:vAlign w:val="center"/>
          </w:tcPr>
          <w:p w14:paraId="37FBF570">
            <w:pPr>
              <w:jc w:val="center"/>
              <w:rPr>
                <w:rFonts w:eastAsia="仿宋_GB2312"/>
                <w:color w:val="auto"/>
                <w:kern w:val="0"/>
                <w:szCs w:val="21"/>
              </w:rPr>
            </w:pPr>
            <w:r>
              <w:rPr>
                <w:rFonts w:eastAsia="仿宋_GB2312"/>
                <w:color w:val="auto"/>
                <w:kern w:val="0"/>
                <w:szCs w:val="21"/>
              </w:rPr>
              <w:t>粉碎</w:t>
            </w:r>
          </w:p>
        </w:tc>
        <w:tc>
          <w:tcPr>
            <w:tcW w:w="1772" w:type="dxa"/>
            <w:vAlign w:val="center"/>
          </w:tcPr>
          <w:p w14:paraId="58038AE0">
            <w:pPr>
              <w:jc w:val="center"/>
              <w:rPr>
                <w:rFonts w:eastAsia="仿宋_GB2312"/>
                <w:color w:val="auto"/>
                <w:kern w:val="0"/>
                <w:szCs w:val="21"/>
              </w:rPr>
            </w:pPr>
            <w:r>
              <w:rPr>
                <w:rFonts w:eastAsia="仿宋_GB2312"/>
                <w:color w:val="auto"/>
                <w:kern w:val="0"/>
                <w:szCs w:val="21"/>
              </w:rPr>
              <w:t>30-300目</w:t>
            </w:r>
          </w:p>
        </w:tc>
      </w:tr>
      <w:tr w14:paraId="3DDA30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340" w:hRule="atLeast"/>
          <w:jc w:val="center"/>
        </w:trPr>
        <w:tc>
          <w:tcPr>
            <w:tcW w:w="819" w:type="dxa"/>
            <w:vAlign w:val="center"/>
          </w:tcPr>
          <w:p w14:paraId="0CA586D8">
            <w:pPr>
              <w:jc w:val="center"/>
              <w:rPr>
                <w:rFonts w:eastAsia="仿宋_GB2312"/>
                <w:color w:val="auto"/>
                <w:kern w:val="0"/>
                <w:szCs w:val="21"/>
              </w:rPr>
            </w:pPr>
            <w:r>
              <w:rPr>
                <w:rFonts w:eastAsia="仿宋_GB2312"/>
                <w:color w:val="auto"/>
                <w:kern w:val="0"/>
                <w:szCs w:val="21"/>
              </w:rPr>
              <w:t>42</w:t>
            </w:r>
          </w:p>
        </w:tc>
        <w:tc>
          <w:tcPr>
            <w:tcW w:w="1981" w:type="dxa"/>
            <w:vAlign w:val="center"/>
          </w:tcPr>
          <w:p w14:paraId="4532D287">
            <w:pPr>
              <w:jc w:val="center"/>
              <w:rPr>
                <w:rFonts w:eastAsia="仿宋_GB2312"/>
                <w:color w:val="auto"/>
                <w:kern w:val="0"/>
                <w:szCs w:val="21"/>
              </w:rPr>
            </w:pPr>
            <w:r>
              <w:rPr>
                <w:rFonts w:eastAsia="仿宋_GB2312"/>
                <w:color w:val="auto"/>
                <w:kern w:val="0"/>
                <w:szCs w:val="21"/>
              </w:rPr>
              <w:t>蒸精馏小试设备</w:t>
            </w:r>
          </w:p>
        </w:tc>
        <w:tc>
          <w:tcPr>
            <w:tcW w:w="1513" w:type="dxa"/>
            <w:vAlign w:val="center"/>
          </w:tcPr>
          <w:p w14:paraId="49C35883">
            <w:pPr>
              <w:jc w:val="center"/>
              <w:rPr>
                <w:rFonts w:eastAsia="仿宋_GB2312"/>
                <w:color w:val="auto"/>
                <w:kern w:val="0"/>
                <w:szCs w:val="21"/>
              </w:rPr>
            </w:pPr>
            <w:r>
              <w:rPr>
                <w:rFonts w:eastAsia="仿宋_GB2312"/>
                <w:color w:val="auto"/>
                <w:kern w:val="0"/>
                <w:szCs w:val="21"/>
              </w:rPr>
              <w:t>/</w:t>
            </w:r>
          </w:p>
        </w:tc>
        <w:tc>
          <w:tcPr>
            <w:tcW w:w="692" w:type="dxa"/>
            <w:vAlign w:val="center"/>
          </w:tcPr>
          <w:p w14:paraId="662780C4">
            <w:pPr>
              <w:jc w:val="center"/>
              <w:rPr>
                <w:rFonts w:eastAsia="仿宋_GB2312"/>
                <w:color w:val="auto"/>
                <w:kern w:val="0"/>
                <w:szCs w:val="21"/>
              </w:rPr>
            </w:pPr>
            <w:r>
              <w:rPr>
                <w:rFonts w:eastAsia="仿宋_GB2312"/>
                <w:color w:val="auto"/>
                <w:kern w:val="0"/>
                <w:szCs w:val="21"/>
              </w:rPr>
              <w:t>3</w:t>
            </w:r>
          </w:p>
        </w:tc>
        <w:tc>
          <w:tcPr>
            <w:tcW w:w="1831" w:type="dxa"/>
            <w:vAlign w:val="center"/>
          </w:tcPr>
          <w:p w14:paraId="1483BD9E">
            <w:pPr>
              <w:jc w:val="center"/>
              <w:rPr>
                <w:rFonts w:eastAsia="仿宋_GB2312"/>
                <w:color w:val="auto"/>
                <w:kern w:val="0"/>
                <w:szCs w:val="21"/>
              </w:rPr>
            </w:pPr>
            <w:r>
              <w:rPr>
                <w:rFonts w:eastAsia="仿宋_GB2312"/>
                <w:color w:val="auto"/>
                <w:kern w:val="0"/>
                <w:szCs w:val="21"/>
              </w:rPr>
              <w:t>用于溶剂生产精馏参数测定</w:t>
            </w:r>
          </w:p>
        </w:tc>
        <w:tc>
          <w:tcPr>
            <w:tcW w:w="1772" w:type="dxa"/>
            <w:vAlign w:val="center"/>
          </w:tcPr>
          <w:p w14:paraId="1D0E04C8">
            <w:pPr>
              <w:jc w:val="center"/>
              <w:rPr>
                <w:rFonts w:eastAsia="仿宋_GB2312"/>
                <w:color w:val="auto"/>
                <w:kern w:val="0"/>
                <w:szCs w:val="21"/>
              </w:rPr>
            </w:pPr>
            <w:r>
              <w:rPr>
                <w:rFonts w:eastAsia="仿宋_GB2312"/>
                <w:color w:val="auto"/>
                <w:kern w:val="0"/>
                <w:szCs w:val="21"/>
              </w:rPr>
              <w:t>/</w:t>
            </w:r>
          </w:p>
        </w:tc>
      </w:tr>
    </w:tbl>
    <w:p w14:paraId="76908D2E">
      <w:pPr>
        <w:spacing w:line="500" w:lineRule="exact"/>
        <w:ind w:firstLine="560" w:firstLineChars="200"/>
        <w:rPr>
          <w:rFonts w:eastAsia="仿宋_GB2312"/>
          <w:color w:val="auto"/>
          <w:sz w:val="28"/>
          <w:szCs w:val="28"/>
        </w:rPr>
      </w:pPr>
      <w:r>
        <w:rPr>
          <w:rFonts w:eastAsia="仿宋_GB2312"/>
          <w:color w:val="auto"/>
          <w:sz w:val="28"/>
          <w:szCs w:val="28"/>
        </w:rPr>
        <w:t>4、接收控制标准及负面清单</w:t>
      </w:r>
    </w:p>
    <w:p w14:paraId="22851F30">
      <w:pPr>
        <w:spacing w:line="500" w:lineRule="exact"/>
        <w:ind w:firstLine="560" w:firstLineChars="200"/>
        <w:rPr>
          <w:rFonts w:eastAsia="仿宋_GB2312"/>
          <w:color w:val="auto"/>
          <w:sz w:val="28"/>
          <w:szCs w:val="28"/>
        </w:rPr>
      </w:pPr>
      <w:r>
        <w:rPr>
          <w:rFonts w:eastAsia="仿宋_GB2312"/>
          <w:color w:val="auto"/>
          <w:sz w:val="28"/>
          <w:szCs w:val="28"/>
        </w:rPr>
        <w:fldChar w:fldCharType="begin"/>
      </w:r>
      <w:r>
        <w:rPr>
          <w:rFonts w:eastAsia="仿宋_GB2312"/>
          <w:color w:val="auto"/>
          <w:sz w:val="28"/>
          <w:szCs w:val="28"/>
        </w:rPr>
        <w:instrText xml:space="preserve"> = 1 \* GB3 </w:instrText>
      </w:r>
      <w:r>
        <w:rPr>
          <w:rFonts w:eastAsia="仿宋_GB2312"/>
          <w:color w:val="auto"/>
          <w:sz w:val="28"/>
          <w:szCs w:val="28"/>
        </w:rPr>
        <w:fldChar w:fldCharType="separate"/>
      </w:r>
      <w:r>
        <w:rPr>
          <w:rFonts w:hint="eastAsia" w:eastAsia="仿宋_GB2312"/>
          <w:color w:val="auto"/>
          <w:sz w:val="28"/>
          <w:szCs w:val="28"/>
        </w:rPr>
        <w:t>①</w:t>
      </w:r>
      <w:r>
        <w:rPr>
          <w:rFonts w:eastAsia="仿宋_GB2312"/>
          <w:color w:val="auto"/>
          <w:sz w:val="28"/>
          <w:szCs w:val="28"/>
        </w:rPr>
        <w:fldChar w:fldCharType="end"/>
      </w:r>
      <w:r>
        <w:rPr>
          <w:rFonts w:eastAsia="仿宋_GB2312"/>
          <w:color w:val="auto"/>
          <w:sz w:val="28"/>
          <w:szCs w:val="28"/>
        </w:rPr>
        <w:t>危废种类不得超出企业危废处置许可经营范围；</w:t>
      </w:r>
    </w:p>
    <w:p w14:paraId="680A497B">
      <w:pPr>
        <w:spacing w:line="500" w:lineRule="exact"/>
        <w:ind w:firstLine="560" w:firstLineChars="200"/>
        <w:rPr>
          <w:rFonts w:eastAsia="仿宋_GB2312"/>
          <w:color w:val="auto"/>
          <w:sz w:val="28"/>
          <w:szCs w:val="28"/>
        </w:rPr>
      </w:pPr>
      <w:r>
        <w:rPr>
          <w:rFonts w:eastAsia="仿宋_GB2312"/>
          <w:color w:val="auto"/>
          <w:sz w:val="28"/>
          <w:szCs w:val="28"/>
        </w:rPr>
        <w:fldChar w:fldCharType="begin"/>
      </w:r>
      <w:r>
        <w:rPr>
          <w:rFonts w:eastAsia="仿宋_GB2312"/>
          <w:color w:val="auto"/>
          <w:sz w:val="28"/>
          <w:szCs w:val="28"/>
        </w:rPr>
        <w:instrText xml:space="preserve"> = 2 \* GB3 </w:instrText>
      </w:r>
      <w:r>
        <w:rPr>
          <w:rFonts w:eastAsia="仿宋_GB2312"/>
          <w:color w:val="auto"/>
          <w:sz w:val="28"/>
          <w:szCs w:val="28"/>
        </w:rPr>
        <w:fldChar w:fldCharType="separate"/>
      </w:r>
      <w:r>
        <w:rPr>
          <w:rFonts w:hint="eastAsia" w:eastAsia="仿宋_GB2312"/>
          <w:color w:val="auto"/>
          <w:sz w:val="28"/>
          <w:szCs w:val="28"/>
        </w:rPr>
        <w:t>②</w:t>
      </w:r>
      <w:r>
        <w:rPr>
          <w:rFonts w:eastAsia="仿宋_GB2312"/>
          <w:color w:val="auto"/>
          <w:sz w:val="28"/>
          <w:szCs w:val="28"/>
        </w:rPr>
        <w:fldChar w:fldCharType="end"/>
      </w:r>
      <w:r>
        <w:rPr>
          <w:rFonts w:eastAsia="仿宋_GB2312"/>
          <w:color w:val="auto"/>
          <w:sz w:val="28"/>
          <w:szCs w:val="28"/>
        </w:rPr>
        <w:t>危废数量不得超过本项目处理能力；</w:t>
      </w:r>
    </w:p>
    <w:p w14:paraId="6DB1D3BD">
      <w:pPr>
        <w:spacing w:line="500" w:lineRule="exact"/>
        <w:ind w:firstLine="560" w:firstLineChars="200"/>
        <w:rPr>
          <w:rFonts w:eastAsia="仿宋_GB2312"/>
          <w:color w:val="auto"/>
          <w:sz w:val="28"/>
          <w:szCs w:val="28"/>
        </w:rPr>
      </w:pPr>
      <w:r>
        <w:rPr>
          <w:rFonts w:eastAsia="仿宋_GB2312"/>
          <w:color w:val="auto"/>
          <w:sz w:val="28"/>
          <w:szCs w:val="28"/>
        </w:rPr>
        <w:fldChar w:fldCharType="begin"/>
      </w:r>
      <w:r>
        <w:rPr>
          <w:rFonts w:eastAsia="仿宋_GB2312"/>
          <w:color w:val="auto"/>
          <w:sz w:val="28"/>
          <w:szCs w:val="28"/>
        </w:rPr>
        <w:instrText xml:space="preserve"> = 3 \* GB3 </w:instrText>
      </w:r>
      <w:r>
        <w:rPr>
          <w:rFonts w:eastAsia="仿宋_GB2312"/>
          <w:color w:val="auto"/>
          <w:sz w:val="28"/>
          <w:szCs w:val="28"/>
        </w:rPr>
        <w:fldChar w:fldCharType="separate"/>
      </w:r>
      <w:r>
        <w:rPr>
          <w:rFonts w:hint="eastAsia" w:eastAsia="仿宋_GB2312"/>
          <w:color w:val="auto"/>
          <w:sz w:val="28"/>
          <w:szCs w:val="28"/>
        </w:rPr>
        <w:t>③</w:t>
      </w:r>
      <w:r>
        <w:rPr>
          <w:rFonts w:eastAsia="仿宋_GB2312"/>
          <w:color w:val="auto"/>
          <w:sz w:val="28"/>
          <w:szCs w:val="28"/>
        </w:rPr>
        <w:fldChar w:fldCharType="end"/>
      </w:r>
      <w:r>
        <w:rPr>
          <w:rFonts w:eastAsia="仿宋_GB2312"/>
          <w:color w:val="auto"/>
          <w:sz w:val="28"/>
          <w:szCs w:val="28"/>
        </w:rPr>
        <w:t>入厂危废五类重金属（铅、汞、铬、镉、砷）不得超过限值要求（质量分数均≤0.01%）；</w:t>
      </w:r>
    </w:p>
    <w:p w14:paraId="5A14F49E">
      <w:pPr>
        <w:spacing w:line="500" w:lineRule="exact"/>
        <w:ind w:firstLine="560" w:firstLineChars="200"/>
        <w:rPr>
          <w:rFonts w:eastAsia="仿宋_GB2312"/>
          <w:color w:val="auto"/>
          <w:sz w:val="28"/>
          <w:szCs w:val="28"/>
        </w:rPr>
      </w:pPr>
      <w:r>
        <w:rPr>
          <w:rFonts w:eastAsia="仿宋_GB2312"/>
          <w:color w:val="auto"/>
          <w:sz w:val="28"/>
          <w:szCs w:val="28"/>
        </w:rPr>
        <w:fldChar w:fldCharType="begin"/>
      </w:r>
      <w:r>
        <w:rPr>
          <w:rFonts w:eastAsia="仿宋_GB2312"/>
          <w:color w:val="auto"/>
          <w:sz w:val="28"/>
          <w:szCs w:val="28"/>
        </w:rPr>
        <w:instrText xml:space="preserve"> = 4 \* GB3 </w:instrText>
      </w:r>
      <w:r>
        <w:rPr>
          <w:rFonts w:eastAsia="仿宋_GB2312"/>
          <w:color w:val="auto"/>
          <w:sz w:val="28"/>
          <w:szCs w:val="28"/>
        </w:rPr>
        <w:fldChar w:fldCharType="separate"/>
      </w:r>
      <w:r>
        <w:rPr>
          <w:rFonts w:hint="eastAsia" w:eastAsia="仿宋_GB2312"/>
          <w:color w:val="auto"/>
          <w:sz w:val="28"/>
          <w:szCs w:val="28"/>
        </w:rPr>
        <w:t>④</w:t>
      </w:r>
      <w:r>
        <w:rPr>
          <w:rFonts w:eastAsia="仿宋_GB2312"/>
          <w:color w:val="auto"/>
          <w:sz w:val="28"/>
          <w:szCs w:val="28"/>
        </w:rPr>
        <w:fldChar w:fldCharType="end"/>
      </w:r>
      <w:r>
        <w:rPr>
          <w:rFonts w:eastAsia="仿宋_GB2312"/>
          <w:color w:val="auto"/>
          <w:sz w:val="28"/>
          <w:szCs w:val="28"/>
        </w:rPr>
        <w:t>满足各类产品工程分析中明确的其他入厂接收控制标准。</w:t>
      </w:r>
    </w:p>
    <w:p w14:paraId="70F92E15">
      <w:pPr>
        <w:spacing w:line="500" w:lineRule="exact"/>
        <w:ind w:firstLine="560" w:firstLineChars="200"/>
        <w:rPr>
          <w:rFonts w:eastAsia="仿宋_GB2312"/>
          <w:color w:val="FF0000"/>
          <w:sz w:val="28"/>
          <w:szCs w:val="28"/>
        </w:rPr>
      </w:pPr>
    </w:p>
    <w:p w14:paraId="2269CFEB">
      <w:pPr>
        <w:pStyle w:val="2"/>
        <w:rPr>
          <w:color w:val="FF0000"/>
          <w:sz w:val="28"/>
          <w:szCs w:val="28"/>
        </w:rPr>
      </w:pPr>
    </w:p>
    <w:p w14:paraId="505A409D">
      <w:pPr>
        <w:pStyle w:val="2"/>
        <w:rPr>
          <w:color w:val="FF0000"/>
        </w:rPr>
      </w:pPr>
    </w:p>
    <w:p w14:paraId="316DA37F">
      <w:pPr>
        <w:rPr>
          <w:color w:val="FF0000"/>
        </w:rPr>
      </w:pPr>
      <w:r>
        <w:rPr>
          <w:color w:val="FF0000"/>
        </w:rPr>
        <w:br w:type="page"/>
      </w:r>
    </w:p>
    <w:p w14:paraId="56261E85">
      <w:pPr>
        <w:pStyle w:val="7"/>
        <w:keepLines w:val="0"/>
        <w:widowControl/>
        <w:adjustRightInd w:val="0"/>
        <w:snapToGrid w:val="0"/>
        <w:spacing w:after="60" w:afterLines="25"/>
        <w:jc w:val="left"/>
        <w:rPr>
          <w:rFonts w:ascii="Times New Roman" w:hAnsi="Times New Roman"/>
          <w:b/>
        </w:rPr>
      </w:pPr>
      <w:r>
        <w:rPr>
          <w:rFonts w:ascii="Times New Roman" w:hAnsi="Times New Roman"/>
          <w:b/>
        </w:rPr>
        <w:t>3.2.</w:t>
      </w:r>
      <w:r>
        <w:rPr>
          <w:rFonts w:hint="eastAsia" w:ascii="Times New Roman" w:hAnsi="Times New Roman"/>
          <w:b/>
        </w:rPr>
        <w:t>3</w:t>
      </w:r>
      <w:r>
        <w:rPr>
          <w:rFonts w:ascii="Times New Roman" w:hAnsi="Times New Roman"/>
          <w:b/>
        </w:rPr>
        <w:t>.5产品质量指标</w:t>
      </w:r>
    </w:p>
    <w:p w14:paraId="0F6DB6ED">
      <w:pPr>
        <w:spacing w:line="500" w:lineRule="exact"/>
        <w:ind w:firstLine="560" w:firstLineChars="200"/>
        <w:rPr>
          <w:rFonts w:eastAsia="仿宋_GB2312"/>
          <w:sz w:val="28"/>
          <w:szCs w:val="28"/>
        </w:rPr>
      </w:pPr>
      <w:r>
        <w:rPr>
          <w:rFonts w:eastAsia="仿宋_GB2312"/>
          <w:sz w:val="28"/>
          <w:szCs w:val="28"/>
        </w:rPr>
        <w:t>本项目溶剂回收产品质量指标执行相应的国家标准或行业标准，其中环戊酮产品质量指标执行的是团体标准，该产品将全部用于</w:t>
      </w:r>
      <w:r>
        <w:rPr>
          <w:rFonts w:hint="eastAsia" w:eastAsia="仿宋_GB2312"/>
          <w:sz w:val="28"/>
          <w:szCs w:val="28"/>
        </w:rPr>
        <w:t>现有</w:t>
      </w:r>
      <w:r>
        <w:rPr>
          <w:rFonts w:eastAsia="仿宋_GB2312"/>
          <w:sz w:val="28"/>
          <w:szCs w:val="28"/>
        </w:rPr>
        <w:t>稀释剂</w:t>
      </w:r>
      <w:r>
        <w:rPr>
          <w:rFonts w:hint="eastAsia" w:eastAsia="仿宋_GB2312"/>
          <w:sz w:val="28"/>
          <w:szCs w:val="28"/>
        </w:rPr>
        <w:t>产品</w:t>
      </w:r>
      <w:r>
        <w:rPr>
          <w:rFonts w:eastAsia="仿宋_GB2312"/>
          <w:sz w:val="28"/>
          <w:szCs w:val="28"/>
        </w:rPr>
        <w:t>生产原料，不作为产品单独外售，具体产品标准执行情况见</w:t>
      </w:r>
      <w:r>
        <w:rPr>
          <w:rFonts w:hint="eastAsia" w:eastAsia="仿宋_GB2312"/>
          <w:sz w:val="28"/>
          <w:szCs w:val="28"/>
        </w:rPr>
        <w:t>下表</w:t>
      </w:r>
      <w:r>
        <w:rPr>
          <w:rFonts w:eastAsia="仿宋_GB2312"/>
          <w:sz w:val="28"/>
          <w:szCs w:val="28"/>
        </w:rPr>
        <w:t>。</w:t>
      </w:r>
    </w:p>
    <w:p w14:paraId="7F0F5712">
      <w:pPr>
        <w:pStyle w:val="162"/>
        <w:spacing w:line="480" w:lineRule="exact"/>
        <w:ind w:firstLine="0" w:firstLineChars="0"/>
        <w:rPr>
          <w:rFonts w:ascii="Times New Roman"/>
        </w:rPr>
      </w:pPr>
      <w:r>
        <w:rPr>
          <w:rFonts w:ascii="Times New Roman"/>
        </w:rPr>
        <w:t>表3.2-</w:t>
      </w:r>
      <w:r>
        <w:rPr>
          <w:rFonts w:hint="eastAsia" w:ascii="Times New Roman"/>
        </w:rPr>
        <w:t>8</w:t>
      </w:r>
      <w:r>
        <w:rPr>
          <w:rFonts w:ascii="Times New Roman"/>
        </w:rPr>
        <w:t xml:space="preserve">  产品标准一览表</w:t>
      </w:r>
    </w:p>
    <w:tbl>
      <w:tblPr>
        <w:tblStyle w:val="88"/>
        <w:tblW w:w="5615"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48"/>
        <w:gridCol w:w="1898"/>
        <w:gridCol w:w="1475"/>
        <w:gridCol w:w="1960"/>
        <w:gridCol w:w="2014"/>
        <w:gridCol w:w="1478"/>
      </w:tblGrid>
      <w:tr w14:paraId="6CE5FC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90" w:type="pct"/>
            <w:vMerge w:val="restart"/>
            <w:noWrap/>
            <w:vAlign w:val="center"/>
          </w:tcPr>
          <w:p w14:paraId="0A8C377E">
            <w:pPr>
              <w:widowControl/>
              <w:jc w:val="center"/>
              <w:rPr>
                <w:rFonts w:eastAsia="仿宋_GB2312"/>
                <w:b/>
                <w:kern w:val="0"/>
                <w:szCs w:val="21"/>
              </w:rPr>
            </w:pPr>
            <w:r>
              <w:rPr>
                <w:rFonts w:eastAsia="仿宋_GB2312"/>
                <w:b/>
                <w:kern w:val="0"/>
                <w:szCs w:val="21"/>
              </w:rPr>
              <w:t>序号</w:t>
            </w:r>
          </w:p>
        </w:tc>
        <w:tc>
          <w:tcPr>
            <w:tcW w:w="991" w:type="pct"/>
            <w:vMerge w:val="restart"/>
            <w:noWrap/>
            <w:vAlign w:val="center"/>
          </w:tcPr>
          <w:p w14:paraId="40398A41">
            <w:pPr>
              <w:widowControl/>
              <w:jc w:val="center"/>
              <w:rPr>
                <w:rFonts w:eastAsia="仿宋_GB2312"/>
                <w:b/>
                <w:kern w:val="0"/>
                <w:szCs w:val="21"/>
              </w:rPr>
            </w:pPr>
            <w:r>
              <w:rPr>
                <w:rFonts w:eastAsia="仿宋_GB2312"/>
                <w:b/>
                <w:kern w:val="0"/>
                <w:szCs w:val="21"/>
              </w:rPr>
              <w:t>废溶剂名称</w:t>
            </w:r>
          </w:p>
        </w:tc>
        <w:tc>
          <w:tcPr>
            <w:tcW w:w="770" w:type="pct"/>
            <w:vMerge w:val="restart"/>
            <w:noWrap/>
            <w:vAlign w:val="center"/>
          </w:tcPr>
          <w:p w14:paraId="7A79C344">
            <w:pPr>
              <w:widowControl/>
              <w:jc w:val="center"/>
              <w:rPr>
                <w:rFonts w:eastAsia="仿宋_GB2312"/>
                <w:b/>
                <w:kern w:val="0"/>
                <w:szCs w:val="21"/>
              </w:rPr>
            </w:pPr>
            <w:r>
              <w:rPr>
                <w:rFonts w:eastAsia="仿宋_GB2312"/>
                <w:b/>
                <w:kern w:val="0"/>
                <w:szCs w:val="21"/>
              </w:rPr>
              <w:t>产品名称</w:t>
            </w:r>
          </w:p>
        </w:tc>
        <w:tc>
          <w:tcPr>
            <w:tcW w:w="2847" w:type="pct"/>
            <w:gridSpan w:val="3"/>
            <w:noWrap/>
            <w:vAlign w:val="center"/>
          </w:tcPr>
          <w:p w14:paraId="2C44F7DF">
            <w:pPr>
              <w:widowControl/>
              <w:jc w:val="center"/>
              <w:rPr>
                <w:rFonts w:eastAsia="仿宋_GB2312"/>
                <w:b/>
                <w:kern w:val="0"/>
                <w:szCs w:val="21"/>
              </w:rPr>
            </w:pPr>
            <w:r>
              <w:rPr>
                <w:rFonts w:eastAsia="仿宋_GB2312"/>
                <w:b/>
                <w:kern w:val="0"/>
                <w:szCs w:val="21"/>
              </w:rPr>
              <w:t>产品执行标准</w:t>
            </w:r>
          </w:p>
        </w:tc>
      </w:tr>
      <w:tr w14:paraId="493011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90" w:type="pct"/>
            <w:vMerge w:val="continue"/>
            <w:noWrap/>
            <w:vAlign w:val="center"/>
          </w:tcPr>
          <w:p w14:paraId="4E1C654C">
            <w:pPr>
              <w:widowControl/>
              <w:jc w:val="center"/>
              <w:rPr>
                <w:rFonts w:eastAsia="仿宋_GB2312"/>
                <w:b/>
                <w:kern w:val="0"/>
                <w:szCs w:val="21"/>
              </w:rPr>
            </w:pPr>
          </w:p>
        </w:tc>
        <w:tc>
          <w:tcPr>
            <w:tcW w:w="991" w:type="pct"/>
            <w:vMerge w:val="continue"/>
            <w:noWrap/>
            <w:vAlign w:val="center"/>
          </w:tcPr>
          <w:p w14:paraId="326701A2">
            <w:pPr>
              <w:widowControl/>
              <w:jc w:val="center"/>
              <w:rPr>
                <w:rFonts w:eastAsia="仿宋_GB2312"/>
                <w:b/>
                <w:kern w:val="0"/>
                <w:szCs w:val="21"/>
              </w:rPr>
            </w:pPr>
          </w:p>
        </w:tc>
        <w:tc>
          <w:tcPr>
            <w:tcW w:w="770" w:type="pct"/>
            <w:vMerge w:val="continue"/>
            <w:noWrap/>
            <w:vAlign w:val="center"/>
          </w:tcPr>
          <w:p w14:paraId="34B66258">
            <w:pPr>
              <w:widowControl/>
              <w:jc w:val="center"/>
              <w:rPr>
                <w:rFonts w:eastAsia="仿宋_GB2312"/>
                <w:b/>
                <w:kern w:val="0"/>
                <w:szCs w:val="21"/>
              </w:rPr>
            </w:pPr>
          </w:p>
        </w:tc>
        <w:tc>
          <w:tcPr>
            <w:tcW w:w="1023" w:type="pct"/>
            <w:noWrap/>
            <w:vAlign w:val="center"/>
          </w:tcPr>
          <w:p w14:paraId="53E7902D">
            <w:pPr>
              <w:widowControl/>
              <w:jc w:val="center"/>
              <w:rPr>
                <w:rFonts w:eastAsia="仿宋_GB2312"/>
                <w:b/>
                <w:kern w:val="0"/>
                <w:szCs w:val="21"/>
              </w:rPr>
            </w:pPr>
            <w:r>
              <w:rPr>
                <w:rFonts w:eastAsia="仿宋_GB2312"/>
                <w:b/>
                <w:kern w:val="0"/>
                <w:szCs w:val="21"/>
              </w:rPr>
              <w:t>标准号</w:t>
            </w:r>
          </w:p>
        </w:tc>
        <w:tc>
          <w:tcPr>
            <w:tcW w:w="1051" w:type="pct"/>
            <w:noWrap/>
            <w:vAlign w:val="center"/>
          </w:tcPr>
          <w:p w14:paraId="7592EFC0">
            <w:pPr>
              <w:widowControl/>
              <w:jc w:val="center"/>
              <w:rPr>
                <w:rFonts w:eastAsia="仿宋_GB2312"/>
                <w:b/>
                <w:kern w:val="0"/>
                <w:szCs w:val="21"/>
              </w:rPr>
            </w:pPr>
            <w:r>
              <w:rPr>
                <w:rFonts w:eastAsia="仿宋_GB2312"/>
                <w:b/>
                <w:kern w:val="0"/>
                <w:szCs w:val="21"/>
              </w:rPr>
              <w:t>标准名称</w:t>
            </w:r>
          </w:p>
        </w:tc>
        <w:tc>
          <w:tcPr>
            <w:tcW w:w="771" w:type="pct"/>
            <w:vAlign w:val="center"/>
          </w:tcPr>
          <w:p w14:paraId="21049E0D">
            <w:pPr>
              <w:widowControl/>
              <w:jc w:val="center"/>
              <w:rPr>
                <w:rFonts w:eastAsia="仿宋_GB2312"/>
                <w:b/>
                <w:kern w:val="0"/>
                <w:szCs w:val="21"/>
              </w:rPr>
            </w:pPr>
            <w:r>
              <w:rPr>
                <w:rFonts w:eastAsia="仿宋_GB2312"/>
                <w:b/>
                <w:kern w:val="0"/>
                <w:szCs w:val="21"/>
              </w:rPr>
              <w:t>品类</w:t>
            </w:r>
          </w:p>
        </w:tc>
      </w:tr>
      <w:tr w14:paraId="0F934C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90" w:type="pct"/>
            <w:noWrap/>
            <w:vAlign w:val="center"/>
          </w:tcPr>
          <w:p w14:paraId="541FC8E3">
            <w:pPr>
              <w:widowControl/>
              <w:jc w:val="center"/>
              <w:rPr>
                <w:rFonts w:eastAsia="仿宋_GB2312"/>
                <w:kern w:val="0"/>
                <w:szCs w:val="21"/>
              </w:rPr>
            </w:pPr>
            <w:r>
              <w:rPr>
                <w:rFonts w:eastAsia="仿宋_GB2312"/>
                <w:kern w:val="0"/>
                <w:szCs w:val="21"/>
              </w:rPr>
              <w:t>1</w:t>
            </w:r>
          </w:p>
        </w:tc>
        <w:tc>
          <w:tcPr>
            <w:tcW w:w="991" w:type="pct"/>
            <w:noWrap/>
            <w:vAlign w:val="center"/>
          </w:tcPr>
          <w:p w14:paraId="626A900B">
            <w:pPr>
              <w:widowControl/>
              <w:jc w:val="center"/>
              <w:rPr>
                <w:rFonts w:eastAsia="仿宋_GB2312"/>
                <w:kern w:val="0"/>
                <w:szCs w:val="21"/>
              </w:rPr>
            </w:pPr>
            <w:r>
              <w:rPr>
                <w:rFonts w:eastAsia="仿宋_GB2312"/>
                <w:kern w:val="0"/>
                <w:szCs w:val="21"/>
              </w:rPr>
              <w:t>二氯甲烷废液</w:t>
            </w:r>
          </w:p>
        </w:tc>
        <w:tc>
          <w:tcPr>
            <w:tcW w:w="770" w:type="pct"/>
            <w:noWrap/>
            <w:vAlign w:val="center"/>
          </w:tcPr>
          <w:p w14:paraId="2D24DF32">
            <w:pPr>
              <w:widowControl/>
              <w:jc w:val="center"/>
              <w:rPr>
                <w:rFonts w:eastAsia="仿宋_GB2312"/>
                <w:kern w:val="0"/>
                <w:szCs w:val="21"/>
              </w:rPr>
            </w:pPr>
            <w:r>
              <w:rPr>
                <w:rFonts w:eastAsia="仿宋_GB2312"/>
                <w:kern w:val="0"/>
                <w:szCs w:val="21"/>
              </w:rPr>
              <w:t>二氯甲烷</w:t>
            </w:r>
          </w:p>
        </w:tc>
        <w:tc>
          <w:tcPr>
            <w:tcW w:w="1023" w:type="pct"/>
            <w:noWrap/>
            <w:vAlign w:val="center"/>
          </w:tcPr>
          <w:p w14:paraId="7A935BE6">
            <w:pPr>
              <w:widowControl/>
              <w:jc w:val="center"/>
              <w:rPr>
                <w:rFonts w:eastAsia="仿宋_GB2312"/>
                <w:kern w:val="0"/>
                <w:szCs w:val="21"/>
              </w:rPr>
            </w:pPr>
            <w:r>
              <w:rPr>
                <w:rFonts w:eastAsia="仿宋_GB2312"/>
                <w:kern w:val="0"/>
                <w:szCs w:val="21"/>
              </w:rPr>
              <w:t>GB 4117-2008</w:t>
            </w:r>
          </w:p>
        </w:tc>
        <w:tc>
          <w:tcPr>
            <w:tcW w:w="1051" w:type="pct"/>
            <w:noWrap/>
            <w:vAlign w:val="center"/>
          </w:tcPr>
          <w:p w14:paraId="0239857D">
            <w:pPr>
              <w:widowControl/>
              <w:jc w:val="center"/>
              <w:rPr>
                <w:rFonts w:eastAsia="仿宋_GB2312"/>
                <w:kern w:val="0"/>
                <w:szCs w:val="21"/>
              </w:rPr>
            </w:pPr>
            <w:r>
              <w:rPr>
                <w:rFonts w:eastAsia="仿宋_GB2312"/>
                <w:kern w:val="0"/>
                <w:szCs w:val="21"/>
              </w:rPr>
              <w:t>工业</w:t>
            </w:r>
            <w:r>
              <w:rPr>
                <w:rFonts w:hint="eastAsia" w:eastAsia="仿宋_GB2312"/>
                <w:kern w:val="0"/>
                <w:szCs w:val="21"/>
                <w:lang w:val="en-US" w:eastAsia="zh-CN"/>
              </w:rPr>
              <w:t>用</w:t>
            </w:r>
            <w:r>
              <w:rPr>
                <w:rFonts w:eastAsia="仿宋_GB2312"/>
                <w:kern w:val="0"/>
                <w:szCs w:val="21"/>
              </w:rPr>
              <w:t>二氯甲烷</w:t>
            </w:r>
          </w:p>
        </w:tc>
        <w:tc>
          <w:tcPr>
            <w:tcW w:w="771" w:type="pct"/>
            <w:vAlign w:val="center"/>
          </w:tcPr>
          <w:p w14:paraId="73C2B47E">
            <w:pPr>
              <w:widowControl/>
              <w:jc w:val="center"/>
              <w:rPr>
                <w:rFonts w:eastAsia="仿宋_GB2312"/>
                <w:kern w:val="0"/>
                <w:szCs w:val="21"/>
              </w:rPr>
            </w:pPr>
            <w:r>
              <w:rPr>
                <w:rFonts w:eastAsia="仿宋_GB2312"/>
                <w:kern w:val="0"/>
                <w:szCs w:val="21"/>
              </w:rPr>
              <w:t>合格品</w:t>
            </w:r>
          </w:p>
        </w:tc>
      </w:tr>
      <w:tr w14:paraId="3AB38C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90" w:type="pct"/>
            <w:noWrap/>
            <w:vAlign w:val="center"/>
          </w:tcPr>
          <w:p w14:paraId="20F604CE">
            <w:pPr>
              <w:widowControl/>
              <w:jc w:val="center"/>
              <w:rPr>
                <w:rFonts w:eastAsia="仿宋_GB2312"/>
                <w:kern w:val="0"/>
                <w:szCs w:val="21"/>
              </w:rPr>
            </w:pPr>
            <w:r>
              <w:rPr>
                <w:rFonts w:eastAsia="仿宋_GB2312"/>
                <w:kern w:val="0"/>
                <w:szCs w:val="21"/>
              </w:rPr>
              <w:t>2</w:t>
            </w:r>
          </w:p>
        </w:tc>
        <w:tc>
          <w:tcPr>
            <w:tcW w:w="991" w:type="pct"/>
            <w:noWrap/>
            <w:vAlign w:val="center"/>
          </w:tcPr>
          <w:p w14:paraId="19230C62">
            <w:pPr>
              <w:widowControl/>
              <w:jc w:val="center"/>
              <w:rPr>
                <w:rFonts w:eastAsia="仿宋_GB2312"/>
                <w:kern w:val="0"/>
                <w:szCs w:val="21"/>
              </w:rPr>
            </w:pPr>
            <w:r>
              <w:rPr>
                <w:rFonts w:eastAsia="仿宋_GB2312"/>
                <w:kern w:val="0"/>
                <w:szCs w:val="21"/>
              </w:rPr>
              <w:t>甲苯废液</w:t>
            </w:r>
          </w:p>
        </w:tc>
        <w:tc>
          <w:tcPr>
            <w:tcW w:w="770" w:type="pct"/>
            <w:noWrap/>
            <w:vAlign w:val="center"/>
          </w:tcPr>
          <w:p w14:paraId="709ED242">
            <w:pPr>
              <w:widowControl/>
              <w:jc w:val="center"/>
              <w:rPr>
                <w:rFonts w:eastAsia="仿宋_GB2312"/>
                <w:kern w:val="0"/>
                <w:szCs w:val="21"/>
              </w:rPr>
            </w:pPr>
            <w:r>
              <w:rPr>
                <w:rFonts w:eastAsia="仿宋_GB2312"/>
                <w:kern w:val="0"/>
                <w:szCs w:val="21"/>
              </w:rPr>
              <w:t>甲苯</w:t>
            </w:r>
          </w:p>
        </w:tc>
        <w:tc>
          <w:tcPr>
            <w:tcW w:w="1023" w:type="pct"/>
            <w:noWrap/>
            <w:vAlign w:val="center"/>
          </w:tcPr>
          <w:p w14:paraId="17F512D5">
            <w:pPr>
              <w:widowControl/>
              <w:jc w:val="center"/>
              <w:rPr>
                <w:rFonts w:hint="default" w:eastAsia="仿宋_GB2312"/>
                <w:kern w:val="0"/>
                <w:szCs w:val="21"/>
                <w:lang w:val="en-US" w:eastAsia="zh-CN"/>
              </w:rPr>
            </w:pPr>
            <w:r>
              <w:rPr>
                <w:rFonts w:eastAsia="仿宋_GB2312"/>
                <w:kern w:val="0"/>
                <w:szCs w:val="21"/>
              </w:rPr>
              <w:t>GB/T 684-</w:t>
            </w:r>
            <w:r>
              <w:rPr>
                <w:rFonts w:hint="eastAsia" w:eastAsia="仿宋_GB2312"/>
                <w:kern w:val="0"/>
                <w:szCs w:val="21"/>
                <w:lang w:val="en-US" w:eastAsia="zh-CN"/>
              </w:rPr>
              <w:t>2023</w:t>
            </w:r>
          </w:p>
        </w:tc>
        <w:tc>
          <w:tcPr>
            <w:tcW w:w="1051" w:type="pct"/>
            <w:noWrap/>
            <w:vAlign w:val="center"/>
          </w:tcPr>
          <w:p w14:paraId="2FE03BBD">
            <w:pPr>
              <w:widowControl/>
              <w:jc w:val="center"/>
              <w:rPr>
                <w:rFonts w:eastAsia="仿宋_GB2312"/>
                <w:kern w:val="0"/>
                <w:szCs w:val="21"/>
              </w:rPr>
            </w:pPr>
            <w:r>
              <w:rPr>
                <w:rFonts w:eastAsia="仿宋_GB2312"/>
                <w:kern w:val="0"/>
                <w:szCs w:val="21"/>
              </w:rPr>
              <w:t>化学试剂 甲苯</w:t>
            </w:r>
          </w:p>
        </w:tc>
        <w:tc>
          <w:tcPr>
            <w:tcW w:w="771" w:type="pct"/>
            <w:vAlign w:val="center"/>
          </w:tcPr>
          <w:p w14:paraId="48608AA4">
            <w:pPr>
              <w:widowControl/>
              <w:jc w:val="center"/>
              <w:rPr>
                <w:rFonts w:eastAsia="仿宋_GB2312"/>
                <w:kern w:val="0"/>
                <w:szCs w:val="21"/>
              </w:rPr>
            </w:pPr>
            <w:r>
              <w:rPr>
                <w:rFonts w:eastAsia="仿宋_GB2312"/>
                <w:kern w:val="0"/>
                <w:szCs w:val="21"/>
              </w:rPr>
              <w:t>化学纯</w:t>
            </w:r>
          </w:p>
        </w:tc>
      </w:tr>
      <w:tr w14:paraId="10B9A1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90" w:type="pct"/>
            <w:noWrap/>
            <w:vAlign w:val="center"/>
          </w:tcPr>
          <w:p w14:paraId="151912FA">
            <w:pPr>
              <w:widowControl/>
              <w:jc w:val="center"/>
              <w:rPr>
                <w:rFonts w:eastAsia="仿宋_GB2312"/>
                <w:kern w:val="0"/>
                <w:szCs w:val="21"/>
              </w:rPr>
            </w:pPr>
            <w:r>
              <w:rPr>
                <w:rFonts w:eastAsia="仿宋_GB2312"/>
                <w:kern w:val="0"/>
                <w:szCs w:val="21"/>
              </w:rPr>
              <w:t>3</w:t>
            </w:r>
          </w:p>
        </w:tc>
        <w:tc>
          <w:tcPr>
            <w:tcW w:w="991" w:type="pct"/>
            <w:noWrap/>
            <w:vAlign w:val="center"/>
          </w:tcPr>
          <w:p w14:paraId="7DF9C779">
            <w:pPr>
              <w:widowControl/>
              <w:jc w:val="center"/>
              <w:rPr>
                <w:rFonts w:eastAsia="仿宋_GB2312"/>
                <w:kern w:val="0"/>
                <w:szCs w:val="21"/>
              </w:rPr>
            </w:pPr>
            <w:r>
              <w:rPr>
                <w:rFonts w:eastAsia="仿宋_GB2312"/>
                <w:kern w:val="0"/>
                <w:szCs w:val="21"/>
              </w:rPr>
              <w:t>二甲苯废液</w:t>
            </w:r>
          </w:p>
        </w:tc>
        <w:tc>
          <w:tcPr>
            <w:tcW w:w="770" w:type="pct"/>
            <w:noWrap/>
            <w:vAlign w:val="center"/>
          </w:tcPr>
          <w:p w14:paraId="7266782C">
            <w:pPr>
              <w:widowControl/>
              <w:jc w:val="center"/>
              <w:rPr>
                <w:rFonts w:eastAsia="仿宋_GB2312"/>
                <w:kern w:val="0"/>
                <w:szCs w:val="21"/>
              </w:rPr>
            </w:pPr>
            <w:r>
              <w:rPr>
                <w:rFonts w:eastAsia="仿宋_GB2312"/>
                <w:kern w:val="0"/>
                <w:szCs w:val="21"/>
              </w:rPr>
              <w:t>二甲苯</w:t>
            </w:r>
          </w:p>
        </w:tc>
        <w:tc>
          <w:tcPr>
            <w:tcW w:w="1023" w:type="pct"/>
            <w:noWrap/>
            <w:vAlign w:val="center"/>
          </w:tcPr>
          <w:p w14:paraId="601D1CB4">
            <w:pPr>
              <w:widowControl/>
              <w:jc w:val="center"/>
              <w:rPr>
                <w:rFonts w:eastAsia="仿宋_GB2312"/>
                <w:kern w:val="0"/>
                <w:szCs w:val="21"/>
              </w:rPr>
            </w:pPr>
            <w:r>
              <w:rPr>
                <w:rFonts w:eastAsia="仿宋_GB2312"/>
                <w:kern w:val="0"/>
                <w:szCs w:val="21"/>
              </w:rPr>
              <w:t>GB/T 16494-2013</w:t>
            </w:r>
          </w:p>
        </w:tc>
        <w:tc>
          <w:tcPr>
            <w:tcW w:w="1051" w:type="pct"/>
            <w:noWrap/>
            <w:vAlign w:val="center"/>
          </w:tcPr>
          <w:p w14:paraId="57E314CF">
            <w:pPr>
              <w:widowControl/>
              <w:jc w:val="center"/>
              <w:rPr>
                <w:rFonts w:eastAsia="仿宋_GB2312"/>
                <w:kern w:val="0"/>
                <w:szCs w:val="21"/>
              </w:rPr>
            </w:pPr>
            <w:r>
              <w:rPr>
                <w:rFonts w:eastAsia="仿宋_GB2312"/>
                <w:kern w:val="0"/>
                <w:szCs w:val="21"/>
              </w:rPr>
              <w:t>化学试剂 二甲苯</w:t>
            </w:r>
          </w:p>
        </w:tc>
        <w:tc>
          <w:tcPr>
            <w:tcW w:w="771" w:type="pct"/>
            <w:vAlign w:val="center"/>
          </w:tcPr>
          <w:p w14:paraId="3DA226DC">
            <w:pPr>
              <w:widowControl/>
              <w:jc w:val="center"/>
              <w:rPr>
                <w:rFonts w:eastAsia="仿宋_GB2312"/>
                <w:kern w:val="0"/>
                <w:szCs w:val="21"/>
              </w:rPr>
            </w:pPr>
            <w:r>
              <w:rPr>
                <w:rFonts w:eastAsia="仿宋_GB2312"/>
                <w:kern w:val="0"/>
                <w:szCs w:val="21"/>
              </w:rPr>
              <w:t>化学纯</w:t>
            </w:r>
          </w:p>
        </w:tc>
      </w:tr>
      <w:tr w14:paraId="3D8F05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90" w:type="pct"/>
            <w:noWrap/>
            <w:vAlign w:val="center"/>
          </w:tcPr>
          <w:p w14:paraId="3C7D8A26">
            <w:pPr>
              <w:widowControl/>
              <w:jc w:val="center"/>
              <w:rPr>
                <w:rFonts w:eastAsia="仿宋_GB2312"/>
                <w:kern w:val="0"/>
                <w:szCs w:val="21"/>
              </w:rPr>
            </w:pPr>
            <w:r>
              <w:rPr>
                <w:rFonts w:eastAsia="仿宋_GB2312"/>
                <w:kern w:val="0"/>
                <w:szCs w:val="21"/>
              </w:rPr>
              <w:t>4</w:t>
            </w:r>
          </w:p>
        </w:tc>
        <w:tc>
          <w:tcPr>
            <w:tcW w:w="991" w:type="pct"/>
            <w:noWrap/>
            <w:vAlign w:val="center"/>
          </w:tcPr>
          <w:p w14:paraId="3729B523">
            <w:pPr>
              <w:widowControl/>
              <w:jc w:val="center"/>
              <w:rPr>
                <w:rFonts w:eastAsia="仿宋_GB2312"/>
                <w:kern w:val="0"/>
                <w:szCs w:val="21"/>
              </w:rPr>
            </w:pPr>
            <w:r>
              <w:rPr>
                <w:rFonts w:eastAsia="仿宋_GB2312"/>
                <w:kern w:val="0"/>
                <w:szCs w:val="21"/>
              </w:rPr>
              <w:t>乙酸乙酯废液</w:t>
            </w:r>
          </w:p>
        </w:tc>
        <w:tc>
          <w:tcPr>
            <w:tcW w:w="770" w:type="pct"/>
            <w:noWrap/>
            <w:vAlign w:val="center"/>
          </w:tcPr>
          <w:p w14:paraId="5616D7AE">
            <w:pPr>
              <w:widowControl/>
              <w:jc w:val="center"/>
              <w:rPr>
                <w:rFonts w:eastAsia="仿宋_GB2312"/>
                <w:kern w:val="0"/>
                <w:szCs w:val="21"/>
              </w:rPr>
            </w:pPr>
            <w:r>
              <w:rPr>
                <w:rFonts w:eastAsia="仿宋_GB2312"/>
                <w:kern w:val="0"/>
                <w:szCs w:val="21"/>
              </w:rPr>
              <w:t>乙酸乙酯</w:t>
            </w:r>
          </w:p>
        </w:tc>
        <w:tc>
          <w:tcPr>
            <w:tcW w:w="1023" w:type="pct"/>
            <w:noWrap/>
            <w:vAlign w:val="center"/>
          </w:tcPr>
          <w:p w14:paraId="455D117E">
            <w:pPr>
              <w:widowControl/>
              <w:jc w:val="center"/>
              <w:rPr>
                <w:rFonts w:hint="default" w:eastAsia="仿宋_GB2312"/>
                <w:kern w:val="0"/>
                <w:szCs w:val="21"/>
                <w:lang w:val="en-US" w:eastAsia="zh-CN"/>
              </w:rPr>
            </w:pPr>
            <w:r>
              <w:rPr>
                <w:rFonts w:eastAsia="仿宋_GB2312"/>
                <w:kern w:val="0"/>
                <w:szCs w:val="21"/>
              </w:rPr>
              <w:t>GB/T 3728-20</w:t>
            </w:r>
            <w:r>
              <w:rPr>
                <w:rFonts w:hint="eastAsia" w:eastAsia="仿宋_GB2312"/>
                <w:kern w:val="0"/>
                <w:szCs w:val="21"/>
                <w:lang w:val="en-US" w:eastAsia="zh-CN"/>
              </w:rPr>
              <w:t>23</w:t>
            </w:r>
          </w:p>
        </w:tc>
        <w:tc>
          <w:tcPr>
            <w:tcW w:w="1051" w:type="pct"/>
            <w:noWrap/>
            <w:vAlign w:val="center"/>
          </w:tcPr>
          <w:p w14:paraId="1E74DC1A">
            <w:pPr>
              <w:widowControl/>
              <w:jc w:val="center"/>
              <w:rPr>
                <w:rFonts w:eastAsia="仿宋_GB2312"/>
                <w:kern w:val="0"/>
                <w:szCs w:val="21"/>
              </w:rPr>
            </w:pPr>
            <w:r>
              <w:rPr>
                <w:rFonts w:eastAsia="仿宋_GB2312"/>
                <w:kern w:val="0"/>
                <w:szCs w:val="21"/>
              </w:rPr>
              <w:t>工业乙酸乙酯</w:t>
            </w:r>
          </w:p>
        </w:tc>
        <w:tc>
          <w:tcPr>
            <w:tcW w:w="771" w:type="pct"/>
            <w:vAlign w:val="center"/>
          </w:tcPr>
          <w:p w14:paraId="042C964F">
            <w:pPr>
              <w:widowControl/>
              <w:jc w:val="center"/>
              <w:rPr>
                <w:rFonts w:hint="default" w:eastAsia="仿宋_GB2312"/>
                <w:kern w:val="0"/>
                <w:szCs w:val="21"/>
                <w:lang w:val="en-US" w:eastAsia="zh-CN"/>
              </w:rPr>
            </w:pPr>
            <w:r>
              <w:rPr>
                <w:rFonts w:hint="eastAsia" w:eastAsia="仿宋_GB2312"/>
                <w:kern w:val="0"/>
                <w:szCs w:val="21"/>
                <w:lang w:val="en-US" w:eastAsia="zh-CN"/>
              </w:rPr>
              <w:t>II型</w:t>
            </w:r>
          </w:p>
        </w:tc>
      </w:tr>
      <w:tr w14:paraId="7C6DBD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90" w:type="pct"/>
            <w:noWrap/>
            <w:vAlign w:val="center"/>
          </w:tcPr>
          <w:p w14:paraId="32CF1CCE">
            <w:pPr>
              <w:widowControl/>
              <w:jc w:val="center"/>
              <w:rPr>
                <w:rFonts w:eastAsia="仿宋_GB2312"/>
                <w:kern w:val="0"/>
                <w:szCs w:val="21"/>
              </w:rPr>
            </w:pPr>
            <w:r>
              <w:rPr>
                <w:rFonts w:eastAsia="仿宋_GB2312"/>
                <w:kern w:val="0"/>
                <w:szCs w:val="21"/>
              </w:rPr>
              <w:t>5</w:t>
            </w:r>
          </w:p>
        </w:tc>
        <w:tc>
          <w:tcPr>
            <w:tcW w:w="991" w:type="pct"/>
            <w:noWrap/>
            <w:vAlign w:val="center"/>
          </w:tcPr>
          <w:p w14:paraId="4E90E340">
            <w:pPr>
              <w:widowControl/>
              <w:jc w:val="center"/>
              <w:rPr>
                <w:rFonts w:eastAsia="仿宋_GB2312"/>
                <w:kern w:val="0"/>
                <w:szCs w:val="21"/>
              </w:rPr>
            </w:pPr>
            <w:r>
              <w:rPr>
                <w:rFonts w:eastAsia="仿宋_GB2312"/>
                <w:kern w:val="0"/>
                <w:szCs w:val="21"/>
              </w:rPr>
              <w:t>乙酸丁酯废液</w:t>
            </w:r>
          </w:p>
        </w:tc>
        <w:tc>
          <w:tcPr>
            <w:tcW w:w="770" w:type="pct"/>
            <w:noWrap/>
            <w:vAlign w:val="center"/>
          </w:tcPr>
          <w:p w14:paraId="276AF4FA">
            <w:pPr>
              <w:widowControl/>
              <w:jc w:val="center"/>
              <w:rPr>
                <w:rFonts w:eastAsia="仿宋_GB2312"/>
                <w:kern w:val="0"/>
                <w:szCs w:val="21"/>
              </w:rPr>
            </w:pPr>
            <w:r>
              <w:rPr>
                <w:rFonts w:eastAsia="仿宋_GB2312"/>
                <w:kern w:val="0"/>
                <w:szCs w:val="21"/>
              </w:rPr>
              <w:t>乙酸丁酯</w:t>
            </w:r>
          </w:p>
        </w:tc>
        <w:tc>
          <w:tcPr>
            <w:tcW w:w="1023" w:type="pct"/>
            <w:noWrap/>
            <w:vAlign w:val="center"/>
          </w:tcPr>
          <w:p w14:paraId="4D44F5C8">
            <w:pPr>
              <w:widowControl/>
              <w:jc w:val="center"/>
              <w:rPr>
                <w:rFonts w:hint="default" w:eastAsia="仿宋_GB2312"/>
                <w:kern w:val="0"/>
                <w:szCs w:val="21"/>
                <w:lang w:val="en-US" w:eastAsia="zh-CN"/>
              </w:rPr>
            </w:pPr>
            <w:r>
              <w:rPr>
                <w:rFonts w:eastAsia="仿宋_GB2312"/>
                <w:kern w:val="0"/>
                <w:szCs w:val="21"/>
              </w:rPr>
              <w:t>GB/T 3729-20</w:t>
            </w:r>
            <w:r>
              <w:rPr>
                <w:rFonts w:hint="eastAsia" w:eastAsia="仿宋_GB2312"/>
                <w:kern w:val="0"/>
                <w:szCs w:val="21"/>
                <w:lang w:val="en-US" w:eastAsia="zh-CN"/>
              </w:rPr>
              <w:t>23</w:t>
            </w:r>
          </w:p>
        </w:tc>
        <w:tc>
          <w:tcPr>
            <w:tcW w:w="1051" w:type="pct"/>
            <w:noWrap/>
            <w:vAlign w:val="center"/>
          </w:tcPr>
          <w:p w14:paraId="6995E720">
            <w:pPr>
              <w:widowControl/>
              <w:jc w:val="center"/>
              <w:rPr>
                <w:rFonts w:eastAsia="仿宋_GB2312"/>
                <w:kern w:val="0"/>
                <w:szCs w:val="21"/>
              </w:rPr>
            </w:pPr>
            <w:r>
              <w:rPr>
                <w:rFonts w:eastAsia="仿宋_GB2312"/>
                <w:kern w:val="0"/>
                <w:szCs w:val="21"/>
              </w:rPr>
              <w:t>工业用乙酸正丁酯</w:t>
            </w:r>
          </w:p>
        </w:tc>
        <w:tc>
          <w:tcPr>
            <w:tcW w:w="771" w:type="pct"/>
            <w:vAlign w:val="center"/>
          </w:tcPr>
          <w:p w14:paraId="36D09EED">
            <w:pPr>
              <w:widowControl/>
              <w:jc w:val="center"/>
              <w:rPr>
                <w:rFonts w:hint="default" w:eastAsia="仿宋_GB2312"/>
                <w:kern w:val="0"/>
                <w:szCs w:val="21"/>
                <w:lang w:val="en-US" w:eastAsia="zh-CN"/>
              </w:rPr>
            </w:pPr>
            <w:r>
              <w:rPr>
                <w:rFonts w:hint="eastAsia" w:eastAsia="仿宋_GB2312"/>
                <w:kern w:val="0"/>
                <w:szCs w:val="21"/>
                <w:lang w:val="en-US" w:eastAsia="zh-CN"/>
              </w:rPr>
              <w:t>II型</w:t>
            </w:r>
          </w:p>
        </w:tc>
      </w:tr>
      <w:tr w14:paraId="78E76C7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90" w:type="pct"/>
            <w:noWrap/>
            <w:vAlign w:val="center"/>
          </w:tcPr>
          <w:p w14:paraId="191CAA35">
            <w:pPr>
              <w:widowControl/>
              <w:jc w:val="center"/>
              <w:rPr>
                <w:rFonts w:eastAsia="仿宋_GB2312"/>
                <w:kern w:val="0"/>
                <w:szCs w:val="21"/>
              </w:rPr>
            </w:pPr>
            <w:r>
              <w:rPr>
                <w:rFonts w:eastAsia="仿宋_GB2312"/>
                <w:kern w:val="0"/>
                <w:szCs w:val="21"/>
              </w:rPr>
              <w:t>6</w:t>
            </w:r>
          </w:p>
        </w:tc>
        <w:tc>
          <w:tcPr>
            <w:tcW w:w="991" w:type="pct"/>
            <w:noWrap/>
            <w:vAlign w:val="center"/>
          </w:tcPr>
          <w:p w14:paraId="7BBA7D34">
            <w:pPr>
              <w:widowControl/>
              <w:jc w:val="center"/>
              <w:rPr>
                <w:rFonts w:eastAsia="仿宋_GB2312"/>
                <w:kern w:val="0"/>
                <w:szCs w:val="21"/>
              </w:rPr>
            </w:pPr>
            <w:r>
              <w:rPr>
                <w:rFonts w:eastAsia="仿宋_GB2312"/>
                <w:kern w:val="0"/>
                <w:szCs w:val="21"/>
              </w:rPr>
              <w:t>乙醇废液</w:t>
            </w:r>
          </w:p>
        </w:tc>
        <w:tc>
          <w:tcPr>
            <w:tcW w:w="770" w:type="pct"/>
            <w:noWrap/>
            <w:vAlign w:val="center"/>
          </w:tcPr>
          <w:p w14:paraId="3C623ECF">
            <w:pPr>
              <w:widowControl/>
              <w:jc w:val="center"/>
              <w:rPr>
                <w:rFonts w:eastAsia="仿宋_GB2312"/>
                <w:kern w:val="0"/>
                <w:szCs w:val="21"/>
              </w:rPr>
            </w:pPr>
            <w:r>
              <w:rPr>
                <w:rFonts w:eastAsia="仿宋_GB2312"/>
                <w:kern w:val="0"/>
                <w:szCs w:val="21"/>
              </w:rPr>
              <w:t>乙醇</w:t>
            </w:r>
          </w:p>
        </w:tc>
        <w:tc>
          <w:tcPr>
            <w:tcW w:w="1023" w:type="pct"/>
            <w:noWrap/>
            <w:vAlign w:val="center"/>
          </w:tcPr>
          <w:p w14:paraId="20105C0D">
            <w:pPr>
              <w:widowControl/>
              <w:jc w:val="center"/>
              <w:rPr>
                <w:rFonts w:eastAsia="仿宋_GB2312"/>
                <w:kern w:val="0"/>
                <w:szCs w:val="21"/>
              </w:rPr>
            </w:pPr>
            <w:r>
              <w:rPr>
                <w:rFonts w:eastAsia="仿宋_GB2312"/>
                <w:kern w:val="0"/>
                <w:szCs w:val="21"/>
              </w:rPr>
              <w:t>GB/T 6820-2016</w:t>
            </w:r>
          </w:p>
        </w:tc>
        <w:tc>
          <w:tcPr>
            <w:tcW w:w="1051" w:type="pct"/>
            <w:noWrap/>
            <w:vAlign w:val="center"/>
          </w:tcPr>
          <w:p w14:paraId="2EA811D3">
            <w:pPr>
              <w:widowControl/>
              <w:jc w:val="center"/>
              <w:rPr>
                <w:rFonts w:eastAsia="仿宋_GB2312"/>
                <w:kern w:val="0"/>
                <w:szCs w:val="21"/>
              </w:rPr>
            </w:pPr>
            <w:r>
              <w:rPr>
                <w:rFonts w:eastAsia="仿宋_GB2312"/>
                <w:kern w:val="0"/>
                <w:szCs w:val="21"/>
              </w:rPr>
              <w:t>工业用乙醇</w:t>
            </w:r>
          </w:p>
        </w:tc>
        <w:tc>
          <w:tcPr>
            <w:tcW w:w="771" w:type="pct"/>
            <w:vAlign w:val="center"/>
          </w:tcPr>
          <w:p w14:paraId="00C0A0DA">
            <w:pPr>
              <w:widowControl/>
              <w:jc w:val="center"/>
              <w:rPr>
                <w:rFonts w:eastAsia="仿宋_GB2312"/>
                <w:kern w:val="0"/>
                <w:szCs w:val="21"/>
              </w:rPr>
            </w:pPr>
            <w:r>
              <w:rPr>
                <w:rFonts w:eastAsia="仿宋_GB2312"/>
                <w:kern w:val="0"/>
                <w:szCs w:val="21"/>
              </w:rPr>
              <w:t>99.5%乙醇一等品</w:t>
            </w:r>
          </w:p>
        </w:tc>
      </w:tr>
      <w:tr w14:paraId="2D0E03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90" w:type="pct"/>
            <w:noWrap/>
            <w:vAlign w:val="center"/>
          </w:tcPr>
          <w:p w14:paraId="6138DD95">
            <w:pPr>
              <w:widowControl/>
              <w:jc w:val="center"/>
              <w:rPr>
                <w:rFonts w:eastAsia="仿宋_GB2312"/>
                <w:kern w:val="0"/>
                <w:szCs w:val="21"/>
              </w:rPr>
            </w:pPr>
            <w:r>
              <w:rPr>
                <w:rFonts w:eastAsia="仿宋_GB2312"/>
                <w:kern w:val="0"/>
                <w:szCs w:val="21"/>
              </w:rPr>
              <w:t>7</w:t>
            </w:r>
          </w:p>
        </w:tc>
        <w:tc>
          <w:tcPr>
            <w:tcW w:w="991" w:type="pct"/>
            <w:noWrap/>
            <w:vAlign w:val="center"/>
          </w:tcPr>
          <w:p w14:paraId="5D99861A">
            <w:pPr>
              <w:widowControl/>
              <w:jc w:val="center"/>
              <w:rPr>
                <w:rFonts w:eastAsia="仿宋_GB2312"/>
                <w:kern w:val="0"/>
                <w:szCs w:val="21"/>
              </w:rPr>
            </w:pPr>
            <w:r>
              <w:rPr>
                <w:rFonts w:eastAsia="仿宋_GB2312"/>
                <w:kern w:val="0"/>
                <w:szCs w:val="21"/>
              </w:rPr>
              <w:t>N-甲基吡咯烷酮废液</w:t>
            </w:r>
          </w:p>
        </w:tc>
        <w:tc>
          <w:tcPr>
            <w:tcW w:w="770" w:type="pct"/>
            <w:noWrap/>
            <w:vAlign w:val="center"/>
          </w:tcPr>
          <w:p w14:paraId="65BA7FA4">
            <w:pPr>
              <w:widowControl/>
              <w:jc w:val="center"/>
              <w:rPr>
                <w:rFonts w:eastAsia="仿宋_GB2312"/>
                <w:kern w:val="0"/>
                <w:szCs w:val="21"/>
              </w:rPr>
            </w:pPr>
            <w:r>
              <w:rPr>
                <w:rFonts w:eastAsia="仿宋_GB2312"/>
                <w:kern w:val="0"/>
                <w:szCs w:val="21"/>
              </w:rPr>
              <w:t>N-甲基吡咯烷酮</w:t>
            </w:r>
          </w:p>
        </w:tc>
        <w:tc>
          <w:tcPr>
            <w:tcW w:w="1023" w:type="pct"/>
            <w:noWrap/>
            <w:vAlign w:val="center"/>
          </w:tcPr>
          <w:p w14:paraId="3EBF9B82">
            <w:pPr>
              <w:widowControl/>
              <w:jc w:val="center"/>
              <w:rPr>
                <w:rFonts w:hint="default" w:eastAsia="仿宋_GB2312"/>
                <w:kern w:val="0"/>
                <w:szCs w:val="21"/>
                <w:lang w:val="en-US" w:eastAsia="zh-CN"/>
              </w:rPr>
            </w:pPr>
            <w:r>
              <w:rPr>
                <w:rFonts w:eastAsia="仿宋_GB2312"/>
                <w:kern w:val="0"/>
                <w:szCs w:val="21"/>
              </w:rPr>
              <w:t>GB/T 27563-20</w:t>
            </w:r>
            <w:r>
              <w:rPr>
                <w:rFonts w:hint="eastAsia" w:eastAsia="仿宋_GB2312"/>
                <w:kern w:val="0"/>
                <w:szCs w:val="21"/>
                <w:lang w:val="en-US" w:eastAsia="zh-CN"/>
              </w:rPr>
              <w:t>26</w:t>
            </w:r>
          </w:p>
        </w:tc>
        <w:tc>
          <w:tcPr>
            <w:tcW w:w="1051" w:type="pct"/>
            <w:noWrap/>
            <w:vAlign w:val="center"/>
          </w:tcPr>
          <w:p w14:paraId="57BD9767">
            <w:pPr>
              <w:widowControl/>
              <w:jc w:val="center"/>
              <w:rPr>
                <w:rFonts w:eastAsia="仿宋_GB2312"/>
                <w:kern w:val="0"/>
                <w:szCs w:val="21"/>
              </w:rPr>
            </w:pPr>
            <w:r>
              <w:rPr>
                <w:rFonts w:eastAsia="仿宋_GB2312"/>
                <w:kern w:val="0"/>
                <w:szCs w:val="21"/>
              </w:rPr>
              <w:t>工业用 N-甲基-2-吡咯烷酮</w:t>
            </w:r>
          </w:p>
        </w:tc>
        <w:tc>
          <w:tcPr>
            <w:tcW w:w="771" w:type="pct"/>
            <w:vAlign w:val="center"/>
          </w:tcPr>
          <w:p w14:paraId="1F6627B5">
            <w:pPr>
              <w:widowControl/>
              <w:jc w:val="center"/>
              <w:rPr>
                <w:rFonts w:hint="default" w:eastAsia="仿宋_GB2312"/>
                <w:kern w:val="0"/>
                <w:szCs w:val="21"/>
                <w:lang w:val="en-US" w:eastAsia="zh-CN"/>
              </w:rPr>
            </w:pPr>
            <w:r>
              <w:rPr>
                <w:rFonts w:hint="eastAsia" w:eastAsia="仿宋_GB2312"/>
                <w:kern w:val="0"/>
                <w:szCs w:val="21"/>
                <w:lang w:val="en-US" w:eastAsia="zh-CN"/>
              </w:rPr>
              <w:t>一般工业级II型</w:t>
            </w:r>
          </w:p>
        </w:tc>
      </w:tr>
      <w:tr w14:paraId="55828CA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90" w:type="pct"/>
            <w:noWrap/>
            <w:vAlign w:val="center"/>
          </w:tcPr>
          <w:p w14:paraId="0DB0C5AB">
            <w:pPr>
              <w:widowControl/>
              <w:jc w:val="center"/>
              <w:rPr>
                <w:rFonts w:eastAsia="仿宋_GB2312"/>
                <w:kern w:val="0"/>
                <w:szCs w:val="21"/>
              </w:rPr>
            </w:pPr>
            <w:r>
              <w:rPr>
                <w:rFonts w:eastAsia="仿宋_GB2312"/>
                <w:kern w:val="0"/>
                <w:szCs w:val="21"/>
              </w:rPr>
              <w:t>8</w:t>
            </w:r>
          </w:p>
        </w:tc>
        <w:tc>
          <w:tcPr>
            <w:tcW w:w="991" w:type="pct"/>
            <w:noWrap/>
            <w:vAlign w:val="center"/>
          </w:tcPr>
          <w:p w14:paraId="519BEA37">
            <w:pPr>
              <w:widowControl/>
              <w:jc w:val="center"/>
              <w:rPr>
                <w:rFonts w:eastAsia="仿宋_GB2312"/>
                <w:kern w:val="0"/>
                <w:szCs w:val="21"/>
              </w:rPr>
            </w:pPr>
            <w:r>
              <w:rPr>
                <w:rFonts w:eastAsia="仿宋_GB2312"/>
                <w:kern w:val="0"/>
                <w:szCs w:val="21"/>
              </w:rPr>
              <w:t>四氢呋喃废液</w:t>
            </w:r>
          </w:p>
        </w:tc>
        <w:tc>
          <w:tcPr>
            <w:tcW w:w="770" w:type="pct"/>
            <w:noWrap/>
            <w:vAlign w:val="center"/>
          </w:tcPr>
          <w:p w14:paraId="6575298D">
            <w:pPr>
              <w:widowControl/>
              <w:jc w:val="center"/>
              <w:rPr>
                <w:rFonts w:eastAsia="仿宋_GB2312"/>
                <w:kern w:val="0"/>
                <w:szCs w:val="21"/>
              </w:rPr>
            </w:pPr>
            <w:r>
              <w:rPr>
                <w:rFonts w:eastAsia="仿宋_GB2312"/>
                <w:kern w:val="0"/>
                <w:szCs w:val="21"/>
              </w:rPr>
              <w:t>四氢呋喃</w:t>
            </w:r>
          </w:p>
        </w:tc>
        <w:tc>
          <w:tcPr>
            <w:tcW w:w="1023" w:type="pct"/>
            <w:noWrap/>
            <w:vAlign w:val="center"/>
          </w:tcPr>
          <w:p w14:paraId="5AC803CD">
            <w:pPr>
              <w:widowControl/>
              <w:jc w:val="center"/>
              <w:rPr>
                <w:rFonts w:eastAsia="仿宋_GB2312"/>
                <w:kern w:val="0"/>
                <w:szCs w:val="21"/>
              </w:rPr>
            </w:pPr>
            <w:r>
              <w:rPr>
                <w:rFonts w:eastAsia="仿宋_GB2312"/>
                <w:kern w:val="0"/>
                <w:szCs w:val="21"/>
              </w:rPr>
              <w:t>GB/T 24772-2009</w:t>
            </w:r>
          </w:p>
        </w:tc>
        <w:tc>
          <w:tcPr>
            <w:tcW w:w="1051" w:type="pct"/>
            <w:noWrap/>
            <w:vAlign w:val="center"/>
          </w:tcPr>
          <w:p w14:paraId="4646B9CC">
            <w:pPr>
              <w:widowControl/>
              <w:jc w:val="center"/>
              <w:rPr>
                <w:rFonts w:eastAsia="仿宋_GB2312"/>
                <w:kern w:val="0"/>
                <w:szCs w:val="21"/>
              </w:rPr>
            </w:pPr>
            <w:r>
              <w:rPr>
                <w:rFonts w:eastAsia="仿宋_GB2312"/>
                <w:kern w:val="0"/>
                <w:szCs w:val="21"/>
              </w:rPr>
              <w:t>工业用四氢呋喃</w:t>
            </w:r>
          </w:p>
        </w:tc>
        <w:tc>
          <w:tcPr>
            <w:tcW w:w="771" w:type="pct"/>
            <w:vAlign w:val="center"/>
          </w:tcPr>
          <w:p w14:paraId="22529749">
            <w:pPr>
              <w:widowControl/>
              <w:jc w:val="center"/>
              <w:rPr>
                <w:rFonts w:eastAsia="仿宋_GB2312"/>
                <w:kern w:val="0"/>
                <w:szCs w:val="21"/>
              </w:rPr>
            </w:pPr>
            <w:r>
              <w:rPr>
                <w:rFonts w:eastAsia="仿宋_GB2312"/>
                <w:kern w:val="0"/>
                <w:szCs w:val="21"/>
              </w:rPr>
              <w:t>合格品</w:t>
            </w:r>
          </w:p>
        </w:tc>
      </w:tr>
      <w:tr w14:paraId="4B5C23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90" w:type="pct"/>
            <w:noWrap/>
            <w:vAlign w:val="center"/>
          </w:tcPr>
          <w:p w14:paraId="0C59F6C6">
            <w:pPr>
              <w:widowControl/>
              <w:jc w:val="center"/>
              <w:rPr>
                <w:rFonts w:eastAsia="仿宋_GB2312"/>
                <w:kern w:val="0"/>
                <w:szCs w:val="21"/>
              </w:rPr>
            </w:pPr>
            <w:r>
              <w:rPr>
                <w:rFonts w:eastAsia="仿宋_GB2312"/>
                <w:kern w:val="0"/>
                <w:szCs w:val="21"/>
              </w:rPr>
              <w:t>9</w:t>
            </w:r>
          </w:p>
        </w:tc>
        <w:tc>
          <w:tcPr>
            <w:tcW w:w="991" w:type="pct"/>
            <w:noWrap/>
            <w:vAlign w:val="center"/>
          </w:tcPr>
          <w:p w14:paraId="725CCE30">
            <w:pPr>
              <w:widowControl/>
              <w:jc w:val="center"/>
              <w:rPr>
                <w:rFonts w:eastAsia="仿宋_GB2312"/>
                <w:kern w:val="0"/>
                <w:szCs w:val="21"/>
              </w:rPr>
            </w:pPr>
            <w:r>
              <w:rPr>
                <w:rFonts w:eastAsia="仿宋_GB2312"/>
                <w:kern w:val="0"/>
                <w:szCs w:val="21"/>
              </w:rPr>
              <w:t>丁酮废液</w:t>
            </w:r>
          </w:p>
        </w:tc>
        <w:tc>
          <w:tcPr>
            <w:tcW w:w="770" w:type="pct"/>
            <w:noWrap/>
            <w:vAlign w:val="center"/>
          </w:tcPr>
          <w:p w14:paraId="6D5EF37B">
            <w:pPr>
              <w:widowControl/>
              <w:jc w:val="center"/>
              <w:rPr>
                <w:rFonts w:eastAsia="仿宋_GB2312"/>
                <w:kern w:val="0"/>
                <w:szCs w:val="21"/>
              </w:rPr>
            </w:pPr>
            <w:r>
              <w:rPr>
                <w:rFonts w:eastAsia="仿宋_GB2312"/>
                <w:kern w:val="0"/>
                <w:szCs w:val="21"/>
              </w:rPr>
              <w:t>丁酮</w:t>
            </w:r>
          </w:p>
        </w:tc>
        <w:tc>
          <w:tcPr>
            <w:tcW w:w="1023" w:type="pct"/>
            <w:noWrap/>
            <w:vAlign w:val="center"/>
          </w:tcPr>
          <w:p w14:paraId="6EAFB330">
            <w:pPr>
              <w:widowControl/>
              <w:jc w:val="center"/>
              <w:rPr>
                <w:rFonts w:eastAsia="仿宋_GB2312"/>
                <w:kern w:val="0"/>
                <w:szCs w:val="21"/>
              </w:rPr>
            </w:pPr>
            <w:r>
              <w:rPr>
                <w:rFonts w:eastAsia="仿宋_GB2312"/>
                <w:kern w:val="0"/>
                <w:szCs w:val="21"/>
              </w:rPr>
              <w:t>SH/T 1755-2006</w:t>
            </w:r>
          </w:p>
        </w:tc>
        <w:tc>
          <w:tcPr>
            <w:tcW w:w="1051" w:type="pct"/>
            <w:noWrap/>
            <w:vAlign w:val="center"/>
          </w:tcPr>
          <w:p w14:paraId="657A1BDE">
            <w:pPr>
              <w:widowControl/>
              <w:jc w:val="center"/>
              <w:rPr>
                <w:rFonts w:eastAsia="仿宋_GB2312"/>
                <w:kern w:val="0"/>
                <w:szCs w:val="21"/>
              </w:rPr>
            </w:pPr>
            <w:r>
              <w:rPr>
                <w:rFonts w:eastAsia="仿宋_GB2312"/>
                <w:kern w:val="0"/>
                <w:szCs w:val="21"/>
              </w:rPr>
              <w:t>工业用甲乙酮（丁酮）</w:t>
            </w:r>
          </w:p>
        </w:tc>
        <w:tc>
          <w:tcPr>
            <w:tcW w:w="771" w:type="pct"/>
            <w:vAlign w:val="center"/>
          </w:tcPr>
          <w:p w14:paraId="188BEEFD">
            <w:pPr>
              <w:widowControl/>
              <w:jc w:val="center"/>
              <w:rPr>
                <w:rFonts w:eastAsia="仿宋_GB2312"/>
                <w:kern w:val="0"/>
                <w:szCs w:val="21"/>
              </w:rPr>
            </w:pPr>
            <w:r>
              <w:rPr>
                <w:rFonts w:eastAsia="仿宋_GB2312"/>
                <w:kern w:val="0"/>
                <w:szCs w:val="21"/>
              </w:rPr>
              <w:t>通用级</w:t>
            </w:r>
          </w:p>
        </w:tc>
      </w:tr>
      <w:tr w14:paraId="0C6FDC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90" w:type="pct"/>
            <w:noWrap/>
            <w:vAlign w:val="center"/>
          </w:tcPr>
          <w:p w14:paraId="28CA92D5">
            <w:pPr>
              <w:widowControl/>
              <w:jc w:val="center"/>
              <w:rPr>
                <w:rFonts w:eastAsia="仿宋_GB2312"/>
                <w:b/>
                <w:kern w:val="0"/>
                <w:szCs w:val="21"/>
              </w:rPr>
            </w:pPr>
            <w:r>
              <w:rPr>
                <w:rFonts w:eastAsia="仿宋_GB2312"/>
                <w:kern w:val="0"/>
                <w:szCs w:val="21"/>
              </w:rPr>
              <w:t>10</w:t>
            </w:r>
          </w:p>
        </w:tc>
        <w:tc>
          <w:tcPr>
            <w:tcW w:w="991" w:type="pct"/>
            <w:noWrap/>
            <w:vAlign w:val="center"/>
          </w:tcPr>
          <w:p w14:paraId="7E6FCB18">
            <w:pPr>
              <w:widowControl/>
              <w:jc w:val="center"/>
              <w:rPr>
                <w:rFonts w:eastAsia="仿宋_GB2312"/>
                <w:kern w:val="0"/>
                <w:szCs w:val="21"/>
              </w:rPr>
            </w:pPr>
            <w:r>
              <w:rPr>
                <w:rFonts w:eastAsia="仿宋_GB2312"/>
                <w:kern w:val="0"/>
                <w:szCs w:val="21"/>
              </w:rPr>
              <w:t>丙二醇单甲醚废液</w:t>
            </w:r>
          </w:p>
        </w:tc>
        <w:tc>
          <w:tcPr>
            <w:tcW w:w="770" w:type="pct"/>
            <w:noWrap/>
            <w:vAlign w:val="center"/>
          </w:tcPr>
          <w:p w14:paraId="21CF5021">
            <w:pPr>
              <w:widowControl/>
              <w:jc w:val="center"/>
              <w:rPr>
                <w:rFonts w:eastAsia="仿宋_GB2312"/>
                <w:kern w:val="0"/>
                <w:szCs w:val="21"/>
              </w:rPr>
            </w:pPr>
            <w:r>
              <w:rPr>
                <w:rFonts w:eastAsia="仿宋_GB2312"/>
                <w:kern w:val="0"/>
                <w:szCs w:val="21"/>
              </w:rPr>
              <w:t>丙二醇单甲醚</w:t>
            </w:r>
          </w:p>
        </w:tc>
        <w:tc>
          <w:tcPr>
            <w:tcW w:w="1023" w:type="pct"/>
            <w:noWrap/>
            <w:vAlign w:val="center"/>
          </w:tcPr>
          <w:p w14:paraId="2941D7EF">
            <w:pPr>
              <w:widowControl/>
              <w:jc w:val="center"/>
              <w:rPr>
                <w:rFonts w:eastAsia="仿宋_GB2312"/>
                <w:kern w:val="0"/>
                <w:szCs w:val="21"/>
              </w:rPr>
            </w:pPr>
            <w:r>
              <w:rPr>
                <w:rFonts w:eastAsia="仿宋_GB2312"/>
                <w:kern w:val="0"/>
                <w:szCs w:val="21"/>
              </w:rPr>
              <w:t>HG/T 3939-2007</w:t>
            </w:r>
          </w:p>
        </w:tc>
        <w:tc>
          <w:tcPr>
            <w:tcW w:w="1051" w:type="pct"/>
            <w:noWrap/>
            <w:vAlign w:val="center"/>
          </w:tcPr>
          <w:p w14:paraId="5E05AC69">
            <w:pPr>
              <w:widowControl/>
              <w:jc w:val="center"/>
              <w:rPr>
                <w:rFonts w:eastAsia="仿宋_GB2312"/>
                <w:kern w:val="0"/>
                <w:szCs w:val="21"/>
              </w:rPr>
            </w:pPr>
            <w:r>
              <w:rPr>
                <w:rFonts w:eastAsia="仿宋_GB2312"/>
                <w:kern w:val="0"/>
                <w:szCs w:val="21"/>
              </w:rPr>
              <w:t>工业用丙二醇甲醚</w:t>
            </w:r>
          </w:p>
        </w:tc>
        <w:tc>
          <w:tcPr>
            <w:tcW w:w="771" w:type="pct"/>
            <w:vAlign w:val="center"/>
          </w:tcPr>
          <w:p w14:paraId="1AB42804">
            <w:pPr>
              <w:widowControl/>
              <w:jc w:val="center"/>
              <w:rPr>
                <w:rFonts w:eastAsia="仿宋_GB2312"/>
                <w:kern w:val="0"/>
                <w:szCs w:val="21"/>
              </w:rPr>
            </w:pPr>
            <w:r>
              <w:rPr>
                <w:rFonts w:eastAsia="仿宋_GB2312"/>
                <w:kern w:val="0"/>
                <w:szCs w:val="21"/>
              </w:rPr>
              <w:t>/</w:t>
            </w:r>
          </w:p>
        </w:tc>
      </w:tr>
      <w:tr w14:paraId="6B0EEC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90" w:type="pct"/>
            <w:noWrap/>
            <w:vAlign w:val="center"/>
          </w:tcPr>
          <w:p w14:paraId="3A5F5397">
            <w:pPr>
              <w:widowControl/>
              <w:jc w:val="center"/>
              <w:rPr>
                <w:rFonts w:eastAsia="仿宋_GB2312"/>
                <w:kern w:val="0"/>
                <w:szCs w:val="21"/>
              </w:rPr>
            </w:pPr>
            <w:r>
              <w:rPr>
                <w:rFonts w:eastAsia="仿宋_GB2312"/>
                <w:kern w:val="0"/>
                <w:szCs w:val="21"/>
              </w:rPr>
              <w:t>11</w:t>
            </w:r>
          </w:p>
        </w:tc>
        <w:tc>
          <w:tcPr>
            <w:tcW w:w="991" w:type="pct"/>
            <w:vAlign w:val="center"/>
          </w:tcPr>
          <w:p w14:paraId="76169122">
            <w:pPr>
              <w:widowControl/>
              <w:jc w:val="center"/>
              <w:rPr>
                <w:rFonts w:eastAsia="仿宋_GB2312"/>
                <w:kern w:val="0"/>
                <w:szCs w:val="21"/>
              </w:rPr>
            </w:pPr>
            <w:r>
              <w:rPr>
                <w:rFonts w:eastAsia="仿宋_GB2312"/>
                <w:kern w:val="0"/>
                <w:szCs w:val="21"/>
              </w:rPr>
              <w:t>甲醇废液</w:t>
            </w:r>
          </w:p>
        </w:tc>
        <w:tc>
          <w:tcPr>
            <w:tcW w:w="770" w:type="pct"/>
            <w:vAlign w:val="center"/>
          </w:tcPr>
          <w:p w14:paraId="5ACAB7EA">
            <w:pPr>
              <w:widowControl/>
              <w:jc w:val="center"/>
              <w:rPr>
                <w:rFonts w:eastAsia="仿宋_GB2312"/>
                <w:kern w:val="0"/>
                <w:szCs w:val="21"/>
              </w:rPr>
            </w:pPr>
            <w:r>
              <w:rPr>
                <w:rFonts w:eastAsia="仿宋_GB2312"/>
                <w:kern w:val="0"/>
                <w:szCs w:val="21"/>
              </w:rPr>
              <w:t>甲醇</w:t>
            </w:r>
          </w:p>
        </w:tc>
        <w:tc>
          <w:tcPr>
            <w:tcW w:w="1023" w:type="pct"/>
            <w:noWrap/>
            <w:vAlign w:val="center"/>
          </w:tcPr>
          <w:p w14:paraId="2DFE81DF">
            <w:pPr>
              <w:widowControl/>
              <w:jc w:val="center"/>
              <w:rPr>
                <w:rFonts w:hint="default" w:eastAsia="仿宋_GB2312"/>
                <w:kern w:val="0"/>
                <w:szCs w:val="21"/>
                <w:lang w:val="en-US" w:eastAsia="zh-CN"/>
              </w:rPr>
            </w:pPr>
            <w:r>
              <w:rPr>
                <w:rFonts w:eastAsia="仿宋_GB2312"/>
                <w:kern w:val="0"/>
                <w:szCs w:val="21"/>
              </w:rPr>
              <w:t>GB</w:t>
            </w:r>
            <w:r>
              <w:rPr>
                <w:rFonts w:hint="eastAsia" w:eastAsia="仿宋_GB2312"/>
                <w:kern w:val="0"/>
                <w:szCs w:val="21"/>
                <w:lang w:val="en-US" w:eastAsia="zh-CN"/>
              </w:rPr>
              <w:t>/T</w:t>
            </w:r>
            <w:r>
              <w:rPr>
                <w:rFonts w:eastAsia="仿宋_GB2312"/>
                <w:kern w:val="0"/>
                <w:szCs w:val="21"/>
              </w:rPr>
              <w:t xml:space="preserve"> 338-20</w:t>
            </w:r>
            <w:r>
              <w:rPr>
                <w:rFonts w:hint="eastAsia" w:eastAsia="仿宋_GB2312"/>
                <w:kern w:val="0"/>
                <w:szCs w:val="21"/>
                <w:lang w:val="en-US" w:eastAsia="zh-CN"/>
              </w:rPr>
              <w:t>25</w:t>
            </w:r>
          </w:p>
        </w:tc>
        <w:tc>
          <w:tcPr>
            <w:tcW w:w="1051" w:type="pct"/>
            <w:noWrap/>
            <w:vAlign w:val="center"/>
          </w:tcPr>
          <w:p w14:paraId="17C91724">
            <w:pPr>
              <w:widowControl/>
              <w:jc w:val="center"/>
              <w:rPr>
                <w:rFonts w:eastAsia="仿宋_GB2312"/>
                <w:kern w:val="0"/>
                <w:szCs w:val="21"/>
              </w:rPr>
            </w:pPr>
            <w:r>
              <w:rPr>
                <w:rFonts w:eastAsia="仿宋_GB2312"/>
                <w:kern w:val="0"/>
                <w:szCs w:val="21"/>
              </w:rPr>
              <w:t>工业用甲醇</w:t>
            </w:r>
          </w:p>
        </w:tc>
        <w:tc>
          <w:tcPr>
            <w:tcW w:w="771" w:type="pct"/>
            <w:vAlign w:val="center"/>
          </w:tcPr>
          <w:p w14:paraId="18896C5D">
            <w:pPr>
              <w:widowControl/>
              <w:jc w:val="center"/>
              <w:rPr>
                <w:rFonts w:hint="default" w:eastAsia="仿宋_GB2312"/>
                <w:kern w:val="0"/>
                <w:szCs w:val="21"/>
                <w:lang w:val="en-US" w:eastAsia="zh-CN"/>
              </w:rPr>
            </w:pPr>
            <w:r>
              <w:rPr>
                <w:rFonts w:hint="eastAsia" w:eastAsia="仿宋_GB2312"/>
                <w:kern w:val="0"/>
                <w:szCs w:val="21"/>
                <w:lang w:val="en-US" w:eastAsia="zh-CN"/>
              </w:rPr>
              <w:t>II型</w:t>
            </w:r>
          </w:p>
        </w:tc>
      </w:tr>
      <w:tr w14:paraId="382FEC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90" w:type="pct"/>
            <w:noWrap/>
            <w:vAlign w:val="center"/>
          </w:tcPr>
          <w:p w14:paraId="4C8B1FF6">
            <w:pPr>
              <w:widowControl/>
              <w:jc w:val="center"/>
              <w:rPr>
                <w:rFonts w:hint="default" w:eastAsia="仿宋_GB2312"/>
                <w:kern w:val="0"/>
                <w:szCs w:val="21"/>
                <w:lang w:val="en-US" w:eastAsia="zh-CN"/>
              </w:rPr>
            </w:pPr>
            <w:r>
              <w:rPr>
                <w:rFonts w:hint="eastAsia" w:eastAsia="仿宋_GB2312"/>
                <w:kern w:val="0"/>
                <w:szCs w:val="21"/>
                <w:lang w:val="en-US" w:eastAsia="zh-CN"/>
              </w:rPr>
              <w:t>12</w:t>
            </w:r>
          </w:p>
        </w:tc>
        <w:tc>
          <w:tcPr>
            <w:tcW w:w="991" w:type="pct"/>
            <w:vAlign w:val="center"/>
          </w:tcPr>
          <w:p w14:paraId="1055F4AA">
            <w:pPr>
              <w:widowControl/>
              <w:jc w:val="center"/>
              <w:rPr>
                <w:rFonts w:eastAsia="仿宋_GB2312"/>
                <w:kern w:val="0"/>
                <w:szCs w:val="21"/>
              </w:rPr>
            </w:pPr>
            <w:r>
              <w:rPr>
                <w:rFonts w:eastAsia="仿宋_GB2312"/>
                <w:kern w:val="0"/>
                <w:szCs w:val="21"/>
              </w:rPr>
              <w:t>乙腈废液</w:t>
            </w:r>
          </w:p>
        </w:tc>
        <w:tc>
          <w:tcPr>
            <w:tcW w:w="770" w:type="pct"/>
            <w:vAlign w:val="center"/>
          </w:tcPr>
          <w:p w14:paraId="4C97DE7F">
            <w:pPr>
              <w:widowControl/>
              <w:jc w:val="center"/>
              <w:rPr>
                <w:rFonts w:eastAsia="仿宋_GB2312"/>
                <w:kern w:val="0"/>
                <w:szCs w:val="21"/>
              </w:rPr>
            </w:pPr>
            <w:r>
              <w:rPr>
                <w:rFonts w:eastAsia="仿宋_GB2312"/>
                <w:kern w:val="0"/>
                <w:szCs w:val="21"/>
              </w:rPr>
              <w:t>乙腈</w:t>
            </w:r>
          </w:p>
        </w:tc>
        <w:tc>
          <w:tcPr>
            <w:tcW w:w="1023" w:type="pct"/>
            <w:vAlign w:val="center"/>
          </w:tcPr>
          <w:p w14:paraId="793F8593">
            <w:pPr>
              <w:widowControl/>
              <w:jc w:val="center"/>
              <w:rPr>
                <w:rFonts w:eastAsia="仿宋_GB2312"/>
                <w:kern w:val="0"/>
                <w:szCs w:val="21"/>
              </w:rPr>
            </w:pPr>
            <w:r>
              <w:rPr>
                <w:rFonts w:eastAsia="仿宋_GB2312"/>
                <w:kern w:val="0"/>
                <w:szCs w:val="21"/>
              </w:rPr>
              <w:t>SH/T 1627.1-2014</w:t>
            </w:r>
          </w:p>
        </w:tc>
        <w:tc>
          <w:tcPr>
            <w:tcW w:w="1051" w:type="pct"/>
            <w:vAlign w:val="center"/>
          </w:tcPr>
          <w:p w14:paraId="14F457A2">
            <w:pPr>
              <w:widowControl/>
              <w:jc w:val="center"/>
              <w:rPr>
                <w:rFonts w:eastAsia="仿宋_GB2312"/>
                <w:kern w:val="0"/>
                <w:szCs w:val="21"/>
              </w:rPr>
            </w:pPr>
            <w:r>
              <w:rPr>
                <w:rFonts w:eastAsia="仿宋_GB2312"/>
                <w:kern w:val="0"/>
                <w:szCs w:val="21"/>
              </w:rPr>
              <w:t>工业用乙腈 第1部分：规格</w:t>
            </w:r>
          </w:p>
        </w:tc>
        <w:tc>
          <w:tcPr>
            <w:tcW w:w="771" w:type="pct"/>
            <w:vAlign w:val="center"/>
          </w:tcPr>
          <w:p w14:paraId="7CD2A5CF">
            <w:pPr>
              <w:widowControl/>
              <w:jc w:val="center"/>
              <w:rPr>
                <w:rFonts w:eastAsia="仿宋_GB2312"/>
                <w:kern w:val="0"/>
                <w:szCs w:val="21"/>
              </w:rPr>
            </w:pPr>
            <w:r>
              <w:rPr>
                <w:rFonts w:eastAsia="仿宋_GB2312"/>
                <w:kern w:val="0"/>
                <w:szCs w:val="21"/>
              </w:rPr>
              <w:t>合格品</w:t>
            </w:r>
          </w:p>
        </w:tc>
      </w:tr>
      <w:tr w14:paraId="18AC8A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90" w:type="pct"/>
            <w:shd w:val="clear" w:color="auto" w:fill="auto"/>
            <w:noWrap/>
            <w:vAlign w:val="center"/>
          </w:tcPr>
          <w:p w14:paraId="2199CFED">
            <w:pPr>
              <w:widowControl/>
              <w:jc w:val="center"/>
              <w:rPr>
                <w:rFonts w:ascii="Times New Roman" w:hAnsi="Times New Roman" w:eastAsia="仿宋_GB2312" w:cs="Times New Roman"/>
                <w:kern w:val="0"/>
                <w:sz w:val="21"/>
                <w:szCs w:val="21"/>
                <w:lang w:val="en-US" w:eastAsia="zh-CN" w:bidi="ar-SA"/>
              </w:rPr>
            </w:pPr>
            <w:r>
              <w:rPr>
                <w:rFonts w:eastAsia="仿宋_GB2312"/>
                <w:kern w:val="0"/>
                <w:szCs w:val="21"/>
              </w:rPr>
              <w:t>13</w:t>
            </w:r>
          </w:p>
        </w:tc>
        <w:tc>
          <w:tcPr>
            <w:tcW w:w="991" w:type="pct"/>
            <w:vAlign w:val="center"/>
          </w:tcPr>
          <w:p w14:paraId="24CA7298">
            <w:pPr>
              <w:widowControl/>
              <w:jc w:val="center"/>
              <w:rPr>
                <w:rFonts w:eastAsia="仿宋_GB2312"/>
                <w:kern w:val="0"/>
                <w:szCs w:val="21"/>
              </w:rPr>
            </w:pPr>
            <w:r>
              <w:rPr>
                <w:rFonts w:eastAsia="仿宋_GB2312"/>
                <w:kern w:val="0"/>
                <w:szCs w:val="21"/>
              </w:rPr>
              <w:t>二氯乙烷废液</w:t>
            </w:r>
          </w:p>
        </w:tc>
        <w:tc>
          <w:tcPr>
            <w:tcW w:w="770" w:type="pct"/>
            <w:vAlign w:val="center"/>
          </w:tcPr>
          <w:p w14:paraId="059AED3D">
            <w:pPr>
              <w:widowControl/>
              <w:jc w:val="center"/>
              <w:rPr>
                <w:rFonts w:eastAsia="仿宋_GB2312"/>
                <w:kern w:val="0"/>
                <w:szCs w:val="21"/>
              </w:rPr>
            </w:pPr>
            <w:r>
              <w:rPr>
                <w:rFonts w:eastAsia="仿宋_GB2312"/>
                <w:kern w:val="0"/>
                <w:szCs w:val="21"/>
              </w:rPr>
              <w:t>二氯乙烷</w:t>
            </w:r>
          </w:p>
        </w:tc>
        <w:tc>
          <w:tcPr>
            <w:tcW w:w="1023" w:type="pct"/>
            <w:noWrap/>
            <w:vAlign w:val="center"/>
          </w:tcPr>
          <w:p w14:paraId="238C0398">
            <w:pPr>
              <w:widowControl/>
              <w:jc w:val="center"/>
              <w:rPr>
                <w:rFonts w:eastAsia="仿宋_GB2312"/>
                <w:kern w:val="0"/>
                <w:szCs w:val="21"/>
              </w:rPr>
            </w:pPr>
            <w:r>
              <w:rPr>
                <w:rFonts w:eastAsia="仿宋_GB2312"/>
                <w:kern w:val="0"/>
                <w:szCs w:val="21"/>
              </w:rPr>
              <w:t>HG/T 2662-1995</w:t>
            </w:r>
          </w:p>
        </w:tc>
        <w:tc>
          <w:tcPr>
            <w:tcW w:w="1051" w:type="pct"/>
            <w:noWrap/>
            <w:vAlign w:val="center"/>
          </w:tcPr>
          <w:p w14:paraId="4D72AE2B">
            <w:pPr>
              <w:widowControl/>
              <w:jc w:val="center"/>
              <w:rPr>
                <w:rFonts w:eastAsia="仿宋_GB2312"/>
                <w:kern w:val="0"/>
                <w:szCs w:val="21"/>
              </w:rPr>
            </w:pPr>
            <w:r>
              <w:rPr>
                <w:rFonts w:eastAsia="仿宋_GB2312"/>
                <w:kern w:val="0"/>
                <w:szCs w:val="21"/>
              </w:rPr>
              <w:t>工业1,2-二氯乙烷</w:t>
            </w:r>
          </w:p>
        </w:tc>
        <w:tc>
          <w:tcPr>
            <w:tcW w:w="771" w:type="pct"/>
            <w:vAlign w:val="center"/>
          </w:tcPr>
          <w:p w14:paraId="43907A31">
            <w:pPr>
              <w:widowControl/>
              <w:jc w:val="center"/>
              <w:rPr>
                <w:rFonts w:eastAsia="仿宋_GB2312"/>
                <w:kern w:val="0"/>
                <w:szCs w:val="21"/>
              </w:rPr>
            </w:pPr>
            <w:r>
              <w:rPr>
                <w:rFonts w:eastAsia="仿宋_GB2312"/>
                <w:kern w:val="0"/>
                <w:szCs w:val="21"/>
              </w:rPr>
              <w:t>合格品</w:t>
            </w:r>
          </w:p>
        </w:tc>
      </w:tr>
      <w:tr w14:paraId="69FAAD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90" w:type="pct"/>
            <w:shd w:val="clear" w:color="auto" w:fill="auto"/>
            <w:noWrap/>
            <w:vAlign w:val="center"/>
          </w:tcPr>
          <w:p w14:paraId="2E3A3121">
            <w:pPr>
              <w:widowControl/>
              <w:jc w:val="center"/>
              <w:rPr>
                <w:rFonts w:ascii="Times New Roman" w:hAnsi="Times New Roman" w:eastAsia="仿宋_GB2312" w:cs="Times New Roman"/>
                <w:kern w:val="0"/>
                <w:sz w:val="21"/>
                <w:szCs w:val="21"/>
                <w:lang w:val="en-US" w:eastAsia="zh-CN" w:bidi="ar-SA"/>
              </w:rPr>
            </w:pPr>
            <w:r>
              <w:rPr>
                <w:rFonts w:eastAsia="仿宋_GB2312"/>
                <w:kern w:val="0"/>
                <w:szCs w:val="21"/>
              </w:rPr>
              <w:t>14</w:t>
            </w:r>
          </w:p>
        </w:tc>
        <w:tc>
          <w:tcPr>
            <w:tcW w:w="991" w:type="pct"/>
            <w:vAlign w:val="center"/>
          </w:tcPr>
          <w:p w14:paraId="097B8F3D">
            <w:pPr>
              <w:widowControl/>
              <w:jc w:val="center"/>
              <w:rPr>
                <w:rFonts w:eastAsia="仿宋_GB2312"/>
                <w:kern w:val="0"/>
                <w:szCs w:val="21"/>
              </w:rPr>
            </w:pPr>
            <w:r>
              <w:rPr>
                <w:rFonts w:eastAsia="仿宋_GB2312"/>
                <w:kern w:val="0"/>
                <w:szCs w:val="21"/>
              </w:rPr>
              <w:t>DMF废液</w:t>
            </w:r>
          </w:p>
        </w:tc>
        <w:tc>
          <w:tcPr>
            <w:tcW w:w="770" w:type="pct"/>
            <w:vAlign w:val="center"/>
          </w:tcPr>
          <w:p w14:paraId="6432DF3D">
            <w:pPr>
              <w:widowControl/>
              <w:jc w:val="center"/>
              <w:rPr>
                <w:rFonts w:eastAsia="仿宋_GB2312"/>
                <w:kern w:val="0"/>
                <w:szCs w:val="21"/>
              </w:rPr>
            </w:pPr>
            <w:r>
              <w:rPr>
                <w:rFonts w:eastAsia="仿宋_GB2312"/>
                <w:kern w:val="0"/>
                <w:szCs w:val="21"/>
              </w:rPr>
              <w:t>DMF</w:t>
            </w:r>
          </w:p>
        </w:tc>
        <w:tc>
          <w:tcPr>
            <w:tcW w:w="1023" w:type="pct"/>
            <w:noWrap/>
            <w:vAlign w:val="center"/>
          </w:tcPr>
          <w:p w14:paraId="0EAB1D53">
            <w:pPr>
              <w:widowControl/>
              <w:jc w:val="center"/>
              <w:rPr>
                <w:rFonts w:eastAsia="仿宋_GB2312"/>
                <w:kern w:val="0"/>
                <w:szCs w:val="21"/>
              </w:rPr>
            </w:pPr>
            <w:r>
              <w:rPr>
                <w:rFonts w:eastAsia="仿宋_GB2312"/>
                <w:kern w:val="0"/>
                <w:szCs w:val="21"/>
              </w:rPr>
              <w:t>HG/T 2028-2009</w:t>
            </w:r>
          </w:p>
        </w:tc>
        <w:tc>
          <w:tcPr>
            <w:tcW w:w="1051" w:type="pct"/>
            <w:noWrap/>
            <w:vAlign w:val="center"/>
          </w:tcPr>
          <w:p w14:paraId="5590BDC9">
            <w:pPr>
              <w:widowControl/>
              <w:jc w:val="center"/>
              <w:rPr>
                <w:rFonts w:eastAsia="仿宋_GB2312"/>
                <w:kern w:val="0"/>
                <w:szCs w:val="21"/>
              </w:rPr>
            </w:pPr>
            <w:r>
              <w:rPr>
                <w:rFonts w:eastAsia="仿宋_GB2312"/>
                <w:kern w:val="0"/>
                <w:szCs w:val="21"/>
              </w:rPr>
              <w:t>工业用二甲基甲酰胺</w:t>
            </w:r>
          </w:p>
        </w:tc>
        <w:tc>
          <w:tcPr>
            <w:tcW w:w="771" w:type="pct"/>
            <w:vAlign w:val="center"/>
          </w:tcPr>
          <w:p w14:paraId="2CCDB08C">
            <w:pPr>
              <w:widowControl/>
              <w:jc w:val="center"/>
              <w:rPr>
                <w:rFonts w:eastAsia="仿宋_GB2312"/>
                <w:kern w:val="0"/>
                <w:szCs w:val="21"/>
              </w:rPr>
            </w:pPr>
            <w:r>
              <w:rPr>
                <w:rFonts w:eastAsia="仿宋_GB2312"/>
                <w:kern w:val="0"/>
                <w:szCs w:val="21"/>
              </w:rPr>
              <w:t>合格品</w:t>
            </w:r>
          </w:p>
        </w:tc>
      </w:tr>
      <w:tr w14:paraId="2C8B20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90" w:type="pct"/>
            <w:shd w:val="clear" w:color="auto" w:fill="auto"/>
            <w:noWrap/>
            <w:vAlign w:val="center"/>
          </w:tcPr>
          <w:p w14:paraId="50D5212D">
            <w:pPr>
              <w:widowControl/>
              <w:jc w:val="center"/>
              <w:rPr>
                <w:rFonts w:ascii="Times New Roman" w:hAnsi="Times New Roman" w:eastAsia="仿宋_GB2312" w:cs="Times New Roman"/>
                <w:kern w:val="0"/>
                <w:sz w:val="21"/>
                <w:szCs w:val="21"/>
                <w:lang w:val="en-US" w:eastAsia="zh-CN" w:bidi="ar-SA"/>
              </w:rPr>
            </w:pPr>
            <w:r>
              <w:rPr>
                <w:rFonts w:eastAsia="仿宋_GB2312"/>
                <w:kern w:val="0"/>
                <w:szCs w:val="21"/>
              </w:rPr>
              <w:t>15</w:t>
            </w:r>
          </w:p>
        </w:tc>
        <w:tc>
          <w:tcPr>
            <w:tcW w:w="991" w:type="pct"/>
            <w:vAlign w:val="center"/>
          </w:tcPr>
          <w:p w14:paraId="1B66ACA4">
            <w:pPr>
              <w:widowControl/>
              <w:jc w:val="center"/>
              <w:rPr>
                <w:rFonts w:eastAsia="仿宋_GB2312"/>
                <w:kern w:val="0"/>
                <w:szCs w:val="21"/>
              </w:rPr>
            </w:pPr>
            <w:r>
              <w:rPr>
                <w:rFonts w:eastAsia="仿宋_GB2312"/>
                <w:kern w:val="0"/>
                <w:szCs w:val="21"/>
              </w:rPr>
              <w:t>二甲基亚砜废液</w:t>
            </w:r>
          </w:p>
        </w:tc>
        <w:tc>
          <w:tcPr>
            <w:tcW w:w="770" w:type="pct"/>
            <w:vAlign w:val="center"/>
          </w:tcPr>
          <w:p w14:paraId="4CF9DBA1">
            <w:pPr>
              <w:widowControl/>
              <w:jc w:val="center"/>
              <w:rPr>
                <w:rFonts w:eastAsia="仿宋_GB2312"/>
                <w:kern w:val="0"/>
                <w:szCs w:val="21"/>
              </w:rPr>
            </w:pPr>
            <w:r>
              <w:rPr>
                <w:rFonts w:eastAsia="仿宋_GB2312"/>
                <w:kern w:val="0"/>
                <w:szCs w:val="21"/>
              </w:rPr>
              <w:t>二甲基亚砜</w:t>
            </w:r>
          </w:p>
        </w:tc>
        <w:tc>
          <w:tcPr>
            <w:tcW w:w="1023" w:type="pct"/>
            <w:noWrap/>
            <w:vAlign w:val="center"/>
          </w:tcPr>
          <w:p w14:paraId="286B9757">
            <w:pPr>
              <w:widowControl/>
              <w:jc w:val="center"/>
              <w:rPr>
                <w:rFonts w:hint="default" w:eastAsia="仿宋_GB2312"/>
                <w:kern w:val="0"/>
                <w:szCs w:val="21"/>
                <w:lang w:val="en-US" w:eastAsia="zh-CN"/>
              </w:rPr>
            </w:pPr>
            <w:r>
              <w:rPr>
                <w:rFonts w:eastAsia="仿宋_GB2312"/>
                <w:kern w:val="0"/>
                <w:szCs w:val="21"/>
              </w:rPr>
              <w:t>GB/T 21395-20</w:t>
            </w:r>
            <w:r>
              <w:rPr>
                <w:rFonts w:hint="eastAsia" w:eastAsia="仿宋_GB2312"/>
                <w:kern w:val="0"/>
                <w:szCs w:val="21"/>
                <w:lang w:val="en-US" w:eastAsia="zh-CN"/>
              </w:rPr>
              <w:t>24</w:t>
            </w:r>
          </w:p>
        </w:tc>
        <w:tc>
          <w:tcPr>
            <w:tcW w:w="1051" w:type="pct"/>
            <w:noWrap/>
            <w:vAlign w:val="center"/>
          </w:tcPr>
          <w:p w14:paraId="4299B501">
            <w:pPr>
              <w:widowControl/>
              <w:jc w:val="center"/>
              <w:rPr>
                <w:rFonts w:eastAsia="仿宋_GB2312"/>
                <w:kern w:val="0"/>
                <w:szCs w:val="21"/>
              </w:rPr>
            </w:pPr>
            <w:r>
              <w:rPr>
                <w:rFonts w:eastAsia="仿宋_GB2312"/>
                <w:kern w:val="0"/>
                <w:szCs w:val="21"/>
              </w:rPr>
              <w:t>二甲基亚砜</w:t>
            </w:r>
          </w:p>
        </w:tc>
        <w:tc>
          <w:tcPr>
            <w:tcW w:w="771" w:type="pct"/>
            <w:vAlign w:val="center"/>
          </w:tcPr>
          <w:p w14:paraId="1DC1BD62">
            <w:pPr>
              <w:widowControl/>
              <w:jc w:val="center"/>
              <w:rPr>
                <w:rFonts w:eastAsia="仿宋_GB2312"/>
                <w:kern w:val="0"/>
                <w:szCs w:val="21"/>
              </w:rPr>
            </w:pPr>
            <w:r>
              <w:rPr>
                <w:rFonts w:eastAsia="仿宋_GB2312"/>
                <w:kern w:val="0"/>
                <w:szCs w:val="21"/>
              </w:rPr>
              <w:t>一等品</w:t>
            </w:r>
          </w:p>
        </w:tc>
      </w:tr>
      <w:tr w14:paraId="431C35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90" w:type="pct"/>
            <w:shd w:val="clear" w:color="auto" w:fill="auto"/>
            <w:noWrap/>
            <w:vAlign w:val="center"/>
          </w:tcPr>
          <w:p w14:paraId="705D8A47">
            <w:pPr>
              <w:widowControl/>
              <w:jc w:val="center"/>
              <w:rPr>
                <w:rFonts w:ascii="Times New Roman" w:hAnsi="Times New Roman" w:eastAsia="仿宋_GB2312" w:cs="Times New Roman"/>
                <w:kern w:val="0"/>
                <w:sz w:val="21"/>
                <w:szCs w:val="21"/>
                <w:lang w:val="en-US" w:eastAsia="zh-CN" w:bidi="ar-SA"/>
              </w:rPr>
            </w:pPr>
            <w:r>
              <w:rPr>
                <w:rFonts w:eastAsia="仿宋_GB2312"/>
                <w:kern w:val="0"/>
                <w:szCs w:val="21"/>
              </w:rPr>
              <w:t>16</w:t>
            </w:r>
          </w:p>
        </w:tc>
        <w:tc>
          <w:tcPr>
            <w:tcW w:w="991" w:type="pct"/>
            <w:vAlign w:val="center"/>
          </w:tcPr>
          <w:p w14:paraId="4F8EA746">
            <w:pPr>
              <w:widowControl/>
              <w:jc w:val="center"/>
              <w:rPr>
                <w:rFonts w:eastAsia="仿宋_GB2312"/>
                <w:kern w:val="0"/>
                <w:szCs w:val="21"/>
              </w:rPr>
            </w:pPr>
            <w:r>
              <w:rPr>
                <w:rFonts w:eastAsia="仿宋_GB2312"/>
                <w:kern w:val="0"/>
                <w:szCs w:val="21"/>
              </w:rPr>
              <w:t>环己烷废液</w:t>
            </w:r>
          </w:p>
        </w:tc>
        <w:tc>
          <w:tcPr>
            <w:tcW w:w="770" w:type="pct"/>
            <w:vAlign w:val="center"/>
          </w:tcPr>
          <w:p w14:paraId="2EB40E69">
            <w:pPr>
              <w:widowControl/>
              <w:jc w:val="center"/>
              <w:rPr>
                <w:rFonts w:eastAsia="仿宋_GB2312"/>
                <w:kern w:val="0"/>
                <w:szCs w:val="21"/>
              </w:rPr>
            </w:pPr>
            <w:r>
              <w:rPr>
                <w:rFonts w:eastAsia="仿宋_GB2312"/>
                <w:kern w:val="0"/>
                <w:szCs w:val="21"/>
              </w:rPr>
              <w:t>环己烷</w:t>
            </w:r>
          </w:p>
        </w:tc>
        <w:tc>
          <w:tcPr>
            <w:tcW w:w="1023" w:type="pct"/>
            <w:noWrap/>
            <w:vAlign w:val="center"/>
          </w:tcPr>
          <w:p w14:paraId="4C998DC9">
            <w:pPr>
              <w:widowControl/>
              <w:jc w:val="center"/>
              <w:rPr>
                <w:rFonts w:hint="default" w:eastAsia="仿宋_GB2312"/>
                <w:kern w:val="0"/>
                <w:szCs w:val="21"/>
                <w:lang w:val="en-US" w:eastAsia="zh-CN"/>
              </w:rPr>
            </w:pPr>
            <w:r>
              <w:rPr>
                <w:rFonts w:eastAsia="仿宋_GB2312"/>
                <w:kern w:val="0"/>
                <w:szCs w:val="21"/>
              </w:rPr>
              <w:t>SH/T 1673-</w:t>
            </w:r>
            <w:r>
              <w:rPr>
                <w:rFonts w:hint="eastAsia" w:eastAsia="仿宋_GB2312"/>
                <w:kern w:val="0"/>
                <w:szCs w:val="21"/>
                <w:lang w:val="en-US" w:eastAsia="zh-CN"/>
              </w:rPr>
              <w:t>2023</w:t>
            </w:r>
          </w:p>
        </w:tc>
        <w:tc>
          <w:tcPr>
            <w:tcW w:w="1051" w:type="pct"/>
            <w:noWrap/>
            <w:vAlign w:val="center"/>
          </w:tcPr>
          <w:p w14:paraId="39E14856">
            <w:pPr>
              <w:widowControl/>
              <w:jc w:val="center"/>
              <w:rPr>
                <w:rFonts w:eastAsia="仿宋_GB2312"/>
                <w:kern w:val="0"/>
                <w:szCs w:val="21"/>
              </w:rPr>
            </w:pPr>
            <w:r>
              <w:rPr>
                <w:rFonts w:eastAsia="仿宋_GB2312"/>
                <w:kern w:val="0"/>
                <w:szCs w:val="21"/>
              </w:rPr>
              <w:t>工业用环己烷</w:t>
            </w:r>
          </w:p>
        </w:tc>
        <w:tc>
          <w:tcPr>
            <w:tcW w:w="771" w:type="pct"/>
            <w:vAlign w:val="center"/>
          </w:tcPr>
          <w:p w14:paraId="12A0EFCD">
            <w:pPr>
              <w:widowControl/>
              <w:jc w:val="center"/>
              <w:rPr>
                <w:rFonts w:hint="default" w:eastAsia="仿宋_GB2312"/>
                <w:kern w:val="0"/>
                <w:szCs w:val="21"/>
                <w:lang w:val="en-US" w:eastAsia="zh-CN"/>
              </w:rPr>
            </w:pPr>
            <w:r>
              <w:rPr>
                <w:rFonts w:hint="eastAsia" w:eastAsia="仿宋_GB2312"/>
                <w:kern w:val="0"/>
                <w:szCs w:val="21"/>
                <w:lang w:val="en-US" w:eastAsia="zh-CN"/>
              </w:rPr>
              <w:t>II型</w:t>
            </w:r>
          </w:p>
        </w:tc>
      </w:tr>
      <w:tr w14:paraId="1FFC55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90" w:type="pct"/>
            <w:shd w:val="clear" w:color="auto" w:fill="auto"/>
            <w:noWrap/>
            <w:vAlign w:val="center"/>
          </w:tcPr>
          <w:p w14:paraId="2C4911BA">
            <w:pPr>
              <w:widowControl/>
              <w:jc w:val="center"/>
              <w:rPr>
                <w:rFonts w:ascii="Times New Roman" w:hAnsi="Times New Roman" w:eastAsia="仿宋_GB2312" w:cs="Times New Roman"/>
                <w:kern w:val="0"/>
                <w:sz w:val="21"/>
                <w:szCs w:val="21"/>
                <w:lang w:val="en-US" w:eastAsia="zh-CN" w:bidi="ar-SA"/>
              </w:rPr>
            </w:pPr>
            <w:r>
              <w:rPr>
                <w:rFonts w:eastAsia="仿宋_GB2312"/>
                <w:kern w:val="0"/>
                <w:szCs w:val="21"/>
              </w:rPr>
              <w:t>17</w:t>
            </w:r>
          </w:p>
        </w:tc>
        <w:tc>
          <w:tcPr>
            <w:tcW w:w="991" w:type="pct"/>
            <w:vAlign w:val="center"/>
          </w:tcPr>
          <w:p w14:paraId="0A39EA02">
            <w:pPr>
              <w:widowControl/>
              <w:jc w:val="center"/>
              <w:rPr>
                <w:rFonts w:eastAsia="仿宋_GB2312"/>
                <w:kern w:val="0"/>
                <w:szCs w:val="21"/>
              </w:rPr>
            </w:pPr>
            <w:r>
              <w:rPr>
                <w:rFonts w:eastAsia="仿宋_GB2312"/>
                <w:kern w:val="0"/>
                <w:szCs w:val="21"/>
              </w:rPr>
              <w:t>环已酮废液</w:t>
            </w:r>
          </w:p>
        </w:tc>
        <w:tc>
          <w:tcPr>
            <w:tcW w:w="770" w:type="pct"/>
            <w:vAlign w:val="center"/>
          </w:tcPr>
          <w:p w14:paraId="6AD3159B">
            <w:pPr>
              <w:widowControl/>
              <w:jc w:val="center"/>
              <w:rPr>
                <w:rFonts w:eastAsia="仿宋_GB2312"/>
                <w:kern w:val="0"/>
                <w:szCs w:val="21"/>
              </w:rPr>
            </w:pPr>
            <w:r>
              <w:rPr>
                <w:rFonts w:eastAsia="仿宋_GB2312"/>
                <w:kern w:val="0"/>
                <w:szCs w:val="21"/>
              </w:rPr>
              <w:t>环已酮</w:t>
            </w:r>
          </w:p>
        </w:tc>
        <w:tc>
          <w:tcPr>
            <w:tcW w:w="1023" w:type="pct"/>
            <w:noWrap/>
            <w:vAlign w:val="center"/>
          </w:tcPr>
          <w:p w14:paraId="3EF0D511">
            <w:pPr>
              <w:widowControl/>
              <w:jc w:val="center"/>
              <w:rPr>
                <w:rFonts w:eastAsia="仿宋_GB2312"/>
                <w:kern w:val="0"/>
                <w:szCs w:val="21"/>
              </w:rPr>
            </w:pPr>
            <w:r>
              <w:rPr>
                <w:rFonts w:eastAsia="仿宋_GB2312"/>
                <w:kern w:val="0"/>
                <w:szCs w:val="21"/>
              </w:rPr>
              <w:t>GB/T 10669-2001</w:t>
            </w:r>
          </w:p>
        </w:tc>
        <w:tc>
          <w:tcPr>
            <w:tcW w:w="1051" w:type="pct"/>
            <w:noWrap/>
            <w:vAlign w:val="center"/>
          </w:tcPr>
          <w:p w14:paraId="382ACD76">
            <w:pPr>
              <w:widowControl/>
              <w:jc w:val="center"/>
              <w:rPr>
                <w:rFonts w:eastAsia="仿宋_GB2312"/>
                <w:kern w:val="0"/>
                <w:szCs w:val="21"/>
              </w:rPr>
            </w:pPr>
            <w:r>
              <w:rPr>
                <w:rFonts w:eastAsia="仿宋_GB2312"/>
                <w:kern w:val="0"/>
                <w:szCs w:val="21"/>
              </w:rPr>
              <w:t>工业用环己酮</w:t>
            </w:r>
          </w:p>
        </w:tc>
        <w:tc>
          <w:tcPr>
            <w:tcW w:w="771" w:type="pct"/>
            <w:vAlign w:val="center"/>
          </w:tcPr>
          <w:p w14:paraId="5D18EB00">
            <w:pPr>
              <w:widowControl/>
              <w:jc w:val="center"/>
              <w:rPr>
                <w:rFonts w:eastAsia="仿宋_GB2312"/>
                <w:kern w:val="0"/>
                <w:szCs w:val="21"/>
              </w:rPr>
            </w:pPr>
            <w:r>
              <w:rPr>
                <w:rFonts w:eastAsia="仿宋_GB2312"/>
                <w:kern w:val="0"/>
                <w:szCs w:val="21"/>
              </w:rPr>
              <w:t>合格品</w:t>
            </w:r>
          </w:p>
        </w:tc>
      </w:tr>
      <w:tr w14:paraId="412E92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90" w:type="pct"/>
            <w:shd w:val="clear" w:color="auto" w:fill="auto"/>
            <w:noWrap/>
            <w:vAlign w:val="center"/>
          </w:tcPr>
          <w:p w14:paraId="2E6D301E">
            <w:pPr>
              <w:widowControl/>
              <w:jc w:val="center"/>
              <w:rPr>
                <w:rFonts w:ascii="Times New Roman" w:hAnsi="Times New Roman" w:eastAsia="仿宋_GB2312" w:cs="Times New Roman"/>
                <w:kern w:val="0"/>
                <w:sz w:val="21"/>
                <w:szCs w:val="21"/>
                <w:lang w:val="en-US" w:eastAsia="zh-CN" w:bidi="ar-SA"/>
              </w:rPr>
            </w:pPr>
            <w:r>
              <w:rPr>
                <w:rFonts w:eastAsia="仿宋_GB2312"/>
                <w:kern w:val="0"/>
                <w:szCs w:val="21"/>
              </w:rPr>
              <w:t>18</w:t>
            </w:r>
          </w:p>
        </w:tc>
        <w:tc>
          <w:tcPr>
            <w:tcW w:w="991" w:type="pct"/>
            <w:vAlign w:val="center"/>
          </w:tcPr>
          <w:p w14:paraId="2DDBBEB3">
            <w:pPr>
              <w:widowControl/>
              <w:jc w:val="center"/>
              <w:rPr>
                <w:rFonts w:eastAsia="仿宋_GB2312"/>
                <w:kern w:val="0"/>
                <w:szCs w:val="21"/>
              </w:rPr>
            </w:pPr>
            <w:r>
              <w:rPr>
                <w:rFonts w:eastAsia="仿宋_GB2312"/>
                <w:kern w:val="0"/>
                <w:szCs w:val="21"/>
              </w:rPr>
              <w:t>环戊酮废液</w:t>
            </w:r>
          </w:p>
        </w:tc>
        <w:tc>
          <w:tcPr>
            <w:tcW w:w="770" w:type="pct"/>
            <w:vAlign w:val="center"/>
          </w:tcPr>
          <w:p w14:paraId="622F9DA9">
            <w:pPr>
              <w:widowControl/>
              <w:jc w:val="center"/>
              <w:rPr>
                <w:rFonts w:eastAsia="仿宋_GB2312"/>
                <w:kern w:val="0"/>
                <w:szCs w:val="21"/>
              </w:rPr>
            </w:pPr>
            <w:r>
              <w:rPr>
                <w:rFonts w:eastAsia="仿宋_GB2312"/>
                <w:kern w:val="0"/>
                <w:szCs w:val="21"/>
              </w:rPr>
              <w:t>环戊酮</w:t>
            </w:r>
          </w:p>
        </w:tc>
        <w:tc>
          <w:tcPr>
            <w:tcW w:w="1023" w:type="pct"/>
            <w:noWrap/>
            <w:vAlign w:val="center"/>
          </w:tcPr>
          <w:p w14:paraId="57C044EB">
            <w:pPr>
              <w:widowControl/>
              <w:jc w:val="center"/>
              <w:rPr>
                <w:rFonts w:eastAsia="仿宋_GB2312"/>
                <w:kern w:val="0"/>
                <w:szCs w:val="21"/>
              </w:rPr>
            </w:pPr>
            <w:r>
              <w:rPr>
                <w:rFonts w:eastAsia="仿宋_GB2312"/>
                <w:kern w:val="0"/>
                <w:szCs w:val="21"/>
              </w:rPr>
              <w:t>T/SDSES 0</w:t>
            </w:r>
            <w:r>
              <w:rPr>
                <w:rFonts w:hint="eastAsia" w:eastAsia="仿宋_GB2312"/>
                <w:kern w:val="0"/>
                <w:szCs w:val="21"/>
                <w:lang w:val="en-US" w:eastAsia="zh-CN"/>
              </w:rPr>
              <w:t>26</w:t>
            </w:r>
            <w:r>
              <w:rPr>
                <w:rFonts w:eastAsia="仿宋_GB2312"/>
                <w:kern w:val="0"/>
                <w:szCs w:val="21"/>
              </w:rPr>
              <w:t>-2023</w:t>
            </w:r>
          </w:p>
        </w:tc>
        <w:tc>
          <w:tcPr>
            <w:tcW w:w="1051" w:type="pct"/>
            <w:noWrap/>
            <w:vAlign w:val="center"/>
          </w:tcPr>
          <w:p w14:paraId="0620D420">
            <w:pPr>
              <w:widowControl/>
              <w:jc w:val="center"/>
              <w:rPr>
                <w:rFonts w:eastAsia="仿宋_GB2312"/>
                <w:kern w:val="0"/>
                <w:szCs w:val="21"/>
              </w:rPr>
            </w:pPr>
            <w:r>
              <w:rPr>
                <w:rFonts w:eastAsia="仿宋_GB2312"/>
                <w:kern w:val="0"/>
                <w:szCs w:val="21"/>
              </w:rPr>
              <w:t>再生环戊酮</w:t>
            </w:r>
          </w:p>
        </w:tc>
        <w:tc>
          <w:tcPr>
            <w:tcW w:w="771" w:type="pct"/>
            <w:vAlign w:val="center"/>
          </w:tcPr>
          <w:p w14:paraId="3476808E">
            <w:pPr>
              <w:widowControl/>
              <w:jc w:val="center"/>
              <w:rPr>
                <w:rFonts w:eastAsia="仿宋_GB2312"/>
                <w:kern w:val="0"/>
                <w:szCs w:val="21"/>
              </w:rPr>
            </w:pPr>
            <w:r>
              <w:rPr>
                <w:rFonts w:eastAsia="仿宋_GB2312"/>
                <w:kern w:val="0"/>
                <w:szCs w:val="21"/>
              </w:rPr>
              <w:t>/</w:t>
            </w:r>
          </w:p>
        </w:tc>
      </w:tr>
      <w:tr w14:paraId="68E4A2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90" w:type="pct"/>
            <w:shd w:val="clear" w:color="auto" w:fill="auto"/>
            <w:noWrap/>
            <w:vAlign w:val="center"/>
          </w:tcPr>
          <w:p w14:paraId="32B79E02">
            <w:pPr>
              <w:widowControl/>
              <w:jc w:val="center"/>
              <w:rPr>
                <w:rFonts w:ascii="Times New Roman" w:hAnsi="Times New Roman" w:eastAsia="仿宋_GB2312" w:cs="Times New Roman"/>
                <w:kern w:val="0"/>
                <w:sz w:val="21"/>
                <w:szCs w:val="21"/>
                <w:lang w:val="en-US" w:eastAsia="zh-CN" w:bidi="ar-SA"/>
              </w:rPr>
            </w:pPr>
            <w:r>
              <w:rPr>
                <w:rFonts w:eastAsia="仿宋_GB2312"/>
                <w:kern w:val="0"/>
                <w:szCs w:val="21"/>
              </w:rPr>
              <w:t>19</w:t>
            </w:r>
          </w:p>
        </w:tc>
        <w:tc>
          <w:tcPr>
            <w:tcW w:w="991" w:type="pct"/>
            <w:vAlign w:val="center"/>
          </w:tcPr>
          <w:p w14:paraId="49357437">
            <w:pPr>
              <w:widowControl/>
              <w:jc w:val="center"/>
              <w:rPr>
                <w:rFonts w:eastAsia="仿宋_GB2312"/>
                <w:kern w:val="0"/>
                <w:szCs w:val="21"/>
              </w:rPr>
            </w:pPr>
            <w:r>
              <w:rPr>
                <w:rFonts w:eastAsia="仿宋_GB2312"/>
                <w:szCs w:val="21"/>
              </w:rPr>
              <w:t>乙酸甲酯</w:t>
            </w:r>
            <w:r>
              <w:rPr>
                <w:rFonts w:eastAsia="仿宋_GB2312"/>
                <w:kern w:val="0"/>
                <w:szCs w:val="21"/>
              </w:rPr>
              <w:t>废液</w:t>
            </w:r>
          </w:p>
        </w:tc>
        <w:tc>
          <w:tcPr>
            <w:tcW w:w="770" w:type="pct"/>
            <w:vAlign w:val="center"/>
          </w:tcPr>
          <w:p w14:paraId="22B83261">
            <w:pPr>
              <w:widowControl/>
              <w:jc w:val="center"/>
              <w:rPr>
                <w:rFonts w:eastAsia="仿宋_GB2312"/>
                <w:kern w:val="0"/>
                <w:szCs w:val="21"/>
              </w:rPr>
            </w:pPr>
            <w:r>
              <w:rPr>
                <w:rFonts w:eastAsia="仿宋_GB2312"/>
                <w:szCs w:val="21"/>
              </w:rPr>
              <w:t>乙酸甲酯</w:t>
            </w:r>
          </w:p>
        </w:tc>
        <w:tc>
          <w:tcPr>
            <w:tcW w:w="1023" w:type="pct"/>
            <w:noWrap/>
            <w:vAlign w:val="center"/>
          </w:tcPr>
          <w:p w14:paraId="0F718942">
            <w:pPr>
              <w:widowControl/>
              <w:jc w:val="center"/>
              <w:rPr>
                <w:rFonts w:eastAsia="仿宋_GB2312"/>
                <w:kern w:val="0"/>
                <w:szCs w:val="21"/>
              </w:rPr>
            </w:pPr>
            <w:r>
              <w:rPr>
                <w:rFonts w:eastAsia="仿宋_GB2312"/>
                <w:kern w:val="0"/>
                <w:szCs w:val="21"/>
              </w:rPr>
              <w:t>HG/T 5626-2019</w:t>
            </w:r>
          </w:p>
        </w:tc>
        <w:tc>
          <w:tcPr>
            <w:tcW w:w="1051" w:type="pct"/>
            <w:noWrap/>
            <w:vAlign w:val="center"/>
          </w:tcPr>
          <w:p w14:paraId="11AB7089">
            <w:pPr>
              <w:widowControl/>
              <w:jc w:val="center"/>
              <w:rPr>
                <w:rFonts w:eastAsia="仿宋_GB2312"/>
                <w:kern w:val="0"/>
                <w:szCs w:val="21"/>
              </w:rPr>
            </w:pPr>
            <w:r>
              <w:rPr>
                <w:rFonts w:eastAsia="仿宋_GB2312"/>
                <w:kern w:val="0"/>
                <w:szCs w:val="21"/>
              </w:rPr>
              <w:t>工业用乙酸甲酯</w:t>
            </w:r>
          </w:p>
        </w:tc>
        <w:tc>
          <w:tcPr>
            <w:tcW w:w="771" w:type="pct"/>
            <w:vAlign w:val="center"/>
          </w:tcPr>
          <w:p w14:paraId="7908FD26">
            <w:pPr>
              <w:widowControl/>
              <w:jc w:val="center"/>
              <w:rPr>
                <w:rFonts w:eastAsia="仿宋_GB2312"/>
                <w:kern w:val="0"/>
                <w:szCs w:val="21"/>
              </w:rPr>
            </w:pPr>
            <w:r>
              <w:rPr>
                <w:rFonts w:eastAsia="仿宋_GB2312"/>
                <w:szCs w:val="21"/>
              </w:rPr>
              <w:t>II型，合格品</w:t>
            </w:r>
          </w:p>
        </w:tc>
      </w:tr>
      <w:tr w14:paraId="36DD08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90" w:type="pct"/>
            <w:shd w:val="clear" w:color="auto" w:fill="auto"/>
            <w:noWrap/>
            <w:vAlign w:val="center"/>
          </w:tcPr>
          <w:p w14:paraId="2640A049">
            <w:pPr>
              <w:widowControl/>
              <w:jc w:val="center"/>
              <w:rPr>
                <w:rFonts w:ascii="Times New Roman" w:hAnsi="Times New Roman" w:eastAsia="仿宋_GB2312" w:cs="Times New Roman"/>
                <w:kern w:val="0"/>
                <w:sz w:val="21"/>
                <w:szCs w:val="21"/>
                <w:lang w:val="en-US" w:eastAsia="zh-CN" w:bidi="ar-SA"/>
              </w:rPr>
            </w:pPr>
            <w:r>
              <w:rPr>
                <w:rFonts w:eastAsia="仿宋_GB2312"/>
                <w:kern w:val="0"/>
                <w:szCs w:val="21"/>
              </w:rPr>
              <w:t>20</w:t>
            </w:r>
          </w:p>
        </w:tc>
        <w:tc>
          <w:tcPr>
            <w:tcW w:w="991" w:type="pct"/>
            <w:vAlign w:val="center"/>
          </w:tcPr>
          <w:p w14:paraId="1851CC2A">
            <w:pPr>
              <w:widowControl/>
              <w:jc w:val="center"/>
              <w:rPr>
                <w:rFonts w:eastAsia="仿宋_GB2312"/>
                <w:szCs w:val="21"/>
              </w:rPr>
            </w:pPr>
            <w:r>
              <w:rPr>
                <w:rFonts w:eastAsia="仿宋_GB2312"/>
                <w:szCs w:val="21"/>
              </w:rPr>
              <w:t>异丙醇</w:t>
            </w:r>
            <w:r>
              <w:rPr>
                <w:rFonts w:eastAsia="仿宋_GB2312"/>
                <w:kern w:val="0"/>
                <w:szCs w:val="21"/>
              </w:rPr>
              <w:t>废液</w:t>
            </w:r>
          </w:p>
        </w:tc>
        <w:tc>
          <w:tcPr>
            <w:tcW w:w="770" w:type="pct"/>
            <w:vAlign w:val="center"/>
          </w:tcPr>
          <w:p w14:paraId="15123137">
            <w:pPr>
              <w:widowControl/>
              <w:jc w:val="center"/>
              <w:rPr>
                <w:rFonts w:eastAsia="仿宋_GB2312"/>
                <w:szCs w:val="21"/>
              </w:rPr>
            </w:pPr>
            <w:r>
              <w:rPr>
                <w:rFonts w:eastAsia="仿宋_GB2312"/>
                <w:szCs w:val="21"/>
              </w:rPr>
              <w:t>异丙醇</w:t>
            </w:r>
          </w:p>
        </w:tc>
        <w:tc>
          <w:tcPr>
            <w:tcW w:w="1023" w:type="pct"/>
            <w:noWrap/>
            <w:vAlign w:val="center"/>
          </w:tcPr>
          <w:p w14:paraId="75F6C92B">
            <w:pPr>
              <w:widowControl/>
              <w:jc w:val="center"/>
              <w:rPr>
                <w:rFonts w:eastAsia="仿宋_GB2312"/>
                <w:kern w:val="0"/>
                <w:szCs w:val="21"/>
              </w:rPr>
            </w:pPr>
            <w:r>
              <w:rPr>
                <w:rFonts w:eastAsia="仿宋_GB2312"/>
                <w:kern w:val="0"/>
                <w:szCs w:val="21"/>
              </w:rPr>
              <w:t>GB/T 7814-2017</w:t>
            </w:r>
          </w:p>
        </w:tc>
        <w:tc>
          <w:tcPr>
            <w:tcW w:w="1051" w:type="pct"/>
            <w:noWrap/>
            <w:vAlign w:val="center"/>
          </w:tcPr>
          <w:p w14:paraId="17906DAF">
            <w:pPr>
              <w:widowControl/>
              <w:jc w:val="center"/>
              <w:rPr>
                <w:rFonts w:eastAsia="仿宋_GB2312"/>
                <w:kern w:val="0"/>
                <w:szCs w:val="21"/>
              </w:rPr>
            </w:pPr>
            <w:r>
              <w:rPr>
                <w:rFonts w:eastAsia="仿宋_GB2312"/>
                <w:kern w:val="0"/>
                <w:szCs w:val="21"/>
              </w:rPr>
              <w:t>工业用异丙醇</w:t>
            </w:r>
          </w:p>
        </w:tc>
        <w:tc>
          <w:tcPr>
            <w:tcW w:w="771" w:type="pct"/>
            <w:vAlign w:val="center"/>
          </w:tcPr>
          <w:p w14:paraId="1ACC9E2E">
            <w:pPr>
              <w:widowControl/>
              <w:jc w:val="center"/>
              <w:rPr>
                <w:rFonts w:eastAsia="仿宋_GB2312"/>
                <w:kern w:val="0"/>
                <w:szCs w:val="21"/>
              </w:rPr>
            </w:pPr>
            <w:r>
              <w:rPr>
                <w:rFonts w:eastAsia="仿宋_GB2312"/>
                <w:szCs w:val="21"/>
              </w:rPr>
              <w:t>II型，合格品</w:t>
            </w:r>
          </w:p>
        </w:tc>
      </w:tr>
      <w:tr w14:paraId="2C2415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90" w:type="pct"/>
            <w:vMerge w:val="restart"/>
            <w:shd w:val="clear" w:color="auto" w:fill="auto"/>
            <w:noWrap/>
            <w:vAlign w:val="center"/>
          </w:tcPr>
          <w:p w14:paraId="6D352046">
            <w:pPr>
              <w:widowControl/>
              <w:jc w:val="center"/>
              <w:rPr>
                <w:rFonts w:eastAsia="仿宋_GB2312"/>
                <w:kern w:val="0"/>
                <w:szCs w:val="21"/>
              </w:rPr>
            </w:pPr>
            <w:r>
              <w:rPr>
                <w:rFonts w:eastAsia="仿宋_GB2312"/>
                <w:kern w:val="0"/>
                <w:szCs w:val="21"/>
              </w:rPr>
              <w:t>2</w:t>
            </w:r>
            <w:r>
              <w:rPr>
                <w:rFonts w:hint="eastAsia" w:eastAsia="仿宋_GB2312"/>
                <w:kern w:val="0"/>
                <w:szCs w:val="21"/>
              </w:rPr>
              <w:t>1</w:t>
            </w:r>
          </w:p>
        </w:tc>
        <w:tc>
          <w:tcPr>
            <w:tcW w:w="991" w:type="pct"/>
            <w:vMerge w:val="restart"/>
            <w:vAlign w:val="center"/>
          </w:tcPr>
          <w:p w14:paraId="6399E325">
            <w:pPr>
              <w:widowControl/>
              <w:jc w:val="center"/>
              <w:rPr>
                <w:rFonts w:eastAsia="仿宋_GB2312"/>
                <w:kern w:val="0"/>
                <w:szCs w:val="21"/>
              </w:rPr>
            </w:pPr>
            <w:r>
              <w:rPr>
                <w:rFonts w:eastAsia="仿宋_GB2312"/>
                <w:kern w:val="0"/>
                <w:szCs w:val="21"/>
              </w:rPr>
              <w:t>丁醇、辛醇轻重组分废液</w:t>
            </w:r>
          </w:p>
        </w:tc>
        <w:tc>
          <w:tcPr>
            <w:tcW w:w="770" w:type="pct"/>
            <w:vAlign w:val="center"/>
          </w:tcPr>
          <w:p w14:paraId="21ABDF21">
            <w:pPr>
              <w:widowControl/>
              <w:jc w:val="center"/>
              <w:rPr>
                <w:rFonts w:eastAsia="仿宋_GB2312"/>
                <w:kern w:val="0"/>
                <w:szCs w:val="21"/>
              </w:rPr>
            </w:pPr>
            <w:r>
              <w:rPr>
                <w:rFonts w:eastAsia="仿宋_GB2312"/>
                <w:kern w:val="0"/>
                <w:szCs w:val="21"/>
              </w:rPr>
              <w:t>丁醇</w:t>
            </w:r>
          </w:p>
        </w:tc>
        <w:tc>
          <w:tcPr>
            <w:tcW w:w="1023" w:type="pct"/>
            <w:noWrap/>
            <w:vAlign w:val="center"/>
          </w:tcPr>
          <w:p w14:paraId="599BC2EA">
            <w:pPr>
              <w:widowControl/>
              <w:jc w:val="center"/>
              <w:rPr>
                <w:rFonts w:hint="default" w:eastAsia="仿宋_GB2312"/>
                <w:kern w:val="0"/>
                <w:szCs w:val="21"/>
                <w:lang w:val="en-US" w:eastAsia="zh-CN"/>
              </w:rPr>
            </w:pPr>
            <w:r>
              <w:rPr>
                <w:rFonts w:eastAsia="仿宋_GB2312"/>
                <w:kern w:val="0"/>
                <w:szCs w:val="21"/>
              </w:rPr>
              <w:t>GB/T 6027-</w:t>
            </w:r>
            <w:r>
              <w:rPr>
                <w:rFonts w:hint="eastAsia" w:eastAsia="仿宋_GB2312"/>
                <w:kern w:val="0"/>
                <w:szCs w:val="21"/>
                <w:lang w:val="en-US" w:eastAsia="zh-CN"/>
              </w:rPr>
              <w:t>2023</w:t>
            </w:r>
          </w:p>
        </w:tc>
        <w:tc>
          <w:tcPr>
            <w:tcW w:w="1051" w:type="pct"/>
            <w:noWrap/>
            <w:vAlign w:val="center"/>
          </w:tcPr>
          <w:p w14:paraId="47916140">
            <w:pPr>
              <w:widowControl/>
              <w:jc w:val="center"/>
              <w:rPr>
                <w:rFonts w:eastAsia="仿宋_GB2312"/>
                <w:kern w:val="0"/>
                <w:szCs w:val="21"/>
              </w:rPr>
            </w:pPr>
            <w:r>
              <w:rPr>
                <w:rFonts w:eastAsia="仿宋_GB2312"/>
                <w:kern w:val="0"/>
                <w:szCs w:val="21"/>
              </w:rPr>
              <w:t>工业正丁醇</w:t>
            </w:r>
          </w:p>
        </w:tc>
        <w:tc>
          <w:tcPr>
            <w:tcW w:w="771" w:type="pct"/>
            <w:vAlign w:val="center"/>
          </w:tcPr>
          <w:p w14:paraId="2F4CB0B6">
            <w:pPr>
              <w:widowControl/>
              <w:jc w:val="center"/>
              <w:rPr>
                <w:rFonts w:hint="default" w:eastAsia="仿宋_GB2312"/>
                <w:kern w:val="0"/>
                <w:szCs w:val="21"/>
                <w:lang w:val="en-US" w:eastAsia="zh-CN"/>
              </w:rPr>
            </w:pPr>
            <w:r>
              <w:rPr>
                <w:rFonts w:hint="eastAsia" w:eastAsia="仿宋_GB2312"/>
                <w:kern w:val="0"/>
                <w:szCs w:val="21"/>
                <w:lang w:val="en-US" w:eastAsia="zh-CN"/>
              </w:rPr>
              <w:t>II型</w:t>
            </w:r>
          </w:p>
        </w:tc>
      </w:tr>
      <w:tr w14:paraId="6707BE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90" w:type="pct"/>
            <w:vMerge w:val="continue"/>
            <w:shd w:val="clear" w:color="auto" w:fill="auto"/>
            <w:noWrap/>
            <w:vAlign w:val="center"/>
          </w:tcPr>
          <w:p w14:paraId="7F59B21A">
            <w:pPr>
              <w:widowControl/>
              <w:jc w:val="center"/>
              <w:rPr>
                <w:rFonts w:ascii="Times New Roman" w:hAnsi="Times New Roman" w:eastAsia="仿宋_GB2312" w:cs="Times New Roman"/>
                <w:kern w:val="0"/>
                <w:sz w:val="21"/>
                <w:szCs w:val="21"/>
                <w:lang w:val="en-US" w:eastAsia="zh-CN" w:bidi="ar-SA"/>
              </w:rPr>
            </w:pPr>
          </w:p>
        </w:tc>
        <w:tc>
          <w:tcPr>
            <w:tcW w:w="991" w:type="pct"/>
            <w:vMerge w:val="continue"/>
            <w:vAlign w:val="center"/>
          </w:tcPr>
          <w:p w14:paraId="2F129126">
            <w:pPr>
              <w:widowControl/>
              <w:jc w:val="center"/>
              <w:rPr>
                <w:rFonts w:eastAsia="仿宋_GB2312"/>
                <w:kern w:val="0"/>
                <w:szCs w:val="21"/>
              </w:rPr>
            </w:pPr>
          </w:p>
        </w:tc>
        <w:tc>
          <w:tcPr>
            <w:tcW w:w="770" w:type="pct"/>
            <w:vAlign w:val="center"/>
          </w:tcPr>
          <w:p w14:paraId="76572276">
            <w:pPr>
              <w:widowControl/>
              <w:jc w:val="center"/>
              <w:rPr>
                <w:rFonts w:eastAsia="仿宋_GB2312"/>
                <w:kern w:val="0"/>
                <w:szCs w:val="21"/>
              </w:rPr>
            </w:pPr>
            <w:r>
              <w:rPr>
                <w:rFonts w:eastAsia="仿宋_GB2312"/>
                <w:kern w:val="0"/>
                <w:szCs w:val="21"/>
              </w:rPr>
              <w:t>辛醇</w:t>
            </w:r>
          </w:p>
        </w:tc>
        <w:tc>
          <w:tcPr>
            <w:tcW w:w="1023" w:type="pct"/>
            <w:noWrap/>
            <w:vAlign w:val="center"/>
          </w:tcPr>
          <w:p w14:paraId="07D209E6">
            <w:pPr>
              <w:widowControl/>
              <w:jc w:val="center"/>
              <w:rPr>
                <w:rFonts w:eastAsia="仿宋_GB2312"/>
                <w:kern w:val="0"/>
                <w:szCs w:val="21"/>
              </w:rPr>
            </w:pPr>
            <w:r>
              <w:rPr>
                <w:rFonts w:eastAsia="仿宋_GB2312"/>
                <w:kern w:val="0"/>
                <w:szCs w:val="21"/>
              </w:rPr>
              <w:t>GB/T 6818-2019</w:t>
            </w:r>
          </w:p>
        </w:tc>
        <w:tc>
          <w:tcPr>
            <w:tcW w:w="1051" w:type="pct"/>
            <w:noWrap/>
            <w:vAlign w:val="center"/>
          </w:tcPr>
          <w:p w14:paraId="1FD267F1">
            <w:pPr>
              <w:widowControl/>
              <w:jc w:val="center"/>
              <w:rPr>
                <w:rFonts w:eastAsia="仿宋_GB2312"/>
                <w:kern w:val="0"/>
                <w:szCs w:val="21"/>
              </w:rPr>
            </w:pPr>
            <w:r>
              <w:rPr>
                <w:rFonts w:eastAsia="仿宋_GB2312"/>
                <w:kern w:val="0"/>
                <w:szCs w:val="21"/>
              </w:rPr>
              <w:t>工业用辛醇（2-乙基己醇）</w:t>
            </w:r>
          </w:p>
        </w:tc>
        <w:tc>
          <w:tcPr>
            <w:tcW w:w="771" w:type="pct"/>
            <w:vAlign w:val="center"/>
          </w:tcPr>
          <w:p w14:paraId="65EA428B">
            <w:pPr>
              <w:widowControl/>
              <w:jc w:val="center"/>
              <w:rPr>
                <w:rFonts w:eastAsia="仿宋_GB2312"/>
                <w:kern w:val="0"/>
                <w:szCs w:val="21"/>
              </w:rPr>
            </w:pPr>
            <w:r>
              <w:rPr>
                <w:rFonts w:eastAsia="仿宋_GB2312"/>
                <w:szCs w:val="21"/>
              </w:rPr>
              <w:t>III型</w:t>
            </w:r>
          </w:p>
        </w:tc>
      </w:tr>
      <w:tr w14:paraId="1647EF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90" w:type="pct"/>
            <w:vMerge w:val="restart"/>
            <w:noWrap/>
            <w:vAlign w:val="center"/>
          </w:tcPr>
          <w:p w14:paraId="2F35D5DC">
            <w:pPr>
              <w:widowControl/>
              <w:jc w:val="center"/>
              <w:rPr>
                <w:rFonts w:hint="eastAsia" w:eastAsia="仿宋_GB2312"/>
                <w:kern w:val="0"/>
                <w:szCs w:val="21"/>
                <w:lang w:eastAsia="zh-CN"/>
              </w:rPr>
            </w:pPr>
            <w:r>
              <w:rPr>
                <w:rFonts w:eastAsia="仿宋_GB2312"/>
                <w:kern w:val="0"/>
                <w:szCs w:val="21"/>
              </w:rPr>
              <w:t>2</w:t>
            </w:r>
            <w:r>
              <w:rPr>
                <w:rFonts w:hint="eastAsia" w:eastAsia="仿宋_GB2312"/>
                <w:kern w:val="0"/>
                <w:szCs w:val="21"/>
                <w:lang w:val="en-US" w:eastAsia="zh-CN"/>
              </w:rPr>
              <w:t>2</w:t>
            </w:r>
          </w:p>
        </w:tc>
        <w:tc>
          <w:tcPr>
            <w:tcW w:w="991" w:type="pct"/>
            <w:vMerge w:val="restart"/>
            <w:vAlign w:val="center"/>
          </w:tcPr>
          <w:p w14:paraId="3F5A2161">
            <w:pPr>
              <w:widowControl/>
              <w:jc w:val="center"/>
              <w:rPr>
                <w:rFonts w:eastAsia="仿宋_GB2312"/>
                <w:kern w:val="0"/>
                <w:szCs w:val="21"/>
              </w:rPr>
            </w:pPr>
            <w:r>
              <w:rPr>
                <w:rFonts w:eastAsia="仿宋_GB2312"/>
                <w:kern w:val="0"/>
                <w:szCs w:val="21"/>
              </w:rPr>
              <w:t>精馏残液</w:t>
            </w:r>
          </w:p>
        </w:tc>
        <w:tc>
          <w:tcPr>
            <w:tcW w:w="770" w:type="pct"/>
            <w:vAlign w:val="center"/>
          </w:tcPr>
          <w:p w14:paraId="7FBF5283">
            <w:pPr>
              <w:widowControl/>
              <w:jc w:val="center"/>
              <w:rPr>
                <w:rFonts w:eastAsia="仿宋_GB2312"/>
                <w:kern w:val="0"/>
                <w:szCs w:val="21"/>
              </w:rPr>
            </w:pPr>
            <w:r>
              <w:rPr>
                <w:rFonts w:eastAsia="仿宋_GB2312"/>
                <w:kern w:val="0"/>
                <w:szCs w:val="21"/>
              </w:rPr>
              <w:t>碳九</w:t>
            </w:r>
          </w:p>
        </w:tc>
        <w:tc>
          <w:tcPr>
            <w:tcW w:w="1023" w:type="pct"/>
            <w:noWrap/>
            <w:vAlign w:val="center"/>
          </w:tcPr>
          <w:p w14:paraId="69CD6858">
            <w:pPr>
              <w:widowControl/>
              <w:jc w:val="center"/>
              <w:rPr>
                <w:rFonts w:eastAsia="仿宋_GB2312"/>
                <w:kern w:val="0"/>
                <w:szCs w:val="21"/>
              </w:rPr>
            </w:pPr>
            <w:r>
              <w:rPr>
                <w:rFonts w:eastAsia="仿宋_GB2312"/>
                <w:kern w:val="0"/>
                <w:szCs w:val="21"/>
              </w:rPr>
              <w:t>SH/T 1825-2019</w:t>
            </w:r>
          </w:p>
        </w:tc>
        <w:tc>
          <w:tcPr>
            <w:tcW w:w="1051" w:type="pct"/>
            <w:noWrap/>
            <w:vAlign w:val="center"/>
          </w:tcPr>
          <w:p w14:paraId="0828E272">
            <w:pPr>
              <w:jc w:val="center"/>
            </w:pPr>
            <w:r>
              <w:rPr>
                <w:rFonts w:eastAsia="仿宋_GB2312"/>
                <w:kern w:val="0"/>
              </w:rPr>
              <w:t>工业用碳九芳烃</w:t>
            </w:r>
          </w:p>
        </w:tc>
        <w:tc>
          <w:tcPr>
            <w:tcW w:w="771" w:type="pct"/>
            <w:vAlign w:val="center"/>
          </w:tcPr>
          <w:p w14:paraId="2383E72A">
            <w:pPr>
              <w:widowControl/>
              <w:jc w:val="center"/>
              <w:rPr>
                <w:rFonts w:eastAsia="仿宋_GB2312"/>
                <w:kern w:val="0"/>
                <w:szCs w:val="21"/>
              </w:rPr>
            </w:pPr>
            <w:r>
              <w:rPr>
                <w:rFonts w:eastAsia="仿宋_GB2312"/>
                <w:szCs w:val="21"/>
              </w:rPr>
              <w:t>III型</w:t>
            </w:r>
          </w:p>
        </w:tc>
      </w:tr>
      <w:tr w14:paraId="7560004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90" w:type="pct"/>
            <w:vMerge w:val="continue"/>
            <w:shd w:val="clear" w:color="auto" w:fill="auto"/>
            <w:noWrap/>
            <w:vAlign w:val="center"/>
          </w:tcPr>
          <w:p w14:paraId="60AD99A8">
            <w:pPr>
              <w:widowControl/>
              <w:jc w:val="center"/>
              <w:rPr>
                <w:rFonts w:ascii="Times New Roman" w:hAnsi="Times New Roman" w:eastAsia="仿宋_GB2312" w:cs="Times New Roman"/>
                <w:kern w:val="0"/>
                <w:sz w:val="21"/>
                <w:szCs w:val="21"/>
                <w:lang w:val="en-US" w:eastAsia="zh-CN" w:bidi="ar-SA"/>
              </w:rPr>
            </w:pPr>
          </w:p>
        </w:tc>
        <w:tc>
          <w:tcPr>
            <w:tcW w:w="991" w:type="pct"/>
            <w:vMerge w:val="continue"/>
            <w:vAlign w:val="center"/>
          </w:tcPr>
          <w:p w14:paraId="7EECA59C">
            <w:pPr>
              <w:widowControl/>
              <w:jc w:val="center"/>
              <w:rPr>
                <w:rFonts w:eastAsia="仿宋_GB2312"/>
                <w:kern w:val="0"/>
                <w:szCs w:val="21"/>
              </w:rPr>
            </w:pPr>
          </w:p>
        </w:tc>
        <w:tc>
          <w:tcPr>
            <w:tcW w:w="770" w:type="pct"/>
            <w:vAlign w:val="center"/>
          </w:tcPr>
          <w:p w14:paraId="579A3ADF">
            <w:pPr>
              <w:widowControl/>
              <w:jc w:val="center"/>
              <w:rPr>
                <w:rFonts w:eastAsia="仿宋_GB2312"/>
                <w:kern w:val="0"/>
                <w:szCs w:val="21"/>
              </w:rPr>
            </w:pPr>
            <w:r>
              <w:rPr>
                <w:rFonts w:eastAsia="仿宋_GB2312"/>
                <w:kern w:val="0"/>
                <w:szCs w:val="21"/>
              </w:rPr>
              <w:t>苯乙烯</w:t>
            </w:r>
          </w:p>
        </w:tc>
        <w:tc>
          <w:tcPr>
            <w:tcW w:w="1023" w:type="pct"/>
            <w:noWrap/>
            <w:vAlign w:val="center"/>
          </w:tcPr>
          <w:p w14:paraId="52D157C0">
            <w:pPr>
              <w:widowControl/>
              <w:jc w:val="center"/>
              <w:rPr>
                <w:rFonts w:eastAsia="仿宋_GB2312"/>
                <w:kern w:val="0"/>
                <w:szCs w:val="21"/>
              </w:rPr>
            </w:pPr>
            <w:r>
              <w:rPr>
                <w:rFonts w:eastAsia="仿宋_GB2312"/>
                <w:kern w:val="0"/>
              </w:rPr>
              <w:t>GB/T 3915-2021</w:t>
            </w:r>
          </w:p>
        </w:tc>
        <w:tc>
          <w:tcPr>
            <w:tcW w:w="1051" w:type="pct"/>
            <w:noWrap/>
            <w:vAlign w:val="center"/>
          </w:tcPr>
          <w:p w14:paraId="44203951">
            <w:pPr>
              <w:widowControl/>
              <w:jc w:val="center"/>
              <w:rPr>
                <w:rFonts w:eastAsia="仿宋_GB2312"/>
                <w:kern w:val="0"/>
                <w:szCs w:val="21"/>
              </w:rPr>
            </w:pPr>
            <w:r>
              <w:rPr>
                <w:rFonts w:eastAsia="仿宋_GB2312"/>
                <w:kern w:val="0"/>
              </w:rPr>
              <w:t>工业用苯乙烯</w:t>
            </w:r>
          </w:p>
        </w:tc>
        <w:tc>
          <w:tcPr>
            <w:tcW w:w="771" w:type="pct"/>
            <w:vAlign w:val="center"/>
          </w:tcPr>
          <w:p w14:paraId="2343A6BA">
            <w:pPr>
              <w:widowControl/>
              <w:jc w:val="center"/>
              <w:rPr>
                <w:rFonts w:eastAsia="仿宋_GB2312"/>
                <w:kern w:val="0"/>
                <w:szCs w:val="21"/>
              </w:rPr>
            </w:pPr>
            <w:r>
              <w:rPr>
                <w:rFonts w:eastAsia="仿宋_GB2312"/>
                <w:kern w:val="0"/>
                <w:szCs w:val="21"/>
              </w:rPr>
              <w:t>工业级</w:t>
            </w:r>
          </w:p>
        </w:tc>
      </w:tr>
      <w:tr w14:paraId="735CF2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90" w:type="pct"/>
            <w:noWrap/>
            <w:vAlign w:val="center"/>
          </w:tcPr>
          <w:p w14:paraId="7EF80519">
            <w:pPr>
              <w:widowControl/>
              <w:jc w:val="center"/>
              <w:rPr>
                <w:rFonts w:hint="default" w:eastAsia="仿宋_GB2312"/>
                <w:kern w:val="0"/>
                <w:szCs w:val="21"/>
                <w:lang w:val="en-US" w:eastAsia="zh-CN"/>
              </w:rPr>
            </w:pPr>
            <w:r>
              <w:rPr>
                <w:rFonts w:hint="eastAsia" w:eastAsia="仿宋_GB2312"/>
                <w:kern w:val="0"/>
                <w:szCs w:val="21"/>
                <w:lang w:val="en-US" w:eastAsia="zh-CN"/>
              </w:rPr>
              <w:t>23</w:t>
            </w:r>
          </w:p>
        </w:tc>
        <w:tc>
          <w:tcPr>
            <w:tcW w:w="991" w:type="pct"/>
            <w:vAlign w:val="center"/>
          </w:tcPr>
          <w:p w14:paraId="0BE897C8">
            <w:pPr>
              <w:widowControl/>
              <w:jc w:val="center"/>
              <w:rPr>
                <w:rFonts w:eastAsia="仿宋_GB2312"/>
                <w:kern w:val="0"/>
                <w:szCs w:val="21"/>
              </w:rPr>
            </w:pPr>
            <w:r>
              <w:rPr>
                <w:rFonts w:eastAsia="仿宋_GB2312"/>
                <w:kern w:val="0"/>
                <w:szCs w:val="21"/>
              </w:rPr>
              <w:t>多元醇废液</w:t>
            </w:r>
          </w:p>
        </w:tc>
        <w:tc>
          <w:tcPr>
            <w:tcW w:w="770" w:type="pct"/>
            <w:vAlign w:val="center"/>
          </w:tcPr>
          <w:p w14:paraId="75138555">
            <w:pPr>
              <w:widowControl/>
              <w:jc w:val="center"/>
              <w:rPr>
                <w:rFonts w:eastAsia="仿宋_GB2312"/>
                <w:kern w:val="0"/>
                <w:szCs w:val="21"/>
              </w:rPr>
            </w:pPr>
            <w:r>
              <w:rPr>
                <w:rFonts w:eastAsia="仿宋_GB2312"/>
                <w:kern w:val="0"/>
              </w:rPr>
              <w:t>二乙二醇</w:t>
            </w:r>
          </w:p>
        </w:tc>
        <w:tc>
          <w:tcPr>
            <w:tcW w:w="1023" w:type="pct"/>
            <w:noWrap/>
            <w:vAlign w:val="center"/>
          </w:tcPr>
          <w:p w14:paraId="08EEF822">
            <w:pPr>
              <w:widowControl/>
              <w:jc w:val="center"/>
              <w:rPr>
                <w:rFonts w:eastAsia="仿宋_GB2312"/>
                <w:kern w:val="0"/>
                <w:szCs w:val="21"/>
              </w:rPr>
            </w:pPr>
            <w:r>
              <w:rPr>
                <w:rFonts w:eastAsia="仿宋_GB2312"/>
                <w:kern w:val="0"/>
              </w:rPr>
              <w:t>SH/T 1056-2022</w:t>
            </w:r>
          </w:p>
        </w:tc>
        <w:tc>
          <w:tcPr>
            <w:tcW w:w="1051" w:type="pct"/>
            <w:noWrap/>
            <w:vAlign w:val="center"/>
          </w:tcPr>
          <w:p w14:paraId="52B1D358">
            <w:pPr>
              <w:widowControl/>
              <w:jc w:val="center"/>
              <w:rPr>
                <w:rFonts w:eastAsia="仿宋_GB2312"/>
                <w:kern w:val="0"/>
                <w:szCs w:val="21"/>
              </w:rPr>
            </w:pPr>
            <w:r>
              <w:rPr>
                <w:rFonts w:eastAsia="仿宋_GB2312"/>
                <w:kern w:val="0"/>
              </w:rPr>
              <w:t>工业用二乙二醇</w:t>
            </w:r>
          </w:p>
        </w:tc>
        <w:tc>
          <w:tcPr>
            <w:tcW w:w="771" w:type="pct"/>
            <w:vAlign w:val="center"/>
          </w:tcPr>
          <w:p w14:paraId="0B05AA25">
            <w:pPr>
              <w:widowControl/>
              <w:jc w:val="center"/>
              <w:rPr>
                <w:rFonts w:eastAsia="仿宋_GB2312"/>
                <w:kern w:val="0"/>
                <w:szCs w:val="21"/>
              </w:rPr>
            </w:pPr>
            <w:r>
              <w:rPr>
                <w:rFonts w:eastAsia="仿宋_GB2312"/>
                <w:kern w:val="0"/>
                <w:szCs w:val="21"/>
              </w:rPr>
              <w:t>II型</w:t>
            </w:r>
          </w:p>
        </w:tc>
      </w:tr>
      <w:tr w14:paraId="3A78BA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90" w:type="pct"/>
            <w:shd w:val="clear" w:color="auto" w:fill="auto"/>
            <w:noWrap/>
            <w:vAlign w:val="center"/>
          </w:tcPr>
          <w:p w14:paraId="4FCB6222">
            <w:pPr>
              <w:widowControl/>
              <w:jc w:val="center"/>
              <w:rPr>
                <w:rFonts w:ascii="Times New Roman" w:hAnsi="Times New Roman" w:eastAsia="仿宋_GB2312" w:cs="Times New Roman"/>
                <w:kern w:val="0"/>
                <w:sz w:val="21"/>
                <w:szCs w:val="21"/>
                <w:lang w:val="en-US" w:eastAsia="zh-CN" w:bidi="ar-SA"/>
              </w:rPr>
            </w:pPr>
            <w:r>
              <w:rPr>
                <w:rFonts w:eastAsia="仿宋_GB2312"/>
                <w:kern w:val="0"/>
                <w:szCs w:val="21"/>
              </w:rPr>
              <w:t>2</w:t>
            </w:r>
            <w:r>
              <w:rPr>
                <w:rFonts w:hint="eastAsia" w:eastAsia="仿宋_GB2312"/>
                <w:kern w:val="0"/>
                <w:szCs w:val="21"/>
              </w:rPr>
              <w:t>4</w:t>
            </w:r>
          </w:p>
        </w:tc>
        <w:tc>
          <w:tcPr>
            <w:tcW w:w="991" w:type="pct"/>
            <w:shd w:val="clear" w:color="auto" w:fill="auto"/>
            <w:vAlign w:val="center"/>
          </w:tcPr>
          <w:p w14:paraId="48808599">
            <w:pPr>
              <w:widowControl/>
              <w:jc w:val="center"/>
              <w:rPr>
                <w:rFonts w:eastAsia="仿宋_GB2312"/>
                <w:kern w:val="0"/>
                <w:szCs w:val="21"/>
              </w:rPr>
            </w:pPr>
            <w:r>
              <w:rPr>
                <w:rFonts w:hint="eastAsia" w:eastAsia="仿宋_GB2312"/>
                <w:kern w:val="0"/>
                <w:szCs w:val="21"/>
              </w:rPr>
              <w:t>己烷废液</w:t>
            </w:r>
          </w:p>
        </w:tc>
        <w:tc>
          <w:tcPr>
            <w:tcW w:w="770" w:type="pct"/>
            <w:shd w:val="clear" w:color="auto" w:fill="auto"/>
            <w:vAlign w:val="center"/>
          </w:tcPr>
          <w:p w14:paraId="059210DB">
            <w:pPr>
              <w:widowControl/>
              <w:jc w:val="center"/>
              <w:rPr>
                <w:rFonts w:eastAsia="仿宋_GB2312"/>
                <w:kern w:val="0"/>
                <w:szCs w:val="21"/>
              </w:rPr>
            </w:pPr>
            <w:r>
              <w:rPr>
                <w:rFonts w:hint="eastAsia" w:eastAsia="仿宋_GB2312"/>
                <w:kern w:val="0"/>
                <w:szCs w:val="21"/>
              </w:rPr>
              <w:t>己烷</w:t>
            </w:r>
          </w:p>
        </w:tc>
        <w:tc>
          <w:tcPr>
            <w:tcW w:w="1023" w:type="pct"/>
            <w:noWrap/>
            <w:vAlign w:val="center"/>
          </w:tcPr>
          <w:p w14:paraId="4F9D65F8">
            <w:pPr>
              <w:widowControl/>
              <w:jc w:val="center"/>
              <w:rPr>
                <w:rFonts w:eastAsia="仿宋_GB2312"/>
                <w:kern w:val="0"/>
                <w:szCs w:val="21"/>
              </w:rPr>
            </w:pPr>
            <w:r>
              <w:rPr>
                <w:rFonts w:hint="eastAsia" w:eastAsia="仿宋_GB2312"/>
                <w:kern w:val="0"/>
                <w:szCs w:val="21"/>
              </w:rPr>
              <w:t>GB/T17602-2018</w:t>
            </w:r>
          </w:p>
        </w:tc>
        <w:tc>
          <w:tcPr>
            <w:tcW w:w="1051" w:type="pct"/>
            <w:noWrap/>
            <w:vAlign w:val="center"/>
          </w:tcPr>
          <w:p w14:paraId="645DAEB6">
            <w:pPr>
              <w:widowControl/>
              <w:jc w:val="center"/>
              <w:rPr>
                <w:rFonts w:eastAsia="仿宋_GB2312"/>
                <w:kern w:val="0"/>
                <w:szCs w:val="21"/>
              </w:rPr>
            </w:pPr>
            <w:r>
              <w:rPr>
                <w:rFonts w:hint="eastAsia" w:eastAsia="仿宋_GB2312"/>
                <w:kern w:val="0"/>
                <w:szCs w:val="21"/>
              </w:rPr>
              <w:t>工业用己烷</w:t>
            </w:r>
          </w:p>
        </w:tc>
        <w:tc>
          <w:tcPr>
            <w:tcW w:w="771" w:type="pct"/>
            <w:vAlign w:val="center"/>
          </w:tcPr>
          <w:p w14:paraId="7904713A">
            <w:pPr>
              <w:widowControl/>
              <w:jc w:val="center"/>
              <w:rPr>
                <w:rFonts w:eastAsia="仿宋_GB2312"/>
                <w:kern w:val="0"/>
                <w:szCs w:val="21"/>
              </w:rPr>
            </w:pPr>
            <w:r>
              <w:rPr>
                <w:rFonts w:hint="eastAsia" w:eastAsia="仿宋_GB2312"/>
                <w:kern w:val="0"/>
                <w:szCs w:val="21"/>
              </w:rPr>
              <w:t>80号</w:t>
            </w:r>
          </w:p>
        </w:tc>
      </w:tr>
      <w:tr w14:paraId="59B8CA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90" w:type="pct"/>
            <w:shd w:val="clear" w:color="auto" w:fill="auto"/>
            <w:noWrap/>
            <w:vAlign w:val="center"/>
          </w:tcPr>
          <w:p w14:paraId="449B7B97">
            <w:pPr>
              <w:widowControl/>
              <w:jc w:val="center"/>
              <w:rPr>
                <w:rFonts w:ascii="Times New Roman" w:hAnsi="Times New Roman" w:eastAsia="仿宋_GB2312" w:cs="Times New Roman"/>
                <w:kern w:val="0"/>
                <w:sz w:val="21"/>
                <w:szCs w:val="21"/>
                <w:lang w:val="en-US" w:eastAsia="zh-CN" w:bidi="ar-SA"/>
              </w:rPr>
            </w:pPr>
            <w:r>
              <w:rPr>
                <w:rFonts w:hint="eastAsia" w:eastAsia="仿宋_GB2312"/>
                <w:kern w:val="0"/>
                <w:szCs w:val="21"/>
              </w:rPr>
              <w:t>25</w:t>
            </w:r>
          </w:p>
        </w:tc>
        <w:tc>
          <w:tcPr>
            <w:tcW w:w="991" w:type="pct"/>
            <w:shd w:val="clear" w:color="auto" w:fill="auto"/>
            <w:vAlign w:val="center"/>
          </w:tcPr>
          <w:p w14:paraId="1BE11AF0">
            <w:pPr>
              <w:widowControl/>
              <w:jc w:val="center"/>
              <w:rPr>
                <w:rFonts w:eastAsia="仿宋_GB2312"/>
                <w:kern w:val="0"/>
                <w:szCs w:val="21"/>
              </w:rPr>
            </w:pPr>
            <w:r>
              <w:rPr>
                <w:rFonts w:eastAsia="仿宋_GB2312"/>
                <w:kern w:val="0"/>
                <w:szCs w:val="21"/>
              </w:rPr>
              <w:t>精馏残液（含异丙苯废液）</w:t>
            </w:r>
          </w:p>
        </w:tc>
        <w:tc>
          <w:tcPr>
            <w:tcW w:w="770" w:type="pct"/>
            <w:shd w:val="clear" w:color="auto" w:fill="auto"/>
            <w:vAlign w:val="center"/>
          </w:tcPr>
          <w:p w14:paraId="25D31CD1">
            <w:pPr>
              <w:widowControl/>
              <w:jc w:val="center"/>
              <w:rPr>
                <w:rFonts w:eastAsia="仿宋_GB2312"/>
                <w:kern w:val="0"/>
                <w:szCs w:val="21"/>
              </w:rPr>
            </w:pPr>
            <w:r>
              <w:rPr>
                <w:rFonts w:hint="eastAsia" w:eastAsia="仿宋_GB2312"/>
                <w:kern w:val="0"/>
                <w:szCs w:val="21"/>
              </w:rPr>
              <w:t>异丙苯</w:t>
            </w:r>
          </w:p>
        </w:tc>
        <w:tc>
          <w:tcPr>
            <w:tcW w:w="1023" w:type="pct"/>
            <w:noWrap/>
            <w:vAlign w:val="center"/>
          </w:tcPr>
          <w:p w14:paraId="2F05372C">
            <w:pPr>
              <w:widowControl/>
              <w:jc w:val="center"/>
              <w:rPr>
                <w:rFonts w:eastAsia="仿宋_GB2312"/>
                <w:kern w:val="0"/>
                <w:szCs w:val="21"/>
              </w:rPr>
            </w:pPr>
            <w:r>
              <w:rPr>
                <w:rFonts w:hint="eastAsia" w:eastAsia="仿宋_GB2312"/>
                <w:kern w:val="0"/>
                <w:szCs w:val="21"/>
              </w:rPr>
              <w:t>SH/T1744-2004</w:t>
            </w:r>
          </w:p>
        </w:tc>
        <w:tc>
          <w:tcPr>
            <w:tcW w:w="1051" w:type="pct"/>
            <w:noWrap/>
            <w:vAlign w:val="center"/>
          </w:tcPr>
          <w:p w14:paraId="76226421">
            <w:pPr>
              <w:widowControl/>
              <w:jc w:val="center"/>
              <w:rPr>
                <w:rFonts w:eastAsia="仿宋_GB2312"/>
                <w:kern w:val="0"/>
                <w:szCs w:val="21"/>
              </w:rPr>
            </w:pPr>
            <w:r>
              <w:rPr>
                <w:rFonts w:hint="eastAsia" w:eastAsia="仿宋_GB2312"/>
                <w:kern w:val="0"/>
                <w:szCs w:val="21"/>
              </w:rPr>
              <w:t>工业用异丙苯</w:t>
            </w:r>
          </w:p>
        </w:tc>
        <w:tc>
          <w:tcPr>
            <w:tcW w:w="771" w:type="pct"/>
            <w:vAlign w:val="center"/>
          </w:tcPr>
          <w:p w14:paraId="20683B54">
            <w:pPr>
              <w:widowControl/>
              <w:jc w:val="center"/>
              <w:rPr>
                <w:rFonts w:eastAsia="仿宋_GB2312"/>
                <w:kern w:val="0"/>
                <w:szCs w:val="21"/>
              </w:rPr>
            </w:pPr>
            <w:r>
              <w:rPr>
                <w:rFonts w:hint="eastAsia" w:eastAsia="仿宋_GB2312"/>
                <w:kern w:val="0"/>
                <w:szCs w:val="21"/>
              </w:rPr>
              <w:t>合格品</w:t>
            </w:r>
          </w:p>
        </w:tc>
      </w:tr>
      <w:tr w14:paraId="6A6272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90" w:type="pct"/>
            <w:shd w:val="clear" w:color="auto" w:fill="auto"/>
            <w:noWrap/>
            <w:vAlign w:val="center"/>
          </w:tcPr>
          <w:p w14:paraId="21389BF2">
            <w:pPr>
              <w:widowControl/>
              <w:jc w:val="center"/>
              <w:rPr>
                <w:rFonts w:ascii="Times New Roman" w:hAnsi="Times New Roman" w:eastAsia="仿宋_GB2312" w:cs="Times New Roman"/>
                <w:kern w:val="0"/>
                <w:sz w:val="21"/>
                <w:szCs w:val="21"/>
                <w:lang w:val="en-US" w:eastAsia="zh-CN" w:bidi="ar-SA"/>
              </w:rPr>
            </w:pPr>
            <w:r>
              <w:rPr>
                <w:rFonts w:hint="eastAsia" w:eastAsia="仿宋_GB2312"/>
                <w:kern w:val="0"/>
                <w:szCs w:val="21"/>
              </w:rPr>
              <w:t>26</w:t>
            </w:r>
          </w:p>
        </w:tc>
        <w:tc>
          <w:tcPr>
            <w:tcW w:w="991" w:type="pct"/>
            <w:shd w:val="clear" w:color="auto" w:fill="auto"/>
            <w:vAlign w:val="center"/>
          </w:tcPr>
          <w:p w14:paraId="13C348F1">
            <w:pPr>
              <w:widowControl/>
              <w:jc w:val="center"/>
              <w:rPr>
                <w:rFonts w:eastAsia="仿宋_GB2312"/>
                <w:kern w:val="0"/>
                <w:szCs w:val="21"/>
              </w:rPr>
            </w:pPr>
            <w:r>
              <w:rPr>
                <w:rFonts w:eastAsia="仿宋_GB2312"/>
                <w:kern w:val="0"/>
                <w:szCs w:val="21"/>
              </w:rPr>
              <w:t>精馏残液（含苯酚废液）</w:t>
            </w:r>
          </w:p>
        </w:tc>
        <w:tc>
          <w:tcPr>
            <w:tcW w:w="770" w:type="pct"/>
            <w:shd w:val="clear" w:color="auto" w:fill="auto"/>
            <w:vAlign w:val="center"/>
          </w:tcPr>
          <w:p w14:paraId="45D1F79A">
            <w:pPr>
              <w:widowControl/>
              <w:jc w:val="center"/>
              <w:rPr>
                <w:rFonts w:eastAsia="仿宋_GB2312"/>
                <w:kern w:val="0"/>
                <w:szCs w:val="21"/>
              </w:rPr>
            </w:pPr>
            <w:r>
              <w:rPr>
                <w:rFonts w:hint="eastAsia" w:eastAsia="仿宋_GB2312"/>
                <w:kern w:val="0"/>
                <w:szCs w:val="21"/>
              </w:rPr>
              <w:t>苯酚</w:t>
            </w:r>
          </w:p>
        </w:tc>
        <w:tc>
          <w:tcPr>
            <w:tcW w:w="1023" w:type="pct"/>
            <w:noWrap/>
            <w:vAlign w:val="center"/>
          </w:tcPr>
          <w:p w14:paraId="2314B5AD">
            <w:pPr>
              <w:widowControl/>
              <w:jc w:val="center"/>
              <w:rPr>
                <w:rFonts w:eastAsia="仿宋_GB2312"/>
                <w:kern w:val="0"/>
                <w:szCs w:val="21"/>
              </w:rPr>
            </w:pPr>
            <w:r>
              <w:rPr>
                <w:rFonts w:hint="eastAsia" w:eastAsia="仿宋_GB2312"/>
                <w:kern w:val="0"/>
                <w:szCs w:val="21"/>
              </w:rPr>
              <w:t>GB/T 339-2019</w:t>
            </w:r>
          </w:p>
        </w:tc>
        <w:tc>
          <w:tcPr>
            <w:tcW w:w="1051" w:type="pct"/>
            <w:noWrap/>
            <w:vAlign w:val="center"/>
          </w:tcPr>
          <w:p w14:paraId="6C8A6272">
            <w:pPr>
              <w:widowControl/>
              <w:jc w:val="center"/>
              <w:rPr>
                <w:rFonts w:eastAsia="仿宋_GB2312"/>
                <w:kern w:val="0"/>
                <w:szCs w:val="21"/>
              </w:rPr>
            </w:pPr>
            <w:r>
              <w:rPr>
                <w:rFonts w:hint="eastAsia" w:eastAsia="仿宋_GB2312"/>
                <w:kern w:val="0"/>
                <w:szCs w:val="21"/>
              </w:rPr>
              <w:t>工业用合成苯酚</w:t>
            </w:r>
          </w:p>
        </w:tc>
        <w:tc>
          <w:tcPr>
            <w:tcW w:w="771" w:type="pct"/>
            <w:vAlign w:val="center"/>
          </w:tcPr>
          <w:p w14:paraId="13EF9CE3">
            <w:pPr>
              <w:widowControl/>
              <w:jc w:val="center"/>
              <w:rPr>
                <w:rFonts w:eastAsia="仿宋_GB2312"/>
                <w:kern w:val="0"/>
                <w:szCs w:val="21"/>
              </w:rPr>
            </w:pPr>
            <w:r>
              <w:rPr>
                <w:rFonts w:hint="eastAsia" w:eastAsia="仿宋_GB2312"/>
                <w:kern w:val="0"/>
                <w:szCs w:val="21"/>
              </w:rPr>
              <w:t>合格品</w:t>
            </w:r>
          </w:p>
        </w:tc>
      </w:tr>
      <w:tr w14:paraId="528134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90" w:type="pct"/>
            <w:shd w:val="clear" w:color="auto" w:fill="auto"/>
            <w:noWrap/>
            <w:vAlign w:val="center"/>
          </w:tcPr>
          <w:p w14:paraId="5DCE8D22">
            <w:pPr>
              <w:widowControl/>
              <w:jc w:val="center"/>
              <w:rPr>
                <w:rFonts w:ascii="Times New Roman" w:hAnsi="Times New Roman" w:eastAsia="仿宋_GB2312" w:cs="Times New Roman"/>
                <w:kern w:val="0"/>
                <w:sz w:val="21"/>
                <w:szCs w:val="21"/>
                <w:lang w:val="en-US" w:eastAsia="zh-CN" w:bidi="ar-SA"/>
              </w:rPr>
            </w:pPr>
            <w:r>
              <w:rPr>
                <w:rFonts w:hint="eastAsia" w:eastAsia="仿宋_GB2312"/>
                <w:kern w:val="0"/>
                <w:szCs w:val="21"/>
              </w:rPr>
              <w:t>27</w:t>
            </w:r>
          </w:p>
        </w:tc>
        <w:tc>
          <w:tcPr>
            <w:tcW w:w="991" w:type="pct"/>
            <w:shd w:val="clear" w:color="auto" w:fill="auto"/>
            <w:vAlign w:val="center"/>
          </w:tcPr>
          <w:p w14:paraId="580930E2">
            <w:pPr>
              <w:widowControl/>
              <w:jc w:val="center"/>
              <w:rPr>
                <w:rFonts w:eastAsia="仿宋_GB2312"/>
                <w:kern w:val="0"/>
                <w:szCs w:val="21"/>
              </w:rPr>
            </w:pPr>
            <w:r>
              <w:rPr>
                <w:rFonts w:eastAsia="仿宋_GB2312"/>
                <w:kern w:val="0"/>
                <w:szCs w:val="21"/>
              </w:rPr>
              <w:t>精馏残液（含乙酸乙烯酯废液）</w:t>
            </w:r>
          </w:p>
        </w:tc>
        <w:tc>
          <w:tcPr>
            <w:tcW w:w="770" w:type="pct"/>
            <w:shd w:val="clear" w:color="auto" w:fill="auto"/>
            <w:vAlign w:val="center"/>
          </w:tcPr>
          <w:p w14:paraId="73A53EA4">
            <w:pPr>
              <w:widowControl/>
              <w:jc w:val="center"/>
              <w:rPr>
                <w:rFonts w:eastAsia="仿宋_GB2312"/>
                <w:kern w:val="0"/>
                <w:szCs w:val="21"/>
              </w:rPr>
            </w:pPr>
            <w:r>
              <w:rPr>
                <w:rFonts w:hint="eastAsia" w:eastAsia="仿宋_GB2312"/>
                <w:kern w:val="0"/>
                <w:szCs w:val="21"/>
              </w:rPr>
              <w:t>乙酸乙烯酯</w:t>
            </w:r>
          </w:p>
        </w:tc>
        <w:tc>
          <w:tcPr>
            <w:tcW w:w="1023" w:type="pct"/>
            <w:noWrap/>
            <w:vAlign w:val="center"/>
          </w:tcPr>
          <w:p w14:paraId="2561130A">
            <w:pPr>
              <w:widowControl/>
              <w:jc w:val="center"/>
              <w:rPr>
                <w:rFonts w:eastAsia="仿宋_GB2312"/>
                <w:kern w:val="0"/>
                <w:szCs w:val="21"/>
              </w:rPr>
            </w:pPr>
            <w:r>
              <w:rPr>
                <w:rFonts w:hint="eastAsia" w:eastAsia="仿宋_GB2312"/>
                <w:kern w:val="0"/>
                <w:szCs w:val="21"/>
              </w:rPr>
              <w:t>SH/T1628.1-2023</w:t>
            </w:r>
          </w:p>
        </w:tc>
        <w:tc>
          <w:tcPr>
            <w:tcW w:w="1051" w:type="pct"/>
            <w:noWrap/>
            <w:vAlign w:val="center"/>
          </w:tcPr>
          <w:p w14:paraId="18242B0C">
            <w:pPr>
              <w:widowControl/>
              <w:jc w:val="center"/>
              <w:rPr>
                <w:rFonts w:eastAsia="仿宋_GB2312"/>
                <w:kern w:val="0"/>
                <w:szCs w:val="21"/>
              </w:rPr>
            </w:pPr>
            <w:r>
              <w:rPr>
                <w:rFonts w:hint="eastAsia" w:eastAsia="仿宋_GB2312"/>
                <w:kern w:val="0"/>
                <w:szCs w:val="21"/>
              </w:rPr>
              <w:t>工业用乙酸乙烯酯</w:t>
            </w:r>
          </w:p>
        </w:tc>
        <w:tc>
          <w:tcPr>
            <w:tcW w:w="771" w:type="pct"/>
            <w:vAlign w:val="center"/>
          </w:tcPr>
          <w:p w14:paraId="3E94189E">
            <w:pPr>
              <w:widowControl/>
              <w:jc w:val="center"/>
              <w:rPr>
                <w:rFonts w:eastAsia="仿宋_GB2312"/>
                <w:kern w:val="0"/>
                <w:szCs w:val="21"/>
              </w:rPr>
            </w:pPr>
            <w:r>
              <w:rPr>
                <w:rFonts w:hint="eastAsia" w:eastAsia="仿宋_GB2312"/>
                <w:kern w:val="0"/>
                <w:szCs w:val="21"/>
              </w:rPr>
              <w:t>II型</w:t>
            </w:r>
          </w:p>
        </w:tc>
      </w:tr>
      <w:tr w14:paraId="6DC4A1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90" w:type="pct"/>
            <w:shd w:val="clear" w:color="auto" w:fill="auto"/>
            <w:noWrap/>
            <w:vAlign w:val="center"/>
          </w:tcPr>
          <w:p w14:paraId="41BA6BF9">
            <w:pPr>
              <w:widowControl/>
              <w:jc w:val="center"/>
              <w:rPr>
                <w:rFonts w:ascii="Times New Roman" w:hAnsi="Times New Roman" w:eastAsia="仿宋_GB2312" w:cs="Times New Roman"/>
                <w:kern w:val="0"/>
                <w:sz w:val="21"/>
                <w:szCs w:val="21"/>
                <w:lang w:val="en-US" w:eastAsia="zh-CN" w:bidi="ar-SA"/>
              </w:rPr>
            </w:pPr>
            <w:r>
              <w:rPr>
                <w:rFonts w:hint="eastAsia" w:eastAsia="仿宋_GB2312"/>
                <w:kern w:val="0"/>
                <w:szCs w:val="21"/>
              </w:rPr>
              <w:t>28</w:t>
            </w:r>
          </w:p>
        </w:tc>
        <w:tc>
          <w:tcPr>
            <w:tcW w:w="991" w:type="pct"/>
            <w:shd w:val="clear" w:color="auto" w:fill="auto"/>
            <w:vAlign w:val="center"/>
          </w:tcPr>
          <w:p w14:paraId="27CD04F4">
            <w:pPr>
              <w:widowControl/>
              <w:jc w:val="center"/>
              <w:rPr>
                <w:rFonts w:eastAsia="仿宋_GB2312"/>
                <w:kern w:val="0"/>
                <w:szCs w:val="21"/>
              </w:rPr>
            </w:pPr>
            <w:r>
              <w:rPr>
                <w:rFonts w:hint="eastAsia" w:eastAsia="仿宋_GB2312"/>
                <w:kern w:val="0"/>
                <w:szCs w:val="21"/>
              </w:rPr>
              <w:t>2-甲基四氢呋喃废液</w:t>
            </w:r>
          </w:p>
        </w:tc>
        <w:tc>
          <w:tcPr>
            <w:tcW w:w="770" w:type="pct"/>
            <w:shd w:val="clear" w:color="auto" w:fill="auto"/>
            <w:vAlign w:val="center"/>
          </w:tcPr>
          <w:p w14:paraId="7F43C1C7">
            <w:pPr>
              <w:widowControl/>
              <w:jc w:val="center"/>
              <w:rPr>
                <w:rFonts w:eastAsia="仿宋_GB2312"/>
                <w:kern w:val="0"/>
                <w:szCs w:val="21"/>
              </w:rPr>
            </w:pPr>
            <w:r>
              <w:rPr>
                <w:rFonts w:hint="eastAsia" w:eastAsia="仿宋_GB2312"/>
                <w:kern w:val="0"/>
                <w:szCs w:val="21"/>
              </w:rPr>
              <w:t>2-甲基四氢呋喃</w:t>
            </w:r>
          </w:p>
        </w:tc>
        <w:tc>
          <w:tcPr>
            <w:tcW w:w="1023" w:type="pct"/>
            <w:noWrap/>
            <w:vAlign w:val="center"/>
          </w:tcPr>
          <w:p w14:paraId="656DF7E3">
            <w:pPr>
              <w:widowControl/>
              <w:jc w:val="center"/>
              <w:rPr>
                <w:rFonts w:eastAsia="仿宋_GB2312"/>
                <w:kern w:val="0"/>
                <w:szCs w:val="21"/>
              </w:rPr>
            </w:pPr>
            <w:r>
              <w:rPr>
                <w:rFonts w:hint="eastAsia" w:eastAsia="仿宋_GB2312"/>
                <w:kern w:val="0"/>
                <w:szCs w:val="21"/>
              </w:rPr>
              <w:t>HG/T5791-2021</w:t>
            </w:r>
          </w:p>
        </w:tc>
        <w:tc>
          <w:tcPr>
            <w:tcW w:w="1051" w:type="pct"/>
            <w:noWrap/>
            <w:vAlign w:val="center"/>
          </w:tcPr>
          <w:p w14:paraId="46CB9E66">
            <w:pPr>
              <w:widowControl/>
              <w:jc w:val="center"/>
              <w:rPr>
                <w:rFonts w:eastAsia="仿宋_GB2312"/>
                <w:kern w:val="0"/>
                <w:szCs w:val="21"/>
              </w:rPr>
            </w:pPr>
            <w:r>
              <w:rPr>
                <w:rFonts w:hint="eastAsia" w:eastAsia="仿宋_GB2312"/>
                <w:kern w:val="0"/>
                <w:szCs w:val="21"/>
              </w:rPr>
              <w:t>工业用2-甲基四氢呋喃</w:t>
            </w:r>
          </w:p>
        </w:tc>
        <w:tc>
          <w:tcPr>
            <w:tcW w:w="771" w:type="pct"/>
            <w:vAlign w:val="center"/>
          </w:tcPr>
          <w:p w14:paraId="0C888E38">
            <w:pPr>
              <w:widowControl/>
              <w:jc w:val="center"/>
              <w:rPr>
                <w:rFonts w:eastAsia="仿宋_GB2312"/>
                <w:kern w:val="0"/>
                <w:szCs w:val="21"/>
              </w:rPr>
            </w:pPr>
            <w:r>
              <w:rPr>
                <w:rFonts w:hint="eastAsia" w:eastAsia="仿宋_GB2312"/>
                <w:kern w:val="0"/>
                <w:szCs w:val="21"/>
              </w:rPr>
              <w:t>合格品</w:t>
            </w:r>
          </w:p>
        </w:tc>
      </w:tr>
      <w:tr w14:paraId="17CADB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90" w:type="pct"/>
            <w:shd w:val="clear" w:color="auto" w:fill="auto"/>
            <w:vAlign w:val="center"/>
          </w:tcPr>
          <w:p w14:paraId="2B7B77EA">
            <w:pPr>
              <w:widowControl/>
              <w:jc w:val="center"/>
              <w:rPr>
                <w:rFonts w:ascii="Times New Roman" w:hAnsi="Times New Roman" w:eastAsia="仿宋_GB2312" w:cs="Times New Roman"/>
                <w:kern w:val="0"/>
                <w:sz w:val="21"/>
                <w:szCs w:val="21"/>
                <w:lang w:val="en-US" w:eastAsia="zh-CN" w:bidi="ar-SA"/>
              </w:rPr>
            </w:pPr>
            <w:r>
              <w:rPr>
                <w:rFonts w:hint="eastAsia" w:eastAsia="仿宋_GB2312"/>
                <w:kern w:val="0"/>
                <w:szCs w:val="21"/>
              </w:rPr>
              <w:t>29</w:t>
            </w:r>
          </w:p>
        </w:tc>
        <w:tc>
          <w:tcPr>
            <w:tcW w:w="991" w:type="pct"/>
            <w:shd w:val="clear" w:color="auto" w:fill="auto"/>
            <w:vAlign w:val="center"/>
          </w:tcPr>
          <w:p w14:paraId="3AB40E78">
            <w:pPr>
              <w:widowControl/>
              <w:jc w:val="center"/>
              <w:rPr>
                <w:rFonts w:eastAsia="仿宋_GB2312"/>
                <w:kern w:val="0"/>
                <w:szCs w:val="21"/>
              </w:rPr>
            </w:pPr>
            <w:r>
              <w:rPr>
                <w:rFonts w:hint="eastAsia" w:eastAsia="仿宋_GB2312"/>
                <w:kern w:val="0"/>
                <w:szCs w:val="21"/>
              </w:rPr>
              <w:t>甲基</w:t>
            </w:r>
            <w:r>
              <w:rPr>
                <w:rFonts w:hint="eastAsia" w:eastAsia="仿宋_GB2312"/>
                <w:kern w:val="0"/>
                <w:szCs w:val="21"/>
                <w:lang w:val="en-US" w:eastAsia="zh-CN"/>
              </w:rPr>
              <w:t>叔</w:t>
            </w:r>
            <w:r>
              <w:rPr>
                <w:rFonts w:hint="eastAsia" w:eastAsia="仿宋_GB2312"/>
                <w:kern w:val="0"/>
                <w:szCs w:val="21"/>
              </w:rPr>
              <w:t>丁基醚废液</w:t>
            </w:r>
          </w:p>
        </w:tc>
        <w:tc>
          <w:tcPr>
            <w:tcW w:w="770" w:type="pct"/>
            <w:shd w:val="clear" w:color="auto" w:fill="auto"/>
            <w:vAlign w:val="center"/>
          </w:tcPr>
          <w:p w14:paraId="289BEFDB">
            <w:pPr>
              <w:widowControl/>
              <w:jc w:val="center"/>
              <w:rPr>
                <w:rFonts w:eastAsia="仿宋_GB2312"/>
                <w:kern w:val="0"/>
                <w:szCs w:val="21"/>
              </w:rPr>
            </w:pPr>
            <w:r>
              <w:rPr>
                <w:rFonts w:hint="eastAsia" w:eastAsia="仿宋_GB2312"/>
                <w:kern w:val="0"/>
                <w:szCs w:val="21"/>
              </w:rPr>
              <w:t>甲基</w:t>
            </w:r>
            <w:r>
              <w:rPr>
                <w:rFonts w:hint="eastAsia" w:eastAsia="仿宋_GB2312"/>
                <w:kern w:val="0"/>
                <w:szCs w:val="21"/>
                <w:lang w:val="en-US" w:eastAsia="zh-CN"/>
              </w:rPr>
              <w:t>叔</w:t>
            </w:r>
            <w:r>
              <w:rPr>
                <w:rFonts w:hint="eastAsia" w:eastAsia="仿宋_GB2312"/>
                <w:kern w:val="0"/>
                <w:szCs w:val="21"/>
              </w:rPr>
              <w:t>丁基醚</w:t>
            </w:r>
          </w:p>
        </w:tc>
        <w:tc>
          <w:tcPr>
            <w:tcW w:w="1023" w:type="pct"/>
            <w:vAlign w:val="center"/>
          </w:tcPr>
          <w:p w14:paraId="014D6B5F">
            <w:pPr>
              <w:widowControl/>
              <w:jc w:val="center"/>
              <w:rPr>
                <w:rFonts w:eastAsia="仿宋_GB2312"/>
                <w:kern w:val="0"/>
                <w:szCs w:val="21"/>
              </w:rPr>
            </w:pPr>
            <w:r>
              <w:rPr>
                <w:rFonts w:hint="eastAsia" w:eastAsia="仿宋_GB2312"/>
                <w:kern w:val="0"/>
                <w:szCs w:val="21"/>
              </w:rPr>
              <w:t>SH/T1834-2022</w:t>
            </w:r>
          </w:p>
        </w:tc>
        <w:tc>
          <w:tcPr>
            <w:tcW w:w="1051" w:type="pct"/>
            <w:vAlign w:val="center"/>
          </w:tcPr>
          <w:p w14:paraId="121CC194">
            <w:pPr>
              <w:widowControl/>
              <w:jc w:val="center"/>
              <w:rPr>
                <w:rFonts w:eastAsia="仿宋_GB2312"/>
                <w:kern w:val="0"/>
                <w:szCs w:val="21"/>
              </w:rPr>
            </w:pPr>
            <w:r>
              <w:rPr>
                <w:rFonts w:hint="eastAsia" w:eastAsia="仿宋_GB2312"/>
                <w:kern w:val="0"/>
                <w:szCs w:val="21"/>
              </w:rPr>
              <w:t>工业用甲基</w:t>
            </w:r>
            <w:r>
              <w:rPr>
                <w:rFonts w:hint="eastAsia" w:eastAsia="仿宋_GB2312"/>
                <w:kern w:val="0"/>
                <w:szCs w:val="21"/>
                <w:lang w:val="en-US" w:eastAsia="zh-CN"/>
              </w:rPr>
              <w:t>叔</w:t>
            </w:r>
            <w:r>
              <w:rPr>
                <w:rFonts w:hint="eastAsia" w:eastAsia="仿宋_GB2312"/>
                <w:kern w:val="0"/>
                <w:szCs w:val="21"/>
              </w:rPr>
              <w:t>丁基醚</w:t>
            </w:r>
          </w:p>
        </w:tc>
        <w:tc>
          <w:tcPr>
            <w:tcW w:w="771" w:type="pct"/>
            <w:vAlign w:val="center"/>
          </w:tcPr>
          <w:p w14:paraId="743B08BB">
            <w:pPr>
              <w:widowControl/>
              <w:jc w:val="center"/>
              <w:rPr>
                <w:rFonts w:eastAsia="仿宋_GB2312"/>
                <w:kern w:val="0"/>
                <w:szCs w:val="21"/>
              </w:rPr>
            </w:pPr>
            <w:r>
              <w:rPr>
                <w:rFonts w:hint="eastAsia" w:eastAsia="仿宋_GB2312"/>
                <w:kern w:val="0"/>
                <w:szCs w:val="21"/>
              </w:rPr>
              <w:t>II型</w:t>
            </w:r>
          </w:p>
        </w:tc>
      </w:tr>
      <w:tr w14:paraId="057534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90" w:type="pct"/>
            <w:shd w:val="clear" w:color="auto" w:fill="auto"/>
            <w:vAlign w:val="center"/>
          </w:tcPr>
          <w:p w14:paraId="5C57166E">
            <w:pPr>
              <w:widowControl/>
              <w:jc w:val="center"/>
              <w:rPr>
                <w:rFonts w:ascii="Times New Roman" w:hAnsi="Times New Roman" w:eastAsia="仿宋_GB2312" w:cs="Times New Roman"/>
                <w:kern w:val="0"/>
                <w:sz w:val="21"/>
                <w:szCs w:val="21"/>
                <w:lang w:val="en-US" w:eastAsia="zh-CN" w:bidi="ar-SA"/>
              </w:rPr>
            </w:pPr>
            <w:r>
              <w:rPr>
                <w:rFonts w:hint="eastAsia" w:eastAsia="仿宋_GB2312"/>
                <w:kern w:val="0"/>
                <w:szCs w:val="21"/>
              </w:rPr>
              <w:t>30</w:t>
            </w:r>
          </w:p>
        </w:tc>
        <w:tc>
          <w:tcPr>
            <w:tcW w:w="991" w:type="pct"/>
            <w:shd w:val="clear" w:color="auto" w:fill="auto"/>
            <w:vAlign w:val="center"/>
          </w:tcPr>
          <w:p w14:paraId="14046D5A">
            <w:pPr>
              <w:widowControl/>
              <w:jc w:val="center"/>
              <w:rPr>
                <w:rFonts w:eastAsia="仿宋_GB2312"/>
                <w:kern w:val="0"/>
                <w:szCs w:val="21"/>
              </w:rPr>
            </w:pPr>
            <w:r>
              <w:rPr>
                <w:rFonts w:hint="eastAsia" w:eastAsia="仿宋_GB2312"/>
                <w:kern w:val="0"/>
                <w:szCs w:val="21"/>
              </w:rPr>
              <w:t>丙二醇甲醚醋酸酯废液</w:t>
            </w:r>
          </w:p>
        </w:tc>
        <w:tc>
          <w:tcPr>
            <w:tcW w:w="770" w:type="pct"/>
            <w:shd w:val="clear" w:color="auto" w:fill="auto"/>
            <w:vAlign w:val="center"/>
          </w:tcPr>
          <w:p w14:paraId="08E3E50C">
            <w:pPr>
              <w:widowControl/>
              <w:jc w:val="center"/>
              <w:rPr>
                <w:rFonts w:eastAsia="仿宋_GB2312"/>
                <w:kern w:val="0"/>
                <w:szCs w:val="21"/>
              </w:rPr>
            </w:pPr>
            <w:r>
              <w:rPr>
                <w:rFonts w:hint="eastAsia" w:eastAsia="仿宋_GB2312"/>
                <w:kern w:val="0"/>
                <w:szCs w:val="21"/>
              </w:rPr>
              <w:t>丙二醇甲醚醋酸酯</w:t>
            </w:r>
          </w:p>
        </w:tc>
        <w:tc>
          <w:tcPr>
            <w:tcW w:w="1023" w:type="pct"/>
            <w:vAlign w:val="center"/>
          </w:tcPr>
          <w:p w14:paraId="29D6BE8C">
            <w:pPr>
              <w:widowControl/>
              <w:jc w:val="center"/>
              <w:rPr>
                <w:rFonts w:eastAsia="仿宋_GB2312"/>
                <w:kern w:val="0"/>
                <w:szCs w:val="21"/>
              </w:rPr>
            </w:pPr>
            <w:r>
              <w:rPr>
                <w:rFonts w:hint="eastAsia" w:eastAsia="仿宋_GB2312"/>
                <w:kern w:val="0"/>
                <w:szCs w:val="21"/>
              </w:rPr>
              <w:t>HG/T3940-2007</w:t>
            </w:r>
          </w:p>
        </w:tc>
        <w:tc>
          <w:tcPr>
            <w:tcW w:w="1051" w:type="pct"/>
            <w:vAlign w:val="center"/>
          </w:tcPr>
          <w:p w14:paraId="2E58DBC0">
            <w:pPr>
              <w:widowControl/>
              <w:jc w:val="center"/>
              <w:rPr>
                <w:rFonts w:eastAsia="仿宋_GB2312"/>
                <w:kern w:val="0"/>
                <w:szCs w:val="21"/>
              </w:rPr>
            </w:pPr>
            <w:r>
              <w:rPr>
                <w:rFonts w:hint="eastAsia" w:eastAsia="仿宋_GB2312"/>
                <w:kern w:val="0"/>
                <w:szCs w:val="21"/>
              </w:rPr>
              <w:t>工业用丙二醇甲醚乙酸酯</w:t>
            </w:r>
          </w:p>
        </w:tc>
        <w:tc>
          <w:tcPr>
            <w:tcW w:w="771" w:type="pct"/>
            <w:vAlign w:val="center"/>
          </w:tcPr>
          <w:p w14:paraId="21F314E4">
            <w:pPr>
              <w:widowControl/>
              <w:jc w:val="center"/>
              <w:rPr>
                <w:rFonts w:eastAsia="仿宋_GB2312"/>
                <w:kern w:val="0"/>
                <w:szCs w:val="21"/>
              </w:rPr>
            </w:pPr>
            <w:r>
              <w:rPr>
                <w:rFonts w:hint="eastAsia" w:eastAsia="仿宋_GB2312"/>
                <w:kern w:val="0"/>
                <w:szCs w:val="21"/>
              </w:rPr>
              <w:t>/</w:t>
            </w:r>
          </w:p>
        </w:tc>
      </w:tr>
    </w:tbl>
    <w:p w14:paraId="511B0BCE">
      <w:pPr>
        <w:rPr>
          <w:rFonts w:eastAsia="仿宋_GB2312"/>
          <w:sz w:val="28"/>
          <w:szCs w:val="28"/>
        </w:rPr>
      </w:pPr>
    </w:p>
    <w:p w14:paraId="0B88A701">
      <w:pPr>
        <w:rPr>
          <w:rFonts w:eastAsia="仿宋_GB2312"/>
          <w:sz w:val="28"/>
          <w:szCs w:val="28"/>
        </w:rPr>
      </w:pPr>
    </w:p>
    <w:p w14:paraId="147B897D">
      <w:pPr>
        <w:rPr>
          <w:rFonts w:eastAsia="仿宋_GB2312"/>
          <w:sz w:val="28"/>
          <w:szCs w:val="28"/>
        </w:rPr>
      </w:pPr>
      <w:r>
        <w:rPr>
          <w:rFonts w:hint="eastAsia" w:eastAsia="仿宋_GB2312"/>
          <w:sz w:val="28"/>
          <w:szCs w:val="28"/>
        </w:rPr>
        <w:br w:type="page"/>
      </w:r>
    </w:p>
    <w:p w14:paraId="625635C2">
      <w:pPr>
        <w:spacing w:line="500" w:lineRule="exact"/>
        <w:ind w:firstLine="560" w:firstLineChars="200"/>
        <w:rPr>
          <w:rFonts w:eastAsia="仿宋_GB2312"/>
          <w:sz w:val="28"/>
          <w:szCs w:val="28"/>
        </w:rPr>
      </w:pPr>
      <w:r>
        <w:rPr>
          <w:rFonts w:hint="eastAsia" w:eastAsia="仿宋_GB2312"/>
          <w:sz w:val="28"/>
          <w:szCs w:val="28"/>
        </w:rPr>
        <w:t>具体各产品</w:t>
      </w:r>
      <w:r>
        <w:rPr>
          <w:rFonts w:eastAsia="仿宋_GB2312"/>
          <w:sz w:val="28"/>
          <w:szCs w:val="28"/>
        </w:rPr>
        <w:t>质量指标见表3.2-</w:t>
      </w:r>
      <w:r>
        <w:rPr>
          <w:rFonts w:hint="eastAsia" w:eastAsia="仿宋_GB2312"/>
          <w:sz w:val="28"/>
          <w:szCs w:val="28"/>
        </w:rPr>
        <w:t>9</w:t>
      </w:r>
      <w:r>
        <w:rPr>
          <w:rFonts w:eastAsia="仿宋_GB2312"/>
          <w:sz w:val="28"/>
          <w:szCs w:val="28"/>
        </w:rPr>
        <w:t>~3.2-</w:t>
      </w:r>
      <w:r>
        <w:rPr>
          <w:rFonts w:hint="eastAsia" w:eastAsia="仿宋_GB2312"/>
          <w:sz w:val="28"/>
          <w:szCs w:val="28"/>
        </w:rPr>
        <w:t>4</w:t>
      </w:r>
      <w:r>
        <w:rPr>
          <w:rFonts w:hint="eastAsia" w:eastAsia="仿宋_GB2312"/>
          <w:sz w:val="28"/>
          <w:szCs w:val="28"/>
          <w:lang w:val="en-US" w:eastAsia="zh-CN"/>
        </w:rPr>
        <w:t>0</w:t>
      </w:r>
      <w:r>
        <w:rPr>
          <w:rFonts w:eastAsia="仿宋_GB2312"/>
          <w:sz w:val="28"/>
          <w:szCs w:val="28"/>
        </w:rPr>
        <w:t>。</w:t>
      </w:r>
    </w:p>
    <w:p w14:paraId="205939E8">
      <w:pPr>
        <w:pStyle w:val="162"/>
        <w:spacing w:line="480" w:lineRule="exact"/>
        <w:ind w:firstLine="0" w:firstLineChars="0"/>
        <w:rPr>
          <w:rFonts w:ascii="Times New Roman"/>
        </w:rPr>
      </w:pPr>
      <w:bookmarkStart w:id="34" w:name="_Ref520451387"/>
      <w:r>
        <w:rPr>
          <w:rFonts w:ascii="Times New Roman"/>
        </w:rPr>
        <w:t>表</w:t>
      </w:r>
      <w:bookmarkEnd w:id="34"/>
      <w:r>
        <w:rPr>
          <w:rFonts w:ascii="Times New Roman"/>
        </w:rPr>
        <w:t>3.2-</w:t>
      </w:r>
      <w:r>
        <w:rPr>
          <w:rFonts w:hint="eastAsia" w:ascii="Times New Roman"/>
        </w:rPr>
        <w:t>9</w:t>
      </w:r>
      <w:r>
        <w:rPr>
          <w:rFonts w:ascii="Times New Roman"/>
        </w:rPr>
        <w:t xml:space="preserve">  二氯甲烷产品质量指标</w:t>
      </w:r>
    </w:p>
    <w:tbl>
      <w:tblPr>
        <w:tblStyle w:val="88"/>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4497"/>
        <w:gridCol w:w="4023"/>
      </w:tblGrid>
      <w:tr w14:paraId="732A08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39" w:type="pct"/>
            <w:tcBorders>
              <w:tl2br w:val="nil"/>
              <w:tr2bl w:val="nil"/>
            </w:tcBorders>
            <w:noWrap/>
            <w:vAlign w:val="center"/>
          </w:tcPr>
          <w:p w14:paraId="1A0F3860">
            <w:pPr>
              <w:adjustRightInd w:val="0"/>
              <w:snapToGrid w:val="0"/>
              <w:jc w:val="center"/>
              <w:rPr>
                <w:rFonts w:eastAsia="仿宋_GB2312"/>
                <w:b/>
                <w:szCs w:val="21"/>
              </w:rPr>
            </w:pPr>
            <w:r>
              <w:rPr>
                <w:rFonts w:eastAsia="仿宋_GB2312"/>
                <w:b/>
                <w:szCs w:val="21"/>
              </w:rPr>
              <w:t>项目</w:t>
            </w:r>
          </w:p>
        </w:tc>
        <w:tc>
          <w:tcPr>
            <w:tcW w:w="2360" w:type="pct"/>
            <w:tcBorders>
              <w:tl2br w:val="nil"/>
              <w:tr2bl w:val="nil"/>
            </w:tcBorders>
            <w:noWrap/>
            <w:vAlign w:val="center"/>
          </w:tcPr>
          <w:p w14:paraId="54F26C1A">
            <w:pPr>
              <w:adjustRightInd w:val="0"/>
              <w:snapToGrid w:val="0"/>
              <w:jc w:val="center"/>
              <w:rPr>
                <w:rFonts w:eastAsia="仿宋_GB2312"/>
                <w:b/>
                <w:szCs w:val="21"/>
              </w:rPr>
            </w:pPr>
            <w:r>
              <w:rPr>
                <w:rFonts w:eastAsia="仿宋_GB2312"/>
                <w:b/>
                <w:szCs w:val="21"/>
              </w:rPr>
              <w:t>指标（合格品）</w:t>
            </w:r>
          </w:p>
        </w:tc>
      </w:tr>
      <w:tr w14:paraId="26103E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39" w:type="pct"/>
            <w:tcBorders>
              <w:tl2br w:val="nil"/>
              <w:tr2bl w:val="nil"/>
            </w:tcBorders>
            <w:noWrap/>
            <w:vAlign w:val="center"/>
          </w:tcPr>
          <w:p w14:paraId="2E8B3AD2">
            <w:pPr>
              <w:adjustRightInd w:val="0"/>
              <w:snapToGrid w:val="0"/>
              <w:jc w:val="center"/>
              <w:rPr>
                <w:rFonts w:eastAsia="仿宋_GB2312"/>
                <w:szCs w:val="21"/>
              </w:rPr>
            </w:pPr>
            <w:r>
              <w:rPr>
                <w:rFonts w:eastAsia="仿宋_GB2312"/>
                <w:szCs w:val="21"/>
              </w:rPr>
              <w:t>二氯甲烷的质量分数</w:t>
            </w:r>
            <w:r>
              <w:rPr>
                <w:rFonts w:eastAsia="仿宋_GB2312"/>
                <w:szCs w:val="21"/>
                <w:vertAlign w:val="superscript"/>
              </w:rPr>
              <w:t xml:space="preserve">a </w:t>
            </w:r>
            <w:r>
              <w:rPr>
                <w:rFonts w:eastAsia="仿宋_GB2312"/>
                <w:szCs w:val="21"/>
              </w:rPr>
              <w:t>/%</w:t>
            </w:r>
          </w:p>
        </w:tc>
        <w:tc>
          <w:tcPr>
            <w:tcW w:w="2360" w:type="pct"/>
            <w:tcBorders>
              <w:tl2br w:val="nil"/>
              <w:tr2bl w:val="nil"/>
            </w:tcBorders>
            <w:noWrap/>
            <w:vAlign w:val="center"/>
          </w:tcPr>
          <w:p w14:paraId="2E5C4D5A">
            <w:pPr>
              <w:adjustRightInd w:val="0"/>
              <w:snapToGrid w:val="0"/>
              <w:jc w:val="center"/>
              <w:rPr>
                <w:rFonts w:eastAsia="仿宋_GB2312"/>
                <w:szCs w:val="21"/>
              </w:rPr>
            </w:pPr>
            <w:r>
              <w:rPr>
                <w:rFonts w:eastAsia="仿宋_GB2312"/>
                <w:szCs w:val="21"/>
              </w:rPr>
              <w:t>≥99.2</w:t>
            </w:r>
          </w:p>
        </w:tc>
      </w:tr>
      <w:tr w14:paraId="73AB94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39" w:type="pct"/>
            <w:tcBorders>
              <w:tl2br w:val="nil"/>
              <w:tr2bl w:val="nil"/>
            </w:tcBorders>
            <w:noWrap/>
            <w:vAlign w:val="center"/>
          </w:tcPr>
          <w:p w14:paraId="584CC905">
            <w:pPr>
              <w:adjustRightInd w:val="0"/>
              <w:snapToGrid w:val="0"/>
              <w:jc w:val="center"/>
              <w:rPr>
                <w:rFonts w:eastAsia="仿宋_GB2312"/>
                <w:szCs w:val="21"/>
              </w:rPr>
            </w:pPr>
            <w:r>
              <w:rPr>
                <w:rFonts w:eastAsia="仿宋_GB2312"/>
                <w:szCs w:val="21"/>
              </w:rPr>
              <w:t>水的质量分数/%</w:t>
            </w:r>
          </w:p>
        </w:tc>
        <w:tc>
          <w:tcPr>
            <w:tcW w:w="2360" w:type="pct"/>
            <w:tcBorders>
              <w:tl2br w:val="nil"/>
              <w:tr2bl w:val="nil"/>
            </w:tcBorders>
            <w:noWrap/>
            <w:vAlign w:val="center"/>
          </w:tcPr>
          <w:p w14:paraId="14C8BA9B">
            <w:pPr>
              <w:adjustRightInd w:val="0"/>
              <w:snapToGrid w:val="0"/>
              <w:jc w:val="center"/>
              <w:rPr>
                <w:rFonts w:eastAsia="仿宋_GB2312"/>
                <w:szCs w:val="21"/>
              </w:rPr>
            </w:pPr>
            <w:r>
              <w:rPr>
                <w:rFonts w:eastAsia="仿宋_GB2312"/>
                <w:szCs w:val="21"/>
              </w:rPr>
              <w:t>≤0.03</w:t>
            </w:r>
          </w:p>
        </w:tc>
      </w:tr>
      <w:tr w14:paraId="6152FA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39" w:type="pct"/>
            <w:tcBorders>
              <w:tl2br w:val="nil"/>
              <w:tr2bl w:val="nil"/>
            </w:tcBorders>
            <w:noWrap/>
            <w:vAlign w:val="center"/>
          </w:tcPr>
          <w:p w14:paraId="186B7000">
            <w:pPr>
              <w:adjustRightInd w:val="0"/>
              <w:snapToGrid w:val="0"/>
              <w:jc w:val="center"/>
              <w:rPr>
                <w:rFonts w:eastAsia="仿宋_GB2312"/>
                <w:szCs w:val="21"/>
              </w:rPr>
            </w:pPr>
            <w:r>
              <w:rPr>
                <w:rFonts w:eastAsia="仿宋_GB2312"/>
                <w:szCs w:val="21"/>
              </w:rPr>
              <w:t>酸（以HCl计）的质量分数/%</w:t>
            </w:r>
          </w:p>
        </w:tc>
        <w:tc>
          <w:tcPr>
            <w:tcW w:w="2360" w:type="pct"/>
            <w:tcBorders>
              <w:tl2br w:val="nil"/>
              <w:tr2bl w:val="nil"/>
            </w:tcBorders>
            <w:noWrap/>
            <w:vAlign w:val="center"/>
          </w:tcPr>
          <w:p w14:paraId="6CB470A9">
            <w:pPr>
              <w:adjustRightInd w:val="0"/>
              <w:snapToGrid w:val="0"/>
              <w:jc w:val="center"/>
              <w:rPr>
                <w:rFonts w:eastAsia="仿宋_GB2312"/>
                <w:szCs w:val="21"/>
              </w:rPr>
            </w:pPr>
            <w:r>
              <w:rPr>
                <w:rFonts w:eastAsia="仿宋_GB2312"/>
                <w:szCs w:val="21"/>
              </w:rPr>
              <w:t>≤0.0008</w:t>
            </w:r>
          </w:p>
        </w:tc>
      </w:tr>
      <w:tr w14:paraId="7B0080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39" w:type="pct"/>
            <w:tcBorders>
              <w:tl2br w:val="nil"/>
              <w:tr2bl w:val="nil"/>
            </w:tcBorders>
            <w:noWrap/>
            <w:vAlign w:val="center"/>
          </w:tcPr>
          <w:p w14:paraId="47568692">
            <w:pPr>
              <w:adjustRightInd w:val="0"/>
              <w:snapToGrid w:val="0"/>
              <w:jc w:val="center"/>
              <w:rPr>
                <w:rFonts w:eastAsia="仿宋_GB2312"/>
                <w:szCs w:val="21"/>
              </w:rPr>
            </w:pPr>
            <w:r>
              <w:rPr>
                <w:rFonts w:eastAsia="仿宋_GB2312"/>
                <w:szCs w:val="21"/>
              </w:rPr>
              <w:t>色度/Hazen单位（Pt-Co色号）</w:t>
            </w:r>
          </w:p>
        </w:tc>
        <w:tc>
          <w:tcPr>
            <w:tcW w:w="2360" w:type="pct"/>
            <w:tcBorders>
              <w:tl2br w:val="nil"/>
              <w:tr2bl w:val="nil"/>
            </w:tcBorders>
            <w:noWrap/>
            <w:vAlign w:val="center"/>
          </w:tcPr>
          <w:p w14:paraId="5D756069">
            <w:pPr>
              <w:adjustRightInd w:val="0"/>
              <w:snapToGrid w:val="0"/>
              <w:jc w:val="center"/>
              <w:rPr>
                <w:rFonts w:eastAsia="仿宋_GB2312"/>
                <w:szCs w:val="21"/>
              </w:rPr>
            </w:pPr>
            <w:r>
              <w:rPr>
                <w:rFonts w:eastAsia="仿宋_GB2312"/>
                <w:szCs w:val="21"/>
              </w:rPr>
              <w:t>≤10</w:t>
            </w:r>
          </w:p>
        </w:tc>
      </w:tr>
      <w:tr w14:paraId="620264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39" w:type="pct"/>
            <w:tcBorders>
              <w:tl2br w:val="nil"/>
              <w:tr2bl w:val="nil"/>
            </w:tcBorders>
            <w:noWrap/>
            <w:vAlign w:val="center"/>
          </w:tcPr>
          <w:p w14:paraId="5D3C44E3">
            <w:pPr>
              <w:jc w:val="center"/>
              <w:rPr>
                <w:rFonts w:eastAsia="仿宋_GB2312"/>
              </w:rPr>
            </w:pPr>
            <w:r>
              <w:rPr>
                <w:rFonts w:eastAsia="仿宋_GB2312"/>
              </w:rPr>
              <w:t>蒸发残渣的质量分数</w:t>
            </w:r>
            <w:r>
              <w:rPr>
                <w:rFonts w:eastAsia="仿宋_GB2312"/>
                <w:vertAlign w:val="superscript"/>
              </w:rPr>
              <w:t>a</w:t>
            </w:r>
            <w:r>
              <w:rPr>
                <w:rFonts w:eastAsia="仿宋_GB2312"/>
              </w:rPr>
              <w:t>/%</w:t>
            </w:r>
          </w:p>
        </w:tc>
        <w:tc>
          <w:tcPr>
            <w:tcW w:w="2360" w:type="pct"/>
            <w:tcBorders>
              <w:tl2br w:val="nil"/>
              <w:tr2bl w:val="nil"/>
            </w:tcBorders>
            <w:noWrap/>
            <w:vAlign w:val="center"/>
          </w:tcPr>
          <w:p w14:paraId="6C2BA914">
            <w:pPr>
              <w:adjustRightInd w:val="0"/>
              <w:snapToGrid w:val="0"/>
              <w:jc w:val="center"/>
              <w:rPr>
                <w:rFonts w:eastAsia="仿宋_GB2312"/>
                <w:szCs w:val="21"/>
              </w:rPr>
            </w:pPr>
            <w:r>
              <w:rPr>
                <w:rFonts w:eastAsia="仿宋_GB2312"/>
                <w:szCs w:val="21"/>
              </w:rPr>
              <w:t>≤0.001</w:t>
            </w:r>
          </w:p>
        </w:tc>
      </w:tr>
      <w:tr w14:paraId="264304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00" w:type="pct"/>
            <w:gridSpan w:val="2"/>
            <w:tcBorders>
              <w:tl2br w:val="nil"/>
              <w:tr2bl w:val="nil"/>
            </w:tcBorders>
            <w:noWrap/>
            <w:vAlign w:val="center"/>
          </w:tcPr>
          <w:p w14:paraId="10DDC108">
            <w:pPr>
              <w:adjustRightInd w:val="0"/>
              <w:snapToGrid w:val="0"/>
              <w:rPr>
                <w:rFonts w:eastAsia="仿宋_GB2312"/>
                <w:szCs w:val="21"/>
              </w:rPr>
            </w:pPr>
            <w:r>
              <w:rPr>
                <w:rFonts w:eastAsia="仿宋_GB2312"/>
                <w:szCs w:val="21"/>
                <w:vertAlign w:val="superscript"/>
              </w:rPr>
              <w:t>a</w:t>
            </w:r>
            <w:r>
              <w:rPr>
                <w:rFonts w:eastAsia="仿宋_GB2312"/>
                <w:szCs w:val="21"/>
              </w:rPr>
              <w:t>添加的稳定剂的量不计入二氯甲烷的质量分数</w:t>
            </w:r>
          </w:p>
        </w:tc>
      </w:tr>
    </w:tbl>
    <w:p w14:paraId="7410B655">
      <w:pPr>
        <w:pStyle w:val="162"/>
        <w:spacing w:line="480" w:lineRule="exact"/>
        <w:ind w:firstLine="0" w:firstLineChars="0"/>
        <w:rPr>
          <w:rFonts w:ascii="Times New Roman"/>
        </w:rPr>
      </w:pPr>
      <w:r>
        <w:rPr>
          <w:rFonts w:ascii="Times New Roman"/>
        </w:rPr>
        <w:t>表3.2-1</w:t>
      </w:r>
      <w:r>
        <w:rPr>
          <w:rFonts w:hint="eastAsia" w:ascii="Times New Roman"/>
        </w:rPr>
        <w:t>0</w:t>
      </w:r>
      <w:r>
        <w:rPr>
          <w:rFonts w:ascii="Times New Roman"/>
        </w:rPr>
        <w:t xml:space="preserve">  甲苯产品质量指标</w:t>
      </w:r>
    </w:p>
    <w:tbl>
      <w:tblPr>
        <w:tblStyle w:val="88"/>
        <w:tblW w:w="852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515"/>
        <w:gridCol w:w="4013"/>
      </w:tblGrid>
      <w:tr w14:paraId="04131E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15" w:type="dxa"/>
            <w:tcBorders>
              <w:tl2br w:val="nil"/>
              <w:tr2bl w:val="nil"/>
            </w:tcBorders>
            <w:noWrap/>
            <w:vAlign w:val="center"/>
          </w:tcPr>
          <w:p w14:paraId="402FC32E">
            <w:pPr>
              <w:adjustRightInd w:val="0"/>
              <w:snapToGrid w:val="0"/>
              <w:jc w:val="center"/>
              <w:rPr>
                <w:rFonts w:eastAsia="仿宋_GB2312"/>
                <w:b/>
                <w:szCs w:val="21"/>
              </w:rPr>
            </w:pPr>
            <w:r>
              <w:rPr>
                <w:rFonts w:eastAsia="仿宋_GB2312"/>
                <w:b/>
                <w:szCs w:val="21"/>
              </w:rPr>
              <w:t>项目</w:t>
            </w:r>
          </w:p>
        </w:tc>
        <w:tc>
          <w:tcPr>
            <w:tcW w:w="4013" w:type="dxa"/>
            <w:tcBorders>
              <w:tl2br w:val="nil"/>
              <w:tr2bl w:val="nil"/>
            </w:tcBorders>
            <w:noWrap/>
            <w:vAlign w:val="center"/>
          </w:tcPr>
          <w:p w14:paraId="035F8F8F">
            <w:pPr>
              <w:adjustRightInd w:val="0"/>
              <w:snapToGrid w:val="0"/>
              <w:jc w:val="center"/>
              <w:rPr>
                <w:rFonts w:eastAsia="仿宋_GB2312"/>
                <w:b/>
                <w:szCs w:val="21"/>
              </w:rPr>
            </w:pPr>
            <w:r>
              <w:rPr>
                <w:rFonts w:eastAsia="仿宋_GB2312"/>
                <w:b/>
                <w:szCs w:val="21"/>
              </w:rPr>
              <w:t>指标（化学纯）</w:t>
            </w:r>
          </w:p>
        </w:tc>
      </w:tr>
      <w:tr w14:paraId="7465D4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15" w:type="dxa"/>
            <w:tcBorders>
              <w:tl2br w:val="nil"/>
              <w:tr2bl w:val="nil"/>
            </w:tcBorders>
            <w:noWrap/>
            <w:vAlign w:val="center"/>
          </w:tcPr>
          <w:p w14:paraId="6C7BFA53">
            <w:pPr>
              <w:adjustRightInd w:val="0"/>
              <w:snapToGrid w:val="0"/>
              <w:jc w:val="center"/>
              <w:rPr>
                <w:rFonts w:eastAsia="仿宋_GB2312"/>
                <w:szCs w:val="21"/>
              </w:rPr>
            </w:pPr>
            <w:r>
              <w:rPr>
                <w:rFonts w:eastAsia="仿宋_GB2312"/>
                <w:szCs w:val="21"/>
              </w:rPr>
              <w:t>含量（C</w:t>
            </w:r>
            <w:r>
              <w:rPr>
                <w:rFonts w:eastAsia="仿宋_GB2312"/>
                <w:szCs w:val="21"/>
                <w:vertAlign w:val="subscript"/>
              </w:rPr>
              <w:t>6</w:t>
            </w:r>
            <w:r>
              <w:rPr>
                <w:rFonts w:eastAsia="仿宋_GB2312"/>
                <w:szCs w:val="21"/>
              </w:rPr>
              <w:t>H</w:t>
            </w:r>
            <w:r>
              <w:rPr>
                <w:rFonts w:eastAsia="仿宋_GB2312"/>
                <w:szCs w:val="21"/>
                <w:vertAlign w:val="subscript"/>
              </w:rPr>
              <w:t>5</w:t>
            </w:r>
            <w:r>
              <w:rPr>
                <w:rFonts w:eastAsia="仿宋_GB2312"/>
                <w:szCs w:val="21"/>
              </w:rPr>
              <w:t>CH</w:t>
            </w:r>
            <w:r>
              <w:rPr>
                <w:rFonts w:eastAsia="仿宋_GB2312"/>
                <w:szCs w:val="21"/>
                <w:vertAlign w:val="subscript"/>
              </w:rPr>
              <w:t>3</w:t>
            </w:r>
            <w:r>
              <w:rPr>
                <w:rFonts w:eastAsia="仿宋_GB2312"/>
                <w:szCs w:val="21"/>
              </w:rPr>
              <w:t>）/ %</w:t>
            </w:r>
          </w:p>
        </w:tc>
        <w:tc>
          <w:tcPr>
            <w:tcW w:w="4013" w:type="dxa"/>
            <w:tcBorders>
              <w:tl2br w:val="nil"/>
              <w:tr2bl w:val="nil"/>
            </w:tcBorders>
            <w:noWrap/>
            <w:vAlign w:val="center"/>
          </w:tcPr>
          <w:p w14:paraId="6B3F3F21">
            <w:pPr>
              <w:jc w:val="center"/>
              <w:rPr>
                <w:rFonts w:eastAsia="仿宋_GB2312"/>
                <w:szCs w:val="21"/>
              </w:rPr>
            </w:pPr>
            <w:r>
              <w:rPr>
                <w:rFonts w:eastAsia="仿宋_GB2312"/>
                <w:szCs w:val="21"/>
              </w:rPr>
              <w:t>≥98.5</w:t>
            </w:r>
          </w:p>
        </w:tc>
      </w:tr>
      <w:tr w14:paraId="74D134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15" w:type="dxa"/>
            <w:tcBorders>
              <w:tl2br w:val="nil"/>
              <w:tr2bl w:val="nil"/>
            </w:tcBorders>
            <w:noWrap/>
            <w:vAlign w:val="center"/>
          </w:tcPr>
          <w:p w14:paraId="018E0C1B">
            <w:pPr>
              <w:adjustRightInd w:val="0"/>
              <w:snapToGrid w:val="0"/>
              <w:jc w:val="center"/>
              <w:rPr>
                <w:rFonts w:eastAsia="仿宋_GB2312"/>
                <w:szCs w:val="21"/>
              </w:rPr>
            </w:pPr>
            <w:r>
              <w:rPr>
                <w:rFonts w:eastAsia="仿宋_GB2312"/>
                <w:szCs w:val="21"/>
              </w:rPr>
              <w:t>密度（20</w:t>
            </w:r>
            <w:r>
              <w:rPr>
                <w:rFonts w:hint="eastAsia" w:ascii="宋体" w:hAnsi="宋体" w:cs="宋体"/>
                <w:szCs w:val="21"/>
              </w:rPr>
              <w:t>℃</w:t>
            </w:r>
            <w:r>
              <w:rPr>
                <w:rFonts w:eastAsia="仿宋_GB2312"/>
                <w:szCs w:val="21"/>
              </w:rPr>
              <w:t>），g/mL</w:t>
            </w:r>
          </w:p>
        </w:tc>
        <w:tc>
          <w:tcPr>
            <w:tcW w:w="4013" w:type="dxa"/>
            <w:tcBorders>
              <w:tl2br w:val="nil"/>
              <w:tr2bl w:val="nil"/>
            </w:tcBorders>
            <w:noWrap/>
            <w:vAlign w:val="center"/>
          </w:tcPr>
          <w:p w14:paraId="4173069B">
            <w:pPr>
              <w:jc w:val="center"/>
              <w:rPr>
                <w:rFonts w:eastAsia="仿宋_GB2312"/>
                <w:szCs w:val="21"/>
              </w:rPr>
            </w:pPr>
            <w:r>
              <w:rPr>
                <w:rFonts w:eastAsia="仿宋_GB2312"/>
                <w:szCs w:val="21"/>
              </w:rPr>
              <w:t>0.865~0.869</w:t>
            </w:r>
          </w:p>
        </w:tc>
      </w:tr>
      <w:tr w14:paraId="079ACB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15" w:type="dxa"/>
            <w:tcBorders>
              <w:tl2br w:val="nil"/>
              <w:tr2bl w:val="nil"/>
            </w:tcBorders>
            <w:noWrap/>
            <w:vAlign w:val="center"/>
          </w:tcPr>
          <w:p w14:paraId="18E6BFD5">
            <w:pPr>
              <w:adjustRightInd w:val="0"/>
              <w:snapToGrid w:val="0"/>
              <w:jc w:val="center"/>
              <w:rPr>
                <w:rFonts w:eastAsia="仿宋_GB2312"/>
                <w:szCs w:val="21"/>
              </w:rPr>
            </w:pPr>
            <w:r>
              <w:rPr>
                <w:rFonts w:eastAsia="仿宋_GB2312"/>
                <w:szCs w:val="21"/>
              </w:rPr>
              <w:t>蒸发残渣/ %</w:t>
            </w:r>
          </w:p>
        </w:tc>
        <w:tc>
          <w:tcPr>
            <w:tcW w:w="4013" w:type="dxa"/>
            <w:tcBorders>
              <w:tl2br w:val="nil"/>
              <w:tr2bl w:val="nil"/>
            </w:tcBorders>
            <w:noWrap/>
            <w:vAlign w:val="center"/>
          </w:tcPr>
          <w:p w14:paraId="675A206C">
            <w:pPr>
              <w:jc w:val="center"/>
              <w:rPr>
                <w:rFonts w:eastAsia="仿宋_GB2312"/>
                <w:szCs w:val="21"/>
              </w:rPr>
            </w:pPr>
            <w:r>
              <w:rPr>
                <w:rFonts w:eastAsia="仿宋_GB2312"/>
                <w:szCs w:val="21"/>
              </w:rPr>
              <w:t>≤0.002</w:t>
            </w:r>
          </w:p>
        </w:tc>
      </w:tr>
      <w:tr w14:paraId="78C62E0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15" w:type="dxa"/>
            <w:tcBorders>
              <w:tl2br w:val="nil"/>
              <w:tr2bl w:val="nil"/>
            </w:tcBorders>
            <w:noWrap/>
            <w:vAlign w:val="center"/>
          </w:tcPr>
          <w:p w14:paraId="587C7436">
            <w:pPr>
              <w:adjustRightInd w:val="0"/>
              <w:snapToGrid w:val="0"/>
              <w:jc w:val="center"/>
              <w:rPr>
                <w:rFonts w:eastAsia="仿宋_GB2312"/>
                <w:szCs w:val="21"/>
              </w:rPr>
            </w:pPr>
            <w:r>
              <w:rPr>
                <w:rFonts w:eastAsia="仿宋_GB2312"/>
                <w:szCs w:val="21"/>
              </w:rPr>
              <w:t>酸度（以H</w:t>
            </w:r>
            <w:r>
              <w:rPr>
                <w:rFonts w:eastAsia="仿宋_GB2312"/>
                <w:szCs w:val="21"/>
                <w:vertAlign w:val="superscript"/>
              </w:rPr>
              <w:t>+</w:t>
            </w:r>
            <w:r>
              <w:rPr>
                <w:rFonts w:eastAsia="仿宋_GB2312"/>
                <w:szCs w:val="21"/>
              </w:rPr>
              <w:t>计），mmol/g</w:t>
            </w:r>
          </w:p>
        </w:tc>
        <w:tc>
          <w:tcPr>
            <w:tcW w:w="4013" w:type="dxa"/>
            <w:tcBorders>
              <w:tl2br w:val="nil"/>
              <w:tr2bl w:val="nil"/>
            </w:tcBorders>
            <w:noWrap/>
            <w:vAlign w:val="center"/>
          </w:tcPr>
          <w:p w14:paraId="39832F9B">
            <w:pPr>
              <w:jc w:val="center"/>
              <w:rPr>
                <w:rFonts w:eastAsia="仿宋_GB2312"/>
                <w:szCs w:val="21"/>
              </w:rPr>
            </w:pPr>
            <w:r>
              <w:rPr>
                <w:rFonts w:eastAsia="仿宋_GB2312"/>
                <w:szCs w:val="21"/>
              </w:rPr>
              <w:t>≤0.0</w:t>
            </w:r>
            <w:r>
              <w:rPr>
                <w:rFonts w:hint="eastAsia" w:eastAsia="仿宋_GB2312"/>
                <w:szCs w:val="21"/>
                <w:lang w:val="en-US" w:eastAsia="zh-CN"/>
              </w:rPr>
              <w:t>00</w:t>
            </w:r>
            <w:r>
              <w:rPr>
                <w:rFonts w:eastAsia="仿宋_GB2312"/>
                <w:szCs w:val="21"/>
              </w:rPr>
              <w:t>3</w:t>
            </w:r>
          </w:p>
        </w:tc>
      </w:tr>
      <w:tr w14:paraId="3C6641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15" w:type="dxa"/>
            <w:tcBorders>
              <w:tl2br w:val="nil"/>
              <w:tr2bl w:val="nil"/>
            </w:tcBorders>
            <w:noWrap/>
            <w:vAlign w:val="center"/>
          </w:tcPr>
          <w:p w14:paraId="65E12294">
            <w:pPr>
              <w:adjustRightInd w:val="0"/>
              <w:snapToGrid w:val="0"/>
              <w:jc w:val="center"/>
              <w:rPr>
                <w:rFonts w:eastAsia="仿宋_GB2312"/>
                <w:szCs w:val="21"/>
              </w:rPr>
            </w:pPr>
            <w:r>
              <w:rPr>
                <w:rFonts w:eastAsia="仿宋_GB2312"/>
                <w:szCs w:val="21"/>
              </w:rPr>
              <w:t>碱度（以OH</w:t>
            </w:r>
            <w:r>
              <w:rPr>
                <w:rFonts w:eastAsia="仿宋_GB2312"/>
                <w:szCs w:val="21"/>
                <w:vertAlign w:val="superscript"/>
              </w:rPr>
              <w:t>-</w:t>
            </w:r>
            <w:r>
              <w:rPr>
                <w:rFonts w:eastAsia="仿宋_GB2312"/>
                <w:szCs w:val="21"/>
              </w:rPr>
              <w:t>计），mmol/g</w:t>
            </w:r>
          </w:p>
        </w:tc>
        <w:tc>
          <w:tcPr>
            <w:tcW w:w="4013" w:type="dxa"/>
            <w:tcBorders>
              <w:tl2br w:val="nil"/>
              <w:tr2bl w:val="nil"/>
            </w:tcBorders>
            <w:noWrap/>
            <w:vAlign w:val="center"/>
          </w:tcPr>
          <w:p w14:paraId="08F865CE">
            <w:pPr>
              <w:jc w:val="center"/>
              <w:rPr>
                <w:rFonts w:eastAsia="仿宋_GB2312"/>
                <w:szCs w:val="21"/>
              </w:rPr>
            </w:pPr>
            <w:r>
              <w:rPr>
                <w:rFonts w:eastAsia="仿宋_GB2312"/>
                <w:szCs w:val="21"/>
              </w:rPr>
              <w:t>≤0.0</w:t>
            </w:r>
            <w:r>
              <w:rPr>
                <w:rFonts w:hint="eastAsia" w:eastAsia="仿宋_GB2312"/>
                <w:szCs w:val="21"/>
                <w:lang w:val="en-US" w:eastAsia="zh-CN"/>
              </w:rPr>
              <w:t>00</w:t>
            </w:r>
            <w:r>
              <w:rPr>
                <w:rFonts w:eastAsia="仿宋_GB2312"/>
                <w:szCs w:val="21"/>
              </w:rPr>
              <w:t>6</w:t>
            </w:r>
          </w:p>
        </w:tc>
      </w:tr>
      <w:tr w14:paraId="5E7077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15" w:type="dxa"/>
            <w:tcBorders>
              <w:tl2br w:val="nil"/>
              <w:tr2bl w:val="nil"/>
            </w:tcBorders>
            <w:noWrap/>
            <w:vAlign w:val="center"/>
          </w:tcPr>
          <w:p w14:paraId="39F4C873">
            <w:pPr>
              <w:adjustRightInd w:val="0"/>
              <w:snapToGrid w:val="0"/>
              <w:jc w:val="center"/>
              <w:rPr>
                <w:rFonts w:eastAsia="仿宋_GB2312"/>
                <w:szCs w:val="21"/>
              </w:rPr>
            </w:pPr>
            <w:r>
              <w:rPr>
                <w:rFonts w:eastAsia="仿宋_GB2312"/>
                <w:szCs w:val="21"/>
              </w:rPr>
              <w:t>易炭化物质</w:t>
            </w:r>
          </w:p>
        </w:tc>
        <w:tc>
          <w:tcPr>
            <w:tcW w:w="4013" w:type="dxa"/>
            <w:tcBorders>
              <w:tl2br w:val="nil"/>
              <w:tr2bl w:val="nil"/>
            </w:tcBorders>
            <w:noWrap/>
            <w:vAlign w:val="center"/>
          </w:tcPr>
          <w:p w14:paraId="7EBAC6FB">
            <w:pPr>
              <w:jc w:val="center"/>
              <w:rPr>
                <w:rFonts w:eastAsia="仿宋_GB2312"/>
                <w:szCs w:val="21"/>
              </w:rPr>
            </w:pPr>
            <w:r>
              <w:rPr>
                <w:rFonts w:eastAsia="仿宋_GB2312"/>
                <w:szCs w:val="21"/>
              </w:rPr>
              <w:t>合格</w:t>
            </w:r>
          </w:p>
        </w:tc>
      </w:tr>
      <w:tr w14:paraId="36A341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15" w:type="dxa"/>
            <w:tcBorders>
              <w:tl2br w:val="nil"/>
              <w:tr2bl w:val="nil"/>
            </w:tcBorders>
            <w:noWrap/>
            <w:vAlign w:val="center"/>
          </w:tcPr>
          <w:p w14:paraId="1BB4C857">
            <w:pPr>
              <w:adjustRightInd w:val="0"/>
              <w:snapToGrid w:val="0"/>
              <w:jc w:val="center"/>
              <w:rPr>
                <w:rFonts w:eastAsia="仿宋_GB2312"/>
                <w:szCs w:val="21"/>
              </w:rPr>
            </w:pPr>
            <w:r>
              <w:rPr>
                <w:rFonts w:eastAsia="仿宋_GB2312"/>
                <w:szCs w:val="21"/>
              </w:rPr>
              <w:t>硫化合物（以SO</w:t>
            </w:r>
            <w:r>
              <w:rPr>
                <w:rFonts w:eastAsia="仿宋_GB2312"/>
                <w:szCs w:val="21"/>
                <w:vertAlign w:val="subscript"/>
              </w:rPr>
              <w:t>4</w:t>
            </w:r>
            <w:r>
              <w:rPr>
                <w:rFonts w:eastAsia="仿宋_GB2312"/>
                <w:szCs w:val="21"/>
                <w:vertAlign w:val="superscript"/>
              </w:rPr>
              <w:t>2-</w:t>
            </w:r>
            <w:r>
              <w:rPr>
                <w:rFonts w:eastAsia="仿宋_GB2312"/>
                <w:szCs w:val="21"/>
              </w:rPr>
              <w:t>计）</w:t>
            </w:r>
            <w:r>
              <w:rPr>
                <w:rFonts w:hint="eastAsia" w:eastAsia="仿宋_GB2312"/>
                <w:szCs w:val="21"/>
                <w:lang w:val="en-US" w:eastAsia="zh-CN"/>
              </w:rPr>
              <w:t>w</w:t>
            </w:r>
            <w:r>
              <w:rPr>
                <w:rFonts w:eastAsia="仿宋_GB2312"/>
                <w:szCs w:val="21"/>
              </w:rPr>
              <w:t>/ %</w:t>
            </w:r>
          </w:p>
        </w:tc>
        <w:tc>
          <w:tcPr>
            <w:tcW w:w="4013" w:type="dxa"/>
            <w:tcBorders>
              <w:tl2br w:val="nil"/>
              <w:tr2bl w:val="nil"/>
            </w:tcBorders>
            <w:noWrap/>
            <w:vAlign w:val="center"/>
          </w:tcPr>
          <w:p w14:paraId="017668E8">
            <w:pPr>
              <w:jc w:val="center"/>
              <w:rPr>
                <w:rFonts w:eastAsia="仿宋_GB2312"/>
                <w:szCs w:val="21"/>
              </w:rPr>
            </w:pPr>
            <w:r>
              <w:rPr>
                <w:rFonts w:eastAsia="仿宋_GB2312"/>
                <w:szCs w:val="21"/>
              </w:rPr>
              <w:t>≤0.0</w:t>
            </w:r>
            <w:r>
              <w:rPr>
                <w:rFonts w:hint="eastAsia" w:eastAsia="仿宋_GB2312"/>
                <w:szCs w:val="21"/>
                <w:lang w:val="en-US" w:eastAsia="zh-CN"/>
              </w:rPr>
              <w:t>0</w:t>
            </w:r>
            <w:r>
              <w:rPr>
                <w:rFonts w:eastAsia="仿宋_GB2312"/>
                <w:szCs w:val="21"/>
              </w:rPr>
              <w:t>1</w:t>
            </w:r>
          </w:p>
        </w:tc>
      </w:tr>
      <w:tr w14:paraId="6D8AFBD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15" w:type="dxa"/>
            <w:tcBorders>
              <w:tl2br w:val="nil"/>
              <w:tr2bl w:val="nil"/>
            </w:tcBorders>
            <w:noWrap/>
            <w:vAlign w:val="center"/>
          </w:tcPr>
          <w:p w14:paraId="301C83CA">
            <w:pPr>
              <w:adjustRightInd w:val="0"/>
              <w:snapToGrid w:val="0"/>
              <w:jc w:val="center"/>
              <w:rPr>
                <w:rFonts w:eastAsia="仿宋_GB2312"/>
                <w:szCs w:val="21"/>
              </w:rPr>
            </w:pPr>
            <w:r>
              <w:rPr>
                <w:rFonts w:eastAsia="仿宋_GB2312"/>
                <w:szCs w:val="21"/>
              </w:rPr>
              <w:t>噻吩</w:t>
            </w:r>
          </w:p>
        </w:tc>
        <w:tc>
          <w:tcPr>
            <w:tcW w:w="4013" w:type="dxa"/>
            <w:tcBorders>
              <w:tl2br w:val="nil"/>
              <w:tr2bl w:val="nil"/>
            </w:tcBorders>
            <w:noWrap/>
            <w:vAlign w:val="center"/>
          </w:tcPr>
          <w:p w14:paraId="50F8A2D1">
            <w:pPr>
              <w:jc w:val="center"/>
              <w:rPr>
                <w:rFonts w:eastAsia="仿宋_GB2312"/>
                <w:szCs w:val="21"/>
              </w:rPr>
            </w:pPr>
            <w:r>
              <w:rPr>
                <w:rFonts w:eastAsia="仿宋_GB2312"/>
                <w:szCs w:val="21"/>
              </w:rPr>
              <w:t>合格</w:t>
            </w:r>
          </w:p>
        </w:tc>
      </w:tr>
      <w:tr w14:paraId="539DDD6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15" w:type="dxa"/>
            <w:tcBorders>
              <w:tl2br w:val="nil"/>
              <w:tr2bl w:val="nil"/>
            </w:tcBorders>
            <w:noWrap/>
            <w:vAlign w:val="center"/>
          </w:tcPr>
          <w:p w14:paraId="07ED92F3">
            <w:pPr>
              <w:adjustRightInd w:val="0"/>
              <w:snapToGrid w:val="0"/>
              <w:jc w:val="center"/>
              <w:rPr>
                <w:rFonts w:eastAsia="仿宋_GB2312"/>
                <w:szCs w:val="21"/>
              </w:rPr>
            </w:pPr>
            <w:r>
              <w:rPr>
                <w:rFonts w:eastAsia="仿宋_GB2312"/>
                <w:szCs w:val="21"/>
              </w:rPr>
              <w:t>不饱和化合物（以Br</w:t>
            </w:r>
            <w:r>
              <w:rPr>
                <w:rFonts w:eastAsia="仿宋_GB2312"/>
                <w:szCs w:val="21"/>
                <w:vertAlign w:val="superscript"/>
              </w:rPr>
              <w:t>-</w:t>
            </w:r>
            <w:r>
              <w:rPr>
                <w:rFonts w:eastAsia="仿宋_GB2312"/>
                <w:szCs w:val="21"/>
              </w:rPr>
              <w:t>计）/ %</w:t>
            </w:r>
          </w:p>
        </w:tc>
        <w:tc>
          <w:tcPr>
            <w:tcW w:w="4013" w:type="dxa"/>
            <w:tcBorders>
              <w:tl2br w:val="nil"/>
              <w:tr2bl w:val="nil"/>
            </w:tcBorders>
            <w:noWrap/>
            <w:vAlign w:val="center"/>
          </w:tcPr>
          <w:p w14:paraId="402B2E59">
            <w:pPr>
              <w:jc w:val="center"/>
              <w:rPr>
                <w:rFonts w:eastAsia="仿宋_GB2312"/>
                <w:szCs w:val="21"/>
              </w:rPr>
            </w:pPr>
            <w:r>
              <w:rPr>
                <w:rFonts w:eastAsia="仿宋_GB2312"/>
                <w:szCs w:val="21"/>
              </w:rPr>
              <w:t>≤0.03</w:t>
            </w:r>
          </w:p>
        </w:tc>
      </w:tr>
      <w:tr w14:paraId="187872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15" w:type="dxa"/>
            <w:tcBorders>
              <w:tl2br w:val="nil"/>
              <w:tr2bl w:val="nil"/>
            </w:tcBorders>
            <w:noWrap/>
            <w:vAlign w:val="center"/>
          </w:tcPr>
          <w:p w14:paraId="6A43A6C9">
            <w:pPr>
              <w:adjustRightInd w:val="0"/>
              <w:snapToGrid w:val="0"/>
              <w:jc w:val="center"/>
              <w:rPr>
                <w:rFonts w:eastAsia="仿宋_GB2312"/>
                <w:szCs w:val="21"/>
              </w:rPr>
            </w:pPr>
            <w:r>
              <w:rPr>
                <w:rFonts w:eastAsia="仿宋_GB2312"/>
                <w:szCs w:val="21"/>
              </w:rPr>
              <w:t>水分（H</w:t>
            </w:r>
            <w:r>
              <w:rPr>
                <w:rFonts w:eastAsia="仿宋_GB2312"/>
                <w:szCs w:val="21"/>
                <w:vertAlign w:val="subscript"/>
              </w:rPr>
              <w:t>2</w:t>
            </w:r>
            <w:r>
              <w:rPr>
                <w:rFonts w:eastAsia="仿宋_GB2312"/>
                <w:szCs w:val="21"/>
              </w:rPr>
              <w:t>O）/ %</w:t>
            </w:r>
          </w:p>
        </w:tc>
        <w:tc>
          <w:tcPr>
            <w:tcW w:w="4013" w:type="dxa"/>
            <w:tcBorders>
              <w:tl2br w:val="nil"/>
              <w:tr2bl w:val="nil"/>
            </w:tcBorders>
            <w:noWrap/>
            <w:vAlign w:val="center"/>
          </w:tcPr>
          <w:p w14:paraId="40625C37">
            <w:pPr>
              <w:jc w:val="center"/>
              <w:rPr>
                <w:rFonts w:eastAsia="仿宋_GB2312"/>
                <w:szCs w:val="21"/>
              </w:rPr>
            </w:pPr>
            <w:r>
              <w:rPr>
                <w:rFonts w:eastAsia="仿宋_GB2312"/>
                <w:szCs w:val="21"/>
              </w:rPr>
              <w:t>≤0.05</w:t>
            </w:r>
          </w:p>
        </w:tc>
      </w:tr>
    </w:tbl>
    <w:p w14:paraId="5FD67E72">
      <w:pPr>
        <w:pStyle w:val="162"/>
        <w:spacing w:line="480" w:lineRule="exact"/>
        <w:ind w:firstLine="0" w:firstLineChars="0"/>
        <w:rPr>
          <w:rFonts w:ascii="Times New Roman"/>
        </w:rPr>
      </w:pPr>
      <w:r>
        <w:rPr>
          <w:rFonts w:ascii="Times New Roman"/>
        </w:rPr>
        <w:t>表3.2-1</w:t>
      </w:r>
      <w:r>
        <w:rPr>
          <w:rFonts w:hint="eastAsia" w:ascii="Times New Roman"/>
        </w:rPr>
        <w:t>1</w:t>
      </w:r>
      <w:r>
        <w:rPr>
          <w:rFonts w:ascii="Times New Roman"/>
        </w:rPr>
        <w:t xml:space="preserve">  二甲苯产品质量指标</w:t>
      </w:r>
    </w:p>
    <w:tbl>
      <w:tblPr>
        <w:tblStyle w:val="88"/>
        <w:tblW w:w="852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515"/>
        <w:gridCol w:w="4013"/>
      </w:tblGrid>
      <w:tr w14:paraId="43C19B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15" w:type="dxa"/>
            <w:tcBorders>
              <w:tl2br w:val="nil"/>
              <w:tr2bl w:val="nil"/>
            </w:tcBorders>
            <w:noWrap/>
            <w:vAlign w:val="center"/>
          </w:tcPr>
          <w:p w14:paraId="42BDC7B0">
            <w:pPr>
              <w:adjustRightInd w:val="0"/>
              <w:snapToGrid w:val="0"/>
              <w:jc w:val="center"/>
              <w:rPr>
                <w:rFonts w:eastAsia="仿宋_GB2312"/>
                <w:b/>
                <w:szCs w:val="21"/>
              </w:rPr>
            </w:pPr>
            <w:r>
              <w:rPr>
                <w:rFonts w:eastAsia="仿宋_GB2312"/>
                <w:b/>
                <w:szCs w:val="21"/>
              </w:rPr>
              <w:t>项目</w:t>
            </w:r>
          </w:p>
        </w:tc>
        <w:tc>
          <w:tcPr>
            <w:tcW w:w="4013" w:type="dxa"/>
            <w:tcBorders>
              <w:tl2br w:val="nil"/>
              <w:tr2bl w:val="nil"/>
            </w:tcBorders>
            <w:noWrap/>
            <w:vAlign w:val="center"/>
          </w:tcPr>
          <w:p w14:paraId="05A2707A">
            <w:pPr>
              <w:adjustRightInd w:val="0"/>
              <w:snapToGrid w:val="0"/>
              <w:jc w:val="center"/>
              <w:rPr>
                <w:rFonts w:eastAsia="仿宋_GB2312"/>
                <w:b/>
                <w:szCs w:val="21"/>
              </w:rPr>
            </w:pPr>
            <w:r>
              <w:rPr>
                <w:rFonts w:eastAsia="仿宋_GB2312"/>
                <w:b/>
                <w:szCs w:val="21"/>
              </w:rPr>
              <w:t>指标（化学纯）</w:t>
            </w:r>
          </w:p>
        </w:tc>
      </w:tr>
      <w:tr w14:paraId="3D8AC9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15" w:type="dxa"/>
            <w:tcBorders>
              <w:tl2br w:val="nil"/>
              <w:tr2bl w:val="nil"/>
            </w:tcBorders>
            <w:noWrap/>
            <w:vAlign w:val="center"/>
          </w:tcPr>
          <w:p w14:paraId="75649FBF">
            <w:pPr>
              <w:jc w:val="center"/>
              <w:rPr>
                <w:rFonts w:eastAsia="仿宋_GB2312"/>
                <w:szCs w:val="21"/>
              </w:rPr>
            </w:pPr>
            <w:r>
              <w:rPr>
                <w:rFonts w:eastAsia="仿宋_GB2312"/>
                <w:szCs w:val="21"/>
              </w:rPr>
              <w:t>含量（C</w:t>
            </w:r>
            <w:r>
              <w:rPr>
                <w:rFonts w:eastAsia="仿宋_GB2312"/>
                <w:szCs w:val="21"/>
                <w:vertAlign w:val="subscript"/>
              </w:rPr>
              <w:t>8</w:t>
            </w:r>
            <w:r>
              <w:rPr>
                <w:rFonts w:eastAsia="仿宋_GB2312"/>
                <w:szCs w:val="21"/>
              </w:rPr>
              <w:t>H</w:t>
            </w:r>
            <w:r>
              <w:rPr>
                <w:rFonts w:eastAsia="仿宋_GB2312"/>
                <w:szCs w:val="21"/>
                <w:vertAlign w:val="subscript"/>
              </w:rPr>
              <w:t>10</w:t>
            </w:r>
            <w:r>
              <w:rPr>
                <w:rFonts w:eastAsia="仿宋_GB2312"/>
                <w:szCs w:val="21"/>
              </w:rPr>
              <w:t>），ω/ %</w:t>
            </w:r>
          </w:p>
        </w:tc>
        <w:tc>
          <w:tcPr>
            <w:tcW w:w="4013" w:type="dxa"/>
            <w:tcBorders>
              <w:tl2br w:val="nil"/>
              <w:tr2bl w:val="nil"/>
            </w:tcBorders>
            <w:noWrap/>
            <w:vAlign w:val="center"/>
          </w:tcPr>
          <w:p w14:paraId="3051648A">
            <w:pPr>
              <w:jc w:val="center"/>
              <w:rPr>
                <w:rFonts w:eastAsia="仿宋_GB2312"/>
                <w:szCs w:val="21"/>
              </w:rPr>
            </w:pPr>
            <w:r>
              <w:rPr>
                <w:rFonts w:eastAsia="仿宋_GB2312"/>
                <w:szCs w:val="21"/>
              </w:rPr>
              <w:t>≥99.0</w:t>
            </w:r>
          </w:p>
        </w:tc>
      </w:tr>
      <w:tr w14:paraId="4772BC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15" w:type="dxa"/>
            <w:tcBorders>
              <w:tl2br w:val="nil"/>
              <w:tr2bl w:val="nil"/>
            </w:tcBorders>
            <w:noWrap/>
            <w:vAlign w:val="center"/>
          </w:tcPr>
          <w:p w14:paraId="10571177">
            <w:pPr>
              <w:jc w:val="center"/>
              <w:rPr>
                <w:rFonts w:eastAsia="仿宋_GB2312"/>
                <w:szCs w:val="21"/>
              </w:rPr>
            </w:pPr>
            <w:r>
              <w:rPr>
                <w:rFonts w:eastAsia="仿宋_GB2312"/>
                <w:szCs w:val="21"/>
              </w:rPr>
              <w:t>色度/黑曾单位</w:t>
            </w:r>
          </w:p>
        </w:tc>
        <w:tc>
          <w:tcPr>
            <w:tcW w:w="4013" w:type="dxa"/>
            <w:tcBorders>
              <w:tl2br w:val="nil"/>
              <w:tr2bl w:val="nil"/>
            </w:tcBorders>
            <w:noWrap/>
            <w:vAlign w:val="center"/>
          </w:tcPr>
          <w:p w14:paraId="7745AFB5">
            <w:pPr>
              <w:jc w:val="center"/>
              <w:rPr>
                <w:rFonts w:eastAsia="仿宋_GB2312"/>
                <w:szCs w:val="21"/>
              </w:rPr>
            </w:pPr>
            <w:r>
              <w:rPr>
                <w:rFonts w:eastAsia="仿宋_GB2312"/>
                <w:szCs w:val="21"/>
              </w:rPr>
              <w:t>≤20</w:t>
            </w:r>
          </w:p>
        </w:tc>
      </w:tr>
      <w:tr w14:paraId="5FC300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15" w:type="dxa"/>
            <w:tcBorders>
              <w:tl2br w:val="nil"/>
              <w:tr2bl w:val="nil"/>
            </w:tcBorders>
            <w:noWrap/>
            <w:vAlign w:val="center"/>
          </w:tcPr>
          <w:p w14:paraId="17C0C1E3">
            <w:pPr>
              <w:jc w:val="center"/>
              <w:rPr>
                <w:rFonts w:eastAsia="仿宋_GB2312"/>
                <w:szCs w:val="21"/>
              </w:rPr>
            </w:pPr>
            <w:r>
              <w:rPr>
                <w:rFonts w:eastAsia="仿宋_GB2312"/>
                <w:szCs w:val="21"/>
              </w:rPr>
              <w:t>蒸发残渣，ω/ %</w:t>
            </w:r>
          </w:p>
        </w:tc>
        <w:tc>
          <w:tcPr>
            <w:tcW w:w="4013" w:type="dxa"/>
            <w:tcBorders>
              <w:tl2br w:val="nil"/>
              <w:tr2bl w:val="nil"/>
            </w:tcBorders>
            <w:noWrap/>
            <w:vAlign w:val="center"/>
          </w:tcPr>
          <w:p w14:paraId="58DADFA7">
            <w:pPr>
              <w:jc w:val="center"/>
              <w:rPr>
                <w:rFonts w:eastAsia="仿宋_GB2312"/>
                <w:szCs w:val="21"/>
              </w:rPr>
            </w:pPr>
            <w:r>
              <w:rPr>
                <w:rFonts w:eastAsia="仿宋_GB2312"/>
                <w:szCs w:val="21"/>
              </w:rPr>
              <w:t>≤0.002</w:t>
            </w:r>
          </w:p>
        </w:tc>
      </w:tr>
      <w:tr w14:paraId="19216C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15" w:type="dxa"/>
            <w:tcBorders>
              <w:tl2br w:val="nil"/>
              <w:tr2bl w:val="nil"/>
            </w:tcBorders>
            <w:noWrap/>
            <w:vAlign w:val="center"/>
          </w:tcPr>
          <w:p w14:paraId="56FFD176">
            <w:pPr>
              <w:jc w:val="center"/>
              <w:rPr>
                <w:rFonts w:eastAsia="仿宋_GB2312"/>
                <w:szCs w:val="21"/>
              </w:rPr>
            </w:pPr>
            <w:r>
              <w:rPr>
                <w:rFonts w:eastAsia="仿宋_GB2312"/>
                <w:szCs w:val="21"/>
              </w:rPr>
              <w:t>酸度（以H</w:t>
            </w:r>
            <w:r>
              <w:rPr>
                <w:rFonts w:eastAsia="仿宋_GB2312"/>
                <w:szCs w:val="21"/>
                <w:vertAlign w:val="superscript"/>
              </w:rPr>
              <w:t>+</w:t>
            </w:r>
            <w:r>
              <w:rPr>
                <w:rFonts w:eastAsia="仿宋_GB2312"/>
                <w:szCs w:val="21"/>
              </w:rPr>
              <w:t>计），mmol/100g</w:t>
            </w:r>
          </w:p>
        </w:tc>
        <w:tc>
          <w:tcPr>
            <w:tcW w:w="4013" w:type="dxa"/>
            <w:tcBorders>
              <w:tl2br w:val="nil"/>
              <w:tr2bl w:val="nil"/>
            </w:tcBorders>
            <w:noWrap/>
            <w:vAlign w:val="center"/>
          </w:tcPr>
          <w:p w14:paraId="2F13794E">
            <w:pPr>
              <w:jc w:val="center"/>
              <w:rPr>
                <w:rFonts w:eastAsia="仿宋_GB2312"/>
                <w:szCs w:val="21"/>
              </w:rPr>
            </w:pPr>
            <w:r>
              <w:rPr>
                <w:rFonts w:eastAsia="仿宋_GB2312"/>
                <w:szCs w:val="21"/>
              </w:rPr>
              <w:t>≤0.0005</w:t>
            </w:r>
          </w:p>
        </w:tc>
      </w:tr>
      <w:tr w14:paraId="2ADB9C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15" w:type="dxa"/>
            <w:tcBorders>
              <w:tl2br w:val="nil"/>
              <w:tr2bl w:val="nil"/>
            </w:tcBorders>
            <w:noWrap/>
            <w:vAlign w:val="center"/>
          </w:tcPr>
          <w:p w14:paraId="324173BD">
            <w:pPr>
              <w:jc w:val="center"/>
              <w:rPr>
                <w:rFonts w:eastAsia="仿宋_GB2312"/>
                <w:szCs w:val="21"/>
              </w:rPr>
            </w:pPr>
            <w:r>
              <w:rPr>
                <w:rFonts w:eastAsia="仿宋_GB2312"/>
                <w:szCs w:val="21"/>
              </w:rPr>
              <w:t>碱度（以OH</w:t>
            </w:r>
            <w:r>
              <w:rPr>
                <w:rFonts w:eastAsia="仿宋_GB2312"/>
                <w:szCs w:val="21"/>
                <w:vertAlign w:val="superscript"/>
              </w:rPr>
              <w:t>-</w:t>
            </w:r>
            <w:r>
              <w:rPr>
                <w:rFonts w:eastAsia="仿宋_GB2312"/>
                <w:szCs w:val="21"/>
              </w:rPr>
              <w:t>计），mmol/100g</w:t>
            </w:r>
          </w:p>
        </w:tc>
        <w:tc>
          <w:tcPr>
            <w:tcW w:w="4013" w:type="dxa"/>
            <w:tcBorders>
              <w:tl2br w:val="nil"/>
              <w:tr2bl w:val="nil"/>
            </w:tcBorders>
            <w:noWrap/>
            <w:vAlign w:val="center"/>
          </w:tcPr>
          <w:p w14:paraId="1401F9DF">
            <w:pPr>
              <w:jc w:val="center"/>
              <w:rPr>
                <w:rFonts w:eastAsia="仿宋_GB2312"/>
                <w:szCs w:val="21"/>
              </w:rPr>
            </w:pPr>
            <w:r>
              <w:rPr>
                <w:rFonts w:eastAsia="仿宋_GB2312"/>
                <w:szCs w:val="21"/>
              </w:rPr>
              <w:t>≤0.0005</w:t>
            </w:r>
          </w:p>
        </w:tc>
      </w:tr>
      <w:tr w14:paraId="224C1C9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15" w:type="dxa"/>
            <w:tcBorders>
              <w:tl2br w:val="nil"/>
              <w:tr2bl w:val="nil"/>
            </w:tcBorders>
            <w:noWrap/>
            <w:vAlign w:val="center"/>
          </w:tcPr>
          <w:p w14:paraId="46036515">
            <w:pPr>
              <w:jc w:val="center"/>
              <w:rPr>
                <w:rFonts w:eastAsia="仿宋_GB2312"/>
                <w:szCs w:val="21"/>
              </w:rPr>
            </w:pPr>
            <w:r>
              <w:rPr>
                <w:rFonts w:eastAsia="仿宋_GB2312"/>
                <w:szCs w:val="21"/>
              </w:rPr>
              <w:t>易炭化物质</w:t>
            </w:r>
          </w:p>
        </w:tc>
        <w:tc>
          <w:tcPr>
            <w:tcW w:w="4013" w:type="dxa"/>
            <w:tcBorders>
              <w:tl2br w:val="nil"/>
              <w:tr2bl w:val="nil"/>
            </w:tcBorders>
            <w:noWrap/>
            <w:vAlign w:val="center"/>
          </w:tcPr>
          <w:p w14:paraId="0B499E57">
            <w:pPr>
              <w:jc w:val="center"/>
              <w:rPr>
                <w:rFonts w:eastAsia="仿宋_GB2312"/>
                <w:szCs w:val="21"/>
              </w:rPr>
            </w:pPr>
            <w:r>
              <w:rPr>
                <w:rFonts w:eastAsia="仿宋_GB2312"/>
                <w:szCs w:val="21"/>
              </w:rPr>
              <w:t>合格</w:t>
            </w:r>
          </w:p>
        </w:tc>
      </w:tr>
      <w:tr w14:paraId="447211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15" w:type="dxa"/>
            <w:tcBorders>
              <w:tl2br w:val="nil"/>
              <w:tr2bl w:val="nil"/>
            </w:tcBorders>
            <w:noWrap/>
            <w:vAlign w:val="center"/>
          </w:tcPr>
          <w:p w14:paraId="5CF0998D">
            <w:pPr>
              <w:jc w:val="center"/>
              <w:rPr>
                <w:rFonts w:eastAsia="仿宋_GB2312"/>
                <w:szCs w:val="21"/>
              </w:rPr>
            </w:pPr>
            <w:r>
              <w:rPr>
                <w:rFonts w:eastAsia="仿宋_GB2312"/>
                <w:szCs w:val="21"/>
              </w:rPr>
              <w:t>硫化合物（以S计），ω/ %</w:t>
            </w:r>
          </w:p>
        </w:tc>
        <w:tc>
          <w:tcPr>
            <w:tcW w:w="4013" w:type="dxa"/>
            <w:tcBorders>
              <w:tl2br w:val="nil"/>
              <w:tr2bl w:val="nil"/>
            </w:tcBorders>
            <w:noWrap/>
            <w:vAlign w:val="center"/>
          </w:tcPr>
          <w:p w14:paraId="153F9CE1">
            <w:pPr>
              <w:jc w:val="center"/>
              <w:rPr>
                <w:rFonts w:eastAsia="仿宋_GB2312"/>
                <w:szCs w:val="21"/>
              </w:rPr>
            </w:pPr>
            <w:r>
              <w:rPr>
                <w:rFonts w:eastAsia="仿宋_GB2312"/>
                <w:szCs w:val="21"/>
              </w:rPr>
              <w:t>≤0.005</w:t>
            </w:r>
          </w:p>
        </w:tc>
      </w:tr>
      <w:tr w14:paraId="039F37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15" w:type="dxa"/>
            <w:tcBorders>
              <w:tl2br w:val="nil"/>
              <w:tr2bl w:val="nil"/>
            </w:tcBorders>
            <w:noWrap/>
            <w:vAlign w:val="center"/>
          </w:tcPr>
          <w:p w14:paraId="671134BD">
            <w:pPr>
              <w:jc w:val="center"/>
              <w:rPr>
                <w:rFonts w:eastAsia="仿宋_GB2312"/>
                <w:szCs w:val="21"/>
              </w:rPr>
            </w:pPr>
            <w:r>
              <w:rPr>
                <w:rFonts w:eastAsia="仿宋_GB2312"/>
                <w:szCs w:val="21"/>
              </w:rPr>
              <w:t>苯（C</w:t>
            </w:r>
            <w:r>
              <w:rPr>
                <w:rFonts w:eastAsia="仿宋_GB2312"/>
                <w:szCs w:val="21"/>
                <w:vertAlign w:val="subscript"/>
              </w:rPr>
              <w:t>6</w:t>
            </w:r>
            <w:r>
              <w:rPr>
                <w:rFonts w:eastAsia="仿宋_GB2312"/>
                <w:szCs w:val="21"/>
              </w:rPr>
              <w:t>H</w:t>
            </w:r>
            <w:r>
              <w:rPr>
                <w:rFonts w:eastAsia="仿宋_GB2312"/>
                <w:szCs w:val="21"/>
                <w:vertAlign w:val="subscript"/>
              </w:rPr>
              <w:t>6</w:t>
            </w:r>
            <w:r>
              <w:rPr>
                <w:rFonts w:eastAsia="仿宋_GB2312"/>
                <w:szCs w:val="21"/>
              </w:rPr>
              <w:t>），ω/ %</w:t>
            </w:r>
          </w:p>
        </w:tc>
        <w:tc>
          <w:tcPr>
            <w:tcW w:w="4013" w:type="dxa"/>
            <w:tcBorders>
              <w:tl2br w:val="nil"/>
              <w:tr2bl w:val="nil"/>
            </w:tcBorders>
            <w:noWrap/>
            <w:vAlign w:val="center"/>
          </w:tcPr>
          <w:p w14:paraId="1A211E97">
            <w:pPr>
              <w:jc w:val="center"/>
              <w:rPr>
                <w:rFonts w:eastAsia="仿宋_GB2312"/>
                <w:szCs w:val="21"/>
              </w:rPr>
            </w:pPr>
            <w:r>
              <w:rPr>
                <w:rFonts w:eastAsia="仿宋_GB2312"/>
                <w:szCs w:val="21"/>
              </w:rPr>
              <w:t>≤0.2</w:t>
            </w:r>
          </w:p>
        </w:tc>
      </w:tr>
      <w:tr w14:paraId="7114709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15" w:type="dxa"/>
            <w:tcBorders>
              <w:tl2br w:val="nil"/>
              <w:tr2bl w:val="nil"/>
            </w:tcBorders>
            <w:noWrap/>
            <w:vAlign w:val="center"/>
          </w:tcPr>
          <w:p w14:paraId="0E2EC4D2">
            <w:pPr>
              <w:jc w:val="center"/>
              <w:rPr>
                <w:rFonts w:eastAsia="仿宋_GB2312"/>
                <w:szCs w:val="21"/>
              </w:rPr>
            </w:pPr>
            <w:r>
              <w:rPr>
                <w:rFonts w:eastAsia="仿宋_GB2312"/>
                <w:szCs w:val="21"/>
              </w:rPr>
              <w:t>甲苯（C</w:t>
            </w:r>
            <w:r>
              <w:rPr>
                <w:rFonts w:eastAsia="仿宋_GB2312"/>
                <w:szCs w:val="21"/>
                <w:vertAlign w:val="subscript"/>
              </w:rPr>
              <w:t>6</w:t>
            </w:r>
            <w:r>
              <w:rPr>
                <w:rFonts w:eastAsia="仿宋_GB2312"/>
                <w:szCs w:val="21"/>
              </w:rPr>
              <w:t>H</w:t>
            </w:r>
            <w:r>
              <w:rPr>
                <w:rFonts w:eastAsia="仿宋_GB2312"/>
                <w:szCs w:val="21"/>
                <w:vertAlign w:val="subscript"/>
              </w:rPr>
              <w:t>5</w:t>
            </w:r>
            <w:r>
              <w:rPr>
                <w:rFonts w:eastAsia="仿宋_GB2312"/>
                <w:szCs w:val="21"/>
              </w:rPr>
              <w:t>CH</w:t>
            </w:r>
            <w:r>
              <w:rPr>
                <w:rFonts w:eastAsia="仿宋_GB2312"/>
                <w:szCs w:val="21"/>
                <w:vertAlign w:val="subscript"/>
              </w:rPr>
              <w:t>3</w:t>
            </w:r>
            <w:r>
              <w:rPr>
                <w:rFonts w:eastAsia="仿宋_GB2312"/>
                <w:szCs w:val="21"/>
              </w:rPr>
              <w:t>），ω/ %</w:t>
            </w:r>
          </w:p>
        </w:tc>
        <w:tc>
          <w:tcPr>
            <w:tcW w:w="4013" w:type="dxa"/>
            <w:tcBorders>
              <w:tl2br w:val="nil"/>
              <w:tr2bl w:val="nil"/>
            </w:tcBorders>
            <w:noWrap/>
            <w:vAlign w:val="center"/>
          </w:tcPr>
          <w:p w14:paraId="33417439">
            <w:pPr>
              <w:jc w:val="center"/>
              <w:rPr>
                <w:rFonts w:eastAsia="仿宋_GB2312"/>
                <w:szCs w:val="21"/>
              </w:rPr>
            </w:pPr>
            <w:r>
              <w:rPr>
                <w:rFonts w:eastAsia="仿宋_GB2312"/>
                <w:szCs w:val="21"/>
              </w:rPr>
              <w:t>≤0.5</w:t>
            </w:r>
          </w:p>
        </w:tc>
      </w:tr>
      <w:tr w14:paraId="1246C5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15" w:type="dxa"/>
            <w:tcBorders>
              <w:tl2br w:val="nil"/>
              <w:tr2bl w:val="nil"/>
            </w:tcBorders>
            <w:noWrap/>
            <w:vAlign w:val="center"/>
          </w:tcPr>
          <w:p w14:paraId="382F5DEB">
            <w:pPr>
              <w:jc w:val="center"/>
              <w:rPr>
                <w:rFonts w:eastAsia="仿宋_GB2312"/>
                <w:szCs w:val="21"/>
              </w:rPr>
            </w:pPr>
            <w:r>
              <w:rPr>
                <w:rFonts w:eastAsia="仿宋_GB2312"/>
                <w:szCs w:val="21"/>
              </w:rPr>
              <w:t>乙基苯（C</w:t>
            </w:r>
            <w:r>
              <w:rPr>
                <w:rFonts w:eastAsia="仿宋_GB2312"/>
                <w:szCs w:val="21"/>
                <w:vertAlign w:val="subscript"/>
              </w:rPr>
              <w:t>6</w:t>
            </w:r>
            <w:r>
              <w:rPr>
                <w:rFonts w:eastAsia="仿宋_GB2312"/>
                <w:szCs w:val="21"/>
              </w:rPr>
              <w:t>H</w:t>
            </w:r>
            <w:r>
              <w:rPr>
                <w:rFonts w:eastAsia="仿宋_GB2312"/>
                <w:szCs w:val="21"/>
                <w:vertAlign w:val="subscript"/>
              </w:rPr>
              <w:t>5</w:t>
            </w:r>
            <w:r>
              <w:rPr>
                <w:rFonts w:eastAsia="仿宋_GB2312"/>
                <w:szCs w:val="21"/>
              </w:rPr>
              <w:t>C</w:t>
            </w:r>
            <w:r>
              <w:rPr>
                <w:rFonts w:eastAsia="仿宋_GB2312"/>
                <w:szCs w:val="21"/>
                <w:vertAlign w:val="subscript"/>
              </w:rPr>
              <w:t>2</w:t>
            </w:r>
            <w:r>
              <w:rPr>
                <w:rFonts w:eastAsia="仿宋_GB2312"/>
                <w:szCs w:val="21"/>
              </w:rPr>
              <w:t>H</w:t>
            </w:r>
            <w:r>
              <w:rPr>
                <w:rFonts w:eastAsia="仿宋_GB2312"/>
                <w:szCs w:val="21"/>
                <w:vertAlign w:val="subscript"/>
              </w:rPr>
              <w:t>5</w:t>
            </w:r>
            <w:r>
              <w:rPr>
                <w:rFonts w:eastAsia="仿宋_GB2312"/>
                <w:szCs w:val="21"/>
              </w:rPr>
              <w:t>），ω/ %</w:t>
            </w:r>
          </w:p>
        </w:tc>
        <w:tc>
          <w:tcPr>
            <w:tcW w:w="4013" w:type="dxa"/>
            <w:tcBorders>
              <w:tl2br w:val="nil"/>
              <w:tr2bl w:val="nil"/>
            </w:tcBorders>
            <w:noWrap/>
            <w:vAlign w:val="center"/>
          </w:tcPr>
          <w:p w14:paraId="0C32C1F0">
            <w:pPr>
              <w:jc w:val="center"/>
              <w:rPr>
                <w:rFonts w:eastAsia="仿宋_GB2312"/>
                <w:szCs w:val="21"/>
              </w:rPr>
            </w:pPr>
            <w:r>
              <w:rPr>
                <w:rFonts w:eastAsia="仿宋_GB2312"/>
                <w:szCs w:val="21"/>
              </w:rPr>
              <w:t>≤24</w:t>
            </w:r>
          </w:p>
        </w:tc>
      </w:tr>
      <w:tr w14:paraId="19D39B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15" w:type="dxa"/>
            <w:tcBorders>
              <w:tl2br w:val="nil"/>
              <w:tr2bl w:val="nil"/>
            </w:tcBorders>
            <w:noWrap/>
            <w:vAlign w:val="center"/>
          </w:tcPr>
          <w:p w14:paraId="4007BAB3">
            <w:pPr>
              <w:jc w:val="center"/>
              <w:rPr>
                <w:rFonts w:eastAsia="仿宋_GB2312"/>
                <w:szCs w:val="21"/>
              </w:rPr>
            </w:pPr>
            <w:r>
              <w:rPr>
                <w:rFonts w:eastAsia="仿宋_GB2312"/>
                <w:szCs w:val="21"/>
              </w:rPr>
              <w:t>噻吩及其同系物</w:t>
            </w:r>
          </w:p>
        </w:tc>
        <w:tc>
          <w:tcPr>
            <w:tcW w:w="4013" w:type="dxa"/>
            <w:tcBorders>
              <w:tl2br w:val="nil"/>
              <w:tr2bl w:val="nil"/>
            </w:tcBorders>
            <w:noWrap/>
            <w:vAlign w:val="center"/>
          </w:tcPr>
          <w:p w14:paraId="03922CF6">
            <w:pPr>
              <w:jc w:val="center"/>
              <w:rPr>
                <w:rFonts w:eastAsia="仿宋_GB2312"/>
                <w:szCs w:val="21"/>
              </w:rPr>
            </w:pPr>
            <w:r>
              <w:rPr>
                <w:rFonts w:eastAsia="仿宋_GB2312"/>
                <w:szCs w:val="21"/>
              </w:rPr>
              <w:t>合格</w:t>
            </w:r>
          </w:p>
        </w:tc>
      </w:tr>
      <w:tr w14:paraId="4C9BE2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15" w:type="dxa"/>
            <w:tcBorders>
              <w:tl2br w:val="nil"/>
              <w:tr2bl w:val="nil"/>
            </w:tcBorders>
            <w:noWrap/>
            <w:vAlign w:val="center"/>
          </w:tcPr>
          <w:p w14:paraId="65F6F34F">
            <w:pPr>
              <w:jc w:val="center"/>
              <w:rPr>
                <w:rFonts w:eastAsia="仿宋_GB2312"/>
                <w:szCs w:val="21"/>
              </w:rPr>
            </w:pPr>
            <w:r>
              <w:rPr>
                <w:rFonts w:eastAsia="仿宋_GB2312"/>
                <w:szCs w:val="21"/>
              </w:rPr>
              <w:t>不饱和化合物（以Br</w:t>
            </w:r>
            <w:r>
              <w:rPr>
                <w:rFonts w:eastAsia="仿宋_GB2312"/>
                <w:szCs w:val="21"/>
                <w:vertAlign w:val="superscript"/>
              </w:rPr>
              <w:t>-</w:t>
            </w:r>
            <w:r>
              <w:rPr>
                <w:rFonts w:eastAsia="仿宋_GB2312"/>
                <w:szCs w:val="21"/>
              </w:rPr>
              <w:t>计）/ %</w:t>
            </w:r>
          </w:p>
        </w:tc>
        <w:tc>
          <w:tcPr>
            <w:tcW w:w="4013" w:type="dxa"/>
            <w:tcBorders>
              <w:tl2br w:val="nil"/>
              <w:tr2bl w:val="nil"/>
            </w:tcBorders>
            <w:noWrap/>
            <w:vAlign w:val="center"/>
          </w:tcPr>
          <w:p w14:paraId="4DE10579">
            <w:pPr>
              <w:jc w:val="center"/>
              <w:rPr>
                <w:rFonts w:eastAsia="仿宋_GB2312"/>
                <w:szCs w:val="21"/>
              </w:rPr>
            </w:pPr>
            <w:r>
              <w:rPr>
                <w:rFonts w:eastAsia="仿宋_GB2312"/>
                <w:szCs w:val="21"/>
              </w:rPr>
              <w:t>≤0.03</w:t>
            </w:r>
          </w:p>
        </w:tc>
      </w:tr>
      <w:tr w14:paraId="2FB366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15" w:type="dxa"/>
            <w:tcBorders>
              <w:tl2br w:val="nil"/>
              <w:tr2bl w:val="nil"/>
            </w:tcBorders>
            <w:noWrap/>
            <w:vAlign w:val="center"/>
          </w:tcPr>
          <w:p w14:paraId="1356B9E4">
            <w:pPr>
              <w:jc w:val="center"/>
              <w:rPr>
                <w:rFonts w:eastAsia="仿宋_GB2312"/>
                <w:szCs w:val="21"/>
              </w:rPr>
            </w:pPr>
            <w:r>
              <w:rPr>
                <w:rFonts w:eastAsia="仿宋_GB2312"/>
                <w:szCs w:val="21"/>
              </w:rPr>
              <w:t>水分（H</w:t>
            </w:r>
            <w:r>
              <w:rPr>
                <w:rFonts w:eastAsia="仿宋_GB2312"/>
                <w:szCs w:val="21"/>
                <w:vertAlign w:val="subscript"/>
              </w:rPr>
              <w:t>2</w:t>
            </w:r>
            <w:r>
              <w:rPr>
                <w:rFonts w:eastAsia="仿宋_GB2312"/>
                <w:szCs w:val="21"/>
              </w:rPr>
              <w:t>O），ω / %</w:t>
            </w:r>
          </w:p>
        </w:tc>
        <w:tc>
          <w:tcPr>
            <w:tcW w:w="4013" w:type="dxa"/>
            <w:tcBorders>
              <w:tl2br w:val="nil"/>
              <w:tr2bl w:val="nil"/>
            </w:tcBorders>
            <w:noWrap/>
            <w:vAlign w:val="center"/>
          </w:tcPr>
          <w:p w14:paraId="01262704">
            <w:pPr>
              <w:jc w:val="center"/>
              <w:rPr>
                <w:rFonts w:eastAsia="仿宋_GB2312"/>
                <w:szCs w:val="21"/>
              </w:rPr>
            </w:pPr>
            <w:r>
              <w:rPr>
                <w:rFonts w:eastAsia="仿宋_GB2312"/>
                <w:szCs w:val="21"/>
              </w:rPr>
              <w:t>≤0.06</w:t>
            </w:r>
          </w:p>
        </w:tc>
      </w:tr>
    </w:tbl>
    <w:p w14:paraId="1083145D">
      <w:pPr>
        <w:pStyle w:val="162"/>
        <w:spacing w:line="480" w:lineRule="exact"/>
        <w:ind w:firstLine="0" w:firstLineChars="0"/>
        <w:rPr>
          <w:rFonts w:ascii="Times New Roman"/>
          <w:color w:val="FF0000"/>
        </w:rPr>
      </w:pPr>
    </w:p>
    <w:p w14:paraId="0FB0FCF5">
      <w:pPr>
        <w:pStyle w:val="162"/>
        <w:spacing w:line="480" w:lineRule="exact"/>
        <w:ind w:firstLine="0" w:firstLineChars="0"/>
        <w:rPr>
          <w:rFonts w:ascii="Times New Roman"/>
        </w:rPr>
      </w:pPr>
      <w:r>
        <w:rPr>
          <w:rFonts w:ascii="Times New Roman"/>
        </w:rPr>
        <w:t>表3.2-1</w:t>
      </w:r>
      <w:r>
        <w:rPr>
          <w:rFonts w:hint="eastAsia" w:ascii="Times New Roman"/>
        </w:rPr>
        <w:t>2</w:t>
      </w:r>
      <w:r>
        <w:rPr>
          <w:rFonts w:ascii="Times New Roman"/>
        </w:rPr>
        <w:t xml:space="preserve">  乙酸乙酯产品质量指标</w:t>
      </w:r>
    </w:p>
    <w:tbl>
      <w:tblPr>
        <w:tblStyle w:val="88"/>
        <w:tblW w:w="852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515"/>
        <w:gridCol w:w="4013"/>
      </w:tblGrid>
      <w:tr w14:paraId="1453CA9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15" w:type="dxa"/>
            <w:tcBorders>
              <w:tl2br w:val="nil"/>
              <w:tr2bl w:val="nil"/>
            </w:tcBorders>
            <w:noWrap/>
            <w:vAlign w:val="center"/>
          </w:tcPr>
          <w:p w14:paraId="13E4F193">
            <w:pPr>
              <w:adjustRightInd w:val="0"/>
              <w:snapToGrid w:val="0"/>
              <w:jc w:val="center"/>
              <w:rPr>
                <w:rFonts w:eastAsia="仿宋_GB2312"/>
                <w:b/>
                <w:szCs w:val="21"/>
              </w:rPr>
            </w:pPr>
            <w:r>
              <w:rPr>
                <w:rFonts w:eastAsia="仿宋_GB2312"/>
                <w:b/>
                <w:szCs w:val="21"/>
              </w:rPr>
              <w:t>项目</w:t>
            </w:r>
          </w:p>
        </w:tc>
        <w:tc>
          <w:tcPr>
            <w:tcW w:w="4013" w:type="dxa"/>
            <w:tcBorders>
              <w:tl2br w:val="nil"/>
              <w:tr2bl w:val="nil"/>
            </w:tcBorders>
            <w:noWrap/>
            <w:vAlign w:val="center"/>
          </w:tcPr>
          <w:p w14:paraId="511456D3">
            <w:pPr>
              <w:adjustRightInd w:val="0"/>
              <w:snapToGrid w:val="0"/>
              <w:jc w:val="center"/>
              <w:rPr>
                <w:rFonts w:hint="default" w:eastAsia="仿宋_GB2312"/>
                <w:b/>
                <w:szCs w:val="21"/>
                <w:lang w:val="en-US" w:eastAsia="zh-CN"/>
              </w:rPr>
            </w:pPr>
            <w:r>
              <w:rPr>
                <w:rFonts w:hint="eastAsia" w:eastAsia="仿宋_GB2312"/>
                <w:b/>
                <w:szCs w:val="21"/>
                <w:lang w:val="en-US" w:eastAsia="zh-CN"/>
              </w:rPr>
              <w:t>II型</w:t>
            </w:r>
          </w:p>
        </w:tc>
      </w:tr>
      <w:tr w14:paraId="72A325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15" w:type="dxa"/>
            <w:tcBorders>
              <w:tl2br w:val="nil"/>
              <w:tr2bl w:val="nil"/>
            </w:tcBorders>
            <w:noWrap/>
            <w:vAlign w:val="center"/>
          </w:tcPr>
          <w:p w14:paraId="6D909EAE">
            <w:pPr>
              <w:adjustRightInd w:val="0"/>
              <w:snapToGrid w:val="0"/>
              <w:jc w:val="center"/>
              <w:rPr>
                <w:rFonts w:eastAsia="仿宋_GB2312"/>
                <w:szCs w:val="21"/>
              </w:rPr>
            </w:pPr>
            <w:r>
              <w:rPr>
                <w:rFonts w:eastAsia="仿宋_GB2312"/>
                <w:szCs w:val="21"/>
              </w:rPr>
              <w:t>乙酸乙酯的质量分数/%</w:t>
            </w:r>
          </w:p>
        </w:tc>
        <w:tc>
          <w:tcPr>
            <w:tcW w:w="4013" w:type="dxa"/>
            <w:tcBorders>
              <w:tl2br w:val="nil"/>
              <w:tr2bl w:val="nil"/>
            </w:tcBorders>
            <w:noWrap/>
            <w:vAlign w:val="center"/>
          </w:tcPr>
          <w:p w14:paraId="60247B82">
            <w:pPr>
              <w:jc w:val="center"/>
              <w:rPr>
                <w:rFonts w:hint="eastAsia" w:eastAsia="仿宋_GB2312"/>
                <w:szCs w:val="21"/>
                <w:lang w:val="en-US" w:eastAsia="zh-CN"/>
              </w:rPr>
            </w:pPr>
            <w:r>
              <w:rPr>
                <w:rFonts w:eastAsia="仿宋_GB2312"/>
                <w:szCs w:val="21"/>
              </w:rPr>
              <w:t>≥99.</w:t>
            </w:r>
            <w:r>
              <w:rPr>
                <w:rFonts w:hint="eastAsia" w:eastAsia="仿宋_GB2312"/>
                <w:szCs w:val="21"/>
                <w:lang w:val="en-US" w:eastAsia="zh-CN"/>
              </w:rPr>
              <w:t>5</w:t>
            </w:r>
          </w:p>
        </w:tc>
      </w:tr>
      <w:tr w14:paraId="5A1EB2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15" w:type="dxa"/>
            <w:tcBorders>
              <w:tl2br w:val="nil"/>
              <w:tr2bl w:val="nil"/>
            </w:tcBorders>
            <w:noWrap/>
            <w:vAlign w:val="center"/>
          </w:tcPr>
          <w:p w14:paraId="77E797E8">
            <w:pPr>
              <w:adjustRightInd w:val="0"/>
              <w:snapToGrid w:val="0"/>
              <w:jc w:val="center"/>
              <w:rPr>
                <w:rFonts w:eastAsia="仿宋_GB2312"/>
                <w:szCs w:val="21"/>
              </w:rPr>
            </w:pPr>
            <w:r>
              <w:rPr>
                <w:rFonts w:eastAsia="仿宋_GB2312"/>
                <w:szCs w:val="21"/>
              </w:rPr>
              <w:t>乙醇的质量分数/%</w:t>
            </w:r>
          </w:p>
        </w:tc>
        <w:tc>
          <w:tcPr>
            <w:tcW w:w="4013" w:type="dxa"/>
            <w:tcBorders>
              <w:tl2br w:val="nil"/>
              <w:tr2bl w:val="nil"/>
            </w:tcBorders>
            <w:noWrap/>
            <w:vAlign w:val="center"/>
          </w:tcPr>
          <w:p w14:paraId="0ABB9A64">
            <w:pPr>
              <w:jc w:val="center"/>
              <w:rPr>
                <w:rFonts w:hint="eastAsia" w:eastAsia="仿宋_GB2312"/>
                <w:szCs w:val="21"/>
                <w:lang w:eastAsia="zh-CN"/>
              </w:rPr>
            </w:pPr>
            <w:r>
              <w:rPr>
                <w:rFonts w:eastAsia="仿宋_GB2312"/>
                <w:szCs w:val="21"/>
              </w:rPr>
              <w:t>≤0.</w:t>
            </w:r>
            <w:r>
              <w:rPr>
                <w:rFonts w:hint="eastAsia" w:eastAsia="仿宋_GB2312"/>
                <w:szCs w:val="21"/>
                <w:lang w:val="en-US" w:eastAsia="zh-CN"/>
              </w:rPr>
              <w:t>1</w:t>
            </w:r>
          </w:p>
        </w:tc>
      </w:tr>
      <w:tr w14:paraId="6EBF820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15" w:type="dxa"/>
            <w:tcBorders>
              <w:tl2br w:val="nil"/>
              <w:tr2bl w:val="nil"/>
            </w:tcBorders>
            <w:noWrap/>
            <w:vAlign w:val="center"/>
          </w:tcPr>
          <w:p w14:paraId="66B61089">
            <w:pPr>
              <w:adjustRightInd w:val="0"/>
              <w:snapToGrid w:val="0"/>
              <w:jc w:val="center"/>
              <w:rPr>
                <w:rFonts w:eastAsia="仿宋_GB2312"/>
                <w:szCs w:val="21"/>
              </w:rPr>
            </w:pPr>
            <w:r>
              <w:rPr>
                <w:rFonts w:eastAsia="仿宋_GB2312"/>
                <w:szCs w:val="21"/>
              </w:rPr>
              <w:t>水的质量分数/%</w:t>
            </w:r>
          </w:p>
        </w:tc>
        <w:tc>
          <w:tcPr>
            <w:tcW w:w="4013" w:type="dxa"/>
            <w:tcBorders>
              <w:tl2br w:val="nil"/>
              <w:tr2bl w:val="nil"/>
            </w:tcBorders>
            <w:noWrap/>
            <w:vAlign w:val="center"/>
          </w:tcPr>
          <w:p w14:paraId="71A5551F">
            <w:pPr>
              <w:jc w:val="center"/>
              <w:rPr>
                <w:rFonts w:eastAsia="仿宋_GB2312"/>
                <w:szCs w:val="21"/>
              </w:rPr>
            </w:pPr>
            <w:r>
              <w:rPr>
                <w:rFonts w:eastAsia="仿宋_GB2312"/>
                <w:szCs w:val="21"/>
              </w:rPr>
              <w:t>≤0.10</w:t>
            </w:r>
          </w:p>
        </w:tc>
      </w:tr>
      <w:tr w14:paraId="467937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15" w:type="dxa"/>
            <w:tcBorders>
              <w:tl2br w:val="nil"/>
              <w:tr2bl w:val="nil"/>
            </w:tcBorders>
            <w:noWrap/>
            <w:vAlign w:val="center"/>
          </w:tcPr>
          <w:p w14:paraId="43ECBC88">
            <w:pPr>
              <w:adjustRightInd w:val="0"/>
              <w:snapToGrid w:val="0"/>
              <w:jc w:val="center"/>
              <w:rPr>
                <w:rFonts w:eastAsia="仿宋_GB2312"/>
                <w:szCs w:val="21"/>
              </w:rPr>
            </w:pPr>
            <w:r>
              <w:rPr>
                <w:rFonts w:eastAsia="仿宋_GB2312"/>
                <w:szCs w:val="21"/>
              </w:rPr>
              <w:t>酸的质量分数（以CH</w:t>
            </w:r>
            <w:r>
              <w:rPr>
                <w:rFonts w:eastAsia="仿宋_GB2312"/>
                <w:szCs w:val="21"/>
                <w:vertAlign w:val="subscript"/>
              </w:rPr>
              <w:t>3</w:t>
            </w:r>
            <w:r>
              <w:rPr>
                <w:rFonts w:eastAsia="仿宋_GB2312"/>
                <w:szCs w:val="21"/>
              </w:rPr>
              <w:t>COOH计）</w:t>
            </w:r>
          </w:p>
        </w:tc>
        <w:tc>
          <w:tcPr>
            <w:tcW w:w="4013" w:type="dxa"/>
            <w:tcBorders>
              <w:tl2br w:val="nil"/>
              <w:tr2bl w:val="nil"/>
            </w:tcBorders>
            <w:noWrap/>
            <w:vAlign w:val="center"/>
          </w:tcPr>
          <w:p w14:paraId="6C0993D5">
            <w:pPr>
              <w:jc w:val="center"/>
              <w:rPr>
                <w:rFonts w:eastAsia="仿宋_GB2312"/>
                <w:szCs w:val="21"/>
              </w:rPr>
            </w:pPr>
            <w:r>
              <w:rPr>
                <w:rFonts w:eastAsia="仿宋_GB2312"/>
                <w:szCs w:val="21"/>
              </w:rPr>
              <w:t>≤0.005</w:t>
            </w:r>
          </w:p>
        </w:tc>
      </w:tr>
      <w:tr w14:paraId="4F003B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15" w:type="dxa"/>
            <w:tcBorders>
              <w:tl2br w:val="nil"/>
              <w:tr2bl w:val="nil"/>
            </w:tcBorders>
            <w:noWrap/>
            <w:vAlign w:val="center"/>
          </w:tcPr>
          <w:p w14:paraId="335FBE1F">
            <w:pPr>
              <w:adjustRightInd w:val="0"/>
              <w:snapToGrid w:val="0"/>
              <w:jc w:val="center"/>
              <w:rPr>
                <w:rFonts w:eastAsia="仿宋_GB2312"/>
                <w:szCs w:val="21"/>
              </w:rPr>
            </w:pPr>
            <w:r>
              <w:rPr>
                <w:rFonts w:eastAsia="仿宋_GB2312"/>
                <w:szCs w:val="21"/>
              </w:rPr>
              <w:t>色度/Hazen单位（Pt-Co色号）</w:t>
            </w:r>
          </w:p>
        </w:tc>
        <w:tc>
          <w:tcPr>
            <w:tcW w:w="4013" w:type="dxa"/>
            <w:tcBorders>
              <w:tl2br w:val="nil"/>
              <w:tr2bl w:val="nil"/>
            </w:tcBorders>
            <w:noWrap/>
            <w:vAlign w:val="center"/>
          </w:tcPr>
          <w:p w14:paraId="7B0D79A2">
            <w:pPr>
              <w:jc w:val="center"/>
              <w:rPr>
                <w:rFonts w:eastAsia="仿宋_GB2312"/>
                <w:szCs w:val="21"/>
              </w:rPr>
            </w:pPr>
            <w:r>
              <w:rPr>
                <w:rFonts w:eastAsia="仿宋_GB2312"/>
                <w:szCs w:val="21"/>
              </w:rPr>
              <w:t>≤10</w:t>
            </w:r>
          </w:p>
        </w:tc>
      </w:tr>
      <w:tr w14:paraId="1F5121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15" w:type="dxa"/>
            <w:tcBorders>
              <w:tl2br w:val="nil"/>
              <w:tr2bl w:val="nil"/>
            </w:tcBorders>
            <w:noWrap/>
            <w:vAlign w:val="center"/>
          </w:tcPr>
          <w:p w14:paraId="5706F717">
            <w:pPr>
              <w:adjustRightInd w:val="0"/>
              <w:snapToGrid w:val="0"/>
              <w:jc w:val="center"/>
              <w:rPr>
                <w:rFonts w:eastAsia="仿宋_GB2312"/>
                <w:szCs w:val="21"/>
              </w:rPr>
            </w:pPr>
            <w:r>
              <w:rPr>
                <w:rFonts w:eastAsia="仿宋_GB2312"/>
                <w:szCs w:val="21"/>
              </w:rPr>
              <w:t>密度 ρ20（g/cm</w:t>
            </w:r>
            <w:r>
              <w:rPr>
                <w:rFonts w:eastAsia="仿宋_GB2312"/>
                <w:szCs w:val="21"/>
                <w:vertAlign w:val="superscript"/>
              </w:rPr>
              <w:t>3</w:t>
            </w:r>
            <w:r>
              <w:rPr>
                <w:rFonts w:eastAsia="仿宋_GB2312"/>
                <w:szCs w:val="21"/>
              </w:rPr>
              <w:t>）</w:t>
            </w:r>
          </w:p>
        </w:tc>
        <w:tc>
          <w:tcPr>
            <w:tcW w:w="4013" w:type="dxa"/>
            <w:tcBorders>
              <w:tl2br w:val="nil"/>
              <w:tr2bl w:val="nil"/>
            </w:tcBorders>
            <w:noWrap/>
            <w:vAlign w:val="center"/>
          </w:tcPr>
          <w:p w14:paraId="414215F5">
            <w:pPr>
              <w:jc w:val="center"/>
              <w:rPr>
                <w:rFonts w:eastAsia="仿宋_GB2312"/>
                <w:szCs w:val="21"/>
              </w:rPr>
            </w:pPr>
            <w:r>
              <w:rPr>
                <w:rFonts w:eastAsia="仿宋_GB2312"/>
                <w:szCs w:val="21"/>
              </w:rPr>
              <w:t>0.897~0.902</w:t>
            </w:r>
          </w:p>
        </w:tc>
      </w:tr>
      <w:tr w14:paraId="412708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15" w:type="dxa"/>
            <w:tcBorders>
              <w:tl2br w:val="nil"/>
              <w:tr2bl w:val="nil"/>
            </w:tcBorders>
            <w:noWrap/>
            <w:vAlign w:val="center"/>
          </w:tcPr>
          <w:p w14:paraId="06799999">
            <w:pPr>
              <w:adjustRightInd w:val="0"/>
              <w:snapToGrid w:val="0"/>
              <w:jc w:val="center"/>
              <w:rPr>
                <w:rFonts w:eastAsia="仿宋_GB2312"/>
                <w:szCs w:val="21"/>
              </w:rPr>
            </w:pPr>
            <w:r>
              <w:rPr>
                <w:rFonts w:eastAsia="仿宋_GB2312"/>
                <w:szCs w:val="21"/>
              </w:rPr>
              <w:t>蒸发残渣（质量分数）/%</w:t>
            </w:r>
          </w:p>
        </w:tc>
        <w:tc>
          <w:tcPr>
            <w:tcW w:w="4013" w:type="dxa"/>
            <w:tcBorders>
              <w:tl2br w:val="nil"/>
              <w:tr2bl w:val="nil"/>
            </w:tcBorders>
            <w:noWrap/>
            <w:vAlign w:val="center"/>
          </w:tcPr>
          <w:p w14:paraId="02062787">
            <w:pPr>
              <w:jc w:val="center"/>
              <w:rPr>
                <w:rFonts w:eastAsia="仿宋_GB2312"/>
                <w:szCs w:val="21"/>
              </w:rPr>
            </w:pPr>
            <w:r>
              <w:rPr>
                <w:rFonts w:eastAsia="仿宋_GB2312"/>
                <w:szCs w:val="21"/>
              </w:rPr>
              <w:t>≤0.005</w:t>
            </w:r>
          </w:p>
        </w:tc>
      </w:tr>
      <w:tr w14:paraId="7615BC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15" w:type="dxa"/>
            <w:tcBorders>
              <w:tl2br w:val="nil"/>
              <w:tr2bl w:val="nil"/>
            </w:tcBorders>
            <w:noWrap/>
            <w:vAlign w:val="center"/>
          </w:tcPr>
          <w:p w14:paraId="1172D2DE">
            <w:pPr>
              <w:adjustRightInd w:val="0"/>
              <w:snapToGrid w:val="0"/>
              <w:jc w:val="center"/>
              <w:rPr>
                <w:rFonts w:eastAsia="仿宋_GB2312"/>
                <w:szCs w:val="21"/>
              </w:rPr>
            </w:pPr>
            <w:r>
              <w:rPr>
                <w:rFonts w:eastAsia="仿宋_GB2312"/>
                <w:szCs w:val="21"/>
              </w:rPr>
              <w:t>气味*</w:t>
            </w:r>
          </w:p>
        </w:tc>
        <w:tc>
          <w:tcPr>
            <w:tcW w:w="4013" w:type="dxa"/>
            <w:tcBorders>
              <w:tl2br w:val="nil"/>
              <w:tr2bl w:val="nil"/>
            </w:tcBorders>
            <w:noWrap/>
            <w:vAlign w:val="center"/>
          </w:tcPr>
          <w:p w14:paraId="7D10518E">
            <w:pPr>
              <w:jc w:val="center"/>
              <w:rPr>
                <w:rFonts w:eastAsia="仿宋_GB2312"/>
                <w:szCs w:val="21"/>
              </w:rPr>
            </w:pPr>
            <w:r>
              <w:rPr>
                <w:rFonts w:eastAsia="仿宋_GB2312"/>
                <w:szCs w:val="21"/>
              </w:rPr>
              <w:t>符合特征气味，无异味，无残留气味</w:t>
            </w:r>
          </w:p>
        </w:tc>
      </w:tr>
      <w:tr w14:paraId="22F010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528" w:type="dxa"/>
            <w:gridSpan w:val="2"/>
            <w:tcBorders>
              <w:tl2br w:val="nil"/>
              <w:tr2bl w:val="nil"/>
            </w:tcBorders>
            <w:noWrap/>
            <w:vAlign w:val="center"/>
          </w:tcPr>
          <w:p w14:paraId="3AF34D7A">
            <w:pPr>
              <w:rPr>
                <w:rFonts w:eastAsia="仿宋_GB2312"/>
                <w:szCs w:val="21"/>
              </w:rPr>
            </w:pPr>
            <w:r>
              <w:rPr>
                <w:rFonts w:eastAsia="仿宋_GB2312"/>
                <w:szCs w:val="21"/>
              </w:rPr>
              <w:t>*为可选项目</w:t>
            </w:r>
          </w:p>
        </w:tc>
      </w:tr>
    </w:tbl>
    <w:p w14:paraId="6EA558B4">
      <w:pPr>
        <w:pStyle w:val="162"/>
        <w:spacing w:line="480" w:lineRule="exact"/>
        <w:ind w:firstLine="0" w:firstLineChars="0"/>
        <w:rPr>
          <w:rFonts w:ascii="Times New Roman"/>
        </w:rPr>
      </w:pPr>
      <w:bookmarkStart w:id="35" w:name="_Hlk519841131"/>
      <w:r>
        <w:rPr>
          <w:rFonts w:ascii="Times New Roman"/>
        </w:rPr>
        <w:t>表3.2-1</w:t>
      </w:r>
      <w:r>
        <w:rPr>
          <w:rFonts w:hint="eastAsia" w:ascii="Times New Roman"/>
        </w:rPr>
        <w:t>3</w:t>
      </w:r>
      <w:r>
        <w:rPr>
          <w:rFonts w:ascii="Times New Roman"/>
        </w:rPr>
        <w:t xml:space="preserve">  乙酸丁酯产品质量指标</w:t>
      </w:r>
    </w:p>
    <w:tbl>
      <w:tblPr>
        <w:tblStyle w:val="88"/>
        <w:tblW w:w="852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515"/>
        <w:gridCol w:w="4013"/>
      </w:tblGrid>
      <w:tr w14:paraId="3DEE57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15" w:type="dxa"/>
            <w:tcBorders>
              <w:tl2br w:val="nil"/>
              <w:tr2bl w:val="nil"/>
            </w:tcBorders>
            <w:noWrap/>
            <w:vAlign w:val="center"/>
          </w:tcPr>
          <w:p w14:paraId="5848ED3F">
            <w:pPr>
              <w:adjustRightInd w:val="0"/>
              <w:snapToGrid w:val="0"/>
              <w:jc w:val="center"/>
              <w:rPr>
                <w:rFonts w:eastAsia="仿宋_GB2312"/>
                <w:b/>
                <w:szCs w:val="21"/>
              </w:rPr>
            </w:pPr>
            <w:bookmarkStart w:id="36" w:name="_Hlk520877421"/>
            <w:r>
              <w:rPr>
                <w:rFonts w:eastAsia="仿宋_GB2312"/>
                <w:b/>
                <w:szCs w:val="21"/>
              </w:rPr>
              <w:t>项目</w:t>
            </w:r>
          </w:p>
        </w:tc>
        <w:tc>
          <w:tcPr>
            <w:tcW w:w="4013" w:type="dxa"/>
            <w:tcBorders>
              <w:tl2br w:val="nil"/>
              <w:tr2bl w:val="nil"/>
            </w:tcBorders>
            <w:noWrap/>
            <w:vAlign w:val="center"/>
          </w:tcPr>
          <w:p w14:paraId="00C26D78">
            <w:pPr>
              <w:adjustRightInd w:val="0"/>
              <w:snapToGrid w:val="0"/>
              <w:jc w:val="center"/>
              <w:rPr>
                <w:rFonts w:eastAsia="仿宋_GB2312"/>
                <w:b/>
                <w:szCs w:val="21"/>
              </w:rPr>
            </w:pPr>
            <w:r>
              <w:rPr>
                <w:rFonts w:eastAsia="仿宋_GB2312"/>
                <w:b/>
                <w:szCs w:val="21"/>
              </w:rPr>
              <w:t>指标（合格品）</w:t>
            </w:r>
          </w:p>
        </w:tc>
      </w:tr>
      <w:tr w14:paraId="18CCB9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15" w:type="dxa"/>
            <w:tcBorders>
              <w:tl2br w:val="nil"/>
              <w:tr2bl w:val="nil"/>
            </w:tcBorders>
            <w:noWrap/>
            <w:vAlign w:val="center"/>
          </w:tcPr>
          <w:p w14:paraId="7B9CF1B2">
            <w:pPr>
              <w:adjustRightInd w:val="0"/>
              <w:snapToGrid w:val="0"/>
              <w:jc w:val="center"/>
              <w:rPr>
                <w:rFonts w:eastAsia="仿宋_GB2312"/>
                <w:szCs w:val="21"/>
              </w:rPr>
            </w:pPr>
            <w:r>
              <w:rPr>
                <w:rFonts w:eastAsia="仿宋_GB2312"/>
                <w:szCs w:val="21"/>
              </w:rPr>
              <w:t>乙酸正丁酯的质量分数/%</w:t>
            </w:r>
          </w:p>
        </w:tc>
        <w:tc>
          <w:tcPr>
            <w:tcW w:w="4013" w:type="dxa"/>
            <w:tcBorders>
              <w:tl2br w:val="nil"/>
              <w:tr2bl w:val="nil"/>
            </w:tcBorders>
            <w:noWrap/>
            <w:vAlign w:val="center"/>
          </w:tcPr>
          <w:p w14:paraId="4EF1440E">
            <w:pPr>
              <w:jc w:val="center"/>
              <w:rPr>
                <w:rFonts w:hint="eastAsia" w:eastAsia="仿宋_GB2312"/>
                <w:szCs w:val="21"/>
                <w:lang w:eastAsia="zh-CN"/>
              </w:rPr>
            </w:pPr>
            <w:r>
              <w:rPr>
                <w:rFonts w:eastAsia="仿宋_GB2312"/>
                <w:szCs w:val="21"/>
              </w:rPr>
              <w:t>≥99.</w:t>
            </w:r>
            <w:r>
              <w:rPr>
                <w:rFonts w:hint="eastAsia" w:eastAsia="仿宋_GB2312"/>
                <w:szCs w:val="21"/>
                <w:lang w:val="en-US" w:eastAsia="zh-CN"/>
              </w:rPr>
              <w:t>2</w:t>
            </w:r>
          </w:p>
        </w:tc>
      </w:tr>
      <w:tr w14:paraId="3735D0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15" w:type="dxa"/>
            <w:tcBorders>
              <w:tl2br w:val="nil"/>
              <w:tr2bl w:val="nil"/>
            </w:tcBorders>
            <w:noWrap/>
            <w:vAlign w:val="center"/>
          </w:tcPr>
          <w:p w14:paraId="4D8551F5">
            <w:pPr>
              <w:adjustRightInd w:val="0"/>
              <w:snapToGrid w:val="0"/>
              <w:jc w:val="center"/>
              <w:rPr>
                <w:rFonts w:hint="eastAsia" w:eastAsia="仿宋_GB2312"/>
                <w:szCs w:val="21"/>
                <w:lang w:val="en-US" w:eastAsia="zh-CN"/>
              </w:rPr>
            </w:pPr>
            <w:r>
              <w:rPr>
                <w:rFonts w:hint="eastAsia" w:eastAsia="仿宋_GB2312"/>
                <w:szCs w:val="21"/>
                <w:lang w:val="en-US" w:eastAsia="zh-CN"/>
              </w:rPr>
              <w:t>正丁醇</w:t>
            </w:r>
            <w:r>
              <w:rPr>
                <w:rFonts w:eastAsia="仿宋_GB2312"/>
                <w:szCs w:val="21"/>
              </w:rPr>
              <w:t>质量分数/%</w:t>
            </w:r>
          </w:p>
        </w:tc>
        <w:tc>
          <w:tcPr>
            <w:tcW w:w="4013" w:type="dxa"/>
            <w:tcBorders>
              <w:tl2br w:val="nil"/>
              <w:tr2bl w:val="nil"/>
            </w:tcBorders>
            <w:noWrap/>
            <w:vAlign w:val="center"/>
          </w:tcPr>
          <w:p w14:paraId="6DB5B08F">
            <w:pPr>
              <w:jc w:val="center"/>
              <w:rPr>
                <w:rFonts w:hint="eastAsia" w:eastAsia="仿宋_GB2312"/>
                <w:szCs w:val="21"/>
                <w:lang w:eastAsia="zh-CN"/>
              </w:rPr>
            </w:pPr>
            <w:r>
              <w:rPr>
                <w:rFonts w:eastAsia="仿宋_GB2312"/>
                <w:szCs w:val="21"/>
              </w:rPr>
              <w:t>≤0.</w:t>
            </w:r>
            <w:r>
              <w:rPr>
                <w:rFonts w:hint="eastAsia" w:eastAsia="仿宋_GB2312"/>
                <w:szCs w:val="21"/>
                <w:lang w:val="en-US" w:eastAsia="zh-CN"/>
              </w:rPr>
              <w:t>5</w:t>
            </w:r>
          </w:p>
        </w:tc>
      </w:tr>
      <w:tr w14:paraId="250B99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15" w:type="dxa"/>
            <w:tcBorders>
              <w:tl2br w:val="nil"/>
              <w:tr2bl w:val="nil"/>
            </w:tcBorders>
            <w:noWrap/>
            <w:vAlign w:val="center"/>
          </w:tcPr>
          <w:p w14:paraId="0101032F">
            <w:pPr>
              <w:adjustRightInd w:val="0"/>
              <w:snapToGrid w:val="0"/>
              <w:jc w:val="center"/>
              <w:rPr>
                <w:rFonts w:eastAsia="仿宋_GB2312"/>
                <w:szCs w:val="21"/>
              </w:rPr>
            </w:pPr>
            <w:r>
              <w:rPr>
                <w:rFonts w:eastAsia="仿宋_GB2312"/>
                <w:szCs w:val="21"/>
              </w:rPr>
              <w:t>水的质量分数/%</w:t>
            </w:r>
          </w:p>
        </w:tc>
        <w:tc>
          <w:tcPr>
            <w:tcW w:w="4013" w:type="dxa"/>
            <w:tcBorders>
              <w:tl2br w:val="nil"/>
              <w:tr2bl w:val="nil"/>
            </w:tcBorders>
            <w:noWrap/>
            <w:vAlign w:val="center"/>
          </w:tcPr>
          <w:p w14:paraId="1EE3D268">
            <w:pPr>
              <w:jc w:val="center"/>
              <w:rPr>
                <w:rFonts w:eastAsia="仿宋_GB2312"/>
                <w:szCs w:val="21"/>
              </w:rPr>
            </w:pPr>
            <w:r>
              <w:rPr>
                <w:rFonts w:eastAsia="仿宋_GB2312"/>
                <w:szCs w:val="21"/>
              </w:rPr>
              <w:t>≤0.10</w:t>
            </w:r>
          </w:p>
        </w:tc>
      </w:tr>
      <w:tr w14:paraId="3C368A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15" w:type="dxa"/>
            <w:tcBorders>
              <w:tl2br w:val="nil"/>
              <w:tr2bl w:val="nil"/>
            </w:tcBorders>
            <w:noWrap/>
            <w:vAlign w:val="center"/>
          </w:tcPr>
          <w:p w14:paraId="4905FDAD">
            <w:pPr>
              <w:adjustRightInd w:val="0"/>
              <w:snapToGrid w:val="0"/>
              <w:jc w:val="center"/>
              <w:rPr>
                <w:rFonts w:eastAsia="仿宋_GB2312"/>
                <w:szCs w:val="21"/>
              </w:rPr>
            </w:pPr>
            <w:r>
              <w:rPr>
                <w:rFonts w:eastAsia="仿宋_GB2312"/>
                <w:szCs w:val="21"/>
              </w:rPr>
              <w:t>酸的质量分数（以CH</w:t>
            </w:r>
            <w:r>
              <w:rPr>
                <w:rFonts w:eastAsia="仿宋_GB2312"/>
                <w:szCs w:val="21"/>
                <w:vertAlign w:val="subscript"/>
              </w:rPr>
              <w:t>3</w:t>
            </w:r>
            <w:r>
              <w:rPr>
                <w:rFonts w:eastAsia="仿宋_GB2312"/>
                <w:szCs w:val="21"/>
              </w:rPr>
              <w:t>COOH计）</w:t>
            </w:r>
          </w:p>
        </w:tc>
        <w:tc>
          <w:tcPr>
            <w:tcW w:w="4013" w:type="dxa"/>
            <w:tcBorders>
              <w:tl2br w:val="nil"/>
              <w:tr2bl w:val="nil"/>
            </w:tcBorders>
            <w:noWrap/>
            <w:vAlign w:val="center"/>
          </w:tcPr>
          <w:p w14:paraId="05E1A2FD">
            <w:pPr>
              <w:jc w:val="center"/>
              <w:rPr>
                <w:rFonts w:eastAsia="仿宋_GB2312"/>
                <w:szCs w:val="21"/>
              </w:rPr>
            </w:pPr>
            <w:r>
              <w:rPr>
                <w:rFonts w:eastAsia="仿宋_GB2312"/>
                <w:szCs w:val="21"/>
              </w:rPr>
              <w:t>≤0.01</w:t>
            </w:r>
          </w:p>
        </w:tc>
      </w:tr>
      <w:tr w14:paraId="641FCC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15" w:type="dxa"/>
            <w:tcBorders>
              <w:tl2br w:val="nil"/>
              <w:tr2bl w:val="nil"/>
            </w:tcBorders>
            <w:noWrap/>
            <w:vAlign w:val="center"/>
          </w:tcPr>
          <w:p w14:paraId="136BE1A9">
            <w:pPr>
              <w:adjustRightInd w:val="0"/>
              <w:snapToGrid w:val="0"/>
              <w:jc w:val="center"/>
              <w:rPr>
                <w:rFonts w:eastAsia="仿宋_GB2312"/>
                <w:szCs w:val="21"/>
              </w:rPr>
            </w:pPr>
            <w:r>
              <w:rPr>
                <w:rFonts w:eastAsia="仿宋_GB2312"/>
                <w:szCs w:val="21"/>
              </w:rPr>
              <w:t>色度/Hazen单位（Pt-Co色号）</w:t>
            </w:r>
          </w:p>
        </w:tc>
        <w:tc>
          <w:tcPr>
            <w:tcW w:w="4013" w:type="dxa"/>
            <w:tcBorders>
              <w:tl2br w:val="nil"/>
              <w:tr2bl w:val="nil"/>
            </w:tcBorders>
            <w:noWrap/>
            <w:vAlign w:val="center"/>
          </w:tcPr>
          <w:p w14:paraId="2CBCDABA">
            <w:pPr>
              <w:jc w:val="center"/>
              <w:rPr>
                <w:rFonts w:eastAsia="仿宋_GB2312"/>
                <w:szCs w:val="21"/>
              </w:rPr>
            </w:pPr>
            <w:r>
              <w:rPr>
                <w:rFonts w:eastAsia="仿宋_GB2312"/>
                <w:szCs w:val="21"/>
              </w:rPr>
              <w:t>≤10</w:t>
            </w:r>
          </w:p>
        </w:tc>
      </w:tr>
      <w:tr w14:paraId="523F884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15" w:type="dxa"/>
            <w:tcBorders>
              <w:tl2br w:val="nil"/>
              <w:tr2bl w:val="nil"/>
            </w:tcBorders>
            <w:noWrap/>
            <w:vAlign w:val="center"/>
          </w:tcPr>
          <w:p w14:paraId="32EB229E">
            <w:pPr>
              <w:adjustRightInd w:val="0"/>
              <w:snapToGrid w:val="0"/>
              <w:jc w:val="center"/>
              <w:rPr>
                <w:rFonts w:eastAsia="仿宋_GB2312"/>
                <w:szCs w:val="21"/>
              </w:rPr>
            </w:pPr>
            <w:r>
              <w:rPr>
                <w:rFonts w:eastAsia="仿宋_GB2312"/>
                <w:szCs w:val="21"/>
              </w:rPr>
              <w:t>密度 ρ20（g/cm</w:t>
            </w:r>
            <w:r>
              <w:rPr>
                <w:rFonts w:eastAsia="仿宋_GB2312"/>
                <w:szCs w:val="21"/>
                <w:vertAlign w:val="superscript"/>
              </w:rPr>
              <w:t>3</w:t>
            </w:r>
            <w:r>
              <w:rPr>
                <w:rFonts w:eastAsia="仿宋_GB2312"/>
                <w:szCs w:val="21"/>
              </w:rPr>
              <w:t>）</w:t>
            </w:r>
          </w:p>
        </w:tc>
        <w:tc>
          <w:tcPr>
            <w:tcW w:w="4013" w:type="dxa"/>
            <w:tcBorders>
              <w:tl2br w:val="nil"/>
              <w:tr2bl w:val="nil"/>
            </w:tcBorders>
            <w:noWrap/>
            <w:vAlign w:val="center"/>
          </w:tcPr>
          <w:p w14:paraId="019BD4CE">
            <w:pPr>
              <w:jc w:val="center"/>
              <w:rPr>
                <w:rFonts w:eastAsia="仿宋_GB2312"/>
                <w:szCs w:val="21"/>
              </w:rPr>
            </w:pPr>
            <w:r>
              <w:rPr>
                <w:rFonts w:eastAsia="仿宋_GB2312"/>
                <w:szCs w:val="21"/>
              </w:rPr>
              <w:t>0.878~0.883</w:t>
            </w:r>
          </w:p>
        </w:tc>
      </w:tr>
      <w:tr w14:paraId="5BC2E1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15" w:type="dxa"/>
            <w:tcBorders>
              <w:tl2br w:val="nil"/>
              <w:tr2bl w:val="nil"/>
            </w:tcBorders>
            <w:noWrap/>
            <w:vAlign w:val="center"/>
          </w:tcPr>
          <w:p w14:paraId="6A5CC4EB">
            <w:pPr>
              <w:adjustRightInd w:val="0"/>
              <w:snapToGrid w:val="0"/>
              <w:jc w:val="center"/>
              <w:rPr>
                <w:rFonts w:eastAsia="仿宋_GB2312"/>
                <w:szCs w:val="21"/>
              </w:rPr>
            </w:pPr>
            <w:r>
              <w:rPr>
                <w:rFonts w:eastAsia="仿宋_GB2312"/>
                <w:szCs w:val="21"/>
              </w:rPr>
              <w:t>蒸发残渣（质量分数）/%</w:t>
            </w:r>
          </w:p>
        </w:tc>
        <w:tc>
          <w:tcPr>
            <w:tcW w:w="4013" w:type="dxa"/>
            <w:tcBorders>
              <w:tl2br w:val="nil"/>
              <w:tr2bl w:val="nil"/>
            </w:tcBorders>
            <w:noWrap/>
            <w:vAlign w:val="center"/>
          </w:tcPr>
          <w:p w14:paraId="03FB539A">
            <w:pPr>
              <w:jc w:val="center"/>
              <w:rPr>
                <w:rFonts w:eastAsia="仿宋_GB2312"/>
                <w:szCs w:val="21"/>
              </w:rPr>
            </w:pPr>
            <w:r>
              <w:rPr>
                <w:rFonts w:eastAsia="仿宋_GB2312"/>
                <w:szCs w:val="21"/>
              </w:rPr>
              <w:t>≤0.005</w:t>
            </w:r>
          </w:p>
        </w:tc>
      </w:tr>
      <w:tr w14:paraId="43B210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15" w:type="dxa"/>
            <w:tcBorders>
              <w:tl2br w:val="nil"/>
              <w:tr2bl w:val="nil"/>
            </w:tcBorders>
            <w:noWrap/>
            <w:vAlign w:val="center"/>
          </w:tcPr>
          <w:p w14:paraId="5E502D47">
            <w:pPr>
              <w:adjustRightInd w:val="0"/>
              <w:snapToGrid w:val="0"/>
              <w:jc w:val="center"/>
              <w:rPr>
                <w:rFonts w:eastAsia="仿宋_GB2312"/>
                <w:szCs w:val="21"/>
              </w:rPr>
            </w:pPr>
            <w:r>
              <w:rPr>
                <w:rFonts w:eastAsia="仿宋_GB2312"/>
                <w:szCs w:val="21"/>
              </w:rPr>
              <w:t>气味*</w:t>
            </w:r>
          </w:p>
        </w:tc>
        <w:tc>
          <w:tcPr>
            <w:tcW w:w="4013" w:type="dxa"/>
            <w:tcBorders>
              <w:tl2br w:val="nil"/>
              <w:tr2bl w:val="nil"/>
            </w:tcBorders>
            <w:noWrap/>
            <w:vAlign w:val="center"/>
          </w:tcPr>
          <w:p w14:paraId="44E5EC96">
            <w:pPr>
              <w:jc w:val="center"/>
              <w:rPr>
                <w:rFonts w:eastAsia="仿宋_GB2312"/>
                <w:szCs w:val="21"/>
              </w:rPr>
            </w:pPr>
            <w:r>
              <w:rPr>
                <w:rFonts w:eastAsia="仿宋_GB2312"/>
                <w:szCs w:val="21"/>
              </w:rPr>
              <w:t>符合特征气味，无异味，无残留气味</w:t>
            </w:r>
          </w:p>
        </w:tc>
      </w:tr>
      <w:tr w14:paraId="0436C8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528" w:type="dxa"/>
            <w:gridSpan w:val="2"/>
            <w:tcBorders>
              <w:tl2br w:val="nil"/>
              <w:tr2bl w:val="nil"/>
            </w:tcBorders>
            <w:noWrap/>
            <w:vAlign w:val="center"/>
          </w:tcPr>
          <w:p w14:paraId="2134DE09">
            <w:pPr>
              <w:jc w:val="center"/>
              <w:rPr>
                <w:rFonts w:eastAsia="仿宋_GB2312"/>
                <w:szCs w:val="21"/>
              </w:rPr>
            </w:pPr>
            <w:r>
              <w:rPr>
                <w:rFonts w:eastAsia="仿宋_GB2312"/>
                <w:szCs w:val="21"/>
              </w:rPr>
              <w:t>*为可选项目</w:t>
            </w:r>
          </w:p>
        </w:tc>
      </w:tr>
      <w:bookmarkEnd w:id="35"/>
      <w:bookmarkEnd w:id="36"/>
    </w:tbl>
    <w:p w14:paraId="44AA3612">
      <w:pPr>
        <w:pStyle w:val="162"/>
        <w:spacing w:line="480" w:lineRule="exact"/>
        <w:ind w:firstLine="0" w:firstLineChars="0"/>
        <w:rPr>
          <w:rFonts w:ascii="Times New Roman"/>
        </w:rPr>
      </w:pPr>
      <w:r>
        <w:rPr>
          <w:rFonts w:ascii="Times New Roman"/>
        </w:rPr>
        <w:t>表3.2-1</w:t>
      </w:r>
      <w:r>
        <w:rPr>
          <w:rFonts w:hint="eastAsia" w:ascii="Times New Roman"/>
        </w:rPr>
        <w:t>4</w:t>
      </w:r>
      <w:r>
        <w:rPr>
          <w:rFonts w:ascii="Times New Roman"/>
        </w:rPr>
        <w:t xml:space="preserve">  乙醇产品质量指标</w:t>
      </w:r>
    </w:p>
    <w:tbl>
      <w:tblPr>
        <w:tblStyle w:val="88"/>
        <w:tblW w:w="852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515"/>
        <w:gridCol w:w="4013"/>
      </w:tblGrid>
      <w:tr w14:paraId="19F7B1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4515" w:type="dxa"/>
            <w:tcBorders>
              <w:top w:val="single" w:color="auto" w:sz="12" w:space="0"/>
              <w:left w:val="single" w:color="auto" w:sz="12" w:space="0"/>
              <w:bottom w:val="single" w:color="auto" w:sz="4" w:space="0"/>
              <w:right w:val="single" w:color="auto" w:sz="4" w:space="0"/>
            </w:tcBorders>
            <w:noWrap/>
            <w:vAlign w:val="center"/>
          </w:tcPr>
          <w:p w14:paraId="50E93491">
            <w:pPr>
              <w:adjustRightInd w:val="0"/>
              <w:snapToGrid w:val="0"/>
              <w:jc w:val="center"/>
              <w:rPr>
                <w:rFonts w:eastAsia="仿宋_GB2312"/>
                <w:b/>
                <w:szCs w:val="21"/>
              </w:rPr>
            </w:pPr>
            <w:r>
              <w:rPr>
                <w:rFonts w:eastAsia="仿宋_GB2312"/>
                <w:b/>
              </w:rPr>
              <w:t>项目</w:t>
            </w:r>
          </w:p>
        </w:tc>
        <w:tc>
          <w:tcPr>
            <w:tcW w:w="4013" w:type="dxa"/>
            <w:tcBorders>
              <w:top w:val="single" w:color="auto" w:sz="12" w:space="0"/>
              <w:left w:val="single" w:color="auto" w:sz="4" w:space="0"/>
              <w:bottom w:val="single" w:color="auto" w:sz="4" w:space="0"/>
              <w:right w:val="single" w:color="auto" w:sz="12" w:space="0"/>
            </w:tcBorders>
            <w:noWrap/>
            <w:vAlign w:val="center"/>
          </w:tcPr>
          <w:p w14:paraId="1D928B53">
            <w:pPr>
              <w:adjustRightInd w:val="0"/>
              <w:snapToGrid w:val="0"/>
              <w:jc w:val="center"/>
              <w:rPr>
                <w:rFonts w:eastAsia="仿宋_GB2312"/>
                <w:b/>
                <w:szCs w:val="21"/>
              </w:rPr>
            </w:pPr>
            <w:r>
              <w:rPr>
                <w:rFonts w:eastAsia="仿宋_GB2312"/>
                <w:b/>
              </w:rPr>
              <w:t>指标（99.5%乙醇一等品）</w:t>
            </w:r>
          </w:p>
        </w:tc>
      </w:tr>
      <w:tr w14:paraId="6598F8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4515" w:type="dxa"/>
            <w:tcBorders>
              <w:top w:val="single" w:color="auto" w:sz="4" w:space="0"/>
              <w:left w:val="single" w:color="auto" w:sz="12" w:space="0"/>
              <w:bottom w:val="single" w:color="auto" w:sz="4" w:space="0"/>
              <w:right w:val="single" w:color="auto" w:sz="4" w:space="0"/>
            </w:tcBorders>
            <w:noWrap/>
            <w:vAlign w:val="center"/>
          </w:tcPr>
          <w:p w14:paraId="4E547312">
            <w:pPr>
              <w:jc w:val="center"/>
              <w:rPr>
                <w:rFonts w:eastAsia="仿宋_GB2312"/>
                <w:szCs w:val="21"/>
              </w:rPr>
            </w:pPr>
            <w:r>
              <w:rPr>
                <w:rFonts w:eastAsia="仿宋_GB2312"/>
              </w:rPr>
              <w:t>色度/Hazen单位（铂-钴色号）</w:t>
            </w:r>
          </w:p>
        </w:tc>
        <w:tc>
          <w:tcPr>
            <w:tcW w:w="4013" w:type="dxa"/>
            <w:tcBorders>
              <w:top w:val="single" w:color="auto" w:sz="4" w:space="0"/>
              <w:left w:val="single" w:color="auto" w:sz="4" w:space="0"/>
              <w:bottom w:val="single" w:color="auto" w:sz="4" w:space="0"/>
              <w:right w:val="single" w:color="auto" w:sz="12" w:space="0"/>
            </w:tcBorders>
            <w:noWrap/>
            <w:vAlign w:val="center"/>
          </w:tcPr>
          <w:p w14:paraId="18CF5913">
            <w:pPr>
              <w:jc w:val="center"/>
              <w:rPr>
                <w:rFonts w:eastAsia="仿宋_GB2312"/>
                <w:szCs w:val="21"/>
              </w:rPr>
            </w:pPr>
            <w:r>
              <w:rPr>
                <w:rFonts w:eastAsia="仿宋_GB2312"/>
              </w:rPr>
              <w:t>≤5</w:t>
            </w:r>
          </w:p>
        </w:tc>
      </w:tr>
      <w:tr w14:paraId="788357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4515" w:type="dxa"/>
            <w:tcBorders>
              <w:top w:val="single" w:color="auto" w:sz="4" w:space="0"/>
              <w:left w:val="single" w:color="auto" w:sz="12" w:space="0"/>
              <w:bottom w:val="single" w:color="auto" w:sz="4" w:space="0"/>
              <w:right w:val="single" w:color="auto" w:sz="4" w:space="0"/>
            </w:tcBorders>
            <w:noWrap/>
            <w:vAlign w:val="center"/>
          </w:tcPr>
          <w:p w14:paraId="387210BA">
            <w:pPr>
              <w:jc w:val="center"/>
              <w:rPr>
                <w:rFonts w:eastAsia="仿宋_GB2312"/>
                <w:szCs w:val="21"/>
              </w:rPr>
            </w:pPr>
            <w:r>
              <w:rPr>
                <w:rFonts w:eastAsia="仿宋_GB2312"/>
              </w:rPr>
              <w:t>乙醇含量/%</w:t>
            </w:r>
          </w:p>
        </w:tc>
        <w:tc>
          <w:tcPr>
            <w:tcW w:w="4013" w:type="dxa"/>
            <w:tcBorders>
              <w:top w:val="single" w:color="auto" w:sz="4" w:space="0"/>
              <w:left w:val="single" w:color="auto" w:sz="4" w:space="0"/>
              <w:bottom w:val="single" w:color="auto" w:sz="4" w:space="0"/>
              <w:right w:val="single" w:color="auto" w:sz="12" w:space="0"/>
            </w:tcBorders>
            <w:noWrap/>
            <w:vAlign w:val="center"/>
          </w:tcPr>
          <w:p w14:paraId="0AF873E9">
            <w:pPr>
              <w:jc w:val="center"/>
              <w:rPr>
                <w:rFonts w:eastAsia="仿宋_GB2312"/>
                <w:szCs w:val="21"/>
              </w:rPr>
            </w:pPr>
            <w:r>
              <w:rPr>
                <w:rFonts w:eastAsia="仿宋_GB2312"/>
              </w:rPr>
              <w:t>≥99.5</w:t>
            </w:r>
          </w:p>
        </w:tc>
      </w:tr>
      <w:tr w14:paraId="5FDA09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4515" w:type="dxa"/>
            <w:tcBorders>
              <w:top w:val="single" w:color="auto" w:sz="4" w:space="0"/>
              <w:left w:val="single" w:color="auto" w:sz="12" w:space="0"/>
              <w:bottom w:val="single" w:color="auto" w:sz="4" w:space="0"/>
              <w:right w:val="single" w:color="auto" w:sz="4" w:space="0"/>
            </w:tcBorders>
            <w:noWrap/>
            <w:vAlign w:val="center"/>
          </w:tcPr>
          <w:p w14:paraId="61D13EB1">
            <w:pPr>
              <w:jc w:val="center"/>
              <w:rPr>
                <w:rFonts w:eastAsia="仿宋_GB2312"/>
                <w:szCs w:val="21"/>
              </w:rPr>
            </w:pPr>
            <w:r>
              <w:rPr>
                <w:rFonts w:eastAsia="仿宋_GB2312"/>
              </w:rPr>
              <w:t>水分，ω/%</w:t>
            </w:r>
          </w:p>
        </w:tc>
        <w:tc>
          <w:tcPr>
            <w:tcW w:w="4013" w:type="dxa"/>
            <w:tcBorders>
              <w:top w:val="single" w:color="auto" w:sz="4" w:space="0"/>
              <w:left w:val="single" w:color="auto" w:sz="4" w:space="0"/>
              <w:bottom w:val="single" w:color="auto" w:sz="4" w:space="0"/>
              <w:right w:val="single" w:color="auto" w:sz="12" w:space="0"/>
            </w:tcBorders>
            <w:noWrap/>
            <w:vAlign w:val="center"/>
          </w:tcPr>
          <w:p w14:paraId="335F089C">
            <w:pPr>
              <w:jc w:val="center"/>
              <w:rPr>
                <w:rFonts w:eastAsia="仿宋_GB2312"/>
                <w:szCs w:val="21"/>
              </w:rPr>
            </w:pPr>
            <w:r>
              <w:rPr>
                <w:rFonts w:eastAsia="仿宋_GB2312"/>
              </w:rPr>
              <w:t>≤0.5</w:t>
            </w:r>
          </w:p>
        </w:tc>
      </w:tr>
      <w:tr w14:paraId="5EE9AB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4515" w:type="dxa"/>
            <w:tcBorders>
              <w:top w:val="single" w:color="auto" w:sz="4" w:space="0"/>
              <w:left w:val="single" w:color="auto" w:sz="12" w:space="0"/>
              <w:bottom w:val="single" w:color="auto" w:sz="4" w:space="0"/>
              <w:right w:val="single" w:color="auto" w:sz="4" w:space="0"/>
            </w:tcBorders>
            <w:noWrap/>
            <w:vAlign w:val="center"/>
          </w:tcPr>
          <w:p w14:paraId="4AA218D8">
            <w:pPr>
              <w:jc w:val="center"/>
              <w:rPr>
                <w:rFonts w:eastAsia="仿宋_GB2312"/>
                <w:szCs w:val="21"/>
              </w:rPr>
            </w:pPr>
            <w:r>
              <w:rPr>
                <w:rFonts w:eastAsia="仿宋_GB2312"/>
              </w:rPr>
              <w:t>酸含量（以乙酸计）/（mg/L）</w:t>
            </w:r>
          </w:p>
        </w:tc>
        <w:tc>
          <w:tcPr>
            <w:tcW w:w="4013" w:type="dxa"/>
            <w:tcBorders>
              <w:top w:val="single" w:color="auto" w:sz="4" w:space="0"/>
              <w:left w:val="single" w:color="auto" w:sz="4" w:space="0"/>
              <w:bottom w:val="single" w:color="auto" w:sz="4" w:space="0"/>
              <w:right w:val="single" w:color="auto" w:sz="12" w:space="0"/>
            </w:tcBorders>
            <w:noWrap/>
            <w:vAlign w:val="center"/>
          </w:tcPr>
          <w:p w14:paraId="479FF793">
            <w:pPr>
              <w:jc w:val="center"/>
              <w:rPr>
                <w:rFonts w:eastAsia="仿宋_GB2312"/>
                <w:szCs w:val="21"/>
              </w:rPr>
            </w:pPr>
            <w:r>
              <w:rPr>
                <w:rFonts w:eastAsia="仿宋_GB2312"/>
              </w:rPr>
              <w:t>≤20</w:t>
            </w:r>
          </w:p>
        </w:tc>
      </w:tr>
      <w:tr w14:paraId="0FE8E2F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4515" w:type="dxa"/>
            <w:tcBorders>
              <w:top w:val="single" w:color="auto" w:sz="4" w:space="0"/>
              <w:left w:val="single" w:color="auto" w:sz="12" w:space="0"/>
              <w:bottom w:val="single" w:color="auto" w:sz="4" w:space="0"/>
              <w:right w:val="single" w:color="auto" w:sz="4" w:space="0"/>
            </w:tcBorders>
            <w:noWrap/>
            <w:vAlign w:val="center"/>
          </w:tcPr>
          <w:p w14:paraId="4571AD4C">
            <w:pPr>
              <w:jc w:val="center"/>
              <w:rPr>
                <w:rFonts w:eastAsia="仿宋_GB2312"/>
                <w:szCs w:val="21"/>
              </w:rPr>
            </w:pPr>
            <w:r>
              <w:rPr>
                <w:rFonts w:eastAsia="仿宋_GB2312"/>
              </w:rPr>
              <w:t>醛含量（以乙醛计）/（mg/L）</w:t>
            </w:r>
          </w:p>
        </w:tc>
        <w:tc>
          <w:tcPr>
            <w:tcW w:w="4013" w:type="dxa"/>
            <w:tcBorders>
              <w:top w:val="single" w:color="auto" w:sz="4" w:space="0"/>
              <w:left w:val="single" w:color="auto" w:sz="4" w:space="0"/>
              <w:bottom w:val="single" w:color="auto" w:sz="4" w:space="0"/>
              <w:right w:val="single" w:color="auto" w:sz="12" w:space="0"/>
            </w:tcBorders>
            <w:noWrap/>
            <w:vAlign w:val="center"/>
          </w:tcPr>
          <w:p w14:paraId="351208D0">
            <w:pPr>
              <w:jc w:val="center"/>
              <w:rPr>
                <w:rFonts w:eastAsia="仿宋_GB2312"/>
                <w:szCs w:val="21"/>
              </w:rPr>
            </w:pPr>
            <w:r>
              <w:rPr>
                <w:rFonts w:eastAsia="仿宋_GB2312"/>
              </w:rPr>
              <w:t>≤15</w:t>
            </w:r>
          </w:p>
        </w:tc>
      </w:tr>
      <w:tr w14:paraId="54A7CA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4515" w:type="dxa"/>
            <w:tcBorders>
              <w:top w:val="single" w:color="auto" w:sz="4" w:space="0"/>
              <w:left w:val="single" w:color="auto" w:sz="12" w:space="0"/>
              <w:bottom w:val="single" w:color="auto" w:sz="4" w:space="0"/>
              <w:right w:val="single" w:color="auto" w:sz="4" w:space="0"/>
            </w:tcBorders>
            <w:noWrap/>
            <w:vAlign w:val="center"/>
          </w:tcPr>
          <w:p w14:paraId="7458CC10">
            <w:pPr>
              <w:jc w:val="center"/>
              <w:rPr>
                <w:rFonts w:eastAsia="仿宋_GB2312"/>
                <w:szCs w:val="21"/>
              </w:rPr>
            </w:pPr>
            <w:r>
              <w:rPr>
                <w:rFonts w:eastAsia="仿宋_GB2312"/>
              </w:rPr>
              <w:t>甲醇/（mg/L）</w:t>
            </w:r>
          </w:p>
        </w:tc>
        <w:tc>
          <w:tcPr>
            <w:tcW w:w="4013" w:type="dxa"/>
            <w:tcBorders>
              <w:top w:val="single" w:color="auto" w:sz="4" w:space="0"/>
              <w:left w:val="single" w:color="auto" w:sz="4" w:space="0"/>
              <w:bottom w:val="single" w:color="auto" w:sz="4" w:space="0"/>
              <w:right w:val="single" w:color="auto" w:sz="12" w:space="0"/>
            </w:tcBorders>
            <w:noWrap/>
            <w:vAlign w:val="center"/>
          </w:tcPr>
          <w:p w14:paraId="0D997EF2">
            <w:pPr>
              <w:jc w:val="center"/>
              <w:rPr>
                <w:rFonts w:eastAsia="仿宋_GB2312"/>
                <w:szCs w:val="21"/>
              </w:rPr>
            </w:pPr>
            <w:r>
              <w:rPr>
                <w:rFonts w:eastAsia="仿宋_GB2312"/>
              </w:rPr>
              <w:t>≤50</w:t>
            </w:r>
          </w:p>
        </w:tc>
      </w:tr>
      <w:tr w14:paraId="174D32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4515" w:type="dxa"/>
            <w:tcBorders>
              <w:top w:val="single" w:color="auto" w:sz="4" w:space="0"/>
              <w:left w:val="single" w:color="auto" w:sz="12" w:space="0"/>
              <w:bottom w:val="single" w:color="auto" w:sz="4" w:space="0"/>
              <w:right w:val="single" w:color="auto" w:sz="4" w:space="0"/>
            </w:tcBorders>
            <w:noWrap/>
            <w:vAlign w:val="center"/>
          </w:tcPr>
          <w:p w14:paraId="4413603D">
            <w:pPr>
              <w:jc w:val="center"/>
              <w:rPr>
                <w:rFonts w:eastAsia="仿宋_GB2312"/>
                <w:szCs w:val="21"/>
              </w:rPr>
            </w:pPr>
            <w:r>
              <w:rPr>
                <w:rFonts w:eastAsia="仿宋_GB2312"/>
              </w:rPr>
              <w:t>异丙醇/（mg/L）</w:t>
            </w:r>
          </w:p>
        </w:tc>
        <w:tc>
          <w:tcPr>
            <w:tcW w:w="4013" w:type="dxa"/>
            <w:tcBorders>
              <w:top w:val="single" w:color="auto" w:sz="4" w:space="0"/>
              <w:left w:val="single" w:color="auto" w:sz="4" w:space="0"/>
              <w:bottom w:val="single" w:color="auto" w:sz="4" w:space="0"/>
              <w:right w:val="single" w:color="auto" w:sz="12" w:space="0"/>
            </w:tcBorders>
            <w:noWrap/>
            <w:vAlign w:val="center"/>
          </w:tcPr>
          <w:p w14:paraId="365FE126">
            <w:pPr>
              <w:jc w:val="center"/>
              <w:rPr>
                <w:rFonts w:eastAsia="仿宋_GB2312"/>
                <w:szCs w:val="21"/>
              </w:rPr>
            </w:pPr>
            <w:r>
              <w:rPr>
                <w:rFonts w:eastAsia="仿宋_GB2312"/>
              </w:rPr>
              <w:t>≤200</w:t>
            </w:r>
          </w:p>
        </w:tc>
      </w:tr>
      <w:tr w14:paraId="6D4DE2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4515" w:type="dxa"/>
            <w:tcBorders>
              <w:top w:val="single" w:color="auto" w:sz="4" w:space="0"/>
              <w:left w:val="single" w:color="auto" w:sz="12" w:space="0"/>
              <w:bottom w:val="single" w:color="auto" w:sz="4" w:space="0"/>
              <w:right w:val="single" w:color="auto" w:sz="4" w:space="0"/>
            </w:tcBorders>
            <w:noWrap/>
            <w:vAlign w:val="center"/>
          </w:tcPr>
          <w:p w14:paraId="078D3A49">
            <w:pPr>
              <w:jc w:val="center"/>
              <w:rPr>
                <w:rFonts w:eastAsia="仿宋_GB2312"/>
                <w:szCs w:val="21"/>
              </w:rPr>
            </w:pPr>
            <w:r>
              <w:rPr>
                <w:rFonts w:eastAsia="仿宋_GB2312"/>
              </w:rPr>
              <w:t>正丙醇/（mg/L）</w:t>
            </w:r>
          </w:p>
        </w:tc>
        <w:tc>
          <w:tcPr>
            <w:tcW w:w="4013" w:type="dxa"/>
            <w:tcBorders>
              <w:top w:val="single" w:color="auto" w:sz="4" w:space="0"/>
              <w:left w:val="single" w:color="auto" w:sz="4" w:space="0"/>
              <w:bottom w:val="single" w:color="auto" w:sz="4" w:space="0"/>
              <w:right w:val="single" w:color="auto" w:sz="12" w:space="0"/>
            </w:tcBorders>
            <w:noWrap/>
            <w:vAlign w:val="center"/>
          </w:tcPr>
          <w:p w14:paraId="5001BA1E">
            <w:pPr>
              <w:jc w:val="center"/>
              <w:rPr>
                <w:rFonts w:eastAsia="仿宋_GB2312"/>
                <w:szCs w:val="21"/>
              </w:rPr>
            </w:pPr>
            <w:r>
              <w:rPr>
                <w:rFonts w:eastAsia="仿宋_GB2312"/>
              </w:rPr>
              <w:t>≤50</w:t>
            </w:r>
          </w:p>
        </w:tc>
      </w:tr>
      <w:tr w14:paraId="35E1C2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4515" w:type="dxa"/>
            <w:tcBorders>
              <w:top w:val="single" w:color="auto" w:sz="4" w:space="0"/>
              <w:left w:val="single" w:color="auto" w:sz="12" w:space="0"/>
              <w:bottom w:val="single" w:color="auto" w:sz="4" w:space="0"/>
              <w:right w:val="single" w:color="auto" w:sz="4" w:space="0"/>
            </w:tcBorders>
            <w:noWrap/>
            <w:vAlign w:val="center"/>
          </w:tcPr>
          <w:p w14:paraId="5FEB7513">
            <w:pPr>
              <w:jc w:val="center"/>
              <w:rPr>
                <w:rFonts w:eastAsia="仿宋_GB2312"/>
                <w:szCs w:val="21"/>
              </w:rPr>
            </w:pPr>
            <w:r>
              <w:rPr>
                <w:rFonts w:eastAsia="仿宋_GB2312"/>
              </w:rPr>
              <w:t>乙酸酯/（mg/L）</w:t>
            </w:r>
          </w:p>
        </w:tc>
        <w:tc>
          <w:tcPr>
            <w:tcW w:w="4013" w:type="dxa"/>
            <w:tcBorders>
              <w:top w:val="single" w:color="auto" w:sz="4" w:space="0"/>
              <w:left w:val="single" w:color="auto" w:sz="4" w:space="0"/>
              <w:bottom w:val="single" w:color="auto" w:sz="4" w:space="0"/>
              <w:right w:val="single" w:color="auto" w:sz="12" w:space="0"/>
            </w:tcBorders>
            <w:noWrap/>
            <w:vAlign w:val="center"/>
          </w:tcPr>
          <w:p w14:paraId="66F73CBB">
            <w:pPr>
              <w:jc w:val="center"/>
              <w:rPr>
                <w:rFonts w:eastAsia="仿宋_GB2312"/>
                <w:szCs w:val="21"/>
              </w:rPr>
            </w:pPr>
            <w:r>
              <w:rPr>
                <w:rFonts w:eastAsia="仿宋_GB2312"/>
              </w:rPr>
              <w:t>≤200</w:t>
            </w:r>
          </w:p>
        </w:tc>
      </w:tr>
      <w:tr w14:paraId="681BF3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4515" w:type="dxa"/>
            <w:tcBorders>
              <w:top w:val="single" w:color="auto" w:sz="4" w:space="0"/>
              <w:left w:val="single" w:color="auto" w:sz="12" w:space="0"/>
              <w:bottom w:val="single" w:color="auto" w:sz="4" w:space="0"/>
              <w:right w:val="single" w:color="auto" w:sz="4" w:space="0"/>
            </w:tcBorders>
            <w:noWrap/>
            <w:vAlign w:val="center"/>
          </w:tcPr>
          <w:p w14:paraId="30E315EF">
            <w:pPr>
              <w:jc w:val="center"/>
              <w:rPr>
                <w:rFonts w:eastAsia="仿宋_GB2312"/>
                <w:szCs w:val="21"/>
              </w:rPr>
            </w:pPr>
            <w:r>
              <w:rPr>
                <w:rFonts w:eastAsia="仿宋_GB2312"/>
              </w:rPr>
              <w:t>C4+C5醇</w:t>
            </w:r>
            <w:r>
              <w:rPr>
                <w:rFonts w:eastAsia="仿宋_GB2312"/>
                <w:vertAlign w:val="superscript"/>
              </w:rPr>
              <w:t>a</w:t>
            </w:r>
            <w:r>
              <w:rPr>
                <w:rFonts w:eastAsia="仿宋_GB2312"/>
              </w:rPr>
              <w:t>/（mg/L</w:t>
            </w:r>
          </w:p>
        </w:tc>
        <w:tc>
          <w:tcPr>
            <w:tcW w:w="4013" w:type="dxa"/>
            <w:tcBorders>
              <w:top w:val="single" w:color="auto" w:sz="4" w:space="0"/>
              <w:left w:val="single" w:color="auto" w:sz="4" w:space="0"/>
              <w:bottom w:val="single" w:color="auto" w:sz="4" w:space="0"/>
              <w:right w:val="single" w:color="auto" w:sz="12" w:space="0"/>
            </w:tcBorders>
            <w:noWrap/>
            <w:vAlign w:val="center"/>
          </w:tcPr>
          <w:p w14:paraId="12CD46A5">
            <w:pPr>
              <w:jc w:val="center"/>
              <w:rPr>
                <w:rFonts w:eastAsia="仿宋_GB2312"/>
                <w:szCs w:val="21"/>
              </w:rPr>
            </w:pPr>
            <w:r>
              <w:rPr>
                <w:rFonts w:eastAsia="仿宋_GB2312"/>
              </w:rPr>
              <w:t>≤50</w:t>
            </w:r>
          </w:p>
        </w:tc>
      </w:tr>
      <w:tr w14:paraId="11881C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4515" w:type="dxa"/>
            <w:tcBorders>
              <w:top w:val="single" w:color="auto" w:sz="4" w:space="0"/>
              <w:left w:val="single" w:color="auto" w:sz="12" w:space="0"/>
              <w:bottom w:val="single" w:color="auto" w:sz="4" w:space="0"/>
              <w:right w:val="single" w:color="auto" w:sz="4" w:space="0"/>
            </w:tcBorders>
            <w:noWrap/>
            <w:vAlign w:val="center"/>
          </w:tcPr>
          <w:p w14:paraId="1349C0AE">
            <w:pPr>
              <w:jc w:val="center"/>
              <w:rPr>
                <w:rFonts w:eastAsia="仿宋_GB2312"/>
                <w:szCs w:val="21"/>
              </w:rPr>
            </w:pPr>
            <w:r>
              <w:rPr>
                <w:rFonts w:eastAsia="仿宋_GB2312"/>
              </w:rPr>
              <w:t>高锰酸钾氧化时间</w:t>
            </w:r>
          </w:p>
        </w:tc>
        <w:tc>
          <w:tcPr>
            <w:tcW w:w="4013" w:type="dxa"/>
            <w:tcBorders>
              <w:top w:val="single" w:color="auto" w:sz="4" w:space="0"/>
              <w:left w:val="single" w:color="auto" w:sz="4" w:space="0"/>
              <w:bottom w:val="single" w:color="auto" w:sz="4" w:space="0"/>
              <w:right w:val="single" w:color="auto" w:sz="12" w:space="0"/>
            </w:tcBorders>
            <w:noWrap/>
            <w:vAlign w:val="center"/>
          </w:tcPr>
          <w:p w14:paraId="0F718857">
            <w:pPr>
              <w:jc w:val="center"/>
              <w:rPr>
                <w:rFonts w:eastAsia="仿宋_GB2312"/>
                <w:szCs w:val="21"/>
              </w:rPr>
            </w:pPr>
            <w:r>
              <w:rPr>
                <w:rFonts w:eastAsia="仿宋_GB2312"/>
              </w:rPr>
              <w:t>≥15</w:t>
            </w:r>
          </w:p>
        </w:tc>
      </w:tr>
      <w:tr w14:paraId="290696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4515" w:type="dxa"/>
            <w:tcBorders>
              <w:top w:val="single" w:color="auto" w:sz="4" w:space="0"/>
              <w:left w:val="single" w:color="auto" w:sz="12" w:space="0"/>
              <w:bottom w:val="single" w:color="auto" w:sz="4" w:space="0"/>
              <w:right w:val="single" w:color="auto" w:sz="4" w:space="0"/>
            </w:tcBorders>
            <w:noWrap/>
            <w:vAlign w:val="center"/>
          </w:tcPr>
          <w:p w14:paraId="2DC456A8">
            <w:pPr>
              <w:jc w:val="center"/>
              <w:rPr>
                <w:rFonts w:eastAsia="仿宋_GB2312"/>
                <w:szCs w:val="21"/>
              </w:rPr>
            </w:pPr>
            <w:r>
              <w:rPr>
                <w:rFonts w:eastAsia="仿宋_GB2312"/>
              </w:rPr>
              <w:t>蒸发残渣/（mg/L）</w:t>
            </w:r>
          </w:p>
        </w:tc>
        <w:tc>
          <w:tcPr>
            <w:tcW w:w="4013" w:type="dxa"/>
            <w:tcBorders>
              <w:top w:val="single" w:color="auto" w:sz="4" w:space="0"/>
              <w:left w:val="single" w:color="auto" w:sz="4" w:space="0"/>
              <w:bottom w:val="single" w:color="auto" w:sz="4" w:space="0"/>
              <w:right w:val="single" w:color="auto" w:sz="12" w:space="0"/>
            </w:tcBorders>
            <w:noWrap/>
            <w:vAlign w:val="center"/>
          </w:tcPr>
          <w:p w14:paraId="603D417F">
            <w:pPr>
              <w:jc w:val="center"/>
              <w:rPr>
                <w:rFonts w:eastAsia="仿宋_GB2312"/>
                <w:szCs w:val="21"/>
              </w:rPr>
            </w:pPr>
            <w:r>
              <w:rPr>
                <w:rFonts w:eastAsia="仿宋_GB2312"/>
              </w:rPr>
              <w:t>≤25</w:t>
            </w:r>
          </w:p>
        </w:tc>
      </w:tr>
      <w:tr w14:paraId="222966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4515" w:type="dxa"/>
            <w:tcBorders>
              <w:top w:val="single" w:color="auto" w:sz="4" w:space="0"/>
              <w:left w:val="single" w:color="auto" w:sz="12" w:space="0"/>
              <w:bottom w:val="single" w:color="auto" w:sz="4" w:space="0"/>
              <w:right w:val="single" w:color="auto" w:sz="4" w:space="0"/>
            </w:tcBorders>
            <w:noWrap/>
            <w:vAlign w:val="center"/>
          </w:tcPr>
          <w:p w14:paraId="7CC8A5E1">
            <w:pPr>
              <w:jc w:val="center"/>
              <w:rPr>
                <w:rFonts w:eastAsia="仿宋_GB2312"/>
                <w:szCs w:val="21"/>
              </w:rPr>
            </w:pPr>
            <w:r>
              <w:rPr>
                <w:rFonts w:eastAsia="仿宋_GB2312"/>
              </w:rPr>
              <w:t>硫酸试验色度/号</w:t>
            </w:r>
          </w:p>
        </w:tc>
        <w:tc>
          <w:tcPr>
            <w:tcW w:w="4013" w:type="dxa"/>
            <w:tcBorders>
              <w:top w:val="single" w:color="auto" w:sz="4" w:space="0"/>
              <w:left w:val="single" w:color="auto" w:sz="4" w:space="0"/>
              <w:bottom w:val="single" w:color="auto" w:sz="4" w:space="0"/>
              <w:right w:val="single" w:color="auto" w:sz="12" w:space="0"/>
            </w:tcBorders>
            <w:noWrap/>
            <w:vAlign w:val="center"/>
          </w:tcPr>
          <w:p w14:paraId="3890B2D5">
            <w:pPr>
              <w:jc w:val="center"/>
              <w:rPr>
                <w:rFonts w:eastAsia="仿宋_GB2312"/>
                <w:szCs w:val="21"/>
              </w:rPr>
            </w:pPr>
            <w:r>
              <w:rPr>
                <w:rFonts w:eastAsia="仿宋_GB2312"/>
              </w:rPr>
              <w:t>≤30</w:t>
            </w:r>
          </w:p>
        </w:tc>
      </w:tr>
      <w:tr w14:paraId="1F428F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4515" w:type="dxa"/>
            <w:tcBorders>
              <w:top w:val="single" w:color="auto" w:sz="4" w:space="0"/>
              <w:left w:val="single" w:color="auto" w:sz="12" w:space="0"/>
              <w:bottom w:val="single" w:color="auto" w:sz="4" w:space="0"/>
              <w:right w:val="single" w:color="auto" w:sz="4" w:space="0"/>
            </w:tcBorders>
            <w:noWrap/>
            <w:vAlign w:val="center"/>
          </w:tcPr>
          <w:p w14:paraId="29439889">
            <w:pPr>
              <w:jc w:val="center"/>
              <w:rPr>
                <w:rFonts w:eastAsia="仿宋_GB2312"/>
                <w:szCs w:val="21"/>
              </w:rPr>
            </w:pPr>
            <w:r>
              <w:rPr>
                <w:rFonts w:eastAsia="仿宋_GB2312"/>
              </w:rPr>
              <w:t>水混溶性试验</w:t>
            </w:r>
          </w:p>
        </w:tc>
        <w:tc>
          <w:tcPr>
            <w:tcW w:w="4013" w:type="dxa"/>
            <w:tcBorders>
              <w:top w:val="single" w:color="auto" w:sz="4" w:space="0"/>
              <w:left w:val="single" w:color="auto" w:sz="4" w:space="0"/>
              <w:bottom w:val="single" w:color="auto" w:sz="4" w:space="0"/>
              <w:right w:val="single" w:color="auto" w:sz="12" w:space="0"/>
            </w:tcBorders>
            <w:noWrap/>
            <w:vAlign w:val="center"/>
          </w:tcPr>
          <w:p w14:paraId="213F94F7">
            <w:pPr>
              <w:jc w:val="center"/>
              <w:rPr>
                <w:rFonts w:eastAsia="仿宋_GB2312"/>
                <w:szCs w:val="21"/>
              </w:rPr>
            </w:pPr>
            <w:r>
              <w:rPr>
                <w:rFonts w:eastAsia="仿宋_GB2312"/>
              </w:rPr>
              <w:t>通过试验（1+9）</w:t>
            </w:r>
          </w:p>
        </w:tc>
      </w:tr>
      <w:tr w14:paraId="4B85AF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528" w:type="dxa"/>
            <w:gridSpan w:val="2"/>
            <w:tcBorders>
              <w:top w:val="single" w:color="auto" w:sz="4" w:space="0"/>
              <w:left w:val="single" w:color="auto" w:sz="12" w:space="0"/>
              <w:bottom w:val="single" w:color="auto" w:sz="12" w:space="0"/>
              <w:right w:val="single" w:color="auto" w:sz="12" w:space="0"/>
            </w:tcBorders>
            <w:noWrap/>
            <w:vAlign w:val="center"/>
          </w:tcPr>
          <w:p w14:paraId="5782AF23">
            <w:pPr>
              <w:jc w:val="left"/>
              <w:rPr>
                <w:rFonts w:eastAsia="仿宋_GB2312"/>
                <w:szCs w:val="21"/>
              </w:rPr>
            </w:pPr>
            <w:r>
              <w:rPr>
                <w:rFonts w:eastAsia="仿宋_GB2312"/>
              </w:rPr>
              <w:t>a：C4+C5醇指2-丁醇、异丁醇、正丁醇、异戊醇、正戊醇</w:t>
            </w:r>
          </w:p>
        </w:tc>
      </w:tr>
    </w:tbl>
    <w:p w14:paraId="629A522D">
      <w:pPr>
        <w:pStyle w:val="162"/>
        <w:spacing w:line="480" w:lineRule="exact"/>
        <w:ind w:firstLine="0" w:firstLineChars="0"/>
        <w:rPr>
          <w:rFonts w:ascii="Times New Roman"/>
        </w:rPr>
      </w:pPr>
      <w:r>
        <w:rPr>
          <w:rFonts w:ascii="Times New Roman"/>
        </w:rPr>
        <w:t>表3.2-1</w:t>
      </w:r>
      <w:r>
        <w:rPr>
          <w:rFonts w:hint="eastAsia" w:ascii="Times New Roman"/>
        </w:rPr>
        <w:t>5</w:t>
      </w:r>
      <w:r>
        <w:rPr>
          <w:rFonts w:ascii="Times New Roman"/>
        </w:rPr>
        <w:t xml:space="preserve">  N-甲基吡咯烷酮产品质量指标</w:t>
      </w:r>
    </w:p>
    <w:tbl>
      <w:tblPr>
        <w:tblStyle w:val="88"/>
        <w:tblW w:w="852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515"/>
        <w:gridCol w:w="4013"/>
      </w:tblGrid>
      <w:tr w14:paraId="50C309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15" w:type="dxa"/>
            <w:tcBorders>
              <w:tl2br w:val="nil"/>
              <w:tr2bl w:val="nil"/>
            </w:tcBorders>
            <w:noWrap/>
            <w:vAlign w:val="center"/>
          </w:tcPr>
          <w:p w14:paraId="554F863A">
            <w:pPr>
              <w:adjustRightInd w:val="0"/>
              <w:snapToGrid w:val="0"/>
              <w:jc w:val="center"/>
              <w:rPr>
                <w:rFonts w:eastAsia="仿宋_GB2312"/>
                <w:b/>
                <w:szCs w:val="21"/>
              </w:rPr>
            </w:pPr>
            <w:r>
              <w:rPr>
                <w:rFonts w:eastAsia="仿宋_GB2312"/>
                <w:b/>
                <w:szCs w:val="21"/>
              </w:rPr>
              <w:t>项目</w:t>
            </w:r>
          </w:p>
        </w:tc>
        <w:tc>
          <w:tcPr>
            <w:tcW w:w="4013" w:type="dxa"/>
            <w:tcBorders>
              <w:tl2br w:val="nil"/>
              <w:tr2bl w:val="nil"/>
            </w:tcBorders>
            <w:noWrap/>
            <w:vAlign w:val="center"/>
          </w:tcPr>
          <w:p w14:paraId="66DD3EE7">
            <w:pPr>
              <w:adjustRightInd w:val="0"/>
              <w:snapToGrid w:val="0"/>
              <w:jc w:val="center"/>
              <w:rPr>
                <w:rFonts w:eastAsia="仿宋_GB2312"/>
                <w:b/>
                <w:szCs w:val="21"/>
              </w:rPr>
            </w:pPr>
            <w:r>
              <w:rPr>
                <w:rFonts w:eastAsia="仿宋_GB2312"/>
                <w:b/>
                <w:szCs w:val="21"/>
              </w:rPr>
              <w:t>指标（</w:t>
            </w:r>
            <w:r>
              <w:rPr>
                <w:rFonts w:hint="eastAsia" w:eastAsia="仿宋_GB2312"/>
                <w:b/>
                <w:szCs w:val="21"/>
                <w:lang w:val="en-US" w:eastAsia="zh-CN"/>
              </w:rPr>
              <w:t>一般工业级II型</w:t>
            </w:r>
            <w:r>
              <w:rPr>
                <w:rFonts w:eastAsia="仿宋_GB2312"/>
                <w:b/>
                <w:szCs w:val="21"/>
              </w:rPr>
              <w:t>）</w:t>
            </w:r>
          </w:p>
        </w:tc>
      </w:tr>
      <w:tr w14:paraId="18B8D1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15" w:type="dxa"/>
            <w:tcBorders>
              <w:tl2br w:val="nil"/>
              <w:tr2bl w:val="nil"/>
            </w:tcBorders>
            <w:noWrap/>
            <w:vAlign w:val="center"/>
          </w:tcPr>
          <w:p w14:paraId="65625811">
            <w:pPr>
              <w:adjustRightInd w:val="0"/>
              <w:snapToGrid w:val="0"/>
              <w:jc w:val="center"/>
              <w:rPr>
                <w:rFonts w:eastAsia="仿宋_GB2312"/>
                <w:szCs w:val="21"/>
              </w:rPr>
            </w:pPr>
            <w:r>
              <w:rPr>
                <w:rFonts w:eastAsia="仿宋_GB2312"/>
                <w:szCs w:val="21"/>
              </w:rPr>
              <w:t>色度/Hazen单位（Pt-Co色号）</w:t>
            </w:r>
          </w:p>
        </w:tc>
        <w:tc>
          <w:tcPr>
            <w:tcW w:w="4013" w:type="dxa"/>
            <w:tcBorders>
              <w:tl2br w:val="nil"/>
              <w:tr2bl w:val="nil"/>
            </w:tcBorders>
            <w:noWrap/>
            <w:vAlign w:val="center"/>
          </w:tcPr>
          <w:p w14:paraId="08D97060">
            <w:pPr>
              <w:jc w:val="center"/>
              <w:rPr>
                <w:rFonts w:eastAsia="仿宋_GB2312"/>
                <w:szCs w:val="21"/>
              </w:rPr>
            </w:pPr>
            <w:r>
              <w:rPr>
                <w:rFonts w:eastAsia="仿宋_GB2312"/>
                <w:szCs w:val="21"/>
              </w:rPr>
              <w:t>≤30</w:t>
            </w:r>
          </w:p>
        </w:tc>
      </w:tr>
      <w:tr w14:paraId="490BC95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15" w:type="dxa"/>
            <w:tcBorders>
              <w:tl2br w:val="nil"/>
              <w:tr2bl w:val="nil"/>
            </w:tcBorders>
            <w:noWrap/>
            <w:vAlign w:val="center"/>
          </w:tcPr>
          <w:p w14:paraId="0547A93B">
            <w:pPr>
              <w:adjustRightInd w:val="0"/>
              <w:snapToGrid w:val="0"/>
              <w:jc w:val="center"/>
              <w:rPr>
                <w:rFonts w:eastAsia="仿宋_GB2312"/>
                <w:szCs w:val="21"/>
              </w:rPr>
            </w:pPr>
            <w:r>
              <w:rPr>
                <w:rFonts w:eastAsia="仿宋_GB2312"/>
                <w:szCs w:val="21"/>
              </w:rPr>
              <w:t>N-甲基-2-吡咯烷酮，ω/%</w:t>
            </w:r>
          </w:p>
        </w:tc>
        <w:tc>
          <w:tcPr>
            <w:tcW w:w="4013" w:type="dxa"/>
            <w:tcBorders>
              <w:tl2br w:val="nil"/>
              <w:tr2bl w:val="nil"/>
            </w:tcBorders>
            <w:noWrap/>
            <w:vAlign w:val="center"/>
          </w:tcPr>
          <w:p w14:paraId="2933F35C">
            <w:pPr>
              <w:adjustRightInd w:val="0"/>
              <w:snapToGrid w:val="0"/>
              <w:jc w:val="center"/>
              <w:rPr>
                <w:rFonts w:eastAsia="仿宋_GB2312"/>
                <w:szCs w:val="21"/>
              </w:rPr>
            </w:pPr>
            <w:r>
              <w:rPr>
                <w:rFonts w:eastAsia="仿宋_GB2312"/>
                <w:szCs w:val="21"/>
              </w:rPr>
              <w:t>≥99.5</w:t>
            </w:r>
          </w:p>
        </w:tc>
      </w:tr>
      <w:tr w14:paraId="23C89DE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15" w:type="dxa"/>
            <w:tcBorders>
              <w:tl2br w:val="nil"/>
              <w:tr2bl w:val="nil"/>
            </w:tcBorders>
            <w:noWrap/>
            <w:vAlign w:val="center"/>
          </w:tcPr>
          <w:p w14:paraId="6438F6C9">
            <w:pPr>
              <w:adjustRightInd w:val="0"/>
              <w:snapToGrid w:val="0"/>
              <w:jc w:val="center"/>
              <w:rPr>
                <w:rFonts w:eastAsia="仿宋_GB2312"/>
                <w:szCs w:val="21"/>
              </w:rPr>
            </w:pPr>
            <w:r>
              <w:rPr>
                <w:rFonts w:eastAsia="仿宋_GB2312"/>
                <w:szCs w:val="21"/>
              </w:rPr>
              <w:t>水，ω/%</w:t>
            </w:r>
          </w:p>
        </w:tc>
        <w:tc>
          <w:tcPr>
            <w:tcW w:w="4013" w:type="dxa"/>
            <w:tcBorders>
              <w:tl2br w:val="nil"/>
              <w:tr2bl w:val="nil"/>
            </w:tcBorders>
            <w:noWrap/>
            <w:vAlign w:val="center"/>
          </w:tcPr>
          <w:p w14:paraId="78605C7A">
            <w:pPr>
              <w:adjustRightInd w:val="0"/>
              <w:snapToGrid w:val="0"/>
              <w:jc w:val="center"/>
              <w:rPr>
                <w:rFonts w:eastAsia="仿宋_GB2312"/>
                <w:szCs w:val="21"/>
              </w:rPr>
            </w:pPr>
            <w:r>
              <w:rPr>
                <w:rFonts w:eastAsia="仿宋_GB2312"/>
                <w:szCs w:val="21"/>
              </w:rPr>
              <w:t>≤0.10</w:t>
            </w:r>
          </w:p>
        </w:tc>
      </w:tr>
      <w:tr w14:paraId="72D33ED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15" w:type="dxa"/>
            <w:tcBorders>
              <w:tl2br w:val="nil"/>
              <w:tr2bl w:val="nil"/>
            </w:tcBorders>
            <w:noWrap/>
            <w:vAlign w:val="center"/>
          </w:tcPr>
          <w:p w14:paraId="625E317B">
            <w:pPr>
              <w:adjustRightInd w:val="0"/>
              <w:snapToGrid w:val="0"/>
              <w:jc w:val="center"/>
              <w:rPr>
                <w:rFonts w:eastAsia="仿宋_GB2312"/>
                <w:szCs w:val="21"/>
              </w:rPr>
            </w:pPr>
            <w:r>
              <w:rPr>
                <w:rFonts w:eastAsia="仿宋_GB2312"/>
                <w:szCs w:val="21"/>
              </w:rPr>
              <w:t>折光率</w:t>
            </w:r>
          </w:p>
        </w:tc>
        <w:tc>
          <w:tcPr>
            <w:tcW w:w="4013" w:type="dxa"/>
            <w:tcBorders>
              <w:tl2br w:val="nil"/>
              <w:tr2bl w:val="nil"/>
            </w:tcBorders>
            <w:noWrap/>
            <w:vAlign w:val="center"/>
          </w:tcPr>
          <w:p w14:paraId="529D2CF9">
            <w:pPr>
              <w:jc w:val="center"/>
              <w:rPr>
                <w:rFonts w:eastAsia="仿宋_GB2312"/>
                <w:szCs w:val="21"/>
              </w:rPr>
            </w:pPr>
            <w:r>
              <w:rPr>
                <w:rFonts w:eastAsia="仿宋_GB2312"/>
                <w:szCs w:val="21"/>
              </w:rPr>
              <w:t>1.468~1.472</w:t>
            </w:r>
          </w:p>
        </w:tc>
      </w:tr>
      <w:tr w14:paraId="681C3D5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15" w:type="dxa"/>
            <w:tcBorders>
              <w:tl2br w:val="nil"/>
              <w:tr2bl w:val="nil"/>
            </w:tcBorders>
            <w:noWrap/>
            <w:vAlign w:val="center"/>
          </w:tcPr>
          <w:p w14:paraId="1AF37AE3">
            <w:pPr>
              <w:adjustRightInd w:val="0"/>
              <w:snapToGrid w:val="0"/>
              <w:jc w:val="center"/>
              <w:rPr>
                <w:rFonts w:hint="default" w:eastAsia="仿宋_GB2312"/>
                <w:szCs w:val="21"/>
                <w:lang w:val="en-US" w:eastAsia="zh-CN"/>
              </w:rPr>
            </w:pPr>
            <w:r>
              <w:rPr>
                <w:rFonts w:hint="eastAsia" w:eastAsia="仿宋_GB2312"/>
                <w:szCs w:val="21"/>
                <w:lang w:val="en-US" w:eastAsia="zh-CN"/>
              </w:rPr>
              <w:t>密度（20℃）/（g/cm</w:t>
            </w:r>
            <w:r>
              <w:rPr>
                <w:rFonts w:hint="eastAsia" w:eastAsia="仿宋_GB2312"/>
                <w:szCs w:val="21"/>
                <w:vertAlign w:val="superscript"/>
                <w:lang w:val="en-US" w:eastAsia="zh-CN"/>
              </w:rPr>
              <w:t>3</w:t>
            </w:r>
            <w:r>
              <w:rPr>
                <w:rFonts w:hint="eastAsia" w:eastAsia="仿宋_GB2312"/>
                <w:szCs w:val="21"/>
                <w:lang w:val="en-US" w:eastAsia="zh-CN"/>
              </w:rPr>
              <w:t>）</w:t>
            </w:r>
          </w:p>
        </w:tc>
        <w:tc>
          <w:tcPr>
            <w:tcW w:w="4013" w:type="dxa"/>
            <w:tcBorders>
              <w:tl2br w:val="nil"/>
              <w:tr2bl w:val="nil"/>
            </w:tcBorders>
            <w:noWrap/>
            <w:vAlign w:val="center"/>
          </w:tcPr>
          <w:p w14:paraId="6100B2CD">
            <w:pPr>
              <w:jc w:val="center"/>
              <w:rPr>
                <w:rFonts w:hint="default" w:eastAsia="仿宋_GB2312"/>
                <w:szCs w:val="21"/>
                <w:lang w:val="en-US" w:eastAsia="zh-CN"/>
              </w:rPr>
            </w:pPr>
            <w:r>
              <w:rPr>
                <w:rFonts w:hint="eastAsia" w:eastAsia="仿宋_GB2312"/>
                <w:szCs w:val="21"/>
                <w:lang w:val="en-US" w:eastAsia="zh-CN"/>
              </w:rPr>
              <w:t>1.025~1.035</w:t>
            </w:r>
          </w:p>
        </w:tc>
      </w:tr>
    </w:tbl>
    <w:p w14:paraId="2D1FD8DD">
      <w:pPr>
        <w:pStyle w:val="162"/>
        <w:spacing w:line="480" w:lineRule="exact"/>
        <w:ind w:firstLine="0" w:firstLineChars="0"/>
        <w:rPr>
          <w:rFonts w:ascii="Times New Roman"/>
        </w:rPr>
      </w:pPr>
      <w:r>
        <w:rPr>
          <w:rFonts w:ascii="Times New Roman"/>
        </w:rPr>
        <w:t>表3.2-1</w:t>
      </w:r>
      <w:r>
        <w:rPr>
          <w:rFonts w:hint="eastAsia" w:ascii="Times New Roman"/>
        </w:rPr>
        <w:t>6</w:t>
      </w:r>
      <w:r>
        <w:rPr>
          <w:rFonts w:ascii="Times New Roman"/>
        </w:rPr>
        <w:t xml:space="preserve">  四氢呋喃产品质量指标</w:t>
      </w:r>
    </w:p>
    <w:tbl>
      <w:tblPr>
        <w:tblStyle w:val="88"/>
        <w:tblW w:w="852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515"/>
        <w:gridCol w:w="4013"/>
      </w:tblGrid>
      <w:tr w14:paraId="3D3FEB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15" w:type="dxa"/>
            <w:tcBorders>
              <w:tl2br w:val="nil"/>
              <w:tr2bl w:val="nil"/>
            </w:tcBorders>
            <w:noWrap/>
            <w:vAlign w:val="center"/>
          </w:tcPr>
          <w:p w14:paraId="39CF66D5">
            <w:pPr>
              <w:adjustRightInd w:val="0"/>
              <w:snapToGrid w:val="0"/>
              <w:jc w:val="center"/>
              <w:rPr>
                <w:rFonts w:eastAsia="仿宋_GB2312"/>
                <w:b/>
                <w:szCs w:val="21"/>
              </w:rPr>
            </w:pPr>
            <w:bookmarkStart w:id="37" w:name="_Hlk519844225"/>
            <w:r>
              <w:rPr>
                <w:rFonts w:eastAsia="仿宋_GB2312"/>
                <w:b/>
                <w:szCs w:val="21"/>
              </w:rPr>
              <w:t>项目</w:t>
            </w:r>
          </w:p>
        </w:tc>
        <w:tc>
          <w:tcPr>
            <w:tcW w:w="4013" w:type="dxa"/>
            <w:tcBorders>
              <w:tl2br w:val="nil"/>
              <w:tr2bl w:val="nil"/>
            </w:tcBorders>
            <w:noWrap/>
            <w:vAlign w:val="center"/>
          </w:tcPr>
          <w:p w14:paraId="64A8DD55">
            <w:pPr>
              <w:adjustRightInd w:val="0"/>
              <w:snapToGrid w:val="0"/>
              <w:jc w:val="center"/>
              <w:rPr>
                <w:rFonts w:eastAsia="仿宋_GB2312"/>
                <w:b/>
                <w:szCs w:val="21"/>
              </w:rPr>
            </w:pPr>
            <w:r>
              <w:rPr>
                <w:rFonts w:eastAsia="仿宋_GB2312"/>
                <w:b/>
                <w:szCs w:val="21"/>
              </w:rPr>
              <w:t>指标（合格品）</w:t>
            </w:r>
          </w:p>
        </w:tc>
      </w:tr>
      <w:tr w14:paraId="7CF5DA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15" w:type="dxa"/>
            <w:tcBorders>
              <w:tl2br w:val="nil"/>
              <w:tr2bl w:val="nil"/>
            </w:tcBorders>
            <w:noWrap/>
            <w:vAlign w:val="center"/>
          </w:tcPr>
          <w:p w14:paraId="583C9315">
            <w:pPr>
              <w:jc w:val="center"/>
              <w:rPr>
                <w:rFonts w:eastAsia="仿宋_GB2312"/>
                <w:szCs w:val="21"/>
              </w:rPr>
            </w:pPr>
            <w:r>
              <w:rPr>
                <w:rFonts w:eastAsia="仿宋_GB2312"/>
                <w:szCs w:val="21"/>
              </w:rPr>
              <w:t>四氢呋喃，ω/%</w:t>
            </w:r>
          </w:p>
        </w:tc>
        <w:tc>
          <w:tcPr>
            <w:tcW w:w="4013" w:type="dxa"/>
            <w:tcBorders>
              <w:tl2br w:val="nil"/>
              <w:tr2bl w:val="nil"/>
            </w:tcBorders>
            <w:noWrap/>
            <w:vAlign w:val="center"/>
          </w:tcPr>
          <w:p w14:paraId="26E36712">
            <w:pPr>
              <w:jc w:val="center"/>
              <w:rPr>
                <w:rFonts w:eastAsia="仿宋_GB2312"/>
                <w:szCs w:val="21"/>
              </w:rPr>
            </w:pPr>
            <w:r>
              <w:rPr>
                <w:rFonts w:eastAsia="仿宋_GB2312"/>
                <w:szCs w:val="21"/>
              </w:rPr>
              <w:t>≥99.8</w:t>
            </w:r>
          </w:p>
        </w:tc>
      </w:tr>
      <w:tr w14:paraId="5E3ED9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15" w:type="dxa"/>
            <w:tcBorders>
              <w:tl2br w:val="nil"/>
              <w:tr2bl w:val="nil"/>
            </w:tcBorders>
            <w:noWrap/>
            <w:vAlign w:val="center"/>
          </w:tcPr>
          <w:p w14:paraId="7EC1E837">
            <w:pPr>
              <w:adjustRightInd w:val="0"/>
              <w:snapToGrid w:val="0"/>
              <w:jc w:val="center"/>
              <w:rPr>
                <w:rFonts w:eastAsia="仿宋_GB2312"/>
                <w:szCs w:val="21"/>
              </w:rPr>
            </w:pPr>
            <w:r>
              <w:rPr>
                <w:rFonts w:eastAsia="仿宋_GB2312"/>
                <w:szCs w:val="21"/>
              </w:rPr>
              <w:t>色度/Hazen单位（Pt-Co色号）</w:t>
            </w:r>
          </w:p>
        </w:tc>
        <w:tc>
          <w:tcPr>
            <w:tcW w:w="4013" w:type="dxa"/>
            <w:tcBorders>
              <w:tl2br w:val="nil"/>
              <w:tr2bl w:val="nil"/>
            </w:tcBorders>
            <w:noWrap/>
            <w:vAlign w:val="center"/>
          </w:tcPr>
          <w:p w14:paraId="6FF67DA3">
            <w:pPr>
              <w:adjustRightInd w:val="0"/>
              <w:snapToGrid w:val="0"/>
              <w:jc w:val="center"/>
              <w:rPr>
                <w:rFonts w:eastAsia="仿宋_GB2312"/>
                <w:szCs w:val="21"/>
              </w:rPr>
            </w:pPr>
            <w:r>
              <w:rPr>
                <w:rFonts w:eastAsia="仿宋_GB2312"/>
                <w:szCs w:val="21"/>
              </w:rPr>
              <w:t>≤10</w:t>
            </w:r>
          </w:p>
        </w:tc>
      </w:tr>
      <w:tr w14:paraId="7BE796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15" w:type="dxa"/>
            <w:tcBorders>
              <w:tl2br w:val="nil"/>
              <w:tr2bl w:val="nil"/>
            </w:tcBorders>
            <w:noWrap/>
            <w:vAlign w:val="center"/>
          </w:tcPr>
          <w:p w14:paraId="2C2D5330">
            <w:pPr>
              <w:adjustRightInd w:val="0"/>
              <w:snapToGrid w:val="0"/>
              <w:jc w:val="center"/>
              <w:rPr>
                <w:rFonts w:eastAsia="仿宋_GB2312"/>
                <w:szCs w:val="21"/>
              </w:rPr>
            </w:pPr>
            <w:r>
              <w:rPr>
                <w:rFonts w:eastAsia="仿宋_GB2312"/>
                <w:szCs w:val="21"/>
              </w:rPr>
              <w:t>水分/%</w:t>
            </w:r>
          </w:p>
        </w:tc>
        <w:tc>
          <w:tcPr>
            <w:tcW w:w="4013" w:type="dxa"/>
            <w:tcBorders>
              <w:tl2br w:val="nil"/>
              <w:tr2bl w:val="nil"/>
            </w:tcBorders>
            <w:noWrap/>
            <w:vAlign w:val="center"/>
          </w:tcPr>
          <w:p w14:paraId="61DD252A">
            <w:pPr>
              <w:adjustRightInd w:val="0"/>
              <w:snapToGrid w:val="0"/>
              <w:jc w:val="center"/>
              <w:rPr>
                <w:rFonts w:eastAsia="仿宋_GB2312"/>
                <w:szCs w:val="21"/>
              </w:rPr>
            </w:pPr>
            <w:r>
              <w:rPr>
                <w:rFonts w:eastAsia="仿宋_GB2312"/>
                <w:szCs w:val="21"/>
              </w:rPr>
              <w:t>≤0.05</w:t>
            </w:r>
          </w:p>
        </w:tc>
      </w:tr>
    </w:tbl>
    <w:p w14:paraId="7E760EC0">
      <w:pPr>
        <w:pStyle w:val="162"/>
        <w:spacing w:line="480" w:lineRule="exact"/>
        <w:ind w:firstLine="0" w:firstLineChars="0"/>
        <w:rPr>
          <w:rFonts w:ascii="Times New Roman"/>
        </w:rPr>
      </w:pPr>
      <w:r>
        <w:rPr>
          <w:rFonts w:ascii="Times New Roman"/>
        </w:rPr>
        <w:t>表3.2-1</w:t>
      </w:r>
      <w:r>
        <w:rPr>
          <w:rFonts w:hint="eastAsia" w:ascii="Times New Roman"/>
        </w:rPr>
        <w:t>7</w:t>
      </w:r>
      <w:r>
        <w:rPr>
          <w:rFonts w:ascii="Times New Roman"/>
        </w:rPr>
        <w:t xml:space="preserve">  丁酮产品质量指标</w:t>
      </w:r>
    </w:p>
    <w:bookmarkEnd w:id="37"/>
    <w:tbl>
      <w:tblPr>
        <w:tblStyle w:val="88"/>
        <w:tblW w:w="852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838"/>
        <w:gridCol w:w="1665"/>
        <w:gridCol w:w="4025"/>
      </w:tblGrid>
      <w:tr w14:paraId="79F99B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03" w:type="dxa"/>
            <w:gridSpan w:val="2"/>
            <w:tcBorders>
              <w:tl2br w:val="nil"/>
              <w:tr2bl w:val="nil"/>
            </w:tcBorders>
            <w:noWrap/>
            <w:vAlign w:val="center"/>
          </w:tcPr>
          <w:p w14:paraId="1220DBA8">
            <w:pPr>
              <w:adjustRightInd w:val="0"/>
              <w:snapToGrid w:val="0"/>
              <w:jc w:val="center"/>
              <w:rPr>
                <w:rFonts w:eastAsia="仿宋_GB2312"/>
                <w:b/>
                <w:szCs w:val="21"/>
              </w:rPr>
            </w:pPr>
            <w:r>
              <w:rPr>
                <w:rFonts w:eastAsia="仿宋_GB2312"/>
                <w:b/>
                <w:szCs w:val="21"/>
              </w:rPr>
              <w:t>项目</w:t>
            </w:r>
          </w:p>
        </w:tc>
        <w:tc>
          <w:tcPr>
            <w:tcW w:w="4025" w:type="dxa"/>
            <w:tcBorders>
              <w:tl2br w:val="nil"/>
              <w:tr2bl w:val="nil"/>
            </w:tcBorders>
            <w:noWrap/>
            <w:vAlign w:val="center"/>
          </w:tcPr>
          <w:p w14:paraId="119771E8">
            <w:pPr>
              <w:adjustRightInd w:val="0"/>
              <w:snapToGrid w:val="0"/>
              <w:jc w:val="center"/>
              <w:rPr>
                <w:rFonts w:eastAsia="仿宋_GB2312"/>
                <w:b/>
                <w:szCs w:val="21"/>
              </w:rPr>
            </w:pPr>
            <w:r>
              <w:rPr>
                <w:rFonts w:eastAsia="仿宋_GB2312"/>
                <w:b/>
                <w:szCs w:val="21"/>
              </w:rPr>
              <w:t>指标（通用级）</w:t>
            </w:r>
          </w:p>
        </w:tc>
      </w:tr>
      <w:tr w14:paraId="203171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03" w:type="dxa"/>
            <w:gridSpan w:val="2"/>
            <w:tcBorders>
              <w:tl2br w:val="nil"/>
              <w:tr2bl w:val="nil"/>
            </w:tcBorders>
            <w:noWrap/>
            <w:vAlign w:val="center"/>
          </w:tcPr>
          <w:p w14:paraId="77D95071">
            <w:pPr>
              <w:jc w:val="center"/>
              <w:rPr>
                <w:rFonts w:eastAsia="仿宋_GB2312"/>
                <w:szCs w:val="21"/>
              </w:rPr>
            </w:pPr>
            <w:r>
              <w:rPr>
                <w:rFonts w:eastAsia="仿宋_GB2312"/>
                <w:szCs w:val="21"/>
              </w:rPr>
              <w:t>外观</w:t>
            </w:r>
          </w:p>
        </w:tc>
        <w:tc>
          <w:tcPr>
            <w:tcW w:w="4025" w:type="dxa"/>
            <w:tcBorders>
              <w:tl2br w:val="nil"/>
              <w:tr2bl w:val="nil"/>
            </w:tcBorders>
            <w:noWrap/>
            <w:vAlign w:val="center"/>
          </w:tcPr>
          <w:p w14:paraId="66EFFFB3">
            <w:pPr>
              <w:jc w:val="center"/>
              <w:rPr>
                <w:rFonts w:eastAsia="仿宋_GB2312"/>
                <w:szCs w:val="21"/>
              </w:rPr>
            </w:pPr>
            <w:r>
              <w:rPr>
                <w:rFonts w:eastAsia="仿宋_GB2312"/>
                <w:szCs w:val="21"/>
              </w:rPr>
              <w:t>无色透明液体，无机械杂质</w:t>
            </w:r>
          </w:p>
        </w:tc>
      </w:tr>
      <w:tr w14:paraId="05A836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03" w:type="dxa"/>
            <w:gridSpan w:val="2"/>
            <w:tcBorders>
              <w:tl2br w:val="nil"/>
              <w:tr2bl w:val="nil"/>
            </w:tcBorders>
            <w:noWrap/>
            <w:vAlign w:val="center"/>
          </w:tcPr>
          <w:p w14:paraId="23DF4F20">
            <w:pPr>
              <w:adjustRightInd w:val="0"/>
              <w:snapToGrid w:val="0"/>
              <w:jc w:val="center"/>
              <w:rPr>
                <w:rFonts w:eastAsia="仿宋_GB2312"/>
                <w:szCs w:val="21"/>
              </w:rPr>
            </w:pPr>
            <w:r>
              <w:rPr>
                <w:rFonts w:eastAsia="仿宋_GB2312"/>
                <w:szCs w:val="21"/>
              </w:rPr>
              <w:t>纯度(质量分数)/%</w:t>
            </w:r>
          </w:p>
        </w:tc>
        <w:tc>
          <w:tcPr>
            <w:tcW w:w="4025" w:type="dxa"/>
            <w:tcBorders>
              <w:tl2br w:val="nil"/>
              <w:tr2bl w:val="nil"/>
            </w:tcBorders>
            <w:noWrap/>
            <w:vAlign w:val="center"/>
          </w:tcPr>
          <w:p w14:paraId="48EB4AFA">
            <w:pPr>
              <w:adjustRightInd w:val="0"/>
              <w:snapToGrid w:val="0"/>
              <w:jc w:val="center"/>
              <w:rPr>
                <w:rFonts w:eastAsia="仿宋_GB2312"/>
                <w:szCs w:val="21"/>
              </w:rPr>
            </w:pPr>
            <w:r>
              <w:rPr>
                <w:rFonts w:eastAsia="仿宋_GB2312"/>
                <w:szCs w:val="21"/>
              </w:rPr>
              <w:t>≥99.5</w:t>
            </w:r>
          </w:p>
        </w:tc>
      </w:tr>
      <w:tr w14:paraId="2257FA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03" w:type="dxa"/>
            <w:gridSpan w:val="2"/>
            <w:tcBorders>
              <w:tl2br w:val="nil"/>
              <w:tr2bl w:val="nil"/>
            </w:tcBorders>
            <w:noWrap/>
            <w:vAlign w:val="center"/>
          </w:tcPr>
          <w:p w14:paraId="213368FE">
            <w:pPr>
              <w:adjustRightInd w:val="0"/>
              <w:snapToGrid w:val="0"/>
              <w:jc w:val="center"/>
              <w:rPr>
                <w:rFonts w:eastAsia="仿宋_GB2312"/>
                <w:szCs w:val="21"/>
              </w:rPr>
            </w:pPr>
            <w:r>
              <w:rPr>
                <w:rFonts w:eastAsia="仿宋_GB2312"/>
                <w:szCs w:val="21"/>
              </w:rPr>
              <w:t>水分(质量分数)/%</w:t>
            </w:r>
          </w:p>
        </w:tc>
        <w:tc>
          <w:tcPr>
            <w:tcW w:w="4025" w:type="dxa"/>
            <w:tcBorders>
              <w:tl2br w:val="nil"/>
              <w:tr2bl w:val="nil"/>
            </w:tcBorders>
            <w:noWrap/>
            <w:vAlign w:val="center"/>
          </w:tcPr>
          <w:p w14:paraId="4C4F896D">
            <w:pPr>
              <w:adjustRightInd w:val="0"/>
              <w:snapToGrid w:val="0"/>
              <w:jc w:val="center"/>
              <w:rPr>
                <w:rFonts w:eastAsia="仿宋_GB2312"/>
                <w:szCs w:val="21"/>
              </w:rPr>
            </w:pPr>
            <w:r>
              <w:rPr>
                <w:rFonts w:eastAsia="仿宋_GB2312"/>
                <w:szCs w:val="21"/>
              </w:rPr>
              <w:t>≤0.1</w:t>
            </w:r>
          </w:p>
        </w:tc>
      </w:tr>
      <w:tr w14:paraId="65BF3B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838" w:type="dxa"/>
            <w:vMerge w:val="restart"/>
            <w:tcBorders>
              <w:tl2br w:val="nil"/>
              <w:tr2bl w:val="nil"/>
            </w:tcBorders>
            <w:noWrap/>
            <w:vAlign w:val="center"/>
          </w:tcPr>
          <w:p w14:paraId="242F3404">
            <w:pPr>
              <w:jc w:val="center"/>
              <w:rPr>
                <w:rFonts w:eastAsia="仿宋_GB2312"/>
                <w:szCs w:val="21"/>
              </w:rPr>
            </w:pPr>
            <w:r>
              <w:rPr>
                <w:rFonts w:eastAsia="仿宋_GB2312"/>
                <w:szCs w:val="21"/>
              </w:rPr>
              <w:t>沸程</w:t>
            </w:r>
          </w:p>
        </w:tc>
        <w:tc>
          <w:tcPr>
            <w:tcW w:w="1665" w:type="dxa"/>
            <w:tcBorders>
              <w:tl2br w:val="nil"/>
              <w:tr2bl w:val="nil"/>
            </w:tcBorders>
            <w:vAlign w:val="center"/>
          </w:tcPr>
          <w:p w14:paraId="41EB4011">
            <w:pPr>
              <w:jc w:val="center"/>
              <w:rPr>
                <w:rFonts w:eastAsia="仿宋_GB2312"/>
                <w:szCs w:val="21"/>
              </w:rPr>
            </w:pPr>
            <w:r>
              <w:rPr>
                <w:rFonts w:eastAsia="仿宋_GB2312"/>
                <w:szCs w:val="21"/>
              </w:rPr>
              <w:t>初馏点/</w:t>
            </w:r>
            <w:r>
              <w:rPr>
                <w:rFonts w:hint="eastAsia" w:ascii="宋体" w:hAnsi="宋体" w:cs="宋体"/>
                <w:szCs w:val="21"/>
              </w:rPr>
              <w:t>℃</w:t>
            </w:r>
          </w:p>
        </w:tc>
        <w:tc>
          <w:tcPr>
            <w:tcW w:w="4025" w:type="dxa"/>
            <w:tcBorders>
              <w:tl2br w:val="nil"/>
              <w:tr2bl w:val="nil"/>
            </w:tcBorders>
            <w:noWrap/>
            <w:vAlign w:val="center"/>
          </w:tcPr>
          <w:p w14:paraId="79059201">
            <w:pPr>
              <w:jc w:val="center"/>
              <w:rPr>
                <w:rFonts w:eastAsia="仿宋_GB2312"/>
                <w:szCs w:val="21"/>
              </w:rPr>
            </w:pPr>
            <w:r>
              <w:rPr>
                <w:rFonts w:eastAsia="仿宋_GB2312"/>
                <w:szCs w:val="21"/>
              </w:rPr>
              <w:t>≥78.5</w:t>
            </w:r>
          </w:p>
        </w:tc>
      </w:tr>
      <w:tr w14:paraId="68E3DE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838" w:type="dxa"/>
            <w:vMerge w:val="continue"/>
            <w:tcBorders>
              <w:tl2br w:val="nil"/>
              <w:tr2bl w:val="nil"/>
            </w:tcBorders>
            <w:noWrap/>
            <w:vAlign w:val="center"/>
          </w:tcPr>
          <w:p w14:paraId="74606948">
            <w:pPr>
              <w:jc w:val="center"/>
              <w:rPr>
                <w:rFonts w:eastAsia="仿宋_GB2312"/>
                <w:szCs w:val="21"/>
              </w:rPr>
            </w:pPr>
          </w:p>
        </w:tc>
        <w:tc>
          <w:tcPr>
            <w:tcW w:w="1665" w:type="dxa"/>
            <w:tcBorders>
              <w:tl2br w:val="nil"/>
              <w:tr2bl w:val="nil"/>
            </w:tcBorders>
            <w:vAlign w:val="center"/>
          </w:tcPr>
          <w:p w14:paraId="31B3D369">
            <w:pPr>
              <w:jc w:val="center"/>
              <w:rPr>
                <w:rFonts w:eastAsia="仿宋_GB2312"/>
                <w:szCs w:val="21"/>
              </w:rPr>
            </w:pPr>
            <w:r>
              <w:rPr>
                <w:rFonts w:eastAsia="仿宋_GB2312"/>
                <w:szCs w:val="21"/>
              </w:rPr>
              <w:t>干点/</w:t>
            </w:r>
            <w:r>
              <w:rPr>
                <w:rFonts w:hint="eastAsia" w:ascii="宋体" w:hAnsi="宋体" w:cs="宋体"/>
                <w:szCs w:val="21"/>
              </w:rPr>
              <w:t>℃</w:t>
            </w:r>
          </w:p>
        </w:tc>
        <w:tc>
          <w:tcPr>
            <w:tcW w:w="4025" w:type="dxa"/>
            <w:tcBorders>
              <w:tl2br w:val="nil"/>
              <w:tr2bl w:val="nil"/>
            </w:tcBorders>
            <w:noWrap/>
            <w:vAlign w:val="center"/>
          </w:tcPr>
          <w:p w14:paraId="5AC23E7B">
            <w:pPr>
              <w:jc w:val="center"/>
              <w:rPr>
                <w:rFonts w:eastAsia="仿宋_GB2312"/>
                <w:szCs w:val="21"/>
              </w:rPr>
            </w:pPr>
            <w:r>
              <w:rPr>
                <w:rFonts w:eastAsia="仿宋_GB2312"/>
                <w:szCs w:val="21"/>
              </w:rPr>
              <w:t>≤81</w:t>
            </w:r>
          </w:p>
        </w:tc>
      </w:tr>
      <w:tr w14:paraId="21824F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03" w:type="dxa"/>
            <w:gridSpan w:val="2"/>
            <w:tcBorders>
              <w:tl2br w:val="nil"/>
              <w:tr2bl w:val="nil"/>
            </w:tcBorders>
            <w:noWrap/>
            <w:vAlign w:val="center"/>
          </w:tcPr>
          <w:p w14:paraId="08E0C08D">
            <w:pPr>
              <w:jc w:val="center"/>
              <w:rPr>
                <w:rFonts w:eastAsia="仿宋_GB2312"/>
                <w:szCs w:val="21"/>
              </w:rPr>
            </w:pPr>
            <w:r>
              <w:rPr>
                <w:rFonts w:eastAsia="仿宋_GB2312"/>
                <w:szCs w:val="21"/>
              </w:rPr>
              <w:t>色度/（铂-钴）号</w:t>
            </w:r>
          </w:p>
        </w:tc>
        <w:tc>
          <w:tcPr>
            <w:tcW w:w="4025" w:type="dxa"/>
            <w:tcBorders>
              <w:tl2br w:val="nil"/>
              <w:tr2bl w:val="nil"/>
            </w:tcBorders>
            <w:noWrap/>
            <w:vAlign w:val="center"/>
          </w:tcPr>
          <w:p w14:paraId="31479094">
            <w:pPr>
              <w:jc w:val="center"/>
              <w:rPr>
                <w:rFonts w:eastAsia="仿宋_GB2312"/>
                <w:szCs w:val="21"/>
              </w:rPr>
            </w:pPr>
            <w:r>
              <w:rPr>
                <w:rFonts w:eastAsia="仿宋_GB2312"/>
                <w:szCs w:val="21"/>
              </w:rPr>
              <w:t>≤10</w:t>
            </w:r>
          </w:p>
        </w:tc>
      </w:tr>
      <w:tr w14:paraId="73EA74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03" w:type="dxa"/>
            <w:gridSpan w:val="2"/>
            <w:tcBorders>
              <w:tl2br w:val="nil"/>
              <w:tr2bl w:val="nil"/>
            </w:tcBorders>
            <w:noWrap/>
            <w:vAlign w:val="center"/>
          </w:tcPr>
          <w:p w14:paraId="1F3CB46F">
            <w:pPr>
              <w:jc w:val="center"/>
              <w:rPr>
                <w:rFonts w:eastAsia="仿宋_GB2312"/>
                <w:szCs w:val="21"/>
              </w:rPr>
            </w:pPr>
            <w:r>
              <w:rPr>
                <w:rFonts w:eastAsia="仿宋_GB2312"/>
                <w:szCs w:val="21"/>
              </w:rPr>
              <w:t>密度（20</w:t>
            </w:r>
            <w:r>
              <w:rPr>
                <w:rFonts w:hint="eastAsia" w:ascii="宋体" w:hAnsi="宋体" w:cs="宋体"/>
                <w:szCs w:val="21"/>
              </w:rPr>
              <w:t>℃</w:t>
            </w:r>
            <w:r>
              <w:rPr>
                <w:rFonts w:eastAsia="仿宋_GB2312"/>
                <w:szCs w:val="21"/>
              </w:rPr>
              <w:t>）/g/ cm</w:t>
            </w:r>
            <w:r>
              <w:rPr>
                <w:rFonts w:eastAsia="仿宋_GB2312"/>
                <w:szCs w:val="21"/>
                <w:vertAlign w:val="superscript"/>
              </w:rPr>
              <w:t>3</w:t>
            </w:r>
          </w:p>
        </w:tc>
        <w:tc>
          <w:tcPr>
            <w:tcW w:w="4025" w:type="dxa"/>
            <w:tcBorders>
              <w:tl2br w:val="nil"/>
              <w:tr2bl w:val="nil"/>
            </w:tcBorders>
            <w:noWrap/>
            <w:vAlign w:val="center"/>
          </w:tcPr>
          <w:p w14:paraId="76E2BFF1">
            <w:pPr>
              <w:adjustRightInd w:val="0"/>
              <w:snapToGrid w:val="0"/>
              <w:jc w:val="center"/>
              <w:rPr>
                <w:rFonts w:eastAsia="仿宋_GB2312"/>
                <w:szCs w:val="21"/>
              </w:rPr>
            </w:pPr>
            <w:r>
              <w:rPr>
                <w:rFonts w:eastAsia="仿宋_GB2312"/>
                <w:szCs w:val="21"/>
              </w:rPr>
              <w:t>0.804~0.806</w:t>
            </w:r>
          </w:p>
        </w:tc>
      </w:tr>
      <w:tr w14:paraId="5FD756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03" w:type="dxa"/>
            <w:gridSpan w:val="2"/>
            <w:tcBorders>
              <w:tl2br w:val="nil"/>
              <w:tr2bl w:val="nil"/>
            </w:tcBorders>
            <w:noWrap/>
            <w:vAlign w:val="center"/>
          </w:tcPr>
          <w:p w14:paraId="0485B2DF">
            <w:pPr>
              <w:adjustRightInd w:val="0"/>
              <w:snapToGrid w:val="0"/>
              <w:jc w:val="center"/>
              <w:rPr>
                <w:rFonts w:eastAsia="仿宋_GB2312"/>
                <w:szCs w:val="21"/>
              </w:rPr>
            </w:pPr>
            <w:r>
              <w:rPr>
                <w:rFonts w:eastAsia="仿宋_GB2312"/>
                <w:szCs w:val="21"/>
              </w:rPr>
              <w:t>不挥发物/(mg/ 100mL)</w:t>
            </w:r>
          </w:p>
        </w:tc>
        <w:tc>
          <w:tcPr>
            <w:tcW w:w="4025" w:type="dxa"/>
            <w:tcBorders>
              <w:tl2br w:val="nil"/>
              <w:tr2bl w:val="nil"/>
            </w:tcBorders>
            <w:noWrap/>
            <w:vAlign w:val="center"/>
          </w:tcPr>
          <w:p w14:paraId="182BB54F">
            <w:pPr>
              <w:adjustRightInd w:val="0"/>
              <w:snapToGrid w:val="0"/>
              <w:jc w:val="center"/>
              <w:rPr>
                <w:rFonts w:eastAsia="仿宋_GB2312"/>
                <w:szCs w:val="21"/>
              </w:rPr>
            </w:pPr>
            <w:r>
              <w:rPr>
                <w:rFonts w:eastAsia="仿宋_GB2312"/>
                <w:szCs w:val="21"/>
              </w:rPr>
              <w:t>≤5</w:t>
            </w:r>
          </w:p>
        </w:tc>
      </w:tr>
      <w:tr w14:paraId="5F05E94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03" w:type="dxa"/>
            <w:gridSpan w:val="2"/>
            <w:tcBorders>
              <w:tl2br w:val="nil"/>
              <w:tr2bl w:val="nil"/>
            </w:tcBorders>
            <w:noWrap/>
            <w:vAlign w:val="center"/>
          </w:tcPr>
          <w:p w14:paraId="63125C02">
            <w:pPr>
              <w:adjustRightInd w:val="0"/>
              <w:snapToGrid w:val="0"/>
              <w:jc w:val="center"/>
              <w:rPr>
                <w:rFonts w:eastAsia="仿宋_GB2312"/>
                <w:szCs w:val="21"/>
              </w:rPr>
            </w:pPr>
            <w:r>
              <w:rPr>
                <w:rFonts w:eastAsia="仿宋_GB2312"/>
                <w:szCs w:val="21"/>
              </w:rPr>
              <w:t>酸度（以乙酸计）（质量分数）/%</w:t>
            </w:r>
          </w:p>
        </w:tc>
        <w:tc>
          <w:tcPr>
            <w:tcW w:w="4025" w:type="dxa"/>
            <w:tcBorders>
              <w:tl2br w:val="nil"/>
              <w:tr2bl w:val="nil"/>
            </w:tcBorders>
            <w:noWrap/>
            <w:vAlign w:val="center"/>
          </w:tcPr>
          <w:p w14:paraId="52609A22">
            <w:pPr>
              <w:adjustRightInd w:val="0"/>
              <w:snapToGrid w:val="0"/>
              <w:jc w:val="center"/>
              <w:rPr>
                <w:rFonts w:eastAsia="仿宋_GB2312"/>
                <w:szCs w:val="21"/>
              </w:rPr>
            </w:pPr>
            <w:r>
              <w:rPr>
                <w:rFonts w:eastAsia="仿宋_GB2312"/>
                <w:szCs w:val="21"/>
              </w:rPr>
              <w:t>≤0.005</w:t>
            </w:r>
          </w:p>
        </w:tc>
      </w:tr>
    </w:tbl>
    <w:p w14:paraId="00D374AF">
      <w:pPr>
        <w:pStyle w:val="162"/>
        <w:spacing w:line="480" w:lineRule="exact"/>
        <w:ind w:firstLine="0" w:firstLineChars="0"/>
        <w:rPr>
          <w:rFonts w:ascii="Times New Roman"/>
        </w:rPr>
      </w:pPr>
      <w:r>
        <w:rPr>
          <w:rFonts w:ascii="Times New Roman"/>
        </w:rPr>
        <w:t>表3.2-</w:t>
      </w:r>
      <w:r>
        <w:rPr>
          <w:rFonts w:hint="eastAsia" w:ascii="Times New Roman"/>
        </w:rPr>
        <w:t>18</w:t>
      </w:r>
      <w:r>
        <w:rPr>
          <w:rFonts w:ascii="Times New Roman"/>
        </w:rPr>
        <w:t xml:space="preserve">  丙二醇甲醚产品质量指标</w:t>
      </w:r>
    </w:p>
    <w:tbl>
      <w:tblPr>
        <w:tblStyle w:val="88"/>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515"/>
        <w:gridCol w:w="4013"/>
      </w:tblGrid>
      <w:tr w14:paraId="0C4C92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15" w:type="dxa"/>
            <w:tcBorders>
              <w:tl2br w:val="nil"/>
              <w:tr2bl w:val="nil"/>
            </w:tcBorders>
            <w:noWrap/>
            <w:vAlign w:val="center"/>
          </w:tcPr>
          <w:p w14:paraId="4B3004E9">
            <w:pPr>
              <w:adjustRightInd w:val="0"/>
              <w:snapToGrid w:val="0"/>
              <w:jc w:val="center"/>
              <w:rPr>
                <w:rFonts w:eastAsia="仿宋_GB2312"/>
                <w:b/>
                <w:szCs w:val="21"/>
              </w:rPr>
            </w:pPr>
            <w:r>
              <w:rPr>
                <w:rFonts w:eastAsia="仿宋_GB2312"/>
                <w:b/>
                <w:szCs w:val="21"/>
              </w:rPr>
              <w:t>项目</w:t>
            </w:r>
          </w:p>
        </w:tc>
        <w:tc>
          <w:tcPr>
            <w:tcW w:w="4013" w:type="dxa"/>
            <w:tcBorders>
              <w:tl2br w:val="nil"/>
              <w:tr2bl w:val="nil"/>
            </w:tcBorders>
            <w:noWrap/>
            <w:vAlign w:val="center"/>
          </w:tcPr>
          <w:p w14:paraId="0C39465A">
            <w:pPr>
              <w:adjustRightInd w:val="0"/>
              <w:snapToGrid w:val="0"/>
              <w:jc w:val="center"/>
              <w:rPr>
                <w:rFonts w:eastAsia="仿宋_GB2312"/>
                <w:b/>
                <w:szCs w:val="21"/>
              </w:rPr>
            </w:pPr>
            <w:r>
              <w:rPr>
                <w:rFonts w:eastAsia="仿宋_GB2312"/>
                <w:b/>
                <w:szCs w:val="21"/>
              </w:rPr>
              <w:t>指标</w:t>
            </w:r>
          </w:p>
        </w:tc>
      </w:tr>
      <w:tr w14:paraId="511CE25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15" w:type="dxa"/>
            <w:tcBorders>
              <w:tl2br w:val="nil"/>
              <w:tr2bl w:val="nil"/>
            </w:tcBorders>
            <w:noWrap/>
            <w:vAlign w:val="center"/>
          </w:tcPr>
          <w:p w14:paraId="7093C437">
            <w:pPr>
              <w:adjustRightInd w:val="0"/>
              <w:snapToGrid w:val="0"/>
              <w:jc w:val="center"/>
              <w:rPr>
                <w:rFonts w:eastAsia="仿宋_GB2312"/>
                <w:szCs w:val="21"/>
              </w:rPr>
            </w:pPr>
            <w:r>
              <w:rPr>
                <w:rFonts w:eastAsia="仿宋_GB2312"/>
                <w:szCs w:val="21"/>
              </w:rPr>
              <w:t>丙二醇单甲醚的质量分数/%</w:t>
            </w:r>
          </w:p>
        </w:tc>
        <w:tc>
          <w:tcPr>
            <w:tcW w:w="4013" w:type="dxa"/>
            <w:tcBorders>
              <w:tl2br w:val="nil"/>
              <w:tr2bl w:val="nil"/>
            </w:tcBorders>
            <w:noWrap/>
            <w:vAlign w:val="center"/>
          </w:tcPr>
          <w:p w14:paraId="6FDB74CD">
            <w:pPr>
              <w:adjustRightInd w:val="0"/>
              <w:snapToGrid w:val="0"/>
              <w:jc w:val="center"/>
              <w:rPr>
                <w:rFonts w:eastAsia="仿宋_GB2312"/>
                <w:szCs w:val="21"/>
              </w:rPr>
            </w:pPr>
            <w:r>
              <w:rPr>
                <w:rFonts w:eastAsia="仿宋_GB2312"/>
                <w:szCs w:val="21"/>
              </w:rPr>
              <w:t>≥99.5</w:t>
            </w:r>
          </w:p>
        </w:tc>
      </w:tr>
      <w:tr w14:paraId="5FA9EC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15" w:type="dxa"/>
            <w:tcBorders>
              <w:tl2br w:val="nil"/>
              <w:tr2bl w:val="nil"/>
            </w:tcBorders>
            <w:noWrap/>
            <w:vAlign w:val="center"/>
          </w:tcPr>
          <w:p w14:paraId="5C2520C4">
            <w:pPr>
              <w:adjustRightInd w:val="0"/>
              <w:snapToGrid w:val="0"/>
              <w:jc w:val="center"/>
              <w:rPr>
                <w:rFonts w:eastAsia="仿宋_GB2312"/>
                <w:szCs w:val="21"/>
              </w:rPr>
            </w:pPr>
            <w:r>
              <w:rPr>
                <w:rFonts w:eastAsia="仿宋_GB2312"/>
                <w:szCs w:val="21"/>
              </w:rPr>
              <w:t>2-甲氧基-1-丙醇的质量分数/%</w:t>
            </w:r>
          </w:p>
        </w:tc>
        <w:tc>
          <w:tcPr>
            <w:tcW w:w="4013" w:type="dxa"/>
            <w:tcBorders>
              <w:tl2br w:val="nil"/>
              <w:tr2bl w:val="nil"/>
            </w:tcBorders>
            <w:noWrap/>
            <w:vAlign w:val="center"/>
          </w:tcPr>
          <w:p w14:paraId="1766D945">
            <w:pPr>
              <w:adjustRightInd w:val="0"/>
              <w:snapToGrid w:val="0"/>
              <w:jc w:val="center"/>
              <w:rPr>
                <w:rFonts w:eastAsia="仿宋_GB2312"/>
                <w:szCs w:val="21"/>
              </w:rPr>
            </w:pPr>
            <w:r>
              <w:rPr>
                <w:rFonts w:eastAsia="仿宋_GB2312"/>
                <w:szCs w:val="21"/>
              </w:rPr>
              <w:t>≤0.4</w:t>
            </w:r>
          </w:p>
        </w:tc>
      </w:tr>
      <w:tr w14:paraId="5F6173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15" w:type="dxa"/>
            <w:tcBorders>
              <w:tl2br w:val="nil"/>
              <w:tr2bl w:val="nil"/>
            </w:tcBorders>
            <w:noWrap/>
            <w:vAlign w:val="center"/>
          </w:tcPr>
          <w:p w14:paraId="14DA532F">
            <w:pPr>
              <w:adjustRightInd w:val="0"/>
              <w:snapToGrid w:val="0"/>
              <w:jc w:val="center"/>
              <w:rPr>
                <w:rFonts w:eastAsia="仿宋_GB2312"/>
                <w:szCs w:val="21"/>
              </w:rPr>
            </w:pPr>
            <w:r>
              <w:rPr>
                <w:rFonts w:eastAsia="仿宋_GB2312"/>
                <w:szCs w:val="21"/>
              </w:rPr>
              <w:t>水的质量分数/%</w:t>
            </w:r>
          </w:p>
        </w:tc>
        <w:tc>
          <w:tcPr>
            <w:tcW w:w="4013" w:type="dxa"/>
            <w:tcBorders>
              <w:tl2br w:val="nil"/>
              <w:tr2bl w:val="nil"/>
            </w:tcBorders>
            <w:noWrap/>
            <w:vAlign w:val="center"/>
          </w:tcPr>
          <w:p w14:paraId="16B6016D">
            <w:pPr>
              <w:adjustRightInd w:val="0"/>
              <w:snapToGrid w:val="0"/>
              <w:jc w:val="center"/>
              <w:rPr>
                <w:rFonts w:eastAsia="仿宋_GB2312"/>
                <w:szCs w:val="21"/>
              </w:rPr>
            </w:pPr>
            <w:r>
              <w:rPr>
                <w:rFonts w:eastAsia="仿宋_GB2312"/>
                <w:szCs w:val="21"/>
              </w:rPr>
              <w:t>≤0.1</w:t>
            </w:r>
          </w:p>
        </w:tc>
      </w:tr>
      <w:tr w14:paraId="2C0967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15" w:type="dxa"/>
            <w:tcBorders>
              <w:tl2br w:val="nil"/>
              <w:tr2bl w:val="nil"/>
            </w:tcBorders>
            <w:noWrap/>
            <w:vAlign w:val="center"/>
          </w:tcPr>
          <w:p w14:paraId="38A3C0E9">
            <w:pPr>
              <w:adjustRightInd w:val="0"/>
              <w:snapToGrid w:val="0"/>
              <w:jc w:val="center"/>
              <w:rPr>
                <w:rFonts w:eastAsia="仿宋_GB2312"/>
                <w:szCs w:val="21"/>
              </w:rPr>
            </w:pPr>
            <w:r>
              <w:rPr>
                <w:rFonts w:eastAsia="仿宋_GB2312"/>
                <w:szCs w:val="21"/>
              </w:rPr>
              <w:t>酸（以乙酸计）的质量分数/%</w:t>
            </w:r>
          </w:p>
        </w:tc>
        <w:tc>
          <w:tcPr>
            <w:tcW w:w="4013" w:type="dxa"/>
            <w:tcBorders>
              <w:tl2br w:val="nil"/>
              <w:tr2bl w:val="nil"/>
            </w:tcBorders>
            <w:noWrap/>
            <w:vAlign w:val="center"/>
          </w:tcPr>
          <w:p w14:paraId="7D2C6AC8">
            <w:pPr>
              <w:adjustRightInd w:val="0"/>
              <w:snapToGrid w:val="0"/>
              <w:jc w:val="center"/>
              <w:rPr>
                <w:rFonts w:eastAsia="仿宋_GB2312"/>
                <w:szCs w:val="21"/>
              </w:rPr>
            </w:pPr>
            <w:r>
              <w:rPr>
                <w:rFonts w:eastAsia="仿宋_GB2312"/>
                <w:szCs w:val="21"/>
              </w:rPr>
              <w:t>≤0.01</w:t>
            </w:r>
          </w:p>
        </w:tc>
      </w:tr>
      <w:tr w14:paraId="354036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15" w:type="dxa"/>
            <w:tcBorders>
              <w:tl2br w:val="nil"/>
              <w:tr2bl w:val="nil"/>
            </w:tcBorders>
            <w:noWrap/>
            <w:vAlign w:val="center"/>
          </w:tcPr>
          <w:p w14:paraId="7FC43DCF">
            <w:pPr>
              <w:jc w:val="center"/>
              <w:rPr>
                <w:rFonts w:eastAsia="仿宋_GB2312"/>
                <w:szCs w:val="21"/>
              </w:rPr>
            </w:pPr>
            <w:r>
              <w:rPr>
                <w:rFonts w:eastAsia="仿宋_GB2312"/>
                <w:szCs w:val="21"/>
              </w:rPr>
              <w:t>沸程（0</w:t>
            </w:r>
            <w:r>
              <w:rPr>
                <w:rFonts w:hint="eastAsia" w:ascii="宋体" w:hAnsi="宋体" w:cs="宋体"/>
                <w:szCs w:val="21"/>
              </w:rPr>
              <w:t>℃</w:t>
            </w:r>
            <w:r>
              <w:rPr>
                <w:rFonts w:eastAsia="仿宋_GB2312"/>
                <w:szCs w:val="21"/>
              </w:rPr>
              <w:t>,101.3kPa）/</w:t>
            </w:r>
            <w:r>
              <w:rPr>
                <w:rFonts w:hint="eastAsia" w:ascii="宋体" w:hAnsi="宋体" w:cs="宋体"/>
                <w:szCs w:val="21"/>
              </w:rPr>
              <w:t>℃</w:t>
            </w:r>
          </w:p>
        </w:tc>
        <w:tc>
          <w:tcPr>
            <w:tcW w:w="4013" w:type="dxa"/>
            <w:tcBorders>
              <w:tl2br w:val="nil"/>
              <w:tr2bl w:val="nil"/>
            </w:tcBorders>
            <w:noWrap/>
            <w:vAlign w:val="center"/>
          </w:tcPr>
          <w:p w14:paraId="26841C58">
            <w:pPr>
              <w:jc w:val="center"/>
              <w:rPr>
                <w:rFonts w:eastAsia="仿宋_GB2312"/>
                <w:szCs w:val="21"/>
              </w:rPr>
            </w:pPr>
            <w:r>
              <w:rPr>
                <w:rFonts w:eastAsia="仿宋_GB2312"/>
                <w:szCs w:val="21"/>
              </w:rPr>
              <w:t>117~125</w:t>
            </w:r>
          </w:p>
        </w:tc>
      </w:tr>
      <w:tr w14:paraId="327782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15" w:type="dxa"/>
            <w:tcBorders>
              <w:tl2br w:val="nil"/>
              <w:tr2bl w:val="nil"/>
            </w:tcBorders>
            <w:noWrap/>
            <w:vAlign w:val="center"/>
          </w:tcPr>
          <w:p w14:paraId="7B7416D5">
            <w:pPr>
              <w:adjustRightInd w:val="0"/>
              <w:snapToGrid w:val="0"/>
              <w:jc w:val="center"/>
              <w:rPr>
                <w:rFonts w:eastAsia="仿宋_GB2312"/>
                <w:szCs w:val="21"/>
              </w:rPr>
            </w:pPr>
            <w:r>
              <w:rPr>
                <w:rFonts w:eastAsia="仿宋_GB2312"/>
                <w:szCs w:val="21"/>
              </w:rPr>
              <w:t>色度/Hazen单位（Pt-Co色号）</w:t>
            </w:r>
          </w:p>
        </w:tc>
        <w:tc>
          <w:tcPr>
            <w:tcW w:w="4013" w:type="dxa"/>
            <w:tcBorders>
              <w:tl2br w:val="nil"/>
              <w:tr2bl w:val="nil"/>
            </w:tcBorders>
            <w:noWrap/>
            <w:vAlign w:val="center"/>
          </w:tcPr>
          <w:p w14:paraId="2F9CEE87">
            <w:pPr>
              <w:adjustRightInd w:val="0"/>
              <w:snapToGrid w:val="0"/>
              <w:jc w:val="center"/>
              <w:rPr>
                <w:rFonts w:eastAsia="仿宋_GB2312"/>
                <w:szCs w:val="21"/>
              </w:rPr>
            </w:pPr>
            <w:r>
              <w:rPr>
                <w:rFonts w:eastAsia="仿宋_GB2312"/>
                <w:szCs w:val="21"/>
              </w:rPr>
              <w:t>≤10</w:t>
            </w:r>
          </w:p>
        </w:tc>
      </w:tr>
      <w:tr w14:paraId="4F4DCA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15" w:type="dxa"/>
            <w:tcBorders>
              <w:tl2br w:val="nil"/>
              <w:tr2bl w:val="nil"/>
            </w:tcBorders>
            <w:noWrap/>
            <w:vAlign w:val="center"/>
          </w:tcPr>
          <w:p w14:paraId="2DD02085">
            <w:pPr>
              <w:jc w:val="center"/>
              <w:rPr>
                <w:rFonts w:eastAsia="仿宋_GB2312"/>
                <w:szCs w:val="21"/>
              </w:rPr>
            </w:pPr>
            <w:r>
              <w:rPr>
                <w:rFonts w:eastAsia="仿宋_GB2312"/>
                <w:szCs w:val="21"/>
              </w:rPr>
              <w:t>密度（ρ20）g/cm</w:t>
            </w:r>
            <w:r>
              <w:rPr>
                <w:rFonts w:eastAsia="仿宋_GB2312"/>
                <w:szCs w:val="21"/>
                <w:vertAlign w:val="superscript"/>
              </w:rPr>
              <w:t>3</w:t>
            </w:r>
          </w:p>
        </w:tc>
        <w:tc>
          <w:tcPr>
            <w:tcW w:w="4013" w:type="dxa"/>
            <w:tcBorders>
              <w:tl2br w:val="nil"/>
              <w:tr2bl w:val="nil"/>
            </w:tcBorders>
            <w:noWrap/>
            <w:vAlign w:val="center"/>
          </w:tcPr>
          <w:p w14:paraId="247C4AC9">
            <w:pPr>
              <w:adjustRightInd w:val="0"/>
              <w:snapToGrid w:val="0"/>
              <w:jc w:val="center"/>
              <w:rPr>
                <w:rFonts w:eastAsia="仿宋_GB2312"/>
                <w:szCs w:val="21"/>
              </w:rPr>
            </w:pPr>
            <w:r>
              <w:rPr>
                <w:rFonts w:eastAsia="仿宋_GB2312"/>
                <w:szCs w:val="21"/>
              </w:rPr>
              <w:t>0.918~0.924</w:t>
            </w:r>
          </w:p>
        </w:tc>
      </w:tr>
    </w:tbl>
    <w:p w14:paraId="766DB723">
      <w:pPr>
        <w:pStyle w:val="162"/>
        <w:spacing w:line="480" w:lineRule="exact"/>
        <w:ind w:firstLine="0" w:firstLineChars="0"/>
        <w:rPr>
          <w:rFonts w:ascii="Times New Roman"/>
        </w:rPr>
      </w:pPr>
      <w:r>
        <w:rPr>
          <w:rFonts w:ascii="Times New Roman"/>
        </w:rPr>
        <w:t>表3.2-</w:t>
      </w:r>
      <w:r>
        <w:rPr>
          <w:rFonts w:hint="eastAsia" w:ascii="Times New Roman"/>
        </w:rPr>
        <w:t>19</w:t>
      </w:r>
      <w:r>
        <w:rPr>
          <w:rFonts w:ascii="Times New Roman"/>
        </w:rPr>
        <w:t xml:space="preserve">  甲醇产品质量指标</w:t>
      </w:r>
    </w:p>
    <w:tbl>
      <w:tblPr>
        <w:tblStyle w:val="88"/>
        <w:tblW w:w="852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515"/>
        <w:gridCol w:w="4013"/>
      </w:tblGrid>
      <w:tr w14:paraId="179F4E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15" w:type="dxa"/>
            <w:tcBorders>
              <w:tl2br w:val="nil"/>
              <w:tr2bl w:val="nil"/>
            </w:tcBorders>
            <w:noWrap/>
            <w:vAlign w:val="center"/>
          </w:tcPr>
          <w:p w14:paraId="6A17B4E5">
            <w:pPr>
              <w:adjustRightInd w:val="0"/>
              <w:snapToGrid w:val="0"/>
              <w:jc w:val="center"/>
              <w:rPr>
                <w:rFonts w:eastAsia="仿宋_GB2312"/>
                <w:b/>
                <w:szCs w:val="21"/>
              </w:rPr>
            </w:pPr>
            <w:r>
              <w:rPr>
                <w:rFonts w:eastAsia="仿宋_GB2312"/>
                <w:b/>
                <w:szCs w:val="21"/>
              </w:rPr>
              <w:t>项目</w:t>
            </w:r>
          </w:p>
        </w:tc>
        <w:tc>
          <w:tcPr>
            <w:tcW w:w="4013" w:type="dxa"/>
            <w:tcBorders>
              <w:tl2br w:val="nil"/>
              <w:tr2bl w:val="nil"/>
            </w:tcBorders>
            <w:noWrap/>
            <w:vAlign w:val="center"/>
          </w:tcPr>
          <w:p w14:paraId="2A83A6B6">
            <w:pPr>
              <w:adjustRightInd w:val="0"/>
              <w:snapToGrid w:val="0"/>
              <w:jc w:val="center"/>
              <w:rPr>
                <w:rFonts w:eastAsia="仿宋_GB2312"/>
                <w:b/>
                <w:szCs w:val="21"/>
              </w:rPr>
            </w:pPr>
            <w:r>
              <w:rPr>
                <w:rFonts w:eastAsia="仿宋_GB2312"/>
                <w:b/>
                <w:szCs w:val="21"/>
              </w:rPr>
              <w:t>指标（</w:t>
            </w:r>
            <w:r>
              <w:rPr>
                <w:rFonts w:hint="eastAsia" w:eastAsia="仿宋_GB2312"/>
                <w:b/>
                <w:szCs w:val="21"/>
                <w:lang w:val="en-US" w:eastAsia="zh-CN"/>
              </w:rPr>
              <w:t>II型</w:t>
            </w:r>
            <w:r>
              <w:rPr>
                <w:rFonts w:eastAsia="仿宋_GB2312"/>
                <w:b/>
                <w:szCs w:val="21"/>
              </w:rPr>
              <w:t>）</w:t>
            </w:r>
          </w:p>
        </w:tc>
      </w:tr>
      <w:tr w14:paraId="794CCA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15" w:type="dxa"/>
            <w:tcBorders>
              <w:tl2br w:val="nil"/>
              <w:tr2bl w:val="nil"/>
            </w:tcBorders>
            <w:noWrap/>
            <w:vAlign w:val="center"/>
          </w:tcPr>
          <w:p w14:paraId="2F534C8E">
            <w:pPr>
              <w:adjustRightInd w:val="0"/>
              <w:snapToGrid w:val="0"/>
              <w:jc w:val="center"/>
              <w:rPr>
                <w:rFonts w:hint="default" w:eastAsia="仿宋_GB2312"/>
                <w:b w:val="0"/>
                <w:bCs/>
                <w:szCs w:val="21"/>
                <w:lang w:val="en-US" w:eastAsia="zh-CN"/>
              </w:rPr>
            </w:pPr>
            <w:r>
              <w:rPr>
                <w:rFonts w:hint="eastAsia" w:eastAsia="仿宋_GB2312"/>
                <w:b w:val="0"/>
                <w:bCs/>
                <w:szCs w:val="21"/>
                <w:lang w:val="en-US" w:eastAsia="zh-CN"/>
              </w:rPr>
              <w:t>外观</w:t>
            </w:r>
          </w:p>
        </w:tc>
        <w:tc>
          <w:tcPr>
            <w:tcW w:w="4013" w:type="dxa"/>
            <w:tcBorders>
              <w:tl2br w:val="nil"/>
              <w:tr2bl w:val="nil"/>
            </w:tcBorders>
            <w:noWrap/>
            <w:vAlign w:val="center"/>
          </w:tcPr>
          <w:p w14:paraId="710DB106">
            <w:pPr>
              <w:adjustRightInd w:val="0"/>
              <w:snapToGrid w:val="0"/>
              <w:jc w:val="center"/>
              <w:rPr>
                <w:rFonts w:hint="default" w:eastAsia="仿宋_GB2312"/>
                <w:b/>
                <w:szCs w:val="21"/>
                <w:lang w:val="en-US" w:eastAsia="zh-CN"/>
              </w:rPr>
            </w:pPr>
            <w:r>
              <w:rPr>
                <w:rFonts w:hint="eastAsia" w:eastAsia="仿宋_GB2312"/>
                <w:b w:val="0"/>
                <w:bCs/>
                <w:szCs w:val="21"/>
                <w:lang w:val="en-US" w:eastAsia="zh-CN"/>
              </w:rPr>
              <w:t>无色透明液体，无可见杂质</w:t>
            </w:r>
          </w:p>
        </w:tc>
      </w:tr>
      <w:tr w14:paraId="3A530E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15" w:type="dxa"/>
            <w:tcBorders>
              <w:tl2br w:val="nil"/>
              <w:tr2bl w:val="nil"/>
            </w:tcBorders>
            <w:noWrap/>
            <w:vAlign w:val="center"/>
          </w:tcPr>
          <w:p w14:paraId="72468537">
            <w:pPr>
              <w:adjustRightInd w:val="0"/>
              <w:snapToGrid w:val="0"/>
              <w:jc w:val="center"/>
              <w:rPr>
                <w:rFonts w:hint="default" w:eastAsia="仿宋_GB2312"/>
                <w:b w:val="0"/>
                <w:bCs/>
                <w:szCs w:val="21"/>
                <w:lang w:val="en-US" w:eastAsia="zh-CN"/>
              </w:rPr>
            </w:pPr>
            <w:r>
              <w:rPr>
                <w:rFonts w:hint="eastAsia" w:eastAsia="仿宋_GB2312"/>
                <w:b w:val="0"/>
                <w:bCs/>
                <w:szCs w:val="21"/>
                <w:lang w:val="en-US" w:eastAsia="zh-CN"/>
              </w:rPr>
              <w:t>纯度，w/%</w:t>
            </w:r>
          </w:p>
        </w:tc>
        <w:tc>
          <w:tcPr>
            <w:tcW w:w="4013" w:type="dxa"/>
            <w:tcBorders>
              <w:tl2br w:val="nil"/>
              <w:tr2bl w:val="nil"/>
            </w:tcBorders>
            <w:noWrap/>
            <w:vAlign w:val="center"/>
          </w:tcPr>
          <w:p w14:paraId="6E48F323">
            <w:pPr>
              <w:adjustRightInd w:val="0"/>
              <w:snapToGrid w:val="0"/>
              <w:jc w:val="center"/>
              <w:rPr>
                <w:rFonts w:hint="default" w:eastAsia="仿宋_GB2312"/>
                <w:b/>
                <w:szCs w:val="21"/>
                <w:lang w:val="en-US" w:eastAsia="zh-CN"/>
              </w:rPr>
            </w:pPr>
            <w:r>
              <w:rPr>
                <w:rFonts w:hint="eastAsia" w:eastAsia="仿宋_GB2312"/>
                <w:b w:val="0"/>
                <w:bCs/>
                <w:szCs w:val="21"/>
                <w:lang w:val="en-US" w:eastAsia="zh-CN"/>
              </w:rPr>
              <w:t>≥99.8</w:t>
            </w:r>
          </w:p>
        </w:tc>
      </w:tr>
      <w:tr w14:paraId="17D224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15" w:type="dxa"/>
            <w:tcBorders>
              <w:tl2br w:val="nil"/>
              <w:tr2bl w:val="nil"/>
            </w:tcBorders>
            <w:noWrap/>
            <w:vAlign w:val="center"/>
          </w:tcPr>
          <w:p w14:paraId="559B779B">
            <w:pPr>
              <w:adjustRightInd w:val="0"/>
              <w:snapToGrid w:val="0"/>
              <w:jc w:val="center"/>
              <w:rPr>
                <w:rFonts w:eastAsia="仿宋_GB2312"/>
                <w:b w:val="0"/>
                <w:bCs/>
                <w:szCs w:val="21"/>
              </w:rPr>
            </w:pPr>
            <w:r>
              <w:rPr>
                <w:rFonts w:eastAsia="仿宋_GB2312"/>
                <w:b w:val="0"/>
                <w:bCs/>
                <w:szCs w:val="21"/>
              </w:rPr>
              <w:t>色度/Hazen单位（Pt-Co色号）</w:t>
            </w:r>
          </w:p>
        </w:tc>
        <w:tc>
          <w:tcPr>
            <w:tcW w:w="4013" w:type="dxa"/>
            <w:tcBorders>
              <w:tl2br w:val="nil"/>
              <w:tr2bl w:val="nil"/>
            </w:tcBorders>
            <w:noWrap/>
            <w:vAlign w:val="center"/>
          </w:tcPr>
          <w:p w14:paraId="484846D5">
            <w:pPr>
              <w:jc w:val="center"/>
              <w:rPr>
                <w:rFonts w:eastAsia="仿宋_GB2312"/>
                <w:szCs w:val="21"/>
              </w:rPr>
            </w:pPr>
            <w:r>
              <w:rPr>
                <w:rFonts w:eastAsia="仿宋_GB2312"/>
                <w:szCs w:val="21"/>
              </w:rPr>
              <w:t>≤10</w:t>
            </w:r>
          </w:p>
        </w:tc>
      </w:tr>
      <w:tr w14:paraId="6337D4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15" w:type="dxa"/>
            <w:tcBorders>
              <w:tl2br w:val="nil"/>
              <w:tr2bl w:val="nil"/>
            </w:tcBorders>
            <w:noWrap/>
            <w:vAlign w:val="center"/>
          </w:tcPr>
          <w:p w14:paraId="73DBD5D8">
            <w:pPr>
              <w:adjustRightInd w:val="0"/>
              <w:snapToGrid w:val="0"/>
              <w:jc w:val="center"/>
              <w:rPr>
                <w:rFonts w:eastAsia="仿宋_GB2312"/>
                <w:szCs w:val="21"/>
              </w:rPr>
            </w:pPr>
            <w:r>
              <w:rPr>
                <w:rFonts w:eastAsia="仿宋_GB2312"/>
                <w:szCs w:val="21"/>
              </w:rPr>
              <w:t>密度（ρ20）/g/cm</w:t>
            </w:r>
            <w:r>
              <w:rPr>
                <w:rFonts w:eastAsia="仿宋_GB2312"/>
                <w:szCs w:val="21"/>
                <w:vertAlign w:val="superscript"/>
              </w:rPr>
              <w:t>3</w:t>
            </w:r>
          </w:p>
        </w:tc>
        <w:tc>
          <w:tcPr>
            <w:tcW w:w="4013" w:type="dxa"/>
            <w:tcBorders>
              <w:tl2br w:val="nil"/>
              <w:tr2bl w:val="nil"/>
            </w:tcBorders>
            <w:noWrap/>
            <w:vAlign w:val="center"/>
          </w:tcPr>
          <w:p w14:paraId="53A7B0D6">
            <w:pPr>
              <w:adjustRightInd w:val="0"/>
              <w:snapToGrid w:val="0"/>
              <w:jc w:val="center"/>
              <w:rPr>
                <w:rFonts w:eastAsia="仿宋_GB2312"/>
                <w:szCs w:val="21"/>
              </w:rPr>
            </w:pPr>
            <w:r>
              <w:rPr>
                <w:rFonts w:eastAsia="仿宋_GB2312"/>
                <w:szCs w:val="21"/>
              </w:rPr>
              <w:t>0.791~0.793</w:t>
            </w:r>
          </w:p>
        </w:tc>
      </w:tr>
      <w:tr w14:paraId="38CBBB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15" w:type="dxa"/>
            <w:tcBorders>
              <w:tl2br w:val="nil"/>
              <w:tr2bl w:val="nil"/>
            </w:tcBorders>
            <w:noWrap/>
            <w:vAlign w:val="center"/>
          </w:tcPr>
          <w:p w14:paraId="6FED0070">
            <w:pPr>
              <w:adjustRightInd w:val="0"/>
              <w:snapToGrid w:val="0"/>
              <w:jc w:val="center"/>
              <w:rPr>
                <w:rFonts w:eastAsia="仿宋_GB2312"/>
                <w:szCs w:val="21"/>
              </w:rPr>
            </w:pPr>
            <w:r>
              <w:rPr>
                <w:rFonts w:eastAsia="仿宋_GB2312"/>
                <w:szCs w:val="21"/>
              </w:rPr>
              <w:t>沸程*（0</w:t>
            </w:r>
            <w:r>
              <w:rPr>
                <w:rFonts w:hint="eastAsia" w:ascii="宋体" w:hAnsi="宋体" w:cs="宋体"/>
                <w:szCs w:val="21"/>
              </w:rPr>
              <w:t>℃</w:t>
            </w:r>
            <w:r>
              <w:rPr>
                <w:rFonts w:eastAsia="仿宋_GB2312"/>
                <w:szCs w:val="21"/>
              </w:rPr>
              <w:t>,101.3kPa）/</w:t>
            </w:r>
            <w:r>
              <w:rPr>
                <w:rFonts w:hint="eastAsia" w:ascii="宋体" w:hAnsi="宋体" w:cs="宋体"/>
                <w:szCs w:val="21"/>
              </w:rPr>
              <w:t>℃</w:t>
            </w:r>
          </w:p>
        </w:tc>
        <w:tc>
          <w:tcPr>
            <w:tcW w:w="4013" w:type="dxa"/>
            <w:tcBorders>
              <w:tl2br w:val="nil"/>
              <w:tr2bl w:val="nil"/>
            </w:tcBorders>
            <w:noWrap/>
            <w:vAlign w:val="center"/>
          </w:tcPr>
          <w:p w14:paraId="7236BBB3">
            <w:pPr>
              <w:adjustRightInd w:val="0"/>
              <w:snapToGrid w:val="0"/>
              <w:jc w:val="center"/>
              <w:rPr>
                <w:rFonts w:eastAsia="仿宋_GB2312"/>
                <w:szCs w:val="21"/>
              </w:rPr>
            </w:pPr>
            <w:r>
              <w:rPr>
                <w:rFonts w:eastAsia="仿宋_GB2312"/>
                <w:szCs w:val="21"/>
              </w:rPr>
              <w:t>≤1.5</w:t>
            </w:r>
          </w:p>
        </w:tc>
      </w:tr>
      <w:tr w14:paraId="3B60B6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15" w:type="dxa"/>
            <w:tcBorders>
              <w:tl2br w:val="nil"/>
              <w:tr2bl w:val="nil"/>
            </w:tcBorders>
            <w:noWrap/>
            <w:vAlign w:val="center"/>
          </w:tcPr>
          <w:p w14:paraId="7ADEAF13">
            <w:pPr>
              <w:jc w:val="center"/>
              <w:rPr>
                <w:rFonts w:eastAsia="仿宋_GB2312"/>
                <w:szCs w:val="21"/>
              </w:rPr>
            </w:pPr>
            <w:r>
              <w:rPr>
                <w:rFonts w:eastAsia="仿宋_GB2312"/>
                <w:szCs w:val="21"/>
              </w:rPr>
              <w:t>高锰酸钾</w:t>
            </w:r>
            <w:r>
              <w:rPr>
                <w:rFonts w:hint="eastAsia" w:eastAsia="仿宋_GB2312"/>
                <w:szCs w:val="21"/>
                <w:lang w:val="en-US" w:eastAsia="zh-CN"/>
              </w:rPr>
              <w:t>试验</w:t>
            </w:r>
            <w:r>
              <w:rPr>
                <w:rFonts w:eastAsia="仿宋_GB2312"/>
                <w:szCs w:val="21"/>
              </w:rPr>
              <w:t>/min</w:t>
            </w:r>
          </w:p>
        </w:tc>
        <w:tc>
          <w:tcPr>
            <w:tcW w:w="4013" w:type="dxa"/>
            <w:tcBorders>
              <w:tl2br w:val="nil"/>
              <w:tr2bl w:val="nil"/>
            </w:tcBorders>
            <w:noWrap/>
            <w:vAlign w:val="center"/>
          </w:tcPr>
          <w:p w14:paraId="4BEF6E21">
            <w:pPr>
              <w:jc w:val="center"/>
              <w:rPr>
                <w:rFonts w:eastAsia="仿宋_GB2312"/>
                <w:szCs w:val="21"/>
              </w:rPr>
            </w:pPr>
            <w:r>
              <w:rPr>
                <w:rFonts w:eastAsia="仿宋_GB2312"/>
                <w:szCs w:val="21"/>
              </w:rPr>
              <w:t>≥20</w:t>
            </w:r>
          </w:p>
        </w:tc>
      </w:tr>
      <w:tr w14:paraId="45B9C5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15" w:type="dxa"/>
            <w:tcBorders>
              <w:tl2br w:val="nil"/>
              <w:tr2bl w:val="nil"/>
            </w:tcBorders>
            <w:noWrap/>
            <w:vAlign w:val="center"/>
          </w:tcPr>
          <w:p w14:paraId="083847DE">
            <w:pPr>
              <w:adjustRightInd w:val="0"/>
              <w:snapToGrid w:val="0"/>
              <w:jc w:val="center"/>
              <w:rPr>
                <w:rFonts w:eastAsia="仿宋_GB2312"/>
                <w:szCs w:val="21"/>
              </w:rPr>
            </w:pPr>
            <w:r>
              <w:rPr>
                <w:rFonts w:eastAsia="仿宋_GB2312"/>
                <w:szCs w:val="21"/>
              </w:rPr>
              <w:t>水，ω%</w:t>
            </w:r>
          </w:p>
        </w:tc>
        <w:tc>
          <w:tcPr>
            <w:tcW w:w="4013" w:type="dxa"/>
            <w:tcBorders>
              <w:tl2br w:val="nil"/>
              <w:tr2bl w:val="nil"/>
            </w:tcBorders>
            <w:noWrap/>
            <w:vAlign w:val="center"/>
          </w:tcPr>
          <w:p w14:paraId="7229B961">
            <w:pPr>
              <w:adjustRightInd w:val="0"/>
              <w:snapToGrid w:val="0"/>
              <w:jc w:val="center"/>
              <w:rPr>
                <w:rFonts w:eastAsia="仿宋_GB2312"/>
                <w:szCs w:val="21"/>
              </w:rPr>
            </w:pPr>
            <w:r>
              <w:rPr>
                <w:rFonts w:eastAsia="仿宋_GB2312"/>
                <w:szCs w:val="21"/>
              </w:rPr>
              <w:t>≤0.2</w:t>
            </w:r>
          </w:p>
        </w:tc>
      </w:tr>
      <w:tr w14:paraId="38411D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15" w:type="dxa"/>
            <w:tcBorders>
              <w:tl2br w:val="nil"/>
              <w:tr2bl w:val="nil"/>
            </w:tcBorders>
            <w:noWrap/>
            <w:vAlign w:val="center"/>
          </w:tcPr>
          <w:p w14:paraId="02CB9B37">
            <w:pPr>
              <w:adjustRightInd w:val="0"/>
              <w:snapToGrid w:val="0"/>
              <w:jc w:val="center"/>
              <w:rPr>
                <w:rFonts w:eastAsia="仿宋_GB2312"/>
                <w:szCs w:val="21"/>
              </w:rPr>
            </w:pPr>
            <w:r>
              <w:rPr>
                <w:rFonts w:eastAsia="仿宋_GB2312"/>
                <w:szCs w:val="21"/>
              </w:rPr>
              <w:t>酸（以HCOOH计），ω/%</w:t>
            </w:r>
          </w:p>
        </w:tc>
        <w:tc>
          <w:tcPr>
            <w:tcW w:w="4013" w:type="dxa"/>
            <w:tcBorders>
              <w:tl2br w:val="nil"/>
              <w:tr2bl w:val="nil"/>
            </w:tcBorders>
            <w:noWrap/>
            <w:vAlign w:val="center"/>
          </w:tcPr>
          <w:p w14:paraId="580E50DD">
            <w:pPr>
              <w:adjustRightInd w:val="0"/>
              <w:snapToGrid w:val="0"/>
              <w:jc w:val="center"/>
              <w:rPr>
                <w:rFonts w:eastAsia="仿宋_GB2312"/>
                <w:szCs w:val="21"/>
              </w:rPr>
            </w:pPr>
            <w:r>
              <w:rPr>
                <w:rFonts w:eastAsia="仿宋_GB2312"/>
                <w:szCs w:val="21"/>
              </w:rPr>
              <w:t>≤0.005</w:t>
            </w:r>
          </w:p>
        </w:tc>
      </w:tr>
      <w:tr w14:paraId="6B0F3B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15" w:type="dxa"/>
            <w:tcBorders>
              <w:tl2br w:val="nil"/>
              <w:tr2bl w:val="nil"/>
            </w:tcBorders>
            <w:noWrap/>
            <w:vAlign w:val="center"/>
          </w:tcPr>
          <w:p w14:paraId="352336CC">
            <w:pPr>
              <w:adjustRightInd w:val="0"/>
              <w:snapToGrid w:val="0"/>
              <w:jc w:val="center"/>
              <w:rPr>
                <w:rFonts w:eastAsia="仿宋_GB2312"/>
                <w:szCs w:val="21"/>
              </w:rPr>
            </w:pPr>
            <w:r>
              <w:rPr>
                <w:rFonts w:eastAsia="仿宋_GB2312"/>
                <w:szCs w:val="21"/>
              </w:rPr>
              <w:t>碱（以NH</w:t>
            </w:r>
            <w:r>
              <w:rPr>
                <w:rFonts w:eastAsia="仿宋_GB2312"/>
                <w:szCs w:val="21"/>
                <w:vertAlign w:val="subscript"/>
              </w:rPr>
              <w:t>3</w:t>
            </w:r>
            <w:r>
              <w:rPr>
                <w:rFonts w:eastAsia="仿宋_GB2312"/>
                <w:szCs w:val="21"/>
              </w:rPr>
              <w:t>计），ω/%</w:t>
            </w:r>
          </w:p>
        </w:tc>
        <w:tc>
          <w:tcPr>
            <w:tcW w:w="4013" w:type="dxa"/>
            <w:tcBorders>
              <w:tl2br w:val="nil"/>
              <w:tr2bl w:val="nil"/>
            </w:tcBorders>
            <w:noWrap/>
            <w:vAlign w:val="center"/>
          </w:tcPr>
          <w:p w14:paraId="22F9FA97">
            <w:pPr>
              <w:adjustRightInd w:val="0"/>
              <w:snapToGrid w:val="0"/>
              <w:jc w:val="center"/>
              <w:rPr>
                <w:rFonts w:eastAsia="仿宋_GB2312"/>
                <w:szCs w:val="21"/>
              </w:rPr>
            </w:pPr>
            <w:r>
              <w:rPr>
                <w:rFonts w:eastAsia="仿宋_GB2312"/>
                <w:szCs w:val="21"/>
              </w:rPr>
              <w:t>≤0.0015</w:t>
            </w:r>
          </w:p>
        </w:tc>
      </w:tr>
      <w:tr w14:paraId="798ABC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15" w:type="dxa"/>
            <w:tcBorders>
              <w:tl2br w:val="nil"/>
              <w:tr2bl w:val="nil"/>
            </w:tcBorders>
            <w:noWrap/>
            <w:vAlign w:val="center"/>
          </w:tcPr>
          <w:p w14:paraId="4268F815">
            <w:pPr>
              <w:jc w:val="center"/>
              <w:rPr>
                <w:rFonts w:eastAsia="仿宋_GB2312"/>
                <w:szCs w:val="21"/>
              </w:rPr>
            </w:pPr>
            <w:r>
              <w:rPr>
                <w:rFonts w:eastAsia="仿宋_GB2312"/>
                <w:szCs w:val="21"/>
              </w:rPr>
              <w:t>羟基化合物（以HCHO计），ω/%</w:t>
            </w:r>
          </w:p>
        </w:tc>
        <w:tc>
          <w:tcPr>
            <w:tcW w:w="4013" w:type="dxa"/>
            <w:tcBorders>
              <w:tl2br w:val="nil"/>
              <w:tr2bl w:val="nil"/>
            </w:tcBorders>
            <w:noWrap/>
            <w:vAlign w:val="center"/>
          </w:tcPr>
          <w:p w14:paraId="50020BC7">
            <w:pPr>
              <w:adjustRightInd w:val="0"/>
              <w:snapToGrid w:val="0"/>
              <w:jc w:val="center"/>
              <w:rPr>
                <w:rFonts w:eastAsia="仿宋_GB2312"/>
                <w:szCs w:val="21"/>
              </w:rPr>
            </w:pPr>
            <w:r>
              <w:rPr>
                <w:rFonts w:eastAsia="仿宋_GB2312"/>
                <w:szCs w:val="21"/>
              </w:rPr>
              <w:t>≤0.01</w:t>
            </w:r>
          </w:p>
        </w:tc>
      </w:tr>
      <w:tr w14:paraId="2A7A61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15" w:type="dxa"/>
            <w:tcBorders>
              <w:tl2br w:val="nil"/>
              <w:tr2bl w:val="nil"/>
            </w:tcBorders>
            <w:noWrap/>
            <w:vAlign w:val="center"/>
          </w:tcPr>
          <w:p w14:paraId="5A6C0B26">
            <w:pPr>
              <w:jc w:val="center"/>
              <w:rPr>
                <w:rFonts w:eastAsia="仿宋_GB2312"/>
                <w:szCs w:val="21"/>
              </w:rPr>
            </w:pPr>
            <w:r>
              <w:rPr>
                <w:rFonts w:eastAsia="仿宋_GB2312"/>
                <w:szCs w:val="21"/>
              </w:rPr>
              <w:t>蒸发残渣，ω%</w:t>
            </w:r>
          </w:p>
        </w:tc>
        <w:tc>
          <w:tcPr>
            <w:tcW w:w="4013" w:type="dxa"/>
            <w:tcBorders>
              <w:tl2br w:val="nil"/>
              <w:tr2bl w:val="nil"/>
            </w:tcBorders>
            <w:noWrap/>
            <w:vAlign w:val="center"/>
          </w:tcPr>
          <w:p w14:paraId="7DF49162">
            <w:pPr>
              <w:adjustRightInd w:val="0"/>
              <w:snapToGrid w:val="0"/>
              <w:jc w:val="center"/>
              <w:rPr>
                <w:rFonts w:eastAsia="仿宋_GB2312"/>
                <w:szCs w:val="21"/>
              </w:rPr>
            </w:pPr>
            <w:r>
              <w:rPr>
                <w:rFonts w:eastAsia="仿宋_GB2312"/>
                <w:szCs w:val="21"/>
              </w:rPr>
              <w:t>≤0.005</w:t>
            </w:r>
          </w:p>
        </w:tc>
      </w:tr>
      <w:tr w14:paraId="03180B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528" w:type="dxa"/>
            <w:gridSpan w:val="2"/>
            <w:tcBorders>
              <w:tl2br w:val="nil"/>
              <w:tr2bl w:val="nil"/>
            </w:tcBorders>
            <w:noWrap/>
            <w:vAlign w:val="center"/>
          </w:tcPr>
          <w:p w14:paraId="340D7396">
            <w:pPr>
              <w:rPr>
                <w:rFonts w:eastAsia="仿宋_GB2312"/>
                <w:szCs w:val="21"/>
              </w:rPr>
            </w:pPr>
            <w:r>
              <w:rPr>
                <w:rFonts w:eastAsia="仿宋_GB2312"/>
                <w:szCs w:val="21"/>
              </w:rPr>
              <w:t>注：当需要计算甲醇的质量分数时，参见本标准附录A</w:t>
            </w:r>
          </w:p>
        </w:tc>
      </w:tr>
      <w:tr w14:paraId="23AB01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528" w:type="dxa"/>
            <w:gridSpan w:val="2"/>
            <w:tcBorders>
              <w:tl2br w:val="nil"/>
              <w:tr2bl w:val="nil"/>
            </w:tcBorders>
            <w:noWrap/>
            <w:vAlign w:val="center"/>
          </w:tcPr>
          <w:p w14:paraId="4C6D999D">
            <w:pPr>
              <w:rPr>
                <w:rFonts w:eastAsia="仿宋_GB2312"/>
                <w:szCs w:val="21"/>
              </w:rPr>
            </w:pPr>
            <w:r>
              <w:rPr>
                <w:rFonts w:eastAsia="仿宋_GB2312"/>
                <w:szCs w:val="21"/>
              </w:rPr>
              <w:t>*包括64.6</w:t>
            </w:r>
            <w:r>
              <w:rPr>
                <w:rFonts w:hint="eastAsia" w:ascii="宋体" w:hAnsi="宋体" w:cs="宋体"/>
                <w:szCs w:val="21"/>
              </w:rPr>
              <w:t>℃</w:t>
            </w:r>
            <w:r>
              <w:rPr>
                <w:rFonts w:eastAsia="仿宋_GB2312"/>
                <w:szCs w:val="21"/>
              </w:rPr>
              <w:t>±0.1</w:t>
            </w:r>
            <w:r>
              <w:rPr>
                <w:rFonts w:hint="eastAsia" w:ascii="宋体" w:hAnsi="宋体" w:cs="宋体"/>
                <w:szCs w:val="21"/>
              </w:rPr>
              <w:t>℃</w:t>
            </w:r>
          </w:p>
        </w:tc>
      </w:tr>
    </w:tbl>
    <w:p w14:paraId="276C1D81">
      <w:pPr>
        <w:pStyle w:val="162"/>
        <w:spacing w:line="480" w:lineRule="exact"/>
        <w:ind w:firstLine="0" w:firstLineChars="0"/>
        <w:rPr>
          <w:rFonts w:ascii="Times New Roman"/>
        </w:rPr>
      </w:pPr>
      <w:r>
        <w:rPr>
          <w:rFonts w:ascii="Times New Roman"/>
        </w:rPr>
        <w:t>表3.2-2</w:t>
      </w:r>
      <w:r>
        <w:rPr>
          <w:rFonts w:hint="eastAsia" w:ascii="Times New Roman"/>
          <w:lang w:val="en-US" w:eastAsia="zh-CN"/>
        </w:rPr>
        <w:t>0</w:t>
      </w:r>
      <w:r>
        <w:rPr>
          <w:rFonts w:ascii="Times New Roman"/>
        </w:rPr>
        <w:t xml:space="preserve">  乙腈产品质量指标</w:t>
      </w:r>
    </w:p>
    <w:tbl>
      <w:tblPr>
        <w:tblStyle w:val="88"/>
        <w:tblW w:w="852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515"/>
        <w:gridCol w:w="4013"/>
      </w:tblGrid>
      <w:tr w14:paraId="32E144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15" w:type="dxa"/>
            <w:tcBorders>
              <w:tl2br w:val="nil"/>
              <w:tr2bl w:val="nil"/>
            </w:tcBorders>
            <w:noWrap/>
            <w:vAlign w:val="center"/>
          </w:tcPr>
          <w:p w14:paraId="79B4A4F8">
            <w:pPr>
              <w:adjustRightInd w:val="0"/>
              <w:snapToGrid w:val="0"/>
              <w:jc w:val="center"/>
              <w:rPr>
                <w:rFonts w:eastAsia="仿宋_GB2312"/>
                <w:b/>
                <w:szCs w:val="21"/>
              </w:rPr>
            </w:pPr>
            <w:bookmarkStart w:id="38" w:name="_Hlk141189157"/>
            <w:r>
              <w:rPr>
                <w:rFonts w:eastAsia="仿宋_GB2312"/>
                <w:b/>
                <w:szCs w:val="21"/>
              </w:rPr>
              <w:t>项目</w:t>
            </w:r>
          </w:p>
        </w:tc>
        <w:tc>
          <w:tcPr>
            <w:tcW w:w="4013" w:type="dxa"/>
            <w:tcBorders>
              <w:tl2br w:val="nil"/>
              <w:tr2bl w:val="nil"/>
            </w:tcBorders>
            <w:noWrap/>
            <w:vAlign w:val="center"/>
          </w:tcPr>
          <w:p w14:paraId="2229A665">
            <w:pPr>
              <w:adjustRightInd w:val="0"/>
              <w:snapToGrid w:val="0"/>
              <w:jc w:val="center"/>
              <w:rPr>
                <w:rFonts w:eastAsia="仿宋_GB2312"/>
                <w:b/>
                <w:szCs w:val="21"/>
              </w:rPr>
            </w:pPr>
            <w:r>
              <w:rPr>
                <w:rFonts w:eastAsia="仿宋_GB2312"/>
                <w:b/>
                <w:szCs w:val="21"/>
              </w:rPr>
              <w:t>指标（合格品）</w:t>
            </w:r>
          </w:p>
        </w:tc>
      </w:tr>
      <w:tr w14:paraId="1D0CE00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15" w:type="dxa"/>
            <w:tcBorders>
              <w:tl2br w:val="nil"/>
              <w:tr2bl w:val="nil"/>
            </w:tcBorders>
            <w:noWrap/>
            <w:vAlign w:val="center"/>
          </w:tcPr>
          <w:p w14:paraId="070F1F6E">
            <w:pPr>
              <w:jc w:val="center"/>
              <w:rPr>
                <w:rFonts w:eastAsia="仿宋_GB2312"/>
                <w:szCs w:val="21"/>
              </w:rPr>
            </w:pPr>
            <w:r>
              <w:rPr>
                <w:rFonts w:eastAsia="仿宋_GB2312"/>
                <w:szCs w:val="21"/>
              </w:rPr>
              <w:t>外观</w:t>
            </w:r>
          </w:p>
        </w:tc>
        <w:tc>
          <w:tcPr>
            <w:tcW w:w="4013" w:type="dxa"/>
            <w:tcBorders>
              <w:tl2br w:val="nil"/>
              <w:tr2bl w:val="nil"/>
            </w:tcBorders>
            <w:noWrap/>
            <w:vAlign w:val="center"/>
          </w:tcPr>
          <w:p w14:paraId="6A356266">
            <w:pPr>
              <w:jc w:val="center"/>
              <w:rPr>
                <w:rFonts w:eastAsia="仿宋_GB2312"/>
                <w:szCs w:val="21"/>
              </w:rPr>
            </w:pPr>
            <w:r>
              <w:rPr>
                <w:rFonts w:eastAsia="仿宋_GB2312"/>
                <w:szCs w:val="21"/>
              </w:rPr>
              <w:t>透明液体，无悬浮物</w:t>
            </w:r>
          </w:p>
        </w:tc>
      </w:tr>
      <w:tr w14:paraId="528DC3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15" w:type="dxa"/>
            <w:tcBorders>
              <w:tl2br w:val="nil"/>
              <w:tr2bl w:val="nil"/>
            </w:tcBorders>
            <w:noWrap/>
            <w:vAlign w:val="center"/>
          </w:tcPr>
          <w:p w14:paraId="11FB9236">
            <w:pPr>
              <w:adjustRightInd w:val="0"/>
              <w:snapToGrid w:val="0"/>
              <w:jc w:val="center"/>
              <w:rPr>
                <w:rFonts w:eastAsia="仿宋_GB2312"/>
                <w:szCs w:val="21"/>
              </w:rPr>
            </w:pPr>
            <w:r>
              <w:rPr>
                <w:rFonts w:eastAsia="仿宋_GB2312"/>
                <w:szCs w:val="21"/>
              </w:rPr>
              <w:t>色度/Hazen单位（Pt-Co色号）</w:t>
            </w:r>
          </w:p>
        </w:tc>
        <w:tc>
          <w:tcPr>
            <w:tcW w:w="4013" w:type="dxa"/>
            <w:tcBorders>
              <w:tl2br w:val="nil"/>
              <w:tr2bl w:val="nil"/>
            </w:tcBorders>
            <w:noWrap/>
            <w:vAlign w:val="center"/>
          </w:tcPr>
          <w:p w14:paraId="7B24EC64">
            <w:pPr>
              <w:adjustRightInd w:val="0"/>
              <w:snapToGrid w:val="0"/>
              <w:jc w:val="center"/>
              <w:rPr>
                <w:rFonts w:eastAsia="仿宋_GB2312"/>
                <w:szCs w:val="21"/>
              </w:rPr>
            </w:pPr>
            <w:r>
              <w:rPr>
                <w:rFonts w:eastAsia="仿宋_GB2312"/>
                <w:szCs w:val="21"/>
              </w:rPr>
              <w:t>≤10</w:t>
            </w:r>
          </w:p>
        </w:tc>
      </w:tr>
      <w:tr w14:paraId="65CEFC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15" w:type="dxa"/>
            <w:tcBorders>
              <w:tl2br w:val="nil"/>
              <w:tr2bl w:val="nil"/>
            </w:tcBorders>
            <w:noWrap/>
            <w:vAlign w:val="center"/>
          </w:tcPr>
          <w:p w14:paraId="238538CA">
            <w:pPr>
              <w:jc w:val="center"/>
              <w:rPr>
                <w:rFonts w:eastAsia="仿宋_GB2312"/>
                <w:szCs w:val="21"/>
              </w:rPr>
            </w:pPr>
            <w:r>
              <w:rPr>
                <w:rFonts w:eastAsia="仿宋_GB2312"/>
                <w:szCs w:val="21"/>
              </w:rPr>
              <w:t>密度（20</w:t>
            </w:r>
            <w:r>
              <w:rPr>
                <w:rFonts w:hint="eastAsia" w:ascii="宋体" w:hAnsi="宋体" w:cs="宋体"/>
                <w:szCs w:val="21"/>
              </w:rPr>
              <w:t>℃</w:t>
            </w:r>
            <w:r>
              <w:rPr>
                <w:rFonts w:eastAsia="仿宋_GB2312"/>
                <w:szCs w:val="21"/>
              </w:rPr>
              <w:t>），g/cm</w:t>
            </w:r>
            <w:r>
              <w:rPr>
                <w:rFonts w:eastAsia="仿宋_GB2312"/>
                <w:szCs w:val="21"/>
                <w:vertAlign w:val="superscript"/>
              </w:rPr>
              <w:t>3</w:t>
            </w:r>
          </w:p>
        </w:tc>
        <w:tc>
          <w:tcPr>
            <w:tcW w:w="4013" w:type="dxa"/>
            <w:tcBorders>
              <w:tl2br w:val="nil"/>
              <w:tr2bl w:val="nil"/>
            </w:tcBorders>
            <w:noWrap/>
            <w:vAlign w:val="center"/>
          </w:tcPr>
          <w:p w14:paraId="48E07400">
            <w:pPr>
              <w:jc w:val="center"/>
              <w:rPr>
                <w:rFonts w:eastAsia="仿宋_GB2312"/>
                <w:szCs w:val="21"/>
              </w:rPr>
            </w:pPr>
            <w:r>
              <w:rPr>
                <w:rFonts w:eastAsia="仿宋_GB2312"/>
                <w:szCs w:val="21"/>
              </w:rPr>
              <w:t>0.781~0.784</w:t>
            </w:r>
          </w:p>
        </w:tc>
      </w:tr>
      <w:tr w14:paraId="2E29665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15" w:type="dxa"/>
            <w:tcBorders>
              <w:tl2br w:val="nil"/>
              <w:tr2bl w:val="nil"/>
            </w:tcBorders>
            <w:noWrap/>
            <w:vAlign w:val="center"/>
          </w:tcPr>
          <w:p w14:paraId="50CA7454">
            <w:pPr>
              <w:jc w:val="center"/>
              <w:rPr>
                <w:rFonts w:eastAsia="仿宋_GB2312"/>
                <w:szCs w:val="21"/>
              </w:rPr>
            </w:pPr>
            <w:r>
              <w:rPr>
                <w:rFonts w:eastAsia="仿宋_GB2312"/>
                <w:szCs w:val="21"/>
              </w:rPr>
              <w:t>沸程*（0</w:t>
            </w:r>
            <w:r>
              <w:rPr>
                <w:rFonts w:hint="eastAsia" w:ascii="宋体" w:hAnsi="宋体" w:cs="宋体"/>
                <w:szCs w:val="21"/>
              </w:rPr>
              <w:t>℃</w:t>
            </w:r>
            <w:r>
              <w:rPr>
                <w:rFonts w:eastAsia="仿宋_GB2312"/>
                <w:szCs w:val="21"/>
              </w:rPr>
              <w:t>,101.3kPa）/</w:t>
            </w:r>
            <w:r>
              <w:rPr>
                <w:rFonts w:hint="eastAsia" w:ascii="宋体" w:hAnsi="宋体" w:cs="宋体"/>
                <w:szCs w:val="21"/>
              </w:rPr>
              <w:t>℃</w:t>
            </w:r>
          </w:p>
        </w:tc>
        <w:tc>
          <w:tcPr>
            <w:tcW w:w="4013" w:type="dxa"/>
            <w:tcBorders>
              <w:tl2br w:val="nil"/>
              <w:tr2bl w:val="nil"/>
            </w:tcBorders>
            <w:noWrap/>
            <w:vAlign w:val="center"/>
          </w:tcPr>
          <w:p w14:paraId="01DD9F00">
            <w:pPr>
              <w:jc w:val="center"/>
              <w:rPr>
                <w:rFonts w:eastAsia="仿宋_GB2312"/>
                <w:szCs w:val="21"/>
              </w:rPr>
            </w:pPr>
            <w:r>
              <w:rPr>
                <w:rFonts w:eastAsia="仿宋_GB2312"/>
                <w:szCs w:val="21"/>
              </w:rPr>
              <w:t>80.0~82.0</w:t>
            </w:r>
          </w:p>
        </w:tc>
      </w:tr>
      <w:tr w14:paraId="3E74F8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15" w:type="dxa"/>
            <w:tcBorders>
              <w:tl2br w:val="nil"/>
              <w:tr2bl w:val="nil"/>
            </w:tcBorders>
            <w:noWrap/>
            <w:vAlign w:val="center"/>
          </w:tcPr>
          <w:p w14:paraId="0548F3CE">
            <w:pPr>
              <w:jc w:val="center"/>
              <w:rPr>
                <w:rFonts w:eastAsia="仿宋_GB2312"/>
                <w:szCs w:val="21"/>
              </w:rPr>
            </w:pPr>
            <w:r>
              <w:rPr>
                <w:rFonts w:eastAsia="仿宋_GB2312"/>
                <w:szCs w:val="21"/>
              </w:rPr>
              <w:t>酸（以乙酸计）/(mg/kg )</w:t>
            </w:r>
          </w:p>
        </w:tc>
        <w:tc>
          <w:tcPr>
            <w:tcW w:w="4013" w:type="dxa"/>
            <w:tcBorders>
              <w:tl2br w:val="nil"/>
              <w:tr2bl w:val="nil"/>
            </w:tcBorders>
            <w:noWrap/>
            <w:vAlign w:val="center"/>
          </w:tcPr>
          <w:p w14:paraId="5ABDCD2C">
            <w:pPr>
              <w:jc w:val="center"/>
              <w:rPr>
                <w:rFonts w:eastAsia="仿宋_GB2312"/>
                <w:szCs w:val="21"/>
              </w:rPr>
            </w:pPr>
            <w:r>
              <w:rPr>
                <w:rFonts w:eastAsia="仿宋_GB2312"/>
                <w:szCs w:val="21"/>
              </w:rPr>
              <w:t>≤300</w:t>
            </w:r>
          </w:p>
        </w:tc>
      </w:tr>
      <w:tr w14:paraId="37F99F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15" w:type="dxa"/>
            <w:tcBorders>
              <w:tl2br w:val="nil"/>
              <w:tr2bl w:val="nil"/>
            </w:tcBorders>
            <w:noWrap/>
            <w:vAlign w:val="center"/>
          </w:tcPr>
          <w:p w14:paraId="28753A67">
            <w:pPr>
              <w:jc w:val="center"/>
              <w:rPr>
                <w:rFonts w:eastAsia="仿宋_GB2312"/>
                <w:szCs w:val="21"/>
              </w:rPr>
            </w:pPr>
            <w:r>
              <w:rPr>
                <w:rFonts w:eastAsia="仿宋_GB2312"/>
                <w:szCs w:val="21"/>
              </w:rPr>
              <w:t>水，ω/%</w:t>
            </w:r>
          </w:p>
        </w:tc>
        <w:tc>
          <w:tcPr>
            <w:tcW w:w="4013" w:type="dxa"/>
            <w:tcBorders>
              <w:tl2br w:val="nil"/>
              <w:tr2bl w:val="nil"/>
            </w:tcBorders>
            <w:noWrap/>
            <w:vAlign w:val="center"/>
          </w:tcPr>
          <w:p w14:paraId="344E3951">
            <w:pPr>
              <w:jc w:val="center"/>
              <w:rPr>
                <w:rFonts w:eastAsia="仿宋_GB2312"/>
                <w:szCs w:val="21"/>
              </w:rPr>
            </w:pPr>
            <w:r>
              <w:rPr>
                <w:rFonts w:eastAsia="仿宋_GB2312"/>
                <w:szCs w:val="21"/>
              </w:rPr>
              <w:t>≤0.30</w:t>
            </w:r>
          </w:p>
        </w:tc>
      </w:tr>
      <w:tr w14:paraId="59A743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15" w:type="dxa"/>
            <w:tcBorders>
              <w:tl2br w:val="nil"/>
              <w:tr2bl w:val="nil"/>
            </w:tcBorders>
            <w:noWrap/>
            <w:vAlign w:val="center"/>
          </w:tcPr>
          <w:p w14:paraId="7E5E8D38">
            <w:pPr>
              <w:jc w:val="center"/>
              <w:rPr>
                <w:rFonts w:eastAsia="仿宋_GB2312"/>
                <w:szCs w:val="21"/>
              </w:rPr>
            </w:pPr>
            <w:r>
              <w:rPr>
                <w:rFonts w:eastAsia="仿宋_GB2312"/>
                <w:szCs w:val="21"/>
              </w:rPr>
              <w:t>总氰（以氢氰酸计）/(mg/kg )</w:t>
            </w:r>
          </w:p>
        </w:tc>
        <w:tc>
          <w:tcPr>
            <w:tcW w:w="4013" w:type="dxa"/>
            <w:tcBorders>
              <w:tl2br w:val="nil"/>
              <w:tr2bl w:val="nil"/>
            </w:tcBorders>
            <w:noWrap/>
            <w:vAlign w:val="center"/>
          </w:tcPr>
          <w:p w14:paraId="0C5CA80A">
            <w:pPr>
              <w:jc w:val="center"/>
              <w:rPr>
                <w:rFonts w:eastAsia="仿宋_GB2312"/>
                <w:szCs w:val="21"/>
              </w:rPr>
            </w:pPr>
            <w:r>
              <w:rPr>
                <w:rFonts w:eastAsia="仿宋_GB2312"/>
                <w:szCs w:val="21"/>
              </w:rPr>
              <w:t>≤10</w:t>
            </w:r>
          </w:p>
        </w:tc>
      </w:tr>
      <w:tr w14:paraId="361659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15" w:type="dxa"/>
            <w:tcBorders>
              <w:tl2br w:val="nil"/>
              <w:tr2bl w:val="nil"/>
            </w:tcBorders>
            <w:noWrap/>
            <w:vAlign w:val="center"/>
          </w:tcPr>
          <w:p w14:paraId="00D5645D">
            <w:pPr>
              <w:jc w:val="center"/>
              <w:rPr>
                <w:rFonts w:eastAsia="仿宋_GB2312"/>
                <w:szCs w:val="21"/>
              </w:rPr>
            </w:pPr>
            <w:r>
              <w:rPr>
                <w:rFonts w:eastAsia="仿宋_GB2312"/>
                <w:szCs w:val="21"/>
              </w:rPr>
              <w:t>氨/(mg/kg )</w:t>
            </w:r>
          </w:p>
        </w:tc>
        <w:tc>
          <w:tcPr>
            <w:tcW w:w="4013" w:type="dxa"/>
            <w:tcBorders>
              <w:tl2br w:val="nil"/>
              <w:tr2bl w:val="nil"/>
            </w:tcBorders>
            <w:noWrap/>
            <w:vAlign w:val="center"/>
          </w:tcPr>
          <w:p w14:paraId="1577F59E">
            <w:pPr>
              <w:jc w:val="center"/>
              <w:rPr>
                <w:rFonts w:eastAsia="仿宋_GB2312"/>
                <w:szCs w:val="21"/>
              </w:rPr>
            </w:pPr>
            <w:r>
              <w:rPr>
                <w:rFonts w:eastAsia="仿宋_GB2312"/>
                <w:szCs w:val="21"/>
              </w:rPr>
              <w:t>≤6</w:t>
            </w:r>
          </w:p>
        </w:tc>
      </w:tr>
      <w:tr w14:paraId="4B088D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15" w:type="dxa"/>
            <w:tcBorders>
              <w:tl2br w:val="nil"/>
              <w:tr2bl w:val="nil"/>
            </w:tcBorders>
            <w:noWrap/>
            <w:vAlign w:val="center"/>
          </w:tcPr>
          <w:p w14:paraId="12821964">
            <w:pPr>
              <w:jc w:val="center"/>
              <w:rPr>
                <w:rFonts w:eastAsia="仿宋_GB2312"/>
                <w:szCs w:val="21"/>
              </w:rPr>
            </w:pPr>
            <w:r>
              <w:rPr>
                <w:rFonts w:eastAsia="仿宋_GB2312"/>
                <w:szCs w:val="21"/>
              </w:rPr>
              <w:t>丙酮/(mg/kg )</w:t>
            </w:r>
          </w:p>
        </w:tc>
        <w:tc>
          <w:tcPr>
            <w:tcW w:w="4013" w:type="dxa"/>
            <w:tcBorders>
              <w:tl2br w:val="nil"/>
              <w:tr2bl w:val="nil"/>
            </w:tcBorders>
            <w:noWrap/>
            <w:vAlign w:val="center"/>
          </w:tcPr>
          <w:p w14:paraId="2414BFA3">
            <w:pPr>
              <w:jc w:val="center"/>
              <w:rPr>
                <w:rFonts w:eastAsia="仿宋_GB2312"/>
                <w:szCs w:val="21"/>
              </w:rPr>
            </w:pPr>
            <w:r>
              <w:rPr>
                <w:rFonts w:eastAsia="仿宋_GB2312"/>
                <w:szCs w:val="21"/>
              </w:rPr>
              <w:t>≤50</w:t>
            </w:r>
          </w:p>
        </w:tc>
      </w:tr>
      <w:tr w14:paraId="77DDD0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15" w:type="dxa"/>
            <w:tcBorders>
              <w:tl2br w:val="nil"/>
              <w:tr2bl w:val="nil"/>
            </w:tcBorders>
            <w:noWrap/>
            <w:vAlign w:val="center"/>
          </w:tcPr>
          <w:p w14:paraId="22269E2A">
            <w:pPr>
              <w:jc w:val="center"/>
              <w:rPr>
                <w:rFonts w:eastAsia="仿宋_GB2312"/>
                <w:szCs w:val="21"/>
              </w:rPr>
            </w:pPr>
            <w:r>
              <w:rPr>
                <w:rFonts w:eastAsia="仿宋_GB2312"/>
                <w:szCs w:val="21"/>
              </w:rPr>
              <w:t>丙烯腈/(mg/kg )</w:t>
            </w:r>
          </w:p>
        </w:tc>
        <w:tc>
          <w:tcPr>
            <w:tcW w:w="4013" w:type="dxa"/>
            <w:tcBorders>
              <w:tl2br w:val="nil"/>
              <w:tr2bl w:val="nil"/>
            </w:tcBorders>
            <w:noWrap/>
            <w:vAlign w:val="center"/>
          </w:tcPr>
          <w:p w14:paraId="3E8E65A2">
            <w:pPr>
              <w:jc w:val="center"/>
              <w:rPr>
                <w:rFonts w:eastAsia="仿宋_GB2312"/>
                <w:szCs w:val="21"/>
              </w:rPr>
            </w:pPr>
            <w:r>
              <w:rPr>
                <w:rFonts w:eastAsia="仿宋_GB2312"/>
                <w:szCs w:val="21"/>
              </w:rPr>
              <w:t>≤100</w:t>
            </w:r>
          </w:p>
        </w:tc>
      </w:tr>
      <w:tr w14:paraId="622928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15" w:type="dxa"/>
            <w:tcBorders>
              <w:tl2br w:val="nil"/>
              <w:tr2bl w:val="nil"/>
            </w:tcBorders>
            <w:noWrap/>
            <w:vAlign w:val="center"/>
          </w:tcPr>
          <w:p w14:paraId="1391672D">
            <w:pPr>
              <w:jc w:val="center"/>
              <w:rPr>
                <w:rFonts w:eastAsia="仿宋_GB2312"/>
                <w:szCs w:val="21"/>
              </w:rPr>
            </w:pPr>
            <w:r>
              <w:rPr>
                <w:rFonts w:eastAsia="仿宋_GB2312"/>
                <w:szCs w:val="21"/>
              </w:rPr>
              <w:t>重组分（含丙腈）/(mg/kg )</w:t>
            </w:r>
          </w:p>
        </w:tc>
        <w:tc>
          <w:tcPr>
            <w:tcW w:w="4013" w:type="dxa"/>
            <w:tcBorders>
              <w:tl2br w:val="nil"/>
              <w:tr2bl w:val="nil"/>
            </w:tcBorders>
            <w:noWrap/>
            <w:vAlign w:val="center"/>
          </w:tcPr>
          <w:p w14:paraId="4C2FD5C8">
            <w:pPr>
              <w:jc w:val="center"/>
              <w:rPr>
                <w:rFonts w:eastAsia="仿宋_GB2312"/>
                <w:szCs w:val="21"/>
              </w:rPr>
            </w:pPr>
            <w:r>
              <w:rPr>
                <w:rFonts w:eastAsia="仿宋_GB2312"/>
                <w:szCs w:val="21"/>
              </w:rPr>
              <w:t>≤100</w:t>
            </w:r>
          </w:p>
        </w:tc>
      </w:tr>
      <w:tr w14:paraId="721167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15" w:type="dxa"/>
            <w:tcBorders>
              <w:tl2br w:val="nil"/>
              <w:tr2bl w:val="nil"/>
            </w:tcBorders>
            <w:noWrap/>
            <w:vAlign w:val="center"/>
          </w:tcPr>
          <w:p w14:paraId="6002D3D1">
            <w:pPr>
              <w:jc w:val="center"/>
              <w:rPr>
                <w:rFonts w:eastAsia="仿宋_GB2312"/>
                <w:szCs w:val="21"/>
              </w:rPr>
            </w:pPr>
            <w:r>
              <w:rPr>
                <w:rFonts w:eastAsia="仿宋_GB2312"/>
                <w:szCs w:val="21"/>
              </w:rPr>
              <w:t>铜/(mg/kg )</w:t>
            </w:r>
          </w:p>
        </w:tc>
        <w:tc>
          <w:tcPr>
            <w:tcW w:w="4013" w:type="dxa"/>
            <w:tcBorders>
              <w:tl2br w:val="nil"/>
              <w:tr2bl w:val="nil"/>
            </w:tcBorders>
            <w:noWrap/>
            <w:vAlign w:val="center"/>
          </w:tcPr>
          <w:p w14:paraId="6784F0A9">
            <w:pPr>
              <w:jc w:val="center"/>
              <w:rPr>
                <w:rFonts w:eastAsia="仿宋_GB2312"/>
                <w:szCs w:val="21"/>
              </w:rPr>
            </w:pPr>
            <w:r>
              <w:rPr>
                <w:rFonts w:eastAsia="仿宋_GB2312"/>
                <w:szCs w:val="21"/>
              </w:rPr>
              <w:t>≤0.5</w:t>
            </w:r>
          </w:p>
        </w:tc>
      </w:tr>
      <w:tr w14:paraId="03C0E8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15" w:type="dxa"/>
            <w:tcBorders>
              <w:tl2br w:val="nil"/>
              <w:tr2bl w:val="nil"/>
            </w:tcBorders>
            <w:noWrap/>
            <w:vAlign w:val="center"/>
          </w:tcPr>
          <w:p w14:paraId="20B3C724">
            <w:pPr>
              <w:jc w:val="center"/>
              <w:rPr>
                <w:rFonts w:eastAsia="仿宋_GB2312"/>
                <w:szCs w:val="21"/>
              </w:rPr>
            </w:pPr>
            <w:r>
              <w:rPr>
                <w:rFonts w:eastAsia="仿宋_GB2312"/>
                <w:szCs w:val="21"/>
              </w:rPr>
              <w:t>铁/(mg/kg )</w:t>
            </w:r>
          </w:p>
        </w:tc>
        <w:tc>
          <w:tcPr>
            <w:tcW w:w="4013" w:type="dxa"/>
            <w:tcBorders>
              <w:tl2br w:val="nil"/>
              <w:tr2bl w:val="nil"/>
            </w:tcBorders>
            <w:noWrap/>
            <w:vAlign w:val="center"/>
          </w:tcPr>
          <w:p w14:paraId="2BEB7A55">
            <w:pPr>
              <w:jc w:val="center"/>
              <w:rPr>
                <w:rFonts w:eastAsia="仿宋_GB2312"/>
                <w:szCs w:val="21"/>
              </w:rPr>
            </w:pPr>
            <w:r>
              <w:rPr>
                <w:rFonts w:eastAsia="仿宋_GB2312"/>
                <w:szCs w:val="21"/>
              </w:rPr>
              <w:t>≤0.5</w:t>
            </w:r>
          </w:p>
        </w:tc>
      </w:tr>
      <w:tr w14:paraId="184E77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15" w:type="dxa"/>
            <w:tcBorders>
              <w:tl2br w:val="nil"/>
              <w:tr2bl w:val="nil"/>
            </w:tcBorders>
            <w:noWrap/>
            <w:vAlign w:val="center"/>
          </w:tcPr>
          <w:p w14:paraId="1AB54C21">
            <w:pPr>
              <w:jc w:val="center"/>
              <w:rPr>
                <w:rFonts w:eastAsia="仿宋_GB2312"/>
                <w:szCs w:val="21"/>
              </w:rPr>
            </w:pPr>
            <w:r>
              <w:rPr>
                <w:rFonts w:eastAsia="仿宋_GB2312"/>
                <w:szCs w:val="21"/>
              </w:rPr>
              <w:t>纯度，ω/%</w:t>
            </w:r>
          </w:p>
        </w:tc>
        <w:tc>
          <w:tcPr>
            <w:tcW w:w="4013" w:type="dxa"/>
            <w:tcBorders>
              <w:tl2br w:val="nil"/>
              <w:tr2bl w:val="nil"/>
            </w:tcBorders>
            <w:noWrap/>
            <w:vAlign w:val="center"/>
          </w:tcPr>
          <w:p w14:paraId="38365B04">
            <w:pPr>
              <w:jc w:val="center"/>
              <w:rPr>
                <w:rFonts w:eastAsia="仿宋_GB2312"/>
                <w:szCs w:val="21"/>
              </w:rPr>
            </w:pPr>
            <w:r>
              <w:rPr>
                <w:rFonts w:eastAsia="仿宋_GB2312"/>
                <w:szCs w:val="21"/>
              </w:rPr>
              <w:t>≥99.5</w:t>
            </w:r>
          </w:p>
        </w:tc>
      </w:tr>
      <w:bookmarkEnd w:id="38"/>
    </w:tbl>
    <w:p w14:paraId="1556DB07">
      <w:pPr>
        <w:pStyle w:val="162"/>
        <w:spacing w:line="480" w:lineRule="exact"/>
        <w:ind w:firstLine="0" w:firstLineChars="0"/>
        <w:rPr>
          <w:rFonts w:ascii="Times New Roman"/>
        </w:rPr>
      </w:pPr>
      <w:r>
        <w:rPr>
          <w:rFonts w:ascii="Times New Roman"/>
        </w:rPr>
        <w:t>表3.2-2</w:t>
      </w:r>
      <w:r>
        <w:rPr>
          <w:rFonts w:hint="eastAsia" w:ascii="Times New Roman"/>
          <w:lang w:val="en-US" w:eastAsia="zh-CN"/>
        </w:rPr>
        <w:t>1</w:t>
      </w:r>
      <w:r>
        <w:rPr>
          <w:rFonts w:ascii="Times New Roman"/>
        </w:rPr>
        <w:t xml:space="preserve">  二氯乙烷产品质量指标</w:t>
      </w:r>
    </w:p>
    <w:tbl>
      <w:tblPr>
        <w:tblStyle w:val="88"/>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4523"/>
        <w:gridCol w:w="3997"/>
      </w:tblGrid>
      <w:tr w14:paraId="65C313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54" w:type="pct"/>
            <w:tcBorders>
              <w:tl2br w:val="nil"/>
              <w:tr2bl w:val="nil"/>
            </w:tcBorders>
            <w:noWrap/>
            <w:vAlign w:val="center"/>
          </w:tcPr>
          <w:p w14:paraId="401D5011">
            <w:pPr>
              <w:adjustRightInd w:val="0"/>
              <w:snapToGrid w:val="0"/>
              <w:jc w:val="center"/>
              <w:rPr>
                <w:rFonts w:eastAsia="仿宋_GB2312"/>
                <w:b/>
                <w:szCs w:val="21"/>
              </w:rPr>
            </w:pPr>
            <w:r>
              <w:rPr>
                <w:rFonts w:eastAsia="仿宋_GB2312"/>
                <w:b/>
                <w:szCs w:val="21"/>
              </w:rPr>
              <w:t>项目</w:t>
            </w:r>
          </w:p>
        </w:tc>
        <w:tc>
          <w:tcPr>
            <w:tcW w:w="2345" w:type="pct"/>
            <w:tcBorders>
              <w:tl2br w:val="nil"/>
              <w:tr2bl w:val="nil"/>
            </w:tcBorders>
            <w:vAlign w:val="center"/>
          </w:tcPr>
          <w:p w14:paraId="3F9582AE">
            <w:pPr>
              <w:adjustRightInd w:val="0"/>
              <w:snapToGrid w:val="0"/>
              <w:jc w:val="center"/>
              <w:rPr>
                <w:rFonts w:eastAsia="仿宋_GB2312"/>
                <w:b/>
                <w:szCs w:val="21"/>
              </w:rPr>
            </w:pPr>
            <w:r>
              <w:rPr>
                <w:rFonts w:eastAsia="仿宋_GB2312"/>
                <w:b/>
                <w:szCs w:val="21"/>
              </w:rPr>
              <w:t>指标（合格品）</w:t>
            </w:r>
          </w:p>
        </w:tc>
      </w:tr>
      <w:tr w14:paraId="2E8371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54" w:type="pct"/>
            <w:tcBorders>
              <w:tl2br w:val="nil"/>
              <w:tr2bl w:val="nil"/>
            </w:tcBorders>
            <w:noWrap/>
            <w:vAlign w:val="center"/>
          </w:tcPr>
          <w:p w14:paraId="07C7118A">
            <w:pPr>
              <w:adjustRightInd w:val="0"/>
              <w:snapToGrid w:val="0"/>
              <w:jc w:val="center"/>
              <w:rPr>
                <w:rFonts w:eastAsia="仿宋_GB2312"/>
                <w:szCs w:val="21"/>
              </w:rPr>
            </w:pPr>
            <w:r>
              <w:rPr>
                <w:rFonts w:eastAsia="仿宋_GB2312"/>
                <w:szCs w:val="21"/>
              </w:rPr>
              <w:t>二氯乙烷的质量分数</w:t>
            </w:r>
            <w:r>
              <w:rPr>
                <w:rFonts w:eastAsia="仿宋_GB2312"/>
                <w:szCs w:val="21"/>
                <w:vertAlign w:val="superscript"/>
              </w:rPr>
              <w:t xml:space="preserve"> </w:t>
            </w:r>
            <w:r>
              <w:rPr>
                <w:rFonts w:eastAsia="仿宋_GB2312"/>
                <w:szCs w:val="21"/>
              </w:rPr>
              <w:t>/%</w:t>
            </w:r>
          </w:p>
        </w:tc>
        <w:tc>
          <w:tcPr>
            <w:tcW w:w="2345" w:type="pct"/>
            <w:tcBorders>
              <w:tl2br w:val="nil"/>
              <w:tr2bl w:val="nil"/>
            </w:tcBorders>
            <w:vAlign w:val="center"/>
          </w:tcPr>
          <w:p w14:paraId="7AF89BF1">
            <w:pPr>
              <w:adjustRightInd w:val="0"/>
              <w:snapToGrid w:val="0"/>
              <w:jc w:val="center"/>
              <w:rPr>
                <w:rFonts w:eastAsia="仿宋_GB2312"/>
                <w:szCs w:val="21"/>
              </w:rPr>
            </w:pPr>
            <w:r>
              <w:rPr>
                <w:rFonts w:eastAsia="仿宋_GB2312"/>
                <w:szCs w:val="21"/>
              </w:rPr>
              <w:t>≥98.0</w:t>
            </w:r>
          </w:p>
        </w:tc>
      </w:tr>
      <w:tr w14:paraId="63F73F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54" w:type="pct"/>
            <w:tcBorders>
              <w:tl2br w:val="nil"/>
              <w:tr2bl w:val="nil"/>
            </w:tcBorders>
            <w:noWrap/>
            <w:vAlign w:val="center"/>
          </w:tcPr>
          <w:p w14:paraId="039F51E6">
            <w:pPr>
              <w:adjustRightInd w:val="0"/>
              <w:snapToGrid w:val="0"/>
              <w:jc w:val="center"/>
              <w:rPr>
                <w:rFonts w:eastAsia="仿宋_GB2312"/>
                <w:szCs w:val="21"/>
              </w:rPr>
            </w:pPr>
            <w:r>
              <w:rPr>
                <w:rFonts w:eastAsia="仿宋_GB2312"/>
                <w:szCs w:val="21"/>
              </w:rPr>
              <w:t>密度（ρ</w:t>
            </w:r>
            <w:r>
              <w:rPr>
                <w:rFonts w:eastAsia="仿宋_GB2312"/>
                <w:szCs w:val="21"/>
                <w:vertAlign w:val="subscript"/>
              </w:rPr>
              <w:t>20</w:t>
            </w:r>
            <w:r>
              <w:rPr>
                <w:rFonts w:eastAsia="仿宋_GB2312"/>
                <w:szCs w:val="21"/>
              </w:rPr>
              <w:t>），g/cm</w:t>
            </w:r>
            <w:r>
              <w:rPr>
                <w:rFonts w:eastAsia="仿宋_GB2312"/>
                <w:szCs w:val="21"/>
                <w:vertAlign w:val="superscript"/>
              </w:rPr>
              <w:t>3</w:t>
            </w:r>
          </w:p>
        </w:tc>
        <w:tc>
          <w:tcPr>
            <w:tcW w:w="2345" w:type="pct"/>
            <w:tcBorders>
              <w:tl2br w:val="nil"/>
              <w:tr2bl w:val="nil"/>
            </w:tcBorders>
            <w:vAlign w:val="center"/>
          </w:tcPr>
          <w:p w14:paraId="1215A8BE">
            <w:pPr>
              <w:adjustRightInd w:val="0"/>
              <w:snapToGrid w:val="0"/>
              <w:jc w:val="center"/>
              <w:rPr>
                <w:rFonts w:eastAsia="仿宋_GB2312"/>
                <w:szCs w:val="21"/>
              </w:rPr>
            </w:pPr>
            <w:r>
              <w:rPr>
                <w:rFonts w:eastAsia="仿宋_GB2312"/>
                <w:szCs w:val="21"/>
              </w:rPr>
              <w:t>1.250~1.257</w:t>
            </w:r>
          </w:p>
        </w:tc>
      </w:tr>
      <w:tr w14:paraId="1F3C40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54" w:type="pct"/>
            <w:tcBorders>
              <w:tl2br w:val="nil"/>
              <w:tr2bl w:val="nil"/>
            </w:tcBorders>
            <w:noWrap/>
            <w:vAlign w:val="center"/>
          </w:tcPr>
          <w:p w14:paraId="1F5510C6">
            <w:pPr>
              <w:adjustRightInd w:val="0"/>
              <w:snapToGrid w:val="0"/>
              <w:jc w:val="center"/>
              <w:rPr>
                <w:rFonts w:eastAsia="仿宋_GB2312"/>
                <w:szCs w:val="21"/>
              </w:rPr>
            </w:pPr>
            <w:r>
              <w:rPr>
                <w:rFonts w:eastAsia="仿宋_GB2312"/>
                <w:szCs w:val="21"/>
              </w:rPr>
              <w:t>水的质量分数/%</w:t>
            </w:r>
          </w:p>
        </w:tc>
        <w:tc>
          <w:tcPr>
            <w:tcW w:w="2345" w:type="pct"/>
            <w:tcBorders>
              <w:tl2br w:val="nil"/>
              <w:tr2bl w:val="nil"/>
            </w:tcBorders>
            <w:vAlign w:val="center"/>
          </w:tcPr>
          <w:p w14:paraId="1D7150FA">
            <w:pPr>
              <w:adjustRightInd w:val="0"/>
              <w:snapToGrid w:val="0"/>
              <w:jc w:val="center"/>
              <w:rPr>
                <w:rFonts w:eastAsia="仿宋_GB2312"/>
                <w:szCs w:val="21"/>
              </w:rPr>
            </w:pPr>
            <w:r>
              <w:rPr>
                <w:rFonts w:eastAsia="仿宋_GB2312"/>
                <w:szCs w:val="21"/>
              </w:rPr>
              <w:t>≤0.08</w:t>
            </w:r>
          </w:p>
        </w:tc>
      </w:tr>
      <w:tr w14:paraId="2E47BF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54" w:type="pct"/>
            <w:tcBorders>
              <w:tl2br w:val="nil"/>
              <w:tr2bl w:val="nil"/>
            </w:tcBorders>
            <w:noWrap/>
            <w:vAlign w:val="center"/>
          </w:tcPr>
          <w:p w14:paraId="6583DC8C">
            <w:pPr>
              <w:adjustRightInd w:val="0"/>
              <w:snapToGrid w:val="0"/>
              <w:jc w:val="center"/>
              <w:rPr>
                <w:rFonts w:eastAsia="仿宋_GB2312"/>
                <w:szCs w:val="21"/>
              </w:rPr>
            </w:pPr>
            <w:r>
              <w:rPr>
                <w:rFonts w:eastAsia="仿宋_GB2312"/>
                <w:szCs w:val="21"/>
              </w:rPr>
              <w:t>色度/Hazen单位（Pt-Co色号）</w:t>
            </w:r>
          </w:p>
        </w:tc>
        <w:tc>
          <w:tcPr>
            <w:tcW w:w="2345" w:type="pct"/>
            <w:tcBorders>
              <w:tl2br w:val="nil"/>
              <w:tr2bl w:val="nil"/>
            </w:tcBorders>
            <w:vAlign w:val="center"/>
          </w:tcPr>
          <w:p w14:paraId="0EB0C379">
            <w:pPr>
              <w:adjustRightInd w:val="0"/>
              <w:snapToGrid w:val="0"/>
              <w:jc w:val="center"/>
              <w:rPr>
                <w:rFonts w:eastAsia="仿宋_GB2312"/>
                <w:szCs w:val="21"/>
              </w:rPr>
            </w:pPr>
            <w:r>
              <w:rPr>
                <w:rFonts w:eastAsia="仿宋_GB2312"/>
                <w:szCs w:val="21"/>
              </w:rPr>
              <w:t>≤20</w:t>
            </w:r>
          </w:p>
        </w:tc>
      </w:tr>
      <w:tr w14:paraId="6948C6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54" w:type="pct"/>
            <w:tcBorders>
              <w:tl2br w:val="nil"/>
              <w:tr2bl w:val="nil"/>
            </w:tcBorders>
            <w:noWrap/>
            <w:vAlign w:val="center"/>
          </w:tcPr>
          <w:p w14:paraId="119A4E60">
            <w:pPr>
              <w:jc w:val="center"/>
              <w:rPr>
                <w:rFonts w:eastAsia="仿宋_GB2312"/>
              </w:rPr>
            </w:pPr>
            <w:r>
              <w:rPr>
                <w:rFonts w:eastAsia="仿宋_GB2312"/>
              </w:rPr>
              <w:t>酸度（以HCl计）/%</w:t>
            </w:r>
          </w:p>
        </w:tc>
        <w:tc>
          <w:tcPr>
            <w:tcW w:w="2345" w:type="pct"/>
            <w:tcBorders>
              <w:tl2br w:val="nil"/>
              <w:tr2bl w:val="nil"/>
            </w:tcBorders>
            <w:vAlign w:val="center"/>
          </w:tcPr>
          <w:p w14:paraId="67BD6E99">
            <w:pPr>
              <w:adjustRightInd w:val="0"/>
              <w:snapToGrid w:val="0"/>
              <w:jc w:val="center"/>
              <w:rPr>
                <w:rFonts w:eastAsia="仿宋_GB2312"/>
                <w:szCs w:val="21"/>
              </w:rPr>
            </w:pPr>
            <w:r>
              <w:rPr>
                <w:rFonts w:eastAsia="仿宋_GB2312"/>
                <w:szCs w:val="21"/>
              </w:rPr>
              <w:t>≤0.005</w:t>
            </w:r>
          </w:p>
        </w:tc>
      </w:tr>
    </w:tbl>
    <w:p w14:paraId="27F37A42">
      <w:pPr>
        <w:pStyle w:val="162"/>
        <w:spacing w:line="480" w:lineRule="exact"/>
        <w:ind w:firstLine="0" w:firstLineChars="0"/>
        <w:rPr>
          <w:rFonts w:ascii="Times New Roman"/>
        </w:rPr>
      </w:pPr>
      <w:r>
        <w:rPr>
          <w:rFonts w:ascii="Times New Roman"/>
        </w:rPr>
        <w:t>表3.2-2</w:t>
      </w:r>
      <w:r>
        <w:rPr>
          <w:rFonts w:hint="eastAsia" w:ascii="Times New Roman"/>
          <w:lang w:val="en-US" w:eastAsia="zh-CN"/>
        </w:rPr>
        <w:t>2</w:t>
      </w:r>
      <w:r>
        <w:rPr>
          <w:rFonts w:ascii="Times New Roman"/>
        </w:rPr>
        <w:t xml:space="preserve">  DMF产品质量指标</w:t>
      </w:r>
    </w:p>
    <w:tbl>
      <w:tblPr>
        <w:tblStyle w:val="88"/>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4523"/>
        <w:gridCol w:w="3997"/>
      </w:tblGrid>
      <w:tr w14:paraId="7E7333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54" w:type="pct"/>
            <w:tcBorders>
              <w:tl2br w:val="nil"/>
              <w:tr2bl w:val="nil"/>
            </w:tcBorders>
            <w:noWrap/>
            <w:vAlign w:val="center"/>
          </w:tcPr>
          <w:p w14:paraId="42A60F71">
            <w:pPr>
              <w:adjustRightInd w:val="0"/>
              <w:snapToGrid w:val="0"/>
              <w:jc w:val="center"/>
              <w:rPr>
                <w:rFonts w:eastAsia="仿宋_GB2312"/>
                <w:b/>
                <w:szCs w:val="21"/>
              </w:rPr>
            </w:pPr>
            <w:r>
              <w:rPr>
                <w:rFonts w:eastAsia="仿宋_GB2312"/>
                <w:b/>
                <w:szCs w:val="21"/>
              </w:rPr>
              <w:t>项目</w:t>
            </w:r>
          </w:p>
        </w:tc>
        <w:tc>
          <w:tcPr>
            <w:tcW w:w="2345" w:type="pct"/>
            <w:tcBorders>
              <w:tl2br w:val="nil"/>
              <w:tr2bl w:val="nil"/>
            </w:tcBorders>
            <w:vAlign w:val="center"/>
          </w:tcPr>
          <w:p w14:paraId="77AB373E">
            <w:pPr>
              <w:adjustRightInd w:val="0"/>
              <w:snapToGrid w:val="0"/>
              <w:jc w:val="center"/>
              <w:rPr>
                <w:rFonts w:eastAsia="仿宋_GB2312"/>
                <w:b/>
                <w:szCs w:val="21"/>
              </w:rPr>
            </w:pPr>
            <w:r>
              <w:rPr>
                <w:rFonts w:eastAsia="仿宋_GB2312"/>
                <w:b/>
                <w:szCs w:val="21"/>
              </w:rPr>
              <w:t>指标（合格品）</w:t>
            </w:r>
          </w:p>
        </w:tc>
      </w:tr>
      <w:tr w14:paraId="6BC7A6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54" w:type="pct"/>
            <w:tcBorders>
              <w:tl2br w:val="nil"/>
              <w:tr2bl w:val="nil"/>
            </w:tcBorders>
            <w:noWrap/>
            <w:vAlign w:val="center"/>
          </w:tcPr>
          <w:p w14:paraId="248C41AC">
            <w:pPr>
              <w:adjustRightInd w:val="0"/>
              <w:snapToGrid w:val="0"/>
              <w:jc w:val="center"/>
              <w:rPr>
                <w:rFonts w:eastAsia="仿宋_GB2312"/>
                <w:szCs w:val="21"/>
              </w:rPr>
            </w:pPr>
            <w:r>
              <w:rPr>
                <w:rFonts w:eastAsia="仿宋_GB2312"/>
                <w:szCs w:val="21"/>
              </w:rPr>
              <w:t>二甲基酰胺，ω/%</w:t>
            </w:r>
          </w:p>
        </w:tc>
        <w:tc>
          <w:tcPr>
            <w:tcW w:w="2345" w:type="pct"/>
            <w:tcBorders>
              <w:tl2br w:val="nil"/>
              <w:tr2bl w:val="nil"/>
            </w:tcBorders>
            <w:vAlign w:val="center"/>
          </w:tcPr>
          <w:p w14:paraId="33C01A8F">
            <w:pPr>
              <w:adjustRightInd w:val="0"/>
              <w:snapToGrid w:val="0"/>
              <w:jc w:val="center"/>
              <w:rPr>
                <w:rFonts w:eastAsia="仿宋_GB2312"/>
                <w:szCs w:val="21"/>
              </w:rPr>
            </w:pPr>
            <w:r>
              <w:rPr>
                <w:rFonts w:eastAsia="仿宋_GB2312"/>
                <w:szCs w:val="21"/>
              </w:rPr>
              <w:t>≥99.5</w:t>
            </w:r>
          </w:p>
        </w:tc>
      </w:tr>
      <w:tr w14:paraId="514F49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54" w:type="pct"/>
            <w:tcBorders>
              <w:tl2br w:val="nil"/>
              <w:tr2bl w:val="nil"/>
            </w:tcBorders>
            <w:noWrap/>
            <w:vAlign w:val="center"/>
          </w:tcPr>
          <w:p w14:paraId="65580CC6">
            <w:pPr>
              <w:adjustRightInd w:val="0"/>
              <w:snapToGrid w:val="0"/>
              <w:jc w:val="center"/>
              <w:rPr>
                <w:rFonts w:eastAsia="仿宋_GB2312"/>
                <w:szCs w:val="21"/>
              </w:rPr>
            </w:pPr>
            <w:r>
              <w:rPr>
                <w:rFonts w:eastAsia="仿宋_GB2312"/>
                <w:szCs w:val="21"/>
              </w:rPr>
              <w:t>甲醇，ω/%</w:t>
            </w:r>
          </w:p>
        </w:tc>
        <w:tc>
          <w:tcPr>
            <w:tcW w:w="2345" w:type="pct"/>
            <w:tcBorders>
              <w:tl2br w:val="nil"/>
              <w:tr2bl w:val="nil"/>
            </w:tcBorders>
            <w:vAlign w:val="center"/>
          </w:tcPr>
          <w:p w14:paraId="7DEEE836">
            <w:pPr>
              <w:adjustRightInd w:val="0"/>
              <w:snapToGrid w:val="0"/>
              <w:jc w:val="center"/>
              <w:rPr>
                <w:rFonts w:eastAsia="仿宋_GB2312"/>
                <w:szCs w:val="21"/>
              </w:rPr>
            </w:pPr>
            <w:r>
              <w:rPr>
                <w:rFonts w:eastAsia="仿宋_GB2312"/>
                <w:szCs w:val="21"/>
              </w:rPr>
              <w:t>≤0.0050</w:t>
            </w:r>
          </w:p>
        </w:tc>
      </w:tr>
      <w:tr w14:paraId="5A593D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54" w:type="pct"/>
            <w:tcBorders>
              <w:tl2br w:val="nil"/>
              <w:tr2bl w:val="nil"/>
            </w:tcBorders>
            <w:noWrap/>
            <w:vAlign w:val="center"/>
          </w:tcPr>
          <w:p w14:paraId="69B4D425">
            <w:pPr>
              <w:adjustRightInd w:val="0"/>
              <w:snapToGrid w:val="0"/>
              <w:jc w:val="center"/>
              <w:rPr>
                <w:rFonts w:eastAsia="仿宋_GB2312"/>
                <w:szCs w:val="21"/>
              </w:rPr>
            </w:pPr>
            <w:r>
              <w:rPr>
                <w:rFonts w:eastAsia="仿宋_GB2312"/>
                <w:szCs w:val="21"/>
              </w:rPr>
              <w:t>重组分（以二甲基酰胺计），</w:t>
            </w:r>
            <w:r>
              <w:rPr>
                <w:rFonts w:eastAsia="仿宋_GB2312"/>
                <w:szCs w:val="21"/>
                <w:vertAlign w:val="superscript"/>
              </w:rPr>
              <w:t>a</w:t>
            </w:r>
            <w:r>
              <w:rPr>
                <w:rFonts w:eastAsia="仿宋_GB2312"/>
                <w:szCs w:val="21"/>
              </w:rPr>
              <w:t>ω/%</w:t>
            </w:r>
          </w:p>
        </w:tc>
        <w:tc>
          <w:tcPr>
            <w:tcW w:w="2345" w:type="pct"/>
            <w:tcBorders>
              <w:tl2br w:val="nil"/>
              <w:tr2bl w:val="nil"/>
            </w:tcBorders>
            <w:vAlign w:val="center"/>
          </w:tcPr>
          <w:p w14:paraId="593B7DE2">
            <w:pPr>
              <w:adjustRightInd w:val="0"/>
              <w:snapToGrid w:val="0"/>
              <w:jc w:val="center"/>
              <w:rPr>
                <w:rFonts w:eastAsia="仿宋_GB2312"/>
                <w:szCs w:val="21"/>
              </w:rPr>
            </w:pPr>
            <w:r>
              <w:rPr>
                <w:rFonts w:eastAsia="仿宋_GB2312"/>
                <w:szCs w:val="21"/>
              </w:rPr>
              <w:t>供需双方协商确定</w:t>
            </w:r>
          </w:p>
        </w:tc>
      </w:tr>
      <w:tr w14:paraId="0CF894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54" w:type="pct"/>
            <w:tcBorders>
              <w:tl2br w:val="nil"/>
              <w:tr2bl w:val="nil"/>
            </w:tcBorders>
            <w:noWrap/>
            <w:vAlign w:val="center"/>
          </w:tcPr>
          <w:p w14:paraId="2C901E57">
            <w:pPr>
              <w:adjustRightInd w:val="0"/>
              <w:snapToGrid w:val="0"/>
              <w:jc w:val="center"/>
              <w:rPr>
                <w:rFonts w:eastAsia="仿宋_GB2312"/>
                <w:szCs w:val="21"/>
              </w:rPr>
            </w:pPr>
            <w:r>
              <w:rPr>
                <w:rFonts w:eastAsia="仿宋_GB2312"/>
                <w:szCs w:val="21"/>
              </w:rPr>
              <w:t>色度/Hazen单位（Pt-Co色号）</w:t>
            </w:r>
          </w:p>
        </w:tc>
        <w:tc>
          <w:tcPr>
            <w:tcW w:w="2345" w:type="pct"/>
            <w:tcBorders>
              <w:tl2br w:val="nil"/>
              <w:tr2bl w:val="nil"/>
            </w:tcBorders>
            <w:vAlign w:val="center"/>
          </w:tcPr>
          <w:p w14:paraId="2FE8B1C5">
            <w:pPr>
              <w:adjustRightInd w:val="0"/>
              <w:snapToGrid w:val="0"/>
              <w:jc w:val="center"/>
              <w:rPr>
                <w:rFonts w:eastAsia="仿宋_GB2312"/>
                <w:szCs w:val="21"/>
              </w:rPr>
            </w:pPr>
            <w:r>
              <w:rPr>
                <w:rFonts w:eastAsia="仿宋_GB2312"/>
                <w:szCs w:val="21"/>
              </w:rPr>
              <w:t>≤20</w:t>
            </w:r>
          </w:p>
        </w:tc>
      </w:tr>
      <w:tr w14:paraId="4F23CA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54" w:type="pct"/>
            <w:tcBorders>
              <w:tl2br w:val="nil"/>
              <w:tr2bl w:val="nil"/>
            </w:tcBorders>
            <w:noWrap/>
            <w:vAlign w:val="center"/>
          </w:tcPr>
          <w:p w14:paraId="37772BEF">
            <w:pPr>
              <w:adjustRightInd w:val="0"/>
              <w:snapToGrid w:val="0"/>
              <w:jc w:val="center"/>
              <w:rPr>
                <w:rFonts w:eastAsia="仿宋_GB2312"/>
                <w:szCs w:val="21"/>
              </w:rPr>
            </w:pPr>
            <w:r>
              <w:rPr>
                <w:rFonts w:eastAsia="仿宋_GB2312"/>
                <w:szCs w:val="21"/>
              </w:rPr>
              <w:t>水，ω/%</w:t>
            </w:r>
          </w:p>
        </w:tc>
        <w:tc>
          <w:tcPr>
            <w:tcW w:w="2345" w:type="pct"/>
            <w:tcBorders>
              <w:tl2br w:val="nil"/>
              <w:tr2bl w:val="nil"/>
            </w:tcBorders>
            <w:vAlign w:val="center"/>
          </w:tcPr>
          <w:p w14:paraId="71DD3AC0">
            <w:pPr>
              <w:adjustRightInd w:val="0"/>
              <w:snapToGrid w:val="0"/>
              <w:jc w:val="center"/>
              <w:rPr>
                <w:rFonts w:eastAsia="仿宋_GB2312"/>
                <w:szCs w:val="21"/>
              </w:rPr>
            </w:pPr>
            <w:r>
              <w:rPr>
                <w:rFonts w:eastAsia="仿宋_GB2312"/>
                <w:szCs w:val="21"/>
              </w:rPr>
              <w:t>≤0.050</w:t>
            </w:r>
          </w:p>
        </w:tc>
      </w:tr>
      <w:tr w14:paraId="601FD7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54" w:type="pct"/>
            <w:tcBorders>
              <w:tl2br w:val="nil"/>
              <w:tr2bl w:val="nil"/>
            </w:tcBorders>
            <w:noWrap/>
            <w:vAlign w:val="center"/>
          </w:tcPr>
          <w:p w14:paraId="2B0F952F">
            <w:pPr>
              <w:adjustRightInd w:val="0"/>
              <w:snapToGrid w:val="0"/>
              <w:jc w:val="center"/>
              <w:rPr>
                <w:rFonts w:eastAsia="仿宋_GB2312"/>
                <w:szCs w:val="21"/>
              </w:rPr>
            </w:pPr>
            <w:r>
              <w:rPr>
                <w:rFonts w:eastAsia="仿宋_GB2312"/>
                <w:szCs w:val="21"/>
              </w:rPr>
              <w:t>铁，ω/（mg/kg）</w:t>
            </w:r>
          </w:p>
        </w:tc>
        <w:tc>
          <w:tcPr>
            <w:tcW w:w="2345" w:type="pct"/>
            <w:tcBorders>
              <w:tl2br w:val="nil"/>
              <w:tr2bl w:val="nil"/>
            </w:tcBorders>
            <w:vAlign w:val="center"/>
          </w:tcPr>
          <w:p w14:paraId="0FDB0372">
            <w:pPr>
              <w:adjustRightInd w:val="0"/>
              <w:snapToGrid w:val="0"/>
              <w:jc w:val="center"/>
              <w:rPr>
                <w:rFonts w:eastAsia="仿宋_GB2312"/>
                <w:szCs w:val="21"/>
              </w:rPr>
            </w:pPr>
            <w:r>
              <w:rPr>
                <w:rFonts w:eastAsia="仿宋_GB2312"/>
                <w:szCs w:val="21"/>
              </w:rPr>
              <w:t>≤0.05</w:t>
            </w:r>
          </w:p>
        </w:tc>
      </w:tr>
      <w:tr w14:paraId="790985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54" w:type="pct"/>
            <w:tcBorders>
              <w:tl2br w:val="nil"/>
              <w:tr2bl w:val="nil"/>
            </w:tcBorders>
            <w:noWrap/>
            <w:vAlign w:val="center"/>
          </w:tcPr>
          <w:p w14:paraId="40AC4D35">
            <w:pPr>
              <w:adjustRightInd w:val="0"/>
              <w:snapToGrid w:val="0"/>
              <w:jc w:val="center"/>
              <w:rPr>
                <w:rFonts w:eastAsia="仿宋_GB2312"/>
                <w:szCs w:val="21"/>
              </w:rPr>
            </w:pPr>
            <w:r>
              <w:rPr>
                <w:rFonts w:eastAsia="仿宋_GB2312"/>
              </w:rPr>
              <w:t>酸度（以甲酸计）/%</w:t>
            </w:r>
          </w:p>
        </w:tc>
        <w:tc>
          <w:tcPr>
            <w:tcW w:w="2345" w:type="pct"/>
            <w:tcBorders>
              <w:tl2br w:val="nil"/>
              <w:tr2bl w:val="nil"/>
            </w:tcBorders>
            <w:vAlign w:val="center"/>
          </w:tcPr>
          <w:p w14:paraId="2D1AD27B">
            <w:pPr>
              <w:adjustRightInd w:val="0"/>
              <w:snapToGrid w:val="0"/>
              <w:jc w:val="center"/>
              <w:rPr>
                <w:rFonts w:eastAsia="仿宋_GB2312"/>
                <w:szCs w:val="21"/>
              </w:rPr>
            </w:pPr>
            <w:r>
              <w:rPr>
                <w:rFonts w:eastAsia="仿宋_GB2312"/>
                <w:szCs w:val="21"/>
              </w:rPr>
              <w:t>≤0.0030</w:t>
            </w:r>
          </w:p>
        </w:tc>
      </w:tr>
      <w:tr w14:paraId="7FB875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54" w:type="pct"/>
            <w:tcBorders>
              <w:tl2br w:val="nil"/>
              <w:tr2bl w:val="nil"/>
            </w:tcBorders>
            <w:noWrap/>
            <w:vAlign w:val="center"/>
          </w:tcPr>
          <w:p w14:paraId="7D55A6B9">
            <w:pPr>
              <w:adjustRightInd w:val="0"/>
              <w:snapToGrid w:val="0"/>
              <w:jc w:val="center"/>
              <w:rPr>
                <w:rFonts w:eastAsia="仿宋_GB2312"/>
              </w:rPr>
            </w:pPr>
            <w:r>
              <w:rPr>
                <w:rFonts w:eastAsia="仿宋_GB2312"/>
              </w:rPr>
              <w:t>碱度（以二甲胺计）/%</w:t>
            </w:r>
          </w:p>
        </w:tc>
        <w:tc>
          <w:tcPr>
            <w:tcW w:w="2345" w:type="pct"/>
            <w:tcBorders>
              <w:tl2br w:val="nil"/>
              <w:tr2bl w:val="nil"/>
            </w:tcBorders>
            <w:vAlign w:val="center"/>
          </w:tcPr>
          <w:p w14:paraId="59E9F713">
            <w:pPr>
              <w:adjustRightInd w:val="0"/>
              <w:snapToGrid w:val="0"/>
              <w:jc w:val="center"/>
              <w:rPr>
                <w:rFonts w:eastAsia="仿宋_GB2312"/>
                <w:szCs w:val="21"/>
              </w:rPr>
            </w:pPr>
            <w:r>
              <w:rPr>
                <w:rFonts w:eastAsia="仿宋_GB2312"/>
                <w:szCs w:val="21"/>
              </w:rPr>
              <w:t>≤0.0030</w:t>
            </w:r>
          </w:p>
        </w:tc>
      </w:tr>
      <w:tr w14:paraId="095484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54" w:type="pct"/>
            <w:tcBorders>
              <w:tl2br w:val="nil"/>
              <w:tr2bl w:val="nil"/>
            </w:tcBorders>
            <w:noWrap/>
            <w:vAlign w:val="center"/>
          </w:tcPr>
          <w:p w14:paraId="62709705">
            <w:pPr>
              <w:adjustRightInd w:val="0"/>
              <w:snapToGrid w:val="0"/>
              <w:jc w:val="center"/>
              <w:rPr>
                <w:rFonts w:eastAsia="仿宋_GB2312"/>
                <w:szCs w:val="21"/>
              </w:rPr>
            </w:pPr>
            <w:r>
              <w:rPr>
                <w:rFonts w:eastAsia="仿宋_GB2312"/>
                <w:szCs w:val="21"/>
              </w:rPr>
              <w:t>pH值（25</w:t>
            </w:r>
            <w:r>
              <w:rPr>
                <w:rFonts w:hint="eastAsia" w:ascii="宋体" w:hAnsi="宋体" w:cs="宋体"/>
                <w:szCs w:val="21"/>
              </w:rPr>
              <w:t>℃</w:t>
            </w:r>
            <w:r>
              <w:rPr>
                <w:rFonts w:eastAsia="仿宋_GB2312"/>
                <w:szCs w:val="21"/>
              </w:rPr>
              <w:t>，20%水溶液）</w:t>
            </w:r>
          </w:p>
        </w:tc>
        <w:tc>
          <w:tcPr>
            <w:tcW w:w="2345" w:type="pct"/>
            <w:tcBorders>
              <w:tl2br w:val="nil"/>
              <w:tr2bl w:val="nil"/>
            </w:tcBorders>
            <w:vAlign w:val="center"/>
          </w:tcPr>
          <w:p w14:paraId="145E8657">
            <w:pPr>
              <w:adjustRightInd w:val="0"/>
              <w:snapToGrid w:val="0"/>
              <w:jc w:val="center"/>
              <w:rPr>
                <w:rFonts w:eastAsia="仿宋_GB2312"/>
                <w:szCs w:val="21"/>
              </w:rPr>
            </w:pPr>
            <w:r>
              <w:rPr>
                <w:rFonts w:eastAsia="仿宋_GB2312"/>
                <w:szCs w:val="21"/>
              </w:rPr>
              <w:t>6.5~8.0</w:t>
            </w:r>
          </w:p>
        </w:tc>
      </w:tr>
      <w:tr w14:paraId="07A7AE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54" w:type="pct"/>
            <w:tcBorders>
              <w:tl2br w:val="nil"/>
              <w:tr2bl w:val="nil"/>
            </w:tcBorders>
            <w:noWrap/>
            <w:vAlign w:val="center"/>
          </w:tcPr>
          <w:p w14:paraId="0A5FCAFB">
            <w:pPr>
              <w:adjustRightInd w:val="0"/>
              <w:snapToGrid w:val="0"/>
              <w:jc w:val="center"/>
              <w:rPr>
                <w:rFonts w:eastAsia="仿宋_GB2312"/>
                <w:szCs w:val="21"/>
              </w:rPr>
            </w:pPr>
            <w:r>
              <w:rPr>
                <w:rFonts w:eastAsia="仿宋_GB2312"/>
                <w:szCs w:val="21"/>
              </w:rPr>
              <w:t>电导率（25</w:t>
            </w:r>
            <w:r>
              <w:rPr>
                <w:rFonts w:hint="eastAsia" w:ascii="宋体" w:hAnsi="宋体" w:cs="宋体"/>
                <w:szCs w:val="21"/>
              </w:rPr>
              <w:t>℃</w:t>
            </w:r>
            <w:r>
              <w:rPr>
                <w:rFonts w:eastAsia="仿宋_GB2312"/>
                <w:szCs w:val="21"/>
              </w:rPr>
              <w:t>）/（μS/cm）</w:t>
            </w:r>
          </w:p>
        </w:tc>
        <w:tc>
          <w:tcPr>
            <w:tcW w:w="2345" w:type="pct"/>
            <w:tcBorders>
              <w:tl2br w:val="nil"/>
              <w:tr2bl w:val="nil"/>
            </w:tcBorders>
            <w:vAlign w:val="center"/>
          </w:tcPr>
          <w:p w14:paraId="17FAB2BD">
            <w:pPr>
              <w:adjustRightInd w:val="0"/>
              <w:snapToGrid w:val="0"/>
              <w:jc w:val="center"/>
              <w:rPr>
                <w:rFonts w:eastAsia="仿宋_GB2312"/>
                <w:szCs w:val="21"/>
              </w:rPr>
            </w:pPr>
            <w:r>
              <w:rPr>
                <w:rFonts w:eastAsia="仿宋_GB2312"/>
                <w:szCs w:val="21"/>
              </w:rPr>
              <w:t>—</w:t>
            </w:r>
          </w:p>
        </w:tc>
      </w:tr>
    </w:tbl>
    <w:p w14:paraId="46EF0275">
      <w:pPr>
        <w:pStyle w:val="162"/>
        <w:spacing w:line="480" w:lineRule="exact"/>
        <w:ind w:firstLine="0" w:firstLineChars="0"/>
        <w:rPr>
          <w:rFonts w:ascii="Times New Roman"/>
        </w:rPr>
      </w:pPr>
      <w:r>
        <w:rPr>
          <w:rFonts w:ascii="Times New Roman"/>
        </w:rPr>
        <w:t>表3.2-2</w:t>
      </w:r>
      <w:r>
        <w:rPr>
          <w:rFonts w:hint="eastAsia" w:ascii="Times New Roman"/>
          <w:lang w:val="en-US" w:eastAsia="zh-CN"/>
        </w:rPr>
        <w:t>3</w:t>
      </w:r>
      <w:r>
        <w:rPr>
          <w:rFonts w:ascii="Times New Roman"/>
        </w:rPr>
        <w:t xml:space="preserve">  二甲基亚砜产品质量指标</w:t>
      </w:r>
    </w:p>
    <w:tbl>
      <w:tblPr>
        <w:tblStyle w:val="88"/>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4523"/>
        <w:gridCol w:w="3997"/>
      </w:tblGrid>
      <w:tr w14:paraId="4BEBBA5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54" w:type="pct"/>
            <w:tcBorders>
              <w:tl2br w:val="nil"/>
              <w:tr2bl w:val="nil"/>
            </w:tcBorders>
            <w:noWrap/>
            <w:vAlign w:val="center"/>
          </w:tcPr>
          <w:p w14:paraId="5A3E111A">
            <w:pPr>
              <w:adjustRightInd w:val="0"/>
              <w:snapToGrid w:val="0"/>
              <w:jc w:val="center"/>
              <w:rPr>
                <w:rFonts w:eastAsia="仿宋_GB2312"/>
                <w:b/>
                <w:szCs w:val="21"/>
              </w:rPr>
            </w:pPr>
            <w:r>
              <w:rPr>
                <w:rFonts w:eastAsia="仿宋_GB2312"/>
                <w:b/>
                <w:szCs w:val="21"/>
              </w:rPr>
              <w:t>项目</w:t>
            </w:r>
          </w:p>
        </w:tc>
        <w:tc>
          <w:tcPr>
            <w:tcW w:w="2345" w:type="pct"/>
            <w:tcBorders>
              <w:tl2br w:val="nil"/>
              <w:tr2bl w:val="nil"/>
            </w:tcBorders>
            <w:vAlign w:val="center"/>
          </w:tcPr>
          <w:p w14:paraId="1A23010B">
            <w:pPr>
              <w:adjustRightInd w:val="0"/>
              <w:snapToGrid w:val="0"/>
              <w:jc w:val="center"/>
              <w:rPr>
                <w:rFonts w:eastAsia="仿宋_GB2312"/>
                <w:b/>
                <w:szCs w:val="21"/>
              </w:rPr>
            </w:pPr>
            <w:r>
              <w:rPr>
                <w:rFonts w:eastAsia="仿宋_GB2312"/>
                <w:b/>
                <w:szCs w:val="21"/>
              </w:rPr>
              <w:t>指标（一等品）</w:t>
            </w:r>
          </w:p>
        </w:tc>
      </w:tr>
      <w:tr w14:paraId="35919E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54" w:type="pct"/>
            <w:tcBorders>
              <w:tl2br w:val="nil"/>
              <w:tr2bl w:val="nil"/>
            </w:tcBorders>
            <w:noWrap/>
            <w:vAlign w:val="center"/>
          </w:tcPr>
          <w:p w14:paraId="2D598AE8">
            <w:pPr>
              <w:adjustRightInd w:val="0"/>
              <w:snapToGrid w:val="0"/>
              <w:jc w:val="center"/>
              <w:rPr>
                <w:rFonts w:eastAsia="仿宋_GB2312"/>
                <w:szCs w:val="21"/>
              </w:rPr>
            </w:pPr>
            <w:r>
              <w:rPr>
                <w:rFonts w:eastAsia="仿宋_GB2312"/>
                <w:szCs w:val="21"/>
              </w:rPr>
              <w:t>结晶点/</w:t>
            </w:r>
            <w:r>
              <w:rPr>
                <w:rFonts w:hint="eastAsia" w:ascii="宋体" w:hAnsi="宋体" w:cs="宋体"/>
                <w:szCs w:val="21"/>
              </w:rPr>
              <w:t>℃</w:t>
            </w:r>
          </w:p>
        </w:tc>
        <w:tc>
          <w:tcPr>
            <w:tcW w:w="2345" w:type="pct"/>
            <w:tcBorders>
              <w:tl2br w:val="nil"/>
              <w:tr2bl w:val="nil"/>
            </w:tcBorders>
            <w:vAlign w:val="center"/>
          </w:tcPr>
          <w:p w14:paraId="5F32A931">
            <w:pPr>
              <w:adjustRightInd w:val="0"/>
              <w:snapToGrid w:val="0"/>
              <w:jc w:val="center"/>
              <w:rPr>
                <w:rFonts w:eastAsia="仿宋_GB2312"/>
                <w:szCs w:val="21"/>
              </w:rPr>
            </w:pPr>
            <w:r>
              <w:rPr>
                <w:rFonts w:eastAsia="仿宋_GB2312"/>
                <w:szCs w:val="21"/>
              </w:rPr>
              <w:t>≥18.00</w:t>
            </w:r>
          </w:p>
        </w:tc>
      </w:tr>
      <w:tr w14:paraId="532E32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54" w:type="pct"/>
            <w:tcBorders>
              <w:tl2br w:val="nil"/>
              <w:tr2bl w:val="nil"/>
            </w:tcBorders>
            <w:noWrap/>
            <w:vAlign w:val="center"/>
          </w:tcPr>
          <w:p w14:paraId="2E7AB5AC">
            <w:pPr>
              <w:adjustRightInd w:val="0"/>
              <w:snapToGrid w:val="0"/>
              <w:jc w:val="center"/>
              <w:rPr>
                <w:rFonts w:eastAsia="仿宋_GB2312"/>
                <w:szCs w:val="21"/>
              </w:rPr>
            </w:pPr>
            <w:r>
              <w:rPr>
                <w:rFonts w:eastAsia="仿宋_GB2312"/>
                <w:szCs w:val="21"/>
              </w:rPr>
              <w:t>酸值（以KOH计）/（mg/g）</w:t>
            </w:r>
          </w:p>
        </w:tc>
        <w:tc>
          <w:tcPr>
            <w:tcW w:w="2345" w:type="pct"/>
            <w:tcBorders>
              <w:tl2br w:val="nil"/>
              <w:tr2bl w:val="nil"/>
            </w:tcBorders>
            <w:vAlign w:val="center"/>
          </w:tcPr>
          <w:p w14:paraId="34985629">
            <w:pPr>
              <w:adjustRightInd w:val="0"/>
              <w:snapToGrid w:val="0"/>
              <w:jc w:val="center"/>
              <w:rPr>
                <w:rFonts w:eastAsia="仿宋_GB2312"/>
                <w:szCs w:val="21"/>
              </w:rPr>
            </w:pPr>
            <w:r>
              <w:rPr>
                <w:rFonts w:eastAsia="仿宋_GB2312"/>
                <w:szCs w:val="21"/>
              </w:rPr>
              <w:t>≤0.04</w:t>
            </w:r>
          </w:p>
        </w:tc>
      </w:tr>
      <w:tr w14:paraId="2026CE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54" w:type="pct"/>
            <w:tcBorders>
              <w:tl2br w:val="nil"/>
              <w:tr2bl w:val="nil"/>
            </w:tcBorders>
            <w:noWrap/>
            <w:vAlign w:val="center"/>
          </w:tcPr>
          <w:p w14:paraId="2E449C56">
            <w:pPr>
              <w:adjustRightInd w:val="0"/>
              <w:snapToGrid w:val="0"/>
              <w:jc w:val="center"/>
              <w:rPr>
                <w:rFonts w:eastAsia="仿宋_GB2312"/>
                <w:szCs w:val="21"/>
              </w:rPr>
            </w:pPr>
            <w:r>
              <w:rPr>
                <w:rFonts w:eastAsia="仿宋_GB2312"/>
                <w:szCs w:val="21"/>
              </w:rPr>
              <w:t>透光度（400nm）/%</w:t>
            </w:r>
          </w:p>
        </w:tc>
        <w:tc>
          <w:tcPr>
            <w:tcW w:w="2345" w:type="pct"/>
            <w:tcBorders>
              <w:tl2br w:val="nil"/>
              <w:tr2bl w:val="nil"/>
            </w:tcBorders>
            <w:vAlign w:val="center"/>
          </w:tcPr>
          <w:p w14:paraId="192E4C03">
            <w:pPr>
              <w:adjustRightInd w:val="0"/>
              <w:snapToGrid w:val="0"/>
              <w:jc w:val="center"/>
              <w:rPr>
                <w:rFonts w:eastAsia="仿宋_GB2312"/>
                <w:szCs w:val="21"/>
              </w:rPr>
            </w:pPr>
            <w:r>
              <w:rPr>
                <w:rFonts w:eastAsia="仿宋_GB2312"/>
                <w:szCs w:val="21"/>
              </w:rPr>
              <w:t>≥96.0</w:t>
            </w:r>
          </w:p>
        </w:tc>
      </w:tr>
      <w:tr w14:paraId="74D920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54" w:type="pct"/>
            <w:tcBorders>
              <w:tl2br w:val="nil"/>
              <w:tr2bl w:val="nil"/>
            </w:tcBorders>
            <w:noWrap/>
            <w:vAlign w:val="center"/>
          </w:tcPr>
          <w:p w14:paraId="0BCC11CA">
            <w:pPr>
              <w:adjustRightInd w:val="0"/>
              <w:snapToGrid w:val="0"/>
              <w:jc w:val="center"/>
              <w:rPr>
                <w:rFonts w:eastAsia="仿宋_GB2312"/>
                <w:szCs w:val="21"/>
              </w:rPr>
            </w:pPr>
            <w:r>
              <w:rPr>
                <w:rFonts w:eastAsia="仿宋_GB2312"/>
                <w:szCs w:val="21"/>
              </w:rPr>
              <w:t>折光率（20</w:t>
            </w:r>
            <w:r>
              <w:rPr>
                <w:rFonts w:hint="eastAsia" w:ascii="宋体" w:hAnsi="宋体" w:cs="宋体"/>
                <w:szCs w:val="21"/>
              </w:rPr>
              <w:t>℃</w:t>
            </w:r>
            <w:r>
              <w:rPr>
                <w:rFonts w:eastAsia="仿宋_GB2312"/>
                <w:szCs w:val="21"/>
              </w:rPr>
              <w:t>）</w:t>
            </w:r>
          </w:p>
        </w:tc>
        <w:tc>
          <w:tcPr>
            <w:tcW w:w="2345" w:type="pct"/>
            <w:tcBorders>
              <w:tl2br w:val="nil"/>
              <w:tr2bl w:val="nil"/>
            </w:tcBorders>
            <w:vAlign w:val="center"/>
          </w:tcPr>
          <w:p w14:paraId="2ED32257">
            <w:pPr>
              <w:adjustRightInd w:val="0"/>
              <w:snapToGrid w:val="0"/>
              <w:jc w:val="center"/>
              <w:rPr>
                <w:rFonts w:eastAsia="仿宋_GB2312"/>
                <w:szCs w:val="21"/>
              </w:rPr>
            </w:pPr>
            <w:r>
              <w:rPr>
                <w:rFonts w:eastAsia="仿宋_GB2312"/>
                <w:szCs w:val="21"/>
              </w:rPr>
              <w:t>1.4775~1.4790</w:t>
            </w:r>
          </w:p>
        </w:tc>
      </w:tr>
      <w:tr w14:paraId="60EFF0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54" w:type="pct"/>
            <w:tcBorders>
              <w:tl2br w:val="nil"/>
              <w:tr2bl w:val="nil"/>
            </w:tcBorders>
            <w:noWrap/>
            <w:vAlign w:val="center"/>
          </w:tcPr>
          <w:p w14:paraId="48C741BF">
            <w:pPr>
              <w:adjustRightInd w:val="0"/>
              <w:snapToGrid w:val="0"/>
              <w:jc w:val="center"/>
              <w:rPr>
                <w:rFonts w:eastAsia="仿宋_GB2312"/>
                <w:szCs w:val="21"/>
              </w:rPr>
            </w:pPr>
            <w:r>
              <w:rPr>
                <w:rFonts w:eastAsia="仿宋_GB2312"/>
                <w:szCs w:val="21"/>
              </w:rPr>
              <w:t>杂质的质量分数/%</w:t>
            </w:r>
          </w:p>
        </w:tc>
        <w:tc>
          <w:tcPr>
            <w:tcW w:w="2345" w:type="pct"/>
            <w:tcBorders>
              <w:tl2br w:val="nil"/>
              <w:tr2bl w:val="nil"/>
            </w:tcBorders>
            <w:vAlign w:val="center"/>
          </w:tcPr>
          <w:p w14:paraId="1F321F85">
            <w:pPr>
              <w:adjustRightInd w:val="0"/>
              <w:snapToGrid w:val="0"/>
              <w:jc w:val="center"/>
              <w:rPr>
                <w:rFonts w:eastAsia="仿宋_GB2312"/>
                <w:szCs w:val="21"/>
              </w:rPr>
            </w:pPr>
            <w:r>
              <w:rPr>
                <w:rFonts w:eastAsia="仿宋_GB2312"/>
                <w:szCs w:val="21"/>
              </w:rPr>
              <w:t>≤0.15</w:t>
            </w:r>
          </w:p>
        </w:tc>
      </w:tr>
      <w:tr w14:paraId="49521B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54" w:type="pct"/>
            <w:tcBorders>
              <w:tl2br w:val="nil"/>
              <w:tr2bl w:val="nil"/>
            </w:tcBorders>
            <w:noWrap/>
            <w:vAlign w:val="center"/>
          </w:tcPr>
          <w:p w14:paraId="6FF21CDA">
            <w:pPr>
              <w:jc w:val="center"/>
              <w:rPr>
                <w:rFonts w:eastAsia="仿宋_GB2312"/>
              </w:rPr>
            </w:pPr>
            <w:r>
              <w:rPr>
                <w:rFonts w:eastAsia="仿宋_GB2312"/>
              </w:rPr>
              <w:t>水的质量分数/%</w:t>
            </w:r>
          </w:p>
        </w:tc>
        <w:tc>
          <w:tcPr>
            <w:tcW w:w="2345" w:type="pct"/>
            <w:tcBorders>
              <w:tl2br w:val="nil"/>
              <w:tr2bl w:val="nil"/>
            </w:tcBorders>
            <w:vAlign w:val="center"/>
          </w:tcPr>
          <w:p w14:paraId="3649D3E0">
            <w:pPr>
              <w:adjustRightInd w:val="0"/>
              <w:snapToGrid w:val="0"/>
              <w:jc w:val="center"/>
              <w:rPr>
                <w:rFonts w:eastAsia="仿宋_GB2312"/>
                <w:szCs w:val="21"/>
              </w:rPr>
            </w:pPr>
            <w:r>
              <w:rPr>
                <w:rFonts w:eastAsia="仿宋_GB2312"/>
                <w:szCs w:val="21"/>
              </w:rPr>
              <w:t>≤0.10</w:t>
            </w:r>
          </w:p>
        </w:tc>
      </w:tr>
    </w:tbl>
    <w:p w14:paraId="6E018919">
      <w:pPr>
        <w:pStyle w:val="162"/>
        <w:spacing w:line="480" w:lineRule="exact"/>
        <w:ind w:firstLine="0" w:firstLineChars="0"/>
        <w:rPr>
          <w:rFonts w:ascii="Times New Roman"/>
        </w:rPr>
      </w:pPr>
      <w:r>
        <w:rPr>
          <w:rFonts w:ascii="Times New Roman"/>
        </w:rPr>
        <w:t>表3.2-2</w:t>
      </w:r>
      <w:r>
        <w:rPr>
          <w:rFonts w:hint="eastAsia" w:ascii="Times New Roman"/>
          <w:lang w:val="en-US" w:eastAsia="zh-CN"/>
        </w:rPr>
        <w:t>4</w:t>
      </w:r>
      <w:r>
        <w:rPr>
          <w:rFonts w:ascii="Times New Roman"/>
        </w:rPr>
        <w:t xml:space="preserve">  环己烷产品质量指标</w:t>
      </w:r>
    </w:p>
    <w:tbl>
      <w:tblPr>
        <w:tblStyle w:val="88"/>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544"/>
        <w:gridCol w:w="3979"/>
      </w:tblGrid>
      <w:tr w14:paraId="5C77DD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65" w:type="pct"/>
            <w:tcBorders>
              <w:tl2br w:val="nil"/>
              <w:tr2bl w:val="nil"/>
            </w:tcBorders>
            <w:noWrap/>
            <w:vAlign w:val="center"/>
          </w:tcPr>
          <w:p w14:paraId="4BF56710">
            <w:pPr>
              <w:adjustRightInd w:val="0"/>
              <w:snapToGrid w:val="0"/>
              <w:jc w:val="center"/>
              <w:rPr>
                <w:rFonts w:eastAsia="仿宋_GB2312"/>
                <w:b/>
                <w:szCs w:val="21"/>
              </w:rPr>
            </w:pPr>
            <w:r>
              <w:rPr>
                <w:rFonts w:eastAsia="仿宋_GB2312"/>
                <w:b/>
                <w:szCs w:val="21"/>
              </w:rPr>
              <w:t>项目</w:t>
            </w:r>
          </w:p>
        </w:tc>
        <w:tc>
          <w:tcPr>
            <w:tcW w:w="2334" w:type="pct"/>
            <w:tcBorders>
              <w:tl2br w:val="nil"/>
              <w:tr2bl w:val="nil"/>
            </w:tcBorders>
            <w:noWrap/>
            <w:vAlign w:val="center"/>
          </w:tcPr>
          <w:p w14:paraId="207FA8B5">
            <w:pPr>
              <w:adjustRightInd w:val="0"/>
              <w:snapToGrid w:val="0"/>
              <w:jc w:val="center"/>
              <w:rPr>
                <w:rFonts w:eastAsia="仿宋_GB2312"/>
                <w:b/>
                <w:szCs w:val="21"/>
              </w:rPr>
            </w:pPr>
            <w:r>
              <w:rPr>
                <w:rFonts w:eastAsia="仿宋_GB2312"/>
                <w:b/>
                <w:szCs w:val="21"/>
              </w:rPr>
              <w:t>指标（</w:t>
            </w:r>
            <w:r>
              <w:rPr>
                <w:rFonts w:hint="eastAsia" w:eastAsia="仿宋_GB2312"/>
                <w:b/>
                <w:szCs w:val="21"/>
                <w:lang w:val="en-US" w:eastAsia="zh-CN"/>
              </w:rPr>
              <w:t>II型</w:t>
            </w:r>
            <w:r>
              <w:rPr>
                <w:rFonts w:eastAsia="仿宋_GB2312"/>
                <w:b/>
                <w:szCs w:val="21"/>
              </w:rPr>
              <w:t>）</w:t>
            </w:r>
          </w:p>
        </w:tc>
      </w:tr>
      <w:tr w14:paraId="2A41F2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65" w:type="pct"/>
            <w:tcBorders>
              <w:tl2br w:val="nil"/>
              <w:tr2bl w:val="nil"/>
            </w:tcBorders>
            <w:noWrap/>
            <w:vAlign w:val="center"/>
          </w:tcPr>
          <w:p w14:paraId="7D8113D6">
            <w:pPr>
              <w:jc w:val="center"/>
              <w:rPr>
                <w:rFonts w:eastAsia="仿宋_GB2312"/>
                <w:szCs w:val="21"/>
              </w:rPr>
            </w:pPr>
            <w:r>
              <w:rPr>
                <w:rFonts w:eastAsia="仿宋_GB2312"/>
                <w:szCs w:val="21"/>
              </w:rPr>
              <w:t>外观</w:t>
            </w:r>
          </w:p>
        </w:tc>
        <w:tc>
          <w:tcPr>
            <w:tcW w:w="2334" w:type="pct"/>
            <w:tcBorders>
              <w:tl2br w:val="nil"/>
              <w:tr2bl w:val="nil"/>
            </w:tcBorders>
            <w:noWrap/>
            <w:vAlign w:val="center"/>
          </w:tcPr>
          <w:p w14:paraId="5BE2E397">
            <w:pPr>
              <w:jc w:val="center"/>
              <w:rPr>
                <w:rFonts w:eastAsia="仿宋_GB2312"/>
                <w:szCs w:val="21"/>
              </w:rPr>
            </w:pPr>
            <w:r>
              <w:rPr>
                <w:rFonts w:eastAsia="仿宋_GB2312"/>
                <w:szCs w:val="21"/>
              </w:rPr>
              <w:t>无沉淀、</w:t>
            </w:r>
            <w:r>
              <w:rPr>
                <w:rFonts w:hint="eastAsia" w:eastAsia="仿宋_GB2312"/>
                <w:szCs w:val="21"/>
                <w:lang w:val="en-US" w:eastAsia="zh-CN"/>
              </w:rPr>
              <w:t>无游离水、</w:t>
            </w:r>
            <w:r>
              <w:rPr>
                <w:rFonts w:eastAsia="仿宋_GB2312"/>
                <w:szCs w:val="21"/>
              </w:rPr>
              <w:t>无浑浊的液体</w:t>
            </w:r>
          </w:p>
        </w:tc>
      </w:tr>
      <w:tr w14:paraId="6393C6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65" w:type="pct"/>
            <w:tcBorders>
              <w:tl2br w:val="nil"/>
              <w:tr2bl w:val="nil"/>
            </w:tcBorders>
            <w:noWrap/>
            <w:vAlign w:val="center"/>
          </w:tcPr>
          <w:p w14:paraId="3F0489C9">
            <w:pPr>
              <w:jc w:val="center"/>
              <w:rPr>
                <w:rFonts w:eastAsia="仿宋_GB2312"/>
                <w:szCs w:val="21"/>
              </w:rPr>
            </w:pPr>
            <w:r>
              <w:rPr>
                <w:rFonts w:eastAsia="仿宋_GB2312"/>
                <w:szCs w:val="21"/>
              </w:rPr>
              <w:t>色度，Pt-Co色号</w:t>
            </w:r>
          </w:p>
        </w:tc>
        <w:tc>
          <w:tcPr>
            <w:tcW w:w="2334" w:type="pct"/>
            <w:tcBorders>
              <w:tl2br w:val="nil"/>
              <w:tr2bl w:val="nil"/>
            </w:tcBorders>
            <w:noWrap/>
            <w:vAlign w:val="center"/>
          </w:tcPr>
          <w:p w14:paraId="2C26B252">
            <w:pPr>
              <w:jc w:val="center"/>
              <w:rPr>
                <w:rFonts w:hint="default" w:eastAsia="仿宋_GB2312"/>
                <w:szCs w:val="21"/>
                <w:lang w:val="en-US" w:eastAsia="zh-CN"/>
              </w:rPr>
            </w:pPr>
            <w:r>
              <w:rPr>
                <w:rFonts w:eastAsia="仿宋_GB2312"/>
                <w:szCs w:val="21"/>
              </w:rPr>
              <w:t>≤</w:t>
            </w:r>
            <w:r>
              <w:rPr>
                <w:rFonts w:hint="eastAsia" w:eastAsia="仿宋_GB2312"/>
                <w:szCs w:val="21"/>
                <w:lang w:val="en-US" w:eastAsia="zh-CN"/>
              </w:rPr>
              <w:t>15</w:t>
            </w:r>
          </w:p>
        </w:tc>
      </w:tr>
      <w:tr w14:paraId="0F1744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65" w:type="pct"/>
            <w:tcBorders>
              <w:tl2br w:val="nil"/>
              <w:tr2bl w:val="nil"/>
            </w:tcBorders>
            <w:noWrap/>
            <w:vAlign w:val="center"/>
          </w:tcPr>
          <w:p w14:paraId="37335772">
            <w:pPr>
              <w:jc w:val="center"/>
              <w:rPr>
                <w:rFonts w:eastAsia="仿宋_GB2312"/>
                <w:szCs w:val="21"/>
              </w:rPr>
            </w:pPr>
            <w:r>
              <w:rPr>
                <w:rFonts w:eastAsia="仿宋_GB2312"/>
                <w:szCs w:val="21"/>
              </w:rPr>
              <w:t>密度（20</w:t>
            </w:r>
            <w:r>
              <w:rPr>
                <w:rFonts w:hint="eastAsia" w:ascii="宋体" w:hAnsi="宋体" w:cs="宋体"/>
                <w:szCs w:val="21"/>
              </w:rPr>
              <w:t>℃</w:t>
            </w:r>
            <w:r>
              <w:rPr>
                <w:rFonts w:eastAsia="仿宋_GB2312"/>
                <w:szCs w:val="21"/>
              </w:rPr>
              <w:t>），g/cm</w:t>
            </w:r>
            <w:r>
              <w:rPr>
                <w:rFonts w:eastAsia="仿宋_GB2312"/>
                <w:szCs w:val="21"/>
                <w:vertAlign w:val="superscript"/>
              </w:rPr>
              <w:t>3</w:t>
            </w:r>
          </w:p>
        </w:tc>
        <w:tc>
          <w:tcPr>
            <w:tcW w:w="2334" w:type="pct"/>
            <w:tcBorders>
              <w:tl2br w:val="nil"/>
              <w:tr2bl w:val="nil"/>
            </w:tcBorders>
            <w:noWrap/>
            <w:vAlign w:val="center"/>
          </w:tcPr>
          <w:p w14:paraId="47AE91AC">
            <w:pPr>
              <w:jc w:val="center"/>
              <w:rPr>
                <w:rFonts w:eastAsia="仿宋_GB2312"/>
                <w:szCs w:val="21"/>
              </w:rPr>
            </w:pPr>
            <w:r>
              <w:rPr>
                <w:rFonts w:eastAsia="仿宋_GB2312"/>
                <w:szCs w:val="21"/>
              </w:rPr>
              <w:t>0.777~0.782</w:t>
            </w:r>
          </w:p>
        </w:tc>
      </w:tr>
      <w:tr w14:paraId="70469E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65" w:type="pct"/>
            <w:tcBorders>
              <w:tl2br w:val="nil"/>
              <w:tr2bl w:val="nil"/>
            </w:tcBorders>
            <w:noWrap/>
            <w:vAlign w:val="center"/>
          </w:tcPr>
          <w:p w14:paraId="0AAB0A17">
            <w:pPr>
              <w:jc w:val="center"/>
              <w:rPr>
                <w:rFonts w:eastAsia="仿宋_GB2312"/>
                <w:szCs w:val="21"/>
              </w:rPr>
            </w:pPr>
            <w:r>
              <w:rPr>
                <w:rFonts w:eastAsia="仿宋_GB2312"/>
                <w:szCs w:val="21"/>
              </w:rPr>
              <w:t>纯度，%（m/m）</w:t>
            </w:r>
          </w:p>
        </w:tc>
        <w:tc>
          <w:tcPr>
            <w:tcW w:w="2334" w:type="pct"/>
            <w:tcBorders>
              <w:tl2br w:val="nil"/>
              <w:tr2bl w:val="nil"/>
            </w:tcBorders>
            <w:noWrap/>
            <w:vAlign w:val="center"/>
          </w:tcPr>
          <w:p w14:paraId="5EAEBAF1">
            <w:pPr>
              <w:jc w:val="center"/>
              <w:rPr>
                <w:rFonts w:eastAsia="仿宋_GB2312"/>
                <w:szCs w:val="21"/>
              </w:rPr>
            </w:pPr>
            <w:r>
              <w:rPr>
                <w:rFonts w:eastAsia="仿宋_GB2312"/>
                <w:szCs w:val="21"/>
              </w:rPr>
              <w:t>≥99.</w:t>
            </w:r>
            <w:r>
              <w:rPr>
                <w:rFonts w:hint="eastAsia" w:eastAsia="仿宋_GB2312"/>
                <w:szCs w:val="21"/>
                <w:lang w:val="en-US" w:eastAsia="zh-CN"/>
              </w:rPr>
              <w:t>6</w:t>
            </w:r>
            <w:r>
              <w:rPr>
                <w:rFonts w:eastAsia="仿宋_GB2312"/>
                <w:szCs w:val="21"/>
              </w:rPr>
              <w:t>0</w:t>
            </w:r>
          </w:p>
        </w:tc>
      </w:tr>
      <w:tr w14:paraId="287E52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65" w:type="pct"/>
            <w:tcBorders>
              <w:tl2br w:val="nil"/>
              <w:tr2bl w:val="nil"/>
            </w:tcBorders>
            <w:noWrap/>
            <w:vAlign w:val="center"/>
          </w:tcPr>
          <w:p w14:paraId="60338EEB">
            <w:pPr>
              <w:jc w:val="center"/>
              <w:rPr>
                <w:rFonts w:eastAsia="仿宋_GB2312"/>
                <w:szCs w:val="21"/>
              </w:rPr>
            </w:pPr>
            <w:r>
              <w:rPr>
                <w:rFonts w:eastAsia="仿宋_GB2312"/>
                <w:szCs w:val="21"/>
              </w:rPr>
              <w:t>苯，mg/kg</w:t>
            </w:r>
          </w:p>
        </w:tc>
        <w:tc>
          <w:tcPr>
            <w:tcW w:w="2334" w:type="pct"/>
            <w:tcBorders>
              <w:tl2br w:val="nil"/>
              <w:tr2bl w:val="nil"/>
            </w:tcBorders>
            <w:noWrap/>
            <w:vAlign w:val="center"/>
          </w:tcPr>
          <w:p w14:paraId="34FEA7F6">
            <w:pPr>
              <w:jc w:val="center"/>
              <w:rPr>
                <w:rFonts w:hint="default" w:eastAsia="仿宋_GB2312"/>
                <w:szCs w:val="21"/>
                <w:lang w:val="en-US" w:eastAsia="zh-CN"/>
              </w:rPr>
            </w:pPr>
            <w:r>
              <w:rPr>
                <w:rFonts w:eastAsia="仿宋_GB2312"/>
                <w:szCs w:val="21"/>
              </w:rPr>
              <w:t>≤</w:t>
            </w:r>
            <w:r>
              <w:rPr>
                <w:rFonts w:hint="eastAsia" w:eastAsia="仿宋_GB2312"/>
                <w:szCs w:val="21"/>
                <w:lang w:val="en-US" w:eastAsia="zh-CN"/>
              </w:rPr>
              <w:t>300</w:t>
            </w:r>
          </w:p>
        </w:tc>
      </w:tr>
      <w:tr w14:paraId="2D89F5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65" w:type="pct"/>
            <w:tcBorders>
              <w:tl2br w:val="nil"/>
              <w:tr2bl w:val="nil"/>
            </w:tcBorders>
            <w:noWrap/>
            <w:vAlign w:val="center"/>
          </w:tcPr>
          <w:p w14:paraId="1142D72F">
            <w:pPr>
              <w:jc w:val="center"/>
              <w:rPr>
                <w:rFonts w:eastAsia="仿宋_GB2312"/>
                <w:szCs w:val="21"/>
              </w:rPr>
            </w:pPr>
            <w:r>
              <w:rPr>
                <w:rFonts w:eastAsia="仿宋_GB2312"/>
                <w:szCs w:val="21"/>
              </w:rPr>
              <w:t>正己烷，mg/kg</w:t>
            </w:r>
          </w:p>
        </w:tc>
        <w:tc>
          <w:tcPr>
            <w:tcW w:w="2334" w:type="pct"/>
            <w:tcBorders>
              <w:tl2br w:val="nil"/>
              <w:tr2bl w:val="nil"/>
            </w:tcBorders>
            <w:noWrap/>
            <w:vAlign w:val="center"/>
          </w:tcPr>
          <w:p w14:paraId="4C45D1AF">
            <w:pPr>
              <w:jc w:val="center"/>
              <w:rPr>
                <w:rFonts w:eastAsia="仿宋_GB2312"/>
                <w:szCs w:val="21"/>
              </w:rPr>
            </w:pPr>
            <w:r>
              <w:rPr>
                <w:rFonts w:eastAsia="仿宋_GB2312"/>
                <w:szCs w:val="21"/>
              </w:rPr>
              <w:t>≤</w:t>
            </w:r>
            <w:r>
              <w:rPr>
                <w:rFonts w:hint="eastAsia" w:eastAsia="仿宋_GB2312"/>
                <w:szCs w:val="21"/>
                <w:lang w:val="en-US" w:eastAsia="zh-CN"/>
              </w:rPr>
              <w:t>5</w:t>
            </w:r>
            <w:r>
              <w:rPr>
                <w:rFonts w:eastAsia="仿宋_GB2312"/>
                <w:szCs w:val="21"/>
              </w:rPr>
              <w:t>00</w:t>
            </w:r>
          </w:p>
        </w:tc>
      </w:tr>
      <w:tr w14:paraId="780A50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65" w:type="pct"/>
            <w:tcBorders>
              <w:tl2br w:val="nil"/>
              <w:tr2bl w:val="nil"/>
            </w:tcBorders>
            <w:noWrap/>
            <w:vAlign w:val="center"/>
          </w:tcPr>
          <w:p w14:paraId="209B0710">
            <w:pPr>
              <w:jc w:val="center"/>
              <w:rPr>
                <w:rFonts w:eastAsia="仿宋_GB2312"/>
                <w:szCs w:val="21"/>
              </w:rPr>
            </w:pPr>
            <w:r>
              <w:rPr>
                <w:rFonts w:eastAsia="仿宋_GB2312"/>
                <w:szCs w:val="21"/>
              </w:rPr>
              <w:t>甲基环己烷，mg/kg</w:t>
            </w:r>
          </w:p>
        </w:tc>
        <w:tc>
          <w:tcPr>
            <w:tcW w:w="2334" w:type="pct"/>
            <w:tcBorders>
              <w:tl2br w:val="nil"/>
              <w:tr2bl w:val="nil"/>
            </w:tcBorders>
            <w:noWrap/>
            <w:vAlign w:val="center"/>
          </w:tcPr>
          <w:p w14:paraId="766ABE10">
            <w:pPr>
              <w:jc w:val="center"/>
              <w:rPr>
                <w:rFonts w:eastAsia="仿宋_GB2312"/>
                <w:szCs w:val="21"/>
              </w:rPr>
            </w:pPr>
            <w:r>
              <w:rPr>
                <w:rFonts w:eastAsia="仿宋_GB2312"/>
                <w:szCs w:val="21"/>
              </w:rPr>
              <w:t>≤</w:t>
            </w:r>
            <w:r>
              <w:rPr>
                <w:rFonts w:hint="eastAsia" w:eastAsia="仿宋_GB2312"/>
                <w:szCs w:val="21"/>
                <w:lang w:val="en-US" w:eastAsia="zh-CN"/>
              </w:rPr>
              <w:t>6</w:t>
            </w:r>
            <w:r>
              <w:rPr>
                <w:rFonts w:eastAsia="仿宋_GB2312"/>
                <w:szCs w:val="21"/>
              </w:rPr>
              <w:t>00</w:t>
            </w:r>
          </w:p>
        </w:tc>
      </w:tr>
      <w:tr w14:paraId="186F4F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65" w:type="pct"/>
            <w:tcBorders>
              <w:tl2br w:val="nil"/>
              <w:tr2bl w:val="nil"/>
            </w:tcBorders>
            <w:noWrap/>
            <w:vAlign w:val="center"/>
          </w:tcPr>
          <w:p w14:paraId="3EAE7784">
            <w:pPr>
              <w:jc w:val="center"/>
              <w:rPr>
                <w:rFonts w:eastAsia="仿宋_GB2312"/>
                <w:szCs w:val="21"/>
              </w:rPr>
            </w:pPr>
            <w:r>
              <w:rPr>
                <w:rFonts w:eastAsia="仿宋_GB2312"/>
                <w:szCs w:val="21"/>
              </w:rPr>
              <w:t>甲基环戊烷，mg/kg</w:t>
            </w:r>
          </w:p>
        </w:tc>
        <w:tc>
          <w:tcPr>
            <w:tcW w:w="2334" w:type="pct"/>
            <w:tcBorders>
              <w:tl2br w:val="nil"/>
              <w:tr2bl w:val="nil"/>
            </w:tcBorders>
            <w:noWrap/>
            <w:vAlign w:val="center"/>
          </w:tcPr>
          <w:p w14:paraId="462BC69D">
            <w:pPr>
              <w:jc w:val="center"/>
              <w:rPr>
                <w:rFonts w:eastAsia="仿宋_GB2312"/>
                <w:szCs w:val="21"/>
              </w:rPr>
            </w:pPr>
            <w:r>
              <w:rPr>
                <w:rFonts w:eastAsia="仿宋_GB2312"/>
                <w:szCs w:val="21"/>
              </w:rPr>
              <w:t>≤</w:t>
            </w:r>
            <w:r>
              <w:rPr>
                <w:rFonts w:hint="eastAsia" w:eastAsia="仿宋_GB2312"/>
                <w:szCs w:val="21"/>
                <w:lang w:val="en-US" w:eastAsia="zh-CN"/>
              </w:rPr>
              <w:t>6</w:t>
            </w:r>
            <w:r>
              <w:rPr>
                <w:rFonts w:eastAsia="仿宋_GB2312"/>
                <w:szCs w:val="21"/>
              </w:rPr>
              <w:t>00</w:t>
            </w:r>
          </w:p>
        </w:tc>
      </w:tr>
      <w:tr w14:paraId="486FCF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65" w:type="pct"/>
            <w:tcBorders>
              <w:tl2br w:val="nil"/>
              <w:tr2bl w:val="nil"/>
            </w:tcBorders>
            <w:noWrap/>
            <w:vAlign w:val="center"/>
          </w:tcPr>
          <w:p w14:paraId="14DAF7BE">
            <w:pPr>
              <w:jc w:val="center"/>
              <w:rPr>
                <w:rFonts w:hint="default" w:eastAsia="仿宋_GB2312"/>
                <w:szCs w:val="21"/>
                <w:lang w:val="en-US" w:eastAsia="zh-CN"/>
              </w:rPr>
            </w:pPr>
            <w:r>
              <w:rPr>
                <w:rFonts w:hint="eastAsia" w:eastAsia="仿宋_GB2312"/>
                <w:szCs w:val="21"/>
                <w:lang w:val="en-US" w:eastAsia="zh-CN"/>
              </w:rPr>
              <w:t>其他C7及C7以上烃类，</w:t>
            </w:r>
            <w:r>
              <w:rPr>
                <w:rFonts w:eastAsia="仿宋_GB2312"/>
                <w:szCs w:val="21"/>
              </w:rPr>
              <w:t>mg/kg</w:t>
            </w:r>
          </w:p>
        </w:tc>
        <w:tc>
          <w:tcPr>
            <w:tcW w:w="2334" w:type="pct"/>
            <w:tcBorders>
              <w:tl2br w:val="nil"/>
              <w:tr2bl w:val="nil"/>
            </w:tcBorders>
            <w:noWrap/>
            <w:vAlign w:val="center"/>
          </w:tcPr>
          <w:p w14:paraId="6BC72543">
            <w:pPr>
              <w:jc w:val="center"/>
              <w:rPr>
                <w:rFonts w:eastAsia="仿宋_GB2312"/>
                <w:szCs w:val="21"/>
              </w:rPr>
            </w:pPr>
            <w:r>
              <w:rPr>
                <w:rFonts w:eastAsia="仿宋_GB2312"/>
                <w:szCs w:val="21"/>
              </w:rPr>
              <w:t>≤</w:t>
            </w:r>
            <w:r>
              <w:rPr>
                <w:rFonts w:hint="eastAsia" w:eastAsia="仿宋_GB2312"/>
                <w:szCs w:val="21"/>
                <w:lang w:val="en-US" w:eastAsia="zh-CN"/>
              </w:rPr>
              <w:t>6</w:t>
            </w:r>
            <w:r>
              <w:rPr>
                <w:rFonts w:eastAsia="仿宋_GB2312"/>
                <w:szCs w:val="21"/>
              </w:rPr>
              <w:t>00</w:t>
            </w:r>
          </w:p>
        </w:tc>
      </w:tr>
      <w:tr w14:paraId="4A3AA6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65" w:type="pct"/>
            <w:tcBorders>
              <w:tl2br w:val="nil"/>
              <w:tr2bl w:val="nil"/>
            </w:tcBorders>
            <w:noWrap/>
            <w:vAlign w:val="center"/>
          </w:tcPr>
          <w:p w14:paraId="66AA4E02">
            <w:pPr>
              <w:jc w:val="center"/>
              <w:rPr>
                <w:rFonts w:hint="default" w:eastAsia="仿宋_GB2312"/>
                <w:szCs w:val="21"/>
                <w:lang w:val="en-US" w:eastAsia="zh-CN"/>
              </w:rPr>
            </w:pPr>
            <w:r>
              <w:rPr>
                <w:rFonts w:hint="eastAsia" w:eastAsia="仿宋_GB2312"/>
                <w:szCs w:val="21"/>
                <w:lang w:val="en-US" w:eastAsia="zh-CN"/>
              </w:rPr>
              <w:t>环己烯，mg/kg</w:t>
            </w:r>
          </w:p>
        </w:tc>
        <w:tc>
          <w:tcPr>
            <w:tcW w:w="2334" w:type="pct"/>
            <w:tcBorders>
              <w:tl2br w:val="nil"/>
              <w:tr2bl w:val="nil"/>
            </w:tcBorders>
            <w:noWrap/>
            <w:vAlign w:val="center"/>
          </w:tcPr>
          <w:p w14:paraId="586FD828">
            <w:pPr>
              <w:jc w:val="center"/>
              <w:rPr>
                <w:rFonts w:hint="default" w:eastAsia="仿宋_GB2312"/>
                <w:szCs w:val="21"/>
                <w:lang w:val="en-US" w:eastAsia="zh-CN"/>
              </w:rPr>
            </w:pPr>
            <w:r>
              <w:rPr>
                <w:rFonts w:eastAsia="仿宋_GB2312"/>
                <w:szCs w:val="21"/>
              </w:rPr>
              <w:t>≤</w:t>
            </w:r>
            <w:r>
              <w:rPr>
                <w:rFonts w:hint="eastAsia" w:eastAsia="仿宋_GB2312"/>
                <w:szCs w:val="21"/>
                <w:lang w:val="en-US" w:eastAsia="zh-CN"/>
              </w:rPr>
              <w:t>100</w:t>
            </w:r>
          </w:p>
        </w:tc>
      </w:tr>
      <w:tr w14:paraId="6CE038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65" w:type="pct"/>
            <w:tcBorders>
              <w:tl2br w:val="nil"/>
              <w:tr2bl w:val="nil"/>
            </w:tcBorders>
            <w:noWrap/>
            <w:vAlign w:val="center"/>
          </w:tcPr>
          <w:p w14:paraId="015157A1">
            <w:pPr>
              <w:jc w:val="center"/>
              <w:rPr>
                <w:rFonts w:eastAsia="仿宋_GB2312"/>
                <w:szCs w:val="21"/>
              </w:rPr>
            </w:pPr>
            <w:r>
              <w:rPr>
                <w:rFonts w:hint="eastAsia" w:eastAsia="仿宋_GB2312"/>
                <w:szCs w:val="21"/>
                <w:lang w:val="en-US" w:eastAsia="zh-CN"/>
              </w:rPr>
              <w:t>沸</w:t>
            </w:r>
            <w:r>
              <w:rPr>
                <w:rFonts w:eastAsia="仿宋_GB2312"/>
                <w:szCs w:val="21"/>
              </w:rPr>
              <w:t>程，</w:t>
            </w:r>
            <w:r>
              <w:rPr>
                <w:rFonts w:hint="eastAsia" w:ascii="宋体" w:hAnsi="宋体" w:cs="宋体"/>
                <w:szCs w:val="21"/>
              </w:rPr>
              <w:t>℃</w:t>
            </w:r>
            <w:r>
              <w:rPr>
                <w:rFonts w:eastAsia="仿宋_GB2312"/>
                <w:szCs w:val="21"/>
              </w:rPr>
              <w:t>（在101.3kPa下，包括80.7</w:t>
            </w:r>
            <w:r>
              <w:rPr>
                <w:rFonts w:hint="eastAsia" w:ascii="宋体" w:hAnsi="宋体" w:cs="宋体"/>
                <w:szCs w:val="21"/>
              </w:rPr>
              <w:t>℃</w:t>
            </w:r>
            <w:r>
              <w:rPr>
                <w:rFonts w:eastAsia="仿宋_GB2312"/>
                <w:szCs w:val="21"/>
              </w:rPr>
              <w:t>）</w:t>
            </w:r>
          </w:p>
        </w:tc>
        <w:tc>
          <w:tcPr>
            <w:tcW w:w="2334" w:type="pct"/>
            <w:tcBorders>
              <w:tl2br w:val="nil"/>
              <w:tr2bl w:val="nil"/>
            </w:tcBorders>
            <w:noWrap/>
            <w:vAlign w:val="center"/>
          </w:tcPr>
          <w:p w14:paraId="289B678C">
            <w:pPr>
              <w:jc w:val="center"/>
              <w:rPr>
                <w:rFonts w:hint="default" w:eastAsia="仿宋_GB2312"/>
                <w:szCs w:val="21"/>
                <w:lang w:val="en-US" w:eastAsia="zh-CN"/>
              </w:rPr>
            </w:pPr>
            <w:r>
              <w:rPr>
                <w:rFonts w:eastAsia="仿宋_GB2312"/>
                <w:szCs w:val="21"/>
              </w:rPr>
              <w:t>≤</w:t>
            </w:r>
            <w:r>
              <w:rPr>
                <w:rFonts w:hint="eastAsia" w:eastAsia="仿宋_GB2312"/>
                <w:szCs w:val="21"/>
                <w:lang w:val="en-US" w:eastAsia="zh-CN"/>
              </w:rPr>
              <w:t>1.5</w:t>
            </w:r>
          </w:p>
        </w:tc>
      </w:tr>
      <w:tr w14:paraId="6245EC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65" w:type="pct"/>
            <w:tcBorders>
              <w:tl2br w:val="nil"/>
              <w:tr2bl w:val="nil"/>
            </w:tcBorders>
            <w:noWrap/>
            <w:vAlign w:val="center"/>
          </w:tcPr>
          <w:p w14:paraId="70D92021">
            <w:pPr>
              <w:jc w:val="center"/>
              <w:rPr>
                <w:rFonts w:eastAsia="仿宋_GB2312"/>
                <w:szCs w:val="21"/>
              </w:rPr>
            </w:pPr>
            <w:r>
              <w:rPr>
                <w:rFonts w:eastAsia="仿宋_GB2312"/>
                <w:szCs w:val="21"/>
              </w:rPr>
              <w:t>硫，mg/kg</w:t>
            </w:r>
          </w:p>
        </w:tc>
        <w:tc>
          <w:tcPr>
            <w:tcW w:w="2334" w:type="pct"/>
            <w:tcBorders>
              <w:tl2br w:val="nil"/>
              <w:tr2bl w:val="nil"/>
            </w:tcBorders>
            <w:noWrap/>
            <w:vAlign w:val="center"/>
          </w:tcPr>
          <w:p w14:paraId="54B29689">
            <w:pPr>
              <w:jc w:val="center"/>
              <w:rPr>
                <w:rFonts w:hint="eastAsia" w:eastAsia="仿宋_GB2312"/>
                <w:szCs w:val="21"/>
                <w:lang w:eastAsia="zh-CN"/>
              </w:rPr>
            </w:pPr>
            <w:r>
              <w:rPr>
                <w:rFonts w:eastAsia="仿宋_GB2312"/>
                <w:szCs w:val="21"/>
              </w:rPr>
              <w:t>≤</w:t>
            </w:r>
            <w:r>
              <w:rPr>
                <w:rFonts w:hint="eastAsia" w:eastAsia="仿宋_GB2312"/>
                <w:szCs w:val="21"/>
                <w:lang w:val="en-US" w:eastAsia="zh-CN"/>
              </w:rPr>
              <w:t>2</w:t>
            </w:r>
          </w:p>
        </w:tc>
      </w:tr>
      <w:tr w14:paraId="194C7B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65" w:type="pct"/>
            <w:tcBorders>
              <w:tl2br w:val="nil"/>
              <w:tr2bl w:val="nil"/>
            </w:tcBorders>
            <w:noWrap/>
            <w:vAlign w:val="center"/>
          </w:tcPr>
          <w:p w14:paraId="2F7D5FE1">
            <w:pPr>
              <w:jc w:val="center"/>
              <w:rPr>
                <w:rFonts w:eastAsia="仿宋_GB2312"/>
                <w:szCs w:val="21"/>
              </w:rPr>
            </w:pPr>
            <w:r>
              <w:rPr>
                <w:rFonts w:eastAsia="仿宋_GB2312"/>
                <w:szCs w:val="21"/>
              </w:rPr>
              <w:t>不挥发物，mg/100mL</w:t>
            </w:r>
          </w:p>
        </w:tc>
        <w:tc>
          <w:tcPr>
            <w:tcW w:w="2334" w:type="pct"/>
            <w:tcBorders>
              <w:tl2br w:val="nil"/>
              <w:tr2bl w:val="nil"/>
            </w:tcBorders>
            <w:noWrap/>
            <w:vAlign w:val="center"/>
          </w:tcPr>
          <w:p w14:paraId="77D3F435">
            <w:pPr>
              <w:jc w:val="center"/>
              <w:rPr>
                <w:rFonts w:hint="eastAsia" w:eastAsia="仿宋_GB2312"/>
                <w:szCs w:val="21"/>
                <w:lang w:eastAsia="zh-CN"/>
              </w:rPr>
            </w:pPr>
            <w:r>
              <w:rPr>
                <w:rFonts w:eastAsia="仿宋_GB2312"/>
                <w:szCs w:val="21"/>
              </w:rPr>
              <w:t>≤</w:t>
            </w:r>
            <w:r>
              <w:rPr>
                <w:rFonts w:hint="eastAsia" w:eastAsia="仿宋_GB2312"/>
                <w:szCs w:val="21"/>
                <w:lang w:val="en-US" w:eastAsia="zh-CN"/>
              </w:rPr>
              <w:t>5</w:t>
            </w:r>
          </w:p>
        </w:tc>
      </w:tr>
    </w:tbl>
    <w:p w14:paraId="766F6AD7">
      <w:pPr>
        <w:pStyle w:val="162"/>
        <w:spacing w:line="480" w:lineRule="exact"/>
        <w:ind w:firstLine="0" w:firstLineChars="0"/>
        <w:rPr>
          <w:rFonts w:ascii="Times New Roman"/>
        </w:rPr>
      </w:pPr>
      <w:r>
        <w:rPr>
          <w:rFonts w:ascii="Times New Roman"/>
        </w:rPr>
        <w:t>表3.2-2</w:t>
      </w:r>
      <w:r>
        <w:rPr>
          <w:rFonts w:hint="eastAsia" w:ascii="Times New Roman"/>
          <w:lang w:val="en-US" w:eastAsia="zh-CN"/>
        </w:rPr>
        <w:t>5</w:t>
      </w:r>
      <w:r>
        <w:rPr>
          <w:rFonts w:ascii="Times New Roman"/>
        </w:rPr>
        <w:t xml:space="preserve">  环己酮产品质量指标</w:t>
      </w:r>
    </w:p>
    <w:tbl>
      <w:tblPr>
        <w:tblStyle w:val="88"/>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4523"/>
        <w:gridCol w:w="3997"/>
      </w:tblGrid>
      <w:tr w14:paraId="28A52D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54" w:type="pct"/>
            <w:tcBorders>
              <w:tl2br w:val="nil"/>
              <w:tr2bl w:val="nil"/>
            </w:tcBorders>
            <w:noWrap/>
            <w:vAlign w:val="center"/>
          </w:tcPr>
          <w:p w14:paraId="2B62B6B6">
            <w:pPr>
              <w:adjustRightInd w:val="0"/>
              <w:snapToGrid w:val="0"/>
              <w:jc w:val="center"/>
              <w:rPr>
                <w:rFonts w:eastAsia="仿宋_GB2312"/>
                <w:b/>
                <w:szCs w:val="21"/>
              </w:rPr>
            </w:pPr>
            <w:r>
              <w:rPr>
                <w:rFonts w:eastAsia="仿宋_GB2312"/>
                <w:b/>
                <w:szCs w:val="21"/>
              </w:rPr>
              <w:t>项目</w:t>
            </w:r>
          </w:p>
        </w:tc>
        <w:tc>
          <w:tcPr>
            <w:tcW w:w="2345" w:type="pct"/>
            <w:tcBorders>
              <w:tl2br w:val="nil"/>
              <w:tr2bl w:val="nil"/>
            </w:tcBorders>
            <w:noWrap/>
            <w:vAlign w:val="center"/>
          </w:tcPr>
          <w:p w14:paraId="050840A8">
            <w:pPr>
              <w:adjustRightInd w:val="0"/>
              <w:snapToGrid w:val="0"/>
              <w:jc w:val="center"/>
              <w:rPr>
                <w:rFonts w:eastAsia="仿宋_GB2312"/>
                <w:b/>
                <w:szCs w:val="21"/>
              </w:rPr>
            </w:pPr>
            <w:r>
              <w:rPr>
                <w:rFonts w:eastAsia="仿宋_GB2312"/>
                <w:b/>
                <w:szCs w:val="21"/>
              </w:rPr>
              <w:t>指标（合格品）</w:t>
            </w:r>
          </w:p>
        </w:tc>
      </w:tr>
      <w:tr w14:paraId="2CBAC0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54" w:type="pct"/>
            <w:tcBorders>
              <w:tl2br w:val="nil"/>
              <w:tr2bl w:val="nil"/>
            </w:tcBorders>
            <w:noWrap/>
            <w:vAlign w:val="center"/>
          </w:tcPr>
          <w:p w14:paraId="63BCF74D">
            <w:pPr>
              <w:jc w:val="center"/>
              <w:rPr>
                <w:rFonts w:eastAsia="仿宋_GB2312"/>
                <w:szCs w:val="21"/>
              </w:rPr>
            </w:pPr>
            <w:r>
              <w:rPr>
                <w:rFonts w:eastAsia="仿宋_GB2312"/>
                <w:szCs w:val="21"/>
              </w:rPr>
              <w:t>密度ρ</w:t>
            </w:r>
            <w:r>
              <w:rPr>
                <w:rFonts w:eastAsia="仿宋_GB2312"/>
                <w:szCs w:val="21"/>
                <w:vertAlign w:val="subscript"/>
              </w:rPr>
              <w:t>20</w:t>
            </w:r>
            <w:r>
              <w:rPr>
                <w:rFonts w:eastAsia="仿宋_GB2312"/>
                <w:szCs w:val="21"/>
              </w:rPr>
              <w:t>，/（g/cm</w:t>
            </w:r>
            <w:r>
              <w:rPr>
                <w:rFonts w:eastAsia="仿宋_GB2312"/>
                <w:szCs w:val="21"/>
                <w:vertAlign w:val="superscript"/>
              </w:rPr>
              <w:t>3</w:t>
            </w:r>
            <w:r>
              <w:rPr>
                <w:rFonts w:eastAsia="仿宋_GB2312"/>
                <w:szCs w:val="21"/>
              </w:rPr>
              <w:t>）</w:t>
            </w:r>
          </w:p>
        </w:tc>
        <w:tc>
          <w:tcPr>
            <w:tcW w:w="2345" w:type="pct"/>
            <w:tcBorders>
              <w:tl2br w:val="nil"/>
              <w:tr2bl w:val="nil"/>
            </w:tcBorders>
            <w:noWrap/>
            <w:vAlign w:val="center"/>
          </w:tcPr>
          <w:p w14:paraId="636820AF">
            <w:pPr>
              <w:jc w:val="center"/>
              <w:rPr>
                <w:rFonts w:eastAsia="仿宋_GB2312"/>
                <w:szCs w:val="21"/>
              </w:rPr>
            </w:pPr>
            <w:r>
              <w:rPr>
                <w:rFonts w:eastAsia="仿宋_GB2312"/>
                <w:szCs w:val="21"/>
              </w:rPr>
              <w:t>0.944~0.948</w:t>
            </w:r>
          </w:p>
        </w:tc>
      </w:tr>
      <w:tr w14:paraId="14702E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54" w:type="pct"/>
            <w:tcBorders>
              <w:tl2br w:val="nil"/>
              <w:tr2bl w:val="nil"/>
            </w:tcBorders>
            <w:noWrap/>
            <w:vAlign w:val="center"/>
          </w:tcPr>
          <w:p w14:paraId="1364A575">
            <w:pPr>
              <w:jc w:val="center"/>
              <w:rPr>
                <w:rFonts w:eastAsia="仿宋_GB2312"/>
                <w:szCs w:val="21"/>
              </w:rPr>
            </w:pPr>
            <w:r>
              <w:rPr>
                <w:rFonts w:eastAsia="仿宋_GB2312"/>
                <w:szCs w:val="21"/>
              </w:rPr>
              <w:t>在0</w:t>
            </w:r>
            <w:r>
              <w:rPr>
                <w:rFonts w:hint="eastAsia" w:ascii="宋体" w:hAnsi="宋体" w:cs="宋体"/>
                <w:szCs w:val="21"/>
              </w:rPr>
              <w:t>℃</w:t>
            </w:r>
            <w:r>
              <w:rPr>
                <w:rFonts w:eastAsia="仿宋_GB2312"/>
                <w:szCs w:val="21"/>
              </w:rPr>
              <w:t>、101.3kPa馏程范围内/</w:t>
            </w:r>
            <w:r>
              <w:rPr>
                <w:rFonts w:hint="eastAsia" w:ascii="宋体" w:hAnsi="宋体" w:cs="宋体"/>
                <w:szCs w:val="21"/>
              </w:rPr>
              <w:t>℃</w:t>
            </w:r>
          </w:p>
        </w:tc>
        <w:tc>
          <w:tcPr>
            <w:tcW w:w="2345" w:type="pct"/>
            <w:tcBorders>
              <w:tl2br w:val="nil"/>
              <w:tr2bl w:val="nil"/>
            </w:tcBorders>
            <w:noWrap/>
            <w:vAlign w:val="center"/>
          </w:tcPr>
          <w:p w14:paraId="172C2ABC">
            <w:pPr>
              <w:jc w:val="center"/>
              <w:rPr>
                <w:rFonts w:eastAsia="仿宋_GB2312"/>
                <w:szCs w:val="21"/>
              </w:rPr>
            </w:pPr>
            <w:r>
              <w:rPr>
                <w:rFonts w:eastAsia="仿宋_GB2312"/>
                <w:szCs w:val="21"/>
              </w:rPr>
              <w:t>152.0~157.0</w:t>
            </w:r>
          </w:p>
        </w:tc>
      </w:tr>
      <w:tr w14:paraId="2F84C7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54" w:type="pct"/>
            <w:tcBorders>
              <w:tl2br w:val="nil"/>
              <w:tr2bl w:val="nil"/>
            </w:tcBorders>
            <w:noWrap/>
            <w:vAlign w:val="center"/>
          </w:tcPr>
          <w:p w14:paraId="2EBDC43B">
            <w:pPr>
              <w:jc w:val="center"/>
              <w:rPr>
                <w:rFonts w:eastAsia="仿宋_GB2312"/>
                <w:szCs w:val="21"/>
              </w:rPr>
            </w:pPr>
            <w:r>
              <w:rPr>
                <w:rFonts w:eastAsia="仿宋_GB2312"/>
                <w:szCs w:val="21"/>
              </w:rPr>
              <w:t>馏出95mL时的温度间隔/</w:t>
            </w:r>
            <w:r>
              <w:rPr>
                <w:rFonts w:hint="eastAsia" w:ascii="宋体" w:hAnsi="宋体" w:cs="宋体"/>
                <w:szCs w:val="21"/>
              </w:rPr>
              <w:t>℃</w:t>
            </w:r>
          </w:p>
        </w:tc>
        <w:tc>
          <w:tcPr>
            <w:tcW w:w="2345" w:type="pct"/>
            <w:tcBorders>
              <w:tl2br w:val="nil"/>
              <w:tr2bl w:val="nil"/>
            </w:tcBorders>
            <w:noWrap/>
            <w:vAlign w:val="center"/>
          </w:tcPr>
          <w:p w14:paraId="411DCE6B">
            <w:pPr>
              <w:jc w:val="center"/>
              <w:rPr>
                <w:rFonts w:eastAsia="仿宋_GB2312"/>
                <w:szCs w:val="21"/>
              </w:rPr>
            </w:pPr>
            <w:r>
              <w:rPr>
                <w:rFonts w:eastAsia="仿宋_GB2312"/>
                <w:szCs w:val="21"/>
              </w:rPr>
              <w:t>≤5.0</w:t>
            </w:r>
          </w:p>
        </w:tc>
      </w:tr>
      <w:tr w14:paraId="471B0F4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54" w:type="pct"/>
            <w:tcBorders>
              <w:tl2br w:val="nil"/>
              <w:tr2bl w:val="nil"/>
            </w:tcBorders>
            <w:noWrap/>
            <w:vAlign w:val="center"/>
          </w:tcPr>
          <w:p w14:paraId="13E8162F">
            <w:pPr>
              <w:jc w:val="center"/>
              <w:rPr>
                <w:rFonts w:eastAsia="仿宋_GB2312"/>
                <w:szCs w:val="21"/>
              </w:rPr>
            </w:pPr>
            <w:r>
              <w:rPr>
                <w:rFonts w:eastAsia="仿宋_GB2312"/>
                <w:szCs w:val="21"/>
              </w:rPr>
              <w:t>水分的质量分数/%</w:t>
            </w:r>
          </w:p>
        </w:tc>
        <w:tc>
          <w:tcPr>
            <w:tcW w:w="2345" w:type="pct"/>
            <w:tcBorders>
              <w:tl2br w:val="nil"/>
              <w:tr2bl w:val="nil"/>
            </w:tcBorders>
            <w:noWrap/>
            <w:vAlign w:val="center"/>
          </w:tcPr>
          <w:p w14:paraId="49A7D820">
            <w:pPr>
              <w:jc w:val="center"/>
              <w:rPr>
                <w:rFonts w:eastAsia="仿宋_GB2312"/>
                <w:szCs w:val="21"/>
              </w:rPr>
            </w:pPr>
            <w:r>
              <w:rPr>
                <w:rFonts w:eastAsia="仿宋_GB2312"/>
                <w:szCs w:val="21"/>
              </w:rPr>
              <w:t>≤0.20</w:t>
            </w:r>
          </w:p>
        </w:tc>
      </w:tr>
      <w:tr w14:paraId="567790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54" w:type="pct"/>
            <w:tcBorders>
              <w:tl2br w:val="nil"/>
              <w:tr2bl w:val="nil"/>
            </w:tcBorders>
            <w:noWrap/>
            <w:vAlign w:val="center"/>
          </w:tcPr>
          <w:p w14:paraId="7426E858">
            <w:pPr>
              <w:jc w:val="center"/>
              <w:rPr>
                <w:rFonts w:eastAsia="仿宋_GB2312"/>
                <w:szCs w:val="21"/>
              </w:rPr>
            </w:pPr>
            <w:r>
              <w:rPr>
                <w:rFonts w:eastAsia="仿宋_GB2312"/>
                <w:szCs w:val="21"/>
              </w:rPr>
              <w:t>折光率n</w:t>
            </w:r>
            <w:r>
              <w:rPr>
                <w:rFonts w:eastAsia="仿宋_GB2312"/>
                <w:szCs w:val="21"/>
                <w:vertAlign w:val="subscript"/>
              </w:rPr>
              <w:t>D</w:t>
            </w:r>
            <w:r>
              <w:rPr>
                <w:rFonts w:eastAsia="仿宋_GB2312"/>
                <w:szCs w:val="21"/>
                <w:vertAlign w:val="superscript"/>
              </w:rPr>
              <w:t>20</w:t>
            </w:r>
          </w:p>
        </w:tc>
        <w:tc>
          <w:tcPr>
            <w:tcW w:w="2345" w:type="pct"/>
            <w:tcBorders>
              <w:tl2br w:val="nil"/>
              <w:tr2bl w:val="nil"/>
            </w:tcBorders>
            <w:noWrap/>
            <w:vAlign w:val="center"/>
          </w:tcPr>
          <w:p w14:paraId="13AC5CFA">
            <w:pPr>
              <w:jc w:val="center"/>
              <w:rPr>
                <w:rFonts w:eastAsia="仿宋_GB2312"/>
                <w:szCs w:val="21"/>
              </w:rPr>
            </w:pPr>
            <w:r>
              <w:rPr>
                <w:rFonts w:eastAsia="仿宋_GB2312"/>
                <w:szCs w:val="21"/>
              </w:rPr>
              <w:t>由供需双方协商确定</w:t>
            </w:r>
          </w:p>
        </w:tc>
      </w:tr>
      <w:tr w14:paraId="69EABB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54" w:type="pct"/>
            <w:tcBorders>
              <w:tl2br w:val="nil"/>
              <w:tr2bl w:val="nil"/>
            </w:tcBorders>
            <w:noWrap/>
            <w:vAlign w:val="center"/>
          </w:tcPr>
          <w:p w14:paraId="43F33D1C">
            <w:pPr>
              <w:jc w:val="center"/>
              <w:rPr>
                <w:rFonts w:eastAsia="仿宋_GB2312"/>
                <w:szCs w:val="21"/>
              </w:rPr>
            </w:pPr>
            <w:r>
              <w:rPr>
                <w:rFonts w:eastAsia="仿宋_GB2312"/>
                <w:szCs w:val="21"/>
              </w:rPr>
              <w:t>纯度的质量分数/%</w:t>
            </w:r>
          </w:p>
        </w:tc>
        <w:tc>
          <w:tcPr>
            <w:tcW w:w="2345" w:type="pct"/>
            <w:tcBorders>
              <w:tl2br w:val="nil"/>
              <w:tr2bl w:val="nil"/>
            </w:tcBorders>
            <w:noWrap/>
            <w:vAlign w:val="center"/>
          </w:tcPr>
          <w:p w14:paraId="657C3ADA">
            <w:pPr>
              <w:jc w:val="center"/>
              <w:rPr>
                <w:rFonts w:eastAsia="仿宋_GB2312"/>
                <w:szCs w:val="21"/>
              </w:rPr>
            </w:pPr>
            <w:r>
              <w:rPr>
                <w:rFonts w:eastAsia="仿宋_GB2312"/>
                <w:szCs w:val="21"/>
              </w:rPr>
              <w:t>≥99.0</w:t>
            </w:r>
          </w:p>
        </w:tc>
      </w:tr>
    </w:tbl>
    <w:p w14:paraId="6D2EA6B3">
      <w:pPr>
        <w:pStyle w:val="162"/>
        <w:spacing w:line="480" w:lineRule="exact"/>
        <w:ind w:firstLine="0" w:firstLineChars="0"/>
        <w:rPr>
          <w:rFonts w:ascii="Times New Roman"/>
        </w:rPr>
      </w:pPr>
      <w:r>
        <w:rPr>
          <w:rFonts w:ascii="Times New Roman"/>
        </w:rPr>
        <w:t>表3.2-2</w:t>
      </w:r>
      <w:r>
        <w:rPr>
          <w:rFonts w:hint="eastAsia" w:ascii="Times New Roman"/>
          <w:lang w:val="en-US" w:eastAsia="zh-CN"/>
        </w:rPr>
        <w:t>6</w:t>
      </w:r>
      <w:r>
        <w:rPr>
          <w:rFonts w:ascii="Times New Roman"/>
        </w:rPr>
        <w:t xml:space="preserve">  环戊酮产品质量指标</w:t>
      </w:r>
    </w:p>
    <w:tbl>
      <w:tblPr>
        <w:tblStyle w:val="88"/>
        <w:tblW w:w="852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515"/>
        <w:gridCol w:w="4013"/>
      </w:tblGrid>
      <w:tr w14:paraId="627F5F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15" w:type="dxa"/>
            <w:tcBorders>
              <w:tl2br w:val="nil"/>
              <w:tr2bl w:val="nil"/>
            </w:tcBorders>
            <w:noWrap/>
            <w:vAlign w:val="center"/>
          </w:tcPr>
          <w:p w14:paraId="31BE0C7A">
            <w:pPr>
              <w:adjustRightInd w:val="0"/>
              <w:snapToGrid w:val="0"/>
              <w:jc w:val="center"/>
              <w:rPr>
                <w:rFonts w:eastAsia="仿宋_GB2312"/>
                <w:b/>
                <w:szCs w:val="21"/>
              </w:rPr>
            </w:pPr>
            <w:r>
              <w:rPr>
                <w:rFonts w:eastAsia="仿宋_GB2312"/>
                <w:b/>
                <w:szCs w:val="21"/>
              </w:rPr>
              <w:t>项目</w:t>
            </w:r>
          </w:p>
        </w:tc>
        <w:tc>
          <w:tcPr>
            <w:tcW w:w="4013" w:type="dxa"/>
            <w:tcBorders>
              <w:tl2br w:val="nil"/>
              <w:tr2bl w:val="nil"/>
            </w:tcBorders>
            <w:noWrap/>
            <w:vAlign w:val="center"/>
          </w:tcPr>
          <w:p w14:paraId="62F16A14">
            <w:pPr>
              <w:adjustRightInd w:val="0"/>
              <w:snapToGrid w:val="0"/>
              <w:jc w:val="center"/>
              <w:rPr>
                <w:rFonts w:eastAsia="仿宋_GB2312"/>
                <w:b/>
                <w:szCs w:val="21"/>
              </w:rPr>
            </w:pPr>
            <w:r>
              <w:rPr>
                <w:rFonts w:eastAsia="仿宋_GB2312"/>
                <w:b/>
                <w:szCs w:val="21"/>
              </w:rPr>
              <w:t>指标</w:t>
            </w:r>
          </w:p>
        </w:tc>
      </w:tr>
      <w:tr w14:paraId="527D56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15" w:type="dxa"/>
            <w:tcBorders>
              <w:tl2br w:val="nil"/>
              <w:tr2bl w:val="nil"/>
            </w:tcBorders>
            <w:noWrap/>
            <w:vAlign w:val="center"/>
          </w:tcPr>
          <w:p w14:paraId="4B75055E">
            <w:pPr>
              <w:adjustRightInd w:val="0"/>
              <w:snapToGrid w:val="0"/>
              <w:jc w:val="center"/>
              <w:rPr>
                <w:rFonts w:eastAsia="仿宋_GB2312"/>
                <w:szCs w:val="21"/>
              </w:rPr>
            </w:pPr>
            <w:r>
              <w:rPr>
                <w:rFonts w:eastAsia="仿宋_GB2312"/>
                <w:szCs w:val="21"/>
              </w:rPr>
              <w:t>环戊酮，ω/%</w:t>
            </w:r>
          </w:p>
        </w:tc>
        <w:tc>
          <w:tcPr>
            <w:tcW w:w="4013" w:type="dxa"/>
            <w:tcBorders>
              <w:tl2br w:val="nil"/>
              <w:tr2bl w:val="nil"/>
            </w:tcBorders>
            <w:noWrap/>
            <w:vAlign w:val="center"/>
          </w:tcPr>
          <w:p w14:paraId="635BC40F">
            <w:pPr>
              <w:jc w:val="center"/>
              <w:rPr>
                <w:rFonts w:eastAsia="仿宋_GB2312"/>
                <w:szCs w:val="21"/>
              </w:rPr>
            </w:pPr>
            <w:r>
              <w:rPr>
                <w:rFonts w:eastAsia="仿宋_GB2312"/>
                <w:szCs w:val="21"/>
              </w:rPr>
              <w:t>≥99.0</w:t>
            </w:r>
          </w:p>
        </w:tc>
      </w:tr>
      <w:tr w14:paraId="0EC526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15" w:type="dxa"/>
            <w:tcBorders>
              <w:tl2br w:val="nil"/>
              <w:tr2bl w:val="nil"/>
            </w:tcBorders>
            <w:noWrap/>
            <w:vAlign w:val="center"/>
          </w:tcPr>
          <w:p w14:paraId="2D63D209">
            <w:pPr>
              <w:adjustRightInd w:val="0"/>
              <w:snapToGrid w:val="0"/>
              <w:jc w:val="center"/>
              <w:rPr>
                <w:rFonts w:eastAsia="仿宋_GB2312"/>
                <w:szCs w:val="21"/>
              </w:rPr>
            </w:pPr>
            <w:r>
              <w:rPr>
                <w:rFonts w:eastAsia="仿宋_GB2312"/>
                <w:szCs w:val="21"/>
              </w:rPr>
              <w:t>水，ω/%</w:t>
            </w:r>
          </w:p>
        </w:tc>
        <w:tc>
          <w:tcPr>
            <w:tcW w:w="4013" w:type="dxa"/>
            <w:tcBorders>
              <w:tl2br w:val="nil"/>
              <w:tr2bl w:val="nil"/>
            </w:tcBorders>
            <w:noWrap/>
            <w:vAlign w:val="center"/>
          </w:tcPr>
          <w:p w14:paraId="697D80DA">
            <w:pPr>
              <w:adjustRightInd w:val="0"/>
              <w:snapToGrid w:val="0"/>
              <w:jc w:val="center"/>
              <w:rPr>
                <w:rFonts w:eastAsia="仿宋_GB2312"/>
                <w:szCs w:val="21"/>
              </w:rPr>
            </w:pPr>
            <w:r>
              <w:rPr>
                <w:rFonts w:eastAsia="仿宋_GB2312"/>
                <w:szCs w:val="21"/>
              </w:rPr>
              <w:t>≤0.5</w:t>
            </w:r>
          </w:p>
        </w:tc>
      </w:tr>
      <w:tr w14:paraId="5A07C7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15" w:type="dxa"/>
            <w:tcBorders>
              <w:tl2br w:val="nil"/>
              <w:tr2bl w:val="nil"/>
            </w:tcBorders>
            <w:noWrap/>
            <w:vAlign w:val="center"/>
          </w:tcPr>
          <w:p w14:paraId="3C5E2264">
            <w:pPr>
              <w:adjustRightInd w:val="0"/>
              <w:snapToGrid w:val="0"/>
              <w:jc w:val="center"/>
              <w:rPr>
                <w:rFonts w:eastAsia="仿宋_GB2312"/>
                <w:szCs w:val="21"/>
              </w:rPr>
            </w:pPr>
            <w:r>
              <w:rPr>
                <w:rFonts w:eastAsia="仿宋_GB2312"/>
                <w:szCs w:val="21"/>
              </w:rPr>
              <w:t>单一最大杂质，ω/%</w:t>
            </w:r>
          </w:p>
        </w:tc>
        <w:tc>
          <w:tcPr>
            <w:tcW w:w="4013" w:type="dxa"/>
            <w:tcBorders>
              <w:tl2br w:val="nil"/>
              <w:tr2bl w:val="nil"/>
            </w:tcBorders>
            <w:noWrap/>
            <w:vAlign w:val="center"/>
          </w:tcPr>
          <w:p w14:paraId="025A374A">
            <w:pPr>
              <w:adjustRightInd w:val="0"/>
              <w:snapToGrid w:val="0"/>
              <w:jc w:val="center"/>
              <w:rPr>
                <w:rFonts w:eastAsia="仿宋_GB2312"/>
                <w:szCs w:val="21"/>
              </w:rPr>
            </w:pPr>
            <w:r>
              <w:rPr>
                <w:rFonts w:eastAsia="仿宋_GB2312"/>
                <w:szCs w:val="21"/>
              </w:rPr>
              <w:t>≤0.5</w:t>
            </w:r>
          </w:p>
        </w:tc>
      </w:tr>
      <w:tr w14:paraId="7159534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15" w:type="dxa"/>
            <w:tcBorders>
              <w:tl2br w:val="nil"/>
              <w:tr2bl w:val="nil"/>
            </w:tcBorders>
            <w:noWrap/>
            <w:vAlign w:val="center"/>
          </w:tcPr>
          <w:p w14:paraId="776A693F">
            <w:pPr>
              <w:jc w:val="center"/>
              <w:rPr>
                <w:rFonts w:eastAsia="仿宋_GB2312"/>
                <w:szCs w:val="21"/>
              </w:rPr>
            </w:pPr>
            <w:r>
              <w:rPr>
                <w:rFonts w:eastAsia="仿宋_GB2312"/>
                <w:szCs w:val="21"/>
              </w:rPr>
              <w:t>色度/Hazen单位（Pt-Co色号）</w:t>
            </w:r>
          </w:p>
        </w:tc>
        <w:tc>
          <w:tcPr>
            <w:tcW w:w="4013" w:type="dxa"/>
            <w:tcBorders>
              <w:tl2br w:val="nil"/>
              <w:tr2bl w:val="nil"/>
            </w:tcBorders>
            <w:noWrap/>
            <w:vAlign w:val="center"/>
          </w:tcPr>
          <w:p w14:paraId="48549EB5">
            <w:pPr>
              <w:jc w:val="center"/>
              <w:rPr>
                <w:rFonts w:eastAsia="仿宋_GB2312"/>
                <w:szCs w:val="21"/>
              </w:rPr>
            </w:pPr>
            <w:r>
              <w:rPr>
                <w:rFonts w:eastAsia="仿宋_GB2312"/>
                <w:szCs w:val="21"/>
              </w:rPr>
              <w:t>≤10</w:t>
            </w:r>
          </w:p>
        </w:tc>
      </w:tr>
      <w:tr w14:paraId="2D0538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15" w:type="dxa"/>
            <w:tcBorders>
              <w:tl2br w:val="nil"/>
              <w:tr2bl w:val="nil"/>
            </w:tcBorders>
            <w:noWrap/>
            <w:vAlign w:val="center"/>
          </w:tcPr>
          <w:p w14:paraId="0ADDB11B">
            <w:pPr>
              <w:adjustRightInd w:val="0"/>
              <w:snapToGrid w:val="0"/>
              <w:jc w:val="center"/>
              <w:rPr>
                <w:rFonts w:eastAsia="仿宋_GB2312"/>
                <w:szCs w:val="21"/>
              </w:rPr>
            </w:pPr>
            <w:r>
              <w:rPr>
                <w:rFonts w:eastAsia="仿宋_GB2312"/>
                <w:szCs w:val="21"/>
              </w:rPr>
              <w:t>酸值（以KOH计）/（mg/g）</w:t>
            </w:r>
          </w:p>
        </w:tc>
        <w:tc>
          <w:tcPr>
            <w:tcW w:w="4013" w:type="dxa"/>
            <w:tcBorders>
              <w:tl2br w:val="nil"/>
              <w:tr2bl w:val="nil"/>
            </w:tcBorders>
            <w:noWrap/>
            <w:vAlign w:val="center"/>
          </w:tcPr>
          <w:p w14:paraId="75DFFD4C">
            <w:pPr>
              <w:adjustRightInd w:val="0"/>
              <w:snapToGrid w:val="0"/>
              <w:jc w:val="center"/>
              <w:rPr>
                <w:rFonts w:eastAsia="仿宋_GB2312"/>
                <w:szCs w:val="21"/>
              </w:rPr>
            </w:pPr>
            <w:r>
              <w:rPr>
                <w:rFonts w:eastAsia="仿宋_GB2312"/>
                <w:szCs w:val="21"/>
              </w:rPr>
              <w:t>≤0.5</w:t>
            </w:r>
          </w:p>
        </w:tc>
      </w:tr>
      <w:tr w14:paraId="35B447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15" w:type="dxa"/>
            <w:tcBorders>
              <w:tl2br w:val="nil"/>
              <w:tr2bl w:val="nil"/>
            </w:tcBorders>
            <w:noWrap/>
            <w:vAlign w:val="center"/>
          </w:tcPr>
          <w:p w14:paraId="3C445D35">
            <w:pPr>
              <w:adjustRightInd w:val="0"/>
              <w:snapToGrid w:val="0"/>
              <w:jc w:val="center"/>
              <w:rPr>
                <w:rFonts w:eastAsia="仿宋_GB2312"/>
                <w:szCs w:val="21"/>
              </w:rPr>
            </w:pPr>
            <w:r>
              <w:rPr>
                <w:rFonts w:eastAsia="仿宋_GB2312"/>
                <w:szCs w:val="21"/>
              </w:rPr>
              <w:t>金属元素总量</w:t>
            </w:r>
            <w:r>
              <w:rPr>
                <w:rFonts w:eastAsia="仿宋_GB2312"/>
                <w:szCs w:val="21"/>
                <w:vertAlign w:val="superscript"/>
              </w:rPr>
              <w:t>a</w:t>
            </w:r>
            <w:r>
              <w:rPr>
                <w:rFonts w:eastAsia="仿宋_GB2312"/>
                <w:szCs w:val="21"/>
              </w:rPr>
              <w:t>ω/（mg/kg）</w:t>
            </w:r>
          </w:p>
        </w:tc>
        <w:tc>
          <w:tcPr>
            <w:tcW w:w="4013" w:type="dxa"/>
            <w:tcBorders>
              <w:tl2br w:val="nil"/>
              <w:tr2bl w:val="nil"/>
            </w:tcBorders>
            <w:noWrap/>
            <w:vAlign w:val="center"/>
          </w:tcPr>
          <w:p w14:paraId="25B89837">
            <w:pPr>
              <w:adjustRightInd w:val="0"/>
              <w:snapToGrid w:val="0"/>
              <w:jc w:val="center"/>
              <w:rPr>
                <w:rFonts w:eastAsia="仿宋_GB2312"/>
                <w:szCs w:val="21"/>
              </w:rPr>
            </w:pPr>
            <w:r>
              <w:rPr>
                <w:rFonts w:eastAsia="仿宋_GB2312"/>
                <w:szCs w:val="21"/>
              </w:rPr>
              <w:t>≤5</w:t>
            </w:r>
          </w:p>
        </w:tc>
      </w:tr>
      <w:tr w14:paraId="2BA81B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528" w:type="dxa"/>
            <w:gridSpan w:val="2"/>
            <w:tcBorders>
              <w:tl2br w:val="nil"/>
              <w:tr2bl w:val="nil"/>
            </w:tcBorders>
            <w:noWrap/>
            <w:vAlign w:val="center"/>
          </w:tcPr>
          <w:p w14:paraId="601F4BB4">
            <w:pPr>
              <w:jc w:val="center"/>
              <w:rPr>
                <w:rFonts w:eastAsia="仿宋_GB2312"/>
                <w:szCs w:val="21"/>
              </w:rPr>
            </w:pPr>
            <w:r>
              <w:rPr>
                <w:rFonts w:eastAsia="仿宋_GB2312"/>
                <w:szCs w:val="21"/>
                <w:vertAlign w:val="superscript"/>
              </w:rPr>
              <w:t>a</w:t>
            </w:r>
            <w:r>
              <w:rPr>
                <w:rFonts w:eastAsia="仿宋_GB2312"/>
                <w:szCs w:val="21"/>
              </w:rPr>
              <w:t>金属元素总量主要指砷（As）、镉（Cd）、铅（Pb）、汞（Hg）、铬（Cr）5种元素的总量，其他金属元素可由供需双方共同协商。</w:t>
            </w:r>
          </w:p>
        </w:tc>
      </w:tr>
    </w:tbl>
    <w:p w14:paraId="6B292396">
      <w:pPr>
        <w:pStyle w:val="162"/>
        <w:spacing w:line="480" w:lineRule="exact"/>
        <w:ind w:firstLine="0" w:firstLineChars="0"/>
        <w:rPr>
          <w:rFonts w:ascii="Times New Roman"/>
        </w:rPr>
      </w:pPr>
      <w:r>
        <w:rPr>
          <w:rFonts w:ascii="Times New Roman"/>
        </w:rPr>
        <w:t>表3.2-</w:t>
      </w:r>
      <w:r>
        <w:rPr>
          <w:rFonts w:hint="eastAsia" w:ascii="Times New Roman"/>
        </w:rPr>
        <w:t>2</w:t>
      </w:r>
      <w:r>
        <w:rPr>
          <w:rFonts w:hint="eastAsia" w:ascii="Times New Roman"/>
          <w:lang w:val="en-US" w:eastAsia="zh-CN"/>
        </w:rPr>
        <w:t>7</w:t>
      </w:r>
      <w:r>
        <w:rPr>
          <w:rFonts w:ascii="Times New Roman"/>
        </w:rPr>
        <w:t xml:space="preserve">  乙酸甲酯产品质量指标</w:t>
      </w:r>
    </w:p>
    <w:tbl>
      <w:tblPr>
        <w:tblStyle w:val="88"/>
        <w:tblW w:w="852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512"/>
        <w:gridCol w:w="4016"/>
      </w:tblGrid>
      <w:tr w14:paraId="6C28C2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12" w:type="dxa"/>
            <w:tcBorders>
              <w:tl2br w:val="nil"/>
              <w:tr2bl w:val="nil"/>
            </w:tcBorders>
            <w:noWrap/>
            <w:vAlign w:val="center"/>
          </w:tcPr>
          <w:p w14:paraId="24470F14">
            <w:pPr>
              <w:adjustRightInd w:val="0"/>
              <w:snapToGrid w:val="0"/>
              <w:jc w:val="center"/>
              <w:rPr>
                <w:rFonts w:eastAsia="仿宋_GB2312"/>
                <w:b/>
                <w:szCs w:val="21"/>
              </w:rPr>
            </w:pPr>
            <w:r>
              <w:rPr>
                <w:rFonts w:eastAsia="仿宋_GB2312"/>
                <w:b/>
                <w:szCs w:val="21"/>
              </w:rPr>
              <w:t>项目</w:t>
            </w:r>
          </w:p>
        </w:tc>
        <w:tc>
          <w:tcPr>
            <w:tcW w:w="4016" w:type="dxa"/>
            <w:tcBorders>
              <w:tl2br w:val="nil"/>
              <w:tr2bl w:val="nil"/>
            </w:tcBorders>
            <w:noWrap/>
            <w:vAlign w:val="center"/>
          </w:tcPr>
          <w:p w14:paraId="551A4729">
            <w:pPr>
              <w:adjustRightInd w:val="0"/>
              <w:snapToGrid w:val="0"/>
              <w:jc w:val="center"/>
              <w:rPr>
                <w:rFonts w:eastAsia="仿宋_GB2312"/>
                <w:b/>
                <w:szCs w:val="21"/>
              </w:rPr>
            </w:pPr>
            <w:r>
              <w:rPr>
                <w:rFonts w:eastAsia="仿宋_GB2312"/>
                <w:b/>
                <w:szCs w:val="21"/>
              </w:rPr>
              <w:t>指标（</w:t>
            </w:r>
            <w:r>
              <w:rPr>
                <w:rFonts w:hint="eastAsia" w:ascii="宋体" w:hAnsi="宋体" w:cs="宋体"/>
                <w:b/>
                <w:szCs w:val="21"/>
              </w:rPr>
              <w:t>Ⅱ</w:t>
            </w:r>
            <w:r>
              <w:rPr>
                <w:rFonts w:eastAsia="仿宋_GB2312"/>
                <w:b/>
                <w:szCs w:val="21"/>
              </w:rPr>
              <w:t>型，合格品）</w:t>
            </w:r>
          </w:p>
        </w:tc>
      </w:tr>
      <w:tr w14:paraId="12D6A7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12" w:type="dxa"/>
            <w:tcBorders>
              <w:tl2br w:val="nil"/>
              <w:tr2bl w:val="nil"/>
            </w:tcBorders>
            <w:noWrap/>
            <w:vAlign w:val="center"/>
          </w:tcPr>
          <w:p w14:paraId="72A7F049">
            <w:pPr>
              <w:adjustRightInd w:val="0"/>
              <w:snapToGrid w:val="0"/>
              <w:jc w:val="center"/>
              <w:rPr>
                <w:rFonts w:eastAsia="仿宋_GB2312"/>
                <w:szCs w:val="21"/>
              </w:rPr>
            </w:pPr>
            <w:r>
              <w:rPr>
                <w:rFonts w:eastAsia="仿宋_GB2312"/>
                <w:szCs w:val="21"/>
              </w:rPr>
              <w:t>色度/Hazen单位（Pt-Co色号）</w:t>
            </w:r>
          </w:p>
        </w:tc>
        <w:tc>
          <w:tcPr>
            <w:tcW w:w="4016" w:type="dxa"/>
            <w:tcBorders>
              <w:tl2br w:val="nil"/>
              <w:tr2bl w:val="nil"/>
            </w:tcBorders>
            <w:noWrap/>
            <w:vAlign w:val="center"/>
          </w:tcPr>
          <w:p w14:paraId="2FBA22D2">
            <w:pPr>
              <w:adjustRightInd w:val="0"/>
              <w:snapToGrid w:val="0"/>
              <w:jc w:val="center"/>
              <w:rPr>
                <w:rFonts w:eastAsia="仿宋_GB2312"/>
                <w:szCs w:val="21"/>
              </w:rPr>
            </w:pPr>
            <w:r>
              <w:rPr>
                <w:rFonts w:eastAsia="仿宋_GB2312"/>
                <w:szCs w:val="21"/>
              </w:rPr>
              <w:t>≤15</w:t>
            </w:r>
          </w:p>
        </w:tc>
      </w:tr>
      <w:tr w14:paraId="02F753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12" w:type="dxa"/>
            <w:tcBorders>
              <w:tl2br w:val="nil"/>
              <w:tr2bl w:val="nil"/>
            </w:tcBorders>
            <w:noWrap/>
            <w:vAlign w:val="center"/>
          </w:tcPr>
          <w:p w14:paraId="4FDE47F0">
            <w:pPr>
              <w:adjustRightInd w:val="0"/>
              <w:snapToGrid w:val="0"/>
              <w:jc w:val="center"/>
              <w:rPr>
                <w:rFonts w:eastAsia="仿宋_GB2312"/>
                <w:szCs w:val="21"/>
              </w:rPr>
            </w:pPr>
            <w:r>
              <w:rPr>
                <w:rFonts w:eastAsia="仿宋_GB2312"/>
                <w:szCs w:val="21"/>
              </w:rPr>
              <w:t>乙酸甲酯，ω/%</w:t>
            </w:r>
          </w:p>
        </w:tc>
        <w:tc>
          <w:tcPr>
            <w:tcW w:w="4016" w:type="dxa"/>
            <w:tcBorders>
              <w:tl2br w:val="nil"/>
              <w:tr2bl w:val="nil"/>
            </w:tcBorders>
            <w:noWrap/>
            <w:vAlign w:val="center"/>
          </w:tcPr>
          <w:p w14:paraId="1D7A96C9">
            <w:pPr>
              <w:adjustRightInd w:val="0"/>
              <w:snapToGrid w:val="0"/>
              <w:jc w:val="center"/>
              <w:rPr>
                <w:rFonts w:eastAsia="仿宋_GB2312"/>
                <w:szCs w:val="21"/>
              </w:rPr>
            </w:pPr>
            <w:r>
              <w:rPr>
                <w:rFonts w:eastAsia="仿宋_GB2312"/>
                <w:szCs w:val="21"/>
              </w:rPr>
              <w:t>≥76.0</w:t>
            </w:r>
          </w:p>
        </w:tc>
      </w:tr>
      <w:tr w14:paraId="6299B4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12" w:type="dxa"/>
            <w:tcBorders>
              <w:tl2br w:val="nil"/>
              <w:tr2bl w:val="nil"/>
            </w:tcBorders>
            <w:noWrap/>
            <w:vAlign w:val="center"/>
          </w:tcPr>
          <w:p w14:paraId="65424506">
            <w:pPr>
              <w:adjustRightInd w:val="0"/>
              <w:snapToGrid w:val="0"/>
              <w:jc w:val="center"/>
              <w:rPr>
                <w:rFonts w:eastAsia="仿宋_GB2312"/>
                <w:szCs w:val="21"/>
              </w:rPr>
            </w:pPr>
            <w:r>
              <w:rPr>
                <w:rFonts w:eastAsia="仿宋_GB2312"/>
                <w:szCs w:val="21"/>
              </w:rPr>
              <w:t>水分，ω/%</w:t>
            </w:r>
          </w:p>
        </w:tc>
        <w:tc>
          <w:tcPr>
            <w:tcW w:w="4016" w:type="dxa"/>
            <w:tcBorders>
              <w:tl2br w:val="nil"/>
              <w:tr2bl w:val="nil"/>
            </w:tcBorders>
            <w:noWrap/>
            <w:vAlign w:val="center"/>
          </w:tcPr>
          <w:p w14:paraId="3A5ED18C">
            <w:pPr>
              <w:adjustRightInd w:val="0"/>
              <w:snapToGrid w:val="0"/>
              <w:jc w:val="center"/>
              <w:rPr>
                <w:rFonts w:eastAsia="仿宋_GB2312"/>
                <w:szCs w:val="21"/>
              </w:rPr>
            </w:pPr>
            <w:r>
              <w:rPr>
                <w:rFonts w:eastAsia="仿宋_GB2312"/>
                <w:szCs w:val="21"/>
              </w:rPr>
              <w:t>≤0.05</w:t>
            </w:r>
          </w:p>
        </w:tc>
      </w:tr>
      <w:tr w14:paraId="2BE0089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12" w:type="dxa"/>
            <w:tcBorders>
              <w:tl2br w:val="nil"/>
              <w:tr2bl w:val="nil"/>
            </w:tcBorders>
            <w:noWrap/>
            <w:vAlign w:val="center"/>
          </w:tcPr>
          <w:p w14:paraId="3DB1B855">
            <w:pPr>
              <w:adjustRightInd w:val="0"/>
              <w:snapToGrid w:val="0"/>
              <w:jc w:val="center"/>
              <w:rPr>
                <w:rFonts w:eastAsia="仿宋_GB2312"/>
                <w:szCs w:val="21"/>
              </w:rPr>
            </w:pPr>
            <w:r>
              <w:rPr>
                <w:rFonts w:eastAsia="仿宋_GB2312"/>
                <w:szCs w:val="21"/>
              </w:rPr>
              <w:t>酸（以CH</w:t>
            </w:r>
            <w:r>
              <w:rPr>
                <w:rFonts w:eastAsia="仿宋_GB2312"/>
                <w:szCs w:val="21"/>
                <w:vertAlign w:val="subscript"/>
              </w:rPr>
              <w:t>3</w:t>
            </w:r>
            <w:r>
              <w:rPr>
                <w:rFonts w:eastAsia="仿宋_GB2312"/>
                <w:szCs w:val="21"/>
              </w:rPr>
              <w:t>COOH计），ω/%</w:t>
            </w:r>
          </w:p>
        </w:tc>
        <w:tc>
          <w:tcPr>
            <w:tcW w:w="4016" w:type="dxa"/>
            <w:tcBorders>
              <w:tl2br w:val="nil"/>
              <w:tr2bl w:val="nil"/>
            </w:tcBorders>
            <w:noWrap/>
            <w:vAlign w:val="center"/>
          </w:tcPr>
          <w:p w14:paraId="65F9668C">
            <w:pPr>
              <w:adjustRightInd w:val="0"/>
              <w:snapToGrid w:val="0"/>
              <w:jc w:val="center"/>
              <w:rPr>
                <w:rFonts w:eastAsia="仿宋_GB2312"/>
                <w:szCs w:val="21"/>
              </w:rPr>
            </w:pPr>
            <w:r>
              <w:rPr>
                <w:rFonts w:eastAsia="仿宋_GB2312"/>
                <w:szCs w:val="21"/>
              </w:rPr>
              <w:t>≤0.005</w:t>
            </w:r>
          </w:p>
        </w:tc>
      </w:tr>
      <w:tr w14:paraId="5D0807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12" w:type="dxa"/>
            <w:tcBorders>
              <w:tl2br w:val="nil"/>
              <w:tr2bl w:val="nil"/>
            </w:tcBorders>
            <w:noWrap/>
            <w:vAlign w:val="center"/>
          </w:tcPr>
          <w:p w14:paraId="4CB73D43">
            <w:pPr>
              <w:adjustRightInd w:val="0"/>
              <w:snapToGrid w:val="0"/>
              <w:jc w:val="center"/>
              <w:rPr>
                <w:rFonts w:eastAsia="仿宋_GB2312"/>
                <w:szCs w:val="21"/>
              </w:rPr>
            </w:pPr>
            <w:r>
              <w:rPr>
                <w:rFonts w:eastAsia="仿宋_GB2312"/>
                <w:szCs w:val="21"/>
              </w:rPr>
              <w:t>甲醇，ω/%</w:t>
            </w:r>
          </w:p>
        </w:tc>
        <w:tc>
          <w:tcPr>
            <w:tcW w:w="4016" w:type="dxa"/>
            <w:tcBorders>
              <w:tl2br w:val="nil"/>
              <w:tr2bl w:val="nil"/>
            </w:tcBorders>
            <w:noWrap/>
            <w:vAlign w:val="center"/>
          </w:tcPr>
          <w:p w14:paraId="2CB5FF18">
            <w:pPr>
              <w:adjustRightInd w:val="0"/>
              <w:snapToGrid w:val="0"/>
              <w:jc w:val="center"/>
              <w:rPr>
                <w:rFonts w:eastAsia="仿宋_GB2312"/>
                <w:szCs w:val="21"/>
              </w:rPr>
            </w:pPr>
            <w:r>
              <w:rPr>
                <w:rFonts w:eastAsia="仿宋_GB2312"/>
                <w:szCs w:val="21"/>
              </w:rPr>
              <w:t>≤24.0</w:t>
            </w:r>
          </w:p>
        </w:tc>
      </w:tr>
    </w:tbl>
    <w:p w14:paraId="181C188D">
      <w:pPr>
        <w:pStyle w:val="162"/>
        <w:spacing w:line="480" w:lineRule="exact"/>
        <w:ind w:firstLine="0" w:firstLineChars="0"/>
        <w:rPr>
          <w:rFonts w:ascii="Times New Roman"/>
        </w:rPr>
      </w:pPr>
      <w:r>
        <w:rPr>
          <w:rFonts w:ascii="Times New Roman"/>
        </w:rPr>
        <w:t>表3.2-</w:t>
      </w:r>
      <w:r>
        <w:rPr>
          <w:rFonts w:hint="eastAsia" w:ascii="Times New Roman"/>
        </w:rPr>
        <w:t>2</w:t>
      </w:r>
      <w:r>
        <w:rPr>
          <w:rFonts w:hint="eastAsia" w:ascii="Times New Roman"/>
          <w:lang w:val="en-US" w:eastAsia="zh-CN"/>
        </w:rPr>
        <w:t>8</w:t>
      </w:r>
      <w:r>
        <w:rPr>
          <w:rFonts w:ascii="Times New Roman"/>
        </w:rPr>
        <w:t xml:space="preserve">  异丙醇产品质量指标</w:t>
      </w:r>
    </w:p>
    <w:tbl>
      <w:tblPr>
        <w:tblStyle w:val="88"/>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4584"/>
        <w:gridCol w:w="3939"/>
      </w:tblGrid>
      <w:tr w14:paraId="6BBECE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60" w:type="pct"/>
            <w:tcBorders>
              <w:tl2br w:val="nil"/>
              <w:tr2bl w:val="nil"/>
            </w:tcBorders>
            <w:noWrap/>
            <w:vAlign w:val="center"/>
          </w:tcPr>
          <w:p w14:paraId="08E68762">
            <w:pPr>
              <w:adjustRightInd w:val="0"/>
              <w:snapToGrid w:val="0"/>
              <w:jc w:val="center"/>
              <w:rPr>
                <w:rFonts w:eastAsia="仿宋_GB2312"/>
                <w:b/>
                <w:szCs w:val="21"/>
              </w:rPr>
            </w:pPr>
            <w:r>
              <w:rPr>
                <w:rFonts w:eastAsia="仿宋_GB2312"/>
                <w:b/>
                <w:szCs w:val="21"/>
              </w:rPr>
              <w:t>项目</w:t>
            </w:r>
          </w:p>
        </w:tc>
        <w:tc>
          <w:tcPr>
            <w:tcW w:w="2339" w:type="pct"/>
            <w:tcBorders>
              <w:tl2br w:val="nil"/>
              <w:tr2bl w:val="nil"/>
            </w:tcBorders>
            <w:noWrap/>
            <w:vAlign w:val="center"/>
          </w:tcPr>
          <w:p w14:paraId="0EE469E2">
            <w:pPr>
              <w:adjustRightInd w:val="0"/>
              <w:snapToGrid w:val="0"/>
              <w:jc w:val="center"/>
              <w:rPr>
                <w:rFonts w:eastAsia="仿宋_GB2312"/>
                <w:b/>
                <w:szCs w:val="21"/>
              </w:rPr>
            </w:pPr>
            <w:r>
              <w:rPr>
                <w:rFonts w:eastAsia="仿宋_GB2312"/>
                <w:b/>
                <w:szCs w:val="21"/>
              </w:rPr>
              <w:t>指标（</w:t>
            </w:r>
            <w:r>
              <w:rPr>
                <w:rFonts w:hint="eastAsia" w:ascii="宋体" w:hAnsi="宋体" w:cs="宋体"/>
                <w:b/>
                <w:szCs w:val="21"/>
              </w:rPr>
              <w:t>Ⅱ</w:t>
            </w:r>
            <w:r>
              <w:rPr>
                <w:rFonts w:eastAsia="仿宋_GB2312"/>
                <w:b/>
                <w:szCs w:val="21"/>
              </w:rPr>
              <w:t>型，合格品）</w:t>
            </w:r>
          </w:p>
        </w:tc>
      </w:tr>
      <w:tr w14:paraId="6A6FFC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60" w:type="pct"/>
            <w:tcBorders>
              <w:tl2br w:val="nil"/>
              <w:tr2bl w:val="nil"/>
            </w:tcBorders>
            <w:noWrap/>
            <w:vAlign w:val="center"/>
          </w:tcPr>
          <w:p w14:paraId="11F894B4">
            <w:pPr>
              <w:adjustRightInd w:val="0"/>
              <w:snapToGrid w:val="0"/>
              <w:jc w:val="center"/>
              <w:rPr>
                <w:rFonts w:eastAsia="仿宋_GB2312"/>
                <w:szCs w:val="21"/>
              </w:rPr>
            </w:pPr>
            <w:r>
              <w:rPr>
                <w:rFonts w:eastAsia="仿宋_GB2312"/>
                <w:szCs w:val="21"/>
              </w:rPr>
              <w:t>外观及气味</w:t>
            </w:r>
          </w:p>
        </w:tc>
        <w:tc>
          <w:tcPr>
            <w:tcW w:w="2339" w:type="pct"/>
            <w:tcBorders>
              <w:tl2br w:val="nil"/>
              <w:tr2bl w:val="nil"/>
            </w:tcBorders>
            <w:noWrap/>
            <w:vAlign w:val="center"/>
          </w:tcPr>
          <w:p w14:paraId="086D76B7">
            <w:pPr>
              <w:adjustRightInd w:val="0"/>
              <w:snapToGrid w:val="0"/>
              <w:jc w:val="center"/>
              <w:rPr>
                <w:rFonts w:eastAsia="仿宋_GB2312"/>
                <w:szCs w:val="21"/>
              </w:rPr>
            </w:pPr>
            <w:r>
              <w:rPr>
                <w:rFonts w:eastAsia="仿宋_GB2312"/>
                <w:szCs w:val="21"/>
              </w:rPr>
              <w:t>透明液体，无机械杂质及悬浮物，无异味</w:t>
            </w:r>
          </w:p>
        </w:tc>
      </w:tr>
      <w:tr w14:paraId="69D864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60" w:type="pct"/>
            <w:tcBorders>
              <w:tl2br w:val="nil"/>
              <w:tr2bl w:val="nil"/>
            </w:tcBorders>
            <w:noWrap/>
            <w:vAlign w:val="center"/>
          </w:tcPr>
          <w:p w14:paraId="652C54A6">
            <w:pPr>
              <w:adjustRightInd w:val="0"/>
              <w:snapToGrid w:val="0"/>
              <w:jc w:val="center"/>
              <w:rPr>
                <w:rFonts w:eastAsia="仿宋_GB2312"/>
                <w:szCs w:val="21"/>
              </w:rPr>
            </w:pPr>
            <w:r>
              <w:rPr>
                <w:rFonts w:eastAsia="仿宋_GB2312"/>
                <w:szCs w:val="21"/>
              </w:rPr>
              <w:t>异丙醇含量（质量分数）/%</w:t>
            </w:r>
          </w:p>
        </w:tc>
        <w:tc>
          <w:tcPr>
            <w:tcW w:w="2339" w:type="pct"/>
            <w:tcBorders>
              <w:tl2br w:val="nil"/>
              <w:tr2bl w:val="nil"/>
            </w:tcBorders>
            <w:noWrap/>
            <w:vAlign w:val="center"/>
          </w:tcPr>
          <w:p w14:paraId="70B84FC0">
            <w:pPr>
              <w:adjustRightInd w:val="0"/>
              <w:snapToGrid w:val="0"/>
              <w:jc w:val="center"/>
              <w:rPr>
                <w:rFonts w:eastAsia="仿宋_GB2312"/>
                <w:szCs w:val="21"/>
              </w:rPr>
            </w:pPr>
            <w:r>
              <w:rPr>
                <w:rFonts w:eastAsia="仿宋_GB2312"/>
                <w:szCs w:val="21"/>
              </w:rPr>
              <w:t>≥99.7</w:t>
            </w:r>
          </w:p>
        </w:tc>
      </w:tr>
      <w:tr w14:paraId="1ACC0B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60" w:type="pct"/>
            <w:tcBorders>
              <w:tl2br w:val="nil"/>
              <w:tr2bl w:val="nil"/>
            </w:tcBorders>
            <w:noWrap/>
            <w:vAlign w:val="center"/>
          </w:tcPr>
          <w:p w14:paraId="2D9CDD4F">
            <w:pPr>
              <w:adjustRightInd w:val="0"/>
              <w:snapToGrid w:val="0"/>
              <w:jc w:val="center"/>
              <w:rPr>
                <w:rFonts w:eastAsia="仿宋_GB2312"/>
                <w:szCs w:val="21"/>
              </w:rPr>
            </w:pPr>
            <w:r>
              <w:rPr>
                <w:rFonts w:eastAsia="仿宋_GB2312"/>
                <w:szCs w:val="21"/>
              </w:rPr>
              <w:t>色度/Hazen单位（Pt-Co色号）</w:t>
            </w:r>
          </w:p>
        </w:tc>
        <w:tc>
          <w:tcPr>
            <w:tcW w:w="2339" w:type="pct"/>
            <w:tcBorders>
              <w:tl2br w:val="nil"/>
              <w:tr2bl w:val="nil"/>
            </w:tcBorders>
            <w:noWrap/>
            <w:vAlign w:val="center"/>
          </w:tcPr>
          <w:p w14:paraId="75E2D9D7">
            <w:pPr>
              <w:adjustRightInd w:val="0"/>
              <w:snapToGrid w:val="0"/>
              <w:jc w:val="center"/>
              <w:rPr>
                <w:rFonts w:eastAsia="仿宋_GB2312"/>
                <w:szCs w:val="21"/>
              </w:rPr>
            </w:pPr>
            <w:r>
              <w:rPr>
                <w:rFonts w:eastAsia="仿宋_GB2312"/>
                <w:szCs w:val="21"/>
              </w:rPr>
              <w:t>≤10</w:t>
            </w:r>
          </w:p>
        </w:tc>
      </w:tr>
      <w:tr w14:paraId="11CB1B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60" w:type="pct"/>
            <w:tcBorders>
              <w:tl2br w:val="nil"/>
              <w:tr2bl w:val="nil"/>
            </w:tcBorders>
            <w:noWrap/>
            <w:vAlign w:val="center"/>
          </w:tcPr>
          <w:p w14:paraId="20E2648D">
            <w:pPr>
              <w:adjustRightInd w:val="0"/>
              <w:snapToGrid w:val="0"/>
              <w:jc w:val="center"/>
              <w:rPr>
                <w:rFonts w:eastAsia="仿宋_GB2312"/>
                <w:szCs w:val="21"/>
              </w:rPr>
            </w:pPr>
            <w:r>
              <w:rPr>
                <w:rFonts w:eastAsia="仿宋_GB2312"/>
                <w:szCs w:val="21"/>
              </w:rPr>
              <w:t>水混溶性试验</w:t>
            </w:r>
          </w:p>
        </w:tc>
        <w:tc>
          <w:tcPr>
            <w:tcW w:w="2339" w:type="pct"/>
            <w:tcBorders>
              <w:tl2br w:val="nil"/>
              <w:tr2bl w:val="nil"/>
            </w:tcBorders>
            <w:noWrap/>
            <w:vAlign w:val="center"/>
          </w:tcPr>
          <w:p w14:paraId="28384566">
            <w:pPr>
              <w:adjustRightInd w:val="0"/>
              <w:snapToGrid w:val="0"/>
              <w:jc w:val="center"/>
              <w:rPr>
                <w:rFonts w:eastAsia="仿宋_GB2312"/>
                <w:szCs w:val="21"/>
              </w:rPr>
            </w:pPr>
            <w:r>
              <w:rPr>
                <w:rFonts w:eastAsia="仿宋_GB2312"/>
                <w:szCs w:val="21"/>
              </w:rPr>
              <w:t>通过试验</w:t>
            </w:r>
          </w:p>
        </w:tc>
      </w:tr>
      <w:tr w14:paraId="310FC4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60" w:type="pct"/>
            <w:tcBorders>
              <w:tl2br w:val="nil"/>
              <w:tr2bl w:val="nil"/>
            </w:tcBorders>
            <w:noWrap/>
            <w:vAlign w:val="center"/>
          </w:tcPr>
          <w:p w14:paraId="37DE148B">
            <w:pPr>
              <w:adjustRightInd w:val="0"/>
              <w:snapToGrid w:val="0"/>
              <w:jc w:val="center"/>
              <w:rPr>
                <w:rFonts w:eastAsia="仿宋_GB2312"/>
                <w:szCs w:val="21"/>
              </w:rPr>
            </w:pPr>
            <w:r>
              <w:rPr>
                <w:rFonts w:eastAsia="仿宋_GB2312"/>
                <w:szCs w:val="21"/>
              </w:rPr>
              <w:t>水分（质量分数）/%</w:t>
            </w:r>
          </w:p>
        </w:tc>
        <w:tc>
          <w:tcPr>
            <w:tcW w:w="2339" w:type="pct"/>
            <w:tcBorders>
              <w:tl2br w:val="nil"/>
              <w:tr2bl w:val="nil"/>
            </w:tcBorders>
            <w:noWrap/>
            <w:vAlign w:val="center"/>
          </w:tcPr>
          <w:p w14:paraId="5DC6DCC1">
            <w:pPr>
              <w:adjustRightInd w:val="0"/>
              <w:snapToGrid w:val="0"/>
              <w:jc w:val="center"/>
              <w:rPr>
                <w:rFonts w:eastAsia="仿宋_GB2312"/>
                <w:szCs w:val="21"/>
              </w:rPr>
            </w:pPr>
            <w:r>
              <w:rPr>
                <w:rFonts w:eastAsia="仿宋_GB2312"/>
                <w:szCs w:val="21"/>
              </w:rPr>
              <w:t>≤0.20</w:t>
            </w:r>
          </w:p>
        </w:tc>
      </w:tr>
      <w:tr w14:paraId="4C0E76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60" w:type="pct"/>
            <w:tcBorders>
              <w:tl2br w:val="nil"/>
              <w:tr2bl w:val="nil"/>
            </w:tcBorders>
            <w:noWrap/>
            <w:vAlign w:val="center"/>
          </w:tcPr>
          <w:p w14:paraId="44E52FE3">
            <w:pPr>
              <w:adjustRightInd w:val="0"/>
              <w:snapToGrid w:val="0"/>
              <w:jc w:val="center"/>
              <w:rPr>
                <w:rFonts w:eastAsia="仿宋_GB2312"/>
                <w:szCs w:val="21"/>
              </w:rPr>
            </w:pPr>
            <w:r>
              <w:rPr>
                <w:rFonts w:eastAsia="仿宋_GB2312"/>
                <w:szCs w:val="21"/>
              </w:rPr>
              <w:t>酸（以乙酸计）含量（质量分数）/%</w:t>
            </w:r>
          </w:p>
        </w:tc>
        <w:tc>
          <w:tcPr>
            <w:tcW w:w="2339" w:type="pct"/>
            <w:tcBorders>
              <w:tl2br w:val="nil"/>
              <w:tr2bl w:val="nil"/>
            </w:tcBorders>
            <w:noWrap/>
            <w:vAlign w:val="center"/>
          </w:tcPr>
          <w:p w14:paraId="276AECE3">
            <w:pPr>
              <w:adjustRightInd w:val="0"/>
              <w:snapToGrid w:val="0"/>
              <w:jc w:val="center"/>
              <w:rPr>
                <w:rFonts w:eastAsia="仿宋_GB2312"/>
                <w:szCs w:val="21"/>
              </w:rPr>
            </w:pPr>
            <w:r>
              <w:rPr>
                <w:rFonts w:eastAsia="仿宋_GB2312"/>
                <w:szCs w:val="21"/>
              </w:rPr>
              <w:t>≤0.002</w:t>
            </w:r>
          </w:p>
        </w:tc>
      </w:tr>
      <w:tr w14:paraId="6F680E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60" w:type="pct"/>
            <w:tcBorders>
              <w:tl2br w:val="nil"/>
              <w:tr2bl w:val="nil"/>
            </w:tcBorders>
            <w:noWrap/>
            <w:vAlign w:val="center"/>
          </w:tcPr>
          <w:p w14:paraId="61EA3191">
            <w:pPr>
              <w:adjustRightInd w:val="0"/>
              <w:snapToGrid w:val="0"/>
              <w:jc w:val="center"/>
              <w:rPr>
                <w:rFonts w:eastAsia="仿宋_GB2312"/>
                <w:szCs w:val="21"/>
              </w:rPr>
            </w:pPr>
            <w:r>
              <w:rPr>
                <w:rFonts w:eastAsia="仿宋_GB2312"/>
                <w:szCs w:val="21"/>
              </w:rPr>
              <w:t>蒸发残渣，ω/%</w:t>
            </w:r>
          </w:p>
        </w:tc>
        <w:tc>
          <w:tcPr>
            <w:tcW w:w="2339" w:type="pct"/>
            <w:tcBorders>
              <w:tl2br w:val="nil"/>
              <w:tr2bl w:val="nil"/>
            </w:tcBorders>
            <w:noWrap/>
            <w:vAlign w:val="center"/>
          </w:tcPr>
          <w:p w14:paraId="707C6628">
            <w:pPr>
              <w:adjustRightInd w:val="0"/>
              <w:snapToGrid w:val="0"/>
              <w:jc w:val="center"/>
              <w:rPr>
                <w:rFonts w:eastAsia="仿宋_GB2312"/>
                <w:szCs w:val="21"/>
              </w:rPr>
            </w:pPr>
            <w:r>
              <w:rPr>
                <w:rFonts w:eastAsia="仿宋_GB2312"/>
                <w:szCs w:val="21"/>
              </w:rPr>
              <w:t>≤0.002</w:t>
            </w:r>
          </w:p>
        </w:tc>
      </w:tr>
      <w:tr w14:paraId="6E9310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60" w:type="pct"/>
            <w:tcBorders>
              <w:tl2br w:val="nil"/>
              <w:tr2bl w:val="nil"/>
            </w:tcBorders>
            <w:noWrap/>
            <w:vAlign w:val="center"/>
          </w:tcPr>
          <w:p w14:paraId="060536BD">
            <w:pPr>
              <w:adjustRightInd w:val="0"/>
              <w:snapToGrid w:val="0"/>
              <w:jc w:val="center"/>
              <w:rPr>
                <w:rFonts w:eastAsia="仿宋_GB2312"/>
                <w:szCs w:val="21"/>
              </w:rPr>
            </w:pPr>
            <w:r>
              <w:rPr>
                <w:rFonts w:eastAsia="仿宋_GB2312"/>
                <w:szCs w:val="21"/>
              </w:rPr>
              <w:t>羟基化合物（以丙酮计））含量（质量分数）/%</w:t>
            </w:r>
          </w:p>
        </w:tc>
        <w:tc>
          <w:tcPr>
            <w:tcW w:w="2339" w:type="pct"/>
            <w:tcBorders>
              <w:tl2br w:val="nil"/>
              <w:tr2bl w:val="nil"/>
            </w:tcBorders>
            <w:noWrap/>
            <w:vAlign w:val="center"/>
          </w:tcPr>
          <w:p w14:paraId="1111AFD4">
            <w:pPr>
              <w:adjustRightInd w:val="0"/>
              <w:snapToGrid w:val="0"/>
              <w:jc w:val="center"/>
              <w:rPr>
                <w:rFonts w:eastAsia="仿宋_GB2312"/>
                <w:szCs w:val="21"/>
              </w:rPr>
            </w:pPr>
            <w:r>
              <w:rPr>
                <w:rFonts w:eastAsia="仿宋_GB2312"/>
                <w:szCs w:val="21"/>
              </w:rPr>
              <w:t>≤0.02</w:t>
            </w:r>
          </w:p>
        </w:tc>
      </w:tr>
      <w:tr w14:paraId="10AB81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60" w:type="pct"/>
            <w:tcBorders>
              <w:tl2br w:val="nil"/>
              <w:tr2bl w:val="nil"/>
            </w:tcBorders>
            <w:noWrap/>
            <w:vAlign w:val="center"/>
          </w:tcPr>
          <w:p w14:paraId="1AE1CA4D">
            <w:pPr>
              <w:adjustRightInd w:val="0"/>
              <w:snapToGrid w:val="0"/>
              <w:jc w:val="center"/>
              <w:rPr>
                <w:rFonts w:eastAsia="仿宋_GB2312"/>
                <w:szCs w:val="21"/>
              </w:rPr>
            </w:pPr>
            <w:r>
              <w:rPr>
                <w:rFonts w:eastAsia="仿宋_GB2312"/>
                <w:szCs w:val="21"/>
              </w:rPr>
              <w:t>硫化物含量（以S计）/（mg/kg）</w:t>
            </w:r>
          </w:p>
        </w:tc>
        <w:tc>
          <w:tcPr>
            <w:tcW w:w="2339" w:type="pct"/>
            <w:tcBorders>
              <w:tl2br w:val="nil"/>
              <w:tr2bl w:val="nil"/>
            </w:tcBorders>
            <w:noWrap/>
            <w:vAlign w:val="center"/>
          </w:tcPr>
          <w:p w14:paraId="631AA7FD">
            <w:pPr>
              <w:adjustRightInd w:val="0"/>
              <w:snapToGrid w:val="0"/>
              <w:jc w:val="center"/>
              <w:rPr>
                <w:rFonts w:eastAsia="仿宋_GB2312"/>
                <w:szCs w:val="21"/>
              </w:rPr>
            </w:pPr>
            <w:r>
              <w:rPr>
                <w:rFonts w:eastAsia="仿宋_GB2312"/>
                <w:szCs w:val="21"/>
              </w:rPr>
              <w:t>≤2</w:t>
            </w:r>
          </w:p>
        </w:tc>
      </w:tr>
    </w:tbl>
    <w:p w14:paraId="5A08E7F6">
      <w:pPr>
        <w:pStyle w:val="162"/>
        <w:spacing w:line="480" w:lineRule="exact"/>
        <w:ind w:firstLine="0" w:firstLineChars="0"/>
        <w:rPr>
          <w:rFonts w:ascii="Times New Roman"/>
        </w:rPr>
      </w:pPr>
      <w:r>
        <w:rPr>
          <w:rFonts w:ascii="Times New Roman"/>
        </w:rPr>
        <w:t>表3.2-</w:t>
      </w:r>
      <w:r>
        <w:rPr>
          <w:rFonts w:hint="eastAsia" w:ascii="Times New Roman"/>
          <w:lang w:val="en-US" w:eastAsia="zh-CN"/>
        </w:rPr>
        <w:t>29</w:t>
      </w:r>
      <w:r>
        <w:rPr>
          <w:rFonts w:ascii="Times New Roman"/>
        </w:rPr>
        <w:t xml:space="preserve">  丁醇产品质量指标</w:t>
      </w:r>
    </w:p>
    <w:tbl>
      <w:tblPr>
        <w:tblStyle w:val="88"/>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4588"/>
        <w:gridCol w:w="3932"/>
      </w:tblGrid>
      <w:tr w14:paraId="44F69C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92" w:type="pct"/>
            <w:tcBorders>
              <w:tl2br w:val="nil"/>
              <w:tr2bl w:val="nil"/>
            </w:tcBorders>
            <w:noWrap/>
            <w:vAlign w:val="center"/>
          </w:tcPr>
          <w:p w14:paraId="22B7A8A7">
            <w:pPr>
              <w:adjustRightInd w:val="0"/>
              <w:snapToGrid w:val="0"/>
              <w:jc w:val="center"/>
              <w:rPr>
                <w:rFonts w:eastAsia="仿宋_GB2312"/>
                <w:b/>
                <w:szCs w:val="21"/>
              </w:rPr>
            </w:pPr>
            <w:r>
              <w:rPr>
                <w:rFonts w:eastAsia="仿宋_GB2312"/>
                <w:b/>
                <w:szCs w:val="21"/>
              </w:rPr>
              <w:t>项目</w:t>
            </w:r>
          </w:p>
        </w:tc>
        <w:tc>
          <w:tcPr>
            <w:tcW w:w="2307" w:type="pct"/>
            <w:tcBorders>
              <w:tl2br w:val="nil"/>
              <w:tr2bl w:val="nil"/>
            </w:tcBorders>
            <w:vAlign w:val="center"/>
          </w:tcPr>
          <w:p w14:paraId="7ACDD1CD">
            <w:pPr>
              <w:adjustRightInd w:val="0"/>
              <w:snapToGrid w:val="0"/>
              <w:jc w:val="center"/>
              <w:rPr>
                <w:rFonts w:eastAsia="仿宋_GB2312"/>
                <w:b/>
                <w:szCs w:val="21"/>
              </w:rPr>
            </w:pPr>
            <w:r>
              <w:rPr>
                <w:rFonts w:eastAsia="仿宋_GB2312"/>
                <w:b/>
                <w:szCs w:val="21"/>
              </w:rPr>
              <w:t>指标（</w:t>
            </w:r>
            <w:r>
              <w:rPr>
                <w:rFonts w:hint="eastAsia" w:eastAsia="仿宋_GB2312"/>
                <w:b/>
                <w:szCs w:val="21"/>
                <w:lang w:val="en-US" w:eastAsia="zh-CN"/>
              </w:rPr>
              <w:t>II型</w:t>
            </w:r>
            <w:r>
              <w:rPr>
                <w:rFonts w:eastAsia="仿宋_GB2312"/>
                <w:b/>
                <w:szCs w:val="21"/>
              </w:rPr>
              <w:t>）</w:t>
            </w:r>
          </w:p>
        </w:tc>
      </w:tr>
      <w:tr w14:paraId="5222EF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92" w:type="pct"/>
            <w:tcBorders>
              <w:tl2br w:val="nil"/>
              <w:tr2bl w:val="nil"/>
            </w:tcBorders>
            <w:noWrap/>
            <w:vAlign w:val="center"/>
          </w:tcPr>
          <w:p w14:paraId="43CEC026">
            <w:pPr>
              <w:jc w:val="center"/>
              <w:rPr>
                <w:rFonts w:eastAsia="仿宋_GB2312"/>
                <w:szCs w:val="21"/>
              </w:rPr>
            </w:pPr>
            <w:r>
              <w:rPr>
                <w:rFonts w:eastAsia="仿宋_GB2312"/>
                <w:szCs w:val="21"/>
              </w:rPr>
              <w:t>色度，Hazen单位（铂-钴色号）</w:t>
            </w:r>
          </w:p>
        </w:tc>
        <w:tc>
          <w:tcPr>
            <w:tcW w:w="2307" w:type="pct"/>
            <w:tcBorders>
              <w:tl2br w:val="nil"/>
              <w:tr2bl w:val="nil"/>
            </w:tcBorders>
            <w:vAlign w:val="center"/>
          </w:tcPr>
          <w:p w14:paraId="6DAE4892">
            <w:pPr>
              <w:jc w:val="center"/>
              <w:rPr>
                <w:rFonts w:eastAsia="仿宋_GB2312"/>
                <w:szCs w:val="21"/>
              </w:rPr>
            </w:pPr>
            <w:r>
              <w:rPr>
                <w:rFonts w:eastAsia="仿宋_GB2312"/>
                <w:szCs w:val="21"/>
              </w:rPr>
              <w:t>≤15</w:t>
            </w:r>
          </w:p>
        </w:tc>
      </w:tr>
      <w:tr w14:paraId="69B35F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92" w:type="pct"/>
            <w:tcBorders>
              <w:tl2br w:val="nil"/>
              <w:tr2bl w:val="nil"/>
            </w:tcBorders>
            <w:noWrap/>
            <w:vAlign w:val="center"/>
          </w:tcPr>
          <w:p w14:paraId="215ACCFC">
            <w:pPr>
              <w:jc w:val="center"/>
              <w:rPr>
                <w:rFonts w:eastAsia="仿宋_GB2312"/>
                <w:szCs w:val="21"/>
              </w:rPr>
            </w:pPr>
            <w:r>
              <w:rPr>
                <w:rFonts w:eastAsia="仿宋_GB2312"/>
                <w:szCs w:val="21"/>
              </w:rPr>
              <w:t>密度（ρ</w:t>
            </w:r>
            <w:r>
              <w:rPr>
                <w:rFonts w:eastAsia="仿宋_GB2312"/>
                <w:szCs w:val="21"/>
                <w:vertAlign w:val="subscript"/>
              </w:rPr>
              <w:t>20</w:t>
            </w:r>
            <w:r>
              <w:rPr>
                <w:rFonts w:eastAsia="仿宋_GB2312"/>
                <w:szCs w:val="21"/>
              </w:rPr>
              <w:t>），g /cm</w:t>
            </w:r>
            <w:r>
              <w:rPr>
                <w:rFonts w:eastAsia="仿宋_GB2312"/>
                <w:szCs w:val="21"/>
                <w:vertAlign w:val="superscript"/>
              </w:rPr>
              <w:t>3</w:t>
            </w:r>
          </w:p>
        </w:tc>
        <w:tc>
          <w:tcPr>
            <w:tcW w:w="2307" w:type="pct"/>
            <w:tcBorders>
              <w:tl2br w:val="nil"/>
              <w:tr2bl w:val="nil"/>
            </w:tcBorders>
            <w:vAlign w:val="center"/>
          </w:tcPr>
          <w:p w14:paraId="3376A562">
            <w:pPr>
              <w:jc w:val="center"/>
              <w:rPr>
                <w:rFonts w:eastAsia="仿宋_GB2312"/>
                <w:szCs w:val="21"/>
              </w:rPr>
            </w:pPr>
            <w:r>
              <w:rPr>
                <w:rFonts w:eastAsia="仿宋_GB2312"/>
                <w:szCs w:val="21"/>
              </w:rPr>
              <w:t>0.808~0.812</w:t>
            </w:r>
          </w:p>
        </w:tc>
      </w:tr>
      <w:tr w14:paraId="4219DB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92" w:type="pct"/>
            <w:tcBorders>
              <w:tl2br w:val="nil"/>
              <w:tr2bl w:val="nil"/>
            </w:tcBorders>
            <w:shd w:val="clear" w:color="auto" w:fill="auto"/>
            <w:noWrap/>
            <w:vAlign w:val="center"/>
          </w:tcPr>
          <w:p w14:paraId="5E1B501A">
            <w:pPr>
              <w:jc w:val="center"/>
              <w:rPr>
                <w:rFonts w:ascii="Times New Roman" w:hAnsi="Times New Roman" w:eastAsia="仿宋_GB2312" w:cs="Times New Roman"/>
                <w:kern w:val="2"/>
                <w:sz w:val="21"/>
                <w:szCs w:val="21"/>
                <w:lang w:val="en-US" w:eastAsia="zh-CN" w:bidi="ar-SA"/>
              </w:rPr>
            </w:pPr>
            <w:r>
              <w:rPr>
                <w:rFonts w:eastAsia="仿宋_GB2312"/>
                <w:szCs w:val="21"/>
              </w:rPr>
              <w:t>正丁醇含量，%</w:t>
            </w:r>
          </w:p>
        </w:tc>
        <w:tc>
          <w:tcPr>
            <w:tcW w:w="2307" w:type="pct"/>
            <w:tcBorders>
              <w:tl2br w:val="nil"/>
              <w:tr2bl w:val="nil"/>
            </w:tcBorders>
            <w:shd w:val="clear" w:color="auto" w:fill="auto"/>
            <w:vAlign w:val="center"/>
          </w:tcPr>
          <w:p w14:paraId="504C9214">
            <w:pPr>
              <w:jc w:val="center"/>
              <w:rPr>
                <w:rFonts w:hint="eastAsia" w:ascii="Times New Roman" w:hAnsi="Times New Roman" w:eastAsia="仿宋_GB2312" w:cs="Times New Roman"/>
                <w:kern w:val="2"/>
                <w:sz w:val="21"/>
                <w:szCs w:val="21"/>
                <w:lang w:val="en-US" w:eastAsia="zh-CN" w:bidi="ar-SA"/>
              </w:rPr>
            </w:pPr>
            <w:r>
              <w:rPr>
                <w:rFonts w:eastAsia="仿宋_GB2312"/>
                <w:szCs w:val="21"/>
              </w:rPr>
              <w:t>≥98.</w:t>
            </w:r>
            <w:r>
              <w:rPr>
                <w:rFonts w:hint="eastAsia" w:eastAsia="仿宋_GB2312"/>
                <w:szCs w:val="21"/>
                <w:lang w:val="en-US" w:eastAsia="zh-CN"/>
              </w:rPr>
              <w:t>5</w:t>
            </w:r>
          </w:p>
        </w:tc>
      </w:tr>
      <w:tr w14:paraId="3CD2A2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92" w:type="pct"/>
            <w:tcBorders>
              <w:tl2br w:val="nil"/>
              <w:tr2bl w:val="nil"/>
            </w:tcBorders>
            <w:noWrap/>
            <w:vAlign w:val="center"/>
          </w:tcPr>
          <w:p w14:paraId="6B1ECBE5">
            <w:pPr>
              <w:jc w:val="center"/>
              <w:rPr>
                <w:rFonts w:hint="default" w:eastAsia="仿宋_GB2312"/>
                <w:szCs w:val="21"/>
                <w:lang w:val="en-US" w:eastAsia="zh-CN"/>
              </w:rPr>
            </w:pPr>
            <w:r>
              <w:rPr>
                <w:rFonts w:hint="eastAsia" w:eastAsia="仿宋_GB2312"/>
                <w:szCs w:val="21"/>
                <w:lang w:val="en-US" w:eastAsia="zh-CN"/>
              </w:rPr>
              <w:t>硫酸显色试验（铂-钴色号）/Hazen单位</w:t>
            </w:r>
          </w:p>
        </w:tc>
        <w:tc>
          <w:tcPr>
            <w:tcW w:w="2307" w:type="pct"/>
            <w:tcBorders>
              <w:tl2br w:val="nil"/>
              <w:tr2bl w:val="nil"/>
            </w:tcBorders>
            <w:vAlign w:val="center"/>
          </w:tcPr>
          <w:p w14:paraId="4CD277DC">
            <w:pPr>
              <w:jc w:val="center"/>
              <w:rPr>
                <w:rFonts w:hint="default" w:eastAsia="仿宋_GB2312"/>
                <w:szCs w:val="21"/>
                <w:lang w:val="en-US" w:eastAsia="zh-CN"/>
              </w:rPr>
            </w:pPr>
            <w:r>
              <w:rPr>
                <w:rFonts w:eastAsia="仿宋_GB2312"/>
                <w:szCs w:val="21"/>
              </w:rPr>
              <w:t>≤</w:t>
            </w:r>
            <w:r>
              <w:rPr>
                <w:rFonts w:hint="eastAsia" w:eastAsia="仿宋_GB2312"/>
                <w:szCs w:val="21"/>
                <w:lang w:val="en-US" w:eastAsia="zh-CN"/>
              </w:rPr>
              <w:t>20</w:t>
            </w:r>
          </w:p>
        </w:tc>
      </w:tr>
      <w:tr w14:paraId="24F7DE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92" w:type="pct"/>
            <w:tcBorders>
              <w:tl2br w:val="nil"/>
              <w:tr2bl w:val="nil"/>
            </w:tcBorders>
            <w:noWrap/>
            <w:vAlign w:val="center"/>
          </w:tcPr>
          <w:p w14:paraId="2156C1CD">
            <w:pPr>
              <w:jc w:val="center"/>
              <w:rPr>
                <w:rFonts w:eastAsia="仿宋_GB2312"/>
                <w:szCs w:val="21"/>
              </w:rPr>
            </w:pPr>
            <w:r>
              <w:rPr>
                <w:rFonts w:eastAsia="仿宋_GB2312"/>
                <w:szCs w:val="21"/>
              </w:rPr>
              <w:t>沸程（0</w:t>
            </w:r>
            <w:r>
              <w:rPr>
                <w:rFonts w:hint="eastAsia" w:ascii="宋体" w:hAnsi="宋体" w:cs="宋体"/>
                <w:szCs w:val="21"/>
              </w:rPr>
              <w:t>℃</w:t>
            </w:r>
            <w:r>
              <w:rPr>
                <w:rFonts w:eastAsia="仿宋_GB2312"/>
                <w:szCs w:val="21"/>
              </w:rPr>
              <w:t>，101.325kPa）（包括117.7</w:t>
            </w:r>
            <w:r>
              <w:rPr>
                <w:rFonts w:hint="eastAsia" w:ascii="宋体" w:hAnsi="宋体" w:cs="宋体"/>
                <w:szCs w:val="21"/>
              </w:rPr>
              <w:t>℃</w:t>
            </w:r>
            <w:r>
              <w:rPr>
                <w:rFonts w:eastAsia="仿宋_GB2312"/>
                <w:szCs w:val="21"/>
              </w:rPr>
              <w:t>），</w:t>
            </w:r>
            <w:r>
              <w:rPr>
                <w:rFonts w:hint="eastAsia" w:ascii="宋体" w:hAnsi="宋体" w:cs="宋体"/>
                <w:szCs w:val="21"/>
              </w:rPr>
              <w:t>℃</w:t>
            </w:r>
          </w:p>
        </w:tc>
        <w:tc>
          <w:tcPr>
            <w:tcW w:w="2307" w:type="pct"/>
            <w:tcBorders>
              <w:tl2br w:val="nil"/>
              <w:tr2bl w:val="nil"/>
            </w:tcBorders>
            <w:vAlign w:val="center"/>
          </w:tcPr>
          <w:p w14:paraId="18558C66">
            <w:pPr>
              <w:jc w:val="center"/>
              <w:rPr>
                <w:rFonts w:eastAsia="仿宋_GB2312"/>
                <w:szCs w:val="21"/>
              </w:rPr>
            </w:pPr>
            <w:r>
              <w:rPr>
                <w:rFonts w:eastAsia="仿宋_GB2312"/>
                <w:szCs w:val="21"/>
              </w:rPr>
              <w:t>≤3.0</w:t>
            </w:r>
          </w:p>
        </w:tc>
      </w:tr>
      <w:tr w14:paraId="790995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92" w:type="pct"/>
            <w:tcBorders>
              <w:tl2br w:val="nil"/>
              <w:tr2bl w:val="nil"/>
            </w:tcBorders>
            <w:shd w:val="clear" w:color="auto" w:fill="auto"/>
            <w:noWrap/>
            <w:vAlign w:val="center"/>
          </w:tcPr>
          <w:p w14:paraId="540C81A3">
            <w:pPr>
              <w:jc w:val="center"/>
              <w:rPr>
                <w:rFonts w:ascii="Times New Roman" w:hAnsi="Times New Roman" w:eastAsia="仿宋_GB2312" w:cs="Times New Roman"/>
                <w:kern w:val="2"/>
                <w:sz w:val="21"/>
                <w:szCs w:val="21"/>
                <w:lang w:val="en-US" w:eastAsia="zh-CN" w:bidi="ar-SA"/>
              </w:rPr>
            </w:pPr>
            <w:r>
              <w:rPr>
                <w:rFonts w:eastAsia="仿宋_GB2312"/>
                <w:szCs w:val="21"/>
              </w:rPr>
              <w:t>酸度（以乙酸计），%</w:t>
            </w:r>
          </w:p>
        </w:tc>
        <w:tc>
          <w:tcPr>
            <w:tcW w:w="2307" w:type="pct"/>
            <w:tcBorders>
              <w:tl2br w:val="nil"/>
              <w:tr2bl w:val="nil"/>
            </w:tcBorders>
            <w:shd w:val="clear" w:color="auto" w:fill="auto"/>
            <w:vAlign w:val="center"/>
          </w:tcPr>
          <w:p w14:paraId="7ED629AC">
            <w:pPr>
              <w:jc w:val="center"/>
              <w:rPr>
                <w:rFonts w:hint="default" w:ascii="Times New Roman" w:hAnsi="Times New Roman" w:eastAsia="仿宋_GB2312" w:cs="Times New Roman"/>
                <w:kern w:val="2"/>
                <w:sz w:val="21"/>
                <w:szCs w:val="21"/>
                <w:lang w:val="en-US" w:eastAsia="zh-CN" w:bidi="ar-SA"/>
              </w:rPr>
            </w:pPr>
            <w:r>
              <w:rPr>
                <w:rFonts w:eastAsia="仿宋_GB2312"/>
                <w:szCs w:val="21"/>
              </w:rPr>
              <w:t>≤0.0</w:t>
            </w:r>
            <w:r>
              <w:rPr>
                <w:rFonts w:hint="eastAsia" w:eastAsia="仿宋_GB2312"/>
                <w:szCs w:val="21"/>
                <w:lang w:val="en-US" w:eastAsia="zh-CN"/>
              </w:rPr>
              <w:t>03</w:t>
            </w:r>
          </w:p>
        </w:tc>
      </w:tr>
      <w:tr w14:paraId="59D2F2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92" w:type="pct"/>
            <w:tcBorders>
              <w:tl2br w:val="nil"/>
              <w:tr2bl w:val="nil"/>
            </w:tcBorders>
            <w:noWrap/>
            <w:vAlign w:val="center"/>
          </w:tcPr>
          <w:p w14:paraId="4324D1FD">
            <w:pPr>
              <w:jc w:val="center"/>
              <w:rPr>
                <w:rFonts w:eastAsia="仿宋_GB2312"/>
                <w:szCs w:val="21"/>
              </w:rPr>
            </w:pPr>
            <w:r>
              <w:rPr>
                <w:rFonts w:eastAsia="仿宋_GB2312"/>
                <w:szCs w:val="21"/>
              </w:rPr>
              <w:t>水分，%</w:t>
            </w:r>
          </w:p>
        </w:tc>
        <w:tc>
          <w:tcPr>
            <w:tcW w:w="2307" w:type="pct"/>
            <w:tcBorders>
              <w:tl2br w:val="nil"/>
              <w:tr2bl w:val="nil"/>
            </w:tcBorders>
            <w:vAlign w:val="center"/>
          </w:tcPr>
          <w:p w14:paraId="7698AA87">
            <w:pPr>
              <w:jc w:val="center"/>
              <w:rPr>
                <w:rFonts w:hint="default" w:eastAsia="仿宋_GB2312"/>
                <w:szCs w:val="21"/>
                <w:lang w:val="en-US" w:eastAsia="zh-CN"/>
              </w:rPr>
            </w:pPr>
            <w:r>
              <w:rPr>
                <w:rFonts w:eastAsia="仿宋_GB2312"/>
                <w:szCs w:val="21"/>
              </w:rPr>
              <w:t>≤0.</w:t>
            </w:r>
            <w:r>
              <w:rPr>
                <w:rFonts w:hint="eastAsia" w:eastAsia="仿宋_GB2312"/>
                <w:szCs w:val="21"/>
                <w:lang w:val="en-US" w:eastAsia="zh-CN"/>
              </w:rPr>
              <w:t>08</w:t>
            </w:r>
          </w:p>
        </w:tc>
      </w:tr>
      <w:tr w14:paraId="223A71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92" w:type="pct"/>
            <w:tcBorders>
              <w:tl2br w:val="nil"/>
              <w:tr2bl w:val="nil"/>
            </w:tcBorders>
            <w:noWrap/>
            <w:vAlign w:val="center"/>
          </w:tcPr>
          <w:p w14:paraId="0CA0BEC7">
            <w:pPr>
              <w:jc w:val="center"/>
              <w:rPr>
                <w:rFonts w:eastAsia="仿宋_GB2312"/>
                <w:szCs w:val="21"/>
              </w:rPr>
            </w:pPr>
            <w:r>
              <w:rPr>
                <w:rFonts w:eastAsia="仿宋_GB2312"/>
                <w:szCs w:val="21"/>
              </w:rPr>
              <w:t>蒸发残渣，%</w:t>
            </w:r>
          </w:p>
        </w:tc>
        <w:tc>
          <w:tcPr>
            <w:tcW w:w="2307" w:type="pct"/>
            <w:tcBorders>
              <w:tl2br w:val="nil"/>
              <w:tr2bl w:val="nil"/>
            </w:tcBorders>
            <w:vAlign w:val="center"/>
          </w:tcPr>
          <w:p w14:paraId="0DC38E65">
            <w:pPr>
              <w:jc w:val="center"/>
              <w:rPr>
                <w:rFonts w:hint="default" w:eastAsia="仿宋_GB2312"/>
                <w:szCs w:val="21"/>
                <w:lang w:val="en-US" w:eastAsia="zh-CN"/>
              </w:rPr>
            </w:pPr>
            <w:r>
              <w:rPr>
                <w:rFonts w:eastAsia="仿宋_GB2312"/>
                <w:szCs w:val="21"/>
              </w:rPr>
              <w:t>≤0.0</w:t>
            </w:r>
            <w:r>
              <w:rPr>
                <w:rFonts w:hint="eastAsia" w:eastAsia="仿宋_GB2312"/>
                <w:szCs w:val="21"/>
                <w:lang w:val="en-US" w:eastAsia="zh-CN"/>
              </w:rPr>
              <w:t>03</w:t>
            </w:r>
          </w:p>
        </w:tc>
      </w:tr>
    </w:tbl>
    <w:p w14:paraId="372935B9">
      <w:pPr>
        <w:pStyle w:val="162"/>
        <w:spacing w:line="480" w:lineRule="exact"/>
        <w:ind w:firstLine="0" w:firstLineChars="0"/>
        <w:rPr>
          <w:rFonts w:ascii="Times New Roman"/>
        </w:rPr>
      </w:pPr>
      <w:r>
        <w:rPr>
          <w:rFonts w:ascii="Times New Roman"/>
        </w:rPr>
        <w:t>表3.2-3</w:t>
      </w:r>
      <w:r>
        <w:rPr>
          <w:rFonts w:hint="eastAsia" w:ascii="Times New Roman"/>
          <w:lang w:val="en-US" w:eastAsia="zh-CN"/>
        </w:rPr>
        <w:t>0</w:t>
      </w:r>
      <w:r>
        <w:rPr>
          <w:rFonts w:ascii="Times New Roman"/>
        </w:rPr>
        <w:t xml:space="preserve">  辛醇产品质量指标</w:t>
      </w:r>
    </w:p>
    <w:tbl>
      <w:tblPr>
        <w:tblStyle w:val="88"/>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4600"/>
        <w:gridCol w:w="3920"/>
      </w:tblGrid>
      <w:tr w14:paraId="20EA2C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99" w:type="pct"/>
            <w:tcBorders>
              <w:tl2br w:val="nil"/>
              <w:tr2bl w:val="nil"/>
            </w:tcBorders>
            <w:noWrap/>
            <w:vAlign w:val="center"/>
          </w:tcPr>
          <w:p w14:paraId="42FED58B">
            <w:pPr>
              <w:adjustRightInd w:val="0"/>
              <w:snapToGrid w:val="0"/>
              <w:jc w:val="center"/>
              <w:rPr>
                <w:rFonts w:eastAsia="仿宋_GB2312"/>
                <w:b/>
                <w:szCs w:val="21"/>
              </w:rPr>
            </w:pPr>
            <w:r>
              <w:rPr>
                <w:rFonts w:eastAsia="仿宋_GB2312"/>
                <w:b/>
                <w:szCs w:val="21"/>
              </w:rPr>
              <w:t>项目</w:t>
            </w:r>
          </w:p>
        </w:tc>
        <w:tc>
          <w:tcPr>
            <w:tcW w:w="2300" w:type="pct"/>
            <w:tcBorders>
              <w:tl2br w:val="nil"/>
              <w:tr2bl w:val="nil"/>
            </w:tcBorders>
            <w:vAlign w:val="center"/>
          </w:tcPr>
          <w:p w14:paraId="45531F72">
            <w:pPr>
              <w:adjustRightInd w:val="0"/>
              <w:snapToGrid w:val="0"/>
              <w:jc w:val="center"/>
              <w:rPr>
                <w:rFonts w:eastAsia="仿宋_GB2312"/>
                <w:b/>
                <w:szCs w:val="21"/>
              </w:rPr>
            </w:pPr>
            <w:r>
              <w:rPr>
                <w:rFonts w:eastAsia="仿宋_GB2312"/>
                <w:b/>
                <w:szCs w:val="21"/>
              </w:rPr>
              <w:t>指标（</w:t>
            </w:r>
            <w:r>
              <w:rPr>
                <w:rFonts w:hint="eastAsia" w:ascii="宋体" w:hAnsi="宋体" w:cs="宋体"/>
                <w:b/>
                <w:szCs w:val="21"/>
              </w:rPr>
              <w:t>Ⅲ</w:t>
            </w:r>
            <w:r>
              <w:rPr>
                <w:rFonts w:eastAsia="仿宋_GB2312"/>
                <w:b/>
                <w:szCs w:val="21"/>
              </w:rPr>
              <w:t>型）</w:t>
            </w:r>
          </w:p>
        </w:tc>
      </w:tr>
      <w:tr w14:paraId="5B244E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99" w:type="pct"/>
            <w:tcBorders>
              <w:tl2br w:val="nil"/>
              <w:tr2bl w:val="nil"/>
            </w:tcBorders>
            <w:noWrap/>
            <w:vAlign w:val="center"/>
          </w:tcPr>
          <w:p w14:paraId="52AB03E4">
            <w:pPr>
              <w:jc w:val="center"/>
              <w:rPr>
                <w:rFonts w:eastAsia="仿宋_GB2312"/>
                <w:szCs w:val="21"/>
              </w:rPr>
            </w:pPr>
            <w:r>
              <w:rPr>
                <w:rFonts w:eastAsia="仿宋_GB2312"/>
                <w:szCs w:val="21"/>
              </w:rPr>
              <w:t>色度（铂-钴色号）</w:t>
            </w:r>
          </w:p>
        </w:tc>
        <w:tc>
          <w:tcPr>
            <w:tcW w:w="2300" w:type="pct"/>
            <w:tcBorders>
              <w:tl2br w:val="nil"/>
              <w:tr2bl w:val="nil"/>
            </w:tcBorders>
            <w:vAlign w:val="center"/>
          </w:tcPr>
          <w:p w14:paraId="05C113E1">
            <w:pPr>
              <w:jc w:val="center"/>
              <w:rPr>
                <w:rFonts w:eastAsia="仿宋_GB2312"/>
                <w:szCs w:val="21"/>
              </w:rPr>
            </w:pPr>
            <w:r>
              <w:rPr>
                <w:rFonts w:eastAsia="仿宋_GB2312"/>
                <w:szCs w:val="21"/>
              </w:rPr>
              <w:t>≤15</w:t>
            </w:r>
          </w:p>
        </w:tc>
      </w:tr>
      <w:tr w14:paraId="26A633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99" w:type="pct"/>
            <w:tcBorders>
              <w:tl2br w:val="nil"/>
              <w:tr2bl w:val="nil"/>
            </w:tcBorders>
            <w:noWrap/>
            <w:vAlign w:val="center"/>
          </w:tcPr>
          <w:p w14:paraId="1ADA8082">
            <w:pPr>
              <w:jc w:val="center"/>
              <w:rPr>
                <w:rFonts w:eastAsia="仿宋_GB2312"/>
                <w:szCs w:val="21"/>
              </w:rPr>
            </w:pPr>
            <w:r>
              <w:rPr>
                <w:rFonts w:eastAsia="仿宋_GB2312"/>
                <w:szCs w:val="21"/>
              </w:rPr>
              <w:t>密度(20</w:t>
            </w:r>
            <w:r>
              <w:rPr>
                <w:rFonts w:hint="eastAsia" w:ascii="宋体" w:hAnsi="宋体" w:cs="宋体"/>
                <w:szCs w:val="21"/>
              </w:rPr>
              <w:t>℃</w:t>
            </w:r>
            <w:r>
              <w:rPr>
                <w:rFonts w:eastAsia="仿宋_GB2312"/>
                <w:szCs w:val="21"/>
              </w:rPr>
              <w:t>)/（g/cm</w:t>
            </w:r>
            <w:r>
              <w:rPr>
                <w:rFonts w:eastAsia="仿宋_GB2312"/>
                <w:szCs w:val="21"/>
                <w:vertAlign w:val="superscript"/>
              </w:rPr>
              <w:t>3</w:t>
            </w:r>
            <w:r>
              <w:rPr>
                <w:rFonts w:eastAsia="仿宋_GB2312"/>
                <w:szCs w:val="21"/>
              </w:rPr>
              <w:t>）</w:t>
            </w:r>
          </w:p>
        </w:tc>
        <w:tc>
          <w:tcPr>
            <w:tcW w:w="2298" w:type="pct"/>
            <w:tcBorders>
              <w:tl2br w:val="nil"/>
              <w:tr2bl w:val="nil"/>
            </w:tcBorders>
            <w:vAlign w:val="center"/>
          </w:tcPr>
          <w:p w14:paraId="4B80C8DA">
            <w:pPr>
              <w:jc w:val="center"/>
              <w:rPr>
                <w:rFonts w:eastAsia="仿宋_GB2312"/>
                <w:szCs w:val="21"/>
              </w:rPr>
            </w:pPr>
            <w:r>
              <w:rPr>
                <w:rFonts w:eastAsia="仿宋_GB2312"/>
                <w:szCs w:val="21"/>
              </w:rPr>
              <w:t>0.831~0.834</w:t>
            </w:r>
          </w:p>
        </w:tc>
      </w:tr>
      <w:tr w14:paraId="2472F7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99" w:type="pct"/>
            <w:tcBorders>
              <w:tl2br w:val="nil"/>
              <w:tr2bl w:val="nil"/>
            </w:tcBorders>
            <w:noWrap/>
            <w:vAlign w:val="center"/>
          </w:tcPr>
          <w:p w14:paraId="5122F80B">
            <w:pPr>
              <w:jc w:val="center"/>
              <w:rPr>
                <w:rFonts w:eastAsia="仿宋_GB2312"/>
                <w:szCs w:val="21"/>
              </w:rPr>
            </w:pPr>
            <w:r>
              <w:rPr>
                <w:rFonts w:eastAsia="仿宋_GB2312"/>
                <w:szCs w:val="21"/>
              </w:rPr>
              <w:t>2-乙基己醇，ω/%</w:t>
            </w:r>
          </w:p>
        </w:tc>
        <w:tc>
          <w:tcPr>
            <w:tcW w:w="2300" w:type="pct"/>
            <w:tcBorders>
              <w:tl2br w:val="nil"/>
              <w:tr2bl w:val="nil"/>
            </w:tcBorders>
            <w:vAlign w:val="center"/>
          </w:tcPr>
          <w:p w14:paraId="45929BE2">
            <w:pPr>
              <w:jc w:val="center"/>
              <w:rPr>
                <w:rFonts w:eastAsia="仿宋_GB2312"/>
                <w:szCs w:val="21"/>
              </w:rPr>
            </w:pPr>
            <w:r>
              <w:rPr>
                <w:rFonts w:eastAsia="仿宋_GB2312"/>
                <w:szCs w:val="21"/>
              </w:rPr>
              <w:t>≥99.0</w:t>
            </w:r>
          </w:p>
        </w:tc>
      </w:tr>
      <w:tr w14:paraId="43C6CC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99" w:type="pct"/>
            <w:tcBorders>
              <w:tl2br w:val="nil"/>
              <w:tr2bl w:val="nil"/>
            </w:tcBorders>
            <w:noWrap/>
            <w:vAlign w:val="center"/>
          </w:tcPr>
          <w:p w14:paraId="698B17FE">
            <w:pPr>
              <w:jc w:val="center"/>
              <w:rPr>
                <w:rFonts w:eastAsia="仿宋_GB2312"/>
                <w:szCs w:val="21"/>
              </w:rPr>
            </w:pPr>
            <w:r>
              <w:rPr>
                <w:rFonts w:eastAsia="仿宋_GB2312"/>
                <w:szCs w:val="21"/>
              </w:rPr>
              <w:t>酸含量（以乙酸计），ω/%</w:t>
            </w:r>
          </w:p>
        </w:tc>
        <w:tc>
          <w:tcPr>
            <w:tcW w:w="2300" w:type="pct"/>
            <w:tcBorders>
              <w:tl2br w:val="nil"/>
              <w:tr2bl w:val="nil"/>
            </w:tcBorders>
            <w:vAlign w:val="center"/>
          </w:tcPr>
          <w:p w14:paraId="18244DBB">
            <w:pPr>
              <w:jc w:val="center"/>
              <w:rPr>
                <w:rFonts w:eastAsia="仿宋_GB2312"/>
                <w:szCs w:val="21"/>
              </w:rPr>
            </w:pPr>
            <w:r>
              <w:rPr>
                <w:rFonts w:eastAsia="仿宋_GB2312"/>
                <w:szCs w:val="21"/>
              </w:rPr>
              <w:t>≤0.02</w:t>
            </w:r>
          </w:p>
        </w:tc>
      </w:tr>
      <w:tr w14:paraId="522025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99" w:type="pct"/>
            <w:tcBorders>
              <w:tl2br w:val="nil"/>
              <w:tr2bl w:val="nil"/>
            </w:tcBorders>
            <w:noWrap/>
            <w:vAlign w:val="center"/>
          </w:tcPr>
          <w:p w14:paraId="3C99CB12">
            <w:pPr>
              <w:jc w:val="center"/>
              <w:rPr>
                <w:rFonts w:eastAsia="仿宋_GB2312"/>
                <w:szCs w:val="21"/>
              </w:rPr>
            </w:pPr>
            <w:r>
              <w:rPr>
                <w:rFonts w:eastAsia="仿宋_GB2312"/>
                <w:szCs w:val="21"/>
              </w:rPr>
              <w:t>羟基化合物（以2-乙基己醛计），ω/%</w:t>
            </w:r>
          </w:p>
        </w:tc>
        <w:tc>
          <w:tcPr>
            <w:tcW w:w="2300" w:type="pct"/>
            <w:tcBorders>
              <w:tl2br w:val="nil"/>
              <w:tr2bl w:val="nil"/>
            </w:tcBorders>
            <w:vAlign w:val="center"/>
          </w:tcPr>
          <w:p w14:paraId="7310447B">
            <w:pPr>
              <w:jc w:val="center"/>
              <w:rPr>
                <w:rFonts w:eastAsia="仿宋_GB2312"/>
                <w:szCs w:val="21"/>
              </w:rPr>
            </w:pPr>
            <w:r>
              <w:rPr>
                <w:rFonts w:eastAsia="仿宋_GB2312"/>
                <w:szCs w:val="21"/>
              </w:rPr>
              <w:t>≤0.20</w:t>
            </w:r>
          </w:p>
        </w:tc>
      </w:tr>
      <w:tr w14:paraId="4E554D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99" w:type="pct"/>
            <w:tcBorders>
              <w:tl2br w:val="nil"/>
              <w:tr2bl w:val="nil"/>
            </w:tcBorders>
            <w:noWrap/>
            <w:vAlign w:val="center"/>
          </w:tcPr>
          <w:p w14:paraId="36574B3E">
            <w:pPr>
              <w:jc w:val="center"/>
              <w:rPr>
                <w:rFonts w:eastAsia="仿宋_GB2312"/>
                <w:szCs w:val="21"/>
              </w:rPr>
            </w:pPr>
            <w:r>
              <w:rPr>
                <w:rFonts w:eastAsia="仿宋_GB2312"/>
                <w:szCs w:val="21"/>
              </w:rPr>
              <w:t>硫酸显色试验，（铂-钴色号）</w:t>
            </w:r>
          </w:p>
        </w:tc>
        <w:tc>
          <w:tcPr>
            <w:tcW w:w="2300" w:type="pct"/>
            <w:tcBorders>
              <w:tl2br w:val="nil"/>
              <w:tr2bl w:val="nil"/>
            </w:tcBorders>
            <w:vAlign w:val="center"/>
          </w:tcPr>
          <w:p w14:paraId="4DEE6995">
            <w:pPr>
              <w:jc w:val="center"/>
              <w:rPr>
                <w:rFonts w:eastAsia="仿宋_GB2312"/>
                <w:szCs w:val="21"/>
              </w:rPr>
            </w:pPr>
            <w:r>
              <w:rPr>
                <w:rFonts w:eastAsia="仿宋_GB2312"/>
                <w:szCs w:val="21"/>
              </w:rPr>
              <w:t>≤50</w:t>
            </w:r>
          </w:p>
        </w:tc>
      </w:tr>
      <w:tr w14:paraId="2233AC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99" w:type="pct"/>
            <w:tcBorders>
              <w:tl2br w:val="nil"/>
              <w:tr2bl w:val="nil"/>
            </w:tcBorders>
            <w:noWrap/>
            <w:vAlign w:val="center"/>
          </w:tcPr>
          <w:p w14:paraId="39938ED2">
            <w:pPr>
              <w:jc w:val="center"/>
              <w:rPr>
                <w:rFonts w:eastAsia="仿宋_GB2312"/>
                <w:szCs w:val="21"/>
              </w:rPr>
            </w:pPr>
            <w:r>
              <w:rPr>
                <w:rFonts w:eastAsia="仿宋_GB2312"/>
                <w:szCs w:val="21"/>
              </w:rPr>
              <w:t>水分，ω/%</w:t>
            </w:r>
          </w:p>
        </w:tc>
        <w:tc>
          <w:tcPr>
            <w:tcW w:w="2298" w:type="pct"/>
            <w:tcBorders>
              <w:tl2br w:val="nil"/>
              <w:tr2bl w:val="nil"/>
            </w:tcBorders>
            <w:vAlign w:val="center"/>
          </w:tcPr>
          <w:p w14:paraId="6CDAD53E">
            <w:pPr>
              <w:jc w:val="center"/>
              <w:rPr>
                <w:rFonts w:eastAsia="仿宋_GB2312"/>
                <w:szCs w:val="21"/>
              </w:rPr>
            </w:pPr>
            <w:r>
              <w:rPr>
                <w:rFonts w:eastAsia="仿宋_GB2312"/>
                <w:szCs w:val="21"/>
              </w:rPr>
              <w:t>≤0.20</w:t>
            </w:r>
          </w:p>
        </w:tc>
      </w:tr>
    </w:tbl>
    <w:p w14:paraId="3363EF7D">
      <w:pPr>
        <w:pStyle w:val="162"/>
        <w:spacing w:line="480" w:lineRule="exact"/>
        <w:ind w:firstLine="0" w:firstLineChars="0"/>
        <w:rPr>
          <w:rFonts w:ascii="Times New Roman"/>
        </w:rPr>
      </w:pPr>
      <w:r>
        <w:rPr>
          <w:rFonts w:ascii="Times New Roman"/>
        </w:rPr>
        <w:t>表3.2-3</w:t>
      </w:r>
      <w:r>
        <w:rPr>
          <w:rFonts w:hint="eastAsia" w:ascii="Times New Roman"/>
          <w:lang w:val="en-US" w:eastAsia="zh-CN"/>
        </w:rPr>
        <w:t>1</w:t>
      </w:r>
      <w:r>
        <w:rPr>
          <w:rFonts w:ascii="Times New Roman"/>
        </w:rPr>
        <w:t xml:space="preserve">  碳九产品质量指标</w:t>
      </w:r>
    </w:p>
    <w:tbl>
      <w:tblPr>
        <w:tblStyle w:val="88"/>
        <w:tblW w:w="4998"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3793"/>
        <w:gridCol w:w="4727"/>
      </w:tblGrid>
      <w:tr w14:paraId="4FD9DB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26" w:type="pct"/>
            <w:noWrap/>
            <w:vAlign w:val="center"/>
          </w:tcPr>
          <w:p w14:paraId="1BE758E4">
            <w:pPr>
              <w:adjustRightInd w:val="0"/>
              <w:snapToGrid w:val="0"/>
              <w:jc w:val="center"/>
              <w:rPr>
                <w:rFonts w:eastAsia="仿宋_GB2312"/>
                <w:b/>
                <w:szCs w:val="21"/>
              </w:rPr>
            </w:pPr>
            <w:r>
              <w:rPr>
                <w:rFonts w:eastAsia="仿宋_GB2312"/>
                <w:b/>
              </w:rPr>
              <w:t>项目</w:t>
            </w:r>
          </w:p>
        </w:tc>
        <w:tc>
          <w:tcPr>
            <w:tcW w:w="2774" w:type="pct"/>
            <w:vAlign w:val="center"/>
          </w:tcPr>
          <w:p w14:paraId="1549EB70">
            <w:pPr>
              <w:adjustRightInd w:val="0"/>
              <w:snapToGrid w:val="0"/>
              <w:jc w:val="center"/>
              <w:rPr>
                <w:rFonts w:eastAsia="仿宋_GB2312"/>
                <w:b/>
                <w:szCs w:val="21"/>
              </w:rPr>
            </w:pPr>
            <w:r>
              <w:rPr>
                <w:rFonts w:eastAsia="仿宋_GB2312"/>
                <w:b/>
              </w:rPr>
              <w:t>指标（</w:t>
            </w:r>
            <w:r>
              <w:rPr>
                <w:rFonts w:hint="eastAsia" w:ascii="宋体" w:hAnsi="宋体" w:cs="宋体"/>
                <w:b/>
              </w:rPr>
              <w:t>Ⅲ</w:t>
            </w:r>
            <w:r>
              <w:rPr>
                <w:rFonts w:eastAsia="仿宋_GB2312"/>
                <w:b/>
              </w:rPr>
              <w:t>型）</w:t>
            </w:r>
          </w:p>
        </w:tc>
      </w:tr>
      <w:tr w14:paraId="44C2E4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26" w:type="pct"/>
            <w:noWrap/>
            <w:vAlign w:val="center"/>
          </w:tcPr>
          <w:p w14:paraId="73C80B48">
            <w:pPr>
              <w:jc w:val="center"/>
              <w:rPr>
                <w:rFonts w:eastAsia="仿宋_GB2312"/>
                <w:szCs w:val="21"/>
              </w:rPr>
            </w:pPr>
            <w:r>
              <w:rPr>
                <w:rFonts w:eastAsia="仿宋_GB2312"/>
              </w:rPr>
              <w:t>外观</w:t>
            </w:r>
          </w:p>
        </w:tc>
        <w:tc>
          <w:tcPr>
            <w:tcW w:w="2774" w:type="pct"/>
            <w:vAlign w:val="center"/>
          </w:tcPr>
          <w:p w14:paraId="5C65B44D">
            <w:pPr>
              <w:jc w:val="center"/>
              <w:rPr>
                <w:rFonts w:eastAsia="仿宋_GB2312"/>
                <w:szCs w:val="21"/>
              </w:rPr>
            </w:pPr>
            <w:r>
              <w:rPr>
                <w:rFonts w:eastAsia="仿宋_GB2312"/>
              </w:rPr>
              <w:t>无色或浅黄色透明液体、无机械杂质、无游离水</w:t>
            </w:r>
          </w:p>
        </w:tc>
      </w:tr>
      <w:tr w14:paraId="3CFDF0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26" w:type="pct"/>
            <w:noWrap/>
            <w:vAlign w:val="center"/>
          </w:tcPr>
          <w:p w14:paraId="03C81694">
            <w:pPr>
              <w:jc w:val="center"/>
              <w:rPr>
                <w:rFonts w:eastAsia="仿宋_GB2312"/>
                <w:szCs w:val="21"/>
              </w:rPr>
            </w:pPr>
            <w:r>
              <w:rPr>
                <w:rFonts w:eastAsia="仿宋_GB2312"/>
              </w:rPr>
              <w:t>密度（20</w:t>
            </w:r>
            <w:r>
              <w:rPr>
                <w:rFonts w:hint="eastAsia" w:ascii="宋体" w:hAnsi="宋体" w:cs="宋体"/>
              </w:rPr>
              <w:t>℃</w:t>
            </w:r>
            <w:r>
              <w:rPr>
                <w:rFonts w:eastAsia="仿宋_GB2312"/>
              </w:rPr>
              <w:t>），/（kg/m</w:t>
            </w:r>
            <w:r>
              <w:rPr>
                <w:rFonts w:eastAsia="仿宋_GB2312"/>
                <w:vertAlign w:val="superscript"/>
              </w:rPr>
              <w:t>3</w:t>
            </w:r>
            <w:r>
              <w:rPr>
                <w:rFonts w:eastAsia="仿宋_GB2312"/>
              </w:rPr>
              <w:t>）</w:t>
            </w:r>
          </w:p>
        </w:tc>
        <w:tc>
          <w:tcPr>
            <w:tcW w:w="2774" w:type="pct"/>
            <w:vAlign w:val="center"/>
          </w:tcPr>
          <w:p w14:paraId="2E16D534">
            <w:pPr>
              <w:jc w:val="center"/>
              <w:rPr>
                <w:rFonts w:eastAsia="仿宋_GB2312"/>
                <w:szCs w:val="21"/>
              </w:rPr>
            </w:pPr>
            <w:r>
              <w:rPr>
                <w:rFonts w:eastAsia="仿宋_GB2312"/>
              </w:rPr>
              <w:t>860.0~885.0</w:t>
            </w:r>
          </w:p>
        </w:tc>
      </w:tr>
      <w:tr w14:paraId="5361C7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26" w:type="pct"/>
            <w:noWrap/>
            <w:vAlign w:val="center"/>
          </w:tcPr>
          <w:p w14:paraId="75012D34">
            <w:pPr>
              <w:jc w:val="center"/>
              <w:rPr>
                <w:rFonts w:eastAsia="仿宋_GB2312"/>
                <w:szCs w:val="21"/>
              </w:rPr>
            </w:pPr>
            <w:r>
              <w:rPr>
                <w:rFonts w:eastAsia="仿宋_GB2312"/>
              </w:rPr>
              <w:t>苯，ω/%</w:t>
            </w:r>
          </w:p>
        </w:tc>
        <w:tc>
          <w:tcPr>
            <w:tcW w:w="2774" w:type="pct"/>
            <w:vAlign w:val="center"/>
          </w:tcPr>
          <w:p w14:paraId="49300CA4">
            <w:pPr>
              <w:jc w:val="center"/>
              <w:rPr>
                <w:rFonts w:eastAsia="仿宋_GB2312"/>
                <w:szCs w:val="21"/>
              </w:rPr>
            </w:pPr>
            <w:r>
              <w:rPr>
                <w:rFonts w:eastAsia="仿宋_GB2312"/>
              </w:rPr>
              <w:t>≤0.1</w:t>
            </w:r>
          </w:p>
        </w:tc>
      </w:tr>
      <w:tr w14:paraId="7A18BC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26" w:type="pct"/>
            <w:noWrap/>
            <w:vAlign w:val="center"/>
          </w:tcPr>
          <w:p w14:paraId="691CE3AE">
            <w:pPr>
              <w:jc w:val="center"/>
              <w:rPr>
                <w:rFonts w:eastAsia="仿宋_GB2312"/>
                <w:szCs w:val="21"/>
              </w:rPr>
            </w:pPr>
            <w:r>
              <w:rPr>
                <w:rFonts w:eastAsia="仿宋_GB2312"/>
              </w:rPr>
              <w:t>碳八芳烃，ω/%</w:t>
            </w:r>
          </w:p>
        </w:tc>
        <w:tc>
          <w:tcPr>
            <w:tcW w:w="2774" w:type="pct"/>
            <w:vAlign w:val="center"/>
          </w:tcPr>
          <w:p w14:paraId="14577463">
            <w:pPr>
              <w:jc w:val="center"/>
              <w:rPr>
                <w:rFonts w:eastAsia="仿宋_GB2312"/>
                <w:szCs w:val="21"/>
              </w:rPr>
            </w:pPr>
            <w:r>
              <w:rPr>
                <w:rFonts w:eastAsia="仿宋_GB2312"/>
              </w:rPr>
              <w:t>≤5.0</w:t>
            </w:r>
          </w:p>
        </w:tc>
      </w:tr>
      <w:tr w14:paraId="4A087E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26" w:type="pct"/>
            <w:noWrap/>
            <w:vAlign w:val="center"/>
          </w:tcPr>
          <w:p w14:paraId="21F8E03F">
            <w:pPr>
              <w:jc w:val="center"/>
              <w:rPr>
                <w:rFonts w:eastAsia="仿宋_GB2312"/>
                <w:szCs w:val="21"/>
              </w:rPr>
            </w:pPr>
            <w:r>
              <w:rPr>
                <w:rFonts w:eastAsia="仿宋_GB2312"/>
              </w:rPr>
              <w:t>萘及以上，ω/%</w:t>
            </w:r>
          </w:p>
        </w:tc>
        <w:tc>
          <w:tcPr>
            <w:tcW w:w="2774" w:type="pct"/>
            <w:vAlign w:val="center"/>
          </w:tcPr>
          <w:p w14:paraId="63BFA421">
            <w:pPr>
              <w:jc w:val="center"/>
              <w:rPr>
                <w:rFonts w:eastAsia="仿宋_GB2312"/>
                <w:szCs w:val="21"/>
              </w:rPr>
            </w:pPr>
            <w:r>
              <w:rPr>
                <w:rFonts w:eastAsia="仿宋_GB2312"/>
              </w:rPr>
              <w:t>≤5.0</w:t>
            </w:r>
          </w:p>
        </w:tc>
      </w:tr>
      <w:tr w14:paraId="0A757E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26" w:type="pct"/>
            <w:noWrap/>
            <w:vAlign w:val="center"/>
          </w:tcPr>
          <w:p w14:paraId="42EE8489">
            <w:pPr>
              <w:jc w:val="center"/>
              <w:rPr>
                <w:rFonts w:eastAsia="仿宋_GB2312"/>
                <w:szCs w:val="21"/>
              </w:rPr>
            </w:pPr>
            <w:r>
              <w:rPr>
                <w:rFonts w:eastAsia="仿宋_GB2312"/>
              </w:rPr>
              <w:t>碳九芳烃，ω/%</w:t>
            </w:r>
          </w:p>
        </w:tc>
        <w:tc>
          <w:tcPr>
            <w:tcW w:w="2774" w:type="pct"/>
            <w:vAlign w:val="center"/>
          </w:tcPr>
          <w:p w14:paraId="535F4F63">
            <w:pPr>
              <w:jc w:val="center"/>
              <w:rPr>
                <w:rFonts w:eastAsia="仿宋_GB2312"/>
                <w:szCs w:val="21"/>
              </w:rPr>
            </w:pPr>
            <w:r>
              <w:rPr>
                <w:rFonts w:eastAsia="仿宋_GB2312"/>
              </w:rPr>
              <w:t>≥60.0</w:t>
            </w:r>
          </w:p>
        </w:tc>
      </w:tr>
      <w:tr w14:paraId="07F523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26" w:type="pct"/>
            <w:noWrap/>
            <w:vAlign w:val="center"/>
          </w:tcPr>
          <w:p w14:paraId="58729B6F">
            <w:pPr>
              <w:jc w:val="center"/>
              <w:rPr>
                <w:rFonts w:eastAsia="仿宋_GB2312"/>
                <w:szCs w:val="21"/>
              </w:rPr>
            </w:pPr>
            <w:r>
              <w:rPr>
                <w:rFonts w:eastAsia="仿宋_GB2312"/>
              </w:rPr>
              <w:t>总芳烃，ω/%</w:t>
            </w:r>
          </w:p>
        </w:tc>
        <w:tc>
          <w:tcPr>
            <w:tcW w:w="2774" w:type="pct"/>
            <w:vAlign w:val="center"/>
          </w:tcPr>
          <w:p w14:paraId="3FC1C6D1">
            <w:pPr>
              <w:jc w:val="center"/>
              <w:rPr>
                <w:rFonts w:eastAsia="仿宋_GB2312"/>
                <w:szCs w:val="21"/>
              </w:rPr>
            </w:pPr>
            <w:r>
              <w:rPr>
                <w:rFonts w:eastAsia="仿宋_GB2312"/>
              </w:rPr>
              <w:t>≥99.0</w:t>
            </w:r>
          </w:p>
        </w:tc>
      </w:tr>
      <w:tr w14:paraId="1018469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26" w:type="pct"/>
            <w:noWrap/>
            <w:vAlign w:val="center"/>
          </w:tcPr>
          <w:p w14:paraId="625D1531">
            <w:pPr>
              <w:jc w:val="center"/>
              <w:rPr>
                <w:rFonts w:eastAsia="仿宋_GB2312"/>
                <w:szCs w:val="21"/>
              </w:rPr>
            </w:pPr>
            <w:r>
              <w:rPr>
                <w:rFonts w:eastAsia="仿宋_GB2312"/>
              </w:rPr>
              <w:t>硫含量/（mg/kg）</w:t>
            </w:r>
          </w:p>
        </w:tc>
        <w:tc>
          <w:tcPr>
            <w:tcW w:w="2774" w:type="pct"/>
            <w:vAlign w:val="center"/>
          </w:tcPr>
          <w:p w14:paraId="2802D7A9">
            <w:pPr>
              <w:jc w:val="center"/>
              <w:rPr>
                <w:rFonts w:eastAsia="仿宋_GB2312"/>
                <w:szCs w:val="21"/>
              </w:rPr>
            </w:pPr>
            <w:r>
              <w:rPr>
                <w:rFonts w:eastAsia="仿宋_GB2312"/>
              </w:rPr>
              <w:t>≤2.0</w:t>
            </w:r>
          </w:p>
        </w:tc>
      </w:tr>
      <w:tr w14:paraId="2FFAA05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26" w:type="pct"/>
            <w:noWrap/>
            <w:vAlign w:val="center"/>
          </w:tcPr>
          <w:p w14:paraId="0E58BA51">
            <w:pPr>
              <w:jc w:val="center"/>
              <w:rPr>
                <w:rFonts w:eastAsia="仿宋_GB2312"/>
                <w:szCs w:val="21"/>
              </w:rPr>
            </w:pPr>
            <w:r>
              <w:rPr>
                <w:rFonts w:eastAsia="仿宋_GB2312"/>
              </w:rPr>
              <w:t>溴指数/（mgBr/100g）</w:t>
            </w:r>
          </w:p>
        </w:tc>
        <w:tc>
          <w:tcPr>
            <w:tcW w:w="2774" w:type="pct"/>
            <w:vAlign w:val="center"/>
          </w:tcPr>
          <w:p w14:paraId="7CF07663">
            <w:pPr>
              <w:jc w:val="center"/>
              <w:rPr>
                <w:rFonts w:eastAsia="仿宋_GB2312"/>
                <w:szCs w:val="21"/>
              </w:rPr>
            </w:pPr>
            <w:r>
              <w:rPr>
                <w:rFonts w:eastAsia="仿宋_GB2312"/>
              </w:rPr>
              <w:t>≤500</w:t>
            </w:r>
          </w:p>
        </w:tc>
      </w:tr>
    </w:tbl>
    <w:p w14:paraId="3CE4E9B7">
      <w:pPr>
        <w:pStyle w:val="162"/>
        <w:spacing w:line="480" w:lineRule="exact"/>
        <w:ind w:firstLine="0" w:firstLineChars="0"/>
        <w:rPr>
          <w:rFonts w:ascii="Times New Roman"/>
        </w:rPr>
      </w:pPr>
      <w:r>
        <w:rPr>
          <w:rFonts w:ascii="Times New Roman"/>
        </w:rPr>
        <w:t>表3.2-3</w:t>
      </w:r>
      <w:r>
        <w:rPr>
          <w:rFonts w:hint="eastAsia" w:ascii="Times New Roman"/>
          <w:lang w:val="en-US" w:eastAsia="zh-CN"/>
        </w:rPr>
        <w:t>2</w:t>
      </w:r>
      <w:r>
        <w:rPr>
          <w:rFonts w:ascii="Times New Roman"/>
        </w:rPr>
        <w:t xml:space="preserve">  苯乙烯产品质量指标</w:t>
      </w:r>
    </w:p>
    <w:tbl>
      <w:tblPr>
        <w:tblStyle w:val="88"/>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4567"/>
        <w:gridCol w:w="3953"/>
      </w:tblGrid>
      <w:tr w14:paraId="777862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80" w:type="pct"/>
            <w:tcBorders>
              <w:top w:val="single" w:color="auto" w:sz="12" w:space="0"/>
              <w:left w:val="single" w:color="auto" w:sz="12" w:space="0"/>
              <w:bottom w:val="single" w:color="auto" w:sz="4" w:space="0"/>
              <w:right w:val="single" w:color="auto" w:sz="4" w:space="0"/>
            </w:tcBorders>
            <w:noWrap/>
            <w:vAlign w:val="center"/>
          </w:tcPr>
          <w:p w14:paraId="34E6E45A">
            <w:pPr>
              <w:adjustRightInd w:val="0"/>
              <w:snapToGrid w:val="0"/>
              <w:jc w:val="center"/>
              <w:rPr>
                <w:rFonts w:eastAsia="仿宋_GB2312"/>
                <w:b/>
                <w:szCs w:val="21"/>
              </w:rPr>
            </w:pPr>
            <w:r>
              <w:rPr>
                <w:rFonts w:eastAsia="仿宋_GB2312"/>
                <w:b/>
              </w:rPr>
              <w:t>项目</w:t>
            </w:r>
          </w:p>
        </w:tc>
        <w:tc>
          <w:tcPr>
            <w:tcW w:w="2319" w:type="pct"/>
            <w:tcBorders>
              <w:top w:val="single" w:color="auto" w:sz="12" w:space="0"/>
              <w:left w:val="single" w:color="auto" w:sz="4" w:space="0"/>
              <w:bottom w:val="single" w:color="auto" w:sz="4" w:space="0"/>
              <w:right w:val="single" w:color="auto" w:sz="12" w:space="0"/>
            </w:tcBorders>
            <w:vAlign w:val="center"/>
          </w:tcPr>
          <w:p w14:paraId="18D3267E">
            <w:pPr>
              <w:adjustRightInd w:val="0"/>
              <w:snapToGrid w:val="0"/>
              <w:jc w:val="center"/>
              <w:rPr>
                <w:rFonts w:eastAsia="仿宋_GB2312"/>
                <w:b/>
                <w:szCs w:val="21"/>
              </w:rPr>
            </w:pPr>
            <w:r>
              <w:rPr>
                <w:rFonts w:eastAsia="仿宋_GB2312"/>
                <w:b/>
              </w:rPr>
              <w:t>指标（工业级）</w:t>
            </w:r>
          </w:p>
        </w:tc>
      </w:tr>
      <w:tr w14:paraId="628C99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80" w:type="pct"/>
            <w:tcBorders>
              <w:top w:val="single" w:color="auto" w:sz="4" w:space="0"/>
              <w:left w:val="single" w:color="auto" w:sz="12" w:space="0"/>
              <w:bottom w:val="single" w:color="auto" w:sz="4" w:space="0"/>
              <w:right w:val="single" w:color="auto" w:sz="4" w:space="0"/>
            </w:tcBorders>
            <w:noWrap/>
            <w:vAlign w:val="center"/>
          </w:tcPr>
          <w:p w14:paraId="6064C158">
            <w:pPr>
              <w:jc w:val="center"/>
              <w:rPr>
                <w:rFonts w:eastAsia="仿宋_GB2312"/>
                <w:szCs w:val="21"/>
              </w:rPr>
            </w:pPr>
            <w:r>
              <w:rPr>
                <w:rFonts w:eastAsia="仿宋_GB2312"/>
              </w:rPr>
              <w:t>外观</w:t>
            </w:r>
          </w:p>
        </w:tc>
        <w:tc>
          <w:tcPr>
            <w:tcW w:w="2319" w:type="pct"/>
            <w:tcBorders>
              <w:top w:val="single" w:color="auto" w:sz="4" w:space="0"/>
              <w:left w:val="single" w:color="auto" w:sz="4" w:space="0"/>
              <w:bottom w:val="single" w:color="auto" w:sz="4" w:space="0"/>
              <w:right w:val="single" w:color="auto" w:sz="12" w:space="0"/>
            </w:tcBorders>
            <w:vAlign w:val="center"/>
          </w:tcPr>
          <w:p w14:paraId="145A2D68">
            <w:pPr>
              <w:jc w:val="center"/>
              <w:rPr>
                <w:rFonts w:eastAsia="仿宋_GB2312"/>
                <w:szCs w:val="21"/>
              </w:rPr>
            </w:pPr>
            <w:r>
              <w:rPr>
                <w:rFonts w:eastAsia="仿宋_GB2312"/>
              </w:rPr>
              <w:t>清晰透明液体，无机械杂质和游离水</w:t>
            </w:r>
          </w:p>
        </w:tc>
      </w:tr>
      <w:tr w14:paraId="74354F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80" w:type="pct"/>
            <w:tcBorders>
              <w:top w:val="single" w:color="auto" w:sz="4" w:space="0"/>
              <w:left w:val="single" w:color="auto" w:sz="12" w:space="0"/>
              <w:bottom w:val="single" w:color="auto" w:sz="4" w:space="0"/>
              <w:right w:val="single" w:color="auto" w:sz="4" w:space="0"/>
            </w:tcBorders>
            <w:noWrap/>
            <w:vAlign w:val="center"/>
          </w:tcPr>
          <w:p w14:paraId="46E93EC8">
            <w:pPr>
              <w:jc w:val="center"/>
              <w:rPr>
                <w:rFonts w:eastAsia="仿宋_GB2312"/>
                <w:szCs w:val="21"/>
              </w:rPr>
            </w:pPr>
            <w:r>
              <w:rPr>
                <w:rFonts w:eastAsia="仿宋_GB2312"/>
              </w:rPr>
              <w:t>纯度，ω%</w:t>
            </w:r>
          </w:p>
        </w:tc>
        <w:tc>
          <w:tcPr>
            <w:tcW w:w="2319" w:type="pct"/>
            <w:tcBorders>
              <w:top w:val="single" w:color="auto" w:sz="4" w:space="0"/>
              <w:left w:val="single" w:color="auto" w:sz="4" w:space="0"/>
              <w:bottom w:val="single" w:color="auto" w:sz="4" w:space="0"/>
              <w:right w:val="single" w:color="auto" w:sz="12" w:space="0"/>
            </w:tcBorders>
            <w:vAlign w:val="center"/>
          </w:tcPr>
          <w:p w14:paraId="7D1A477C">
            <w:pPr>
              <w:jc w:val="center"/>
              <w:rPr>
                <w:rFonts w:eastAsia="仿宋_GB2312"/>
                <w:szCs w:val="21"/>
              </w:rPr>
            </w:pPr>
            <w:r>
              <w:rPr>
                <w:rFonts w:eastAsia="仿宋_GB2312"/>
              </w:rPr>
              <w:t>≥99.6</w:t>
            </w:r>
          </w:p>
        </w:tc>
      </w:tr>
      <w:tr w14:paraId="217BF8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80" w:type="pct"/>
            <w:tcBorders>
              <w:top w:val="single" w:color="auto" w:sz="4" w:space="0"/>
              <w:left w:val="single" w:color="auto" w:sz="12" w:space="0"/>
              <w:bottom w:val="single" w:color="auto" w:sz="4" w:space="0"/>
              <w:right w:val="single" w:color="auto" w:sz="4" w:space="0"/>
            </w:tcBorders>
            <w:noWrap/>
            <w:vAlign w:val="center"/>
          </w:tcPr>
          <w:p w14:paraId="3C2AE67C">
            <w:pPr>
              <w:jc w:val="center"/>
              <w:rPr>
                <w:rFonts w:eastAsia="仿宋_GB2312"/>
                <w:szCs w:val="21"/>
              </w:rPr>
            </w:pPr>
            <w:r>
              <w:rPr>
                <w:rFonts w:eastAsia="仿宋_GB2312"/>
              </w:rPr>
              <w:t>聚合物/（mg/kg）</w:t>
            </w:r>
          </w:p>
        </w:tc>
        <w:tc>
          <w:tcPr>
            <w:tcW w:w="2319" w:type="pct"/>
            <w:tcBorders>
              <w:top w:val="single" w:color="auto" w:sz="4" w:space="0"/>
              <w:left w:val="single" w:color="auto" w:sz="4" w:space="0"/>
              <w:bottom w:val="single" w:color="auto" w:sz="4" w:space="0"/>
              <w:right w:val="single" w:color="auto" w:sz="12" w:space="0"/>
            </w:tcBorders>
            <w:vAlign w:val="center"/>
          </w:tcPr>
          <w:p w14:paraId="54D8EFFF">
            <w:pPr>
              <w:jc w:val="center"/>
              <w:rPr>
                <w:rFonts w:eastAsia="仿宋_GB2312"/>
                <w:szCs w:val="21"/>
              </w:rPr>
            </w:pPr>
            <w:r>
              <w:rPr>
                <w:rFonts w:eastAsia="仿宋_GB2312"/>
              </w:rPr>
              <w:t>≤50</w:t>
            </w:r>
          </w:p>
        </w:tc>
      </w:tr>
      <w:tr w14:paraId="150965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80" w:type="pct"/>
            <w:tcBorders>
              <w:top w:val="single" w:color="auto" w:sz="4" w:space="0"/>
              <w:left w:val="single" w:color="auto" w:sz="12" w:space="0"/>
              <w:bottom w:val="single" w:color="auto" w:sz="4" w:space="0"/>
              <w:right w:val="single" w:color="auto" w:sz="4" w:space="0"/>
            </w:tcBorders>
            <w:noWrap/>
            <w:vAlign w:val="center"/>
          </w:tcPr>
          <w:p w14:paraId="2BF48CE9">
            <w:pPr>
              <w:jc w:val="center"/>
              <w:rPr>
                <w:rFonts w:eastAsia="仿宋_GB2312"/>
                <w:szCs w:val="21"/>
              </w:rPr>
            </w:pPr>
            <w:r>
              <w:rPr>
                <w:rFonts w:eastAsia="仿宋_GB2312"/>
              </w:rPr>
              <w:t>过氧化物（以过氧化氢计）/（mg/kg）</w:t>
            </w:r>
          </w:p>
        </w:tc>
        <w:tc>
          <w:tcPr>
            <w:tcW w:w="2319" w:type="pct"/>
            <w:tcBorders>
              <w:top w:val="single" w:color="auto" w:sz="4" w:space="0"/>
              <w:left w:val="single" w:color="auto" w:sz="4" w:space="0"/>
              <w:bottom w:val="single" w:color="auto" w:sz="4" w:space="0"/>
              <w:right w:val="single" w:color="auto" w:sz="12" w:space="0"/>
            </w:tcBorders>
            <w:vAlign w:val="center"/>
          </w:tcPr>
          <w:p w14:paraId="5FCEA128">
            <w:pPr>
              <w:jc w:val="center"/>
              <w:rPr>
                <w:rFonts w:eastAsia="仿宋_GB2312"/>
                <w:szCs w:val="21"/>
              </w:rPr>
            </w:pPr>
            <w:r>
              <w:rPr>
                <w:rFonts w:eastAsia="仿宋_GB2312"/>
              </w:rPr>
              <w:t>≤100</w:t>
            </w:r>
          </w:p>
        </w:tc>
      </w:tr>
      <w:tr w14:paraId="23BECA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80" w:type="pct"/>
            <w:tcBorders>
              <w:top w:val="single" w:color="auto" w:sz="4" w:space="0"/>
              <w:left w:val="single" w:color="auto" w:sz="12" w:space="0"/>
              <w:bottom w:val="single" w:color="auto" w:sz="4" w:space="0"/>
              <w:right w:val="single" w:color="auto" w:sz="4" w:space="0"/>
            </w:tcBorders>
            <w:noWrap/>
            <w:vAlign w:val="center"/>
          </w:tcPr>
          <w:p w14:paraId="2489D340">
            <w:pPr>
              <w:jc w:val="center"/>
              <w:rPr>
                <w:rFonts w:eastAsia="仿宋_GB2312"/>
                <w:szCs w:val="21"/>
              </w:rPr>
            </w:pPr>
            <w:r>
              <w:rPr>
                <w:rFonts w:eastAsia="仿宋_GB2312"/>
              </w:rPr>
              <w:t>总醛（以苯甲醛计）/（mg/kg）</w:t>
            </w:r>
          </w:p>
        </w:tc>
        <w:tc>
          <w:tcPr>
            <w:tcW w:w="2319" w:type="pct"/>
            <w:tcBorders>
              <w:top w:val="single" w:color="auto" w:sz="4" w:space="0"/>
              <w:left w:val="single" w:color="auto" w:sz="4" w:space="0"/>
              <w:bottom w:val="single" w:color="auto" w:sz="4" w:space="0"/>
              <w:right w:val="single" w:color="auto" w:sz="12" w:space="0"/>
            </w:tcBorders>
            <w:vAlign w:val="center"/>
          </w:tcPr>
          <w:p w14:paraId="567A0FD9">
            <w:pPr>
              <w:jc w:val="center"/>
              <w:rPr>
                <w:rFonts w:eastAsia="仿宋_GB2312"/>
                <w:szCs w:val="21"/>
              </w:rPr>
            </w:pPr>
            <w:r>
              <w:rPr>
                <w:rFonts w:eastAsia="仿宋_GB2312"/>
              </w:rPr>
              <w:t>≤200</w:t>
            </w:r>
          </w:p>
        </w:tc>
      </w:tr>
      <w:tr w14:paraId="36F6AFE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80" w:type="pct"/>
            <w:tcBorders>
              <w:top w:val="single" w:color="auto" w:sz="4" w:space="0"/>
              <w:left w:val="single" w:color="auto" w:sz="12" w:space="0"/>
              <w:bottom w:val="single" w:color="auto" w:sz="4" w:space="0"/>
              <w:right w:val="single" w:color="auto" w:sz="4" w:space="0"/>
            </w:tcBorders>
            <w:noWrap/>
            <w:vAlign w:val="center"/>
          </w:tcPr>
          <w:p w14:paraId="6961F1F5">
            <w:pPr>
              <w:jc w:val="center"/>
              <w:rPr>
                <w:rFonts w:eastAsia="仿宋_GB2312"/>
                <w:szCs w:val="21"/>
              </w:rPr>
            </w:pPr>
            <w:r>
              <w:rPr>
                <w:rFonts w:eastAsia="仿宋_GB2312"/>
              </w:rPr>
              <w:t>色度（铂-钴色号）/号</w:t>
            </w:r>
          </w:p>
        </w:tc>
        <w:tc>
          <w:tcPr>
            <w:tcW w:w="2319" w:type="pct"/>
            <w:tcBorders>
              <w:top w:val="single" w:color="auto" w:sz="4" w:space="0"/>
              <w:left w:val="single" w:color="auto" w:sz="4" w:space="0"/>
              <w:bottom w:val="single" w:color="auto" w:sz="4" w:space="0"/>
              <w:right w:val="single" w:color="auto" w:sz="12" w:space="0"/>
            </w:tcBorders>
            <w:vAlign w:val="center"/>
          </w:tcPr>
          <w:p w14:paraId="6D8C35BE">
            <w:pPr>
              <w:jc w:val="center"/>
              <w:rPr>
                <w:rFonts w:eastAsia="仿宋_GB2312"/>
                <w:szCs w:val="21"/>
              </w:rPr>
            </w:pPr>
            <w:r>
              <w:rPr>
                <w:rFonts w:eastAsia="仿宋_GB2312"/>
              </w:rPr>
              <w:t>≤30</w:t>
            </w:r>
          </w:p>
        </w:tc>
      </w:tr>
      <w:tr w14:paraId="076D5C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80" w:type="pct"/>
            <w:tcBorders>
              <w:top w:val="single" w:color="auto" w:sz="4" w:space="0"/>
              <w:left w:val="single" w:color="auto" w:sz="12" w:space="0"/>
              <w:bottom w:val="single" w:color="auto" w:sz="4" w:space="0"/>
              <w:right w:val="single" w:color="auto" w:sz="4" w:space="0"/>
            </w:tcBorders>
            <w:noWrap/>
            <w:vAlign w:val="center"/>
          </w:tcPr>
          <w:p w14:paraId="30C666AA">
            <w:pPr>
              <w:jc w:val="center"/>
              <w:rPr>
                <w:rFonts w:eastAsia="仿宋_GB2312"/>
                <w:szCs w:val="21"/>
              </w:rPr>
            </w:pPr>
            <w:r>
              <w:rPr>
                <w:rFonts w:eastAsia="仿宋_GB2312"/>
              </w:rPr>
              <w:t>乙苯（质量分数）/%</w:t>
            </w:r>
          </w:p>
        </w:tc>
        <w:tc>
          <w:tcPr>
            <w:tcW w:w="2319" w:type="pct"/>
            <w:tcBorders>
              <w:top w:val="single" w:color="auto" w:sz="4" w:space="0"/>
              <w:left w:val="single" w:color="auto" w:sz="4" w:space="0"/>
              <w:bottom w:val="single" w:color="auto" w:sz="4" w:space="0"/>
              <w:right w:val="single" w:color="auto" w:sz="12" w:space="0"/>
            </w:tcBorders>
            <w:vAlign w:val="center"/>
          </w:tcPr>
          <w:p w14:paraId="465D615F">
            <w:pPr>
              <w:jc w:val="center"/>
              <w:rPr>
                <w:rFonts w:eastAsia="仿宋_GB2312"/>
                <w:szCs w:val="21"/>
              </w:rPr>
            </w:pPr>
            <w:r>
              <w:rPr>
                <w:rFonts w:eastAsia="仿宋_GB2312"/>
              </w:rPr>
              <w:t>报告值</w:t>
            </w:r>
          </w:p>
        </w:tc>
      </w:tr>
      <w:tr w14:paraId="689305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80" w:type="pct"/>
            <w:tcBorders>
              <w:top w:val="single" w:color="auto" w:sz="4" w:space="0"/>
              <w:left w:val="single" w:color="auto" w:sz="12" w:space="0"/>
              <w:bottom w:val="single" w:color="auto" w:sz="4" w:space="0"/>
              <w:right w:val="single" w:color="auto" w:sz="4" w:space="0"/>
            </w:tcBorders>
            <w:noWrap/>
            <w:vAlign w:val="center"/>
          </w:tcPr>
          <w:p w14:paraId="0987E556">
            <w:pPr>
              <w:jc w:val="center"/>
              <w:rPr>
                <w:rFonts w:eastAsia="仿宋_GB2312"/>
                <w:szCs w:val="21"/>
              </w:rPr>
            </w:pPr>
            <w:r>
              <w:rPr>
                <w:rFonts w:eastAsia="仿宋_GB2312"/>
              </w:rPr>
              <w:t>阻聚剂（TBC）/（mg/kg）</w:t>
            </w:r>
          </w:p>
        </w:tc>
        <w:tc>
          <w:tcPr>
            <w:tcW w:w="2319" w:type="pct"/>
            <w:tcBorders>
              <w:top w:val="single" w:color="auto" w:sz="4" w:space="0"/>
              <w:left w:val="single" w:color="auto" w:sz="4" w:space="0"/>
              <w:bottom w:val="single" w:color="auto" w:sz="4" w:space="0"/>
              <w:right w:val="single" w:color="auto" w:sz="12" w:space="0"/>
            </w:tcBorders>
            <w:vAlign w:val="center"/>
          </w:tcPr>
          <w:p w14:paraId="3D75BAFB">
            <w:pPr>
              <w:jc w:val="center"/>
              <w:rPr>
                <w:rFonts w:eastAsia="仿宋_GB2312"/>
                <w:szCs w:val="21"/>
              </w:rPr>
            </w:pPr>
            <w:r>
              <w:rPr>
                <w:rFonts w:eastAsia="仿宋_GB2312"/>
              </w:rPr>
              <w:t>10~15（或按需）</w:t>
            </w:r>
          </w:p>
        </w:tc>
      </w:tr>
      <w:tr w14:paraId="5D085F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80" w:type="pct"/>
            <w:tcBorders>
              <w:top w:val="single" w:color="auto" w:sz="4" w:space="0"/>
              <w:left w:val="single" w:color="auto" w:sz="12" w:space="0"/>
              <w:bottom w:val="single" w:color="auto" w:sz="4" w:space="0"/>
              <w:right w:val="single" w:color="auto" w:sz="4" w:space="0"/>
            </w:tcBorders>
            <w:noWrap/>
            <w:vAlign w:val="center"/>
          </w:tcPr>
          <w:p w14:paraId="6B46E2ED">
            <w:pPr>
              <w:jc w:val="center"/>
              <w:rPr>
                <w:rFonts w:eastAsia="仿宋_GB2312"/>
                <w:szCs w:val="21"/>
              </w:rPr>
            </w:pPr>
            <w:r>
              <w:rPr>
                <w:rFonts w:eastAsia="仿宋_GB2312"/>
              </w:rPr>
              <w:t>苯乙炔/（mg/kg）</w:t>
            </w:r>
          </w:p>
        </w:tc>
        <w:tc>
          <w:tcPr>
            <w:tcW w:w="2319" w:type="pct"/>
            <w:tcBorders>
              <w:top w:val="single" w:color="auto" w:sz="4" w:space="0"/>
              <w:left w:val="single" w:color="auto" w:sz="4" w:space="0"/>
              <w:bottom w:val="single" w:color="auto" w:sz="4" w:space="0"/>
              <w:right w:val="single" w:color="auto" w:sz="12" w:space="0"/>
            </w:tcBorders>
            <w:vAlign w:val="center"/>
          </w:tcPr>
          <w:p w14:paraId="197C9FBA">
            <w:pPr>
              <w:jc w:val="center"/>
              <w:rPr>
                <w:rFonts w:eastAsia="仿宋_GB2312"/>
                <w:szCs w:val="21"/>
              </w:rPr>
            </w:pPr>
            <w:r>
              <w:rPr>
                <w:rFonts w:eastAsia="仿宋_GB2312"/>
              </w:rPr>
              <w:t>报告值</w:t>
            </w:r>
          </w:p>
        </w:tc>
      </w:tr>
      <w:tr w14:paraId="3F6B22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80" w:type="pct"/>
            <w:tcBorders>
              <w:top w:val="single" w:color="auto" w:sz="4" w:space="0"/>
              <w:left w:val="single" w:color="auto" w:sz="12" w:space="0"/>
              <w:bottom w:val="single" w:color="auto" w:sz="4" w:space="0"/>
              <w:right w:val="single" w:color="auto" w:sz="4" w:space="0"/>
            </w:tcBorders>
            <w:noWrap/>
            <w:vAlign w:val="center"/>
          </w:tcPr>
          <w:p w14:paraId="253E4BFF">
            <w:pPr>
              <w:jc w:val="center"/>
              <w:rPr>
                <w:rFonts w:eastAsia="仿宋_GB2312"/>
                <w:szCs w:val="21"/>
              </w:rPr>
            </w:pPr>
            <w:r>
              <w:rPr>
                <w:rFonts w:eastAsia="仿宋_GB2312"/>
              </w:rPr>
              <w:t>总硫/（mg/kg）</w:t>
            </w:r>
          </w:p>
        </w:tc>
        <w:tc>
          <w:tcPr>
            <w:tcW w:w="2319" w:type="pct"/>
            <w:tcBorders>
              <w:top w:val="single" w:color="auto" w:sz="4" w:space="0"/>
              <w:left w:val="single" w:color="auto" w:sz="4" w:space="0"/>
              <w:bottom w:val="single" w:color="auto" w:sz="4" w:space="0"/>
              <w:right w:val="single" w:color="auto" w:sz="12" w:space="0"/>
            </w:tcBorders>
            <w:vAlign w:val="center"/>
          </w:tcPr>
          <w:p w14:paraId="61F642BC">
            <w:pPr>
              <w:jc w:val="center"/>
              <w:rPr>
                <w:rFonts w:eastAsia="仿宋_GB2312"/>
                <w:szCs w:val="21"/>
              </w:rPr>
            </w:pPr>
            <w:r>
              <w:rPr>
                <w:rFonts w:eastAsia="仿宋_GB2312"/>
              </w:rPr>
              <w:t>报告值</w:t>
            </w:r>
          </w:p>
        </w:tc>
      </w:tr>
      <w:tr w14:paraId="69D6429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80" w:type="pct"/>
            <w:tcBorders>
              <w:top w:val="single" w:color="auto" w:sz="4" w:space="0"/>
              <w:left w:val="single" w:color="auto" w:sz="12" w:space="0"/>
              <w:bottom w:val="single" w:color="auto" w:sz="4" w:space="0"/>
              <w:right w:val="single" w:color="auto" w:sz="4" w:space="0"/>
            </w:tcBorders>
            <w:noWrap/>
            <w:vAlign w:val="center"/>
          </w:tcPr>
          <w:p w14:paraId="0C29B441">
            <w:pPr>
              <w:jc w:val="center"/>
              <w:rPr>
                <w:rFonts w:eastAsia="仿宋_GB2312"/>
                <w:szCs w:val="21"/>
              </w:rPr>
            </w:pPr>
            <w:r>
              <w:rPr>
                <w:rFonts w:eastAsia="仿宋_GB2312"/>
              </w:rPr>
              <w:t>水/（mg/kg）</w:t>
            </w:r>
          </w:p>
        </w:tc>
        <w:tc>
          <w:tcPr>
            <w:tcW w:w="2319" w:type="pct"/>
            <w:tcBorders>
              <w:top w:val="single" w:color="auto" w:sz="4" w:space="0"/>
              <w:left w:val="single" w:color="auto" w:sz="4" w:space="0"/>
              <w:bottom w:val="single" w:color="auto" w:sz="4" w:space="0"/>
              <w:right w:val="single" w:color="auto" w:sz="12" w:space="0"/>
            </w:tcBorders>
            <w:vAlign w:val="center"/>
          </w:tcPr>
          <w:p w14:paraId="36F4D683">
            <w:pPr>
              <w:jc w:val="center"/>
              <w:rPr>
                <w:rFonts w:eastAsia="仿宋_GB2312"/>
                <w:szCs w:val="21"/>
              </w:rPr>
            </w:pPr>
            <w:r>
              <w:rPr>
                <w:rFonts w:eastAsia="仿宋_GB2312"/>
              </w:rPr>
              <w:t>供需双方商定</w:t>
            </w:r>
          </w:p>
        </w:tc>
      </w:tr>
      <w:tr w14:paraId="544283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80" w:type="pct"/>
            <w:tcBorders>
              <w:top w:val="single" w:color="auto" w:sz="4" w:space="0"/>
              <w:left w:val="single" w:color="auto" w:sz="12" w:space="0"/>
              <w:bottom w:val="single" w:color="auto" w:sz="12" w:space="0"/>
              <w:right w:val="single" w:color="auto" w:sz="4" w:space="0"/>
            </w:tcBorders>
            <w:noWrap/>
            <w:vAlign w:val="center"/>
          </w:tcPr>
          <w:p w14:paraId="5BC4B2DB">
            <w:pPr>
              <w:jc w:val="center"/>
              <w:rPr>
                <w:rFonts w:eastAsia="仿宋_GB2312"/>
                <w:szCs w:val="21"/>
              </w:rPr>
            </w:pPr>
            <w:r>
              <w:rPr>
                <w:rFonts w:eastAsia="仿宋_GB2312"/>
              </w:rPr>
              <w:t>苯/（mg/kg）</w:t>
            </w:r>
          </w:p>
        </w:tc>
        <w:tc>
          <w:tcPr>
            <w:tcW w:w="2319" w:type="pct"/>
            <w:tcBorders>
              <w:top w:val="single" w:color="auto" w:sz="4" w:space="0"/>
              <w:left w:val="single" w:color="auto" w:sz="4" w:space="0"/>
              <w:bottom w:val="single" w:color="auto" w:sz="12" w:space="0"/>
              <w:right w:val="single" w:color="auto" w:sz="12" w:space="0"/>
            </w:tcBorders>
            <w:vAlign w:val="center"/>
          </w:tcPr>
          <w:p w14:paraId="240E50E7">
            <w:pPr>
              <w:jc w:val="center"/>
              <w:rPr>
                <w:rFonts w:eastAsia="仿宋_GB2312"/>
                <w:szCs w:val="21"/>
              </w:rPr>
            </w:pPr>
            <w:r>
              <w:rPr>
                <w:rFonts w:eastAsia="仿宋_GB2312"/>
              </w:rPr>
              <w:t>供需双方商定</w:t>
            </w:r>
          </w:p>
        </w:tc>
      </w:tr>
    </w:tbl>
    <w:p w14:paraId="16BB1686">
      <w:pPr>
        <w:pStyle w:val="162"/>
        <w:spacing w:line="480" w:lineRule="exact"/>
        <w:ind w:firstLine="0" w:firstLineChars="0"/>
        <w:rPr>
          <w:rFonts w:ascii="Times New Roman"/>
        </w:rPr>
      </w:pPr>
      <w:r>
        <w:rPr>
          <w:rFonts w:ascii="Times New Roman"/>
          <w:bCs w:val="0"/>
        </w:rPr>
        <w:t>表3.2-3</w:t>
      </w:r>
      <w:r>
        <w:rPr>
          <w:rFonts w:hint="eastAsia" w:ascii="Times New Roman"/>
          <w:bCs w:val="0"/>
          <w:lang w:val="en-US" w:eastAsia="zh-CN"/>
        </w:rPr>
        <w:t>3</w:t>
      </w:r>
      <w:r>
        <w:rPr>
          <w:rFonts w:ascii="Times New Roman"/>
          <w:bCs w:val="0"/>
        </w:rPr>
        <w:t xml:space="preserve"> </w:t>
      </w:r>
      <w:r>
        <w:rPr>
          <w:rFonts w:ascii="Times New Roman"/>
          <w:b w:val="0"/>
        </w:rPr>
        <w:t xml:space="preserve"> </w:t>
      </w:r>
      <w:r>
        <w:rPr>
          <w:rFonts w:ascii="Times New Roman"/>
        </w:rPr>
        <w:t>二乙二醇产品质量指标</w:t>
      </w:r>
    </w:p>
    <w:tbl>
      <w:tblPr>
        <w:tblStyle w:val="88"/>
        <w:tblW w:w="4998"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4574"/>
        <w:gridCol w:w="3946"/>
      </w:tblGrid>
      <w:tr w14:paraId="3EB43E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684" w:type="pct"/>
            <w:noWrap/>
            <w:vAlign w:val="center"/>
          </w:tcPr>
          <w:p w14:paraId="225BCA6E">
            <w:pPr>
              <w:adjustRightInd w:val="0"/>
              <w:snapToGrid w:val="0"/>
              <w:jc w:val="center"/>
              <w:rPr>
                <w:rFonts w:eastAsia="仿宋_GB2312"/>
                <w:b/>
                <w:szCs w:val="21"/>
              </w:rPr>
            </w:pPr>
            <w:r>
              <w:rPr>
                <w:rFonts w:eastAsia="仿宋_GB2312"/>
                <w:b/>
              </w:rPr>
              <w:t>项目</w:t>
            </w:r>
          </w:p>
        </w:tc>
        <w:tc>
          <w:tcPr>
            <w:tcW w:w="2316" w:type="pct"/>
            <w:vAlign w:val="center"/>
          </w:tcPr>
          <w:p w14:paraId="367196D5">
            <w:pPr>
              <w:adjustRightInd w:val="0"/>
              <w:snapToGrid w:val="0"/>
              <w:jc w:val="center"/>
              <w:rPr>
                <w:rFonts w:eastAsia="仿宋_GB2312"/>
                <w:b/>
                <w:szCs w:val="21"/>
              </w:rPr>
            </w:pPr>
            <w:r>
              <w:rPr>
                <w:rFonts w:eastAsia="仿宋_GB2312"/>
                <w:b/>
              </w:rPr>
              <w:t>指标（</w:t>
            </w:r>
            <w:r>
              <w:rPr>
                <w:rFonts w:hint="eastAsia" w:ascii="宋体" w:hAnsi="宋体" w:cs="宋体"/>
                <w:b/>
              </w:rPr>
              <w:t>Ⅱ</w:t>
            </w:r>
            <w:r>
              <w:rPr>
                <w:rFonts w:eastAsia="仿宋_GB2312"/>
                <w:b/>
              </w:rPr>
              <w:t>型）</w:t>
            </w:r>
          </w:p>
        </w:tc>
      </w:tr>
      <w:tr w14:paraId="07CCAD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684" w:type="pct"/>
            <w:noWrap/>
            <w:vAlign w:val="center"/>
          </w:tcPr>
          <w:p w14:paraId="23BD35F1">
            <w:pPr>
              <w:jc w:val="center"/>
              <w:rPr>
                <w:rFonts w:eastAsia="仿宋_GB2312"/>
                <w:szCs w:val="21"/>
              </w:rPr>
            </w:pPr>
            <w:r>
              <w:rPr>
                <w:rFonts w:eastAsia="仿宋_GB2312"/>
              </w:rPr>
              <w:t>外观</w:t>
            </w:r>
          </w:p>
        </w:tc>
        <w:tc>
          <w:tcPr>
            <w:tcW w:w="2316" w:type="pct"/>
            <w:vAlign w:val="center"/>
          </w:tcPr>
          <w:p w14:paraId="2CCB2163">
            <w:pPr>
              <w:jc w:val="center"/>
              <w:rPr>
                <w:rFonts w:eastAsia="仿宋_GB2312"/>
                <w:szCs w:val="21"/>
              </w:rPr>
            </w:pPr>
            <w:r>
              <w:rPr>
                <w:rFonts w:eastAsia="仿宋_GB2312"/>
              </w:rPr>
              <w:t>清澈透明，无机械杂质</w:t>
            </w:r>
          </w:p>
        </w:tc>
      </w:tr>
      <w:tr w14:paraId="218B4E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684" w:type="pct"/>
            <w:noWrap/>
            <w:vAlign w:val="center"/>
          </w:tcPr>
          <w:p w14:paraId="5230AAF5">
            <w:pPr>
              <w:jc w:val="center"/>
              <w:rPr>
                <w:rFonts w:eastAsia="仿宋_GB2312"/>
                <w:szCs w:val="21"/>
              </w:rPr>
            </w:pPr>
            <w:r>
              <w:rPr>
                <w:rFonts w:eastAsia="仿宋_GB2312"/>
              </w:rPr>
              <w:t>色度，铂-钴色号</w:t>
            </w:r>
          </w:p>
        </w:tc>
        <w:tc>
          <w:tcPr>
            <w:tcW w:w="2316" w:type="pct"/>
            <w:vAlign w:val="center"/>
          </w:tcPr>
          <w:p w14:paraId="301B474E">
            <w:pPr>
              <w:jc w:val="center"/>
              <w:rPr>
                <w:rFonts w:eastAsia="仿宋_GB2312"/>
                <w:szCs w:val="21"/>
              </w:rPr>
            </w:pPr>
            <w:r>
              <w:rPr>
                <w:rFonts w:eastAsia="仿宋_GB2312"/>
              </w:rPr>
              <w:t>≤30</w:t>
            </w:r>
          </w:p>
        </w:tc>
      </w:tr>
      <w:tr w14:paraId="6F364A5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684" w:type="pct"/>
            <w:noWrap/>
            <w:vAlign w:val="center"/>
          </w:tcPr>
          <w:p w14:paraId="783E5D4D">
            <w:pPr>
              <w:jc w:val="center"/>
              <w:rPr>
                <w:rFonts w:eastAsia="仿宋_GB2312"/>
                <w:szCs w:val="21"/>
              </w:rPr>
            </w:pPr>
            <w:r>
              <w:rPr>
                <w:rFonts w:eastAsia="仿宋_GB2312"/>
              </w:rPr>
              <w:t>密度(20</w:t>
            </w:r>
            <w:r>
              <w:rPr>
                <w:rFonts w:hint="eastAsia" w:ascii="宋体" w:hAnsi="宋体" w:cs="宋体"/>
              </w:rPr>
              <w:t>℃</w:t>
            </w:r>
            <w:r>
              <w:rPr>
                <w:rFonts w:eastAsia="仿宋_GB2312"/>
              </w:rPr>
              <w:t>)/（g/cm</w:t>
            </w:r>
            <w:r>
              <w:rPr>
                <w:rFonts w:eastAsia="仿宋_GB2312"/>
                <w:vertAlign w:val="superscript"/>
              </w:rPr>
              <w:t>3</w:t>
            </w:r>
            <w:r>
              <w:rPr>
                <w:rFonts w:eastAsia="仿宋_GB2312"/>
              </w:rPr>
              <w:t>）</w:t>
            </w:r>
          </w:p>
        </w:tc>
        <w:tc>
          <w:tcPr>
            <w:tcW w:w="2316" w:type="pct"/>
            <w:vAlign w:val="center"/>
          </w:tcPr>
          <w:p w14:paraId="0B8E5A99">
            <w:pPr>
              <w:jc w:val="center"/>
              <w:rPr>
                <w:rFonts w:eastAsia="仿宋_GB2312"/>
                <w:szCs w:val="21"/>
              </w:rPr>
            </w:pPr>
            <w:r>
              <w:rPr>
                <w:rFonts w:eastAsia="仿宋_GB2312"/>
              </w:rPr>
              <w:t>1.1155~1.1176</w:t>
            </w:r>
          </w:p>
        </w:tc>
      </w:tr>
      <w:tr w14:paraId="1DEEFB1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684" w:type="pct"/>
            <w:noWrap/>
            <w:vAlign w:val="center"/>
          </w:tcPr>
          <w:p w14:paraId="10CFC720">
            <w:pPr>
              <w:jc w:val="center"/>
              <w:rPr>
                <w:rFonts w:eastAsia="仿宋_GB2312"/>
                <w:szCs w:val="21"/>
              </w:rPr>
            </w:pPr>
            <w:r>
              <w:rPr>
                <w:rFonts w:eastAsia="仿宋_GB2312"/>
              </w:rPr>
              <w:t>水分，ω/%</w:t>
            </w:r>
          </w:p>
        </w:tc>
        <w:tc>
          <w:tcPr>
            <w:tcW w:w="2316" w:type="pct"/>
            <w:vAlign w:val="center"/>
          </w:tcPr>
          <w:p w14:paraId="0E16DB7D">
            <w:pPr>
              <w:jc w:val="center"/>
              <w:rPr>
                <w:rFonts w:eastAsia="仿宋_GB2312"/>
                <w:szCs w:val="21"/>
              </w:rPr>
            </w:pPr>
            <w:r>
              <w:rPr>
                <w:rFonts w:eastAsia="仿宋_GB2312"/>
              </w:rPr>
              <w:t>≤0.20</w:t>
            </w:r>
          </w:p>
        </w:tc>
      </w:tr>
      <w:tr w14:paraId="02200F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684" w:type="pct"/>
            <w:noWrap/>
            <w:vAlign w:val="center"/>
          </w:tcPr>
          <w:p w14:paraId="742463EB">
            <w:pPr>
              <w:jc w:val="center"/>
              <w:rPr>
                <w:rFonts w:eastAsia="仿宋_GB2312"/>
                <w:szCs w:val="21"/>
              </w:rPr>
            </w:pPr>
            <w:r>
              <w:rPr>
                <w:rFonts w:eastAsia="仿宋_GB2312"/>
              </w:rPr>
              <w:t>沸程</w:t>
            </w:r>
          </w:p>
          <w:p w14:paraId="331A2D27">
            <w:pPr>
              <w:jc w:val="center"/>
              <w:rPr>
                <w:rFonts w:eastAsia="仿宋_GB2312"/>
              </w:rPr>
            </w:pPr>
            <w:r>
              <w:rPr>
                <w:rFonts w:eastAsia="仿宋_GB2312"/>
              </w:rPr>
              <w:t>初馏点/</w:t>
            </w:r>
            <w:r>
              <w:rPr>
                <w:rFonts w:hint="eastAsia" w:ascii="宋体" w:hAnsi="宋体" w:cs="宋体"/>
              </w:rPr>
              <w:t>℃</w:t>
            </w:r>
          </w:p>
          <w:p w14:paraId="0E42F189">
            <w:pPr>
              <w:jc w:val="center"/>
              <w:rPr>
                <w:rFonts w:eastAsia="仿宋_GB2312"/>
                <w:szCs w:val="21"/>
              </w:rPr>
            </w:pPr>
            <w:r>
              <w:rPr>
                <w:rFonts w:eastAsia="仿宋_GB2312"/>
              </w:rPr>
              <w:t>干点/</w:t>
            </w:r>
            <w:r>
              <w:rPr>
                <w:rFonts w:hint="eastAsia" w:ascii="宋体" w:hAnsi="宋体" w:cs="宋体"/>
              </w:rPr>
              <w:t>℃</w:t>
            </w:r>
          </w:p>
        </w:tc>
        <w:tc>
          <w:tcPr>
            <w:tcW w:w="2316" w:type="pct"/>
            <w:vAlign w:val="center"/>
          </w:tcPr>
          <w:p w14:paraId="3938C95F">
            <w:pPr>
              <w:jc w:val="center"/>
              <w:rPr>
                <w:rFonts w:eastAsia="仿宋_GB2312"/>
                <w:szCs w:val="21"/>
              </w:rPr>
            </w:pPr>
          </w:p>
          <w:p w14:paraId="5292089E">
            <w:pPr>
              <w:jc w:val="center"/>
              <w:rPr>
                <w:rFonts w:eastAsia="仿宋_GB2312"/>
              </w:rPr>
            </w:pPr>
            <w:r>
              <w:rPr>
                <w:rFonts w:eastAsia="仿宋_GB2312"/>
              </w:rPr>
              <w:t>≥240</w:t>
            </w:r>
          </w:p>
          <w:p w14:paraId="47617DB3">
            <w:pPr>
              <w:jc w:val="center"/>
              <w:rPr>
                <w:rFonts w:eastAsia="仿宋_GB2312"/>
                <w:szCs w:val="21"/>
              </w:rPr>
            </w:pPr>
            <w:r>
              <w:rPr>
                <w:rFonts w:eastAsia="仿宋_GB2312"/>
              </w:rPr>
              <w:t>≤255</w:t>
            </w:r>
          </w:p>
        </w:tc>
      </w:tr>
      <w:tr w14:paraId="58041F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684" w:type="pct"/>
            <w:noWrap/>
            <w:vAlign w:val="center"/>
          </w:tcPr>
          <w:p w14:paraId="230DC1AB">
            <w:pPr>
              <w:jc w:val="center"/>
              <w:rPr>
                <w:rFonts w:eastAsia="仿宋_GB2312"/>
                <w:szCs w:val="21"/>
              </w:rPr>
            </w:pPr>
            <w:r>
              <w:rPr>
                <w:rFonts w:eastAsia="仿宋_GB2312"/>
              </w:rPr>
              <w:t>乙二醇含量，ω/%</w:t>
            </w:r>
          </w:p>
        </w:tc>
        <w:tc>
          <w:tcPr>
            <w:tcW w:w="2316" w:type="pct"/>
            <w:vAlign w:val="center"/>
          </w:tcPr>
          <w:p w14:paraId="61CB86ED">
            <w:pPr>
              <w:jc w:val="center"/>
              <w:rPr>
                <w:rFonts w:eastAsia="仿宋_GB2312"/>
                <w:szCs w:val="21"/>
              </w:rPr>
            </w:pPr>
            <w:r>
              <w:rPr>
                <w:rFonts w:eastAsia="仿宋_GB2312"/>
              </w:rPr>
              <w:t>≤0.50</w:t>
            </w:r>
          </w:p>
        </w:tc>
      </w:tr>
      <w:tr w14:paraId="3517AC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684" w:type="pct"/>
            <w:noWrap/>
            <w:vAlign w:val="center"/>
          </w:tcPr>
          <w:p w14:paraId="3141A5B8">
            <w:pPr>
              <w:jc w:val="center"/>
              <w:rPr>
                <w:rFonts w:eastAsia="仿宋_GB2312"/>
                <w:szCs w:val="21"/>
              </w:rPr>
            </w:pPr>
            <w:r>
              <w:rPr>
                <w:rFonts w:eastAsia="仿宋_GB2312"/>
              </w:rPr>
              <w:t>三乙二醇，ω/%</w:t>
            </w:r>
          </w:p>
        </w:tc>
        <w:tc>
          <w:tcPr>
            <w:tcW w:w="2316" w:type="pct"/>
            <w:vAlign w:val="center"/>
          </w:tcPr>
          <w:p w14:paraId="3E7F4F72">
            <w:pPr>
              <w:jc w:val="center"/>
              <w:rPr>
                <w:rFonts w:eastAsia="仿宋_GB2312"/>
                <w:szCs w:val="21"/>
              </w:rPr>
            </w:pPr>
            <w:r>
              <w:rPr>
                <w:rFonts w:eastAsia="仿宋_GB2312"/>
              </w:rPr>
              <w:t>≤0.30</w:t>
            </w:r>
          </w:p>
        </w:tc>
      </w:tr>
      <w:tr w14:paraId="6F015B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684" w:type="pct"/>
            <w:noWrap/>
            <w:vAlign w:val="center"/>
          </w:tcPr>
          <w:p w14:paraId="684DB70C">
            <w:pPr>
              <w:jc w:val="center"/>
              <w:rPr>
                <w:rFonts w:eastAsia="仿宋_GB2312"/>
                <w:szCs w:val="21"/>
              </w:rPr>
            </w:pPr>
            <w:r>
              <w:rPr>
                <w:rFonts w:eastAsia="仿宋_GB2312"/>
              </w:rPr>
              <w:t>二乙二醇含量，ω/%</w:t>
            </w:r>
          </w:p>
        </w:tc>
        <w:tc>
          <w:tcPr>
            <w:tcW w:w="2316" w:type="pct"/>
            <w:vAlign w:val="center"/>
          </w:tcPr>
          <w:p w14:paraId="0874417F">
            <w:pPr>
              <w:jc w:val="center"/>
              <w:rPr>
                <w:rFonts w:eastAsia="仿宋_GB2312"/>
                <w:szCs w:val="21"/>
              </w:rPr>
            </w:pPr>
            <w:r>
              <w:rPr>
                <w:rFonts w:eastAsia="仿宋_GB2312"/>
              </w:rPr>
              <w:t>≥99.0</w:t>
            </w:r>
          </w:p>
        </w:tc>
      </w:tr>
    </w:tbl>
    <w:p w14:paraId="221E8BCB">
      <w:pPr>
        <w:pStyle w:val="162"/>
        <w:spacing w:line="480" w:lineRule="exact"/>
        <w:ind w:firstLine="0" w:firstLineChars="0"/>
        <w:rPr>
          <w:rFonts w:ascii="Times New Roman"/>
          <w:bCs w:val="0"/>
        </w:rPr>
      </w:pPr>
      <w:r>
        <w:rPr>
          <w:rFonts w:ascii="Times New Roman"/>
          <w:bCs w:val="0"/>
        </w:rPr>
        <w:t>表3.2-3</w:t>
      </w:r>
      <w:r>
        <w:rPr>
          <w:rFonts w:hint="eastAsia" w:ascii="Times New Roman"/>
          <w:bCs w:val="0"/>
          <w:lang w:val="en-US" w:eastAsia="zh-CN"/>
        </w:rPr>
        <w:t>4</w:t>
      </w:r>
      <w:r>
        <w:rPr>
          <w:rFonts w:ascii="Times New Roman"/>
          <w:bCs w:val="0"/>
        </w:rPr>
        <w:t xml:space="preserve">  </w:t>
      </w:r>
      <w:r>
        <w:rPr>
          <w:rFonts w:hint="eastAsia" w:ascii="Times New Roman"/>
          <w:bCs w:val="0"/>
        </w:rPr>
        <w:t>己烷</w:t>
      </w:r>
      <w:r>
        <w:rPr>
          <w:rFonts w:ascii="Times New Roman"/>
          <w:bCs w:val="0"/>
        </w:rPr>
        <w:t>产品质量指标</w:t>
      </w:r>
    </w:p>
    <w:tbl>
      <w:tblPr>
        <w:tblStyle w:val="88"/>
        <w:tblW w:w="4998"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4574"/>
        <w:gridCol w:w="3946"/>
      </w:tblGrid>
      <w:tr w14:paraId="6114C9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684" w:type="pct"/>
            <w:noWrap/>
            <w:vAlign w:val="center"/>
          </w:tcPr>
          <w:p w14:paraId="08E5C0FE">
            <w:pPr>
              <w:adjustRightInd w:val="0"/>
              <w:snapToGrid w:val="0"/>
              <w:jc w:val="center"/>
              <w:rPr>
                <w:rFonts w:eastAsia="仿宋_GB2312"/>
                <w:b/>
                <w:szCs w:val="21"/>
              </w:rPr>
            </w:pPr>
            <w:r>
              <w:rPr>
                <w:rFonts w:eastAsia="仿宋_GB2312"/>
                <w:b/>
              </w:rPr>
              <w:t>项目</w:t>
            </w:r>
          </w:p>
        </w:tc>
        <w:tc>
          <w:tcPr>
            <w:tcW w:w="2316" w:type="pct"/>
            <w:vAlign w:val="center"/>
          </w:tcPr>
          <w:p w14:paraId="7129865E">
            <w:pPr>
              <w:adjustRightInd w:val="0"/>
              <w:snapToGrid w:val="0"/>
              <w:jc w:val="center"/>
              <w:rPr>
                <w:rFonts w:eastAsia="仿宋_GB2312"/>
                <w:b/>
                <w:szCs w:val="21"/>
              </w:rPr>
            </w:pPr>
            <w:r>
              <w:rPr>
                <w:rFonts w:hint="eastAsia" w:eastAsia="仿宋_GB2312"/>
                <w:b/>
              </w:rPr>
              <w:t>质量标准</w:t>
            </w:r>
            <w:r>
              <w:rPr>
                <w:rFonts w:eastAsia="仿宋_GB2312"/>
                <w:b/>
              </w:rPr>
              <w:t>（80</w:t>
            </w:r>
            <w:r>
              <w:rPr>
                <w:rFonts w:hint="eastAsia" w:ascii="宋体" w:hAnsi="宋体" w:eastAsia="仿宋_GB2312" w:cs="宋体"/>
                <w:b/>
              </w:rPr>
              <w:t>号</w:t>
            </w:r>
            <w:r>
              <w:rPr>
                <w:rFonts w:eastAsia="仿宋_GB2312"/>
                <w:b/>
              </w:rPr>
              <w:t>）</w:t>
            </w:r>
          </w:p>
        </w:tc>
      </w:tr>
      <w:tr w14:paraId="657EFA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684" w:type="pct"/>
            <w:noWrap/>
            <w:vAlign w:val="center"/>
          </w:tcPr>
          <w:p w14:paraId="759238DE">
            <w:pPr>
              <w:jc w:val="center"/>
              <w:rPr>
                <w:rFonts w:eastAsia="仿宋_GB2312"/>
                <w:szCs w:val="21"/>
              </w:rPr>
            </w:pPr>
            <w:r>
              <w:rPr>
                <w:rFonts w:eastAsia="仿宋_GB2312"/>
              </w:rPr>
              <w:t>正己烷含量，ω/%</w:t>
            </w:r>
          </w:p>
        </w:tc>
        <w:tc>
          <w:tcPr>
            <w:tcW w:w="2316" w:type="pct"/>
            <w:vAlign w:val="center"/>
          </w:tcPr>
          <w:p w14:paraId="059CA552">
            <w:pPr>
              <w:jc w:val="center"/>
              <w:rPr>
                <w:rFonts w:eastAsia="仿宋_GB2312"/>
                <w:szCs w:val="21"/>
              </w:rPr>
            </w:pPr>
            <w:r>
              <w:rPr>
                <w:rFonts w:eastAsia="仿宋_GB2312"/>
                <w:szCs w:val="21"/>
              </w:rPr>
              <w:t>≥</w:t>
            </w:r>
            <w:r>
              <w:rPr>
                <w:rFonts w:hint="eastAsia" w:eastAsia="仿宋_GB2312"/>
                <w:szCs w:val="21"/>
              </w:rPr>
              <w:t>80</w:t>
            </w:r>
          </w:p>
        </w:tc>
      </w:tr>
      <w:tr w14:paraId="48B288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684" w:type="pct"/>
            <w:noWrap/>
            <w:vAlign w:val="center"/>
          </w:tcPr>
          <w:p w14:paraId="535363AF">
            <w:pPr>
              <w:jc w:val="center"/>
              <w:rPr>
                <w:rFonts w:eastAsia="仿宋_GB2312"/>
                <w:szCs w:val="21"/>
              </w:rPr>
            </w:pPr>
            <w:r>
              <w:rPr>
                <w:rFonts w:hint="eastAsia" w:eastAsia="仿宋_GB2312"/>
                <w:szCs w:val="21"/>
              </w:rPr>
              <w:t>馏</w:t>
            </w:r>
            <w:r>
              <w:rPr>
                <w:rFonts w:eastAsia="仿宋_GB2312"/>
                <w:szCs w:val="21"/>
              </w:rPr>
              <w:t>程</w:t>
            </w:r>
          </w:p>
          <w:p w14:paraId="412402C5">
            <w:pPr>
              <w:jc w:val="center"/>
              <w:rPr>
                <w:rFonts w:eastAsia="仿宋_GB2312"/>
                <w:szCs w:val="21"/>
              </w:rPr>
            </w:pPr>
            <w:r>
              <w:rPr>
                <w:rFonts w:eastAsia="仿宋_GB2312"/>
                <w:szCs w:val="21"/>
              </w:rPr>
              <w:t>初馏点/</w:t>
            </w:r>
            <w:r>
              <w:rPr>
                <w:rFonts w:hint="eastAsia" w:ascii="宋体" w:hAnsi="宋体" w:cs="宋体"/>
              </w:rPr>
              <w:t>℃</w:t>
            </w:r>
          </w:p>
          <w:p w14:paraId="1D8B2360">
            <w:pPr>
              <w:jc w:val="center"/>
              <w:rPr>
                <w:rFonts w:eastAsia="仿宋_GB2312"/>
                <w:szCs w:val="21"/>
              </w:rPr>
            </w:pPr>
            <w:r>
              <w:rPr>
                <w:rFonts w:eastAsia="仿宋_GB2312"/>
                <w:szCs w:val="21"/>
              </w:rPr>
              <w:t>干点/</w:t>
            </w:r>
            <w:r>
              <w:rPr>
                <w:rFonts w:hint="eastAsia" w:ascii="宋体" w:hAnsi="宋体" w:cs="宋体"/>
              </w:rPr>
              <w:t>℃</w:t>
            </w:r>
          </w:p>
        </w:tc>
        <w:tc>
          <w:tcPr>
            <w:tcW w:w="2316" w:type="pct"/>
            <w:vAlign w:val="center"/>
          </w:tcPr>
          <w:p w14:paraId="7DD8CB40">
            <w:pPr>
              <w:jc w:val="center"/>
              <w:rPr>
                <w:rFonts w:eastAsia="仿宋_GB2312"/>
                <w:szCs w:val="21"/>
              </w:rPr>
            </w:pPr>
          </w:p>
          <w:p w14:paraId="00FA4AFE">
            <w:pPr>
              <w:jc w:val="center"/>
              <w:rPr>
                <w:rFonts w:eastAsia="仿宋_GB2312"/>
              </w:rPr>
            </w:pPr>
            <w:r>
              <w:rPr>
                <w:rFonts w:eastAsia="仿宋_GB2312"/>
              </w:rPr>
              <w:t>≥</w:t>
            </w:r>
            <w:r>
              <w:rPr>
                <w:rFonts w:hint="eastAsia" w:eastAsia="仿宋_GB2312"/>
              </w:rPr>
              <w:t>65</w:t>
            </w:r>
          </w:p>
          <w:p w14:paraId="1D1BA5C0">
            <w:pPr>
              <w:jc w:val="center"/>
              <w:rPr>
                <w:rFonts w:eastAsia="仿宋_GB2312"/>
                <w:szCs w:val="21"/>
              </w:rPr>
            </w:pPr>
            <w:r>
              <w:rPr>
                <w:rFonts w:eastAsia="仿宋_GB2312"/>
              </w:rPr>
              <w:t>≤</w:t>
            </w:r>
            <w:r>
              <w:rPr>
                <w:rFonts w:hint="eastAsia" w:eastAsia="仿宋_GB2312"/>
              </w:rPr>
              <w:t>71</w:t>
            </w:r>
          </w:p>
        </w:tc>
      </w:tr>
      <w:tr w14:paraId="3AD0CE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684" w:type="pct"/>
            <w:noWrap/>
            <w:vAlign w:val="center"/>
          </w:tcPr>
          <w:p w14:paraId="04287C21">
            <w:pPr>
              <w:jc w:val="center"/>
              <w:rPr>
                <w:rFonts w:eastAsia="仿宋_GB2312"/>
                <w:szCs w:val="21"/>
              </w:rPr>
            </w:pPr>
            <w:r>
              <w:rPr>
                <w:rFonts w:eastAsia="仿宋_GB2312"/>
              </w:rPr>
              <w:t>密度(20</w:t>
            </w:r>
            <w:r>
              <w:rPr>
                <w:rFonts w:hint="eastAsia" w:ascii="宋体" w:hAnsi="宋体" w:cs="宋体"/>
              </w:rPr>
              <w:t>℃</w:t>
            </w:r>
            <w:r>
              <w:rPr>
                <w:rFonts w:eastAsia="仿宋_GB2312"/>
              </w:rPr>
              <w:t>)/（g/cm</w:t>
            </w:r>
            <w:r>
              <w:rPr>
                <w:rFonts w:eastAsia="仿宋_GB2312"/>
                <w:vertAlign w:val="superscript"/>
              </w:rPr>
              <w:t>3</w:t>
            </w:r>
            <w:r>
              <w:rPr>
                <w:rFonts w:eastAsia="仿宋_GB2312"/>
              </w:rPr>
              <w:t>）</w:t>
            </w:r>
          </w:p>
        </w:tc>
        <w:tc>
          <w:tcPr>
            <w:tcW w:w="2316" w:type="pct"/>
            <w:vAlign w:val="center"/>
          </w:tcPr>
          <w:p w14:paraId="202EB48A">
            <w:pPr>
              <w:jc w:val="center"/>
              <w:rPr>
                <w:rFonts w:eastAsia="仿宋_GB2312"/>
                <w:szCs w:val="21"/>
              </w:rPr>
            </w:pPr>
            <w:r>
              <w:rPr>
                <w:rFonts w:hint="eastAsia" w:eastAsia="仿宋_GB2312"/>
              </w:rPr>
              <w:t>655</w:t>
            </w:r>
            <w:r>
              <w:rPr>
                <w:rFonts w:eastAsia="仿宋_GB2312"/>
              </w:rPr>
              <w:t>~</w:t>
            </w:r>
            <w:r>
              <w:rPr>
                <w:rFonts w:hint="eastAsia" w:eastAsia="仿宋_GB2312"/>
              </w:rPr>
              <w:t>680</w:t>
            </w:r>
          </w:p>
        </w:tc>
      </w:tr>
      <w:tr w14:paraId="51FC90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684" w:type="pct"/>
            <w:noWrap/>
            <w:vAlign w:val="center"/>
          </w:tcPr>
          <w:p w14:paraId="7792B3D2">
            <w:pPr>
              <w:jc w:val="center"/>
              <w:rPr>
                <w:rFonts w:eastAsia="仿宋_GB2312"/>
                <w:szCs w:val="21"/>
              </w:rPr>
            </w:pPr>
            <w:r>
              <w:rPr>
                <w:rFonts w:hint="eastAsia" w:eastAsia="仿宋_GB2312"/>
              </w:rPr>
              <w:t>苯</w:t>
            </w:r>
            <w:r>
              <w:rPr>
                <w:rFonts w:eastAsia="仿宋_GB2312"/>
              </w:rPr>
              <w:t>含量，ω/%</w:t>
            </w:r>
          </w:p>
        </w:tc>
        <w:tc>
          <w:tcPr>
            <w:tcW w:w="2316" w:type="pct"/>
            <w:vAlign w:val="center"/>
          </w:tcPr>
          <w:p w14:paraId="5209833D">
            <w:pPr>
              <w:jc w:val="center"/>
              <w:rPr>
                <w:rFonts w:eastAsia="仿宋_GB2312"/>
                <w:szCs w:val="21"/>
              </w:rPr>
            </w:pPr>
            <w:r>
              <w:rPr>
                <w:rFonts w:eastAsia="仿宋_GB2312"/>
              </w:rPr>
              <w:t>≤0.</w:t>
            </w:r>
            <w:r>
              <w:rPr>
                <w:rFonts w:hint="eastAsia" w:eastAsia="仿宋_GB2312"/>
              </w:rPr>
              <w:t>001</w:t>
            </w:r>
          </w:p>
        </w:tc>
      </w:tr>
      <w:tr w14:paraId="39D7773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684" w:type="pct"/>
            <w:noWrap/>
            <w:vAlign w:val="center"/>
          </w:tcPr>
          <w:p w14:paraId="612F3B35">
            <w:pPr>
              <w:jc w:val="center"/>
              <w:rPr>
                <w:rFonts w:eastAsia="仿宋_GB2312"/>
                <w:szCs w:val="21"/>
              </w:rPr>
            </w:pPr>
            <w:r>
              <w:rPr>
                <w:rFonts w:hint="eastAsia" w:eastAsia="仿宋_GB2312"/>
                <w:szCs w:val="21"/>
              </w:rPr>
              <w:t>气味</w:t>
            </w:r>
          </w:p>
        </w:tc>
        <w:tc>
          <w:tcPr>
            <w:tcW w:w="2316" w:type="pct"/>
            <w:vAlign w:val="center"/>
          </w:tcPr>
          <w:p w14:paraId="6BFF3D16">
            <w:pPr>
              <w:jc w:val="center"/>
              <w:rPr>
                <w:rFonts w:eastAsia="仿宋_GB2312"/>
                <w:szCs w:val="21"/>
              </w:rPr>
            </w:pPr>
            <w:r>
              <w:rPr>
                <w:rFonts w:hint="eastAsia" w:eastAsia="仿宋_GB2312"/>
                <w:szCs w:val="21"/>
              </w:rPr>
              <w:t>无残留气味</w:t>
            </w:r>
          </w:p>
        </w:tc>
      </w:tr>
      <w:tr w14:paraId="1197F5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684" w:type="pct"/>
            <w:noWrap/>
            <w:vAlign w:val="center"/>
          </w:tcPr>
          <w:p w14:paraId="1A056D7F">
            <w:pPr>
              <w:jc w:val="center"/>
              <w:rPr>
                <w:rFonts w:eastAsia="仿宋_GB2312"/>
                <w:szCs w:val="21"/>
              </w:rPr>
            </w:pPr>
            <w:r>
              <w:rPr>
                <w:rFonts w:hint="eastAsia" w:eastAsia="仿宋_GB2312"/>
                <w:szCs w:val="21"/>
              </w:rPr>
              <w:t>颜色（满足下列指标之一）</w:t>
            </w:r>
          </w:p>
          <w:p w14:paraId="5D4665EB">
            <w:pPr>
              <w:jc w:val="center"/>
              <w:rPr>
                <w:rFonts w:eastAsia="仿宋_GB2312"/>
                <w:szCs w:val="21"/>
              </w:rPr>
            </w:pPr>
            <w:r>
              <w:rPr>
                <w:rFonts w:hint="eastAsia" w:eastAsia="仿宋_GB2312"/>
                <w:szCs w:val="21"/>
              </w:rPr>
              <w:t>赛波特色号</w:t>
            </w:r>
          </w:p>
          <w:p w14:paraId="70C0DED4">
            <w:pPr>
              <w:jc w:val="center"/>
              <w:rPr>
                <w:rFonts w:eastAsia="仿宋_GB2312"/>
                <w:szCs w:val="21"/>
              </w:rPr>
            </w:pPr>
            <w:r>
              <w:rPr>
                <w:rFonts w:hint="eastAsia" w:eastAsia="仿宋_GB2312"/>
                <w:szCs w:val="21"/>
              </w:rPr>
              <w:t>铂-钴色号</w:t>
            </w:r>
          </w:p>
        </w:tc>
        <w:tc>
          <w:tcPr>
            <w:tcW w:w="2316" w:type="pct"/>
            <w:vAlign w:val="center"/>
          </w:tcPr>
          <w:p w14:paraId="323171E3">
            <w:pPr>
              <w:jc w:val="center"/>
              <w:rPr>
                <w:rFonts w:eastAsia="仿宋_GB2312"/>
                <w:szCs w:val="21"/>
              </w:rPr>
            </w:pPr>
          </w:p>
          <w:p w14:paraId="2DEAE982">
            <w:pPr>
              <w:jc w:val="center"/>
              <w:rPr>
                <w:rFonts w:eastAsia="仿宋_GB2312"/>
              </w:rPr>
            </w:pPr>
            <w:r>
              <w:rPr>
                <w:rFonts w:eastAsia="仿宋_GB2312"/>
              </w:rPr>
              <w:t>≥</w:t>
            </w:r>
            <w:r>
              <w:rPr>
                <w:rFonts w:hint="eastAsia" w:eastAsia="仿宋_GB2312"/>
              </w:rPr>
              <w:t>+28</w:t>
            </w:r>
          </w:p>
          <w:p w14:paraId="280CE41D">
            <w:pPr>
              <w:jc w:val="center"/>
              <w:rPr>
                <w:rFonts w:eastAsia="仿宋_GB2312"/>
                <w:szCs w:val="21"/>
              </w:rPr>
            </w:pPr>
            <w:r>
              <w:rPr>
                <w:rFonts w:eastAsia="仿宋_GB2312"/>
              </w:rPr>
              <w:t>≤</w:t>
            </w:r>
            <w:r>
              <w:rPr>
                <w:rFonts w:hint="eastAsia" w:eastAsia="仿宋_GB2312"/>
              </w:rPr>
              <w:t>10</w:t>
            </w:r>
          </w:p>
        </w:tc>
      </w:tr>
      <w:tr w14:paraId="5812CE7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684" w:type="pct"/>
            <w:noWrap/>
            <w:vAlign w:val="center"/>
          </w:tcPr>
          <w:p w14:paraId="0DBB3F43">
            <w:pPr>
              <w:jc w:val="center"/>
              <w:rPr>
                <w:rFonts w:eastAsia="仿宋_GB2312"/>
                <w:szCs w:val="21"/>
              </w:rPr>
            </w:pPr>
            <w:r>
              <w:rPr>
                <w:rFonts w:hint="eastAsia" w:eastAsia="仿宋_GB2312"/>
                <w:szCs w:val="21"/>
              </w:rPr>
              <w:t>溴指数/（mg/100g）</w:t>
            </w:r>
          </w:p>
        </w:tc>
        <w:tc>
          <w:tcPr>
            <w:tcW w:w="2316" w:type="pct"/>
            <w:vAlign w:val="center"/>
          </w:tcPr>
          <w:p w14:paraId="63769A85">
            <w:pPr>
              <w:jc w:val="center"/>
              <w:rPr>
                <w:rFonts w:eastAsia="仿宋_GB2312"/>
                <w:szCs w:val="21"/>
              </w:rPr>
            </w:pPr>
            <w:r>
              <w:rPr>
                <w:rFonts w:eastAsia="仿宋_GB2312"/>
              </w:rPr>
              <w:t>≤</w:t>
            </w:r>
            <w:r>
              <w:rPr>
                <w:rFonts w:hint="eastAsia" w:eastAsia="仿宋_GB2312"/>
              </w:rPr>
              <w:t>20</w:t>
            </w:r>
          </w:p>
        </w:tc>
      </w:tr>
      <w:tr w14:paraId="7CBB05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684" w:type="pct"/>
            <w:noWrap/>
            <w:vAlign w:val="center"/>
          </w:tcPr>
          <w:p w14:paraId="64875F27">
            <w:pPr>
              <w:jc w:val="center"/>
              <w:rPr>
                <w:rFonts w:eastAsia="仿宋_GB2312"/>
                <w:szCs w:val="21"/>
              </w:rPr>
            </w:pPr>
            <w:r>
              <w:rPr>
                <w:rFonts w:hint="eastAsia" w:eastAsia="仿宋_GB2312"/>
                <w:szCs w:val="21"/>
              </w:rPr>
              <w:t>不挥发物含量（mg/100mL）</w:t>
            </w:r>
          </w:p>
        </w:tc>
        <w:tc>
          <w:tcPr>
            <w:tcW w:w="2316" w:type="pct"/>
            <w:vAlign w:val="center"/>
          </w:tcPr>
          <w:p w14:paraId="385A56A7">
            <w:pPr>
              <w:jc w:val="center"/>
              <w:rPr>
                <w:rFonts w:eastAsia="仿宋_GB2312"/>
                <w:szCs w:val="21"/>
              </w:rPr>
            </w:pPr>
            <w:r>
              <w:rPr>
                <w:rFonts w:eastAsia="仿宋_GB2312"/>
              </w:rPr>
              <w:t>≤</w:t>
            </w:r>
            <w:r>
              <w:rPr>
                <w:rFonts w:hint="eastAsia" w:eastAsia="仿宋_GB2312"/>
              </w:rPr>
              <w:t>1.0</w:t>
            </w:r>
          </w:p>
        </w:tc>
      </w:tr>
      <w:tr w14:paraId="5EACDF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684" w:type="pct"/>
            <w:noWrap/>
            <w:vAlign w:val="center"/>
          </w:tcPr>
          <w:p w14:paraId="2DC85E5A">
            <w:pPr>
              <w:jc w:val="center"/>
              <w:rPr>
                <w:rFonts w:eastAsia="仿宋_GB2312"/>
                <w:szCs w:val="21"/>
              </w:rPr>
            </w:pPr>
            <w:r>
              <w:rPr>
                <w:rFonts w:hint="eastAsia" w:eastAsia="仿宋_GB2312"/>
                <w:szCs w:val="21"/>
              </w:rPr>
              <w:t>硫含量/（mg/kg）</w:t>
            </w:r>
          </w:p>
        </w:tc>
        <w:tc>
          <w:tcPr>
            <w:tcW w:w="2316" w:type="pct"/>
            <w:vAlign w:val="center"/>
          </w:tcPr>
          <w:p w14:paraId="7AD87FD4">
            <w:pPr>
              <w:jc w:val="center"/>
              <w:rPr>
                <w:rFonts w:eastAsia="仿宋_GB2312"/>
              </w:rPr>
            </w:pPr>
            <w:r>
              <w:rPr>
                <w:rFonts w:eastAsia="仿宋_GB2312"/>
              </w:rPr>
              <w:t>≤</w:t>
            </w:r>
            <w:r>
              <w:rPr>
                <w:rFonts w:hint="eastAsia" w:eastAsia="仿宋_GB2312"/>
              </w:rPr>
              <w:t>1</w:t>
            </w:r>
          </w:p>
        </w:tc>
      </w:tr>
    </w:tbl>
    <w:p w14:paraId="2910ACC8">
      <w:pPr>
        <w:pStyle w:val="162"/>
        <w:spacing w:line="480" w:lineRule="exact"/>
        <w:ind w:firstLine="0" w:firstLineChars="0"/>
        <w:rPr>
          <w:rFonts w:ascii="Times New Roman"/>
          <w:bCs w:val="0"/>
        </w:rPr>
      </w:pPr>
      <w:r>
        <w:rPr>
          <w:rFonts w:ascii="Times New Roman"/>
          <w:bCs w:val="0"/>
        </w:rPr>
        <w:t>表3.2-3</w:t>
      </w:r>
      <w:r>
        <w:rPr>
          <w:rFonts w:hint="eastAsia" w:ascii="Times New Roman"/>
          <w:bCs w:val="0"/>
          <w:lang w:val="en-US" w:eastAsia="zh-CN"/>
        </w:rPr>
        <w:t>5</w:t>
      </w:r>
      <w:r>
        <w:rPr>
          <w:rFonts w:ascii="Times New Roman"/>
          <w:bCs w:val="0"/>
        </w:rPr>
        <w:t xml:space="preserve">  </w:t>
      </w:r>
      <w:r>
        <w:rPr>
          <w:rFonts w:hint="eastAsia"/>
        </w:rPr>
        <w:t>异丙苯</w:t>
      </w:r>
      <w:r>
        <w:rPr>
          <w:rFonts w:ascii="Times New Roman"/>
          <w:bCs w:val="0"/>
        </w:rPr>
        <w:t>产品质量指标</w:t>
      </w:r>
    </w:p>
    <w:tbl>
      <w:tblPr>
        <w:tblStyle w:val="88"/>
        <w:tblW w:w="4998"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4574"/>
        <w:gridCol w:w="3946"/>
      </w:tblGrid>
      <w:tr w14:paraId="7985FC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684" w:type="pct"/>
            <w:noWrap/>
            <w:vAlign w:val="center"/>
          </w:tcPr>
          <w:p w14:paraId="7FC13AEF">
            <w:pPr>
              <w:adjustRightInd w:val="0"/>
              <w:snapToGrid w:val="0"/>
              <w:jc w:val="center"/>
              <w:rPr>
                <w:rFonts w:eastAsia="仿宋_GB2312"/>
                <w:b/>
                <w:szCs w:val="21"/>
              </w:rPr>
            </w:pPr>
            <w:r>
              <w:rPr>
                <w:rFonts w:hint="eastAsia" w:eastAsia="仿宋_GB2312"/>
                <w:b/>
              </w:rPr>
              <w:t>指标名称</w:t>
            </w:r>
          </w:p>
        </w:tc>
        <w:tc>
          <w:tcPr>
            <w:tcW w:w="2315" w:type="pct"/>
            <w:vAlign w:val="center"/>
          </w:tcPr>
          <w:p w14:paraId="32FEF190">
            <w:pPr>
              <w:adjustRightInd w:val="0"/>
              <w:snapToGrid w:val="0"/>
              <w:jc w:val="center"/>
              <w:rPr>
                <w:rFonts w:eastAsia="仿宋_GB2312"/>
                <w:b/>
                <w:szCs w:val="21"/>
              </w:rPr>
            </w:pPr>
            <w:r>
              <w:rPr>
                <w:rFonts w:hint="eastAsia" w:eastAsia="仿宋_GB2312"/>
                <w:b/>
              </w:rPr>
              <w:t>合格品指标</w:t>
            </w:r>
          </w:p>
        </w:tc>
      </w:tr>
      <w:tr w14:paraId="6552FE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684" w:type="pct"/>
            <w:noWrap/>
            <w:vAlign w:val="center"/>
          </w:tcPr>
          <w:p w14:paraId="24291708">
            <w:pPr>
              <w:jc w:val="center"/>
              <w:rPr>
                <w:rFonts w:eastAsia="仿宋_GB2312"/>
                <w:szCs w:val="21"/>
              </w:rPr>
            </w:pPr>
            <w:r>
              <w:rPr>
                <w:rFonts w:hint="eastAsia" w:eastAsia="仿宋_GB2312"/>
                <w:szCs w:val="21"/>
              </w:rPr>
              <w:t>外观</w:t>
            </w:r>
          </w:p>
        </w:tc>
        <w:tc>
          <w:tcPr>
            <w:tcW w:w="2315" w:type="pct"/>
            <w:vAlign w:val="center"/>
          </w:tcPr>
          <w:p w14:paraId="576553F7">
            <w:pPr>
              <w:jc w:val="center"/>
              <w:rPr>
                <w:szCs w:val="21"/>
              </w:rPr>
            </w:pPr>
            <w:r>
              <w:rPr>
                <w:rFonts w:hint="eastAsia" w:eastAsia="仿宋_GB2312"/>
                <w:szCs w:val="21"/>
              </w:rPr>
              <w:t>清晰液体，在18</w:t>
            </w:r>
            <w:r>
              <w:rPr>
                <w:rFonts w:hint="eastAsia" w:ascii="宋体" w:hAnsi="宋体" w:cs="宋体"/>
              </w:rPr>
              <w:t>℃</w:t>
            </w:r>
            <w:r>
              <w:rPr>
                <w:rFonts w:eastAsia="仿宋_GB2312"/>
              </w:rPr>
              <w:t>~</w:t>
            </w:r>
            <w:r>
              <w:rPr>
                <w:rFonts w:hint="eastAsia" w:eastAsia="仿宋_GB2312"/>
              </w:rPr>
              <w:t>26</w:t>
            </w:r>
            <w:r>
              <w:rPr>
                <w:rFonts w:hint="eastAsia" w:ascii="宋体" w:hAnsi="宋体" w:cs="宋体"/>
              </w:rPr>
              <w:t>℃</w:t>
            </w:r>
            <w:r>
              <w:rPr>
                <w:rFonts w:hint="eastAsia" w:ascii="仿宋_GB2312" w:hAnsi="仿宋_GB2312" w:eastAsia="仿宋_GB2312" w:cs="仿宋_GB2312"/>
              </w:rPr>
              <w:t>时无沉淀和浑浊</w:t>
            </w:r>
          </w:p>
        </w:tc>
      </w:tr>
      <w:tr w14:paraId="305DC13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684" w:type="pct"/>
            <w:shd w:val="clear" w:color="auto" w:fill="auto"/>
            <w:noWrap/>
            <w:vAlign w:val="center"/>
          </w:tcPr>
          <w:p w14:paraId="3BEED1B4">
            <w:pPr>
              <w:jc w:val="center"/>
              <w:rPr>
                <w:rFonts w:eastAsia="仿宋_GB2312"/>
                <w:szCs w:val="21"/>
              </w:rPr>
            </w:pPr>
            <w:r>
              <w:rPr>
                <w:rFonts w:eastAsia="仿宋_GB2312"/>
              </w:rPr>
              <w:t>纯度，ω%</w:t>
            </w:r>
          </w:p>
        </w:tc>
        <w:tc>
          <w:tcPr>
            <w:tcW w:w="2315" w:type="pct"/>
            <w:shd w:val="clear" w:color="auto" w:fill="auto"/>
            <w:vAlign w:val="center"/>
          </w:tcPr>
          <w:p w14:paraId="53EFC4CD">
            <w:pPr>
              <w:jc w:val="center"/>
              <w:rPr>
                <w:rFonts w:eastAsia="仿宋_GB2312"/>
                <w:szCs w:val="21"/>
              </w:rPr>
            </w:pPr>
            <w:r>
              <w:rPr>
                <w:rFonts w:eastAsia="仿宋_GB2312"/>
              </w:rPr>
              <w:t>≥99.</w:t>
            </w:r>
            <w:r>
              <w:rPr>
                <w:rFonts w:hint="eastAsia" w:eastAsia="仿宋_GB2312"/>
              </w:rPr>
              <w:t>50</w:t>
            </w:r>
          </w:p>
        </w:tc>
      </w:tr>
      <w:tr w14:paraId="5E9B4D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684" w:type="pct"/>
            <w:noWrap/>
            <w:vAlign w:val="center"/>
          </w:tcPr>
          <w:p w14:paraId="17CA4588">
            <w:pPr>
              <w:jc w:val="center"/>
              <w:rPr>
                <w:rFonts w:eastAsia="仿宋_GB2312"/>
                <w:szCs w:val="21"/>
              </w:rPr>
            </w:pPr>
            <w:r>
              <w:rPr>
                <w:rFonts w:hint="eastAsia" w:eastAsia="仿宋_GB2312"/>
                <w:szCs w:val="21"/>
              </w:rPr>
              <w:t>α-甲基苯乙烯含量，</w:t>
            </w:r>
            <w:r>
              <w:rPr>
                <w:rFonts w:eastAsia="仿宋_GB2312"/>
              </w:rPr>
              <w:t>ω%</w:t>
            </w:r>
          </w:p>
        </w:tc>
        <w:tc>
          <w:tcPr>
            <w:tcW w:w="2315" w:type="pct"/>
            <w:vAlign w:val="center"/>
          </w:tcPr>
          <w:p w14:paraId="45DA311F">
            <w:pPr>
              <w:jc w:val="center"/>
              <w:rPr>
                <w:rFonts w:eastAsia="仿宋_GB2312"/>
                <w:szCs w:val="21"/>
              </w:rPr>
            </w:pPr>
            <w:r>
              <w:rPr>
                <w:rFonts w:eastAsia="仿宋_GB2312"/>
              </w:rPr>
              <w:t>≤</w:t>
            </w:r>
            <w:r>
              <w:rPr>
                <w:rFonts w:hint="eastAsia" w:eastAsia="仿宋_GB2312"/>
              </w:rPr>
              <w:t>0.03</w:t>
            </w:r>
          </w:p>
        </w:tc>
      </w:tr>
      <w:tr w14:paraId="2C295B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684" w:type="pct"/>
            <w:noWrap/>
            <w:vAlign w:val="center"/>
          </w:tcPr>
          <w:p w14:paraId="06F430EC">
            <w:pPr>
              <w:jc w:val="center"/>
              <w:rPr>
                <w:rFonts w:eastAsia="仿宋_GB2312"/>
                <w:szCs w:val="21"/>
              </w:rPr>
            </w:pPr>
            <w:r>
              <w:rPr>
                <w:rFonts w:hint="eastAsia" w:eastAsia="仿宋_GB2312"/>
                <w:szCs w:val="21"/>
              </w:rPr>
              <w:t>苯含量</w:t>
            </w:r>
            <w:r>
              <w:rPr>
                <w:rFonts w:eastAsia="仿宋_GB2312"/>
              </w:rPr>
              <w:t>，ω%</w:t>
            </w:r>
          </w:p>
        </w:tc>
        <w:tc>
          <w:tcPr>
            <w:tcW w:w="2315" w:type="pct"/>
            <w:vAlign w:val="center"/>
          </w:tcPr>
          <w:p w14:paraId="6105876D">
            <w:pPr>
              <w:jc w:val="center"/>
              <w:rPr>
                <w:rFonts w:eastAsia="仿宋_GB2312"/>
                <w:szCs w:val="21"/>
              </w:rPr>
            </w:pPr>
            <w:r>
              <w:rPr>
                <w:rFonts w:eastAsia="仿宋_GB2312"/>
              </w:rPr>
              <w:t>≤</w:t>
            </w:r>
            <w:r>
              <w:rPr>
                <w:rFonts w:hint="eastAsia" w:eastAsia="仿宋_GB2312"/>
              </w:rPr>
              <w:t>0.004</w:t>
            </w:r>
          </w:p>
        </w:tc>
      </w:tr>
      <w:tr w14:paraId="04B5596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684" w:type="pct"/>
            <w:noWrap/>
            <w:vAlign w:val="center"/>
          </w:tcPr>
          <w:p w14:paraId="49AA3332">
            <w:pPr>
              <w:jc w:val="center"/>
              <w:rPr>
                <w:rFonts w:eastAsia="仿宋_GB2312"/>
                <w:szCs w:val="21"/>
              </w:rPr>
            </w:pPr>
            <w:r>
              <w:rPr>
                <w:rFonts w:hint="eastAsia" w:eastAsia="仿宋_GB2312"/>
                <w:szCs w:val="21"/>
              </w:rPr>
              <w:t>丁苯含量</w:t>
            </w:r>
            <w:r>
              <w:rPr>
                <w:rFonts w:eastAsia="仿宋_GB2312"/>
              </w:rPr>
              <w:t>，ω%</w:t>
            </w:r>
          </w:p>
        </w:tc>
        <w:tc>
          <w:tcPr>
            <w:tcW w:w="2315" w:type="pct"/>
            <w:vAlign w:val="center"/>
          </w:tcPr>
          <w:p w14:paraId="217AF27D">
            <w:pPr>
              <w:jc w:val="center"/>
              <w:rPr>
                <w:rFonts w:eastAsia="仿宋_GB2312"/>
                <w:szCs w:val="21"/>
              </w:rPr>
            </w:pPr>
            <w:r>
              <w:rPr>
                <w:rFonts w:eastAsia="仿宋_GB2312"/>
              </w:rPr>
              <w:t>≤</w:t>
            </w:r>
            <w:r>
              <w:rPr>
                <w:rFonts w:hint="eastAsia" w:eastAsia="仿宋_GB2312"/>
              </w:rPr>
              <w:t>0.04</w:t>
            </w:r>
          </w:p>
        </w:tc>
      </w:tr>
      <w:tr w14:paraId="195881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684" w:type="pct"/>
            <w:noWrap/>
            <w:vAlign w:val="center"/>
          </w:tcPr>
          <w:p w14:paraId="3C33ED3B">
            <w:pPr>
              <w:jc w:val="center"/>
              <w:rPr>
                <w:rFonts w:eastAsia="仿宋_GB2312"/>
                <w:szCs w:val="21"/>
              </w:rPr>
            </w:pPr>
            <w:r>
              <w:rPr>
                <w:rFonts w:hint="eastAsia" w:eastAsia="仿宋_GB2312"/>
                <w:szCs w:val="21"/>
              </w:rPr>
              <w:t>二异丙苯含量</w:t>
            </w:r>
            <w:r>
              <w:rPr>
                <w:rFonts w:eastAsia="仿宋_GB2312"/>
              </w:rPr>
              <w:t>，ω%</w:t>
            </w:r>
          </w:p>
        </w:tc>
        <w:tc>
          <w:tcPr>
            <w:tcW w:w="2315" w:type="pct"/>
            <w:vAlign w:val="center"/>
          </w:tcPr>
          <w:p w14:paraId="2F20D357">
            <w:pPr>
              <w:jc w:val="center"/>
              <w:rPr>
                <w:rFonts w:eastAsia="仿宋_GB2312"/>
                <w:szCs w:val="21"/>
              </w:rPr>
            </w:pPr>
            <w:r>
              <w:rPr>
                <w:rFonts w:eastAsia="仿宋_GB2312"/>
              </w:rPr>
              <w:t>≤</w:t>
            </w:r>
            <w:r>
              <w:rPr>
                <w:rFonts w:hint="eastAsia" w:eastAsia="仿宋_GB2312"/>
              </w:rPr>
              <w:t>0.20</w:t>
            </w:r>
          </w:p>
        </w:tc>
      </w:tr>
      <w:tr w14:paraId="694167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684" w:type="pct"/>
            <w:noWrap/>
            <w:vAlign w:val="center"/>
          </w:tcPr>
          <w:p w14:paraId="736B189A">
            <w:pPr>
              <w:jc w:val="center"/>
              <w:rPr>
                <w:rFonts w:eastAsia="仿宋_GB2312"/>
                <w:szCs w:val="21"/>
              </w:rPr>
            </w:pPr>
            <w:r>
              <w:rPr>
                <w:rFonts w:hint="eastAsia" w:eastAsia="仿宋_GB2312"/>
                <w:szCs w:val="21"/>
              </w:rPr>
              <w:t>乙苯含量</w:t>
            </w:r>
            <w:r>
              <w:rPr>
                <w:rFonts w:eastAsia="仿宋_GB2312"/>
              </w:rPr>
              <w:t>，ω%</w:t>
            </w:r>
          </w:p>
        </w:tc>
        <w:tc>
          <w:tcPr>
            <w:tcW w:w="2315" w:type="pct"/>
            <w:vAlign w:val="center"/>
          </w:tcPr>
          <w:p w14:paraId="6E9BC780">
            <w:pPr>
              <w:jc w:val="center"/>
              <w:rPr>
                <w:rFonts w:eastAsia="仿宋_GB2312"/>
                <w:szCs w:val="21"/>
              </w:rPr>
            </w:pPr>
            <w:r>
              <w:rPr>
                <w:rFonts w:eastAsia="仿宋_GB2312"/>
              </w:rPr>
              <w:t>≤</w:t>
            </w:r>
            <w:r>
              <w:rPr>
                <w:rFonts w:hint="eastAsia" w:eastAsia="仿宋_GB2312"/>
              </w:rPr>
              <w:t>0.15</w:t>
            </w:r>
          </w:p>
        </w:tc>
      </w:tr>
      <w:tr w14:paraId="1B07D4F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684" w:type="pct"/>
            <w:noWrap/>
            <w:vAlign w:val="center"/>
          </w:tcPr>
          <w:p w14:paraId="0D2F1F70">
            <w:pPr>
              <w:jc w:val="center"/>
              <w:rPr>
                <w:rFonts w:eastAsia="仿宋_GB2312"/>
                <w:szCs w:val="21"/>
              </w:rPr>
            </w:pPr>
            <w:r>
              <w:rPr>
                <w:rFonts w:hint="eastAsia" w:eastAsia="仿宋_GB2312"/>
                <w:szCs w:val="21"/>
              </w:rPr>
              <w:t>正丙苯含量</w:t>
            </w:r>
          </w:p>
        </w:tc>
        <w:tc>
          <w:tcPr>
            <w:tcW w:w="2315" w:type="pct"/>
            <w:vAlign w:val="center"/>
          </w:tcPr>
          <w:p w14:paraId="63D5C588">
            <w:pPr>
              <w:jc w:val="center"/>
              <w:rPr>
                <w:rFonts w:eastAsia="仿宋_GB2312"/>
                <w:szCs w:val="21"/>
              </w:rPr>
            </w:pPr>
            <w:r>
              <w:rPr>
                <w:rFonts w:eastAsia="仿宋_GB2312"/>
              </w:rPr>
              <w:t>≤</w:t>
            </w:r>
            <w:r>
              <w:rPr>
                <w:rFonts w:hint="eastAsia" w:eastAsia="仿宋_GB2312"/>
              </w:rPr>
              <w:t>0.10</w:t>
            </w:r>
          </w:p>
        </w:tc>
      </w:tr>
      <w:tr w14:paraId="3F66C8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684" w:type="pct"/>
            <w:noWrap/>
            <w:vAlign w:val="center"/>
          </w:tcPr>
          <w:p w14:paraId="1680CF8F">
            <w:pPr>
              <w:jc w:val="center"/>
              <w:rPr>
                <w:rFonts w:eastAsia="仿宋_GB2312"/>
                <w:szCs w:val="21"/>
              </w:rPr>
            </w:pPr>
            <w:r>
              <w:rPr>
                <w:rFonts w:hint="eastAsia" w:eastAsia="仿宋_GB2312"/>
                <w:szCs w:val="21"/>
              </w:rPr>
              <w:t>嗅指数/（mgBr/100g）</w:t>
            </w:r>
          </w:p>
        </w:tc>
        <w:tc>
          <w:tcPr>
            <w:tcW w:w="2315" w:type="pct"/>
            <w:vAlign w:val="center"/>
          </w:tcPr>
          <w:p w14:paraId="66A768A7">
            <w:pPr>
              <w:jc w:val="center"/>
              <w:rPr>
                <w:rFonts w:eastAsia="仿宋_GB2312"/>
              </w:rPr>
            </w:pPr>
            <w:r>
              <w:rPr>
                <w:rFonts w:eastAsia="仿宋_GB2312"/>
              </w:rPr>
              <w:t>≤</w:t>
            </w:r>
            <w:r>
              <w:rPr>
                <w:rFonts w:hint="eastAsia" w:eastAsia="仿宋_GB2312"/>
              </w:rPr>
              <w:t>100</w:t>
            </w:r>
          </w:p>
        </w:tc>
      </w:tr>
      <w:tr w14:paraId="3BAB3C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684" w:type="pct"/>
            <w:noWrap/>
            <w:vAlign w:val="center"/>
          </w:tcPr>
          <w:p w14:paraId="6520FDEF">
            <w:pPr>
              <w:jc w:val="center"/>
              <w:rPr>
                <w:rFonts w:eastAsia="仿宋_GB2312"/>
                <w:szCs w:val="21"/>
              </w:rPr>
            </w:pPr>
            <w:r>
              <w:rPr>
                <w:rFonts w:hint="eastAsia" w:eastAsia="仿宋_GB2312"/>
                <w:szCs w:val="21"/>
              </w:rPr>
              <w:t>色度/铂-钴色号</w:t>
            </w:r>
          </w:p>
        </w:tc>
        <w:tc>
          <w:tcPr>
            <w:tcW w:w="2315" w:type="pct"/>
            <w:vAlign w:val="center"/>
          </w:tcPr>
          <w:p w14:paraId="3DBAA07A">
            <w:pPr>
              <w:jc w:val="center"/>
              <w:rPr>
                <w:rFonts w:eastAsia="仿宋_GB2312"/>
              </w:rPr>
            </w:pPr>
            <w:r>
              <w:rPr>
                <w:rFonts w:eastAsia="仿宋_GB2312"/>
              </w:rPr>
              <w:t>≤</w:t>
            </w:r>
            <w:r>
              <w:rPr>
                <w:rFonts w:hint="eastAsia" w:eastAsia="仿宋_GB2312"/>
              </w:rPr>
              <w:t>20</w:t>
            </w:r>
          </w:p>
        </w:tc>
      </w:tr>
      <w:tr w14:paraId="3EC01E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684" w:type="pct"/>
            <w:noWrap/>
            <w:vAlign w:val="center"/>
          </w:tcPr>
          <w:p w14:paraId="3335BAA8">
            <w:pPr>
              <w:jc w:val="center"/>
              <w:rPr>
                <w:rFonts w:eastAsia="仿宋_GB2312"/>
                <w:szCs w:val="21"/>
              </w:rPr>
            </w:pPr>
            <w:r>
              <w:rPr>
                <w:rFonts w:hint="eastAsia" w:eastAsia="仿宋_GB2312"/>
                <w:szCs w:val="21"/>
              </w:rPr>
              <w:t>过氧化氢异丙苯含量（装载时）/（mg/kg）</w:t>
            </w:r>
          </w:p>
        </w:tc>
        <w:tc>
          <w:tcPr>
            <w:tcW w:w="2315" w:type="pct"/>
            <w:vAlign w:val="center"/>
          </w:tcPr>
          <w:p w14:paraId="2F468098">
            <w:pPr>
              <w:jc w:val="center"/>
              <w:rPr>
                <w:rFonts w:eastAsia="仿宋_GB2312"/>
              </w:rPr>
            </w:pPr>
            <w:r>
              <w:rPr>
                <w:rFonts w:eastAsia="仿宋_GB2312"/>
              </w:rPr>
              <w:t>≤</w:t>
            </w:r>
            <w:r>
              <w:rPr>
                <w:rFonts w:hint="eastAsia" w:eastAsia="仿宋_GB2312"/>
              </w:rPr>
              <w:t>100</w:t>
            </w:r>
          </w:p>
        </w:tc>
      </w:tr>
      <w:tr w14:paraId="304842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684" w:type="pct"/>
            <w:noWrap/>
            <w:vAlign w:val="center"/>
          </w:tcPr>
          <w:p w14:paraId="6B623263">
            <w:pPr>
              <w:jc w:val="center"/>
              <w:rPr>
                <w:rFonts w:eastAsia="仿宋_GB2312"/>
                <w:szCs w:val="21"/>
              </w:rPr>
            </w:pPr>
            <w:r>
              <w:rPr>
                <w:rFonts w:hint="eastAsia" w:eastAsia="仿宋_GB2312"/>
                <w:szCs w:val="21"/>
              </w:rPr>
              <w:t>酚类含量（mg/kg）</w:t>
            </w:r>
          </w:p>
        </w:tc>
        <w:tc>
          <w:tcPr>
            <w:tcW w:w="2315" w:type="pct"/>
            <w:vAlign w:val="center"/>
          </w:tcPr>
          <w:p w14:paraId="3133EE43">
            <w:pPr>
              <w:jc w:val="center"/>
              <w:rPr>
                <w:rFonts w:eastAsia="仿宋_GB2312"/>
              </w:rPr>
            </w:pPr>
            <w:r>
              <w:rPr>
                <w:rFonts w:eastAsia="仿宋_GB2312"/>
              </w:rPr>
              <w:t>≤</w:t>
            </w:r>
            <w:r>
              <w:rPr>
                <w:rFonts w:hint="eastAsia" w:eastAsia="仿宋_GB2312"/>
              </w:rPr>
              <w:t>50</w:t>
            </w:r>
          </w:p>
        </w:tc>
      </w:tr>
      <w:tr w14:paraId="2A90AD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684" w:type="pct"/>
            <w:noWrap/>
            <w:vAlign w:val="center"/>
          </w:tcPr>
          <w:p w14:paraId="5F2091C4">
            <w:pPr>
              <w:jc w:val="center"/>
              <w:rPr>
                <w:rFonts w:eastAsia="仿宋_GB2312"/>
                <w:szCs w:val="21"/>
              </w:rPr>
            </w:pPr>
            <w:r>
              <w:rPr>
                <w:rFonts w:hint="eastAsia" w:eastAsia="仿宋_GB2312"/>
                <w:szCs w:val="21"/>
              </w:rPr>
              <w:t>硫含量/（mg/kg）</w:t>
            </w:r>
          </w:p>
        </w:tc>
        <w:tc>
          <w:tcPr>
            <w:tcW w:w="2315" w:type="pct"/>
            <w:vAlign w:val="center"/>
          </w:tcPr>
          <w:p w14:paraId="7F84F3FA">
            <w:pPr>
              <w:jc w:val="center"/>
              <w:rPr>
                <w:rFonts w:eastAsia="仿宋_GB2312"/>
              </w:rPr>
            </w:pPr>
            <w:r>
              <w:rPr>
                <w:rFonts w:eastAsia="仿宋_GB2312"/>
              </w:rPr>
              <w:t>≤</w:t>
            </w:r>
            <w:r>
              <w:rPr>
                <w:rFonts w:hint="eastAsia" w:eastAsia="仿宋_GB2312"/>
              </w:rPr>
              <w:t>2</w:t>
            </w:r>
          </w:p>
        </w:tc>
      </w:tr>
    </w:tbl>
    <w:p w14:paraId="0B613A2D">
      <w:pPr>
        <w:spacing w:line="500" w:lineRule="exact"/>
        <w:jc w:val="center"/>
        <w:rPr>
          <w:rFonts w:eastAsia="仿宋_GB2312"/>
          <w:b/>
          <w:bCs/>
          <w:sz w:val="24"/>
        </w:rPr>
      </w:pPr>
      <w:r>
        <w:rPr>
          <w:rFonts w:eastAsia="仿宋_GB2312"/>
          <w:b/>
          <w:bCs/>
          <w:sz w:val="24"/>
        </w:rPr>
        <w:t>表3.2-</w:t>
      </w:r>
      <w:r>
        <w:rPr>
          <w:rFonts w:hint="eastAsia" w:eastAsia="仿宋_GB2312"/>
          <w:b/>
          <w:bCs/>
          <w:sz w:val="24"/>
        </w:rPr>
        <w:t>3</w:t>
      </w:r>
      <w:r>
        <w:rPr>
          <w:rFonts w:hint="eastAsia" w:eastAsia="仿宋_GB2312"/>
          <w:b/>
          <w:bCs/>
          <w:sz w:val="24"/>
          <w:lang w:val="en-US" w:eastAsia="zh-CN"/>
        </w:rPr>
        <w:t>6</w:t>
      </w:r>
      <w:r>
        <w:rPr>
          <w:rFonts w:eastAsia="仿宋_GB2312"/>
          <w:b/>
          <w:bCs/>
          <w:sz w:val="24"/>
        </w:rPr>
        <w:t xml:space="preserve">  产品</w:t>
      </w:r>
      <w:r>
        <w:rPr>
          <w:rFonts w:hint="eastAsia" w:eastAsia="仿宋_GB2312"/>
          <w:b/>
          <w:bCs/>
          <w:sz w:val="24"/>
        </w:rPr>
        <w:t>苯酚</w:t>
      </w:r>
      <w:r>
        <w:rPr>
          <w:rFonts w:eastAsia="仿宋_GB2312"/>
          <w:b/>
          <w:bCs/>
          <w:sz w:val="24"/>
        </w:rPr>
        <w:t>质量控制指标表</w:t>
      </w:r>
    </w:p>
    <w:tbl>
      <w:tblPr>
        <w:tblStyle w:val="88"/>
        <w:tblW w:w="4998"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4566"/>
        <w:gridCol w:w="3954"/>
      </w:tblGrid>
      <w:tr w14:paraId="451B9D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79" w:type="pct"/>
            <w:vAlign w:val="center"/>
          </w:tcPr>
          <w:p w14:paraId="2C019788">
            <w:pPr>
              <w:widowControl/>
              <w:spacing w:line="320" w:lineRule="exact"/>
              <w:jc w:val="center"/>
              <w:rPr>
                <w:rFonts w:eastAsia="仿宋_GB2312"/>
                <w:b/>
                <w:szCs w:val="21"/>
              </w:rPr>
            </w:pPr>
            <w:r>
              <w:rPr>
                <w:rFonts w:eastAsia="仿宋_GB2312"/>
                <w:b/>
                <w:szCs w:val="21"/>
              </w:rPr>
              <w:t>指标名称</w:t>
            </w:r>
          </w:p>
        </w:tc>
        <w:tc>
          <w:tcPr>
            <w:tcW w:w="2320" w:type="pct"/>
            <w:vAlign w:val="center"/>
          </w:tcPr>
          <w:p w14:paraId="541F0550">
            <w:pPr>
              <w:widowControl/>
              <w:spacing w:line="320" w:lineRule="exact"/>
              <w:jc w:val="center"/>
              <w:rPr>
                <w:rFonts w:eastAsia="仿宋_GB2312"/>
                <w:b/>
                <w:szCs w:val="21"/>
              </w:rPr>
            </w:pPr>
            <w:r>
              <w:rPr>
                <w:rFonts w:hint="eastAsia" w:eastAsia="仿宋_GB2312"/>
                <w:b/>
                <w:szCs w:val="21"/>
              </w:rPr>
              <w:t>合格品</w:t>
            </w:r>
            <w:r>
              <w:rPr>
                <w:rFonts w:eastAsia="仿宋_GB2312"/>
                <w:b/>
                <w:szCs w:val="21"/>
              </w:rPr>
              <w:t>指标</w:t>
            </w:r>
          </w:p>
        </w:tc>
      </w:tr>
      <w:tr w14:paraId="450AAF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79" w:type="pct"/>
            <w:vAlign w:val="center"/>
          </w:tcPr>
          <w:p w14:paraId="4F810C0C">
            <w:pPr>
              <w:widowControl/>
              <w:spacing w:line="320" w:lineRule="exact"/>
              <w:jc w:val="center"/>
              <w:rPr>
                <w:rFonts w:eastAsia="仿宋_GB2312"/>
                <w:szCs w:val="21"/>
              </w:rPr>
            </w:pPr>
            <w:r>
              <w:rPr>
                <w:rFonts w:hint="eastAsia" w:eastAsia="仿宋_GB2312"/>
                <w:szCs w:val="21"/>
              </w:rPr>
              <w:t>苯酚，</w:t>
            </w:r>
            <w:r>
              <w:rPr>
                <w:rFonts w:eastAsia="仿宋_GB2312"/>
                <w:szCs w:val="21"/>
              </w:rPr>
              <w:t>ω/%</w:t>
            </w:r>
          </w:p>
        </w:tc>
        <w:tc>
          <w:tcPr>
            <w:tcW w:w="2320" w:type="pct"/>
            <w:vAlign w:val="center"/>
          </w:tcPr>
          <w:p w14:paraId="24B81502">
            <w:pPr>
              <w:widowControl/>
              <w:spacing w:line="320" w:lineRule="exact"/>
              <w:jc w:val="center"/>
              <w:rPr>
                <w:rFonts w:eastAsia="仿宋_GB2312"/>
                <w:szCs w:val="21"/>
              </w:rPr>
            </w:pPr>
            <w:r>
              <w:rPr>
                <w:rFonts w:eastAsia="仿宋_GB2312"/>
                <w:szCs w:val="21"/>
              </w:rPr>
              <w:t>≥99.75</w:t>
            </w:r>
          </w:p>
        </w:tc>
      </w:tr>
      <w:tr w14:paraId="4B03C8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79" w:type="pct"/>
            <w:vAlign w:val="center"/>
          </w:tcPr>
          <w:p w14:paraId="4604C079">
            <w:pPr>
              <w:widowControl/>
              <w:spacing w:line="320" w:lineRule="exact"/>
              <w:jc w:val="center"/>
              <w:rPr>
                <w:rFonts w:eastAsia="仿宋_GB2312"/>
                <w:szCs w:val="21"/>
              </w:rPr>
            </w:pPr>
            <w:r>
              <w:rPr>
                <w:rFonts w:hint="eastAsia" w:eastAsia="仿宋_GB2312"/>
                <w:szCs w:val="21"/>
              </w:rPr>
              <w:t>总有机杂质（除甲酚类杂质）/（m</w:t>
            </w:r>
            <w:r>
              <w:rPr>
                <w:rFonts w:eastAsia="仿宋_GB2312"/>
                <w:szCs w:val="21"/>
              </w:rPr>
              <w:t>g/kg</w:t>
            </w:r>
            <w:r>
              <w:rPr>
                <w:rFonts w:hint="eastAsia" w:eastAsia="仿宋_GB2312"/>
                <w:szCs w:val="21"/>
              </w:rPr>
              <w:t>）</w:t>
            </w:r>
          </w:p>
        </w:tc>
        <w:tc>
          <w:tcPr>
            <w:tcW w:w="2320" w:type="pct"/>
            <w:vAlign w:val="center"/>
          </w:tcPr>
          <w:p w14:paraId="3F58C17E">
            <w:pPr>
              <w:widowControl/>
              <w:spacing w:line="320" w:lineRule="exact"/>
              <w:jc w:val="center"/>
              <w:rPr>
                <w:rFonts w:eastAsia="仿宋_GB2312"/>
                <w:szCs w:val="21"/>
              </w:rPr>
            </w:pPr>
            <w:r>
              <w:rPr>
                <w:rFonts w:hint="eastAsia" w:eastAsia="仿宋_GB2312"/>
                <w:szCs w:val="21"/>
              </w:rPr>
              <w:t>报告</w:t>
            </w:r>
          </w:p>
        </w:tc>
      </w:tr>
      <w:tr w14:paraId="0294A4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79" w:type="pct"/>
            <w:vAlign w:val="center"/>
          </w:tcPr>
          <w:p w14:paraId="6B410BBC">
            <w:pPr>
              <w:widowControl/>
              <w:spacing w:line="320" w:lineRule="exact"/>
              <w:jc w:val="center"/>
              <w:rPr>
                <w:rFonts w:eastAsia="仿宋_GB2312"/>
                <w:szCs w:val="21"/>
              </w:rPr>
            </w:pPr>
            <w:r>
              <w:rPr>
                <w:rFonts w:hint="eastAsia" w:eastAsia="仿宋_GB2312"/>
                <w:szCs w:val="21"/>
              </w:rPr>
              <w:t>甲酚类杂质/（m</w:t>
            </w:r>
            <w:r>
              <w:rPr>
                <w:rFonts w:eastAsia="仿宋_GB2312"/>
                <w:szCs w:val="21"/>
              </w:rPr>
              <w:t>g/kg</w:t>
            </w:r>
            <w:r>
              <w:rPr>
                <w:rFonts w:hint="eastAsia" w:eastAsia="仿宋_GB2312"/>
                <w:szCs w:val="21"/>
              </w:rPr>
              <w:t>）</w:t>
            </w:r>
          </w:p>
        </w:tc>
        <w:tc>
          <w:tcPr>
            <w:tcW w:w="2320" w:type="pct"/>
            <w:vAlign w:val="center"/>
          </w:tcPr>
          <w:p w14:paraId="396C15FF">
            <w:pPr>
              <w:widowControl/>
              <w:spacing w:line="320" w:lineRule="exact"/>
              <w:jc w:val="center"/>
              <w:rPr>
                <w:rFonts w:eastAsia="仿宋_GB2312"/>
                <w:szCs w:val="21"/>
              </w:rPr>
            </w:pPr>
            <w:r>
              <w:rPr>
                <w:rFonts w:hint="eastAsia" w:eastAsia="仿宋_GB2312"/>
                <w:szCs w:val="21"/>
              </w:rPr>
              <w:t>报告</w:t>
            </w:r>
          </w:p>
        </w:tc>
      </w:tr>
      <w:tr w14:paraId="48D2F6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79" w:type="pct"/>
            <w:vAlign w:val="center"/>
          </w:tcPr>
          <w:p w14:paraId="1B6F7DC2">
            <w:pPr>
              <w:widowControl/>
              <w:spacing w:line="320" w:lineRule="exact"/>
              <w:jc w:val="center"/>
              <w:rPr>
                <w:rFonts w:eastAsia="仿宋_GB2312"/>
                <w:szCs w:val="21"/>
              </w:rPr>
            </w:pPr>
            <w:r>
              <w:rPr>
                <w:rFonts w:hint="eastAsia" w:eastAsia="仿宋_GB2312"/>
                <w:szCs w:val="21"/>
              </w:rPr>
              <w:t>结晶点/℃</w:t>
            </w:r>
          </w:p>
        </w:tc>
        <w:tc>
          <w:tcPr>
            <w:tcW w:w="2320" w:type="pct"/>
            <w:vAlign w:val="center"/>
          </w:tcPr>
          <w:p w14:paraId="1F382AE9">
            <w:pPr>
              <w:widowControl/>
              <w:spacing w:line="320" w:lineRule="exact"/>
              <w:jc w:val="center"/>
              <w:rPr>
                <w:rFonts w:eastAsia="仿宋_GB2312"/>
                <w:szCs w:val="21"/>
              </w:rPr>
            </w:pPr>
            <w:r>
              <w:rPr>
                <w:rFonts w:eastAsia="仿宋_GB2312"/>
                <w:szCs w:val="21"/>
              </w:rPr>
              <w:t>≥40.2</w:t>
            </w:r>
          </w:p>
        </w:tc>
      </w:tr>
      <w:tr w14:paraId="7F2D90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79" w:type="pct"/>
            <w:vAlign w:val="center"/>
          </w:tcPr>
          <w:p w14:paraId="603FB0A7">
            <w:pPr>
              <w:widowControl/>
              <w:spacing w:line="320" w:lineRule="exact"/>
              <w:jc w:val="center"/>
              <w:rPr>
                <w:rFonts w:eastAsia="仿宋_GB2312"/>
                <w:szCs w:val="21"/>
              </w:rPr>
            </w:pPr>
            <w:r>
              <w:rPr>
                <w:rFonts w:hint="eastAsia" w:eastAsia="仿宋_GB2312"/>
                <w:szCs w:val="21"/>
              </w:rPr>
              <w:t>熔融色度（铂-钴色号）/Ha</w:t>
            </w:r>
            <w:r>
              <w:rPr>
                <w:rFonts w:eastAsia="仿宋_GB2312"/>
                <w:szCs w:val="21"/>
              </w:rPr>
              <w:t>zen</w:t>
            </w:r>
            <w:r>
              <w:rPr>
                <w:rFonts w:hint="eastAsia" w:eastAsia="仿宋_GB2312"/>
                <w:szCs w:val="21"/>
              </w:rPr>
              <w:t>单位</w:t>
            </w:r>
          </w:p>
        </w:tc>
        <w:tc>
          <w:tcPr>
            <w:tcW w:w="2320" w:type="pct"/>
            <w:vAlign w:val="center"/>
          </w:tcPr>
          <w:p w14:paraId="0668D7DB">
            <w:pPr>
              <w:widowControl/>
              <w:spacing w:line="320" w:lineRule="exact"/>
              <w:jc w:val="center"/>
              <w:rPr>
                <w:rFonts w:eastAsia="仿宋_GB2312"/>
                <w:szCs w:val="21"/>
              </w:rPr>
            </w:pPr>
            <w:r>
              <w:rPr>
                <w:rFonts w:hint="eastAsia" w:eastAsia="仿宋_GB2312"/>
                <w:szCs w:val="21"/>
              </w:rPr>
              <w:t>/</w:t>
            </w:r>
          </w:p>
        </w:tc>
      </w:tr>
      <w:tr w14:paraId="12A028D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79" w:type="pct"/>
            <w:vAlign w:val="center"/>
          </w:tcPr>
          <w:p w14:paraId="1202C63B">
            <w:pPr>
              <w:widowControl/>
              <w:spacing w:line="320" w:lineRule="exact"/>
              <w:jc w:val="center"/>
              <w:rPr>
                <w:rFonts w:eastAsia="仿宋_GB2312"/>
                <w:szCs w:val="21"/>
              </w:rPr>
            </w:pPr>
            <w:r>
              <w:rPr>
                <w:rFonts w:hint="eastAsia" w:eastAsia="仿宋_GB2312"/>
                <w:szCs w:val="21"/>
              </w:rPr>
              <w:t>水分/（m</w:t>
            </w:r>
            <w:r>
              <w:rPr>
                <w:rFonts w:eastAsia="仿宋_GB2312"/>
                <w:szCs w:val="21"/>
              </w:rPr>
              <w:t>g/kg</w:t>
            </w:r>
            <w:r>
              <w:rPr>
                <w:rFonts w:hint="eastAsia" w:eastAsia="仿宋_GB2312"/>
                <w:szCs w:val="21"/>
              </w:rPr>
              <w:t>）</w:t>
            </w:r>
          </w:p>
        </w:tc>
        <w:tc>
          <w:tcPr>
            <w:tcW w:w="2320" w:type="pct"/>
            <w:vAlign w:val="center"/>
          </w:tcPr>
          <w:p w14:paraId="0F7B9217">
            <w:pPr>
              <w:widowControl/>
              <w:spacing w:line="320" w:lineRule="exact"/>
              <w:jc w:val="center"/>
              <w:rPr>
                <w:rFonts w:eastAsia="仿宋_GB2312"/>
                <w:szCs w:val="21"/>
              </w:rPr>
            </w:pPr>
            <w:r>
              <w:rPr>
                <w:rFonts w:hint="eastAsia" w:eastAsia="仿宋_GB2312"/>
                <w:szCs w:val="21"/>
              </w:rPr>
              <w:t>报告</w:t>
            </w:r>
          </w:p>
        </w:tc>
      </w:tr>
      <w:tr w14:paraId="0E826F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79" w:type="pct"/>
            <w:vAlign w:val="center"/>
          </w:tcPr>
          <w:p w14:paraId="254C7C14">
            <w:pPr>
              <w:widowControl/>
              <w:spacing w:line="320" w:lineRule="exact"/>
              <w:jc w:val="center"/>
              <w:rPr>
                <w:rFonts w:eastAsia="仿宋_GB2312"/>
                <w:szCs w:val="21"/>
              </w:rPr>
            </w:pPr>
            <w:r>
              <w:rPr>
                <w:rFonts w:hint="eastAsia" w:eastAsia="仿宋_GB2312"/>
                <w:szCs w:val="21"/>
              </w:rPr>
              <w:t>蒸发残渣，</w:t>
            </w:r>
            <w:r>
              <w:rPr>
                <w:rFonts w:eastAsia="仿宋_GB2312"/>
                <w:szCs w:val="21"/>
              </w:rPr>
              <w:t>ω/%</w:t>
            </w:r>
          </w:p>
        </w:tc>
        <w:tc>
          <w:tcPr>
            <w:tcW w:w="2320" w:type="pct"/>
            <w:vAlign w:val="center"/>
          </w:tcPr>
          <w:p w14:paraId="0240E449">
            <w:pPr>
              <w:widowControl/>
              <w:spacing w:line="320" w:lineRule="exact"/>
              <w:jc w:val="center"/>
              <w:rPr>
                <w:rFonts w:eastAsia="仿宋_GB2312"/>
                <w:szCs w:val="21"/>
              </w:rPr>
            </w:pPr>
            <w:r>
              <w:rPr>
                <w:rFonts w:hint="eastAsia" w:eastAsia="仿宋_GB2312"/>
                <w:szCs w:val="21"/>
              </w:rPr>
              <w:t>/</w:t>
            </w:r>
          </w:p>
        </w:tc>
      </w:tr>
      <w:tr w14:paraId="06E66D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79" w:type="pct"/>
            <w:vAlign w:val="center"/>
          </w:tcPr>
          <w:p w14:paraId="3D0BD147">
            <w:pPr>
              <w:widowControl/>
              <w:spacing w:line="320" w:lineRule="exact"/>
              <w:jc w:val="center"/>
              <w:rPr>
                <w:rFonts w:eastAsia="仿宋_GB2312"/>
                <w:szCs w:val="21"/>
              </w:rPr>
            </w:pPr>
            <w:r>
              <w:rPr>
                <w:rFonts w:hint="eastAsia" w:eastAsia="仿宋_GB2312"/>
                <w:szCs w:val="21"/>
              </w:rPr>
              <w:t>铁/（m</w:t>
            </w:r>
            <w:r>
              <w:rPr>
                <w:rFonts w:eastAsia="仿宋_GB2312"/>
                <w:szCs w:val="21"/>
              </w:rPr>
              <w:t>g/kg</w:t>
            </w:r>
            <w:r>
              <w:rPr>
                <w:rFonts w:hint="eastAsia" w:eastAsia="仿宋_GB2312"/>
                <w:szCs w:val="21"/>
              </w:rPr>
              <w:t>）</w:t>
            </w:r>
          </w:p>
        </w:tc>
        <w:tc>
          <w:tcPr>
            <w:tcW w:w="2320" w:type="pct"/>
            <w:vAlign w:val="center"/>
          </w:tcPr>
          <w:p w14:paraId="096871E7">
            <w:pPr>
              <w:widowControl/>
              <w:spacing w:line="320" w:lineRule="exact"/>
              <w:jc w:val="center"/>
              <w:rPr>
                <w:rFonts w:eastAsia="仿宋_GB2312"/>
                <w:szCs w:val="21"/>
              </w:rPr>
            </w:pPr>
            <w:r>
              <w:rPr>
                <w:rFonts w:hint="eastAsia" w:eastAsia="仿宋_GB2312"/>
                <w:szCs w:val="21"/>
              </w:rPr>
              <w:t>/</w:t>
            </w:r>
          </w:p>
        </w:tc>
      </w:tr>
      <w:tr w14:paraId="29AC25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79" w:type="pct"/>
            <w:vAlign w:val="center"/>
          </w:tcPr>
          <w:p w14:paraId="5115FF76">
            <w:pPr>
              <w:widowControl/>
              <w:spacing w:line="320" w:lineRule="exact"/>
              <w:jc w:val="center"/>
              <w:rPr>
                <w:rFonts w:eastAsia="仿宋_GB2312"/>
                <w:szCs w:val="21"/>
              </w:rPr>
            </w:pPr>
            <w:r>
              <w:rPr>
                <w:rFonts w:hint="eastAsia" w:eastAsia="仿宋_GB2312"/>
                <w:szCs w:val="21"/>
              </w:rPr>
              <w:t>灼烧残渣/（m</w:t>
            </w:r>
            <w:r>
              <w:rPr>
                <w:rFonts w:eastAsia="仿宋_GB2312"/>
                <w:szCs w:val="21"/>
              </w:rPr>
              <w:t>g/kg</w:t>
            </w:r>
            <w:r>
              <w:rPr>
                <w:rFonts w:hint="eastAsia" w:eastAsia="仿宋_GB2312"/>
                <w:szCs w:val="21"/>
              </w:rPr>
              <w:t>）</w:t>
            </w:r>
          </w:p>
        </w:tc>
        <w:tc>
          <w:tcPr>
            <w:tcW w:w="2320" w:type="pct"/>
            <w:vAlign w:val="center"/>
          </w:tcPr>
          <w:p w14:paraId="53F6446F">
            <w:pPr>
              <w:widowControl/>
              <w:spacing w:line="320" w:lineRule="exact"/>
              <w:jc w:val="center"/>
              <w:rPr>
                <w:rFonts w:eastAsia="仿宋_GB2312"/>
                <w:szCs w:val="21"/>
              </w:rPr>
            </w:pPr>
            <w:r>
              <w:rPr>
                <w:rFonts w:hint="eastAsia" w:eastAsia="仿宋_GB2312"/>
                <w:szCs w:val="21"/>
              </w:rPr>
              <w:t>/</w:t>
            </w:r>
          </w:p>
        </w:tc>
      </w:tr>
    </w:tbl>
    <w:p w14:paraId="4C30FEE8">
      <w:pPr>
        <w:spacing w:line="500" w:lineRule="exact"/>
        <w:ind w:firstLine="482" w:firstLineChars="200"/>
        <w:jc w:val="center"/>
        <w:rPr>
          <w:rFonts w:eastAsia="仿宋_GB2312"/>
          <w:b/>
          <w:bCs/>
          <w:sz w:val="24"/>
        </w:rPr>
      </w:pPr>
      <w:r>
        <w:rPr>
          <w:rFonts w:eastAsia="仿宋_GB2312"/>
          <w:b/>
          <w:bCs/>
          <w:sz w:val="24"/>
        </w:rPr>
        <w:t>表3.2-</w:t>
      </w:r>
      <w:r>
        <w:rPr>
          <w:rFonts w:hint="eastAsia" w:eastAsia="仿宋_GB2312"/>
          <w:b/>
          <w:bCs/>
          <w:sz w:val="24"/>
        </w:rPr>
        <w:t>3</w:t>
      </w:r>
      <w:r>
        <w:rPr>
          <w:rFonts w:hint="eastAsia" w:eastAsia="仿宋_GB2312"/>
          <w:b/>
          <w:bCs/>
          <w:sz w:val="24"/>
          <w:lang w:val="en-US" w:eastAsia="zh-CN"/>
        </w:rPr>
        <w:t>7</w:t>
      </w:r>
      <w:r>
        <w:rPr>
          <w:rFonts w:eastAsia="仿宋_GB2312"/>
          <w:b/>
          <w:bCs/>
          <w:sz w:val="24"/>
        </w:rPr>
        <w:t xml:space="preserve">  产品</w:t>
      </w:r>
      <w:r>
        <w:rPr>
          <w:rFonts w:hint="eastAsia" w:eastAsia="仿宋_GB2312"/>
          <w:b/>
          <w:bCs/>
          <w:sz w:val="24"/>
        </w:rPr>
        <w:t>乙酸乙烯酯</w:t>
      </w:r>
      <w:r>
        <w:rPr>
          <w:rFonts w:eastAsia="仿宋_GB2312"/>
          <w:b/>
          <w:bCs/>
          <w:sz w:val="24"/>
        </w:rPr>
        <w:t>质量控制指标表</w:t>
      </w:r>
    </w:p>
    <w:tbl>
      <w:tblPr>
        <w:tblStyle w:val="88"/>
        <w:tblW w:w="4998"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4574"/>
        <w:gridCol w:w="3946"/>
      </w:tblGrid>
      <w:tr w14:paraId="5E3396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684" w:type="pct"/>
            <w:noWrap/>
            <w:vAlign w:val="center"/>
          </w:tcPr>
          <w:p w14:paraId="0EAFE10D">
            <w:pPr>
              <w:adjustRightInd w:val="0"/>
              <w:snapToGrid w:val="0"/>
              <w:jc w:val="center"/>
              <w:rPr>
                <w:rFonts w:eastAsia="仿宋_GB2312"/>
                <w:b/>
                <w:szCs w:val="21"/>
              </w:rPr>
            </w:pPr>
            <w:r>
              <w:rPr>
                <w:rFonts w:hint="eastAsia" w:eastAsia="仿宋_GB2312"/>
                <w:b/>
              </w:rPr>
              <w:t>项目</w:t>
            </w:r>
          </w:p>
        </w:tc>
        <w:tc>
          <w:tcPr>
            <w:tcW w:w="2315" w:type="pct"/>
            <w:vAlign w:val="center"/>
          </w:tcPr>
          <w:p w14:paraId="0C59703D">
            <w:pPr>
              <w:adjustRightInd w:val="0"/>
              <w:snapToGrid w:val="0"/>
              <w:jc w:val="center"/>
              <w:rPr>
                <w:rFonts w:eastAsia="仿宋_GB2312"/>
                <w:b/>
                <w:szCs w:val="21"/>
              </w:rPr>
            </w:pPr>
            <w:r>
              <w:rPr>
                <w:rFonts w:hint="eastAsia" w:eastAsia="仿宋_GB2312"/>
                <w:b/>
              </w:rPr>
              <w:t>质量指标（Ⅱ型，乙炔法）</w:t>
            </w:r>
          </w:p>
        </w:tc>
      </w:tr>
      <w:tr w14:paraId="756A32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684" w:type="pct"/>
            <w:noWrap/>
            <w:vAlign w:val="center"/>
          </w:tcPr>
          <w:p w14:paraId="7C290FE4">
            <w:pPr>
              <w:jc w:val="center"/>
              <w:rPr>
                <w:rFonts w:eastAsia="仿宋_GB2312"/>
                <w:szCs w:val="21"/>
              </w:rPr>
            </w:pPr>
            <w:r>
              <w:rPr>
                <w:rFonts w:hint="eastAsia" w:eastAsia="仿宋_GB2312"/>
                <w:szCs w:val="21"/>
              </w:rPr>
              <w:t>外观</w:t>
            </w:r>
          </w:p>
        </w:tc>
        <w:tc>
          <w:tcPr>
            <w:tcW w:w="2315" w:type="pct"/>
            <w:vAlign w:val="center"/>
          </w:tcPr>
          <w:p w14:paraId="4E5386E1">
            <w:pPr>
              <w:jc w:val="center"/>
              <w:rPr>
                <w:szCs w:val="21"/>
              </w:rPr>
            </w:pPr>
            <w:r>
              <w:rPr>
                <w:rFonts w:hint="eastAsia" w:ascii="仿宋_GB2312" w:hAnsi="仿宋_GB2312" w:eastAsia="仿宋_GB2312" w:cs="仿宋_GB2312"/>
                <w:szCs w:val="21"/>
              </w:rPr>
              <w:t>透明液体，无机械杂质</w:t>
            </w:r>
          </w:p>
        </w:tc>
      </w:tr>
      <w:tr w14:paraId="42A7F6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684" w:type="pct"/>
            <w:shd w:val="clear" w:color="auto" w:fill="auto"/>
            <w:noWrap/>
            <w:vAlign w:val="center"/>
          </w:tcPr>
          <w:p w14:paraId="062778AF">
            <w:pPr>
              <w:jc w:val="center"/>
              <w:rPr>
                <w:rFonts w:eastAsia="仿宋_GB2312"/>
                <w:szCs w:val="21"/>
              </w:rPr>
            </w:pPr>
            <w:r>
              <w:rPr>
                <w:rFonts w:eastAsia="仿宋_GB2312"/>
              </w:rPr>
              <w:t>纯度，ω%</w:t>
            </w:r>
          </w:p>
        </w:tc>
        <w:tc>
          <w:tcPr>
            <w:tcW w:w="2315" w:type="pct"/>
            <w:shd w:val="clear" w:color="auto" w:fill="auto"/>
            <w:vAlign w:val="center"/>
          </w:tcPr>
          <w:p w14:paraId="334D9709">
            <w:pPr>
              <w:jc w:val="center"/>
              <w:rPr>
                <w:rFonts w:eastAsia="仿宋_GB2312"/>
                <w:szCs w:val="21"/>
              </w:rPr>
            </w:pPr>
            <w:r>
              <w:rPr>
                <w:rFonts w:eastAsia="仿宋_GB2312"/>
              </w:rPr>
              <w:t>≥</w:t>
            </w:r>
            <w:r>
              <w:rPr>
                <w:rFonts w:hint="eastAsia" w:eastAsia="仿宋_GB2312"/>
              </w:rPr>
              <w:t>99.7</w:t>
            </w:r>
          </w:p>
        </w:tc>
      </w:tr>
      <w:tr w14:paraId="4A1011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684" w:type="pct"/>
            <w:noWrap/>
            <w:vAlign w:val="center"/>
          </w:tcPr>
          <w:p w14:paraId="40A2E2D7">
            <w:pPr>
              <w:jc w:val="center"/>
              <w:rPr>
                <w:rFonts w:eastAsia="仿宋_GB2312"/>
                <w:szCs w:val="21"/>
              </w:rPr>
            </w:pPr>
            <w:r>
              <w:rPr>
                <w:rFonts w:hint="eastAsia" w:eastAsia="仿宋_GB2312"/>
                <w:szCs w:val="21"/>
              </w:rPr>
              <w:t>密度，（20</w:t>
            </w:r>
            <w:r>
              <w:rPr>
                <w:rFonts w:hint="eastAsia" w:ascii="宋体" w:hAnsi="宋体" w:cs="宋体"/>
              </w:rPr>
              <w:t>℃</w:t>
            </w:r>
            <w:r>
              <w:rPr>
                <w:rFonts w:hint="eastAsia" w:eastAsia="仿宋_GB2312"/>
                <w:szCs w:val="21"/>
              </w:rPr>
              <w:t>）/（g/cm</w:t>
            </w:r>
            <w:r>
              <w:rPr>
                <w:rFonts w:hint="eastAsia" w:eastAsia="仿宋_GB2312"/>
                <w:szCs w:val="21"/>
                <w:vertAlign w:val="superscript"/>
              </w:rPr>
              <w:t>3</w:t>
            </w:r>
            <w:r>
              <w:rPr>
                <w:rFonts w:hint="eastAsia" w:eastAsia="仿宋_GB2312"/>
                <w:szCs w:val="21"/>
              </w:rPr>
              <w:t>）</w:t>
            </w:r>
          </w:p>
        </w:tc>
        <w:tc>
          <w:tcPr>
            <w:tcW w:w="2315" w:type="pct"/>
            <w:vAlign w:val="center"/>
          </w:tcPr>
          <w:p w14:paraId="43E52D85">
            <w:pPr>
              <w:jc w:val="center"/>
              <w:rPr>
                <w:rFonts w:eastAsia="仿宋_GB2312"/>
                <w:szCs w:val="21"/>
              </w:rPr>
            </w:pPr>
            <w:r>
              <w:rPr>
                <w:rFonts w:hint="eastAsia" w:eastAsia="仿宋_GB2312"/>
              </w:rPr>
              <w:t>0.930</w:t>
            </w:r>
            <w:r>
              <w:rPr>
                <w:rFonts w:eastAsia="仿宋_GB2312"/>
              </w:rPr>
              <w:t>~</w:t>
            </w:r>
            <w:r>
              <w:rPr>
                <w:rFonts w:hint="eastAsia" w:eastAsia="仿宋_GB2312"/>
              </w:rPr>
              <w:t>0.934</w:t>
            </w:r>
          </w:p>
        </w:tc>
      </w:tr>
      <w:tr w14:paraId="758D38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684" w:type="pct"/>
            <w:noWrap/>
            <w:vAlign w:val="center"/>
          </w:tcPr>
          <w:p w14:paraId="658A6795">
            <w:pPr>
              <w:jc w:val="center"/>
              <w:rPr>
                <w:rFonts w:eastAsia="仿宋_GB2312"/>
                <w:szCs w:val="21"/>
              </w:rPr>
            </w:pPr>
            <w:r>
              <w:rPr>
                <w:rFonts w:hint="eastAsia" w:eastAsia="仿宋_GB2312"/>
                <w:szCs w:val="21"/>
              </w:rPr>
              <w:t>色度（铂-钴）/号</w:t>
            </w:r>
          </w:p>
        </w:tc>
        <w:tc>
          <w:tcPr>
            <w:tcW w:w="2315" w:type="pct"/>
            <w:vAlign w:val="center"/>
          </w:tcPr>
          <w:p w14:paraId="09B4BB97">
            <w:pPr>
              <w:jc w:val="center"/>
              <w:rPr>
                <w:rFonts w:eastAsia="仿宋_GB2312"/>
                <w:szCs w:val="21"/>
              </w:rPr>
            </w:pPr>
            <w:r>
              <w:rPr>
                <w:rFonts w:eastAsia="仿宋_GB2312"/>
              </w:rPr>
              <w:t>≤</w:t>
            </w:r>
            <w:r>
              <w:rPr>
                <w:rFonts w:hint="eastAsia" w:eastAsia="仿宋_GB2312"/>
              </w:rPr>
              <w:t>10</w:t>
            </w:r>
          </w:p>
        </w:tc>
      </w:tr>
      <w:tr w14:paraId="079885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684" w:type="pct"/>
            <w:noWrap/>
            <w:vAlign w:val="center"/>
          </w:tcPr>
          <w:p w14:paraId="45AAD914">
            <w:pPr>
              <w:jc w:val="center"/>
              <w:rPr>
                <w:rFonts w:eastAsia="仿宋_GB2312"/>
                <w:szCs w:val="21"/>
              </w:rPr>
            </w:pPr>
            <w:r>
              <w:rPr>
                <w:rFonts w:hint="eastAsia" w:eastAsia="仿宋_GB2312"/>
                <w:szCs w:val="21"/>
              </w:rPr>
              <w:t>蒸发残渣/（mg/kg）</w:t>
            </w:r>
          </w:p>
        </w:tc>
        <w:tc>
          <w:tcPr>
            <w:tcW w:w="2315" w:type="pct"/>
            <w:vAlign w:val="center"/>
          </w:tcPr>
          <w:p w14:paraId="4656B632">
            <w:pPr>
              <w:jc w:val="center"/>
              <w:rPr>
                <w:rFonts w:eastAsia="仿宋_GB2312"/>
                <w:szCs w:val="21"/>
              </w:rPr>
            </w:pPr>
            <w:r>
              <w:rPr>
                <w:rFonts w:eastAsia="仿宋_GB2312"/>
              </w:rPr>
              <w:t>≤</w:t>
            </w:r>
            <w:r>
              <w:rPr>
                <w:rFonts w:hint="eastAsia" w:eastAsia="仿宋_GB2312"/>
              </w:rPr>
              <w:t>100</w:t>
            </w:r>
          </w:p>
        </w:tc>
      </w:tr>
      <w:tr w14:paraId="11E02B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684" w:type="pct"/>
            <w:noWrap/>
            <w:vAlign w:val="center"/>
          </w:tcPr>
          <w:p w14:paraId="0146DB45">
            <w:pPr>
              <w:jc w:val="center"/>
              <w:rPr>
                <w:rFonts w:eastAsia="仿宋_GB2312"/>
                <w:szCs w:val="21"/>
              </w:rPr>
            </w:pPr>
            <w:r>
              <w:rPr>
                <w:rFonts w:hint="eastAsia" w:eastAsia="仿宋_GB2312"/>
                <w:szCs w:val="21"/>
              </w:rPr>
              <w:t>酸度（以乙酸计）/（mg/kg）</w:t>
            </w:r>
          </w:p>
        </w:tc>
        <w:tc>
          <w:tcPr>
            <w:tcW w:w="2315" w:type="pct"/>
            <w:vAlign w:val="center"/>
          </w:tcPr>
          <w:p w14:paraId="16569007">
            <w:pPr>
              <w:jc w:val="center"/>
              <w:rPr>
                <w:rFonts w:eastAsia="仿宋_GB2312"/>
                <w:szCs w:val="21"/>
              </w:rPr>
            </w:pPr>
            <w:r>
              <w:rPr>
                <w:rFonts w:eastAsia="仿宋_GB2312"/>
              </w:rPr>
              <w:t>≤</w:t>
            </w:r>
            <w:r>
              <w:rPr>
                <w:rFonts w:hint="eastAsia" w:eastAsia="仿宋_GB2312"/>
              </w:rPr>
              <w:t>100</w:t>
            </w:r>
          </w:p>
        </w:tc>
      </w:tr>
      <w:tr w14:paraId="091C3C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684" w:type="pct"/>
            <w:noWrap/>
            <w:vAlign w:val="center"/>
          </w:tcPr>
          <w:p w14:paraId="5FF53D65">
            <w:pPr>
              <w:jc w:val="center"/>
              <w:rPr>
                <w:rFonts w:eastAsia="仿宋_GB2312"/>
                <w:szCs w:val="21"/>
              </w:rPr>
            </w:pPr>
            <w:r>
              <w:rPr>
                <w:rFonts w:hint="eastAsia" w:eastAsia="仿宋_GB2312"/>
                <w:szCs w:val="21"/>
              </w:rPr>
              <w:t>醛含量（以乙醛计）/（mg/kg）</w:t>
            </w:r>
          </w:p>
        </w:tc>
        <w:tc>
          <w:tcPr>
            <w:tcW w:w="2315" w:type="pct"/>
            <w:vAlign w:val="center"/>
          </w:tcPr>
          <w:p w14:paraId="5E4145B6">
            <w:pPr>
              <w:jc w:val="center"/>
              <w:rPr>
                <w:rFonts w:eastAsia="仿宋_GB2312"/>
                <w:szCs w:val="21"/>
              </w:rPr>
            </w:pPr>
            <w:r>
              <w:rPr>
                <w:rFonts w:eastAsia="仿宋_GB2312"/>
              </w:rPr>
              <w:t>≤</w:t>
            </w:r>
            <w:r>
              <w:rPr>
                <w:rFonts w:hint="eastAsia" w:eastAsia="仿宋_GB2312"/>
              </w:rPr>
              <w:t>300</w:t>
            </w:r>
          </w:p>
        </w:tc>
      </w:tr>
      <w:tr w14:paraId="5F1D27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684" w:type="pct"/>
            <w:noWrap/>
            <w:vAlign w:val="center"/>
          </w:tcPr>
          <w:p w14:paraId="1B4C84A2">
            <w:pPr>
              <w:jc w:val="center"/>
              <w:rPr>
                <w:rFonts w:eastAsia="仿宋_GB2312"/>
                <w:szCs w:val="21"/>
              </w:rPr>
            </w:pPr>
            <w:r>
              <w:rPr>
                <w:rFonts w:hint="eastAsia" w:eastAsia="仿宋_GB2312"/>
                <w:szCs w:val="21"/>
              </w:rPr>
              <w:t>水分/（mg/kg）</w:t>
            </w:r>
          </w:p>
        </w:tc>
        <w:tc>
          <w:tcPr>
            <w:tcW w:w="2315" w:type="pct"/>
            <w:vAlign w:val="center"/>
          </w:tcPr>
          <w:p w14:paraId="6188FB4A">
            <w:pPr>
              <w:jc w:val="center"/>
              <w:rPr>
                <w:rFonts w:eastAsia="仿宋_GB2312"/>
                <w:szCs w:val="21"/>
              </w:rPr>
            </w:pPr>
            <w:r>
              <w:rPr>
                <w:rFonts w:eastAsia="仿宋_GB2312"/>
              </w:rPr>
              <w:t>≤</w:t>
            </w:r>
            <w:r>
              <w:rPr>
                <w:rFonts w:hint="eastAsia" w:eastAsia="仿宋_GB2312"/>
              </w:rPr>
              <w:t>600</w:t>
            </w:r>
          </w:p>
        </w:tc>
      </w:tr>
      <w:tr w14:paraId="283438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684" w:type="pct"/>
            <w:noWrap/>
            <w:vAlign w:val="center"/>
          </w:tcPr>
          <w:p w14:paraId="7C8D3FE9">
            <w:pPr>
              <w:jc w:val="center"/>
              <w:rPr>
                <w:rFonts w:eastAsia="仿宋_GB2312"/>
                <w:szCs w:val="21"/>
              </w:rPr>
            </w:pPr>
            <w:r>
              <w:rPr>
                <w:rFonts w:hint="eastAsia" w:eastAsia="仿宋_GB2312"/>
                <w:szCs w:val="21"/>
              </w:rPr>
              <w:t>苯/（mg/kg）</w:t>
            </w:r>
          </w:p>
        </w:tc>
        <w:tc>
          <w:tcPr>
            <w:tcW w:w="2315" w:type="pct"/>
            <w:vAlign w:val="center"/>
          </w:tcPr>
          <w:p w14:paraId="51D9B652">
            <w:pPr>
              <w:jc w:val="center"/>
              <w:rPr>
                <w:rFonts w:eastAsia="仿宋_GB2312"/>
              </w:rPr>
            </w:pPr>
            <w:r>
              <w:rPr>
                <w:rFonts w:hint="eastAsia" w:eastAsia="仿宋_GB2312"/>
              </w:rPr>
              <w:t>由供需双方商定</w:t>
            </w:r>
          </w:p>
        </w:tc>
      </w:tr>
      <w:tr w14:paraId="769BD2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684" w:type="pct"/>
            <w:noWrap/>
            <w:vAlign w:val="center"/>
          </w:tcPr>
          <w:p w14:paraId="765C5F74">
            <w:pPr>
              <w:jc w:val="center"/>
              <w:rPr>
                <w:rFonts w:eastAsia="仿宋_GB2312"/>
                <w:szCs w:val="21"/>
              </w:rPr>
            </w:pPr>
            <w:r>
              <w:rPr>
                <w:rFonts w:hint="eastAsia" w:eastAsia="仿宋_GB2312"/>
                <w:szCs w:val="21"/>
              </w:rPr>
              <w:t>活性度/min</w:t>
            </w:r>
          </w:p>
        </w:tc>
        <w:tc>
          <w:tcPr>
            <w:tcW w:w="2315" w:type="pct"/>
            <w:vMerge w:val="restart"/>
            <w:vAlign w:val="center"/>
          </w:tcPr>
          <w:p w14:paraId="50C6D30F">
            <w:pPr>
              <w:jc w:val="center"/>
              <w:rPr>
                <w:rFonts w:eastAsia="仿宋_GB2312"/>
              </w:rPr>
            </w:pPr>
            <w:r>
              <w:rPr>
                <w:rFonts w:hint="eastAsia" w:eastAsia="仿宋_GB2312"/>
              </w:rPr>
              <w:t>由供需双方商定</w:t>
            </w:r>
          </w:p>
        </w:tc>
      </w:tr>
      <w:tr w14:paraId="6200BD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684" w:type="pct"/>
            <w:noWrap/>
            <w:vAlign w:val="center"/>
          </w:tcPr>
          <w:p w14:paraId="52DE8984">
            <w:pPr>
              <w:jc w:val="center"/>
              <w:rPr>
                <w:rFonts w:eastAsia="仿宋_GB2312"/>
                <w:szCs w:val="21"/>
              </w:rPr>
            </w:pPr>
            <w:r>
              <w:rPr>
                <w:rFonts w:hint="eastAsia" w:eastAsia="仿宋_GB2312"/>
                <w:szCs w:val="21"/>
              </w:rPr>
              <w:t>阻聚剂（对苯二酚）/（mg/kg）</w:t>
            </w:r>
          </w:p>
        </w:tc>
        <w:tc>
          <w:tcPr>
            <w:tcW w:w="2315" w:type="pct"/>
            <w:vMerge w:val="continue"/>
            <w:vAlign w:val="center"/>
          </w:tcPr>
          <w:p w14:paraId="3E4E6EE3">
            <w:pPr>
              <w:jc w:val="center"/>
              <w:rPr>
                <w:rFonts w:eastAsia="仿宋_GB2312"/>
              </w:rPr>
            </w:pPr>
          </w:p>
        </w:tc>
      </w:tr>
    </w:tbl>
    <w:p w14:paraId="5170CD74">
      <w:pPr>
        <w:spacing w:line="500" w:lineRule="exact"/>
        <w:jc w:val="center"/>
        <w:rPr>
          <w:rFonts w:eastAsia="仿宋_GB2312"/>
          <w:b/>
          <w:bCs/>
          <w:sz w:val="24"/>
        </w:rPr>
      </w:pPr>
      <w:r>
        <w:rPr>
          <w:rFonts w:eastAsia="仿宋_GB2312"/>
          <w:b/>
          <w:bCs/>
          <w:sz w:val="24"/>
        </w:rPr>
        <w:t>表3.2-</w:t>
      </w:r>
      <w:r>
        <w:rPr>
          <w:rFonts w:hint="eastAsia" w:eastAsia="仿宋_GB2312"/>
          <w:b/>
          <w:bCs/>
          <w:sz w:val="24"/>
        </w:rPr>
        <w:t>3</w:t>
      </w:r>
      <w:r>
        <w:rPr>
          <w:rFonts w:hint="eastAsia" w:eastAsia="仿宋_GB2312"/>
          <w:b/>
          <w:bCs/>
          <w:sz w:val="24"/>
          <w:lang w:val="en-US" w:eastAsia="zh-CN"/>
        </w:rPr>
        <w:t>8</w:t>
      </w:r>
      <w:r>
        <w:rPr>
          <w:rFonts w:eastAsia="仿宋_GB2312"/>
          <w:b/>
          <w:bCs/>
          <w:sz w:val="24"/>
        </w:rPr>
        <w:t xml:space="preserve">  产品</w:t>
      </w:r>
      <w:r>
        <w:rPr>
          <w:rFonts w:hint="eastAsia" w:eastAsia="仿宋_GB2312"/>
          <w:b/>
          <w:bCs/>
          <w:sz w:val="24"/>
        </w:rPr>
        <w:t>2-甲基四氢呋喃</w:t>
      </w:r>
      <w:r>
        <w:rPr>
          <w:rFonts w:eastAsia="仿宋_GB2312"/>
          <w:b/>
          <w:bCs/>
          <w:sz w:val="24"/>
        </w:rPr>
        <w:t>质量控制指标表</w:t>
      </w:r>
    </w:p>
    <w:tbl>
      <w:tblPr>
        <w:tblStyle w:val="88"/>
        <w:tblW w:w="4998"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4559"/>
        <w:gridCol w:w="3961"/>
      </w:tblGrid>
      <w:tr w14:paraId="138C6C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75" w:type="pct"/>
            <w:vAlign w:val="center"/>
          </w:tcPr>
          <w:p w14:paraId="6F86AB76">
            <w:pPr>
              <w:widowControl/>
              <w:spacing w:line="320" w:lineRule="exact"/>
              <w:jc w:val="center"/>
              <w:rPr>
                <w:rFonts w:eastAsia="仿宋_GB2312"/>
                <w:b/>
                <w:szCs w:val="21"/>
              </w:rPr>
            </w:pPr>
            <w:r>
              <w:rPr>
                <w:rFonts w:hint="eastAsia" w:eastAsia="仿宋_GB2312"/>
                <w:b/>
                <w:szCs w:val="21"/>
              </w:rPr>
              <w:t>项目</w:t>
            </w:r>
          </w:p>
        </w:tc>
        <w:tc>
          <w:tcPr>
            <w:tcW w:w="2324" w:type="pct"/>
            <w:vAlign w:val="center"/>
          </w:tcPr>
          <w:p w14:paraId="1C6CC348">
            <w:pPr>
              <w:widowControl/>
              <w:spacing w:line="320" w:lineRule="exact"/>
              <w:jc w:val="center"/>
              <w:rPr>
                <w:rFonts w:eastAsia="仿宋_GB2312"/>
                <w:b/>
                <w:szCs w:val="21"/>
              </w:rPr>
            </w:pPr>
            <w:r>
              <w:rPr>
                <w:rFonts w:hint="eastAsia" w:eastAsia="仿宋_GB2312"/>
                <w:b/>
                <w:szCs w:val="21"/>
              </w:rPr>
              <w:t>合格品</w:t>
            </w:r>
            <w:r>
              <w:rPr>
                <w:rFonts w:eastAsia="仿宋_GB2312"/>
                <w:b/>
                <w:szCs w:val="21"/>
              </w:rPr>
              <w:t>指标</w:t>
            </w:r>
          </w:p>
        </w:tc>
      </w:tr>
      <w:tr w14:paraId="6024F4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75" w:type="pct"/>
            <w:vAlign w:val="center"/>
          </w:tcPr>
          <w:p w14:paraId="0D3AF2A0">
            <w:pPr>
              <w:widowControl/>
              <w:spacing w:line="320" w:lineRule="exact"/>
              <w:jc w:val="center"/>
              <w:rPr>
                <w:rFonts w:eastAsia="仿宋_GB2312"/>
                <w:szCs w:val="21"/>
              </w:rPr>
            </w:pPr>
            <w:r>
              <w:rPr>
                <w:rFonts w:hint="eastAsia" w:eastAsia="仿宋_GB2312"/>
                <w:szCs w:val="21"/>
              </w:rPr>
              <w:t>2-甲基四氢呋喃，</w:t>
            </w:r>
            <w:r>
              <w:rPr>
                <w:rFonts w:eastAsia="仿宋_GB2312"/>
                <w:szCs w:val="21"/>
              </w:rPr>
              <w:t>ω/%</w:t>
            </w:r>
          </w:p>
        </w:tc>
        <w:tc>
          <w:tcPr>
            <w:tcW w:w="2324" w:type="pct"/>
            <w:vAlign w:val="center"/>
          </w:tcPr>
          <w:p w14:paraId="297A9EA5">
            <w:pPr>
              <w:widowControl/>
              <w:spacing w:line="320" w:lineRule="exact"/>
              <w:jc w:val="center"/>
              <w:rPr>
                <w:rFonts w:eastAsia="仿宋_GB2312"/>
                <w:szCs w:val="21"/>
              </w:rPr>
            </w:pPr>
            <w:r>
              <w:rPr>
                <w:rFonts w:eastAsia="仿宋_GB2312"/>
                <w:szCs w:val="21"/>
              </w:rPr>
              <w:t>≥99.</w:t>
            </w:r>
            <w:r>
              <w:rPr>
                <w:rFonts w:hint="eastAsia" w:eastAsia="仿宋_GB2312"/>
                <w:szCs w:val="21"/>
              </w:rPr>
              <w:t>5</w:t>
            </w:r>
          </w:p>
        </w:tc>
      </w:tr>
      <w:tr w14:paraId="6FB81E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75" w:type="pct"/>
            <w:vAlign w:val="center"/>
          </w:tcPr>
          <w:p w14:paraId="04C32884">
            <w:pPr>
              <w:widowControl/>
              <w:spacing w:line="320" w:lineRule="exact"/>
              <w:jc w:val="center"/>
              <w:rPr>
                <w:rFonts w:eastAsia="仿宋_GB2312"/>
                <w:szCs w:val="21"/>
              </w:rPr>
            </w:pPr>
            <w:r>
              <w:rPr>
                <w:rFonts w:hint="eastAsia" w:eastAsia="仿宋_GB2312"/>
                <w:szCs w:val="21"/>
              </w:rPr>
              <w:t>水分，</w:t>
            </w:r>
            <w:r>
              <w:rPr>
                <w:rFonts w:eastAsia="仿宋_GB2312"/>
                <w:szCs w:val="21"/>
              </w:rPr>
              <w:t>ω/%</w:t>
            </w:r>
          </w:p>
        </w:tc>
        <w:tc>
          <w:tcPr>
            <w:tcW w:w="2324" w:type="pct"/>
            <w:vAlign w:val="center"/>
          </w:tcPr>
          <w:p w14:paraId="4DF5F4AB">
            <w:pPr>
              <w:widowControl/>
              <w:spacing w:line="320" w:lineRule="exact"/>
              <w:jc w:val="center"/>
              <w:rPr>
                <w:rFonts w:eastAsia="仿宋_GB2312"/>
                <w:szCs w:val="21"/>
              </w:rPr>
            </w:pPr>
            <w:r>
              <w:rPr>
                <w:rFonts w:eastAsia="仿宋_GB2312"/>
              </w:rPr>
              <w:t>≤</w:t>
            </w:r>
            <w:r>
              <w:rPr>
                <w:rFonts w:hint="eastAsia" w:eastAsia="仿宋_GB2312"/>
              </w:rPr>
              <w:t>0.030</w:t>
            </w:r>
          </w:p>
        </w:tc>
      </w:tr>
      <w:tr w14:paraId="1C88A1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75" w:type="pct"/>
            <w:vAlign w:val="center"/>
          </w:tcPr>
          <w:p w14:paraId="0567F7C9">
            <w:pPr>
              <w:widowControl/>
              <w:spacing w:line="320" w:lineRule="exact"/>
              <w:jc w:val="center"/>
              <w:rPr>
                <w:rFonts w:eastAsia="仿宋_GB2312"/>
                <w:szCs w:val="21"/>
              </w:rPr>
            </w:pPr>
            <w:r>
              <w:rPr>
                <w:rFonts w:hint="eastAsia" w:eastAsia="仿宋_GB2312"/>
                <w:szCs w:val="21"/>
              </w:rPr>
              <w:t>抗氧剂（BHT）2,6-二叔丁基-4-甲基苯酚，</w:t>
            </w:r>
            <w:r>
              <w:rPr>
                <w:rFonts w:eastAsia="仿宋_GB2312"/>
                <w:szCs w:val="21"/>
              </w:rPr>
              <w:t>ω/%</w:t>
            </w:r>
          </w:p>
        </w:tc>
        <w:tc>
          <w:tcPr>
            <w:tcW w:w="2324" w:type="pct"/>
            <w:vAlign w:val="center"/>
          </w:tcPr>
          <w:p w14:paraId="009984CF">
            <w:pPr>
              <w:widowControl/>
              <w:spacing w:line="320" w:lineRule="exact"/>
              <w:jc w:val="center"/>
              <w:rPr>
                <w:rFonts w:eastAsia="仿宋_GB2312"/>
                <w:szCs w:val="21"/>
              </w:rPr>
            </w:pPr>
            <w:r>
              <w:rPr>
                <w:rFonts w:hint="eastAsia" w:eastAsia="仿宋_GB2312"/>
              </w:rPr>
              <w:t>0.015</w:t>
            </w:r>
            <w:r>
              <w:rPr>
                <w:rFonts w:eastAsia="仿宋_GB2312"/>
              </w:rPr>
              <w:t>~</w:t>
            </w:r>
            <w:r>
              <w:rPr>
                <w:rFonts w:hint="eastAsia" w:eastAsia="仿宋_GB2312"/>
              </w:rPr>
              <w:t>0.040</w:t>
            </w:r>
          </w:p>
        </w:tc>
      </w:tr>
    </w:tbl>
    <w:p w14:paraId="40B46D46">
      <w:pPr>
        <w:spacing w:line="500" w:lineRule="exact"/>
        <w:jc w:val="center"/>
        <w:rPr>
          <w:rFonts w:eastAsia="仿宋_GB2312"/>
          <w:b/>
          <w:bCs/>
          <w:sz w:val="24"/>
        </w:rPr>
      </w:pPr>
      <w:r>
        <w:rPr>
          <w:rFonts w:eastAsia="仿宋_GB2312"/>
          <w:b/>
          <w:bCs/>
          <w:sz w:val="24"/>
        </w:rPr>
        <w:t>表3.2-</w:t>
      </w:r>
      <w:r>
        <w:rPr>
          <w:rFonts w:hint="eastAsia" w:eastAsia="仿宋_GB2312"/>
          <w:b/>
          <w:bCs/>
          <w:sz w:val="24"/>
          <w:lang w:val="en-US" w:eastAsia="zh-CN"/>
        </w:rPr>
        <w:t>39</w:t>
      </w:r>
      <w:r>
        <w:rPr>
          <w:rFonts w:eastAsia="仿宋_GB2312"/>
          <w:b/>
          <w:bCs/>
          <w:sz w:val="24"/>
        </w:rPr>
        <w:t xml:space="preserve">  产品</w:t>
      </w:r>
      <w:r>
        <w:rPr>
          <w:rFonts w:hint="eastAsia" w:eastAsia="仿宋_GB2312"/>
          <w:b/>
          <w:bCs/>
          <w:sz w:val="24"/>
        </w:rPr>
        <w:t>甲基叔丁基醚质量控</w:t>
      </w:r>
      <w:r>
        <w:rPr>
          <w:rFonts w:eastAsia="仿宋_GB2312"/>
          <w:b/>
          <w:bCs/>
          <w:sz w:val="24"/>
        </w:rPr>
        <w:t>制指标表</w:t>
      </w:r>
    </w:p>
    <w:tbl>
      <w:tblPr>
        <w:tblStyle w:val="88"/>
        <w:tblW w:w="4998"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4574"/>
        <w:gridCol w:w="3946"/>
      </w:tblGrid>
      <w:tr w14:paraId="6B9FF4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2684" w:type="pct"/>
            <w:noWrap/>
            <w:vAlign w:val="center"/>
          </w:tcPr>
          <w:p w14:paraId="64D0EB0F">
            <w:pPr>
              <w:adjustRightInd w:val="0"/>
              <w:snapToGrid w:val="0"/>
              <w:jc w:val="center"/>
              <w:rPr>
                <w:rFonts w:eastAsia="仿宋_GB2312"/>
                <w:b/>
                <w:szCs w:val="21"/>
              </w:rPr>
            </w:pPr>
            <w:r>
              <w:rPr>
                <w:rFonts w:eastAsia="仿宋_GB2312"/>
                <w:b/>
              </w:rPr>
              <w:t>项目</w:t>
            </w:r>
          </w:p>
        </w:tc>
        <w:tc>
          <w:tcPr>
            <w:tcW w:w="2316" w:type="pct"/>
            <w:vAlign w:val="center"/>
          </w:tcPr>
          <w:p w14:paraId="3DD691B0">
            <w:pPr>
              <w:adjustRightInd w:val="0"/>
              <w:snapToGrid w:val="0"/>
              <w:jc w:val="center"/>
              <w:rPr>
                <w:rFonts w:eastAsia="仿宋_GB2312"/>
                <w:b/>
                <w:szCs w:val="21"/>
              </w:rPr>
            </w:pPr>
            <w:r>
              <w:rPr>
                <w:rFonts w:hint="eastAsia" w:eastAsia="仿宋_GB2312"/>
                <w:b/>
              </w:rPr>
              <w:t>指标</w:t>
            </w:r>
            <w:r>
              <w:rPr>
                <w:rFonts w:eastAsia="仿宋_GB2312"/>
                <w:b/>
              </w:rPr>
              <w:t>（</w:t>
            </w:r>
            <w:r>
              <w:rPr>
                <w:rFonts w:hint="eastAsia" w:eastAsia="仿宋_GB2312"/>
                <w:b/>
              </w:rPr>
              <w:t>Ⅱ型</w:t>
            </w:r>
            <w:r>
              <w:rPr>
                <w:rFonts w:eastAsia="仿宋_GB2312"/>
                <w:b/>
              </w:rPr>
              <w:t>）</w:t>
            </w:r>
          </w:p>
        </w:tc>
      </w:tr>
      <w:tr w14:paraId="4C0F7B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2684" w:type="pct"/>
            <w:noWrap/>
            <w:vAlign w:val="center"/>
          </w:tcPr>
          <w:p w14:paraId="727BD9E8">
            <w:pPr>
              <w:jc w:val="center"/>
              <w:rPr>
                <w:rFonts w:eastAsia="仿宋_GB2312"/>
                <w:szCs w:val="21"/>
              </w:rPr>
            </w:pPr>
            <w:r>
              <w:rPr>
                <w:rFonts w:hint="eastAsia" w:eastAsia="仿宋_GB2312"/>
              </w:rPr>
              <w:t>外观</w:t>
            </w:r>
          </w:p>
        </w:tc>
        <w:tc>
          <w:tcPr>
            <w:tcW w:w="2316" w:type="pct"/>
            <w:vAlign w:val="center"/>
          </w:tcPr>
          <w:p w14:paraId="146399C9">
            <w:pPr>
              <w:jc w:val="center"/>
              <w:rPr>
                <w:rFonts w:eastAsia="仿宋_GB2312"/>
                <w:szCs w:val="21"/>
              </w:rPr>
            </w:pPr>
            <w:r>
              <w:rPr>
                <w:rFonts w:hint="eastAsia" w:eastAsia="仿宋_GB2312"/>
                <w:szCs w:val="21"/>
              </w:rPr>
              <w:t>无色透明液体，无机械杂质</w:t>
            </w:r>
          </w:p>
        </w:tc>
      </w:tr>
      <w:tr w14:paraId="03B52E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2684" w:type="pct"/>
            <w:noWrap/>
            <w:vAlign w:val="center"/>
          </w:tcPr>
          <w:p w14:paraId="08F922AC">
            <w:pPr>
              <w:jc w:val="center"/>
              <w:rPr>
                <w:rFonts w:eastAsia="仿宋_GB2312"/>
                <w:szCs w:val="21"/>
              </w:rPr>
            </w:pPr>
            <w:r>
              <w:rPr>
                <w:rFonts w:hint="eastAsia" w:eastAsia="仿宋_GB2312"/>
                <w:szCs w:val="21"/>
              </w:rPr>
              <w:t>甲基叔丁基醚，</w:t>
            </w:r>
            <w:r>
              <w:rPr>
                <w:rFonts w:eastAsia="仿宋_GB2312"/>
                <w:szCs w:val="21"/>
              </w:rPr>
              <w:t>ω/%</w:t>
            </w:r>
          </w:p>
        </w:tc>
        <w:tc>
          <w:tcPr>
            <w:tcW w:w="2316" w:type="pct"/>
            <w:vAlign w:val="center"/>
          </w:tcPr>
          <w:p w14:paraId="58B3C5B9">
            <w:pPr>
              <w:jc w:val="center"/>
              <w:rPr>
                <w:rFonts w:eastAsia="仿宋_GB2312"/>
                <w:szCs w:val="21"/>
              </w:rPr>
            </w:pPr>
            <w:r>
              <w:rPr>
                <w:rFonts w:eastAsia="仿宋_GB2312"/>
              </w:rPr>
              <w:t>≥</w:t>
            </w:r>
            <w:r>
              <w:rPr>
                <w:rFonts w:hint="eastAsia" w:eastAsia="仿宋_GB2312"/>
              </w:rPr>
              <w:t>98</w:t>
            </w:r>
          </w:p>
        </w:tc>
      </w:tr>
      <w:tr w14:paraId="03CC7C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2684" w:type="pct"/>
            <w:noWrap/>
            <w:vAlign w:val="center"/>
          </w:tcPr>
          <w:p w14:paraId="58C9FFCC">
            <w:pPr>
              <w:jc w:val="center"/>
              <w:rPr>
                <w:rFonts w:eastAsia="仿宋_GB2312"/>
                <w:szCs w:val="21"/>
              </w:rPr>
            </w:pPr>
            <w:r>
              <w:rPr>
                <w:rFonts w:hint="eastAsia" w:eastAsia="仿宋_GB2312"/>
                <w:szCs w:val="21"/>
              </w:rPr>
              <w:t>甲醇，</w:t>
            </w:r>
            <w:r>
              <w:rPr>
                <w:rFonts w:eastAsia="仿宋_GB2312"/>
                <w:szCs w:val="21"/>
              </w:rPr>
              <w:t>ω/%</w:t>
            </w:r>
          </w:p>
        </w:tc>
        <w:tc>
          <w:tcPr>
            <w:tcW w:w="2316" w:type="pct"/>
            <w:vAlign w:val="center"/>
          </w:tcPr>
          <w:p w14:paraId="586708E1">
            <w:pPr>
              <w:jc w:val="center"/>
              <w:rPr>
                <w:rFonts w:eastAsia="仿宋_GB2312"/>
                <w:szCs w:val="21"/>
              </w:rPr>
            </w:pPr>
            <w:r>
              <w:rPr>
                <w:rFonts w:eastAsia="仿宋_GB2312"/>
              </w:rPr>
              <w:t>≤</w:t>
            </w:r>
            <w:r>
              <w:rPr>
                <w:rFonts w:hint="eastAsia" w:eastAsia="仿宋_GB2312"/>
              </w:rPr>
              <w:t>0.30</w:t>
            </w:r>
          </w:p>
        </w:tc>
      </w:tr>
      <w:tr w14:paraId="4A7723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2684" w:type="pct"/>
            <w:noWrap/>
            <w:vAlign w:val="center"/>
          </w:tcPr>
          <w:p w14:paraId="56CE2F86">
            <w:pPr>
              <w:jc w:val="center"/>
              <w:rPr>
                <w:rFonts w:eastAsia="仿宋_GB2312"/>
                <w:szCs w:val="21"/>
              </w:rPr>
            </w:pPr>
            <w:r>
              <w:rPr>
                <w:rFonts w:hint="eastAsia" w:eastAsia="仿宋_GB2312"/>
              </w:rPr>
              <w:t>丙酮</w:t>
            </w:r>
            <w:r>
              <w:rPr>
                <w:rFonts w:eastAsia="仿宋_GB2312"/>
              </w:rPr>
              <w:t>，ω/%</w:t>
            </w:r>
          </w:p>
        </w:tc>
        <w:tc>
          <w:tcPr>
            <w:tcW w:w="2316" w:type="pct"/>
            <w:vAlign w:val="center"/>
          </w:tcPr>
          <w:p w14:paraId="3F01FDEC">
            <w:pPr>
              <w:jc w:val="center"/>
              <w:rPr>
                <w:rFonts w:eastAsia="仿宋_GB2312"/>
                <w:szCs w:val="21"/>
              </w:rPr>
            </w:pPr>
            <w:r>
              <w:rPr>
                <w:rFonts w:eastAsia="仿宋_GB2312"/>
              </w:rPr>
              <w:t>≤</w:t>
            </w:r>
            <w:r>
              <w:rPr>
                <w:rFonts w:hint="eastAsia" w:eastAsia="仿宋_GB2312"/>
              </w:rPr>
              <w:t>0.20</w:t>
            </w:r>
          </w:p>
        </w:tc>
      </w:tr>
      <w:tr w14:paraId="0C8BAD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2684" w:type="pct"/>
            <w:noWrap/>
            <w:vAlign w:val="center"/>
          </w:tcPr>
          <w:p w14:paraId="578E148C">
            <w:pPr>
              <w:jc w:val="center"/>
              <w:rPr>
                <w:rFonts w:eastAsia="仿宋_GB2312"/>
                <w:szCs w:val="21"/>
              </w:rPr>
            </w:pPr>
            <w:r>
              <w:rPr>
                <w:rFonts w:hint="eastAsia" w:eastAsia="仿宋_GB2312"/>
              </w:rPr>
              <w:t>叔丁醇</w:t>
            </w:r>
            <w:r>
              <w:rPr>
                <w:rFonts w:eastAsia="仿宋_GB2312"/>
              </w:rPr>
              <w:t>，ω/%</w:t>
            </w:r>
          </w:p>
        </w:tc>
        <w:tc>
          <w:tcPr>
            <w:tcW w:w="2316" w:type="pct"/>
            <w:vAlign w:val="center"/>
          </w:tcPr>
          <w:p w14:paraId="00B72178">
            <w:pPr>
              <w:jc w:val="center"/>
              <w:rPr>
                <w:rFonts w:eastAsia="仿宋_GB2312"/>
                <w:szCs w:val="21"/>
              </w:rPr>
            </w:pPr>
            <w:r>
              <w:rPr>
                <w:rFonts w:eastAsia="仿宋_GB2312"/>
              </w:rPr>
              <w:t>≤</w:t>
            </w:r>
            <w:r>
              <w:rPr>
                <w:rFonts w:hint="eastAsia" w:eastAsia="仿宋_GB2312"/>
              </w:rPr>
              <w:t>0.60</w:t>
            </w:r>
          </w:p>
        </w:tc>
      </w:tr>
      <w:tr w14:paraId="21DB28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2684" w:type="pct"/>
            <w:noWrap/>
            <w:vAlign w:val="center"/>
          </w:tcPr>
          <w:p w14:paraId="658E7DA0">
            <w:pPr>
              <w:jc w:val="center"/>
              <w:rPr>
                <w:rFonts w:eastAsia="仿宋_GB2312"/>
                <w:szCs w:val="21"/>
              </w:rPr>
            </w:pPr>
            <w:r>
              <w:rPr>
                <w:rFonts w:hint="eastAsia" w:eastAsia="仿宋_GB2312"/>
              </w:rPr>
              <w:t>甲基仲丁基醚</w:t>
            </w:r>
            <w:r>
              <w:rPr>
                <w:rFonts w:eastAsia="仿宋_GB2312"/>
              </w:rPr>
              <w:t>，ω/%</w:t>
            </w:r>
          </w:p>
        </w:tc>
        <w:tc>
          <w:tcPr>
            <w:tcW w:w="2316" w:type="pct"/>
            <w:vAlign w:val="center"/>
          </w:tcPr>
          <w:p w14:paraId="26764253">
            <w:pPr>
              <w:jc w:val="center"/>
              <w:rPr>
                <w:rFonts w:eastAsia="仿宋_GB2312"/>
                <w:szCs w:val="21"/>
              </w:rPr>
            </w:pPr>
            <w:r>
              <w:rPr>
                <w:rFonts w:eastAsia="仿宋_GB2312"/>
              </w:rPr>
              <w:t>≤</w:t>
            </w:r>
            <w:r>
              <w:rPr>
                <w:rFonts w:hint="eastAsia" w:eastAsia="仿宋_GB2312"/>
              </w:rPr>
              <w:t>0.60</w:t>
            </w:r>
          </w:p>
        </w:tc>
      </w:tr>
      <w:tr w14:paraId="7755C47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2684" w:type="pct"/>
            <w:noWrap/>
            <w:vAlign w:val="center"/>
          </w:tcPr>
          <w:p w14:paraId="6FA1C8EC">
            <w:pPr>
              <w:jc w:val="center"/>
              <w:rPr>
                <w:rFonts w:eastAsia="仿宋_GB2312"/>
                <w:szCs w:val="21"/>
              </w:rPr>
            </w:pPr>
            <w:r>
              <w:rPr>
                <w:rFonts w:hint="eastAsia" w:eastAsia="仿宋_GB2312"/>
              </w:rPr>
              <w:t>碳四</w:t>
            </w:r>
            <w:r>
              <w:rPr>
                <w:rFonts w:eastAsia="仿宋_GB2312"/>
              </w:rPr>
              <w:t>，ω/%</w:t>
            </w:r>
          </w:p>
        </w:tc>
        <w:tc>
          <w:tcPr>
            <w:tcW w:w="2316" w:type="pct"/>
            <w:vAlign w:val="center"/>
          </w:tcPr>
          <w:p w14:paraId="2CA5FFDE">
            <w:pPr>
              <w:jc w:val="center"/>
              <w:rPr>
                <w:rFonts w:eastAsia="仿宋_GB2312"/>
                <w:szCs w:val="21"/>
              </w:rPr>
            </w:pPr>
            <w:r>
              <w:rPr>
                <w:rFonts w:eastAsia="仿宋_GB2312"/>
              </w:rPr>
              <w:t>≤</w:t>
            </w:r>
            <w:r>
              <w:rPr>
                <w:rFonts w:hint="eastAsia" w:eastAsia="仿宋_GB2312"/>
              </w:rPr>
              <w:t>0.50</w:t>
            </w:r>
          </w:p>
        </w:tc>
      </w:tr>
      <w:tr w14:paraId="03FCF2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2684" w:type="pct"/>
            <w:noWrap/>
            <w:vAlign w:val="center"/>
          </w:tcPr>
          <w:p w14:paraId="305FA4E9">
            <w:pPr>
              <w:jc w:val="center"/>
              <w:rPr>
                <w:rFonts w:eastAsia="仿宋_GB2312"/>
                <w:szCs w:val="21"/>
              </w:rPr>
            </w:pPr>
            <w:r>
              <w:rPr>
                <w:rFonts w:hint="eastAsia" w:eastAsia="仿宋_GB2312"/>
              </w:rPr>
              <w:t>二聚物</w:t>
            </w:r>
            <w:r>
              <w:rPr>
                <w:rFonts w:eastAsia="仿宋_GB2312"/>
              </w:rPr>
              <w:t>，ω/%</w:t>
            </w:r>
          </w:p>
        </w:tc>
        <w:tc>
          <w:tcPr>
            <w:tcW w:w="2316" w:type="pct"/>
            <w:vAlign w:val="center"/>
          </w:tcPr>
          <w:p w14:paraId="60464CCB">
            <w:pPr>
              <w:jc w:val="center"/>
              <w:rPr>
                <w:rFonts w:eastAsia="仿宋_GB2312"/>
                <w:szCs w:val="21"/>
              </w:rPr>
            </w:pPr>
            <w:r>
              <w:rPr>
                <w:rFonts w:eastAsia="仿宋_GB2312"/>
              </w:rPr>
              <w:t>≤</w:t>
            </w:r>
            <w:r>
              <w:rPr>
                <w:rFonts w:hint="eastAsia" w:eastAsia="仿宋_GB2312"/>
              </w:rPr>
              <w:t>0.30</w:t>
            </w:r>
          </w:p>
        </w:tc>
      </w:tr>
      <w:tr w14:paraId="6AD9325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2684" w:type="pct"/>
            <w:noWrap/>
            <w:vAlign w:val="center"/>
          </w:tcPr>
          <w:p w14:paraId="19FF0B4B">
            <w:pPr>
              <w:jc w:val="center"/>
              <w:rPr>
                <w:rFonts w:eastAsia="仿宋_GB2312"/>
                <w:szCs w:val="21"/>
              </w:rPr>
            </w:pPr>
            <w:r>
              <w:rPr>
                <w:rFonts w:hint="eastAsia" w:eastAsia="仿宋_GB2312"/>
                <w:szCs w:val="21"/>
              </w:rPr>
              <w:t>硫含量/（mg/kg）</w:t>
            </w:r>
          </w:p>
        </w:tc>
        <w:tc>
          <w:tcPr>
            <w:tcW w:w="2316" w:type="pct"/>
            <w:vAlign w:val="center"/>
          </w:tcPr>
          <w:p w14:paraId="6860F663">
            <w:pPr>
              <w:jc w:val="center"/>
              <w:rPr>
                <w:rFonts w:eastAsia="仿宋_GB2312"/>
              </w:rPr>
            </w:pPr>
            <w:r>
              <w:rPr>
                <w:rFonts w:eastAsia="仿宋_GB2312"/>
              </w:rPr>
              <w:t>≤</w:t>
            </w:r>
            <w:r>
              <w:rPr>
                <w:rFonts w:hint="eastAsia" w:eastAsia="仿宋_GB2312"/>
              </w:rPr>
              <w:t>10.0</w:t>
            </w:r>
          </w:p>
        </w:tc>
      </w:tr>
      <w:tr w14:paraId="517C135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2684" w:type="pct"/>
            <w:noWrap/>
            <w:vAlign w:val="center"/>
          </w:tcPr>
          <w:p w14:paraId="296E2A66">
            <w:pPr>
              <w:jc w:val="center"/>
              <w:rPr>
                <w:rFonts w:eastAsia="仿宋_GB2312"/>
                <w:szCs w:val="21"/>
              </w:rPr>
            </w:pPr>
            <w:r>
              <w:rPr>
                <w:rFonts w:hint="eastAsia" w:eastAsia="仿宋_GB2312"/>
                <w:szCs w:val="21"/>
              </w:rPr>
              <w:t>水分/（mg/kg）</w:t>
            </w:r>
          </w:p>
        </w:tc>
        <w:tc>
          <w:tcPr>
            <w:tcW w:w="2316" w:type="pct"/>
            <w:vAlign w:val="center"/>
          </w:tcPr>
          <w:p w14:paraId="025D546A">
            <w:pPr>
              <w:jc w:val="center"/>
              <w:rPr>
                <w:rFonts w:eastAsia="仿宋_GB2312"/>
              </w:rPr>
            </w:pPr>
            <w:r>
              <w:rPr>
                <w:rFonts w:eastAsia="仿宋_GB2312"/>
              </w:rPr>
              <w:t>≤</w:t>
            </w:r>
            <w:r>
              <w:rPr>
                <w:rFonts w:hint="eastAsia" w:eastAsia="仿宋_GB2312"/>
              </w:rPr>
              <w:t>500</w:t>
            </w:r>
          </w:p>
        </w:tc>
      </w:tr>
    </w:tbl>
    <w:p w14:paraId="1FFDD5BC">
      <w:pPr>
        <w:spacing w:line="500" w:lineRule="exact"/>
        <w:jc w:val="center"/>
        <w:rPr>
          <w:rFonts w:eastAsia="仿宋_GB2312"/>
          <w:b/>
          <w:bCs/>
          <w:sz w:val="24"/>
        </w:rPr>
      </w:pPr>
      <w:r>
        <w:rPr>
          <w:rFonts w:eastAsia="仿宋_GB2312"/>
          <w:b/>
          <w:bCs/>
          <w:sz w:val="24"/>
        </w:rPr>
        <w:t>表3.2-</w:t>
      </w:r>
      <w:r>
        <w:rPr>
          <w:rFonts w:hint="eastAsia" w:eastAsia="仿宋_GB2312"/>
          <w:b/>
          <w:bCs/>
          <w:sz w:val="24"/>
        </w:rPr>
        <w:t>4</w:t>
      </w:r>
      <w:r>
        <w:rPr>
          <w:rFonts w:hint="eastAsia" w:eastAsia="仿宋_GB2312"/>
          <w:b/>
          <w:bCs/>
          <w:sz w:val="24"/>
          <w:lang w:val="en-US" w:eastAsia="zh-CN"/>
        </w:rPr>
        <w:t>0</w:t>
      </w:r>
      <w:r>
        <w:rPr>
          <w:rFonts w:eastAsia="仿宋_GB2312"/>
          <w:b/>
          <w:bCs/>
          <w:sz w:val="24"/>
        </w:rPr>
        <w:t xml:space="preserve">  产品</w:t>
      </w:r>
      <w:r>
        <w:rPr>
          <w:rFonts w:hint="eastAsia" w:eastAsia="仿宋_GB2312"/>
          <w:b/>
          <w:bCs/>
          <w:sz w:val="24"/>
        </w:rPr>
        <w:t>丙二醇甲醚醋酸酯质量控</w:t>
      </w:r>
      <w:r>
        <w:rPr>
          <w:rFonts w:eastAsia="仿宋_GB2312"/>
          <w:b/>
          <w:bCs/>
          <w:sz w:val="24"/>
        </w:rPr>
        <w:t>制指标表</w:t>
      </w:r>
    </w:p>
    <w:tbl>
      <w:tblPr>
        <w:tblStyle w:val="88"/>
        <w:tblW w:w="4998"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4574"/>
        <w:gridCol w:w="3946"/>
      </w:tblGrid>
      <w:tr w14:paraId="632006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2684" w:type="pct"/>
            <w:noWrap/>
            <w:vAlign w:val="center"/>
          </w:tcPr>
          <w:p w14:paraId="67FD4677">
            <w:pPr>
              <w:adjustRightInd w:val="0"/>
              <w:snapToGrid w:val="0"/>
              <w:jc w:val="center"/>
              <w:rPr>
                <w:rFonts w:eastAsia="仿宋_GB2312"/>
                <w:b/>
                <w:szCs w:val="21"/>
              </w:rPr>
            </w:pPr>
            <w:r>
              <w:rPr>
                <w:rFonts w:eastAsia="仿宋_GB2312"/>
                <w:b/>
              </w:rPr>
              <w:t>项目</w:t>
            </w:r>
          </w:p>
        </w:tc>
        <w:tc>
          <w:tcPr>
            <w:tcW w:w="2315" w:type="pct"/>
            <w:vAlign w:val="center"/>
          </w:tcPr>
          <w:p w14:paraId="7A8533C5">
            <w:pPr>
              <w:adjustRightInd w:val="0"/>
              <w:snapToGrid w:val="0"/>
              <w:jc w:val="center"/>
              <w:rPr>
                <w:rFonts w:eastAsia="仿宋_GB2312"/>
                <w:b/>
                <w:szCs w:val="21"/>
              </w:rPr>
            </w:pPr>
            <w:r>
              <w:rPr>
                <w:rFonts w:hint="eastAsia" w:eastAsia="仿宋_GB2312"/>
                <w:b/>
              </w:rPr>
              <w:t>指标</w:t>
            </w:r>
          </w:p>
        </w:tc>
      </w:tr>
      <w:tr w14:paraId="57989B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2684" w:type="pct"/>
            <w:noWrap/>
            <w:vAlign w:val="center"/>
          </w:tcPr>
          <w:p w14:paraId="5E93FEF3">
            <w:pPr>
              <w:jc w:val="center"/>
              <w:rPr>
                <w:rFonts w:eastAsia="仿宋_GB2312"/>
                <w:szCs w:val="21"/>
              </w:rPr>
            </w:pPr>
            <w:r>
              <w:rPr>
                <w:rFonts w:hint="eastAsia" w:eastAsia="仿宋_GB2312"/>
                <w:szCs w:val="21"/>
              </w:rPr>
              <w:t>丙二醇甲醚乙酸酯，</w:t>
            </w:r>
            <w:r>
              <w:rPr>
                <w:rFonts w:eastAsia="仿宋_GB2312"/>
                <w:szCs w:val="21"/>
              </w:rPr>
              <w:t>ω/%</w:t>
            </w:r>
          </w:p>
        </w:tc>
        <w:tc>
          <w:tcPr>
            <w:tcW w:w="2315" w:type="pct"/>
            <w:vAlign w:val="center"/>
          </w:tcPr>
          <w:p w14:paraId="6EA8AA42">
            <w:pPr>
              <w:jc w:val="center"/>
              <w:rPr>
                <w:rFonts w:eastAsia="仿宋_GB2312"/>
                <w:szCs w:val="21"/>
              </w:rPr>
            </w:pPr>
            <w:r>
              <w:rPr>
                <w:rFonts w:eastAsia="仿宋_GB2312"/>
              </w:rPr>
              <w:t>≥</w:t>
            </w:r>
            <w:r>
              <w:rPr>
                <w:rFonts w:hint="eastAsia" w:eastAsia="仿宋_GB2312"/>
              </w:rPr>
              <w:t>99.5</w:t>
            </w:r>
          </w:p>
        </w:tc>
      </w:tr>
      <w:tr w14:paraId="740E76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2684" w:type="pct"/>
            <w:noWrap/>
            <w:vAlign w:val="center"/>
          </w:tcPr>
          <w:p w14:paraId="1482979A">
            <w:pPr>
              <w:jc w:val="center"/>
              <w:rPr>
                <w:rFonts w:eastAsia="仿宋_GB2312"/>
                <w:szCs w:val="21"/>
              </w:rPr>
            </w:pPr>
            <w:r>
              <w:rPr>
                <w:rFonts w:hint="eastAsia" w:eastAsia="仿宋_GB2312"/>
                <w:szCs w:val="21"/>
              </w:rPr>
              <w:t>2-甲氧基-1-丙醇乙酸酯，</w:t>
            </w:r>
            <w:r>
              <w:rPr>
                <w:rFonts w:eastAsia="仿宋_GB2312"/>
                <w:szCs w:val="21"/>
              </w:rPr>
              <w:t>ω/%</w:t>
            </w:r>
          </w:p>
        </w:tc>
        <w:tc>
          <w:tcPr>
            <w:tcW w:w="2315" w:type="pct"/>
            <w:vAlign w:val="center"/>
          </w:tcPr>
          <w:p w14:paraId="70FEA50A">
            <w:pPr>
              <w:jc w:val="center"/>
              <w:rPr>
                <w:rFonts w:eastAsia="仿宋_GB2312"/>
                <w:szCs w:val="21"/>
              </w:rPr>
            </w:pPr>
            <w:r>
              <w:rPr>
                <w:rFonts w:eastAsia="仿宋_GB2312"/>
              </w:rPr>
              <w:t>≤</w:t>
            </w:r>
            <w:r>
              <w:rPr>
                <w:rFonts w:hint="eastAsia" w:eastAsia="仿宋_GB2312"/>
              </w:rPr>
              <w:t>0.4</w:t>
            </w:r>
          </w:p>
        </w:tc>
      </w:tr>
      <w:tr w14:paraId="4D5718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2684" w:type="pct"/>
            <w:noWrap/>
            <w:vAlign w:val="center"/>
          </w:tcPr>
          <w:p w14:paraId="69E049EB">
            <w:pPr>
              <w:jc w:val="center"/>
              <w:rPr>
                <w:rFonts w:eastAsia="仿宋_GB2312"/>
                <w:szCs w:val="21"/>
              </w:rPr>
            </w:pPr>
            <w:r>
              <w:rPr>
                <w:rFonts w:hint="eastAsia" w:eastAsia="仿宋_GB2312"/>
                <w:szCs w:val="21"/>
              </w:rPr>
              <w:t>水，</w:t>
            </w:r>
            <w:r>
              <w:rPr>
                <w:rFonts w:eastAsia="仿宋_GB2312"/>
                <w:szCs w:val="21"/>
              </w:rPr>
              <w:t>ω/%</w:t>
            </w:r>
          </w:p>
        </w:tc>
        <w:tc>
          <w:tcPr>
            <w:tcW w:w="2315" w:type="pct"/>
            <w:vAlign w:val="center"/>
          </w:tcPr>
          <w:p w14:paraId="5C809EC0">
            <w:pPr>
              <w:jc w:val="center"/>
              <w:rPr>
                <w:rFonts w:eastAsia="仿宋_GB2312"/>
                <w:szCs w:val="21"/>
              </w:rPr>
            </w:pPr>
            <w:r>
              <w:rPr>
                <w:rFonts w:eastAsia="仿宋_GB2312"/>
              </w:rPr>
              <w:t>≤</w:t>
            </w:r>
            <w:r>
              <w:rPr>
                <w:rFonts w:hint="eastAsia" w:eastAsia="仿宋_GB2312"/>
              </w:rPr>
              <w:t>0.05</w:t>
            </w:r>
          </w:p>
        </w:tc>
      </w:tr>
      <w:tr w14:paraId="471E92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2684" w:type="pct"/>
            <w:noWrap/>
            <w:vAlign w:val="center"/>
          </w:tcPr>
          <w:p w14:paraId="215582CF">
            <w:pPr>
              <w:jc w:val="center"/>
              <w:rPr>
                <w:rFonts w:eastAsia="仿宋_GB2312"/>
                <w:szCs w:val="21"/>
              </w:rPr>
            </w:pPr>
            <w:r>
              <w:rPr>
                <w:rFonts w:hint="eastAsia" w:eastAsia="仿宋_GB2312"/>
              </w:rPr>
              <w:t>酸度（以乙酸计）</w:t>
            </w:r>
            <w:r>
              <w:rPr>
                <w:rFonts w:eastAsia="仿宋_GB2312"/>
              </w:rPr>
              <w:t>，ω/%</w:t>
            </w:r>
          </w:p>
        </w:tc>
        <w:tc>
          <w:tcPr>
            <w:tcW w:w="2315" w:type="pct"/>
            <w:vAlign w:val="center"/>
          </w:tcPr>
          <w:p w14:paraId="688811C5">
            <w:pPr>
              <w:jc w:val="center"/>
              <w:rPr>
                <w:rFonts w:eastAsia="仿宋_GB2312"/>
                <w:szCs w:val="21"/>
              </w:rPr>
            </w:pPr>
            <w:r>
              <w:rPr>
                <w:rFonts w:eastAsia="仿宋_GB2312"/>
              </w:rPr>
              <w:t>≤</w:t>
            </w:r>
            <w:r>
              <w:rPr>
                <w:rFonts w:hint="eastAsia" w:eastAsia="仿宋_GB2312"/>
              </w:rPr>
              <w:t>0.02</w:t>
            </w:r>
          </w:p>
        </w:tc>
      </w:tr>
      <w:tr w14:paraId="4CD22B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2684" w:type="pct"/>
            <w:noWrap/>
            <w:vAlign w:val="center"/>
          </w:tcPr>
          <w:p w14:paraId="7AF47854">
            <w:pPr>
              <w:jc w:val="center"/>
              <w:rPr>
                <w:rFonts w:eastAsia="仿宋_GB2312"/>
                <w:szCs w:val="21"/>
              </w:rPr>
            </w:pPr>
            <w:r>
              <w:rPr>
                <w:rFonts w:hint="eastAsia" w:eastAsia="仿宋_GB2312"/>
              </w:rPr>
              <w:t>沸程（0</w:t>
            </w:r>
            <w:r>
              <w:rPr>
                <w:rFonts w:hint="eastAsia" w:ascii="宋体" w:hAnsi="宋体" w:cs="宋体"/>
              </w:rPr>
              <w:t>℃</w:t>
            </w:r>
            <w:r>
              <w:rPr>
                <w:rFonts w:hint="eastAsia" w:eastAsia="仿宋_GB2312"/>
              </w:rPr>
              <w:t>，101.3kPa），</w:t>
            </w:r>
            <w:r>
              <w:rPr>
                <w:rFonts w:hint="eastAsia" w:ascii="宋体" w:hAnsi="宋体" w:cs="宋体"/>
              </w:rPr>
              <w:t>℃</w:t>
            </w:r>
          </w:p>
        </w:tc>
        <w:tc>
          <w:tcPr>
            <w:tcW w:w="2315" w:type="pct"/>
            <w:vAlign w:val="center"/>
          </w:tcPr>
          <w:p w14:paraId="0FB92521">
            <w:pPr>
              <w:jc w:val="center"/>
              <w:rPr>
                <w:rFonts w:eastAsia="仿宋_GB2312"/>
                <w:szCs w:val="21"/>
              </w:rPr>
            </w:pPr>
            <w:r>
              <w:rPr>
                <w:rFonts w:hint="eastAsia" w:eastAsia="仿宋_GB2312"/>
              </w:rPr>
              <w:t>143</w:t>
            </w:r>
            <w:r>
              <w:rPr>
                <w:rFonts w:eastAsia="仿宋_GB2312"/>
              </w:rPr>
              <w:t>~</w:t>
            </w:r>
            <w:r>
              <w:rPr>
                <w:rFonts w:hint="eastAsia" w:eastAsia="仿宋_GB2312"/>
              </w:rPr>
              <w:t>149</w:t>
            </w:r>
          </w:p>
        </w:tc>
      </w:tr>
      <w:tr w14:paraId="1E301B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2684" w:type="pct"/>
            <w:noWrap/>
            <w:vAlign w:val="center"/>
          </w:tcPr>
          <w:p w14:paraId="35CE0136">
            <w:pPr>
              <w:jc w:val="center"/>
              <w:rPr>
                <w:rFonts w:eastAsia="仿宋_GB2312"/>
                <w:szCs w:val="21"/>
              </w:rPr>
            </w:pPr>
            <w:r>
              <w:rPr>
                <w:rFonts w:hint="eastAsia" w:eastAsia="仿宋_GB2312"/>
              </w:rPr>
              <w:t>色度，Hazen单位（Pt-Co色号）</w:t>
            </w:r>
          </w:p>
        </w:tc>
        <w:tc>
          <w:tcPr>
            <w:tcW w:w="2315" w:type="pct"/>
            <w:vAlign w:val="center"/>
          </w:tcPr>
          <w:p w14:paraId="3B113522">
            <w:pPr>
              <w:jc w:val="center"/>
              <w:rPr>
                <w:rFonts w:eastAsia="仿宋_GB2312"/>
                <w:szCs w:val="21"/>
              </w:rPr>
            </w:pPr>
            <w:r>
              <w:rPr>
                <w:rFonts w:eastAsia="仿宋_GB2312"/>
              </w:rPr>
              <w:t>≤</w:t>
            </w:r>
            <w:r>
              <w:rPr>
                <w:rFonts w:hint="eastAsia" w:eastAsia="仿宋_GB2312"/>
              </w:rPr>
              <w:t>10</w:t>
            </w:r>
          </w:p>
        </w:tc>
      </w:tr>
      <w:tr w14:paraId="10CA14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2684" w:type="pct"/>
            <w:noWrap/>
            <w:vAlign w:val="center"/>
          </w:tcPr>
          <w:p w14:paraId="36AAB8B2">
            <w:pPr>
              <w:jc w:val="center"/>
              <w:rPr>
                <w:rFonts w:eastAsia="仿宋_GB2312"/>
                <w:szCs w:val="21"/>
              </w:rPr>
            </w:pPr>
            <w:r>
              <w:rPr>
                <w:rFonts w:hint="eastAsia" w:eastAsia="仿宋_GB2312"/>
              </w:rPr>
              <w:t>密度（ρ</w:t>
            </w:r>
            <w:r>
              <w:rPr>
                <w:rFonts w:hint="eastAsia" w:eastAsia="仿宋_GB2312"/>
                <w:vertAlign w:val="subscript"/>
              </w:rPr>
              <w:t>20</w:t>
            </w:r>
            <w:r>
              <w:rPr>
                <w:rFonts w:hint="eastAsia" w:eastAsia="仿宋_GB2312"/>
              </w:rPr>
              <w:t>）</w:t>
            </w:r>
            <w:r>
              <w:rPr>
                <w:rFonts w:eastAsia="仿宋_GB2312"/>
              </w:rPr>
              <w:t>，</w:t>
            </w:r>
            <w:r>
              <w:rPr>
                <w:rFonts w:hint="eastAsia" w:eastAsia="仿宋_GB2312"/>
              </w:rPr>
              <w:t>g/cm</w:t>
            </w:r>
            <w:r>
              <w:rPr>
                <w:rFonts w:hint="eastAsia" w:eastAsia="仿宋_GB2312"/>
                <w:vertAlign w:val="superscript"/>
              </w:rPr>
              <w:t>3</w:t>
            </w:r>
          </w:p>
        </w:tc>
        <w:tc>
          <w:tcPr>
            <w:tcW w:w="2315" w:type="pct"/>
            <w:vAlign w:val="center"/>
          </w:tcPr>
          <w:p w14:paraId="4E7C475A">
            <w:pPr>
              <w:jc w:val="center"/>
              <w:rPr>
                <w:rFonts w:eastAsia="仿宋_GB2312"/>
                <w:szCs w:val="21"/>
              </w:rPr>
            </w:pPr>
            <w:r>
              <w:rPr>
                <w:rFonts w:hint="eastAsia" w:eastAsia="仿宋_GB2312"/>
              </w:rPr>
              <w:t>0.965</w:t>
            </w:r>
            <w:r>
              <w:rPr>
                <w:rFonts w:eastAsia="仿宋_GB2312"/>
              </w:rPr>
              <w:t>~</w:t>
            </w:r>
            <w:r>
              <w:rPr>
                <w:rFonts w:hint="eastAsia" w:eastAsia="仿宋_GB2312"/>
              </w:rPr>
              <w:t>0.975</w:t>
            </w:r>
          </w:p>
        </w:tc>
      </w:tr>
    </w:tbl>
    <w:p w14:paraId="33812CF2">
      <w:pPr>
        <w:spacing w:line="500" w:lineRule="exact"/>
        <w:ind w:firstLine="562" w:firstLineChars="200"/>
        <w:rPr>
          <w:rFonts w:eastAsia="仿宋_GB2312"/>
          <w:b/>
          <w:color w:val="auto"/>
          <w:sz w:val="28"/>
          <w:szCs w:val="28"/>
        </w:rPr>
      </w:pPr>
      <w:r>
        <w:rPr>
          <w:rFonts w:hint="eastAsia" w:eastAsia="仿宋_GB2312"/>
          <w:b/>
          <w:color w:val="auto"/>
          <w:sz w:val="28"/>
          <w:szCs w:val="28"/>
        </w:rPr>
        <w:t>溶剂回收产物作为产品外售可行性分析：</w:t>
      </w:r>
    </w:p>
    <w:p w14:paraId="661AF55B">
      <w:pPr>
        <w:spacing w:line="500" w:lineRule="exact"/>
        <w:ind w:firstLine="560" w:firstLineChars="200"/>
        <w:rPr>
          <w:rFonts w:eastAsia="仿宋_GB2312"/>
          <w:sz w:val="28"/>
          <w:szCs w:val="28"/>
        </w:rPr>
      </w:pPr>
      <w:r>
        <w:rPr>
          <w:rFonts w:eastAsia="仿宋_GB2312"/>
          <w:sz w:val="28"/>
          <w:szCs w:val="28"/>
        </w:rPr>
        <w:t>对照《固体废物鉴别标准 通则》（GB34330-2025）“6</w:t>
      </w:r>
      <w:r>
        <w:rPr>
          <w:rFonts w:hint="eastAsia" w:eastAsia="仿宋_GB2312"/>
          <w:sz w:val="28"/>
          <w:szCs w:val="28"/>
        </w:rPr>
        <w:t>利用固体废物生产的产物以及环境治理和污染控制过程中产生的物质的鉴别</w:t>
      </w:r>
      <w:r>
        <w:rPr>
          <w:rFonts w:eastAsia="仿宋_GB2312"/>
          <w:sz w:val="28"/>
          <w:szCs w:val="28"/>
        </w:rPr>
        <w:t>”章节，具体分析如下</w:t>
      </w:r>
      <w:r>
        <w:rPr>
          <w:rFonts w:hint="eastAsia" w:eastAsia="仿宋_GB2312"/>
          <w:sz w:val="28"/>
          <w:szCs w:val="28"/>
        </w:rPr>
        <w:t>：</w:t>
      </w:r>
    </w:p>
    <w:p w14:paraId="4BD8CFC2">
      <w:pPr>
        <w:spacing w:line="500" w:lineRule="exact"/>
        <w:ind w:firstLine="560" w:firstLineChars="200"/>
        <w:rPr>
          <w:rFonts w:hint="eastAsia" w:eastAsia="仿宋_GB2312"/>
          <w:sz w:val="28"/>
          <w:szCs w:val="28"/>
          <w:lang w:eastAsia="zh-CN"/>
        </w:rPr>
      </w:pPr>
      <w:r>
        <w:rPr>
          <w:rFonts w:eastAsia="仿宋_GB2312"/>
          <w:sz w:val="28"/>
          <w:szCs w:val="28"/>
        </w:rPr>
        <w:fldChar w:fldCharType="begin"/>
      </w:r>
      <w:r>
        <w:rPr>
          <w:rFonts w:eastAsia="仿宋_GB2312"/>
          <w:sz w:val="28"/>
          <w:szCs w:val="28"/>
        </w:rPr>
        <w:instrText xml:space="preserve"> = 1 \* GB3 </w:instrText>
      </w:r>
      <w:r>
        <w:rPr>
          <w:rFonts w:eastAsia="仿宋_GB2312"/>
          <w:sz w:val="28"/>
          <w:szCs w:val="28"/>
        </w:rPr>
        <w:fldChar w:fldCharType="separate"/>
      </w:r>
      <w:r>
        <w:rPr>
          <w:rFonts w:hint="eastAsia" w:eastAsia="仿宋_GB2312"/>
          <w:sz w:val="28"/>
          <w:szCs w:val="28"/>
        </w:rPr>
        <w:t>①</w:t>
      </w:r>
      <w:r>
        <w:rPr>
          <w:rFonts w:eastAsia="仿宋_GB2312"/>
          <w:sz w:val="28"/>
          <w:szCs w:val="28"/>
        </w:rPr>
        <w:fldChar w:fldCharType="end"/>
      </w:r>
      <w:r>
        <w:rPr>
          <w:rFonts w:eastAsia="仿宋_GB2312"/>
          <w:sz w:val="28"/>
          <w:szCs w:val="28"/>
        </w:rPr>
        <w:t>本项目溶剂回收产品质量</w:t>
      </w:r>
      <w:r>
        <w:rPr>
          <w:rFonts w:hint="eastAsia" w:eastAsia="仿宋_GB2312"/>
          <w:sz w:val="28"/>
          <w:szCs w:val="28"/>
        </w:rPr>
        <w:t>执行国家或行业标准，符合市场上使用正常原料生产的同类物质的质量标准</w:t>
      </w:r>
      <w:r>
        <w:rPr>
          <w:rFonts w:hint="eastAsia" w:eastAsia="仿宋_GB2312"/>
          <w:sz w:val="28"/>
          <w:szCs w:val="28"/>
          <w:lang w:eastAsia="zh-CN"/>
        </w:rPr>
        <w:t>，</w:t>
      </w:r>
      <w:r>
        <w:rPr>
          <w:rFonts w:eastAsia="仿宋_GB2312"/>
          <w:sz w:val="28"/>
          <w:szCs w:val="28"/>
        </w:rPr>
        <w:t>其中环戊酮产品质量指标执行的是团体标准，该产品将全部用于</w:t>
      </w:r>
      <w:r>
        <w:rPr>
          <w:rFonts w:hint="eastAsia" w:eastAsia="仿宋_GB2312"/>
          <w:sz w:val="28"/>
          <w:szCs w:val="28"/>
        </w:rPr>
        <w:t>现有</w:t>
      </w:r>
      <w:r>
        <w:rPr>
          <w:rFonts w:eastAsia="仿宋_GB2312"/>
          <w:sz w:val="28"/>
          <w:szCs w:val="28"/>
        </w:rPr>
        <w:t>稀释剂</w:t>
      </w:r>
      <w:r>
        <w:rPr>
          <w:rFonts w:hint="eastAsia" w:eastAsia="仿宋_GB2312"/>
          <w:sz w:val="28"/>
          <w:szCs w:val="28"/>
        </w:rPr>
        <w:t>产品</w:t>
      </w:r>
      <w:r>
        <w:rPr>
          <w:rFonts w:eastAsia="仿宋_GB2312"/>
          <w:sz w:val="28"/>
          <w:szCs w:val="28"/>
        </w:rPr>
        <w:t>生产原料，不作为产品单独外售</w:t>
      </w:r>
      <w:r>
        <w:rPr>
          <w:rFonts w:hint="eastAsia" w:eastAsia="仿宋_GB2312"/>
          <w:sz w:val="28"/>
          <w:szCs w:val="28"/>
          <w:lang w:eastAsia="zh-CN"/>
        </w:rPr>
        <w:t>。</w:t>
      </w:r>
    </w:p>
    <w:p w14:paraId="52FA5421">
      <w:pPr>
        <w:spacing w:line="500" w:lineRule="exact"/>
        <w:ind w:firstLine="560" w:firstLineChars="200"/>
        <w:rPr>
          <w:rFonts w:eastAsia="仿宋_GB2312"/>
          <w:sz w:val="28"/>
          <w:szCs w:val="28"/>
        </w:rPr>
      </w:pPr>
      <w:r>
        <w:rPr>
          <w:rFonts w:eastAsia="仿宋_GB2312"/>
          <w:sz w:val="28"/>
          <w:szCs w:val="28"/>
        </w:rPr>
        <w:fldChar w:fldCharType="begin"/>
      </w:r>
      <w:r>
        <w:rPr>
          <w:rFonts w:eastAsia="仿宋_GB2312"/>
          <w:sz w:val="28"/>
          <w:szCs w:val="28"/>
        </w:rPr>
        <w:instrText xml:space="preserve"> = 2 \* GB3 </w:instrText>
      </w:r>
      <w:r>
        <w:rPr>
          <w:rFonts w:eastAsia="仿宋_GB2312"/>
          <w:sz w:val="28"/>
          <w:szCs w:val="28"/>
        </w:rPr>
        <w:fldChar w:fldCharType="separate"/>
      </w:r>
      <w:r>
        <w:rPr>
          <w:rFonts w:hint="eastAsia" w:eastAsia="仿宋_GB2312"/>
          <w:sz w:val="28"/>
          <w:szCs w:val="28"/>
        </w:rPr>
        <w:t>②</w:t>
      </w:r>
      <w:r>
        <w:rPr>
          <w:rFonts w:eastAsia="仿宋_GB2312"/>
          <w:sz w:val="28"/>
          <w:szCs w:val="28"/>
        </w:rPr>
        <w:fldChar w:fldCharType="end"/>
      </w:r>
      <w:r>
        <w:rPr>
          <w:rFonts w:hint="eastAsia" w:eastAsia="仿宋_GB2312"/>
          <w:sz w:val="28"/>
          <w:szCs w:val="28"/>
        </w:rPr>
        <w:t>根据产品标准，</w:t>
      </w:r>
      <w:r>
        <w:rPr>
          <w:rFonts w:hint="eastAsia" w:eastAsia="仿宋_GB2312"/>
          <w:sz w:val="28"/>
          <w:szCs w:val="28"/>
          <w:lang w:val="en-US" w:eastAsia="zh-CN"/>
        </w:rPr>
        <w:t>本项目溶剂回收生产的产品</w:t>
      </w:r>
      <w:r>
        <w:rPr>
          <w:rFonts w:hint="eastAsia" w:eastAsia="仿宋_GB2312"/>
          <w:sz w:val="28"/>
          <w:szCs w:val="28"/>
        </w:rPr>
        <w:t>替代工业原料使用时，产品中所含成分含量符合标准要求，不会对下游生产加工过程产生不利影响；</w:t>
      </w:r>
      <w:r>
        <w:rPr>
          <w:rFonts w:hint="eastAsia" w:eastAsia="仿宋_GB2312"/>
          <w:sz w:val="28"/>
          <w:szCs w:val="28"/>
          <w:lang w:val="en-US" w:eastAsia="zh-CN"/>
        </w:rPr>
        <w:t>溶剂回收利用</w:t>
      </w:r>
      <w:r>
        <w:rPr>
          <w:rFonts w:hint="eastAsia" w:eastAsia="仿宋_GB2312"/>
          <w:sz w:val="28"/>
          <w:szCs w:val="28"/>
        </w:rPr>
        <w:t>过程排放到环境中的废气污染物处理后可达标排放，不高于污染控制标准所规定的排放要求。</w:t>
      </w:r>
    </w:p>
    <w:p w14:paraId="429B3925">
      <w:pPr>
        <w:spacing w:line="500" w:lineRule="exact"/>
        <w:ind w:firstLine="528" w:firstLineChars="200"/>
        <w:rPr>
          <w:rFonts w:eastAsia="仿宋_GB2312"/>
          <w:spacing w:val="-8"/>
          <w:kern w:val="0"/>
          <w:sz w:val="28"/>
          <w:szCs w:val="28"/>
          <w:lang w:val="zh-CN"/>
        </w:rPr>
      </w:pPr>
      <w:r>
        <w:rPr>
          <w:rFonts w:eastAsia="仿宋_GB2312"/>
          <w:spacing w:val="-8"/>
          <w:kern w:val="0"/>
          <w:sz w:val="28"/>
          <w:szCs w:val="28"/>
          <w:lang w:val="zh-CN"/>
        </w:rPr>
        <w:t>因此</w:t>
      </w:r>
      <w:r>
        <w:rPr>
          <w:rFonts w:hint="eastAsia" w:eastAsia="仿宋_GB2312"/>
          <w:spacing w:val="-8"/>
          <w:kern w:val="0"/>
          <w:sz w:val="28"/>
          <w:szCs w:val="28"/>
          <w:lang w:val="zh-CN"/>
        </w:rPr>
        <w:t>，</w:t>
      </w:r>
      <w:r>
        <w:rPr>
          <w:rFonts w:eastAsia="仿宋_GB2312"/>
          <w:spacing w:val="-8"/>
          <w:kern w:val="0"/>
          <w:sz w:val="28"/>
          <w:szCs w:val="28"/>
          <w:lang w:val="zh-CN"/>
        </w:rPr>
        <w:t>本项目溶剂回收</w:t>
      </w:r>
      <w:r>
        <w:rPr>
          <w:rFonts w:hint="eastAsia" w:eastAsia="仿宋_GB2312"/>
          <w:spacing w:val="-8"/>
          <w:kern w:val="0"/>
          <w:sz w:val="28"/>
          <w:szCs w:val="28"/>
          <w:lang w:val="zh-CN"/>
        </w:rPr>
        <w:t>产物作为</w:t>
      </w:r>
      <w:r>
        <w:rPr>
          <w:rFonts w:eastAsia="仿宋_GB2312"/>
          <w:spacing w:val="-8"/>
          <w:kern w:val="0"/>
          <w:sz w:val="28"/>
          <w:szCs w:val="28"/>
          <w:lang w:val="zh-CN"/>
        </w:rPr>
        <w:t>产品外售是可行的。</w:t>
      </w:r>
    </w:p>
    <w:p w14:paraId="43D2836E">
      <w:pPr>
        <w:spacing w:line="500" w:lineRule="exact"/>
        <w:ind w:firstLine="528" w:firstLineChars="200"/>
        <w:rPr>
          <w:rFonts w:eastAsia="仿宋_GB2312"/>
          <w:spacing w:val="-8"/>
          <w:kern w:val="0"/>
          <w:sz w:val="28"/>
          <w:szCs w:val="28"/>
          <w:lang w:val="zh-CN"/>
        </w:rPr>
      </w:pPr>
    </w:p>
    <w:p w14:paraId="576ED7AE">
      <w:pPr>
        <w:spacing w:line="500" w:lineRule="exact"/>
        <w:ind w:firstLine="420" w:firstLineChars="200"/>
        <w:rPr>
          <w:color w:val="FF0000"/>
        </w:rPr>
      </w:pPr>
      <w:r>
        <w:rPr>
          <w:color w:val="FF0000"/>
        </w:rPr>
        <w:br w:type="page"/>
      </w:r>
    </w:p>
    <w:p w14:paraId="52550C2C">
      <w:pPr>
        <w:pStyle w:val="6"/>
        <w:keepLines w:val="0"/>
        <w:tabs>
          <w:tab w:val="left" w:pos="709"/>
        </w:tabs>
        <w:spacing w:before="120" w:beforeLines="50" w:after="120" w:afterLines="50" w:line="500" w:lineRule="exact"/>
        <w:rPr>
          <w:rFonts w:eastAsia="仿宋_GB2312"/>
          <w:color w:val="auto"/>
          <w:sz w:val="30"/>
          <w:szCs w:val="30"/>
        </w:rPr>
      </w:pPr>
      <w:bookmarkStart w:id="39" w:name="_Toc19219"/>
      <w:r>
        <w:rPr>
          <w:rFonts w:eastAsia="仿宋_GB2312"/>
          <w:color w:val="auto"/>
          <w:sz w:val="30"/>
          <w:szCs w:val="30"/>
        </w:rPr>
        <w:t>3.2.</w:t>
      </w:r>
      <w:bookmarkStart w:id="40" w:name="_Hlk493834660"/>
      <w:r>
        <w:rPr>
          <w:rFonts w:hint="eastAsia" w:eastAsia="仿宋_GB2312"/>
          <w:color w:val="auto"/>
          <w:sz w:val="30"/>
          <w:szCs w:val="30"/>
        </w:rPr>
        <w:t>4</w:t>
      </w:r>
      <w:r>
        <w:rPr>
          <w:rFonts w:eastAsia="仿宋_GB2312"/>
          <w:color w:val="auto"/>
          <w:sz w:val="30"/>
          <w:szCs w:val="30"/>
        </w:rPr>
        <w:t>主要原辅材料及理化性质汇总</w:t>
      </w:r>
      <w:bookmarkEnd w:id="39"/>
    </w:p>
    <w:bookmarkEnd w:id="40"/>
    <w:p w14:paraId="23C0C549">
      <w:pPr>
        <w:pStyle w:val="7"/>
        <w:keepLines w:val="0"/>
        <w:widowControl/>
        <w:adjustRightInd w:val="0"/>
        <w:snapToGrid w:val="0"/>
        <w:spacing w:after="120" w:afterLines="50"/>
        <w:jc w:val="left"/>
        <w:rPr>
          <w:rFonts w:ascii="Times New Roman" w:hAnsi="Times New Roman"/>
          <w:b/>
          <w:color w:val="auto"/>
        </w:rPr>
      </w:pPr>
      <w:r>
        <w:rPr>
          <w:rFonts w:ascii="Times New Roman" w:hAnsi="Times New Roman"/>
          <w:b/>
          <w:color w:val="auto"/>
        </w:rPr>
        <w:t>3.2.</w:t>
      </w:r>
      <w:r>
        <w:rPr>
          <w:rFonts w:hint="eastAsia" w:ascii="Times New Roman" w:hAnsi="Times New Roman"/>
          <w:b/>
          <w:color w:val="auto"/>
        </w:rPr>
        <w:t>4</w:t>
      </w:r>
      <w:r>
        <w:rPr>
          <w:rFonts w:ascii="Times New Roman" w:hAnsi="Times New Roman"/>
          <w:b/>
          <w:color w:val="auto"/>
        </w:rPr>
        <w:t>.1主要原辅材料汇总</w:t>
      </w:r>
    </w:p>
    <w:p w14:paraId="355D3811">
      <w:pPr>
        <w:spacing w:line="500" w:lineRule="exact"/>
        <w:ind w:firstLine="560" w:firstLineChars="200"/>
        <w:rPr>
          <w:rFonts w:eastAsia="仿宋_GB2312"/>
          <w:color w:val="auto"/>
          <w:sz w:val="28"/>
          <w:szCs w:val="28"/>
        </w:rPr>
      </w:pPr>
      <w:r>
        <w:rPr>
          <w:rFonts w:eastAsia="仿宋_GB2312"/>
          <w:color w:val="auto"/>
          <w:sz w:val="28"/>
          <w:szCs w:val="28"/>
        </w:rPr>
        <w:t>本项目主要原辅材料消耗情况见表3.2-</w:t>
      </w:r>
      <w:r>
        <w:rPr>
          <w:rFonts w:hint="eastAsia" w:eastAsia="仿宋_GB2312"/>
          <w:color w:val="auto"/>
          <w:sz w:val="28"/>
          <w:szCs w:val="28"/>
        </w:rPr>
        <w:t>4</w:t>
      </w:r>
      <w:r>
        <w:rPr>
          <w:rFonts w:hint="eastAsia" w:eastAsia="仿宋_GB2312"/>
          <w:color w:val="auto"/>
          <w:sz w:val="28"/>
          <w:szCs w:val="28"/>
          <w:lang w:val="en-US" w:eastAsia="zh-CN"/>
        </w:rPr>
        <w:t>1</w:t>
      </w:r>
      <w:r>
        <w:rPr>
          <w:rFonts w:eastAsia="仿宋_GB2312"/>
          <w:color w:val="auto"/>
          <w:sz w:val="28"/>
          <w:szCs w:val="28"/>
        </w:rPr>
        <w:t>。</w:t>
      </w:r>
    </w:p>
    <w:p w14:paraId="543CC701">
      <w:pPr>
        <w:pStyle w:val="162"/>
        <w:spacing w:line="480" w:lineRule="exact"/>
        <w:ind w:firstLine="0" w:firstLineChars="0"/>
        <w:rPr>
          <w:rFonts w:ascii="Times New Roman"/>
          <w:bCs w:val="0"/>
          <w:color w:val="auto"/>
        </w:rPr>
      </w:pPr>
      <w:r>
        <w:rPr>
          <w:rFonts w:ascii="Times New Roman"/>
          <w:bCs w:val="0"/>
          <w:color w:val="auto"/>
        </w:rPr>
        <w:t>表3.2-</w:t>
      </w:r>
      <w:r>
        <w:rPr>
          <w:rFonts w:hint="eastAsia" w:ascii="Times New Roman"/>
          <w:bCs w:val="0"/>
          <w:color w:val="auto"/>
        </w:rPr>
        <w:t>4</w:t>
      </w:r>
      <w:r>
        <w:rPr>
          <w:rFonts w:hint="eastAsia" w:ascii="Times New Roman"/>
          <w:bCs w:val="0"/>
          <w:color w:val="auto"/>
          <w:lang w:val="en-US" w:eastAsia="zh-CN"/>
        </w:rPr>
        <w:t>1</w:t>
      </w:r>
      <w:r>
        <w:rPr>
          <w:rFonts w:ascii="Times New Roman"/>
          <w:bCs w:val="0"/>
          <w:color w:val="auto"/>
        </w:rPr>
        <w:t xml:space="preserve">  主要原辅材料消耗情况表</w:t>
      </w:r>
    </w:p>
    <w:tbl>
      <w:tblPr>
        <w:tblStyle w:val="88"/>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17"/>
        <w:gridCol w:w="742"/>
        <w:gridCol w:w="2049"/>
        <w:gridCol w:w="994"/>
        <w:gridCol w:w="2836"/>
        <w:gridCol w:w="1185"/>
      </w:tblGrid>
      <w:tr w14:paraId="56E80E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0" w:type="pct"/>
            <w:tcBorders>
              <w:tl2br w:val="nil"/>
              <w:tr2bl w:val="nil"/>
            </w:tcBorders>
            <w:vAlign w:val="center"/>
          </w:tcPr>
          <w:p w14:paraId="3AAB619B">
            <w:pPr>
              <w:widowControl/>
              <w:jc w:val="center"/>
              <w:rPr>
                <w:rFonts w:eastAsia="仿宋_GB2312"/>
                <w:b/>
                <w:color w:val="auto"/>
                <w:kern w:val="0"/>
                <w:szCs w:val="21"/>
              </w:rPr>
            </w:pPr>
            <w:r>
              <w:rPr>
                <w:rFonts w:eastAsia="仿宋_GB2312"/>
                <w:b/>
                <w:color w:val="auto"/>
                <w:kern w:val="0"/>
                <w:szCs w:val="21"/>
              </w:rPr>
              <w:t>类别</w:t>
            </w:r>
          </w:p>
        </w:tc>
        <w:tc>
          <w:tcPr>
            <w:tcW w:w="435" w:type="pct"/>
            <w:tcBorders>
              <w:tl2br w:val="nil"/>
              <w:tr2bl w:val="nil"/>
            </w:tcBorders>
            <w:vAlign w:val="center"/>
          </w:tcPr>
          <w:p w14:paraId="5BCC54E5">
            <w:pPr>
              <w:widowControl/>
              <w:jc w:val="center"/>
              <w:rPr>
                <w:rFonts w:eastAsia="仿宋_GB2312"/>
                <w:b/>
                <w:color w:val="auto"/>
                <w:kern w:val="0"/>
                <w:szCs w:val="21"/>
              </w:rPr>
            </w:pPr>
            <w:r>
              <w:rPr>
                <w:rFonts w:eastAsia="仿宋_GB2312"/>
                <w:b/>
                <w:color w:val="auto"/>
                <w:kern w:val="0"/>
                <w:szCs w:val="21"/>
              </w:rPr>
              <w:t>序号</w:t>
            </w:r>
          </w:p>
        </w:tc>
        <w:tc>
          <w:tcPr>
            <w:tcW w:w="1202" w:type="pct"/>
            <w:tcBorders>
              <w:tl2br w:val="nil"/>
              <w:tr2bl w:val="nil"/>
            </w:tcBorders>
            <w:vAlign w:val="center"/>
          </w:tcPr>
          <w:p w14:paraId="48E1AA03">
            <w:pPr>
              <w:widowControl/>
              <w:jc w:val="center"/>
              <w:rPr>
                <w:rFonts w:eastAsia="仿宋_GB2312"/>
                <w:b/>
                <w:color w:val="auto"/>
                <w:kern w:val="0"/>
                <w:szCs w:val="21"/>
              </w:rPr>
            </w:pPr>
            <w:r>
              <w:rPr>
                <w:rFonts w:eastAsia="仿宋_GB2312"/>
                <w:b/>
                <w:color w:val="auto"/>
                <w:kern w:val="0"/>
                <w:szCs w:val="21"/>
              </w:rPr>
              <w:t>废液种类</w:t>
            </w:r>
          </w:p>
        </w:tc>
        <w:tc>
          <w:tcPr>
            <w:tcW w:w="583" w:type="pct"/>
            <w:tcBorders>
              <w:tl2br w:val="nil"/>
              <w:tr2bl w:val="nil"/>
            </w:tcBorders>
            <w:vAlign w:val="center"/>
          </w:tcPr>
          <w:p w14:paraId="1444003F">
            <w:pPr>
              <w:widowControl/>
              <w:jc w:val="center"/>
              <w:rPr>
                <w:rFonts w:eastAsia="仿宋_GB2312"/>
                <w:b/>
                <w:color w:val="auto"/>
                <w:kern w:val="0"/>
                <w:szCs w:val="21"/>
              </w:rPr>
            </w:pPr>
            <w:r>
              <w:rPr>
                <w:rFonts w:eastAsia="仿宋_GB2312"/>
                <w:b/>
                <w:color w:val="auto"/>
                <w:kern w:val="0"/>
                <w:szCs w:val="21"/>
              </w:rPr>
              <w:t>年耗量t/a</w:t>
            </w:r>
          </w:p>
        </w:tc>
        <w:tc>
          <w:tcPr>
            <w:tcW w:w="1663" w:type="pct"/>
            <w:tcBorders>
              <w:tl2br w:val="nil"/>
              <w:tr2bl w:val="nil"/>
            </w:tcBorders>
            <w:vAlign w:val="center"/>
          </w:tcPr>
          <w:p w14:paraId="0FCA2B7C">
            <w:pPr>
              <w:widowControl/>
              <w:jc w:val="center"/>
              <w:rPr>
                <w:rFonts w:eastAsia="仿宋_GB2312"/>
                <w:b/>
                <w:color w:val="auto"/>
                <w:kern w:val="0"/>
                <w:szCs w:val="21"/>
              </w:rPr>
            </w:pPr>
            <w:r>
              <w:rPr>
                <w:rFonts w:eastAsia="仿宋_GB2312"/>
                <w:b/>
                <w:color w:val="auto"/>
                <w:kern w:val="0"/>
                <w:szCs w:val="21"/>
              </w:rPr>
              <w:t>包装形式</w:t>
            </w:r>
          </w:p>
        </w:tc>
        <w:tc>
          <w:tcPr>
            <w:tcW w:w="695" w:type="pct"/>
            <w:tcBorders>
              <w:tl2br w:val="nil"/>
              <w:tr2bl w:val="nil"/>
            </w:tcBorders>
            <w:vAlign w:val="center"/>
          </w:tcPr>
          <w:p w14:paraId="59F2E92B">
            <w:pPr>
              <w:widowControl/>
              <w:jc w:val="center"/>
              <w:rPr>
                <w:rFonts w:eastAsia="仿宋_GB2312"/>
                <w:b/>
                <w:color w:val="auto"/>
                <w:kern w:val="0"/>
                <w:szCs w:val="21"/>
              </w:rPr>
            </w:pPr>
            <w:r>
              <w:rPr>
                <w:rFonts w:hint="eastAsia" w:eastAsia="仿宋_GB2312"/>
                <w:b/>
                <w:color w:val="auto"/>
                <w:kern w:val="0"/>
                <w:szCs w:val="21"/>
              </w:rPr>
              <w:t>来源及运输方式</w:t>
            </w:r>
          </w:p>
        </w:tc>
      </w:tr>
      <w:tr w14:paraId="42B92F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0" w:type="pct"/>
            <w:vMerge w:val="restart"/>
            <w:tcBorders>
              <w:tl2br w:val="nil"/>
              <w:tr2bl w:val="nil"/>
            </w:tcBorders>
            <w:vAlign w:val="center"/>
          </w:tcPr>
          <w:p w14:paraId="1F815CAF">
            <w:pPr>
              <w:widowControl/>
              <w:jc w:val="center"/>
              <w:rPr>
                <w:rFonts w:eastAsia="仿宋_GB2312"/>
                <w:bCs/>
                <w:color w:val="auto"/>
                <w:kern w:val="0"/>
                <w:szCs w:val="21"/>
              </w:rPr>
            </w:pPr>
            <w:r>
              <w:rPr>
                <w:rFonts w:eastAsia="仿宋_GB2312"/>
                <w:bCs/>
                <w:color w:val="auto"/>
                <w:kern w:val="0"/>
                <w:szCs w:val="21"/>
              </w:rPr>
              <w:t>溶剂回收</w:t>
            </w:r>
          </w:p>
        </w:tc>
        <w:tc>
          <w:tcPr>
            <w:tcW w:w="435" w:type="pct"/>
            <w:tcBorders>
              <w:tl2br w:val="nil"/>
              <w:tr2bl w:val="nil"/>
            </w:tcBorders>
            <w:vAlign w:val="center"/>
          </w:tcPr>
          <w:p w14:paraId="40CD55AE">
            <w:pPr>
              <w:widowControl/>
              <w:jc w:val="center"/>
              <w:rPr>
                <w:rFonts w:eastAsia="仿宋_GB2312"/>
                <w:bCs/>
                <w:color w:val="auto"/>
                <w:kern w:val="0"/>
                <w:szCs w:val="21"/>
              </w:rPr>
            </w:pPr>
            <w:r>
              <w:rPr>
                <w:rFonts w:eastAsia="仿宋_GB2312"/>
                <w:bCs/>
                <w:color w:val="auto"/>
                <w:kern w:val="0"/>
                <w:szCs w:val="21"/>
              </w:rPr>
              <w:t>1</w:t>
            </w:r>
          </w:p>
        </w:tc>
        <w:tc>
          <w:tcPr>
            <w:tcW w:w="1202" w:type="pct"/>
            <w:tcBorders>
              <w:tl2br w:val="nil"/>
              <w:tr2bl w:val="nil"/>
            </w:tcBorders>
            <w:shd w:val="clear" w:color="auto" w:fill="auto"/>
            <w:vAlign w:val="center"/>
          </w:tcPr>
          <w:p w14:paraId="205CBF37">
            <w:pPr>
              <w:widowControl/>
              <w:jc w:val="center"/>
              <w:rPr>
                <w:rFonts w:ascii="Times New Roman" w:hAnsi="Times New Roman" w:eastAsia="仿宋_GB2312" w:cs="Times New Roman"/>
                <w:color w:val="auto"/>
                <w:kern w:val="0"/>
                <w:sz w:val="21"/>
                <w:szCs w:val="21"/>
                <w:lang w:val="en-US" w:eastAsia="zh-CN" w:bidi="ar-SA"/>
              </w:rPr>
            </w:pPr>
            <w:r>
              <w:rPr>
                <w:rFonts w:eastAsia="仿宋_GB2312"/>
                <w:color w:val="auto"/>
                <w:kern w:val="0"/>
                <w:szCs w:val="21"/>
              </w:rPr>
              <w:t>丁酮废液</w:t>
            </w:r>
          </w:p>
        </w:tc>
        <w:tc>
          <w:tcPr>
            <w:tcW w:w="583" w:type="pct"/>
            <w:tcBorders>
              <w:tl2br w:val="nil"/>
              <w:tr2bl w:val="nil"/>
            </w:tcBorders>
            <w:shd w:val="clear" w:color="auto" w:fill="auto"/>
            <w:vAlign w:val="center"/>
          </w:tcPr>
          <w:p w14:paraId="21207401">
            <w:pPr>
              <w:widowControl/>
              <w:jc w:val="center"/>
              <w:rPr>
                <w:rFonts w:ascii="Times New Roman" w:hAnsi="Times New Roman" w:eastAsia="仿宋_GB2312" w:cs="Times New Roman"/>
                <w:color w:val="auto"/>
                <w:kern w:val="0"/>
                <w:sz w:val="21"/>
                <w:szCs w:val="21"/>
                <w:lang w:val="en-US" w:eastAsia="zh-CN" w:bidi="ar-SA"/>
              </w:rPr>
            </w:pPr>
            <w:r>
              <w:rPr>
                <w:rFonts w:eastAsia="仿宋_GB2312"/>
                <w:color w:val="auto"/>
                <w:kern w:val="0"/>
                <w:szCs w:val="21"/>
              </w:rPr>
              <w:t>600</w:t>
            </w:r>
          </w:p>
        </w:tc>
        <w:tc>
          <w:tcPr>
            <w:tcW w:w="1663" w:type="pct"/>
            <w:tcBorders>
              <w:tl2br w:val="nil"/>
              <w:tr2bl w:val="nil"/>
            </w:tcBorders>
            <w:vAlign w:val="center"/>
          </w:tcPr>
          <w:p w14:paraId="750F07BA">
            <w:pPr>
              <w:widowControl/>
              <w:jc w:val="center"/>
              <w:rPr>
                <w:rFonts w:eastAsia="仿宋_GB2312"/>
                <w:color w:val="auto"/>
                <w:kern w:val="0"/>
                <w:szCs w:val="21"/>
              </w:rPr>
            </w:pPr>
            <w:r>
              <w:rPr>
                <w:rFonts w:eastAsia="仿宋_GB2312"/>
                <w:color w:val="auto"/>
                <w:kern w:val="0"/>
                <w:szCs w:val="21"/>
              </w:rPr>
              <w:t>吨桶/200L桶/25L桶/20L桶</w:t>
            </w:r>
          </w:p>
        </w:tc>
        <w:tc>
          <w:tcPr>
            <w:tcW w:w="695" w:type="pct"/>
            <w:tcBorders>
              <w:tl2br w:val="nil"/>
              <w:tr2bl w:val="nil"/>
            </w:tcBorders>
            <w:vAlign w:val="center"/>
          </w:tcPr>
          <w:p w14:paraId="5CA861B4">
            <w:pPr>
              <w:widowControl/>
              <w:jc w:val="center"/>
              <w:rPr>
                <w:rFonts w:eastAsia="仿宋_GB2312"/>
                <w:color w:val="auto"/>
                <w:kern w:val="0"/>
                <w:szCs w:val="21"/>
              </w:rPr>
            </w:pPr>
            <w:r>
              <w:rPr>
                <w:rFonts w:hint="eastAsia" w:eastAsia="仿宋_GB2312"/>
                <w:color w:val="auto"/>
                <w:kern w:val="0"/>
                <w:szCs w:val="21"/>
              </w:rPr>
              <w:t>外购、汽运</w:t>
            </w:r>
          </w:p>
        </w:tc>
      </w:tr>
      <w:tr w14:paraId="7919C2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0" w:type="pct"/>
            <w:vMerge w:val="continue"/>
            <w:tcBorders>
              <w:tl2br w:val="nil"/>
              <w:tr2bl w:val="nil"/>
            </w:tcBorders>
            <w:vAlign w:val="center"/>
          </w:tcPr>
          <w:p w14:paraId="555C434E">
            <w:pPr>
              <w:widowControl/>
              <w:jc w:val="center"/>
              <w:rPr>
                <w:rFonts w:eastAsia="仿宋_GB2312"/>
                <w:bCs/>
                <w:color w:val="auto"/>
                <w:kern w:val="0"/>
                <w:szCs w:val="21"/>
              </w:rPr>
            </w:pPr>
          </w:p>
        </w:tc>
        <w:tc>
          <w:tcPr>
            <w:tcW w:w="435" w:type="pct"/>
            <w:tcBorders>
              <w:tl2br w:val="nil"/>
              <w:tr2bl w:val="nil"/>
            </w:tcBorders>
            <w:vAlign w:val="center"/>
          </w:tcPr>
          <w:p w14:paraId="4F8EECB7">
            <w:pPr>
              <w:widowControl/>
              <w:jc w:val="center"/>
              <w:rPr>
                <w:rFonts w:eastAsia="仿宋_GB2312"/>
                <w:bCs/>
                <w:color w:val="auto"/>
                <w:kern w:val="0"/>
                <w:szCs w:val="21"/>
              </w:rPr>
            </w:pPr>
            <w:r>
              <w:rPr>
                <w:rFonts w:eastAsia="仿宋_GB2312"/>
                <w:bCs/>
                <w:color w:val="auto"/>
                <w:kern w:val="0"/>
                <w:szCs w:val="21"/>
              </w:rPr>
              <w:t>2</w:t>
            </w:r>
          </w:p>
        </w:tc>
        <w:tc>
          <w:tcPr>
            <w:tcW w:w="1202" w:type="pct"/>
            <w:tcBorders>
              <w:tl2br w:val="nil"/>
              <w:tr2bl w:val="nil"/>
            </w:tcBorders>
            <w:shd w:val="clear" w:color="auto" w:fill="auto"/>
            <w:vAlign w:val="center"/>
          </w:tcPr>
          <w:p w14:paraId="391BF91B">
            <w:pPr>
              <w:widowControl/>
              <w:jc w:val="center"/>
              <w:rPr>
                <w:rFonts w:ascii="Times New Roman" w:hAnsi="Times New Roman" w:eastAsia="仿宋_GB2312" w:cs="Times New Roman"/>
                <w:color w:val="auto"/>
                <w:kern w:val="0"/>
                <w:sz w:val="21"/>
                <w:szCs w:val="21"/>
                <w:lang w:val="en-US" w:eastAsia="zh-CN" w:bidi="ar-SA"/>
              </w:rPr>
            </w:pPr>
            <w:r>
              <w:rPr>
                <w:rFonts w:eastAsia="仿宋_GB2312"/>
                <w:color w:val="auto"/>
                <w:kern w:val="0"/>
                <w:szCs w:val="21"/>
              </w:rPr>
              <w:t>N-甲基吡咯烷酮废液</w:t>
            </w:r>
          </w:p>
        </w:tc>
        <w:tc>
          <w:tcPr>
            <w:tcW w:w="583" w:type="pct"/>
            <w:tcBorders>
              <w:tl2br w:val="nil"/>
              <w:tr2bl w:val="nil"/>
            </w:tcBorders>
            <w:shd w:val="clear" w:color="auto" w:fill="auto"/>
            <w:vAlign w:val="center"/>
          </w:tcPr>
          <w:p w14:paraId="0130455F">
            <w:pPr>
              <w:widowControl/>
              <w:jc w:val="center"/>
              <w:rPr>
                <w:rFonts w:ascii="Times New Roman" w:hAnsi="Times New Roman" w:eastAsia="仿宋_GB2312" w:cs="Times New Roman"/>
                <w:color w:val="auto"/>
                <w:kern w:val="0"/>
                <w:sz w:val="21"/>
                <w:szCs w:val="21"/>
                <w:lang w:val="en-US" w:eastAsia="zh-CN" w:bidi="ar-SA"/>
              </w:rPr>
            </w:pPr>
            <w:r>
              <w:rPr>
                <w:rFonts w:eastAsia="仿宋_GB2312"/>
                <w:color w:val="auto"/>
                <w:kern w:val="0"/>
                <w:szCs w:val="21"/>
              </w:rPr>
              <w:t>12500</w:t>
            </w:r>
          </w:p>
        </w:tc>
        <w:tc>
          <w:tcPr>
            <w:tcW w:w="1663" w:type="pct"/>
            <w:tcBorders>
              <w:tl2br w:val="nil"/>
              <w:tr2bl w:val="nil"/>
            </w:tcBorders>
            <w:vAlign w:val="center"/>
          </w:tcPr>
          <w:p w14:paraId="33E208B5">
            <w:pPr>
              <w:widowControl/>
              <w:jc w:val="center"/>
              <w:rPr>
                <w:rFonts w:eastAsia="仿宋_GB2312"/>
                <w:b/>
                <w:color w:val="auto"/>
                <w:kern w:val="0"/>
                <w:szCs w:val="21"/>
              </w:rPr>
            </w:pPr>
            <w:r>
              <w:rPr>
                <w:rFonts w:eastAsia="仿宋_GB2312"/>
                <w:color w:val="auto"/>
                <w:kern w:val="0"/>
                <w:szCs w:val="21"/>
              </w:rPr>
              <w:t>吨桶/200L桶/25L桶/20L桶</w:t>
            </w:r>
          </w:p>
        </w:tc>
        <w:tc>
          <w:tcPr>
            <w:tcW w:w="695" w:type="pct"/>
            <w:tcBorders>
              <w:tl2br w:val="nil"/>
              <w:tr2bl w:val="nil"/>
            </w:tcBorders>
            <w:vAlign w:val="center"/>
          </w:tcPr>
          <w:p w14:paraId="0174CE44">
            <w:pPr>
              <w:widowControl/>
              <w:jc w:val="center"/>
              <w:rPr>
                <w:rFonts w:eastAsia="仿宋_GB2312"/>
                <w:color w:val="auto"/>
                <w:kern w:val="0"/>
                <w:szCs w:val="21"/>
              </w:rPr>
            </w:pPr>
            <w:r>
              <w:rPr>
                <w:rFonts w:hint="eastAsia" w:eastAsia="仿宋_GB2312"/>
                <w:color w:val="auto"/>
                <w:kern w:val="0"/>
                <w:szCs w:val="21"/>
              </w:rPr>
              <w:t>外购、汽运</w:t>
            </w:r>
          </w:p>
        </w:tc>
      </w:tr>
      <w:tr w14:paraId="70F572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0" w:type="pct"/>
            <w:vMerge w:val="continue"/>
            <w:tcBorders>
              <w:tl2br w:val="nil"/>
              <w:tr2bl w:val="nil"/>
            </w:tcBorders>
            <w:vAlign w:val="center"/>
          </w:tcPr>
          <w:p w14:paraId="6C516993">
            <w:pPr>
              <w:widowControl/>
              <w:jc w:val="center"/>
              <w:rPr>
                <w:rFonts w:eastAsia="仿宋_GB2312"/>
                <w:bCs/>
                <w:color w:val="auto"/>
                <w:kern w:val="0"/>
                <w:szCs w:val="21"/>
              </w:rPr>
            </w:pPr>
          </w:p>
        </w:tc>
        <w:tc>
          <w:tcPr>
            <w:tcW w:w="435" w:type="pct"/>
            <w:tcBorders>
              <w:tl2br w:val="nil"/>
              <w:tr2bl w:val="nil"/>
            </w:tcBorders>
            <w:vAlign w:val="center"/>
          </w:tcPr>
          <w:p w14:paraId="0A4C18FA">
            <w:pPr>
              <w:widowControl/>
              <w:jc w:val="center"/>
              <w:rPr>
                <w:rFonts w:eastAsia="仿宋_GB2312"/>
                <w:bCs/>
                <w:color w:val="auto"/>
                <w:kern w:val="0"/>
                <w:szCs w:val="21"/>
              </w:rPr>
            </w:pPr>
            <w:r>
              <w:rPr>
                <w:rFonts w:eastAsia="仿宋_GB2312"/>
                <w:bCs/>
                <w:color w:val="auto"/>
                <w:kern w:val="0"/>
                <w:szCs w:val="21"/>
              </w:rPr>
              <w:t>3</w:t>
            </w:r>
          </w:p>
        </w:tc>
        <w:tc>
          <w:tcPr>
            <w:tcW w:w="1202" w:type="pct"/>
            <w:tcBorders>
              <w:tl2br w:val="nil"/>
              <w:tr2bl w:val="nil"/>
            </w:tcBorders>
            <w:shd w:val="clear" w:color="auto" w:fill="auto"/>
            <w:vAlign w:val="center"/>
          </w:tcPr>
          <w:p w14:paraId="2466E9F1">
            <w:pPr>
              <w:widowControl/>
              <w:jc w:val="center"/>
              <w:rPr>
                <w:rFonts w:ascii="Times New Roman" w:hAnsi="Times New Roman" w:eastAsia="仿宋_GB2312" w:cs="Times New Roman"/>
                <w:color w:val="auto"/>
                <w:kern w:val="0"/>
                <w:sz w:val="21"/>
                <w:szCs w:val="21"/>
                <w:lang w:val="en-US" w:eastAsia="zh-CN" w:bidi="ar-SA"/>
              </w:rPr>
            </w:pPr>
            <w:r>
              <w:rPr>
                <w:rFonts w:eastAsia="仿宋_GB2312"/>
                <w:color w:val="auto"/>
                <w:kern w:val="0"/>
                <w:szCs w:val="21"/>
              </w:rPr>
              <w:t>四氢呋喃废液</w:t>
            </w:r>
          </w:p>
        </w:tc>
        <w:tc>
          <w:tcPr>
            <w:tcW w:w="583" w:type="pct"/>
            <w:tcBorders>
              <w:tl2br w:val="nil"/>
              <w:tr2bl w:val="nil"/>
            </w:tcBorders>
            <w:shd w:val="clear" w:color="auto" w:fill="auto"/>
            <w:vAlign w:val="center"/>
          </w:tcPr>
          <w:p w14:paraId="1B298218">
            <w:pPr>
              <w:widowControl/>
              <w:jc w:val="center"/>
              <w:rPr>
                <w:rFonts w:ascii="Times New Roman" w:hAnsi="Times New Roman" w:eastAsia="仿宋_GB2312" w:cs="Times New Roman"/>
                <w:color w:val="auto"/>
                <w:kern w:val="0"/>
                <w:sz w:val="21"/>
                <w:szCs w:val="21"/>
                <w:lang w:val="en-US" w:eastAsia="zh-CN" w:bidi="ar-SA"/>
              </w:rPr>
            </w:pPr>
            <w:r>
              <w:rPr>
                <w:rFonts w:eastAsia="仿宋_GB2312"/>
                <w:color w:val="auto"/>
                <w:kern w:val="0"/>
                <w:szCs w:val="21"/>
              </w:rPr>
              <w:t>11100</w:t>
            </w:r>
          </w:p>
        </w:tc>
        <w:tc>
          <w:tcPr>
            <w:tcW w:w="1663" w:type="pct"/>
            <w:tcBorders>
              <w:tl2br w:val="nil"/>
              <w:tr2bl w:val="nil"/>
            </w:tcBorders>
            <w:vAlign w:val="center"/>
          </w:tcPr>
          <w:p w14:paraId="22708765">
            <w:pPr>
              <w:widowControl/>
              <w:jc w:val="center"/>
              <w:rPr>
                <w:rFonts w:eastAsia="仿宋_GB2312"/>
                <w:b/>
                <w:color w:val="auto"/>
                <w:kern w:val="0"/>
                <w:szCs w:val="21"/>
              </w:rPr>
            </w:pPr>
            <w:r>
              <w:rPr>
                <w:rFonts w:eastAsia="仿宋_GB2312"/>
                <w:color w:val="auto"/>
                <w:kern w:val="0"/>
                <w:szCs w:val="21"/>
              </w:rPr>
              <w:t>吨桶/200L桶/25L桶/20L桶</w:t>
            </w:r>
          </w:p>
        </w:tc>
        <w:tc>
          <w:tcPr>
            <w:tcW w:w="695" w:type="pct"/>
            <w:tcBorders>
              <w:tl2br w:val="nil"/>
              <w:tr2bl w:val="nil"/>
            </w:tcBorders>
            <w:vAlign w:val="center"/>
          </w:tcPr>
          <w:p w14:paraId="5206FBC4">
            <w:pPr>
              <w:widowControl/>
              <w:jc w:val="center"/>
              <w:rPr>
                <w:rFonts w:eastAsia="仿宋_GB2312"/>
                <w:color w:val="auto"/>
                <w:kern w:val="0"/>
                <w:szCs w:val="21"/>
              </w:rPr>
            </w:pPr>
            <w:r>
              <w:rPr>
                <w:rFonts w:hint="eastAsia" w:eastAsia="仿宋_GB2312"/>
                <w:color w:val="auto"/>
                <w:kern w:val="0"/>
                <w:szCs w:val="21"/>
              </w:rPr>
              <w:t>外购、汽运</w:t>
            </w:r>
          </w:p>
        </w:tc>
      </w:tr>
      <w:tr w14:paraId="1EB8F3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0" w:type="pct"/>
            <w:vMerge w:val="continue"/>
            <w:tcBorders>
              <w:tl2br w:val="nil"/>
              <w:tr2bl w:val="nil"/>
            </w:tcBorders>
            <w:vAlign w:val="center"/>
          </w:tcPr>
          <w:p w14:paraId="1331EDD3">
            <w:pPr>
              <w:widowControl/>
              <w:jc w:val="center"/>
              <w:rPr>
                <w:rFonts w:eastAsia="仿宋_GB2312"/>
                <w:bCs/>
                <w:color w:val="auto"/>
                <w:kern w:val="0"/>
                <w:szCs w:val="21"/>
              </w:rPr>
            </w:pPr>
          </w:p>
        </w:tc>
        <w:tc>
          <w:tcPr>
            <w:tcW w:w="435" w:type="pct"/>
            <w:tcBorders>
              <w:tl2br w:val="nil"/>
              <w:tr2bl w:val="nil"/>
            </w:tcBorders>
            <w:vAlign w:val="center"/>
          </w:tcPr>
          <w:p w14:paraId="7D7D716B">
            <w:pPr>
              <w:widowControl/>
              <w:jc w:val="center"/>
              <w:rPr>
                <w:rFonts w:eastAsia="仿宋_GB2312"/>
                <w:bCs/>
                <w:color w:val="auto"/>
                <w:kern w:val="0"/>
                <w:szCs w:val="21"/>
              </w:rPr>
            </w:pPr>
            <w:r>
              <w:rPr>
                <w:rFonts w:eastAsia="仿宋_GB2312"/>
                <w:bCs/>
                <w:color w:val="auto"/>
                <w:kern w:val="0"/>
                <w:szCs w:val="21"/>
              </w:rPr>
              <w:t>4</w:t>
            </w:r>
          </w:p>
        </w:tc>
        <w:tc>
          <w:tcPr>
            <w:tcW w:w="1202" w:type="pct"/>
            <w:tcBorders>
              <w:tl2br w:val="nil"/>
              <w:tr2bl w:val="nil"/>
            </w:tcBorders>
            <w:shd w:val="clear" w:color="auto" w:fill="auto"/>
            <w:vAlign w:val="center"/>
          </w:tcPr>
          <w:p w14:paraId="507517CC">
            <w:pPr>
              <w:widowControl/>
              <w:jc w:val="center"/>
              <w:rPr>
                <w:rFonts w:ascii="Times New Roman" w:hAnsi="Times New Roman" w:eastAsia="仿宋_GB2312" w:cs="Times New Roman"/>
                <w:color w:val="auto"/>
                <w:kern w:val="0"/>
                <w:sz w:val="21"/>
                <w:szCs w:val="21"/>
                <w:lang w:val="en-US" w:eastAsia="zh-CN" w:bidi="ar-SA"/>
              </w:rPr>
            </w:pPr>
            <w:r>
              <w:rPr>
                <w:rFonts w:eastAsia="仿宋_GB2312"/>
                <w:color w:val="auto"/>
                <w:kern w:val="0"/>
                <w:szCs w:val="21"/>
              </w:rPr>
              <w:t>二氯甲烷废液</w:t>
            </w:r>
          </w:p>
        </w:tc>
        <w:tc>
          <w:tcPr>
            <w:tcW w:w="583" w:type="pct"/>
            <w:tcBorders>
              <w:tl2br w:val="nil"/>
              <w:tr2bl w:val="nil"/>
            </w:tcBorders>
            <w:shd w:val="clear" w:color="auto" w:fill="auto"/>
            <w:vAlign w:val="center"/>
          </w:tcPr>
          <w:p w14:paraId="371EC5C0">
            <w:pPr>
              <w:widowControl/>
              <w:jc w:val="center"/>
              <w:rPr>
                <w:rFonts w:ascii="Times New Roman" w:hAnsi="Times New Roman" w:eastAsia="仿宋_GB2312" w:cs="Times New Roman"/>
                <w:color w:val="auto"/>
                <w:kern w:val="0"/>
                <w:sz w:val="21"/>
                <w:szCs w:val="21"/>
                <w:lang w:val="en-US" w:eastAsia="zh-CN" w:bidi="ar-SA"/>
              </w:rPr>
            </w:pPr>
            <w:r>
              <w:rPr>
                <w:rFonts w:eastAsia="仿宋_GB2312"/>
                <w:color w:val="auto"/>
                <w:kern w:val="0"/>
                <w:szCs w:val="21"/>
              </w:rPr>
              <w:t>2650</w:t>
            </w:r>
          </w:p>
        </w:tc>
        <w:tc>
          <w:tcPr>
            <w:tcW w:w="1663" w:type="pct"/>
            <w:tcBorders>
              <w:tl2br w:val="nil"/>
              <w:tr2bl w:val="nil"/>
            </w:tcBorders>
            <w:vAlign w:val="center"/>
          </w:tcPr>
          <w:p w14:paraId="32952C05">
            <w:pPr>
              <w:widowControl/>
              <w:jc w:val="center"/>
              <w:rPr>
                <w:rFonts w:eastAsia="仿宋_GB2312"/>
                <w:color w:val="auto"/>
                <w:kern w:val="0"/>
                <w:szCs w:val="21"/>
              </w:rPr>
            </w:pPr>
            <w:r>
              <w:rPr>
                <w:rFonts w:eastAsia="仿宋_GB2312"/>
                <w:color w:val="auto"/>
                <w:kern w:val="0"/>
                <w:szCs w:val="21"/>
              </w:rPr>
              <w:t>吨桶/200L桶/25L桶/20L桶</w:t>
            </w:r>
          </w:p>
        </w:tc>
        <w:tc>
          <w:tcPr>
            <w:tcW w:w="695" w:type="pct"/>
            <w:tcBorders>
              <w:tl2br w:val="nil"/>
              <w:tr2bl w:val="nil"/>
            </w:tcBorders>
            <w:vAlign w:val="center"/>
          </w:tcPr>
          <w:p w14:paraId="1FC68A6B">
            <w:pPr>
              <w:widowControl/>
              <w:jc w:val="center"/>
              <w:rPr>
                <w:rFonts w:eastAsia="仿宋_GB2312"/>
                <w:color w:val="auto"/>
                <w:kern w:val="0"/>
                <w:szCs w:val="21"/>
              </w:rPr>
            </w:pPr>
            <w:r>
              <w:rPr>
                <w:rFonts w:hint="eastAsia" w:eastAsia="仿宋_GB2312"/>
                <w:color w:val="auto"/>
                <w:kern w:val="0"/>
                <w:szCs w:val="21"/>
              </w:rPr>
              <w:t>外购、汽运</w:t>
            </w:r>
          </w:p>
        </w:tc>
      </w:tr>
      <w:tr w14:paraId="112DFD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0" w:type="pct"/>
            <w:vMerge w:val="continue"/>
            <w:tcBorders>
              <w:tl2br w:val="nil"/>
              <w:tr2bl w:val="nil"/>
            </w:tcBorders>
            <w:vAlign w:val="center"/>
          </w:tcPr>
          <w:p w14:paraId="38530A2E">
            <w:pPr>
              <w:widowControl/>
              <w:jc w:val="center"/>
              <w:rPr>
                <w:rFonts w:eastAsia="仿宋_GB2312"/>
                <w:bCs/>
                <w:color w:val="auto"/>
                <w:kern w:val="0"/>
                <w:szCs w:val="21"/>
              </w:rPr>
            </w:pPr>
          </w:p>
        </w:tc>
        <w:tc>
          <w:tcPr>
            <w:tcW w:w="435" w:type="pct"/>
            <w:tcBorders>
              <w:tl2br w:val="nil"/>
              <w:tr2bl w:val="nil"/>
            </w:tcBorders>
            <w:vAlign w:val="center"/>
          </w:tcPr>
          <w:p w14:paraId="64BA6977">
            <w:pPr>
              <w:widowControl/>
              <w:jc w:val="center"/>
              <w:rPr>
                <w:rFonts w:eastAsia="仿宋_GB2312"/>
                <w:bCs/>
                <w:color w:val="auto"/>
                <w:kern w:val="0"/>
                <w:szCs w:val="21"/>
              </w:rPr>
            </w:pPr>
            <w:r>
              <w:rPr>
                <w:rFonts w:eastAsia="仿宋_GB2312"/>
                <w:bCs/>
                <w:color w:val="auto"/>
                <w:kern w:val="0"/>
                <w:szCs w:val="21"/>
              </w:rPr>
              <w:t>5</w:t>
            </w:r>
          </w:p>
        </w:tc>
        <w:tc>
          <w:tcPr>
            <w:tcW w:w="1202" w:type="pct"/>
            <w:tcBorders>
              <w:tl2br w:val="nil"/>
              <w:tr2bl w:val="nil"/>
            </w:tcBorders>
            <w:shd w:val="clear" w:color="auto" w:fill="auto"/>
            <w:vAlign w:val="center"/>
          </w:tcPr>
          <w:p w14:paraId="5E6CE381">
            <w:pPr>
              <w:widowControl/>
              <w:jc w:val="center"/>
              <w:rPr>
                <w:rFonts w:ascii="Times New Roman" w:hAnsi="Times New Roman" w:eastAsia="仿宋_GB2312" w:cs="Times New Roman"/>
                <w:color w:val="auto"/>
                <w:kern w:val="0"/>
                <w:sz w:val="21"/>
                <w:szCs w:val="21"/>
                <w:lang w:val="en-US" w:eastAsia="zh-CN" w:bidi="ar-SA"/>
              </w:rPr>
            </w:pPr>
            <w:r>
              <w:rPr>
                <w:rFonts w:eastAsia="仿宋_GB2312"/>
                <w:color w:val="auto"/>
                <w:kern w:val="0"/>
                <w:szCs w:val="21"/>
              </w:rPr>
              <w:t>甲苯废液</w:t>
            </w:r>
          </w:p>
        </w:tc>
        <w:tc>
          <w:tcPr>
            <w:tcW w:w="583" w:type="pct"/>
            <w:tcBorders>
              <w:tl2br w:val="nil"/>
              <w:tr2bl w:val="nil"/>
            </w:tcBorders>
            <w:shd w:val="clear" w:color="auto" w:fill="auto"/>
            <w:vAlign w:val="center"/>
          </w:tcPr>
          <w:p w14:paraId="1260AD93">
            <w:pPr>
              <w:widowControl/>
              <w:jc w:val="center"/>
              <w:rPr>
                <w:rFonts w:ascii="Times New Roman" w:hAnsi="Times New Roman" w:eastAsia="仿宋_GB2312" w:cs="Times New Roman"/>
                <w:color w:val="auto"/>
                <w:kern w:val="0"/>
                <w:sz w:val="21"/>
                <w:szCs w:val="21"/>
                <w:lang w:val="en-US" w:eastAsia="zh-CN" w:bidi="ar-SA"/>
              </w:rPr>
            </w:pPr>
            <w:r>
              <w:rPr>
                <w:rFonts w:eastAsia="仿宋_GB2312"/>
                <w:color w:val="auto"/>
                <w:kern w:val="0"/>
                <w:szCs w:val="21"/>
              </w:rPr>
              <w:t>5155</w:t>
            </w:r>
          </w:p>
        </w:tc>
        <w:tc>
          <w:tcPr>
            <w:tcW w:w="1663" w:type="pct"/>
            <w:tcBorders>
              <w:tl2br w:val="nil"/>
              <w:tr2bl w:val="nil"/>
            </w:tcBorders>
            <w:vAlign w:val="center"/>
          </w:tcPr>
          <w:p w14:paraId="21EF8E7C">
            <w:pPr>
              <w:widowControl/>
              <w:jc w:val="center"/>
              <w:rPr>
                <w:rFonts w:eastAsia="仿宋_GB2312"/>
                <w:color w:val="auto"/>
                <w:kern w:val="0"/>
                <w:szCs w:val="21"/>
              </w:rPr>
            </w:pPr>
            <w:r>
              <w:rPr>
                <w:rFonts w:eastAsia="仿宋_GB2312"/>
                <w:color w:val="auto"/>
                <w:kern w:val="0"/>
                <w:szCs w:val="21"/>
              </w:rPr>
              <w:t>吨桶/200L桶/25L桶/20L桶</w:t>
            </w:r>
          </w:p>
        </w:tc>
        <w:tc>
          <w:tcPr>
            <w:tcW w:w="695" w:type="pct"/>
            <w:tcBorders>
              <w:tl2br w:val="nil"/>
              <w:tr2bl w:val="nil"/>
            </w:tcBorders>
            <w:vAlign w:val="center"/>
          </w:tcPr>
          <w:p w14:paraId="7E39F9B8">
            <w:pPr>
              <w:widowControl/>
              <w:jc w:val="center"/>
              <w:rPr>
                <w:rFonts w:eastAsia="仿宋_GB2312"/>
                <w:color w:val="auto"/>
                <w:kern w:val="0"/>
                <w:szCs w:val="21"/>
              </w:rPr>
            </w:pPr>
            <w:r>
              <w:rPr>
                <w:rFonts w:hint="eastAsia" w:eastAsia="仿宋_GB2312"/>
                <w:color w:val="auto"/>
                <w:kern w:val="0"/>
                <w:szCs w:val="21"/>
              </w:rPr>
              <w:t>外购、汽运</w:t>
            </w:r>
          </w:p>
        </w:tc>
      </w:tr>
      <w:tr w14:paraId="1E2233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0" w:type="pct"/>
            <w:vMerge w:val="continue"/>
            <w:tcBorders>
              <w:tl2br w:val="nil"/>
              <w:tr2bl w:val="nil"/>
            </w:tcBorders>
            <w:vAlign w:val="center"/>
          </w:tcPr>
          <w:p w14:paraId="2C5F5879">
            <w:pPr>
              <w:widowControl/>
              <w:jc w:val="center"/>
              <w:rPr>
                <w:rFonts w:eastAsia="仿宋_GB2312"/>
                <w:bCs/>
                <w:color w:val="auto"/>
                <w:kern w:val="0"/>
                <w:szCs w:val="21"/>
              </w:rPr>
            </w:pPr>
          </w:p>
        </w:tc>
        <w:tc>
          <w:tcPr>
            <w:tcW w:w="435" w:type="pct"/>
            <w:tcBorders>
              <w:tl2br w:val="nil"/>
              <w:tr2bl w:val="nil"/>
            </w:tcBorders>
            <w:vAlign w:val="center"/>
          </w:tcPr>
          <w:p w14:paraId="60D1DDB1">
            <w:pPr>
              <w:widowControl/>
              <w:jc w:val="center"/>
              <w:rPr>
                <w:rFonts w:eastAsia="仿宋_GB2312"/>
                <w:bCs/>
                <w:color w:val="auto"/>
                <w:kern w:val="0"/>
                <w:szCs w:val="21"/>
              </w:rPr>
            </w:pPr>
            <w:r>
              <w:rPr>
                <w:rFonts w:eastAsia="仿宋_GB2312"/>
                <w:bCs/>
                <w:color w:val="auto"/>
                <w:kern w:val="0"/>
                <w:szCs w:val="21"/>
              </w:rPr>
              <w:t>6</w:t>
            </w:r>
          </w:p>
        </w:tc>
        <w:tc>
          <w:tcPr>
            <w:tcW w:w="1202" w:type="pct"/>
            <w:tcBorders>
              <w:tl2br w:val="nil"/>
              <w:tr2bl w:val="nil"/>
            </w:tcBorders>
            <w:shd w:val="clear" w:color="auto" w:fill="auto"/>
            <w:vAlign w:val="center"/>
          </w:tcPr>
          <w:p w14:paraId="6E32B0EE">
            <w:pPr>
              <w:widowControl/>
              <w:jc w:val="center"/>
              <w:rPr>
                <w:rFonts w:ascii="Times New Roman" w:hAnsi="Times New Roman" w:eastAsia="仿宋_GB2312" w:cs="Times New Roman"/>
                <w:color w:val="auto"/>
                <w:kern w:val="0"/>
                <w:sz w:val="21"/>
                <w:szCs w:val="21"/>
                <w:lang w:val="en-US" w:eastAsia="zh-CN" w:bidi="ar-SA"/>
              </w:rPr>
            </w:pPr>
            <w:r>
              <w:rPr>
                <w:rFonts w:eastAsia="仿宋_GB2312"/>
                <w:color w:val="auto"/>
                <w:kern w:val="0"/>
                <w:szCs w:val="21"/>
              </w:rPr>
              <w:t>二甲苯废液</w:t>
            </w:r>
          </w:p>
        </w:tc>
        <w:tc>
          <w:tcPr>
            <w:tcW w:w="583" w:type="pct"/>
            <w:tcBorders>
              <w:tl2br w:val="nil"/>
              <w:tr2bl w:val="nil"/>
            </w:tcBorders>
            <w:shd w:val="clear" w:color="auto" w:fill="auto"/>
            <w:vAlign w:val="center"/>
          </w:tcPr>
          <w:p w14:paraId="29BA8E4D">
            <w:pPr>
              <w:widowControl/>
              <w:jc w:val="center"/>
              <w:rPr>
                <w:rFonts w:ascii="Times New Roman" w:hAnsi="Times New Roman" w:eastAsia="仿宋_GB2312" w:cs="Times New Roman"/>
                <w:color w:val="auto"/>
                <w:kern w:val="0"/>
                <w:sz w:val="21"/>
                <w:szCs w:val="21"/>
                <w:lang w:val="en-US" w:eastAsia="zh-CN" w:bidi="ar-SA"/>
              </w:rPr>
            </w:pPr>
            <w:r>
              <w:rPr>
                <w:rFonts w:hint="eastAsia" w:eastAsia="仿宋_GB2312"/>
                <w:color w:val="auto"/>
                <w:kern w:val="0"/>
                <w:szCs w:val="21"/>
                <w:lang w:val="en-US" w:eastAsia="zh-CN"/>
              </w:rPr>
              <w:t>8</w:t>
            </w:r>
            <w:r>
              <w:rPr>
                <w:rFonts w:eastAsia="仿宋_GB2312"/>
                <w:color w:val="auto"/>
                <w:kern w:val="0"/>
                <w:szCs w:val="21"/>
              </w:rPr>
              <w:t>765</w:t>
            </w:r>
          </w:p>
        </w:tc>
        <w:tc>
          <w:tcPr>
            <w:tcW w:w="1663" w:type="pct"/>
            <w:tcBorders>
              <w:tl2br w:val="nil"/>
              <w:tr2bl w:val="nil"/>
            </w:tcBorders>
            <w:vAlign w:val="center"/>
          </w:tcPr>
          <w:p w14:paraId="74F1F2EA">
            <w:pPr>
              <w:widowControl/>
              <w:jc w:val="center"/>
              <w:rPr>
                <w:rFonts w:eastAsia="仿宋_GB2312"/>
                <w:color w:val="auto"/>
                <w:kern w:val="0"/>
                <w:szCs w:val="21"/>
              </w:rPr>
            </w:pPr>
            <w:r>
              <w:rPr>
                <w:rFonts w:eastAsia="仿宋_GB2312"/>
                <w:color w:val="auto"/>
                <w:kern w:val="0"/>
                <w:szCs w:val="21"/>
              </w:rPr>
              <w:t>吨桶/200L桶/25L桶/20L桶</w:t>
            </w:r>
          </w:p>
        </w:tc>
        <w:tc>
          <w:tcPr>
            <w:tcW w:w="695" w:type="pct"/>
            <w:tcBorders>
              <w:tl2br w:val="nil"/>
              <w:tr2bl w:val="nil"/>
            </w:tcBorders>
            <w:vAlign w:val="center"/>
          </w:tcPr>
          <w:p w14:paraId="0100FE23">
            <w:pPr>
              <w:widowControl/>
              <w:jc w:val="center"/>
              <w:rPr>
                <w:rFonts w:eastAsia="仿宋_GB2312"/>
                <w:color w:val="auto"/>
                <w:kern w:val="0"/>
                <w:szCs w:val="21"/>
              </w:rPr>
            </w:pPr>
            <w:r>
              <w:rPr>
                <w:rFonts w:hint="eastAsia" w:eastAsia="仿宋_GB2312"/>
                <w:color w:val="auto"/>
                <w:kern w:val="0"/>
                <w:szCs w:val="21"/>
              </w:rPr>
              <w:t>外购、汽运</w:t>
            </w:r>
          </w:p>
        </w:tc>
      </w:tr>
      <w:tr w14:paraId="1E656A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0" w:type="pct"/>
            <w:vMerge w:val="continue"/>
            <w:tcBorders>
              <w:tl2br w:val="nil"/>
              <w:tr2bl w:val="nil"/>
            </w:tcBorders>
            <w:vAlign w:val="center"/>
          </w:tcPr>
          <w:p w14:paraId="211A89C1">
            <w:pPr>
              <w:widowControl/>
              <w:jc w:val="center"/>
              <w:rPr>
                <w:rFonts w:eastAsia="仿宋_GB2312"/>
                <w:bCs/>
                <w:color w:val="auto"/>
                <w:kern w:val="0"/>
                <w:szCs w:val="21"/>
              </w:rPr>
            </w:pPr>
          </w:p>
        </w:tc>
        <w:tc>
          <w:tcPr>
            <w:tcW w:w="435" w:type="pct"/>
            <w:tcBorders>
              <w:tl2br w:val="nil"/>
              <w:tr2bl w:val="nil"/>
            </w:tcBorders>
            <w:vAlign w:val="center"/>
          </w:tcPr>
          <w:p w14:paraId="12236AD9">
            <w:pPr>
              <w:widowControl/>
              <w:jc w:val="center"/>
              <w:rPr>
                <w:rFonts w:eastAsia="仿宋_GB2312"/>
                <w:bCs/>
                <w:color w:val="auto"/>
                <w:kern w:val="0"/>
                <w:szCs w:val="21"/>
              </w:rPr>
            </w:pPr>
            <w:r>
              <w:rPr>
                <w:rFonts w:eastAsia="仿宋_GB2312"/>
                <w:bCs/>
                <w:color w:val="auto"/>
                <w:kern w:val="0"/>
                <w:szCs w:val="21"/>
              </w:rPr>
              <w:t>7</w:t>
            </w:r>
          </w:p>
        </w:tc>
        <w:tc>
          <w:tcPr>
            <w:tcW w:w="1202" w:type="pct"/>
            <w:tcBorders>
              <w:tl2br w:val="nil"/>
              <w:tr2bl w:val="nil"/>
            </w:tcBorders>
            <w:shd w:val="clear" w:color="auto" w:fill="auto"/>
            <w:vAlign w:val="center"/>
          </w:tcPr>
          <w:p w14:paraId="73C6CBBA">
            <w:pPr>
              <w:widowControl/>
              <w:jc w:val="center"/>
              <w:rPr>
                <w:rFonts w:ascii="Times New Roman" w:hAnsi="Times New Roman" w:eastAsia="仿宋_GB2312" w:cs="Times New Roman"/>
                <w:color w:val="auto"/>
                <w:kern w:val="0"/>
                <w:sz w:val="21"/>
                <w:szCs w:val="21"/>
                <w:lang w:val="en-US" w:eastAsia="zh-CN" w:bidi="ar-SA"/>
              </w:rPr>
            </w:pPr>
            <w:r>
              <w:rPr>
                <w:rFonts w:eastAsia="仿宋_GB2312"/>
                <w:color w:val="auto"/>
                <w:kern w:val="0"/>
                <w:szCs w:val="21"/>
              </w:rPr>
              <w:t>乙酸乙酯废液</w:t>
            </w:r>
          </w:p>
        </w:tc>
        <w:tc>
          <w:tcPr>
            <w:tcW w:w="583" w:type="pct"/>
            <w:tcBorders>
              <w:tl2br w:val="nil"/>
              <w:tr2bl w:val="nil"/>
            </w:tcBorders>
            <w:shd w:val="clear" w:color="auto" w:fill="auto"/>
            <w:vAlign w:val="center"/>
          </w:tcPr>
          <w:p w14:paraId="2C828C4E">
            <w:pPr>
              <w:widowControl/>
              <w:jc w:val="center"/>
              <w:rPr>
                <w:rFonts w:ascii="Times New Roman" w:hAnsi="Times New Roman" w:eastAsia="仿宋_GB2312" w:cs="Times New Roman"/>
                <w:color w:val="auto"/>
                <w:kern w:val="0"/>
                <w:sz w:val="21"/>
                <w:szCs w:val="21"/>
                <w:lang w:val="en-US" w:eastAsia="zh-CN" w:bidi="ar-SA"/>
              </w:rPr>
            </w:pPr>
            <w:r>
              <w:rPr>
                <w:rFonts w:eastAsia="仿宋_GB2312"/>
                <w:color w:val="auto"/>
                <w:kern w:val="0"/>
                <w:szCs w:val="21"/>
              </w:rPr>
              <w:t>5650</w:t>
            </w:r>
          </w:p>
        </w:tc>
        <w:tc>
          <w:tcPr>
            <w:tcW w:w="1663" w:type="pct"/>
            <w:tcBorders>
              <w:tl2br w:val="nil"/>
              <w:tr2bl w:val="nil"/>
            </w:tcBorders>
            <w:vAlign w:val="center"/>
          </w:tcPr>
          <w:p w14:paraId="274D5398">
            <w:pPr>
              <w:widowControl/>
              <w:jc w:val="center"/>
              <w:rPr>
                <w:rFonts w:eastAsia="仿宋_GB2312"/>
                <w:b/>
                <w:color w:val="auto"/>
                <w:kern w:val="0"/>
                <w:szCs w:val="21"/>
              </w:rPr>
            </w:pPr>
            <w:r>
              <w:rPr>
                <w:rFonts w:eastAsia="仿宋_GB2312"/>
                <w:color w:val="auto"/>
                <w:kern w:val="0"/>
                <w:szCs w:val="21"/>
              </w:rPr>
              <w:t>吨桶/200L桶/25L桶/20L桶</w:t>
            </w:r>
          </w:p>
        </w:tc>
        <w:tc>
          <w:tcPr>
            <w:tcW w:w="695" w:type="pct"/>
            <w:tcBorders>
              <w:tl2br w:val="nil"/>
              <w:tr2bl w:val="nil"/>
            </w:tcBorders>
            <w:vAlign w:val="center"/>
          </w:tcPr>
          <w:p w14:paraId="5C8CBE17">
            <w:pPr>
              <w:widowControl/>
              <w:jc w:val="center"/>
              <w:rPr>
                <w:rFonts w:eastAsia="仿宋_GB2312"/>
                <w:color w:val="auto"/>
                <w:kern w:val="0"/>
                <w:szCs w:val="21"/>
              </w:rPr>
            </w:pPr>
            <w:r>
              <w:rPr>
                <w:rFonts w:hint="eastAsia" w:eastAsia="仿宋_GB2312"/>
                <w:color w:val="auto"/>
                <w:kern w:val="0"/>
                <w:szCs w:val="21"/>
              </w:rPr>
              <w:t>外购、汽运</w:t>
            </w:r>
          </w:p>
        </w:tc>
      </w:tr>
      <w:tr w14:paraId="5FC5D7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0" w:type="pct"/>
            <w:vMerge w:val="continue"/>
            <w:tcBorders>
              <w:tl2br w:val="nil"/>
              <w:tr2bl w:val="nil"/>
            </w:tcBorders>
            <w:vAlign w:val="center"/>
          </w:tcPr>
          <w:p w14:paraId="33ACB032">
            <w:pPr>
              <w:widowControl/>
              <w:jc w:val="center"/>
              <w:rPr>
                <w:rFonts w:eastAsia="仿宋_GB2312"/>
                <w:bCs/>
                <w:color w:val="auto"/>
                <w:kern w:val="0"/>
                <w:szCs w:val="21"/>
              </w:rPr>
            </w:pPr>
          </w:p>
        </w:tc>
        <w:tc>
          <w:tcPr>
            <w:tcW w:w="435" w:type="pct"/>
            <w:tcBorders>
              <w:tl2br w:val="nil"/>
              <w:tr2bl w:val="nil"/>
            </w:tcBorders>
            <w:vAlign w:val="center"/>
          </w:tcPr>
          <w:p w14:paraId="02F030EE">
            <w:pPr>
              <w:widowControl/>
              <w:jc w:val="center"/>
              <w:rPr>
                <w:rFonts w:eastAsia="仿宋_GB2312"/>
                <w:bCs/>
                <w:color w:val="auto"/>
                <w:kern w:val="0"/>
                <w:szCs w:val="21"/>
              </w:rPr>
            </w:pPr>
            <w:r>
              <w:rPr>
                <w:rFonts w:eastAsia="仿宋_GB2312"/>
                <w:bCs/>
                <w:color w:val="auto"/>
                <w:kern w:val="0"/>
                <w:szCs w:val="21"/>
              </w:rPr>
              <w:t>8</w:t>
            </w:r>
          </w:p>
        </w:tc>
        <w:tc>
          <w:tcPr>
            <w:tcW w:w="1202" w:type="pct"/>
            <w:tcBorders>
              <w:tl2br w:val="nil"/>
              <w:tr2bl w:val="nil"/>
            </w:tcBorders>
            <w:shd w:val="clear" w:color="auto" w:fill="auto"/>
            <w:vAlign w:val="center"/>
          </w:tcPr>
          <w:p w14:paraId="5391C7DE">
            <w:pPr>
              <w:widowControl/>
              <w:jc w:val="center"/>
              <w:rPr>
                <w:rFonts w:ascii="Times New Roman" w:hAnsi="Times New Roman" w:eastAsia="仿宋_GB2312" w:cs="Times New Roman"/>
                <w:color w:val="auto"/>
                <w:kern w:val="0"/>
                <w:sz w:val="21"/>
                <w:szCs w:val="21"/>
                <w:lang w:val="en-US" w:eastAsia="zh-CN" w:bidi="ar-SA"/>
              </w:rPr>
            </w:pPr>
            <w:r>
              <w:rPr>
                <w:rFonts w:eastAsia="仿宋_GB2312"/>
                <w:color w:val="auto"/>
                <w:kern w:val="0"/>
                <w:szCs w:val="21"/>
              </w:rPr>
              <w:t>乙酸丁酯废液</w:t>
            </w:r>
          </w:p>
        </w:tc>
        <w:tc>
          <w:tcPr>
            <w:tcW w:w="583" w:type="pct"/>
            <w:tcBorders>
              <w:tl2br w:val="nil"/>
              <w:tr2bl w:val="nil"/>
            </w:tcBorders>
            <w:shd w:val="clear" w:color="auto" w:fill="auto"/>
            <w:vAlign w:val="center"/>
          </w:tcPr>
          <w:p w14:paraId="1AAD6C57">
            <w:pPr>
              <w:widowControl/>
              <w:jc w:val="center"/>
              <w:rPr>
                <w:rFonts w:ascii="Times New Roman" w:hAnsi="Times New Roman" w:eastAsia="仿宋_GB2312" w:cs="Times New Roman"/>
                <w:color w:val="auto"/>
                <w:kern w:val="0"/>
                <w:sz w:val="21"/>
                <w:szCs w:val="21"/>
                <w:lang w:val="en-US" w:eastAsia="zh-CN" w:bidi="ar-SA"/>
              </w:rPr>
            </w:pPr>
            <w:r>
              <w:rPr>
                <w:rFonts w:hint="eastAsia" w:eastAsia="仿宋_GB2312"/>
                <w:color w:val="auto"/>
                <w:kern w:val="0"/>
                <w:szCs w:val="21"/>
                <w:lang w:val="en-US" w:eastAsia="zh-CN"/>
              </w:rPr>
              <w:t>8</w:t>
            </w:r>
            <w:r>
              <w:rPr>
                <w:rFonts w:eastAsia="仿宋_GB2312"/>
                <w:color w:val="auto"/>
                <w:kern w:val="0"/>
                <w:szCs w:val="21"/>
              </w:rPr>
              <w:t>000</w:t>
            </w:r>
          </w:p>
        </w:tc>
        <w:tc>
          <w:tcPr>
            <w:tcW w:w="1663" w:type="pct"/>
            <w:tcBorders>
              <w:tl2br w:val="nil"/>
              <w:tr2bl w:val="nil"/>
            </w:tcBorders>
            <w:vAlign w:val="center"/>
          </w:tcPr>
          <w:p w14:paraId="0A22042D">
            <w:pPr>
              <w:widowControl/>
              <w:jc w:val="center"/>
              <w:rPr>
                <w:rFonts w:eastAsia="仿宋_GB2312"/>
                <w:b/>
                <w:color w:val="auto"/>
                <w:kern w:val="0"/>
                <w:szCs w:val="21"/>
              </w:rPr>
            </w:pPr>
            <w:r>
              <w:rPr>
                <w:rFonts w:eastAsia="仿宋_GB2312"/>
                <w:color w:val="auto"/>
                <w:kern w:val="0"/>
                <w:szCs w:val="21"/>
              </w:rPr>
              <w:t>吨桶/200L桶/25L桶/20L桶</w:t>
            </w:r>
          </w:p>
        </w:tc>
        <w:tc>
          <w:tcPr>
            <w:tcW w:w="695" w:type="pct"/>
            <w:tcBorders>
              <w:tl2br w:val="nil"/>
              <w:tr2bl w:val="nil"/>
            </w:tcBorders>
            <w:vAlign w:val="center"/>
          </w:tcPr>
          <w:p w14:paraId="5606D929">
            <w:pPr>
              <w:widowControl/>
              <w:jc w:val="center"/>
              <w:rPr>
                <w:rFonts w:eastAsia="仿宋_GB2312"/>
                <w:color w:val="auto"/>
                <w:kern w:val="0"/>
                <w:szCs w:val="21"/>
              </w:rPr>
            </w:pPr>
            <w:r>
              <w:rPr>
                <w:rFonts w:hint="eastAsia" w:eastAsia="仿宋_GB2312"/>
                <w:color w:val="auto"/>
                <w:kern w:val="0"/>
                <w:szCs w:val="21"/>
              </w:rPr>
              <w:t>外购、汽运</w:t>
            </w:r>
          </w:p>
        </w:tc>
      </w:tr>
      <w:tr w14:paraId="3852A25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0" w:type="pct"/>
            <w:vMerge w:val="continue"/>
            <w:tcBorders>
              <w:tl2br w:val="nil"/>
              <w:tr2bl w:val="nil"/>
            </w:tcBorders>
            <w:vAlign w:val="center"/>
          </w:tcPr>
          <w:p w14:paraId="43DCDF05">
            <w:pPr>
              <w:widowControl/>
              <w:jc w:val="center"/>
              <w:rPr>
                <w:rFonts w:eastAsia="仿宋_GB2312"/>
                <w:bCs/>
                <w:color w:val="auto"/>
                <w:kern w:val="0"/>
                <w:szCs w:val="21"/>
              </w:rPr>
            </w:pPr>
          </w:p>
        </w:tc>
        <w:tc>
          <w:tcPr>
            <w:tcW w:w="435" w:type="pct"/>
            <w:tcBorders>
              <w:tl2br w:val="nil"/>
              <w:tr2bl w:val="nil"/>
            </w:tcBorders>
            <w:vAlign w:val="center"/>
          </w:tcPr>
          <w:p w14:paraId="0B649E75">
            <w:pPr>
              <w:widowControl/>
              <w:jc w:val="center"/>
              <w:rPr>
                <w:rFonts w:eastAsia="仿宋_GB2312"/>
                <w:bCs/>
                <w:color w:val="auto"/>
                <w:kern w:val="0"/>
                <w:szCs w:val="21"/>
              </w:rPr>
            </w:pPr>
            <w:r>
              <w:rPr>
                <w:rFonts w:eastAsia="仿宋_GB2312"/>
                <w:bCs/>
                <w:color w:val="auto"/>
                <w:kern w:val="0"/>
                <w:szCs w:val="21"/>
              </w:rPr>
              <w:t>9</w:t>
            </w:r>
          </w:p>
        </w:tc>
        <w:tc>
          <w:tcPr>
            <w:tcW w:w="1202" w:type="pct"/>
            <w:tcBorders>
              <w:tl2br w:val="nil"/>
              <w:tr2bl w:val="nil"/>
            </w:tcBorders>
            <w:shd w:val="clear" w:color="auto" w:fill="auto"/>
            <w:vAlign w:val="center"/>
          </w:tcPr>
          <w:p w14:paraId="2E1FA79A">
            <w:pPr>
              <w:widowControl/>
              <w:jc w:val="center"/>
              <w:rPr>
                <w:rFonts w:ascii="Times New Roman" w:hAnsi="Times New Roman" w:eastAsia="仿宋_GB2312" w:cs="Times New Roman"/>
                <w:color w:val="auto"/>
                <w:kern w:val="0"/>
                <w:sz w:val="21"/>
                <w:szCs w:val="21"/>
                <w:lang w:val="en-US" w:eastAsia="zh-CN" w:bidi="ar-SA"/>
              </w:rPr>
            </w:pPr>
            <w:r>
              <w:rPr>
                <w:rFonts w:eastAsia="仿宋_GB2312"/>
                <w:color w:val="auto"/>
                <w:kern w:val="0"/>
                <w:szCs w:val="21"/>
              </w:rPr>
              <w:t>乙醇废液</w:t>
            </w:r>
          </w:p>
        </w:tc>
        <w:tc>
          <w:tcPr>
            <w:tcW w:w="583" w:type="pct"/>
            <w:tcBorders>
              <w:tl2br w:val="nil"/>
              <w:tr2bl w:val="nil"/>
            </w:tcBorders>
            <w:shd w:val="clear" w:color="auto" w:fill="auto"/>
            <w:vAlign w:val="center"/>
          </w:tcPr>
          <w:p w14:paraId="0F6D8229">
            <w:pPr>
              <w:widowControl/>
              <w:jc w:val="center"/>
              <w:rPr>
                <w:rFonts w:ascii="Times New Roman" w:hAnsi="Times New Roman" w:eastAsia="仿宋_GB2312" w:cs="Times New Roman"/>
                <w:color w:val="auto"/>
                <w:kern w:val="0"/>
                <w:sz w:val="21"/>
                <w:szCs w:val="21"/>
                <w:lang w:val="en-US" w:eastAsia="zh-CN" w:bidi="ar-SA"/>
              </w:rPr>
            </w:pPr>
            <w:r>
              <w:rPr>
                <w:rFonts w:hint="eastAsia" w:eastAsia="仿宋_GB2312"/>
                <w:color w:val="auto"/>
                <w:kern w:val="0"/>
                <w:szCs w:val="21"/>
                <w:lang w:val="en-US" w:eastAsia="zh-CN"/>
              </w:rPr>
              <w:t>3</w:t>
            </w:r>
            <w:r>
              <w:rPr>
                <w:rFonts w:eastAsia="仿宋_GB2312"/>
                <w:color w:val="auto"/>
                <w:kern w:val="0"/>
                <w:szCs w:val="21"/>
              </w:rPr>
              <w:t>6</w:t>
            </w:r>
            <w:r>
              <w:rPr>
                <w:rFonts w:hint="eastAsia" w:eastAsia="仿宋_GB2312"/>
                <w:color w:val="auto"/>
                <w:kern w:val="0"/>
                <w:szCs w:val="21"/>
                <w:lang w:val="en-US" w:eastAsia="zh-CN"/>
              </w:rPr>
              <w:t>3</w:t>
            </w:r>
            <w:r>
              <w:rPr>
                <w:rFonts w:eastAsia="仿宋_GB2312"/>
                <w:color w:val="auto"/>
                <w:kern w:val="0"/>
                <w:szCs w:val="21"/>
              </w:rPr>
              <w:t>10</w:t>
            </w:r>
          </w:p>
        </w:tc>
        <w:tc>
          <w:tcPr>
            <w:tcW w:w="1663" w:type="pct"/>
            <w:tcBorders>
              <w:tl2br w:val="nil"/>
              <w:tr2bl w:val="nil"/>
            </w:tcBorders>
            <w:vAlign w:val="center"/>
          </w:tcPr>
          <w:p w14:paraId="77270FBF">
            <w:pPr>
              <w:widowControl/>
              <w:jc w:val="center"/>
              <w:rPr>
                <w:rFonts w:eastAsia="仿宋_GB2312"/>
                <w:color w:val="auto"/>
                <w:kern w:val="0"/>
                <w:szCs w:val="21"/>
              </w:rPr>
            </w:pPr>
            <w:r>
              <w:rPr>
                <w:rFonts w:eastAsia="仿宋_GB2312"/>
                <w:color w:val="auto"/>
                <w:kern w:val="0"/>
                <w:szCs w:val="21"/>
              </w:rPr>
              <w:t>吨桶/200L桶/25L桶/20L桶</w:t>
            </w:r>
          </w:p>
        </w:tc>
        <w:tc>
          <w:tcPr>
            <w:tcW w:w="695" w:type="pct"/>
            <w:tcBorders>
              <w:tl2br w:val="nil"/>
              <w:tr2bl w:val="nil"/>
            </w:tcBorders>
            <w:vAlign w:val="center"/>
          </w:tcPr>
          <w:p w14:paraId="3093FCB6">
            <w:pPr>
              <w:widowControl/>
              <w:jc w:val="center"/>
              <w:rPr>
                <w:rFonts w:eastAsia="仿宋_GB2312"/>
                <w:color w:val="auto"/>
                <w:kern w:val="0"/>
                <w:szCs w:val="21"/>
              </w:rPr>
            </w:pPr>
            <w:r>
              <w:rPr>
                <w:rFonts w:hint="eastAsia" w:eastAsia="仿宋_GB2312"/>
                <w:color w:val="auto"/>
                <w:kern w:val="0"/>
                <w:szCs w:val="21"/>
              </w:rPr>
              <w:t>外购、汽运</w:t>
            </w:r>
          </w:p>
        </w:tc>
      </w:tr>
      <w:tr w14:paraId="2B782D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0" w:type="pct"/>
            <w:vMerge w:val="continue"/>
            <w:tcBorders>
              <w:tl2br w:val="nil"/>
              <w:tr2bl w:val="nil"/>
            </w:tcBorders>
            <w:vAlign w:val="center"/>
          </w:tcPr>
          <w:p w14:paraId="552BB83A">
            <w:pPr>
              <w:widowControl/>
              <w:jc w:val="center"/>
              <w:rPr>
                <w:rFonts w:eastAsia="仿宋_GB2312"/>
                <w:bCs/>
                <w:color w:val="auto"/>
                <w:kern w:val="0"/>
                <w:szCs w:val="21"/>
              </w:rPr>
            </w:pPr>
          </w:p>
        </w:tc>
        <w:tc>
          <w:tcPr>
            <w:tcW w:w="435" w:type="pct"/>
            <w:tcBorders>
              <w:tl2br w:val="nil"/>
              <w:tr2bl w:val="nil"/>
            </w:tcBorders>
            <w:vAlign w:val="center"/>
          </w:tcPr>
          <w:p w14:paraId="09477F3C">
            <w:pPr>
              <w:widowControl/>
              <w:jc w:val="center"/>
              <w:rPr>
                <w:rFonts w:eastAsia="仿宋_GB2312"/>
                <w:bCs/>
                <w:color w:val="auto"/>
                <w:kern w:val="0"/>
                <w:szCs w:val="21"/>
              </w:rPr>
            </w:pPr>
            <w:r>
              <w:rPr>
                <w:rFonts w:eastAsia="仿宋_GB2312"/>
                <w:bCs/>
                <w:color w:val="auto"/>
                <w:kern w:val="0"/>
                <w:szCs w:val="21"/>
              </w:rPr>
              <w:t>10</w:t>
            </w:r>
          </w:p>
        </w:tc>
        <w:tc>
          <w:tcPr>
            <w:tcW w:w="1202" w:type="pct"/>
            <w:tcBorders>
              <w:tl2br w:val="nil"/>
              <w:tr2bl w:val="nil"/>
            </w:tcBorders>
            <w:shd w:val="clear" w:color="auto" w:fill="auto"/>
            <w:vAlign w:val="center"/>
          </w:tcPr>
          <w:p w14:paraId="16E8E56F">
            <w:pPr>
              <w:widowControl/>
              <w:jc w:val="center"/>
              <w:rPr>
                <w:rFonts w:ascii="Times New Roman" w:hAnsi="Times New Roman" w:eastAsia="仿宋_GB2312" w:cs="Times New Roman"/>
                <w:color w:val="auto"/>
                <w:kern w:val="0"/>
                <w:sz w:val="21"/>
                <w:szCs w:val="21"/>
                <w:lang w:val="en-US" w:eastAsia="zh-CN" w:bidi="ar-SA"/>
              </w:rPr>
            </w:pPr>
            <w:r>
              <w:rPr>
                <w:rFonts w:eastAsia="仿宋_GB2312"/>
                <w:color w:val="auto"/>
                <w:kern w:val="0"/>
                <w:szCs w:val="21"/>
              </w:rPr>
              <w:t>丙二醇单甲醚废液</w:t>
            </w:r>
          </w:p>
        </w:tc>
        <w:tc>
          <w:tcPr>
            <w:tcW w:w="583" w:type="pct"/>
            <w:tcBorders>
              <w:tl2br w:val="nil"/>
              <w:tr2bl w:val="nil"/>
            </w:tcBorders>
            <w:shd w:val="clear" w:color="auto" w:fill="auto"/>
            <w:vAlign w:val="center"/>
          </w:tcPr>
          <w:p w14:paraId="7FB6957B">
            <w:pPr>
              <w:widowControl/>
              <w:jc w:val="center"/>
              <w:rPr>
                <w:rFonts w:ascii="Times New Roman" w:hAnsi="Times New Roman" w:eastAsia="仿宋_GB2312" w:cs="Times New Roman"/>
                <w:color w:val="auto"/>
                <w:kern w:val="0"/>
                <w:sz w:val="21"/>
                <w:szCs w:val="21"/>
                <w:lang w:val="en-US" w:eastAsia="zh-CN" w:bidi="ar-SA"/>
              </w:rPr>
            </w:pPr>
            <w:r>
              <w:rPr>
                <w:rFonts w:eastAsia="仿宋_GB2312"/>
                <w:color w:val="auto"/>
                <w:kern w:val="0"/>
                <w:szCs w:val="21"/>
              </w:rPr>
              <w:t>2650</w:t>
            </w:r>
          </w:p>
        </w:tc>
        <w:tc>
          <w:tcPr>
            <w:tcW w:w="1663" w:type="pct"/>
            <w:tcBorders>
              <w:tl2br w:val="nil"/>
              <w:tr2bl w:val="nil"/>
            </w:tcBorders>
            <w:vAlign w:val="center"/>
          </w:tcPr>
          <w:p w14:paraId="1A919ECD">
            <w:pPr>
              <w:widowControl/>
              <w:jc w:val="center"/>
              <w:rPr>
                <w:rFonts w:eastAsia="仿宋_GB2312"/>
                <w:color w:val="auto"/>
                <w:kern w:val="0"/>
                <w:szCs w:val="21"/>
              </w:rPr>
            </w:pPr>
            <w:r>
              <w:rPr>
                <w:rFonts w:eastAsia="仿宋_GB2312"/>
                <w:color w:val="auto"/>
                <w:kern w:val="0"/>
                <w:szCs w:val="21"/>
              </w:rPr>
              <w:t>吨桶/200L桶/25L桶/20L桶</w:t>
            </w:r>
          </w:p>
        </w:tc>
        <w:tc>
          <w:tcPr>
            <w:tcW w:w="695" w:type="pct"/>
            <w:tcBorders>
              <w:tl2br w:val="nil"/>
              <w:tr2bl w:val="nil"/>
            </w:tcBorders>
            <w:vAlign w:val="center"/>
          </w:tcPr>
          <w:p w14:paraId="5F85CF8D">
            <w:pPr>
              <w:widowControl/>
              <w:jc w:val="center"/>
              <w:rPr>
                <w:rFonts w:eastAsia="仿宋_GB2312"/>
                <w:color w:val="auto"/>
                <w:kern w:val="0"/>
                <w:szCs w:val="21"/>
              </w:rPr>
            </w:pPr>
            <w:r>
              <w:rPr>
                <w:rFonts w:hint="eastAsia" w:eastAsia="仿宋_GB2312"/>
                <w:color w:val="auto"/>
                <w:kern w:val="0"/>
                <w:szCs w:val="21"/>
              </w:rPr>
              <w:t>外购、汽运</w:t>
            </w:r>
          </w:p>
        </w:tc>
      </w:tr>
      <w:tr w14:paraId="4939FC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0" w:type="pct"/>
            <w:vMerge w:val="continue"/>
            <w:tcBorders>
              <w:tl2br w:val="nil"/>
              <w:tr2bl w:val="nil"/>
            </w:tcBorders>
            <w:vAlign w:val="center"/>
          </w:tcPr>
          <w:p w14:paraId="3C668F2B">
            <w:pPr>
              <w:widowControl/>
              <w:jc w:val="center"/>
              <w:rPr>
                <w:rFonts w:eastAsia="仿宋_GB2312"/>
                <w:bCs/>
                <w:color w:val="auto"/>
                <w:kern w:val="0"/>
                <w:szCs w:val="21"/>
              </w:rPr>
            </w:pPr>
          </w:p>
        </w:tc>
        <w:tc>
          <w:tcPr>
            <w:tcW w:w="435" w:type="pct"/>
            <w:tcBorders>
              <w:tl2br w:val="nil"/>
              <w:tr2bl w:val="nil"/>
            </w:tcBorders>
            <w:vAlign w:val="center"/>
          </w:tcPr>
          <w:p w14:paraId="458F26DC">
            <w:pPr>
              <w:widowControl/>
              <w:jc w:val="center"/>
              <w:rPr>
                <w:rFonts w:eastAsia="仿宋_GB2312"/>
                <w:bCs/>
                <w:color w:val="auto"/>
                <w:kern w:val="0"/>
                <w:szCs w:val="21"/>
              </w:rPr>
            </w:pPr>
            <w:r>
              <w:rPr>
                <w:rFonts w:eastAsia="仿宋_GB2312"/>
                <w:bCs/>
                <w:color w:val="auto"/>
                <w:kern w:val="0"/>
                <w:szCs w:val="21"/>
              </w:rPr>
              <w:t>11</w:t>
            </w:r>
          </w:p>
        </w:tc>
        <w:tc>
          <w:tcPr>
            <w:tcW w:w="1202" w:type="pct"/>
            <w:tcBorders>
              <w:tl2br w:val="nil"/>
              <w:tr2bl w:val="nil"/>
            </w:tcBorders>
            <w:shd w:val="clear" w:color="auto" w:fill="auto"/>
            <w:vAlign w:val="center"/>
          </w:tcPr>
          <w:p w14:paraId="1FD28F47">
            <w:pPr>
              <w:widowControl/>
              <w:jc w:val="center"/>
              <w:rPr>
                <w:rFonts w:ascii="Times New Roman" w:hAnsi="Times New Roman" w:eastAsia="仿宋_GB2312" w:cs="Times New Roman"/>
                <w:color w:val="auto"/>
                <w:kern w:val="0"/>
                <w:sz w:val="21"/>
                <w:szCs w:val="21"/>
                <w:lang w:val="en-US" w:eastAsia="zh-CN" w:bidi="ar-SA"/>
              </w:rPr>
            </w:pPr>
            <w:r>
              <w:rPr>
                <w:rFonts w:eastAsia="仿宋_GB2312"/>
                <w:color w:val="auto"/>
                <w:kern w:val="0"/>
                <w:szCs w:val="21"/>
              </w:rPr>
              <w:t>甲醇废液</w:t>
            </w:r>
          </w:p>
        </w:tc>
        <w:tc>
          <w:tcPr>
            <w:tcW w:w="583" w:type="pct"/>
            <w:tcBorders>
              <w:tl2br w:val="nil"/>
              <w:tr2bl w:val="nil"/>
            </w:tcBorders>
            <w:shd w:val="clear" w:color="auto" w:fill="auto"/>
            <w:vAlign w:val="center"/>
          </w:tcPr>
          <w:p w14:paraId="6BCF69F6">
            <w:pPr>
              <w:widowControl/>
              <w:jc w:val="center"/>
              <w:rPr>
                <w:rFonts w:ascii="Times New Roman" w:hAnsi="Times New Roman" w:eastAsia="仿宋_GB2312" w:cs="Times New Roman"/>
                <w:color w:val="auto"/>
                <w:kern w:val="0"/>
                <w:sz w:val="21"/>
                <w:szCs w:val="21"/>
                <w:lang w:val="en-US" w:eastAsia="zh-CN" w:bidi="ar-SA"/>
              </w:rPr>
            </w:pPr>
            <w:r>
              <w:rPr>
                <w:rFonts w:hint="eastAsia" w:eastAsia="仿宋_GB2312"/>
                <w:color w:val="auto"/>
                <w:kern w:val="0"/>
                <w:szCs w:val="21"/>
                <w:lang w:val="en-US" w:eastAsia="zh-CN"/>
              </w:rPr>
              <w:t>46</w:t>
            </w:r>
            <w:r>
              <w:rPr>
                <w:rFonts w:eastAsia="仿宋_GB2312"/>
                <w:color w:val="auto"/>
                <w:kern w:val="0"/>
                <w:szCs w:val="21"/>
              </w:rPr>
              <w:t>000</w:t>
            </w:r>
          </w:p>
        </w:tc>
        <w:tc>
          <w:tcPr>
            <w:tcW w:w="1663" w:type="pct"/>
            <w:tcBorders>
              <w:tl2br w:val="nil"/>
              <w:tr2bl w:val="nil"/>
            </w:tcBorders>
            <w:vAlign w:val="center"/>
          </w:tcPr>
          <w:p w14:paraId="0F20F409">
            <w:pPr>
              <w:widowControl/>
              <w:jc w:val="center"/>
              <w:rPr>
                <w:rFonts w:eastAsia="仿宋_GB2312"/>
                <w:color w:val="auto"/>
                <w:kern w:val="0"/>
                <w:szCs w:val="21"/>
              </w:rPr>
            </w:pPr>
            <w:r>
              <w:rPr>
                <w:rFonts w:eastAsia="仿宋_GB2312"/>
                <w:color w:val="auto"/>
                <w:kern w:val="0"/>
                <w:szCs w:val="21"/>
              </w:rPr>
              <w:t>吨桶/200L桶/25L桶/20L桶</w:t>
            </w:r>
          </w:p>
        </w:tc>
        <w:tc>
          <w:tcPr>
            <w:tcW w:w="695" w:type="pct"/>
            <w:tcBorders>
              <w:tl2br w:val="nil"/>
              <w:tr2bl w:val="nil"/>
            </w:tcBorders>
            <w:vAlign w:val="center"/>
          </w:tcPr>
          <w:p w14:paraId="7E3EC5DF">
            <w:pPr>
              <w:widowControl/>
              <w:jc w:val="center"/>
              <w:rPr>
                <w:rFonts w:eastAsia="仿宋_GB2312"/>
                <w:color w:val="auto"/>
                <w:kern w:val="0"/>
                <w:szCs w:val="21"/>
              </w:rPr>
            </w:pPr>
            <w:r>
              <w:rPr>
                <w:rFonts w:hint="eastAsia" w:eastAsia="仿宋_GB2312"/>
                <w:color w:val="auto"/>
                <w:kern w:val="0"/>
                <w:szCs w:val="21"/>
              </w:rPr>
              <w:t>外购、汽运</w:t>
            </w:r>
          </w:p>
        </w:tc>
      </w:tr>
      <w:tr w14:paraId="225537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0" w:type="pct"/>
            <w:vMerge w:val="continue"/>
            <w:tcBorders>
              <w:tl2br w:val="nil"/>
              <w:tr2bl w:val="nil"/>
            </w:tcBorders>
            <w:vAlign w:val="center"/>
          </w:tcPr>
          <w:p w14:paraId="509BFB01">
            <w:pPr>
              <w:widowControl/>
              <w:jc w:val="center"/>
              <w:rPr>
                <w:rFonts w:eastAsia="仿宋_GB2312"/>
                <w:bCs/>
                <w:color w:val="auto"/>
                <w:kern w:val="0"/>
                <w:szCs w:val="21"/>
              </w:rPr>
            </w:pPr>
          </w:p>
        </w:tc>
        <w:tc>
          <w:tcPr>
            <w:tcW w:w="435" w:type="pct"/>
            <w:tcBorders>
              <w:tl2br w:val="nil"/>
              <w:tr2bl w:val="nil"/>
            </w:tcBorders>
            <w:vAlign w:val="center"/>
          </w:tcPr>
          <w:p w14:paraId="0AF94084">
            <w:pPr>
              <w:widowControl/>
              <w:jc w:val="center"/>
              <w:rPr>
                <w:rFonts w:eastAsia="仿宋_GB2312"/>
                <w:bCs/>
                <w:color w:val="auto"/>
                <w:kern w:val="0"/>
                <w:szCs w:val="21"/>
              </w:rPr>
            </w:pPr>
            <w:r>
              <w:rPr>
                <w:rFonts w:eastAsia="仿宋_GB2312"/>
                <w:bCs/>
                <w:color w:val="auto"/>
                <w:kern w:val="0"/>
                <w:szCs w:val="21"/>
              </w:rPr>
              <w:t>12</w:t>
            </w:r>
          </w:p>
        </w:tc>
        <w:tc>
          <w:tcPr>
            <w:tcW w:w="1202" w:type="pct"/>
            <w:tcBorders>
              <w:tl2br w:val="nil"/>
              <w:tr2bl w:val="nil"/>
            </w:tcBorders>
            <w:shd w:val="clear" w:color="auto" w:fill="auto"/>
            <w:vAlign w:val="center"/>
          </w:tcPr>
          <w:p w14:paraId="172CB1B1">
            <w:pPr>
              <w:widowControl/>
              <w:jc w:val="center"/>
              <w:rPr>
                <w:rFonts w:ascii="Times New Roman" w:hAnsi="Times New Roman" w:eastAsia="仿宋_GB2312" w:cs="Times New Roman"/>
                <w:color w:val="auto"/>
                <w:kern w:val="0"/>
                <w:sz w:val="21"/>
                <w:szCs w:val="21"/>
                <w:lang w:val="en-US" w:eastAsia="zh-CN" w:bidi="ar-SA"/>
              </w:rPr>
            </w:pPr>
            <w:r>
              <w:rPr>
                <w:rFonts w:eastAsia="仿宋_GB2312"/>
                <w:color w:val="auto"/>
                <w:kern w:val="0"/>
                <w:szCs w:val="21"/>
              </w:rPr>
              <w:t>乙腈废液</w:t>
            </w:r>
          </w:p>
        </w:tc>
        <w:tc>
          <w:tcPr>
            <w:tcW w:w="583" w:type="pct"/>
            <w:tcBorders>
              <w:tl2br w:val="nil"/>
              <w:tr2bl w:val="nil"/>
            </w:tcBorders>
            <w:shd w:val="clear" w:color="auto" w:fill="auto"/>
            <w:vAlign w:val="center"/>
          </w:tcPr>
          <w:p w14:paraId="28A98D72">
            <w:pPr>
              <w:widowControl/>
              <w:jc w:val="center"/>
              <w:rPr>
                <w:rFonts w:ascii="Times New Roman" w:hAnsi="Times New Roman" w:eastAsia="仿宋_GB2312" w:cs="Times New Roman"/>
                <w:color w:val="auto"/>
                <w:kern w:val="0"/>
                <w:sz w:val="21"/>
                <w:szCs w:val="21"/>
                <w:lang w:val="en-US" w:eastAsia="zh-CN" w:bidi="ar-SA"/>
              </w:rPr>
            </w:pPr>
            <w:r>
              <w:rPr>
                <w:rFonts w:hint="eastAsia" w:eastAsia="仿宋_GB2312"/>
                <w:color w:val="auto"/>
                <w:kern w:val="0"/>
                <w:szCs w:val="21"/>
                <w:lang w:val="en-US" w:eastAsia="zh-CN"/>
              </w:rPr>
              <w:t>43</w:t>
            </w:r>
            <w:r>
              <w:rPr>
                <w:rFonts w:eastAsia="仿宋_GB2312"/>
                <w:color w:val="auto"/>
                <w:kern w:val="0"/>
                <w:szCs w:val="21"/>
              </w:rPr>
              <w:t>650</w:t>
            </w:r>
          </w:p>
        </w:tc>
        <w:tc>
          <w:tcPr>
            <w:tcW w:w="1663" w:type="pct"/>
            <w:tcBorders>
              <w:tl2br w:val="nil"/>
              <w:tr2bl w:val="nil"/>
            </w:tcBorders>
            <w:vAlign w:val="center"/>
          </w:tcPr>
          <w:p w14:paraId="0BA42675">
            <w:pPr>
              <w:widowControl/>
              <w:jc w:val="center"/>
              <w:rPr>
                <w:rFonts w:eastAsia="仿宋_GB2312"/>
                <w:b/>
                <w:color w:val="auto"/>
                <w:kern w:val="0"/>
                <w:szCs w:val="21"/>
              </w:rPr>
            </w:pPr>
            <w:r>
              <w:rPr>
                <w:rFonts w:eastAsia="仿宋_GB2312"/>
                <w:color w:val="auto"/>
                <w:kern w:val="0"/>
                <w:szCs w:val="21"/>
              </w:rPr>
              <w:t>吨桶/200L桶/25L桶/20L桶</w:t>
            </w:r>
          </w:p>
        </w:tc>
        <w:tc>
          <w:tcPr>
            <w:tcW w:w="695" w:type="pct"/>
            <w:tcBorders>
              <w:tl2br w:val="nil"/>
              <w:tr2bl w:val="nil"/>
            </w:tcBorders>
            <w:vAlign w:val="center"/>
          </w:tcPr>
          <w:p w14:paraId="33641A64">
            <w:pPr>
              <w:widowControl/>
              <w:jc w:val="center"/>
              <w:rPr>
                <w:rFonts w:eastAsia="仿宋_GB2312"/>
                <w:color w:val="auto"/>
                <w:kern w:val="0"/>
                <w:szCs w:val="21"/>
              </w:rPr>
            </w:pPr>
            <w:r>
              <w:rPr>
                <w:rFonts w:hint="eastAsia" w:eastAsia="仿宋_GB2312"/>
                <w:color w:val="auto"/>
                <w:kern w:val="0"/>
                <w:szCs w:val="21"/>
              </w:rPr>
              <w:t>外购、汽运</w:t>
            </w:r>
          </w:p>
        </w:tc>
      </w:tr>
      <w:tr w14:paraId="5D1C69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0" w:type="pct"/>
            <w:vMerge w:val="continue"/>
            <w:tcBorders>
              <w:tl2br w:val="nil"/>
              <w:tr2bl w:val="nil"/>
            </w:tcBorders>
            <w:vAlign w:val="center"/>
          </w:tcPr>
          <w:p w14:paraId="3A404801">
            <w:pPr>
              <w:widowControl/>
              <w:jc w:val="center"/>
              <w:rPr>
                <w:rFonts w:eastAsia="仿宋_GB2312"/>
                <w:bCs/>
                <w:color w:val="auto"/>
                <w:kern w:val="0"/>
                <w:szCs w:val="21"/>
              </w:rPr>
            </w:pPr>
          </w:p>
        </w:tc>
        <w:tc>
          <w:tcPr>
            <w:tcW w:w="435" w:type="pct"/>
            <w:tcBorders>
              <w:tl2br w:val="nil"/>
              <w:tr2bl w:val="nil"/>
            </w:tcBorders>
            <w:vAlign w:val="center"/>
          </w:tcPr>
          <w:p w14:paraId="4F1721E8">
            <w:pPr>
              <w:widowControl/>
              <w:jc w:val="center"/>
              <w:rPr>
                <w:rFonts w:eastAsia="仿宋_GB2312"/>
                <w:bCs/>
                <w:color w:val="auto"/>
                <w:kern w:val="0"/>
                <w:szCs w:val="21"/>
              </w:rPr>
            </w:pPr>
            <w:r>
              <w:rPr>
                <w:rFonts w:eastAsia="仿宋_GB2312"/>
                <w:bCs/>
                <w:color w:val="auto"/>
                <w:kern w:val="0"/>
                <w:szCs w:val="21"/>
              </w:rPr>
              <w:t>13</w:t>
            </w:r>
          </w:p>
        </w:tc>
        <w:tc>
          <w:tcPr>
            <w:tcW w:w="1202" w:type="pct"/>
            <w:tcBorders>
              <w:tl2br w:val="nil"/>
              <w:tr2bl w:val="nil"/>
            </w:tcBorders>
            <w:shd w:val="clear" w:color="auto" w:fill="auto"/>
            <w:vAlign w:val="center"/>
          </w:tcPr>
          <w:p w14:paraId="457CAF6D">
            <w:pPr>
              <w:widowControl/>
              <w:jc w:val="center"/>
              <w:rPr>
                <w:rFonts w:ascii="Times New Roman" w:hAnsi="Times New Roman" w:eastAsia="仿宋_GB2312" w:cs="Times New Roman"/>
                <w:color w:val="auto"/>
                <w:kern w:val="0"/>
                <w:sz w:val="21"/>
                <w:szCs w:val="21"/>
                <w:lang w:val="en-US" w:eastAsia="zh-CN" w:bidi="ar-SA"/>
              </w:rPr>
            </w:pPr>
            <w:r>
              <w:rPr>
                <w:rFonts w:eastAsia="仿宋_GB2312"/>
                <w:color w:val="auto"/>
                <w:kern w:val="0"/>
                <w:szCs w:val="21"/>
              </w:rPr>
              <w:t>二氯乙烷废液</w:t>
            </w:r>
          </w:p>
        </w:tc>
        <w:tc>
          <w:tcPr>
            <w:tcW w:w="583" w:type="pct"/>
            <w:tcBorders>
              <w:tl2br w:val="nil"/>
              <w:tr2bl w:val="nil"/>
            </w:tcBorders>
            <w:shd w:val="clear" w:color="auto" w:fill="auto"/>
            <w:vAlign w:val="center"/>
          </w:tcPr>
          <w:p w14:paraId="5B62C2E3">
            <w:pPr>
              <w:widowControl/>
              <w:jc w:val="center"/>
              <w:rPr>
                <w:rFonts w:ascii="Times New Roman" w:hAnsi="Times New Roman" w:eastAsia="仿宋_GB2312" w:cs="Times New Roman"/>
                <w:color w:val="auto"/>
                <w:kern w:val="0"/>
                <w:sz w:val="21"/>
                <w:szCs w:val="21"/>
                <w:lang w:val="en-US" w:eastAsia="zh-CN" w:bidi="ar-SA"/>
              </w:rPr>
            </w:pPr>
            <w:r>
              <w:rPr>
                <w:rFonts w:eastAsia="仿宋_GB2312"/>
                <w:color w:val="auto"/>
                <w:kern w:val="0"/>
                <w:szCs w:val="21"/>
              </w:rPr>
              <w:t>2765</w:t>
            </w:r>
          </w:p>
        </w:tc>
        <w:tc>
          <w:tcPr>
            <w:tcW w:w="1663" w:type="pct"/>
            <w:tcBorders>
              <w:tl2br w:val="nil"/>
              <w:tr2bl w:val="nil"/>
            </w:tcBorders>
            <w:vAlign w:val="center"/>
          </w:tcPr>
          <w:p w14:paraId="76DB5395">
            <w:pPr>
              <w:widowControl/>
              <w:jc w:val="center"/>
              <w:rPr>
                <w:rFonts w:eastAsia="仿宋_GB2312"/>
                <w:b/>
                <w:color w:val="auto"/>
                <w:kern w:val="0"/>
                <w:szCs w:val="21"/>
              </w:rPr>
            </w:pPr>
            <w:r>
              <w:rPr>
                <w:rFonts w:eastAsia="仿宋_GB2312"/>
                <w:color w:val="auto"/>
                <w:kern w:val="0"/>
                <w:szCs w:val="21"/>
              </w:rPr>
              <w:t>吨桶/200L桶/25L桶/20L桶</w:t>
            </w:r>
          </w:p>
        </w:tc>
        <w:tc>
          <w:tcPr>
            <w:tcW w:w="695" w:type="pct"/>
            <w:tcBorders>
              <w:tl2br w:val="nil"/>
              <w:tr2bl w:val="nil"/>
            </w:tcBorders>
            <w:vAlign w:val="center"/>
          </w:tcPr>
          <w:p w14:paraId="57226227">
            <w:pPr>
              <w:widowControl/>
              <w:jc w:val="center"/>
              <w:rPr>
                <w:rFonts w:eastAsia="仿宋_GB2312"/>
                <w:color w:val="auto"/>
                <w:kern w:val="0"/>
                <w:szCs w:val="21"/>
              </w:rPr>
            </w:pPr>
            <w:r>
              <w:rPr>
                <w:rFonts w:hint="eastAsia" w:eastAsia="仿宋_GB2312"/>
                <w:color w:val="auto"/>
                <w:kern w:val="0"/>
                <w:szCs w:val="21"/>
              </w:rPr>
              <w:t>外购、汽运</w:t>
            </w:r>
          </w:p>
        </w:tc>
      </w:tr>
      <w:tr w14:paraId="5130E9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0" w:type="pct"/>
            <w:vMerge w:val="continue"/>
            <w:tcBorders>
              <w:tl2br w:val="nil"/>
              <w:tr2bl w:val="nil"/>
            </w:tcBorders>
            <w:vAlign w:val="center"/>
          </w:tcPr>
          <w:p w14:paraId="25F80839">
            <w:pPr>
              <w:widowControl/>
              <w:jc w:val="center"/>
              <w:rPr>
                <w:rFonts w:eastAsia="仿宋_GB2312"/>
                <w:bCs/>
                <w:color w:val="auto"/>
                <w:kern w:val="0"/>
                <w:szCs w:val="21"/>
              </w:rPr>
            </w:pPr>
          </w:p>
        </w:tc>
        <w:tc>
          <w:tcPr>
            <w:tcW w:w="435" w:type="pct"/>
            <w:tcBorders>
              <w:tl2br w:val="nil"/>
              <w:tr2bl w:val="nil"/>
            </w:tcBorders>
            <w:vAlign w:val="center"/>
          </w:tcPr>
          <w:p w14:paraId="37603206">
            <w:pPr>
              <w:widowControl/>
              <w:jc w:val="center"/>
              <w:rPr>
                <w:rFonts w:eastAsia="仿宋_GB2312"/>
                <w:bCs/>
                <w:color w:val="auto"/>
                <w:kern w:val="0"/>
                <w:szCs w:val="21"/>
              </w:rPr>
            </w:pPr>
            <w:r>
              <w:rPr>
                <w:rFonts w:eastAsia="仿宋_GB2312"/>
                <w:bCs/>
                <w:color w:val="auto"/>
                <w:kern w:val="0"/>
                <w:szCs w:val="21"/>
              </w:rPr>
              <w:t>14</w:t>
            </w:r>
          </w:p>
        </w:tc>
        <w:tc>
          <w:tcPr>
            <w:tcW w:w="1202" w:type="pct"/>
            <w:tcBorders>
              <w:tl2br w:val="nil"/>
              <w:tr2bl w:val="nil"/>
            </w:tcBorders>
            <w:shd w:val="clear" w:color="auto" w:fill="auto"/>
            <w:vAlign w:val="center"/>
          </w:tcPr>
          <w:p w14:paraId="006BD651">
            <w:pPr>
              <w:widowControl/>
              <w:jc w:val="center"/>
              <w:rPr>
                <w:rFonts w:ascii="Times New Roman" w:hAnsi="Times New Roman" w:eastAsia="仿宋_GB2312" w:cs="Times New Roman"/>
                <w:color w:val="auto"/>
                <w:kern w:val="0"/>
                <w:sz w:val="21"/>
                <w:szCs w:val="21"/>
                <w:lang w:val="en-US" w:eastAsia="zh-CN" w:bidi="ar-SA"/>
              </w:rPr>
            </w:pPr>
            <w:r>
              <w:rPr>
                <w:rFonts w:eastAsia="仿宋_GB2312"/>
                <w:color w:val="auto"/>
                <w:kern w:val="0"/>
                <w:szCs w:val="21"/>
              </w:rPr>
              <w:t>DMF废液</w:t>
            </w:r>
          </w:p>
        </w:tc>
        <w:tc>
          <w:tcPr>
            <w:tcW w:w="583" w:type="pct"/>
            <w:tcBorders>
              <w:tl2br w:val="nil"/>
              <w:tr2bl w:val="nil"/>
            </w:tcBorders>
            <w:shd w:val="clear" w:color="auto" w:fill="auto"/>
            <w:vAlign w:val="center"/>
          </w:tcPr>
          <w:p w14:paraId="44099580">
            <w:pPr>
              <w:widowControl/>
              <w:jc w:val="center"/>
              <w:rPr>
                <w:rFonts w:ascii="Times New Roman" w:hAnsi="Times New Roman" w:eastAsia="仿宋_GB2312" w:cs="Times New Roman"/>
                <w:color w:val="auto"/>
                <w:kern w:val="0"/>
                <w:sz w:val="21"/>
                <w:szCs w:val="21"/>
                <w:lang w:val="en-US" w:eastAsia="zh-CN" w:bidi="ar-SA"/>
              </w:rPr>
            </w:pPr>
            <w:r>
              <w:rPr>
                <w:rFonts w:eastAsia="仿宋_GB2312"/>
                <w:color w:val="auto"/>
                <w:kern w:val="0"/>
                <w:szCs w:val="21"/>
              </w:rPr>
              <w:t>2</w:t>
            </w:r>
            <w:r>
              <w:rPr>
                <w:rFonts w:hint="eastAsia" w:eastAsia="仿宋_GB2312"/>
                <w:color w:val="auto"/>
                <w:kern w:val="0"/>
                <w:szCs w:val="21"/>
                <w:lang w:val="en-US" w:eastAsia="zh-CN"/>
              </w:rPr>
              <w:t>43</w:t>
            </w:r>
            <w:r>
              <w:rPr>
                <w:rFonts w:eastAsia="仿宋_GB2312"/>
                <w:color w:val="auto"/>
                <w:kern w:val="0"/>
                <w:szCs w:val="21"/>
              </w:rPr>
              <w:t>00</w:t>
            </w:r>
          </w:p>
        </w:tc>
        <w:tc>
          <w:tcPr>
            <w:tcW w:w="1663" w:type="pct"/>
            <w:tcBorders>
              <w:tl2br w:val="nil"/>
              <w:tr2bl w:val="nil"/>
            </w:tcBorders>
            <w:vAlign w:val="center"/>
          </w:tcPr>
          <w:p w14:paraId="3EB9328F">
            <w:pPr>
              <w:widowControl/>
              <w:jc w:val="center"/>
              <w:rPr>
                <w:rFonts w:eastAsia="仿宋_GB2312"/>
                <w:color w:val="auto"/>
                <w:kern w:val="0"/>
                <w:szCs w:val="21"/>
              </w:rPr>
            </w:pPr>
            <w:r>
              <w:rPr>
                <w:rFonts w:eastAsia="仿宋_GB2312"/>
                <w:color w:val="auto"/>
                <w:kern w:val="0"/>
                <w:szCs w:val="21"/>
              </w:rPr>
              <w:t>吨桶/200L桶/25L桶/20L桶</w:t>
            </w:r>
          </w:p>
        </w:tc>
        <w:tc>
          <w:tcPr>
            <w:tcW w:w="695" w:type="pct"/>
            <w:tcBorders>
              <w:tl2br w:val="nil"/>
              <w:tr2bl w:val="nil"/>
            </w:tcBorders>
            <w:vAlign w:val="center"/>
          </w:tcPr>
          <w:p w14:paraId="61D55BD5">
            <w:pPr>
              <w:widowControl/>
              <w:jc w:val="center"/>
              <w:rPr>
                <w:rFonts w:eastAsia="仿宋_GB2312"/>
                <w:color w:val="auto"/>
                <w:kern w:val="0"/>
                <w:szCs w:val="21"/>
              </w:rPr>
            </w:pPr>
            <w:r>
              <w:rPr>
                <w:rFonts w:hint="eastAsia" w:eastAsia="仿宋_GB2312"/>
                <w:color w:val="auto"/>
                <w:kern w:val="0"/>
                <w:szCs w:val="21"/>
              </w:rPr>
              <w:t>外购、汽运</w:t>
            </w:r>
          </w:p>
        </w:tc>
      </w:tr>
      <w:tr w14:paraId="36CF21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0" w:type="pct"/>
            <w:vMerge w:val="continue"/>
            <w:tcBorders>
              <w:tl2br w:val="nil"/>
              <w:tr2bl w:val="nil"/>
            </w:tcBorders>
            <w:vAlign w:val="center"/>
          </w:tcPr>
          <w:p w14:paraId="5C8BD482">
            <w:pPr>
              <w:widowControl/>
              <w:jc w:val="center"/>
              <w:rPr>
                <w:rFonts w:eastAsia="仿宋_GB2312"/>
                <w:bCs/>
                <w:color w:val="auto"/>
                <w:kern w:val="0"/>
                <w:szCs w:val="21"/>
              </w:rPr>
            </w:pPr>
          </w:p>
        </w:tc>
        <w:tc>
          <w:tcPr>
            <w:tcW w:w="435" w:type="pct"/>
            <w:tcBorders>
              <w:tl2br w:val="nil"/>
              <w:tr2bl w:val="nil"/>
            </w:tcBorders>
            <w:vAlign w:val="center"/>
          </w:tcPr>
          <w:p w14:paraId="7B647922">
            <w:pPr>
              <w:widowControl/>
              <w:jc w:val="center"/>
              <w:rPr>
                <w:rFonts w:eastAsia="仿宋_GB2312"/>
                <w:bCs/>
                <w:color w:val="auto"/>
                <w:kern w:val="0"/>
                <w:szCs w:val="21"/>
              </w:rPr>
            </w:pPr>
            <w:r>
              <w:rPr>
                <w:rFonts w:eastAsia="仿宋_GB2312"/>
                <w:bCs/>
                <w:color w:val="auto"/>
                <w:kern w:val="0"/>
                <w:szCs w:val="21"/>
              </w:rPr>
              <w:t>15</w:t>
            </w:r>
          </w:p>
        </w:tc>
        <w:tc>
          <w:tcPr>
            <w:tcW w:w="1202" w:type="pct"/>
            <w:tcBorders>
              <w:tl2br w:val="nil"/>
              <w:tr2bl w:val="nil"/>
            </w:tcBorders>
            <w:shd w:val="clear" w:color="auto" w:fill="auto"/>
            <w:vAlign w:val="center"/>
          </w:tcPr>
          <w:p w14:paraId="5887FB7F">
            <w:pPr>
              <w:widowControl/>
              <w:jc w:val="center"/>
              <w:rPr>
                <w:rFonts w:ascii="Times New Roman" w:hAnsi="Times New Roman" w:eastAsia="仿宋_GB2312" w:cs="Times New Roman"/>
                <w:color w:val="auto"/>
                <w:kern w:val="0"/>
                <w:sz w:val="21"/>
                <w:szCs w:val="21"/>
                <w:lang w:val="en-US" w:eastAsia="zh-CN" w:bidi="ar-SA"/>
              </w:rPr>
            </w:pPr>
            <w:r>
              <w:rPr>
                <w:rFonts w:eastAsia="仿宋_GB2312"/>
                <w:color w:val="auto"/>
                <w:kern w:val="0"/>
                <w:szCs w:val="21"/>
              </w:rPr>
              <w:t>二甲基亚砜废液</w:t>
            </w:r>
          </w:p>
        </w:tc>
        <w:tc>
          <w:tcPr>
            <w:tcW w:w="583" w:type="pct"/>
            <w:tcBorders>
              <w:tl2br w:val="nil"/>
              <w:tr2bl w:val="nil"/>
            </w:tcBorders>
            <w:shd w:val="clear" w:color="auto" w:fill="auto"/>
            <w:vAlign w:val="center"/>
          </w:tcPr>
          <w:p w14:paraId="73C81193">
            <w:pPr>
              <w:widowControl/>
              <w:jc w:val="center"/>
              <w:rPr>
                <w:rFonts w:hint="default" w:ascii="Times New Roman" w:hAnsi="Times New Roman" w:eastAsia="仿宋_GB2312" w:cs="Times New Roman"/>
                <w:color w:val="auto"/>
                <w:kern w:val="0"/>
                <w:sz w:val="21"/>
                <w:szCs w:val="21"/>
                <w:lang w:val="en-US" w:eastAsia="zh-CN" w:bidi="ar-SA"/>
              </w:rPr>
            </w:pPr>
            <w:r>
              <w:rPr>
                <w:rFonts w:hint="eastAsia" w:eastAsia="仿宋_GB2312"/>
                <w:color w:val="auto"/>
                <w:kern w:val="0"/>
                <w:szCs w:val="21"/>
                <w:lang w:val="en-US" w:eastAsia="zh-CN"/>
              </w:rPr>
              <w:t>23775</w:t>
            </w:r>
          </w:p>
        </w:tc>
        <w:tc>
          <w:tcPr>
            <w:tcW w:w="1663" w:type="pct"/>
            <w:tcBorders>
              <w:tl2br w:val="nil"/>
              <w:tr2bl w:val="nil"/>
            </w:tcBorders>
            <w:vAlign w:val="center"/>
          </w:tcPr>
          <w:p w14:paraId="5D571775">
            <w:pPr>
              <w:widowControl/>
              <w:jc w:val="center"/>
              <w:rPr>
                <w:rFonts w:eastAsia="仿宋_GB2312"/>
                <w:color w:val="auto"/>
                <w:kern w:val="0"/>
                <w:szCs w:val="21"/>
              </w:rPr>
            </w:pPr>
            <w:r>
              <w:rPr>
                <w:rFonts w:eastAsia="仿宋_GB2312"/>
                <w:color w:val="auto"/>
                <w:kern w:val="0"/>
                <w:szCs w:val="21"/>
              </w:rPr>
              <w:t>吨桶/200L桶/25L桶/20L桶</w:t>
            </w:r>
          </w:p>
        </w:tc>
        <w:tc>
          <w:tcPr>
            <w:tcW w:w="695" w:type="pct"/>
            <w:tcBorders>
              <w:tl2br w:val="nil"/>
              <w:tr2bl w:val="nil"/>
            </w:tcBorders>
            <w:vAlign w:val="center"/>
          </w:tcPr>
          <w:p w14:paraId="712BC26F">
            <w:pPr>
              <w:widowControl/>
              <w:jc w:val="center"/>
              <w:rPr>
                <w:rFonts w:eastAsia="仿宋_GB2312"/>
                <w:color w:val="auto"/>
                <w:kern w:val="0"/>
                <w:szCs w:val="21"/>
              </w:rPr>
            </w:pPr>
            <w:r>
              <w:rPr>
                <w:rFonts w:hint="eastAsia" w:eastAsia="仿宋_GB2312"/>
                <w:color w:val="auto"/>
                <w:kern w:val="0"/>
                <w:szCs w:val="21"/>
              </w:rPr>
              <w:t>外购、汽运</w:t>
            </w:r>
          </w:p>
        </w:tc>
      </w:tr>
      <w:tr w14:paraId="6CBDA3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0" w:type="pct"/>
            <w:vMerge w:val="continue"/>
            <w:tcBorders>
              <w:tl2br w:val="nil"/>
              <w:tr2bl w:val="nil"/>
            </w:tcBorders>
            <w:vAlign w:val="center"/>
          </w:tcPr>
          <w:p w14:paraId="43524FAF">
            <w:pPr>
              <w:widowControl/>
              <w:jc w:val="center"/>
              <w:rPr>
                <w:rFonts w:eastAsia="仿宋_GB2312"/>
                <w:bCs/>
                <w:color w:val="auto"/>
                <w:kern w:val="0"/>
                <w:szCs w:val="21"/>
              </w:rPr>
            </w:pPr>
          </w:p>
        </w:tc>
        <w:tc>
          <w:tcPr>
            <w:tcW w:w="435" w:type="pct"/>
            <w:tcBorders>
              <w:tl2br w:val="nil"/>
              <w:tr2bl w:val="nil"/>
            </w:tcBorders>
            <w:vAlign w:val="center"/>
          </w:tcPr>
          <w:p w14:paraId="47C7BBD9">
            <w:pPr>
              <w:widowControl/>
              <w:jc w:val="center"/>
              <w:rPr>
                <w:rFonts w:eastAsia="仿宋_GB2312"/>
                <w:bCs/>
                <w:color w:val="auto"/>
                <w:kern w:val="0"/>
                <w:szCs w:val="21"/>
              </w:rPr>
            </w:pPr>
            <w:r>
              <w:rPr>
                <w:rFonts w:eastAsia="仿宋_GB2312"/>
                <w:bCs/>
                <w:color w:val="auto"/>
                <w:kern w:val="0"/>
                <w:szCs w:val="21"/>
              </w:rPr>
              <w:t>16</w:t>
            </w:r>
          </w:p>
        </w:tc>
        <w:tc>
          <w:tcPr>
            <w:tcW w:w="1202" w:type="pct"/>
            <w:tcBorders>
              <w:tl2br w:val="nil"/>
              <w:tr2bl w:val="nil"/>
            </w:tcBorders>
            <w:shd w:val="clear" w:color="auto" w:fill="auto"/>
            <w:vAlign w:val="center"/>
          </w:tcPr>
          <w:p w14:paraId="547E546A">
            <w:pPr>
              <w:widowControl/>
              <w:jc w:val="center"/>
              <w:rPr>
                <w:rFonts w:ascii="Times New Roman" w:hAnsi="Times New Roman" w:eastAsia="仿宋_GB2312" w:cs="Times New Roman"/>
                <w:color w:val="auto"/>
                <w:kern w:val="0"/>
                <w:sz w:val="21"/>
                <w:szCs w:val="21"/>
                <w:lang w:val="en-US" w:eastAsia="zh-CN" w:bidi="ar-SA"/>
              </w:rPr>
            </w:pPr>
            <w:r>
              <w:rPr>
                <w:rFonts w:eastAsia="仿宋_GB2312"/>
                <w:color w:val="auto"/>
                <w:kern w:val="0"/>
                <w:szCs w:val="21"/>
              </w:rPr>
              <w:t>丁醇、辛醇轻重组分废液</w:t>
            </w:r>
          </w:p>
        </w:tc>
        <w:tc>
          <w:tcPr>
            <w:tcW w:w="583" w:type="pct"/>
            <w:tcBorders>
              <w:tl2br w:val="nil"/>
              <w:tr2bl w:val="nil"/>
            </w:tcBorders>
            <w:shd w:val="clear" w:color="auto" w:fill="auto"/>
            <w:vAlign w:val="center"/>
          </w:tcPr>
          <w:p w14:paraId="0D794585">
            <w:pPr>
              <w:widowControl/>
              <w:jc w:val="center"/>
              <w:rPr>
                <w:rFonts w:ascii="Times New Roman" w:hAnsi="Times New Roman" w:eastAsia="仿宋_GB2312" w:cs="Times New Roman"/>
                <w:color w:val="auto"/>
                <w:kern w:val="0"/>
                <w:sz w:val="21"/>
                <w:szCs w:val="21"/>
                <w:lang w:val="en-US" w:eastAsia="zh-CN" w:bidi="ar-SA"/>
              </w:rPr>
            </w:pPr>
            <w:r>
              <w:rPr>
                <w:rFonts w:hint="eastAsia" w:eastAsia="仿宋_GB2312"/>
                <w:color w:val="auto"/>
                <w:kern w:val="0"/>
                <w:szCs w:val="21"/>
                <w:lang w:val="en-US" w:eastAsia="zh-CN"/>
              </w:rPr>
              <w:t>10</w:t>
            </w:r>
            <w:r>
              <w:rPr>
                <w:rFonts w:eastAsia="仿宋_GB2312"/>
                <w:color w:val="auto"/>
                <w:kern w:val="0"/>
                <w:szCs w:val="21"/>
              </w:rPr>
              <w:t>00</w:t>
            </w:r>
          </w:p>
        </w:tc>
        <w:tc>
          <w:tcPr>
            <w:tcW w:w="1663" w:type="pct"/>
            <w:tcBorders>
              <w:tl2br w:val="nil"/>
              <w:tr2bl w:val="nil"/>
            </w:tcBorders>
            <w:vAlign w:val="center"/>
          </w:tcPr>
          <w:p w14:paraId="006CBF16">
            <w:pPr>
              <w:widowControl/>
              <w:jc w:val="center"/>
              <w:rPr>
                <w:rFonts w:eastAsia="仿宋_GB2312"/>
                <w:color w:val="auto"/>
                <w:kern w:val="0"/>
                <w:szCs w:val="21"/>
              </w:rPr>
            </w:pPr>
            <w:r>
              <w:rPr>
                <w:rFonts w:eastAsia="仿宋_GB2312"/>
                <w:color w:val="auto"/>
                <w:kern w:val="0"/>
                <w:szCs w:val="21"/>
              </w:rPr>
              <w:t>吨桶/200L桶/25L桶/20L桶</w:t>
            </w:r>
          </w:p>
        </w:tc>
        <w:tc>
          <w:tcPr>
            <w:tcW w:w="695" w:type="pct"/>
            <w:tcBorders>
              <w:tl2br w:val="nil"/>
              <w:tr2bl w:val="nil"/>
            </w:tcBorders>
            <w:vAlign w:val="center"/>
          </w:tcPr>
          <w:p w14:paraId="66EB5235">
            <w:pPr>
              <w:widowControl/>
              <w:jc w:val="center"/>
              <w:rPr>
                <w:rFonts w:eastAsia="仿宋_GB2312"/>
                <w:color w:val="auto"/>
                <w:kern w:val="0"/>
                <w:szCs w:val="21"/>
              </w:rPr>
            </w:pPr>
            <w:r>
              <w:rPr>
                <w:rFonts w:hint="eastAsia" w:eastAsia="仿宋_GB2312"/>
                <w:color w:val="auto"/>
                <w:kern w:val="0"/>
                <w:szCs w:val="21"/>
              </w:rPr>
              <w:t>外购、汽运</w:t>
            </w:r>
          </w:p>
        </w:tc>
      </w:tr>
      <w:tr w14:paraId="26388C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0" w:type="pct"/>
            <w:vMerge w:val="continue"/>
            <w:tcBorders>
              <w:tl2br w:val="nil"/>
              <w:tr2bl w:val="nil"/>
            </w:tcBorders>
            <w:vAlign w:val="center"/>
          </w:tcPr>
          <w:p w14:paraId="422FBE48">
            <w:pPr>
              <w:widowControl/>
              <w:jc w:val="center"/>
              <w:rPr>
                <w:rFonts w:eastAsia="仿宋_GB2312"/>
                <w:bCs/>
                <w:color w:val="auto"/>
                <w:kern w:val="0"/>
                <w:szCs w:val="21"/>
              </w:rPr>
            </w:pPr>
          </w:p>
        </w:tc>
        <w:tc>
          <w:tcPr>
            <w:tcW w:w="435" w:type="pct"/>
            <w:tcBorders>
              <w:tl2br w:val="nil"/>
              <w:tr2bl w:val="nil"/>
            </w:tcBorders>
            <w:vAlign w:val="center"/>
          </w:tcPr>
          <w:p w14:paraId="3CA3B83B">
            <w:pPr>
              <w:widowControl/>
              <w:jc w:val="center"/>
              <w:rPr>
                <w:rFonts w:eastAsia="仿宋_GB2312"/>
                <w:bCs/>
                <w:color w:val="auto"/>
                <w:kern w:val="0"/>
                <w:szCs w:val="21"/>
              </w:rPr>
            </w:pPr>
            <w:r>
              <w:rPr>
                <w:rFonts w:eastAsia="仿宋_GB2312"/>
                <w:bCs/>
                <w:color w:val="auto"/>
                <w:kern w:val="0"/>
                <w:szCs w:val="21"/>
              </w:rPr>
              <w:t>17</w:t>
            </w:r>
          </w:p>
        </w:tc>
        <w:tc>
          <w:tcPr>
            <w:tcW w:w="1202" w:type="pct"/>
            <w:tcBorders>
              <w:tl2br w:val="nil"/>
              <w:tr2bl w:val="nil"/>
            </w:tcBorders>
            <w:shd w:val="clear" w:color="auto" w:fill="auto"/>
            <w:vAlign w:val="center"/>
          </w:tcPr>
          <w:p w14:paraId="2201DE11">
            <w:pPr>
              <w:widowControl/>
              <w:jc w:val="center"/>
              <w:rPr>
                <w:rFonts w:eastAsia="仿宋_GB2312"/>
                <w:color w:val="auto"/>
                <w:kern w:val="0"/>
                <w:szCs w:val="21"/>
              </w:rPr>
            </w:pPr>
            <w:r>
              <w:rPr>
                <w:rFonts w:eastAsia="仿宋_GB2312"/>
                <w:color w:val="auto"/>
                <w:kern w:val="0"/>
                <w:szCs w:val="21"/>
              </w:rPr>
              <w:t>精馏残液</w:t>
            </w:r>
          </w:p>
          <w:p w14:paraId="46B34F44">
            <w:pPr>
              <w:widowControl/>
              <w:jc w:val="center"/>
              <w:rPr>
                <w:rFonts w:ascii="Times New Roman" w:hAnsi="Times New Roman" w:eastAsia="仿宋_GB2312" w:cs="Times New Roman"/>
                <w:color w:val="auto"/>
                <w:kern w:val="0"/>
                <w:sz w:val="21"/>
                <w:szCs w:val="21"/>
                <w:lang w:val="en-US" w:eastAsia="zh-CN" w:bidi="ar-SA"/>
              </w:rPr>
            </w:pPr>
            <w:r>
              <w:rPr>
                <w:rFonts w:eastAsia="仿宋_GB2312"/>
                <w:color w:val="auto"/>
                <w:kern w:val="0"/>
                <w:szCs w:val="21"/>
              </w:rPr>
              <w:t>（含碳九、苯乙烯）</w:t>
            </w:r>
          </w:p>
        </w:tc>
        <w:tc>
          <w:tcPr>
            <w:tcW w:w="583" w:type="pct"/>
            <w:tcBorders>
              <w:tl2br w:val="nil"/>
              <w:tr2bl w:val="nil"/>
            </w:tcBorders>
            <w:shd w:val="clear" w:color="auto" w:fill="auto"/>
            <w:vAlign w:val="center"/>
          </w:tcPr>
          <w:p w14:paraId="6F59E050">
            <w:pPr>
              <w:widowControl/>
              <w:jc w:val="center"/>
              <w:rPr>
                <w:rFonts w:ascii="Times New Roman" w:hAnsi="Times New Roman" w:eastAsia="仿宋_GB2312" w:cs="Times New Roman"/>
                <w:color w:val="auto"/>
                <w:kern w:val="0"/>
                <w:sz w:val="21"/>
                <w:szCs w:val="21"/>
                <w:lang w:val="en-US" w:eastAsia="zh-CN" w:bidi="ar-SA"/>
              </w:rPr>
            </w:pPr>
            <w:r>
              <w:rPr>
                <w:rFonts w:hint="eastAsia" w:eastAsia="仿宋_GB2312"/>
                <w:color w:val="auto"/>
                <w:kern w:val="0"/>
                <w:szCs w:val="21"/>
                <w:lang w:val="en-US" w:eastAsia="zh-CN"/>
              </w:rPr>
              <w:t>1</w:t>
            </w:r>
            <w:r>
              <w:rPr>
                <w:rFonts w:eastAsia="仿宋_GB2312"/>
                <w:color w:val="auto"/>
                <w:kern w:val="0"/>
                <w:szCs w:val="21"/>
              </w:rPr>
              <w:t>000</w:t>
            </w:r>
          </w:p>
        </w:tc>
        <w:tc>
          <w:tcPr>
            <w:tcW w:w="1663" w:type="pct"/>
            <w:tcBorders>
              <w:tl2br w:val="nil"/>
              <w:tr2bl w:val="nil"/>
            </w:tcBorders>
            <w:vAlign w:val="center"/>
          </w:tcPr>
          <w:p w14:paraId="65FF4C2E">
            <w:pPr>
              <w:widowControl/>
              <w:jc w:val="center"/>
              <w:rPr>
                <w:rFonts w:eastAsia="仿宋_GB2312"/>
                <w:b/>
                <w:color w:val="auto"/>
                <w:kern w:val="0"/>
                <w:szCs w:val="21"/>
              </w:rPr>
            </w:pPr>
            <w:r>
              <w:rPr>
                <w:rFonts w:eastAsia="仿宋_GB2312"/>
                <w:color w:val="auto"/>
                <w:kern w:val="0"/>
                <w:szCs w:val="21"/>
              </w:rPr>
              <w:t>吨桶/200L桶/25L桶/20L桶</w:t>
            </w:r>
          </w:p>
        </w:tc>
        <w:tc>
          <w:tcPr>
            <w:tcW w:w="695" w:type="pct"/>
            <w:tcBorders>
              <w:tl2br w:val="nil"/>
              <w:tr2bl w:val="nil"/>
            </w:tcBorders>
            <w:vAlign w:val="center"/>
          </w:tcPr>
          <w:p w14:paraId="0E1A68F1">
            <w:pPr>
              <w:widowControl/>
              <w:jc w:val="center"/>
              <w:rPr>
                <w:rFonts w:eastAsia="仿宋_GB2312"/>
                <w:color w:val="auto"/>
                <w:kern w:val="0"/>
                <w:szCs w:val="21"/>
              </w:rPr>
            </w:pPr>
            <w:r>
              <w:rPr>
                <w:rFonts w:hint="eastAsia" w:eastAsia="仿宋_GB2312"/>
                <w:color w:val="auto"/>
                <w:kern w:val="0"/>
                <w:szCs w:val="21"/>
              </w:rPr>
              <w:t>外购、汽运</w:t>
            </w:r>
          </w:p>
        </w:tc>
      </w:tr>
      <w:tr w14:paraId="600818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420" w:type="pct"/>
            <w:vMerge w:val="continue"/>
            <w:tcBorders>
              <w:tl2br w:val="nil"/>
              <w:tr2bl w:val="nil"/>
            </w:tcBorders>
            <w:vAlign w:val="center"/>
          </w:tcPr>
          <w:p w14:paraId="62622996">
            <w:pPr>
              <w:widowControl/>
              <w:jc w:val="center"/>
              <w:rPr>
                <w:rFonts w:eastAsia="仿宋_GB2312"/>
                <w:bCs/>
                <w:color w:val="auto"/>
                <w:kern w:val="0"/>
                <w:szCs w:val="21"/>
              </w:rPr>
            </w:pPr>
          </w:p>
        </w:tc>
        <w:tc>
          <w:tcPr>
            <w:tcW w:w="435" w:type="pct"/>
            <w:tcBorders>
              <w:tl2br w:val="nil"/>
              <w:tr2bl w:val="nil"/>
            </w:tcBorders>
            <w:vAlign w:val="center"/>
          </w:tcPr>
          <w:p w14:paraId="6AE24F48">
            <w:pPr>
              <w:widowControl/>
              <w:jc w:val="center"/>
              <w:rPr>
                <w:rFonts w:eastAsia="仿宋_GB2312"/>
                <w:bCs/>
                <w:color w:val="auto"/>
                <w:kern w:val="0"/>
                <w:szCs w:val="21"/>
              </w:rPr>
            </w:pPr>
            <w:r>
              <w:rPr>
                <w:rFonts w:eastAsia="仿宋_GB2312"/>
                <w:bCs/>
                <w:color w:val="auto"/>
                <w:kern w:val="0"/>
                <w:szCs w:val="21"/>
              </w:rPr>
              <w:t>18</w:t>
            </w:r>
          </w:p>
        </w:tc>
        <w:tc>
          <w:tcPr>
            <w:tcW w:w="1202" w:type="pct"/>
            <w:tcBorders>
              <w:tl2br w:val="nil"/>
              <w:tr2bl w:val="nil"/>
            </w:tcBorders>
            <w:shd w:val="clear" w:color="auto" w:fill="auto"/>
            <w:vAlign w:val="center"/>
          </w:tcPr>
          <w:p w14:paraId="07087DA9">
            <w:pPr>
              <w:widowControl/>
              <w:jc w:val="center"/>
              <w:rPr>
                <w:rFonts w:ascii="Times New Roman" w:hAnsi="Times New Roman" w:eastAsia="仿宋_GB2312" w:cs="Times New Roman"/>
                <w:color w:val="auto"/>
                <w:kern w:val="0"/>
                <w:sz w:val="21"/>
                <w:szCs w:val="21"/>
                <w:lang w:val="en-US" w:eastAsia="zh-CN" w:bidi="ar-SA"/>
              </w:rPr>
            </w:pPr>
            <w:r>
              <w:rPr>
                <w:rFonts w:eastAsia="仿宋_GB2312"/>
                <w:color w:val="auto"/>
                <w:kern w:val="0"/>
                <w:szCs w:val="21"/>
              </w:rPr>
              <w:t>多元醇废液</w:t>
            </w:r>
          </w:p>
        </w:tc>
        <w:tc>
          <w:tcPr>
            <w:tcW w:w="583" w:type="pct"/>
            <w:tcBorders>
              <w:tl2br w:val="nil"/>
              <w:tr2bl w:val="nil"/>
            </w:tcBorders>
            <w:shd w:val="clear" w:color="auto" w:fill="auto"/>
            <w:vAlign w:val="center"/>
          </w:tcPr>
          <w:p w14:paraId="6BC983A6">
            <w:pPr>
              <w:widowControl/>
              <w:jc w:val="center"/>
              <w:rPr>
                <w:rFonts w:ascii="Times New Roman" w:hAnsi="Times New Roman" w:eastAsia="仿宋_GB2312" w:cs="Times New Roman"/>
                <w:color w:val="auto"/>
                <w:kern w:val="0"/>
                <w:sz w:val="21"/>
                <w:szCs w:val="21"/>
                <w:lang w:val="en-US" w:eastAsia="zh-CN" w:bidi="ar-SA"/>
              </w:rPr>
            </w:pPr>
            <w:r>
              <w:rPr>
                <w:rFonts w:eastAsia="仿宋_GB2312"/>
                <w:color w:val="auto"/>
                <w:kern w:val="0"/>
                <w:szCs w:val="21"/>
              </w:rPr>
              <w:t>1000</w:t>
            </w:r>
          </w:p>
        </w:tc>
        <w:tc>
          <w:tcPr>
            <w:tcW w:w="1663" w:type="pct"/>
            <w:tcBorders>
              <w:tl2br w:val="nil"/>
              <w:tr2bl w:val="nil"/>
            </w:tcBorders>
            <w:vAlign w:val="center"/>
          </w:tcPr>
          <w:p w14:paraId="2CCC6D8B">
            <w:pPr>
              <w:widowControl/>
              <w:jc w:val="center"/>
              <w:rPr>
                <w:rFonts w:eastAsia="仿宋_GB2312"/>
                <w:b/>
                <w:color w:val="auto"/>
                <w:kern w:val="0"/>
                <w:szCs w:val="21"/>
              </w:rPr>
            </w:pPr>
            <w:r>
              <w:rPr>
                <w:rFonts w:eastAsia="仿宋_GB2312"/>
                <w:color w:val="auto"/>
                <w:kern w:val="0"/>
                <w:szCs w:val="21"/>
              </w:rPr>
              <w:t>吨桶/200L桶/25L桶/20L桶</w:t>
            </w:r>
          </w:p>
        </w:tc>
        <w:tc>
          <w:tcPr>
            <w:tcW w:w="695" w:type="pct"/>
            <w:tcBorders>
              <w:tl2br w:val="nil"/>
              <w:tr2bl w:val="nil"/>
            </w:tcBorders>
            <w:vAlign w:val="center"/>
          </w:tcPr>
          <w:p w14:paraId="39933940">
            <w:pPr>
              <w:widowControl/>
              <w:jc w:val="center"/>
              <w:rPr>
                <w:rFonts w:eastAsia="仿宋_GB2312"/>
                <w:color w:val="auto"/>
                <w:kern w:val="0"/>
                <w:szCs w:val="21"/>
              </w:rPr>
            </w:pPr>
            <w:r>
              <w:rPr>
                <w:rFonts w:hint="eastAsia" w:eastAsia="仿宋_GB2312"/>
                <w:color w:val="auto"/>
                <w:kern w:val="0"/>
                <w:szCs w:val="21"/>
              </w:rPr>
              <w:t>外购、汽运</w:t>
            </w:r>
          </w:p>
        </w:tc>
      </w:tr>
      <w:tr w14:paraId="3DDA7F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0" w:type="pct"/>
            <w:vMerge w:val="continue"/>
            <w:tcBorders>
              <w:tl2br w:val="nil"/>
              <w:tr2bl w:val="nil"/>
            </w:tcBorders>
            <w:vAlign w:val="center"/>
          </w:tcPr>
          <w:p w14:paraId="319649F4">
            <w:pPr>
              <w:widowControl/>
              <w:jc w:val="center"/>
              <w:rPr>
                <w:rFonts w:eastAsia="仿宋_GB2312"/>
                <w:bCs/>
                <w:color w:val="auto"/>
                <w:kern w:val="0"/>
                <w:szCs w:val="21"/>
              </w:rPr>
            </w:pPr>
          </w:p>
        </w:tc>
        <w:tc>
          <w:tcPr>
            <w:tcW w:w="435" w:type="pct"/>
            <w:tcBorders>
              <w:tl2br w:val="nil"/>
              <w:tr2bl w:val="nil"/>
            </w:tcBorders>
            <w:vAlign w:val="center"/>
          </w:tcPr>
          <w:p w14:paraId="6D9FEA28">
            <w:pPr>
              <w:widowControl/>
              <w:jc w:val="center"/>
              <w:rPr>
                <w:rFonts w:eastAsia="仿宋_GB2312"/>
                <w:bCs/>
                <w:color w:val="auto"/>
                <w:kern w:val="0"/>
                <w:szCs w:val="21"/>
              </w:rPr>
            </w:pPr>
            <w:r>
              <w:rPr>
                <w:rFonts w:eastAsia="仿宋_GB2312"/>
                <w:bCs/>
                <w:color w:val="auto"/>
                <w:kern w:val="0"/>
                <w:szCs w:val="21"/>
              </w:rPr>
              <w:t>19</w:t>
            </w:r>
          </w:p>
        </w:tc>
        <w:tc>
          <w:tcPr>
            <w:tcW w:w="1202" w:type="pct"/>
            <w:tcBorders>
              <w:tl2br w:val="nil"/>
              <w:tr2bl w:val="nil"/>
            </w:tcBorders>
            <w:shd w:val="clear" w:color="auto" w:fill="auto"/>
            <w:vAlign w:val="center"/>
          </w:tcPr>
          <w:p w14:paraId="2AE6FC8A">
            <w:pPr>
              <w:widowControl/>
              <w:jc w:val="center"/>
              <w:rPr>
                <w:rFonts w:ascii="Times New Roman" w:hAnsi="Times New Roman" w:eastAsia="仿宋_GB2312" w:cs="Times New Roman"/>
                <w:color w:val="auto"/>
                <w:kern w:val="0"/>
                <w:sz w:val="21"/>
                <w:szCs w:val="21"/>
                <w:lang w:val="en-US" w:eastAsia="zh-CN" w:bidi="ar-SA"/>
              </w:rPr>
            </w:pPr>
            <w:r>
              <w:rPr>
                <w:rFonts w:eastAsia="仿宋_GB2312"/>
                <w:color w:val="auto"/>
                <w:kern w:val="0"/>
                <w:szCs w:val="21"/>
              </w:rPr>
              <w:t>环己烷废液</w:t>
            </w:r>
          </w:p>
        </w:tc>
        <w:tc>
          <w:tcPr>
            <w:tcW w:w="583" w:type="pct"/>
            <w:tcBorders>
              <w:tl2br w:val="nil"/>
              <w:tr2bl w:val="nil"/>
            </w:tcBorders>
            <w:shd w:val="clear" w:color="auto" w:fill="auto"/>
            <w:vAlign w:val="center"/>
          </w:tcPr>
          <w:p w14:paraId="7A730548">
            <w:pPr>
              <w:widowControl/>
              <w:jc w:val="center"/>
              <w:rPr>
                <w:rFonts w:ascii="Times New Roman" w:hAnsi="Times New Roman" w:eastAsia="仿宋_GB2312" w:cs="Times New Roman"/>
                <w:color w:val="auto"/>
                <w:kern w:val="0"/>
                <w:sz w:val="21"/>
                <w:szCs w:val="21"/>
                <w:lang w:val="en-US" w:eastAsia="zh-CN" w:bidi="ar-SA"/>
              </w:rPr>
            </w:pPr>
            <w:r>
              <w:rPr>
                <w:rFonts w:hint="eastAsia" w:eastAsia="仿宋_GB2312"/>
                <w:color w:val="auto"/>
                <w:kern w:val="0"/>
                <w:szCs w:val="21"/>
                <w:lang w:val="en-US" w:eastAsia="zh-CN"/>
              </w:rPr>
              <w:t>2</w:t>
            </w:r>
            <w:r>
              <w:rPr>
                <w:rFonts w:eastAsia="仿宋_GB2312"/>
                <w:color w:val="auto"/>
                <w:kern w:val="0"/>
                <w:szCs w:val="21"/>
              </w:rPr>
              <w:t>000</w:t>
            </w:r>
          </w:p>
        </w:tc>
        <w:tc>
          <w:tcPr>
            <w:tcW w:w="1663" w:type="pct"/>
            <w:tcBorders>
              <w:tl2br w:val="nil"/>
              <w:tr2bl w:val="nil"/>
            </w:tcBorders>
            <w:vAlign w:val="center"/>
          </w:tcPr>
          <w:p w14:paraId="299EA27A">
            <w:pPr>
              <w:widowControl/>
              <w:jc w:val="center"/>
              <w:rPr>
                <w:rFonts w:eastAsia="仿宋_GB2312"/>
                <w:color w:val="auto"/>
                <w:kern w:val="0"/>
                <w:szCs w:val="21"/>
              </w:rPr>
            </w:pPr>
            <w:r>
              <w:rPr>
                <w:rFonts w:eastAsia="仿宋_GB2312"/>
                <w:color w:val="auto"/>
                <w:kern w:val="0"/>
                <w:szCs w:val="21"/>
              </w:rPr>
              <w:t>吨桶/200L桶/25L桶/20L桶</w:t>
            </w:r>
          </w:p>
        </w:tc>
        <w:tc>
          <w:tcPr>
            <w:tcW w:w="695" w:type="pct"/>
            <w:tcBorders>
              <w:tl2br w:val="nil"/>
              <w:tr2bl w:val="nil"/>
            </w:tcBorders>
            <w:vAlign w:val="center"/>
          </w:tcPr>
          <w:p w14:paraId="45CBFDF5">
            <w:pPr>
              <w:widowControl/>
              <w:jc w:val="center"/>
              <w:rPr>
                <w:rFonts w:eastAsia="仿宋_GB2312"/>
                <w:color w:val="auto"/>
                <w:kern w:val="0"/>
                <w:szCs w:val="21"/>
              </w:rPr>
            </w:pPr>
            <w:r>
              <w:rPr>
                <w:rFonts w:hint="eastAsia" w:eastAsia="仿宋_GB2312"/>
                <w:color w:val="auto"/>
                <w:kern w:val="0"/>
                <w:szCs w:val="21"/>
              </w:rPr>
              <w:t>外购、汽运</w:t>
            </w:r>
          </w:p>
        </w:tc>
      </w:tr>
      <w:tr w14:paraId="4E91AB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0" w:type="pct"/>
            <w:vMerge w:val="continue"/>
            <w:tcBorders>
              <w:tl2br w:val="nil"/>
              <w:tr2bl w:val="nil"/>
            </w:tcBorders>
            <w:vAlign w:val="center"/>
          </w:tcPr>
          <w:p w14:paraId="0258BB72">
            <w:pPr>
              <w:widowControl/>
              <w:jc w:val="center"/>
              <w:rPr>
                <w:rFonts w:eastAsia="仿宋_GB2312"/>
                <w:bCs/>
                <w:color w:val="auto"/>
                <w:kern w:val="0"/>
                <w:szCs w:val="21"/>
              </w:rPr>
            </w:pPr>
          </w:p>
        </w:tc>
        <w:tc>
          <w:tcPr>
            <w:tcW w:w="435" w:type="pct"/>
            <w:tcBorders>
              <w:tl2br w:val="nil"/>
              <w:tr2bl w:val="nil"/>
            </w:tcBorders>
            <w:vAlign w:val="center"/>
          </w:tcPr>
          <w:p w14:paraId="211BB545">
            <w:pPr>
              <w:widowControl/>
              <w:jc w:val="center"/>
              <w:rPr>
                <w:rFonts w:eastAsia="仿宋_GB2312"/>
                <w:bCs/>
                <w:color w:val="auto"/>
                <w:kern w:val="0"/>
                <w:szCs w:val="21"/>
              </w:rPr>
            </w:pPr>
            <w:r>
              <w:rPr>
                <w:rFonts w:eastAsia="仿宋_GB2312"/>
                <w:bCs/>
                <w:color w:val="auto"/>
                <w:kern w:val="0"/>
                <w:szCs w:val="21"/>
              </w:rPr>
              <w:t>20</w:t>
            </w:r>
          </w:p>
        </w:tc>
        <w:tc>
          <w:tcPr>
            <w:tcW w:w="1202" w:type="pct"/>
            <w:tcBorders>
              <w:tl2br w:val="nil"/>
              <w:tr2bl w:val="nil"/>
            </w:tcBorders>
            <w:shd w:val="clear" w:color="auto" w:fill="auto"/>
            <w:vAlign w:val="center"/>
          </w:tcPr>
          <w:p w14:paraId="3F05DC07">
            <w:pPr>
              <w:widowControl/>
              <w:jc w:val="center"/>
              <w:rPr>
                <w:rFonts w:ascii="Times New Roman" w:hAnsi="Times New Roman" w:eastAsia="仿宋_GB2312" w:cs="Times New Roman"/>
                <w:color w:val="auto"/>
                <w:kern w:val="0"/>
                <w:sz w:val="21"/>
                <w:szCs w:val="21"/>
                <w:lang w:val="en-US" w:eastAsia="zh-CN" w:bidi="ar-SA"/>
              </w:rPr>
            </w:pPr>
            <w:r>
              <w:rPr>
                <w:rFonts w:eastAsia="仿宋_GB2312"/>
                <w:color w:val="auto"/>
                <w:kern w:val="0"/>
                <w:szCs w:val="21"/>
              </w:rPr>
              <w:t>环己酮废液</w:t>
            </w:r>
          </w:p>
        </w:tc>
        <w:tc>
          <w:tcPr>
            <w:tcW w:w="583" w:type="pct"/>
            <w:tcBorders>
              <w:tl2br w:val="nil"/>
              <w:tr2bl w:val="nil"/>
            </w:tcBorders>
            <w:shd w:val="clear" w:color="auto" w:fill="auto"/>
            <w:vAlign w:val="center"/>
          </w:tcPr>
          <w:p w14:paraId="5ED6DFB8">
            <w:pPr>
              <w:widowControl/>
              <w:jc w:val="center"/>
              <w:rPr>
                <w:rFonts w:ascii="Times New Roman" w:hAnsi="Times New Roman" w:eastAsia="仿宋_GB2312" w:cs="Times New Roman"/>
                <w:color w:val="auto"/>
                <w:kern w:val="0"/>
                <w:sz w:val="21"/>
                <w:szCs w:val="21"/>
                <w:lang w:val="en-US" w:eastAsia="zh-CN" w:bidi="ar-SA"/>
              </w:rPr>
            </w:pPr>
            <w:r>
              <w:rPr>
                <w:rFonts w:eastAsia="仿宋_GB2312"/>
                <w:color w:val="auto"/>
                <w:kern w:val="0"/>
                <w:szCs w:val="21"/>
              </w:rPr>
              <w:t>500</w:t>
            </w:r>
          </w:p>
        </w:tc>
        <w:tc>
          <w:tcPr>
            <w:tcW w:w="1663" w:type="pct"/>
            <w:tcBorders>
              <w:tl2br w:val="nil"/>
              <w:tr2bl w:val="nil"/>
            </w:tcBorders>
            <w:vAlign w:val="center"/>
          </w:tcPr>
          <w:p w14:paraId="74517440">
            <w:pPr>
              <w:widowControl/>
              <w:jc w:val="center"/>
              <w:rPr>
                <w:rFonts w:eastAsia="仿宋_GB2312"/>
                <w:color w:val="auto"/>
                <w:kern w:val="0"/>
                <w:szCs w:val="21"/>
              </w:rPr>
            </w:pPr>
            <w:r>
              <w:rPr>
                <w:rFonts w:eastAsia="仿宋_GB2312"/>
                <w:color w:val="auto"/>
                <w:kern w:val="0"/>
                <w:szCs w:val="21"/>
              </w:rPr>
              <w:t>吨桶/200L桶/25L桶/20L桶</w:t>
            </w:r>
          </w:p>
        </w:tc>
        <w:tc>
          <w:tcPr>
            <w:tcW w:w="695" w:type="pct"/>
            <w:tcBorders>
              <w:tl2br w:val="nil"/>
              <w:tr2bl w:val="nil"/>
            </w:tcBorders>
            <w:vAlign w:val="center"/>
          </w:tcPr>
          <w:p w14:paraId="73E5B65B">
            <w:pPr>
              <w:widowControl/>
              <w:jc w:val="center"/>
              <w:rPr>
                <w:rFonts w:eastAsia="仿宋_GB2312"/>
                <w:color w:val="auto"/>
                <w:kern w:val="0"/>
                <w:szCs w:val="21"/>
              </w:rPr>
            </w:pPr>
            <w:r>
              <w:rPr>
                <w:rFonts w:hint="eastAsia" w:eastAsia="仿宋_GB2312"/>
                <w:color w:val="auto"/>
                <w:kern w:val="0"/>
                <w:szCs w:val="21"/>
              </w:rPr>
              <w:t>外购、汽运</w:t>
            </w:r>
          </w:p>
        </w:tc>
      </w:tr>
      <w:tr w14:paraId="2C7AEB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0" w:type="pct"/>
            <w:vMerge w:val="continue"/>
            <w:tcBorders>
              <w:tl2br w:val="nil"/>
              <w:tr2bl w:val="nil"/>
            </w:tcBorders>
            <w:vAlign w:val="center"/>
          </w:tcPr>
          <w:p w14:paraId="45741E55">
            <w:pPr>
              <w:widowControl/>
              <w:jc w:val="center"/>
              <w:rPr>
                <w:rFonts w:eastAsia="仿宋_GB2312"/>
                <w:bCs/>
                <w:color w:val="FF0000"/>
                <w:kern w:val="0"/>
                <w:szCs w:val="21"/>
              </w:rPr>
            </w:pPr>
          </w:p>
        </w:tc>
        <w:tc>
          <w:tcPr>
            <w:tcW w:w="435" w:type="pct"/>
            <w:tcBorders>
              <w:tl2br w:val="nil"/>
              <w:tr2bl w:val="nil"/>
            </w:tcBorders>
            <w:vAlign w:val="center"/>
          </w:tcPr>
          <w:p w14:paraId="12BC80D8">
            <w:pPr>
              <w:widowControl/>
              <w:jc w:val="center"/>
              <w:rPr>
                <w:rFonts w:eastAsia="仿宋_GB2312"/>
                <w:bCs/>
                <w:color w:val="auto"/>
                <w:kern w:val="0"/>
                <w:szCs w:val="21"/>
              </w:rPr>
            </w:pPr>
            <w:r>
              <w:rPr>
                <w:rFonts w:eastAsia="仿宋_GB2312"/>
                <w:bCs/>
                <w:color w:val="auto"/>
                <w:kern w:val="0"/>
                <w:szCs w:val="21"/>
              </w:rPr>
              <w:t>21</w:t>
            </w:r>
          </w:p>
        </w:tc>
        <w:tc>
          <w:tcPr>
            <w:tcW w:w="1202" w:type="pct"/>
            <w:tcBorders>
              <w:tl2br w:val="nil"/>
              <w:tr2bl w:val="nil"/>
            </w:tcBorders>
            <w:shd w:val="clear" w:color="auto" w:fill="auto"/>
            <w:vAlign w:val="center"/>
          </w:tcPr>
          <w:p w14:paraId="64A78967">
            <w:pPr>
              <w:widowControl/>
              <w:jc w:val="center"/>
              <w:rPr>
                <w:rFonts w:ascii="Times New Roman" w:hAnsi="Times New Roman" w:eastAsia="仿宋_GB2312" w:cs="Times New Roman"/>
                <w:color w:val="auto"/>
                <w:kern w:val="0"/>
                <w:sz w:val="21"/>
                <w:szCs w:val="21"/>
                <w:lang w:val="en-US" w:eastAsia="zh-CN" w:bidi="ar-SA"/>
              </w:rPr>
            </w:pPr>
            <w:r>
              <w:rPr>
                <w:rFonts w:eastAsia="仿宋_GB2312"/>
                <w:color w:val="auto"/>
                <w:kern w:val="0"/>
                <w:szCs w:val="21"/>
              </w:rPr>
              <w:t>环戊酮废液</w:t>
            </w:r>
          </w:p>
        </w:tc>
        <w:tc>
          <w:tcPr>
            <w:tcW w:w="583" w:type="pct"/>
            <w:tcBorders>
              <w:tl2br w:val="nil"/>
              <w:tr2bl w:val="nil"/>
            </w:tcBorders>
            <w:shd w:val="clear" w:color="auto" w:fill="auto"/>
            <w:vAlign w:val="center"/>
          </w:tcPr>
          <w:p w14:paraId="0A4F1155">
            <w:pPr>
              <w:widowControl/>
              <w:jc w:val="center"/>
              <w:rPr>
                <w:rFonts w:ascii="Times New Roman" w:hAnsi="Times New Roman" w:eastAsia="仿宋_GB2312" w:cs="Times New Roman"/>
                <w:color w:val="auto"/>
                <w:kern w:val="0"/>
                <w:sz w:val="21"/>
                <w:szCs w:val="21"/>
                <w:lang w:val="en-US" w:eastAsia="zh-CN" w:bidi="ar-SA"/>
              </w:rPr>
            </w:pPr>
            <w:r>
              <w:rPr>
                <w:rFonts w:eastAsia="仿宋_GB2312"/>
                <w:color w:val="auto"/>
                <w:kern w:val="0"/>
                <w:szCs w:val="21"/>
              </w:rPr>
              <w:t>1500</w:t>
            </w:r>
          </w:p>
        </w:tc>
        <w:tc>
          <w:tcPr>
            <w:tcW w:w="1663" w:type="pct"/>
            <w:tcBorders>
              <w:tl2br w:val="nil"/>
              <w:tr2bl w:val="nil"/>
            </w:tcBorders>
            <w:vAlign w:val="center"/>
          </w:tcPr>
          <w:p w14:paraId="1658A659">
            <w:pPr>
              <w:widowControl/>
              <w:jc w:val="center"/>
              <w:rPr>
                <w:rFonts w:eastAsia="仿宋_GB2312"/>
                <w:color w:val="auto"/>
                <w:kern w:val="0"/>
                <w:szCs w:val="21"/>
              </w:rPr>
            </w:pPr>
            <w:r>
              <w:rPr>
                <w:rFonts w:eastAsia="仿宋_GB2312"/>
                <w:color w:val="auto"/>
                <w:kern w:val="0"/>
                <w:szCs w:val="21"/>
              </w:rPr>
              <w:t>吨桶/200L桶/25L桶/20L桶</w:t>
            </w:r>
          </w:p>
        </w:tc>
        <w:tc>
          <w:tcPr>
            <w:tcW w:w="695" w:type="pct"/>
            <w:tcBorders>
              <w:tl2br w:val="nil"/>
              <w:tr2bl w:val="nil"/>
            </w:tcBorders>
            <w:vAlign w:val="center"/>
          </w:tcPr>
          <w:p w14:paraId="61F26E36">
            <w:pPr>
              <w:widowControl/>
              <w:jc w:val="center"/>
              <w:rPr>
                <w:rFonts w:eastAsia="仿宋_GB2312"/>
                <w:color w:val="auto"/>
                <w:kern w:val="0"/>
                <w:szCs w:val="21"/>
              </w:rPr>
            </w:pPr>
            <w:r>
              <w:rPr>
                <w:rFonts w:hint="eastAsia" w:eastAsia="仿宋_GB2312"/>
                <w:color w:val="auto"/>
                <w:kern w:val="0"/>
                <w:szCs w:val="21"/>
              </w:rPr>
              <w:t>外购、汽运</w:t>
            </w:r>
          </w:p>
        </w:tc>
      </w:tr>
      <w:tr w14:paraId="05A4408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0" w:type="pct"/>
            <w:vMerge w:val="continue"/>
            <w:tcBorders>
              <w:tl2br w:val="nil"/>
              <w:tr2bl w:val="nil"/>
            </w:tcBorders>
            <w:vAlign w:val="center"/>
          </w:tcPr>
          <w:p w14:paraId="029DFEB7">
            <w:pPr>
              <w:widowControl/>
              <w:jc w:val="center"/>
              <w:rPr>
                <w:rFonts w:eastAsia="仿宋_GB2312"/>
                <w:bCs/>
                <w:color w:val="FF0000"/>
                <w:kern w:val="0"/>
                <w:szCs w:val="21"/>
              </w:rPr>
            </w:pPr>
          </w:p>
        </w:tc>
        <w:tc>
          <w:tcPr>
            <w:tcW w:w="435" w:type="pct"/>
            <w:tcBorders>
              <w:tl2br w:val="nil"/>
              <w:tr2bl w:val="nil"/>
            </w:tcBorders>
            <w:vAlign w:val="center"/>
          </w:tcPr>
          <w:p w14:paraId="02415746">
            <w:pPr>
              <w:widowControl/>
              <w:jc w:val="center"/>
              <w:rPr>
                <w:rFonts w:eastAsia="仿宋_GB2312"/>
                <w:bCs/>
                <w:color w:val="auto"/>
                <w:kern w:val="0"/>
                <w:szCs w:val="21"/>
              </w:rPr>
            </w:pPr>
            <w:r>
              <w:rPr>
                <w:rFonts w:eastAsia="仿宋_GB2312"/>
                <w:bCs/>
                <w:color w:val="auto"/>
                <w:kern w:val="0"/>
                <w:szCs w:val="21"/>
              </w:rPr>
              <w:t>22</w:t>
            </w:r>
          </w:p>
        </w:tc>
        <w:tc>
          <w:tcPr>
            <w:tcW w:w="1202" w:type="pct"/>
            <w:tcBorders>
              <w:tl2br w:val="nil"/>
              <w:tr2bl w:val="nil"/>
            </w:tcBorders>
            <w:shd w:val="clear" w:color="auto" w:fill="auto"/>
            <w:vAlign w:val="center"/>
          </w:tcPr>
          <w:p w14:paraId="1FBDD307">
            <w:pPr>
              <w:widowControl/>
              <w:jc w:val="center"/>
              <w:rPr>
                <w:rFonts w:ascii="Times New Roman" w:hAnsi="Times New Roman" w:eastAsia="仿宋_GB2312" w:cs="Times New Roman"/>
                <w:color w:val="auto"/>
                <w:kern w:val="0"/>
                <w:sz w:val="21"/>
                <w:szCs w:val="21"/>
                <w:lang w:val="en-US" w:eastAsia="zh-CN" w:bidi="ar-SA"/>
              </w:rPr>
            </w:pPr>
            <w:r>
              <w:rPr>
                <w:rFonts w:eastAsia="仿宋_GB2312"/>
                <w:color w:val="auto"/>
                <w:kern w:val="0"/>
                <w:szCs w:val="21"/>
              </w:rPr>
              <w:t>乙酸甲酯废液</w:t>
            </w:r>
          </w:p>
        </w:tc>
        <w:tc>
          <w:tcPr>
            <w:tcW w:w="583" w:type="pct"/>
            <w:tcBorders>
              <w:tl2br w:val="nil"/>
              <w:tr2bl w:val="nil"/>
            </w:tcBorders>
            <w:shd w:val="clear" w:color="auto" w:fill="auto"/>
            <w:vAlign w:val="center"/>
          </w:tcPr>
          <w:p w14:paraId="50557FAA">
            <w:pPr>
              <w:widowControl/>
              <w:jc w:val="center"/>
              <w:rPr>
                <w:rFonts w:ascii="Times New Roman" w:hAnsi="Times New Roman" w:eastAsia="仿宋_GB2312" w:cs="Times New Roman"/>
                <w:color w:val="auto"/>
                <w:kern w:val="0"/>
                <w:sz w:val="21"/>
                <w:szCs w:val="21"/>
                <w:lang w:val="en-US" w:eastAsia="zh-CN" w:bidi="ar-SA"/>
              </w:rPr>
            </w:pPr>
            <w:r>
              <w:rPr>
                <w:rFonts w:eastAsia="仿宋_GB2312"/>
                <w:color w:val="auto"/>
                <w:kern w:val="0"/>
                <w:szCs w:val="21"/>
              </w:rPr>
              <w:t>1050</w:t>
            </w:r>
          </w:p>
        </w:tc>
        <w:tc>
          <w:tcPr>
            <w:tcW w:w="1663" w:type="pct"/>
            <w:tcBorders>
              <w:tl2br w:val="nil"/>
              <w:tr2bl w:val="nil"/>
            </w:tcBorders>
            <w:vAlign w:val="center"/>
          </w:tcPr>
          <w:p w14:paraId="7B0F83EE">
            <w:pPr>
              <w:widowControl/>
              <w:jc w:val="center"/>
              <w:rPr>
                <w:rFonts w:eastAsia="仿宋_GB2312"/>
                <w:b/>
                <w:color w:val="auto"/>
                <w:kern w:val="0"/>
                <w:szCs w:val="21"/>
              </w:rPr>
            </w:pPr>
            <w:r>
              <w:rPr>
                <w:rFonts w:eastAsia="仿宋_GB2312"/>
                <w:color w:val="auto"/>
                <w:kern w:val="0"/>
                <w:szCs w:val="21"/>
              </w:rPr>
              <w:t>吨桶/200L桶/25L桶/20L桶</w:t>
            </w:r>
          </w:p>
        </w:tc>
        <w:tc>
          <w:tcPr>
            <w:tcW w:w="695" w:type="pct"/>
            <w:tcBorders>
              <w:tl2br w:val="nil"/>
              <w:tr2bl w:val="nil"/>
            </w:tcBorders>
            <w:vAlign w:val="center"/>
          </w:tcPr>
          <w:p w14:paraId="1D45463C">
            <w:pPr>
              <w:widowControl/>
              <w:jc w:val="center"/>
              <w:rPr>
                <w:rFonts w:eastAsia="仿宋_GB2312"/>
                <w:color w:val="auto"/>
                <w:kern w:val="0"/>
                <w:szCs w:val="21"/>
              </w:rPr>
            </w:pPr>
            <w:r>
              <w:rPr>
                <w:rFonts w:hint="eastAsia" w:eastAsia="仿宋_GB2312"/>
                <w:color w:val="auto"/>
                <w:kern w:val="0"/>
                <w:szCs w:val="21"/>
              </w:rPr>
              <w:t>外购、汽运</w:t>
            </w:r>
          </w:p>
        </w:tc>
      </w:tr>
      <w:tr w14:paraId="6C83ABE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0" w:type="pct"/>
            <w:vMerge w:val="continue"/>
            <w:tcBorders>
              <w:tl2br w:val="nil"/>
              <w:tr2bl w:val="nil"/>
            </w:tcBorders>
            <w:vAlign w:val="center"/>
          </w:tcPr>
          <w:p w14:paraId="094CD8AF">
            <w:pPr>
              <w:widowControl/>
              <w:jc w:val="center"/>
              <w:rPr>
                <w:rFonts w:eastAsia="仿宋_GB2312"/>
                <w:bCs/>
                <w:color w:val="FF0000"/>
                <w:kern w:val="0"/>
                <w:szCs w:val="21"/>
              </w:rPr>
            </w:pPr>
          </w:p>
        </w:tc>
        <w:tc>
          <w:tcPr>
            <w:tcW w:w="435" w:type="pct"/>
            <w:tcBorders>
              <w:tl2br w:val="nil"/>
              <w:tr2bl w:val="nil"/>
            </w:tcBorders>
            <w:vAlign w:val="center"/>
          </w:tcPr>
          <w:p w14:paraId="6421704A">
            <w:pPr>
              <w:widowControl/>
              <w:jc w:val="center"/>
              <w:rPr>
                <w:rFonts w:eastAsia="仿宋_GB2312"/>
                <w:bCs/>
                <w:color w:val="auto"/>
                <w:kern w:val="0"/>
                <w:szCs w:val="21"/>
              </w:rPr>
            </w:pPr>
            <w:r>
              <w:rPr>
                <w:rFonts w:eastAsia="仿宋_GB2312"/>
                <w:bCs/>
                <w:color w:val="auto"/>
                <w:kern w:val="0"/>
                <w:szCs w:val="21"/>
              </w:rPr>
              <w:t>23</w:t>
            </w:r>
          </w:p>
        </w:tc>
        <w:tc>
          <w:tcPr>
            <w:tcW w:w="1202" w:type="pct"/>
            <w:tcBorders>
              <w:tl2br w:val="nil"/>
              <w:tr2bl w:val="nil"/>
            </w:tcBorders>
            <w:shd w:val="clear" w:color="auto" w:fill="auto"/>
            <w:vAlign w:val="center"/>
          </w:tcPr>
          <w:p w14:paraId="71DDA1FE">
            <w:pPr>
              <w:widowControl/>
              <w:jc w:val="center"/>
              <w:rPr>
                <w:rFonts w:ascii="Times New Roman" w:hAnsi="Times New Roman" w:eastAsia="仿宋_GB2312" w:cs="Times New Roman"/>
                <w:color w:val="auto"/>
                <w:kern w:val="0"/>
                <w:sz w:val="21"/>
                <w:szCs w:val="21"/>
                <w:lang w:val="en-US" w:eastAsia="zh-CN" w:bidi="ar-SA"/>
              </w:rPr>
            </w:pPr>
            <w:r>
              <w:rPr>
                <w:rFonts w:eastAsia="仿宋_GB2312"/>
                <w:color w:val="auto"/>
                <w:kern w:val="0"/>
                <w:szCs w:val="21"/>
              </w:rPr>
              <w:t>异丙醇废液</w:t>
            </w:r>
          </w:p>
        </w:tc>
        <w:tc>
          <w:tcPr>
            <w:tcW w:w="583" w:type="pct"/>
            <w:tcBorders>
              <w:tl2br w:val="nil"/>
              <w:tr2bl w:val="nil"/>
            </w:tcBorders>
            <w:shd w:val="clear" w:color="auto" w:fill="auto"/>
            <w:vAlign w:val="center"/>
          </w:tcPr>
          <w:p w14:paraId="5E9C88AE">
            <w:pPr>
              <w:widowControl/>
              <w:jc w:val="center"/>
              <w:rPr>
                <w:rFonts w:ascii="Times New Roman" w:hAnsi="Times New Roman" w:eastAsia="仿宋_GB2312" w:cs="Times New Roman"/>
                <w:color w:val="auto"/>
                <w:kern w:val="0"/>
                <w:sz w:val="21"/>
                <w:szCs w:val="21"/>
                <w:lang w:val="en-US" w:eastAsia="zh-CN" w:bidi="ar-SA"/>
              </w:rPr>
            </w:pPr>
            <w:r>
              <w:rPr>
                <w:rFonts w:eastAsia="仿宋_GB2312"/>
                <w:color w:val="auto"/>
                <w:kern w:val="0"/>
                <w:szCs w:val="21"/>
              </w:rPr>
              <w:t>23700</w:t>
            </w:r>
          </w:p>
        </w:tc>
        <w:tc>
          <w:tcPr>
            <w:tcW w:w="1663" w:type="pct"/>
            <w:tcBorders>
              <w:tl2br w:val="nil"/>
              <w:tr2bl w:val="nil"/>
            </w:tcBorders>
            <w:vAlign w:val="center"/>
          </w:tcPr>
          <w:p w14:paraId="36345B58">
            <w:pPr>
              <w:widowControl/>
              <w:jc w:val="center"/>
              <w:rPr>
                <w:rFonts w:eastAsia="仿宋_GB2312"/>
                <w:b/>
                <w:color w:val="auto"/>
                <w:kern w:val="0"/>
                <w:szCs w:val="21"/>
              </w:rPr>
            </w:pPr>
            <w:r>
              <w:rPr>
                <w:rFonts w:eastAsia="仿宋_GB2312"/>
                <w:color w:val="auto"/>
                <w:kern w:val="0"/>
                <w:szCs w:val="21"/>
              </w:rPr>
              <w:t>吨桶/200L桶/25L桶/20L桶</w:t>
            </w:r>
          </w:p>
        </w:tc>
        <w:tc>
          <w:tcPr>
            <w:tcW w:w="695" w:type="pct"/>
            <w:tcBorders>
              <w:tl2br w:val="nil"/>
              <w:tr2bl w:val="nil"/>
            </w:tcBorders>
            <w:vAlign w:val="center"/>
          </w:tcPr>
          <w:p w14:paraId="11A11A89">
            <w:pPr>
              <w:widowControl/>
              <w:jc w:val="center"/>
              <w:rPr>
                <w:rFonts w:eastAsia="仿宋_GB2312"/>
                <w:color w:val="auto"/>
                <w:kern w:val="0"/>
                <w:szCs w:val="21"/>
              </w:rPr>
            </w:pPr>
            <w:r>
              <w:rPr>
                <w:rFonts w:hint="eastAsia" w:eastAsia="仿宋_GB2312"/>
                <w:color w:val="auto"/>
                <w:kern w:val="0"/>
                <w:szCs w:val="21"/>
              </w:rPr>
              <w:t>外购、汽运</w:t>
            </w:r>
          </w:p>
        </w:tc>
      </w:tr>
      <w:tr w14:paraId="59324C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0" w:type="pct"/>
            <w:vMerge w:val="continue"/>
            <w:tcBorders>
              <w:tl2br w:val="nil"/>
              <w:tr2bl w:val="nil"/>
            </w:tcBorders>
            <w:vAlign w:val="center"/>
          </w:tcPr>
          <w:p w14:paraId="12665DE4">
            <w:pPr>
              <w:widowControl/>
              <w:jc w:val="center"/>
              <w:rPr>
                <w:rFonts w:eastAsia="仿宋_GB2312"/>
                <w:bCs/>
                <w:color w:val="FF0000"/>
                <w:kern w:val="0"/>
                <w:szCs w:val="21"/>
              </w:rPr>
            </w:pPr>
          </w:p>
        </w:tc>
        <w:tc>
          <w:tcPr>
            <w:tcW w:w="435" w:type="pct"/>
            <w:tcBorders>
              <w:tl2br w:val="nil"/>
              <w:tr2bl w:val="nil"/>
            </w:tcBorders>
            <w:vAlign w:val="center"/>
          </w:tcPr>
          <w:p w14:paraId="7C2CA44E">
            <w:pPr>
              <w:widowControl/>
              <w:jc w:val="center"/>
              <w:rPr>
                <w:rFonts w:eastAsia="仿宋_GB2312"/>
                <w:bCs/>
                <w:color w:val="auto"/>
                <w:kern w:val="0"/>
                <w:szCs w:val="21"/>
              </w:rPr>
            </w:pPr>
            <w:r>
              <w:rPr>
                <w:rFonts w:eastAsia="仿宋_GB2312"/>
                <w:bCs/>
                <w:color w:val="auto"/>
                <w:kern w:val="0"/>
                <w:szCs w:val="21"/>
              </w:rPr>
              <w:t>24</w:t>
            </w:r>
          </w:p>
        </w:tc>
        <w:tc>
          <w:tcPr>
            <w:tcW w:w="1202" w:type="pct"/>
            <w:tcBorders>
              <w:tl2br w:val="nil"/>
              <w:tr2bl w:val="nil"/>
            </w:tcBorders>
            <w:shd w:val="clear" w:color="auto" w:fill="auto"/>
            <w:vAlign w:val="center"/>
          </w:tcPr>
          <w:p w14:paraId="57A8322E">
            <w:pPr>
              <w:widowControl/>
              <w:jc w:val="center"/>
              <w:rPr>
                <w:rFonts w:hint="eastAsia" w:ascii="Times New Roman" w:hAnsi="Times New Roman" w:eastAsia="仿宋_GB2312" w:cs="Times New Roman"/>
                <w:color w:val="auto"/>
                <w:kern w:val="0"/>
                <w:sz w:val="21"/>
                <w:szCs w:val="21"/>
                <w:lang w:val="en-US" w:eastAsia="zh-CN" w:bidi="ar-SA"/>
              </w:rPr>
            </w:pPr>
            <w:r>
              <w:rPr>
                <w:rFonts w:eastAsia="仿宋_GB2312"/>
                <w:color w:val="auto"/>
                <w:kern w:val="0"/>
                <w:szCs w:val="21"/>
              </w:rPr>
              <w:t>己烷</w:t>
            </w:r>
            <w:r>
              <w:rPr>
                <w:rFonts w:hint="eastAsia" w:eastAsia="仿宋_GB2312"/>
                <w:color w:val="auto"/>
                <w:kern w:val="0"/>
                <w:szCs w:val="21"/>
                <w:lang w:val="en-US" w:eastAsia="zh-CN"/>
              </w:rPr>
              <w:t>废液</w:t>
            </w:r>
          </w:p>
        </w:tc>
        <w:tc>
          <w:tcPr>
            <w:tcW w:w="583" w:type="pct"/>
            <w:tcBorders>
              <w:tl2br w:val="nil"/>
              <w:tr2bl w:val="nil"/>
            </w:tcBorders>
            <w:shd w:val="clear" w:color="auto" w:fill="auto"/>
            <w:vAlign w:val="center"/>
          </w:tcPr>
          <w:p w14:paraId="6A99F3A3">
            <w:pPr>
              <w:widowControl/>
              <w:jc w:val="center"/>
              <w:rPr>
                <w:rFonts w:ascii="Times New Roman" w:hAnsi="Times New Roman" w:eastAsia="仿宋_GB2312" w:cs="Times New Roman"/>
                <w:color w:val="auto"/>
                <w:kern w:val="0"/>
                <w:sz w:val="21"/>
                <w:szCs w:val="21"/>
                <w:lang w:val="en-US" w:eastAsia="zh-CN" w:bidi="ar-SA"/>
              </w:rPr>
            </w:pPr>
            <w:r>
              <w:rPr>
                <w:rFonts w:hint="eastAsia" w:eastAsia="仿宋_GB2312"/>
                <w:color w:val="auto"/>
                <w:kern w:val="0"/>
                <w:szCs w:val="21"/>
                <w:lang w:val="en-US" w:eastAsia="zh-CN"/>
              </w:rPr>
              <w:t>3</w:t>
            </w:r>
            <w:r>
              <w:rPr>
                <w:rFonts w:eastAsia="仿宋_GB2312"/>
                <w:color w:val="auto"/>
                <w:kern w:val="0"/>
                <w:szCs w:val="21"/>
              </w:rPr>
              <w:t>000</w:t>
            </w:r>
          </w:p>
        </w:tc>
        <w:tc>
          <w:tcPr>
            <w:tcW w:w="1663" w:type="pct"/>
            <w:tcBorders>
              <w:tl2br w:val="nil"/>
              <w:tr2bl w:val="nil"/>
            </w:tcBorders>
            <w:vAlign w:val="center"/>
          </w:tcPr>
          <w:p w14:paraId="2F24A7C1">
            <w:pPr>
              <w:widowControl/>
              <w:jc w:val="center"/>
              <w:rPr>
                <w:rFonts w:eastAsia="仿宋_GB2312"/>
                <w:color w:val="auto"/>
                <w:kern w:val="0"/>
                <w:szCs w:val="21"/>
              </w:rPr>
            </w:pPr>
            <w:r>
              <w:rPr>
                <w:rFonts w:eastAsia="仿宋_GB2312"/>
                <w:color w:val="auto"/>
                <w:kern w:val="0"/>
                <w:szCs w:val="21"/>
              </w:rPr>
              <w:t>吨桶/200L桶/25L桶/20L桶</w:t>
            </w:r>
          </w:p>
        </w:tc>
        <w:tc>
          <w:tcPr>
            <w:tcW w:w="695" w:type="pct"/>
            <w:tcBorders>
              <w:tl2br w:val="nil"/>
              <w:tr2bl w:val="nil"/>
            </w:tcBorders>
            <w:vAlign w:val="center"/>
          </w:tcPr>
          <w:p w14:paraId="2C447467">
            <w:pPr>
              <w:widowControl/>
              <w:jc w:val="center"/>
              <w:rPr>
                <w:rFonts w:eastAsia="仿宋_GB2312"/>
                <w:color w:val="auto"/>
                <w:kern w:val="0"/>
                <w:szCs w:val="21"/>
              </w:rPr>
            </w:pPr>
            <w:r>
              <w:rPr>
                <w:rFonts w:hint="eastAsia" w:eastAsia="仿宋_GB2312"/>
                <w:color w:val="auto"/>
                <w:kern w:val="0"/>
                <w:szCs w:val="21"/>
              </w:rPr>
              <w:t>外购、汽运</w:t>
            </w:r>
          </w:p>
        </w:tc>
      </w:tr>
      <w:tr w14:paraId="1FB77B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0" w:type="pct"/>
            <w:vMerge w:val="continue"/>
            <w:tcBorders>
              <w:tl2br w:val="nil"/>
              <w:tr2bl w:val="nil"/>
            </w:tcBorders>
            <w:vAlign w:val="center"/>
          </w:tcPr>
          <w:p w14:paraId="79A8676B">
            <w:pPr>
              <w:widowControl/>
              <w:jc w:val="center"/>
              <w:rPr>
                <w:rFonts w:eastAsia="仿宋_GB2312"/>
                <w:bCs/>
                <w:color w:val="FF0000"/>
                <w:kern w:val="0"/>
                <w:szCs w:val="21"/>
              </w:rPr>
            </w:pPr>
          </w:p>
        </w:tc>
        <w:tc>
          <w:tcPr>
            <w:tcW w:w="435" w:type="pct"/>
            <w:tcBorders>
              <w:tl2br w:val="nil"/>
              <w:tr2bl w:val="nil"/>
            </w:tcBorders>
            <w:vAlign w:val="center"/>
          </w:tcPr>
          <w:p w14:paraId="4C9479B1">
            <w:pPr>
              <w:widowControl/>
              <w:jc w:val="center"/>
              <w:rPr>
                <w:rFonts w:eastAsia="仿宋_GB2312"/>
                <w:bCs/>
                <w:color w:val="auto"/>
                <w:kern w:val="0"/>
                <w:szCs w:val="21"/>
              </w:rPr>
            </w:pPr>
            <w:r>
              <w:rPr>
                <w:rFonts w:eastAsia="仿宋_GB2312"/>
                <w:bCs/>
                <w:color w:val="auto"/>
                <w:kern w:val="0"/>
                <w:szCs w:val="21"/>
              </w:rPr>
              <w:t>25</w:t>
            </w:r>
          </w:p>
        </w:tc>
        <w:tc>
          <w:tcPr>
            <w:tcW w:w="1202" w:type="pct"/>
            <w:tcBorders>
              <w:tl2br w:val="nil"/>
              <w:tr2bl w:val="nil"/>
            </w:tcBorders>
            <w:shd w:val="clear" w:color="auto" w:fill="auto"/>
            <w:vAlign w:val="center"/>
          </w:tcPr>
          <w:p w14:paraId="4E5539BD">
            <w:pPr>
              <w:widowControl/>
              <w:jc w:val="center"/>
              <w:rPr>
                <w:rFonts w:eastAsia="仿宋_GB2312"/>
                <w:color w:val="auto"/>
                <w:kern w:val="0"/>
                <w:szCs w:val="21"/>
              </w:rPr>
            </w:pPr>
            <w:r>
              <w:rPr>
                <w:rFonts w:eastAsia="仿宋_GB2312"/>
                <w:color w:val="auto"/>
                <w:kern w:val="0"/>
                <w:szCs w:val="21"/>
              </w:rPr>
              <w:t>精馏残液</w:t>
            </w:r>
          </w:p>
          <w:p w14:paraId="770D6506">
            <w:pPr>
              <w:widowControl/>
              <w:jc w:val="center"/>
              <w:rPr>
                <w:rFonts w:hint="eastAsia" w:ascii="Times New Roman" w:hAnsi="Times New Roman" w:eastAsia="仿宋_GB2312" w:cs="Times New Roman"/>
                <w:color w:val="auto"/>
                <w:kern w:val="0"/>
                <w:sz w:val="21"/>
                <w:szCs w:val="21"/>
                <w:lang w:val="en-US" w:eastAsia="zh-CN" w:bidi="ar-SA"/>
              </w:rPr>
            </w:pPr>
            <w:r>
              <w:rPr>
                <w:rFonts w:eastAsia="仿宋_GB2312"/>
                <w:color w:val="auto"/>
                <w:kern w:val="0"/>
                <w:szCs w:val="21"/>
              </w:rPr>
              <w:t>（含异丙苯）</w:t>
            </w:r>
          </w:p>
        </w:tc>
        <w:tc>
          <w:tcPr>
            <w:tcW w:w="583" w:type="pct"/>
            <w:tcBorders>
              <w:tl2br w:val="nil"/>
              <w:tr2bl w:val="nil"/>
            </w:tcBorders>
            <w:shd w:val="clear" w:color="auto" w:fill="auto"/>
            <w:vAlign w:val="center"/>
          </w:tcPr>
          <w:p w14:paraId="57E97C55">
            <w:pPr>
              <w:widowControl/>
              <w:jc w:val="center"/>
              <w:rPr>
                <w:rFonts w:ascii="Times New Roman" w:hAnsi="Times New Roman" w:eastAsia="仿宋_GB2312" w:cs="Times New Roman"/>
                <w:color w:val="auto"/>
                <w:kern w:val="0"/>
                <w:sz w:val="21"/>
                <w:szCs w:val="21"/>
                <w:lang w:val="en-US" w:eastAsia="zh-CN" w:bidi="ar-SA"/>
              </w:rPr>
            </w:pPr>
            <w:r>
              <w:rPr>
                <w:rFonts w:hint="eastAsia" w:eastAsia="仿宋_GB2312"/>
                <w:color w:val="auto"/>
                <w:kern w:val="0"/>
                <w:szCs w:val="21"/>
                <w:lang w:val="en-US" w:eastAsia="zh-CN"/>
              </w:rPr>
              <w:t>1</w:t>
            </w:r>
            <w:r>
              <w:rPr>
                <w:rFonts w:eastAsia="仿宋_GB2312"/>
                <w:color w:val="auto"/>
                <w:kern w:val="0"/>
                <w:szCs w:val="21"/>
              </w:rPr>
              <w:t>000</w:t>
            </w:r>
          </w:p>
        </w:tc>
        <w:tc>
          <w:tcPr>
            <w:tcW w:w="1663" w:type="pct"/>
            <w:tcBorders>
              <w:tl2br w:val="nil"/>
              <w:tr2bl w:val="nil"/>
            </w:tcBorders>
            <w:vAlign w:val="center"/>
          </w:tcPr>
          <w:p w14:paraId="3353AB1C">
            <w:pPr>
              <w:widowControl/>
              <w:jc w:val="center"/>
              <w:rPr>
                <w:rFonts w:eastAsia="仿宋_GB2312"/>
                <w:color w:val="auto"/>
                <w:kern w:val="0"/>
                <w:szCs w:val="21"/>
              </w:rPr>
            </w:pPr>
            <w:r>
              <w:rPr>
                <w:rFonts w:eastAsia="仿宋_GB2312"/>
                <w:color w:val="auto"/>
                <w:kern w:val="0"/>
                <w:szCs w:val="21"/>
              </w:rPr>
              <w:t>吨桶/200L桶/25L桶/20L桶</w:t>
            </w:r>
          </w:p>
        </w:tc>
        <w:tc>
          <w:tcPr>
            <w:tcW w:w="695" w:type="pct"/>
            <w:tcBorders>
              <w:tl2br w:val="nil"/>
              <w:tr2bl w:val="nil"/>
            </w:tcBorders>
            <w:vAlign w:val="center"/>
          </w:tcPr>
          <w:p w14:paraId="2BD83008">
            <w:pPr>
              <w:widowControl/>
              <w:jc w:val="center"/>
              <w:rPr>
                <w:rFonts w:eastAsia="仿宋_GB2312"/>
                <w:color w:val="auto"/>
                <w:kern w:val="0"/>
                <w:szCs w:val="21"/>
              </w:rPr>
            </w:pPr>
            <w:r>
              <w:rPr>
                <w:rFonts w:hint="eastAsia" w:eastAsia="仿宋_GB2312"/>
                <w:color w:val="auto"/>
                <w:kern w:val="0"/>
                <w:szCs w:val="21"/>
              </w:rPr>
              <w:t>外购、汽运</w:t>
            </w:r>
          </w:p>
        </w:tc>
      </w:tr>
      <w:tr w14:paraId="3A92EA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0" w:type="pct"/>
            <w:vMerge w:val="continue"/>
            <w:tcBorders>
              <w:tl2br w:val="nil"/>
              <w:tr2bl w:val="nil"/>
            </w:tcBorders>
            <w:vAlign w:val="center"/>
          </w:tcPr>
          <w:p w14:paraId="260C46DB">
            <w:pPr>
              <w:widowControl/>
              <w:jc w:val="center"/>
              <w:rPr>
                <w:rFonts w:eastAsia="仿宋_GB2312"/>
                <w:bCs/>
                <w:color w:val="FF0000"/>
                <w:kern w:val="0"/>
                <w:szCs w:val="21"/>
              </w:rPr>
            </w:pPr>
          </w:p>
        </w:tc>
        <w:tc>
          <w:tcPr>
            <w:tcW w:w="435" w:type="pct"/>
            <w:tcBorders>
              <w:tl2br w:val="nil"/>
              <w:tr2bl w:val="nil"/>
            </w:tcBorders>
            <w:vAlign w:val="center"/>
          </w:tcPr>
          <w:p w14:paraId="04BE847E">
            <w:pPr>
              <w:widowControl/>
              <w:jc w:val="center"/>
              <w:rPr>
                <w:rFonts w:hint="default" w:eastAsia="仿宋_GB2312"/>
                <w:bCs/>
                <w:color w:val="auto"/>
                <w:kern w:val="0"/>
                <w:szCs w:val="21"/>
                <w:lang w:val="en-US" w:eastAsia="zh-CN"/>
              </w:rPr>
            </w:pPr>
            <w:r>
              <w:rPr>
                <w:rFonts w:hint="eastAsia" w:eastAsia="仿宋_GB2312"/>
                <w:bCs/>
                <w:color w:val="auto"/>
                <w:kern w:val="0"/>
                <w:szCs w:val="21"/>
                <w:lang w:val="en-US" w:eastAsia="zh-CN"/>
              </w:rPr>
              <w:t>26</w:t>
            </w:r>
          </w:p>
        </w:tc>
        <w:tc>
          <w:tcPr>
            <w:tcW w:w="1202" w:type="pct"/>
            <w:tcBorders>
              <w:tl2br w:val="nil"/>
              <w:tr2bl w:val="nil"/>
            </w:tcBorders>
            <w:shd w:val="clear" w:color="auto" w:fill="auto"/>
            <w:vAlign w:val="center"/>
          </w:tcPr>
          <w:p w14:paraId="4ABF2C42">
            <w:pPr>
              <w:widowControl/>
              <w:jc w:val="center"/>
              <w:rPr>
                <w:rFonts w:eastAsia="仿宋_GB2312"/>
                <w:color w:val="auto"/>
                <w:kern w:val="0"/>
                <w:szCs w:val="21"/>
              </w:rPr>
            </w:pPr>
            <w:r>
              <w:rPr>
                <w:rFonts w:eastAsia="仿宋_GB2312"/>
                <w:color w:val="auto"/>
                <w:kern w:val="0"/>
                <w:szCs w:val="21"/>
              </w:rPr>
              <w:t>精馏残液</w:t>
            </w:r>
          </w:p>
          <w:p w14:paraId="4828EA58">
            <w:pPr>
              <w:widowControl/>
              <w:jc w:val="center"/>
              <w:rPr>
                <w:rFonts w:ascii="Times New Roman" w:hAnsi="Times New Roman" w:eastAsia="仿宋_GB2312" w:cs="Times New Roman"/>
                <w:color w:val="auto"/>
                <w:kern w:val="0"/>
                <w:sz w:val="21"/>
                <w:szCs w:val="21"/>
                <w:lang w:val="en-US" w:eastAsia="zh-CN" w:bidi="ar-SA"/>
              </w:rPr>
            </w:pPr>
            <w:r>
              <w:rPr>
                <w:rFonts w:eastAsia="仿宋_GB2312"/>
                <w:color w:val="auto"/>
                <w:kern w:val="0"/>
                <w:szCs w:val="21"/>
              </w:rPr>
              <w:t>（含苯酚）</w:t>
            </w:r>
          </w:p>
        </w:tc>
        <w:tc>
          <w:tcPr>
            <w:tcW w:w="583" w:type="pct"/>
            <w:tcBorders>
              <w:tl2br w:val="nil"/>
              <w:tr2bl w:val="nil"/>
            </w:tcBorders>
            <w:shd w:val="clear" w:color="auto" w:fill="auto"/>
            <w:vAlign w:val="center"/>
          </w:tcPr>
          <w:p w14:paraId="5ABF7159">
            <w:pPr>
              <w:widowControl/>
              <w:jc w:val="center"/>
              <w:rPr>
                <w:rFonts w:ascii="Times New Roman" w:hAnsi="Times New Roman" w:eastAsia="仿宋_GB2312" w:cs="Times New Roman"/>
                <w:color w:val="auto"/>
                <w:kern w:val="0"/>
                <w:sz w:val="21"/>
                <w:szCs w:val="21"/>
                <w:lang w:val="en-US" w:eastAsia="zh-CN" w:bidi="ar-SA"/>
              </w:rPr>
            </w:pPr>
            <w:r>
              <w:rPr>
                <w:rFonts w:hint="eastAsia" w:eastAsia="仿宋_GB2312"/>
                <w:color w:val="auto"/>
                <w:kern w:val="0"/>
                <w:szCs w:val="21"/>
                <w:lang w:val="en-US" w:eastAsia="zh-CN"/>
              </w:rPr>
              <w:t>1</w:t>
            </w:r>
            <w:r>
              <w:rPr>
                <w:rFonts w:eastAsia="仿宋_GB2312"/>
                <w:color w:val="auto"/>
                <w:kern w:val="0"/>
                <w:szCs w:val="21"/>
              </w:rPr>
              <w:t>000</w:t>
            </w:r>
          </w:p>
        </w:tc>
        <w:tc>
          <w:tcPr>
            <w:tcW w:w="1663" w:type="pct"/>
            <w:tcBorders>
              <w:tl2br w:val="nil"/>
              <w:tr2bl w:val="nil"/>
            </w:tcBorders>
            <w:shd w:val="clear" w:color="auto" w:fill="auto"/>
            <w:vAlign w:val="center"/>
          </w:tcPr>
          <w:p w14:paraId="4750C34C">
            <w:pPr>
              <w:widowControl/>
              <w:jc w:val="center"/>
              <w:rPr>
                <w:rFonts w:ascii="Times New Roman" w:hAnsi="Times New Roman" w:eastAsia="仿宋_GB2312" w:cs="Times New Roman"/>
                <w:b/>
                <w:color w:val="auto"/>
                <w:kern w:val="0"/>
                <w:sz w:val="21"/>
                <w:szCs w:val="21"/>
                <w:lang w:val="en-US" w:eastAsia="zh-CN" w:bidi="ar-SA"/>
              </w:rPr>
            </w:pPr>
            <w:r>
              <w:rPr>
                <w:rFonts w:eastAsia="仿宋_GB2312"/>
                <w:color w:val="auto"/>
                <w:kern w:val="0"/>
                <w:szCs w:val="21"/>
              </w:rPr>
              <w:t>吨桶/200L桶/25L桶/20L桶</w:t>
            </w:r>
          </w:p>
        </w:tc>
        <w:tc>
          <w:tcPr>
            <w:tcW w:w="695" w:type="pct"/>
            <w:tcBorders>
              <w:tl2br w:val="nil"/>
              <w:tr2bl w:val="nil"/>
            </w:tcBorders>
            <w:shd w:val="clear" w:color="auto" w:fill="auto"/>
            <w:vAlign w:val="center"/>
          </w:tcPr>
          <w:p w14:paraId="54784309">
            <w:pPr>
              <w:widowControl/>
              <w:jc w:val="center"/>
              <w:rPr>
                <w:rFonts w:hint="eastAsia" w:ascii="Times New Roman" w:hAnsi="Times New Roman" w:eastAsia="仿宋_GB2312" w:cs="Times New Roman"/>
                <w:color w:val="auto"/>
                <w:kern w:val="0"/>
                <w:sz w:val="21"/>
                <w:szCs w:val="21"/>
                <w:lang w:val="en-US" w:eastAsia="zh-CN" w:bidi="ar-SA"/>
              </w:rPr>
            </w:pPr>
            <w:r>
              <w:rPr>
                <w:rFonts w:hint="eastAsia" w:eastAsia="仿宋_GB2312"/>
                <w:color w:val="auto"/>
                <w:kern w:val="0"/>
                <w:szCs w:val="21"/>
              </w:rPr>
              <w:t>外购、汽运</w:t>
            </w:r>
          </w:p>
        </w:tc>
      </w:tr>
      <w:tr w14:paraId="6E14EC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0" w:type="pct"/>
            <w:vMerge w:val="continue"/>
            <w:tcBorders>
              <w:tl2br w:val="nil"/>
              <w:tr2bl w:val="nil"/>
            </w:tcBorders>
            <w:vAlign w:val="center"/>
          </w:tcPr>
          <w:p w14:paraId="37D3908C">
            <w:pPr>
              <w:widowControl/>
              <w:jc w:val="center"/>
              <w:rPr>
                <w:rFonts w:eastAsia="仿宋_GB2312"/>
                <w:bCs/>
                <w:color w:val="FF0000"/>
                <w:kern w:val="0"/>
                <w:szCs w:val="21"/>
              </w:rPr>
            </w:pPr>
          </w:p>
        </w:tc>
        <w:tc>
          <w:tcPr>
            <w:tcW w:w="435" w:type="pct"/>
            <w:tcBorders>
              <w:tl2br w:val="nil"/>
              <w:tr2bl w:val="nil"/>
            </w:tcBorders>
            <w:vAlign w:val="center"/>
          </w:tcPr>
          <w:p w14:paraId="09DA0604">
            <w:pPr>
              <w:widowControl/>
              <w:jc w:val="center"/>
              <w:rPr>
                <w:rFonts w:hint="default" w:eastAsia="仿宋_GB2312"/>
                <w:bCs/>
                <w:color w:val="auto"/>
                <w:kern w:val="0"/>
                <w:szCs w:val="21"/>
                <w:lang w:val="en-US" w:eastAsia="zh-CN"/>
              </w:rPr>
            </w:pPr>
            <w:r>
              <w:rPr>
                <w:rFonts w:hint="eastAsia" w:eastAsia="仿宋_GB2312"/>
                <w:bCs/>
                <w:color w:val="auto"/>
                <w:kern w:val="0"/>
                <w:szCs w:val="21"/>
                <w:lang w:val="en-US" w:eastAsia="zh-CN"/>
              </w:rPr>
              <w:t>27</w:t>
            </w:r>
          </w:p>
        </w:tc>
        <w:tc>
          <w:tcPr>
            <w:tcW w:w="1202" w:type="pct"/>
            <w:tcBorders>
              <w:tl2br w:val="nil"/>
              <w:tr2bl w:val="nil"/>
            </w:tcBorders>
            <w:shd w:val="clear" w:color="auto" w:fill="auto"/>
            <w:vAlign w:val="center"/>
          </w:tcPr>
          <w:p w14:paraId="3DD3B6FD">
            <w:pPr>
              <w:widowControl/>
              <w:jc w:val="center"/>
              <w:rPr>
                <w:rFonts w:eastAsia="仿宋_GB2312"/>
                <w:color w:val="auto"/>
                <w:kern w:val="0"/>
                <w:szCs w:val="21"/>
              </w:rPr>
            </w:pPr>
            <w:r>
              <w:rPr>
                <w:rFonts w:eastAsia="仿宋_GB2312"/>
                <w:color w:val="auto"/>
                <w:kern w:val="0"/>
                <w:szCs w:val="21"/>
              </w:rPr>
              <w:t>精馏残液</w:t>
            </w:r>
          </w:p>
          <w:p w14:paraId="249F0F32">
            <w:pPr>
              <w:widowControl/>
              <w:jc w:val="center"/>
              <w:rPr>
                <w:rFonts w:ascii="Times New Roman" w:hAnsi="Times New Roman" w:eastAsia="仿宋_GB2312" w:cs="Times New Roman"/>
                <w:color w:val="auto"/>
                <w:kern w:val="0"/>
                <w:sz w:val="21"/>
                <w:szCs w:val="21"/>
                <w:lang w:val="en-US" w:eastAsia="zh-CN" w:bidi="ar-SA"/>
              </w:rPr>
            </w:pPr>
            <w:r>
              <w:rPr>
                <w:rFonts w:eastAsia="仿宋_GB2312"/>
                <w:color w:val="auto"/>
                <w:kern w:val="0"/>
                <w:szCs w:val="21"/>
              </w:rPr>
              <w:t>（含乙酸乙烯酯）</w:t>
            </w:r>
          </w:p>
        </w:tc>
        <w:tc>
          <w:tcPr>
            <w:tcW w:w="583" w:type="pct"/>
            <w:tcBorders>
              <w:tl2br w:val="nil"/>
              <w:tr2bl w:val="nil"/>
            </w:tcBorders>
            <w:shd w:val="clear" w:color="auto" w:fill="auto"/>
            <w:vAlign w:val="center"/>
          </w:tcPr>
          <w:p w14:paraId="5DE0031D">
            <w:pPr>
              <w:widowControl/>
              <w:jc w:val="center"/>
              <w:rPr>
                <w:rFonts w:ascii="Times New Roman" w:hAnsi="Times New Roman" w:eastAsia="仿宋_GB2312" w:cs="Times New Roman"/>
                <w:color w:val="auto"/>
                <w:kern w:val="0"/>
                <w:sz w:val="21"/>
                <w:szCs w:val="21"/>
                <w:lang w:val="en-US" w:eastAsia="zh-CN" w:bidi="ar-SA"/>
              </w:rPr>
            </w:pPr>
            <w:r>
              <w:rPr>
                <w:rFonts w:eastAsia="仿宋_GB2312"/>
                <w:color w:val="auto"/>
                <w:kern w:val="0"/>
                <w:szCs w:val="21"/>
              </w:rPr>
              <w:t>1000</w:t>
            </w:r>
          </w:p>
        </w:tc>
        <w:tc>
          <w:tcPr>
            <w:tcW w:w="1663" w:type="pct"/>
            <w:tcBorders>
              <w:tl2br w:val="nil"/>
              <w:tr2bl w:val="nil"/>
            </w:tcBorders>
            <w:shd w:val="clear" w:color="auto" w:fill="auto"/>
            <w:vAlign w:val="center"/>
          </w:tcPr>
          <w:p w14:paraId="5355874F">
            <w:pPr>
              <w:widowControl/>
              <w:jc w:val="center"/>
              <w:rPr>
                <w:rFonts w:ascii="Times New Roman" w:hAnsi="Times New Roman" w:eastAsia="仿宋_GB2312" w:cs="Times New Roman"/>
                <w:color w:val="auto"/>
                <w:kern w:val="0"/>
                <w:sz w:val="21"/>
                <w:szCs w:val="21"/>
                <w:lang w:val="en-US" w:eastAsia="zh-CN" w:bidi="ar-SA"/>
              </w:rPr>
            </w:pPr>
            <w:r>
              <w:rPr>
                <w:rFonts w:eastAsia="仿宋_GB2312"/>
                <w:color w:val="auto"/>
                <w:kern w:val="0"/>
                <w:szCs w:val="21"/>
              </w:rPr>
              <w:t>吨桶/200L桶/25L桶/20L桶</w:t>
            </w:r>
          </w:p>
        </w:tc>
        <w:tc>
          <w:tcPr>
            <w:tcW w:w="695" w:type="pct"/>
            <w:tcBorders>
              <w:tl2br w:val="nil"/>
              <w:tr2bl w:val="nil"/>
            </w:tcBorders>
            <w:shd w:val="clear" w:color="auto" w:fill="auto"/>
            <w:vAlign w:val="center"/>
          </w:tcPr>
          <w:p w14:paraId="5FFAD603">
            <w:pPr>
              <w:widowControl/>
              <w:jc w:val="center"/>
              <w:rPr>
                <w:rFonts w:hint="eastAsia" w:ascii="Times New Roman" w:hAnsi="Times New Roman" w:eastAsia="仿宋_GB2312" w:cs="Times New Roman"/>
                <w:color w:val="auto"/>
                <w:kern w:val="0"/>
                <w:sz w:val="21"/>
                <w:szCs w:val="21"/>
                <w:lang w:val="en-US" w:eastAsia="zh-CN" w:bidi="ar-SA"/>
              </w:rPr>
            </w:pPr>
            <w:r>
              <w:rPr>
                <w:rFonts w:hint="eastAsia" w:eastAsia="仿宋_GB2312"/>
                <w:color w:val="auto"/>
                <w:kern w:val="0"/>
                <w:szCs w:val="21"/>
              </w:rPr>
              <w:t>外购、汽运</w:t>
            </w:r>
          </w:p>
        </w:tc>
      </w:tr>
      <w:tr w14:paraId="794EEB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0" w:type="pct"/>
            <w:vMerge w:val="continue"/>
            <w:tcBorders>
              <w:tl2br w:val="nil"/>
              <w:tr2bl w:val="nil"/>
            </w:tcBorders>
            <w:vAlign w:val="center"/>
          </w:tcPr>
          <w:p w14:paraId="098A1935">
            <w:pPr>
              <w:widowControl/>
              <w:jc w:val="center"/>
              <w:rPr>
                <w:rFonts w:eastAsia="仿宋_GB2312"/>
                <w:bCs/>
                <w:color w:val="FF0000"/>
                <w:kern w:val="0"/>
                <w:szCs w:val="21"/>
              </w:rPr>
            </w:pPr>
          </w:p>
        </w:tc>
        <w:tc>
          <w:tcPr>
            <w:tcW w:w="435" w:type="pct"/>
            <w:tcBorders>
              <w:tl2br w:val="nil"/>
              <w:tr2bl w:val="nil"/>
            </w:tcBorders>
            <w:vAlign w:val="center"/>
          </w:tcPr>
          <w:p w14:paraId="59C364C5">
            <w:pPr>
              <w:widowControl/>
              <w:jc w:val="center"/>
              <w:rPr>
                <w:rFonts w:hint="default" w:eastAsia="仿宋_GB2312"/>
                <w:bCs/>
                <w:color w:val="auto"/>
                <w:kern w:val="0"/>
                <w:szCs w:val="21"/>
                <w:lang w:val="en-US" w:eastAsia="zh-CN"/>
              </w:rPr>
            </w:pPr>
            <w:r>
              <w:rPr>
                <w:rFonts w:hint="eastAsia" w:eastAsia="仿宋_GB2312"/>
                <w:bCs/>
                <w:color w:val="auto"/>
                <w:kern w:val="0"/>
                <w:szCs w:val="21"/>
                <w:lang w:val="en-US" w:eastAsia="zh-CN"/>
              </w:rPr>
              <w:t>28</w:t>
            </w:r>
          </w:p>
        </w:tc>
        <w:tc>
          <w:tcPr>
            <w:tcW w:w="1202" w:type="pct"/>
            <w:tcBorders>
              <w:tl2br w:val="nil"/>
              <w:tr2bl w:val="nil"/>
            </w:tcBorders>
            <w:shd w:val="clear" w:color="auto" w:fill="auto"/>
            <w:vAlign w:val="center"/>
          </w:tcPr>
          <w:p w14:paraId="41ECFC1B">
            <w:pPr>
              <w:widowControl/>
              <w:jc w:val="center"/>
              <w:rPr>
                <w:rFonts w:ascii="Times New Roman" w:hAnsi="Times New Roman" w:eastAsia="仿宋_GB2312" w:cs="Times New Roman"/>
                <w:color w:val="auto"/>
                <w:kern w:val="0"/>
                <w:sz w:val="21"/>
                <w:szCs w:val="21"/>
                <w:lang w:val="en-US" w:eastAsia="zh-CN" w:bidi="ar-SA"/>
              </w:rPr>
            </w:pPr>
            <w:r>
              <w:rPr>
                <w:rFonts w:eastAsia="仿宋_GB2312"/>
                <w:color w:val="auto"/>
                <w:kern w:val="0"/>
                <w:szCs w:val="21"/>
              </w:rPr>
              <w:t>2-甲基四氢呋喃</w:t>
            </w:r>
          </w:p>
        </w:tc>
        <w:tc>
          <w:tcPr>
            <w:tcW w:w="583" w:type="pct"/>
            <w:tcBorders>
              <w:tl2br w:val="nil"/>
              <w:tr2bl w:val="nil"/>
            </w:tcBorders>
            <w:shd w:val="clear" w:color="auto" w:fill="auto"/>
            <w:vAlign w:val="center"/>
          </w:tcPr>
          <w:p w14:paraId="4F5933A4">
            <w:pPr>
              <w:widowControl/>
              <w:jc w:val="center"/>
              <w:rPr>
                <w:rFonts w:ascii="Times New Roman" w:hAnsi="Times New Roman" w:eastAsia="仿宋_GB2312" w:cs="Times New Roman"/>
                <w:color w:val="auto"/>
                <w:kern w:val="0"/>
                <w:sz w:val="21"/>
                <w:szCs w:val="21"/>
                <w:lang w:val="en-US" w:eastAsia="zh-CN" w:bidi="ar-SA"/>
              </w:rPr>
            </w:pPr>
            <w:r>
              <w:rPr>
                <w:rFonts w:eastAsia="仿宋_GB2312"/>
                <w:color w:val="auto"/>
                <w:kern w:val="0"/>
                <w:szCs w:val="21"/>
              </w:rPr>
              <w:t>5000</w:t>
            </w:r>
          </w:p>
        </w:tc>
        <w:tc>
          <w:tcPr>
            <w:tcW w:w="1663" w:type="pct"/>
            <w:tcBorders>
              <w:tl2br w:val="nil"/>
              <w:tr2bl w:val="nil"/>
            </w:tcBorders>
            <w:shd w:val="clear" w:color="auto" w:fill="auto"/>
            <w:vAlign w:val="center"/>
          </w:tcPr>
          <w:p w14:paraId="21EC8EF6">
            <w:pPr>
              <w:widowControl/>
              <w:jc w:val="center"/>
              <w:rPr>
                <w:rFonts w:ascii="Times New Roman" w:hAnsi="Times New Roman" w:eastAsia="仿宋_GB2312" w:cs="Times New Roman"/>
                <w:b/>
                <w:color w:val="auto"/>
                <w:kern w:val="0"/>
                <w:sz w:val="21"/>
                <w:szCs w:val="21"/>
                <w:lang w:val="en-US" w:eastAsia="zh-CN" w:bidi="ar-SA"/>
              </w:rPr>
            </w:pPr>
            <w:r>
              <w:rPr>
                <w:rFonts w:eastAsia="仿宋_GB2312"/>
                <w:color w:val="auto"/>
                <w:kern w:val="0"/>
                <w:szCs w:val="21"/>
              </w:rPr>
              <w:t>吨桶/200L桶/25L桶/20L桶</w:t>
            </w:r>
          </w:p>
        </w:tc>
        <w:tc>
          <w:tcPr>
            <w:tcW w:w="695" w:type="pct"/>
            <w:tcBorders>
              <w:tl2br w:val="nil"/>
              <w:tr2bl w:val="nil"/>
            </w:tcBorders>
            <w:shd w:val="clear" w:color="auto" w:fill="auto"/>
            <w:vAlign w:val="center"/>
          </w:tcPr>
          <w:p w14:paraId="5F809FB5">
            <w:pPr>
              <w:widowControl/>
              <w:jc w:val="center"/>
              <w:rPr>
                <w:rFonts w:hint="eastAsia" w:ascii="Times New Roman" w:hAnsi="Times New Roman" w:eastAsia="仿宋_GB2312" w:cs="Times New Roman"/>
                <w:color w:val="auto"/>
                <w:kern w:val="0"/>
                <w:sz w:val="21"/>
                <w:szCs w:val="21"/>
                <w:lang w:val="en-US" w:eastAsia="zh-CN" w:bidi="ar-SA"/>
              </w:rPr>
            </w:pPr>
            <w:r>
              <w:rPr>
                <w:rFonts w:hint="eastAsia" w:eastAsia="仿宋_GB2312"/>
                <w:color w:val="auto"/>
                <w:kern w:val="0"/>
                <w:szCs w:val="21"/>
              </w:rPr>
              <w:t>外购、汽运</w:t>
            </w:r>
          </w:p>
        </w:tc>
      </w:tr>
      <w:tr w14:paraId="0FC4ED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0" w:type="pct"/>
            <w:vMerge w:val="continue"/>
            <w:tcBorders>
              <w:tl2br w:val="nil"/>
              <w:tr2bl w:val="nil"/>
            </w:tcBorders>
            <w:vAlign w:val="center"/>
          </w:tcPr>
          <w:p w14:paraId="4D68EA1E">
            <w:pPr>
              <w:widowControl/>
              <w:jc w:val="center"/>
              <w:rPr>
                <w:rFonts w:eastAsia="仿宋_GB2312"/>
                <w:bCs/>
                <w:color w:val="FF0000"/>
                <w:kern w:val="0"/>
                <w:szCs w:val="21"/>
              </w:rPr>
            </w:pPr>
          </w:p>
        </w:tc>
        <w:tc>
          <w:tcPr>
            <w:tcW w:w="435" w:type="pct"/>
            <w:tcBorders>
              <w:tl2br w:val="nil"/>
              <w:tr2bl w:val="nil"/>
            </w:tcBorders>
            <w:vAlign w:val="center"/>
          </w:tcPr>
          <w:p w14:paraId="3298F917">
            <w:pPr>
              <w:widowControl/>
              <w:jc w:val="center"/>
              <w:rPr>
                <w:rFonts w:hint="default" w:eastAsia="仿宋_GB2312"/>
                <w:bCs/>
                <w:color w:val="auto"/>
                <w:kern w:val="0"/>
                <w:szCs w:val="21"/>
                <w:lang w:val="en-US" w:eastAsia="zh-CN"/>
              </w:rPr>
            </w:pPr>
            <w:r>
              <w:rPr>
                <w:rFonts w:hint="eastAsia" w:eastAsia="仿宋_GB2312"/>
                <w:bCs/>
                <w:color w:val="auto"/>
                <w:kern w:val="0"/>
                <w:szCs w:val="21"/>
                <w:lang w:val="en-US" w:eastAsia="zh-CN"/>
              </w:rPr>
              <w:t>29</w:t>
            </w:r>
          </w:p>
        </w:tc>
        <w:tc>
          <w:tcPr>
            <w:tcW w:w="1202" w:type="pct"/>
            <w:tcBorders>
              <w:tl2br w:val="nil"/>
              <w:tr2bl w:val="nil"/>
            </w:tcBorders>
            <w:shd w:val="clear" w:color="auto" w:fill="auto"/>
            <w:vAlign w:val="center"/>
          </w:tcPr>
          <w:p w14:paraId="45AE710D">
            <w:pPr>
              <w:widowControl/>
              <w:jc w:val="center"/>
              <w:rPr>
                <w:rFonts w:ascii="Times New Roman" w:hAnsi="Times New Roman" w:eastAsia="仿宋_GB2312" w:cs="Times New Roman"/>
                <w:color w:val="auto"/>
                <w:kern w:val="0"/>
                <w:sz w:val="21"/>
                <w:szCs w:val="21"/>
                <w:lang w:val="en-US" w:eastAsia="zh-CN" w:bidi="ar-SA"/>
              </w:rPr>
            </w:pPr>
            <w:r>
              <w:rPr>
                <w:rFonts w:hint="eastAsia" w:eastAsia="仿宋_GB2312"/>
                <w:color w:val="auto"/>
                <w:kern w:val="0"/>
                <w:szCs w:val="21"/>
              </w:rPr>
              <w:t>甲基叔丁基醚</w:t>
            </w:r>
          </w:p>
        </w:tc>
        <w:tc>
          <w:tcPr>
            <w:tcW w:w="583" w:type="pct"/>
            <w:tcBorders>
              <w:tl2br w:val="nil"/>
              <w:tr2bl w:val="nil"/>
            </w:tcBorders>
            <w:shd w:val="clear" w:color="auto" w:fill="auto"/>
            <w:vAlign w:val="center"/>
          </w:tcPr>
          <w:p w14:paraId="41967230">
            <w:pPr>
              <w:widowControl/>
              <w:jc w:val="center"/>
              <w:rPr>
                <w:rFonts w:ascii="Times New Roman" w:hAnsi="Times New Roman" w:eastAsia="仿宋_GB2312" w:cs="Times New Roman"/>
                <w:color w:val="auto"/>
                <w:kern w:val="0"/>
                <w:sz w:val="21"/>
                <w:szCs w:val="21"/>
                <w:lang w:val="en-US" w:eastAsia="zh-CN" w:bidi="ar-SA"/>
              </w:rPr>
            </w:pPr>
            <w:r>
              <w:rPr>
                <w:rFonts w:eastAsia="仿宋_GB2312"/>
                <w:color w:val="auto"/>
                <w:kern w:val="0"/>
                <w:szCs w:val="21"/>
              </w:rPr>
              <w:t>2000</w:t>
            </w:r>
          </w:p>
        </w:tc>
        <w:tc>
          <w:tcPr>
            <w:tcW w:w="1663" w:type="pct"/>
            <w:tcBorders>
              <w:tl2br w:val="nil"/>
              <w:tr2bl w:val="nil"/>
            </w:tcBorders>
            <w:shd w:val="clear" w:color="auto" w:fill="auto"/>
            <w:vAlign w:val="center"/>
          </w:tcPr>
          <w:p w14:paraId="76FD24AF">
            <w:pPr>
              <w:widowControl/>
              <w:jc w:val="center"/>
              <w:rPr>
                <w:rFonts w:ascii="Times New Roman" w:hAnsi="Times New Roman" w:eastAsia="仿宋_GB2312" w:cs="Times New Roman"/>
                <w:color w:val="auto"/>
                <w:kern w:val="0"/>
                <w:sz w:val="21"/>
                <w:szCs w:val="21"/>
                <w:lang w:val="en-US" w:eastAsia="zh-CN" w:bidi="ar-SA"/>
              </w:rPr>
            </w:pPr>
            <w:r>
              <w:rPr>
                <w:rFonts w:eastAsia="仿宋_GB2312"/>
                <w:color w:val="auto"/>
                <w:kern w:val="0"/>
                <w:szCs w:val="21"/>
              </w:rPr>
              <w:t>吨桶/200L桶/25L桶/20L桶</w:t>
            </w:r>
          </w:p>
        </w:tc>
        <w:tc>
          <w:tcPr>
            <w:tcW w:w="695" w:type="pct"/>
            <w:tcBorders>
              <w:tl2br w:val="nil"/>
              <w:tr2bl w:val="nil"/>
            </w:tcBorders>
            <w:shd w:val="clear" w:color="auto" w:fill="auto"/>
            <w:vAlign w:val="center"/>
          </w:tcPr>
          <w:p w14:paraId="5EB824E4">
            <w:pPr>
              <w:widowControl/>
              <w:jc w:val="center"/>
              <w:rPr>
                <w:rFonts w:hint="eastAsia" w:ascii="Times New Roman" w:hAnsi="Times New Roman" w:eastAsia="仿宋_GB2312" w:cs="Times New Roman"/>
                <w:color w:val="auto"/>
                <w:kern w:val="0"/>
                <w:sz w:val="21"/>
                <w:szCs w:val="21"/>
                <w:lang w:val="en-US" w:eastAsia="zh-CN" w:bidi="ar-SA"/>
              </w:rPr>
            </w:pPr>
            <w:r>
              <w:rPr>
                <w:rFonts w:hint="eastAsia" w:eastAsia="仿宋_GB2312"/>
                <w:color w:val="auto"/>
                <w:kern w:val="0"/>
                <w:szCs w:val="21"/>
              </w:rPr>
              <w:t>外购、汽运</w:t>
            </w:r>
          </w:p>
        </w:tc>
      </w:tr>
      <w:tr w14:paraId="16A37D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0" w:type="pct"/>
            <w:vMerge w:val="continue"/>
            <w:tcBorders>
              <w:tl2br w:val="nil"/>
              <w:tr2bl w:val="nil"/>
            </w:tcBorders>
            <w:vAlign w:val="center"/>
          </w:tcPr>
          <w:p w14:paraId="4A15B2B3">
            <w:pPr>
              <w:widowControl/>
              <w:jc w:val="center"/>
              <w:rPr>
                <w:rFonts w:eastAsia="仿宋_GB2312"/>
                <w:bCs/>
                <w:color w:val="FF0000"/>
                <w:kern w:val="0"/>
                <w:szCs w:val="21"/>
              </w:rPr>
            </w:pPr>
          </w:p>
        </w:tc>
        <w:tc>
          <w:tcPr>
            <w:tcW w:w="435" w:type="pct"/>
            <w:tcBorders>
              <w:tl2br w:val="nil"/>
              <w:tr2bl w:val="nil"/>
            </w:tcBorders>
            <w:vAlign w:val="center"/>
          </w:tcPr>
          <w:p w14:paraId="0772683F">
            <w:pPr>
              <w:widowControl/>
              <w:jc w:val="center"/>
              <w:rPr>
                <w:rFonts w:hint="default" w:eastAsia="仿宋_GB2312"/>
                <w:bCs/>
                <w:color w:val="auto"/>
                <w:kern w:val="0"/>
                <w:szCs w:val="21"/>
                <w:lang w:val="en-US" w:eastAsia="zh-CN"/>
              </w:rPr>
            </w:pPr>
            <w:r>
              <w:rPr>
                <w:rFonts w:hint="eastAsia" w:eastAsia="仿宋_GB2312"/>
                <w:bCs/>
                <w:color w:val="auto"/>
                <w:kern w:val="0"/>
                <w:szCs w:val="21"/>
                <w:lang w:val="en-US" w:eastAsia="zh-CN"/>
              </w:rPr>
              <w:t>30</w:t>
            </w:r>
          </w:p>
        </w:tc>
        <w:tc>
          <w:tcPr>
            <w:tcW w:w="1202" w:type="pct"/>
            <w:tcBorders>
              <w:tl2br w:val="nil"/>
              <w:tr2bl w:val="nil"/>
            </w:tcBorders>
            <w:shd w:val="clear" w:color="auto" w:fill="auto"/>
            <w:vAlign w:val="center"/>
          </w:tcPr>
          <w:p w14:paraId="4B15FEDF">
            <w:pPr>
              <w:widowControl/>
              <w:jc w:val="center"/>
              <w:rPr>
                <w:rFonts w:ascii="Times New Roman" w:hAnsi="Times New Roman" w:eastAsia="仿宋_GB2312" w:cs="Times New Roman"/>
                <w:color w:val="auto"/>
                <w:kern w:val="0"/>
                <w:sz w:val="21"/>
                <w:szCs w:val="21"/>
                <w:lang w:val="en-US" w:eastAsia="zh-CN" w:bidi="ar-SA"/>
              </w:rPr>
            </w:pPr>
            <w:r>
              <w:rPr>
                <w:rFonts w:eastAsia="仿宋_GB2312"/>
                <w:color w:val="auto"/>
                <w:kern w:val="0"/>
                <w:szCs w:val="21"/>
              </w:rPr>
              <w:t>丙二醇甲醚醋酸酯</w:t>
            </w:r>
          </w:p>
        </w:tc>
        <w:tc>
          <w:tcPr>
            <w:tcW w:w="583" w:type="pct"/>
            <w:tcBorders>
              <w:tl2br w:val="nil"/>
              <w:tr2bl w:val="nil"/>
            </w:tcBorders>
            <w:shd w:val="clear" w:color="auto" w:fill="auto"/>
            <w:vAlign w:val="center"/>
          </w:tcPr>
          <w:p w14:paraId="25DF7D84">
            <w:pPr>
              <w:widowControl/>
              <w:jc w:val="center"/>
              <w:rPr>
                <w:rFonts w:ascii="Times New Roman" w:hAnsi="Times New Roman" w:eastAsia="仿宋_GB2312" w:cs="Times New Roman"/>
                <w:color w:val="auto"/>
                <w:kern w:val="0"/>
                <w:sz w:val="21"/>
                <w:szCs w:val="21"/>
                <w:lang w:val="en-US" w:eastAsia="zh-CN" w:bidi="ar-SA"/>
              </w:rPr>
            </w:pPr>
            <w:r>
              <w:rPr>
                <w:rFonts w:eastAsia="仿宋_GB2312"/>
                <w:color w:val="auto"/>
                <w:kern w:val="0"/>
                <w:szCs w:val="21"/>
              </w:rPr>
              <w:t>2000</w:t>
            </w:r>
          </w:p>
        </w:tc>
        <w:tc>
          <w:tcPr>
            <w:tcW w:w="1663" w:type="pct"/>
            <w:tcBorders>
              <w:tl2br w:val="nil"/>
              <w:tr2bl w:val="nil"/>
            </w:tcBorders>
            <w:shd w:val="clear" w:color="auto" w:fill="auto"/>
            <w:vAlign w:val="center"/>
          </w:tcPr>
          <w:p w14:paraId="09DEF5E4">
            <w:pPr>
              <w:widowControl/>
              <w:jc w:val="center"/>
              <w:rPr>
                <w:rFonts w:ascii="Times New Roman" w:hAnsi="Times New Roman" w:eastAsia="仿宋_GB2312" w:cs="Times New Roman"/>
                <w:color w:val="auto"/>
                <w:kern w:val="0"/>
                <w:sz w:val="21"/>
                <w:szCs w:val="21"/>
                <w:lang w:val="en-US" w:eastAsia="zh-CN" w:bidi="ar-SA"/>
              </w:rPr>
            </w:pPr>
            <w:r>
              <w:rPr>
                <w:rFonts w:eastAsia="仿宋_GB2312"/>
                <w:color w:val="auto"/>
                <w:kern w:val="0"/>
                <w:szCs w:val="21"/>
              </w:rPr>
              <w:t>吨桶/200L桶/25L桶/20L桶</w:t>
            </w:r>
          </w:p>
        </w:tc>
        <w:tc>
          <w:tcPr>
            <w:tcW w:w="695" w:type="pct"/>
            <w:tcBorders>
              <w:tl2br w:val="nil"/>
              <w:tr2bl w:val="nil"/>
            </w:tcBorders>
            <w:shd w:val="clear" w:color="auto" w:fill="auto"/>
            <w:vAlign w:val="center"/>
          </w:tcPr>
          <w:p w14:paraId="498BE380">
            <w:pPr>
              <w:widowControl/>
              <w:jc w:val="center"/>
              <w:rPr>
                <w:rFonts w:ascii="Times New Roman" w:hAnsi="Times New Roman" w:eastAsia="仿宋_GB2312" w:cs="Times New Roman"/>
                <w:color w:val="auto"/>
                <w:kern w:val="0"/>
                <w:sz w:val="21"/>
                <w:szCs w:val="21"/>
                <w:lang w:val="en-US" w:eastAsia="zh-CN" w:bidi="ar-SA"/>
              </w:rPr>
            </w:pPr>
            <w:r>
              <w:rPr>
                <w:rFonts w:hint="eastAsia" w:eastAsia="仿宋_GB2312"/>
                <w:color w:val="auto"/>
                <w:kern w:val="0"/>
                <w:szCs w:val="21"/>
              </w:rPr>
              <w:t>外购、汽运</w:t>
            </w:r>
          </w:p>
        </w:tc>
      </w:tr>
      <w:tr w14:paraId="655D96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0" w:type="pct"/>
            <w:vMerge w:val="continue"/>
            <w:tcBorders>
              <w:tl2br w:val="nil"/>
              <w:tr2bl w:val="nil"/>
            </w:tcBorders>
            <w:vAlign w:val="center"/>
          </w:tcPr>
          <w:p w14:paraId="6C63A4A3">
            <w:pPr>
              <w:widowControl/>
              <w:jc w:val="center"/>
              <w:rPr>
                <w:rFonts w:eastAsia="仿宋_GB2312"/>
                <w:bCs/>
                <w:color w:val="FF0000"/>
                <w:kern w:val="0"/>
                <w:szCs w:val="21"/>
              </w:rPr>
            </w:pPr>
          </w:p>
        </w:tc>
        <w:tc>
          <w:tcPr>
            <w:tcW w:w="435" w:type="pct"/>
            <w:tcBorders>
              <w:tl2br w:val="nil"/>
              <w:tr2bl w:val="nil"/>
            </w:tcBorders>
            <w:vAlign w:val="center"/>
          </w:tcPr>
          <w:p w14:paraId="53126642">
            <w:pPr>
              <w:widowControl/>
              <w:jc w:val="center"/>
              <w:rPr>
                <w:rFonts w:hint="default" w:eastAsia="仿宋_GB2312"/>
                <w:bCs/>
                <w:color w:val="auto"/>
                <w:kern w:val="0"/>
                <w:szCs w:val="21"/>
                <w:lang w:val="en-US" w:eastAsia="zh-CN"/>
              </w:rPr>
            </w:pPr>
            <w:r>
              <w:rPr>
                <w:rFonts w:hint="eastAsia" w:eastAsia="仿宋_GB2312"/>
                <w:bCs/>
                <w:color w:val="auto"/>
                <w:kern w:val="0"/>
                <w:szCs w:val="21"/>
                <w:lang w:val="en-US" w:eastAsia="zh-CN"/>
              </w:rPr>
              <w:t>31</w:t>
            </w:r>
          </w:p>
        </w:tc>
        <w:tc>
          <w:tcPr>
            <w:tcW w:w="1202" w:type="pct"/>
            <w:tcBorders>
              <w:tl2br w:val="nil"/>
              <w:tr2bl w:val="nil"/>
            </w:tcBorders>
            <w:shd w:val="clear" w:color="auto" w:fill="auto"/>
            <w:vAlign w:val="center"/>
          </w:tcPr>
          <w:p w14:paraId="3E1ADFF1">
            <w:pPr>
              <w:widowControl/>
              <w:jc w:val="center"/>
              <w:rPr>
                <w:rFonts w:eastAsia="仿宋_GB2312"/>
                <w:color w:val="auto"/>
                <w:kern w:val="0"/>
                <w:szCs w:val="21"/>
              </w:rPr>
            </w:pPr>
            <w:r>
              <w:rPr>
                <w:rFonts w:eastAsia="仿宋_GB2312"/>
                <w:color w:val="auto"/>
                <w:kern w:val="0"/>
                <w:sz w:val="21"/>
                <w:szCs w:val="21"/>
              </w:rPr>
              <w:t>30%液碱/30%硫酸</w:t>
            </w:r>
          </w:p>
        </w:tc>
        <w:tc>
          <w:tcPr>
            <w:tcW w:w="583" w:type="pct"/>
            <w:tcBorders>
              <w:tl2br w:val="nil"/>
              <w:tr2bl w:val="nil"/>
            </w:tcBorders>
            <w:shd w:val="clear" w:color="auto" w:fill="auto"/>
            <w:vAlign w:val="center"/>
          </w:tcPr>
          <w:p w14:paraId="52F0BD21">
            <w:pPr>
              <w:widowControl/>
              <w:jc w:val="center"/>
              <w:rPr>
                <w:rFonts w:hint="default" w:eastAsia="仿宋_GB2312"/>
                <w:color w:val="auto"/>
                <w:kern w:val="0"/>
                <w:szCs w:val="21"/>
                <w:lang w:val="en-US" w:eastAsia="zh-CN"/>
              </w:rPr>
            </w:pPr>
            <w:r>
              <w:rPr>
                <w:rFonts w:hint="eastAsia" w:eastAsia="仿宋_GB2312"/>
                <w:color w:val="auto"/>
                <w:kern w:val="0"/>
                <w:szCs w:val="21"/>
                <w:lang w:val="en-US" w:eastAsia="zh-CN"/>
              </w:rPr>
              <w:t>243.72</w:t>
            </w:r>
          </w:p>
        </w:tc>
        <w:tc>
          <w:tcPr>
            <w:tcW w:w="1663" w:type="pct"/>
            <w:tcBorders>
              <w:tl2br w:val="nil"/>
              <w:tr2bl w:val="nil"/>
            </w:tcBorders>
            <w:shd w:val="clear" w:color="auto" w:fill="auto"/>
            <w:vAlign w:val="center"/>
          </w:tcPr>
          <w:p w14:paraId="67B46157">
            <w:pPr>
              <w:pStyle w:val="4052"/>
              <w:rPr>
                <w:rFonts w:ascii="Times New Roman" w:hAnsi="Times New Roman" w:eastAsia="仿宋_GB2312" w:cs="Times New Roman"/>
                <w:color w:val="auto"/>
                <w:kern w:val="0"/>
                <w:sz w:val="21"/>
                <w:szCs w:val="21"/>
                <w:lang w:val="en-US" w:eastAsia="zh-CN" w:bidi="ar-SA"/>
              </w:rPr>
            </w:pPr>
            <w:r>
              <w:rPr>
                <w:rFonts w:eastAsia="仿宋_GB2312"/>
                <w:color w:val="auto"/>
                <w:kern w:val="0"/>
                <w:sz w:val="21"/>
                <w:szCs w:val="21"/>
              </w:rPr>
              <w:t>200L桶装</w:t>
            </w:r>
          </w:p>
        </w:tc>
        <w:tc>
          <w:tcPr>
            <w:tcW w:w="695" w:type="pct"/>
            <w:tcBorders>
              <w:tl2br w:val="nil"/>
              <w:tr2bl w:val="nil"/>
            </w:tcBorders>
            <w:shd w:val="clear" w:color="auto" w:fill="auto"/>
            <w:vAlign w:val="center"/>
          </w:tcPr>
          <w:p w14:paraId="7280CD27">
            <w:pPr>
              <w:widowControl/>
              <w:jc w:val="center"/>
              <w:rPr>
                <w:rFonts w:hint="eastAsia" w:ascii="Times New Roman" w:hAnsi="Times New Roman" w:eastAsia="仿宋_GB2312" w:cs="Times New Roman"/>
                <w:color w:val="auto"/>
                <w:kern w:val="0"/>
                <w:sz w:val="21"/>
                <w:szCs w:val="21"/>
                <w:lang w:val="en-US" w:eastAsia="zh-CN" w:bidi="ar-SA"/>
              </w:rPr>
            </w:pPr>
            <w:r>
              <w:rPr>
                <w:rFonts w:hint="eastAsia" w:eastAsia="仿宋_GB2312"/>
                <w:color w:val="auto"/>
                <w:kern w:val="0"/>
                <w:szCs w:val="21"/>
              </w:rPr>
              <w:t>外购、汽运</w:t>
            </w:r>
          </w:p>
        </w:tc>
      </w:tr>
      <w:tr w14:paraId="1F2899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0" w:type="pct"/>
            <w:vMerge w:val="restart"/>
            <w:tcBorders>
              <w:tl2br w:val="nil"/>
              <w:tr2bl w:val="nil"/>
            </w:tcBorders>
            <w:vAlign w:val="center"/>
          </w:tcPr>
          <w:p w14:paraId="191CA0FF">
            <w:pPr>
              <w:pStyle w:val="4052"/>
              <w:rPr>
                <w:rFonts w:eastAsia="仿宋_GB2312"/>
                <w:color w:val="auto"/>
                <w:kern w:val="0"/>
                <w:sz w:val="21"/>
                <w:szCs w:val="21"/>
              </w:rPr>
            </w:pPr>
            <w:r>
              <w:rPr>
                <w:rFonts w:eastAsia="仿宋_GB2312"/>
                <w:color w:val="auto"/>
                <w:kern w:val="0"/>
                <w:sz w:val="21"/>
                <w:szCs w:val="21"/>
              </w:rPr>
              <w:t>有机溶剂与含有机溶剂废物</w:t>
            </w:r>
          </w:p>
        </w:tc>
        <w:tc>
          <w:tcPr>
            <w:tcW w:w="435" w:type="pct"/>
            <w:tcBorders>
              <w:tl2br w:val="nil"/>
              <w:tr2bl w:val="nil"/>
            </w:tcBorders>
            <w:vAlign w:val="center"/>
          </w:tcPr>
          <w:p w14:paraId="7A59137A">
            <w:pPr>
              <w:pStyle w:val="4052"/>
              <w:rPr>
                <w:rFonts w:eastAsia="仿宋_GB2312"/>
                <w:color w:val="auto"/>
                <w:kern w:val="0"/>
                <w:sz w:val="21"/>
                <w:szCs w:val="21"/>
              </w:rPr>
            </w:pPr>
            <w:r>
              <w:rPr>
                <w:rFonts w:eastAsia="仿宋_GB2312"/>
                <w:color w:val="auto"/>
                <w:kern w:val="0"/>
                <w:sz w:val="21"/>
                <w:szCs w:val="21"/>
              </w:rPr>
              <w:t>1</w:t>
            </w:r>
          </w:p>
        </w:tc>
        <w:tc>
          <w:tcPr>
            <w:tcW w:w="1202" w:type="pct"/>
            <w:tcBorders>
              <w:tl2br w:val="nil"/>
              <w:tr2bl w:val="nil"/>
            </w:tcBorders>
            <w:vAlign w:val="center"/>
          </w:tcPr>
          <w:p w14:paraId="464D1C0B">
            <w:pPr>
              <w:pStyle w:val="4052"/>
              <w:rPr>
                <w:rFonts w:eastAsia="仿宋_GB2312"/>
                <w:color w:val="auto"/>
                <w:kern w:val="0"/>
                <w:sz w:val="21"/>
                <w:szCs w:val="21"/>
              </w:rPr>
            </w:pPr>
            <w:r>
              <w:rPr>
                <w:rFonts w:eastAsia="仿宋_GB2312"/>
                <w:color w:val="auto"/>
                <w:kern w:val="0"/>
                <w:sz w:val="21"/>
                <w:szCs w:val="21"/>
              </w:rPr>
              <w:t>有机溶剂与含有机溶剂废物</w:t>
            </w:r>
          </w:p>
        </w:tc>
        <w:tc>
          <w:tcPr>
            <w:tcW w:w="583" w:type="pct"/>
            <w:tcBorders>
              <w:tl2br w:val="nil"/>
              <w:tr2bl w:val="nil"/>
            </w:tcBorders>
            <w:vAlign w:val="center"/>
          </w:tcPr>
          <w:p w14:paraId="17399B0E">
            <w:pPr>
              <w:pStyle w:val="4052"/>
              <w:rPr>
                <w:rFonts w:eastAsia="仿宋_GB2312"/>
                <w:color w:val="auto"/>
                <w:kern w:val="0"/>
                <w:sz w:val="21"/>
                <w:szCs w:val="21"/>
              </w:rPr>
            </w:pPr>
            <w:r>
              <w:rPr>
                <w:rFonts w:hint="eastAsia" w:eastAsia="仿宋_GB2312"/>
                <w:color w:val="auto"/>
                <w:kern w:val="0"/>
                <w:sz w:val="21"/>
                <w:szCs w:val="21"/>
                <w:lang w:val="en-US" w:eastAsia="zh-CN"/>
              </w:rPr>
              <w:t>95</w:t>
            </w:r>
            <w:r>
              <w:rPr>
                <w:rFonts w:eastAsia="仿宋_GB2312"/>
                <w:color w:val="auto"/>
                <w:kern w:val="0"/>
                <w:sz w:val="21"/>
                <w:szCs w:val="21"/>
              </w:rPr>
              <w:t>00</w:t>
            </w:r>
          </w:p>
        </w:tc>
        <w:tc>
          <w:tcPr>
            <w:tcW w:w="1663" w:type="pct"/>
            <w:tcBorders>
              <w:tl2br w:val="nil"/>
              <w:tr2bl w:val="nil"/>
            </w:tcBorders>
            <w:vAlign w:val="center"/>
          </w:tcPr>
          <w:p w14:paraId="17FE1F63">
            <w:pPr>
              <w:widowControl/>
              <w:jc w:val="center"/>
              <w:rPr>
                <w:rFonts w:eastAsia="仿宋_GB2312"/>
                <w:color w:val="auto"/>
                <w:kern w:val="0"/>
                <w:szCs w:val="21"/>
              </w:rPr>
            </w:pPr>
            <w:r>
              <w:rPr>
                <w:rFonts w:eastAsia="仿宋_GB2312"/>
                <w:color w:val="auto"/>
                <w:kern w:val="0"/>
                <w:szCs w:val="21"/>
              </w:rPr>
              <w:t>吨桶/200L桶/25L桶/20L桶</w:t>
            </w:r>
          </w:p>
        </w:tc>
        <w:tc>
          <w:tcPr>
            <w:tcW w:w="695" w:type="pct"/>
            <w:tcBorders>
              <w:tl2br w:val="nil"/>
              <w:tr2bl w:val="nil"/>
            </w:tcBorders>
            <w:vAlign w:val="center"/>
          </w:tcPr>
          <w:p w14:paraId="0B06CE64">
            <w:pPr>
              <w:widowControl/>
              <w:jc w:val="center"/>
              <w:rPr>
                <w:rFonts w:eastAsia="仿宋_GB2312"/>
                <w:color w:val="auto"/>
                <w:kern w:val="0"/>
                <w:szCs w:val="21"/>
              </w:rPr>
            </w:pPr>
            <w:r>
              <w:rPr>
                <w:rFonts w:hint="eastAsia" w:eastAsia="仿宋_GB2312"/>
                <w:color w:val="auto"/>
                <w:kern w:val="0"/>
                <w:szCs w:val="21"/>
              </w:rPr>
              <w:t>外购、汽运</w:t>
            </w:r>
          </w:p>
        </w:tc>
      </w:tr>
      <w:tr w14:paraId="661705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0" w:type="pct"/>
            <w:vMerge w:val="continue"/>
            <w:tcBorders>
              <w:tl2br w:val="nil"/>
              <w:tr2bl w:val="nil"/>
            </w:tcBorders>
            <w:vAlign w:val="center"/>
          </w:tcPr>
          <w:p w14:paraId="73903FC0">
            <w:pPr>
              <w:pStyle w:val="4052"/>
              <w:rPr>
                <w:rFonts w:eastAsia="仿宋_GB2312"/>
                <w:color w:val="auto"/>
                <w:kern w:val="0"/>
                <w:sz w:val="21"/>
                <w:szCs w:val="21"/>
              </w:rPr>
            </w:pPr>
          </w:p>
        </w:tc>
        <w:tc>
          <w:tcPr>
            <w:tcW w:w="435" w:type="pct"/>
            <w:tcBorders>
              <w:tl2br w:val="nil"/>
              <w:tr2bl w:val="nil"/>
            </w:tcBorders>
            <w:vAlign w:val="center"/>
          </w:tcPr>
          <w:p w14:paraId="7FEAA713">
            <w:pPr>
              <w:pStyle w:val="4052"/>
              <w:rPr>
                <w:rFonts w:eastAsia="仿宋_GB2312"/>
                <w:color w:val="auto"/>
                <w:kern w:val="0"/>
                <w:sz w:val="21"/>
                <w:szCs w:val="21"/>
              </w:rPr>
            </w:pPr>
            <w:r>
              <w:rPr>
                <w:rFonts w:eastAsia="仿宋_GB2312"/>
                <w:color w:val="auto"/>
                <w:kern w:val="0"/>
                <w:sz w:val="21"/>
                <w:szCs w:val="21"/>
              </w:rPr>
              <w:t>2</w:t>
            </w:r>
          </w:p>
        </w:tc>
        <w:tc>
          <w:tcPr>
            <w:tcW w:w="1202" w:type="pct"/>
            <w:tcBorders>
              <w:tl2br w:val="nil"/>
              <w:tr2bl w:val="nil"/>
            </w:tcBorders>
            <w:vAlign w:val="center"/>
          </w:tcPr>
          <w:p w14:paraId="68188DB1">
            <w:pPr>
              <w:pStyle w:val="4052"/>
              <w:rPr>
                <w:rFonts w:eastAsia="仿宋_GB2312"/>
                <w:color w:val="auto"/>
                <w:kern w:val="0"/>
                <w:sz w:val="21"/>
                <w:szCs w:val="21"/>
              </w:rPr>
            </w:pPr>
            <w:r>
              <w:rPr>
                <w:rFonts w:eastAsia="仿宋_GB2312"/>
                <w:color w:val="auto"/>
                <w:kern w:val="0"/>
                <w:sz w:val="21"/>
                <w:szCs w:val="21"/>
              </w:rPr>
              <w:t>PAC</w:t>
            </w:r>
          </w:p>
        </w:tc>
        <w:tc>
          <w:tcPr>
            <w:tcW w:w="583" w:type="pct"/>
            <w:tcBorders>
              <w:tl2br w:val="nil"/>
              <w:tr2bl w:val="nil"/>
            </w:tcBorders>
            <w:vAlign w:val="center"/>
          </w:tcPr>
          <w:p w14:paraId="1100C101">
            <w:pPr>
              <w:pStyle w:val="4052"/>
              <w:rPr>
                <w:rFonts w:hint="default" w:eastAsia="仿宋_GB2312"/>
                <w:color w:val="auto"/>
                <w:kern w:val="0"/>
                <w:sz w:val="21"/>
                <w:szCs w:val="21"/>
                <w:lang w:val="en-US" w:eastAsia="zh-CN"/>
              </w:rPr>
            </w:pPr>
            <w:r>
              <w:rPr>
                <w:rFonts w:hint="eastAsia" w:eastAsia="仿宋_GB2312"/>
                <w:color w:val="auto"/>
                <w:kern w:val="0"/>
                <w:sz w:val="21"/>
                <w:szCs w:val="21"/>
                <w:lang w:val="en-US" w:eastAsia="zh-CN"/>
              </w:rPr>
              <w:t>47.5</w:t>
            </w:r>
          </w:p>
        </w:tc>
        <w:tc>
          <w:tcPr>
            <w:tcW w:w="1663" w:type="pct"/>
            <w:tcBorders>
              <w:tl2br w:val="nil"/>
              <w:tr2bl w:val="nil"/>
            </w:tcBorders>
            <w:vAlign w:val="center"/>
          </w:tcPr>
          <w:p w14:paraId="64F906F2">
            <w:pPr>
              <w:widowControl/>
              <w:jc w:val="center"/>
              <w:rPr>
                <w:rFonts w:eastAsia="仿宋_GB2312"/>
                <w:color w:val="auto"/>
                <w:kern w:val="0"/>
                <w:szCs w:val="21"/>
              </w:rPr>
            </w:pPr>
            <w:r>
              <w:rPr>
                <w:rFonts w:eastAsia="仿宋_GB2312"/>
                <w:color w:val="auto"/>
                <w:kern w:val="0"/>
                <w:szCs w:val="21"/>
              </w:rPr>
              <w:t>25kg袋装</w:t>
            </w:r>
          </w:p>
        </w:tc>
        <w:tc>
          <w:tcPr>
            <w:tcW w:w="695" w:type="pct"/>
            <w:tcBorders>
              <w:tl2br w:val="nil"/>
              <w:tr2bl w:val="nil"/>
            </w:tcBorders>
            <w:vAlign w:val="center"/>
          </w:tcPr>
          <w:p w14:paraId="408C6BF9">
            <w:pPr>
              <w:widowControl/>
              <w:jc w:val="center"/>
              <w:rPr>
                <w:rFonts w:eastAsia="仿宋_GB2312"/>
                <w:color w:val="auto"/>
                <w:kern w:val="0"/>
                <w:szCs w:val="21"/>
              </w:rPr>
            </w:pPr>
            <w:r>
              <w:rPr>
                <w:rFonts w:hint="eastAsia" w:eastAsia="仿宋_GB2312"/>
                <w:color w:val="auto"/>
                <w:kern w:val="0"/>
                <w:szCs w:val="21"/>
              </w:rPr>
              <w:t>外购、汽运</w:t>
            </w:r>
          </w:p>
        </w:tc>
      </w:tr>
      <w:tr w14:paraId="07543D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0" w:type="pct"/>
            <w:vMerge w:val="continue"/>
            <w:tcBorders>
              <w:tl2br w:val="nil"/>
              <w:tr2bl w:val="nil"/>
            </w:tcBorders>
            <w:vAlign w:val="center"/>
          </w:tcPr>
          <w:p w14:paraId="1C2E6166">
            <w:pPr>
              <w:pStyle w:val="4052"/>
              <w:rPr>
                <w:rFonts w:eastAsia="仿宋_GB2312"/>
                <w:color w:val="auto"/>
                <w:kern w:val="0"/>
                <w:sz w:val="21"/>
                <w:szCs w:val="21"/>
              </w:rPr>
            </w:pPr>
          </w:p>
        </w:tc>
        <w:tc>
          <w:tcPr>
            <w:tcW w:w="435" w:type="pct"/>
            <w:tcBorders>
              <w:tl2br w:val="nil"/>
              <w:tr2bl w:val="nil"/>
            </w:tcBorders>
            <w:vAlign w:val="center"/>
          </w:tcPr>
          <w:p w14:paraId="3A5B358F">
            <w:pPr>
              <w:pStyle w:val="4052"/>
              <w:rPr>
                <w:rFonts w:eastAsia="仿宋_GB2312"/>
                <w:color w:val="auto"/>
                <w:kern w:val="0"/>
                <w:sz w:val="21"/>
                <w:szCs w:val="21"/>
              </w:rPr>
            </w:pPr>
            <w:r>
              <w:rPr>
                <w:rFonts w:eastAsia="仿宋_GB2312"/>
                <w:color w:val="auto"/>
                <w:kern w:val="0"/>
                <w:sz w:val="21"/>
                <w:szCs w:val="21"/>
              </w:rPr>
              <w:t>3</w:t>
            </w:r>
          </w:p>
        </w:tc>
        <w:tc>
          <w:tcPr>
            <w:tcW w:w="1202" w:type="pct"/>
            <w:tcBorders>
              <w:tl2br w:val="nil"/>
              <w:tr2bl w:val="nil"/>
            </w:tcBorders>
            <w:vAlign w:val="center"/>
          </w:tcPr>
          <w:p w14:paraId="58228EEE">
            <w:pPr>
              <w:pStyle w:val="4052"/>
              <w:rPr>
                <w:rFonts w:eastAsia="仿宋_GB2312"/>
                <w:color w:val="auto"/>
                <w:kern w:val="0"/>
                <w:sz w:val="21"/>
                <w:szCs w:val="21"/>
              </w:rPr>
            </w:pPr>
            <w:r>
              <w:rPr>
                <w:rFonts w:eastAsia="仿宋_GB2312"/>
                <w:color w:val="auto"/>
                <w:kern w:val="0"/>
                <w:sz w:val="21"/>
                <w:szCs w:val="21"/>
              </w:rPr>
              <w:t>PAM</w:t>
            </w:r>
          </w:p>
        </w:tc>
        <w:tc>
          <w:tcPr>
            <w:tcW w:w="583" w:type="pct"/>
            <w:tcBorders>
              <w:tl2br w:val="nil"/>
              <w:tr2bl w:val="nil"/>
            </w:tcBorders>
            <w:vAlign w:val="center"/>
          </w:tcPr>
          <w:p w14:paraId="40D23473">
            <w:pPr>
              <w:pStyle w:val="4052"/>
              <w:rPr>
                <w:rFonts w:hint="default" w:eastAsia="仿宋_GB2312"/>
                <w:color w:val="auto"/>
                <w:kern w:val="0"/>
                <w:sz w:val="21"/>
                <w:szCs w:val="21"/>
                <w:lang w:val="en-US" w:eastAsia="zh-CN"/>
              </w:rPr>
            </w:pPr>
            <w:r>
              <w:rPr>
                <w:rFonts w:eastAsia="仿宋_GB2312"/>
                <w:color w:val="auto"/>
                <w:kern w:val="0"/>
                <w:sz w:val="21"/>
                <w:szCs w:val="21"/>
              </w:rPr>
              <w:t>0.0</w:t>
            </w:r>
            <w:r>
              <w:rPr>
                <w:rFonts w:hint="eastAsia" w:eastAsia="仿宋_GB2312"/>
                <w:color w:val="auto"/>
                <w:kern w:val="0"/>
                <w:sz w:val="21"/>
                <w:szCs w:val="21"/>
                <w:lang w:val="en-US" w:eastAsia="zh-CN"/>
              </w:rPr>
              <w:t>19</w:t>
            </w:r>
          </w:p>
        </w:tc>
        <w:tc>
          <w:tcPr>
            <w:tcW w:w="1663" w:type="pct"/>
            <w:tcBorders>
              <w:tl2br w:val="nil"/>
              <w:tr2bl w:val="nil"/>
            </w:tcBorders>
            <w:vAlign w:val="center"/>
          </w:tcPr>
          <w:p w14:paraId="5B330082">
            <w:pPr>
              <w:pStyle w:val="4052"/>
              <w:rPr>
                <w:rFonts w:eastAsia="仿宋_GB2312"/>
                <w:color w:val="auto"/>
                <w:kern w:val="0"/>
                <w:sz w:val="21"/>
                <w:szCs w:val="21"/>
              </w:rPr>
            </w:pPr>
            <w:r>
              <w:rPr>
                <w:rFonts w:eastAsia="仿宋_GB2312"/>
                <w:color w:val="auto"/>
                <w:kern w:val="0"/>
                <w:sz w:val="21"/>
                <w:szCs w:val="21"/>
              </w:rPr>
              <w:t>200L桶装</w:t>
            </w:r>
          </w:p>
        </w:tc>
        <w:tc>
          <w:tcPr>
            <w:tcW w:w="695" w:type="pct"/>
            <w:tcBorders>
              <w:tl2br w:val="nil"/>
              <w:tr2bl w:val="nil"/>
            </w:tcBorders>
            <w:vAlign w:val="center"/>
          </w:tcPr>
          <w:p w14:paraId="4EA7682C">
            <w:pPr>
              <w:widowControl/>
              <w:jc w:val="center"/>
              <w:rPr>
                <w:rFonts w:eastAsia="仿宋_GB2312"/>
                <w:color w:val="auto"/>
                <w:kern w:val="0"/>
                <w:szCs w:val="21"/>
              </w:rPr>
            </w:pPr>
            <w:r>
              <w:rPr>
                <w:rFonts w:hint="eastAsia" w:eastAsia="仿宋_GB2312"/>
                <w:color w:val="auto"/>
                <w:kern w:val="0"/>
                <w:szCs w:val="21"/>
              </w:rPr>
              <w:t>外购、汽运</w:t>
            </w:r>
          </w:p>
        </w:tc>
      </w:tr>
      <w:tr w14:paraId="7B7F82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0" w:type="pct"/>
            <w:vMerge w:val="continue"/>
            <w:tcBorders>
              <w:tl2br w:val="nil"/>
              <w:tr2bl w:val="nil"/>
            </w:tcBorders>
            <w:vAlign w:val="center"/>
          </w:tcPr>
          <w:p w14:paraId="45D65E57">
            <w:pPr>
              <w:pStyle w:val="4052"/>
              <w:rPr>
                <w:rFonts w:eastAsia="仿宋_GB2312"/>
                <w:color w:val="auto"/>
                <w:kern w:val="0"/>
                <w:sz w:val="21"/>
                <w:szCs w:val="21"/>
              </w:rPr>
            </w:pPr>
          </w:p>
        </w:tc>
        <w:tc>
          <w:tcPr>
            <w:tcW w:w="435" w:type="pct"/>
            <w:tcBorders>
              <w:tl2br w:val="nil"/>
              <w:tr2bl w:val="nil"/>
            </w:tcBorders>
            <w:vAlign w:val="center"/>
          </w:tcPr>
          <w:p w14:paraId="4BEE10A3">
            <w:pPr>
              <w:pStyle w:val="4052"/>
              <w:rPr>
                <w:rFonts w:eastAsia="仿宋_GB2312"/>
                <w:color w:val="auto"/>
                <w:kern w:val="0"/>
                <w:sz w:val="21"/>
                <w:szCs w:val="21"/>
              </w:rPr>
            </w:pPr>
            <w:r>
              <w:rPr>
                <w:rFonts w:eastAsia="仿宋_GB2312"/>
                <w:color w:val="auto"/>
                <w:kern w:val="0"/>
                <w:sz w:val="21"/>
                <w:szCs w:val="21"/>
              </w:rPr>
              <w:t>4</w:t>
            </w:r>
          </w:p>
        </w:tc>
        <w:tc>
          <w:tcPr>
            <w:tcW w:w="1202" w:type="pct"/>
            <w:tcBorders>
              <w:tl2br w:val="nil"/>
              <w:tr2bl w:val="nil"/>
            </w:tcBorders>
            <w:vAlign w:val="center"/>
          </w:tcPr>
          <w:p w14:paraId="07011FAD">
            <w:pPr>
              <w:pStyle w:val="4052"/>
              <w:rPr>
                <w:rFonts w:eastAsia="仿宋_GB2312"/>
                <w:color w:val="auto"/>
                <w:kern w:val="0"/>
                <w:sz w:val="21"/>
                <w:szCs w:val="21"/>
              </w:rPr>
            </w:pPr>
            <w:r>
              <w:rPr>
                <w:rFonts w:eastAsia="仿宋_GB2312"/>
                <w:color w:val="auto"/>
                <w:kern w:val="0"/>
                <w:sz w:val="21"/>
                <w:szCs w:val="21"/>
              </w:rPr>
              <w:t>水</w:t>
            </w:r>
          </w:p>
        </w:tc>
        <w:tc>
          <w:tcPr>
            <w:tcW w:w="583" w:type="pct"/>
            <w:tcBorders>
              <w:tl2br w:val="nil"/>
              <w:tr2bl w:val="nil"/>
            </w:tcBorders>
            <w:vAlign w:val="center"/>
          </w:tcPr>
          <w:p w14:paraId="5128D6E2">
            <w:pPr>
              <w:pStyle w:val="4052"/>
              <w:rPr>
                <w:rFonts w:hint="default" w:eastAsia="仿宋_GB2312"/>
                <w:color w:val="auto"/>
                <w:kern w:val="0"/>
                <w:sz w:val="21"/>
                <w:szCs w:val="21"/>
                <w:lang w:val="en-US" w:eastAsia="zh-CN"/>
              </w:rPr>
            </w:pPr>
            <w:r>
              <w:rPr>
                <w:rFonts w:hint="eastAsia" w:eastAsia="仿宋_GB2312"/>
                <w:color w:val="auto"/>
                <w:kern w:val="0"/>
                <w:sz w:val="21"/>
                <w:szCs w:val="21"/>
                <w:lang w:val="en-US" w:eastAsia="zh-CN"/>
              </w:rPr>
              <w:t>190</w:t>
            </w:r>
          </w:p>
        </w:tc>
        <w:tc>
          <w:tcPr>
            <w:tcW w:w="1663" w:type="pct"/>
            <w:tcBorders>
              <w:tl2br w:val="nil"/>
              <w:tr2bl w:val="nil"/>
            </w:tcBorders>
            <w:vAlign w:val="center"/>
          </w:tcPr>
          <w:p w14:paraId="26C88E4B">
            <w:pPr>
              <w:pStyle w:val="4052"/>
              <w:rPr>
                <w:rFonts w:eastAsia="仿宋_GB2312"/>
                <w:color w:val="auto"/>
                <w:kern w:val="0"/>
                <w:sz w:val="21"/>
                <w:szCs w:val="21"/>
              </w:rPr>
            </w:pPr>
            <w:r>
              <w:rPr>
                <w:rFonts w:eastAsia="仿宋_GB2312"/>
                <w:color w:val="auto"/>
                <w:kern w:val="0"/>
                <w:sz w:val="21"/>
                <w:szCs w:val="21"/>
              </w:rPr>
              <w:t>/</w:t>
            </w:r>
          </w:p>
        </w:tc>
        <w:tc>
          <w:tcPr>
            <w:tcW w:w="695" w:type="pct"/>
            <w:tcBorders>
              <w:tl2br w:val="nil"/>
              <w:tr2bl w:val="nil"/>
            </w:tcBorders>
            <w:vAlign w:val="center"/>
          </w:tcPr>
          <w:p w14:paraId="7707A630">
            <w:pPr>
              <w:widowControl/>
              <w:jc w:val="center"/>
              <w:rPr>
                <w:rFonts w:eastAsia="仿宋_GB2312"/>
                <w:color w:val="auto"/>
                <w:kern w:val="0"/>
                <w:szCs w:val="21"/>
              </w:rPr>
            </w:pPr>
            <w:r>
              <w:rPr>
                <w:rFonts w:hint="eastAsia" w:eastAsia="仿宋_GB2312"/>
                <w:color w:val="auto"/>
                <w:kern w:val="0"/>
                <w:szCs w:val="21"/>
              </w:rPr>
              <w:t>/</w:t>
            </w:r>
          </w:p>
        </w:tc>
      </w:tr>
      <w:tr w14:paraId="17BC5D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0" w:type="pct"/>
            <w:vMerge w:val="continue"/>
            <w:tcBorders>
              <w:tl2br w:val="nil"/>
              <w:tr2bl w:val="nil"/>
            </w:tcBorders>
            <w:vAlign w:val="center"/>
          </w:tcPr>
          <w:p w14:paraId="65C0A35B">
            <w:pPr>
              <w:pStyle w:val="4052"/>
              <w:rPr>
                <w:rFonts w:eastAsia="仿宋_GB2312"/>
                <w:color w:val="auto"/>
                <w:kern w:val="0"/>
                <w:sz w:val="21"/>
                <w:szCs w:val="21"/>
              </w:rPr>
            </w:pPr>
          </w:p>
        </w:tc>
        <w:tc>
          <w:tcPr>
            <w:tcW w:w="435" w:type="pct"/>
            <w:tcBorders>
              <w:tl2br w:val="nil"/>
              <w:tr2bl w:val="nil"/>
            </w:tcBorders>
            <w:vAlign w:val="center"/>
          </w:tcPr>
          <w:p w14:paraId="2A47BA31">
            <w:pPr>
              <w:pStyle w:val="4052"/>
              <w:rPr>
                <w:rFonts w:eastAsia="仿宋_GB2312"/>
                <w:color w:val="auto"/>
                <w:kern w:val="0"/>
                <w:sz w:val="21"/>
                <w:szCs w:val="21"/>
              </w:rPr>
            </w:pPr>
            <w:r>
              <w:rPr>
                <w:rFonts w:eastAsia="仿宋_GB2312"/>
                <w:color w:val="auto"/>
                <w:kern w:val="0"/>
                <w:sz w:val="21"/>
                <w:szCs w:val="21"/>
              </w:rPr>
              <w:t>5</w:t>
            </w:r>
          </w:p>
        </w:tc>
        <w:tc>
          <w:tcPr>
            <w:tcW w:w="1202" w:type="pct"/>
            <w:tcBorders>
              <w:tl2br w:val="nil"/>
              <w:tr2bl w:val="nil"/>
            </w:tcBorders>
            <w:vAlign w:val="center"/>
          </w:tcPr>
          <w:p w14:paraId="1CBEC55E">
            <w:pPr>
              <w:pStyle w:val="4052"/>
              <w:rPr>
                <w:rFonts w:eastAsia="仿宋_GB2312"/>
                <w:color w:val="auto"/>
                <w:kern w:val="0"/>
                <w:sz w:val="21"/>
                <w:szCs w:val="21"/>
              </w:rPr>
            </w:pPr>
            <w:r>
              <w:rPr>
                <w:rFonts w:eastAsia="仿宋_GB2312"/>
                <w:color w:val="auto"/>
                <w:kern w:val="0"/>
                <w:sz w:val="21"/>
                <w:szCs w:val="21"/>
              </w:rPr>
              <w:t>30%液碱/30%硫酸</w:t>
            </w:r>
          </w:p>
        </w:tc>
        <w:tc>
          <w:tcPr>
            <w:tcW w:w="583" w:type="pct"/>
            <w:tcBorders>
              <w:tl2br w:val="nil"/>
              <w:tr2bl w:val="nil"/>
            </w:tcBorders>
            <w:vAlign w:val="center"/>
          </w:tcPr>
          <w:p w14:paraId="5DA65946">
            <w:pPr>
              <w:pStyle w:val="4052"/>
              <w:rPr>
                <w:rFonts w:hint="default" w:eastAsia="仿宋_GB2312"/>
                <w:color w:val="auto"/>
                <w:kern w:val="0"/>
                <w:sz w:val="21"/>
                <w:szCs w:val="21"/>
                <w:lang w:val="en-US" w:eastAsia="zh-CN"/>
              </w:rPr>
            </w:pPr>
            <w:r>
              <w:rPr>
                <w:rFonts w:hint="eastAsia" w:eastAsia="仿宋_GB2312"/>
                <w:color w:val="auto"/>
                <w:kern w:val="0"/>
                <w:sz w:val="21"/>
                <w:szCs w:val="21"/>
                <w:lang w:val="en-US" w:eastAsia="zh-CN"/>
              </w:rPr>
              <w:t>9.5</w:t>
            </w:r>
          </w:p>
        </w:tc>
        <w:tc>
          <w:tcPr>
            <w:tcW w:w="1663" w:type="pct"/>
            <w:tcBorders>
              <w:tl2br w:val="nil"/>
              <w:tr2bl w:val="nil"/>
            </w:tcBorders>
            <w:vAlign w:val="center"/>
          </w:tcPr>
          <w:p w14:paraId="51BBC020">
            <w:pPr>
              <w:pStyle w:val="4052"/>
              <w:rPr>
                <w:rFonts w:eastAsia="仿宋_GB2312"/>
                <w:color w:val="auto"/>
                <w:kern w:val="0"/>
                <w:sz w:val="21"/>
                <w:szCs w:val="21"/>
              </w:rPr>
            </w:pPr>
            <w:r>
              <w:rPr>
                <w:rFonts w:eastAsia="仿宋_GB2312"/>
                <w:color w:val="auto"/>
                <w:kern w:val="0"/>
                <w:sz w:val="21"/>
                <w:szCs w:val="21"/>
              </w:rPr>
              <w:t>200L桶装</w:t>
            </w:r>
          </w:p>
        </w:tc>
        <w:tc>
          <w:tcPr>
            <w:tcW w:w="695" w:type="pct"/>
            <w:tcBorders>
              <w:tl2br w:val="nil"/>
              <w:tr2bl w:val="nil"/>
            </w:tcBorders>
            <w:vAlign w:val="center"/>
          </w:tcPr>
          <w:p w14:paraId="2AC66278">
            <w:pPr>
              <w:widowControl/>
              <w:jc w:val="center"/>
              <w:rPr>
                <w:rFonts w:eastAsia="仿宋_GB2312"/>
                <w:color w:val="auto"/>
                <w:kern w:val="0"/>
                <w:szCs w:val="21"/>
              </w:rPr>
            </w:pPr>
            <w:r>
              <w:rPr>
                <w:rFonts w:hint="eastAsia" w:eastAsia="仿宋_GB2312"/>
                <w:color w:val="auto"/>
                <w:kern w:val="0"/>
                <w:szCs w:val="21"/>
              </w:rPr>
              <w:t>外购、汽运</w:t>
            </w:r>
          </w:p>
        </w:tc>
      </w:tr>
      <w:tr w14:paraId="7FDED86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0" w:type="pct"/>
            <w:vMerge w:val="restart"/>
            <w:tcBorders>
              <w:tl2br w:val="nil"/>
              <w:tr2bl w:val="nil"/>
            </w:tcBorders>
            <w:vAlign w:val="center"/>
          </w:tcPr>
          <w:p w14:paraId="60F73C8D">
            <w:pPr>
              <w:pStyle w:val="4052"/>
              <w:rPr>
                <w:rFonts w:hint="default" w:eastAsia="仿宋_GB2312"/>
                <w:color w:val="auto"/>
                <w:kern w:val="0"/>
                <w:sz w:val="21"/>
                <w:szCs w:val="21"/>
                <w:lang w:val="en-US" w:eastAsia="zh-CN"/>
              </w:rPr>
            </w:pPr>
            <w:r>
              <w:rPr>
                <w:rFonts w:hint="eastAsia" w:eastAsia="仿宋_GB2312"/>
                <w:color w:val="auto"/>
                <w:kern w:val="0"/>
                <w:sz w:val="21"/>
                <w:szCs w:val="21"/>
                <w:lang w:val="en-US" w:eastAsia="zh-CN"/>
              </w:rPr>
              <w:t>废碱液</w:t>
            </w:r>
          </w:p>
        </w:tc>
        <w:tc>
          <w:tcPr>
            <w:tcW w:w="435" w:type="pct"/>
            <w:tcBorders>
              <w:tl2br w:val="nil"/>
              <w:tr2bl w:val="nil"/>
            </w:tcBorders>
            <w:shd w:val="clear" w:color="auto" w:fill="auto"/>
            <w:vAlign w:val="center"/>
          </w:tcPr>
          <w:p w14:paraId="63A22FB9">
            <w:pPr>
              <w:pStyle w:val="4052"/>
              <w:rPr>
                <w:rFonts w:ascii="Times New Roman" w:hAnsi="Times New Roman" w:eastAsia="仿宋_GB2312" w:cs="Times New Roman"/>
                <w:color w:val="auto"/>
                <w:kern w:val="0"/>
                <w:sz w:val="21"/>
                <w:szCs w:val="21"/>
                <w:lang w:val="en-US" w:eastAsia="zh-CN" w:bidi="ar-SA"/>
              </w:rPr>
            </w:pPr>
            <w:r>
              <w:rPr>
                <w:rFonts w:eastAsia="仿宋_GB2312"/>
                <w:color w:val="auto"/>
                <w:kern w:val="0"/>
                <w:sz w:val="21"/>
                <w:szCs w:val="21"/>
              </w:rPr>
              <w:t>1</w:t>
            </w:r>
          </w:p>
        </w:tc>
        <w:tc>
          <w:tcPr>
            <w:tcW w:w="1202" w:type="pct"/>
            <w:tcBorders>
              <w:tl2br w:val="nil"/>
              <w:tr2bl w:val="nil"/>
            </w:tcBorders>
            <w:vAlign w:val="center"/>
          </w:tcPr>
          <w:p w14:paraId="5AC9BC55">
            <w:pPr>
              <w:pStyle w:val="4052"/>
              <w:rPr>
                <w:rFonts w:hint="default" w:eastAsia="仿宋_GB2312"/>
                <w:color w:val="auto"/>
                <w:kern w:val="0"/>
                <w:sz w:val="21"/>
                <w:szCs w:val="21"/>
                <w:lang w:val="en-US" w:eastAsia="zh-CN"/>
              </w:rPr>
            </w:pPr>
            <w:r>
              <w:rPr>
                <w:rFonts w:hint="eastAsia" w:eastAsia="仿宋_GB2312"/>
                <w:color w:val="auto"/>
                <w:kern w:val="0"/>
                <w:sz w:val="21"/>
                <w:szCs w:val="21"/>
                <w:lang w:val="en-US" w:eastAsia="zh-CN"/>
              </w:rPr>
              <w:t>废碱</w:t>
            </w:r>
          </w:p>
        </w:tc>
        <w:tc>
          <w:tcPr>
            <w:tcW w:w="583" w:type="pct"/>
            <w:tcBorders>
              <w:tl2br w:val="nil"/>
              <w:tr2bl w:val="nil"/>
            </w:tcBorders>
            <w:vAlign w:val="center"/>
          </w:tcPr>
          <w:p w14:paraId="2E6EA8E6">
            <w:pPr>
              <w:pStyle w:val="4052"/>
              <w:rPr>
                <w:rFonts w:hint="default" w:eastAsia="仿宋_GB2312"/>
                <w:color w:val="auto"/>
                <w:kern w:val="0"/>
                <w:sz w:val="21"/>
                <w:szCs w:val="21"/>
                <w:lang w:val="en-US" w:eastAsia="zh-CN"/>
              </w:rPr>
            </w:pPr>
            <w:r>
              <w:rPr>
                <w:rFonts w:hint="eastAsia" w:eastAsia="仿宋_GB2312"/>
                <w:color w:val="auto"/>
                <w:kern w:val="0"/>
                <w:sz w:val="21"/>
                <w:szCs w:val="21"/>
                <w:lang w:val="en-US" w:eastAsia="zh-CN"/>
              </w:rPr>
              <w:t>500</w:t>
            </w:r>
          </w:p>
        </w:tc>
        <w:tc>
          <w:tcPr>
            <w:tcW w:w="1663" w:type="pct"/>
            <w:tcBorders>
              <w:tl2br w:val="nil"/>
              <w:tr2bl w:val="nil"/>
            </w:tcBorders>
            <w:shd w:val="clear" w:color="auto" w:fill="auto"/>
            <w:vAlign w:val="center"/>
          </w:tcPr>
          <w:p w14:paraId="370F448F">
            <w:pPr>
              <w:widowControl/>
              <w:jc w:val="center"/>
              <w:rPr>
                <w:rFonts w:ascii="Times New Roman" w:hAnsi="Times New Roman" w:eastAsia="仿宋_GB2312" w:cs="Times New Roman"/>
                <w:color w:val="auto"/>
                <w:kern w:val="0"/>
                <w:sz w:val="21"/>
                <w:szCs w:val="21"/>
                <w:lang w:val="en-US" w:eastAsia="zh-CN" w:bidi="ar-SA"/>
              </w:rPr>
            </w:pPr>
            <w:r>
              <w:rPr>
                <w:rFonts w:eastAsia="仿宋_GB2312"/>
                <w:color w:val="auto"/>
                <w:kern w:val="0"/>
                <w:szCs w:val="21"/>
              </w:rPr>
              <w:t>吨桶/200L桶/25L桶/20L桶</w:t>
            </w:r>
          </w:p>
        </w:tc>
        <w:tc>
          <w:tcPr>
            <w:tcW w:w="695" w:type="pct"/>
            <w:tcBorders>
              <w:tl2br w:val="nil"/>
              <w:tr2bl w:val="nil"/>
            </w:tcBorders>
            <w:shd w:val="clear" w:color="auto" w:fill="auto"/>
            <w:vAlign w:val="center"/>
          </w:tcPr>
          <w:p w14:paraId="7F4B0C2D">
            <w:pPr>
              <w:widowControl/>
              <w:jc w:val="center"/>
              <w:rPr>
                <w:rFonts w:hint="eastAsia" w:ascii="Times New Roman" w:hAnsi="Times New Roman" w:eastAsia="仿宋_GB2312" w:cs="Times New Roman"/>
                <w:color w:val="auto"/>
                <w:kern w:val="0"/>
                <w:sz w:val="21"/>
                <w:szCs w:val="21"/>
                <w:lang w:val="en-US" w:eastAsia="zh-CN" w:bidi="ar-SA"/>
              </w:rPr>
            </w:pPr>
            <w:r>
              <w:rPr>
                <w:rFonts w:hint="eastAsia" w:eastAsia="仿宋_GB2312"/>
                <w:color w:val="auto"/>
                <w:kern w:val="0"/>
                <w:szCs w:val="21"/>
              </w:rPr>
              <w:t>外购、汽运</w:t>
            </w:r>
          </w:p>
        </w:tc>
      </w:tr>
      <w:tr w14:paraId="024CEAE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0" w:type="pct"/>
            <w:vMerge w:val="continue"/>
            <w:tcBorders>
              <w:tl2br w:val="nil"/>
              <w:tr2bl w:val="nil"/>
            </w:tcBorders>
            <w:vAlign w:val="center"/>
          </w:tcPr>
          <w:p w14:paraId="421E73AE">
            <w:pPr>
              <w:pStyle w:val="4052"/>
              <w:rPr>
                <w:rFonts w:eastAsia="仿宋_GB2312"/>
                <w:color w:val="auto"/>
                <w:kern w:val="0"/>
                <w:sz w:val="21"/>
                <w:szCs w:val="21"/>
              </w:rPr>
            </w:pPr>
          </w:p>
        </w:tc>
        <w:tc>
          <w:tcPr>
            <w:tcW w:w="435" w:type="pct"/>
            <w:tcBorders>
              <w:tl2br w:val="nil"/>
              <w:tr2bl w:val="nil"/>
            </w:tcBorders>
            <w:shd w:val="clear" w:color="auto" w:fill="auto"/>
            <w:vAlign w:val="center"/>
          </w:tcPr>
          <w:p w14:paraId="156E8892">
            <w:pPr>
              <w:pStyle w:val="4052"/>
              <w:rPr>
                <w:rFonts w:ascii="Times New Roman" w:hAnsi="Times New Roman" w:eastAsia="仿宋_GB2312" w:cs="Times New Roman"/>
                <w:color w:val="auto"/>
                <w:kern w:val="0"/>
                <w:sz w:val="21"/>
                <w:szCs w:val="21"/>
                <w:lang w:val="en-US" w:eastAsia="zh-CN" w:bidi="ar-SA"/>
              </w:rPr>
            </w:pPr>
            <w:r>
              <w:rPr>
                <w:rFonts w:eastAsia="仿宋_GB2312"/>
                <w:color w:val="auto"/>
                <w:kern w:val="0"/>
                <w:sz w:val="21"/>
                <w:szCs w:val="21"/>
              </w:rPr>
              <w:t>2</w:t>
            </w:r>
          </w:p>
        </w:tc>
        <w:tc>
          <w:tcPr>
            <w:tcW w:w="1202" w:type="pct"/>
            <w:tcBorders>
              <w:tl2br w:val="nil"/>
              <w:tr2bl w:val="nil"/>
            </w:tcBorders>
            <w:shd w:val="clear" w:color="auto" w:fill="auto"/>
            <w:vAlign w:val="center"/>
          </w:tcPr>
          <w:p w14:paraId="676A6AB5">
            <w:pPr>
              <w:pStyle w:val="4052"/>
              <w:rPr>
                <w:rFonts w:ascii="Times New Roman" w:hAnsi="Times New Roman" w:eastAsia="仿宋_GB2312" w:cs="Times New Roman"/>
                <w:color w:val="auto"/>
                <w:kern w:val="0"/>
                <w:sz w:val="21"/>
                <w:szCs w:val="21"/>
                <w:lang w:val="en-US" w:eastAsia="zh-CN" w:bidi="ar-SA"/>
              </w:rPr>
            </w:pPr>
            <w:r>
              <w:rPr>
                <w:rFonts w:eastAsia="仿宋_GB2312"/>
                <w:color w:val="auto"/>
                <w:kern w:val="0"/>
                <w:sz w:val="21"/>
                <w:szCs w:val="21"/>
              </w:rPr>
              <w:t>PAC</w:t>
            </w:r>
          </w:p>
        </w:tc>
        <w:tc>
          <w:tcPr>
            <w:tcW w:w="583" w:type="pct"/>
            <w:tcBorders>
              <w:tl2br w:val="nil"/>
              <w:tr2bl w:val="nil"/>
            </w:tcBorders>
            <w:vAlign w:val="center"/>
          </w:tcPr>
          <w:p w14:paraId="077E2511">
            <w:pPr>
              <w:pStyle w:val="4052"/>
              <w:rPr>
                <w:rFonts w:hint="default" w:eastAsia="仿宋_GB2312"/>
                <w:color w:val="auto"/>
                <w:kern w:val="0"/>
                <w:sz w:val="21"/>
                <w:szCs w:val="21"/>
                <w:lang w:val="en-US" w:eastAsia="zh-CN"/>
              </w:rPr>
            </w:pPr>
            <w:r>
              <w:rPr>
                <w:rFonts w:hint="eastAsia" w:eastAsia="仿宋_GB2312"/>
                <w:color w:val="auto"/>
                <w:kern w:val="0"/>
                <w:sz w:val="21"/>
                <w:szCs w:val="21"/>
                <w:lang w:val="en-US" w:eastAsia="zh-CN"/>
              </w:rPr>
              <w:t>1.536</w:t>
            </w:r>
          </w:p>
        </w:tc>
        <w:tc>
          <w:tcPr>
            <w:tcW w:w="1663" w:type="pct"/>
            <w:tcBorders>
              <w:tl2br w:val="nil"/>
              <w:tr2bl w:val="nil"/>
            </w:tcBorders>
            <w:shd w:val="clear" w:color="auto" w:fill="auto"/>
            <w:vAlign w:val="center"/>
          </w:tcPr>
          <w:p w14:paraId="179742F8">
            <w:pPr>
              <w:widowControl/>
              <w:jc w:val="center"/>
              <w:rPr>
                <w:rFonts w:ascii="Times New Roman" w:hAnsi="Times New Roman" w:eastAsia="仿宋_GB2312" w:cs="Times New Roman"/>
                <w:color w:val="auto"/>
                <w:kern w:val="0"/>
                <w:sz w:val="21"/>
                <w:szCs w:val="21"/>
                <w:lang w:val="en-US" w:eastAsia="zh-CN" w:bidi="ar-SA"/>
              </w:rPr>
            </w:pPr>
            <w:r>
              <w:rPr>
                <w:rFonts w:eastAsia="仿宋_GB2312"/>
                <w:color w:val="auto"/>
                <w:kern w:val="0"/>
                <w:szCs w:val="21"/>
              </w:rPr>
              <w:t>25kg袋装</w:t>
            </w:r>
          </w:p>
        </w:tc>
        <w:tc>
          <w:tcPr>
            <w:tcW w:w="695" w:type="pct"/>
            <w:tcBorders>
              <w:tl2br w:val="nil"/>
              <w:tr2bl w:val="nil"/>
            </w:tcBorders>
            <w:shd w:val="clear" w:color="auto" w:fill="auto"/>
            <w:vAlign w:val="center"/>
          </w:tcPr>
          <w:p w14:paraId="15DC6A9A">
            <w:pPr>
              <w:widowControl/>
              <w:jc w:val="center"/>
              <w:rPr>
                <w:rFonts w:hint="eastAsia" w:ascii="Times New Roman" w:hAnsi="Times New Roman" w:eastAsia="仿宋_GB2312" w:cs="Times New Roman"/>
                <w:color w:val="auto"/>
                <w:kern w:val="0"/>
                <w:sz w:val="21"/>
                <w:szCs w:val="21"/>
                <w:lang w:val="en-US" w:eastAsia="zh-CN" w:bidi="ar-SA"/>
              </w:rPr>
            </w:pPr>
            <w:r>
              <w:rPr>
                <w:rFonts w:hint="eastAsia" w:eastAsia="仿宋_GB2312"/>
                <w:color w:val="auto"/>
                <w:kern w:val="0"/>
                <w:szCs w:val="21"/>
              </w:rPr>
              <w:t>外购、汽运</w:t>
            </w:r>
          </w:p>
        </w:tc>
      </w:tr>
      <w:tr w14:paraId="500DB2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0" w:type="pct"/>
            <w:vMerge w:val="continue"/>
            <w:tcBorders>
              <w:tl2br w:val="nil"/>
              <w:tr2bl w:val="nil"/>
            </w:tcBorders>
            <w:vAlign w:val="center"/>
          </w:tcPr>
          <w:p w14:paraId="4615F2B2">
            <w:pPr>
              <w:pStyle w:val="4052"/>
              <w:rPr>
                <w:rFonts w:eastAsia="仿宋_GB2312"/>
                <w:color w:val="auto"/>
                <w:kern w:val="0"/>
                <w:sz w:val="21"/>
                <w:szCs w:val="21"/>
              </w:rPr>
            </w:pPr>
          </w:p>
        </w:tc>
        <w:tc>
          <w:tcPr>
            <w:tcW w:w="435" w:type="pct"/>
            <w:tcBorders>
              <w:tl2br w:val="nil"/>
              <w:tr2bl w:val="nil"/>
            </w:tcBorders>
            <w:shd w:val="clear" w:color="auto" w:fill="auto"/>
            <w:vAlign w:val="center"/>
          </w:tcPr>
          <w:p w14:paraId="2932B23A">
            <w:pPr>
              <w:pStyle w:val="4052"/>
              <w:rPr>
                <w:rFonts w:ascii="Times New Roman" w:hAnsi="Times New Roman" w:eastAsia="仿宋_GB2312" w:cs="Times New Roman"/>
                <w:color w:val="auto"/>
                <w:kern w:val="0"/>
                <w:sz w:val="21"/>
                <w:szCs w:val="21"/>
                <w:lang w:val="en-US" w:eastAsia="zh-CN" w:bidi="ar-SA"/>
              </w:rPr>
            </w:pPr>
            <w:r>
              <w:rPr>
                <w:rFonts w:eastAsia="仿宋_GB2312"/>
                <w:color w:val="auto"/>
                <w:kern w:val="0"/>
                <w:sz w:val="21"/>
                <w:szCs w:val="21"/>
              </w:rPr>
              <w:t>3</w:t>
            </w:r>
          </w:p>
        </w:tc>
        <w:tc>
          <w:tcPr>
            <w:tcW w:w="1202" w:type="pct"/>
            <w:tcBorders>
              <w:tl2br w:val="nil"/>
              <w:tr2bl w:val="nil"/>
            </w:tcBorders>
            <w:shd w:val="clear" w:color="auto" w:fill="auto"/>
            <w:vAlign w:val="center"/>
          </w:tcPr>
          <w:p w14:paraId="56C3D381">
            <w:pPr>
              <w:pStyle w:val="4052"/>
              <w:rPr>
                <w:rFonts w:ascii="Times New Roman" w:hAnsi="Times New Roman" w:eastAsia="仿宋_GB2312" w:cs="Times New Roman"/>
                <w:color w:val="auto"/>
                <w:kern w:val="0"/>
                <w:sz w:val="21"/>
                <w:szCs w:val="21"/>
                <w:lang w:val="en-US" w:eastAsia="zh-CN" w:bidi="ar-SA"/>
              </w:rPr>
            </w:pPr>
            <w:r>
              <w:rPr>
                <w:rFonts w:eastAsia="仿宋_GB2312"/>
                <w:color w:val="auto"/>
                <w:kern w:val="0"/>
                <w:sz w:val="21"/>
                <w:szCs w:val="21"/>
              </w:rPr>
              <w:t>PAM</w:t>
            </w:r>
          </w:p>
        </w:tc>
        <w:tc>
          <w:tcPr>
            <w:tcW w:w="583" w:type="pct"/>
            <w:tcBorders>
              <w:tl2br w:val="nil"/>
              <w:tr2bl w:val="nil"/>
            </w:tcBorders>
            <w:vAlign w:val="center"/>
          </w:tcPr>
          <w:p w14:paraId="0452A645">
            <w:pPr>
              <w:pStyle w:val="4052"/>
              <w:rPr>
                <w:rFonts w:hint="default" w:eastAsia="仿宋_GB2312"/>
                <w:color w:val="auto"/>
                <w:kern w:val="0"/>
                <w:sz w:val="21"/>
                <w:szCs w:val="21"/>
                <w:lang w:val="en-US" w:eastAsia="zh-CN"/>
              </w:rPr>
            </w:pPr>
            <w:r>
              <w:rPr>
                <w:rFonts w:hint="eastAsia" w:eastAsia="仿宋_GB2312"/>
                <w:color w:val="auto"/>
                <w:kern w:val="0"/>
                <w:sz w:val="21"/>
                <w:szCs w:val="21"/>
                <w:lang w:val="en-US" w:eastAsia="zh-CN"/>
              </w:rPr>
              <w:t>0.027</w:t>
            </w:r>
          </w:p>
        </w:tc>
        <w:tc>
          <w:tcPr>
            <w:tcW w:w="1663" w:type="pct"/>
            <w:tcBorders>
              <w:tl2br w:val="nil"/>
              <w:tr2bl w:val="nil"/>
            </w:tcBorders>
            <w:shd w:val="clear" w:color="auto" w:fill="auto"/>
            <w:vAlign w:val="center"/>
          </w:tcPr>
          <w:p w14:paraId="2B55E956">
            <w:pPr>
              <w:pStyle w:val="4052"/>
              <w:rPr>
                <w:rFonts w:ascii="Times New Roman" w:hAnsi="Times New Roman" w:eastAsia="仿宋_GB2312" w:cs="Times New Roman"/>
                <w:color w:val="auto"/>
                <w:kern w:val="0"/>
                <w:sz w:val="21"/>
                <w:szCs w:val="21"/>
                <w:lang w:val="en-US" w:eastAsia="zh-CN" w:bidi="ar-SA"/>
              </w:rPr>
            </w:pPr>
            <w:r>
              <w:rPr>
                <w:rFonts w:eastAsia="仿宋_GB2312"/>
                <w:color w:val="auto"/>
                <w:kern w:val="0"/>
                <w:sz w:val="21"/>
                <w:szCs w:val="21"/>
              </w:rPr>
              <w:t>200L桶装</w:t>
            </w:r>
          </w:p>
        </w:tc>
        <w:tc>
          <w:tcPr>
            <w:tcW w:w="695" w:type="pct"/>
            <w:tcBorders>
              <w:tl2br w:val="nil"/>
              <w:tr2bl w:val="nil"/>
            </w:tcBorders>
            <w:shd w:val="clear" w:color="auto" w:fill="auto"/>
            <w:vAlign w:val="center"/>
          </w:tcPr>
          <w:p w14:paraId="54B9AE86">
            <w:pPr>
              <w:widowControl/>
              <w:jc w:val="center"/>
              <w:rPr>
                <w:rFonts w:hint="eastAsia" w:ascii="Times New Roman" w:hAnsi="Times New Roman" w:eastAsia="仿宋_GB2312" w:cs="Times New Roman"/>
                <w:color w:val="auto"/>
                <w:kern w:val="0"/>
                <w:sz w:val="21"/>
                <w:szCs w:val="21"/>
                <w:lang w:val="en-US" w:eastAsia="zh-CN" w:bidi="ar-SA"/>
              </w:rPr>
            </w:pPr>
            <w:r>
              <w:rPr>
                <w:rFonts w:hint="eastAsia" w:eastAsia="仿宋_GB2312"/>
                <w:color w:val="auto"/>
                <w:kern w:val="0"/>
                <w:szCs w:val="21"/>
              </w:rPr>
              <w:t>外购、汽运</w:t>
            </w:r>
          </w:p>
        </w:tc>
      </w:tr>
      <w:tr w14:paraId="012290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0" w:type="pct"/>
            <w:vMerge w:val="continue"/>
            <w:tcBorders>
              <w:tl2br w:val="nil"/>
              <w:tr2bl w:val="nil"/>
            </w:tcBorders>
            <w:vAlign w:val="center"/>
          </w:tcPr>
          <w:p w14:paraId="34C6902D">
            <w:pPr>
              <w:pStyle w:val="4052"/>
              <w:rPr>
                <w:rFonts w:eastAsia="仿宋_GB2312"/>
                <w:color w:val="auto"/>
                <w:kern w:val="0"/>
                <w:sz w:val="21"/>
                <w:szCs w:val="21"/>
              </w:rPr>
            </w:pPr>
          </w:p>
        </w:tc>
        <w:tc>
          <w:tcPr>
            <w:tcW w:w="435" w:type="pct"/>
            <w:tcBorders>
              <w:tl2br w:val="nil"/>
              <w:tr2bl w:val="nil"/>
            </w:tcBorders>
            <w:shd w:val="clear" w:color="auto" w:fill="auto"/>
            <w:vAlign w:val="center"/>
          </w:tcPr>
          <w:p w14:paraId="254A6A55">
            <w:pPr>
              <w:pStyle w:val="4052"/>
              <w:rPr>
                <w:rFonts w:ascii="Times New Roman" w:hAnsi="Times New Roman" w:eastAsia="仿宋_GB2312" w:cs="Times New Roman"/>
                <w:color w:val="auto"/>
                <w:kern w:val="0"/>
                <w:sz w:val="21"/>
                <w:szCs w:val="21"/>
                <w:lang w:val="en-US" w:eastAsia="zh-CN" w:bidi="ar-SA"/>
              </w:rPr>
            </w:pPr>
            <w:r>
              <w:rPr>
                <w:rFonts w:eastAsia="仿宋_GB2312"/>
                <w:color w:val="auto"/>
                <w:kern w:val="0"/>
                <w:sz w:val="21"/>
                <w:szCs w:val="21"/>
              </w:rPr>
              <w:t>4</w:t>
            </w:r>
          </w:p>
        </w:tc>
        <w:tc>
          <w:tcPr>
            <w:tcW w:w="1202" w:type="pct"/>
            <w:tcBorders>
              <w:tl2br w:val="nil"/>
              <w:tr2bl w:val="nil"/>
            </w:tcBorders>
            <w:shd w:val="clear" w:color="auto" w:fill="auto"/>
            <w:vAlign w:val="center"/>
          </w:tcPr>
          <w:p w14:paraId="68ACF6D5">
            <w:pPr>
              <w:pStyle w:val="4052"/>
              <w:rPr>
                <w:rFonts w:ascii="Times New Roman" w:hAnsi="Times New Roman" w:eastAsia="仿宋_GB2312" w:cs="Times New Roman"/>
                <w:color w:val="auto"/>
                <w:kern w:val="0"/>
                <w:sz w:val="21"/>
                <w:szCs w:val="21"/>
                <w:lang w:val="en-US" w:eastAsia="zh-CN" w:bidi="ar-SA"/>
              </w:rPr>
            </w:pPr>
            <w:r>
              <w:rPr>
                <w:rFonts w:eastAsia="仿宋_GB2312"/>
                <w:color w:val="auto"/>
                <w:kern w:val="0"/>
                <w:sz w:val="21"/>
                <w:szCs w:val="21"/>
              </w:rPr>
              <w:t>水</w:t>
            </w:r>
          </w:p>
        </w:tc>
        <w:tc>
          <w:tcPr>
            <w:tcW w:w="583" w:type="pct"/>
            <w:tcBorders>
              <w:tl2br w:val="nil"/>
              <w:tr2bl w:val="nil"/>
            </w:tcBorders>
            <w:vAlign w:val="center"/>
          </w:tcPr>
          <w:p w14:paraId="5AB48F58">
            <w:pPr>
              <w:pStyle w:val="4052"/>
              <w:rPr>
                <w:rFonts w:hint="default" w:eastAsia="仿宋_GB2312"/>
                <w:color w:val="auto"/>
                <w:kern w:val="0"/>
                <w:sz w:val="21"/>
                <w:szCs w:val="21"/>
                <w:lang w:val="en-US" w:eastAsia="zh-CN"/>
              </w:rPr>
            </w:pPr>
            <w:r>
              <w:rPr>
                <w:rFonts w:hint="eastAsia" w:eastAsia="仿宋_GB2312"/>
                <w:color w:val="auto"/>
                <w:kern w:val="0"/>
                <w:sz w:val="21"/>
                <w:szCs w:val="21"/>
                <w:lang w:val="en-US" w:eastAsia="zh-CN"/>
              </w:rPr>
              <w:t>6.25</w:t>
            </w:r>
          </w:p>
        </w:tc>
        <w:tc>
          <w:tcPr>
            <w:tcW w:w="1663" w:type="pct"/>
            <w:tcBorders>
              <w:tl2br w:val="nil"/>
              <w:tr2bl w:val="nil"/>
            </w:tcBorders>
            <w:shd w:val="clear" w:color="auto" w:fill="auto"/>
            <w:vAlign w:val="center"/>
          </w:tcPr>
          <w:p w14:paraId="48AF6759">
            <w:pPr>
              <w:pStyle w:val="4052"/>
              <w:rPr>
                <w:rFonts w:ascii="Times New Roman" w:hAnsi="Times New Roman" w:eastAsia="仿宋_GB2312" w:cs="Times New Roman"/>
                <w:color w:val="auto"/>
                <w:kern w:val="0"/>
                <w:sz w:val="21"/>
                <w:szCs w:val="21"/>
                <w:lang w:val="en-US" w:eastAsia="zh-CN" w:bidi="ar-SA"/>
              </w:rPr>
            </w:pPr>
            <w:r>
              <w:rPr>
                <w:rFonts w:eastAsia="仿宋_GB2312"/>
                <w:color w:val="auto"/>
                <w:kern w:val="0"/>
                <w:sz w:val="21"/>
                <w:szCs w:val="21"/>
              </w:rPr>
              <w:t>/</w:t>
            </w:r>
          </w:p>
        </w:tc>
        <w:tc>
          <w:tcPr>
            <w:tcW w:w="695" w:type="pct"/>
            <w:tcBorders>
              <w:tl2br w:val="nil"/>
              <w:tr2bl w:val="nil"/>
            </w:tcBorders>
            <w:shd w:val="clear" w:color="auto" w:fill="auto"/>
            <w:vAlign w:val="center"/>
          </w:tcPr>
          <w:p w14:paraId="41821463">
            <w:pPr>
              <w:widowControl/>
              <w:jc w:val="center"/>
              <w:rPr>
                <w:rFonts w:hint="eastAsia" w:ascii="Times New Roman" w:hAnsi="Times New Roman" w:eastAsia="仿宋_GB2312" w:cs="Times New Roman"/>
                <w:color w:val="auto"/>
                <w:kern w:val="0"/>
                <w:sz w:val="21"/>
                <w:szCs w:val="21"/>
                <w:lang w:val="en-US" w:eastAsia="zh-CN" w:bidi="ar-SA"/>
              </w:rPr>
            </w:pPr>
            <w:r>
              <w:rPr>
                <w:rFonts w:hint="eastAsia" w:eastAsia="仿宋_GB2312"/>
                <w:color w:val="auto"/>
                <w:kern w:val="0"/>
                <w:szCs w:val="21"/>
              </w:rPr>
              <w:t>/</w:t>
            </w:r>
          </w:p>
        </w:tc>
      </w:tr>
      <w:tr w14:paraId="0C10DB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0" w:type="pct"/>
            <w:vMerge w:val="continue"/>
            <w:tcBorders>
              <w:tl2br w:val="nil"/>
              <w:tr2bl w:val="nil"/>
            </w:tcBorders>
            <w:vAlign w:val="center"/>
          </w:tcPr>
          <w:p w14:paraId="7E39CE71">
            <w:pPr>
              <w:pStyle w:val="4052"/>
              <w:rPr>
                <w:rFonts w:eastAsia="仿宋_GB2312"/>
                <w:color w:val="auto"/>
                <w:kern w:val="0"/>
                <w:sz w:val="21"/>
                <w:szCs w:val="21"/>
              </w:rPr>
            </w:pPr>
          </w:p>
        </w:tc>
        <w:tc>
          <w:tcPr>
            <w:tcW w:w="435" w:type="pct"/>
            <w:tcBorders>
              <w:tl2br w:val="nil"/>
              <w:tr2bl w:val="nil"/>
            </w:tcBorders>
            <w:shd w:val="clear" w:color="auto" w:fill="auto"/>
            <w:vAlign w:val="center"/>
          </w:tcPr>
          <w:p w14:paraId="6466C405">
            <w:pPr>
              <w:pStyle w:val="4052"/>
              <w:rPr>
                <w:rFonts w:ascii="Times New Roman" w:hAnsi="Times New Roman" w:eastAsia="仿宋_GB2312" w:cs="Times New Roman"/>
                <w:color w:val="auto"/>
                <w:kern w:val="0"/>
                <w:sz w:val="21"/>
                <w:szCs w:val="21"/>
                <w:lang w:val="en-US" w:eastAsia="zh-CN" w:bidi="ar-SA"/>
              </w:rPr>
            </w:pPr>
            <w:r>
              <w:rPr>
                <w:rFonts w:eastAsia="仿宋_GB2312"/>
                <w:color w:val="auto"/>
                <w:kern w:val="0"/>
                <w:sz w:val="21"/>
                <w:szCs w:val="21"/>
              </w:rPr>
              <w:t>5</w:t>
            </w:r>
          </w:p>
        </w:tc>
        <w:tc>
          <w:tcPr>
            <w:tcW w:w="1202" w:type="pct"/>
            <w:tcBorders>
              <w:tl2br w:val="nil"/>
              <w:tr2bl w:val="nil"/>
            </w:tcBorders>
            <w:shd w:val="clear" w:color="auto" w:fill="auto"/>
            <w:vAlign w:val="center"/>
          </w:tcPr>
          <w:p w14:paraId="4414E50D">
            <w:pPr>
              <w:pStyle w:val="4052"/>
              <w:rPr>
                <w:rFonts w:ascii="Times New Roman" w:hAnsi="Times New Roman" w:eastAsia="仿宋_GB2312" w:cs="Times New Roman"/>
                <w:color w:val="auto"/>
                <w:kern w:val="0"/>
                <w:sz w:val="21"/>
                <w:szCs w:val="21"/>
                <w:lang w:val="en-US" w:eastAsia="zh-CN" w:bidi="ar-SA"/>
              </w:rPr>
            </w:pPr>
            <w:r>
              <w:rPr>
                <w:rFonts w:eastAsia="仿宋_GB2312"/>
                <w:color w:val="auto"/>
                <w:kern w:val="0"/>
                <w:sz w:val="21"/>
                <w:szCs w:val="21"/>
              </w:rPr>
              <w:t>30%液碱/30%硫酸</w:t>
            </w:r>
          </w:p>
        </w:tc>
        <w:tc>
          <w:tcPr>
            <w:tcW w:w="583" w:type="pct"/>
            <w:tcBorders>
              <w:tl2br w:val="nil"/>
              <w:tr2bl w:val="nil"/>
            </w:tcBorders>
            <w:vAlign w:val="center"/>
          </w:tcPr>
          <w:p w14:paraId="0EEB5279">
            <w:pPr>
              <w:pStyle w:val="4052"/>
              <w:rPr>
                <w:rFonts w:hint="default" w:eastAsia="仿宋_GB2312"/>
                <w:color w:val="auto"/>
                <w:kern w:val="0"/>
                <w:sz w:val="21"/>
                <w:szCs w:val="21"/>
                <w:lang w:val="en-US" w:eastAsia="zh-CN"/>
              </w:rPr>
            </w:pPr>
            <w:r>
              <w:rPr>
                <w:rFonts w:hint="eastAsia" w:eastAsia="仿宋_GB2312"/>
                <w:color w:val="auto"/>
                <w:kern w:val="0"/>
                <w:sz w:val="21"/>
                <w:szCs w:val="21"/>
                <w:lang w:val="en-US" w:eastAsia="zh-CN"/>
              </w:rPr>
              <w:t>6.25</w:t>
            </w:r>
          </w:p>
        </w:tc>
        <w:tc>
          <w:tcPr>
            <w:tcW w:w="1663" w:type="pct"/>
            <w:tcBorders>
              <w:tl2br w:val="nil"/>
              <w:tr2bl w:val="nil"/>
            </w:tcBorders>
            <w:shd w:val="clear" w:color="auto" w:fill="auto"/>
            <w:vAlign w:val="center"/>
          </w:tcPr>
          <w:p w14:paraId="2DBCFC0C">
            <w:pPr>
              <w:pStyle w:val="4052"/>
              <w:rPr>
                <w:rFonts w:ascii="Times New Roman" w:hAnsi="Times New Roman" w:eastAsia="仿宋_GB2312" w:cs="Times New Roman"/>
                <w:color w:val="auto"/>
                <w:kern w:val="0"/>
                <w:sz w:val="21"/>
                <w:szCs w:val="21"/>
                <w:lang w:val="en-US" w:eastAsia="zh-CN" w:bidi="ar-SA"/>
              </w:rPr>
            </w:pPr>
            <w:r>
              <w:rPr>
                <w:rFonts w:eastAsia="仿宋_GB2312"/>
                <w:color w:val="auto"/>
                <w:kern w:val="0"/>
                <w:sz w:val="21"/>
                <w:szCs w:val="21"/>
              </w:rPr>
              <w:t>200L桶装</w:t>
            </w:r>
          </w:p>
        </w:tc>
        <w:tc>
          <w:tcPr>
            <w:tcW w:w="695" w:type="pct"/>
            <w:tcBorders>
              <w:tl2br w:val="nil"/>
              <w:tr2bl w:val="nil"/>
            </w:tcBorders>
            <w:shd w:val="clear" w:color="auto" w:fill="auto"/>
            <w:vAlign w:val="center"/>
          </w:tcPr>
          <w:p w14:paraId="4A16AE90">
            <w:pPr>
              <w:widowControl/>
              <w:jc w:val="center"/>
              <w:rPr>
                <w:rFonts w:hint="eastAsia" w:ascii="Times New Roman" w:hAnsi="Times New Roman" w:eastAsia="仿宋_GB2312" w:cs="Times New Roman"/>
                <w:color w:val="auto"/>
                <w:kern w:val="0"/>
                <w:sz w:val="21"/>
                <w:szCs w:val="21"/>
                <w:lang w:val="en-US" w:eastAsia="zh-CN" w:bidi="ar-SA"/>
              </w:rPr>
            </w:pPr>
            <w:r>
              <w:rPr>
                <w:rFonts w:hint="eastAsia" w:eastAsia="仿宋_GB2312"/>
                <w:color w:val="auto"/>
                <w:kern w:val="0"/>
                <w:szCs w:val="21"/>
              </w:rPr>
              <w:t>外购、汽运</w:t>
            </w:r>
          </w:p>
        </w:tc>
      </w:tr>
    </w:tbl>
    <w:p w14:paraId="4894A635">
      <w:pPr>
        <w:spacing w:line="500" w:lineRule="exact"/>
        <w:ind w:firstLine="560" w:firstLineChars="200"/>
        <w:rPr>
          <w:rFonts w:eastAsia="仿宋_GB2312"/>
          <w:color w:val="FF0000"/>
          <w:sz w:val="28"/>
          <w:szCs w:val="28"/>
        </w:rPr>
      </w:pPr>
    </w:p>
    <w:p w14:paraId="0BAD383B">
      <w:pPr>
        <w:spacing w:line="500" w:lineRule="exact"/>
        <w:ind w:firstLine="560" w:firstLineChars="200"/>
        <w:rPr>
          <w:rFonts w:eastAsia="仿宋_GB2312"/>
          <w:color w:val="FF0000"/>
          <w:sz w:val="28"/>
          <w:szCs w:val="28"/>
        </w:rPr>
      </w:pPr>
    </w:p>
    <w:p w14:paraId="5C7AA6D0">
      <w:pPr>
        <w:spacing w:line="500" w:lineRule="exact"/>
        <w:ind w:firstLine="560" w:firstLineChars="200"/>
        <w:rPr>
          <w:rFonts w:eastAsia="仿宋_GB2312"/>
          <w:color w:val="FF0000"/>
          <w:sz w:val="28"/>
          <w:szCs w:val="28"/>
        </w:rPr>
      </w:pPr>
    </w:p>
    <w:p w14:paraId="685E5F17">
      <w:pPr>
        <w:pStyle w:val="2"/>
        <w:rPr>
          <w:color w:val="FF0000"/>
          <w:sz w:val="28"/>
          <w:szCs w:val="28"/>
        </w:rPr>
        <w:sectPr>
          <w:pgSz w:w="11907" w:h="16840"/>
          <w:pgMar w:top="1440" w:right="1800" w:bottom="1440" w:left="1800" w:header="851" w:footer="992" w:gutter="0"/>
          <w:pgBorders>
            <w:top w:val="none" w:sz="0" w:space="0"/>
            <w:left w:val="none" w:sz="0" w:space="0"/>
            <w:bottom w:val="none" w:sz="0" w:space="0"/>
            <w:right w:val="none" w:sz="0" w:space="0"/>
          </w:pgBorders>
          <w:pgNumType w:fmt="decimal"/>
          <w:cols w:space="425" w:num="1"/>
          <w:docGrid w:linePitch="326" w:charSpace="0"/>
        </w:sectPr>
      </w:pPr>
    </w:p>
    <w:p w14:paraId="0772D3EB">
      <w:pPr>
        <w:pStyle w:val="7"/>
        <w:keepLines w:val="0"/>
        <w:widowControl/>
        <w:adjustRightInd w:val="0"/>
        <w:snapToGrid w:val="0"/>
        <w:spacing w:after="120" w:afterLines="50"/>
        <w:jc w:val="left"/>
        <w:rPr>
          <w:rFonts w:ascii="Times New Roman" w:hAnsi="Times New Roman"/>
          <w:b/>
        </w:rPr>
      </w:pPr>
      <w:r>
        <w:rPr>
          <w:rFonts w:ascii="Times New Roman" w:hAnsi="Times New Roman"/>
          <w:b/>
        </w:rPr>
        <w:t>3.2.</w:t>
      </w:r>
      <w:r>
        <w:rPr>
          <w:rFonts w:hint="eastAsia" w:ascii="Times New Roman" w:hAnsi="Times New Roman"/>
          <w:b/>
        </w:rPr>
        <w:t>4</w:t>
      </w:r>
      <w:r>
        <w:rPr>
          <w:rFonts w:ascii="Times New Roman" w:hAnsi="Times New Roman"/>
          <w:b/>
        </w:rPr>
        <w:t>.2理化性质汇总</w:t>
      </w:r>
    </w:p>
    <w:p w14:paraId="5B389AB0">
      <w:pPr>
        <w:spacing w:line="500" w:lineRule="exact"/>
        <w:ind w:firstLine="560" w:firstLineChars="200"/>
        <w:rPr>
          <w:rFonts w:eastAsia="仿宋_GB2312"/>
          <w:sz w:val="28"/>
          <w:szCs w:val="28"/>
        </w:rPr>
      </w:pPr>
      <w:r>
        <w:rPr>
          <w:rFonts w:eastAsia="仿宋_GB2312"/>
          <w:sz w:val="28"/>
          <w:szCs w:val="28"/>
        </w:rPr>
        <w:t>本项目主要原辅材料、产品理化性质见表3.2-4</w:t>
      </w:r>
      <w:r>
        <w:rPr>
          <w:rFonts w:hint="eastAsia" w:eastAsia="仿宋_GB2312"/>
          <w:sz w:val="28"/>
          <w:szCs w:val="28"/>
          <w:lang w:val="en-US" w:eastAsia="zh-CN"/>
        </w:rPr>
        <w:t>2</w:t>
      </w:r>
      <w:r>
        <w:rPr>
          <w:rFonts w:eastAsia="仿宋_GB2312"/>
          <w:sz w:val="28"/>
          <w:szCs w:val="28"/>
        </w:rPr>
        <w:t>。</w:t>
      </w:r>
    </w:p>
    <w:p w14:paraId="2593343F">
      <w:pPr>
        <w:pStyle w:val="162"/>
        <w:spacing w:line="480" w:lineRule="exact"/>
        <w:ind w:firstLine="0" w:firstLineChars="0"/>
        <w:rPr>
          <w:rFonts w:ascii="Times New Roman"/>
          <w:bCs w:val="0"/>
        </w:rPr>
      </w:pPr>
      <w:r>
        <w:rPr>
          <w:rFonts w:ascii="Times New Roman"/>
          <w:bCs w:val="0"/>
        </w:rPr>
        <w:t>3.2-4</w:t>
      </w:r>
      <w:r>
        <w:rPr>
          <w:rFonts w:hint="eastAsia" w:ascii="Times New Roman"/>
          <w:bCs w:val="0"/>
          <w:lang w:val="en-US" w:eastAsia="zh-CN"/>
        </w:rPr>
        <w:t>2</w:t>
      </w:r>
      <w:r>
        <w:rPr>
          <w:rFonts w:ascii="Times New Roman"/>
          <w:bCs w:val="0"/>
        </w:rPr>
        <w:t xml:space="preserve">  本项目主要原辅材料理化性质</w:t>
      </w:r>
    </w:p>
    <w:tbl>
      <w:tblPr>
        <w:tblStyle w:val="88"/>
        <w:tblW w:w="4998"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51" w:type="dxa"/>
          <w:bottom w:w="0" w:type="dxa"/>
          <w:right w:w="51" w:type="dxa"/>
        </w:tblCellMar>
      </w:tblPr>
      <w:tblGrid>
        <w:gridCol w:w="1542"/>
        <w:gridCol w:w="1385"/>
        <w:gridCol w:w="1126"/>
        <w:gridCol w:w="3163"/>
        <w:gridCol w:w="2458"/>
        <w:gridCol w:w="1234"/>
        <w:gridCol w:w="2429"/>
      </w:tblGrid>
      <w:tr w14:paraId="3D02ED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1" w:type="dxa"/>
            <w:bottom w:w="0" w:type="dxa"/>
            <w:right w:w="51" w:type="dxa"/>
          </w:tblCellMar>
        </w:tblPrEx>
        <w:trPr>
          <w:trHeight w:val="340" w:hRule="atLeast"/>
          <w:jc w:val="center"/>
        </w:trPr>
        <w:tc>
          <w:tcPr>
            <w:tcW w:w="578" w:type="pct"/>
            <w:vAlign w:val="center"/>
          </w:tcPr>
          <w:p w14:paraId="1B48145B">
            <w:pPr>
              <w:adjustRightInd w:val="0"/>
              <w:snapToGrid w:val="0"/>
              <w:jc w:val="center"/>
              <w:rPr>
                <w:rFonts w:eastAsia="仿宋_GB2312"/>
                <w:b/>
                <w:szCs w:val="21"/>
              </w:rPr>
            </w:pPr>
            <w:r>
              <w:rPr>
                <w:rFonts w:eastAsia="仿宋_GB2312"/>
                <w:b/>
              </w:rPr>
              <w:t>名称</w:t>
            </w:r>
          </w:p>
        </w:tc>
        <w:tc>
          <w:tcPr>
            <w:tcW w:w="519" w:type="pct"/>
            <w:vAlign w:val="center"/>
          </w:tcPr>
          <w:p w14:paraId="374194C4">
            <w:pPr>
              <w:adjustRightInd w:val="0"/>
              <w:snapToGrid w:val="0"/>
              <w:jc w:val="center"/>
              <w:rPr>
                <w:rFonts w:eastAsia="仿宋_GB2312"/>
                <w:b/>
                <w:szCs w:val="21"/>
              </w:rPr>
            </w:pPr>
            <w:r>
              <w:rPr>
                <w:rFonts w:eastAsia="仿宋_GB2312"/>
                <w:b/>
              </w:rPr>
              <w:t>分子式</w:t>
            </w:r>
          </w:p>
        </w:tc>
        <w:tc>
          <w:tcPr>
            <w:tcW w:w="422" w:type="pct"/>
            <w:vAlign w:val="center"/>
          </w:tcPr>
          <w:p w14:paraId="69F4F566">
            <w:pPr>
              <w:adjustRightInd w:val="0"/>
              <w:snapToGrid w:val="0"/>
              <w:jc w:val="center"/>
              <w:rPr>
                <w:rFonts w:eastAsia="仿宋_GB2312"/>
                <w:b/>
                <w:szCs w:val="21"/>
              </w:rPr>
            </w:pPr>
            <w:r>
              <w:rPr>
                <w:rFonts w:eastAsia="仿宋_GB2312"/>
                <w:b/>
              </w:rPr>
              <w:t>危规号</w:t>
            </w:r>
          </w:p>
        </w:tc>
        <w:tc>
          <w:tcPr>
            <w:tcW w:w="1185" w:type="pct"/>
            <w:vAlign w:val="center"/>
          </w:tcPr>
          <w:p w14:paraId="75772DDB">
            <w:pPr>
              <w:adjustRightInd w:val="0"/>
              <w:snapToGrid w:val="0"/>
              <w:jc w:val="center"/>
              <w:rPr>
                <w:rFonts w:eastAsia="仿宋_GB2312"/>
                <w:b/>
                <w:szCs w:val="21"/>
              </w:rPr>
            </w:pPr>
            <w:r>
              <w:rPr>
                <w:rFonts w:eastAsia="仿宋_GB2312"/>
                <w:b/>
              </w:rPr>
              <w:t>理化性质</w:t>
            </w:r>
          </w:p>
        </w:tc>
        <w:tc>
          <w:tcPr>
            <w:tcW w:w="921" w:type="pct"/>
            <w:vAlign w:val="center"/>
          </w:tcPr>
          <w:p w14:paraId="782728A9">
            <w:pPr>
              <w:adjustRightInd w:val="0"/>
              <w:snapToGrid w:val="0"/>
              <w:jc w:val="center"/>
              <w:rPr>
                <w:rFonts w:eastAsia="仿宋_GB2312"/>
                <w:b/>
                <w:szCs w:val="21"/>
              </w:rPr>
            </w:pPr>
            <w:r>
              <w:rPr>
                <w:rFonts w:eastAsia="仿宋_GB2312"/>
                <w:b/>
              </w:rPr>
              <w:t>毒性毒理</w:t>
            </w:r>
          </w:p>
        </w:tc>
        <w:tc>
          <w:tcPr>
            <w:tcW w:w="462" w:type="pct"/>
            <w:vAlign w:val="center"/>
          </w:tcPr>
          <w:p w14:paraId="114FD036">
            <w:pPr>
              <w:adjustRightInd w:val="0"/>
              <w:snapToGrid w:val="0"/>
              <w:jc w:val="center"/>
              <w:rPr>
                <w:rFonts w:eastAsia="仿宋_GB2312"/>
                <w:b/>
                <w:szCs w:val="21"/>
              </w:rPr>
            </w:pPr>
            <w:r>
              <w:rPr>
                <w:rFonts w:eastAsia="仿宋_GB2312"/>
                <w:b/>
              </w:rPr>
              <w:t>致癌性</w:t>
            </w:r>
          </w:p>
        </w:tc>
        <w:tc>
          <w:tcPr>
            <w:tcW w:w="910" w:type="pct"/>
            <w:vAlign w:val="center"/>
          </w:tcPr>
          <w:p w14:paraId="3DF361FD">
            <w:pPr>
              <w:adjustRightInd w:val="0"/>
              <w:snapToGrid w:val="0"/>
              <w:jc w:val="center"/>
              <w:rPr>
                <w:rFonts w:eastAsia="仿宋_GB2312"/>
                <w:b/>
                <w:szCs w:val="21"/>
              </w:rPr>
            </w:pPr>
            <w:r>
              <w:rPr>
                <w:rFonts w:eastAsia="仿宋_GB2312"/>
                <w:b/>
              </w:rPr>
              <w:t>燃爆性</w:t>
            </w:r>
          </w:p>
        </w:tc>
      </w:tr>
      <w:tr w14:paraId="5153F5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1" w:type="dxa"/>
            <w:bottom w:w="0" w:type="dxa"/>
            <w:right w:w="51" w:type="dxa"/>
          </w:tblCellMar>
        </w:tblPrEx>
        <w:trPr>
          <w:trHeight w:val="340" w:hRule="atLeast"/>
          <w:jc w:val="center"/>
        </w:trPr>
        <w:tc>
          <w:tcPr>
            <w:tcW w:w="578" w:type="pct"/>
            <w:vAlign w:val="center"/>
          </w:tcPr>
          <w:p w14:paraId="345DD8A9">
            <w:pPr>
              <w:adjustRightInd w:val="0"/>
              <w:snapToGrid w:val="0"/>
              <w:jc w:val="center"/>
              <w:rPr>
                <w:rFonts w:eastAsia="仿宋_GB2312"/>
                <w:b/>
                <w:szCs w:val="21"/>
              </w:rPr>
            </w:pPr>
            <w:r>
              <w:rPr>
                <w:rFonts w:eastAsia="仿宋_GB2312"/>
              </w:rPr>
              <w:t>N-甲基吡咯烷酮(NMP)</w:t>
            </w:r>
          </w:p>
        </w:tc>
        <w:tc>
          <w:tcPr>
            <w:tcW w:w="519" w:type="pct"/>
            <w:vAlign w:val="center"/>
          </w:tcPr>
          <w:p w14:paraId="0F4D95BA">
            <w:pPr>
              <w:adjustRightInd w:val="0"/>
              <w:snapToGrid w:val="0"/>
              <w:jc w:val="center"/>
              <w:rPr>
                <w:rFonts w:eastAsia="仿宋_GB2312"/>
                <w:b/>
                <w:szCs w:val="21"/>
              </w:rPr>
            </w:pPr>
            <w:r>
              <w:rPr>
                <w:rFonts w:eastAsia="仿宋_GB2312"/>
              </w:rPr>
              <w:t>C</w:t>
            </w:r>
            <w:r>
              <w:rPr>
                <w:rFonts w:eastAsia="仿宋_GB2312"/>
                <w:vertAlign w:val="subscript"/>
              </w:rPr>
              <w:t>5</w:t>
            </w:r>
            <w:r>
              <w:rPr>
                <w:rFonts w:eastAsia="仿宋_GB2312"/>
              </w:rPr>
              <w:t>H</w:t>
            </w:r>
            <w:r>
              <w:rPr>
                <w:rFonts w:eastAsia="仿宋_GB2312"/>
                <w:vertAlign w:val="subscript"/>
              </w:rPr>
              <w:t>9</w:t>
            </w:r>
            <w:r>
              <w:rPr>
                <w:rFonts w:eastAsia="仿宋_GB2312"/>
              </w:rPr>
              <w:t>NO</w:t>
            </w:r>
          </w:p>
        </w:tc>
        <w:tc>
          <w:tcPr>
            <w:tcW w:w="422" w:type="pct"/>
            <w:vAlign w:val="center"/>
          </w:tcPr>
          <w:p w14:paraId="2E75BB3E">
            <w:pPr>
              <w:adjustRightInd w:val="0"/>
              <w:snapToGrid w:val="0"/>
              <w:jc w:val="center"/>
              <w:rPr>
                <w:rFonts w:eastAsia="仿宋_GB2312"/>
                <w:b/>
                <w:szCs w:val="21"/>
              </w:rPr>
            </w:pPr>
            <w:r>
              <w:rPr>
                <w:rFonts w:eastAsia="仿宋_GB2312"/>
              </w:rPr>
              <w:t>/</w:t>
            </w:r>
          </w:p>
        </w:tc>
        <w:tc>
          <w:tcPr>
            <w:tcW w:w="1185" w:type="pct"/>
            <w:vAlign w:val="center"/>
          </w:tcPr>
          <w:p w14:paraId="759CF59D">
            <w:pPr>
              <w:adjustRightInd w:val="0"/>
              <w:snapToGrid w:val="0"/>
              <w:jc w:val="center"/>
              <w:rPr>
                <w:rFonts w:eastAsia="仿宋_GB2312"/>
                <w:b/>
                <w:szCs w:val="21"/>
              </w:rPr>
            </w:pPr>
            <w:r>
              <w:rPr>
                <w:rFonts w:eastAsia="仿宋_GB2312"/>
              </w:rPr>
              <w:t>分子量99.13，无色透明油状液体，微有胺的气味。能与水、醇、醚、酯、酮、卤代烃、芳烃互溶。熔点-24</w:t>
            </w:r>
            <w:r>
              <w:rPr>
                <w:rFonts w:hint="eastAsia" w:ascii="宋体" w:hAnsi="宋体" w:cs="宋体"/>
              </w:rPr>
              <w:t>℃</w:t>
            </w:r>
            <w:r>
              <w:rPr>
                <w:rFonts w:eastAsia="仿宋_GB2312"/>
              </w:rPr>
              <w:t>，沸点202</w:t>
            </w:r>
            <w:r>
              <w:rPr>
                <w:rFonts w:hint="eastAsia" w:ascii="宋体" w:hAnsi="宋体" w:cs="宋体"/>
              </w:rPr>
              <w:t>℃</w:t>
            </w:r>
            <w:r>
              <w:rPr>
                <w:rFonts w:eastAsia="仿宋_GB2312"/>
              </w:rPr>
              <w:t>，闪点86.11</w:t>
            </w:r>
            <w:r>
              <w:rPr>
                <w:rFonts w:hint="eastAsia" w:ascii="宋体" w:hAnsi="宋体" w:cs="宋体"/>
              </w:rPr>
              <w:t>℃</w:t>
            </w:r>
            <w:r>
              <w:rPr>
                <w:rFonts w:eastAsia="仿宋_GB2312"/>
              </w:rPr>
              <w:t>，密度1.028g/mL。</w:t>
            </w:r>
          </w:p>
        </w:tc>
        <w:tc>
          <w:tcPr>
            <w:tcW w:w="921" w:type="pct"/>
            <w:vAlign w:val="center"/>
          </w:tcPr>
          <w:p w14:paraId="21877BCD">
            <w:pPr>
              <w:adjustRightInd w:val="0"/>
              <w:snapToGrid w:val="0"/>
              <w:jc w:val="center"/>
              <w:rPr>
                <w:rFonts w:eastAsia="仿宋_GB2312"/>
                <w:b/>
                <w:szCs w:val="21"/>
              </w:rPr>
            </w:pPr>
            <w:r>
              <w:rPr>
                <w:rFonts w:eastAsia="仿宋_GB2312"/>
              </w:rPr>
              <w:t>LD</w:t>
            </w:r>
            <w:r>
              <w:rPr>
                <w:rFonts w:eastAsia="仿宋_GB2312"/>
                <w:vertAlign w:val="subscript"/>
              </w:rPr>
              <w:t>50</w:t>
            </w:r>
            <w:r>
              <w:rPr>
                <w:rFonts w:eastAsia="仿宋_GB2312"/>
              </w:rPr>
              <w:t>3914mg/kg(大鼠经口)；LD</w:t>
            </w:r>
            <w:r>
              <w:rPr>
                <w:rFonts w:eastAsia="仿宋_GB2312"/>
                <w:vertAlign w:val="subscript"/>
              </w:rPr>
              <w:t>50</w:t>
            </w:r>
            <w:r>
              <w:rPr>
                <w:rFonts w:eastAsia="仿宋_GB2312"/>
              </w:rPr>
              <w:t>5130mg/kg(小鼠经口)</w:t>
            </w:r>
          </w:p>
        </w:tc>
        <w:tc>
          <w:tcPr>
            <w:tcW w:w="462" w:type="pct"/>
            <w:vAlign w:val="center"/>
          </w:tcPr>
          <w:p w14:paraId="65A5335F">
            <w:pPr>
              <w:adjustRightInd w:val="0"/>
              <w:snapToGrid w:val="0"/>
              <w:jc w:val="center"/>
              <w:rPr>
                <w:rFonts w:eastAsia="仿宋_GB2312"/>
                <w:b/>
                <w:szCs w:val="21"/>
              </w:rPr>
            </w:pPr>
            <w:r>
              <w:rPr>
                <w:rFonts w:eastAsia="仿宋_GB2312"/>
              </w:rPr>
              <w:t>/</w:t>
            </w:r>
          </w:p>
        </w:tc>
        <w:tc>
          <w:tcPr>
            <w:tcW w:w="910" w:type="pct"/>
            <w:vAlign w:val="center"/>
          </w:tcPr>
          <w:p w14:paraId="0DB0C3CB">
            <w:pPr>
              <w:adjustRightInd w:val="0"/>
              <w:snapToGrid w:val="0"/>
              <w:jc w:val="center"/>
              <w:rPr>
                <w:rFonts w:eastAsia="仿宋_GB2312"/>
                <w:b/>
                <w:szCs w:val="21"/>
              </w:rPr>
            </w:pPr>
            <w:r>
              <w:rPr>
                <w:rFonts w:eastAsia="仿宋_GB2312"/>
              </w:rPr>
              <w:t>蒸气压：0.29mmHg(20°C)。易燃液体，遇明火、高温、强氧化剂可燃;受热分解有毒氧化氮气体。</w:t>
            </w:r>
          </w:p>
        </w:tc>
      </w:tr>
      <w:tr w14:paraId="69E7A9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1" w:type="dxa"/>
            <w:bottom w:w="0" w:type="dxa"/>
            <w:right w:w="51" w:type="dxa"/>
          </w:tblCellMar>
        </w:tblPrEx>
        <w:trPr>
          <w:trHeight w:val="340" w:hRule="atLeast"/>
          <w:jc w:val="center"/>
        </w:trPr>
        <w:tc>
          <w:tcPr>
            <w:tcW w:w="578" w:type="pct"/>
            <w:vAlign w:val="center"/>
          </w:tcPr>
          <w:p w14:paraId="1CEBBC73">
            <w:pPr>
              <w:adjustRightInd w:val="0"/>
              <w:snapToGrid w:val="0"/>
              <w:jc w:val="center"/>
              <w:rPr>
                <w:rFonts w:eastAsia="仿宋_GB2312"/>
                <w:szCs w:val="21"/>
              </w:rPr>
            </w:pPr>
            <w:r>
              <w:rPr>
                <w:rFonts w:eastAsia="仿宋_GB2312"/>
              </w:rPr>
              <w:t>异丙醇</w:t>
            </w:r>
          </w:p>
        </w:tc>
        <w:tc>
          <w:tcPr>
            <w:tcW w:w="519" w:type="pct"/>
            <w:vAlign w:val="center"/>
          </w:tcPr>
          <w:p w14:paraId="1AA95661">
            <w:pPr>
              <w:adjustRightInd w:val="0"/>
              <w:snapToGrid w:val="0"/>
              <w:jc w:val="center"/>
              <w:rPr>
                <w:rFonts w:eastAsia="仿宋_GB2312"/>
                <w:szCs w:val="21"/>
              </w:rPr>
            </w:pPr>
            <w:r>
              <w:rPr>
                <w:rFonts w:eastAsia="仿宋_GB2312"/>
              </w:rPr>
              <w:t>C</w:t>
            </w:r>
            <w:r>
              <w:rPr>
                <w:rFonts w:eastAsia="仿宋_GB2312"/>
                <w:vertAlign w:val="subscript"/>
              </w:rPr>
              <w:t>3</w:t>
            </w:r>
            <w:r>
              <w:rPr>
                <w:rFonts w:eastAsia="仿宋_GB2312"/>
              </w:rPr>
              <w:t>H</w:t>
            </w:r>
            <w:r>
              <w:rPr>
                <w:rFonts w:eastAsia="仿宋_GB2312"/>
                <w:vertAlign w:val="subscript"/>
              </w:rPr>
              <w:t>8</w:t>
            </w:r>
            <w:r>
              <w:rPr>
                <w:rFonts w:eastAsia="仿宋_GB2312"/>
              </w:rPr>
              <w:t>O</w:t>
            </w:r>
          </w:p>
        </w:tc>
        <w:tc>
          <w:tcPr>
            <w:tcW w:w="422" w:type="pct"/>
            <w:vAlign w:val="center"/>
          </w:tcPr>
          <w:p w14:paraId="6D638F77">
            <w:pPr>
              <w:adjustRightInd w:val="0"/>
              <w:snapToGrid w:val="0"/>
              <w:jc w:val="center"/>
              <w:rPr>
                <w:rFonts w:eastAsia="仿宋_GB2312"/>
                <w:szCs w:val="21"/>
              </w:rPr>
            </w:pPr>
            <w:r>
              <w:rPr>
                <w:rFonts w:eastAsia="仿宋_GB2312"/>
              </w:rPr>
              <w:t>32064</w:t>
            </w:r>
          </w:p>
        </w:tc>
        <w:tc>
          <w:tcPr>
            <w:tcW w:w="1185" w:type="pct"/>
            <w:vAlign w:val="center"/>
          </w:tcPr>
          <w:p w14:paraId="1F83CC55">
            <w:pPr>
              <w:adjustRightInd w:val="0"/>
              <w:snapToGrid w:val="0"/>
              <w:jc w:val="center"/>
              <w:rPr>
                <w:rFonts w:eastAsia="仿宋_GB2312"/>
                <w:szCs w:val="21"/>
              </w:rPr>
            </w:pPr>
            <w:r>
              <w:rPr>
                <w:rFonts w:eastAsia="仿宋_GB2312"/>
              </w:rPr>
              <w:t>分子量60.1，无色透明液体，有似乙醇和丙酮混合物的气味。熔点-88.5</w:t>
            </w:r>
            <w:r>
              <w:rPr>
                <w:rFonts w:hint="eastAsia" w:ascii="宋体" w:hAnsi="宋体" w:cs="宋体"/>
              </w:rPr>
              <w:t>℃</w:t>
            </w:r>
            <w:r>
              <w:rPr>
                <w:rFonts w:eastAsia="仿宋_GB2312"/>
              </w:rPr>
              <w:t>，沸点82.5</w:t>
            </w:r>
            <w:r>
              <w:rPr>
                <w:rFonts w:hint="eastAsia" w:ascii="宋体" w:hAnsi="宋体" w:cs="宋体"/>
              </w:rPr>
              <w:t>℃</w:t>
            </w:r>
            <w:r>
              <w:rPr>
                <w:rFonts w:eastAsia="仿宋_GB2312"/>
              </w:rPr>
              <w:t>，闪点12</w:t>
            </w:r>
            <w:r>
              <w:rPr>
                <w:rFonts w:hint="eastAsia" w:ascii="宋体" w:hAnsi="宋体" w:cs="宋体"/>
              </w:rPr>
              <w:t>℃</w:t>
            </w:r>
            <w:r>
              <w:rPr>
                <w:rFonts w:eastAsia="仿宋_GB2312"/>
              </w:rPr>
              <w:t>。相对密度(水=1)0.79；相对密度(空气=1)2.07。</w:t>
            </w:r>
          </w:p>
        </w:tc>
        <w:tc>
          <w:tcPr>
            <w:tcW w:w="921" w:type="pct"/>
            <w:vAlign w:val="center"/>
          </w:tcPr>
          <w:p w14:paraId="1E429559">
            <w:pPr>
              <w:adjustRightInd w:val="0"/>
              <w:snapToGrid w:val="0"/>
              <w:jc w:val="center"/>
              <w:rPr>
                <w:rFonts w:eastAsia="仿宋_GB2312"/>
                <w:szCs w:val="21"/>
              </w:rPr>
            </w:pPr>
            <w:r>
              <w:rPr>
                <w:rFonts w:eastAsia="仿宋_GB2312"/>
              </w:rPr>
              <w:t>急性毒性：LD</w:t>
            </w:r>
            <w:r>
              <w:rPr>
                <w:rFonts w:eastAsia="仿宋_GB2312"/>
                <w:vertAlign w:val="subscript"/>
              </w:rPr>
              <w:t>50</w:t>
            </w:r>
            <w:r>
              <w:rPr>
                <w:rFonts w:eastAsia="仿宋_GB2312"/>
              </w:rPr>
              <w:t>5045mg/kg(大鼠经口)；12800mg/kg(兔经皮)</w:t>
            </w:r>
          </w:p>
        </w:tc>
        <w:tc>
          <w:tcPr>
            <w:tcW w:w="462" w:type="pct"/>
            <w:vAlign w:val="center"/>
          </w:tcPr>
          <w:p w14:paraId="7B684135">
            <w:pPr>
              <w:adjustRightInd w:val="0"/>
              <w:snapToGrid w:val="0"/>
              <w:jc w:val="center"/>
              <w:rPr>
                <w:rFonts w:eastAsia="仿宋_GB2312"/>
                <w:szCs w:val="21"/>
              </w:rPr>
            </w:pPr>
            <w:r>
              <w:rPr>
                <w:rFonts w:eastAsia="仿宋_GB2312"/>
              </w:rPr>
              <w:t>/</w:t>
            </w:r>
          </w:p>
        </w:tc>
        <w:tc>
          <w:tcPr>
            <w:tcW w:w="910" w:type="pct"/>
            <w:vAlign w:val="center"/>
          </w:tcPr>
          <w:p w14:paraId="699A9233">
            <w:pPr>
              <w:adjustRightInd w:val="0"/>
              <w:snapToGrid w:val="0"/>
              <w:jc w:val="center"/>
              <w:rPr>
                <w:rFonts w:eastAsia="仿宋_GB2312"/>
                <w:szCs w:val="21"/>
              </w:rPr>
            </w:pPr>
            <w:r>
              <w:rPr>
                <w:rFonts w:eastAsia="仿宋_GB2312"/>
              </w:rPr>
              <w:t>蒸汽压：4.40kPa/20</w:t>
            </w:r>
            <w:r>
              <w:rPr>
                <w:rFonts w:hint="eastAsia" w:ascii="宋体" w:hAnsi="宋体" w:cs="宋体"/>
              </w:rPr>
              <w:t>℃</w:t>
            </w:r>
            <w:r>
              <w:rPr>
                <w:rFonts w:eastAsia="仿宋_GB2312"/>
              </w:rPr>
              <w:t>。易燃，其蒸气与空气可形成爆炸性混合物。遇明火、高热能引起燃烧爆炸。</w:t>
            </w:r>
          </w:p>
        </w:tc>
      </w:tr>
      <w:tr w14:paraId="68A374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1" w:type="dxa"/>
            <w:bottom w:w="0" w:type="dxa"/>
            <w:right w:w="51" w:type="dxa"/>
          </w:tblCellMar>
        </w:tblPrEx>
        <w:trPr>
          <w:trHeight w:val="340" w:hRule="atLeast"/>
          <w:jc w:val="center"/>
        </w:trPr>
        <w:tc>
          <w:tcPr>
            <w:tcW w:w="578" w:type="pct"/>
            <w:vAlign w:val="center"/>
          </w:tcPr>
          <w:p w14:paraId="77695623">
            <w:pPr>
              <w:adjustRightInd w:val="0"/>
              <w:snapToGrid w:val="0"/>
              <w:jc w:val="center"/>
              <w:rPr>
                <w:rFonts w:eastAsia="仿宋_GB2312"/>
                <w:szCs w:val="21"/>
              </w:rPr>
            </w:pPr>
            <w:r>
              <w:rPr>
                <w:rFonts w:eastAsia="仿宋_GB2312"/>
              </w:rPr>
              <w:t>丁酮</w:t>
            </w:r>
          </w:p>
        </w:tc>
        <w:tc>
          <w:tcPr>
            <w:tcW w:w="519" w:type="pct"/>
            <w:vAlign w:val="center"/>
          </w:tcPr>
          <w:p w14:paraId="1F1A7FEB">
            <w:pPr>
              <w:adjustRightInd w:val="0"/>
              <w:snapToGrid w:val="0"/>
              <w:jc w:val="center"/>
              <w:rPr>
                <w:rFonts w:eastAsia="仿宋_GB2312"/>
                <w:szCs w:val="21"/>
              </w:rPr>
            </w:pPr>
            <w:r>
              <w:rPr>
                <w:rFonts w:eastAsia="仿宋_GB2312"/>
              </w:rPr>
              <w:t>C</w:t>
            </w:r>
            <w:r>
              <w:rPr>
                <w:rFonts w:eastAsia="仿宋_GB2312"/>
                <w:vertAlign w:val="subscript"/>
              </w:rPr>
              <w:t>4</w:t>
            </w:r>
            <w:r>
              <w:rPr>
                <w:rFonts w:eastAsia="仿宋_GB2312"/>
              </w:rPr>
              <w:t>H</w:t>
            </w:r>
            <w:r>
              <w:rPr>
                <w:rFonts w:eastAsia="仿宋_GB2312"/>
                <w:vertAlign w:val="subscript"/>
              </w:rPr>
              <w:t>8</w:t>
            </w:r>
            <w:r>
              <w:rPr>
                <w:rFonts w:eastAsia="仿宋_GB2312"/>
              </w:rPr>
              <w:t>O</w:t>
            </w:r>
          </w:p>
        </w:tc>
        <w:tc>
          <w:tcPr>
            <w:tcW w:w="422" w:type="pct"/>
            <w:vAlign w:val="center"/>
          </w:tcPr>
          <w:p w14:paraId="56AA0FF2">
            <w:pPr>
              <w:adjustRightInd w:val="0"/>
              <w:snapToGrid w:val="0"/>
              <w:jc w:val="center"/>
              <w:rPr>
                <w:rFonts w:eastAsia="仿宋_GB2312"/>
                <w:szCs w:val="21"/>
              </w:rPr>
            </w:pPr>
            <w:r>
              <w:rPr>
                <w:rFonts w:eastAsia="仿宋_GB2312"/>
              </w:rPr>
              <w:t>32073</w:t>
            </w:r>
          </w:p>
        </w:tc>
        <w:tc>
          <w:tcPr>
            <w:tcW w:w="1185" w:type="pct"/>
            <w:vAlign w:val="center"/>
          </w:tcPr>
          <w:p w14:paraId="55328BE2">
            <w:pPr>
              <w:adjustRightInd w:val="0"/>
              <w:snapToGrid w:val="0"/>
              <w:jc w:val="center"/>
              <w:rPr>
                <w:rFonts w:eastAsia="仿宋_GB2312"/>
                <w:szCs w:val="21"/>
              </w:rPr>
            </w:pPr>
            <w:r>
              <w:rPr>
                <w:rFonts w:eastAsia="仿宋_GB2312"/>
              </w:rPr>
              <w:t>分子量72.11，易挥发。能与乙醇、</w:t>
            </w:r>
            <w:r>
              <w:fldChar w:fldCharType="begin"/>
            </w:r>
            <w:r>
              <w:instrText xml:space="preserve"> HYPERLINK "https://baike.baidu.com/item/%E4%B9%99%E9%86%9A" </w:instrText>
            </w:r>
            <w:r>
              <w:fldChar w:fldCharType="separate"/>
            </w:r>
            <w:r>
              <w:rPr>
                <w:rStyle w:val="144"/>
                <w:rFonts w:eastAsia="仿宋_GB2312"/>
                <w:color w:val="auto"/>
                <w:u w:val="none"/>
              </w:rPr>
              <w:t>乙醚</w:t>
            </w:r>
            <w:r>
              <w:rPr>
                <w:rStyle w:val="144"/>
                <w:rFonts w:eastAsia="仿宋_GB2312"/>
                <w:color w:val="auto"/>
                <w:u w:val="none"/>
              </w:rPr>
              <w:fldChar w:fldCharType="end"/>
            </w:r>
            <w:r>
              <w:rPr>
                <w:rFonts w:eastAsia="仿宋_GB2312"/>
              </w:rPr>
              <w:t>、</w:t>
            </w:r>
            <w:r>
              <w:fldChar w:fldCharType="begin"/>
            </w:r>
            <w:r>
              <w:instrText xml:space="preserve"> HYPERLINK "https://baike.baidu.com/item/%E8%8B%AF" </w:instrText>
            </w:r>
            <w:r>
              <w:fldChar w:fldCharType="separate"/>
            </w:r>
            <w:r>
              <w:rPr>
                <w:rStyle w:val="144"/>
                <w:rFonts w:eastAsia="仿宋_GB2312"/>
                <w:color w:val="auto"/>
                <w:u w:val="none"/>
              </w:rPr>
              <w:t>苯</w:t>
            </w:r>
            <w:r>
              <w:rPr>
                <w:rStyle w:val="144"/>
                <w:rFonts w:eastAsia="仿宋_GB2312"/>
                <w:color w:val="auto"/>
                <w:u w:val="none"/>
              </w:rPr>
              <w:fldChar w:fldCharType="end"/>
            </w:r>
            <w:r>
              <w:rPr>
                <w:rFonts w:eastAsia="仿宋_GB2312"/>
              </w:rPr>
              <w:t>、</w:t>
            </w:r>
            <w:r>
              <w:fldChar w:fldCharType="begin"/>
            </w:r>
            <w:r>
              <w:instrText xml:space="preserve"> HYPERLINK "https://baike.baidu.com/item/%E6%B0%AF%E4%BB%BF" </w:instrText>
            </w:r>
            <w:r>
              <w:fldChar w:fldCharType="separate"/>
            </w:r>
            <w:r>
              <w:rPr>
                <w:rStyle w:val="144"/>
                <w:rFonts w:eastAsia="仿宋_GB2312"/>
                <w:color w:val="auto"/>
                <w:u w:val="none"/>
              </w:rPr>
              <w:t>氯仿</w:t>
            </w:r>
            <w:r>
              <w:rPr>
                <w:rStyle w:val="144"/>
                <w:rFonts w:eastAsia="仿宋_GB2312"/>
                <w:color w:val="auto"/>
                <w:u w:val="none"/>
              </w:rPr>
              <w:fldChar w:fldCharType="end"/>
            </w:r>
            <w:r>
              <w:rPr>
                <w:rFonts w:eastAsia="仿宋_GB2312"/>
              </w:rPr>
              <w:t>、油类混溶。闪点-9</w:t>
            </w:r>
            <w:r>
              <w:rPr>
                <w:rFonts w:hint="eastAsia" w:ascii="宋体" w:hAnsi="宋体" w:cs="宋体"/>
              </w:rPr>
              <w:t>℃</w:t>
            </w:r>
            <w:r>
              <w:rPr>
                <w:rFonts w:eastAsia="仿宋_GB2312"/>
              </w:rPr>
              <w:t>，沸点79.6</w:t>
            </w:r>
            <w:r>
              <w:rPr>
                <w:rFonts w:hint="eastAsia" w:ascii="宋体" w:hAnsi="宋体" w:cs="宋体"/>
              </w:rPr>
              <w:t>℃</w:t>
            </w:r>
            <w:r>
              <w:rPr>
                <w:rFonts w:eastAsia="仿宋_GB2312"/>
              </w:rPr>
              <w:t>，熔点-85.9</w:t>
            </w:r>
            <w:r>
              <w:rPr>
                <w:rFonts w:hint="eastAsia" w:ascii="宋体" w:hAnsi="宋体" w:cs="宋体"/>
              </w:rPr>
              <w:t>℃</w:t>
            </w:r>
            <w:r>
              <w:rPr>
                <w:rFonts w:eastAsia="仿宋_GB2312"/>
              </w:rPr>
              <w:t>，相对密度0.805。</w:t>
            </w:r>
          </w:p>
        </w:tc>
        <w:tc>
          <w:tcPr>
            <w:tcW w:w="921" w:type="pct"/>
            <w:vAlign w:val="center"/>
          </w:tcPr>
          <w:p w14:paraId="0F2D3632">
            <w:pPr>
              <w:adjustRightInd w:val="0"/>
              <w:snapToGrid w:val="0"/>
              <w:jc w:val="center"/>
              <w:rPr>
                <w:rFonts w:eastAsia="仿宋_GB2312"/>
                <w:szCs w:val="21"/>
              </w:rPr>
            </w:pPr>
            <w:r>
              <w:rPr>
                <w:rFonts w:eastAsia="仿宋_GB2312"/>
              </w:rPr>
              <w:t>LD</w:t>
            </w:r>
            <w:r>
              <w:rPr>
                <w:rFonts w:eastAsia="仿宋_GB2312"/>
                <w:vertAlign w:val="subscript"/>
              </w:rPr>
              <w:t>50</w:t>
            </w:r>
            <w:r>
              <w:rPr>
                <w:rFonts w:eastAsia="仿宋_GB2312"/>
              </w:rPr>
              <w:t>3300mg/kg（大鼠经口）</w:t>
            </w:r>
          </w:p>
        </w:tc>
        <w:tc>
          <w:tcPr>
            <w:tcW w:w="462" w:type="pct"/>
            <w:vAlign w:val="center"/>
          </w:tcPr>
          <w:p w14:paraId="5484CE84">
            <w:pPr>
              <w:adjustRightInd w:val="0"/>
              <w:snapToGrid w:val="0"/>
              <w:jc w:val="center"/>
              <w:rPr>
                <w:rFonts w:eastAsia="仿宋_GB2312"/>
                <w:szCs w:val="21"/>
              </w:rPr>
            </w:pPr>
            <w:r>
              <w:rPr>
                <w:rFonts w:eastAsia="仿宋_GB2312"/>
              </w:rPr>
              <w:t>/</w:t>
            </w:r>
          </w:p>
        </w:tc>
        <w:tc>
          <w:tcPr>
            <w:tcW w:w="910" w:type="pct"/>
            <w:vAlign w:val="center"/>
          </w:tcPr>
          <w:p w14:paraId="05F37A32">
            <w:pPr>
              <w:adjustRightInd w:val="0"/>
              <w:snapToGrid w:val="0"/>
              <w:jc w:val="center"/>
              <w:rPr>
                <w:rFonts w:eastAsia="仿宋_GB2312"/>
                <w:szCs w:val="21"/>
              </w:rPr>
            </w:pPr>
            <w:r>
              <w:rPr>
                <w:rFonts w:eastAsia="仿宋_GB2312"/>
              </w:rPr>
              <w:t>饱和蒸气压(kPa)：9.49(20</w:t>
            </w:r>
            <w:r>
              <w:rPr>
                <w:rFonts w:hint="eastAsia" w:ascii="宋体" w:hAnsi="宋体" w:cs="宋体"/>
              </w:rPr>
              <w:t>℃</w:t>
            </w:r>
            <w:r>
              <w:rPr>
                <w:rFonts w:eastAsia="仿宋_GB2312"/>
              </w:rPr>
              <w:t>)。易燃，蒸气能与空气形成</w:t>
            </w:r>
            <w:r>
              <w:fldChar w:fldCharType="begin"/>
            </w:r>
            <w:r>
              <w:instrText xml:space="preserve"> HYPERLINK "https://baike.baidu.com/item/%E7%88%86%E7%82%B8%E6%80%A7%E6%B7%B7%E5%90%88%E7%89%A9" </w:instrText>
            </w:r>
            <w:r>
              <w:fldChar w:fldCharType="separate"/>
            </w:r>
            <w:r>
              <w:rPr>
                <w:rStyle w:val="144"/>
                <w:rFonts w:eastAsia="仿宋_GB2312"/>
                <w:color w:val="auto"/>
                <w:u w:val="none"/>
              </w:rPr>
              <w:t>爆炸性混合物</w:t>
            </w:r>
            <w:r>
              <w:rPr>
                <w:rStyle w:val="144"/>
                <w:rFonts w:eastAsia="仿宋_GB2312"/>
                <w:color w:val="auto"/>
                <w:u w:val="none"/>
              </w:rPr>
              <w:fldChar w:fldCharType="end"/>
            </w:r>
            <w:r>
              <w:rPr>
                <w:rFonts w:eastAsia="仿宋_GB2312"/>
              </w:rPr>
              <w:t>，</w:t>
            </w:r>
            <w:r>
              <w:fldChar w:fldCharType="begin"/>
            </w:r>
            <w:r>
              <w:instrText xml:space="preserve"> HYPERLINK "https://baike.baidu.com/item/%E7%88%86%E7%82%B8%E6%9E%81%E9%99%90" </w:instrText>
            </w:r>
            <w:r>
              <w:fldChar w:fldCharType="separate"/>
            </w:r>
            <w:r>
              <w:rPr>
                <w:rStyle w:val="144"/>
                <w:rFonts w:eastAsia="仿宋_GB2312"/>
                <w:color w:val="auto"/>
                <w:u w:val="none"/>
              </w:rPr>
              <w:t>爆炸极限</w:t>
            </w:r>
            <w:r>
              <w:rPr>
                <w:rStyle w:val="144"/>
                <w:rFonts w:eastAsia="仿宋_GB2312"/>
                <w:color w:val="auto"/>
                <w:u w:val="none"/>
              </w:rPr>
              <w:fldChar w:fldCharType="end"/>
            </w:r>
            <w:r>
              <w:rPr>
                <w:rFonts w:eastAsia="仿宋_GB2312"/>
              </w:rPr>
              <w:t>1.81%～11.5%（体积）。</w:t>
            </w:r>
          </w:p>
        </w:tc>
      </w:tr>
      <w:tr w14:paraId="5192EA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1" w:type="dxa"/>
            <w:bottom w:w="0" w:type="dxa"/>
            <w:right w:w="51" w:type="dxa"/>
          </w:tblCellMar>
        </w:tblPrEx>
        <w:trPr>
          <w:trHeight w:val="340" w:hRule="atLeast"/>
          <w:jc w:val="center"/>
        </w:trPr>
        <w:tc>
          <w:tcPr>
            <w:tcW w:w="578" w:type="pct"/>
            <w:vAlign w:val="center"/>
          </w:tcPr>
          <w:p w14:paraId="61B0B6C3">
            <w:pPr>
              <w:adjustRightInd w:val="0"/>
              <w:snapToGrid w:val="0"/>
              <w:jc w:val="center"/>
              <w:rPr>
                <w:rFonts w:eastAsia="仿宋_GB2312"/>
                <w:szCs w:val="21"/>
              </w:rPr>
            </w:pPr>
            <w:r>
              <w:rPr>
                <w:rFonts w:eastAsia="仿宋_GB2312"/>
              </w:rPr>
              <w:t>乙醇</w:t>
            </w:r>
          </w:p>
        </w:tc>
        <w:tc>
          <w:tcPr>
            <w:tcW w:w="519" w:type="pct"/>
            <w:vAlign w:val="center"/>
          </w:tcPr>
          <w:p w14:paraId="5360310D">
            <w:pPr>
              <w:adjustRightInd w:val="0"/>
              <w:snapToGrid w:val="0"/>
              <w:jc w:val="center"/>
              <w:rPr>
                <w:rFonts w:eastAsia="仿宋_GB2312"/>
                <w:szCs w:val="21"/>
              </w:rPr>
            </w:pPr>
            <w:r>
              <w:rPr>
                <w:rFonts w:eastAsia="仿宋_GB2312"/>
              </w:rPr>
              <w:t>C</w:t>
            </w:r>
            <w:r>
              <w:rPr>
                <w:rFonts w:eastAsia="仿宋_GB2312"/>
                <w:vertAlign w:val="subscript"/>
              </w:rPr>
              <w:t>2</w:t>
            </w:r>
            <w:r>
              <w:rPr>
                <w:rFonts w:eastAsia="仿宋_GB2312"/>
              </w:rPr>
              <w:t>H</w:t>
            </w:r>
            <w:r>
              <w:rPr>
                <w:rFonts w:eastAsia="仿宋_GB2312"/>
                <w:vertAlign w:val="subscript"/>
              </w:rPr>
              <w:t>6</w:t>
            </w:r>
            <w:r>
              <w:rPr>
                <w:rFonts w:eastAsia="仿宋_GB2312"/>
              </w:rPr>
              <w:t>O</w:t>
            </w:r>
          </w:p>
        </w:tc>
        <w:tc>
          <w:tcPr>
            <w:tcW w:w="422" w:type="pct"/>
            <w:vAlign w:val="center"/>
          </w:tcPr>
          <w:p w14:paraId="2C46B43D">
            <w:pPr>
              <w:adjustRightInd w:val="0"/>
              <w:snapToGrid w:val="0"/>
              <w:jc w:val="center"/>
              <w:rPr>
                <w:rFonts w:eastAsia="仿宋_GB2312"/>
                <w:szCs w:val="21"/>
              </w:rPr>
            </w:pPr>
            <w:r>
              <w:rPr>
                <w:rFonts w:eastAsia="仿宋_GB2312"/>
              </w:rPr>
              <w:t>32061</w:t>
            </w:r>
          </w:p>
        </w:tc>
        <w:tc>
          <w:tcPr>
            <w:tcW w:w="1185" w:type="pct"/>
            <w:vAlign w:val="center"/>
          </w:tcPr>
          <w:p w14:paraId="2F7D4CF2">
            <w:pPr>
              <w:adjustRightInd w:val="0"/>
              <w:snapToGrid w:val="0"/>
              <w:jc w:val="center"/>
              <w:rPr>
                <w:rFonts w:eastAsia="仿宋_GB2312"/>
                <w:szCs w:val="21"/>
              </w:rPr>
            </w:pPr>
            <w:r>
              <w:rPr>
                <w:rFonts w:eastAsia="仿宋_GB2312"/>
              </w:rPr>
              <w:t>分子量46.07，无色液体，有酒香。熔点-114.1</w:t>
            </w:r>
            <w:r>
              <w:rPr>
                <w:rFonts w:hint="eastAsia" w:ascii="宋体" w:hAnsi="宋体" w:cs="宋体"/>
              </w:rPr>
              <w:t>℃</w:t>
            </w:r>
            <w:r>
              <w:rPr>
                <w:rFonts w:eastAsia="仿宋_GB2312"/>
              </w:rPr>
              <w:t>，沸点78.3</w:t>
            </w:r>
            <w:r>
              <w:rPr>
                <w:rFonts w:hint="eastAsia" w:ascii="宋体" w:hAnsi="宋体" w:cs="宋体"/>
              </w:rPr>
              <w:t>℃</w:t>
            </w:r>
            <w:r>
              <w:rPr>
                <w:rFonts w:eastAsia="仿宋_GB2312"/>
              </w:rPr>
              <w:t>，闪点12</w:t>
            </w:r>
            <w:r>
              <w:rPr>
                <w:rFonts w:hint="eastAsia" w:ascii="宋体" w:hAnsi="宋体" w:cs="宋体"/>
              </w:rPr>
              <w:t>℃</w:t>
            </w:r>
            <w:r>
              <w:rPr>
                <w:rFonts w:eastAsia="仿宋_GB2312"/>
              </w:rPr>
              <w:t>，相对密度（水=1）0.79，与水混溶，可溶于醚、氯仿、甘油等多数有机溶剂。</w:t>
            </w:r>
          </w:p>
        </w:tc>
        <w:tc>
          <w:tcPr>
            <w:tcW w:w="921" w:type="pct"/>
            <w:vAlign w:val="center"/>
          </w:tcPr>
          <w:p w14:paraId="74FDB002">
            <w:pPr>
              <w:adjustRightInd w:val="0"/>
              <w:snapToGrid w:val="0"/>
              <w:jc w:val="center"/>
              <w:rPr>
                <w:rFonts w:eastAsia="仿宋_GB2312"/>
                <w:szCs w:val="21"/>
              </w:rPr>
            </w:pPr>
            <w:r>
              <w:rPr>
                <w:rFonts w:eastAsia="仿宋_GB2312"/>
              </w:rPr>
              <w:t>LD</w:t>
            </w:r>
            <w:r>
              <w:rPr>
                <w:rFonts w:eastAsia="仿宋_GB2312"/>
                <w:vertAlign w:val="subscript"/>
              </w:rPr>
              <w:t>50</w:t>
            </w:r>
            <w:r>
              <w:rPr>
                <w:rFonts w:eastAsia="仿宋_GB2312"/>
              </w:rPr>
              <w:t>7060mg/kg(兔经口)；7340mg/kg(兔经皮)；LC</w:t>
            </w:r>
            <w:r>
              <w:rPr>
                <w:rFonts w:eastAsia="仿宋_GB2312"/>
                <w:vertAlign w:val="subscript"/>
              </w:rPr>
              <w:t>50</w:t>
            </w:r>
            <w:r>
              <w:rPr>
                <w:rFonts w:eastAsia="仿宋_GB2312"/>
              </w:rPr>
              <w:t>37620mg/m</w:t>
            </w:r>
            <w:r>
              <w:rPr>
                <w:rFonts w:eastAsia="仿宋_GB2312"/>
                <w:vertAlign w:val="superscript"/>
              </w:rPr>
              <w:t>3</w:t>
            </w:r>
            <w:r>
              <w:rPr>
                <w:rFonts w:eastAsia="仿宋_GB2312"/>
              </w:rPr>
              <w:t>，10小时(大鼠吸入)</w:t>
            </w:r>
          </w:p>
        </w:tc>
        <w:tc>
          <w:tcPr>
            <w:tcW w:w="462" w:type="pct"/>
            <w:vAlign w:val="center"/>
          </w:tcPr>
          <w:p w14:paraId="43564399">
            <w:pPr>
              <w:adjustRightInd w:val="0"/>
              <w:snapToGrid w:val="0"/>
              <w:jc w:val="center"/>
              <w:rPr>
                <w:rFonts w:eastAsia="仿宋_GB2312"/>
                <w:szCs w:val="21"/>
              </w:rPr>
            </w:pPr>
            <w:r>
              <w:rPr>
                <w:rFonts w:eastAsia="仿宋_GB2312"/>
              </w:rPr>
              <w:t>小鼠经口最低中毒剂量(TDL</w:t>
            </w:r>
            <w:r>
              <w:rPr>
                <w:rFonts w:eastAsia="仿宋_GB2312"/>
                <w:vertAlign w:val="subscript"/>
              </w:rPr>
              <w:t>0</w:t>
            </w:r>
            <w:r>
              <w:rPr>
                <w:rFonts w:eastAsia="仿宋_GB2312"/>
              </w:rPr>
              <w:t>)：340mg/kg(57周，间断)，致癌阳性。</w:t>
            </w:r>
          </w:p>
        </w:tc>
        <w:tc>
          <w:tcPr>
            <w:tcW w:w="910" w:type="pct"/>
            <w:vAlign w:val="center"/>
          </w:tcPr>
          <w:p w14:paraId="5F6C1C9F">
            <w:pPr>
              <w:adjustRightInd w:val="0"/>
              <w:snapToGrid w:val="0"/>
              <w:jc w:val="center"/>
              <w:rPr>
                <w:rFonts w:eastAsia="仿宋_GB2312"/>
                <w:szCs w:val="21"/>
              </w:rPr>
            </w:pPr>
            <w:r>
              <w:rPr>
                <w:rFonts w:eastAsia="仿宋_GB2312"/>
              </w:rPr>
              <w:t>饱和蒸气压(kPa)：5.33(19</w:t>
            </w:r>
            <w:r>
              <w:rPr>
                <w:rFonts w:hint="eastAsia" w:ascii="宋体" w:hAnsi="宋体" w:cs="宋体"/>
              </w:rPr>
              <w:t>℃</w:t>
            </w:r>
            <w:r>
              <w:rPr>
                <w:rFonts w:eastAsia="仿宋_GB2312"/>
              </w:rPr>
              <w:t>)。易燃液体，其蒸气与空气可形成爆炸性混合物，遇明火、高热能引起燃烧爆炸。与氧化剂接触发生化学反应或引起燃烧。在火场中，受热的容器有爆炸危险。其蒸气比空气重，能在较低处扩散到相当远的地方，遇火源会着火回燃。</w:t>
            </w:r>
          </w:p>
        </w:tc>
      </w:tr>
      <w:tr w14:paraId="4DA2FB5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1" w:type="dxa"/>
            <w:bottom w:w="0" w:type="dxa"/>
            <w:right w:w="51" w:type="dxa"/>
          </w:tblCellMar>
        </w:tblPrEx>
        <w:trPr>
          <w:trHeight w:val="340" w:hRule="atLeast"/>
          <w:jc w:val="center"/>
        </w:trPr>
        <w:tc>
          <w:tcPr>
            <w:tcW w:w="578" w:type="pct"/>
            <w:vAlign w:val="center"/>
          </w:tcPr>
          <w:p w14:paraId="0C283E4C">
            <w:pPr>
              <w:adjustRightInd w:val="0"/>
              <w:snapToGrid w:val="0"/>
              <w:jc w:val="center"/>
              <w:rPr>
                <w:rFonts w:eastAsia="仿宋_GB2312"/>
                <w:szCs w:val="21"/>
              </w:rPr>
            </w:pPr>
            <w:r>
              <w:rPr>
                <w:rFonts w:eastAsia="仿宋_GB2312"/>
              </w:rPr>
              <w:t>乙酸乙酯</w:t>
            </w:r>
          </w:p>
        </w:tc>
        <w:tc>
          <w:tcPr>
            <w:tcW w:w="519" w:type="pct"/>
            <w:vAlign w:val="center"/>
          </w:tcPr>
          <w:p w14:paraId="7EEAAED7">
            <w:pPr>
              <w:adjustRightInd w:val="0"/>
              <w:snapToGrid w:val="0"/>
              <w:jc w:val="center"/>
              <w:rPr>
                <w:rFonts w:eastAsia="仿宋_GB2312"/>
                <w:szCs w:val="21"/>
              </w:rPr>
            </w:pPr>
            <w:r>
              <w:rPr>
                <w:rFonts w:eastAsia="仿宋_GB2312"/>
              </w:rPr>
              <w:t>C</w:t>
            </w:r>
            <w:r>
              <w:rPr>
                <w:rFonts w:eastAsia="仿宋_GB2312"/>
                <w:vertAlign w:val="subscript"/>
              </w:rPr>
              <w:t>4</w:t>
            </w:r>
            <w:r>
              <w:rPr>
                <w:rFonts w:eastAsia="仿宋_GB2312"/>
              </w:rPr>
              <w:t>H</w:t>
            </w:r>
            <w:r>
              <w:rPr>
                <w:rFonts w:eastAsia="仿宋_GB2312"/>
                <w:vertAlign w:val="subscript"/>
              </w:rPr>
              <w:t>8</w:t>
            </w:r>
            <w:r>
              <w:rPr>
                <w:rFonts w:eastAsia="仿宋_GB2312"/>
              </w:rPr>
              <w:t>O</w:t>
            </w:r>
            <w:r>
              <w:rPr>
                <w:rFonts w:eastAsia="仿宋_GB2312"/>
                <w:vertAlign w:val="subscript"/>
              </w:rPr>
              <w:t>2</w:t>
            </w:r>
          </w:p>
        </w:tc>
        <w:tc>
          <w:tcPr>
            <w:tcW w:w="422" w:type="pct"/>
            <w:vAlign w:val="center"/>
          </w:tcPr>
          <w:p w14:paraId="0C426804">
            <w:pPr>
              <w:adjustRightInd w:val="0"/>
              <w:snapToGrid w:val="0"/>
              <w:jc w:val="center"/>
              <w:rPr>
                <w:rFonts w:eastAsia="仿宋_GB2312"/>
                <w:szCs w:val="21"/>
              </w:rPr>
            </w:pPr>
            <w:r>
              <w:rPr>
                <w:rFonts w:eastAsia="仿宋_GB2312"/>
              </w:rPr>
              <w:t>32127</w:t>
            </w:r>
          </w:p>
        </w:tc>
        <w:tc>
          <w:tcPr>
            <w:tcW w:w="1185" w:type="pct"/>
            <w:vAlign w:val="center"/>
          </w:tcPr>
          <w:p w14:paraId="6A9D294F">
            <w:pPr>
              <w:adjustRightInd w:val="0"/>
              <w:snapToGrid w:val="0"/>
              <w:jc w:val="center"/>
              <w:rPr>
                <w:rFonts w:eastAsia="仿宋_GB2312"/>
                <w:szCs w:val="21"/>
              </w:rPr>
            </w:pPr>
            <w:r>
              <w:rPr>
                <w:rFonts w:eastAsia="仿宋_GB2312"/>
              </w:rPr>
              <w:t>分子量88.1，无色澄清液体，有芳香气味，易挥发，熔点-83.6</w:t>
            </w:r>
            <w:r>
              <w:rPr>
                <w:rFonts w:hint="eastAsia" w:ascii="宋体" w:hAnsi="宋体" w:cs="宋体"/>
              </w:rPr>
              <w:t>℃</w:t>
            </w:r>
            <w:r>
              <w:rPr>
                <w:rFonts w:eastAsia="仿宋_GB2312"/>
              </w:rPr>
              <w:t>，沸点77.2</w:t>
            </w:r>
            <w:r>
              <w:rPr>
                <w:rFonts w:hint="eastAsia" w:ascii="宋体" w:hAnsi="宋体" w:cs="宋体"/>
              </w:rPr>
              <w:t>℃</w:t>
            </w:r>
            <w:r>
              <w:rPr>
                <w:rFonts w:eastAsia="仿宋_GB2312"/>
              </w:rPr>
              <w:t>，闪点-4</w:t>
            </w:r>
            <w:r>
              <w:rPr>
                <w:rFonts w:hint="eastAsia" w:ascii="宋体" w:hAnsi="宋体" w:cs="宋体"/>
              </w:rPr>
              <w:t>℃</w:t>
            </w:r>
            <w:r>
              <w:rPr>
                <w:rFonts w:eastAsia="仿宋_GB2312"/>
              </w:rPr>
              <w:t>，微溶于水，溶于醇、酮、醚、氯仿等多数有机溶剂</w:t>
            </w:r>
          </w:p>
        </w:tc>
        <w:tc>
          <w:tcPr>
            <w:tcW w:w="921" w:type="pct"/>
            <w:vAlign w:val="center"/>
          </w:tcPr>
          <w:p w14:paraId="2A469CF5">
            <w:pPr>
              <w:adjustRightInd w:val="0"/>
              <w:snapToGrid w:val="0"/>
              <w:jc w:val="center"/>
              <w:rPr>
                <w:rFonts w:eastAsia="仿宋_GB2312"/>
                <w:szCs w:val="21"/>
              </w:rPr>
            </w:pPr>
            <w:r>
              <w:rPr>
                <w:rFonts w:eastAsia="仿宋_GB2312"/>
              </w:rPr>
              <w:t>LD</w:t>
            </w:r>
            <w:r>
              <w:rPr>
                <w:rFonts w:eastAsia="仿宋_GB2312"/>
                <w:vertAlign w:val="subscript"/>
              </w:rPr>
              <w:t>50</w:t>
            </w:r>
            <w:r>
              <w:rPr>
                <w:rFonts w:eastAsia="仿宋_GB2312"/>
              </w:rPr>
              <w:t>5620mg/kg(大鼠经口)；4940mg/kg(兔经口)；LC</w:t>
            </w:r>
            <w:r>
              <w:rPr>
                <w:rFonts w:eastAsia="仿宋_GB2312"/>
                <w:vertAlign w:val="subscript"/>
              </w:rPr>
              <w:t>50</w:t>
            </w:r>
            <w:r>
              <w:rPr>
                <w:rFonts w:eastAsia="仿宋_GB2312"/>
              </w:rPr>
              <w:t>5760mg/m</w:t>
            </w:r>
            <w:r>
              <w:rPr>
                <w:rFonts w:eastAsia="仿宋_GB2312"/>
                <w:vertAlign w:val="superscript"/>
              </w:rPr>
              <w:t>3</w:t>
            </w:r>
            <w:r>
              <w:rPr>
                <w:rFonts w:eastAsia="仿宋_GB2312"/>
              </w:rPr>
              <w:t>，8小时(大鼠吸入)；人吸入2000ppm×60分钟，严重毒性反应；人吸入800ppm，有病症；人吸入400ppm短时间，眼、鼻、喉有刺激。</w:t>
            </w:r>
          </w:p>
        </w:tc>
        <w:tc>
          <w:tcPr>
            <w:tcW w:w="462" w:type="pct"/>
            <w:vAlign w:val="center"/>
          </w:tcPr>
          <w:p w14:paraId="72003400">
            <w:pPr>
              <w:adjustRightInd w:val="0"/>
              <w:snapToGrid w:val="0"/>
              <w:jc w:val="center"/>
              <w:rPr>
                <w:rFonts w:eastAsia="仿宋_GB2312"/>
                <w:szCs w:val="21"/>
              </w:rPr>
            </w:pPr>
            <w:r>
              <w:rPr>
                <w:rFonts w:eastAsia="仿宋_GB2312"/>
              </w:rPr>
              <w:t>/</w:t>
            </w:r>
          </w:p>
        </w:tc>
        <w:tc>
          <w:tcPr>
            <w:tcW w:w="910" w:type="pct"/>
            <w:vAlign w:val="center"/>
          </w:tcPr>
          <w:p w14:paraId="0CD7CB68">
            <w:pPr>
              <w:adjustRightInd w:val="0"/>
              <w:snapToGrid w:val="0"/>
              <w:jc w:val="center"/>
              <w:rPr>
                <w:rFonts w:eastAsia="仿宋_GB2312"/>
                <w:szCs w:val="21"/>
              </w:rPr>
            </w:pPr>
            <w:r>
              <w:rPr>
                <w:rFonts w:eastAsia="仿宋_GB2312"/>
              </w:rPr>
              <w:t>蒸汽压13.33kPa/27</w:t>
            </w:r>
            <w:r>
              <w:rPr>
                <w:rFonts w:hint="eastAsia" w:ascii="宋体" w:hAnsi="宋体" w:cs="宋体"/>
              </w:rPr>
              <w:t>℃</w:t>
            </w:r>
            <w:r>
              <w:rPr>
                <w:rFonts w:eastAsia="仿宋_GB2312"/>
              </w:rPr>
              <w:t>，易燃，其蒸气与空气可形成爆炸性混合物。遇明火、高热能引起燃烧爆炸。与氧化剂接触会猛烈反应。在火场中，受热的容器有爆炸危险。其蒸气比空气重，能在较低处扩散到相当远的地方，遇明火会引着回燃。</w:t>
            </w:r>
          </w:p>
        </w:tc>
      </w:tr>
      <w:tr w14:paraId="21212F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1" w:type="dxa"/>
            <w:bottom w:w="0" w:type="dxa"/>
            <w:right w:w="51" w:type="dxa"/>
          </w:tblCellMar>
        </w:tblPrEx>
        <w:trPr>
          <w:trHeight w:val="340" w:hRule="atLeast"/>
          <w:jc w:val="center"/>
        </w:trPr>
        <w:tc>
          <w:tcPr>
            <w:tcW w:w="578" w:type="pct"/>
            <w:vAlign w:val="center"/>
          </w:tcPr>
          <w:p w14:paraId="009233E6">
            <w:pPr>
              <w:adjustRightInd w:val="0"/>
              <w:snapToGrid w:val="0"/>
              <w:jc w:val="center"/>
              <w:rPr>
                <w:rFonts w:eastAsia="仿宋_GB2312"/>
                <w:szCs w:val="21"/>
              </w:rPr>
            </w:pPr>
            <w:r>
              <w:rPr>
                <w:rFonts w:eastAsia="仿宋_GB2312"/>
              </w:rPr>
              <w:t>乙二醇</w:t>
            </w:r>
          </w:p>
        </w:tc>
        <w:tc>
          <w:tcPr>
            <w:tcW w:w="519" w:type="pct"/>
            <w:vAlign w:val="center"/>
          </w:tcPr>
          <w:p w14:paraId="03DD9D81">
            <w:pPr>
              <w:adjustRightInd w:val="0"/>
              <w:snapToGrid w:val="0"/>
              <w:jc w:val="center"/>
              <w:rPr>
                <w:rFonts w:eastAsia="仿宋_GB2312"/>
                <w:szCs w:val="21"/>
              </w:rPr>
            </w:pPr>
            <w:r>
              <w:rPr>
                <w:rFonts w:eastAsia="仿宋_GB2312"/>
              </w:rPr>
              <w:t>C</w:t>
            </w:r>
            <w:r>
              <w:rPr>
                <w:rFonts w:eastAsia="仿宋_GB2312"/>
                <w:vertAlign w:val="subscript"/>
              </w:rPr>
              <w:t>2</w:t>
            </w:r>
            <w:r>
              <w:rPr>
                <w:rFonts w:eastAsia="仿宋_GB2312"/>
              </w:rPr>
              <w:t>H</w:t>
            </w:r>
            <w:r>
              <w:rPr>
                <w:rFonts w:eastAsia="仿宋_GB2312"/>
                <w:vertAlign w:val="subscript"/>
              </w:rPr>
              <w:t>6</w:t>
            </w:r>
            <w:r>
              <w:rPr>
                <w:rFonts w:eastAsia="仿宋_GB2312"/>
              </w:rPr>
              <w:t>O</w:t>
            </w:r>
            <w:r>
              <w:rPr>
                <w:rFonts w:eastAsia="仿宋_GB2312"/>
                <w:vertAlign w:val="subscript"/>
              </w:rPr>
              <w:t>2</w:t>
            </w:r>
          </w:p>
        </w:tc>
        <w:tc>
          <w:tcPr>
            <w:tcW w:w="422" w:type="pct"/>
            <w:vAlign w:val="center"/>
          </w:tcPr>
          <w:p w14:paraId="67F01203">
            <w:pPr>
              <w:adjustRightInd w:val="0"/>
              <w:snapToGrid w:val="0"/>
              <w:jc w:val="center"/>
              <w:rPr>
                <w:rFonts w:eastAsia="仿宋_GB2312"/>
                <w:szCs w:val="21"/>
              </w:rPr>
            </w:pPr>
            <w:r>
              <w:rPr>
                <w:rFonts w:eastAsia="仿宋_GB2312"/>
              </w:rPr>
              <w:t>/</w:t>
            </w:r>
          </w:p>
        </w:tc>
        <w:tc>
          <w:tcPr>
            <w:tcW w:w="1185" w:type="pct"/>
            <w:vAlign w:val="center"/>
          </w:tcPr>
          <w:p w14:paraId="7FEFF29B">
            <w:pPr>
              <w:adjustRightInd w:val="0"/>
              <w:snapToGrid w:val="0"/>
              <w:jc w:val="center"/>
              <w:rPr>
                <w:rFonts w:eastAsia="仿宋_GB2312"/>
                <w:szCs w:val="21"/>
              </w:rPr>
            </w:pPr>
            <w:r>
              <w:rPr>
                <w:rFonts w:eastAsia="仿宋_GB2312"/>
              </w:rPr>
              <w:t>分子量62.068。乙二醇能与水、</w:t>
            </w:r>
            <w:r>
              <w:fldChar w:fldCharType="begin"/>
            </w:r>
            <w:r>
              <w:instrText xml:space="preserve"> HYPERLINK "https://baike.baidu.com/item/%E4%B8%99%E9%85%AE/955883" </w:instrText>
            </w:r>
            <w:r>
              <w:fldChar w:fldCharType="separate"/>
            </w:r>
            <w:r>
              <w:rPr>
                <w:rStyle w:val="144"/>
                <w:rFonts w:eastAsia="仿宋_GB2312"/>
                <w:color w:val="auto"/>
                <w:u w:val="none"/>
              </w:rPr>
              <w:t>丙酮</w:t>
            </w:r>
            <w:r>
              <w:rPr>
                <w:rStyle w:val="144"/>
                <w:rFonts w:eastAsia="仿宋_GB2312"/>
                <w:color w:val="auto"/>
                <w:u w:val="none"/>
              </w:rPr>
              <w:fldChar w:fldCharType="end"/>
            </w:r>
            <w:r>
              <w:rPr>
                <w:rFonts w:eastAsia="仿宋_GB2312"/>
              </w:rPr>
              <w:t>互溶，但在醚类中溶解度较小。闪点110</w:t>
            </w:r>
            <w:r>
              <w:rPr>
                <w:rFonts w:hint="eastAsia" w:ascii="宋体" w:hAnsi="宋体" w:cs="宋体"/>
              </w:rPr>
              <w:t>℃</w:t>
            </w:r>
            <w:r>
              <w:rPr>
                <w:rFonts w:eastAsia="仿宋_GB2312"/>
              </w:rPr>
              <w:t>，沸点197.5</w:t>
            </w:r>
            <w:r>
              <w:rPr>
                <w:rFonts w:hint="eastAsia" w:ascii="宋体" w:hAnsi="宋体" w:cs="宋体"/>
              </w:rPr>
              <w:t>℃</w:t>
            </w:r>
            <w:r>
              <w:rPr>
                <w:rFonts w:eastAsia="仿宋_GB2312"/>
              </w:rPr>
              <w:t>，熔点-13.2</w:t>
            </w:r>
            <w:r>
              <w:rPr>
                <w:rFonts w:hint="eastAsia" w:ascii="宋体" w:hAnsi="宋体" w:cs="宋体"/>
              </w:rPr>
              <w:t>℃</w:t>
            </w:r>
            <w:r>
              <w:rPr>
                <w:rFonts w:eastAsia="仿宋_GB2312"/>
              </w:rPr>
              <w:t>，相对密度1.1155.</w:t>
            </w:r>
          </w:p>
        </w:tc>
        <w:tc>
          <w:tcPr>
            <w:tcW w:w="921" w:type="pct"/>
            <w:vAlign w:val="center"/>
          </w:tcPr>
          <w:p w14:paraId="333B2C61">
            <w:pPr>
              <w:adjustRightInd w:val="0"/>
              <w:snapToGrid w:val="0"/>
              <w:jc w:val="center"/>
              <w:rPr>
                <w:rFonts w:eastAsia="仿宋_GB2312"/>
                <w:szCs w:val="21"/>
              </w:rPr>
            </w:pPr>
            <w:r>
              <w:rPr>
                <w:rFonts w:eastAsia="仿宋_GB2312"/>
              </w:rPr>
              <w:t>LD</w:t>
            </w:r>
            <w:r>
              <w:rPr>
                <w:rFonts w:eastAsia="仿宋_GB2312"/>
                <w:vertAlign w:val="subscript"/>
              </w:rPr>
              <w:t>50</w:t>
            </w:r>
            <w:r>
              <w:rPr>
                <w:rFonts w:eastAsia="仿宋_GB2312"/>
              </w:rPr>
              <w:t>5.8ml/kg（大鼠经口），LD</w:t>
            </w:r>
            <w:r>
              <w:rPr>
                <w:rFonts w:eastAsia="仿宋_GB2312"/>
                <w:vertAlign w:val="subscript"/>
              </w:rPr>
              <w:t>50</w:t>
            </w:r>
            <w:r>
              <w:rPr>
                <w:rFonts w:eastAsia="仿宋_GB2312"/>
              </w:rPr>
              <w:t>1.31-13.8ml/kg（小鼠经口）。</w:t>
            </w:r>
          </w:p>
        </w:tc>
        <w:tc>
          <w:tcPr>
            <w:tcW w:w="462" w:type="pct"/>
            <w:vAlign w:val="center"/>
          </w:tcPr>
          <w:p w14:paraId="002259B0">
            <w:pPr>
              <w:adjustRightInd w:val="0"/>
              <w:snapToGrid w:val="0"/>
              <w:jc w:val="center"/>
              <w:rPr>
                <w:rFonts w:eastAsia="仿宋_GB2312"/>
                <w:szCs w:val="21"/>
              </w:rPr>
            </w:pPr>
            <w:r>
              <w:rPr>
                <w:rFonts w:eastAsia="仿宋_GB2312"/>
              </w:rPr>
              <w:t>/</w:t>
            </w:r>
          </w:p>
        </w:tc>
        <w:tc>
          <w:tcPr>
            <w:tcW w:w="910" w:type="pct"/>
            <w:vAlign w:val="center"/>
          </w:tcPr>
          <w:p w14:paraId="40D75D40">
            <w:pPr>
              <w:adjustRightInd w:val="0"/>
              <w:snapToGrid w:val="0"/>
              <w:jc w:val="center"/>
              <w:rPr>
                <w:rFonts w:eastAsia="仿宋_GB2312"/>
                <w:szCs w:val="21"/>
              </w:rPr>
            </w:pPr>
            <w:r>
              <w:fldChar w:fldCharType="begin"/>
            </w:r>
            <w:r>
              <w:instrText xml:space="preserve"> HYPERLINK "https://baike.baidu.com/item/%E8%92%B8%E6%B1%BD%E5%8E%8B" </w:instrText>
            </w:r>
            <w:r>
              <w:fldChar w:fldCharType="separate"/>
            </w:r>
            <w:r>
              <w:rPr>
                <w:rStyle w:val="144"/>
                <w:rFonts w:eastAsia="仿宋_GB2312"/>
                <w:color w:val="auto"/>
                <w:u w:val="none"/>
              </w:rPr>
              <w:t>蒸汽压</w:t>
            </w:r>
            <w:r>
              <w:rPr>
                <w:rStyle w:val="144"/>
                <w:rFonts w:eastAsia="仿宋_GB2312"/>
                <w:color w:val="auto"/>
                <w:u w:val="none"/>
              </w:rPr>
              <w:fldChar w:fldCharType="end"/>
            </w:r>
            <w:r>
              <w:rPr>
                <w:rFonts w:eastAsia="仿宋_GB2312"/>
              </w:rPr>
              <w:t>：0.06mmHg(0.06毫米汞柱)/20</w:t>
            </w:r>
            <w:r>
              <w:rPr>
                <w:rFonts w:hint="eastAsia" w:ascii="宋体" w:hAnsi="宋体" w:cs="宋体"/>
              </w:rPr>
              <w:t>℃</w:t>
            </w:r>
            <w:r>
              <w:rPr>
                <w:rFonts w:eastAsia="仿宋_GB2312"/>
              </w:rPr>
              <w:t>.遇明火、高热或与氧化剂接触，有引起燃烧爆炸的危险。若遇高热，容器内压增大，有开裂和爆炸的危险。</w:t>
            </w:r>
          </w:p>
        </w:tc>
      </w:tr>
      <w:tr w14:paraId="19B86D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1" w:type="dxa"/>
            <w:bottom w:w="0" w:type="dxa"/>
            <w:right w:w="51" w:type="dxa"/>
          </w:tblCellMar>
        </w:tblPrEx>
        <w:trPr>
          <w:trHeight w:val="340" w:hRule="atLeast"/>
          <w:jc w:val="center"/>
        </w:trPr>
        <w:tc>
          <w:tcPr>
            <w:tcW w:w="578" w:type="pct"/>
            <w:vAlign w:val="center"/>
          </w:tcPr>
          <w:p w14:paraId="112636C8">
            <w:pPr>
              <w:adjustRightInd w:val="0"/>
              <w:snapToGrid w:val="0"/>
              <w:jc w:val="center"/>
              <w:rPr>
                <w:rFonts w:eastAsia="仿宋_GB2312"/>
                <w:szCs w:val="21"/>
              </w:rPr>
            </w:pPr>
            <w:r>
              <w:rPr>
                <w:rFonts w:eastAsia="仿宋_GB2312"/>
              </w:rPr>
              <w:t>二氯甲烷</w:t>
            </w:r>
          </w:p>
        </w:tc>
        <w:tc>
          <w:tcPr>
            <w:tcW w:w="519" w:type="pct"/>
            <w:vAlign w:val="center"/>
          </w:tcPr>
          <w:p w14:paraId="02104EA2">
            <w:pPr>
              <w:adjustRightInd w:val="0"/>
              <w:snapToGrid w:val="0"/>
              <w:jc w:val="center"/>
              <w:rPr>
                <w:rFonts w:eastAsia="仿宋_GB2312"/>
                <w:szCs w:val="21"/>
              </w:rPr>
            </w:pPr>
            <w:r>
              <w:rPr>
                <w:rFonts w:eastAsia="仿宋_GB2312"/>
              </w:rPr>
              <w:t>CH</w:t>
            </w:r>
            <w:r>
              <w:rPr>
                <w:rFonts w:eastAsia="仿宋_GB2312"/>
                <w:vertAlign w:val="subscript"/>
              </w:rPr>
              <w:t>2</w:t>
            </w:r>
            <w:r>
              <w:rPr>
                <w:rFonts w:eastAsia="仿宋_GB2312"/>
              </w:rPr>
              <w:t>Cl</w:t>
            </w:r>
            <w:r>
              <w:rPr>
                <w:rFonts w:eastAsia="仿宋_GB2312"/>
                <w:vertAlign w:val="subscript"/>
              </w:rPr>
              <w:t>2</w:t>
            </w:r>
          </w:p>
        </w:tc>
        <w:tc>
          <w:tcPr>
            <w:tcW w:w="422" w:type="pct"/>
            <w:vAlign w:val="center"/>
          </w:tcPr>
          <w:p w14:paraId="46A54444">
            <w:pPr>
              <w:adjustRightInd w:val="0"/>
              <w:snapToGrid w:val="0"/>
              <w:jc w:val="center"/>
              <w:rPr>
                <w:rFonts w:eastAsia="仿宋_GB2312"/>
                <w:szCs w:val="21"/>
              </w:rPr>
            </w:pPr>
            <w:r>
              <w:rPr>
                <w:rFonts w:eastAsia="仿宋_GB2312"/>
              </w:rPr>
              <w:t>61552</w:t>
            </w:r>
          </w:p>
        </w:tc>
        <w:tc>
          <w:tcPr>
            <w:tcW w:w="1185" w:type="pct"/>
            <w:vAlign w:val="center"/>
          </w:tcPr>
          <w:p w14:paraId="4D38AD03">
            <w:pPr>
              <w:adjustRightInd w:val="0"/>
              <w:snapToGrid w:val="0"/>
              <w:jc w:val="center"/>
              <w:rPr>
                <w:rFonts w:eastAsia="仿宋_GB2312"/>
                <w:szCs w:val="21"/>
              </w:rPr>
            </w:pPr>
            <w:r>
              <w:rPr>
                <w:rFonts w:eastAsia="仿宋_GB2312"/>
              </w:rPr>
              <w:t>分子量84.94，无色透明液体，有芳香气味，相对密度(水=1)1.33，相对密度(空气=1)2.93，熔点-96.7</w:t>
            </w:r>
            <w:r>
              <w:rPr>
                <w:rFonts w:hint="eastAsia" w:ascii="宋体" w:hAnsi="宋体" w:cs="宋体"/>
              </w:rPr>
              <w:t>℃</w:t>
            </w:r>
            <w:r>
              <w:rPr>
                <w:rFonts w:eastAsia="仿宋_GB2312"/>
              </w:rPr>
              <w:t>，沸点39.8</w:t>
            </w:r>
            <w:r>
              <w:rPr>
                <w:rFonts w:hint="eastAsia" w:ascii="宋体" w:hAnsi="宋体" w:cs="宋体"/>
              </w:rPr>
              <w:t>℃</w:t>
            </w:r>
            <w:r>
              <w:rPr>
                <w:rFonts w:eastAsia="仿宋_GB2312"/>
              </w:rPr>
              <w:t>，微溶于水，溶于乙醇、乙醚。</w:t>
            </w:r>
          </w:p>
        </w:tc>
        <w:tc>
          <w:tcPr>
            <w:tcW w:w="921" w:type="pct"/>
            <w:vAlign w:val="center"/>
          </w:tcPr>
          <w:p w14:paraId="12522170">
            <w:pPr>
              <w:adjustRightInd w:val="0"/>
              <w:snapToGrid w:val="0"/>
              <w:jc w:val="center"/>
              <w:rPr>
                <w:rFonts w:eastAsia="仿宋_GB2312"/>
                <w:szCs w:val="21"/>
              </w:rPr>
            </w:pPr>
            <w:r>
              <w:rPr>
                <w:rFonts w:eastAsia="仿宋_GB2312"/>
              </w:rPr>
              <w:t>中等毒性</w:t>
            </w:r>
          </w:p>
          <w:p w14:paraId="73D974E4">
            <w:pPr>
              <w:adjustRightInd w:val="0"/>
              <w:snapToGrid w:val="0"/>
              <w:jc w:val="center"/>
              <w:rPr>
                <w:rFonts w:eastAsia="仿宋_GB2312"/>
                <w:szCs w:val="21"/>
              </w:rPr>
            </w:pPr>
            <w:r>
              <w:rPr>
                <w:rFonts w:eastAsia="仿宋_GB2312"/>
              </w:rPr>
              <w:t>LD</w:t>
            </w:r>
            <w:r>
              <w:rPr>
                <w:rFonts w:eastAsia="仿宋_GB2312"/>
                <w:vertAlign w:val="subscript"/>
              </w:rPr>
              <w:t>50</w:t>
            </w:r>
            <w:r>
              <w:rPr>
                <w:rFonts w:eastAsia="仿宋_GB2312"/>
              </w:rPr>
              <w:t>1600～2000mg/kg(大鼠经口)；LC</w:t>
            </w:r>
            <w:r>
              <w:rPr>
                <w:rFonts w:eastAsia="仿宋_GB2312"/>
                <w:vertAlign w:val="subscript"/>
              </w:rPr>
              <w:t>50</w:t>
            </w:r>
            <w:r>
              <w:rPr>
                <w:rFonts w:eastAsia="仿宋_GB2312"/>
              </w:rPr>
              <w:t>56.2g/m</w:t>
            </w:r>
            <w:r>
              <w:rPr>
                <w:rFonts w:eastAsia="仿宋_GB2312"/>
                <w:vertAlign w:val="superscript"/>
              </w:rPr>
              <w:t>3</w:t>
            </w:r>
            <w:r>
              <w:rPr>
                <w:rFonts w:eastAsia="仿宋_GB2312"/>
              </w:rPr>
              <w:t>，8小时(小鼠吸入)；小鼠吸入67.4g/m</w:t>
            </w:r>
            <w:r>
              <w:rPr>
                <w:rFonts w:eastAsia="仿宋_GB2312"/>
                <w:vertAlign w:val="superscript"/>
              </w:rPr>
              <w:t>3</w:t>
            </w:r>
            <w:r>
              <w:rPr>
                <w:rFonts w:eastAsia="仿宋_GB2312"/>
              </w:rPr>
              <w:t>×67分钟，致死；人经口20～50ml，轻度中毒；人经口100～150ml，致死；人吸入2.9～4.0g/m</w:t>
            </w:r>
            <w:r>
              <w:rPr>
                <w:rFonts w:eastAsia="仿宋_GB2312"/>
                <w:vertAlign w:val="superscript"/>
              </w:rPr>
              <w:t>3</w:t>
            </w:r>
            <w:r>
              <w:rPr>
                <w:rFonts w:eastAsia="仿宋_GB2312"/>
              </w:rPr>
              <w:t>，20分钟后眩晕。</w:t>
            </w:r>
          </w:p>
        </w:tc>
        <w:tc>
          <w:tcPr>
            <w:tcW w:w="462" w:type="pct"/>
            <w:vAlign w:val="center"/>
          </w:tcPr>
          <w:p w14:paraId="7866394C">
            <w:pPr>
              <w:adjustRightInd w:val="0"/>
              <w:snapToGrid w:val="0"/>
              <w:jc w:val="center"/>
              <w:rPr>
                <w:rFonts w:eastAsia="仿宋_GB2312"/>
                <w:szCs w:val="21"/>
              </w:rPr>
            </w:pPr>
            <w:r>
              <w:rPr>
                <w:rFonts w:eastAsia="仿宋_GB2312"/>
              </w:rPr>
              <w:t>IARC致癌性评论：动物阳性，人类不明确</w:t>
            </w:r>
          </w:p>
        </w:tc>
        <w:tc>
          <w:tcPr>
            <w:tcW w:w="910" w:type="pct"/>
            <w:vAlign w:val="center"/>
          </w:tcPr>
          <w:p w14:paraId="04B11D29">
            <w:pPr>
              <w:adjustRightInd w:val="0"/>
              <w:snapToGrid w:val="0"/>
              <w:jc w:val="center"/>
              <w:rPr>
                <w:rFonts w:eastAsia="仿宋_GB2312"/>
                <w:szCs w:val="21"/>
              </w:rPr>
            </w:pPr>
            <w:r>
              <w:rPr>
                <w:rFonts w:eastAsia="仿宋_GB2312"/>
              </w:rPr>
              <w:t>蒸汽压30.55kPa(10</w:t>
            </w:r>
            <w:r>
              <w:rPr>
                <w:rFonts w:hint="eastAsia" w:ascii="宋体" w:hAnsi="宋体" w:cs="宋体"/>
              </w:rPr>
              <w:t>℃</w:t>
            </w:r>
            <w:r>
              <w:rPr>
                <w:rFonts w:eastAsia="仿宋_GB2312"/>
              </w:rPr>
              <w:t>)，遇明火高热可燃。受热分解能发出剧毒的光气。若遇高热，容器内压增大，有开裂和爆炸的危险</w:t>
            </w:r>
          </w:p>
        </w:tc>
      </w:tr>
      <w:tr w14:paraId="546C2B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1" w:type="dxa"/>
            <w:bottom w:w="0" w:type="dxa"/>
            <w:right w:w="51" w:type="dxa"/>
          </w:tblCellMar>
        </w:tblPrEx>
        <w:trPr>
          <w:trHeight w:val="340" w:hRule="atLeast"/>
          <w:jc w:val="center"/>
        </w:trPr>
        <w:tc>
          <w:tcPr>
            <w:tcW w:w="578" w:type="pct"/>
            <w:vAlign w:val="center"/>
          </w:tcPr>
          <w:p w14:paraId="535975B7">
            <w:pPr>
              <w:adjustRightInd w:val="0"/>
              <w:snapToGrid w:val="0"/>
              <w:jc w:val="center"/>
              <w:rPr>
                <w:rFonts w:eastAsia="仿宋_GB2312"/>
                <w:szCs w:val="21"/>
              </w:rPr>
            </w:pPr>
            <w:r>
              <w:rPr>
                <w:rFonts w:eastAsia="仿宋_GB2312"/>
              </w:rPr>
              <w:t>乙酸丁酯</w:t>
            </w:r>
          </w:p>
        </w:tc>
        <w:tc>
          <w:tcPr>
            <w:tcW w:w="519" w:type="pct"/>
            <w:vAlign w:val="center"/>
          </w:tcPr>
          <w:p w14:paraId="2A05CD51">
            <w:pPr>
              <w:adjustRightInd w:val="0"/>
              <w:snapToGrid w:val="0"/>
              <w:jc w:val="center"/>
              <w:rPr>
                <w:rFonts w:eastAsia="仿宋_GB2312"/>
                <w:szCs w:val="21"/>
              </w:rPr>
            </w:pPr>
            <w:r>
              <w:rPr>
                <w:rFonts w:eastAsia="仿宋_GB2312"/>
              </w:rPr>
              <w:t>C</w:t>
            </w:r>
            <w:r>
              <w:rPr>
                <w:rFonts w:eastAsia="仿宋_GB2312"/>
                <w:vertAlign w:val="subscript"/>
              </w:rPr>
              <w:t>6</w:t>
            </w:r>
            <w:r>
              <w:rPr>
                <w:rFonts w:eastAsia="仿宋_GB2312"/>
              </w:rPr>
              <w:t>H</w:t>
            </w:r>
            <w:r>
              <w:rPr>
                <w:rFonts w:eastAsia="仿宋_GB2312"/>
                <w:vertAlign w:val="subscript"/>
              </w:rPr>
              <w:t>12</w:t>
            </w:r>
            <w:r>
              <w:rPr>
                <w:rFonts w:eastAsia="仿宋_GB2312"/>
              </w:rPr>
              <w:t>O</w:t>
            </w:r>
            <w:r>
              <w:rPr>
                <w:rFonts w:eastAsia="仿宋_GB2312"/>
                <w:vertAlign w:val="subscript"/>
              </w:rPr>
              <w:t>2</w:t>
            </w:r>
          </w:p>
        </w:tc>
        <w:tc>
          <w:tcPr>
            <w:tcW w:w="422" w:type="pct"/>
            <w:vAlign w:val="center"/>
          </w:tcPr>
          <w:p w14:paraId="3BA25C1E">
            <w:pPr>
              <w:adjustRightInd w:val="0"/>
              <w:snapToGrid w:val="0"/>
              <w:jc w:val="center"/>
              <w:rPr>
                <w:rFonts w:eastAsia="仿宋_GB2312"/>
                <w:szCs w:val="21"/>
              </w:rPr>
            </w:pPr>
            <w:r>
              <w:rPr>
                <w:rFonts w:eastAsia="仿宋_GB2312"/>
              </w:rPr>
              <w:t>62030</w:t>
            </w:r>
          </w:p>
        </w:tc>
        <w:tc>
          <w:tcPr>
            <w:tcW w:w="1185" w:type="pct"/>
            <w:vAlign w:val="center"/>
          </w:tcPr>
          <w:p w14:paraId="5EB4AD82">
            <w:pPr>
              <w:adjustRightInd w:val="0"/>
              <w:snapToGrid w:val="0"/>
              <w:jc w:val="center"/>
              <w:rPr>
                <w:rFonts w:eastAsia="仿宋_GB2312"/>
                <w:szCs w:val="21"/>
              </w:rPr>
            </w:pPr>
            <w:r>
              <w:rPr>
                <w:rFonts w:eastAsia="仿宋_GB2312"/>
              </w:rPr>
              <w:t>分子量116.16，无色透明有愉快果香气味的液体。熔点-73.5</w:t>
            </w:r>
            <w:r>
              <w:rPr>
                <w:rFonts w:hint="eastAsia" w:ascii="宋体" w:hAnsi="宋体" w:cs="宋体"/>
              </w:rPr>
              <w:t>℃</w:t>
            </w:r>
            <w:r>
              <w:rPr>
                <w:rFonts w:eastAsia="仿宋_GB2312"/>
              </w:rPr>
              <w:t>，沸点126.1</w:t>
            </w:r>
            <w:r>
              <w:rPr>
                <w:rFonts w:hint="eastAsia" w:ascii="宋体" w:hAnsi="宋体" w:cs="宋体"/>
              </w:rPr>
              <w:t>℃</w:t>
            </w:r>
            <w:r>
              <w:rPr>
                <w:rFonts w:eastAsia="仿宋_GB2312"/>
              </w:rPr>
              <w:t>，闪点22</w:t>
            </w:r>
            <w:r>
              <w:rPr>
                <w:rFonts w:hint="eastAsia" w:ascii="宋体" w:hAnsi="宋体" w:cs="宋体"/>
              </w:rPr>
              <w:t>℃</w:t>
            </w:r>
            <w:r>
              <w:rPr>
                <w:rFonts w:eastAsia="仿宋_GB2312"/>
              </w:rPr>
              <w:t>。相对密度</w:t>
            </w:r>
            <w:r>
              <w:rPr>
                <w:rFonts w:eastAsia="仿宋_GB2312"/>
                <w:bCs/>
              </w:rPr>
              <w:t>（水=1）：</w:t>
            </w:r>
            <w:r>
              <w:rPr>
                <w:rFonts w:eastAsia="仿宋_GB2312"/>
              </w:rPr>
              <w:t>0.8825。较低级同系物难溶于水；与醇、醚、酮等</w:t>
            </w:r>
            <w:r>
              <w:fldChar w:fldCharType="begin"/>
            </w:r>
            <w:r>
              <w:instrText xml:space="preserve"> HYPERLINK "https://baike.baidu.com/item/%E6%9C%89%E6%9C%BA%E6%BA%B6%E5%89%82" </w:instrText>
            </w:r>
            <w:r>
              <w:fldChar w:fldCharType="separate"/>
            </w:r>
            <w:r>
              <w:rPr>
                <w:rStyle w:val="144"/>
                <w:rFonts w:eastAsia="仿宋_GB2312"/>
                <w:color w:val="auto"/>
                <w:u w:val="none"/>
              </w:rPr>
              <w:t>有机溶剂</w:t>
            </w:r>
            <w:r>
              <w:rPr>
                <w:rStyle w:val="144"/>
                <w:rFonts w:eastAsia="仿宋_GB2312"/>
                <w:color w:val="auto"/>
                <w:u w:val="none"/>
              </w:rPr>
              <w:fldChar w:fldCharType="end"/>
            </w:r>
            <w:r>
              <w:rPr>
                <w:rFonts w:eastAsia="仿宋_GB2312"/>
              </w:rPr>
              <w:t>混溶。</w:t>
            </w:r>
          </w:p>
        </w:tc>
        <w:tc>
          <w:tcPr>
            <w:tcW w:w="921" w:type="pct"/>
            <w:vAlign w:val="center"/>
          </w:tcPr>
          <w:p w14:paraId="5471406C">
            <w:pPr>
              <w:adjustRightInd w:val="0"/>
              <w:snapToGrid w:val="0"/>
              <w:jc w:val="center"/>
              <w:rPr>
                <w:rFonts w:eastAsia="仿宋_GB2312"/>
                <w:szCs w:val="21"/>
              </w:rPr>
            </w:pPr>
            <w:r>
              <w:rPr>
                <w:rFonts w:eastAsia="仿宋_GB2312"/>
              </w:rPr>
              <w:t>LD</w:t>
            </w:r>
            <w:r>
              <w:rPr>
                <w:rFonts w:eastAsia="仿宋_GB2312"/>
                <w:vertAlign w:val="subscript"/>
              </w:rPr>
              <w:t>50</w:t>
            </w:r>
            <w:r>
              <w:rPr>
                <w:rFonts w:eastAsia="仿宋_GB2312"/>
              </w:rPr>
              <w:t>:10768mg/kg（大鼠经口）;LD</w:t>
            </w:r>
            <w:r>
              <w:rPr>
                <w:rFonts w:eastAsia="仿宋_GB2312"/>
                <w:vertAlign w:val="subscript"/>
              </w:rPr>
              <w:t>50</w:t>
            </w:r>
            <w:r>
              <w:rPr>
                <w:rFonts w:eastAsia="仿宋_GB2312"/>
              </w:rPr>
              <w:t>:7076mg/kg（小鼠经口）。</w:t>
            </w:r>
          </w:p>
        </w:tc>
        <w:tc>
          <w:tcPr>
            <w:tcW w:w="462" w:type="pct"/>
            <w:vAlign w:val="center"/>
          </w:tcPr>
          <w:p w14:paraId="17C1542A">
            <w:pPr>
              <w:adjustRightInd w:val="0"/>
              <w:snapToGrid w:val="0"/>
              <w:jc w:val="center"/>
              <w:rPr>
                <w:rFonts w:eastAsia="仿宋_GB2312"/>
                <w:szCs w:val="21"/>
              </w:rPr>
            </w:pPr>
            <w:r>
              <w:rPr>
                <w:rFonts w:eastAsia="仿宋_GB2312"/>
              </w:rPr>
              <w:t>/</w:t>
            </w:r>
          </w:p>
        </w:tc>
        <w:tc>
          <w:tcPr>
            <w:tcW w:w="910" w:type="pct"/>
            <w:vAlign w:val="center"/>
          </w:tcPr>
          <w:p w14:paraId="6EC69C6E">
            <w:pPr>
              <w:adjustRightInd w:val="0"/>
              <w:snapToGrid w:val="0"/>
              <w:jc w:val="center"/>
              <w:rPr>
                <w:rFonts w:eastAsia="仿宋_GB2312"/>
                <w:szCs w:val="21"/>
              </w:rPr>
            </w:pPr>
            <w:r>
              <w:rPr>
                <w:rFonts w:eastAsia="仿宋_GB2312"/>
              </w:rPr>
              <w:t>易燃,蒸汽压(kPa)：2.00(32</w:t>
            </w:r>
            <w:r>
              <w:rPr>
                <w:rFonts w:hint="eastAsia" w:ascii="宋体" w:hAnsi="宋体" w:cs="宋体"/>
              </w:rPr>
              <w:t>℃</w:t>
            </w:r>
            <w:r>
              <w:rPr>
                <w:rFonts w:eastAsia="仿宋_GB2312"/>
              </w:rPr>
              <w:t>)。其蒸气与空气可形成爆燃性混合物。遇明火、高温能引起燃烧。爆炸。</w:t>
            </w:r>
          </w:p>
        </w:tc>
      </w:tr>
      <w:tr w14:paraId="004E6E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1" w:type="dxa"/>
            <w:bottom w:w="0" w:type="dxa"/>
            <w:right w:w="51" w:type="dxa"/>
          </w:tblCellMar>
        </w:tblPrEx>
        <w:trPr>
          <w:trHeight w:val="340" w:hRule="atLeast"/>
          <w:jc w:val="center"/>
        </w:trPr>
        <w:tc>
          <w:tcPr>
            <w:tcW w:w="578" w:type="pct"/>
            <w:vAlign w:val="center"/>
          </w:tcPr>
          <w:p w14:paraId="54D1DF0E">
            <w:pPr>
              <w:adjustRightInd w:val="0"/>
              <w:snapToGrid w:val="0"/>
              <w:jc w:val="center"/>
              <w:rPr>
                <w:rFonts w:eastAsia="仿宋_GB2312"/>
                <w:szCs w:val="21"/>
              </w:rPr>
            </w:pPr>
            <w:r>
              <w:rPr>
                <w:rFonts w:eastAsia="仿宋_GB2312"/>
              </w:rPr>
              <w:t>二甲苯</w:t>
            </w:r>
          </w:p>
        </w:tc>
        <w:tc>
          <w:tcPr>
            <w:tcW w:w="519" w:type="pct"/>
            <w:vAlign w:val="center"/>
          </w:tcPr>
          <w:p w14:paraId="1266FEB2">
            <w:pPr>
              <w:adjustRightInd w:val="0"/>
              <w:snapToGrid w:val="0"/>
              <w:jc w:val="center"/>
              <w:rPr>
                <w:rFonts w:eastAsia="仿宋_GB2312"/>
                <w:szCs w:val="21"/>
              </w:rPr>
            </w:pPr>
            <w:r>
              <w:rPr>
                <w:rFonts w:eastAsia="仿宋_GB2312"/>
              </w:rPr>
              <w:t>C</w:t>
            </w:r>
            <w:r>
              <w:rPr>
                <w:rFonts w:eastAsia="仿宋_GB2312"/>
                <w:vertAlign w:val="subscript"/>
              </w:rPr>
              <w:t>8</w:t>
            </w:r>
            <w:r>
              <w:rPr>
                <w:rFonts w:eastAsia="仿宋_GB2312"/>
              </w:rPr>
              <w:t>H</w:t>
            </w:r>
            <w:r>
              <w:rPr>
                <w:rFonts w:eastAsia="仿宋_GB2312"/>
                <w:vertAlign w:val="subscript"/>
              </w:rPr>
              <w:t>10</w:t>
            </w:r>
          </w:p>
        </w:tc>
        <w:tc>
          <w:tcPr>
            <w:tcW w:w="422" w:type="pct"/>
            <w:vAlign w:val="center"/>
          </w:tcPr>
          <w:p w14:paraId="1445A7A4">
            <w:pPr>
              <w:adjustRightInd w:val="0"/>
              <w:snapToGrid w:val="0"/>
              <w:jc w:val="center"/>
              <w:rPr>
                <w:rFonts w:eastAsia="仿宋_GB2312"/>
                <w:szCs w:val="21"/>
              </w:rPr>
            </w:pPr>
            <w:r>
              <w:rPr>
                <w:rFonts w:eastAsia="仿宋_GB2312"/>
              </w:rPr>
              <w:t>33535</w:t>
            </w:r>
          </w:p>
        </w:tc>
        <w:tc>
          <w:tcPr>
            <w:tcW w:w="1185" w:type="pct"/>
            <w:vAlign w:val="center"/>
          </w:tcPr>
          <w:p w14:paraId="4F3D022A">
            <w:pPr>
              <w:adjustRightInd w:val="0"/>
              <w:snapToGrid w:val="0"/>
              <w:jc w:val="center"/>
              <w:rPr>
                <w:rFonts w:eastAsia="仿宋_GB2312"/>
                <w:szCs w:val="21"/>
              </w:rPr>
            </w:pPr>
            <w:r>
              <w:rPr>
                <w:rFonts w:eastAsia="仿宋_GB2312"/>
              </w:rPr>
              <w:t>分子量106.7，无色透明液体，有类似甲苯的气味，相对密度0.86，熔点-25.5</w:t>
            </w:r>
            <w:r>
              <w:rPr>
                <w:rFonts w:hint="eastAsia" w:ascii="宋体" w:hAnsi="宋体" w:cs="宋体"/>
              </w:rPr>
              <w:t>℃</w:t>
            </w:r>
            <w:r>
              <w:rPr>
                <w:rFonts w:eastAsia="仿宋_GB2312"/>
              </w:rPr>
              <w:t>，沸点137～140</w:t>
            </w:r>
            <w:r>
              <w:rPr>
                <w:rFonts w:hint="eastAsia" w:ascii="宋体" w:hAnsi="宋体" w:cs="宋体"/>
              </w:rPr>
              <w:t>℃</w:t>
            </w:r>
            <w:r>
              <w:rPr>
                <w:rFonts w:eastAsia="仿宋_GB2312"/>
              </w:rPr>
              <w:t>，闪点30</w:t>
            </w:r>
            <w:r>
              <w:rPr>
                <w:rFonts w:hint="eastAsia" w:ascii="宋体" w:hAnsi="宋体" w:cs="宋体"/>
              </w:rPr>
              <w:t>℃</w:t>
            </w:r>
            <w:r>
              <w:rPr>
                <w:rFonts w:eastAsia="仿宋_GB2312"/>
              </w:rPr>
              <w:t>；不溶于水，可混溶于乙醇、乙醚、氯仿等多数有机溶剂</w:t>
            </w:r>
          </w:p>
        </w:tc>
        <w:tc>
          <w:tcPr>
            <w:tcW w:w="921" w:type="pct"/>
            <w:vAlign w:val="center"/>
          </w:tcPr>
          <w:p w14:paraId="7288D8F3">
            <w:pPr>
              <w:adjustRightInd w:val="0"/>
              <w:snapToGrid w:val="0"/>
              <w:jc w:val="center"/>
              <w:rPr>
                <w:rFonts w:eastAsia="仿宋_GB2312"/>
                <w:szCs w:val="21"/>
              </w:rPr>
            </w:pPr>
            <w:r>
              <w:rPr>
                <w:rFonts w:eastAsia="仿宋_GB2312"/>
              </w:rPr>
              <w:t>LD</w:t>
            </w:r>
            <w:r>
              <w:rPr>
                <w:rFonts w:eastAsia="仿宋_GB2312"/>
                <w:vertAlign w:val="subscript"/>
              </w:rPr>
              <w:t>50</w:t>
            </w:r>
            <w:r>
              <w:rPr>
                <w:rFonts w:eastAsia="仿宋_GB2312"/>
              </w:rPr>
              <w:t>1364mg/kg(小鼠静脉)；大鼠吸入最低中毒浓度(TDL)：1500mg/m</w:t>
            </w:r>
            <w:r>
              <w:rPr>
                <w:rFonts w:eastAsia="仿宋_GB2312"/>
                <w:vertAlign w:val="superscript"/>
              </w:rPr>
              <w:t>3</w:t>
            </w:r>
            <w:r>
              <w:rPr>
                <w:rFonts w:eastAsia="仿宋_GB2312"/>
              </w:rPr>
              <w:t>，24小时(孕7～14天用药)，有胚胎毒性。</w:t>
            </w:r>
          </w:p>
        </w:tc>
        <w:tc>
          <w:tcPr>
            <w:tcW w:w="462" w:type="pct"/>
            <w:vAlign w:val="center"/>
          </w:tcPr>
          <w:p w14:paraId="06F7DE5D">
            <w:pPr>
              <w:adjustRightInd w:val="0"/>
              <w:snapToGrid w:val="0"/>
              <w:jc w:val="center"/>
              <w:rPr>
                <w:rFonts w:eastAsia="仿宋_GB2312"/>
                <w:szCs w:val="21"/>
              </w:rPr>
            </w:pPr>
            <w:r>
              <w:rPr>
                <w:rFonts w:eastAsia="仿宋_GB2312"/>
              </w:rPr>
              <w:t>/</w:t>
            </w:r>
          </w:p>
        </w:tc>
        <w:tc>
          <w:tcPr>
            <w:tcW w:w="910" w:type="pct"/>
            <w:vAlign w:val="center"/>
          </w:tcPr>
          <w:p w14:paraId="6E1A4177">
            <w:pPr>
              <w:adjustRightInd w:val="0"/>
              <w:snapToGrid w:val="0"/>
              <w:jc w:val="center"/>
              <w:rPr>
                <w:rFonts w:eastAsia="仿宋_GB2312"/>
                <w:szCs w:val="21"/>
              </w:rPr>
            </w:pPr>
            <w:r>
              <w:rPr>
                <w:rFonts w:eastAsia="仿宋_GB2312"/>
              </w:rPr>
              <w:t>易燃，蒸汽压1.33kPa/32</w:t>
            </w:r>
            <w:r>
              <w:rPr>
                <w:rFonts w:hint="eastAsia" w:ascii="宋体" w:hAnsi="宋体" w:cs="宋体"/>
              </w:rPr>
              <w:t>℃</w:t>
            </w:r>
          </w:p>
        </w:tc>
      </w:tr>
      <w:tr w14:paraId="7DB726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1" w:type="dxa"/>
            <w:bottom w:w="0" w:type="dxa"/>
            <w:right w:w="51" w:type="dxa"/>
          </w:tblCellMar>
        </w:tblPrEx>
        <w:trPr>
          <w:trHeight w:val="340" w:hRule="atLeast"/>
          <w:jc w:val="center"/>
        </w:trPr>
        <w:tc>
          <w:tcPr>
            <w:tcW w:w="578" w:type="pct"/>
            <w:vAlign w:val="center"/>
          </w:tcPr>
          <w:p w14:paraId="4DB884DC">
            <w:pPr>
              <w:adjustRightInd w:val="0"/>
              <w:snapToGrid w:val="0"/>
              <w:jc w:val="center"/>
              <w:rPr>
                <w:rFonts w:eastAsia="仿宋_GB2312"/>
                <w:szCs w:val="21"/>
              </w:rPr>
            </w:pPr>
            <w:r>
              <w:rPr>
                <w:rFonts w:eastAsia="仿宋_GB2312"/>
                <w:bCs/>
              </w:rPr>
              <w:t>乙酸甲酯</w:t>
            </w:r>
          </w:p>
        </w:tc>
        <w:tc>
          <w:tcPr>
            <w:tcW w:w="519" w:type="pct"/>
            <w:vAlign w:val="center"/>
          </w:tcPr>
          <w:p w14:paraId="3ACDD45F">
            <w:pPr>
              <w:adjustRightInd w:val="0"/>
              <w:snapToGrid w:val="0"/>
              <w:jc w:val="center"/>
              <w:rPr>
                <w:rFonts w:eastAsia="仿宋_GB2312"/>
                <w:szCs w:val="21"/>
              </w:rPr>
            </w:pPr>
            <w:r>
              <w:rPr>
                <w:rFonts w:eastAsia="仿宋_GB2312"/>
                <w:bCs/>
              </w:rPr>
              <w:t>C</w:t>
            </w:r>
            <w:r>
              <w:rPr>
                <w:rFonts w:eastAsia="仿宋_GB2312"/>
                <w:bCs/>
                <w:vertAlign w:val="subscript"/>
              </w:rPr>
              <w:t>3</w:t>
            </w:r>
            <w:r>
              <w:rPr>
                <w:rFonts w:eastAsia="仿宋_GB2312"/>
                <w:bCs/>
              </w:rPr>
              <w:t>H</w:t>
            </w:r>
            <w:r>
              <w:rPr>
                <w:rFonts w:eastAsia="仿宋_GB2312"/>
                <w:bCs/>
                <w:vertAlign w:val="subscript"/>
              </w:rPr>
              <w:t>6</w:t>
            </w:r>
            <w:r>
              <w:rPr>
                <w:rFonts w:eastAsia="仿宋_GB2312"/>
                <w:bCs/>
              </w:rPr>
              <w:t>O</w:t>
            </w:r>
            <w:r>
              <w:rPr>
                <w:rFonts w:eastAsia="仿宋_GB2312"/>
                <w:bCs/>
                <w:vertAlign w:val="subscript"/>
              </w:rPr>
              <w:t>2</w:t>
            </w:r>
          </w:p>
        </w:tc>
        <w:tc>
          <w:tcPr>
            <w:tcW w:w="422" w:type="pct"/>
            <w:vAlign w:val="center"/>
          </w:tcPr>
          <w:p w14:paraId="0559224C">
            <w:pPr>
              <w:adjustRightInd w:val="0"/>
              <w:snapToGrid w:val="0"/>
              <w:jc w:val="center"/>
              <w:rPr>
                <w:rFonts w:eastAsia="仿宋_GB2312"/>
                <w:szCs w:val="21"/>
              </w:rPr>
            </w:pPr>
            <w:r>
              <w:rPr>
                <w:rFonts w:eastAsia="仿宋_GB2312"/>
                <w:bCs/>
              </w:rPr>
              <w:t>32126</w:t>
            </w:r>
          </w:p>
        </w:tc>
        <w:tc>
          <w:tcPr>
            <w:tcW w:w="1185" w:type="pct"/>
            <w:vAlign w:val="center"/>
          </w:tcPr>
          <w:p w14:paraId="478572A9">
            <w:pPr>
              <w:adjustRightInd w:val="0"/>
              <w:snapToGrid w:val="0"/>
              <w:jc w:val="center"/>
              <w:rPr>
                <w:rFonts w:eastAsia="仿宋_GB2312"/>
                <w:szCs w:val="21"/>
              </w:rPr>
            </w:pPr>
            <w:r>
              <w:rPr>
                <w:rFonts w:eastAsia="仿宋_GB2312"/>
                <w:bCs/>
              </w:rPr>
              <w:t>分子量74.08，无色透明液体，有香味。微溶于水，可混溶于乙醇、乙醚等多数有机溶剂。熔点-98.7</w:t>
            </w:r>
            <w:r>
              <w:rPr>
                <w:rFonts w:hint="eastAsia" w:ascii="宋体" w:hAnsi="宋体" w:cs="宋体"/>
              </w:rPr>
              <w:t>℃</w:t>
            </w:r>
            <w:r>
              <w:rPr>
                <w:rFonts w:eastAsia="仿宋_GB2312"/>
                <w:bCs/>
              </w:rPr>
              <w:t>，</w:t>
            </w:r>
            <w:r>
              <w:rPr>
                <w:rFonts w:eastAsia="仿宋_GB2312"/>
              </w:rPr>
              <w:t>沸点57.8</w:t>
            </w:r>
            <w:r>
              <w:rPr>
                <w:rFonts w:hint="eastAsia" w:ascii="宋体" w:hAnsi="宋体" w:cs="宋体"/>
              </w:rPr>
              <w:t>℃</w:t>
            </w:r>
            <w:r>
              <w:rPr>
                <w:rFonts w:eastAsia="仿宋_GB2312"/>
              </w:rPr>
              <w:t>，</w:t>
            </w:r>
            <w:r>
              <w:rPr>
                <w:rFonts w:eastAsia="仿宋_GB2312"/>
                <w:bCs/>
              </w:rPr>
              <w:t>相对密度（水=1）：0.92</w:t>
            </w:r>
          </w:p>
        </w:tc>
        <w:tc>
          <w:tcPr>
            <w:tcW w:w="921" w:type="pct"/>
            <w:vAlign w:val="center"/>
          </w:tcPr>
          <w:p w14:paraId="658C87F2">
            <w:pPr>
              <w:adjustRightInd w:val="0"/>
              <w:snapToGrid w:val="0"/>
              <w:jc w:val="center"/>
              <w:rPr>
                <w:rFonts w:eastAsia="仿宋_GB2312"/>
                <w:szCs w:val="21"/>
              </w:rPr>
            </w:pPr>
            <w:r>
              <w:rPr>
                <w:rFonts w:eastAsia="仿宋_GB2312"/>
                <w:bCs/>
              </w:rPr>
              <w:t>LD</w:t>
            </w:r>
            <w:r>
              <w:rPr>
                <w:rFonts w:eastAsia="仿宋_GB2312"/>
                <w:bCs/>
                <w:vertAlign w:val="subscript"/>
              </w:rPr>
              <w:t>50</w:t>
            </w:r>
            <w:r>
              <w:rPr>
                <w:rFonts w:eastAsia="仿宋_GB2312"/>
                <w:bCs/>
              </w:rPr>
              <w:t>5450mg/kg(大鼠经口)；3700mg/kg(兔经口)；</w:t>
            </w:r>
          </w:p>
        </w:tc>
        <w:tc>
          <w:tcPr>
            <w:tcW w:w="462" w:type="pct"/>
            <w:vAlign w:val="center"/>
          </w:tcPr>
          <w:p w14:paraId="5B4844DA">
            <w:pPr>
              <w:adjustRightInd w:val="0"/>
              <w:snapToGrid w:val="0"/>
              <w:jc w:val="center"/>
              <w:rPr>
                <w:rFonts w:eastAsia="仿宋_GB2312"/>
                <w:szCs w:val="21"/>
              </w:rPr>
            </w:pPr>
            <w:r>
              <w:rPr>
                <w:rFonts w:eastAsia="仿宋_GB2312"/>
                <w:bCs/>
              </w:rPr>
              <w:t>/</w:t>
            </w:r>
          </w:p>
        </w:tc>
        <w:tc>
          <w:tcPr>
            <w:tcW w:w="910" w:type="pct"/>
            <w:vAlign w:val="center"/>
          </w:tcPr>
          <w:p w14:paraId="7E863549">
            <w:pPr>
              <w:adjustRightInd w:val="0"/>
              <w:snapToGrid w:val="0"/>
              <w:jc w:val="center"/>
              <w:rPr>
                <w:rFonts w:eastAsia="仿宋_GB2312"/>
                <w:szCs w:val="21"/>
              </w:rPr>
            </w:pPr>
            <w:r>
              <w:rPr>
                <w:rFonts w:eastAsia="仿宋_GB2312"/>
              </w:rPr>
              <w:t>饱和蒸气压(kPa)：13.33(9.4</w:t>
            </w:r>
            <w:r>
              <w:rPr>
                <w:rFonts w:hint="eastAsia" w:ascii="宋体" w:hAnsi="宋体" w:cs="宋体"/>
              </w:rPr>
              <w:t>℃</w:t>
            </w:r>
            <w:r>
              <w:rPr>
                <w:rFonts w:eastAsia="仿宋_GB2312"/>
              </w:rPr>
              <w:t>)</w:t>
            </w:r>
            <w:r>
              <w:rPr>
                <w:rFonts w:eastAsia="仿宋_GB2312"/>
                <w:bCs/>
              </w:rPr>
              <w:t>本品易燃，其蒸气与空气可形成爆炸性混合物，遇明火、高热能引起燃烧爆炸。与氧化剂接触猛烈反应。其蒸气比空气重，能在较低处扩散到相当远的地方，遇火源会着火回燃。</w:t>
            </w:r>
          </w:p>
        </w:tc>
      </w:tr>
      <w:tr w14:paraId="5CAF88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1" w:type="dxa"/>
            <w:bottom w:w="0" w:type="dxa"/>
            <w:right w:w="51" w:type="dxa"/>
          </w:tblCellMar>
        </w:tblPrEx>
        <w:trPr>
          <w:trHeight w:val="340" w:hRule="atLeast"/>
          <w:jc w:val="center"/>
        </w:trPr>
        <w:tc>
          <w:tcPr>
            <w:tcW w:w="578" w:type="pct"/>
            <w:vAlign w:val="center"/>
          </w:tcPr>
          <w:p w14:paraId="76494B67">
            <w:pPr>
              <w:adjustRightInd w:val="0"/>
              <w:snapToGrid w:val="0"/>
              <w:jc w:val="center"/>
              <w:rPr>
                <w:rFonts w:eastAsia="仿宋_GB2312"/>
                <w:szCs w:val="21"/>
              </w:rPr>
            </w:pPr>
            <w:r>
              <w:rPr>
                <w:rFonts w:eastAsia="仿宋_GB2312"/>
              </w:rPr>
              <w:t>甲苯</w:t>
            </w:r>
          </w:p>
        </w:tc>
        <w:tc>
          <w:tcPr>
            <w:tcW w:w="519" w:type="pct"/>
            <w:vAlign w:val="center"/>
          </w:tcPr>
          <w:p w14:paraId="74DEB6B6">
            <w:pPr>
              <w:adjustRightInd w:val="0"/>
              <w:snapToGrid w:val="0"/>
              <w:jc w:val="center"/>
              <w:rPr>
                <w:rFonts w:eastAsia="仿宋_GB2312"/>
                <w:szCs w:val="21"/>
              </w:rPr>
            </w:pPr>
            <w:r>
              <w:rPr>
                <w:rFonts w:eastAsia="仿宋_GB2312"/>
              </w:rPr>
              <w:t>C</w:t>
            </w:r>
            <w:r>
              <w:rPr>
                <w:rFonts w:eastAsia="仿宋_GB2312"/>
                <w:vertAlign w:val="subscript"/>
              </w:rPr>
              <w:t>7</w:t>
            </w:r>
            <w:r>
              <w:rPr>
                <w:rFonts w:eastAsia="仿宋_GB2312"/>
              </w:rPr>
              <w:t>H</w:t>
            </w:r>
            <w:r>
              <w:rPr>
                <w:rFonts w:eastAsia="仿宋_GB2312"/>
                <w:vertAlign w:val="subscript"/>
              </w:rPr>
              <w:t>8</w:t>
            </w:r>
          </w:p>
        </w:tc>
        <w:tc>
          <w:tcPr>
            <w:tcW w:w="422" w:type="pct"/>
            <w:vAlign w:val="center"/>
          </w:tcPr>
          <w:p w14:paraId="1F144D8B">
            <w:pPr>
              <w:adjustRightInd w:val="0"/>
              <w:snapToGrid w:val="0"/>
              <w:jc w:val="center"/>
              <w:rPr>
                <w:rFonts w:eastAsia="仿宋_GB2312"/>
                <w:szCs w:val="21"/>
              </w:rPr>
            </w:pPr>
            <w:r>
              <w:rPr>
                <w:rFonts w:eastAsia="仿宋_GB2312"/>
              </w:rPr>
              <w:t>32052</w:t>
            </w:r>
          </w:p>
        </w:tc>
        <w:tc>
          <w:tcPr>
            <w:tcW w:w="1185" w:type="pct"/>
            <w:vAlign w:val="center"/>
          </w:tcPr>
          <w:p w14:paraId="68EF96D9">
            <w:pPr>
              <w:adjustRightInd w:val="0"/>
              <w:snapToGrid w:val="0"/>
              <w:jc w:val="center"/>
              <w:rPr>
                <w:rFonts w:eastAsia="仿宋_GB2312"/>
                <w:szCs w:val="21"/>
              </w:rPr>
            </w:pPr>
            <w:r>
              <w:rPr>
                <w:rFonts w:eastAsia="仿宋_GB2312"/>
              </w:rPr>
              <w:t>分子量92.14，无色透明液体，有类似苯的芳香气味，熔点-94.4</w:t>
            </w:r>
            <w:r>
              <w:rPr>
                <w:rFonts w:hint="eastAsia" w:ascii="宋体" w:hAnsi="宋体" w:cs="宋体"/>
              </w:rPr>
              <w:t>℃</w:t>
            </w:r>
            <w:r>
              <w:rPr>
                <w:rFonts w:eastAsia="仿宋_GB2312"/>
              </w:rPr>
              <w:t>，沸点110.6</w:t>
            </w:r>
            <w:r>
              <w:rPr>
                <w:rFonts w:hint="eastAsia" w:ascii="宋体" w:hAnsi="宋体" w:cs="宋体"/>
              </w:rPr>
              <w:t>℃</w:t>
            </w:r>
            <w:r>
              <w:rPr>
                <w:rFonts w:eastAsia="仿宋_GB2312"/>
              </w:rPr>
              <w:t>，相对密度(水=1)0.87，相对密度(空气=1)3.14，不溶于水，可混溶于苯、醇、醚等多数有机溶剂。</w:t>
            </w:r>
          </w:p>
        </w:tc>
        <w:tc>
          <w:tcPr>
            <w:tcW w:w="921" w:type="pct"/>
            <w:vAlign w:val="center"/>
          </w:tcPr>
          <w:p w14:paraId="4A7AFC5E">
            <w:pPr>
              <w:adjustRightInd w:val="0"/>
              <w:snapToGrid w:val="0"/>
              <w:jc w:val="center"/>
              <w:rPr>
                <w:rFonts w:eastAsia="仿宋_GB2312"/>
                <w:szCs w:val="21"/>
              </w:rPr>
            </w:pPr>
            <w:r>
              <w:rPr>
                <w:rFonts w:eastAsia="仿宋_GB2312"/>
              </w:rPr>
              <w:t>低毒类</w:t>
            </w:r>
          </w:p>
          <w:p w14:paraId="6B306D73">
            <w:pPr>
              <w:adjustRightInd w:val="0"/>
              <w:snapToGrid w:val="0"/>
              <w:jc w:val="center"/>
              <w:rPr>
                <w:rFonts w:eastAsia="仿宋_GB2312"/>
                <w:szCs w:val="21"/>
              </w:rPr>
            </w:pPr>
            <w:r>
              <w:rPr>
                <w:rFonts w:eastAsia="仿宋_GB2312"/>
              </w:rPr>
              <w:t>LD</w:t>
            </w:r>
            <w:r>
              <w:rPr>
                <w:rFonts w:eastAsia="仿宋_GB2312"/>
                <w:vertAlign w:val="subscript"/>
              </w:rPr>
              <w:t>50</w:t>
            </w:r>
            <w:r>
              <w:rPr>
                <w:rFonts w:eastAsia="仿宋_GB2312"/>
              </w:rPr>
              <w:t>5000mg/kg(大鼠经口)；LC</w:t>
            </w:r>
            <w:r>
              <w:rPr>
                <w:rFonts w:eastAsia="仿宋_GB2312"/>
                <w:vertAlign w:val="subscript"/>
              </w:rPr>
              <w:t>50</w:t>
            </w:r>
            <w:r>
              <w:rPr>
                <w:rFonts w:eastAsia="仿宋_GB2312"/>
              </w:rPr>
              <w:t>12124mg/kg(兔经皮)；人吸入71.4g/m</w:t>
            </w:r>
            <w:r>
              <w:rPr>
                <w:rFonts w:eastAsia="仿宋_GB2312"/>
                <w:vertAlign w:val="superscript"/>
              </w:rPr>
              <w:t>3</w:t>
            </w:r>
            <w:r>
              <w:rPr>
                <w:rFonts w:eastAsia="仿宋_GB2312"/>
              </w:rPr>
              <w:t>，短时致死</w:t>
            </w:r>
          </w:p>
        </w:tc>
        <w:tc>
          <w:tcPr>
            <w:tcW w:w="462" w:type="pct"/>
            <w:vAlign w:val="center"/>
          </w:tcPr>
          <w:p w14:paraId="3BE3C3AC">
            <w:pPr>
              <w:adjustRightInd w:val="0"/>
              <w:snapToGrid w:val="0"/>
              <w:jc w:val="center"/>
              <w:rPr>
                <w:rFonts w:eastAsia="仿宋_GB2312"/>
                <w:szCs w:val="21"/>
              </w:rPr>
            </w:pPr>
            <w:r>
              <w:rPr>
                <w:rFonts w:eastAsia="仿宋_GB2312"/>
              </w:rPr>
              <w:t>/</w:t>
            </w:r>
          </w:p>
        </w:tc>
        <w:tc>
          <w:tcPr>
            <w:tcW w:w="910" w:type="pct"/>
            <w:vAlign w:val="center"/>
          </w:tcPr>
          <w:p w14:paraId="2BD670BB">
            <w:pPr>
              <w:adjustRightInd w:val="0"/>
              <w:snapToGrid w:val="0"/>
              <w:jc w:val="center"/>
              <w:rPr>
                <w:rFonts w:eastAsia="仿宋_GB2312"/>
                <w:szCs w:val="21"/>
              </w:rPr>
            </w:pPr>
            <w:r>
              <w:rPr>
                <w:rFonts w:eastAsia="仿宋_GB2312"/>
              </w:rPr>
              <w:t>易燃，蒸汽压4.89kPa/30</w:t>
            </w:r>
            <w:r>
              <w:rPr>
                <w:rFonts w:hint="eastAsia" w:ascii="宋体" w:hAnsi="宋体" w:cs="宋体"/>
              </w:rPr>
              <w:t>℃</w:t>
            </w:r>
            <w:r>
              <w:rPr>
                <w:rFonts w:eastAsia="仿宋_GB2312"/>
              </w:rPr>
              <w:t>，闪点4</w:t>
            </w:r>
            <w:r>
              <w:rPr>
                <w:rFonts w:hint="eastAsia" w:ascii="宋体" w:hAnsi="宋体" w:cs="宋体"/>
              </w:rPr>
              <w:t>℃</w:t>
            </w:r>
            <w:r>
              <w:rPr>
                <w:rFonts w:eastAsia="仿宋_GB2312"/>
              </w:rPr>
              <w:t>，其蒸气与空气可形成爆炸性混合物。遇明火、高热极易燃烧爆炸。与氧化剂能发生强烈反应。</w:t>
            </w:r>
          </w:p>
        </w:tc>
      </w:tr>
      <w:tr w14:paraId="1F7F6C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1" w:type="dxa"/>
            <w:bottom w:w="0" w:type="dxa"/>
            <w:right w:w="51" w:type="dxa"/>
          </w:tblCellMar>
        </w:tblPrEx>
        <w:trPr>
          <w:trHeight w:val="340" w:hRule="atLeast"/>
          <w:jc w:val="center"/>
        </w:trPr>
        <w:tc>
          <w:tcPr>
            <w:tcW w:w="578" w:type="pct"/>
            <w:vAlign w:val="center"/>
          </w:tcPr>
          <w:p w14:paraId="55091DAA">
            <w:pPr>
              <w:adjustRightInd w:val="0"/>
              <w:snapToGrid w:val="0"/>
              <w:jc w:val="center"/>
              <w:rPr>
                <w:rFonts w:eastAsia="仿宋_GB2312"/>
                <w:szCs w:val="21"/>
              </w:rPr>
            </w:pPr>
            <w:r>
              <w:rPr>
                <w:rFonts w:eastAsia="仿宋_GB2312"/>
              </w:rPr>
              <w:t>甲醇</w:t>
            </w:r>
          </w:p>
        </w:tc>
        <w:tc>
          <w:tcPr>
            <w:tcW w:w="519" w:type="pct"/>
            <w:vAlign w:val="center"/>
          </w:tcPr>
          <w:p w14:paraId="59C3D660">
            <w:pPr>
              <w:adjustRightInd w:val="0"/>
              <w:snapToGrid w:val="0"/>
              <w:jc w:val="center"/>
              <w:rPr>
                <w:rFonts w:eastAsia="仿宋_GB2312"/>
                <w:szCs w:val="21"/>
              </w:rPr>
            </w:pPr>
            <w:r>
              <w:rPr>
                <w:rFonts w:eastAsia="仿宋_GB2312"/>
              </w:rPr>
              <w:t>CH</w:t>
            </w:r>
            <w:r>
              <w:rPr>
                <w:rFonts w:eastAsia="仿宋_GB2312"/>
                <w:vertAlign w:val="subscript"/>
              </w:rPr>
              <w:t>4</w:t>
            </w:r>
            <w:r>
              <w:rPr>
                <w:rFonts w:eastAsia="仿宋_GB2312"/>
              </w:rPr>
              <w:t>O</w:t>
            </w:r>
          </w:p>
        </w:tc>
        <w:tc>
          <w:tcPr>
            <w:tcW w:w="422" w:type="pct"/>
            <w:vAlign w:val="center"/>
          </w:tcPr>
          <w:p w14:paraId="490415FD">
            <w:pPr>
              <w:adjustRightInd w:val="0"/>
              <w:snapToGrid w:val="0"/>
              <w:jc w:val="center"/>
              <w:rPr>
                <w:rFonts w:eastAsia="仿宋_GB2312"/>
                <w:szCs w:val="21"/>
              </w:rPr>
            </w:pPr>
            <w:r>
              <w:rPr>
                <w:rFonts w:eastAsia="仿宋_GB2312"/>
              </w:rPr>
              <w:t>32058</w:t>
            </w:r>
          </w:p>
        </w:tc>
        <w:tc>
          <w:tcPr>
            <w:tcW w:w="1185" w:type="pct"/>
            <w:vAlign w:val="center"/>
          </w:tcPr>
          <w:p w14:paraId="3CCC6114">
            <w:pPr>
              <w:adjustRightInd w:val="0"/>
              <w:snapToGrid w:val="0"/>
              <w:jc w:val="center"/>
              <w:rPr>
                <w:rFonts w:eastAsia="仿宋_GB2312"/>
                <w:szCs w:val="21"/>
              </w:rPr>
            </w:pPr>
            <w:r>
              <w:rPr>
                <w:rFonts w:eastAsia="仿宋_GB2312"/>
              </w:rPr>
              <w:t>分子量32.04，熔点-97.8</w:t>
            </w:r>
            <w:r>
              <w:rPr>
                <w:rFonts w:hint="eastAsia" w:ascii="宋体" w:hAnsi="宋体" w:cs="宋体"/>
              </w:rPr>
              <w:t>℃</w:t>
            </w:r>
            <w:r>
              <w:rPr>
                <w:rFonts w:eastAsia="仿宋_GB2312"/>
              </w:rPr>
              <w:t>，沸点64.8</w:t>
            </w:r>
            <w:r>
              <w:rPr>
                <w:rFonts w:hint="eastAsia" w:ascii="宋体" w:hAnsi="宋体" w:cs="宋体"/>
              </w:rPr>
              <w:t>℃</w:t>
            </w:r>
            <w:r>
              <w:rPr>
                <w:rFonts w:eastAsia="仿宋_GB2312"/>
              </w:rPr>
              <w:t>，闪点11</w:t>
            </w:r>
            <w:r>
              <w:rPr>
                <w:rFonts w:hint="eastAsia" w:ascii="宋体" w:hAnsi="宋体" w:cs="宋体"/>
              </w:rPr>
              <w:t>℃</w:t>
            </w:r>
            <w:r>
              <w:rPr>
                <w:rFonts w:eastAsia="仿宋_GB2312"/>
              </w:rPr>
              <w:t>。相对密度(水)0.79，相对密度(空气)1.11。无色澄清液体，刺激性气味；溶于水，混溶于醇、醚等有机溶剂。</w:t>
            </w:r>
          </w:p>
        </w:tc>
        <w:tc>
          <w:tcPr>
            <w:tcW w:w="921" w:type="pct"/>
            <w:vAlign w:val="center"/>
          </w:tcPr>
          <w:p w14:paraId="07B511C3">
            <w:pPr>
              <w:jc w:val="center"/>
              <w:rPr>
                <w:rFonts w:eastAsia="仿宋_GB2312"/>
                <w:szCs w:val="21"/>
              </w:rPr>
            </w:pPr>
            <w:r>
              <w:rPr>
                <w:rFonts w:eastAsia="仿宋_GB2312"/>
              </w:rPr>
              <w:t>LD</w:t>
            </w:r>
            <w:r>
              <w:rPr>
                <w:rFonts w:eastAsia="仿宋_GB2312"/>
                <w:vertAlign w:val="subscript"/>
              </w:rPr>
              <w:t>50</w:t>
            </w:r>
            <w:r>
              <w:rPr>
                <w:rFonts w:eastAsia="仿宋_GB2312"/>
              </w:rPr>
              <w:t>5628mg/kg(大鼠经口)，LD</w:t>
            </w:r>
            <w:r>
              <w:rPr>
                <w:rFonts w:eastAsia="仿宋_GB2312"/>
                <w:vertAlign w:val="subscript"/>
              </w:rPr>
              <w:t>50</w:t>
            </w:r>
            <w:r>
              <w:rPr>
                <w:rFonts w:eastAsia="仿宋_GB2312"/>
              </w:rPr>
              <w:t>15800mg/kg(兔经皮)；</w:t>
            </w:r>
          </w:p>
          <w:p w14:paraId="487722FB">
            <w:pPr>
              <w:adjustRightInd w:val="0"/>
              <w:snapToGrid w:val="0"/>
              <w:jc w:val="center"/>
              <w:rPr>
                <w:rFonts w:eastAsia="仿宋_GB2312"/>
                <w:szCs w:val="21"/>
              </w:rPr>
            </w:pPr>
            <w:r>
              <w:rPr>
                <w:rFonts w:eastAsia="仿宋_GB2312"/>
              </w:rPr>
              <w:t>LC</w:t>
            </w:r>
            <w:r>
              <w:rPr>
                <w:rFonts w:eastAsia="仿宋_GB2312"/>
                <w:vertAlign w:val="subscript"/>
              </w:rPr>
              <w:t>50</w:t>
            </w:r>
            <w:r>
              <w:rPr>
                <w:rFonts w:eastAsia="仿宋_GB2312"/>
              </w:rPr>
              <w:t>82776mg/m</w:t>
            </w:r>
            <w:r>
              <w:rPr>
                <w:rFonts w:eastAsia="仿宋_GB2312"/>
                <w:vertAlign w:val="superscript"/>
              </w:rPr>
              <w:t>3</w:t>
            </w:r>
            <w:r>
              <w:rPr>
                <w:rFonts w:eastAsia="仿宋_GB2312"/>
              </w:rPr>
              <w:t>，4小时(大鼠吸入)</w:t>
            </w:r>
          </w:p>
        </w:tc>
        <w:tc>
          <w:tcPr>
            <w:tcW w:w="462" w:type="pct"/>
            <w:vAlign w:val="center"/>
          </w:tcPr>
          <w:p w14:paraId="1D85D96B">
            <w:pPr>
              <w:adjustRightInd w:val="0"/>
              <w:snapToGrid w:val="0"/>
              <w:jc w:val="center"/>
              <w:rPr>
                <w:rFonts w:eastAsia="仿宋_GB2312"/>
                <w:szCs w:val="21"/>
              </w:rPr>
            </w:pPr>
            <w:r>
              <w:rPr>
                <w:rFonts w:eastAsia="仿宋_GB2312"/>
              </w:rPr>
              <w:t>/</w:t>
            </w:r>
          </w:p>
        </w:tc>
        <w:tc>
          <w:tcPr>
            <w:tcW w:w="910" w:type="pct"/>
            <w:vAlign w:val="center"/>
          </w:tcPr>
          <w:p w14:paraId="32F2965E">
            <w:pPr>
              <w:adjustRightInd w:val="0"/>
              <w:snapToGrid w:val="0"/>
              <w:jc w:val="center"/>
              <w:rPr>
                <w:rFonts w:eastAsia="仿宋_GB2312"/>
                <w:szCs w:val="21"/>
              </w:rPr>
            </w:pPr>
            <w:r>
              <w:rPr>
                <w:rFonts w:eastAsia="仿宋_GB2312"/>
              </w:rPr>
              <w:t>易燃，蒸汽压13.33kPa/21.2</w:t>
            </w:r>
            <w:r>
              <w:rPr>
                <w:rFonts w:hint="eastAsia" w:ascii="宋体" w:hAnsi="宋体" w:cs="宋体"/>
              </w:rPr>
              <w:t>℃</w:t>
            </w:r>
          </w:p>
        </w:tc>
      </w:tr>
      <w:tr w14:paraId="4BC8846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1" w:type="dxa"/>
            <w:bottom w:w="0" w:type="dxa"/>
            <w:right w:w="51" w:type="dxa"/>
          </w:tblCellMar>
        </w:tblPrEx>
        <w:trPr>
          <w:trHeight w:val="340" w:hRule="atLeast"/>
          <w:jc w:val="center"/>
        </w:trPr>
        <w:tc>
          <w:tcPr>
            <w:tcW w:w="578" w:type="pct"/>
            <w:vAlign w:val="center"/>
          </w:tcPr>
          <w:p w14:paraId="766C176D">
            <w:pPr>
              <w:adjustRightInd w:val="0"/>
              <w:snapToGrid w:val="0"/>
              <w:jc w:val="center"/>
              <w:rPr>
                <w:rFonts w:eastAsia="仿宋_GB2312"/>
                <w:bCs/>
                <w:szCs w:val="21"/>
              </w:rPr>
            </w:pPr>
            <w:r>
              <w:rPr>
                <w:rFonts w:eastAsia="仿宋_GB2312"/>
                <w:bCs/>
              </w:rPr>
              <w:t>N,N-二甲基甲酰胺</w:t>
            </w:r>
          </w:p>
          <w:p w14:paraId="2BCB97ED">
            <w:pPr>
              <w:adjustRightInd w:val="0"/>
              <w:snapToGrid w:val="0"/>
              <w:jc w:val="center"/>
              <w:rPr>
                <w:rFonts w:eastAsia="仿宋_GB2312"/>
                <w:szCs w:val="21"/>
              </w:rPr>
            </w:pPr>
            <w:r>
              <w:rPr>
                <w:rFonts w:eastAsia="仿宋_GB2312"/>
                <w:bCs/>
              </w:rPr>
              <w:t>（DMF）</w:t>
            </w:r>
          </w:p>
        </w:tc>
        <w:tc>
          <w:tcPr>
            <w:tcW w:w="519" w:type="pct"/>
            <w:vAlign w:val="center"/>
          </w:tcPr>
          <w:p w14:paraId="3C902528">
            <w:pPr>
              <w:adjustRightInd w:val="0"/>
              <w:snapToGrid w:val="0"/>
              <w:jc w:val="center"/>
              <w:rPr>
                <w:rFonts w:eastAsia="仿宋_GB2312"/>
                <w:szCs w:val="21"/>
              </w:rPr>
            </w:pPr>
            <w:r>
              <w:rPr>
                <w:rFonts w:eastAsia="仿宋_GB2312"/>
              </w:rPr>
              <w:t>C</w:t>
            </w:r>
            <w:r>
              <w:rPr>
                <w:rFonts w:eastAsia="仿宋_GB2312"/>
                <w:vertAlign w:val="subscript"/>
              </w:rPr>
              <w:t>3</w:t>
            </w:r>
            <w:r>
              <w:rPr>
                <w:rFonts w:eastAsia="仿宋_GB2312"/>
              </w:rPr>
              <w:t>H</w:t>
            </w:r>
            <w:r>
              <w:rPr>
                <w:rFonts w:eastAsia="仿宋_GB2312"/>
                <w:vertAlign w:val="subscript"/>
              </w:rPr>
              <w:t>7</w:t>
            </w:r>
            <w:r>
              <w:rPr>
                <w:rFonts w:eastAsia="仿宋_GB2312"/>
              </w:rPr>
              <w:t>NO</w:t>
            </w:r>
          </w:p>
        </w:tc>
        <w:tc>
          <w:tcPr>
            <w:tcW w:w="422" w:type="pct"/>
            <w:vAlign w:val="center"/>
          </w:tcPr>
          <w:p w14:paraId="00EE4301">
            <w:pPr>
              <w:adjustRightInd w:val="0"/>
              <w:snapToGrid w:val="0"/>
              <w:jc w:val="center"/>
              <w:rPr>
                <w:rFonts w:eastAsia="仿宋_GB2312"/>
                <w:szCs w:val="21"/>
              </w:rPr>
            </w:pPr>
            <w:r>
              <w:rPr>
                <w:rFonts w:eastAsia="仿宋_GB2312"/>
              </w:rPr>
              <w:t>33627</w:t>
            </w:r>
          </w:p>
        </w:tc>
        <w:tc>
          <w:tcPr>
            <w:tcW w:w="1185" w:type="pct"/>
            <w:vAlign w:val="center"/>
          </w:tcPr>
          <w:p w14:paraId="4F8D3E2D">
            <w:pPr>
              <w:adjustRightInd w:val="0"/>
              <w:snapToGrid w:val="0"/>
              <w:jc w:val="center"/>
              <w:rPr>
                <w:rFonts w:eastAsia="仿宋_GB2312"/>
                <w:szCs w:val="21"/>
              </w:rPr>
            </w:pPr>
            <w:r>
              <w:rPr>
                <w:rFonts w:eastAsia="仿宋_GB2312"/>
              </w:rPr>
              <w:t>分子量73.1，无色液体，有微弱的特殊臭味，熔点-61</w:t>
            </w:r>
            <w:r>
              <w:rPr>
                <w:rFonts w:hint="eastAsia" w:ascii="宋体" w:hAnsi="宋体" w:cs="宋体"/>
              </w:rPr>
              <w:t>℃</w:t>
            </w:r>
            <w:r>
              <w:rPr>
                <w:rFonts w:eastAsia="仿宋_GB2312"/>
              </w:rPr>
              <w:t>，沸点152.8</w:t>
            </w:r>
            <w:r>
              <w:rPr>
                <w:rFonts w:hint="eastAsia" w:ascii="宋体" w:hAnsi="宋体" w:cs="宋体"/>
              </w:rPr>
              <w:t>℃</w:t>
            </w:r>
            <w:r>
              <w:rPr>
                <w:rFonts w:eastAsia="仿宋_GB2312"/>
              </w:rPr>
              <w:t>，闪点58</w:t>
            </w:r>
            <w:r>
              <w:rPr>
                <w:rFonts w:hint="eastAsia" w:ascii="宋体" w:hAnsi="宋体" w:cs="宋体"/>
              </w:rPr>
              <w:t>℃</w:t>
            </w:r>
            <w:r>
              <w:rPr>
                <w:rFonts w:eastAsia="仿宋_GB2312"/>
              </w:rPr>
              <w:t>，相对密度（水=1）0.94，相对密度（空气=1）2.51，与水混溶，可混溶于多数有机溶剂。</w:t>
            </w:r>
          </w:p>
        </w:tc>
        <w:tc>
          <w:tcPr>
            <w:tcW w:w="921" w:type="pct"/>
            <w:vAlign w:val="center"/>
          </w:tcPr>
          <w:p w14:paraId="789722C1">
            <w:pPr>
              <w:adjustRightInd w:val="0"/>
              <w:snapToGrid w:val="0"/>
              <w:jc w:val="center"/>
              <w:rPr>
                <w:rFonts w:eastAsia="仿宋_GB2312"/>
                <w:szCs w:val="21"/>
              </w:rPr>
            </w:pPr>
            <w:r>
              <w:rPr>
                <w:rFonts w:eastAsia="仿宋_GB2312"/>
              </w:rPr>
              <w:t>LD</w:t>
            </w:r>
            <w:r>
              <w:rPr>
                <w:rFonts w:eastAsia="仿宋_GB2312"/>
                <w:vertAlign w:val="subscript"/>
              </w:rPr>
              <w:t>50</w:t>
            </w:r>
            <w:r>
              <w:rPr>
                <w:rFonts w:eastAsia="仿宋_GB2312"/>
              </w:rPr>
              <w:t>4000mg/kg(大鼠经口)；LD</w:t>
            </w:r>
            <w:r>
              <w:rPr>
                <w:rFonts w:eastAsia="仿宋_GB2312"/>
                <w:vertAlign w:val="subscript"/>
              </w:rPr>
              <w:t>50</w:t>
            </w:r>
            <w:r>
              <w:rPr>
                <w:rFonts w:eastAsia="仿宋_GB2312"/>
              </w:rPr>
              <w:t>4720mg/kg(兔经皮)</w:t>
            </w:r>
          </w:p>
          <w:p w14:paraId="591D4CAF">
            <w:pPr>
              <w:adjustRightInd w:val="0"/>
              <w:snapToGrid w:val="0"/>
              <w:jc w:val="center"/>
              <w:rPr>
                <w:rFonts w:eastAsia="仿宋_GB2312"/>
                <w:szCs w:val="21"/>
              </w:rPr>
            </w:pPr>
            <w:r>
              <w:rPr>
                <w:rFonts w:eastAsia="仿宋_GB2312"/>
              </w:rPr>
              <w:t>LC</w:t>
            </w:r>
            <w:r>
              <w:rPr>
                <w:rFonts w:eastAsia="仿宋_GB2312"/>
                <w:vertAlign w:val="subscript"/>
              </w:rPr>
              <w:t>50</w:t>
            </w:r>
            <w:r>
              <w:rPr>
                <w:rFonts w:eastAsia="仿宋_GB2312"/>
              </w:rPr>
              <w:t>9400mg/m</w:t>
            </w:r>
            <w:r>
              <w:rPr>
                <w:rFonts w:eastAsia="仿宋_GB2312"/>
                <w:vertAlign w:val="superscript"/>
              </w:rPr>
              <w:t>3</w:t>
            </w:r>
            <w:r>
              <w:rPr>
                <w:rFonts w:eastAsia="仿宋_GB2312"/>
              </w:rPr>
              <w:t>，2小时(小鼠吸入)</w:t>
            </w:r>
          </w:p>
        </w:tc>
        <w:tc>
          <w:tcPr>
            <w:tcW w:w="462" w:type="pct"/>
            <w:vAlign w:val="center"/>
          </w:tcPr>
          <w:p w14:paraId="5413B81B">
            <w:pPr>
              <w:adjustRightInd w:val="0"/>
              <w:snapToGrid w:val="0"/>
              <w:jc w:val="center"/>
              <w:rPr>
                <w:rFonts w:eastAsia="仿宋_GB2312"/>
                <w:szCs w:val="21"/>
              </w:rPr>
            </w:pPr>
            <w:r>
              <w:rPr>
                <w:rFonts w:eastAsia="仿宋_GB2312"/>
              </w:rPr>
              <w:t>/</w:t>
            </w:r>
          </w:p>
        </w:tc>
        <w:tc>
          <w:tcPr>
            <w:tcW w:w="910" w:type="pct"/>
            <w:vAlign w:val="center"/>
          </w:tcPr>
          <w:p w14:paraId="138AB82E">
            <w:pPr>
              <w:adjustRightInd w:val="0"/>
              <w:snapToGrid w:val="0"/>
              <w:jc w:val="center"/>
              <w:rPr>
                <w:rFonts w:eastAsia="仿宋_GB2312"/>
                <w:szCs w:val="21"/>
              </w:rPr>
            </w:pPr>
            <w:r>
              <w:rPr>
                <w:rFonts w:eastAsia="仿宋_GB2312"/>
              </w:rPr>
              <w:t>易燃，蒸汽压3.46kPa，遇高热、明火或与氧化剂接触，有引起燃烧爆炸的危险。能与浓硫酸、发烟硝酸猛烈反应，甚至发生爆炸。与卤化物(如四氯化碳)能发生剧烈反应。</w:t>
            </w:r>
          </w:p>
        </w:tc>
      </w:tr>
      <w:tr w14:paraId="386C30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1" w:type="dxa"/>
            <w:bottom w:w="0" w:type="dxa"/>
            <w:right w:w="51" w:type="dxa"/>
          </w:tblCellMar>
        </w:tblPrEx>
        <w:trPr>
          <w:trHeight w:val="340" w:hRule="atLeast"/>
          <w:jc w:val="center"/>
        </w:trPr>
        <w:tc>
          <w:tcPr>
            <w:tcW w:w="578" w:type="pct"/>
            <w:vAlign w:val="center"/>
          </w:tcPr>
          <w:p w14:paraId="668CD030">
            <w:pPr>
              <w:adjustRightInd w:val="0"/>
              <w:snapToGrid w:val="0"/>
              <w:jc w:val="center"/>
              <w:rPr>
                <w:rFonts w:eastAsia="仿宋_GB2312"/>
                <w:szCs w:val="21"/>
              </w:rPr>
            </w:pPr>
            <w:r>
              <w:rPr>
                <w:rFonts w:eastAsia="仿宋_GB2312"/>
                <w:bCs/>
              </w:rPr>
              <w:t>环己烷</w:t>
            </w:r>
          </w:p>
        </w:tc>
        <w:tc>
          <w:tcPr>
            <w:tcW w:w="519" w:type="pct"/>
            <w:vAlign w:val="center"/>
          </w:tcPr>
          <w:p w14:paraId="431BC10A">
            <w:pPr>
              <w:adjustRightInd w:val="0"/>
              <w:snapToGrid w:val="0"/>
              <w:jc w:val="center"/>
              <w:rPr>
                <w:rFonts w:eastAsia="仿宋_GB2312"/>
                <w:szCs w:val="21"/>
              </w:rPr>
            </w:pPr>
            <w:r>
              <w:rPr>
                <w:rFonts w:eastAsia="仿宋_GB2312"/>
                <w:bCs/>
              </w:rPr>
              <w:t>C</w:t>
            </w:r>
            <w:r>
              <w:rPr>
                <w:rFonts w:eastAsia="仿宋_GB2312"/>
                <w:bCs/>
                <w:vertAlign w:val="subscript"/>
              </w:rPr>
              <w:t>6</w:t>
            </w:r>
            <w:r>
              <w:rPr>
                <w:rFonts w:eastAsia="仿宋_GB2312"/>
                <w:bCs/>
              </w:rPr>
              <w:t>H</w:t>
            </w:r>
            <w:r>
              <w:rPr>
                <w:rFonts w:eastAsia="仿宋_GB2312"/>
                <w:bCs/>
                <w:vertAlign w:val="subscript"/>
              </w:rPr>
              <w:t>12</w:t>
            </w:r>
          </w:p>
        </w:tc>
        <w:tc>
          <w:tcPr>
            <w:tcW w:w="422" w:type="pct"/>
            <w:vAlign w:val="center"/>
          </w:tcPr>
          <w:p w14:paraId="1AC9834A">
            <w:pPr>
              <w:adjustRightInd w:val="0"/>
              <w:snapToGrid w:val="0"/>
              <w:jc w:val="center"/>
              <w:rPr>
                <w:rFonts w:eastAsia="仿宋_GB2312"/>
                <w:szCs w:val="21"/>
              </w:rPr>
            </w:pPr>
            <w:r>
              <w:rPr>
                <w:rFonts w:eastAsia="仿宋_GB2312"/>
                <w:bCs/>
              </w:rPr>
              <w:t>31004</w:t>
            </w:r>
          </w:p>
        </w:tc>
        <w:tc>
          <w:tcPr>
            <w:tcW w:w="1185" w:type="pct"/>
            <w:vAlign w:val="center"/>
          </w:tcPr>
          <w:p w14:paraId="3FBE5B84">
            <w:pPr>
              <w:adjustRightInd w:val="0"/>
              <w:snapToGrid w:val="0"/>
              <w:jc w:val="center"/>
              <w:rPr>
                <w:rFonts w:eastAsia="仿宋_GB2312"/>
                <w:szCs w:val="21"/>
              </w:rPr>
            </w:pPr>
            <w:r>
              <w:rPr>
                <w:rFonts w:eastAsia="仿宋_GB2312"/>
                <w:bCs/>
              </w:rPr>
              <w:t>分子量84.16，无色液体，有刺激性气味。不溶于水，溶于乙醇、乙醚、苯、丙酮等多数有机溶剂。熔点6.5</w:t>
            </w:r>
            <w:r>
              <w:rPr>
                <w:rFonts w:hint="eastAsia" w:ascii="宋体" w:hAnsi="宋体" w:cs="宋体"/>
              </w:rPr>
              <w:t>℃</w:t>
            </w:r>
            <w:r>
              <w:rPr>
                <w:rFonts w:eastAsia="仿宋_GB2312"/>
                <w:bCs/>
              </w:rPr>
              <w:t>，</w:t>
            </w:r>
            <w:r>
              <w:rPr>
                <w:rFonts w:eastAsia="仿宋_GB2312"/>
              </w:rPr>
              <w:t>沸点80.7</w:t>
            </w:r>
            <w:r>
              <w:rPr>
                <w:rFonts w:hint="eastAsia" w:ascii="宋体" w:hAnsi="宋体" w:cs="宋体"/>
              </w:rPr>
              <w:t>℃</w:t>
            </w:r>
            <w:r>
              <w:rPr>
                <w:rFonts w:eastAsia="仿宋_GB2312"/>
              </w:rPr>
              <w:t>，</w:t>
            </w:r>
            <w:r>
              <w:rPr>
                <w:rFonts w:eastAsia="仿宋_GB2312"/>
                <w:bCs/>
              </w:rPr>
              <w:t>相对密度（水=1）：0.78</w:t>
            </w:r>
          </w:p>
        </w:tc>
        <w:tc>
          <w:tcPr>
            <w:tcW w:w="921" w:type="pct"/>
            <w:vAlign w:val="center"/>
          </w:tcPr>
          <w:p w14:paraId="04C9A22F">
            <w:pPr>
              <w:adjustRightInd w:val="0"/>
              <w:snapToGrid w:val="0"/>
              <w:jc w:val="center"/>
              <w:rPr>
                <w:rFonts w:eastAsia="仿宋_GB2312"/>
                <w:szCs w:val="21"/>
              </w:rPr>
            </w:pPr>
            <w:r>
              <w:rPr>
                <w:rFonts w:eastAsia="仿宋_GB2312"/>
                <w:bCs/>
              </w:rPr>
              <w:t>LD</w:t>
            </w:r>
            <w:r>
              <w:rPr>
                <w:rFonts w:eastAsia="仿宋_GB2312"/>
                <w:bCs/>
                <w:vertAlign w:val="subscript"/>
              </w:rPr>
              <w:t>50</w:t>
            </w:r>
            <w:r>
              <w:rPr>
                <w:rFonts w:eastAsia="仿宋_GB2312"/>
                <w:bCs/>
              </w:rPr>
              <w:t>12705 mg/kg(大鼠经口)；</w:t>
            </w:r>
          </w:p>
        </w:tc>
        <w:tc>
          <w:tcPr>
            <w:tcW w:w="462" w:type="pct"/>
            <w:vAlign w:val="center"/>
          </w:tcPr>
          <w:p w14:paraId="465FA6A3">
            <w:pPr>
              <w:adjustRightInd w:val="0"/>
              <w:snapToGrid w:val="0"/>
              <w:jc w:val="center"/>
              <w:rPr>
                <w:rFonts w:eastAsia="仿宋_GB2312"/>
                <w:szCs w:val="21"/>
              </w:rPr>
            </w:pPr>
            <w:r>
              <w:rPr>
                <w:rFonts w:eastAsia="仿宋_GB2312"/>
                <w:bCs/>
              </w:rPr>
              <w:t>/</w:t>
            </w:r>
          </w:p>
        </w:tc>
        <w:tc>
          <w:tcPr>
            <w:tcW w:w="910" w:type="pct"/>
            <w:vAlign w:val="center"/>
          </w:tcPr>
          <w:p w14:paraId="5E889294">
            <w:pPr>
              <w:adjustRightInd w:val="0"/>
              <w:snapToGrid w:val="0"/>
              <w:jc w:val="center"/>
              <w:rPr>
                <w:rFonts w:eastAsia="仿宋_GB2312"/>
                <w:szCs w:val="21"/>
              </w:rPr>
            </w:pPr>
            <w:r>
              <w:rPr>
                <w:rFonts w:eastAsia="仿宋_GB2312"/>
              </w:rPr>
              <w:t>饱和蒸气压(kPa)：13.33(60.8</w:t>
            </w:r>
            <w:r>
              <w:rPr>
                <w:rFonts w:hint="eastAsia" w:ascii="宋体" w:hAnsi="宋体" w:cs="宋体"/>
              </w:rPr>
              <w:t>℃</w:t>
            </w:r>
            <w:r>
              <w:rPr>
                <w:rFonts w:eastAsia="仿宋_GB2312"/>
              </w:rPr>
              <w:t>)</w:t>
            </w:r>
            <w:r>
              <w:rPr>
                <w:rFonts w:eastAsia="仿宋_GB2312"/>
                <w:bCs/>
              </w:rPr>
              <w:t>本品极易燃，其蒸气与空气可形成爆炸性混合物，遇明火、高热极易燃烧爆炸。与氧化剂接触发生强烈反应, 甚至引起燃烧。</w:t>
            </w:r>
          </w:p>
        </w:tc>
      </w:tr>
      <w:tr w14:paraId="489800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1" w:type="dxa"/>
            <w:bottom w:w="0" w:type="dxa"/>
            <w:right w:w="51" w:type="dxa"/>
          </w:tblCellMar>
        </w:tblPrEx>
        <w:trPr>
          <w:trHeight w:val="340" w:hRule="atLeast"/>
          <w:jc w:val="center"/>
        </w:trPr>
        <w:tc>
          <w:tcPr>
            <w:tcW w:w="578" w:type="pct"/>
            <w:vAlign w:val="center"/>
          </w:tcPr>
          <w:p w14:paraId="297B447A">
            <w:pPr>
              <w:adjustRightInd w:val="0"/>
              <w:snapToGrid w:val="0"/>
              <w:jc w:val="center"/>
              <w:rPr>
                <w:rFonts w:eastAsia="仿宋_GB2312"/>
                <w:szCs w:val="21"/>
              </w:rPr>
            </w:pPr>
            <w:r>
              <w:rPr>
                <w:rFonts w:eastAsia="仿宋_GB2312"/>
                <w:bCs/>
              </w:rPr>
              <w:t>环己酮</w:t>
            </w:r>
          </w:p>
        </w:tc>
        <w:tc>
          <w:tcPr>
            <w:tcW w:w="519" w:type="pct"/>
            <w:vAlign w:val="center"/>
          </w:tcPr>
          <w:p w14:paraId="78FEBE2E">
            <w:pPr>
              <w:adjustRightInd w:val="0"/>
              <w:snapToGrid w:val="0"/>
              <w:jc w:val="center"/>
              <w:rPr>
                <w:rFonts w:eastAsia="仿宋_GB2312"/>
                <w:szCs w:val="21"/>
              </w:rPr>
            </w:pPr>
            <w:r>
              <w:rPr>
                <w:rFonts w:eastAsia="仿宋_GB2312"/>
                <w:bCs/>
              </w:rPr>
              <w:t>C</w:t>
            </w:r>
            <w:r>
              <w:rPr>
                <w:rFonts w:eastAsia="仿宋_GB2312"/>
                <w:bCs/>
                <w:vertAlign w:val="subscript"/>
              </w:rPr>
              <w:t>6</w:t>
            </w:r>
            <w:r>
              <w:rPr>
                <w:rFonts w:eastAsia="仿宋_GB2312"/>
                <w:bCs/>
              </w:rPr>
              <w:t>H</w:t>
            </w:r>
            <w:r>
              <w:rPr>
                <w:rFonts w:eastAsia="仿宋_GB2312"/>
                <w:bCs/>
                <w:vertAlign w:val="subscript"/>
              </w:rPr>
              <w:t>10</w:t>
            </w:r>
            <w:r>
              <w:rPr>
                <w:rFonts w:eastAsia="仿宋_GB2312"/>
                <w:bCs/>
              </w:rPr>
              <w:t>O</w:t>
            </w:r>
          </w:p>
        </w:tc>
        <w:tc>
          <w:tcPr>
            <w:tcW w:w="422" w:type="pct"/>
            <w:vAlign w:val="center"/>
          </w:tcPr>
          <w:p w14:paraId="5FD2DDF3">
            <w:pPr>
              <w:adjustRightInd w:val="0"/>
              <w:snapToGrid w:val="0"/>
              <w:jc w:val="center"/>
              <w:rPr>
                <w:rFonts w:eastAsia="仿宋_GB2312"/>
                <w:szCs w:val="21"/>
              </w:rPr>
            </w:pPr>
            <w:r>
              <w:rPr>
                <w:rFonts w:eastAsia="仿宋_GB2312"/>
                <w:bCs/>
              </w:rPr>
              <w:t>33590</w:t>
            </w:r>
          </w:p>
        </w:tc>
        <w:tc>
          <w:tcPr>
            <w:tcW w:w="1185" w:type="pct"/>
            <w:vAlign w:val="center"/>
          </w:tcPr>
          <w:p w14:paraId="37999B34">
            <w:pPr>
              <w:adjustRightInd w:val="0"/>
              <w:snapToGrid w:val="0"/>
              <w:jc w:val="center"/>
              <w:rPr>
                <w:rFonts w:eastAsia="仿宋_GB2312"/>
                <w:szCs w:val="21"/>
              </w:rPr>
            </w:pPr>
            <w:r>
              <w:rPr>
                <w:rFonts w:eastAsia="仿宋_GB2312"/>
                <w:bCs/>
              </w:rPr>
              <w:t>分子量98.15，无色液体，刺激性气味。微溶于水，可混溶于醇、醚、苯、丙酮等多数有机溶剂。熔点-31</w:t>
            </w:r>
            <w:r>
              <w:rPr>
                <w:rFonts w:hint="eastAsia" w:ascii="宋体" w:hAnsi="宋体" w:cs="宋体"/>
              </w:rPr>
              <w:t>℃</w:t>
            </w:r>
            <w:r>
              <w:rPr>
                <w:rFonts w:eastAsia="仿宋_GB2312"/>
                <w:bCs/>
              </w:rPr>
              <w:t>，沸点155</w:t>
            </w:r>
            <w:r>
              <w:rPr>
                <w:rFonts w:hint="eastAsia" w:ascii="宋体" w:hAnsi="宋体" w:cs="宋体"/>
              </w:rPr>
              <w:t>℃</w:t>
            </w:r>
            <w:r>
              <w:rPr>
                <w:rFonts w:eastAsia="仿宋_GB2312"/>
                <w:bCs/>
              </w:rPr>
              <w:t>，闪点43</w:t>
            </w:r>
            <w:r>
              <w:rPr>
                <w:rFonts w:hint="eastAsia" w:ascii="宋体" w:hAnsi="宋体" w:cs="宋体"/>
              </w:rPr>
              <w:t>℃</w:t>
            </w:r>
            <w:r>
              <w:rPr>
                <w:rFonts w:eastAsia="仿宋_GB2312"/>
                <w:bCs/>
              </w:rPr>
              <w:t>，相对密度（水=1）：0.95，相对蒸气密度(空气=1)：3.38</w:t>
            </w:r>
          </w:p>
        </w:tc>
        <w:tc>
          <w:tcPr>
            <w:tcW w:w="921" w:type="pct"/>
            <w:vAlign w:val="center"/>
          </w:tcPr>
          <w:p w14:paraId="1AE3F142">
            <w:pPr>
              <w:jc w:val="center"/>
              <w:rPr>
                <w:rFonts w:eastAsia="仿宋_GB2312"/>
                <w:bCs/>
                <w:szCs w:val="21"/>
              </w:rPr>
            </w:pPr>
            <w:r>
              <w:rPr>
                <w:rFonts w:eastAsia="仿宋_GB2312"/>
                <w:bCs/>
              </w:rPr>
              <w:t>LD</w:t>
            </w:r>
            <w:r>
              <w:rPr>
                <w:rFonts w:eastAsia="仿宋_GB2312"/>
                <w:bCs/>
                <w:vertAlign w:val="subscript"/>
              </w:rPr>
              <w:t>50</w:t>
            </w:r>
            <w:r>
              <w:rPr>
                <w:rFonts w:eastAsia="仿宋_GB2312"/>
                <w:bCs/>
              </w:rPr>
              <w:t>1540 mg/kg (大鼠经口)；</w:t>
            </w:r>
          </w:p>
          <w:p w14:paraId="35AB42E0">
            <w:pPr>
              <w:jc w:val="center"/>
              <w:rPr>
                <w:rFonts w:eastAsia="仿宋_GB2312"/>
                <w:bCs/>
              </w:rPr>
            </w:pPr>
            <w:r>
              <w:rPr>
                <w:rFonts w:eastAsia="仿宋_GB2312"/>
                <w:bCs/>
              </w:rPr>
              <w:t>LD</w:t>
            </w:r>
            <w:r>
              <w:rPr>
                <w:rFonts w:eastAsia="仿宋_GB2312"/>
                <w:bCs/>
                <w:vertAlign w:val="subscript"/>
              </w:rPr>
              <w:t>50</w:t>
            </w:r>
            <w:r>
              <w:rPr>
                <w:rFonts w:eastAsia="仿宋_GB2312"/>
                <w:bCs/>
              </w:rPr>
              <w:t>948 mg/kg (兔经皮)；</w:t>
            </w:r>
          </w:p>
          <w:p w14:paraId="0631534F">
            <w:pPr>
              <w:adjustRightInd w:val="0"/>
              <w:snapToGrid w:val="0"/>
              <w:jc w:val="center"/>
              <w:rPr>
                <w:rFonts w:eastAsia="仿宋_GB2312"/>
                <w:szCs w:val="21"/>
              </w:rPr>
            </w:pPr>
            <w:r>
              <w:rPr>
                <w:rFonts w:eastAsia="仿宋_GB2312"/>
                <w:bCs/>
              </w:rPr>
              <w:t>LC</w:t>
            </w:r>
            <w:r>
              <w:rPr>
                <w:rFonts w:eastAsia="仿宋_GB2312"/>
                <w:bCs/>
                <w:vertAlign w:val="subscript"/>
              </w:rPr>
              <w:t>50</w:t>
            </w:r>
            <w:r>
              <w:rPr>
                <w:rFonts w:eastAsia="仿宋_GB2312"/>
                <w:bCs/>
              </w:rPr>
              <w:t>4000ppm/4h (大鼠吸入)；</w:t>
            </w:r>
          </w:p>
        </w:tc>
        <w:tc>
          <w:tcPr>
            <w:tcW w:w="462" w:type="pct"/>
            <w:vAlign w:val="center"/>
          </w:tcPr>
          <w:p w14:paraId="2D55BF90">
            <w:pPr>
              <w:adjustRightInd w:val="0"/>
              <w:snapToGrid w:val="0"/>
              <w:jc w:val="center"/>
              <w:rPr>
                <w:rFonts w:eastAsia="仿宋_GB2312"/>
                <w:szCs w:val="21"/>
              </w:rPr>
            </w:pPr>
            <w:r>
              <w:rPr>
                <w:rFonts w:eastAsia="仿宋_GB2312"/>
                <w:bCs/>
              </w:rPr>
              <w:t>IARC致癌性评论：动物可疑阳性</w:t>
            </w:r>
          </w:p>
        </w:tc>
        <w:tc>
          <w:tcPr>
            <w:tcW w:w="910" w:type="pct"/>
            <w:vAlign w:val="center"/>
          </w:tcPr>
          <w:p w14:paraId="4DA2C430">
            <w:pPr>
              <w:rPr>
                <w:rFonts w:eastAsia="仿宋_GB2312"/>
                <w:bCs/>
                <w:szCs w:val="21"/>
              </w:rPr>
            </w:pPr>
            <w:r>
              <w:rPr>
                <w:rFonts w:eastAsia="仿宋_GB2312"/>
                <w:bCs/>
              </w:rPr>
              <w:t>饱和蒸汽压(kPa)1.33（38.7</w:t>
            </w:r>
            <w:r>
              <w:rPr>
                <w:rFonts w:hint="eastAsia" w:ascii="宋体" w:hAnsi="宋体" w:cs="宋体"/>
                <w:bCs/>
              </w:rPr>
              <w:t>℃</w:t>
            </w:r>
            <w:r>
              <w:rPr>
                <w:rFonts w:eastAsia="仿宋_GB2312"/>
                <w:bCs/>
              </w:rPr>
              <w:t>）</w:t>
            </w:r>
          </w:p>
          <w:p w14:paraId="784D4D36">
            <w:pPr>
              <w:adjustRightInd w:val="0"/>
              <w:snapToGrid w:val="0"/>
              <w:jc w:val="center"/>
              <w:rPr>
                <w:rFonts w:eastAsia="仿宋_GB2312"/>
                <w:szCs w:val="21"/>
              </w:rPr>
            </w:pPr>
            <w:r>
              <w:rPr>
                <w:rFonts w:eastAsia="仿宋_GB2312"/>
                <w:bCs/>
              </w:rPr>
              <w:t>易燃，遇高热，明火有引起燃烧的危险。与氧化剂接触猛烈反应。</w:t>
            </w:r>
          </w:p>
        </w:tc>
      </w:tr>
      <w:tr w14:paraId="5367F2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1" w:type="dxa"/>
            <w:bottom w:w="0" w:type="dxa"/>
            <w:right w:w="51" w:type="dxa"/>
          </w:tblCellMar>
        </w:tblPrEx>
        <w:trPr>
          <w:trHeight w:val="340" w:hRule="atLeast"/>
          <w:jc w:val="center"/>
        </w:trPr>
        <w:tc>
          <w:tcPr>
            <w:tcW w:w="578" w:type="pct"/>
            <w:vAlign w:val="center"/>
          </w:tcPr>
          <w:p w14:paraId="0A549649">
            <w:pPr>
              <w:adjustRightInd w:val="0"/>
              <w:snapToGrid w:val="0"/>
              <w:jc w:val="center"/>
              <w:rPr>
                <w:rFonts w:eastAsia="仿宋_GB2312"/>
                <w:szCs w:val="21"/>
              </w:rPr>
            </w:pPr>
            <w:r>
              <w:rPr>
                <w:rFonts w:eastAsia="仿宋_GB2312"/>
              </w:rPr>
              <w:t>二氯乙烷</w:t>
            </w:r>
          </w:p>
        </w:tc>
        <w:tc>
          <w:tcPr>
            <w:tcW w:w="519" w:type="pct"/>
            <w:vAlign w:val="center"/>
          </w:tcPr>
          <w:p w14:paraId="6A1635B3">
            <w:pPr>
              <w:adjustRightInd w:val="0"/>
              <w:snapToGrid w:val="0"/>
              <w:jc w:val="center"/>
              <w:rPr>
                <w:rFonts w:eastAsia="仿宋_GB2312"/>
                <w:szCs w:val="21"/>
              </w:rPr>
            </w:pPr>
            <w:r>
              <w:rPr>
                <w:rFonts w:eastAsia="仿宋_GB2312"/>
              </w:rPr>
              <w:t>C</w:t>
            </w:r>
            <w:r>
              <w:rPr>
                <w:rFonts w:eastAsia="仿宋_GB2312"/>
                <w:vertAlign w:val="subscript"/>
              </w:rPr>
              <w:t>2</w:t>
            </w:r>
            <w:r>
              <w:rPr>
                <w:rFonts w:eastAsia="仿宋_GB2312"/>
              </w:rPr>
              <w:t>H</w:t>
            </w:r>
            <w:r>
              <w:rPr>
                <w:rFonts w:eastAsia="仿宋_GB2312"/>
                <w:vertAlign w:val="subscript"/>
              </w:rPr>
              <w:t>4</w:t>
            </w:r>
            <w:r>
              <w:rPr>
                <w:rFonts w:eastAsia="仿宋_GB2312"/>
              </w:rPr>
              <w:t>Cl</w:t>
            </w:r>
            <w:r>
              <w:rPr>
                <w:rFonts w:eastAsia="仿宋_GB2312"/>
                <w:vertAlign w:val="subscript"/>
              </w:rPr>
              <w:t>2</w:t>
            </w:r>
          </w:p>
        </w:tc>
        <w:tc>
          <w:tcPr>
            <w:tcW w:w="422" w:type="pct"/>
            <w:vAlign w:val="center"/>
          </w:tcPr>
          <w:p w14:paraId="7117034B">
            <w:pPr>
              <w:adjustRightInd w:val="0"/>
              <w:snapToGrid w:val="0"/>
              <w:jc w:val="center"/>
              <w:rPr>
                <w:rFonts w:eastAsia="仿宋_GB2312"/>
                <w:szCs w:val="21"/>
              </w:rPr>
            </w:pPr>
            <w:r>
              <w:rPr>
                <w:rFonts w:eastAsia="仿宋_GB2312"/>
              </w:rPr>
              <w:t>32035</w:t>
            </w:r>
          </w:p>
        </w:tc>
        <w:tc>
          <w:tcPr>
            <w:tcW w:w="1185" w:type="pct"/>
            <w:vAlign w:val="center"/>
          </w:tcPr>
          <w:p w14:paraId="1AE64A56">
            <w:pPr>
              <w:adjustRightInd w:val="0"/>
              <w:snapToGrid w:val="0"/>
              <w:jc w:val="center"/>
              <w:rPr>
                <w:rFonts w:eastAsia="仿宋_GB2312"/>
                <w:szCs w:val="21"/>
              </w:rPr>
            </w:pPr>
            <w:r>
              <w:rPr>
                <w:rFonts w:eastAsia="仿宋_GB2312"/>
              </w:rPr>
              <w:t>分子量98.97，无色油状液体，有氯仿气味，熔点-35.3</w:t>
            </w:r>
            <w:r>
              <w:rPr>
                <w:rFonts w:hint="eastAsia" w:ascii="宋体" w:hAnsi="宋体" w:cs="宋体"/>
              </w:rPr>
              <w:t>℃</w:t>
            </w:r>
            <w:r>
              <w:rPr>
                <w:rFonts w:eastAsia="仿宋_GB2312"/>
              </w:rPr>
              <w:t>，闪点17</w:t>
            </w:r>
            <w:r>
              <w:rPr>
                <w:rFonts w:hint="eastAsia" w:ascii="宋体" w:hAnsi="宋体" w:cs="宋体"/>
              </w:rPr>
              <w:t>℃</w:t>
            </w:r>
            <w:r>
              <w:rPr>
                <w:rFonts w:eastAsia="仿宋_GB2312"/>
              </w:rPr>
              <w:t>（闭式），沸点83.5</w:t>
            </w:r>
            <w:r>
              <w:rPr>
                <w:rFonts w:hint="eastAsia" w:ascii="宋体" w:hAnsi="宋体" w:cs="宋体"/>
              </w:rPr>
              <w:t>℃</w:t>
            </w:r>
            <w:r>
              <w:rPr>
                <w:rFonts w:eastAsia="仿宋_GB2312"/>
              </w:rPr>
              <w:t>，溶于乙醇、丙酮和苯。受高热分解产生有毒腐蚀性烟气。</w:t>
            </w:r>
          </w:p>
        </w:tc>
        <w:tc>
          <w:tcPr>
            <w:tcW w:w="921" w:type="pct"/>
            <w:vAlign w:val="center"/>
          </w:tcPr>
          <w:p w14:paraId="0FBE82E9">
            <w:pPr>
              <w:adjustRightInd w:val="0"/>
              <w:snapToGrid w:val="0"/>
              <w:jc w:val="center"/>
              <w:rPr>
                <w:rFonts w:eastAsia="仿宋_GB2312"/>
                <w:szCs w:val="21"/>
              </w:rPr>
            </w:pPr>
            <w:r>
              <w:rPr>
                <w:rFonts w:eastAsia="仿宋_GB2312"/>
              </w:rPr>
              <w:t>LD</w:t>
            </w:r>
            <w:r>
              <w:rPr>
                <w:rFonts w:eastAsia="仿宋_GB2312"/>
                <w:vertAlign w:val="subscript"/>
              </w:rPr>
              <w:t>50</w:t>
            </w:r>
            <w:r>
              <w:rPr>
                <w:rFonts w:eastAsia="仿宋_GB2312"/>
              </w:rPr>
              <w:t>770mg/kg（大鼠经口）</w:t>
            </w:r>
          </w:p>
        </w:tc>
        <w:tc>
          <w:tcPr>
            <w:tcW w:w="462" w:type="pct"/>
            <w:vAlign w:val="center"/>
          </w:tcPr>
          <w:p w14:paraId="1AB0EAEE">
            <w:pPr>
              <w:adjustRightInd w:val="0"/>
              <w:snapToGrid w:val="0"/>
              <w:jc w:val="center"/>
              <w:rPr>
                <w:rFonts w:eastAsia="仿宋_GB2312"/>
                <w:szCs w:val="21"/>
              </w:rPr>
            </w:pPr>
            <w:r>
              <w:rPr>
                <w:rFonts w:eastAsia="仿宋_GB2312"/>
              </w:rPr>
              <w:t>IARC致癌性评论：动物阳性，人类可疑。</w:t>
            </w:r>
          </w:p>
        </w:tc>
        <w:tc>
          <w:tcPr>
            <w:tcW w:w="910" w:type="pct"/>
            <w:vAlign w:val="center"/>
          </w:tcPr>
          <w:p w14:paraId="10316E7A">
            <w:pPr>
              <w:adjustRightInd w:val="0"/>
              <w:snapToGrid w:val="0"/>
              <w:jc w:val="center"/>
              <w:rPr>
                <w:rFonts w:eastAsia="仿宋_GB2312"/>
                <w:szCs w:val="21"/>
              </w:rPr>
            </w:pPr>
            <w:r>
              <w:rPr>
                <w:rFonts w:eastAsia="仿宋_GB2312"/>
              </w:rPr>
              <w:t>易燃，蒸汽压15.33kPa/10</w:t>
            </w:r>
            <w:r>
              <w:rPr>
                <w:rFonts w:hint="eastAsia" w:ascii="宋体" w:hAnsi="宋体" w:cs="宋体"/>
              </w:rPr>
              <w:t>℃</w:t>
            </w:r>
            <w:r>
              <w:rPr>
                <w:rFonts w:eastAsia="仿宋_GB2312"/>
              </w:rPr>
              <w:t>，其蒸气与空气可形成爆炸性混合物。遇明火、高热能引起燃烧爆炸。其蒸气比空气重，能在较低处扩散到相当远的地方，遇明火会引着回燃。</w:t>
            </w:r>
          </w:p>
        </w:tc>
      </w:tr>
      <w:tr w14:paraId="1A5DE7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1" w:type="dxa"/>
            <w:bottom w:w="0" w:type="dxa"/>
            <w:right w:w="51" w:type="dxa"/>
          </w:tblCellMar>
        </w:tblPrEx>
        <w:trPr>
          <w:trHeight w:val="340" w:hRule="atLeast"/>
          <w:jc w:val="center"/>
        </w:trPr>
        <w:tc>
          <w:tcPr>
            <w:tcW w:w="578" w:type="pct"/>
            <w:vAlign w:val="center"/>
          </w:tcPr>
          <w:p w14:paraId="55D94F19">
            <w:pPr>
              <w:adjustRightInd w:val="0"/>
              <w:snapToGrid w:val="0"/>
              <w:jc w:val="center"/>
              <w:rPr>
                <w:rFonts w:eastAsia="仿宋_GB2312"/>
                <w:szCs w:val="21"/>
              </w:rPr>
            </w:pPr>
            <w:r>
              <w:rPr>
                <w:rFonts w:eastAsia="仿宋_GB2312"/>
                <w:bCs/>
              </w:rPr>
              <w:t>二甲基亚砜(DMSO)</w:t>
            </w:r>
          </w:p>
        </w:tc>
        <w:tc>
          <w:tcPr>
            <w:tcW w:w="519" w:type="pct"/>
            <w:vAlign w:val="center"/>
          </w:tcPr>
          <w:p w14:paraId="0CBC62A1">
            <w:pPr>
              <w:widowControl/>
              <w:spacing w:line="360" w:lineRule="atLeast"/>
              <w:jc w:val="center"/>
              <w:rPr>
                <w:rFonts w:eastAsia="等线"/>
              </w:rPr>
            </w:pPr>
            <w:r>
              <w:rPr>
                <w:rFonts w:eastAsia="等线"/>
              </w:rPr>
              <w:t>C</w:t>
            </w:r>
            <w:r>
              <w:rPr>
                <w:rFonts w:eastAsia="等线"/>
                <w:vertAlign w:val="subscript"/>
              </w:rPr>
              <w:t>2</w:t>
            </w:r>
            <w:r>
              <w:rPr>
                <w:rFonts w:eastAsia="等线"/>
              </w:rPr>
              <w:t>H</w:t>
            </w:r>
            <w:r>
              <w:rPr>
                <w:rFonts w:eastAsia="等线"/>
                <w:vertAlign w:val="subscript"/>
              </w:rPr>
              <w:t>6</w:t>
            </w:r>
            <w:r>
              <w:rPr>
                <w:rFonts w:eastAsia="等线"/>
              </w:rPr>
              <w:t>OS</w:t>
            </w:r>
          </w:p>
        </w:tc>
        <w:tc>
          <w:tcPr>
            <w:tcW w:w="422" w:type="pct"/>
            <w:vAlign w:val="center"/>
          </w:tcPr>
          <w:p w14:paraId="32206739">
            <w:pPr>
              <w:adjustRightInd w:val="0"/>
              <w:snapToGrid w:val="0"/>
              <w:jc w:val="center"/>
              <w:rPr>
                <w:rFonts w:eastAsia="仿宋_GB2312"/>
                <w:szCs w:val="21"/>
              </w:rPr>
            </w:pPr>
            <w:r>
              <w:rPr>
                <w:rFonts w:eastAsia="仿宋_GB2312"/>
                <w:bCs/>
              </w:rPr>
              <w:t>/</w:t>
            </w:r>
          </w:p>
        </w:tc>
        <w:tc>
          <w:tcPr>
            <w:tcW w:w="1185" w:type="pct"/>
            <w:vAlign w:val="center"/>
          </w:tcPr>
          <w:p w14:paraId="2024BA0B">
            <w:pPr>
              <w:adjustRightInd w:val="0"/>
              <w:snapToGrid w:val="0"/>
              <w:jc w:val="center"/>
              <w:rPr>
                <w:rFonts w:eastAsia="仿宋_GB2312"/>
                <w:szCs w:val="21"/>
              </w:rPr>
            </w:pPr>
            <w:r>
              <w:rPr>
                <w:rFonts w:eastAsia="仿宋_GB2312"/>
                <w:bCs/>
              </w:rPr>
              <w:t>分子量78.13，无色无臭液体。溶于水，溶于乙醇、丙酮、乙醚、氯仿等。熔点18.45</w:t>
            </w:r>
            <w:r>
              <w:rPr>
                <w:rFonts w:hint="eastAsia" w:ascii="宋体" w:hAnsi="宋体" w:cs="宋体"/>
              </w:rPr>
              <w:t>℃</w:t>
            </w:r>
            <w:r>
              <w:rPr>
                <w:rFonts w:eastAsia="仿宋_GB2312"/>
                <w:bCs/>
              </w:rPr>
              <w:t>，</w:t>
            </w:r>
            <w:r>
              <w:rPr>
                <w:rFonts w:eastAsia="仿宋_GB2312"/>
              </w:rPr>
              <w:t>沸点189</w:t>
            </w:r>
            <w:r>
              <w:rPr>
                <w:rFonts w:hint="eastAsia" w:ascii="宋体" w:hAnsi="宋体" w:cs="宋体"/>
              </w:rPr>
              <w:t>℃</w:t>
            </w:r>
            <w:r>
              <w:t>，</w:t>
            </w:r>
            <w:r>
              <w:rPr>
                <w:rFonts w:eastAsia="仿宋_GB2312"/>
                <w:bCs/>
              </w:rPr>
              <w:t>相对密度（水=1）：1.10</w:t>
            </w:r>
          </w:p>
        </w:tc>
        <w:tc>
          <w:tcPr>
            <w:tcW w:w="921" w:type="pct"/>
            <w:vAlign w:val="center"/>
          </w:tcPr>
          <w:p w14:paraId="3C0204A6">
            <w:pPr>
              <w:jc w:val="center"/>
              <w:rPr>
                <w:rFonts w:eastAsia="仿宋_GB2312"/>
                <w:bCs/>
                <w:szCs w:val="21"/>
              </w:rPr>
            </w:pPr>
            <w:r>
              <w:rPr>
                <w:rFonts w:eastAsia="仿宋_GB2312"/>
                <w:bCs/>
              </w:rPr>
              <w:t>LD</w:t>
            </w:r>
            <w:r>
              <w:rPr>
                <w:rFonts w:eastAsia="仿宋_GB2312"/>
                <w:bCs/>
                <w:vertAlign w:val="subscript"/>
              </w:rPr>
              <w:t>50</w:t>
            </w:r>
            <w:r>
              <w:rPr>
                <w:rFonts w:eastAsia="仿宋_GB2312"/>
                <w:bCs/>
              </w:rPr>
              <w:t>9700~28300 mg/kg(大鼠经口)；</w:t>
            </w:r>
          </w:p>
          <w:p w14:paraId="3479272D">
            <w:pPr>
              <w:adjustRightInd w:val="0"/>
              <w:snapToGrid w:val="0"/>
              <w:jc w:val="center"/>
              <w:rPr>
                <w:rFonts w:eastAsia="仿宋_GB2312"/>
                <w:szCs w:val="21"/>
              </w:rPr>
            </w:pPr>
            <w:r>
              <w:rPr>
                <w:rFonts w:eastAsia="仿宋_GB2312"/>
                <w:bCs/>
              </w:rPr>
              <w:t>16500~24000 mg/kg(小鼠经口)</w:t>
            </w:r>
          </w:p>
        </w:tc>
        <w:tc>
          <w:tcPr>
            <w:tcW w:w="462" w:type="pct"/>
            <w:vAlign w:val="center"/>
          </w:tcPr>
          <w:p w14:paraId="26E0BF24">
            <w:pPr>
              <w:adjustRightInd w:val="0"/>
              <w:snapToGrid w:val="0"/>
              <w:jc w:val="center"/>
              <w:rPr>
                <w:rFonts w:eastAsia="仿宋_GB2312"/>
                <w:szCs w:val="21"/>
              </w:rPr>
            </w:pPr>
            <w:r>
              <w:rPr>
                <w:rFonts w:eastAsia="仿宋_GB2312"/>
                <w:bCs/>
              </w:rPr>
              <w:t>/</w:t>
            </w:r>
          </w:p>
        </w:tc>
        <w:tc>
          <w:tcPr>
            <w:tcW w:w="910" w:type="pct"/>
            <w:vAlign w:val="center"/>
          </w:tcPr>
          <w:p w14:paraId="1711A119">
            <w:pPr>
              <w:adjustRightInd w:val="0"/>
              <w:snapToGrid w:val="0"/>
              <w:jc w:val="center"/>
              <w:rPr>
                <w:rFonts w:eastAsia="仿宋_GB2312"/>
                <w:szCs w:val="21"/>
              </w:rPr>
            </w:pPr>
            <w:r>
              <w:rPr>
                <w:rFonts w:eastAsia="仿宋_GB2312"/>
              </w:rPr>
              <w:t>饱和蒸气压(kPa)：0.05(20</w:t>
            </w:r>
            <w:r>
              <w:rPr>
                <w:rFonts w:hint="eastAsia" w:ascii="宋体" w:hAnsi="宋体" w:cs="宋体"/>
              </w:rPr>
              <w:t>℃</w:t>
            </w:r>
            <w:r>
              <w:rPr>
                <w:rFonts w:eastAsia="仿宋_GB2312"/>
              </w:rPr>
              <w:t>)</w:t>
            </w:r>
            <w:r>
              <w:rPr>
                <w:rFonts w:eastAsia="仿宋_GB2312"/>
                <w:bCs/>
              </w:rPr>
              <w:t>本品可燃，遇明火、高热或与氧化剂接触，有引起燃烧爆炸的危险。能与酰氯、三氯硅烷、三氯化磷等卤化物发生剧烈的化学反应。</w:t>
            </w:r>
          </w:p>
        </w:tc>
      </w:tr>
      <w:tr w14:paraId="0784C9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1" w:type="dxa"/>
            <w:bottom w:w="0" w:type="dxa"/>
            <w:right w:w="51" w:type="dxa"/>
          </w:tblCellMar>
        </w:tblPrEx>
        <w:trPr>
          <w:trHeight w:val="340" w:hRule="atLeast"/>
          <w:jc w:val="center"/>
        </w:trPr>
        <w:tc>
          <w:tcPr>
            <w:tcW w:w="578" w:type="pct"/>
            <w:vAlign w:val="center"/>
          </w:tcPr>
          <w:p w14:paraId="1F85A097">
            <w:pPr>
              <w:adjustRightInd w:val="0"/>
              <w:snapToGrid w:val="0"/>
              <w:jc w:val="center"/>
              <w:rPr>
                <w:rFonts w:eastAsia="仿宋_GB2312"/>
                <w:szCs w:val="21"/>
              </w:rPr>
            </w:pPr>
            <w:r>
              <w:rPr>
                <w:rFonts w:eastAsia="仿宋_GB2312"/>
                <w:bCs/>
              </w:rPr>
              <w:t>丁醇</w:t>
            </w:r>
          </w:p>
        </w:tc>
        <w:tc>
          <w:tcPr>
            <w:tcW w:w="519" w:type="pct"/>
            <w:vAlign w:val="center"/>
          </w:tcPr>
          <w:p w14:paraId="646E8AF5">
            <w:pPr>
              <w:adjustRightInd w:val="0"/>
              <w:snapToGrid w:val="0"/>
              <w:jc w:val="center"/>
              <w:rPr>
                <w:rFonts w:eastAsia="仿宋_GB2312"/>
                <w:szCs w:val="21"/>
              </w:rPr>
            </w:pPr>
            <w:r>
              <w:rPr>
                <w:rFonts w:eastAsia="仿宋_GB2312"/>
                <w:bCs/>
              </w:rPr>
              <w:t>C</w:t>
            </w:r>
            <w:r>
              <w:rPr>
                <w:rFonts w:eastAsia="仿宋_GB2312"/>
                <w:bCs/>
                <w:vertAlign w:val="subscript"/>
              </w:rPr>
              <w:t>4</w:t>
            </w:r>
            <w:r>
              <w:rPr>
                <w:rFonts w:eastAsia="仿宋_GB2312"/>
                <w:bCs/>
              </w:rPr>
              <w:t>H</w:t>
            </w:r>
            <w:r>
              <w:rPr>
                <w:rFonts w:eastAsia="仿宋_GB2312"/>
                <w:bCs/>
                <w:vertAlign w:val="subscript"/>
              </w:rPr>
              <w:t>10</w:t>
            </w:r>
            <w:r>
              <w:rPr>
                <w:rFonts w:eastAsia="仿宋_GB2312"/>
                <w:bCs/>
              </w:rPr>
              <w:t>O</w:t>
            </w:r>
          </w:p>
        </w:tc>
        <w:tc>
          <w:tcPr>
            <w:tcW w:w="422" w:type="pct"/>
            <w:vAlign w:val="center"/>
          </w:tcPr>
          <w:p w14:paraId="7FD5CB7E">
            <w:pPr>
              <w:adjustRightInd w:val="0"/>
              <w:snapToGrid w:val="0"/>
              <w:jc w:val="center"/>
              <w:rPr>
                <w:rFonts w:eastAsia="仿宋_GB2312"/>
                <w:szCs w:val="21"/>
              </w:rPr>
            </w:pPr>
            <w:r>
              <w:rPr>
                <w:rFonts w:eastAsia="仿宋_GB2312"/>
                <w:bCs/>
              </w:rPr>
              <w:t>33552</w:t>
            </w:r>
          </w:p>
        </w:tc>
        <w:tc>
          <w:tcPr>
            <w:tcW w:w="1185" w:type="pct"/>
            <w:vAlign w:val="center"/>
          </w:tcPr>
          <w:p w14:paraId="47EC8F98">
            <w:pPr>
              <w:adjustRightInd w:val="0"/>
              <w:snapToGrid w:val="0"/>
              <w:jc w:val="center"/>
              <w:rPr>
                <w:rFonts w:eastAsia="仿宋_GB2312"/>
                <w:szCs w:val="21"/>
              </w:rPr>
            </w:pPr>
            <w:r>
              <w:rPr>
                <w:rFonts w:eastAsia="仿宋_GB2312"/>
                <w:bCs/>
              </w:rPr>
              <w:t>分子量74.12，无色透明液体，具有特殊气味。微溶于水，溶于乙醇、醚、多数有机溶剂。熔点-88.9</w:t>
            </w:r>
            <w:r>
              <w:rPr>
                <w:rFonts w:hint="eastAsia" w:ascii="宋体" w:hAnsi="宋体" w:cs="宋体"/>
              </w:rPr>
              <w:t>℃</w:t>
            </w:r>
            <w:r>
              <w:rPr>
                <w:rFonts w:eastAsia="仿宋_GB2312"/>
                <w:bCs/>
              </w:rPr>
              <w:t>，</w:t>
            </w:r>
            <w:r>
              <w:rPr>
                <w:rFonts w:eastAsia="仿宋_GB2312"/>
              </w:rPr>
              <w:t>沸点117.5</w:t>
            </w:r>
            <w:r>
              <w:rPr>
                <w:rFonts w:hint="eastAsia" w:ascii="宋体" w:hAnsi="宋体" w:cs="宋体"/>
              </w:rPr>
              <w:t>℃</w:t>
            </w:r>
            <w:r>
              <w:rPr>
                <w:rFonts w:eastAsia="仿宋_GB2312"/>
              </w:rPr>
              <w:t>，</w:t>
            </w:r>
            <w:r>
              <w:rPr>
                <w:rFonts w:eastAsia="仿宋_GB2312"/>
                <w:bCs/>
              </w:rPr>
              <w:t>相对密度（水=1）：0.81</w:t>
            </w:r>
          </w:p>
        </w:tc>
        <w:tc>
          <w:tcPr>
            <w:tcW w:w="921" w:type="pct"/>
            <w:vAlign w:val="center"/>
          </w:tcPr>
          <w:p w14:paraId="594D8692">
            <w:pPr>
              <w:jc w:val="center"/>
              <w:rPr>
                <w:rFonts w:eastAsia="仿宋_GB2312"/>
                <w:bCs/>
                <w:szCs w:val="21"/>
              </w:rPr>
            </w:pPr>
            <w:r>
              <w:rPr>
                <w:rFonts w:eastAsia="仿宋_GB2312"/>
                <w:bCs/>
              </w:rPr>
              <w:t>LD</w:t>
            </w:r>
            <w:r>
              <w:rPr>
                <w:rFonts w:eastAsia="仿宋_GB2312"/>
                <w:bCs/>
                <w:vertAlign w:val="subscript"/>
              </w:rPr>
              <w:t>50</w:t>
            </w:r>
            <w:r>
              <w:rPr>
                <w:rFonts w:eastAsia="仿宋_GB2312"/>
                <w:bCs/>
              </w:rPr>
              <w:t>4360 mg/kg(大鼠经口)；3400mg/kg(兔经皮)；</w:t>
            </w:r>
          </w:p>
          <w:p w14:paraId="0E306C67">
            <w:pPr>
              <w:adjustRightInd w:val="0"/>
              <w:snapToGrid w:val="0"/>
              <w:jc w:val="center"/>
              <w:rPr>
                <w:rFonts w:eastAsia="仿宋_GB2312"/>
                <w:szCs w:val="21"/>
              </w:rPr>
            </w:pPr>
            <w:r>
              <w:rPr>
                <w:rFonts w:eastAsia="仿宋_GB2312"/>
                <w:bCs/>
              </w:rPr>
              <w:t>LC</w:t>
            </w:r>
            <w:r>
              <w:rPr>
                <w:rFonts w:eastAsia="仿宋_GB2312"/>
                <w:bCs/>
                <w:vertAlign w:val="subscript"/>
              </w:rPr>
              <w:t>50</w:t>
            </w:r>
            <w:r>
              <w:rPr>
                <w:rFonts w:eastAsia="仿宋_GB2312"/>
                <w:bCs/>
              </w:rPr>
              <w:t>24240mg/m</w:t>
            </w:r>
            <w:r>
              <w:rPr>
                <w:rFonts w:eastAsia="仿宋_GB2312"/>
                <w:bCs/>
                <w:vertAlign w:val="superscript"/>
              </w:rPr>
              <w:t>3</w:t>
            </w:r>
            <w:r>
              <w:rPr>
                <w:rFonts w:eastAsia="仿宋_GB2312"/>
                <w:bCs/>
              </w:rPr>
              <w:t>，4小时(大鼠吸入)</w:t>
            </w:r>
          </w:p>
        </w:tc>
        <w:tc>
          <w:tcPr>
            <w:tcW w:w="462" w:type="pct"/>
            <w:vAlign w:val="center"/>
          </w:tcPr>
          <w:p w14:paraId="72BB6B54">
            <w:pPr>
              <w:adjustRightInd w:val="0"/>
              <w:snapToGrid w:val="0"/>
              <w:jc w:val="center"/>
              <w:rPr>
                <w:rFonts w:eastAsia="仿宋_GB2312"/>
                <w:szCs w:val="21"/>
              </w:rPr>
            </w:pPr>
            <w:r>
              <w:rPr>
                <w:rFonts w:eastAsia="仿宋_GB2312"/>
                <w:bCs/>
              </w:rPr>
              <w:t>/</w:t>
            </w:r>
          </w:p>
        </w:tc>
        <w:tc>
          <w:tcPr>
            <w:tcW w:w="910" w:type="pct"/>
            <w:vAlign w:val="center"/>
          </w:tcPr>
          <w:p w14:paraId="1B117366">
            <w:pPr>
              <w:adjustRightInd w:val="0"/>
              <w:snapToGrid w:val="0"/>
              <w:jc w:val="center"/>
              <w:rPr>
                <w:rFonts w:eastAsia="仿宋_GB2312"/>
                <w:szCs w:val="21"/>
              </w:rPr>
            </w:pPr>
            <w:r>
              <w:rPr>
                <w:rFonts w:eastAsia="仿宋_GB2312"/>
              </w:rPr>
              <w:t>饱和蒸气压(kPa)：0.82(25</w:t>
            </w:r>
            <w:r>
              <w:rPr>
                <w:rFonts w:hint="eastAsia" w:ascii="宋体" w:hAnsi="宋体" w:cs="宋体"/>
              </w:rPr>
              <w:t>℃</w:t>
            </w:r>
            <w:r>
              <w:rPr>
                <w:rFonts w:eastAsia="仿宋_GB2312"/>
              </w:rPr>
              <w:t>)</w:t>
            </w:r>
            <w:r>
              <w:rPr>
                <w:rFonts w:eastAsia="仿宋_GB2312"/>
                <w:bCs/>
              </w:rPr>
              <w:t>本品易燃，其蒸气与空气可形成爆炸性混合物，遇明火、高热能引起燃烧爆炸。与氧化剂接触猛烈反应。</w:t>
            </w:r>
          </w:p>
        </w:tc>
      </w:tr>
      <w:tr w14:paraId="3CD44C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1" w:type="dxa"/>
            <w:bottom w:w="0" w:type="dxa"/>
            <w:right w:w="51" w:type="dxa"/>
          </w:tblCellMar>
        </w:tblPrEx>
        <w:trPr>
          <w:trHeight w:val="340" w:hRule="atLeast"/>
          <w:jc w:val="center"/>
        </w:trPr>
        <w:tc>
          <w:tcPr>
            <w:tcW w:w="578" w:type="pct"/>
            <w:vAlign w:val="center"/>
          </w:tcPr>
          <w:p w14:paraId="0C33FFBC">
            <w:pPr>
              <w:adjustRightInd w:val="0"/>
              <w:snapToGrid w:val="0"/>
              <w:jc w:val="center"/>
              <w:rPr>
                <w:rFonts w:eastAsia="仿宋_GB2312"/>
                <w:szCs w:val="21"/>
              </w:rPr>
            </w:pPr>
            <w:r>
              <w:rPr>
                <w:rFonts w:eastAsia="仿宋_GB2312"/>
                <w:bCs/>
              </w:rPr>
              <w:t>辛醇</w:t>
            </w:r>
          </w:p>
        </w:tc>
        <w:tc>
          <w:tcPr>
            <w:tcW w:w="519" w:type="pct"/>
            <w:vAlign w:val="center"/>
          </w:tcPr>
          <w:p w14:paraId="41E691E9">
            <w:pPr>
              <w:adjustRightInd w:val="0"/>
              <w:snapToGrid w:val="0"/>
              <w:jc w:val="center"/>
              <w:rPr>
                <w:rFonts w:eastAsia="仿宋_GB2312"/>
                <w:szCs w:val="21"/>
              </w:rPr>
            </w:pPr>
            <w:r>
              <w:rPr>
                <w:rFonts w:eastAsia="仿宋_GB2312"/>
                <w:bCs/>
              </w:rPr>
              <w:t>C</w:t>
            </w:r>
            <w:r>
              <w:rPr>
                <w:rFonts w:eastAsia="仿宋_GB2312"/>
                <w:bCs/>
                <w:vertAlign w:val="subscript"/>
              </w:rPr>
              <w:t>8</w:t>
            </w:r>
            <w:r>
              <w:rPr>
                <w:rFonts w:eastAsia="仿宋_GB2312"/>
                <w:bCs/>
              </w:rPr>
              <w:t>H</w:t>
            </w:r>
            <w:r>
              <w:rPr>
                <w:rFonts w:eastAsia="仿宋_GB2312"/>
                <w:bCs/>
                <w:vertAlign w:val="subscript"/>
              </w:rPr>
              <w:t>18</w:t>
            </w:r>
            <w:r>
              <w:rPr>
                <w:rFonts w:eastAsia="仿宋_GB2312"/>
                <w:bCs/>
              </w:rPr>
              <w:t>O</w:t>
            </w:r>
          </w:p>
        </w:tc>
        <w:tc>
          <w:tcPr>
            <w:tcW w:w="422" w:type="pct"/>
            <w:vAlign w:val="center"/>
          </w:tcPr>
          <w:p w14:paraId="45785D7A">
            <w:pPr>
              <w:adjustRightInd w:val="0"/>
              <w:snapToGrid w:val="0"/>
              <w:jc w:val="center"/>
              <w:rPr>
                <w:rFonts w:eastAsia="仿宋_GB2312"/>
                <w:szCs w:val="21"/>
              </w:rPr>
            </w:pPr>
            <w:r>
              <w:rPr>
                <w:rFonts w:eastAsia="仿宋_GB2312"/>
                <w:bCs/>
              </w:rPr>
              <w:t>/</w:t>
            </w:r>
          </w:p>
        </w:tc>
        <w:tc>
          <w:tcPr>
            <w:tcW w:w="1185" w:type="pct"/>
            <w:vAlign w:val="center"/>
          </w:tcPr>
          <w:p w14:paraId="35A6F640">
            <w:pPr>
              <w:adjustRightInd w:val="0"/>
              <w:snapToGrid w:val="0"/>
              <w:jc w:val="center"/>
              <w:rPr>
                <w:rFonts w:eastAsia="仿宋_GB2312"/>
                <w:szCs w:val="21"/>
              </w:rPr>
            </w:pPr>
            <w:r>
              <w:rPr>
                <w:rFonts w:eastAsia="仿宋_GB2312"/>
                <w:bCs/>
              </w:rPr>
              <w:t>分子量130.23，无色液体，有刺激性气味。不溶于水，溶于乙醇、乙醚、氯仿。熔点-16.7</w:t>
            </w:r>
            <w:r>
              <w:rPr>
                <w:rFonts w:hint="eastAsia" w:ascii="宋体" w:hAnsi="宋体" w:cs="宋体"/>
              </w:rPr>
              <w:t>℃</w:t>
            </w:r>
            <w:r>
              <w:rPr>
                <w:rFonts w:eastAsia="仿宋_GB2312"/>
                <w:bCs/>
              </w:rPr>
              <w:t>，</w:t>
            </w:r>
            <w:r>
              <w:rPr>
                <w:rFonts w:eastAsia="仿宋_GB2312"/>
              </w:rPr>
              <w:t>沸点196</w:t>
            </w:r>
            <w:r>
              <w:rPr>
                <w:rFonts w:hint="eastAsia" w:ascii="宋体" w:hAnsi="宋体" w:cs="宋体"/>
              </w:rPr>
              <w:t>℃</w:t>
            </w:r>
            <w:r>
              <w:rPr>
                <w:rFonts w:eastAsia="仿宋_GB2312"/>
              </w:rPr>
              <w:t>，</w:t>
            </w:r>
            <w:r>
              <w:rPr>
                <w:rFonts w:eastAsia="仿宋_GB2312"/>
                <w:bCs/>
              </w:rPr>
              <w:t>相对密度（水=1）：0.83</w:t>
            </w:r>
          </w:p>
        </w:tc>
        <w:tc>
          <w:tcPr>
            <w:tcW w:w="921" w:type="pct"/>
            <w:vAlign w:val="center"/>
          </w:tcPr>
          <w:p w14:paraId="6141C26D">
            <w:pPr>
              <w:adjustRightInd w:val="0"/>
              <w:snapToGrid w:val="0"/>
              <w:jc w:val="center"/>
              <w:rPr>
                <w:rFonts w:eastAsia="仿宋_GB2312"/>
                <w:szCs w:val="21"/>
              </w:rPr>
            </w:pPr>
            <w:r>
              <w:rPr>
                <w:rFonts w:eastAsia="仿宋_GB2312"/>
                <w:bCs/>
              </w:rPr>
              <w:t>LD</w:t>
            </w:r>
            <w:r>
              <w:rPr>
                <w:rFonts w:eastAsia="仿宋_GB2312"/>
                <w:bCs/>
                <w:vertAlign w:val="subscript"/>
              </w:rPr>
              <w:t>50</w:t>
            </w:r>
            <w:r>
              <w:rPr>
                <w:rFonts w:eastAsia="仿宋_GB2312"/>
                <w:bCs/>
              </w:rPr>
              <w:t>1790 mg/kg(小鼠经口)；＞3200 mg/kg(大鼠经口)</w:t>
            </w:r>
          </w:p>
        </w:tc>
        <w:tc>
          <w:tcPr>
            <w:tcW w:w="462" w:type="pct"/>
            <w:vAlign w:val="center"/>
          </w:tcPr>
          <w:p w14:paraId="32CCACE2">
            <w:pPr>
              <w:adjustRightInd w:val="0"/>
              <w:snapToGrid w:val="0"/>
              <w:jc w:val="center"/>
              <w:rPr>
                <w:rFonts w:eastAsia="仿宋_GB2312"/>
                <w:szCs w:val="21"/>
              </w:rPr>
            </w:pPr>
            <w:r>
              <w:rPr>
                <w:rFonts w:eastAsia="仿宋_GB2312"/>
                <w:bCs/>
              </w:rPr>
              <w:t>/</w:t>
            </w:r>
          </w:p>
        </w:tc>
        <w:tc>
          <w:tcPr>
            <w:tcW w:w="910" w:type="pct"/>
            <w:vAlign w:val="center"/>
          </w:tcPr>
          <w:p w14:paraId="71113968">
            <w:pPr>
              <w:adjustRightInd w:val="0"/>
              <w:snapToGrid w:val="0"/>
              <w:jc w:val="center"/>
              <w:rPr>
                <w:rFonts w:eastAsia="仿宋_GB2312"/>
                <w:szCs w:val="21"/>
              </w:rPr>
            </w:pPr>
            <w:r>
              <w:rPr>
                <w:rFonts w:eastAsia="仿宋_GB2312"/>
              </w:rPr>
              <w:t>饱和蒸气压(kPa)：0.13(54</w:t>
            </w:r>
            <w:r>
              <w:rPr>
                <w:rFonts w:hint="eastAsia" w:ascii="宋体" w:hAnsi="宋体" w:cs="宋体"/>
              </w:rPr>
              <w:t>℃</w:t>
            </w:r>
            <w:r>
              <w:rPr>
                <w:rFonts w:eastAsia="仿宋_GB2312"/>
              </w:rPr>
              <w:t>)</w:t>
            </w:r>
            <w:r>
              <w:rPr>
                <w:rFonts w:eastAsia="仿宋_GB2312"/>
                <w:bCs/>
              </w:rPr>
              <w:t>本品可燃，遇高热、明火或与氧化剂接触，有引起燃烧的危险。</w:t>
            </w:r>
          </w:p>
        </w:tc>
      </w:tr>
      <w:tr w14:paraId="7833C4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1" w:type="dxa"/>
            <w:bottom w:w="0" w:type="dxa"/>
            <w:right w:w="51" w:type="dxa"/>
          </w:tblCellMar>
        </w:tblPrEx>
        <w:trPr>
          <w:trHeight w:val="340" w:hRule="atLeast"/>
          <w:jc w:val="center"/>
        </w:trPr>
        <w:tc>
          <w:tcPr>
            <w:tcW w:w="578" w:type="pct"/>
            <w:vAlign w:val="center"/>
          </w:tcPr>
          <w:p w14:paraId="37927431">
            <w:pPr>
              <w:adjustRightInd w:val="0"/>
              <w:snapToGrid w:val="0"/>
              <w:jc w:val="center"/>
              <w:rPr>
                <w:rFonts w:eastAsia="仿宋_GB2312"/>
                <w:szCs w:val="21"/>
              </w:rPr>
            </w:pPr>
            <w:r>
              <w:rPr>
                <w:rFonts w:eastAsia="仿宋_GB2312"/>
              </w:rPr>
              <w:t>2,4-二甲基己烷</w:t>
            </w:r>
          </w:p>
        </w:tc>
        <w:tc>
          <w:tcPr>
            <w:tcW w:w="519" w:type="pct"/>
            <w:vAlign w:val="center"/>
          </w:tcPr>
          <w:p w14:paraId="088045FC">
            <w:pPr>
              <w:adjustRightInd w:val="0"/>
              <w:snapToGrid w:val="0"/>
              <w:jc w:val="center"/>
              <w:rPr>
                <w:rFonts w:eastAsia="仿宋_GB2312"/>
                <w:szCs w:val="21"/>
                <w:vertAlign w:val="subscript"/>
              </w:rPr>
            </w:pPr>
            <w:r>
              <w:rPr>
                <w:rFonts w:eastAsia="仿宋_GB2312"/>
              </w:rPr>
              <w:t>C</w:t>
            </w:r>
            <w:r>
              <w:rPr>
                <w:rFonts w:eastAsia="仿宋_GB2312"/>
                <w:vertAlign w:val="subscript"/>
              </w:rPr>
              <w:t>8</w:t>
            </w:r>
            <w:r>
              <w:rPr>
                <w:rFonts w:eastAsia="仿宋_GB2312"/>
              </w:rPr>
              <w:t>H</w:t>
            </w:r>
            <w:r>
              <w:rPr>
                <w:rFonts w:eastAsia="仿宋_GB2312"/>
                <w:vertAlign w:val="subscript"/>
              </w:rPr>
              <w:t>18</w:t>
            </w:r>
          </w:p>
        </w:tc>
        <w:tc>
          <w:tcPr>
            <w:tcW w:w="422" w:type="pct"/>
            <w:vAlign w:val="center"/>
          </w:tcPr>
          <w:p w14:paraId="3C098148">
            <w:pPr>
              <w:adjustRightInd w:val="0"/>
              <w:snapToGrid w:val="0"/>
              <w:jc w:val="center"/>
              <w:rPr>
                <w:rFonts w:eastAsia="仿宋_GB2312"/>
                <w:szCs w:val="21"/>
              </w:rPr>
            </w:pPr>
            <w:r>
              <w:rPr>
                <w:rFonts w:eastAsia="仿宋_GB2312"/>
              </w:rPr>
              <w:t>32009</w:t>
            </w:r>
          </w:p>
        </w:tc>
        <w:tc>
          <w:tcPr>
            <w:tcW w:w="1185" w:type="pct"/>
            <w:vAlign w:val="center"/>
          </w:tcPr>
          <w:p w14:paraId="53B16B7D">
            <w:pPr>
              <w:adjustRightInd w:val="0"/>
              <w:snapToGrid w:val="0"/>
              <w:rPr>
                <w:rFonts w:eastAsia="仿宋_GB2312"/>
                <w:szCs w:val="21"/>
              </w:rPr>
            </w:pPr>
            <w:r>
              <w:rPr>
                <w:rFonts w:eastAsia="仿宋_GB2312"/>
              </w:rPr>
              <w:t>分子量114.23，无色澄清液体。沸点109</w:t>
            </w:r>
            <w:r>
              <w:rPr>
                <w:rFonts w:hint="eastAsia" w:ascii="宋体" w:hAnsi="宋体" w:cs="宋体"/>
              </w:rPr>
              <w:t>℃</w:t>
            </w:r>
            <w:r>
              <w:rPr>
                <w:rFonts w:eastAsia="仿宋_GB2312"/>
              </w:rPr>
              <w:t>，相对密度（水=1）0.71。不溶于水，溶于醇、乙醚。</w:t>
            </w:r>
          </w:p>
        </w:tc>
        <w:tc>
          <w:tcPr>
            <w:tcW w:w="921" w:type="pct"/>
            <w:vAlign w:val="center"/>
          </w:tcPr>
          <w:p w14:paraId="58758D6D">
            <w:pPr>
              <w:adjustRightInd w:val="0"/>
              <w:snapToGrid w:val="0"/>
              <w:jc w:val="center"/>
              <w:rPr>
                <w:rFonts w:eastAsia="仿宋_GB2312"/>
                <w:szCs w:val="21"/>
              </w:rPr>
            </w:pPr>
            <w:r>
              <w:rPr>
                <w:rFonts w:eastAsia="仿宋_GB2312"/>
              </w:rPr>
              <w:t>/</w:t>
            </w:r>
          </w:p>
        </w:tc>
        <w:tc>
          <w:tcPr>
            <w:tcW w:w="462" w:type="pct"/>
            <w:vAlign w:val="center"/>
          </w:tcPr>
          <w:p w14:paraId="30BF6178">
            <w:pPr>
              <w:adjustRightInd w:val="0"/>
              <w:snapToGrid w:val="0"/>
              <w:jc w:val="center"/>
              <w:rPr>
                <w:rFonts w:eastAsia="仿宋_GB2312"/>
                <w:szCs w:val="21"/>
              </w:rPr>
            </w:pPr>
            <w:r>
              <w:rPr>
                <w:rFonts w:eastAsia="仿宋_GB2312"/>
              </w:rPr>
              <w:t>/</w:t>
            </w:r>
          </w:p>
        </w:tc>
        <w:tc>
          <w:tcPr>
            <w:tcW w:w="910" w:type="pct"/>
            <w:vAlign w:val="center"/>
          </w:tcPr>
          <w:p w14:paraId="390B0E63">
            <w:pPr>
              <w:adjustRightInd w:val="0"/>
              <w:snapToGrid w:val="0"/>
              <w:rPr>
                <w:rFonts w:eastAsia="仿宋_GB2312"/>
                <w:szCs w:val="21"/>
              </w:rPr>
            </w:pPr>
            <w:r>
              <w:rPr>
                <w:rFonts w:eastAsia="仿宋_GB2312"/>
              </w:rPr>
              <w:t>易燃，其蒸气与空气可形成爆炸性混合物，遇热源和明火有燃烧爆炸的危险。与氧化剂能发生强烈反应。</w:t>
            </w:r>
          </w:p>
        </w:tc>
      </w:tr>
      <w:tr w14:paraId="239B1E4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1" w:type="dxa"/>
            <w:bottom w:w="0" w:type="dxa"/>
            <w:right w:w="51" w:type="dxa"/>
          </w:tblCellMar>
        </w:tblPrEx>
        <w:trPr>
          <w:trHeight w:val="340" w:hRule="atLeast"/>
          <w:jc w:val="center"/>
        </w:trPr>
        <w:tc>
          <w:tcPr>
            <w:tcW w:w="578" w:type="pct"/>
            <w:vAlign w:val="center"/>
          </w:tcPr>
          <w:p w14:paraId="7518A2ED">
            <w:pPr>
              <w:adjustRightInd w:val="0"/>
              <w:snapToGrid w:val="0"/>
              <w:jc w:val="center"/>
              <w:rPr>
                <w:rFonts w:eastAsia="仿宋_GB2312"/>
                <w:szCs w:val="21"/>
              </w:rPr>
            </w:pPr>
            <w:r>
              <w:rPr>
                <w:rFonts w:eastAsia="仿宋_GB2312"/>
              </w:rPr>
              <w:t>苯乙烯</w:t>
            </w:r>
          </w:p>
        </w:tc>
        <w:tc>
          <w:tcPr>
            <w:tcW w:w="519" w:type="pct"/>
            <w:vAlign w:val="center"/>
          </w:tcPr>
          <w:p w14:paraId="4D2F64E5">
            <w:pPr>
              <w:adjustRightInd w:val="0"/>
              <w:snapToGrid w:val="0"/>
              <w:jc w:val="center"/>
              <w:rPr>
                <w:rFonts w:eastAsia="仿宋_GB2312"/>
                <w:szCs w:val="21"/>
              </w:rPr>
            </w:pPr>
            <w:r>
              <w:rPr>
                <w:rFonts w:eastAsia="仿宋_GB2312"/>
              </w:rPr>
              <w:t>C</w:t>
            </w:r>
            <w:r>
              <w:rPr>
                <w:rFonts w:eastAsia="仿宋_GB2312"/>
                <w:vertAlign w:val="subscript"/>
              </w:rPr>
              <w:t>8</w:t>
            </w:r>
            <w:r>
              <w:rPr>
                <w:rFonts w:eastAsia="仿宋_GB2312"/>
              </w:rPr>
              <w:t>H</w:t>
            </w:r>
            <w:r>
              <w:rPr>
                <w:rFonts w:eastAsia="仿宋_GB2312"/>
                <w:vertAlign w:val="subscript"/>
              </w:rPr>
              <w:t>8</w:t>
            </w:r>
          </w:p>
        </w:tc>
        <w:tc>
          <w:tcPr>
            <w:tcW w:w="422" w:type="pct"/>
            <w:vAlign w:val="center"/>
          </w:tcPr>
          <w:p w14:paraId="2E3E7657">
            <w:pPr>
              <w:adjustRightInd w:val="0"/>
              <w:snapToGrid w:val="0"/>
              <w:jc w:val="center"/>
              <w:rPr>
                <w:rFonts w:eastAsia="仿宋_GB2312"/>
                <w:szCs w:val="21"/>
              </w:rPr>
            </w:pPr>
            <w:r>
              <w:rPr>
                <w:rFonts w:eastAsia="仿宋_GB2312"/>
              </w:rPr>
              <w:t>33541</w:t>
            </w:r>
          </w:p>
        </w:tc>
        <w:tc>
          <w:tcPr>
            <w:tcW w:w="1185" w:type="pct"/>
            <w:vAlign w:val="center"/>
          </w:tcPr>
          <w:p w14:paraId="2D4EB695">
            <w:pPr>
              <w:adjustRightInd w:val="0"/>
              <w:snapToGrid w:val="0"/>
              <w:rPr>
                <w:rFonts w:eastAsia="仿宋_GB2312"/>
                <w:szCs w:val="21"/>
              </w:rPr>
            </w:pPr>
            <w:r>
              <w:rPr>
                <w:rFonts w:eastAsia="仿宋_GB2312"/>
              </w:rPr>
              <w:t>分子量104.15，无色透明油状液体。沸点146</w:t>
            </w:r>
            <w:r>
              <w:rPr>
                <w:rFonts w:hint="eastAsia" w:ascii="宋体" w:hAnsi="宋体" w:cs="宋体"/>
              </w:rPr>
              <w:t>℃</w:t>
            </w:r>
            <w:r>
              <w:rPr>
                <w:rFonts w:eastAsia="仿宋_GB2312"/>
              </w:rPr>
              <w:t>，熔点-30.6</w:t>
            </w:r>
            <w:r>
              <w:rPr>
                <w:rFonts w:hint="eastAsia" w:ascii="宋体" w:hAnsi="宋体" w:cs="宋体"/>
              </w:rPr>
              <w:t>℃</w:t>
            </w:r>
            <w:r>
              <w:rPr>
                <w:rFonts w:eastAsia="仿宋_GB2312"/>
              </w:rPr>
              <w:t>，相对密度（水=1）0.91。不溶于水，溶于醇、醚等多数有机溶剂。</w:t>
            </w:r>
          </w:p>
        </w:tc>
        <w:tc>
          <w:tcPr>
            <w:tcW w:w="921" w:type="pct"/>
            <w:vAlign w:val="center"/>
          </w:tcPr>
          <w:p w14:paraId="3FBF36D7">
            <w:pPr>
              <w:adjustRightInd w:val="0"/>
              <w:snapToGrid w:val="0"/>
              <w:jc w:val="center"/>
              <w:rPr>
                <w:rFonts w:eastAsia="仿宋_GB2312"/>
                <w:szCs w:val="21"/>
              </w:rPr>
            </w:pPr>
            <w:r>
              <w:rPr>
                <w:rFonts w:eastAsia="仿宋_GB2312"/>
              </w:rPr>
              <w:t>LD</w:t>
            </w:r>
            <w:r>
              <w:rPr>
                <w:rFonts w:eastAsia="仿宋_GB2312"/>
                <w:vertAlign w:val="subscript"/>
              </w:rPr>
              <w:t>50</w:t>
            </w:r>
            <w:r>
              <w:rPr>
                <w:rFonts w:eastAsia="仿宋_GB2312"/>
              </w:rPr>
              <w:t>500mg/kg（大鼠经口）；</w:t>
            </w:r>
            <w:r>
              <w:rPr>
                <w:rFonts w:eastAsia="仿宋_GB2312"/>
                <w:bCs/>
              </w:rPr>
              <w:t>LC</w:t>
            </w:r>
            <w:r>
              <w:rPr>
                <w:rFonts w:eastAsia="仿宋_GB2312"/>
                <w:bCs/>
                <w:vertAlign w:val="subscript"/>
              </w:rPr>
              <w:t>50</w:t>
            </w:r>
            <w:r>
              <w:rPr>
                <w:rFonts w:eastAsia="仿宋_GB2312"/>
                <w:bCs/>
              </w:rPr>
              <w:t>24000mg/m</w:t>
            </w:r>
            <w:r>
              <w:rPr>
                <w:rFonts w:eastAsia="仿宋_GB2312"/>
                <w:bCs/>
                <w:vertAlign w:val="superscript"/>
              </w:rPr>
              <w:t>3</w:t>
            </w:r>
            <w:r>
              <w:rPr>
                <w:rFonts w:eastAsia="仿宋_GB2312"/>
                <w:bCs/>
              </w:rPr>
              <w:t>(大鼠吸入)</w:t>
            </w:r>
          </w:p>
        </w:tc>
        <w:tc>
          <w:tcPr>
            <w:tcW w:w="462" w:type="pct"/>
            <w:vAlign w:val="center"/>
          </w:tcPr>
          <w:p w14:paraId="25A79F3D">
            <w:pPr>
              <w:adjustRightInd w:val="0"/>
              <w:snapToGrid w:val="0"/>
              <w:jc w:val="center"/>
              <w:rPr>
                <w:rFonts w:eastAsia="仿宋_GB2312"/>
                <w:szCs w:val="21"/>
              </w:rPr>
            </w:pPr>
            <w:r>
              <w:rPr>
                <w:rFonts w:eastAsia="仿宋_GB2312"/>
              </w:rPr>
              <w:t>/</w:t>
            </w:r>
          </w:p>
        </w:tc>
        <w:tc>
          <w:tcPr>
            <w:tcW w:w="910" w:type="pct"/>
            <w:vAlign w:val="center"/>
          </w:tcPr>
          <w:p w14:paraId="2A94A56D">
            <w:pPr>
              <w:adjustRightInd w:val="0"/>
              <w:snapToGrid w:val="0"/>
              <w:rPr>
                <w:rFonts w:eastAsia="仿宋_GB2312"/>
                <w:szCs w:val="21"/>
              </w:rPr>
            </w:pPr>
            <w:r>
              <w:rPr>
                <w:rFonts w:eastAsia="仿宋_GB2312"/>
              </w:rPr>
              <w:t>易燃，其蒸气与空气可形成爆炸性混合物，遇明火、高热或与氧化剂接触，有引起燃烧爆炸的危险。遇酸性催化剂如路易斯催化剂、齐格勒催化剂、硫酸、氯化铁、氯化铝等都能产生猛烈聚合，放出大量热量。</w:t>
            </w:r>
          </w:p>
        </w:tc>
      </w:tr>
      <w:tr w14:paraId="4A62A2B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1" w:type="dxa"/>
            <w:bottom w:w="0" w:type="dxa"/>
            <w:right w:w="51" w:type="dxa"/>
          </w:tblCellMar>
        </w:tblPrEx>
        <w:trPr>
          <w:trHeight w:val="340" w:hRule="atLeast"/>
          <w:jc w:val="center"/>
        </w:trPr>
        <w:tc>
          <w:tcPr>
            <w:tcW w:w="578" w:type="pct"/>
            <w:vAlign w:val="center"/>
          </w:tcPr>
          <w:p w14:paraId="10E4DE1D">
            <w:pPr>
              <w:adjustRightInd w:val="0"/>
              <w:snapToGrid w:val="0"/>
              <w:jc w:val="center"/>
              <w:rPr>
                <w:rFonts w:eastAsia="仿宋_GB2312"/>
                <w:szCs w:val="21"/>
              </w:rPr>
            </w:pPr>
            <w:r>
              <w:rPr>
                <w:rFonts w:eastAsia="仿宋_GB2312"/>
              </w:rPr>
              <w:t>二乙二醇</w:t>
            </w:r>
          </w:p>
        </w:tc>
        <w:tc>
          <w:tcPr>
            <w:tcW w:w="519" w:type="pct"/>
            <w:vAlign w:val="center"/>
          </w:tcPr>
          <w:p w14:paraId="3729B5FC">
            <w:pPr>
              <w:jc w:val="center"/>
              <w:rPr>
                <w:rFonts w:eastAsia="仿宋_GB2312"/>
                <w:szCs w:val="21"/>
              </w:rPr>
            </w:pPr>
            <w:r>
              <w:rPr>
                <w:rFonts w:eastAsia="仿宋_GB2312"/>
              </w:rPr>
              <w:t>C</w:t>
            </w:r>
            <w:r>
              <w:rPr>
                <w:rFonts w:eastAsia="仿宋_GB2312"/>
                <w:vertAlign w:val="subscript"/>
              </w:rPr>
              <w:t>4</w:t>
            </w:r>
            <w:r>
              <w:rPr>
                <w:rFonts w:eastAsia="仿宋_GB2312"/>
              </w:rPr>
              <w:t>H</w:t>
            </w:r>
            <w:r>
              <w:rPr>
                <w:rFonts w:eastAsia="仿宋_GB2312"/>
                <w:vertAlign w:val="subscript"/>
              </w:rPr>
              <w:t>10</w:t>
            </w:r>
            <w:r>
              <w:rPr>
                <w:rFonts w:eastAsia="仿宋_GB2312"/>
              </w:rPr>
              <w:t>O</w:t>
            </w:r>
            <w:r>
              <w:rPr>
                <w:rFonts w:eastAsia="仿宋_GB2312"/>
                <w:vertAlign w:val="subscript"/>
              </w:rPr>
              <w:t>3</w:t>
            </w:r>
          </w:p>
        </w:tc>
        <w:tc>
          <w:tcPr>
            <w:tcW w:w="422" w:type="pct"/>
            <w:vAlign w:val="center"/>
          </w:tcPr>
          <w:p w14:paraId="563747E8">
            <w:pPr>
              <w:jc w:val="center"/>
              <w:rPr>
                <w:rFonts w:eastAsia="仿宋_GB2312"/>
                <w:szCs w:val="21"/>
              </w:rPr>
            </w:pPr>
            <w:r>
              <w:rPr>
                <w:rFonts w:eastAsia="仿宋_GB2312"/>
                <w:bCs/>
              </w:rPr>
              <w:t>/</w:t>
            </w:r>
          </w:p>
        </w:tc>
        <w:tc>
          <w:tcPr>
            <w:tcW w:w="1185" w:type="pct"/>
            <w:vAlign w:val="center"/>
          </w:tcPr>
          <w:p w14:paraId="21CE7470">
            <w:pPr>
              <w:rPr>
                <w:rFonts w:eastAsia="仿宋_GB2312"/>
                <w:szCs w:val="21"/>
              </w:rPr>
            </w:pPr>
            <w:r>
              <w:rPr>
                <w:rFonts w:eastAsia="仿宋_GB2312"/>
              </w:rPr>
              <w:t>分子量106.12，无色或淡黄色油状液体。沸点245</w:t>
            </w:r>
            <w:r>
              <w:rPr>
                <w:rFonts w:hint="eastAsia" w:ascii="宋体" w:hAnsi="宋体" w:cs="宋体"/>
              </w:rPr>
              <w:t>℃</w:t>
            </w:r>
            <w:r>
              <w:rPr>
                <w:rFonts w:eastAsia="仿宋_GB2312"/>
              </w:rPr>
              <w:t>，熔点-10</w:t>
            </w:r>
            <w:r>
              <w:rPr>
                <w:rFonts w:hint="eastAsia" w:ascii="宋体" w:hAnsi="宋体" w:cs="宋体"/>
              </w:rPr>
              <w:t>℃</w:t>
            </w:r>
            <w:r>
              <w:rPr>
                <w:rFonts w:eastAsia="仿宋_GB2312"/>
              </w:rPr>
              <w:t>，相对密度（水=1）1.11。不溶于苯和四氯化碳，溶于水。</w:t>
            </w:r>
          </w:p>
        </w:tc>
        <w:tc>
          <w:tcPr>
            <w:tcW w:w="921" w:type="pct"/>
            <w:vAlign w:val="center"/>
          </w:tcPr>
          <w:p w14:paraId="0855A869">
            <w:pPr>
              <w:jc w:val="center"/>
              <w:rPr>
                <w:rFonts w:eastAsia="仿宋_GB2312"/>
                <w:szCs w:val="21"/>
              </w:rPr>
            </w:pPr>
            <w:r>
              <w:rPr>
                <w:rFonts w:eastAsia="仿宋_GB2312"/>
              </w:rPr>
              <w:t>LD</w:t>
            </w:r>
            <w:r>
              <w:rPr>
                <w:rFonts w:eastAsia="仿宋_GB2312"/>
                <w:vertAlign w:val="subscript"/>
              </w:rPr>
              <w:t>50</w:t>
            </w:r>
            <w:r>
              <w:rPr>
                <w:rFonts w:eastAsia="仿宋_GB2312"/>
              </w:rPr>
              <w:t>12565mg/kg（大鼠经口）；</w:t>
            </w:r>
            <w:r>
              <w:rPr>
                <w:rFonts w:eastAsia="仿宋_GB2312"/>
                <w:bCs/>
              </w:rPr>
              <w:t>LC</w:t>
            </w:r>
            <w:r>
              <w:rPr>
                <w:rFonts w:eastAsia="仿宋_GB2312"/>
                <w:bCs/>
                <w:vertAlign w:val="subscript"/>
              </w:rPr>
              <w:t>50</w:t>
            </w:r>
            <w:r>
              <w:rPr>
                <w:rFonts w:eastAsia="仿宋_GB2312"/>
                <w:bCs/>
              </w:rPr>
              <w:t>11890mg/kg (兔经皮)</w:t>
            </w:r>
          </w:p>
        </w:tc>
        <w:tc>
          <w:tcPr>
            <w:tcW w:w="462" w:type="pct"/>
            <w:vAlign w:val="center"/>
          </w:tcPr>
          <w:p w14:paraId="592A6EB4">
            <w:pPr>
              <w:jc w:val="center"/>
              <w:rPr>
                <w:rFonts w:eastAsia="仿宋_GB2312"/>
                <w:szCs w:val="21"/>
              </w:rPr>
            </w:pPr>
            <w:r>
              <w:rPr>
                <w:rFonts w:eastAsia="仿宋_GB2312"/>
              </w:rPr>
              <w:t>/</w:t>
            </w:r>
          </w:p>
        </w:tc>
        <w:tc>
          <w:tcPr>
            <w:tcW w:w="910" w:type="pct"/>
            <w:vAlign w:val="center"/>
          </w:tcPr>
          <w:p w14:paraId="4BE5CFD3">
            <w:pPr>
              <w:jc w:val="center"/>
              <w:rPr>
                <w:rFonts w:eastAsia="仿宋_GB2312"/>
                <w:szCs w:val="21"/>
              </w:rPr>
            </w:pPr>
            <w:r>
              <w:rPr>
                <w:rFonts w:eastAsia="仿宋_GB2312"/>
              </w:rPr>
              <w:t>遇明火、高热可燃。</w:t>
            </w:r>
          </w:p>
        </w:tc>
      </w:tr>
      <w:tr w14:paraId="3523E85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1" w:type="dxa"/>
            <w:bottom w:w="0" w:type="dxa"/>
            <w:right w:w="51" w:type="dxa"/>
          </w:tblCellMar>
        </w:tblPrEx>
        <w:trPr>
          <w:trHeight w:val="340" w:hRule="atLeast"/>
          <w:jc w:val="center"/>
        </w:trPr>
        <w:tc>
          <w:tcPr>
            <w:tcW w:w="578" w:type="pct"/>
            <w:vAlign w:val="center"/>
          </w:tcPr>
          <w:p w14:paraId="45098194">
            <w:pPr>
              <w:adjustRightInd w:val="0"/>
              <w:snapToGrid w:val="0"/>
              <w:jc w:val="center"/>
              <w:rPr>
                <w:rFonts w:eastAsia="仿宋_GB2312"/>
                <w:szCs w:val="21"/>
              </w:rPr>
            </w:pPr>
            <w:r>
              <w:rPr>
                <w:rFonts w:eastAsia="仿宋_GB2312"/>
              </w:rPr>
              <w:t>四氢呋喃</w:t>
            </w:r>
          </w:p>
        </w:tc>
        <w:tc>
          <w:tcPr>
            <w:tcW w:w="519" w:type="pct"/>
            <w:vAlign w:val="center"/>
          </w:tcPr>
          <w:p w14:paraId="18BCD399">
            <w:pPr>
              <w:jc w:val="center"/>
              <w:rPr>
                <w:rFonts w:eastAsia="仿宋_GB2312"/>
                <w:szCs w:val="21"/>
              </w:rPr>
            </w:pPr>
            <w:r>
              <w:rPr>
                <w:rFonts w:eastAsia="仿宋_GB2312"/>
              </w:rPr>
              <w:t>C</w:t>
            </w:r>
            <w:r>
              <w:rPr>
                <w:rFonts w:eastAsia="仿宋_GB2312"/>
                <w:vertAlign w:val="subscript"/>
              </w:rPr>
              <w:t>4</w:t>
            </w:r>
            <w:r>
              <w:rPr>
                <w:rFonts w:eastAsia="仿宋_GB2312"/>
              </w:rPr>
              <w:t>H</w:t>
            </w:r>
            <w:r>
              <w:rPr>
                <w:rFonts w:eastAsia="仿宋_GB2312"/>
                <w:vertAlign w:val="subscript"/>
              </w:rPr>
              <w:t>8</w:t>
            </w:r>
            <w:r>
              <w:rPr>
                <w:rFonts w:eastAsia="仿宋_GB2312"/>
              </w:rPr>
              <w:t>O</w:t>
            </w:r>
          </w:p>
        </w:tc>
        <w:tc>
          <w:tcPr>
            <w:tcW w:w="422" w:type="pct"/>
            <w:vAlign w:val="center"/>
          </w:tcPr>
          <w:p w14:paraId="1F0E5D57">
            <w:pPr>
              <w:jc w:val="center"/>
              <w:rPr>
                <w:rFonts w:eastAsia="仿宋_GB2312"/>
                <w:szCs w:val="21"/>
              </w:rPr>
            </w:pPr>
            <w:r>
              <w:rPr>
                <w:rFonts w:eastAsia="仿宋_GB2312"/>
              </w:rPr>
              <w:t>31042</w:t>
            </w:r>
          </w:p>
        </w:tc>
        <w:tc>
          <w:tcPr>
            <w:tcW w:w="1185" w:type="pct"/>
            <w:vAlign w:val="center"/>
          </w:tcPr>
          <w:p w14:paraId="051F9465">
            <w:pPr>
              <w:rPr>
                <w:rFonts w:eastAsia="仿宋_GB2312"/>
                <w:szCs w:val="21"/>
              </w:rPr>
            </w:pPr>
            <w:r>
              <w:rPr>
                <w:rFonts w:eastAsia="仿宋_GB2312"/>
              </w:rPr>
              <w:t>分子量72.11，无色、可与水混溶、在常温常压下有较小粘稠度的有机液体。闪点-20</w:t>
            </w:r>
            <w:r>
              <w:rPr>
                <w:rFonts w:hint="eastAsia" w:ascii="宋体" w:hAnsi="宋体" w:cs="宋体"/>
              </w:rPr>
              <w:t>℃</w:t>
            </w:r>
            <w:r>
              <w:rPr>
                <w:rFonts w:eastAsia="仿宋_GB2312"/>
              </w:rPr>
              <w:t>，沸点65.4</w:t>
            </w:r>
            <w:r>
              <w:rPr>
                <w:rFonts w:hint="eastAsia" w:ascii="宋体" w:hAnsi="宋体" w:cs="宋体"/>
              </w:rPr>
              <w:t>℃</w:t>
            </w:r>
            <w:r>
              <w:rPr>
                <w:rFonts w:eastAsia="仿宋_GB2312"/>
              </w:rPr>
              <w:t>，熔点-108.5</w:t>
            </w:r>
            <w:r>
              <w:rPr>
                <w:rFonts w:hint="eastAsia" w:ascii="宋体" w:hAnsi="宋体" w:cs="宋体"/>
              </w:rPr>
              <w:t>℃</w:t>
            </w:r>
            <w:r>
              <w:rPr>
                <w:rFonts w:eastAsia="仿宋_GB2312"/>
              </w:rPr>
              <w:t>，相对密度0.89。</w:t>
            </w:r>
          </w:p>
        </w:tc>
        <w:tc>
          <w:tcPr>
            <w:tcW w:w="921" w:type="pct"/>
            <w:vAlign w:val="center"/>
          </w:tcPr>
          <w:p w14:paraId="278CAC9A">
            <w:pPr>
              <w:jc w:val="center"/>
              <w:rPr>
                <w:rFonts w:eastAsia="仿宋_GB2312"/>
                <w:szCs w:val="21"/>
              </w:rPr>
            </w:pPr>
            <w:r>
              <w:rPr>
                <w:rFonts w:eastAsia="仿宋_GB2312"/>
              </w:rPr>
              <w:t>LD</w:t>
            </w:r>
            <w:r>
              <w:rPr>
                <w:rFonts w:eastAsia="仿宋_GB2312"/>
                <w:vertAlign w:val="subscript"/>
              </w:rPr>
              <w:t>50</w:t>
            </w:r>
            <w:r>
              <w:rPr>
                <w:rFonts w:eastAsia="仿宋_GB2312"/>
              </w:rPr>
              <w:t>:1650mg/kg（</w:t>
            </w:r>
            <w:r>
              <w:fldChar w:fldCharType="begin"/>
            </w:r>
            <w:r>
              <w:instrText xml:space="preserve"> HYPERLINK "https://baike.baidu.com/item/%E5%A4%A7%E9%BC%A0" </w:instrText>
            </w:r>
            <w:r>
              <w:fldChar w:fldCharType="separate"/>
            </w:r>
            <w:r>
              <w:rPr>
                <w:rStyle w:val="144"/>
                <w:rFonts w:eastAsia="仿宋_GB2312"/>
                <w:color w:val="auto"/>
                <w:u w:val="none"/>
              </w:rPr>
              <w:t>大鼠</w:t>
            </w:r>
            <w:r>
              <w:rPr>
                <w:rStyle w:val="144"/>
                <w:rFonts w:eastAsia="仿宋_GB2312"/>
                <w:color w:val="auto"/>
                <w:u w:val="none"/>
              </w:rPr>
              <w:fldChar w:fldCharType="end"/>
            </w:r>
            <w:r>
              <w:rPr>
                <w:rFonts w:eastAsia="仿宋_GB2312"/>
              </w:rPr>
              <w:t>经口）；LC</w:t>
            </w:r>
            <w:r>
              <w:rPr>
                <w:rFonts w:eastAsia="仿宋_GB2312"/>
                <w:vertAlign w:val="subscript"/>
              </w:rPr>
              <w:t>50</w:t>
            </w:r>
            <w:r>
              <w:rPr>
                <w:rFonts w:eastAsia="仿宋_GB2312"/>
              </w:rPr>
              <w:t>:21000ppm/3H（</w:t>
            </w:r>
            <w:r>
              <w:fldChar w:fldCharType="begin"/>
            </w:r>
            <w:r>
              <w:instrText xml:space="preserve"> HYPERLINK "https://baike.baidu.com/item/%E5%A4%A7%E9%BC%A0" </w:instrText>
            </w:r>
            <w:r>
              <w:fldChar w:fldCharType="separate"/>
            </w:r>
            <w:r>
              <w:rPr>
                <w:rStyle w:val="144"/>
                <w:rFonts w:eastAsia="仿宋_GB2312"/>
                <w:color w:val="auto"/>
                <w:u w:val="none"/>
              </w:rPr>
              <w:t>大鼠</w:t>
            </w:r>
            <w:r>
              <w:rPr>
                <w:rStyle w:val="144"/>
                <w:rFonts w:eastAsia="仿宋_GB2312"/>
                <w:color w:val="auto"/>
                <w:u w:val="none"/>
              </w:rPr>
              <w:fldChar w:fldCharType="end"/>
            </w:r>
            <w:r>
              <w:rPr>
                <w:rFonts w:eastAsia="仿宋_GB2312"/>
              </w:rPr>
              <w:t>吸入）。LCLO:24000mg/m3/2H（</w:t>
            </w:r>
            <w:r>
              <w:fldChar w:fldCharType="begin"/>
            </w:r>
            <w:r>
              <w:instrText xml:space="preserve"> HYPERLINK "https://baike.baidu.com/item/%E5%B0%8F%E9%BC%A0" </w:instrText>
            </w:r>
            <w:r>
              <w:fldChar w:fldCharType="separate"/>
            </w:r>
            <w:r>
              <w:rPr>
                <w:rStyle w:val="144"/>
                <w:rFonts w:eastAsia="仿宋_GB2312"/>
                <w:color w:val="auto"/>
                <w:u w:val="none"/>
              </w:rPr>
              <w:t>小鼠</w:t>
            </w:r>
            <w:r>
              <w:rPr>
                <w:rStyle w:val="144"/>
                <w:rFonts w:eastAsia="仿宋_GB2312"/>
                <w:color w:val="auto"/>
                <w:u w:val="none"/>
              </w:rPr>
              <w:fldChar w:fldCharType="end"/>
            </w:r>
            <w:r>
              <w:rPr>
                <w:rFonts w:eastAsia="仿宋_GB2312"/>
              </w:rPr>
              <w:t>吸入）。</w:t>
            </w:r>
          </w:p>
        </w:tc>
        <w:tc>
          <w:tcPr>
            <w:tcW w:w="462" w:type="pct"/>
            <w:vAlign w:val="center"/>
          </w:tcPr>
          <w:p w14:paraId="5AC6557A">
            <w:pPr>
              <w:jc w:val="center"/>
              <w:rPr>
                <w:rFonts w:eastAsia="仿宋_GB2312"/>
                <w:szCs w:val="21"/>
              </w:rPr>
            </w:pPr>
            <w:r>
              <w:rPr>
                <w:rFonts w:eastAsia="仿宋_GB2312"/>
              </w:rPr>
              <w:t>IARC致癌性评论：动物阳性，人类可能。</w:t>
            </w:r>
          </w:p>
        </w:tc>
        <w:tc>
          <w:tcPr>
            <w:tcW w:w="910" w:type="pct"/>
            <w:vAlign w:val="center"/>
          </w:tcPr>
          <w:p w14:paraId="05CA18BE">
            <w:pPr>
              <w:jc w:val="center"/>
              <w:rPr>
                <w:rFonts w:eastAsia="仿宋_GB2312"/>
                <w:szCs w:val="21"/>
              </w:rPr>
            </w:pPr>
            <w:r>
              <w:rPr>
                <w:rFonts w:eastAsia="仿宋_GB2312"/>
              </w:rPr>
              <w:t>饱和蒸气压（kPa）：19.3（20</w:t>
            </w:r>
            <w:r>
              <w:rPr>
                <w:rFonts w:hint="eastAsia" w:ascii="宋体" w:hAnsi="宋体" w:cs="宋体"/>
              </w:rPr>
              <w:t>℃</w:t>
            </w:r>
            <w:r>
              <w:rPr>
                <w:rFonts w:eastAsia="仿宋_GB2312"/>
              </w:rPr>
              <w:t>），该品极度易燃，具刺激性。其蒸气与空气可形成爆炸性混合物。遇高热、明火及强氧化剂易引起燃烧。</w:t>
            </w:r>
          </w:p>
        </w:tc>
      </w:tr>
      <w:tr w14:paraId="397CE9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1" w:type="dxa"/>
            <w:bottom w:w="0" w:type="dxa"/>
            <w:right w:w="51" w:type="dxa"/>
          </w:tblCellMar>
        </w:tblPrEx>
        <w:trPr>
          <w:trHeight w:val="340" w:hRule="atLeast"/>
          <w:jc w:val="center"/>
        </w:trPr>
        <w:tc>
          <w:tcPr>
            <w:tcW w:w="578" w:type="pct"/>
            <w:vAlign w:val="center"/>
          </w:tcPr>
          <w:p w14:paraId="3D946D94">
            <w:pPr>
              <w:adjustRightInd w:val="0"/>
              <w:snapToGrid w:val="0"/>
              <w:jc w:val="center"/>
              <w:rPr>
                <w:rFonts w:eastAsia="仿宋_GB2312"/>
                <w:szCs w:val="21"/>
              </w:rPr>
            </w:pPr>
            <w:r>
              <w:rPr>
                <w:rFonts w:eastAsia="仿宋_GB2312"/>
              </w:rPr>
              <w:t>乙腈</w:t>
            </w:r>
          </w:p>
        </w:tc>
        <w:tc>
          <w:tcPr>
            <w:tcW w:w="519" w:type="pct"/>
            <w:vAlign w:val="center"/>
          </w:tcPr>
          <w:p w14:paraId="023C8DCD">
            <w:pPr>
              <w:jc w:val="center"/>
              <w:rPr>
                <w:rFonts w:eastAsia="仿宋_GB2312"/>
                <w:szCs w:val="21"/>
              </w:rPr>
            </w:pPr>
            <w:r>
              <w:rPr>
                <w:rFonts w:eastAsia="仿宋_GB2312"/>
              </w:rPr>
              <w:t>C</w:t>
            </w:r>
            <w:r>
              <w:rPr>
                <w:rFonts w:eastAsia="仿宋_GB2312"/>
                <w:vertAlign w:val="subscript"/>
              </w:rPr>
              <w:t>2</w:t>
            </w:r>
            <w:r>
              <w:rPr>
                <w:rFonts w:eastAsia="仿宋_GB2312"/>
              </w:rPr>
              <w:t>H</w:t>
            </w:r>
            <w:r>
              <w:rPr>
                <w:rFonts w:eastAsia="仿宋_GB2312"/>
                <w:vertAlign w:val="subscript"/>
              </w:rPr>
              <w:t>3</w:t>
            </w:r>
            <w:r>
              <w:rPr>
                <w:rFonts w:eastAsia="仿宋_GB2312"/>
              </w:rPr>
              <w:t>N</w:t>
            </w:r>
          </w:p>
        </w:tc>
        <w:tc>
          <w:tcPr>
            <w:tcW w:w="422" w:type="pct"/>
            <w:vAlign w:val="center"/>
          </w:tcPr>
          <w:p w14:paraId="6818AC70">
            <w:pPr>
              <w:jc w:val="center"/>
              <w:rPr>
                <w:rFonts w:eastAsia="仿宋_GB2312"/>
                <w:szCs w:val="21"/>
              </w:rPr>
            </w:pPr>
            <w:r>
              <w:rPr>
                <w:rFonts w:eastAsia="仿宋_GB2312"/>
              </w:rPr>
              <w:t>32159</w:t>
            </w:r>
          </w:p>
        </w:tc>
        <w:tc>
          <w:tcPr>
            <w:tcW w:w="1185" w:type="pct"/>
            <w:vAlign w:val="center"/>
          </w:tcPr>
          <w:p w14:paraId="159C4306">
            <w:pPr>
              <w:rPr>
                <w:rFonts w:eastAsia="仿宋_GB2312"/>
                <w:szCs w:val="21"/>
              </w:rPr>
            </w:pPr>
            <w:r>
              <w:rPr>
                <w:rFonts w:eastAsia="仿宋_GB2312"/>
              </w:rPr>
              <w:t>分子量41.05，无色液体，有刺激性气味，熔点-45.7</w:t>
            </w:r>
            <w:r>
              <w:rPr>
                <w:rFonts w:hint="eastAsia" w:ascii="宋体" w:hAnsi="宋体" w:cs="宋体"/>
              </w:rPr>
              <w:t>℃</w:t>
            </w:r>
            <w:r>
              <w:rPr>
                <w:rFonts w:eastAsia="仿宋_GB2312"/>
              </w:rPr>
              <w:t>，沸点81.1</w:t>
            </w:r>
            <w:r>
              <w:rPr>
                <w:rFonts w:hint="eastAsia" w:ascii="宋体" w:hAnsi="宋体" w:cs="宋体"/>
              </w:rPr>
              <w:t>℃</w:t>
            </w:r>
            <w:r>
              <w:rPr>
                <w:rFonts w:eastAsia="仿宋_GB2312"/>
              </w:rPr>
              <w:t>，闪点2</w:t>
            </w:r>
            <w:r>
              <w:rPr>
                <w:rFonts w:hint="eastAsia" w:ascii="宋体" w:hAnsi="宋体" w:cs="宋体"/>
              </w:rPr>
              <w:t>℃</w:t>
            </w:r>
            <w:r>
              <w:rPr>
                <w:rFonts w:eastAsia="仿宋_GB2312"/>
              </w:rPr>
              <w:t>，相对密度（水=1）0.79，相对密度（空气=1）1.42，与水混溶，溶于醇等多数有机溶剂。</w:t>
            </w:r>
          </w:p>
        </w:tc>
        <w:tc>
          <w:tcPr>
            <w:tcW w:w="921" w:type="pct"/>
            <w:vAlign w:val="center"/>
          </w:tcPr>
          <w:p w14:paraId="26C3EABD">
            <w:pPr>
              <w:adjustRightInd w:val="0"/>
              <w:snapToGrid w:val="0"/>
              <w:jc w:val="center"/>
              <w:rPr>
                <w:rFonts w:eastAsia="仿宋_GB2312"/>
                <w:szCs w:val="21"/>
              </w:rPr>
            </w:pPr>
            <w:r>
              <w:rPr>
                <w:rFonts w:eastAsia="仿宋_GB2312"/>
              </w:rPr>
              <w:t>LD</w:t>
            </w:r>
            <w:r>
              <w:rPr>
                <w:rFonts w:eastAsia="仿宋_GB2312"/>
                <w:vertAlign w:val="subscript"/>
              </w:rPr>
              <w:t>50</w:t>
            </w:r>
            <w:r>
              <w:rPr>
                <w:rFonts w:eastAsia="仿宋_GB2312"/>
              </w:rPr>
              <w:t>2730mg/kg(大鼠经口)；LD</w:t>
            </w:r>
            <w:r>
              <w:rPr>
                <w:rFonts w:eastAsia="仿宋_GB2312"/>
                <w:vertAlign w:val="subscript"/>
              </w:rPr>
              <w:t>50</w:t>
            </w:r>
            <w:r>
              <w:rPr>
                <w:rFonts w:eastAsia="仿宋_GB2312"/>
              </w:rPr>
              <w:t>1250mg/kg(兔经皮)</w:t>
            </w:r>
          </w:p>
          <w:p w14:paraId="451118EB">
            <w:pPr>
              <w:jc w:val="center"/>
              <w:rPr>
                <w:rFonts w:eastAsia="仿宋_GB2312"/>
                <w:szCs w:val="21"/>
              </w:rPr>
            </w:pPr>
            <w:r>
              <w:rPr>
                <w:rFonts w:eastAsia="仿宋_GB2312"/>
              </w:rPr>
              <w:t>LC</w:t>
            </w:r>
            <w:r>
              <w:rPr>
                <w:rFonts w:eastAsia="仿宋_GB2312"/>
                <w:vertAlign w:val="subscript"/>
              </w:rPr>
              <w:t>50</w:t>
            </w:r>
            <w:r>
              <w:rPr>
                <w:rFonts w:eastAsia="仿宋_GB2312"/>
              </w:rPr>
              <w:t>12663mg/m</w:t>
            </w:r>
            <w:r>
              <w:rPr>
                <w:rFonts w:eastAsia="仿宋_GB2312"/>
                <w:vertAlign w:val="superscript"/>
              </w:rPr>
              <w:t>3</w:t>
            </w:r>
            <w:r>
              <w:rPr>
                <w:rFonts w:eastAsia="仿宋_GB2312"/>
              </w:rPr>
              <w:t>，8小时(大鼠吸入)</w:t>
            </w:r>
          </w:p>
        </w:tc>
        <w:tc>
          <w:tcPr>
            <w:tcW w:w="462" w:type="pct"/>
            <w:vAlign w:val="center"/>
          </w:tcPr>
          <w:p w14:paraId="3BF5DB6B">
            <w:pPr>
              <w:jc w:val="center"/>
              <w:rPr>
                <w:rFonts w:eastAsia="仿宋_GB2312"/>
                <w:szCs w:val="21"/>
              </w:rPr>
            </w:pPr>
            <w:r>
              <w:rPr>
                <w:rFonts w:eastAsia="仿宋_GB2312"/>
              </w:rPr>
              <w:t>/</w:t>
            </w:r>
          </w:p>
        </w:tc>
        <w:tc>
          <w:tcPr>
            <w:tcW w:w="910" w:type="pct"/>
            <w:vAlign w:val="center"/>
          </w:tcPr>
          <w:p w14:paraId="61EF6EDC">
            <w:pPr>
              <w:jc w:val="center"/>
              <w:rPr>
                <w:rFonts w:eastAsia="仿宋_GB2312"/>
                <w:szCs w:val="21"/>
              </w:rPr>
            </w:pPr>
            <w:r>
              <w:rPr>
                <w:rFonts w:eastAsia="仿宋_GB2312"/>
              </w:rPr>
              <w:t>蒸汽压13.33kPa/27</w:t>
            </w:r>
            <w:r>
              <w:rPr>
                <w:rFonts w:hint="eastAsia" w:ascii="宋体" w:hAnsi="宋体" w:cs="宋体"/>
              </w:rPr>
              <w:t>℃</w:t>
            </w:r>
            <w:r>
              <w:rPr>
                <w:rFonts w:eastAsia="仿宋_GB2312"/>
              </w:rPr>
              <w:t>,易燃，其蒸气与空气可形成爆炸性混合物。遇明火、高热或与氧化剂接触，有引进燃烧爆炸的危险。与氧化剂能发生强烈反应。燃烧时有发光火焰。与硫酸、发烟硫酸、氯磺酸、过氯酸盐等反应剧烈。</w:t>
            </w:r>
          </w:p>
        </w:tc>
      </w:tr>
      <w:tr w14:paraId="0A3E907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1" w:type="dxa"/>
            <w:bottom w:w="0" w:type="dxa"/>
            <w:right w:w="51" w:type="dxa"/>
          </w:tblCellMar>
        </w:tblPrEx>
        <w:trPr>
          <w:trHeight w:val="340" w:hRule="atLeast"/>
          <w:jc w:val="center"/>
        </w:trPr>
        <w:tc>
          <w:tcPr>
            <w:tcW w:w="578" w:type="pct"/>
            <w:vAlign w:val="center"/>
          </w:tcPr>
          <w:p w14:paraId="081E7AEE">
            <w:pPr>
              <w:adjustRightInd w:val="0"/>
              <w:snapToGrid w:val="0"/>
              <w:jc w:val="center"/>
              <w:rPr>
                <w:rFonts w:eastAsia="仿宋_GB2312"/>
                <w:szCs w:val="21"/>
              </w:rPr>
            </w:pPr>
            <w:r>
              <w:rPr>
                <w:rFonts w:eastAsia="仿宋_GB2312"/>
              </w:rPr>
              <w:t>丙二醇单甲醚</w:t>
            </w:r>
          </w:p>
        </w:tc>
        <w:tc>
          <w:tcPr>
            <w:tcW w:w="519" w:type="pct"/>
            <w:vAlign w:val="center"/>
          </w:tcPr>
          <w:p w14:paraId="145EBC74">
            <w:pPr>
              <w:jc w:val="center"/>
              <w:rPr>
                <w:rFonts w:eastAsia="仿宋_GB2312"/>
                <w:szCs w:val="21"/>
              </w:rPr>
            </w:pPr>
            <w:r>
              <w:rPr>
                <w:rFonts w:eastAsia="仿宋_GB2312"/>
              </w:rPr>
              <w:t>C</w:t>
            </w:r>
            <w:r>
              <w:rPr>
                <w:rFonts w:eastAsia="仿宋_GB2312"/>
                <w:vertAlign w:val="subscript"/>
              </w:rPr>
              <w:t>4</w:t>
            </w:r>
            <w:r>
              <w:rPr>
                <w:rFonts w:eastAsia="仿宋_GB2312"/>
              </w:rPr>
              <w:t>H</w:t>
            </w:r>
            <w:r>
              <w:rPr>
                <w:rFonts w:eastAsia="仿宋_GB2312"/>
                <w:vertAlign w:val="subscript"/>
              </w:rPr>
              <w:t>10</w:t>
            </w:r>
            <w:r>
              <w:rPr>
                <w:rFonts w:eastAsia="仿宋_GB2312"/>
              </w:rPr>
              <w:t>O</w:t>
            </w:r>
            <w:r>
              <w:rPr>
                <w:rFonts w:eastAsia="仿宋_GB2312"/>
                <w:vertAlign w:val="subscript"/>
              </w:rPr>
              <w:t>2</w:t>
            </w:r>
          </w:p>
        </w:tc>
        <w:tc>
          <w:tcPr>
            <w:tcW w:w="422" w:type="pct"/>
            <w:vAlign w:val="center"/>
          </w:tcPr>
          <w:p w14:paraId="11706644">
            <w:pPr>
              <w:jc w:val="center"/>
              <w:rPr>
                <w:rFonts w:eastAsia="仿宋_GB2312"/>
                <w:szCs w:val="21"/>
              </w:rPr>
            </w:pPr>
            <w:r>
              <w:rPr>
                <w:rFonts w:eastAsia="仿宋_GB2312"/>
              </w:rPr>
              <w:t>/</w:t>
            </w:r>
          </w:p>
        </w:tc>
        <w:tc>
          <w:tcPr>
            <w:tcW w:w="1185" w:type="pct"/>
            <w:vAlign w:val="center"/>
          </w:tcPr>
          <w:p w14:paraId="200FF40E">
            <w:pPr>
              <w:rPr>
                <w:rFonts w:eastAsia="仿宋_GB2312"/>
                <w:szCs w:val="21"/>
              </w:rPr>
            </w:pPr>
            <w:r>
              <w:rPr>
                <w:rFonts w:eastAsia="仿宋_GB2312"/>
              </w:rPr>
              <w:t>分子量90.12，无色透明易燃的挥发性液体。溶解性强，毒性低，能与水和多钟有机溶剂混溶。熔点-97</w:t>
            </w:r>
            <w:r>
              <w:rPr>
                <w:rFonts w:hint="eastAsia" w:ascii="宋体" w:hAnsi="宋体" w:cs="宋体"/>
              </w:rPr>
              <w:t>℃</w:t>
            </w:r>
            <w:r>
              <w:rPr>
                <w:rFonts w:eastAsia="仿宋_GB2312"/>
              </w:rPr>
              <w:t>，沸点118-119</w:t>
            </w:r>
            <w:r>
              <w:rPr>
                <w:rFonts w:hint="eastAsia" w:ascii="宋体" w:hAnsi="宋体" w:cs="宋体"/>
              </w:rPr>
              <w:t>℃</w:t>
            </w:r>
            <w:r>
              <w:rPr>
                <w:rFonts w:eastAsia="仿宋_GB2312"/>
              </w:rPr>
              <w:t>，闪点33</w:t>
            </w:r>
            <w:r>
              <w:rPr>
                <w:rFonts w:hint="eastAsia" w:ascii="宋体" w:hAnsi="宋体" w:cs="宋体"/>
              </w:rPr>
              <w:t>℃</w:t>
            </w:r>
            <w:r>
              <w:rPr>
                <w:rFonts w:eastAsia="仿宋_GB2312"/>
              </w:rPr>
              <w:t>。相对密度（水=1）0.79，相对密度（空气=1）2.07</w:t>
            </w:r>
          </w:p>
        </w:tc>
        <w:tc>
          <w:tcPr>
            <w:tcW w:w="921" w:type="pct"/>
            <w:vAlign w:val="center"/>
          </w:tcPr>
          <w:p w14:paraId="1F127D27">
            <w:pPr>
              <w:jc w:val="center"/>
              <w:rPr>
                <w:rFonts w:eastAsia="仿宋_GB2312"/>
                <w:szCs w:val="21"/>
              </w:rPr>
            </w:pPr>
            <w:r>
              <w:rPr>
                <w:rFonts w:eastAsia="仿宋_GB2312"/>
              </w:rPr>
              <w:t>LD</w:t>
            </w:r>
            <w:r>
              <w:rPr>
                <w:rFonts w:eastAsia="仿宋_GB2312"/>
                <w:vertAlign w:val="subscript"/>
              </w:rPr>
              <w:t>50</w:t>
            </w:r>
            <w:r>
              <w:rPr>
                <w:rFonts w:eastAsia="仿宋_GB2312"/>
              </w:rPr>
              <w:t>3739mg/kg(大鼠经口)；LD</w:t>
            </w:r>
            <w:r>
              <w:rPr>
                <w:rFonts w:eastAsia="仿宋_GB2312"/>
                <w:vertAlign w:val="subscript"/>
              </w:rPr>
              <w:t>50</w:t>
            </w:r>
            <w:r>
              <w:rPr>
                <w:rFonts w:eastAsia="仿宋_GB2312"/>
              </w:rPr>
              <w:t>11700mg/kg(小鼠经口)</w:t>
            </w:r>
          </w:p>
        </w:tc>
        <w:tc>
          <w:tcPr>
            <w:tcW w:w="462" w:type="pct"/>
            <w:vAlign w:val="center"/>
          </w:tcPr>
          <w:p w14:paraId="23580042">
            <w:pPr>
              <w:jc w:val="center"/>
              <w:rPr>
                <w:rFonts w:eastAsia="仿宋_GB2312"/>
                <w:szCs w:val="21"/>
              </w:rPr>
            </w:pPr>
            <w:r>
              <w:rPr>
                <w:rFonts w:eastAsia="仿宋_GB2312"/>
              </w:rPr>
              <w:t>/</w:t>
            </w:r>
          </w:p>
        </w:tc>
        <w:tc>
          <w:tcPr>
            <w:tcW w:w="910" w:type="pct"/>
            <w:vAlign w:val="center"/>
          </w:tcPr>
          <w:p w14:paraId="020EBB92">
            <w:pPr>
              <w:jc w:val="center"/>
              <w:rPr>
                <w:rFonts w:eastAsia="仿宋_GB2312"/>
                <w:szCs w:val="21"/>
              </w:rPr>
            </w:pPr>
            <w:r>
              <w:rPr>
                <w:rFonts w:eastAsia="仿宋_GB2312"/>
              </w:rPr>
              <w:t>饱和蒸汽压（kPa）1.45(25</w:t>
            </w:r>
            <w:r>
              <w:rPr>
                <w:rFonts w:hint="eastAsia" w:ascii="宋体" w:hAnsi="宋体" w:cs="宋体"/>
              </w:rPr>
              <w:t>℃</w:t>
            </w:r>
            <w:r>
              <w:rPr>
                <w:rFonts w:eastAsia="仿宋_GB2312"/>
              </w:rPr>
              <w:t>)。易燃液体，其蒸气与空气可形成爆炸性混合物，遇明火、高热能引起爆炸。遇氧化剂接触猛烈反应。其蒸气比空气重，能在较低处扩散到相当远的地方，遇火源会着火回燃。</w:t>
            </w:r>
          </w:p>
        </w:tc>
      </w:tr>
      <w:tr w14:paraId="2278FAF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1" w:type="dxa"/>
            <w:bottom w:w="0" w:type="dxa"/>
            <w:right w:w="51" w:type="dxa"/>
          </w:tblCellMar>
        </w:tblPrEx>
        <w:trPr>
          <w:trHeight w:val="340" w:hRule="atLeast"/>
          <w:jc w:val="center"/>
        </w:trPr>
        <w:tc>
          <w:tcPr>
            <w:tcW w:w="578" w:type="pct"/>
            <w:vAlign w:val="center"/>
          </w:tcPr>
          <w:p w14:paraId="1D397A42">
            <w:pPr>
              <w:adjustRightInd w:val="0"/>
              <w:snapToGrid w:val="0"/>
              <w:jc w:val="center"/>
              <w:rPr>
                <w:rFonts w:eastAsia="仿宋_GB2312"/>
                <w:szCs w:val="21"/>
              </w:rPr>
            </w:pPr>
            <w:r>
              <w:rPr>
                <w:rFonts w:eastAsia="仿宋_GB2312"/>
                <w:bCs/>
              </w:rPr>
              <w:t>丙二醇单甲醚乙酸酯</w:t>
            </w:r>
          </w:p>
        </w:tc>
        <w:tc>
          <w:tcPr>
            <w:tcW w:w="519" w:type="pct"/>
            <w:vAlign w:val="center"/>
          </w:tcPr>
          <w:p w14:paraId="4113E998">
            <w:pPr>
              <w:jc w:val="center"/>
              <w:rPr>
                <w:rFonts w:eastAsia="仿宋_GB2312"/>
                <w:szCs w:val="21"/>
              </w:rPr>
            </w:pPr>
            <w:r>
              <w:rPr>
                <w:rFonts w:eastAsia="仿宋_GB2312"/>
                <w:bCs/>
              </w:rPr>
              <w:t>C</w:t>
            </w:r>
            <w:r>
              <w:rPr>
                <w:rFonts w:eastAsia="仿宋_GB2312"/>
                <w:bCs/>
                <w:vertAlign w:val="subscript"/>
              </w:rPr>
              <w:t>6</w:t>
            </w:r>
            <w:r>
              <w:rPr>
                <w:rFonts w:eastAsia="仿宋_GB2312"/>
                <w:bCs/>
              </w:rPr>
              <w:t>H</w:t>
            </w:r>
            <w:r>
              <w:rPr>
                <w:rFonts w:eastAsia="仿宋_GB2312"/>
                <w:bCs/>
                <w:vertAlign w:val="subscript"/>
              </w:rPr>
              <w:t>12</w:t>
            </w:r>
            <w:r>
              <w:rPr>
                <w:rFonts w:eastAsia="仿宋_GB2312"/>
                <w:bCs/>
              </w:rPr>
              <w:t>O</w:t>
            </w:r>
            <w:r>
              <w:rPr>
                <w:rFonts w:eastAsia="仿宋_GB2312"/>
                <w:bCs/>
                <w:vertAlign w:val="subscript"/>
              </w:rPr>
              <w:t>3</w:t>
            </w:r>
          </w:p>
        </w:tc>
        <w:tc>
          <w:tcPr>
            <w:tcW w:w="422" w:type="pct"/>
            <w:vAlign w:val="center"/>
          </w:tcPr>
          <w:p w14:paraId="33F53C95">
            <w:pPr>
              <w:jc w:val="center"/>
              <w:rPr>
                <w:rFonts w:eastAsia="仿宋_GB2312"/>
                <w:szCs w:val="21"/>
              </w:rPr>
            </w:pPr>
            <w:r>
              <w:rPr>
                <w:rFonts w:eastAsia="仿宋_GB2312"/>
                <w:bCs/>
              </w:rPr>
              <w:t>/</w:t>
            </w:r>
          </w:p>
        </w:tc>
        <w:tc>
          <w:tcPr>
            <w:tcW w:w="1185" w:type="pct"/>
            <w:vAlign w:val="center"/>
          </w:tcPr>
          <w:p w14:paraId="6221DF84">
            <w:pPr>
              <w:rPr>
                <w:rFonts w:eastAsia="仿宋_GB2312"/>
                <w:szCs w:val="21"/>
              </w:rPr>
            </w:pPr>
            <w:r>
              <w:rPr>
                <w:rFonts w:eastAsia="仿宋_GB2312"/>
                <w:bCs/>
              </w:rPr>
              <w:t>分子量132.16，无色透明液体，溶于水。熔点-87</w:t>
            </w:r>
            <w:r>
              <w:rPr>
                <w:rFonts w:hint="eastAsia" w:ascii="宋体" w:hAnsi="宋体" w:cs="宋体"/>
                <w:bCs/>
              </w:rPr>
              <w:t>℃</w:t>
            </w:r>
            <w:r>
              <w:rPr>
                <w:rFonts w:eastAsia="仿宋_GB2312"/>
                <w:bCs/>
              </w:rPr>
              <w:t>，沸点146</w:t>
            </w:r>
            <w:r>
              <w:rPr>
                <w:rFonts w:hint="eastAsia" w:ascii="宋体" w:hAnsi="宋体" w:cs="宋体"/>
                <w:bCs/>
              </w:rPr>
              <w:t>℃</w:t>
            </w:r>
            <w:r>
              <w:rPr>
                <w:rFonts w:eastAsia="仿宋_GB2312"/>
                <w:bCs/>
              </w:rPr>
              <w:t>，闪点47.9</w:t>
            </w:r>
            <w:r>
              <w:rPr>
                <w:rFonts w:hint="eastAsia" w:ascii="宋体" w:hAnsi="宋体" w:cs="宋体"/>
                <w:bCs/>
              </w:rPr>
              <w:t>℃</w:t>
            </w:r>
            <w:r>
              <w:rPr>
                <w:rFonts w:eastAsia="仿宋_GB2312"/>
                <w:bCs/>
              </w:rPr>
              <w:t>，相对密度（水=1）：0.79，相对蒸气密度(空气=1)：2.07</w:t>
            </w:r>
          </w:p>
        </w:tc>
        <w:tc>
          <w:tcPr>
            <w:tcW w:w="921" w:type="pct"/>
            <w:vAlign w:val="center"/>
          </w:tcPr>
          <w:p w14:paraId="4888BE6B">
            <w:pPr>
              <w:jc w:val="center"/>
              <w:rPr>
                <w:rFonts w:eastAsia="仿宋_GB2312"/>
                <w:bCs/>
                <w:szCs w:val="21"/>
              </w:rPr>
            </w:pPr>
            <w:r>
              <w:rPr>
                <w:rFonts w:eastAsia="仿宋_GB2312"/>
                <w:bCs/>
              </w:rPr>
              <w:t>LD</w:t>
            </w:r>
            <w:r>
              <w:rPr>
                <w:rFonts w:eastAsia="仿宋_GB2312"/>
                <w:bCs/>
                <w:vertAlign w:val="subscript"/>
              </w:rPr>
              <w:t>50</w:t>
            </w:r>
            <w:r>
              <w:rPr>
                <w:rFonts w:eastAsia="仿宋_GB2312"/>
                <w:bCs/>
              </w:rPr>
              <w:t>3739 mg/kg (大鼠经口)；</w:t>
            </w:r>
          </w:p>
          <w:p w14:paraId="40FDE530">
            <w:pPr>
              <w:jc w:val="center"/>
              <w:rPr>
                <w:rFonts w:eastAsia="仿宋_GB2312"/>
                <w:szCs w:val="21"/>
              </w:rPr>
            </w:pPr>
            <w:r>
              <w:rPr>
                <w:rFonts w:eastAsia="仿宋_GB2312"/>
                <w:bCs/>
              </w:rPr>
              <w:t>LD</w:t>
            </w:r>
            <w:r>
              <w:rPr>
                <w:rFonts w:eastAsia="仿宋_GB2312"/>
                <w:bCs/>
                <w:vertAlign w:val="subscript"/>
              </w:rPr>
              <w:t>50</w:t>
            </w:r>
            <w:r>
              <w:rPr>
                <w:rFonts w:eastAsia="仿宋_GB2312"/>
                <w:bCs/>
              </w:rPr>
              <w:t>11700 mg/kg (小鼠经口)；</w:t>
            </w:r>
          </w:p>
        </w:tc>
        <w:tc>
          <w:tcPr>
            <w:tcW w:w="462" w:type="pct"/>
            <w:vAlign w:val="center"/>
          </w:tcPr>
          <w:p w14:paraId="674E45DE">
            <w:pPr>
              <w:jc w:val="center"/>
              <w:rPr>
                <w:rFonts w:eastAsia="仿宋_GB2312"/>
                <w:szCs w:val="21"/>
              </w:rPr>
            </w:pPr>
            <w:r>
              <w:rPr>
                <w:rFonts w:eastAsia="仿宋_GB2312"/>
                <w:bCs/>
              </w:rPr>
              <w:t>/</w:t>
            </w:r>
          </w:p>
        </w:tc>
        <w:tc>
          <w:tcPr>
            <w:tcW w:w="910" w:type="pct"/>
            <w:vAlign w:val="center"/>
          </w:tcPr>
          <w:p w14:paraId="40DB30E9">
            <w:pPr>
              <w:rPr>
                <w:rFonts w:eastAsia="仿宋_GB2312"/>
                <w:bCs/>
                <w:szCs w:val="21"/>
              </w:rPr>
            </w:pPr>
            <w:r>
              <w:rPr>
                <w:rFonts w:eastAsia="仿宋_GB2312"/>
                <w:bCs/>
              </w:rPr>
              <w:t>饱和蒸汽压（kPa）：4.40（20</w:t>
            </w:r>
            <w:r>
              <w:rPr>
                <w:rFonts w:hint="eastAsia" w:ascii="宋体" w:hAnsi="宋体" w:cs="宋体"/>
                <w:bCs/>
              </w:rPr>
              <w:t>℃</w:t>
            </w:r>
            <w:r>
              <w:rPr>
                <w:rFonts w:eastAsia="仿宋_GB2312"/>
                <w:bCs/>
              </w:rPr>
              <w:t>）</w:t>
            </w:r>
          </w:p>
          <w:p w14:paraId="33F03DA0">
            <w:pPr>
              <w:jc w:val="center"/>
              <w:rPr>
                <w:rFonts w:eastAsia="仿宋_GB2312"/>
                <w:szCs w:val="21"/>
              </w:rPr>
            </w:pPr>
            <w:r>
              <w:rPr>
                <w:rFonts w:eastAsia="仿宋_GB2312"/>
                <w:bCs/>
              </w:rPr>
              <w:t>易燃，其蒸气与空气可形成爆炸性混合物，遇明火、高热能引起燃烧爆炸。与氧化剂接触猛烈反应。其蒸气比空气重，能在较低处扩散到相当远的地方，遇火源会着火回燃。</w:t>
            </w:r>
          </w:p>
        </w:tc>
      </w:tr>
      <w:tr w14:paraId="7E177F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1" w:type="dxa"/>
            <w:bottom w:w="0" w:type="dxa"/>
            <w:right w:w="51" w:type="dxa"/>
          </w:tblCellMar>
        </w:tblPrEx>
        <w:trPr>
          <w:trHeight w:val="340" w:hRule="atLeast"/>
          <w:jc w:val="center"/>
        </w:trPr>
        <w:tc>
          <w:tcPr>
            <w:tcW w:w="578" w:type="pct"/>
            <w:vAlign w:val="center"/>
          </w:tcPr>
          <w:p w14:paraId="163FC4E6">
            <w:pPr>
              <w:adjustRightInd w:val="0"/>
              <w:snapToGrid w:val="0"/>
              <w:jc w:val="center"/>
              <w:rPr>
                <w:rFonts w:eastAsia="仿宋_GB2312"/>
                <w:szCs w:val="21"/>
              </w:rPr>
            </w:pPr>
            <w:r>
              <w:rPr>
                <w:rFonts w:eastAsia="仿宋_GB2312"/>
                <w:bCs/>
              </w:rPr>
              <w:t>环戊酮</w:t>
            </w:r>
          </w:p>
        </w:tc>
        <w:tc>
          <w:tcPr>
            <w:tcW w:w="519" w:type="pct"/>
            <w:vAlign w:val="center"/>
          </w:tcPr>
          <w:p w14:paraId="27715AC3">
            <w:pPr>
              <w:jc w:val="center"/>
              <w:rPr>
                <w:rFonts w:eastAsia="仿宋_GB2312"/>
                <w:szCs w:val="21"/>
              </w:rPr>
            </w:pPr>
            <w:r>
              <w:rPr>
                <w:rFonts w:eastAsia="仿宋_GB2312"/>
                <w:bCs/>
              </w:rPr>
              <w:t>C</w:t>
            </w:r>
            <w:r>
              <w:rPr>
                <w:rFonts w:eastAsia="仿宋_GB2312"/>
                <w:bCs/>
                <w:vertAlign w:val="subscript"/>
              </w:rPr>
              <w:t>5</w:t>
            </w:r>
            <w:r>
              <w:rPr>
                <w:rFonts w:eastAsia="仿宋_GB2312"/>
                <w:bCs/>
              </w:rPr>
              <w:t>H</w:t>
            </w:r>
            <w:r>
              <w:rPr>
                <w:rFonts w:eastAsia="仿宋_GB2312"/>
                <w:bCs/>
                <w:vertAlign w:val="subscript"/>
              </w:rPr>
              <w:t>8</w:t>
            </w:r>
            <w:r>
              <w:rPr>
                <w:rFonts w:eastAsia="仿宋_GB2312"/>
                <w:bCs/>
              </w:rPr>
              <w:t>O</w:t>
            </w:r>
          </w:p>
        </w:tc>
        <w:tc>
          <w:tcPr>
            <w:tcW w:w="422" w:type="pct"/>
            <w:vAlign w:val="center"/>
          </w:tcPr>
          <w:p w14:paraId="42B3AEF3">
            <w:pPr>
              <w:jc w:val="center"/>
              <w:rPr>
                <w:rFonts w:eastAsia="仿宋_GB2312"/>
                <w:szCs w:val="21"/>
              </w:rPr>
            </w:pPr>
            <w:r>
              <w:rPr>
                <w:rFonts w:eastAsia="仿宋_GB2312"/>
                <w:bCs/>
              </w:rPr>
              <w:t>33590</w:t>
            </w:r>
          </w:p>
        </w:tc>
        <w:tc>
          <w:tcPr>
            <w:tcW w:w="1185" w:type="pct"/>
            <w:vAlign w:val="center"/>
          </w:tcPr>
          <w:p w14:paraId="024B7E64">
            <w:pPr>
              <w:rPr>
                <w:rFonts w:eastAsia="仿宋_GB2312"/>
                <w:szCs w:val="21"/>
              </w:rPr>
            </w:pPr>
            <w:r>
              <w:rPr>
                <w:rFonts w:eastAsia="仿宋_GB2312"/>
                <w:bCs/>
              </w:rPr>
              <w:t>分子量84.12，水白色液体，有醚样的气味。不溶于水，溶于醇、醚等多数有机溶剂。熔点-58.2</w:t>
            </w:r>
            <w:r>
              <w:rPr>
                <w:rFonts w:hint="eastAsia" w:ascii="宋体" w:hAnsi="宋体" w:cs="宋体"/>
              </w:rPr>
              <w:t>℃</w:t>
            </w:r>
            <w:r>
              <w:rPr>
                <w:rFonts w:eastAsia="仿宋_GB2312"/>
                <w:bCs/>
              </w:rPr>
              <w:t>，</w:t>
            </w:r>
            <w:r>
              <w:rPr>
                <w:rFonts w:eastAsia="仿宋_GB2312"/>
              </w:rPr>
              <w:t>沸点130.6</w:t>
            </w:r>
            <w:r>
              <w:rPr>
                <w:rFonts w:hint="eastAsia" w:ascii="宋体" w:hAnsi="宋体" w:cs="宋体"/>
              </w:rPr>
              <w:t>℃</w:t>
            </w:r>
            <w:r>
              <w:rPr>
                <w:rFonts w:eastAsia="仿宋_GB2312"/>
              </w:rPr>
              <w:t>，</w:t>
            </w:r>
            <w:r>
              <w:rPr>
                <w:rFonts w:eastAsia="仿宋_GB2312"/>
                <w:bCs/>
              </w:rPr>
              <w:t>相对密度（水=1）：0.95</w:t>
            </w:r>
          </w:p>
        </w:tc>
        <w:tc>
          <w:tcPr>
            <w:tcW w:w="921" w:type="pct"/>
            <w:vAlign w:val="center"/>
          </w:tcPr>
          <w:p w14:paraId="253C7B33">
            <w:pPr>
              <w:jc w:val="center"/>
              <w:rPr>
                <w:rFonts w:eastAsia="仿宋_GB2312"/>
                <w:szCs w:val="21"/>
              </w:rPr>
            </w:pPr>
            <w:r>
              <w:rPr>
                <w:rFonts w:eastAsia="仿宋_GB2312"/>
                <w:bCs/>
              </w:rPr>
              <w:t>LD</w:t>
            </w:r>
            <w:r>
              <w:rPr>
                <w:rFonts w:eastAsia="仿宋_GB2312"/>
                <w:bCs/>
                <w:vertAlign w:val="subscript"/>
              </w:rPr>
              <w:t>50</w:t>
            </w:r>
            <w:r>
              <w:rPr>
                <w:rFonts w:eastAsia="仿宋_GB2312"/>
                <w:bCs/>
              </w:rPr>
              <w:t>1950 mg/kg(小鼠静脉)</w:t>
            </w:r>
          </w:p>
        </w:tc>
        <w:tc>
          <w:tcPr>
            <w:tcW w:w="462" w:type="pct"/>
            <w:vAlign w:val="center"/>
          </w:tcPr>
          <w:p w14:paraId="1C4F2833">
            <w:pPr>
              <w:jc w:val="center"/>
              <w:rPr>
                <w:rFonts w:eastAsia="仿宋_GB2312"/>
                <w:szCs w:val="21"/>
              </w:rPr>
            </w:pPr>
            <w:r>
              <w:rPr>
                <w:rFonts w:eastAsia="仿宋_GB2312"/>
                <w:bCs/>
              </w:rPr>
              <w:t>/</w:t>
            </w:r>
          </w:p>
        </w:tc>
        <w:tc>
          <w:tcPr>
            <w:tcW w:w="910" w:type="pct"/>
            <w:vAlign w:val="center"/>
          </w:tcPr>
          <w:p w14:paraId="23C600C0">
            <w:pPr>
              <w:jc w:val="center"/>
              <w:rPr>
                <w:rFonts w:eastAsia="仿宋_GB2312"/>
                <w:szCs w:val="21"/>
              </w:rPr>
            </w:pPr>
            <w:r>
              <w:rPr>
                <w:rFonts w:eastAsia="仿宋_GB2312"/>
                <w:bCs/>
              </w:rPr>
              <w:t>本品易燃，遇明火、高热或与氧化剂接触，有引起燃烧爆炸的危险。</w:t>
            </w:r>
          </w:p>
        </w:tc>
      </w:tr>
      <w:tr w14:paraId="362787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1" w:type="dxa"/>
            <w:bottom w:w="0" w:type="dxa"/>
            <w:right w:w="51" w:type="dxa"/>
          </w:tblCellMar>
        </w:tblPrEx>
        <w:trPr>
          <w:trHeight w:val="340" w:hRule="atLeast"/>
          <w:jc w:val="center"/>
        </w:trPr>
        <w:tc>
          <w:tcPr>
            <w:tcW w:w="578" w:type="pct"/>
            <w:vAlign w:val="center"/>
          </w:tcPr>
          <w:p w14:paraId="6683ECE0">
            <w:pPr>
              <w:adjustRightInd w:val="0"/>
              <w:snapToGrid w:val="0"/>
              <w:jc w:val="center"/>
              <w:rPr>
                <w:rFonts w:eastAsia="仿宋_GB2312"/>
                <w:szCs w:val="21"/>
              </w:rPr>
            </w:pPr>
            <w:r>
              <w:rPr>
                <w:rFonts w:eastAsia="仿宋_GB2312"/>
              </w:rPr>
              <w:t>异戊二烯</w:t>
            </w:r>
          </w:p>
        </w:tc>
        <w:tc>
          <w:tcPr>
            <w:tcW w:w="519" w:type="pct"/>
            <w:vAlign w:val="center"/>
          </w:tcPr>
          <w:p w14:paraId="6E234C60">
            <w:pPr>
              <w:jc w:val="center"/>
              <w:rPr>
                <w:rFonts w:eastAsia="仿宋_GB2312"/>
                <w:szCs w:val="21"/>
              </w:rPr>
            </w:pPr>
            <w:r>
              <w:rPr>
                <w:rFonts w:eastAsia="仿宋_GB2312"/>
              </w:rPr>
              <w:t>C</w:t>
            </w:r>
            <w:r>
              <w:rPr>
                <w:rFonts w:eastAsia="仿宋_GB2312"/>
                <w:vertAlign w:val="subscript"/>
              </w:rPr>
              <w:t>5</w:t>
            </w:r>
            <w:r>
              <w:rPr>
                <w:rFonts w:eastAsia="仿宋_GB2312"/>
              </w:rPr>
              <w:t>H</w:t>
            </w:r>
            <w:r>
              <w:rPr>
                <w:rFonts w:eastAsia="仿宋_GB2312"/>
                <w:vertAlign w:val="subscript"/>
              </w:rPr>
              <w:t>8</w:t>
            </w:r>
          </w:p>
        </w:tc>
        <w:tc>
          <w:tcPr>
            <w:tcW w:w="422" w:type="pct"/>
            <w:vAlign w:val="center"/>
          </w:tcPr>
          <w:p w14:paraId="5B35FA81">
            <w:pPr>
              <w:jc w:val="center"/>
              <w:rPr>
                <w:rFonts w:eastAsia="仿宋_GB2312"/>
                <w:szCs w:val="21"/>
              </w:rPr>
            </w:pPr>
            <w:r>
              <w:rPr>
                <w:rFonts w:eastAsia="仿宋_GB2312"/>
              </w:rPr>
              <w:t>31012</w:t>
            </w:r>
          </w:p>
        </w:tc>
        <w:tc>
          <w:tcPr>
            <w:tcW w:w="1185" w:type="pct"/>
            <w:vAlign w:val="center"/>
          </w:tcPr>
          <w:p w14:paraId="40D81BFA">
            <w:pPr>
              <w:rPr>
                <w:rFonts w:eastAsia="仿宋_GB2312"/>
                <w:szCs w:val="21"/>
              </w:rPr>
            </w:pPr>
            <w:r>
              <w:rPr>
                <w:rFonts w:eastAsia="仿宋_GB2312"/>
              </w:rPr>
              <w:t>分子量68.11，无色易挥发液体。沸点34</w:t>
            </w:r>
            <w:r>
              <w:rPr>
                <w:rFonts w:hint="eastAsia" w:ascii="宋体" w:hAnsi="宋体" w:cs="宋体"/>
              </w:rPr>
              <w:t>℃</w:t>
            </w:r>
            <w:r>
              <w:rPr>
                <w:rFonts w:eastAsia="仿宋_GB2312"/>
              </w:rPr>
              <w:t>，熔点-146.7</w:t>
            </w:r>
            <w:r>
              <w:rPr>
                <w:rFonts w:hint="eastAsia" w:ascii="宋体" w:hAnsi="宋体" w:cs="宋体"/>
              </w:rPr>
              <w:t>℃</w:t>
            </w:r>
            <w:r>
              <w:rPr>
                <w:rFonts w:eastAsia="仿宋_GB2312"/>
              </w:rPr>
              <w:t>，相对密度（水=1）0.68。不溶于水，溶于乙醇、乙醚等多数有机溶剂。</w:t>
            </w:r>
          </w:p>
        </w:tc>
        <w:tc>
          <w:tcPr>
            <w:tcW w:w="921" w:type="pct"/>
            <w:vAlign w:val="center"/>
          </w:tcPr>
          <w:p w14:paraId="3DB61BFD">
            <w:pPr>
              <w:jc w:val="center"/>
              <w:rPr>
                <w:rFonts w:eastAsia="仿宋_GB2312"/>
                <w:szCs w:val="21"/>
              </w:rPr>
            </w:pPr>
            <w:r>
              <w:rPr>
                <w:rFonts w:eastAsia="仿宋_GB2312"/>
              </w:rPr>
              <w:t>LC</w:t>
            </w:r>
            <w:r>
              <w:rPr>
                <w:rFonts w:eastAsia="仿宋_GB2312"/>
                <w:vertAlign w:val="subscript"/>
              </w:rPr>
              <w:t>50</w:t>
            </w:r>
            <w:r>
              <w:rPr>
                <w:rFonts w:eastAsia="仿宋_GB2312"/>
              </w:rPr>
              <w:t>180000mg/</w:t>
            </w:r>
            <w:r>
              <w:rPr>
                <w:rFonts w:eastAsia="仿宋_GB2312"/>
                <w:bCs/>
              </w:rPr>
              <w:t xml:space="preserve"> m</w:t>
            </w:r>
            <w:r>
              <w:rPr>
                <w:rFonts w:eastAsia="仿宋_GB2312"/>
                <w:bCs/>
                <w:vertAlign w:val="superscript"/>
              </w:rPr>
              <w:t>3</w:t>
            </w:r>
            <w:r>
              <w:rPr>
                <w:rFonts w:eastAsia="仿宋_GB2312"/>
              </w:rPr>
              <w:t>（大鼠吸入）</w:t>
            </w:r>
          </w:p>
        </w:tc>
        <w:tc>
          <w:tcPr>
            <w:tcW w:w="462" w:type="pct"/>
            <w:vAlign w:val="center"/>
          </w:tcPr>
          <w:p w14:paraId="0E5C8E68">
            <w:pPr>
              <w:jc w:val="center"/>
              <w:rPr>
                <w:rFonts w:eastAsia="仿宋_GB2312"/>
                <w:szCs w:val="21"/>
              </w:rPr>
            </w:pPr>
            <w:r>
              <w:rPr>
                <w:rFonts w:eastAsia="仿宋_GB2312"/>
              </w:rPr>
              <w:t>/</w:t>
            </w:r>
          </w:p>
        </w:tc>
        <w:tc>
          <w:tcPr>
            <w:tcW w:w="910" w:type="pct"/>
            <w:vAlign w:val="center"/>
          </w:tcPr>
          <w:p w14:paraId="0FCFE8ED">
            <w:pPr>
              <w:jc w:val="center"/>
              <w:rPr>
                <w:rFonts w:eastAsia="仿宋_GB2312"/>
                <w:szCs w:val="21"/>
              </w:rPr>
            </w:pPr>
            <w:r>
              <w:rPr>
                <w:rFonts w:eastAsia="仿宋_GB2312"/>
              </w:rPr>
              <w:t>易燃，其蒸气与空气可形成爆炸性混合物，遇明火、高热极易燃烧爆炸。与氧化剂、发烟硫酸、硝酸、硫酸、氯磺酸接触剧烈反应。若遇高热，可发生聚合反应，放出大量热量而引起容器破裂和爆炸事故。</w:t>
            </w:r>
          </w:p>
        </w:tc>
      </w:tr>
      <w:tr w14:paraId="204591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1" w:type="dxa"/>
            <w:bottom w:w="0" w:type="dxa"/>
            <w:right w:w="51" w:type="dxa"/>
          </w:tblCellMar>
        </w:tblPrEx>
        <w:trPr>
          <w:trHeight w:val="340" w:hRule="atLeast"/>
          <w:jc w:val="center"/>
        </w:trPr>
        <w:tc>
          <w:tcPr>
            <w:tcW w:w="578" w:type="pct"/>
            <w:vAlign w:val="center"/>
          </w:tcPr>
          <w:p w14:paraId="2597ED97">
            <w:pPr>
              <w:adjustRightInd w:val="0"/>
              <w:snapToGrid w:val="0"/>
              <w:jc w:val="center"/>
              <w:rPr>
                <w:rFonts w:eastAsia="仿宋_GB2312"/>
                <w:szCs w:val="21"/>
              </w:rPr>
            </w:pPr>
            <w:r>
              <w:rPr>
                <w:rFonts w:eastAsia="仿宋_GB2312"/>
              </w:rPr>
              <w:t>甲酸乙酯</w:t>
            </w:r>
          </w:p>
        </w:tc>
        <w:tc>
          <w:tcPr>
            <w:tcW w:w="519" w:type="pct"/>
            <w:vAlign w:val="center"/>
          </w:tcPr>
          <w:p w14:paraId="5082920C">
            <w:pPr>
              <w:jc w:val="center"/>
              <w:rPr>
                <w:rFonts w:eastAsia="仿宋_GB2312"/>
                <w:szCs w:val="21"/>
              </w:rPr>
            </w:pPr>
            <w:r>
              <w:rPr>
                <w:rFonts w:eastAsia="仿宋_GB2312"/>
              </w:rPr>
              <w:t>C</w:t>
            </w:r>
            <w:r>
              <w:rPr>
                <w:rFonts w:eastAsia="仿宋_GB2312"/>
                <w:vertAlign w:val="subscript"/>
              </w:rPr>
              <w:t>3</w:t>
            </w:r>
            <w:r>
              <w:rPr>
                <w:rFonts w:eastAsia="仿宋_GB2312"/>
              </w:rPr>
              <w:t>H</w:t>
            </w:r>
            <w:r>
              <w:rPr>
                <w:rFonts w:eastAsia="仿宋_GB2312"/>
                <w:vertAlign w:val="subscript"/>
              </w:rPr>
              <w:t>6</w:t>
            </w:r>
            <w:r>
              <w:rPr>
                <w:rFonts w:eastAsia="仿宋_GB2312"/>
              </w:rPr>
              <w:t>O</w:t>
            </w:r>
            <w:r>
              <w:rPr>
                <w:rFonts w:eastAsia="仿宋_GB2312"/>
                <w:vertAlign w:val="subscript"/>
              </w:rPr>
              <w:t>2</w:t>
            </w:r>
          </w:p>
        </w:tc>
        <w:tc>
          <w:tcPr>
            <w:tcW w:w="422" w:type="pct"/>
            <w:vAlign w:val="center"/>
          </w:tcPr>
          <w:p w14:paraId="3C29A82E">
            <w:pPr>
              <w:jc w:val="center"/>
              <w:rPr>
                <w:rFonts w:eastAsia="仿宋_GB2312"/>
                <w:szCs w:val="21"/>
              </w:rPr>
            </w:pPr>
            <w:r>
              <w:rPr>
                <w:rFonts w:eastAsia="仿宋_GB2312"/>
              </w:rPr>
              <w:t>31038</w:t>
            </w:r>
          </w:p>
        </w:tc>
        <w:tc>
          <w:tcPr>
            <w:tcW w:w="1185" w:type="pct"/>
            <w:vAlign w:val="center"/>
          </w:tcPr>
          <w:p w14:paraId="2525D40A">
            <w:pPr>
              <w:rPr>
                <w:rFonts w:eastAsia="仿宋_GB2312"/>
                <w:szCs w:val="21"/>
              </w:rPr>
            </w:pPr>
            <w:r>
              <w:rPr>
                <w:rFonts w:eastAsia="仿宋_GB2312"/>
              </w:rPr>
              <w:t>分子量74.08，无色易挥发液体。沸点54.3</w:t>
            </w:r>
            <w:r>
              <w:rPr>
                <w:rFonts w:hint="eastAsia" w:ascii="宋体" w:hAnsi="宋体" w:cs="宋体"/>
              </w:rPr>
              <w:t>℃</w:t>
            </w:r>
            <w:r>
              <w:rPr>
                <w:rFonts w:eastAsia="仿宋_GB2312"/>
              </w:rPr>
              <w:t>，熔点-79</w:t>
            </w:r>
            <w:r>
              <w:rPr>
                <w:rFonts w:hint="eastAsia" w:ascii="宋体" w:hAnsi="宋体" w:cs="宋体"/>
              </w:rPr>
              <w:t>℃</w:t>
            </w:r>
            <w:r>
              <w:rPr>
                <w:rFonts w:eastAsia="仿宋_GB2312"/>
              </w:rPr>
              <w:t>，相对密度（水=1）0.92。微溶于水，溶于苯、乙醇、乙醚等多数有机溶剂。</w:t>
            </w:r>
          </w:p>
        </w:tc>
        <w:tc>
          <w:tcPr>
            <w:tcW w:w="921" w:type="pct"/>
            <w:vAlign w:val="center"/>
          </w:tcPr>
          <w:p w14:paraId="3744499E">
            <w:pPr>
              <w:jc w:val="center"/>
              <w:rPr>
                <w:rFonts w:eastAsia="仿宋_GB2312"/>
                <w:szCs w:val="21"/>
              </w:rPr>
            </w:pPr>
            <w:r>
              <w:rPr>
                <w:rFonts w:eastAsia="仿宋_GB2312"/>
              </w:rPr>
              <w:t>/</w:t>
            </w:r>
          </w:p>
        </w:tc>
        <w:tc>
          <w:tcPr>
            <w:tcW w:w="462" w:type="pct"/>
            <w:vAlign w:val="center"/>
          </w:tcPr>
          <w:p w14:paraId="51C8FEE6">
            <w:pPr>
              <w:jc w:val="center"/>
              <w:rPr>
                <w:rFonts w:eastAsia="仿宋_GB2312"/>
                <w:szCs w:val="21"/>
              </w:rPr>
            </w:pPr>
            <w:r>
              <w:rPr>
                <w:rFonts w:eastAsia="仿宋_GB2312"/>
              </w:rPr>
              <w:t>/</w:t>
            </w:r>
          </w:p>
        </w:tc>
        <w:tc>
          <w:tcPr>
            <w:tcW w:w="910" w:type="pct"/>
            <w:vAlign w:val="center"/>
          </w:tcPr>
          <w:p w14:paraId="26E7A8DB">
            <w:pPr>
              <w:jc w:val="center"/>
              <w:rPr>
                <w:rFonts w:eastAsia="仿宋_GB2312"/>
                <w:szCs w:val="21"/>
              </w:rPr>
            </w:pPr>
            <w:r>
              <w:rPr>
                <w:rFonts w:eastAsia="仿宋_GB2312"/>
              </w:rPr>
              <w:t>易燃，其蒸气与空气可形成爆炸性混合物，遇明火、高热或与氧化剂接触，有引起燃烧爆炸的危险。</w:t>
            </w:r>
          </w:p>
        </w:tc>
      </w:tr>
      <w:tr w14:paraId="5C3B53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1" w:type="dxa"/>
            <w:bottom w:w="0" w:type="dxa"/>
            <w:right w:w="51" w:type="dxa"/>
          </w:tblCellMar>
        </w:tblPrEx>
        <w:trPr>
          <w:trHeight w:val="340" w:hRule="atLeast"/>
          <w:jc w:val="center"/>
        </w:trPr>
        <w:tc>
          <w:tcPr>
            <w:tcW w:w="578" w:type="pct"/>
            <w:vAlign w:val="center"/>
          </w:tcPr>
          <w:p w14:paraId="27E15CB3">
            <w:pPr>
              <w:adjustRightInd w:val="0"/>
              <w:snapToGrid w:val="0"/>
              <w:jc w:val="center"/>
              <w:rPr>
                <w:rFonts w:eastAsia="仿宋_GB2312"/>
                <w:szCs w:val="21"/>
              </w:rPr>
            </w:pPr>
            <w:r>
              <w:rPr>
                <w:rFonts w:eastAsia="仿宋_GB2312"/>
                <w:bCs/>
              </w:rPr>
              <w:t>甲基异丁基酮</w:t>
            </w:r>
          </w:p>
        </w:tc>
        <w:tc>
          <w:tcPr>
            <w:tcW w:w="519" w:type="pct"/>
            <w:vAlign w:val="center"/>
          </w:tcPr>
          <w:p w14:paraId="0BAE17D2">
            <w:pPr>
              <w:jc w:val="center"/>
              <w:rPr>
                <w:rFonts w:eastAsia="仿宋_GB2312"/>
                <w:szCs w:val="21"/>
              </w:rPr>
            </w:pPr>
            <w:r>
              <w:rPr>
                <w:rFonts w:eastAsia="仿宋_GB2312"/>
                <w:bCs/>
              </w:rPr>
              <w:t>C</w:t>
            </w:r>
            <w:r>
              <w:rPr>
                <w:rFonts w:eastAsia="仿宋_GB2312"/>
                <w:bCs/>
                <w:vertAlign w:val="subscript"/>
              </w:rPr>
              <w:t>6</w:t>
            </w:r>
            <w:r>
              <w:rPr>
                <w:rFonts w:eastAsia="仿宋_GB2312"/>
                <w:bCs/>
              </w:rPr>
              <w:t>H</w:t>
            </w:r>
            <w:r>
              <w:rPr>
                <w:rFonts w:eastAsia="仿宋_GB2312"/>
                <w:bCs/>
                <w:vertAlign w:val="subscript"/>
              </w:rPr>
              <w:t>12</w:t>
            </w:r>
            <w:r>
              <w:rPr>
                <w:rFonts w:eastAsia="仿宋_GB2312"/>
                <w:bCs/>
              </w:rPr>
              <w:t>O</w:t>
            </w:r>
          </w:p>
        </w:tc>
        <w:tc>
          <w:tcPr>
            <w:tcW w:w="422" w:type="pct"/>
            <w:vAlign w:val="center"/>
          </w:tcPr>
          <w:p w14:paraId="30D49022">
            <w:pPr>
              <w:jc w:val="center"/>
              <w:rPr>
                <w:rFonts w:eastAsia="仿宋_GB2312"/>
                <w:szCs w:val="21"/>
              </w:rPr>
            </w:pPr>
            <w:r>
              <w:rPr>
                <w:rFonts w:eastAsia="仿宋_GB2312"/>
              </w:rPr>
              <w:t>/</w:t>
            </w:r>
          </w:p>
        </w:tc>
        <w:tc>
          <w:tcPr>
            <w:tcW w:w="1185" w:type="pct"/>
            <w:vAlign w:val="center"/>
          </w:tcPr>
          <w:p w14:paraId="65AA2EB5">
            <w:pPr>
              <w:rPr>
                <w:rFonts w:eastAsia="仿宋_GB2312"/>
                <w:szCs w:val="21"/>
              </w:rPr>
            </w:pPr>
            <w:r>
              <w:rPr>
                <w:rFonts w:eastAsia="仿宋_GB2312"/>
              </w:rPr>
              <w:t>分子量100，水样透明液体，有令人愉快的酮样香味。微溶于水，易溶于多数有机溶剂。熔点-83.5</w:t>
            </w:r>
            <w:r>
              <w:rPr>
                <w:rFonts w:hint="eastAsia" w:ascii="宋体" w:hAnsi="宋体" w:cs="宋体"/>
              </w:rPr>
              <w:t>℃</w:t>
            </w:r>
            <w:r>
              <w:rPr>
                <w:rFonts w:eastAsia="仿宋_GB2312"/>
              </w:rPr>
              <w:t>，沸点115.8</w:t>
            </w:r>
            <w:r>
              <w:rPr>
                <w:rFonts w:hint="eastAsia" w:ascii="宋体" w:hAnsi="宋体" w:cs="宋体"/>
              </w:rPr>
              <w:t>℃</w:t>
            </w:r>
            <w:r>
              <w:rPr>
                <w:rFonts w:eastAsia="仿宋_GB2312"/>
              </w:rPr>
              <w:t>，闪点15.6</w:t>
            </w:r>
            <w:r>
              <w:rPr>
                <w:rFonts w:hint="eastAsia" w:ascii="宋体" w:hAnsi="宋体" w:cs="宋体"/>
              </w:rPr>
              <w:t>℃</w:t>
            </w:r>
            <w:r>
              <w:rPr>
                <w:rFonts w:eastAsia="仿宋_GB2312"/>
              </w:rPr>
              <w:t>，相对密度（水=1）0.85</w:t>
            </w:r>
          </w:p>
        </w:tc>
        <w:tc>
          <w:tcPr>
            <w:tcW w:w="921" w:type="pct"/>
            <w:vAlign w:val="center"/>
          </w:tcPr>
          <w:p w14:paraId="4CCEC519">
            <w:pPr>
              <w:jc w:val="center"/>
              <w:rPr>
                <w:rFonts w:eastAsia="仿宋_GB2312"/>
                <w:szCs w:val="21"/>
              </w:rPr>
            </w:pPr>
            <w:r>
              <w:rPr>
                <w:rFonts w:eastAsia="仿宋_GB2312"/>
              </w:rPr>
              <w:t>LD</w:t>
            </w:r>
            <w:r>
              <w:rPr>
                <w:rFonts w:eastAsia="仿宋_GB2312"/>
                <w:vertAlign w:val="subscript"/>
              </w:rPr>
              <w:t>50</w:t>
            </w:r>
            <w:r>
              <w:rPr>
                <w:rFonts w:eastAsia="仿宋_GB2312"/>
              </w:rPr>
              <w:t>2080mg/kg(大鼠经口)；LC</w:t>
            </w:r>
            <w:r>
              <w:rPr>
                <w:rFonts w:eastAsia="仿宋_GB2312"/>
                <w:vertAlign w:val="subscript"/>
              </w:rPr>
              <w:t>50</w:t>
            </w:r>
            <w:r>
              <w:rPr>
                <w:rFonts w:eastAsia="仿宋_GB2312"/>
              </w:rPr>
              <w:t>33270mg/m</w:t>
            </w:r>
            <w:r>
              <w:rPr>
                <w:rFonts w:eastAsia="仿宋_GB2312"/>
                <w:vertAlign w:val="superscript"/>
              </w:rPr>
              <w:t>3</w:t>
            </w:r>
            <w:r>
              <w:rPr>
                <w:rFonts w:eastAsia="仿宋_GB2312"/>
              </w:rPr>
              <w:t>，4小时(大鼠经口)</w:t>
            </w:r>
          </w:p>
        </w:tc>
        <w:tc>
          <w:tcPr>
            <w:tcW w:w="462" w:type="pct"/>
            <w:vAlign w:val="center"/>
          </w:tcPr>
          <w:p w14:paraId="336C26C6">
            <w:pPr>
              <w:jc w:val="center"/>
              <w:rPr>
                <w:rFonts w:eastAsia="仿宋_GB2312"/>
                <w:szCs w:val="21"/>
              </w:rPr>
            </w:pPr>
            <w:r>
              <w:rPr>
                <w:rFonts w:eastAsia="仿宋_GB2312"/>
              </w:rPr>
              <w:t>/</w:t>
            </w:r>
          </w:p>
        </w:tc>
        <w:tc>
          <w:tcPr>
            <w:tcW w:w="910" w:type="pct"/>
            <w:vAlign w:val="center"/>
          </w:tcPr>
          <w:p w14:paraId="571859D6">
            <w:pPr>
              <w:rPr>
                <w:rFonts w:eastAsia="仿宋_GB2312"/>
                <w:szCs w:val="21"/>
              </w:rPr>
            </w:pPr>
            <w:r>
              <w:rPr>
                <w:rFonts w:eastAsia="仿宋_GB2312"/>
              </w:rPr>
              <w:t>本品易燃，遇高热、明火、氧化剂有引起燃烧的危险。其蒸气比空气重，能在较低处扩散到相当远的地方，遇火源会着火回燃。</w:t>
            </w:r>
          </w:p>
        </w:tc>
      </w:tr>
      <w:tr w14:paraId="1F6D8F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1" w:type="dxa"/>
            <w:bottom w:w="0" w:type="dxa"/>
            <w:right w:w="51" w:type="dxa"/>
          </w:tblCellMar>
        </w:tblPrEx>
        <w:trPr>
          <w:trHeight w:val="340" w:hRule="atLeast"/>
          <w:jc w:val="center"/>
        </w:trPr>
        <w:tc>
          <w:tcPr>
            <w:tcW w:w="578" w:type="pct"/>
            <w:vAlign w:val="center"/>
          </w:tcPr>
          <w:p w14:paraId="6B0944B1">
            <w:pPr>
              <w:adjustRightInd w:val="0"/>
              <w:snapToGrid w:val="0"/>
              <w:jc w:val="center"/>
              <w:rPr>
                <w:rFonts w:eastAsia="仿宋_GB2312"/>
                <w:szCs w:val="21"/>
              </w:rPr>
            </w:pPr>
            <w:r>
              <w:rPr>
                <w:rFonts w:eastAsia="仿宋_GB2312"/>
                <w:bCs/>
              </w:rPr>
              <w:t>甲酸甲酯</w:t>
            </w:r>
          </w:p>
        </w:tc>
        <w:tc>
          <w:tcPr>
            <w:tcW w:w="519" w:type="pct"/>
            <w:vAlign w:val="center"/>
          </w:tcPr>
          <w:p w14:paraId="5D9D26DF">
            <w:pPr>
              <w:adjustRightInd w:val="0"/>
              <w:snapToGrid w:val="0"/>
              <w:jc w:val="center"/>
              <w:rPr>
                <w:rFonts w:eastAsia="仿宋_GB2312"/>
                <w:szCs w:val="21"/>
              </w:rPr>
            </w:pPr>
            <w:r>
              <w:rPr>
                <w:rFonts w:eastAsia="仿宋_GB2312"/>
                <w:bCs/>
              </w:rPr>
              <w:t>C</w:t>
            </w:r>
            <w:r>
              <w:rPr>
                <w:rFonts w:eastAsia="仿宋_GB2312"/>
                <w:bCs/>
                <w:vertAlign w:val="subscript"/>
              </w:rPr>
              <w:t>2</w:t>
            </w:r>
            <w:r>
              <w:rPr>
                <w:rFonts w:eastAsia="仿宋_GB2312"/>
                <w:bCs/>
              </w:rPr>
              <w:t>H</w:t>
            </w:r>
            <w:r>
              <w:rPr>
                <w:rFonts w:eastAsia="仿宋_GB2312"/>
                <w:bCs/>
                <w:vertAlign w:val="subscript"/>
              </w:rPr>
              <w:t>4</w:t>
            </w:r>
            <w:r>
              <w:rPr>
                <w:rFonts w:eastAsia="仿宋_GB2312"/>
                <w:bCs/>
              </w:rPr>
              <w:t>O</w:t>
            </w:r>
            <w:r>
              <w:rPr>
                <w:rFonts w:eastAsia="仿宋_GB2312"/>
                <w:bCs/>
                <w:vertAlign w:val="subscript"/>
              </w:rPr>
              <w:t>2</w:t>
            </w:r>
          </w:p>
        </w:tc>
        <w:tc>
          <w:tcPr>
            <w:tcW w:w="422" w:type="pct"/>
            <w:vAlign w:val="center"/>
          </w:tcPr>
          <w:p w14:paraId="70E91A7E">
            <w:pPr>
              <w:adjustRightInd w:val="0"/>
              <w:snapToGrid w:val="0"/>
              <w:jc w:val="center"/>
              <w:rPr>
                <w:rFonts w:eastAsia="仿宋_GB2312"/>
                <w:szCs w:val="21"/>
              </w:rPr>
            </w:pPr>
            <w:r>
              <w:rPr>
                <w:rFonts w:eastAsia="仿宋_GB2312"/>
                <w:bCs/>
              </w:rPr>
              <w:t>31037</w:t>
            </w:r>
          </w:p>
        </w:tc>
        <w:tc>
          <w:tcPr>
            <w:tcW w:w="1185" w:type="pct"/>
            <w:vAlign w:val="center"/>
          </w:tcPr>
          <w:p w14:paraId="39AA39AD">
            <w:pPr>
              <w:adjustRightInd w:val="0"/>
              <w:snapToGrid w:val="0"/>
              <w:rPr>
                <w:rFonts w:eastAsia="仿宋_GB2312"/>
                <w:szCs w:val="21"/>
              </w:rPr>
            </w:pPr>
            <w:r>
              <w:rPr>
                <w:rFonts w:eastAsia="仿宋_GB2312"/>
                <w:bCs/>
              </w:rPr>
              <w:t>分子量60.05，无色液体，有芳香气味。溶于水、乙醇、乙醚、甲醇。熔点-99.8</w:t>
            </w:r>
            <w:r>
              <w:rPr>
                <w:rFonts w:hint="eastAsia" w:ascii="宋体" w:hAnsi="宋体" w:cs="宋体"/>
              </w:rPr>
              <w:t>℃</w:t>
            </w:r>
            <w:r>
              <w:rPr>
                <w:rFonts w:eastAsia="仿宋_GB2312"/>
                <w:bCs/>
              </w:rPr>
              <w:t>，沸点32</w:t>
            </w:r>
            <w:r>
              <w:rPr>
                <w:rFonts w:hint="eastAsia" w:ascii="宋体" w:hAnsi="宋体" w:cs="宋体"/>
              </w:rPr>
              <w:t>℃</w:t>
            </w:r>
            <w:r>
              <w:rPr>
                <w:rFonts w:eastAsia="仿宋_GB2312"/>
                <w:bCs/>
              </w:rPr>
              <w:t>，闪点-32</w:t>
            </w:r>
            <w:r>
              <w:rPr>
                <w:rFonts w:hint="eastAsia" w:ascii="宋体" w:hAnsi="宋体" w:cs="宋体"/>
              </w:rPr>
              <w:t>℃</w:t>
            </w:r>
            <w:r>
              <w:rPr>
                <w:rFonts w:eastAsia="仿宋_GB2312"/>
                <w:bCs/>
              </w:rPr>
              <w:t>，相对密度（水=1）：0.98，相对蒸气密度(空气=1)：2.07</w:t>
            </w:r>
          </w:p>
        </w:tc>
        <w:tc>
          <w:tcPr>
            <w:tcW w:w="921" w:type="pct"/>
            <w:vAlign w:val="center"/>
          </w:tcPr>
          <w:p w14:paraId="52737CE2">
            <w:pPr>
              <w:adjustRightInd w:val="0"/>
              <w:snapToGrid w:val="0"/>
              <w:jc w:val="center"/>
              <w:rPr>
                <w:rFonts w:eastAsia="仿宋_GB2312"/>
                <w:szCs w:val="21"/>
              </w:rPr>
            </w:pPr>
            <w:r>
              <w:rPr>
                <w:rFonts w:eastAsia="仿宋_GB2312"/>
                <w:bCs/>
              </w:rPr>
              <w:t>LD</w:t>
            </w:r>
            <w:r>
              <w:rPr>
                <w:rFonts w:eastAsia="仿宋_GB2312"/>
                <w:bCs/>
                <w:vertAlign w:val="subscript"/>
              </w:rPr>
              <w:t>50</w:t>
            </w:r>
            <w:r>
              <w:rPr>
                <w:rFonts w:eastAsia="仿宋_GB2312"/>
                <w:bCs/>
              </w:rPr>
              <w:t>1622 mg/kg (兔经口)；</w:t>
            </w:r>
          </w:p>
        </w:tc>
        <w:tc>
          <w:tcPr>
            <w:tcW w:w="462" w:type="pct"/>
            <w:vAlign w:val="center"/>
          </w:tcPr>
          <w:p w14:paraId="338ADE8B">
            <w:pPr>
              <w:jc w:val="center"/>
              <w:rPr>
                <w:rFonts w:eastAsia="仿宋_GB2312"/>
                <w:szCs w:val="21"/>
              </w:rPr>
            </w:pPr>
            <w:r>
              <w:rPr>
                <w:rFonts w:eastAsia="仿宋_GB2312"/>
                <w:bCs/>
              </w:rPr>
              <w:t>/</w:t>
            </w:r>
          </w:p>
        </w:tc>
        <w:tc>
          <w:tcPr>
            <w:tcW w:w="910" w:type="pct"/>
            <w:vAlign w:val="center"/>
          </w:tcPr>
          <w:p w14:paraId="7188384F">
            <w:pPr>
              <w:rPr>
                <w:rFonts w:eastAsia="仿宋_GB2312"/>
                <w:bCs/>
                <w:szCs w:val="21"/>
              </w:rPr>
            </w:pPr>
            <w:r>
              <w:rPr>
                <w:rFonts w:eastAsia="仿宋_GB2312"/>
                <w:bCs/>
              </w:rPr>
              <w:t>饱和蒸汽压（kPa）53.32(16</w:t>
            </w:r>
            <w:r>
              <w:rPr>
                <w:rFonts w:hint="eastAsia" w:ascii="宋体" w:hAnsi="宋体" w:cs="宋体"/>
                <w:bCs/>
              </w:rPr>
              <w:t>℃</w:t>
            </w:r>
            <w:r>
              <w:rPr>
                <w:rFonts w:eastAsia="仿宋_GB2312"/>
                <w:bCs/>
              </w:rPr>
              <w:t>)</w:t>
            </w:r>
          </w:p>
          <w:p w14:paraId="11E52949">
            <w:pPr>
              <w:adjustRightInd w:val="0"/>
              <w:snapToGrid w:val="0"/>
              <w:rPr>
                <w:rFonts w:eastAsia="仿宋_GB2312"/>
                <w:szCs w:val="21"/>
              </w:rPr>
            </w:pPr>
            <w:r>
              <w:rPr>
                <w:rFonts w:eastAsia="仿宋_GB2312"/>
                <w:bCs/>
              </w:rPr>
              <w:t>本品极度易燃，其蒸气与空气可形成爆炸性混合物，遇明火、高热或与氧化剂接触，有引起燃烧爆炸的危险。在火场中，受热的容器有爆炸危险。其蒸气比空气重，能在较低处扩散到相当远的地方，遇火源会着火回燃。</w:t>
            </w:r>
          </w:p>
        </w:tc>
      </w:tr>
      <w:tr w14:paraId="0169E7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1" w:type="dxa"/>
            <w:bottom w:w="0" w:type="dxa"/>
            <w:right w:w="51" w:type="dxa"/>
          </w:tblCellMar>
        </w:tblPrEx>
        <w:trPr>
          <w:trHeight w:val="340" w:hRule="atLeast"/>
          <w:jc w:val="center"/>
        </w:trPr>
        <w:tc>
          <w:tcPr>
            <w:tcW w:w="578" w:type="pct"/>
            <w:vAlign w:val="center"/>
          </w:tcPr>
          <w:p w14:paraId="491EE572">
            <w:pPr>
              <w:adjustRightInd w:val="0"/>
              <w:snapToGrid w:val="0"/>
              <w:jc w:val="center"/>
              <w:rPr>
                <w:rFonts w:eastAsia="仿宋_GB2312"/>
                <w:szCs w:val="21"/>
              </w:rPr>
            </w:pPr>
            <w:r>
              <w:rPr>
                <w:rFonts w:eastAsia="仿宋_GB2312"/>
                <w:bCs/>
              </w:rPr>
              <w:t>乙二醇乙醚醋酸酯</w:t>
            </w:r>
          </w:p>
        </w:tc>
        <w:tc>
          <w:tcPr>
            <w:tcW w:w="519" w:type="pct"/>
            <w:vAlign w:val="center"/>
          </w:tcPr>
          <w:p w14:paraId="41551EE8">
            <w:pPr>
              <w:jc w:val="center"/>
              <w:rPr>
                <w:rFonts w:eastAsia="仿宋_GB2312"/>
                <w:szCs w:val="21"/>
              </w:rPr>
            </w:pPr>
            <w:r>
              <w:rPr>
                <w:rFonts w:eastAsia="仿宋_GB2312"/>
                <w:bCs/>
              </w:rPr>
              <w:t>C</w:t>
            </w:r>
            <w:r>
              <w:rPr>
                <w:rFonts w:eastAsia="仿宋_GB2312"/>
                <w:bCs/>
                <w:vertAlign w:val="subscript"/>
              </w:rPr>
              <w:t>6</w:t>
            </w:r>
            <w:r>
              <w:rPr>
                <w:rFonts w:eastAsia="仿宋_GB2312"/>
                <w:bCs/>
              </w:rPr>
              <w:t>H</w:t>
            </w:r>
            <w:r>
              <w:rPr>
                <w:rFonts w:eastAsia="仿宋_GB2312"/>
                <w:bCs/>
                <w:vertAlign w:val="subscript"/>
              </w:rPr>
              <w:t>12</w:t>
            </w:r>
            <w:r>
              <w:rPr>
                <w:rFonts w:eastAsia="仿宋_GB2312"/>
                <w:bCs/>
              </w:rPr>
              <w:t>O</w:t>
            </w:r>
            <w:r>
              <w:rPr>
                <w:rFonts w:eastAsia="仿宋_GB2312"/>
                <w:bCs/>
                <w:vertAlign w:val="subscript"/>
              </w:rPr>
              <w:t>3</w:t>
            </w:r>
          </w:p>
        </w:tc>
        <w:tc>
          <w:tcPr>
            <w:tcW w:w="422" w:type="pct"/>
            <w:vAlign w:val="center"/>
          </w:tcPr>
          <w:p w14:paraId="798F719C">
            <w:pPr>
              <w:jc w:val="center"/>
              <w:rPr>
                <w:rFonts w:eastAsia="仿宋_GB2312"/>
                <w:szCs w:val="21"/>
              </w:rPr>
            </w:pPr>
            <w:r>
              <w:rPr>
                <w:rFonts w:eastAsia="仿宋_GB2312"/>
                <w:bCs/>
              </w:rPr>
              <w:t>/</w:t>
            </w:r>
          </w:p>
        </w:tc>
        <w:tc>
          <w:tcPr>
            <w:tcW w:w="1185" w:type="pct"/>
            <w:vAlign w:val="center"/>
          </w:tcPr>
          <w:p w14:paraId="0F066AE1">
            <w:pPr>
              <w:adjustRightInd w:val="0"/>
              <w:snapToGrid w:val="0"/>
              <w:rPr>
                <w:rFonts w:eastAsia="仿宋_GB2312"/>
                <w:szCs w:val="21"/>
              </w:rPr>
            </w:pPr>
            <w:r>
              <w:rPr>
                <w:rFonts w:eastAsia="仿宋_GB2312"/>
                <w:bCs/>
              </w:rPr>
              <w:t>分子量132.16，无色液体。能与一般有机溶剂混溶，溶于水。有令人愉快的酯类香。熔点-61</w:t>
            </w:r>
            <w:r>
              <w:rPr>
                <w:rFonts w:hint="eastAsia" w:ascii="宋体" w:hAnsi="宋体" w:cs="宋体"/>
                <w:bCs/>
              </w:rPr>
              <w:t>℃</w:t>
            </w:r>
            <w:r>
              <w:rPr>
                <w:rFonts w:eastAsia="仿宋_GB2312"/>
                <w:bCs/>
              </w:rPr>
              <w:t>，沸点156</w:t>
            </w:r>
            <w:r>
              <w:rPr>
                <w:rFonts w:hint="eastAsia" w:ascii="宋体" w:hAnsi="宋体" w:cs="宋体"/>
                <w:bCs/>
              </w:rPr>
              <w:t>℃</w:t>
            </w:r>
            <w:r>
              <w:rPr>
                <w:rFonts w:eastAsia="仿宋_GB2312"/>
                <w:bCs/>
              </w:rPr>
              <w:t>，闪点57.2</w:t>
            </w:r>
            <w:r>
              <w:rPr>
                <w:rFonts w:hint="eastAsia" w:ascii="宋体" w:hAnsi="宋体" w:cs="宋体"/>
                <w:bCs/>
              </w:rPr>
              <w:t>℃</w:t>
            </w:r>
            <w:r>
              <w:rPr>
                <w:rFonts w:eastAsia="仿宋_GB2312"/>
                <w:bCs/>
              </w:rPr>
              <w:t>，相对密度（水=1）：0.975，相对蒸气密度(空气=1)：4.6。</w:t>
            </w:r>
          </w:p>
        </w:tc>
        <w:tc>
          <w:tcPr>
            <w:tcW w:w="921" w:type="pct"/>
            <w:vAlign w:val="center"/>
          </w:tcPr>
          <w:p w14:paraId="043F014C">
            <w:pPr>
              <w:jc w:val="center"/>
              <w:rPr>
                <w:rFonts w:eastAsia="仿宋_GB2312"/>
                <w:bCs/>
                <w:szCs w:val="21"/>
              </w:rPr>
            </w:pPr>
            <w:r>
              <w:rPr>
                <w:rFonts w:eastAsia="仿宋_GB2312"/>
                <w:bCs/>
              </w:rPr>
              <w:t>LD</w:t>
            </w:r>
            <w:r>
              <w:rPr>
                <w:rFonts w:eastAsia="仿宋_GB2312"/>
                <w:bCs/>
                <w:vertAlign w:val="subscript"/>
              </w:rPr>
              <w:t>50</w:t>
            </w:r>
            <w:r>
              <w:rPr>
                <w:rFonts w:eastAsia="仿宋_GB2312"/>
                <w:bCs/>
              </w:rPr>
              <w:t>270 mg/kg(大鼠经口)；</w:t>
            </w:r>
          </w:p>
          <w:p w14:paraId="002185FF">
            <w:pPr>
              <w:jc w:val="center"/>
              <w:rPr>
                <w:rFonts w:eastAsia="仿宋_GB2312"/>
                <w:szCs w:val="21"/>
              </w:rPr>
            </w:pPr>
            <w:r>
              <w:rPr>
                <w:rFonts w:eastAsia="仿宋_GB2312"/>
                <w:bCs/>
              </w:rPr>
              <w:t>LD</w:t>
            </w:r>
            <w:r>
              <w:rPr>
                <w:rFonts w:eastAsia="仿宋_GB2312"/>
                <w:bCs/>
                <w:vertAlign w:val="subscript"/>
              </w:rPr>
              <w:t>50</w:t>
            </w:r>
            <w:r>
              <w:rPr>
                <w:rFonts w:eastAsia="仿宋_GB2312"/>
                <w:bCs/>
              </w:rPr>
              <w:t>1910 mg/kg(小鼠经口)；</w:t>
            </w:r>
          </w:p>
        </w:tc>
        <w:tc>
          <w:tcPr>
            <w:tcW w:w="462" w:type="pct"/>
            <w:vAlign w:val="center"/>
          </w:tcPr>
          <w:p w14:paraId="211E42C2">
            <w:pPr>
              <w:jc w:val="center"/>
              <w:rPr>
                <w:rFonts w:eastAsia="仿宋_GB2312"/>
                <w:szCs w:val="21"/>
              </w:rPr>
            </w:pPr>
            <w:r>
              <w:rPr>
                <w:rFonts w:eastAsia="仿宋_GB2312"/>
                <w:bCs/>
              </w:rPr>
              <w:t>/</w:t>
            </w:r>
          </w:p>
        </w:tc>
        <w:tc>
          <w:tcPr>
            <w:tcW w:w="910" w:type="pct"/>
            <w:vAlign w:val="center"/>
          </w:tcPr>
          <w:p w14:paraId="20F3CC05">
            <w:pPr>
              <w:rPr>
                <w:rFonts w:eastAsia="仿宋_GB2312"/>
                <w:bCs/>
                <w:szCs w:val="21"/>
              </w:rPr>
            </w:pPr>
            <w:r>
              <w:rPr>
                <w:rFonts w:eastAsia="仿宋_GB2312"/>
                <w:bCs/>
              </w:rPr>
              <w:t>饱和蒸汽压(kPa)0.27（20</w:t>
            </w:r>
            <w:r>
              <w:rPr>
                <w:rFonts w:hint="eastAsia" w:ascii="宋体" w:hAnsi="宋体" w:cs="宋体"/>
                <w:bCs/>
              </w:rPr>
              <w:t>℃</w:t>
            </w:r>
            <w:r>
              <w:rPr>
                <w:rFonts w:eastAsia="仿宋_GB2312"/>
                <w:bCs/>
              </w:rPr>
              <w:t>）</w:t>
            </w:r>
          </w:p>
          <w:p w14:paraId="43E69EE1">
            <w:pPr>
              <w:rPr>
                <w:rFonts w:eastAsia="仿宋_GB2312"/>
                <w:szCs w:val="21"/>
              </w:rPr>
            </w:pPr>
            <w:r>
              <w:rPr>
                <w:rFonts w:eastAsia="仿宋_GB2312"/>
                <w:bCs/>
              </w:rPr>
              <w:t>易燃液体，遇明火、高温、氧化剂较易燃; 燃烧产生刺激烟雾。</w:t>
            </w:r>
          </w:p>
        </w:tc>
      </w:tr>
      <w:tr w14:paraId="5805D5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1" w:type="dxa"/>
            <w:bottom w:w="0" w:type="dxa"/>
            <w:right w:w="51" w:type="dxa"/>
          </w:tblCellMar>
        </w:tblPrEx>
        <w:trPr>
          <w:trHeight w:val="340" w:hRule="atLeast"/>
          <w:jc w:val="center"/>
        </w:trPr>
        <w:tc>
          <w:tcPr>
            <w:tcW w:w="578" w:type="pct"/>
            <w:vAlign w:val="center"/>
          </w:tcPr>
          <w:p w14:paraId="56D07704">
            <w:pPr>
              <w:adjustRightInd w:val="0"/>
              <w:snapToGrid w:val="0"/>
              <w:jc w:val="center"/>
              <w:rPr>
                <w:rFonts w:eastAsia="仿宋_GB2312"/>
                <w:bCs/>
                <w:szCs w:val="21"/>
              </w:rPr>
            </w:pPr>
            <w:r>
              <w:rPr>
                <w:rFonts w:eastAsia="仿宋_GB2312"/>
                <w:bCs/>
              </w:rPr>
              <w:t>乙二醇甲醚</w:t>
            </w:r>
          </w:p>
        </w:tc>
        <w:tc>
          <w:tcPr>
            <w:tcW w:w="519" w:type="pct"/>
            <w:vAlign w:val="center"/>
          </w:tcPr>
          <w:p w14:paraId="1672CA3F">
            <w:pPr>
              <w:jc w:val="center"/>
              <w:rPr>
                <w:rFonts w:eastAsia="仿宋_GB2312"/>
                <w:bCs/>
                <w:szCs w:val="21"/>
              </w:rPr>
            </w:pPr>
            <w:r>
              <w:rPr>
                <w:rFonts w:eastAsia="仿宋_GB2312"/>
                <w:bCs/>
              </w:rPr>
              <w:t>C</w:t>
            </w:r>
            <w:r>
              <w:rPr>
                <w:rFonts w:eastAsia="仿宋_GB2312"/>
                <w:bCs/>
                <w:vertAlign w:val="subscript"/>
              </w:rPr>
              <w:t>3</w:t>
            </w:r>
            <w:r>
              <w:rPr>
                <w:rFonts w:eastAsia="仿宋_GB2312"/>
                <w:bCs/>
              </w:rPr>
              <w:t>H</w:t>
            </w:r>
            <w:r>
              <w:rPr>
                <w:rFonts w:eastAsia="仿宋_GB2312"/>
                <w:bCs/>
                <w:vertAlign w:val="subscript"/>
              </w:rPr>
              <w:t>8</w:t>
            </w:r>
            <w:r>
              <w:rPr>
                <w:rFonts w:eastAsia="仿宋_GB2312"/>
                <w:bCs/>
              </w:rPr>
              <w:t>O</w:t>
            </w:r>
            <w:r>
              <w:rPr>
                <w:rFonts w:eastAsia="仿宋_GB2312"/>
                <w:bCs/>
                <w:vertAlign w:val="subscript"/>
              </w:rPr>
              <w:t>2</w:t>
            </w:r>
          </w:p>
        </w:tc>
        <w:tc>
          <w:tcPr>
            <w:tcW w:w="422" w:type="pct"/>
            <w:vAlign w:val="center"/>
          </w:tcPr>
          <w:p w14:paraId="4CC58025">
            <w:pPr>
              <w:jc w:val="center"/>
              <w:rPr>
                <w:rFonts w:eastAsia="仿宋_GB2312"/>
                <w:bCs/>
                <w:szCs w:val="21"/>
              </w:rPr>
            </w:pPr>
            <w:r>
              <w:rPr>
                <w:rFonts w:eastAsia="仿宋_GB2312"/>
                <w:bCs/>
              </w:rPr>
              <w:t>33569</w:t>
            </w:r>
          </w:p>
        </w:tc>
        <w:tc>
          <w:tcPr>
            <w:tcW w:w="1185" w:type="pct"/>
            <w:vAlign w:val="center"/>
          </w:tcPr>
          <w:p w14:paraId="4FD1DA31">
            <w:pPr>
              <w:adjustRightInd w:val="0"/>
              <w:snapToGrid w:val="0"/>
              <w:rPr>
                <w:rFonts w:eastAsia="仿宋_GB2312"/>
                <w:bCs/>
                <w:szCs w:val="21"/>
              </w:rPr>
            </w:pPr>
            <w:r>
              <w:rPr>
                <w:rFonts w:eastAsia="仿宋_GB2312"/>
                <w:bCs/>
              </w:rPr>
              <w:t>分子量76.09，无色液体，略有气味。与水混溶，可混溶于醇、酮、烃类。熔点-86.5</w:t>
            </w:r>
            <w:r>
              <w:rPr>
                <w:rFonts w:hint="eastAsia" w:ascii="宋体" w:hAnsi="宋体" w:cs="宋体"/>
              </w:rPr>
              <w:t>℃</w:t>
            </w:r>
            <w:r>
              <w:rPr>
                <w:rFonts w:eastAsia="仿宋_GB2312"/>
                <w:bCs/>
              </w:rPr>
              <w:t>，沸点124.5</w:t>
            </w:r>
            <w:r>
              <w:rPr>
                <w:rFonts w:hint="eastAsia" w:ascii="宋体" w:hAnsi="宋体" w:cs="宋体"/>
              </w:rPr>
              <w:t>℃</w:t>
            </w:r>
            <w:r>
              <w:rPr>
                <w:rFonts w:eastAsia="仿宋_GB2312"/>
                <w:bCs/>
              </w:rPr>
              <w:t>，闪点39</w:t>
            </w:r>
            <w:r>
              <w:rPr>
                <w:rFonts w:hint="eastAsia" w:ascii="宋体" w:hAnsi="宋体" w:cs="宋体"/>
              </w:rPr>
              <w:t>℃</w:t>
            </w:r>
            <w:r>
              <w:rPr>
                <w:rFonts w:eastAsia="仿宋_GB2312"/>
                <w:bCs/>
              </w:rPr>
              <w:t>，相对密度（水=1）0.97：，相对蒸气密度(空气=1)：2.62</w:t>
            </w:r>
          </w:p>
        </w:tc>
        <w:tc>
          <w:tcPr>
            <w:tcW w:w="921" w:type="pct"/>
            <w:vAlign w:val="center"/>
          </w:tcPr>
          <w:p w14:paraId="40AC5FF8">
            <w:pPr>
              <w:jc w:val="center"/>
              <w:rPr>
                <w:rFonts w:eastAsia="仿宋_GB2312"/>
                <w:bCs/>
                <w:szCs w:val="21"/>
              </w:rPr>
            </w:pPr>
            <w:r>
              <w:rPr>
                <w:rFonts w:eastAsia="仿宋_GB2312"/>
                <w:bCs/>
              </w:rPr>
              <w:t>LD</w:t>
            </w:r>
            <w:r>
              <w:rPr>
                <w:rFonts w:eastAsia="仿宋_GB2312"/>
                <w:bCs/>
                <w:vertAlign w:val="subscript"/>
              </w:rPr>
              <w:t>50</w:t>
            </w:r>
            <w:r>
              <w:rPr>
                <w:rFonts w:eastAsia="仿宋_GB2312"/>
                <w:bCs/>
              </w:rPr>
              <w:t>2460 mg/kg(大鼠经口)；2000 mg/kg(兔经皮)</w:t>
            </w:r>
          </w:p>
          <w:p w14:paraId="2FEA8297">
            <w:pPr>
              <w:jc w:val="center"/>
              <w:rPr>
                <w:rFonts w:eastAsia="仿宋_GB2312"/>
                <w:bCs/>
                <w:szCs w:val="21"/>
              </w:rPr>
            </w:pPr>
            <w:r>
              <w:rPr>
                <w:rFonts w:eastAsia="仿宋_GB2312"/>
                <w:bCs/>
              </w:rPr>
              <w:t>LC</w:t>
            </w:r>
            <w:r>
              <w:rPr>
                <w:rFonts w:eastAsia="仿宋_GB2312"/>
                <w:bCs/>
                <w:vertAlign w:val="subscript"/>
              </w:rPr>
              <w:t>50</w:t>
            </w:r>
            <w:r>
              <w:rPr>
                <w:rFonts w:eastAsia="仿宋_GB2312"/>
                <w:bCs/>
              </w:rPr>
              <w:t>4665mg/m</w:t>
            </w:r>
            <w:r>
              <w:rPr>
                <w:rFonts w:eastAsia="仿宋_GB2312"/>
                <w:bCs/>
                <w:vertAlign w:val="superscript"/>
              </w:rPr>
              <w:t>3</w:t>
            </w:r>
            <w:r>
              <w:rPr>
                <w:rFonts w:eastAsia="仿宋_GB2312"/>
                <w:bCs/>
              </w:rPr>
              <w:t>，7小时(大鼠吸入)</w:t>
            </w:r>
          </w:p>
        </w:tc>
        <w:tc>
          <w:tcPr>
            <w:tcW w:w="462" w:type="pct"/>
            <w:vAlign w:val="center"/>
          </w:tcPr>
          <w:p w14:paraId="52A097FF">
            <w:pPr>
              <w:jc w:val="center"/>
              <w:rPr>
                <w:rFonts w:eastAsia="仿宋_GB2312"/>
                <w:bCs/>
                <w:szCs w:val="21"/>
              </w:rPr>
            </w:pPr>
            <w:r>
              <w:rPr>
                <w:rFonts w:eastAsia="仿宋_GB2312"/>
                <w:bCs/>
              </w:rPr>
              <w:t>/</w:t>
            </w:r>
          </w:p>
        </w:tc>
        <w:tc>
          <w:tcPr>
            <w:tcW w:w="910" w:type="pct"/>
            <w:vAlign w:val="center"/>
          </w:tcPr>
          <w:p w14:paraId="75F3F3DD">
            <w:pPr>
              <w:rPr>
                <w:rFonts w:eastAsia="仿宋_GB2312"/>
                <w:bCs/>
                <w:szCs w:val="21"/>
              </w:rPr>
            </w:pPr>
            <w:r>
              <w:rPr>
                <w:rFonts w:eastAsia="仿宋_GB2312"/>
                <w:bCs/>
              </w:rPr>
              <w:t>饱和蒸汽压(kPa)0.83（20</w:t>
            </w:r>
            <w:r>
              <w:rPr>
                <w:rFonts w:hint="eastAsia" w:ascii="宋体" w:hAnsi="宋体" w:cs="宋体"/>
                <w:bCs/>
              </w:rPr>
              <w:t>℃</w:t>
            </w:r>
            <w:r>
              <w:rPr>
                <w:rFonts w:eastAsia="仿宋_GB2312"/>
                <w:bCs/>
              </w:rPr>
              <w:t>）</w:t>
            </w:r>
          </w:p>
          <w:p w14:paraId="2ADF6A82">
            <w:pPr>
              <w:rPr>
                <w:rFonts w:eastAsia="仿宋_GB2312"/>
                <w:szCs w:val="21"/>
              </w:rPr>
            </w:pPr>
            <w:r>
              <w:rPr>
                <w:rFonts w:eastAsia="仿宋_GB2312"/>
                <w:bCs/>
              </w:rPr>
              <w:t>本品易燃，具刺激性。遇明火、高热或与氧化剂接触，有引起燃烧爆炸的危险。接触空气或在光照条件下可生成具有潜在爆炸危险性的过氧化物。</w:t>
            </w:r>
          </w:p>
        </w:tc>
      </w:tr>
      <w:tr w14:paraId="7627D4A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1" w:type="dxa"/>
            <w:bottom w:w="0" w:type="dxa"/>
            <w:right w:w="51" w:type="dxa"/>
          </w:tblCellMar>
        </w:tblPrEx>
        <w:trPr>
          <w:trHeight w:val="340" w:hRule="atLeast"/>
          <w:jc w:val="center"/>
        </w:trPr>
        <w:tc>
          <w:tcPr>
            <w:tcW w:w="578" w:type="pct"/>
            <w:vAlign w:val="center"/>
          </w:tcPr>
          <w:p w14:paraId="72DEFB6E">
            <w:pPr>
              <w:adjustRightInd w:val="0"/>
              <w:snapToGrid w:val="0"/>
              <w:jc w:val="center"/>
              <w:rPr>
                <w:rFonts w:eastAsia="仿宋_GB2312"/>
                <w:bCs/>
                <w:szCs w:val="21"/>
              </w:rPr>
            </w:pPr>
            <w:r>
              <w:rPr>
                <w:rFonts w:eastAsia="仿宋_GB2312"/>
                <w:bCs/>
              </w:rPr>
              <w:t>乙二醇单丁醚</w:t>
            </w:r>
          </w:p>
        </w:tc>
        <w:tc>
          <w:tcPr>
            <w:tcW w:w="519" w:type="pct"/>
            <w:vAlign w:val="center"/>
          </w:tcPr>
          <w:p w14:paraId="6F60B068">
            <w:pPr>
              <w:jc w:val="center"/>
              <w:rPr>
                <w:rFonts w:eastAsia="仿宋_GB2312"/>
                <w:bCs/>
                <w:szCs w:val="21"/>
              </w:rPr>
            </w:pPr>
            <w:r>
              <w:rPr>
                <w:rFonts w:eastAsia="仿宋_GB2312"/>
                <w:bCs/>
              </w:rPr>
              <w:t>C</w:t>
            </w:r>
            <w:r>
              <w:rPr>
                <w:rFonts w:eastAsia="仿宋_GB2312"/>
                <w:bCs/>
                <w:vertAlign w:val="subscript"/>
              </w:rPr>
              <w:t>6</w:t>
            </w:r>
            <w:r>
              <w:rPr>
                <w:rFonts w:eastAsia="仿宋_GB2312"/>
                <w:bCs/>
              </w:rPr>
              <w:t>H</w:t>
            </w:r>
            <w:r>
              <w:rPr>
                <w:rFonts w:eastAsia="仿宋_GB2312"/>
                <w:bCs/>
                <w:vertAlign w:val="subscript"/>
              </w:rPr>
              <w:t>14</w:t>
            </w:r>
            <w:r>
              <w:rPr>
                <w:rFonts w:eastAsia="仿宋_GB2312"/>
                <w:bCs/>
              </w:rPr>
              <w:t>O</w:t>
            </w:r>
            <w:r>
              <w:rPr>
                <w:rFonts w:eastAsia="仿宋_GB2312"/>
                <w:bCs/>
                <w:vertAlign w:val="subscript"/>
              </w:rPr>
              <w:t>2</w:t>
            </w:r>
          </w:p>
        </w:tc>
        <w:tc>
          <w:tcPr>
            <w:tcW w:w="422" w:type="pct"/>
            <w:vAlign w:val="center"/>
          </w:tcPr>
          <w:p w14:paraId="6B5C72F3">
            <w:pPr>
              <w:jc w:val="center"/>
              <w:rPr>
                <w:rFonts w:eastAsia="仿宋_GB2312"/>
                <w:bCs/>
                <w:szCs w:val="21"/>
              </w:rPr>
            </w:pPr>
            <w:r>
              <w:rPr>
                <w:rFonts w:eastAsia="仿宋_GB2312"/>
                <w:bCs/>
              </w:rPr>
              <w:t>/</w:t>
            </w:r>
          </w:p>
        </w:tc>
        <w:tc>
          <w:tcPr>
            <w:tcW w:w="1185" w:type="pct"/>
            <w:vAlign w:val="center"/>
          </w:tcPr>
          <w:p w14:paraId="54B2C724">
            <w:pPr>
              <w:adjustRightInd w:val="0"/>
              <w:snapToGrid w:val="0"/>
              <w:rPr>
                <w:rFonts w:eastAsia="仿宋_GB2312"/>
                <w:bCs/>
                <w:szCs w:val="21"/>
              </w:rPr>
            </w:pPr>
            <w:r>
              <w:rPr>
                <w:rFonts w:eastAsia="仿宋_GB2312"/>
                <w:bCs/>
              </w:rPr>
              <w:t>分子量118，液体，清澈透亮，有令人愉快的醚味。可溶于水。熔点-70</w:t>
            </w:r>
            <w:r>
              <w:rPr>
                <w:rFonts w:hint="eastAsia" w:ascii="宋体" w:hAnsi="宋体" w:cs="宋体"/>
              </w:rPr>
              <w:t>℃</w:t>
            </w:r>
            <w:r>
              <w:rPr>
                <w:rFonts w:eastAsia="仿宋_GB2312"/>
                <w:bCs/>
              </w:rPr>
              <w:t>，沸点171</w:t>
            </w:r>
            <w:r>
              <w:rPr>
                <w:rFonts w:hint="eastAsia" w:ascii="宋体" w:hAnsi="宋体" w:cs="宋体"/>
              </w:rPr>
              <w:t>℃</w:t>
            </w:r>
            <w:r>
              <w:rPr>
                <w:rFonts w:eastAsia="仿宋_GB2312"/>
                <w:bCs/>
              </w:rPr>
              <w:t>，闪点61</w:t>
            </w:r>
            <w:r>
              <w:rPr>
                <w:rFonts w:hint="eastAsia" w:ascii="宋体" w:hAnsi="宋体" w:cs="宋体"/>
              </w:rPr>
              <w:t>℃</w:t>
            </w:r>
            <w:r>
              <w:rPr>
                <w:rFonts w:eastAsia="仿宋_GB2312"/>
                <w:bCs/>
              </w:rPr>
              <w:t>，相对密度（水=1）：0.901</w:t>
            </w:r>
          </w:p>
        </w:tc>
        <w:tc>
          <w:tcPr>
            <w:tcW w:w="921" w:type="pct"/>
            <w:vAlign w:val="center"/>
          </w:tcPr>
          <w:p w14:paraId="698E9B73">
            <w:pPr>
              <w:jc w:val="center"/>
              <w:rPr>
                <w:rFonts w:eastAsia="仿宋_GB2312"/>
                <w:bCs/>
                <w:szCs w:val="21"/>
              </w:rPr>
            </w:pPr>
            <w:r>
              <w:rPr>
                <w:rFonts w:eastAsia="仿宋_GB2312"/>
                <w:bCs/>
              </w:rPr>
              <w:t>/</w:t>
            </w:r>
          </w:p>
        </w:tc>
        <w:tc>
          <w:tcPr>
            <w:tcW w:w="462" w:type="pct"/>
            <w:vAlign w:val="center"/>
          </w:tcPr>
          <w:p w14:paraId="1EEE6FC8">
            <w:pPr>
              <w:jc w:val="center"/>
              <w:rPr>
                <w:rFonts w:eastAsia="仿宋_GB2312"/>
                <w:bCs/>
                <w:szCs w:val="21"/>
              </w:rPr>
            </w:pPr>
            <w:r>
              <w:rPr>
                <w:rFonts w:eastAsia="仿宋_GB2312"/>
                <w:bCs/>
              </w:rPr>
              <w:t>/</w:t>
            </w:r>
          </w:p>
        </w:tc>
        <w:tc>
          <w:tcPr>
            <w:tcW w:w="910" w:type="pct"/>
            <w:vAlign w:val="center"/>
          </w:tcPr>
          <w:p w14:paraId="3C431FCD">
            <w:pPr>
              <w:rPr>
                <w:rFonts w:eastAsia="仿宋_GB2312"/>
                <w:bCs/>
                <w:szCs w:val="21"/>
              </w:rPr>
            </w:pPr>
            <w:r>
              <w:rPr>
                <w:rFonts w:eastAsia="仿宋_GB2312"/>
                <w:bCs/>
              </w:rPr>
              <w:t>本品可燃，与空气能形成爆炸性混合物。与强腐蚀剂和强氧化剂接触发生剧烈反应。腐蚀某些涂料、塑料和橡胶。在高温下，能腐蚀金属铝。</w:t>
            </w:r>
          </w:p>
        </w:tc>
      </w:tr>
      <w:tr w14:paraId="1A1A5A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1" w:type="dxa"/>
            <w:bottom w:w="0" w:type="dxa"/>
            <w:right w:w="51" w:type="dxa"/>
          </w:tblCellMar>
        </w:tblPrEx>
        <w:trPr>
          <w:trHeight w:val="340" w:hRule="atLeast"/>
          <w:jc w:val="center"/>
        </w:trPr>
        <w:tc>
          <w:tcPr>
            <w:tcW w:w="578" w:type="pct"/>
            <w:vAlign w:val="center"/>
          </w:tcPr>
          <w:p w14:paraId="711550E5">
            <w:pPr>
              <w:adjustRightInd w:val="0"/>
              <w:snapToGrid w:val="0"/>
              <w:jc w:val="center"/>
              <w:rPr>
                <w:rFonts w:eastAsia="仿宋_GB2312"/>
                <w:szCs w:val="21"/>
              </w:rPr>
            </w:pPr>
            <w:r>
              <w:rPr>
                <w:rFonts w:eastAsia="仿宋_GB2312"/>
              </w:rPr>
              <w:t>氢氧化钠</w:t>
            </w:r>
          </w:p>
        </w:tc>
        <w:tc>
          <w:tcPr>
            <w:tcW w:w="519" w:type="pct"/>
            <w:vAlign w:val="center"/>
          </w:tcPr>
          <w:p w14:paraId="59CD5FBE">
            <w:pPr>
              <w:widowControl/>
              <w:spacing w:line="360" w:lineRule="atLeast"/>
              <w:jc w:val="center"/>
              <w:rPr>
                <w:rFonts w:eastAsia="仿宋_GB2312"/>
                <w:szCs w:val="21"/>
              </w:rPr>
            </w:pPr>
            <w:r>
              <w:rPr>
                <w:rFonts w:eastAsia="仿宋_GB2312"/>
              </w:rPr>
              <w:t>NaOH</w:t>
            </w:r>
          </w:p>
        </w:tc>
        <w:tc>
          <w:tcPr>
            <w:tcW w:w="422" w:type="pct"/>
            <w:vAlign w:val="center"/>
          </w:tcPr>
          <w:p w14:paraId="36DEF449">
            <w:pPr>
              <w:jc w:val="center"/>
              <w:rPr>
                <w:rFonts w:eastAsia="仿宋_GB2312"/>
                <w:szCs w:val="21"/>
              </w:rPr>
            </w:pPr>
            <w:r>
              <w:rPr>
                <w:rFonts w:eastAsia="仿宋_GB2312"/>
              </w:rPr>
              <w:t>82001</w:t>
            </w:r>
          </w:p>
        </w:tc>
        <w:tc>
          <w:tcPr>
            <w:tcW w:w="1185" w:type="pct"/>
            <w:vAlign w:val="center"/>
          </w:tcPr>
          <w:p w14:paraId="224E5C74">
            <w:pPr>
              <w:adjustRightInd w:val="0"/>
              <w:snapToGrid w:val="0"/>
              <w:rPr>
                <w:rFonts w:eastAsia="仿宋_GB2312"/>
                <w:szCs w:val="21"/>
              </w:rPr>
            </w:pPr>
            <w:r>
              <w:rPr>
                <w:rFonts w:eastAsia="仿宋_GB2312"/>
              </w:rPr>
              <w:t>分子量40.01，纯品是无色透明的晶体。密度2.130g/cm³。熔点318.4</w:t>
            </w:r>
            <w:r>
              <w:rPr>
                <w:rFonts w:hint="eastAsia" w:ascii="宋体" w:hAnsi="宋体" w:cs="宋体"/>
              </w:rPr>
              <w:t>℃</w:t>
            </w:r>
            <w:r>
              <w:t>，</w:t>
            </w:r>
            <w:r>
              <w:rPr>
                <w:rFonts w:eastAsia="仿宋_GB2312"/>
              </w:rPr>
              <w:t>相对密度（水=1）2.12。沸点1390</w:t>
            </w:r>
            <w:r>
              <w:rPr>
                <w:rFonts w:hint="eastAsia" w:ascii="宋体" w:hAnsi="宋体" w:cs="宋体"/>
              </w:rPr>
              <w:t>℃</w:t>
            </w:r>
            <w:r>
              <w:rPr>
                <w:rFonts w:eastAsia="仿宋_GB2312"/>
              </w:rPr>
              <w:t>。溶于乙醇和甘油，不溶于丙醇、乙醚。</w:t>
            </w:r>
          </w:p>
        </w:tc>
        <w:tc>
          <w:tcPr>
            <w:tcW w:w="921" w:type="pct"/>
            <w:vAlign w:val="center"/>
          </w:tcPr>
          <w:p w14:paraId="333D9001">
            <w:pPr>
              <w:jc w:val="center"/>
              <w:rPr>
                <w:rFonts w:eastAsia="仿宋_GB2312"/>
                <w:szCs w:val="21"/>
              </w:rPr>
            </w:pPr>
            <w:r>
              <w:rPr>
                <w:rFonts w:eastAsia="仿宋_GB2312"/>
              </w:rPr>
              <w:t>LD</w:t>
            </w:r>
            <w:r>
              <w:rPr>
                <w:rFonts w:eastAsia="仿宋_GB2312"/>
                <w:vertAlign w:val="subscript"/>
              </w:rPr>
              <w:t>50</w:t>
            </w:r>
            <w:r>
              <w:rPr>
                <w:rFonts w:eastAsia="仿宋_GB2312"/>
              </w:rPr>
              <w:t>40mg/kg(小鼠腹腔)</w:t>
            </w:r>
          </w:p>
        </w:tc>
        <w:tc>
          <w:tcPr>
            <w:tcW w:w="462" w:type="pct"/>
            <w:vAlign w:val="center"/>
          </w:tcPr>
          <w:p w14:paraId="5BCA433D">
            <w:pPr>
              <w:jc w:val="center"/>
              <w:rPr>
                <w:rFonts w:eastAsia="仿宋_GB2312"/>
                <w:szCs w:val="21"/>
              </w:rPr>
            </w:pPr>
            <w:r>
              <w:rPr>
                <w:rFonts w:eastAsia="仿宋_GB2312"/>
              </w:rPr>
              <w:t>/</w:t>
            </w:r>
          </w:p>
        </w:tc>
        <w:tc>
          <w:tcPr>
            <w:tcW w:w="910" w:type="pct"/>
            <w:vAlign w:val="center"/>
          </w:tcPr>
          <w:p w14:paraId="798262EF">
            <w:pPr>
              <w:rPr>
                <w:rFonts w:eastAsia="仿宋_GB2312"/>
                <w:szCs w:val="21"/>
              </w:rPr>
            </w:pPr>
            <w:r>
              <w:rPr>
                <w:rFonts w:eastAsia="仿宋_GB2312"/>
              </w:rPr>
              <w:t>该品不燃</w:t>
            </w:r>
          </w:p>
        </w:tc>
      </w:tr>
      <w:tr w14:paraId="73732E6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1" w:type="dxa"/>
            <w:bottom w:w="0" w:type="dxa"/>
            <w:right w:w="51" w:type="dxa"/>
          </w:tblCellMar>
        </w:tblPrEx>
        <w:trPr>
          <w:trHeight w:val="340" w:hRule="atLeast"/>
          <w:jc w:val="center"/>
        </w:trPr>
        <w:tc>
          <w:tcPr>
            <w:tcW w:w="578" w:type="pct"/>
            <w:shd w:val="clear" w:color="auto" w:fill="auto"/>
            <w:vAlign w:val="center"/>
          </w:tcPr>
          <w:p w14:paraId="0013398B">
            <w:pPr>
              <w:widowControl/>
              <w:jc w:val="center"/>
              <w:rPr>
                <w:rFonts w:eastAsia="仿宋_GB2312"/>
                <w:kern w:val="0"/>
                <w:szCs w:val="21"/>
              </w:rPr>
            </w:pPr>
            <w:r>
              <w:rPr>
                <w:rFonts w:hint="eastAsia" w:eastAsia="仿宋_GB2312"/>
                <w:kern w:val="0"/>
                <w:szCs w:val="21"/>
              </w:rPr>
              <w:t>己烷</w:t>
            </w:r>
          </w:p>
        </w:tc>
        <w:tc>
          <w:tcPr>
            <w:tcW w:w="519" w:type="pct"/>
            <w:shd w:val="clear" w:color="auto" w:fill="auto"/>
            <w:vAlign w:val="center"/>
          </w:tcPr>
          <w:p w14:paraId="7C932A50">
            <w:pPr>
              <w:widowControl/>
              <w:jc w:val="center"/>
              <w:rPr>
                <w:rFonts w:eastAsia="仿宋_GB2312"/>
                <w:kern w:val="0"/>
                <w:szCs w:val="21"/>
              </w:rPr>
            </w:pPr>
            <w:r>
              <w:rPr>
                <w:rFonts w:hint="eastAsia" w:eastAsia="仿宋_GB2312"/>
                <w:kern w:val="0"/>
                <w:szCs w:val="21"/>
              </w:rPr>
              <w:t>C</w:t>
            </w:r>
            <w:r>
              <w:rPr>
                <w:rFonts w:hint="eastAsia" w:eastAsia="仿宋_GB2312"/>
                <w:kern w:val="0"/>
                <w:szCs w:val="21"/>
                <w:vertAlign w:val="subscript"/>
              </w:rPr>
              <w:t>6</w:t>
            </w:r>
            <w:r>
              <w:rPr>
                <w:rFonts w:hint="eastAsia" w:eastAsia="仿宋_GB2312"/>
                <w:kern w:val="0"/>
                <w:szCs w:val="21"/>
              </w:rPr>
              <w:t>H</w:t>
            </w:r>
            <w:r>
              <w:rPr>
                <w:rFonts w:hint="eastAsia" w:eastAsia="仿宋_GB2312"/>
                <w:kern w:val="0"/>
                <w:szCs w:val="21"/>
                <w:vertAlign w:val="subscript"/>
              </w:rPr>
              <w:t>14</w:t>
            </w:r>
          </w:p>
        </w:tc>
        <w:tc>
          <w:tcPr>
            <w:tcW w:w="422" w:type="pct"/>
            <w:shd w:val="clear" w:color="auto" w:fill="auto"/>
            <w:vAlign w:val="center"/>
          </w:tcPr>
          <w:p w14:paraId="34CB2E55">
            <w:pPr>
              <w:widowControl/>
              <w:jc w:val="center"/>
              <w:rPr>
                <w:rFonts w:eastAsia="仿宋_GB2312"/>
                <w:kern w:val="0"/>
                <w:szCs w:val="21"/>
              </w:rPr>
            </w:pPr>
            <w:r>
              <w:rPr>
                <w:rFonts w:hint="eastAsia" w:eastAsia="仿宋_GB2312"/>
                <w:kern w:val="0"/>
                <w:szCs w:val="21"/>
              </w:rPr>
              <w:t>31005</w:t>
            </w:r>
          </w:p>
        </w:tc>
        <w:tc>
          <w:tcPr>
            <w:tcW w:w="1185" w:type="pct"/>
            <w:shd w:val="clear" w:color="auto" w:fill="auto"/>
            <w:vAlign w:val="center"/>
          </w:tcPr>
          <w:p w14:paraId="71BD5050">
            <w:pPr>
              <w:widowControl/>
              <w:jc w:val="center"/>
              <w:rPr>
                <w:rFonts w:eastAsia="仿宋_GB2312"/>
                <w:kern w:val="0"/>
                <w:szCs w:val="21"/>
              </w:rPr>
            </w:pPr>
            <w:r>
              <w:rPr>
                <w:rFonts w:eastAsia="仿宋_GB2312"/>
              </w:rPr>
              <w:t>分子量</w:t>
            </w:r>
            <w:r>
              <w:rPr>
                <w:rFonts w:hint="eastAsia" w:eastAsia="仿宋_GB2312"/>
              </w:rPr>
              <w:t>86.18</w:t>
            </w:r>
            <w:r>
              <w:rPr>
                <w:rFonts w:eastAsia="仿宋_GB2312"/>
              </w:rPr>
              <w:t>，</w:t>
            </w:r>
            <w:r>
              <w:rPr>
                <w:rFonts w:hint="eastAsia" w:eastAsia="仿宋_GB2312"/>
              </w:rPr>
              <w:t>常温下无色透明液体，具有微弱石油样特殊气味</w:t>
            </w:r>
            <w:r>
              <w:rPr>
                <w:rFonts w:eastAsia="仿宋_GB2312"/>
              </w:rPr>
              <w:t>。密度</w:t>
            </w:r>
            <w:r>
              <w:rPr>
                <w:rFonts w:hint="eastAsia" w:eastAsia="仿宋_GB2312"/>
              </w:rPr>
              <w:t>0.659</w:t>
            </w:r>
            <w:r>
              <w:rPr>
                <w:rFonts w:eastAsia="仿宋_GB2312"/>
              </w:rPr>
              <w:t>g/cm³。熔点</w:t>
            </w:r>
            <w:r>
              <w:rPr>
                <w:rFonts w:hint="eastAsia" w:eastAsia="仿宋_GB2312"/>
              </w:rPr>
              <w:t>-95</w:t>
            </w:r>
            <w:r>
              <w:rPr>
                <w:rFonts w:hint="eastAsia" w:ascii="宋体" w:hAnsi="宋体" w:cs="宋体"/>
              </w:rPr>
              <w:t>℃</w:t>
            </w:r>
            <w:r>
              <w:t>，</w:t>
            </w:r>
            <w:r>
              <w:rPr>
                <w:rFonts w:eastAsia="仿宋_GB2312"/>
              </w:rPr>
              <w:t>沸点</w:t>
            </w:r>
            <w:r>
              <w:rPr>
                <w:rFonts w:hint="eastAsia" w:eastAsia="仿宋_GB2312"/>
              </w:rPr>
              <w:t>68.7</w:t>
            </w:r>
            <w:r>
              <w:rPr>
                <w:rFonts w:hint="eastAsia" w:ascii="宋体" w:hAnsi="宋体" w:cs="宋体"/>
              </w:rPr>
              <w:t>℃，</w:t>
            </w:r>
            <w:r>
              <w:rPr>
                <w:rFonts w:hint="eastAsia" w:ascii="仿宋_GB2312" w:hAnsi="仿宋_GB2312" w:eastAsia="仿宋_GB2312" w:cs="仿宋_GB2312"/>
              </w:rPr>
              <w:t>闪点</w:t>
            </w:r>
            <w:r>
              <w:t>-22</w:t>
            </w:r>
            <w:r>
              <w:rPr>
                <w:rFonts w:hint="eastAsia" w:ascii="宋体" w:hAnsi="宋体" w:cs="宋体"/>
              </w:rPr>
              <w:t>℃，</w:t>
            </w:r>
            <w:r>
              <w:rPr>
                <w:rFonts w:hint="eastAsia" w:eastAsia="仿宋_GB2312"/>
              </w:rPr>
              <w:t>不溶于水，可与乙醇、乙醚等大多数有机溶剂任意比例混溶</w:t>
            </w:r>
            <w:r>
              <w:rPr>
                <w:rFonts w:eastAsia="仿宋_GB2312"/>
              </w:rPr>
              <w:t>。</w:t>
            </w:r>
          </w:p>
        </w:tc>
        <w:tc>
          <w:tcPr>
            <w:tcW w:w="921" w:type="pct"/>
            <w:shd w:val="clear" w:color="auto" w:fill="auto"/>
            <w:vAlign w:val="center"/>
          </w:tcPr>
          <w:p w14:paraId="06BEFA50">
            <w:pPr>
              <w:widowControl/>
              <w:jc w:val="center"/>
              <w:rPr>
                <w:rFonts w:eastAsia="仿宋_GB2312"/>
                <w:kern w:val="0"/>
                <w:szCs w:val="21"/>
              </w:rPr>
            </w:pPr>
            <w:r>
              <w:rPr>
                <w:rFonts w:eastAsia="仿宋_GB2312"/>
                <w:bCs/>
              </w:rPr>
              <w:t>LD</w:t>
            </w:r>
            <w:r>
              <w:rPr>
                <w:rFonts w:eastAsia="仿宋_GB2312"/>
                <w:bCs/>
                <w:vertAlign w:val="subscript"/>
              </w:rPr>
              <w:t>50</w:t>
            </w:r>
            <w:r>
              <w:rPr>
                <w:rFonts w:hint="eastAsia" w:eastAsia="仿宋_GB2312"/>
                <w:bCs/>
              </w:rPr>
              <w:t>28710</w:t>
            </w:r>
            <w:r>
              <w:rPr>
                <w:rFonts w:eastAsia="仿宋_GB2312"/>
                <w:bCs/>
              </w:rPr>
              <w:t>mg/kg(大鼠经口)</w:t>
            </w:r>
          </w:p>
        </w:tc>
        <w:tc>
          <w:tcPr>
            <w:tcW w:w="462" w:type="pct"/>
            <w:shd w:val="clear" w:color="auto" w:fill="auto"/>
            <w:vAlign w:val="center"/>
          </w:tcPr>
          <w:p w14:paraId="67957C3E">
            <w:pPr>
              <w:widowControl/>
              <w:jc w:val="center"/>
              <w:rPr>
                <w:rFonts w:eastAsia="仿宋_GB2312"/>
                <w:kern w:val="0"/>
                <w:szCs w:val="21"/>
              </w:rPr>
            </w:pPr>
            <w:r>
              <w:rPr>
                <w:rFonts w:hint="eastAsia" w:eastAsia="仿宋_GB2312"/>
                <w:kern w:val="0"/>
                <w:szCs w:val="21"/>
              </w:rPr>
              <w:t>/</w:t>
            </w:r>
          </w:p>
        </w:tc>
        <w:tc>
          <w:tcPr>
            <w:tcW w:w="910" w:type="pct"/>
            <w:shd w:val="clear" w:color="auto" w:fill="auto"/>
            <w:vAlign w:val="center"/>
          </w:tcPr>
          <w:p w14:paraId="6CCC44AA">
            <w:pPr>
              <w:rPr>
                <w:rFonts w:eastAsia="仿宋_GB2312"/>
                <w:kern w:val="0"/>
                <w:szCs w:val="21"/>
              </w:rPr>
            </w:pPr>
            <w:r>
              <w:rPr>
                <w:rFonts w:hint="eastAsia" w:eastAsia="仿宋_GB2312"/>
                <w:bCs/>
              </w:rPr>
              <w:t>本品易燃。</w:t>
            </w:r>
          </w:p>
        </w:tc>
      </w:tr>
      <w:tr w14:paraId="69EC0A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1" w:type="dxa"/>
            <w:bottom w:w="0" w:type="dxa"/>
            <w:right w:w="51" w:type="dxa"/>
          </w:tblCellMar>
        </w:tblPrEx>
        <w:trPr>
          <w:trHeight w:val="340" w:hRule="atLeast"/>
          <w:jc w:val="center"/>
        </w:trPr>
        <w:tc>
          <w:tcPr>
            <w:tcW w:w="0" w:type="auto"/>
            <w:shd w:val="clear" w:color="auto" w:fill="auto"/>
            <w:vAlign w:val="center"/>
          </w:tcPr>
          <w:p w14:paraId="24C84757">
            <w:pPr>
              <w:widowControl/>
              <w:jc w:val="center"/>
              <w:rPr>
                <w:rFonts w:eastAsia="仿宋_GB2312"/>
                <w:kern w:val="0"/>
                <w:szCs w:val="21"/>
              </w:rPr>
            </w:pPr>
            <w:r>
              <w:rPr>
                <w:rFonts w:hint="eastAsia" w:eastAsia="仿宋_GB2312"/>
                <w:kern w:val="0"/>
                <w:szCs w:val="21"/>
              </w:rPr>
              <w:t>异丙苯</w:t>
            </w:r>
          </w:p>
        </w:tc>
        <w:tc>
          <w:tcPr>
            <w:tcW w:w="0" w:type="auto"/>
            <w:shd w:val="clear" w:color="auto" w:fill="auto"/>
            <w:vAlign w:val="center"/>
          </w:tcPr>
          <w:p w14:paraId="32659C50">
            <w:pPr>
              <w:widowControl/>
              <w:jc w:val="center"/>
              <w:rPr>
                <w:rFonts w:eastAsia="仿宋_GB2312"/>
                <w:kern w:val="0"/>
                <w:szCs w:val="21"/>
              </w:rPr>
            </w:pPr>
            <w:r>
              <w:rPr>
                <w:rFonts w:hint="eastAsia" w:eastAsia="仿宋_GB2312"/>
                <w:kern w:val="0"/>
                <w:szCs w:val="21"/>
              </w:rPr>
              <w:t>C</w:t>
            </w:r>
            <w:r>
              <w:rPr>
                <w:rFonts w:hint="eastAsia" w:eastAsia="仿宋_GB2312"/>
                <w:kern w:val="0"/>
                <w:szCs w:val="21"/>
                <w:vertAlign w:val="subscript"/>
              </w:rPr>
              <w:t>9</w:t>
            </w:r>
            <w:r>
              <w:rPr>
                <w:rFonts w:hint="eastAsia" w:eastAsia="仿宋_GB2312"/>
                <w:kern w:val="0"/>
                <w:szCs w:val="21"/>
              </w:rPr>
              <w:t>H</w:t>
            </w:r>
            <w:r>
              <w:rPr>
                <w:rFonts w:hint="eastAsia" w:eastAsia="仿宋_GB2312"/>
                <w:kern w:val="0"/>
                <w:szCs w:val="21"/>
                <w:vertAlign w:val="subscript"/>
              </w:rPr>
              <w:t>12</w:t>
            </w:r>
          </w:p>
        </w:tc>
        <w:tc>
          <w:tcPr>
            <w:tcW w:w="0" w:type="auto"/>
            <w:shd w:val="clear" w:color="auto" w:fill="auto"/>
            <w:vAlign w:val="center"/>
          </w:tcPr>
          <w:p w14:paraId="7F2A7C61">
            <w:pPr>
              <w:widowControl/>
              <w:jc w:val="center"/>
              <w:rPr>
                <w:rFonts w:eastAsia="仿宋_GB2312"/>
                <w:kern w:val="0"/>
                <w:szCs w:val="21"/>
              </w:rPr>
            </w:pPr>
            <w:r>
              <w:rPr>
                <w:rFonts w:hint="eastAsia" w:eastAsia="仿宋_GB2312"/>
                <w:kern w:val="0"/>
                <w:szCs w:val="21"/>
              </w:rPr>
              <w:t>33538</w:t>
            </w:r>
          </w:p>
        </w:tc>
        <w:tc>
          <w:tcPr>
            <w:tcW w:w="0" w:type="auto"/>
            <w:shd w:val="clear" w:color="auto" w:fill="auto"/>
            <w:vAlign w:val="center"/>
          </w:tcPr>
          <w:p w14:paraId="1BF294D8">
            <w:pPr>
              <w:widowControl/>
              <w:jc w:val="center"/>
              <w:rPr>
                <w:rFonts w:eastAsia="仿宋_GB2312"/>
                <w:kern w:val="0"/>
                <w:szCs w:val="21"/>
              </w:rPr>
            </w:pPr>
            <w:r>
              <w:rPr>
                <w:rFonts w:eastAsia="仿宋_GB2312"/>
              </w:rPr>
              <w:t>分子量</w:t>
            </w:r>
            <w:r>
              <w:rPr>
                <w:rFonts w:hint="eastAsia" w:eastAsia="仿宋_GB2312"/>
              </w:rPr>
              <w:t>120.2</w:t>
            </w:r>
            <w:r>
              <w:rPr>
                <w:rFonts w:eastAsia="仿宋_GB2312"/>
              </w:rPr>
              <w:t>，</w:t>
            </w:r>
            <w:r>
              <w:rPr>
                <w:rFonts w:hint="eastAsia" w:eastAsia="仿宋_GB2312"/>
              </w:rPr>
              <w:t>无色透明油状液体，带有刺鼻芳香烃气味</w:t>
            </w:r>
            <w:r>
              <w:rPr>
                <w:rFonts w:eastAsia="仿宋_GB2312"/>
              </w:rPr>
              <w:t>。密度</w:t>
            </w:r>
            <w:r>
              <w:rPr>
                <w:rFonts w:hint="eastAsia" w:eastAsia="仿宋_GB2312"/>
              </w:rPr>
              <w:t>0.864</w:t>
            </w:r>
            <w:r>
              <w:rPr>
                <w:rFonts w:eastAsia="仿宋_GB2312"/>
              </w:rPr>
              <w:t>g/cm³。熔点</w:t>
            </w:r>
            <w:r>
              <w:rPr>
                <w:rFonts w:hint="eastAsia" w:eastAsia="仿宋_GB2312"/>
              </w:rPr>
              <w:t>-96</w:t>
            </w:r>
            <w:r>
              <w:rPr>
                <w:rFonts w:hint="eastAsia" w:ascii="宋体" w:hAnsi="宋体" w:cs="宋体"/>
              </w:rPr>
              <w:t>℃</w:t>
            </w:r>
            <w:r>
              <w:t>，</w:t>
            </w:r>
            <w:r>
              <w:rPr>
                <w:rFonts w:eastAsia="仿宋_GB2312"/>
              </w:rPr>
              <w:t>沸点</w:t>
            </w:r>
            <w:r>
              <w:rPr>
                <w:rFonts w:hint="eastAsia" w:eastAsia="仿宋_GB2312"/>
              </w:rPr>
              <w:t>152.4</w:t>
            </w:r>
            <w:r>
              <w:rPr>
                <w:rFonts w:hint="eastAsia" w:ascii="宋体" w:hAnsi="宋体" w:cs="宋体"/>
              </w:rPr>
              <w:t>℃，</w:t>
            </w:r>
            <w:r>
              <w:rPr>
                <w:rFonts w:hint="eastAsia" w:ascii="仿宋_GB2312" w:hAnsi="仿宋_GB2312" w:eastAsia="仿宋_GB2312" w:cs="仿宋_GB2312"/>
              </w:rPr>
              <w:t>闪点</w:t>
            </w:r>
            <w:r>
              <w:t>31</w:t>
            </w:r>
            <w:r>
              <w:rPr>
                <w:rFonts w:hint="eastAsia" w:ascii="宋体" w:hAnsi="宋体" w:cs="宋体"/>
              </w:rPr>
              <w:t>℃，</w:t>
            </w:r>
            <w:r>
              <w:rPr>
                <w:rFonts w:hint="eastAsia" w:eastAsia="仿宋_GB2312"/>
              </w:rPr>
              <w:t>几乎不溶于水，与乙醇、乙醚等有机容积任意混溶</w:t>
            </w:r>
            <w:r>
              <w:rPr>
                <w:rFonts w:eastAsia="仿宋_GB2312"/>
              </w:rPr>
              <w:t>。</w:t>
            </w:r>
          </w:p>
        </w:tc>
        <w:tc>
          <w:tcPr>
            <w:tcW w:w="0" w:type="auto"/>
            <w:shd w:val="clear" w:color="auto" w:fill="auto"/>
            <w:vAlign w:val="center"/>
          </w:tcPr>
          <w:p w14:paraId="4444E2D5">
            <w:pPr>
              <w:widowControl/>
              <w:jc w:val="center"/>
              <w:rPr>
                <w:rFonts w:eastAsia="仿宋_GB2312"/>
                <w:bCs/>
              </w:rPr>
            </w:pPr>
            <w:r>
              <w:rPr>
                <w:rFonts w:eastAsia="仿宋_GB2312"/>
                <w:bCs/>
              </w:rPr>
              <w:t>LD</w:t>
            </w:r>
            <w:r>
              <w:rPr>
                <w:rFonts w:eastAsia="仿宋_GB2312"/>
                <w:bCs/>
                <w:vertAlign w:val="subscript"/>
              </w:rPr>
              <w:t>50</w:t>
            </w:r>
            <w:r>
              <w:rPr>
                <w:rFonts w:hint="eastAsia" w:eastAsia="仿宋_GB2312"/>
                <w:bCs/>
              </w:rPr>
              <w:t>1400</w:t>
            </w:r>
            <w:r>
              <w:rPr>
                <w:rFonts w:eastAsia="仿宋_GB2312"/>
                <w:bCs/>
              </w:rPr>
              <w:t>mg/kg(大鼠经口)</w:t>
            </w:r>
            <w:r>
              <w:rPr>
                <w:rFonts w:hint="eastAsia" w:eastAsia="仿宋_GB2312"/>
                <w:bCs/>
              </w:rPr>
              <w:t>；</w:t>
            </w:r>
          </w:p>
          <w:p w14:paraId="21BEE058">
            <w:pPr>
              <w:widowControl/>
              <w:jc w:val="center"/>
              <w:rPr>
                <w:rFonts w:eastAsia="仿宋_GB2312"/>
                <w:bCs/>
              </w:rPr>
            </w:pPr>
            <w:r>
              <w:rPr>
                <w:rFonts w:eastAsia="仿宋_GB2312"/>
                <w:bCs/>
              </w:rPr>
              <w:t>LD</w:t>
            </w:r>
            <w:r>
              <w:rPr>
                <w:rFonts w:eastAsia="仿宋_GB2312"/>
                <w:bCs/>
                <w:vertAlign w:val="subscript"/>
              </w:rPr>
              <w:t>50</w:t>
            </w:r>
            <w:r>
              <w:rPr>
                <w:rFonts w:hint="eastAsia" w:eastAsia="仿宋_GB2312"/>
                <w:bCs/>
              </w:rPr>
              <w:t>10578</w:t>
            </w:r>
            <w:r>
              <w:rPr>
                <w:rFonts w:eastAsia="仿宋_GB2312"/>
                <w:bCs/>
              </w:rPr>
              <w:t>mg/kg(</w:t>
            </w:r>
            <w:r>
              <w:rPr>
                <w:rFonts w:hint="eastAsia" w:eastAsia="仿宋_GB2312"/>
                <w:bCs/>
              </w:rPr>
              <w:t>兔</w:t>
            </w:r>
            <w:r>
              <w:rPr>
                <w:rFonts w:eastAsia="仿宋_GB2312"/>
                <w:bCs/>
              </w:rPr>
              <w:t>经</w:t>
            </w:r>
            <w:r>
              <w:rPr>
                <w:rFonts w:hint="eastAsia" w:eastAsia="仿宋_GB2312"/>
                <w:bCs/>
              </w:rPr>
              <w:t>皮</w:t>
            </w:r>
            <w:r>
              <w:rPr>
                <w:rFonts w:eastAsia="仿宋_GB2312"/>
                <w:bCs/>
              </w:rPr>
              <w:t>)</w:t>
            </w:r>
          </w:p>
        </w:tc>
        <w:tc>
          <w:tcPr>
            <w:tcW w:w="0" w:type="auto"/>
            <w:shd w:val="clear" w:color="auto" w:fill="auto"/>
            <w:vAlign w:val="center"/>
          </w:tcPr>
          <w:p w14:paraId="32B15714">
            <w:pPr>
              <w:widowControl/>
              <w:jc w:val="center"/>
              <w:rPr>
                <w:rFonts w:eastAsia="仿宋_GB2312"/>
                <w:kern w:val="0"/>
                <w:szCs w:val="21"/>
              </w:rPr>
            </w:pPr>
            <w:r>
              <w:rPr>
                <w:rFonts w:hint="eastAsia" w:eastAsia="仿宋_GB2312"/>
                <w:kern w:val="0"/>
                <w:szCs w:val="21"/>
              </w:rPr>
              <w:t>/</w:t>
            </w:r>
          </w:p>
        </w:tc>
        <w:tc>
          <w:tcPr>
            <w:tcW w:w="0" w:type="auto"/>
            <w:shd w:val="clear" w:color="auto" w:fill="auto"/>
            <w:vAlign w:val="center"/>
          </w:tcPr>
          <w:p w14:paraId="58665C34">
            <w:pPr>
              <w:widowControl/>
              <w:rPr>
                <w:rFonts w:eastAsia="仿宋_GB2312"/>
                <w:kern w:val="0"/>
                <w:szCs w:val="21"/>
              </w:rPr>
            </w:pPr>
            <w:r>
              <w:rPr>
                <w:rFonts w:hint="eastAsia" w:eastAsia="仿宋_GB2312"/>
                <w:bCs/>
              </w:rPr>
              <w:t>本品易燃。</w:t>
            </w:r>
          </w:p>
        </w:tc>
      </w:tr>
      <w:tr w14:paraId="4B9586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1" w:type="dxa"/>
            <w:bottom w:w="0" w:type="dxa"/>
            <w:right w:w="51" w:type="dxa"/>
          </w:tblCellMar>
        </w:tblPrEx>
        <w:trPr>
          <w:trHeight w:val="340" w:hRule="atLeast"/>
          <w:jc w:val="center"/>
        </w:trPr>
        <w:tc>
          <w:tcPr>
            <w:tcW w:w="0" w:type="auto"/>
            <w:shd w:val="clear" w:color="auto" w:fill="auto"/>
            <w:vAlign w:val="center"/>
          </w:tcPr>
          <w:p w14:paraId="1F64B1F4">
            <w:pPr>
              <w:widowControl/>
              <w:jc w:val="center"/>
              <w:rPr>
                <w:rFonts w:eastAsia="仿宋_GB2312"/>
                <w:kern w:val="0"/>
                <w:szCs w:val="21"/>
              </w:rPr>
            </w:pPr>
            <w:r>
              <w:rPr>
                <w:rFonts w:hint="eastAsia" w:eastAsia="仿宋_GB2312"/>
                <w:kern w:val="0"/>
                <w:szCs w:val="21"/>
              </w:rPr>
              <w:t>苯酚</w:t>
            </w:r>
          </w:p>
        </w:tc>
        <w:tc>
          <w:tcPr>
            <w:tcW w:w="0" w:type="auto"/>
            <w:shd w:val="clear" w:color="auto" w:fill="auto"/>
            <w:vAlign w:val="center"/>
          </w:tcPr>
          <w:p w14:paraId="750BA771">
            <w:pPr>
              <w:widowControl/>
              <w:jc w:val="center"/>
              <w:rPr>
                <w:rFonts w:eastAsia="仿宋_GB2312"/>
                <w:kern w:val="0"/>
                <w:szCs w:val="21"/>
              </w:rPr>
            </w:pPr>
            <w:r>
              <w:rPr>
                <w:rFonts w:hint="eastAsia" w:eastAsia="仿宋_GB2312"/>
                <w:kern w:val="0"/>
                <w:szCs w:val="21"/>
              </w:rPr>
              <w:t>C</w:t>
            </w:r>
            <w:r>
              <w:rPr>
                <w:rFonts w:hint="eastAsia" w:eastAsia="仿宋_GB2312"/>
                <w:kern w:val="0"/>
                <w:szCs w:val="21"/>
                <w:vertAlign w:val="subscript"/>
              </w:rPr>
              <w:t>6</w:t>
            </w:r>
            <w:r>
              <w:rPr>
                <w:rFonts w:hint="eastAsia" w:eastAsia="仿宋_GB2312"/>
                <w:kern w:val="0"/>
                <w:szCs w:val="21"/>
              </w:rPr>
              <w:t>H</w:t>
            </w:r>
            <w:r>
              <w:rPr>
                <w:rFonts w:hint="eastAsia" w:eastAsia="仿宋_GB2312"/>
                <w:kern w:val="0"/>
                <w:szCs w:val="21"/>
                <w:vertAlign w:val="subscript"/>
              </w:rPr>
              <w:t>6</w:t>
            </w:r>
            <w:r>
              <w:rPr>
                <w:rFonts w:hint="eastAsia" w:eastAsia="仿宋_GB2312"/>
                <w:kern w:val="0"/>
                <w:szCs w:val="21"/>
              </w:rPr>
              <w:t>O</w:t>
            </w:r>
          </w:p>
        </w:tc>
        <w:tc>
          <w:tcPr>
            <w:tcW w:w="0" w:type="auto"/>
            <w:shd w:val="clear" w:color="auto" w:fill="auto"/>
            <w:vAlign w:val="center"/>
          </w:tcPr>
          <w:p w14:paraId="5B239708">
            <w:pPr>
              <w:widowControl/>
              <w:jc w:val="center"/>
              <w:rPr>
                <w:rFonts w:eastAsia="仿宋_GB2312"/>
                <w:kern w:val="0"/>
                <w:szCs w:val="21"/>
              </w:rPr>
            </w:pPr>
            <w:r>
              <w:rPr>
                <w:rFonts w:hint="eastAsia" w:eastAsia="仿宋_GB2312"/>
                <w:kern w:val="0"/>
                <w:szCs w:val="21"/>
              </w:rPr>
              <w:t>61067</w:t>
            </w:r>
          </w:p>
        </w:tc>
        <w:tc>
          <w:tcPr>
            <w:tcW w:w="0" w:type="auto"/>
            <w:shd w:val="clear" w:color="auto" w:fill="auto"/>
            <w:vAlign w:val="center"/>
          </w:tcPr>
          <w:p w14:paraId="7F65E6D8">
            <w:pPr>
              <w:widowControl/>
              <w:jc w:val="center"/>
              <w:rPr>
                <w:rFonts w:eastAsia="仿宋_GB2312"/>
                <w:kern w:val="0"/>
                <w:szCs w:val="21"/>
              </w:rPr>
            </w:pPr>
            <w:r>
              <w:rPr>
                <w:rFonts w:eastAsia="仿宋_GB2312"/>
              </w:rPr>
              <w:t>分子量</w:t>
            </w:r>
            <w:r>
              <w:rPr>
                <w:rFonts w:hint="eastAsia" w:eastAsia="仿宋_GB2312"/>
              </w:rPr>
              <w:t>94.11</w:t>
            </w:r>
            <w:r>
              <w:rPr>
                <w:rFonts w:eastAsia="仿宋_GB2312"/>
              </w:rPr>
              <w:t>，</w:t>
            </w:r>
            <w:r>
              <w:rPr>
                <w:rFonts w:hint="eastAsia" w:eastAsia="仿宋_GB2312"/>
              </w:rPr>
              <w:t>无色或白色针状结晶，具有特殊刺激性酚臭</w:t>
            </w:r>
            <w:r>
              <w:rPr>
                <w:rFonts w:eastAsia="仿宋_GB2312"/>
              </w:rPr>
              <w:t>。密度</w:t>
            </w:r>
            <w:r>
              <w:rPr>
                <w:rFonts w:hint="eastAsia" w:eastAsia="仿宋_GB2312"/>
              </w:rPr>
              <w:t>1.07</w:t>
            </w:r>
            <w:r>
              <w:rPr>
                <w:rFonts w:eastAsia="仿宋_GB2312"/>
              </w:rPr>
              <w:t>g/cm³。熔点</w:t>
            </w:r>
            <w:r>
              <w:rPr>
                <w:rFonts w:hint="eastAsia" w:eastAsia="仿宋_GB2312"/>
              </w:rPr>
              <w:t>40.9</w:t>
            </w:r>
            <w:r>
              <w:rPr>
                <w:rFonts w:hint="eastAsia" w:ascii="宋体" w:hAnsi="宋体" w:cs="宋体"/>
              </w:rPr>
              <w:t>℃</w:t>
            </w:r>
            <w:r>
              <w:t>，</w:t>
            </w:r>
            <w:r>
              <w:rPr>
                <w:rFonts w:eastAsia="仿宋_GB2312"/>
              </w:rPr>
              <w:t>沸点</w:t>
            </w:r>
            <w:r>
              <w:rPr>
                <w:rFonts w:hint="eastAsia" w:eastAsia="仿宋_GB2312"/>
              </w:rPr>
              <w:t>181.9</w:t>
            </w:r>
            <w:r>
              <w:rPr>
                <w:rFonts w:hint="eastAsia" w:ascii="宋体" w:hAnsi="宋体" w:cs="宋体"/>
              </w:rPr>
              <w:t>℃，</w:t>
            </w:r>
            <w:r>
              <w:rPr>
                <w:rFonts w:hint="eastAsia" w:ascii="仿宋_GB2312" w:hAnsi="仿宋_GB2312" w:eastAsia="仿宋_GB2312" w:cs="仿宋_GB2312"/>
              </w:rPr>
              <w:t>闪点</w:t>
            </w:r>
            <w:r>
              <w:rPr>
                <w:rFonts w:hint="eastAsia"/>
              </w:rPr>
              <w:t>79</w:t>
            </w:r>
            <w:r>
              <w:rPr>
                <w:rFonts w:hint="eastAsia" w:ascii="宋体" w:hAnsi="宋体" w:cs="宋体"/>
              </w:rPr>
              <w:t>℃，</w:t>
            </w:r>
            <w:r>
              <w:rPr>
                <w:rFonts w:hint="eastAsia" w:eastAsia="仿宋_GB2312"/>
              </w:rPr>
              <w:t>易溶于乙醇、乙醚、丙酮、苯、氯仿、甘油、二硫化碳</w:t>
            </w:r>
            <w:r>
              <w:rPr>
                <w:rFonts w:eastAsia="仿宋_GB2312"/>
              </w:rPr>
              <w:t>。</w:t>
            </w:r>
          </w:p>
        </w:tc>
        <w:tc>
          <w:tcPr>
            <w:tcW w:w="0" w:type="auto"/>
            <w:shd w:val="clear" w:color="auto" w:fill="auto"/>
            <w:vAlign w:val="center"/>
          </w:tcPr>
          <w:p w14:paraId="0355DD9D">
            <w:pPr>
              <w:widowControl/>
              <w:jc w:val="center"/>
              <w:rPr>
                <w:rFonts w:eastAsia="仿宋_GB2312"/>
                <w:bCs/>
              </w:rPr>
            </w:pPr>
            <w:r>
              <w:rPr>
                <w:rFonts w:eastAsia="仿宋_GB2312"/>
                <w:bCs/>
              </w:rPr>
              <w:t>LD</w:t>
            </w:r>
            <w:r>
              <w:rPr>
                <w:rFonts w:eastAsia="仿宋_GB2312"/>
                <w:bCs/>
                <w:vertAlign w:val="subscript"/>
              </w:rPr>
              <w:t>50</w:t>
            </w:r>
            <w:r>
              <w:rPr>
                <w:rFonts w:hint="eastAsia" w:eastAsia="仿宋_GB2312"/>
                <w:bCs/>
              </w:rPr>
              <w:t>317</w:t>
            </w:r>
            <w:r>
              <w:rPr>
                <w:rFonts w:eastAsia="仿宋_GB2312"/>
                <w:bCs/>
              </w:rPr>
              <w:t>mg/kg(大鼠经口)</w:t>
            </w:r>
            <w:r>
              <w:rPr>
                <w:rFonts w:hint="eastAsia" w:eastAsia="仿宋_GB2312"/>
                <w:bCs/>
              </w:rPr>
              <w:t>；</w:t>
            </w:r>
          </w:p>
          <w:p w14:paraId="10238E4E">
            <w:pPr>
              <w:widowControl/>
              <w:jc w:val="center"/>
              <w:rPr>
                <w:rFonts w:eastAsia="仿宋_GB2312"/>
                <w:bCs/>
              </w:rPr>
            </w:pPr>
            <w:r>
              <w:rPr>
                <w:rFonts w:eastAsia="仿宋_GB2312"/>
                <w:bCs/>
              </w:rPr>
              <w:t>LD</w:t>
            </w:r>
            <w:r>
              <w:rPr>
                <w:rFonts w:eastAsia="仿宋_GB2312"/>
                <w:bCs/>
                <w:vertAlign w:val="subscript"/>
              </w:rPr>
              <w:t>50</w:t>
            </w:r>
            <w:r>
              <w:rPr>
                <w:rFonts w:hint="eastAsia" w:eastAsia="仿宋_GB2312"/>
                <w:bCs/>
              </w:rPr>
              <w:t>669</w:t>
            </w:r>
            <w:r>
              <w:rPr>
                <w:rFonts w:eastAsia="仿宋_GB2312"/>
                <w:bCs/>
              </w:rPr>
              <w:t>mg/kg(</w:t>
            </w:r>
            <w:r>
              <w:rPr>
                <w:rFonts w:hint="eastAsia" w:eastAsia="仿宋_GB2312"/>
                <w:bCs/>
              </w:rPr>
              <w:t>兔</w:t>
            </w:r>
            <w:r>
              <w:rPr>
                <w:rFonts w:eastAsia="仿宋_GB2312"/>
                <w:bCs/>
              </w:rPr>
              <w:t>经</w:t>
            </w:r>
            <w:r>
              <w:rPr>
                <w:rFonts w:hint="eastAsia" w:eastAsia="仿宋_GB2312"/>
                <w:bCs/>
              </w:rPr>
              <w:t>皮</w:t>
            </w:r>
            <w:r>
              <w:rPr>
                <w:rFonts w:eastAsia="仿宋_GB2312"/>
                <w:bCs/>
              </w:rPr>
              <w:t>)</w:t>
            </w:r>
            <w:r>
              <w:rPr>
                <w:rFonts w:hint="eastAsia" w:eastAsia="仿宋_GB2312"/>
                <w:bCs/>
              </w:rPr>
              <w:t>；</w:t>
            </w:r>
          </w:p>
          <w:p w14:paraId="3F16F7A4">
            <w:pPr>
              <w:widowControl/>
              <w:jc w:val="center"/>
              <w:rPr>
                <w:rFonts w:eastAsia="仿宋_GB2312"/>
                <w:bCs/>
              </w:rPr>
            </w:pPr>
            <w:r>
              <w:rPr>
                <w:rFonts w:eastAsia="仿宋_GB2312"/>
                <w:bCs/>
              </w:rPr>
              <w:t>LC</w:t>
            </w:r>
            <w:r>
              <w:rPr>
                <w:rFonts w:eastAsia="仿宋_GB2312"/>
                <w:bCs/>
                <w:vertAlign w:val="subscript"/>
              </w:rPr>
              <w:t>50</w:t>
            </w:r>
            <w:r>
              <w:rPr>
                <w:rFonts w:hint="eastAsia" w:eastAsia="仿宋_GB2312"/>
                <w:bCs/>
              </w:rPr>
              <w:t>316</w:t>
            </w:r>
            <w:r>
              <w:rPr>
                <w:rFonts w:eastAsia="仿宋_GB2312"/>
                <w:bCs/>
              </w:rPr>
              <w:t>mg/m</w:t>
            </w:r>
            <w:r>
              <w:rPr>
                <w:rFonts w:eastAsia="仿宋_GB2312"/>
                <w:bCs/>
                <w:vertAlign w:val="superscript"/>
              </w:rPr>
              <w:t>3</w:t>
            </w:r>
            <w:r>
              <w:rPr>
                <w:rFonts w:eastAsia="仿宋_GB2312"/>
                <w:bCs/>
              </w:rPr>
              <w:t>，</w:t>
            </w:r>
            <w:r>
              <w:rPr>
                <w:rFonts w:hint="eastAsia" w:eastAsia="仿宋_GB2312"/>
                <w:bCs/>
              </w:rPr>
              <w:t>4</w:t>
            </w:r>
            <w:r>
              <w:rPr>
                <w:rFonts w:eastAsia="仿宋_GB2312"/>
                <w:bCs/>
              </w:rPr>
              <w:t>小时(大鼠吸入)</w:t>
            </w:r>
          </w:p>
        </w:tc>
        <w:tc>
          <w:tcPr>
            <w:tcW w:w="0" w:type="auto"/>
            <w:shd w:val="clear" w:color="auto" w:fill="auto"/>
            <w:vAlign w:val="center"/>
          </w:tcPr>
          <w:p w14:paraId="6F2715FB">
            <w:pPr>
              <w:widowControl/>
              <w:jc w:val="center"/>
              <w:rPr>
                <w:rFonts w:eastAsia="仿宋_GB2312"/>
                <w:kern w:val="0"/>
                <w:szCs w:val="21"/>
              </w:rPr>
            </w:pPr>
            <w:r>
              <w:rPr>
                <w:rFonts w:hint="eastAsia" w:eastAsia="仿宋_GB2312"/>
                <w:kern w:val="0"/>
                <w:szCs w:val="21"/>
              </w:rPr>
              <w:t>/</w:t>
            </w:r>
          </w:p>
        </w:tc>
        <w:tc>
          <w:tcPr>
            <w:tcW w:w="0" w:type="auto"/>
            <w:shd w:val="clear" w:color="auto" w:fill="auto"/>
            <w:vAlign w:val="center"/>
          </w:tcPr>
          <w:p w14:paraId="4983425B">
            <w:pPr>
              <w:widowControl/>
              <w:jc w:val="left"/>
              <w:rPr>
                <w:rFonts w:eastAsia="仿宋_GB2312"/>
                <w:kern w:val="0"/>
                <w:szCs w:val="21"/>
              </w:rPr>
            </w:pPr>
            <w:r>
              <w:rPr>
                <w:rFonts w:hint="eastAsia" w:eastAsia="仿宋_GB2312"/>
                <w:kern w:val="0"/>
                <w:szCs w:val="21"/>
              </w:rPr>
              <w:t>本品可然。</w:t>
            </w:r>
          </w:p>
        </w:tc>
      </w:tr>
      <w:tr w14:paraId="051947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1" w:type="dxa"/>
            <w:bottom w:w="0" w:type="dxa"/>
            <w:right w:w="51" w:type="dxa"/>
          </w:tblCellMar>
        </w:tblPrEx>
        <w:trPr>
          <w:trHeight w:val="340" w:hRule="atLeast"/>
          <w:jc w:val="center"/>
        </w:trPr>
        <w:tc>
          <w:tcPr>
            <w:tcW w:w="0" w:type="auto"/>
            <w:shd w:val="clear" w:color="auto" w:fill="auto"/>
            <w:vAlign w:val="center"/>
          </w:tcPr>
          <w:p w14:paraId="42608BCF">
            <w:pPr>
              <w:widowControl/>
              <w:jc w:val="center"/>
              <w:rPr>
                <w:rFonts w:eastAsia="仿宋_GB2312"/>
                <w:kern w:val="0"/>
                <w:szCs w:val="21"/>
              </w:rPr>
            </w:pPr>
            <w:r>
              <w:rPr>
                <w:rFonts w:hint="eastAsia" w:eastAsia="仿宋_GB2312"/>
                <w:kern w:val="0"/>
                <w:szCs w:val="21"/>
              </w:rPr>
              <w:t>乙酸乙烯酯</w:t>
            </w:r>
          </w:p>
        </w:tc>
        <w:tc>
          <w:tcPr>
            <w:tcW w:w="0" w:type="auto"/>
            <w:shd w:val="clear" w:color="auto" w:fill="auto"/>
            <w:vAlign w:val="center"/>
          </w:tcPr>
          <w:p w14:paraId="0CE06649">
            <w:pPr>
              <w:widowControl/>
              <w:jc w:val="center"/>
              <w:rPr>
                <w:rFonts w:eastAsia="仿宋_GB2312"/>
                <w:kern w:val="0"/>
                <w:szCs w:val="21"/>
              </w:rPr>
            </w:pPr>
            <w:r>
              <w:rPr>
                <w:rFonts w:hint="eastAsia" w:eastAsia="仿宋_GB2312"/>
                <w:kern w:val="0"/>
                <w:szCs w:val="21"/>
              </w:rPr>
              <w:t>C</w:t>
            </w:r>
            <w:r>
              <w:rPr>
                <w:rFonts w:hint="eastAsia" w:eastAsia="仿宋_GB2312"/>
                <w:kern w:val="0"/>
                <w:szCs w:val="21"/>
                <w:vertAlign w:val="subscript"/>
              </w:rPr>
              <w:t>4</w:t>
            </w:r>
            <w:r>
              <w:rPr>
                <w:rFonts w:hint="eastAsia" w:eastAsia="仿宋_GB2312"/>
                <w:kern w:val="0"/>
                <w:szCs w:val="21"/>
              </w:rPr>
              <w:t>H</w:t>
            </w:r>
            <w:r>
              <w:rPr>
                <w:rFonts w:hint="eastAsia" w:eastAsia="仿宋_GB2312"/>
                <w:kern w:val="0"/>
                <w:szCs w:val="21"/>
                <w:vertAlign w:val="subscript"/>
              </w:rPr>
              <w:t>6</w:t>
            </w:r>
            <w:r>
              <w:rPr>
                <w:rFonts w:hint="eastAsia" w:eastAsia="仿宋_GB2312"/>
                <w:kern w:val="0"/>
                <w:szCs w:val="21"/>
              </w:rPr>
              <w:t>O</w:t>
            </w:r>
            <w:r>
              <w:rPr>
                <w:rFonts w:hint="eastAsia" w:eastAsia="仿宋_GB2312"/>
                <w:kern w:val="0"/>
                <w:szCs w:val="21"/>
                <w:vertAlign w:val="subscript"/>
              </w:rPr>
              <w:t>2</w:t>
            </w:r>
          </w:p>
        </w:tc>
        <w:tc>
          <w:tcPr>
            <w:tcW w:w="0" w:type="auto"/>
            <w:shd w:val="clear" w:color="auto" w:fill="auto"/>
            <w:vAlign w:val="center"/>
          </w:tcPr>
          <w:p w14:paraId="17C0A915">
            <w:pPr>
              <w:widowControl/>
              <w:jc w:val="center"/>
              <w:rPr>
                <w:rFonts w:eastAsia="仿宋_GB2312"/>
                <w:kern w:val="0"/>
                <w:szCs w:val="21"/>
              </w:rPr>
            </w:pPr>
            <w:r>
              <w:rPr>
                <w:rFonts w:hint="eastAsia" w:eastAsia="仿宋_GB2312"/>
                <w:kern w:val="0"/>
                <w:szCs w:val="21"/>
              </w:rPr>
              <w:t>32131</w:t>
            </w:r>
          </w:p>
        </w:tc>
        <w:tc>
          <w:tcPr>
            <w:tcW w:w="0" w:type="auto"/>
            <w:shd w:val="clear" w:color="auto" w:fill="auto"/>
            <w:vAlign w:val="center"/>
          </w:tcPr>
          <w:p w14:paraId="552344B3">
            <w:pPr>
              <w:widowControl/>
              <w:jc w:val="center"/>
              <w:rPr>
                <w:rFonts w:eastAsia="仿宋_GB2312"/>
                <w:kern w:val="0"/>
                <w:szCs w:val="21"/>
              </w:rPr>
            </w:pPr>
            <w:r>
              <w:rPr>
                <w:rFonts w:eastAsia="仿宋_GB2312"/>
              </w:rPr>
              <w:t>分子量</w:t>
            </w:r>
            <w:r>
              <w:rPr>
                <w:rFonts w:hint="eastAsia" w:eastAsia="仿宋_GB2312"/>
              </w:rPr>
              <w:t>86.09</w:t>
            </w:r>
            <w:r>
              <w:rPr>
                <w:rFonts w:eastAsia="仿宋_GB2312"/>
              </w:rPr>
              <w:t>，</w:t>
            </w:r>
            <w:r>
              <w:rPr>
                <w:rFonts w:hint="eastAsia" w:eastAsia="仿宋_GB2312"/>
              </w:rPr>
              <w:t>无色透明液体，带有清甜水果酯香</w:t>
            </w:r>
            <w:r>
              <w:rPr>
                <w:rFonts w:eastAsia="仿宋_GB2312"/>
              </w:rPr>
              <w:t>。密度</w:t>
            </w:r>
            <w:r>
              <w:rPr>
                <w:rFonts w:hint="eastAsia" w:eastAsia="仿宋_GB2312"/>
              </w:rPr>
              <w:t>0.93</w:t>
            </w:r>
            <w:r>
              <w:rPr>
                <w:rFonts w:eastAsia="仿宋_GB2312"/>
              </w:rPr>
              <w:t>g/cm³。熔点</w:t>
            </w:r>
            <w:r>
              <w:rPr>
                <w:rFonts w:hint="eastAsia" w:eastAsia="仿宋_GB2312"/>
              </w:rPr>
              <w:t>-93.2</w:t>
            </w:r>
            <w:r>
              <w:rPr>
                <w:rFonts w:hint="eastAsia" w:ascii="宋体" w:hAnsi="宋体" w:cs="宋体"/>
              </w:rPr>
              <w:t>℃</w:t>
            </w:r>
            <w:r>
              <w:t>，</w:t>
            </w:r>
            <w:r>
              <w:rPr>
                <w:rFonts w:eastAsia="仿宋_GB2312"/>
              </w:rPr>
              <w:t>沸点</w:t>
            </w:r>
            <w:r>
              <w:rPr>
                <w:rFonts w:hint="eastAsia" w:eastAsia="仿宋_GB2312"/>
              </w:rPr>
              <w:t>72.7</w:t>
            </w:r>
            <w:r>
              <w:rPr>
                <w:rFonts w:hint="eastAsia" w:ascii="宋体" w:hAnsi="宋体" w:cs="宋体"/>
              </w:rPr>
              <w:t>℃，</w:t>
            </w:r>
            <w:r>
              <w:rPr>
                <w:rFonts w:hint="eastAsia" w:ascii="仿宋_GB2312" w:hAnsi="仿宋_GB2312" w:eastAsia="仿宋_GB2312" w:cs="仿宋_GB2312"/>
              </w:rPr>
              <w:t>闪点</w:t>
            </w:r>
            <w:r>
              <w:rPr>
                <w:rFonts w:hint="eastAsia"/>
              </w:rPr>
              <w:t>-8</w:t>
            </w:r>
            <w:r>
              <w:rPr>
                <w:rFonts w:hint="eastAsia" w:ascii="宋体" w:hAnsi="宋体" w:cs="宋体"/>
              </w:rPr>
              <w:t>℃，</w:t>
            </w:r>
            <w:r>
              <w:rPr>
                <w:rFonts w:hint="eastAsia" w:eastAsia="仿宋_GB2312"/>
              </w:rPr>
              <w:t>微溶于水，可与乙醇、乙醚、丙酮、苯、甲苯、酯类、石油醚无限互溶</w:t>
            </w:r>
            <w:r>
              <w:rPr>
                <w:rFonts w:eastAsia="仿宋_GB2312"/>
              </w:rPr>
              <w:t>。</w:t>
            </w:r>
          </w:p>
        </w:tc>
        <w:tc>
          <w:tcPr>
            <w:tcW w:w="0" w:type="auto"/>
            <w:shd w:val="clear" w:color="auto" w:fill="auto"/>
            <w:vAlign w:val="center"/>
          </w:tcPr>
          <w:p w14:paraId="450F581A">
            <w:pPr>
              <w:widowControl/>
              <w:jc w:val="center"/>
              <w:rPr>
                <w:rFonts w:eastAsia="仿宋_GB2312"/>
                <w:bCs/>
              </w:rPr>
            </w:pPr>
            <w:r>
              <w:rPr>
                <w:rFonts w:eastAsia="仿宋_GB2312"/>
                <w:bCs/>
              </w:rPr>
              <w:t>LD</w:t>
            </w:r>
            <w:r>
              <w:rPr>
                <w:rFonts w:eastAsia="仿宋_GB2312"/>
                <w:bCs/>
                <w:vertAlign w:val="subscript"/>
              </w:rPr>
              <w:t>50</w:t>
            </w:r>
            <w:r>
              <w:rPr>
                <w:rFonts w:hint="eastAsia" w:eastAsia="仿宋_GB2312"/>
                <w:bCs/>
              </w:rPr>
              <w:t>2900</w:t>
            </w:r>
            <w:r>
              <w:rPr>
                <w:rFonts w:eastAsia="仿宋_GB2312"/>
                <w:bCs/>
              </w:rPr>
              <w:t>mg/kg(大鼠经口)</w:t>
            </w:r>
            <w:r>
              <w:rPr>
                <w:rFonts w:hint="eastAsia" w:eastAsia="仿宋_GB2312"/>
                <w:bCs/>
              </w:rPr>
              <w:t>；</w:t>
            </w:r>
          </w:p>
          <w:p w14:paraId="78B3A573">
            <w:pPr>
              <w:widowControl/>
              <w:jc w:val="center"/>
              <w:rPr>
                <w:rFonts w:eastAsia="仿宋_GB2312"/>
                <w:kern w:val="0"/>
                <w:szCs w:val="21"/>
              </w:rPr>
            </w:pPr>
            <w:r>
              <w:rPr>
                <w:rFonts w:eastAsia="仿宋_GB2312"/>
                <w:bCs/>
              </w:rPr>
              <w:t>LD</w:t>
            </w:r>
            <w:r>
              <w:rPr>
                <w:rFonts w:eastAsia="仿宋_GB2312"/>
                <w:bCs/>
                <w:vertAlign w:val="subscript"/>
              </w:rPr>
              <w:t>50</w:t>
            </w:r>
            <w:r>
              <w:rPr>
                <w:rFonts w:hint="eastAsia" w:eastAsia="仿宋_GB2312"/>
                <w:bCs/>
              </w:rPr>
              <w:t>2500</w:t>
            </w:r>
            <w:r>
              <w:rPr>
                <w:rFonts w:eastAsia="仿宋_GB2312"/>
                <w:bCs/>
              </w:rPr>
              <w:t>mg/kg(</w:t>
            </w:r>
            <w:r>
              <w:rPr>
                <w:rFonts w:hint="eastAsia" w:eastAsia="仿宋_GB2312"/>
                <w:bCs/>
              </w:rPr>
              <w:t>兔</w:t>
            </w:r>
            <w:r>
              <w:rPr>
                <w:rFonts w:eastAsia="仿宋_GB2312"/>
                <w:bCs/>
              </w:rPr>
              <w:t>经</w:t>
            </w:r>
            <w:r>
              <w:rPr>
                <w:rFonts w:hint="eastAsia" w:eastAsia="仿宋_GB2312"/>
                <w:bCs/>
              </w:rPr>
              <w:t>皮</w:t>
            </w:r>
            <w:r>
              <w:rPr>
                <w:rFonts w:eastAsia="仿宋_GB2312"/>
                <w:bCs/>
              </w:rPr>
              <w:t>)</w:t>
            </w:r>
          </w:p>
        </w:tc>
        <w:tc>
          <w:tcPr>
            <w:tcW w:w="0" w:type="auto"/>
            <w:shd w:val="clear" w:color="auto" w:fill="auto"/>
            <w:vAlign w:val="center"/>
          </w:tcPr>
          <w:p w14:paraId="1EDF1BF9">
            <w:pPr>
              <w:widowControl/>
              <w:jc w:val="center"/>
              <w:rPr>
                <w:rFonts w:eastAsia="仿宋_GB2312"/>
                <w:kern w:val="0"/>
                <w:szCs w:val="21"/>
              </w:rPr>
            </w:pPr>
            <w:r>
              <w:rPr>
                <w:rFonts w:hint="eastAsia" w:eastAsia="仿宋_GB2312"/>
                <w:kern w:val="0"/>
                <w:szCs w:val="21"/>
              </w:rPr>
              <w:t>/</w:t>
            </w:r>
          </w:p>
        </w:tc>
        <w:tc>
          <w:tcPr>
            <w:tcW w:w="0" w:type="auto"/>
            <w:shd w:val="clear" w:color="auto" w:fill="auto"/>
            <w:vAlign w:val="center"/>
          </w:tcPr>
          <w:p w14:paraId="7040E836">
            <w:pPr>
              <w:widowControl/>
              <w:jc w:val="left"/>
              <w:rPr>
                <w:rFonts w:eastAsia="仿宋_GB2312"/>
                <w:kern w:val="0"/>
                <w:szCs w:val="21"/>
              </w:rPr>
            </w:pPr>
            <w:r>
              <w:rPr>
                <w:rFonts w:hint="eastAsia" w:eastAsia="仿宋_GB2312"/>
                <w:bCs/>
              </w:rPr>
              <w:t>本品易燃。</w:t>
            </w:r>
          </w:p>
        </w:tc>
      </w:tr>
      <w:tr w14:paraId="109809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1" w:type="dxa"/>
            <w:bottom w:w="0" w:type="dxa"/>
            <w:right w:w="51" w:type="dxa"/>
          </w:tblCellMar>
        </w:tblPrEx>
        <w:trPr>
          <w:trHeight w:val="340" w:hRule="atLeast"/>
          <w:jc w:val="center"/>
        </w:trPr>
        <w:tc>
          <w:tcPr>
            <w:tcW w:w="0" w:type="auto"/>
            <w:shd w:val="clear" w:color="auto" w:fill="auto"/>
            <w:vAlign w:val="center"/>
          </w:tcPr>
          <w:p w14:paraId="35E316A0">
            <w:pPr>
              <w:widowControl/>
              <w:jc w:val="center"/>
              <w:rPr>
                <w:rFonts w:eastAsia="仿宋_GB2312"/>
                <w:kern w:val="0"/>
                <w:szCs w:val="21"/>
              </w:rPr>
            </w:pPr>
            <w:r>
              <w:rPr>
                <w:rFonts w:hint="eastAsia" w:eastAsia="仿宋_GB2312"/>
                <w:kern w:val="0"/>
                <w:szCs w:val="21"/>
              </w:rPr>
              <w:t>2-甲基四氢呋喃</w:t>
            </w:r>
          </w:p>
        </w:tc>
        <w:tc>
          <w:tcPr>
            <w:tcW w:w="0" w:type="auto"/>
            <w:shd w:val="clear" w:color="auto" w:fill="auto"/>
            <w:vAlign w:val="center"/>
          </w:tcPr>
          <w:p w14:paraId="63E7CB98">
            <w:pPr>
              <w:widowControl/>
              <w:jc w:val="center"/>
              <w:rPr>
                <w:rFonts w:eastAsia="仿宋_GB2312"/>
                <w:kern w:val="0"/>
                <w:szCs w:val="21"/>
              </w:rPr>
            </w:pPr>
            <w:r>
              <w:rPr>
                <w:rFonts w:hint="eastAsia" w:eastAsia="仿宋_GB2312"/>
                <w:kern w:val="0"/>
                <w:szCs w:val="21"/>
              </w:rPr>
              <w:t>C</w:t>
            </w:r>
            <w:r>
              <w:rPr>
                <w:rFonts w:hint="eastAsia" w:eastAsia="仿宋_GB2312"/>
                <w:kern w:val="0"/>
                <w:szCs w:val="21"/>
                <w:vertAlign w:val="subscript"/>
              </w:rPr>
              <w:t>5</w:t>
            </w:r>
            <w:r>
              <w:rPr>
                <w:rFonts w:hint="eastAsia" w:eastAsia="仿宋_GB2312"/>
                <w:kern w:val="0"/>
                <w:szCs w:val="21"/>
              </w:rPr>
              <w:t>H</w:t>
            </w:r>
            <w:r>
              <w:rPr>
                <w:rFonts w:hint="eastAsia" w:eastAsia="仿宋_GB2312"/>
                <w:kern w:val="0"/>
                <w:szCs w:val="21"/>
                <w:vertAlign w:val="subscript"/>
              </w:rPr>
              <w:t>10</w:t>
            </w:r>
            <w:r>
              <w:rPr>
                <w:rFonts w:hint="eastAsia" w:eastAsia="仿宋_GB2312"/>
                <w:kern w:val="0"/>
                <w:szCs w:val="21"/>
              </w:rPr>
              <w:t>O</w:t>
            </w:r>
          </w:p>
        </w:tc>
        <w:tc>
          <w:tcPr>
            <w:tcW w:w="0" w:type="auto"/>
            <w:shd w:val="clear" w:color="auto" w:fill="auto"/>
            <w:vAlign w:val="center"/>
          </w:tcPr>
          <w:p w14:paraId="4E7A6D65">
            <w:pPr>
              <w:widowControl/>
              <w:jc w:val="center"/>
              <w:rPr>
                <w:rFonts w:eastAsia="仿宋_GB2312"/>
                <w:kern w:val="0"/>
                <w:szCs w:val="21"/>
              </w:rPr>
            </w:pPr>
            <w:r>
              <w:rPr>
                <w:rFonts w:hint="eastAsia" w:eastAsia="仿宋_GB2312"/>
                <w:kern w:val="0"/>
                <w:szCs w:val="21"/>
              </w:rPr>
              <w:t>31043</w:t>
            </w:r>
          </w:p>
        </w:tc>
        <w:tc>
          <w:tcPr>
            <w:tcW w:w="0" w:type="auto"/>
            <w:shd w:val="clear" w:color="auto" w:fill="auto"/>
            <w:vAlign w:val="center"/>
          </w:tcPr>
          <w:p w14:paraId="49C39A1A">
            <w:pPr>
              <w:widowControl/>
              <w:jc w:val="center"/>
              <w:rPr>
                <w:rFonts w:eastAsia="仿宋_GB2312"/>
                <w:kern w:val="0"/>
                <w:szCs w:val="21"/>
              </w:rPr>
            </w:pPr>
            <w:r>
              <w:rPr>
                <w:rFonts w:eastAsia="仿宋_GB2312"/>
              </w:rPr>
              <w:t>分子量</w:t>
            </w:r>
            <w:r>
              <w:rPr>
                <w:rFonts w:hint="eastAsia" w:eastAsia="仿宋_GB2312"/>
              </w:rPr>
              <w:t>86.13</w:t>
            </w:r>
            <w:r>
              <w:rPr>
                <w:rFonts w:eastAsia="仿宋_GB2312"/>
              </w:rPr>
              <w:t>，</w:t>
            </w:r>
            <w:r>
              <w:rPr>
                <w:rFonts w:hint="eastAsia" w:eastAsia="仿宋_GB2312"/>
              </w:rPr>
              <w:t>无色透明流动液体，带有特征醚类刺激性气味</w:t>
            </w:r>
            <w:r>
              <w:rPr>
                <w:rFonts w:eastAsia="仿宋_GB2312"/>
              </w:rPr>
              <w:t>。密度</w:t>
            </w:r>
            <w:r>
              <w:rPr>
                <w:rFonts w:hint="eastAsia" w:eastAsia="仿宋_GB2312"/>
              </w:rPr>
              <w:t>0.855</w:t>
            </w:r>
            <w:r>
              <w:rPr>
                <w:rFonts w:eastAsia="仿宋_GB2312"/>
              </w:rPr>
              <w:t>g/cm³。熔点</w:t>
            </w:r>
            <w:r>
              <w:rPr>
                <w:rFonts w:hint="eastAsia" w:eastAsia="仿宋_GB2312"/>
              </w:rPr>
              <w:t>-136</w:t>
            </w:r>
            <w:r>
              <w:rPr>
                <w:rFonts w:hint="eastAsia" w:ascii="宋体" w:hAnsi="宋体" w:cs="宋体"/>
              </w:rPr>
              <w:t>℃</w:t>
            </w:r>
            <w:r>
              <w:t>，</w:t>
            </w:r>
            <w:r>
              <w:rPr>
                <w:rFonts w:eastAsia="仿宋_GB2312"/>
              </w:rPr>
              <w:t>沸点</w:t>
            </w:r>
            <w:r>
              <w:rPr>
                <w:rFonts w:hint="eastAsia" w:eastAsia="仿宋_GB2312"/>
              </w:rPr>
              <w:t>80.2</w:t>
            </w:r>
            <w:r>
              <w:rPr>
                <w:rFonts w:hint="eastAsia" w:ascii="宋体" w:hAnsi="宋体" w:cs="宋体"/>
              </w:rPr>
              <w:t>℃，</w:t>
            </w:r>
            <w:r>
              <w:rPr>
                <w:rFonts w:hint="eastAsia" w:ascii="仿宋_GB2312" w:hAnsi="仿宋_GB2312" w:eastAsia="仿宋_GB2312" w:cs="仿宋_GB2312"/>
              </w:rPr>
              <w:t>闪点</w:t>
            </w:r>
            <w:r>
              <w:rPr>
                <w:rFonts w:hint="eastAsia"/>
              </w:rPr>
              <w:t>-11</w:t>
            </w:r>
            <w:r>
              <w:rPr>
                <w:rFonts w:hint="eastAsia" w:ascii="宋体" w:hAnsi="宋体" w:cs="宋体"/>
              </w:rPr>
              <w:t>℃，</w:t>
            </w:r>
            <w:r>
              <w:rPr>
                <w:rFonts w:hint="eastAsia" w:eastAsia="仿宋_GB2312"/>
              </w:rPr>
              <w:t>微溶于水，可与乙醇、乙醚、丙酮、苯等绝大多数有机溶剂任意混溶</w:t>
            </w:r>
            <w:r>
              <w:rPr>
                <w:rFonts w:eastAsia="仿宋_GB2312"/>
              </w:rPr>
              <w:t>。</w:t>
            </w:r>
          </w:p>
        </w:tc>
        <w:tc>
          <w:tcPr>
            <w:tcW w:w="0" w:type="auto"/>
            <w:shd w:val="clear" w:color="auto" w:fill="auto"/>
            <w:vAlign w:val="center"/>
          </w:tcPr>
          <w:p w14:paraId="6FFBAC30">
            <w:pPr>
              <w:widowControl/>
              <w:jc w:val="center"/>
              <w:rPr>
                <w:rFonts w:eastAsia="仿宋_GB2312"/>
                <w:bCs/>
              </w:rPr>
            </w:pPr>
            <w:r>
              <w:rPr>
                <w:rFonts w:eastAsia="仿宋_GB2312"/>
                <w:bCs/>
              </w:rPr>
              <w:t>LD</w:t>
            </w:r>
            <w:r>
              <w:rPr>
                <w:rFonts w:eastAsia="仿宋_GB2312"/>
                <w:bCs/>
                <w:vertAlign w:val="subscript"/>
              </w:rPr>
              <w:t>50</w:t>
            </w:r>
            <w:r>
              <w:rPr>
                <w:rFonts w:hint="eastAsia" w:eastAsia="仿宋_GB2312"/>
                <w:bCs/>
              </w:rPr>
              <w:t>5720</w:t>
            </w:r>
            <w:r>
              <w:rPr>
                <w:rFonts w:eastAsia="仿宋_GB2312"/>
                <w:bCs/>
              </w:rPr>
              <w:t>mg/kg(大鼠经口)</w:t>
            </w:r>
            <w:r>
              <w:rPr>
                <w:rFonts w:hint="eastAsia" w:eastAsia="仿宋_GB2312"/>
                <w:bCs/>
              </w:rPr>
              <w:t>；</w:t>
            </w:r>
          </w:p>
          <w:p w14:paraId="250997FD">
            <w:pPr>
              <w:widowControl/>
              <w:jc w:val="center"/>
              <w:rPr>
                <w:rFonts w:eastAsia="仿宋_GB2312"/>
                <w:kern w:val="0"/>
                <w:szCs w:val="21"/>
              </w:rPr>
            </w:pPr>
            <w:r>
              <w:rPr>
                <w:rFonts w:eastAsia="仿宋_GB2312"/>
                <w:bCs/>
              </w:rPr>
              <w:t>LD</w:t>
            </w:r>
            <w:r>
              <w:rPr>
                <w:rFonts w:eastAsia="仿宋_GB2312"/>
                <w:bCs/>
                <w:vertAlign w:val="subscript"/>
              </w:rPr>
              <w:t>50</w:t>
            </w:r>
            <w:r>
              <w:rPr>
                <w:rFonts w:hint="eastAsia" w:eastAsia="仿宋_GB2312"/>
                <w:bCs/>
              </w:rPr>
              <w:t>4500</w:t>
            </w:r>
            <w:r>
              <w:rPr>
                <w:rFonts w:eastAsia="仿宋_GB2312"/>
                <w:bCs/>
              </w:rPr>
              <w:t>mg/kg(</w:t>
            </w:r>
            <w:r>
              <w:rPr>
                <w:rFonts w:hint="eastAsia" w:eastAsia="仿宋_GB2312"/>
                <w:bCs/>
              </w:rPr>
              <w:t>兔</w:t>
            </w:r>
            <w:r>
              <w:rPr>
                <w:rFonts w:eastAsia="仿宋_GB2312"/>
                <w:bCs/>
              </w:rPr>
              <w:t>经</w:t>
            </w:r>
            <w:r>
              <w:rPr>
                <w:rFonts w:hint="eastAsia" w:eastAsia="仿宋_GB2312"/>
                <w:bCs/>
              </w:rPr>
              <w:t>皮</w:t>
            </w:r>
            <w:r>
              <w:rPr>
                <w:rFonts w:eastAsia="仿宋_GB2312"/>
                <w:bCs/>
              </w:rPr>
              <w:t>)</w:t>
            </w:r>
          </w:p>
        </w:tc>
        <w:tc>
          <w:tcPr>
            <w:tcW w:w="0" w:type="auto"/>
            <w:shd w:val="clear" w:color="auto" w:fill="auto"/>
            <w:vAlign w:val="center"/>
          </w:tcPr>
          <w:p w14:paraId="7C1883C6">
            <w:pPr>
              <w:widowControl/>
              <w:jc w:val="center"/>
              <w:rPr>
                <w:rFonts w:eastAsia="仿宋_GB2312"/>
                <w:kern w:val="0"/>
                <w:szCs w:val="21"/>
              </w:rPr>
            </w:pPr>
            <w:r>
              <w:rPr>
                <w:rFonts w:hint="eastAsia" w:eastAsia="仿宋_GB2312"/>
                <w:kern w:val="0"/>
                <w:szCs w:val="21"/>
              </w:rPr>
              <w:t>/</w:t>
            </w:r>
          </w:p>
        </w:tc>
        <w:tc>
          <w:tcPr>
            <w:tcW w:w="0" w:type="auto"/>
            <w:shd w:val="clear" w:color="auto" w:fill="auto"/>
            <w:vAlign w:val="center"/>
          </w:tcPr>
          <w:p w14:paraId="53842BFA">
            <w:pPr>
              <w:widowControl/>
              <w:jc w:val="left"/>
              <w:rPr>
                <w:rFonts w:eastAsia="仿宋_GB2312"/>
                <w:kern w:val="0"/>
                <w:szCs w:val="21"/>
              </w:rPr>
            </w:pPr>
            <w:r>
              <w:rPr>
                <w:rFonts w:hint="eastAsia" w:eastAsia="仿宋_GB2312"/>
                <w:bCs/>
              </w:rPr>
              <w:t>本品易燃。</w:t>
            </w:r>
          </w:p>
        </w:tc>
      </w:tr>
      <w:tr w14:paraId="4A8943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1" w:type="dxa"/>
            <w:bottom w:w="0" w:type="dxa"/>
            <w:right w:w="51" w:type="dxa"/>
          </w:tblCellMar>
        </w:tblPrEx>
        <w:trPr>
          <w:trHeight w:val="340" w:hRule="atLeast"/>
          <w:jc w:val="center"/>
        </w:trPr>
        <w:tc>
          <w:tcPr>
            <w:tcW w:w="0" w:type="auto"/>
            <w:shd w:val="clear" w:color="auto" w:fill="auto"/>
            <w:vAlign w:val="center"/>
          </w:tcPr>
          <w:p w14:paraId="33A34C19">
            <w:pPr>
              <w:widowControl/>
              <w:jc w:val="center"/>
              <w:rPr>
                <w:rFonts w:eastAsia="仿宋_GB2312"/>
                <w:kern w:val="0"/>
                <w:szCs w:val="21"/>
              </w:rPr>
            </w:pPr>
            <w:r>
              <w:rPr>
                <w:rFonts w:hint="eastAsia" w:eastAsia="仿宋_GB2312"/>
                <w:kern w:val="0"/>
                <w:szCs w:val="21"/>
              </w:rPr>
              <w:t>甲基</w:t>
            </w:r>
            <w:r>
              <w:rPr>
                <w:rFonts w:hint="eastAsia" w:eastAsia="仿宋_GB2312"/>
                <w:kern w:val="0"/>
                <w:szCs w:val="21"/>
                <w:lang w:val="en-US" w:eastAsia="zh-CN"/>
              </w:rPr>
              <w:t>叔</w:t>
            </w:r>
            <w:r>
              <w:rPr>
                <w:rFonts w:hint="eastAsia" w:eastAsia="仿宋_GB2312"/>
                <w:kern w:val="0"/>
                <w:szCs w:val="21"/>
              </w:rPr>
              <w:t>丁基醚</w:t>
            </w:r>
          </w:p>
        </w:tc>
        <w:tc>
          <w:tcPr>
            <w:tcW w:w="0" w:type="auto"/>
            <w:shd w:val="clear" w:color="auto" w:fill="auto"/>
            <w:vAlign w:val="center"/>
          </w:tcPr>
          <w:p w14:paraId="1AAB2065">
            <w:pPr>
              <w:widowControl/>
              <w:jc w:val="center"/>
              <w:rPr>
                <w:rFonts w:eastAsia="仿宋_GB2312"/>
                <w:kern w:val="0"/>
                <w:szCs w:val="21"/>
              </w:rPr>
            </w:pPr>
            <w:r>
              <w:rPr>
                <w:rFonts w:hint="eastAsia" w:eastAsia="仿宋_GB2312"/>
                <w:kern w:val="0"/>
                <w:szCs w:val="21"/>
              </w:rPr>
              <w:t>C</w:t>
            </w:r>
            <w:r>
              <w:rPr>
                <w:rFonts w:hint="eastAsia" w:eastAsia="仿宋_GB2312"/>
                <w:kern w:val="0"/>
                <w:szCs w:val="21"/>
                <w:vertAlign w:val="subscript"/>
              </w:rPr>
              <w:t>5</w:t>
            </w:r>
            <w:r>
              <w:rPr>
                <w:rFonts w:hint="eastAsia" w:eastAsia="仿宋_GB2312"/>
                <w:kern w:val="0"/>
                <w:szCs w:val="21"/>
              </w:rPr>
              <w:t>H</w:t>
            </w:r>
            <w:r>
              <w:rPr>
                <w:rFonts w:hint="eastAsia" w:eastAsia="仿宋_GB2312"/>
                <w:kern w:val="0"/>
                <w:szCs w:val="21"/>
                <w:vertAlign w:val="subscript"/>
              </w:rPr>
              <w:t>12</w:t>
            </w:r>
            <w:r>
              <w:rPr>
                <w:rFonts w:hint="eastAsia" w:eastAsia="仿宋_GB2312"/>
                <w:kern w:val="0"/>
                <w:szCs w:val="21"/>
              </w:rPr>
              <w:t>O</w:t>
            </w:r>
          </w:p>
        </w:tc>
        <w:tc>
          <w:tcPr>
            <w:tcW w:w="0" w:type="auto"/>
            <w:shd w:val="clear" w:color="auto" w:fill="auto"/>
            <w:vAlign w:val="center"/>
          </w:tcPr>
          <w:p w14:paraId="320676D8">
            <w:pPr>
              <w:widowControl/>
              <w:jc w:val="center"/>
              <w:rPr>
                <w:rFonts w:eastAsia="仿宋_GB2312"/>
                <w:kern w:val="0"/>
                <w:szCs w:val="21"/>
              </w:rPr>
            </w:pPr>
            <w:r>
              <w:rPr>
                <w:rFonts w:hint="eastAsia" w:eastAsia="仿宋_GB2312"/>
                <w:kern w:val="0"/>
                <w:szCs w:val="21"/>
              </w:rPr>
              <w:t>31040</w:t>
            </w:r>
          </w:p>
        </w:tc>
        <w:tc>
          <w:tcPr>
            <w:tcW w:w="0" w:type="auto"/>
            <w:shd w:val="clear" w:color="auto" w:fill="auto"/>
            <w:vAlign w:val="center"/>
          </w:tcPr>
          <w:p w14:paraId="3D0A0021">
            <w:pPr>
              <w:widowControl/>
              <w:jc w:val="center"/>
              <w:rPr>
                <w:rFonts w:eastAsia="仿宋_GB2312"/>
                <w:kern w:val="0"/>
                <w:szCs w:val="21"/>
              </w:rPr>
            </w:pPr>
            <w:r>
              <w:rPr>
                <w:rFonts w:eastAsia="仿宋_GB2312"/>
              </w:rPr>
              <w:t>分子量</w:t>
            </w:r>
            <w:r>
              <w:rPr>
                <w:rFonts w:hint="eastAsia" w:eastAsia="仿宋_GB2312"/>
              </w:rPr>
              <w:t>88.15</w:t>
            </w:r>
            <w:r>
              <w:rPr>
                <w:rFonts w:eastAsia="仿宋_GB2312"/>
              </w:rPr>
              <w:t>，</w:t>
            </w:r>
            <w:r>
              <w:rPr>
                <w:rFonts w:hint="eastAsia" w:eastAsia="仿宋_GB2312"/>
              </w:rPr>
              <w:t>无色透明低粘度液体，挥发性极强</w:t>
            </w:r>
            <w:r>
              <w:rPr>
                <w:rFonts w:eastAsia="仿宋_GB2312"/>
              </w:rPr>
              <w:t>。密度</w:t>
            </w:r>
            <w:r>
              <w:rPr>
                <w:rFonts w:hint="eastAsia" w:eastAsia="仿宋_GB2312"/>
              </w:rPr>
              <w:t>0.74</w:t>
            </w:r>
            <w:r>
              <w:rPr>
                <w:rFonts w:eastAsia="仿宋_GB2312"/>
              </w:rPr>
              <w:t>g/cm³。熔点</w:t>
            </w:r>
            <w:r>
              <w:rPr>
                <w:rFonts w:hint="eastAsia" w:eastAsia="仿宋_GB2312"/>
              </w:rPr>
              <w:t>-109</w:t>
            </w:r>
            <w:r>
              <w:rPr>
                <w:rFonts w:hint="eastAsia" w:ascii="宋体" w:hAnsi="宋体" w:cs="宋体"/>
              </w:rPr>
              <w:t>℃</w:t>
            </w:r>
            <w:r>
              <w:t>，</w:t>
            </w:r>
            <w:r>
              <w:rPr>
                <w:rFonts w:eastAsia="仿宋_GB2312"/>
              </w:rPr>
              <w:t>沸点</w:t>
            </w:r>
            <w:r>
              <w:rPr>
                <w:rFonts w:hint="eastAsia" w:eastAsia="仿宋_GB2312"/>
              </w:rPr>
              <w:t>55.2</w:t>
            </w:r>
            <w:r>
              <w:rPr>
                <w:rFonts w:hint="eastAsia" w:ascii="宋体" w:hAnsi="宋体" w:cs="宋体"/>
              </w:rPr>
              <w:t>℃，</w:t>
            </w:r>
            <w:r>
              <w:rPr>
                <w:rFonts w:hint="eastAsia" w:ascii="仿宋_GB2312" w:hAnsi="仿宋_GB2312" w:eastAsia="仿宋_GB2312" w:cs="仿宋_GB2312"/>
              </w:rPr>
              <w:t>闪点</w:t>
            </w:r>
            <w:r>
              <w:rPr>
                <w:rFonts w:hint="eastAsia"/>
              </w:rPr>
              <w:t>-28</w:t>
            </w:r>
            <w:r>
              <w:rPr>
                <w:rFonts w:hint="eastAsia" w:ascii="宋体" w:hAnsi="宋体" w:cs="宋体"/>
              </w:rPr>
              <w:t>℃，</w:t>
            </w:r>
            <w:r>
              <w:rPr>
                <w:rFonts w:hint="eastAsia" w:eastAsia="仿宋_GB2312"/>
              </w:rPr>
              <w:t>微溶于水，可与乙醇、乙醚、丙酮、苯、汽油、烷烃任意比例互溶</w:t>
            </w:r>
            <w:r>
              <w:rPr>
                <w:rFonts w:eastAsia="仿宋_GB2312"/>
              </w:rPr>
              <w:t>。</w:t>
            </w:r>
          </w:p>
        </w:tc>
        <w:tc>
          <w:tcPr>
            <w:tcW w:w="0" w:type="auto"/>
            <w:shd w:val="clear" w:color="auto" w:fill="auto"/>
            <w:vAlign w:val="center"/>
          </w:tcPr>
          <w:p w14:paraId="43B3CCA7">
            <w:pPr>
              <w:widowControl/>
              <w:jc w:val="center"/>
              <w:rPr>
                <w:rFonts w:eastAsia="仿宋_GB2312"/>
                <w:bCs/>
              </w:rPr>
            </w:pPr>
            <w:r>
              <w:rPr>
                <w:rFonts w:eastAsia="仿宋_GB2312"/>
                <w:bCs/>
              </w:rPr>
              <w:t>LD</w:t>
            </w:r>
            <w:r>
              <w:rPr>
                <w:rFonts w:eastAsia="仿宋_GB2312"/>
                <w:bCs/>
                <w:vertAlign w:val="subscript"/>
              </w:rPr>
              <w:t>50</w:t>
            </w:r>
            <w:r>
              <w:rPr>
                <w:rFonts w:hint="eastAsia" w:eastAsia="仿宋_GB2312"/>
                <w:bCs/>
              </w:rPr>
              <w:t>3030</w:t>
            </w:r>
            <w:r>
              <w:rPr>
                <w:rFonts w:eastAsia="仿宋_GB2312"/>
                <w:bCs/>
              </w:rPr>
              <w:t>mg/kg(大鼠经口)</w:t>
            </w:r>
            <w:r>
              <w:rPr>
                <w:rFonts w:hint="eastAsia" w:eastAsia="仿宋_GB2312"/>
                <w:bCs/>
              </w:rPr>
              <w:t>；</w:t>
            </w:r>
          </w:p>
          <w:p w14:paraId="63BEF443">
            <w:pPr>
              <w:widowControl/>
              <w:jc w:val="center"/>
              <w:rPr>
                <w:rFonts w:eastAsia="仿宋_GB2312"/>
                <w:kern w:val="0"/>
                <w:szCs w:val="21"/>
              </w:rPr>
            </w:pPr>
            <w:r>
              <w:rPr>
                <w:rFonts w:eastAsia="仿宋_GB2312"/>
                <w:bCs/>
              </w:rPr>
              <w:t>LD</w:t>
            </w:r>
            <w:r>
              <w:rPr>
                <w:rFonts w:eastAsia="仿宋_GB2312"/>
                <w:bCs/>
                <w:vertAlign w:val="subscript"/>
              </w:rPr>
              <w:t>50</w:t>
            </w:r>
            <w:r>
              <w:rPr>
                <w:rFonts w:hint="eastAsia" w:eastAsia="仿宋_GB2312"/>
                <w:bCs/>
              </w:rPr>
              <w:t>7500</w:t>
            </w:r>
            <w:r>
              <w:rPr>
                <w:rFonts w:eastAsia="仿宋_GB2312"/>
                <w:bCs/>
              </w:rPr>
              <w:t>mg/kg(</w:t>
            </w:r>
            <w:r>
              <w:rPr>
                <w:rFonts w:hint="eastAsia" w:eastAsia="仿宋_GB2312"/>
                <w:bCs/>
              </w:rPr>
              <w:t>兔</w:t>
            </w:r>
            <w:r>
              <w:rPr>
                <w:rFonts w:eastAsia="仿宋_GB2312"/>
                <w:bCs/>
              </w:rPr>
              <w:t>经</w:t>
            </w:r>
            <w:r>
              <w:rPr>
                <w:rFonts w:hint="eastAsia" w:eastAsia="仿宋_GB2312"/>
                <w:bCs/>
              </w:rPr>
              <w:t>皮</w:t>
            </w:r>
            <w:r>
              <w:rPr>
                <w:rFonts w:eastAsia="仿宋_GB2312"/>
                <w:bCs/>
              </w:rPr>
              <w:t>)</w:t>
            </w:r>
          </w:p>
        </w:tc>
        <w:tc>
          <w:tcPr>
            <w:tcW w:w="0" w:type="auto"/>
            <w:shd w:val="clear" w:color="auto" w:fill="auto"/>
            <w:vAlign w:val="center"/>
          </w:tcPr>
          <w:p w14:paraId="2FADA720">
            <w:pPr>
              <w:widowControl/>
              <w:jc w:val="center"/>
              <w:rPr>
                <w:rFonts w:eastAsia="仿宋_GB2312"/>
                <w:kern w:val="0"/>
                <w:szCs w:val="21"/>
              </w:rPr>
            </w:pPr>
            <w:r>
              <w:rPr>
                <w:rFonts w:hint="eastAsia" w:eastAsia="仿宋_GB2312"/>
                <w:kern w:val="0"/>
                <w:szCs w:val="21"/>
              </w:rPr>
              <w:t>/</w:t>
            </w:r>
          </w:p>
        </w:tc>
        <w:tc>
          <w:tcPr>
            <w:tcW w:w="0" w:type="auto"/>
            <w:shd w:val="clear" w:color="auto" w:fill="auto"/>
            <w:vAlign w:val="center"/>
          </w:tcPr>
          <w:p w14:paraId="33F148F9">
            <w:pPr>
              <w:widowControl/>
              <w:jc w:val="left"/>
              <w:rPr>
                <w:rFonts w:eastAsia="仿宋_GB2312"/>
                <w:kern w:val="0"/>
                <w:szCs w:val="21"/>
              </w:rPr>
            </w:pPr>
            <w:r>
              <w:rPr>
                <w:rFonts w:hint="eastAsia" w:eastAsia="仿宋_GB2312"/>
                <w:bCs/>
              </w:rPr>
              <w:t>本品易燃。</w:t>
            </w:r>
          </w:p>
        </w:tc>
      </w:tr>
      <w:tr w14:paraId="10A176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1" w:type="dxa"/>
            <w:bottom w:w="0" w:type="dxa"/>
            <w:right w:w="51" w:type="dxa"/>
          </w:tblCellMar>
        </w:tblPrEx>
        <w:trPr>
          <w:trHeight w:val="340" w:hRule="atLeast"/>
          <w:jc w:val="center"/>
        </w:trPr>
        <w:tc>
          <w:tcPr>
            <w:tcW w:w="0" w:type="auto"/>
            <w:shd w:val="clear" w:color="auto" w:fill="auto"/>
            <w:vAlign w:val="center"/>
          </w:tcPr>
          <w:p w14:paraId="0EFC383F">
            <w:pPr>
              <w:widowControl/>
              <w:jc w:val="center"/>
              <w:rPr>
                <w:rFonts w:eastAsia="仿宋_GB2312"/>
                <w:kern w:val="0"/>
                <w:szCs w:val="21"/>
              </w:rPr>
            </w:pPr>
            <w:r>
              <w:rPr>
                <w:rFonts w:hint="eastAsia" w:eastAsia="仿宋_GB2312"/>
                <w:kern w:val="0"/>
                <w:szCs w:val="21"/>
              </w:rPr>
              <w:t>丙二醇甲醚醋酸酯</w:t>
            </w:r>
          </w:p>
        </w:tc>
        <w:tc>
          <w:tcPr>
            <w:tcW w:w="0" w:type="auto"/>
            <w:shd w:val="clear" w:color="auto" w:fill="auto"/>
            <w:vAlign w:val="center"/>
          </w:tcPr>
          <w:p w14:paraId="7D0671A5">
            <w:pPr>
              <w:widowControl/>
              <w:jc w:val="center"/>
              <w:rPr>
                <w:rFonts w:eastAsia="仿宋_GB2312"/>
                <w:kern w:val="0"/>
                <w:szCs w:val="21"/>
              </w:rPr>
            </w:pPr>
            <w:r>
              <w:rPr>
                <w:rFonts w:hint="eastAsia" w:eastAsia="仿宋_GB2312"/>
                <w:kern w:val="0"/>
                <w:szCs w:val="21"/>
              </w:rPr>
              <w:t>C</w:t>
            </w:r>
            <w:r>
              <w:rPr>
                <w:rFonts w:hint="eastAsia" w:eastAsia="仿宋_GB2312"/>
                <w:kern w:val="0"/>
                <w:szCs w:val="21"/>
                <w:vertAlign w:val="subscript"/>
              </w:rPr>
              <w:t>6</w:t>
            </w:r>
            <w:r>
              <w:rPr>
                <w:rFonts w:hint="eastAsia" w:eastAsia="仿宋_GB2312"/>
                <w:kern w:val="0"/>
                <w:szCs w:val="21"/>
              </w:rPr>
              <w:t>H</w:t>
            </w:r>
            <w:r>
              <w:rPr>
                <w:rFonts w:hint="eastAsia" w:eastAsia="仿宋_GB2312"/>
                <w:kern w:val="0"/>
                <w:szCs w:val="21"/>
                <w:vertAlign w:val="subscript"/>
              </w:rPr>
              <w:t>12</w:t>
            </w:r>
            <w:r>
              <w:rPr>
                <w:rFonts w:hint="eastAsia" w:eastAsia="仿宋_GB2312"/>
                <w:kern w:val="0"/>
                <w:szCs w:val="21"/>
              </w:rPr>
              <w:t>O</w:t>
            </w:r>
            <w:r>
              <w:rPr>
                <w:rFonts w:hint="eastAsia" w:eastAsia="仿宋_GB2312"/>
                <w:kern w:val="0"/>
                <w:szCs w:val="21"/>
                <w:vertAlign w:val="subscript"/>
              </w:rPr>
              <w:t>3</w:t>
            </w:r>
          </w:p>
        </w:tc>
        <w:tc>
          <w:tcPr>
            <w:tcW w:w="0" w:type="auto"/>
            <w:shd w:val="clear" w:color="auto" w:fill="auto"/>
            <w:vAlign w:val="center"/>
          </w:tcPr>
          <w:p w14:paraId="7B42BFF3">
            <w:pPr>
              <w:widowControl/>
              <w:jc w:val="center"/>
              <w:rPr>
                <w:rFonts w:eastAsia="仿宋_GB2312"/>
                <w:kern w:val="0"/>
                <w:szCs w:val="21"/>
              </w:rPr>
            </w:pPr>
            <w:r>
              <w:rPr>
                <w:rFonts w:hint="eastAsia" w:eastAsia="仿宋_GB2312"/>
                <w:kern w:val="0"/>
                <w:szCs w:val="21"/>
              </w:rPr>
              <w:t>33642</w:t>
            </w:r>
          </w:p>
        </w:tc>
        <w:tc>
          <w:tcPr>
            <w:tcW w:w="0" w:type="auto"/>
            <w:shd w:val="clear" w:color="auto" w:fill="auto"/>
            <w:vAlign w:val="center"/>
          </w:tcPr>
          <w:p w14:paraId="4ACAB49A">
            <w:pPr>
              <w:widowControl/>
              <w:jc w:val="center"/>
              <w:rPr>
                <w:rFonts w:eastAsia="仿宋_GB2312"/>
                <w:kern w:val="0"/>
                <w:szCs w:val="21"/>
              </w:rPr>
            </w:pPr>
            <w:r>
              <w:rPr>
                <w:rFonts w:eastAsia="仿宋_GB2312"/>
              </w:rPr>
              <w:t>分子量</w:t>
            </w:r>
            <w:r>
              <w:rPr>
                <w:rFonts w:hint="eastAsia" w:eastAsia="仿宋_GB2312"/>
              </w:rPr>
              <w:t>132.16</w:t>
            </w:r>
            <w:r>
              <w:rPr>
                <w:rFonts w:eastAsia="仿宋_GB2312"/>
              </w:rPr>
              <w:t>，</w:t>
            </w:r>
            <w:r>
              <w:rPr>
                <w:rFonts w:hint="eastAsia" w:eastAsia="仿宋_GB2312"/>
              </w:rPr>
              <w:t>无色透明液体，清单柔和酯香</w:t>
            </w:r>
            <w:r>
              <w:rPr>
                <w:rFonts w:eastAsia="仿宋_GB2312"/>
              </w:rPr>
              <w:t>。密度</w:t>
            </w:r>
            <w:r>
              <w:rPr>
                <w:rFonts w:hint="eastAsia" w:eastAsia="仿宋_GB2312"/>
              </w:rPr>
              <w:t>0.96</w:t>
            </w:r>
            <w:r>
              <w:rPr>
                <w:rFonts w:eastAsia="仿宋_GB2312"/>
              </w:rPr>
              <w:t>g/cm³。熔点</w:t>
            </w:r>
            <w:r>
              <w:rPr>
                <w:rFonts w:hint="eastAsia" w:eastAsia="仿宋_GB2312"/>
              </w:rPr>
              <w:t>-87</w:t>
            </w:r>
            <w:r>
              <w:rPr>
                <w:rFonts w:hint="eastAsia" w:ascii="宋体" w:hAnsi="宋体" w:cs="宋体"/>
              </w:rPr>
              <w:t>℃</w:t>
            </w:r>
            <w:r>
              <w:t>，</w:t>
            </w:r>
            <w:r>
              <w:rPr>
                <w:rFonts w:eastAsia="仿宋_GB2312"/>
              </w:rPr>
              <w:t>沸点</w:t>
            </w:r>
            <w:r>
              <w:rPr>
                <w:rFonts w:hint="eastAsia" w:eastAsia="仿宋_GB2312"/>
              </w:rPr>
              <w:t>145</w:t>
            </w:r>
            <w:r>
              <w:rPr>
                <w:rFonts w:hint="eastAsia" w:ascii="宋体" w:hAnsi="宋体" w:cs="宋体"/>
              </w:rPr>
              <w:t>℃，</w:t>
            </w:r>
            <w:r>
              <w:rPr>
                <w:rFonts w:hint="eastAsia" w:ascii="仿宋_GB2312" w:hAnsi="仿宋_GB2312" w:eastAsia="仿宋_GB2312" w:cs="仿宋_GB2312"/>
              </w:rPr>
              <w:t>闪点</w:t>
            </w:r>
            <w:r>
              <w:rPr>
                <w:rFonts w:hint="eastAsia"/>
              </w:rPr>
              <w:t>42</w:t>
            </w:r>
            <w:r>
              <w:rPr>
                <w:rFonts w:hint="eastAsia" w:ascii="宋体" w:hAnsi="宋体" w:cs="宋体"/>
              </w:rPr>
              <w:t>℃，</w:t>
            </w:r>
            <w:r>
              <w:rPr>
                <w:rFonts w:hint="eastAsia" w:eastAsia="仿宋_GB2312"/>
              </w:rPr>
              <w:t>与水部分混溶，与乙醇、丙酮、甲苯、二甲苯、酯类、烷烃无限互溶</w:t>
            </w:r>
            <w:r>
              <w:rPr>
                <w:rFonts w:eastAsia="仿宋_GB2312"/>
              </w:rPr>
              <w:t>。</w:t>
            </w:r>
          </w:p>
        </w:tc>
        <w:tc>
          <w:tcPr>
            <w:tcW w:w="0" w:type="auto"/>
            <w:shd w:val="clear" w:color="auto" w:fill="auto"/>
            <w:vAlign w:val="center"/>
          </w:tcPr>
          <w:p w14:paraId="5D7F645D">
            <w:pPr>
              <w:widowControl/>
              <w:jc w:val="center"/>
              <w:rPr>
                <w:rFonts w:eastAsia="仿宋_GB2312"/>
                <w:bCs/>
              </w:rPr>
            </w:pPr>
            <w:r>
              <w:rPr>
                <w:rFonts w:eastAsia="仿宋_GB2312"/>
                <w:bCs/>
              </w:rPr>
              <w:t>LD</w:t>
            </w:r>
            <w:r>
              <w:rPr>
                <w:rFonts w:eastAsia="仿宋_GB2312"/>
                <w:bCs/>
                <w:vertAlign w:val="subscript"/>
              </w:rPr>
              <w:t>50</w:t>
            </w:r>
            <w:r>
              <w:rPr>
                <w:rFonts w:hint="eastAsia" w:eastAsia="仿宋_GB2312"/>
                <w:bCs/>
              </w:rPr>
              <w:t>3700</w:t>
            </w:r>
            <w:r>
              <w:rPr>
                <w:rFonts w:eastAsia="仿宋_GB2312"/>
                <w:bCs/>
              </w:rPr>
              <w:t>mg/kg(大鼠经口)</w:t>
            </w:r>
            <w:r>
              <w:rPr>
                <w:rFonts w:hint="eastAsia" w:eastAsia="仿宋_GB2312"/>
                <w:bCs/>
              </w:rPr>
              <w:t>；</w:t>
            </w:r>
          </w:p>
          <w:p w14:paraId="7B3A3D9E">
            <w:pPr>
              <w:widowControl/>
              <w:jc w:val="center"/>
              <w:rPr>
                <w:rFonts w:eastAsia="仿宋_GB2312"/>
                <w:kern w:val="0"/>
                <w:szCs w:val="21"/>
              </w:rPr>
            </w:pPr>
            <w:r>
              <w:rPr>
                <w:rFonts w:eastAsia="仿宋_GB2312"/>
                <w:bCs/>
              </w:rPr>
              <w:t>LD</w:t>
            </w:r>
            <w:r>
              <w:rPr>
                <w:rFonts w:eastAsia="仿宋_GB2312"/>
                <w:bCs/>
                <w:vertAlign w:val="subscript"/>
              </w:rPr>
              <w:t>50</w:t>
            </w:r>
            <w:r>
              <w:rPr>
                <w:rFonts w:hint="eastAsia" w:eastAsia="仿宋_GB2312"/>
                <w:bCs/>
              </w:rPr>
              <w:t>13000</w:t>
            </w:r>
            <w:r>
              <w:rPr>
                <w:rFonts w:eastAsia="仿宋_GB2312"/>
                <w:bCs/>
              </w:rPr>
              <w:t>mg/kg(</w:t>
            </w:r>
            <w:r>
              <w:rPr>
                <w:rFonts w:hint="eastAsia" w:eastAsia="仿宋_GB2312"/>
                <w:bCs/>
              </w:rPr>
              <w:t>兔</w:t>
            </w:r>
            <w:r>
              <w:rPr>
                <w:rFonts w:eastAsia="仿宋_GB2312"/>
                <w:bCs/>
              </w:rPr>
              <w:t>经</w:t>
            </w:r>
            <w:r>
              <w:rPr>
                <w:rFonts w:hint="eastAsia" w:eastAsia="仿宋_GB2312"/>
                <w:bCs/>
              </w:rPr>
              <w:t>皮</w:t>
            </w:r>
            <w:r>
              <w:rPr>
                <w:rFonts w:eastAsia="仿宋_GB2312"/>
                <w:bCs/>
              </w:rPr>
              <w:t>)</w:t>
            </w:r>
          </w:p>
        </w:tc>
        <w:tc>
          <w:tcPr>
            <w:tcW w:w="0" w:type="auto"/>
            <w:shd w:val="clear" w:color="auto" w:fill="auto"/>
            <w:vAlign w:val="center"/>
          </w:tcPr>
          <w:p w14:paraId="045ABD94">
            <w:pPr>
              <w:widowControl/>
              <w:jc w:val="center"/>
              <w:rPr>
                <w:rFonts w:eastAsia="仿宋_GB2312"/>
                <w:kern w:val="0"/>
                <w:szCs w:val="21"/>
              </w:rPr>
            </w:pPr>
            <w:r>
              <w:rPr>
                <w:rFonts w:hint="eastAsia" w:eastAsia="仿宋_GB2312"/>
                <w:kern w:val="0"/>
                <w:szCs w:val="21"/>
              </w:rPr>
              <w:t>/</w:t>
            </w:r>
          </w:p>
        </w:tc>
        <w:tc>
          <w:tcPr>
            <w:tcW w:w="0" w:type="auto"/>
            <w:shd w:val="clear" w:color="auto" w:fill="auto"/>
            <w:vAlign w:val="center"/>
          </w:tcPr>
          <w:p w14:paraId="28278EE4">
            <w:pPr>
              <w:widowControl/>
              <w:jc w:val="left"/>
              <w:rPr>
                <w:rFonts w:eastAsia="仿宋_GB2312"/>
                <w:kern w:val="0"/>
                <w:szCs w:val="21"/>
              </w:rPr>
            </w:pPr>
            <w:r>
              <w:rPr>
                <w:rFonts w:hint="eastAsia" w:eastAsia="仿宋_GB2312"/>
                <w:bCs/>
              </w:rPr>
              <w:t>本品易燃。</w:t>
            </w:r>
          </w:p>
        </w:tc>
      </w:tr>
    </w:tbl>
    <w:p w14:paraId="2888CB62">
      <w:pPr>
        <w:pStyle w:val="162"/>
        <w:spacing w:line="480" w:lineRule="exact"/>
        <w:ind w:firstLine="0" w:firstLineChars="0"/>
        <w:rPr>
          <w:rFonts w:ascii="Times New Roman"/>
          <w:bCs w:val="0"/>
          <w:color w:val="FF0000"/>
        </w:rPr>
      </w:pPr>
    </w:p>
    <w:p w14:paraId="22EF4632">
      <w:pPr>
        <w:rPr>
          <w:color w:val="FF0000"/>
        </w:rPr>
      </w:pPr>
    </w:p>
    <w:p w14:paraId="5064AC9A">
      <w:pPr>
        <w:rPr>
          <w:color w:val="FF0000"/>
        </w:rPr>
        <w:sectPr>
          <w:pgSz w:w="16840" w:h="11907" w:orient="landscape"/>
          <w:pgMar w:top="1440" w:right="1800" w:bottom="1440" w:left="1800" w:header="851" w:footer="992" w:gutter="0"/>
          <w:pgBorders>
            <w:top w:val="none" w:sz="0" w:space="0"/>
            <w:left w:val="none" w:sz="0" w:space="0"/>
            <w:bottom w:val="none" w:sz="0" w:space="0"/>
            <w:right w:val="none" w:sz="0" w:space="0"/>
          </w:pgBorders>
          <w:pgNumType w:fmt="decimal"/>
          <w:cols w:space="425" w:num="1"/>
          <w:docGrid w:linePitch="326" w:charSpace="0"/>
        </w:sectPr>
      </w:pPr>
    </w:p>
    <w:p w14:paraId="413E71E0">
      <w:pPr>
        <w:pStyle w:val="6"/>
        <w:keepLines w:val="0"/>
        <w:tabs>
          <w:tab w:val="left" w:pos="709"/>
        </w:tabs>
        <w:spacing w:before="156" w:beforeLines="50" w:after="156" w:afterLines="50" w:line="500" w:lineRule="exact"/>
        <w:rPr>
          <w:rFonts w:eastAsia="仿宋_GB2312"/>
          <w:color w:val="auto"/>
          <w:sz w:val="28"/>
          <w:szCs w:val="28"/>
        </w:rPr>
      </w:pPr>
      <w:bookmarkStart w:id="41" w:name="_Toc210"/>
      <w:r>
        <w:rPr>
          <w:rFonts w:eastAsia="仿宋_GB2312"/>
          <w:color w:val="auto"/>
          <w:sz w:val="30"/>
          <w:szCs w:val="30"/>
        </w:rPr>
        <w:t>3.2.</w:t>
      </w:r>
      <w:r>
        <w:rPr>
          <w:rFonts w:hint="eastAsia" w:eastAsia="仿宋_GB2312"/>
          <w:color w:val="auto"/>
          <w:sz w:val="30"/>
          <w:szCs w:val="30"/>
        </w:rPr>
        <w:t>5</w:t>
      </w:r>
      <w:r>
        <w:rPr>
          <w:rFonts w:eastAsia="仿宋_GB2312"/>
          <w:color w:val="auto"/>
          <w:sz w:val="30"/>
          <w:szCs w:val="30"/>
        </w:rPr>
        <w:t>主要设备汇总及设备匹配性分析</w:t>
      </w:r>
      <w:bookmarkEnd w:id="41"/>
    </w:p>
    <w:p w14:paraId="13A387BA">
      <w:pPr>
        <w:pStyle w:val="7"/>
        <w:keepLines w:val="0"/>
        <w:widowControl/>
        <w:adjustRightInd w:val="0"/>
        <w:snapToGrid w:val="0"/>
        <w:spacing w:after="156" w:afterLines="50"/>
        <w:jc w:val="left"/>
        <w:rPr>
          <w:rFonts w:ascii="Times New Roman" w:hAnsi="Times New Roman"/>
          <w:b/>
          <w:color w:val="auto"/>
        </w:rPr>
      </w:pPr>
      <w:r>
        <w:rPr>
          <w:rFonts w:ascii="Times New Roman" w:hAnsi="Times New Roman"/>
          <w:b/>
          <w:color w:val="auto"/>
        </w:rPr>
        <w:t>3.2.</w:t>
      </w:r>
      <w:r>
        <w:rPr>
          <w:rFonts w:hint="eastAsia" w:ascii="Times New Roman" w:hAnsi="Times New Roman"/>
          <w:b/>
          <w:color w:val="auto"/>
        </w:rPr>
        <w:t>5</w:t>
      </w:r>
      <w:r>
        <w:rPr>
          <w:rFonts w:ascii="Times New Roman" w:hAnsi="Times New Roman"/>
          <w:b/>
          <w:color w:val="auto"/>
        </w:rPr>
        <w:t>.1主要设备汇总</w:t>
      </w:r>
    </w:p>
    <w:p w14:paraId="039AACE3">
      <w:pPr>
        <w:spacing w:line="500" w:lineRule="exact"/>
        <w:ind w:firstLine="562" w:firstLineChars="200"/>
        <w:rPr>
          <w:rFonts w:eastAsia="仿宋_GB2312"/>
          <w:color w:val="auto"/>
          <w:sz w:val="28"/>
          <w:szCs w:val="28"/>
        </w:rPr>
      </w:pPr>
      <w:r>
        <w:rPr>
          <w:rFonts w:eastAsia="仿宋_GB2312"/>
          <w:b/>
          <w:bCs/>
          <w:color w:val="auto"/>
          <w:sz w:val="28"/>
          <w:szCs w:val="28"/>
        </w:rPr>
        <w:t>一、溶剂回收综合利用</w:t>
      </w:r>
    </w:p>
    <w:p w14:paraId="0AB82A9A">
      <w:pPr>
        <w:spacing w:line="500" w:lineRule="exact"/>
        <w:ind w:firstLine="560" w:firstLineChars="200"/>
        <w:rPr>
          <w:rFonts w:hint="default" w:ascii="Times New Roman" w:hAnsi="Times New Roman" w:eastAsia="仿宋_GB2312" w:cs="Times New Roman"/>
          <w:color w:val="auto"/>
          <w:sz w:val="28"/>
          <w:szCs w:val="28"/>
          <w:lang w:val="en-US" w:eastAsia="zh-CN"/>
        </w:rPr>
      </w:pPr>
      <w:r>
        <w:rPr>
          <w:rFonts w:hint="eastAsia" w:eastAsia="仿宋_GB2312"/>
          <w:color w:val="auto"/>
          <w:sz w:val="28"/>
          <w:szCs w:val="28"/>
          <w:lang w:val="en-US" w:eastAsia="zh-CN"/>
        </w:rPr>
        <w:t>本次溶剂回收综合利用仅涉及B-7车间，</w:t>
      </w:r>
      <w:r>
        <w:rPr>
          <w:rFonts w:hint="eastAsia" w:eastAsia="仿宋_GB2312"/>
          <w:color w:val="auto"/>
          <w:sz w:val="28"/>
          <w:szCs w:val="28"/>
        </w:rPr>
        <w:t>盈天环保公司</w:t>
      </w:r>
      <w:r>
        <w:rPr>
          <w:rFonts w:hint="eastAsia" w:eastAsia="仿宋_GB2312"/>
          <w:color w:val="auto"/>
          <w:sz w:val="28"/>
          <w:szCs w:val="28"/>
          <w:lang w:val="en-US" w:eastAsia="zh-CN"/>
        </w:rPr>
        <w:t>对现有B-7车间</w:t>
      </w:r>
      <w:r>
        <w:rPr>
          <w:rFonts w:hint="eastAsia" w:ascii="Times New Roman" w:hAnsi="Times New Roman" w:eastAsia="仿宋_GB2312" w:cs="Times New Roman"/>
          <w:color w:val="auto"/>
          <w:sz w:val="28"/>
          <w:szCs w:val="28"/>
          <w:lang w:val="en-US" w:eastAsia="zh-CN"/>
        </w:rPr>
        <w:t>废液回收利用工艺进一步优化，主要为以下4个方面：</w:t>
      </w:r>
      <w:r>
        <w:rPr>
          <w:rFonts w:hint="default" w:ascii="Times New Roman" w:hAnsi="Times New Roman" w:eastAsia="仿宋_GB2312" w:cs="Times New Roman"/>
          <w:color w:val="auto"/>
          <w:sz w:val="28"/>
          <w:szCs w:val="28"/>
          <w:lang w:val="en-US" w:eastAsia="zh-CN"/>
        </w:rPr>
        <w:t>①</w:t>
      </w:r>
      <w:r>
        <w:rPr>
          <w:rFonts w:hint="eastAsia" w:ascii="Times New Roman" w:hAnsi="Times New Roman" w:eastAsia="仿宋_GB2312" w:cs="Times New Roman"/>
          <w:color w:val="auto"/>
          <w:sz w:val="28"/>
          <w:szCs w:val="28"/>
          <w:lang w:val="en-US" w:eastAsia="zh-CN"/>
        </w:rPr>
        <w:t>将现有两套4塔连续精馏装置改造成3塔连续精馏装置，改造后进一步提高废液精馏效率；</w:t>
      </w:r>
      <w:r>
        <w:rPr>
          <w:rFonts w:hint="default" w:ascii="Times New Roman" w:hAnsi="Times New Roman" w:eastAsia="仿宋_GB2312" w:cs="Times New Roman"/>
          <w:color w:val="auto"/>
          <w:sz w:val="28"/>
          <w:szCs w:val="28"/>
          <w:lang w:val="en-US" w:eastAsia="zh-CN"/>
        </w:rPr>
        <w:t>②</w:t>
      </w:r>
      <w:r>
        <w:rPr>
          <w:rFonts w:hint="eastAsia" w:ascii="Times New Roman" w:hAnsi="Times New Roman" w:eastAsia="仿宋_GB2312" w:cs="Times New Roman"/>
          <w:color w:val="auto"/>
          <w:sz w:val="28"/>
          <w:szCs w:val="28"/>
          <w:lang w:val="en-US" w:eastAsia="zh-CN"/>
        </w:rPr>
        <w:t>新增两套处理能力为10t/a的渗透汽化膜系统，与原连续精馏装置改造后腾出的2只精馏塔组成两套膜处理+连续精馏装置；</w:t>
      </w:r>
      <w:r>
        <w:rPr>
          <w:rFonts w:hint="default" w:ascii="Times New Roman" w:hAnsi="Times New Roman" w:eastAsia="仿宋_GB2312" w:cs="Times New Roman"/>
          <w:color w:val="auto"/>
          <w:sz w:val="28"/>
          <w:szCs w:val="28"/>
          <w:lang w:val="en-US" w:eastAsia="zh-CN"/>
        </w:rPr>
        <w:t>③</w:t>
      </w:r>
      <w:r>
        <w:rPr>
          <w:rFonts w:hint="eastAsia" w:ascii="Times New Roman" w:hAnsi="Times New Roman" w:eastAsia="仿宋_GB2312" w:cs="Times New Roman"/>
          <w:color w:val="auto"/>
          <w:sz w:val="28"/>
          <w:szCs w:val="28"/>
          <w:lang w:val="en-US" w:eastAsia="zh-CN"/>
        </w:rPr>
        <w:t>将现有两套膜处理+间歇精馏装置中的膜处理装置淘汰，直接作为间歇精馏装置，改造后B-7车间间歇精馏装置共计8套；④新增两套能力均为2.5t/h的超重力精馏系统。</w:t>
      </w:r>
    </w:p>
    <w:p w14:paraId="5FE72A6C">
      <w:pPr>
        <w:spacing w:line="500" w:lineRule="exact"/>
        <w:ind w:firstLine="560" w:firstLineChars="200"/>
        <w:rPr>
          <w:rFonts w:eastAsia="仿宋_GB2312"/>
          <w:color w:val="auto"/>
          <w:sz w:val="28"/>
          <w:szCs w:val="28"/>
        </w:rPr>
      </w:pPr>
      <w:r>
        <w:rPr>
          <w:rFonts w:hint="eastAsia" w:eastAsia="仿宋_GB2312"/>
          <w:color w:val="auto"/>
          <w:sz w:val="28"/>
          <w:szCs w:val="28"/>
          <w:lang w:val="en-US" w:eastAsia="zh-CN"/>
        </w:rPr>
        <w:t>优化后</w:t>
      </w:r>
      <w:r>
        <w:rPr>
          <w:rFonts w:eastAsia="仿宋_GB2312"/>
          <w:color w:val="auto"/>
          <w:sz w:val="28"/>
          <w:szCs w:val="28"/>
        </w:rPr>
        <w:t>设备清单见表3.2-4</w:t>
      </w:r>
      <w:r>
        <w:rPr>
          <w:rFonts w:hint="eastAsia" w:eastAsia="仿宋_GB2312"/>
          <w:color w:val="auto"/>
          <w:sz w:val="28"/>
          <w:szCs w:val="28"/>
          <w:lang w:val="en-US" w:eastAsia="zh-CN"/>
        </w:rPr>
        <w:t>3</w:t>
      </w:r>
      <w:r>
        <w:rPr>
          <w:rFonts w:eastAsia="仿宋_GB2312"/>
          <w:color w:val="auto"/>
          <w:sz w:val="28"/>
          <w:szCs w:val="28"/>
        </w:rPr>
        <w:t>。</w:t>
      </w:r>
    </w:p>
    <w:p w14:paraId="2AF5FE39">
      <w:pPr>
        <w:pStyle w:val="35"/>
        <w:rPr>
          <w:rFonts w:eastAsia="仿宋_GB2312"/>
          <w:color w:val="auto"/>
          <w:sz w:val="28"/>
          <w:szCs w:val="28"/>
        </w:rPr>
      </w:pPr>
    </w:p>
    <w:p w14:paraId="27A6A520">
      <w:pPr>
        <w:pStyle w:val="36"/>
        <w:rPr>
          <w:rFonts w:eastAsia="仿宋_GB2312"/>
          <w:color w:val="auto"/>
          <w:sz w:val="28"/>
          <w:szCs w:val="28"/>
        </w:rPr>
      </w:pPr>
    </w:p>
    <w:p w14:paraId="2CDAC89B">
      <w:pPr>
        <w:pStyle w:val="36"/>
        <w:rPr>
          <w:rFonts w:eastAsia="仿宋_GB2312"/>
          <w:color w:val="auto"/>
          <w:sz w:val="28"/>
          <w:szCs w:val="28"/>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425366A6">
      <w:pPr>
        <w:pStyle w:val="189"/>
        <w:ind w:firstLine="0" w:firstLineChars="0"/>
        <w:jc w:val="center"/>
        <w:rPr>
          <w:rFonts w:eastAsia="仿宋_GB2312"/>
          <w:b/>
          <w:color w:val="auto"/>
        </w:rPr>
      </w:pPr>
      <w:bookmarkStart w:id="42" w:name="_Ref520226132"/>
      <w:r>
        <w:rPr>
          <w:rFonts w:eastAsia="仿宋_GB2312"/>
          <w:b/>
          <w:color w:val="auto"/>
        </w:rPr>
        <w:t>表</w:t>
      </w:r>
      <w:bookmarkEnd w:id="42"/>
      <w:r>
        <w:rPr>
          <w:rFonts w:eastAsia="仿宋_GB2312"/>
          <w:b/>
          <w:color w:val="auto"/>
        </w:rPr>
        <w:t>3.2-4</w:t>
      </w:r>
      <w:r>
        <w:rPr>
          <w:rFonts w:hint="eastAsia" w:eastAsia="仿宋_GB2312"/>
          <w:b/>
          <w:color w:val="auto"/>
          <w:lang w:val="en-US" w:eastAsia="zh-CN"/>
        </w:rPr>
        <w:t>3</w:t>
      </w:r>
      <w:r>
        <w:rPr>
          <w:rFonts w:eastAsia="仿宋_GB2312"/>
          <w:b/>
          <w:color w:val="auto"/>
        </w:rPr>
        <w:t xml:space="preserve">  B-7车间溶剂回收主要设备汇总</w:t>
      </w:r>
    </w:p>
    <w:tbl>
      <w:tblPr>
        <w:tblStyle w:val="88"/>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1226"/>
        <w:gridCol w:w="919"/>
        <w:gridCol w:w="2165"/>
        <w:gridCol w:w="3232"/>
        <w:gridCol w:w="1434"/>
        <w:gridCol w:w="1177"/>
        <w:gridCol w:w="1198"/>
        <w:gridCol w:w="908"/>
        <w:gridCol w:w="1004"/>
      </w:tblGrid>
      <w:tr w14:paraId="73FF27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87" w:hRule="atLeast"/>
          <w:jc w:val="center"/>
        </w:trPr>
        <w:tc>
          <w:tcPr>
            <w:tcW w:w="462" w:type="pct"/>
            <w:tcBorders>
              <w:tl2br w:val="nil"/>
              <w:tr2bl w:val="nil"/>
            </w:tcBorders>
            <w:tcMar>
              <w:top w:w="15" w:type="dxa"/>
              <w:left w:w="15" w:type="dxa"/>
              <w:bottom w:w="0" w:type="dxa"/>
              <w:right w:w="15" w:type="dxa"/>
            </w:tcMar>
            <w:vAlign w:val="center"/>
          </w:tcPr>
          <w:p w14:paraId="0E6B0B7D">
            <w:pPr>
              <w:widowControl/>
              <w:jc w:val="center"/>
              <w:rPr>
                <w:rFonts w:eastAsia="仿宋_GB2312"/>
                <w:b/>
                <w:color w:val="auto"/>
                <w:kern w:val="0"/>
                <w:szCs w:val="20"/>
              </w:rPr>
            </w:pPr>
            <w:r>
              <w:rPr>
                <w:rFonts w:eastAsia="仿宋_GB2312"/>
                <w:b/>
                <w:color w:val="auto"/>
                <w:kern w:val="0"/>
                <w:szCs w:val="20"/>
              </w:rPr>
              <w:t>处理系统名称</w:t>
            </w:r>
          </w:p>
        </w:tc>
        <w:tc>
          <w:tcPr>
            <w:tcW w:w="346" w:type="pct"/>
            <w:tcBorders>
              <w:tl2br w:val="nil"/>
              <w:tr2bl w:val="nil"/>
            </w:tcBorders>
            <w:tcMar>
              <w:top w:w="15" w:type="dxa"/>
              <w:left w:w="15" w:type="dxa"/>
              <w:bottom w:w="0" w:type="dxa"/>
              <w:right w:w="15" w:type="dxa"/>
            </w:tcMar>
            <w:vAlign w:val="center"/>
          </w:tcPr>
          <w:p w14:paraId="40E1DFB1">
            <w:pPr>
              <w:widowControl/>
              <w:jc w:val="center"/>
              <w:rPr>
                <w:rFonts w:hint="eastAsia" w:eastAsia="仿宋_GB2312"/>
                <w:b/>
                <w:color w:val="auto"/>
                <w:kern w:val="0"/>
                <w:szCs w:val="20"/>
                <w:lang w:val="en-US" w:eastAsia="zh-CN"/>
              </w:rPr>
            </w:pPr>
            <w:r>
              <w:rPr>
                <w:rFonts w:hint="eastAsia" w:eastAsia="仿宋_GB2312"/>
                <w:b/>
                <w:color w:val="auto"/>
                <w:kern w:val="0"/>
                <w:szCs w:val="20"/>
                <w:lang w:val="en-US" w:eastAsia="zh-CN"/>
              </w:rPr>
              <w:t>序号</w:t>
            </w:r>
          </w:p>
        </w:tc>
        <w:tc>
          <w:tcPr>
            <w:tcW w:w="816" w:type="pct"/>
            <w:tcBorders>
              <w:tl2br w:val="nil"/>
              <w:tr2bl w:val="nil"/>
            </w:tcBorders>
            <w:tcMar>
              <w:top w:w="15" w:type="dxa"/>
              <w:left w:w="15" w:type="dxa"/>
              <w:bottom w:w="0" w:type="dxa"/>
              <w:right w:w="15" w:type="dxa"/>
            </w:tcMar>
            <w:vAlign w:val="center"/>
          </w:tcPr>
          <w:p w14:paraId="2DC6B453">
            <w:pPr>
              <w:widowControl/>
              <w:jc w:val="center"/>
              <w:rPr>
                <w:rFonts w:eastAsia="仿宋_GB2312"/>
                <w:b/>
                <w:color w:val="auto"/>
                <w:kern w:val="0"/>
                <w:szCs w:val="20"/>
              </w:rPr>
            </w:pPr>
            <w:r>
              <w:rPr>
                <w:rFonts w:eastAsia="仿宋_GB2312"/>
                <w:b/>
                <w:color w:val="auto"/>
                <w:kern w:val="0"/>
                <w:szCs w:val="20"/>
              </w:rPr>
              <w:t>设备名称</w:t>
            </w:r>
          </w:p>
        </w:tc>
        <w:tc>
          <w:tcPr>
            <w:tcW w:w="1218" w:type="pct"/>
            <w:tcBorders>
              <w:tl2br w:val="nil"/>
              <w:tr2bl w:val="nil"/>
            </w:tcBorders>
            <w:tcMar>
              <w:top w:w="15" w:type="dxa"/>
              <w:left w:w="15" w:type="dxa"/>
              <w:bottom w:w="0" w:type="dxa"/>
              <w:right w:w="15" w:type="dxa"/>
            </w:tcMar>
            <w:vAlign w:val="center"/>
          </w:tcPr>
          <w:p w14:paraId="30A560CB">
            <w:pPr>
              <w:widowControl/>
              <w:jc w:val="center"/>
              <w:rPr>
                <w:rFonts w:eastAsia="仿宋_GB2312"/>
                <w:b/>
                <w:color w:val="auto"/>
                <w:kern w:val="0"/>
                <w:szCs w:val="20"/>
              </w:rPr>
            </w:pPr>
            <w:r>
              <w:rPr>
                <w:rFonts w:eastAsia="仿宋_GB2312"/>
                <w:b/>
                <w:color w:val="auto"/>
                <w:kern w:val="0"/>
                <w:szCs w:val="20"/>
              </w:rPr>
              <w:t>规格</w:t>
            </w:r>
          </w:p>
        </w:tc>
        <w:tc>
          <w:tcPr>
            <w:tcW w:w="540" w:type="pct"/>
            <w:tcBorders>
              <w:tl2br w:val="nil"/>
              <w:tr2bl w:val="nil"/>
            </w:tcBorders>
            <w:tcMar>
              <w:top w:w="15" w:type="dxa"/>
              <w:left w:w="15" w:type="dxa"/>
              <w:bottom w:w="0" w:type="dxa"/>
              <w:right w:w="15" w:type="dxa"/>
            </w:tcMar>
            <w:vAlign w:val="center"/>
          </w:tcPr>
          <w:p w14:paraId="7E1C8E0A">
            <w:pPr>
              <w:widowControl/>
              <w:jc w:val="center"/>
              <w:rPr>
                <w:rFonts w:eastAsia="仿宋_GB2312"/>
                <w:b/>
                <w:color w:val="auto"/>
                <w:kern w:val="0"/>
                <w:szCs w:val="20"/>
              </w:rPr>
            </w:pPr>
            <w:r>
              <w:rPr>
                <w:rFonts w:eastAsia="仿宋_GB2312"/>
                <w:b/>
                <w:color w:val="auto"/>
                <w:kern w:val="0"/>
                <w:szCs w:val="20"/>
              </w:rPr>
              <w:t>材质</w:t>
            </w:r>
          </w:p>
        </w:tc>
        <w:tc>
          <w:tcPr>
            <w:tcW w:w="443" w:type="pct"/>
            <w:tcBorders>
              <w:tl2br w:val="nil"/>
              <w:tr2bl w:val="nil"/>
            </w:tcBorders>
            <w:shd w:val="clear" w:color="auto" w:fill="auto"/>
            <w:tcMar>
              <w:top w:w="15" w:type="dxa"/>
              <w:left w:w="15" w:type="dxa"/>
              <w:bottom w:w="0" w:type="dxa"/>
              <w:right w:w="15" w:type="dxa"/>
            </w:tcMar>
            <w:vAlign w:val="center"/>
          </w:tcPr>
          <w:p w14:paraId="6FFC4A99">
            <w:pPr>
              <w:bidi w:val="0"/>
              <w:jc w:val="center"/>
              <w:rPr>
                <w:rFonts w:hint="default" w:ascii="Times New Roman" w:hAnsi="Times New Roman" w:eastAsia="方正仿宋_GB2312" w:cs="Times New Roman"/>
                <w:b/>
                <w:bCs/>
                <w:color w:val="000000" w:themeColor="text1"/>
                <w:sz w:val="21"/>
                <w:szCs w:val="21"/>
                <w14:textFill>
                  <w14:solidFill>
                    <w14:schemeClr w14:val="tx1"/>
                  </w14:solidFill>
                </w14:textFill>
              </w:rPr>
            </w:pPr>
            <w:r>
              <w:rPr>
                <w:rFonts w:hint="default" w:ascii="Times New Roman" w:hAnsi="Times New Roman" w:eastAsia="方正仿宋_GB2312" w:cs="Times New Roman"/>
                <w:b/>
                <w:bCs/>
                <w:color w:val="000000" w:themeColor="text1"/>
                <w:sz w:val="21"/>
                <w:szCs w:val="21"/>
                <w14:textFill>
                  <w14:solidFill>
                    <w14:schemeClr w14:val="tx1"/>
                  </w14:solidFill>
                </w14:textFill>
              </w:rPr>
              <w:t>工作温度</w:t>
            </w:r>
          </w:p>
          <w:p w14:paraId="3E85A3BA">
            <w:pPr>
              <w:bidi w:val="0"/>
              <w:jc w:val="center"/>
              <w:rPr>
                <w:rFonts w:hint="default" w:ascii="Times New Roman" w:hAnsi="Times New Roman" w:eastAsia="方正仿宋_GB2312" w:cs="Times New Roman"/>
                <w:b/>
                <w:bCs/>
                <w:color w:val="000000" w:themeColor="text1"/>
                <w:kern w:val="2"/>
                <w:sz w:val="21"/>
                <w:szCs w:val="21"/>
                <w:lang w:val="en-US" w:eastAsia="zh-CN" w:bidi="ar-SA"/>
                <w14:textFill>
                  <w14:solidFill>
                    <w14:schemeClr w14:val="tx1"/>
                  </w14:solidFill>
                </w14:textFill>
              </w:rPr>
            </w:pPr>
            <w:r>
              <w:rPr>
                <w:rFonts w:hint="eastAsia" w:ascii="Times New Roman" w:hAnsi="Times New Roman" w:eastAsia="方正仿宋_GB2312" w:cs="Times New Roman"/>
                <w:b/>
                <w:bCs/>
                <w:color w:val="000000" w:themeColor="text1"/>
                <w:sz w:val="21"/>
                <w:szCs w:val="21"/>
                <w:lang w:eastAsia="zh-CN"/>
                <w14:textFill>
                  <w14:solidFill>
                    <w14:schemeClr w14:val="tx1"/>
                  </w14:solidFill>
                </w14:textFill>
              </w:rPr>
              <w:t>（</w:t>
            </w:r>
            <w:r>
              <w:rPr>
                <w:rFonts w:hint="default" w:ascii="Times New Roman" w:hAnsi="Times New Roman" w:eastAsia="方正仿宋_GB2312" w:cs="Times New Roman"/>
                <w:b/>
                <w:bCs/>
                <w:color w:val="000000" w:themeColor="text1"/>
                <w:sz w:val="21"/>
                <w:szCs w:val="21"/>
                <w14:textFill>
                  <w14:solidFill>
                    <w14:schemeClr w14:val="tx1"/>
                  </w14:solidFill>
                </w14:textFill>
              </w:rPr>
              <w:t>℃</w:t>
            </w:r>
            <w:r>
              <w:rPr>
                <w:rFonts w:hint="eastAsia" w:ascii="Times New Roman" w:hAnsi="Times New Roman" w:eastAsia="方正仿宋_GB2312" w:cs="Times New Roman"/>
                <w:b/>
                <w:bCs/>
                <w:color w:val="000000" w:themeColor="text1"/>
                <w:sz w:val="21"/>
                <w:szCs w:val="21"/>
                <w:lang w:eastAsia="zh-CN"/>
                <w14:textFill>
                  <w14:solidFill>
                    <w14:schemeClr w14:val="tx1"/>
                  </w14:solidFill>
                </w14:textFill>
              </w:rPr>
              <w:t>）</w:t>
            </w:r>
          </w:p>
        </w:tc>
        <w:tc>
          <w:tcPr>
            <w:tcW w:w="451" w:type="pct"/>
            <w:tcBorders>
              <w:tl2br w:val="nil"/>
              <w:tr2bl w:val="nil"/>
            </w:tcBorders>
            <w:shd w:val="clear" w:color="auto" w:fill="auto"/>
            <w:tcMar>
              <w:top w:w="15" w:type="dxa"/>
              <w:left w:w="15" w:type="dxa"/>
              <w:bottom w:w="0" w:type="dxa"/>
              <w:right w:w="15" w:type="dxa"/>
            </w:tcMar>
            <w:vAlign w:val="center"/>
          </w:tcPr>
          <w:p w14:paraId="5DF82E99">
            <w:pPr>
              <w:bidi w:val="0"/>
              <w:jc w:val="center"/>
              <w:rPr>
                <w:rFonts w:hint="default" w:ascii="Times New Roman" w:hAnsi="Times New Roman" w:eastAsia="方正仿宋_GB2312" w:cs="Times New Roman"/>
                <w:b/>
                <w:bCs/>
                <w:color w:val="auto"/>
                <w:sz w:val="21"/>
                <w:szCs w:val="21"/>
              </w:rPr>
            </w:pPr>
            <w:r>
              <w:rPr>
                <w:rFonts w:hint="default" w:ascii="Times New Roman" w:hAnsi="Times New Roman" w:eastAsia="方正仿宋_GB2312" w:cs="Times New Roman"/>
                <w:b/>
                <w:bCs/>
                <w:color w:val="auto"/>
                <w:sz w:val="21"/>
                <w:szCs w:val="21"/>
              </w:rPr>
              <w:t>工作压力</w:t>
            </w:r>
          </w:p>
          <w:p w14:paraId="18F47D4B">
            <w:pPr>
              <w:bidi w:val="0"/>
              <w:jc w:val="center"/>
              <w:rPr>
                <w:rFonts w:hint="default" w:ascii="Times New Roman" w:hAnsi="Times New Roman" w:eastAsia="方正仿宋_GB2312" w:cs="Times New Roman"/>
                <w:b/>
                <w:bCs/>
                <w:color w:val="auto"/>
                <w:kern w:val="2"/>
                <w:sz w:val="21"/>
                <w:szCs w:val="21"/>
                <w:lang w:val="en-US" w:eastAsia="zh-CN" w:bidi="ar-SA"/>
              </w:rPr>
            </w:pPr>
            <w:r>
              <w:rPr>
                <w:rFonts w:hint="default" w:ascii="Times New Roman" w:hAnsi="Times New Roman" w:eastAsia="方正仿宋_GB2312" w:cs="Times New Roman"/>
                <w:b/>
                <w:bCs/>
                <w:color w:val="auto"/>
                <w:sz w:val="21"/>
                <w:szCs w:val="21"/>
              </w:rPr>
              <w:t>（MPa）</w:t>
            </w:r>
          </w:p>
        </w:tc>
        <w:tc>
          <w:tcPr>
            <w:tcW w:w="342" w:type="pct"/>
            <w:tcBorders>
              <w:tl2br w:val="nil"/>
              <w:tr2bl w:val="nil"/>
            </w:tcBorders>
            <w:tcMar>
              <w:top w:w="15" w:type="dxa"/>
              <w:left w:w="15" w:type="dxa"/>
              <w:bottom w:w="0" w:type="dxa"/>
              <w:right w:w="15" w:type="dxa"/>
            </w:tcMar>
            <w:vAlign w:val="center"/>
          </w:tcPr>
          <w:p w14:paraId="301DBE5A">
            <w:pPr>
              <w:widowControl/>
              <w:jc w:val="center"/>
              <w:rPr>
                <w:rFonts w:eastAsia="仿宋_GB2312"/>
                <w:b/>
                <w:color w:val="auto"/>
                <w:kern w:val="0"/>
                <w:szCs w:val="20"/>
              </w:rPr>
            </w:pPr>
            <w:r>
              <w:rPr>
                <w:rFonts w:eastAsia="仿宋_GB2312"/>
                <w:b/>
                <w:color w:val="auto"/>
                <w:kern w:val="0"/>
                <w:szCs w:val="20"/>
              </w:rPr>
              <w:t>数量</w:t>
            </w:r>
          </w:p>
          <w:p w14:paraId="43A2B374">
            <w:pPr>
              <w:widowControl/>
              <w:jc w:val="center"/>
              <w:rPr>
                <w:rFonts w:eastAsia="仿宋_GB2312"/>
                <w:b/>
                <w:color w:val="auto"/>
                <w:kern w:val="0"/>
                <w:szCs w:val="20"/>
              </w:rPr>
            </w:pPr>
            <w:r>
              <w:rPr>
                <w:rFonts w:eastAsia="仿宋_GB2312"/>
                <w:b/>
                <w:color w:val="auto"/>
                <w:kern w:val="0"/>
                <w:szCs w:val="20"/>
              </w:rPr>
              <w:t>（台/套）</w:t>
            </w:r>
          </w:p>
        </w:tc>
        <w:tc>
          <w:tcPr>
            <w:tcW w:w="378" w:type="pct"/>
            <w:tcBorders>
              <w:tl2br w:val="nil"/>
              <w:tr2bl w:val="nil"/>
            </w:tcBorders>
            <w:vAlign w:val="center"/>
          </w:tcPr>
          <w:p w14:paraId="2303C476">
            <w:pPr>
              <w:widowControl/>
              <w:jc w:val="center"/>
              <w:rPr>
                <w:rFonts w:eastAsia="仿宋_GB2312"/>
                <w:b/>
                <w:color w:val="auto"/>
                <w:kern w:val="0"/>
                <w:szCs w:val="20"/>
              </w:rPr>
            </w:pPr>
            <w:r>
              <w:rPr>
                <w:rFonts w:eastAsia="仿宋_GB2312"/>
                <w:b/>
                <w:color w:val="auto"/>
                <w:kern w:val="0"/>
                <w:szCs w:val="20"/>
              </w:rPr>
              <w:t>备注</w:t>
            </w:r>
          </w:p>
        </w:tc>
      </w:tr>
      <w:tr w14:paraId="48DE0A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87" w:hRule="atLeast"/>
          <w:jc w:val="center"/>
        </w:trPr>
        <w:tc>
          <w:tcPr>
            <w:tcW w:w="462" w:type="pct"/>
            <w:vMerge w:val="restart"/>
            <w:tcBorders>
              <w:tl2br w:val="nil"/>
              <w:tr2bl w:val="nil"/>
            </w:tcBorders>
            <w:tcMar>
              <w:top w:w="15" w:type="dxa"/>
              <w:left w:w="15" w:type="dxa"/>
              <w:bottom w:w="0" w:type="dxa"/>
              <w:right w:w="15" w:type="dxa"/>
            </w:tcMar>
            <w:vAlign w:val="center"/>
          </w:tcPr>
          <w:p w14:paraId="0116186A">
            <w:pPr>
              <w:widowControl/>
              <w:jc w:val="center"/>
              <w:rPr>
                <w:rFonts w:hint="default" w:eastAsia="仿宋_GB2312"/>
                <w:b/>
                <w:color w:val="auto"/>
                <w:kern w:val="0"/>
                <w:szCs w:val="20"/>
                <w:lang w:val="en-US" w:eastAsia="zh-CN"/>
              </w:rPr>
            </w:pPr>
            <w:r>
              <w:rPr>
                <w:rFonts w:hint="eastAsia" w:eastAsia="仿宋_GB2312"/>
                <w:b w:val="0"/>
                <w:bCs/>
                <w:color w:val="auto"/>
                <w:kern w:val="0"/>
                <w:szCs w:val="20"/>
                <w:lang w:val="en-US" w:eastAsia="zh-CN"/>
              </w:rPr>
              <w:t>连续精馏系统（2套）</w:t>
            </w:r>
          </w:p>
        </w:tc>
        <w:tc>
          <w:tcPr>
            <w:tcW w:w="346" w:type="pct"/>
            <w:tcBorders>
              <w:tl2br w:val="nil"/>
              <w:tr2bl w:val="nil"/>
            </w:tcBorders>
            <w:shd w:val="clear" w:color="auto" w:fill="auto"/>
            <w:tcMar>
              <w:top w:w="15" w:type="dxa"/>
              <w:left w:w="15" w:type="dxa"/>
              <w:bottom w:w="0" w:type="dxa"/>
              <w:right w:w="15" w:type="dxa"/>
            </w:tcMar>
            <w:vAlign w:val="center"/>
          </w:tcPr>
          <w:p w14:paraId="776CE1F3">
            <w:pPr>
              <w:bidi w:val="0"/>
              <w:jc w:val="center"/>
              <w:rPr>
                <w:rFonts w:hint="eastAsia"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w:t>
            </w:r>
          </w:p>
        </w:tc>
        <w:tc>
          <w:tcPr>
            <w:tcW w:w="816" w:type="pct"/>
            <w:tcBorders>
              <w:tl2br w:val="nil"/>
              <w:tr2bl w:val="nil"/>
            </w:tcBorders>
            <w:shd w:val="clear" w:color="auto" w:fill="auto"/>
            <w:tcMar>
              <w:top w:w="15" w:type="dxa"/>
              <w:left w:w="15" w:type="dxa"/>
              <w:bottom w:w="0" w:type="dxa"/>
              <w:right w:w="15" w:type="dxa"/>
            </w:tcMar>
            <w:vAlign w:val="center"/>
          </w:tcPr>
          <w:p w14:paraId="7752DCE7">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1#、2#、4#精馏塔</w:t>
            </w:r>
          </w:p>
        </w:tc>
        <w:tc>
          <w:tcPr>
            <w:tcW w:w="1218" w:type="pct"/>
            <w:tcBorders>
              <w:tl2br w:val="nil"/>
              <w:tr2bl w:val="nil"/>
            </w:tcBorders>
            <w:shd w:val="clear" w:color="auto" w:fill="auto"/>
            <w:tcMar>
              <w:top w:w="15" w:type="dxa"/>
              <w:left w:w="15" w:type="dxa"/>
              <w:bottom w:w="0" w:type="dxa"/>
              <w:right w:w="15" w:type="dxa"/>
            </w:tcMar>
            <w:vAlign w:val="center"/>
          </w:tcPr>
          <w:p w14:paraId="7B5C4009">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Φ1200×20700</w:t>
            </w:r>
          </w:p>
        </w:tc>
        <w:tc>
          <w:tcPr>
            <w:tcW w:w="540" w:type="pct"/>
            <w:tcBorders>
              <w:tl2br w:val="nil"/>
              <w:tr2bl w:val="nil"/>
            </w:tcBorders>
            <w:shd w:val="clear" w:color="auto" w:fill="auto"/>
            <w:tcMar>
              <w:top w:w="15" w:type="dxa"/>
              <w:left w:w="15" w:type="dxa"/>
              <w:bottom w:w="0" w:type="dxa"/>
              <w:right w:w="15" w:type="dxa"/>
            </w:tcMar>
            <w:vAlign w:val="center"/>
          </w:tcPr>
          <w:p w14:paraId="14634C7F">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S304</w:t>
            </w:r>
          </w:p>
        </w:tc>
        <w:tc>
          <w:tcPr>
            <w:tcW w:w="443" w:type="pct"/>
            <w:tcBorders>
              <w:tl2br w:val="nil"/>
              <w:tr2bl w:val="nil"/>
            </w:tcBorders>
            <w:shd w:val="clear" w:color="auto" w:fill="auto"/>
            <w:tcMar>
              <w:top w:w="15" w:type="dxa"/>
              <w:left w:w="15" w:type="dxa"/>
              <w:bottom w:w="0" w:type="dxa"/>
              <w:right w:w="15" w:type="dxa"/>
            </w:tcMar>
            <w:vAlign w:val="center"/>
          </w:tcPr>
          <w:p w14:paraId="4FBE1EF2">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175</w:t>
            </w:r>
          </w:p>
        </w:tc>
        <w:tc>
          <w:tcPr>
            <w:tcW w:w="451" w:type="pct"/>
            <w:tcBorders>
              <w:tl2br w:val="nil"/>
              <w:tr2bl w:val="nil"/>
            </w:tcBorders>
            <w:shd w:val="clear" w:color="auto" w:fill="auto"/>
            <w:tcMar>
              <w:top w:w="15" w:type="dxa"/>
              <w:left w:w="15" w:type="dxa"/>
              <w:bottom w:w="0" w:type="dxa"/>
              <w:right w:w="15" w:type="dxa"/>
            </w:tcMar>
            <w:vAlign w:val="center"/>
          </w:tcPr>
          <w:p w14:paraId="03AC8C51">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-0.09</w:t>
            </w:r>
          </w:p>
        </w:tc>
        <w:tc>
          <w:tcPr>
            <w:tcW w:w="342" w:type="pct"/>
            <w:tcBorders>
              <w:tl2br w:val="nil"/>
              <w:tr2bl w:val="nil"/>
            </w:tcBorders>
            <w:shd w:val="clear" w:color="auto" w:fill="auto"/>
            <w:tcMar>
              <w:top w:w="15" w:type="dxa"/>
              <w:left w:w="15" w:type="dxa"/>
              <w:bottom w:w="0" w:type="dxa"/>
              <w:right w:w="15" w:type="dxa"/>
            </w:tcMar>
            <w:vAlign w:val="center"/>
          </w:tcPr>
          <w:p w14:paraId="50EC6D81">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3</w:t>
            </w:r>
          </w:p>
        </w:tc>
        <w:tc>
          <w:tcPr>
            <w:tcW w:w="378" w:type="pct"/>
            <w:tcBorders>
              <w:tl2br w:val="nil"/>
              <w:tr2bl w:val="nil"/>
            </w:tcBorders>
            <w:shd w:val="clear" w:color="auto" w:fill="auto"/>
            <w:vAlign w:val="center"/>
          </w:tcPr>
          <w:p w14:paraId="0141E880">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利旧</w:t>
            </w:r>
          </w:p>
        </w:tc>
      </w:tr>
      <w:tr w14:paraId="059D70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87" w:hRule="atLeast"/>
          <w:jc w:val="center"/>
        </w:trPr>
        <w:tc>
          <w:tcPr>
            <w:tcW w:w="462" w:type="pct"/>
            <w:vMerge w:val="continue"/>
            <w:tcBorders>
              <w:tl2br w:val="nil"/>
              <w:tr2bl w:val="nil"/>
            </w:tcBorders>
            <w:tcMar>
              <w:top w:w="15" w:type="dxa"/>
              <w:left w:w="15" w:type="dxa"/>
              <w:bottom w:w="0" w:type="dxa"/>
              <w:right w:w="15" w:type="dxa"/>
            </w:tcMar>
            <w:vAlign w:val="center"/>
          </w:tcPr>
          <w:p w14:paraId="06B2CEFF">
            <w:pPr>
              <w:widowControl/>
              <w:jc w:val="center"/>
              <w:rPr>
                <w:rFonts w:eastAsia="仿宋_GB2312"/>
                <w:b/>
                <w:color w:val="auto"/>
                <w:kern w:val="0"/>
                <w:szCs w:val="20"/>
              </w:rPr>
            </w:pPr>
          </w:p>
        </w:tc>
        <w:tc>
          <w:tcPr>
            <w:tcW w:w="346" w:type="pct"/>
            <w:tcBorders>
              <w:tl2br w:val="nil"/>
              <w:tr2bl w:val="nil"/>
            </w:tcBorders>
            <w:shd w:val="clear" w:color="auto" w:fill="auto"/>
            <w:tcMar>
              <w:top w:w="15" w:type="dxa"/>
              <w:left w:w="15" w:type="dxa"/>
              <w:bottom w:w="0" w:type="dxa"/>
              <w:right w:w="15" w:type="dxa"/>
            </w:tcMar>
            <w:vAlign w:val="center"/>
          </w:tcPr>
          <w:p w14:paraId="1E40B0EA">
            <w:pPr>
              <w:bidi w:val="0"/>
              <w:jc w:val="center"/>
              <w:rPr>
                <w:rFonts w:hint="eastAsia"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2</w:t>
            </w:r>
          </w:p>
        </w:tc>
        <w:tc>
          <w:tcPr>
            <w:tcW w:w="816" w:type="pct"/>
            <w:tcBorders>
              <w:tl2br w:val="nil"/>
              <w:tr2bl w:val="nil"/>
            </w:tcBorders>
            <w:shd w:val="clear" w:color="auto" w:fill="auto"/>
            <w:tcMar>
              <w:top w:w="15" w:type="dxa"/>
              <w:left w:w="15" w:type="dxa"/>
              <w:bottom w:w="0" w:type="dxa"/>
              <w:right w:w="15" w:type="dxa"/>
            </w:tcMar>
            <w:vAlign w:val="center"/>
          </w:tcPr>
          <w:p w14:paraId="154AF2C3">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5#、6#、8#精馏塔</w:t>
            </w:r>
          </w:p>
        </w:tc>
        <w:tc>
          <w:tcPr>
            <w:tcW w:w="1218" w:type="pct"/>
            <w:tcBorders>
              <w:tl2br w:val="nil"/>
              <w:tr2bl w:val="nil"/>
            </w:tcBorders>
            <w:shd w:val="clear" w:color="auto" w:fill="auto"/>
            <w:tcMar>
              <w:top w:w="15" w:type="dxa"/>
              <w:left w:w="15" w:type="dxa"/>
              <w:bottom w:w="0" w:type="dxa"/>
              <w:right w:w="15" w:type="dxa"/>
            </w:tcMar>
            <w:vAlign w:val="center"/>
          </w:tcPr>
          <w:p w14:paraId="254D98FC">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Φ1200×17000</w:t>
            </w:r>
          </w:p>
        </w:tc>
        <w:tc>
          <w:tcPr>
            <w:tcW w:w="540" w:type="pct"/>
            <w:tcBorders>
              <w:tl2br w:val="nil"/>
              <w:tr2bl w:val="nil"/>
            </w:tcBorders>
            <w:shd w:val="clear" w:color="auto" w:fill="auto"/>
            <w:tcMar>
              <w:top w:w="15" w:type="dxa"/>
              <w:left w:w="15" w:type="dxa"/>
              <w:bottom w:w="0" w:type="dxa"/>
              <w:right w:w="15" w:type="dxa"/>
            </w:tcMar>
            <w:vAlign w:val="center"/>
          </w:tcPr>
          <w:p w14:paraId="14424F95">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S304</w:t>
            </w:r>
          </w:p>
        </w:tc>
        <w:tc>
          <w:tcPr>
            <w:tcW w:w="443" w:type="pct"/>
            <w:tcBorders>
              <w:tl2br w:val="nil"/>
              <w:tr2bl w:val="nil"/>
            </w:tcBorders>
            <w:shd w:val="clear" w:color="auto" w:fill="auto"/>
            <w:tcMar>
              <w:top w:w="15" w:type="dxa"/>
              <w:left w:w="15" w:type="dxa"/>
              <w:bottom w:w="0" w:type="dxa"/>
              <w:right w:w="15" w:type="dxa"/>
            </w:tcMar>
            <w:vAlign w:val="center"/>
          </w:tcPr>
          <w:p w14:paraId="100C9C6E">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175</w:t>
            </w:r>
          </w:p>
        </w:tc>
        <w:tc>
          <w:tcPr>
            <w:tcW w:w="451" w:type="pct"/>
            <w:tcBorders>
              <w:tl2br w:val="nil"/>
              <w:tr2bl w:val="nil"/>
            </w:tcBorders>
            <w:shd w:val="clear" w:color="auto" w:fill="auto"/>
            <w:tcMar>
              <w:top w:w="15" w:type="dxa"/>
              <w:left w:w="15" w:type="dxa"/>
              <w:bottom w:w="0" w:type="dxa"/>
              <w:right w:w="15" w:type="dxa"/>
            </w:tcMar>
            <w:vAlign w:val="center"/>
          </w:tcPr>
          <w:p w14:paraId="6CFAC53B">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-0.09</w:t>
            </w:r>
          </w:p>
        </w:tc>
        <w:tc>
          <w:tcPr>
            <w:tcW w:w="342" w:type="pct"/>
            <w:tcBorders>
              <w:tl2br w:val="nil"/>
              <w:tr2bl w:val="nil"/>
            </w:tcBorders>
            <w:shd w:val="clear" w:color="auto" w:fill="auto"/>
            <w:tcMar>
              <w:top w:w="15" w:type="dxa"/>
              <w:left w:w="15" w:type="dxa"/>
              <w:bottom w:w="0" w:type="dxa"/>
              <w:right w:w="15" w:type="dxa"/>
            </w:tcMar>
            <w:vAlign w:val="center"/>
          </w:tcPr>
          <w:p w14:paraId="08AAFB82">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3</w:t>
            </w:r>
          </w:p>
        </w:tc>
        <w:tc>
          <w:tcPr>
            <w:tcW w:w="378" w:type="pct"/>
            <w:tcBorders>
              <w:tl2br w:val="nil"/>
              <w:tr2bl w:val="nil"/>
            </w:tcBorders>
            <w:shd w:val="clear" w:color="auto" w:fill="auto"/>
            <w:vAlign w:val="center"/>
          </w:tcPr>
          <w:p w14:paraId="7D13064F">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利旧</w:t>
            </w:r>
          </w:p>
        </w:tc>
      </w:tr>
      <w:tr w14:paraId="2D66B5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87" w:hRule="atLeast"/>
          <w:jc w:val="center"/>
        </w:trPr>
        <w:tc>
          <w:tcPr>
            <w:tcW w:w="462" w:type="pct"/>
            <w:vMerge w:val="continue"/>
            <w:tcBorders>
              <w:tl2br w:val="nil"/>
              <w:tr2bl w:val="nil"/>
            </w:tcBorders>
            <w:tcMar>
              <w:top w:w="15" w:type="dxa"/>
              <w:left w:w="15" w:type="dxa"/>
              <w:bottom w:w="0" w:type="dxa"/>
              <w:right w:w="15" w:type="dxa"/>
            </w:tcMar>
            <w:vAlign w:val="center"/>
          </w:tcPr>
          <w:p w14:paraId="05516C2A">
            <w:pPr>
              <w:widowControl/>
              <w:jc w:val="center"/>
              <w:rPr>
                <w:rFonts w:eastAsia="仿宋_GB2312"/>
                <w:b/>
                <w:color w:val="auto"/>
                <w:kern w:val="0"/>
                <w:szCs w:val="20"/>
              </w:rPr>
            </w:pPr>
          </w:p>
        </w:tc>
        <w:tc>
          <w:tcPr>
            <w:tcW w:w="346" w:type="pct"/>
            <w:tcBorders>
              <w:tl2br w:val="nil"/>
              <w:tr2bl w:val="nil"/>
            </w:tcBorders>
            <w:shd w:val="clear" w:color="auto" w:fill="auto"/>
            <w:tcMar>
              <w:top w:w="15" w:type="dxa"/>
              <w:left w:w="15" w:type="dxa"/>
              <w:bottom w:w="0" w:type="dxa"/>
              <w:right w:w="15" w:type="dxa"/>
            </w:tcMar>
            <w:vAlign w:val="center"/>
          </w:tcPr>
          <w:p w14:paraId="785DD624">
            <w:pPr>
              <w:bidi w:val="0"/>
              <w:jc w:val="center"/>
              <w:rPr>
                <w:rFonts w:hint="eastAsia"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3</w:t>
            </w:r>
          </w:p>
        </w:tc>
        <w:tc>
          <w:tcPr>
            <w:tcW w:w="816" w:type="pct"/>
            <w:tcBorders>
              <w:tl2br w:val="nil"/>
              <w:tr2bl w:val="nil"/>
            </w:tcBorders>
            <w:shd w:val="clear" w:color="auto" w:fill="auto"/>
            <w:tcMar>
              <w:top w:w="15" w:type="dxa"/>
              <w:left w:w="15" w:type="dxa"/>
              <w:bottom w:w="0" w:type="dxa"/>
              <w:right w:w="15" w:type="dxa"/>
            </w:tcMar>
            <w:vAlign w:val="center"/>
          </w:tcPr>
          <w:p w14:paraId="4135EDBB">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9#吸收塔</w:t>
            </w:r>
          </w:p>
        </w:tc>
        <w:tc>
          <w:tcPr>
            <w:tcW w:w="1218" w:type="pct"/>
            <w:tcBorders>
              <w:tl2br w:val="nil"/>
              <w:tr2bl w:val="nil"/>
            </w:tcBorders>
            <w:shd w:val="clear" w:color="auto" w:fill="auto"/>
            <w:tcMar>
              <w:top w:w="15" w:type="dxa"/>
              <w:left w:w="15" w:type="dxa"/>
              <w:bottom w:w="0" w:type="dxa"/>
              <w:right w:w="15" w:type="dxa"/>
            </w:tcMar>
            <w:vAlign w:val="center"/>
          </w:tcPr>
          <w:p w14:paraId="576CF6EC">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Φ600×14700</w:t>
            </w:r>
          </w:p>
        </w:tc>
        <w:tc>
          <w:tcPr>
            <w:tcW w:w="540" w:type="pct"/>
            <w:tcBorders>
              <w:tl2br w:val="nil"/>
              <w:tr2bl w:val="nil"/>
            </w:tcBorders>
            <w:shd w:val="clear" w:color="auto" w:fill="auto"/>
            <w:tcMar>
              <w:top w:w="15" w:type="dxa"/>
              <w:left w:w="15" w:type="dxa"/>
              <w:bottom w:w="0" w:type="dxa"/>
              <w:right w:w="15" w:type="dxa"/>
            </w:tcMar>
            <w:vAlign w:val="center"/>
          </w:tcPr>
          <w:p w14:paraId="3456A245">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S304</w:t>
            </w:r>
          </w:p>
        </w:tc>
        <w:tc>
          <w:tcPr>
            <w:tcW w:w="443" w:type="pct"/>
            <w:tcBorders>
              <w:tl2br w:val="nil"/>
              <w:tr2bl w:val="nil"/>
            </w:tcBorders>
            <w:shd w:val="clear" w:color="auto" w:fill="auto"/>
            <w:tcMar>
              <w:top w:w="15" w:type="dxa"/>
              <w:left w:w="15" w:type="dxa"/>
              <w:bottom w:w="0" w:type="dxa"/>
              <w:right w:w="15" w:type="dxa"/>
            </w:tcMar>
            <w:vAlign w:val="center"/>
          </w:tcPr>
          <w:p w14:paraId="726AB87A">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常温</w:t>
            </w:r>
          </w:p>
        </w:tc>
        <w:tc>
          <w:tcPr>
            <w:tcW w:w="451" w:type="pct"/>
            <w:tcBorders>
              <w:tl2br w:val="nil"/>
              <w:tr2bl w:val="nil"/>
            </w:tcBorders>
            <w:shd w:val="clear" w:color="auto" w:fill="auto"/>
            <w:tcMar>
              <w:top w:w="15" w:type="dxa"/>
              <w:left w:w="15" w:type="dxa"/>
              <w:bottom w:w="0" w:type="dxa"/>
              <w:right w:w="15" w:type="dxa"/>
            </w:tcMar>
            <w:vAlign w:val="center"/>
          </w:tcPr>
          <w:p w14:paraId="66F77E15">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常压</w:t>
            </w:r>
          </w:p>
        </w:tc>
        <w:tc>
          <w:tcPr>
            <w:tcW w:w="342" w:type="pct"/>
            <w:tcBorders>
              <w:tl2br w:val="nil"/>
              <w:tr2bl w:val="nil"/>
            </w:tcBorders>
            <w:shd w:val="clear" w:color="auto" w:fill="auto"/>
            <w:tcMar>
              <w:top w:w="15" w:type="dxa"/>
              <w:left w:w="15" w:type="dxa"/>
              <w:bottom w:w="0" w:type="dxa"/>
              <w:right w:w="15" w:type="dxa"/>
            </w:tcMar>
            <w:vAlign w:val="center"/>
          </w:tcPr>
          <w:p w14:paraId="4C428F86">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w:t>
            </w:r>
          </w:p>
        </w:tc>
        <w:tc>
          <w:tcPr>
            <w:tcW w:w="378" w:type="pct"/>
            <w:tcBorders>
              <w:tl2br w:val="nil"/>
              <w:tr2bl w:val="nil"/>
            </w:tcBorders>
            <w:shd w:val="clear" w:color="auto" w:fill="auto"/>
            <w:vAlign w:val="center"/>
          </w:tcPr>
          <w:p w14:paraId="3838537E">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利旧</w:t>
            </w:r>
          </w:p>
        </w:tc>
      </w:tr>
      <w:tr w14:paraId="038C99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87" w:hRule="atLeast"/>
          <w:jc w:val="center"/>
        </w:trPr>
        <w:tc>
          <w:tcPr>
            <w:tcW w:w="462" w:type="pct"/>
            <w:vMerge w:val="continue"/>
            <w:tcBorders>
              <w:tl2br w:val="nil"/>
              <w:tr2bl w:val="nil"/>
            </w:tcBorders>
            <w:tcMar>
              <w:top w:w="15" w:type="dxa"/>
              <w:left w:w="15" w:type="dxa"/>
              <w:bottom w:w="0" w:type="dxa"/>
              <w:right w:w="15" w:type="dxa"/>
            </w:tcMar>
            <w:vAlign w:val="center"/>
          </w:tcPr>
          <w:p w14:paraId="46CFC5CE">
            <w:pPr>
              <w:widowControl/>
              <w:jc w:val="center"/>
              <w:rPr>
                <w:rFonts w:eastAsia="仿宋_GB2312"/>
                <w:b/>
                <w:color w:val="auto"/>
                <w:kern w:val="0"/>
                <w:szCs w:val="20"/>
              </w:rPr>
            </w:pPr>
          </w:p>
        </w:tc>
        <w:tc>
          <w:tcPr>
            <w:tcW w:w="346" w:type="pct"/>
            <w:tcBorders>
              <w:tl2br w:val="nil"/>
              <w:tr2bl w:val="nil"/>
            </w:tcBorders>
            <w:shd w:val="clear" w:color="auto" w:fill="auto"/>
            <w:tcMar>
              <w:top w:w="15" w:type="dxa"/>
              <w:left w:w="15" w:type="dxa"/>
              <w:bottom w:w="0" w:type="dxa"/>
              <w:right w:w="15" w:type="dxa"/>
            </w:tcMar>
            <w:vAlign w:val="center"/>
          </w:tcPr>
          <w:p w14:paraId="6D3DE5FE">
            <w:pPr>
              <w:bidi w:val="0"/>
              <w:jc w:val="center"/>
              <w:rPr>
                <w:rFonts w:hint="eastAsia"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4</w:t>
            </w:r>
          </w:p>
        </w:tc>
        <w:tc>
          <w:tcPr>
            <w:tcW w:w="816" w:type="pct"/>
            <w:tcBorders>
              <w:tl2br w:val="nil"/>
              <w:tr2bl w:val="nil"/>
            </w:tcBorders>
            <w:shd w:val="clear" w:color="auto" w:fill="auto"/>
            <w:tcMar>
              <w:top w:w="15" w:type="dxa"/>
              <w:left w:w="15" w:type="dxa"/>
              <w:bottom w:w="0" w:type="dxa"/>
              <w:right w:w="15" w:type="dxa"/>
            </w:tcMar>
            <w:vAlign w:val="center"/>
          </w:tcPr>
          <w:p w14:paraId="391223A4">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NMP粗品罐</w:t>
            </w:r>
          </w:p>
        </w:tc>
        <w:tc>
          <w:tcPr>
            <w:tcW w:w="1218" w:type="pct"/>
            <w:tcBorders>
              <w:tl2br w:val="nil"/>
              <w:tr2bl w:val="nil"/>
            </w:tcBorders>
            <w:shd w:val="clear" w:color="auto" w:fill="auto"/>
            <w:tcMar>
              <w:top w:w="15" w:type="dxa"/>
              <w:left w:w="15" w:type="dxa"/>
              <w:bottom w:w="0" w:type="dxa"/>
              <w:right w:w="15" w:type="dxa"/>
            </w:tcMar>
            <w:vAlign w:val="center"/>
          </w:tcPr>
          <w:p w14:paraId="70FCFEEE">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V=10m</w:t>
            </w:r>
            <w:r>
              <w:rPr>
                <w:rFonts w:hint="default" w:ascii="Times New Roman" w:hAnsi="Times New Roman" w:eastAsia="方正仿宋_GB2312" w:cs="Times New Roman"/>
                <w:color w:val="000000" w:themeColor="text1"/>
                <w:sz w:val="21"/>
                <w:szCs w:val="21"/>
                <w:vertAlign w:val="superscript"/>
                <w:lang w:val="en-US" w:eastAsia="zh-CN"/>
                <w14:textFill>
                  <w14:solidFill>
                    <w14:schemeClr w14:val="tx1"/>
                  </w14:solidFill>
                </w14:textFill>
              </w:rPr>
              <w:t>3</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Φ2000×3200</w:t>
            </w:r>
          </w:p>
        </w:tc>
        <w:tc>
          <w:tcPr>
            <w:tcW w:w="540" w:type="pct"/>
            <w:tcBorders>
              <w:tl2br w:val="nil"/>
              <w:tr2bl w:val="nil"/>
            </w:tcBorders>
            <w:shd w:val="clear" w:color="auto" w:fill="auto"/>
            <w:tcMar>
              <w:top w:w="15" w:type="dxa"/>
              <w:left w:w="15" w:type="dxa"/>
              <w:bottom w:w="0" w:type="dxa"/>
              <w:right w:w="15" w:type="dxa"/>
            </w:tcMar>
            <w:vAlign w:val="center"/>
          </w:tcPr>
          <w:p w14:paraId="3E19DB91">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S304</w:t>
            </w:r>
          </w:p>
        </w:tc>
        <w:tc>
          <w:tcPr>
            <w:tcW w:w="443" w:type="pct"/>
            <w:tcBorders>
              <w:tl2br w:val="nil"/>
              <w:tr2bl w:val="nil"/>
            </w:tcBorders>
            <w:shd w:val="clear" w:color="auto" w:fill="auto"/>
            <w:tcMar>
              <w:top w:w="15" w:type="dxa"/>
              <w:left w:w="15" w:type="dxa"/>
              <w:bottom w:w="0" w:type="dxa"/>
              <w:right w:w="15" w:type="dxa"/>
            </w:tcMar>
            <w:vAlign w:val="center"/>
          </w:tcPr>
          <w:p w14:paraId="3C6063C2">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常温</w:t>
            </w:r>
          </w:p>
        </w:tc>
        <w:tc>
          <w:tcPr>
            <w:tcW w:w="451" w:type="pct"/>
            <w:tcBorders>
              <w:tl2br w:val="nil"/>
              <w:tr2bl w:val="nil"/>
            </w:tcBorders>
            <w:shd w:val="clear" w:color="auto" w:fill="auto"/>
            <w:tcMar>
              <w:top w:w="15" w:type="dxa"/>
              <w:left w:w="15" w:type="dxa"/>
              <w:bottom w:w="0" w:type="dxa"/>
              <w:right w:w="15" w:type="dxa"/>
            </w:tcMar>
            <w:vAlign w:val="center"/>
          </w:tcPr>
          <w:p w14:paraId="1A95DD9F">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常压</w:t>
            </w:r>
          </w:p>
        </w:tc>
        <w:tc>
          <w:tcPr>
            <w:tcW w:w="342" w:type="pct"/>
            <w:tcBorders>
              <w:tl2br w:val="nil"/>
              <w:tr2bl w:val="nil"/>
            </w:tcBorders>
            <w:shd w:val="clear" w:color="auto" w:fill="auto"/>
            <w:tcMar>
              <w:top w:w="15" w:type="dxa"/>
              <w:left w:w="15" w:type="dxa"/>
              <w:bottom w:w="0" w:type="dxa"/>
              <w:right w:w="15" w:type="dxa"/>
            </w:tcMar>
            <w:vAlign w:val="center"/>
          </w:tcPr>
          <w:p w14:paraId="6A704D31">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w:t>
            </w:r>
          </w:p>
        </w:tc>
        <w:tc>
          <w:tcPr>
            <w:tcW w:w="378" w:type="pct"/>
            <w:tcBorders>
              <w:tl2br w:val="nil"/>
              <w:tr2bl w:val="nil"/>
            </w:tcBorders>
            <w:shd w:val="clear" w:color="auto" w:fill="auto"/>
            <w:vAlign w:val="center"/>
          </w:tcPr>
          <w:p w14:paraId="038353D0">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利旧</w:t>
            </w:r>
          </w:p>
        </w:tc>
      </w:tr>
      <w:tr w14:paraId="473915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87" w:hRule="atLeast"/>
          <w:jc w:val="center"/>
        </w:trPr>
        <w:tc>
          <w:tcPr>
            <w:tcW w:w="462" w:type="pct"/>
            <w:vMerge w:val="continue"/>
            <w:tcBorders>
              <w:tl2br w:val="nil"/>
              <w:tr2bl w:val="nil"/>
            </w:tcBorders>
            <w:tcMar>
              <w:top w:w="15" w:type="dxa"/>
              <w:left w:w="15" w:type="dxa"/>
              <w:bottom w:w="0" w:type="dxa"/>
              <w:right w:w="15" w:type="dxa"/>
            </w:tcMar>
            <w:vAlign w:val="center"/>
          </w:tcPr>
          <w:p w14:paraId="0E3100A5">
            <w:pPr>
              <w:widowControl/>
              <w:jc w:val="center"/>
              <w:rPr>
                <w:rFonts w:eastAsia="仿宋_GB2312"/>
                <w:b/>
                <w:color w:val="auto"/>
                <w:kern w:val="0"/>
                <w:szCs w:val="20"/>
              </w:rPr>
            </w:pPr>
          </w:p>
        </w:tc>
        <w:tc>
          <w:tcPr>
            <w:tcW w:w="346" w:type="pct"/>
            <w:tcBorders>
              <w:tl2br w:val="nil"/>
              <w:tr2bl w:val="nil"/>
            </w:tcBorders>
            <w:shd w:val="clear" w:color="auto" w:fill="auto"/>
            <w:tcMar>
              <w:top w:w="15" w:type="dxa"/>
              <w:left w:w="15" w:type="dxa"/>
              <w:bottom w:w="0" w:type="dxa"/>
              <w:right w:w="15" w:type="dxa"/>
            </w:tcMar>
            <w:vAlign w:val="center"/>
          </w:tcPr>
          <w:p w14:paraId="07ACF02E">
            <w:pPr>
              <w:bidi w:val="0"/>
              <w:jc w:val="center"/>
              <w:rPr>
                <w:rFonts w:hint="eastAsia"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5</w:t>
            </w:r>
          </w:p>
        </w:tc>
        <w:tc>
          <w:tcPr>
            <w:tcW w:w="816" w:type="pct"/>
            <w:tcBorders>
              <w:tl2br w:val="nil"/>
              <w:tr2bl w:val="nil"/>
            </w:tcBorders>
            <w:shd w:val="clear" w:color="auto" w:fill="auto"/>
            <w:tcMar>
              <w:top w:w="15" w:type="dxa"/>
              <w:left w:w="15" w:type="dxa"/>
              <w:bottom w:w="0" w:type="dxa"/>
              <w:right w:w="15" w:type="dxa"/>
            </w:tcMar>
            <w:vAlign w:val="center"/>
          </w:tcPr>
          <w:p w14:paraId="33B4BF7D">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异丙醇粗品罐</w:t>
            </w:r>
          </w:p>
        </w:tc>
        <w:tc>
          <w:tcPr>
            <w:tcW w:w="1218" w:type="pct"/>
            <w:tcBorders>
              <w:tl2br w:val="nil"/>
              <w:tr2bl w:val="nil"/>
            </w:tcBorders>
            <w:shd w:val="clear" w:color="auto" w:fill="auto"/>
            <w:tcMar>
              <w:top w:w="15" w:type="dxa"/>
              <w:left w:w="15" w:type="dxa"/>
              <w:bottom w:w="0" w:type="dxa"/>
              <w:right w:w="15" w:type="dxa"/>
            </w:tcMar>
            <w:vAlign w:val="center"/>
          </w:tcPr>
          <w:p w14:paraId="5C212A43">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V=10m</w:t>
            </w:r>
            <w:r>
              <w:rPr>
                <w:rFonts w:hint="default" w:ascii="Times New Roman" w:hAnsi="Times New Roman" w:eastAsia="方正仿宋_GB2312" w:cs="Times New Roman"/>
                <w:color w:val="000000" w:themeColor="text1"/>
                <w:sz w:val="21"/>
                <w:szCs w:val="21"/>
                <w:vertAlign w:val="superscript"/>
                <w:lang w:val="en-US" w:eastAsia="zh-CN"/>
                <w14:textFill>
                  <w14:solidFill>
                    <w14:schemeClr w14:val="tx1"/>
                  </w14:solidFill>
                </w14:textFill>
              </w:rPr>
              <w:t>3</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Φ2000×3200</w:t>
            </w:r>
          </w:p>
        </w:tc>
        <w:tc>
          <w:tcPr>
            <w:tcW w:w="540" w:type="pct"/>
            <w:tcBorders>
              <w:tl2br w:val="nil"/>
              <w:tr2bl w:val="nil"/>
            </w:tcBorders>
            <w:shd w:val="clear" w:color="auto" w:fill="auto"/>
            <w:tcMar>
              <w:top w:w="15" w:type="dxa"/>
              <w:left w:w="15" w:type="dxa"/>
              <w:bottom w:w="0" w:type="dxa"/>
              <w:right w:w="15" w:type="dxa"/>
            </w:tcMar>
            <w:vAlign w:val="center"/>
          </w:tcPr>
          <w:p w14:paraId="6A4E5D2B">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S304</w:t>
            </w:r>
          </w:p>
        </w:tc>
        <w:tc>
          <w:tcPr>
            <w:tcW w:w="443" w:type="pct"/>
            <w:tcBorders>
              <w:tl2br w:val="nil"/>
              <w:tr2bl w:val="nil"/>
            </w:tcBorders>
            <w:shd w:val="clear" w:color="auto" w:fill="auto"/>
            <w:tcMar>
              <w:top w:w="15" w:type="dxa"/>
              <w:left w:w="15" w:type="dxa"/>
              <w:bottom w:w="0" w:type="dxa"/>
              <w:right w:w="15" w:type="dxa"/>
            </w:tcMar>
            <w:vAlign w:val="center"/>
          </w:tcPr>
          <w:p w14:paraId="3AA95E71">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常温</w:t>
            </w:r>
          </w:p>
        </w:tc>
        <w:tc>
          <w:tcPr>
            <w:tcW w:w="451" w:type="pct"/>
            <w:tcBorders>
              <w:tl2br w:val="nil"/>
              <w:tr2bl w:val="nil"/>
            </w:tcBorders>
            <w:shd w:val="clear" w:color="auto" w:fill="auto"/>
            <w:tcMar>
              <w:top w:w="15" w:type="dxa"/>
              <w:left w:w="15" w:type="dxa"/>
              <w:bottom w:w="0" w:type="dxa"/>
              <w:right w:w="15" w:type="dxa"/>
            </w:tcMar>
            <w:vAlign w:val="center"/>
          </w:tcPr>
          <w:p w14:paraId="4C33DEDF">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常压</w:t>
            </w:r>
          </w:p>
        </w:tc>
        <w:tc>
          <w:tcPr>
            <w:tcW w:w="342" w:type="pct"/>
            <w:tcBorders>
              <w:tl2br w:val="nil"/>
              <w:tr2bl w:val="nil"/>
            </w:tcBorders>
            <w:shd w:val="clear" w:color="auto" w:fill="auto"/>
            <w:tcMar>
              <w:top w:w="15" w:type="dxa"/>
              <w:left w:w="15" w:type="dxa"/>
              <w:bottom w:w="0" w:type="dxa"/>
              <w:right w:w="15" w:type="dxa"/>
            </w:tcMar>
            <w:vAlign w:val="center"/>
          </w:tcPr>
          <w:p w14:paraId="4A8BFAAE">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w:t>
            </w:r>
          </w:p>
        </w:tc>
        <w:tc>
          <w:tcPr>
            <w:tcW w:w="378" w:type="pct"/>
            <w:tcBorders>
              <w:tl2br w:val="nil"/>
              <w:tr2bl w:val="nil"/>
            </w:tcBorders>
            <w:shd w:val="clear" w:color="auto" w:fill="auto"/>
            <w:vAlign w:val="center"/>
          </w:tcPr>
          <w:p w14:paraId="5EFC6F49">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利旧</w:t>
            </w:r>
          </w:p>
        </w:tc>
      </w:tr>
      <w:tr w14:paraId="1C86108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87" w:hRule="atLeast"/>
          <w:jc w:val="center"/>
        </w:trPr>
        <w:tc>
          <w:tcPr>
            <w:tcW w:w="462" w:type="pct"/>
            <w:vMerge w:val="continue"/>
            <w:tcBorders>
              <w:tl2br w:val="nil"/>
              <w:tr2bl w:val="nil"/>
            </w:tcBorders>
            <w:tcMar>
              <w:top w:w="15" w:type="dxa"/>
              <w:left w:w="15" w:type="dxa"/>
              <w:bottom w:w="0" w:type="dxa"/>
              <w:right w:w="15" w:type="dxa"/>
            </w:tcMar>
            <w:vAlign w:val="center"/>
          </w:tcPr>
          <w:p w14:paraId="4E0EF552">
            <w:pPr>
              <w:widowControl/>
              <w:jc w:val="center"/>
              <w:rPr>
                <w:rFonts w:eastAsia="仿宋_GB2312"/>
                <w:b/>
                <w:color w:val="auto"/>
                <w:kern w:val="0"/>
                <w:szCs w:val="20"/>
              </w:rPr>
            </w:pPr>
          </w:p>
        </w:tc>
        <w:tc>
          <w:tcPr>
            <w:tcW w:w="346" w:type="pct"/>
            <w:tcBorders>
              <w:tl2br w:val="nil"/>
              <w:tr2bl w:val="nil"/>
            </w:tcBorders>
            <w:shd w:val="clear" w:color="auto" w:fill="auto"/>
            <w:tcMar>
              <w:top w:w="15" w:type="dxa"/>
              <w:left w:w="15" w:type="dxa"/>
              <w:bottom w:w="0" w:type="dxa"/>
              <w:right w:w="15" w:type="dxa"/>
            </w:tcMar>
            <w:vAlign w:val="center"/>
          </w:tcPr>
          <w:p w14:paraId="43C24964">
            <w:pPr>
              <w:bidi w:val="0"/>
              <w:jc w:val="center"/>
              <w:rPr>
                <w:rFonts w:hint="eastAsia"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6</w:t>
            </w:r>
          </w:p>
        </w:tc>
        <w:tc>
          <w:tcPr>
            <w:tcW w:w="816" w:type="pct"/>
            <w:tcBorders>
              <w:tl2br w:val="nil"/>
              <w:tr2bl w:val="nil"/>
            </w:tcBorders>
            <w:shd w:val="clear" w:color="auto" w:fill="auto"/>
            <w:tcMar>
              <w:top w:w="15" w:type="dxa"/>
              <w:left w:w="15" w:type="dxa"/>
              <w:bottom w:w="0" w:type="dxa"/>
              <w:right w:w="15" w:type="dxa"/>
            </w:tcMar>
            <w:vAlign w:val="center"/>
          </w:tcPr>
          <w:p w14:paraId="7856F5E0">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2#塔重组分中间罐</w:t>
            </w:r>
          </w:p>
        </w:tc>
        <w:tc>
          <w:tcPr>
            <w:tcW w:w="1218" w:type="pct"/>
            <w:tcBorders>
              <w:tl2br w:val="nil"/>
              <w:tr2bl w:val="nil"/>
            </w:tcBorders>
            <w:shd w:val="clear" w:color="auto" w:fill="auto"/>
            <w:tcMar>
              <w:top w:w="15" w:type="dxa"/>
              <w:left w:w="15" w:type="dxa"/>
              <w:bottom w:w="0" w:type="dxa"/>
              <w:right w:w="15" w:type="dxa"/>
            </w:tcMar>
            <w:vAlign w:val="center"/>
          </w:tcPr>
          <w:p w14:paraId="252F7A2F">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V=4m</w:t>
            </w:r>
            <w:r>
              <w:rPr>
                <w:rFonts w:hint="default" w:ascii="Times New Roman" w:hAnsi="Times New Roman" w:eastAsia="方正仿宋_GB2312" w:cs="Times New Roman"/>
                <w:color w:val="000000" w:themeColor="text1"/>
                <w:sz w:val="21"/>
                <w:szCs w:val="21"/>
                <w:vertAlign w:val="superscript"/>
                <w:lang w:val="en-US" w:eastAsia="zh-CN"/>
                <w14:textFill>
                  <w14:solidFill>
                    <w14:schemeClr w14:val="tx1"/>
                  </w14:solidFill>
                </w14:textFill>
              </w:rPr>
              <w:t>3</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Φ1400×2000</w:t>
            </w:r>
          </w:p>
        </w:tc>
        <w:tc>
          <w:tcPr>
            <w:tcW w:w="540" w:type="pct"/>
            <w:tcBorders>
              <w:tl2br w:val="nil"/>
              <w:tr2bl w:val="nil"/>
            </w:tcBorders>
            <w:shd w:val="clear" w:color="auto" w:fill="auto"/>
            <w:tcMar>
              <w:top w:w="15" w:type="dxa"/>
              <w:left w:w="15" w:type="dxa"/>
              <w:bottom w:w="0" w:type="dxa"/>
              <w:right w:w="15" w:type="dxa"/>
            </w:tcMar>
            <w:vAlign w:val="center"/>
          </w:tcPr>
          <w:p w14:paraId="71D3E040">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S304</w:t>
            </w:r>
          </w:p>
        </w:tc>
        <w:tc>
          <w:tcPr>
            <w:tcW w:w="443" w:type="pct"/>
            <w:tcBorders>
              <w:tl2br w:val="nil"/>
              <w:tr2bl w:val="nil"/>
            </w:tcBorders>
            <w:shd w:val="clear" w:color="auto" w:fill="auto"/>
            <w:tcMar>
              <w:top w:w="15" w:type="dxa"/>
              <w:left w:w="15" w:type="dxa"/>
              <w:bottom w:w="0" w:type="dxa"/>
              <w:right w:w="15" w:type="dxa"/>
            </w:tcMar>
            <w:vAlign w:val="center"/>
          </w:tcPr>
          <w:p w14:paraId="2EF3D05F">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常温</w:t>
            </w:r>
          </w:p>
        </w:tc>
        <w:tc>
          <w:tcPr>
            <w:tcW w:w="451" w:type="pct"/>
            <w:tcBorders>
              <w:tl2br w:val="nil"/>
              <w:tr2bl w:val="nil"/>
            </w:tcBorders>
            <w:shd w:val="clear" w:color="auto" w:fill="auto"/>
            <w:tcMar>
              <w:top w:w="15" w:type="dxa"/>
              <w:left w:w="15" w:type="dxa"/>
              <w:bottom w:w="0" w:type="dxa"/>
              <w:right w:w="15" w:type="dxa"/>
            </w:tcMar>
            <w:vAlign w:val="center"/>
          </w:tcPr>
          <w:p w14:paraId="5D9579B2">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常压</w:t>
            </w:r>
          </w:p>
        </w:tc>
        <w:tc>
          <w:tcPr>
            <w:tcW w:w="342" w:type="pct"/>
            <w:tcBorders>
              <w:tl2br w:val="nil"/>
              <w:tr2bl w:val="nil"/>
            </w:tcBorders>
            <w:shd w:val="clear" w:color="auto" w:fill="auto"/>
            <w:tcMar>
              <w:top w:w="15" w:type="dxa"/>
              <w:left w:w="15" w:type="dxa"/>
              <w:bottom w:w="0" w:type="dxa"/>
              <w:right w:w="15" w:type="dxa"/>
            </w:tcMar>
            <w:vAlign w:val="center"/>
          </w:tcPr>
          <w:p w14:paraId="32BC431F">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w:t>
            </w:r>
          </w:p>
        </w:tc>
        <w:tc>
          <w:tcPr>
            <w:tcW w:w="378" w:type="pct"/>
            <w:tcBorders>
              <w:tl2br w:val="nil"/>
              <w:tr2bl w:val="nil"/>
            </w:tcBorders>
            <w:shd w:val="clear" w:color="auto" w:fill="auto"/>
            <w:vAlign w:val="center"/>
          </w:tcPr>
          <w:p w14:paraId="0C1E11A7">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利旧</w:t>
            </w:r>
          </w:p>
        </w:tc>
      </w:tr>
      <w:tr w14:paraId="0A967C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87" w:hRule="atLeast"/>
          <w:jc w:val="center"/>
        </w:trPr>
        <w:tc>
          <w:tcPr>
            <w:tcW w:w="462" w:type="pct"/>
            <w:vMerge w:val="continue"/>
            <w:tcBorders>
              <w:tl2br w:val="nil"/>
              <w:tr2bl w:val="nil"/>
            </w:tcBorders>
            <w:tcMar>
              <w:top w:w="15" w:type="dxa"/>
              <w:left w:w="15" w:type="dxa"/>
              <w:bottom w:w="0" w:type="dxa"/>
              <w:right w:w="15" w:type="dxa"/>
            </w:tcMar>
            <w:vAlign w:val="center"/>
          </w:tcPr>
          <w:p w14:paraId="3AA4DEE7">
            <w:pPr>
              <w:widowControl/>
              <w:jc w:val="center"/>
              <w:rPr>
                <w:rFonts w:eastAsia="仿宋_GB2312"/>
                <w:b/>
                <w:color w:val="auto"/>
                <w:kern w:val="0"/>
                <w:szCs w:val="20"/>
              </w:rPr>
            </w:pPr>
          </w:p>
        </w:tc>
        <w:tc>
          <w:tcPr>
            <w:tcW w:w="346" w:type="pct"/>
            <w:tcBorders>
              <w:tl2br w:val="nil"/>
              <w:tr2bl w:val="nil"/>
            </w:tcBorders>
            <w:shd w:val="clear" w:color="auto" w:fill="auto"/>
            <w:tcMar>
              <w:top w:w="15" w:type="dxa"/>
              <w:left w:w="15" w:type="dxa"/>
              <w:bottom w:w="0" w:type="dxa"/>
              <w:right w:w="15" w:type="dxa"/>
            </w:tcMar>
            <w:vAlign w:val="center"/>
          </w:tcPr>
          <w:p w14:paraId="478C6AAE">
            <w:pPr>
              <w:bidi w:val="0"/>
              <w:jc w:val="center"/>
              <w:rPr>
                <w:rFonts w:hint="eastAsia"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7</w:t>
            </w:r>
          </w:p>
        </w:tc>
        <w:tc>
          <w:tcPr>
            <w:tcW w:w="816" w:type="pct"/>
            <w:tcBorders>
              <w:tl2br w:val="nil"/>
              <w:tr2bl w:val="nil"/>
            </w:tcBorders>
            <w:shd w:val="clear" w:color="auto" w:fill="auto"/>
            <w:tcMar>
              <w:top w:w="15" w:type="dxa"/>
              <w:left w:w="15" w:type="dxa"/>
              <w:bottom w:w="0" w:type="dxa"/>
              <w:right w:w="15" w:type="dxa"/>
            </w:tcMar>
            <w:vAlign w:val="center"/>
          </w:tcPr>
          <w:p w14:paraId="70A354B7">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6#塔重组分中间罐</w:t>
            </w:r>
          </w:p>
        </w:tc>
        <w:tc>
          <w:tcPr>
            <w:tcW w:w="1218" w:type="pct"/>
            <w:tcBorders>
              <w:tl2br w:val="nil"/>
              <w:tr2bl w:val="nil"/>
            </w:tcBorders>
            <w:shd w:val="clear" w:color="auto" w:fill="auto"/>
            <w:tcMar>
              <w:top w:w="15" w:type="dxa"/>
              <w:left w:w="15" w:type="dxa"/>
              <w:bottom w:w="0" w:type="dxa"/>
              <w:right w:w="15" w:type="dxa"/>
            </w:tcMar>
            <w:vAlign w:val="center"/>
          </w:tcPr>
          <w:p w14:paraId="493303F9">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V=4m</w:t>
            </w:r>
            <w:r>
              <w:rPr>
                <w:rFonts w:hint="default" w:ascii="Times New Roman" w:hAnsi="Times New Roman" w:eastAsia="方正仿宋_GB2312" w:cs="Times New Roman"/>
                <w:color w:val="000000" w:themeColor="text1"/>
                <w:sz w:val="21"/>
                <w:szCs w:val="21"/>
                <w:vertAlign w:val="superscript"/>
                <w:lang w:val="en-US" w:eastAsia="zh-CN"/>
                <w14:textFill>
                  <w14:solidFill>
                    <w14:schemeClr w14:val="tx1"/>
                  </w14:solidFill>
                </w14:textFill>
              </w:rPr>
              <w:t>3</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Φ1400×2000</w:t>
            </w:r>
          </w:p>
        </w:tc>
        <w:tc>
          <w:tcPr>
            <w:tcW w:w="540" w:type="pct"/>
            <w:tcBorders>
              <w:tl2br w:val="nil"/>
              <w:tr2bl w:val="nil"/>
            </w:tcBorders>
            <w:shd w:val="clear" w:color="auto" w:fill="auto"/>
            <w:tcMar>
              <w:top w:w="15" w:type="dxa"/>
              <w:left w:w="15" w:type="dxa"/>
              <w:bottom w:w="0" w:type="dxa"/>
              <w:right w:w="15" w:type="dxa"/>
            </w:tcMar>
            <w:vAlign w:val="center"/>
          </w:tcPr>
          <w:p w14:paraId="7981E20F">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S304</w:t>
            </w:r>
          </w:p>
        </w:tc>
        <w:tc>
          <w:tcPr>
            <w:tcW w:w="443" w:type="pct"/>
            <w:tcBorders>
              <w:tl2br w:val="nil"/>
              <w:tr2bl w:val="nil"/>
            </w:tcBorders>
            <w:shd w:val="clear" w:color="auto" w:fill="auto"/>
            <w:tcMar>
              <w:top w:w="15" w:type="dxa"/>
              <w:left w:w="15" w:type="dxa"/>
              <w:bottom w:w="0" w:type="dxa"/>
              <w:right w:w="15" w:type="dxa"/>
            </w:tcMar>
            <w:vAlign w:val="center"/>
          </w:tcPr>
          <w:p w14:paraId="5EAAD6B2">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常温</w:t>
            </w:r>
          </w:p>
        </w:tc>
        <w:tc>
          <w:tcPr>
            <w:tcW w:w="451" w:type="pct"/>
            <w:tcBorders>
              <w:tl2br w:val="nil"/>
              <w:tr2bl w:val="nil"/>
            </w:tcBorders>
            <w:shd w:val="clear" w:color="auto" w:fill="auto"/>
            <w:tcMar>
              <w:top w:w="15" w:type="dxa"/>
              <w:left w:w="15" w:type="dxa"/>
              <w:bottom w:w="0" w:type="dxa"/>
              <w:right w:w="15" w:type="dxa"/>
            </w:tcMar>
            <w:vAlign w:val="center"/>
          </w:tcPr>
          <w:p w14:paraId="13D3D839">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常压</w:t>
            </w:r>
          </w:p>
        </w:tc>
        <w:tc>
          <w:tcPr>
            <w:tcW w:w="342" w:type="pct"/>
            <w:tcBorders>
              <w:tl2br w:val="nil"/>
              <w:tr2bl w:val="nil"/>
            </w:tcBorders>
            <w:shd w:val="clear" w:color="auto" w:fill="auto"/>
            <w:tcMar>
              <w:top w:w="15" w:type="dxa"/>
              <w:left w:w="15" w:type="dxa"/>
              <w:bottom w:w="0" w:type="dxa"/>
              <w:right w:w="15" w:type="dxa"/>
            </w:tcMar>
            <w:vAlign w:val="center"/>
          </w:tcPr>
          <w:p w14:paraId="7E87F980">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w:t>
            </w:r>
          </w:p>
        </w:tc>
        <w:tc>
          <w:tcPr>
            <w:tcW w:w="378" w:type="pct"/>
            <w:tcBorders>
              <w:tl2br w:val="nil"/>
              <w:tr2bl w:val="nil"/>
            </w:tcBorders>
            <w:shd w:val="clear" w:color="auto" w:fill="auto"/>
            <w:vAlign w:val="center"/>
          </w:tcPr>
          <w:p w14:paraId="47D6EB31">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利旧</w:t>
            </w:r>
          </w:p>
        </w:tc>
      </w:tr>
      <w:tr w14:paraId="57C35D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87" w:hRule="atLeast"/>
          <w:jc w:val="center"/>
        </w:trPr>
        <w:tc>
          <w:tcPr>
            <w:tcW w:w="462" w:type="pct"/>
            <w:vMerge w:val="continue"/>
            <w:tcBorders>
              <w:tl2br w:val="nil"/>
              <w:tr2bl w:val="nil"/>
            </w:tcBorders>
            <w:tcMar>
              <w:top w:w="15" w:type="dxa"/>
              <w:left w:w="15" w:type="dxa"/>
              <w:bottom w:w="0" w:type="dxa"/>
              <w:right w:w="15" w:type="dxa"/>
            </w:tcMar>
            <w:vAlign w:val="center"/>
          </w:tcPr>
          <w:p w14:paraId="542286D4">
            <w:pPr>
              <w:widowControl/>
              <w:jc w:val="center"/>
              <w:rPr>
                <w:rFonts w:eastAsia="仿宋_GB2312"/>
                <w:b/>
                <w:color w:val="auto"/>
                <w:kern w:val="0"/>
                <w:szCs w:val="20"/>
              </w:rPr>
            </w:pPr>
          </w:p>
        </w:tc>
        <w:tc>
          <w:tcPr>
            <w:tcW w:w="346" w:type="pct"/>
            <w:tcBorders>
              <w:tl2br w:val="nil"/>
              <w:tr2bl w:val="nil"/>
            </w:tcBorders>
            <w:shd w:val="clear" w:color="auto" w:fill="auto"/>
            <w:tcMar>
              <w:top w:w="15" w:type="dxa"/>
              <w:left w:w="15" w:type="dxa"/>
              <w:bottom w:w="0" w:type="dxa"/>
              <w:right w:w="15" w:type="dxa"/>
            </w:tcMar>
            <w:vAlign w:val="center"/>
          </w:tcPr>
          <w:p w14:paraId="510925FA">
            <w:pPr>
              <w:bidi w:val="0"/>
              <w:jc w:val="center"/>
              <w:rPr>
                <w:rFonts w:hint="eastAsia"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8</w:t>
            </w:r>
          </w:p>
        </w:tc>
        <w:tc>
          <w:tcPr>
            <w:tcW w:w="816" w:type="pct"/>
            <w:tcBorders>
              <w:tl2br w:val="nil"/>
              <w:tr2bl w:val="nil"/>
            </w:tcBorders>
            <w:shd w:val="clear" w:color="auto" w:fill="auto"/>
            <w:tcMar>
              <w:top w:w="15" w:type="dxa"/>
              <w:left w:w="15" w:type="dxa"/>
              <w:bottom w:w="0" w:type="dxa"/>
              <w:right w:w="15" w:type="dxa"/>
            </w:tcMar>
            <w:vAlign w:val="center"/>
          </w:tcPr>
          <w:p w14:paraId="5D2B2DF1">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1#、2#、4#塔回流罐</w:t>
            </w:r>
          </w:p>
        </w:tc>
        <w:tc>
          <w:tcPr>
            <w:tcW w:w="1218" w:type="pct"/>
            <w:tcBorders>
              <w:tl2br w:val="nil"/>
              <w:tr2bl w:val="nil"/>
            </w:tcBorders>
            <w:shd w:val="clear" w:color="auto" w:fill="auto"/>
            <w:tcMar>
              <w:top w:w="15" w:type="dxa"/>
              <w:left w:w="15" w:type="dxa"/>
              <w:bottom w:w="0" w:type="dxa"/>
              <w:right w:w="15" w:type="dxa"/>
            </w:tcMar>
            <w:vAlign w:val="center"/>
          </w:tcPr>
          <w:p w14:paraId="0B7E7BBC">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V=1.5m</w:t>
            </w:r>
            <w:r>
              <w:rPr>
                <w:rFonts w:hint="default" w:ascii="Times New Roman" w:hAnsi="Times New Roman" w:eastAsia="方正仿宋_GB2312" w:cs="Times New Roman"/>
                <w:color w:val="000000" w:themeColor="text1"/>
                <w:sz w:val="21"/>
                <w:szCs w:val="21"/>
                <w:vertAlign w:val="superscript"/>
                <w:lang w:val="en-US" w:eastAsia="zh-CN"/>
                <w14:textFill>
                  <w14:solidFill>
                    <w14:schemeClr w14:val="tx1"/>
                  </w14:solidFill>
                </w14:textFill>
              </w:rPr>
              <w:t>3</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Φ1000×1500</w:t>
            </w:r>
          </w:p>
        </w:tc>
        <w:tc>
          <w:tcPr>
            <w:tcW w:w="540" w:type="pct"/>
            <w:tcBorders>
              <w:tl2br w:val="nil"/>
              <w:tr2bl w:val="nil"/>
            </w:tcBorders>
            <w:shd w:val="clear" w:color="auto" w:fill="auto"/>
            <w:tcMar>
              <w:top w:w="15" w:type="dxa"/>
              <w:left w:w="15" w:type="dxa"/>
              <w:bottom w:w="0" w:type="dxa"/>
              <w:right w:w="15" w:type="dxa"/>
            </w:tcMar>
            <w:vAlign w:val="center"/>
          </w:tcPr>
          <w:p w14:paraId="65CA47CA">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S304</w:t>
            </w:r>
          </w:p>
        </w:tc>
        <w:tc>
          <w:tcPr>
            <w:tcW w:w="443" w:type="pct"/>
            <w:tcBorders>
              <w:tl2br w:val="nil"/>
              <w:tr2bl w:val="nil"/>
            </w:tcBorders>
            <w:shd w:val="clear" w:color="auto" w:fill="auto"/>
            <w:tcMar>
              <w:top w:w="15" w:type="dxa"/>
              <w:left w:w="15" w:type="dxa"/>
              <w:bottom w:w="0" w:type="dxa"/>
              <w:right w:w="15" w:type="dxa"/>
            </w:tcMar>
            <w:vAlign w:val="center"/>
          </w:tcPr>
          <w:p w14:paraId="0AF8374E">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40</w:t>
            </w:r>
          </w:p>
        </w:tc>
        <w:tc>
          <w:tcPr>
            <w:tcW w:w="451" w:type="pct"/>
            <w:tcBorders>
              <w:tl2br w:val="nil"/>
              <w:tr2bl w:val="nil"/>
            </w:tcBorders>
            <w:shd w:val="clear" w:color="auto" w:fill="auto"/>
            <w:tcMar>
              <w:top w:w="15" w:type="dxa"/>
              <w:left w:w="15" w:type="dxa"/>
              <w:bottom w:w="0" w:type="dxa"/>
              <w:right w:w="15" w:type="dxa"/>
            </w:tcMar>
            <w:vAlign w:val="center"/>
          </w:tcPr>
          <w:p w14:paraId="21FE1B50">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-0.09</w:t>
            </w:r>
          </w:p>
        </w:tc>
        <w:tc>
          <w:tcPr>
            <w:tcW w:w="342" w:type="pct"/>
            <w:tcBorders>
              <w:tl2br w:val="nil"/>
              <w:tr2bl w:val="nil"/>
            </w:tcBorders>
            <w:shd w:val="clear" w:color="auto" w:fill="auto"/>
            <w:tcMar>
              <w:top w:w="15" w:type="dxa"/>
              <w:left w:w="15" w:type="dxa"/>
              <w:bottom w:w="0" w:type="dxa"/>
              <w:right w:w="15" w:type="dxa"/>
            </w:tcMar>
            <w:vAlign w:val="center"/>
          </w:tcPr>
          <w:p w14:paraId="6A247748">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3</w:t>
            </w:r>
          </w:p>
        </w:tc>
        <w:tc>
          <w:tcPr>
            <w:tcW w:w="378" w:type="pct"/>
            <w:tcBorders>
              <w:tl2br w:val="nil"/>
              <w:tr2bl w:val="nil"/>
            </w:tcBorders>
            <w:shd w:val="clear" w:color="auto" w:fill="auto"/>
            <w:vAlign w:val="center"/>
          </w:tcPr>
          <w:p w14:paraId="79B7DA5C">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利旧</w:t>
            </w:r>
          </w:p>
        </w:tc>
      </w:tr>
      <w:tr w14:paraId="10962A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87" w:hRule="atLeast"/>
          <w:jc w:val="center"/>
        </w:trPr>
        <w:tc>
          <w:tcPr>
            <w:tcW w:w="462" w:type="pct"/>
            <w:vMerge w:val="continue"/>
            <w:tcBorders>
              <w:tl2br w:val="nil"/>
              <w:tr2bl w:val="nil"/>
            </w:tcBorders>
            <w:tcMar>
              <w:top w:w="15" w:type="dxa"/>
              <w:left w:w="15" w:type="dxa"/>
              <w:bottom w:w="0" w:type="dxa"/>
              <w:right w:w="15" w:type="dxa"/>
            </w:tcMar>
            <w:vAlign w:val="center"/>
          </w:tcPr>
          <w:p w14:paraId="000BCC6D">
            <w:pPr>
              <w:widowControl/>
              <w:jc w:val="center"/>
              <w:rPr>
                <w:rFonts w:eastAsia="仿宋_GB2312"/>
                <w:b/>
                <w:color w:val="auto"/>
                <w:kern w:val="0"/>
                <w:szCs w:val="20"/>
              </w:rPr>
            </w:pPr>
          </w:p>
        </w:tc>
        <w:tc>
          <w:tcPr>
            <w:tcW w:w="346" w:type="pct"/>
            <w:tcBorders>
              <w:tl2br w:val="nil"/>
              <w:tr2bl w:val="nil"/>
            </w:tcBorders>
            <w:shd w:val="clear" w:color="auto" w:fill="auto"/>
            <w:tcMar>
              <w:top w:w="15" w:type="dxa"/>
              <w:left w:w="15" w:type="dxa"/>
              <w:bottom w:w="0" w:type="dxa"/>
              <w:right w:w="15" w:type="dxa"/>
            </w:tcMar>
            <w:vAlign w:val="center"/>
          </w:tcPr>
          <w:p w14:paraId="5EEAF3F0">
            <w:pPr>
              <w:bidi w:val="0"/>
              <w:jc w:val="center"/>
              <w:rPr>
                <w:rFonts w:hint="eastAsia"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9</w:t>
            </w:r>
          </w:p>
        </w:tc>
        <w:tc>
          <w:tcPr>
            <w:tcW w:w="816" w:type="pct"/>
            <w:tcBorders>
              <w:tl2br w:val="nil"/>
              <w:tr2bl w:val="nil"/>
            </w:tcBorders>
            <w:shd w:val="clear" w:color="auto" w:fill="auto"/>
            <w:tcMar>
              <w:top w:w="15" w:type="dxa"/>
              <w:left w:w="15" w:type="dxa"/>
              <w:bottom w:w="0" w:type="dxa"/>
              <w:right w:w="15" w:type="dxa"/>
            </w:tcMar>
            <w:vAlign w:val="center"/>
          </w:tcPr>
          <w:p w14:paraId="50891C74">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5#、6#、8#塔回流罐</w:t>
            </w:r>
          </w:p>
        </w:tc>
        <w:tc>
          <w:tcPr>
            <w:tcW w:w="1218" w:type="pct"/>
            <w:tcBorders>
              <w:tl2br w:val="nil"/>
              <w:tr2bl w:val="nil"/>
            </w:tcBorders>
            <w:shd w:val="clear" w:color="auto" w:fill="auto"/>
            <w:tcMar>
              <w:top w:w="15" w:type="dxa"/>
              <w:left w:w="15" w:type="dxa"/>
              <w:bottom w:w="0" w:type="dxa"/>
              <w:right w:w="15" w:type="dxa"/>
            </w:tcMar>
            <w:vAlign w:val="center"/>
          </w:tcPr>
          <w:p w14:paraId="7AC15046">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V=1.5m</w:t>
            </w:r>
            <w:r>
              <w:rPr>
                <w:rFonts w:hint="default" w:ascii="Times New Roman" w:hAnsi="Times New Roman" w:eastAsia="方正仿宋_GB2312" w:cs="Times New Roman"/>
                <w:color w:val="000000" w:themeColor="text1"/>
                <w:sz w:val="21"/>
                <w:szCs w:val="21"/>
                <w:vertAlign w:val="superscript"/>
                <w:lang w:val="en-US" w:eastAsia="zh-CN"/>
                <w14:textFill>
                  <w14:solidFill>
                    <w14:schemeClr w14:val="tx1"/>
                  </w14:solidFill>
                </w14:textFill>
              </w:rPr>
              <w:t>3</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Φ1000×1500</w:t>
            </w:r>
          </w:p>
        </w:tc>
        <w:tc>
          <w:tcPr>
            <w:tcW w:w="540" w:type="pct"/>
            <w:tcBorders>
              <w:tl2br w:val="nil"/>
              <w:tr2bl w:val="nil"/>
            </w:tcBorders>
            <w:shd w:val="clear" w:color="auto" w:fill="auto"/>
            <w:tcMar>
              <w:top w:w="15" w:type="dxa"/>
              <w:left w:w="15" w:type="dxa"/>
              <w:bottom w:w="0" w:type="dxa"/>
              <w:right w:w="15" w:type="dxa"/>
            </w:tcMar>
            <w:vAlign w:val="center"/>
          </w:tcPr>
          <w:p w14:paraId="57CC43C5">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S304</w:t>
            </w:r>
          </w:p>
        </w:tc>
        <w:tc>
          <w:tcPr>
            <w:tcW w:w="443" w:type="pct"/>
            <w:tcBorders>
              <w:tl2br w:val="nil"/>
              <w:tr2bl w:val="nil"/>
            </w:tcBorders>
            <w:shd w:val="clear" w:color="auto" w:fill="auto"/>
            <w:tcMar>
              <w:top w:w="15" w:type="dxa"/>
              <w:left w:w="15" w:type="dxa"/>
              <w:bottom w:w="0" w:type="dxa"/>
              <w:right w:w="15" w:type="dxa"/>
            </w:tcMar>
            <w:vAlign w:val="center"/>
          </w:tcPr>
          <w:p w14:paraId="482B6CDA">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40</w:t>
            </w:r>
          </w:p>
        </w:tc>
        <w:tc>
          <w:tcPr>
            <w:tcW w:w="451" w:type="pct"/>
            <w:tcBorders>
              <w:tl2br w:val="nil"/>
              <w:tr2bl w:val="nil"/>
            </w:tcBorders>
            <w:shd w:val="clear" w:color="auto" w:fill="auto"/>
            <w:tcMar>
              <w:top w:w="15" w:type="dxa"/>
              <w:left w:w="15" w:type="dxa"/>
              <w:bottom w:w="0" w:type="dxa"/>
              <w:right w:w="15" w:type="dxa"/>
            </w:tcMar>
            <w:vAlign w:val="center"/>
          </w:tcPr>
          <w:p w14:paraId="5D9F9F6A">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-0.09</w:t>
            </w:r>
          </w:p>
        </w:tc>
        <w:tc>
          <w:tcPr>
            <w:tcW w:w="342" w:type="pct"/>
            <w:tcBorders>
              <w:tl2br w:val="nil"/>
              <w:tr2bl w:val="nil"/>
            </w:tcBorders>
            <w:shd w:val="clear" w:color="auto" w:fill="auto"/>
            <w:tcMar>
              <w:top w:w="15" w:type="dxa"/>
              <w:left w:w="15" w:type="dxa"/>
              <w:bottom w:w="0" w:type="dxa"/>
              <w:right w:w="15" w:type="dxa"/>
            </w:tcMar>
            <w:vAlign w:val="center"/>
          </w:tcPr>
          <w:p w14:paraId="519433F1">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3</w:t>
            </w:r>
          </w:p>
        </w:tc>
        <w:tc>
          <w:tcPr>
            <w:tcW w:w="378" w:type="pct"/>
            <w:tcBorders>
              <w:tl2br w:val="nil"/>
              <w:tr2bl w:val="nil"/>
            </w:tcBorders>
            <w:shd w:val="clear" w:color="auto" w:fill="auto"/>
            <w:vAlign w:val="center"/>
          </w:tcPr>
          <w:p w14:paraId="0D50AE49">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利旧</w:t>
            </w:r>
          </w:p>
        </w:tc>
      </w:tr>
      <w:tr w14:paraId="18EA8C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87" w:hRule="atLeast"/>
          <w:jc w:val="center"/>
        </w:trPr>
        <w:tc>
          <w:tcPr>
            <w:tcW w:w="462" w:type="pct"/>
            <w:vMerge w:val="continue"/>
            <w:tcBorders>
              <w:tl2br w:val="nil"/>
              <w:tr2bl w:val="nil"/>
            </w:tcBorders>
            <w:tcMar>
              <w:top w:w="15" w:type="dxa"/>
              <w:left w:w="15" w:type="dxa"/>
              <w:bottom w:w="0" w:type="dxa"/>
              <w:right w:w="15" w:type="dxa"/>
            </w:tcMar>
            <w:vAlign w:val="center"/>
          </w:tcPr>
          <w:p w14:paraId="69A290D1">
            <w:pPr>
              <w:widowControl/>
              <w:jc w:val="center"/>
              <w:rPr>
                <w:rFonts w:eastAsia="仿宋_GB2312"/>
                <w:b/>
                <w:color w:val="auto"/>
                <w:kern w:val="0"/>
                <w:szCs w:val="20"/>
              </w:rPr>
            </w:pPr>
          </w:p>
        </w:tc>
        <w:tc>
          <w:tcPr>
            <w:tcW w:w="346" w:type="pct"/>
            <w:tcBorders>
              <w:tl2br w:val="nil"/>
              <w:tr2bl w:val="nil"/>
            </w:tcBorders>
            <w:shd w:val="clear" w:color="auto" w:fill="auto"/>
            <w:tcMar>
              <w:top w:w="15" w:type="dxa"/>
              <w:left w:w="15" w:type="dxa"/>
              <w:bottom w:w="0" w:type="dxa"/>
              <w:right w:w="15" w:type="dxa"/>
            </w:tcMar>
            <w:vAlign w:val="center"/>
          </w:tcPr>
          <w:p w14:paraId="5572232E">
            <w:pPr>
              <w:bidi w:val="0"/>
              <w:jc w:val="center"/>
              <w:rPr>
                <w:rFonts w:hint="eastAsia"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10</w:t>
            </w:r>
          </w:p>
        </w:tc>
        <w:tc>
          <w:tcPr>
            <w:tcW w:w="816" w:type="pct"/>
            <w:tcBorders>
              <w:tl2br w:val="nil"/>
              <w:tr2bl w:val="nil"/>
            </w:tcBorders>
            <w:shd w:val="clear" w:color="auto" w:fill="auto"/>
            <w:tcMar>
              <w:top w:w="15" w:type="dxa"/>
              <w:left w:w="15" w:type="dxa"/>
              <w:bottom w:w="0" w:type="dxa"/>
              <w:right w:w="15" w:type="dxa"/>
            </w:tcMar>
            <w:vAlign w:val="center"/>
          </w:tcPr>
          <w:p w14:paraId="464B5DA5">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真空缓冲罐</w:t>
            </w:r>
          </w:p>
        </w:tc>
        <w:tc>
          <w:tcPr>
            <w:tcW w:w="1218" w:type="pct"/>
            <w:tcBorders>
              <w:tl2br w:val="nil"/>
              <w:tr2bl w:val="nil"/>
            </w:tcBorders>
            <w:shd w:val="clear" w:color="auto" w:fill="auto"/>
            <w:tcMar>
              <w:top w:w="15" w:type="dxa"/>
              <w:left w:w="15" w:type="dxa"/>
              <w:bottom w:w="0" w:type="dxa"/>
              <w:right w:w="15" w:type="dxa"/>
            </w:tcMar>
            <w:vAlign w:val="center"/>
          </w:tcPr>
          <w:p w14:paraId="14D60990">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V=1.5m</w:t>
            </w:r>
            <w:r>
              <w:rPr>
                <w:rFonts w:hint="default" w:ascii="Times New Roman" w:hAnsi="Times New Roman" w:eastAsia="方正仿宋_GB2312" w:cs="Times New Roman"/>
                <w:color w:val="000000" w:themeColor="text1"/>
                <w:sz w:val="21"/>
                <w:szCs w:val="21"/>
                <w:vertAlign w:val="superscript"/>
                <w:lang w:val="en-US" w:eastAsia="zh-CN"/>
                <w14:textFill>
                  <w14:solidFill>
                    <w14:schemeClr w14:val="tx1"/>
                  </w14:solidFill>
                </w14:textFill>
              </w:rPr>
              <w:t>3</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Φ1000×1500</w:t>
            </w:r>
          </w:p>
        </w:tc>
        <w:tc>
          <w:tcPr>
            <w:tcW w:w="540" w:type="pct"/>
            <w:tcBorders>
              <w:tl2br w:val="nil"/>
              <w:tr2bl w:val="nil"/>
            </w:tcBorders>
            <w:shd w:val="clear" w:color="auto" w:fill="auto"/>
            <w:tcMar>
              <w:top w:w="15" w:type="dxa"/>
              <w:left w:w="15" w:type="dxa"/>
              <w:bottom w:w="0" w:type="dxa"/>
              <w:right w:w="15" w:type="dxa"/>
            </w:tcMar>
            <w:vAlign w:val="center"/>
          </w:tcPr>
          <w:p w14:paraId="738CB1AF">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S304</w:t>
            </w:r>
          </w:p>
        </w:tc>
        <w:tc>
          <w:tcPr>
            <w:tcW w:w="443" w:type="pct"/>
            <w:tcBorders>
              <w:tl2br w:val="nil"/>
              <w:tr2bl w:val="nil"/>
            </w:tcBorders>
            <w:shd w:val="clear" w:color="auto" w:fill="auto"/>
            <w:tcMar>
              <w:top w:w="15" w:type="dxa"/>
              <w:left w:w="15" w:type="dxa"/>
              <w:bottom w:w="0" w:type="dxa"/>
              <w:right w:w="15" w:type="dxa"/>
            </w:tcMar>
            <w:vAlign w:val="center"/>
          </w:tcPr>
          <w:p w14:paraId="101FA584">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40</w:t>
            </w:r>
          </w:p>
        </w:tc>
        <w:tc>
          <w:tcPr>
            <w:tcW w:w="451" w:type="pct"/>
            <w:tcBorders>
              <w:tl2br w:val="nil"/>
              <w:tr2bl w:val="nil"/>
            </w:tcBorders>
            <w:shd w:val="clear" w:color="auto" w:fill="auto"/>
            <w:tcMar>
              <w:top w:w="15" w:type="dxa"/>
              <w:left w:w="15" w:type="dxa"/>
              <w:bottom w:w="0" w:type="dxa"/>
              <w:right w:w="15" w:type="dxa"/>
            </w:tcMar>
            <w:vAlign w:val="center"/>
          </w:tcPr>
          <w:p w14:paraId="6D502FD3">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-0.09</w:t>
            </w:r>
          </w:p>
        </w:tc>
        <w:tc>
          <w:tcPr>
            <w:tcW w:w="342" w:type="pct"/>
            <w:tcBorders>
              <w:tl2br w:val="nil"/>
              <w:tr2bl w:val="nil"/>
            </w:tcBorders>
            <w:shd w:val="clear" w:color="auto" w:fill="auto"/>
            <w:tcMar>
              <w:top w:w="15" w:type="dxa"/>
              <w:left w:w="15" w:type="dxa"/>
              <w:bottom w:w="0" w:type="dxa"/>
              <w:right w:w="15" w:type="dxa"/>
            </w:tcMar>
            <w:vAlign w:val="center"/>
          </w:tcPr>
          <w:p w14:paraId="65EFA707">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2</w:t>
            </w:r>
          </w:p>
        </w:tc>
        <w:tc>
          <w:tcPr>
            <w:tcW w:w="378" w:type="pct"/>
            <w:tcBorders>
              <w:tl2br w:val="nil"/>
              <w:tr2bl w:val="nil"/>
            </w:tcBorders>
            <w:shd w:val="clear" w:color="auto" w:fill="auto"/>
            <w:vAlign w:val="center"/>
          </w:tcPr>
          <w:p w14:paraId="087078C1">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利旧</w:t>
            </w:r>
          </w:p>
        </w:tc>
      </w:tr>
      <w:tr w14:paraId="2EC23C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87" w:hRule="atLeast"/>
          <w:jc w:val="center"/>
        </w:trPr>
        <w:tc>
          <w:tcPr>
            <w:tcW w:w="462" w:type="pct"/>
            <w:vMerge w:val="continue"/>
            <w:tcBorders>
              <w:tl2br w:val="nil"/>
              <w:tr2bl w:val="nil"/>
            </w:tcBorders>
            <w:tcMar>
              <w:top w:w="15" w:type="dxa"/>
              <w:left w:w="15" w:type="dxa"/>
              <w:bottom w:w="0" w:type="dxa"/>
              <w:right w:w="15" w:type="dxa"/>
            </w:tcMar>
            <w:vAlign w:val="center"/>
          </w:tcPr>
          <w:p w14:paraId="4E4856F2">
            <w:pPr>
              <w:widowControl/>
              <w:jc w:val="center"/>
              <w:rPr>
                <w:rFonts w:eastAsia="仿宋_GB2312"/>
                <w:b/>
                <w:color w:val="auto"/>
                <w:kern w:val="0"/>
                <w:szCs w:val="20"/>
              </w:rPr>
            </w:pPr>
          </w:p>
        </w:tc>
        <w:tc>
          <w:tcPr>
            <w:tcW w:w="346" w:type="pct"/>
            <w:tcBorders>
              <w:tl2br w:val="nil"/>
              <w:tr2bl w:val="nil"/>
            </w:tcBorders>
            <w:shd w:val="clear" w:color="auto" w:fill="auto"/>
            <w:tcMar>
              <w:top w:w="15" w:type="dxa"/>
              <w:left w:w="15" w:type="dxa"/>
              <w:bottom w:w="0" w:type="dxa"/>
              <w:right w:w="15" w:type="dxa"/>
            </w:tcMar>
            <w:vAlign w:val="center"/>
          </w:tcPr>
          <w:p w14:paraId="20A17692">
            <w:pPr>
              <w:bidi w:val="0"/>
              <w:jc w:val="center"/>
              <w:rPr>
                <w:rFonts w:hint="eastAsia"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11</w:t>
            </w:r>
          </w:p>
        </w:tc>
        <w:tc>
          <w:tcPr>
            <w:tcW w:w="816" w:type="pct"/>
            <w:tcBorders>
              <w:tl2br w:val="nil"/>
              <w:tr2bl w:val="nil"/>
            </w:tcBorders>
            <w:shd w:val="clear" w:color="auto" w:fill="auto"/>
            <w:tcMar>
              <w:top w:w="15" w:type="dxa"/>
              <w:left w:w="15" w:type="dxa"/>
              <w:bottom w:w="0" w:type="dxa"/>
              <w:right w:w="15" w:type="dxa"/>
            </w:tcMar>
            <w:vAlign w:val="center"/>
          </w:tcPr>
          <w:p w14:paraId="74C7E800">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真空缓冲罐</w:t>
            </w:r>
          </w:p>
        </w:tc>
        <w:tc>
          <w:tcPr>
            <w:tcW w:w="1218" w:type="pct"/>
            <w:tcBorders>
              <w:tl2br w:val="nil"/>
              <w:tr2bl w:val="nil"/>
            </w:tcBorders>
            <w:shd w:val="clear" w:color="auto" w:fill="auto"/>
            <w:tcMar>
              <w:top w:w="15" w:type="dxa"/>
              <w:left w:w="15" w:type="dxa"/>
              <w:bottom w:w="0" w:type="dxa"/>
              <w:right w:w="15" w:type="dxa"/>
            </w:tcMar>
            <w:vAlign w:val="center"/>
          </w:tcPr>
          <w:p w14:paraId="608E229F">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V=1.5m</w:t>
            </w:r>
            <w:r>
              <w:rPr>
                <w:rFonts w:hint="default" w:ascii="Times New Roman" w:hAnsi="Times New Roman" w:eastAsia="方正仿宋_GB2312" w:cs="Times New Roman"/>
                <w:color w:val="000000" w:themeColor="text1"/>
                <w:sz w:val="21"/>
                <w:szCs w:val="21"/>
                <w:vertAlign w:val="superscript"/>
                <w:lang w:val="en-US" w:eastAsia="zh-CN"/>
                <w14:textFill>
                  <w14:solidFill>
                    <w14:schemeClr w14:val="tx1"/>
                  </w14:solidFill>
                </w14:textFill>
              </w:rPr>
              <w:t>3</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Φ1000×1500</w:t>
            </w:r>
          </w:p>
        </w:tc>
        <w:tc>
          <w:tcPr>
            <w:tcW w:w="540" w:type="pct"/>
            <w:tcBorders>
              <w:tl2br w:val="nil"/>
              <w:tr2bl w:val="nil"/>
            </w:tcBorders>
            <w:shd w:val="clear" w:color="auto" w:fill="auto"/>
            <w:tcMar>
              <w:top w:w="15" w:type="dxa"/>
              <w:left w:w="15" w:type="dxa"/>
              <w:bottom w:w="0" w:type="dxa"/>
              <w:right w:w="15" w:type="dxa"/>
            </w:tcMar>
            <w:vAlign w:val="center"/>
          </w:tcPr>
          <w:p w14:paraId="4D40CD38">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S304</w:t>
            </w:r>
          </w:p>
        </w:tc>
        <w:tc>
          <w:tcPr>
            <w:tcW w:w="443" w:type="pct"/>
            <w:tcBorders>
              <w:tl2br w:val="nil"/>
              <w:tr2bl w:val="nil"/>
            </w:tcBorders>
            <w:shd w:val="clear" w:color="auto" w:fill="auto"/>
            <w:tcMar>
              <w:top w:w="15" w:type="dxa"/>
              <w:left w:w="15" w:type="dxa"/>
              <w:bottom w:w="0" w:type="dxa"/>
              <w:right w:w="15" w:type="dxa"/>
            </w:tcMar>
            <w:vAlign w:val="center"/>
          </w:tcPr>
          <w:p w14:paraId="510A5291">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40</w:t>
            </w:r>
          </w:p>
        </w:tc>
        <w:tc>
          <w:tcPr>
            <w:tcW w:w="451" w:type="pct"/>
            <w:tcBorders>
              <w:tl2br w:val="nil"/>
              <w:tr2bl w:val="nil"/>
            </w:tcBorders>
            <w:shd w:val="clear" w:color="auto" w:fill="auto"/>
            <w:tcMar>
              <w:top w:w="15" w:type="dxa"/>
              <w:left w:w="15" w:type="dxa"/>
              <w:bottom w:w="0" w:type="dxa"/>
              <w:right w:w="15" w:type="dxa"/>
            </w:tcMar>
            <w:vAlign w:val="center"/>
          </w:tcPr>
          <w:p w14:paraId="575B5F47">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-0.09</w:t>
            </w:r>
          </w:p>
        </w:tc>
        <w:tc>
          <w:tcPr>
            <w:tcW w:w="342" w:type="pct"/>
            <w:tcBorders>
              <w:tl2br w:val="nil"/>
              <w:tr2bl w:val="nil"/>
            </w:tcBorders>
            <w:shd w:val="clear" w:color="auto" w:fill="auto"/>
            <w:tcMar>
              <w:top w:w="15" w:type="dxa"/>
              <w:left w:w="15" w:type="dxa"/>
              <w:bottom w:w="0" w:type="dxa"/>
              <w:right w:w="15" w:type="dxa"/>
            </w:tcMar>
            <w:vAlign w:val="center"/>
          </w:tcPr>
          <w:p w14:paraId="6F253C92">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2</w:t>
            </w:r>
          </w:p>
        </w:tc>
        <w:tc>
          <w:tcPr>
            <w:tcW w:w="378" w:type="pct"/>
            <w:tcBorders>
              <w:tl2br w:val="nil"/>
              <w:tr2bl w:val="nil"/>
            </w:tcBorders>
            <w:shd w:val="clear" w:color="auto" w:fill="auto"/>
            <w:vAlign w:val="center"/>
          </w:tcPr>
          <w:p w14:paraId="35FEA6B4">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利旧</w:t>
            </w:r>
          </w:p>
        </w:tc>
      </w:tr>
      <w:tr w14:paraId="3F1A08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87" w:hRule="atLeast"/>
          <w:jc w:val="center"/>
        </w:trPr>
        <w:tc>
          <w:tcPr>
            <w:tcW w:w="462" w:type="pct"/>
            <w:vMerge w:val="continue"/>
            <w:tcBorders>
              <w:tl2br w:val="nil"/>
              <w:tr2bl w:val="nil"/>
            </w:tcBorders>
            <w:tcMar>
              <w:top w:w="15" w:type="dxa"/>
              <w:left w:w="15" w:type="dxa"/>
              <w:bottom w:w="0" w:type="dxa"/>
              <w:right w:w="15" w:type="dxa"/>
            </w:tcMar>
            <w:vAlign w:val="center"/>
          </w:tcPr>
          <w:p w14:paraId="50556FFB">
            <w:pPr>
              <w:widowControl/>
              <w:jc w:val="center"/>
              <w:rPr>
                <w:rFonts w:eastAsia="仿宋_GB2312"/>
                <w:b/>
                <w:color w:val="auto"/>
                <w:kern w:val="0"/>
                <w:szCs w:val="20"/>
              </w:rPr>
            </w:pPr>
          </w:p>
        </w:tc>
        <w:tc>
          <w:tcPr>
            <w:tcW w:w="346" w:type="pct"/>
            <w:tcBorders>
              <w:tl2br w:val="nil"/>
              <w:tr2bl w:val="nil"/>
            </w:tcBorders>
            <w:shd w:val="clear" w:color="auto" w:fill="auto"/>
            <w:tcMar>
              <w:top w:w="15" w:type="dxa"/>
              <w:left w:w="15" w:type="dxa"/>
              <w:bottom w:w="0" w:type="dxa"/>
              <w:right w:w="15" w:type="dxa"/>
            </w:tcMar>
            <w:vAlign w:val="center"/>
          </w:tcPr>
          <w:p w14:paraId="4B888D30">
            <w:pPr>
              <w:bidi w:val="0"/>
              <w:jc w:val="center"/>
              <w:rPr>
                <w:rFonts w:hint="eastAsia"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12</w:t>
            </w:r>
          </w:p>
        </w:tc>
        <w:tc>
          <w:tcPr>
            <w:tcW w:w="816" w:type="pct"/>
            <w:tcBorders>
              <w:tl2br w:val="nil"/>
              <w:tr2bl w:val="nil"/>
            </w:tcBorders>
            <w:shd w:val="clear" w:color="auto" w:fill="auto"/>
            <w:tcMar>
              <w:top w:w="15" w:type="dxa"/>
              <w:left w:w="15" w:type="dxa"/>
              <w:bottom w:w="0" w:type="dxa"/>
              <w:right w:w="15" w:type="dxa"/>
            </w:tcMar>
            <w:vAlign w:val="center"/>
          </w:tcPr>
          <w:p w14:paraId="309C8F2F">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NMP原料中间罐</w:t>
            </w:r>
          </w:p>
        </w:tc>
        <w:tc>
          <w:tcPr>
            <w:tcW w:w="1218" w:type="pct"/>
            <w:tcBorders>
              <w:tl2br w:val="nil"/>
              <w:tr2bl w:val="nil"/>
            </w:tcBorders>
            <w:shd w:val="clear" w:color="auto" w:fill="auto"/>
            <w:tcMar>
              <w:top w:w="15" w:type="dxa"/>
              <w:left w:w="15" w:type="dxa"/>
              <w:bottom w:w="0" w:type="dxa"/>
              <w:right w:w="15" w:type="dxa"/>
            </w:tcMar>
            <w:vAlign w:val="center"/>
          </w:tcPr>
          <w:p w14:paraId="23CE8132">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V=80m</w:t>
            </w:r>
            <w:r>
              <w:rPr>
                <w:rFonts w:hint="default" w:ascii="Times New Roman" w:hAnsi="Times New Roman" w:eastAsia="方正仿宋_GB2312" w:cs="Times New Roman"/>
                <w:color w:val="000000" w:themeColor="text1"/>
                <w:sz w:val="21"/>
                <w:szCs w:val="21"/>
                <w:vertAlign w:val="superscript"/>
                <w:lang w:val="en-US" w:eastAsia="zh-CN"/>
                <w14:textFill>
                  <w14:solidFill>
                    <w14:schemeClr w14:val="tx1"/>
                  </w14:solidFill>
                </w14:textFill>
              </w:rPr>
              <w:t>3</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Φ3600×8000</w:t>
            </w:r>
          </w:p>
        </w:tc>
        <w:tc>
          <w:tcPr>
            <w:tcW w:w="540" w:type="pct"/>
            <w:tcBorders>
              <w:tl2br w:val="nil"/>
              <w:tr2bl w:val="nil"/>
            </w:tcBorders>
            <w:shd w:val="clear" w:color="auto" w:fill="auto"/>
            <w:tcMar>
              <w:top w:w="15" w:type="dxa"/>
              <w:left w:w="15" w:type="dxa"/>
              <w:bottom w:w="0" w:type="dxa"/>
              <w:right w:w="15" w:type="dxa"/>
            </w:tcMar>
            <w:vAlign w:val="center"/>
          </w:tcPr>
          <w:p w14:paraId="543A547D">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S304</w:t>
            </w:r>
          </w:p>
        </w:tc>
        <w:tc>
          <w:tcPr>
            <w:tcW w:w="443" w:type="pct"/>
            <w:tcBorders>
              <w:tl2br w:val="nil"/>
              <w:tr2bl w:val="nil"/>
            </w:tcBorders>
            <w:shd w:val="clear" w:color="auto" w:fill="auto"/>
            <w:tcMar>
              <w:top w:w="15" w:type="dxa"/>
              <w:left w:w="15" w:type="dxa"/>
              <w:bottom w:w="0" w:type="dxa"/>
              <w:right w:w="15" w:type="dxa"/>
            </w:tcMar>
            <w:vAlign w:val="center"/>
          </w:tcPr>
          <w:p w14:paraId="2EBF8B41">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常温</w:t>
            </w:r>
          </w:p>
        </w:tc>
        <w:tc>
          <w:tcPr>
            <w:tcW w:w="451" w:type="pct"/>
            <w:tcBorders>
              <w:tl2br w:val="nil"/>
              <w:tr2bl w:val="nil"/>
            </w:tcBorders>
            <w:shd w:val="clear" w:color="auto" w:fill="auto"/>
            <w:tcMar>
              <w:top w:w="15" w:type="dxa"/>
              <w:left w:w="15" w:type="dxa"/>
              <w:bottom w:w="0" w:type="dxa"/>
              <w:right w:w="15" w:type="dxa"/>
            </w:tcMar>
            <w:vAlign w:val="center"/>
          </w:tcPr>
          <w:p w14:paraId="565A8E2D">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常压</w:t>
            </w:r>
          </w:p>
        </w:tc>
        <w:tc>
          <w:tcPr>
            <w:tcW w:w="342" w:type="pct"/>
            <w:tcBorders>
              <w:tl2br w:val="nil"/>
              <w:tr2bl w:val="nil"/>
            </w:tcBorders>
            <w:shd w:val="clear" w:color="auto" w:fill="auto"/>
            <w:tcMar>
              <w:top w:w="15" w:type="dxa"/>
              <w:left w:w="15" w:type="dxa"/>
              <w:bottom w:w="0" w:type="dxa"/>
              <w:right w:w="15" w:type="dxa"/>
            </w:tcMar>
            <w:vAlign w:val="center"/>
          </w:tcPr>
          <w:p w14:paraId="30254F86">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w:t>
            </w:r>
          </w:p>
        </w:tc>
        <w:tc>
          <w:tcPr>
            <w:tcW w:w="378" w:type="pct"/>
            <w:tcBorders>
              <w:tl2br w:val="nil"/>
              <w:tr2bl w:val="nil"/>
            </w:tcBorders>
            <w:shd w:val="clear" w:color="auto" w:fill="auto"/>
            <w:vAlign w:val="center"/>
          </w:tcPr>
          <w:p w14:paraId="66DCC213">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利旧</w:t>
            </w:r>
          </w:p>
        </w:tc>
      </w:tr>
      <w:tr w14:paraId="7945CE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87" w:hRule="atLeast"/>
          <w:jc w:val="center"/>
        </w:trPr>
        <w:tc>
          <w:tcPr>
            <w:tcW w:w="462" w:type="pct"/>
            <w:vMerge w:val="continue"/>
            <w:tcBorders>
              <w:tl2br w:val="nil"/>
              <w:tr2bl w:val="nil"/>
            </w:tcBorders>
            <w:tcMar>
              <w:top w:w="15" w:type="dxa"/>
              <w:left w:w="15" w:type="dxa"/>
              <w:bottom w:w="0" w:type="dxa"/>
              <w:right w:w="15" w:type="dxa"/>
            </w:tcMar>
            <w:vAlign w:val="center"/>
          </w:tcPr>
          <w:p w14:paraId="2AD27E82">
            <w:pPr>
              <w:widowControl/>
              <w:jc w:val="center"/>
              <w:rPr>
                <w:rFonts w:eastAsia="仿宋_GB2312"/>
                <w:b/>
                <w:color w:val="auto"/>
                <w:kern w:val="0"/>
                <w:szCs w:val="20"/>
              </w:rPr>
            </w:pPr>
          </w:p>
        </w:tc>
        <w:tc>
          <w:tcPr>
            <w:tcW w:w="346" w:type="pct"/>
            <w:tcBorders>
              <w:tl2br w:val="nil"/>
              <w:tr2bl w:val="nil"/>
            </w:tcBorders>
            <w:shd w:val="clear" w:color="auto" w:fill="auto"/>
            <w:tcMar>
              <w:top w:w="15" w:type="dxa"/>
              <w:left w:w="15" w:type="dxa"/>
              <w:bottom w:w="0" w:type="dxa"/>
              <w:right w:w="15" w:type="dxa"/>
            </w:tcMar>
            <w:vAlign w:val="center"/>
          </w:tcPr>
          <w:p w14:paraId="7765E684">
            <w:pPr>
              <w:bidi w:val="0"/>
              <w:jc w:val="center"/>
              <w:rPr>
                <w:rFonts w:hint="eastAsia"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13</w:t>
            </w:r>
          </w:p>
        </w:tc>
        <w:tc>
          <w:tcPr>
            <w:tcW w:w="816" w:type="pct"/>
            <w:tcBorders>
              <w:tl2br w:val="nil"/>
              <w:tr2bl w:val="nil"/>
            </w:tcBorders>
            <w:shd w:val="clear" w:color="auto" w:fill="auto"/>
            <w:tcMar>
              <w:top w:w="15" w:type="dxa"/>
              <w:left w:w="15" w:type="dxa"/>
              <w:bottom w:w="0" w:type="dxa"/>
              <w:right w:w="15" w:type="dxa"/>
            </w:tcMar>
            <w:vAlign w:val="center"/>
          </w:tcPr>
          <w:p w14:paraId="73F155D4">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异丙醇原料中间罐</w:t>
            </w:r>
          </w:p>
        </w:tc>
        <w:tc>
          <w:tcPr>
            <w:tcW w:w="1218" w:type="pct"/>
            <w:tcBorders>
              <w:tl2br w:val="nil"/>
              <w:tr2bl w:val="nil"/>
            </w:tcBorders>
            <w:shd w:val="clear" w:color="auto" w:fill="auto"/>
            <w:tcMar>
              <w:top w:w="15" w:type="dxa"/>
              <w:left w:w="15" w:type="dxa"/>
              <w:bottom w:w="0" w:type="dxa"/>
              <w:right w:w="15" w:type="dxa"/>
            </w:tcMar>
            <w:vAlign w:val="center"/>
          </w:tcPr>
          <w:p w14:paraId="0803657F">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V=80m</w:t>
            </w:r>
            <w:r>
              <w:rPr>
                <w:rFonts w:hint="default" w:ascii="Times New Roman" w:hAnsi="Times New Roman" w:eastAsia="方正仿宋_GB2312" w:cs="Times New Roman"/>
                <w:color w:val="000000" w:themeColor="text1"/>
                <w:sz w:val="21"/>
                <w:szCs w:val="21"/>
                <w:vertAlign w:val="superscript"/>
                <w:lang w:val="en-US" w:eastAsia="zh-CN"/>
                <w14:textFill>
                  <w14:solidFill>
                    <w14:schemeClr w14:val="tx1"/>
                  </w14:solidFill>
                </w14:textFill>
              </w:rPr>
              <w:t>3</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Φ3600×8000</w:t>
            </w:r>
          </w:p>
        </w:tc>
        <w:tc>
          <w:tcPr>
            <w:tcW w:w="540" w:type="pct"/>
            <w:tcBorders>
              <w:tl2br w:val="nil"/>
              <w:tr2bl w:val="nil"/>
            </w:tcBorders>
            <w:shd w:val="clear" w:color="auto" w:fill="auto"/>
            <w:tcMar>
              <w:top w:w="15" w:type="dxa"/>
              <w:left w:w="15" w:type="dxa"/>
              <w:bottom w:w="0" w:type="dxa"/>
              <w:right w:w="15" w:type="dxa"/>
            </w:tcMar>
            <w:vAlign w:val="center"/>
          </w:tcPr>
          <w:p w14:paraId="591F57BD">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S304</w:t>
            </w:r>
          </w:p>
        </w:tc>
        <w:tc>
          <w:tcPr>
            <w:tcW w:w="443" w:type="pct"/>
            <w:tcBorders>
              <w:tl2br w:val="nil"/>
              <w:tr2bl w:val="nil"/>
            </w:tcBorders>
            <w:shd w:val="clear" w:color="auto" w:fill="auto"/>
            <w:tcMar>
              <w:top w:w="15" w:type="dxa"/>
              <w:left w:w="15" w:type="dxa"/>
              <w:bottom w:w="0" w:type="dxa"/>
              <w:right w:w="15" w:type="dxa"/>
            </w:tcMar>
            <w:vAlign w:val="center"/>
          </w:tcPr>
          <w:p w14:paraId="629D7195">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常温</w:t>
            </w:r>
          </w:p>
        </w:tc>
        <w:tc>
          <w:tcPr>
            <w:tcW w:w="451" w:type="pct"/>
            <w:tcBorders>
              <w:tl2br w:val="nil"/>
              <w:tr2bl w:val="nil"/>
            </w:tcBorders>
            <w:shd w:val="clear" w:color="auto" w:fill="auto"/>
            <w:tcMar>
              <w:top w:w="15" w:type="dxa"/>
              <w:left w:w="15" w:type="dxa"/>
              <w:bottom w:w="0" w:type="dxa"/>
              <w:right w:w="15" w:type="dxa"/>
            </w:tcMar>
            <w:vAlign w:val="center"/>
          </w:tcPr>
          <w:p w14:paraId="5F1693BC">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常压</w:t>
            </w:r>
          </w:p>
        </w:tc>
        <w:tc>
          <w:tcPr>
            <w:tcW w:w="342" w:type="pct"/>
            <w:tcBorders>
              <w:tl2br w:val="nil"/>
              <w:tr2bl w:val="nil"/>
            </w:tcBorders>
            <w:shd w:val="clear" w:color="auto" w:fill="auto"/>
            <w:tcMar>
              <w:top w:w="15" w:type="dxa"/>
              <w:left w:w="15" w:type="dxa"/>
              <w:bottom w:w="0" w:type="dxa"/>
              <w:right w:w="15" w:type="dxa"/>
            </w:tcMar>
            <w:vAlign w:val="center"/>
          </w:tcPr>
          <w:p w14:paraId="7429441B">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w:t>
            </w:r>
          </w:p>
        </w:tc>
        <w:tc>
          <w:tcPr>
            <w:tcW w:w="378" w:type="pct"/>
            <w:tcBorders>
              <w:tl2br w:val="nil"/>
              <w:tr2bl w:val="nil"/>
            </w:tcBorders>
            <w:shd w:val="clear" w:color="auto" w:fill="auto"/>
            <w:vAlign w:val="center"/>
          </w:tcPr>
          <w:p w14:paraId="176DC349">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利旧</w:t>
            </w:r>
          </w:p>
        </w:tc>
      </w:tr>
      <w:tr w14:paraId="47C937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87" w:hRule="atLeast"/>
          <w:jc w:val="center"/>
        </w:trPr>
        <w:tc>
          <w:tcPr>
            <w:tcW w:w="462" w:type="pct"/>
            <w:vMerge w:val="continue"/>
            <w:tcBorders>
              <w:tl2br w:val="nil"/>
              <w:tr2bl w:val="nil"/>
            </w:tcBorders>
            <w:tcMar>
              <w:top w:w="15" w:type="dxa"/>
              <w:left w:w="15" w:type="dxa"/>
              <w:bottom w:w="0" w:type="dxa"/>
              <w:right w:w="15" w:type="dxa"/>
            </w:tcMar>
            <w:vAlign w:val="center"/>
          </w:tcPr>
          <w:p w14:paraId="41B180AD">
            <w:pPr>
              <w:widowControl/>
              <w:jc w:val="center"/>
              <w:rPr>
                <w:rFonts w:eastAsia="仿宋_GB2312"/>
                <w:b/>
                <w:color w:val="auto"/>
                <w:kern w:val="0"/>
                <w:szCs w:val="20"/>
              </w:rPr>
            </w:pPr>
          </w:p>
        </w:tc>
        <w:tc>
          <w:tcPr>
            <w:tcW w:w="346" w:type="pct"/>
            <w:tcBorders>
              <w:tl2br w:val="nil"/>
              <w:tr2bl w:val="nil"/>
            </w:tcBorders>
            <w:shd w:val="clear" w:color="auto" w:fill="auto"/>
            <w:tcMar>
              <w:top w:w="15" w:type="dxa"/>
              <w:left w:w="15" w:type="dxa"/>
              <w:bottom w:w="0" w:type="dxa"/>
              <w:right w:w="15" w:type="dxa"/>
            </w:tcMar>
            <w:vAlign w:val="center"/>
          </w:tcPr>
          <w:p w14:paraId="27A7C85E">
            <w:pPr>
              <w:bidi w:val="0"/>
              <w:jc w:val="center"/>
              <w:rPr>
                <w:rFonts w:hint="eastAsia"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14</w:t>
            </w:r>
          </w:p>
        </w:tc>
        <w:tc>
          <w:tcPr>
            <w:tcW w:w="816" w:type="pct"/>
            <w:tcBorders>
              <w:tl2br w:val="nil"/>
              <w:tr2bl w:val="nil"/>
            </w:tcBorders>
            <w:shd w:val="clear" w:color="auto" w:fill="auto"/>
            <w:tcMar>
              <w:top w:w="15" w:type="dxa"/>
              <w:left w:w="15" w:type="dxa"/>
              <w:bottom w:w="0" w:type="dxa"/>
              <w:right w:w="15" w:type="dxa"/>
            </w:tcMar>
            <w:vAlign w:val="center"/>
          </w:tcPr>
          <w:p w14:paraId="3B4F322F">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NMP成品中间罐</w:t>
            </w:r>
          </w:p>
        </w:tc>
        <w:tc>
          <w:tcPr>
            <w:tcW w:w="1218" w:type="pct"/>
            <w:tcBorders>
              <w:tl2br w:val="nil"/>
              <w:tr2bl w:val="nil"/>
            </w:tcBorders>
            <w:shd w:val="clear" w:color="auto" w:fill="auto"/>
            <w:tcMar>
              <w:top w:w="15" w:type="dxa"/>
              <w:left w:w="15" w:type="dxa"/>
              <w:bottom w:w="0" w:type="dxa"/>
              <w:right w:w="15" w:type="dxa"/>
            </w:tcMar>
            <w:vAlign w:val="center"/>
          </w:tcPr>
          <w:p w14:paraId="4A07CE99">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V=80m</w:t>
            </w:r>
            <w:r>
              <w:rPr>
                <w:rFonts w:hint="default" w:ascii="Times New Roman" w:hAnsi="Times New Roman" w:eastAsia="方正仿宋_GB2312" w:cs="Times New Roman"/>
                <w:color w:val="000000" w:themeColor="text1"/>
                <w:sz w:val="21"/>
                <w:szCs w:val="21"/>
                <w:vertAlign w:val="superscript"/>
                <w:lang w:val="en-US" w:eastAsia="zh-CN"/>
                <w14:textFill>
                  <w14:solidFill>
                    <w14:schemeClr w14:val="tx1"/>
                  </w14:solidFill>
                </w14:textFill>
              </w:rPr>
              <w:t>3</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Φ3600×8000</w:t>
            </w:r>
          </w:p>
        </w:tc>
        <w:tc>
          <w:tcPr>
            <w:tcW w:w="540" w:type="pct"/>
            <w:tcBorders>
              <w:tl2br w:val="nil"/>
              <w:tr2bl w:val="nil"/>
            </w:tcBorders>
            <w:shd w:val="clear" w:color="auto" w:fill="auto"/>
            <w:tcMar>
              <w:top w:w="15" w:type="dxa"/>
              <w:left w:w="15" w:type="dxa"/>
              <w:bottom w:w="0" w:type="dxa"/>
              <w:right w:w="15" w:type="dxa"/>
            </w:tcMar>
            <w:vAlign w:val="center"/>
          </w:tcPr>
          <w:p w14:paraId="3622364B">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S304</w:t>
            </w:r>
          </w:p>
        </w:tc>
        <w:tc>
          <w:tcPr>
            <w:tcW w:w="443" w:type="pct"/>
            <w:tcBorders>
              <w:tl2br w:val="nil"/>
              <w:tr2bl w:val="nil"/>
            </w:tcBorders>
            <w:shd w:val="clear" w:color="auto" w:fill="auto"/>
            <w:tcMar>
              <w:top w:w="15" w:type="dxa"/>
              <w:left w:w="15" w:type="dxa"/>
              <w:bottom w:w="0" w:type="dxa"/>
              <w:right w:w="15" w:type="dxa"/>
            </w:tcMar>
            <w:vAlign w:val="center"/>
          </w:tcPr>
          <w:p w14:paraId="09FFEF00">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常温</w:t>
            </w:r>
          </w:p>
        </w:tc>
        <w:tc>
          <w:tcPr>
            <w:tcW w:w="451" w:type="pct"/>
            <w:tcBorders>
              <w:tl2br w:val="nil"/>
              <w:tr2bl w:val="nil"/>
            </w:tcBorders>
            <w:shd w:val="clear" w:color="auto" w:fill="auto"/>
            <w:tcMar>
              <w:top w:w="15" w:type="dxa"/>
              <w:left w:w="15" w:type="dxa"/>
              <w:bottom w:w="0" w:type="dxa"/>
              <w:right w:w="15" w:type="dxa"/>
            </w:tcMar>
            <w:vAlign w:val="center"/>
          </w:tcPr>
          <w:p w14:paraId="7A1306A9">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常压</w:t>
            </w:r>
          </w:p>
        </w:tc>
        <w:tc>
          <w:tcPr>
            <w:tcW w:w="342" w:type="pct"/>
            <w:tcBorders>
              <w:tl2br w:val="nil"/>
              <w:tr2bl w:val="nil"/>
            </w:tcBorders>
            <w:shd w:val="clear" w:color="auto" w:fill="auto"/>
            <w:tcMar>
              <w:top w:w="15" w:type="dxa"/>
              <w:left w:w="15" w:type="dxa"/>
              <w:bottom w:w="0" w:type="dxa"/>
              <w:right w:w="15" w:type="dxa"/>
            </w:tcMar>
            <w:vAlign w:val="center"/>
          </w:tcPr>
          <w:p w14:paraId="2461DCBA">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w:t>
            </w:r>
          </w:p>
        </w:tc>
        <w:tc>
          <w:tcPr>
            <w:tcW w:w="378" w:type="pct"/>
            <w:tcBorders>
              <w:tl2br w:val="nil"/>
              <w:tr2bl w:val="nil"/>
            </w:tcBorders>
            <w:shd w:val="clear" w:color="auto" w:fill="auto"/>
            <w:vAlign w:val="center"/>
          </w:tcPr>
          <w:p w14:paraId="6C1664CE">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利旧</w:t>
            </w:r>
          </w:p>
        </w:tc>
      </w:tr>
      <w:tr w14:paraId="58D59A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87" w:hRule="atLeast"/>
          <w:jc w:val="center"/>
        </w:trPr>
        <w:tc>
          <w:tcPr>
            <w:tcW w:w="462" w:type="pct"/>
            <w:vMerge w:val="continue"/>
            <w:tcBorders>
              <w:tl2br w:val="nil"/>
              <w:tr2bl w:val="nil"/>
            </w:tcBorders>
            <w:tcMar>
              <w:top w:w="15" w:type="dxa"/>
              <w:left w:w="15" w:type="dxa"/>
              <w:bottom w:w="0" w:type="dxa"/>
              <w:right w:w="15" w:type="dxa"/>
            </w:tcMar>
            <w:vAlign w:val="center"/>
          </w:tcPr>
          <w:p w14:paraId="2E057AEC">
            <w:pPr>
              <w:widowControl/>
              <w:jc w:val="center"/>
              <w:rPr>
                <w:rFonts w:eastAsia="仿宋_GB2312"/>
                <w:b/>
                <w:color w:val="auto"/>
                <w:kern w:val="0"/>
                <w:szCs w:val="20"/>
              </w:rPr>
            </w:pPr>
          </w:p>
        </w:tc>
        <w:tc>
          <w:tcPr>
            <w:tcW w:w="346" w:type="pct"/>
            <w:tcBorders>
              <w:tl2br w:val="nil"/>
              <w:tr2bl w:val="nil"/>
            </w:tcBorders>
            <w:shd w:val="clear" w:color="auto" w:fill="auto"/>
            <w:tcMar>
              <w:top w:w="15" w:type="dxa"/>
              <w:left w:w="15" w:type="dxa"/>
              <w:bottom w:w="0" w:type="dxa"/>
              <w:right w:w="15" w:type="dxa"/>
            </w:tcMar>
            <w:vAlign w:val="center"/>
          </w:tcPr>
          <w:p w14:paraId="2BFF52A8">
            <w:pPr>
              <w:bidi w:val="0"/>
              <w:jc w:val="center"/>
              <w:rPr>
                <w:rFonts w:hint="eastAsia"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15</w:t>
            </w:r>
          </w:p>
        </w:tc>
        <w:tc>
          <w:tcPr>
            <w:tcW w:w="816" w:type="pct"/>
            <w:tcBorders>
              <w:tl2br w:val="nil"/>
              <w:tr2bl w:val="nil"/>
            </w:tcBorders>
            <w:shd w:val="clear" w:color="auto" w:fill="auto"/>
            <w:tcMar>
              <w:top w:w="15" w:type="dxa"/>
              <w:left w:w="15" w:type="dxa"/>
              <w:bottom w:w="0" w:type="dxa"/>
              <w:right w:w="15" w:type="dxa"/>
            </w:tcMar>
            <w:vAlign w:val="center"/>
          </w:tcPr>
          <w:p w14:paraId="164DF5F1">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异丙醇成品中间罐</w:t>
            </w:r>
          </w:p>
        </w:tc>
        <w:tc>
          <w:tcPr>
            <w:tcW w:w="1218" w:type="pct"/>
            <w:tcBorders>
              <w:tl2br w:val="nil"/>
              <w:tr2bl w:val="nil"/>
            </w:tcBorders>
            <w:shd w:val="clear" w:color="auto" w:fill="auto"/>
            <w:tcMar>
              <w:top w:w="15" w:type="dxa"/>
              <w:left w:w="15" w:type="dxa"/>
              <w:bottom w:w="0" w:type="dxa"/>
              <w:right w:w="15" w:type="dxa"/>
            </w:tcMar>
            <w:vAlign w:val="center"/>
          </w:tcPr>
          <w:p w14:paraId="37930A34">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V=80m</w:t>
            </w:r>
            <w:r>
              <w:rPr>
                <w:rFonts w:hint="default" w:ascii="Times New Roman" w:hAnsi="Times New Roman" w:eastAsia="方正仿宋_GB2312" w:cs="Times New Roman"/>
                <w:color w:val="000000" w:themeColor="text1"/>
                <w:sz w:val="21"/>
                <w:szCs w:val="21"/>
                <w:vertAlign w:val="superscript"/>
                <w:lang w:val="en-US" w:eastAsia="zh-CN"/>
                <w14:textFill>
                  <w14:solidFill>
                    <w14:schemeClr w14:val="tx1"/>
                  </w14:solidFill>
                </w14:textFill>
              </w:rPr>
              <w:t>3</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Φ3600×8000</w:t>
            </w:r>
          </w:p>
        </w:tc>
        <w:tc>
          <w:tcPr>
            <w:tcW w:w="540" w:type="pct"/>
            <w:tcBorders>
              <w:tl2br w:val="nil"/>
              <w:tr2bl w:val="nil"/>
            </w:tcBorders>
            <w:shd w:val="clear" w:color="auto" w:fill="auto"/>
            <w:tcMar>
              <w:top w:w="15" w:type="dxa"/>
              <w:left w:w="15" w:type="dxa"/>
              <w:bottom w:w="0" w:type="dxa"/>
              <w:right w:w="15" w:type="dxa"/>
            </w:tcMar>
            <w:vAlign w:val="center"/>
          </w:tcPr>
          <w:p w14:paraId="39B76D66">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S304</w:t>
            </w:r>
          </w:p>
        </w:tc>
        <w:tc>
          <w:tcPr>
            <w:tcW w:w="443" w:type="pct"/>
            <w:tcBorders>
              <w:tl2br w:val="nil"/>
              <w:tr2bl w:val="nil"/>
            </w:tcBorders>
            <w:shd w:val="clear" w:color="auto" w:fill="auto"/>
            <w:tcMar>
              <w:top w:w="15" w:type="dxa"/>
              <w:left w:w="15" w:type="dxa"/>
              <w:bottom w:w="0" w:type="dxa"/>
              <w:right w:w="15" w:type="dxa"/>
            </w:tcMar>
            <w:vAlign w:val="center"/>
          </w:tcPr>
          <w:p w14:paraId="4782D927">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常温</w:t>
            </w:r>
          </w:p>
        </w:tc>
        <w:tc>
          <w:tcPr>
            <w:tcW w:w="451" w:type="pct"/>
            <w:tcBorders>
              <w:tl2br w:val="nil"/>
              <w:tr2bl w:val="nil"/>
            </w:tcBorders>
            <w:shd w:val="clear" w:color="auto" w:fill="auto"/>
            <w:tcMar>
              <w:top w:w="15" w:type="dxa"/>
              <w:left w:w="15" w:type="dxa"/>
              <w:bottom w:w="0" w:type="dxa"/>
              <w:right w:w="15" w:type="dxa"/>
            </w:tcMar>
            <w:vAlign w:val="center"/>
          </w:tcPr>
          <w:p w14:paraId="65BA480B">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常压</w:t>
            </w:r>
          </w:p>
        </w:tc>
        <w:tc>
          <w:tcPr>
            <w:tcW w:w="342" w:type="pct"/>
            <w:tcBorders>
              <w:tl2br w:val="nil"/>
              <w:tr2bl w:val="nil"/>
            </w:tcBorders>
            <w:shd w:val="clear" w:color="auto" w:fill="auto"/>
            <w:tcMar>
              <w:top w:w="15" w:type="dxa"/>
              <w:left w:w="15" w:type="dxa"/>
              <w:bottom w:w="0" w:type="dxa"/>
              <w:right w:w="15" w:type="dxa"/>
            </w:tcMar>
            <w:vAlign w:val="center"/>
          </w:tcPr>
          <w:p w14:paraId="3A3C1125">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w:t>
            </w:r>
          </w:p>
        </w:tc>
        <w:tc>
          <w:tcPr>
            <w:tcW w:w="378" w:type="pct"/>
            <w:tcBorders>
              <w:tl2br w:val="nil"/>
              <w:tr2bl w:val="nil"/>
            </w:tcBorders>
            <w:shd w:val="clear" w:color="auto" w:fill="auto"/>
            <w:vAlign w:val="center"/>
          </w:tcPr>
          <w:p w14:paraId="2B3DBE37">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利旧</w:t>
            </w:r>
          </w:p>
        </w:tc>
      </w:tr>
      <w:tr w14:paraId="28676B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87" w:hRule="atLeast"/>
          <w:jc w:val="center"/>
        </w:trPr>
        <w:tc>
          <w:tcPr>
            <w:tcW w:w="462" w:type="pct"/>
            <w:vMerge w:val="continue"/>
            <w:tcBorders>
              <w:tl2br w:val="nil"/>
              <w:tr2bl w:val="nil"/>
            </w:tcBorders>
            <w:tcMar>
              <w:top w:w="15" w:type="dxa"/>
              <w:left w:w="15" w:type="dxa"/>
              <w:bottom w:w="0" w:type="dxa"/>
              <w:right w:w="15" w:type="dxa"/>
            </w:tcMar>
            <w:vAlign w:val="center"/>
          </w:tcPr>
          <w:p w14:paraId="5FA2DEBE">
            <w:pPr>
              <w:widowControl/>
              <w:jc w:val="center"/>
              <w:rPr>
                <w:rFonts w:eastAsia="仿宋_GB2312"/>
                <w:b/>
                <w:color w:val="auto"/>
                <w:kern w:val="0"/>
                <w:szCs w:val="20"/>
              </w:rPr>
            </w:pPr>
          </w:p>
        </w:tc>
        <w:tc>
          <w:tcPr>
            <w:tcW w:w="346" w:type="pct"/>
            <w:tcBorders>
              <w:tl2br w:val="nil"/>
              <w:tr2bl w:val="nil"/>
            </w:tcBorders>
            <w:shd w:val="clear" w:color="auto" w:fill="auto"/>
            <w:tcMar>
              <w:top w:w="15" w:type="dxa"/>
              <w:left w:w="15" w:type="dxa"/>
              <w:bottom w:w="0" w:type="dxa"/>
              <w:right w:w="15" w:type="dxa"/>
            </w:tcMar>
            <w:vAlign w:val="center"/>
          </w:tcPr>
          <w:p w14:paraId="45F64184">
            <w:pPr>
              <w:bidi w:val="0"/>
              <w:jc w:val="center"/>
              <w:rPr>
                <w:rFonts w:hint="eastAsia"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16</w:t>
            </w:r>
          </w:p>
        </w:tc>
        <w:tc>
          <w:tcPr>
            <w:tcW w:w="816" w:type="pct"/>
            <w:tcBorders>
              <w:tl2br w:val="nil"/>
              <w:tr2bl w:val="nil"/>
            </w:tcBorders>
            <w:shd w:val="clear" w:color="auto" w:fill="auto"/>
            <w:tcMar>
              <w:top w:w="15" w:type="dxa"/>
              <w:left w:w="15" w:type="dxa"/>
              <w:bottom w:w="0" w:type="dxa"/>
              <w:right w:w="15" w:type="dxa"/>
            </w:tcMar>
            <w:vAlign w:val="center"/>
          </w:tcPr>
          <w:p w14:paraId="783E9EE7">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1#塔进料泵</w:t>
            </w:r>
          </w:p>
        </w:tc>
        <w:tc>
          <w:tcPr>
            <w:tcW w:w="1218" w:type="pct"/>
            <w:tcBorders>
              <w:tl2br w:val="nil"/>
              <w:tr2bl w:val="nil"/>
            </w:tcBorders>
            <w:shd w:val="clear" w:color="auto" w:fill="auto"/>
            <w:tcMar>
              <w:top w:w="15" w:type="dxa"/>
              <w:left w:w="15" w:type="dxa"/>
              <w:bottom w:w="0" w:type="dxa"/>
              <w:right w:w="15" w:type="dxa"/>
            </w:tcMar>
            <w:vAlign w:val="center"/>
          </w:tcPr>
          <w:p w14:paraId="72C25271">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Q=10m</w:t>
            </w:r>
            <w:r>
              <w:rPr>
                <w:rFonts w:hint="default" w:ascii="Times New Roman" w:hAnsi="Times New Roman" w:eastAsia="方正仿宋_GB2312" w:cs="Times New Roman"/>
                <w:color w:val="000000" w:themeColor="text1"/>
                <w:sz w:val="21"/>
                <w:szCs w:val="21"/>
                <w:vertAlign w:val="superscript"/>
                <w:lang w:val="en-US" w:eastAsia="zh-CN"/>
                <w14:textFill>
                  <w14:solidFill>
                    <w14:schemeClr w14:val="tx1"/>
                  </w14:solidFill>
                </w14:textFill>
              </w:rPr>
              <w:t>3</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/h</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H=25m</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5kw</w:t>
            </w:r>
          </w:p>
        </w:tc>
        <w:tc>
          <w:tcPr>
            <w:tcW w:w="540" w:type="pct"/>
            <w:tcBorders>
              <w:tl2br w:val="nil"/>
              <w:tr2bl w:val="nil"/>
            </w:tcBorders>
            <w:shd w:val="clear" w:color="auto" w:fill="auto"/>
            <w:tcMar>
              <w:top w:w="15" w:type="dxa"/>
              <w:left w:w="15" w:type="dxa"/>
              <w:bottom w:w="0" w:type="dxa"/>
              <w:right w:w="15" w:type="dxa"/>
            </w:tcMar>
            <w:vAlign w:val="center"/>
          </w:tcPr>
          <w:p w14:paraId="43137CCC">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组合件</w:t>
            </w:r>
          </w:p>
        </w:tc>
        <w:tc>
          <w:tcPr>
            <w:tcW w:w="443" w:type="pct"/>
            <w:tcBorders>
              <w:tl2br w:val="nil"/>
              <w:tr2bl w:val="nil"/>
            </w:tcBorders>
            <w:shd w:val="clear" w:color="auto" w:fill="auto"/>
            <w:tcMar>
              <w:top w:w="15" w:type="dxa"/>
              <w:left w:w="15" w:type="dxa"/>
              <w:bottom w:w="0" w:type="dxa"/>
              <w:right w:w="15" w:type="dxa"/>
            </w:tcMar>
            <w:vAlign w:val="center"/>
          </w:tcPr>
          <w:p w14:paraId="58610FAC">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常温</w:t>
            </w:r>
          </w:p>
        </w:tc>
        <w:tc>
          <w:tcPr>
            <w:tcW w:w="451" w:type="pct"/>
            <w:tcBorders>
              <w:tl2br w:val="nil"/>
              <w:tr2bl w:val="nil"/>
            </w:tcBorders>
            <w:shd w:val="clear" w:color="auto" w:fill="auto"/>
            <w:tcMar>
              <w:top w:w="15" w:type="dxa"/>
              <w:left w:w="15" w:type="dxa"/>
              <w:bottom w:w="0" w:type="dxa"/>
              <w:right w:w="15" w:type="dxa"/>
            </w:tcMar>
            <w:vAlign w:val="center"/>
          </w:tcPr>
          <w:p w14:paraId="281DC118">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0.25</w:t>
            </w:r>
          </w:p>
        </w:tc>
        <w:tc>
          <w:tcPr>
            <w:tcW w:w="342" w:type="pct"/>
            <w:tcBorders>
              <w:tl2br w:val="nil"/>
              <w:tr2bl w:val="nil"/>
            </w:tcBorders>
            <w:shd w:val="clear" w:color="auto" w:fill="auto"/>
            <w:tcMar>
              <w:top w:w="15" w:type="dxa"/>
              <w:left w:w="15" w:type="dxa"/>
              <w:bottom w:w="0" w:type="dxa"/>
              <w:right w:w="15" w:type="dxa"/>
            </w:tcMar>
            <w:vAlign w:val="center"/>
          </w:tcPr>
          <w:p w14:paraId="2D926B97">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2</w:t>
            </w:r>
          </w:p>
        </w:tc>
        <w:tc>
          <w:tcPr>
            <w:tcW w:w="378" w:type="pct"/>
            <w:tcBorders>
              <w:tl2br w:val="nil"/>
              <w:tr2bl w:val="nil"/>
            </w:tcBorders>
            <w:shd w:val="clear" w:color="auto" w:fill="auto"/>
            <w:vAlign w:val="center"/>
          </w:tcPr>
          <w:p w14:paraId="6EEDF885">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利旧</w:t>
            </w:r>
          </w:p>
        </w:tc>
      </w:tr>
      <w:tr w14:paraId="31E484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87" w:hRule="atLeast"/>
          <w:jc w:val="center"/>
        </w:trPr>
        <w:tc>
          <w:tcPr>
            <w:tcW w:w="462" w:type="pct"/>
            <w:vMerge w:val="continue"/>
            <w:tcBorders>
              <w:tl2br w:val="nil"/>
              <w:tr2bl w:val="nil"/>
            </w:tcBorders>
            <w:tcMar>
              <w:top w:w="15" w:type="dxa"/>
              <w:left w:w="15" w:type="dxa"/>
              <w:bottom w:w="0" w:type="dxa"/>
              <w:right w:w="15" w:type="dxa"/>
            </w:tcMar>
            <w:vAlign w:val="center"/>
          </w:tcPr>
          <w:p w14:paraId="382BE729">
            <w:pPr>
              <w:widowControl/>
              <w:jc w:val="center"/>
              <w:rPr>
                <w:rFonts w:eastAsia="仿宋_GB2312"/>
                <w:b/>
                <w:color w:val="auto"/>
                <w:kern w:val="0"/>
                <w:szCs w:val="20"/>
              </w:rPr>
            </w:pPr>
          </w:p>
        </w:tc>
        <w:tc>
          <w:tcPr>
            <w:tcW w:w="346" w:type="pct"/>
            <w:tcBorders>
              <w:tl2br w:val="nil"/>
              <w:tr2bl w:val="nil"/>
            </w:tcBorders>
            <w:shd w:val="clear" w:color="auto" w:fill="auto"/>
            <w:tcMar>
              <w:top w:w="15" w:type="dxa"/>
              <w:left w:w="15" w:type="dxa"/>
              <w:bottom w:w="0" w:type="dxa"/>
              <w:right w:w="15" w:type="dxa"/>
            </w:tcMar>
            <w:vAlign w:val="center"/>
          </w:tcPr>
          <w:p w14:paraId="4F1EE041">
            <w:pPr>
              <w:bidi w:val="0"/>
              <w:jc w:val="center"/>
              <w:rPr>
                <w:rFonts w:hint="eastAsia"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17</w:t>
            </w:r>
          </w:p>
        </w:tc>
        <w:tc>
          <w:tcPr>
            <w:tcW w:w="816" w:type="pct"/>
            <w:tcBorders>
              <w:tl2br w:val="nil"/>
              <w:tr2bl w:val="nil"/>
            </w:tcBorders>
            <w:shd w:val="clear" w:color="auto" w:fill="auto"/>
            <w:tcMar>
              <w:top w:w="15" w:type="dxa"/>
              <w:left w:w="15" w:type="dxa"/>
              <w:bottom w:w="0" w:type="dxa"/>
              <w:right w:w="15" w:type="dxa"/>
            </w:tcMar>
            <w:vAlign w:val="center"/>
          </w:tcPr>
          <w:p w14:paraId="252EEDE0">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5#塔进料泵</w:t>
            </w:r>
          </w:p>
        </w:tc>
        <w:tc>
          <w:tcPr>
            <w:tcW w:w="1218" w:type="pct"/>
            <w:tcBorders>
              <w:tl2br w:val="nil"/>
              <w:tr2bl w:val="nil"/>
            </w:tcBorders>
            <w:shd w:val="clear" w:color="auto" w:fill="auto"/>
            <w:tcMar>
              <w:top w:w="15" w:type="dxa"/>
              <w:left w:w="15" w:type="dxa"/>
              <w:bottom w:w="0" w:type="dxa"/>
              <w:right w:w="15" w:type="dxa"/>
            </w:tcMar>
            <w:vAlign w:val="center"/>
          </w:tcPr>
          <w:p w14:paraId="23E5386E">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Q=10m</w:t>
            </w:r>
            <w:r>
              <w:rPr>
                <w:rFonts w:hint="default" w:ascii="Times New Roman" w:hAnsi="Times New Roman" w:eastAsia="方正仿宋_GB2312" w:cs="Times New Roman"/>
                <w:color w:val="000000" w:themeColor="text1"/>
                <w:sz w:val="21"/>
                <w:szCs w:val="21"/>
                <w:vertAlign w:val="superscript"/>
                <w:lang w:val="en-US" w:eastAsia="zh-CN"/>
                <w14:textFill>
                  <w14:solidFill>
                    <w14:schemeClr w14:val="tx1"/>
                  </w14:solidFill>
                </w14:textFill>
              </w:rPr>
              <w:t>3</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/h</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H=25m</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5kw</w:t>
            </w:r>
          </w:p>
        </w:tc>
        <w:tc>
          <w:tcPr>
            <w:tcW w:w="540" w:type="pct"/>
            <w:tcBorders>
              <w:tl2br w:val="nil"/>
              <w:tr2bl w:val="nil"/>
            </w:tcBorders>
            <w:shd w:val="clear" w:color="auto" w:fill="auto"/>
            <w:tcMar>
              <w:top w:w="15" w:type="dxa"/>
              <w:left w:w="15" w:type="dxa"/>
              <w:bottom w:w="0" w:type="dxa"/>
              <w:right w:w="15" w:type="dxa"/>
            </w:tcMar>
            <w:vAlign w:val="center"/>
          </w:tcPr>
          <w:p w14:paraId="510C3360">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组合件</w:t>
            </w:r>
          </w:p>
        </w:tc>
        <w:tc>
          <w:tcPr>
            <w:tcW w:w="443" w:type="pct"/>
            <w:tcBorders>
              <w:tl2br w:val="nil"/>
              <w:tr2bl w:val="nil"/>
            </w:tcBorders>
            <w:shd w:val="clear" w:color="auto" w:fill="auto"/>
            <w:tcMar>
              <w:top w:w="15" w:type="dxa"/>
              <w:left w:w="15" w:type="dxa"/>
              <w:bottom w:w="0" w:type="dxa"/>
              <w:right w:w="15" w:type="dxa"/>
            </w:tcMar>
            <w:vAlign w:val="center"/>
          </w:tcPr>
          <w:p w14:paraId="0190D96D">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常温</w:t>
            </w:r>
          </w:p>
        </w:tc>
        <w:tc>
          <w:tcPr>
            <w:tcW w:w="451" w:type="pct"/>
            <w:tcBorders>
              <w:tl2br w:val="nil"/>
              <w:tr2bl w:val="nil"/>
            </w:tcBorders>
            <w:shd w:val="clear" w:color="auto" w:fill="auto"/>
            <w:tcMar>
              <w:top w:w="15" w:type="dxa"/>
              <w:left w:w="15" w:type="dxa"/>
              <w:bottom w:w="0" w:type="dxa"/>
              <w:right w:w="15" w:type="dxa"/>
            </w:tcMar>
            <w:vAlign w:val="center"/>
          </w:tcPr>
          <w:p w14:paraId="0077C8C9">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0.25</w:t>
            </w:r>
          </w:p>
        </w:tc>
        <w:tc>
          <w:tcPr>
            <w:tcW w:w="342" w:type="pct"/>
            <w:tcBorders>
              <w:tl2br w:val="nil"/>
              <w:tr2bl w:val="nil"/>
            </w:tcBorders>
            <w:shd w:val="clear" w:color="auto" w:fill="auto"/>
            <w:tcMar>
              <w:top w:w="15" w:type="dxa"/>
              <w:left w:w="15" w:type="dxa"/>
              <w:bottom w:w="0" w:type="dxa"/>
              <w:right w:w="15" w:type="dxa"/>
            </w:tcMar>
            <w:vAlign w:val="center"/>
          </w:tcPr>
          <w:p w14:paraId="4A57FA5F">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2</w:t>
            </w:r>
          </w:p>
        </w:tc>
        <w:tc>
          <w:tcPr>
            <w:tcW w:w="378" w:type="pct"/>
            <w:tcBorders>
              <w:tl2br w:val="nil"/>
              <w:tr2bl w:val="nil"/>
            </w:tcBorders>
            <w:shd w:val="clear" w:color="auto" w:fill="auto"/>
            <w:vAlign w:val="center"/>
          </w:tcPr>
          <w:p w14:paraId="58182557">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利旧</w:t>
            </w:r>
          </w:p>
        </w:tc>
      </w:tr>
      <w:tr w14:paraId="2F2DD3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87" w:hRule="atLeast"/>
          <w:jc w:val="center"/>
        </w:trPr>
        <w:tc>
          <w:tcPr>
            <w:tcW w:w="462" w:type="pct"/>
            <w:vMerge w:val="continue"/>
            <w:tcBorders>
              <w:tl2br w:val="nil"/>
              <w:tr2bl w:val="nil"/>
            </w:tcBorders>
            <w:tcMar>
              <w:top w:w="15" w:type="dxa"/>
              <w:left w:w="15" w:type="dxa"/>
              <w:bottom w:w="0" w:type="dxa"/>
              <w:right w:w="15" w:type="dxa"/>
            </w:tcMar>
            <w:vAlign w:val="center"/>
          </w:tcPr>
          <w:p w14:paraId="373BF9D2">
            <w:pPr>
              <w:widowControl/>
              <w:jc w:val="center"/>
              <w:rPr>
                <w:rFonts w:eastAsia="仿宋_GB2312"/>
                <w:b/>
                <w:color w:val="auto"/>
                <w:kern w:val="0"/>
                <w:szCs w:val="20"/>
              </w:rPr>
            </w:pPr>
          </w:p>
        </w:tc>
        <w:tc>
          <w:tcPr>
            <w:tcW w:w="346" w:type="pct"/>
            <w:tcBorders>
              <w:tl2br w:val="nil"/>
              <w:tr2bl w:val="nil"/>
            </w:tcBorders>
            <w:shd w:val="clear" w:color="auto" w:fill="auto"/>
            <w:tcMar>
              <w:top w:w="15" w:type="dxa"/>
              <w:left w:w="15" w:type="dxa"/>
              <w:bottom w:w="0" w:type="dxa"/>
              <w:right w:w="15" w:type="dxa"/>
            </w:tcMar>
            <w:vAlign w:val="center"/>
          </w:tcPr>
          <w:p w14:paraId="1820AF0E">
            <w:pPr>
              <w:bidi w:val="0"/>
              <w:jc w:val="center"/>
              <w:rPr>
                <w:rFonts w:hint="eastAsia"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18</w:t>
            </w:r>
          </w:p>
        </w:tc>
        <w:tc>
          <w:tcPr>
            <w:tcW w:w="816" w:type="pct"/>
            <w:tcBorders>
              <w:tl2br w:val="nil"/>
              <w:tr2bl w:val="nil"/>
            </w:tcBorders>
            <w:shd w:val="clear" w:color="auto" w:fill="auto"/>
            <w:tcMar>
              <w:top w:w="15" w:type="dxa"/>
              <w:left w:w="15" w:type="dxa"/>
              <w:bottom w:w="0" w:type="dxa"/>
              <w:right w:w="15" w:type="dxa"/>
            </w:tcMar>
            <w:vAlign w:val="center"/>
          </w:tcPr>
          <w:p w14:paraId="754F024C">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1#塔回流泵</w:t>
            </w:r>
          </w:p>
        </w:tc>
        <w:tc>
          <w:tcPr>
            <w:tcW w:w="1218" w:type="pct"/>
            <w:tcBorders>
              <w:tl2br w:val="nil"/>
              <w:tr2bl w:val="nil"/>
            </w:tcBorders>
            <w:shd w:val="clear" w:color="auto" w:fill="auto"/>
            <w:tcMar>
              <w:top w:w="15" w:type="dxa"/>
              <w:left w:w="15" w:type="dxa"/>
              <w:bottom w:w="0" w:type="dxa"/>
              <w:right w:w="15" w:type="dxa"/>
            </w:tcMar>
            <w:vAlign w:val="center"/>
          </w:tcPr>
          <w:p w14:paraId="7532BEEE">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Q=10m</w:t>
            </w:r>
            <w:r>
              <w:rPr>
                <w:rFonts w:hint="default" w:ascii="Times New Roman" w:hAnsi="Times New Roman" w:eastAsia="方正仿宋_GB2312" w:cs="Times New Roman"/>
                <w:color w:val="000000" w:themeColor="text1"/>
                <w:sz w:val="21"/>
                <w:szCs w:val="21"/>
                <w:vertAlign w:val="superscript"/>
                <w:lang w:val="en-US" w:eastAsia="zh-CN"/>
                <w14:textFill>
                  <w14:solidFill>
                    <w14:schemeClr w14:val="tx1"/>
                  </w14:solidFill>
                </w14:textFill>
              </w:rPr>
              <w:t>3</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/h</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H=32m</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5kw</w:t>
            </w:r>
          </w:p>
        </w:tc>
        <w:tc>
          <w:tcPr>
            <w:tcW w:w="540" w:type="pct"/>
            <w:tcBorders>
              <w:tl2br w:val="nil"/>
              <w:tr2bl w:val="nil"/>
            </w:tcBorders>
            <w:shd w:val="clear" w:color="auto" w:fill="auto"/>
            <w:tcMar>
              <w:top w:w="15" w:type="dxa"/>
              <w:left w:w="15" w:type="dxa"/>
              <w:bottom w:w="0" w:type="dxa"/>
              <w:right w:w="15" w:type="dxa"/>
            </w:tcMar>
            <w:vAlign w:val="center"/>
          </w:tcPr>
          <w:p w14:paraId="5F261A26">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组合件</w:t>
            </w:r>
          </w:p>
        </w:tc>
        <w:tc>
          <w:tcPr>
            <w:tcW w:w="443" w:type="pct"/>
            <w:tcBorders>
              <w:tl2br w:val="nil"/>
              <w:tr2bl w:val="nil"/>
            </w:tcBorders>
            <w:shd w:val="clear" w:color="auto" w:fill="auto"/>
            <w:tcMar>
              <w:top w:w="15" w:type="dxa"/>
              <w:left w:w="15" w:type="dxa"/>
              <w:bottom w:w="0" w:type="dxa"/>
              <w:right w:w="15" w:type="dxa"/>
            </w:tcMar>
            <w:vAlign w:val="center"/>
          </w:tcPr>
          <w:p w14:paraId="66D45A4C">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40</w:t>
            </w:r>
          </w:p>
        </w:tc>
        <w:tc>
          <w:tcPr>
            <w:tcW w:w="451" w:type="pct"/>
            <w:tcBorders>
              <w:tl2br w:val="nil"/>
              <w:tr2bl w:val="nil"/>
            </w:tcBorders>
            <w:shd w:val="clear" w:color="auto" w:fill="auto"/>
            <w:tcMar>
              <w:top w:w="15" w:type="dxa"/>
              <w:left w:w="15" w:type="dxa"/>
              <w:bottom w:w="0" w:type="dxa"/>
              <w:right w:w="15" w:type="dxa"/>
            </w:tcMar>
            <w:vAlign w:val="center"/>
          </w:tcPr>
          <w:p w14:paraId="198D39B4">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0.32</w:t>
            </w:r>
          </w:p>
        </w:tc>
        <w:tc>
          <w:tcPr>
            <w:tcW w:w="342" w:type="pct"/>
            <w:tcBorders>
              <w:tl2br w:val="nil"/>
              <w:tr2bl w:val="nil"/>
            </w:tcBorders>
            <w:shd w:val="clear" w:color="auto" w:fill="auto"/>
            <w:tcMar>
              <w:top w:w="15" w:type="dxa"/>
              <w:left w:w="15" w:type="dxa"/>
              <w:bottom w:w="0" w:type="dxa"/>
              <w:right w:w="15" w:type="dxa"/>
            </w:tcMar>
            <w:vAlign w:val="center"/>
          </w:tcPr>
          <w:p w14:paraId="43F7C8A4">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2</w:t>
            </w:r>
          </w:p>
        </w:tc>
        <w:tc>
          <w:tcPr>
            <w:tcW w:w="378" w:type="pct"/>
            <w:tcBorders>
              <w:tl2br w:val="nil"/>
              <w:tr2bl w:val="nil"/>
            </w:tcBorders>
            <w:shd w:val="clear" w:color="auto" w:fill="auto"/>
            <w:vAlign w:val="center"/>
          </w:tcPr>
          <w:p w14:paraId="5936CB5F">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利旧</w:t>
            </w:r>
          </w:p>
        </w:tc>
      </w:tr>
      <w:tr w14:paraId="070565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87" w:hRule="atLeast"/>
          <w:jc w:val="center"/>
        </w:trPr>
        <w:tc>
          <w:tcPr>
            <w:tcW w:w="462" w:type="pct"/>
            <w:vMerge w:val="continue"/>
            <w:tcBorders>
              <w:tl2br w:val="nil"/>
              <w:tr2bl w:val="nil"/>
            </w:tcBorders>
            <w:tcMar>
              <w:top w:w="15" w:type="dxa"/>
              <w:left w:w="15" w:type="dxa"/>
              <w:bottom w:w="0" w:type="dxa"/>
              <w:right w:w="15" w:type="dxa"/>
            </w:tcMar>
            <w:vAlign w:val="center"/>
          </w:tcPr>
          <w:p w14:paraId="5A2CB87C">
            <w:pPr>
              <w:widowControl/>
              <w:jc w:val="center"/>
              <w:rPr>
                <w:rFonts w:eastAsia="仿宋_GB2312"/>
                <w:b/>
                <w:color w:val="auto"/>
                <w:kern w:val="0"/>
                <w:szCs w:val="20"/>
              </w:rPr>
            </w:pPr>
          </w:p>
        </w:tc>
        <w:tc>
          <w:tcPr>
            <w:tcW w:w="346" w:type="pct"/>
            <w:tcBorders>
              <w:tl2br w:val="nil"/>
              <w:tr2bl w:val="nil"/>
            </w:tcBorders>
            <w:shd w:val="clear" w:color="auto" w:fill="auto"/>
            <w:tcMar>
              <w:top w:w="15" w:type="dxa"/>
              <w:left w:w="15" w:type="dxa"/>
              <w:bottom w:w="0" w:type="dxa"/>
              <w:right w:w="15" w:type="dxa"/>
            </w:tcMar>
            <w:vAlign w:val="center"/>
          </w:tcPr>
          <w:p w14:paraId="5D28706A">
            <w:pPr>
              <w:bidi w:val="0"/>
              <w:jc w:val="center"/>
              <w:rPr>
                <w:rFonts w:hint="eastAsia"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19</w:t>
            </w:r>
          </w:p>
        </w:tc>
        <w:tc>
          <w:tcPr>
            <w:tcW w:w="816" w:type="pct"/>
            <w:tcBorders>
              <w:tl2br w:val="nil"/>
              <w:tr2bl w:val="nil"/>
            </w:tcBorders>
            <w:shd w:val="clear" w:color="auto" w:fill="auto"/>
            <w:tcMar>
              <w:top w:w="15" w:type="dxa"/>
              <w:left w:w="15" w:type="dxa"/>
              <w:bottom w:w="0" w:type="dxa"/>
              <w:right w:w="15" w:type="dxa"/>
            </w:tcMar>
            <w:vAlign w:val="center"/>
          </w:tcPr>
          <w:p w14:paraId="1FD75DA8">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5#塔回流泵</w:t>
            </w:r>
          </w:p>
        </w:tc>
        <w:tc>
          <w:tcPr>
            <w:tcW w:w="1218" w:type="pct"/>
            <w:tcBorders>
              <w:tl2br w:val="nil"/>
              <w:tr2bl w:val="nil"/>
            </w:tcBorders>
            <w:shd w:val="clear" w:color="auto" w:fill="auto"/>
            <w:tcMar>
              <w:top w:w="15" w:type="dxa"/>
              <w:left w:w="15" w:type="dxa"/>
              <w:bottom w:w="0" w:type="dxa"/>
              <w:right w:w="15" w:type="dxa"/>
            </w:tcMar>
            <w:vAlign w:val="center"/>
          </w:tcPr>
          <w:p w14:paraId="3DB31D9E">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Q=10m</w:t>
            </w:r>
            <w:r>
              <w:rPr>
                <w:rFonts w:hint="default" w:ascii="Times New Roman" w:hAnsi="Times New Roman" w:eastAsia="方正仿宋_GB2312" w:cs="Times New Roman"/>
                <w:color w:val="000000" w:themeColor="text1"/>
                <w:sz w:val="21"/>
                <w:szCs w:val="21"/>
                <w:vertAlign w:val="superscript"/>
                <w:lang w:val="en-US" w:eastAsia="zh-CN"/>
                <w14:textFill>
                  <w14:solidFill>
                    <w14:schemeClr w14:val="tx1"/>
                  </w14:solidFill>
                </w14:textFill>
              </w:rPr>
              <w:t>3</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/h</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H=32m</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5kw</w:t>
            </w:r>
          </w:p>
        </w:tc>
        <w:tc>
          <w:tcPr>
            <w:tcW w:w="540" w:type="pct"/>
            <w:tcBorders>
              <w:tl2br w:val="nil"/>
              <w:tr2bl w:val="nil"/>
            </w:tcBorders>
            <w:shd w:val="clear" w:color="auto" w:fill="auto"/>
            <w:tcMar>
              <w:top w:w="15" w:type="dxa"/>
              <w:left w:w="15" w:type="dxa"/>
              <w:bottom w:w="0" w:type="dxa"/>
              <w:right w:w="15" w:type="dxa"/>
            </w:tcMar>
            <w:vAlign w:val="center"/>
          </w:tcPr>
          <w:p w14:paraId="668A90E5">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组合件</w:t>
            </w:r>
          </w:p>
        </w:tc>
        <w:tc>
          <w:tcPr>
            <w:tcW w:w="443" w:type="pct"/>
            <w:tcBorders>
              <w:tl2br w:val="nil"/>
              <w:tr2bl w:val="nil"/>
            </w:tcBorders>
            <w:shd w:val="clear" w:color="auto" w:fill="auto"/>
            <w:tcMar>
              <w:top w:w="15" w:type="dxa"/>
              <w:left w:w="15" w:type="dxa"/>
              <w:bottom w:w="0" w:type="dxa"/>
              <w:right w:w="15" w:type="dxa"/>
            </w:tcMar>
            <w:vAlign w:val="center"/>
          </w:tcPr>
          <w:p w14:paraId="274FE48A">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40</w:t>
            </w:r>
          </w:p>
        </w:tc>
        <w:tc>
          <w:tcPr>
            <w:tcW w:w="451" w:type="pct"/>
            <w:tcBorders>
              <w:tl2br w:val="nil"/>
              <w:tr2bl w:val="nil"/>
            </w:tcBorders>
            <w:shd w:val="clear" w:color="auto" w:fill="auto"/>
            <w:tcMar>
              <w:top w:w="15" w:type="dxa"/>
              <w:left w:w="15" w:type="dxa"/>
              <w:bottom w:w="0" w:type="dxa"/>
              <w:right w:w="15" w:type="dxa"/>
            </w:tcMar>
            <w:vAlign w:val="center"/>
          </w:tcPr>
          <w:p w14:paraId="07A56724">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0.32</w:t>
            </w:r>
          </w:p>
        </w:tc>
        <w:tc>
          <w:tcPr>
            <w:tcW w:w="342" w:type="pct"/>
            <w:tcBorders>
              <w:tl2br w:val="nil"/>
              <w:tr2bl w:val="nil"/>
            </w:tcBorders>
            <w:shd w:val="clear" w:color="auto" w:fill="auto"/>
            <w:tcMar>
              <w:top w:w="15" w:type="dxa"/>
              <w:left w:w="15" w:type="dxa"/>
              <w:bottom w:w="0" w:type="dxa"/>
              <w:right w:w="15" w:type="dxa"/>
            </w:tcMar>
            <w:vAlign w:val="center"/>
          </w:tcPr>
          <w:p w14:paraId="453BA6CB">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2</w:t>
            </w:r>
          </w:p>
        </w:tc>
        <w:tc>
          <w:tcPr>
            <w:tcW w:w="378" w:type="pct"/>
            <w:tcBorders>
              <w:tl2br w:val="nil"/>
              <w:tr2bl w:val="nil"/>
            </w:tcBorders>
            <w:shd w:val="clear" w:color="auto" w:fill="auto"/>
            <w:vAlign w:val="center"/>
          </w:tcPr>
          <w:p w14:paraId="78598D85">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利旧</w:t>
            </w:r>
          </w:p>
        </w:tc>
      </w:tr>
      <w:tr w14:paraId="7F0D36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87" w:hRule="atLeast"/>
          <w:jc w:val="center"/>
        </w:trPr>
        <w:tc>
          <w:tcPr>
            <w:tcW w:w="462" w:type="pct"/>
            <w:vMerge w:val="continue"/>
            <w:tcBorders>
              <w:tl2br w:val="nil"/>
              <w:tr2bl w:val="nil"/>
            </w:tcBorders>
            <w:tcMar>
              <w:top w:w="15" w:type="dxa"/>
              <w:left w:w="15" w:type="dxa"/>
              <w:bottom w:w="0" w:type="dxa"/>
              <w:right w:w="15" w:type="dxa"/>
            </w:tcMar>
            <w:vAlign w:val="center"/>
          </w:tcPr>
          <w:p w14:paraId="77E68618">
            <w:pPr>
              <w:widowControl/>
              <w:jc w:val="center"/>
              <w:rPr>
                <w:rFonts w:eastAsia="仿宋_GB2312"/>
                <w:b/>
                <w:color w:val="auto"/>
                <w:kern w:val="0"/>
                <w:szCs w:val="20"/>
              </w:rPr>
            </w:pPr>
          </w:p>
        </w:tc>
        <w:tc>
          <w:tcPr>
            <w:tcW w:w="346" w:type="pct"/>
            <w:tcBorders>
              <w:tl2br w:val="nil"/>
              <w:tr2bl w:val="nil"/>
            </w:tcBorders>
            <w:shd w:val="clear" w:color="auto" w:fill="auto"/>
            <w:tcMar>
              <w:top w:w="15" w:type="dxa"/>
              <w:left w:w="15" w:type="dxa"/>
              <w:bottom w:w="0" w:type="dxa"/>
              <w:right w:w="15" w:type="dxa"/>
            </w:tcMar>
            <w:vAlign w:val="center"/>
          </w:tcPr>
          <w:p w14:paraId="1E5B4EF5">
            <w:pPr>
              <w:bidi w:val="0"/>
              <w:jc w:val="center"/>
              <w:rPr>
                <w:rFonts w:hint="eastAsia"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20</w:t>
            </w:r>
          </w:p>
        </w:tc>
        <w:tc>
          <w:tcPr>
            <w:tcW w:w="816" w:type="pct"/>
            <w:tcBorders>
              <w:tl2br w:val="nil"/>
              <w:tr2bl w:val="nil"/>
            </w:tcBorders>
            <w:shd w:val="clear" w:color="auto" w:fill="auto"/>
            <w:tcMar>
              <w:top w:w="15" w:type="dxa"/>
              <w:left w:w="15" w:type="dxa"/>
              <w:bottom w:w="0" w:type="dxa"/>
              <w:right w:w="15" w:type="dxa"/>
            </w:tcMar>
            <w:vAlign w:val="center"/>
          </w:tcPr>
          <w:p w14:paraId="62B6AE14">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1#塔釜输送泵</w:t>
            </w:r>
          </w:p>
        </w:tc>
        <w:tc>
          <w:tcPr>
            <w:tcW w:w="1218" w:type="pct"/>
            <w:tcBorders>
              <w:tl2br w:val="nil"/>
              <w:tr2bl w:val="nil"/>
            </w:tcBorders>
            <w:shd w:val="clear" w:color="auto" w:fill="auto"/>
            <w:tcMar>
              <w:top w:w="15" w:type="dxa"/>
              <w:left w:w="15" w:type="dxa"/>
              <w:bottom w:w="0" w:type="dxa"/>
              <w:right w:w="15" w:type="dxa"/>
            </w:tcMar>
            <w:vAlign w:val="center"/>
          </w:tcPr>
          <w:p w14:paraId="7E5EEAA6">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Q=8m</w:t>
            </w:r>
            <w:r>
              <w:rPr>
                <w:rFonts w:hint="default" w:ascii="Times New Roman" w:hAnsi="Times New Roman" w:eastAsia="方正仿宋_GB2312" w:cs="Times New Roman"/>
                <w:color w:val="000000" w:themeColor="text1"/>
                <w:sz w:val="21"/>
                <w:szCs w:val="21"/>
                <w:vertAlign w:val="superscript"/>
                <w:lang w:val="en-US" w:eastAsia="zh-CN"/>
                <w14:textFill>
                  <w14:solidFill>
                    <w14:schemeClr w14:val="tx1"/>
                  </w14:solidFill>
                </w14:textFill>
              </w:rPr>
              <w:t>3</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/h</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H=25m</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5kw</w:t>
            </w:r>
          </w:p>
        </w:tc>
        <w:tc>
          <w:tcPr>
            <w:tcW w:w="540" w:type="pct"/>
            <w:tcBorders>
              <w:tl2br w:val="nil"/>
              <w:tr2bl w:val="nil"/>
            </w:tcBorders>
            <w:shd w:val="clear" w:color="auto" w:fill="auto"/>
            <w:tcMar>
              <w:top w:w="15" w:type="dxa"/>
              <w:left w:w="15" w:type="dxa"/>
              <w:bottom w:w="0" w:type="dxa"/>
              <w:right w:w="15" w:type="dxa"/>
            </w:tcMar>
            <w:vAlign w:val="center"/>
          </w:tcPr>
          <w:p w14:paraId="6661BCC3">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组合件</w:t>
            </w:r>
          </w:p>
        </w:tc>
        <w:tc>
          <w:tcPr>
            <w:tcW w:w="443" w:type="pct"/>
            <w:tcBorders>
              <w:tl2br w:val="nil"/>
              <w:tr2bl w:val="nil"/>
            </w:tcBorders>
            <w:shd w:val="clear" w:color="auto" w:fill="auto"/>
            <w:tcMar>
              <w:top w:w="15" w:type="dxa"/>
              <w:left w:w="15" w:type="dxa"/>
              <w:bottom w:w="0" w:type="dxa"/>
              <w:right w:w="15" w:type="dxa"/>
            </w:tcMar>
            <w:vAlign w:val="center"/>
          </w:tcPr>
          <w:p w14:paraId="5808A92F">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175</w:t>
            </w:r>
          </w:p>
        </w:tc>
        <w:tc>
          <w:tcPr>
            <w:tcW w:w="451" w:type="pct"/>
            <w:tcBorders>
              <w:tl2br w:val="nil"/>
              <w:tr2bl w:val="nil"/>
            </w:tcBorders>
            <w:shd w:val="clear" w:color="auto" w:fill="auto"/>
            <w:tcMar>
              <w:top w:w="15" w:type="dxa"/>
              <w:left w:w="15" w:type="dxa"/>
              <w:bottom w:w="0" w:type="dxa"/>
              <w:right w:w="15" w:type="dxa"/>
            </w:tcMar>
            <w:vAlign w:val="center"/>
          </w:tcPr>
          <w:p w14:paraId="50F18E4B">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0.25</w:t>
            </w:r>
          </w:p>
        </w:tc>
        <w:tc>
          <w:tcPr>
            <w:tcW w:w="342" w:type="pct"/>
            <w:tcBorders>
              <w:tl2br w:val="nil"/>
              <w:tr2bl w:val="nil"/>
            </w:tcBorders>
            <w:shd w:val="clear" w:color="auto" w:fill="auto"/>
            <w:tcMar>
              <w:top w:w="15" w:type="dxa"/>
              <w:left w:w="15" w:type="dxa"/>
              <w:bottom w:w="0" w:type="dxa"/>
              <w:right w:w="15" w:type="dxa"/>
            </w:tcMar>
            <w:vAlign w:val="center"/>
          </w:tcPr>
          <w:p w14:paraId="3E73213D">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2</w:t>
            </w:r>
          </w:p>
        </w:tc>
        <w:tc>
          <w:tcPr>
            <w:tcW w:w="378" w:type="pct"/>
            <w:tcBorders>
              <w:tl2br w:val="nil"/>
              <w:tr2bl w:val="nil"/>
            </w:tcBorders>
            <w:shd w:val="clear" w:color="auto" w:fill="auto"/>
            <w:vAlign w:val="center"/>
          </w:tcPr>
          <w:p w14:paraId="4D8E6092">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利旧</w:t>
            </w:r>
          </w:p>
        </w:tc>
      </w:tr>
      <w:tr w14:paraId="7DFE01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87" w:hRule="atLeast"/>
          <w:jc w:val="center"/>
        </w:trPr>
        <w:tc>
          <w:tcPr>
            <w:tcW w:w="462" w:type="pct"/>
            <w:vMerge w:val="continue"/>
            <w:tcBorders>
              <w:tl2br w:val="nil"/>
              <w:tr2bl w:val="nil"/>
            </w:tcBorders>
            <w:tcMar>
              <w:top w:w="15" w:type="dxa"/>
              <w:left w:w="15" w:type="dxa"/>
              <w:bottom w:w="0" w:type="dxa"/>
              <w:right w:w="15" w:type="dxa"/>
            </w:tcMar>
            <w:vAlign w:val="center"/>
          </w:tcPr>
          <w:p w14:paraId="140DD05D">
            <w:pPr>
              <w:widowControl/>
              <w:jc w:val="center"/>
              <w:rPr>
                <w:rFonts w:eastAsia="仿宋_GB2312"/>
                <w:b/>
                <w:color w:val="auto"/>
                <w:kern w:val="0"/>
                <w:szCs w:val="20"/>
              </w:rPr>
            </w:pPr>
          </w:p>
        </w:tc>
        <w:tc>
          <w:tcPr>
            <w:tcW w:w="346" w:type="pct"/>
            <w:tcBorders>
              <w:tl2br w:val="nil"/>
              <w:tr2bl w:val="nil"/>
            </w:tcBorders>
            <w:shd w:val="clear" w:color="auto" w:fill="auto"/>
            <w:tcMar>
              <w:top w:w="15" w:type="dxa"/>
              <w:left w:w="15" w:type="dxa"/>
              <w:bottom w:w="0" w:type="dxa"/>
              <w:right w:w="15" w:type="dxa"/>
            </w:tcMar>
            <w:vAlign w:val="center"/>
          </w:tcPr>
          <w:p w14:paraId="4CA1BB7C">
            <w:pPr>
              <w:bidi w:val="0"/>
              <w:jc w:val="center"/>
              <w:rPr>
                <w:rFonts w:hint="eastAsia"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21</w:t>
            </w:r>
          </w:p>
        </w:tc>
        <w:tc>
          <w:tcPr>
            <w:tcW w:w="816" w:type="pct"/>
            <w:tcBorders>
              <w:tl2br w:val="nil"/>
              <w:tr2bl w:val="nil"/>
            </w:tcBorders>
            <w:shd w:val="clear" w:color="auto" w:fill="auto"/>
            <w:tcMar>
              <w:top w:w="15" w:type="dxa"/>
              <w:left w:w="15" w:type="dxa"/>
              <w:bottom w:w="0" w:type="dxa"/>
              <w:right w:w="15" w:type="dxa"/>
            </w:tcMar>
            <w:vAlign w:val="center"/>
          </w:tcPr>
          <w:p w14:paraId="4C46C043">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5#塔釜输送泵</w:t>
            </w:r>
          </w:p>
        </w:tc>
        <w:tc>
          <w:tcPr>
            <w:tcW w:w="1218" w:type="pct"/>
            <w:tcBorders>
              <w:tl2br w:val="nil"/>
              <w:tr2bl w:val="nil"/>
            </w:tcBorders>
            <w:shd w:val="clear" w:color="auto" w:fill="auto"/>
            <w:tcMar>
              <w:top w:w="15" w:type="dxa"/>
              <w:left w:w="15" w:type="dxa"/>
              <w:bottom w:w="0" w:type="dxa"/>
              <w:right w:w="15" w:type="dxa"/>
            </w:tcMar>
            <w:vAlign w:val="center"/>
          </w:tcPr>
          <w:p w14:paraId="16142B33">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Q=8m</w:t>
            </w:r>
            <w:r>
              <w:rPr>
                <w:rFonts w:hint="default" w:ascii="Times New Roman" w:hAnsi="Times New Roman" w:eastAsia="方正仿宋_GB2312" w:cs="Times New Roman"/>
                <w:color w:val="000000" w:themeColor="text1"/>
                <w:sz w:val="21"/>
                <w:szCs w:val="21"/>
                <w:vertAlign w:val="superscript"/>
                <w:lang w:val="en-US" w:eastAsia="zh-CN"/>
                <w14:textFill>
                  <w14:solidFill>
                    <w14:schemeClr w14:val="tx1"/>
                  </w14:solidFill>
                </w14:textFill>
              </w:rPr>
              <w:t>3</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/h</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H=25m</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5kw</w:t>
            </w:r>
          </w:p>
        </w:tc>
        <w:tc>
          <w:tcPr>
            <w:tcW w:w="540" w:type="pct"/>
            <w:tcBorders>
              <w:tl2br w:val="nil"/>
              <w:tr2bl w:val="nil"/>
            </w:tcBorders>
            <w:shd w:val="clear" w:color="auto" w:fill="auto"/>
            <w:tcMar>
              <w:top w:w="15" w:type="dxa"/>
              <w:left w:w="15" w:type="dxa"/>
              <w:bottom w:w="0" w:type="dxa"/>
              <w:right w:w="15" w:type="dxa"/>
            </w:tcMar>
            <w:vAlign w:val="center"/>
          </w:tcPr>
          <w:p w14:paraId="4E6124A7">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组合件</w:t>
            </w:r>
          </w:p>
        </w:tc>
        <w:tc>
          <w:tcPr>
            <w:tcW w:w="443" w:type="pct"/>
            <w:tcBorders>
              <w:tl2br w:val="nil"/>
              <w:tr2bl w:val="nil"/>
            </w:tcBorders>
            <w:shd w:val="clear" w:color="auto" w:fill="auto"/>
            <w:tcMar>
              <w:top w:w="15" w:type="dxa"/>
              <w:left w:w="15" w:type="dxa"/>
              <w:bottom w:w="0" w:type="dxa"/>
              <w:right w:w="15" w:type="dxa"/>
            </w:tcMar>
            <w:vAlign w:val="center"/>
          </w:tcPr>
          <w:p w14:paraId="44207DEF">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175</w:t>
            </w:r>
          </w:p>
        </w:tc>
        <w:tc>
          <w:tcPr>
            <w:tcW w:w="451" w:type="pct"/>
            <w:tcBorders>
              <w:tl2br w:val="nil"/>
              <w:tr2bl w:val="nil"/>
            </w:tcBorders>
            <w:shd w:val="clear" w:color="auto" w:fill="auto"/>
            <w:tcMar>
              <w:top w:w="15" w:type="dxa"/>
              <w:left w:w="15" w:type="dxa"/>
              <w:bottom w:w="0" w:type="dxa"/>
              <w:right w:w="15" w:type="dxa"/>
            </w:tcMar>
            <w:vAlign w:val="center"/>
          </w:tcPr>
          <w:p w14:paraId="4923C61F">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0.25</w:t>
            </w:r>
          </w:p>
        </w:tc>
        <w:tc>
          <w:tcPr>
            <w:tcW w:w="342" w:type="pct"/>
            <w:tcBorders>
              <w:tl2br w:val="nil"/>
              <w:tr2bl w:val="nil"/>
            </w:tcBorders>
            <w:shd w:val="clear" w:color="auto" w:fill="auto"/>
            <w:tcMar>
              <w:top w:w="15" w:type="dxa"/>
              <w:left w:w="15" w:type="dxa"/>
              <w:bottom w:w="0" w:type="dxa"/>
              <w:right w:w="15" w:type="dxa"/>
            </w:tcMar>
            <w:vAlign w:val="center"/>
          </w:tcPr>
          <w:p w14:paraId="1F20A19D">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2</w:t>
            </w:r>
          </w:p>
        </w:tc>
        <w:tc>
          <w:tcPr>
            <w:tcW w:w="378" w:type="pct"/>
            <w:tcBorders>
              <w:tl2br w:val="nil"/>
              <w:tr2bl w:val="nil"/>
            </w:tcBorders>
            <w:shd w:val="clear" w:color="auto" w:fill="auto"/>
            <w:vAlign w:val="center"/>
          </w:tcPr>
          <w:p w14:paraId="27E806C1">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利旧</w:t>
            </w:r>
          </w:p>
        </w:tc>
      </w:tr>
      <w:tr w14:paraId="62B778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87" w:hRule="atLeast"/>
          <w:jc w:val="center"/>
        </w:trPr>
        <w:tc>
          <w:tcPr>
            <w:tcW w:w="462" w:type="pct"/>
            <w:vMerge w:val="continue"/>
            <w:tcBorders>
              <w:tl2br w:val="nil"/>
              <w:tr2bl w:val="nil"/>
            </w:tcBorders>
            <w:tcMar>
              <w:top w:w="15" w:type="dxa"/>
              <w:left w:w="15" w:type="dxa"/>
              <w:bottom w:w="0" w:type="dxa"/>
              <w:right w:w="15" w:type="dxa"/>
            </w:tcMar>
            <w:vAlign w:val="center"/>
          </w:tcPr>
          <w:p w14:paraId="58E83EFC">
            <w:pPr>
              <w:widowControl/>
              <w:jc w:val="center"/>
              <w:rPr>
                <w:rFonts w:eastAsia="仿宋_GB2312"/>
                <w:b/>
                <w:color w:val="auto"/>
                <w:kern w:val="0"/>
                <w:szCs w:val="20"/>
              </w:rPr>
            </w:pPr>
          </w:p>
        </w:tc>
        <w:tc>
          <w:tcPr>
            <w:tcW w:w="346" w:type="pct"/>
            <w:tcBorders>
              <w:tl2br w:val="nil"/>
              <w:tr2bl w:val="nil"/>
            </w:tcBorders>
            <w:shd w:val="clear" w:color="auto" w:fill="auto"/>
            <w:tcMar>
              <w:top w:w="15" w:type="dxa"/>
              <w:left w:w="15" w:type="dxa"/>
              <w:bottom w:w="0" w:type="dxa"/>
              <w:right w:w="15" w:type="dxa"/>
            </w:tcMar>
            <w:vAlign w:val="center"/>
          </w:tcPr>
          <w:p w14:paraId="18C0BA17">
            <w:pPr>
              <w:bidi w:val="0"/>
              <w:jc w:val="center"/>
              <w:rPr>
                <w:rFonts w:hint="eastAsia"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22</w:t>
            </w:r>
          </w:p>
        </w:tc>
        <w:tc>
          <w:tcPr>
            <w:tcW w:w="816" w:type="pct"/>
            <w:tcBorders>
              <w:tl2br w:val="nil"/>
              <w:tr2bl w:val="nil"/>
            </w:tcBorders>
            <w:shd w:val="clear" w:color="auto" w:fill="auto"/>
            <w:tcMar>
              <w:top w:w="15" w:type="dxa"/>
              <w:left w:w="15" w:type="dxa"/>
              <w:bottom w:w="0" w:type="dxa"/>
              <w:right w:w="15" w:type="dxa"/>
            </w:tcMar>
            <w:vAlign w:val="center"/>
          </w:tcPr>
          <w:p w14:paraId="570A1FD2">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2#塔回流泵</w:t>
            </w:r>
          </w:p>
        </w:tc>
        <w:tc>
          <w:tcPr>
            <w:tcW w:w="1218" w:type="pct"/>
            <w:tcBorders>
              <w:tl2br w:val="nil"/>
              <w:tr2bl w:val="nil"/>
            </w:tcBorders>
            <w:shd w:val="clear" w:color="auto" w:fill="auto"/>
            <w:tcMar>
              <w:top w:w="15" w:type="dxa"/>
              <w:left w:w="15" w:type="dxa"/>
              <w:bottom w:w="0" w:type="dxa"/>
              <w:right w:w="15" w:type="dxa"/>
            </w:tcMar>
            <w:vAlign w:val="center"/>
          </w:tcPr>
          <w:p w14:paraId="52BC3488">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Q=10m</w:t>
            </w:r>
            <w:r>
              <w:rPr>
                <w:rFonts w:hint="default" w:ascii="Times New Roman" w:hAnsi="Times New Roman" w:eastAsia="方正仿宋_GB2312" w:cs="Times New Roman"/>
                <w:color w:val="000000" w:themeColor="text1"/>
                <w:sz w:val="21"/>
                <w:szCs w:val="21"/>
                <w:vertAlign w:val="superscript"/>
                <w:lang w:val="en-US" w:eastAsia="zh-CN"/>
                <w14:textFill>
                  <w14:solidFill>
                    <w14:schemeClr w14:val="tx1"/>
                  </w14:solidFill>
                </w14:textFill>
              </w:rPr>
              <w:t>3</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/h</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H=32m</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5kw</w:t>
            </w:r>
          </w:p>
        </w:tc>
        <w:tc>
          <w:tcPr>
            <w:tcW w:w="540" w:type="pct"/>
            <w:tcBorders>
              <w:tl2br w:val="nil"/>
              <w:tr2bl w:val="nil"/>
            </w:tcBorders>
            <w:shd w:val="clear" w:color="auto" w:fill="auto"/>
            <w:tcMar>
              <w:top w:w="15" w:type="dxa"/>
              <w:left w:w="15" w:type="dxa"/>
              <w:bottom w:w="0" w:type="dxa"/>
              <w:right w:w="15" w:type="dxa"/>
            </w:tcMar>
            <w:vAlign w:val="center"/>
          </w:tcPr>
          <w:p w14:paraId="2E27D9C8">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组合件</w:t>
            </w:r>
          </w:p>
        </w:tc>
        <w:tc>
          <w:tcPr>
            <w:tcW w:w="443" w:type="pct"/>
            <w:tcBorders>
              <w:tl2br w:val="nil"/>
              <w:tr2bl w:val="nil"/>
            </w:tcBorders>
            <w:shd w:val="clear" w:color="auto" w:fill="auto"/>
            <w:tcMar>
              <w:top w:w="15" w:type="dxa"/>
              <w:left w:w="15" w:type="dxa"/>
              <w:bottom w:w="0" w:type="dxa"/>
              <w:right w:w="15" w:type="dxa"/>
            </w:tcMar>
            <w:vAlign w:val="center"/>
          </w:tcPr>
          <w:p w14:paraId="7D815E98">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40</w:t>
            </w:r>
          </w:p>
        </w:tc>
        <w:tc>
          <w:tcPr>
            <w:tcW w:w="451" w:type="pct"/>
            <w:tcBorders>
              <w:tl2br w:val="nil"/>
              <w:tr2bl w:val="nil"/>
            </w:tcBorders>
            <w:shd w:val="clear" w:color="auto" w:fill="auto"/>
            <w:tcMar>
              <w:top w:w="15" w:type="dxa"/>
              <w:left w:w="15" w:type="dxa"/>
              <w:bottom w:w="0" w:type="dxa"/>
              <w:right w:w="15" w:type="dxa"/>
            </w:tcMar>
            <w:vAlign w:val="center"/>
          </w:tcPr>
          <w:p w14:paraId="6E7053BF">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0.32</w:t>
            </w:r>
          </w:p>
        </w:tc>
        <w:tc>
          <w:tcPr>
            <w:tcW w:w="342" w:type="pct"/>
            <w:tcBorders>
              <w:tl2br w:val="nil"/>
              <w:tr2bl w:val="nil"/>
            </w:tcBorders>
            <w:shd w:val="clear" w:color="auto" w:fill="auto"/>
            <w:tcMar>
              <w:top w:w="15" w:type="dxa"/>
              <w:left w:w="15" w:type="dxa"/>
              <w:bottom w:w="0" w:type="dxa"/>
              <w:right w:w="15" w:type="dxa"/>
            </w:tcMar>
            <w:vAlign w:val="center"/>
          </w:tcPr>
          <w:p w14:paraId="2ADAD4CE">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2</w:t>
            </w:r>
          </w:p>
        </w:tc>
        <w:tc>
          <w:tcPr>
            <w:tcW w:w="378" w:type="pct"/>
            <w:tcBorders>
              <w:tl2br w:val="nil"/>
              <w:tr2bl w:val="nil"/>
            </w:tcBorders>
            <w:shd w:val="clear" w:color="auto" w:fill="auto"/>
            <w:vAlign w:val="center"/>
          </w:tcPr>
          <w:p w14:paraId="339D741D">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利旧</w:t>
            </w:r>
          </w:p>
        </w:tc>
      </w:tr>
      <w:tr w14:paraId="1D50F6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87" w:hRule="atLeast"/>
          <w:jc w:val="center"/>
        </w:trPr>
        <w:tc>
          <w:tcPr>
            <w:tcW w:w="462" w:type="pct"/>
            <w:vMerge w:val="continue"/>
            <w:tcBorders>
              <w:tl2br w:val="nil"/>
              <w:tr2bl w:val="nil"/>
            </w:tcBorders>
            <w:tcMar>
              <w:top w:w="15" w:type="dxa"/>
              <w:left w:w="15" w:type="dxa"/>
              <w:bottom w:w="0" w:type="dxa"/>
              <w:right w:w="15" w:type="dxa"/>
            </w:tcMar>
            <w:vAlign w:val="center"/>
          </w:tcPr>
          <w:p w14:paraId="0C631582">
            <w:pPr>
              <w:widowControl/>
              <w:jc w:val="center"/>
              <w:rPr>
                <w:rFonts w:eastAsia="仿宋_GB2312"/>
                <w:b/>
                <w:color w:val="auto"/>
                <w:kern w:val="0"/>
                <w:szCs w:val="20"/>
              </w:rPr>
            </w:pPr>
          </w:p>
        </w:tc>
        <w:tc>
          <w:tcPr>
            <w:tcW w:w="346" w:type="pct"/>
            <w:tcBorders>
              <w:tl2br w:val="nil"/>
              <w:tr2bl w:val="nil"/>
            </w:tcBorders>
            <w:shd w:val="clear" w:color="auto" w:fill="auto"/>
            <w:tcMar>
              <w:top w:w="15" w:type="dxa"/>
              <w:left w:w="15" w:type="dxa"/>
              <w:bottom w:w="0" w:type="dxa"/>
              <w:right w:w="15" w:type="dxa"/>
            </w:tcMar>
            <w:vAlign w:val="center"/>
          </w:tcPr>
          <w:p w14:paraId="1B4E2247">
            <w:pPr>
              <w:bidi w:val="0"/>
              <w:jc w:val="center"/>
              <w:rPr>
                <w:rFonts w:hint="eastAsia"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23</w:t>
            </w:r>
          </w:p>
        </w:tc>
        <w:tc>
          <w:tcPr>
            <w:tcW w:w="816" w:type="pct"/>
            <w:tcBorders>
              <w:tl2br w:val="nil"/>
              <w:tr2bl w:val="nil"/>
            </w:tcBorders>
            <w:shd w:val="clear" w:color="auto" w:fill="auto"/>
            <w:tcMar>
              <w:top w:w="15" w:type="dxa"/>
              <w:left w:w="15" w:type="dxa"/>
              <w:bottom w:w="0" w:type="dxa"/>
              <w:right w:w="15" w:type="dxa"/>
            </w:tcMar>
            <w:vAlign w:val="center"/>
          </w:tcPr>
          <w:p w14:paraId="03CC33E7">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6#塔回流泵</w:t>
            </w:r>
          </w:p>
        </w:tc>
        <w:tc>
          <w:tcPr>
            <w:tcW w:w="1218" w:type="pct"/>
            <w:tcBorders>
              <w:tl2br w:val="nil"/>
              <w:tr2bl w:val="nil"/>
            </w:tcBorders>
            <w:shd w:val="clear" w:color="auto" w:fill="auto"/>
            <w:tcMar>
              <w:top w:w="15" w:type="dxa"/>
              <w:left w:w="15" w:type="dxa"/>
              <w:bottom w:w="0" w:type="dxa"/>
              <w:right w:w="15" w:type="dxa"/>
            </w:tcMar>
            <w:vAlign w:val="center"/>
          </w:tcPr>
          <w:p w14:paraId="7053BFF9">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Q=10m</w:t>
            </w:r>
            <w:r>
              <w:rPr>
                <w:rFonts w:hint="default" w:ascii="Times New Roman" w:hAnsi="Times New Roman" w:eastAsia="方正仿宋_GB2312" w:cs="Times New Roman"/>
                <w:color w:val="000000" w:themeColor="text1"/>
                <w:sz w:val="21"/>
                <w:szCs w:val="21"/>
                <w:vertAlign w:val="superscript"/>
                <w:lang w:val="en-US" w:eastAsia="zh-CN"/>
                <w14:textFill>
                  <w14:solidFill>
                    <w14:schemeClr w14:val="tx1"/>
                  </w14:solidFill>
                </w14:textFill>
              </w:rPr>
              <w:t>3</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/h</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H=32m</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5kw</w:t>
            </w:r>
          </w:p>
        </w:tc>
        <w:tc>
          <w:tcPr>
            <w:tcW w:w="540" w:type="pct"/>
            <w:tcBorders>
              <w:tl2br w:val="nil"/>
              <w:tr2bl w:val="nil"/>
            </w:tcBorders>
            <w:shd w:val="clear" w:color="auto" w:fill="auto"/>
            <w:tcMar>
              <w:top w:w="15" w:type="dxa"/>
              <w:left w:w="15" w:type="dxa"/>
              <w:bottom w:w="0" w:type="dxa"/>
              <w:right w:w="15" w:type="dxa"/>
            </w:tcMar>
            <w:vAlign w:val="center"/>
          </w:tcPr>
          <w:p w14:paraId="6D4B2CB9">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组合件</w:t>
            </w:r>
          </w:p>
        </w:tc>
        <w:tc>
          <w:tcPr>
            <w:tcW w:w="443" w:type="pct"/>
            <w:tcBorders>
              <w:tl2br w:val="nil"/>
              <w:tr2bl w:val="nil"/>
            </w:tcBorders>
            <w:shd w:val="clear" w:color="auto" w:fill="auto"/>
            <w:tcMar>
              <w:top w:w="15" w:type="dxa"/>
              <w:left w:w="15" w:type="dxa"/>
              <w:bottom w:w="0" w:type="dxa"/>
              <w:right w:w="15" w:type="dxa"/>
            </w:tcMar>
            <w:vAlign w:val="center"/>
          </w:tcPr>
          <w:p w14:paraId="076CEFB9">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40</w:t>
            </w:r>
          </w:p>
        </w:tc>
        <w:tc>
          <w:tcPr>
            <w:tcW w:w="451" w:type="pct"/>
            <w:tcBorders>
              <w:tl2br w:val="nil"/>
              <w:tr2bl w:val="nil"/>
            </w:tcBorders>
            <w:shd w:val="clear" w:color="auto" w:fill="auto"/>
            <w:tcMar>
              <w:top w:w="15" w:type="dxa"/>
              <w:left w:w="15" w:type="dxa"/>
              <w:bottom w:w="0" w:type="dxa"/>
              <w:right w:w="15" w:type="dxa"/>
            </w:tcMar>
            <w:vAlign w:val="center"/>
          </w:tcPr>
          <w:p w14:paraId="4C7D1DBD">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0.32</w:t>
            </w:r>
          </w:p>
        </w:tc>
        <w:tc>
          <w:tcPr>
            <w:tcW w:w="342" w:type="pct"/>
            <w:tcBorders>
              <w:tl2br w:val="nil"/>
              <w:tr2bl w:val="nil"/>
            </w:tcBorders>
            <w:shd w:val="clear" w:color="auto" w:fill="auto"/>
            <w:tcMar>
              <w:top w:w="15" w:type="dxa"/>
              <w:left w:w="15" w:type="dxa"/>
              <w:bottom w:w="0" w:type="dxa"/>
              <w:right w:w="15" w:type="dxa"/>
            </w:tcMar>
            <w:vAlign w:val="center"/>
          </w:tcPr>
          <w:p w14:paraId="425003AA">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2</w:t>
            </w:r>
          </w:p>
        </w:tc>
        <w:tc>
          <w:tcPr>
            <w:tcW w:w="378" w:type="pct"/>
            <w:tcBorders>
              <w:tl2br w:val="nil"/>
              <w:tr2bl w:val="nil"/>
            </w:tcBorders>
            <w:shd w:val="clear" w:color="auto" w:fill="auto"/>
            <w:vAlign w:val="center"/>
          </w:tcPr>
          <w:p w14:paraId="6B6A1B41">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利旧</w:t>
            </w:r>
          </w:p>
        </w:tc>
      </w:tr>
      <w:tr w14:paraId="3F116C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87" w:hRule="atLeast"/>
          <w:jc w:val="center"/>
        </w:trPr>
        <w:tc>
          <w:tcPr>
            <w:tcW w:w="462" w:type="pct"/>
            <w:vMerge w:val="continue"/>
            <w:tcBorders>
              <w:tl2br w:val="nil"/>
              <w:tr2bl w:val="nil"/>
            </w:tcBorders>
            <w:tcMar>
              <w:top w:w="15" w:type="dxa"/>
              <w:left w:w="15" w:type="dxa"/>
              <w:bottom w:w="0" w:type="dxa"/>
              <w:right w:w="15" w:type="dxa"/>
            </w:tcMar>
            <w:vAlign w:val="center"/>
          </w:tcPr>
          <w:p w14:paraId="000235AB">
            <w:pPr>
              <w:widowControl/>
              <w:jc w:val="center"/>
              <w:rPr>
                <w:rFonts w:eastAsia="仿宋_GB2312"/>
                <w:b/>
                <w:color w:val="auto"/>
                <w:kern w:val="0"/>
                <w:szCs w:val="20"/>
              </w:rPr>
            </w:pPr>
          </w:p>
        </w:tc>
        <w:tc>
          <w:tcPr>
            <w:tcW w:w="346" w:type="pct"/>
            <w:tcBorders>
              <w:tl2br w:val="nil"/>
              <w:tr2bl w:val="nil"/>
            </w:tcBorders>
            <w:shd w:val="clear" w:color="auto" w:fill="auto"/>
            <w:tcMar>
              <w:top w:w="15" w:type="dxa"/>
              <w:left w:w="15" w:type="dxa"/>
              <w:bottom w:w="0" w:type="dxa"/>
              <w:right w:w="15" w:type="dxa"/>
            </w:tcMar>
            <w:vAlign w:val="center"/>
          </w:tcPr>
          <w:p w14:paraId="097DD7AD">
            <w:pPr>
              <w:bidi w:val="0"/>
              <w:jc w:val="center"/>
              <w:rPr>
                <w:rFonts w:hint="eastAsia"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24</w:t>
            </w:r>
          </w:p>
        </w:tc>
        <w:tc>
          <w:tcPr>
            <w:tcW w:w="816" w:type="pct"/>
            <w:tcBorders>
              <w:tl2br w:val="nil"/>
              <w:tr2bl w:val="nil"/>
            </w:tcBorders>
            <w:shd w:val="clear" w:color="auto" w:fill="auto"/>
            <w:tcMar>
              <w:top w:w="15" w:type="dxa"/>
              <w:left w:w="15" w:type="dxa"/>
              <w:bottom w:w="0" w:type="dxa"/>
              <w:right w:w="15" w:type="dxa"/>
            </w:tcMar>
            <w:vAlign w:val="center"/>
          </w:tcPr>
          <w:p w14:paraId="5E4E1314">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2#塔釜输送泵</w:t>
            </w:r>
          </w:p>
        </w:tc>
        <w:tc>
          <w:tcPr>
            <w:tcW w:w="1218" w:type="pct"/>
            <w:tcBorders>
              <w:tl2br w:val="nil"/>
              <w:tr2bl w:val="nil"/>
            </w:tcBorders>
            <w:shd w:val="clear" w:color="auto" w:fill="auto"/>
            <w:tcMar>
              <w:top w:w="15" w:type="dxa"/>
              <w:left w:w="15" w:type="dxa"/>
              <w:bottom w:w="0" w:type="dxa"/>
              <w:right w:w="15" w:type="dxa"/>
            </w:tcMar>
            <w:vAlign w:val="center"/>
          </w:tcPr>
          <w:p w14:paraId="0CCA4CA4">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Q=8m</w:t>
            </w:r>
            <w:r>
              <w:rPr>
                <w:rFonts w:hint="default" w:ascii="Times New Roman" w:hAnsi="Times New Roman" w:eastAsia="方正仿宋_GB2312" w:cs="Times New Roman"/>
                <w:color w:val="000000" w:themeColor="text1"/>
                <w:sz w:val="21"/>
                <w:szCs w:val="21"/>
                <w:vertAlign w:val="superscript"/>
                <w:lang w:val="en-US" w:eastAsia="zh-CN"/>
                <w14:textFill>
                  <w14:solidFill>
                    <w14:schemeClr w14:val="tx1"/>
                  </w14:solidFill>
                </w14:textFill>
              </w:rPr>
              <w:t>3</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/h</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H=25m</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5kw</w:t>
            </w:r>
          </w:p>
        </w:tc>
        <w:tc>
          <w:tcPr>
            <w:tcW w:w="540" w:type="pct"/>
            <w:tcBorders>
              <w:tl2br w:val="nil"/>
              <w:tr2bl w:val="nil"/>
            </w:tcBorders>
            <w:shd w:val="clear" w:color="auto" w:fill="auto"/>
            <w:tcMar>
              <w:top w:w="15" w:type="dxa"/>
              <w:left w:w="15" w:type="dxa"/>
              <w:bottom w:w="0" w:type="dxa"/>
              <w:right w:w="15" w:type="dxa"/>
            </w:tcMar>
            <w:vAlign w:val="center"/>
          </w:tcPr>
          <w:p w14:paraId="0C7C4292">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组合件</w:t>
            </w:r>
          </w:p>
        </w:tc>
        <w:tc>
          <w:tcPr>
            <w:tcW w:w="443" w:type="pct"/>
            <w:tcBorders>
              <w:tl2br w:val="nil"/>
              <w:tr2bl w:val="nil"/>
            </w:tcBorders>
            <w:shd w:val="clear" w:color="auto" w:fill="auto"/>
            <w:tcMar>
              <w:top w:w="15" w:type="dxa"/>
              <w:left w:w="15" w:type="dxa"/>
              <w:bottom w:w="0" w:type="dxa"/>
              <w:right w:w="15" w:type="dxa"/>
            </w:tcMar>
            <w:vAlign w:val="center"/>
          </w:tcPr>
          <w:p w14:paraId="710C0C83">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175</w:t>
            </w:r>
          </w:p>
        </w:tc>
        <w:tc>
          <w:tcPr>
            <w:tcW w:w="451" w:type="pct"/>
            <w:tcBorders>
              <w:tl2br w:val="nil"/>
              <w:tr2bl w:val="nil"/>
            </w:tcBorders>
            <w:shd w:val="clear" w:color="auto" w:fill="auto"/>
            <w:tcMar>
              <w:top w:w="15" w:type="dxa"/>
              <w:left w:w="15" w:type="dxa"/>
              <w:bottom w:w="0" w:type="dxa"/>
              <w:right w:w="15" w:type="dxa"/>
            </w:tcMar>
            <w:vAlign w:val="center"/>
          </w:tcPr>
          <w:p w14:paraId="2E396959">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0.25</w:t>
            </w:r>
          </w:p>
        </w:tc>
        <w:tc>
          <w:tcPr>
            <w:tcW w:w="342" w:type="pct"/>
            <w:tcBorders>
              <w:tl2br w:val="nil"/>
              <w:tr2bl w:val="nil"/>
            </w:tcBorders>
            <w:shd w:val="clear" w:color="auto" w:fill="auto"/>
            <w:tcMar>
              <w:top w:w="15" w:type="dxa"/>
              <w:left w:w="15" w:type="dxa"/>
              <w:bottom w:w="0" w:type="dxa"/>
              <w:right w:w="15" w:type="dxa"/>
            </w:tcMar>
            <w:vAlign w:val="center"/>
          </w:tcPr>
          <w:p w14:paraId="05E7DBFD">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2</w:t>
            </w:r>
          </w:p>
        </w:tc>
        <w:tc>
          <w:tcPr>
            <w:tcW w:w="378" w:type="pct"/>
            <w:tcBorders>
              <w:tl2br w:val="nil"/>
              <w:tr2bl w:val="nil"/>
            </w:tcBorders>
            <w:shd w:val="clear" w:color="auto" w:fill="auto"/>
            <w:vAlign w:val="center"/>
          </w:tcPr>
          <w:p w14:paraId="7F8ED839">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利旧</w:t>
            </w:r>
          </w:p>
        </w:tc>
      </w:tr>
      <w:tr w14:paraId="64115D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87" w:hRule="atLeast"/>
          <w:jc w:val="center"/>
        </w:trPr>
        <w:tc>
          <w:tcPr>
            <w:tcW w:w="462" w:type="pct"/>
            <w:vMerge w:val="continue"/>
            <w:tcBorders>
              <w:tl2br w:val="nil"/>
              <w:tr2bl w:val="nil"/>
            </w:tcBorders>
            <w:tcMar>
              <w:top w:w="15" w:type="dxa"/>
              <w:left w:w="15" w:type="dxa"/>
              <w:bottom w:w="0" w:type="dxa"/>
              <w:right w:w="15" w:type="dxa"/>
            </w:tcMar>
            <w:vAlign w:val="center"/>
          </w:tcPr>
          <w:p w14:paraId="25203155">
            <w:pPr>
              <w:widowControl/>
              <w:jc w:val="center"/>
              <w:rPr>
                <w:rFonts w:eastAsia="仿宋_GB2312"/>
                <w:b/>
                <w:color w:val="auto"/>
                <w:kern w:val="0"/>
                <w:szCs w:val="20"/>
              </w:rPr>
            </w:pPr>
          </w:p>
        </w:tc>
        <w:tc>
          <w:tcPr>
            <w:tcW w:w="346" w:type="pct"/>
            <w:tcBorders>
              <w:tl2br w:val="nil"/>
              <w:tr2bl w:val="nil"/>
            </w:tcBorders>
            <w:shd w:val="clear" w:color="auto" w:fill="auto"/>
            <w:tcMar>
              <w:top w:w="15" w:type="dxa"/>
              <w:left w:w="15" w:type="dxa"/>
              <w:bottom w:w="0" w:type="dxa"/>
              <w:right w:w="15" w:type="dxa"/>
            </w:tcMar>
            <w:vAlign w:val="center"/>
          </w:tcPr>
          <w:p w14:paraId="1E9E47BE">
            <w:pPr>
              <w:bidi w:val="0"/>
              <w:jc w:val="center"/>
              <w:rPr>
                <w:rFonts w:hint="eastAsia"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25</w:t>
            </w:r>
          </w:p>
        </w:tc>
        <w:tc>
          <w:tcPr>
            <w:tcW w:w="816" w:type="pct"/>
            <w:tcBorders>
              <w:tl2br w:val="nil"/>
              <w:tr2bl w:val="nil"/>
            </w:tcBorders>
            <w:shd w:val="clear" w:color="auto" w:fill="auto"/>
            <w:tcMar>
              <w:top w:w="15" w:type="dxa"/>
              <w:left w:w="15" w:type="dxa"/>
              <w:bottom w:w="0" w:type="dxa"/>
              <w:right w:w="15" w:type="dxa"/>
            </w:tcMar>
            <w:vAlign w:val="center"/>
          </w:tcPr>
          <w:p w14:paraId="6D2EA869">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6#塔釜输送泵</w:t>
            </w:r>
          </w:p>
        </w:tc>
        <w:tc>
          <w:tcPr>
            <w:tcW w:w="1218" w:type="pct"/>
            <w:tcBorders>
              <w:tl2br w:val="nil"/>
              <w:tr2bl w:val="nil"/>
            </w:tcBorders>
            <w:shd w:val="clear" w:color="auto" w:fill="auto"/>
            <w:tcMar>
              <w:top w:w="15" w:type="dxa"/>
              <w:left w:w="15" w:type="dxa"/>
              <w:bottom w:w="0" w:type="dxa"/>
              <w:right w:w="15" w:type="dxa"/>
            </w:tcMar>
            <w:vAlign w:val="center"/>
          </w:tcPr>
          <w:p w14:paraId="01FAFE59">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Q=8m</w:t>
            </w:r>
            <w:r>
              <w:rPr>
                <w:rFonts w:hint="default" w:ascii="Times New Roman" w:hAnsi="Times New Roman" w:eastAsia="方正仿宋_GB2312" w:cs="Times New Roman"/>
                <w:color w:val="000000" w:themeColor="text1"/>
                <w:sz w:val="21"/>
                <w:szCs w:val="21"/>
                <w:vertAlign w:val="superscript"/>
                <w:lang w:val="en-US" w:eastAsia="zh-CN"/>
                <w14:textFill>
                  <w14:solidFill>
                    <w14:schemeClr w14:val="tx1"/>
                  </w14:solidFill>
                </w14:textFill>
              </w:rPr>
              <w:t>3</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/h</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H=25m</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5kw</w:t>
            </w:r>
          </w:p>
        </w:tc>
        <w:tc>
          <w:tcPr>
            <w:tcW w:w="540" w:type="pct"/>
            <w:tcBorders>
              <w:tl2br w:val="nil"/>
              <w:tr2bl w:val="nil"/>
            </w:tcBorders>
            <w:shd w:val="clear" w:color="auto" w:fill="auto"/>
            <w:tcMar>
              <w:top w:w="15" w:type="dxa"/>
              <w:left w:w="15" w:type="dxa"/>
              <w:bottom w:w="0" w:type="dxa"/>
              <w:right w:w="15" w:type="dxa"/>
            </w:tcMar>
            <w:vAlign w:val="center"/>
          </w:tcPr>
          <w:p w14:paraId="76842EA1">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组合件</w:t>
            </w:r>
          </w:p>
        </w:tc>
        <w:tc>
          <w:tcPr>
            <w:tcW w:w="443" w:type="pct"/>
            <w:tcBorders>
              <w:tl2br w:val="nil"/>
              <w:tr2bl w:val="nil"/>
            </w:tcBorders>
            <w:shd w:val="clear" w:color="auto" w:fill="auto"/>
            <w:tcMar>
              <w:top w:w="15" w:type="dxa"/>
              <w:left w:w="15" w:type="dxa"/>
              <w:bottom w:w="0" w:type="dxa"/>
              <w:right w:w="15" w:type="dxa"/>
            </w:tcMar>
            <w:vAlign w:val="center"/>
          </w:tcPr>
          <w:p w14:paraId="680732E5">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175</w:t>
            </w:r>
          </w:p>
        </w:tc>
        <w:tc>
          <w:tcPr>
            <w:tcW w:w="451" w:type="pct"/>
            <w:tcBorders>
              <w:tl2br w:val="nil"/>
              <w:tr2bl w:val="nil"/>
            </w:tcBorders>
            <w:shd w:val="clear" w:color="auto" w:fill="auto"/>
            <w:tcMar>
              <w:top w:w="15" w:type="dxa"/>
              <w:left w:w="15" w:type="dxa"/>
              <w:bottom w:w="0" w:type="dxa"/>
              <w:right w:w="15" w:type="dxa"/>
            </w:tcMar>
            <w:vAlign w:val="center"/>
          </w:tcPr>
          <w:p w14:paraId="64308BBA">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0.25</w:t>
            </w:r>
          </w:p>
        </w:tc>
        <w:tc>
          <w:tcPr>
            <w:tcW w:w="342" w:type="pct"/>
            <w:tcBorders>
              <w:tl2br w:val="nil"/>
              <w:tr2bl w:val="nil"/>
            </w:tcBorders>
            <w:shd w:val="clear" w:color="auto" w:fill="auto"/>
            <w:tcMar>
              <w:top w:w="15" w:type="dxa"/>
              <w:left w:w="15" w:type="dxa"/>
              <w:bottom w:w="0" w:type="dxa"/>
              <w:right w:w="15" w:type="dxa"/>
            </w:tcMar>
            <w:vAlign w:val="center"/>
          </w:tcPr>
          <w:p w14:paraId="0460519B">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2</w:t>
            </w:r>
          </w:p>
        </w:tc>
        <w:tc>
          <w:tcPr>
            <w:tcW w:w="378" w:type="pct"/>
            <w:tcBorders>
              <w:tl2br w:val="nil"/>
              <w:tr2bl w:val="nil"/>
            </w:tcBorders>
            <w:shd w:val="clear" w:color="auto" w:fill="auto"/>
            <w:vAlign w:val="center"/>
          </w:tcPr>
          <w:p w14:paraId="79B4A3FB">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利旧</w:t>
            </w:r>
          </w:p>
        </w:tc>
      </w:tr>
      <w:tr w14:paraId="44FC64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87" w:hRule="atLeast"/>
          <w:jc w:val="center"/>
        </w:trPr>
        <w:tc>
          <w:tcPr>
            <w:tcW w:w="462" w:type="pct"/>
            <w:vMerge w:val="continue"/>
            <w:tcBorders>
              <w:tl2br w:val="nil"/>
              <w:tr2bl w:val="nil"/>
            </w:tcBorders>
            <w:tcMar>
              <w:top w:w="15" w:type="dxa"/>
              <w:left w:w="15" w:type="dxa"/>
              <w:bottom w:w="0" w:type="dxa"/>
              <w:right w:w="15" w:type="dxa"/>
            </w:tcMar>
            <w:vAlign w:val="center"/>
          </w:tcPr>
          <w:p w14:paraId="3D71CDEB">
            <w:pPr>
              <w:widowControl/>
              <w:jc w:val="center"/>
              <w:rPr>
                <w:rFonts w:eastAsia="仿宋_GB2312"/>
                <w:b/>
                <w:color w:val="auto"/>
                <w:kern w:val="0"/>
                <w:szCs w:val="20"/>
              </w:rPr>
            </w:pPr>
          </w:p>
        </w:tc>
        <w:tc>
          <w:tcPr>
            <w:tcW w:w="346" w:type="pct"/>
            <w:tcBorders>
              <w:tl2br w:val="nil"/>
              <w:tr2bl w:val="nil"/>
            </w:tcBorders>
            <w:shd w:val="clear" w:color="auto" w:fill="auto"/>
            <w:tcMar>
              <w:top w:w="15" w:type="dxa"/>
              <w:left w:w="15" w:type="dxa"/>
              <w:bottom w:w="0" w:type="dxa"/>
              <w:right w:w="15" w:type="dxa"/>
            </w:tcMar>
            <w:vAlign w:val="center"/>
          </w:tcPr>
          <w:p w14:paraId="17B52DB6">
            <w:pPr>
              <w:bidi w:val="0"/>
              <w:jc w:val="center"/>
              <w:rPr>
                <w:rFonts w:hint="eastAsia"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26</w:t>
            </w:r>
          </w:p>
        </w:tc>
        <w:tc>
          <w:tcPr>
            <w:tcW w:w="816" w:type="pct"/>
            <w:tcBorders>
              <w:tl2br w:val="nil"/>
              <w:tr2bl w:val="nil"/>
            </w:tcBorders>
            <w:shd w:val="clear" w:color="auto" w:fill="auto"/>
            <w:tcMar>
              <w:top w:w="15" w:type="dxa"/>
              <w:left w:w="15" w:type="dxa"/>
              <w:bottom w:w="0" w:type="dxa"/>
              <w:right w:w="15" w:type="dxa"/>
            </w:tcMar>
            <w:vAlign w:val="center"/>
          </w:tcPr>
          <w:p w14:paraId="31D6214F">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4#塔回流泵</w:t>
            </w:r>
          </w:p>
        </w:tc>
        <w:tc>
          <w:tcPr>
            <w:tcW w:w="1218" w:type="pct"/>
            <w:tcBorders>
              <w:tl2br w:val="nil"/>
              <w:tr2bl w:val="nil"/>
            </w:tcBorders>
            <w:shd w:val="clear" w:color="auto" w:fill="auto"/>
            <w:tcMar>
              <w:top w:w="15" w:type="dxa"/>
              <w:left w:w="15" w:type="dxa"/>
              <w:bottom w:w="0" w:type="dxa"/>
              <w:right w:w="15" w:type="dxa"/>
            </w:tcMar>
            <w:vAlign w:val="center"/>
          </w:tcPr>
          <w:p w14:paraId="544C4A67">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Q=10m</w:t>
            </w:r>
            <w:r>
              <w:rPr>
                <w:rFonts w:hint="default" w:ascii="Times New Roman" w:hAnsi="Times New Roman" w:eastAsia="方正仿宋_GB2312" w:cs="Times New Roman"/>
                <w:color w:val="000000" w:themeColor="text1"/>
                <w:sz w:val="21"/>
                <w:szCs w:val="21"/>
                <w:vertAlign w:val="superscript"/>
                <w:lang w:val="en-US" w:eastAsia="zh-CN"/>
                <w14:textFill>
                  <w14:solidFill>
                    <w14:schemeClr w14:val="tx1"/>
                  </w14:solidFill>
                </w14:textFill>
              </w:rPr>
              <w:t>3</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/h</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H=32m</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5kw</w:t>
            </w:r>
          </w:p>
        </w:tc>
        <w:tc>
          <w:tcPr>
            <w:tcW w:w="540" w:type="pct"/>
            <w:tcBorders>
              <w:tl2br w:val="nil"/>
              <w:tr2bl w:val="nil"/>
            </w:tcBorders>
            <w:shd w:val="clear" w:color="auto" w:fill="auto"/>
            <w:tcMar>
              <w:top w:w="15" w:type="dxa"/>
              <w:left w:w="15" w:type="dxa"/>
              <w:bottom w:w="0" w:type="dxa"/>
              <w:right w:w="15" w:type="dxa"/>
            </w:tcMar>
            <w:vAlign w:val="center"/>
          </w:tcPr>
          <w:p w14:paraId="122CA5D1">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组合件</w:t>
            </w:r>
          </w:p>
        </w:tc>
        <w:tc>
          <w:tcPr>
            <w:tcW w:w="443" w:type="pct"/>
            <w:tcBorders>
              <w:tl2br w:val="nil"/>
              <w:tr2bl w:val="nil"/>
            </w:tcBorders>
            <w:shd w:val="clear" w:color="auto" w:fill="auto"/>
            <w:tcMar>
              <w:top w:w="15" w:type="dxa"/>
              <w:left w:w="15" w:type="dxa"/>
              <w:bottom w:w="0" w:type="dxa"/>
              <w:right w:w="15" w:type="dxa"/>
            </w:tcMar>
            <w:vAlign w:val="center"/>
          </w:tcPr>
          <w:p w14:paraId="1A159718">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40</w:t>
            </w:r>
          </w:p>
        </w:tc>
        <w:tc>
          <w:tcPr>
            <w:tcW w:w="451" w:type="pct"/>
            <w:tcBorders>
              <w:tl2br w:val="nil"/>
              <w:tr2bl w:val="nil"/>
            </w:tcBorders>
            <w:shd w:val="clear" w:color="auto" w:fill="auto"/>
            <w:tcMar>
              <w:top w:w="15" w:type="dxa"/>
              <w:left w:w="15" w:type="dxa"/>
              <w:bottom w:w="0" w:type="dxa"/>
              <w:right w:w="15" w:type="dxa"/>
            </w:tcMar>
            <w:vAlign w:val="center"/>
          </w:tcPr>
          <w:p w14:paraId="335589C0">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0.32</w:t>
            </w:r>
          </w:p>
        </w:tc>
        <w:tc>
          <w:tcPr>
            <w:tcW w:w="342" w:type="pct"/>
            <w:tcBorders>
              <w:tl2br w:val="nil"/>
              <w:tr2bl w:val="nil"/>
            </w:tcBorders>
            <w:shd w:val="clear" w:color="auto" w:fill="auto"/>
            <w:tcMar>
              <w:top w:w="15" w:type="dxa"/>
              <w:left w:w="15" w:type="dxa"/>
              <w:bottom w:w="0" w:type="dxa"/>
              <w:right w:w="15" w:type="dxa"/>
            </w:tcMar>
            <w:vAlign w:val="center"/>
          </w:tcPr>
          <w:p w14:paraId="2815A8CD">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2</w:t>
            </w:r>
          </w:p>
        </w:tc>
        <w:tc>
          <w:tcPr>
            <w:tcW w:w="378" w:type="pct"/>
            <w:tcBorders>
              <w:tl2br w:val="nil"/>
              <w:tr2bl w:val="nil"/>
            </w:tcBorders>
            <w:shd w:val="clear" w:color="auto" w:fill="auto"/>
            <w:vAlign w:val="center"/>
          </w:tcPr>
          <w:p w14:paraId="0DC728E8">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利旧</w:t>
            </w:r>
          </w:p>
        </w:tc>
      </w:tr>
      <w:tr w14:paraId="414BE4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87" w:hRule="atLeast"/>
          <w:jc w:val="center"/>
        </w:trPr>
        <w:tc>
          <w:tcPr>
            <w:tcW w:w="462" w:type="pct"/>
            <w:vMerge w:val="continue"/>
            <w:tcBorders>
              <w:tl2br w:val="nil"/>
              <w:tr2bl w:val="nil"/>
            </w:tcBorders>
            <w:tcMar>
              <w:top w:w="15" w:type="dxa"/>
              <w:left w:w="15" w:type="dxa"/>
              <w:bottom w:w="0" w:type="dxa"/>
              <w:right w:w="15" w:type="dxa"/>
            </w:tcMar>
            <w:vAlign w:val="center"/>
          </w:tcPr>
          <w:p w14:paraId="545A5886">
            <w:pPr>
              <w:widowControl/>
              <w:jc w:val="center"/>
              <w:rPr>
                <w:rFonts w:eastAsia="仿宋_GB2312"/>
                <w:b/>
                <w:color w:val="auto"/>
                <w:kern w:val="0"/>
                <w:szCs w:val="20"/>
              </w:rPr>
            </w:pPr>
          </w:p>
        </w:tc>
        <w:tc>
          <w:tcPr>
            <w:tcW w:w="346" w:type="pct"/>
            <w:tcBorders>
              <w:tl2br w:val="nil"/>
              <w:tr2bl w:val="nil"/>
            </w:tcBorders>
            <w:shd w:val="clear" w:color="auto" w:fill="auto"/>
            <w:tcMar>
              <w:top w:w="15" w:type="dxa"/>
              <w:left w:w="15" w:type="dxa"/>
              <w:bottom w:w="0" w:type="dxa"/>
              <w:right w:w="15" w:type="dxa"/>
            </w:tcMar>
            <w:vAlign w:val="center"/>
          </w:tcPr>
          <w:p w14:paraId="3A826435">
            <w:pPr>
              <w:bidi w:val="0"/>
              <w:jc w:val="center"/>
              <w:rPr>
                <w:rFonts w:hint="eastAsia"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27</w:t>
            </w:r>
          </w:p>
        </w:tc>
        <w:tc>
          <w:tcPr>
            <w:tcW w:w="816" w:type="pct"/>
            <w:tcBorders>
              <w:tl2br w:val="nil"/>
              <w:tr2bl w:val="nil"/>
            </w:tcBorders>
            <w:shd w:val="clear" w:color="auto" w:fill="auto"/>
            <w:tcMar>
              <w:top w:w="15" w:type="dxa"/>
              <w:left w:w="15" w:type="dxa"/>
              <w:bottom w:w="0" w:type="dxa"/>
              <w:right w:w="15" w:type="dxa"/>
            </w:tcMar>
            <w:vAlign w:val="center"/>
          </w:tcPr>
          <w:p w14:paraId="69B8FEE0">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8#塔回流泵</w:t>
            </w:r>
          </w:p>
        </w:tc>
        <w:tc>
          <w:tcPr>
            <w:tcW w:w="1218" w:type="pct"/>
            <w:tcBorders>
              <w:tl2br w:val="nil"/>
              <w:tr2bl w:val="nil"/>
            </w:tcBorders>
            <w:shd w:val="clear" w:color="auto" w:fill="auto"/>
            <w:tcMar>
              <w:top w:w="15" w:type="dxa"/>
              <w:left w:w="15" w:type="dxa"/>
              <w:bottom w:w="0" w:type="dxa"/>
              <w:right w:w="15" w:type="dxa"/>
            </w:tcMar>
            <w:vAlign w:val="center"/>
          </w:tcPr>
          <w:p w14:paraId="4DCC5763">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Q=10m</w:t>
            </w:r>
            <w:r>
              <w:rPr>
                <w:rFonts w:hint="default" w:ascii="Times New Roman" w:hAnsi="Times New Roman" w:eastAsia="方正仿宋_GB2312" w:cs="Times New Roman"/>
                <w:color w:val="000000" w:themeColor="text1"/>
                <w:sz w:val="21"/>
                <w:szCs w:val="21"/>
                <w:vertAlign w:val="superscript"/>
                <w:lang w:val="en-US" w:eastAsia="zh-CN"/>
                <w14:textFill>
                  <w14:solidFill>
                    <w14:schemeClr w14:val="tx1"/>
                  </w14:solidFill>
                </w14:textFill>
              </w:rPr>
              <w:t>3</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/h</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H=32m</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5kw</w:t>
            </w:r>
          </w:p>
        </w:tc>
        <w:tc>
          <w:tcPr>
            <w:tcW w:w="540" w:type="pct"/>
            <w:tcBorders>
              <w:tl2br w:val="nil"/>
              <w:tr2bl w:val="nil"/>
            </w:tcBorders>
            <w:shd w:val="clear" w:color="auto" w:fill="auto"/>
            <w:tcMar>
              <w:top w:w="15" w:type="dxa"/>
              <w:left w:w="15" w:type="dxa"/>
              <w:bottom w:w="0" w:type="dxa"/>
              <w:right w:w="15" w:type="dxa"/>
            </w:tcMar>
            <w:vAlign w:val="center"/>
          </w:tcPr>
          <w:p w14:paraId="338E83B5">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组合件</w:t>
            </w:r>
          </w:p>
        </w:tc>
        <w:tc>
          <w:tcPr>
            <w:tcW w:w="443" w:type="pct"/>
            <w:tcBorders>
              <w:tl2br w:val="nil"/>
              <w:tr2bl w:val="nil"/>
            </w:tcBorders>
            <w:shd w:val="clear" w:color="auto" w:fill="auto"/>
            <w:tcMar>
              <w:top w:w="15" w:type="dxa"/>
              <w:left w:w="15" w:type="dxa"/>
              <w:bottom w:w="0" w:type="dxa"/>
              <w:right w:w="15" w:type="dxa"/>
            </w:tcMar>
            <w:vAlign w:val="center"/>
          </w:tcPr>
          <w:p w14:paraId="36D65367">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40</w:t>
            </w:r>
          </w:p>
        </w:tc>
        <w:tc>
          <w:tcPr>
            <w:tcW w:w="451" w:type="pct"/>
            <w:tcBorders>
              <w:tl2br w:val="nil"/>
              <w:tr2bl w:val="nil"/>
            </w:tcBorders>
            <w:shd w:val="clear" w:color="auto" w:fill="auto"/>
            <w:tcMar>
              <w:top w:w="15" w:type="dxa"/>
              <w:left w:w="15" w:type="dxa"/>
              <w:bottom w:w="0" w:type="dxa"/>
              <w:right w:w="15" w:type="dxa"/>
            </w:tcMar>
            <w:vAlign w:val="center"/>
          </w:tcPr>
          <w:p w14:paraId="51CC9F95">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0.32</w:t>
            </w:r>
          </w:p>
        </w:tc>
        <w:tc>
          <w:tcPr>
            <w:tcW w:w="342" w:type="pct"/>
            <w:tcBorders>
              <w:tl2br w:val="nil"/>
              <w:tr2bl w:val="nil"/>
            </w:tcBorders>
            <w:shd w:val="clear" w:color="auto" w:fill="auto"/>
            <w:tcMar>
              <w:top w:w="15" w:type="dxa"/>
              <w:left w:w="15" w:type="dxa"/>
              <w:bottom w:w="0" w:type="dxa"/>
              <w:right w:w="15" w:type="dxa"/>
            </w:tcMar>
            <w:vAlign w:val="center"/>
          </w:tcPr>
          <w:p w14:paraId="0D4D9839">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2</w:t>
            </w:r>
          </w:p>
        </w:tc>
        <w:tc>
          <w:tcPr>
            <w:tcW w:w="378" w:type="pct"/>
            <w:tcBorders>
              <w:tl2br w:val="nil"/>
              <w:tr2bl w:val="nil"/>
            </w:tcBorders>
            <w:shd w:val="clear" w:color="auto" w:fill="auto"/>
            <w:vAlign w:val="center"/>
          </w:tcPr>
          <w:p w14:paraId="7A1A608D">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利旧</w:t>
            </w:r>
          </w:p>
        </w:tc>
      </w:tr>
      <w:tr w14:paraId="7AC702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87" w:hRule="atLeast"/>
          <w:jc w:val="center"/>
        </w:trPr>
        <w:tc>
          <w:tcPr>
            <w:tcW w:w="462" w:type="pct"/>
            <w:vMerge w:val="continue"/>
            <w:tcBorders>
              <w:tl2br w:val="nil"/>
              <w:tr2bl w:val="nil"/>
            </w:tcBorders>
            <w:tcMar>
              <w:top w:w="15" w:type="dxa"/>
              <w:left w:w="15" w:type="dxa"/>
              <w:bottom w:w="0" w:type="dxa"/>
              <w:right w:w="15" w:type="dxa"/>
            </w:tcMar>
            <w:vAlign w:val="center"/>
          </w:tcPr>
          <w:p w14:paraId="55BC39B7">
            <w:pPr>
              <w:widowControl/>
              <w:jc w:val="center"/>
              <w:rPr>
                <w:rFonts w:eastAsia="仿宋_GB2312"/>
                <w:b/>
                <w:color w:val="auto"/>
                <w:kern w:val="0"/>
                <w:szCs w:val="20"/>
              </w:rPr>
            </w:pPr>
          </w:p>
        </w:tc>
        <w:tc>
          <w:tcPr>
            <w:tcW w:w="346" w:type="pct"/>
            <w:tcBorders>
              <w:tl2br w:val="nil"/>
              <w:tr2bl w:val="nil"/>
            </w:tcBorders>
            <w:shd w:val="clear" w:color="auto" w:fill="auto"/>
            <w:tcMar>
              <w:top w:w="15" w:type="dxa"/>
              <w:left w:w="15" w:type="dxa"/>
              <w:bottom w:w="0" w:type="dxa"/>
              <w:right w:w="15" w:type="dxa"/>
            </w:tcMar>
            <w:vAlign w:val="center"/>
          </w:tcPr>
          <w:p w14:paraId="403D77CB">
            <w:pPr>
              <w:bidi w:val="0"/>
              <w:jc w:val="center"/>
              <w:rPr>
                <w:rFonts w:hint="eastAsia"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28</w:t>
            </w:r>
          </w:p>
        </w:tc>
        <w:tc>
          <w:tcPr>
            <w:tcW w:w="816" w:type="pct"/>
            <w:tcBorders>
              <w:tl2br w:val="nil"/>
              <w:tr2bl w:val="nil"/>
            </w:tcBorders>
            <w:shd w:val="clear" w:color="auto" w:fill="auto"/>
            <w:tcMar>
              <w:top w:w="15" w:type="dxa"/>
              <w:left w:w="15" w:type="dxa"/>
              <w:bottom w:w="0" w:type="dxa"/>
              <w:right w:w="15" w:type="dxa"/>
            </w:tcMar>
            <w:vAlign w:val="center"/>
          </w:tcPr>
          <w:p w14:paraId="465F2F77">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4#塔釜输送泵</w:t>
            </w:r>
          </w:p>
        </w:tc>
        <w:tc>
          <w:tcPr>
            <w:tcW w:w="1218" w:type="pct"/>
            <w:tcBorders>
              <w:tl2br w:val="nil"/>
              <w:tr2bl w:val="nil"/>
            </w:tcBorders>
            <w:shd w:val="clear" w:color="auto" w:fill="auto"/>
            <w:tcMar>
              <w:top w:w="15" w:type="dxa"/>
              <w:left w:w="15" w:type="dxa"/>
              <w:bottom w:w="0" w:type="dxa"/>
              <w:right w:w="15" w:type="dxa"/>
            </w:tcMar>
            <w:vAlign w:val="center"/>
          </w:tcPr>
          <w:p w14:paraId="03347546">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Q=8m</w:t>
            </w:r>
            <w:r>
              <w:rPr>
                <w:rFonts w:hint="default" w:ascii="Times New Roman" w:hAnsi="Times New Roman" w:eastAsia="方正仿宋_GB2312" w:cs="Times New Roman"/>
                <w:color w:val="000000" w:themeColor="text1"/>
                <w:sz w:val="21"/>
                <w:szCs w:val="21"/>
                <w:vertAlign w:val="superscript"/>
                <w:lang w:val="en-US" w:eastAsia="zh-CN"/>
                <w14:textFill>
                  <w14:solidFill>
                    <w14:schemeClr w14:val="tx1"/>
                  </w14:solidFill>
                </w14:textFill>
              </w:rPr>
              <w:t>3</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/h</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H=25m</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5kw</w:t>
            </w:r>
          </w:p>
        </w:tc>
        <w:tc>
          <w:tcPr>
            <w:tcW w:w="540" w:type="pct"/>
            <w:tcBorders>
              <w:tl2br w:val="nil"/>
              <w:tr2bl w:val="nil"/>
            </w:tcBorders>
            <w:shd w:val="clear" w:color="auto" w:fill="auto"/>
            <w:tcMar>
              <w:top w:w="15" w:type="dxa"/>
              <w:left w:w="15" w:type="dxa"/>
              <w:bottom w:w="0" w:type="dxa"/>
              <w:right w:w="15" w:type="dxa"/>
            </w:tcMar>
            <w:vAlign w:val="center"/>
          </w:tcPr>
          <w:p w14:paraId="733C1518">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组合件</w:t>
            </w:r>
          </w:p>
        </w:tc>
        <w:tc>
          <w:tcPr>
            <w:tcW w:w="443" w:type="pct"/>
            <w:tcBorders>
              <w:tl2br w:val="nil"/>
              <w:tr2bl w:val="nil"/>
            </w:tcBorders>
            <w:shd w:val="clear" w:color="auto" w:fill="auto"/>
            <w:tcMar>
              <w:top w:w="15" w:type="dxa"/>
              <w:left w:w="15" w:type="dxa"/>
              <w:bottom w:w="0" w:type="dxa"/>
              <w:right w:w="15" w:type="dxa"/>
            </w:tcMar>
            <w:vAlign w:val="center"/>
          </w:tcPr>
          <w:p w14:paraId="47B15726">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175</w:t>
            </w:r>
          </w:p>
        </w:tc>
        <w:tc>
          <w:tcPr>
            <w:tcW w:w="451" w:type="pct"/>
            <w:tcBorders>
              <w:tl2br w:val="nil"/>
              <w:tr2bl w:val="nil"/>
            </w:tcBorders>
            <w:shd w:val="clear" w:color="auto" w:fill="auto"/>
            <w:tcMar>
              <w:top w:w="15" w:type="dxa"/>
              <w:left w:w="15" w:type="dxa"/>
              <w:bottom w:w="0" w:type="dxa"/>
              <w:right w:w="15" w:type="dxa"/>
            </w:tcMar>
            <w:vAlign w:val="center"/>
          </w:tcPr>
          <w:p w14:paraId="673364AB">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0.25</w:t>
            </w:r>
          </w:p>
        </w:tc>
        <w:tc>
          <w:tcPr>
            <w:tcW w:w="342" w:type="pct"/>
            <w:tcBorders>
              <w:tl2br w:val="nil"/>
              <w:tr2bl w:val="nil"/>
            </w:tcBorders>
            <w:shd w:val="clear" w:color="auto" w:fill="auto"/>
            <w:tcMar>
              <w:top w:w="15" w:type="dxa"/>
              <w:left w:w="15" w:type="dxa"/>
              <w:bottom w:w="0" w:type="dxa"/>
              <w:right w:w="15" w:type="dxa"/>
            </w:tcMar>
            <w:vAlign w:val="center"/>
          </w:tcPr>
          <w:p w14:paraId="0CD03DE7">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2</w:t>
            </w:r>
          </w:p>
        </w:tc>
        <w:tc>
          <w:tcPr>
            <w:tcW w:w="378" w:type="pct"/>
            <w:tcBorders>
              <w:tl2br w:val="nil"/>
              <w:tr2bl w:val="nil"/>
            </w:tcBorders>
            <w:shd w:val="clear" w:color="auto" w:fill="auto"/>
            <w:vAlign w:val="center"/>
          </w:tcPr>
          <w:p w14:paraId="14A2D808">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利旧</w:t>
            </w:r>
          </w:p>
        </w:tc>
      </w:tr>
      <w:tr w14:paraId="0BF3DB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87" w:hRule="atLeast"/>
          <w:jc w:val="center"/>
        </w:trPr>
        <w:tc>
          <w:tcPr>
            <w:tcW w:w="462" w:type="pct"/>
            <w:vMerge w:val="continue"/>
            <w:tcBorders>
              <w:tl2br w:val="nil"/>
              <w:tr2bl w:val="nil"/>
            </w:tcBorders>
            <w:tcMar>
              <w:top w:w="15" w:type="dxa"/>
              <w:left w:w="15" w:type="dxa"/>
              <w:bottom w:w="0" w:type="dxa"/>
              <w:right w:w="15" w:type="dxa"/>
            </w:tcMar>
            <w:vAlign w:val="center"/>
          </w:tcPr>
          <w:p w14:paraId="57FEA5A1">
            <w:pPr>
              <w:widowControl/>
              <w:jc w:val="center"/>
              <w:rPr>
                <w:rFonts w:eastAsia="仿宋_GB2312"/>
                <w:b/>
                <w:color w:val="auto"/>
                <w:kern w:val="0"/>
                <w:szCs w:val="20"/>
              </w:rPr>
            </w:pPr>
          </w:p>
        </w:tc>
        <w:tc>
          <w:tcPr>
            <w:tcW w:w="346" w:type="pct"/>
            <w:tcBorders>
              <w:tl2br w:val="nil"/>
              <w:tr2bl w:val="nil"/>
            </w:tcBorders>
            <w:shd w:val="clear" w:color="auto" w:fill="auto"/>
            <w:tcMar>
              <w:top w:w="15" w:type="dxa"/>
              <w:left w:w="15" w:type="dxa"/>
              <w:bottom w:w="0" w:type="dxa"/>
              <w:right w:w="15" w:type="dxa"/>
            </w:tcMar>
            <w:vAlign w:val="center"/>
          </w:tcPr>
          <w:p w14:paraId="33471E3B">
            <w:pPr>
              <w:bidi w:val="0"/>
              <w:jc w:val="center"/>
              <w:rPr>
                <w:rFonts w:hint="eastAsia"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29</w:t>
            </w:r>
          </w:p>
        </w:tc>
        <w:tc>
          <w:tcPr>
            <w:tcW w:w="816" w:type="pct"/>
            <w:tcBorders>
              <w:tl2br w:val="nil"/>
              <w:tr2bl w:val="nil"/>
            </w:tcBorders>
            <w:shd w:val="clear" w:color="auto" w:fill="auto"/>
            <w:tcMar>
              <w:top w:w="15" w:type="dxa"/>
              <w:left w:w="15" w:type="dxa"/>
              <w:bottom w:w="0" w:type="dxa"/>
              <w:right w:w="15" w:type="dxa"/>
            </w:tcMar>
            <w:vAlign w:val="center"/>
          </w:tcPr>
          <w:p w14:paraId="50048683">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8#塔釜输送泵</w:t>
            </w:r>
          </w:p>
        </w:tc>
        <w:tc>
          <w:tcPr>
            <w:tcW w:w="1218" w:type="pct"/>
            <w:tcBorders>
              <w:tl2br w:val="nil"/>
              <w:tr2bl w:val="nil"/>
            </w:tcBorders>
            <w:shd w:val="clear" w:color="auto" w:fill="auto"/>
            <w:tcMar>
              <w:top w:w="15" w:type="dxa"/>
              <w:left w:w="15" w:type="dxa"/>
              <w:bottom w:w="0" w:type="dxa"/>
              <w:right w:w="15" w:type="dxa"/>
            </w:tcMar>
            <w:vAlign w:val="center"/>
          </w:tcPr>
          <w:p w14:paraId="5A707B44">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Q=8m</w:t>
            </w:r>
            <w:r>
              <w:rPr>
                <w:rFonts w:hint="default" w:ascii="Times New Roman" w:hAnsi="Times New Roman" w:eastAsia="方正仿宋_GB2312" w:cs="Times New Roman"/>
                <w:color w:val="000000" w:themeColor="text1"/>
                <w:sz w:val="21"/>
                <w:szCs w:val="21"/>
                <w:vertAlign w:val="superscript"/>
                <w:lang w:val="en-US" w:eastAsia="zh-CN"/>
                <w14:textFill>
                  <w14:solidFill>
                    <w14:schemeClr w14:val="tx1"/>
                  </w14:solidFill>
                </w14:textFill>
              </w:rPr>
              <w:t>3</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/h</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H=25m</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5kw</w:t>
            </w:r>
          </w:p>
        </w:tc>
        <w:tc>
          <w:tcPr>
            <w:tcW w:w="540" w:type="pct"/>
            <w:tcBorders>
              <w:tl2br w:val="nil"/>
              <w:tr2bl w:val="nil"/>
            </w:tcBorders>
            <w:shd w:val="clear" w:color="auto" w:fill="auto"/>
            <w:tcMar>
              <w:top w:w="15" w:type="dxa"/>
              <w:left w:w="15" w:type="dxa"/>
              <w:bottom w:w="0" w:type="dxa"/>
              <w:right w:w="15" w:type="dxa"/>
            </w:tcMar>
            <w:vAlign w:val="center"/>
          </w:tcPr>
          <w:p w14:paraId="24F2F566">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组合件</w:t>
            </w:r>
          </w:p>
        </w:tc>
        <w:tc>
          <w:tcPr>
            <w:tcW w:w="443" w:type="pct"/>
            <w:tcBorders>
              <w:tl2br w:val="nil"/>
              <w:tr2bl w:val="nil"/>
            </w:tcBorders>
            <w:shd w:val="clear" w:color="auto" w:fill="auto"/>
            <w:tcMar>
              <w:top w:w="15" w:type="dxa"/>
              <w:left w:w="15" w:type="dxa"/>
              <w:bottom w:w="0" w:type="dxa"/>
              <w:right w:w="15" w:type="dxa"/>
            </w:tcMar>
            <w:vAlign w:val="center"/>
          </w:tcPr>
          <w:p w14:paraId="01A9457B">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175</w:t>
            </w:r>
          </w:p>
        </w:tc>
        <w:tc>
          <w:tcPr>
            <w:tcW w:w="451" w:type="pct"/>
            <w:tcBorders>
              <w:tl2br w:val="nil"/>
              <w:tr2bl w:val="nil"/>
            </w:tcBorders>
            <w:shd w:val="clear" w:color="auto" w:fill="auto"/>
            <w:tcMar>
              <w:top w:w="15" w:type="dxa"/>
              <w:left w:w="15" w:type="dxa"/>
              <w:bottom w:w="0" w:type="dxa"/>
              <w:right w:w="15" w:type="dxa"/>
            </w:tcMar>
            <w:vAlign w:val="center"/>
          </w:tcPr>
          <w:p w14:paraId="017ECA62">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0.25</w:t>
            </w:r>
          </w:p>
        </w:tc>
        <w:tc>
          <w:tcPr>
            <w:tcW w:w="342" w:type="pct"/>
            <w:tcBorders>
              <w:tl2br w:val="nil"/>
              <w:tr2bl w:val="nil"/>
            </w:tcBorders>
            <w:shd w:val="clear" w:color="auto" w:fill="auto"/>
            <w:tcMar>
              <w:top w:w="15" w:type="dxa"/>
              <w:left w:w="15" w:type="dxa"/>
              <w:bottom w:w="0" w:type="dxa"/>
              <w:right w:w="15" w:type="dxa"/>
            </w:tcMar>
            <w:vAlign w:val="center"/>
          </w:tcPr>
          <w:p w14:paraId="0F6B3E1F">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2</w:t>
            </w:r>
          </w:p>
        </w:tc>
        <w:tc>
          <w:tcPr>
            <w:tcW w:w="378" w:type="pct"/>
            <w:tcBorders>
              <w:tl2br w:val="nil"/>
              <w:tr2bl w:val="nil"/>
            </w:tcBorders>
            <w:shd w:val="clear" w:color="auto" w:fill="auto"/>
            <w:vAlign w:val="center"/>
          </w:tcPr>
          <w:p w14:paraId="3A242AC0">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利旧</w:t>
            </w:r>
          </w:p>
        </w:tc>
      </w:tr>
      <w:tr w14:paraId="627FD5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87" w:hRule="atLeast"/>
          <w:jc w:val="center"/>
        </w:trPr>
        <w:tc>
          <w:tcPr>
            <w:tcW w:w="462" w:type="pct"/>
            <w:vMerge w:val="continue"/>
            <w:tcBorders>
              <w:tl2br w:val="nil"/>
              <w:tr2bl w:val="nil"/>
            </w:tcBorders>
            <w:tcMar>
              <w:top w:w="15" w:type="dxa"/>
              <w:left w:w="15" w:type="dxa"/>
              <w:bottom w:w="0" w:type="dxa"/>
              <w:right w:w="15" w:type="dxa"/>
            </w:tcMar>
            <w:vAlign w:val="center"/>
          </w:tcPr>
          <w:p w14:paraId="31CE732C">
            <w:pPr>
              <w:widowControl/>
              <w:jc w:val="center"/>
              <w:rPr>
                <w:rFonts w:eastAsia="仿宋_GB2312"/>
                <w:b/>
                <w:color w:val="auto"/>
                <w:kern w:val="0"/>
                <w:szCs w:val="20"/>
              </w:rPr>
            </w:pPr>
          </w:p>
        </w:tc>
        <w:tc>
          <w:tcPr>
            <w:tcW w:w="346" w:type="pct"/>
            <w:tcBorders>
              <w:tl2br w:val="nil"/>
              <w:tr2bl w:val="nil"/>
            </w:tcBorders>
            <w:shd w:val="clear" w:color="auto" w:fill="auto"/>
            <w:tcMar>
              <w:top w:w="15" w:type="dxa"/>
              <w:left w:w="15" w:type="dxa"/>
              <w:bottom w:w="0" w:type="dxa"/>
              <w:right w:w="15" w:type="dxa"/>
            </w:tcMar>
            <w:vAlign w:val="center"/>
          </w:tcPr>
          <w:p w14:paraId="2F82ACC0">
            <w:pPr>
              <w:bidi w:val="0"/>
              <w:jc w:val="center"/>
              <w:rPr>
                <w:rFonts w:hint="eastAsia"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30</w:t>
            </w:r>
          </w:p>
        </w:tc>
        <w:tc>
          <w:tcPr>
            <w:tcW w:w="816" w:type="pct"/>
            <w:tcBorders>
              <w:tl2br w:val="nil"/>
              <w:tr2bl w:val="nil"/>
            </w:tcBorders>
            <w:shd w:val="clear" w:color="auto" w:fill="auto"/>
            <w:tcMar>
              <w:top w:w="15" w:type="dxa"/>
              <w:left w:w="15" w:type="dxa"/>
              <w:bottom w:w="0" w:type="dxa"/>
              <w:right w:w="15" w:type="dxa"/>
            </w:tcMar>
            <w:vAlign w:val="center"/>
          </w:tcPr>
          <w:p w14:paraId="54EE4CE4">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9#塔循环泵</w:t>
            </w:r>
          </w:p>
        </w:tc>
        <w:tc>
          <w:tcPr>
            <w:tcW w:w="1218" w:type="pct"/>
            <w:tcBorders>
              <w:tl2br w:val="nil"/>
              <w:tr2bl w:val="nil"/>
            </w:tcBorders>
            <w:shd w:val="clear" w:color="auto" w:fill="auto"/>
            <w:tcMar>
              <w:top w:w="15" w:type="dxa"/>
              <w:left w:w="15" w:type="dxa"/>
              <w:bottom w:w="0" w:type="dxa"/>
              <w:right w:w="15" w:type="dxa"/>
            </w:tcMar>
            <w:vAlign w:val="center"/>
          </w:tcPr>
          <w:p w14:paraId="74EBC202">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Q=10m</w:t>
            </w:r>
            <w:r>
              <w:rPr>
                <w:rFonts w:hint="default" w:ascii="Times New Roman" w:hAnsi="Times New Roman" w:eastAsia="方正仿宋_GB2312" w:cs="Times New Roman"/>
                <w:color w:val="000000" w:themeColor="text1"/>
                <w:sz w:val="21"/>
                <w:szCs w:val="21"/>
                <w:vertAlign w:val="superscript"/>
                <w:lang w:val="en-US" w:eastAsia="zh-CN"/>
                <w14:textFill>
                  <w14:solidFill>
                    <w14:schemeClr w14:val="tx1"/>
                  </w14:solidFill>
                </w14:textFill>
              </w:rPr>
              <w:t>3</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/h</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H=25m</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7.5kw</w:t>
            </w:r>
          </w:p>
        </w:tc>
        <w:tc>
          <w:tcPr>
            <w:tcW w:w="540" w:type="pct"/>
            <w:tcBorders>
              <w:tl2br w:val="nil"/>
              <w:tr2bl w:val="nil"/>
            </w:tcBorders>
            <w:shd w:val="clear" w:color="auto" w:fill="auto"/>
            <w:tcMar>
              <w:top w:w="15" w:type="dxa"/>
              <w:left w:w="15" w:type="dxa"/>
              <w:bottom w:w="0" w:type="dxa"/>
              <w:right w:w="15" w:type="dxa"/>
            </w:tcMar>
            <w:vAlign w:val="center"/>
          </w:tcPr>
          <w:p w14:paraId="6BAAA840">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组合件</w:t>
            </w:r>
          </w:p>
        </w:tc>
        <w:tc>
          <w:tcPr>
            <w:tcW w:w="443" w:type="pct"/>
            <w:tcBorders>
              <w:tl2br w:val="nil"/>
              <w:tr2bl w:val="nil"/>
            </w:tcBorders>
            <w:shd w:val="clear" w:color="auto" w:fill="auto"/>
            <w:tcMar>
              <w:top w:w="15" w:type="dxa"/>
              <w:left w:w="15" w:type="dxa"/>
              <w:bottom w:w="0" w:type="dxa"/>
              <w:right w:w="15" w:type="dxa"/>
            </w:tcMar>
            <w:vAlign w:val="center"/>
          </w:tcPr>
          <w:p w14:paraId="4E5F1A12">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常温</w:t>
            </w:r>
          </w:p>
        </w:tc>
        <w:tc>
          <w:tcPr>
            <w:tcW w:w="451" w:type="pct"/>
            <w:tcBorders>
              <w:tl2br w:val="nil"/>
              <w:tr2bl w:val="nil"/>
            </w:tcBorders>
            <w:shd w:val="clear" w:color="auto" w:fill="auto"/>
            <w:tcMar>
              <w:top w:w="15" w:type="dxa"/>
              <w:left w:w="15" w:type="dxa"/>
              <w:bottom w:w="0" w:type="dxa"/>
              <w:right w:w="15" w:type="dxa"/>
            </w:tcMar>
            <w:vAlign w:val="center"/>
          </w:tcPr>
          <w:p w14:paraId="176005CA">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0.25</w:t>
            </w:r>
          </w:p>
        </w:tc>
        <w:tc>
          <w:tcPr>
            <w:tcW w:w="342" w:type="pct"/>
            <w:tcBorders>
              <w:tl2br w:val="nil"/>
              <w:tr2bl w:val="nil"/>
            </w:tcBorders>
            <w:shd w:val="clear" w:color="auto" w:fill="auto"/>
            <w:tcMar>
              <w:top w:w="15" w:type="dxa"/>
              <w:left w:w="15" w:type="dxa"/>
              <w:bottom w:w="0" w:type="dxa"/>
              <w:right w:w="15" w:type="dxa"/>
            </w:tcMar>
            <w:vAlign w:val="center"/>
          </w:tcPr>
          <w:p w14:paraId="0DAB6F1A">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2</w:t>
            </w:r>
          </w:p>
        </w:tc>
        <w:tc>
          <w:tcPr>
            <w:tcW w:w="378" w:type="pct"/>
            <w:tcBorders>
              <w:tl2br w:val="nil"/>
              <w:tr2bl w:val="nil"/>
            </w:tcBorders>
            <w:shd w:val="clear" w:color="auto" w:fill="auto"/>
            <w:vAlign w:val="center"/>
          </w:tcPr>
          <w:p w14:paraId="3E6956D3">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利旧</w:t>
            </w:r>
          </w:p>
        </w:tc>
      </w:tr>
      <w:tr w14:paraId="44339E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87" w:hRule="atLeast"/>
          <w:jc w:val="center"/>
        </w:trPr>
        <w:tc>
          <w:tcPr>
            <w:tcW w:w="462" w:type="pct"/>
            <w:vMerge w:val="continue"/>
            <w:tcBorders>
              <w:tl2br w:val="nil"/>
              <w:tr2bl w:val="nil"/>
            </w:tcBorders>
            <w:tcMar>
              <w:top w:w="15" w:type="dxa"/>
              <w:left w:w="15" w:type="dxa"/>
              <w:bottom w:w="0" w:type="dxa"/>
              <w:right w:w="15" w:type="dxa"/>
            </w:tcMar>
            <w:vAlign w:val="center"/>
          </w:tcPr>
          <w:p w14:paraId="598986F7">
            <w:pPr>
              <w:widowControl/>
              <w:jc w:val="center"/>
              <w:rPr>
                <w:rFonts w:eastAsia="仿宋_GB2312"/>
                <w:b/>
                <w:color w:val="auto"/>
                <w:kern w:val="0"/>
                <w:szCs w:val="20"/>
              </w:rPr>
            </w:pPr>
          </w:p>
        </w:tc>
        <w:tc>
          <w:tcPr>
            <w:tcW w:w="346" w:type="pct"/>
            <w:tcBorders>
              <w:tl2br w:val="nil"/>
              <w:tr2bl w:val="nil"/>
            </w:tcBorders>
            <w:shd w:val="clear" w:color="auto" w:fill="auto"/>
            <w:tcMar>
              <w:top w:w="15" w:type="dxa"/>
              <w:left w:w="15" w:type="dxa"/>
              <w:bottom w:w="0" w:type="dxa"/>
              <w:right w:w="15" w:type="dxa"/>
            </w:tcMar>
            <w:vAlign w:val="center"/>
          </w:tcPr>
          <w:p w14:paraId="24AA04CC">
            <w:pPr>
              <w:bidi w:val="0"/>
              <w:jc w:val="center"/>
              <w:rPr>
                <w:rFonts w:hint="eastAsia"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31</w:t>
            </w:r>
          </w:p>
        </w:tc>
        <w:tc>
          <w:tcPr>
            <w:tcW w:w="816" w:type="pct"/>
            <w:tcBorders>
              <w:tl2br w:val="nil"/>
              <w:tr2bl w:val="nil"/>
            </w:tcBorders>
            <w:shd w:val="clear" w:color="auto" w:fill="auto"/>
            <w:tcMar>
              <w:top w:w="15" w:type="dxa"/>
              <w:left w:w="15" w:type="dxa"/>
              <w:bottom w:w="0" w:type="dxa"/>
              <w:right w:w="15" w:type="dxa"/>
            </w:tcMar>
            <w:vAlign w:val="center"/>
          </w:tcPr>
          <w:p w14:paraId="33DB7862">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NMP原料泵</w:t>
            </w:r>
          </w:p>
        </w:tc>
        <w:tc>
          <w:tcPr>
            <w:tcW w:w="1218" w:type="pct"/>
            <w:tcBorders>
              <w:tl2br w:val="nil"/>
              <w:tr2bl w:val="nil"/>
            </w:tcBorders>
            <w:shd w:val="clear" w:color="auto" w:fill="auto"/>
            <w:tcMar>
              <w:top w:w="15" w:type="dxa"/>
              <w:left w:w="15" w:type="dxa"/>
              <w:bottom w:w="0" w:type="dxa"/>
              <w:right w:w="15" w:type="dxa"/>
            </w:tcMar>
            <w:vAlign w:val="center"/>
          </w:tcPr>
          <w:p w14:paraId="7AB7E0DD">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Q=15m</w:t>
            </w:r>
            <w:r>
              <w:rPr>
                <w:rFonts w:hint="default" w:ascii="Times New Roman" w:hAnsi="Times New Roman" w:eastAsia="方正仿宋_GB2312" w:cs="Times New Roman"/>
                <w:color w:val="000000" w:themeColor="text1"/>
                <w:sz w:val="21"/>
                <w:szCs w:val="21"/>
                <w:vertAlign w:val="superscript"/>
                <w:lang w:val="en-US" w:eastAsia="zh-CN"/>
                <w14:textFill>
                  <w14:solidFill>
                    <w14:schemeClr w14:val="tx1"/>
                  </w14:solidFill>
                </w14:textFill>
              </w:rPr>
              <w:t>3</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/h</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H=25m</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7.5kw</w:t>
            </w:r>
          </w:p>
        </w:tc>
        <w:tc>
          <w:tcPr>
            <w:tcW w:w="540" w:type="pct"/>
            <w:tcBorders>
              <w:tl2br w:val="nil"/>
              <w:tr2bl w:val="nil"/>
            </w:tcBorders>
            <w:shd w:val="clear" w:color="auto" w:fill="auto"/>
            <w:tcMar>
              <w:top w:w="15" w:type="dxa"/>
              <w:left w:w="15" w:type="dxa"/>
              <w:bottom w:w="0" w:type="dxa"/>
              <w:right w:w="15" w:type="dxa"/>
            </w:tcMar>
            <w:vAlign w:val="center"/>
          </w:tcPr>
          <w:p w14:paraId="56CAD5E2">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组合件</w:t>
            </w:r>
          </w:p>
        </w:tc>
        <w:tc>
          <w:tcPr>
            <w:tcW w:w="443" w:type="pct"/>
            <w:tcBorders>
              <w:tl2br w:val="nil"/>
              <w:tr2bl w:val="nil"/>
            </w:tcBorders>
            <w:shd w:val="clear" w:color="auto" w:fill="auto"/>
            <w:tcMar>
              <w:top w:w="15" w:type="dxa"/>
              <w:left w:w="15" w:type="dxa"/>
              <w:bottom w:w="0" w:type="dxa"/>
              <w:right w:w="15" w:type="dxa"/>
            </w:tcMar>
            <w:vAlign w:val="center"/>
          </w:tcPr>
          <w:p w14:paraId="2F789432">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常温</w:t>
            </w:r>
          </w:p>
        </w:tc>
        <w:tc>
          <w:tcPr>
            <w:tcW w:w="451" w:type="pct"/>
            <w:tcBorders>
              <w:tl2br w:val="nil"/>
              <w:tr2bl w:val="nil"/>
            </w:tcBorders>
            <w:shd w:val="clear" w:color="auto" w:fill="auto"/>
            <w:tcMar>
              <w:top w:w="15" w:type="dxa"/>
              <w:left w:w="15" w:type="dxa"/>
              <w:bottom w:w="0" w:type="dxa"/>
              <w:right w:w="15" w:type="dxa"/>
            </w:tcMar>
            <w:vAlign w:val="center"/>
          </w:tcPr>
          <w:p w14:paraId="38152D23">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0.25</w:t>
            </w:r>
          </w:p>
        </w:tc>
        <w:tc>
          <w:tcPr>
            <w:tcW w:w="342" w:type="pct"/>
            <w:tcBorders>
              <w:tl2br w:val="nil"/>
              <w:tr2bl w:val="nil"/>
            </w:tcBorders>
            <w:shd w:val="clear" w:color="auto" w:fill="auto"/>
            <w:tcMar>
              <w:top w:w="15" w:type="dxa"/>
              <w:left w:w="15" w:type="dxa"/>
              <w:bottom w:w="0" w:type="dxa"/>
              <w:right w:w="15" w:type="dxa"/>
            </w:tcMar>
            <w:vAlign w:val="center"/>
          </w:tcPr>
          <w:p w14:paraId="61739506">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w:t>
            </w:r>
          </w:p>
        </w:tc>
        <w:tc>
          <w:tcPr>
            <w:tcW w:w="378" w:type="pct"/>
            <w:tcBorders>
              <w:tl2br w:val="nil"/>
              <w:tr2bl w:val="nil"/>
            </w:tcBorders>
            <w:shd w:val="clear" w:color="auto" w:fill="auto"/>
            <w:vAlign w:val="center"/>
          </w:tcPr>
          <w:p w14:paraId="00DACFBB">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利旧</w:t>
            </w:r>
          </w:p>
        </w:tc>
      </w:tr>
      <w:tr w14:paraId="2C10B3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87" w:hRule="atLeast"/>
          <w:jc w:val="center"/>
        </w:trPr>
        <w:tc>
          <w:tcPr>
            <w:tcW w:w="462" w:type="pct"/>
            <w:vMerge w:val="continue"/>
            <w:tcBorders>
              <w:tl2br w:val="nil"/>
              <w:tr2bl w:val="nil"/>
            </w:tcBorders>
            <w:tcMar>
              <w:top w:w="15" w:type="dxa"/>
              <w:left w:w="15" w:type="dxa"/>
              <w:bottom w:w="0" w:type="dxa"/>
              <w:right w:w="15" w:type="dxa"/>
            </w:tcMar>
            <w:vAlign w:val="center"/>
          </w:tcPr>
          <w:p w14:paraId="398CE32E">
            <w:pPr>
              <w:widowControl/>
              <w:jc w:val="center"/>
              <w:rPr>
                <w:rFonts w:eastAsia="仿宋_GB2312"/>
                <w:b/>
                <w:color w:val="auto"/>
                <w:kern w:val="0"/>
                <w:szCs w:val="20"/>
              </w:rPr>
            </w:pPr>
          </w:p>
        </w:tc>
        <w:tc>
          <w:tcPr>
            <w:tcW w:w="346" w:type="pct"/>
            <w:tcBorders>
              <w:tl2br w:val="nil"/>
              <w:tr2bl w:val="nil"/>
            </w:tcBorders>
            <w:shd w:val="clear" w:color="auto" w:fill="auto"/>
            <w:tcMar>
              <w:top w:w="15" w:type="dxa"/>
              <w:left w:w="15" w:type="dxa"/>
              <w:bottom w:w="0" w:type="dxa"/>
              <w:right w:w="15" w:type="dxa"/>
            </w:tcMar>
            <w:vAlign w:val="center"/>
          </w:tcPr>
          <w:p w14:paraId="66A0E3D1">
            <w:pPr>
              <w:bidi w:val="0"/>
              <w:jc w:val="center"/>
              <w:rPr>
                <w:rFonts w:hint="eastAsia"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32</w:t>
            </w:r>
          </w:p>
        </w:tc>
        <w:tc>
          <w:tcPr>
            <w:tcW w:w="816" w:type="pct"/>
            <w:tcBorders>
              <w:tl2br w:val="nil"/>
              <w:tr2bl w:val="nil"/>
            </w:tcBorders>
            <w:shd w:val="clear" w:color="auto" w:fill="auto"/>
            <w:tcMar>
              <w:top w:w="15" w:type="dxa"/>
              <w:left w:w="15" w:type="dxa"/>
              <w:bottom w:w="0" w:type="dxa"/>
              <w:right w:w="15" w:type="dxa"/>
            </w:tcMar>
            <w:vAlign w:val="center"/>
          </w:tcPr>
          <w:p w14:paraId="405C792D">
            <w:pPr>
              <w:bidi w:val="0"/>
              <w:jc w:val="center"/>
              <w:rPr>
                <w:rFonts w:hint="default" w:ascii="Times New Roman" w:hAnsi="Times New Roman" w:eastAsia="方正仿宋_GB2312" w:cs="Times New Roman"/>
                <w:snapToGrid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异丙醇原料泵</w:t>
            </w:r>
          </w:p>
        </w:tc>
        <w:tc>
          <w:tcPr>
            <w:tcW w:w="1218" w:type="pct"/>
            <w:tcBorders>
              <w:tl2br w:val="nil"/>
              <w:tr2bl w:val="nil"/>
            </w:tcBorders>
            <w:shd w:val="clear" w:color="auto" w:fill="auto"/>
            <w:tcMar>
              <w:top w:w="15" w:type="dxa"/>
              <w:left w:w="15" w:type="dxa"/>
              <w:bottom w:w="0" w:type="dxa"/>
              <w:right w:w="15" w:type="dxa"/>
            </w:tcMar>
            <w:vAlign w:val="center"/>
          </w:tcPr>
          <w:p w14:paraId="0B363CCA">
            <w:pPr>
              <w:bidi w:val="0"/>
              <w:jc w:val="center"/>
              <w:rPr>
                <w:rFonts w:hint="default" w:ascii="Times New Roman" w:hAnsi="Times New Roman" w:eastAsia="方正仿宋_GB2312" w:cs="Times New Roman"/>
                <w:snapToGrid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Q=15m</w:t>
            </w:r>
            <w:r>
              <w:rPr>
                <w:rFonts w:hint="default" w:ascii="Times New Roman" w:hAnsi="Times New Roman" w:eastAsia="方正仿宋_GB2312" w:cs="Times New Roman"/>
                <w:color w:val="000000" w:themeColor="text1"/>
                <w:sz w:val="21"/>
                <w:szCs w:val="21"/>
                <w:vertAlign w:val="superscript"/>
                <w:lang w:val="en-US" w:eastAsia="zh-CN"/>
                <w14:textFill>
                  <w14:solidFill>
                    <w14:schemeClr w14:val="tx1"/>
                  </w14:solidFill>
                </w14:textFill>
              </w:rPr>
              <w:t>3</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/h</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H=25m</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7.5kw</w:t>
            </w:r>
          </w:p>
        </w:tc>
        <w:tc>
          <w:tcPr>
            <w:tcW w:w="540" w:type="pct"/>
            <w:tcBorders>
              <w:tl2br w:val="nil"/>
              <w:tr2bl w:val="nil"/>
            </w:tcBorders>
            <w:shd w:val="clear" w:color="auto" w:fill="auto"/>
            <w:tcMar>
              <w:top w:w="15" w:type="dxa"/>
              <w:left w:w="15" w:type="dxa"/>
              <w:bottom w:w="0" w:type="dxa"/>
              <w:right w:w="15" w:type="dxa"/>
            </w:tcMar>
            <w:vAlign w:val="center"/>
          </w:tcPr>
          <w:p w14:paraId="1F98C79D">
            <w:pPr>
              <w:bidi w:val="0"/>
              <w:jc w:val="center"/>
              <w:rPr>
                <w:rFonts w:hint="default" w:ascii="Times New Roman" w:hAnsi="Times New Roman" w:eastAsia="方正仿宋_GB2312" w:cs="Times New Roman"/>
                <w:snapToGrid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组合件</w:t>
            </w:r>
          </w:p>
        </w:tc>
        <w:tc>
          <w:tcPr>
            <w:tcW w:w="443" w:type="pct"/>
            <w:tcBorders>
              <w:tl2br w:val="nil"/>
              <w:tr2bl w:val="nil"/>
            </w:tcBorders>
            <w:shd w:val="clear" w:color="auto" w:fill="auto"/>
            <w:tcMar>
              <w:top w:w="15" w:type="dxa"/>
              <w:left w:w="15" w:type="dxa"/>
              <w:bottom w:w="0" w:type="dxa"/>
              <w:right w:w="15" w:type="dxa"/>
            </w:tcMar>
            <w:vAlign w:val="center"/>
          </w:tcPr>
          <w:p w14:paraId="7B62EBA6">
            <w:pPr>
              <w:bidi w:val="0"/>
              <w:jc w:val="center"/>
              <w:rPr>
                <w:rFonts w:hint="default" w:ascii="Times New Roman" w:hAnsi="Times New Roman" w:eastAsia="方正仿宋_GB2312" w:cs="Times New Roman"/>
                <w:snapToGrid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常温</w:t>
            </w:r>
          </w:p>
        </w:tc>
        <w:tc>
          <w:tcPr>
            <w:tcW w:w="451" w:type="pct"/>
            <w:tcBorders>
              <w:tl2br w:val="nil"/>
              <w:tr2bl w:val="nil"/>
            </w:tcBorders>
            <w:shd w:val="clear" w:color="auto" w:fill="auto"/>
            <w:tcMar>
              <w:top w:w="15" w:type="dxa"/>
              <w:left w:w="15" w:type="dxa"/>
              <w:bottom w:w="0" w:type="dxa"/>
              <w:right w:w="15" w:type="dxa"/>
            </w:tcMar>
            <w:vAlign w:val="center"/>
          </w:tcPr>
          <w:p w14:paraId="10347339">
            <w:pPr>
              <w:bidi w:val="0"/>
              <w:jc w:val="center"/>
              <w:rPr>
                <w:rFonts w:hint="default" w:ascii="Times New Roman" w:hAnsi="Times New Roman" w:eastAsia="方正仿宋_GB2312" w:cs="Times New Roman"/>
                <w:snapToGrid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0.25</w:t>
            </w:r>
          </w:p>
        </w:tc>
        <w:tc>
          <w:tcPr>
            <w:tcW w:w="342" w:type="pct"/>
            <w:tcBorders>
              <w:tl2br w:val="nil"/>
              <w:tr2bl w:val="nil"/>
            </w:tcBorders>
            <w:shd w:val="clear" w:color="auto" w:fill="auto"/>
            <w:tcMar>
              <w:top w:w="15" w:type="dxa"/>
              <w:left w:w="15" w:type="dxa"/>
              <w:bottom w:w="0" w:type="dxa"/>
              <w:right w:w="15" w:type="dxa"/>
            </w:tcMar>
            <w:vAlign w:val="center"/>
          </w:tcPr>
          <w:p w14:paraId="19C63BCB">
            <w:pPr>
              <w:bidi w:val="0"/>
              <w:jc w:val="center"/>
              <w:rPr>
                <w:rFonts w:hint="default" w:ascii="Times New Roman" w:hAnsi="Times New Roman" w:eastAsia="方正仿宋_GB2312" w:cs="Times New Roman"/>
                <w:snapToGrid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w:t>
            </w:r>
          </w:p>
        </w:tc>
        <w:tc>
          <w:tcPr>
            <w:tcW w:w="378" w:type="pct"/>
            <w:tcBorders>
              <w:tl2br w:val="nil"/>
              <w:tr2bl w:val="nil"/>
            </w:tcBorders>
            <w:shd w:val="clear" w:color="auto" w:fill="auto"/>
            <w:vAlign w:val="center"/>
          </w:tcPr>
          <w:p w14:paraId="55645038">
            <w:pPr>
              <w:bidi w:val="0"/>
              <w:jc w:val="center"/>
              <w:rPr>
                <w:rFonts w:hint="default" w:ascii="Times New Roman" w:hAnsi="Times New Roman" w:eastAsia="方正仿宋_GB2312" w:cs="Times New Roman"/>
                <w:snapToGrid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利旧</w:t>
            </w:r>
          </w:p>
        </w:tc>
      </w:tr>
      <w:tr w14:paraId="0F3DC9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87" w:hRule="atLeast"/>
          <w:jc w:val="center"/>
        </w:trPr>
        <w:tc>
          <w:tcPr>
            <w:tcW w:w="462" w:type="pct"/>
            <w:vMerge w:val="continue"/>
            <w:tcBorders>
              <w:tl2br w:val="nil"/>
              <w:tr2bl w:val="nil"/>
            </w:tcBorders>
            <w:tcMar>
              <w:top w:w="15" w:type="dxa"/>
              <w:left w:w="15" w:type="dxa"/>
              <w:bottom w:w="0" w:type="dxa"/>
              <w:right w:w="15" w:type="dxa"/>
            </w:tcMar>
            <w:vAlign w:val="center"/>
          </w:tcPr>
          <w:p w14:paraId="540C9FEF">
            <w:pPr>
              <w:widowControl/>
              <w:jc w:val="center"/>
              <w:rPr>
                <w:rFonts w:eastAsia="仿宋_GB2312"/>
                <w:b/>
                <w:color w:val="auto"/>
                <w:kern w:val="0"/>
                <w:szCs w:val="20"/>
              </w:rPr>
            </w:pPr>
          </w:p>
        </w:tc>
        <w:tc>
          <w:tcPr>
            <w:tcW w:w="346" w:type="pct"/>
            <w:tcBorders>
              <w:tl2br w:val="nil"/>
              <w:tr2bl w:val="nil"/>
            </w:tcBorders>
            <w:shd w:val="clear" w:color="auto" w:fill="auto"/>
            <w:tcMar>
              <w:top w:w="15" w:type="dxa"/>
              <w:left w:w="15" w:type="dxa"/>
              <w:bottom w:w="0" w:type="dxa"/>
              <w:right w:w="15" w:type="dxa"/>
            </w:tcMar>
            <w:vAlign w:val="center"/>
          </w:tcPr>
          <w:p w14:paraId="048EDBA6">
            <w:pPr>
              <w:bidi w:val="0"/>
              <w:jc w:val="center"/>
              <w:rPr>
                <w:rFonts w:hint="eastAsia"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33</w:t>
            </w:r>
          </w:p>
        </w:tc>
        <w:tc>
          <w:tcPr>
            <w:tcW w:w="816" w:type="pct"/>
            <w:tcBorders>
              <w:tl2br w:val="nil"/>
              <w:tr2bl w:val="nil"/>
            </w:tcBorders>
            <w:shd w:val="clear" w:color="auto" w:fill="auto"/>
            <w:tcMar>
              <w:top w:w="15" w:type="dxa"/>
              <w:left w:w="15" w:type="dxa"/>
              <w:bottom w:w="0" w:type="dxa"/>
              <w:right w:w="15" w:type="dxa"/>
            </w:tcMar>
            <w:vAlign w:val="center"/>
          </w:tcPr>
          <w:p w14:paraId="746263FE">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NMP成品泵</w:t>
            </w:r>
          </w:p>
        </w:tc>
        <w:tc>
          <w:tcPr>
            <w:tcW w:w="1218" w:type="pct"/>
            <w:tcBorders>
              <w:tl2br w:val="nil"/>
              <w:tr2bl w:val="nil"/>
            </w:tcBorders>
            <w:shd w:val="clear" w:color="auto" w:fill="auto"/>
            <w:tcMar>
              <w:top w:w="15" w:type="dxa"/>
              <w:left w:w="15" w:type="dxa"/>
              <w:bottom w:w="0" w:type="dxa"/>
              <w:right w:w="15" w:type="dxa"/>
            </w:tcMar>
            <w:vAlign w:val="center"/>
          </w:tcPr>
          <w:p w14:paraId="12D35FF0">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Q=15m</w:t>
            </w:r>
            <w:r>
              <w:rPr>
                <w:rFonts w:hint="default" w:ascii="Times New Roman" w:hAnsi="Times New Roman" w:eastAsia="方正仿宋_GB2312" w:cs="Times New Roman"/>
                <w:color w:val="000000" w:themeColor="text1"/>
                <w:sz w:val="21"/>
                <w:szCs w:val="21"/>
                <w:vertAlign w:val="superscript"/>
                <w:lang w:val="en-US" w:eastAsia="zh-CN"/>
                <w14:textFill>
                  <w14:solidFill>
                    <w14:schemeClr w14:val="tx1"/>
                  </w14:solidFill>
                </w14:textFill>
              </w:rPr>
              <w:t>3</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/h</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H=25m</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7.5kw</w:t>
            </w:r>
          </w:p>
        </w:tc>
        <w:tc>
          <w:tcPr>
            <w:tcW w:w="540" w:type="pct"/>
            <w:tcBorders>
              <w:tl2br w:val="nil"/>
              <w:tr2bl w:val="nil"/>
            </w:tcBorders>
            <w:shd w:val="clear" w:color="auto" w:fill="auto"/>
            <w:tcMar>
              <w:top w:w="15" w:type="dxa"/>
              <w:left w:w="15" w:type="dxa"/>
              <w:bottom w:w="0" w:type="dxa"/>
              <w:right w:w="15" w:type="dxa"/>
            </w:tcMar>
            <w:vAlign w:val="center"/>
          </w:tcPr>
          <w:p w14:paraId="5BE1E4B9">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组合件</w:t>
            </w:r>
          </w:p>
        </w:tc>
        <w:tc>
          <w:tcPr>
            <w:tcW w:w="443" w:type="pct"/>
            <w:tcBorders>
              <w:tl2br w:val="nil"/>
              <w:tr2bl w:val="nil"/>
            </w:tcBorders>
            <w:shd w:val="clear" w:color="auto" w:fill="auto"/>
            <w:tcMar>
              <w:top w:w="15" w:type="dxa"/>
              <w:left w:w="15" w:type="dxa"/>
              <w:bottom w:w="0" w:type="dxa"/>
              <w:right w:w="15" w:type="dxa"/>
            </w:tcMar>
            <w:vAlign w:val="center"/>
          </w:tcPr>
          <w:p w14:paraId="42FC90C8">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常温</w:t>
            </w:r>
          </w:p>
        </w:tc>
        <w:tc>
          <w:tcPr>
            <w:tcW w:w="451" w:type="pct"/>
            <w:tcBorders>
              <w:tl2br w:val="nil"/>
              <w:tr2bl w:val="nil"/>
            </w:tcBorders>
            <w:shd w:val="clear" w:color="auto" w:fill="auto"/>
            <w:tcMar>
              <w:top w:w="15" w:type="dxa"/>
              <w:left w:w="15" w:type="dxa"/>
              <w:bottom w:w="0" w:type="dxa"/>
              <w:right w:w="15" w:type="dxa"/>
            </w:tcMar>
            <w:vAlign w:val="center"/>
          </w:tcPr>
          <w:p w14:paraId="0ACBABA6">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0.25</w:t>
            </w:r>
          </w:p>
        </w:tc>
        <w:tc>
          <w:tcPr>
            <w:tcW w:w="342" w:type="pct"/>
            <w:tcBorders>
              <w:tl2br w:val="nil"/>
              <w:tr2bl w:val="nil"/>
            </w:tcBorders>
            <w:shd w:val="clear" w:color="auto" w:fill="auto"/>
            <w:tcMar>
              <w:top w:w="15" w:type="dxa"/>
              <w:left w:w="15" w:type="dxa"/>
              <w:bottom w:w="0" w:type="dxa"/>
              <w:right w:w="15" w:type="dxa"/>
            </w:tcMar>
            <w:vAlign w:val="center"/>
          </w:tcPr>
          <w:p w14:paraId="2F02233B">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w:t>
            </w:r>
          </w:p>
        </w:tc>
        <w:tc>
          <w:tcPr>
            <w:tcW w:w="378" w:type="pct"/>
            <w:tcBorders>
              <w:tl2br w:val="nil"/>
              <w:tr2bl w:val="nil"/>
            </w:tcBorders>
            <w:shd w:val="clear" w:color="auto" w:fill="auto"/>
            <w:vAlign w:val="center"/>
          </w:tcPr>
          <w:p w14:paraId="5C853E85">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利旧</w:t>
            </w:r>
          </w:p>
        </w:tc>
      </w:tr>
      <w:tr w14:paraId="74E227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87" w:hRule="atLeast"/>
          <w:jc w:val="center"/>
        </w:trPr>
        <w:tc>
          <w:tcPr>
            <w:tcW w:w="462" w:type="pct"/>
            <w:vMerge w:val="continue"/>
            <w:tcBorders>
              <w:tl2br w:val="nil"/>
              <w:tr2bl w:val="nil"/>
            </w:tcBorders>
            <w:tcMar>
              <w:top w:w="15" w:type="dxa"/>
              <w:left w:w="15" w:type="dxa"/>
              <w:bottom w:w="0" w:type="dxa"/>
              <w:right w:w="15" w:type="dxa"/>
            </w:tcMar>
            <w:vAlign w:val="center"/>
          </w:tcPr>
          <w:p w14:paraId="4CECA69D">
            <w:pPr>
              <w:widowControl/>
              <w:jc w:val="center"/>
              <w:rPr>
                <w:rFonts w:eastAsia="仿宋_GB2312"/>
                <w:b/>
                <w:color w:val="auto"/>
                <w:kern w:val="0"/>
                <w:szCs w:val="20"/>
              </w:rPr>
            </w:pPr>
          </w:p>
        </w:tc>
        <w:tc>
          <w:tcPr>
            <w:tcW w:w="346" w:type="pct"/>
            <w:tcBorders>
              <w:tl2br w:val="nil"/>
              <w:tr2bl w:val="nil"/>
            </w:tcBorders>
            <w:shd w:val="clear" w:color="auto" w:fill="auto"/>
            <w:tcMar>
              <w:top w:w="15" w:type="dxa"/>
              <w:left w:w="15" w:type="dxa"/>
              <w:bottom w:w="0" w:type="dxa"/>
              <w:right w:w="15" w:type="dxa"/>
            </w:tcMar>
            <w:vAlign w:val="center"/>
          </w:tcPr>
          <w:p w14:paraId="37E5B4B6">
            <w:pPr>
              <w:bidi w:val="0"/>
              <w:jc w:val="center"/>
              <w:rPr>
                <w:rFonts w:hint="eastAsia"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34</w:t>
            </w:r>
          </w:p>
        </w:tc>
        <w:tc>
          <w:tcPr>
            <w:tcW w:w="816" w:type="pct"/>
            <w:tcBorders>
              <w:tl2br w:val="nil"/>
              <w:tr2bl w:val="nil"/>
            </w:tcBorders>
            <w:shd w:val="clear" w:color="auto" w:fill="auto"/>
            <w:tcMar>
              <w:top w:w="15" w:type="dxa"/>
              <w:left w:w="15" w:type="dxa"/>
              <w:bottom w:w="0" w:type="dxa"/>
              <w:right w:w="15" w:type="dxa"/>
            </w:tcMar>
            <w:vAlign w:val="center"/>
          </w:tcPr>
          <w:p w14:paraId="7A13BE09">
            <w:pPr>
              <w:bidi w:val="0"/>
              <w:jc w:val="center"/>
              <w:rPr>
                <w:rFonts w:hint="default" w:ascii="Times New Roman" w:hAnsi="Times New Roman" w:eastAsia="方正仿宋_GB2312" w:cs="Times New Roman"/>
                <w:snapToGrid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异丙醇成品泵</w:t>
            </w:r>
          </w:p>
        </w:tc>
        <w:tc>
          <w:tcPr>
            <w:tcW w:w="1218" w:type="pct"/>
            <w:tcBorders>
              <w:tl2br w:val="nil"/>
              <w:tr2bl w:val="nil"/>
            </w:tcBorders>
            <w:shd w:val="clear" w:color="auto" w:fill="auto"/>
            <w:tcMar>
              <w:top w:w="15" w:type="dxa"/>
              <w:left w:w="15" w:type="dxa"/>
              <w:bottom w:w="0" w:type="dxa"/>
              <w:right w:w="15" w:type="dxa"/>
            </w:tcMar>
            <w:vAlign w:val="center"/>
          </w:tcPr>
          <w:p w14:paraId="71D6C1E7">
            <w:pPr>
              <w:bidi w:val="0"/>
              <w:jc w:val="center"/>
              <w:rPr>
                <w:rFonts w:hint="default" w:ascii="Times New Roman" w:hAnsi="Times New Roman" w:eastAsia="方正仿宋_GB2312" w:cs="Times New Roman"/>
                <w:snapToGrid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Q=15m</w:t>
            </w:r>
            <w:r>
              <w:rPr>
                <w:rFonts w:hint="default" w:ascii="Times New Roman" w:hAnsi="Times New Roman" w:eastAsia="方正仿宋_GB2312" w:cs="Times New Roman"/>
                <w:color w:val="000000" w:themeColor="text1"/>
                <w:sz w:val="21"/>
                <w:szCs w:val="21"/>
                <w:vertAlign w:val="superscript"/>
                <w:lang w:val="en-US" w:eastAsia="zh-CN"/>
                <w14:textFill>
                  <w14:solidFill>
                    <w14:schemeClr w14:val="tx1"/>
                  </w14:solidFill>
                </w14:textFill>
              </w:rPr>
              <w:t>3</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/h</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H=25m</w:t>
            </w:r>
            <w:r>
              <w:rPr>
                <w:rFonts w:hint="eastAsia" w:eastAsia="方正仿宋_GB2312" w:cs="Times New Roman"/>
                <w:color w:val="000000" w:themeColor="text1"/>
                <w:sz w:val="21"/>
                <w:szCs w:val="21"/>
                <w:lang w:val="en-US" w:eastAsia="zh-CN"/>
                <w14:textFill>
                  <w14:solidFill>
                    <w14:schemeClr w14:val="tx1"/>
                  </w14:solidFill>
                </w14:textFill>
              </w:rPr>
              <w:t>，</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7.5kw</w:t>
            </w:r>
          </w:p>
        </w:tc>
        <w:tc>
          <w:tcPr>
            <w:tcW w:w="540" w:type="pct"/>
            <w:tcBorders>
              <w:tl2br w:val="nil"/>
              <w:tr2bl w:val="nil"/>
            </w:tcBorders>
            <w:shd w:val="clear" w:color="auto" w:fill="auto"/>
            <w:tcMar>
              <w:top w:w="15" w:type="dxa"/>
              <w:left w:w="15" w:type="dxa"/>
              <w:bottom w:w="0" w:type="dxa"/>
              <w:right w:w="15" w:type="dxa"/>
            </w:tcMar>
            <w:vAlign w:val="center"/>
          </w:tcPr>
          <w:p w14:paraId="41EA219D">
            <w:pPr>
              <w:bidi w:val="0"/>
              <w:jc w:val="center"/>
              <w:rPr>
                <w:rFonts w:hint="default" w:ascii="Times New Roman" w:hAnsi="Times New Roman" w:eastAsia="方正仿宋_GB2312" w:cs="Times New Roman"/>
                <w:snapToGrid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组合件</w:t>
            </w:r>
          </w:p>
        </w:tc>
        <w:tc>
          <w:tcPr>
            <w:tcW w:w="443" w:type="pct"/>
            <w:tcBorders>
              <w:tl2br w:val="nil"/>
              <w:tr2bl w:val="nil"/>
            </w:tcBorders>
            <w:shd w:val="clear" w:color="auto" w:fill="auto"/>
            <w:tcMar>
              <w:top w:w="15" w:type="dxa"/>
              <w:left w:w="15" w:type="dxa"/>
              <w:bottom w:w="0" w:type="dxa"/>
              <w:right w:w="15" w:type="dxa"/>
            </w:tcMar>
            <w:vAlign w:val="center"/>
          </w:tcPr>
          <w:p w14:paraId="245F30C2">
            <w:pPr>
              <w:bidi w:val="0"/>
              <w:jc w:val="center"/>
              <w:rPr>
                <w:rFonts w:hint="default" w:ascii="Times New Roman" w:hAnsi="Times New Roman" w:eastAsia="方正仿宋_GB2312" w:cs="Times New Roman"/>
                <w:snapToGrid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常温</w:t>
            </w:r>
          </w:p>
        </w:tc>
        <w:tc>
          <w:tcPr>
            <w:tcW w:w="451" w:type="pct"/>
            <w:tcBorders>
              <w:tl2br w:val="nil"/>
              <w:tr2bl w:val="nil"/>
            </w:tcBorders>
            <w:shd w:val="clear" w:color="auto" w:fill="auto"/>
            <w:tcMar>
              <w:top w:w="15" w:type="dxa"/>
              <w:left w:w="15" w:type="dxa"/>
              <w:bottom w:w="0" w:type="dxa"/>
              <w:right w:w="15" w:type="dxa"/>
            </w:tcMar>
            <w:vAlign w:val="center"/>
          </w:tcPr>
          <w:p w14:paraId="08F7D1AA">
            <w:pPr>
              <w:bidi w:val="0"/>
              <w:jc w:val="center"/>
              <w:rPr>
                <w:rFonts w:hint="default" w:ascii="Times New Roman" w:hAnsi="Times New Roman" w:eastAsia="方正仿宋_GB2312" w:cs="Times New Roman"/>
                <w:snapToGrid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0.25</w:t>
            </w:r>
          </w:p>
        </w:tc>
        <w:tc>
          <w:tcPr>
            <w:tcW w:w="342" w:type="pct"/>
            <w:tcBorders>
              <w:tl2br w:val="nil"/>
              <w:tr2bl w:val="nil"/>
            </w:tcBorders>
            <w:shd w:val="clear" w:color="auto" w:fill="auto"/>
            <w:tcMar>
              <w:top w:w="15" w:type="dxa"/>
              <w:left w:w="15" w:type="dxa"/>
              <w:bottom w:w="0" w:type="dxa"/>
              <w:right w:w="15" w:type="dxa"/>
            </w:tcMar>
            <w:vAlign w:val="center"/>
          </w:tcPr>
          <w:p w14:paraId="78C1255C">
            <w:pPr>
              <w:bidi w:val="0"/>
              <w:jc w:val="center"/>
              <w:rPr>
                <w:rFonts w:hint="default" w:ascii="Times New Roman" w:hAnsi="Times New Roman" w:eastAsia="方正仿宋_GB2312" w:cs="Times New Roman"/>
                <w:snapToGrid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w:t>
            </w:r>
          </w:p>
        </w:tc>
        <w:tc>
          <w:tcPr>
            <w:tcW w:w="378" w:type="pct"/>
            <w:tcBorders>
              <w:tl2br w:val="nil"/>
              <w:tr2bl w:val="nil"/>
            </w:tcBorders>
            <w:shd w:val="clear" w:color="auto" w:fill="auto"/>
            <w:vAlign w:val="center"/>
          </w:tcPr>
          <w:p w14:paraId="40AB87EA">
            <w:pPr>
              <w:bidi w:val="0"/>
              <w:jc w:val="center"/>
              <w:rPr>
                <w:rFonts w:hint="default" w:ascii="Times New Roman" w:hAnsi="Times New Roman" w:eastAsia="方正仿宋_GB2312" w:cs="Times New Roman"/>
                <w:snapToGrid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利旧</w:t>
            </w:r>
          </w:p>
        </w:tc>
      </w:tr>
      <w:tr w14:paraId="574688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87" w:hRule="atLeast"/>
          <w:jc w:val="center"/>
        </w:trPr>
        <w:tc>
          <w:tcPr>
            <w:tcW w:w="462" w:type="pct"/>
            <w:vMerge w:val="continue"/>
            <w:tcBorders>
              <w:tl2br w:val="nil"/>
              <w:tr2bl w:val="nil"/>
            </w:tcBorders>
            <w:tcMar>
              <w:top w:w="15" w:type="dxa"/>
              <w:left w:w="15" w:type="dxa"/>
              <w:bottom w:w="0" w:type="dxa"/>
              <w:right w:w="15" w:type="dxa"/>
            </w:tcMar>
            <w:vAlign w:val="center"/>
          </w:tcPr>
          <w:p w14:paraId="2016C732">
            <w:pPr>
              <w:widowControl/>
              <w:jc w:val="center"/>
              <w:rPr>
                <w:rFonts w:eastAsia="仿宋_GB2312"/>
                <w:b/>
                <w:color w:val="auto"/>
                <w:kern w:val="0"/>
                <w:szCs w:val="20"/>
              </w:rPr>
            </w:pPr>
          </w:p>
        </w:tc>
        <w:tc>
          <w:tcPr>
            <w:tcW w:w="346" w:type="pct"/>
            <w:tcBorders>
              <w:tl2br w:val="nil"/>
              <w:tr2bl w:val="nil"/>
            </w:tcBorders>
            <w:shd w:val="clear" w:color="auto" w:fill="auto"/>
            <w:tcMar>
              <w:top w:w="15" w:type="dxa"/>
              <w:left w:w="15" w:type="dxa"/>
              <w:bottom w:w="0" w:type="dxa"/>
              <w:right w:w="15" w:type="dxa"/>
            </w:tcMar>
            <w:vAlign w:val="center"/>
          </w:tcPr>
          <w:p w14:paraId="6447EF8C">
            <w:pPr>
              <w:bidi w:val="0"/>
              <w:jc w:val="center"/>
              <w:rPr>
                <w:rFonts w:hint="eastAsia"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35</w:t>
            </w:r>
          </w:p>
        </w:tc>
        <w:tc>
          <w:tcPr>
            <w:tcW w:w="816" w:type="pct"/>
            <w:tcBorders>
              <w:tl2br w:val="nil"/>
              <w:tr2bl w:val="nil"/>
            </w:tcBorders>
            <w:shd w:val="clear" w:color="auto" w:fill="auto"/>
            <w:tcMar>
              <w:top w:w="15" w:type="dxa"/>
              <w:left w:w="15" w:type="dxa"/>
              <w:bottom w:w="0" w:type="dxa"/>
              <w:right w:w="15" w:type="dxa"/>
            </w:tcMar>
            <w:vAlign w:val="center"/>
          </w:tcPr>
          <w:p w14:paraId="518AD8F2">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真空机组</w:t>
            </w:r>
          </w:p>
        </w:tc>
        <w:tc>
          <w:tcPr>
            <w:tcW w:w="1218" w:type="pct"/>
            <w:tcBorders>
              <w:tl2br w:val="nil"/>
              <w:tr2bl w:val="nil"/>
            </w:tcBorders>
            <w:shd w:val="clear" w:color="auto" w:fill="auto"/>
            <w:tcMar>
              <w:top w:w="15" w:type="dxa"/>
              <w:left w:w="15" w:type="dxa"/>
              <w:bottom w:w="0" w:type="dxa"/>
              <w:right w:w="15" w:type="dxa"/>
            </w:tcMar>
            <w:vAlign w:val="center"/>
          </w:tcPr>
          <w:p w14:paraId="57E53BF1">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Q=200L/S</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15kw+4kw</w:t>
            </w:r>
          </w:p>
        </w:tc>
        <w:tc>
          <w:tcPr>
            <w:tcW w:w="540" w:type="pct"/>
            <w:tcBorders>
              <w:tl2br w:val="nil"/>
              <w:tr2bl w:val="nil"/>
            </w:tcBorders>
            <w:shd w:val="clear" w:color="auto" w:fill="auto"/>
            <w:tcMar>
              <w:top w:w="15" w:type="dxa"/>
              <w:left w:w="15" w:type="dxa"/>
              <w:bottom w:w="0" w:type="dxa"/>
              <w:right w:w="15" w:type="dxa"/>
            </w:tcMar>
            <w:vAlign w:val="center"/>
          </w:tcPr>
          <w:p w14:paraId="33099CB7">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组合件</w:t>
            </w:r>
          </w:p>
        </w:tc>
        <w:tc>
          <w:tcPr>
            <w:tcW w:w="443" w:type="pct"/>
            <w:tcBorders>
              <w:tl2br w:val="nil"/>
              <w:tr2bl w:val="nil"/>
            </w:tcBorders>
            <w:shd w:val="clear" w:color="auto" w:fill="auto"/>
            <w:tcMar>
              <w:top w:w="15" w:type="dxa"/>
              <w:left w:w="15" w:type="dxa"/>
              <w:bottom w:w="0" w:type="dxa"/>
              <w:right w:w="15" w:type="dxa"/>
            </w:tcMar>
            <w:vAlign w:val="center"/>
          </w:tcPr>
          <w:p w14:paraId="708B4B07">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常温</w:t>
            </w:r>
          </w:p>
        </w:tc>
        <w:tc>
          <w:tcPr>
            <w:tcW w:w="451" w:type="pct"/>
            <w:tcBorders>
              <w:tl2br w:val="nil"/>
              <w:tr2bl w:val="nil"/>
            </w:tcBorders>
            <w:shd w:val="clear" w:color="auto" w:fill="auto"/>
            <w:tcMar>
              <w:top w:w="15" w:type="dxa"/>
              <w:left w:w="15" w:type="dxa"/>
              <w:bottom w:w="0" w:type="dxa"/>
              <w:right w:w="15" w:type="dxa"/>
            </w:tcMar>
            <w:vAlign w:val="center"/>
          </w:tcPr>
          <w:p w14:paraId="09ACD029">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-0.095</w:t>
            </w:r>
          </w:p>
        </w:tc>
        <w:tc>
          <w:tcPr>
            <w:tcW w:w="342" w:type="pct"/>
            <w:tcBorders>
              <w:tl2br w:val="nil"/>
              <w:tr2bl w:val="nil"/>
            </w:tcBorders>
            <w:shd w:val="clear" w:color="auto" w:fill="auto"/>
            <w:tcMar>
              <w:top w:w="15" w:type="dxa"/>
              <w:left w:w="15" w:type="dxa"/>
              <w:bottom w:w="0" w:type="dxa"/>
              <w:right w:w="15" w:type="dxa"/>
            </w:tcMar>
            <w:vAlign w:val="center"/>
          </w:tcPr>
          <w:p w14:paraId="69BBA8C2">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6</w:t>
            </w:r>
          </w:p>
        </w:tc>
        <w:tc>
          <w:tcPr>
            <w:tcW w:w="378" w:type="pct"/>
            <w:tcBorders>
              <w:tl2br w:val="nil"/>
              <w:tr2bl w:val="nil"/>
            </w:tcBorders>
            <w:shd w:val="clear" w:color="auto" w:fill="auto"/>
            <w:vAlign w:val="center"/>
          </w:tcPr>
          <w:p w14:paraId="65CF2CE4">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利旧</w:t>
            </w:r>
          </w:p>
        </w:tc>
      </w:tr>
      <w:tr w14:paraId="6B5B9D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87" w:hRule="atLeast"/>
          <w:jc w:val="center"/>
        </w:trPr>
        <w:tc>
          <w:tcPr>
            <w:tcW w:w="462" w:type="pct"/>
            <w:vMerge w:val="continue"/>
            <w:tcBorders>
              <w:tl2br w:val="nil"/>
              <w:tr2bl w:val="nil"/>
            </w:tcBorders>
            <w:tcMar>
              <w:top w:w="15" w:type="dxa"/>
              <w:left w:w="15" w:type="dxa"/>
              <w:bottom w:w="0" w:type="dxa"/>
              <w:right w:w="15" w:type="dxa"/>
            </w:tcMar>
            <w:vAlign w:val="center"/>
          </w:tcPr>
          <w:p w14:paraId="7693118E">
            <w:pPr>
              <w:widowControl/>
              <w:jc w:val="center"/>
              <w:rPr>
                <w:rFonts w:eastAsia="仿宋_GB2312"/>
                <w:b/>
                <w:color w:val="auto"/>
                <w:kern w:val="0"/>
                <w:szCs w:val="20"/>
              </w:rPr>
            </w:pPr>
          </w:p>
        </w:tc>
        <w:tc>
          <w:tcPr>
            <w:tcW w:w="346" w:type="pct"/>
            <w:tcBorders>
              <w:tl2br w:val="nil"/>
              <w:tr2bl w:val="nil"/>
            </w:tcBorders>
            <w:shd w:val="clear" w:color="auto" w:fill="auto"/>
            <w:tcMar>
              <w:top w:w="15" w:type="dxa"/>
              <w:left w:w="15" w:type="dxa"/>
              <w:bottom w:w="0" w:type="dxa"/>
              <w:right w:w="15" w:type="dxa"/>
            </w:tcMar>
            <w:vAlign w:val="center"/>
          </w:tcPr>
          <w:p w14:paraId="22076F44">
            <w:pPr>
              <w:bidi w:val="0"/>
              <w:jc w:val="center"/>
              <w:rPr>
                <w:rFonts w:hint="eastAsia"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36</w:t>
            </w:r>
          </w:p>
        </w:tc>
        <w:tc>
          <w:tcPr>
            <w:tcW w:w="816" w:type="pct"/>
            <w:tcBorders>
              <w:tl2br w:val="nil"/>
              <w:tr2bl w:val="nil"/>
            </w:tcBorders>
            <w:shd w:val="clear" w:color="auto" w:fill="auto"/>
            <w:tcMar>
              <w:top w:w="15" w:type="dxa"/>
              <w:left w:w="15" w:type="dxa"/>
              <w:bottom w:w="0" w:type="dxa"/>
              <w:right w:w="15" w:type="dxa"/>
            </w:tcMar>
            <w:vAlign w:val="center"/>
          </w:tcPr>
          <w:p w14:paraId="34DFCA24">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1#塔再沸器</w:t>
            </w:r>
          </w:p>
        </w:tc>
        <w:tc>
          <w:tcPr>
            <w:tcW w:w="1218" w:type="pct"/>
            <w:tcBorders>
              <w:tl2br w:val="nil"/>
              <w:tr2bl w:val="nil"/>
            </w:tcBorders>
            <w:shd w:val="clear" w:color="auto" w:fill="auto"/>
            <w:tcMar>
              <w:top w:w="15" w:type="dxa"/>
              <w:left w:w="15" w:type="dxa"/>
              <w:bottom w:w="0" w:type="dxa"/>
              <w:right w:w="15" w:type="dxa"/>
            </w:tcMar>
            <w:vAlign w:val="center"/>
          </w:tcPr>
          <w:p w14:paraId="3A9F8243">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F=97m</w:t>
            </w:r>
            <w:r>
              <w:rPr>
                <w:rFonts w:hint="default" w:ascii="Times New Roman" w:hAnsi="Times New Roman" w:eastAsia="方正仿宋_GB2312" w:cs="Times New Roman"/>
                <w:color w:val="000000" w:themeColor="text1"/>
                <w:sz w:val="21"/>
                <w:szCs w:val="21"/>
                <w:vertAlign w:val="superscript"/>
                <w:lang w:val="en-US" w:eastAsia="zh-CN"/>
                <w14:textFill>
                  <w14:solidFill>
                    <w14:schemeClr w14:val="tx1"/>
                  </w14:solidFill>
                </w14:textFill>
              </w:rPr>
              <w:t>2</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Φ900×2500</w:t>
            </w:r>
          </w:p>
        </w:tc>
        <w:tc>
          <w:tcPr>
            <w:tcW w:w="540" w:type="pct"/>
            <w:tcBorders>
              <w:tl2br w:val="nil"/>
              <w:tr2bl w:val="nil"/>
            </w:tcBorders>
            <w:shd w:val="clear" w:color="auto" w:fill="auto"/>
            <w:tcMar>
              <w:top w:w="15" w:type="dxa"/>
              <w:left w:w="15" w:type="dxa"/>
              <w:bottom w:w="0" w:type="dxa"/>
              <w:right w:w="15" w:type="dxa"/>
            </w:tcMar>
            <w:vAlign w:val="center"/>
          </w:tcPr>
          <w:p w14:paraId="0709463B">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S304/Q345R</w:t>
            </w:r>
          </w:p>
        </w:tc>
        <w:tc>
          <w:tcPr>
            <w:tcW w:w="443" w:type="pct"/>
            <w:tcBorders>
              <w:tl2br w:val="nil"/>
              <w:tr2bl w:val="nil"/>
            </w:tcBorders>
            <w:shd w:val="clear" w:color="auto" w:fill="auto"/>
            <w:tcMar>
              <w:top w:w="15" w:type="dxa"/>
              <w:left w:w="15" w:type="dxa"/>
              <w:bottom w:w="0" w:type="dxa"/>
              <w:right w:w="15" w:type="dxa"/>
            </w:tcMar>
            <w:vAlign w:val="center"/>
          </w:tcPr>
          <w:p w14:paraId="7D2BFFF0">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175</w:t>
            </w:r>
          </w:p>
        </w:tc>
        <w:tc>
          <w:tcPr>
            <w:tcW w:w="451" w:type="pct"/>
            <w:tcBorders>
              <w:tl2br w:val="nil"/>
              <w:tr2bl w:val="nil"/>
            </w:tcBorders>
            <w:shd w:val="clear" w:color="auto" w:fill="auto"/>
            <w:tcMar>
              <w:top w:w="15" w:type="dxa"/>
              <w:left w:w="15" w:type="dxa"/>
              <w:bottom w:w="0" w:type="dxa"/>
              <w:right w:w="15" w:type="dxa"/>
            </w:tcMar>
            <w:vAlign w:val="center"/>
          </w:tcPr>
          <w:p w14:paraId="218822F6">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-0.09</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~0.9</w:t>
            </w:r>
          </w:p>
        </w:tc>
        <w:tc>
          <w:tcPr>
            <w:tcW w:w="342" w:type="pct"/>
            <w:tcBorders>
              <w:tl2br w:val="nil"/>
              <w:tr2bl w:val="nil"/>
            </w:tcBorders>
            <w:shd w:val="clear" w:color="auto" w:fill="auto"/>
            <w:tcMar>
              <w:top w:w="15" w:type="dxa"/>
              <w:left w:w="15" w:type="dxa"/>
              <w:bottom w:w="0" w:type="dxa"/>
              <w:right w:w="15" w:type="dxa"/>
            </w:tcMar>
            <w:vAlign w:val="center"/>
          </w:tcPr>
          <w:p w14:paraId="419A6B47">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w:t>
            </w:r>
          </w:p>
        </w:tc>
        <w:tc>
          <w:tcPr>
            <w:tcW w:w="378" w:type="pct"/>
            <w:tcBorders>
              <w:tl2br w:val="nil"/>
              <w:tr2bl w:val="nil"/>
            </w:tcBorders>
            <w:shd w:val="clear" w:color="auto" w:fill="auto"/>
            <w:vAlign w:val="center"/>
          </w:tcPr>
          <w:p w14:paraId="3FA70D27">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利旧</w:t>
            </w:r>
          </w:p>
        </w:tc>
      </w:tr>
      <w:tr w14:paraId="595873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87" w:hRule="atLeast"/>
          <w:jc w:val="center"/>
        </w:trPr>
        <w:tc>
          <w:tcPr>
            <w:tcW w:w="462" w:type="pct"/>
            <w:vMerge w:val="continue"/>
            <w:tcBorders>
              <w:tl2br w:val="nil"/>
              <w:tr2bl w:val="nil"/>
            </w:tcBorders>
            <w:tcMar>
              <w:top w:w="15" w:type="dxa"/>
              <w:left w:w="15" w:type="dxa"/>
              <w:bottom w:w="0" w:type="dxa"/>
              <w:right w:w="15" w:type="dxa"/>
            </w:tcMar>
            <w:vAlign w:val="center"/>
          </w:tcPr>
          <w:p w14:paraId="717B626A">
            <w:pPr>
              <w:widowControl/>
              <w:jc w:val="center"/>
              <w:rPr>
                <w:rFonts w:eastAsia="仿宋_GB2312"/>
                <w:b/>
                <w:color w:val="auto"/>
                <w:kern w:val="0"/>
                <w:szCs w:val="20"/>
              </w:rPr>
            </w:pPr>
          </w:p>
        </w:tc>
        <w:tc>
          <w:tcPr>
            <w:tcW w:w="346" w:type="pct"/>
            <w:tcBorders>
              <w:tl2br w:val="nil"/>
              <w:tr2bl w:val="nil"/>
            </w:tcBorders>
            <w:shd w:val="clear" w:color="auto" w:fill="auto"/>
            <w:tcMar>
              <w:top w:w="15" w:type="dxa"/>
              <w:left w:w="15" w:type="dxa"/>
              <w:bottom w:w="0" w:type="dxa"/>
              <w:right w:w="15" w:type="dxa"/>
            </w:tcMar>
            <w:vAlign w:val="center"/>
          </w:tcPr>
          <w:p w14:paraId="58E89E42">
            <w:pPr>
              <w:bidi w:val="0"/>
              <w:jc w:val="center"/>
              <w:rPr>
                <w:rFonts w:hint="eastAsia"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37</w:t>
            </w:r>
          </w:p>
        </w:tc>
        <w:tc>
          <w:tcPr>
            <w:tcW w:w="816" w:type="pct"/>
            <w:tcBorders>
              <w:tl2br w:val="nil"/>
              <w:tr2bl w:val="nil"/>
            </w:tcBorders>
            <w:shd w:val="clear" w:color="auto" w:fill="auto"/>
            <w:tcMar>
              <w:top w:w="15" w:type="dxa"/>
              <w:left w:w="15" w:type="dxa"/>
              <w:bottom w:w="0" w:type="dxa"/>
              <w:right w:w="15" w:type="dxa"/>
            </w:tcMar>
            <w:vAlign w:val="center"/>
          </w:tcPr>
          <w:p w14:paraId="59D31A72">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5#塔再沸器</w:t>
            </w:r>
          </w:p>
        </w:tc>
        <w:tc>
          <w:tcPr>
            <w:tcW w:w="1218" w:type="pct"/>
            <w:tcBorders>
              <w:tl2br w:val="nil"/>
              <w:tr2bl w:val="nil"/>
            </w:tcBorders>
            <w:shd w:val="clear" w:color="auto" w:fill="auto"/>
            <w:tcMar>
              <w:top w:w="15" w:type="dxa"/>
              <w:left w:w="15" w:type="dxa"/>
              <w:bottom w:w="0" w:type="dxa"/>
              <w:right w:w="15" w:type="dxa"/>
            </w:tcMar>
            <w:vAlign w:val="center"/>
          </w:tcPr>
          <w:p w14:paraId="0AD28A5E">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F=97m</w:t>
            </w:r>
            <w:r>
              <w:rPr>
                <w:rFonts w:hint="default" w:ascii="Times New Roman" w:hAnsi="Times New Roman" w:eastAsia="方正仿宋_GB2312" w:cs="Times New Roman"/>
                <w:color w:val="000000" w:themeColor="text1"/>
                <w:sz w:val="21"/>
                <w:szCs w:val="21"/>
                <w:vertAlign w:val="superscript"/>
                <w:lang w:val="en-US" w:eastAsia="zh-CN"/>
                <w14:textFill>
                  <w14:solidFill>
                    <w14:schemeClr w14:val="tx1"/>
                  </w14:solidFill>
                </w14:textFill>
              </w:rPr>
              <w:t>2</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Φ900×2500</w:t>
            </w:r>
          </w:p>
        </w:tc>
        <w:tc>
          <w:tcPr>
            <w:tcW w:w="540" w:type="pct"/>
            <w:tcBorders>
              <w:tl2br w:val="nil"/>
              <w:tr2bl w:val="nil"/>
            </w:tcBorders>
            <w:shd w:val="clear" w:color="auto" w:fill="auto"/>
            <w:tcMar>
              <w:top w:w="15" w:type="dxa"/>
              <w:left w:w="15" w:type="dxa"/>
              <w:bottom w:w="0" w:type="dxa"/>
              <w:right w:w="15" w:type="dxa"/>
            </w:tcMar>
            <w:vAlign w:val="center"/>
          </w:tcPr>
          <w:p w14:paraId="64E91C3A">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S304/Q345R</w:t>
            </w:r>
          </w:p>
        </w:tc>
        <w:tc>
          <w:tcPr>
            <w:tcW w:w="443" w:type="pct"/>
            <w:tcBorders>
              <w:tl2br w:val="nil"/>
              <w:tr2bl w:val="nil"/>
            </w:tcBorders>
            <w:shd w:val="clear" w:color="auto" w:fill="auto"/>
            <w:tcMar>
              <w:top w:w="15" w:type="dxa"/>
              <w:left w:w="15" w:type="dxa"/>
              <w:bottom w:w="0" w:type="dxa"/>
              <w:right w:w="15" w:type="dxa"/>
            </w:tcMar>
            <w:vAlign w:val="center"/>
          </w:tcPr>
          <w:p w14:paraId="39EAA78C">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175</w:t>
            </w:r>
          </w:p>
        </w:tc>
        <w:tc>
          <w:tcPr>
            <w:tcW w:w="451" w:type="pct"/>
            <w:tcBorders>
              <w:tl2br w:val="nil"/>
              <w:tr2bl w:val="nil"/>
            </w:tcBorders>
            <w:shd w:val="clear" w:color="auto" w:fill="auto"/>
            <w:tcMar>
              <w:top w:w="15" w:type="dxa"/>
              <w:left w:w="15" w:type="dxa"/>
              <w:bottom w:w="0" w:type="dxa"/>
              <w:right w:w="15" w:type="dxa"/>
            </w:tcMar>
            <w:vAlign w:val="center"/>
          </w:tcPr>
          <w:p w14:paraId="60C619AA">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-0.09</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~0.9</w:t>
            </w:r>
          </w:p>
        </w:tc>
        <w:tc>
          <w:tcPr>
            <w:tcW w:w="342" w:type="pct"/>
            <w:tcBorders>
              <w:tl2br w:val="nil"/>
              <w:tr2bl w:val="nil"/>
            </w:tcBorders>
            <w:shd w:val="clear" w:color="auto" w:fill="auto"/>
            <w:tcMar>
              <w:top w:w="15" w:type="dxa"/>
              <w:left w:w="15" w:type="dxa"/>
              <w:bottom w:w="0" w:type="dxa"/>
              <w:right w:w="15" w:type="dxa"/>
            </w:tcMar>
            <w:vAlign w:val="center"/>
          </w:tcPr>
          <w:p w14:paraId="3BAD9B5C">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w:t>
            </w:r>
          </w:p>
        </w:tc>
        <w:tc>
          <w:tcPr>
            <w:tcW w:w="378" w:type="pct"/>
            <w:tcBorders>
              <w:tl2br w:val="nil"/>
              <w:tr2bl w:val="nil"/>
            </w:tcBorders>
            <w:shd w:val="clear" w:color="auto" w:fill="auto"/>
            <w:vAlign w:val="center"/>
          </w:tcPr>
          <w:p w14:paraId="3B37D462">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利旧</w:t>
            </w:r>
          </w:p>
        </w:tc>
      </w:tr>
      <w:tr w14:paraId="7F954E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87" w:hRule="atLeast"/>
          <w:jc w:val="center"/>
        </w:trPr>
        <w:tc>
          <w:tcPr>
            <w:tcW w:w="462" w:type="pct"/>
            <w:vMerge w:val="continue"/>
            <w:tcBorders>
              <w:tl2br w:val="nil"/>
              <w:tr2bl w:val="nil"/>
            </w:tcBorders>
            <w:tcMar>
              <w:top w:w="15" w:type="dxa"/>
              <w:left w:w="15" w:type="dxa"/>
              <w:bottom w:w="0" w:type="dxa"/>
              <w:right w:w="15" w:type="dxa"/>
            </w:tcMar>
            <w:vAlign w:val="center"/>
          </w:tcPr>
          <w:p w14:paraId="4A8D7F40">
            <w:pPr>
              <w:widowControl/>
              <w:jc w:val="center"/>
              <w:rPr>
                <w:rFonts w:eastAsia="仿宋_GB2312"/>
                <w:b/>
                <w:color w:val="auto"/>
                <w:kern w:val="0"/>
                <w:szCs w:val="20"/>
              </w:rPr>
            </w:pPr>
          </w:p>
        </w:tc>
        <w:tc>
          <w:tcPr>
            <w:tcW w:w="346" w:type="pct"/>
            <w:tcBorders>
              <w:tl2br w:val="nil"/>
              <w:tr2bl w:val="nil"/>
            </w:tcBorders>
            <w:shd w:val="clear" w:color="auto" w:fill="auto"/>
            <w:tcMar>
              <w:top w:w="15" w:type="dxa"/>
              <w:left w:w="15" w:type="dxa"/>
              <w:bottom w:w="0" w:type="dxa"/>
              <w:right w:w="15" w:type="dxa"/>
            </w:tcMar>
            <w:vAlign w:val="center"/>
          </w:tcPr>
          <w:p w14:paraId="5138F1CD">
            <w:pPr>
              <w:bidi w:val="0"/>
              <w:jc w:val="center"/>
              <w:rPr>
                <w:rFonts w:hint="eastAsia"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38</w:t>
            </w:r>
          </w:p>
        </w:tc>
        <w:tc>
          <w:tcPr>
            <w:tcW w:w="816" w:type="pct"/>
            <w:tcBorders>
              <w:tl2br w:val="nil"/>
              <w:tr2bl w:val="nil"/>
            </w:tcBorders>
            <w:shd w:val="clear" w:color="auto" w:fill="auto"/>
            <w:tcMar>
              <w:top w:w="15" w:type="dxa"/>
              <w:left w:w="15" w:type="dxa"/>
              <w:bottom w:w="0" w:type="dxa"/>
              <w:right w:w="15" w:type="dxa"/>
            </w:tcMar>
            <w:vAlign w:val="center"/>
          </w:tcPr>
          <w:p w14:paraId="0CBE87FC">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4#塔再沸器</w:t>
            </w:r>
          </w:p>
        </w:tc>
        <w:tc>
          <w:tcPr>
            <w:tcW w:w="1218" w:type="pct"/>
            <w:tcBorders>
              <w:tl2br w:val="nil"/>
              <w:tr2bl w:val="nil"/>
            </w:tcBorders>
            <w:shd w:val="clear" w:color="auto" w:fill="auto"/>
            <w:tcMar>
              <w:top w:w="15" w:type="dxa"/>
              <w:left w:w="15" w:type="dxa"/>
              <w:bottom w:w="0" w:type="dxa"/>
              <w:right w:w="15" w:type="dxa"/>
            </w:tcMar>
            <w:vAlign w:val="center"/>
          </w:tcPr>
          <w:p w14:paraId="664A2292">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F=97m</w:t>
            </w:r>
            <w:r>
              <w:rPr>
                <w:rFonts w:hint="default" w:ascii="Times New Roman" w:hAnsi="Times New Roman" w:eastAsia="方正仿宋_GB2312" w:cs="Times New Roman"/>
                <w:color w:val="000000" w:themeColor="text1"/>
                <w:sz w:val="21"/>
                <w:szCs w:val="21"/>
                <w:vertAlign w:val="superscript"/>
                <w:lang w:val="en-US" w:eastAsia="zh-CN"/>
                <w14:textFill>
                  <w14:solidFill>
                    <w14:schemeClr w14:val="tx1"/>
                  </w14:solidFill>
                </w14:textFill>
              </w:rPr>
              <w:t>2</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Φ900×2500</w:t>
            </w:r>
          </w:p>
        </w:tc>
        <w:tc>
          <w:tcPr>
            <w:tcW w:w="540" w:type="pct"/>
            <w:tcBorders>
              <w:tl2br w:val="nil"/>
              <w:tr2bl w:val="nil"/>
            </w:tcBorders>
            <w:shd w:val="clear" w:color="auto" w:fill="auto"/>
            <w:tcMar>
              <w:top w:w="15" w:type="dxa"/>
              <w:left w:w="15" w:type="dxa"/>
              <w:bottom w:w="0" w:type="dxa"/>
              <w:right w:w="15" w:type="dxa"/>
            </w:tcMar>
            <w:vAlign w:val="center"/>
          </w:tcPr>
          <w:p w14:paraId="190C0AD3">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S304/Q345R</w:t>
            </w:r>
          </w:p>
        </w:tc>
        <w:tc>
          <w:tcPr>
            <w:tcW w:w="443" w:type="pct"/>
            <w:tcBorders>
              <w:tl2br w:val="nil"/>
              <w:tr2bl w:val="nil"/>
            </w:tcBorders>
            <w:shd w:val="clear" w:color="auto" w:fill="auto"/>
            <w:tcMar>
              <w:top w:w="15" w:type="dxa"/>
              <w:left w:w="15" w:type="dxa"/>
              <w:bottom w:w="0" w:type="dxa"/>
              <w:right w:w="15" w:type="dxa"/>
            </w:tcMar>
            <w:vAlign w:val="center"/>
          </w:tcPr>
          <w:p w14:paraId="2FE52FC7">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175</w:t>
            </w:r>
          </w:p>
        </w:tc>
        <w:tc>
          <w:tcPr>
            <w:tcW w:w="451" w:type="pct"/>
            <w:tcBorders>
              <w:tl2br w:val="nil"/>
              <w:tr2bl w:val="nil"/>
            </w:tcBorders>
            <w:shd w:val="clear" w:color="auto" w:fill="auto"/>
            <w:tcMar>
              <w:top w:w="15" w:type="dxa"/>
              <w:left w:w="15" w:type="dxa"/>
              <w:bottom w:w="0" w:type="dxa"/>
              <w:right w:w="15" w:type="dxa"/>
            </w:tcMar>
            <w:vAlign w:val="center"/>
          </w:tcPr>
          <w:p w14:paraId="767A3005">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-0.09</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~0.9</w:t>
            </w:r>
          </w:p>
        </w:tc>
        <w:tc>
          <w:tcPr>
            <w:tcW w:w="342" w:type="pct"/>
            <w:tcBorders>
              <w:tl2br w:val="nil"/>
              <w:tr2bl w:val="nil"/>
            </w:tcBorders>
            <w:shd w:val="clear" w:color="auto" w:fill="auto"/>
            <w:tcMar>
              <w:top w:w="15" w:type="dxa"/>
              <w:left w:w="15" w:type="dxa"/>
              <w:bottom w:w="0" w:type="dxa"/>
              <w:right w:w="15" w:type="dxa"/>
            </w:tcMar>
            <w:vAlign w:val="center"/>
          </w:tcPr>
          <w:p w14:paraId="3BED49F3">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w:t>
            </w:r>
          </w:p>
        </w:tc>
        <w:tc>
          <w:tcPr>
            <w:tcW w:w="378" w:type="pct"/>
            <w:tcBorders>
              <w:tl2br w:val="nil"/>
              <w:tr2bl w:val="nil"/>
            </w:tcBorders>
            <w:shd w:val="clear" w:color="auto" w:fill="auto"/>
            <w:vAlign w:val="center"/>
          </w:tcPr>
          <w:p w14:paraId="05DE9E26">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利旧</w:t>
            </w:r>
          </w:p>
        </w:tc>
      </w:tr>
      <w:tr w14:paraId="54DAB68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87" w:hRule="atLeast"/>
          <w:jc w:val="center"/>
        </w:trPr>
        <w:tc>
          <w:tcPr>
            <w:tcW w:w="462" w:type="pct"/>
            <w:vMerge w:val="continue"/>
            <w:tcBorders>
              <w:tl2br w:val="nil"/>
              <w:tr2bl w:val="nil"/>
            </w:tcBorders>
            <w:tcMar>
              <w:top w:w="15" w:type="dxa"/>
              <w:left w:w="15" w:type="dxa"/>
              <w:bottom w:w="0" w:type="dxa"/>
              <w:right w:w="15" w:type="dxa"/>
            </w:tcMar>
            <w:vAlign w:val="center"/>
          </w:tcPr>
          <w:p w14:paraId="282088DB">
            <w:pPr>
              <w:widowControl/>
              <w:jc w:val="center"/>
              <w:rPr>
                <w:rFonts w:eastAsia="仿宋_GB2312"/>
                <w:b/>
                <w:color w:val="auto"/>
                <w:kern w:val="0"/>
                <w:szCs w:val="20"/>
              </w:rPr>
            </w:pPr>
          </w:p>
        </w:tc>
        <w:tc>
          <w:tcPr>
            <w:tcW w:w="346" w:type="pct"/>
            <w:tcBorders>
              <w:tl2br w:val="nil"/>
              <w:tr2bl w:val="nil"/>
            </w:tcBorders>
            <w:shd w:val="clear" w:color="auto" w:fill="auto"/>
            <w:tcMar>
              <w:top w:w="15" w:type="dxa"/>
              <w:left w:w="15" w:type="dxa"/>
              <w:bottom w:w="0" w:type="dxa"/>
              <w:right w:w="15" w:type="dxa"/>
            </w:tcMar>
            <w:vAlign w:val="center"/>
          </w:tcPr>
          <w:p w14:paraId="5079AB81">
            <w:pPr>
              <w:bidi w:val="0"/>
              <w:jc w:val="center"/>
              <w:rPr>
                <w:rFonts w:hint="eastAsia"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39</w:t>
            </w:r>
          </w:p>
        </w:tc>
        <w:tc>
          <w:tcPr>
            <w:tcW w:w="816" w:type="pct"/>
            <w:tcBorders>
              <w:tl2br w:val="nil"/>
              <w:tr2bl w:val="nil"/>
            </w:tcBorders>
            <w:shd w:val="clear" w:color="auto" w:fill="auto"/>
            <w:tcMar>
              <w:top w:w="15" w:type="dxa"/>
              <w:left w:w="15" w:type="dxa"/>
              <w:bottom w:w="0" w:type="dxa"/>
              <w:right w:w="15" w:type="dxa"/>
            </w:tcMar>
            <w:vAlign w:val="center"/>
          </w:tcPr>
          <w:p w14:paraId="2B15653A">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8#塔再沸器</w:t>
            </w:r>
          </w:p>
        </w:tc>
        <w:tc>
          <w:tcPr>
            <w:tcW w:w="1218" w:type="pct"/>
            <w:tcBorders>
              <w:tl2br w:val="nil"/>
              <w:tr2bl w:val="nil"/>
            </w:tcBorders>
            <w:shd w:val="clear" w:color="auto" w:fill="auto"/>
            <w:tcMar>
              <w:top w:w="15" w:type="dxa"/>
              <w:left w:w="15" w:type="dxa"/>
              <w:bottom w:w="0" w:type="dxa"/>
              <w:right w:w="15" w:type="dxa"/>
            </w:tcMar>
            <w:vAlign w:val="center"/>
          </w:tcPr>
          <w:p w14:paraId="5ABC51EB">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F=97m</w:t>
            </w:r>
            <w:r>
              <w:rPr>
                <w:rFonts w:hint="default" w:ascii="Times New Roman" w:hAnsi="Times New Roman" w:eastAsia="方正仿宋_GB2312" w:cs="Times New Roman"/>
                <w:color w:val="000000" w:themeColor="text1"/>
                <w:sz w:val="21"/>
                <w:szCs w:val="21"/>
                <w:vertAlign w:val="superscript"/>
                <w:lang w:val="en-US" w:eastAsia="zh-CN"/>
                <w14:textFill>
                  <w14:solidFill>
                    <w14:schemeClr w14:val="tx1"/>
                  </w14:solidFill>
                </w14:textFill>
              </w:rPr>
              <w:t>2</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Φ900×2500</w:t>
            </w:r>
          </w:p>
        </w:tc>
        <w:tc>
          <w:tcPr>
            <w:tcW w:w="540" w:type="pct"/>
            <w:tcBorders>
              <w:tl2br w:val="nil"/>
              <w:tr2bl w:val="nil"/>
            </w:tcBorders>
            <w:shd w:val="clear" w:color="auto" w:fill="auto"/>
            <w:tcMar>
              <w:top w:w="15" w:type="dxa"/>
              <w:left w:w="15" w:type="dxa"/>
              <w:bottom w:w="0" w:type="dxa"/>
              <w:right w:w="15" w:type="dxa"/>
            </w:tcMar>
            <w:vAlign w:val="center"/>
          </w:tcPr>
          <w:p w14:paraId="60C297D4">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S304/Q345R</w:t>
            </w:r>
          </w:p>
        </w:tc>
        <w:tc>
          <w:tcPr>
            <w:tcW w:w="443" w:type="pct"/>
            <w:tcBorders>
              <w:tl2br w:val="nil"/>
              <w:tr2bl w:val="nil"/>
            </w:tcBorders>
            <w:shd w:val="clear" w:color="auto" w:fill="auto"/>
            <w:tcMar>
              <w:top w:w="15" w:type="dxa"/>
              <w:left w:w="15" w:type="dxa"/>
              <w:bottom w:w="0" w:type="dxa"/>
              <w:right w:w="15" w:type="dxa"/>
            </w:tcMar>
            <w:vAlign w:val="center"/>
          </w:tcPr>
          <w:p w14:paraId="0955BE43">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175</w:t>
            </w:r>
          </w:p>
        </w:tc>
        <w:tc>
          <w:tcPr>
            <w:tcW w:w="451" w:type="pct"/>
            <w:tcBorders>
              <w:tl2br w:val="nil"/>
              <w:tr2bl w:val="nil"/>
            </w:tcBorders>
            <w:shd w:val="clear" w:color="auto" w:fill="auto"/>
            <w:tcMar>
              <w:top w:w="15" w:type="dxa"/>
              <w:left w:w="15" w:type="dxa"/>
              <w:bottom w:w="0" w:type="dxa"/>
              <w:right w:w="15" w:type="dxa"/>
            </w:tcMar>
            <w:vAlign w:val="center"/>
          </w:tcPr>
          <w:p w14:paraId="7CDA002F">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-0.09</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~0.9</w:t>
            </w:r>
          </w:p>
        </w:tc>
        <w:tc>
          <w:tcPr>
            <w:tcW w:w="342" w:type="pct"/>
            <w:tcBorders>
              <w:tl2br w:val="nil"/>
              <w:tr2bl w:val="nil"/>
            </w:tcBorders>
            <w:shd w:val="clear" w:color="auto" w:fill="auto"/>
            <w:tcMar>
              <w:top w:w="15" w:type="dxa"/>
              <w:left w:w="15" w:type="dxa"/>
              <w:bottom w:w="0" w:type="dxa"/>
              <w:right w:w="15" w:type="dxa"/>
            </w:tcMar>
            <w:vAlign w:val="center"/>
          </w:tcPr>
          <w:p w14:paraId="1A5CFD51">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w:t>
            </w:r>
          </w:p>
        </w:tc>
        <w:tc>
          <w:tcPr>
            <w:tcW w:w="378" w:type="pct"/>
            <w:tcBorders>
              <w:tl2br w:val="nil"/>
              <w:tr2bl w:val="nil"/>
            </w:tcBorders>
            <w:shd w:val="clear" w:color="auto" w:fill="auto"/>
            <w:vAlign w:val="center"/>
          </w:tcPr>
          <w:p w14:paraId="04EAAA50">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利旧</w:t>
            </w:r>
          </w:p>
        </w:tc>
      </w:tr>
      <w:tr w14:paraId="5D3F66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87" w:hRule="atLeast"/>
          <w:jc w:val="center"/>
        </w:trPr>
        <w:tc>
          <w:tcPr>
            <w:tcW w:w="462" w:type="pct"/>
            <w:vMerge w:val="continue"/>
            <w:tcBorders>
              <w:tl2br w:val="nil"/>
              <w:tr2bl w:val="nil"/>
            </w:tcBorders>
            <w:tcMar>
              <w:top w:w="15" w:type="dxa"/>
              <w:left w:w="15" w:type="dxa"/>
              <w:bottom w:w="0" w:type="dxa"/>
              <w:right w:w="15" w:type="dxa"/>
            </w:tcMar>
            <w:vAlign w:val="center"/>
          </w:tcPr>
          <w:p w14:paraId="53DB87A1">
            <w:pPr>
              <w:widowControl/>
              <w:jc w:val="center"/>
              <w:rPr>
                <w:rFonts w:eastAsia="仿宋_GB2312"/>
                <w:b/>
                <w:color w:val="auto"/>
                <w:kern w:val="0"/>
                <w:szCs w:val="20"/>
              </w:rPr>
            </w:pPr>
          </w:p>
        </w:tc>
        <w:tc>
          <w:tcPr>
            <w:tcW w:w="346" w:type="pct"/>
            <w:tcBorders>
              <w:tl2br w:val="nil"/>
              <w:tr2bl w:val="nil"/>
            </w:tcBorders>
            <w:shd w:val="clear" w:color="auto" w:fill="auto"/>
            <w:tcMar>
              <w:top w:w="15" w:type="dxa"/>
              <w:left w:w="15" w:type="dxa"/>
              <w:bottom w:w="0" w:type="dxa"/>
              <w:right w:w="15" w:type="dxa"/>
            </w:tcMar>
            <w:vAlign w:val="center"/>
          </w:tcPr>
          <w:p w14:paraId="2B2F5E26">
            <w:pPr>
              <w:bidi w:val="0"/>
              <w:jc w:val="center"/>
              <w:rPr>
                <w:rFonts w:hint="eastAsia"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40</w:t>
            </w:r>
          </w:p>
        </w:tc>
        <w:tc>
          <w:tcPr>
            <w:tcW w:w="816" w:type="pct"/>
            <w:tcBorders>
              <w:tl2br w:val="nil"/>
              <w:tr2bl w:val="nil"/>
            </w:tcBorders>
            <w:shd w:val="clear" w:color="auto" w:fill="auto"/>
            <w:tcMar>
              <w:top w:w="15" w:type="dxa"/>
              <w:left w:w="15" w:type="dxa"/>
              <w:bottom w:w="0" w:type="dxa"/>
              <w:right w:w="15" w:type="dxa"/>
            </w:tcMar>
            <w:vAlign w:val="center"/>
          </w:tcPr>
          <w:p w14:paraId="13F93E93">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1#塔一级冷凝器</w:t>
            </w:r>
          </w:p>
        </w:tc>
        <w:tc>
          <w:tcPr>
            <w:tcW w:w="1218" w:type="pct"/>
            <w:tcBorders>
              <w:tl2br w:val="nil"/>
              <w:tr2bl w:val="nil"/>
            </w:tcBorders>
            <w:shd w:val="clear" w:color="auto" w:fill="auto"/>
            <w:tcMar>
              <w:top w:w="15" w:type="dxa"/>
              <w:left w:w="15" w:type="dxa"/>
              <w:bottom w:w="0" w:type="dxa"/>
              <w:right w:w="15" w:type="dxa"/>
            </w:tcMar>
            <w:vAlign w:val="center"/>
          </w:tcPr>
          <w:p w14:paraId="58CCAEAF">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F=91m</w:t>
            </w:r>
            <w:r>
              <w:rPr>
                <w:rFonts w:hint="default" w:ascii="Times New Roman" w:hAnsi="Times New Roman" w:eastAsia="方正仿宋_GB2312" w:cs="Times New Roman"/>
                <w:color w:val="000000" w:themeColor="text1"/>
                <w:sz w:val="21"/>
                <w:szCs w:val="21"/>
                <w:vertAlign w:val="superscript"/>
                <w:lang w:val="en-US" w:eastAsia="zh-CN"/>
                <w14:textFill>
                  <w14:solidFill>
                    <w14:schemeClr w14:val="tx1"/>
                  </w14:solidFill>
                </w14:textFill>
              </w:rPr>
              <w:t>2</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Φ900×2500</w:t>
            </w:r>
          </w:p>
        </w:tc>
        <w:tc>
          <w:tcPr>
            <w:tcW w:w="540" w:type="pct"/>
            <w:tcBorders>
              <w:tl2br w:val="nil"/>
              <w:tr2bl w:val="nil"/>
            </w:tcBorders>
            <w:shd w:val="clear" w:color="auto" w:fill="auto"/>
            <w:tcMar>
              <w:top w:w="15" w:type="dxa"/>
              <w:left w:w="15" w:type="dxa"/>
              <w:bottom w:w="0" w:type="dxa"/>
              <w:right w:w="15" w:type="dxa"/>
            </w:tcMar>
            <w:vAlign w:val="center"/>
          </w:tcPr>
          <w:p w14:paraId="51763908">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S304/Q345R</w:t>
            </w:r>
          </w:p>
        </w:tc>
        <w:tc>
          <w:tcPr>
            <w:tcW w:w="443" w:type="pct"/>
            <w:tcBorders>
              <w:tl2br w:val="nil"/>
              <w:tr2bl w:val="nil"/>
            </w:tcBorders>
            <w:shd w:val="clear" w:color="auto" w:fill="auto"/>
            <w:tcMar>
              <w:top w:w="15" w:type="dxa"/>
              <w:left w:w="15" w:type="dxa"/>
              <w:bottom w:w="0" w:type="dxa"/>
              <w:right w:w="15" w:type="dxa"/>
            </w:tcMar>
            <w:vAlign w:val="center"/>
          </w:tcPr>
          <w:p w14:paraId="554CFD63">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常温~</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175</w:t>
            </w:r>
          </w:p>
        </w:tc>
        <w:tc>
          <w:tcPr>
            <w:tcW w:w="451" w:type="pct"/>
            <w:tcBorders>
              <w:tl2br w:val="nil"/>
              <w:tr2bl w:val="nil"/>
            </w:tcBorders>
            <w:shd w:val="clear" w:color="auto" w:fill="auto"/>
            <w:tcMar>
              <w:top w:w="15" w:type="dxa"/>
              <w:left w:w="15" w:type="dxa"/>
              <w:bottom w:w="0" w:type="dxa"/>
              <w:right w:w="15" w:type="dxa"/>
            </w:tcMar>
            <w:vAlign w:val="center"/>
          </w:tcPr>
          <w:p w14:paraId="470DA7E4">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-0.09</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~0.4</w:t>
            </w:r>
          </w:p>
        </w:tc>
        <w:tc>
          <w:tcPr>
            <w:tcW w:w="342" w:type="pct"/>
            <w:tcBorders>
              <w:tl2br w:val="nil"/>
              <w:tr2bl w:val="nil"/>
            </w:tcBorders>
            <w:shd w:val="clear" w:color="auto" w:fill="auto"/>
            <w:tcMar>
              <w:top w:w="15" w:type="dxa"/>
              <w:left w:w="15" w:type="dxa"/>
              <w:bottom w:w="0" w:type="dxa"/>
              <w:right w:w="15" w:type="dxa"/>
            </w:tcMar>
            <w:vAlign w:val="center"/>
          </w:tcPr>
          <w:p w14:paraId="4557A5A1">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w:t>
            </w:r>
          </w:p>
        </w:tc>
        <w:tc>
          <w:tcPr>
            <w:tcW w:w="378" w:type="pct"/>
            <w:tcBorders>
              <w:tl2br w:val="nil"/>
              <w:tr2bl w:val="nil"/>
            </w:tcBorders>
            <w:shd w:val="clear" w:color="auto" w:fill="auto"/>
            <w:vAlign w:val="center"/>
          </w:tcPr>
          <w:p w14:paraId="4613B1B1">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利旧</w:t>
            </w:r>
          </w:p>
        </w:tc>
      </w:tr>
      <w:tr w14:paraId="709034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87" w:hRule="atLeast"/>
          <w:jc w:val="center"/>
        </w:trPr>
        <w:tc>
          <w:tcPr>
            <w:tcW w:w="462" w:type="pct"/>
            <w:vMerge w:val="continue"/>
            <w:tcBorders>
              <w:tl2br w:val="nil"/>
              <w:tr2bl w:val="nil"/>
            </w:tcBorders>
            <w:tcMar>
              <w:top w:w="15" w:type="dxa"/>
              <w:left w:w="15" w:type="dxa"/>
              <w:bottom w:w="0" w:type="dxa"/>
              <w:right w:w="15" w:type="dxa"/>
            </w:tcMar>
            <w:vAlign w:val="center"/>
          </w:tcPr>
          <w:p w14:paraId="39C8E4C6">
            <w:pPr>
              <w:widowControl/>
              <w:jc w:val="center"/>
              <w:rPr>
                <w:rFonts w:eastAsia="仿宋_GB2312"/>
                <w:b/>
                <w:color w:val="auto"/>
                <w:kern w:val="0"/>
                <w:szCs w:val="20"/>
              </w:rPr>
            </w:pPr>
          </w:p>
        </w:tc>
        <w:tc>
          <w:tcPr>
            <w:tcW w:w="346" w:type="pct"/>
            <w:tcBorders>
              <w:tl2br w:val="nil"/>
              <w:tr2bl w:val="nil"/>
            </w:tcBorders>
            <w:shd w:val="clear" w:color="auto" w:fill="auto"/>
            <w:tcMar>
              <w:top w:w="15" w:type="dxa"/>
              <w:left w:w="15" w:type="dxa"/>
              <w:bottom w:w="0" w:type="dxa"/>
              <w:right w:w="15" w:type="dxa"/>
            </w:tcMar>
            <w:vAlign w:val="center"/>
          </w:tcPr>
          <w:p w14:paraId="362B1DA9">
            <w:pPr>
              <w:bidi w:val="0"/>
              <w:jc w:val="center"/>
              <w:rPr>
                <w:rFonts w:hint="eastAsia"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41</w:t>
            </w:r>
          </w:p>
        </w:tc>
        <w:tc>
          <w:tcPr>
            <w:tcW w:w="816" w:type="pct"/>
            <w:tcBorders>
              <w:tl2br w:val="nil"/>
              <w:tr2bl w:val="nil"/>
            </w:tcBorders>
            <w:shd w:val="clear" w:color="auto" w:fill="auto"/>
            <w:tcMar>
              <w:top w:w="15" w:type="dxa"/>
              <w:left w:w="15" w:type="dxa"/>
              <w:bottom w:w="0" w:type="dxa"/>
              <w:right w:w="15" w:type="dxa"/>
            </w:tcMar>
            <w:vAlign w:val="center"/>
          </w:tcPr>
          <w:p w14:paraId="7529A5E8">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5#塔一级冷凝器</w:t>
            </w:r>
          </w:p>
        </w:tc>
        <w:tc>
          <w:tcPr>
            <w:tcW w:w="1218" w:type="pct"/>
            <w:tcBorders>
              <w:tl2br w:val="nil"/>
              <w:tr2bl w:val="nil"/>
            </w:tcBorders>
            <w:shd w:val="clear" w:color="auto" w:fill="auto"/>
            <w:tcMar>
              <w:top w:w="15" w:type="dxa"/>
              <w:left w:w="15" w:type="dxa"/>
              <w:bottom w:w="0" w:type="dxa"/>
              <w:right w:w="15" w:type="dxa"/>
            </w:tcMar>
            <w:vAlign w:val="center"/>
          </w:tcPr>
          <w:p w14:paraId="3D36C2E1">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F=91m</w:t>
            </w:r>
            <w:r>
              <w:rPr>
                <w:rFonts w:hint="default" w:ascii="Times New Roman" w:hAnsi="Times New Roman" w:eastAsia="方正仿宋_GB2312" w:cs="Times New Roman"/>
                <w:color w:val="000000" w:themeColor="text1"/>
                <w:sz w:val="21"/>
                <w:szCs w:val="21"/>
                <w:vertAlign w:val="superscript"/>
                <w:lang w:val="en-US" w:eastAsia="zh-CN"/>
                <w14:textFill>
                  <w14:solidFill>
                    <w14:schemeClr w14:val="tx1"/>
                  </w14:solidFill>
                </w14:textFill>
              </w:rPr>
              <w:t>2</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Φ900×2500</w:t>
            </w:r>
          </w:p>
        </w:tc>
        <w:tc>
          <w:tcPr>
            <w:tcW w:w="540" w:type="pct"/>
            <w:tcBorders>
              <w:tl2br w:val="nil"/>
              <w:tr2bl w:val="nil"/>
            </w:tcBorders>
            <w:shd w:val="clear" w:color="auto" w:fill="auto"/>
            <w:tcMar>
              <w:top w:w="15" w:type="dxa"/>
              <w:left w:w="15" w:type="dxa"/>
              <w:bottom w:w="0" w:type="dxa"/>
              <w:right w:w="15" w:type="dxa"/>
            </w:tcMar>
            <w:vAlign w:val="center"/>
          </w:tcPr>
          <w:p w14:paraId="305049F6">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S304/Q345R</w:t>
            </w:r>
          </w:p>
        </w:tc>
        <w:tc>
          <w:tcPr>
            <w:tcW w:w="443" w:type="pct"/>
            <w:tcBorders>
              <w:tl2br w:val="nil"/>
              <w:tr2bl w:val="nil"/>
            </w:tcBorders>
            <w:shd w:val="clear" w:color="auto" w:fill="auto"/>
            <w:tcMar>
              <w:top w:w="15" w:type="dxa"/>
              <w:left w:w="15" w:type="dxa"/>
              <w:bottom w:w="0" w:type="dxa"/>
              <w:right w:w="15" w:type="dxa"/>
            </w:tcMar>
            <w:vAlign w:val="center"/>
          </w:tcPr>
          <w:p w14:paraId="6A0E9214">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常温~</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175</w:t>
            </w:r>
          </w:p>
        </w:tc>
        <w:tc>
          <w:tcPr>
            <w:tcW w:w="451" w:type="pct"/>
            <w:tcBorders>
              <w:tl2br w:val="nil"/>
              <w:tr2bl w:val="nil"/>
            </w:tcBorders>
            <w:shd w:val="clear" w:color="auto" w:fill="auto"/>
            <w:tcMar>
              <w:top w:w="15" w:type="dxa"/>
              <w:left w:w="15" w:type="dxa"/>
              <w:bottom w:w="0" w:type="dxa"/>
              <w:right w:w="15" w:type="dxa"/>
            </w:tcMar>
            <w:vAlign w:val="center"/>
          </w:tcPr>
          <w:p w14:paraId="54AF465D">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-0.09</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~0.4</w:t>
            </w:r>
          </w:p>
        </w:tc>
        <w:tc>
          <w:tcPr>
            <w:tcW w:w="342" w:type="pct"/>
            <w:tcBorders>
              <w:tl2br w:val="nil"/>
              <w:tr2bl w:val="nil"/>
            </w:tcBorders>
            <w:shd w:val="clear" w:color="auto" w:fill="auto"/>
            <w:tcMar>
              <w:top w:w="15" w:type="dxa"/>
              <w:left w:w="15" w:type="dxa"/>
              <w:bottom w:w="0" w:type="dxa"/>
              <w:right w:w="15" w:type="dxa"/>
            </w:tcMar>
            <w:vAlign w:val="center"/>
          </w:tcPr>
          <w:p w14:paraId="3A168474">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w:t>
            </w:r>
          </w:p>
        </w:tc>
        <w:tc>
          <w:tcPr>
            <w:tcW w:w="378" w:type="pct"/>
            <w:tcBorders>
              <w:tl2br w:val="nil"/>
              <w:tr2bl w:val="nil"/>
            </w:tcBorders>
            <w:shd w:val="clear" w:color="auto" w:fill="auto"/>
            <w:vAlign w:val="center"/>
          </w:tcPr>
          <w:p w14:paraId="7B84BD40">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利旧</w:t>
            </w:r>
          </w:p>
        </w:tc>
      </w:tr>
      <w:tr w14:paraId="2AE225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87" w:hRule="atLeast"/>
          <w:jc w:val="center"/>
        </w:trPr>
        <w:tc>
          <w:tcPr>
            <w:tcW w:w="462" w:type="pct"/>
            <w:vMerge w:val="continue"/>
            <w:tcBorders>
              <w:tl2br w:val="nil"/>
              <w:tr2bl w:val="nil"/>
            </w:tcBorders>
            <w:tcMar>
              <w:top w:w="15" w:type="dxa"/>
              <w:left w:w="15" w:type="dxa"/>
              <w:bottom w:w="0" w:type="dxa"/>
              <w:right w:w="15" w:type="dxa"/>
            </w:tcMar>
            <w:vAlign w:val="center"/>
          </w:tcPr>
          <w:p w14:paraId="79FA726C">
            <w:pPr>
              <w:widowControl/>
              <w:jc w:val="center"/>
              <w:rPr>
                <w:rFonts w:eastAsia="仿宋_GB2312"/>
                <w:b/>
                <w:color w:val="auto"/>
                <w:kern w:val="0"/>
                <w:szCs w:val="20"/>
              </w:rPr>
            </w:pPr>
          </w:p>
        </w:tc>
        <w:tc>
          <w:tcPr>
            <w:tcW w:w="346" w:type="pct"/>
            <w:tcBorders>
              <w:tl2br w:val="nil"/>
              <w:tr2bl w:val="nil"/>
            </w:tcBorders>
            <w:shd w:val="clear" w:color="auto" w:fill="auto"/>
            <w:tcMar>
              <w:top w:w="15" w:type="dxa"/>
              <w:left w:w="15" w:type="dxa"/>
              <w:bottom w:w="0" w:type="dxa"/>
              <w:right w:w="15" w:type="dxa"/>
            </w:tcMar>
            <w:vAlign w:val="center"/>
          </w:tcPr>
          <w:p w14:paraId="3BAB9DDD">
            <w:pPr>
              <w:bidi w:val="0"/>
              <w:jc w:val="center"/>
              <w:rPr>
                <w:rFonts w:hint="eastAsia"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42</w:t>
            </w:r>
          </w:p>
        </w:tc>
        <w:tc>
          <w:tcPr>
            <w:tcW w:w="816" w:type="pct"/>
            <w:tcBorders>
              <w:tl2br w:val="nil"/>
              <w:tr2bl w:val="nil"/>
            </w:tcBorders>
            <w:shd w:val="clear" w:color="auto" w:fill="auto"/>
            <w:tcMar>
              <w:top w:w="15" w:type="dxa"/>
              <w:left w:w="15" w:type="dxa"/>
              <w:bottom w:w="0" w:type="dxa"/>
              <w:right w:w="15" w:type="dxa"/>
            </w:tcMar>
            <w:vAlign w:val="center"/>
          </w:tcPr>
          <w:p w14:paraId="46BCF3A2">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1#塔二级冷凝器</w:t>
            </w:r>
          </w:p>
        </w:tc>
        <w:tc>
          <w:tcPr>
            <w:tcW w:w="1218" w:type="pct"/>
            <w:tcBorders>
              <w:tl2br w:val="nil"/>
              <w:tr2bl w:val="nil"/>
            </w:tcBorders>
            <w:shd w:val="clear" w:color="auto" w:fill="auto"/>
            <w:tcMar>
              <w:top w:w="15" w:type="dxa"/>
              <w:left w:w="15" w:type="dxa"/>
              <w:bottom w:w="0" w:type="dxa"/>
              <w:right w:w="15" w:type="dxa"/>
            </w:tcMar>
            <w:vAlign w:val="center"/>
          </w:tcPr>
          <w:p w14:paraId="73E4942F">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F=91m</w:t>
            </w:r>
            <w:r>
              <w:rPr>
                <w:rFonts w:hint="default" w:ascii="Times New Roman" w:hAnsi="Times New Roman" w:eastAsia="方正仿宋_GB2312" w:cs="Times New Roman"/>
                <w:color w:val="000000" w:themeColor="text1"/>
                <w:sz w:val="21"/>
                <w:szCs w:val="21"/>
                <w:vertAlign w:val="superscript"/>
                <w:lang w:val="en-US" w:eastAsia="zh-CN"/>
                <w14:textFill>
                  <w14:solidFill>
                    <w14:schemeClr w14:val="tx1"/>
                  </w14:solidFill>
                </w14:textFill>
              </w:rPr>
              <w:t>2</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Φ900×2500</w:t>
            </w:r>
          </w:p>
        </w:tc>
        <w:tc>
          <w:tcPr>
            <w:tcW w:w="540" w:type="pct"/>
            <w:tcBorders>
              <w:tl2br w:val="nil"/>
              <w:tr2bl w:val="nil"/>
            </w:tcBorders>
            <w:shd w:val="clear" w:color="auto" w:fill="auto"/>
            <w:tcMar>
              <w:top w:w="15" w:type="dxa"/>
              <w:left w:w="15" w:type="dxa"/>
              <w:bottom w:w="0" w:type="dxa"/>
              <w:right w:w="15" w:type="dxa"/>
            </w:tcMar>
            <w:vAlign w:val="center"/>
          </w:tcPr>
          <w:p w14:paraId="5849F409">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S304/Q345R</w:t>
            </w:r>
          </w:p>
        </w:tc>
        <w:tc>
          <w:tcPr>
            <w:tcW w:w="443" w:type="pct"/>
            <w:tcBorders>
              <w:tl2br w:val="nil"/>
              <w:tr2bl w:val="nil"/>
            </w:tcBorders>
            <w:shd w:val="clear" w:color="auto" w:fill="auto"/>
            <w:tcMar>
              <w:top w:w="15" w:type="dxa"/>
              <w:left w:w="15" w:type="dxa"/>
              <w:bottom w:w="0" w:type="dxa"/>
              <w:right w:w="15" w:type="dxa"/>
            </w:tcMar>
            <w:vAlign w:val="center"/>
          </w:tcPr>
          <w:p w14:paraId="2F169B4D">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-10~</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175</w:t>
            </w:r>
          </w:p>
        </w:tc>
        <w:tc>
          <w:tcPr>
            <w:tcW w:w="451" w:type="pct"/>
            <w:tcBorders>
              <w:tl2br w:val="nil"/>
              <w:tr2bl w:val="nil"/>
            </w:tcBorders>
            <w:shd w:val="clear" w:color="auto" w:fill="auto"/>
            <w:tcMar>
              <w:top w:w="15" w:type="dxa"/>
              <w:left w:w="15" w:type="dxa"/>
              <w:bottom w:w="0" w:type="dxa"/>
              <w:right w:w="15" w:type="dxa"/>
            </w:tcMar>
            <w:vAlign w:val="center"/>
          </w:tcPr>
          <w:p w14:paraId="2DBD1312">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-0.09</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~0.4</w:t>
            </w:r>
          </w:p>
        </w:tc>
        <w:tc>
          <w:tcPr>
            <w:tcW w:w="342" w:type="pct"/>
            <w:tcBorders>
              <w:tl2br w:val="nil"/>
              <w:tr2bl w:val="nil"/>
            </w:tcBorders>
            <w:shd w:val="clear" w:color="auto" w:fill="auto"/>
            <w:tcMar>
              <w:top w:w="15" w:type="dxa"/>
              <w:left w:w="15" w:type="dxa"/>
              <w:bottom w:w="0" w:type="dxa"/>
              <w:right w:w="15" w:type="dxa"/>
            </w:tcMar>
            <w:vAlign w:val="center"/>
          </w:tcPr>
          <w:p w14:paraId="769D83CB">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w:t>
            </w:r>
          </w:p>
        </w:tc>
        <w:tc>
          <w:tcPr>
            <w:tcW w:w="378" w:type="pct"/>
            <w:tcBorders>
              <w:tl2br w:val="nil"/>
              <w:tr2bl w:val="nil"/>
            </w:tcBorders>
            <w:shd w:val="clear" w:color="auto" w:fill="auto"/>
            <w:vAlign w:val="center"/>
          </w:tcPr>
          <w:p w14:paraId="7F46751C">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利旧</w:t>
            </w:r>
          </w:p>
        </w:tc>
      </w:tr>
      <w:tr w14:paraId="36443B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87" w:hRule="atLeast"/>
          <w:jc w:val="center"/>
        </w:trPr>
        <w:tc>
          <w:tcPr>
            <w:tcW w:w="462" w:type="pct"/>
            <w:vMerge w:val="continue"/>
            <w:tcBorders>
              <w:tl2br w:val="nil"/>
              <w:tr2bl w:val="nil"/>
            </w:tcBorders>
            <w:tcMar>
              <w:top w:w="15" w:type="dxa"/>
              <w:left w:w="15" w:type="dxa"/>
              <w:bottom w:w="0" w:type="dxa"/>
              <w:right w:w="15" w:type="dxa"/>
            </w:tcMar>
            <w:vAlign w:val="center"/>
          </w:tcPr>
          <w:p w14:paraId="5F050F8B">
            <w:pPr>
              <w:widowControl/>
              <w:jc w:val="center"/>
              <w:rPr>
                <w:rFonts w:eastAsia="仿宋_GB2312"/>
                <w:b/>
                <w:color w:val="auto"/>
                <w:kern w:val="0"/>
                <w:szCs w:val="20"/>
              </w:rPr>
            </w:pPr>
          </w:p>
        </w:tc>
        <w:tc>
          <w:tcPr>
            <w:tcW w:w="346" w:type="pct"/>
            <w:tcBorders>
              <w:tl2br w:val="nil"/>
              <w:tr2bl w:val="nil"/>
            </w:tcBorders>
            <w:shd w:val="clear" w:color="auto" w:fill="auto"/>
            <w:tcMar>
              <w:top w:w="15" w:type="dxa"/>
              <w:left w:w="15" w:type="dxa"/>
              <w:bottom w:w="0" w:type="dxa"/>
              <w:right w:w="15" w:type="dxa"/>
            </w:tcMar>
            <w:vAlign w:val="center"/>
          </w:tcPr>
          <w:p w14:paraId="2C356D31">
            <w:pPr>
              <w:bidi w:val="0"/>
              <w:jc w:val="center"/>
              <w:rPr>
                <w:rFonts w:hint="eastAsia"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43</w:t>
            </w:r>
          </w:p>
        </w:tc>
        <w:tc>
          <w:tcPr>
            <w:tcW w:w="816" w:type="pct"/>
            <w:tcBorders>
              <w:tl2br w:val="nil"/>
              <w:tr2bl w:val="nil"/>
            </w:tcBorders>
            <w:shd w:val="clear" w:color="auto" w:fill="auto"/>
            <w:tcMar>
              <w:top w:w="15" w:type="dxa"/>
              <w:left w:w="15" w:type="dxa"/>
              <w:bottom w:w="0" w:type="dxa"/>
              <w:right w:w="15" w:type="dxa"/>
            </w:tcMar>
            <w:vAlign w:val="center"/>
          </w:tcPr>
          <w:p w14:paraId="24CB59FA">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5#塔二级冷凝器</w:t>
            </w:r>
          </w:p>
        </w:tc>
        <w:tc>
          <w:tcPr>
            <w:tcW w:w="1218" w:type="pct"/>
            <w:tcBorders>
              <w:tl2br w:val="nil"/>
              <w:tr2bl w:val="nil"/>
            </w:tcBorders>
            <w:shd w:val="clear" w:color="auto" w:fill="auto"/>
            <w:tcMar>
              <w:top w:w="15" w:type="dxa"/>
              <w:left w:w="15" w:type="dxa"/>
              <w:bottom w:w="0" w:type="dxa"/>
              <w:right w:w="15" w:type="dxa"/>
            </w:tcMar>
            <w:vAlign w:val="center"/>
          </w:tcPr>
          <w:p w14:paraId="524DEAA4">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F=91m</w:t>
            </w:r>
            <w:r>
              <w:rPr>
                <w:rFonts w:hint="default" w:ascii="Times New Roman" w:hAnsi="Times New Roman" w:eastAsia="方正仿宋_GB2312" w:cs="Times New Roman"/>
                <w:color w:val="000000" w:themeColor="text1"/>
                <w:sz w:val="21"/>
                <w:szCs w:val="21"/>
                <w:vertAlign w:val="superscript"/>
                <w:lang w:val="en-US" w:eastAsia="zh-CN"/>
                <w14:textFill>
                  <w14:solidFill>
                    <w14:schemeClr w14:val="tx1"/>
                  </w14:solidFill>
                </w14:textFill>
              </w:rPr>
              <w:t>2</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Φ900×2500</w:t>
            </w:r>
          </w:p>
        </w:tc>
        <w:tc>
          <w:tcPr>
            <w:tcW w:w="540" w:type="pct"/>
            <w:tcBorders>
              <w:tl2br w:val="nil"/>
              <w:tr2bl w:val="nil"/>
            </w:tcBorders>
            <w:shd w:val="clear" w:color="auto" w:fill="auto"/>
            <w:tcMar>
              <w:top w:w="15" w:type="dxa"/>
              <w:left w:w="15" w:type="dxa"/>
              <w:bottom w:w="0" w:type="dxa"/>
              <w:right w:w="15" w:type="dxa"/>
            </w:tcMar>
            <w:vAlign w:val="center"/>
          </w:tcPr>
          <w:p w14:paraId="5D39D61E">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S304/Q345R</w:t>
            </w:r>
          </w:p>
        </w:tc>
        <w:tc>
          <w:tcPr>
            <w:tcW w:w="443" w:type="pct"/>
            <w:tcBorders>
              <w:tl2br w:val="nil"/>
              <w:tr2bl w:val="nil"/>
            </w:tcBorders>
            <w:shd w:val="clear" w:color="auto" w:fill="auto"/>
            <w:tcMar>
              <w:top w:w="15" w:type="dxa"/>
              <w:left w:w="15" w:type="dxa"/>
              <w:bottom w:w="0" w:type="dxa"/>
              <w:right w:w="15" w:type="dxa"/>
            </w:tcMar>
            <w:vAlign w:val="center"/>
          </w:tcPr>
          <w:p w14:paraId="352D7C62">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-10~</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175</w:t>
            </w:r>
          </w:p>
        </w:tc>
        <w:tc>
          <w:tcPr>
            <w:tcW w:w="451" w:type="pct"/>
            <w:tcBorders>
              <w:tl2br w:val="nil"/>
              <w:tr2bl w:val="nil"/>
            </w:tcBorders>
            <w:shd w:val="clear" w:color="auto" w:fill="auto"/>
            <w:tcMar>
              <w:top w:w="15" w:type="dxa"/>
              <w:left w:w="15" w:type="dxa"/>
              <w:bottom w:w="0" w:type="dxa"/>
              <w:right w:w="15" w:type="dxa"/>
            </w:tcMar>
            <w:vAlign w:val="center"/>
          </w:tcPr>
          <w:p w14:paraId="7B3AADDC">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-0.09</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~0.4</w:t>
            </w:r>
          </w:p>
        </w:tc>
        <w:tc>
          <w:tcPr>
            <w:tcW w:w="342" w:type="pct"/>
            <w:tcBorders>
              <w:tl2br w:val="nil"/>
              <w:tr2bl w:val="nil"/>
            </w:tcBorders>
            <w:shd w:val="clear" w:color="auto" w:fill="auto"/>
            <w:tcMar>
              <w:top w:w="15" w:type="dxa"/>
              <w:left w:w="15" w:type="dxa"/>
              <w:bottom w:w="0" w:type="dxa"/>
              <w:right w:w="15" w:type="dxa"/>
            </w:tcMar>
            <w:vAlign w:val="center"/>
          </w:tcPr>
          <w:p w14:paraId="61111476">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w:t>
            </w:r>
          </w:p>
        </w:tc>
        <w:tc>
          <w:tcPr>
            <w:tcW w:w="378" w:type="pct"/>
            <w:tcBorders>
              <w:tl2br w:val="nil"/>
              <w:tr2bl w:val="nil"/>
            </w:tcBorders>
            <w:shd w:val="clear" w:color="auto" w:fill="auto"/>
            <w:vAlign w:val="center"/>
          </w:tcPr>
          <w:p w14:paraId="2B6BF8EB">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利旧</w:t>
            </w:r>
          </w:p>
        </w:tc>
      </w:tr>
      <w:tr w14:paraId="3E7FB6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87" w:hRule="atLeast"/>
          <w:jc w:val="center"/>
        </w:trPr>
        <w:tc>
          <w:tcPr>
            <w:tcW w:w="462" w:type="pct"/>
            <w:vMerge w:val="continue"/>
            <w:tcBorders>
              <w:tl2br w:val="nil"/>
              <w:tr2bl w:val="nil"/>
            </w:tcBorders>
            <w:tcMar>
              <w:top w:w="15" w:type="dxa"/>
              <w:left w:w="15" w:type="dxa"/>
              <w:bottom w:w="0" w:type="dxa"/>
              <w:right w:w="15" w:type="dxa"/>
            </w:tcMar>
            <w:vAlign w:val="center"/>
          </w:tcPr>
          <w:p w14:paraId="0CDBCCAF">
            <w:pPr>
              <w:widowControl/>
              <w:jc w:val="center"/>
              <w:rPr>
                <w:rFonts w:eastAsia="仿宋_GB2312"/>
                <w:b/>
                <w:color w:val="auto"/>
                <w:kern w:val="0"/>
                <w:szCs w:val="20"/>
              </w:rPr>
            </w:pPr>
          </w:p>
        </w:tc>
        <w:tc>
          <w:tcPr>
            <w:tcW w:w="346" w:type="pct"/>
            <w:tcBorders>
              <w:tl2br w:val="nil"/>
              <w:tr2bl w:val="nil"/>
            </w:tcBorders>
            <w:shd w:val="clear" w:color="auto" w:fill="auto"/>
            <w:tcMar>
              <w:top w:w="15" w:type="dxa"/>
              <w:left w:w="15" w:type="dxa"/>
              <w:bottom w:w="0" w:type="dxa"/>
              <w:right w:w="15" w:type="dxa"/>
            </w:tcMar>
            <w:vAlign w:val="center"/>
          </w:tcPr>
          <w:p w14:paraId="0FED6188">
            <w:pPr>
              <w:bidi w:val="0"/>
              <w:jc w:val="center"/>
              <w:rPr>
                <w:rFonts w:hint="eastAsia"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44</w:t>
            </w:r>
          </w:p>
        </w:tc>
        <w:tc>
          <w:tcPr>
            <w:tcW w:w="816" w:type="pct"/>
            <w:tcBorders>
              <w:tl2br w:val="nil"/>
              <w:tr2bl w:val="nil"/>
            </w:tcBorders>
            <w:shd w:val="clear" w:color="auto" w:fill="auto"/>
            <w:tcMar>
              <w:top w:w="15" w:type="dxa"/>
              <w:left w:w="15" w:type="dxa"/>
              <w:bottom w:w="0" w:type="dxa"/>
              <w:right w:w="15" w:type="dxa"/>
            </w:tcMar>
            <w:vAlign w:val="center"/>
          </w:tcPr>
          <w:p w14:paraId="1B074A6B">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2#塔一级冷凝器</w:t>
            </w:r>
          </w:p>
        </w:tc>
        <w:tc>
          <w:tcPr>
            <w:tcW w:w="1218" w:type="pct"/>
            <w:tcBorders>
              <w:tl2br w:val="nil"/>
              <w:tr2bl w:val="nil"/>
            </w:tcBorders>
            <w:shd w:val="clear" w:color="auto" w:fill="auto"/>
            <w:tcMar>
              <w:top w:w="15" w:type="dxa"/>
              <w:left w:w="15" w:type="dxa"/>
              <w:bottom w:w="0" w:type="dxa"/>
              <w:right w:w="15" w:type="dxa"/>
            </w:tcMar>
            <w:vAlign w:val="center"/>
          </w:tcPr>
          <w:p w14:paraId="29578280">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F=73m</w:t>
            </w:r>
            <w:r>
              <w:rPr>
                <w:rFonts w:hint="default" w:ascii="Times New Roman" w:hAnsi="Times New Roman" w:eastAsia="方正仿宋_GB2312" w:cs="Times New Roman"/>
                <w:color w:val="000000" w:themeColor="text1"/>
                <w:sz w:val="21"/>
                <w:szCs w:val="21"/>
                <w:vertAlign w:val="superscript"/>
                <w:lang w:val="en-US" w:eastAsia="zh-CN"/>
                <w14:textFill>
                  <w14:solidFill>
                    <w14:schemeClr w14:val="tx1"/>
                  </w14:solidFill>
                </w14:textFill>
              </w:rPr>
              <w:t>2</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Φ800×2500</w:t>
            </w:r>
          </w:p>
        </w:tc>
        <w:tc>
          <w:tcPr>
            <w:tcW w:w="540" w:type="pct"/>
            <w:tcBorders>
              <w:tl2br w:val="nil"/>
              <w:tr2bl w:val="nil"/>
            </w:tcBorders>
            <w:shd w:val="clear" w:color="auto" w:fill="auto"/>
            <w:tcMar>
              <w:top w:w="15" w:type="dxa"/>
              <w:left w:w="15" w:type="dxa"/>
              <w:bottom w:w="0" w:type="dxa"/>
              <w:right w:w="15" w:type="dxa"/>
            </w:tcMar>
            <w:vAlign w:val="center"/>
          </w:tcPr>
          <w:p w14:paraId="1874C52A">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S304/Q345R</w:t>
            </w:r>
          </w:p>
        </w:tc>
        <w:tc>
          <w:tcPr>
            <w:tcW w:w="443" w:type="pct"/>
            <w:tcBorders>
              <w:tl2br w:val="nil"/>
              <w:tr2bl w:val="nil"/>
            </w:tcBorders>
            <w:shd w:val="clear" w:color="auto" w:fill="auto"/>
            <w:tcMar>
              <w:top w:w="15" w:type="dxa"/>
              <w:left w:w="15" w:type="dxa"/>
              <w:bottom w:w="0" w:type="dxa"/>
              <w:right w:w="15" w:type="dxa"/>
            </w:tcMar>
            <w:vAlign w:val="center"/>
          </w:tcPr>
          <w:p w14:paraId="1EB4E619">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常温~</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175</w:t>
            </w:r>
          </w:p>
        </w:tc>
        <w:tc>
          <w:tcPr>
            <w:tcW w:w="451" w:type="pct"/>
            <w:tcBorders>
              <w:tl2br w:val="nil"/>
              <w:tr2bl w:val="nil"/>
            </w:tcBorders>
            <w:shd w:val="clear" w:color="auto" w:fill="auto"/>
            <w:tcMar>
              <w:top w:w="15" w:type="dxa"/>
              <w:left w:w="15" w:type="dxa"/>
              <w:bottom w:w="0" w:type="dxa"/>
              <w:right w:w="15" w:type="dxa"/>
            </w:tcMar>
            <w:vAlign w:val="center"/>
          </w:tcPr>
          <w:p w14:paraId="2AAEAF1A">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-0.09</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~0.4</w:t>
            </w:r>
          </w:p>
        </w:tc>
        <w:tc>
          <w:tcPr>
            <w:tcW w:w="342" w:type="pct"/>
            <w:tcBorders>
              <w:tl2br w:val="nil"/>
              <w:tr2bl w:val="nil"/>
            </w:tcBorders>
            <w:shd w:val="clear" w:color="auto" w:fill="auto"/>
            <w:tcMar>
              <w:top w:w="15" w:type="dxa"/>
              <w:left w:w="15" w:type="dxa"/>
              <w:bottom w:w="0" w:type="dxa"/>
              <w:right w:w="15" w:type="dxa"/>
            </w:tcMar>
            <w:vAlign w:val="center"/>
          </w:tcPr>
          <w:p w14:paraId="35C09A54">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w:t>
            </w:r>
          </w:p>
        </w:tc>
        <w:tc>
          <w:tcPr>
            <w:tcW w:w="378" w:type="pct"/>
            <w:tcBorders>
              <w:tl2br w:val="nil"/>
              <w:tr2bl w:val="nil"/>
            </w:tcBorders>
            <w:shd w:val="clear" w:color="auto" w:fill="auto"/>
            <w:vAlign w:val="center"/>
          </w:tcPr>
          <w:p w14:paraId="198E6A53">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利旧</w:t>
            </w:r>
          </w:p>
        </w:tc>
      </w:tr>
      <w:tr w14:paraId="22AA7B8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87" w:hRule="atLeast"/>
          <w:jc w:val="center"/>
        </w:trPr>
        <w:tc>
          <w:tcPr>
            <w:tcW w:w="462" w:type="pct"/>
            <w:vMerge w:val="continue"/>
            <w:tcBorders>
              <w:tl2br w:val="nil"/>
              <w:tr2bl w:val="nil"/>
            </w:tcBorders>
            <w:tcMar>
              <w:top w:w="15" w:type="dxa"/>
              <w:left w:w="15" w:type="dxa"/>
              <w:bottom w:w="0" w:type="dxa"/>
              <w:right w:w="15" w:type="dxa"/>
            </w:tcMar>
            <w:vAlign w:val="center"/>
          </w:tcPr>
          <w:p w14:paraId="5B218F5B">
            <w:pPr>
              <w:widowControl/>
              <w:jc w:val="center"/>
              <w:rPr>
                <w:rFonts w:eastAsia="仿宋_GB2312"/>
                <w:b/>
                <w:color w:val="auto"/>
                <w:kern w:val="0"/>
                <w:szCs w:val="20"/>
              </w:rPr>
            </w:pPr>
          </w:p>
        </w:tc>
        <w:tc>
          <w:tcPr>
            <w:tcW w:w="346" w:type="pct"/>
            <w:tcBorders>
              <w:tl2br w:val="nil"/>
              <w:tr2bl w:val="nil"/>
            </w:tcBorders>
            <w:shd w:val="clear" w:color="auto" w:fill="auto"/>
            <w:tcMar>
              <w:top w:w="15" w:type="dxa"/>
              <w:left w:w="15" w:type="dxa"/>
              <w:bottom w:w="0" w:type="dxa"/>
              <w:right w:w="15" w:type="dxa"/>
            </w:tcMar>
            <w:vAlign w:val="center"/>
          </w:tcPr>
          <w:p w14:paraId="3067948F">
            <w:pPr>
              <w:bidi w:val="0"/>
              <w:jc w:val="center"/>
              <w:rPr>
                <w:rFonts w:hint="eastAsia"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45</w:t>
            </w:r>
          </w:p>
        </w:tc>
        <w:tc>
          <w:tcPr>
            <w:tcW w:w="816" w:type="pct"/>
            <w:tcBorders>
              <w:tl2br w:val="nil"/>
              <w:tr2bl w:val="nil"/>
            </w:tcBorders>
            <w:shd w:val="clear" w:color="auto" w:fill="auto"/>
            <w:tcMar>
              <w:top w:w="15" w:type="dxa"/>
              <w:left w:w="15" w:type="dxa"/>
              <w:bottom w:w="0" w:type="dxa"/>
              <w:right w:w="15" w:type="dxa"/>
            </w:tcMar>
            <w:vAlign w:val="center"/>
          </w:tcPr>
          <w:p w14:paraId="4DFB9395">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6#塔一级冷凝器</w:t>
            </w:r>
          </w:p>
        </w:tc>
        <w:tc>
          <w:tcPr>
            <w:tcW w:w="1218" w:type="pct"/>
            <w:tcBorders>
              <w:tl2br w:val="nil"/>
              <w:tr2bl w:val="nil"/>
            </w:tcBorders>
            <w:shd w:val="clear" w:color="auto" w:fill="auto"/>
            <w:tcMar>
              <w:top w:w="15" w:type="dxa"/>
              <w:left w:w="15" w:type="dxa"/>
              <w:bottom w:w="0" w:type="dxa"/>
              <w:right w:w="15" w:type="dxa"/>
            </w:tcMar>
            <w:vAlign w:val="center"/>
          </w:tcPr>
          <w:p w14:paraId="3D4A3DBC">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F=73m</w:t>
            </w:r>
            <w:r>
              <w:rPr>
                <w:rFonts w:hint="default" w:ascii="Times New Roman" w:hAnsi="Times New Roman" w:eastAsia="方正仿宋_GB2312" w:cs="Times New Roman"/>
                <w:color w:val="000000" w:themeColor="text1"/>
                <w:sz w:val="21"/>
                <w:szCs w:val="21"/>
                <w:vertAlign w:val="superscript"/>
                <w:lang w:val="en-US" w:eastAsia="zh-CN"/>
                <w14:textFill>
                  <w14:solidFill>
                    <w14:schemeClr w14:val="tx1"/>
                  </w14:solidFill>
                </w14:textFill>
              </w:rPr>
              <w:t>2</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Φ800×2500</w:t>
            </w:r>
          </w:p>
        </w:tc>
        <w:tc>
          <w:tcPr>
            <w:tcW w:w="540" w:type="pct"/>
            <w:tcBorders>
              <w:tl2br w:val="nil"/>
              <w:tr2bl w:val="nil"/>
            </w:tcBorders>
            <w:shd w:val="clear" w:color="auto" w:fill="auto"/>
            <w:tcMar>
              <w:top w:w="15" w:type="dxa"/>
              <w:left w:w="15" w:type="dxa"/>
              <w:bottom w:w="0" w:type="dxa"/>
              <w:right w:w="15" w:type="dxa"/>
            </w:tcMar>
            <w:vAlign w:val="center"/>
          </w:tcPr>
          <w:p w14:paraId="241E9EFE">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S304/Q345R</w:t>
            </w:r>
          </w:p>
        </w:tc>
        <w:tc>
          <w:tcPr>
            <w:tcW w:w="443" w:type="pct"/>
            <w:tcBorders>
              <w:tl2br w:val="nil"/>
              <w:tr2bl w:val="nil"/>
            </w:tcBorders>
            <w:shd w:val="clear" w:color="auto" w:fill="auto"/>
            <w:tcMar>
              <w:top w:w="15" w:type="dxa"/>
              <w:left w:w="15" w:type="dxa"/>
              <w:bottom w:w="0" w:type="dxa"/>
              <w:right w:w="15" w:type="dxa"/>
            </w:tcMar>
            <w:vAlign w:val="center"/>
          </w:tcPr>
          <w:p w14:paraId="13E82E6F">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常温~</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175</w:t>
            </w:r>
          </w:p>
        </w:tc>
        <w:tc>
          <w:tcPr>
            <w:tcW w:w="451" w:type="pct"/>
            <w:tcBorders>
              <w:tl2br w:val="nil"/>
              <w:tr2bl w:val="nil"/>
            </w:tcBorders>
            <w:shd w:val="clear" w:color="auto" w:fill="auto"/>
            <w:tcMar>
              <w:top w:w="15" w:type="dxa"/>
              <w:left w:w="15" w:type="dxa"/>
              <w:bottom w:w="0" w:type="dxa"/>
              <w:right w:w="15" w:type="dxa"/>
            </w:tcMar>
            <w:vAlign w:val="center"/>
          </w:tcPr>
          <w:p w14:paraId="70AFA797">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-0.09</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~0.4</w:t>
            </w:r>
          </w:p>
        </w:tc>
        <w:tc>
          <w:tcPr>
            <w:tcW w:w="342" w:type="pct"/>
            <w:tcBorders>
              <w:tl2br w:val="nil"/>
              <w:tr2bl w:val="nil"/>
            </w:tcBorders>
            <w:shd w:val="clear" w:color="auto" w:fill="auto"/>
            <w:tcMar>
              <w:top w:w="15" w:type="dxa"/>
              <w:left w:w="15" w:type="dxa"/>
              <w:bottom w:w="0" w:type="dxa"/>
              <w:right w:w="15" w:type="dxa"/>
            </w:tcMar>
            <w:vAlign w:val="center"/>
          </w:tcPr>
          <w:p w14:paraId="361457E6">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w:t>
            </w:r>
          </w:p>
        </w:tc>
        <w:tc>
          <w:tcPr>
            <w:tcW w:w="378" w:type="pct"/>
            <w:tcBorders>
              <w:tl2br w:val="nil"/>
              <w:tr2bl w:val="nil"/>
            </w:tcBorders>
            <w:shd w:val="clear" w:color="auto" w:fill="auto"/>
            <w:vAlign w:val="center"/>
          </w:tcPr>
          <w:p w14:paraId="3E626C52">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利旧</w:t>
            </w:r>
          </w:p>
        </w:tc>
      </w:tr>
      <w:tr w14:paraId="37486D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87" w:hRule="atLeast"/>
          <w:jc w:val="center"/>
        </w:trPr>
        <w:tc>
          <w:tcPr>
            <w:tcW w:w="462" w:type="pct"/>
            <w:vMerge w:val="continue"/>
            <w:tcBorders>
              <w:tl2br w:val="nil"/>
              <w:tr2bl w:val="nil"/>
            </w:tcBorders>
            <w:tcMar>
              <w:top w:w="15" w:type="dxa"/>
              <w:left w:w="15" w:type="dxa"/>
              <w:bottom w:w="0" w:type="dxa"/>
              <w:right w:w="15" w:type="dxa"/>
            </w:tcMar>
            <w:vAlign w:val="center"/>
          </w:tcPr>
          <w:p w14:paraId="2FABF0A5">
            <w:pPr>
              <w:widowControl/>
              <w:jc w:val="center"/>
              <w:rPr>
                <w:rFonts w:eastAsia="仿宋_GB2312"/>
                <w:b/>
                <w:color w:val="auto"/>
                <w:kern w:val="0"/>
                <w:szCs w:val="20"/>
              </w:rPr>
            </w:pPr>
          </w:p>
        </w:tc>
        <w:tc>
          <w:tcPr>
            <w:tcW w:w="346" w:type="pct"/>
            <w:tcBorders>
              <w:tl2br w:val="nil"/>
              <w:tr2bl w:val="nil"/>
            </w:tcBorders>
            <w:shd w:val="clear" w:color="auto" w:fill="auto"/>
            <w:tcMar>
              <w:top w:w="15" w:type="dxa"/>
              <w:left w:w="15" w:type="dxa"/>
              <w:bottom w:w="0" w:type="dxa"/>
              <w:right w:w="15" w:type="dxa"/>
            </w:tcMar>
            <w:vAlign w:val="center"/>
          </w:tcPr>
          <w:p w14:paraId="62197BE3">
            <w:pPr>
              <w:bidi w:val="0"/>
              <w:jc w:val="center"/>
              <w:rPr>
                <w:rFonts w:hint="eastAsia"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46</w:t>
            </w:r>
          </w:p>
        </w:tc>
        <w:tc>
          <w:tcPr>
            <w:tcW w:w="816" w:type="pct"/>
            <w:tcBorders>
              <w:tl2br w:val="nil"/>
              <w:tr2bl w:val="nil"/>
            </w:tcBorders>
            <w:shd w:val="clear" w:color="auto" w:fill="auto"/>
            <w:tcMar>
              <w:top w:w="15" w:type="dxa"/>
              <w:left w:w="15" w:type="dxa"/>
              <w:bottom w:w="0" w:type="dxa"/>
              <w:right w:w="15" w:type="dxa"/>
            </w:tcMar>
            <w:vAlign w:val="center"/>
          </w:tcPr>
          <w:p w14:paraId="3E4083FE">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2#塔二级冷凝器</w:t>
            </w:r>
          </w:p>
        </w:tc>
        <w:tc>
          <w:tcPr>
            <w:tcW w:w="1218" w:type="pct"/>
            <w:tcBorders>
              <w:tl2br w:val="nil"/>
              <w:tr2bl w:val="nil"/>
            </w:tcBorders>
            <w:shd w:val="clear" w:color="auto" w:fill="auto"/>
            <w:tcMar>
              <w:top w:w="15" w:type="dxa"/>
              <w:left w:w="15" w:type="dxa"/>
              <w:bottom w:w="0" w:type="dxa"/>
              <w:right w:w="15" w:type="dxa"/>
            </w:tcMar>
            <w:vAlign w:val="center"/>
          </w:tcPr>
          <w:p w14:paraId="11060EEF">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F=73m</w:t>
            </w:r>
            <w:r>
              <w:rPr>
                <w:rFonts w:hint="default" w:ascii="Times New Roman" w:hAnsi="Times New Roman" w:eastAsia="方正仿宋_GB2312" w:cs="Times New Roman"/>
                <w:color w:val="000000" w:themeColor="text1"/>
                <w:sz w:val="21"/>
                <w:szCs w:val="21"/>
                <w:vertAlign w:val="superscript"/>
                <w:lang w:val="en-US" w:eastAsia="zh-CN"/>
                <w14:textFill>
                  <w14:solidFill>
                    <w14:schemeClr w14:val="tx1"/>
                  </w14:solidFill>
                </w14:textFill>
              </w:rPr>
              <w:t>2</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Φ800×2500</w:t>
            </w:r>
          </w:p>
        </w:tc>
        <w:tc>
          <w:tcPr>
            <w:tcW w:w="540" w:type="pct"/>
            <w:tcBorders>
              <w:tl2br w:val="nil"/>
              <w:tr2bl w:val="nil"/>
            </w:tcBorders>
            <w:shd w:val="clear" w:color="auto" w:fill="auto"/>
            <w:tcMar>
              <w:top w:w="15" w:type="dxa"/>
              <w:left w:w="15" w:type="dxa"/>
              <w:bottom w:w="0" w:type="dxa"/>
              <w:right w:w="15" w:type="dxa"/>
            </w:tcMar>
            <w:vAlign w:val="center"/>
          </w:tcPr>
          <w:p w14:paraId="6A8B065A">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S304/Q345R</w:t>
            </w:r>
          </w:p>
        </w:tc>
        <w:tc>
          <w:tcPr>
            <w:tcW w:w="443" w:type="pct"/>
            <w:tcBorders>
              <w:tl2br w:val="nil"/>
              <w:tr2bl w:val="nil"/>
            </w:tcBorders>
            <w:shd w:val="clear" w:color="auto" w:fill="auto"/>
            <w:tcMar>
              <w:top w:w="15" w:type="dxa"/>
              <w:left w:w="15" w:type="dxa"/>
              <w:bottom w:w="0" w:type="dxa"/>
              <w:right w:w="15" w:type="dxa"/>
            </w:tcMar>
            <w:vAlign w:val="center"/>
          </w:tcPr>
          <w:p w14:paraId="4EAD70CF">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-10~</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175</w:t>
            </w:r>
          </w:p>
        </w:tc>
        <w:tc>
          <w:tcPr>
            <w:tcW w:w="451" w:type="pct"/>
            <w:tcBorders>
              <w:tl2br w:val="nil"/>
              <w:tr2bl w:val="nil"/>
            </w:tcBorders>
            <w:shd w:val="clear" w:color="auto" w:fill="auto"/>
            <w:tcMar>
              <w:top w:w="15" w:type="dxa"/>
              <w:left w:w="15" w:type="dxa"/>
              <w:bottom w:w="0" w:type="dxa"/>
              <w:right w:w="15" w:type="dxa"/>
            </w:tcMar>
            <w:vAlign w:val="center"/>
          </w:tcPr>
          <w:p w14:paraId="756E6062">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-0.09</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~0.4</w:t>
            </w:r>
          </w:p>
        </w:tc>
        <w:tc>
          <w:tcPr>
            <w:tcW w:w="342" w:type="pct"/>
            <w:tcBorders>
              <w:tl2br w:val="nil"/>
              <w:tr2bl w:val="nil"/>
            </w:tcBorders>
            <w:shd w:val="clear" w:color="auto" w:fill="auto"/>
            <w:tcMar>
              <w:top w:w="15" w:type="dxa"/>
              <w:left w:w="15" w:type="dxa"/>
              <w:bottom w:w="0" w:type="dxa"/>
              <w:right w:w="15" w:type="dxa"/>
            </w:tcMar>
            <w:vAlign w:val="center"/>
          </w:tcPr>
          <w:p w14:paraId="0CAF0530">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w:t>
            </w:r>
          </w:p>
        </w:tc>
        <w:tc>
          <w:tcPr>
            <w:tcW w:w="378" w:type="pct"/>
            <w:tcBorders>
              <w:tl2br w:val="nil"/>
              <w:tr2bl w:val="nil"/>
            </w:tcBorders>
            <w:shd w:val="clear" w:color="auto" w:fill="auto"/>
            <w:vAlign w:val="center"/>
          </w:tcPr>
          <w:p w14:paraId="3E015AF7">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利旧</w:t>
            </w:r>
          </w:p>
        </w:tc>
      </w:tr>
      <w:tr w14:paraId="44C4F6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87" w:hRule="atLeast"/>
          <w:jc w:val="center"/>
        </w:trPr>
        <w:tc>
          <w:tcPr>
            <w:tcW w:w="462" w:type="pct"/>
            <w:vMerge w:val="continue"/>
            <w:tcBorders>
              <w:tl2br w:val="nil"/>
              <w:tr2bl w:val="nil"/>
            </w:tcBorders>
            <w:tcMar>
              <w:top w:w="15" w:type="dxa"/>
              <w:left w:w="15" w:type="dxa"/>
              <w:bottom w:w="0" w:type="dxa"/>
              <w:right w:w="15" w:type="dxa"/>
            </w:tcMar>
            <w:vAlign w:val="center"/>
          </w:tcPr>
          <w:p w14:paraId="25416DE7">
            <w:pPr>
              <w:widowControl/>
              <w:jc w:val="center"/>
              <w:rPr>
                <w:rFonts w:eastAsia="仿宋_GB2312"/>
                <w:b/>
                <w:color w:val="auto"/>
                <w:kern w:val="0"/>
                <w:szCs w:val="20"/>
              </w:rPr>
            </w:pPr>
          </w:p>
        </w:tc>
        <w:tc>
          <w:tcPr>
            <w:tcW w:w="346" w:type="pct"/>
            <w:tcBorders>
              <w:tl2br w:val="nil"/>
              <w:tr2bl w:val="nil"/>
            </w:tcBorders>
            <w:shd w:val="clear" w:color="auto" w:fill="auto"/>
            <w:tcMar>
              <w:top w:w="15" w:type="dxa"/>
              <w:left w:w="15" w:type="dxa"/>
              <w:bottom w:w="0" w:type="dxa"/>
              <w:right w:w="15" w:type="dxa"/>
            </w:tcMar>
            <w:vAlign w:val="center"/>
          </w:tcPr>
          <w:p w14:paraId="26149619">
            <w:pPr>
              <w:bidi w:val="0"/>
              <w:jc w:val="center"/>
              <w:rPr>
                <w:rFonts w:hint="eastAsia"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47</w:t>
            </w:r>
          </w:p>
        </w:tc>
        <w:tc>
          <w:tcPr>
            <w:tcW w:w="816" w:type="pct"/>
            <w:tcBorders>
              <w:tl2br w:val="nil"/>
              <w:tr2bl w:val="nil"/>
            </w:tcBorders>
            <w:shd w:val="clear" w:color="auto" w:fill="auto"/>
            <w:tcMar>
              <w:top w:w="15" w:type="dxa"/>
              <w:left w:w="15" w:type="dxa"/>
              <w:bottom w:w="0" w:type="dxa"/>
              <w:right w:w="15" w:type="dxa"/>
            </w:tcMar>
            <w:vAlign w:val="center"/>
          </w:tcPr>
          <w:p w14:paraId="3A219370">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6#塔二级冷凝器</w:t>
            </w:r>
          </w:p>
        </w:tc>
        <w:tc>
          <w:tcPr>
            <w:tcW w:w="1218" w:type="pct"/>
            <w:tcBorders>
              <w:tl2br w:val="nil"/>
              <w:tr2bl w:val="nil"/>
            </w:tcBorders>
            <w:shd w:val="clear" w:color="auto" w:fill="auto"/>
            <w:tcMar>
              <w:top w:w="15" w:type="dxa"/>
              <w:left w:w="15" w:type="dxa"/>
              <w:bottom w:w="0" w:type="dxa"/>
              <w:right w:w="15" w:type="dxa"/>
            </w:tcMar>
            <w:vAlign w:val="center"/>
          </w:tcPr>
          <w:p w14:paraId="1364D16E">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F=73m</w:t>
            </w:r>
            <w:r>
              <w:rPr>
                <w:rFonts w:hint="default" w:ascii="Times New Roman" w:hAnsi="Times New Roman" w:eastAsia="方正仿宋_GB2312" w:cs="Times New Roman"/>
                <w:color w:val="000000" w:themeColor="text1"/>
                <w:sz w:val="21"/>
                <w:szCs w:val="21"/>
                <w:vertAlign w:val="superscript"/>
                <w:lang w:val="en-US" w:eastAsia="zh-CN"/>
                <w14:textFill>
                  <w14:solidFill>
                    <w14:schemeClr w14:val="tx1"/>
                  </w14:solidFill>
                </w14:textFill>
              </w:rPr>
              <w:t>2</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Φ800×2500</w:t>
            </w:r>
          </w:p>
        </w:tc>
        <w:tc>
          <w:tcPr>
            <w:tcW w:w="540" w:type="pct"/>
            <w:tcBorders>
              <w:tl2br w:val="nil"/>
              <w:tr2bl w:val="nil"/>
            </w:tcBorders>
            <w:shd w:val="clear" w:color="auto" w:fill="auto"/>
            <w:tcMar>
              <w:top w:w="15" w:type="dxa"/>
              <w:left w:w="15" w:type="dxa"/>
              <w:bottom w:w="0" w:type="dxa"/>
              <w:right w:w="15" w:type="dxa"/>
            </w:tcMar>
            <w:vAlign w:val="center"/>
          </w:tcPr>
          <w:p w14:paraId="351178F3">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S304/Q345R</w:t>
            </w:r>
          </w:p>
        </w:tc>
        <w:tc>
          <w:tcPr>
            <w:tcW w:w="443" w:type="pct"/>
            <w:tcBorders>
              <w:tl2br w:val="nil"/>
              <w:tr2bl w:val="nil"/>
            </w:tcBorders>
            <w:shd w:val="clear" w:color="auto" w:fill="auto"/>
            <w:tcMar>
              <w:top w:w="15" w:type="dxa"/>
              <w:left w:w="15" w:type="dxa"/>
              <w:bottom w:w="0" w:type="dxa"/>
              <w:right w:w="15" w:type="dxa"/>
            </w:tcMar>
            <w:vAlign w:val="center"/>
          </w:tcPr>
          <w:p w14:paraId="108BBC2E">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-10~</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175</w:t>
            </w:r>
          </w:p>
        </w:tc>
        <w:tc>
          <w:tcPr>
            <w:tcW w:w="451" w:type="pct"/>
            <w:tcBorders>
              <w:tl2br w:val="nil"/>
              <w:tr2bl w:val="nil"/>
            </w:tcBorders>
            <w:shd w:val="clear" w:color="auto" w:fill="auto"/>
            <w:tcMar>
              <w:top w:w="15" w:type="dxa"/>
              <w:left w:w="15" w:type="dxa"/>
              <w:bottom w:w="0" w:type="dxa"/>
              <w:right w:w="15" w:type="dxa"/>
            </w:tcMar>
            <w:vAlign w:val="center"/>
          </w:tcPr>
          <w:p w14:paraId="5380B81A">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-0.09</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~0.4</w:t>
            </w:r>
          </w:p>
        </w:tc>
        <w:tc>
          <w:tcPr>
            <w:tcW w:w="342" w:type="pct"/>
            <w:tcBorders>
              <w:tl2br w:val="nil"/>
              <w:tr2bl w:val="nil"/>
            </w:tcBorders>
            <w:shd w:val="clear" w:color="auto" w:fill="auto"/>
            <w:tcMar>
              <w:top w:w="15" w:type="dxa"/>
              <w:left w:w="15" w:type="dxa"/>
              <w:bottom w:w="0" w:type="dxa"/>
              <w:right w:w="15" w:type="dxa"/>
            </w:tcMar>
            <w:vAlign w:val="center"/>
          </w:tcPr>
          <w:p w14:paraId="3AC8D482">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w:t>
            </w:r>
          </w:p>
        </w:tc>
        <w:tc>
          <w:tcPr>
            <w:tcW w:w="378" w:type="pct"/>
            <w:tcBorders>
              <w:tl2br w:val="nil"/>
              <w:tr2bl w:val="nil"/>
            </w:tcBorders>
            <w:shd w:val="clear" w:color="auto" w:fill="auto"/>
            <w:vAlign w:val="center"/>
          </w:tcPr>
          <w:p w14:paraId="6120BF71">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利旧</w:t>
            </w:r>
          </w:p>
        </w:tc>
      </w:tr>
      <w:tr w14:paraId="779F7C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87" w:hRule="atLeast"/>
          <w:jc w:val="center"/>
        </w:trPr>
        <w:tc>
          <w:tcPr>
            <w:tcW w:w="462" w:type="pct"/>
            <w:vMerge w:val="continue"/>
            <w:tcBorders>
              <w:tl2br w:val="nil"/>
              <w:tr2bl w:val="nil"/>
            </w:tcBorders>
            <w:tcMar>
              <w:top w:w="15" w:type="dxa"/>
              <w:left w:w="15" w:type="dxa"/>
              <w:bottom w:w="0" w:type="dxa"/>
              <w:right w:w="15" w:type="dxa"/>
            </w:tcMar>
            <w:vAlign w:val="center"/>
          </w:tcPr>
          <w:p w14:paraId="3A9686F6">
            <w:pPr>
              <w:widowControl/>
              <w:jc w:val="center"/>
              <w:rPr>
                <w:rFonts w:eastAsia="仿宋_GB2312"/>
                <w:b/>
                <w:color w:val="auto"/>
                <w:kern w:val="0"/>
                <w:szCs w:val="20"/>
              </w:rPr>
            </w:pPr>
          </w:p>
        </w:tc>
        <w:tc>
          <w:tcPr>
            <w:tcW w:w="346" w:type="pct"/>
            <w:tcBorders>
              <w:tl2br w:val="nil"/>
              <w:tr2bl w:val="nil"/>
            </w:tcBorders>
            <w:shd w:val="clear" w:color="auto" w:fill="auto"/>
            <w:tcMar>
              <w:top w:w="15" w:type="dxa"/>
              <w:left w:w="15" w:type="dxa"/>
              <w:bottom w:w="0" w:type="dxa"/>
              <w:right w:w="15" w:type="dxa"/>
            </w:tcMar>
            <w:vAlign w:val="center"/>
          </w:tcPr>
          <w:p w14:paraId="47370CFC">
            <w:pPr>
              <w:bidi w:val="0"/>
              <w:jc w:val="center"/>
              <w:rPr>
                <w:rFonts w:hint="eastAsia"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48</w:t>
            </w:r>
          </w:p>
        </w:tc>
        <w:tc>
          <w:tcPr>
            <w:tcW w:w="816" w:type="pct"/>
            <w:tcBorders>
              <w:tl2br w:val="nil"/>
              <w:tr2bl w:val="nil"/>
            </w:tcBorders>
            <w:shd w:val="clear" w:color="auto" w:fill="auto"/>
            <w:tcMar>
              <w:top w:w="15" w:type="dxa"/>
              <w:left w:w="15" w:type="dxa"/>
              <w:bottom w:w="0" w:type="dxa"/>
              <w:right w:w="15" w:type="dxa"/>
            </w:tcMar>
            <w:vAlign w:val="center"/>
          </w:tcPr>
          <w:p w14:paraId="526AE7E2">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4#塔一级冷凝器</w:t>
            </w:r>
          </w:p>
        </w:tc>
        <w:tc>
          <w:tcPr>
            <w:tcW w:w="1218" w:type="pct"/>
            <w:tcBorders>
              <w:tl2br w:val="nil"/>
              <w:tr2bl w:val="nil"/>
            </w:tcBorders>
            <w:shd w:val="clear" w:color="auto" w:fill="auto"/>
            <w:tcMar>
              <w:top w:w="15" w:type="dxa"/>
              <w:left w:w="15" w:type="dxa"/>
              <w:bottom w:w="0" w:type="dxa"/>
              <w:right w:w="15" w:type="dxa"/>
            </w:tcMar>
            <w:vAlign w:val="center"/>
          </w:tcPr>
          <w:p w14:paraId="0C756E83">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F=110m</w:t>
            </w:r>
            <w:r>
              <w:rPr>
                <w:rFonts w:hint="default" w:ascii="Times New Roman" w:hAnsi="Times New Roman" w:eastAsia="方正仿宋_GB2312" w:cs="Times New Roman"/>
                <w:color w:val="000000" w:themeColor="text1"/>
                <w:sz w:val="21"/>
                <w:szCs w:val="21"/>
                <w:vertAlign w:val="superscript"/>
                <w:lang w:val="en-US" w:eastAsia="zh-CN"/>
                <w14:textFill>
                  <w14:solidFill>
                    <w14:schemeClr w14:val="tx1"/>
                  </w14:solidFill>
                </w14:textFill>
              </w:rPr>
              <w:t>2</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Φ1000×2500</w:t>
            </w:r>
          </w:p>
        </w:tc>
        <w:tc>
          <w:tcPr>
            <w:tcW w:w="540" w:type="pct"/>
            <w:tcBorders>
              <w:tl2br w:val="nil"/>
              <w:tr2bl w:val="nil"/>
            </w:tcBorders>
            <w:shd w:val="clear" w:color="auto" w:fill="auto"/>
            <w:tcMar>
              <w:top w:w="15" w:type="dxa"/>
              <w:left w:w="15" w:type="dxa"/>
              <w:bottom w:w="0" w:type="dxa"/>
              <w:right w:w="15" w:type="dxa"/>
            </w:tcMar>
            <w:vAlign w:val="center"/>
          </w:tcPr>
          <w:p w14:paraId="6D10DF92">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S304/Q345R</w:t>
            </w:r>
          </w:p>
        </w:tc>
        <w:tc>
          <w:tcPr>
            <w:tcW w:w="443" w:type="pct"/>
            <w:tcBorders>
              <w:tl2br w:val="nil"/>
              <w:tr2bl w:val="nil"/>
            </w:tcBorders>
            <w:shd w:val="clear" w:color="auto" w:fill="auto"/>
            <w:tcMar>
              <w:top w:w="15" w:type="dxa"/>
              <w:left w:w="15" w:type="dxa"/>
              <w:bottom w:w="0" w:type="dxa"/>
              <w:right w:w="15" w:type="dxa"/>
            </w:tcMar>
            <w:vAlign w:val="center"/>
          </w:tcPr>
          <w:p w14:paraId="1AD0DB5F">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常温~</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175</w:t>
            </w:r>
          </w:p>
        </w:tc>
        <w:tc>
          <w:tcPr>
            <w:tcW w:w="451" w:type="pct"/>
            <w:tcBorders>
              <w:tl2br w:val="nil"/>
              <w:tr2bl w:val="nil"/>
            </w:tcBorders>
            <w:shd w:val="clear" w:color="auto" w:fill="auto"/>
            <w:tcMar>
              <w:top w:w="15" w:type="dxa"/>
              <w:left w:w="15" w:type="dxa"/>
              <w:bottom w:w="0" w:type="dxa"/>
              <w:right w:w="15" w:type="dxa"/>
            </w:tcMar>
            <w:vAlign w:val="center"/>
          </w:tcPr>
          <w:p w14:paraId="0A6EA8F6">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-0.09</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~0.4</w:t>
            </w:r>
          </w:p>
        </w:tc>
        <w:tc>
          <w:tcPr>
            <w:tcW w:w="342" w:type="pct"/>
            <w:tcBorders>
              <w:tl2br w:val="nil"/>
              <w:tr2bl w:val="nil"/>
            </w:tcBorders>
            <w:shd w:val="clear" w:color="auto" w:fill="auto"/>
            <w:tcMar>
              <w:top w:w="15" w:type="dxa"/>
              <w:left w:w="15" w:type="dxa"/>
              <w:bottom w:w="0" w:type="dxa"/>
              <w:right w:w="15" w:type="dxa"/>
            </w:tcMar>
            <w:vAlign w:val="center"/>
          </w:tcPr>
          <w:p w14:paraId="20018520">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w:t>
            </w:r>
          </w:p>
        </w:tc>
        <w:tc>
          <w:tcPr>
            <w:tcW w:w="378" w:type="pct"/>
            <w:tcBorders>
              <w:tl2br w:val="nil"/>
              <w:tr2bl w:val="nil"/>
            </w:tcBorders>
            <w:shd w:val="clear" w:color="auto" w:fill="auto"/>
            <w:vAlign w:val="center"/>
          </w:tcPr>
          <w:p w14:paraId="731A5113">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利旧</w:t>
            </w:r>
          </w:p>
        </w:tc>
      </w:tr>
      <w:tr w14:paraId="1551D7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87" w:hRule="atLeast"/>
          <w:jc w:val="center"/>
        </w:trPr>
        <w:tc>
          <w:tcPr>
            <w:tcW w:w="462" w:type="pct"/>
            <w:vMerge w:val="continue"/>
            <w:tcBorders>
              <w:tl2br w:val="nil"/>
              <w:tr2bl w:val="nil"/>
            </w:tcBorders>
            <w:tcMar>
              <w:top w:w="15" w:type="dxa"/>
              <w:left w:w="15" w:type="dxa"/>
              <w:bottom w:w="0" w:type="dxa"/>
              <w:right w:w="15" w:type="dxa"/>
            </w:tcMar>
            <w:vAlign w:val="center"/>
          </w:tcPr>
          <w:p w14:paraId="29BA4626">
            <w:pPr>
              <w:widowControl/>
              <w:jc w:val="center"/>
              <w:rPr>
                <w:rFonts w:eastAsia="仿宋_GB2312"/>
                <w:b/>
                <w:color w:val="auto"/>
                <w:kern w:val="0"/>
                <w:szCs w:val="20"/>
              </w:rPr>
            </w:pPr>
          </w:p>
        </w:tc>
        <w:tc>
          <w:tcPr>
            <w:tcW w:w="346" w:type="pct"/>
            <w:tcBorders>
              <w:tl2br w:val="nil"/>
              <w:tr2bl w:val="nil"/>
            </w:tcBorders>
            <w:shd w:val="clear" w:color="auto" w:fill="auto"/>
            <w:tcMar>
              <w:top w:w="15" w:type="dxa"/>
              <w:left w:w="15" w:type="dxa"/>
              <w:bottom w:w="0" w:type="dxa"/>
              <w:right w:w="15" w:type="dxa"/>
            </w:tcMar>
            <w:vAlign w:val="center"/>
          </w:tcPr>
          <w:p w14:paraId="3F590A9F">
            <w:pPr>
              <w:bidi w:val="0"/>
              <w:jc w:val="center"/>
              <w:rPr>
                <w:rFonts w:hint="eastAsia"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49</w:t>
            </w:r>
          </w:p>
        </w:tc>
        <w:tc>
          <w:tcPr>
            <w:tcW w:w="816" w:type="pct"/>
            <w:tcBorders>
              <w:tl2br w:val="nil"/>
              <w:tr2bl w:val="nil"/>
            </w:tcBorders>
            <w:shd w:val="clear" w:color="auto" w:fill="auto"/>
            <w:tcMar>
              <w:top w:w="15" w:type="dxa"/>
              <w:left w:w="15" w:type="dxa"/>
              <w:bottom w:w="0" w:type="dxa"/>
              <w:right w:w="15" w:type="dxa"/>
            </w:tcMar>
            <w:vAlign w:val="center"/>
          </w:tcPr>
          <w:p w14:paraId="2FEE8A5F">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8#塔一级冷凝器</w:t>
            </w:r>
          </w:p>
        </w:tc>
        <w:tc>
          <w:tcPr>
            <w:tcW w:w="1218" w:type="pct"/>
            <w:tcBorders>
              <w:tl2br w:val="nil"/>
              <w:tr2bl w:val="nil"/>
            </w:tcBorders>
            <w:shd w:val="clear" w:color="auto" w:fill="auto"/>
            <w:tcMar>
              <w:top w:w="15" w:type="dxa"/>
              <w:left w:w="15" w:type="dxa"/>
              <w:bottom w:w="0" w:type="dxa"/>
              <w:right w:w="15" w:type="dxa"/>
            </w:tcMar>
            <w:vAlign w:val="center"/>
          </w:tcPr>
          <w:p w14:paraId="18CB1E2D">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F=110m</w:t>
            </w:r>
            <w:r>
              <w:rPr>
                <w:rFonts w:hint="default" w:ascii="Times New Roman" w:hAnsi="Times New Roman" w:eastAsia="方正仿宋_GB2312" w:cs="Times New Roman"/>
                <w:color w:val="000000" w:themeColor="text1"/>
                <w:sz w:val="21"/>
                <w:szCs w:val="21"/>
                <w:vertAlign w:val="superscript"/>
                <w:lang w:val="en-US" w:eastAsia="zh-CN"/>
                <w14:textFill>
                  <w14:solidFill>
                    <w14:schemeClr w14:val="tx1"/>
                  </w14:solidFill>
                </w14:textFill>
              </w:rPr>
              <w:t>2</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Φ1000×2500</w:t>
            </w:r>
          </w:p>
        </w:tc>
        <w:tc>
          <w:tcPr>
            <w:tcW w:w="540" w:type="pct"/>
            <w:tcBorders>
              <w:tl2br w:val="nil"/>
              <w:tr2bl w:val="nil"/>
            </w:tcBorders>
            <w:shd w:val="clear" w:color="auto" w:fill="auto"/>
            <w:tcMar>
              <w:top w:w="15" w:type="dxa"/>
              <w:left w:w="15" w:type="dxa"/>
              <w:bottom w:w="0" w:type="dxa"/>
              <w:right w:w="15" w:type="dxa"/>
            </w:tcMar>
            <w:vAlign w:val="center"/>
          </w:tcPr>
          <w:p w14:paraId="5430F213">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S304/Q345R</w:t>
            </w:r>
          </w:p>
        </w:tc>
        <w:tc>
          <w:tcPr>
            <w:tcW w:w="443" w:type="pct"/>
            <w:tcBorders>
              <w:tl2br w:val="nil"/>
              <w:tr2bl w:val="nil"/>
            </w:tcBorders>
            <w:shd w:val="clear" w:color="auto" w:fill="auto"/>
            <w:tcMar>
              <w:top w:w="15" w:type="dxa"/>
              <w:left w:w="15" w:type="dxa"/>
              <w:bottom w:w="0" w:type="dxa"/>
              <w:right w:w="15" w:type="dxa"/>
            </w:tcMar>
            <w:vAlign w:val="center"/>
          </w:tcPr>
          <w:p w14:paraId="0CE2EFDA">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常温~</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175</w:t>
            </w:r>
          </w:p>
        </w:tc>
        <w:tc>
          <w:tcPr>
            <w:tcW w:w="451" w:type="pct"/>
            <w:tcBorders>
              <w:tl2br w:val="nil"/>
              <w:tr2bl w:val="nil"/>
            </w:tcBorders>
            <w:shd w:val="clear" w:color="auto" w:fill="auto"/>
            <w:tcMar>
              <w:top w:w="15" w:type="dxa"/>
              <w:left w:w="15" w:type="dxa"/>
              <w:bottom w:w="0" w:type="dxa"/>
              <w:right w:w="15" w:type="dxa"/>
            </w:tcMar>
            <w:vAlign w:val="center"/>
          </w:tcPr>
          <w:p w14:paraId="211CC3F6">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-0.09</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~0.4</w:t>
            </w:r>
          </w:p>
        </w:tc>
        <w:tc>
          <w:tcPr>
            <w:tcW w:w="342" w:type="pct"/>
            <w:tcBorders>
              <w:tl2br w:val="nil"/>
              <w:tr2bl w:val="nil"/>
            </w:tcBorders>
            <w:shd w:val="clear" w:color="auto" w:fill="auto"/>
            <w:tcMar>
              <w:top w:w="15" w:type="dxa"/>
              <w:left w:w="15" w:type="dxa"/>
              <w:bottom w:w="0" w:type="dxa"/>
              <w:right w:w="15" w:type="dxa"/>
            </w:tcMar>
            <w:vAlign w:val="center"/>
          </w:tcPr>
          <w:p w14:paraId="0DE57429">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w:t>
            </w:r>
          </w:p>
        </w:tc>
        <w:tc>
          <w:tcPr>
            <w:tcW w:w="378" w:type="pct"/>
            <w:tcBorders>
              <w:tl2br w:val="nil"/>
              <w:tr2bl w:val="nil"/>
            </w:tcBorders>
            <w:shd w:val="clear" w:color="auto" w:fill="auto"/>
            <w:vAlign w:val="center"/>
          </w:tcPr>
          <w:p w14:paraId="6DFD795A">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利旧</w:t>
            </w:r>
          </w:p>
        </w:tc>
      </w:tr>
      <w:tr w14:paraId="2EB571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87" w:hRule="atLeast"/>
          <w:jc w:val="center"/>
        </w:trPr>
        <w:tc>
          <w:tcPr>
            <w:tcW w:w="462" w:type="pct"/>
            <w:vMerge w:val="continue"/>
            <w:tcBorders>
              <w:tl2br w:val="nil"/>
              <w:tr2bl w:val="nil"/>
            </w:tcBorders>
            <w:tcMar>
              <w:top w:w="15" w:type="dxa"/>
              <w:left w:w="15" w:type="dxa"/>
              <w:bottom w:w="0" w:type="dxa"/>
              <w:right w:w="15" w:type="dxa"/>
            </w:tcMar>
            <w:vAlign w:val="center"/>
          </w:tcPr>
          <w:p w14:paraId="64EE5474">
            <w:pPr>
              <w:widowControl/>
              <w:jc w:val="center"/>
              <w:rPr>
                <w:rFonts w:eastAsia="仿宋_GB2312"/>
                <w:b/>
                <w:color w:val="auto"/>
                <w:kern w:val="0"/>
                <w:szCs w:val="20"/>
              </w:rPr>
            </w:pPr>
          </w:p>
        </w:tc>
        <w:tc>
          <w:tcPr>
            <w:tcW w:w="346" w:type="pct"/>
            <w:tcBorders>
              <w:tl2br w:val="nil"/>
              <w:tr2bl w:val="nil"/>
            </w:tcBorders>
            <w:shd w:val="clear" w:color="auto" w:fill="auto"/>
            <w:tcMar>
              <w:top w:w="15" w:type="dxa"/>
              <w:left w:w="15" w:type="dxa"/>
              <w:bottom w:w="0" w:type="dxa"/>
              <w:right w:w="15" w:type="dxa"/>
            </w:tcMar>
            <w:vAlign w:val="center"/>
          </w:tcPr>
          <w:p w14:paraId="713FB6F3">
            <w:pPr>
              <w:bidi w:val="0"/>
              <w:jc w:val="center"/>
              <w:rPr>
                <w:rFonts w:hint="eastAsia"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50</w:t>
            </w:r>
          </w:p>
        </w:tc>
        <w:tc>
          <w:tcPr>
            <w:tcW w:w="816" w:type="pct"/>
            <w:tcBorders>
              <w:tl2br w:val="nil"/>
              <w:tr2bl w:val="nil"/>
            </w:tcBorders>
            <w:shd w:val="clear" w:color="auto" w:fill="auto"/>
            <w:tcMar>
              <w:top w:w="15" w:type="dxa"/>
              <w:left w:w="15" w:type="dxa"/>
              <w:bottom w:w="0" w:type="dxa"/>
              <w:right w:w="15" w:type="dxa"/>
            </w:tcMar>
            <w:vAlign w:val="center"/>
          </w:tcPr>
          <w:p w14:paraId="725B5F64">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4#塔二级冷凝器</w:t>
            </w:r>
          </w:p>
        </w:tc>
        <w:tc>
          <w:tcPr>
            <w:tcW w:w="1218" w:type="pct"/>
            <w:tcBorders>
              <w:tl2br w:val="nil"/>
              <w:tr2bl w:val="nil"/>
            </w:tcBorders>
            <w:shd w:val="clear" w:color="auto" w:fill="auto"/>
            <w:tcMar>
              <w:top w:w="15" w:type="dxa"/>
              <w:left w:w="15" w:type="dxa"/>
              <w:bottom w:w="0" w:type="dxa"/>
              <w:right w:w="15" w:type="dxa"/>
            </w:tcMar>
            <w:vAlign w:val="center"/>
          </w:tcPr>
          <w:p w14:paraId="00032977">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F=110m</w:t>
            </w:r>
            <w:r>
              <w:rPr>
                <w:rFonts w:hint="default" w:ascii="Times New Roman" w:hAnsi="Times New Roman" w:eastAsia="方正仿宋_GB2312" w:cs="Times New Roman"/>
                <w:color w:val="000000" w:themeColor="text1"/>
                <w:sz w:val="21"/>
                <w:szCs w:val="21"/>
                <w:vertAlign w:val="superscript"/>
                <w:lang w:val="en-US" w:eastAsia="zh-CN"/>
                <w14:textFill>
                  <w14:solidFill>
                    <w14:schemeClr w14:val="tx1"/>
                  </w14:solidFill>
                </w14:textFill>
              </w:rPr>
              <w:t>2</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Φ1000×2500</w:t>
            </w:r>
          </w:p>
        </w:tc>
        <w:tc>
          <w:tcPr>
            <w:tcW w:w="540" w:type="pct"/>
            <w:tcBorders>
              <w:tl2br w:val="nil"/>
              <w:tr2bl w:val="nil"/>
            </w:tcBorders>
            <w:shd w:val="clear" w:color="auto" w:fill="auto"/>
            <w:tcMar>
              <w:top w:w="15" w:type="dxa"/>
              <w:left w:w="15" w:type="dxa"/>
              <w:bottom w:w="0" w:type="dxa"/>
              <w:right w:w="15" w:type="dxa"/>
            </w:tcMar>
            <w:vAlign w:val="center"/>
          </w:tcPr>
          <w:p w14:paraId="3F013C8B">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S304/Q345R</w:t>
            </w:r>
          </w:p>
        </w:tc>
        <w:tc>
          <w:tcPr>
            <w:tcW w:w="443" w:type="pct"/>
            <w:tcBorders>
              <w:tl2br w:val="nil"/>
              <w:tr2bl w:val="nil"/>
            </w:tcBorders>
            <w:shd w:val="clear" w:color="auto" w:fill="auto"/>
            <w:tcMar>
              <w:top w:w="15" w:type="dxa"/>
              <w:left w:w="15" w:type="dxa"/>
              <w:bottom w:w="0" w:type="dxa"/>
              <w:right w:w="15" w:type="dxa"/>
            </w:tcMar>
            <w:vAlign w:val="center"/>
          </w:tcPr>
          <w:p w14:paraId="5D5B9AFE">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-10~</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175</w:t>
            </w:r>
          </w:p>
        </w:tc>
        <w:tc>
          <w:tcPr>
            <w:tcW w:w="451" w:type="pct"/>
            <w:tcBorders>
              <w:tl2br w:val="nil"/>
              <w:tr2bl w:val="nil"/>
            </w:tcBorders>
            <w:shd w:val="clear" w:color="auto" w:fill="auto"/>
            <w:tcMar>
              <w:top w:w="15" w:type="dxa"/>
              <w:left w:w="15" w:type="dxa"/>
              <w:bottom w:w="0" w:type="dxa"/>
              <w:right w:w="15" w:type="dxa"/>
            </w:tcMar>
            <w:vAlign w:val="center"/>
          </w:tcPr>
          <w:p w14:paraId="46023CDD">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-0.09</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~0.4</w:t>
            </w:r>
          </w:p>
        </w:tc>
        <w:tc>
          <w:tcPr>
            <w:tcW w:w="342" w:type="pct"/>
            <w:tcBorders>
              <w:tl2br w:val="nil"/>
              <w:tr2bl w:val="nil"/>
            </w:tcBorders>
            <w:shd w:val="clear" w:color="auto" w:fill="auto"/>
            <w:tcMar>
              <w:top w:w="15" w:type="dxa"/>
              <w:left w:w="15" w:type="dxa"/>
              <w:bottom w:w="0" w:type="dxa"/>
              <w:right w:w="15" w:type="dxa"/>
            </w:tcMar>
            <w:vAlign w:val="center"/>
          </w:tcPr>
          <w:p w14:paraId="408E3CFE">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w:t>
            </w:r>
          </w:p>
        </w:tc>
        <w:tc>
          <w:tcPr>
            <w:tcW w:w="378" w:type="pct"/>
            <w:tcBorders>
              <w:tl2br w:val="nil"/>
              <w:tr2bl w:val="nil"/>
            </w:tcBorders>
            <w:shd w:val="clear" w:color="auto" w:fill="auto"/>
            <w:vAlign w:val="center"/>
          </w:tcPr>
          <w:p w14:paraId="49FACFE6">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利旧</w:t>
            </w:r>
          </w:p>
        </w:tc>
      </w:tr>
      <w:tr w14:paraId="30EDB0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87" w:hRule="atLeast"/>
          <w:jc w:val="center"/>
        </w:trPr>
        <w:tc>
          <w:tcPr>
            <w:tcW w:w="462" w:type="pct"/>
            <w:vMerge w:val="continue"/>
            <w:tcBorders>
              <w:tl2br w:val="nil"/>
              <w:tr2bl w:val="nil"/>
            </w:tcBorders>
            <w:tcMar>
              <w:top w:w="15" w:type="dxa"/>
              <w:left w:w="15" w:type="dxa"/>
              <w:bottom w:w="0" w:type="dxa"/>
              <w:right w:w="15" w:type="dxa"/>
            </w:tcMar>
            <w:vAlign w:val="center"/>
          </w:tcPr>
          <w:p w14:paraId="073489F3">
            <w:pPr>
              <w:widowControl/>
              <w:jc w:val="center"/>
              <w:rPr>
                <w:rFonts w:eastAsia="仿宋_GB2312"/>
                <w:b/>
                <w:color w:val="auto"/>
                <w:kern w:val="0"/>
                <w:szCs w:val="20"/>
              </w:rPr>
            </w:pPr>
          </w:p>
        </w:tc>
        <w:tc>
          <w:tcPr>
            <w:tcW w:w="346" w:type="pct"/>
            <w:tcBorders>
              <w:tl2br w:val="nil"/>
              <w:tr2bl w:val="nil"/>
            </w:tcBorders>
            <w:shd w:val="clear" w:color="auto" w:fill="auto"/>
            <w:tcMar>
              <w:top w:w="15" w:type="dxa"/>
              <w:left w:w="15" w:type="dxa"/>
              <w:bottom w:w="0" w:type="dxa"/>
              <w:right w:w="15" w:type="dxa"/>
            </w:tcMar>
            <w:vAlign w:val="center"/>
          </w:tcPr>
          <w:p w14:paraId="3B155452">
            <w:pPr>
              <w:bidi w:val="0"/>
              <w:jc w:val="center"/>
              <w:rPr>
                <w:rFonts w:hint="eastAsia"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51</w:t>
            </w:r>
          </w:p>
        </w:tc>
        <w:tc>
          <w:tcPr>
            <w:tcW w:w="816" w:type="pct"/>
            <w:tcBorders>
              <w:tl2br w:val="nil"/>
              <w:tr2bl w:val="nil"/>
            </w:tcBorders>
            <w:shd w:val="clear" w:color="auto" w:fill="auto"/>
            <w:tcMar>
              <w:top w:w="15" w:type="dxa"/>
              <w:left w:w="15" w:type="dxa"/>
              <w:bottom w:w="0" w:type="dxa"/>
              <w:right w:w="15" w:type="dxa"/>
            </w:tcMar>
            <w:vAlign w:val="center"/>
          </w:tcPr>
          <w:p w14:paraId="02B72C8A">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8#塔二级冷凝器</w:t>
            </w:r>
          </w:p>
        </w:tc>
        <w:tc>
          <w:tcPr>
            <w:tcW w:w="1218" w:type="pct"/>
            <w:tcBorders>
              <w:tl2br w:val="nil"/>
              <w:tr2bl w:val="nil"/>
            </w:tcBorders>
            <w:shd w:val="clear" w:color="auto" w:fill="auto"/>
            <w:tcMar>
              <w:top w:w="15" w:type="dxa"/>
              <w:left w:w="15" w:type="dxa"/>
              <w:bottom w:w="0" w:type="dxa"/>
              <w:right w:w="15" w:type="dxa"/>
            </w:tcMar>
            <w:vAlign w:val="center"/>
          </w:tcPr>
          <w:p w14:paraId="57E150B3">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F=110m</w:t>
            </w:r>
            <w:r>
              <w:rPr>
                <w:rFonts w:hint="default" w:ascii="Times New Roman" w:hAnsi="Times New Roman" w:eastAsia="方正仿宋_GB2312" w:cs="Times New Roman"/>
                <w:color w:val="000000" w:themeColor="text1"/>
                <w:sz w:val="21"/>
                <w:szCs w:val="21"/>
                <w:vertAlign w:val="superscript"/>
                <w:lang w:val="en-US" w:eastAsia="zh-CN"/>
                <w14:textFill>
                  <w14:solidFill>
                    <w14:schemeClr w14:val="tx1"/>
                  </w14:solidFill>
                </w14:textFill>
              </w:rPr>
              <w:t>2</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Φ1000×2500</w:t>
            </w:r>
          </w:p>
        </w:tc>
        <w:tc>
          <w:tcPr>
            <w:tcW w:w="540" w:type="pct"/>
            <w:tcBorders>
              <w:tl2br w:val="nil"/>
              <w:tr2bl w:val="nil"/>
            </w:tcBorders>
            <w:shd w:val="clear" w:color="auto" w:fill="auto"/>
            <w:tcMar>
              <w:top w:w="15" w:type="dxa"/>
              <w:left w:w="15" w:type="dxa"/>
              <w:bottom w:w="0" w:type="dxa"/>
              <w:right w:w="15" w:type="dxa"/>
            </w:tcMar>
            <w:vAlign w:val="center"/>
          </w:tcPr>
          <w:p w14:paraId="6D750205">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S304/Q345R</w:t>
            </w:r>
          </w:p>
        </w:tc>
        <w:tc>
          <w:tcPr>
            <w:tcW w:w="443" w:type="pct"/>
            <w:tcBorders>
              <w:tl2br w:val="nil"/>
              <w:tr2bl w:val="nil"/>
            </w:tcBorders>
            <w:shd w:val="clear" w:color="auto" w:fill="auto"/>
            <w:tcMar>
              <w:top w:w="15" w:type="dxa"/>
              <w:left w:w="15" w:type="dxa"/>
              <w:bottom w:w="0" w:type="dxa"/>
              <w:right w:w="15" w:type="dxa"/>
            </w:tcMar>
            <w:vAlign w:val="center"/>
          </w:tcPr>
          <w:p w14:paraId="318DA896">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-10~</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175</w:t>
            </w:r>
          </w:p>
        </w:tc>
        <w:tc>
          <w:tcPr>
            <w:tcW w:w="451" w:type="pct"/>
            <w:tcBorders>
              <w:tl2br w:val="nil"/>
              <w:tr2bl w:val="nil"/>
            </w:tcBorders>
            <w:shd w:val="clear" w:color="auto" w:fill="auto"/>
            <w:tcMar>
              <w:top w:w="15" w:type="dxa"/>
              <w:left w:w="15" w:type="dxa"/>
              <w:bottom w:w="0" w:type="dxa"/>
              <w:right w:w="15" w:type="dxa"/>
            </w:tcMar>
            <w:vAlign w:val="center"/>
          </w:tcPr>
          <w:p w14:paraId="5D5122DD">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-0.09</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~0.4</w:t>
            </w:r>
          </w:p>
        </w:tc>
        <w:tc>
          <w:tcPr>
            <w:tcW w:w="342" w:type="pct"/>
            <w:tcBorders>
              <w:tl2br w:val="nil"/>
              <w:tr2bl w:val="nil"/>
            </w:tcBorders>
            <w:shd w:val="clear" w:color="auto" w:fill="auto"/>
            <w:tcMar>
              <w:top w:w="15" w:type="dxa"/>
              <w:left w:w="15" w:type="dxa"/>
              <w:bottom w:w="0" w:type="dxa"/>
              <w:right w:w="15" w:type="dxa"/>
            </w:tcMar>
            <w:vAlign w:val="center"/>
          </w:tcPr>
          <w:p w14:paraId="56AA79EB">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w:t>
            </w:r>
          </w:p>
        </w:tc>
        <w:tc>
          <w:tcPr>
            <w:tcW w:w="378" w:type="pct"/>
            <w:tcBorders>
              <w:tl2br w:val="nil"/>
              <w:tr2bl w:val="nil"/>
            </w:tcBorders>
            <w:shd w:val="clear" w:color="auto" w:fill="auto"/>
            <w:vAlign w:val="center"/>
          </w:tcPr>
          <w:p w14:paraId="75DF3183">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利旧</w:t>
            </w:r>
          </w:p>
        </w:tc>
      </w:tr>
      <w:tr w14:paraId="5A7BD6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87" w:hRule="atLeast"/>
          <w:jc w:val="center"/>
        </w:trPr>
        <w:tc>
          <w:tcPr>
            <w:tcW w:w="462" w:type="pct"/>
            <w:vMerge w:val="continue"/>
            <w:tcBorders>
              <w:tl2br w:val="nil"/>
              <w:tr2bl w:val="nil"/>
            </w:tcBorders>
            <w:tcMar>
              <w:top w:w="15" w:type="dxa"/>
              <w:left w:w="15" w:type="dxa"/>
              <w:bottom w:w="0" w:type="dxa"/>
              <w:right w:w="15" w:type="dxa"/>
            </w:tcMar>
            <w:vAlign w:val="center"/>
          </w:tcPr>
          <w:p w14:paraId="14907C11">
            <w:pPr>
              <w:widowControl/>
              <w:jc w:val="center"/>
              <w:rPr>
                <w:rFonts w:eastAsia="仿宋_GB2312"/>
                <w:b/>
                <w:color w:val="auto"/>
                <w:kern w:val="0"/>
                <w:szCs w:val="20"/>
              </w:rPr>
            </w:pPr>
          </w:p>
        </w:tc>
        <w:tc>
          <w:tcPr>
            <w:tcW w:w="346" w:type="pct"/>
            <w:tcBorders>
              <w:tl2br w:val="nil"/>
              <w:tr2bl w:val="nil"/>
            </w:tcBorders>
            <w:shd w:val="clear" w:color="auto" w:fill="auto"/>
            <w:tcMar>
              <w:top w:w="15" w:type="dxa"/>
              <w:left w:w="15" w:type="dxa"/>
              <w:bottom w:w="0" w:type="dxa"/>
              <w:right w:w="15" w:type="dxa"/>
            </w:tcMar>
            <w:vAlign w:val="center"/>
          </w:tcPr>
          <w:p w14:paraId="5D2ECD9D">
            <w:pPr>
              <w:bidi w:val="0"/>
              <w:jc w:val="center"/>
              <w:rPr>
                <w:rFonts w:hint="eastAsia"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52</w:t>
            </w:r>
          </w:p>
        </w:tc>
        <w:tc>
          <w:tcPr>
            <w:tcW w:w="816" w:type="pct"/>
            <w:tcBorders>
              <w:tl2br w:val="nil"/>
              <w:tr2bl w:val="nil"/>
            </w:tcBorders>
            <w:shd w:val="clear" w:color="auto" w:fill="auto"/>
            <w:tcMar>
              <w:top w:w="15" w:type="dxa"/>
              <w:left w:w="15" w:type="dxa"/>
              <w:bottom w:w="0" w:type="dxa"/>
              <w:right w:w="15" w:type="dxa"/>
            </w:tcMar>
            <w:vAlign w:val="center"/>
          </w:tcPr>
          <w:p w14:paraId="3D77055D">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9#塔一级冷凝器</w:t>
            </w:r>
          </w:p>
        </w:tc>
        <w:tc>
          <w:tcPr>
            <w:tcW w:w="1218" w:type="pct"/>
            <w:tcBorders>
              <w:tl2br w:val="nil"/>
              <w:tr2bl w:val="nil"/>
            </w:tcBorders>
            <w:shd w:val="clear" w:color="auto" w:fill="auto"/>
            <w:tcMar>
              <w:top w:w="15" w:type="dxa"/>
              <w:left w:w="15" w:type="dxa"/>
              <w:bottom w:w="0" w:type="dxa"/>
              <w:right w:w="15" w:type="dxa"/>
            </w:tcMar>
            <w:vAlign w:val="center"/>
          </w:tcPr>
          <w:p w14:paraId="6A2682BC">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F=41m</w:t>
            </w:r>
            <w:r>
              <w:rPr>
                <w:rFonts w:hint="default" w:ascii="Times New Roman" w:hAnsi="Times New Roman" w:eastAsia="方正仿宋_GB2312" w:cs="Times New Roman"/>
                <w:color w:val="000000" w:themeColor="text1"/>
                <w:sz w:val="21"/>
                <w:szCs w:val="21"/>
                <w:vertAlign w:val="superscript"/>
                <w:lang w:val="en-US" w:eastAsia="zh-CN"/>
                <w14:textFill>
                  <w14:solidFill>
                    <w14:schemeClr w14:val="tx1"/>
                  </w14:solidFill>
                </w14:textFill>
              </w:rPr>
              <w:t>2</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Φ600×2000</w:t>
            </w:r>
          </w:p>
        </w:tc>
        <w:tc>
          <w:tcPr>
            <w:tcW w:w="540" w:type="pct"/>
            <w:tcBorders>
              <w:tl2br w:val="nil"/>
              <w:tr2bl w:val="nil"/>
            </w:tcBorders>
            <w:shd w:val="clear" w:color="auto" w:fill="auto"/>
            <w:tcMar>
              <w:top w:w="15" w:type="dxa"/>
              <w:left w:w="15" w:type="dxa"/>
              <w:bottom w:w="0" w:type="dxa"/>
              <w:right w:w="15" w:type="dxa"/>
            </w:tcMar>
            <w:vAlign w:val="center"/>
          </w:tcPr>
          <w:p w14:paraId="1DB66A15">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S304/Q345R</w:t>
            </w:r>
          </w:p>
        </w:tc>
        <w:tc>
          <w:tcPr>
            <w:tcW w:w="443" w:type="pct"/>
            <w:tcBorders>
              <w:tl2br w:val="nil"/>
              <w:tr2bl w:val="nil"/>
            </w:tcBorders>
            <w:shd w:val="clear" w:color="auto" w:fill="auto"/>
            <w:tcMar>
              <w:top w:w="15" w:type="dxa"/>
              <w:left w:w="15" w:type="dxa"/>
              <w:bottom w:w="0" w:type="dxa"/>
              <w:right w:w="15" w:type="dxa"/>
            </w:tcMar>
            <w:vAlign w:val="center"/>
          </w:tcPr>
          <w:p w14:paraId="3FC85B9D">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常温</w:t>
            </w:r>
          </w:p>
        </w:tc>
        <w:tc>
          <w:tcPr>
            <w:tcW w:w="451" w:type="pct"/>
            <w:tcBorders>
              <w:tl2br w:val="nil"/>
              <w:tr2bl w:val="nil"/>
            </w:tcBorders>
            <w:shd w:val="clear" w:color="auto" w:fill="auto"/>
            <w:tcMar>
              <w:top w:w="15" w:type="dxa"/>
              <w:left w:w="15" w:type="dxa"/>
              <w:bottom w:w="0" w:type="dxa"/>
              <w:right w:w="15" w:type="dxa"/>
            </w:tcMar>
            <w:vAlign w:val="center"/>
          </w:tcPr>
          <w:p w14:paraId="10F460C2">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常压</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~0.4</w:t>
            </w:r>
          </w:p>
        </w:tc>
        <w:tc>
          <w:tcPr>
            <w:tcW w:w="342" w:type="pct"/>
            <w:tcBorders>
              <w:tl2br w:val="nil"/>
              <w:tr2bl w:val="nil"/>
            </w:tcBorders>
            <w:shd w:val="clear" w:color="auto" w:fill="auto"/>
            <w:tcMar>
              <w:top w:w="15" w:type="dxa"/>
              <w:left w:w="15" w:type="dxa"/>
              <w:bottom w:w="0" w:type="dxa"/>
              <w:right w:w="15" w:type="dxa"/>
            </w:tcMar>
            <w:vAlign w:val="center"/>
          </w:tcPr>
          <w:p w14:paraId="1760CFCE">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w:t>
            </w:r>
          </w:p>
        </w:tc>
        <w:tc>
          <w:tcPr>
            <w:tcW w:w="378" w:type="pct"/>
            <w:tcBorders>
              <w:tl2br w:val="nil"/>
              <w:tr2bl w:val="nil"/>
            </w:tcBorders>
            <w:shd w:val="clear" w:color="auto" w:fill="auto"/>
            <w:vAlign w:val="center"/>
          </w:tcPr>
          <w:p w14:paraId="4D3037F7">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利旧</w:t>
            </w:r>
          </w:p>
        </w:tc>
      </w:tr>
      <w:tr w14:paraId="21819F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87" w:hRule="atLeast"/>
          <w:jc w:val="center"/>
        </w:trPr>
        <w:tc>
          <w:tcPr>
            <w:tcW w:w="462" w:type="pct"/>
            <w:vMerge w:val="continue"/>
            <w:tcBorders>
              <w:tl2br w:val="nil"/>
              <w:tr2bl w:val="nil"/>
            </w:tcBorders>
            <w:tcMar>
              <w:top w:w="15" w:type="dxa"/>
              <w:left w:w="15" w:type="dxa"/>
              <w:bottom w:w="0" w:type="dxa"/>
              <w:right w:w="15" w:type="dxa"/>
            </w:tcMar>
            <w:vAlign w:val="center"/>
          </w:tcPr>
          <w:p w14:paraId="699EAD13">
            <w:pPr>
              <w:widowControl/>
              <w:jc w:val="center"/>
              <w:rPr>
                <w:rFonts w:eastAsia="仿宋_GB2312"/>
                <w:b/>
                <w:color w:val="auto"/>
                <w:kern w:val="0"/>
                <w:szCs w:val="20"/>
              </w:rPr>
            </w:pPr>
          </w:p>
        </w:tc>
        <w:tc>
          <w:tcPr>
            <w:tcW w:w="346" w:type="pct"/>
            <w:tcBorders>
              <w:tl2br w:val="nil"/>
              <w:tr2bl w:val="nil"/>
            </w:tcBorders>
            <w:shd w:val="clear" w:color="auto" w:fill="auto"/>
            <w:tcMar>
              <w:top w:w="15" w:type="dxa"/>
              <w:left w:w="15" w:type="dxa"/>
              <w:bottom w:w="0" w:type="dxa"/>
              <w:right w:w="15" w:type="dxa"/>
            </w:tcMar>
            <w:vAlign w:val="center"/>
          </w:tcPr>
          <w:p w14:paraId="0C7BDED7">
            <w:pPr>
              <w:bidi w:val="0"/>
              <w:jc w:val="center"/>
              <w:rPr>
                <w:rFonts w:hint="eastAsia"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53</w:t>
            </w:r>
          </w:p>
        </w:tc>
        <w:tc>
          <w:tcPr>
            <w:tcW w:w="816" w:type="pct"/>
            <w:tcBorders>
              <w:tl2br w:val="nil"/>
              <w:tr2bl w:val="nil"/>
            </w:tcBorders>
            <w:shd w:val="clear" w:color="auto" w:fill="auto"/>
            <w:tcMar>
              <w:top w:w="15" w:type="dxa"/>
              <w:left w:w="15" w:type="dxa"/>
              <w:bottom w:w="0" w:type="dxa"/>
              <w:right w:w="15" w:type="dxa"/>
            </w:tcMar>
            <w:vAlign w:val="center"/>
          </w:tcPr>
          <w:p w14:paraId="3C1DBE0C">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9#塔尾气冷凝器</w:t>
            </w:r>
          </w:p>
        </w:tc>
        <w:tc>
          <w:tcPr>
            <w:tcW w:w="1218" w:type="pct"/>
            <w:tcBorders>
              <w:tl2br w:val="nil"/>
              <w:tr2bl w:val="nil"/>
            </w:tcBorders>
            <w:shd w:val="clear" w:color="auto" w:fill="auto"/>
            <w:tcMar>
              <w:top w:w="15" w:type="dxa"/>
              <w:left w:w="15" w:type="dxa"/>
              <w:bottom w:w="0" w:type="dxa"/>
              <w:right w:w="15" w:type="dxa"/>
            </w:tcMar>
            <w:vAlign w:val="center"/>
          </w:tcPr>
          <w:p w14:paraId="3D2FF50F">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F=73m</w:t>
            </w:r>
            <w:r>
              <w:rPr>
                <w:rFonts w:hint="default" w:ascii="Times New Roman" w:hAnsi="Times New Roman" w:eastAsia="方正仿宋_GB2312" w:cs="Times New Roman"/>
                <w:color w:val="000000" w:themeColor="text1"/>
                <w:sz w:val="21"/>
                <w:szCs w:val="21"/>
                <w:vertAlign w:val="superscript"/>
                <w:lang w:val="en-US" w:eastAsia="zh-CN"/>
                <w14:textFill>
                  <w14:solidFill>
                    <w14:schemeClr w14:val="tx1"/>
                  </w14:solidFill>
                </w14:textFill>
              </w:rPr>
              <w:t>2</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Φ800×2000</w:t>
            </w:r>
          </w:p>
        </w:tc>
        <w:tc>
          <w:tcPr>
            <w:tcW w:w="540" w:type="pct"/>
            <w:tcBorders>
              <w:tl2br w:val="nil"/>
              <w:tr2bl w:val="nil"/>
            </w:tcBorders>
            <w:shd w:val="clear" w:color="auto" w:fill="auto"/>
            <w:tcMar>
              <w:top w:w="15" w:type="dxa"/>
              <w:left w:w="15" w:type="dxa"/>
              <w:bottom w:w="0" w:type="dxa"/>
              <w:right w:w="15" w:type="dxa"/>
            </w:tcMar>
            <w:vAlign w:val="center"/>
          </w:tcPr>
          <w:p w14:paraId="7A4B4677">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S304/Q345R</w:t>
            </w:r>
          </w:p>
        </w:tc>
        <w:tc>
          <w:tcPr>
            <w:tcW w:w="443" w:type="pct"/>
            <w:tcBorders>
              <w:tl2br w:val="nil"/>
              <w:tr2bl w:val="nil"/>
            </w:tcBorders>
            <w:shd w:val="clear" w:color="auto" w:fill="auto"/>
            <w:tcMar>
              <w:top w:w="15" w:type="dxa"/>
              <w:left w:w="15" w:type="dxa"/>
              <w:bottom w:w="0" w:type="dxa"/>
              <w:right w:w="15" w:type="dxa"/>
            </w:tcMar>
            <w:vAlign w:val="center"/>
          </w:tcPr>
          <w:p w14:paraId="7E499611">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常温</w:t>
            </w:r>
          </w:p>
        </w:tc>
        <w:tc>
          <w:tcPr>
            <w:tcW w:w="451" w:type="pct"/>
            <w:tcBorders>
              <w:tl2br w:val="nil"/>
              <w:tr2bl w:val="nil"/>
            </w:tcBorders>
            <w:shd w:val="clear" w:color="auto" w:fill="auto"/>
            <w:tcMar>
              <w:top w:w="15" w:type="dxa"/>
              <w:left w:w="15" w:type="dxa"/>
              <w:bottom w:w="0" w:type="dxa"/>
              <w:right w:w="15" w:type="dxa"/>
            </w:tcMar>
            <w:vAlign w:val="center"/>
          </w:tcPr>
          <w:p w14:paraId="4703B276">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常压</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~0.4</w:t>
            </w:r>
          </w:p>
        </w:tc>
        <w:tc>
          <w:tcPr>
            <w:tcW w:w="342" w:type="pct"/>
            <w:tcBorders>
              <w:tl2br w:val="nil"/>
              <w:tr2bl w:val="nil"/>
            </w:tcBorders>
            <w:shd w:val="clear" w:color="auto" w:fill="auto"/>
            <w:tcMar>
              <w:top w:w="15" w:type="dxa"/>
              <w:left w:w="15" w:type="dxa"/>
              <w:bottom w:w="0" w:type="dxa"/>
              <w:right w:w="15" w:type="dxa"/>
            </w:tcMar>
            <w:vAlign w:val="center"/>
          </w:tcPr>
          <w:p w14:paraId="07263876">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w:t>
            </w:r>
          </w:p>
        </w:tc>
        <w:tc>
          <w:tcPr>
            <w:tcW w:w="378" w:type="pct"/>
            <w:tcBorders>
              <w:tl2br w:val="nil"/>
              <w:tr2bl w:val="nil"/>
            </w:tcBorders>
            <w:shd w:val="clear" w:color="auto" w:fill="auto"/>
            <w:vAlign w:val="center"/>
          </w:tcPr>
          <w:p w14:paraId="404110AF">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利旧</w:t>
            </w:r>
          </w:p>
        </w:tc>
      </w:tr>
      <w:tr w14:paraId="30CBF8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87" w:hRule="atLeast"/>
          <w:jc w:val="center"/>
        </w:trPr>
        <w:tc>
          <w:tcPr>
            <w:tcW w:w="462" w:type="pct"/>
            <w:vMerge w:val="continue"/>
            <w:tcBorders>
              <w:tl2br w:val="nil"/>
              <w:tr2bl w:val="nil"/>
            </w:tcBorders>
            <w:tcMar>
              <w:top w:w="15" w:type="dxa"/>
              <w:left w:w="15" w:type="dxa"/>
              <w:bottom w:w="0" w:type="dxa"/>
              <w:right w:w="15" w:type="dxa"/>
            </w:tcMar>
            <w:vAlign w:val="center"/>
          </w:tcPr>
          <w:p w14:paraId="3D4DAF16">
            <w:pPr>
              <w:widowControl/>
              <w:jc w:val="center"/>
              <w:rPr>
                <w:rFonts w:eastAsia="仿宋_GB2312"/>
                <w:b/>
                <w:color w:val="auto"/>
                <w:kern w:val="0"/>
                <w:szCs w:val="20"/>
              </w:rPr>
            </w:pPr>
          </w:p>
        </w:tc>
        <w:tc>
          <w:tcPr>
            <w:tcW w:w="346" w:type="pct"/>
            <w:tcBorders>
              <w:tl2br w:val="nil"/>
              <w:tr2bl w:val="nil"/>
            </w:tcBorders>
            <w:shd w:val="clear" w:color="auto" w:fill="auto"/>
            <w:tcMar>
              <w:top w:w="15" w:type="dxa"/>
              <w:left w:w="15" w:type="dxa"/>
              <w:bottom w:w="0" w:type="dxa"/>
              <w:right w:w="15" w:type="dxa"/>
            </w:tcMar>
            <w:vAlign w:val="center"/>
          </w:tcPr>
          <w:p w14:paraId="07255BEB">
            <w:pPr>
              <w:bidi w:val="0"/>
              <w:jc w:val="center"/>
              <w:rPr>
                <w:rFonts w:hint="eastAsia"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54</w:t>
            </w:r>
          </w:p>
        </w:tc>
        <w:tc>
          <w:tcPr>
            <w:tcW w:w="816" w:type="pct"/>
            <w:tcBorders>
              <w:tl2br w:val="nil"/>
              <w:tr2bl w:val="nil"/>
            </w:tcBorders>
            <w:shd w:val="clear" w:color="auto" w:fill="auto"/>
            <w:tcMar>
              <w:top w:w="15" w:type="dxa"/>
              <w:left w:w="15" w:type="dxa"/>
              <w:bottom w:w="0" w:type="dxa"/>
              <w:right w:w="15" w:type="dxa"/>
            </w:tcMar>
            <w:vAlign w:val="center"/>
          </w:tcPr>
          <w:p w14:paraId="125E0663">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凝水罐</w:t>
            </w:r>
          </w:p>
        </w:tc>
        <w:tc>
          <w:tcPr>
            <w:tcW w:w="1218" w:type="pct"/>
            <w:tcBorders>
              <w:tl2br w:val="nil"/>
              <w:tr2bl w:val="nil"/>
            </w:tcBorders>
            <w:shd w:val="clear" w:color="auto" w:fill="auto"/>
            <w:tcMar>
              <w:top w:w="15" w:type="dxa"/>
              <w:left w:w="15" w:type="dxa"/>
              <w:bottom w:w="0" w:type="dxa"/>
              <w:right w:w="15" w:type="dxa"/>
            </w:tcMar>
            <w:vAlign w:val="center"/>
          </w:tcPr>
          <w:p w14:paraId="763D8A16">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V=10.2m</w:t>
            </w:r>
            <w:r>
              <w:rPr>
                <w:rFonts w:hint="default" w:ascii="Times New Roman" w:hAnsi="Times New Roman" w:eastAsia="方正仿宋_GB2312" w:cs="Times New Roman"/>
                <w:color w:val="000000" w:themeColor="text1"/>
                <w:sz w:val="21"/>
                <w:szCs w:val="21"/>
                <w:vertAlign w:val="superscript"/>
                <w:lang w:val="en-US" w:eastAsia="zh-CN"/>
                <w14:textFill>
                  <w14:solidFill>
                    <w14:schemeClr w14:val="tx1"/>
                  </w14:solidFill>
                </w14:textFill>
              </w:rPr>
              <w:t>3</w:t>
            </w:r>
          </w:p>
        </w:tc>
        <w:tc>
          <w:tcPr>
            <w:tcW w:w="540" w:type="pct"/>
            <w:tcBorders>
              <w:tl2br w:val="nil"/>
              <w:tr2bl w:val="nil"/>
            </w:tcBorders>
            <w:shd w:val="clear" w:color="auto" w:fill="auto"/>
            <w:tcMar>
              <w:top w:w="15" w:type="dxa"/>
              <w:left w:w="15" w:type="dxa"/>
              <w:bottom w:w="0" w:type="dxa"/>
              <w:right w:w="15" w:type="dxa"/>
            </w:tcMar>
            <w:vAlign w:val="center"/>
          </w:tcPr>
          <w:p w14:paraId="7A3440F5">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Q345R</w:t>
            </w:r>
          </w:p>
        </w:tc>
        <w:tc>
          <w:tcPr>
            <w:tcW w:w="443" w:type="pct"/>
            <w:tcBorders>
              <w:tl2br w:val="nil"/>
              <w:tr2bl w:val="nil"/>
            </w:tcBorders>
            <w:shd w:val="clear" w:color="auto" w:fill="auto"/>
            <w:tcMar>
              <w:top w:w="15" w:type="dxa"/>
              <w:left w:w="15" w:type="dxa"/>
              <w:bottom w:w="0" w:type="dxa"/>
              <w:right w:w="15" w:type="dxa"/>
            </w:tcMar>
            <w:vAlign w:val="center"/>
          </w:tcPr>
          <w:p w14:paraId="5E5C8E31">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110</w:t>
            </w:r>
          </w:p>
        </w:tc>
        <w:tc>
          <w:tcPr>
            <w:tcW w:w="451" w:type="pct"/>
            <w:tcBorders>
              <w:tl2br w:val="nil"/>
              <w:tr2bl w:val="nil"/>
            </w:tcBorders>
            <w:shd w:val="clear" w:color="auto" w:fill="auto"/>
            <w:tcMar>
              <w:top w:w="15" w:type="dxa"/>
              <w:left w:w="15" w:type="dxa"/>
              <w:bottom w:w="0" w:type="dxa"/>
              <w:right w:w="15" w:type="dxa"/>
            </w:tcMar>
            <w:vAlign w:val="center"/>
          </w:tcPr>
          <w:p w14:paraId="121A8ACA">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0.3</w:t>
            </w:r>
          </w:p>
        </w:tc>
        <w:tc>
          <w:tcPr>
            <w:tcW w:w="342" w:type="pct"/>
            <w:tcBorders>
              <w:tl2br w:val="nil"/>
              <w:tr2bl w:val="nil"/>
            </w:tcBorders>
            <w:shd w:val="clear" w:color="auto" w:fill="auto"/>
            <w:tcMar>
              <w:top w:w="15" w:type="dxa"/>
              <w:left w:w="15" w:type="dxa"/>
              <w:bottom w:w="0" w:type="dxa"/>
              <w:right w:w="15" w:type="dxa"/>
            </w:tcMar>
            <w:vAlign w:val="center"/>
          </w:tcPr>
          <w:p w14:paraId="07A8603B">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w:t>
            </w:r>
          </w:p>
        </w:tc>
        <w:tc>
          <w:tcPr>
            <w:tcW w:w="378" w:type="pct"/>
            <w:tcBorders>
              <w:tl2br w:val="nil"/>
              <w:tr2bl w:val="nil"/>
            </w:tcBorders>
            <w:shd w:val="clear" w:color="auto" w:fill="auto"/>
            <w:vAlign w:val="center"/>
          </w:tcPr>
          <w:p w14:paraId="4A62260A">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利旧</w:t>
            </w:r>
          </w:p>
        </w:tc>
      </w:tr>
      <w:tr w14:paraId="719F52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87" w:hRule="atLeast"/>
          <w:jc w:val="center"/>
        </w:trPr>
        <w:tc>
          <w:tcPr>
            <w:tcW w:w="462" w:type="pct"/>
            <w:vMerge w:val="continue"/>
            <w:tcBorders>
              <w:tl2br w:val="nil"/>
              <w:tr2bl w:val="nil"/>
            </w:tcBorders>
            <w:tcMar>
              <w:top w:w="15" w:type="dxa"/>
              <w:left w:w="15" w:type="dxa"/>
              <w:bottom w:w="0" w:type="dxa"/>
              <w:right w:w="15" w:type="dxa"/>
            </w:tcMar>
            <w:vAlign w:val="center"/>
          </w:tcPr>
          <w:p w14:paraId="2B4374B5">
            <w:pPr>
              <w:widowControl/>
              <w:jc w:val="center"/>
              <w:rPr>
                <w:rFonts w:eastAsia="仿宋_GB2312"/>
                <w:b/>
                <w:color w:val="auto"/>
                <w:kern w:val="0"/>
                <w:szCs w:val="20"/>
              </w:rPr>
            </w:pPr>
          </w:p>
        </w:tc>
        <w:tc>
          <w:tcPr>
            <w:tcW w:w="346" w:type="pct"/>
            <w:tcBorders>
              <w:tl2br w:val="nil"/>
              <w:tr2bl w:val="nil"/>
            </w:tcBorders>
            <w:shd w:val="clear" w:color="auto" w:fill="auto"/>
            <w:tcMar>
              <w:top w:w="15" w:type="dxa"/>
              <w:left w:w="15" w:type="dxa"/>
              <w:bottom w:w="0" w:type="dxa"/>
              <w:right w:w="15" w:type="dxa"/>
            </w:tcMar>
            <w:vAlign w:val="center"/>
          </w:tcPr>
          <w:p w14:paraId="096C8B59">
            <w:pPr>
              <w:bidi w:val="0"/>
              <w:jc w:val="center"/>
              <w:rPr>
                <w:rFonts w:hint="eastAsia"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55</w:t>
            </w:r>
          </w:p>
        </w:tc>
        <w:tc>
          <w:tcPr>
            <w:tcW w:w="816" w:type="pct"/>
            <w:tcBorders>
              <w:tl2br w:val="nil"/>
              <w:tr2bl w:val="nil"/>
            </w:tcBorders>
            <w:shd w:val="clear" w:color="auto" w:fill="auto"/>
            <w:tcMar>
              <w:top w:w="15" w:type="dxa"/>
              <w:left w:w="15" w:type="dxa"/>
              <w:bottom w:w="0" w:type="dxa"/>
              <w:right w:w="15" w:type="dxa"/>
            </w:tcMar>
            <w:vAlign w:val="center"/>
          </w:tcPr>
          <w:p w14:paraId="53E06DC1">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凝水泵</w:t>
            </w:r>
          </w:p>
        </w:tc>
        <w:tc>
          <w:tcPr>
            <w:tcW w:w="1218" w:type="pct"/>
            <w:tcBorders>
              <w:tl2br w:val="nil"/>
              <w:tr2bl w:val="nil"/>
            </w:tcBorders>
            <w:shd w:val="clear" w:color="auto" w:fill="auto"/>
            <w:tcMar>
              <w:top w:w="15" w:type="dxa"/>
              <w:left w:w="15" w:type="dxa"/>
              <w:bottom w:w="0" w:type="dxa"/>
              <w:right w:w="15" w:type="dxa"/>
            </w:tcMar>
            <w:vAlign w:val="center"/>
          </w:tcPr>
          <w:p w14:paraId="2E1878B6">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Q=32m</w:t>
            </w:r>
            <w:r>
              <w:rPr>
                <w:rFonts w:hint="default" w:ascii="Times New Roman" w:hAnsi="Times New Roman" w:eastAsia="方正仿宋_GB2312" w:cs="Times New Roman"/>
                <w:color w:val="000000" w:themeColor="text1"/>
                <w:sz w:val="21"/>
                <w:szCs w:val="21"/>
                <w:vertAlign w:val="superscript"/>
                <w:lang w:val="en-US" w:eastAsia="zh-CN"/>
                <w14:textFill>
                  <w14:solidFill>
                    <w14:schemeClr w14:val="tx1"/>
                  </w14:solidFill>
                </w14:textFill>
              </w:rPr>
              <w:t>3</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/h</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H=67m</w:t>
            </w:r>
            <w:r>
              <w:rPr>
                <w:rFonts w:hint="eastAsia" w:eastAsia="方正仿宋_GB2312" w:cs="Times New Roman"/>
                <w:color w:val="000000" w:themeColor="text1"/>
                <w:sz w:val="21"/>
                <w:szCs w:val="21"/>
                <w:lang w:val="en-US" w:eastAsia="zh-CN"/>
                <w14:textFill>
                  <w14:solidFill>
                    <w14:schemeClr w14:val="tx1"/>
                  </w14:solidFill>
                </w14:textFill>
              </w:rPr>
              <w:t>，</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11kw</w:t>
            </w:r>
          </w:p>
        </w:tc>
        <w:tc>
          <w:tcPr>
            <w:tcW w:w="540" w:type="pct"/>
            <w:tcBorders>
              <w:tl2br w:val="nil"/>
              <w:tr2bl w:val="nil"/>
            </w:tcBorders>
            <w:shd w:val="clear" w:color="auto" w:fill="auto"/>
            <w:tcMar>
              <w:top w:w="15" w:type="dxa"/>
              <w:left w:w="15" w:type="dxa"/>
              <w:bottom w:w="0" w:type="dxa"/>
              <w:right w:w="15" w:type="dxa"/>
            </w:tcMar>
            <w:vAlign w:val="center"/>
          </w:tcPr>
          <w:p w14:paraId="67844865">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组合件</w:t>
            </w:r>
          </w:p>
        </w:tc>
        <w:tc>
          <w:tcPr>
            <w:tcW w:w="443" w:type="pct"/>
            <w:tcBorders>
              <w:tl2br w:val="nil"/>
              <w:tr2bl w:val="nil"/>
            </w:tcBorders>
            <w:shd w:val="clear" w:color="auto" w:fill="auto"/>
            <w:tcMar>
              <w:top w:w="15" w:type="dxa"/>
              <w:left w:w="15" w:type="dxa"/>
              <w:bottom w:w="0" w:type="dxa"/>
              <w:right w:w="15" w:type="dxa"/>
            </w:tcMar>
            <w:vAlign w:val="center"/>
          </w:tcPr>
          <w:p w14:paraId="431FEE12">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常温</w:t>
            </w:r>
          </w:p>
        </w:tc>
        <w:tc>
          <w:tcPr>
            <w:tcW w:w="451" w:type="pct"/>
            <w:tcBorders>
              <w:tl2br w:val="nil"/>
              <w:tr2bl w:val="nil"/>
            </w:tcBorders>
            <w:shd w:val="clear" w:color="auto" w:fill="auto"/>
            <w:tcMar>
              <w:top w:w="15" w:type="dxa"/>
              <w:left w:w="15" w:type="dxa"/>
              <w:bottom w:w="0" w:type="dxa"/>
              <w:right w:w="15" w:type="dxa"/>
            </w:tcMar>
            <w:vAlign w:val="center"/>
          </w:tcPr>
          <w:p w14:paraId="697B053D">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0.67</w:t>
            </w:r>
          </w:p>
        </w:tc>
        <w:tc>
          <w:tcPr>
            <w:tcW w:w="342" w:type="pct"/>
            <w:tcBorders>
              <w:tl2br w:val="nil"/>
              <w:tr2bl w:val="nil"/>
            </w:tcBorders>
            <w:shd w:val="clear" w:color="auto" w:fill="auto"/>
            <w:tcMar>
              <w:top w:w="15" w:type="dxa"/>
              <w:left w:w="15" w:type="dxa"/>
              <w:bottom w:w="0" w:type="dxa"/>
              <w:right w:w="15" w:type="dxa"/>
            </w:tcMar>
            <w:vAlign w:val="center"/>
          </w:tcPr>
          <w:p w14:paraId="1E8E0626">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2</w:t>
            </w:r>
          </w:p>
        </w:tc>
        <w:tc>
          <w:tcPr>
            <w:tcW w:w="378" w:type="pct"/>
            <w:tcBorders>
              <w:tl2br w:val="nil"/>
              <w:tr2bl w:val="nil"/>
            </w:tcBorders>
            <w:shd w:val="clear" w:color="auto" w:fill="auto"/>
            <w:vAlign w:val="center"/>
          </w:tcPr>
          <w:p w14:paraId="4A633F3B">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利旧</w:t>
            </w:r>
          </w:p>
        </w:tc>
      </w:tr>
      <w:tr w14:paraId="5BDD29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87" w:hRule="atLeast"/>
          <w:jc w:val="center"/>
        </w:trPr>
        <w:tc>
          <w:tcPr>
            <w:tcW w:w="462" w:type="pct"/>
            <w:vMerge w:val="continue"/>
            <w:tcBorders>
              <w:tl2br w:val="nil"/>
              <w:tr2bl w:val="nil"/>
            </w:tcBorders>
            <w:tcMar>
              <w:top w:w="15" w:type="dxa"/>
              <w:left w:w="15" w:type="dxa"/>
              <w:bottom w:w="0" w:type="dxa"/>
              <w:right w:w="15" w:type="dxa"/>
            </w:tcMar>
            <w:vAlign w:val="center"/>
          </w:tcPr>
          <w:p w14:paraId="4712FE64">
            <w:pPr>
              <w:widowControl/>
              <w:jc w:val="center"/>
              <w:rPr>
                <w:rFonts w:eastAsia="仿宋_GB2312"/>
                <w:b/>
                <w:color w:val="auto"/>
                <w:kern w:val="0"/>
                <w:szCs w:val="20"/>
              </w:rPr>
            </w:pPr>
          </w:p>
        </w:tc>
        <w:tc>
          <w:tcPr>
            <w:tcW w:w="346" w:type="pct"/>
            <w:tcBorders>
              <w:tl2br w:val="nil"/>
              <w:tr2bl w:val="nil"/>
            </w:tcBorders>
            <w:shd w:val="clear" w:color="auto" w:fill="auto"/>
            <w:tcMar>
              <w:top w:w="15" w:type="dxa"/>
              <w:left w:w="15" w:type="dxa"/>
              <w:bottom w:w="0" w:type="dxa"/>
              <w:right w:w="15" w:type="dxa"/>
            </w:tcMar>
            <w:vAlign w:val="center"/>
          </w:tcPr>
          <w:p w14:paraId="23E6308A">
            <w:pPr>
              <w:bidi w:val="0"/>
              <w:jc w:val="center"/>
              <w:rPr>
                <w:rFonts w:hint="eastAsia"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56</w:t>
            </w:r>
          </w:p>
        </w:tc>
        <w:tc>
          <w:tcPr>
            <w:tcW w:w="816" w:type="pct"/>
            <w:tcBorders>
              <w:tl2br w:val="nil"/>
              <w:tr2bl w:val="nil"/>
            </w:tcBorders>
            <w:shd w:val="clear" w:color="auto" w:fill="auto"/>
            <w:tcMar>
              <w:top w:w="15" w:type="dxa"/>
              <w:left w:w="15" w:type="dxa"/>
              <w:bottom w:w="0" w:type="dxa"/>
              <w:right w:w="15" w:type="dxa"/>
            </w:tcMar>
            <w:vAlign w:val="center"/>
          </w:tcPr>
          <w:p w14:paraId="0FE31F87">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半自动灌装机</w:t>
            </w:r>
          </w:p>
        </w:tc>
        <w:tc>
          <w:tcPr>
            <w:tcW w:w="1218" w:type="pct"/>
            <w:tcBorders>
              <w:tl2br w:val="nil"/>
              <w:tr2bl w:val="nil"/>
            </w:tcBorders>
            <w:shd w:val="clear" w:color="auto" w:fill="auto"/>
            <w:tcMar>
              <w:top w:w="15" w:type="dxa"/>
              <w:left w:w="15" w:type="dxa"/>
              <w:bottom w:w="0" w:type="dxa"/>
              <w:right w:w="15" w:type="dxa"/>
            </w:tcMar>
            <w:vAlign w:val="center"/>
          </w:tcPr>
          <w:p w14:paraId="29A3B8A4">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GZC-1K</w:t>
            </w:r>
          </w:p>
        </w:tc>
        <w:tc>
          <w:tcPr>
            <w:tcW w:w="540" w:type="pct"/>
            <w:tcBorders>
              <w:tl2br w:val="nil"/>
              <w:tr2bl w:val="nil"/>
            </w:tcBorders>
            <w:shd w:val="clear" w:color="auto" w:fill="auto"/>
            <w:tcMar>
              <w:top w:w="15" w:type="dxa"/>
              <w:left w:w="15" w:type="dxa"/>
              <w:bottom w:w="0" w:type="dxa"/>
              <w:right w:w="15" w:type="dxa"/>
            </w:tcMar>
            <w:vAlign w:val="center"/>
          </w:tcPr>
          <w:p w14:paraId="0FC7D32E">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组合件</w:t>
            </w:r>
          </w:p>
        </w:tc>
        <w:tc>
          <w:tcPr>
            <w:tcW w:w="443" w:type="pct"/>
            <w:tcBorders>
              <w:tl2br w:val="nil"/>
              <w:tr2bl w:val="nil"/>
            </w:tcBorders>
            <w:shd w:val="clear" w:color="auto" w:fill="auto"/>
            <w:tcMar>
              <w:top w:w="15" w:type="dxa"/>
              <w:left w:w="15" w:type="dxa"/>
              <w:bottom w:w="0" w:type="dxa"/>
              <w:right w:w="15" w:type="dxa"/>
            </w:tcMar>
            <w:vAlign w:val="center"/>
          </w:tcPr>
          <w:p w14:paraId="1B001C67">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常温</w:t>
            </w:r>
          </w:p>
        </w:tc>
        <w:tc>
          <w:tcPr>
            <w:tcW w:w="451" w:type="pct"/>
            <w:tcBorders>
              <w:tl2br w:val="nil"/>
              <w:tr2bl w:val="nil"/>
            </w:tcBorders>
            <w:shd w:val="clear" w:color="auto" w:fill="auto"/>
            <w:tcMar>
              <w:top w:w="15" w:type="dxa"/>
              <w:left w:w="15" w:type="dxa"/>
              <w:bottom w:w="0" w:type="dxa"/>
              <w:right w:w="15" w:type="dxa"/>
            </w:tcMar>
            <w:vAlign w:val="center"/>
          </w:tcPr>
          <w:p w14:paraId="48CEAA33">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常压</w:t>
            </w:r>
          </w:p>
        </w:tc>
        <w:tc>
          <w:tcPr>
            <w:tcW w:w="342" w:type="pct"/>
            <w:tcBorders>
              <w:tl2br w:val="nil"/>
              <w:tr2bl w:val="nil"/>
            </w:tcBorders>
            <w:shd w:val="clear" w:color="auto" w:fill="auto"/>
            <w:tcMar>
              <w:top w:w="15" w:type="dxa"/>
              <w:left w:w="15" w:type="dxa"/>
              <w:bottom w:w="0" w:type="dxa"/>
              <w:right w:w="15" w:type="dxa"/>
            </w:tcMar>
            <w:vAlign w:val="center"/>
          </w:tcPr>
          <w:p w14:paraId="406267CF">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w:t>
            </w:r>
          </w:p>
        </w:tc>
        <w:tc>
          <w:tcPr>
            <w:tcW w:w="378" w:type="pct"/>
            <w:tcBorders>
              <w:tl2br w:val="nil"/>
              <w:tr2bl w:val="nil"/>
            </w:tcBorders>
            <w:shd w:val="clear" w:color="auto" w:fill="auto"/>
            <w:vAlign w:val="center"/>
          </w:tcPr>
          <w:p w14:paraId="0B8E5185">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利旧</w:t>
            </w:r>
          </w:p>
        </w:tc>
      </w:tr>
      <w:tr w14:paraId="5997DA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462" w:type="pct"/>
            <w:vMerge w:val="restart"/>
            <w:tcBorders>
              <w:tl2br w:val="nil"/>
              <w:tr2bl w:val="nil"/>
            </w:tcBorders>
            <w:tcMar>
              <w:top w:w="15" w:type="dxa"/>
              <w:left w:w="15" w:type="dxa"/>
              <w:bottom w:w="0" w:type="dxa"/>
              <w:right w:w="15" w:type="dxa"/>
            </w:tcMar>
            <w:vAlign w:val="center"/>
          </w:tcPr>
          <w:p w14:paraId="4EA20428">
            <w:pPr>
              <w:widowControl/>
              <w:jc w:val="center"/>
              <w:rPr>
                <w:rFonts w:hint="eastAsia" w:eastAsia="仿宋_GB2312"/>
                <w:color w:val="FF0000"/>
                <w:kern w:val="0"/>
                <w:szCs w:val="20"/>
                <w:lang w:eastAsia="zh-CN"/>
              </w:rPr>
            </w:pPr>
            <w:r>
              <w:rPr>
                <w:rFonts w:eastAsia="仿宋_GB2312"/>
                <w:color w:val="auto"/>
                <w:kern w:val="0"/>
                <w:szCs w:val="20"/>
              </w:rPr>
              <w:t>间歇精馏</w:t>
            </w:r>
            <w:r>
              <w:rPr>
                <w:rFonts w:hint="eastAsia" w:eastAsia="仿宋_GB2312"/>
                <w:color w:val="auto"/>
                <w:kern w:val="0"/>
                <w:szCs w:val="20"/>
                <w:lang w:val="en-US" w:eastAsia="zh-CN"/>
              </w:rPr>
              <w:t>系统</w:t>
            </w:r>
            <w:r>
              <w:rPr>
                <w:rFonts w:hint="eastAsia" w:eastAsia="仿宋_GB2312"/>
                <w:color w:val="auto"/>
                <w:kern w:val="0"/>
                <w:szCs w:val="20"/>
                <w:lang w:eastAsia="zh-CN"/>
              </w:rPr>
              <w:t>（</w:t>
            </w:r>
            <w:r>
              <w:rPr>
                <w:rFonts w:hint="eastAsia" w:eastAsia="仿宋_GB2312"/>
                <w:color w:val="auto"/>
                <w:kern w:val="0"/>
                <w:szCs w:val="20"/>
                <w:lang w:val="en-US" w:eastAsia="zh-CN"/>
              </w:rPr>
              <w:t>8套</w:t>
            </w:r>
            <w:r>
              <w:rPr>
                <w:rFonts w:hint="eastAsia" w:eastAsia="仿宋_GB2312"/>
                <w:color w:val="auto"/>
                <w:kern w:val="0"/>
                <w:szCs w:val="20"/>
                <w:lang w:eastAsia="zh-CN"/>
              </w:rPr>
              <w:t>）</w:t>
            </w:r>
          </w:p>
        </w:tc>
        <w:tc>
          <w:tcPr>
            <w:tcW w:w="346" w:type="pct"/>
            <w:tcBorders>
              <w:tl2br w:val="nil"/>
              <w:tr2bl w:val="nil"/>
            </w:tcBorders>
            <w:shd w:val="clear" w:color="auto" w:fill="auto"/>
            <w:tcMar>
              <w:top w:w="15" w:type="dxa"/>
              <w:left w:w="15" w:type="dxa"/>
              <w:bottom w:w="0" w:type="dxa"/>
              <w:right w:w="15" w:type="dxa"/>
            </w:tcMar>
            <w:vAlign w:val="center"/>
          </w:tcPr>
          <w:p w14:paraId="4B51F87E">
            <w:pPr>
              <w:bidi w:val="0"/>
              <w:jc w:val="center"/>
              <w:rPr>
                <w:rFonts w:hint="default" w:ascii="Times New Roman" w:hAnsi="Times New Roman" w:eastAsia="方正仿宋_GB2312" w:cs="Times New Roman"/>
                <w:color w:val="auto"/>
                <w:kern w:val="2"/>
                <w:sz w:val="21"/>
                <w:szCs w:val="21"/>
                <w:lang w:val="en-US" w:eastAsia="zh-CN" w:bidi="ar-SA"/>
              </w:rPr>
            </w:pPr>
            <w:r>
              <w:rPr>
                <w:rFonts w:hint="default" w:ascii="Times New Roman" w:hAnsi="Times New Roman" w:eastAsia="方正仿宋_GB2312" w:cs="Times New Roman"/>
                <w:color w:val="auto"/>
                <w:sz w:val="21"/>
                <w:szCs w:val="21"/>
              </w:rPr>
              <w:t>1</w:t>
            </w:r>
          </w:p>
        </w:tc>
        <w:tc>
          <w:tcPr>
            <w:tcW w:w="816" w:type="pct"/>
            <w:tcBorders>
              <w:tl2br w:val="nil"/>
              <w:tr2bl w:val="nil"/>
            </w:tcBorders>
            <w:shd w:val="clear" w:color="auto" w:fill="auto"/>
            <w:tcMar>
              <w:top w:w="15" w:type="dxa"/>
              <w:left w:w="15" w:type="dxa"/>
              <w:bottom w:w="0" w:type="dxa"/>
              <w:right w:w="15" w:type="dxa"/>
            </w:tcMar>
            <w:vAlign w:val="center"/>
          </w:tcPr>
          <w:p w14:paraId="387EA3F8">
            <w:pPr>
              <w:bidi w:val="0"/>
              <w:jc w:val="center"/>
              <w:rPr>
                <w:rFonts w:hint="default" w:ascii="Times New Roman" w:hAnsi="Times New Roman" w:eastAsia="方正仿宋_GB2312" w:cs="Times New Roman"/>
                <w:color w:val="auto"/>
                <w:kern w:val="2"/>
                <w:sz w:val="21"/>
                <w:szCs w:val="21"/>
                <w:lang w:val="en-US" w:eastAsia="en-US" w:bidi="ar-SA"/>
              </w:rPr>
            </w:pPr>
            <w:r>
              <w:rPr>
                <w:rFonts w:hint="default" w:ascii="Times New Roman" w:hAnsi="Times New Roman" w:eastAsia="方正仿宋_GB2312" w:cs="Times New Roman"/>
                <w:color w:val="auto"/>
                <w:sz w:val="21"/>
                <w:szCs w:val="21"/>
                <w:lang w:val="en-US" w:eastAsia="zh-CN"/>
              </w:rPr>
              <w:t>1#~8#塔精馏塔釜</w:t>
            </w:r>
          </w:p>
        </w:tc>
        <w:tc>
          <w:tcPr>
            <w:tcW w:w="1218" w:type="pct"/>
            <w:tcBorders>
              <w:tl2br w:val="nil"/>
              <w:tr2bl w:val="nil"/>
            </w:tcBorders>
            <w:shd w:val="clear" w:color="auto" w:fill="auto"/>
            <w:tcMar>
              <w:top w:w="15" w:type="dxa"/>
              <w:left w:w="15" w:type="dxa"/>
              <w:bottom w:w="0" w:type="dxa"/>
              <w:right w:w="15" w:type="dxa"/>
            </w:tcMar>
            <w:vAlign w:val="center"/>
          </w:tcPr>
          <w:p w14:paraId="4DC1D171">
            <w:pPr>
              <w:bidi w:val="0"/>
              <w:jc w:val="center"/>
              <w:rPr>
                <w:rFonts w:hint="default" w:ascii="Times New Roman" w:hAnsi="Times New Roman" w:eastAsia="方正仿宋_GB2312" w:cs="Times New Roman"/>
                <w:color w:val="auto"/>
                <w:kern w:val="2"/>
                <w:sz w:val="21"/>
                <w:szCs w:val="21"/>
                <w:lang w:val="en-US" w:eastAsia="en-US" w:bidi="ar-SA"/>
              </w:rPr>
            </w:pPr>
            <w:r>
              <w:rPr>
                <w:rFonts w:hint="default" w:ascii="Times New Roman" w:hAnsi="Times New Roman" w:eastAsia="方正仿宋_GB2312" w:cs="Times New Roman"/>
                <w:color w:val="auto"/>
                <w:sz w:val="21"/>
                <w:szCs w:val="21"/>
                <w:lang w:val="en-US" w:eastAsia="zh-CN"/>
              </w:rPr>
              <w:t>V=5m</w:t>
            </w:r>
            <w:r>
              <w:rPr>
                <w:rFonts w:hint="default" w:ascii="Times New Roman" w:hAnsi="Times New Roman" w:eastAsia="方正仿宋_GB2312" w:cs="Times New Roman"/>
                <w:color w:val="auto"/>
                <w:sz w:val="21"/>
                <w:szCs w:val="21"/>
                <w:vertAlign w:val="superscript"/>
                <w:lang w:val="en-US" w:eastAsia="zh-CN"/>
              </w:rPr>
              <w:t>3</w:t>
            </w:r>
            <w:r>
              <w:rPr>
                <w:rFonts w:hint="eastAsia" w:ascii="Times New Roman" w:hAnsi="Times New Roman" w:eastAsia="方正仿宋_GB2312" w:cs="Times New Roman"/>
                <w:color w:val="auto"/>
                <w:sz w:val="21"/>
                <w:szCs w:val="21"/>
                <w:lang w:val="en-US" w:eastAsia="zh-CN"/>
              </w:rPr>
              <w:t>，</w:t>
            </w:r>
            <w:r>
              <w:rPr>
                <w:rFonts w:hint="default" w:ascii="Times New Roman" w:hAnsi="Times New Roman" w:eastAsia="方正仿宋_GB2312" w:cs="Times New Roman"/>
                <w:color w:val="auto"/>
                <w:sz w:val="21"/>
                <w:szCs w:val="21"/>
                <w:lang w:val="en-US" w:eastAsia="zh-CN"/>
              </w:rPr>
              <w:t>Φ2000×2400</w:t>
            </w:r>
          </w:p>
        </w:tc>
        <w:tc>
          <w:tcPr>
            <w:tcW w:w="540" w:type="pct"/>
            <w:tcBorders>
              <w:tl2br w:val="nil"/>
              <w:tr2bl w:val="nil"/>
            </w:tcBorders>
            <w:shd w:val="clear" w:color="auto" w:fill="auto"/>
            <w:tcMar>
              <w:top w:w="15" w:type="dxa"/>
              <w:left w:w="15" w:type="dxa"/>
              <w:bottom w:w="0" w:type="dxa"/>
              <w:right w:w="15" w:type="dxa"/>
            </w:tcMar>
            <w:vAlign w:val="center"/>
          </w:tcPr>
          <w:p w14:paraId="7158E0FD">
            <w:pPr>
              <w:bidi w:val="0"/>
              <w:jc w:val="center"/>
              <w:rPr>
                <w:rFonts w:hint="default" w:ascii="Times New Roman" w:hAnsi="Times New Roman" w:eastAsia="方正仿宋_GB2312" w:cs="Times New Roman"/>
                <w:color w:val="auto"/>
                <w:kern w:val="2"/>
                <w:sz w:val="21"/>
                <w:szCs w:val="21"/>
                <w:lang w:val="en-US" w:eastAsia="en-US" w:bidi="ar-SA"/>
              </w:rPr>
            </w:pPr>
            <w:r>
              <w:rPr>
                <w:rFonts w:hint="default" w:ascii="Times New Roman" w:hAnsi="Times New Roman" w:eastAsia="方正仿宋_GB2312" w:cs="Times New Roman"/>
                <w:color w:val="auto"/>
                <w:sz w:val="21"/>
                <w:szCs w:val="21"/>
                <w:lang w:val="en-US" w:eastAsia="zh-CN"/>
              </w:rPr>
              <w:t>S304</w:t>
            </w:r>
          </w:p>
        </w:tc>
        <w:tc>
          <w:tcPr>
            <w:tcW w:w="443" w:type="pct"/>
            <w:tcBorders>
              <w:tl2br w:val="nil"/>
              <w:tr2bl w:val="nil"/>
            </w:tcBorders>
            <w:shd w:val="clear" w:color="auto" w:fill="auto"/>
            <w:tcMar>
              <w:top w:w="15" w:type="dxa"/>
              <w:left w:w="15" w:type="dxa"/>
              <w:bottom w:w="0" w:type="dxa"/>
              <w:right w:w="15" w:type="dxa"/>
            </w:tcMar>
            <w:vAlign w:val="center"/>
          </w:tcPr>
          <w:p w14:paraId="0ED1A1B5">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175</w:t>
            </w:r>
          </w:p>
        </w:tc>
        <w:tc>
          <w:tcPr>
            <w:tcW w:w="451" w:type="pct"/>
            <w:tcBorders>
              <w:tl2br w:val="nil"/>
              <w:tr2bl w:val="nil"/>
            </w:tcBorders>
            <w:shd w:val="clear" w:color="auto" w:fill="auto"/>
            <w:tcMar>
              <w:top w:w="15" w:type="dxa"/>
              <w:left w:w="15" w:type="dxa"/>
              <w:bottom w:w="0" w:type="dxa"/>
              <w:right w:w="15" w:type="dxa"/>
            </w:tcMar>
            <w:vAlign w:val="center"/>
          </w:tcPr>
          <w:p w14:paraId="7126B799">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-0.09</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~0.9</w:t>
            </w:r>
          </w:p>
        </w:tc>
        <w:tc>
          <w:tcPr>
            <w:tcW w:w="342" w:type="pct"/>
            <w:tcBorders>
              <w:tl2br w:val="nil"/>
              <w:tr2bl w:val="nil"/>
            </w:tcBorders>
            <w:shd w:val="clear" w:color="auto" w:fill="auto"/>
            <w:tcMar>
              <w:top w:w="15" w:type="dxa"/>
              <w:left w:w="15" w:type="dxa"/>
              <w:bottom w:w="0" w:type="dxa"/>
              <w:right w:w="15" w:type="dxa"/>
            </w:tcMar>
            <w:vAlign w:val="center"/>
          </w:tcPr>
          <w:p w14:paraId="13CFFE6B">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8</w:t>
            </w:r>
          </w:p>
        </w:tc>
        <w:tc>
          <w:tcPr>
            <w:tcW w:w="378" w:type="pct"/>
            <w:tcBorders>
              <w:tl2br w:val="nil"/>
              <w:tr2bl w:val="nil"/>
            </w:tcBorders>
            <w:shd w:val="clear" w:color="auto" w:fill="auto"/>
            <w:vAlign w:val="center"/>
          </w:tcPr>
          <w:p w14:paraId="0765CD76">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利旧</w:t>
            </w:r>
          </w:p>
        </w:tc>
      </w:tr>
      <w:tr w14:paraId="2EE509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07" w:hRule="atLeast"/>
          <w:jc w:val="center"/>
        </w:trPr>
        <w:tc>
          <w:tcPr>
            <w:tcW w:w="462" w:type="pct"/>
            <w:vMerge w:val="continue"/>
            <w:tcBorders>
              <w:tl2br w:val="nil"/>
              <w:tr2bl w:val="nil"/>
            </w:tcBorders>
            <w:vAlign w:val="center"/>
          </w:tcPr>
          <w:p w14:paraId="7C0B3EF2">
            <w:pPr>
              <w:widowControl/>
              <w:jc w:val="center"/>
              <w:rPr>
                <w:rFonts w:eastAsia="仿宋_GB2312"/>
                <w:color w:val="FF0000"/>
                <w:kern w:val="0"/>
                <w:szCs w:val="20"/>
              </w:rPr>
            </w:pPr>
          </w:p>
        </w:tc>
        <w:tc>
          <w:tcPr>
            <w:tcW w:w="346" w:type="pct"/>
            <w:tcBorders>
              <w:tl2br w:val="nil"/>
              <w:tr2bl w:val="nil"/>
            </w:tcBorders>
            <w:shd w:val="clear" w:color="auto" w:fill="auto"/>
            <w:tcMar>
              <w:top w:w="15" w:type="dxa"/>
              <w:left w:w="15" w:type="dxa"/>
              <w:bottom w:w="0" w:type="dxa"/>
              <w:right w:w="15" w:type="dxa"/>
            </w:tcMar>
            <w:vAlign w:val="center"/>
          </w:tcPr>
          <w:p w14:paraId="0890D412">
            <w:pPr>
              <w:bidi w:val="0"/>
              <w:jc w:val="center"/>
              <w:rPr>
                <w:rFonts w:hint="default" w:ascii="Times New Roman" w:hAnsi="Times New Roman" w:eastAsia="方正仿宋_GB2312" w:cs="Times New Roman"/>
                <w:color w:val="auto"/>
                <w:kern w:val="2"/>
                <w:sz w:val="21"/>
                <w:szCs w:val="21"/>
                <w:lang w:val="en-US" w:eastAsia="zh-CN" w:bidi="ar-SA"/>
              </w:rPr>
            </w:pPr>
            <w:r>
              <w:rPr>
                <w:rFonts w:hint="default" w:ascii="Times New Roman" w:hAnsi="Times New Roman" w:eastAsia="方正仿宋_GB2312" w:cs="Times New Roman"/>
                <w:color w:val="auto"/>
                <w:sz w:val="21"/>
                <w:szCs w:val="21"/>
                <w:lang w:val="en-US" w:eastAsia="zh-CN"/>
              </w:rPr>
              <w:t>2</w:t>
            </w:r>
          </w:p>
        </w:tc>
        <w:tc>
          <w:tcPr>
            <w:tcW w:w="816" w:type="pct"/>
            <w:tcBorders>
              <w:tl2br w:val="nil"/>
              <w:tr2bl w:val="nil"/>
            </w:tcBorders>
            <w:shd w:val="clear" w:color="auto" w:fill="auto"/>
            <w:tcMar>
              <w:top w:w="15" w:type="dxa"/>
              <w:left w:w="15" w:type="dxa"/>
              <w:bottom w:w="0" w:type="dxa"/>
              <w:right w:w="15" w:type="dxa"/>
            </w:tcMar>
            <w:vAlign w:val="center"/>
          </w:tcPr>
          <w:p w14:paraId="1FC3BA02">
            <w:pPr>
              <w:bidi w:val="0"/>
              <w:jc w:val="center"/>
              <w:rPr>
                <w:rFonts w:hint="default" w:ascii="Times New Roman" w:hAnsi="Times New Roman" w:eastAsia="方正仿宋_GB2312" w:cs="Times New Roman"/>
                <w:color w:val="auto"/>
                <w:kern w:val="2"/>
                <w:sz w:val="21"/>
                <w:szCs w:val="21"/>
                <w:lang w:val="en-US" w:eastAsia="en-US" w:bidi="ar-SA"/>
              </w:rPr>
            </w:pPr>
            <w:r>
              <w:rPr>
                <w:rFonts w:hint="default" w:ascii="Times New Roman" w:hAnsi="Times New Roman" w:eastAsia="方正仿宋_GB2312" w:cs="Times New Roman"/>
                <w:color w:val="auto"/>
                <w:sz w:val="21"/>
                <w:szCs w:val="21"/>
                <w:lang w:val="en-US" w:eastAsia="zh-CN"/>
              </w:rPr>
              <w:t>1#~8#精馏塔</w:t>
            </w:r>
          </w:p>
        </w:tc>
        <w:tc>
          <w:tcPr>
            <w:tcW w:w="1218" w:type="pct"/>
            <w:tcBorders>
              <w:tl2br w:val="nil"/>
              <w:tr2bl w:val="nil"/>
            </w:tcBorders>
            <w:shd w:val="clear" w:color="auto" w:fill="auto"/>
            <w:tcMar>
              <w:top w:w="15" w:type="dxa"/>
              <w:left w:w="15" w:type="dxa"/>
              <w:bottom w:w="0" w:type="dxa"/>
              <w:right w:w="15" w:type="dxa"/>
            </w:tcMar>
            <w:vAlign w:val="center"/>
          </w:tcPr>
          <w:p w14:paraId="4C7935D7">
            <w:pPr>
              <w:bidi w:val="0"/>
              <w:jc w:val="center"/>
              <w:rPr>
                <w:rFonts w:hint="default" w:ascii="Times New Roman" w:hAnsi="Times New Roman" w:eastAsia="方正仿宋_GB2312" w:cs="Times New Roman"/>
                <w:color w:val="auto"/>
                <w:kern w:val="2"/>
                <w:sz w:val="21"/>
                <w:szCs w:val="21"/>
                <w:lang w:val="en-US" w:eastAsia="en-US" w:bidi="ar-SA"/>
              </w:rPr>
            </w:pPr>
            <w:r>
              <w:rPr>
                <w:rFonts w:hint="default" w:ascii="Times New Roman" w:hAnsi="Times New Roman" w:eastAsia="方正仿宋_GB2312" w:cs="Times New Roman"/>
                <w:color w:val="auto"/>
                <w:sz w:val="21"/>
                <w:szCs w:val="21"/>
                <w:lang w:val="en-US" w:eastAsia="zh-CN"/>
              </w:rPr>
              <w:t>Φ800×15000</w:t>
            </w:r>
          </w:p>
        </w:tc>
        <w:tc>
          <w:tcPr>
            <w:tcW w:w="540" w:type="pct"/>
            <w:tcBorders>
              <w:tl2br w:val="nil"/>
              <w:tr2bl w:val="nil"/>
            </w:tcBorders>
            <w:shd w:val="clear" w:color="auto" w:fill="auto"/>
            <w:tcMar>
              <w:top w:w="15" w:type="dxa"/>
              <w:left w:w="15" w:type="dxa"/>
              <w:bottom w:w="0" w:type="dxa"/>
              <w:right w:w="15" w:type="dxa"/>
            </w:tcMar>
            <w:vAlign w:val="center"/>
          </w:tcPr>
          <w:p w14:paraId="30C3E14F">
            <w:pPr>
              <w:bidi w:val="0"/>
              <w:jc w:val="center"/>
              <w:rPr>
                <w:rFonts w:hint="default" w:ascii="Times New Roman" w:hAnsi="Times New Roman" w:eastAsia="方正仿宋_GB2312" w:cs="Times New Roman"/>
                <w:color w:val="auto"/>
                <w:kern w:val="2"/>
                <w:sz w:val="21"/>
                <w:szCs w:val="21"/>
                <w:lang w:val="en-US" w:eastAsia="en-US" w:bidi="ar-SA"/>
              </w:rPr>
            </w:pPr>
            <w:r>
              <w:rPr>
                <w:rFonts w:hint="default" w:ascii="Times New Roman" w:hAnsi="Times New Roman" w:eastAsia="方正仿宋_GB2312" w:cs="Times New Roman"/>
                <w:color w:val="auto"/>
                <w:sz w:val="21"/>
                <w:szCs w:val="21"/>
                <w:lang w:val="en-US" w:eastAsia="zh-CN"/>
              </w:rPr>
              <w:t>S304</w:t>
            </w:r>
          </w:p>
        </w:tc>
        <w:tc>
          <w:tcPr>
            <w:tcW w:w="443" w:type="pct"/>
            <w:tcBorders>
              <w:tl2br w:val="nil"/>
              <w:tr2bl w:val="nil"/>
            </w:tcBorders>
            <w:shd w:val="clear" w:color="auto" w:fill="auto"/>
            <w:tcMar>
              <w:top w:w="15" w:type="dxa"/>
              <w:left w:w="15" w:type="dxa"/>
              <w:bottom w:w="0" w:type="dxa"/>
              <w:right w:w="15" w:type="dxa"/>
            </w:tcMar>
            <w:vAlign w:val="center"/>
          </w:tcPr>
          <w:p w14:paraId="735002C5">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175</w:t>
            </w:r>
          </w:p>
        </w:tc>
        <w:tc>
          <w:tcPr>
            <w:tcW w:w="451" w:type="pct"/>
            <w:tcBorders>
              <w:tl2br w:val="nil"/>
              <w:tr2bl w:val="nil"/>
            </w:tcBorders>
            <w:shd w:val="clear" w:color="auto" w:fill="auto"/>
            <w:tcMar>
              <w:top w:w="15" w:type="dxa"/>
              <w:left w:w="15" w:type="dxa"/>
              <w:bottom w:w="0" w:type="dxa"/>
              <w:right w:w="15" w:type="dxa"/>
            </w:tcMar>
            <w:vAlign w:val="center"/>
          </w:tcPr>
          <w:p w14:paraId="16D3DD45">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-0.09</w:t>
            </w:r>
          </w:p>
        </w:tc>
        <w:tc>
          <w:tcPr>
            <w:tcW w:w="342" w:type="pct"/>
            <w:tcBorders>
              <w:tl2br w:val="nil"/>
              <w:tr2bl w:val="nil"/>
            </w:tcBorders>
            <w:shd w:val="clear" w:color="auto" w:fill="auto"/>
            <w:tcMar>
              <w:top w:w="15" w:type="dxa"/>
              <w:left w:w="15" w:type="dxa"/>
              <w:bottom w:w="0" w:type="dxa"/>
              <w:right w:w="15" w:type="dxa"/>
            </w:tcMar>
            <w:vAlign w:val="center"/>
          </w:tcPr>
          <w:p w14:paraId="5815DB2C">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8</w:t>
            </w:r>
          </w:p>
        </w:tc>
        <w:tc>
          <w:tcPr>
            <w:tcW w:w="378" w:type="pct"/>
            <w:tcBorders>
              <w:tl2br w:val="nil"/>
              <w:tr2bl w:val="nil"/>
            </w:tcBorders>
            <w:shd w:val="clear" w:color="auto" w:fill="auto"/>
            <w:vAlign w:val="center"/>
          </w:tcPr>
          <w:p w14:paraId="5AB6FB71">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利旧</w:t>
            </w:r>
          </w:p>
        </w:tc>
      </w:tr>
      <w:tr w14:paraId="583D4A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462" w:type="pct"/>
            <w:vMerge w:val="continue"/>
            <w:tcBorders>
              <w:tl2br w:val="nil"/>
              <w:tr2bl w:val="nil"/>
            </w:tcBorders>
            <w:vAlign w:val="center"/>
          </w:tcPr>
          <w:p w14:paraId="5B107023">
            <w:pPr>
              <w:widowControl/>
              <w:jc w:val="center"/>
              <w:rPr>
                <w:rFonts w:eastAsia="仿宋_GB2312"/>
                <w:color w:val="FF0000"/>
                <w:kern w:val="0"/>
                <w:szCs w:val="20"/>
              </w:rPr>
            </w:pPr>
          </w:p>
        </w:tc>
        <w:tc>
          <w:tcPr>
            <w:tcW w:w="346" w:type="pct"/>
            <w:tcBorders>
              <w:tl2br w:val="nil"/>
              <w:tr2bl w:val="nil"/>
            </w:tcBorders>
            <w:shd w:val="clear" w:color="auto" w:fill="auto"/>
            <w:tcMar>
              <w:top w:w="15" w:type="dxa"/>
              <w:left w:w="15" w:type="dxa"/>
              <w:bottom w:w="0" w:type="dxa"/>
              <w:right w:w="15" w:type="dxa"/>
            </w:tcMar>
            <w:vAlign w:val="center"/>
          </w:tcPr>
          <w:p w14:paraId="29A9742B">
            <w:pPr>
              <w:bidi w:val="0"/>
              <w:jc w:val="center"/>
              <w:rPr>
                <w:rFonts w:hint="default" w:ascii="Times New Roman" w:hAnsi="Times New Roman" w:eastAsia="方正仿宋_GB2312" w:cs="Times New Roman"/>
                <w:color w:val="auto"/>
                <w:kern w:val="2"/>
                <w:sz w:val="21"/>
                <w:szCs w:val="21"/>
                <w:lang w:val="en-US" w:eastAsia="zh-CN" w:bidi="ar-SA"/>
              </w:rPr>
            </w:pPr>
            <w:r>
              <w:rPr>
                <w:rFonts w:hint="default" w:ascii="Times New Roman" w:hAnsi="Times New Roman" w:eastAsia="方正仿宋_GB2312" w:cs="Times New Roman"/>
                <w:color w:val="auto"/>
                <w:sz w:val="21"/>
                <w:szCs w:val="21"/>
                <w:lang w:val="en-US" w:eastAsia="zh-CN"/>
              </w:rPr>
              <w:t>3</w:t>
            </w:r>
          </w:p>
        </w:tc>
        <w:tc>
          <w:tcPr>
            <w:tcW w:w="816" w:type="pct"/>
            <w:tcBorders>
              <w:tl2br w:val="nil"/>
              <w:tr2bl w:val="nil"/>
            </w:tcBorders>
            <w:shd w:val="clear" w:color="auto" w:fill="auto"/>
            <w:tcMar>
              <w:top w:w="15" w:type="dxa"/>
              <w:left w:w="15" w:type="dxa"/>
              <w:bottom w:w="0" w:type="dxa"/>
              <w:right w:w="15" w:type="dxa"/>
            </w:tcMar>
            <w:vAlign w:val="center"/>
          </w:tcPr>
          <w:p w14:paraId="25B6EBCF">
            <w:pPr>
              <w:bidi w:val="0"/>
              <w:jc w:val="center"/>
              <w:rPr>
                <w:rFonts w:hint="default" w:ascii="Times New Roman" w:hAnsi="Times New Roman" w:eastAsia="方正仿宋_GB2312" w:cs="Times New Roman"/>
                <w:color w:val="auto"/>
                <w:kern w:val="2"/>
                <w:sz w:val="21"/>
                <w:szCs w:val="21"/>
                <w:lang w:val="en-US" w:eastAsia="zh-CN" w:bidi="ar-SA"/>
              </w:rPr>
            </w:pPr>
            <w:r>
              <w:rPr>
                <w:rFonts w:hint="default" w:ascii="Times New Roman" w:hAnsi="Times New Roman" w:eastAsia="方正仿宋_GB2312" w:cs="Times New Roman"/>
                <w:color w:val="auto"/>
                <w:sz w:val="21"/>
                <w:szCs w:val="21"/>
                <w:lang w:val="en-US" w:eastAsia="zh-CN"/>
              </w:rPr>
              <w:t>1#~8#塔中间罐</w:t>
            </w:r>
          </w:p>
        </w:tc>
        <w:tc>
          <w:tcPr>
            <w:tcW w:w="1218" w:type="pct"/>
            <w:tcBorders>
              <w:tl2br w:val="nil"/>
              <w:tr2bl w:val="nil"/>
            </w:tcBorders>
            <w:shd w:val="clear" w:color="auto" w:fill="auto"/>
            <w:tcMar>
              <w:top w:w="15" w:type="dxa"/>
              <w:left w:w="15" w:type="dxa"/>
              <w:bottom w:w="0" w:type="dxa"/>
              <w:right w:w="15" w:type="dxa"/>
            </w:tcMar>
            <w:vAlign w:val="center"/>
          </w:tcPr>
          <w:p w14:paraId="1D06D50A">
            <w:pPr>
              <w:bidi w:val="0"/>
              <w:jc w:val="center"/>
              <w:rPr>
                <w:rFonts w:hint="default" w:ascii="Times New Roman" w:hAnsi="Times New Roman" w:eastAsia="方正仿宋_GB2312" w:cs="Times New Roman"/>
                <w:color w:val="auto"/>
                <w:kern w:val="2"/>
                <w:sz w:val="21"/>
                <w:szCs w:val="21"/>
                <w:lang w:val="en-US" w:eastAsia="zh-CN" w:bidi="ar-SA"/>
              </w:rPr>
            </w:pPr>
            <w:r>
              <w:rPr>
                <w:rFonts w:hint="default" w:ascii="Times New Roman" w:hAnsi="Times New Roman" w:eastAsia="方正仿宋_GB2312" w:cs="Times New Roman"/>
                <w:color w:val="auto"/>
                <w:sz w:val="21"/>
                <w:szCs w:val="21"/>
                <w:lang w:val="en-US" w:eastAsia="zh-CN"/>
              </w:rPr>
              <w:t>V=20m</w:t>
            </w:r>
            <w:r>
              <w:rPr>
                <w:rFonts w:hint="default" w:ascii="Times New Roman" w:hAnsi="Times New Roman" w:eastAsia="方正仿宋_GB2312" w:cs="Times New Roman"/>
                <w:color w:val="auto"/>
                <w:sz w:val="21"/>
                <w:szCs w:val="21"/>
                <w:vertAlign w:val="superscript"/>
                <w:lang w:val="en-US" w:eastAsia="zh-CN"/>
              </w:rPr>
              <w:t>3</w:t>
            </w:r>
            <w:r>
              <w:rPr>
                <w:rFonts w:hint="eastAsia" w:ascii="Times New Roman" w:hAnsi="Times New Roman" w:eastAsia="方正仿宋_GB2312" w:cs="Times New Roman"/>
                <w:color w:val="auto"/>
                <w:sz w:val="21"/>
                <w:szCs w:val="21"/>
                <w:lang w:val="en-US" w:eastAsia="zh-CN"/>
              </w:rPr>
              <w:t>，</w:t>
            </w:r>
            <w:r>
              <w:rPr>
                <w:rFonts w:hint="default" w:ascii="Times New Roman" w:hAnsi="Times New Roman" w:eastAsia="方正仿宋_GB2312" w:cs="Times New Roman"/>
                <w:color w:val="auto"/>
                <w:sz w:val="21"/>
                <w:szCs w:val="21"/>
                <w:lang w:val="en-US" w:eastAsia="zh-CN"/>
              </w:rPr>
              <w:t>Φ2600×5000</w:t>
            </w:r>
          </w:p>
        </w:tc>
        <w:tc>
          <w:tcPr>
            <w:tcW w:w="540" w:type="pct"/>
            <w:tcBorders>
              <w:tl2br w:val="nil"/>
              <w:tr2bl w:val="nil"/>
            </w:tcBorders>
            <w:shd w:val="clear" w:color="auto" w:fill="auto"/>
            <w:tcMar>
              <w:top w:w="15" w:type="dxa"/>
              <w:left w:w="15" w:type="dxa"/>
              <w:bottom w:w="0" w:type="dxa"/>
              <w:right w:w="15" w:type="dxa"/>
            </w:tcMar>
            <w:vAlign w:val="center"/>
          </w:tcPr>
          <w:p w14:paraId="118B76C3">
            <w:pPr>
              <w:bidi w:val="0"/>
              <w:jc w:val="center"/>
              <w:rPr>
                <w:rFonts w:hint="default" w:ascii="Times New Roman" w:hAnsi="Times New Roman" w:eastAsia="方正仿宋_GB2312" w:cs="Times New Roman"/>
                <w:color w:val="auto"/>
                <w:kern w:val="2"/>
                <w:sz w:val="21"/>
                <w:szCs w:val="21"/>
                <w:lang w:val="en-US" w:eastAsia="zh-CN" w:bidi="ar-SA"/>
              </w:rPr>
            </w:pPr>
            <w:r>
              <w:rPr>
                <w:rFonts w:hint="default" w:ascii="Times New Roman" w:hAnsi="Times New Roman" w:eastAsia="方正仿宋_GB2312" w:cs="Times New Roman"/>
                <w:color w:val="auto"/>
                <w:sz w:val="21"/>
                <w:szCs w:val="21"/>
                <w:lang w:val="en-US" w:eastAsia="zh-CN"/>
              </w:rPr>
              <w:t>S304</w:t>
            </w:r>
          </w:p>
        </w:tc>
        <w:tc>
          <w:tcPr>
            <w:tcW w:w="443" w:type="pct"/>
            <w:tcBorders>
              <w:tl2br w:val="nil"/>
              <w:tr2bl w:val="nil"/>
            </w:tcBorders>
            <w:shd w:val="clear" w:color="auto" w:fill="auto"/>
            <w:tcMar>
              <w:top w:w="15" w:type="dxa"/>
              <w:left w:w="15" w:type="dxa"/>
              <w:bottom w:w="0" w:type="dxa"/>
              <w:right w:w="15" w:type="dxa"/>
            </w:tcMar>
            <w:vAlign w:val="center"/>
          </w:tcPr>
          <w:p w14:paraId="67FF8E1D">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常温</w:t>
            </w:r>
          </w:p>
        </w:tc>
        <w:tc>
          <w:tcPr>
            <w:tcW w:w="451" w:type="pct"/>
            <w:tcBorders>
              <w:tl2br w:val="nil"/>
              <w:tr2bl w:val="nil"/>
            </w:tcBorders>
            <w:shd w:val="clear" w:color="auto" w:fill="auto"/>
            <w:tcMar>
              <w:top w:w="15" w:type="dxa"/>
              <w:left w:w="15" w:type="dxa"/>
              <w:bottom w:w="0" w:type="dxa"/>
              <w:right w:w="15" w:type="dxa"/>
            </w:tcMar>
            <w:vAlign w:val="center"/>
          </w:tcPr>
          <w:p w14:paraId="37B5DD6C">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常压</w:t>
            </w:r>
          </w:p>
        </w:tc>
        <w:tc>
          <w:tcPr>
            <w:tcW w:w="342" w:type="pct"/>
            <w:tcBorders>
              <w:tl2br w:val="nil"/>
              <w:tr2bl w:val="nil"/>
            </w:tcBorders>
            <w:shd w:val="clear" w:color="auto" w:fill="auto"/>
            <w:tcMar>
              <w:top w:w="15" w:type="dxa"/>
              <w:left w:w="15" w:type="dxa"/>
              <w:bottom w:w="0" w:type="dxa"/>
              <w:right w:w="15" w:type="dxa"/>
            </w:tcMar>
            <w:vAlign w:val="center"/>
          </w:tcPr>
          <w:p w14:paraId="45D2E48E">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8</w:t>
            </w:r>
          </w:p>
        </w:tc>
        <w:tc>
          <w:tcPr>
            <w:tcW w:w="378" w:type="pct"/>
            <w:tcBorders>
              <w:tl2br w:val="nil"/>
              <w:tr2bl w:val="nil"/>
            </w:tcBorders>
            <w:shd w:val="clear" w:color="auto" w:fill="auto"/>
            <w:vAlign w:val="center"/>
          </w:tcPr>
          <w:p w14:paraId="5CAB335A">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利旧</w:t>
            </w:r>
          </w:p>
        </w:tc>
      </w:tr>
      <w:tr w14:paraId="56003C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462" w:type="pct"/>
            <w:vMerge w:val="continue"/>
            <w:tcBorders>
              <w:tl2br w:val="nil"/>
              <w:tr2bl w:val="nil"/>
            </w:tcBorders>
            <w:vAlign w:val="center"/>
          </w:tcPr>
          <w:p w14:paraId="0BA7FE04">
            <w:pPr>
              <w:widowControl/>
              <w:jc w:val="center"/>
              <w:rPr>
                <w:rFonts w:eastAsia="仿宋_GB2312"/>
                <w:color w:val="FF0000"/>
                <w:kern w:val="0"/>
                <w:szCs w:val="20"/>
              </w:rPr>
            </w:pPr>
          </w:p>
        </w:tc>
        <w:tc>
          <w:tcPr>
            <w:tcW w:w="346" w:type="pct"/>
            <w:tcBorders>
              <w:tl2br w:val="nil"/>
              <w:tr2bl w:val="nil"/>
            </w:tcBorders>
            <w:shd w:val="clear" w:color="auto" w:fill="auto"/>
            <w:tcMar>
              <w:top w:w="15" w:type="dxa"/>
              <w:left w:w="15" w:type="dxa"/>
              <w:bottom w:w="0" w:type="dxa"/>
              <w:right w:w="15" w:type="dxa"/>
            </w:tcMar>
            <w:vAlign w:val="center"/>
          </w:tcPr>
          <w:p w14:paraId="5D9413D6">
            <w:pPr>
              <w:bidi w:val="0"/>
              <w:jc w:val="center"/>
              <w:rPr>
                <w:rFonts w:hint="default" w:ascii="Times New Roman" w:hAnsi="Times New Roman" w:eastAsia="方正仿宋_GB2312" w:cs="Times New Roman"/>
                <w:color w:val="auto"/>
                <w:kern w:val="2"/>
                <w:sz w:val="21"/>
                <w:szCs w:val="21"/>
                <w:lang w:val="en-US" w:eastAsia="zh-CN" w:bidi="ar-SA"/>
              </w:rPr>
            </w:pPr>
            <w:r>
              <w:rPr>
                <w:rFonts w:hint="default" w:ascii="Times New Roman" w:hAnsi="Times New Roman" w:eastAsia="方正仿宋_GB2312" w:cs="Times New Roman"/>
                <w:color w:val="auto"/>
                <w:sz w:val="21"/>
                <w:szCs w:val="21"/>
                <w:lang w:val="en-US" w:eastAsia="zh-CN"/>
              </w:rPr>
              <w:t>4</w:t>
            </w:r>
          </w:p>
        </w:tc>
        <w:tc>
          <w:tcPr>
            <w:tcW w:w="816" w:type="pct"/>
            <w:tcBorders>
              <w:tl2br w:val="nil"/>
              <w:tr2bl w:val="nil"/>
            </w:tcBorders>
            <w:shd w:val="clear" w:color="auto" w:fill="auto"/>
            <w:tcMar>
              <w:top w:w="15" w:type="dxa"/>
              <w:left w:w="15" w:type="dxa"/>
              <w:bottom w:w="0" w:type="dxa"/>
              <w:right w:w="15" w:type="dxa"/>
            </w:tcMar>
            <w:vAlign w:val="center"/>
          </w:tcPr>
          <w:p w14:paraId="0FE0F098">
            <w:pPr>
              <w:bidi w:val="0"/>
              <w:jc w:val="center"/>
              <w:rPr>
                <w:rFonts w:hint="default" w:ascii="Times New Roman" w:hAnsi="Times New Roman" w:eastAsia="方正仿宋_GB2312" w:cs="Times New Roman"/>
                <w:color w:val="auto"/>
                <w:kern w:val="2"/>
                <w:sz w:val="21"/>
                <w:szCs w:val="21"/>
                <w:lang w:val="en-US" w:eastAsia="zh-CN" w:bidi="ar-SA"/>
              </w:rPr>
            </w:pPr>
            <w:r>
              <w:rPr>
                <w:rFonts w:hint="default" w:ascii="Times New Roman" w:hAnsi="Times New Roman" w:eastAsia="方正仿宋_GB2312" w:cs="Times New Roman"/>
                <w:color w:val="auto"/>
                <w:sz w:val="21"/>
                <w:szCs w:val="21"/>
                <w:lang w:val="en-US" w:eastAsia="zh-CN"/>
              </w:rPr>
              <w:t>1#~8#塔回流罐</w:t>
            </w:r>
          </w:p>
        </w:tc>
        <w:tc>
          <w:tcPr>
            <w:tcW w:w="1218" w:type="pct"/>
            <w:tcBorders>
              <w:tl2br w:val="nil"/>
              <w:tr2bl w:val="nil"/>
            </w:tcBorders>
            <w:shd w:val="clear" w:color="auto" w:fill="auto"/>
            <w:tcMar>
              <w:top w:w="15" w:type="dxa"/>
              <w:left w:w="15" w:type="dxa"/>
              <w:bottom w:w="0" w:type="dxa"/>
              <w:right w:w="15" w:type="dxa"/>
            </w:tcMar>
            <w:vAlign w:val="center"/>
          </w:tcPr>
          <w:p w14:paraId="7E4E909F">
            <w:pPr>
              <w:bidi w:val="0"/>
              <w:jc w:val="center"/>
              <w:rPr>
                <w:rFonts w:hint="default" w:ascii="Times New Roman" w:hAnsi="Times New Roman" w:eastAsia="方正仿宋_GB2312" w:cs="Times New Roman"/>
                <w:color w:val="auto"/>
                <w:kern w:val="2"/>
                <w:sz w:val="21"/>
                <w:szCs w:val="21"/>
                <w:lang w:val="en-US" w:eastAsia="zh-CN" w:bidi="ar-SA"/>
              </w:rPr>
            </w:pPr>
            <w:r>
              <w:rPr>
                <w:rFonts w:hint="default" w:ascii="Times New Roman" w:hAnsi="Times New Roman" w:eastAsia="方正仿宋_GB2312" w:cs="Times New Roman"/>
                <w:color w:val="auto"/>
                <w:sz w:val="21"/>
                <w:szCs w:val="21"/>
                <w:lang w:val="en-US" w:eastAsia="zh-CN"/>
              </w:rPr>
              <w:t>V=1.5m</w:t>
            </w:r>
            <w:r>
              <w:rPr>
                <w:rFonts w:hint="default" w:ascii="Times New Roman" w:hAnsi="Times New Roman" w:eastAsia="方正仿宋_GB2312" w:cs="Times New Roman"/>
                <w:color w:val="auto"/>
                <w:sz w:val="21"/>
                <w:szCs w:val="21"/>
                <w:vertAlign w:val="superscript"/>
                <w:lang w:val="en-US" w:eastAsia="zh-CN"/>
              </w:rPr>
              <w:t>3</w:t>
            </w:r>
            <w:r>
              <w:rPr>
                <w:rFonts w:hint="eastAsia" w:ascii="Times New Roman" w:hAnsi="Times New Roman" w:eastAsia="方正仿宋_GB2312" w:cs="Times New Roman"/>
                <w:color w:val="auto"/>
                <w:sz w:val="21"/>
                <w:szCs w:val="21"/>
                <w:lang w:val="en-US" w:eastAsia="zh-CN"/>
              </w:rPr>
              <w:t>，</w:t>
            </w:r>
            <w:r>
              <w:rPr>
                <w:rFonts w:hint="default" w:ascii="Times New Roman" w:hAnsi="Times New Roman" w:eastAsia="方正仿宋_GB2312" w:cs="Times New Roman"/>
                <w:color w:val="auto"/>
                <w:sz w:val="21"/>
                <w:szCs w:val="21"/>
                <w:lang w:val="en-US" w:eastAsia="zh-CN"/>
              </w:rPr>
              <w:t>Φ1000×1500</w:t>
            </w:r>
          </w:p>
        </w:tc>
        <w:tc>
          <w:tcPr>
            <w:tcW w:w="540" w:type="pct"/>
            <w:tcBorders>
              <w:tl2br w:val="nil"/>
              <w:tr2bl w:val="nil"/>
            </w:tcBorders>
            <w:shd w:val="clear" w:color="auto" w:fill="auto"/>
            <w:tcMar>
              <w:top w:w="15" w:type="dxa"/>
              <w:left w:w="15" w:type="dxa"/>
              <w:bottom w:w="0" w:type="dxa"/>
              <w:right w:w="15" w:type="dxa"/>
            </w:tcMar>
            <w:vAlign w:val="center"/>
          </w:tcPr>
          <w:p w14:paraId="1D60CCB1">
            <w:pPr>
              <w:bidi w:val="0"/>
              <w:jc w:val="center"/>
              <w:rPr>
                <w:rFonts w:hint="default" w:ascii="Times New Roman" w:hAnsi="Times New Roman" w:eastAsia="方正仿宋_GB2312" w:cs="Times New Roman"/>
                <w:color w:val="auto"/>
                <w:kern w:val="2"/>
                <w:sz w:val="21"/>
                <w:szCs w:val="21"/>
                <w:lang w:val="en-US" w:eastAsia="zh-CN" w:bidi="ar-SA"/>
              </w:rPr>
            </w:pPr>
            <w:r>
              <w:rPr>
                <w:rFonts w:hint="default" w:ascii="Times New Roman" w:hAnsi="Times New Roman" w:eastAsia="方正仿宋_GB2312" w:cs="Times New Roman"/>
                <w:color w:val="auto"/>
                <w:sz w:val="21"/>
                <w:szCs w:val="21"/>
                <w:lang w:val="en-US" w:eastAsia="zh-CN"/>
              </w:rPr>
              <w:t>S304</w:t>
            </w:r>
          </w:p>
        </w:tc>
        <w:tc>
          <w:tcPr>
            <w:tcW w:w="443" w:type="pct"/>
            <w:tcBorders>
              <w:tl2br w:val="nil"/>
              <w:tr2bl w:val="nil"/>
            </w:tcBorders>
            <w:shd w:val="clear" w:color="auto" w:fill="auto"/>
            <w:tcMar>
              <w:top w:w="15" w:type="dxa"/>
              <w:left w:w="15" w:type="dxa"/>
              <w:bottom w:w="0" w:type="dxa"/>
              <w:right w:w="15" w:type="dxa"/>
            </w:tcMar>
            <w:vAlign w:val="center"/>
          </w:tcPr>
          <w:p w14:paraId="404C05DE">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40</w:t>
            </w:r>
          </w:p>
        </w:tc>
        <w:tc>
          <w:tcPr>
            <w:tcW w:w="451" w:type="pct"/>
            <w:tcBorders>
              <w:tl2br w:val="nil"/>
              <w:tr2bl w:val="nil"/>
            </w:tcBorders>
            <w:shd w:val="clear" w:color="auto" w:fill="auto"/>
            <w:tcMar>
              <w:top w:w="15" w:type="dxa"/>
              <w:left w:w="15" w:type="dxa"/>
              <w:bottom w:w="0" w:type="dxa"/>
              <w:right w:w="15" w:type="dxa"/>
            </w:tcMar>
            <w:vAlign w:val="center"/>
          </w:tcPr>
          <w:p w14:paraId="35094516">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-0.09</w:t>
            </w:r>
          </w:p>
        </w:tc>
        <w:tc>
          <w:tcPr>
            <w:tcW w:w="342" w:type="pct"/>
            <w:tcBorders>
              <w:tl2br w:val="nil"/>
              <w:tr2bl w:val="nil"/>
            </w:tcBorders>
            <w:shd w:val="clear" w:color="auto" w:fill="auto"/>
            <w:tcMar>
              <w:top w:w="15" w:type="dxa"/>
              <w:left w:w="15" w:type="dxa"/>
              <w:bottom w:w="0" w:type="dxa"/>
              <w:right w:w="15" w:type="dxa"/>
            </w:tcMar>
            <w:vAlign w:val="center"/>
          </w:tcPr>
          <w:p w14:paraId="53ED8090">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8</w:t>
            </w:r>
          </w:p>
        </w:tc>
        <w:tc>
          <w:tcPr>
            <w:tcW w:w="378" w:type="pct"/>
            <w:tcBorders>
              <w:tl2br w:val="nil"/>
              <w:tr2bl w:val="nil"/>
            </w:tcBorders>
            <w:shd w:val="clear" w:color="auto" w:fill="auto"/>
            <w:vAlign w:val="center"/>
          </w:tcPr>
          <w:p w14:paraId="5B3B8EC5">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利旧</w:t>
            </w:r>
          </w:p>
        </w:tc>
      </w:tr>
      <w:tr w14:paraId="0335B8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462" w:type="pct"/>
            <w:vMerge w:val="continue"/>
            <w:tcBorders>
              <w:tl2br w:val="nil"/>
              <w:tr2bl w:val="nil"/>
            </w:tcBorders>
            <w:vAlign w:val="center"/>
          </w:tcPr>
          <w:p w14:paraId="5DA33779">
            <w:pPr>
              <w:widowControl/>
              <w:jc w:val="center"/>
              <w:rPr>
                <w:rFonts w:eastAsia="仿宋_GB2312"/>
                <w:color w:val="FF0000"/>
                <w:kern w:val="0"/>
                <w:szCs w:val="20"/>
              </w:rPr>
            </w:pPr>
          </w:p>
        </w:tc>
        <w:tc>
          <w:tcPr>
            <w:tcW w:w="346" w:type="pct"/>
            <w:tcBorders>
              <w:tl2br w:val="nil"/>
              <w:tr2bl w:val="nil"/>
            </w:tcBorders>
            <w:shd w:val="clear" w:color="auto" w:fill="auto"/>
            <w:tcMar>
              <w:top w:w="15" w:type="dxa"/>
              <w:left w:w="15" w:type="dxa"/>
              <w:bottom w:w="0" w:type="dxa"/>
              <w:right w:w="15" w:type="dxa"/>
            </w:tcMar>
            <w:vAlign w:val="center"/>
          </w:tcPr>
          <w:p w14:paraId="3A936D84">
            <w:pPr>
              <w:bidi w:val="0"/>
              <w:jc w:val="center"/>
              <w:rPr>
                <w:rFonts w:hint="default" w:ascii="Times New Roman" w:hAnsi="Times New Roman" w:eastAsia="方正仿宋_GB2312" w:cs="Times New Roman"/>
                <w:color w:val="auto"/>
                <w:kern w:val="2"/>
                <w:sz w:val="21"/>
                <w:szCs w:val="21"/>
                <w:lang w:val="en-US" w:eastAsia="zh-CN" w:bidi="ar-SA"/>
              </w:rPr>
            </w:pPr>
            <w:r>
              <w:rPr>
                <w:rFonts w:hint="default" w:ascii="Times New Roman" w:hAnsi="Times New Roman" w:eastAsia="方正仿宋_GB2312" w:cs="Times New Roman"/>
                <w:color w:val="auto"/>
                <w:sz w:val="21"/>
                <w:szCs w:val="21"/>
                <w:lang w:val="en-US" w:eastAsia="zh-CN"/>
              </w:rPr>
              <w:t>5</w:t>
            </w:r>
          </w:p>
        </w:tc>
        <w:tc>
          <w:tcPr>
            <w:tcW w:w="816" w:type="pct"/>
            <w:tcBorders>
              <w:tl2br w:val="nil"/>
              <w:tr2bl w:val="nil"/>
            </w:tcBorders>
            <w:shd w:val="clear" w:color="auto" w:fill="auto"/>
            <w:tcMar>
              <w:top w:w="15" w:type="dxa"/>
              <w:left w:w="15" w:type="dxa"/>
              <w:bottom w:w="0" w:type="dxa"/>
              <w:right w:w="15" w:type="dxa"/>
            </w:tcMar>
            <w:vAlign w:val="center"/>
          </w:tcPr>
          <w:p w14:paraId="45828F59">
            <w:pPr>
              <w:bidi w:val="0"/>
              <w:jc w:val="center"/>
              <w:rPr>
                <w:rFonts w:hint="default" w:ascii="Times New Roman" w:hAnsi="Times New Roman" w:eastAsia="方正仿宋_GB2312" w:cs="Times New Roman"/>
                <w:color w:val="auto"/>
                <w:kern w:val="2"/>
                <w:sz w:val="21"/>
                <w:szCs w:val="21"/>
                <w:lang w:val="en-US" w:eastAsia="zh-CN" w:bidi="ar-SA"/>
              </w:rPr>
            </w:pPr>
            <w:r>
              <w:rPr>
                <w:rFonts w:hint="default" w:ascii="Times New Roman" w:hAnsi="Times New Roman" w:eastAsia="方正仿宋_GB2312" w:cs="Times New Roman"/>
                <w:color w:val="auto"/>
                <w:sz w:val="21"/>
                <w:szCs w:val="21"/>
                <w:lang w:val="en-US" w:eastAsia="zh-CN"/>
              </w:rPr>
              <w:t>1#~8#塔真空缓冲罐</w:t>
            </w:r>
          </w:p>
        </w:tc>
        <w:tc>
          <w:tcPr>
            <w:tcW w:w="1218" w:type="pct"/>
            <w:tcBorders>
              <w:tl2br w:val="nil"/>
              <w:tr2bl w:val="nil"/>
            </w:tcBorders>
            <w:shd w:val="clear" w:color="auto" w:fill="auto"/>
            <w:tcMar>
              <w:top w:w="15" w:type="dxa"/>
              <w:left w:w="15" w:type="dxa"/>
              <w:bottom w:w="0" w:type="dxa"/>
              <w:right w:w="15" w:type="dxa"/>
            </w:tcMar>
            <w:vAlign w:val="center"/>
          </w:tcPr>
          <w:p w14:paraId="715E82A4">
            <w:pPr>
              <w:bidi w:val="0"/>
              <w:jc w:val="center"/>
              <w:rPr>
                <w:rFonts w:hint="default" w:ascii="Times New Roman" w:hAnsi="Times New Roman" w:eastAsia="方正仿宋_GB2312" w:cs="Times New Roman"/>
                <w:color w:val="auto"/>
                <w:kern w:val="2"/>
                <w:sz w:val="21"/>
                <w:szCs w:val="21"/>
                <w:lang w:val="en-US" w:eastAsia="zh-CN" w:bidi="ar-SA"/>
              </w:rPr>
            </w:pPr>
            <w:r>
              <w:rPr>
                <w:rFonts w:hint="default" w:ascii="Times New Roman" w:hAnsi="Times New Roman" w:eastAsia="方正仿宋_GB2312" w:cs="Times New Roman"/>
                <w:color w:val="auto"/>
                <w:sz w:val="21"/>
                <w:szCs w:val="21"/>
                <w:lang w:val="en-US" w:eastAsia="zh-CN"/>
              </w:rPr>
              <w:t>V=1.5m</w:t>
            </w:r>
            <w:r>
              <w:rPr>
                <w:rFonts w:hint="default" w:ascii="Times New Roman" w:hAnsi="Times New Roman" w:eastAsia="方正仿宋_GB2312" w:cs="Times New Roman"/>
                <w:color w:val="auto"/>
                <w:sz w:val="21"/>
                <w:szCs w:val="21"/>
                <w:vertAlign w:val="superscript"/>
                <w:lang w:val="en-US" w:eastAsia="zh-CN"/>
              </w:rPr>
              <w:t>3</w:t>
            </w:r>
            <w:r>
              <w:rPr>
                <w:rFonts w:hint="eastAsia" w:ascii="Times New Roman" w:hAnsi="Times New Roman" w:eastAsia="方正仿宋_GB2312" w:cs="Times New Roman"/>
                <w:color w:val="auto"/>
                <w:sz w:val="21"/>
                <w:szCs w:val="21"/>
                <w:lang w:val="en-US" w:eastAsia="zh-CN"/>
              </w:rPr>
              <w:t>，</w:t>
            </w:r>
            <w:r>
              <w:rPr>
                <w:rFonts w:hint="default" w:ascii="Times New Roman" w:hAnsi="Times New Roman" w:eastAsia="方正仿宋_GB2312" w:cs="Times New Roman"/>
                <w:color w:val="auto"/>
                <w:sz w:val="21"/>
                <w:szCs w:val="21"/>
                <w:lang w:val="en-US" w:eastAsia="zh-CN"/>
              </w:rPr>
              <w:t>Φ1000×1500</w:t>
            </w:r>
          </w:p>
        </w:tc>
        <w:tc>
          <w:tcPr>
            <w:tcW w:w="540" w:type="pct"/>
            <w:tcBorders>
              <w:tl2br w:val="nil"/>
              <w:tr2bl w:val="nil"/>
            </w:tcBorders>
            <w:shd w:val="clear" w:color="auto" w:fill="auto"/>
            <w:tcMar>
              <w:top w:w="15" w:type="dxa"/>
              <w:left w:w="15" w:type="dxa"/>
              <w:bottom w:w="0" w:type="dxa"/>
              <w:right w:w="15" w:type="dxa"/>
            </w:tcMar>
            <w:vAlign w:val="center"/>
          </w:tcPr>
          <w:p w14:paraId="523B9B25">
            <w:pPr>
              <w:bidi w:val="0"/>
              <w:jc w:val="center"/>
              <w:rPr>
                <w:rFonts w:hint="default" w:ascii="Times New Roman" w:hAnsi="Times New Roman" w:eastAsia="方正仿宋_GB2312" w:cs="Times New Roman"/>
                <w:color w:val="auto"/>
                <w:kern w:val="2"/>
                <w:sz w:val="21"/>
                <w:szCs w:val="21"/>
                <w:lang w:val="en-US" w:eastAsia="zh-CN" w:bidi="ar-SA"/>
              </w:rPr>
            </w:pPr>
            <w:r>
              <w:rPr>
                <w:rFonts w:hint="default" w:ascii="Times New Roman" w:hAnsi="Times New Roman" w:eastAsia="方正仿宋_GB2312" w:cs="Times New Roman"/>
                <w:color w:val="auto"/>
                <w:sz w:val="21"/>
                <w:szCs w:val="21"/>
                <w:lang w:val="en-US" w:eastAsia="zh-CN"/>
              </w:rPr>
              <w:t>S304</w:t>
            </w:r>
          </w:p>
        </w:tc>
        <w:tc>
          <w:tcPr>
            <w:tcW w:w="443" w:type="pct"/>
            <w:tcBorders>
              <w:tl2br w:val="nil"/>
              <w:tr2bl w:val="nil"/>
            </w:tcBorders>
            <w:shd w:val="clear" w:color="auto" w:fill="auto"/>
            <w:tcMar>
              <w:top w:w="15" w:type="dxa"/>
              <w:left w:w="15" w:type="dxa"/>
              <w:bottom w:w="0" w:type="dxa"/>
              <w:right w:w="15" w:type="dxa"/>
            </w:tcMar>
            <w:vAlign w:val="center"/>
          </w:tcPr>
          <w:p w14:paraId="1F7BF0C6">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40</w:t>
            </w:r>
          </w:p>
        </w:tc>
        <w:tc>
          <w:tcPr>
            <w:tcW w:w="451" w:type="pct"/>
            <w:tcBorders>
              <w:tl2br w:val="nil"/>
              <w:tr2bl w:val="nil"/>
            </w:tcBorders>
            <w:shd w:val="clear" w:color="auto" w:fill="auto"/>
            <w:tcMar>
              <w:top w:w="15" w:type="dxa"/>
              <w:left w:w="15" w:type="dxa"/>
              <w:bottom w:w="0" w:type="dxa"/>
              <w:right w:w="15" w:type="dxa"/>
            </w:tcMar>
            <w:vAlign w:val="center"/>
          </w:tcPr>
          <w:p w14:paraId="3329D5EF">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-0.09</w:t>
            </w:r>
          </w:p>
        </w:tc>
        <w:tc>
          <w:tcPr>
            <w:tcW w:w="342" w:type="pct"/>
            <w:tcBorders>
              <w:tl2br w:val="nil"/>
              <w:tr2bl w:val="nil"/>
            </w:tcBorders>
            <w:shd w:val="clear" w:color="auto" w:fill="auto"/>
            <w:tcMar>
              <w:top w:w="15" w:type="dxa"/>
              <w:left w:w="15" w:type="dxa"/>
              <w:bottom w:w="0" w:type="dxa"/>
              <w:right w:w="15" w:type="dxa"/>
            </w:tcMar>
            <w:vAlign w:val="center"/>
          </w:tcPr>
          <w:p w14:paraId="47425EEF">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8</w:t>
            </w:r>
          </w:p>
        </w:tc>
        <w:tc>
          <w:tcPr>
            <w:tcW w:w="378" w:type="pct"/>
            <w:tcBorders>
              <w:tl2br w:val="nil"/>
              <w:tr2bl w:val="nil"/>
            </w:tcBorders>
            <w:shd w:val="clear" w:color="auto" w:fill="auto"/>
            <w:vAlign w:val="center"/>
          </w:tcPr>
          <w:p w14:paraId="3C41F96A">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利旧</w:t>
            </w:r>
          </w:p>
        </w:tc>
      </w:tr>
      <w:tr w14:paraId="0B724B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462" w:type="pct"/>
            <w:vMerge w:val="continue"/>
            <w:tcBorders>
              <w:tl2br w:val="nil"/>
              <w:tr2bl w:val="nil"/>
            </w:tcBorders>
            <w:vAlign w:val="center"/>
          </w:tcPr>
          <w:p w14:paraId="1EA9C0DA">
            <w:pPr>
              <w:widowControl/>
              <w:jc w:val="center"/>
              <w:rPr>
                <w:rFonts w:eastAsia="仿宋_GB2312"/>
                <w:color w:val="FF0000"/>
                <w:kern w:val="0"/>
                <w:szCs w:val="20"/>
              </w:rPr>
            </w:pPr>
          </w:p>
        </w:tc>
        <w:tc>
          <w:tcPr>
            <w:tcW w:w="346" w:type="pct"/>
            <w:tcBorders>
              <w:tl2br w:val="nil"/>
              <w:tr2bl w:val="nil"/>
            </w:tcBorders>
            <w:shd w:val="clear" w:color="auto" w:fill="auto"/>
            <w:tcMar>
              <w:top w:w="15" w:type="dxa"/>
              <w:left w:w="15" w:type="dxa"/>
              <w:bottom w:w="0" w:type="dxa"/>
              <w:right w:w="15" w:type="dxa"/>
            </w:tcMar>
            <w:vAlign w:val="center"/>
          </w:tcPr>
          <w:p w14:paraId="3730783A">
            <w:pPr>
              <w:bidi w:val="0"/>
              <w:jc w:val="center"/>
              <w:rPr>
                <w:rFonts w:hint="default" w:ascii="Times New Roman" w:hAnsi="Times New Roman" w:eastAsia="方正仿宋_GB2312" w:cs="Times New Roman"/>
                <w:color w:val="auto"/>
                <w:kern w:val="2"/>
                <w:sz w:val="21"/>
                <w:szCs w:val="21"/>
                <w:lang w:val="en-US" w:eastAsia="zh-CN" w:bidi="ar-SA"/>
              </w:rPr>
            </w:pPr>
            <w:r>
              <w:rPr>
                <w:rFonts w:hint="default" w:ascii="Times New Roman" w:hAnsi="Times New Roman" w:eastAsia="方正仿宋_GB2312" w:cs="Times New Roman"/>
                <w:color w:val="auto"/>
                <w:sz w:val="21"/>
                <w:szCs w:val="21"/>
                <w:lang w:val="en-US" w:eastAsia="zh-CN"/>
              </w:rPr>
              <w:t>6</w:t>
            </w:r>
          </w:p>
        </w:tc>
        <w:tc>
          <w:tcPr>
            <w:tcW w:w="816" w:type="pct"/>
            <w:tcBorders>
              <w:tl2br w:val="nil"/>
              <w:tr2bl w:val="nil"/>
            </w:tcBorders>
            <w:shd w:val="clear" w:color="auto" w:fill="auto"/>
            <w:tcMar>
              <w:top w:w="15" w:type="dxa"/>
              <w:left w:w="15" w:type="dxa"/>
              <w:bottom w:w="0" w:type="dxa"/>
              <w:right w:w="15" w:type="dxa"/>
            </w:tcMar>
            <w:vAlign w:val="center"/>
          </w:tcPr>
          <w:p w14:paraId="0598FB42">
            <w:pPr>
              <w:bidi w:val="0"/>
              <w:jc w:val="center"/>
              <w:rPr>
                <w:rFonts w:hint="default" w:ascii="Times New Roman" w:hAnsi="Times New Roman" w:eastAsia="方正仿宋_GB2312" w:cs="Times New Roman"/>
                <w:color w:val="auto"/>
                <w:kern w:val="2"/>
                <w:sz w:val="21"/>
                <w:szCs w:val="21"/>
                <w:lang w:val="en-US" w:eastAsia="zh-CN" w:bidi="ar-SA"/>
              </w:rPr>
            </w:pPr>
            <w:r>
              <w:rPr>
                <w:rFonts w:hint="default" w:ascii="Times New Roman" w:hAnsi="Times New Roman" w:eastAsia="方正仿宋_GB2312" w:cs="Times New Roman"/>
                <w:color w:val="auto"/>
                <w:sz w:val="21"/>
                <w:szCs w:val="21"/>
                <w:lang w:val="en-US" w:eastAsia="zh-CN"/>
              </w:rPr>
              <w:t>1#~8#塔前馏分罐</w:t>
            </w:r>
          </w:p>
        </w:tc>
        <w:tc>
          <w:tcPr>
            <w:tcW w:w="1218" w:type="pct"/>
            <w:tcBorders>
              <w:tl2br w:val="nil"/>
              <w:tr2bl w:val="nil"/>
            </w:tcBorders>
            <w:shd w:val="clear" w:color="auto" w:fill="auto"/>
            <w:tcMar>
              <w:top w:w="15" w:type="dxa"/>
              <w:left w:w="15" w:type="dxa"/>
              <w:bottom w:w="0" w:type="dxa"/>
              <w:right w:w="15" w:type="dxa"/>
            </w:tcMar>
            <w:vAlign w:val="center"/>
          </w:tcPr>
          <w:p w14:paraId="1A27A04A">
            <w:pPr>
              <w:bidi w:val="0"/>
              <w:jc w:val="center"/>
              <w:rPr>
                <w:rFonts w:hint="default" w:ascii="Times New Roman" w:hAnsi="Times New Roman" w:eastAsia="方正仿宋_GB2312" w:cs="Times New Roman"/>
                <w:color w:val="auto"/>
                <w:kern w:val="2"/>
                <w:sz w:val="21"/>
                <w:szCs w:val="21"/>
                <w:lang w:val="en-US" w:eastAsia="zh-CN" w:bidi="ar-SA"/>
              </w:rPr>
            </w:pPr>
            <w:r>
              <w:rPr>
                <w:rFonts w:hint="default" w:ascii="Times New Roman" w:hAnsi="Times New Roman" w:eastAsia="方正仿宋_GB2312" w:cs="Times New Roman"/>
                <w:color w:val="auto"/>
                <w:sz w:val="21"/>
                <w:szCs w:val="21"/>
                <w:lang w:val="en-US" w:eastAsia="zh-CN"/>
              </w:rPr>
              <w:t>V=5m</w:t>
            </w:r>
            <w:r>
              <w:rPr>
                <w:rFonts w:hint="default" w:ascii="Times New Roman" w:hAnsi="Times New Roman" w:eastAsia="方正仿宋_GB2312" w:cs="Times New Roman"/>
                <w:color w:val="auto"/>
                <w:sz w:val="21"/>
                <w:szCs w:val="21"/>
                <w:vertAlign w:val="superscript"/>
                <w:lang w:val="en-US" w:eastAsia="zh-CN"/>
              </w:rPr>
              <w:t>3</w:t>
            </w:r>
            <w:r>
              <w:rPr>
                <w:rFonts w:hint="eastAsia" w:ascii="Times New Roman" w:hAnsi="Times New Roman" w:eastAsia="方正仿宋_GB2312" w:cs="Times New Roman"/>
                <w:color w:val="auto"/>
                <w:sz w:val="21"/>
                <w:szCs w:val="21"/>
                <w:lang w:val="en-US" w:eastAsia="zh-CN"/>
              </w:rPr>
              <w:t>，</w:t>
            </w:r>
            <w:r>
              <w:rPr>
                <w:rFonts w:hint="default" w:ascii="Times New Roman" w:hAnsi="Times New Roman" w:eastAsia="方正仿宋_GB2312" w:cs="Times New Roman"/>
                <w:color w:val="auto"/>
                <w:sz w:val="21"/>
                <w:szCs w:val="21"/>
                <w:lang w:val="en-US" w:eastAsia="zh-CN"/>
              </w:rPr>
              <w:t>Φ1800×2500</w:t>
            </w:r>
          </w:p>
        </w:tc>
        <w:tc>
          <w:tcPr>
            <w:tcW w:w="540" w:type="pct"/>
            <w:tcBorders>
              <w:tl2br w:val="nil"/>
              <w:tr2bl w:val="nil"/>
            </w:tcBorders>
            <w:shd w:val="clear" w:color="auto" w:fill="auto"/>
            <w:tcMar>
              <w:top w:w="15" w:type="dxa"/>
              <w:left w:w="15" w:type="dxa"/>
              <w:bottom w:w="0" w:type="dxa"/>
              <w:right w:w="15" w:type="dxa"/>
            </w:tcMar>
            <w:vAlign w:val="center"/>
          </w:tcPr>
          <w:p w14:paraId="1114C030">
            <w:pPr>
              <w:bidi w:val="0"/>
              <w:jc w:val="center"/>
              <w:rPr>
                <w:rFonts w:hint="default" w:ascii="Times New Roman" w:hAnsi="Times New Roman" w:eastAsia="方正仿宋_GB2312" w:cs="Times New Roman"/>
                <w:color w:val="auto"/>
                <w:kern w:val="2"/>
                <w:sz w:val="21"/>
                <w:szCs w:val="21"/>
                <w:lang w:val="en-US" w:eastAsia="zh-CN" w:bidi="ar-SA"/>
              </w:rPr>
            </w:pPr>
            <w:r>
              <w:rPr>
                <w:rFonts w:hint="default" w:ascii="Times New Roman" w:hAnsi="Times New Roman" w:eastAsia="方正仿宋_GB2312" w:cs="Times New Roman"/>
                <w:color w:val="auto"/>
                <w:sz w:val="21"/>
                <w:szCs w:val="21"/>
                <w:lang w:val="en-US" w:eastAsia="zh-CN"/>
              </w:rPr>
              <w:t>S304</w:t>
            </w:r>
          </w:p>
        </w:tc>
        <w:tc>
          <w:tcPr>
            <w:tcW w:w="443" w:type="pct"/>
            <w:tcBorders>
              <w:tl2br w:val="nil"/>
              <w:tr2bl w:val="nil"/>
            </w:tcBorders>
            <w:shd w:val="clear" w:color="auto" w:fill="auto"/>
            <w:tcMar>
              <w:top w:w="15" w:type="dxa"/>
              <w:left w:w="15" w:type="dxa"/>
              <w:bottom w:w="0" w:type="dxa"/>
              <w:right w:w="15" w:type="dxa"/>
            </w:tcMar>
            <w:vAlign w:val="center"/>
          </w:tcPr>
          <w:p w14:paraId="1B5A1478">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40</w:t>
            </w:r>
          </w:p>
        </w:tc>
        <w:tc>
          <w:tcPr>
            <w:tcW w:w="451" w:type="pct"/>
            <w:tcBorders>
              <w:tl2br w:val="nil"/>
              <w:tr2bl w:val="nil"/>
            </w:tcBorders>
            <w:shd w:val="clear" w:color="auto" w:fill="auto"/>
            <w:tcMar>
              <w:top w:w="15" w:type="dxa"/>
              <w:left w:w="15" w:type="dxa"/>
              <w:bottom w:w="0" w:type="dxa"/>
              <w:right w:w="15" w:type="dxa"/>
            </w:tcMar>
            <w:vAlign w:val="center"/>
          </w:tcPr>
          <w:p w14:paraId="37B7340F">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常压</w:t>
            </w:r>
          </w:p>
        </w:tc>
        <w:tc>
          <w:tcPr>
            <w:tcW w:w="342" w:type="pct"/>
            <w:tcBorders>
              <w:tl2br w:val="nil"/>
              <w:tr2bl w:val="nil"/>
            </w:tcBorders>
            <w:shd w:val="clear" w:color="auto" w:fill="auto"/>
            <w:tcMar>
              <w:top w:w="15" w:type="dxa"/>
              <w:left w:w="15" w:type="dxa"/>
              <w:bottom w:w="0" w:type="dxa"/>
              <w:right w:w="15" w:type="dxa"/>
            </w:tcMar>
            <w:vAlign w:val="center"/>
          </w:tcPr>
          <w:p w14:paraId="73002CBF">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8</w:t>
            </w:r>
          </w:p>
        </w:tc>
        <w:tc>
          <w:tcPr>
            <w:tcW w:w="378" w:type="pct"/>
            <w:tcBorders>
              <w:tl2br w:val="nil"/>
              <w:tr2bl w:val="nil"/>
            </w:tcBorders>
            <w:shd w:val="clear" w:color="auto" w:fill="auto"/>
            <w:vAlign w:val="center"/>
          </w:tcPr>
          <w:p w14:paraId="6FD5FB5D">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利旧</w:t>
            </w:r>
          </w:p>
        </w:tc>
      </w:tr>
      <w:tr w14:paraId="7D9DBF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462" w:type="pct"/>
            <w:vMerge w:val="continue"/>
            <w:tcBorders>
              <w:tl2br w:val="nil"/>
              <w:tr2bl w:val="nil"/>
            </w:tcBorders>
            <w:vAlign w:val="center"/>
          </w:tcPr>
          <w:p w14:paraId="0225608A">
            <w:pPr>
              <w:widowControl/>
              <w:jc w:val="center"/>
              <w:rPr>
                <w:rFonts w:eastAsia="仿宋_GB2312"/>
                <w:color w:val="FF0000"/>
                <w:kern w:val="0"/>
                <w:szCs w:val="20"/>
              </w:rPr>
            </w:pPr>
          </w:p>
        </w:tc>
        <w:tc>
          <w:tcPr>
            <w:tcW w:w="346" w:type="pct"/>
            <w:tcBorders>
              <w:tl2br w:val="nil"/>
              <w:tr2bl w:val="nil"/>
            </w:tcBorders>
            <w:shd w:val="clear" w:color="auto" w:fill="auto"/>
            <w:tcMar>
              <w:top w:w="15" w:type="dxa"/>
              <w:left w:w="15" w:type="dxa"/>
              <w:bottom w:w="0" w:type="dxa"/>
              <w:right w:w="15" w:type="dxa"/>
            </w:tcMar>
            <w:vAlign w:val="center"/>
          </w:tcPr>
          <w:p w14:paraId="0C81213E">
            <w:pPr>
              <w:bidi w:val="0"/>
              <w:jc w:val="center"/>
              <w:rPr>
                <w:rFonts w:hint="default" w:ascii="Times New Roman" w:hAnsi="Times New Roman" w:eastAsia="方正仿宋_GB2312" w:cs="Times New Roman"/>
                <w:color w:val="auto"/>
                <w:kern w:val="2"/>
                <w:sz w:val="21"/>
                <w:szCs w:val="21"/>
                <w:lang w:val="en-US" w:eastAsia="zh-CN" w:bidi="ar-SA"/>
              </w:rPr>
            </w:pPr>
            <w:r>
              <w:rPr>
                <w:rFonts w:hint="default" w:ascii="Times New Roman" w:hAnsi="Times New Roman" w:eastAsia="方正仿宋_GB2312" w:cs="Times New Roman"/>
                <w:color w:val="auto"/>
                <w:sz w:val="21"/>
                <w:szCs w:val="21"/>
              </w:rPr>
              <w:t>7</w:t>
            </w:r>
          </w:p>
        </w:tc>
        <w:tc>
          <w:tcPr>
            <w:tcW w:w="816" w:type="pct"/>
            <w:tcBorders>
              <w:tl2br w:val="nil"/>
              <w:tr2bl w:val="nil"/>
            </w:tcBorders>
            <w:shd w:val="clear" w:color="auto" w:fill="auto"/>
            <w:tcMar>
              <w:top w:w="15" w:type="dxa"/>
              <w:left w:w="15" w:type="dxa"/>
              <w:bottom w:w="0" w:type="dxa"/>
              <w:right w:w="15" w:type="dxa"/>
            </w:tcMar>
            <w:vAlign w:val="center"/>
          </w:tcPr>
          <w:p w14:paraId="5F36BA25">
            <w:pPr>
              <w:bidi w:val="0"/>
              <w:jc w:val="center"/>
              <w:rPr>
                <w:rFonts w:hint="default" w:ascii="Times New Roman" w:hAnsi="Times New Roman" w:eastAsia="方正仿宋_GB2312" w:cs="Times New Roman"/>
                <w:color w:val="auto"/>
                <w:kern w:val="2"/>
                <w:sz w:val="21"/>
                <w:szCs w:val="21"/>
                <w:lang w:val="en-US" w:eastAsia="zh-CN" w:bidi="ar-SA"/>
              </w:rPr>
            </w:pPr>
            <w:r>
              <w:rPr>
                <w:rFonts w:hint="default" w:ascii="Times New Roman" w:hAnsi="Times New Roman" w:eastAsia="方正仿宋_GB2312" w:cs="Times New Roman"/>
                <w:color w:val="auto"/>
                <w:sz w:val="21"/>
                <w:szCs w:val="21"/>
                <w:lang w:val="en-US" w:eastAsia="zh-CN"/>
              </w:rPr>
              <w:t>1#~8#塔中间馏分罐</w:t>
            </w:r>
          </w:p>
        </w:tc>
        <w:tc>
          <w:tcPr>
            <w:tcW w:w="1218" w:type="pct"/>
            <w:tcBorders>
              <w:tl2br w:val="nil"/>
              <w:tr2bl w:val="nil"/>
            </w:tcBorders>
            <w:shd w:val="clear" w:color="auto" w:fill="auto"/>
            <w:tcMar>
              <w:top w:w="15" w:type="dxa"/>
              <w:left w:w="15" w:type="dxa"/>
              <w:bottom w:w="0" w:type="dxa"/>
              <w:right w:w="15" w:type="dxa"/>
            </w:tcMar>
            <w:vAlign w:val="center"/>
          </w:tcPr>
          <w:p w14:paraId="15DBD42E">
            <w:pPr>
              <w:bidi w:val="0"/>
              <w:jc w:val="center"/>
              <w:rPr>
                <w:rFonts w:hint="default" w:ascii="Times New Roman" w:hAnsi="Times New Roman" w:eastAsia="方正仿宋_GB2312" w:cs="Times New Roman"/>
                <w:color w:val="auto"/>
                <w:kern w:val="2"/>
                <w:sz w:val="21"/>
                <w:szCs w:val="21"/>
                <w:lang w:val="en-US" w:eastAsia="zh-CN" w:bidi="ar-SA"/>
              </w:rPr>
            </w:pPr>
            <w:r>
              <w:rPr>
                <w:rFonts w:hint="default" w:ascii="Times New Roman" w:hAnsi="Times New Roman" w:eastAsia="方正仿宋_GB2312" w:cs="Times New Roman"/>
                <w:color w:val="auto"/>
                <w:sz w:val="21"/>
                <w:szCs w:val="21"/>
                <w:lang w:val="en-US" w:eastAsia="zh-CN"/>
              </w:rPr>
              <w:t>V=5m</w:t>
            </w:r>
            <w:r>
              <w:rPr>
                <w:rFonts w:hint="default" w:ascii="Times New Roman" w:hAnsi="Times New Roman" w:eastAsia="方正仿宋_GB2312" w:cs="Times New Roman"/>
                <w:color w:val="auto"/>
                <w:sz w:val="21"/>
                <w:szCs w:val="21"/>
                <w:vertAlign w:val="superscript"/>
                <w:lang w:val="en-US" w:eastAsia="zh-CN"/>
              </w:rPr>
              <w:t>3</w:t>
            </w:r>
            <w:r>
              <w:rPr>
                <w:rFonts w:hint="eastAsia" w:ascii="Times New Roman" w:hAnsi="Times New Roman" w:eastAsia="方正仿宋_GB2312" w:cs="Times New Roman"/>
                <w:color w:val="auto"/>
                <w:sz w:val="21"/>
                <w:szCs w:val="21"/>
                <w:lang w:val="en-US" w:eastAsia="zh-CN"/>
              </w:rPr>
              <w:t>，</w:t>
            </w:r>
            <w:r>
              <w:rPr>
                <w:rFonts w:hint="default" w:ascii="Times New Roman" w:hAnsi="Times New Roman" w:eastAsia="方正仿宋_GB2312" w:cs="Times New Roman"/>
                <w:color w:val="auto"/>
                <w:sz w:val="21"/>
                <w:szCs w:val="21"/>
                <w:lang w:val="en-US" w:eastAsia="zh-CN"/>
              </w:rPr>
              <w:t>Φ1800×2500</w:t>
            </w:r>
          </w:p>
        </w:tc>
        <w:tc>
          <w:tcPr>
            <w:tcW w:w="540" w:type="pct"/>
            <w:tcBorders>
              <w:tl2br w:val="nil"/>
              <w:tr2bl w:val="nil"/>
            </w:tcBorders>
            <w:shd w:val="clear" w:color="auto" w:fill="auto"/>
            <w:tcMar>
              <w:top w:w="15" w:type="dxa"/>
              <w:left w:w="15" w:type="dxa"/>
              <w:bottom w:w="0" w:type="dxa"/>
              <w:right w:w="15" w:type="dxa"/>
            </w:tcMar>
            <w:vAlign w:val="center"/>
          </w:tcPr>
          <w:p w14:paraId="05CDD2FF">
            <w:pPr>
              <w:bidi w:val="0"/>
              <w:jc w:val="center"/>
              <w:rPr>
                <w:rFonts w:hint="default" w:ascii="Times New Roman" w:hAnsi="Times New Roman" w:eastAsia="方正仿宋_GB2312" w:cs="Times New Roman"/>
                <w:color w:val="auto"/>
                <w:kern w:val="2"/>
                <w:sz w:val="21"/>
                <w:szCs w:val="21"/>
                <w:lang w:val="en-US" w:eastAsia="zh-CN" w:bidi="ar-SA"/>
              </w:rPr>
            </w:pPr>
            <w:r>
              <w:rPr>
                <w:rFonts w:hint="default" w:ascii="Times New Roman" w:hAnsi="Times New Roman" w:eastAsia="方正仿宋_GB2312" w:cs="Times New Roman"/>
                <w:color w:val="auto"/>
                <w:sz w:val="21"/>
                <w:szCs w:val="21"/>
                <w:lang w:val="en-US" w:eastAsia="zh-CN"/>
              </w:rPr>
              <w:t>S304</w:t>
            </w:r>
          </w:p>
        </w:tc>
        <w:tc>
          <w:tcPr>
            <w:tcW w:w="443" w:type="pct"/>
            <w:tcBorders>
              <w:tl2br w:val="nil"/>
              <w:tr2bl w:val="nil"/>
            </w:tcBorders>
            <w:shd w:val="clear" w:color="auto" w:fill="auto"/>
            <w:tcMar>
              <w:top w:w="15" w:type="dxa"/>
              <w:left w:w="15" w:type="dxa"/>
              <w:bottom w:w="0" w:type="dxa"/>
              <w:right w:w="15" w:type="dxa"/>
            </w:tcMar>
            <w:vAlign w:val="center"/>
          </w:tcPr>
          <w:p w14:paraId="355C80AE">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40</w:t>
            </w:r>
          </w:p>
        </w:tc>
        <w:tc>
          <w:tcPr>
            <w:tcW w:w="451" w:type="pct"/>
            <w:tcBorders>
              <w:tl2br w:val="nil"/>
              <w:tr2bl w:val="nil"/>
            </w:tcBorders>
            <w:shd w:val="clear" w:color="auto" w:fill="auto"/>
            <w:tcMar>
              <w:top w:w="15" w:type="dxa"/>
              <w:left w:w="15" w:type="dxa"/>
              <w:bottom w:w="0" w:type="dxa"/>
              <w:right w:w="15" w:type="dxa"/>
            </w:tcMar>
            <w:vAlign w:val="center"/>
          </w:tcPr>
          <w:p w14:paraId="157338FE">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-0.09</w:t>
            </w:r>
          </w:p>
        </w:tc>
        <w:tc>
          <w:tcPr>
            <w:tcW w:w="342" w:type="pct"/>
            <w:tcBorders>
              <w:tl2br w:val="nil"/>
              <w:tr2bl w:val="nil"/>
            </w:tcBorders>
            <w:shd w:val="clear" w:color="auto" w:fill="auto"/>
            <w:tcMar>
              <w:top w:w="15" w:type="dxa"/>
              <w:left w:w="15" w:type="dxa"/>
              <w:bottom w:w="0" w:type="dxa"/>
              <w:right w:w="15" w:type="dxa"/>
            </w:tcMar>
            <w:vAlign w:val="center"/>
          </w:tcPr>
          <w:p w14:paraId="709EFD13">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8</w:t>
            </w:r>
          </w:p>
        </w:tc>
        <w:tc>
          <w:tcPr>
            <w:tcW w:w="378" w:type="pct"/>
            <w:tcBorders>
              <w:tl2br w:val="nil"/>
              <w:tr2bl w:val="nil"/>
            </w:tcBorders>
            <w:shd w:val="clear" w:color="auto" w:fill="auto"/>
            <w:vAlign w:val="center"/>
          </w:tcPr>
          <w:p w14:paraId="388E6153">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利旧</w:t>
            </w:r>
          </w:p>
        </w:tc>
      </w:tr>
      <w:tr w14:paraId="598747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462" w:type="pct"/>
            <w:vMerge w:val="continue"/>
            <w:tcBorders>
              <w:tl2br w:val="nil"/>
              <w:tr2bl w:val="nil"/>
            </w:tcBorders>
            <w:vAlign w:val="center"/>
          </w:tcPr>
          <w:p w14:paraId="3F74AFCD">
            <w:pPr>
              <w:widowControl/>
              <w:jc w:val="center"/>
              <w:rPr>
                <w:rFonts w:eastAsia="仿宋_GB2312"/>
                <w:color w:val="FF0000"/>
                <w:kern w:val="0"/>
                <w:szCs w:val="20"/>
              </w:rPr>
            </w:pPr>
          </w:p>
          <w:p w14:paraId="57665C05">
            <w:pPr>
              <w:pStyle w:val="35"/>
            </w:pPr>
          </w:p>
        </w:tc>
        <w:tc>
          <w:tcPr>
            <w:tcW w:w="346" w:type="pct"/>
            <w:tcBorders>
              <w:tl2br w:val="nil"/>
              <w:tr2bl w:val="nil"/>
            </w:tcBorders>
            <w:shd w:val="clear" w:color="auto" w:fill="auto"/>
            <w:tcMar>
              <w:top w:w="15" w:type="dxa"/>
              <w:left w:w="15" w:type="dxa"/>
              <w:bottom w:w="0" w:type="dxa"/>
              <w:right w:w="15" w:type="dxa"/>
            </w:tcMar>
            <w:vAlign w:val="center"/>
          </w:tcPr>
          <w:p w14:paraId="579FD3CB">
            <w:pPr>
              <w:bidi w:val="0"/>
              <w:jc w:val="center"/>
              <w:rPr>
                <w:rFonts w:hint="default" w:ascii="Times New Roman" w:hAnsi="Times New Roman" w:eastAsia="方正仿宋_GB2312" w:cs="Times New Roman"/>
                <w:color w:val="auto"/>
                <w:kern w:val="2"/>
                <w:sz w:val="21"/>
                <w:szCs w:val="21"/>
                <w:lang w:val="en-US" w:eastAsia="zh-CN" w:bidi="ar-SA"/>
              </w:rPr>
            </w:pPr>
            <w:r>
              <w:rPr>
                <w:rFonts w:hint="default" w:ascii="Times New Roman" w:hAnsi="Times New Roman" w:eastAsia="方正仿宋_GB2312" w:cs="Times New Roman"/>
                <w:color w:val="auto"/>
                <w:sz w:val="21"/>
                <w:szCs w:val="21"/>
              </w:rPr>
              <w:t>8</w:t>
            </w:r>
          </w:p>
        </w:tc>
        <w:tc>
          <w:tcPr>
            <w:tcW w:w="816" w:type="pct"/>
            <w:tcBorders>
              <w:tl2br w:val="nil"/>
              <w:tr2bl w:val="nil"/>
            </w:tcBorders>
            <w:shd w:val="clear" w:color="auto" w:fill="auto"/>
            <w:tcMar>
              <w:top w:w="15" w:type="dxa"/>
              <w:left w:w="15" w:type="dxa"/>
              <w:bottom w:w="0" w:type="dxa"/>
              <w:right w:w="15" w:type="dxa"/>
            </w:tcMar>
            <w:vAlign w:val="center"/>
          </w:tcPr>
          <w:p w14:paraId="4F7DF4BF">
            <w:pPr>
              <w:bidi w:val="0"/>
              <w:jc w:val="center"/>
              <w:rPr>
                <w:rFonts w:hint="default" w:ascii="Times New Roman" w:hAnsi="Times New Roman" w:eastAsia="方正仿宋_GB2312" w:cs="Times New Roman"/>
                <w:color w:val="auto"/>
                <w:kern w:val="2"/>
                <w:sz w:val="21"/>
                <w:szCs w:val="21"/>
                <w:lang w:val="en-US" w:eastAsia="zh-CN" w:bidi="ar-SA"/>
              </w:rPr>
            </w:pPr>
            <w:r>
              <w:rPr>
                <w:rFonts w:hint="default" w:ascii="Times New Roman" w:hAnsi="Times New Roman" w:eastAsia="方正仿宋_GB2312" w:cs="Times New Roman"/>
                <w:color w:val="auto"/>
                <w:sz w:val="21"/>
                <w:szCs w:val="21"/>
                <w:lang w:val="en-US" w:eastAsia="zh-CN"/>
              </w:rPr>
              <w:t>1#~8#塔后馏分罐</w:t>
            </w:r>
          </w:p>
        </w:tc>
        <w:tc>
          <w:tcPr>
            <w:tcW w:w="1218" w:type="pct"/>
            <w:tcBorders>
              <w:tl2br w:val="nil"/>
              <w:tr2bl w:val="nil"/>
            </w:tcBorders>
            <w:shd w:val="clear" w:color="auto" w:fill="auto"/>
            <w:tcMar>
              <w:top w:w="15" w:type="dxa"/>
              <w:left w:w="15" w:type="dxa"/>
              <w:bottom w:w="0" w:type="dxa"/>
              <w:right w:w="15" w:type="dxa"/>
            </w:tcMar>
            <w:vAlign w:val="center"/>
          </w:tcPr>
          <w:p w14:paraId="283D9589">
            <w:pPr>
              <w:bidi w:val="0"/>
              <w:jc w:val="center"/>
              <w:rPr>
                <w:rFonts w:hint="default" w:ascii="Times New Roman" w:hAnsi="Times New Roman" w:eastAsia="方正仿宋_GB2312" w:cs="Times New Roman"/>
                <w:color w:val="auto"/>
                <w:kern w:val="2"/>
                <w:sz w:val="21"/>
                <w:szCs w:val="21"/>
                <w:lang w:val="en-US" w:eastAsia="zh-CN" w:bidi="ar-SA"/>
              </w:rPr>
            </w:pPr>
            <w:r>
              <w:rPr>
                <w:rFonts w:hint="default" w:ascii="Times New Roman" w:hAnsi="Times New Roman" w:eastAsia="方正仿宋_GB2312" w:cs="Times New Roman"/>
                <w:color w:val="auto"/>
                <w:sz w:val="21"/>
                <w:szCs w:val="21"/>
                <w:lang w:val="en-US" w:eastAsia="zh-CN"/>
              </w:rPr>
              <w:t>V=5m</w:t>
            </w:r>
            <w:r>
              <w:rPr>
                <w:rFonts w:hint="default" w:ascii="Times New Roman" w:hAnsi="Times New Roman" w:eastAsia="方正仿宋_GB2312" w:cs="Times New Roman"/>
                <w:color w:val="auto"/>
                <w:sz w:val="21"/>
                <w:szCs w:val="21"/>
                <w:vertAlign w:val="superscript"/>
                <w:lang w:val="en-US" w:eastAsia="zh-CN"/>
              </w:rPr>
              <w:t>3</w:t>
            </w:r>
            <w:r>
              <w:rPr>
                <w:rFonts w:hint="eastAsia" w:ascii="Times New Roman" w:hAnsi="Times New Roman" w:eastAsia="方正仿宋_GB2312" w:cs="Times New Roman"/>
                <w:color w:val="auto"/>
                <w:sz w:val="21"/>
                <w:szCs w:val="21"/>
                <w:lang w:val="en-US" w:eastAsia="zh-CN"/>
              </w:rPr>
              <w:t>，</w:t>
            </w:r>
            <w:r>
              <w:rPr>
                <w:rFonts w:hint="default" w:ascii="Times New Roman" w:hAnsi="Times New Roman" w:eastAsia="方正仿宋_GB2312" w:cs="Times New Roman"/>
                <w:color w:val="auto"/>
                <w:sz w:val="21"/>
                <w:szCs w:val="21"/>
                <w:lang w:val="en-US" w:eastAsia="zh-CN"/>
              </w:rPr>
              <w:t>Φ1800×2500</w:t>
            </w:r>
          </w:p>
        </w:tc>
        <w:tc>
          <w:tcPr>
            <w:tcW w:w="540" w:type="pct"/>
            <w:tcBorders>
              <w:tl2br w:val="nil"/>
              <w:tr2bl w:val="nil"/>
            </w:tcBorders>
            <w:shd w:val="clear" w:color="auto" w:fill="auto"/>
            <w:tcMar>
              <w:top w:w="15" w:type="dxa"/>
              <w:left w:w="15" w:type="dxa"/>
              <w:bottom w:w="0" w:type="dxa"/>
              <w:right w:w="15" w:type="dxa"/>
            </w:tcMar>
            <w:vAlign w:val="center"/>
          </w:tcPr>
          <w:p w14:paraId="5EA49A34">
            <w:pPr>
              <w:bidi w:val="0"/>
              <w:jc w:val="center"/>
              <w:rPr>
                <w:rFonts w:hint="default" w:ascii="Times New Roman" w:hAnsi="Times New Roman" w:eastAsia="方正仿宋_GB2312" w:cs="Times New Roman"/>
                <w:color w:val="auto"/>
                <w:kern w:val="2"/>
                <w:sz w:val="21"/>
                <w:szCs w:val="21"/>
                <w:lang w:val="en-US" w:eastAsia="zh-CN" w:bidi="ar-SA"/>
              </w:rPr>
            </w:pPr>
            <w:r>
              <w:rPr>
                <w:rFonts w:hint="default" w:ascii="Times New Roman" w:hAnsi="Times New Roman" w:eastAsia="方正仿宋_GB2312" w:cs="Times New Roman"/>
                <w:color w:val="auto"/>
                <w:sz w:val="21"/>
                <w:szCs w:val="21"/>
                <w:lang w:val="en-US" w:eastAsia="zh-CN"/>
              </w:rPr>
              <w:t>S304</w:t>
            </w:r>
          </w:p>
        </w:tc>
        <w:tc>
          <w:tcPr>
            <w:tcW w:w="443" w:type="pct"/>
            <w:tcBorders>
              <w:tl2br w:val="nil"/>
              <w:tr2bl w:val="nil"/>
            </w:tcBorders>
            <w:shd w:val="clear" w:color="auto" w:fill="auto"/>
            <w:tcMar>
              <w:top w:w="15" w:type="dxa"/>
              <w:left w:w="15" w:type="dxa"/>
              <w:bottom w:w="0" w:type="dxa"/>
              <w:right w:w="15" w:type="dxa"/>
            </w:tcMar>
            <w:vAlign w:val="center"/>
          </w:tcPr>
          <w:p w14:paraId="3CE6FA8F">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40</w:t>
            </w:r>
          </w:p>
        </w:tc>
        <w:tc>
          <w:tcPr>
            <w:tcW w:w="451" w:type="pct"/>
            <w:tcBorders>
              <w:tl2br w:val="nil"/>
              <w:tr2bl w:val="nil"/>
            </w:tcBorders>
            <w:shd w:val="clear" w:color="auto" w:fill="auto"/>
            <w:tcMar>
              <w:top w:w="15" w:type="dxa"/>
              <w:left w:w="15" w:type="dxa"/>
              <w:bottom w:w="0" w:type="dxa"/>
              <w:right w:w="15" w:type="dxa"/>
            </w:tcMar>
            <w:vAlign w:val="center"/>
          </w:tcPr>
          <w:p w14:paraId="161C5D01">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常压</w:t>
            </w:r>
          </w:p>
        </w:tc>
        <w:tc>
          <w:tcPr>
            <w:tcW w:w="342" w:type="pct"/>
            <w:tcBorders>
              <w:tl2br w:val="nil"/>
              <w:tr2bl w:val="nil"/>
            </w:tcBorders>
            <w:shd w:val="clear" w:color="auto" w:fill="auto"/>
            <w:tcMar>
              <w:top w:w="15" w:type="dxa"/>
              <w:left w:w="15" w:type="dxa"/>
              <w:bottom w:w="0" w:type="dxa"/>
              <w:right w:w="15" w:type="dxa"/>
            </w:tcMar>
            <w:vAlign w:val="center"/>
          </w:tcPr>
          <w:p w14:paraId="0159E4BB">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8</w:t>
            </w:r>
          </w:p>
        </w:tc>
        <w:tc>
          <w:tcPr>
            <w:tcW w:w="378" w:type="pct"/>
            <w:tcBorders>
              <w:tl2br w:val="nil"/>
              <w:tr2bl w:val="nil"/>
            </w:tcBorders>
            <w:shd w:val="clear" w:color="auto" w:fill="auto"/>
            <w:vAlign w:val="center"/>
          </w:tcPr>
          <w:p w14:paraId="70677DE8">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利旧</w:t>
            </w:r>
          </w:p>
        </w:tc>
      </w:tr>
      <w:tr w14:paraId="3D7670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462" w:type="pct"/>
            <w:vMerge w:val="continue"/>
            <w:tcBorders>
              <w:tl2br w:val="nil"/>
              <w:tr2bl w:val="nil"/>
            </w:tcBorders>
            <w:vAlign w:val="center"/>
          </w:tcPr>
          <w:p w14:paraId="42BAE6D4">
            <w:pPr>
              <w:pStyle w:val="35"/>
            </w:pPr>
          </w:p>
        </w:tc>
        <w:tc>
          <w:tcPr>
            <w:tcW w:w="346" w:type="pct"/>
            <w:tcBorders>
              <w:tl2br w:val="nil"/>
              <w:tr2bl w:val="nil"/>
            </w:tcBorders>
            <w:shd w:val="clear" w:color="auto" w:fill="auto"/>
            <w:tcMar>
              <w:top w:w="15" w:type="dxa"/>
              <w:left w:w="15" w:type="dxa"/>
              <w:bottom w:w="0" w:type="dxa"/>
              <w:right w:w="15" w:type="dxa"/>
            </w:tcMar>
            <w:vAlign w:val="center"/>
          </w:tcPr>
          <w:p w14:paraId="2F193A8C">
            <w:pPr>
              <w:bidi w:val="0"/>
              <w:jc w:val="center"/>
              <w:rPr>
                <w:rFonts w:hint="default" w:ascii="Times New Roman" w:hAnsi="Times New Roman" w:eastAsia="方正仿宋_GB2312" w:cs="Times New Roman"/>
                <w:color w:val="auto"/>
                <w:kern w:val="2"/>
                <w:sz w:val="21"/>
                <w:szCs w:val="21"/>
                <w:lang w:val="en-US" w:eastAsia="zh-CN" w:bidi="ar-SA"/>
              </w:rPr>
            </w:pPr>
            <w:r>
              <w:rPr>
                <w:rFonts w:hint="default" w:ascii="Times New Roman" w:hAnsi="Times New Roman" w:eastAsia="方正仿宋_GB2312" w:cs="Times New Roman"/>
                <w:color w:val="auto"/>
                <w:sz w:val="21"/>
                <w:szCs w:val="21"/>
              </w:rPr>
              <w:t>9</w:t>
            </w:r>
          </w:p>
        </w:tc>
        <w:tc>
          <w:tcPr>
            <w:tcW w:w="816" w:type="pct"/>
            <w:tcBorders>
              <w:tl2br w:val="nil"/>
              <w:tr2bl w:val="nil"/>
            </w:tcBorders>
            <w:shd w:val="clear" w:color="auto" w:fill="auto"/>
            <w:tcMar>
              <w:top w:w="15" w:type="dxa"/>
              <w:left w:w="15" w:type="dxa"/>
              <w:bottom w:w="0" w:type="dxa"/>
              <w:right w:w="15" w:type="dxa"/>
            </w:tcMar>
            <w:vAlign w:val="center"/>
          </w:tcPr>
          <w:p w14:paraId="3C4AB692">
            <w:pPr>
              <w:bidi w:val="0"/>
              <w:jc w:val="center"/>
              <w:rPr>
                <w:rFonts w:hint="default" w:ascii="Times New Roman" w:hAnsi="Times New Roman" w:eastAsia="方正仿宋_GB2312" w:cs="Times New Roman"/>
                <w:color w:val="auto"/>
                <w:kern w:val="2"/>
                <w:sz w:val="21"/>
                <w:szCs w:val="21"/>
                <w:lang w:val="en-US" w:eastAsia="en-US" w:bidi="ar-SA"/>
              </w:rPr>
            </w:pPr>
            <w:r>
              <w:rPr>
                <w:rFonts w:hint="default" w:ascii="Times New Roman" w:hAnsi="Times New Roman" w:eastAsia="方正仿宋_GB2312" w:cs="Times New Roman"/>
                <w:color w:val="auto"/>
                <w:sz w:val="21"/>
                <w:szCs w:val="21"/>
                <w:lang w:val="en-US" w:eastAsia="zh-CN"/>
              </w:rPr>
              <w:t>1#~8#塔进料泵</w:t>
            </w:r>
          </w:p>
        </w:tc>
        <w:tc>
          <w:tcPr>
            <w:tcW w:w="1218" w:type="pct"/>
            <w:tcBorders>
              <w:tl2br w:val="nil"/>
              <w:tr2bl w:val="nil"/>
            </w:tcBorders>
            <w:shd w:val="clear" w:color="auto" w:fill="auto"/>
            <w:tcMar>
              <w:top w:w="15" w:type="dxa"/>
              <w:left w:w="15" w:type="dxa"/>
              <w:bottom w:w="0" w:type="dxa"/>
              <w:right w:w="15" w:type="dxa"/>
            </w:tcMar>
            <w:vAlign w:val="center"/>
          </w:tcPr>
          <w:p w14:paraId="1E5CB7BA">
            <w:pPr>
              <w:bidi w:val="0"/>
              <w:jc w:val="center"/>
              <w:rPr>
                <w:rFonts w:hint="default" w:ascii="Times New Roman" w:hAnsi="Times New Roman" w:eastAsia="方正仿宋_GB2312" w:cs="Times New Roman"/>
                <w:color w:val="auto"/>
                <w:kern w:val="2"/>
                <w:sz w:val="21"/>
                <w:szCs w:val="21"/>
                <w:lang w:val="en-US" w:eastAsia="en-US" w:bidi="ar-SA"/>
              </w:rPr>
            </w:pPr>
            <w:r>
              <w:rPr>
                <w:rFonts w:hint="default" w:ascii="Times New Roman" w:hAnsi="Times New Roman" w:eastAsia="方正仿宋_GB2312" w:cs="Times New Roman"/>
                <w:color w:val="auto"/>
                <w:sz w:val="21"/>
                <w:szCs w:val="21"/>
                <w:lang w:val="en-US" w:eastAsia="zh-CN"/>
              </w:rPr>
              <w:t>Q=5m</w:t>
            </w:r>
            <w:r>
              <w:rPr>
                <w:rFonts w:hint="default" w:ascii="Times New Roman" w:hAnsi="Times New Roman" w:eastAsia="方正仿宋_GB2312" w:cs="Times New Roman"/>
                <w:color w:val="auto"/>
                <w:sz w:val="21"/>
                <w:szCs w:val="21"/>
                <w:vertAlign w:val="superscript"/>
                <w:lang w:val="en-US" w:eastAsia="zh-CN"/>
              </w:rPr>
              <w:t>3</w:t>
            </w:r>
            <w:r>
              <w:rPr>
                <w:rFonts w:hint="default" w:ascii="Times New Roman" w:hAnsi="Times New Roman" w:eastAsia="方正仿宋_GB2312" w:cs="Times New Roman"/>
                <w:color w:val="auto"/>
                <w:sz w:val="21"/>
                <w:szCs w:val="21"/>
                <w:lang w:val="en-US" w:eastAsia="zh-CN"/>
              </w:rPr>
              <w:t>/h</w:t>
            </w:r>
            <w:r>
              <w:rPr>
                <w:rFonts w:hint="eastAsia" w:eastAsia="方正仿宋_GB2312" w:cs="Times New Roman"/>
                <w:color w:val="auto"/>
                <w:sz w:val="21"/>
                <w:szCs w:val="21"/>
                <w:lang w:val="en-US" w:eastAsia="zh-CN"/>
              </w:rPr>
              <w:t>，</w:t>
            </w:r>
            <w:r>
              <w:rPr>
                <w:rFonts w:hint="default" w:ascii="Times New Roman" w:hAnsi="Times New Roman" w:eastAsia="方正仿宋_GB2312" w:cs="Times New Roman"/>
                <w:color w:val="auto"/>
                <w:sz w:val="21"/>
                <w:szCs w:val="21"/>
                <w:lang w:val="en-US" w:eastAsia="zh-CN"/>
              </w:rPr>
              <w:t>H=15m</w:t>
            </w:r>
            <w:r>
              <w:rPr>
                <w:rFonts w:hint="eastAsia" w:eastAsia="方正仿宋_GB2312" w:cs="Times New Roman"/>
                <w:color w:val="auto"/>
                <w:sz w:val="21"/>
                <w:szCs w:val="21"/>
                <w:lang w:val="en-US" w:eastAsia="zh-CN"/>
              </w:rPr>
              <w:t>，</w:t>
            </w:r>
            <w:r>
              <w:rPr>
                <w:rFonts w:hint="default" w:ascii="Times New Roman" w:hAnsi="Times New Roman" w:eastAsia="方正仿宋_GB2312" w:cs="Times New Roman"/>
                <w:color w:val="auto"/>
                <w:sz w:val="21"/>
                <w:szCs w:val="21"/>
                <w:lang w:val="en-US" w:eastAsia="zh-CN"/>
              </w:rPr>
              <w:t>4kw</w:t>
            </w:r>
          </w:p>
        </w:tc>
        <w:tc>
          <w:tcPr>
            <w:tcW w:w="540" w:type="pct"/>
            <w:tcBorders>
              <w:tl2br w:val="nil"/>
              <w:tr2bl w:val="nil"/>
            </w:tcBorders>
            <w:shd w:val="clear" w:color="auto" w:fill="auto"/>
            <w:tcMar>
              <w:top w:w="15" w:type="dxa"/>
              <w:left w:w="15" w:type="dxa"/>
              <w:bottom w:w="0" w:type="dxa"/>
              <w:right w:w="15" w:type="dxa"/>
            </w:tcMar>
            <w:vAlign w:val="center"/>
          </w:tcPr>
          <w:p w14:paraId="5D997C79">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组合件</w:t>
            </w:r>
          </w:p>
        </w:tc>
        <w:tc>
          <w:tcPr>
            <w:tcW w:w="443" w:type="pct"/>
            <w:tcBorders>
              <w:tl2br w:val="nil"/>
              <w:tr2bl w:val="nil"/>
            </w:tcBorders>
            <w:shd w:val="clear" w:color="auto" w:fill="auto"/>
            <w:tcMar>
              <w:top w:w="15" w:type="dxa"/>
              <w:left w:w="15" w:type="dxa"/>
              <w:bottom w:w="0" w:type="dxa"/>
              <w:right w:w="15" w:type="dxa"/>
            </w:tcMar>
            <w:vAlign w:val="center"/>
          </w:tcPr>
          <w:p w14:paraId="2EEDCADB">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常温</w:t>
            </w:r>
          </w:p>
        </w:tc>
        <w:tc>
          <w:tcPr>
            <w:tcW w:w="451" w:type="pct"/>
            <w:tcBorders>
              <w:tl2br w:val="nil"/>
              <w:tr2bl w:val="nil"/>
            </w:tcBorders>
            <w:shd w:val="clear" w:color="auto" w:fill="auto"/>
            <w:tcMar>
              <w:top w:w="15" w:type="dxa"/>
              <w:left w:w="15" w:type="dxa"/>
              <w:bottom w:w="0" w:type="dxa"/>
              <w:right w:w="15" w:type="dxa"/>
            </w:tcMar>
            <w:vAlign w:val="center"/>
          </w:tcPr>
          <w:p w14:paraId="7BB4B387">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0.15</w:t>
            </w:r>
          </w:p>
        </w:tc>
        <w:tc>
          <w:tcPr>
            <w:tcW w:w="342" w:type="pct"/>
            <w:tcBorders>
              <w:tl2br w:val="nil"/>
              <w:tr2bl w:val="nil"/>
            </w:tcBorders>
            <w:shd w:val="clear" w:color="auto" w:fill="auto"/>
            <w:tcMar>
              <w:top w:w="15" w:type="dxa"/>
              <w:left w:w="15" w:type="dxa"/>
              <w:bottom w:w="0" w:type="dxa"/>
              <w:right w:w="15" w:type="dxa"/>
            </w:tcMar>
            <w:vAlign w:val="center"/>
          </w:tcPr>
          <w:p w14:paraId="0AD08F50">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8</w:t>
            </w:r>
          </w:p>
        </w:tc>
        <w:tc>
          <w:tcPr>
            <w:tcW w:w="378" w:type="pct"/>
            <w:tcBorders>
              <w:tl2br w:val="nil"/>
              <w:tr2bl w:val="nil"/>
            </w:tcBorders>
            <w:shd w:val="clear" w:color="auto" w:fill="auto"/>
            <w:vAlign w:val="center"/>
          </w:tcPr>
          <w:p w14:paraId="35769309">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利旧</w:t>
            </w:r>
          </w:p>
        </w:tc>
      </w:tr>
      <w:tr w14:paraId="520892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462" w:type="pct"/>
            <w:vMerge w:val="continue"/>
            <w:tcBorders>
              <w:tl2br w:val="nil"/>
              <w:tr2bl w:val="nil"/>
            </w:tcBorders>
            <w:vAlign w:val="center"/>
          </w:tcPr>
          <w:p w14:paraId="2DBA8D9E">
            <w:pPr>
              <w:pStyle w:val="35"/>
            </w:pPr>
          </w:p>
        </w:tc>
        <w:tc>
          <w:tcPr>
            <w:tcW w:w="346" w:type="pct"/>
            <w:tcBorders>
              <w:tl2br w:val="nil"/>
              <w:tr2bl w:val="nil"/>
            </w:tcBorders>
            <w:shd w:val="clear" w:color="auto" w:fill="auto"/>
            <w:tcMar>
              <w:top w:w="15" w:type="dxa"/>
              <w:left w:w="15" w:type="dxa"/>
              <w:bottom w:w="0" w:type="dxa"/>
              <w:right w:w="15" w:type="dxa"/>
            </w:tcMar>
            <w:vAlign w:val="center"/>
          </w:tcPr>
          <w:p w14:paraId="04C417A2">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14:textFill>
                  <w14:solidFill>
                    <w14:schemeClr w14:val="tx1"/>
                  </w14:solidFill>
                </w14:textFill>
              </w:rPr>
              <w:t>10</w:t>
            </w:r>
          </w:p>
        </w:tc>
        <w:tc>
          <w:tcPr>
            <w:tcW w:w="816" w:type="pct"/>
            <w:tcBorders>
              <w:tl2br w:val="nil"/>
              <w:tr2bl w:val="nil"/>
            </w:tcBorders>
            <w:shd w:val="clear" w:color="auto" w:fill="auto"/>
            <w:tcMar>
              <w:top w:w="15" w:type="dxa"/>
              <w:left w:w="15" w:type="dxa"/>
              <w:bottom w:w="0" w:type="dxa"/>
              <w:right w:w="15" w:type="dxa"/>
            </w:tcMar>
            <w:vAlign w:val="center"/>
          </w:tcPr>
          <w:p w14:paraId="7B75CD8B">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1#~8#塔强制循环泵</w:t>
            </w:r>
          </w:p>
        </w:tc>
        <w:tc>
          <w:tcPr>
            <w:tcW w:w="1218" w:type="pct"/>
            <w:tcBorders>
              <w:tl2br w:val="nil"/>
              <w:tr2bl w:val="nil"/>
            </w:tcBorders>
            <w:shd w:val="clear" w:color="auto" w:fill="auto"/>
            <w:tcMar>
              <w:top w:w="15" w:type="dxa"/>
              <w:left w:w="15" w:type="dxa"/>
              <w:bottom w:w="0" w:type="dxa"/>
              <w:right w:w="15" w:type="dxa"/>
            </w:tcMar>
            <w:vAlign w:val="center"/>
          </w:tcPr>
          <w:p w14:paraId="273A3CB8">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Q=50m</w:t>
            </w:r>
            <w:r>
              <w:rPr>
                <w:rFonts w:hint="default" w:ascii="Times New Roman" w:hAnsi="Times New Roman" w:eastAsia="方正仿宋_GB2312" w:cs="Times New Roman"/>
                <w:color w:val="000000" w:themeColor="text1"/>
                <w:sz w:val="21"/>
                <w:szCs w:val="21"/>
                <w:vertAlign w:val="superscript"/>
                <w:lang w:val="en-US" w:eastAsia="zh-CN"/>
                <w14:textFill>
                  <w14:solidFill>
                    <w14:schemeClr w14:val="tx1"/>
                  </w14:solidFill>
                </w14:textFill>
              </w:rPr>
              <w:t>3</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/h</w:t>
            </w:r>
            <w:r>
              <w:rPr>
                <w:rFonts w:hint="eastAsia" w:eastAsia="方正仿宋_GB2312" w:cs="Times New Roman"/>
                <w:color w:val="000000" w:themeColor="text1"/>
                <w:sz w:val="21"/>
                <w:szCs w:val="21"/>
                <w:lang w:val="en-US" w:eastAsia="zh-CN"/>
                <w14:textFill>
                  <w14:solidFill>
                    <w14:schemeClr w14:val="tx1"/>
                  </w14:solidFill>
                </w14:textFill>
              </w:rPr>
              <w:t>，</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H=10m</w:t>
            </w:r>
            <w:r>
              <w:rPr>
                <w:rFonts w:hint="eastAsia" w:eastAsia="方正仿宋_GB2312" w:cs="Times New Roman"/>
                <w:color w:val="000000" w:themeColor="text1"/>
                <w:sz w:val="21"/>
                <w:szCs w:val="21"/>
                <w:lang w:val="en-US" w:eastAsia="zh-CN"/>
                <w14:textFill>
                  <w14:solidFill>
                    <w14:schemeClr w14:val="tx1"/>
                  </w14:solidFill>
                </w14:textFill>
              </w:rPr>
              <w:t>，</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11kw</w:t>
            </w:r>
          </w:p>
        </w:tc>
        <w:tc>
          <w:tcPr>
            <w:tcW w:w="540" w:type="pct"/>
            <w:tcBorders>
              <w:tl2br w:val="nil"/>
              <w:tr2bl w:val="nil"/>
            </w:tcBorders>
            <w:shd w:val="clear" w:color="auto" w:fill="auto"/>
            <w:tcMar>
              <w:top w:w="15" w:type="dxa"/>
              <w:left w:w="15" w:type="dxa"/>
              <w:bottom w:w="0" w:type="dxa"/>
              <w:right w:w="15" w:type="dxa"/>
            </w:tcMar>
            <w:vAlign w:val="center"/>
          </w:tcPr>
          <w:p w14:paraId="720E90A5">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组合件</w:t>
            </w:r>
          </w:p>
        </w:tc>
        <w:tc>
          <w:tcPr>
            <w:tcW w:w="443" w:type="pct"/>
            <w:tcBorders>
              <w:tl2br w:val="nil"/>
              <w:tr2bl w:val="nil"/>
            </w:tcBorders>
            <w:shd w:val="clear" w:color="auto" w:fill="auto"/>
            <w:tcMar>
              <w:top w:w="15" w:type="dxa"/>
              <w:left w:w="15" w:type="dxa"/>
              <w:bottom w:w="0" w:type="dxa"/>
              <w:right w:w="15" w:type="dxa"/>
            </w:tcMar>
            <w:vAlign w:val="center"/>
          </w:tcPr>
          <w:p w14:paraId="214CD726">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175</w:t>
            </w:r>
          </w:p>
        </w:tc>
        <w:tc>
          <w:tcPr>
            <w:tcW w:w="451" w:type="pct"/>
            <w:tcBorders>
              <w:tl2br w:val="nil"/>
              <w:tr2bl w:val="nil"/>
            </w:tcBorders>
            <w:shd w:val="clear" w:color="auto" w:fill="auto"/>
            <w:tcMar>
              <w:top w:w="15" w:type="dxa"/>
              <w:left w:w="15" w:type="dxa"/>
              <w:bottom w:w="0" w:type="dxa"/>
              <w:right w:w="15" w:type="dxa"/>
            </w:tcMar>
            <w:vAlign w:val="center"/>
          </w:tcPr>
          <w:p w14:paraId="20FD05C1">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0.10</w:t>
            </w:r>
          </w:p>
        </w:tc>
        <w:tc>
          <w:tcPr>
            <w:tcW w:w="342" w:type="pct"/>
            <w:tcBorders>
              <w:tl2br w:val="nil"/>
              <w:tr2bl w:val="nil"/>
            </w:tcBorders>
            <w:shd w:val="clear" w:color="auto" w:fill="auto"/>
            <w:tcMar>
              <w:top w:w="15" w:type="dxa"/>
              <w:left w:w="15" w:type="dxa"/>
              <w:bottom w:w="0" w:type="dxa"/>
              <w:right w:w="15" w:type="dxa"/>
            </w:tcMar>
            <w:vAlign w:val="center"/>
          </w:tcPr>
          <w:p w14:paraId="2C58CB0D">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8</w:t>
            </w:r>
          </w:p>
        </w:tc>
        <w:tc>
          <w:tcPr>
            <w:tcW w:w="378" w:type="pct"/>
            <w:tcBorders>
              <w:tl2br w:val="nil"/>
              <w:tr2bl w:val="nil"/>
            </w:tcBorders>
            <w:shd w:val="clear" w:color="auto" w:fill="auto"/>
            <w:vAlign w:val="center"/>
          </w:tcPr>
          <w:p w14:paraId="49581B1B">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利旧</w:t>
            </w:r>
          </w:p>
        </w:tc>
      </w:tr>
      <w:tr w14:paraId="08D94D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462" w:type="pct"/>
            <w:vMerge w:val="continue"/>
            <w:tcBorders>
              <w:tl2br w:val="nil"/>
              <w:tr2bl w:val="nil"/>
            </w:tcBorders>
            <w:vAlign w:val="center"/>
          </w:tcPr>
          <w:p w14:paraId="6976109C">
            <w:pPr>
              <w:pStyle w:val="35"/>
            </w:pPr>
          </w:p>
        </w:tc>
        <w:tc>
          <w:tcPr>
            <w:tcW w:w="346" w:type="pct"/>
            <w:tcBorders>
              <w:tl2br w:val="nil"/>
              <w:tr2bl w:val="nil"/>
            </w:tcBorders>
            <w:shd w:val="clear" w:color="auto" w:fill="auto"/>
            <w:tcMar>
              <w:top w:w="15" w:type="dxa"/>
              <w:left w:w="15" w:type="dxa"/>
              <w:bottom w:w="0" w:type="dxa"/>
              <w:right w:w="15" w:type="dxa"/>
            </w:tcMar>
            <w:vAlign w:val="center"/>
          </w:tcPr>
          <w:p w14:paraId="3BD313E0">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11</w:t>
            </w:r>
          </w:p>
        </w:tc>
        <w:tc>
          <w:tcPr>
            <w:tcW w:w="816" w:type="pct"/>
            <w:tcBorders>
              <w:tl2br w:val="nil"/>
              <w:tr2bl w:val="nil"/>
            </w:tcBorders>
            <w:shd w:val="clear" w:color="auto" w:fill="auto"/>
            <w:tcMar>
              <w:top w:w="15" w:type="dxa"/>
              <w:left w:w="15" w:type="dxa"/>
              <w:bottom w:w="0" w:type="dxa"/>
              <w:right w:w="15" w:type="dxa"/>
            </w:tcMar>
            <w:vAlign w:val="center"/>
          </w:tcPr>
          <w:p w14:paraId="0D1EA885">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1#~8#塔强制循环泵</w:t>
            </w:r>
          </w:p>
        </w:tc>
        <w:tc>
          <w:tcPr>
            <w:tcW w:w="1218" w:type="pct"/>
            <w:tcBorders>
              <w:tl2br w:val="nil"/>
              <w:tr2bl w:val="nil"/>
            </w:tcBorders>
            <w:shd w:val="clear" w:color="auto" w:fill="auto"/>
            <w:tcMar>
              <w:top w:w="15" w:type="dxa"/>
              <w:left w:w="15" w:type="dxa"/>
              <w:bottom w:w="0" w:type="dxa"/>
              <w:right w:w="15" w:type="dxa"/>
            </w:tcMar>
            <w:vAlign w:val="center"/>
          </w:tcPr>
          <w:p w14:paraId="141CFF9D">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Q=10m</w:t>
            </w:r>
            <w:r>
              <w:rPr>
                <w:rFonts w:hint="default" w:ascii="Times New Roman" w:hAnsi="Times New Roman" w:eastAsia="方正仿宋_GB2312" w:cs="Times New Roman"/>
                <w:color w:val="000000" w:themeColor="text1"/>
                <w:sz w:val="21"/>
                <w:szCs w:val="21"/>
                <w:vertAlign w:val="superscript"/>
                <w:lang w:val="en-US" w:eastAsia="zh-CN"/>
                <w14:textFill>
                  <w14:solidFill>
                    <w14:schemeClr w14:val="tx1"/>
                  </w14:solidFill>
                </w14:textFill>
              </w:rPr>
              <w:t>3</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/h</w:t>
            </w:r>
            <w:r>
              <w:rPr>
                <w:rFonts w:hint="eastAsia" w:eastAsia="方正仿宋_GB2312" w:cs="Times New Roman"/>
                <w:color w:val="000000" w:themeColor="text1"/>
                <w:sz w:val="21"/>
                <w:szCs w:val="21"/>
                <w:lang w:val="en-US" w:eastAsia="zh-CN"/>
                <w14:textFill>
                  <w14:solidFill>
                    <w14:schemeClr w14:val="tx1"/>
                  </w14:solidFill>
                </w14:textFill>
              </w:rPr>
              <w:t>，</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H=20m</w:t>
            </w:r>
            <w:r>
              <w:rPr>
                <w:rFonts w:hint="eastAsia" w:eastAsia="方正仿宋_GB2312" w:cs="Times New Roman"/>
                <w:color w:val="000000" w:themeColor="text1"/>
                <w:sz w:val="21"/>
                <w:szCs w:val="21"/>
                <w:lang w:val="en-US" w:eastAsia="zh-CN"/>
                <w14:textFill>
                  <w14:solidFill>
                    <w14:schemeClr w14:val="tx1"/>
                  </w14:solidFill>
                </w14:textFill>
              </w:rPr>
              <w:t>，</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5kw</w:t>
            </w:r>
          </w:p>
        </w:tc>
        <w:tc>
          <w:tcPr>
            <w:tcW w:w="540" w:type="pct"/>
            <w:tcBorders>
              <w:tl2br w:val="nil"/>
              <w:tr2bl w:val="nil"/>
            </w:tcBorders>
            <w:shd w:val="clear" w:color="auto" w:fill="auto"/>
            <w:tcMar>
              <w:top w:w="15" w:type="dxa"/>
              <w:left w:w="15" w:type="dxa"/>
              <w:bottom w:w="0" w:type="dxa"/>
              <w:right w:w="15" w:type="dxa"/>
            </w:tcMar>
            <w:vAlign w:val="center"/>
          </w:tcPr>
          <w:p w14:paraId="79D7D474">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组合件</w:t>
            </w:r>
          </w:p>
        </w:tc>
        <w:tc>
          <w:tcPr>
            <w:tcW w:w="443" w:type="pct"/>
            <w:tcBorders>
              <w:tl2br w:val="nil"/>
              <w:tr2bl w:val="nil"/>
            </w:tcBorders>
            <w:shd w:val="clear" w:color="auto" w:fill="auto"/>
            <w:tcMar>
              <w:top w:w="15" w:type="dxa"/>
              <w:left w:w="15" w:type="dxa"/>
              <w:bottom w:w="0" w:type="dxa"/>
              <w:right w:w="15" w:type="dxa"/>
            </w:tcMar>
            <w:vAlign w:val="center"/>
          </w:tcPr>
          <w:p w14:paraId="407D4FF4">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175</w:t>
            </w:r>
          </w:p>
        </w:tc>
        <w:tc>
          <w:tcPr>
            <w:tcW w:w="451" w:type="pct"/>
            <w:tcBorders>
              <w:tl2br w:val="nil"/>
              <w:tr2bl w:val="nil"/>
            </w:tcBorders>
            <w:shd w:val="clear" w:color="auto" w:fill="auto"/>
            <w:tcMar>
              <w:top w:w="15" w:type="dxa"/>
              <w:left w:w="15" w:type="dxa"/>
              <w:bottom w:w="0" w:type="dxa"/>
              <w:right w:w="15" w:type="dxa"/>
            </w:tcMar>
            <w:vAlign w:val="center"/>
          </w:tcPr>
          <w:p w14:paraId="2143F7BC">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0.2</w:t>
            </w:r>
          </w:p>
        </w:tc>
        <w:tc>
          <w:tcPr>
            <w:tcW w:w="342" w:type="pct"/>
            <w:tcBorders>
              <w:tl2br w:val="nil"/>
              <w:tr2bl w:val="nil"/>
            </w:tcBorders>
            <w:shd w:val="clear" w:color="auto" w:fill="auto"/>
            <w:tcMar>
              <w:top w:w="15" w:type="dxa"/>
              <w:left w:w="15" w:type="dxa"/>
              <w:bottom w:w="0" w:type="dxa"/>
              <w:right w:w="15" w:type="dxa"/>
            </w:tcMar>
            <w:vAlign w:val="center"/>
          </w:tcPr>
          <w:p w14:paraId="1328DD37">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8</w:t>
            </w:r>
          </w:p>
        </w:tc>
        <w:tc>
          <w:tcPr>
            <w:tcW w:w="378" w:type="pct"/>
            <w:tcBorders>
              <w:tl2br w:val="nil"/>
              <w:tr2bl w:val="nil"/>
            </w:tcBorders>
            <w:shd w:val="clear" w:color="auto" w:fill="auto"/>
            <w:vAlign w:val="center"/>
          </w:tcPr>
          <w:p w14:paraId="018439BA">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利旧</w:t>
            </w:r>
          </w:p>
        </w:tc>
      </w:tr>
      <w:tr w14:paraId="64AD7F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462" w:type="pct"/>
            <w:vMerge w:val="continue"/>
            <w:tcBorders>
              <w:tl2br w:val="nil"/>
              <w:tr2bl w:val="nil"/>
            </w:tcBorders>
            <w:vAlign w:val="center"/>
          </w:tcPr>
          <w:p w14:paraId="0C5A5824">
            <w:pPr>
              <w:pStyle w:val="35"/>
            </w:pPr>
          </w:p>
        </w:tc>
        <w:tc>
          <w:tcPr>
            <w:tcW w:w="346" w:type="pct"/>
            <w:tcBorders>
              <w:tl2br w:val="nil"/>
              <w:tr2bl w:val="nil"/>
            </w:tcBorders>
            <w:shd w:val="clear" w:color="auto" w:fill="auto"/>
            <w:tcMar>
              <w:top w:w="15" w:type="dxa"/>
              <w:left w:w="15" w:type="dxa"/>
              <w:bottom w:w="0" w:type="dxa"/>
              <w:right w:w="15" w:type="dxa"/>
            </w:tcMar>
            <w:vAlign w:val="center"/>
          </w:tcPr>
          <w:p w14:paraId="7D33D8A2">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12</w:t>
            </w:r>
          </w:p>
        </w:tc>
        <w:tc>
          <w:tcPr>
            <w:tcW w:w="816" w:type="pct"/>
            <w:tcBorders>
              <w:tl2br w:val="nil"/>
              <w:tr2bl w:val="nil"/>
            </w:tcBorders>
            <w:shd w:val="clear" w:color="auto" w:fill="auto"/>
            <w:tcMar>
              <w:top w:w="15" w:type="dxa"/>
              <w:left w:w="15" w:type="dxa"/>
              <w:bottom w:w="0" w:type="dxa"/>
              <w:right w:w="15" w:type="dxa"/>
            </w:tcMar>
            <w:vAlign w:val="center"/>
          </w:tcPr>
          <w:p w14:paraId="0EFC1F7C">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1#~8#塔回流泵</w:t>
            </w:r>
          </w:p>
        </w:tc>
        <w:tc>
          <w:tcPr>
            <w:tcW w:w="1218" w:type="pct"/>
            <w:tcBorders>
              <w:tl2br w:val="nil"/>
              <w:tr2bl w:val="nil"/>
            </w:tcBorders>
            <w:shd w:val="clear" w:color="auto" w:fill="auto"/>
            <w:tcMar>
              <w:top w:w="15" w:type="dxa"/>
              <w:left w:w="15" w:type="dxa"/>
              <w:bottom w:w="0" w:type="dxa"/>
              <w:right w:w="15" w:type="dxa"/>
            </w:tcMar>
            <w:vAlign w:val="center"/>
          </w:tcPr>
          <w:p w14:paraId="6F45FD08">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Q=10m</w:t>
            </w:r>
            <w:r>
              <w:rPr>
                <w:rFonts w:hint="default" w:ascii="Times New Roman" w:hAnsi="Times New Roman" w:eastAsia="方正仿宋_GB2312" w:cs="Times New Roman"/>
                <w:color w:val="000000" w:themeColor="text1"/>
                <w:sz w:val="21"/>
                <w:szCs w:val="21"/>
                <w:vertAlign w:val="superscript"/>
                <w:lang w:val="en-US" w:eastAsia="zh-CN"/>
                <w14:textFill>
                  <w14:solidFill>
                    <w14:schemeClr w14:val="tx1"/>
                  </w14:solidFill>
                </w14:textFill>
              </w:rPr>
              <w:t>3</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/h</w:t>
            </w:r>
            <w:r>
              <w:rPr>
                <w:rFonts w:hint="eastAsia" w:eastAsia="方正仿宋_GB2312" w:cs="Times New Roman"/>
                <w:color w:val="000000" w:themeColor="text1"/>
                <w:sz w:val="21"/>
                <w:szCs w:val="21"/>
                <w:lang w:val="en-US" w:eastAsia="zh-CN"/>
                <w14:textFill>
                  <w14:solidFill>
                    <w14:schemeClr w14:val="tx1"/>
                  </w14:solidFill>
                </w14:textFill>
              </w:rPr>
              <w:t>，</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H=20m</w:t>
            </w:r>
            <w:r>
              <w:rPr>
                <w:rFonts w:hint="eastAsia" w:eastAsia="方正仿宋_GB2312" w:cs="Times New Roman"/>
                <w:color w:val="000000" w:themeColor="text1"/>
                <w:sz w:val="21"/>
                <w:szCs w:val="21"/>
                <w:lang w:val="en-US" w:eastAsia="zh-CN"/>
                <w14:textFill>
                  <w14:solidFill>
                    <w14:schemeClr w14:val="tx1"/>
                  </w14:solidFill>
                </w14:textFill>
              </w:rPr>
              <w:t>，</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5kw</w:t>
            </w:r>
          </w:p>
        </w:tc>
        <w:tc>
          <w:tcPr>
            <w:tcW w:w="540" w:type="pct"/>
            <w:tcBorders>
              <w:tl2br w:val="nil"/>
              <w:tr2bl w:val="nil"/>
            </w:tcBorders>
            <w:shd w:val="clear" w:color="auto" w:fill="auto"/>
            <w:tcMar>
              <w:top w:w="15" w:type="dxa"/>
              <w:left w:w="15" w:type="dxa"/>
              <w:bottom w:w="0" w:type="dxa"/>
              <w:right w:w="15" w:type="dxa"/>
            </w:tcMar>
            <w:vAlign w:val="center"/>
          </w:tcPr>
          <w:p w14:paraId="30072BE3">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组合件</w:t>
            </w:r>
          </w:p>
        </w:tc>
        <w:tc>
          <w:tcPr>
            <w:tcW w:w="443" w:type="pct"/>
            <w:tcBorders>
              <w:tl2br w:val="nil"/>
              <w:tr2bl w:val="nil"/>
            </w:tcBorders>
            <w:shd w:val="clear" w:color="auto" w:fill="auto"/>
            <w:tcMar>
              <w:top w:w="15" w:type="dxa"/>
              <w:left w:w="15" w:type="dxa"/>
              <w:bottom w:w="0" w:type="dxa"/>
              <w:right w:w="15" w:type="dxa"/>
            </w:tcMar>
            <w:vAlign w:val="center"/>
          </w:tcPr>
          <w:p w14:paraId="6573A6C0">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常温</w:t>
            </w:r>
          </w:p>
        </w:tc>
        <w:tc>
          <w:tcPr>
            <w:tcW w:w="451" w:type="pct"/>
            <w:tcBorders>
              <w:tl2br w:val="nil"/>
              <w:tr2bl w:val="nil"/>
            </w:tcBorders>
            <w:shd w:val="clear" w:color="auto" w:fill="auto"/>
            <w:tcMar>
              <w:top w:w="15" w:type="dxa"/>
              <w:left w:w="15" w:type="dxa"/>
              <w:bottom w:w="0" w:type="dxa"/>
              <w:right w:w="15" w:type="dxa"/>
            </w:tcMar>
            <w:vAlign w:val="center"/>
          </w:tcPr>
          <w:p w14:paraId="0772B27E">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0.2</w:t>
            </w:r>
          </w:p>
        </w:tc>
        <w:tc>
          <w:tcPr>
            <w:tcW w:w="342" w:type="pct"/>
            <w:tcBorders>
              <w:tl2br w:val="nil"/>
              <w:tr2bl w:val="nil"/>
            </w:tcBorders>
            <w:shd w:val="clear" w:color="auto" w:fill="auto"/>
            <w:tcMar>
              <w:top w:w="15" w:type="dxa"/>
              <w:left w:w="15" w:type="dxa"/>
              <w:bottom w:w="0" w:type="dxa"/>
              <w:right w:w="15" w:type="dxa"/>
            </w:tcMar>
            <w:vAlign w:val="center"/>
          </w:tcPr>
          <w:p w14:paraId="71265CEA">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16</w:t>
            </w:r>
          </w:p>
        </w:tc>
        <w:tc>
          <w:tcPr>
            <w:tcW w:w="378" w:type="pct"/>
            <w:tcBorders>
              <w:tl2br w:val="nil"/>
              <w:tr2bl w:val="nil"/>
            </w:tcBorders>
            <w:shd w:val="clear" w:color="auto" w:fill="auto"/>
            <w:vAlign w:val="center"/>
          </w:tcPr>
          <w:p w14:paraId="6033FBE4">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利旧</w:t>
            </w:r>
          </w:p>
        </w:tc>
      </w:tr>
      <w:tr w14:paraId="2F89D06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462" w:type="pct"/>
            <w:vMerge w:val="continue"/>
            <w:tcBorders>
              <w:tl2br w:val="nil"/>
              <w:tr2bl w:val="nil"/>
            </w:tcBorders>
            <w:vAlign w:val="center"/>
          </w:tcPr>
          <w:p w14:paraId="6B14D154">
            <w:pPr>
              <w:pStyle w:val="35"/>
            </w:pPr>
          </w:p>
        </w:tc>
        <w:tc>
          <w:tcPr>
            <w:tcW w:w="346" w:type="pct"/>
            <w:tcBorders>
              <w:tl2br w:val="nil"/>
              <w:tr2bl w:val="nil"/>
            </w:tcBorders>
            <w:shd w:val="clear" w:color="auto" w:fill="auto"/>
            <w:tcMar>
              <w:top w:w="15" w:type="dxa"/>
              <w:left w:w="15" w:type="dxa"/>
              <w:bottom w:w="0" w:type="dxa"/>
              <w:right w:w="15" w:type="dxa"/>
            </w:tcMar>
            <w:vAlign w:val="center"/>
          </w:tcPr>
          <w:p w14:paraId="4B3093C8">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13</w:t>
            </w:r>
          </w:p>
        </w:tc>
        <w:tc>
          <w:tcPr>
            <w:tcW w:w="816" w:type="pct"/>
            <w:tcBorders>
              <w:tl2br w:val="nil"/>
              <w:tr2bl w:val="nil"/>
            </w:tcBorders>
            <w:shd w:val="clear" w:color="auto" w:fill="auto"/>
            <w:tcMar>
              <w:top w:w="15" w:type="dxa"/>
              <w:left w:w="15" w:type="dxa"/>
              <w:bottom w:w="0" w:type="dxa"/>
              <w:right w:w="15" w:type="dxa"/>
            </w:tcMar>
            <w:vAlign w:val="center"/>
          </w:tcPr>
          <w:p w14:paraId="222B00BC">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1#~8#塔隔膜泵</w:t>
            </w:r>
          </w:p>
        </w:tc>
        <w:tc>
          <w:tcPr>
            <w:tcW w:w="1218" w:type="pct"/>
            <w:tcBorders>
              <w:tl2br w:val="nil"/>
              <w:tr2bl w:val="nil"/>
            </w:tcBorders>
            <w:shd w:val="clear" w:color="auto" w:fill="auto"/>
            <w:tcMar>
              <w:top w:w="15" w:type="dxa"/>
              <w:left w:w="15" w:type="dxa"/>
              <w:bottom w:w="0" w:type="dxa"/>
              <w:right w:w="15" w:type="dxa"/>
            </w:tcMar>
            <w:vAlign w:val="center"/>
          </w:tcPr>
          <w:p w14:paraId="5249058E">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Q=20m</w:t>
            </w:r>
            <w:r>
              <w:rPr>
                <w:rFonts w:hint="default" w:ascii="Times New Roman" w:hAnsi="Times New Roman" w:eastAsia="方正仿宋_GB2312" w:cs="Times New Roman"/>
                <w:color w:val="000000" w:themeColor="text1"/>
                <w:sz w:val="21"/>
                <w:szCs w:val="21"/>
                <w:vertAlign w:val="superscript"/>
                <w:lang w:val="en-US" w:eastAsia="zh-CN"/>
                <w14:textFill>
                  <w14:solidFill>
                    <w14:schemeClr w14:val="tx1"/>
                  </w14:solidFill>
                </w14:textFill>
              </w:rPr>
              <w:t>3</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/h</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H=15m</w:t>
            </w:r>
          </w:p>
        </w:tc>
        <w:tc>
          <w:tcPr>
            <w:tcW w:w="540" w:type="pct"/>
            <w:tcBorders>
              <w:tl2br w:val="nil"/>
              <w:tr2bl w:val="nil"/>
            </w:tcBorders>
            <w:shd w:val="clear" w:color="auto" w:fill="auto"/>
            <w:tcMar>
              <w:top w:w="15" w:type="dxa"/>
              <w:left w:w="15" w:type="dxa"/>
              <w:bottom w:w="0" w:type="dxa"/>
              <w:right w:w="15" w:type="dxa"/>
            </w:tcMar>
            <w:vAlign w:val="center"/>
          </w:tcPr>
          <w:p w14:paraId="5B9B3402">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组合件</w:t>
            </w:r>
          </w:p>
        </w:tc>
        <w:tc>
          <w:tcPr>
            <w:tcW w:w="443" w:type="pct"/>
            <w:tcBorders>
              <w:tl2br w:val="nil"/>
              <w:tr2bl w:val="nil"/>
            </w:tcBorders>
            <w:shd w:val="clear" w:color="auto" w:fill="auto"/>
            <w:tcMar>
              <w:top w:w="15" w:type="dxa"/>
              <w:left w:w="15" w:type="dxa"/>
              <w:bottom w:w="0" w:type="dxa"/>
              <w:right w:w="15" w:type="dxa"/>
            </w:tcMar>
            <w:vAlign w:val="center"/>
          </w:tcPr>
          <w:p w14:paraId="59F058F6">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常温</w:t>
            </w:r>
          </w:p>
        </w:tc>
        <w:tc>
          <w:tcPr>
            <w:tcW w:w="451" w:type="pct"/>
            <w:tcBorders>
              <w:tl2br w:val="nil"/>
              <w:tr2bl w:val="nil"/>
            </w:tcBorders>
            <w:shd w:val="clear" w:color="auto" w:fill="auto"/>
            <w:tcMar>
              <w:top w:w="15" w:type="dxa"/>
              <w:left w:w="15" w:type="dxa"/>
              <w:bottom w:w="0" w:type="dxa"/>
              <w:right w:w="15" w:type="dxa"/>
            </w:tcMar>
            <w:vAlign w:val="center"/>
          </w:tcPr>
          <w:p w14:paraId="24B5A692">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0.15</w:t>
            </w:r>
          </w:p>
        </w:tc>
        <w:tc>
          <w:tcPr>
            <w:tcW w:w="342" w:type="pct"/>
            <w:tcBorders>
              <w:tl2br w:val="nil"/>
              <w:tr2bl w:val="nil"/>
            </w:tcBorders>
            <w:shd w:val="clear" w:color="auto" w:fill="auto"/>
            <w:tcMar>
              <w:top w:w="15" w:type="dxa"/>
              <w:left w:w="15" w:type="dxa"/>
              <w:bottom w:w="0" w:type="dxa"/>
              <w:right w:w="15" w:type="dxa"/>
            </w:tcMar>
            <w:vAlign w:val="center"/>
          </w:tcPr>
          <w:p w14:paraId="742077C0">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8</w:t>
            </w:r>
          </w:p>
        </w:tc>
        <w:tc>
          <w:tcPr>
            <w:tcW w:w="378" w:type="pct"/>
            <w:tcBorders>
              <w:tl2br w:val="nil"/>
              <w:tr2bl w:val="nil"/>
            </w:tcBorders>
            <w:shd w:val="clear" w:color="auto" w:fill="auto"/>
            <w:vAlign w:val="center"/>
          </w:tcPr>
          <w:p w14:paraId="01770133">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利旧</w:t>
            </w:r>
          </w:p>
        </w:tc>
      </w:tr>
      <w:tr w14:paraId="3B8397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462" w:type="pct"/>
            <w:vMerge w:val="continue"/>
            <w:tcBorders>
              <w:tl2br w:val="nil"/>
              <w:tr2bl w:val="nil"/>
            </w:tcBorders>
            <w:vAlign w:val="center"/>
          </w:tcPr>
          <w:p w14:paraId="7EBAEF5B">
            <w:pPr>
              <w:pStyle w:val="35"/>
            </w:pPr>
          </w:p>
        </w:tc>
        <w:tc>
          <w:tcPr>
            <w:tcW w:w="346" w:type="pct"/>
            <w:tcBorders>
              <w:tl2br w:val="nil"/>
              <w:tr2bl w:val="nil"/>
            </w:tcBorders>
            <w:shd w:val="clear" w:color="auto" w:fill="auto"/>
            <w:tcMar>
              <w:top w:w="15" w:type="dxa"/>
              <w:left w:w="15" w:type="dxa"/>
              <w:bottom w:w="0" w:type="dxa"/>
              <w:right w:w="15" w:type="dxa"/>
            </w:tcMar>
            <w:vAlign w:val="center"/>
          </w:tcPr>
          <w:p w14:paraId="73861A60">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14:textFill>
                  <w14:solidFill>
                    <w14:schemeClr w14:val="tx1"/>
                  </w14:solidFill>
                </w14:textFill>
              </w:rPr>
              <w:t>1</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4</w:t>
            </w:r>
          </w:p>
        </w:tc>
        <w:tc>
          <w:tcPr>
            <w:tcW w:w="816" w:type="pct"/>
            <w:tcBorders>
              <w:tl2br w:val="nil"/>
              <w:tr2bl w:val="nil"/>
            </w:tcBorders>
            <w:shd w:val="clear" w:color="auto" w:fill="auto"/>
            <w:tcMar>
              <w:top w:w="15" w:type="dxa"/>
              <w:left w:w="15" w:type="dxa"/>
              <w:bottom w:w="0" w:type="dxa"/>
              <w:right w:w="15" w:type="dxa"/>
            </w:tcMar>
            <w:vAlign w:val="center"/>
          </w:tcPr>
          <w:p w14:paraId="2D31F0C5">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1#~8#塔真空泵组</w:t>
            </w:r>
          </w:p>
        </w:tc>
        <w:tc>
          <w:tcPr>
            <w:tcW w:w="1218" w:type="pct"/>
            <w:tcBorders>
              <w:tl2br w:val="nil"/>
              <w:tr2bl w:val="nil"/>
            </w:tcBorders>
            <w:shd w:val="clear" w:color="auto" w:fill="auto"/>
            <w:tcMar>
              <w:top w:w="15" w:type="dxa"/>
              <w:left w:w="15" w:type="dxa"/>
              <w:bottom w:w="0" w:type="dxa"/>
              <w:right w:w="15" w:type="dxa"/>
            </w:tcMar>
            <w:vAlign w:val="center"/>
          </w:tcPr>
          <w:p w14:paraId="1B8E22F9">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Q=200L/S</w:t>
            </w:r>
            <w:r>
              <w:rPr>
                <w:rFonts w:hint="eastAsia" w:eastAsia="方正仿宋_GB2312" w:cs="Times New Roman"/>
                <w:color w:val="000000" w:themeColor="text1"/>
                <w:sz w:val="21"/>
                <w:szCs w:val="21"/>
                <w:lang w:val="en-US" w:eastAsia="zh-CN"/>
                <w14:textFill>
                  <w14:solidFill>
                    <w14:schemeClr w14:val="tx1"/>
                  </w14:solidFill>
                </w14:textFill>
              </w:rPr>
              <w:t>，</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15kw+4kw</w:t>
            </w:r>
          </w:p>
        </w:tc>
        <w:tc>
          <w:tcPr>
            <w:tcW w:w="540" w:type="pct"/>
            <w:tcBorders>
              <w:tl2br w:val="nil"/>
              <w:tr2bl w:val="nil"/>
            </w:tcBorders>
            <w:shd w:val="clear" w:color="auto" w:fill="auto"/>
            <w:tcMar>
              <w:top w:w="15" w:type="dxa"/>
              <w:left w:w="15" w:type="dxa"/>
              <w:bottom w:w="0" w:type="dxa"/>
              <w:right w:w="15" w:type="dxa"/>
            </w:tcMar>
            <w:vAlign w:val="center"/>
          </w:tcPr>
          <w:p w14:paraId="7C2CB07F">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组合件</w:t>
            </w:r>
          </w:p>
        </w:tc>
        <w:tc>
          <w:tcPr>
            <w:tcW w:w="443" w:type="pct"/>
            <w:tcBorders>
              <w:tl2br w:val="nil"/>
              <w:tr2bl w:val="nil"/>
            </w:tcBorders>
            <w:shd w:val="clear" w:color="auto" w:fill="auto"/>
            <w:tcMar>
              <w:top w:w="15" w:type="dxa"/>
              <w:left w:w="15" w:type="dxa"/>
              <w:bottom w:w="0" w:type="dxa"/>
              <w:right w:w="15" w:type="dxa"/>
            </w:tcMar>
            <w:vAlign w:val="center"/>
          </w:tcPr>
          <w:p w14:paraId="3729859F">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常温</w:t>
            </w:r>
          </w:p>
        </w:tc>
        <w:tc>
          <w:tcPr>
            <w:tcW w:w="451" w:type="pct"/>
            <w:tcBorders>
              <w:tl2br w:val="nil"/>
              <w:tr2bl w:val="nil"/>
            </w:tcBorders>
            <w:shd w:val="clear" w:color="auto" w:fill="auto"/>
            <w:tcMar>
              <w:top w:w="15" w:type="dxa"/>
              <w:left w:w="15" w:type="dxa"/>
              <w:bottom w:w="0" w:type="dxa"/>
              <w:right w:w="15" w:type="dxa"/>
            </w:tcMar>
            <w:vAlign w:val="center"/>
          </w:tcPr>
          <w:p w14:paraId="2AA5A6E6">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-0.095</w:t>
            </w:r>
          </w:p>
        </w:tc>
        <w:tc>
          <w:tcPr>
            <w:tcW w:w="342" w:type="pct"/>
            <w:tcBorders>
              <w:tl2br w:val="nil"/>
              <w:tr2bl w:val="nil"/>
            </w:tcBorders>
            <w:shd w:val="clear" w:color="auto" w:fill="auto"/>
            <w:tcMar>
              <w:top w:w="15" w:type="dxa"/>
              <w:left w:w="15" w:type="dxa"/>
              <w:bottom w:w="0" w:type="dxa"/>
              <w:right w:w="15" w:type="dxa"/>
            </w:tcMar>
            <w:vAlign w:val="center"/>
          </w:tcPr>
          <w:p w14:paraId="1AC0C343">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8</w:t>
            </w:r>
          </w:p>
        </w:tc>
        <w:tc>
          <w:tcPr>
            <w:tcW w:w="378" w:type="pct"/>
            <w:tcBorders>
              <w:tl2br w:val="nil"/>
              <w:tr2bl w:val="nil"/>
            </w:tcBorders>
            <w:shd w:val="clear" w:color="auto" w:fill="auto"/>
            <w:vAlign w:val="center"/>
          </w:tcPr>
          <w:p w14:paraId="10E168B2">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利旧</w:t>
            </w:r>
          </w:p>
        </w:tc>
      </w:tr>
      <w:tr w14:paraId="7B6B57C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462" w:type="pct"/>
            <w:vMerge w:val="continue"/>
            <w:tcBorders>
              <w:tl2br w:val="nil"/>
              <w:tr2bl w:val="nil"/>
            </w:tcBorders>
            <w:vAlign w:val="center"/>
          </w:tcPr>
          <w:p w14:paraId="434AF556">
            <w:pPr>
              <w:pStyle w:val="35"/>
            </w:pPr>
          </w:p>
        </w:tc>
        <w:tc>
          <w:tcPr>
            <w:tcW w:w="346" w:type="pct"/>
            <w:tcBorders>
              <w:tl2br w:val="nil"/>
              <w:tr2bl w:val="nil"/>
            </w:tcBorders>
            <w:shd w:val="clear" w:color="auto" w:fill="auto"/>
            <w:tcMar>
              <w:top w:w="15" w:type="dxa"/>
              <w:left w:w="15" w:type="dxa"/>
              <w:bottom w:w="0" w:type="dxa"/>
              <w:right w:w="15" w:type="dxa"/>
            </w:tcMar>
            <w:vAlign w:val="center"/>
          </w:tcPr>
          <w:p w14:paraId="39DA33B9">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14:textFill>
                  <w14:solidFill>
                    <w14:schemeClr w14:val="tx1"/>
                  </w14:solidFill>
                </w14:textFill>
              </w:rPr>
              <w:t>1</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5</w:t>
            </w:r>
          </w:p>
        </w:tc>
        <w:tc>
          <w:tcPr>
            <w:tcW w:w="816" w:type="pct"/>
            <w:tcBorders>
              <w:tl2br w:val="nil"/>
              <w:tr2bl w:val="nil"/>
            </w:tcBorders>
            <w:shd w:val="clear" w:color="auto" w:fill="auto"/>
            <w:tcMar>
              <w:top w:w="15" w:type="dxa"/>
              <w:left w:w="15" w:type="dxa"/>
              <w:bottom w:w="0" w:type="dxa"/>
              <w:right w:w="15" w:type="dxa"/>
            </w:tcMar>
            <w:vAlign w:val="center"/>
          </w:tcPr>
          <w:p w14:paraId="0CD4222F">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1#~8#塔再沸器</w:t>
            </w:r>
          </w:p>
        </w:tc>
        <w:tc>
          <w:tcPr>
            <w:tcW w:w="1218" w:type="pct"/>
            <w:tcBorders>
              <w:tl2br w:val="nil"/>
              <w:tr2bl w:val="nil"/>
            </w:tcBorders>
            <w:shd w:val="clear" w:color="auto" w:fill="auto"/>
            <w:tcMar>
              <w:top w:w="15" w:type="dxa"/>
              <w:left w:w="15" w:type="dxa"/>
              <w:bottom w:w="0" w:type="dxa"/>
              <w:right w:w="15" w:type="dxa"/>
            </w:tcMar>
            <w:vAlign w:val="center"/>
          </w:tcPr>
          <w:p w14:paraId="44341ED8">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F=25m</w:t>
            </w:r>
            <w:r>
              <w:rPr>
                <w:rFonts w:hint="default" w:ascii="Times New Roman" w:hAnsi="Times New Roman" w:eastAsia="方正仿宋_GB2312" w:cs="Times New Roman"/>
                <w:color w:val="000000" w:themeColor="text1"/>
                <w:sz w:val="21"/>
                <w:szCs w:val="21"/>
                <w:vertAlign w:val="superscript"/>
                <w:lang w:val="en-US" w:eastAsia="zh-CN"/>
                <w14:textFill>
                  <w14:solidFill>
                    <w14:schemeClr w14:val="tx1"/>
                  </w14:solidFill>
                </w14:textFill>
              </w:rPr>
              <w:t>2</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Φ500×2500</w:t>
            </w:r>
          </w:p>
        </w:tc>
        <w:tc>
          <w:tcPr>
            <w:tcW w:w="540" w:type="pct"/>
            <w:tcBorders>
              <w:tl2br w:val="nil"/>
              <w:tr2bl w:val="nil"/>
            </w:tcBorders>
            <w:shd w:val="clear" w:color="auto" w:fill="auto"/>
            <w:tcMar>
              <w:top w:w="15" w:type="dxa"/>
              <w:left w:w="15" w:type="dxa"/>
              <w:bottom w:w="0" w:type="dxa"/>
              <w:right w:w="15" w:type="dxa"/>
            </w:tcMar>
            <w:vAlign w:val="center"/>
          </w:tcPr>
          <w:p w14:paraId="5D2916B9">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S304/Q345R</w:t>
            </w:r>
          </w:p>
        </w:tc>
        <w:tc>
          <w:tcPr>
            <w:tcW w:w="443" w:type="pct"/>
            <w:tcBorders>
              <w:tl2br w:val="nil"/>
              <w:tr2bl w:val="nil"/>
            </w:tcBorders>
            <w:shd w:val="clear" w:color="auto" w:fill="auto"/>
            <w:tcMar>
              <w:top w:w="15" w:type="dxa"/>
              <w:left w:w="15" w:type="dxa"/>
              <w:bottom w:w="0" w:type="dxa"/>
              <w:right w:w="15" w:type="dxa"/>
            </w:tcMar>
            <w:vAlign w:val="center"/>
          </w:tcPr>
          <w:p w14:paraId="6B38A63C">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175</w:t>
            </w:r>
          </w:p>
        </w:tc>
        <w:tc>
          <w:tcPr>
            <w:tcW w:w="451" w:type="pct"/>
            <w:tcBorders>
              <w:tl2br w:val="nil"/>
              <w:tr2bl w:val="nil"/>
            </w:tcBorders>
            <w:shd w:val="clear" w:color="auto" w:fill="auto"/>
            <w:tcMar>
              <w:top w:w="15" w:type="dxa"/>
              <w:left w:w="15" w:type="dxa"/>
              <w:bottom w:w="0" w:type="dxa"/>
              <w:right w:w="15" w:type="dxa"/>
            </w:tcMar>
            <w:vAlign w:val="center"/>
          </w:tcPr>
          <w:p w14:paraId="336B0DDD">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-0.09</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~0.9</w:t>
            </w:r>
          </w:p>
        </w:tc>
        <w:tc>
          <w:tcPr>
            <w:tcW w:w="342" w:type="pct"/>
            <w:tcBorders>
              <w:tl2br w:val="nil"/>
              <w:tr2bl w:val="nil"/>
            </w:tcBorders>
            <w:shd w:val="clear" w:color="auto" w:fill="auto"/>
            <w:tcMar>
              <w:top w:w="15" w:type="dxa"/>
              <w:left w:w="15" w:type="dxa"/>
              <w:bottom w:w="0" w:type="dxa"/>
              <w:right w:w="15" w:type="dxa"/>
            </w:tcMar>
            <w:vAlign w:val="center"/>
          </w:tcPr>
          <w:p w14:paraId="1547947E">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8</w:t>
            </w:r>
          </w:p>
        </w:tc>
        <w:tc>
          <w:tcPr>
            <w:tcW w:w="378" w:type="pct"/>
            <w:tcBorders>
              <w:tl2br w:val="nil"/>
              <w:tr2bl w:val="nil"/>
            </w:tcBorders>
            <w:shd w:val="clear" w:color="auto" w:fill="auto"/>
            <w:vAlign w:val="center"/>
          </w:tcPr>
          <w:p w14:paraId="3D3CFE30">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利旧</w:t>
            </w:r>
          </w:p>
        </w:tc>
      </w:tr>
      <w:tr w14:paraId="248AA6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462" w:type="pct"/>
            <w:vMerge w:val="continue"/>
            <w:tcBorders>
              <w:tl2br w:val="nil"/>
              <w:tr2bl w:val="nil"/>
            </w:tcBorders>
            <w:vAlign w:val="center"/>
          </w:tcPr>
          <w:p w14:paraId="24591A0D">
            <w:pPr>
              <w:pStyle w:val="35"/>
            </w:pPr>
          </w:p>
        </w:tc>
        <w:tc>
          <w:tcPr>
            <w:tcW w:w="346" w:type="pct"/>
            <w:tcBorders>
              <w:tl2br w:val="nil"/>
              <w:tr2bl w:val="nil"/>
            </w:tcBorders>
            <w:shd w:val="clear" w:color="auto" w:fill="auto"/>
            <w:tcMar>
              <w:top w:w="15" w:type="dxa"/>
              <w:left w:w="15" w:type="dxa"/>
              <w:bottom w:w="0" w:type="dxa"/>
              <w:right w:w="15" w:type="dxa"/>
            </w:tcMar>
            <w:vAlign w:val="center"/>
          </w:tcPr>
          <w:p w14:paraId="34B2FC59">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14:textFill>
                  <w14:solidFill>
                    <w14:schemeClr w14:val="tx1"/>
                  </w14:solidFill>
                </w14:textFill>
              </w:rPr>
              <w:t>1</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6</w:t>
            </w:r>
          </w:p>
        </w:tc>
        <w:tc>
          <w:tcPr>
            <w:tcW w:w="816" w:type="pct"/>
            <w:tcBorders>
              <w:tl2br w:val="nil"/>
              <w:tr2bl w:val="nil"/>
            </w:tcBorders>
            <w:shd w:val="clear" w:color="auto" w:fill="auto"/>
            <w:tcMar>
              <w:top w:w="15" w:type="dxa"/>
              <w:left w:w="15" w:type="dxa"/>
              <w:bottom w:w="0" w:type="dxa"/>
              <w:right w:w="15" w:type="dxa"/>
            </w:tcMar>
            <w:vAlign w:val="center"/>
          </w:tcPr>
          <w:p w14:paraId="729574FD">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1#~8#塔一级冷凝器</w:t>
            </w:r>
          </w:p>
        </w:tc>
        <w:tc>
          <w:tcPr>
            <w:tcW w:w="1218" w:type="pct"/>
            <w:tcBorders>
              <w:tl2br w:val="nil"/>
              <w:tr2bl w:val="nil"/>
            </w:tcBorders>
            <w:shd w:val="clear" w:color="auto" w:fill="auto"/>
            <w:tcMar>
              <w:top w:w="15" w:type="dxa"/>
              <w:left w:w="15" w:type="dxa"/>
              <w:bottom w:w="0" w:type="dxa"/>
              <w:right w:w="15" w:type="dxa"/>
            </w:tcMar>
            <w:vAlign w:val="center"/>
          </w:tcPr>
          <w:p w14:paraId="0197BCCF">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F=91m</w:t>
            </w:r>
            <w:r>
              <w:rPr>
                <w:rFonts w:hint="default" w:ascii="Times New Roman" w:hAnsi="Times New Roman" w:eastAsia="方正仿宋_GB2312" w:cs="Times New Roman"/>
                <w:color w:val="000000" w:themeColor="text1"/>
                <w:sz w:val="21"/>
                <w:szCs w:val="21"/>
                <w:vertAlign w:val="superscript"/>
                <w:lang w:val="en-US" w:eastAsia="zh-CN"/>
                <w14:textFill>
                  <w14:solidFill>
                    <w14:schemeClr w14:val="tx1"/>
                  </w14:solidFill>
                </w14:textFill>
              </w:rPr>
              <w:t>2</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Φ900×2500</w:t>
            </w:r>
          </w:p>
        </w:tc>
        <w:tc>
          <w:tcPr>
            <w:tcW w:w="540" w:type="pct"/>
            <w:tcBorders>
              <w:tl2br w:val="nil"/>
              <w:tr2bl w:val="nil"/>
            </w:tcBorders>
            <w:shd w:val="clear" w:color="auto" w:fill="auto"/>
            <w:tcMar>
              <w:top w:w="15" w:type="dxa"/>
              <w:left w:w="15" w:type="dxa"/>
              <w:bottom w:w="0" w:type="dxa"/>
              <w:right w:w="15" w:type="dxa"/>
            </w:tcMar>
            <w:vAlign w:val="center"/>
          </w:tcPr>
          <w:p w14:paraId="494EE035">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S304/Q345R</w:t>
            </w:r>
          </w:p>
        </w:tc>
        <w:tc>
          <w:tcPr>
            <w:tcW w:w="443" w:type="pct"/>
            <w:tcBorders>
              <w:tl2br w:val="nil"/>
              <w:tr2bl w:val="nil"/>
            </w:tcBorders>
            <w:shd w:val="clear" w:color="auto" w:fill="auto"/>
            <w:tcMar>
              <w:top w:w="15" w:type="dxa"/>
              <w:left w:w="15" w:type="dxa"/>
              <w:bottom w:w="0" w:type="dxa"/>
              <w:right w:w="15" w:type="dxa"/>
            </w:tcMar>
            <w:vAlign w:val="center"/>
          </w:tcPr>
          <w:p w14:paraId="7B53073F">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常温</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175</w:t>
            </w:r>
          </w:p>
        </w:tc>
        <w:tc>
          <w:tcPr>
            <w:tcW w:w="451" w:type="pct"/>
            <w:tcBorders>
              <w:tl2br w:val="nil"/>
              <w:tr2bl w:val="nil"/>
            </w:tcBorders>
            <w:shd w:val="clear" w:color="auto" w:fill="auto"/>
            <w:tcMar>
              <w:top w:w="15" w:type="dxa"/>
              <w:left w:w="15" w:type="dxa"/>
              <w:bottom w:w="0" w:type="dxa"/>
              <w:right w:w="15" w:type="dxa"/>
            </w:tcMar>
            <w:vAlign w:val="center"/>
          </w:tcPr>
          <w:p w14:paraId="6E942574">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-0.09</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~0.4</w:t>
            </w:r>
          </w:p>
        </w:tc>
        <w:tc>
          <w:tcPr>
            <w:tcW w:w="342" w:type="pct"/>
            <w:tcBorders>
              <w:tl2br w:val="nil"/>
              <w:tr2bl w:val="nil"/>
            </w:tcBorders>
            <w:shd w:val="clear" w:color="auto" w:fill="auto"/>
            <w:tcMar>
              <w:top w:w="15" w:type="dxa"/>
              <w:left w:w="15" w:type="dxa"/>
              <w:bottom w:w="0" w:type="dxa"/>
              <w:right w:w="15" w:type="dxa"/>
            </w:tcMar>
            <w:vAlign w:val="center"/>
          </w:tcPr>
          <w:p w14:paraId="681AC75B">
            <w:pPr>
              <w:bidi w:val="0"/>
              <w:jc w:val="center"/>
              <w:rPr>
                <w:rFonts w:hint="default" w:ascii="Times New Roman" w:hAnsi="Times New Roman" w:eastAsia="方正仿宋_GB2312" w:cs="Times New Roman"/>
                <w:color w:val="000000" w:themeColor="text1"/>
                <w:kern w:val="2"/>
                <w:sz w:val="21"/>
                <w:szCs w:val="21"/>
                <w:lang w:val="en-US" w:eastAsia="en-US"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8</w:t>
            </w:r>
          </w:p>
        </w:tc>
        <w:tc>
          <w:tcPr>
            <w:tcW w:w="378" w:type="pct"/>
            <w:tcBorders>
              <w:tl2br w:val="nil"/>
              <w:tr2bl w:val="nil"/>
            </w:tcBorders>
            <w:shd w:val="clear" w:color="auto" w:fill="auto"/>
            <w:vAlign w:val="center"/>
          </w:tcPr>
          <w:p w14:paraId="79F69C9C">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利旧</w:t>
            </w:r>
          </w:p>
        </w:tc>
      </w:tr>
      <w:tr w14:paraId="4713AC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462" w:type="pct"/>
            <w:vMerge w:val="continue"/>
            <w:tcBorders>
              <w:tl2br w:val="nil"/>
              <w:tr2bl w:val="nil"/>
            </w:tcBorders>
            <w:vAlign w:val="center"/>
          </w:tcPr>
          <w:p w14:paraId="77DA4C84">
            <w:pPr>
              <w:pStyle w:val="35"/>
            </w:pPr>
          </w:p>
        </w:tc>
        <w:tc>
          <w:tcPr>
            <w:tcW w:w="346" w:type="pct"/>
            <w:tcBorders>
              <w:tl2br w:val="nil"/>
              <w:tr2bl w:val="nil"/>
            </w:tcBorders>
            <w:shd w:val="clear" w:color="auto" w:fill="auto"/>
            <w:tcMar>
              <w:top w:w="15" w:type="dxa"/>
              <w:left w:w="15" w:type="dxa"/>
              <w:bottom w:w="0" w:type="dxa"/>
              <w:right w:w="15" w:type="dxa"/>
            </w:tcMar>
            <w:vAlign w:val="center"/>
          </w:tcPr>
          <w:p w14:paraId="4CCEC85E">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17</w:t>
            </w:r>
          </w:p>
        </w:tc>
        <w:tc>
          <w:tcPr>
            <w:tcW w:w="816" w:type="pct"/>
            <w:tcBorders>
              <w:tl2br w:val="nil"/>
              <w:tr2bl w:val="nil"/>
            </w:tcBorders>
            <w:shd w:val="clear" w:color="auto" w:fill="auto"/>
            <w:tcMar>
              <w:top w:w="15" w:type="dxa"/>
              <w:left w:w="15" w:type="dxa"/>
              <w:bottom w:w="0" w:type="dxa"/>
              <w:right w:w="15" w:type="dxa"/>
            </w:tcMar>
            <w:vAlign w:val="center"/>
          </w:tcPr>
          <w:p w14:paraId="6F68A8B6">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1#~8#塔二级冷凝器</w:t>
            </w:r>
          </w:p>
        </w:tc>
        <w:tc>
          <w:tcPr>
            <w:tcW w:w="1218" w:type="pct"/>
            <w:tcBorders>
              <w:tl2br w:val="nil"/>
              <w:tr2bl w:val="nil"/>
            </w:tcBorders>
            <w:shd w:val="clear" w:color="auto" w:fill="auto"/>
            <w:tcMar>
              <w:top w:w="15" w:type="dxa"/>
              <w:left w:w="15" w:type="dxa"/>
              <w:bottom w:w="0" w:type="dxa"/>
              <w:right w:w="15" w:type="dxa"/>
            </w:tcMar>
            <w:vAlign w:val="center"/>
          </w:tcPr>
          <w:p w14:paraId="2DB0B8F7">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F=91m</w:t>
            </w:r>
            <w:r>
              <w:rPr>
                <w:rFonts w:hint="default" w:ascii="Times New Roman" w:hAnsi="Times New Roman" w:eastAsia="方正仿宋_GB2312" w:cs="Times New Roman"/>
                <w:color w:val="000000" w:themeColor="text1"/>
                <w:sz w:val="21"/>
                <w:szCs w:val="21"/>
                <w:vertAlign w:val="superscript"/>
                <w:lang w:val="en-US" w:eastAsia="zh-CN"/>
                <w14:textFill>
                  <w14:solidFill>
                    <w14:schemeClr w14:val="tx1"/>
                  </w14:solidFill>
                </w14:textFill>
              </w:rPr>
              <w:t>2</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Φ900×2500</w:t>
            </w:r>
          </w:p>
        </w:tc>
        <w:tc>
          <w:tcPr>
            <w:tcW w:w="540" w:type="pct"/>
            <w:tcBorders>
              <w:tl2br w:val="nil"/>
              <w:tr2bl w:val="nil"/>
            </w:tcBorders>
            <w:shd w:val="clear" w:color="auto" w:fill="auto"/>
            <w:tcMar>
              <w:top w:w="15" w:type="dxa"/>
              <w:left w:w="15" w:type="dxa"/>
              <w:bottom w:w="0" w:type="dxa"/>
              <w:right w:w="15" w:type="dxa"/>
            </w:tcMar>
            <w:vAlign w:val="center"/>
          </w:tcPr>
          <w:p w14:paraId="3BDFEE8F">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S304/Q345R</w:t>
            </w:r>
          </w:p>
        </w:tc>
        <w:tc>
          <w:tcPr>
            <w:tcW w:w="443" w:type="pct"/>
            <w:tcBorders>
              <w:tl2br w:val="nil"/>
              <w:tr2bl w:val="nil"/>
            </w:tcBorders>
            <w:shd w:val="clear" w:color="auto" w:fill="auto"/>
            <w:tcMar>
              <w:top w:w="15" w:type="dxa"/>
              <w:left w:w="15" w:type="dxa"/>
              <w:bottom w:w="0" w:type="dxa"/>
              <w:right w:w="15" w:type="dxa"/>
            </w:tcMar>
            <w:vAlign w:val="center"/>
          </w:tcPr>
          <w:p w14:paraId="2F597C0E">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-10</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175</w:t>
            </w:r>
          </w:p>
        </w:tc>
        <w:tc>
          <w:tcPr>
            <w:tcW w:w="451" w:type="pct"/>
            <w:tcBorders>
              <w:tl2br w:val="nil"/>
              <w:tr2bl w:val="nil"/>
            </w:tcBorders>
            <w:shd w:val="clear" w:color="auto" w:fill="auto"/>
            <w:tcMar>
              <w:top w:w="15" w:type="dxa"/>
              <w:left w:w="15" w:type="dxa"/>
              <w:bottom w:w="0" w:type="dxa"/>
              <w:right w:w="15" w:type="dxa"/>
            </w:tcMar>
            <w:vAlign w:val="center"/>
          </w:tcPr>
          <w:p w14:paraId="709FD641">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-0.09</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0.4</w:t>
            </w:r>
          </w:p>
        </w:tc>
        <w:tc>
          <w:tcPr>
            <w:tcW w:w="342" w:type="pct"/>
            <w:tcBorders>
              <w:tl2br w:val="nil"/>
              <w:tr2bl w:val="nil"/>
            </w:tcBorders>
            <w:shd w:val="clear" w:color="auto" w:fill="auto"/>
            <w:tcMar>
              <w:top w:w="15" w:type="dxa"/>
              <w:left w:w="15" w:type="dxa"/>
              <w:bottom w:w="0" w:type="dxa"/>
              <w:right w:w="15" w:type="dxa"/>
            </w:tcMar>
            <w:vAlign w:val="center"/>
          </w:tcPr>
          <w:p w14:paraId="73A18616">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8</w:t>
            </w:r>
          </w:p>
        </w:tc>
        <w:tc>
          <w:tcPr>
            <w:tcW w:w="378" w:type="pct"/>
            <w:tcBorders>
              <w:tl2br w:val="nil"/>
              <w:tr2bl w:val="nil"/>
            </w:tcBorders>
            <w:shd w:val="clear" w:color="auto" w:fill="auto"/>
            <w:vAlign w:val="center"/>
          </w:tcPr>
          <w:p w14:paraId="5F1125A6">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利旧</w:t>
            </w:r>
          </w:p>
        </w:tc>
      </w:tr>
      <w:tr w14:paraId="20EF23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462" w:type="pct"/>
            <w:vMerge w:val="continue"/>
            <w:tcBorders>
              <w:tl2br w:val="nil"/>
              <w:tr2bl w:val="nil"/>
            </w:tcBorders>
            <w:vAlign w:val="center"/>
          </w:tcPr>
          <w:p w14:paraId="49D07201">
            <w:pPr>
              <w:pStyle w:val="35"/>
            </w:pPr>
          </w:p>
        </w:tc>
        <w:tc>
          <w:tcPr>
            <w:tcW w:w="346" w:type="pct"/>
            <w:tcBorders>
              <w:tl2br w:val="nil"/>
              <w:tr2bl w:val="nil"/>
            </w:tcBorders>
            <w:shd w:val="clear" w:color="auto" w:fill="auto"/>
            <w:tcMar>
              <w:top w:w="15" w:type="dxa"/>
              <w:left w:w="15" w:type="dxa"/>
              <w:bottom w:w="0" w:type="dxa"/>
              <w:right w:w="15" w:type="dxa"/>
            </w:tcMar>
            <w:vAlign w:val="center"/>
          </w:tcPr>
          <w:p w14:paraId="0AA54202">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18</w:t>
            </w:r>
          </w:p>
        </w:tc>
        <w:tc>
          <w:tcPr>
            <w:tcW w:w="816" w:type="pct"/>
            <w:tcBorders>
              <w:tl2br w:val="nil"/>
              <w:tr2bl w:val="nil"/>
            </w:tcBorders>
            <w:shd w:val="clear" w:color="auto" w:fill="auto"/>
            <w:tcMar>
              <w:top w:w="15" w:type="dxa"/>
              <w:left w:w="15" w:type="dxa"/>
              <w:bottom w:w="0" w:type="dxa"/>
              <w:right w:w="15" w:type="dxa"/>
            </w:tcMar>
            <w:vAlign w:val="center"/>
          </w:tcPr>
          <w:p w14:paraId="32656BDB">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3#~8#塔重组分冷凝器</w:t>
            </w:r>
          </w:p>
        </w:tc>
        <w:tc>
          <w:tcPr>
            <w:tcW w:w="1218" w:type="pct"/>
            <w:tcBorders>
              <w:tl2br w:val="nil"/>
              <w:tr2bl w:val="nil"/>
            </w:tcBorders>
            <w:shd w:val="clear" w:color="auto" w:fill="auto"/>
            <w:tcMar>
              <w:top w:w="15" w:type="dxa"/>
              <w:left w:w="15" w:type="dxa"/>
              <w:bottom w:w="0" w:type="dxa"/>
              <w:right w:w="15" w:type="dxa"/>
            </w:tcMar>
            <w:vAlign w:val="center"/>
          </w:tcPr>
          <w:p w14:paraId="56A5B247">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F=50m</w:t>
            </w:r>
            <w:r>
              <w:rPr>
                <w:rFonts w:hint="default" w:ascii="Times New Roman" w:hAnsi="Times New Roman" w:eastAsia="方正仿宋_GB2312" w:cs="Times New Roman"/>
                <w:color w:val="000000" w:themeColor="text1"/>
                <w:sz w:val="21"/>
                <w:szCs w:val="21"/>
                <w:vertAlign w:val="superscript"/>
                <w:lang w:val="en-US" w:eastAsia="zh-CN"/>
                <w14:textFill>
                  <w14:solidFill>
                    <w14:schemeClr w14:val="tx1"/>
                  </w14:solidFill>
                </w14:textFill>
              </w:rPr>
              <w:t>2</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Φ600×2500</w:t>
            </w:r>
          </w:p>
        </w:tc>
        <w:tc>
          <w:tcPr>
            <w:tcW w:w="540" w:type="pct"/>
            <w:tcBorders>
              <w:tl2br w:val="nil"/>
              <w:tr2bl w:val="nil"/>
            </w:tcBorders>
            <w:shd w:val="clear" w:color="auto" w:fill="auto"/>
            <w:tcMar>
              <w:top w:w="15" w:type="dxa"/>
              <w:left w:w="15" w:type="dxa"/>
              <w:bottom w:w="0" w:type="dxa"/>
              <w:right w:w="15" w:type="dxa"/>
            </w:tcMar>
            <w:vAlign w:val="center"/>
          </w:tcPr>
          <w:p w14:paraId="5F7BF9D7">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S304/Q345R</w:t>
            </w:r>
          </w:p>
        </w:tc>
        <w:tc>
          <w:tcPr>
            <w:tcW w:w="443" w:type="pct"/>
            <w:tcBorders>
              <w:tl2br w:val="nil"/>
              <w:tr2bl w:val="nil"/>
            </w:tcBorders>
            <w:shd w:val="clear" w:color="auto" w:fill="auto"/>
            <w:tcMar>
              <w:top w:w="15" w:type="dxa"/>
              <w:left w:w="15" w:type="dxa"/>
              <w:bottom w:w="0" w:type="dxa"/>
              <w:right w:w="15" w:type="dxa"/>
            </w:tcMar>
            <w:vAlign w:val="center"/>
          </w:tcPr>
          <w:p w14:paraId="13A4AC0E">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-10</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175</w:t>
            </w:r>
          </w:p>
        </w:tc>
        <w:tc>
          <w:tcPr>
            <w:tcW w:w="451" w:type="pct"/>
            <w:tcBorders>
              <w:tl2br w:val="nil"/>
              <w:tr2bl w:val="nil"/>
            </w:tcBorders>
            <w:shd w:val="clear" w:color="auto" w:fill="auto"/>
            <w:tcMar>
              <w:top w:w="15" w:type="dxa"/>
              <w:left w:w="15" w:type="dxa"/>
              <w:bottom w:w="0" w:type="dxa"/>
              <w:right w:w="15" w:type="dxa"/>
            </w:tcMar>
            <w:vAlign w:val="center"/>
          </w:tcPr>
          <w:p w14:paraId="3E571861">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-0.09</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0.4</w:t>
            </w:r>
          </w:p>
        </w:tc>
        <w:tc>
          <w:tcPr>
            <w:tcW w:w="342" w:type="pct"/>
            <w:tcBorders>
              <w:tl2br w:val="nil"/>
              <w:tr2bl w:val="nil"/>
            </w:tcBorders>
            <w:shd w:val="clear" w:color="auto" w:fill="auto"/>
            <w:tcMar>
              <w:top w:w="15" w:type="dxa"/>
              <w:left w:w="15" w:type="dxa"/>
              <w:bottom w:w="0" w:type="dxa"/>
              <w:right w:w="15" w:type="dxa"/>
            </w:tcMar>
            <w:vAlign w:val="center"/>
          </w:tcPr>
          <w:p w14:paraId="0B09BD09">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6</w:t>
            </w:r>
          </w:p>
        </w:tc>
        <w:tc>
          <w:tcPr>
            <w:tcW w:w="378" w:type="pct"/>
            <w:tcBorders>
              <w:tl2br w:val="nil"/>
              <w:tr2bl w:val="nil"/>
            </w:tcBorders>
            <w:shd w:val="clear" w:color="auto" w:fill="auto"/>
            <w:vAlign w:val="center"/>
          </w:tcPr>
          <w:p w14:paraId="7378D308">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利旧</w:t>
            </w:r>
          </w:p>
        </w:tc>
      </w:tr>
      <w:tr w14:paraId="6BD4ED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462" w:type="pct"/>
            <w:vMerge w:val="continue"/>
            <w:tcBorders>
              <w:tl2br w:val="nil"/>
              <w:tr2bl w:val="nil"/>
            </w:tcBorders>
            <w:vAlign w:val="center"/>
          </w:tcPr>
          <w:p w14:paraId="6E38BE08">
            <w:pPr>
              <w:widowControl/>
              <w:jc w:val="center"/>
              <w:rPr>
                <w:rFonts w:eastAsia="仿宋_GB2312"/>
                <w:color w:val="FF0000"/>
                <w:kern w:val="0"/>
                <w:szCs w:val="20"/>
              </w:rPr>
            </w:pPr>
          </w:p>
        </w:tc>
        <w:tc>
          <w:tcPr>
            <w:tcW w:w="346" w:type="pct"/>
            <w:tcBorders>
              <w:tl2br w:val="nil"/>
              <w:tr2bl w:val="nil"/>
            </w:tcBorders>
            <w:shd w:val="clear" w:color="auto" w:fill="auto"/>
            <w:tcMar>
              <w:top w:w="15" w:type="dxa"/>
              <w:left w:w="15" w:type="dxa"/>
              <w:bottom w:w="0" w:type="dxa"/>
              <w:right w:w="15" w:type="dxa"/>
            </w:tcMar>
            <w:vAlign w:val="center"/>
          </w:tcPr>
          <w:p w14:paraId="2E9EDC50">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19</w:t>
            </w:r>
          </w:p>
        </w:tc>
        <w:tc>
          <w:tcPr>
            <w:tcW w:w="816" w:type="pct"/>
            <w:tcBorders>
              <w:tl2br w:val="nil"/>
              <w:tr2bl w:val="nil"/>
            </w:tcBorders>
            <w:shd w:val="clear" w:color="auto" w:fill="auto"/>
            <w:tcMar>
              <w:top w:w="15" w:type="dxa"/>
              <w:left w:w="15" w:type="dxa"/>
              <w:bottom w:w="0" w:type="dxa"/>
              <w:right w:w="15" w:type="dxa"/>
            </w:tcMar>
            <w:vAlign w:val="center"/>
          </w:tcPr>
          <w:p w14:paraId="72CC108A">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3#~8#薄膜蒸发器</w:t>
            </w:r>
          </w:p>
        </w:tc>
        <w:tc>
          <w:tcPr>
            <w:tcW w:w="1218" w:type="pct"/>
            <w:tcBorders>
              <w:tl2br w:val="nil"/>
              <w:tr2bl w:val="nil"/>
            </w:tcBorders>
            <w:shd w:val="clear" w:color="auto" w:fill="auto"/>
            <w:tcMar>
              <w:top w:w="15" w:type="dxa"/>
              <w:left w:w="15" w:type="dxa"/>
              <w:bottom w:w="0" w:type="dxa"/>
              <w:right w:w="15" w:type="dxa"/>
            </w:tcMar>
            <w:vAlign w:val="center"/>
          </w:tcPr>
          <w:p w14:paraId="77506B89">
            <w:pPr>
              <w:bidi w:val="0"/>
              <w:jc w:val="cente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F=3m</w:t>
            </w:r>
            <w:r>
              <w:rPr>
                <w:rFonts w:hint="default" w:ascii="Times New Roman" w:hAnsi="Times New Roman" w:eastAsia="方正仿宋_GB2312" w:cs="Times New Roman"/>
                <w:color w:val="000000" w:themeColor="text1"/>
                <w:sz w:val="21"/>
                <w:szCs w:val="21"/>
                <w:vertAlign w:val="superscript"/>
                <w:lang w:val="en-US" w:eastAsia="zh-CN"/>
                <w14:textFill>
                  <w14:solidFill>
                    <w14:schemeClr w14:val="tx1"/>
                  </w14:solidFill>
                </w14:textFill>
              </w:rPr>
              <w:t>3</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Φ1200×3000</w:t>
            </w:r>
          </w:p>
          <w:p w14:paraId="6AA53592">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15kw</w:t>
            </w:r>
          </w:p>
        </w:tc>
        <w:tc>
          <w:tcPr>
            <w:tcW w:w="540" w:type="pct"/>
            <w:tcBorders>
              <w:tl2br w:val="nil"/>
              <w:tr2bl w:val="nil"/>
            </w:tcBorders>
            <w:shd w:val="clear" w:color="auto" w:fill="auto"/>
            <w:tcMar>
              <w:top w:w="15" w:type="dxa"/>
              <w:left w:w="15" w:type="dxa"/>
              <w:bottom w:w="0" w:type="dxa"/>
              <w:right w:w="15" w:type="dxa"/>
            </w:tcMar>
            <w:vAlign w:val="center"/>
          </w:tcPr>
          <w:p w14:paraId="2DFAA44E">
            <w:pPr>
              <w:bidi w:val="0"/>
              <w:jc w:val="cente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S304/</w:t>
            </w:r>
          </w:p>
          <w:p w14:paraId="3913A3D2">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Q345R</w:t>
            </w:r>
          </w:p>
        </w:tc>
        <w:tc>
          <w:tcPr>
            <w:tcW w:w="443" w:type="pct"/>
            <w:tcBorders>
              <w:tl2br w:val="nil"/>
              <w:tr2bl w:val="nil"/>
            </w:tcBorders>
            <w:shd w:val="clear" w:color="auto" w:fill="auto"/>
            <w:tcMar>
              <w:top w:w="15" w:type="dxa"/>
              <w:left w:w="15" w:type="dxa"/>
              <w:bottom w:w="0" w:type="dxa"/>
              <w:right w:w="15" w:type="dxa"/>
            </w:tcMar>
            <w:vAlign w:val="center"/>
          </w:tcPr>
          <w:p w14:paraId="12CB0410">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175</w:t>
            </w:r>
          </w:p>
        </w:tc>
        <w:tc>
          <w:tcPr>
            <w:tcW w:w="451" w:type="pct"/>
            <w:tcBorders>
              <w:tl2br w:val="nil"/>
              <w:tr2bl w:val="nil"/>
            </w:tcBorders>
            <w:shd w:val="clear" w:color="auto" w:fill="auto"/>
            <w:tcMar>
              <w:top w:w="15" w:type="dxa"/>
              <w:left w:w="15" w:type="dxa"/>
              <w:bottom w:w="0" w:type="dxa"/>
              <w:right w:w="15" w:type="dxa"/>
            </w:tcMar>
            <w:vAlign w:val="center"/>
          </w:tcPr>
          <w:p w14:paraId="6B8A76C8">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-0.09</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0.9</w:t>
            </w:r>
          </w:p>
        </w:tc>
        <w:tc>
          <w:tcPr>
            <w:tcW w:w="342" w:type="pct"/>
            <w:tcBorders>
              <w:tl2br w:val="nil"/>
              <w:tr2bl w:val="nil"/>
            </w:tcBorders>
            <w:shd w:val="clear" w:color="auto" w:fill="auto"/>
            <w:tcMar>
              <w:top w:w="15" w:type="dxa"/>
              <w:left w:w="15" w:type="dxa"/>
              <w:bottom w:w="0" w:type="dxa"/>
              <w:right w:w="15" w:type="dxa"/>
            </w:tcMar>
            <w:vAlign w:val="center"/>
          </w:tcPr>
          <w:p w14:paraId="6792E1E1">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6</w:t>
            </w:r>
          </w:p>
        </w:tc>
        <w:tc>
          <w:tcPr>
            <w:tcW w:w="378" w:type="pct"/>
            <w:tcBorders>
              <w:tl2br w:val="nil"/>
              <w:tr2bl w:val="nil"/>
            </w:tcBorders>
            <w:shd w:val="clear" w:color="auto" w:fill="auto"/>
            <w:vAlign w:val="center"/>
          </w:tcPr>
          <w:p w14:paraId="009CA889">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利旧</w:t>
            </w:r>
          </w:p>
        </w:tc>
      </w:tr>
      <w:tr w14:paraId="33F37C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462" w:type="pct"/>
            <w:vMerge w:val="continue"/>
            <w:tcBorders>
              <w:tl2br w:val="nil"/>
              <w:tr2bl w:val="nil"/>
            </w:tcBorders>
            <w:vAlign w:val="center"/>
          </w:tcPr>
          <w:p w14:paraId="1C469512">
            <w:pPr>
              <w:widowControl/>
              <w:jc w:val="center"/>
              <w:rPr>
                <w:rFonts w:eastAsia="仿宋_GB2312"/>
                <w:color w:val="FF0000"/>
                <w:kern w:val="0"/>
                <w:szCs w:val="20"/>
              </w:rPr>
            </w:pPr>
          </w:p>
        </w:tc>
        <w:tc>
          <w:tcPr>
            <w:tcW w:w="346" w:type="pct"/>
            <w:tcBorders>
              <w:tl2br w:val="nil"/>
              <w:tr2bl w:val="nil"/>
            </w:tcBorders>
            <w:shd w:val="clear" w:color="auto" w:fill="auto"/>
            <w:tcMar>
              <w:top w:w="15" w:type="dxa"/>
              <w:left w:w="15" w:type="dxa"/>
              <w:bottom w:w="0" w:type="dxa"/>
              <w:right w:w="15" w:type="dxa"/>
            </w:tcMar>
            <w:vAlign w:val="center"/>
          </w:tcPr>
          <w:p w14:paraId="491C4818">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20</w:t>
            </w:r>
          </w:p>
        </w:tc>
        <w:tc>
          <w:tcPr>
            <w:tcW w:w="816" w:type="pct"/>
            <w:tcBorders>
              <w:tl2br w:val="nil"/>
              <w:tr2bl w:val="nil"/>
            </w:tcBorders>
            <w:shd w:val="clear" w:color="auto" w:fill="auto"/>
            <w:tcMar>
              <w:top w:w="15" w:type="dxa"/>
              <w:left w:w="15" w:type="dxa"/>
              <w:bottom w:w="0" w:type="dxa"/>
              <w:right w:w="15" w:type="dxa"/>
            </w:tcMar>
            <w:vAlign w:val="center"/>
          </w:tcPr>
          <w:p w14:paraId="79529B18">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中间罐</w:t>
            </w:r>
          </w:p>
        </w:tc>
        <w:tc>
          <w:tcPr>
            <w:tcW w:w="1218" w:type="pct"/>
            <w:tcBorders>
              <w:tl2br w:val="nil"/>
              <w:tr2bl w:val="nil"/>
            </w:tcBorders>
            <w:shd w:val="clear" w:color="auto" w:fill="auto"/>
            <w:tcMar>
              <w:top w:w="15" w:type="dxa"/>
              <w:left w:w="15" w:type="dxa"/>
              <w:bottom w:w="0" w:type="dxa"/>
              <w:right w:w="15" w:type="dxa"/>
            </w:tcMar>
            <w:vAlign w:val="center"/>
          </w:tcPr>
          <w:p w14:paraId="67870918">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V=20m</w:t>
            </w:r>
            <w:r>
              <w:rPr>
                <w:rFonts w:hint="default" w:ascii="Times New Roman" w:hAnsi="Times New Roman" w:eastAsia="方正仿宋_GB2312" w:cs="Times New Roman"/>
                <w:color w:val="000000" w:themeColor="text1"/>
                <w:sz w:val="21"/>
                <w:szCs w:val="21"/>
                <w:vertAlign w:val="superscript"/>
                <w:lang w:val="en-US" w:eastAsia="zh-CN"/>
                <w14:textFill>
                  <w14:solidFill>
                    <w14:schemeClr w14:val="tx1"/>
                  </w14:solidFill>
                </w14:textFill>
              </w:rPr>
              <w:t>3</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Φ2600×5000</w:t>
            </w:r>
          </w:p>
        </w:tc>
        <w:tc>
          <w:tcPr>
            <w:tcW w:w="540" w:type="pct"/>
            <w:tcBorders>
              <w:tl2br w:val="nil"/>
              <w:tr2bl w:val="nil"/>
            </w:tcBorders>
            <w:shd w:val="clear" w:color="auto" w:fill="auto"/>
            <w:tcMar>
              <w:top w:w="15" w:type="dxa"/>
              <w:left w:w="15" w:type="dxa"/>
              <w:bottom w:w="0" w:type="dxa"/>
              <w:right w:w="15" w:type="dxa"/>
            </w:tcMar>
            <w:vAlign w:val="center"/>
          </w:tcPr>
          <w:p w14:paraId="5AA05F9D">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S304</w:t>
            </w:r>
          </w:p>
        </w:tc>
        <w:tc>
          <w:tcPr>
            <w:tcW w:w="443" w:type="pct"/>
            <w:tcBorders>
              <w:tl2br w:val="nil"/>
              <w:tr2bl w:val="nil"/>
            </w:tcBorders>
            <w:shd w:val="clear" w:color="auto" w:fill="auto"/>
            <w:tcMar>
              <w:top w:w="15" w:type="dxa"/>
              <w:left w:w="15" w:type="dxa"/>
              <w:bottom w:w="0" w:type="dxa"/>
              <w:right w:w="15" w:type="dxa"/>
            </w:tcMar>
            <w:vAlign w:val="center"/>
          </w:tcPr>
          <w:p w14:paraId="41EB1471">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常温</w:t>
            </w:r>
          </w:p>
        </w:tc>
        <w:tc>
          <w:tcPr>
            <w:tcW w:w="451" w:type="pct"/>
            <w:tcBorders>
              <w:tl2br w:val="nil"/>
              <w:tr2bl w:val="nil"/>
            </w:tcBorders>
            <w:shd w:val="clear" w:color="auto" w:fill="auto"/>
            <w:tcMar>
              <w:top w:w="15" w:type="dxa"/>
              <w:left w:w="15" w:type="dxa"/>
              <w:bottom w:w="0" w:type="dxa"/>
              <w:right w:w="15" w:type="dxa"/>
            </w:tcMar>
            <w:vAlign w:val="center"/>
          </w:tcPr>
          <w:p w14:paraId="64261562">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常压</w:t>
            </w:r>
          </w:p>
        </w:tc>
        <w:tc>
          <w:tcPr>
            <w:tcW w:w="342" w:type="pct"/>
            <w:tcBorders>
              <w:tl2br w:val="nil"/>
              <w:tr2bl w:val="nil"/>
            </w:tcBorders>
            <w:shd w:val="clear" w:color="auto" w:fill="auto"/>
            <w:tcMar>
              <w:top w:w="15" w:type="dxa"/>
              <w:left w:w="15" w:type="dxa"/>
              <w:bottom w:w="0" w:type="dxa"/>
              <w:right w:w="15" w:type="dxa"/>
            </w:tcMar>
            <w:vAlign w:val="center"/>
          </w:tcPr>
          <w:p w14:paraId="71B72CF0">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10</w:t>
            </w:r>
          </w:p>
        </w:tc>
        <w:tc>
          <w:tcPr>
            <w:tcW w:w="378" w:type="pct"/>
            <w:tcBorders>
              <w:tl2br w:val="nil"/>
              <w:tr2bl w:val="nil"/>
            </w:tcBorders>
            <w:shd w:val="clear" w:color="auto" w:fill="auto"/>
            <w:vAlign w:val="center"/>
          </w:tcPr>
          <w:p w14:paraId="38C03EBC">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利旧</w:t>
            </w:r>
          </w:p>
        </w:tc>
      </w:tr>
      <w:tr w14:paraId="004C67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462" w:type="pct"/>
            <w:vMerge w:val="continue"/>
            <w:tcBorders>
              <w:tl2br w:val="nil"/>
              <w:tr2bl w:val="nil"/>
            </w:tcBorders>
            <w:vAlign w:val="center"/>
          </w:tcPr>
          <w:p w14:paraId="5AE7E19F">
            <w:pPr>
              <w:widowControl/>
              <w:jc w:val="center"/>
              <w:rPr>
                <w:rFonts w:eastAsia="仿宋_GB2312"/>
                <w:color w:val="FF0000"/>
                <w:kern w:val="0"/>
                <w:szCs w:val="20"/>
              </w:rPr>
            </w:pPr>
          </w:p>
        </w:tc>
        <w:tc>
          <w:tcPr>
            <w:tcW w:w="346" w:type="pct"/>
            <w:tcBorders>
              <w:tl2br w:val="nil"/>
              <w:tr2bl w:val="nil"/>
            </w:tcBorders>
            <w:shd w:val="clear" w:color="auto" w:fill="auto"/>
            <w:tcMar>
              <w:top w:w="15" w:type="dxa"/>
              <w:left w:w="15" w:type="dxa"/>
              <w:bottom w:w="0" w:type="dxa"/>
              <w:right w:w="15" w:type="dxa"/>
            </w:tcMar>
            <w:vAlign w:val="center"/>
          </w:tcPr>
          <w:p w14:paraId="63D65619">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2</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1</w:t>
            </w:r>
          </w:p>
        </w:tc>
        <w:tc>
          <w:tcPr>
            <w:tcW w:w="816" w:type="pct"/>
            <w:tcBorders>
              <w:tl2br w:val="nil"/>
              <w:tr2bl w:val="nil"/>
            </w:tcBorders>
            <w:shd w:val="clear" w:color="auto" w:fill="auto"/>
            <w:tcMar>
              <w:top w:w="15" w:type="dxa"/>
              <w:left w:w="15" w:type="dxa"/>
              <w:bottom w:w="0" w:type="dxa"/>
              <w:right w:w="15" w:type="dxa"/>
            </w:tcMar>
            <w:vAlign w:val="center"/>
          </w:tcPr>
          <w:p w14:paraId="6FADF7A1">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输送泵</w:t>
            </w:r>
          </w:p>
        </w:tc>
        <w:tc>
          <w:tcPr>
            <w:tcW w:w="1218" w:type="pct"/>
            <w:tcBorders>
              <w:tl2br w:val="nil"/>
              <w:tr2bl w:val="nil"/>
            </w:tcBorders>
            <w:shd w:val="clear" w:color="auto" w:fill="auto"/>
            <w:tcMar>
              <w:top w:w="15" w:type="dxa"/>
              <w:left w:w="15" w:type="dxa"/>
              <w:bottom w:w="0" w:type="dxa"/>
              <w:right w:w="15" w:type="dxa"/>
            </w:tcMar>
            <w:vAlign w:val="center"/>
          </w:tcPr>
          <w:p w14:paraId="2BF733B3">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Q=10m</w:t>
            </w:r>
            <w:r>
              <w:rPr>
                <w:rFonts w:hint="default" w:ascii="Times New Roman" w:hAnsi="Times New Roman" w:eastAsia="方正仿宋_GB2312" w:cs="Times New Roman"/>
                <w:color w:val="000000" w:themeColor="text1"/>
                <w:sz w:val="21"/>
                <w:szCs w:val="21"/>
                <w:vertAlign w:val="superscript"/>
                <w:lang w:val="en-US" w:eastAsia="zh-CN"/>
                <w14:textFill>
                  <w14:solidFill>
                    <w14:schemeClr w14:val="tx1"/>
                  </w14:solidFill>
                </w14:textFill>
              </w:rPr>
              <w:t>3</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/h</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H=20m</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5kw</w:t>
            </w:r>
          </w:p>
        </w:tc>
        <w:tc>
          <w:tcPr>
            <w:tcW w:w="540" w:type="pct"/>
            <w:tcBorders>
              <w:tl2br w:val="nil"/>
              <w:tr2bl w:val="nil"/>
            </w:tcBorders>
            <w:shd w:val="clear" w:color="auto" w:fill="auto"/>
            <w:tcMar>
              <w:top w:w="15" w:type="dxa"/>
              <w:left w:w="15" w:type="dxa"/>
              <w:bottom w:w="0" w:type="dxa"/>
              <w:right w:w="15" w:type="dxa"/>
            </w:tcMar>
            <w:vAlign w:val="center"/>
          </w:tcPr>
          <w:p w14:paraId="7C6B736B">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组合件</w:t>
            </w:r>
          </w:p>
        </w:tc>
        <w:tc>
          <w:tcPr>
            <w:tcW w:w="443" w:type="pct"/>
            <w:tcBorders>
              <w:tl2br w:val="nil"/>
              <w:tr2bl w:val="nil"/>
            </w:tcBorders>
            <w:shd w:val="clear" w:color="auto" w:fill="auto"/>
            <w:tcMar>
              <w:top w:w="15" w:type="dxa"/>
              <w:left w:w="15" w:type="dxa"/>
              <w:bottom w:w="0" w:type="dxa"/>
              <w:right w:w="15" w:type="dxa"/>
            </w:tcMar>
            <w:vAlign w:val="center"/>
          </w:tcPr>
          <w:p w14:paraId="413286B3">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常温</w:t>
            </w:r>
          </w:p>
        </w:tc>
        <w:tc>
          <w:tcPr>
            <w:tcW w:w="451" w:type="pct"/>
            <w:tcBorders>
              <w:tl2br w:val="nil"/>
              <w:tr2bl w:val="nil"/>
            </w:tcBorders>
            <w:shd w:val="clear" w:color="auto" w:fill="auto"/>
            <w:tcMar>
              <w:top w:w="15" w:type="dxa"/>
              <w:left w:w="15" w:type="dxa"/>
              <w:bottom w:w="0" w:type="dxa"/>
              <w:right w:w="15" w:type="dxa"/>
            </w:tcMar>
            <w:vAlign w:val="center"/>
          </w:tcPr>
          <w:p w14:paraId="1355EAAD">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0.2</w:t>
            </w:r>
          </w:p>
        </w:tc>
        <w:tc>
          <w:tcPr>
            <w:tcW w:w="342" w:type="pct"/>
            <w:tcBorders>
              <w:tl2br w:val="nil"/>
              <w:tr2bl w:val="nil"/>
            </w:tcBorders>
            <w:shd w:val="clear" w:color="auto" w:fill="auto"/>
            <w:tcMar>
              <w:top w:w="15" w:type="dxa"/>
              <w:left w:w="15" w:type="dxa"/>
              <w:bottom w:w="0" w:type="dxa"/>
              <w:right w:w="15" w:type="dxa"/>
            </w:tcMar>
            <w:vAlign w:val="center"/>
          </w:tcPr>
          <w:p w14:paraId="11CBD8BF">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16</w:t>
            </w:r>
          </w:p>
        </w:tc>
        <w:tc>
          <w:tcPr>
            <w:tcW w:w="378" w:type="pct"/>
            <w:tcBorders>
              <w:tl2br w:val="nil"/>
              <w:tr2bl w:val="nil"/>
            </w:tcBorders>
            <w:shd w:val="clear" w:color="auto" w:fill="auto"/>
            <w:vAlign w:val="center"/>
          </w:tcPr>
          <w:p w14:paraId="73048668">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利旧</w:t>
            </w:r>
          </w:p>
        </w:tc>
      </w:tr>
      <w:tr w14:paraId="7C4794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462" w:type="pct"/>
            <w:vMerge w:val="restart"/>
            <w:tcBorders>
              <w:tl2br w:val="nil"/>
              <w:tr2bl w:val="nil"/>
            </w:tcBorders>
            <w:vAlign w:val="center"/>
          </w:tcPr>
          <w:p w14:paraId="11658DA5">
            <w:pPr>
              <w:widowControl/>
              <w:jc w:val="center"/>
              <w:rPr>
                <w:rFonts w:hint="eastAsia" w:eastAsia="仿宋_GB2312"/>
                <w:color w:val="FF0000"/>
                <w:kern w:val="0"/>
                <w:szCs w:val="20"/>
                <w:lang w:eastAsia="zh-CN"/>
              </w:rPr>
            </w:pPr>
            <w:r>
              <w:rPr>
                <w:rFonts w:eastAsia="仿宋_GB2312"/>
                <w:color w:val="auto"/>
                <w:kern w:val="0"/>
                <w:szCs w:val="20"/>
              </w:rPr>
              <w:t>膜处理+</w:t>
            </w:r>
            <w:r>
              <w:rPr>
                <w:rFonts w:hint="eastAsia" w:eastAsia="仿宋_GB2312"/>
                <w:color w:val="auto"/>
                <w:kern w:val="0"/>
                <w:szCs w:val="20"/>
                <w:lang w:val="en-US" w:eastAsia="zh-CN"/>
              </w:rPr>
              <w:t>连续</w:t>
            </w:r>
            <w:r>
              <w:rPr>
                <w:rFonts w:eastAsia="仿宋_GB2312"/>
                <w:color w:val="auto"/>
                <w:kern w:val="0"/>
                <w:szCs w:val="20"/>
              </w:rPr>
              <w:t>精馏</w:t>
            </w:r>
            <w:r>
              <w:rPr>
                <w:rFonts w:hint="eastAsia" w:eastAsia="仿宋_GB2312"/>
                <w:color w:val="auto"/>
                <w:kern w:val="0"/>
                <w:szCs w:val="20"/>
                <w:lang w:val="en-US" w:eastAsia="zh-CN"/>
              </w:rPr>
              <w:t>系统</w:t>
            </w:r>
          </w:p>
        </w:tc>
        <w:tc>
          <w:tcPr>
            <w:tcW w:w="346" w:type="pct"/>
            <w:tcBorders>
              <w:tl2br w:val="nil"/>
              <w:tr2bl w:val="nil"/>
            </w:tcBorders>
            <w:shd w:val="clear" w:color="auto" w:fill="auto"/>
            <w:tcMar>
              <w:top w:w="15" w:type="dxa"/>
              <w:left w:w="15" w:type="dxa"/>
              <w:bottom w:w="0" w:type="dxa"/>
              <w:right w:w="15" w:type="dxa"/>
            </w:tcMar>
            <w:vAlign w:val="center"/>
          </w:tcPr>
          <w:p w14:paraId="64789521">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w:t>
            </w:r>
          </w:p>
        </w:tc>
        <w:tc>
          <w:tcPr>
            <w:tcW w:w="816" w:type="pct"/>
            <w:tcBorders>
              <w:tl2br w:val="nil"/>
              <w:tr2bl w:val="nil"/>
            </w:tcBorders>
            <w:shd w:val="clear" w:color="auto" w:fill="auto"/>
            <w:tcMar>
              <w:top w:w="15" w:type="dxa"/>
              <w:left w:w="15" w:type="dxa"/>
              <w:bottom w:w="0" w:type="dxa"/>
              <w:right w:w="15" w:type="dxa"/>
            </w:tcMar>
            <w:vAlign w:val="center"/>
          </w:tcPr>
          <w:p w14:paraId="38CB5D95">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汽化渗透膜</w:t>
            </w:r>
          </w:p>
        </w:tc>
        <w:tc>
          <w:tcPr>
            <w:tcW w:w="1218" w:type="pct"/>
            <w:tcBorders>
              <w:tl2br w:val="nil"/>
              <w:tr2bl w:val="nil"/>
            </w:tcBorders>
            <w:shd w:val="clear" w:color="auto" w:fill="auto"/>
            <w:tcMar>
              <w:top w:w="15" w:type="dxa"/>
              <w:left w:w="15" w:type="dxa"/>
              <w:bottom w:w="0" w:type="dxa"/>
              <w:right w:w="15" w:type="dxa"/>
            </w:tcMar>
            <w:vAlign w:val="center"/>
          </w:tcPr>
          <w:p w14:paraId="4277EE8C">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F=</w:t>
            </w:r>
            <w:r>
              <w:rPr>
                <w:rFonts w:hint="default" w:ascii="Times New Roman" w:hAnsi="Times New Roman" w:eastAsia="方正仿宋_GB2312" w:cs="Times New Roman"/>
                <w:kern w:val="0"/>
                <w:szCs w:val="21"/>
                <w:highlight w:val="none"/>
                <w:lang w:val="en-US" w:eastAsia="zh-CN"/>
              </w:rPr>
              <w:t>420</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m</w:t>
            </w:r>
            <w:r>
              <w:rPr>
                <w:rFonts w:hint="default" w:ascii="Times New Roman" w:hAnsi="Times New Roman" w:eastAsia="方正仿宋_GB2312" w:cs="Times New Roman"/>
                <w:color w:val="000000" w:themeColor="text1"/>
                <w:sz w:val="21"/>
                <w:szCs w:val="21"/>
                <w:vertAlign w:val="superscript"/>
                <w:lang w:val="en-US" w:eastAsia="zh-CN"/>
                <w14:textFill>
                  <w14:solidFill>
                    <w14:schemeClr w14:val="tx1"/>
                  </w14:solidFill>
                </w14:textFill>
              </w:rPr>
              <w:t>2</w:t>
            </w:r>
          </w:p>
        </w:tc>
        <w:tc>
          <w:tcPr>
            <w:tcW w:w="540" w:type="pct"/>
            <w:tcBorders>
              <w:tl2br w:val="nil"/>
              <w:tr2bl w:val="nil"/>
            </w:tcBorders>
            <w:shd w:val="clear" w:color="auto" w:fill="auto"/>
            <w:tcMar>
              <w:top w:w="15" w:type="dxa"/>
              <w:left w:w="15" w:type="dxa"/>
              <w:bottom w:w="0" w:type="dxa"/>
              <w:right w:w="15" w:type="dxa"/>
            </w:tcMar>
            <w:vAlign w:val="center"/>
          </w:tcPr>
          <w:p w14:paraId="0A73BE59">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kern w:val="0"/>
                <w:szCs w:val="21"/>
                <w:highlight w:val="none"/>
              </w:rPr>
              <w:t>S3</w:t>
            </w:r>
            <w:r>
              <w:rPr>
                <w:rFonts w:hint="default" w:ascii="Times New Roman" w:hAnsi="Times New Roman" w:eastAsia="方正仿宋_GB2312" w:cs="Times New Roman"/>
                <w:kern w:val="0"/>
                <w:szCs w:val="21"/>
                <w:highlight w:val="none"/>
                <w:lang w:val="en-US" w:eastAsia="zh-CN"/>
              </w:rPr>
              <w:t>04</w:t>
            </w:r>
            <w:r>
              <w:rPr>
                <w:rFonts w:hint="default" w:ascii="Times New Roman" w:hAnsi="Times New Roman" w:eastAsia="方正仿宋_GB2312" w:cs="Times New Roman"/>
                <w:kern w:val="0"/>
                <w:szCs w:val="21"/>
                <w:highlight w:val="none"/>
              </w:rPr>
              <w:t>/陶瓷</w:t>
            </w:r>
          </w:p>
        </w:tc>
        <w:tc>
          <w:tcPr>
            <w:tcW w:w="443" w:type="pct"/>
            <w:tcBorders>
              <w:tl2br w:val="nil"/>
              <w:tr2bl w:val="nil"/>
            </w:tcBorders>
            <w:shd w:val="clear" w:color="auto" w:fill="auto"/>
            <w:tcMar>
              <w:top w:w="15" w:type="dxa"/>
              <w:left w:w="15" w:type="dxa"/>
              <w:bottom w:w="0" w:type="dxa"/>
              <w:right w:w="15" w:type="dxa"/>
            </w:tcMar>
            <w:vAlign w:val="center"/>
          </w:tcPr>
          <w:p w14:paraId="272B1DBE">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175</w:t>
            </w:r>
          </w:p>
        </w:tc>
        <w:tc>
          <w:tcPr>
            <w:tcW w:w="451" w:type="pct"/>
            <w:tcBorders>
              <w:tl2br w:val="nil"/>
              <w:tr2bl w:val="nil"/>
            </w:tcBorders>
            <w:shd w:val="clear" w:color="auto" w:fill="auto"/>
            <w:tcMar>
              <w:top w:w="15" w:type="dxa"/>
              <w:left w:w="15" w:type="dxa"/>
              <w:bottom w:w="0" w:type="dxa"/>
              <w:right w:w="15" w:type="dxa"/>
            </w:tcMar>
            <w:vAlign w:val="center"/>
          </w:tcPr>
          <w:p w14:paraId="601A3EE0">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-0.09</w:t>
            </w:r>
          </w:p>
        </w:tc>
        <w:tc>
          <w:tcPr>
            <w:tcW w:w="342" w:type="pct"/>
            <w:tcBorders>
              <w:tl2br w:val="nil"/>
              <w:tr2bl w:val="nil"/>
            </w:tcBorders>
            <w:shd w:val="clear" w:color="auto" w:fill="auto"/>
            <w:tcMar>
              <w:top w:w="15" w:type="dxa"/>
              <w:left w:w="15" w:type="dxa"/>
              <w:bottom w:w="0" w:type="dxa"/>
              <w:right w:w="15" w:type="dxa"/>
            </w:tcMar>
            <w:vAlign w:val="center"/>
          </w:tcPr>
          <w:p w14:paraId="0E317127">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2</w:t>
            </w:r>
          </w:p>
        </w:tc>
        <w:tc>
          <w:tcPr>
            <w:tcW w:w="378" w:type="pct"/>
            <w:tcBorders>
              <w:tl2br w:val="nil"/>
              <w:tr2bl w:val="nil"/>
            </w:tcBorders>
            <w:shd w:val="clear" w:color="auto" w:fill="auto"/>
            <w:vAlign w:val="center"/>
          </w:tcPr>
          <w:p w14:paraId="0839C9D0">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新增</w:t>
            </w:r>
          </w:p>
        </w:tc>
      </w:tr>
      <w:tr w14:paraId="588CA7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462" w:type="pct"/>
            <w:vMerge w:val="continue"/>
            <w:tcBorders>
              <w:tl2br w:val="nil"/>
              <w:tr2bl w:val="nil"/>
            </w:tcBorders>
            <w:vAlign w:val="center"/>
          </w:tcPr>
          <w:p w14:paraId="704BF09C">
            <w:pPr>
              <w:widowControl/>
              <w:jc w:val="center"/>
              <w:rPr>
                <w:rFonts w:eastAsia="仿宋_GB2312"/>
                <w:color w:val="FF0000"/>
                <w:kern w:val="0"/>
                <w:szCs w:val="20"/>
              </w:rPr>
            </w:pPr>
          </w:p>
        </w:tc>
        <w:tc>
          <w:tcPr>
            <w:tcW w:w="346" w:type="pct"/>
            <w:tcBorders>
              <w:tl2br w:val="nil"/>
              <w:tr2bl w:val="nil"/>
            </w:tcBorders>
            <w:shd w:val="clear" w:color="auto" w:fill="auto"/>
            <w:tcMar>
              <w:top w:w="15" w:type="dxa"/>
              <w:left w:w="15" w:type="dxa"/>
              <w:bottom w:w="0" w:type="dxa"/>
              <w:right w:w="15" w:type="dxa"/>
            </w:tcMar>
            <w:vAlign w:val="center"/>
          </w:tcPr>
          <w:p w14:paraId="420F5A0D">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2</w:t>
            </w:r>
          </w:p>
        </w:tc>
        <w:tc>
          <w:tcPr>
            <w:tcW w:w="816" w:type="pct"/>
            <w:tcBorders>
              <w:tl2br w:val="nil"/>
              <w:tr2bl w:val="nil"/>
            </w:tcBorders>
            <w:shd w:val="clear" w:color="auto" w:fill="auto"/>
            <w:tcMar>
              <w:top w:w="15" w:type="dxa"/>
              <w:left w:w="15" w:type="dxa"/>
              <w:bottom w:w="0" w:type="dxa"/>
              <w:right w:w="15" w:type="dxa"/>
            </w:tcMar>
            <w:vAlign w:val="center"/>
          </w:tcPr>
          <w:p w14:paraId="28194C68">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szCs w:val="21"/>
                <w:highlight w:val="none"/>
              </w:rPr>
              <w:t>进料泵</w:t>
            </w:r>
          </w:p>
        </w:tc>
        <w:tc>
          <w:tcPr>
            <w:tcW w:w="1218" w:type="pct"/>
            <w:tcBorders>
              <w:tl2br w:val="nil"/>
              <w:tr2bl w:val="nil"/>
            </w:tcBorders>
            <w:shd w:val="clear" w:color="auto" w:fill="auto"/>
            <w:tcMar>
              <w:top w:w="15" w:type="dxa"/>
              <w:left w:w="15" w:type="dxa"/>
              <w:bottom w:w="0" w:type="dxa"/>
              <w:right w:w="15" w:type="dxa"/>
            </w:tcMar>
            <w:vAlign w:val="center"/>
          </w:tcPr>
          <w:p w14:paraId="502CEF93">
            <w:pPr>
              <w:bidi w:val="0"/>
              <w:jc w:val="center"/>
              <w:rPr>
                <w:rFonts w:hint="default" w:ascii="Times New Roman" w:hAnsi="Times New Roman" w:eastAsia="方正仿宋_GB2312" w:cs="Times New Roman"/>
                <w:kern w:val="2"/>
                <w:sz w:val="21"/>
                <w:szCs w:val="24"/>
                <w:lang w:val="en-US" w:eastAsia="zh-CN" w:bidi="ar-SA"/>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Q=5m</w:t>
            </w:r>
            <w:r>
              <w:rPr>
                <w:rFonts w:hint="default" w:ascii="Times New Roman" w:hAnsi="Times New Roman" w:eastAsia="方正仿宋_GB2312" w:cs="Times New Roman"/>
                <w:color w:val="000000" w:themeColor="text1"/>
                <w:sz w:val="21"/>
                <w:szCs w:val="21"/>
                <w:vertAlign w:val="superscript"/>
                <w:lang w:val="en-US" w:eastAsia="zh-CN"/>
                <w14:textFill>
                  <w14:solidFill>
                    <w14:schemeClr w14:val="tx1"/>
                  </w14:solidFill>
                </w14:textFill>
              </w:rPr>
              <w:t>3</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/h，H=50m；W=5.5kw</w:t>
            </w:r>
          </w:p>
        </w:tc>
        <w:tc>
          <w:tcPr>
            <w:tcW w:w="540" w:type="pct"/>
            <w:tcBorders>
              <w:tl2br w:val="nil"/>
              <w:tr2bl w:val="nil"/>
            </w:tcBorders>
            <w:shd w:val="clear" w:color="auto" w:fill="auto"/>
            <w:tcMar>
              <w:top w:w="15" w:type="dxa"/>
              <w:left w:w="15" w:type="dxa"/>
              <w:bottom w:w="0" w:type="dxa"/>
              <w:right w:w="15" w:type="dxa"/>
            </w:tcMar>
            <w:vAlign w:val="center"/>
          </w:tcPr>
          <w:p w14:paraId="43EC3546">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szCs w:val="21"/>
                <w:highlight w:val="none"/>
              </w:rPr>
              <w:t>S304</w:t>
            </w:r>
          </w:p>
        </w:tc>
        <w:tc>
          <w:tcPr>
            <w:tcW w:w="443" w:type="pct"/>
            <w:tcBorders>
              <w:tl2br w:val="nil"/>
              <w:tr2bl w:val="nil"/>
            </w:tcBorders>
            <w:shd w:val="clear" w:color="auto" w:fill="auto"/>
            <w:tcMar>
              <w:top w:w="15" w:type="dxa"/>
              <w:left w:w="15" w:type="dxa"/>
              <w:bottom w:w="0" w:type="dxa"/>
              <w:right w:w="15" w:type="dxa"/>
            </w:tcMar>
            <w:vAlign w:val="center"/>
          </w:tcPr>
          <w:p w14:paraId="0262670D">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常温</w:t>
            </w:r>
          </w:p>
        </w:tc>
        <w:tc>
          <w:tcPr>
            <w:tcW w:w="451" w:type="pct"/>
            <w:tcBorders>
              <w:tl2br w:val="nil"/>
              <w:tr2bl w:val="nil"/>
            </w:tcBorders>
            <w:shd w:val="clear" w:color="auto" w:fill="auto"/>
            <w:tcMar>
              <w:top w:w="15" w:type="dxa"/>
              <w:left w:w="15" w:type="dxa"/>
              <w:bottom w:w="0" w:type="dxa"/>
              <w:right w:w="15" w:type="dxa"/>
            </w:tcMar>
            <w:vAlign w:val="center"/>
          </w:tcPr>
          <w:p w14:paraId="4EC6D9C8">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0.5</w:t>
            </w:r>
          </w:p>
        </w:tc>
        <w:tc>
          <w:tcPr>
            <w:tcW w:w="342" w:type="pct"/>
            <w:tcBorders>
              <w:tl2br w:val="nil"/>
              <w:tr2bl w:val="nil"/>
            </w:tcBorders>
            <w:shd w:val="clear" w:color="auto" w:fill="auto"/>
            <w:tcMar>
              <w:top w:w="15" w:type="dxa"/>
              <w:left w:w="15" w:type="dxa"/>
              <w:bottom w:w="0" w:type="dxa"/>
              <w:right w:w="15" w:type="dxa"/>
            </w:tcMar>
            <w:vAlign w:val="center"/>
          </w:tcPr>
          <w:p w14:paraId="1A78F621">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auto"/>
                <w:sz w:val="21"/>
                <w:szCs w:val="21"/>
                <w:lang w:val="en-US" w:eastAsia="zh-CN"/>
              </w:rPr>
              <w:t>4</w:t>
            </w:r>
          </w:p>
        </w:tc>
        <w:tc>
          <w:tcPr>
            <w:tcW w:w="378" w:type="pct"/>
            <w:tcBorders>
              <w:tl2br w:val="nil"/>
              <w:tr2bl w:val="nil"/>
            </w:tcBorders>
            <w:shd w:val="clear" w:color="auto" w:fill="auto"/>
            <w:vAlign w:val="center"/>
          </w:tcPr>
          <w:p w14:paraId="7A74797A">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新增</w:t>
            </w:r>
          </w:p>
        </w:tc>
      </w:tr>
      <w:tr w14:paraId="15EAD8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462" w:type="pct"/>
            <w:vMerge w:val="continue"/>
            <w:tcBorders>
              <w:tl2br w:val="nil"/>
              <w:tr2bl w:val="nil"/>
            </w:tcBorders>
            <w:vAlign w:val="center"/>
          </w:tcPr>
          <w:p w14:paraId="1A1A5AD6">
            <w:pPr>
              <w:widowControl/>
              <w:jc w:val="center"/>
              <w:rPr>
                <w:rFonts w:eastAsia="仿宋_GB2312"/>
                <w:color w:val="FF0000"/>
                <w:kern w:val="0"/>
                <w:szCs w:val="20"/>
              </w:rPr>
            </w:pPr>
          </w:p>
        </w:tc>
        <w:tc>
          <w:tcPr>
            <w:tcW w:w="346" w:type="pct"/>
            <w:tcBorders>
              <w:tl2br w:val="nil"/>
              <w:tr2bl w:val="nil"/>
            </w:tcBorders>
            <w:shd w:val="clear" w:color="auto" w:fill="auto"/>
            <w:tcMar>
              <w:top w:w="15" w:type="dxa"/>
              <w:left w:w="15" w:type="dxa"/>
              <w:bottom w:w="0" w:type="dxa"/>
              <w:right w:w="15" w:type="dxa"/>
            </w:tcMar>
            <w:vAlign w:val="center"/>
          </w:tcPr>
          <w:p w14:paraId="5E4FD23F">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3</w:t>
            </w:r>
          </w:p>
        </w:tc>
        <w:tc>
          <w:tcPr>
            <w:tcW w:w="816" w:type="pct"/>
            <w:tcBorders>
              <w:tl2br w:val="nil"/>
              <w:tr2bl w:val="nil"/>
            </w:tcBorders>
            <w:shd w:val="clear" w:color="auto" w:fill="auto"/>
            <w:tcMar>
              <w:top w:w="15" w:type="dxa"/>
              <w:left w:w="15" w:type="dxa"/>
              <w:bottom w:w="0" w:type="dxa"/>
              <w:right w:w="15" w:type="dxa"/>
            </w:tcMar>
            <w:vAlign w:val="center"/>
          </w:tcPr>
          <w:p w14:paraId="5C0A1628">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szCs w:val="21"/>
                <w:highlight w:val="none"/>
              </w:rPr>
              <w:t>蒸发器</w:t>
            </w:r>
          </w:p>
        </w:tc>
        <w:tc>
          <w:tcPr>
            <w:tcW w:w="1218" w:type="pct"/>
            <w:tcBorders>
              <w:tl2br w:val="nil"/>
              <w:tr2bl w:val="nil"/>
            </w:tcBorders>
            <w:shd w:val="clear" w:color="auto" w:fill="auto"/>
            <w:tcMar>
              <w:top w:w="15" w:type="dxa"/>
              <w:left w:w="15" w:type="dxa"/>
              <w:bottom w:w="0" w:type="dxa"/>
              <w:right w:w="15" w:type="dxa"/>
            </w:tcMar>
            <w:vAlign w:val="center"/>
          </w:tcPr>
          <w:p w14:paraId="7A4379AA">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F=54m</w:t>
            </w:r>
            <w:r>
              <w:rPr>
                <w:rFonts w:hint="default" w:ascii="Times New Roman" w:hAnsi="Times New Roman" w:eastAsia="方正仿宋_GB2312" w:cs="Times New Roman"/>
                <w:color w:val="000000" w:themeColor="text1"/>
                <w:sz w:val="21"/>
                <w:szCs w:val="21"/>
                <w:vertAlign w:val="superscript"/>
                <w:lang w:val="en-US" w:eastAsia="zh-CN"/>
                <w14:textFill>
                  <w14:solidFill>
                    <w14:schemeClr w14:val="tx1"/>
                  </w14:solidFill>
                </w14:textFill>
              </w:rPr>
              <w:t>2</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Φ1100×4700</w:t>
            </w:r>
          </w:p>
        </w:tc>
        <w:tc>
          <w:tcPr>
            <w:tcW w:w="540" w:type="pct"/>
            <w:tcBorders>
              <w:tl2br w:val="nil"/>
              <w:tr2bl w:val="nil"/>
            </w:tcBorders>
            <w:shd w:val="clear" w:color="auto" w:fill="auto"/>
            <w:tcMar>
              <w:top w:w="15" w:type="dxa"/>
              <w:left w:w="15" w:type="dxa"/>
              <w:bottom w:w="0" w:type="dxa"/>
              <w:right w:w="15" w:type="dxa"/>
            </w:tcMar>
            <w:vAlign w:val="center"/>
          </w:tcPr>
          <w:p w14:paraId="0A0687B3">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szCs w:val="21"/>
                <w:highlight w:val="none"/>
              </w:rPr>
              <w:t>S304</w:t>
            </w:r>
          </w:p>
        </w:tc>
        <w:tc>
          <w:tcPr>
            <w:tcW w:w="443" w:type="pct"/>
            <w:tcBorders>
              <w:tl2br w:val="nil"/>
              <w:tr2bl w:val="nil"/>
            </w:tcBorders>
            <w:shd w:val="clear" w:color="auto" w:fill="auto"/>
            <w:tcMar>
              <w:top w:w="15" w:type="dxa"/>
              <w:left w:w="15" w:type="dxa"/>
              <w:bottom w:w="0" w:type="dxa"/>
              <w:right w:w="15" w:type="dxa"/>
            </w:tcMar>
            <w:vAlign w:val="center"/>
          </w:tcPr>
          <w:p w14:paraId="026772F4">
            <w:pPr>
              <w:bidi w:val="0"/>
              <w:jc w:val="center"/>
              <w:rPr>
                <w:rFonts w:hint="default" w:ascii="Times New Roman" w:hAnsi="Times New Roman" w:eastAsia="方正仿宋_GB2312" w:cs="Times New Roman"/>
                <w:snapToGrid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175</w:t>
            </w:r>
          </w:p>
        </w:tc>
        <w:tc>
          <w:tcPr>
            <w:tcW w:w="451" w:type="pct"/>
            <w:tcBorders>
              <w:tl2br w:val="nil"/>
              <w:tr2bl w:val="nil"/>
            </w:tcBorders>
            <w:shd w:val="clear" w:color="auto" w:fill="auto"/>
            <w:tcMar>
              <w:top w:w="15" w:type="dxa"/>
              <w:left w:w="15" w:type="dxa"/>
              <w:bottom w:w="0" w:type="dxa"/>
              <w:right w:w="15" w:type="dxa"/>
            </w:tcMar>
            <w:vAlign w:val="center"/>
          </w:tcPr>
          <w:p w14:paraId="47924BE8">
            <w:pPr>
              <w:bidi w:val="0"/>
              <w:jc w:val="center"/>
              <w:rPr>
                <w:rFonts w:hint="default" w:ascii="Times New Roman" w:hAnsi="Times New Roman" w:eastAsia="方正仿宋_GB2312" w:cs="Times New Roman"/>
                <w:snapToGrid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-0.09</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~0.7</w:t>
            </w:r>
          </w:p>
        </w:tc>
        <w:tc>
          <w:tcPr>
            <w:tcW w:w="342" w:type="pct"/>
            <w:tcBorders>
              <w:tl2br w:val="nil"/>
              <w:tr2bl w:val="nil"/>
            </w:tcBorders>
            <w:shd w:val="clear" w:color="auto" w:fill="auto"/>
            <w:tcMar>
              <w:top w:w="15" w:type="dxa"/>
              <w:left w:w="15" w:type="dxa"/>
              <w:bottom w:w="0" w:type="dxa"/>
              <w:right w:w="15" w:type="dxa"/>
            </w:tcMar>
            <w:vAlign w:val="center"/>
          </w:tcPr>
          <w:p w14:paraId="37BE58AB">
            <w:pPr>
              <w:bidi w:val="0"/>
              <w:jc w:val="center"/>
              <w:rPr>
                <w:rFonts w:hint="default" w:ascii="Times New Roman" w:hAnsi="Times New Roman" w:eastAsia="方正仿宋_GB2312" w:cs="Times New Roman"/>
                <w:snapToGrid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2</w:t>
            </w:r>
          </w:p>
        </w:tc>
        <w:tc>
          <w:tcPr>
            <w:tcW w:w="378" w:type="pct"/>
            <w:tcBorders>
              <w:tl2br w:val="nil"/>
              <w:tr2bl w:val="nil"/>
            </w:tcBorders>
            <w:shd w:val="clear" w:color="auto" w:fill="auto"/>
            <w:vAlign w:val="center"/>
          </w:tcPr>
          <w:p w14:paraId="1685EACC">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新增</w:t>
            </w:r>
          </w:p>
        </w:tc>
      </w:tr>
      <w:tr w14:paraId="0DBC10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462" w:type="pct"/>
            <w:vMerge w:val="continue"/>
            <w:tcBorders>
              <w:tl2br w:val="nil"/>
              <w:tr2bl w:val="nil"/>
            </w:tcBorders>
            <w:vAlign w:val="center"/>
          </w:tcPr>
          <w:p w14:paraId="7C20BA15">
            <w:pPr>
              <w:widowControl/>
              <w:jc w:val="center"/>
              <w:rPr>
                <w:rFonts w:eastAsia="仿宋_GB2312"/>
                <w:color w:val="FF0000"/>
                <w:kern w:val="0"/>
                <w:szCs w:val="20"/>
              </w:rPr>
            </w:pPr>
          </w:p>
        </w:tc>
        <w:tc>
          <w:tcPr>
            <w:tcW w:w="346" w:type="pct"/>
            <w:tcBorders>
              <w:tl2br w:val="nil"/>
              <w:tr2bl w:val="nil"/>
            </w:tcBorders>
            <w:shd w:val="clear" w:color="auto" w:fill="auto"/>
            <w:tcMar>
              <w:top w:w="15" w:type="dxa"/>
              <w:left w:w="15" w:type="dxa"/>
              <w:bottom w:w="0" w:type="dxa"/>
              <w:right w:w="15" w:type="dxa"/>
            </w:tcMar>
            <w:vAlign w:val="center"/>
          </w:tcPr>
          <w:p w14:paraId="3C714465">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4</w:t>
            </w:r>
          </w:p>
        </w:tc>
        <w:tc>
          <w:tcPr>
            <w:tcW w:w="816" w:type="pct"/>
            <w:tcBorders>
              <w:tl2br w:val="nil"/>
              <w:tr2bl w:val="nil"/>
            </w:tcBorders>
            <w:shd w:val="clear" w:color="auto" w:fill="auto"/>
            <w:tcMar>
              <w:top w:w="15" w:type="dxa"/>
              <w:left w:w="15" w:type="dxa"/>
              <w:bottom w:w="0" w:type="dxa"/>
              <w:right w:w="15" w:type="dxa"/>
            </w:tcMar>
            <w:vAlign w:val="center"/>
          </w:tcPr>
          <w:p w14:paraId="03FE1DA5">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szCs w:val="21"/>
                <w:highlight w:val="none"/>
              </w:rPr>
              <w:t>气液分离器</w:t>
            </w:r>
          </w:p>
        </w:tc>
        <w:tc>
          <w:tcPr>
            <w:tcW w:w="1218" w:type="pct"/>
            <w:tcBorders>
              <w:tl2br w:val="nil"/>
              <w:tr2bl w:val="nil"/>
            </w:tcBorders>
            <w:shd w:val="clear" w:color="auto" w:fill="auto"/>
            <w:tcMar>
              <w:top w:w="15" w:type="dxa"/>
              <w:left w:w="15" w:type="dxa"/>
              <w:bottom w:w="0" w:type="dxa"/>
              <w:right w:w="15" w:type="dxa"/>
            </w:tcMar>
            <w:vAlign w:val="center"/>
          </w:tcPr>
          <w:p w14:paraId="101CDD8C">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钢丝网除雾器</w:t>
            </w:r>
          </w:p>
        </w:tc>
        <w:tc>
          <w:tcPr>
            <w:tcW w:w="540" w:type="pct"/>
            <w:tcBorders>
              <w:tl2br w:val="nil"/>
              <w:tr2bl w:val="nil"/>
            </w:tcBorders>
            <w:shd w:val="clear" w:color="auto" w:fill="auto"/>
            <w:tcMar>
              <w:top w:w="15" w:type="dxa"/>
              <w:left w:w="15" w:type="dxa"/>
              <w:bottom w:w="0" w:type="dxa"/>
              <w:right w:w="15" w:type="dxa"/>
            </w:tcMar>
            <w:vAlign w:val="center"/>
          </w:tcPr>
          <w:p w14:paraId="25EEEEA9">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kern w:val="0"/>
                <w:szCs w:val="21"/>
                <w:highlight w:val="none"/>
              </w:rPr>
              <w:t>S304</w:t>
            </w:r>
          </w:p>
        </w:tc>
        <w:tc>
          <w:tcPr>
            <w:tcW w:w="443" w:type="pct"/>
            <w:tcBorders>
              <w:tl2br w:val="nil"/>
              <w:tr2bl w:val="nil"/>
            </w:tcBorders>
            <w:shd w:val="clear" w:color="auto" w:fill="auto"/>
            <w:tcMar>
              <w:top w:w="15" w:type="dxa"/>
              <w:left w:w="15" w:type="dxa"/>
              <w:bottom w:w="0" w:type="dxa"/>
              <w:right w:w="15" w:type="dxa"/>
            </w:tcMar>
            <w:vAlign w:val="center"/>
          </w:tcPr>
          <w:p w14:paraId="4CA4449D">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170</w:t>
            </w:r>
          </w:p>
        </w:tc>
        <w:tc>
          <w:tcPr>
            <w:tcW w:w="451" w:type="pct"/>
            <w:tcBorders>
              <w:tl2br w:val="nil"/>
              <w:tr2bl w:val="nil"/>
            </w:tcBorders>
            <w:shd w:val="clear" w:color="auto" w:fill="auto"/>
            <w:tcMar>
              <w:top w:w="15" w:type="dxa"/>
              <w:left w:w="15" w:type="dxa"/>
              <w:bottom w:w="0" w:type="dxa"/>
              <w:right w:w="15" w:type="dxa"/>
            </w:tcMar>
            <w:vAlign w:val="center"/>
          </w:tcPr>
          <w:p w14:paraId="7197EBB2">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-0.09</w:t>
            </w:r>
          </w:p>
        </w:tc>
        <w:tc>
          <w:tcPr>
            <w:tcW w:w="342" w:type="pct"/>
            <w:tcBorders>
              <w:tl2br w:val="nil"/>
              <w:tr2bl w:val="nil"/>
            </w:tcBorders>
            <w:shd w:val="clear" w:color="auto" w:fill="auto"/>
            <w:tcMar>
              <w:top w:w="15" w:type="dxa"/>
              <w:left w:w="15" w:type="dxa"/>
              <w:bottom w:w="0" w:type="dxa"/>
              <w:right w:w="15" w:type="dxa"/>
            </w:tcMar>
            <w:vAlign w:val="center"/>
          </w:tcPr>
          <w:p w14:paraId="33F25236">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2</w:t>
            </w:r>
          </w:p>
        </w:tc>
        <w:tc>
          <w:tcPr>
            <w:tcW w:w="378" w:type="pct"/>
            <w:tcBorders>
              <w:tl2br w:val="nil"/>
              <w:tr2bl w:val="nil"/>
            </w:tcBorders>
            <w:shd w:val="clear" w:color="auto" w:fill="auto"/>
            <w:vAlign w:val="center"/>
          </w:tcPr>
          <w:p w14:paraId="1AF29C6F">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新增</w:t>
            </w:r>
          </w:p>
        </w:tc>
      </w:tr>
      <w:tr w14:paraId="62317E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462" w:type="pct"/>
            <w:vMerge w:val="continue"/>
            <w:tcBorders>
              <w:tl2br w:val="nil"/>
              <w:tr2bl w:val="nil"/>
            </w:tcBorders>
            <w:vAlign w:val="center"/>
          </w:tcPr>
          <w:p w14:paraId="303622AC">
            <w:pPr>
              <w:widowControl/>
              <w:jc w:val="center"/>
              <w:rPr>
                <w:rFonts w:eastAsia="仿宋_GB2312"/>
                <w:color w:val="FF0000"/>
                <w:kern w:val="0"/>
                <w:szCs w:val="20"/>
              </w:rPr>
            </w:pPr>
          </w:p>
        </w:tc>
        <w:tc>
          <w:tcPr>
            <w:tcW w:w="346" w:type="pct"/>
            <w:tcBorders>
              <w:tl2br w:val="nil"/>
              <w:tr2bl w:val="nil"/>
            </w:tcBorders>
            <w:shd w:val="clear" w:color="auto" w:fill="auto"/>
            <w:tcMar>
              <w:top w:w="15" w:type="dxa"/>
              <w:left w:w="15" w:type="dxa"/>
              <w:bottom w:w="0" w:type="dxa"/>
              <w:right w:w="15" w:type="dxa"/>
            </w:tcMar>
            <w:vAlign w:val="center"/>
          </w:tcPr>
          <w:p w14:paraId="2E6396CB">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5</w:t>
            </w:r>
          </w:p>
        </w:tc>
        <w:tc>
          <w:tcPr>
            <w:tcW w:w="816" w:type="pct"/>
            <w:tcBorders>
              <w:tl2br w:val="nil"/>
              <w:tr2bl w:val="nil"/>
            </w:tcBorders>
            <w:shd w:val="clear" w:color="auto" w:fill="auto"/>
            <w:tcMar>
              <w:top w:w="15" w:type="dxa"/>
              <w:left w:w="15" w:type="dxa"/>
              <w:bottom w:w="0" w:type="dxa"/>
              <w:right w:w="15" w:type="dxa"/>
            </w:tcMar>
            <w:vAlign w:val="center"/>
          </w:tcPr>
          <w:p w14:paraId="7F991E13">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szCs w:val="21"/>
                <w:highlight w:val="none"/>
              </w:rPr>
              <w:t>一级渗透液冷凝器</w:t>
            </w:r>
          </w:p>
        </w:tc>
        <w:tc>
          <w:tcPr>
            <w:tcW w:w="1218" w:type="pct"/>
            <w:tcBorders>
              <w:tl2br w:val="nil"/>
              <w:tr2bl w:val="nil"/>
            </w:tcBorders>
            <w:shd w:val="clear" w:color="auto" w:fill="auto"/>
            <w:tcMar>
              <w:top w:w="15" w:type="dxa"/>
              <w:left w:w="15" w:type="dxa"/>
              <w:bottom w:w="0" w:type="dxa"/>
              <w:right w:w="15" w:type="dxa"/>
            </w:tcMar>
            <w:vAlign w:val="center"/>
          </w:tcPr>
          <w:p w14:paraId="14AE59B7">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F=90m</w:t>
            </w:r>
            <w:r>
              <w:rPr>
                <w:rFonts w:hint="default" w:ascii="Times New Roman" w:hAnsi="Times New Roman" w:eastAsia="方正仿宋_GB2312" w:cs="Times New Roman"/>
                <w:color w:val="000000" w:themeColor="text1"/>
                <w:sz w:val="21"/>
                <w:szCs w:val="21"/>
                <w:vertAlign w:val="superscript"/>
                <w:lang w:val="en-US" w:eastAsia="zh-CN"/>
                <w14:textFill>
                  <w14:solidFill>
                    <w14:schemeClr w14:val="tx1"/>
                  </w14:solidFill>
                </w14:textFill>
              </w:rPr>
              <w:t>2</w:t>
            </w:r>
          </w:p>
        </w:tc>
        <w:tc>
          <w:tcPr>
            <w:tcW w:w="540" w:type="pct"/>
            <w:tcBorders>
              <w:tl2br w:val="nil"/>
              <w:tr2bl w:val="nil"/>
            </w:tcBorders>
            <w:shd w:val="clear" w:color="auto" w:fill="auto"/>
            <w:tcMar>
              <w:top w:w="15" w:type="dxa"/>
              <w:left w:w="15" w:type="dxa"/>
              <w:bottom w:w="0" w:type="dxa"/>
              <w:right w:w="15" w:type="dxa"/>
            </w:tcMar>
            <w:vAlign w:val="center"/>
          </w:tcPr>
          <w:p w14:paraId="7B45CF4C">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kern w:val="0"/>
                <w:szCs w:val="21"/>
                <w:highlight w:val="none"/>
              </w:rPr>
              <w:t>S304</w:t>
            </w:r>
          </w:p>
        </w:tc>
        <w:tc>
          <w:tcPr>
            <w:tcW w:w="443" w:type="pct"/>
            <w:tcBorders>
              <w:tl2br w:val="nil"/>
              <w:tr2bl w:val="nil"/>
            </w:tcBorders>
            <w:shd w:val="clear" w:color="auto" w:fill="auto"/>
            <w:tcMar>
              <w:top w:w="15" w:type="dxa"/>
              <w:left w:w="15" w:type="dxa"/>
              <w:bottom w:w="0" w:type="dxa"/>
              <w:right w:w="15" w:type="dxa"/>
            </w:tcMar>
            <w:vAlign w:val="center"/>
          </w:tcPr>
          <w:p w14:paraId="70E710A7">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40</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~60</w:t>
            </w:r>
          </w:p>
        </w:tc>
        <w:tc>
          <w:tcPr>
            <w:tcW w:w="451" w:type="pct"/>
            <w:tcBorders>
              <w:tl2br w:val="nil"/>
              <w:tr2bl w:val="nil"/>
            </w:tcBorders>
            <w:shd w:val="clear" w:color="auto" w:fill="auto"/>
            <w:tcMar>
              <w:top w:w="15" w:type="dxa"/>
              <w:left w:w="15" w:type="dxa"/>
              <w:bottom w:w="0" w:type="dxa"/>
              <w:right w:w="15" w:type="dxa"/>
            </w:tcMar>
            <w:vAlign w:val="center"/>
          </w:tcPr>
          <w:p w14:paraId="73615BB7">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-0.09</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0.4</w:t>
            </w:r>
          </w:p>
        </w:tc>
        <w:tc>
          <w:tcPr>
            <w:tcW w:w="342" w:type="pct"/>
            <w:tcBorders>
              <w:tl2br w:val="nil"/>
              <w:tr2bl w:val="nil"/>
            </w:tcBorders>
            <w:shd w:val="clear" w:color="auto" w:fill="auto"/>
            <w:tcMar>
              <w:top w:w="15" w:type="dxa"/>
              <w:left w:w="15" w:type="dxa"/>
              <w:bottom w:w="0" w:type="dxa"/>
              <w:right w:w="15" w:type="dxa"/>
            </w:tcMar>
            <w:vAlign w:val="center"/>
          </w:tcPr>
          <w:p w14:paraId="0DF48FC0">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2</w:t>
            </w:r>
          </w:p>
        </w:tc>
        <w:tc>
          <w:tcPr>
            <w:tcW w:w="378" w:type="pct"/>
            <w:tcBorders>
              <w:tl2br w:val="nil"/>
              <w:tr2bl w:val="nil"/>
            </w:tcBorders>
            <w:shd w:val="clear" w:color="auto" w:fill="auto"/>
            <w:vAlign w:val="center"/>
          </w:tcPr>
          <w:p w14:paraId="359ABFDB">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新增</w:t>
            </w:r>
          </w:p>
        </w:tc>
      </w:tr>
      <w:tr w14:paraId="0B9364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462" w:type="pct"/>
            <w:vMerge w:val="continue"/>
            <w:tcBorders>
              <w:tl2br w:val="nil"/>
              <w:tr2bl w:val="nil"/>
            </w:tcBorders>
            <w:vAlign w:val="center"/>
          </w:tcPr>
          <w:p w14:paraId="08D0DC25">
            <w:pPr>
              <w:widowControl/>
              <w:jc w:val="center"/>
              <w:rPr>
                <w:rFonts w:eastAsia="仿宋_GB2312"/>
                <w:color w:val="FF0000"/>
                <w:kern w:val="0"/>
                <w:szCs w:val="20"/>
              </w:rPr>
            </w:pPr>
          </w:p>
        </w:tc>
        <w:tc>
          <w:tcPr>
            <w:tcW w:w="346" w:type="pct"/>
            <w:tcBorders>
              <w:tl2br w:val="nil"/>
              <w:tr2bl w:val="nil"/>
            </w:tcBorders>
            <w:shd w:val="clear" w:color="auto" w:fill="auto"/>
            <w:tcMar>
              <w:top w:w="15" w:type="dxa"/>
              <w:left w:w="15" w:type="dxa"/>
              <w:bottom w:w="0" w:type="dxa"/>
              <w:right w:w="15" w:type="dxa"/>
            </w:tcMar>
            <w:vAlign w:val="center"/>
          </w:tcPr>
          <w:p w14:paraId="05E88FD7">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6</w:t>
            </w:r>
          </w:p>
        </w:tc>
        <w:tc>
          <w:tcPr>
            <w:tcW w:w="816" w:type="pct"/>
            <w:tcBorders>
              <w:tl2br w:val="nil"/>
              <w:tr2bl w:val="nil"/>
            </w:tcBorders>
            <w:shd w:val="clear" w:color="auto" w:fill="auto"/>
            <w:tcMar>
              <w:top w:w="15" w:type="dxa"/>
              <w:left w:w="15" w:type="dxa"/>
              <w:bottom w:w="0" w:type="dxa"/>
              <w:right w:w="15" w:type="dxa"/>
            </w:tcMar>
            <w:vAlign w:val="center"/>
          </w:tcPr>
          <w:p w14:paraId="58B4EB25">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szCs w:val="21"/>
                <w:highlight w:val="none"/>
              </w:rPr>
              <w:t>二级渗透液冷凝器</w:t>
            </w:r>
          </w:p>
        </w:tc>
        <w:tc>
          <w:tcPr>
            <w:tcW w:w="1218" w:type="pct"/>
            <w:tcBorders>
              <w:tl2br w:val="nil"/>
              <w:tr2bl w:val="nil"/>
            </w:tcBorders>
            <w:shd w:val="clear" w:color="auto" w:fill="auto"/>
            <w:tcMar>
              <w:top w:w="15" w:type="dxa"/>
              <w:left w:w="15" w:type="dxa"/>
              <w:bottom w:w="0" w:type="dxa"/>
              <w:right w:w="15" w:type="dxa"/>
            </w:tcMar>
            <w:vAlign w:val="center"/>
          </w:tcPr>
          <w:p w14:paraId="188836B6">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F=60m</w:t>
            </w:r>
            <w:r>
              <w:rPr>
                <w:rFonts w:hint="default" w:ascii="Times New Roman" w:hAnsi="Times New Roman" w:eastAsia="方正仿宋_GB2312" w:cs="Times New Roman"/>
                <w:color w:val="000000" w:themeColor="text1"/>
                <w:sz w:val="21"/>
                <w:szCs w:val="21"/>
                <w:vertAlign w:val="superscript"/>
                <w:lang w:val="en-US" w:eastAsia="zh-CN"/>
                <w14:textFill>
                  <w14:solidFill>
                    <w14:schemeClr w14:val="tx1"/>
                  </w14:solidFill>
                </w14:textFill>
              </w:rPr>
              <w:t>2</w:t>
            </w:r>
          </w:p>
        </w:tc>
        <w:tc>
          <w:tcPr>
            <w:tcW w:w="540" w:type="pct"/>
            <w:tcBorders>
              <w:tl2br w:val="nil"/>
              <w:tr2bl w:val="nil"/>
            </w:tcBorders>
            <w:shd w:val="clear" w:color="auto" w:fill="auto"/>
            <w:tcMar>
              <w:top w:w="15" w:type="dxa"/>
              <w:left w:w="15" w:type="dxa"/>
              <w:bottom w:w="0" w:type="dxa"/>
              <w:right w:w="15" w:type="dxa"/>
            </w:tcMar>
            <w:vAlign w:val="center"/>
          </w:tcPr>
          <w:p w14:paraId="47C8C952">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kern w:val="0"/>
                <w:szCs w:val="21"/>
                <w:highlight w:val="none"/>
              </w:rPr>
              <w:t>S304</w:t>
            </w:r>
          </w:p>
        </w:tc>
        <w:tc>
          <w:tcPr>
            <w:tcW w:w="443" w:type="pct"/>
            <w:tcBorders>
              <w:tl2br w:val="nil"/>
              <w:tr2bl w:val="nil"/>
            </w:tcBorders>
            <w:shd w:val="clear" w:color="auto" w:fill="auto"/>
            <w:tcMar>
              <w:top w:w="15" w:type="dxa"/>
              <w:left w:w="15" w:type="dxa"/>
              <w:bottom w:w="0" w:type="dxa"/>
              <w:right w:w="15" w:type="dxa"/>
            </w:tcMar>
            <w:vAlign w:val="center"/>
          </w:tcPr>
          <w:p w14:paraId="6045D9AA">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-10</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~40</w:t>
            </w:r>
          </w:p>
        </w:tc>
        <w:tc>
          <w:tcPr>
            <w:tcW w:w="451" w:type="pct"/>
            <w:tcBorders>
              <w:tl2br w:val="nil"/>
              <w:tr2bl w:val="nil"/>
            </w:tcBorders>
            <w:shd w:val="clear" w:color="auto" w:fill="auto"/>
            <w:tcMar>
              <w:top w:w="15" w:type="dxa"/>
              <w:left w:w="15" w:type="dxa"/>
              <w:bottom w:w="0" w:type="dxa"/>
              <w:right w:w="15" w:type="dxa"/>
            </w:tcMar>
            <w:vAlign w:val="center"/>
          </w:tcPr>
          <w:p w14:paraId="264209FF">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-0.09</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0.4</w:t>
            </w:r>
          </w:p>
        </w:tc>
        <w:tc>
          <w:tcPr>
            <w:tcW w:w="342" w:type="pct"/>
            <w:tcBorders>
              <w:tl2br w:val="nil"/>
              <w:tr2bl w:val="nil"/>
            </w:tcBorders>
            <w:shd w:val="clear" w:color="auto" w:fill="auto"/>
            <w:tcMar>
              <w:top w:w="15" w:type="dxa"/>
              <w:left w:w="15" w:type="dxa"/>
              <w:bottom w:w="0" w:type="dxa"/>
              <w:right w:w="15" w:type="dxa"/>
            </w:tcMar>
            <w:vAlign w:val="center"/>
          </w:tcPr>
          <w:p w14:paraId="6143AFF5">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2</w:t>
            </w:r>
          </w:p>
        </w:tc>
        <w:tc>
          <w:tcPr>
            <w:tcW w:w="378" w:type="pct"/>
            <w:tcBorders>
              <w:tl2br w:val="nil"/>
              <w:tr2bl w:val="nil"/>
            </w:tcBorders>
            <w:shd w:val="clear" w:color="auto" w:fill="auto"/>
            <w:vAlign w:val="center"/>
          </w:tcPr>
          <w:p w14:paraId="0D164F10">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新增</w:t>
            </w:r>
          </w:p>
        </w:tc>
      </w:tr>
      <w:tr w14:paraId="479419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462" w:type="pct"/>
            <w:vMerge w:val="continue"/>
            <w:tcBorders>
              <w:tl2br w:val="nil"/>
              <w:tr2bl w:val="nil"/>
            </w:tcBorders>
            <w:vAlign w:val="center"/>
          </w:tcPr>
          <w:p w14:paraId="777EEFA8">
            <w:pPr>
              <w:bidi w:val="0"/>
              <w:jc w:val="center"/>
              <w:rPr>
                <w:rFonts w:hint="default" w:ascii="Times New Roman" w:hAnsi="Times New Roman" w:eastAsia="方正仿宋_GB2312" w:cs="Times New Roman"/>
                <w:szCs w:val="21"/>
                <w:highlight w:val="none"/>
              </w:rPr>
            </w:pPr>
          </w:p>
        </w:tc>
        <w:tc>
          <w:tcPr>
            <w:tcW w:w="346" w:type="pct"/>
            <w:tcBorders>
              <w:tl2br w:val="nil"/>
              <w:tr2bl w:val="nil"/>
            </w:tcBorders>
            <w:shd w:val="clear" w:color="auto" w:fill="auto"/>
            <w:tcMar>
              <w:top w:w="15" w:type="dxa"/>
              <w:left w:w="15" w:type="dxa"/>
              <w:bottom w:w="0" w:type="dxa"/>
              <w:right w:w="15" w:type="dxa"/>
            </w:tcMar>
            <w:vAlign w:val="center"/>
          </w:tcPr>
          <w:p w14:paraId="63869DAA">
            <w:pPr>
              <w:bidi w:val="0"/>
              <w:jc w:val="center"/>
              <w:rPr>
                <w:rFonts w:hint="default" w:ascii="Times New Roman" w:hAnsi="Times New Roman" w:eastAsia="方正仿宋_GB2312" w:cs="Times New Roman"/>
                <w:szCs w:val="21"/>
                <w:highlight w:val="none"/>
                <w:lang w:val="en-US" w:eastAsia="zh-CN"/>
              </w:rPr>
            </w:pPr>
            <w:r>
              <w:rPr>
                <w:rFonts w:hint="default" w:ascii="Times New Roman" w:hAnsi="Times New Roman" w:eastAsia="方正仿宋_GB2312" w:cs="Times New Roman"/>
                <w:szCs w:val="21"/>
                <w:highlight w:val="none"/>
                <w:lang w:val="en-US" w:eastAsia="zh-CN"/>
              </w:rPr>
              <w:t>7</w:t>
            </w:r>
          </w:p>
        </w:tc>
        <w:tc>
          <w:tcPr>
            <w:tcW w:w="816" w:type="pct"/>
            <w:tcBorders>
              <w:tl2br w:val="nil"/>
              <w:tr2bl w:val="nil"/>
            </w:tcBorders>
            <w:shd w:val="clear" w:color="auto" w:fill="auto"/>
            <w:tcMar>
              <w:top w:w="15" w:type="dxa"/>
              <w:left w:w="15" w:type="dxa"/>
              <w:bottom w:w="0" w:type="dxa"/>
              <w:right w:w="15" w:type="dxa"/>
            </w:tcMar>
            <w:vAlign w:val="center"/>
          </w:tcPr>
          <w:p w14:paraId="66316CA7">
            <w:pPr>
              <w:bidi w:val="0"/>
              <w:jc w:val="center"/>
              <w:rPr>
                <w:rFonts w:hint="default" w:ascii="Times New Roman" w:hAnsi="Times New Roman" w:eastAsia="方正仿宋_GB2312" w:cs="Times New Roman"/>
                <w:szCs w:val="21"/>
                <w:highlight w:val="none"/>
                <w:lang w:val="en-US" w:eastAsia="zh-CN"/>
              </w:rPr>
            </w:pPr>
            <w:r>
              <w:rPr>
                <w:rFonts w:hint="default" w:ascii="Times New Roman" w:hAnsi="Times New Roman" w:eastAsia="方正仿宋_GB2312" w:cs="Times New Roman"/>
                <w:szCs w:val="21"/>
                <w:highlight w:val="none"/>
              </w:rPr>
              <w:t>渗透液输送泵</w:t>
            </w:r>
          </w:p>
        </w:tc>
        <w:tc>
          <w:tcPr>
            <w:tcW w:w="1218" w:type="pct"/>
            <w:tcBorders>
              <w:tl2br w:val="nil"/>
              <w:tr2bl w:val="nil"/>
            </w:tcBorders>
            <w:shd w:val="clear" w:color="auto" w:fill="auto"/>
            <w:tcMar>
              <w:top w:w="15" w:type="dxa"/>
              <w:left w:w="15" w:type="dxa"/>
              <w:bottom w:w="0" w:type="dxa"/>
              <w:right w:w="15" w:type="dxa"/>
            </w:tcMar>
            <w:vAlign w:val="center"/>
          </w:tcPr>
          <w:p w14:paraId="08B996C7">
            <w:pPr>
              <w:bidi w:val="0"/>
              <w:jc w:val="center"/>
              <w:rPr>
                <w:rFonts w:hint="default" w:ascii="Times New Roman" w:hAnsi="Times New Roman" w:eastAsia="方正仿宋_GB2312" w:cs="Times New Roman"/>
                <w:szCs w:val="21"/>
                <w:highlight w:val="none"/>
                <w:lang w:val="en-US" w:eastAsia="zh-CN"/>
              </w:rPr>
            </w:pPr>
            <w:r>
              <w:rPr>
                <w:rFonts w:hint="default" w:ascii="Times New Roman" w:hAnsi="Times New Roman" w:eastAsia="方正仿宋_GB2312" w:cs="Times New Roman"/>
                <w:szCs w:val="21"/>
                <w:highlight w:val="none"/>
                <w:lang w:val="en-US" w:eastAsia="zh-CN"/>
              </w:rPr>
              <w:t>FRB-F-3T-24MB</w:t>
            </w:r>
            <w:r>
              <w:rPr>
                <w:rFonts w:hint="eastAsia" w:eastAsia="方正仿宋_GB2312" w:cs="Times New Roman"/>
                <w:szCs w:val="21"/>
                <w:highlight w:val="none"/>
                <w:lang w:val="en-US" w:eastAsia="zh-CN"/>
              </w:rPr>
              <w:t>；</w:t>
            </w:r>
            <w:r>
              <w:rPr>
                <w:rFonts w:hint="default" w:ascii="Times New Roman" w:hAnsi="Times New Roman" w:eastAsia="方正仿宋_GB2312" w:cs="Times New Roman"/>
                <w:szCs w:val="21"/>
                <w:highlight w:val="none"/>
                <w:lang w:val="en-US" w:eastAsia="zh-CN"/>
              </w:rPr>
              <w:t>H=24m</w:t>
            </w:r>
            <w:r>
              <w:rPr>
                <w:rFonts w:hint="eastAsia" w:eastAsia="方正仿宋_GB2312" w:cs="Times New Roman"/>
                <w:szCs w:val="21"/>
                <w:highlight w:val="none"/>
                <w:lang w:val="en-US" w:eastAsia="zh-CN"/>
              </w:rPr>
              <w:t>；</w:t>
            </w:r>
            <w:r>
              <w:rPr>
                <w:rFonts w:hint="default" w:ascii="Times New Roman" w:hAnsi="Times New Roman" w:eastAsia="方正仿宋_GB2312" w:cs="Times New Roman"/>
                <w:szCs w:val="21"/>
                <w:highlight w:val="none"/>
                <w:lang w:val="en-US" w:eastAsia="zh-CN"/>
              </w:rPr>
              <w:t>W=1.5kw</w:t>
            </w:r>
          </w:p>
        </w:tc>
        <w:tc>
          <w:tcPr>
            <w:tcW w:w="540" w:type="pct"/>
            <w:tcBorders>
              <w:tl2br w:val="nil"/>
              <w:tr2bl w:val="nil"/>
            </w:tcBorders>
            <w:shd w:val="clear" w:color="auto" w:fill="auto"/>
            <w:tcMar>
              <w:top w:w="15" w:type="dxa"/>
              <w:left w:w="15" w:type="dxa"/>
              <w:bottom w:w="0" w:type="dxa"/>
              <w:right w:w="15" w:type="dxa"/>
            </w:tcMar>
            <w:vAlign w:val="center"/>
          </w:tcPr>
          <w:p w14:paraId="274E203E">
            <w:pPr>
              <w:bidi w:val="0"/>
              <w:jc w:val="center"/>
              <w:rPr>
                <w:rFonts w:hint="default" w:ascii="Times New Roman" w:hAnsi="Times New Roman" w:eastAsia="方正仿宋_GB2312" w:cs="Times New Roman"/>
                <w:szCs w:val="21"/>
                <w:highlight w:val="none"/>
                <w:lang w:val="en-US" w:eastAsia="zh-CN"/>
              </w:rPr>
            </w:pPr>
            <w:r>
              <w:rPr>
                <w:rFonts w:hint="default" w:ascii="Times New Roman" w:hAnsi="Times New Roman" w:eastAsia="方正仿宋_GB2312" w:cs="Times New Roman"/>
                <w:szCs w:val="21"/>
                <w:highlight w:val="none"/>
              </w:rPr>
              <w:t>S3</w:t>
            </w:r>
            <w:r>
              <w:rPr>
                <w:rFonts w:hint="default" w:ascii="Times New Roman" w:hAnsi="Times New Roman" w:eastAsia="方正仿宋_GB2312" w:cs="Times New Roman"/>
                <w:szCs w:val="21"/>
                <w:highlight w:val="none"/>
                <w:lang w:val="en-US" w:eastAsia="zh-CN"/>
              </w:rPr>
              <w:t>04</w:t>
            </w:r>
          </w:p>
        </w:tc>
        <w:tc>
          <w:tcPr>
            <w:tcW w:w="443" w:type="pct"/>
            <w:tcBorders>
              <w:tl2br w:val="nil"/>
              <w:tr2bl w:val="nil"/>
            </w:tcBorders>
            <w:shd w:val="clear" w:color="auto" w:fill="auto"/>
            <w:tcMar>
              <w:top w:w="15" w:type="dxa"/>
              <w:left w:w="15" w:type="dxa"/>
              <w:bottom w:w="0" w:type="dxa"/>
              <w:right w:w="15" w:type="dxa"/>
            </w:tcMar>
            <w:vAlign w:val="center"/>
          </w:tcPr>
          <w:p w14:paraId="2658C613">
            <w:pPr>
              <w:bidi w:val="0"/>
              <w:jc w:val="center"/>
              <w:rPr>
                <w:rFonts w:hint="default" w:ascii="Times New Roman" w:hAnsi="Times New Roman" w:eastAsia="方正仿宋_GB2312" w:cs="Times New Roman"/>
                <w:szCs w:val="21"/>
                <w:highlight w:val="none"/>
                <w:lang w:val="en-US" w:eastAsia="zh-CN"/>
              </w:rPr>
            </w:pPr>
            <w:r>
              <w:rPr>
                <w:rFonts w:hint="default" w:ascii="Times New Roman" w:hAnsi="Times New Roman" w:eastAsia="方正仿宋_GB2312" w:cs="Times New Roman"/>
                <w:szCs w:val="21"/>
                <w:highlight w:val="none"/>
                <w:lang w:val="en-US" w:eastAsia="zh-CN"/>
              </w:rPr>
              <w:t>常温</w:t>
            </w:r>
          </w:p>
        </w:tc>
        <w:tc>
          <w:tcPr>
            <w:tcW w:w="451" w:type="pct"/>
            <w:tcBorders>
              <w:tl2br w:val="nil"/>
              <w:tr2bl w:val="nil"/>
            </w:tcBorders>
            <w:shd w:val="clear" w:color="auto" w:fill="auto"/>
            <w:tcMar>
              <w:top w:w="15" w:type="dxa"/>
              <w:left w:w="15" w:type="dxa"/>
              <w:bottom w:w="0" w:type="dxa"/>
              <w:right w:w="15" w:type="dxa"/>
            </w:tcMar>
            <w:vAlign w:val="center"/>
          </w:tcPr>
          <w:p w14:paraId="1BC8788B">
            <w:pPr>
              <w:bidi w:val="0"/>
              <w:jc w:val="center"/>
              <w:rPr>
                <w:rFonts w:hint="default" w:ascii="Times New Roman" w:hAnsi="Times New Roman" w:eastAsia="方正仿宋_GB2312" w:cs="Times New Roman"/>
                <w:szCs w:val="21"/>
                <w:highlight w:val="none"/>
                <w:lang w:val="en-US" w:eastAsia="zh-CN"/>
              </w:rPr>
            </w:pPr>
            <w:r>
              <w:rPr>
                <w:rFonts w:hint="default" w:ascii="Times New Roman" w:hAnsi="Times New Roman" w:eastAsia="方正仿宋_GB2312" w:cs="Times New Roman"/>
                <w:szCs w:val="21"/>
                <w:highlight w:val="none"/>
                <w:lang w:val="en-US" w:eastAsia="zh-CN"/>
              </w:rPr>
              <w:t>0.3</w:t>
            </w:r>
          </w:p>
        </w:tc>
        <w:tc>
          <w:tcPr>
            <w:tcW w:w="342" w:type="pct"/>
            <w:tcBorders>
              <w:tl2br w:val="nil"/>
              <w:tr2bl w:val="nil"/>
            </w:tcBorders>
            <w:shd w:val="clear" w:color="auto" w:fill="auto"/>
            <w:tcMar>
              <w:top w:w="15" w:type="dxa"/>
              <w:left w:w="15" w:type="dxa"/>
              <w:bottom w:w="0" w:type="dxa"/>
              <w:right w:w="15" w:type="dxa"/>
            </w:tcMar>
            <w:vAlign w:val="center"/>
          </w:tcPr>
          <w:p w14:paraId="3B7434B3">
            <w:pPr>
              <w:bidi w:val="0"/>
              <w:jc w:val="center"/>
              <w:rPr>
                <w:rFonts w:hint="default" w:ascii="Times New Roman" w:hAnsi="Times New Roman" w:eastAsia="方正仿宋_GB2312" w:cs="Times New Roman"/>
                <w:szCs w:val="21"/>
                <w:highlight w:val="none"/>
                <w:lang w:val="en-US" w:eastAsia="zh-CN"/>
              </w:rPr>
            </w:pPr>
            <w:r>
              <w:rPr>
                <w:rFonts w:hint="default" w:ascii="Times New Roman" w:hAnsi="Times New Roman" w:eastAsia="方正仿宋_GB2312" w:cs="Times New Roman"/>
                <w:szCs w:val="21"/>
                <w:highlight w:val="none"/>
                <w:lang w:val="en-US" w:eastAsia="zh-CN"/>
              </w:rPr>
              <w:t>4</w:t>
            </w:r>
          </w:p>
        </w:tc>
        <w:tc>
          <w:tcPr>
            <w:tcW w:w="378" w:type="pct"/>
            <w:tcBorders>
              <w:tl2br w:val="nil"/>
              <w:tr2bl w:val="nil"/>
            </w:tcBorders>
            <w:shd w:val="clear" w:color="auto" w:fill="auto"/>
            <w:vAlign w:val="center"/>
          </w:tcPr>
          <w:p w14:paraId="0FBDAC6B">
            <w:pPr>
              <w:bidi w:val="0"/>
              <w:jc w:val="center"/>
              <w:rPr>
                <w:rFonts w:hint="default" w:ascii="Times New Roman" w:hAnsi="Times New Roman" w:eastAsia="方正仿宋_GB2312" w:cs="Times New Roman"/>
                <w:szCs w:val="21"/>
                <w:highlight w:val="none"/>
                <w:lang w:val="en-US" w:eastAsia="zh-CN"/>
              </w:rPr>
            </w:pPr>
            <w:r>
              <w:rPr>
                <w:rFonts w:hint="default" w:ascii="Times New Roman" w:hAnsi="Times New Roman" w:eastAsia="方正仿宋_GB2312" w:cs="Times New Roman"/>
                <w:szCs w:val="21"/>
                <w:highlight w:val="none"/>
                <w:lang w:val="en-US" w:eastAsia="zh-CN"/>
              </w:rPr>
              <w:t>新增</w:t>
            </w:r>
          </w:p>
        </w:tc>
      </w:tr>
      <w:tr w14:paraId="730B53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462" w:type="pct"/>
            <w:vMerge w:val="continue"/>
            <w:tcBorders>
              <w:tl2br w:val="nil"/>
              <w:tr2bl w:val="nil"/>
            </w:tcBorders>
            <w:vAlign w:val="center"/>
          </w:tcPr>
          <w:p w14:paraId="1D6E1EB1">
            <w:pPr>
              <w:widowControl/>
              <w:jc w:val="center"/>
              <w:rPr>
                <w:rFonts w:eastAsia="仿宋_GB2312"/>
                <w:color w:val="FF0000"/>
                <w:kern w:val="0"/>
                <w:szCs w:val="20"/>
              </w:rPr>
            </w:pPr>
          </w:p>
        </w:tc>
        <w:tc>
          <w:tcPr>
            <w:tcW w:w="346" w:type="pct"/>
            <w:tcBorders>
              <w:tl2br w:val="nil"/>
              <w:tr2bl w:val="nil"/>
            </w:tcBorders>
            <w:shd w:val="clear" w:color="auto" w:fill="auto"/>
            <w:tcMar>
              <w:top w:w="15" w:type="dxa"/>
              <w:left w:w="15" w:type="dxa"/>
              <w:bottom w:w="0" w:type="dxa"/>
              <w:right w:w="15" w:type="dxa"/>
            </w:tcMar>
            <w:vAlign w:val="center"/>
          </w:tcPr>
          <w:p w14:paraId="01DB2B88">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8</w:t>
            </w:r>
          </w:p>
        </w:tc>
        <w:tc>
          <w:tcPr>
            <w:tcW w:w="816" w:type="pct"/>
            <w:tcBorders>
              <w:tl2br w:val="nil"/>
              <w:tr2bl w:val="nil"/>
            </w:tcBorders>
            <w:shd w:val="clear" w:color="auto" w:fill="auto"/>
            <w:tcMar>
              <w:top w:w="15" w:type="dxa"/>
              <w:left w:w="15" w:type="dxa"/>
              <w:bottom w:w="0" w:type="dxa"/>
              <w:right w:w="15" w:type="dxa"/>
            </w:tcMar>
            <w:vAlign w:val="center"/>
          </w:tcPr>
          <w:p w14:paraId="0A731B5E">
            <w:pPr>
              <w:bidi w:val="0"/>
              <w:jc w:val="center"/>
              <w:rPr>
                <w:rFonts w:hint="default" w:ascii="Times New Roman" w:hAnsi="Times New Roman" w:eastAsia="方正仿宋_GB2312" w:cs="Times New Roman"/>
                <w:color w:val="auto"/>
                <w:kern w:val="2"/>
                <w:sz w:val="21"/>
                <w:szCs w:val="21"/>
                <w:lang w:val="en-US" w:eastAsia="zh-CN" w:bidi="ar-SA"/>
              </w:rPr>
            </w:pPr>
            <w:r>
              <w:rPr>
                <w:rFonts w:hint="default" w:ascii="Times New Roman" w:hAnsi="Times New Roman" w:eastAsia="方正仿宋_GB2312" w:cs="Times New Roman"/>
                <w:color w:val="auto"/>
                <w:szCs w:val="21"/>
                <w:highlight w:val="none"/>
              </w:rPr>
              <w:t>真空机组</w:t>
            </w:r>
          </w:p>
        </w:tc>
        <w:tc>
          <w:tcPr>
            <w:tcW w:w="1218" w:type="pct"/>
            <w:tcBorders>
              <w:tl2br w:val="nil"/>
              <w:tr2bl w:val="nil"/>
            </w:tcBorders>
            <w:shd w:val="clear" w:color="auto" w:fill="auto"/>
            <w:tcMar>
              <w:top w:w="15" w:type="dxa"/>
              <w:left w:w="15" w:type="dxa"/>
              <w:bottom w:w="0" w:type="dxa"/>
              <w:right w:w="15" w:type="dxa"/>
            </w:tcMar>
            <w:vAlign w:val="center"/>
          </w:tcPr>
          <w:p w14:paraId="46244B76">
            <w:pPr>
              <w:bidi w:val="0"/>
              <w:jc w:val="center"/>
              <w:rPr>
                <w:rFonts w:hint="default" w:ascii="Times New Roman" w:hAnsi="Times New Roman" w:eastAsia="方正仿宋_GB2312" w:cs="Times New Roman"/>
                <w:color w:val="auto"/>
                <w:kern w:val="2"/>
                <w:sz w:val="21"/>
                <w:szCs w:val="21"/>
                <w:lang w:val="en-US" w:eastAsia="zh-CN" w:bidi="ar-SA"/>
              </w:rPr>
            </w:pPr>
            <w:r>
              <w:rPr>
                <w:rFonts w:hint="default" w:ascii="Times New Roman" w:hAnsi="Times New Roman" w:eastAsia="方正仿宋_GB2312" w:cs="Times New Roman"/>
                <w:color w:val="auto"/>
                <w:szCs w:val="21"/>
                <w:highlight w:val="none"/>
                <w:lang w:val="en-US" w:eastAsia="zh-CN"/>
              </w:rPr>
              <w:t>600L/S</w:t>
            </w:r>
          </w:p>
        </w:tc>
        <w:tc>
          <w:tcPr>
            <w:tcW w:w="540" w:type="pct"/>
            <w:tcBorders>
              <w:tl2br w:val="nil"/>
              <w:tr2bl w:val="nil"/>
            </w:tcBorders>
            <w:shd w:val="clear" w:color="auto" w:fill="auto"/>
            <w:tcMar>
              <w:top w:w="15" w:type="dxa"/>
              <w:left w:w="15" w:type="dxa"/>
              <w:bottom w:w="0" w:type="dxa"/>
              <w:right w:w="15" w:type="dxa"/>
            </w:tcMar>
            <w:vAlign w:val="center"/>
          </w:tcPr>
          <w:p w14:paraId="72BE86AE">
            <w:pPr>
              <w:bidi w:val="0"/>
              <w:jc w:val="center"/>
              <w:rPr>
                <w:rFonts w:hint="default" w:ascii="Times New Roman" w:hAnsi="Times New Roman" w:eastAsia="方正仿宋_GB2312" w:cs="Times New Roman"/>
                <w:color w:val="auto"/>
                <w:kern w:val="2"/>
                <w:sz w:val="21"/>
                <w:szCs w:val="21"/>
                <w:lang w:val="en-US" w:eastAsia="zh-CN" w:bidi="ar-SA"/>
              </w:rPr>
            </w:pPr>
            <w:r>
              <w:rPr>
                <w:rFonts w:hint="default" w:ascii="Times New Roman" w:hAnsi="Times New Roman" w:eastAsia="方正仿宋_GB2312" w:cs="Times New Roman"/>
                <w:color w:val="auto"/>
                <w:sz w:val="21"/>
                <w:szCs w:val="21"/>
                <w:lang w:val="en-US" w:eastAsia="zh-CN"/>
              </w:rPr>
              <w:t>Q345R</w:t>
            </w:r>
          </w:p>
        </w:tc>
        <w:tc>
          <w:tcPr>
            <w:tcW w:w="443" w:type="pct"/>
            <w:tcBorders>
              <w:tl2br w:val="nil"/>
              <w:tr2bl w:val="nil"/>
            </w:tcBorders>
            <w:shd w:val="clear" w:color="auto" w:fill="auto"/>
            <w:tcMar>
              <w:top w:w="15" w:type="dxa"/>
              <w:left w:w="15" w:type="dxa"/>
              <w:bottom w:w="0" w:type="dxa"/>
              <w:right w:w="15" w:type="dxa"/>
            </w:tcMar>
            <w:vAlign w:val="center"/>
          </w:tcPr>
          <w:p w14:paraId="1C80491D">
            <w:pPr>
              <w:bidi w:val="0"/>
              <w:jc w:val="center"/>
              <w:rPr>
                <w:rFonts w:hint="default" w:ascii="Times New Roman" w:hAnsi="Times New Roman" w:eastAsia="方正仿宋_GB2312" w:cs="Times New Roman"/>
                <w:color w:val="auto"/>
                <w:kern w:val="2"/>
                <w:sz w:val="21"/>
                <w:szCs w:val="21"/>
                <w:lang w:val="en-US" w:eastAsia="zh-CN" w:bidi="ar-SA"/>
              </w:rPr>
            </w:pPr>
            <w:r>
              <w:rPr>
                <w:rFonts w:hint="default" w:ascii="Times New Roman" w:hAnsi="Times New Roman" w:eastAsia="方正仿宋_GB2312" w:cs="Times New Roman"/>
                <w:color w:val="auto"/>
                <w:sz w:val="21"/>
                <w:szCs w:val="21"/>
                <w:lang w:val="en-US" w:eastAsia="zh-CN"/>
              </w:rPr>
              <w:t>常温</w:t>
            </w:r>
          </w:p>
        </w:tc>
        <w:tc>
          <w:tcPr>
            <w:tcW w:w="451" w:type="pct"/>
            <w:tcBorders>
              <w:tl2br w:val="nil"/>
              <w:tr2bl w:val="nil"/>
            </w:tcBorders>
            <w:shd w:val="clear" w:color="auto" w:fill="auto"/>
            <w:tcMar>
              <w:top w:w="15" w:type="dxa"/>
              <w:left w:w="15" w:type="dxa"/>
              <w:bottom w:w="0" w:type="dxa"/>
              <w:right w:w="15" w:type="dxa"/>
            </w:tcMar>
            <w:vAlign w:val="center"/>
          </w:tcPr>
          <w:p w14:paraId="48D422B3">
            <w:pPr>
              <w:bidi w:val="0"/>
              <w:jc w:val="center"/>
              <w:rPr>
                <w:rFonts w:hint="default" w:ascii="Times New Roman" w:hAnsi="Times New Roman" w:eastAsia="方正仿宋_GB2312" w:cs="Times New Roman"/>
                <w:color w:val="auto"/>
                <w:kern w:val="2"/>
                <w:sz w:val="21"/>
                <w:szCs w:val="21"/>
                <w:lang w:val="en-US" w:eastAsia="zh-CN" w:bidi="ar-SA"/>
              </w:rPr>
            </w:pPr>
            <w:r>
              <w:rPr>
                <w:rFonts w:hint="default" w:ascii="Times New Roman" w:hAnsi="Times New Roman" w:eastAsia="方正仿宋_GB2312" w:cs="Times New Roman"/>
                <w:color w:val="auto"/>
                <w:sz w:val="21"/>
                <w:szCs w:val="21"/>
                <w:lang w:val="en-US" w:eastAsia="zh-CN"/>
              </w:rPr>
              <w:t>-0.09</w:t>
            </w:r>
          </w:p>
        </w:tc>
        <w:tc>
          <w:tcPr>
            <w:tcW w:w="342" w:type="pct"/>
            <w:tcBorders>
              <w:tl2br w:val="nil"/>
              <w:tr2bl w:val="nil"/>
            </w:tcBorders>
            <w:shd w:val="clear" w:color="auto" w:fill="auto"/>
            <w:tcMar>
              <w:top w:w="15" w:type="dxa"/>
              <w:left w:w="15" w:type="dxa"/>
              <w:bottom w:w="0" w:type="dxa"/>
              <w:right w:w="15" w:type="dxa"/>
            </w:tcMar>
            <w:vAlign w:val="center"/>
          </w:tcPr>
          <w:p w14:paraId="42CEBDF7">
            <w:pPr>
              <w:bidi w:val="0"/>
              <w:jc w:val="center"/>
              <w:rPr>
                <w:rFonts w:hint="default" w:ascii="Times New Roman" w:hAnsi="Times New Roman" w:eastAsia="方正仿宋_GB2312" w:cs="Times New Roman"/>
                <w:color w:val="auto"/>
                <w:kern w:val="2"/>
                <w:sz w:val="21"/>
                <w:szCs w:val="21"/>
                <w:lang w:val="en-US" w:eastAsia="zh-CN" w:bidi="ar-SA"/>
              </w:rPr>
            </w:pPr>
            <w:r>
              <w:rPr>
                <w:rFonts w:hint="default" w:ascii="Times New Roman" w:hAnsi="Times New Roman" w:eastAsia="方正仿宋_GB2312" w:cs="Times New Roman"/>
                <w:color w:val="auto"/>
                <w:sz w:val="21"/>
                <w:szCs w:val="21"/>
                <w:lang w:val="en-US" w:eastAsia="zh-CN"/>
              </w:rPr>
              <w:t>2</w:t>
            </w:r>
          </w:p>
        </w:tc>
        <w:tc>
          <w:tcPr>
            <w:tcW w:w="378" w:type="pct"/>
            <w:tcBorders>
              <w:tl2br w:val="nil"/>
              <w:tr2bl w:val="nil"/>
            </w:tcBorders>
            <w:shd w:val="clear" w:color="auto" w:fill="auto"/>
            <w:vAlign w:val="center"/>
          </w:tcPr>
          <w:p w14:paraId="4E6CDA76">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新增</w:t>
            </w:r>
          </w:p>
        </w:tc>
      </w:tr>
      <w:tr w14:paraId="280604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462" w:type="pct"/>
            <w:vMerge w:val="continue"/>
            <w:tcBorders>
              <w:tl2br w:val="nil"/>
              <w:tr2bl w:val="nil"/>
            </w:tcBorders>
            <w:vAlign w:val="center"/>
          </w:tcPr>
          <w:p w14:paraId="0BB2E303">
            <w:pPr>
              <w:widowControl/>
              <w:jc w:val="center"/>
              <w:rPr>
                <w:rFonts w:eastAsia="仿宋_GB2312"/>
                <w:color w:val="FF0000"/>
                <w:kern w:val="0"/>
                <w:szCs w:val="20"/>
              </w:rPr>
            </w:pPr>
          </w:p>
        </w:tc>
        <w:tc>
          <w:tcPr>
            <w:tcW w:w="346" w:type="pct"/>
            <w:tcBorders>
              <w:tl2br w:val="nil"/>
              <w:tr2bl w:val="nil"/>
            </w:tcBorders>
            <w:shd w:val="clear" w:color="auto" w:fill="auto"/>
            <w:tcMar>
              <w:top w:w="15" w:type="dxa"/>
              <w:left w:w="15" w:type="dxa"/>
              <w:bottom w:w="0" w:type="dxa"/>
              <w:right w:w="15" w:type="dxa"/>
            </w:tcMar>
            <w:vAlign w:val="center"/>
          </w:tcPr>
          <w:p w14:paraId="36A765DA">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9</w:t>
            </w:r>
          </w:p>
        </w:tc>
        <w:tc>
          <w:tcPr>
            <w:tcW w:w="816" w:type="pct"/>
            <w:tcBorders>
              <w:tl2br w:val="nil"/>
              <w:tr2bl w:val="nil"/>
            </w:tcBorders>
            <w:shd w:val="clear" w:color="auto" w:fill="auto"/>
            <w:tcMar>
              <w:top w:w="15" w:type="dxa"/>
              <w:left w:w="15" w:type="dxa"/>
              <w:bottom w:w="0" w:type="dxa"/>
              <w:right w:w="15" w:type="dxa"/>
            </w:tcMar>
            <w:vAlign w:val="center"/>
          </w:tcPr>
          <w:p w14:paraId="2D2B1FE1">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szCs w:val="21"/>
                <w:highlight w:val="none"/>
                <w:lang w:val="en-US" w:eastAsia="zh-CN"/>
              </w:rPr>
              <w:t>渗透液</w:t>
            </w:r>
            <w:r>
              <w:rPr>
                <w:rFonts w:hint="default" w:ascii="Times New Roman" w:hAnsi="Times New Roman" w:eastAsia="方正仿宋_GB2312" w:cs="Times New Roman"/>
                <w:szCs w:val="21"/>
                <w:highlight w:val="none"/>
              </w:rPr>
              <w:t>罐</w:t>
            </w:r>
          </w:p>
        </w:tc>
        <w:tc>
          <w:tcPr>
            <w:tcW w:w="1218" w:type="pct"/>
            <w:tcBorders>
              <w:tl2br w:val="nil"/>
              <w:tr2bl w:val="nil"/>
            </w:tcBorders>
            <w:shd w:val="clear" w:color="auto" w:fill="auto"/>
            <w:tcMar>
              <w:top w:w="15" w:type="dxa"/>
              <w:left w:w="15" w:type="dxa"/>
              <w:bottom w:w="0" w:type="dxa"/>
              <w:right w:w="15" w:type="dxa"/>
            </w:tcMar>
            <w:vAlign w:val="center"/>
          </w:tcPr>
          <w:p w14:paraId="68AC3DB0">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250L</w:t>
            </w:r>
          </w:p>
        </w:tc>
        <w:tc>
          <w:tcPr>
            <w:tcW w:w="540" w:type="pct"/>
            <w:tcBorders>
              <w:tl2br w:val="nil"/>
              <w:tr2bl w:val="nil"/>
            </w:tcBorders>
            <w:shd w:val="clear" w:color="auto" w:fill="auto"/>
            <w:tcMar>
              <w:top w:w="15" w:type="dxa"/>
              <w:left w:w="15" w:type="dxa"/>
              <w:bottom w:w="0" w:type="dxa"/>
              <w:right w:w="15" w:type="dxa"/>
            </w:tcMar>
            <w:vAlign w:val="center"/>
          </w:tcPr>
          <w:p w14:paraId="63C22957">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kern w:val="0"/>
                <w:szCs w:val="21"/>
                <w:highlight w:val="none"/>
              </w:rPr>
              <w:t>S3</w:t>
            </w:r>
            <w:r>
              <w:rPr>
                <w:rFonts w:hint="default" w:ascii="Times New Roman" w:hAnsi="Times New Roman" w:eastAsia="方正仿宋_GB2312" w:cs="Times New Roman"/>
                <w:kern w:val="0"/>
                <w:szCs w:val="21"/>
                <w:highlight w:val="none"/>
                <w:lang w:val="en-US" w:eastAsia="zh-CN"/>
              </w:rPr>
              <w:t>04</w:t>
            </w:r>
          </w:p>
        </w:tc>
        <w:tc>
          <w:tcPr>
            <w:tcW w:w="443" w:type="pct"/>
            <w:tcBorders>
              <w:tl2br w:val="nil"/>
              <w:tr2bl w:val="nil"/>
            </w:tcBorders>
            <w:shd w:val="clear" w:color="auto" w:fill="auto"/>
            <w:tcMar>
              <w:top w:w="15" w:type="dxa"/>
              <w:left w:w="15" w:type="dxa"/>
              <w:bottom w:w="0" w:type="dxa"/>
              <w:right w:w="15" w:type="dxa"/>
            </w:tcMar>
            <w:vAlign w:val="center"/>
          </w:tcPr>
          <w:p w14:paraId="32B7CD8F">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常温</w:t>
            </w:r>
          </w:p>
        </w:tc>
        <w:tc>
          <w:tcPr>
            <w:tcW w:w="451" w:type="pct"/>
            <w:tcBorders>
              <w:tl2br w:val="nil"/>
              <w:tr2bl w:val="nil"/>
            </w:tcBorders>
            <w:shd w:val="clear" w:color="auto" w:fill="auto"/>
            <w:tcMar>
              <w:top w:w="15" w:type="dxa"/>
              <w:left w:w="15" w:type="dxa"/>
              <w:bottom w:w="0" w:type="dxa"/>
              <w:right w:w="15" w:type="dxa"/>
            </w:tcMar>
            <w:vAlign w:val="center"/>
          </w:tcPr>
          <w:p w14:paraId="2169C93A">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-0.09</w:t>
            </w:r>
          </w:p>
        </w:tc>
        <w:tc>
          <w:tcPr>
            <w:tcW w:w="342" w:type="pct"/>
            <w:tcBorders>
              <w:tl2br w:val="nil"/>
              <w:tr2bl w:val="nil"/>
            </w:tcBorders>
            <w:shd w:val="clear" w:color="auto" w:fill="auto"/>
            <w:tcMar>
              <w:top w:w="15" w:type="dxa"/>
              <w:left w:w="15" w:type="dxa"/>
              <w:bottom w:w="0" w:type="dxa"/>
              <w:right w:w="15" w:type="dxa"/>
            </w:tcMar>
            <w:vAlign w:val="center"/>
          </w:tcPr>
          <w:p w14:paraId="51257755">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2</w:t>
            </w:r>
          </w:p>
        </w:tc>
        <w:tc>
          <w:tcPr>
            <w:tcW w:w="378" w:type="pct"/>
            <w:tcBorders>
              <w:tl2br w:val="nil"/>
              <w:tr2bl w:val="nil"/>
            </w:tcBorders>
            <w:shd w:val="clear" w:color="auto" w:fill="auto"/>
            <w:vAlign w:val="center"/>
          </w:tcPr>
          <w:p w14:paraId="0DF6DC12">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新增</w:t>
            </w:r>
          </w:p>
        </w:tc>
      </w:tr>
      <w:tr w14:paraId="2308C7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462" w:type="pct"/>
            <w:vMerge w:val="continue"/>
            <w:tcBorders>
              <w:tl2br w:val="nil"/>
              <w:tr2bl w:val="nil"/>
            </w:tcBorders>
            <w:vAlign w:val="center"/>
          </w:tcPr>
          <w:p w14:paraId="2EFEB5E5">
            <w:pPr>
              <w:widowControl/>
              <w:jc w:val="center"/>
              <w:rPr>
                <w:rFonts w:eastAsia="仿宋_GB2312"/>
                <w:color w:val="FF0000"/>
                <w:kern w:val="0"/>
                <w:szCs w:val="20"/>
              </w:rPr>
            </w:pPr>
          </w:p>
        </w:tc>
        <w:tc>
          <w:tcPr>
            <w:tcW w:w="346" w:type="pct"/>
            <w:tcBorders>
              <w:tl2br w:val="nil"/>
              <w:tr2bl w:val="nil"/>
            </w:tcBorders>
            <w:shd w:val="clear" w:color="auto" w:fill="auto"/>
            <w:tcMar>
              <w:top w:w="15" w:type="dxa"/>
              <w:left w:w="15" w:type="dxa"/>
              <w:bottom w:w="0" w:type="dxa"/>
              <w:right w:w="15" w:type="dxa"/>
            </w:tcMar>
            <w:vAlign w:val="center"/>
          </w:tcPr>
          <w:p w14:paraId="24B5081E">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10</w:t>
            </w:r>
          </w:p>
        </w:tc>
        <w:tc>
          <w:tcPr>
            <w:tcW w:w="816" w:type="pct"/>
            <w:tcBorders>
              <w:tl2br w:val="nil"/>
              <w:tr2bl w:val="nil"/>
            </w:tcBorders>
            <w:shd w:val="clear" w:color="auto" w:fill="auto"/>
            <w:tcMar>
              <w:top w:w="15" w:type="dxa"/>
              <w:left w:w="15" w:type="dxa"/>
              <w:bottom w:w="0" w:type="dxa"/>
              <w:right w:w="15" w:type="dxa"/>
            </w:tcMar>
            <w:vAlign w:val="center"/>
          </w:tcPr>
          <w:p w14:paraId="3F88267A">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真空缓冲罐</w:t>
            </w:r>
          </w:p>
        </w:tc>
        <w:tc>
          <w:tcPr>
            <w:tcW w:w="1218" w:type="pct"/>
            <w:tcBorders>
              <w:tl2br w:val="nil"/>
              <w:tr2bl w:val="nil"/>
            </w:tcBorders>
            <w:shd w:val="clear" w:color="auto" w:fill="auto"/>
            <w:tcMar>
              <w:top w:w="15" w:type="dxa"/>
              <w:left w:w="15" w:type="dxa"/>
              <w:bottom w:w="0" w:type="dxa"/>
              <w:right w:w="15" w:type="dxa"/>
            </w:tcMar>
            <w:vAlign w:val="center"/>
          </w:tcPr>
          <w:p w14:paraId="231C5FCA">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1.2m³</w:t>
            </w:r>
          </w:p>
        </w:tc>
        <w:tc>
          <w:tcPr>
            <w:tcW w:w="540" w:type="pct"/>
            <w:tcBorders>
              <w:tl2br w:val="nil"/>
              <w:tr2bl w:val="nil"/>
            </w:tcBorders>
            <w:shd w:val="clear" w:color="auto" w:fill="auto"/>
            <w:tcMar>
              <w:top w:w="15" w:type="dxa"/>
              <w:left w:w="15" w:type="dxa"/>
              <w:bottom w:w="0" w:type="dxa"/>
              <w:right w:w="15" w:type="dxa"/>
            </w:tcMar>
            <w:vAlign w:val="center"/>
          </w:tcPr>
          <w:p w14:paraId="43FC3773">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kern w:val="0"/>
                <w:szCs w:val="21"/>
                <w:highlight w:val="none"/>
              </w:rPr>
              <w:t>S3</w:t>
            </w:r>
            <w:r>
              <w:rPr>
                <w:rFonts w:hint="default" w:ascii="Times New Roman" w:hAnsi="Times New Roman" w:eastAsia="方正仿宋_GB2312" w:cs="Times New Roman"/>
                <w:kern w:val="0"/>
                <w:szCs w:val="21"/>
                <w:highlight w:val="none"/>
                <w:lang w:val="en-US" w:eastAsia="zh-CN"/>
              </w:rPr>
              <w:t>04</w:t>
            </w:r>
          </w:p>
        </w:tc>
        <w:tc>
          <w:tcPr>
            <w:tcW w:w="443" w:type="pct"/>
            <w:tcBorders>
              <w:tl2br w:val="nil"/>
              <w:tr2bl w:val="nil"/>
            </w:tcBorders>
            <w:shd w:val="clear" w:color="auto" w:fill="auto"/>
            <w:tcMar>
              <w:top w:w="15" w:type="dxa"/>
              <w:left w:w="15" w:type="dxa"/>
              <w:bottom w:w="0" w:type="dxa"/>
              <w:right w:w="15" w:type="dxa"/>
            </w:tcMar>
            <w:vAlign w:val="center"/>
          </w:tcPr>
          <w:p w14:paraId="709FCE39">
            <w:pPr>
              <w:bidi w:val="0"/>
              <w:jc w:val="center"/>
              <w:rPr>
                <w:rFonts w:hint="default" w:ascii="Times New Roman" w:hAnsi="Times New Roman" w:eastAsia="方正仿宋_GB2312" w:cs="Times New Roman"/>
                <w:snapToGrid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常温</w:t>
            </w:r>
          </w:p>
        </w:tc>
        <w:tc>
          <w:tcPr>
            <w:tcW w:w="451" w:type="pct"/>
            <w:tcBorders>
              <w:tl2br w:val="nil"/>
              <w:tr2bl w:val="nil"/>
            </w:tcBorders>
            <w:shd w:val="clear" w:color="auto" w:fill="auto"/>
            <w:tcMar>
              <w:top w:w="15" w:type="dxa"/>
              <w:left w:w="15" w:type="dxa"/>
              <w:bottom w:w="0" w:type="dxa"/>
              <w:right w:w="15" w:type="dxa"/>
            </w:tcMar>
            <w:vAlign w:val="center"/>
          </w:tcPr>
          <w:p w14:paraId="5B12A255">
            <w:pPr>
              <w:bidi w:val="0"/>
              <w:jc w:val="center"/>
              <w:rPr>
                <w:rFonts w:hint="default" w:ascii="Times New Roman" w:hAnsi="Times New Roman" w:eastAsia="方正仿宋_GB2312" w:cs="Times New Roman"/>
                <w:snapToGrid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-0.09</w:t>
            </w:r>
          </w:p>
        </w:tc>
        <w:tc>
          <w:tcPr>
            <w:tcW w:w="342" w:type="pct"/>
            <w:tcBorders>
              <w:tl2br w:val="nil"/>
              <w:tr2bl w:val="nil"/>
            </w:tcBorders>
            <w:shd w:val="clear" w:color="auto" w:fill="auto"/>
            <w:tcMar>
              <w:top w:w="15" w:type="dxa"/>
              <w:left w:w="15" w:type="dxa"/>
              <w:bottom w:w="0" w:type="dxa"/>
              <w:right w:w="15" w:type="dxa"/>
            </w:tcMar>
            <w:vAlign w:val="center"/>
          </w:tcPr>
          <w:p w14:paraId="00DE275A">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2</w:t>
            </w:r>
          </w:p>
        </w:tc>
        <w:tc>
          <w:tcPr>
            <w:tcW w:w="378" w:type="pct"/>
            <w:tcBorders>
              <w:tl2br w:val="nil"/>
              <w:tr2bl w:val="nil"/>
            </w:tcBorders>
            <w:shd w:val="clear" w:color="auto" w:fill="auto"/>
            <w:vAlign w:val="center"/>
          </w:tcPr>
          <w:p w14:paraId="3222B0B8">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新增</w:t>
            </w:r>
          </w:p>
        </w:tc>
      </w:tr>
      <w:tr w14:paraId="0CF921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462" w:type="pct"/>
            <w:vMerge w:val="continue"/>
            <w:tcBorders>
              <w:tl2br w:val="nil"/>
              <w:tr2bl w:val="nil"/>
            </w:tcBorders>
            <w:vAlign w:val="center"/>
          </w:tcPr>
          <w:p w14:paraId="288E0FD3">
            <w:pPr>
              <w:widowControl/>
              <w:jc w:val="center"/>
              <w:rPr>
                <w:rFonts w:eastAsia="仿宋_GB2312"/>
                <w:color w:val="FF0000"/>
                <w:kern w:val="0"/>
                <w:szCs w:val="20"/>
              </w:rPr>
            </w:pPr>
          </w:p>
        </w:tc>
        <w:tc>
          <w:tcPr>
            <w:tcW w:w="346" w:type="pct"/>
            <w:tcBorders>
              <w:tl2br w:val="nil"/>
              <w:tr2bl w:val="nil"/>
            </w:tcBorders>
            <w:shd w:val="clear" w:color="auto" w:fill="auto"/>
            <w:tcMar>
              <w:top w:w="15" w:type="dxa"/>
              <w:left w:w="15" w:type="dxa"/>
              <w:bottom w:w="0" w:type="dxa"/>
              <w:right w:w="15" w:type="dxa"/>
            </w:tcMar>
            <w:vAlign w:val="center"/>
          </w:tcPr>
          <w:p w14:paraId="41461EFC">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11</w:t>
            </w:r>
          </w:p>
        </w:tc>
        <w:tc>
          <w:tcPr>
            <w:tcW w:w="816" w:type="pct"/>
            <w:tcBorders>
              <w:tl2br w:val="nil"/>
              <w:tr2bl w:val="nil"/>
            </w:tcBorders>
            <w:shd w:val="clear" w:color="auto" w:fill="auto"/>
            <w:tcMar>
              <w:top w:w="15" w:type="dxa"/>
              <w:left w:w="15" w:type="dxa"/>
              <w:bottom w:w="0" w:type="dxa"/>
              <w:right w:w="15" w:type="dxa"/>
            </w:tcMar>
            <w:vAlign w:val="center"/>
          </w:tcPr>
          <w:p w14:paraId="04B8C621">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真空泵组</w:t>
            </w:r>
          </w:p>
        </w:tc>
        <w:tc>
          <w:tcPr>
            <w:tcW w:w="1218" w:type="pct"/>
            <w:tcBorders>
              <w:tl2br w:val="nil"/>
              <w:tr2bl w:val="nil"/>
            </w:tcBorders>
            <w:shd w:val="clear" w:color="auto" w:fill="auto"/>
            <w:tcMar>
              <w:top w:w="15" w:type="dxa"/>
              <w:left w:w="15" w:type="dxa"/>
              <w:bottom w:w="0" w:type="dxa"/>
              <w:right w:w="15" w:type="dxa"/>
            </w:tcMar>
            <w:vAlign w:val="center"/>
          </w:tcPr>
          <w:p w14:paraId="0CF98736">
            <w:pPr>
              <w:bidi w:val="0"/>
              <w:jc w:val="center"/>
              <w:rPr>
                <w:rFonts w:hint="default" w:ascii="Times New Roman" w:hAnsi="Times New Roman" w:eastAsia="方正仿宋_GB2312" w:cs="Times New Roman"/>
                <w:kern w:val="2"/>
                <w:sz w:val="21"/>
                <w:szCs w:val="24"/>
                <w:lang w:val="en-US" w:eastAsia="zh-CN" w:bidi="ar-SA"/>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ZJ-300B</w:t>
            </w:r>
            <w:r>
              <w:rPr>
                <w:rFonts w:hint="eastAsia" w:eastAsia="方正仿宋_GB2312" w:cs="Times New Roman"/>
                <w:color w:val="000000" w:themeColor="text1"/>
                <w:sz w:val="21"/>
                <w:szCs w:val="21"/>
                <w:lang w:val="en-US" w:eastAsia="zh-CN"/>
                <w14:textFill>
                  <w14:solidFill>
                    <w14:schemeClr w14:val="tx1"/>
                  </w14:solidFill>
                </w14:textFill>
              </w:rPr>
              <w:t>，</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W=5.5kw</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WLW200AB</w:t>
            </w:r>
            <w:r>
              <w:rPr>
                <w:rFonts w:hint="eastAsia" w:eastAsia="方正仿宋_GB2312" w:cs="Times New Roman"/>
                <w:color w:val="000000" w:themeColor="text1"/>
                <w:sz w:val="21"/>
                <w:szCs w:val="21"/>
                <w:lang w:val="en-US" w:eastAsia="zh-CN"/>
                <w14:textFill>
                  <w14:solidFill>
                    <w14:schemeClr w14:val="tx1"/>
                  </w14:solidFill>
                </w14:textFill>
              </w:rPr>
              <w:t>，</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W=15kw</w:t>
            </w:r>
          </w:p>
        </w:tc>
        <w:tc>
          <w:tcPr>
            <w:tcW w:w="540" w:type="pct"/>
            <w:tcBorders>
              <w:tl2br w:val="nil"/>
              <w:tr2bl w:val="nil"/>
            </w:tcBorders>
            <w:shd w:val="clear" w:color="auto" w:fill="auto"/>
            <w:tcMar>
              <w:top w:w="15" w:type="dxa"/>
              <w:left w:w="15" w:type="dxa"/>
              <w:bottom w:w="0" w:type="dxa"/>
              <w:right w:w="15" w:type="dxa"/>
            </w:tcMar>
            <w:vAlign w:val="center"/>
          </w:tcPr>
          <w:p w14:paraId="0B7E08C3">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kern w:val="0"/>
                <w:szCs w:val="21"/>
                <w:highlight w:val="none"/>
                <w:lang w:val="en-US" w:eastAsia="zh-CN"/>
              </w:rPr>
              <w:t>Q345R</w:t>
            </w:r>
          </w:p>
        </w:tc>
        <w:tc>
          <w:tcPr>
            <w:tcW w:w="443" w:type="pct"/>
            <w:tcBorders>
              <w:tl2br w:val="nil"/>
              <w:tr2bl w:val="nil"/>
            </w:tcBorders>
            <w:shd w:val="clear" w:color="auto" w:fill="auto"/>
            <w:tcMar>
              <w:top w:w="15" w:type="dxa"/>
              <w:left w:w="15" w:type="dxa"/>
              <w:bottom w:w="0" w:type="dxa"/>
              <w:right w:w="15" w:type="dxa"/>
            </w:tcMar>
            <w:vAlign w:val="center"/>
          </w:tcPr>
          <w:p w14:paraId="0DFAE46D">
            <w:pPr>
              <w:bidi w:val="0"/>
              <w:jc w:val="center"/>
              <w:rPr>
                <w:rFonts w:hint="default" w:ascii="Times New Roman" w:hAnsi="Times New Roman" w:eastAsia="方正仿宋_GB2312" w:cs="Times New Roman"/>
                <w:snapToGrid w:val="0"/>
                <w:color w:val="auto"/>
                <w:kern w:val="0"/>
                <w:sz w:val="21"/>
                <w:szCs w:val="21"/>
                <w:lang w:val="en-US" w:eastAsia="zh-CN" w:bidi="ar-SA"/>
              </w:rPr>
            </w:pPr>
            <w:r>
              <w:rPr>
                <w:rFonts w:hint="default" w:ascii="Times New Roman" w:hAnsi="Times New Roman" w:eastAsia="方正仿宋_GB2312" w:cs="Times New Roman"/>
                <w:color w:val="auto"/>
                <w:sz w:val="21"/>
                <w:szCs w:val="21"/>
                <w:lang w:val="en-US" w:eastAsia="zh-CN"/>
              </w:rPr>
              <w:t>常温</w:t>
            </w:r>
          </w:p>
        </w:tc>
        <w:tc>
          <w:tcPr>
            <w:tcW w:w="451" w:type="pct"/>
            <w:tcBorders>
              <w:tl2br w:val="nil"/>
              <w:tr2bl w:val="nil"/>
            </w:tcBorders>
            <w:shd w:val="clear" w:color="auto" w:fill="auto"/>
            <w:tcMar>
              <w:top w:w="15" w:type="dxa"/>
              <w:left w:w="15" w:type="dxa"/>
              <w:bottom w:w="0" w:type="dxa"/>
              <w:right w:w="15" w:type="dxa"/>
            </w:tcMar>
            <w:vAlign w:val="center"/>
          </w:tcPr>
          <w:p w14:paraId="762E837F">
            <w:pPr>
              <w:bidi w:val="0"/>
              <w:jc w:val="center"/>
              <w:rPr>
                <w:rFonts w:hint="default" w:ascii="Times New Roman" w:hAnsi="Times New Roman" w:eastAsia="方正仿宋_GB2312" w:cs="Times New Roman"/>
                <w:snapToGrid w:val="0"/>
                <w:color w:val="auto"/>
                <w:kern w:val="0"/>
                <w:sz w:val="21"/>
                <w:szCs w:val="21"/>
                <w:lang w:val="en-US" w:eastAsia="zh-CN" w:bidi="ar-SA"/>
              </w:rPr>
            </w:pPr>
            <w:r>
              <w:rPr>
                <w:rFonts w:hint="default" w:ascii="Times New Roman" w:hAnsi="Times New Roman" w:eastAsia="方正仿宋_GB2312" w:cs="Times New Roman"/>
                <w:color w:val="auto"/>
                <w:sz w:val="21"/>
                <w:szCs w:val="21"/>
                <w:lang w:val="en-US" w:eastAsia="zh-CN"/>
              </w:rPr>
              <w:t>-0.09</w:t>
            </w:r>
          </w:p>
        </w:tc>
        <w:tc>
          <w:tcPr>
            <w:tcW w:w="342" w:type="pct"/>
            <w:tcBorders>
              <w:tl2br w:val="nil"/>
              <w:tr2bl w:val="nil"/>
            </w:tcBorders>
            <w:shd w:val="clear" w:color="auto" w:fill="auto"/>
            <w:tcMar>
              <w:top w:w="15" w:type="dxa"/>
              <w:left w:w="15" w:type="dxa"/>
              <w:bottom w:w="0" w:type="dxa"/>
              <w:right w:w="15" w:type="dxa"/>
            </w:tcMar>
            <w:vAlign w:val="center"/>
          </w:tcPr>
          <w:p w14:paraId="1E31E67D">
            <w:pPr>
              <w:bidi w:val="0"/>
              <w:jc w:val="center"/>
              <w:rPr>
                <w:rFonts w:hint="default" w:ascii="Times New Roman" w:hAnsi="Times New Roman" w:eastAsia="方正仿宋_GB2312" w:cs="Times New Roman"/>
                <w:snapToGrid w:val="0"/>
                <w:color w:val="auto"/>
                <w:kern w:val="0"/>
                <w:sz w:val="21"/>
                <w:szCs w:val="21"/>
                <w:lang w:val="en-US" w:eastAsia="zh-CN" w:bidi="ar-SA"/>
              </w:rPr>
            </w:pPr>
            <w:r>
              <w:rPr>
                <w:rFonts w:hint="default" w:ascii="Times New Roman" w:hAnsi="Times New Roman" w:eastAsia="方正仿宋_GB2312" w:cs="Times New Roman"/>
                <w:color w:val="auto"/>
                <w:sz w:val="21"/>
                <w:szCs w:val="21"/>
                <w:lang w:val="en-US" w:eastAsia="zh-CN"/>
              </w:rPr>
              <w:t>2</w:t>
            </w:r>
          </w:p>
        </w:tc>
        <w:tc>
          <w:tcPr>
            <w:tcW w:w="378" w:type="pct"/>
            <w:tcBorders>
              <w:tl2br w:val="nil"/>
              <w:tr2bl w:val="nil"/>
            </w:tcBorders>
            <w:shd w:val="clear" w:color="auto" w:fill="auto"/>
            <w:vAlign w:val="center"/>
          </w:tcPr>
          <w:p w14:paraId="1E4E472A">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新增</w:t>
            </w:r>
          </w:p>
        </w:tc>
      </w:tr>
      <w:tr w14:paraId="572369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462" w:type="pct"/>
            <w:vMerge w:val="continue"/>
            <w:tcBorders>
              <w:tl2br w:val="nil"/>
              <w:tr2bl w:val="nil"/>
            </w:tcBorders>
            <w:vAlign w:val="center"/>
          </w:tcPr>
          <w:p w14:paraId="73B7A7AB">
            <w:pPr>
              <w:widowControl/>
              <w:jc w:val="center"/>
              <w:rPr>
                <w:rFonts w:eastAsia="仿宋_GB2312"/>
                <w:color w:val="FF0000"/>
                <w:kern w:val="0"/>
                <w:szCs w:val="20"/>
              </w:rPr>
            </w:pPr>
          </w:p>
        </w:tc>
        <w:tc>
          <w:tcPr>
            <w:tcW w:w="346" w:type="pct"/>
            <w:tcBorders>
              <w:tl2br w:val="nil"/>
              <w:tr2bl w:val="nil"/>
            </w:tcBorders>
            <w:shd w:val="clear" w:color="auto" w:fill="auto"/>
            <w:tcMar>
              <w:top w:w="15" w:type="dxa"/>
              <w:left w:w="15" w:type="dxa"/>
              <w:bottom w:w="0" w:type="dxa"/>
              <w:right w:w="15" w:type="dxa"/>
            </w:tcMar>
            <w:vAlign w:val="center"/>
          </w:tcPr>
          <w:p w14:paraId="38BCFC96">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12</w:t>
            </w:r>
          </w:p>
        </w:tc>
        <w:tc>
          <w:tcPr>
            <w:tcW w:w="816" w:type="pct"/>
            <w:tcBorders>
              <w:tl2br w:val="nil"/>
              <w:tr2bl w:val="nil"/>
            </w:tcBorders>
            <w:shd w:val="clear" w:color="auto" w:fill="auto"/>
            <w:tcMar>
              <w:top w:w="15" w:type="dxa"/>
              <w:left w:w="15" w:type="dxa"/>
              <w:bottom w:w="0" w:type="dxa"/>
              <w:right w:w="15" w:type="dxa"/>
            </w:tcMar>
            <w:vAlign w:val="center"/>
          </w:tcPr>
          <w:p w14:paraId="79B4A463">
            <w:pPr>
              <w:bidi w:val="0"/>
              <w:jc w:val="center"/>
              <w:rPr>
                <w:rFonts w:hint="default" w:ascii="Times New Roman" w:hAnsi="Times New Roman" w:eastAsia="方正仿宋_GB2312" w:cs="Times New Roman"/>
                <w:snapToGrid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3#精馏塔</w:t>
            </w:r>
          </w:p>
        </w:tc>
        <w:tc>
          <w:tcPr>
            <w:tcW w:w="1218" w:type="pct"/>
            <w:tcBorders>
              <w:tl2br w:val="nil"/>
              <w:tr2bl w:val="nil"/>
            </w:tcBorders>
            <w:shd w:val="clear" w:color="auto" w:fill="auto"/>
            <w:tcMar>
              <w:top w:w="15" w:type="dxa"/>
              <w:left w:w="15" w:type="dxa"/>
              <w:bottom w:w="0" w:type="dxa"/>
              <w:right w:w="15" w:type="dxa"/>
            </w:tcMar>
            <w:vAlign w:val="center"/>
          </w:tcPr>
          <w:p w14:paraId="04CD7F0A">
            <w:pPr>
              <w:bidi w:val="0"/>
              <w:jc w:val="center"/>
              <w:rPr>
                <w:rFonts w:hint="default" w:ascii="Times New Roman" w:hAnsi="Times New Roman" w:eastAsia="方正仿宋_GB2312" w:cs="Times New Roman"/>
                <w:snapToGrid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Φ1200×20700</w:t>
            </w:r>
          </w:p>
        </w:tc>
        <w:tc>
          <w:tcPr>
            <w:tcW w:w="540" w:type="pct"/>
            <w:tcBorders>
              <w:tl2br w:val="nil"/>
              <w:tr2bl w:val="nil"/>
            </w:tcBorders>
            <w:shd w:val="clear" w:color="auto" w:fill="auto"/>
            <w:tcMar>
              <w:top w:w="15" w:type="dxa"/>
              <w:left w:w="15" w:type="dxa"/>
              <w:bottom w:w="0" w:type="dxa"/>
              <w:right w:w="15" w:type="dxa"/>
            </w:tcMar>
            <w:vAlign w:val="center"/>
          </w:tcPr>
          <w:p w14:paraId="69466049">
            <w:pPr>
              <w:bidi w:val="0"/>
              <w:jc w:val="center"/>
              <w:rPr>
                <w:rFonts w:hint="default" w:ascii="Times New Roman" w:hAnsi="Times New Roman" w:eastAsia="方正仿宋_GB2312" w:cs="Times New Roman"/>
                <w:snapToGrid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S304</w:t>
            </w:r>
          </w:p>
        </w:tc>
        <w:tc>
          <w:tcPr>
            <w:tcW w:w="443" w:type="pct"/>
            <w:tcBorders>
              <w:tl2br w:val="nil"/>
              <w:tr2bl w:val="nil"/>
            </w:tcBorders>
            <w:shd w:val="clear" w:color="auto" w:fill="auto"/>
            <w:tcMar>
              <w:top w:w="15" w:type="dxa"/>
              <w:left w:w="15" w:type="dxa"/>
              <w:bottom w:w="0" w:type="dxa"/>
              <w:right w:w="15" w:type="dxa"/>
            </w:tcMar>
            <w:vAlign w:val="center"/>
          </w:tcPr>
          <w:p w14:paraId="2F01C737">
            <w:pPr>
              <w:bidi w:val="0"/>
              <w:jc w:val="center"/>
              <w:rPr>
                <w:rFonts w:hint="default" w:ascii="Times New Roman" w:hAnsi="Times New Roman" w:eastAsia="方正仿宋_GB2312" w:cs="Times New Roman"/>
                <w:snapToGrid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175</w:t>
            </w:r>
          </w:p>
        </w:tc>
        <w:tc>
          <w:tcPr>
            <w:tcW w:w="451" w:type="pct"/>
            <w:tcBorders>
              <w:tl2br w:val="nil"/>
              <w:tr2bl w:val="nil"/>
            </w:tcBorders>
            <w:shd w:val="clear" w:color="auto" w:fill="auto"/>
            <w:tcMar>
              <w:top w:w="15" w:type="dxa"/>
              <w:left w:w="15" w:type="dxa"/>
              <w:bottom w:w="0" w:type="dxa"/>
              <w:right w:w="15" w:type="dxa"/>
            </w:tcMar>
            <w:vAlign w:val="center"/>
          </w:tcPr>
          <w:p w14:paraId="1D52A1A6">
            <w:pPr>
              <w:bidi w:val="0"/>
              <w:jc w:val="center"/>
              <w:rPr>
                <w:rFonts w:hint="default" w:ascii="Times New Roman" w:hAnsi="Times New Roman" w:eastAsia="方正仿宋_GB2312" w:cs="Times New Roman"/>
                <w:snapToGrid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-0.09</w:t>
            </w:r>
          </w:p>
        </w:tc>
        <w:tc>
          <w:tcPr>
            <w:tcW w:w="342" w:type="pct"/>
            <w:tcBorders>
              <w:tl2br w:val="nil"/>
              <w:tr2bl w:val="nil"/>
            </w:tcBorders>
            <w:shd w:val="clear" w:color="auto" w:fill="auto"/>
            <w:tcMar>
              <w:top w:w="15" w:type="dxa"/>
              <w:left w:w="15" w:type="dxa"/>
              <w:bottom w:w="0" w:type="dxa"/>
              <w:right w:w="15" w:type="dxa"/>
            </w:tcMar>
            <w:vAlign w:val="center"/>
          </w:tcPr>
          <w:p w14:paraId="3163735A">
            <w:pPr>
              <w:bidi w:val="0"/>
              <w:jc w:val="center"/>
              <w:rPr>
                <w:rFonts w:hint="default" w:ascii="Times New Roman" w:hAnsi="Times New Roman" w:eastAsia="方正仿宋_GB2312" w:cs="Times New Roman"/>
                <w:snapToGrid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w:t>
            </w:r>
          </w:p>
        </w:tc>
        <w:tc>
          <w:tcPr>
            <w:tcW w:w="378" w:type="pct"/>
            <w:tcBorders>
              <w:tl2br w:val="nil"/>
              <w:tr2bl w:val="nil"/>
            </w:tcBorders>
            <w:shd w:val="clear" w:color="auto" w:fill="auto"/>
            <w:vAlign w:val="center"/>
          </w:tcPr>
          <w:p w14:paraId="040F3B70">
            <w:pPr>
              <w:bidi w:val="0"/>
              <w:jc w:val="center"/>
              <w:rPr>
                <w:rFonts w:hint="default" w:ascii="Times New Roman" w:hAnsi="Times New Roman" w:eastAsia="方正仿宋_GB2312" w:cs="Times New Roman"/>
                <w:snapToGrid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利旧</w:t>
            </w:r>
          </w:p>
        </w:tc>
      </w:tr>
      <w:tr w14:paraId="16546C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462" w:type="pct"/>
            <w:vMerge w:val="continue"/>
            <w:tcBorders>
              <w:tl2br w:val="nil"/>
              <w:tr2bl w:val="nil"/>
            </w:tcBorders>
            <w:vAlign w:val="center"/>
          </w:tcPr>
          <w:p w14:paraId="39C4A343">
            <w:pPr>
              <w:widowControl/>
              <w:jc w:val="center"/>
              <w:rPr>
                <w:rFonts w:eastAsia="仿宋_GB2312"/>
                <w:color w:val="FF0000"/>
                <w:kern w:val="0"/>
                <w:szCs w:val="20"/>
              </w:rPr>
            </w:pPr>
          </w:p>
        </w:tc>
        <w:tc>
          <w:tcPr>
            <w:tcW w:w="346" w:type="pct"/>
            <w:tcBorders>
              <w:tl2br w:val="nil"/>
              <w:tr2bl w:val="nil"/>
            </w:tcBorders>
            <w:shd w:val="clear" w:color="auto" w:fill="auto"/>
            <w:tcMar>
              <w:top w:w="15" w:type="dxa"/>
              <w:left w:w="15" w:type="dxa"/>
              <w:bottom w:w="0" w:type="dxa"/>
              <w:right w:w="15" w:type="dxa"/>
            </w:tcMar>
            <w:vAlign w:val="center"/>
          </w:tcPr>
          <w:p w14:paraId="63061927">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13</w:t>
            </w:r>
          </w:p>
        </w:tc>
        <w:tc>
          <w:tcPr>
            <w:tcW w:w="816" w:type="pct"/>
            <w:tcBorders>
              <w:tl2br w:val="nil"/>
              <w:tr2bl w:val="nil"/>
            </w:tcBorders>
            <w:shd w:val="clear" w:color="auto" w:fill="auto"/>
            <w:tcMar>
              <w:top w:w="15" w:type="dxa"/>
              <w:left w:w="15" w:type="dxa"/>
              <w:bottom w:w="0" w:type="dxa"/>
              <w:right w:w="15" w:type="dxa"/>
            </w:tcMar>
            <w:vAlign w:val="center"/>
          </w:tcPr>
          <w:p w14:paraId="7FE53EEA">
            <w:pPr>
              <w:bidi w:val="0"/>
              <w:jc w:val="center"/>
              <w:rPr>
                <w:rFonts w:hint="default" w:ascii="Times New Roman" w:hAnsi="Times New Roman" w:eastAsia="方正仿宋_GB2312" w:cs="Times New Roman"/>
                <w:snapToGrid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7#精馏塔</w:t>
            </w:r>
          </w:p>
        </w:tc>
        <w:tc>
          <w:tcPr>
            <w:tcW w:w="1218" w:type="pct"/>
            <w:tcBorders>
              <w:tl2br w:val="nil"/>
              <w:tr2bl w:val="nil"/>
            </w:tcBorders>
            <w:shd w:val="clear" w:color="auto" w:fill="auto"/>
            <w:tcMar>
              <w:top w:w="15" w:type="dxa"/>
              <w:left w:w="15" w:type="dxa"/>
              <w:bottom w:w="0" w:type="dxa"/>
              <w:right w:w="15" w:type="dxa"/>
            </w:tcMar>
            <w:vAlign w:val="center"/>
          </w:tcPr>
          <w:p w14:paraId="73080834">
            <w:pPr>
              <w:bidi w:val="0"/>
              <w:jc w:val="center"/>
              <w:rPr>
                <w:rFonts w:hint="default" w:ascii="Times New Roman" w:hAnsi="Times New Roman" w:eastAsia="方正仿宋_GB2312" w:cs="Times New Roman"/>
                <w:snapToGrid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Φ1200×20700</w:t>
            </w:r>
          </w:p>
        </w:tc>
        <w:tc>
          <w:tcPr>
            <w:tcW w:w="540" w:type="pct"/>
            <w:tcBorders>
              <w:tl2br w:val="nil"/>
              <w:tr2bl w:val="nil"/>
            </w:tcBorders>
            <w:shd w:val="clear" w:color="auto" w:fill="auto"/>
            <w:tcMar>
              <w:top w:w="15" w:type="dxa"/>
              <w:left w:w="15" w:type="dxa"/>
              <w:bottom w:w="0" w:type="dxa"/>
              <w:right w:w="15" w:type="dxa"/>
            </w:tcMar>
            <w:vAlign w:val="center"/>
          </w:tcPr>
          <w:p w14:paraId="79AFFCF0">
            <w:pPr>
              <w:bidi w:val="0"/>
              <w:jc w:val="center"/>
              <w:rPr>
                <w:rFonts w:hint="default" w:ascii="Times New Roman" w:hAnsi="Times New Roman" w:eastAsia="方正仿宋_GB2312" w:cs="Times New Roman"/>
                <w:snapToGrid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S304</w:t>
            </w:r>
          </w:p>
        </w:tc>
        <w:tc>
          <w:tcPr>
            <w:tcW w:w="443" w:type="pct"/>
            <w:tcBorders>
              <w:tl2br w:val="nil"/>
              <w:tr2bl w:val="nil"/>
            </w:tcBorders>
            <w:shd w:val="clear" w:color="auto" w:fill="auto"/>
            <w:tcMar>
              <w:top w:w="15" w:type="dxa"/>
              <w:left w:w="15" w:type="dxa"/>
              <w:bottom w:w="0" w:type="dxa"/>
              <w:right w:w="15" w:type="dxa"/>
            </w:tcMar>
            <w:vAlign w:val="center"/>
          </w:tcPr>
          <w:p w14:paraId="743E09E8">
            <w:pPr>
              <w:bidi w:val="0"/>
              <w:jc w:val="center"/>
              <w:rPr>
                <w:rFonts w:hint="default" w:ascii="Times New Roman" w:hAnsi="Times New Roman" w:eastAsia="方正仿宋_GB2312" w:cs="Times New Roman"/>
                <w:snapToGrid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175</w:t>
            </w:r>
          </w:p>
        </w:tc>
        <w:tc>
          <w:tcPr>
            <w:tcW w:w="451" w:type="pct"/>
            <w:tcBorders>
              <w:tl2br w:val="nil"/>
              <w:tr2bl w:val="nil"/>
            </w:tcBorders>
            <w:shd w:val="clear" w:color="auto" w:fill="auto"/>
            <w:tcMar>
              <w:top w:w="15" w:type="dxa"/>
              <w:left w:w="15" w:type="dxa"/>
              <w:bottom w:w="0" w:type="dxa"/>
              <w:right w:w="15" w:type="dxa"/>
            </w:tcMar>
            <w:vAlign w:val="center"/>
          </w:tcPr>
          <w:p w14:paraId="0B0DEC6E">
            <w:pPr>
              <w:bidi w:val="0"/>
              <w:jc w:val="center"/>
              <w:rPr>
                <w:rFonts w:hint="default" w:ascii="Times New Roman" w:hAnsi="Times New Roman" w:eastAsia="方正仿宋_GB2312" w:cs="Times New Roman"/>
                <w:snapToGrid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-0.09</w:t>
            </w:r>
          </w:p>
        </w:tc>
        <w:tc>
          <w:tcPr>
            <w:tcW w:w="342" w:type="pct"/>
            <w:tcBorders>
              <w:tl2br w:val="nil"/>
              <w:tr2bl w:val="nil"/>
            </w:tcBorders>
            <w:shd w:val="clear" w:color="auto" w:fill="auto"/>
            <w:tcMar>
              <w:top w:w="15" w:type="dxa"/>
              <w:left w:w="15" w:type="dxa"/>
              <w:bottom w:w="0" w:type="dxa"/>
              <w:right w:w="15" w:type="dxa"/>
            </w:tcMar>
            <w:vAlign w:val="center"/>
          </w:tcPr>
          <w:p w14:paraId="04697A07">
            <w:pPr>
              <w:bidi w:val="0"/>
              <w:jc w:val="center"/>
              <w:rPr>
                <w:rFonts w:hint="default" w:ascii="Times New Roman" w:hAnsi="Times New Roman" w:eastAsia="方正仿宋_GB2312" w:cs="Times New Roman"/>
                <w:snapToGrid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w:t>
            </w:r>
          </w:p>
        </w:tc>
        <w:tc>
          <w:tcPr>
            <w:tcW w:w="378" w:type="pct"/>
            <w:tcBorders>
              <w:tl2br w:val="nil"/>
              <w:tr2bl w:val="nil"/>
            </w:tcBorders>
            <w:shd w:val="clear" w:color="auto" w:fill="auto"/>
            <w:vAlign w:val="center"/>
          </w:tcPr>
          <w:p w14:paraId="5923CCA6">
            <w:pPr>
              <w:bidi w:val="0"/>
              <w:jc w:val="center"/>
              <w:rPr>
                <w:rFonts w:hint="default" w:ascii="Times New Roman" w:hAnsi="Times New Roman" w:eastAsia="方正仿宋_GB2312" w:cs="Times New Roman"/>
                <w:snapToGrid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利旧</w:t>
            </w:r>
          </w:p>
        </w:tc>
      </w:tr>
      <w:tr w14:paraId="748585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462" w:type="pct"/>
            <w:vMerge w:val="continue"/>
            <w:tcBorders>
              <w:tl2br w:val="nil"/>
              <w:tr2bl w:val="nil"/>
            </w:tcBorders>
            <w:vAlign w:val="center"/>
          </w:tcPr>
          <w:p w14:paraId="6BB52DB9">
            <w:pPr>
              <w:widowControl/>
              <w:jc w:val="center"/>
              <w:rPr>
                <w:rFonts w:eastAsia="仿宋_GB2312"/>
                <w:color w:val="FF0000"/>
                <w:kern w:val="0"/>
                <w:szCs w:val="20"/>
              </w:rPr>
            </w:pPr>
          </w:p>
        </w:tc>
        <w:tc>
          <w:tcPr>
            <w:tcW w:w="346" w:type="pct"/>
            <w:tcBorders>
              <w:tl2br w:val="nil"/>
              <w:tr2bl w:val="nil"/>
            </w:tcBorders>
            <w:shd w:val="clear" w:color="auto" w:fill="auto"/>
            <w:tcMar>
              <w:top w:w="15" w:type="dxa"/>
              <w:left w:w="15" w:type="dxa"/>
              <w:bottom w:w="0" w:type="dxa"/>
              <w:right w:w="15" w:type="dxa"/>
            </w:tcMar>
            <w:vAlign w:val="center"/>
          </w:tcPr>
          <w:p w14:paraId="4D6F1DB3">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14</w:t>
            </w:r>
          </w:p>
        </w:tc>
        <w:tc>
          <w:tcPr>
            <w:tcW w:w="816" w:type="pct"/>
            <w:tcBorders>
              <w:tl2br w:val="nil"/>
              <w:tr2bl w:val="nil"/>
            </w:tcBorders>
            <w:shd w:val="clear" w:color="auto" w:fill="auto"/>
            <w:tcMar>
              <w:top w:w="15" w:type="dxa"/>
              <w:left w:w="15" w:type="dxa"/>
              <w:bottom w:w="0" w:type="dxa"/>
              <w:right w:w="15" w:type="dxa"/>
            </w:tcMar>
            <w:vAlign w:val="center"/>
          </w:tcPr>
          <w:p w14:paraId="1562FEEC">
            <w:pPr>
              <w:bidi w:val="0"/>
              <w:jc w:val="center"/>
              <w:rPr>
                <w:rFonts w:hint="default" w:ascii="Times New Roman" w:hAnsi="Times New Roman" w:eastAsia="方正仿宋_GB2312" w:cs="Times New Roman"/>
                <w:snapToGrid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3#塔回流泵</w:t>
            </w:r>
          </w:p>
        </w:tc>
        <w:tc>
          <w:tcPr>
            <w:tcW w:w="1218" w:type="pct"/>
            <w:tcBorders>
              <w:tl2br w:val="nil"/>
              <w:tr2bl w:val="nil"/>
            </w:tcBorders>
            <w:shd w:val="clear" w:color="auto" w:fill="auto"/>
            <w:tcMar>
              <w:top w:w="15" w:type="dxa"/>
              <w:left w:w="15" w:type="dxa"/>
              <w:bottom w:w="0" w:type="dxa"/>
              <w:right w:w="15" w:type="dxa"/>
            </w:tcMar>
            <w:vAlign w:val="center"/>
          </w:tcPr>
          <w:p w14:paraId="063CBD3A">
            <w:pPr>
              <w:bidi w:val="0"/>
              <w:jc w:val="center"/>
              <w:rPr>
                <w:rFonts w:hint="default" w:ascii="Times New Roman" w:hAnsi="Times New Roman" w:eastAsia="方正仿宋_GB2312" w:cs="Times New Roman"/>
                <w:snapToGrid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Q=10m</w:t>
            </w:r>
            <w:r>
              <w:rPr>
                <w:rFonts w:hint="default" w:ascii="Times New Roman" w:hAnsi="Times New Roman" w:eastAsia="方正仿宋_GB2312" w:cs="Times New Roman"/>
                <w:color w:val="000000" w:themeColor="text1"/>
                <w:sz w:val="21"/>
                <w:szCs w:val="21"/>
                <w:vertAlign w:val="superscript"/>
                <w:lang w:val="en-US" w:eastAsia="zh-CN"/>
                <w14:textFill>
                  <w14:solidFill>
                    <w14:schemeClr w14:val="tx1"/>
                  </w14:solidFill>
                </w14:textFill>
              </w:rPr>
              <w:t>3</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/h</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H=32m</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5kw</w:t>
            </w:r>
          </w:p>
        </w:tc>
        <w:tc>
          <w:tcPr>
            <w:tcW w:w="540" w:type="pct"/>
            <w:tcBorders>
              <w:tl2br w:val="nil"/>
              <w:tr2bl w:val="nil"/>
            </w:tcBorders>
            <w:shd w:val="clear" w:color="auto" w:fill="auto"/>
            <w:tcMar>
              <w:top w:w="15" w:type="dxa"/>
              <w:left w:w="15" w:type="dxa"/>
              <w:bottom w:w="0" w:type="dxa"/>
              <w:right w:w="15" w:type="dxa"/>
            </w:tcMar>
            <w:vAlign w:val="center"/>
          </w:tcPr>
          <w:p w14:paraId="02775197">
            <w:pPr>
              <w:bidi w:val="0"/>
              <w:jc w:val="center"/>
              <w:rPr>
                <w:rFonts w:hint="default" w:ascii="Times New Roman" w:hAnsi="Times New Roman" w:eastAsia="方正仿宋_GB2312" w:cs="Times New Roman"/>
                <w:snapToGrid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组合件</w:t>
            </w:r>
          </w:p>
        </w:tc>
        <w:tc>
          <w:tcPr>
            <w:tcW w:w="443" w:type="pct"/>
            <w:tcBorders>
              <w:tl2br w:val="nil"/>
              <w:tr2bl w:val="nil"/>
            </w:tcBorders>
            <w:shd w:val="clear" w:color="auto" w:fill="auto"/>
            <w:tcMar>
              <w:top w:w="15" w:type="dxa"/>
              <w:left w:w="15" w:type="dxa"/>
              <w:bottom w:w="0" w:type="dxa"/>
              <w:right w:w="15" w:type="dxa"/>
            </w:tcMar>
            <w:vAlign w:val="center"/>
          </w:tcPr>
          <w:p w14:paraId="6368E99D">
            <w:pPr>
              <w:bidi w:val="0"/>
              <w:jc w:val="center"/>
              <w:rPr>
                <w:rFonts w:hint="default" w:ascii="Times New Roman" w:hAnsi="Times New Roman" w:eastAsia="方正仿宋_GB2312" w:cs="Times New Roman"/>
                <w:snapToGrid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40</w:t>
            </w:r>
          </w:p>
        </w:tc>
        <w:tc>
          <w:tcPr>
            <w:tcW w:w="451" w:type="pct"/>
            <w:tcBorders>
              <w:tl2br w:val="nil"/>
              <w:tr2bl w:val="nil"/>
            </w:tcBorders>
            <w:shd w:val="clear" w:color="auto" w:fill="auto"/>
            <w:tcMar>
              <w:top w:w="15" w:type="dxa"/>
              <w:left w:w="15" w:type="dxa"/>
              <w:bottom w:w="0" w:type="dxa"/>
              <w:right w:w="15" w:type="dxa"/>
            </w:tcMar>
            <w:vAlign w:val="center"/>
          </w:tcPr>
          <w:p w14:paraId="1C6F6083">
            <w:pPr>
              <w:bidi w:val="0"/>
              <w:jc w:val="center"/>
              <w:rPr>
                <w:rFonts w:hint="default" w:ascii="Times New Roman" w:hAnsi="Times New Roman" w:eastAsia="方正仿宋_GB2312" w:cs="Times New Roman"/>
                <w:snapToGrid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0.32</w:t>
            </w:r>
          </w:p>
        </w:tc>
        <w:tc>
          <w:tcPr>
            <w:tcW w:w="342" w:type="pct"/>
            <w:tcBorders>
              <w:tl2br w:val="nil"/>
              <w:tr2bl w:val="nil"/>
            </w:tcBorders>
            <w:shd w:val="clear" w:color="auto" w:fill="auto"/>
            <w:tcMar>
              <w:top w:w="15" w:type="dxa"/>
              <w:left w:w="15" w:type="dxa"/>
              <w:bottom w:w="0" w:type="dxa"/>
              <w:right w:w="15" w:type="dxa"/>
            </w:tcMar>
            <w:vAlign w:val="center"/>
          </w:tcPr>
          <w:p w14:paraId="5027E7B0">
            <w:pPr>
              <w:bidi w:val="0"/>
              <w:jc w:val="center"/>
              <w:rPr>
                <w:rFonts w:hint="default" w:ascii="Times New Roman" w:hAnsi="Times New Roman" w:eastAsia="方正仿宋_GB2312" w:cs="Times New Roman"/>
                <w:snapToGrid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2</w:t>
            </w:r>
          </w:p>
        </w:tc>
        <w:tc>
          <w:tcPr>
            <w:tcW w:w="378" w:type="pct"/>
            <w:tcBorders>
              <w:tl2br w:val="nil"/>
              <w:tr2bl w:val="nil"/>
            </w:tcBorders>
            <w:shd w:val="clear" w:color="auto" w:fill="auto"/>
            <w:vAlign w:val="center"/>
          </w:tcPr>
          <w:p w14:paraId="4BB3E214">
            <w:pPr>
              <w:bidi w:val="0"/>
              <w:jc w:val="center"/>
              <w:rPr>
                <w:rFonts w:hint="default" w:ascii="Times New Roman" w:hAnsi="Times New Roman" w:eastAsia="方正仿宋_GB2312" w:cs="Times New Roman"/>
                <w:snapToGrid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利旧</w:t>
            </w:r>
          </w:p>
        </w:tc>
      </w:tr>
      <w:tr w14:paraId="71E92C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462" w:type="pct"/>
            <w:vMerge w:val="continue"/>
            <w:tcBorders>
              <w:tl2br w:val="nil"/>
              <w:tr2bl w:val="nil"/>
            </w:tcBorders>
            <w:vAlign w:val="center"/>
          </w:tcPr>
          <w:p w14:paraId="4B14B337">
            <w:pPr>
              <w:widowControl/>
              <w:jc w:val="center"/>
              <w:rPr>
                <w:rFonts w:eastAsia="仿宋_GB2312"/>
                <w:color w:val="FF0000"/>
                <w:kern w:val="0"/>
                <w:szCs w:val="20"/>
              </w:rPr>
            </w:pPr>
          </w:p>
        </w:tc>
        <w:tc>
          <w:tcPr>
            <w:tcW w:w="346" w:type="pct"/>
            <w:tcBorders>
              <w:tl2br w:val="nil"/>
              <w:tr2bl w:val="nil"/>
            </w:tcBorders>
            <w:shd w:val="clear" w:color="auto" w:fill="auto"/>
            <w:tcMar>
              <w:top w:w="15" w:type="dxa"/>
              <w:left w:w="15" w:type="dxa"/>
              <w:bottom w:w="0" w:type="dxa"/>
              <w:right w:w="15" w:type="dxa"/>
            </w:tcMar>
            <w:vAlign w:val="center"/>
          </w:tcPr>
          <w:p w14:paraId="708F5CCF">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15</w:t>
            </w:r>
          </w:p>
        </w:tc>
        <w:tc>
          <w:tcPr>
            <w:tcW w:w="816" w:type="pct"/>
            <w:tcBorders>
              <w:tl2br w:val="nil"/>
              <w:tr2bl w:val="nil"/>
            </w:tcBorders>
            <w:shd w:val="clear" w:color="auto" w:fill="auto"/>
            <w:tcMar>
              <w:top w:w="15" w:type="dxa"/>
              <w:left w:w="15" w:type="dxa"/>
              <w:bottom w:w="0" w:type="dxa"/>
              <w:right w:w="15" w:type="dxa"/>
            </w:tcMar>
            <w:vAlign w:val="center"/>
          </w:tcPr>
          <w:p w14:paraId="290C1D53">
            <w:pPr>
              <w:bidi w:val="0"/>
              <w:jc w:val="center"/>
              <w:rPr>
                <w:rFonts w:hint="default" w:ascii="Times New Roman" w:hAnsi="Times New Roman" w:eastAsia="方正仿宋_GB2312" w:cs="Times New Roman"/>
                <w:snapToGrid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7#塔回流泵</w:t>
            </w:r>
          </w:p>
        </w:tc>
        <w:tc>
          <w:tcPr>
            <w:tcW w:w="1218" w:type="pct"/>
            <w:tcBorders>
              <w:tl2br w:val="nil"/>
              <w:tr2bl w:val="nil"/>
            </w:tcBorders>
            <w:shd w:val="clear" w:color="auto" w:fill="auto"/>
            <w:tcMar>
              <w:top w:w="15" w:type="dxa"/>
              <w:left w:w="15" w:type="dxa"/>
              <w:bottom w:w="0" w:type="dxa"/>
              <w:right w:w="15" w:type="dxa"/>
            </w:tcMar>
            <w:vAlign w:val="center"/>
          </w:tcPr>
          <w:p w14:paraId="11DD15D0">
            <w:pPr>
              <w:bidi w:val="0"/>
              <w:jc w:val="center"/>
              <w:rPr>
                <w:rFonts w:hint="default" w:ascii="Times New Roman" w:hAnsi="Times New Roman" w:eastAsia="方正仿宋_GB2312" w:cs="Times New Roman"/>
                <w:snapToGrid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Q=10m</w:t>
            </w:r>
            <w:r>
              <w:rPr>
                <w:rFonts w:hint="default" w:ascii="Times New Roman" w:hAnsi="Times New Roman" w:eastAsia="方正仿宋_GB2312" w:cs="Times New Roman"/>
                <w:color w:val="000000" w:themeColor="text1"/>
                <w:sz w:val="21"/>
                <w:szCs w:val="21"/>
                <w:vertAlign w:val="superscript"/>
                <w:lang w:val="en-US" w:eastAsia="zh-CN"/>
                <w14:textFill>
                  <w14:solidFill>
                    <w14:schemeClr w14:val="tx1"/>
                  </w14:solidFill>
                </w14:textFill>
              </w:rPr>
              <w:t>3</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/h</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H=32m</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5kw</w:t>
            </w:r>
          </w:p>
        </w:tc>
        <w:tc>
          <w:tcPr>
            <w:tcW w:w="540" w:type="pct"/>
            <w:tcBorders>
              <w:tl2br w:val="nil"/>
              <w:tr2bl w:val="nil"/>
            </w:tcBorders>
            <w:shd w:val="clear" w:color="auto" w:fill="auto"/>
            <w:tcMar>
              <w:top w:w="15" w:type="dxa"/>
              <w:left w:w="15" w:type="dxa"/>
              <w:bottom w:w="0" w:type="dxa"/>
              <w:right w:w="15" w:type="dxa"/>
            </w:tcMar>
            <w:vAlign w:val="center"/>
          </w:tcPr>
          <w:p w14:paraId="7B32C9DC">
            <w:pPr>
              <w:bidi w:val="0"/>
              <w:jc w:val="center"/>
              <w:rPr>
                <w:rFonts w:hint="default" w:ascii="Times New Roman" w:hAnsi="Times New Roman" w:eastAsia="方正仿宋_GB2312" w:cs="Times New Roman"/>
                <w:snapToGrid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组合件</w:t>
            </w:r>
          </w:p>
        </w:tc>
        <w:tc>
          <w:tcPr>
            <w:tcW w:w="443" w:type="pct"/>
            <w:tcBorders>
              <w:tl2br w:val="nil"/>
              <w:tr2bl w:val="nil"/>
            </w:tcBorders>
            <w:shd w:val="clear" w:color="auto" w:fill="auto"/>
            <w:tcMar>
              <w:top w:w="15" w:type="dxa"/>
              <w:left w:w="15" w:type="dxa"/>
              <w:bottom w:w="0" w:type="dxa"/>
              <w:right w:w="15" w:type="dxa"/>
            </w:tcMar>
            <w:vAlign w:val="center"/>
          </w:tcPr>
          <w:p w14:paraId="5DBF0246">
            <w:pPr>
              <w:bidi w:val="0"/>
              <w:jc w:val="center"/>
              <w:rPr>
                <w:rFonts w:hint="default" w:ascii="Times New Roman" w:hAnsi="Times New Roman" w:eastAsia="方正仿宋_GB2312" w:cs="Times New Roman"/>
                <w:snapToGrid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40</w:t>
            </w:r>
          </w:p>
        </w:tc>
        <w:tc>
          <w:tcPr>
            <w:tcW w:w="451" w:type="pct"/>
            <w:tcBorders>
              <w:tl2br w:val="nil"/>
              <w:tr2bl w:val="nil"/>
            </w:tcBorders>
            <w:shd w:val="clear" w:color="auto" w:fill="auto"/>
            <w:tcMar>
              <w:top w:w="15" w:type="dxa"/>
              <w:left w:w="15" w:type="dxa"/>
              <w:bottom w:w="0" w:type="dxa"/>
              <w:right w:w="15" w:type="dxa"/>
            </w:tcMar>
            <w:vAlign w:val="center"/>
          </w:tcPr>
          <w:p w14:paraId="04FF80E8">
            <w:pPr>
              <w:bidi w:val="0"/>
              <w:jc w:val="center"/>
              <w:rPr>
                <w:rFonts w:hint="default" w:ascii="Times New Roman" w:hAnsi="Times New Roman" w:eastAsia="方正仿宋_GB2312" w:cs="Times New Roman"/>
                <w:snapToGrid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0.32</w:t>
            </w:r>
          </w:p>
        </w:tc>
        <w:tc>
          <w:tcPr>
            <w:tcW w:w="342" w:type="pct"/>
            <w:tcBorders>
              <w:tl2br w:val="nil"/>
              <w:tr2bl w:val="nil"/>
            </w:tcBorders>
            <w:shd w:val="clear" w:color="auto" w:fill="auto"/>
            <w:tcMar>
              <w:top w:w="15" w:type="dxa"/>
              <w:left w:w="15" w:type="dxa"/>
              <w:bottom w:w="0" w:type="dxa"/>
              <w:right w:w="15" w:type="dxa"/>
            </w:tcMar>
            <w:vAlign w:val="center"/>
          </w:tcPr>
          <w:p w14:paraId="753888EB">
            <w:pPr>
              <w:bidi w:val="0"/>
              <w:jc w:val="center"/>
              <w:rPr>
                <w:rFonts w:hint="default" w:ascii="Times New Roman" w:hAnsi="Times New Roman" w:eastAsia="方正仿宋_GB2312" w:cs="Times New Roman"/>
                <w:snapToGrid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2</w:t>
            </w:r>
          </w:p>
        </w:tc>
        <w:tc>
          <w:tcPr>
            <w:tcW w:w="378" w:type="pct"/>
            <w:tcBorders>
              <w:tl2br w:val="nil"/>
              <w:tr2bl w:val="nil"/>
            </w:tcBorders>
            <w:shd w:val="clear" w:color="auto" w:fill="auto"/>
            <w:vAlign w:val="center"/>
          </w:tcPr>
          <w:p w14:paraId="55A9A463">
            <w:pPr>
              <w:bidi w:val="0"/>
              <w:jc w:val="center"/>
              <w:rPr>
                <w:rFonts w:hint="default" w:ascii="Times New Roman" w:hAnsi="Times New Roman" w:eastAsia="方正仿宋_GB2312" w:cs="Times New Roman"/>
                <w:snapToGrid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利旧</w:t>
            </w:r>
          </w:p>
        </w:tc>
      </w:tr>
      <w:tr w14:paraId="77F0D0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462" w:type="pct"/>
            <w:vMerge w:val="continue"/>
            <w:tcBorders>
              <w:tl2br w:val="nil"/>
              <w:tr2bl w:val="nil"/>
            </w:tcBorders>
            <w:vAlign w:val="center"/>
          </w:tcPr>
          <w:p w14:paraId="7EB11024">
            <w:pPr>
              <w:widowControl/>
              <w:jc w:val="center"/>
              <w:rPr>
                <w:rFonts w:eastAsia="仿宋_GB2312"/>
                <w:color w:val="FF0000"/>
                <w:kern w:val="0"/>
                <w:szCs w:val="20"/>
              </w:rPr>
            </w:pPr>
          </w:p>
        </w:tc>
        <w:tc>
          <w:tcPr>
            <w:tcW w:w="346" w:type="pct"/>
            <w:tcBorders>
              <w:tl2br w:val="nil"/>
              <w:tr2bl w:val="nil"/>
            </w:tcBorders>
            <w:shd w:val="clear" w:color="auto" w:fill="auto"/>
            <w:tcMar>
              <w:top w:w="15" w:type="dxa"/>
              <w:left w:w="15" w:type="dxa"/>
              <w:bottom w:w="0" w:type="dxa"/>
              <w:right w:w="15" w:type="dxa"/>
            </w:tcMar>
            <w:vAlign w:val="center"/>
          </w:tcPr>
          <w:p w14:paraId="261E6FA2">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16</w:t>
            </w:r>
          </w:p>
        </w:tc>
        <w:tc>
          <w:tcPr>
            <w:tcW w:w="816" w:type="pct"/>
            <w:tcBorders>
              <w:tl2br w:val="nil"/>
              <w:tr2bl w:val="nil"/>
            </w:tcBorders>
            <w:shd w:val="clear" w:color="auto" w:fill="auto"/>
            <w:tcMar>
              <w:top w:w="15" w:type="dxa"/>
              <w:left w:w="15" w:type="dxa"/>
              <w:bottom w:w="0" w:type="dxa"/>
              <w:right w:w="15" w:type="dxa"/>
            </w:tcMar>
            <w:vAlign w:val="center"/>
          </w:tcPr>
          <w:p w14:paraId="39B5CA6C">
            <w:pPr>
              <w:bidi w:val="0"/>
              <w:jc w:val="center"/>
              <w:rPr>
                <w:rFonts w:hint="default" w:ascii="Times New Roman" w:hAnsi="Times New Roman" w:eastAsia="方正仿宋_GB2312" w:cs="Times New Roman"/>
                <w:snapToGrid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3#塔釜输送泵</w:t>
            </w:r>
          </w:p>
        </w:tc>
        <w:tc>
          <w:tcPr>
            <w:tcW w:w="1218" w:type="pct"/>
            <w:tcBorders>
              <w:tl2br w:val="nil"/>
              <w:tr2bl w:val="nil"/>
            </w:tcBorders>
            <w:shd w:val="clear" w:color="auto" w:fill="auto"/>
            <w:tcMar>
              <w:top w:w="15" w:type="dxa"/>
              <w:left w:w="15" w:type="dxa"/>
              <w:bottom w:w="0" w:type="dxa"/>
              <w:right w:w="15" w:type="dxa"/>
            </w:tcMar>
            <w:vAlign w:val="center"/>
          </w:tcPr>
          <w:p w14:paraId="167781FB">
            <w:pPr>
              <w:bidi w:val="0"/>
              <w:jc w:val="center"/>
              <w:rPr>
                <w:rFonts w:hint="default" w:ascii="Times New Roman" w:hAnsi="Times New Roman" w:eastAsia="方正仿宋_GB2312" w:cs="Times New Roman"/>
                <w:snapToGrid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Q=8m</w:t>
            </w:r>
            <w:r>
              <w:rPr>
                <w:rFonts w:hint="default" w:ascii="Times New Roman" w:hAnsi="Times New Roman" w:eastAsia="方正仿宋_GB2312" w:cs="Times New Roman"/>
                <w:color w:val="000000" w:themeColor="text1"/>
                <w:sz w:val="21"/>
                <w:szCs w:val="21"/>
                <w:vertAlign w:val="superscript"/>
                <w:lang w:val="en-US" w:eastAsia="zh-CN"/>
                <w14:textFill>
                  <w14:solidFill>
                    <w14:schemeClr w14:val="tx1"/>
                  </w14:solidFill>
                </w14:textFill>
              </w:rPr>
              <w:t>3</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/h</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H=25m</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5kw</w:t>
            </w:r>
          </w:p>
        </w:tc>
        <w:tc>
          <w:tcPr>
            <w:tcW w:w="540" w:type="pct"/>
            <w:tcBorders>
              <w:tl2br w:val="nil"/>
              <w:tr2bl w:val="nil"/>
            </w:tcBorders>
            <w:shd w:val="clear" w:color="auto" w:fill="auto"/>
            <w:tcMar>
              <w:top w:w="15" w:type="dxa"/>
              <w:left w:w="15" w:type="dxa"/>
              <w:bottom w:w="0" w:type="dxa"/>
              <w:right w:w="15" w:type="dxa"/>
            </w:tcMar>
            <w:vAlign w:val="center"/>
          </w:tcPr>
          <w:p w14:paraId="3FC5F37D">
            <w:pPr>
              <w:bidi w:val="0"/>
              <w:jc w:val="center"/>
              <w:rPr>
                <w:rFonts w:hint="default" w:ascii="Times New Roman" w:hAnsi="Times New Roman" w:eastAsia="方正仿宋_GB2312" w:cs="Times New Roman"/>
                <w:snapToGrid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组合件</w:t>
            </w:r>
          </w:p>
        </w:tc>
        <w:tc>
          <w:tcPr>
            <w:tcW w:w="443" w:type="pct"/>
            <w:tcBorders>
              <w:tl2br w:val="nil"/>
              <w:tr2bl w:val="nil"/>
            </w:tcBorders>
            <w:shd w:val="clear" w:color="auto" w:fill="auto"/>
            <w:tcMar>
              <w:top w:w="15" w:type="dxa"/>
              <w:left w:w="15" w:type="dxa"/>
              <w:bottom w:w="0" w:type="dxa"/>
              <w:right w:w="15" w:type="dxa"/>
            </w:tcMar>
            <w:vAlign w:val="center"/>
          </w:tcPr>
          <w:p w14:paraId="35AF683C">
            <w:pPr>
              <w:bidi w:val="0"/>
              <w:jc w:val="center"/>
              <w:rPr>
                <w:rFonts w:hint="default" w:ascii="Times New Roman" w:hAnsi="Times New Roman" w:eastAsia="方正仿宋_GB2312" w:cs="Times New Roman"/>
                <w:snapToGrid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175</w:t>
            </w:r>
          </w:p>
        </w:tc>
        <w:tc>
          <w:tcPr>
            <w:tcW w:w="451" w:type="pct"/>
            <w:tcBorders>
              <w:tl2br w:val="nil"/>
              <w:tr2bl w:val="nil"/>
            </w:tcBorders>
            <w:shd w:val="clear" w:color="auto" w:fill="auto"/>
            <w:tcMar>
              <w:top w:w="15" w:type="dxa"/>
              <w:left w:w="15" w:type="dxa"/>
              <w:bottom w:w="0" w:type="dxa"/>
              <w:right w:w="15" w:type="dxa"/>
            </w:tcMar>
            <w:vAlign w:val="center"/>
          </w:tcPr>
          <w:p w14:paraId="2763780D">
            <w:pPr>
              <w:bidi w:val="0"/>
              <w:jc w:val="center"/>
              <w:rPr>
                <w:rFonts w:hint="default" w:ascii="Times New Roman" w:hAnsi="Times New Roman" w:eastAsia="方正仿宋_GB2312" w:cs="Times New Roman"/>
                <w:snapToGrid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0.25</w:t>
            </w:r>
          </w:p>
        </w:tc>
        <w:tc>
          <w:tcPr>
            <w:tcW w:w="342" w:type="pct"/>
            <w:tcBorders>
              <w:tl2br w:val="nil"/>
              <w:tr2bl w:val="nil"/>
            </w:tcBorders>
            <w:shd w:val="clear" w:color="auto" w:fill="auto"/>
            <w:tcMar>
              <w:top w:w="15" w:type="dxa"/>
              <w:left w:w="15" w:type="dxa"/>
              <w:bottom w:w="0" w:type="dxa"/>
              <w:right w:w="15" w:type="dxa"/>
            </w:tcMar>
            <w:vAlign w:val="center"/>
          </w:tcPr>
          <w:p w14:paraId="712BF2B8">
            <w:pPr>
              <w:bidi w:val="0"/>
              <w:jc w:val="center"/>
              <w:rPr>
                <w:rFonts w:hint="default" w:ascii="Times New Roman" w:hAnsi="Times New Roman" w:eastAsia="方正仿宋_GB2312" w:cs="Times New Roman"/>
                <w:snapToGrid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2</w:t>
            </w:r>
          </w:p>
        </w:tc>
        <w:tc>
          <w:tcPr>
            <w:tcW w:w="378" w:type="pct"/>
            <w:tcBorders>
              <w:tl2br w:val="nil"/>
              <w:tr2bl w:val="nil"/>
            </w:tcBorders>
            <w:shd w:val="clear" w:color="auto" w:fill="auto"/>
            <w:vAlign w:val="center"/>
          </w:tcPr>
          <w:p w14:paraId="2AC3F965">
            <w:pPr>
              <w:bidi w:val="0"/>
              <w:jc w:val="center"/>
              <w:rPr>
                <w:rFonts w:hint="default" w:ascii="Times New Roman" w:hAnsi="Times New Roman" w:eastAsia="方正仿宋_GB2312" w:cs="Times New Roman"/>
                <w:snapToGrid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利旧</w:t>
            </w:r>
          </w:p>
        </w:tc>
      </w:tr>
      <w:tr w14:paraId="6A15E5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462" w:type="pct"/>
            <w:vMerge w:val="continue"/>
            <w:tcBorders>
              <w:tl2br w:val="nil"/>
              <w:tr2bl w:val="nil"/>
            </w:tcBorders>
            <w:vAlign w:val="center"/>
          </w:tcPr>
          <w:p w14:paraId="2AA834AA">
            <w:pPr>
              <w:widowControl/>
              <w:jc w:val="center"/>
              <w:rPr>
                <w:rFonts w:eastAsia="仿宋_GB2312"/>
                <w:color w:val="FF0000"/>
                <w:kern w:val="0"/>
                <w:szCs w:val="20"/>
              </w:rPr>
            </w:pPr>
          </w:p>
        </w:tc>
        <w:tc>
          <w:tcPr>
            <w:tcW w:w="346" w:type="pct"/>
            <w:tcBorders>
              <w:tl2br w:val="nil"/>
              <w:tr2bl w:val="nil"/>
            </w:tcBorders>
            <w:shd w:val="clear" w:color="auto" w:fill="auto"/>
            <w:tcMar>
              <w:top w:w="15" w:type="dxa"/>
              <w:left w:w="15" w:type="dxa"/>
              <w:bottom w:w="0" w:type="dxa"/>
              <w:right w:w="15" w:type="dxa"/>
            </w:tcMar>
            <w:vAlign w:val="center"/>
          </w:tcPr>
          <w:p w14:paraId="268FBAF8">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17</w:t>
            </w:r>
          </w:p>
        </w:tc>
        <w:tc>
          <w:tcPr>
            <w:tcW w:w="816" w:type="pct"/>
            <w:tcBorders>
              <w:tl2br w:val="nil"/>
              <w:tr2bl w:val="nil"/>
            </w:tcBorders>
            <w:shd w:val="clear" w:color="auto" w:fill="auto"/>
            <w:tcMar>
              <w:top w:w="15" w:type="dxa"/>
              <w:left w:w="15" w:type="dxa"/>
              <w:bottom w:w="0" w:type="dxa"/>
              <w:right w:w="15" w:type="dxa"/>
            </w:tcMar>
            <w:vAlign w:val="center"/>
          </w:tcPr>
          <w:p w14:paraId="3FB88218">
            <w:pPr>
              <w:bidi w:val="0"/>
              <w:jc w:val="center"/>
              <w:rPr>
                <w:rFonts w:hint="default" w:ascii="Times New Roman" w:hAnsi="Times New Roman" w:eastAsia="方正仿宋_GB2312" w:cs="Times New Roman"/>
                <w:snapToGrid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7#塔釜输送泵</w:t>
            </w:r>
          </w:p>
        </w:tc>
        <w:tc>
          <w:tcPr>
            <w:tcW w:w="1218" w:type="pct"/>
            <w:tcBorders>
              <w:tl2br w:val="nil"/>
              <w:tr2bl w:val="nil"/>
            </w:tcBorders>
            <w:shd w:val="clear" w:color="auto" w:fill="auto"/>
            <w:tcMar>
              <w:top w:w="15" w:type="dxa"/>
              <w:left w:w="15" w:type="dxa"/>
              <w:bottom w:w="0" w:type="dxa"/>
              <w:right w:w="15" w:type="dxa"/>
            </w:tcMar>
            <w:vAlign w:val="center"/>
          </w:tcPr>
          <w:p w14:paraId="1CC184D5">
            <w:pPr>
              <w:bidi w:val="0"/>
              <w:jc w:val="center"/>
              <w:rPr>
                <w:rFonts w:hint="default" w:ascii="Times New Roman" w:hAnsi="Times New Roman" w:eastAsia="方正仿宋_GB2312" w:cs="Times New Roman"/>
                <w:snapToGrid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Q=8m</w:t>
            </w:r>
            <w:r>
              <w:rPr>
                <w:rFonts w:hint="default" w:ascii="Times New Roman" w:hAnsi="Times New Roman" w:eastAsia="方正仿宋_GB2312" w:cs="Times New Roman"/>
                <w:color w:val="000000" w:themeColor="text1"/>
                <w:sz w:val="21"/>
                <w:szCs w:val="21"/>
                <w:vertAlign w:val="superscript"/>
                <w:lang w:val="en-US" w:eastAsia="zh-CN"/>
                <w14:textFill>
                  <w14:solidFill>
                    <w14:schemeClr w14:val="tx1"/>
                  </w14:solidFill>
                </w14:textFill>
              </w:rPr>
              <w:t>3</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/h</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H=25m</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5kw</w:t>
            </w:r>
          </w:p>
        </w:tc>
        <w:tc>
          <w:tcPr>
            <w:tcW w:w="540" w:type="pct"/>
            <w:tcBorders>
              <w:tl2br w:val="nil"/>
              <w:tr2bl w:val="nil"/>
            </w:tcBorders>
            <w:shd w:val="clear" w:color="auto" w:fill="auto"/>
            <w:tcMar>
              <w:top w:w="15" w:type="dxa"/>
              <w:left w:w="15" w:type="dxa"/>
              <w:bottom w:w="0" w:type="dxa"/>
              <w:right w:w="15" w:type="dxa"/>
            </w:tcMar>
            <w:vAlign w:val="center"/>
          </w:tcPr>
          <w:p w14:paraId="1BD90949">
            <w:pPr>
              <w:bidi w:val="0"/>
              <w:jc w:val="center"/>
              <w:rPr>
                <w:rFonts w:hint="default" w:ascii="Times New Roman" w:hAnsi="Times New Roman" w:eastAsia="方正仿宋_GB2312" w:cs="Times New Roman"/>
                <w:snapToGrid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组合件</w:t>
            </w:r>
          </w:p>
        </w:tc>
        <w:tc>
          <w:tcPr>
            <w:tcW w:w="443" w:type="pct"/>
            <w:tcBorders>
              <w:tl2br w:val="nil"/>
              <w:tr2bl w:val="nil"/>
            </w:tcBorders>
            <w:shd w:val="clear" w:color="auto" w:fill="auto"/>
            <w:tcMar>
              <w:top w:w="15" w:type="dxa"/>
              <w:left w:w="15" w:type="dxa"/>
              <w:bottom w:w="0" w:type="dxa"/>
              <w:right w:w="15" w:type="dxa"/>
            </w:tcMar>
            <w:vAlign w:val="center"/>
          </w:tcPr>
          <w:p w14:paraId="43F6A87E">
            <w:pPr>
              <w:bidi w:val="0"/>
              <w:jc w:val="center"/>
              <w:rPr>
                <w:rFonts w:hint="default" w:ascii="Times New Roman" w:hAnsi="Times New Roman" w:eastAsia="方正仿宋_GB2312" w:cs="Times New Roman"/>
                <w:snapToGrid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175</w:t>
            </w:r>
          </w:p>
        </w:tc>
        <w:tc>
          <w:tcPr>
            <w:tcW w:w="451" w:type="pct"/>
            <w:tcBorders>
              <w:tl2br w:val="nil"/>
              <w:tr2bl w:val="nil"/>
            </w:tcBorders>
            <w:shd w:val="clear" w:color="auto" w:fill="auto"/>
            <w:tcMar>
              <w:top w:w="15" w:type="dxa"/>
              <w:left w:w="15" w:type="dxa"/>
              <w:bottom w:w="0" w:type="dxa"/>
              <w:right w:w="15" w:type="dxa"/>
            </w:tcMar>
            <w:vAlign w:val="center"/>
          </w:tcPr>
          <w:p w14:paraId="6EAED9DC">
            <w:pPr>
              <w:bidi w:val="0"/>
              <w:jc w:val="center"/>
              <w:rPr>
                <w:rFonts w:hint="default" w:ascii="Times New Roman" w:hAnsi="Times New Roman" w:eastAsia="方正仿宋_GB2312" w:cs="Times New Roman"/>
                <w:snapToGrid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0.25</w:t>
            </w:r>
          </w:p>
        </w:tc>
        <w:tc>
          <w:tcPr>
            <w:tcW w:w="342" w:type="pct"/>
            <w:tcBorders>
              <w:tl2br w:val="nil"/>
              <w:tr2bl w:val="nil"/>
            </w:tcBorders>
            <w:shd w:val="clear" w:color="auto" w:fill="auto"/>
            <w:tcMar>
              <w:top w:w="15" w:type="dxa"/>
              <w:left w:w="15" w:type="dxa"/>
              <w:bottom w:w="0" w:type="dxa"/>
              <w:right w:w="15" w:type="dxa"/>
            </w:tcMar>
            <w:vAlign w:val="center"/>
          </w:tcPr>
          <w:p w14:paraId="70BDD838">
            <w:pPr>
              <w:bidi w:val="0"/>
              <w:jc w:val="center"/>
              <w:rPr>
                <w:rFonts w:hint="default" w:ascii="Times New Roman" w:hAnsi="Times New Roman" w:eastAsia="方正仿宋_GB2312" w:cs="Times New Roman"/>
                <w:snapToGrid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2</w:t>
            </w:r>
          </w:p>
        </w:tc>
        <w:tc>
          <w:tcPr>
            <w:tcW w:w="378" w:type="pct"/>
            <w:tcBorders>
              <w:tl2br w:val="nil"/>
              <w:tr2bl w:val="nil"/>
            </w:tcBorders>
            <w:shd w:val="clear" w:color="auto" w:fill="auto"/>
            <w:vAlign w:val="center"/>
          </w:tcPr>
          <w:p w14:paraId="4E715CEA">
            <w:pPr>
              <w:bidi w:val="0"/>
              <w:jc w:val="center"/>
              <w:rPr>
                <w:rFonts w:hint="default" w:ascii="Times New Roman" w:hAnsi="Times New Roman" w:eastAsia="方正仿宋_GB2312" w:cs="Times New Roman"/>
                <w:snapToGrid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利旧</w:t>
            </w:r>
          </w:p>
        </w:tc>
      </w:tr>
      <w:tr w14:paraId="1A6D6C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462" w:type="pct"/>
            <w:vMerge w:val="continue"/>
            <w:tcBorders>
              <w:tl2br w:val="nil"/>
              <w:tr2bl w:val="nil"/>
            </w:tcBorders>
            <w:vAlign w:val="center"/>
          </w:tcPr>
          <w:p w14:paraId="04080A7A">
            <w:pPr>
              <w:widowControl/>
              <w:jc w:val="center"/>
              <w:rPr>
                <w:rFonts w:eastAsia="仿宋_GB2312"/>
                <w:color w:val="FF0000"/>
                <w:kern w:val="0"/>
                <w:szCs w:val="20"/>
              </w:rPr>
            </w:pPr>
          </w:p>
        </w:tc>
        <w:tc>
          <w:tcPr>
            <w:tcW w:w="346" w:type="pct"/>
            <w:tcBorders>
              <w:tl2br w:val="nil"/>
              <w:tr2bl w:val="nil"/>
            </w:tcBorders>
            <w:shd w:val="clear" w:color="auto" w:fill="auto"/>
            <w:tcMar>
              <w:top w:w="15" w:type="dxa"/>
              <w:left w:w="15" w:type="dxa"/>
              <w:bottom w:w="0" w:type="dxa"/>
              <w:right w:w="15" w:type="dxa"/>
            </w:tcMar>
            <w:vAlign w:val="center"/>
          </w:tcPr>
          <w:p w14:paraId="092652DA">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18</w:t>
            </w:r>
          </w:p>
        </w:tc>
        <w:tc>
          <w:tcPr>
            <w:tcW w:w="816" w:type="pct"/>
            <w:tcBorders>
              <w:tl2br w:val="nil"/>
              <w:tr2bl w:val="nil"/>
            </w:tcBorders>
            <w:shd w:val="clear" w:color="auto" w:fill="auto"/>
            <w:tcMar>
              <w:top w:w="15" w:type="dxa"/>
              <w:left w:w="15" w:type="dxa"/>
              <w:bottom w:w="0" w:type="dxa"/>
              <w:right w:w="15" w:type="dxa"/>
            </w:tcMar>
            <w:vAlign w:val="center"/>
          </w:tcPr>
          <w:p w14:paraId="32DD717E">
            <w:pPr>
              <w:bidi w:val="0"/>
              <w:jc w:val="center"/>
              <w:rPr>
                <w:rFonts w:hint="default" w:ascii="Times New Roman" w:hAnsi="Times New Roman" w:eastAsia="方正仿宋_GB2312" w:cs="Times New Roman"/>
                <w:snapToGrid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3#塔再沸器</w:t>
            </w:r>
          </w:p>
        </w:tc>
        <w:tc>
          <w:tcPr>
            <w:tcW w:w="1218" w:type="pct"/>
            <w:tcBorders>
              <w:tl2br w:val="nil"/>
              <w:tr2bl w:val="nil"/>
            </w:tcBorders>
            <w:shd w:val="clear" w:color="auto" w:fill="auto"/>
            <w:tcMar>
              <w:top w:w="15" w:type="dxa"/>
              <w:left w:w="15" w:type="dxa"/>
              <w:bottom w:w="0" w:type="dxa"/>
              <w:right w:w="15" w:type="dxa"/>
            </w:tcMar>
            <w:vAlign w:val="center"/>
          </w:tcPr>
          <w:p w14:paraId="0054102B">
            <w:pPr>
              <w:bidi w:val="0"/>
              <w:jc w:val="center"/>
              <w:rPr>
                <w:rFonts w:hint="default" w:ascii="Times New Roman" w:hAnsi="Times New Roman" w:eastAsia="方正仿宋_GB2312" w:cs="Times New Roman"/>
                <w:snapToGrid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F=97m</w:t>
            </w:r>
            <w:r>
              <w:rPr>
                <w:rFonts w:hint="default" w:ascii="Times New Roman" w:hAnsi="Times New Roman" w:eastAsia="方正仿宋_GB2312" w:cs="Times New Roman"/>
                <w:color w:val="000000" w:themeColor="text1"/>
                <w:sz w:val="21"/>
                <w:szCs w:val="21"/>
                <w:vertAlign w:val="superscript"/>
                <w:lang w:val="en-US" w:eastAsia="zh-CN"/>
                <w14:textFill>
                  <w14:solidFill>
                    <w14:schemeClr w14:val="tx1"/>
                  </w14:solidFill>
                </w14:textFill>
              </w:rPr>
              <w:t>2</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Φ900×2500</w:t>
            </w:r>
          </w:p>
        </w:tc>
        <w:tc>
          <w:tcPr>
            <w:tcW w:w="540" w:type="pct"/>
            <w:tcBorders>
              <w:tl2br w:val="nil"/>
              <w:tr2bl w:val="nil"/>
            </w:tcBorders>
            <w:shd w:val="clear" w:color="auto" w:fill="auto"/>
            <w:tcMar>
              <w:top w:w="15" w:type="dxa"/>
              <w:left w:w="15" w:type="dxa"/>
              <w:bottom w:w="0" w:type="dxa"/>
              <w:right w:w="15" w:type="dxa"/>
            </w:tcMar>
            <w:vAlign w:val="center"/>
          </w:tcPr>
          <w:p w14:paraId="6CDEACA1">
            <w:pPr>
              <w:bidi w:val="0"/>
              <w:jc w:val="center"/>
              <w:rPr>
                <w:rFonts w:hint="default" w:ascii="Times New Roman" w:hAnsi="Times New Roman" w:eastAsia="方正仿宋_GB2312" w:cs="Times New Roman"/>
                <w:snapToGrid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S304/Q345R</w:t>
            </w:r>
          </w:p>
        </w:tc>
        <w:tc>
          <w:tcPr>
            <w:tcW w:w="443" w:type="pct"/>
            <w:tcBorders>
              <w:tl2br w:val="nil"/>
              <w:tr2bl w:val="nil"/>
            </w:tcBorders>
            <w:shd w:val="clear" w:color="auto" w:fill="auto"/>
            <w:tcMar>
              <w:top w:w="15" w:type="dxa"/>
              <w:left w:w="15" w:type="dxa"/>
              <w:bottom w:w="0" w:type="dxa"/>
              <w:right w:w="15" w:type="dxa"/>
            </w:tcMar>
            <w:vAlign w:val="center"/>
          </w:tcPr>
          <w:p w14:paraId="3BF6B502">
            <w:pPr>
              <w:bidi w:val="0"/>
              <w:jc w:val="center"/>
              <w:rPr>
                <w:rFonts w:hint="default" w:ascii="Times New Roman" w:hAnsi="Times New Roman" w:eastAsia="方正仿宋_GB2312" w:cs="Times New Roman"/>
                <w:snapToGrid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175</w:t>
            </w:r>
          </w:p>
        </w:tc>
        <w:tc>
          <w:tcPr>
            <w:tcW w:w="451" w:type="pct"/>
            <w:tcBorders>
              <w:tl2br w:val="nil"/>
              <w:tr2bl w:val="nil"/>
            </w:tcBorders>
            <w:shd w:val="clear" w:color="auto" w:fill="auto"/>
            <w:tcMar>
              <w:top w:w="15" w:type="dxa"/>
              <w:left w:w="15" w:type="dxa"/>
              <w:bottom w:w="0" w:type="dxa"/>
              <w:right w:w="15" w:type="dxa"/>
            </w:tcMar>
            <w:vAlign w:val="center"/>
          </w:tcPr>
          <w:p w14:paraId="51892BE0">
            <w:pPr>
              <w:bidi w:val="0"/>
              <w:jc w:val="center"/>
              <w:rPr>
                <w:rFonts w:hint="default" w:ascii="Times New Roman" w:hAnsi="Times New Roman" w:eastAsia="方正仿宋_GB2312" w:cs="Times New Roman"/>
                <w:snapToGrid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-0.09</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~0.9</w:t>
            </w:r>
          </w:p>
        </w:tc>
        <w:tc>
          <w:tcPr>
            <w:tcW w:w="342" w:type="pct"/>
            <w:tcBorders>
              <w:tl2br w:val="nil"/>
              <w:tr2bl w:val="nil"/>
            </w:tcBorders>
            <w:shd w:val="clear" w:color="auto" w:fill="auto"/>
            <w:tcMar>
              <w:top w:w="15" w:type="dxa"/>
              <w:left w:w="15" w:type="dxa"/>
              <w:bottom w:w="0" w:type="dxa"/>
              <w:right w:w="15" w:type="dxa"/>
            </w:tcMar>
            <w:vAlign w:val="center"/>
          </w:tcPr>
          <w:p w14:paraId="6BB5DADD">
            <w:pPr>
              <w:bidi w:val="0"/>
              <w:jc w:val="center"/>
              <w:rPr>
                <w:rFonts w:hint="default" w:ascii="Times New Roman" w:hAnsi="Times New Roman" w:eastAsia="方正仿宋_GB2312" w:cs="Times New Roman"/>
                <w:snapToGrid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w:t>
            </w:r>
          </w:p>
        </w:tc>
        <w:tc>
          <w:tcPr>
            <w:tcW w:w="378" w:type="pct"/>
            <w:tcBorders>
              <w:tl2br w:val="nil"/>
              <w:tr2bl w:val="nil"/>
            </w:tcBorders>
            <w:shd w:val="clear" w:color="auto" w:fill="auto"/>
            <w:vAlign w:val="center"/>
          </w:tcPr>
          <w:p w14:paraId="666AC7FC">
            <w:pPr>
              <w:bidi w:val="0"/>
              <w:jc w:val="center"/>
              <w:rPr>
                <w:rFonts w:hint="default" w:ascii="Times New Roman" w:hAnsi="Times New Roman" w:eastAsia="方正仿宋_GB2312" w:cs="Times New Roman"/>
                <w:snapToGrid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利旧</w:t>
            </w:r>
          </w:p>
        </w:tc>
      </w:tr>
      <w:tr w14:paraId="69BD3E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462" w:type="pct"/>
            <w:vMerge w:val="continue"/>
            <w:tcBorders>
              <w:tl2br w:val="nil"/>
              <w:tr2bl w:val="nil"/>
            </w:tcBorders>
            <w:vAlign w:val="center"/>
          </w:tcPr>
          <w:p w14:paraId="455F2B7B">
            <w:pPr>
              <w:widowControl/>
              <w:jc w:val="center"/>
              <w:rPr>
                <w:rFonts w:eastAsia="仿宋_GB2312"/>
                <w:color w:val="FF0000"/>
                <w:kern w:val="0"/>
                <w:szCs w:val="20"/>
              </w:rPr>
            </w:pPr>
          </w:p>
        </w:tc>
        <w:tc>
          <w:tcPr>
            <w:tcW w:w="346" w:type="pct"/>
            <w:tcBorders>
              <w:tl2br w:val="nil"/>
              <w:tr2bl w:val="nil"/>
            </w:tcBorders>
            <w:shd w:val="clear" w:color="auto" w:fill="auto"/>
            <w:tcMar>
              <w:top w:w="15" w:type="dxa"/>
              <w:left w:w="15" w:type="dxa"/>
              <w:bottom w:w="0" w:type="dxa"/>
              <w:right w:w="15" w:type="dxa"/>
            </w:tcMar>
            <w:vAlign w:val="center"/>
          </w:tcPr>
          <w:p w14:paraId="00AEA8D3">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19</w:t>
            </w:r>
          </w:p>
        </w:tc>
        <w:tc>
          <w:tcPr>
            <w:tcW w:w="816" w:type="pct"/>
            <w:tcBorders>
              <w:tl2br w:val="nil"/>
              <w:tr2bl w:val="nil"/>
            </w:tcBorders>
            <w:shd w:val="clear" w:color="auto" w:fill="auto"/>
            <w:tcMar>
              <w:top w:w="15" w:type="dxa"/>
              <w:left w:w="15" w:type="dxa"/>
              <w:bottom w:w="0" w:type="dxa"/>
              <w:right w:w="15" w:type="dxa"/>
            </w:tcMar>
            <w:vAlign w:val="center"/>
          </w:tcPr>
          <w:p w14:paraId="69AEEC7C">
            <w:pPr>
              <w:bidi w:val="0"/>
              <w:jc w:val="center"/>
              <w:rPr>
                <w:rFonts w:hint="default" w:ascii="Times New Roman" w:hAnsi="Times New Roman" w:eastAsia="方正仿宋_GB2312" w:cs="Times New Roman"/>
                <w:snapToGrid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7#塔再沸器</w:t>
            </w:r>
          </w:p>
        </w:tc>
        <w:tc>
          <w:tcPr>
            <w:tcW w:w="1218" w:type="pct"/>
            <w:tcBorders>
              <w:tl2br w:val="nil"/>
              <w:tr2bl w:val="nil"/>
            </w:tcBorders>
            <w:shd w:val="clear" w:color="auto" w:fill="auto"/>
            <w:tcMar>
              <w:top w:w="15" w:type="dxa"/>
              <w:left w:w="15" w:type="dxa"/>
              <w:bottom w:w="0" w:type="dxa"/>
              <w:right w:w="15" w:type="dxa"/>
            </w:tcMar>
            <w:vAlign w:val="center"/>
          </w:tcPr>
          <w:p w14:paraId="3F26F4FE">
            <w:pPr>
              <w:bidi w:val="0"/>
              <w:jc w:val="center"/>
              <w:rPr>
                <w:rFonts w:hint="default" w:ascii="Times New Roman" w:hAnsi="Times New Roman" w:eastAsia="方正仿宋_GB2312" w:cs="Times New Roman"/>
                <w:snapToGrid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F=97m</w:t>
            </w:r>
            <w:r>
              <w:rPr>
                <w:rFonts w:hint="default" w:ascii="Times New Roman" w:hAnsi="Times New Roman" w:eastAsia="方正仿宋_GB2312" w:cs="Times New Roman"/>
                <w:color w:val="000000" w:themeColor="text1"/>
                <w:sz w:val="21"/>
                <w:szCs w:val="21"/>
                <w:vertAlign w:val="superscript"/>
                <w:lang w:val="en-US" w:eastAsia="zh-CN"/>
                <w14:textFill>
                  <w14:solidFill>
                    <w14:schemeClr w14:val="tx1"/>
                  </w14:solidFill>
                </w14:textFill>
              </w:rPr>
              <w:t>2</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Φ900×2500</w:t>
            </w:r>
          </w:p>
        </w:tc>
        <w:tc>
          <w:tcPr>
            <w:tcW w:w="540" w:type="pct"/>
            <w:tcBorders>
              <w:tl2br w:val="nil"/>
              <w:tr2bl w:val="nil"/>
            </w:tcBorders>
            <w:shd w:val="clear" w:color="auto" w:fill="auto"/>
            <w:tcMar>
              <w:top w:w="15" w:type="dxa"/>
              <w:left w:w="15" w:type="dxa"/>
              <w:bottom w:w="0" w:type="dxa"/>
              <w:right w:w="15" w:type="dxa"/>
            </w:tcMar>
            <w:vAlign w:val="center"/>
          </w:tcPr>
          <w:p w14:paraId="14013201">
            <w:pPr>
              <w:bidi w:val="0"/>
              <w:jc w:val="center"/>
              <w:rPr>
                <w:rFonts w:hint="default" w:ascii="Times New Roman" w:hAnsi="Times New Roman" w:eastAsia="方正仿宋_GB2312" w:cs="Times New Roman"/>
                <w:snapToGrid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S304/Q345R</w:t>
            </w:r>
          </w:p>
        </w:tc>
        <w:tc>
          <w:tcPr>
            <w:tcW w:w="443" w:type="pct"/>
            <w:tcBorders>
              <w:tl2br w:val="nil"/>
              <w:tr2bl w:val="nil"/>
            </w:tcBorders>
            <w:shd w:val="clear" w:color="auto" w:fill="auto"/>
            <w:tcMar>
              <w:top w:w="15" w:type="dxa"/>
              <w:left w:w="15" w:type="dxa"/>
              <w:bottom w:w="0" w:type="dxa"/>
              <w:right w:w="15" w:type="dxa"/>
            </w:tcMar>
            <w:vAlign w:val="center"/>
          </w:tcPr>
          <w:p w14:paraId="31AD2218">
            <w:pPr>
              <w:bidi w:val="0"/>
              <w:jc w:val="center"/>
              <w:rPr>
                <w:rFonts w:hint="default" w:ascii="Times New Roman" w:hAnsi="Times New Roman" w:eastAsia="方正仿宋_GB2312" w:cs="Times New Roman"/>
                <w:snapToGrid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175</w:t>
            </w:r>
          </w:p>
        </w:tc>
        <w:tc>
          <w:tcPr>
            <w:tcW w:w="451" w:type="pct"/>
            <w:tcBorders>
              <w:tl2br w:val="nil"/>
              <w:tr2bl w:val="nil"/>
            </w:tcBorders>
            <w:shd w:val="clear" w:color="auto" w:fill="auto"/>
            <w:tcMar>
              <w:top w:w="15" w:type="dxa"/>
              <w:left w:w="15" w:type="dxa"/>
              <w:bottom w:w="0" w:type="dxa"/>
              <w:right w:w="15" w:type="dxa"/>
            </w:tcMar>
            <w:vAlign w:val="center"/>
          </w:tcPr>
          <w:p w14:paraId="0F7410AB">
            <w:pPr>
              <w:bidi w:val="0"/>
              <w:jc w:val="center"/>
              <w:rPr>
                <w:rFonts w:hint="default" w:ascii="Times New Roman" w:hAnsi="Times New Roman" w:eastAsia="方正仿宋_GB2312" w:cs="Times New Roman"/>
                <w:snapToGrid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-0.09</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~0.9</w:t>
            </w:r>
          </w:p>
        </w:tc>
        <w:tc>
          <w:tcPr>
            <w:tcW w:w="342" w:type="pct"/>
            <w:tcBorders>
              <w:tl2br w:val="nil"/>
              <w:tr2bl w:val="nil"/>
            </w:tcBorders>
            <w:shd w:val="clear" w:color="auto" w:fill="auto"/>
            <w:tcMar>
              <w:top w:w="15" w:type="dxa"/>
              <w:left w:w="15" w:type="dxa"/>
              <w:bottom w:w="0" w:type="dxa"/>
              <w:right w:w="15" w:type="dxa"/>
            </w:tcMar>
            <w:vAlign w:val="center"/>
          </w:tcPr>
          <w:p w14:paraId="652E10EE">
            <w:pPr>
              <w:bidi w:val="0"/>
              <w:jc w:val="center"/>
              <w:rPr>
                <w:rFonts w:hint="default" w:ascii="Times New Roman" w:hAnsi="Times New Roman" w:eastAsia="方正仿宋_GB2312" w:cs="Times New Roman"/>
                <w:snapToGrid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w:t>
            </w:r>
          </w:p>
        </w:tc>
        <w:tc>
          <w:tcPr>
            <w:tcW w:w="378" w:type="pct"/>
            <w:tcBorders>
              <w:tl2br w:val="nil"/>
              <w:tr2bl w:val="nil"/>
            </w:tcBorders>
            <w:shd w:val="clear" w:color="auto" w:fill="auto"/>
            <w:vAlign w:val="center"/>
          </w:tcPr>
          <w:p w14:paraId="039FAAFC">
            <w:pPr>
              <w:bidi w:val="0"/>
              <w:jc w:val="center"/>
              <w:rPr>
                <w:rFonts w:hint="default" w:ascii="Times New Roman" w:hAnsi="Times New Roman" w:eastAsia="方正仿宋_GB2312" w:cs="Times New Roman"/>
                <w:snapToGrid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利旧</w:t>
            </w:r>
          </w:p>
        </w:tc>
      </w:tr>
      <w:tr w14:paraId="20F018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462" w:type="pct"/>
            <w:vMerge w:val="continue"/>
            <w:tcBorders>
              <w:tl2br w:val="nil"/>
              <w:tr2bl w:val="nil"/>
            </w:tcBorders>
            <w:vAlign w:val="center"/>
          </w:tcPr>
          <w:p w14:paraId="67F5FA35">
            <w:pPr>
              <w:widowControl/>
              <w:jc w:val="center"/>
              <w:rPr>
                <w:rFonts w:eastAsia="仿宋_GB2312"/>
                <w:color w:val="FF0000"/>
                <w:kern w:val="0"/>
                <w:szCs w:val="20"/>
              </w:rPr>
            </w:pPr>
          </w:p>
        </w:tc>
        <w:tc>
          <w:tcPr>
            <w:tcW w:w="346" w:type="pct"/>
            <w:tcBorders>
              <w:tl2br w:val="nil"/>
              <w:tr2bl w:val="nil"/>
            </w:tcBorders>
            <w:shd w:val="clear" w:color="auto" w:fill="auto"/>
            <w:tcMar>
              <w:top w:w="15" w:type="dxa"/>
              <w:left w:w="15" w:type="dxa"/>
              <w:bottom w:w="0" w:type="dxa"/>
              <w:right w:w="15" w:type="dxa"/>
            </w:tcMar>
            <w:vAlign w:val="center"/>
          </w:tcPr>
          <w:p w14:paraId="151A60F2">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20</w:t>
            </w:r>
          </w:p>
        </w:tc>
        <w:tc>
          <w:tcPr>
            <w:tcW w:w="816" w:type="pct"/>
            <w:tcBorders>
              <w:tl2br w:val="nil"/>
              <w:tr2bl w:val="nil"/>
            </w:tcBorders>
            <w:shd w:val="clear" w:color="auto" w:fill="auto"/>
            <w:tcMar>
              <w:top w:w="15" w:type="dxa"/>
              <w:left w:w="15" w:type="dxa"/>
              <w:bottom w:w="0" w:type="dxa"/>
              <w:right w:w="15" w:type="dxa"/>
            </w:tcMar>
            <w:vAlign w:val="center"/>
          </w:tcPr>
          <w:p w14:paraId="02C0FE46">
            <w:pPr>
              <w:bidi w:val="0"/>
              <w:jc w:val="center"/>
              <w:rPr>
                <w:rFonts w:hint="default" w:ascii="Times New Roman" w:hAnsi="Times New Roman" w:eastAsia="方正仿宋_GB2312" w:cs="Times New Roman"/>
                <w:snapToGrid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3#塔一级冷凝器</w:t>
            </w:r>
          </w:p>
        </w:tc>
        <w:tc>
          <w:tcPr>
            <w:tcW w:w="1218" w:type="pct"/>
            <w:tcBorders>
              <w:tl2br w:val="nil"/>
              <w:tr2bl w:val="nil"/>
            </w:tcBorders>
            <w:shd w:val="clear" w:color="auto" w:fill="auto"/>
            <w:tcMar>
              <w:top w:w="15" w:type="dxa"/>
              <w:left w:w="15" w:type="dxa"/>
              <w:bottom w:w="0" w:type="dxa"/>
              <w:right w:w="15" w:type="dxa"/>
            </w:tcMar>
            <w:vAlign w:val="center"/>
          </w:tcPr>
          <w:p w14:paraId="2D40A958">
            <w:pPr>
              <w:bidi w:val="0"/>
              <w:jc w:val="center"/>
              <w:rPr>
                <w:rFonts w:hint="default" w:ascii="Times New Roman" w:hAnsi="Times New Roman" w:eastAsia="方正仿宋_GB2312" w:cs="Times New Roman"/>
                <w:snapToGrid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F=91m</w:t>
            </w:r>
            <w:r>
              <w:rPr>
                <w:rFonts w:hint="default" w:ascii="Times New Roman" w:hAnsi="Times New Roman" w:eastAsia="方正仿宋_GB2312" w:cs="Times New Roman"/>
                <w:color w:val="000000" w:themeColor="text1"/>
                <w:sz w:val="21"/>
                <w:szCs w:val="21"/>
                <w:vertAlign w:val="superscript"/>
                <w:lang w:val="en-US" w:eastAsia="zh-CN"/>
                <w14:textFill>
                  <w14:solidFill>
                    <w14:schemeClr w14:val="tx1"/>
                  </w14:solidFill>
                </w14:textFill>
              </w:rPr>
              <w:t>2</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Φ900×2500</w:t>
            </w:r>
          </w:p>
        </w:tc>
        <w:tc>
          <w:tcPr>
            <w:tcW w:w="540" w:type="pct"/>
            <w:tcBorders>
              <w:tl2br w:val="nil"/>
              <w:tr2bl w:val="nil"/>
            </w:tcBorders>
            <w:shd w:val="clear" w:color="auto" w:fill="auto"/>
            <w:tcMar>
              <w:top w:w="15" w:type="dxa"/>
              <w:left w:w="15" w:type="dxa"/>
              <w:bottom w:w="0" w:type="dxa"/>
              <w:right w:w="15" w:type="dxa"/>
            </w:tcMar>
            <w:vAlign w:val="center"/>
          </w:tcPr>
          <w:p w14:paraId="6F7FFCEF">
            <w:pPr>
              <w:bidi w:val="0"/>
              <w:jc w:val="center"/>
              <w:rPr>
                <w:rFonts w:hint="default" w:ascii="Times New Roman" w:hAnsi="Times New Roman" w:eastAsia="方正仿宋_GB2312" w:cs="Times New Roman"/>
                <w:snapToGrid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S304/Q345R</w:t>
            </w:r>
          </w:p>
        </w:tc>
        <w:tc>
          <w:tcPr>
            <w:tcW w:w="443" w:type="pct"/>
            <w:tcBorders>
              <w:tl2br w:val="nil"/>
              <w:tr2bl w:val="nil"/>
            </w:tcBorders>
            <w:shd w:val="clear" w:color="auto" w:fill="auto"/>
            <w:tcMar>
              <w:top w:w="15" w:type="dxa"/>
              <w:left w:w="15" w:type="dxa"/>
              <w:bottom w:w="0" w:type="dxa"/>
              <w:right w:w="15" w:type="dxa"/>
            </w:tcMar>
            <w:vAlign w:val="center"/>
          </w:tcPr>
          <w:p w14:paraId="2DE0305E">
            <w:pPr>
              <w:bidi w:val="0"/>
              <w:jc w:val="center"/>
              <w:rPr>
                <w:rFonts w:hint="default" w:ascii="Times New Roman" w:hAnsi="Times New Roman" w:eastAsia="方正仿宋_GB2312" w:cs="Times New Roman"/>
                <w:snapToGrid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常温</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50</w:t>
            </w:r>
          </w:p>
        </w:tc>
        <w:tc>
          <w:tcPr>
            <w:tcW w:w="451" w:type="pct"/>
            <w:tcBorders>
              <w:tl2br w:val="nil"/>
              <w:tr2bl w:val="nil"/>
            </w:tcBorders>
            <w:shd w:val="clear" w:color="auto" w:fill="auto"/>
            <w:tcMar>
              <w:top w:w="15" w:type="dxa"/>
              <w:left w:w="15" w:type="dxa"/>
              <w:bottom w:w="0" w:type="dxa"/>
              <w:right w:w="15" w:type="dxa"/>
            </w:tcMar>
            <w:vAlign w:val="center"/>
          </w:tcPr>
          <w:p w14:paraId="35DBDA92">
            <w:pPr>
              <w:bidi w:val="0"/>
              <w:jc w:val="center"/>
              <w:rPr>
                <w:rFonts w:hint="default" w:ascii="Times New Roman" w:hAnsi="Times New Roman" w:eastAsia="方正仿宋_GB2312" w:cs="Times New Roman"/>
                <w:snapToGrid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-0.09</w:t>
            </w:r>
          </w:p>
        </w:tc>
        <w:tc>
          <w:tcPr>
            <w:tcW w:w="342" w:type="pct"/>
            <w:tcBorders>
              <w:tl2br w:val="nil"/>
              <w:tr2bl w:val="nil"/>
            </w:tcBorders>
            <w:shd w:val="clear" w:color="auto" w:fill="auto"/>
            <w:tcMar>
              <w:top w:w="15" w:type="dxa"/>
              <w:left w:w="15" w:type="dxa"/>
              <w:bottom w:w="0" w:type="dxa"/>
              <w:right w:w="15" w:type="dxa"/>
            </w:tcMar>
            <w:vAlign w:val="center"/>
          </w:tcPr>
          <w:p w14:paraId="33398B36">
            <w:pPr>
              <w:bidi w:val="0"/>
              <w:jc w:val="center"/>
              <w:rPr>
                <w:rFonts w:hint="default" w:ascii="Times New Roman" w:hAnsi="Times New Roman" w:eastAsia="方正仿宋_GB2312" w:cs="Times New Roman"/>
                <w:snapToGrid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w:t>
            </w:r>
          </w:p>
        </w:tc>
        <w:tc>
          <w:tcPr>
            <w:tcW w:w="378" w:type="pct"/>
            <w:tcBorders>
              <w:tl2br w:val="nil"/>
              <w:tr2bl w:val="nil"/>
            </w:tcBorders>
            <w:shd w:val="clear" w:color="auto" w:fill="auto"/>
            <w:vAlign w:val="center"/>
          </w:tcPr>
          <w:p w14:paraId="5417708A">
            <w:pPr>
              <w:bidi w:val="0"/>
              <w:jc w:val="center"/>
              <w:rPr>
                <w:rFonts w:hint="default" w:ascii="Times New Roman" w:hAnsi="Times New Roman" w:eastAsia="方正仿宋_GB2312" w:cs="Times New Roman"/>
                <w:snapToGrid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利旧</w:t>
            </w:r>
          </w:p>
        </w:tc>
      </w:tr>
      <w:tr w14:paraId="13A1F1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462" w:type="pct"/>
            <w:vMerge w:val="continue"/>
            <w:tcBorders>
              <w:tl2br w:val="nil"/>
              <w:tr2bl w:val="nil"/>
            </w:tcBorders>
            <w:vAlign w:val="center"/>
          </w:tcPr>
          <w:p w14:paraId="78420653">
            <w:pPr>
              <w:widowControl/>
              <w:jc w:val="center"/>
              <w:rPr>
                <w:rFonts w:eastAsia="仿宋_GB2312"/>
                <w:color w:val="FF0000"/>
                <w:kern w:val="0"/>
                <w:szCs w:val="20"/>
              </w:rPr>
            </w:pPr>
          </w:p>
        </w:tc>
        <w:tc>
          <w:tcPr>
            <w:tcW w:w="346" w:type="pct"/>
            <w:tcBorders>
              <w:tl2br w:val="nil"/>
              <w:tr2bl w:val="nil"/>
            </w:tcBorders>
            <w:shd w:val="clear" w:color="auto" w:fill="auto"/>
            <w:tcMar>
              <w:top w:w="15" w:type="dxa"/>
              <w:left w:w="15" w:type="dxa"/>
              <w:bottom w:w="0" w:type="dxa"/>
              <w:right w:w="15" w:type="dxa"/>
            </w:tcMar>
            <w:vAlign w:val="center"/>
          </w:tcPr>
          <w:p w14:paraId="46D4D470">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21</w:t>
            </w:r>
          </w:p>
        </w:tc>
        <w:tc>
          <w:tcPr>
            <w:tcW w:w="816" w:type="pct"/>
            <w:tcBorders>
              <w:tl2br w:val="nil"/>
              <w:tr2bl w:val="nil"/>
            </w:tcBorders>
            <w:shd w:val="clear" w:color="auto" w:fill="auto"/>
            <w:tcMar>
              <w:top w:w="15" w:type="dxa"/>
              <w:left w:w="15" w:type="dxa"/>
              <w:bottom w:w="0" w:type="dxa"/>
              <w:right w:w="15" w:type="dxa"/>
            </w:tcMar>
            <w:vAlign w:val="center"/>
          </w:tcPr>
          <w:p w14:paraId="6F3B55E3">
            <w:pPr>
              <w:bidi w:val="0"/>
              <w:jc w:val="center"/>
              <w:rPr>
                <w:rFonts w:hint="default" w:ascii="Times New Roman" w:hAnsi="Times New Roman" w:eastAsia="方正仿宋_GB2312" w:cs="Times New Roman"/>
                <w:snapToGrid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7#塔一级冷凝器</w:t>
            </w:r>
          </w:p>
        </w:tc>
        <w:tc>
          <w:tcPr>
            <w:tcW w:w="1218" w:type="pct"/>
            <w:tcBorders>
              <w:tl2br w:val="nil"/>
              <w:tr2bl w:val="nil"/>
            </w:tcBorders>
            <w:shd w:val="clear" w:color="auto" w:fill="auto"/>
            <w:tcMar>
              <w:top w:w="15" w:type="dxa"/>
              <w:left w:w="15" w:type="dxa"/>
              <w:bottom w:w="0" w:type="dxa"/>
              <w:right w:w="15" w:type="dxa"/>
            </w:tcMar>
            <w:vAlign w:val="center"/>
          </w:tcPr>
          <w:p w14:paraId="2B93D5B6">
            <w:pPr>
              <w:bidi w:val="0"/>
              <w:jc w:val="center"/>
              <w:rPr>
                <w:rFonts w:hint="default" w:ascii="Times New Roman" w:hAnsi="Times New Roman" w:eastAsia="方正仿宋_GB2312" w:cs="Times New Roman"/>
                <w:snapToGrid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F=91m</w:t>
            </w:r>
            <w:r>
              <w:rPr>
                <w:rFonts w:hint="default" w:ascii="Times New Roman" w:hAnsi="Times New Roman" w:eastAsia="方正仿宋_GB2312" w:cs="Times New Roman"/>
                <w:color w:val="000000" w:themeColor="text1"/>
                <w:sz w:val="21"/>
                <w:szCs w:val="21"/>
                <w:vertAlign w:val="superscript"/>
                <w:lang w:val="en-US" w:eastAsia="zh-CN"/>
                <w14:textFill>
                  <w14:solidFill>
                    <w14:schemeClr w14:val="tx1"/>
                  </w14:solidFill>
                </w14:textFill>
              </w:rPr>
              <w:t>2</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Φ900×2500</w:t>
            </w:r>
          </w:p>
        </w:tc>
        <w:tc>
          <w:tcPr>
            <w:tcW w:w="540" w:type="pct"/>
            <w:tcBorders>
              <w:tl2br w:val="nil"/>
              <w:tr2bl w:val="nil"/>
            </w:tcBorders>
            <w:shd w:val="clear" w:color="auto" w:fill="auto"/>
            <w:tcMar>
              <w:top w:w="15" w:type="dxa"/>
              <w:left w:w="15" w:type="dxa"/>
              <w:bottom w:w="0" w:type="dxa"/>
              <w:right w:w="15" w:type="dxa"/>
            </w:tcMar>
            <w:vAlign w:val="center"/>
          </w:tcPr>
          <w:p w14:paraId="3593F9FC">
            <w:pPr>
              <w:bidi w:val="0"/>
              <w:jc w:val="center"/>
              <w:rPr>
                <w:rFonts w:hint="default" w:ascii="Times New Roman" w:hAnsi="Times New Roman" w:eastAsia="方正仿宋_GB2312" w:cs="Times New Roman"/>
                <w:snapToGrid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S304/Q345R</w:t>
            </w:r>
          </w:p>
        </w:tc>
        <w:tc>
          <w:tcPr>
            <w:tcW w:w="443" w:type="pct"/>
            <w:tcBorders>
              <w:tl2br w:val="nil"/>
              <w:tr2bl w:val="nil"/>
            </w:tcBorders>
            <w:shd w:val="clear" w:color="auto" w:fill="auto"/>
            <w:tcMar>
              <w:top w:w="15" w:type="dxa"/>
              <w:left w:w="15" w:type="dxa"/>
              <w:bottom w:w="0" w:type="dxa"/>
              <w:right w:w="15" w:type="dxa"/>
            </w:tcMar>
            <w:vAlign w:val="center"/>
          </w:tcPr>
          <w:p w14:paraId="1BB77294">
            <w:pPr>
              <w:bidi w:val="0"/>
              <w:jc w:val="center"/>
              <w:rPr>
                <w:rFonts w:hint="default" w:ascii="Times New Roman" w:hAnsi="Times New Roman" w:eastAsia="方正仿宋_GB2312" w:cs="Times New Roman"/>
                <w:snapToGrid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-10</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50</w:t>
            </w:r>
          </w:p>
        </w:tc>
        <w:tc>
          <w:tcPr>
            <w:tcW w:w="451" w:type="pct"/>
            <w:tcBorders>
              <w:tl2br w:val="nil"/>
              <w:tr2bl w:val="nil"/>
            </w:tcBorders>
            <w:shd w:val="clear" w:color="auto" w:fill="auto"/>
            <w:tcMar>
              <w:top w:w="15" w:type="dxa"/>
              <w:left w:w="15" w:type="dxa"/>
              <w:bottom w:w="0" w:type="dxa"/>
              <w:right w:w="15" w:type="dxa"/>
            </w:tcMar>
            <w:vAlign w:val="center"/>
          </w:tcPr>
          <w:p w14:paraId="2B7C6C29">
            <w:pPr>
              <w:bidi w:val="0"/>
              <w:jc w:val="center"/>
              <w:rPr>
                <w:rFonts w:hint="default" w:ascii="Times New Roman" w:hAnsi="Times New Roman" w:eastAsia="方正仿宋_GB2312" w:cs="Times New Roman"/>
                <w:snapToGrid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-0.09</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~0.4</w:t>
            </w:r>
          </w:p>
        </w:tc>
        <w:tc>
          <w:tcPr>
            <w:tcW w:w="342" w:type="pct"/>
            <w:tcBorders>
              <w:tl2br w:val="nil"/>
              <w:tr2bl w:val="nil"/>
            </w:tcBorders>
            <w:shd w:val="clear" w:color="auto" w:fill="auto"/>
            <w:tcMar>
              <w:top w:w="15" w:type="dxa"/>
              <w:left w:w="15" w:type="dxa"/>
              <w:bottom w:w="0" w:type="dxa"/>
              <w:right w:w="15" w:type="dxa"/>
            </w:tcMar>
            <w:vAlign w:val="center"/>
          </w:tcPr>
          <w:p w14:paraId="55BF42A6">
            <w:pPr>
              <w:bidi w:val="0"/>
              <w:jc w:val="center"/>
              <w:rPr>
                <w:rFonts w:hint="default" w:ascii="Times New Roman" w:hAnsi="Times New Roman" w:eastAsia="方正仿宋_GB2312" w:cs="Times New Roman"/>
                <w:snapToGrid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w:t>
            </w:r>
          </w:p>
        </w:tc>
        <w:tc>
          <w:tcPr>
            <w:tcW w:w="378" w:type="pct"/>
            <w:tcBorders>
              <w:tl2br w:val="nil"/>
              <w:tr2bl w:val="nil"/>
            </w:tcBorders>
            <w:shd w:val="clear" w:color="auto" w:fill="auto"/>
            <w:vAlign w:val="center"/>
          </w:tcPr>
          <w:p w14:paraId="7A8F5018">
            <w:pPr>
              <w:bidi w:val="0"/>
              <w:jc w:val="center"/>
              <w:rPr>
                <w:rFonts w:hint="default" w:ascii="Times New Roman" w:hAnsi="Times New Roman" w:eastAsia="方正仿宋_GB2312" w:cs="Times New Roman"/>
                <w:snapToGrid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利旧</w:t>
            </w:r>
          </w:p>
        </w:tc>
      </w:tr>
      <w:tr w14:paraId="18DB46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462" w:type="pct"/>
            <w:vMerge w:val="continue"/>
            <w:tcBorders>
              <w:tl2br w:val="nil"/>
              <w:tr2bl w:val="nil"/>
            </w:tcBorders>
            <w:vAlign w:val="center"/>
          </w:tcPr>
          <w:p w14:paraId="4CDE0942">
            <w:pPr>
              <w:widowControl/>
              <w:jc w:val="center"/>
              <w:rPr>
                <w:rFonts w:eastAsia="仿宋_GB2312"/>
                <w:color w:val="FF0000"/>
                <w:kern w:val="0"/>
                <w:szCs w:val="20"/>
              </w:rPr>
            </w:pPr>
          </w:p>
        </w:tc>
        <w:tc>
          <w:tcPr>
            <w:tcW w:w="346" w:type="pct"/>
            <w:tcBorders>
              <w:tl2br w:val="nil"/>
              <w:tr2bl w:val="nil"/>
            </w:tcBorders>
            <w:shd w:val="clear" w:color="auto" w:fill="auto"/>
            <w:tcMar>
              <w:top w:w="15" w:type="dxa"/>
              <w:left w:w="15" w:type="dxa"/>
              <w:bottom w:w="0" w:type="dxa"/>
              <w:right w:w="15" w:type="dxa"/>
            </w:tcMar>
            <w:vAlign w:val="center"/>
          </w:tcPr>
          <w:p w14:paraId="45CA0FD0">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22</w:t>
            </w:r>
          </w:p>
        </w:tc>
        <w:tc>
          <w:tcPr>
            <w:tcW w:w="816" w:type="pct"/>
            <w:tcBorders>
              <w:tl2br w:val="nil"/>
              <w:tr2bl w:val="nil"/>
            </w:tcBorders>
            <w:shd w:val="clear" w:color="auto" w:fill="auto"/>
            <w:tcMar>
              <w:top w:w="15" w:type="dxa"/>
              <w:left w:w="15" w:type="dxa"/>
              <w:bottom w:w="0" w:type="dxa"/>
              <w:right w:w="15" w:type="dxa"/>
            </w:tcMar>
            <w:vAlign w:val="center"/>
          </w:tcPr>
          <w:p w14:paraId="0598F5C4">
            <w:pPr>
              <w:bidi w:val="0"/>
              <w:jc w:val="center"/>
              <w:rPr>
                <w:rFonts w:hint="default" w:ascii="Times New Roman" w:hAnsi="Times New Roman" w:eastAsia="方正仿宋_GB2312" w:cs="Times New Roman"/>
                <w:snapToGrid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3#塔二级冷凝器</w:t>
            </w:r>
          </w:p>
        </w:tc>
        <w:tc>
          <w:tcPr>
            <w:tcW w:w="1218" w:type="pct"/>
            <w:tcBorders>
              <w:tl2br w:val="nil"/>
              <w:tr2bl w:val="nil"/>
            </w:tcBorders>
            <w:shd w:val="clear" w:color="auto" w:fill="auto"/>
            <w:tcMar>
              <w:top w:w="15" w:type="dxa"/>
              <w:left w:w="15" w:type="dxa"/>
              <w:bottom w:w="0" w:type="dxa"/>
              <w:right w:w="15" w:type="dxa"/>
            </w:tcMar>
            <w:vAlign w:val="center"/>
          </w:tcPr>
          <w:p w14:paraId="229F1DCB">
            <w:pPr>
              <w:bidi w:val="0"/>
              <w:jc w:val="center"/>
              <w:rPr>
                <w:rFonts w:hint="default" w:ascii="Times New Roman" w:hAnsi="Times New Roman" w:eastAsia="方正仿宋_GB2312" w:cs="Times New Roman"/>
                <w:snapToGrid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F=91m</w:t>
            </w:r>
            <w:r>
              <w:rPr>
                <w:rFonts w:hint="default" w:ascii="Times New Roman" w:hAnsi="Times New Roman" w:eastAsia="方正仿宋_GB2312" w:cs="Times New Roman"/>
                <w:color w:val="000000" w:themeColor="text1"/>
                <w:sz w:val="21"/>
                <w:szCs w:val="21"/>
                <w:vertAlign w:val="superscript"/>
                <w:lang w:val="en-US" w:eastAsia="zh-CN"/>
                <w14:textFill>
                  <w14:solidFill>
                    <w14:schemeClr w14:val="tx1"/>
                  </w14:solidFill>
                </w14:textFill>
              </w:rPr>
              <w:t>2</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Φ900×2500</w:t>
            </w:r>
          </w:p>
        </w:tc>
        <w:tc>
          <w:tcPr>
            <w:tcW w:w="540" w:type="pct"/>
            <w:tcBorders>
              <w:tl2br w:val="nil"/>
              <w:tr2bl w:val="nil"/>
            </w:tcBorders>
            <w:shd w:val="clear" w:color="auto" w:fill="auto"/>
            <w:tcMar>
              <w:top w:w="15" w:type="dxa"/>
              <w:left w:w="15" w:type="dxa"/>
              <w:bottom w:w="0" w:type="dxa"/>
              <w:right w:w="15" w:type="dxa"/>
            </w:tcMar>
            <w:vAlign w:val="center"/>
          </w:tcPr>
          <w:p w14:paraId="03155BD7">
            <w:pPr>
              <w:bidi w:val="0"/>
              <w:jc w:val="center"/>
              <w:rPr>
                <w:rFonts w:hint="default" w:ascii="Times New Roman" w:hAnsi="Times New Roman" w:eastAsia="方正仿宋_GB2312" w:cs="Times New Roman"/>
                <w:snapToGrid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S304/Q345R</w:t>
            </w:r>
          </w:p>
        </w:tc>
        <w:tc>
          <w:tcPr>
            <w:tcW w:w="443" w:type="pct"/>
            <w:tcBorders>
              <w:tl2br w:val="nil"/>
              <w:tr2bl w:val="nil"/>
            </w:tcBorders>
            <w:shd w:val="clear" w:color="auto" w:fill="auto"/>
            <w:tcMar>
              <w:top w:w="15" w:type="dxa"/>
              <w:left w:w="15" w:type="dxa"/>
              <w:bottom w:w="0" w:type="dxa"/>
              <w:right w:w="15" w:type="dxa"/>
            </w:tcMar>
            <w:vAlign w:val="center"/>
          </w:tcPr>
          <w:p w14:paraId="6F6A1FDD">
            <w:pPr>
              <w:bidi w:val="0"/>
              <w:jc w:val="center"/>
              <w:rPr>
                <w:rFonts w:hint="default" w:ascii="Times New Roman" w:hAnsi="Times New Roman" w:eastAsia="方正仿宋_GB2312" w:cs="Times New Roman"/>
                <w:snapToGrid w:val="0"/>
                <w:color w:val="000000" w:themeColor="text1"/>
                <w:kern w:val="0"/>
                <w:sz w:val="21"/>
                <w:szCs w:val="21"/>
                <w:lang w:val="en-US" w:eastAsia="zh-CN" w:bidi="ar-SA"/>
                <w14:textFill>
                  <w14:solidFill>
                    <w14:schemeClr w14:val="tx1"/>
                  </w14:solidFill>
                </w14:textFill>
              </w:rPr>
            </w:pP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-10~</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20</w:t>
            </w:r>
          </w:p>
        </w:tc>
        <w:tc>
          <w:tcPr>
            <w:tcW w:w="451" w:type="pct"/>
            <w:tcBorders>
              <w:tl2br w:val="nil"/>
              <w:tr2bl w:val="nil"/>
            </w:tcBorders>
            <w:shd w:val="clear" w:color="auto" w:fill="auto"/>
            <w:tcMar>
              <w:top w:w="15" w:type="dxa"/>
              <w:left w:w="15" w:type="dxa"/>
              <w:bottom w:w="0" w:type="dxa"/>
              <w:right w:w="15" w:type="dxa"/>
            </w:tcMar>
            <w:vAlign w:val="center"/>
          </w:tcPr>
          <w:p w14:paraId="42BE66C7">
            <w:pPr>
              <w:bidi w:val="0"/>
              <w:jc w:val="center"/>
              <w:rPr>
                <w:rFonts w:hint="default" w:ascii="Times New Roman" w:hAnsi="Times New Roman" w:eastAsia="方正仿宋_GB2312" w:cs="Times New Roman"/>
                <w:snapToGrid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-0.09</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~0.4</w:t>
            </w:r>
          </w:p>
        </w:tc>
        <w:tc>
          <w:tcPr>
            <w:tcW w:w="342" w:type="pct"/>
            <w:tcBorders>
              <w:tl2br w:val="nil"/>
              <w:tr2bl w:val="nil"/>
            </w:tcBorders>
            <w:shd w:val="clear" w:color="auto" w:fill="auto"/>
            <w:tcMar>
              <w:top w:w="15" w:type="dxa"/>
              <w:left w:w="15" w:type="dxa"/>
              <w:bottom w:w="0" w:type="dxa"/>
              <w:right w:w="15" w:type="dxa"/>
            </w:tcMar>
            <w:vAlign w:val="center"/>
          </w:tcPr>
          <w:p w14:paraId="1C947523">
            <w:pPr>
              <w:bidi w:val="0"/>
              <w:jc w:val="center"/>
              <w:rPr>
                <w:rFonts w:hint="default" w:ascii="Times New Roman" w:hAnsi="Times New Roman" w:eastAsia="方正仿宋_GB2312" w:cs="Times New Roman"/>
                <w:snapToGrid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w:t>
            </w:r>
          </w:p>
        </w:tc>
        <w:tc>
          <w:tcPr>
            <w:tcW w:w="378" w:type="pct"/>
            <w:tcBorders>
              <w:tl2br w:val="nil"/>
              <w:tr2bl w:val="nil"/>
            </w:tcBorders>
            <w:shd w:val="clear" w:color="auto" w:fill="auto"/>
            <w:vAlign w:val="center"/>
          </w:tcPr>
          <w:p w14:paraId="6CCB9399">
            <w:pPr>
              <w:bidi w:val="0"/>
              <w:jc w:val="center"/>
              <w:rPr>
                <w:rFonts w:hint="default" w:ascii="Times New Roman" w:hAnsi="Times New Roman" w:eastAsia="方正仿宋_GB2312" w:cs="Times New Roman"/>
                <w:snapToGrid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利旧</w:t>
            </w:r>
          </w:p>
        </w:tc>
      </w:tr>
      <w:tr w14:paraId="749FEC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462" w:type="pct"/>
            <w:vMerge w:val="continue"/>
            <w:tcBorders>
              <w:tl2br w:val="nil"/>
              <w:tr2bl w:val="nil"/>
            </w:tcBorders>
            <w:vAlign w:val="center"/>
          </w:tcPr>
          <w:p w14:paraId="1F442EE9">
            <w:pPr>
              <w:widowControl/>
              <w:jc w:val="center"/>
              <w:rPr>
                <w:rFonts w:eastAsia="仿宋_GB2312"/>
                <w:color w:val="FF0000"/>
                <w:kern w:val="0"/>
                <w:szCs w:val="20"/>
              </w:rPr>
            </w:pPr>
          </w:p>
        </w:tc>
        <w:tc>
          <w:tcPr>
            <w:tcW w:w="346" w:type="pct"/>
            <w:tcBorders>
              <w:tl2br w:val="nil"/>
              <w:tr2bl w:val="nil"/>
            </w:tcBorders>
            <w:shd w:val="clear" w:color="auto" w:fill="auto"/>
            <w:tcMar>
              <w:top w:w="15" w:type="dxa"/>
              <w:left w:w="15" w:type="dxa"/>
              <w:bottom w:w="0" w:type="dxa"/>
              <w:right w:w="15" w:type="dxa"/>
            </w:tcMar>
            <w:vAlign w:val="center"/>
          </w:tcPr>
          <w:p w14:paraId="38065387">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23</w:t>
            </w:r>
          </w:p>
        </w:tc>
        <w:tc>
          <w:tcPr>
            <w:tcW w:w="816" w:type="pct"/>
            <w:tcBorders>
              <w:tl2br w:val="nil"/>
              <w:tr2bl w:val="nil"/>
            </w:tcBorders>
            <w:shd w:val="clear" w:color="auto" w:fill="auto"/>
            <w:tcMar>
              <w:top w:w="15" w:type="dxa"/>
              <w:left w:w="15" w:type="dxa"/>
              <w:bottom w:w="0" w:type="dxa"/>
              <w:right w:w="15" w:type="dxa"/>
            </w:tcMar>
            <w:vAlign w:val="center"/>
          </w:tcPr>
          <w:p w14:paraId="44529339">
            <w:pPr>
              <w:bidi w:val="0"/>
              <w:jc w:val="center"/>
              <w:rPr>
                <w:rFonts w:hint="default" w:ascii="Times New Roman" w:hAnsi="Times New Roman" w:eastAsia="方正仿宋_GB2312" w:cs="Times New Roman"/>
                <w:snapToGrid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7#塔二级冷凝器</w:t>
            </w:r>
          </w:p>
        </w:tc>
        <w:tc>
          <w:tcPr>
            <w:tcW w:w="1218" w:type="pct"/>
            <w:tcBorders>
              <w:tl2br w:val="nil"/>
              <w:tr2bl w:val="nil"/>
            </w:tcBorders>
            <w:shd w:val="clear" w:color="auto" w:fill="auto"/>
            <w:tcMar>
              <w:top w:w="15" w:type="dxa"/>
              <w:left w:w="15" w:type="dxa"/>
              <w:bottom w:w="0" w:type="dxa"/>
              <w:right w:w="15" w:type="dxa"/>
            </w:tcMar>
            <w:vAlign w:val="center"/>
          </w:tcPr>
          <w:p w14:paraId="0998C533">
            <w:pPr>
              <w:bidi w:val="0"/>
              <w:jc w:val="center"/>
              <w:rPr>
                <w:rFonts w:hint="default" w:ascii="Times New Roman" w:hAnsi="Times New Roman" w:eastAsia="方正仿宋_GB2312" w:cs="Times New Roman"/>
                <w:snapToGrid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F=91m</w:t>
            </w:r>
            <w:r>
              <w:rPr>
                <w:rFonts w:hint="default" w:ascii="Times New Roman" w:hAnsi="Times New Roman" w:eastAsia="方正仿宋_GB2312" w:cs="Times New Roman"/>
                <w:color w:val="000000" w:themeColor="text1"/>
                <w:sz w:val="21"/>
                <w:szCs w:val="21"/>
                <w:vertAlign w:val="superscript"/>
                <w:lang w:val="en-US" w:eastAsia="zh-CN"/>
                <w14:textFill>
                  <w14:solidFill>
                    <w14:schemeClr w14:val="tx1"/>
                  </w14:solidFill>
                </w14:textFill>
              </w:rPr>
              <w:t>2</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Φ900×2500</w:t>
            </w:r>
          </w:p>
        </w:tc>
        <w:tc>
          <w:tcPr>
            <w:tcW w:w="540" w:type="pct"/>
            <w:tcBorders>
              <w:tl2br w:val="nil"/>
              <w:tr2bl w:val="nil"/>
            </w:tcBorders>
            <w:shd w:val="clear" w:color="auto" w:fill="auto"/>
            <w:tcMar>
              <w:top w:w="15" w:type="dxa"/>
              <w:left w:w="15" w:type="dxa"/>
              <w:bottom w:w="0" w:type="dxa"/>
              <w:right w:w="15" w:type="dxa"/>
            </w:tcMar>
            <w:vAlign w:val="center"/>
          </w:tcPr>
          <w:p w14:paraId="36AC5444">
            <w:pPr>
              <w:bidi w:val="0"/>
              <w:jc w:val="center"/>
              <w:rPr>
                <w:rFonts w:hint="default" w:ascii="Times New Roman" w:hAnsi="Times New Roman" w:eastAsia="方正仿宋_GB2312" w:cs="Times New Roman"/>
                <w:snapToGrid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S304/Q345R</w:t>
            </w:r>
          </w:p>
        </w:tc>
        <w:tc>
          <w:tcPr>
            <w:tcW w:w="443" w:type="pct"/>
            <w:tcBorders>
              <w:tl2br w:val="nil"/>
              <w:tr2bl w:val="nil"/>
            </w:tcBorders>
            <w:shd w:val="clear" w:color="auto" w:fill="auto"/>
            <w:tcMar>
              <w:top w:w="15" w:type="dxa"/>
              <w:left w:w="15" w:type="dxa"/>
              <w:bottom w:w="0" w:type="dxa"/>
              <w:right w:w="15" w:type="dxa"/>
            </w:tcMar>
            <w:vAlign w:val="center"/>
          </w:tcPr>
          <w:p w14:paraId="21895979">
            <w:pPr>
              <w:bidi w:val="0"/>
              <w:jc w:val="center"/>
              <w:rPr>
                <w:rFonts w:hint="default" w:ascii="Times New Roman" w:hAnsi="Times New Roman" w:eastAsia="方正仿宋_GB2312" w:cs="Times New Roman"/>
                <w:snapToGrid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-10</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175</w:t>
            </w:r>
          </w:p>
        </w:tc>
        <w:tc>
          <w:tcPr>
            <w:tcW w:w="451" w:type="pct"/>
            <w:tcBorders>
              <w:tl2br w:val="nil"/>
              <w:tr2bl w:val="nil"/>
            </w:tcBorders>
            <w:shd w:val="clear" w:color="auto" w:fill="auto"/>
            <w:tcMar>
              <w:top w:w="15" w:type="dxa"/>
              <w:left w:w="15" w:type="dxa"/>
              <w:bottom w:w="0" w:type="dxa"/>
              <w:right w:w="15" w:type="dxa"/>
            </w:tcMar>
            <w:vAlign w:val="center"/>
          </w:tcPr>
          <w:p w14:paraId="0771906F">
            <w:pPr>
              <w:bidi w:val="0"/>
              <w:jc w:val="center"/>
              <w:rPr>
                <w:rFonts w:hint="default" w:ascii="Times New Roman" w:hAnsi="Times New Roman" w:eastAsia="方正仿宋_GB2312" w:cs="Times New Roman"/>
                <w:snapToGrid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-0.09</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~0.4</w:t>
            </w:r>
          </w:p>
        </w:tc>
        <w:tc>
          <w:tcPr>
            <w:tcW w:w="342" w:type="pct"/>
            <w:tcBorders>
              <w:tl2br w:val="nil"/>
              <w:tr2bl w:val="nil"/>
            </w:tcBorders>
            <w:shd w:val="clear" w:color="auto" w:fill="auto"/>
            <w:tcMar>
              <w:top w:w="15" w:type="dxa"/>
              <w:left w:w="15" w:type="dxa"/>
              <w:bottom w:w="0" w:type="dxa"/>
              <w:right w:w="15" w:type="dxa"/>
            </w:tcMar>
            <w:vAlign w:val="center"/>
          </w:tcPr>
          <w:p w14:paraId="20B2AACB">
            <w:pPr>
              <w:bidi w:val="0"/>
              <w:jc w:val="center"/>
              <w:rPr>
                <w:rFonts w:hint="default" w:ascii="Times New Roman" w:hAnsi="Times New Roman" w:eastAsia="方正仿宋_GB2312" w:cs="Times New Roman"/>
                <w:snapToGrid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w:t>
            </w:r>
          </w:p>
        </w:tc>
        <w:tc>
          <w:tcPr>
            <w:tcW w:w="378" w:type="pct"/>
            <w:tcBorders>
              <w:tl2br w:val="nil"/>
              <w:tr2bl w:val="nil"/>
            </w:tcBorders>
            <w:shd w:val="clear" w:color="auto" w:fill="auto"/>
            <w:vAlign w:val="center"/>
          </w:tcPr>
          <w:p w14:paraId="6473DB12">
            <w:pPr>
              <w:bidi w:val="0"/>
              <w:jc w:val="center"/>
              <w:rPr>
                <w:rFonts w:hint="default" w:ascii="Times New Roman" w:hAnsi="Times New Roman" w:eastAsia="方正仿宋_GB2312" w:cs="Times New Roman"/>
                <w:snapToGrid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利旧</w:t>
            </w:r>
          </w:p>
        </w:tc>
      </w:tr>
      <w:tr w14:paraId="5A59146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462" w:type="pct"/>
            <w:vMerge w:val="continue"/>
            <w:tcBorders>
              <w:tl2br w:val="nil"/>
              <w:tr2bl w:val="nil"/>
            </w:tcBorders>
            <w:vAlign w:val="center"/>
          </w:tcPr>
          <w:p w14:paraId="740ED5B7">
            <w:pPr>
              <w:widowControl/>
              <w:jc w:val="center"/>
              <w:rPr>
                <w:rFonts w:eastAsia="仿宋_GB2312"/>
                <w:color w:val="FF0000"/>
                <w:kern w:val="0"/>
                <w:szCs w:val="20"/>
              </w:rPr>
            </w:pPr>
          </w:p>
        </w:tc>
        <w:tc>
          <w:tcPr>
            <w:tcW w:w="346" w:type="pct"/>
            <w:tcBorders>
              <w:tl2br w:val="nil"/>
              <w:tr2bl w:val="nil"/>
            </w:tcBorders>
            <w:shd w:val="clear" w:color="auto" w:fill="auto"/>
            <w:tcMar>
              <w:top w:w="15" w:type="dxa"/>
              <w:left w:w="15" w:type="dxa"/>
              <w:bottom w:w="0" w:type="dxa"/>
              <w:right w:w="15" w:type="dxa"/>
            </w:tcMar>
            <w:vAlign w:val="center"/>
          </w:tcPr>
          <w:p w14:paraId="29DD26A3">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24</w:t>
            </w:r>
          </w:p>
        </w:tc>
        <w:tc>
          <w:tcPr>
            <w:tcW w:w="816" w:type="pct"/>
            <w:tcBorders>
              <w:tl2br w:val="nil"/>
              <w:tr2bl w:val="nil"/>
            </w:tcBorders>
            <w:shd w:val="clear" w:color="auto" w:fill="auto"/>
            <w:tcMar>
              <w:top w:w="15" w:type="dxa"/>
              <w:left w:w="15" w:type="dxa"/>
              <w:bottom w:w="0" w:type="dxa"/>
              <w:right w:w="15" w:type="dxa"/>
            </w:tcMar>
            <w:vAlign w:val="center"/>
          </w:tcPr>
          <w:p w14:paraId="05830DCA">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一级螺旋板式换热器</w:t>
            </w:r>
          </w:p>
        </w:tc>
        <w:tc>
          <w:tcPr>
            <w:tcW w:w="1218" w:type="pct"/>
            <w:tcBorders>
              <w:tl2br w:val="nil"/>
              <w:tr2bl w:val="nil"/>
            </w:tcBorders>
            <w:shd w:val="clear" w:color="auto" w:fill="auto"/>
            <w:tcMar>
              <w:top w:w="15" w:type="dxa"/>
              <w:left w:w="15" w:type="dxa"/>
              <w:bottom w:w="0" w:type="dxa"/>
              <w:right w:w="15" w:type="dxa"/>
            </w:tcMar>
            <w:vAlign w:val="center"/>
          </w:tcPr>
          <w:p w14:paraId="45E6D75E">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F=32m</w:t>
            </w:r>
            <w:r>
              <w:rPr>
                <w:rFonts w:hint="default" w:ascii="Times New Roman" w:hAnsi="Times New Roman" w:eastAsia="方正仿宋_GB2312" w:cs="Times New Roman"/>
                <w:color w:val="000000" w:themeColor="text1"/>
                <w:sz w:val="21"/>
                <w:szCs w:val="21"/>
                <w:vertAlign w:val="superscript"/>
                <w:lang w:val="en-US" w:eastAsia="zh-CN"/>
                <w14:textFill>
                  <w14:solidFill>
                    <w14:schemeClr w14:val="tx1"/>
                  </w14:solidFill>
                </w14:textFill>
              </w:rPr>
              <w:t>2</w:t>
            </w:r>
          </w:p>
        </w:tc>
        <w:tc>
          <w:tcPr>
            <w:tcW w:w="540" w:type="pct"/>
            <w:tcBorders>
              <w:tl2br w:val="nil"/>
              <w:tr2bl w:val="nil"/>
            </w:tcBorders>
            <w:shd w:val="clear" w:color="auto" w:fill="auto"/>
            <w:tcMar>
              <w:top w:w="15" w:type="dxa"/>
              <w:left w:w="15" w:type="dxa"/>
              <w:bottom w:w="0" w:type="dxa"/>
              <w:right w:w="15" w:type="dxa"/>
            </w:tcMar>
            <w:vAlign w:val="center"/>
          </w:tcPr>
          <w:p w14:paraId="36B3AD70">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kern w:val="0"/>
                <w:szCs w:val="21"/>
                <w:highlight w:val="none"/>
              </w:rPr>
              <w:t>S3</w:t>
            </w:r>
            <w:r>
              <w:rPr>
                <w:rFonts w:hint="default" w:ascii="Times New Roman" w:hAnsi="Times New Roman" w:eastAsia="方正仿宋_GB2312" w:cs="Times New Roman"/>
                <w:kern w:val="0"/>
                <w:szCs w:val="21"/>
                <w:highlight w:val="none"/>
                <w:lang w:val="en-US" w:eastAsia="zh-CN"/>
              </w:rPr>
              <w:t>04</w:t>
            </w:r>
          </w:p>
        </w:tc>
        <w:tc>
          <w:tcPr>
            <w:tcW w:w="443" w:type="pct"/>
            <w:tcBorders>
              <w:tl2br w:val="nil"/>
              <w:tr2bl w:val="nil"/>
            </w:tcBorders>
            <w:shd w:val="clear" w:color="auto" w:fill="auto"/>
            <w:tcMar>
              <w:top w:w="15" w:type="dxa"/>
              <w:left w:w="15" w:type="dxa"/>
              <w:bottom w:w="0" w:type="dxa"/>
              <w:right w:w="15" w:type="dxa"/>
            </w:tcMar>
            <w:vAlign w:val="center"/>
          </w:tcPr>
          <w:p w14:paraId="1876F345">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常温</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~90</w:t>
            </w:r>
          </w:p>
        </w:tc>
        <w:tc>
          <w:tcPr>
            <w:tcW w:w="451" w:type="pct"/>
            <w:tcBorders>
              <w:tl2br w:val="nil"/>
              <w:tr2bl w:val="nil"/>
            </w:tcBorders>
            <w:shd w:val="clear" w:color="auto" w:fill="auto"/>
            <w:tcMar>
              <w:top w:w="15" w:type="dxa"/>
              <w:left w:w="15" w:type="dxa"/>
              <w:bottom w:w="0" w:type="dxa"/>
              <w:right w:w="15" w:type="dxa"/>
            </w:tcMar>
            <w:vAlign w:val="center"/>
          </w:tcPr>
          <w:p w14:paraId="6DCD732C">
            <w:pPr>
              <w:bidi w:val="0"/>
              <w:jc w:val="center"/>
              <w:rPr>
                <w:rFonts w:hint="default" w:ascii="Times New Roman" w:hAnsi="Times New Roman" w:eastAsia="方正仿宋_GB2312" w:cs="Times New Roman"/>
                <w:color w:val="auto"/>
                <w:kern w:val="2"/>
                <w:sz w:val="21"/>
                <w:szCs w:val="21"/>
                <w:lang w:val="en-US" w:eastAsia="zh-CN" w:bidi="ar-SA"/>
              </w:rPr>
            </w:pPr>
            <w:r>
              <w:rPr>
                <w:rFonts w:hint="default" w:ascii="Times New Roman" w:hAnsi="Times New Roman" w:eastAsia="方正仿宋_GB2312" w:cs="Times New Roman"/>
                <w:color w:val="auto"/>
                <w:sz w:val="21"/>
                <w:szCs w:val="21"/>
                <w:lang w:val="en-US" w:eastAsia="zh-CN"/>
              </w:rPr>
              <w:t>0.4</w:t>
            </w:r>
          </w:p>
        </w:tc>
        <w:tc>
          <w:tcPr>
            <w:tcW w:w="342" w:type="pct"/>
            <w:tcBorders>
              <w:tl2br w:val="nil"/>
              <w:tr2bl w:val="nil"/>
            </w:tcBorders>
            <w:shd w:val="clear" w:color="auto" w:fill="auto"/>
            <w:tcMar>
              <w:top w:w="15" w:type="dxa"/>
              <w:left w:w="15" w:type="dxa"/>
              <w:bottom w:w="0" w:type="dxa"/>
              <w:right w:w="15" w:type="dxa"/>
            </w:tcMar>
            <w:vAlign w:val="center"/>
          </w:tcPr>
          <w:p w14:paraId="4053F05A">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2</w:t>
            </w:r>
          </w:p>
        </w:tc>
        <w:tc>
          <w:tcPr>
            <w:tcW w:w="378" w:type="pct"/>
            <w:tcBorders>
              <w:tl2br w:val="nil"/>
              <w:tr2bl w:val="nil"/>
            </w:tcBorders>
            <w:shd w:val="clear" w:color="auto" w:fill="auto"/>
            <w:vAlign w:val="center"/>
          </w:tcPr>
          <w:p w14:paraId="3085E981">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新增</w:t>
            </w:r>
          </w:p>
        </w:tc>
      </w:tr>
      <w:tr w14:paraId="07BD4E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462" w:type="pct"/>
            <w:vMerge w:val="continue"/>
            <w:tcBorders>
              <w:tl2br w:val="nil"/>
              <w:tr2bl w:val="nil"/>
            </w:tcBorders>
            <w:vAlign w:val="center"/>
          </w:tcPr>
          <w:p w14:paraId="647BC1B7">
            <w:pPr>
              <w:widowControl/>
              <w:jc w:val="center"/>
              <w:rPr>
                <w:rFonts w:eastAsia="仿宋_GB2312"/>
                <w:color w:val="FF0000"/>
                <w:kern w:val="0"/>
                <w:szCs w:val="20"/>
              </w:rPr>
            </w:pPr>
          </w:p>
        </w:tc>
        <w:tc>
          <w:tcPr>
            <w:tcW w:w="346" w:type="pct"/>
            <w:tcBorders>
              <w:tl2br w:val="nil"/>
              <w:tr2bl w:val="nil"/>
            </w:tcBorders>
            <w:shd w:val="clear" w:color="auto" w:fill="auto"/>
            <w:tcMar>
              <w:top w:w="15" w:type="dxa"/>
              <w:left w:w="15" w:type="dxa"/>
              <w:bottom w:w="0" w:type="dxa"/>
              <w:right w:w="15" w:type="dxa"/>
            </w:tcMar>
            <w:vAlign w:val="center"/>
          </w:tcPr>
          <w:p w14:paraId="510B942B">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25</w:t>
            </w:r>
          </w:p>
        </w:tc>
        <w:tc>
          <w:tcPr>
            <w:tcW w:w="816" w:type="pct"/>
            <w:tcBorders>
              <w:tl2br w:val="nil"/>
              <w:tr2bl w:val="nil"/>
            </w:tcBorders>
            <w:shd w:val="clear" w:color="auto" w:fill="auto"/>
            <w:tcMar>
              <w:top w:w="15" w:type="dxa"/>
              <w:left w:w="15" w:type="dxa"/>
              <w:bottom w:w="0" w:type="dxa"/>
              <w:right w:w="15" w:type="dxa"/>
            </w:tcMar>
            <w:vAlign w:val="center"/>
          </w:tcPr>
          <w:p w14:paraId="0D6CF86A">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二级螺旋板式换热器</w:t>
            </w:r>
          </w:p>
        </w:tc>
        <w:tc>
          <w:tcPr>
            <w:tcW w:w="1218" w:type="pct"/>
            <w:tcBorders>
              <w:tl2br w:val="nil"/>
              <w:tr2bl w:val="nil"/>
            </w:tcBorders>
            <w:shd w:val="clear" w:color="auto" w:fill="auto"/>
            <w:tcMar>
              <w:top w:w="15" w:type="dxa"/>
              <w:left w:w="15" w:type="dxa"/>
              <w:bottom w:w="0" w:type="dxa"/>
              <w:right w:w="15" w:type="dxa"/>
            </w:tcMar>
            <w:vAlign w:val="center"/>
          </w:tcPr>
          <w:p w14:paraId="274C09FF">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F=18m</w:t>
            </w:r>
            <w:r>
              <w:rPr>
                <w:rFonts w:hint="default" w:ascii="Times New Roman" w:hAnsi="Times New Roman" w:eastAsia="方正仿宋_GB2312" w:cs="Times New Roman"/>
                <w:color w:val="000000" w:themeColor="text1"/>
                <w:sz w:val="21"/>
                <w:szCs w:val="21"/>
                <w:vertAlign w:val="superscript"/>
                <w:lang w:val="en-US" w:eastAsia="zh-CN"/>
                <w14:textFill>
                  <w14:solidFill>
                    <w14:schemeClr w14:val="tx1"/>
                  </w14:solidFill>
                </w14:textFill>
              </w:rPr>
              <w:t>2</w:t>
            </w:r>
          </w:p>
        </w:tc>
        <w:tc>
          <w:tcPr>
            <w:tcW w:w="540" w:type="pct"/>
            <w:tcBorders>
              <w:tl2br w:val="nil"/>
              <w:tr2bl w:val="nil"/>
            </w:tcBorders>
            <w:shd w:val="clear" w:color="auto" w:fill="auto"/>
            <w:tcMar>
              <w:top w:w="15" w:type="dxa"/>
              <w:left w:w="15" w:type="dxa"/>
              <w:bottom w:w="0" w:type="dxa"/>
              <w:right w:w="15" w:type="dxa"/>
            </w:tcMar>
            <w:vAlign w:val="center"/>
          </w:tcPr>
          <w:p w14:paraId="5B02A520">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kern w:val="0"/>
                <w:szCs w:val="21"/>
                <w:highlight w:val="none"/>
              </w:rPr>
              <w:t>S3</w:t>
            </w:r>
            <w:r>
              <w:rPr>
                <w:rFonts w:hint="default" w:ascii="Times New Roman" w:hAnsi="Times New Roman" w:eastAsia="方正仿宋_GB2312" w:cs="Times New Roman"/>
                <w:kern w:val="0"/>
                <w:szCs w:val="21"/>
                <w:highlight w:val="none"/>
                <w:lang w:val="en-US" w:eastAsia="zh-CN"/>
              </w:rPr>
              <w:t>04</w:t>
            </w:r>
          </w:p>
        </w:tc>
        <w:tc>
          <w:tcPr>
            <w:tcW w:w="443" w:type="pct"/>
            <w:tcBorders>
              <w:tl2br w:val="nil"/>
              <w:tr2bl w:val="nil"/>
            </w:tcBorders>
            <w:shd w:val="clear" w:color="auto" w:fill="auto"/>
            <w:tcMar>
              <w:top w:w="15" w:type="dxa"/>
              <w:left w:w="15" w:type="dxa"/>
              <w:bottom w:w="0" w:type="dxa"/>
              <w:right w:w="15" w:type="dxa"/>
            </w:tcMar>
            <w:vAlign w:val="center"/>
          </w:tcPr>
          <w:p w14:paraId="3EEF36FA">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40</w:t>
            </w:r>
          </w:p>
        </w:tc>
        <w:tc>
          <w:tcPr>
            <w:tcW w:w="451" w:type="pct"/>
            <w:tcBorders>
              <w:tl2br w:val="nil"/>
              <w:tr2bl w:val="nil"/>
            </w:tcBorders>
            <w:shd w:val="clear" w:color="auto" w:fill="auto"/>
            <w:tcMar>
              <w:top w:w="15" w:type="dxa"/>
              <w:left w:w="15" w:type="dxa"/>
              <w:bottom w:w="0" w:type="dxa"/>
              <w:right w:w="15" w:type="dxa"/>
            </w:tcMar>
            <w:vAlign w:val="center"/>
          </w:tcPr>
          <w:p w14:paraId="3A6DD8BE">
            <w:pPr>
              <w:bidi w:val="0"/>
              <w:jc w:val="center"/>
              <w:rPr>
                <w:rFonts w:hint="default" w:ascii="Times New Roman" w:hAnsi="Times New Roman" w:eastAsia="方正仿宋_GB2312" w:cs="Times New Roman"/>
                <w:color w:val="auto"/>
                <w:kern w:val="2"/>
                <w:sz w:val="21"/>
                <w:szCs w:val="21"/>
                <w:lang w:val="en-US" w:eastAsia="zh-CN" w:bidi="ar-SA"/>
              </w:rPr>
            </w:pPr>
            <w:r>
              <w:rPr>
                <w:rFonts w:hint="default" w:ascii="Times New Roman" w:hAnsi="Times New Roman" w:eastAsia="方正仿宋_GB2312" w:cs="Times New Roman"/>
                <w:color w:val="auto"/>
                <w:sz w:val="21"/>
                <w:szCs w:val="21"/>
                <w:lang w:val="en-US" w:eastAsia="zh-CN"/>
              </w:rPr>
              <w:t>0.4</w:t>
            </w:r>
          </w:p>
        </w:tc>
        <w:tc>
          <w:tcPr>
            <w:tcW w:w="342" w:type="pct"/>
            <w:tcBorders>
              <w:tl2br w:val="nil"/>
              <w:tr2bl w:val="nil"/>
            </w:tcBorders>
            <w:shd w:val="clear" w:color="auto" w:fill="auto"/>
            <w:tcMar>
              <w:top w:w="15" w:type="dxa"/>
              <w:left w:w="15" w:type="dxa"/>
              <w:bottom w:w="0" w:type="dxa"/>
              <w:right w:w="15" w:type="dxa"/>
            </w:tcMar>
            <w:vAlign w:val="center"/>
          </w:tcPr>
          <w:p w14:paraId="40D95690">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2</w:t>
            </w:r>
          </w:p>
        </w:tc>
        <w:tc>
          <w:tcPr>
            <w:tcW w:w="378" w:type="pct"/>
            <w:tcBorders>
              <w:tl2br w:val="nil"/>
              <w:tr2bl w:val="nil"/>
            </w:tcBorders>
            <w:shd w:val="clear" w:color="auto" w:fill="auto"/>
            <w:vAlign w:val="center"/>
          </w:tcPr>
          <w:p w14:paraId="6F244ACA">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新增</w:t>
            </w:r>
          </w:p>
        </w:tc>
      </w:tr>
      <w:tr w14:paraId="2B5B494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462" w:type="pct"/>
            <w:vMerge w:val="restart"/>
            <w:tcBorders>
              <w:tl2br w:val="nil"/>
              <w:tr2bl w:val="nil"/>
            </w:tcBorders>
            <w:vAlign w:val="center"/>
          </w:tcPr>
          <w:p w14:paraId="6DB3253E">
            <w:pPr>
              <w:widowControl/>
              <w:jc w:val="center"/>
              <w:rPr>
                <w:rFonts w:hint="eastAsia" w:eastAsia="仿宋_GB2312"/>
                <w:color w:val="auto"/>
                <w:kern w:val="0"/>
                <w:szCs w:val="20"/>
                <w:lang w:eastAsia="zh-CN"/>
              </w:rPr>
            </w:pPr>
            <w:r>
              <w:rPr>
                <w:rFonts w:hint="eastAsia" w:eastAsia="仿宋_GB2312"/>
                <w:color w:val="auto"/>
                <w:kern w:val="0"/>
                <w:szCs w:val="20"/>
                <w:lang w:val="en-US" w:eastAsia="zh-CN"/>
              </w:rPr>
              <w:t>超重力</w:t>
            </w:r>
            <w:r>
              <w:rPr>
                <w:rFonts w:eastAsia="仿宋_GB2312"/>
                <w:color w:val="auto"/>
                <w:kern w:val="0"/>
                <w:szCs w:val="20"/>
              </w:rPr>
              <w:t>精馏</w:t>
            </w:r>
            <w:r>
              <w:rPr>
                <w:rFonts w:hint="eastAsia" w:eastAsia="仿宋_GB2312"/>
                <w:color w:val="auto"/>
                <w:kern w:val="0"/>
                <w:szCs w:val="20"/>
                <w:lang w:val="en-US" w:eastAsia="zh-CN"/>
              </w:rPr>
              <w:t>系统</w:t>
            </w:r>
          </w:p>
        </w:tc>
        <w:tc>
          <w:tcPr>
            <w:tcW w:w="346" w:type="pct"/>
            <w:tcBorders>
              <w:tl2br w:val="nil"/>
              <w:tr2bl w:val="nil"/>
            </w:tcBorders>
            <w:shd w:val="clear" w:color="auto" w:fill="auto"/>
            <w:tcMar>
              <w:top w:w="15" w:type="dxa"/>
              <w:left w:w="15" w:type="dxa"/>
              <w:bottom w:w="0" w:type="dxa"/>
              <w:right w:w="15" w:type="dxa"/>
            </w:tcMar>
            <w:vAlign w:val="center"/>
          </w:tcPr>
          <w:p w14:paraId="20C31A63">
            <w:pPr>
              <w:bidi w:val="0"/>
              <w:jc w:val="center"/>
              <w:rPr>
                <w:rFonts w:hint="default" w:ascii="Times New Roman" w:hAnsi="Times New Roman" w:eastAsia="方正仿宋_GB2312" w:cs="Times New Roman"/>
                <w:color w:val="auto"/>
                <w:kern w:val="2"/>
                <w:sz w:val="21"/>
                <w:szCs w:val="21"/>
                <w:lang w:val="en-US" w:eastAsia="zh-CN" w:bidi="ar-SA"/>
              </w:rPr>
            </w:pPr>
            <w:r>
              <w:rPr>
                <w:rFonts w:hint="default" w:ascii="Times New Roman" w:hAnsi="Times New Roman" w:eastAsia="方正仿宋_GB2312" w:cs="Times New Roman"/>
                <w:color w:val="auto"/>
                <w:sz w:val="21"/>
                <w:szCs w:val="21"/>
                <w:lang w:val="en-US" w:eastAsia="zh-CN"/>
              </w:rPr>
              <w:t>1</w:t>
            </w:r>
          </w:p>
        </w:tc>
        <w:tc>
          <w:tcPr>
            <w:tcW w:w="816" w:type="pct"/>
            <w:tcBorders>
              <w:tl2br w:val="nil"/>
              <w:tr2bl w:val="nil"/>
            </w:tcBorders>
            <w:shd w:val="clear" w:color="auto" w:fill="auto"/>
            <w:tcMar>
              <w:top w:w="15" w:type="dxa"/>
              <w:left w:w="15" w:type="dxa"/>
              <w:bottom w:w="0" w:type="dxa"/>
              <w:right w:w="15" w:type="dxa"/>
            </w:tcMar>
            <w:vAlign w:val="center"/>
          </w:tcPr>
          <w:p w14:paraId="37C66C80">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预热器</w:t>
            </w:r>
          </w:p>
        </w:tc>
        <w:tc>
          <w:tcPr>
            <w:tcW w:w="1218" w:type="pct"/>
            <w:tcBorders>
              <w:tl2br w:val="nil"/>
              <w:tr2bl w:val="nil"/>
            </w:tcBorders>
            <w:shd w:val="clear" w:color="auto" w:fill="auto"/>
            <w:tcMar>
              <w:top w:w="15" w:type="dxa"/>
              <w:left w:w="15" w:type="dxa"/>
              <w:bottom w:w="0" w:type="dxa"/>
              <w:right w:w="15" w:type="dxa"/>
            </w:tcMar>
            <w:vAlign w:val="center"/>
          </w:tcPr>
          <w:p w14:paraId="1A612C34">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螺旋板式换热器F=20m</w:t>
            </w:r>
            <w:r>
              <w:rPr>
                <w:rFonts w:hint="default" w:ascii="Times New Roman" w:hAnsi="Times New Roman" w:eastAsia="方正仿宋_GB2312" w:cs="Times New Roman"/>
                <w:color w:val="000000" w:themeColor="text1"/>
                <w:sz w:val="21"/>
                <w:szCs w:val="21"/>
                <w:vertAlign w:val="superscript"/>
                <w:lang w:val="en-US" w:eastAsia="zh-CN"/>
                <w14:textFill>
                  <w14:solidFill>
                    <w14:schemeClr w14:val="tx1"/>
                  </w14:solidFill>
                </w14:textFill>
              </w:rPr>
              <w:t>2</w:t>
            </w:r>
          </w:p>
        </w:tc>
        <w:tc>
          <w:tcPr>
            <w:tcW w:w="540" w:type="pct"/>
            <w:tcBorders>
              <w:tl2br w:val="nil"/>
              <w:tr2bl w:val="nil"/>
            </w:tcBorders>
            <w:shd w:val="clear" w:color="auto" w:fill="auto"/>
            <w:tcMar>
              <w:top w:w="15" w:type="dxa"/>
              <w:left w:w="15" w:type="dxa"/>
              <w:bottom w:w="0" w:type="dxa"/>
              <w:right w:w="15" w:type="dxa"/>
            </w:tcMar>
            <w:vAlign w:val="center"/>
          </w:tcPr>
          <w:p w14:paraId="3FB01CB3">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kern w:val="0"/>
                <w:szCs w:val="21"/>
                <w:highlight w:val="none"/>
              </w:rPr>
              <w:t>S3</w:t>
            </w:r>
            <w:r>
              <w:rPr>
                <w:rFonts w:hint="default" w:ascii="Times New Roman" w:hAnsi="Times New Roman" w:eastAsia="方正仿宋_GB2312" w:cs="Times New Roman"/>
                <w:kern w:val="0"/>
                <w:szCs w:val="21"/>
                <w:highlight w:val="none"/>
                <w:lang w:val="en-US" w:eastAsia="zh-CN"/>
              </w:rPr>
              <w:t>04</w:t>
            </w:r>
          </w:p>
        </w:tc>
        <w:tc>
          <w:tcPr>
            <w:tcW w:w="443" w:type="pct"/>
            <w:tcBorders>
              <w:tl2br w:val="nil"/>
              <w:tr2bl w:val="nil"/>
            </w:tcBorders>
            <w:shd w:val="clear" w:color="auto" w:fill="auto"/>
            <w:tcMar>
              <w:top w:w="15" w:type="dxa"/>
              <w:left w:w="15" w:type="dxa"/>
              <w:bottom w:w="0" w:type="dxa"/>
              <w:right w:w="15" w:type="dxa"/>
            </w:tcMar>
            <w:vAlign w:val="center"/>
          </w:tcPr>
          <w:p w14:paraId="64412E2B">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40</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~85</w:t>
            </w:r>
          </w:p>
        </w:tc>
        <w:tc>
          <w:tcPr>
            <w:tcW w:w="451" w:type="pct"/>
            <w:tcBorders>
              <w:tl2br w:val="nil"/>
              <w:tr2bl w:val="nil"/>
            </w:tcBorders>
            <w:shd w:val="clear" w:color="auto" w:fill="auto"/>
            <w:tcMar>
              <w:top w:w="15" w:type="dxa"/>
              <w:left w:w="15" w:type="dxa"/>
              <w:bottom w:w="0" w:type="dxa"/>
              <w:right w:w="15" w:type="dxa"/>
            </w:tcMar>
            <w:vAlign w:val="center"/>
          </w:tcPr>
          <w:p w14:paraId="7CD72C81">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t>0.4</w:t>
            </w:r>
          </w:p>
        </w:tc>
        <w:tc>
          <w:tcPr>
            <w:tcW w:w="342" w:type="pct"/>
            <w:tcBorders>
              <w:tl2br w:val="nil"/>
              <w:tr2bl w:val="nil"/>
            </w:tcBorders>
            <w:shd w:val="clear" w:color="auto" w:fill="auto"/>
            <w:tcMar>
              <w:top w:w="15" w:type="dxa"/>
              <w:left w:w="15" w:type="dxa"/>
              <w:bottom w:w="0" w:type="dxa"/>
              <w:right w:w="15" w:type="dxa"/>
            </w:tcMar>
            <w:vAlign w:val="center"/>
          </w:tcPr>
          <w:p w14:paraId="200C0644">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4</w:t>
            </w:r>
          </w:p>
        </w:tc>
        <w:tc>
          <w:tcPr>
            <w:tcW w:w="378" w:type="pct"/>
            <w:tcBorders>
              <w:tl2br w:val="nil"/>
              <w:tr2bl w:val="nil"/>
            </w:tcBorders>
            <w:shd w:val="clear" w:color="auto" w:fill="auto"/>
            <w:vAlign w:val="center"/>
          </w:tcPr>
          <w:p w14:paraId="20ED6031">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新增</w:t>
            </w:r>
          </w:p>
        </w:tc>
      </w:tr>
      <w:tr w14:paraId="758FB5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462" w:type="pct"/>
            <w:vMerge w:val="continue"/>
            <w:tcBorders>
              <w:tl2br w:val="nil"/>
              <w:tr2bl w:val="nil"/>
            </w:tcBorders>
            <w:vAlign w:val="center"/>
          </w:tcPr>
          <w:p w14:paraId="094717F1">
            <w:pPr>
              <w:widowControl/>
              <w:jc w:val="center"/>
              <w:rPr>
                <w:rFonts w:eastAsia="仿宋_GB2312"/>
                <w:color w:val="auto"/>
                <w:kern w:val="0"/>
                <w:szCs w:val="20"/>
              </w:rPr>
            </w:pPr>
          </w:p>
        </w:tc>
        <w:tc>
          <w:tcPr>
            <w:tcW w:w="346" w:type="pct"/>
            <w:tcBorders>
              <w:tl2br w:val="nil"/>
              <w:tr2bl w:val="nil"/>
            </w:tcBorders>
            <w:shd w:val="clear" w:color="auto" w:fill="auto"/>
            <w:tcMar>
              <w:top w:w="15" w:type="dxa"/>
              <w:left w:w="15" w:type="dxa"/>
              <w:bottom w:w="0" w:type="dxa"/>
              <w:right w:w="15" w:type="dxa"/>
            </w:tcMar>
            <w:vAlign w:val="center"/>
          </w:tcPr>
          <w:p w14:paraId="24811753">
            <w:pPr>
              <w:bidi w:val="0"/>
              <w:jc w:val="center"/>
              <w:rPr>
                <w:rFonts w:hint="default" w:ascii="Times New Roman" w:hAnsi="Times New Roman" w:eastAsia="方正仿宋_GB2312" w:cs="Times New Roman"/>
                <w:color w:val="auto"/>
                <w:kern w:val="2"/>
                <w:sz w:val="21"/>
                <w:szCs w:val="21"/>
                <w:lang w:val="en-US" w:eastAsia="zh-CN" w:bidi="ar-SA"/>
              </w:rPr>
            </w:pPr>
            <w:r>
              <w:rPr>
                <w:rFonts w:hint="default" w:ascii="Times New Roman" w:hAnsi="Times New Roman" w:eastAsia="方正仿宋_GB2312" w:cs="Times New Roman"/>
                <w:color w:val="auto"/>
                <w:sz w:val="21"/>
                <w:szCs w:val="21"/>
                <w:lang w:val="en-US" w:eastAsia="zh-CN"/>
              </w:rPr>
              <w:t>2</w:t>
            </w:r>
          </w:p>
        </w:tc>
        <w:tc>
          <w:tcPr>
            <w:tcW w:w="816" w:type="pct"/>
            <w:tcBorders>
              <w:tl2br w:val="nil"/>
              <w:tr2bl w:val="nil"/>
            </w:tcBorders>
            <w:shd w:val="clear" w:color="auto" w:fill="auto"/>
            <w:tcMar>
              <w:top w:w="15" w:type="dxa"/>
              <w:left w:w="15" w:type="dxa"/>
              <w:bottom w:w="0" w:type="dxa"/>
              <w:right w:w="15" w:type="dxa"/>
            </w:tcMar>
            <w:vAlign w:val="center"/>
          </w:tcPr>
          <w:p w14:paraId="589011D1">
            <w:pPr>
              <w:bidi w:val="0"/>
              <w:jc w:val="center"/>
              <w:rPr>
                <w:rFonts w:hint="default" w:ascii="Times New Roman" w:hAnsi="Times New Roman" w:eastAsia="方正仿宋_GB2312" w:cs="Times New Roman"/>
                <w:color w:val="auto"/>
                <w:kern w:val="2"/>
                <w:sz w:val="21"/>
                <w:szCs w:val="21"/>
                <w:lang w:val="en-US" w:eastAsia="zh-CN" w:bidi="ar-SA"/>
              </w:rPr>
            </w:pPr>
            <w:r>
              <w:rPr>
                <w:rFonts w:hint="default" w:ascii="Times New Roman" w:hAnsi="Times New Roman" w:eastAsia="方正仿宋_GB2312" w:cs="Times New Roman"/>
                <w:color w:val="auto"/>
                <w:sz w:val="21"/>
                <w:szCs w:val="21"/>
                <w:lang w:val="en-US" w:eastAsia="zh-CN"/>
              </w:rPr>
              <w:t>原料泵</w:t>
            </w:r>
          </w:p>
        </w:tc>
        <w:tc>
          <w:tcPr>
            <w:tcW w:w="1218" w:type="pct"/>
            <w:tcBorders>
              <w:tl2br w:val="nil"/>
              <w:tr2bl w:val="nil"/>
            </w:tcBorders>
            <w:shd w:val="clear" w:color="auto" w:fill="auto"/>
            <w:tcMar>
              <w:top w:w="15" w:type="dxa"/>
              <w:left w:w="15" w:type="dxa"/>
              <w:bottom w:w="0" w:type="dxa"/>
              <w:right w:w="15" w:type="dxa"/>
            </w:tcMar>
            <w:vAlign w:val="center"/>
          </w:tcPr>
          <w:p w14:paraId="239ED065">
            <w:pPr>
              <w:bidi w:val="0"/>
              <w:jc w:val="center"/>
              <w:rPr>
                <w:rFonts w:hint="default" w:ascii="Times New Roman" w:hAnsi="Times New Roman" w:eastAsia="方正仿宋_GB2312" w:cs="Times New Roman"/>
                <w:color w:val="auto"/>
                <w:kern w:val="2"/>
                <w:sz w:val="21"/>
                <w:szCs w:val="21"/>
                <w:lang w:val="en-US" w:eastAsia="zh-CN" w:bidi="ar-SA"/>
              </w:rPr>
            </w:pPr>
            <w:r>
              <w:rPr>
                <w:rFonts w:hint="default" w:ascii="Times New Roman" w:hAnsi="Times New Roman" w:eastAsia="方正仿宋_GB2312" w:cs="Times New Roman"/>
                <w:i w:val="0"/>
                <w:iCs w:val="0"/>
                <w:color w:val="auto"/>
                <w:kern w:val="0"/>
                <w:sz w:val="20"/>
                <w:szCs w:val="20"/>
                <w:u w:val="none"/>
                <w:lang w:val="en-US" w:eastAsia="zh-CN" w:bidi="ar"/>
              </w:rPr>
              <w:t>304不锈钢磁力泵：P=3KW Q=5m</w:t>
            </w:r>
            <w:r>
              <w:rPr>
                <w:rFonts w:hint="default" w:ascii="Times New Roman" w:hAnsi="Times New Roman" w:eastAsia="方正仿宋_GB2312" w:cs="Times New Roman"/>
                <w:i w:val="0"/>
                <w:iCs w:val="0"/>
                <w:color w:val="auto"/>
                <w:kern w:val="0"/>
                <w:sz w:val="20"/>
                <w:szCs w:val="20"/>
                <w:u w:val="none"/>
                <w:vertAlign w:val="superscript"/>
                <w:lang w:val="en-US" w:eastAsia="zh-CN" w:bidi="ar"/>
              </w:rPr>
              <w:t>3</w:t>
            </w:r>
            <w:r>
              <w:rPr>
                <w:rFonts w:hint="default" w:ascii="Times New Roman" w:hAnsi="Times New Roman" w:eastAsia="方正仿宋_GB2312" w:cs="Times New Roman"/>
                <w:i w:val="0"/>
                <w:iCs w:val="0"/>
                <w:color w:val="auto"/>
                <w:kern w:val="0"/>
                <w:sz w:val="20"/>
                <w:szCs w:val="20"/>
                <w:u w:val="none"/>
                <w:lang w:val="en-US" w:eastAsia="zh-CN" w:bidi="ar"/>
              </w:rPr>
              <w:t>/h</w:t>
            </w:r>
          </w:p>
        </w:tc>
        <w:tc>
          <w:tcPr>
            <w:tcW w:w="540" w:type="pct"/>
            <w:tcBorders>
              <w:tl2br w:val="nil"/>
              <w:tr2bl w:val="nil"/>
            </w:tcBorders>
            <w:shd w:val="clear" w:color="auto" w:fill="auto"/>
            <w:tcMar>
              <w:top w:w="15" w:type="dxa"/>
              <w:left w:w="15" w:type="dxa"/>
              <w:bottom w:w="0" w:type="dxa"/>
              <w:right w:w="15" w:type="dxa"/>
            </w:tcMar>
            <w:vAlign w:val="center"/>
          </w:tcPr>
          <w:p w14:paraId="3EAFA966">
            <w:pPr>
              <w:bidi w:val="0"/>
              <w:jc w:val="center"/>
              <w:rPr>
                <w:rFonts w:hint="default" w:ascii="Times New Roman" w:hAnsi="Times New Roman" w:eastAsia="方正仿宋_GB2312" w:cs="Times New Roman"/>
                <w:color w:val="auto"/>
                <w:kern w:val="2"/>
                <w:sz w:val="21"/>
                <w:szCs w:val="21"/>
                <w:lang w:val="en-US" w:eastAsia="zh-CN" w:bidi="ar-SA"/>
              </w:rPr>
            </w:pPr>
            <w:r>
              <w:rPr>
                <w:rFonts w:hint="default" w:ascii="Times New Roman" w:hAnsi="Times New Roman" w:eastAsia="方正仿宋_GB2312" w:cs="Times New Roman"/>
                <w:color w:val="auto"/>
                <w:kern w:val="0"/>
                <w:szCs w:val="21"/>
                <w:highlight w:val="none"/>
              </w:rPr>
              <w:t>S3</w:t>
            </w:r>
            <w:r>
              <w:rPr>
                <w:rFonts w:hint="default" w:ascii="Times New Roman" w:hAnsi="Times New Roman" w:eastAsia="方正仿宋_GB2312" w:cs="Times New Roman"/>
                <w:color w:val="auto"/>
                <w:kern w:val="0"/>
                <w:szCs w:val="21"/>
                <w:highlight w:val="none"/>
                <w:lang w:val="en-US" w:eastAsia="zh-CN"/>
              </w:rPr>
              <w:t>04</w:t>
            </w:r>
          </w:p>
        </w:tc>
        <w:tc>
          <w:tcPr>
            <w:tcW w:w="443" w:type="pct"/>
            <w:tcBorders>
              <w:tl2br w:val="nil"/>
              <w:tr2bl w:val="nil"/>
            </w:tcBorders>
            <w:shd w:val="clear" w:color="auto" w:fill="auto"/>
            <w:tcMar>
              <w:top w:w="15" w:type="dxa"/>
              <w:left w:w="15" w:type="dxa"/>
              <w:bottom w:w="0" w:type="dxa"/>
              <w:right w:w="15" w:type="dxa"/>
            </w:tcMar>
            <w:vAlign w:val="center"/>
          </w:tcPr>
          <w:p w14:paraId="40F04E65">
            <w:pPr>
              <w:bidi w:val="0"/>
              <w:jc w:val="center"/>
              <w:rPr>
                <w:rFonts w:hint="default" w:ascii="Times New Roman" w:hAnsi="Times New Roman" w:eastAsia="方正仿宋_GB2312" w:cs="Times New Roman"/>
                <w:color w:val="auto"/>
                <w:kern w:val="2"/>
                <w:sz w:val="21"/>
                <w:szCs w:val="21"/>
                <w:lang w:val="en-US" w:eastAsia="zh-CN" w:bidi="ar-SA"/>
              </w:rPr>
            </w:pPr>
            <w:r>
              <w:rPr>
                <w:rFonts w:hint="default" w:ascii="Times New Roman" w:hAnsi="Times New Roman" w:eastAsia="方正仿宋_GB2312" w:cs="Times New Roman"/>
                <w:color w:val="auto"/>
                <w:sz w:val="21"/>
                <w:szCs w:val="21"/>
                <w:lang w:val="en-US" w:eastAsia="zh-CN"/>
              </w:rPr>
              <w:t>常温</w:t>
            </w:r>
          </w:p>
        </w:tc>
        <w:tc>
          <w:tcPr>
            <w:tcW w:w="451" w:type="pct"/>
            <w:tcBorders>
              <w:tl2br w:val="nil"/>
              <w:tr2bl w:val="nil"/>
            </w:tcBorders>
            <w:shd w:val="clear" w:color="auto" w:fill="auto"/>
            <w:tcMar>
              <w:top w:w="15" w:type="dxa"/>
              <w:left w:w="15" w:type="dxa"/>
              <w:bottom w:w="0" w:type="dxa"/>
              <w:right w:w="15" w:type="dxa"/>
            </w:tcMar>
            <w:vAlign w:val="center"/>
          </w:tcPr>
          <w:p w14:paraId="31B69D6D">
            <w:pPr>
              <w:bidi w:val="0"/>
              <w:jc w:val="center"/>
              <w:rPr>
                <w:rFonts w:hint="default" w:ascii="Times New Roman" w:hAnsi="Times New Roman" w:eastAsia="方正仿宋_GB2312" w:cs="Times New Roman"/>
                <w:color w:val="auto"/>
                <w:kern w:val="2"/>
                <w:sz w:val="21"/>
                <w:szCs w:val="21"/>
                <w:lang w:val="en-US" w:eastAsia="zh-CN" w:bidi="ar-SA"/>
              </w:rPr>
            </w:pPr>
            <w:r>
              <w:rPr>
                <w:rFonts w:hint="default" w:ascii="Times New Roman" w:hAnsi="Times New Roman" w:eastAsia="方正仿宋_GB2312" w:cs="Times New Roman"/>
                <w:color w:val="auto"/>
                <w:sz w:val="21"/>
                <w:szCs w:val="21"/>
                <w:lang w:val="en-US" w:eastAsia="zh-CN"/>
              </w:rPr>
              <w:t>0.4</w:t>
            </w:r>
          </w:p>
        </w:tc>
        <w:tc>
          <w:tcPr>
            <w:tcW w:w="342" w:type="pct"/>
            <w:tcBorders>
              <w:tl2br w:val="nil"/>
              <w:tr2bl w:val="nil"/>
            </w:tcBorders>
            <w:shd w:val="clear" w:color="auto" w:fill="auto"/>
            <w:tcMar>
              <w:top w:w="15" w:type="dxa"/>
              <w:left w:w="15" w:type="dxa"/>
              <w:bottom w:w="0" w:type="dxa"/>
              <w:right w:w="15" w:type="dxa"/>
            </w:tcMar>
            <w:vAlign w:val="center"/>
          </w:tcPr>
          <w:p w14:paraId="5242235B">
            <w:pPr>
              <w:bidi w:val="0"/>
              <w:jc w:val="center"/>
              <w:rPr>
                <w:rFonts w:hint="default" w:ascii="Times New Roman" w:hAnsi="Times New Roman" w:eastAsia="方正仿宋_GB2312" w:cs="Times New Roman"/>
                <w:color w:val="auto"/>
                <w:kern w:val="2"/>
                <w:sz w:val="21"/>
                <w:szCs w:val="21"/>
                <w:lang w:val="en-US" w:eastAsia="zh-CN" w:bidi="ar-SA"/>
              </w:rPr>
            </w:pPr>
            <w:r>
              <w:rPr>
                <w:rFonts w:hint="default" w:ascii="Times New Roman" w:hAnsi="Times New Roman" w:eastAsia="方正仿宋_GB2312" w:cs="Times New Roman"/>
                <w:color w:val="auto"/>
                <w:sz w:val="21"/>
                <w:szCs w:val="21"/>
                <w:lang w:val="en-US" w:eastAsia="zh-CN"/>
              </w:rPr>
              <w:t>4</w:t>
            </w:r>
          </w:p>
        </w:tc>
        <w:tc>
          <w:tcPr>
            <w:tcW w:w="378" w:type="pct"/>
            <w:tcBorders>
              <w:tl2br w:val="nil"/>
              <w:tr2bl w:val="nil"/>
            </w:tcBorders>
            <w:shd w:val="clear" w:color="auto" w:fill="auto"/>
            <w:vAlign w:val="center"/>
          </w:tcPr>
          <w:p w14:paraId="744F7FCC">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新增</w:t>
            </w:r>
          </w:p>
        </w:tc>
      </w:tr>
      <w:tr w14:paraId="527A97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462" w:type="pct"/>
            <w:vMerge w:val="continue"/>
            <w:tcBorders>
              <w:tl2br w:val="nil"/>
              <w:tr2bl w:val="nil"/>
            </w:tcBorders>
            <w:vAlign w:val="center"/>
          </w:tcPr>
          <w:p w14:paraId="2DCDDC09">
            <w:pPr>
              <w:widowControl/>
              <w:jc w:val="center"/>
              <w:rPr>
                <w:rFonts w:eastAsia="仿宋_GB2312"/>
                <w:color w:val="auto"/>
                <w:kern w:val="0"/>
                <w:szCs w:val="20"/>
              </w:rPr>
            </w:pPr>
          </w:p>
        </w:tc>
        <w:tc>
          <w:tcPr>
            <w:tcW w:w="346" w:type="pct"/>
            <w:tcBorders>
              <w:tl2br w:val="nil"/>
              <w:tr2bl w:val="nil"/>
            </w:tcBorders>
            <w:shd w:val="clear" w:color="auto" w:fill="auto"/>
            <w:tcMar>
              <w:top w:w="15" w:type="dxa"/>
              <w:left w:w="15" w:type="dxa"/>
              <w:bottom w:w="0" w:type="dxa"/>
              <w:right w:w="15" w:type="dxa"/>
            </w:tcMar>
            <w:vAlign w:val="center"/>
          </w:tcPr>
          <w:p w14:paraId="06CE1F97">
            <w:pPr>
              <w:bidi w:val="0"/>
              <w:jc w:val="center"/>
              <w:rPr>
                <w:rFonts w:hint="default" w:ascii="Times New Roman" w:hAnsi="Times New Roman" w:eastAsia="方正仿宋_GB2312" w:cs="Times New Roman"/>
                <w:color w:val="auto"/>
                <w:kern w:val="2"/>
                <w:sz w:val="21"/>
                <w:szCs w:val="21"/>
                <w:lang w:val="en-US" w:eastAsia="zh-CN" w:bidi="ar-SA"/>
              </w:rPr>
            </w:pPr>
            <w:r>
              <w:rPr>
                <w:rFonts w:hint="default" w:ascii="Times New Roman" w:hAnsi="Times New Roman" w:eastAsia="方正仿宋_GB2312" w:cs="Times New Roman"/>
                <w:color w:val="auto"/>
                <w:sz w:val="21"/>
                <w:szCs w:val="21"/>
                <w:lang w:val="en-US" w:eastAsia="zh-CN"/>
              </w:rPr>
              <w:t>3</w:t>
            </w:r>
          </w:p>
        </w:tc>
        <w:tc>
          <w:tcPr>
            <w:tcW w:w="816" w:type="pct"/>
            <w:tcBorders>
              <w:tl2br w:val="nil"/>
              <w:tr2bl w:val="nil"/>
            </w:tcBorders>
            <w:shd w:val="clear" w:color="auto" w:fill="auto"/>
            <w:tcMar>
              <w:top w:w="15" w:type="dxa"/>
              <w:left w:w="15" w:type="dxa"/>
              <w:bottom w:w="0" w:type="dxa"/>
              <w:right w:w="15" w:type="dxa"/>
            </w:tcMar>
            <w:vAlign w:val="center"/>
          </w:tcPr>
          <w:p w14:paraId="4193D086">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薄膜蒸发器</w:t>
            </w:r>
          </w:p>
        </w:tc>
        <w:tc>
          <w:tcPr>
            <w:tcW w:w="1218" w:type="pct"/>
            <w:tcBorders>
              <w:tl2br w:val="nil"/>
              <w:tr2bl w:val="nil"/>
            </w:tcBorders>
            <w:shd w:val="clear" w:color="auto" w:fill="auto"/>
            <w:tcMar>
              <w:top w:w="15" w:type="dxa"/>
              <w:left w:w="15" w:type="dxa"/>
              <w:bottom w:w="0" w:type="dxa"/>
              <w:right w:w="15" w:type="dxa"/>
            </w:tcMar>
            <w:vAlign w:val="center"/>
          </w:tcPr>
          <w:p w14:paraId="415FAC52">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F=30m</w:t>
            </w:r>
            <w:r>
              <w:rPr>
                <w:rFonts w:hint="default" w:ascii="Times New Roman" w:hAnsi="Times New Roman" w:eastAsia="方正仿宋_GB2312" w:cs="Times New Roman"/>
                <w:color w:val="000000" w:themeColor="text1"/>
                <w:sz w:val="21"/>
                <w:szCs w:val="21"/>
                <w:vertAlign w:val="superscript"/>
                <w:lang w:val="en-US" w:eastAsia="zh-CN"/>
                <w14:textFill>
                  <w14:solidFill>
                    <w14:schemeClr w14:val="tx1"/>
                  </w14:solidFill>
                </w14:textFill>
              </w:rPr>
              <w:t>2</w:t>
            </w:r>
          </w:p>
        </w:tc>
        <w:tc>
          <w:tcPr>
            <w:tcW w:w="540" w:type="pct"/>
            <w:tcBorders>
              <w:tl2br w:val="nil"/>
              <w:tr2bl w:val="nil"/>
            </w:tcBorders>
            <w:shd w:val="clear" w:color="auto" w:fill="auto"/>
            <w:tcMar>
              <w:top w:w="15" w:type="dxa"/>
              <w:left w:w="15" w:type="dxa"/>
              <w:bottom w:w="0" w:type="dxa"/>
              <w:right w:w="15" w:type="dxa"/>
            </w:tcMar>
            <w:vAlign w:val="center"/>
          </w:tcPr>
          <w:p w14:paraId="46AF109F">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auto"/>
                <w:kern w:val="0"/>
                <w:szCs w:val="21"/>
                <w:highlight w:val="none"/>
              </w:rPr>
              <w:t>S3</w:t>
            </w:r>
            <w:r>
              <w:rPr>
                <w:rFonts w:hint="default" w:ascii="Times New Roman" w:hAnsi="Times New Roman" w:eastAsia="方正仿宋_GB2312" w:cs="Times New Roman"/>
                <w:color w:val="auto"/>
                <w:kern w:val="0"/>
                <w:szCs w:val="21"/>
                <w:highlight w:val="none"/>
                <w:lang w:val="en-US" w:eastAsia="zh-CN"/>
              </w:rPr>
              <w:t>04</w:t>
            </w:r>
          </w:p>
        </w:tc>
        <w:tc>
          <w:tcPr>
            <w:tcW w:w="443" w:type="pct"/>
            <w:tcBorders>
              <w:tl2br w:val="nil"/>
              <w:tr2bl w:val="nil"/>
            </w:tcBorders>
            <w:shd w:val="clear" w:color="auto" w:fill="auto"/>
            <w:tcMar>
              <w:top w:w="15" w:type="dxa"/>
              <w:left w:w="15" w:type="dxa"/>
              <w:bottom w:w="0" w:type="dxa"/>
              <w:right w:w="15" w:type="dxa"/>
            </w:tcMar>
            <w:vAlign w:val="center"/>
          </w:tcPr>
          <w:p w14:paraId="6C7033A6">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170</w:t>
            </w:r>
          </w:p>
        </w:tc>
        <w:tc>
          <w:tcPr>
            <w:tcW w:w="451" w:type="pct"/>
            <w:tcBorders>
              <w:tl2br w:val="nil"/>
              <w:tr2bl w:val="nil"/>
            </w:tcBorders>
            <w:shd w:val="clear" w:color="auto" w:fill="auto"/>
            <w:tcMar>
              <w:top w:w="15" w:type="dxa"/>
              <w:left w:w="15" w:type="dxa"/>
              <w:bottom w:w="0" w:type="dxa"/>
              <w:right w:w="15" w:type="dxa"/>
            </w:tcMar>
            <w:vAlign w:val="center"/>
          </w:tcPr>
          <w:p w14:paraId="372D83BD">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-0.09~</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0.7</w:t>
            </w:r>
          </w:p>
        </w:tc>
        <w:tc>
          <w:tcPr>
            <w:tcW w:w="342" w:type="pct"/>
            <w:tcBorders>
              <w:tl2br w:val="nil"/>
              <w:tr2bl w:val="nil"/>
            </w:tcBorders>
            <w:shd w:val="clear" w:color="auto" w:fill="auto"/>
            <w:tcMar>
              <w:top w:w="15" w:type="dxa"/>
              <w:left w:w="15" w:type="dxa"/>
              <w:bottom w:w="0" w:type="dxa"/>
              <w:right w:w="15" w:type="dxa"/>
            </w:tcMar>
            <w:vAlign w:val="center"/>
          </w:tcPr>
          <w:p w14:paraId="06459A98">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2</w:t>
            </w:r>
          </w:p>
        </w:tc>
        <w:tc>
          <w:tcPr>
            <w:tcW w:w="378" w:type="pct"/>
            <w:tcBorders>
              <w:tl2br w:val="nil"/>
              <w:tr2bl w:val="nil"/>
            </w:tcBorders>
            <w:shd w:val="clear" w:color="auto" w:fill="auto"/>
            <w:vAlign w:val="center"/>
          </w:tcPr>
          <w:p w14:paraId="716DF76D">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新增</w:t>
            </w:r>
          </w:p>
        </w:tc>
      </w:tr>
      <w:tr w14:paraId="3DDFC3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462" w:type="pct"/>
            <w:vMerge w:val="continue"/>
            <w:tcBorders>
              <w:tl2br w:val="nil"/>
              <w:tr2bl w:val="nil"/>
            </w:tcBorders>
            <w:vAlign w:val="center"/>
          </w:tcPr>
          <w:p w14:paraId="470FD1BA">
            <w:pPr>
              <w:widowControl/>
              <w:jc w:val="center"/>
              <w:rPr>
                <w:rFonts w:eastAsia="仿宋_GB2312"/>
                <w:color w:val="auto"/>
                <w:kern w:val="0"/>
                <w:szCs w:val="20"/>
              </w:rPr>
            </w:pPr>
          </w:p>
        </w:tc>
        <w:tc>
          <w:tcPr>
            <w:tcW w:w="346" w:type="pct"/>
            <w:tcBorders>
              <w:tl2br w:val="nil"/>
              <w:tr2bl w:val="nil"/>
            </w:tcBorders>
            <w:shd w:val="clear" w:color="auto" w:fill="auto"/>
            <w:tcMar>
              <w:top w:w="15" w:type="dxa"/>
              <w:left w:w="15" w:type="dxa"/>
              <w:bottom w:w="0" w:type="dxa"/>
              <w:right w:w="15" w:type="dxa"/>
            </w:tcMar>
            <w:vAlign w:val="center"/>
          </w:tcPr>
          <w:p w14:paraId="6630FC5C">
            <w:pPr>
              <w:bidi w:val="0"/>
              <w:jc w:val="center"/>
              <w:rPr>
                <w:rFonts w:hint="default" w:ascii="Times New Roman" w:hAnsi="Times New Roman" w:eastAsia="方正仿宋_GB2312" w:cs="Times New Roman"/>
                <w:color w:val="auto"/>
                <w:kern w:val="2"/>
                <w:sz w:val="21"/>
                <w:szCs w:val="21"/>
                <w:lang w:val="en-US" w:eastAsia="zh-CN" w:bidi="ar-SA"/>
              </w:rPr>
            </w:pPr>
            <w:r>
              <w:rPr>
                <w:rFonts w:hint="default" w:ascii="Times New Roman" w:hAnsi="Times New Roman" w:eastAsia="方正仿宋_GB2312" w:cs="Times New Roman"/>
                <w:color w:val="auto"/>
                <w:sz w:val="21"/>
                <w:szCs w:val="21"/>
                <w:lang w:val="en-US" w:eastAsia="zh-CN"/>
              </w:rPr>
              <w:t>4</w:t>
            </w:r>
          </w:p>
        </w:tc>
        <w:tc>
          <w:tcPr>
            <w:tcW w:w="816" w:type="pct"/>
            <w:tcBorders>
              <w:tl2br w:val="nil"/>
              <w:tr2bl w:val="nil"/>
            </w:tcBorders>
            <w:shd w:val="clear" w:color="auto" w:fill="auto"/>
            <w:tcMar>
              <w:top w:w="15" w:type="dxa"/>
              <w:left w:w="15" w:type="dxa"/>
              <w:bottom w:w="0" w:type="dxa"/>
              <w:right w:w="15" w:type="dxa"/>
            </w:tcMar>
            <w:vAlign w:val="center"/>
          </w:tcPr>
          <w:p w14:paraId="7DB43A7D">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一级冷却器</w:t>
            </w:r>
          </w:p>
        </w:tc>
        <w:tc>
          <w:tcPr>
            <w:tcW w:w="1218" w:type="pct"/>
            <w:tcBorders>
              <w:tl2br w:val="nil"/>
              <w:tr2bl w:val="nil"/>
            </w:tcBorders>
            <w:shd w:val="clear" w:color="auto" w:fill="auto"/>
            <w:tcMar>
              <w:top w:w="15" w:type="dxa"/>
              <w:left w:w="15" w:type="dxa"/>
              <w:bottom w:w="0" w:type="dxa"/>
              <w:right w:w="15" w:type="dxa"/>
            </w:tcMar>
            <w:vAlign w:val="center"/>
          </w:tcPr>
          <w:p w14:paraId="7D9913E2">
            <w:pPr>
              <w:bidi w:val="0"/>
              <w:jc w:val="center"/>
              <w:rPr>
                <w:rFonts w:hint="default" w:ascii="Times New Roman" w:hAnsi="Times New Roman" w:eastAsia="方正仿宋_GB2312"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Q345R/304</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F=95m</w:t>
            </w:r>
            <w:r>
              <w:rPr>
                <w:rFonts w:hint="default" w:ascii="Times New Roman" w:hAnsi="Times New Roman" w:eastAsia="方正仿宋_GB2312" w:cs="Times New Roman"/>
                <w:color w:val="000000" w:themeColor="text1"/>
                <w:sz w:val="21"/>
                <w:szCs w:val="21"/>
                <w:vertAlign w:val="superscript"/>
                <w:lang w:val="en-US" w:eastAsia="zh-CN"/>
                <w14:textFill>
                  <w14:solidFill>
                    <w14:schemeClr w14:val="tx1"/>
                  </w14:solidFill>
                </w14:textFill>
              </w:rPr>
              <w:t>2</w:t>
            </w:r>
          </w:p>
        </w:tc>
        <w:tc>
          <w:tcPr>
            <w:tcW w:w="540" w:type="pct"/>
            <w:tcBorders>
              <w:tl2br w:val="nil"/>
              <w:tr2bl w:val="nil"/>
            </w:tcBorders>
            <w:shd w:val="clear" w:color="auto" w:fill="auto"/>
            <w:tcMar>
              <w:top w:w="15" w:type="dxa"/>
              <w:left w:w="15" w:type="dxa"/>
              <w:bottom w:w="0" w:type="dxa"/>
              <w:right w:w="15" w:type="dxa"/>
            </w:tcMar>
            <w:vAlign w:val="center"/>
          </w:tcPr>
          <w:p w14:paraId="10145FB8">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auto"/>
                <w:kern w:val="0"/>
                <w:szCs w:val="21"/>
                <w:highlight w:val="none"/>
              </w:rPr>
              <w:t>S3</w:t>
            </w:r>
            <w:r>
              <w:rPr>
                <w:rFonts w:hint="default" w:ascii="Times New Roman" w:hAnsi="Times New Roman" w:eastAsia="方正仿宋_GB2312" w:cs="Times New Roman"/>
                <w:color w:val="auto"/>
                <w:kern w:val="0"/>
                <w:szCs w:val="21"/>
                <w:highlight w:val="none"/>
                <w:lang w:val="en-US" w:eastAsia="zh-CN"/>
              </w:rPr>
              <w:t>04</w:t>
            </w:r>
          </w:p>
        </w:tc>
        <w:tc>
          <w:tcPr>
            <w:tcW w:w="443" w:type="pct"/>
            <w:tcBorders>
              <w:tl2br w:val="nil"/>
              <w:tr2bl w:val="nil"/>
            </w:tcBorders>
            <w:shd w:val="clear" w:color="auto" w:fill="auto"/>
            <w:tcMar>
              <w:top w:w="15" w:type="dxa"/>
              <w:left w:w="15" w:type="dxa"/>
              <w:bottom w:w="0" w:type="dxa"/>
              <w:right w:w="15" w:type="dxa"/>
            </w:tcMar>
            <w:vAlign w:val="center"/>
          </w:tcPr>
          <w:p w14:paraId="5D028F34">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常温</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~100</w:t>
            </w:r>
          </w:p>
        </w:tc>
        <w:tc>
          <w:tcPr>
            <w:tcW w:w="451" w:type="pct"/>
            <w:tcBorders>
              <w:tl2br w:val="nil"/>
              <w:tr2bl w:val="nil"/>
            </w:tcBorders>
            <w:shd w:val="clear" w:color="auto" w:fill="auto"/>
            <w:tcMar>
              <w:top w:w="15" w:type="dxa"/>
              <w:left w:w="15" w:type="dxa"/>
              <w:bottom w:w="0" w:type="dxa"/>
              <w:right w:w="15" w:type="dxa"/>
            </w:tcMar>
            <w:vAlign w:val="center"/>
          </w:tcPr>
          <w:p w14:paraId="7BE86736">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-0.09~</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0.4</w:t>
            </w:r>
          </w:p>
        </w:tc>
        <w:tc>
          <w:tcPr>
            <w:tcW w:w="342" w:type="pct"/>
            <w:tcBorders>
              <w:tl2br w:val="nil"/>
              <w:tr2bl w:val="nil"/>
            </w:tcBorders>
            <w:shd w:val="clear" w:color="auto" w:fill="auto"/>
            <w:tcMar>
              <w:top w:w="15" w:type="dxa"/>
              <w:left w:w="15" w:type="dxa"/>
              <w:bottom w:w="0" w:type="dxa"/>
              <w:right w:w="15" w:type="dxa"/>
            </w:tcMar>
            <w:vAlign w:val="center"/>
          </w:tcPr>
          <w:p w14:paraId="718CB8F3">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2</w:t>
            </w:r>
          </w:p>
        </w:tc>
        <w:tc>
          <w:tcPr>
            <w:tcW w:w="378" w:type="pct"/>
            <w:tcBorders>
              <w:tl2br w:val="nil"/>
              <w:tr2bl w:val="nil"/>
            </w:tcBorders>
            <w:shd w:val="clear" w:color="auto" w:fill="auto"/>
            <w:vAlign w:val="center"/>
          </w:tcPr>
          <w:p w14:paraId="39108717">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新增</w:t>
            </w:r>
          </w:p>
        </w:tc>
      </w:tr>
      <w:tr w14:paraId="61D960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462" w:type="pct"/>
            <w:vMerge w:val="continue"/>
            <w:tcBorders>
              <w:tl2br w:val="nil"/>
              <w:tr2bl w:val="nil"/>
            </w:tcBorders>
            <w:vAlign w:val="center"/>
          </w:tcPr>
          <w:p w14:paraId="161BD06B">
            <w:pPr>
              <w:widowControl/>
              <w:jc w:val="center"/>
              <w:rPr>
                <w:rFonts w:eastAsia="仿宋_GB2312"/>
                <w:color w:val="auto"/>
                <w:kern w:val="0"/>
                <w:szCs w:val="20"/>
              </w:rPr>
            </w:pPr>
          </w:p>
        </w:tc>
        <w:tc>
          <w:tcPr>
            <w:tcW w:w="346" w:type="pct"/>
            <w:tcBorders>
              <w:tl2br w:val="nil"/>
              <w:tr2bl w:val="nil"/>
            </w:tcBorders>
            <w:shd w:val="clear" w:color="auto" w:fill="auto"/>
            <w:tcMar>
              <w:top w:w="15" w:type="dxa"/>
              <w:left w:w="15" w:type="dxa"/>
              <w:bottom w:w="0" w:type="dxa"/>
              <w:right w:w="15" w:type="dxa"/>
            </w:tcMar>
            <w:vAlign w:val="center"/>
          </w:tcPr>
          <w:p w14:paraId="46B2E016">
            <w:pPr>
              <w:bidi w:val="0"/>
              <w:jc w:val="center"/>
              <w:rPr>
                <w:rFonts w:hint="default" w:ascii="Times New Roman" w:hAnsi="Times New Roman" w:eastAsia="方正仿宋_GB2312" w:cs="Times New Roman"/>
                <w:color w:val="auto"/>
                <w:kern w:val="2"/>
                <w:sz w:val="21"/>
                <w:szCs w:val="21"/>
                <w:lang w:val="en-US" w:eastAsia="zh-CN" w:bidi="ar-SA"/>
              </w:rPr>
            </w:pPr>
            <w:r>
              <w:rPr>
                <w:rFonts w:hint="default" w:ascii="Times New Roman" w:hAnsi="Times New Roman" w:eastAsia="方正仿宋_GB2312" w:cs="Times New Roman"/>
                <w:color w:val="auto"/>
                <w:sz w:val="21"/>
                <w:szCs w:val="21"/>
                <w:lang w:val="en-US" w:eastAsia="zh-CN"/>
              </w:rPr>
              <w:t>5</w:t>
            </w:r>
          </w:p>
        </w:tc>
        <w:tc>
          <w:tcPr>
            <w:tcW w:w="816" w:type="pct"/>
            <w:tcBorders>
              <w:tl2br w:val="nil"/>
              <w:tr2bl w:val="nil"/>
            </w:tcBorders>
            <w:shd w:val="clear" w:color="auto" w:fill="auto"/>
            <w:tcMar>
              <w:top w:w="15" w:type="dxa"/>
              <w:left w:w="15" w:type="dxa"/>
              <w:bottom w:w="0" w:type="dxa"/>
              <w:right w:w="15" w:type="dxa"/>
            </w:tcMar>
            <w:vAlign w:val="center"/>
          </w:tcPr>
          <w:p w14:paraId="0FCA8082">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二级冷却器</w:t>
            </w:r>
          </w:p>
        </w:tc>
        <w:tc>
          <w:tcPr>
            <w:tcW w:w="1218" w:type="pct"/>
            <w:tcBorders>
              <w:tl2br w:val="nil"/>
              <w:tr2bl w:val="nil"/>
            </w:tcBorders>
            <w:shd w:val="clear" w:color="auto" w:fill="auto"/>
            <w:tcMar>
              <w:top w:w="15" w:type="dxa"/>
              <w:left w:w="15" w:type="dxa"/>
              <w:bottom w:w="0" w:type="dxa"/>
              <w:right w:w="15" w:type="dxa"/>
            </w:tcMar>
            <w:vAlign w:val="center"/>
          </w:tcPr>
          <w:p w14:paraId="5AB5D60C">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Q345R/304</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F=95m</w:t>
            </w:r>
            <w:r>
              <w:rPr>
                <w:rFonts w:hint="default" w:ascii="Times New Roman" w:hAnsi="Times New Roman" w:eastAsia="方正仿宋_GB2312" w:cs="Times New Roman"/>
                <w:color w:val="000000" w:themeColor="text1"/>
                <w:sz w:val="21"/>
                <w:szCs w:val="21"/>
                <w:vertAlign w:val="superscript"/>
                <w:lang w:val="en-US" w:eastAsia="zh-CN"/>
                <w14:textFill>
                  <w14:solidFill>
                    <w14:schemeClr w14:val="tx1"/>
                  </w14:solidFill>
                </w14:textFill>
              </w:rPr>
              <w:t>2</w:t>
            </w:r>
          </w:p>
        </w:tc>
        <w:tc>
          <w:tcPr>
            <w:tcW w:w="540" w:type="pct"/>
            <w:tcBorders>
              <w:tl2br w:val="nil"/>
              <w:tr2bl w:val="nil"/>
            </w:tcBorders>
            <w:shd w:val="clear" w:color="auto" w:fill="auto"/>
            <w:tcMar>
              <w:top w:w="15" w:type="dxa"/>
              <w:left w:w="15" w:type="dxa"/>
              <w:bottom w:w="0" w:type="dxa"/>
              <w:right w:w="15" w:type="dxa"/>
            </w:tcMar>
            <w:vAlign w:val="center"/>
          </w:tcPr>
          <w:p w14:paraId="6F13D089">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auto"/>
                <w:kern w:val="0"/>
                <w:szCs w:val="21"/>
                <w:highlight w:val="none"/>
              </w:rPr>
              <w:t>S3</w:t>
            </w:r>
            <w:r>
              <w:rPr>
                <w:rFonts w:hint="default" w:ascii="Times New Roman" w:hAnsi="Times New Roman" w:eastAsia="方正仿宋_GB2312" w:cs="Times New Roman"/>
                <w:color w:val="auto"/>
                <w:kern w:val="0"/>
                <w:szCs w:val="21"/>
                <w:highlight w:val="none"/>
                <w:lang w:val="en-US" w:eastAsia="zh-CN"/>
              </w:rPr>
              <w:t>04</w:t>
            </w:r>
          </w:p>
        </w:tc>
        <w:tc>
          <w:tcPr>
            <w:tcW w:w="443" w:type="pct"/>
            <w:tcBorders>
              <w:tl2br w:val="nil"/>
              <w:tr2bl w:val="nil"/>
            </w:tcBorders>
            <w:shd w:val="clear" w:color="auto" w:fill="auto"/>
            <w:tcMar>
              <w:top w:w="15" w:type="dxa"/>
              <w:left w:w="15" w:type="dxa"/>
              <w:bottom w:w="0" w:type="dxa"/>
              <w:right w:w="15" w:type="dxa"/>
            </w:tcMar>
            <w:vAlign w:val="center"/>
          </w:tcPr>
          <w:p w14:paraId="128E0CDA">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-10</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~20</w:t>
            </w:r>
          </w:p>
        </w:tc>
        <w:tc>
          <w:tcPr>
            <w:tcW w:w="451" w:type="pct"/>
            <w:tcBorders>
              <w:tl2br w:val="nil"/>
              <w:tr2bl w:val="nil"/>
            </w:tcBorders>
            <w:shd w:val="clear" w:color="auto" w:fill="auto"/>
            <w:tcMar>
              <w:top w:w="15" w:type="dxa"/>
              <w:left w:w="15" w:type="dxa"/>
              <w:bottom w:w="0" w:type="dxa"/>
              <w:right w:w="15" w:type="dxa"/>
            </w:tcMar>
            <w:vAlign w:val="center"/>
          </w:tcPr>
          <w:p w14:paraId="4212B19B">
            <w:pPr>
              <w:bidi w:val="0"/>
              <w:jc w:val="center"/>
              <w:rPr>
                <w:rFonts w:hint="default" w:ascii="Times New Roman" w:hAnsi="Times New Roman" w:eastAsia="方正仿宋_GB2312" w:cs="Times New Roman"/>
                <w:snapToGrid w:val="0"/>
                <w:color w:val="000000" w:themeColor="text1"/>
                <w:kern w:val="0"/>
                <w:sz w:val="21"/>
                <w:szCs w:val="21"/>
                <w:lang w:val="en-US" w:eastAsia="zh-CN" w:bidi="ar-SA"/>
                <w14:textFill>
                  <w14:solidFill>
                    <w14:schemeClr w14:val="tx1"/>
                  </w14:solidFill>
                </w14:textFill>
              </w:rPr>
            </w:pP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-0.09~</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0.4</w:t>
            </w:r>
          </w:p>
        </w:tc>
        <w:tc>
          <w:tcPr>
            <w:tcW w:w="342" w:type="pct"/>
            <w:tcBorders>
              <w:tl2br w:val="nil"/>
              <w:tr2bl w:val="nil"/>
            </w:tcBorders>
            <w:shd w:val="clear" w:color="auto" w:fill="auto"/>
            <w:tcMar>
              <w:top w:w="15" w:type="dxa"/>
              <w:left w:w="15" w:type="dxa"/>
              <w:bottom w:w="0" w:type="dxa"/>
              <w:right w:w="15" w:type="dxa"/>
            </w:tcMar>
            <w:vAlign w:val="center"/>
          </w:tcPr>
          <w:p w14:paraId="3F4A7F6D">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2</w:t>
            </w:r>
          </w:p>
        </w:tc>
        <w:tc>
          <w:tcPr>
            <w:tcW w:w="378" w:type="pct"/>
            <w:tcBorders>
              <w:tl2br w:val="nil"/>
              <w:tr2bl w:val="nil"/>
            </w:tcBorders>
            <w:shd w:val="clear" w:color="auto" w:fill="auto"/>
            <w:vAlign w:val="center"/>
          </w:tcPr>
          <w:p w14:paraId="55DAB06B">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新增</w:t>
            </w:r>
          </w:p>
        </w:tc>
      </w:tr>
      <w:tr w14:paraId="077D1F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462" w:type="pct"/>
            <w:vMerge w:val="continue"/>
            <w:tcBorders>
              <w:tl2br w:val="nil"/>
              <w:tr2bl w:val="nil"/>
            </w:tcBorders>
            <w:vAlign w:val="center"/>
          </w:tcPr>
          <w:p w14:paraId="07B397A8">
            <w:pPr>
              <w:widowControl/>
              <w:jc w:val="center"/>
              <w:rPr>
                <w:rFonts w:eastAsia="仿宋_GB2312"/>
                <w:color w:val="auto"/>
                <w:kern w:val="0"/>
                <w:szCs w:val="20"/>
              </w:rPr>
            </w:pPr>
          </w:p>
        </w:tc>
        <w:tc>
          <w:tcPr>
            <w:tcW w:w="346" w:type="pct"/>
            <w:tcBorders>
              <w:tl2br w:val="nil"/>
              <w:tr2bl w:val="nil"/>
            </w:tcBorders>
            <w:shd w:val="clear" w:color="auto" w:fill="auto"/>
            <w:tcMar>
              <w:top w:w="15" w:type="dxa"/>
              <w:left w:w="15" w:type="dxa"/>
              <w:bottom w:w="0" w:type="dxa"/>
              <w:right w:w="15" w:type="dxa"/>
            </w:tcMar>
            <w:vAlign w:val="center"/>
          </w:tcPr>
          <w:p w14:paraId="02F80184">
            <w:pPr>
              <w:bidi w:val="0"/>
              <w:jc w:val="center"/>
              <w:rPr>
                <w:rFonts w:hint="default" w:ascii="Times New Roman" w:hAnsi="Times New Roman" w:eastAsia="方正仿宋_GB2312" w:cs="Times New Roman"/>
                <w:color w:val="auto"/>
                <w:kern w:val="2"/>
                <w:sz w:val="21"/>
                <w:szCs w:val="21"/>
                <w:lang w:val="en-US" w:eastAsia="zh-CN" w:bidi="ar-SA"/>
              </w:rPr>
            </w:pPr>
            <w:r>
              <w:rPr>
                <w:rFonts w:hint="default" w:ascii="Times New Roman" w:hAnsi="Times New Roman" w:eastAsia="方正仿宋_GB2312" w:cs="Times New Roman"/>
                <w:color w:val="auto"/>
                <w:sz w:val="21"/>
                <w:szCs w:val="21"/>
                <w:lang w:val="en-US" w:eastAsia="zh-CN"/>
              </w:rPr>
              <w:t>6</w:t>
            </w:r>
          </w:p>
        </w:tc>
        <w:tc>
          <w:tcPr>
            <w:tcW w:w="816" w:type="pct"/>
            <w:tcBorders>
              <w:tl2br w:val="nil"/>
              <w:tr2bl w:val="nil"/>
            </w:tcBorders>
            <w:shd w:val="clear" w:color="auto" w:fill="auto"/>
            <w:tcMar>
              <w:top w:w="15" w:type="dxa"/>
              <w:left w:w="15" w:type="dxa"/>
              <w:bottom w:w="0" w:type="dxa"/>
              <w:right w:w="15" w:type="dxa"/>
            </w:tcMar>
            <w:vAlign w:val="center"/>
          </w:tcPr>
          <w:p w14:paraId="2BA9A081">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馏份接收罐</w:t>
            </w:r>
          </w:p>
        </w:tc>
        <w:tc>
          <w:tcPr>
            <w:tcW w:w="1218" w:type="pct"/>
            <w:tcBorders>
              <w:tl2br w:val="nil"/>
              <w:tr2bl w:val="nil"/>
            </w:tcBorders>
            <w:shd w:val="clear" w:color="auto" w:fill="auto"/>
            <w:tcMar>
              <w:top w:w="15" w:type="dxa"/>
              <w:left w:w="15" w:type="dxa"/>
              <w:bottom w:w="0" w:type="dxa"/>
              <w:right w:w="15" w:type="dxa"/>
            </w:tcMar>
            <w:vAlign w:val="center"/>
          </w:tcPr>
          <w:p w14:paraId="514386E8">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V=1m³</w:t>
            </w:r>
          </w:p>
        </w:tc>
        <w:tc>
          <w:tcPr>
            <w:tcW w:w="540" w:type="pct"/>
            <w:tcBorders>
              <w:tl2br w:val="nil"/>
              <w:tr2bl w:val="nil"/>
            </w:tcBorders>
            <w:shd w:val="clear" w:color="auto" w:fill="auto"/>
            <w:tcMar>
              <w:top w:w="15" w:type="dxa"/>
              <w:left w:w="15" w:type="dxa"/>
              <w:bottom w:w="0" w:type="dxa"/>
              <w:right w:w="15" w:type="dxa"/>
            </w:tcMar>
            <w:vAlign w:val="center"/>
          </w:tcPr>
          <w:p w14:paraId="663A68E9">
            <w:pPr>
              <w:bidi w:val="0"/>
              <w:jc w:val="center"/>
              <w:rPr>
                <w:rFonts w:hint="default" w:ascii="Times New Roman" w:hAnsi="Times New Roman" w:eastAsia="方正仿宋_GB2312" w:cs="Times New Roman"/>
                <w:color w:val="auto"/>
                <w:kern w:val="2"/>
                <w:sz w:val="21"/>
                <w:szCs w:val="21"/>
                <w:lang w:val="en-US" w:eastAsia="zh-CN" w:bidi="ar-SA"/>
              </w:rPr>
            </w:pPr>
            <w:r>
              <w:rPr>
                <w:rFonts w:hint="default" w:ascii="Times New Roman" w:hAnsi="Times New Roman" w:eastAsia="方正仿宋_GB2312" w:cs="Times New Roman"/>
                <w:color w:val="auto"/>
                <w:kern w:val="0"/>
                <w:szCs w:val="21"/>
                <w:highlight w:val="none"/>
              </w:rPr>
              <w:t>S3</w:t>
            </w:r>
            <w:r>
              <w:rPr>
                <w:rFonts w:hint="default" w:ascii="Times New Roman" w:hAnsi="Times New Roman" w:eastAsia="方正仿宋_GB2312" w:cs="Times New Roman"/>
                <w:color w:val="auto"/>
                <w:kern w:val="0"/>
                <w:szCs w:val="21"/>
                <w:highlight w:val="none"/>
                <w:lang w:val="en-US" w:eastAsia="zh-CN"/>
              </w:rPr>
              <w:t>04</w:t>
            </w:r>
          </w:p>
        </w:tc>
        <w:tc>
          <w:tcPr>
            <w:tcW w:w="443" w:type="pct"/>
            <w:tcBorders>
              <w:tl2br w:val="nil"/>
              <w:tr2bl w:val="nil"/>
            </w:tcBorders>
            <w:shd w:val="clear" w:color="auto" w:fill="auto"/>
            <w:tcMar>
              <w:top w:w="15" w:type="dxa"/>
              <w:left w:w="15" w:type="dxa"/>
              <w:bottom w:w="0" w:type="dxa"/>
              <w:right w:w="15" w:type="dxa"/>
            </w:tcMar>
            <w:vAlign w:val="center"/>
          </w:tcPr>
          <w:p w14:paraId="34393469">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常温</w:t>
            </w:r>
          </w:p>
        </w:tc>
        <w:tc>
          <w:tcPr>
            <w:tcW w:w="451" w:type="pct"/>
            <w:tcBorders>
              <w:tl2br w:val="nil"/>
              <w:tr2bl w:val="nil"/>
            </w:tcBorders>
            <w:shd w:val="clear" w:color="auto" w:fill="auto"/>
            <w:tcMar>
              <w:top w:w="15" w:type="dxa"/>
              <w:left w:w="15" w:type="dxa"/>
              <w:bottom w:w="0" w:type="dxa"/>
              <w:right w:w="15" w:type="dxa"/>
            </w:tcMar>
            <w:vAlign w:val="center"/>
          </w:tcPr>
          <w:p w14:paraId="62345CD8">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-0.09</w:t>
            </w:r>
          </w:p>
        </w:tc>
        <w:tc>
          <w:tcPr>
            <w:tcW w:w="342" w:type="pct"/>
            <w:tcBorders>
              <w:tl2br w:val="nil"/>
              <w:tr2bl w:val="nil"/>
            </w:tcBorders>
            <w:shd w:val="clear" w:color="auto" w:fill="auto"/>
            <w:tcMar>
              <w:top w:w="15" w:type="dxa"/>
              <w:left w:w="15" w:type="dxa"/>
              <w:bottom w:w="0" w:type="dxa"/>
              <w:right w:w="15" w:type="dxa"/>
            </w:tcMar>
            <w:vAlign w:val="center"/>
          </w:tcPr>
          <w:p w14:paraId="7AF3629B">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2</w:t>
            </w:r>
          </w:p>
        </w:tc>
        <w:tc>
          <w:tcPr>
            <w:tcW w:w="378" w:type="pct"/>
            <w:tcBorders>
              <w:tl2br w:val="nil"/>
              <w:tr2bl w:val="nil"/>
            </w:tcBorders>
            <w:shd w:val="clear" w:color="auto" w:fill="auto"/>
            <w:vAlign w:val="center"/>
          </w:tcPr>
          <w:p w14:paraId="17B083DD">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新增</w:t>
            </w:r>
          </w:p>
        </w:tc>
      </w:tr>
      <w:tr w14:paraId="2C0929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462" w:type="pct"/>
            <w:vMerge w:val="continue"/>
            <w:tcBorders>
              <w:tl2br w:val="nil"/>
              <w:tr2bl w:val="nil"/>
            </w:tcBorders>
            <w:vAlign w:val="center"/>
          </w:tcPr>
          <w:p w14:paraId="286D878B">
            <w:pPr>
              <w:widowControl/>
              <w:jc w:val="center"/>
              <w:rPr>
                <w:rFonts w:eastAsia="仿宋_GB2312"/>
                <w:color w:val="auto"/>
                <w:kern w:val="0"/>
                <w:szCs w:val="20"/>
              </w:rPr>
            </w:pPr>
          </w:p>
        </w:tc>
        <w:tc>
          <w:tcPr>
            <w:tcW w:w="346" w:type="pct"/>
            <w:tcBorders>
              <w:tl2br w:val="nil"/>
              <w:tr2bl w:val="nil"/>
            </w:tcBorders>
            <w:shd w:val="clear" w:color="auto" w:fill="auto"/>
            <w:tcMar>
              <w:top w:w="15" w:type="dxa"/>
              <w:left w:w="15" w:type="dxa"/>
              <w:bottom w:w="0" w:type="dxa"/>
              <w:right w:w="15" w:type="dxa"/>
            </w:tcMar>
            <w:vAlign w:val="center"/>
          </w:tcPr>
          <w:p w14:paraId="54F1223E">
            <w:pPr>
              <w:bidi w:val="0"/>
              <w:jc w:val="center"/>
              <w:rPr>
                <w:rFonts w:hint="default" w:ascii="Times New Roman" w:hAnsi="Times New Roman" w:eastAsia="方正仿宋_GB2312" w:cs="Times New Roman"/>
                <w:color w:val="auto"/>
                <w:kern w:val="2"/>
                <w:sz w:val="21"/>
                <w:szCs w:val="21"/>
                <w:highlight w:val="none"/>
                <w:lang w:val="en-US" w:eastAsia="zh-CN" w:bidi="ar-SA"/>
              </w:rPr>
            </w:pPr>
            <w:r>
              <w:rPr>
                <w:rFonts w:hint="default" w:ascii="Times New Roman" w:hAnsi="Times New Roman" w:eastAsia="方正仿宋_GB2312" w:cs="Times New Roman"/>
                <w:color w:val="auto"/>
                <w:szCs w:val="21"/>
                <w:highlight w:val="none"/>
                <w:lang w:val="en-US" w:eastAsia="zh-CN"/>
              </w:rPr>
              <w:t>7</w:t>
            </w:r>
          </w:p>
        </w:tc>
        <w:tc>
          <w:tcPr>
            <w:tcW w:w="816" w:type="pct"/>
            <w:tcBorders>
              <w:tl2br w:val="nil"/>
              <w:tr2bl w:val="nil"/>
            </w:tcBorders>
            <w:shd w:val="clear" w:color="auto" w:fill="auto"/>
            <w:tcMar>
              <w:top w:w="15" w:type="dxa"/>
              <w:left w:w="15" w:type="dxa"/>
              <w:bottom w:w="0" w:type="dxa"/>
              <w:right w:w="15" w:type="dxa"/>
            </w:tcMar>
            <w:vAlign w:val="center"/>
          </w:tcPr>
          <w:p w14:paraId="2402A2E5">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抽真空缓冲罐</w:t>
            </w:r>
          </w:p>
        </w:tc>
        <w:tc>
          <w:tcPr>
            <w:tcW w:w="1218" w:type="pct"/>
            <w:tcBorders>
              <w:tl2br w:val="nil"/>
              <w:tr2bl w:val="nil"/>
            </w:tcBorders>
            <w:shd w:val="clear" w:color="auto" w:fill="auto"/>
            <w:tcMar>
              <w:top w:w="15" w:type="dxa"/>
              <w:left w:w="15" w:type="dxa"/>
              <w:bottom w:w="0" w:type="dxa"/>
              <w:right w:w="15" w:type="dxa"/>
            </w:tcMar>
            <w:vAlign w:val="center"/>
          </w:tcPr>
          <w:p w14:paraId="5BAC5B4D">
            <w:pPr>
              <w:bidi w:val="0"/>
              <w:jc w:val="center"/>
              <w:rPr>
                <w:rFonts w:hint="default" w:ascii="Times New Roman" w:hAnsi="Times New Roman" w:eastAsia="方正仿宋_GB2312" w:cs="Times New Roman"/>
                <w:snapToGrid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V=1m³</w:t>
            </w:r>
          </w:p>
        </w:tc>
        <w:tc>
          <w:tcPr>
            <w:tcW w:w="540" w:type="pct"/>
            <w:tcBorders>
              <w:tl2br w:val="nil"/>
              <w:tr2bl w:val="nil"/>
            </w:tcBorders>
            <w:shd w:val="clear" w:color="auto" w:fill="auto"/>
            <w:tcMar>
              <w:top w:w="15" w:type="dxa"/>
              <w:left w:w="15" w:type="dxa"/>
              <w:bottom w:w="0" w:type="dxa"/>
              <w:right w:w="15" w:type="dxa"/>
            </w:tcMar>
            <w:vAlign w:val="center"/>
          </w:tcPr>
          <w:p w14:paraId="4B811B1A">
            <w:pPr>
              <w:bidi w:val="0"/>
              <w:jc w:val="center"/>
              <w:rPr>
                <w:rFonts w:hint="default" w:ascii="Times New Roman" w:hAnsi="Times New Roman" w:eastAsia="方正仿宋_GB2312" w:cs="Times New Roman"/>
                <w:snapToGrid w:val="0"/>
                <w:color w:val="auto"/>
                <w:kern w:val="0"/>
                <w:sz w:val="21"/>
                <w:szCs w:val="21"/>
                <w:lang w:val="en-US" w:eastAsia="zh-CN" w:bidi="ar-SA"/>
              </w:rPr>
            </w:pPr>
            <w:r>
              <w:rPr>
                <w:rFonts w:hint="default" w:ascii="Times New Roman" w:hAnsi="Times New Roman" w:eastAsia="方正仿宋_GB2312" w:cs="Times New Roman"/>
                <w:color w:val="auto"/>
                <w:kern w:val="0"/>
                <w:szCs w:val="21"/>
                <w:highlight w:val="none"/>
              </w:rPr>
              <w:t>S3</w:t>
            </w:r>
            <w:r>
              <w:rPr>
                <w:rFonts w:hint="default" w:ascii="Times New Roman" w:hAnsi="Times New Roman" w:eastAsia="方正仿宋_GB2312" w:cs="Times New Roman"/>
                <w:color w:val="auto"/>
                <w:kern w:val="0"/>
                <w:szCs w:val="21"/>
                <w:highlight w:val="none"/>
                <w:lang w:val="en-US" w:eastAsia="zh-CN"/>
              </w:rPr>
              <w:t>04</w:t>
            </w:r>
          </w:p>
        </w:tc>
        <w:tc>
          <w:tcPr>
            <w:tcW w:w="443" w:type="pct"/>
            <w:tcBorders>
              <w:tl2br w:val="nil"/>
              <w:tr2bl w:val="nil"/>
            </w:tcBorders>
            <w:shd w:val="clear" w:color="auto" w:fill="auto"/>
            <w:tcMar>
              <w:top w:w="15" w:type="dxa"/>
              <w:left w:w="15" w:type="dxa"/>
              <w:bottom w:w="0" w:type="dxa"/>
              <w:right w:w="15" w:type="dxa"/>
            </w:tcMar>
            <w:vAlign w:val="center"/>
          </w:tcPr>
          <w:p w14:paraId="2033E22D">
            <w:pPr>
              <w:bidi w:val="0"/>
              <w:jc w:val="center"/>
              <w:rPr>
                <w:rFonts w:hint="default" w:ascii="Times New Roman" w:hAnsi="Times New Roman" w:eastAsia="方正仿宋_GB2312" w:cs="Times New Roman"/>
                <w:snapToGrid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常温</w:t>
            </w:r>
          </w:p>
        </w:tc>
        <w:tc>
          <w:tcPr>
            <w:tcW w:w="451" w:type="pct"/>
            <w:tcBorders>
              <w:tl2br w:val="nil"/>
              <w:tr2bl w:val="nil"/>
            </w:tcBorders>
            <w:shd w:val="clear" w:color="auto" w:fill="auto"/>
            <w:tcMar>
              <w:top w:w="15" w:type="dxa"/>
              <w:left w:w="15" w:type="dxa"/>
              <w:bottom w:w="0" w:type="dxa"/>
              <w:right w:w="15" w:type="dxa"/>
            </w:tcMar>
            <w:vAlign w:val="center"/>
          </w:tcPr>
          <w:p w14:paraId="6D8C8798">
            <w:pPr>
              <w:bidi w:val="0"/>
              <w:jc w:val="center"/>
              <w:rPr>
                <w:rFonts w:hint="default" w:ascii="Times New Roman" w:hAnsi="Times New Roman" w:eastAsia="方正仿宋_GB2312" w:cs="Times New Roman"/>
                <w:snapToGrid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-0.09</w:t>
            </w:r>
          </w:p>
        </w:tc>
        <w:tc>
          <w:tcPr>
            <w:tcW w:w="342" w:type="pct"/>
            <w:tcBorders>
              <w:tl2br w:val="nil"/>
              <w:tr2bl w:val="nil"/>
            </w:tcBorders>
            <w:shd w:val="clear" w:color="auto" w:fill="auto"/>
            <w:tcMar>
              <w:top w:w="15" w:type="dxa"/>
              <w:left w:w="15" w:type="dxa"/>
              <w:bottom w:w="0" w:type="dxa"/>
              <w:right w:w="15" w:type="dxa"/>
            </w:tcMar>
            <w:vAlign w:val="center"/>
          </w:tcPr>
          <w:p w14:paraId="324A75ED">
            <w:pPr>
              <w:bidi w:val="0"/>
              <w:jc w:val="center"/>
              <w:rPr>
                <w:rFonts w:hint="default" w:ascii="Times New Roman" w:hAnsi="Times New Roman" w:eastAsia="方正仿宋_GB2312" w:cs="Times New Roman"/>
                <w:snapToGrid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2</w:t>
            </w:r>
          </w:p>
        </w:tc>
        <w:tc>
          <w:tcPr>
            <w:tcW w:w="378" w:type="pct"/>
            <w:tcBorders>
              <w:tl2br w:val="nil"/>
              <w:tr2bl w:val="nil"/>
            </w:tcBorders>
            <w:shd w:val="clear" w:color="auto" w:fill="auto"/>
            <w:vAlign w:val="center"/>
          </w:tcPr>
          <w:p w14:paraId="14C58B33">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新增</w:t>
            </w:r>
          </w:p>
        </w:tc>
      </w:tr>
      <w:tr w14:paraId="3216AC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462" w:type="pct"/>
            <w:vMerge w:val="continue"/>
            <w:tcBorders>
              <w:tl2br w:val="nil"/>
              <w:tr2bl w:val="nil"/>
            </w:tcBorders>
            <w:vAlign w:val="center"/>
          </w:tcPr>
          <w:p w14:paraId="752B5365">
            <w:pPr>
              <w:widowControl/>
              <w:jc w:val="center"/>
              <w:rPr>
                <w:rFonts w:eastAsia="仿宋_GB2312"/>
                <w:color w:val="auto"/>
                <w:kern w:val="0"/>
                <w:szCs w:val="20"/>
              </w:rPr>
            </w:pPr>
          </w:p>
        </w:tc>
        <w:tc>
          <w:tcPr>
            <w:tcW w:w="346" w:type="pct"/>
            <w:tcBorders>
              <w:tl2br w:val="nil"/>
              <w:tr2bl w:val="nil"/>
            </w:tcBorders>
            <w:shd w:val="clear" w:color="auto" w:fill="auto"/>
            <w:tcMar>
              <w:top w:w="15" w:type="dxa"/>
              <w:left w:w="15" w:type="dxa"/>
              <w:bottom w:w="0" w:type="dxa"/>
              <w:right w:w="15" w:type="dxa"/>
            </w:tcMar>
            <w:vAlign w:val="center"/>
          </w:tcPr>
          <w:p w14:paraId="49DF10E6">
            <w:pPr>
              <w:bidi w:val="0"/>
              <w:jc w:val="center"/>
              <w:rPr>
                <w:rFonts w:hint="default" w:ascii="Times New Roman" w:hAnsi="Times New Roman" w:eastAsia="方正仿宋_GB2312" w:cs="Times New Roman"/>
                <w:color w:val="auto"/>
                <w:kern w:val="2"/>
                <w:sz w:val="21"/>
                <w:szCs w:val="21"/>
                <w:lang w:val="en-US" w:eastAsia="zh-CN" w:bidi="ar-SA"/>
              </w:rPr>
            </w:pPr>
            <w:r>
              <w:rPr>
                <w:rFonts w:hint="default" w:ascii="Times New Roman" w:hAnsi="Times New Roman" w:eastAsia="方正仿宋_GB2312" w:cs="Times New Roman"/>
                <w:color w:val="auto"/>
                <w:sz w:val="21"/>
                <w:szCs w:val="21"/>
                <w:lang w:val="en-US" w:eastAsia="zh-CN"/>
              </w:rPr>
              <w:t>8</w:t>
            </w:r>
          </w:p>
        </w:tc>
        <w:tc>
          <w:tcPr>
            <w:tcW w:w="816" w:type="pct"/>
            <w:tcBorders>
              <w:tl2br w:val="nil"/>
              <w:tr2bl w:val="nil"/>
            </w:tcBorders>
            <w:shd w:val="clear" w:color="auto" w:fill="auto"/>
            <w:tcMar>
              <w:top w:w="15" w:type="dxa"/>
              <w:left w:w="15" w:type="dxa"/>
              <w:bottom w:w="0" w:type="dxa"/>
              <w:right w:w="15" w:type="dxa"/>
            </w:tcMar>
            <w:vAlign w:val="center"/>
          </w:tcPr>
          <w:p w14:paraId="06158B96">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真空泵组</w:t>
            </w:r>
          </w:p>
        </w:tc>
        <w:tc>
          <w:tcPr>
            <w:tcW w:w="1218" w:type="pct"/>
            <w:tcBorders>
              <w:tl2br w:val="nil"/>
              <w:tr2bl w:val="nil"/>
            </w:tcBorders>
            <w:shd w:val="clear" w:color="auto" w:fill="auto"/>
            <w:tcMar>
              <w:top w:w="15" w:type="dxa"/>
              <w:left w:w="15" w:type="dxa"/>
              <w:bottom w:w="0" w:type="dxa"/>
              <w:right w:w="15" w:type="dxa"/>
            </w:tcMar>
            <w:vAlign w:val="center"/>
          </w:tcPr>
          <w:p w14:paraId="65D02E4E">
            <w:pPr>
              <w:bidi w:val="0"/>
              <w:jc w:val="center"/>
              <w:rPr>
                <w:rFonts w:hint="default" w:ascii="Times New Roman" w:hAnsi="Times New Roman" w:eastAsia="方正仿宋_GB2312" w:cs="Times New Roman"/>
                <w:snapToGrid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Q=200L/S</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15kw+4kw</w:t>
            </w:r>
          </w:p>
        </w:tc>
        <w:tc>
          <w:tcPr>
            <w:tcW w:w="540" w:type="pct"/>
            <w:tcBorders>
              <w:tl2br w:val="nil"/>
              <w:tr2bl w:val="nil"/>
            </w:tcBorders>
            <w:shd w:val="clear" w:color="auto" w:fill="auto"/>
            <w:tcMar>
              <w:top w:w="15" w:type="dxa"/>
              <w:left w:w="15" w:type="dxa"/>
              <w:bottom w:w="0" w:type="dxa"/>
              <w:right w:w="15" w:type="dxa"/>
            </w:tcMar>
            <w:vAlign w:val="center"/>
          </w:tcPr>
          <w:p w14:paraId="599DAD09">
            <w:pPr>
              <w:bidi w:val="0"/>
              <w:jc w:val="center"/>
              <w:rPr>
                <w:rFonts w:hint="default" w:ascii="Times New Roman" w:hAnsi="Times New Roman" w:eastAsia="方正仿宋_GB2312" w:cs="Times New Roman"/>
                <w:snapToGrid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组合件</w:t>
            </w:r>
          </w:p>
        </w:tc>
        <w:tc>
          <w:tcPr>
            <w:tcW w:w="443" w:type="pct"/>
            <w:tcBorders>
              <w:tl2br w:val="nil"/>
              <w:tr2bl w:val="nil"/>
            </w:tcBorders>
            <w:shd w:val="clear" w:color="auto" w:fill="auto"/>
            <w:tcMar>
              <w:top w:w="15" w:type="dxa"/>
              <w:left w:w="15" w:type="dxa"/>
              <w:bottom w:w="0" w:type="dxa"/>
              <w:right w:w="15" w:type="dxa"/>
            </w:tcMar>
            <w:vAlign w:val="center"/>
          </w:tcPr>
          <w:p w14:paraId="103C03E2">
            <w:pPr>
              <w:bidi w:val="0"/>
              <w:jc w:val="center"/>
              <w:rPr>
                <w:rFonts w:hint="default" w:ascii="Times New Roman" w:hAnsi="Times New Roman" w:eastAsia="方正仿宋_GB2312" w:cs="Times New Roman"/>
                <w:snapToGrid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常温</w:t>
            </w:r>
          </w:p>
        </w:tc>
        <w:tc>
          <w:tcPr>
            <w:tcW w:w="451" w:type="pct"/>
            <w:tcBorders>
              <w:tl2br w:val="nil"/>
              <w:tr2bl w:val="nil"/>
            </w:tcBorders>
            <w:shd w:val="clear" w:color="auto" w:fill="auto"/>
            <w:tcMar>
              <w:top w:w="15" w:type="dxa"/>
              <w:left w:w="15" w:type="dxa"/>
              <w:bottom w:w="0" w:type="dxa"/>
              <w:right w:w="15" w:type="dxa"/>
            </w:tcMar>
            <w:vAlign w:val="center"/>
          </w:tcPr>
          <w:p w14:paraId="0021F61E">
            <w:pPr>
              <w:bidi w:val="0"/>
              <w:jc w:val="center"/>
              <w:rPr>
                <w:rFonts w:hint="default" w:ascii="Times New Roman" w:hAnsi="Times New Roman" w:eastAsia="方正仿宋_GB2312" w:cs="Times New Roman"/>
                <w:snapToGrid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-0.09</w:t>
            </w:r>
          </w:p>
        </w:tc>
        <w:tc>
          <w:tcPr>
            <w:tcW w:w="342" w:type="pct"/>
            <w:tcBorders>
              <w:tl2br w:val="nil"/>
              <w:tr2bl w:val="nil"/>
            </w:tcBorders>
            <w:shd w:val="clear" w:color="auto" w:fill="auto"/>
            <w:tcMar>
              <w:top w:w="15" w:type="dxa"/>
              <w:left w:w="15" w:type="dxa"/>
              <w:bottom w:w="0" w:type="dxa"/>
              <w:right w:w="15" w:type="dxa"/>
            </w:tcMar>
            <w:vAlign w:val="center"/>
          </w:tcPr>
          <w:p w14:paraId="22159CA7">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2</w:t>
            </w:r>
          </w:p>
        </w:tc>
        <w:tc>
          <w:tcPr>
            <w:tcW w:w="378" w:type="pct"/>
            <w:tcBorders>
              <w:tl2br w:val="nil"/>
              <w:tr2bl w:val="nil"/>
            </w:tcBorders>
            <w:shd w:val="clear" w:color="auto" w:fill="auto"/>
            <w:vAlign w:val="center"/>
          </w:tcPr>
          <w:p w14:paraId="499549C3">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利旧</w:t>
            </w:r>
          </w:p>
        </w:tc>
      </w:tr>
      <w:tr w14:paraId="2CD14CD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462" w:type="pct"/>
            <w:vMerge w:val="continue"/>
            <w:tcBorders>
              <w:tl2br w:val="nil"/>
              <w:tr2bl w:val="nil"/>
            </w:tcBorders>
            <w:vAlign w:val="center"/>
          </w:tcPr>
          <w:p w14:paraId="467FFE8B">
            <w:pPr>
              <w:widowControl/>
              <w:jc w:val="center"/>
              <w:rPr>
                <w:rFonts w:eastAsia="仿宋_GB2312"/>
                <w:color w:val="auto"/>
                <w:kern w:val="0"/>
                <w:szCs w:val="20"/>
              </w:rPr>
            </w:pPr>
          </w:p>
        </w:tc>
        <w:tc>
          <w:tcPr>
            <w:tcW w:w="346" w:type="pct"/>
            <w:tcBorders>
              <w:tl2br w:val="nil"/>
              <w:tr2bl w:val="nil"/>
            </w:tcBorders>
            <w:shd w:val="clear" w:color="auto" w:fill="auto"/>
            <w:tcMar>
              <w:top w:w="15" w:type="dxa"/>
              <w:left w:w="15" w:type="dxa"/>
              <w:bottom w:w="0" w:type="dxa"/>
              <w:right w:w="15" w:type="dxa"/>
            </w:tcMar>
            <w:vAlign w:val="center"/>
          </w:tcPr>
          <w:p w14:paraId="45B0DDEA">
            <w:pPr>
              <w:bidi w:val="0"/>
              <w:jc w:val="center"/>
              <w:rPr>
                <w:rFonts w:hint="default" w:ascii="Times New Roman" w:hAnsi="Times New Roman" w:eastAsia="方正仿宋_GB2312" w:cs="Times New Roman"/>
                <w:color w:val="auto"/>
                <w:kern w:val="2"/>
                <w:sz w:val="21"/>
                <w:szCs w:val="21"/>
                <w:lang w:val="en-US" w:eastAsia="zh-CN" w:bidi="ar-SA"/>
              </w:rPr>
            </w:pPr>
            <w:r>
              <w:rPr>
                <w:rFonts w:hint="default" w:ascii="Times New Roman" w:hAnsi="Times New Roman" w:eastAsia="方正仿宋_GB2312" w:cs="Times New Roman"/>
                <w:color w:val="auto"/>
                <w:sz w:val="21"/>
                <w:szCs w:val="21"/>
                <w:lang w:val="en-US" w:eastAsia="zh-CN"/>
              </w:rPr>
              <w:t>9</w:t>
            </w:r>
          </w:p>
        </w:tc>
        <w:tc>
          <w:tcPr>
            <w:tcW w:w="816" w:type="pct"/>
            <w:tcBorders>
              <w:tl2br w:val="nil"/>
              <w:tr2bl w:val="nil"/>
            </w:tcBorders>
            <w:shd w:val="clear" w:color="auto" w:fill="auto"/>
            <w:tcMar>
              <w:top w:w="15" w:type="dxa"/>
              <w:left w:w="15" w:type="dxa"/>
              <w:bottom w:w="0" w:type="dxa"/>
              <w:right w:w="15" w:type="dxa"/>
            </w:tcMar>
            <w:vAlign w:val="center"/>
          </w:tcPr>
          <w:p w14:paraId="654050A8">
            <w:pPr>
              <w:bidi w:val="0"/>
              <w:jc w:val="center"/>
              <w:rPr>
                <w:rFonts w:hint="default" w:ascii="Times New Roman" w:hAnsi="Times New Roman" w:eastAsia="方正仿宋_GB2312" w:cs="Times New Roman"/>
                <w:snapToGrid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真空泵组</w:t>
            </w:r>
          </w:p>
        </w:tc>
        <w:tc>
          <w:tcPr>
            <w:tcW w:w="1218" w:type="pct"/>
            <w:tcBorders>
              <w:tl2br w:val="nil"/>
              <w:tr2bl w:val="nil"/>
            </w:tcBorders>
            <w:shd w:val="clear" w:color="auto" w:fill="auto"/>
            <w:tcMar>
              <w:top w:w="15" w:type="dxa"/>
              <w:left w:w="15" w:type="dxa"/>
              <w:bottom w:w="0" w:type="dxa"/>
              <w:right w:w="15" w:type="dxa"/>
            </w:tcMar>
            <w:vAlign w:val="center"/>
          </w:tcPr>
          <w:p w14:paraId="0AA3EDF5">
            <w:pPr>
              <w:bidi w:val="0"/>
              <w:jc w:val="center"/>
              <w:rPr>
                <w:rFonts w:hint="default" w:ascii="Times New Roman" w:hAnsi="Times New Roman" w:eastAsia="方正仿宋_GB2312" w:cs="Times New Roman"/>
                <w:snapToGrid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Q=200L/S</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15kw+4kw</w:t>
            </w:r>
          </w:p>
        </w:tc>
        <w:tc>
          <w:tcPr>
            <w:tcW w:w="540" w:type="pct"/>
            <w:tcBorders>
              <w:tl2br w:val="nil"/>
              <w:tr2bl w:val="nil"/>
            </w:tcBorders>
            <w:shd w:val="clear" w:color="auto" w:fill="auto"/>
            <w:tcMar>
              <w:top w:w="15" w:type="dxa"/>
              <w:left w:w="15" w:type="dxa"/>
              <w:bottom w:w="0" w:type="dxa"/>
              <w:right w:w="15" w:type="dxa"/>
            </w:tcMar>
            <w:vAlign w:val="center"/>
          </w:tcPr>
          <w:p w14:paraId="6B17E377">
            <w:pPr>
              <w:bidi w:val="0"/>
              <w:jc w:val="center"/>
              <w:rPr>
                <w:rFonts w:hint="default" w:ascii="Times New Roman" w:hAnsi="Times New Roman" w:eastAsia="方正仿宋_GB2312" w:cs="Times New Roman"/>
                <w:snapToGrid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组合件</w:t>
            </w:r>
          </w:p>
        </w:tc>
        <w:tc>
          <w:tcPr>
            <w:tcW w:w="443" w:type="pct"/>
            <w:tcBorders>
              <w:tl2br w:val="nil"/>
              <w:tr2bl w:val="nil"/>
            </w:tcBorders>
            <w:shd w:val="clear" w:color="auto" w:fill="auto"/>
            <w:tcMar>
              <w:top w:w="15" w:type="dxa"/>
              <w:left w:w="15" w:type="dxa"/>
              <w:bottom w:w="0" w:type="dxa"/>
              <w:right w:w="15" w:type="dxa"/>
            </w:tcMar>
            <w:vAlign w:val="center"/>
          </w:tcPr>
          <w:p w14:paraId="4B236E6F">
            <w:pPr>
              <w:bidi w:val="0"/>
              <w:jc w:val="center"/>
              <w:rPr>
                <w:rFonts w:hint="default" w:ascii="Times New Roman" w:hAnsi="Times New Roman" w:eastAsia="方正仿宋_GB2312" w:cs="Times New Roman"/>
                <w:snapToGrid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常温</w:t>
            </w:r>
          </w:p>
        </w:tc>
        <w:tc>
          <w:tcPr>
            <w:tcW w:w="451" w:type="pct"/>
            <w:tcBorders>
              <w:tl2br w:val="nil"/>
              <w:tr2bl w:val="nil"/>
            </w:tcBorders>
            <w:shd w:val="clear" w:color="auto" w:fill="auto"/>
            <w:tcMar>
              <w:top w:w="15" w:type="dxa"/>
              <w:left w:w="15" w:type="dxa"/>
              <w:bottom w:w="0" w:type="dxa"/>
              <w:right w:w="15" w:type="dxa"/>
            </w:tcMar>
            <w:vAlign w:val="center"/>
          </w:tcPr>
          <w:p w14:paraId="5D76A8D2">
            <w:pPr>
              <w:bidi w:val="0"/>
              <w:jc w:val="center"/>
              <w:rPr>
                <w:rFonts w:hint="default" w:ascii="Times New Roman" w:hAnsi="Times New Roman" w:eastAsia="方正仿宋_GB2312" w:cs="Times New Roman"/>
                <w:snapToGrid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-0.09</w:t>
            </w:r>
          </w:p>
        </w:tc>
        <w:tc>
          <w:tcPr>
            <w:tcW w:w="342" w:type="pct"/>
            <w:tcBorders>
              <w:tl2br w:val="nil"/>
              <w:tr2bl w:val="nil"/>
            </w:tcBorders>
            <w:shd w:val="clear" w:color="auto" w:fill="auto"/>
            <w:tcMar>
              <w:top w:w="15" w:type="dxa"/>
              <w:left w:w="15" w:type="dxa"/>
              <w:bottom w:w="0" w:type="dxa"/>
              <w:right w:w="15" w:type="dxa"/>
            </w:tcMar>
            <w:vAlign w:val="center"/>
          </w:tcPr>
          <w:p w14:paraId="0601CC28">
            <w:pPr>
              <w:bidi w:val="0"/>
              <w:jc w:val="center"/>
              <w:rPr>
                <w:rFonts w:hint="default" w:ascii="Times New Roman" w:hAnsi="Times New Roman" w:eastAsia="方正仿宋_GB2312" w:cs="Times New Roman"/>
                <w:snapToGrid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2</w:t>
            </w:r>
          </w:p>
        </w:tc>
        <w:tc>
          <w:tcPr>
            <w:tcW w:w="378" w:type="pct"/>
            <w:tcBorders>
              <w:tl2br w:val="nil"/>
              <w:tr2bl w:val="nil"/>
            </w:tcBorders>
            <w:shd w:val="clear" w:color="auto" w:fill="auto"/>
            <w:vAlign w:val="center"/>
          </w:tcPr>
          <w:p w14:paraId="3FE70E5C">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新增</w:t>
            </w:r>
          </w:p>
        </w:tc>
      </w:tr>
      <w:tr w14:paraId="4A9551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462" w:type="pct"/>
            <w:vMerge w:val="continue"/>
            <w:tcBorders>
              <w:tl2br w:val="nil"/>
              <w:tr2bl w:val="nil"/>
            </w:tcBorders>
            <w:vAlign w:val="center"/>
          </w:tcPr>
          <w:p w14:paraId="075E0B6B">
            <w:pPr>
              <w:widowControl/>
              <w:jc w:val="center"/>
              <w:rPr>
                <w:rFonts w:eastAsia="仿宋_GB2312"/>
                <w:color w:val="auto"/>
                <w:kern w:val="0"/>
                <w:szCs w:val="20"/>
              </w:rPr>
            </w:pPr>
          </w:p>
        </w:tc>
        <w:tc>
          <w:tcPr>
            <w:tcW w:w="346" w:type="pct"/>
            <w:tcBorders>
              <w:tl2br w:val="nil"/>
              <w:tr2bl w:val="nil"/>
            </w:tcBorders>
            <w:shd w:val="clear" w:color="auto" w:fill="auto"/>
            <w:tcMar>
              <w:top w:w="15" w:type="dxa"/>
              <w:left w:w="15" w:type="dxa"/>
              <w:bottom w:w="0" w:type="dxa"/>
              <w:right w:w="15" w:type="dxa"/>
            </w:tcMar>
            <w:vAlign w:val="center"/>
          </w:tcPr>
          <w:p w14:paraId="6E9E501B">
            <w:pPr>
              <w:bidi w:val="0"/>
              <w:jc w:val="center"/>
              <w:rPr>
                <w:rFonts w:hint="default" w:ascii="Times New Roman" w:hAnsi="Times New Roman" w:eastAsia="方正仿宋_GB2312" w:cs="Times New Roman"/>
                <w:color w:val="auto"/>
                <w:kern w:val="2"/>
                <w:sz w:val="21"/>
                <w:szCs w:val="21"/>
                <w:lang w:val="en-US" w:eastAsia="zh-CN" w:bidi="ar-SA"/>
              </w:rPr>
            </w:pPr>
            <w:r>
              <w:rPr>
                <w:rFonts w:hint="default" w:ascii="Times New Roman" w:hAnsi="Times New Roman" w:eastAsia="方正仿宋_GB2312" w:cs="Times New Roman"/>
                <w:color w:val="auto"/>
                <w:sz w:val="21"/>
                <w:szCs w:val="21"/>
                <w:lang w:val="en-US" w:eastAsia="zh-CN"/>
              </w:rPr>
              <w:t>10</w:t>
            </w:r>
          </w:p>
        </w:tc>
        <w:tc>
          <w:tcPr>
            <w:tcW w:w="816" w:type="pct"/>
            <w:tcBorders>
              <w:tl2br w:val="nil"/>
              <w:tr2bl w:val="nil"/>
            </w:tcBorders>
            <w:shd w:val="clear" w:color="auto" w:fill="auto"/>
            <w:tcMar>
              <w:top w:w="15" w:type="dxa"/>
              <w:left w:w="15" w:type="dxa"/>
              <w:bottom w:w="0" w:type="dxa"/>
              <w:right w:w="15" w:type="dxa"/>
            </w:tcMar>
            <w:vAlign w:val="center"/>
          </w:tcPr>
          <w:p w14:paraId="5C89FE0E">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加热器</w:t>
            </w:r>
          </w:p>
        </w:tc>
        <w:tc>
          <w:tcPr>
            <w:tcW w:w="1218" w:type="pct"/>
            <w:tcBorders>
              <w:tl2br w:val="nil"/>
              <w:tr2bl w:val="nil"/>
            </w:tcBorders>
            <w:shd w:val="clear" w:color="auto" w:fill="auto"/>
            <w:tcMar>
              <w:top w:w="15" w:type="dxa"/>
              <w:left w:w="15" w:type="dxa"/>
              <w:bottom w:w="0" w:type="dxa"/>
              <w:right w:w="15" w:type="dxa"/>
            </w:tcMar>
            <w:vAlign w:val="center"/>
          </w:tcPr>
          <w:p w14:paraId="226A6805">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F=56m</w:t>
            </w:r>
            <w:r>
              <w:rPr>
                <w:rFonts w:hint="default" w:ascii="Times New Roman" w:hAnsi="Times New Roman" w:eastAsia="方正仿宋_GB2312" w:cs="Times New Roman"/>
                <w:color w:val="000000" w:themeColor="text1"/>
                <w:sz w:val="21"/>
                <w:szCs w:val="21"/>
                <w:vertAlign w:val="superscript"/>
                <w:lang w:val="en-US" w:eastAsia="zh-CN"/>
                <w14:textFill>
                  <w14:solidFill>
                    <w14:schemeClr w14:val="tx1"/>
                  </w14:solidFill>
                </w14:textFill>
              </w:rPr>
              <w:t>2</w:t>
            </w:r>
          </w:p>
        </w:tc>
        <w:tc>
          <w:tcPr>
            <w:tcW w:w="540" w:type="pct"/>
            <w:tcBorders>
              <w:tl2br w:val="nil"/>
              <w:tr2bl w:val="nil"/>
            </w:tcBorders>
            <w:shd w:val="clear" w:color="auto" w:fill="auto"/>
            <w:tcMar>
              <w:top w:w="15" w:type="dxa"/>
              <w:left w:w="15" w:type="dxa"/>
              <w:bottom w:w="0" w:type="dxa"/>
              <w:right w:w="15" w:type="dxa"/>
            </w:tcMar>
            <w:vAlign w:val="center"/>
          </w:tcPr>
          <w:p w14:paraId="2C9A7B00">
            <w:pPr>
              <w:bidi w:val="0"/>
              <w:jc w:val="center"/>
              <w:rPr>
                <w:rFonts w:hint="default" w:ascii="Times New Roman" w:hAnsi="Times New Roman" w:eastAsia="方正仿宋_GB2312" w:cs="Times New Roman"/>
                <w:color w:val="auto"/>
                <w:kern w:val="2"/>
                <w:sz w:val="21"/>
                <w:szCs w:val="21"/>
                <w:lang w:val="en-US" w:eastAsia="zh-CN" w:bidi="ar-SA"/>
              </w:rPr>
            </w:pPr>
            <w:r>
              <w:rPr>
                <w:rFonts w:hint="default" w:ascii="Times New Roman" w:hAnsi="Times New Roman" w:eastAsia="方正仿宋_GB2312" w:cs="Times New Roman"/>
                <w:color w:val="auto"/>
                <w:kern w:val="0"/>
                <w:szCs w:val="21"/>
                <w:highlight w:val="none"/>
              </w:rPr>
              <w:t>S3</w:t>
            </w:r>
            <w:r>
              <w:rPr>
                <w:rFonts w:hint="default" w:ascii="Times New Roman" w:hAnsi="Times New Roman" w:eastAsia="方正仿宋_GB2312" w:cs="Times New Roman"/>
                <w:color w:val="auto"/>
                <w:kern w:val="0"/>
                <w:szCs w:val="21"/>
                <w:highlight w:val="none"/>
                <w:lang w:val="en-US" w:eastAsia="zh-CN"/>
              </w:rPr>
              <w:t>04</w:t>
            </w:r>
          </w:p>
        </w:tc>
        <w:tc>
          <w:tcPr>
            <w:tcW w:w="443" w:type="pct"/>
            <w:tcBorders>
              <w:tl2br w:val="nil"/>
              <w:tr2bl w:val="nil"/>
            </w:tcBorders>
            <w:shd w:val="clear" w:color="auto" w:fill="auto"/>
            <w:tcMar>
              <w:top w:w="15" w:type="dxa"/>
              <w:left w:w="15" w:type="dxa"/>
              <w:bottom w:w="0" w:type="dxa"/>
              <w:right w:w="15" w:type="dxa"/>
            </w:tcMar>
            <w:vAlign w:val="center"/>
          </w:tcPr>
          <w:p w14:paraId="3FC7595A">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170</w:t>
            </w:r>
          </w:p>
        </w:tc>
        <w:tc>
          <w:tcPr>
            <w:tcW w:w="451" w:type="pct"/>
            <w:tcBorders>
              <w:tl2br w:val="nil"/>
              <w:tr2bl w:val="nil"/>
            </w:tcBorders>
            <w:shd w:val="clear" w:color="auto" w:fill="auto"/>
            <w:tcMar>
              <w:top w:w="15" w:type="dxa"/>
              <w:left w:w="15" w:type="dxa"/>
              <w:bottom w:w="0" w:type="dxa"/>
              <w:right w:w="15" w:type="dxa"/>
            </w:tcMar>
            <w:vAlign w:val="center"/>
          </w:tcPr>
          <w:p w14:paraId="34BFADD3">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-0.09</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~0.7</w:t>
            </w:r>
          </w:p>
        </w:tc>
        <w:tc>
          <w:tcPr>
            <w:tcW w:w="342" w:type="pct"/>
            <w:tcBorders>
              <w:tl2br w:val="nil"/>
              <w:tr2bl w:val="nil"/>
            </w:tcBorders>
            <w:shd w:val="clear" w:color="auto" w:fill="auto"/>
            <w:tcMar>
              <w:top w:w="15" w:type="dxa"/>
              <w:left w:w="15" w:type="dxa"/>
              <w:bottom w:w="0" w:type="dxa"/>
              <w:right w:w="15" w:type="dxa"/>
            </w:tcMar>
            <w:vAlign w:val="center"/>
          </w:tcPr>
          <w:p w14:paraId="31C569A8">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2</w:t>
            </w:r>
          </w:p>
        </w:tc>
        <w:tc>
          <w:tcPr>
            <w:tcW w:w="378" w:type="pct"/>
            <w:tcBorders>
              <w:tl2br w:val="nil"/>
              <w:tr2bl w:val="nil"/>
            </w:tcBorders>
            <w:shd w:val="clear" w:color="auto" w:fill="auto"/>
            <w:vAlign w:val="center"/>
          </w:tcPr>
          <w:p w14:paraId="3BA66BD4">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新增</w:t>
            </w:r>
          </w:p>
        </w:tc>
      </w:tr>
      <w:tr w14:paraId="4A7B22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462" w:type="pct"/>
            <w:vMerge w:val="continue"/>
            <w:tcBorders>
              <w:tl2br w:val="nil"/>
              <w:tr2bl w:val="nil"/>
            </w:tcBorders>
            <w:vAlign w:val="center"/>
          </w:tcPr>
          <w:p w14:paraId="0A87CF8C">
            <w:pPr>
              <w:widowControl/>
              <w:jc w:val="center"/>
              <w:rPr>
                <w:rFonts w:eastAsia="仿宋_GB2312"/>
                <w:color w:val="auto"/>
                <w:kern w:val="0"/>
                <w:szCs w:val="20"/>
              </w:rPr>
            </w:pPr>
          </w:p>
        </w:tc>
        <w:tc>
          <w:tcPr>
            <w:tcW w:w="346" w:type="pct"/>
            <w:tcBorders>
              <w:tl2br w:val="nil"/>
              <w:tr2bl w:val="nil"/>
            </w:tcBorders>
            <w:tcMar>
              <w:top w:w="15" w:type="dxa"/>
              <w:left w:w="15" w:type="dxa"/>
              <w:bottom w:w="0" w:type="dxa"/>
              <w:right w:w="15" w:type="dxa"/>
            </w:tcMar>
            <w:vAlign w:val="center"/>
          </w:tcPr>
          <w:p w14:paraId="13047B5A">
            <w:pPr>
              <w:widowControl/>
              <w:jc w:val="center"/>
              <w:rPr>
                <w:rFonts w:hint="default" w:eastAsia="仿宋_GB2312"/>
                <w:color w:val="auto"/>
                <w:kern w:val="0"/>
                <w:szCs w:val="20"/>
                <w:lang w:val="en-US" w:eastAsia="zh-CN"/>
              </w:rPr>
            </w:pPr>
            <w:r>
              <w:rPr>
                <w:rFonts w:hint="eastAsia" w:eastAsia="仿宋_GB2312"/>
                <w:color w:val="auto"/>
                <w:kern w:val="0"/>
                <w:szCs w:val="20"/>
                <w:lang w:val="en-US" w:eastAsia="zh-CN"/>
              </w:rPr>
              <w:t>11</w:t>
            </w:r>
          </w:p>
        </w:tc>
        <w:tc>
          <w:tcPr>
            <w:tcW w:w="816" w:type="pct"/>
            <w:tcBorders>
              <w:tl2br w:val="nil"/>
              <w:tr2bl w:val="nil"/>
            </w:tcBorders>
            <w:shd w:val="clear" w:color="auto" w:fill="auto"/>
            <w:tcMar>
              <w:top w:w="15" w:type="dxa"/>
              <w:left w:w="15" w:type="dxa"/>
              <w:bottom w:w="0" w:type="dxa"/>
              <w:right w:w="15" w:type="dxa"/>
            </w:tcMar>
            <w:vAlign w:val="center"/>
          </w:tcPr>
          <w:p w14:paraId="3AC75C3A">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塔釜</w:t>
            </w:r>
          </w:p>
        </w:tc>
        <w:tc>
          <w:tcPr>
            <w:tcW w:w="1218" w:type="pct"/>
            <w:tcBorders>
              <w:tl2br w:val="nil"/>
              <w:tr2bl w:val="nil"/>
            </w:tcBorders>
            <w:shd w:val="clear" w:color="auto" w:fill="auto"/>
            <w:tcMar>
              <w:top w:w="15" w:type="dxa"/>
              <w:left w:w="15" w:type="dxa"/>
              <w:bottom w:w="0" w:type="dxa"/>
              <w:right w:w="15" w:type="dxa"/>
            </w:tcMar>
            <w:vAlign w:val="center"/>
          </w:tcPr>
          <w:p w14:paraId="455D409B">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V=10m³</w:t>
            </w:r>
          </w:p>
        </w:tc>
        <w:tc>
          <w:tcPr>
            <w:tcW w:w="540" w:type="pct"/>
            <w:tcBorders>
              <w:tl2br w:val="nil"/>
              <w:tr2bl w:val="nil"/>
            </w:tcBorders>
            <w:shd w:val="clear" w:color="auto" w:fill="auto"/>
            <w:tcMar>
              <w:top w:w="15" w:type="dxa"/>
              <w:left w:w="15" w:type="dxa"/>
              <w:bottom w:w="0" w:type="dxa"/>
              <w:right w:w="15" w:type="dxa"/>
            </w:tcMar>
            <w:vAlign w:val="center"/>
          </w:tcPr>
          <w:p w14:paraId="6DA51FCF">
            <w:pPr>
              <w:bidi w:val="0"/>
              <w:jc w:val="center"/>
              <w:rPr>
                <w:rFonts w:hint="default" w:ascii="Times New Roman" w:hAnsi="Times New Roman" w:eastAsia="方正仿宋_GB2312" w:cs="Times New Roman"/>
                <w:color w:val="auto"/>
                <w:kern w:val="2"/>
                <w:sz w:val="21"/>
                <w:szCs w:val="21"/>
                <w:lang w:val="en-US" w:eastAsia="zh-CN" w:bidi="ar-SA"/>
              </w:rPr>
            </w:pPr>
            <w:r>
              <w:rPr>
                <w:rFonts w:hint="default" w:ascii="Times New Roman" w:hAnsi="Times New Roman" w:eastAsia="方正仿宋_GB2312" w:cs="Times New Roman"/>
                <w:color w:val="auto"/>
                <w:kern w:val="0"/>
                <w:szCs w:val="21"/>
                <w:highlight w:val="none"/>
              </w:rPr>
              <w:t>S3</w:t>
            </w:r>
            <w:r>
              <w:rPr>
                <w:rFonts w:hint="default" w:ascii="Times New Roman" w:hAnsi="Times New Roman" w:eastAsia="方正仿宋_GB2312" w:cs="Times New Roman"/>
                <w:color w:val="auto"/>
                <w:kern w:val="0"/>
                <w:szCs w:val="21"/>
                <w:highlight w:val="none"/>
                <w:lang w:val="en-US" w:eastAsia="zh-CN"/>
              </w:rPr>
              <w:t>04</w:t>
            </w:r>
          </w:p>
        </w:tc>
        <w:tc>
          <w:tcPr>
            <w:tcW w:w="443" w:type="pct"/>
            <w:tcBorders>
              <w:tl2br w:val="nil"/>
              <w:tr2bl w:val="nil"/>
            </w:tcBorders>
            <w:shd w:val="clear" w:color="auto" w:fill="auto"/>
            <w:tcMar>
              <w:top w:w="15" w:type="dxa"/>
              <w:left w:w="15" w:type="dxa"/>
              <w:bottom w:w="0" w:type="dxa"/>
              <w:right w:w="15" w:type="dxa"/>
            </w:tcMar>
            <w:vAlign w:val="center"/>
          </w:tcPr>
          <w:p w14:paraId="16DD04ED">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170</w:t>
            </w:r>
          </w:p>
        </w:tc>
        <w:tc>
          <w:tcPr>
            <w:tcW w:w="451" w:type="pct"/>
            <w:tcBorders>
              <w:tl2br w:val="nil"/>
              <w:tr2bl w:val="nil"/>
            </w:tcBorders>
            <w:shd w:val="clear" w:color="auto" w:fill="auto"/>
            <w:tcMar>
              <w:top w:w="15" w:type="dxa"/>
              <w:left w:w="15" w:type="dxa"/>
              <w:bottom w:w="0" w:type="dxa"/>
              <w:right w:w="15" w:type="dxa"/>
            </w:tcMar>
            <w:vAlign w:val="center"/>
          </w:tcPr>
          <w:p w14:paraId="7513F394">
            <w:pPr>
              <w:bidi w:val="0"/>
              <w:jc w:val="center"/>
              <w:rPr>
                <w:rFonts w:hint="default" w:ascii="Times New Roman" w:hAnsi="Times New Roman" w:eastAsia="方正仿宋_GB2312" w:cs="Times New Roman"/>
                <w:snapToGrid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-0.09</w:t>
            </w:r>
          </w:p>
        </w:tc>
        <w:tc>
          <w:tcPr>
            <w:tcW w:w="342" w:type="pct"/>
            <w:tcBorders>
              <w:tl2br w:val="nil"/>
              <w:tr2bl w:val="nil"/>
            </w:tcBorders>
            <w:shd w:val="clear" w:color="auto" w:fill="auto"/>
            <w:tcMar>
              <w:top w:w="15" w:type="dxa"/>
              <w:left w:w="15" w:type="dxa"/>
              <w:bottom w:w="0" w:type="dxa"/>
              <w:right w:w="15" w:type="dxa"/>
            </w:tcMar>
            <w:vAlign w:val="center"/>
          </w:tcPr>
          <w:p w14:paraId="232E0144">
            <w:pPr>
              <w:bidi w:val="0"/>
              <w:jc w:val="center"/>
              <w:rPr>
                <w:rFonts w:hint="default" w:ascii="Times New Roman" w:hAnsi="Times New Roman" w:eastAsia="方正仿宋_GB2312" w:cs="Times New Roman"/>
                <w:snapToGrid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2</w:t>
            </w:r>
          </w:p>
        </w:tc>
        <w:tc>
          <w:tcPr>
            <w:tcW w:w="378" w:type="pct"/>
            <w:tcBorders>
              <w:tl2br w:val="nil"/>
              <w:tr2bl w:val="nil"/>
            </w:tcBorders>
            <w:shd w:val="clear" w:color="auto" w:fill="auto"/>
            <w:vAlign w:val="center"/>
          </w:tcPr>
          <w:p w14:paraId="6DC171E6">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新增</w:t>
            </w:r>
          </w:p>
        </w:tc>
      </w:tr>
      <w:tr w14:paraId="1D3585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462" w:type="pct"/>
            <w:vMerge w:val="continue"/>
            <w:tcBorders>
              <w:tl2br w:val="nil"/>
              <w:tr2bl w:val="nil"/>
            </w:tcBorders>
            <w:vAlign w:val="center"/>
          </w:tcPr>
          <w:p w14:paraId="6E8B8865">
            <w:pPr>
              <w:widowControl/>
              <w:jc w:val="center"/>
              <w:rPr>
                <w:rFonts w:eastAsia="仿宋_GB2312"/>
                <w:color w:val="auto"/>
                <w:kern w:val="0"/>
                <w:szCs w:val="20"/>
              </w:rPr>
            </w:pPr>
          </w:p>
        </w:tc>
        <w:tc>
          <w:tcPr>
            <w:tcW w:w="346" w:type="pct"/>
            <w:tcBorders>
              <w:tl2br w:val="nil"/>
              <w:tr2bl w:val="nil"/>
            </w:tcBorders>
            <w:tcMar>
              <w:top w:w="15" w:type="dxa"/>
              <w:left w:w="15" w:type="dxa"/>
              <w:bottom w:w="0" w:type="dxa"/>
              <w:right w:w="15" w:type="dxa"/>
            </w:tcMar>
            <w:vAlign w:val="center"/>
          </w:tcPr>
          <w:p w14:paraId="2F2A2DF0">
            <w:pPr>
              <w:widowControl/>
              <w:jc w:val="center"/>
              <w:rPr>
                <w:rFonts w:hint="default" w:eastAsia="仿宋_GB2312"/>
                <w:color w:val="auto"/>
                <w:kern w:val="0"/>
                <w:szCs w:val="20"/>
                <w:lang w:val="en-US" w:eastAsia="zh-CN"/>
              </w:rPr>
            </w:pPr>
            <w:r>
              <w:rPr>
                <w:rFonts w:hint="eastAsia" w:eastAsia="仿宋_GB2312"/>
                <w:color w:val="auto"/>
                <w:kern w:val="0"/>
                <w:szCs w:val="20"/>
                <w:lang w:val="en-US" w:eastAsia="zh-CN"/>
              </w:rPr>
              <w:t>12</w:t>
            </w:r>
          </w:p>
        </w:tc>
        <w:tc>
          <w:tcPr>
            <w:tcW w:w="816" w:type="pct"/>
            <w:tcBorders>
              <w:tl2br w:val="nil"/>
              <w:tr2bl w:val="nil"/>
            </w:tcBorders>
            <w:shd w:val="clear" w:color="auto" w:fill="auto"/>
            <w:tcMar>
              <w:top w:w="15" w:type="dxa"/>
              <w:left w:w="15" w:type="dxa"/>
              <w:bottom w:w="0" w:type="dxa"/>
              <w:right w:w="15" w:type="dxa"/>
            </w:tcMar>
            <w:vAlign w:val="center"/>
          </w:tcPr>
          <w:p w14:paraId="71FC9681">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超重力精馏床</w:t>
            </w:r>
          </w:p>
        </w:tc>
        <w:tc>
          <w:tcPr>
            <w:tcW w:w="1218" w:type="pct"/>
            <w:tcBorders>
              <w:tl2br w:val="nil"/>
              <w:tr2bl w:val="nil"/>
            </w:tcBorders>
            <w:shd w:val="clear" w:color="auto" w:fill="auto"/>
            <w:tcMar>
              <w:top w:w="15" w:type="dxa"/>
              <w:left w:w="15" w:type="dxa"/>
              <w:bottom w:w="0" w:type="dxa"/>
              <w:right w:w="15" w:type="dxa"/>
            </w:tcMar>
            <w:vAlign w:val="center"/>
          </w:tcPr>
          <w:p w14:paraId="233F6914">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型号：1250</w:t>
            </w:r>
          </w:p>
        </w:tc>
        <w:tc>
          <w:tcPr>
            <w:tcW w:w="540" w:type="pct"/>
            <w:tcBorders>
              <w:tl2br w:val="nil"/>
              <w:tr2bl w:val="nil"/>
            </w:tcBorders>
            <w:shd w:val="clear" w:color="auto" w:fill="auto"/>
            <w:tcMar>
              <w:top w:w="15" w:type="dxa"/>
              <w:left w:w="15" w:type="dxa"/>
              <w:bottom w:w="0" w:type="dxa"/>
              <w:right w:w="15" w:type="dxa"/>
            </w:tcMar>
            <w:vAlign w:val="center"/>
          </w:tcPr>
          <w:p w14:paraId="69ECE39A">
            <w:pPr>
              <w:bidi w:val="0"/>
              <w:jc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Cs w:val="21"/>
                <w:highlight w:val="none"/>
                <w:lang w:eastAsia="zh-CN"/>
              </w:rPr>
              <w:t>组合件</w:t>
            </w:r>
          </w:p>
        </w:tc>
        <w:tc>
          <w:tcPr>
            <w:tcW w:w="443" w:type="pct"/>
            <w:tcBorders>
              <w:tl2br w:val="nil"/>
              <w:tr2bl w:val="nil"/>
            </w:tcBorders>
            <w:shd w:val="clear" w:color="auto" w:fill="auto"/>
            <w:tcMar>
              <w:top w:w="15" w:type="dxa"/>
              <w:left w:w="15" w:type="dxa"/>
              <w:bottom w:w="0" w:type="dxa"/>
              <w:right w:w="15" w:type="dxa"/>
            </w:tcMar>
            <w:vAlign w:val="center"/>
          </w:tcPr>
          <w:p w14:paraId="5DAB7363">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170</w:t>
            </w:r>
          </w:p>
        </w:tc>
        <w:tc>
          <w:tcPr>
            <w:tcW w:w="451" w:type="pct"/>
            <w:tcBorders>
              <w:tl2br w:val="nil"/>
              <w:tr2bl w:val="nil"/>
            </w:tcBorders>
            <w:shd w:val="clear" w:color="auto" w:fill="auto"/>
            <w:tcMar>
              <w:top w:w="15" w:type="dxa"/>
              <w:left w:w="15" w:type="dxa"/>
              <w:bottom w:w="0" w:type="dxa"/>
              <w:right w:w="15" w:type="dxa"/>
            </w:tcMar>
            <w:vAlign w:val="center"/>
          </w:tcPr>
          <w:p w14:paraId="384CC644">
            <w:pPr>
              <w:bidi w:val="0"/>
              <w:jc w:val="center"/>
              <w:rPr>
                <w:rFonts w:hint="default" w:ascii="Times New Roman" w:hAnsi="Times New Roman" w:eastAsia="方正仿宋_GB2312" w:cs="Times New Roman"/>
                <w:snapToGrid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-0.09</w:t>
            </w:r>
          </w:p>
        </w:tc>
        <w:tc>
          <w:tcPr>
            <w:tcW w:w="342" w:type="pct"/>
            <w:tcBorders>
              <w:tl2br w:val="nil"/>
              <w:tr2bl w:val="nil"/>
            </w:tcBorders>
            <w:shd w:val="clear" w:color="auto" w:fill="auto"/>
            <w:tcMar>
              <w:top w:w="15" w:type="dxa"/>
              <w:left w:w="15" w:type="dxa"/>
              <w:bottom w:w="0" w:type="dxa"/>
              <w:right w:w="15" w:type="dxa"/>
            </w:tcMar>
            <w:vAlign w:val="center"/>
          </w:tcPr>
          <w:p w14:paraId="03A14C4A">
            <w:pPr>
              <w:bidi w:val="0"/>
              <w:jc w:val="center"/>
              <w:rPr>
                <w:rFonts w:hint="default" w:ascii="Times New Roman" w:hAnsi="Times New Roman" w:eastAsia="方正仿宋_GB2312" w:cs="Times New Roman"/>
                <w:snapToGrid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2</w:t>
            </w:r>
          </w:p>
        </w:tc>
        <w:tc>
          <w:tcPr>
            <w:tcW w:w="378" w:type="pct"/>
            <w:tcBorders>
              <w:tl2br w:val="nil"/>
              <w:tr2bl w:val="nil"/>
            </w:tcBorders>
            <w:shd w:val="clear" w:color="auto" w:fill="auto"/>
            <w:vAlign w:val="center"/>
          </w:tcPr>
          <w:p w14:paraId="1D0EBDFF">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新增</w:t>
            </w:r>
          </w:p>
        </w:tc>
      </w:tr>
      <w:tr w14:paraId="1DEE21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462" w:type="pct"/>
            <w:vMerge w:val="continue"/>
            <w:tcBorders>
              <w:tl2br w:val="nil"/>
              <w:tr2bl w:val="nil"/>
            </w:tcBorders>
            <w:vAlign w:val="center"/>
          </w:tcPr>
          <w:p w14:paraId="68D66764">
            <w:pPr>
              <w:widowControl/>
              <w:jc w:val="center"/>
              <w:rPr>
                <w:rFonts w:eastAsia="仿宋_GB2312"/>
                <w:color w:val="auto"/>
                <w:kern w:val="0"/>
                <w:szCs w:val="20"/>
              </w:rPr>
            </w:pPr>
          </w:p>
        </w:tc>
        <w:tc>
          <w:tcPr>
            <w:tcW w:w="346" w:type="pct"/>
            <w:tcBorders>
              <w:tl2br w:val="nil"/>
              <w:tr2bl w:val="nil"/>
            </w:tcBorders>
            <w:tcMar>
              <w:top w:w="15" w:type="dxa"/>
              <w:left w:w="15" w:type="dxa"/>
              <w:bottom w:w="0" w:type="dxa"/>
              <w:right w:w="15" w:type="dxa"/>
            </w:tcMar>
            <w:vAlign w:val="center"/>
          </w:tcPr>
          <w:p w14:paraId="682ED7AC">
            <w:pPr>
              <w:widowControl/>
              <w:jc w:val="center"/>
              <w:rPr>
                <w:rFonts w:hint="default" w:eastAsia="仿宋_GB2312"/>
                <w:color w:val="auto"/>
                <w:kern w:val="0"/>
                <w:szCs w:val="20"/>
                <w:lang w:val="en-US" w:eastAsia="zh-CN"/>
              </w:rPr>
            </w:pPr>
            <w:r>
              <w:rPr>
                <w:rFonts w:hint="eastAsia" w:eastAsia="仿宋_GB2312"/>
                <w:color w:val="auto"/>
                <w:kern w:val="0"/>
                <w:szCs w:val="20"/>
                <w:lang w:val="en-US" w:eastAsia="zh-CN"/>
              </w:rPr>
              <w:t>13</w:t>
            </w:r>
          </w:p>
        </w:tc>
        <w:tc>
          <w:tcPr>
            <w:tcW w:w="816" w:type="pct"/>
            <w:tcBorders>
              <w:tl2br w:val="nil"/>
              <w:tr2bl w:val="nil"/>
            </w:tcBorders>
            <w:shd w:val="clear" w:color="auto" w:fill="auto"/>
            <w:tcMar>
              <w:top w:w="15" w:type="dxa"/>
              <w:left w:w="15" w:type="dxa"/>
              <w:bottom w:w="0" w:type="dxa"/>
              <w:right w:w="15" w:type="dxa"/>
            </w:tcMar>
            <w:vAlign w:val="center"/>
          </w:tcPr>
          <w:p w14:paraId="6155AD5A">
            <w:pPr>
              <w:bidi w:val="0"/>
              <w:jc w:val="center"/>
              <w:rPr>
                <w:rFonts w:hint="default" w:ascii="Times New Roman" w:hAnsi="Times New Roman" w:eastAsia="方正仿宋_GB2312" w:cs="Times New Roman"/>
                <w:snapToGrid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一级冷却器</w:t>
            </w:r>
          </w:p>
        </w:tc>
        <w:tc>
          <w:tcPr>
            <w:tcW w:w="1218" w:type="pct"/>
            <w:tcBorders>
              <w:tl2br w:val="nil"/>
              <w:tr2bl w:val="nil"/>
            </w:tcBorders>
            <w:shd w:val="clear" w:color="auto" w:fill="auto"/>
            <w:tcMar>
              <w:top w:w="15" w:type="dxa"/>
              <w:left w:w="15" w:type="dxa"/>
              <w:bottom w:w="0" w:type="dxa"/>
              <w:right w:w="15" w:type="dxa"/>
            </w:tcMar>
            <w:vAlign w:val="center"/>
          </w:tcPr>
          <w:p w14:paraId="11029F69">
            <w:pPr>
              <w:bidi w:val="0"/>
              <w:jc w:val="center"/>
              <w:rPr>
                <w:rFonts w:hint="default" w:ascii="Times New Roman" w:hAnsi="Times New Roman" w:eastAsia="方正仿宋_GB2312" w:cs="Times New Roman"/>
                <w:snapToGrid w:val="0"/>
                <w:color w:val="000000" w:themeColor="text1"/>
                <w:kern w:val="0"/>
                <w:sz w:val="21"/>
                <w:szCs w:val="21"/>
                <w:vertAlign w:val="baseline"/>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Q345R/304</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F=95m</w:t>
            </w:r>
            <w:r>
              <w:rPr>
                <w:rFonts w:hint="default" w:ascii="Times New Roman" w:hAnsi="Times New Roman" w:eastAsia="方正仿宋_GB2312" w:cs="Times New Roman"/>
                <w:color w:val="000000" w:themeColor="text1"/>
                <w:sz w:val="21"/>
                <w:szCs w:val="21"/>
                <w:vertAlign w:val="superscript"/>
                <w:lang w:val="en-US" w:eastAsia="zh-CN"/>
                <w14:textFill>
                  <w14:solidFill>
                    <w14:schemeClr w14:val="tx1"/>
                  </w14:solidFill>
                </w14:textFill>
              </w:rPr>
              <w:t>2</w:t>
            </w:r>
            <w:r>
              <w:rPr>
                <w:rFonts w:hint="default" w:ascii="Times New Roman" w:hAnsi="Times New Roman" w:eastAsia="方正仿宋_GB2312" w:cs="Times New Roman"/>
                <w:color w:val="000000" w:themeColor="text1"/>
                <w:sz w:val="21"/>
                <w:szCs w:val="21"/>
                <w:vertAlign w:val="baseline"/>
                <w:lang w:val="en-US" w:eastAsia="zh-CN"/>
                <w14:textFill>
                  <w14:solidFill>
                    <w14:schemeClr w14:val="tx1"/>
                  </w14:solidFill>
                </w14:textFill>
              </w:rPr>
              <w:t>；</w:t>
            </w:r>
          </w:p>
        </w:tc>
        <w:tc>
          <w:tcPr>
            <w:tcW w:w="540" w:type="pct"/>
            <w:tcBorders>
              <w:tl2br w:val="nil"/>
              <w:tr2bl w:val="nil"/>
            </w:tcBorders>
            <w:shd w:val="clear" w:color="auto" w:fill="auto"/>
            <w:tcMar>
              <w:top w:w="15" w:type="dxa"/>
              <w:left w:w="15" w:type="dxa"/>
              <w:bottom w:w="0" w:type="dxa"/>
              <w:right w:w="15" w:type="dxa"/>
            </w:tcMar>
            <w:vAlign w:val="center"/>
          </w:tcPr>
          <w:p w14:paraId="7513FC2B">
            <w:pPr>
              <w:bidi w:val="0"/>
              <w:jc w:val="center"/>
              <w:rPr>
                <w:rFonts w:hint="default" w:ascii="Times New Roman" w:hAnsi="Times New Roman" w:eastAsia="方正仿宋_GB2312" w:cs="Times New Roman"/>
                <w:snapToGrid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方正仿宋_GB2312" w:cs="Times New Roman"/>
                <w:color w:val="auto"/>
                <w:kern w:val="0"/>
                <w:szCs w:val="21"/>
                <w:highlight w:val="none"/>
              </w:rPr>
              <w:t>S3</w:t>
            </w:r>
            <w:r>
              <w:rPr>
                <w:rFonts w:hint="default" w:ascii="Times New Roman" w:hAnsi="Times New Roman" w:eastAsia="方正仿宋_GB2312" w:cs="Times New Roman"/>
                <w:color w:val="auto"/>
                <w:kern w:val="0"/>
                <w:szCs w:val="21"/>
                <w:highlight w:val="none"/>
                <w:lang w:val="en-US" w:eastAsia="zh-CN"/>
              </w:rPr>
              <w:t>04</w:t>
            </w:r>
          </w:p>
        </w:tc>
        <w:tc>
          <w:tcPr>
            <w:tcW w:w="443" w:type="pct"/>
            <w:tcBorders>
              <w:tl2br w:val="nil"/>
              <w:tr2bl w:val="nil"/>
            </w:tcBorders>
            <w:shd w:val="clear" w:color="auto" w:fill="auto"/>
            <w:tcMar>
              <w:top w:w="15" w:type="dxa"/>
              <w:left w:w="15" w:type="dxa"/>
              <w:bottom w:w="0" w:type="dxa"/>
              <w:right w:w="15" w:type="dxa"/>
            </w:tcMar>
            <w:vAlign w:val="center"/>
          </w:tcPr>
          <w:p w14:paraId="5FDAE98A">
            <w:pPr>
              <w:bidi w:val="0"/>
              <w:jc w:val="center"/>
              <w:rPr>
                <w:rFonts w:hint="default" w:ascii="Times New Roman" w:hAnsi="Times New Roman" w:eastAsia="方正仿宋_GB2312" w:cs="Times New Roman"/>
                <w:snapToGrid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常温</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~100</w:t>
            </w:r>
          </w:p>
        </w:tc>
        <w:tc>
          <w:tcPr>
            <w:tcW w:w="451" w:type="pct"/>
            <w:tcBorders>
              <w:tl2br w:val="nil"/>
              <w:tr2bl w:val="nil"/>
            </w:tcBorders>
            <w:shd w:val="clear" w:color="auto" w:fill="auto"/>
            <w:tcMar>
              <w:top w:w="15" w:type="dxa"/>
              <w:left w:w="15" w:type="dxa"/>
              <w:bottom w:w="0" w:type="dxa"/>
              <w:right w:w="15" w:type="dxa"/>
            </w:tcMar>
            <w:vAlign w:val="center"/>
          </w:tcPr>
          <w:p w14:paraId="50FD155C">
            <w:pPr>
              <w:bidi w:val="0"/>
              <w:jc w:val="center"/>
              <w:rPr>
                <w:rFonts w:hint="default" w:ascii="Times New Roman" w:hAnsi="Times New Roman" w:eastAsia="方正仿宋_GB2312" w:cs="Times New Roman"/>
                <w:snapToGrid w:val="0"/>
                <w:color w:val="000000" w:themeColor="text1"/>
                <w:kern w:val="0"/>
                <w:sz w:val="21"/>
                <w:szCs w:val="21"/>
                <w:lang w:val="en-US" w:eastAsia="zh-CN" w:bidi="ar-SA"/>
                <w14:textFill>
                  <w14:solidFill>
                    <w14:schemeClr w14:val="tx1"/>
                  </w14:solidFill>
                </w14:textFill>
              </w:rPr>
            </w:pP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-0.09~</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0.4</w:t>
            </w:r>
          </w:p>
        </w:tc>
        <w:tc>
          <w:tcPr>
            <w:tcW w:w="342" w:type="pct"/>
            <w:tcBorders>
              <w:tl2br w:val="nil"/>
              <w:tr2bl w:val="nil"/>
            </w:tcBorders>
            <w:shd w:val="clear" w:color="auto" w:fill="auto"/>
            <w:tcMar>
              <w:top w:w="15" w:type="dxa"/>
              <w:left w:w="15" w:type="dxa"/>
              <w:bottom w:w="0" w:type="dxa"/>
              <w:right w:w="15" w:type="dxa"/>
            </w:tcMar>
            <w:vAlign w:val="center"/>
          </w:tcPr>
          <w:p w14:paraId="27966A35">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2</w:t>
            </w:r>
          </w:p>
        </w:tc>
        <w:tc>
          <w:tcPr>
            <w:tcW w:w="378" w:type="pct"/>
            <w:tcBorders>
              <w:tl2br w:val="nil"/>
              <w:tr2bl w:val="nil"/>
            </w:tcBorders>
            <w:shd w:val="clear" w:color="auto" w:fill="auto"/>
            <w:vAlign w:val="center"/>
          </w:tcPr>
          <w:p w14:paraId="6BAC5CFD">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新增</w:t>
            </w:r>
          </w:p>
        </w:tc>
      </w:tr>
      <w:tr w14:paraId="543A5A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462" w:type="pct"/>
            <w:vMerge w:val="continue"/>
            <w:tcBorders>
              <w:tl2br w:val="nil"/>
              <w:tr2bl w:val="nil"/>
            </w:tcBorders>
            <w:vAlign w:val="center"/>
          </w:tcPr>
          <w:p w14:paraId="14F88CCA">
            <w:pPr>
              <w:widowControl/>
              <w:jc w:val="center"/>
              <w:rPr>
                <w:rFonts w:eastAsia="仿宋_GB2312"/>
                <w:color w:val="auto"/>
                <w:kern w:val="0"/>
                <w:szCs w:val="20"/>
              </w:rPr>
            </w:pPr>
          </w:p>
        </w:tc>
        <w:tc>
          <w:tcPr>
            <w:tcW w:w="346" w:type="pct"/>
            <w:tcBorders>
              <w:tl2br w:val="nil"/>
              <w:tr2bl w:val="nil"/>
            </w:tcBorders>
            <w:tcMar>
              <w:top w:w="15" w:type="dxa"/>
              <w:left w:w="15" w:type="dxa"/>
              <w:bottom w:w="0" w:type="dxa"/>
              <w:right w:w="15" w:type="dxa"/>
            </w:tcMar>
            <w:vAlign w:val="center"/>
          </w:tcPr>
          <w:p w14:paraId="636EAF12">
            <w:pPr>
              <w:widowControl/>
              <w:jc w:val="center"/>
              <w:rPr>
                <w:rFonts w:hint="default" w:eastAsia="仿宋_GB2312"/>
                <w:color w:val="auto"/>
                <w:kern w:val="0"/>
                <w:szCs w:val="20"/>
                <w:lang w:val="en-US" w:eastAsia="zh-CN"/>
              </w:rPr>
            </w:pPr>
            <w:r>
              <w:rPr>
                <w:rFonts w:hint="eastAsia" w:eastAsia="仿宋_GB2312"/>
                <w:color w:val="auto"/>
                <w:kern w:val="0"/>
                <w:szCs w:val="20"/>
                <w:lang w:val="en-US" w:eastAsia="zh-CN"/>
              </w:rPr>
              <w:t>14</w:t>
            </w:r>
          </w:p>
        </w:tc>
        <w:tc>
          <w:tcPr>
            <w:tcW w:w="816" w:type="pct"/>
            <w:tcBorders>
              <w:tl2br w:val="nil"/>
              <w:tr2bl w:val="nil"/>
            </w:tcBorders>
            <w:shd w:val="clear" w:color="auto" w:fill="auto"/>
            <w:tcMar>
              <w:top w:w="15" w:type="dxa"/>
              <w:left w:w="15" w:type="dxa"/>
              <w:bottom w:w="0" w:type="dxa"/>
              <w:right w:w="15" w:type="dxa"/>
            </w:tcMar>
            <w:vAlign w:val="center"/>
          </w:tcPr>
          <w:p w14:paraId="1D78C5F7">
            <w:pPr>
              <w:bidi w:val="0"/>
              <w:jc w:val="center"/>
              <w:rPr>
                <w:rFonts w:hint="default" w:ascii="Times New Roman" w:hAnsi="Times New Roman" w:eastAsia="方正仿宋_GB2312" w:cs="Times New Roman"/>
                <w:snapToGrid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二级冷却器</w:t>
            </w:r>
          </w:p>
        </w:tc>
        <w:tc>
          <w:tcPr>
            <w:tcW w:w="1218" w:type="pct"/>
            <w:tcBorders>
              <w:tl2br w:val="nil"/>
              <w:tr2bl w:val="nil"/>
            </w:tcBorders>
            <w:shd w:val="clear" w:color="auto" w:fill="auto"/>
            <w:tcMar>
              <w:top w:w="15" w:type="dxa"/>
              <w:left w:w="15" w:type="dxa"/>
              <w:bottom w:w="0" w:type="dxa"/>
              <w:right w:w="15" w:type="dxa"/>
            </w:tcMar>
            <w:vAlign w:val="center"/>
          </w:tcPr>
          <w:p w14:paraId="50C40596">
            <w:pPr>
              <w:bidi w:val="0"/>
              <w:jc w:val="center"/>
              <w:rPr>
                <w:rFonts w:hint="default" w:ascii="Times New Roman" w:hAnsi="Times New Roman" w:eastAsia="方正仿宋_GB2312" w:cs="Times New Roman"/>
                <w:snapToGrid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Q345R/304</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F=95m</w:t>
            </w:r>
            <w:r>
              <w:rPr>
                <w:rFonts w:hint="default" w:ascii="Times New Roman" w:hAnsi="Times New Roman" w:eastAsia="方正仿宋_GB2312" w:cs="Times New Roman"/>
                <w:color w:val="000000" w:themeColor="text1"/>
                <w:sz w:val="21"/>
                <w:szCs w:val="21"/>
                <w:vertAlign w:val="superscript"/>
                <w:lang w:val="en-US" w:eastAsia="zh-CN"/>
                <w14:textFill>
                  <w14:solidFill>
                    <w14:schemeClr w14:val="tx1"/>
                  </w14:solidFill>
                </w14:textFill>
              </w:rPr>
              <w:t>2</w:t>
            </w:r>
          </w:p>
        </w:tc>
        <w:tc>
          <w:tcPr>
            <w:tcW w:w="540" w:type="pct"/>
            <w:tcBorders>
              <w:tl2br w:val="nil"/>
              <w:tr2bl w:val="nil"/>
            </w:tcBorders>
            <w:shd w:val="clear" w:color="auto" w:fill="auto"/>
            <w:tcMar>
              <w:top w:w="15" w:type="dxa"/>
              <w:left w:w="15" w:type="dxa"/>
              <w:bottom w:w="0" w:type="dxa"/>
              <w:right w:w="15" w:type="dxa"/>
            </w:tcMar>
            <w:vAlign w:val="center"/>
          </w:tcPr>
          <w:p w14:paraId="7A8BF9E1">
            <w:pPr>
              <w:bidi w:val="0"/>
              <w:jc w:val="center"/>
              <w:rPr>
                <w:rFonts w:hint="default" w:ascii="Times New Roman" w:hAnsi="Times New Roman" w:eastAsia="方正仿宋_GB2312" w:cs="Times New Roman"/>
                <w:snapToGrid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方正仿宋_GB2312" w:cs="Times New Roman"/>
                <w:color w:val="auto"/>
                <w:kern w:val="0"/>
                <w:szCs w:val="21"/>
                <w:highlight w:val="none"/>
              </w:rPr>
              <w:t>S3</w:t>
            </w:r>
            <w:r>
              <w:rPr>
                <w:rFonts w:hint="default" w:ascii="Times New Roman" w:hAnsi="Times New Roman" w:eastAsia="方正仿宋_GB2312" w:cs="Times New Roman"/>
                <w:color w:val="auto"/>
                <w:kern w:val="0"/>
                <w:szCs w:val="21"/>
                <w:highlight w:val="none"/>
                <w:lang w:val="en-US" w:eastAsia="zh-CN"/>
              </w:rPr>
              <w:t>04</w:t>
            </w:r>
          </w:p>
        </w:tc>
        <w:tc>
          <w:tcPr>
            <w:tcW w:w="443" w:type="pct"/>
            <w:tcBorders>
              <w:tl2br w:val="nil"/>
              <w:tr2bl w:val="nil"/>
            </w:tcBorders>
            <w:shd w:val="clear" w:color="auto" w:fill="auto"/>
            <w:tcMar>
              <w:top w:w="15" w:type="dxa"/>
              <w:left w:w="15" w:type="dxa"/>
              <w:bottom w:w="0" w:type="dxa"/>
              <w:right w:w="15" w:type="dxa"/>
            </w:tcMar>
            <w:vAlign w:val="center"/>
          </w:tcPr>
          <w:p w14:paraId="689A7A70">
            <w:pPr>
              <w:bidi w:val="0"/>
              <w:jc w:val="center"/>
              <w:rPr>
                <w:rFonts w:hint="default" w:ascii="Times New Roman" w:hAnsi="Times New Roman" w:eastAsia="方正仿宋_GB2312" w:cs="Times New Roman"/>
                <w:snapToGrid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-10</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~20</w:t>
            </w:r>
          </w:p>
        </w:tc>
        <w:tc>
          <w:tcPr>
            <w:tcW w:w="451" w:type="pct"/>
            <w:tcBorders>
              <w:tl2br w:val="nil"/>
              <w:tr2bl w:val="nil"/>
            </w:tcBorders>
            <w:shd w:val="clear" w:color="auto" w:fill="auto"/>
            <w:tcMar>
              <w:top w:w="15" w:type="dxa"/>
              <w:left w:w="15" w:type="dxa"/>
              <w:bottom w:w="0" w:type="dxa"/>
              <w:right w:w="15" w:type="dxa"/>
            </w:tcMar>
            <w:vAlign w:val="center"/>
          </w:tcPr>
          <w:p w14:paraId="29A44A31">
            <w:pPr>
              <w:bidi w:val="0"/>
              <w:jc w:val="center"/>
              <w:rPr>
                <w:rFonts w:hint="default" w:ascii="Times New Roman" w:hAnsi="Times New Roman" w:eastAsia="方正仿宋_GB2312" w:cs="Times New Roman"/>
                <w:snapToGrid w:val="0"/>
                <w:color w:val="000000" w:themeColor="text1"/>
                <w:kern w:val="0"/>
                <w:sz w:val="21"/>
                <w:szCs w:val="21"/>
                <w:lang w:val="en-US" w:eastAsia="zh-CN" w:bidi="ar-SA"/>
                <w14:textFill>
                  <w14:solidFill>
                    <w14:schemeClr w14:val="tx1"/>
                  </w14:solidFill>
                </w14:textFill>
              </w:rPr>
            </w:pP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-0.09~</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0.4</w:t>
            </w:r>
          </w:p>
        </w:tc>
        <w:tc>
          <w:tcPr>
            <w:tcW w:w="342" w:type="pct"/>
            <w:tcBorders>
              <w:tl2br w:val="nil"/>
              <w:tr2bl w:val="nil"/>
            </w:tcBorders>
            <w:shd w:val="clear" w:color="auto" w:fill="auto"/>
            <w:tcMar>
              <w:top w:w="15" w:type="dxa"/>
              <w:left w:w="15" w:type="dxa"/>
              <w:bottom w:w="0" w:type="dxa"/>
              <w:right w:w="15" w:type="dxa"/>
            </w:tcMar>
            <w:vAlign w:val="center"/>
          </w:tcPr>
          <w:p w14:paraId="4B5DACCE">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2</w:t>
            </w:r>
          </w:p>
        </w:tc>
        <w:tc>
          <w:tcPr>
            <w:tcW w:w="378" w:type="pct"/>
            <w:tcBorders>
              <w:tl2br w:val="nil"/>
              <w:tr2bl w:val="nil"/>
            </w:tcBorders>
            <w:shd w:val="clear" w:color="auto" w:fill="auto"/>
            <w:vAlign w:val="center"/>
          </w:tcPr>
          <w:p w14:paraId="0BDDADAE">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新增</w:t>
            </w:r>
          </w:p>
        </w:tc>
      </w:tr>
      <w:tr w14:paraId="162188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462" w:type="pct"/>
            <w:vMerge w:val="continue"/>
            <w:tcBorders>
              <w:tl2br w:val="nil"/>
              <w:tr2bl w:val="nil"/>
            </w:tcBorders>
            <w:vAlign w:val="center"/>
          </w:tcPr>
          <w:p w14:paraId="30589722">
            <w:pPr>
              <w:widowControl/>
              <w:jc w:val="center"/>
              <w:rPr>
                <w:rFonts w:eastAsia="仿宋_GB2312"/>
                <w:color w:val="auto"/>
                <w:kern w:val="0"/>
                <w:szCs w:val="20"/>
              </w:rPr>
            </w:pPr>
          </w:p>
        </w:tc>
        <w:tc>
          <w:tcPr>
            <w:tcW w:w="346" w:type="pct"/>
            <w:tcBorders>
              <w:tl2br w:val="nil"/>
              <w:tr2bl w:val="nil"/>
            </w:tcBorders>
            <w:tcMar>
              <w:top w:w="15" w:type="dxa"/>
              <w:left w:w="15" w:type="dxa"/>
              <w:bottom w:w="0" w:type="dxa"/>
              <w:right w:w="15" w:type="dxa"/>
            </w:tcMar>
            <w:vAlign w:val="center"/>
          </w:tcPr>
          <w:p w14:paraId="0A00ED33">
            <w:pPr>
              <w:widowControl/>
              <w:jc w:val="center"/>
              <w:rPr>
                <w:rFonts w:hint="default" w:eastAsia="仿宋_GB2312"/>
                <w:color w:val="auto"/>
                <w:kern w:val="0"/>
                <w:szCs w:val="20"/>
                <w:lang w:val="en-US" w:eastAsia="zh-CN"/>
              </w:rPr>
            </w:pPr>
            <w:r>
              <w:rPr>
                <w:rFonts w:hint="eastAsia" w:eastAsia="仿宋_GB2312"/>
                <w:color w:val="auto"/>
                <w:kern w:val="0"/>
                <w:szCs w:val="20"/>
                <w:lang w:val="en-US" w:eastAsia="zh-CN"/>
              </w:rPr>
              <w:t>15</w:t>
            </w:r>
          </w:p>
        </w:tc>
        <w:tc>
          <w:tcPr>
            <w:tcW w:w="816" w:type="pct"/>
            <w:tcBorders>
              <w:tl2br w:val="nil"/>
              <w:tr2bl w:val="nil"/>
            </w:tcBorders>
            <w:shd w:val="clear" w:color="auto" w:fill="auto"/>
            <w:tcMar>
              <w:top w:w="15" w:type="dxa"/>
              <w:left w:w="15" w:type="dxa"/>
              <w:bottom w:w="0" w:type="dxa"/>
              <w:right w:w="15" w:type="dxa"/>
            </w:tcMar>
            <w:vAlign w:val="center"/>
          </w:tcPr>
          <w:p w14:paraId="67CA7717">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分液罐</w:t>
            </w:r>
          </w:p>
        </w:tc>
        <w:tc>
          <w:tcPr>
            <w:tcW w:w="1218" w:type="pct"/>
            <w:tcBorders>
              <w:tl2br w:val="nil"/>
              <w:tr2bl w:val="nil"/>
            </w:tcBorders>
            <w:shd w:val="clear" w:color="auto" w:fill="auto"/>
            <w:tcMar>
              <w:top w:w="15" w:type="dxa"/>
              <w:left w:w="15" w:type="dxa"/>
              <w:bottom w:w="0" w:type="dxa"/>
              <w:right w:w="15" w:type="dxa"/>
            </w:tcMar>
            <w:vAlign w:val="center"/>
          </w:tcPr>
          <w:p w14:paraId="703412DE">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V=1.5m³</w:t>
            </w:r>
          </w:p>
        </w:tc>
        <w:tc>
          <w:tcPr>
            <w:tcW w:w="540" w:type="pct"/>
            <w:tcBorders>
              <w:tl2br w:val="nil"/>
              <w:tr2bl w:val="nil"/>
            </w:tcBorders>
            <w:shd w:val="clear" w:color="auto" w:fill="auto"/>
            <w:tcMar>
              <w:top w:w="15" w:type="dxa"/>
              <w:left w:w="15" w:type="dxa"/>
              <w:bottom w:w="0" w:type="dxa"/>
              <w:right w:w="15" w:type="dxa"/>
            </w:tcMar>
            <w:vAlign w:val="center"/>
          </w:tcPr>
          <w:p w14:paraId="2AC647BC">
            <w:pPr>
              <w:bidi w:val="0"/>
              <w:jc w:val="center"/>
              <w:rPr>
                <w:rFonts w:hint="default" w:ascii="Times New Roman" w:hAnsi="Times New Roman" w:eastAsia="方正仿宋_GB2312" w:cs="Times New Roman"/>
                <w:snapToGrid w:val="0"/>
                <w:color w:val="auto"/>
                <w:kern w:val="0"/>
                <w:sz w:val="21"/>
                <w:szCs w:val="21"/>
                <w:lang w:val="en-US" w:eastAsia="zh-CN" w:bidi="ar-SA"/>
              </w:rPr>
            </w:pPr>
            <w:r>
              <w:rPr>
                <w:rFonts w:hint="default" w:ascii="Times New Roman" w:hAnsi="Times New Roman" w:eastAsia="方正仿宋_GB2312" w:cs="Times New Roman"/>
                <w:color w:val="auto"/>
                <w:kern w:val="0"/>
                <w:szCs w:val="21"/>
                <w:highlight w:val="none"/>
              </w:rPr>
              <w:t>S3</w:t>
            </w:r>
            <w:r>
              <w:rPr>
                <w:rFonts w:hint="default" w:ascii="Times New Roman" w:hAnsi="Times New Roman" w:eastAsia="方正仿宋_GB2312" w:cs="Times New Roman"/>
                <w:color w:val="auto"/>
                <w:kern w:val="0"/>
                <w:szCs w:val="21"/>
                <w:highlight w:val="none"/>
                <w:lang w:val="en-US" w:eastAsia="zh-CN"/>
              </w:rPr>
              <w:t>04</w:t>
            </w:r>
          </w:p>
        </w:tc>
        <w:tc>
          <w:tcPr>
            <w:tcW w:w="443" w:type="pct"/>
            <w:tcBorders>
              <w:tl2br w:val="nil"/>
              <w:tr2bl w:val="nil"/>
            </w:tcBorders>
            <w:shd w:val="clear" w:color="auto" w:fill="auto"/>
            <w:tcMar>
              <w:top w:w="15" w:type="dxa"/>
              <w:left w:w="15" w:type="dxa"/>
              <w:bottom w:w="0" w:type="dxa"/>
              <w:right w:w="15" w:type="dxa"/>
            </w:tcMar>
            <w:vAlign w:val="center"/>
          </w:tcPr>
          <w:p w14:paraId="7A287E29">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常温</w:t>
            </w:r>
          </w:p>
        </w:tc>
        <w:tc>
          <w:tcPr>
            <w:tcW w:w="451" w:type="pct"/>
            <w:tcBorders>
              <w:tl2br w:val="nil"/>
              <w:tr2bl w:val="nil"/>
            </w:tcBorders>
            <w:shd w:val="clear" w:color="auto" w:fill="auto"/>
            <w:tcMar>
              <w:top w:w="15" w:type="dxa"/>
              <w:left w:w="15" w:type="dxa"/>
              <w:bottom w:w="0" w:type="dxa"/>
              <w:right w:w="15" w:type="dxa"/>
            </w:tcMar>
            <w:vAlign w:val="center"/>
          </w:tcPr>
          <w:p w14:paraId="60254177">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-0.09</w:t>
            </w:r>
          </w:p>
        </w:tc>
        <w:tc>
          <w:tcPr>
            <w:tcW w:w="342" w:type="pct"/>
            <w:tcBorders>
              <w:tl2br w:val="nil"/>
              <w:tr2bl w:val="nil"/>
            </w:tcBorders>
            <w:shd w:val="clear" w:color="auto" w:fill="auto"/>
            <w:tcMar>
              <w:top w:w="15" w:type="dxa"/>
              <w:left w:w="15" w:type="dxa"/>
              <w:bottom w:w="0" w:type="dxa"/>
              <w:right w:w="15" w:type="dxa"/>
            </w:tcMar>
            <w:vAlign w:val="center"/>
          </w:tcPr>
          <w:p w14:paraId="5131E9A0">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2</w:t>
            </w:r>
          </w:p>
        </w:tc>
        <w:tc>
          <w:tcPr>
            <w:tcW w:w="378" w:type="pct"/>
            <w:tcBorders>
              <w:tl2br w:val="nil"/>
              <w:tr2bl w:val="nil"/>
            </w:tcBorders>
            <w:shd w:val="clear" w:color="auto" w:fill="auto"/>
            <w:vAlign w:val="center"/>
          </w:tcPr>
          <w:p w14:paraId="04E9FA7B">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新增</w:t>
            </w:r>
          </w:p>
        </w:tc>
      </w:tr>
      <w:tr w14:paraId="1FE880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462" w:type="pct"/>
            <w:vMerge w:val="continue"/>
            <w:tcBorders>
              <w:tl2br w:val="nil"/>
              <w:tr2bl w:val="nil"/>
            </w:tcBorders>
            <w:vAlign w:val="center"/>
          </w:tcPr>
          <w:p w14:paraId="201EEE42">
            <w:pPr>
              <w:widowControl/>
              <w:jc w:val="center"/>
              <w:rPr>
                <w:rFonts w:eastAsia="仿宋_GB2312"/>
                <w:color w:val="auto"/>
                <w:kern w:val="0"/>
                <w:szCs w:val="20"/>
              </w:rPr>
            </w:pPr>
          </w:p>
        </w:tc>
        <w:tc>
          <w:tcPr>
            <w:tcW w:w="346" w:type="pct"/>
            <w:tcBorders>
              <w:tl2br w:val="nil"/>
              <w:tr2bl w:val="nil"/>
            </w:tcBorders>
            <w:tcMar>
              <w:top w:w="15" w:type="dxa"/>
              <w:left w:w="15" w:type="dxa"/>
              <w:bottom w:w="0" w:type="dxa"/>
              <w:right w:w="15" w:type="dxa"/>
            </w:tcMar>
            <w:vAlign w:val="center"/>
          </w:tcPr>
          <w:p w14:paraId="39990E08">
            <w:pPr>
              <w:widowControl/>
              <w:jc w:val="center"/>
              <w:rPr>
                <w:rFonts w:hint="default" w:eastAsia="仿宋_GB2312"/>
                <w:color w:val="auto"/>
                <w:kern w:val="0"/>
                <w:szCs w:val="20"/>
                <w:lang w:val="en-US" w:eastAsia="zh-CN"/>
              </w:rPr>
            </w:pPr>
            <w:r>
              <w:rPr>
                <w:rFonts w:hint="eastAsia" w:eastAsia="仿宋_GB2312"/>
                <w:color w:val="auto"/>
                <w:kern w:val="0"/>
                <w:szCs w:val="20"/>
                <w:lang w:val="en-US" w:eastAsia="zh-CN"/>
              </w:rPr>
              <w:t>16</w:t>
            </w:r>
          </w:p>
        </w:tc>
        <w:tc>
          <w:tcPr>
            <w:tcW w:w="816" w:type="pct"/>
            <w:tcBorders>
              <w:tl2br w:val="nil"/>
              <w:tr2bl w:val="nil"/>
            </w:tcBorders>
            <w:shd w:val="clear" w:color="auto" w:fill="auto"/>
            <w:tcMar>
              <w:top w:w="15" w:type="dxa"/>
              <w:left w:w="15" w:type="dxa"/>
              <w:bottom w:w="0" w:type="dxa"/>
              <w:right w:w="15" w:type="dxa"/>
            </w:tcMar>
            <w:vAlign w:val="center"/>
          </w:tcPr>
          <w:p w14:paraId="7DC3F32C">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回流中间罐</w:t>
            </w:r>
          </w:p>
        </w:tc>
        <w:tc>
          <w:tcPr>
            <w:tcW w:w="1218" w:type="pct"/>
            <w:tcBorders>
              <w:tl2br w:val="nil"/>
              <w:tr2bl w:val="nil"/>
            </w:tcBorders>
            <w:shd w:val="clear" w:color="auto" w:fill="auto"/>
            <w:tcMar>
              <w:top w:w="15" w:type="dxa"/>
              <w:left w:w="15" w:type="dxa"/>
              <w:bottom w:w="0" w:type="dxa"/>
              <w:right w:w="15" w:type="dxa"/>
            </w:tcMar>
            <w:vAlign w:val="center"/>
          </w:tcPr>
          <w:p w14:paraId="7AFEA409">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V=1m³</w:t>
            </w:r>
          </w:p>
        </w:tc>
        <w:tc>
          <w:tcPr>
            <w:tcW w:w="540" w:type="pct"/>
            <w:tcBorders>
              <w:tl2br w:val="nil"/>
              <w:tr2bl w:val="nil"/>
            </w:tcBorders>
            <w:shd w:val="clear" w:color="auto" w:fill="auto"/>
            <w:tcMar>
              <w:top w:w="15" w:type="dxa"/>
              <w:left w:w="15" w:type="dxa"/>
              <w:bottom w:w="0" w:type="dxa"/>
              <w:right w:w="15" w:type="dxa"/>
            </w:tcMar>
            <w:vAlign w:val="center"/>
          </w:tcPr>
          <w:p w14:paraId="0243716C">
            <w:pPr>
              <w:bidi w:val="0"/>
              <w:jc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Cs w:val="21"/>
                <w:highlight w:val="none"/>
              </w:rPr>
              <w:t>S3</w:t>
            </w:r>
            <w:r>
              <w:rPr>
                <w:rFonts w:hint="default" w:ascii="Times New Roman" w:hAnsi="Times New Roman" w:eastAsia="方正仿宋_GB2312" w:cs="Times New Roman"/>
                <w:color w:val="auto"/>
                <w:kern w:val="0"/>
                <w:szCs w:val="21"/>
                <w:highlight w:val="none"/>
                <w:lang w:val="en-US" w:eastAsia="zh-CN"/>
              </w:rPr>
              <w:t>04</w:t>
            </w:r>
          </w:p>
        </w:tc>
        <w:tc>
          <w:tcPr>
            <w:tcW w:w="443" w:type="pct"/>
            <w:tcBorders>
              <w:tl2br w:val="nil"/>
              <w:tr2bl w:val="nil"/>
            </w:tcBorders>
            <w:shd w:val="clear" w:color="auto" w:fill="auto"/>
            <w:tcMar>
              <w:top w:w="15" w:type="dxa"/>
              <w:left w:w="15" w:type="dxa"/>
              <w:bottom w:w="0" w:type="dxa"/>
              <w:right w:w="15" w:type="dxa"/>
            </w:tcMar>
            <w:vAlign w:val="center"/>
          </w:tcPr>
          <w:p w14:paraId="4C190AFC">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常温</w:t>
            </w:r>
          </w:p>
        </w:tc>
        <w:tc>
          <w:tcPr>
            <w:tcW w:w="451" w:type="pct"/>
            <w:tcBorders>
              <w:tl2br w:val="nil"/>
              <w:tr2bl w:val="nil"/>
            </w:tcBorders>
            <w:shd w:val="clear" w:color="auto" w:fill="auto"/>
            <w:tcMar>
              <w:top w:w="15" w:type="dxa"/>
              <w:left w:w="15" w:type="dxa"/>
              <w:bottom w:w="0" w:type="dxa"/>
              <w:right w:w="15" w:type="dxa"/>
            </w:tcMar>
            <w:vAlign w:val="center"/>
          </w:tcPr>
          <w:p w14:paraId="19C3507B">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-0.09</w:t>
            </w:r>
          </w:p>
        </w:tc>
        <w:tc>
          <w:tcPr>
            <w:tcW w:w="342" w:type="pct"/>
            <w:tcBorders>
              <w:tl2br w:val="nil"/>
              <w:tr2bl w:val="nil"/>
            </w:tcBorders>
            <w:shd w:val="clear" w:color="auto" w:fill="auto"/>
            <w:tcMar>
              <w:top w:w="15" w:type="dxa"/>
              <w:left w:w="15" w:type="dxa"/>
              <w:bottom w:w="0" w:type="dxa"/>
              <w:right w:w="15" w:type="dxa"/>
            </w:tcMar>
            <w:vAlign w:val="center"/>
          </w:tcPr>
          <w:p w14:paraId="2F3ECF4D">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2</w:t>
            </w:r>
          </w:p>
        </w:tc>
        <w:tc>
          <w:tcPr>
            <w:tcW w:w="378" w:type="pct"/>
            <w:tcBorders>
              <w:tl2br w:val="nil"/>
              <w:tr2bl w:val="nil"/>
            </w:tcBorders>
            <w:shd w:val="clear" w:color="auto" w:fill="auto"/>
            <w:vAlign w:val="center"/>
          </w:tcPr>
          <w:p w14:paraId="5AE2F2F8">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新增</w:t>
            </w:r>
          </w:p>
        </w:tc>
      </w:tr>
      <w:tr w14:paraId="6073FB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462" w:type="pct"/>
            <w:vMerge w:val="continue"/>
            <w:tcBorders>
              <w:tl2br w:val="nil"/>
              <w:tr2bl w:val="nil"/>
            </w:tcBorders>
            <w:vAlign w:val="center"/>
          </w:tcPr>
          <w:p w14:paraId="1A06E325">
            <w:pPr>
              <w:widowControl/>
              <w:jc w:val="center"/>
              <w:rPr>
                <w:rFonts w:eastAsia="仿宋_GB2312"/>
                <w:color w:val="auto"/>
                <w:kern w:val="0"/>
                <w:szCs w:val="20"/>
              </w:rPr>
            </w:pPr>
          </w:p>
        </w:tc>
        <w:tc>
          <w:tcPr>
            <w:tcW w:w="346" w:type="pct"/>
            <w:tcBorders>
              <w:tl2br w:val="nil"/>
              <w:tr2bl w:val="nil"/>
            </w:tcBorders>
            <w:tcMar>
              <w:top w:w="15" w:type="dxa"/>
              <w:left w:w="15" w:type="dxa"/>
              <w:bottom w:w="0" w:type="dxa"/>
              <w:right w:w="15" w:type="dxa"/>
            </w:tcMar>
            <w:vAlign w:val="center"/>
          </w:tcPr>
          <w:p w14:paraId="49F6920F">
            <w:pPr>
              <w:widowControl/>
              <w:jc w:val="center"/>
              <w:rPr>
                <w:rFonts w:hint="default" w:eastAsia="仿宋_GB2312"/>
                <w:color w:val="auto"/>
                <w:kern w:val="0"/>
                <w:szCs w:val="20"/>
                <w:lang w:val="en-US" w:eastAsia="zh-CN"/>
              </w:rPr>
            </w:pPr>
            <w:r>
              <w:rPr>
                <w:rFonts w:hint="eastAsia" w:eastAsia="仿宋_GB2312"/>
                <w:color w:val="auto"/>
                <w:kern w:val="0"/>
                <w:szCs w:val="20"/>
                <w:lang w:val="en-US" w:eastAsia="zh-CN"/>
              </w:rPr>
              <w:t>17</w:t>
            </w:r>
          </w:p>
        </w:tc>
        <w:tc>
          <w:tcPr>
            <w:tcW w:w="816" w:type="pct"/>
            <w:tcBorders>
              <w:tl2br w:val="nil"/>
              <w:tr2bl w:val="nil"/>
            </w:tcBorders>
            <w:shd w:val="clear" w:color="auto" w:fill="auto"/>
            <w:tcMar>
              <w:top w:w="15" w:type="dxa"/>
              <w:left w:w="15" w:type="dxa"/>
              <w:bottom w:w="0" w:type="dxa"/>
              <w:right w:w="15" w:type="dxa"/>
            </w:tcMar>
            <w:vAlign w:val="center"/>
          </w:tcPr>
          <w:p w14:paraId="1B888A6E">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真空缓冲罐</w:t>
            </w:r>
          </w:p>
        </w:tc>
        <w:tc>
          <w:tcPr>
            <w:tcW w:w="1218" w:type="pct"/>
            <w:tcBorders>
              <w:tl2br w:val="nil"/>
              <w:tr2bl w:val="nil"/>
            </w:tcBorders>
            <w:shd w:val="clear" w:color="auto" w:fill="auto"/>
            <w:tcMar>
              <w:top w:w="15" w:type="dxa"/>
              <w:left w:w="15" w:type="dxa"/>
              <w:bottom w:w="0" w:type="dxa"/>
              <w:right w:w="15" w:type="dxa"/>
            </w:tcMar>
            <w:vAlign w:val="center"/>
          </w:tcPr>
          <w:p w14:paraId="6F063C9F">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V=1m³</w:t>
            </w:r>
          </w:p>
        </w:tc>
        <w:tc>
          <w:tcPr>
            <w:tcW w:w="540" w:type="pct"/>
            <w:tcBorders>
              <w:tl2br w:val="nil"/>
              <w:tr2bl w:val="nil"/>
            </w:tcBorders>
            <w:shd w:val="clear" w:color="auto" w:fill="auto"/>
            <w:tcMar>
              <w:top w:w="15" w:type="dxa"/>
              <w:left w:w="15" w:type="dxa"/>
              <w:bottom w:w="0" w:type="dxa"/>
              <w:right w:w="15" w:type="dxa"/>
            </w:tcMar>
            <w:vAlign w:val="center"/>
          </w:tcPr>
          <w:p w14:paraId="19366F8B">
            <w:pPr>
              <w:bidi w:val="0"/>
              <w:jc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Cs w:val="21"/>
                <w:highlight w:val="none"/>
              </w:rPr>
              <w:t>S3</w:t>
            </w:r>
            <w:r>
              <w:rPr>
                <w:rFonts w:hint="default" w:ascii="Times New Roman" w:hAnsi="Times New Roman" w:eastAsia="方正仿宋_GB2312" w:cs="Times New Roman"/>
                <w:color w:val="auto"/>
                <w:kern w:val="0"/>
                <w:szCs w:val="21"/>
                <w:highlight w:val="none"/>
                <w:lang w:val="en-US" w:eastAsia="zh-CN"/>
              </w:rPr>
              <w:t>04</w:t>
            </w:r>
          </w:p>
        </w:tc>
        <w:tc>
          <w:tcPr>
            <w:tcW w:w="443" w:type="pct"/>
            <w:tcBorders>
              <w:tl2br w:val="nil"/>
              <w:tr2bl w:val="nil"/>
            </w:tcBorders>
            <w:shd w:val="clear" w:color="auto" w:fill="auto"/>
            <w:tcMar>
              <w:top w:w="15" w:type="dxa"/>
              <w:left w:w="15" w:type="dxa"/>
              <w:bottom w:w="0" w:type="dxa"/>
              <w:right w:w="15" w:type="dxa"/>
            </w:tcMar>
            <w:vAlign w:val="center"/>
          </w:tcPr>
          <w:p w14:paraId="04DD234E">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常温</w:t>
            </w:r>
          </w:p>
        </w:tc>
        <w:tc>
          <w:tcPr>
            <w:tcW w:w="451" w:type="pct"/>
            <w:tcBorders>
              <w:tl2br w:val="nil"/>
              <w:tr2bl w:val="nil"/>
            </w:tcBorders>
            <w:shd w:val="clear" w:color="auto" w:fill="auto"/>
            <w:tcMar>
              <w:top w:w="15" w:type="dxa"/>
              <w:left w:w="15" w:type="dxa"/>
              <w:bottom w:w="0" w:type="dxa"/>
              <w:right w:w="15" w:type="dxa"/>
            </w:tcMar>
            <w:vAlign w:val="center"/>
          </w:tcPr>
          <w:p w14:paraId="317457F8">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-0.09</w:t>
            </w:r>
          </w:p>
        </w:tc>
        <w:tc>
          <w:tcPr>
            <w:tcW w:w="342" w:type="pct"/>
            <w:tcBorders>
              <w:tl2br w:val="nil"/>
              <w:tr2bl w:val="nil"/>
            </w:tcBorders>
            <w:shd w:val="clear" w:color="auto" w:fill="auto"/>
            <w:tcMar>
              <w:top w:w="15" w:type="dxa"/>
              <w:left w:w="15" w:type="dxa"/>
              <w:bottom w:w="0" w:type="dxa"/>
              <w:right w:w="15" w:type="dxa"/>
            </w:tcMar>
            <w:vAlign w:val="center"/>
          </w:tcPr>
          <w:p w14:paraId="375209F8">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2</w:t>
            </w:r>
          </w:p>
        </w:tc>
        <w:tc>
          <w:tcPr>
            <w:tcW w:w="378" w:type="pct"/>
            <w:tcBorders>
              <w:tl2br w:val="nil"/>
              <w:tr2bl w:val="nil"/>
            </w:tcBorders>
            <w:shd w:val="clear" w:color="auto" w:fill="auto"/>
            <w:vAlign w:val="center"/>
          </w:tcPr>
          <w:p w14:paraId="4B75B8B8">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新增</w:t>
            </w:r>
          </w:p>
        </w:tc>
      </w:tr>
      <w:tr w14:paraId="5C5874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462" w:type="pct"/>
            <w:vMerge w:val="continue"/>
            <w:tcBorders>
              <w:tl2br w:val="nil"/>
              <w:tr2bl w:val="nil"/>
            </w:tcBorders>
            <w:vAlign w:val="center"/>
          </w:tcPr>
          <w:p w14:paraId="5394E5FF">
            <w:pPr>
              <w:widowControl/>
              <w:jc w:val="center"/>
              <w:rPr>
                <w:rFonts w:eastAsia="仿宋_GB2312"/>
                <w:color w:val="auto"/>
                <w:kern w:val="0"/>
                <w:szCs w:val="20"/>
              </w:rPr>
            </w:pPr>
          </w:p>
        </w:tc>
        <w:tc>
          <w:tcPr>
            <w:tcW w:w="346" w:type="pct"/>
            <w:tcBorders>
              <w:tl2br w:val="nil"/>
              <w:tr2bl w:val="nil"/>
            </w:tcBorders>
            <w:tcMar>
              <w:top w:w="15" w:type="dxa"/>
              <w:left w:w="15" w:type="dxa"/>
              <w:bottom w:w="0" w:type="dxa"/>
              <w:right w:w="15" w:type="dxa"/>
            </w:tcMar>
            <w:vAlign w:val="center"/>
          </w:tcPr>
          <w:p w14:paraId="5F66EBD8">
            <w:pPr>
              <w:widowControl/>
              <w:jc w:val="center"/>
              <w:rPr>
                <w:rFonts w:hint="default" w:eastAsia="仿宋_GB2312"/>
                <w:color w:val="auto"/>
                <w:kern w:val="0"/>
                <w:szCs w:val="20"/>
                <w:lang w:val="en-US" w:eastAsia="zh-CN"/>
              </w:rPr>
            </w:pPr>
            <w:r>
              <w:rPr>
                <w:rFonts w:hint="eastAsia" w:eastAsia="仿宋_GB2312"/>
                <w:color w:val="auto"/>
                <w:kern w:val="0"/>
                <w:szCs w:val="20"/>
                <w:lang w:val="en-US" w:eastAsia="zh-CN"/>
              </w:rPr>
              <w:t>18</w:t>
            </w:r>
          </w:p>
        </w:tc>
        <w:tc>
          <w:tcPr>
            <w:tcW w:w="816" w:type="pct"/>
            <w:tcBorders>
              <w:tl2br w:val="nil"/>
              <w:tr2bl w:val="nil"/>
            </w:tcBorders>
            <w:shd w:val="clear" w:color="auto" w:fill="auto"/>
            <w:tcMar>
              <w:top w:w="15" w:type="dxa"/>
              <w:left w:w="15" w:type="dxa"/>
              <w:bottom w:w="0" w:type="dxa"/>
              <w:right w:w="15" w:type="dxa"/>
            </w:tcMar>
            <w:vAlign w:val="center"/>
          </w:tcPr>
          <w:p w14:paraId="0BE8D4FD">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磁力泵</w:t>
            </w:r>
          </w:p>
        </w:tc>
        <w:tc>
          <w:tcPr>
            <w:tcW w:w="1218" w:type="pct"/>
            <w:tcBorders>
              <w:tl2br w:val="nil"/>
              <w:tr2bl w:val="nil"/>
            </w:tcBorders>
            <w:shd w:val="clear" w:color="auto" w:fill="auto"/>
            <w:tcMar>
              <w:top w:w="15" w:type="dxa"/>
              <w:left w:w="15" w:type="dxa"/>
              <w:bottom w:w="0" w:type="dxa"/>
              <w:right w:w="15" w:type="dxa"/>
            </w:tcMar>
            <w:vAlign w:val="center"/>
          </w:tcPr>
          <w:p w14:paraId="62380D5C">
            <w:pPr>
              <w:bidi w:val="0"/>
              <w:jc w:val="center"/>
              <w:rPr>
                <w:rFonts w:hint="default" w:ascii="Times New Roman" w:hAnsi="Times New Roman" w:eastAsia="方正仿宋_GB2312" w:cs="Times New Roman"/>
                <w:kern w:val="2"/>
                <w:sz w:val="21"/>
                <w:szCs w:val="24"/>
                <w:lang w:val="en-US" w:eastAsia="zh-CN" w:bidi="ar-SA"/>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H=20m</w:t>
            </w:r>
            <w:r>
              <w:rPr>
                <w:rFonts w:hint="eastAsia" w:eastAsia="方正仿宋_GB2312" w:cs="Times New Roman"/>
                <w:color w:val="000000" w:themeColor="text1"/>
                <w:sz w:val="21"/>
                <w:szCs w:val="21"/>
                <w:lang w:val="en-US" w:eastAsia="zh-CN"/>
                <w14:textFill>
                  <w14:solidFill>
                    <w14:schemeClr w14:val="tx1"/>
                  </w14:solidFill>
                </w14:textFill>
              </w:rPr>
              <w:t>；</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Q=5m</w:t>
            </w:r>
            <w:r>
              <w:rPr>
                <w:rFonts w:hint="default" w:ascii="Times New Roman" w:hAnsi="Times New Roman" w:eastAsia="方正仿宋_GB2312" w:cs="Times New Roman"/>
                <w:color w:val="000000" w:themeColor="text1"/>
                <w:sz w:val="21"/>
                <w:szCs w:val="21"/>
                <w:vertAlign w:val="superscript"/>
                <w:lang w:val="en-US" w:eastAsia="zh-CN"/>
                <w14:textFill>
                  <w14:solidFill>
                    <w14:schemeClr w14:val="tx1"/>
                  </w14:solidFill>
                </w14:textFill>
              </w:rPr>
              <w:t>3</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/h；</w:t>
            </w:r>
            <w:r>
              <w:rPr>
                <w:rFonts w:hint="default" w:ascii="Times New Roman" w:hAnsi="Times New Roman" w:eastAsia="方正仿宋_GB2312" w:cs="Times New Roman"/>
                <w:color w:val="auto"/>
                <w:sz w:val="21"/>
                <w:szCs w:val="21"/>
                <w:lang w:val="en-US" w:eastAsia="zh-CN"/>
              </w:rPr>
              <w:t>W=5.5kw</w:t>
            </w:r>
          </w:p>
        </w:tc>
        <w:tc>
          <w:tcPr>
            <w:tcW w:w="540" w:type="pct"/>
            <w:tcBorders>
              <w:tl2br w:val="nil"/>
              <w:tr2bl w:val="nil"/>
            </w:tcBorders>
            <w:shd w:val="clear" w:color="auto" w:fill="auto"/>
            <w:tcMar>
              <w:top w:w="15" w:type="dxa"/>
              <w:left w:w="15" w:type="dxa"/>
              <w:bottom w:w="0" w:type="dxa"/>
              <w:right w:w="15" w:type="dxa"/>
            </w:tcMar>
            <w:vAlign w:val="center"/>
          </w:tcPr>
          <w:p w14:paraId="0D3CA7E3">
            <w:pPr>
              <w:bidi w:val="0"/>
              <w:jc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Cs w:val="21"/>
                <w:highlight w:val="none"/>
              </w:rPr>
              <w:t>S3</w:t>
            </w:r>
            <w:r>
              <w:rPr>
                <w:rFonts w:hint="default" w:ascii="Times New Roman" w:hAnsi="Times New Roman" w:eastAsia="方正仿宋_GB2312" w:cs="Times New Roman"/>
                <w:color w:val="auto"/>
                <w:kern w:val="0"/>
                <w:szCs w:val="21"/>
                <w:highlight w:val="none"/>
                <w:lang w:val="en-US" w:eastAsia="zh-CN"/>
              </w:rPr>
              <w:t>04</w:t>
            </w:r>
          </w:p>
        </w:tc>
        <w:tc>
          <w:tcPr>
            <w:tcW w:w="443" w:type="pct"/>
            <w:tcBorders>
              <w:tl2br w:val="nil"/>
              <w:tr2bl w:val="nil"/>
            </w:tcBorders>
            <w:shd w:val="clear" w:color="auto" w:fill="auto"/>
            <w:tcMar>
              <w:top w:w="15" w:type="dxa"/>
              <w:left w:w="15" w:type="dxa"/>
              <w:bottom w:w="0" w:type="dxa"/>
              <w:right w:w="15" w:type="dxa"/>
            </w:tcMar>
            <w:vAlign w:val="center"/>
          </w:tcPr>
          <w:p w14:paraId="098154A4">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常温</w:t>
            </w:r>
          </w:p>
        </w:tc>
        <w:tc>
          <w:tcPr>
            <w:tcW w:w="451" w:type="pct"/>
            <w:tcBorders>
              <w:tl2br w:val="nil"/>
              <w:tr2bl w:val="nil"/>
            </w:tcBorders>
            <w:shd w:val="clear" w:color="auto" w:fill="auto"/>
            <w:tcMar>
              <w:top w:w="15" w:type="dxa"/>
              <w:left w:w="15" w:type="dxa"/>
              <w:bottom w:w="0" w:type="dxa"/>
              <w:right w:w="15" w:type="dxa"/>
            </w:tcMar>
            <w:vAlign w:val="center"/>
          </w:tcPr>
          <w:p w14:paraId="1E9C3585">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0.25</w:t>
            </w:r>
          </w:p>
        </w:tc>
        <w:tc>
          <w:tcPr>
            <w:tcW w:w="342" w:type="pct"/>
            <w:tcBorders>
              <w:tl2br w:val="nil"/>
              <w:tr2bl w:val="nil"/>
            </w:tcBorders>
            <w:shd w:val="clear" w:color="auto" w:fill="auto"/>
            <w:tcMar>
              <w:top w:w="15" w:type="dxa"/>
              <w:left w:w="15" w:type="dxa"/>
              <w:bottom w:w="0" w:type="dxa"/>
              <w:right w:w="15" w:type="dxa"/>
            </w:tcMar>
            <w:vAlign w:val="center"/>
          </w:tcPr>
          <w:p w14:paraId="2893C99B">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5</w:t>
            </w:r>
          </w:p>
        </w:tc>
        <w:tc>
          <w:tcPr>
            <w:tcW w:w="378" w:type="pct"/>
            <w:tcBorders>
              <w:tl2br w:val="nil"/>
              <w:tr2bl w:val="nil"/>
            </w:tcBorders>
            <w:shd w:val="clear" w:color="auto" w:fill="auto"/>
            <w:vAlign w:val="center"/>
          </w:tcPr>
          <w:p w14:paraId="57740C7E">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新增</w:t>
            </w:r>
          </w:p>
        </w:tc>
      </w:tr>
      <w:tr w14:paraId="166AC8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462" w:type="pct"/>
            <w:vMerge w:val="restart"/>
            <w:tcBorders>
              <w:tl2br w:val="nil"/>
              <w:tr2bl w:val="nil"/>
            </w:tcBorders>
            <w:vAlign w:val="center"/>
          </w:tcPr>
          <w:p w14:paraId="1F21C5EE">
            <w:pPr>
              <w:widowControl/>
              <w:jc w:val="center"/>
              <w:rPr>
                <w:rFonts w:hint="default" w:eastAsia="仿宋_GB2312"/>
                <w:color w:val="auto"/>
                <w:kern w:val="0"/>
                <w:szCs w:val="20"/>
                <w:lang w:val="en-US" w:eastAsia="zh-CN"/>
              </w:rPr>
            </w:pPr>
            <w:r>
              <w:rPr>
                <w:rFonts w:hint="eastAsia" w:eastAsia="仿宋_GB2312"/>
                <w:color w:val="auto"/>
                <w:kern w:val="0"/>
                <w:szCs w:val="20"/>
                <w:lang w:val="en-US" w:eastAsia="zh-CN"/>
              </w:rPr>
              <w:t>中间缓冲罐（共用）</w:t>
            </w:r>
          </w:p>
        </w:tc>
        <w:tc>
          <w:tcPr>
            <w:tcW w:w="346" w:type="pct"/>
            <w:tcBorders>
              <w:tl2br w:val="nil"/>
              <w:tr2bl w:val="nil"/>
            </w:tcBorders>
            <w:tcMar>
              <w:top w:w="15" w:type="dxa"/>
              <w:left w:w="15" w:type="dxa"/>
              <w:bottom w:w="0" w:type="dxa"/>
              <w:right w:w="15" w:type="dxa"/>
            </w:tcMar>
            <w:vAlign w:val="center"/>
          </w:tcPr>
          <w:p w14:paraId="0C924839">
            <w:pPr>
              <w:widowControl/>
              <w:jc w:val="center"/>
              <w:rPr>
                <w:rFonts w:hint="default" w:eastAsia="仿宋_GB2312"/>
                <w:color w:val="auto"/>
                <w:kern w:val="0"/>
                <w:szCs w:val="20"/>
                <w:lang w:val="en-US" w:eastAsia="zh-CN"/>
              </w:rPr>
            </w:pPr>
            <w:r>
              <w:rPr>
                <w:rFonts w:hint="eastAsia" w:eastAsia="仿宋_GB2312"/>
                <w:color w:val="auto"/>
                <w:kern w:val="0"/>
                <w:szCs w:val="20"/>
                <w:lang w:val="en-US" w:eastAsia="zh-CN"/>
              </w:rPr>
              <w:t>1</w:t>
            </w:r>
          </w:p>
        </w:tc>
        <w:tc>
          <w:tcPr>
            <w:tcW w:w="816" w:type="pct"/>
            <w:tcBorders>
              <w:tl2br w:val="nil"/>
              <w:tr2bl w:val="nil"/>
            </w:tcBorders>
            <w:shd w:val="clear" w:color="auto" w:fill="auto"/>
            <w:tcMar>
              <w:top w:w="15" w:type="dxa"/>
              <w:left w:w="15" w:type="dxa"/>
              <w:bottom w:w="0" w:type="dxa"/>
              <w:right w:w="15" w:type="dxa"/>
            </w:tcMar>
            <w:vAlign w:val="center"/>
          </w:tcPr>
          <w:p w14:paraId="2E0E3C1A">
            <w:pPr>
              <w:bidi w:val="0"/>
              <w:jc w:val="cente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pP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中间罐</w:t>
            </w:r>
          </w:p>
        </w:tc>
        <w:tc>
          <w:tcPr>
            <w:tcW w:w="1218" w:type="pct"/>
            <w:tcBorders>
              <w:tl2br w:val="nil"/>
              <w:tr2bl w:val="nil"/>
            </w:tcBorders>
            <w:shd w:val="clear" w:color="auto" w:fill="auto"/>
            <w:tcMar>
              <w:top w:w="15" w:type="dxa"/>
              <w:left w:w="15" w:type="dxa"/>
              <w:bottom w:w="0" w:type="dxa"/>
              <w:right w:w="15" w:type="dxa"/>
            </w:tcMar>
            <w:vAlign w:val="center"/>
          </w:tcPr>
          <w:p w14:paraId="12EC8D14">
            <w:pPr>
              <w:bidi w:val="0"/>
              <w:jc w:val="cente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pP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75m</w:t>
            </w:r>
            <w:r>
              <w:rPr>
                <w:rFonts w:hint="eastAsia" w:ascii="Times New Roman" w:hAnsi="Times New Roman" w:eastAsia="方正仿宋_GB2312" w:cs="Times New Roman"/>
                <w:color w:val="000000" w:themeColor="text1"/>
                <w:sz w:val="21"/>
                <w:szCs w:val="21"/>
                <w:vertAlign w:val="superscript"/>
                <w:lang w:val="en-US" w:eastAsia="zh-CN"/>
                <w14:textFill>
                  <w14:solidFill>
                    <w14:schemeClr w14:val="tx1"/>
                  </w14:solidFill>
                </w14:textFill>
              </w:rPr>
              <w:t>3</w:t>
            </w:r>
          </w:p>
        </w:tc>
        <w:tc>
          <w:tcPr>
            <w:tcW w:w="540" w:type="pct"/>
            <w:tcBorders>
              <w:tl2br w:val="nil"/>
              <w:tr2bl w:val="nil"/>
            </w:tcBorders>
            <w:shd w:val="clear" w:color="auto" w:fill="auto"/>
            <w:tcMar>
              <w:top w:w="15" w:type="dxa"/>
              <w:left w:w="15" w:type="dxa"/>
              <w:bottom w:w="0" w:type="dxa"/>
              <w:right w:w="15" w:type="dxa"/>
            </w:tcMar>
            <w:vAlign w:val="center"/>
          </w:tcPr>
          <w:p w14:paraId="7C545709">
            <w:pPr>
              <w:bidi w:val="0"/>
              <w:jc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Cs w:val="21"/>
                <w:highlight w:val="none"/>
              </w:rPr>
              <w:t>S3</w:t>
            </w:r>
            <w:r>
              <w:rPr>
                <w:rFonts w:hint="default" w:ascii="Times New Roman" w:hAnsi="Times New Roman" w:eastAsia="方正仿宋_GB2312" w:cs="Times New Roman"/>
                <w:color w:val="auto"/>
                <w:kern w:val="0"/>
                <w:szCs w:val="21"/>
                <w:highlight w:val="none"/>
                <w:lang w:val="en-US" w:eastAsia="zh-CN"/>
              </w:rPr>
              <w:t>04</w:t>
            </w:r>
          </w:p>
        </w:tc>
        <w:tc>
          <w:tcPr>
            <w:tcW w:w="443" w:type="pct"/>
            <w:tcBorders>
              <w:tl2br w:val="nil"/>
              <w:tr2bl w:val="nil"/>
            </w:tcBorders>
            <w:shd w:val="clear" w:color="auto" w:fill="auto"/>
            <w:tcMar>
              <w:top w:w="15" w:type="dxa"/>
              <w:left w:w="15" w:type="dxa"/>
              <w:bottom w:w="0" w:type="dxa"/>
              <w:right w:w="15" w:type="dxa"/>
            </w:tcMar>
            <w:vAlign w:val="center"/>
          </w:tcPr>
          <w:p w14:paraId="6174BBDB">
            <w:pPr>
              <w:bidi w:val="0"/>
              <w:jc w:val="cente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常温</w:t>
            </w:r>
          </w:p>
        </w:tc>
        <w:tc>
          <w:tcPr>
            <w:tcW w:w="451" w:type="pct"/>
            <w:tcBorders>
              <w:tl2br w:val="nil"/>
              <w:tr2bl w:val="nil"/>
            </w:tcBorders>
            <w:shd w:val="clear" w:color="auto" w:fill="auto"/>
            <w:tcMar>
              <w:top w:w="15" w:type="dxa"/>
              <w:left w:w="15" w:type="dxa"/>
              <w:bottom w:w="0" w:type="dxa"/>
              <w:right w:w="15" w:type="dxa"/>
            </w:tcMar>
            <w:vAlign w:val="center"/>
          </w:tcPr>
          <w:p w14:paraId="3E2E7520">
            <w:pPr>
              <w:bidi w:val="0"/>
              <w:jc w:val="cente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pP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常压</w:t>
            </w:r>
          </w:p>
        </w:tc>
        <w:tc>
          <w:tcPr>
            <w:tcW w:w="342" w:type="pct"/>
            <w:tcBorders>
              <w:tl2br w:val="nil"/>
              <w:tr2bl w:val="nil"/>
            </w:tcBorders>
            <w:shd w:val="clear" w:color="auto" w:fill="auto"/>
            <w:tcMar>
              <w:top w:w="15" w:type="dxa"/>
              <w:left w:w="15" w:type="dxa"/>
              <w:bottom w:w="0" w:type="dxa"/>
              <w:right w:w="15" w:type="dxa"/>
            </w:tcMar>
            <w:vAlign w:val="center"/>
          </w:tcPr>
          <w:p w14:paraId="7D11EE0B">
            <w:pPr>
              <w:bidi w:val="0"/>
              <w:jc w:val="cente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pP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7</w:t>
            </w:r>
          </w:p>
        </w:tc>
        <w:tc>
          <w:tcPr>
            <w:tcW w:w="378" w:type="pct"/>
            <w:tcBorders>
              <w:tl2br w:val="nil"/>
              <w:tr2bl w:val="nil"/>
            </w:tcBorders>
            <w:shd w:val="clear" w:color="auto" w:fill="auto"/>
            <w:vAlign w:val="center"/>
          </w:tcPr>
          <w:p w14:paraId="57E1F9A1">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新增</w:t>
            </w:r>
          </w:p>
        </w:tc>
      </w:tr>
      <w:tr w14:paraId="545A59F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462" w:type="pct"/>
            <w:vMerge w:val="continue"/>
            <w:tcBorders>
              <w:tl2br w:val="nil"/>
              <w:tr2bl w:val="nil"/>
            </w:tcBorders>
            <w:vAlign w:val="center"/>
          </w:tcPr>
          <w:p w14:paraId="1B948EDB">
            <w:pPr>
              <w:widowControl/>
              <w:jc w:val="center"/>
              <w:rPr>
                <w:rFonts w:hint="eastAsia" w:eastAsia="仿宋_GB2312"/>
                <w:color w:val="auto"/>
                <w:kern w:val="0"/>
                <w:szCs w:val="20"/>
                <w:lang w:val="en-US" w:eastAsia="zh-CN"/>
              </w:rPr>
            </w:pPr>
          </w:p>
        </w:tc>
        <w:tc>
          <w:tcPr>
            <w:tcW w:w="346" w:type="pct"/>
            <w:tcBorders>
              <w:tl2br w:val="nil"/>
              <w:tr2bl w:val="nil"/>
            </w:tcBorders>
            <w:tcMar>
              <w:top w:w="15" w:type="dxa"/>
              <w:left w:w="15" w:type="dxa"/>
              <w:bottom w:w="0" w:type="dxa"/>
              <w:right w:w="15" w:type="dxa"/>
            </w:tcMar>
            <w:vAlign w:val="center"/>
          </w:tcPr>
          <w:p w14:paraId="25439B40">
            <w:pPr>
              <w:widowControl/>
              <w:jc w:val="center"/>
              <w:rPr>
                <w:rFonts w:hint="default" w:eastAsia="仿宋_GB2312"/>
                <w:color w:val="auto"/>
                <w:kern w:val="0"/>
                <w:szCs w:val="20"/>
                <w:lang w:val="en-US" w:eastAsia="zh-CN"/>
              </w:rPr>
            </w:pPr>
            <w:r>
              <w:rPr>
                <w:rFonts w:hint="eastAsia" w:eastAsia="仿宋_GB2312"/>
                <w:color w:val="auto"/>
                <w:kern w:val="0"/>
                <w:szCs w:val="20"/>
                <w:lang w:val="en-US" w:eastAsia="zh-CN"/>
              </w:rPr>
              <w:t>2</w:t>
            </w:r>
          </w:p>
        </w:tc>
        <w:tc>
          <w:tcPr>
            <w:tcW w:w="816" w:type="pct"/>
            <w:tcBorders>
              <w:tl2br w:val="nil"/>
              <w:tr2bl w:val="nil"/>
            </w:tcBorders>
            <w:shd w:val="clear" w:color="auto" w:fill="auto"/>
            <w:tcMar>
              <w:top w:w="15" w:type="dxa"/>
              <w:left w:w="15" w:type="dxa"/>
              <w:bottom w:w="0" w:type="dxa"/>
              <w:right w:w="15" w:type="dxa"/>
            </w:tcMar>
            <w:vAlign w:val="center"/>
          </w:tcPr>
          <w:p w14:paraId="0B1BEB32">
            <w:pPr>
              <w:bidi w:val="0"/>
              <w:jc w:val="cente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pP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中间罐</w:t>
            </w:r>
          </w:p>
        </w:tc>
        <w:tc>
          <w:tcPr>
            <w:tcW w:w="1218" w:type="pct"/>
            <w:tcBorders>
              <w:tl2br w:val="nil"/>
              <w:tr2bl w:val="nil"/>
            </w:tcBorders>
            <w:shd w:val="clear" w:color="auto" w:fill="auto"/>
            <w:tcMar>
              <w:top w:w="15" w:type="dxa"/>
              <w:left w:w="15" w:type="dxa"/>
              <w:bottom w:w="0" w:type="dxa"/>
              <w:right w:w="15" w:type="dxa"/>
            </w:tcMar>
            <w:vAlign w:val="center"/>
          </w:tcPr>
          <w:p w14:paraId="08BF9B55">
            <w:pPr>
              <w:bidi w:val="0"/>
              <w:jc w:val="cente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pP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20m</w:t>
            </w:r>
            <w:r>
              <w:rPr>
                <w:rFonts w:hint="eastAsia" w:ascii="Times New Roman" w:hAnsi="Times New Roman" w:eastAsia="方正仿宋_GB2312" w:cs="Times New Roman"/>
                <w:color w:val="000000" w:themeColor="text1"/>
                <w:sz w:val="21"/>
                <w:szCs w:val="21"/>
                <w:vertAlign w:val="superscript"/>
                <w:lang w:val="en-US" w:eastAsia="zh-CN"/>
                <w14:textFill>
                  <w14:solidFill>
                    <w14:schemeClr w14:val="tx1"/>
                  </w14:solidFill>
                </w14:textFill>
              </w:rPr>
              <w:t>3</w:t>
            </w:r>
          </w:p>
        </w:tc>
        <w:tc>
          <w:tcPr>
            <w:tcW w:w="540" w:type="pct"/>
            <w:tcBorders>
              <w:tl2br w:val="nil"/>
              <w:tr2bl w:val="nil"/>
            </w:tcBorders>
            <w:shd w:val="clear" w:color="auto" w:fill="auto"/>
            <w:tcMar>
              <w:top w:w="15" w:type="dxa"/>
              <w:left w:w="15" w:type="dxa"/>
              <w:bottom w:w="0" w:type="dxa"/>
              <w:right w:w="15" w:type="dxa"/>
            </w:tcMar>
            <w:vAlign w:val="center"/>
          </w:tcPr>
          <w:p w14:paraId="7489263B">
            <w:pPr>
              <w:bidi w:val="0"/>
              <w:jc w:val="center"/>
              <w:rPr>
                <w:rFonts w:hint="default" w:ascii="Times New Roman" w:hAnsi="Times New Roman" w:eastAsia="方正仿宋_GB2312" w:cs="Times New Roman"/>
                <w:color w:val="auto"/>
                <w:kern w:val="0"/>
                <w:sz w:val="21"/>
                <w:szCs w:val="21"/>
                <w:highlight w:val="none"/>
                <w:lang w:val="en-US" w:eastAsia="zh-CN" w:bidi="ar-SA"/>
              </w:rPr>
            </w:pPr>
            <w:r>
              <w:rPr>
                <w:rFonts w:hint="default" w:ascii="Times New Roman" w:hAnsi="Times New Roman" w:eastAsia="方正仿宋_GB2312" w:cs="Times New Roman"/>
                <w:color w:val="auto"/>
                <w:kern w:val="0"/>
                <w:szCs w:val="21"/>
                <w:highlight w:val="none"/>
              </w:rPr>
              <w:t>S3</w:t>
            </w:r>
            <w:r>
              <w:rPr>
                <w:rFonts w:hint="default" w:ascii="Times New Roman" w:hAnsi="Times New Roman" w:eastAsia="方正仿宋_GB2312" w:cs="Times New Roman"/>
                <w:color w:val="auto"/>
                <w:kern w:val="0"/>
                <w:szCs w:val="21"/>
                <w:highlight w:val="none"/>
                <w:lang w:val="en-US" w:eastAsia="zh-CN"/>
              </w:rPr>
              <w:t>04</w:t>
            </w:r>
          </w:p>
        </w:tc>
        <w:tc>
          <w:tcPr>
            <w:tcW w:w="443" w:type="pct"/>
            <w:tcBorders>
              <w:tl2br w:val="nil"/>
              <w:tr2bl w:val="nil"/>
            </w:tcBorders>
            <w:shd w:val="clear" w:color="auto" w:fill="auto"/>
            <w:tcMar>
              <w:top w:w="15" w:type="dxa"/>
              <w:left w:w="15" w:type="dxa"/>
              <w:bottom w:w="0" w:type="dxa"/>
              <w:right w:w="15" w:type="dxa"/>
            </w:tcMar>
            <w:vAlign w:val="center"/>
          </w:tcPr>
          <w:p w14:paraId="289F1E71">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常温</w:t>
            </w:r>
          </w:p>
        </w:tc>
        <w:tc>
          <w:tcPr>
            <w:tcW w:w="451" w:type="pct"/>
            <w:tcBorders>
              <w:tl2br w:val="nil"/>
              <w:tr2bl w:val="nil"/>
            </w:tcBorders>
            <w:shd w:val="clear" w:color="auto" w:fill="auto"/>
            <w:tcMar>
              <w:top w:w="15" w:type="dxa"/>
              <w:left w:w="15" w:type="dxa"/>
              <w:bottom w:w="0" w:type="dxa"/>
              <w:right w:w="15" w:type="dxa"/>
            </w:tcMar>
            <w:vAlign w:val="center"/>
          </w:tcPr>
          <w:p w14:paraId="10B00350">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常压</w:t>
            </w:r>
          </w:p>
        </w:tc>
        <w:tc>
          <w:tcPr>
            <w:tcW w:w="342" w:type="pct"/>
            <w:tcBorders>
              <w:tl2br w:val="nil"/>
              <w:tr2bl w:val="nil"/>
            </w:tcBorders>
            <w:shd w:val="clear" w:color="auto" w:fill="auto"/>
            <w:tcMar>
              <w:top w:w="15" w:type="dxa"/>
              <w:left w:w="15" w:type="dxa"/>
              <w:bottom w:w="0" w:type="dxa"/>
              <w:right w:w="15" w:type="dxa"/>
            </w:tcMar>
            <w:vAlign w:val="center"/>
          </w:tcPr>
          <w:p w14:paraId="33B9C3E8">
            <w:pPr>
              <w:bidi w:val="0"/>
              <w:jc w:val="cente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pP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6</w:t>
            </w:r>
          </w:p>
        </w:tc>
        <w:tc>
          <w:tcPr>
            <w:tcW w:w="378" w:type="pct"/>
            <w:tcBorders>
              <w:tl2br w:val="nil"/>
              <w:tr2bl w:val="nil"/>
            </w:tcBorders>
            <w:shd w:val="clear" w:color="auto" w:fill="auto"/>
            <w:vAlign w:val="center"/>
          </w:tcPr>
          <w:p w14:paraId="28E60278">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新增</w:t>
            </w:r>
          </w:p>
        </w:tc>
      </w:tr>
    </w:tbl>
    <w:p w14:paraId="5DB76507">
      <w:pPr>
        <w:pStyle w:val="189"/>
        <w:ind w:firstLine="0" w:firstLineChars="0"/>
        <w:jc w:val="center"/>
        <w:rPr>
          <w:rFonts w:eastAsia="仿宋_GB2312"/>
          <w:b/>
          <w:color w:val="auto"/>
        </w:rPr>
      </w:pPr>
    </w:p>
    <w:p w14:paraId="2C21FDE4">
      <w:pPr>
        <w:pStyle w:val="189"/>
        <w:ind w:firstLine="0" w:firstLineChars="0"/>
        <w:jc w:val="center"/>
        <w:rPr>
          <w:rFonts w:eastAsia="仿宋_GB2312"/>
          <w:b/>
          <w:color w:val="auto"/>
        </w:rPr>
        <w:sectPr>
          <w:pgSz w:w="16838" w:h="11906" w:orient="landscape"/>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50E189BC">
      <w:pPr>
        <w:spacing w:line="500" w:lineRule="exact"/>
        <w:ind w:firstLine="562" w:firstLineChars="200"/>
        <w:rPr>
          <w:rFonts w:eastAsia="仿宋_GB2312"/>
          <w:color w:val="auto"/>
          <w:sz w:val="28"/>
          <w:szCs w:val="28"/>
        </w:rPr>
      </w:pPr>
      <w:r>
        <w:rPr>
          <w:rFonts w:eastAsia="仿宋_GB2312"/>
          <w:b/>
          <w:bCs/>
          <w:color w:val="auto"/>
          <w:sz w:val="28"/>
          <w:szCs w:val="28"/>
        </w:rPr>
        <w:t>二、废液处置</w:t>
      </w:r>
    </w:p>
    <w:p w14:paraId="776DCE21">
      <w:pPr>
        <w:spacing w:line="500" w:lineRule="exact"/>
        <w:ind w:firstLine="560" w:firstLineChars="200"/>
        <w:rPr>
          <w:rFonts w:eastAsia="仿宋_GB2312"/>
          <w:color w:val="FF0000"/>
          <w:sz w:val="28"/>
          <w:szCs w:val="28"/>
        </w:rPr>
      </w:pPr>
      <w:r>
        <w:rPr>
          <w:rFonts w:eastAsia="仿宋_GB2312"/>
          <w:color w:val="auto"/>
          <w:sz w:val="28"/>
          <w:szCs w:val="28"/>
        </w:rPr>
        <w:t>本项目新增</w:t>
      </w:r>
      <w:r>
        <w:rPr>
          <w:rFonts w:hint="eastAsia" w:eastAsia="仿宋_GB2312"/>
          <w:color w:val="auto"/>
          <w:sz w:val="28"/>
          <w:szCs w:val="28"/>
          <w:lang w:val="en-US" w:eastAsia="zh-CN"/>
        </w:rPr>
        <w:t>95</w:t>
      </w:r>
      <w:r>
        <w:rPr>
          <w:rFonts w:eastAsia="仿宋_GB2312"/>
          <w:color w:val="auto"/>
          <w:sz w:val="28"/>
          <w:szCs w:val="28"/>
        </w:rPr>
        <w:t>00t/a废有机溶剂与含有机溶剂废液</w:t>
      </w:r>
      <w:r>
        <w:rPr>
          <w:rFonts w:hint="eastAsia" w:eastAsia="仿宋_GB2312"/>
          <w:color w:val="auto"/>
          <w:sz w:val="28"/>
          <w:szCs w:val="28"/>
          <w:lang w:val="en-US" w:eastAsia="zh-CN"/>
        </w:rPr>
        <w:t>和500t/a废碱液</w:t>
      </w:r>
      <w:r>
        <w:rPr>
          <w:rFonts w:eastAsia="仿宋_GB2312"/>
          <w:color w:val="auto"/>
          <w:sz w:val="28"/>
          <w:szCs w:val="28"/>
        </w:rPr>
        <w:t>，依托现有</w:t>
      </w:r>
      <w:r>
        <w:rPr>
          <w:rFonts w:hint="eastAsia" w:eastAsia="仿宋_GB2312"/>
          <w:color w:val="auto"/>
          <w:sz w:val="28"/>
          <w:szCs w:val="28"/>
          <w:lang w:val="en-US" w:eastAsia="zh-CN"/>
        </w:rPr>
        <w:t>设备</w:t>
      </w:r>
      <w:r>
        <w:rPr>
          <w:rFonts w:eastAsia="仿宋_GB2312"/>
          <w:color w:val="auto"/>
          <w:sz w:val="28"/>
          <w:szCs w:val="28"/>
        </w:rPr>
        <w:t>，具体设备清单见表3.2-4</w:t>
      </w:r>
      <w:r>
        <w:rPr>
          <w:rFonts w:hint="eastAsia" w:eastAsia="仿宋_GB2312"/>
          <w:color w:val="auto"/>
          <w:sz w:val="28"/>
          <w:szCs w:val="28"/>
          <w:lang w:val="en-US" w:eastAsia="zh-CN"/>
        </w:rPr>
        <w:t>4</w:t>
      </w:r>
      <w:r>
        <w:rPr>
          <w:rFonts w:eastAsia="仿宋_GB2312"/>
          <w:color w:val="auto"/>
          <w:sz w:val="28"/>
          <w:szCs w:val="28"/>
        </w:rPr>
        <w:t>。</w:t>
      </w:r>
    </w:p>
    <w:p w14:paraId="4A89CA37">
      <w:pPr>
        <w:pStyle w:val="189"/>
        <w:ind w:firstLine="0" w:firstLineChars="0"/>
        <w:jc w:val="center"/>
        <w:rPr>
          <w:rFonts w:hint="default" w:eastAsia="仿宋_GB2312"/>
          <w:b/>
          <w:color w:val="auto"/>
          <w:lang w:val="en-US" w:eastAsia="zh-CN"/>
        </w:rPr>
      </w:pPr>
      <w:r>
        <w:rPr>
          <w:rFonts w:eastAsia="仿宋_GB2312"/>
          <w:b/>
          <w:color w:val="auto"/>
        </w:rPr>
        <w:t>表3.2-4</w:t>
      </w:r>
      <w:r>
        <w:rPr>
          <w:rFonts w:hint="eastAsia" w:eastAsia="仿宋_GB2312"/>
          <w:b/>
          <w:color w:val="auto"/>
          <w:lang w:val="en-US" w:eastAsia="zh-CN"/>
        </w:rPr>
        <w:t>4</w:t>
      </w:r>
      <w:r>
        <w:rPr>
          <w:rFonts w:eastAsia="仿宋_GB2312"/>
          <w:b/>
          <w:color w:val="auto"/>
        </w:rPr>
        <w:t xml:space="preserve">  </w:t>
      </w:r>
      <w:r>
        <w:rPr>
          <w:rFonts w:hint="eastAsia" w:eastAsia="仿宋_GB2312"/>
          <w:b/>
          <w:color w:val="auto"/>
          <w:lang w:val="en-US" w:eastAsia="zh-CN"/>
        </w:rPr>
        <w:t>废液</w:t>
      </w:r>
      <w:r>
        <w:rPr>
          <w:rFonts w:eastAsia="仿宋_GB2312"/>
          <w:b/>
          <w:color w:val="auto"/>
        </w:rPr>
        <w:t>处置设备</w:t>
      </w:r>
      <w:r>
        <w:rPr>
          <w:rFonts w:hint="eastAsia" w:eastAsia="仿宋_GB2312"/>
          <w:b/>
          <w:color w:val="auto"/>
          <w:lang w:val="en-US" w:eastAsia="zh-CN"/>
        </w:rPr>
        <w:t>情况表</w:t>
      </w:r>
    </w:p>
    <w:tbl>
      <w:tblPr>
        <w:tblStyle w:val="88"/>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2121"/>
        <w:gridCol w:w="1997"/>
        <w:gridCol w:w="2730"/>
        <w:gridCol w:w="1984"/>
        <w:gridCol w:w="2239"/>
        <w:gridCol w:w="2199"/>
      </w:tblGrid>
      <w:tr w14:paraId="7F612F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12" w:hRule="atLeast"/>
        </w:trPr>
        <w:tc>
          <w:tcPr>
            <w:tcW w:w="1551" w:type="pct"/>
            <w:gridSpan w:val="2"/>
            <w:tcMar>
              <w:top w:w="15" w:type="dxa"/>
              <w:left w:w="15" w:type="dxa"/>
              <w:bottom w:w="0" w:type="dxa"/>
              <w:right w:w="15" w:type="dxa"/>
            </w:tcMar>
            <w:vAlign w:val="center"/>
          </w:tcPr>
          <w:p w14:paraId="231F6E22">
            <w:pPr>
              <w:widowControl/>
              <w:jc w:val="center"/>
              <w:rPr>
                <w:rFonts w:eastAsia="仿宋_GB2312"/>
                <w:b/>
                <w:color w:val="auto"/>
                <w:kern w:val="0"/>
                <w:szCs w:val="20"/>
              </w:rPr>
            </w:pPr>
            <w:r>
              <w:rPr>
                <w:rFonts w:eastAsia="仿宋_GB2312"/>
                <w:b/>
                <w:color w:val="auto"/>
                <w:kern w:val="0"/>
                <w:szCs w:val="20"/>
              </w:rPr>
              <w:t>设备名称</w:t>
            </w:r>
          </w:p>
        </w:tc>
        <w:tc>
          <w:tcPr>
            <w:tcW w:w="1028" w:type="pct"/>
            <w:tcMar>
              <w:top w:w="15" w:type="dxa"/>
              <w:left w:w="15" w:type="dxa"/>
              <w:bottom w:w="0" w:type="dxa"/>
              <w:right w:w="15" w:type="dxa"/>
            </w:tcMar>
            <w:vAlign w:val="center"/>
          </w:tcPr>
          <w:p w14:paraId="07D0D324">
            <w:pPr>
              <w:widowControl/>
              <w:jc w:val="center"/>
              <w:rPr>
                <w:rFonts w:eastAsia="仿宋_GB2312"/>
                <w:b/>
                <w:color w:val="auto"/>
                <w:kern w:val="0"/>
                <w:szCs w:val="20"/>
              </w:rPr>
            </w:pPr>
            <w:r>
              <w:rPr>
                <w:rFonts w:eastAsia="仿宋_GB2312"/>
                <w:b/>
                <w:color w:val="auto"/>
                <w:kern w:val="0"/>
                <w:szCs w:val="20"/>
              </w:rPr>
              <w:t>规格性能</w:t>
            </w:r>
          </w:p>
        </w:tc>
        <w:tc>
          <w:tcPr>
            <w:tcW w:w="747" w:type="pct"/>
            <w:tcMar>
              <w:top w:w="15" w:type="dxa"/>
              <w:left w:w="15" w:type="dxa"/>
              <w:bottom w:w="0" w:type="dxa"/>
              <w:right w:w="15" w:type="dxa"/>
            </w:tcMar>
            <w:vAlign w:val="center"/>
          </w:tcPr>
          <w:p w14:paraId="7140B5CF">
            <w:pPr>
              <w:widowControl/>
              <w:jc w:val="center"/>
              <w:rPr>
                <w:rFonts w:eastAsia="仿宋_GB2312"/>
                <w:b/>
                <w:color w:val="auto"/>
                <w:kern w:val="0"/>
                <w:szCs w:val="20"/>
              </w:rPr>
            </w:pPr>
            <w:r>
              <w:rPr>
                <w:rFonts w:eastAsia="仿宋_GB2312"/>
                <w:b/>
                <w:color w:val="auto"/>
                <w:kern w:val="0"/>
                <w:szCs w:val="20"/>
              </w:rPr>
              <w:t>材质</w:t>
            </w:r>
          </w:p>
        </w:tc>
        <w:tc>
          <w:tcPr>
            <w:tcW w:w="843" w:type="pct"/>
            <w:tcMar>
              <w:top w:w="15" w:type="dxa"/>
              <w:left w:w="15" w:type="dxa"/>
              <w:bottom w:w="0" w:type="dxa"/>
              <w:right w:w="15" w:type="dxa"/>
            </w:tcMar>
            <w:vAlign w:val="center"/>
          </w:tcPr>
          <w:p w14:paraId="5A8BCD12">
            <w:pPr>
              <w:widowControl/>
              <w:jc w:val="center"/>
              <w:rPr>
                <w:rFonts w:eastAsia="仿宋_GB2312"/>
                <w:b/>
                <w:color w:val="auto"/>
                <w:kern w:val="0"/>
                <w:szCs w:val="20"/>
              </w:rPr>
            </w:pPr>
            <w:r>
              <w:rPr>
                <w:rFonts w:eastAsia="仿宋_GB2312"/>
                <w:b/>
                <w:color w:val="auto"/>
                <w:kern w:val="0"/>
                <w:szCs w:val="20"/>
              </w:rPr>
              <w:t>数量（座/套/只）</w:t>
            </w:r>
          </w:p>
        </w:tc>
        <w:tc>
          <w:tcPr>
            <w:tcW w:w="828" w:type="pct"/>
            <w:vAlign w:val="center"/>
          </w:tcPr>
          <w:p w14:paraId="40470395">
            <w:pPr>
              <w:widowControl/>
              <w:jc w:val="center"/>
              <w:rPr>
                <w:rFonts w:eastAsia="仿宋_GB2312"/>
                <w:b/>
                <w:color w:val="auto"/>
                <w:kern w:val="0"/>
                <w:szCs w:val="20"/>
              </w:rPr>
            </w:pPr>
            <w:r>
              <w:rPr>
                <w:rFonts w:eastAsia="仿宋_GB2312"/>
                <w:b/>
                <w:color w:val="auto"/>
                <w:kern w:val="0"/>
                <w:szCs w:val="20"/>
              </w:rPr>
              <w:t>备注</w:t>
            </w:r>
          </w:p>
        </w:tc>
      </w:tr>
      <w:tr w14:paraId="411545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12" w:hRule="atLeast"/>
        </w:trPr>
        <w:tc>
          <w:tcPr>
            <w:tcW w:w="1551" w:type="pct"/>
            <w:gridSpan w:val="2"/>
            <w:tcMar>
              <w:top w:w="15" w:type="dxa"/>
              <w:left w:w="15" w:type="dxa"/>
              <w:bottom w:w="0" w:type="dxa"/>
              <w:right w:w="15" w:type="dxa"/>
            </w:tcMar>
            <w:vAlign w:val="center"/>
          </w:tcPr>
          <w:p w14:paraId="4E5575A8">
            <w:pPr>
              <w:widowControl/>
              <w:jc w:val="center"/>
              <w:rPr>
                <w:rFonts w:eastAsia="仿宋_GB2312"/>
                <w:color w:val="auto"/>
                <w:kern w:val="0"/>
                <w:szCs w:val="20"/>
              </w:rPr>
            </w:pPr>
            <w:r>
              <w:rPr>
                <w:rFonts w:eastAsia="仿宋_GB2312"/>
                <w:color w:val="auto"/>
                <w:kern w:val="0"/>
                <w:szCs w:val="20"/>
              </w:rPr>
              <w:t>低浓度有机废液收集</w:t>
            </w:r>
            <w:r>
              <w:rPr>
                <w:rFonts w:hint="eastAsia" w:eastAsia="仿宋_GB2312"/>
                <w:color w:val="auto"/>
                <w:kern w:val="0"/>
                <w:szCs w:val="20"/>
              </w:rPr>
              <w:t>罐</w:t>
            </w:r>
          </w:p>
        </w:tc>
        <w:tc>
          <w:tcPr>
            <w:tcW w:w="1028" w:type="pct"/>
            <w:tcMar>
              <w:top w:w="15" w:type="dxa"/>
              <w:left w:w="15" w:type="dxa"/>
              <w:bottom w:w="0" w:type="dxa"/>
              <w:right w:w="15" w:type="dxa"/>
            </w:tcMar>
            <w:vAlign w:val="center"/>
          </w:tcPr>
          <w:p w14:paraId="3F8F99B4">
            <w:pPr>
              <w:widowControl/>
              <w:jc w:val="center"/>
              <w:rPr>
                <w:rFonts w:eastAsia="仿宋_GB2312"/>
                <w:color w:val="auto"/>
                <w:kern w:val="0"/>
                <w:szCs w:val="20"/>
              </w:rPr>
            </w:pPr>
            <w:r>
              <w:rPr>
                <w:rFonts w:eastAsia="仿宋_GB2312"/>
                <w:color w:val="auto"/>
                <w:kern w:val="0"/>
                <w:szCs w:val="20"/>
              </w:rPr>
              <w:t>50m</w:t>
            </w:r>
            <w:r>
              <w:rPr>
                <w:rFonts w:eastAsia="仿宋_GB2312"/>
                <w:color w:val="auto"/>
                <w:kern w:val="0"/>
                <w:szCs w:val="20"/>
                <w:vertAlign w:val="superscript"/>
              </w:rPr>
              <w:t>3</w:t>
            </w:r>
          </w:p>
        </w:tc>
        <w:tc>
          <w:tcPr>
            <w:tcW w:w="747" w:type="pct"/>
            <w:tcMar>
              <w:top w:w="15" w:type="dxa"/>
              <w:left w:w="15" w:type="dxa"/>
              <w:bottom w:w="0" w:type="dxa"/>
              <w:right w:w="15" w:type="dxa"/>
            </w:tcMar>
            <w:vAlign w:val="center"/>
          </w:tcPr>
          <w:p w14:paraId="030868E8">
            <w:pPr>
              <w:widowControl/>
              <w:jc w:val="center"/>
              <w:rPr>
                <w:rFonts w:eastAsia="仿宋_GB2312"/>
                <w:color w:val="auto"/>
                <w:kern w:val="0"/>
                <w:szCs w:val="20"/>
              </w:rPr>
            </w:pPr>
            <w:r>
              <w:rPr>
                <w:rFonts w:hint="eastAsia" w:eastAsia="仿宋_GB2312"/>
                <w:color w:val="auto"/>
                <w:kern w:val="0"/>
                <w:szCs w:val="20"/>
              </w:rPr>
              <w:t>玻璃钢</w:t>
            </w:r>
          </w:p>
        </w:tc>
        <w:tc>
          <w:tcPr>
            <w:tcW w:w="843" w:type="pct"/>
            <w:tcMar>
              <w:top w:w="15" w:type="dxa"/>
              <w:left w:w="15" w:type="dxa"/>
              <w:bottom w:w="0" w:type="dxa"/>
              <w:right w:w="15" w:type="dxa"/>
            </w:tcMar>
            <w:vAlign w:val="center"/>
          </w:tcPr>
          <w:p w14:paraId="74AD4FF0">
            <w:pPr>
              <w:widowControl/>
              <w:jc w:val="center"/>
              <w:rPr>
                <w:rFonts w:hint="eastAsia" w:eastAsia="仿宋_GB2312"/>
                <w:color w:val="auto"/>
                <w:kern w:val="0"/>
                <w:szCs w:val="20"/>
                <w:lang w:eastAsia="zh-CN"/>
              </w:rPr>
            </w:pPr>
            <w:r>
              <w:rPr>
                <w:rFonts w:hint="eastAsia" w:eastAsia="仿宋_GB2312"/>
                <w:color w:val="auto"/>
                <w:kern w:val="0"/>
                <w:szCs w:val="20"/>
                <w:lang w:val="en-US" w:eastAsia="zh-CN"/>
              </w:rPr>
              <w:t>9</w:t>
            </w:r>
          </w:p>
        </w:tc>
        <w:tc>
          <w:tcPr>
            <w:tcW w:w="828" w:type="pct"/>
            <w:vAlign w:val="center"/>
          </w:tcPr>
          <w:p w14:paraId="37E0AB38">
            <w:pPr>
              <w:widowControl/>
              <w:jc w:val="center"/>
              <w:rPr>
                <w:rFonts w:eastAsia="仿宋_GB2312"/>
                <w:color w:val="auto"/>
                <w:kern w:val="0"/>
                <w:szCs w:val="20"/>
              </w:rPr>
            </w:pPr>
            <w:r>
              <w:rPr>
                <w:rFonts w:eastAsia="仿宋_GB2312"/>
                <w:color w:val="auto"/>
                <w:kern w:val="0"/>
                <w:szCs w:val="20"/>
              </w:rPr>
              <w:t>依托原有</w:t>
            </w:r>
          </w:p>
        </w:tc>
      </w:tr>
      <w:tr w14:paraId="2023F0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12" w:hRule="atLeast"/>
        </w:trPr>
        <w:tc>
          <w:tcPr>
            <w:tcW w:w="1551" w:type="pct"/>
            <w:gridSpan w:val="2"/>
            <w:tcMar>
              <w:top w:w="15" w:type="dxa"/>
              <w:left w:w="15" w:type="dxa"/>
              <w:bottom w:w="0" w:type="dxa"/>
              <w:right w:w="15" w:type="dxa"/>
            </w:tcMar>
            <w:vAlign w:val="center"/>
          </w:tcPr>
          <w:p w14:paraId="25F36B7E">
            <w:pPr>
              <w:widowControl/>
              <w:jc w:val="center"/>
              <w:rPr>
                <w:rFonts w:hint="default" w:eastAsia="仿宋_GB2312"/>
                <w:color w:val="auto"/>
                <w:kern w:val="0"/>
                <w:szCs w:val="20"/>
                <w:lang w:val="en-US" w:eastAsia="zh-CN"/>
              </w:rPr>
            </w:pPr>
            <w:r>
              <w:rPr>
                <w:rFonts w:hint="eastAsia" w:eastAsia="仿宋_GB2312"/>
                <w:color w:val="auto"/>
                <w:kern w:val="0"/>
                <w:szCs w:val="20"/>
                <w:lang w:val="en-US" w:eastAsia="zh-CN"/>
              </w:rPr>
              <w:t>废碱收集罐</w:t>
            </w:r>
          </w:p>
        </w:tc>
        <w:tc>
          <w:tcPr>
            <w:tcW w:w="1028" w:type="pct"/>
            <w:shd w:val="clear" w:color="auto" w:fill="auto"/>
            <w:tcMar>
              <w:top w:w="15" w:type="dxa"/>
              <w:left w:w="15" w:type="dxa"/>
              <w:bottom w:w="0" w:type="dxa"/>
              <w:right w:w="15" w:type="dxa"/>
            </w:tcMar>
            <w:vAlign w:val="center"/>
          </w:tcPr>
          <w:p w14:paraId="7A74BB46">
            <w:pPr>
              <w:widowControl/>
              <w:jc w:val="center"/>
              <w:rPr>
                <w:rFonts w:ascii="Times New Roman" w:hAnsi="Times New Roman" w:eastAsia="仿宋_GB2312" w:cs="Times New Roman"/>
                <w:color w:val="auto"/>
                <w:kern w:val="0"/>
                <w:sz w:val="21"/>
                <w:szCs w:val="20"/>
                <w:lang w:val="en-US" w:eastAsia="zh-CN" w:bidi="ar-SA"/>
              </w:rPr>
            </w:pPr>
            <w:r>
              <w:rPr>
                <w:rFonts w:eastAsia="仿宋_GB2312"/>
                <w:color w:val="auto"/>
                <w:kern w:val="0"/>
                <w:szCs w:val="20"/>
              </w:rPr>
              <w:t>50m</w:t>
            </w:r>
            <w:r>
              <w:rPr>
                <w:rFonts w:eastAsia="仿宋_GB2312"/>
                <w:color w:val="auto"/>
                <w:kern w:val="0"/>
                <w:szCs w:val="20"/>
                <w:vertAlign w:val="superscript"/>
              </w:rPr>
              <w:t>3</w:t>
            </w:r>
          </w:p>
        </w:tc>
        <w:tc>
          <w:tcPr>
            <w:tcW w:w="747" w:type="pct"/>
            <w:shd w:val="clear" w:color="auto" w:fill="auto"/>
            <w:tcMar>
              <w:top w:w="15" w:type="dxa"/>
              <w:left w:w="15" w:type="dxa"/>
              <w:bottom w:w="0" w:type="dxa"/>
              <w:right w:w="15" w:type="dxa"/>
            </w:tcMar>
            <w:vAlign w:val="center"/>
          </w:tcPr>
          <w:p w14:paraId="4AA608A3">
            <w:pPr>
              <w:widowControl/>
              <w:jc w:val="center"/>
              <w:rPr>
                <w:rFonts w:hint="eastAsia" w:ascii="Times New Roman" w:hAnsi="Times New Roman" w:eastAsia="仿宋_GB2312" w:cs="Times New Roman"/>
                <w:color w:val="auto"/>
                <w:kern w:val="0"/>
                <w:sz w:val="21"/>
                <w:szCs w:val="20"/>
                <w:lang w:val="en-US" w:eastAsia="zh-CN" w:bidi="ar-SA"/>
              </w:rPr>
            </w:pPr>
            <w:r>
              <w:rPr>
                <w:rFonts w:hint="eastAsia" w:eastAsia="仿宋_GB2312"/>
                <w:color w:val="auto"/>
                <w:kern w:val="0"/>
                <w:szCs w:val="20"/>
              </w:rPr>
              <w:t>玻璃钢</w:t>
            </w:r>
          </w:p>
        </w:tc>
        <w:tc>
          <w:tcPr>
            <w:tcW w:w="843" w:type="pct"/>
            <w:shd w:val="clear" w:color="auto" w:fill="auto"/>
            <w:tcMar>
              <w:top w:w="15" w:type="dxa"/>
              <w:left w:w="15" w:type="dxa"/>
              <w:bottom w:w="0" w:type="dxa"/>
              <w:right w:w="15" w:type="dxa"/>
            </w:tcMar>
            <w:vAlign w:val="center"/>
          </w:tcPr>
          <w:p w14:paraId="003D9DEA">
            <w:pPr>
              <w:widowControl/>
              <w:jc w:val="center"/>
              <w:rPr>
                <w:rFonts w:hint="eastAsia" w:ascii="Times New Roman" w:hAnsi="Times New Roman" w:eastAsia="仿宋_GB2312" w:cs="Times New Roman"/>
                <w:color w:val="auto"/>
                <w:kern w:val="0"/>
                <w:sz w:val="21"/>
                <w:szCs w:val="20"/>
                <w:lang w:val="en-US" w:eastAsia="zh-CN" w:bidi="ar-SA"/>
              </w:rPr>
            </w:pPr>
            <w:r>
              <w:rPr>
                <w:rFonts w:hint="eastAsia" w:eastAsia="仿宋_GB2312"/>
                <w:color w:val="auto"/>
                <w:kern w:val="0"/>
                <w:szCs w:val="20"/>
                <w:lang w:val="en-US" w:eastAsia="zh-CN"/>
              </w:rPr>
              <w:t>3</w:t>
            </w:r>
          </w:p>
        </w:tc>
        <w:tc>
          <w:tcPr>
            <w:tcW w:w="828" w:type="pct"/>
            <w:shd w:val="clear" w:color="auto" w:fill="auto"/>
            <w:vAlign w:val="center"/>
          </w:tcPr>
          <w:p w14:paraId="1C63C3F7">
            <w:pPr>
              <w:widowControl/>
              <w:jc w:val="center"/>
              <w:rPr>
                <w:rFonts w:ascii="Times New Roman" w:hAnsi="Times New Roman" w:eastAsia="仿宋_GB2312" w:cs="Times New Roman"/>
                <w:color w:val="auto"/>
                <w:kern w:val="0"/>
                <w:sz w:val="21"/>
                <w:szCs w:val="20"/>
                <w:lang w:val="en-US" w:eastAsia="zh-CN" w:bidi="ar-SA"/>
              </w:rPr>
            </w:pPr>
            <w:r>
              <w:rPr>
                <w:rFonts w:eastAsia="仿宋_GB2312"/>
                <w:color w:val="auto"/>
                <w:kern w:val="0"/>
                <w:szCs w:val="20"/>
              </w:rPr>
              <w:t>依托原有</w:t>
            </w:r>
          </w:p>
        </w:tc>
      </w:tr>
      <w:tr w14:paraId="0C76D0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12" w:hRule="atLeast"/>
        </w:trPr>
        <w:tc>
          <w:tcPr>
            <w:tcW w:w="1551" w:type="pct"/>
            <w:gridSpan w:val="2"/>
            <w:tcMar>
              <w:top w:w="15" w:type="dxa"/>
              <w:left w:w="15" w:type="dxa"/>
              <w:bottom w:w="0" w:type="dxa"/>
              <w:right w:w="15" w:type="dxa"/>
            </w:tcMar>
            <w:vAlign w:val="center"/>
          </w:tcPr>
          <w:p w14:paraId="05F066F3">
            <w:pPr>
              <w:widowControl/>
              <w:jc w:val="center"/>
              <w:rPr>
                <w:rFonts w:hint="eastAsia" w:eastAsia="仿宋_GB2312"/>
                <w:color w:val="auto"/>
                <w:kern w:val="0"/>
                <w:szCs w:val="20"/>
                <w:lang w:val="en-US" w:eastAsia="zh-CN"/>
              </w:rPr>
            </w:pPr>
            <w:r>
              <w:rPr>
                <w:rFonts w:hint="eastAsia" w:eastAsia="仿宋_GB2312"/>
                <w:szCs w:val="21"/>
              </w:rPr>
              <w:t>废酸收集罐</w:t>
            </w:r>
          </w:p>
        </w:tc>
        <w:tc>
          <w:tcPr>
            <w:tcW w:w="1028" w:type="pct"/>
            <w:shd w:val="clear" w:color="auto" w:fill="auto"/>
            <w:tcMar>
              <w:top w:w="15" w:type="dxa"/>
              <w:left w:w="15" w:type="dxa"/>
              <w:bottom w:w="0" w:type="dxa"/>
              <w:right w:w="15" w:type="dxa"/>
            </w:tcMar>
            <w:vAlign w:val="center"/>
          </w:tcPr>
          <w:p w14:paraId="50A0C339">
            <w:pPr>
              <w:widowControl/>
              <w:jc w:val="center"/>
              <w:rPr>
                <w:rFonts w:ascii="Times New Roman" w:hAnsi="Times New Roman" w:eastAsia="仿宋_GB2312" w:cs="Times New Roman"/>
                <w:color w:val="auto"/>
                <w:kern w:val="0"/>
                <w:sz w:val="21"/>
                <w:szCs w:val="20"/>
                <w:lang w:val="en-US" w:eastAsia="zh-CN" w:bidi="ar-SA"/>
              </w:rPr>
            </w:pPr>
            <w:r>
              <w:rPr>
                <w:rFonts w:eastAsia="仿宋_GB2312"/>
                <w:color w:val="auto"/>
                <w:kern w:val="0"/>
                <w:szCs w:val="20"/>
              </w:rPr>
              <w:t>50m</w:t>
            </w:r>
            <w:r>
              <w:rPr>
                <w:rFonts w:eastAsia="仿宋_GB2312"/>
                <w:color w:val="auto"/>
                <w:kern w:val="0"/>
                <w:szCs w:val="20"/>
                <w:vertAlign w:val="superscript"/>
              </w:rPr>
              <w:t>3</w:t>
            </w:r>
          </w:p>
        </w:tc>
        <w:tc>
          <w:tcPr>
            <w:tcW w:w="747" w:type="pct"/>
            <w:shd w:val="clear" w:color="auto" w:fill="auto"/>
            <w:tcMar>
              <w:top w:w="15" w:type="dxa"/>
              <w:left w:w="15" w:type="dxa"/>
              <w:bottom w:w="0" w:type="dxa"/>
              <w:right w:w="15" w:type="dxa"/>
            </w:tcMar>
            <w:vAlign w:val="center"/>
          </w:tcPr>
          <w:p w14:paraId="117604CB">
            <w:pPr>
              <w:widowControl/>
              <w:jc w:val="center"/>
              <w:rPr>
                <w:rFonts w:hint="eastAsia" w:ascii="Times New Roman" w:hAnsi="Times New Roman" w:eastAsia="仿宋_GB2312" w:cs="Times New Roman"/>
                <w:color w:val="auto"/>
                <w:kern w:val="0"/>
                <w:sz w:val="21"/>
                <w:szCs w:val="20"/>
                <w:lang w:val="en-US" w:eastAsia="zh-CN" w:bidi="ar-SA"/>
              </w:rPr>
            </w:pPr>
            <w:r>
              <w:rPr>
                <w:rFonts w:hint="eastAsia" w:eastAsia="仿宋_GB2312"/>
                <w:color w:val="auto"/>
                <w:kern w:val="0"/>
                <w:szCs w:val="20"/>
              </w:rPr>
              <w:t>玻璃钢</w:t>
            </w:r>
          </w:p>
        </w:tc>
        <w:tc>
          <w:tcPr>
            <w:tcW w:w="843" w:type="pct"/>
            <w:shd w:val="clear" w:color="auto" w:fill="auto"/>
            <w:tcMar>
              <w:top w:w="15" w:type="dxa"/>
              <w:left w:w="15" w:type="dxa"/>
              <w:bottom w:w="0" w:type="dxa"/>
              <w:right w:w="15" w:type="dxa"/>
            </w:tcMar>
            <w:vAlign w:val="center"/>
          </w:tcPr>
          <w:p w14:paraId="08CCF335">
            <w:pPr>
              <w:widowControl/>
              <w:jc w:val="center"/>
              <w:rPr>
                <w:rFonts w:hint="default" w:eastAsia="仿宋_GB2312"/>
                <w:color w:val="auto"/>
                <w:kern w:val="0"/>
                <w:szCs w:val="20"/>
                <w:lang w:val="en-US" w:eastAsia="zh-CN"/>
              </w:rPr>
            </w:pPr>
            <w:r>
              <w:rPr>
                <w:rFonts w:hint="eastAsia" w:eastAsia="仿宋_GB2312"/>
                <w:color w:val="auto"/>
                <w:kern w:val="0"/>
                <w:szCs w:val="20"/>
                <w:lang w:val="en-US" w:eastAsia="zh-CN"/>
              </w:rPr>
              <w:t>4</w:t>
            </w:r>
          </w:p>
        </w:tc>
        <w:tc>
          <w:tcPr>
            <w:tcW w:w="828" w:type="pct"/>
            <w:shd w:val="clear" w:color="auto" w:fill="auto"/>
            <w:vAlign w:val="center"/>
          </w:tcPr>
          <w:p w14:paraId="7C5C9D77">
            <w:pPr>
              <w:widowControl/>
              <w:jc w:val="center"/>
              <w:rPr>
                <w:rFonts w:hint="default" w:eastAsia="仿宋_GB2312"/>
                <w:color w:val="auto"/>
                <w:kern w:val="0"/>
                <w:szCs w:val="20"/>
                <w:lang w:val="en-US" w:eastAsia="zh-CN"/>
              </w:rPr>
            </w:pPr>
            <w:r>
              <w:rPr>
                <w:rFonts w:hint="eastAsia" w:eastAsia="仿宋_GB2312"/>
                <w:color w:val="auto"/>
                <w:kern w:val="0"/>
                <w:szCs w:val="20"/>
                <w:lang w:val="en-US" w:eastAsia="zh-CN"/>
              </w:rPr>
              <w:t>本次不涉及</w:t>
            </w:r>
          </w:p>
        </w:tc>
      </w:tr>
      <w:tr w14:paraId="185476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12" w:hRule="atLeast"/>
        </w:trPr>
        <w:tc>
          <w:tcPr>
            <w:tcW w:w="1551" w:type="pct"/>
            <w:gridSpan w:val="2"/>
            <w:tcMar>
              <w:top w:w="15" w:type="dxa"/>
              <w:left w:w="15" w:type="dxa"/>
              <w:bottom w:w="0" w:type="dxa"/>
              <w:right w:w="15" w:type="dxa"/>
            </w:tcMar>
            <w:vAlign w:val="center"/>
          </w:tcPr>
          <w:p w14:paraId="357A1C6A">
            <w:pPr>
              <w:widowControl/>
              <w:jc w:val="center"/>
              <w:rPr>
                <w:rFonts w:hint="eastAsia" w:eastAsia="仿宋_GB2312"/>
                <w:color w:val="auto"/>
                <w:kern w:val="0"/>
                <w:szCs w:val="20"/>
                <w:lang w:val="en-US" w:eastAsia="zh-CN"/>
              </w:rPr>
            </w:pPr>
            <w:r>
              <w:rPr>
                <w:rFonts w:hint="eastAsia" w:eastAsia="仿宋_GB2312"/>
                <w:szCs w:val="21"/>
              </w:rPr>
              <w:t>表面处理废液收集罐</w:t>
            </w:r>
          </w:p>
        </w:tc>
        <w:tc>
          <w:tcPr>
            <w:tcW w:w="1028" w:type="pct"/>
            <w:shd w:val="clear" w:color="auto" w:fill="auto"/>
            <w:tcMar>
              <w:top w:w="15" w:type="dxa"/>
              <w:left w:w="15" w:type="dxa"/>
              <w:bottom w:w="0" w:type="dxa"/>
              <w:right w:w="15" w:type="dxa"/>
            </w:tcMar>
            <w:vAlign w:val="center"/>
          </w:tcPr>
          <w:p w14:paraId="6260EB1B">
            <w:pPr>
              <w:widowControl/>
              <w:jc w:val="center"/>
              <w:rPr>
                <w:rFonts w:ascii="Times New Roman" w:hAnsi="Times New Roman" w:eastAsia="仿宋_GB2312" w:cs="Times New Roman"/>
                <w:color w:val="auto"/>
                <w:kern w:val="0"/>
                <w:sz w:val="21"/>
                <w:szCs w:val="20"/>
                <w:lang w:val="en-US" w:eastAsia="zh-CN" w:bidi="ar-SA"/>
              </w:rPr>
            </w:pPr>
            <w:r>
              <w:rPr>
                <w:rFonts w:eastAsia="仿宋_GB2312"/>
                <w:color w:val="auto"/>
                <w:kern w:val="0"/>
                <w:szCs w:val="20"/>
              </w:rPr>
              <w:t>50m</w:t>
            </w:r>
            <w:r>
              <w:rPr>
                <w:rFonts w:eastAsia="仿宋_GB2312"/>
                <w:color w:val="auto"/>
                <w:kern w:val="0"/>
                <w:szCs w:val="20"/>
                <w:vertAlign w:val="superscript"/>
              </w:rPr>
              <w:t>3</w:t>
            </w:r>
          </w:p>
        </w:tc>
        <w:tc>
          <w:tcPr>
            <w:tcW w:w="747" w:type="pct"/>
            <w:shd w:val="clear" w:color="auto" w:fill="auto"/>
            <w:tcMar>
              <w:top w:w="15" w:type="dxa"/>
              <w:left w:w="15" w:type="dxa"/>
              <w:bottom w:w="0" w:type="dxa"/>
              <w:right w:w="15" w:type="dxa"/>
            </w:tcMar>
            <w:vAlign w:val="center"/>
          </w:tcPr>
          <w:p w14:paraId="3307FBE4">
            <w:pPr>
              <w:widowControl/>
              <w:jc w:val="center"/>
              <w:rPr>
                <w:rFonts w:hint="eastAsia" w:ascii="Times New Roman" w:hAnsi="Times New Roman" w:eastAsia="仿宋_GB2312" w:cs="Times New Roman"/>
                <w:color w:val="auto"/>
                <w:kern w:val="0"/>
                <w:sz w:val="21"/>
                <w:szCs w:val="20"/>
                <w:lang w:val="en-US" w:eastAsia="zh-CN" w:bidi="ar-SA"/>
              </w:rPr>
            </w:pPr>
            <w:r>
              <w:rPr>
                <w:rFonts w:hint="eastAsia" w:eastAsia="仿宋_GB2312"/>
                <w:color w:val="auto"/>
                <w:kern w:val="0"/>
                <w:szCs w:val="20"/>
              </w:rPr>
              <w:t>玻璃钢</w:t>
            </w:r>
          </w:p>
        </w:tc>
        <w:tc>
          <w:tcPr>
            <w:tcW w:w="843" w:type="pct"/>
            <w:shd w:val="clear" w:color="auto" w:fill="auto"/>
            <w:tcMar>
              <w:top w:w="15" w:type="dxa"/>
              <w:left w:w="15" w:type="dxa"/>
              <w:bottom w:w="0" w:type="dxa"/>
              <w:right w:w="15" w:type="dxa"/>
            </w:tcMar>
            <w:vAlign w:val="center"/>
          </w:tcPr>
          <w:p w14:paraId="0978553B">
            <w:pPr>
              <w:widowControl/>
              <w:jc w:val="center"/>
              <w:rPr>
                <w:rFonts w:hint="default" w:eastAsia="仿宋_GB2312"/>
                <w:color w:val="auto"/>
                <w:kern w:val="0"/>
                <w:szCs w:val="20"/>
                <w:lang w:val="en-US" w:eastAsia="zh-CN"/>
              </w:rPr>
            </w:pPr>
            <w:r>
              <w:rPr>
                <w:rFonts w:hint="eastAsia" w:eastAsia="仿宋_GB2312"/>
                <w:color w:val="auto"/>
                <w:kern w:val="0"/>
                <w:szCs w:val="20"/>
                <w:lang w:val="en-US" w:eastAsia="zh-CN"/>
              </w:rPr>
              <w:t>3</w:t>
            </w:r>
          </w:p>
        </w:tc>
        <w:tc>
          <w:tcPr>
            <w:tcW w:w="828" w:type="pct"/>
            <w:shd w:val="clear" w:color="auto" w:fill="auto"/>
            <w:vAlign w:val="center"/>
          </w:tcPr>
          <w:p w14:paraId="5CCB0A26">
            <w:pPr>
              <w:widowControl/>
              <w:jc w:val="center"/>
              <w:rPr>
                <w:rFonts w:eastAsia="仿宋_GB2312"/>
                <w:color w:val="auto"/>
                <w:kern w:val="0"/>
                <w:szCs w:val="20"/>
              </w:rPr>
            </w:pPr>
            <w:r>
              <w:rPr>
                <w:rFonts w:hint="eastAsia" w:eastAsia="仿宋_GB2312"/>
                <w:color w:val="auto"/>
                <w:kern w:val="0"/>
                <w:szCs w:val="20"/>
                <w:lang w:val="en-US" w:eastAsia="zh-CN"/>
              </w:rPr>
              <w:t>本次不涉及</w:t>
            </w:r>
          </w:p>
        </w:tc>
      </w:tr>
      <w:tr w14:paraId="7ED907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12" w:hRule="atLeast"/>
        </w:trPr>
        <w:tc>
          <w:tcPr>
            <w:tcW w:w="1551" w:type="pct"/>
            <w:gridSpan w:val="2"/>
            <w:tcMar>
              <w:top w:w="15" w:type="dxa"/>
              <w:left w:w="15" w:type="dxa"/>
              <w:bottom w:w="0" w:type="dxa"/>
              <w:right w:w="15" w:type="dxa"/>
            </w:tcMar>
            <w:vAlign w:val="center"/>
          </w:tcPr>
          <w:p w14:paraId="3FB2B100">
            <w:pPr>
              <w:widowControl/>
              <w:jc w:val="center"/>
              <w:rPr>
                <w:rFonts w:hint="eastAsia" w:eastAsia="仿宋_GB2312"/>
                <w:szCs w:val="21"/>
              </w:rPr>
            </w:pPr>
            <w:r>
              <w:rPr>
                <w:rFonts w:hint="eastAsia" w:eastAsia="仿宋_GB2312"/>
                <w:szCs w:val="21"/>
              </w:rPr>
              <w:t>乳化液收集罐</w:t>
            </w:r>
          </w:p>
        </w:tc>
        <w:tc>
          <w:tcPr>
            <w:tcW w:w="1028" w:type="pct"/>
            <w:shd w:val="clear" w:color="auto" w:fill="auto"/>
            <w:tcMar>
              <w:top w:w="15" w:type="dxa"/>
              <w:left w:w="15" w:type="dxa"/>
              <w:bottom w:w="0" w:type="dxa"/>
              <w:right w:w="15" w:type="dxa"/>
            </w:tcMar>
            <w:vAlign w:val="center"/>
          </w:tcPr>
          <w:p w14:paraId="014C0966">
            <w:pPr>
              <w:widowControl/>
              <w:jc w:val="center"/>
              <w:rPr>
                <w:rFonts w:ascii="Times New Roman" w:hAnsi="Times New Roman" w:eastAsia="仿宋_GB2312" w:cs="Times New Roman"/>
                <w:color w:val="auto"/>
                <w:kern w:val="0"/>
                <w:sz w:val="21"/>
                <w:szCs w:val="20"/>
                <w:lang w:val="en-US" w:eastAsia="zh-CN" w:bidi="ar-SA"/>
              </w:rPr>
            </w:pPr>
            <w:r>
              <w:rPr>
                <w:rFonts w:eastAsia="仿宋_GB2312"/>
                <w:color w:val="auto"/>
                <w:kern w:val="0"/>
                <w:szCs w:val="20"/>
              </w:rPr>
              <w:t>50m</w:t>
            </w:r>
            <w:r>
              <w:rPr>
                <w:rFonts w:eastAsia="仿宋_GB2312"/>
                <w:color w:val="auto"/>
                <w:kern w:val="0"/>
                <w:szCs w:val="20"/>
                <w:vertAlign w:val="superscript"/>
              </w:rPr>
              <w:t>3</w:t>
            </w:r>
          </w:p>
        </w:tc>
        <w:tc>
          <w:tcPr>
            <w:tcW w:w="747" w:type="pct"/>
            <w:shd w:val="clear" w:color="auto" w:fill="auto"/>
            <w:tcMar>
              <w:top w:w="15" w:type="dxa"/>
              <w:left w:w="15" w:type="dxa"/>
              <w:bottom w:w="0" w:type="dxa"/>
              <w:right w:w="15" w:type="dxa"/>
            </w:tcMar>
            <w:vAlign w:val="center"/>
          </w:tcPr>
          <w:p w14:paraId="13BC69B4">
            <w:pPr>
              <w:widowControl/>
              <w:jc w:val="center"/>
              <w:rPr>
                <w:rFonts w:hint="eastAsia" w:ascii="Times New Roman" w:hAnsi="Times New Roman" w:eastAsia="仿宋_GB2312" w:cs="Times New Roman"/>
                <w:color w:val="auto"/>
                <w:kern w:val="0"/>
                <w:sz w:val="21"/>
                <w:szCs w:val="20"/>
                <w:lang w:val="en-US" w:eastAsia="zh-CN" w:bidi="ar-SA"/>
              </w:rPr>
            </w:pPr>
            <w:r>
              <w:rPr>
                <w:rFonts w:hint="eastAsia" w:eastAsia="仿宋_GB2312"/>
                <w:color w:val="auto"/>
                <w:kern w:val="0"/>
                <w:szCs w:val="20"/>
              </w:rPr>
              <w:t>玻璃钢</w:t>
            </w:r>
          </w:p>
        </w:tc>
        <w:tc>
          <w:tcPr>
            <w:tcW w:w="843" w:type="pct"/>
            <w:shd w:val="clear" w:color="auto" w:fill="auto"/>
            <w:tcMar>
              <w:top w:w="15" w:type="dxa"/>
              <w:left w:w="15" w:type="dxa"/>
              <w:bottom w:w="0" w:type="dxa"/>
              <w:right w:w="15" w:type="dxa"/>
            </w:tcMar>
            <w:vAlign w:val="center"/>
          </w:tcPr>
          <w:p w14:paraId="401C18CD">
            <w:pPr>
              <w:widowControl/>
              <w:jc w:val="center"/>
              <w:rPr>
                <w:rFonts w:hint="default" w:eastAsia="仿宋_GB2312"/>
                <w:color w:val="auto"/>
                <w:kern w:val="0"/>
                <w:szCs w:val="20"/>
                <w:lang w:val="en-US" w:eastAsia="zh-CN"/>
              </w:rPr>
            </w:pPr>
            <w:r>
              <w:rPr>
                <w:rFonts w:hint="eastAsia" w:eastAsia="仿宋_GB2312"/>
                <w:color w:val="auto"/>
                <w:kern w:val="0"/>
                <w:szCs w:val="20"/>
                <w:lang w:val="en-US" w:eastAsia="zh-CN"/>
              </w:rPr>
              <w:t>3</w:t>
            </w:r>
          </w:p>
        </w:tc>
        <w:tc>
          <w:tcPr>
            <w:tcW w:w="828" w:type="pct"/>
            <w:shd w:val="clear" w:color="auto" w:fill="auto"/>
            <w:vAlign w:val="center"/>
          </w:tcPr>
          <w:p w14:paraId="2B5942FB">
            <w:pPr>
              <w:widowControl/>
              <w:jc w:val="center"/>
              <w:rPr>
                <w:rFonts w:eastAsia="仿宋_GB2312"/>
                <w:color w:val="auto"/>
                <w:kern w:val="0"/>
                <w:szCs w:val="20"/>
              </w:rPr>
            </w:pPr>
            <w:r>
              <w:rPr>
                <w:rFonts w:hint="eastAsia" w:eastAsia="仿宋_GB2312"/>
                <w:color w:val="auto"/>
                <w:kern w:val="0"/>
                <w:szCs w:val="20"/>
                <w:lang w:val="en-US" w:eastAsia="zh-CN"/>
              </w:rPr>
              <w:t>本次不涉及</w:t>
            </w:r>
          </w:p>
        </w:tc>
      </w:tr>
      <w:tr w14:paraId="17EF4D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12" w:hRule="atLeast"/>
        </w:trPr>
        <w:tc>
          <w:tcPr>
            <w:tcW w:w="1551" w:type="pct"/>
            <w:gridSpan w:val="2"/>
            <w:tcMar>
              <w:top w:w="15" w:type="dxa"/>
              <w:left w:w="15" w:type="dxa"/>
              <w:bottom w:w="0" w:type="dxa"/>
              <w:right w:w="15" w:type="dxa"/>
            </w:tcMar>
            <w:vAlign w:val="center"/>
          </w:tcPr>
          <w:p w14:paraId="34CD9121">
            <w:pPr>
              <w:widowControl/>
              <w:jc w:val="center"/>
              <w:rPr>
                <w:rFonts w:hint="eastAsia" w:eastAsia="仿宋_GB2312"/>
                <w:szCs w:val="21"/>
              </w:rPr>
            </w:pPr>
            <w:r>
              <w:rPr>
                <w:rFonts w:hint="eastAsia" w:eastAsia="仿宋_GB2312"/>
                <w:szCs w:val="21"/>
              </w:rPr>
              <w:t>高浓度废矿物油收集罐</w:t>
            </w:r>
          </w:p>
        </w:tc>
        <w:tc>
          <w:tcPr>
            <w:tcW w:w="1028" w:type="pct"/>
            <w:shd w:val="clear" w:color="auto" w:fill="auto"/>
            <w:tcMar>
              <w:top w:w="15" w:type="dxa"/>
              <w:left w:w="15" w:type="dxa"/>
              <w:bottom w:w="0" w:type="dxa"/>
              <w:right w:w="15" w:type="dxa"/>
            </w:tcMar>
            <w:vAlign w:val="center"/>
          </w:tcPr>
          <w:p w14:paraId="00141073">
            <w:pPr>
              <w:widowControl/>
              <w:jc w:val="center"/>
              <w:rPr>
                <w:rFonts w:ascii="Times New Roman" w:hAnsi="Times New Roman" w:eastAsia="仿宋_GB2312" w:cs="Times New Roman"/>
                <w:color w:val="auto"/>
                <w:kern w:val="0"/>
                <w:sz w:val="21"/>
                <w:szCs w:val="20"/>
                <w:lang w:val="en-US" w:eastAsia="zh-CN" w:bidi="ar-SA"/>
              </w:rPr>
            </w:pPr>
            <w:r>
              <w:rPr>
                <w:rFonts w:eastAsia="仿宋_GB2312"/>
                <w:color w:val="auto"/>
                <w:kern w:val="0"/>
                <w:szCs w:val="20"/>
              </w:rPr>
              <w:t>50m</w:t>
            </w:r>
            <w:r>
              <w:rPr>
                <w:rFonts w:eastAsia="仿宋_GB2312"/>
                <w:color w:val="auto"/>
                <w:kern w:val="0"/>
                <w:szCs w:val="20"/>
                <w:vertAlign w:val="superscript"/>
              </w:rPr>
              <w:t>3</w:t>
            </w:r>
          </w:p>
        </w:tc>
        <w:tc>
          <w:tcPr>
            <w:tcW w:w="747" w:type="pct"/>
            <w:shd w:val="clear" w:color="auto" w:fill="auto"/>
            <w:tcMar>
              <w:top w:w="15" w:type="dxa"/>
              <w:left w:w="15" w:type="dxa"/>
              <w:bottom w:w="0" w:type="dxa"/>
              <w:right w:w="15" w:type="dxa"/>
            </w:tcMar>
            <w:vAlign w:val="center"/>
          </w:tcPr>
          <w:p w14:paraId="548A5D38">
            <w:pPr>
              <w:widowControl/>
              <w:jc w:val="center"/>
              <w:rPr>
                <w:rFonts w:hint="eastAsia" w:ascii="Times New Roman" w:hAnsi="Times New Roman" w:eastAsia="仿宋_GB2312" w:cs="Times New Roman"/>
                <w:color w:val="auto"/>
                <w:kern w:val="0"/>
                <w:sz w:val="21"/>
                <w:szCs w:val="20"/>
                <w:lang w:val="en-US" w:eastAsia="zh-CN" w:bidi="ar-SA"/>
              </w:rPr>
            </w:pPr>
            <w:r>
              <w:rPr>
                <w:rFonts w:hint="eastAsia" w:eastAsia="仿宋_GB2312"/>
                <w:color w:val="auto"/>
                <w:kern w:val="0"/>
                <w:szCs w:val="20"/>
              </w:rPr>
              <w:t>玻璃钢</w:t>
            </w:r>
          </w:p>
        </w:tc>
        <w:tc>
          <w:tcPr>
            <w:tcW w:w="843" w:type="pct"/>
            <w:shd w:val="clear" w:color="auto" w:fill="auto"/>
            <w:tcMar>
              <w:top w:w="15" w:type="dxa"/>
              <w:left w:w="15" w:type="dxa"/>
              <w:bottom w:w="0" w:type="dxa"/>
              <w:right w:w="15" w:type="dxa"/>
            </w:tcMar>
            <w:vAlign w:val="center"/>
          </w:tcPr>
          <w:p w14:paraId="1A211D3E">
            <w:pPr>
              <w:widowControl/>
              <w:jc w:val="center"/>
              <w:rPr>
                <w:rFonts w:hint="default" w:eastAsia="仿宋_GB2312"/>
                <w:color w:val="auto"/>
                <w:kern w:val="0"/>
                <w:szCs w:val="20"/>
                <w:lang w:val="en-US" w:eastAsia="zh-CN"/>
              </w:rPr>
            </w:pPr>
            <w:r>
              <w:rPr>
                <w:rFonts w:hint="eastAsia" w:eastAsia="仿宋_GB2312"/>
                <w:color w:val="auto"/>
                <w:kern w:val="0"/>
                <w:szCs w:val="20"/>
                <w:lang w:val="en-US" w:eastAsia="zh-CN"/>
              </w:rPr>
              <w:t>2</w:t>
            </w:r>
          </w:p>
        </w:tc>
        <w:tc>
          <w:tcPr>
            <w:tcW w:w="828" w:type="pct"/>
            <w:shd w:val="clear" w:color="auto" w:fill="auto"/>
            <w:vAlign w:val="center"/>
          </w:tcPr>
          <w:p w14:paraId="2557AABE">
            <w:pPr>
              <w:widowControl/>
              <w:jc w:val="center"/>
              <w:rPr>
                <w:rFonts w:eastAsia="仿宋_GB2312"/>
                <w:color w:val="auto"/>
                <w:kern w:val="0"/>
                <w:szCs w:val="20"/>
              </w:rPr>
            </w:pPr>
            <w:r>
              <w:rPr>
                <w:rFonts w:hint="eastAsia" w:eastAsia="仿宋_GB2312"/>
                <w:color w:val="auto"/>
                <w:kern w:val="0"/>
                <w:szCs w:val="20"/>
                <w:lang w:val="en-US" w:eastAsia="zh-CN"/>
              </w:rPr>
              <w:t>本次不涉及</w:t>
            </w:r>
          </w:p>
        </w:tc>
      </w:tr>
      <w:tr w14:paraId="55B8396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12" w:hRule="atLeast"/>
        </w:trPr>
        <w:tc>
          <w:tcPr>
            <w:tcW w:w="799" w:type="pct"/>
            <w:vMerge w:val="restart"/>
            <w:tcMar>
              <w:top w:w="15" w:type="dxa"/>
              <w:left w:w="15" w:type="dxa"/>
              <w:bottom w:w="0" w:type="dxa"/>
              <w:right w:w="15" w:type="dxa"/>
            </w:tcMar>
            <w:vAlign w:val="center"/>
          </w:tcPr>
          <w:p w14:paraId="681E0E5A">
            <w:pPr>
              <w:widowControl/>
              <w:jc w:val="center"/>
              <w:rPr>
                <w:rFonts w:eastAsia="仿宋_GB2312"/>
                <w:color w:val="auto"/>
                <w:kern w:val="0"/>
                <w:szCs w:val="20"/>
              </w:rPr>
            </w:pPr>
            <w:r>
              <w:rPr>
                <w:rFonts w:eastAsia="仿宋_GB2312"/>
                <w:color w:val="auto"/>
                <w:kern w:val="0"/>
                <w:szCs w:val="20"/>
              </w:rPr>
              <w:t>中和混凝沉淀池</w:t>
            </w:r>
          </w:p>
        </w:tc>
        <w:tc>
          <w:tcPr>
            <w:tcW w:w="752" w:type="pct"/>
            <w:vAlign w:val="center"/>
          </w:tcPr>
          <w:p w14:paraId="6419881B">
            <w:pPr>
              <w:widowControl/>
              <w:jc w:val="center"/>
              <w:rPr>
                <w:rFonts w:eastAsia="仿宋_GB2312"/>
                <w:color w:val="auto"/>
                <w:kern w:val="0"/>
                <w:szCs w:val="20"/>
              </w:rPr>
            </w:pPr>
            <w:r>
              <w:rPr>
                <w:rFonts w:eastAsia="仿宋_GB2312"/>
                <w:color w:val="auto"/>
                <w:kern w:val="0"/>
                <w:szCs w:val="20"/>
              </w:rPr>
              <w:t>中和池</w:t>
            </w:r>
          </w:p>
        </w:tc>
        <w:tc>
          <w:tcPr>
            <w:tcW w:w="1028" w:type="pct"/>
            <w:tcMar>
              <w:top w:w="15" w:type="dxa"/>
              <w:left w:w="15" w:type="dxa"/>
              <w:bottom w:w="0" w:type="dxa"/>
              <w:right w:w="15" w:type="dxa"/>
            </w:tcMar>
            <w:vAlign w:val="center"/>
          </w:tcPr>
          <w:p w14:paraId="428765DA">
            <w:pPr>
              <w:widowControl/>
              <w:jc w:val="center"/>
              <w:rPr>
                <w:rFonts w:eastAsia="仿宋_GB2312"/>
                <w:color w:val="auto"/>
                <w:kern w:val="0"/>
                <w:szCs w:val="20"/>
              </w:rPr>
            </w:pPr>
            <w:r>
              <w:rPr>
                <w:rFonts w:eastAsia="仿宋_GB2312"/>
                <w:color w:val="auto"/>
                <w:kern w:val="0"/>
                <w:szCs w:val="20"/>
              </w:rPr>
              <w:t>4.0*5.0*6.2m</w:t>
            </w:r>
          </w:p>
        </w:tc>
        <w:tc>
          <w:tcPr>
            <w:tcW w:w="747" w:type="pct"/>
            <w:tcMar>
              <w:top w:w="15" w:type="dxa"/>
              <w:left w:w="15" w:type="dxa"/>
              <w:bottom w:w="0" w:type="dxa"/>
              <w:right w:w="15" w:type="dxa"/>
            </w:tcMar>
            <w:vAlign w:val="center"/>
          </w:tcPr>
          <w:p w14:paraId="5F5B2134">
            <w:pPr>
              <w:widowControl/>
              <w:jc w:val="center"/>
              <w:rPr>
                <w:rFonts w:eastAsia="仿宋_GB2312"/>
                <w:color w:val="auto"/>
                <w:kern w:val="0"/>
                <w:szCs w:val="20"/>
              </w:rPr>
            </w:pPr>
            <w:r>
              <w:rPr>
                <w:rFonts w:eastAsia="仿宋_GB2312"/>
                <w:color w:val="auto"/>
                <w:kern w:val="0"/>
                <w:szCs w:val="20"/>
              </w:rPr>
              <w:t>钢砼防腐</w:t>
            </w:r>
          </w:p>
        </w:tc>
        <w:tc>
          <w:tcPr>
            <w:tcW w:w="843" w:type="pct"/>
            <w:tcMar>
              <w:top w:w="15" w:type="dxa"/>
              <w:left w:w="15" w:type="dxa"/>
              <w:bottom w:w="0" w:type="dxa"/>
              <w:right w:w="15" w:type="dxa"/>
            </w:tcMar>
            <w:vAlign w:val="center"/>
          </w:tcPr>
          <w:p w14:paraId="4615ACE5">
            <w:pPr>
              <w:widowControl/>
              <w:jc w:val="center"/>
              <w:rPr>
                <w:rFonts w:eastAsia="仿宋_GB2312"/>
                <w:color w:val="auto"/>
                <w:kern w:val="0"/>
                <w:szCs w:val="20"/>
              </w:rPr>
            </w:pPr>
            <w:r>
              <w:rPr>
                <w:rFonts w:eastAsia="仿宋_GB2312"/>
                <w:color w:val="auto"/>
                <w:kern w:val="0"/>
                <w:szCs w:val="20"/>
              </w:rPr>
              <w:t>1</w:t>
            </w:r>
          </w:p>
        </w:tc>
        <w:tc>
          <w:tcPr>
            <w:tcW w:w="828" w:type="pct"/>
            <w:vAlign w:val="center"/>
          </w:tcPr>
          <w:p w14:paraId="4896A156">
            <w:pPr>
              <w:widowControl/>
              <w:jc w:val="center"/>
              <w:rPr>
                <w:rFonts w:eastAsia="仿宋_GB2312"/>
                <w:color w:val="auto"/>
                <w:kern w:val="0"/>
                <w:szCs w:val="20"/>
              </w:rPr>
            </w:pPr>
            <w:r>
              <w:rPr>
                <w:rFonts w:eastAsia="仿宋_GB2312"/>
                <w:color w:val="auto"/>
                <w:kern w:val="0"/>
                <w:szCs w:val="20"/>
              </w:rPr>
              <w:t>依托原有</w:t>
            </w:r>
          </w:p>
        </w:tc>
      </w:tr>
      <w:tr w14:paraId="7FEC57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12" w:hRule="atLeast"/>
        </w:trPr>
        <w:tc>
          <w:tcPr>
            <w:tcW w:w="799" w:type="pct"/>
            <w:vMerge w:val="continue"/>
            <w:tcMar>
              <w:top w:w="15" w:type="dxa"/>
              <w:left w:w="15" w:type="dxa"/>
              <w:bottom w:w="0" w:type="dxa"/>
              <w:right w:w="15" w:type="dxa"/>
            </w:tcMar>
            <w:vAlign w:val="center"/>
          </w:tcPr>
          <w:p w14:paraId="177F2A78">
            <w:pPr>
              <w:widowControl/>
              <w:jc w:val="center"/>
              <w:rPr>
                <w:rFonts w:eastAsia="仿宋_GB2312"/>
                <w:color w:val="auto"/>
                <w:kern w:val="0"/>
                <w:szCs w:val="20"/>
              </w:rPr>
            </w:pPr>
          </w:p>
        </w:tc>
        <w:tc>
          <w:tcPr>
            <w:tcW w:w="752" w:type="pct"/>
            <w:vAlign w:val="center"/>
          </w:tcPr>
          <w:p w14:paraId="048CEF5A">
            <w:pPr>
              <w:widowControl/>
              <w:jc w:val="center"/>
              <w:rPr>
                <w:rFonts w:eastAsia="仿宋_GB2312"/>
                <w:color w:val="auto"/>
                <w:kern w:val="0"/>
                <w:szCs w:val="20"/>
              </w:rPr>
            </w:pPr>
            <w:r>
              <w:rPr>
                <w:rFonts w:eastAsia="仿宋_GB2312"/>
                <w:color w:val="auto"/>
                <w:kern w:val="0"/>
                <w:szCs w:val="20"/>
              </w:rPr>
              <w:t>沉淀池</w:t>
            </w:r>
          </w:p>
        </w:tc>
        <w:tc>
          <w:tcPr>
            <w:tcW w:w="1028" w:type="pct"/>
            <w:tcMar>
              <w:top w:w="15" w:type="dxa"/>
              <w:left w:w="15" w:type="dxa"/>
              <w:bottom w:w="0" w:type="dxa"/>
              <w:right w:w="15" w:type="dxa"/>
            </w:tcMar>
            <w:vAlign w:val="center"/>
          </w:tcPr>
          <w:p w14:paraId="2DC6F430">
            <w:pPr>
              <w:adjustRightInd w:val="0"/>
              <w:snapToGrid w:val="0"/>
              <w:jc w:val="center"/>
              <w:rPr>
                <w:rFonts w:eastAsia="仿宋_GB2312"/>
                <w:color w:val="auto"/>
                <w:kern w:val="0"/>
              </w:rPr>
            </w:pPr>
            <w:r>
              <w:rPr>
                <w:rFonts w:eastAsia="仿宋_GB2312"/>
                <w:color w:val="auto"/>
                <w:kern w:val="0"/>
                <w:szCs w:val="20"/>
              </w:rPr>
              <w:t>Φ3.0*4.5m</w:t>
            </w:r>
          </w:p>
        </w:tc>
        <w:tc>
          <w:tcPr>
            <w:tcW w:w="747" w:type="pct"/>
            <w:tcMar>
              <w:top w:w="15" w:type="dxa"/>
              <w:left w:w="15" w:type="dxa"/>
              <w:bottom w:w="0" w:type="dxa"/>
              <w:right w:w="15" w:type="dxa"/>
            </w:tcMar>
            <w:vAlign w:val="center"/>
          </w:tcPr>
          <w:p w14:paraId="44929A85">
            <w:pPr>
              <w:widowControl/>
              <w:jc w:val="center"/>
              <w:rPr>
                <w:rFonts w:eastAsia="仿宋_GB2312"/>
                <w:color w:val="auto"/>
                <w:kern w:val="0"/>
                <w:szCs w:val="20"/>
              </w:rPr>
            </w:pPr>
            <w:r>
              <w:rPr>
                <w:rFonts w:eastAsia="仿宋_GB2312"/>
                <w:color w:val="auto"/>
                <w:kern w:val="0"/>
                <w:szCs w:val="20"/>
              </w:rPr>
              <w:t>钢砼防腐</w:t>
            </w:r>
          </w:p>
        </w:tc>
        <w:tc>
          <w:tcPr>
            <w:tcW w:w="843" w:type="pct"/>
            <w:tcMar>
              <w:top w:w="15" w:type="dxa"/>
              <w:left w:w="15" w:type="dxa"/>
              <w:bottom w:w="0" w:type="dxa"/>
              <w:right w:w="15" w:type="dxa"/>
            </w:tcMar>
            <w:vAlign w:val="center"/>
          </w:tcPr>
          <w:p w14:paraId="473ECC4A">
            <w:pPr>
              <w:widowControl/>
              <w:jc w:val="center"/>
              <w:rPr>
                <w:rFonts w:eastAsia="仿宋_GB2312"/>
                <w:color w:val="auto"/>
                <w:kern w:val="0"/>
                <w:szCs w:val="20"/>
              </w:rPr>
            </w:pPr>
            <w:r>
              <w:rPr>
                <w:rFonts w:eastAsia="仿宋_GB2312"/>
                <w:color w:val="auto"/>
                <w:kern w:val="0"/>
                <w:szCs w:val="20"/>
              </w:rPr>
              <w:t>1</w:t>
            </w:r>
          </w:p>
        </w:tc>
        <w:tc>
          <w:tcPr>
            <w:tcW w:w="828" w:type="pct"/>
            <w:vAlign w:val="center"/>
          </w:tcPr>
          <w:p w14:paraId="4F3002E8">
            <w:pPr>
              <w:widowControl/>
              <w:jc w:val="center"/>
              <w:rPr>
                <w:rFonts w:eastAsia="仿宋_GB2312"/>
                <w:color w:val="auto"/>
                <w:kern w:val="0"/>
                <w:szCs w:val="20"/>
              </w:rPr>
            </w:pPr>
            <w:r>
              <w:rPr>
                <w:rFonts w:eastAsia="仿宋_GB2312"/>
                <w:color w:val="auto"/>
                <w:kern w:val="0"/>
                <w:szCs w:val="20"/>
              </w:rPr>
              <w:t>依托原有</w:t>
            </w:r>
          </w:p>
        </w:tc>
      </w:tr>
      <w:tr w14:paraId="4E8A98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12" w:hRule="atLeast"/>
        </w:trPr>
        <w:tc>
          <w:tcPr>
            <w:tcW w:w="1551" w:type="pct"/>
            <w:gridSpan w:val="2"/>
            <w:tcMar>
              <w:top w:w="15" w:type="dxa"/>
              <w:left w:w="15" w:type="dxa"/>
              <w:bottom w:w="0" w:type="dxa"/>
              <w:right w:w="15" w:type="dxa"/>
            </w:tcMar>
            <w:vAlign w:val="center"/>
          </w:tcPr>
          <w:p w14:paraId="28F1EF74">
            <w:pPr>
              <w:widowControl/>
              <w:jc w:val="center"/>
              <w:rPr>
                <w:rFonts w:eastAsia="仿宋_GB2312"/>
                <w:color w:val="auto"/>
                <w:kern w:val="0"/>
                <w:szCs w:val="20"/>
              </w:rPr>
            </w:pPr>
            <w:r>
              <w:rPr>
                <w:rFonts w:eastAsia="仿宋_GB2312"/>
                <w:color w:val="auto"/>
                <w:kern w:val="0"/>
                <w:szCs w:val="20"/>
              </w:rPr>
              <w:t>蒸发前收集池1</w:t>
            </w:r>
          </w:p>
        </w:tc>
        <w:tc>
          <w:tcPr>
            <w:tcW w:w="1028" w:type="pct"/>
            <w:tcMar>
              <w:top w:w="15" w:type="dxa"/>
              <w:left w:w="15" w:type="dxa"/>
              <w:bottom w:w="0" w:type="dxa"/>
              <w:right w:w="15" w:type="dxa"/>
            </w:tcMar>
            <w:vAlign w:val="center"/>
          </w:tcPr>
          <w:p w14:paraId="647BF8CD">
            <w:pPr>
              <w:widowControl/>
              <w:jc w:val="center"/>
              <w:rPr>
                <w:rFonts w:eastAsia="仿宋_GB2312"/>
                <w:color w:val="auto"/>
                <w:kern w:val="0"/>
                <w:szCs w:val="20"/>
              </w:rPr>
            </w:pPr>
            <w:r>
              <w:rPr>
                <w:rFonts w:eastAsia="仿宋_GB2312"/>
                <w:color w:val="auto"/>
                <w:kern w:val="0"/>
                <w:szCs w:val="20"/>
              </w:rPr>
              <w:t>25m×2.7m×H3.0m</w:t>
            </w:r>
          </w:p>
        </w:tc>
        <w:tc>
          <w:tcPr>
            <w:tcW w:w="747" w:type="pct"/>
            <w:tcMar>
              <w:top w:w="15" w:type="dxa"/>
              <w:left w:w="15" w:type="dxa"/>
              <w:bottom w:w="0" w:type="dxa"/>
              <w:right w:w="15" w:type="dxa"/>
            </w:tcMar>
            <w:vAlign w:val="center"/>
          </w:tcPr>
          <w:p w14:paraId="0304AB24">
            <w:pPr>
              <w:widowControl/>
              <w:jc w:val="center"/>
              <w:rPr>
                <w:rFonts w:eastAsia="仿宋_GB2312"/>
                <w:color w:val="auto"/>
                <w:kern w:val="0"/>
                <w:szCs w:val="20"/>
              </w:rPr>
            </w:pPr>
            <w:r>
              <w:rPr>
                <w:rFonts w:eastAsia="仿宋_GB2312"/>
                <w:color w:val="auto"/>
                <w:kern w:val="0"/>
                <w:szCs w:val="20"/>
              </w:rPr>
              <w:t>钢砼防腐</w:t>
            </w:r>
          </w:p>
        </w:tc>
        <w:tc>
          <w:tcPr>
            <w:tcW w:w="843" w:type="pct"/>
            <w:tcMar>
              <w:top w:w="15" w:type="dxa"/>
              <w:left w:w="15" w:type="dxa"/>
              <w:bottom w:w="0" w:type="dxa"/>
              <w:right w:w="15" w:type="dxa"/>
            </w:tcMar>
            <w:vAlign w:val="center"/>
          </w:tcPr>
          <w:p w14:paraId="65262F4F">
            <w:pPr>
              <w:widowControl/>
              <w:jc w:val="center"/>
              <w:rPr>
                <w:rFonts w:eastAsia="仿宋_GB2312"/>
                <w:color w:val="auto"/>
                <w:kern w:val="0"/>
                <w:szCs w:val="20"/>
              </w:rPr>
            </w:pPr>
            <w:r>
              <w:rPr>
                <w:rFonts w:eastAsia="仿宋_GB2312"/>
                <w:color w:val="auto"/>
                <w:kern w:val="0"/>
                <w:szCs w:val="20"/>
              </w:rPr>
              <w:t>1</w:t>
            </w:r>
          </w:p>
        </w:tc>
        <w:tc>
          <w:tcPr>
            <w:tcW w:w="828" w:type="pct"/>
            <w:vAlign w:val="center"/>
          </w:tcPr>
          <w:p w14:paraId="04F1E27D">
            <w:pPr>
              <w:widowControl/>
              <w:jc w:val="center"/>
              <w:rPr>
                <w:rFonts w:eastAsia="仿宋_GB2312"/>
                <w:color w:val="auto"/>
                <w:kern w:val="0"/>
                <w:szCs w:val="20"/>
              </w:rPr>
            </w:pPr>
            <w:r>
              <w:rPr>
                <w:rFonts w:eastAsia="仿宋_GB2312"/>
                <w:color w:val="auto"/>
                <w:kern w:val="0"/>
                <w:szCs w:val="20"/>
              </w:rPr>
              <w:t>依托原有</w:t>
            </w:r>
          </w:p>
        </w:tc>
      </w:tr>
      <w:tr w14:paraId="71BBAE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12" w:hRule="atLeast"/>
        </w:trPr>
        <w:tc>
          <w:tcPr>
            <w:tcW w:w="1551" w:type="pct"/>
            <w:gridSpan w:val="2"/>
            <w:tcMar>
              <w:top w:w="15" w:type="dxa"/>
              <w:left w:w="15" w:type="dxa"/>
              <w:bottom w:w="0" w:type="dxa"/>
              <w:right w:w="15" w:type="dxa"/>
            </w:tcMar>
            <w:vAlign w:val="center"/>
          </w:tcPr>
          <w:p w14:paraId="3605435E">
            <w:pPr>
              <w:widowControl/>
              <w:jc w:val="center"/>
              <w:rPr>
                <w:rFonts w:eastAsia="仿宋_GB2312"/>
                <w:color w:val="auto"/>
                <w:kern w:val="0"/>
                <w:szCs w:val="20"/>
              </w:rPr>
            </w:pPr>
            <w:r>
              <w:rPr>
                <w:rFonts w:eastAsia="仿宋_GB2312"/>
                <w:color w:val="auto"/>
                <w:kern w:val="0"/>
                <w:szCs w:val="20"/>
              </w:rPr>
              <w:t>蒸发前收集池2</w:t>
            </w:r>
          </w:p>
        </w:tc>
        <w:tc>
          <w:tcPr>
            <w:tcW w:w="1028" w:type="pct"/>
            <w:tcMar>
              <w:top w:w="15" w:type="dxa"/>
              <w:left w:w="15" w:type="dxa"/>
              <w:bottom w:w="0" w:type="dxa"/>
              <w:right w:w="15" w:type="dxa"/>
            </w:tcMar>
            <w:vAlign w:val="center"/>
          </w:tcPr>
          <w:p w14:paraId="02F63D7A">
            <w:pPr>
              <w:widowControl/>
              <w:jc w:val="center"/>
              <w:rPr>
                <w:rFonts w:eastAsia="仿宋_GB2312"/>
                <w:color w:val="auto"/>
                <w:kern w:val="0"/>
                <w:szCs w:val="20"/>
              </w:rPr>
            </w:pPr>
            <w:r>
              <w:rPr>
                <w:rFonts w:eastAsia="仿宋_GB2312"/>
                <w:color w:val="auto"/>
                <w:kern w:val="0"/>
                <w:szCs w:val="20"/>
              </w:rPr>
              <w:t>25m×2.7m×H3.0m</w:t>
            </w:r>
          </w:p>
        </w:tc>
        <w:tc>
          <w:tcPr>
            <w:tcW w:w="747" w:type="pct"/>
            <w:tcMar>
              <w:top w:w="15" w:type="dxa"/>
              <w:left w:w="15" w:type="dxa"/>
              <w:bottom w:w="0" w:type="dxa"/>
              <w:right w:w="15" w:type="dxa"/>
            </w:tcMar>
            <w:vAlign w:val="center"/>
          </w:tcPr>
          <w:p w14:paraId="3BA11A02">
            <w:pPr>
              <w:widowControl/>
              <w:jc w:val="center"/>
              <w:rPr>
                <w:rFonts w:eastAsia="仿宋_GB2312"/>
                <w:color w:val="auto"/>
                <w:kern w:val="0"/>
                <w:szCs w:val="20"/>
              </w:rPr>
            </w:pPr>
            <w:r>
              <w:rPr>
                <w:rFonts w:eastAsia="仿宋_GB2312"/>
                <w:color w:val="auto"/>
                <w:kern w:val="0"/>
                <w:szCs w:val="20"/>
              </w:rPr>
              <w:t>钢砼防腐</w:t>
            </w:r>
          </w:p>
        </w:tc>
        <w:tc>
          <w:tcPr>
            <w:tcW w:w="843" w:type="pct"/>
            <w:tcMar>
              <w:top w:w="15" w:type="dxa"/>
              <w:left w:w="15" w:type="dxa"/>
              <w:bottom w:w="0" w:type="dxa"/>
              <w:right w:w="15" w:type="dxa"/>
            </w:tcMar>
            <w:vAlign w:val="center"/>
          </w:tcPr>
          <w:p w14:paraId="2E6F8A68">
            <w:pPr>
              <w:widowControl/>
              <w:jc w:val="center"/>
              <w:rPr>
                <w:rFonts w:eastAsia="仿宋_GB2312"/>
                <w:color w:val="auto"/>
                <w:kern w:val="0"/>
                <w:szCs w:val="20"/>
              </w:rPr>
            </w:pPr>
            <w:r>
              <w:rPr>
                <w:rFonts w:eastAsia="仿宋_GB2312"/>
                <w:color w:val="auto"/>
                <w:kern w:val="0"/>
                <w:szCs w:val="20"/>
              </w:rPr>
              <w:t>1</w:t>
            </w:r>
          </w:p>
        </w:tc>
        <w:tc>
          <w:tcPr>
            <w:tcW w:w="828" w:type="pct"/>
            <w:vAlign w:val="center"/>
          </w:tcPr>
          <w:p w14:paraId="081D93CC">
            <w:pPr>
              <w:widowControl/>
              <w:jc w:val="center"/>
              <w:rPr>
                <w:rFonts w:eastAsia="仿宋_GB2312"/>
                <w:color w:val="auto"/>
                <w:kern w:val="0"/>
                <w:szCs w:val="20"/>
              </w:rPr>
            </w:pPr>
            <w:r>
              <w:rPr>
                <w:rFonts w:eastAsia="仿宋_GB2312"/>
                <w:color w:val="auto"/>
                <w:kern w:val="0"/>
                <w:szCs w:val="20"/>
              </w:rPr>
              <w:t>依托原有</w:t>
            </w:r>
          </w:p>
        </w:tc>
      </w:tr>
      <w:tr w14:paraId="556249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12" w:hRule="atLeast"/>
        </w:trPr>
        <w:tc>
          <w:tcPr>
            <w:tcW w:w="1551" w:type="pct"/>
            <w:gridSpan w:val="2"/>
            <w:tcMar>
              <w:top w:w="15" w:type="dxa"/>
              <w:left w:w="15" w:type="dxa"/>
              <w:bottom w:w="0" w:type="dxa"/>
              <w:right w:w="15" w:type="dxa"/>
            </w:tcMar>
            <w:vAlign w:val="center"/>
          </w:tcPr>
          <w:p w14:paraId="4829448B">
            <w:pPr>
              <w:widowControl/>
              <w:jc w:val="center"/>
              <w:rPr>
                <w:rFonts w:eastAsia="仿宋_GB2312"/>
                <w:color w:val="auto"/>
                <w:kern w:val="0"/>
                <w:szCs w:val="20"/>
              </w:rPr>
            </w:pPr>
            <w:r>
              <w:rPr>
                <w:rFonts w:eastAsia="仿宋_GB2312"/>
                <w:color w:val="auto"/>
                <w:kern w:val="0"/>
                <w:szCs w:val="20"/>
              </w:rPr>
              <w:t>搅拌机</w:t>
            </w:r>
          </w:p>
        </w:tc>
        <w:tc>
          <w:tcPr>
            <w:tcW w:w="1028" w:type="pct"/>
            <w:tcMar>
              <w:top w:w="15" w:type="dxa"/>
              <w:left w:w="15" w:type="dxa"/>
              <w:bottom w:w="0" w:type="dxa"/>
              <w:right w:w="15" w:type="dxa"/>
            </w:tcMar>
            <w:vAlign w:val="center"/>
          </w:tcPr>
          <w:p w14:paraId="723761BC">
            <w:pPr>
              <w:widowControl/>
              <w:jc w:val="center"/>
              <w:rPr>
                <w:rFonts w:eastAsia="仿宋_GB2312"/>
                <w:color w:val="auto"/>
                <w:kern w:val="0"/>
                <w:szCs w:val="20"/>
              </w:rPr>
            </w:pPr>
            <w:r>
              <w:rPr>
                <w:rFonts w:eastAsia="仿宋_GB2312"/>
                <w:color w:val="auto"/>
                <w:kern w:val="0"/>
                <w:szCs w:val="20"/>
              </w:rPr>
              <w:t>1.5kw</w:t>
            </w:r>
          </w:p>
        </w:tc>
        <w:tc>
          <w:tcPr>
            <w:tcW w:w="747" w:type="pct"/>
            <w:tcMar>
              <w:top w:w="15" w:type="dxa"/>
              <w:left w:w="15" w:type="dxa"/>
              <w:bottom w:w="0" w:type="dxa"/>
              <w:right w:w="15" w:type="dxa"/>
            </w:tcMar>
            <w:vAlign w:val="center"/>
          </w:tcPr>
          <w:p w14:paraId="51AD4FF3">
            <w:pPr>
              <w:widowControl/>
              <w:jc w:val="center"/>
              <w:rPr>
                <w:rFonts w:eastAsia="仿宋_GB2312"/>
                <w:color w:val="auto"/>
                <w:kern w:val="0"/>
                <w:szCs w:val="20"/>
              </w:rPr>
            </w:pPr>
            <w:r>
              <w:rPr>
                <w:rFonts w:eastAsia="仿宋_GB2312"/>
                <w:color w:val="auto"/>
                <w:kern w:val="0"/>
                <w:szCs w:val="20"/>
              </w:rPr>
              <w:t>不锈钢桨叶</w:t>
            </w:r>
          </w:p>
        </w:tc>
        <w:tc>
          <w:tcPr>
            <w:tcW w:w="843" w:type="pct"/>
            <w:tcMar>
              <w:top w:w="15" w:type="dxa"/>
              <w:left w:w="15" w:type="dxa"/>
              <w:bottom w:w="0" w:type="dxa"/>
              <w:right w:w="15" w:type="dxa"/>
            </w:tcMar>
            <w:vAlign w:val="center"/>
          </w:tcPr>
          <w:p w14:paraId="00E0F16D">
            <w:pPr>
              <w:widowControl/>
              <w:jc w:val="center"/>
              <w:rPr>
                <w:rFonts w:eastAsia="仿宋_GB2312"/>
                <w:color w:val="auto"/>
                <w:kern w:val="0"/>
                <w:szCs w:val="20"/>
              </w:rPr>
            </w:pPr>
            <w:r>
              <w:rPr>
                <w:rFonts w:eastAsia="仿宋_GB2312"/>
                <w:color w:val="auto"/>
                <w:kern w:val="0"/>
                <w:szCs w:val="20"/>
              </w:rPr>
              <w:t>8</w:t>
            </w:r>
          </w:p>
        </w:tc>
        <w:tc>
          <w:tcPr>
            <w:tcW w:w="828" w:type="pct"/>
            <w:vAlign w:val="center"/>
          </w:tcPr>
          <w:p w14:paraId="509A9566">
            <w:pPr>
              <w:widowControl/>
              <w:jc w:val="center"/>
              <w:rPr>
                <w:rFonts w:eastAsia="仿宋_GB2312"/>
                <w:color w:val="auto"/>
                <w:kern w:val="0"/>
                <w:szCs w:val="20"/>
              </w:rPr>
            </w:pPr>
            <w:r>
              <w:rPr>
                <w:rFonts w:eastAsia="仿宋_GB2312"/>
                <w:color w:val="auto"/>
                <w:kern w:val="0"/>
                <w:szCs w:val="20"/>
              </w:rPr>
              <w:t>依托原有</w:t>
            </w:r>
          </w:p>
        </w:tc>
      </w:tr>
      <w:tr w14:paraId="60FF42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12" w:hRule="atLeast"/>
        </w:trPr>
        <w:tc>
          <w:tcPr>
            <w:tcW w:w="1551" w:type="pct"/>
            <w:gridSpan w:val="2"/>
            <w:tcMar>
              <w:top w:w="15" w:type="dxa"/>
              <w:left w:w="15" w:type="dxa"/>
              <w:bottom w:w="0" w:type="dxa"/>
              <w:right w:w="15" w:type="dxa"/>
            </w:tcMar>
            <w:vAlign w:val="center"/>
          </w:tcPr>
          <w:p w14:paraId="36B3BB3E">
            <w:pPr>
              <w:widowControl/>
              <w:jc w:val="center"/>
              <w:rPr>
                <w:rFonts w:eastAsia="仿宋_GB2312"/>
                <w:color w:val="auto"/>
                <w:kern w:val="0"/>
                <w:szCs w:val="20"/>
              </w:rPr>
            </w:pPr>
            <w:r>
              <w:rPr>
                <w:rFonts w:eastAsia="仿宋_GB2312"/>
                <w:color w:val="auto"/>
                <w:kern w:val="0"/>
                <w:szCs w:val="20"/>
              </w:rPr>
              <w:t>硫酸罐</w:t>
            </w:r>
          </w:p>
        </w:tc>
        <w:tc>
          <w:tcPr>
            <w:tcW w:w="1028" w:type="pct"/>
            <w:tcMar>
              <w:top w:w="15" w:type="dxa"/>
              <w:left w:w="15" w:type="dxa"/>
              <w:bottom w:w="0" w:type="dxa"/>
              <w:right w:w="15" w:type="dxa"/>
            </w:tcMar>
            <w:vAlign w:val="center"/>
          </w:tcPr>
          <w:p w14:paraId="2822FC5C">
            <w:pPr>
              <w:widowControl/>
              <w:jc w:val="center"/>
              <w:rPr>
                <w:rFonts w:eastAsia="仿宋_GB2312"/>
                <w:color w:val="auto"/>
                <w:kern w:val="0"/>
                <w:szCs w:val="20"/>
              </w:rPr>
            </w:pPr>
            <w:r>
              <w:rPr>
                <w:rFonts w:eastAsia="仿宋_GB2312"/>
                <w:color w:val="auto"/>
                <w:kern w:val="0"/>
                <w:szCs w:val="20"/>
              </w:rPr>
              <w:t>8m</w:t>
            </w:r>
            <w:r>
              <w:rPr>
                <w:rFonts w:eastAsia="仿宋_GB2312"/>
                <w:color w:val="auto"/>
                <w:kern w:val="0"/>
                <w:szCs w:val="20"/>
                <w:vertAlign w:val="superscript"/>
              </w:rPr>
              <w:t>3</w:t>
            </w:r>
          </w:p>
        </w:tc>
        <w:tc>
          <w:tcPr>
            <w:tcW w:w="747" w:type="pct"/>
            <w:tcMar>
              <w:top w:w="15" w:type="dxa"/>
              <w:left w:w="15" w:type="dxa"/>
              <w:bottom w:w="0" w:type="dxa"/>
              <w:right w:w="15" w:type="dxa"/>
            </w:tcMar>
            <w:vAlign w:val="center"/>
          </w:tcPr>
          <w:p w14:paraId="61383029">
            <w:pPr>
              <w:widowControl/>
              <w:jc w:val="center"/>
              <w:rPr>
                <w:rFonts w:eastAsia="仿宋_GB2312"/>
                <w:color w:val="auto"/>
                <w:kern w:val="0"/>
                <w:szCs w:val="20"/>
              </w:rPr>
            </w:pPr>
            <w:r>
              <w:rPr>
                <w:rFonts w:eastAsia="仿宋_GB2312"/>
                <w:color w:val="auto"/>
                <w:kern w:val="0"/>
                <w:szCs w:val="20"/>
              </w:rPr>
              <w:t>PP</w:t>
            </w:r>
          </w:p>
        </w:tc>
        <w:tc>
          <w:tcPr>
            <w:tcW w:w="843" w:type="pct"/>
            <w:tcMar>
              <w:top w:w="15" w:type="dxa"/>
              <w:left w:w="15" w:type="dxa"/>
              <w:bottom w:w="0" w:type="dxa"/>
              <w:right w:w="15" w:type="dxa"/>
            </w:tcMar>
            <w:vAlign w:val="center"/>
          </w:tcPr>
          <w:p w14:paraId="439C6D76">
            <w:pPr>
              <w:widowControl/>
              <w:jc w:val="center"/>
              <w:rPr>
                <w:rFonts w:eastAsia="仿宋_GB2312"/>
                <w:color w:val="auto"/>
                <w:kern w:val="0"/>
                <w:szCs w:val="20"/>
              </w:rPr>
            </w:pPr>
            <w:r>
              <w:rPr>
                <w:rFonts w:eastAsia="仿宋_GB2312"/>
                <w:color w:val="auto"/>
                <w:kern w:val="0"/>
                <w:szCs w:val="20"/>
              </w:rPr>
              <w:t>1</w:t>
            </w:r>
          </w:p>
        </w:tc>
        <w:tc>
          <w:tcPr>
            <w:tcW w:w="828" w:type="pct"/>
            <w:vAlign w:val="center"/>
          </w:tcPr>
          <w:p w14:paraId="6320162A">
            <w:pPr>
              <w:widowControl/>
              <w:jc w:val="center"/>
              <w:rPr>
                <w:rFonts w:eastAsia="仿宋_GB2312"/>
                <w:color w:val="auto"/>
                <w:kern w:val="0"/>
                <w:szCs w:val="20"/>
              </w:rPr>
            </w:pPr>
            <w:r>
              <w:rPr>
                <w:rFonts w:eastAsia="仿宋_GB2312"/>
                <w:color w:val="auto"/>
                <w:kern w:val="0"/>
                <w:szCs w:val="20"/>
              </w:rPr>
              <w:t>依托原有</w:t>
            </w:r>
          </w:p>
        </w:tc>
      </w:tr>
      <w:tr w14:paraId="160BC61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12" w:hRule="atLeast"/>
        </w:trPr>
        <w:tc>
          <w:tcPr>
            <w:tcW w:w="1551" w:type="pct"/>
            <w:gridSpan w:val="2"/>
            <w:tcMar>
              <w:top w:w="15" w:type="dxa"/>
              <w:left w:w="15" w:type="dxa"/>
              <w:bottom w:w="0" w:type="dxa"/>
              <w:right w:w="15" w:type="dxa"/>
            </w:tcMar>
            <w:vAlign w:val="center"/>
          </w:tcPr>
          <w:p w14:paraId="3BA0F1D3">
            <w:pPr>
              <w:widowControl/>
              <w:jc w:val="center"/>
              <w:rPr>
                <w:rFonts w:eastAsia="仿宋_GB2312"/>
                <w:color w:val="auto"/>
                <w:kern w:val="0"/>
                <w:szCs w:val="20"/>
              </w:rPr>
            </w:pPr>
            <w:r>
              <w:rPr>
                <w:rFonts w:eastAsia="仿宋_GB2312"/>
                <w:color w:val="auto"/>
                <w:kern w:val="0"/>
                <w:szCs w:val="20"/>
              </w:rPr>
              <w:t>液碱罐</w:t>
            </w:r>
          </w:p>
        </w:tc>
        <w:tc>
          <w:tcPr>
            <w:tcW w:w="1028" w:type="pct"/>
            <w:tcMar>
              <w:top w:w="15" w:type="dxa"/>
              <w:left w:w="15" w:type="dxa"/>
              <w:bottom w:w="0" w:type="dxa"/>
              <w:right w:w="15" w:type="dxa"/>
            </w:tcMar>
            <w:vAlign w:val="center"/>
          </w:tcPr>
          <w:p w14:paraId="286A0CE9">
            <w:pPr>
              <w:widowControl/>
              <w:jc w:val="center"/>
              <w:rPr>
                <w:rFonts w:eastAsia="仿宋_GB2312"/>
                <w:color w:val="auto"/>
                <w:kern w:val="0"/>
                <w:szCs w:val="20"/>
              </w:rPr>
            </w:pPr>
            <w:r>
              <w:rPr>
                <w:rFonts w:eastAsia="仿宋_GB2312"/>
                <w:color w:val="auto"/>
                <w:kern w:val="0"/>
                <w:szCs w:val="20"/>
              </w:rPr>
              <w:t>8m</w:t>
            </w:r>
            <w:r>
              <w:rPr>
                <w:rFonts w:eastAsia="仿宋_GB2312"/>
                <w:color w:val="auto"/>
                <w:kern w:val="0"/>
                <w:szCs w:val="20"/>
                <w:vertAlign w:val="superscript"/>
              </w:rPr>
              <w:t>3</w:t>
            </w:r>
          </w:p>
        </w:tc>
        <w:tc>
          <w:tcPr>
            <w:tcW w:w="747" w:type="pct"/>
            <w:tcMar>
              <w:top w:w="15" w:type="dxa"/>
              <w:left w:w="15" w:type="dxa"/>
              <w:bottom w:w="0" w:type="dxa"/>
              <w:right w:w="15" w:type="dxa"/>
            </w:tcMar>
            <w:vAlign w:val="center"/>
          </w:tcPr>
          <w:p w14:paraId="077E17A5">
            <w:pPr>
              <w:widowControl/>
              <w:jc w:val="center"/>
              <w:rPr>
                <w:rFonts w:eastAsia="仿宋_GB2312"/>
                <w:color w:val="auto"/>
                <w:kern w:val="0"/>
                <w:szCs w:val="20"/>
              </w:rPr>
            </w:pPr>
            <w:r>
              <w:rPr>
                <w:rFonts w:eastAsia="仿宋_GB2312"/>
                <w:color w:val="auto"/>
                <w:kern w:val="0"/>
                <w:szCs w:val="20"/>
              </w:rPr>
              <w:t>PP</w:t>
            </w:r>
          </w:p>
        </w:tc>
        <w:tc>
          <w:tcPr>
            <w:tcW w:w="843" w:type="pct"/>
            <w:tcMar>
              <w:top w:w="15" w:type="dxa"/>
              <w:left w:w="15" w:type="dxa"/>
              <w:bottom w:w="0" w:type="dxa"/>
              <w:right w:w="15" w:type="dxa"/>
            </w:tcMar>
            <w:vAlign w:val="center"/>
          </w:tcPr>
          <w:p w14:paraId="0B5DD5FC">
            <w:pPr>
              <w:widowControl/>
              <w:jc w:val="center"/>
              <w:rPr>
                <w:rFonts w:eastAsia="仿宋_GB2312"/>
                <w:color w:val="auto"/>
                <w:kern w:val="0"/>
                <w:szCs w:val="20"/>
              </w:rPr>
            </w:pPr>
            <w:r>
              <w:rPr>
                <w:rFonts w:eastAsia="仿宋_GB2312"/>
                <w:color w:val="auto"/>
                <w:kern w:val="0"/>
                <w:szCs w:val="20"/>
              </w:rPr>
              <w:t>1</w:t>
            </w:r>
          </w:p>
        </w:tc>
        <w:tc>
          <w:tcPr>
            <w:tcW w:w="828" w:type="pct"/>
            <w:vAlign w:val="center"/>
          </w:tcPr>
          <w:p w14:paraId="29E6CB23">
            <w:pPr>
              <w:widowControl/>
              <w:jc w:val="center"/>
              <w:rPr>
                <w:rFonts w:eastAsia="仿宋_GB2312"/>
                <w:color w:val="auto"/>
                <w:kern w:val="0"/>
                <w:szCs w:val="20"/>
              </w:rPr>
            </w:pPr>
            <w:r>
              <w:rPr>
                <w:rFonts w:eastAsia="仿宋_GB2312"/>
                <w:color w:val="auto"/>
                <w:kern w:val="0"/>
                <w:szCs w:val="20"/>
              </w:rPr>
              <w:t>依托原有</w:t>
            </w:r>
          </w:p>
        </w:tc>
      </w:tr>
      <w:tr w14:paraId="110191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12" w:hRule="atLeast"/>
        </w:trPr>
        <w:tc>
          <w:tcPr>
            <w:tcW w:w="1551" w:type="pct"/>
            <w:gridSpan w:val="2"/>
            <w:tcMar>
              <w:top w:w="15" w:type="dxa"/>
              <w:left w:w="15" w:type="dxa"/>
              <w:bottom w:w="0" w:type="dxa"/>
              <w:right w:w="15" w:type="dxa"/>
            </w:tcMar>
            <w:vAlign w:val="center"/>
          </w:tcPr>
          <w:p w14:paraId="5CBB7264">
            <w:pPr>
              <w:widowControl/>
              <w:jc w:val="center"/>
              <w:rPr>
                <w:rFonts w:eastAsia="仿宋_GB2312"/>
                <w:color w:val="auto"/>
                <w:kern w:val="0"/>
                <w:szCs w:val="20"/>
              </w:rPr>
            </w:pPr>
            <w:r>
              <w:rPr>
                <w:rFonts w:eastAsia="仿宋_GB2312"/>
                <w:color w:val="auto"/>
                <w:kern w:val="0"/>
                <w:szCs w:val="20"/>
              </w:rPr>
              <w:t>PAC罐</w:t>
            </w:r>
          </w:p>
        </w:tc>
        <w:tc>
          <w:tcPr>
            <w:tcW w:w="1028" w:type="pct"/>
            <w:tcMar>
              <w:top w:w="15" w:type="dxa"/>
              <w:left w:w="15" w:type="dxa"/>
              <w:bottom w:w="0" w:type="dxa"/>
              <w:right w:w="15" w:type="dxa"/>
            </w:tcMar>
            <w:vAlign w:val="center"/>
          </w:tcPr>
          <w:p w14:paraId="1E2040D8">
            <w:pPr>
              <w:widowControl/>
              <w:jc w:val="center"/>
              <w:rPr>
                <w:rFonts w:eastAsia="仿宋_GB2312"/>
                <w:color w:val="auto"/>
                <w:kern w:val="0"/>
                <w:szCs w:val="20"/>
              </w:rPr>
            </w:pPr>
            <w:r>
              <w:rPr>
                <w:rFonts w:eastAsia="仿宋_GB2312"/>
                <w:color w:val="auto"/>
                <w:kern w:val="0"/>
                <w:szCs w:val="20"/>
              </w:rPr>
              <w:t>8m</w:t>
            </w:r>
            <w:r>
              <w:rPr>
                <w:rFonts w:eastAsia="仿宋_GB2312"/>
                <w:color w:val="auto"/>
                <w:kern w:val="0"/>
                <w:szCs w:val="20"/>
                <w:vertAlign w:val="superscript"/>
              </w:rPr>
              <w:t>3</w:t>
            </w:r>
          </w:p>
        </w:tc>
        <w:tc>
          <w:tcPr>
            <w:tcW w:w="747" w:type="pct"/>
            <w:tcMar>
              <w:top w:w="15" w:type="dxa"/>
              <w:left w:w="15" w:type="dxa"/>
              <w:bottom w:w="0" w:type="dxa"/>
              <w:right w:w="15" w:type="dxa"/>
            </w:tcMar>
            <w:vAlign w:val="center"/>
          </w:tcPr>
          <w:p w14:paraId="56646221">
            <w:pPr>
              <w:widowControl/>
              <w:jc w:val="center"/>
              <w:rPr>
                <w:rFonts w:eastAsia="仿宋_GB2312"/>
                <w:color w:val="auto"/>
                <w:kern w:val="0"/>
                <w:szCs w:val="20"/>
              </w:rPr>
            </w:pPr>
            <w:r>
              <w:rPr>
                <w:rFonts w:eastAsia="仿宋_GB2312"/>
                <w:color w:val="auto"/>
                <w:kern w:val="0"/>
                <w:szCs w:val="20"/>
              </w:rPr>
              <w:t>PP</w:t>
            </w:r>
          </w:p>
        </w:tc>
        <w:tc>
          <w:tcPr>
            <w:tcW w:w="843" w:type="pct"/>
            <w:tcMar>
              <w:top w:w="15" w:type="dxa"/>
              <w:left w:w="15" w:type="dxa"/>
              <w:bottom w:w="0" w:type="dxa"/>
              <w:right w:w="15" w:type="dxa"/>
            </w:tcMar>
            <w:vAlign w:val="center"/>
          </w:tcPr>
          <w:p w14:paraId="641566A6">
            <w:pPr>
              <w:widowControl/>
              <w:jc w:val="center"/>
              <w:rPr>
                <w:rFonts w:eastAsia="仿宋_GB2312"/>
                <w:color w:val="auto"/>
                <w:kern w:val="0"/>
                <w:szCs w:val="20"/>
              </w:rPr>
            </w:pPr>
            <w:r>
              <w:rPr>
                <w:rFonts w:eastAsia="仿宋_GB2312"/>
                <w:color w:val="auto"/>
                <w:kern w:val="0"/>
                <w:szCs w:val="20"/>
              </w:rPr>
              <w:t>1</w:t>
            </w:r>
          </w:p>
        </w:tc>
        <w:tc>
          <w:tcPr>
            <w:tcW w:w="828" w:type="pct"/>
            <w:vAlign w:val="center"/>
          </w:tcPr>
          <w:p w14:paraId="240FE644">
            <w:pPr>
              <w:widowControl/>
              <w:jc w:val="center"/>
              <w:rPr>
                <w:rFonts w:eastAsia="仿宋_GB2312"/>
                <w:color w:val="auto"/>
                <w:kern w:val="0"/>
                <w:szCs w:val="20"/>
              </w:rPr>
            </w:pPr>
            <w:r>
              <w:rPr>
                <w:rFonts w:eastAsia="仿宋_GB2312"/>
                <w:color w:val="auto"/>
                <w:kern w:val="0"/>
                <w:szCs w:val="20"/>
              </w:rPr>
              <w:t>依托原有</w:t>
            </w:r>
          </w:p>
        </w:tc>
      </w:tr>
      <w:tr w14:paraId="0C1C8E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12" w:hRule="atLeast"/>
        </w:trPr>
        <w:tc>
          <w:tcPr>
            <w:tcW w:w="1551" w:type="pct"/>
            <w:gridSpan w:val="2"/>
            <w:tcMar>
              <w:top w:w="15" w:type="dxa"/>
              <w:left w:w="15" w:type="dxa"/>
              <w:bottom w:w="0" w:type="dxa"/>
              <w:right w:w="15" w:type="dxa"/>
            </w:tcMar>
            <w:vAlign w:val="center"/>
          </w:tcPr>
          <w:p w14:paraId="04294AFA">
            <w:pPr>
              <w:widowControl/>
              <w:jc w:val="center"/>
              <w:rPr>
                <w:rFonts w:eastAsia="仿宋_GB2312"/>
                <w:color w:val="auto"/>
                <w:kern w:val="0"/>
                <w:szCs w:val="20"/>
              </w:rPr>
            </w:pPr>
            <w:r>
              <w:rPr>
                <w:rFonts w:eastAsia="仿宋_GB2312"/>
                <w:color w:val="auto"/>
                <w:kern w:val="0"/>
                <w:szCs w:val="20"/>
              </w:rPr>
              <w:t>PAM罐</w:t>
            </w:r>
          </w:p>
        </w:tc>
        <w:tc>
          <w:tcPr>
            <w:tcW w:w="1028" w:type="pct"/>
            <w:tcMar>
              <w:top w:w="15" w:type="dxa"/>
              <w:left w:w="15" w:type="dxa"/>
              <w:bottom w:w="0" w:type="dxa"/>
              <w:right w:w="15" w:type="dxa"/>
            </w:tcMar>
            <w:vAlign w:val="center"/>
          </w:tcPr>
          <w:p w14:paraId="3F2DFDD6">
            <w:pPr>
              <w:widowControl/>
              <w:jc w:val="center"/>
              <w:rPr>
                <w:rFonts w:eastAsia="仿宋_GB2312"/>
                <w:color w:val="auto"/>
                <w:kern w:val="0"/>
                <w:szCs w:val="20"/>
              </w:rPr>
            </w:pPr>
            <w:r>
              <w:rPr>
                <w:rFonts w:eastAsia="仿宋_GB2312"/>
                <w:color w:val="auto"/>
                <w:kern w:val="0"/>
                <w:szCs w:val="20"/>
              </w:rPr>
              <w:t>10m</w:t>
            </w:r>
            <w:r>
              <w:rPr>
                <w:rFonts w:eastAsia="仿宋_GB2312"/>
                <w:color w:val="auto"/>
                <w:kern w:val="0"/>
                <w:szCs w:val="20"/>
                <w:vertAlign w:val="superscript"/>
              </w:rPr>
              <w:t>3</w:t>
            </w:r>
          </w:p>
        </w:tc>
        <w:tc>
          <w:tcPr>
            <w:tcW w:w="747" w:type="pct"/>
            <w:tcMar>
              <w:top w:w="15" w:type="dxa"/>
              <w:left w:w="15" w:type="dxa"/>
              <w:bottom w:w="0" w:type="dxa"/>
              <w:right w:w="15" w:type="dxa"/>
            </w:tcMar>
            <w:vAlign w:val="center"/>
          </w:tcPr>
          <w:p w14:paraId="626FCA3D">
            <w:pPr>
              <w:widowControl/>
              <w:jc w:val="center"/>
              <w:rPr>
                <w:rFonts w:eastAsia="仿宋_GB2312"/>
                <w:color w:val="auto"/>
                <w:kern w:val="0"/>
                <w:szCs w:val="20"/>
              </w:rPr>
            </w:pPr>
            <w:r>
              <w:rPr>
                <w:rFonts w:eastAsia="仿宋_GB2312"/>
                <w:color w:val="auto"/>
                <w:kern w:val="0"/>
                <w:szCs w:val="20"/>
              </w:rPr>
              <w:t>PP</w:t>
            </w:r>
          </w:p>
        </w:tc>
        <w:tc>
          <w:tcPr>
            <w:tcW w:w="843" w:type="pct"/>
            <w:tcMar>
              <w:top w:w="15" w:type="dxa"/>
              <w:left w:w="15" w:type="dxa"/>
              <w:bottom w:w="0" w:type="dxa"/>
              <w:right w:w="15" w:type="dxa"/>
            </w:tcMar>
            <w:vAlign w:val="center"/>
          </w:tcPr>
          <w:p w14:paraId="75AE7BA5">
            <w:pPr>
              <w:widowControl/>
              <w:jc w:val="center"/>
              <w:rPr>
                <w:rFonts w:eastAsia="仿宋_GB2312"/>
                <w:color w:val="auto"/>
                <w:kern w:val="0"/>
                <w:szCs w:val="20"/>
              </w:rPr>
            </w:pPr>
            <w:r>
              <w:rPr>
                <w:rFonts w:eastAsia="仿宋_GB2312"/>
                <w:color w:val="auto"/>
                <w:kern w:val="0"/>
                <w:szCs w:val="20"/>
              </w:rPr>
              <w:t>1</w:t>
            </w:r>
          </w:p>
        </w:tc>
        <w:tc>
          <w:tcPr>
            <w:tcW w:w="828" w:type="pct"/>
            <w:vAlign w:val="center"/>
          </w:tcPr>
          <w:p w14:paraId="41CA61F3">
            <w:pPr>
              <w:widowControl/>
              <w:jc w:val="center"/>
              <w:rPr>
                <w:rFonts w:eastAsia="仿宋_GB2312"/>
                <w:color w:val="auto"/>
                <w:kern w:val="0"/>
                <w:szCs w:val="20"/>
              </w:rPr>
            </w:pPr>
            <w:r>
              <w:rPr>
                <w:rFonts w:eastAsia="仿宋_GB2312"/>
                <w:color w:val="auto"/>
                <w:kern w:val="0"/>
                <w:szCs w:val="20"/>
              </w:rPr>
              <w:t>依托原有</w:t>
            </w:r>
          </w:p>
        </w:tc>
      </w:tr>
      <w:tr w14:paraId="0AB3FF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12" w:hRule="atLeast"/>
        </w:trPr>
        <w:tc>
          <w:tcPr>
            <w:tcW w:w="1551" w:type="pct"/>
            <w:gridSpan w:val="2"/>
            <w:tcMar>
              <w:top w:w="15" w:type="dxa"/>
              <w:left w:w="15" w:type="dxa"/>
              <w:bottom w:w="0" w:type="dxa"/>
              <w:right w:w="15" w:type="dxa"/>
            </w:tcMar>
            <w:vAlign w:val="center"/>
          </w:tcPr>
          <w:p w14:paraId="3E97964B">
            <w:pPr>
              <w:widowControl/>
              <w:jc w:val="center"/>
              <w:rPr>
                <w:rFonts w:eastAsia="仿宋_GB2312"/>
                <w:color w:val="auto"/>
                <w:kern w:val="0"/>
                <w:szCs w:val="20"/>
              </w:rPr>
            </w:pPr>
            <w:r>
              <w:rPr>
                <w:rFonts w:eastAsia="仿宋_GB2312"/>
                <w:color w:val="auto"/>
                <w:kern w:val="0"/>
                <w:szCs w:val="20"/>
              </w:rPr>
              <w:t>压滤机</w:t>
            </w:r>
          </w:p>
        </w:tc>
        <w:tc>
          <w:tcPr>
            <w:tcW w:w="1028" w:type="pct"/>
            <w:tcMar>
              <w:top w:w="15" w:type="dxa"/>
              <w:left w:w="15" w:type="dxa"/>
              <w:bottom w:w="0" w:type="dxa"/>
              <w:right w:w="15" w:type="dxa"/>
            </w:tcMar>
            <w:vAlign w:val="center"/>
          </w:tcPr>
          <w:p w14:paraId="586D87BF">
            <w:pPr>
              <w:widowControl/>
              <w:jc w:val="center"/>
              <w:rPr>
                <w:rFonts w:eastAsia="仿宋_GB2312"/>
                <w:color w:val="auto"/>
                <w:kern w:val="0"/>
                <w:szCs w:val="20"/>
              </w:rPr>
            </w:pPr>
            <w:r>
              <w:rPr>
                <w:rFonts w:eastAsia="仿宋_GB2312"/>
                <w:color w:val="auto"/>
                <w:kern w:val="0"/>
                <w:szCs w:val="20"/>
              </w:rPr>
              <w:t>80m</w:t>
            </w:r>
            <w:r>
              <w:rPr>
                <w:rFonts w:eastAsia="仿宋_GB2312"/>
                <w:color w:val="auto"/>
                <w:kern w:val="0"/>
                <w:szCs w:val="20"/>
                <w:vertAlign w:val="superscript"/>
              </w:rPr>
              <w:t>2</w:t>
            </w:r>
          </w:p>
        </w:tc>
        <w:tc>
          <w:tcPr>
            <w:tcW w:w="747" w:type="pct"/>
            <w:tcMar>
              <w:top w:w="15" w:type="dxa"/>
              <w:left w:w="15" w:type="dxa"/>
              <w:bottom w:w="0" w:type="dxa"/>
              <w:right w:w="15" w:type="dxa"/>
            </w:tcMar>
            <w:vAlign w:val="center"/>
          </w:tcPr>
          <w:p w14:paraId="7CFD95AE">
            <w:pPr>
              <w:widowControl/>
              <w:jc w:val="center"/>
              <w:rPr>
                <w:rFonts w:eastAsia="仿宋_GB2312"/>
                <w:color w:val="auto"/>
                <w:kern w:val="0"/>
                <w:szCs w:val="20"/>
              </w:rPr>
            </w:pPr>
            <w:r>
              <w:rPr>
                <w:rFonts w:eastAsia="仿宋_GB2312"/>
                <w:color w:val="auto"/>
                <w:kern w:val="0"/>
                <w:szCs w:val="20"/>
              </w:rPr>
              <w:t>/</w:t>
            </w:r>
          </w:p>
        </w:tc>
        <w:tc>
          <w:tcPr>
            <w:tcW w:w="843" w:type="pct"/>
            <w:tcMar>
              <w:top w:w="15" w:type="dxa"/>
              <w:left w:w="15" w:type="dxa"/>
              <w:bottom w:w="0" w:type="dxa"/>
              <w:right w:w="15" w:type="dxa"/>
            </w:tcMar>
            <w:vAlign w:val="center"/>
          </w:tcPr>
          <w:p w14:paraId="2764389C">
            <w:pPr>
              <w:widowControl/>
              <w:jc w:val="center"/>
              <w:rPr>
                <w:rFonts w:eastAsia="仿宋_GB2312"/>
                <w:color w:val="auto"/>
                <w:kern w:val="0"/>
                <w:szCs w:val="20"/>
              </w:rPr>
            </w:pPr>
            <w:r>
              <w:rPr>
                <w:rFonts w:eastAsia="仿宋_GB2312"/>
                <w:color w:val="auto"/>
                <w:kern w:val="0"/>
                <w:szCs w:val="20"/>
              </w:rPr>
              <w:t>2</w:t>
            </w:r>
          </w:p>
        </w:tc>
        <w:tc>
          <w:tcPr>
            <w:tcW w:w="828" w:type="pct"/>
            <w:vAlign w:val="center"/>
          </w:tcPr>
          <w:p w14:paraId="4ADC9103">
            <w:pPr>
              <w:widowControl/>
              <w:jc w:val="center"/>
              <w:rPr>
                <w:rFonts w:eastAsia="仿宋_GB2312"/>
                <w:color w:val="auto"/>
                <w:kern w:val="0"/>
                <w:szCs w:val="20"/>
              </w:rPr>
            </w:pPr>
            <w:r>
              <w:rPr>
                <w:rFonts w:eastAsia="仿宋_GB2312"/>
                <w:color w:val="auto"/>
                <w:kern w:val="0"/>
                <w:szCs w:val="20"/>
              </w:rPr>
              <w:t>依托原有</w:t>
            </w:r>
          </w:p>
        </w:tc>
      </w:tr>
      <w:tr w14:paraId="6E851C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12" w:hRule="atLeast"/>
        </w:trPr>
        <w:tc>
          <w:tcPr>
            <w:tcW w:w="1551" w:type="pct"/>
            <w:gridSpan w:val="2"/>
            <w:tcMar>
              <w:top w:w="15" w:type="dxa"/>
              <w:left w:w="15" w:type="dxa"/>
              <w:bottom w:w="0" w:type="dxa"/>
              <w:right w:w="15" w:type="dxa"/>
            </w:tcMar>
            <w:vAlign w:val="center"/>
          </w:tcPr>
          <w:p w14:paraId="366B06EB">
            <w:pPr>
              <w:widowControl/>
              <w:jc w:val="center"/>
              <w:rPr>
                <w:rFonts w:eastAsia="仿宋_GB2312"/>
                <w:color w:val="auto"/>
                <w:kern w:val="0"/>
                <w:szCs w:val="20"/>
              </w:rPr>
            </w:pPr>
            <w:r>
              <w:rPr>
                <w:rFonts w:eastAsia="仿宋_GB2312"/>
                <w:color w:val="auto"/>
                <w:kern w:val="0"/>
                <w:szCs w:val="20"/>
              </w:rPr>
              <w:t>pH在线控制系统</w:t>
            </w:r>
          </w:p>
        </w:tc>
        <w:tc>
          <w:tcPr>
            <w:tcW w:w="1028" w:type="pct"/>
            <w:tcMar>
              <w:top w:w="15" w:type="dxa"/>
              <w:left w:w="15" w:type="dxa"/>
              <w:bottom w:w="0" w:type="dxa"/>
              <w:right w:w="15" w:type="dxa"/>
            </w:tcMar>
            <w:vAlign w:val="center"/>
          </w:tcPr>
          <w:p w14:paraId="42F52C1B">
            <w:pPr>
              <w:widowControl/>
              <w:jc w:val="center"/>
              <w:rPr>
                <w:rFonts w:eastAsia="仿宋_GB2312"/>
                <w:color w:val="auto"/>
                <w:kern w:val="0"/>
                <w:szCs w:val="20"/>
              </w:rPr>
            </w:pPr>
            <w:r>
              <w:rPr>
                <w:rFonts w:eastAsia="仿宋_GB2312"/>
                <w:color w:val="auto"/>
                <w:kern w:val="0"/>
                <w:szCs w:val="20"/>
              </w:rPr>
              <w:t>PC350</w:t>
            </w:r>
          </w:p>
        </w:tc>
        <w:tc>
          <w:tcPr>
            <w:tcW w:w="747" w:type="pct"/>
            <w:tcMar>
              <w:top w:w="15" w:type="dxa"/>
              <w:left w:w="15" w:type="dxa"/>
              <w:bottom w:w="0" w:type="dxa"/>
              <w:right w:w="15" w:type="dxa"/>
            </w:tcMar>
            <w:vAlign w:val="center"/>
          </w:tcPr>
          <w:p w14:paraId="52A9CD44">
            <w:pPr>
              <w:widowControl/>
              <w:jc w:val="center"/>
              <w:rPr>
                <w:rFonts w:eastAsia="仿宋_GB2312"/>
                <w:color w:val="auto"/>
                <w:kern w:val="0"/>
                <w:szCs w:val="20"/>
              </w:rPr>
            </w:pPr>
            <w:r>
              <w:rPr>
                <w:rFonts w:eastAsia="仿宋_GB2312"/>
                <w:color w:val="auto"/>
                <w:kern w:val="0"/>
                <w:szCs w:val="20"/>
              </w:rPr>
              <w:t>/</w:t>
            </w:r>
          </w:p>
        </w:tc>
        <w:tc>
          <w:tcPr>
            <w:tcW w:w="843" w:type="pct"/>
            <w:tcMar>
              <w:top w:w="15" w:type="dxa"/>
              <w:left w:w="15" w:type="dxa"/>
              <w:bottom w:w="0" w:type="dxa"/>
              <w:right w:w="15" w:type="dxa"/>
            </w:tcMar>
            <w:vAlign w:val="center"/>
          </w:tcPr>
          <w:p w14:paraId="57349227">
            <w:pPr>
              <w:widowControl/>
              <w:jc w:val="center"/>
              <w:rPr>
                <w:rFonts w:eastAsia="仿宋_GB2312"/>
                <w:color w:val="auto"/>
                <w:kern w:val="0"/>
                <w:szCs w:val="20"/>
              </w:rPr>
            </w:pPr>
            <w:r>
              <w:rPr>
                <w:rFonts w:eastAsia="仿宋_GB2312"/>
                <w:color w:val="auto"/>
                <w:kern w:val="0"/>
                <w:szCs w:val="20"/>
              </w:rPr>
              <w:t>4</w:t>
            </w:r>
          </w:p>
        </w:tc>
        <w:tc>
          <w:tcPr>
            <w:tcW w:w="828" w:type="pct"/>
            <w:vAlign w:val="center"/>
          </w:tcPr>
          <w:p w14:paraId="16D7C3F4">
            <w:pPr>
              <w:widowControl/>
              <w:jc w:val="center"/>
              <w:rPr>
                <w:rFonts w:eastAsia="仿宋_GB2312"/>
                <w:color w:val="auto"/>
                <w:kern w:val="0"/>
                <w:szCs w:val="20"/>
              </w:rPr>
            </w:pPr>
            <w:r>
              <w:rPr>
                <w:rFonts w:eastAsia="仿宋_GB2312"/>
                <w:color w:val="auto"/>
                <w:kern w:val="0"/>
                <w:szCs w:val="20"/>
              </w:rPr>
              <w:t>依托原有</w:t>
            </w:r>
          </w:p>
        </w:tc>
      </w:tr>
      <w:tr w14:paraId="3AC5BF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12" w:hRule="atLeast"/>
        </w:trPr>
        <w:tc>
          <w:tcPr>
            <w:tcW w:w="1551" w:type="pct"/>
            <w:gridSpan w:val="2"/>
            <w:tcMar>
              <w:top w:w="15" w:type="dxa"/>
              <w:left w:w="15" w:type="dxa"/>
              <w:bottom w:w="0" w:type="dxa"/>
              <w:right w:w="15" w:type="dxa"/>
            </w:tcMar>
            <w:vAlign w:val="center"/>
          </w:tcPr>
          <w:p w14:paraId="03AA7CDC">
            <w:pPr>
              <w:widowControl/>
              <w:jc w:val="center"/>
              <w:rPr>
                <w:rFonts w:eastAsia="仿宋_GB2312"/>
                <w:color w:val="auto"/>
                <w:kern w:val="0"/>
                <w:szCs w:val="20"/>
              </w:rPr>
            </w:pPr>
            <w:r>
              <w:rPr>
                <w:rFonts w:eastAsia="仿宋_GB2312"/>
                <w:color w:val="auto"/>
                <w:kern w:val="0"/>
                <w:szCs w:val="20"/>
              </w:rPr>
              <w:t>MVR+双效蒸发系统</w:t>
            </w:r>
          </w:p>
        </w:tc>
        <w:tc>
          <w:tcPr>
            <w:tcW w:w="1028" w:type="pct"/>
            <w:tcMar>
              <w:top w:w="15" w:type="dxa"/>
              <w:left w:w="15" w:type="dxa"/>
              <w:bottom w:w="0" w:type="dxa"/>
              <w:right w:w="15" w:type="dxa"/>
            </w:tcMar>
            <w:vAlign w:val="center"/>
          </w:tcPr>
          <w:p w14:paraId="3E84AD35">
            <w:pPr>
              <w:widowControl/>
              <w:jc w:val="center"/>
              <w:rPr>
                <w:rFonts w:eastAsia="仿宋_GB2312"/>
                <w:color w:val="auto"/>
                <w:kern w:val="0"/>
                <w:szCs w:val="20"/>
              </w:rPr>
            </w:pPr>
            <w:r>
              <w:rPr>
                <w:rFonts w:eastAsia="仿宋_GB2312"/>
                <w:color w:val="auto"/>
                <w:kern w:val="0"/>
                <w:szCs w:val="20"/>
              </w:rPr>
              <w:t>/</w:t>
            </w:r>
          </w:p>
        </w:tc>
        <w:tc>
          <w:tcPr>
            <w:tcW w:w="747" w:type="pct"/>
            <w:tcMar>
              <w:top w:w="15" w:type="dxa"/>
              <w:left w:w="15" w:type="dxa"/>
              <w:bottom w:w="0" w:type="dxa"/>
              <w:right w:w="15" w:type="dxa"/>
            </w:tcMar>
            <w:vAlign w:val="center"/>
          </w:tcPr>
          <w:p w14:paraId="02F5A752">
            <w:pPr>
              <w:widowControl/>
              <w:jc w:val="center"/>
              <w:rPr>
                <w:rFonts w:eastAsia="仿宋_GB2312"/>
                <w:color w:val="auto"/>
                <w:kern w:val="0"/>
                <w:szCs w:val="20"/>
              </w:rPr>
            </w:pPr>
            <w:r>
              <w:rPr>
                <w:rFonts w:eastAsia="仿宋_GB2312"/>
                <w:color w:val="auto"/>
                <w:kern w:val="0"/>
                <w:szCs w:val="20"/>
              </w:rPr>
              <w:t>/</w:t>
            </w:r>
          </w:p>
        </w:tc>
        <w:tc>
          <w:tcPr>
            <w:tcW w:w="843" w:type="pct"/>
            <w:tcMar>
              <w:top w:w="15" w:type="dxa"/>
              <w:left w:w="15" w:type="dxa"/>
              <w:bottom w:w="0" w:type="dxa"/>
              <w:right w:w="15" w:type="dxa"/>
            </w:tcMar>
            <w:vAlign w:val="center"/>
          </w:tcPr>
          <w:p w14:paraId="252098D5">
            <w:pPr>
              <w:widowControl/>
              <w:jc w:val="center"/>
              <w:rPr>
                <w:rFonts w:eastAsia="仿宋_GB2312"/>
                <w:color w:val="auto"/>
                <w:kern w:val="0"/>
                <w:szCs w:val="20"/>
              </w:rPr>
            </w:pPr>
            <w:r>
              <w:rPr>
                <w:rFonts w:eastAsia="仿宋_GB2312"/>
                <w:color w:val="auto"/>
                <w:kern w:val="0"/>
                <w:szCs w:val="20"/>
              </w:rPr>
              <w:t>1</w:t>
            </w:r>
          </w:p>
        </w:tc>
        <w:tc>
          <w:tcPr>
            <w:tcW w:w="828" w:type="pct"/>
            <w:vAlign w:val="center"/>
          </w:tcPr>
          <w:p w14:paraId="6E93E504">
            <w:pPr>
              <w:widowControl/>
              <w:jc w:val="center"/>
              <w:rPr>
                <w:rFonts w:eastAsia="仿宋_GB2312"/>
                <w:color w:val="auto"/>
                <w:kern w:val="0"/>
                <w:szCs w:val="20"/>
              </w:rPr>
            </w:pPr>
            <w:r>
              <w:rPr>
                <w:rFonts w:eastAsia="仿宋_GB2312"/>
                <w:color w:val="auto"/>
                <w:kern w:val="0"/>
                <w:szCs w:val="20"/>
              </w:rPr>
              <w:t>依托原有</w:t>
            </w:r>
          </w:p>
        </w:tc>
      </w:tr>
    </w:tbl>
    <w:p w14:paraId="094231D3">
      <w:pPr>
        <w:pStyle w:val="7"/>
        <w:keepLines w:val="0"/>
        <w:widowControl/>
        <w:adjustRightInd w:val="0"/>
        <w:snapToGrid w:val="0"/>
        <w:spacing w:after="120" w:afterLines="50"/>
        <w:jc w:val="left"/>
        <w:rPr>
          <w:rFonts w:ascii="Times New Roman" w:hAnsi="Times New Roman"/>
          <w:b/>
          <w:color w:val="auto"/>
        </w:rPr>
      </w:pPr>
      <w:r>
        <w:rPr>
          <w:rFonts w:ascii="Times New Roman" w:hAnsi="Times New Roman"/>
          <w:b/>
          <w:color w:val="auto"/>
        </w:rPr>
        <w:t>3.2.</w:t>
      </w:r>
      <w:r>
        <w:rPr>
          <w:rFonts w:hint="eastAsia" w:ascii="Times New Roman" w:hAnsi="Times New Roman"/>
          <w:b/>
          <w:color w:val="auto"/>
        </w:rPr>
        <w:t>5</w:t>
      </w:r>
      <w:r>
        <w:rPr>
          <w:rFonts w:ascii="Times New Roman" w:hAnsi="Times New Roman"/>
          <w:b/>
          <w:color w:val="auto"/>
        </w:rPr>
        <w:t>.2设备匹配性分析</w:t>
      </w:r>
    </w:p>
    <w:p w14:paraId="4B7E3156">
      <w:pPr>
        <w:spacing w:line="500" w:lineRule="exact"/>
        <w:ind w:firstLine="560" w:firstLineChars="200"/>
        <w:rPr>
          <w:rFonts w:eastAsia="仿宋_GB2312"/>
          <w:color w:val="auto"/>
          <w:sz w:val="28"/>
          <w:szCs w:val="28"/>
        </w:rPr>
      </w:pPr>
      <w:r>
        <w:rPr>
          <w:rFonts w:eastAsia="仿宋_GB2312"/>
          <w:color w:val="auto"/>
          <w:sz w:val="28"/>
          <w:szCs w:val="28"/>
        </w:rPr>
        <w:t>本项目设备共用情况及产品匹配性分析见表3.2-4</w:t>
      </w:r>
      <w:r>
        <w:rPr>
          <w:rFonts w:hint="eastAsia" w:eastAsia="仿宋_GB2312"/>
          <w:color w:val="auto"/>
          <w:sz w:val="28"/>
          <w:szCs w:val="28"/>
          <w:lang w:val="en-US" w:eastAsia="zh-CN"/>
        </w:rPr>
        <w:t>5</w:t>
      </w:r>
      <w:r>
        <w:rPr>
          <w:rFonts w:eastAsia="仿宋_GB2312"/>
          <w:color w:val="auto"/>
          <w:sz w:val="28"/>
          <w:szCs w:val="28"/>
        </w:rPr>
        <w:t>。</w:t>
      </w:r>
    </w:p>
    <w:p w14:paraId="4337873C">
      <w:pPr>
        <w:pStyle w:val="189"/>
        <w:ind w:firstLine="0" w:firstLineChars="0"/>
        <w:jc w:val="center"/>
        <w:rPr>
          <w:rFonts w:eastAsia="仿宋_GB2312"/>
          <w:b/>
          <w:color w:val="auto"/>
        </w:rPr>
      </w:pPr>
      <w:r>
        <w:rPr>
          <w:rFonts w:eastAsia="仿宋_GB2312"/>
          <w:b/>
          <w:color w:val="auto"/>
        </w:rPr>
        <w:t>表3.2-4</w:t>
      </w:r>
      <w:r>
        <w:rPr>
          <w:rFonts w:hint="eastAsia" w:eastAsia="仿宋_GB2312"/>
          <w:b/>
          <w:color w:val="auto"/>
          <w:lang w:val="en-US" w:eastAsia="zh-CN"/>
        </w:rPr>
        <w:t>5</w:t>
      </w:r>
      <w:r>
        <w:rPr>
          <w:rFonts w:eastAsia="仿宋_GB2312"/>
          <w:b/>
          <w:color w:val="auto"/>
        </w:rPr>
        <w:t xml:space="preserve">  设备与产能匹配性分析表</w:t>
      </w:r>
    </w:p>
    <w:tbl>
      <w:tblPr>
        <w:tblStyle w:val="88"/>
        <w:tblW w:w="4998"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1603"/>
        <w:gridCol w:w="735"/>
        <w:gridCol w:w="950"/>
        <w:gridCol w:w="2822"/>
        <w:gridCol w:w="1022"/>
        <w:gridCol w:w="1237"/>
        <w:gridCol w:w="889"/>
        <w:gridCol w:w="1189"/>
        <w:gridCol w:w="1041"/>
        <w:gridCol w:w="942"/>
        <w:gridCol w:w="835"/>
      </w:tblGrid>
      <w:tr w14:paraId="0CB702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12" w:hRule="atLeast"/>
          <w:tblHeader/>
          <w:jc w:val="center"/>
        </w:trPr>
        <w:tc>
          <w:tcPr>
            <w:tcW w:w="604" w:type="pct"/>
            <w:tcMar>
              <w:top w:w="15" w:type="dxa"/>
              <w:left w:w="15" w:type="dxa"/>
              <w:bottom w:w="0" w:type="dxa"/>
              <w:right w:w="15" w:type="dxa"/>
            </w:tcMar>
            <w:vAlign w:val="center"/>
          </w:tcPr>
          <w:p w14:paraId="444BDE37">
            <w:pPr>
              <w:widowControl/>
              <w:jc w:val="center"/>
              <w:rPr>
                <w:rFonts w:eastAsia="仿宋_GB2312"/>
                <w:b/>
                <w:kern w:val="0"/>
              </w:rPr>
            </w:pPr>
            <w:r>
              <w:rPr>
                <w:rFonts w:eastAsia="仿宋_GB2312"/>
                <w:b/>
                <w:kern w:val="0"/>
              </w:rPr>
              <w:t>处理设备</w:t>
            </w:r>
          </w:p>
        </w:tc>
        <w:tc>
          <w:tcPr>
            <w:tcW w:w="277" w:type="pct"/>
            <w:tcMar>
              <w:top w:w="15" w:type="dxa"/>
              <w:left w:w="15" w:type="dxa"/>
              <w:bottom w:w="0" w:type="dxa"/>
              <w:right w:w="15" w:type="dxa"/>
            </w:tcMar>
            <w:vAlign w:val="center"/>
          </w:tcPr>
          <w:p w14:paraId="2D98C085">
            <w:pPr>
              <w:widowControl/>
              <w:jc w:val="center"/>
              <w:rPr>
                <w:rFonts w:hint="eastAsia" w:eastAsia="仿宋_GB2312"/>
                <w:b/>
                <w:color w:val="auto"/>
                <w:kern w:val="0"/>
                <w:lang w:eastAsia="zh-CN"/>
              </w:rPr>
            </w:pPr>
            <w:r>
              <w:rPr>
                <w:rFonts w:hint="eastAsia" w:eastAsia="仿宋_GB2312"/>
                <w:b/>
                <w:color w:val="auto"/>
                <w:kern w:val="0"/>
                <w:lang w:val="en-US" w:eastAsia="zh-CN"/>
              </w:rPr>
              <w:t>套数</w:t>
            </w:r>
          </w:p>
        </w:tc>
        <w:tc>
          <w:tcPr>
            <w:tcW w:w="1421" w:type="pct"/>
            <w:gridSpan w:val="2"/>
            <w:tcMar>
              <w:top w:w="15" w:type="dxa"/>
              <w:left w:w="15" w:type="dxa"/>
              <w:bottom w:w="0" w:type="dxa"/>
              <w:right w:w="15" w:type="dxa"/>
            </w:tcMar>
            <w:vAlign w:val="center"/>
          </w:tcPr>
          <w:p w14:paraId="581E6E4E">
            <w:pPr>
              <w:widowControl/>
              <w:jc w:val="center"/>
              <w:rPr>
                <w:rFonts w:eastAsia="仿宋_GB2312"/>
                <w:b/>
                <w:color w:val="auto"/>
                <w:kern w:val="0"/>
              </w:rPr>
            </w:pPr>
            <w:r>
              <w:rPr>
                <w:rFonts w:eastAsia="仿宋_GB2312"/>
                <w:b/>
                <w:color w:val="auto"/>
                <w:kern w:val="0"/>
              </w:rPr>
              <w:t>处置物料/产品</w:t>
            </w:r>
          </w:p>
        </w:tc>
        <w:tc>
          <w:tcPr>
            <w:tcW w:w="385" w:type="pct"/>
            <w:tcMar>
              <w:top w:w="15" w:type="dxa"/>
              <w:left w:w="15" w:type="dxa"/>
              <w:bottom w:w="0" w:type="dxa"/>
              <w:right w:w="15" w:type="dxa"/>
            </w:tcMar>
            <w:vAlign w:val="center"/>
          </w:tcPr>
          <w:p w14:paraId="227A84D3">
            <w:pPr>
              <w:widowControl/>
              <w:jc w:val="center"/>
              <w:rPr>
                <w:rFonts w:eastAsia="仿宋_GB2312"/>
                <w:b/>
                <w:color w:val="auto"/>
                <w:kern w:val="0"/>
              </w:rPr>
            </w:pPr>
            <w:r>
              <w:rPr>
                <w:rFonts w:eastAsia="仿宋_GB2312"/>
                <w:b/>
                <w:color w:val="auto"/>
                <w:kern w:val="0"/>
              </w:rPr>
              <w:t>处置量</w:t>
            </w:r>
          </w:p>
          <w:p w14:paraId="51464800">
            <w:pPr>
              <w:widowControl/>
              <w:jc w:val="center"/>
              <w:rPr>
                <w:rFonts w:eastAsia="仿宋_GB2312"/>
                <w:b/>
                <w:color w:val="auto"/>
                <w:kern w:val="0"/>
              </w:rPr>
            </w:pPr>
            <w:r>
              <w:rPr>
                <w:rFonts w:eastAsia="仿宋_GB2312"/>
                <w:b/>
                <w:color w:val="auto"/>
                <w:kern w:val="0"/>
              </w:rPr>
              <w:t>（t/a）</w:t>
            </w:r>
          </w:p>
        </w:tc>
        <w:tc>
          <w:tcPr>
            <w:tcW w:w="466" w:type="pct"/>
            <w:vAlign w:val="center"/>
          </w:tcPr>
          <w:p w14:paraId="10450E6E">
            <w:pPr>
              <w:widowControl/>
              <w:jc w:val="center"/>
              <w:rPr>
                <w:rFonts w:eastAsia="仿宋_GB2312"/>
                <w:b/>
                <w:color w:val="auto"/>
                <w:kern w:val="0"/>
              </w:rPr>
            </w:pPr>
            <w:r>
              <w:rPr>
                <w:rFonts w:eastAsia="仿宋_GB2312"/>
                <w:b/>
                <w:color w:val="auto"/>
                <w:kern w:val="0"/>
              </w:rPr>
              <w:t>批次量</w:t>
            </w:r>
          </w:p>
          <w:p w14:paraId="4447510D">
            <w:pPr>
              <w:widowControl/>
              <w:jc w:val="center"/>
              <w:rPr>
                <w:rFonts w:eastAsia="仿宋_GB2312"/>
                <w:b/>
                <w:color w:val="auto"/>
                <w:kern w:val="0"/>
              </w:rPr>
            </w:pPr>
            <w:r>
              <w:rPr>
                <w:rFonts w:eastAsia="仿宋_GB2312"/>
                <w:b/>
                <w:color w:val="auto"/>
                <w:kern w:val="0"/>
              </w:rPr>
              <w:t>（kg/批次）</w:t>
            </w:r>
          </w:p>
        </w:tc>
        <w:tc>
          <w:tcPr>
            <w:tcW w:w="335" w:type="pct"/>
            <w:vAlign w:val="center"/>
          </w:tcPr>
          <w:p w14:paraId="7EFD374F">
            <w:pPr>
              <w:widowControl/>
              <w:jc w:val="center"/>
              <w:rPr>
                <w:rFonts w:eastAsia="仿宋_GB2312"/>
                <w:b/>
                <w:color w:val="auto"/>
                <w:kern w:val="0"/>
              </w:rPr>
            </w:pPr>
            <w:r>
              <w:rPr>
                <w:rFonts w:eastAsia="仿宋_GB2312"/>
                <w:b/>
                <w:color w:val="auto"/>
                <w:kern w:val="0"/>
              </w:rPr>
              <w:t>批次数</w:t>
            </w:r>
          </w:p>
        </w:tc>
        <w:tc>
          <w:tcPr>
            <w:tcW w:w="448" w:type="pct"/>
            <w:vAlign w:val="center"/>
          </w:tcPr>
          <w:p w14:paraId="533FDEDD">
            <w:pPr>
              <w:widowControl/>
              <w:jc w:val="center"/>
              <w:rPr>
                <w:rFonts w:eastAsia="仿宋_GB2312"/>
                <w:b/>
                <w:color w:val="auto"/>
                <w:kern w:val="0"/>
              </w:rPr>
            </w:pPr>
            <w:r>
              <w:rPr>
                <w:rFonts w:eastAsia="仿宋_GB2312"/>
                <w:b/>
                <w:color w:val="auto"/>
                <w:kern w:val="0"/>
              </w:rPr>
              <w:t>单批次时间</w:t>
            </w:r>
          </w:p>
          <w:p w14:paraId="5455A637">
            <w:pPr>
              <w:widowControl/>
              <w:jc w:val="center"/>
              <w:rPr>
                <w:rFonts w:eastAsia="仿宋_GB2312"/>
                <w:b/>
                <w:color w:val="auto"/>
                <w:kern w:val="0"/>
              </w:rPr>
            </w:pPr>
            <w:r>
              <w:rPr>
                <w:rFonts w:eastAsia="仿宋_GB2312"/>
                <w:b/>
                <w:color w:val="auto"/>
                <w:kern w:val="0"/>
              </w:rPr>
              <w:t>（h/批次）</w:t>
            </w:r>
          </w:p>
        </w:tc>
        <w:tc>
          <w:tcPr>
            <w:tcW w:w="392" w:type="pct"/>
            <w:vAlign w:val="center"/>
          </w:tcPr>
          <w:p w14:paraId="74D67554">
            <w:pPr>
              <w:widowControl/>
              <w:jc w:val="center"/>
              <w:rPr>
                <w:rFonts w:eastAsia="仿宋_GB2312"/>
                <w:b/>
                <w:color w:val="auto"/>
                <w:kern w:val="0"/>
              </w:rPr>
            </w:pPr>
            <w:r>
              <w:rPr>
                <w:rFonts w:eastAsia="仿宋_GB2312"/>
                <w:b/>
                <w:color w:val="auto"/>
                <w:kern w:val="0"/>
              </w:rPr>
              <w:t>同时开启最大</w:t>
            </w:r>
            <w:r>
              <w:rPr>
                <w:rFonts w:hint="eastAsia" w:eastAsia="仿宋_GB2312"/>
                <w:b/>
                <w:color w:val="auto"/>
                <w:kern w:val="0"/>
                <w:lang w:val="en-US" w:eastAsia="zh-CN"/>
              </w:rPr>
              <w:t>套</w:t>
            </w:r>
            <w:r>
              <w:rPr>
                <w:rFonts w:eastAsia="仿宋_GB2312"/>
                <w:b/>
                <w:color w:val="auto"/>
                <w:kern w:val="0"/>
              </w:rPr>
              <w:t>数</w:t>
            </w:r>
          </w:p>
        </w:tc>
        <w:tc>
          <w:tcPr>
            <w:tcW w:w="669" w:type="pct"/>
            <w:gridSpan w:val="2"/>
            <w:vAlign w:val="center"/>
          </w:tcPr>
          <w:p w14:paraId="17F42834">
            <w:pPr>
              <w:widowControl/>
              <w:jc w:val="center"/>
              <w:rPr>
                <w:rFonts w:eastAsia="仿宋_GB2312"/>
                <w:b/>
                <w:color w:val="auto"/>
                <w:kern w:val="0"/>
              </w:rPr>
            </w:pPr>
            <w:r>
              <w:rPr>
                <w:rFonts w:eastAsia="仿宋_GB2312"/>
                <w:b/>
                <w:color w:val="auto"/>
                <w:kern w:val="0"/>
              </w:rPr>
              <w:t>运行时间（h/a）</w:t>
            </w:r>
          </w:p>
        </w:tc>
      </w:tr>
      <w:tr w14:paraId="5C39E5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12" w:hRule="atLeast"/>
          <w:tblHeader/>
          <w:jc w:val="center"/>
        </w:trPr>
        <w:tc>
          <w:tcPr>
            <w:tcW w:w="604" w:type="pct"/>
            <w:vMerge w:val="restart"/>
            <w:tcMar>
              <w:top w:w="15" w:type="dxa"/>
              <w:left w:w="15" w:type="dxa"/>
              <w:bottom w:w="0" w:type="dxa"/>
              <w:right w:w="15" w:type="dxa"/>
            </w:tcMar>
            <w:vAlign w:val="center"/>
          </w:tcPr>
          <w:p w14:paraId="63E97C6A">
            <w:pPr>
              <w:widowControl/>
              <w:jc w:val="center"/>
              <w:rPr>
                <w:rFonts w:eastAsia="仿宋_GB2312"/>
                <w:kern w:val="0"/>
              </w:rPr>
            </w:pPr>
            <w:r>
              <w:rPr>
                <w:rFonts w:eastAsia="仿宋_GB2312"/>
                <w:kern w:val="0"/>
              </w:rPr>
              <w:t>连续精馏系统</w:t>
            </w:r>
          </w:p>
        </w:tc>
        <w:tc>
          <w:tcPr>
            <w:tcW w:w="277" w:type="pct"/>
            <w:vMerge w:val="restart"/>
            <w:tcMar>
              <w:top w:w="15" w:type="dxa"/>
              <w:left w:w="15" w:type="dxa"/>
              <w:bottom w:w="0" w:type="dxa"/>
              <w:right w:w="15" w:type="dxa"/>
            </w:tcMar>
            <w:vAlign w:val="center"/>
          </w:tcPr>
          <w:p w14:paraId="0F56DA42">
            <w:pPr>
              <w:widowControl/>
              <w:jc w:val="center"/>
              <w:rPr>
                <w:rFonts w:hint="eastAsia" w:eastAsia="仿宋_GB2312"/>
                <w:color w:val="auto"/>
                <w:kern w:val="0"/>
                <w:lang w:eastAsia="zh-CN"/>
              </w:rPr>
            </w:pPr>
            <w:r>
              <w:rPr>
                <w:rFonts w:hint="eastAsia" w:eastAsia="仿宋_GB2312"/>
                <w:color w:val="auto"/>
                <w:kern w:val="0"/>
                <w:lang w:val="en-US" w:eastAsia="zh-CN"/>
              </w:rPr>
              <w:t>2</w:t>
            </w:r>
          </w:p>
        </w:tc>
        <w:tc>
          <w:tcPr>
            <w:tcW w:w="1421" w:type="pct"/>
            <w:gridSpan w:val="2"/>
            <w:tcMar>
              <w:top w:w="15" w:type="dxa"/>
              <w:left w:w="15" w:type="dxa"/>
              <w:bottom w:w="0" w:type="dxa"/>
              <w:right w:w="15" w:type="dxa"/>
            </w:tcMar>
            <w:vAlign w:val="center"/>
          </w:tcPr>
          <w:p w14:paraId="11FFD119">
            <w:pPr>
              <w:jc w:val="center"/>
              <w:rPr>
                <w:rFonts w:eastAsia="仿宋_GB2312"/>
                <w:color w:val="auto"/>
                <w:szCs w:val="21"/>
              </w:rPr>
            </w:pPr>
            <w:r>
              <w:rPr>
                <w:rFonts w:eastAsia="仿宋_GB2312"/>
                <w:color w:val="auto"/>
                <w:szCs w:val="21"/>
              </w:rPr>
              <w:t>N-甲基吡咯烷酮废液</w:t>
            </w:r>
          </w:p>
        </w:tc>
        <w:tc>
          <w:tcPr>
            <w:tcW w:w="385" w:type="pct"/>
            <w:tcMar>
              <w:top w:w="15" w:type="dxa"/>
              <w:left w:w="15" w:type="dxa"/>
              <w:bottom w:w="0" w:type="dxa"/>
              <w:right w:w="15" w:type="dxa"/>
            </w:tcMar>
            <w:vAlign w:val="center"/>
          </w:tcPr>
          <w:p w14:paraId="1E056BA0">
            <w:pPr>
              <w:widowControl/>
              <w:jc w:val="center"/>
              <w:rPr>
                <w:rFonts w:eastAsia="仿宋_GB2312"/>
                <w:color w:val="auto"/>
                <w:kern w:val="0"/>
              </w:rPr>
            </w:pPr>
            <w:r>
              <w:rPr>
                <w:rFonts w:eastAsia="仿宋_GB2312"/>
                <w:color w:val="auto"/>
                <w:kern w:val="0"/>
              </w:rPr>
              <w:t>1</w:t>
            </w:r>
            <w:r>
              <w:rPr>
                <w:rFonts w:hint="eastAsia" w:eastAsia="仿宋_GB2312"/>
                <w:color w:val="auto"/>
                <w:kern w:val="0"/>
              </w:rPr>
              <w:t>25</w:t>
            </w:r>
            <w:r>
              <w:rPr>
                <w:rFonts w:eastAsia="仿宋_GB2312"/>
                <w:color w:val="auto"/>
                <w:kern w:val="0"/>
              </w:rPr>
              <w:t>00</w:t>
            </w:r>
          </w:p>
        </w:tc>
        <w:tc>
          <w:tcPr>
            <w:tcW w:w="466" w:type="pct"/>
            <w:vAlign w:val="center"/>
          </w:tcPr>
          <w:p w14:paraId="50FE8DCD">
            <w:pPr>
              <w:widowControl/>
              <w:jc w:val="center"/>
              <w:rPr>
                <w:rFonts w:eastAsia="仿宋_GB2312"/>
                <w:color w:val="auto"/>
                <w:kern w:val="0"/>
              </w:rPr>
            </w:pPr>
            <w:r>
              <w:rPr>
                <w:rFonts w:eastAsia="仿宋_GB2312"/>
                <w:color w:val="auto"/>
                <w:kern w:val="0"/>
              </w:rPr>
              <w:t>连续精馏</w:t>
            </w:r>
          </w:p>
        </w:tc>
        <w:tc>
          <w:tcPr>
            <w:tcW w:w="335" w:type="pct"/>
            <w:vAlign w:val="center"/>
          </w:tcPr>
          <w:p w14:paraId="5092BF8C">
            <w:pPr>
              <w:widowControl/>
              <w:jc w:val="center"/>
              <w:rPr>
                <w:rFonts w:eastAsia="仿宋_GB2312"/>
                <w:color w:val="auto"/>
                <w:kern w:val="0"/>
              </w:rPr>
            </w:pPr>
            <w:r>
              <w:rPr>
                <w:rFonts w:eastAsia="仿宋_GB2312"/>
                <w:color w:val="auto"/>
                <w:kern w:val="0"/>
              </w:rPr>
              <w:t>/</w:t>
            </w:r>
          </w:p>
        </w:tc>
        <w:tc>
          <w:tcPr>
            <w:tcW w:w="448" w:type="pct"/>
            <w:vAlign w:val="center"/>
          </w:tcPr>
          <w:p w14:paraId="28CB420A">
            <w:pPr>
              <w:widowControl/>
              <w:jc w:val="center"/>
              <w:rPr>
                <w:rFonts w:eastAsia="仿宋_GB2312"/>
                <w:color w:val="auto"/>
                <w:kern w:val="0"/>
              </w:rPr>
            </w:pPr>
            <w:r>
              <w:rPr>
                <w:rFonts w:eastAsia="仿宋_GB2312"/>
                <w:color w:val="auto"/>
                <w:kern w:val="0"/>
              </w:rPr>
              <w:t>/</w:t>
            </w:r>
          </w:p>
        </w:tc>
        <w:tc>
          <w:tcPr>
            <w:tcW w:w="392" w:type="pct"/>
            <w:vAlign w:val="center"/>
          </w:tcPr>
          <w:p w14:paraId="18B14DDB">
            <w:pPr>
              <w:widowControl/>
              <w:jc w:val="center"/>
              <w:rPr>
                <w:rFonts w:hint="eastAsia" w:eastAsia="仿宋_GB2312"/>
                <w:color w:val="auto"/>
                <w:kern w:val="0"/>
                <w:lang w:eastAsia="zh-CN"/>
              </w:rPr>
            </w:pPr>
            <w:r>
              <w:rPr>
                <w:rFonts w:hint="eastAsia" w:eastAsia="仿宋_GB2312"/>
                <w:color w:val="auto"/>
                <w:kern w:val="0"/>
                <w:lang w:val="en-US" w:eastAsia="zh-CN"/>
              </w:rPr>
              <w:t>2</w:t>
            </w:r>
          </w:p>
        </w:tc>
        <w:tc>
          <w:tcPr>
            <w:tcW w:w="355" w:type="pct"/>
            <w:vAlign w:val="center"/>
          </w:tcPr>
          <w:p w14:paraId="65048454">
            <w:pPr>
              <w:widowControl/>
              <w:jc w:val="center"/>
              <w:rPr>
                <w:rFonts w:hint="default" w:eastAsia="仿宋_GB2312"/>
                <w:color w:val="auto"/>
                <w:kern w:val="0"/>
                <w:lang w:val="en-US" w:eastAsia="zh-CN"/>
              </w:rPr>
            </w:pPr>
            <w:r>
              <w:rPr>
                <w:rFonts w:hint="eastAsia" w:eastAsia="仿宋_GB2312"/>
                <w:color w:val="auto"/>
                <w:kern w:val="0"/>
              </w:rPr>
              <w:t>2</w:t>
            </w:r>
            <w:r>
              <w:rPr>
                <w:rFonts w:hint="eastAsia" w:eastAsia="仿宋_GB2312"/>
                <w:color w:val="auto"/>
                <w:kern w:val="0"/>
                <w:lang w:val="en-US" w:eastAsia="zh-CN"/>
              </w:rPr>
              <w:t>100</w:t>
            </w:r>
          </w:p>
        </w:tc>
        <w:tc>
          <w:tcPr>
            <w:tcW w:w="314" w:type="pct"/>
            <w:vMerge w:val="restart"/>
            <w:vAlign w:val="center"/>
          </w:tcPr>
          <w:p w14:paraId="79556613">
            <w:pPr>
              <w:widowControl/>
              <w:jc w:val="center"/>
              <w:rPr>
                <w:rFonts w:eastAsia="仿宋_GB2312"/>
                <w:color w:val="FF0000"/>
                <w:kern w:val="0"/>
              </w:rPr>
            </w:pPr>
            <w:r>
              <w:rPr>
                <w:rFonts w:eastAsia="仿宋_GB2312"/>
                <w:color w:val="auto"/>
                <w:kern w:val="0"/>
              </w:rPr>
              <w:t>7</w:t>
            </w:r>
            <w:r>
              <w:rPr>
                <w:rFonts w:hint="eastAsia" w:eastAsia="仿宋_GB2312"/>
                <w:color w:val="auto"/>
                <w:kern w:val="0"/>
                <w:lang w:val="en-US" w:eastAsia="zh-CN"/>
              </w:rPr>
              <w:t>89</w:t>
            </w:r>
            <w:r>
              <w:rPr>
                <w:rFonts w:eastAsia="仿宋_GB2312"/>
                <w:color w:val="auto"/>
                <w:kern w:val="0"/>
              </w:rPr>
              <w:t>0</w:t>
            </w:r>
          </w:p>
        </w:tc>
      </w:tr>
      <w:tr w14:paraId="1745BC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12" w:hRule="atLeast"/>
          <w:tblHeader/>
          <w:jc w:val="center"/>
        </w:trPr>
        <w:tc>
          <w:tcPr>
            <w:tcW w:w="604" w:type="pct"/>
            <w:vMerge w:val="continue"/>
            <w:tcMar>
              <w:top w:w="15" w:type="dxa"/>
              <w:left w:w="15" w:type="dxa"/>
              <w:bottom w:w="0" w:type="dxa"/>
              <w:right w:w="15" w:type="dxa"/>
            </w:tcMar>
            <w:vAlign w:val="center"/>
          </w:tcPr>
          <w:p w14:paraId="34300AE2">
            <w:pPr>
              <w:widowControl/>
              <w:jc w:val="center"/>
              <w:rPr>
                <w:rFonts w:eastAsia="仿宋_GB2312"/>
                <w:color w:val="FF0000"/>
                <w:kern w:val="0"/>
              </w:rPr>
            </w:pPr>
          </w:p>
        </w:tc>
        <w:tc>
          <w:tcPr>
            <w:tcW w:w="277" w:type="pct"/>
            <w:vMerge w:val="continue"/>
            <w:tcMar>
              <w:top w:w="15" w:type="dxa"/>
              <w:left w:w="15" w:type="dxa"/>
              <w:bottom w:w="0" w:type="dxa"/>
              <w:right w:w="15" w:type="dxa"/>
            </w:tcMar>
            <w:vAlign w:val="center"/>
          </w:tcPr>
          <w:p w14:paraId="321E5DEA">
            <w:pPr>
              <w:widowControl/>
              <w:jc w:val="center"/>
              <w:rPr>
                <w:rFonts w:eastAsia="仿宋_GB2312"/>
                <w:color w:val="auto"/>
                <w:kern w:val="0"/>
              </w:rPr>
            </w:pPr>
          </w:p>
        </w:tc>
        <w:tc>
          <w:tcPr>
            <w:tcW w:w="1421" w:type="pct"/>
            <w:gridSpan w:val="2"/>
            <w:tcMar>
              <w:top w:w="15" w:type="dxa"/>
              <w:left w:w="15" w:type="dxa"/>
              <w:bottom w:w="0" w:type="dxa"/>
              <w:right w:w="15" w:type="dxa"/>
            </w:tcMar>
            <w:vAlign w:val="center"/>
          </w:tcPr>
          <w:p w14:paraId="52059D5E">
            <w:pPr>
              <w:jc w:val="center"/>
              <w:rPr>
                <w:rFonts w:eastAsia="仿宋_GB2312"/>
                <w:color w:val="auto"/>
                <w:szCs w:val="21"/>
              </w:rPr>
            </w:pPr>
            <w:r>
              <w:rPr>
                <w:rFonts w:eastAsia="仿宋_GB2312"/>
                <w:color w:val="auto"/>
                <w:szCs w:val="21"/>
              </w:rPr>
              <w:t>异丙醇废液</w:t>
            </w:r>
          </w:p>
        </w:tc>
        <w:tc>
          <w:tcPr>
            <w:tcW w:w="385" w:type="pct"/>
            <w:tcMar>
              <w:top w:w="15" w:type="dxa"/>
              <w:left w:w="15" w:type="dxa"/>
              <w:bottom w:w="0" w:type="dxa"/>
              <w:right w:w="15" w:type="dxa"/>
            </w:tcMar>
            <w:vAlign w:val="center"/>
          </w:tcPr>
          <w:p w14:paraId="3C73044D">
            <w:pPr>
              <w:widowControl/>
              <w:jc w:val="center"/>
              <w:rPr>
                <w:rFonts w:hint="default" w:eastAsia="仿宋_GB2312"/>
                <w:color w:val="auto"/>
                <w:kern w:val="0"/>
                <w:lang w:val="en-US" w:eastAsia="zh-CN"/>
              </w:rPr>
            </w:pPr>
            <w:r>
              <w:rPr>
                <w:rFonts w:hint="eastAsia" w:eastAsia="仿宋_GB2312"/>
                <w:color w:val="auto"/>
                <w:kern w:val="0"/>
                <w:lang w:val="en-US" w:eastAsia="zh-CN"/>
              </w:rPr>
              <w:t>23700</w:t>
            </w:r>
          </w:p>
        </w:tc>
        <w:tc>
          <w:tcPr>
            <w:tcW w:w="466" w:type="pct"/>
            <w:vAlign w:val="center"/>
          </w:tcPr>
          <w:p w14:paraId="2378E00E">
            <w:pPr>
              <w:widowControl/>
              <w:jc w:val="center"/>
              <w:rPr>
                <w:rFonts w:eastAsia="仿宋_GB2312"/>
                <w:color w:val="auto"/>
                <w:kern w:val="0"/>
              </w:rPr>
            </w:pPr>
            <w:r>
              <w:rPr>
                <w:rFonts w:eastAsia="仿宋_GB2312"/>
                <w:color w:val="auto"/>
                <w:kern w:val="0"/>
              </w:rPr>
              <w:t>连续精馏</w:t>
            </w:r>
          </w:p>
        </w:tc>
        <w:tc>
          <w:tcPr>
            <w:tcW w:w="335" w:type="pct"/>
            <w:vAlign w:val="center"/>
          </w:tcPr>
          <w:p w14:paraId="6F384A02">
            <w:pPr>
              <w:widowControl/>
              <w:jc w:val="center"/>
              <w:rPr>
                <w:rFonts w:eastAsia="仿宋_GB2312"/>
                <w:color w:val="auto"/>
                <w:kern w:val="0"/>
              </w:rPr>
            </w:pPr>
            <w:r>
              <w:rPr>
                <w:rFonts w:eastAsia="仿宋_GB2312"/>
                <w:color w:val="auto"/>
                <w:kern w:val="0"/>
              </w:rPr>
              <w:t>/</w:t>
            </w:r>
          </w:p>
        </w:tc>
        <w:tc>
          <w:tcPr>
            <w:tcW w:w="448" w:type="pct"/>
            <w:vAlign w:val="center"/>
          </w:tcPr>
          <w:p w14:paraId="5D7C0F28">
            <w:pPr>
              <w:widowControl/>
              <w:jc w:val="center"/>
              <w:rPr>
                <w:rFonts w:eastAsia="仿宋_GB2312"/>
                <w:color w:val="auto"/>
                <w:kern w:val="0"/>
              </w:rPr>
            </w:pPr>
            <w:r>
              <w:rPr>
                <w:rFonts w:eastAsia="仿宋_GB2312"/>
                <w:color w:val="auto"/>
                <w:kern w:val="0"/>
              </w:rPr>
              <w:t>/</w:t>
            </w:r>
          </w:p>
        </w:tc>
        <w:tc>
          <w:tcPr>
            <w:tcW w:w="392" w:type="pct"/>
            <w:vAlign w:val="center"/>
          </w:tcPr>
          <w:p w14:paraId="7B5E690A">
            <w:pPr>
              <w:widowControl/>
              <w:jc w:val="center"/>
              <w:rPr>
                <w:rFonts w:hint="eastAsia" w:eastAsia="仿宋_GB2312"/>
                <w:color w:val="auto"/>
                <w:kern w:val="0"/>
                <w:lang w:eastAsia="zh-CN"/>
              </w:rPr>
            </w:pPr>
            <w:r>
              <w:rPr>
                <w:rFonts w:hint="eastAsia" w:eastAsia="仿宋_GB2312"/>
                <w:color w:val="auto"/>
                <w:kern w:val="0"/>
                <w:lang w:val="en-US" w:eastAsia="zh-CN"/>
              </w:rPr>
              <w:t>2</w:t>
            </w:r>
          </w:p>
        </w:tc>
        <w:tc>
          <w:tcPr>
            <w:tcW w:w="355" w:type="pct"/>
            <w:vAlign w:val="center"/>
          </w:tcPr>
          <w:p w14:paraId="6FF099F8">
            <w:pPr>
              <w:widowControl/>
              <w:jc w:val="center"/>
              <w:rPr>
                <w:rFonts w:hint="default" w:eastAsia="仿宋_GB2312"/>
                <w:color w:val="auto"/>
                <w:kern w:val="0"/>
                <w:lang w:val="en-US" w:eastAsia="zh-CN"/>
              </w:rPr>
            </w:pPr>
            <w:r>
              <w:rPr>
                <w:rFonts w:hint="eastAsia" w:eastAsia="仿宋_GB2312"/>
                <w:color w:val="auto"/>
                <w:kern w:val="0"/>
                <w:lang w:val="en-US" w:eastAsia="zh-CN"/>
              </w:rPr>
              <w:t>5790</w:t>
            </w:r>
          </w:p>
        </w:tc>
        <w:tc>
          <w:tcPr>
            <w:tcW w:w="314" w:type="pct"/>
            <w:vMerge w:val="continue"/>
            <w:vAlign w:val="center"/>
          </w:tcPr>
          <w:p w14:paraId="7C4FAA50">
            <w:pPr>
              <w:widowControl/>
              <w:jc w:val="center"/>
              <w:rPr>
                <w:rFonts w:eastAsia="仿宋_GB2312"/>
                <w:color w:val="FF0000"/>
                <w:kern w:val="0"/>
              </w:rPr>
            </w:pPr>
          </w:p>
        </w:tc>
      </w:tr>
      <w:tr w14:paraId="5B2044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12" w:hRule="atLeast"/>
          <w:tblHeader/>
          <w:jc w:val="center"/>
        </w:trPr>
        <w:tc>
          <w:tcPr>
            <w:tcW w:w="604" w:type="pct"/>
            <w:vMerge w:val="restart"/>
            <w:tcMar>
              <w:top w:w="15" w:type="dxa"/>
              <w:left w:w="15" w:type="dxa"/>
              <w:bottom w:w="0" w:type="dxa"/>
              <w:right w:w="15" w:type="dxa"/>
            </w:tcMar>
            <w:vAlign w:val="center"/>
          </w:tcPr>
          <w:p w14:paraId="695FEA1A">
            <w:pPr>
              <w:widowControl/>
              <w:jc w:val="center"/>
              <w:rPr>
                <w:rFonts w:eastAsia="仿宋_GB2312"/>
                <w:kern w:val="0"/>
              </w:rPr>
            </w:pPr>
            <w:r>
              <w:rPr>
                <w:rFonts w:eastAsia="仿宋_GB2312"/>
                <w:kern w:val="0"/>
              </w:rPr>
              <w:t>间歇精馏系统</w:t>
            </w:r>
          </w:p>
        </w:tc>
        <w:tc>
          <w:tcPr>
            <w:tcW w:w="277" w:type="pct"/>
            <w:vMerge w:val="restart"/>
            <w:tcMar>
              <w:top w:w="15" w:type="dxa"/>
              <w:left w:w="15" w:type="dxa"/>
              <w:bottom w:w="0" w:type="dxa"/>
              <w:right w:w="15" w:type="dxa"/>
            </w:tcMar>
            <w:vAlign w:val="center"/>
          </w:tcPr>
          <w:p w14:paraId="1FA4E913">
            <w:pPr>
              <w:widowControl/>
              <w:jc w:val="center"/>
              <w:rPr>
                <w:rFonts w:eastAsia="仿宋_GB2312"/>
                <w:color w:val="FF0000"/>
                <w:kern w:val="0"/>
              </w:rPr>
            </w:pPr>
            <w:r>
              <w:rPr>
                <w:rFonts w:hint="eastAsia" w:eastAsia="仿宋_GB2312"/>
                <w:kern w:val="0"/>
                <w:szCs w:val="21"/>
              </w:rPr>
              <w:t>8</w:t>
            </w:r>
          </w:p>
        </w:tc>
        <w:tc>
          <w:tcPr>
            <w:tcW w:w="1421" w:type="pct"/>
            <w:gridSpan w:val="2"/>
            <w:shd w:val="clear" w:color="auto" w:fill="auto"/>
            <w:tcMar>
              <w:top w:w="15" w:type="dxa"/>
              <w:left w:w="15" w:type="dxa"/>
              <w:bottom w:w="0" w:type="dxa"/>
              <w:right w:w="15" w:type="dxa"/>
            </w:tcMar>
            <w:vAlign w:val="center"/>
          </w:tcPr>
          <w:p w14:paraId="148E3A86">
            <w:pPr>
              <w:widowControl/>
              <w:jc w:val="center"/>
              <w:rPr>
                <w:rFonts w:ascii="Times New Roman" w:hAnsi="Times New Roman" w:eastAsia="仿宋_GB2312" w:cs="Times New Roman"/>
                <w:bCs/>
                <w:color w:val="auto"/>
                <w:kern w:val="0"/>
                <w:sz w:val="21"/>
                <w:szCs w:val="21"/>
                <w:lang w:val="en-US" w:eastAsia="zh-CN" w:bidi="ar-SA"/>
              </w:rPr>
            </w:pPr>
            <w:r>
              <w:rPr>
                <w:rFonts w:eastAsia="仿宋_GB2312"/>
                <w:bCs/>
                <w:color w:val="auto"/>
                <w:kern w:val="0"/>
                <w:szCs w:val="21"/>
              </w:rPr>
              <w:t>二氯甲烷废液</w:t>
            </w:r>
          </w:p>
        </w:tc>
        <w:tc>
          <w:tcPr>
            <w:tcW w:w="385" w:type="pct"/>
            <w:shd w:val="clear" w:color="auto" w:fill="auto"/>
            <w:tcMar>
              <w:top w:w="15" w:type="dxa"/>
              <w:left w:w="15" w:type="dxa"/>
              <w:bottom w:w="0" w:type="dxa"/>
              <w:right w:w="15" w:type="dxa"/>
            </w:tcMar>
            <w:vAlign w:val="center"/>
          </w:tcPr>
          <w:p w14:paraId="2F67D822">
            <w:pPr>
              <w:widowControl/>
              <w:jc w:val="center"/>
              <w:rPr>
                <w:rFonts w:ascii="Times New Roman" w:hAnsi="Times New Roman" w:eastAsia="仿宋_GB2312" w:cs="Times New Roman"/>
                <w:bCs/>
                <w:color w:val="auto"/>
                <w:kern w:val="0"/>
                <w:sz w:val="21"/>
                <w:szCs w:val="21"/>
                <w:lang w:val="en-US" w:eastAsia="zh-CN" w:bidi="ar-SA"/>
              </w:rPr>
            </w:pPr>
            <w:r>
              <w:rPr>
                <w:rFonts w:eastAsia="仿宋_GB2312"/>
                <w:bCs/>
                <w:color w:val="auto"/>
                <w:kern w:val="0"/>
                <w:szCs w:val="21"/>
              </w:rPr>
              <w:t>2650</w:t>
            </w:r>
          </w:p>
        </w:tc>
        <w:tc>
          <w:tcPr>
            <w:tcW w:w="466" w:type="pct"/>
            <w:shd w:val="clear" w:color="auto" w:fill="auto"/>
            <w:vAlign w:val="center"/>
          </w:tcPr>
          <w:p w14:paraId="3DDB65B2">
            <w:pPr>
              <w:widowControl/>
              <w:jc w:val="center"/>
              <w:rPr>
                <w:rFonts w:ascii="Times New Roman" w:hAnsi="Times New Roman" w:eastAsia="仿宋_GB2312" w:cs="Times New Roman"/>
                <w:bCs/>
                <w:color w:val="auto"/>
                <w:kern w:val="0"/>
                <w:sz w:val="21"/>
                <w:szCs w:val="21"/>
                <w:lang w:val="en-US" w:eastAsia="zh-CN" w:bidi="ar-SA"/>
              </w:rPr>
            </w:pPr>
            <w:r>
              <w:rPr>
                <w:rFonts w:eastAsia="仿宋_GB2312"/>
                <w:bCs/>
                <w:color w:val="auto"/>
                <w:kern w:val="0"/>
                <w:szCs w:val="21"/>
              </w:rPr>
              <w:t>24000</w:t>
            </w:r>
          </w:p>
        </w:tc>
        <w:tc>
          <w:tcPr>
            <w:tcW w:w="335" w:type="pct"/>
            <w:shd w:val="clear" w:color="auto" w:fill="auto"/>
            <w:vAlign w:val="center"/>
          </w:tcPr>
          <w:p w14:paraId="24D9333C">
            <w:pPr>
              <w:widowControl/>
              <w:jc w:val="center"/>
              <w:rPr>
                <w:rFonts w:eastAsia="仿宋_GB2312"/>
                <w:bCs/>
                <w:color w:val="auto"/>
                <w:kern w:val="0"/>
                <w:szCs w:val="21"/>
                <w:lang w:val="en-US" w:eastAsia="zh-CN"/>
              </w:rPr>
            </w:pPr>
            <w:r>
              <w:rPr>
                <w:rFonts w:hint="default" w:eastAsia="仿宋_GB2312"/>
                <w:bCs/>
                <w:color w:val="auto"/>
                <w:kern w:val="0"/>
                <w:szCs w:val="21"/>
                <w:lang w:val="en-US" w:eastAsia="zh-CN"/>
              </w:rPr>
              <w:t>111</w:t>
            </w:r>
          </w:p>
        </w:tc>
        <w:tc>
          <w:tcPr>
            <w:tcW w:w="448" w:type="pct"/>
            <w:shd w:val="clear" w:color="auto" w:fill="auto"/>
            <w:vAlign w:val="center"/>
          </w:tcPr>
          <w:p w14:paraId="3B8F48E8">
            <w:pPr>
              <w:keepNext w:val="0"/>
              <w:keepLines w:val="0"/>
              <w:widowControl/>
              <w:suppressLineNumbers w:val="0"/>
              <w:jc w:val="center"/>
              <w:textAlignment w:val="center"/>
              <w:rPr>
                <w:rFonts w:ascii="Times New Roman" w:hAnsi="Times New Roman" w:eastAsia="仿宋_GB2312" w:cs="Times New Roman"/>
                <w:bCs/>
                <w:color w:val="auto"/>
                <w:kern w:val="0"/>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22</w:t>
            </w:r>
          </w:p>
        </w:tc>
        <w:tc>
          <w:tcPr>
            <w:tcW w:w="392" w:type="pct"/>
            <w:shd w:val="clear" w:color="auto" w:fill="auto"/>
            <w:vAlign w:val="center"/>
          </w:tcPr>
          <w:p w14:paraId="02ECCA65">
            <w:pPr>
              <w:widowControl/>
              <w:jc w:val="center"/>
              <w:rPr>
                <w:rFonts w:hint="eastAsia" w:ascii="Times New Roman" w:hAnsi="Times New Roman" w:eastAsia="仿宋_GB2312" w:cs="Times New Roman"/>
                <w:bCs/>
                <w:color w:val="auto"/>
                <w:kern w:val="0"/>
                <w:sz w:val="21"/>
                <w:szCs w:val="21"/>
                <w:lang w:val="en-US" w:eastAsia="zh-CN" w:bidi="ar-SA"/>
              </w:rPr>
            </w:pPr>
            <w:r>
              <w:rPr>
                <w:rFonts w:hint="eastAsia" w:eastAsia="仿宋_GB2312"/>
                <w:bCs/>
                <w:color w:val="auto"/>
                <w:kern w:val="0"/>
                <w:szCs w:val="21"/>
                <w:lang w:val="en-US" w:eastAsia="zh-CN"/>
              </w:rPr>
              <w:t>8</w:t>
            </w:r>
          </w:p>
        </w:tc>
        <w:tc>
          <w:tcPr>
            <w:tcW w:w="355" w:type="pct"/>
            <w:shd w:val="clear" w:color="auto" w:fill="auto"/>
            <w:vAlign w:val="center"/>
          </w:tcPr>
          <w:p w14:paraId="511D3D90">
            <w:pPr>
              <w:widowControl/>
              <w:jc w:val="center"/>
              <w:rPr>
                <w:rFonts w:hint="eastAsia" w:eastAsia="仿宋_GB2312"/>
                <w:bCs/>
                <w:color w:val="auto"/>
                <w:kern w:val="0"/>
                <w:szCs w:val="21"/>
                <w:lang w:val="en-US" w:eastAsia="zh-CN"/>
              </w:rPr>
            </w:pPr>
            <w:r>
              <w:rPr>
                <w:rFonts w:hint="eastAsia" w:eastAsia="仿宋_GB2312"/>
                <w:bCs/>
                <w:color w:val="auto"/>
                <w:kern w:val="0"/>
                <w:szCs w:val="21"/>
                <w:lang w:val="en-US" w:eastAsia="zh-CN"/>
              </w:rPr>
              <w:t>306</w:t>
            </w:r>
          </w:p>
        </w:tc>
        <w:tc>
          <w:tcPr>
            <w:tcW w:w="314" w:type="pct"/>
            <w:vMerge w:val="restart"/>
            <w:vAlign w:val="center"/>
          </w:tcPr>
          <w:p w14:paraId="69CF91FB">
            <w:pPr>
              <w:widowControl/>
              <w:jc w:val="center"/>
              <w:rPr>
                <w:rFonts w:hint="default" w:eastAsia="仿宋_GB2312"/>
                <w:bCs/>
                <w:color w:val="FF0000"/>
                <w:kern w:val="0"/>
                <w:szCs w:val="21"/>
                <w:lang w:val="en-US" w:eastAsia="zh-CN"/>
              </w:rPr>
            </w:pPr>
            <w:r>
              <w:rPr>
                <w:rFonts w:hint="eastAsia" w:eastAsia="仿宋_GB2312"/>
                <w:bCs/>
                <w:color w:val="auto"/>
                <w:kern w:val="0"/>
                <w:szCs w:val="21"/>
                <w:lang w:val="en-US" w:eastAsia="zh-CN"/>
              </w:rPr>
              <w:t>7441</w:t>
            </w:r>
          </w:p>
        </w:tc>
      </w:tr>
      <w:tr w14:paraId="32AAF57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12" w:hRule="atLeast"/>
          <w:tblHeader/>
          <w:jc w:val="center"/>
        </w:trPr>
        <w:tc>
          <w:tcPr>
            <w:tcW w:w="604" w:type="pct"/>
            <w:vMerge w:val="continue"/>
            <w:tcMar>
              <w:top w:w="15" w:type="dxa"/>
              <w:left w:w="15" w:type="dxa"/>
              <w:bottom w:w="0" w:type="dxa"/>
              <w:right w:w="15" w:type="dxa"/>
            </w:tcMar>
            <w:vAlign w:val="center"/>
          </w:tcPr>
          <w:p w14:paraId="7FFAF355">
            <w:pPr>
              <w:widowControl/>
              <w:jc w:val="center"/>
              <w:rPr>
                <w:rFonts w:eastAsia="仿宋_GB2312"/>
                <w:kern w:val="0"/>
              </w:rPr>
            </w:pPr>
          </w:p>
        </w:tc>
        <w:tc>
          <w:tcPr>
            <w:tcW w:w="277" w:type="pct"/>
            <w:vMerge w:val="continue"/>
            <w:tcMar>
              <w:top w:w="15" w:type="dxa"/>
              <w:left w:w="15" w:type="dxa"/>
              <w:bottom w:w="0" w:type="dxa"/>
              <w:right w:w="15" w:type="dxa"/>
            </w:tcMar>
            <w:vAlign w:val="center"/>
          </w:tcPr>
          <w:p w14:paraId="595605CE">
            <w:pPr>
              <w:widowControl/>
              <w:jc w:val="center"/>
              <w:rPr>
                <w:rFonts w:eastAsia="仿宋_GB2312"/>
                <w:color w:val="FF0000"/>
                <w:kern w:val="0"/>
              </w:rPr>
            </w:pPr>
          </w:p>
        </w:tc>
        <w:tc>
          <w:tcPr>
            <w:tcW w:w="1421" w:type="pct"/>
            <w:gridSpan w:val="2"/>
            <w:shd w:val="clear" w:color="auto" w:fill="auto"/>
            <w:tcMar>
              <w:top w:w="15" w:type="dxa"/>
              <w:left w:w="15" w:type="dxa"/>
              <w:bottom w:w="0" w:type="dxa"/>
              <w:right w:w="15" w:type="dxa"/>
            </w:tcMar>
            <w:vAlign w:val="center"/>
          </w:tcPr>
          <w:p w14:paraId="5429887A">
            <w:pPr>
              <w:widowControl/>
              <w:jc w:val="center"/>
              <w:rPr>
                <w:rFonts w:ascii="Times New Roman" w:hAnsi="Times New Roman" w:eastAsia="仿宋_GB2312" w:cs="Times New Roman"/>
                <w:bCs/>
                <w:color w:val="auto"/>
                <w:kern w:val="0"/>
                <w:sz w:val="21"/>
                <w:szCs w:val="21"/>
                <w:lang w:val="en-US" w:eastAsia="zh-CN" w:bidi="ar-SA"/>
              </w:rPr>
            </w:pPr>
            <w:r>
              <w:rPr>
                <w:rFonts w:eastAsia="仿宋_GB2312"/>
                <w:bCs/>
                <w:color w:val="auto"/>
                <w:kern w:val="0"/>
                <w:szCs w:val="21"/>
              </w:rPr>
              <w:t>甲苯废液</w:t>
            </w:r>
          </w:p>
        </w:tc>
        <w:tc>
          <w:tcPr>
            <w:tcW w:w="385" w:type="pct"/>
            <w:shd w:val="clear" w:color="auto" w:fill="auto"/>
            <w:tcMar>
              <w:top w:w="15" w:type="dxa"/>
              <w:left w:w="15" w:type="dxa"/>
              <w:bottom w:w="0" w:type="dxa"/>
              <w:right w:w="15" w:type="dxa"/>
            </w:tcMar>
            <w:vAlign w:val="center"/>
          </w:tcPr>
          <w:p w14:paraId="58658596">
            <w:pPr>
              <w:widowControl/>
              <w:jc w:val="center"/>
              <w:rPr>
                <w:rFonts w:ascii="Times New Roman" w:hAnsi="Times New Roman" w:eastAsia="仿宋_GB2312" w:cs="Times New Roman"/>
                <w:color w:val="auto"/>
                <w:kern w:val="0"/>
                <w:sz w:val="21"/>
                <w:szCs w:val="21"/>
                <w:lang w:val="en-US" w:eastAsia="zh-CN" w:bidi="ar-SA"/>
              </w:rPr>
            </w:pPr>
            <w:r>
              <w:rPr>
                <w:rFonts w:hint="eastAsia" w:eastAsia="仿宋_GB2312"/>
                <w:color w:val="auto"/>
                <w:kern w:val="0"/>
                <w:szCs w:val="21"/>
                <w:lang w:val="en-US" w:eastAsia="zh-CN"/>
              </w:rPr>
              <w:t>5</w:t>
            </w:r>
            <w:r>
              <w:rPr>
                <w:rFonts w:eastAsia="仿宋_GB2312"/>
                <w:color w:val="auto"/>
                <w:kern w:val="0"/>
                <w:szCs w:val="21"/>
              </w:rPr>
              <w:t>155</w:t>
            </w:r>
          </w:p>
        </w:tc>
        <w:tc>
          <w:tcPr>
            <w:tcW w:w="466" w:type="pct"/>
            <w:shd w:val="clear" w:color="auto" w:fill="auto"/>
            <w:vAlign w:val="center"/>
          </w:tcPr>
          <w:p w14:paraId="49C2C074">
            <w:pPr>
              <w:widowControl/>
              <w:jc w:val="center"/>
              <w:rPr>
                <w:rFonts w:ascii="Times New Roman" w:hAnsi="Times New Roman" w:eastAsia="仿宋_GB2312" w:cs="Times New Roman"/>
                <w:bCs/>
                <w:color w:val="auto"/>
                <w:kern w:val="0"/>
                <w:sz w:val="21"/>
                <w:szCs w:val="21"/>
                <w:lang w:val="en-US" w:eastAsia="zh-CN" w:bidi="ar-SA"/>
              </w:rPr>
            </w:pPr>
            <w:r>
              <w:rPr>
                <w:rFonts w:eastAsia="仿宋_GB2312"/>
                <w:bCs/>
                <w:color w:val="auto"/>
                <w:kern w:val="0"/>
                <w:szCs w:val="21"/>
              </w:rPr>
              <w:t>15700</w:t>
            </w:r>
          </w:p>
        </w:tc>
        <w:tc>
          <w:tcPr>
            <w:tcW w:w="335" w:type="pct"/>
            <w:shd w:val="clear" w:color="auto" w:fill="auto"/>
            <w:vAlign w:val="center"/>
          </w:tcPr>
          <w:p w14:paraId="4F5E10BC">
            <w:pPr>
              <w:widowControl/>
              <w:jc w:val="center"/>
              <w:rPr>
                <w:rFonts w:eastAsia="仿宋_GB2312"/>
                <w:bCs/>
                <w:color w:val="auto"/>
                <w:kern w:val="0"/>
                <w:szCs w:val="21"/>
                <w:lang w:val="en-US" w:eastAsia="zh-CN"/>
              </w:rPr>
            </w:pPr>
            <w:r>
              <w:rPr>
                <w:rFonts w:hint="default" w:eastAsia="仿宋_GB2312"/>
                <w:bCs/>
                <w:color w:val="auto"/>
                <w:kern w:val="0"/>
                <w:szCs w:val="21"/>
                <w:lang w:val="en-US" w:eastAsia="zh-CN"/>
              </w:rPr>
              <w:t>329</w:t>
            </w:r>
          </w:p>
        </w:tc>
        <w:tc>
          <w:tcPr>
            <w:tcW w:w="448" w:type="pct"/>
            <w:shd w:val="clear" w:color="auto" w:fill="auto"/>
            <w:vAlign w:val="center"/>
          </w:tcPr>
          <w:p w14:paraId="66B4DA08">
            <w:pPr>
              <w:keepNext w:val="0"/>
              <w:keepLines w:val="0"/>
              <w:widowControl/>
              <w:suppressLineNumbers w:val="0"/>
              <w:jc w:val="center"/>
              <w:textAlignment w:val="center"/>
              <w:rPr>
                <w:rFonts w:ascii="Times New Roman" w:hAnsi="Times New Roman" w:eastAsia="仿宋_GB2312" w:cs="Times New Roman"/>
                <w:bCs/>
                <w:color w:val="auto"/>
                <w:kern w:val="0"/>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19</w:t>
            </w:r>
          </w:p>
        </w:tc>
        <w:tc>
          <w:tcPr>
            <w:tcW w:w="392" w:type="pct"/>
            <w:shd w:val="clear" w:color="auto" w:fill="auto"/>
            <w:vAlign w:val="center"/>
          </w:tcPr>
          <w:p w14:paraId="431D47A9">
            <w:pPr>
              <w:widowControl/>
              <w:jc w:val="center"/>
              <w:rPr>
                <w:rFonts w:hint="eastAsia" w:ascii="Times New Roman" w:hAnsi="Times New Roman" w:eastAsia="仿宋_GB2312" w:cs="Times New Roman"/>
                <w:bCs/>
                <w:color w:val="auto"/>
                <w:kern w:val="0"/>
                <w:sz w:val="21"/>
                <w:szCs w:val="21"/>
                <w:lang w:val="en-US" w:eastAsia="zh-CN" w:bidi="ar-SA"/>
              </w:rPr>
            </w:pPr>
            <w:r>
              <w:rPr>
                <w:rFonts w:hint="eastAsia" w:eastAsia="仿宋_GB2312"/>
                <w:bCs/>
                <w:color w:val="auto"/>
                <w:kern w:val="0"/>
                <w:szCs w:val="21"/>
                <w:lang w:val="en-US" w:eastAsia="zh-CN"/>
              </w:rPr>
              <w:t>8</w:t>
            </w:r>
          </w:p>
        </w:tc>
        <w:tc>
          <w:tcPr>
            <w:tcW w:w="355" w:type="pct"/>
            <w:shd w:val="clear" w:color="auto" w:fill="auto"/>
            <w:vAlign w:val="center"/>
          </w:tcPr>
          <w:p w14:paraId="555307AB">
            <w:pPr>
              <w:widowControl/>
              <w:jc w:val="center"/>
              <w:rPr>
                <w:rFonts w:hint="eastAsia" w:eastAsia="仿宋_GB2312"/>
                <w:bCs/>
                <w:color w:val="auto"/>
                <w:kern w:val="0"/>
                <w:szCs w:val="21"/>
                <w:lang w:val="en-US" w:eastAsia="zh-CN"/>
              </w:rPr>
            </w:pPr>
            <w:r>
              <w:rPr>
                <w:rFonts w:hint="eastAsia" w:eastAsia="仿宋_GB2312"/>
                <w:bCs/>
                <w:color w:val="auto"/>
                <w:kern w:val="0"/>
                <w:szCs w:val="21"/>
                <w:lang w:val="en-US" w:eastAsia="zh-CN"/>
              </w:rPr>
              <w:t>782</w:t>
            </w:r>
          </w:p>
        </w:tc>
        <w:tc>
          <w:tcPr>
            <w:tcW w:w="314" w:type="pct"/>
            <w:vMerge w:val="continue"/>
            <w:vAlign w:val="center"/>
          </w:tcPr>
          <w:p w14:paraId="6D5A0CD3">
            <w:pPr>
              <w:widowControl/>
              <w:jc w:val="center"/>
              <w:rPr>
                <w:rFonts w:eastAsia="仿宋_GB2312"/>
                <w:bCs/>
                <w:color w:val="FF0000"/>
                <w:kern w:val="0"/>
                <w:szCs w:val="21"/>
              </w:rPr>
            </w:pPr>
          </w:p>
        </w:tc>
      </w:tr>
      <w:tr w14:paraId="0A4A20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12" w:hRule="atLeast"/>
          <w:tblHeader/>
          <w:jc w:val="center"/>
        </w:trPr>
        <w:tc>
          <w:tcPr>
            <w:tcW w:w="604" w:type="pct"/>
            <w:vMerge w:val="continue"/>
            <w:tcMar>
              <w:top w:w="15" w:type="dxa"/>
              <w:left w:w="15" w:type="dxa"/>
              <w:bottom w:w="0" w:type="dxa"/>
              <w:right w:w="15" w:type="dxa"/>
            </w:tcMar>
            <w:vAlign w:val="center"/>
          </w:tcPr>
          <w:p w14:paraId="63977E9D">
            <w:pPr>
              <w:widowControl/>
              <w:jc w:val="center"/>
              <w:rPr>
                <w:rFonts w:eastAsia="仿宋_GB2312"/>
                <w:kern w:val="0"/>
              </w:rPr>
            </w:pPr>
          </w:p>
        </w:tc>
        <w:tc>
          <w:tcPr>
            <w:tcW w:w="277" w:type="pct"/>
            <w:vMerge w:val="continue"/>
            <w:tcMar>
              <w:top w:w="15" w:type="dxa"/>
              <w:left w:w="15" w:type="dxa"/>
              <w:bottom w:w="0" w:type="dxa"/>
              <w:right w:w="15" w:type="dxa"/>
            </w:tcMar>
            <w:vAlign w:val="center"/>
          </w:tcPr>
          <w:p w14:paraId="45E14991">
            <w:pPr>
              <w:widowControl/>
              <w:jc w:val="center"/>
              <w:rPr>
                <w:rFonts w:eastAsia="仿宋_GB2312"/>
                <w:color w:val="FF0000"/>
                <w:kern w:val="0"/>
              </w:rPr>
            </w:pPr>
          </w:p>
        </w:tc>
        <w:tc>
          <w:tcPr>
            <w:tcW w:w="1421" w:type="pct"/>
            <w:gridSpan w:val="2"/>
            <w:shd w:val="clear" w:color="auto" w:fill="auto"/>
            <w:tcMar>
              <w:top w:w="15" w:type="dxa"/>
              <w:left w:w="15" w:type="dxa"/>
              <w:bottom w:w="0" w:type="dxa"/>
              <w:right w:w="15" w:type="dxa"/>
            </w:tcMar>
            <w:vAlign w:val="center"/>
          </w:tcPr>
          <w:p w14:paraId="6ED0152B">
            <w:pPr>
              <w:widowControl/>
              <w:jc w:val="center"/>
              <w:rPr>
                <w:rFonts w:ascii="Times New Roman" w:hAnsi="Times New Roman" w:eastAsia="仿宋_GB2312" w:cs="Times New Roman"/>
                <w:bCs/>
                <w:color w:val="auto"/>
                <w:kern w:val="0"/>
                <w:sz w:val="21"/>
                <w:szCs w:val="21"/>
                <w:lang w:val="en-US" w:eastAsia="zh-CN" w:bidi="ar-SA"/>
              </w:rPr>
            </w:pPr>
            <w:r>
              <w:rPr>
                <w:rFonts w:eastAsia="仿宋_GB2312"/>
                <w:bCs/>
                <w:color w:val="auto"/>
                <w:kern w:val="0"/>
                <w:szCs w:val="21"/>
              </w:rPr>
              <w:t>二甲苯废液</w:t>
            </w:r>
          </w:p>
        </w:tc>
        <w:tc>
          <w:tcPr>
            <w:tcW w:w="385" w:type="pct"/>
            <w:shd w:val="clear" w:color="auto" w:fill="auto"/>
            <w:tcMar>
              <w:top w:w="15" w:type="dxa"/>
              <w:left w:w="15" w:type="dxa"/>
              <w:bottom w:w="0" w:type="dxa"/>
              <w:right w:w="15" w:type="dxa"/>
            </w:tcMar>
            <w:vAlign w:val="center"/>
          </w:tcPr>
          <w:p w14:paraId="3FC8F620">
            <w:pPr>
              <w:widowControl/>
              <w:jc w:val="center"/>
              <w:rPr>
                <w:rFonts w:ascii="Times New Roman" w:hAnsi="Times New Roman" w:eastAsia="仿宋_GB2312" w:cs="Times New Roman"/>
                <w:color w:val="auto"/>
                <w:kern w:val="0"/>
                <w:sz w:val="21"/>
                <w:szCs w:val="21"/>
                <w:lang w:val="en-US" w:eastAsia="zh-CN" w:bidi="ar-SA"/>
              </w:rPr>
            </w:pPr>
            <w:r>
              <w:rPr>
                <w:rFonts w:hint="eastAsia" w:eastAsia="仿宋_GB2312"/>
                <w:color w:val="auto"/>
                <w:kern w:val="0"/>
                <w:szCs w:val="21"/>
                <w:lang w:val="en-US" w:eastAsia="zh-CN"/>
              </w:rPr>
              <w:t>8</w:t>
            </w:r>
            <w:r>
              <w:rPr>
                <w:rFonts w:eastAsia="仿宋_GB2312"/>
                <w:color w:val="auto"/>
                <w:kern w:val="0"/>
                <w:szCs w:val="21"/>
              </w:rPr>
              <w:t>765</w:t>
            </w:r>
          </w:p>
        </w:tc>
        <w:tc>
          <w:tcPr>
            <w:tcW w:w="466" w:type="pct"/>
            <w:shd w:val="clear" w:color="auto" w:fill="auto"/>
            <w:vAlign w:val="center"/>
          </w:tcPr>
          <w:p w14:paraId="1B970BDC">
            <w:pPr>
              <w:widowControl/>
              <w:jc w:val="center"/>
              <w:rPr>
                <w:rFonts w:ascii="Times New Roman" w:hAnsi="Times New Roman" w:eastAsia="仿宋_GB2312" w:cs="Times New Roman"/>
                <w:bCs/>
                <w:color w:val="auto"/>
                <w:kern w:val="0"/>
                <w:sz w:val="21"/>
                <w:szCs w:val="21"/>
                <w:lang w:val="en-US" w:eastAsia="zh-CN" w:bidi="ar-SA"/>
              </w:rPr>
            </w:pPr>
            <w:r>
              <w:rPr>
                <w:rFonts w:eastAsia="仿宋_GB2312"/>
                <w:bCs/>
                <w:color w:val="auto"/>
                <w:kern w:val="0"/>
                <w:szCs w:val="21"/>
              </w:rPr>
              <w:t>15500</w:t>
            </w:r>
          </w:p>
        </w:tc>
        <w:tc>
          <w:tcPr>
            <w:tcW w:w="335" w:type="pct"/>
            <w:shd w:val="clear" w:color="auto" w:fill="auto"/>
            <w:vAlign w:val="center"/>
          </w:tcPr>
          <w:p w14:paraId="0CAEAF6C">
            <w:pPr>
              <w:widowControl/>
              <w:jc w:val="center"/>
              <w:rPr>
                <w:rFonts w:eastAsia="仿宋_GB2312"/>
                <w:bCs/>
                <w:color w:val="auto"/>
                <w:kern w:val="0"/>
                <w:szCs w:val="21"/>
                <w:lang w:val="en-US" w:eastAsia="zh-CN"/>
              </w:rPr>
            </w:pPr>
            <w:r>
              <w:rPr>
                <w:rFonts w:hint="default" w:eastAsia="仿宋_GB2312"/>
                <w:bCs/>
                <w:color w:val="auto"/>
                <w:kern w:val="0"/>
                <w:szCs w:val="21"/>
                <w:lang w:val="en-US" w:eastAsia="zh-CN"/>
              </w:rPr>
              <w:t>566</w:t>
            </w:r>
          </w:p>
        </w:tc>
        <w:tc>
          <w:tcPr>
            <w:tcW w:w="448" w:type="pct"/>
            <w:shd w:val="clear" w:color="auto" w:fill="auto"/>
            <w:vAlign w:val="center"/>
          </w:tcPr>
          <w:p w14:paraId="248C7410">
            <w:pPr>
              <w:keepNext w:val="0"/>
              <w:keepLines w:val="0"/>
              <w:widowControl/>
              <w:suppressLineNumbers w:val="0"/>
              <w:jc w:val="center"/>
              <w:textAlignment w:val="center"/>
              <w:rPr>
                <w:rFonts w:ascii="Times New Roman" w:hAnsi="Times New Roman" w:eastAsia="仿宋_GB2312" w:cs="Times New Roman"/>
                <w:bCs/>
                <w:color w:val="auto"/>
                <w:kern w:val="0"/>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19</w:t>
            </w:r>
          </w:p>
        </w:tc>
        <w:tc>
          <w:tcPr>
            <w:tcW w:w="392" w:type="pct"/>
            <w:shd w:val="clear" w:color="auto" w:fill="auto"/>
            <w:vAlign w:val="center"/>
          </w:tcPr>
          <w:p w14:paraId="3B4D5BA3">
            <w:pPr>
              <w:widowControl/>
              <w:jc w:val="center"/>
              <w:rPr>
                <w:rFonts w:hint="eastAsia" w:ascii="Times New Roman" w:hAnsi="Times New Roman" w:eastAsia="仿宋_GB2312" w:cs="Times New Roman"/>
                <w:bCs/>
                <w:color w:val="auto"/>
                <w:kern w:val="0"/>
                <w:sz w:val="21"/>
                <w:szCs w:val="21"/>
                <w:lang w:val="en-US" w:eastAsia="zh-CN" w:bidi="ar-SA"/>
              </w:rPr>
            </w:pPr>
            <w:r>
              <w:rPr>
                <w:rFonts w:hint="eastAsia" w:eastAsia="仿宋_GB2312"/>
                <w:bCs/>
                <w:color w:val="auto"/>
                <w:kern w:val="0"/>
                <w:szCs w:val="21"/>
                <w:lang w:val="en-US" w:eastAsia="zh-CN"/>
              </w:rPr>
              <w:t>8</w:t>
            </w:r>
          </w:p>
        </w:tc>
        <w:tc>
          <w:tcPr>
            <w:tcW w:w="355" w:type="pct"/>
            <w:shd w:val="clear" w:color="auto" w:fill="auto"/>
            <w:vAlign w:val="center"/>
          </w:tcPr>
          <w:p w14:paraId="21C13D2E">
            <w:pPr>
              <w:widowControl/>
              <w:jc w:val="center"/>
              <w:rPr>
                <w:rFonts w:hint="eastAsia" w:eastAsia="仿宋_GB2312"/>
                <w:bCs/>
                <w:color w:val="auto"/>
                <w:kern w:val="0"/>
                <w:szCs w:val="21"/>
                <w:lang w:val="en-US" w:eastAsia="zh-CN"/>
              </w:rPr>
            </w:pPr>
            <w:r>
              <w:rPr>
                <w:rFonts w:hint="eastAsia" w:eastAsia="仿宋_GB2312"/>
                <w:bCs/>
                <w:color w:val="auto"/>
                <w:kern w:val="0"/>
                <w:szCs w:val="21"/>
                <w:lang w:val="en-US" w:eastAsia="zh-CN"/>
              </w:rPr>
              <w:t>1345</w:t>
            </w:r>
          </w:p>
        </w:tc>
        <w:tc>
          <w:tcPr>
            <w:tcW w:w="314" w:type="pct"/>
            <w:vMerge w:val="continue"/>
            <w:vAlign w:val="center"/>
          </w:tcPr>
          <w:p w14:paraId="0D54D3B3">
            <w:pPr>
              <w:widowControl/>
              <w:jc w:val="center"/>
              <w:rPr>
                <w:rFonts w:eastAsia="仿宋_GB2312"/>
                <w:bCs/>
                <w:color w:val="FF0000"/>
                <w:kern w:val="0"/>
                <w:szCs w:val="21"/>
              </w:rPr>
            </w:pPr>
          </w:p>
        </w:tc>
      </w:tr>
      <w:tr w14:paraId="4FF34A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12" w:hRule="atLeast"/>
          <w:tblHeader/>
          <w:jc w:val="center"/>
        </w:trPr>
        <w:tc>
          <w:tcPr>
            <w:tcW w:w="604" w:type="pct"/>
            <w:vMerge w:val="continue"/>
            <w:tcMar>
              <w:top w:w="15" w:type="dxa"/>
              <w:left w:w="15" w:type="dxa"/>
              <w:bottom w:w="0" w:type="dxa"/>
              <w:right w:w="15" w:type="dxa"/>
            </w:tcMar>
            <w:vAlign w:val="center"/>
          </w:tcPr>
          <w:p w14:paraId="4D6BA97C">
            <w:pPr>
              <w:widowControl/>
              <w:jc w:val="center"/>
              <w:rPr>
                <w:rFonts w:eastAsia="仿宋_GB2312"/>
                <w:kern w:val="0"/>
              </w:rPr>
            </w:pPr>
          </w:p>
        </w:tc>
        <w:tc>
          <w:tcPr>
            <w:tcW w:w="277" w:type="pct"/>
            <w:vMerge w:val="continue"/>
            <w:tcMar>
              <w:top w:w="15" w:type="dxa"/>
              <w:left w:w="15" w:type="dxa"/>
              <w:bottom w:w="0" w:type="dxa"/>
              <w:right w:w="15" w:type="dxa"/>
            </w:tcMar>
            <w:vAlign w:val="center"/>
          </w:tcPr>
          <w:p w14:paraId="3651C7D3">
            <w:pPr>
              <w:widowControl/>
              <w:jc w:val="center"/>
              <w:rPr>
                <w:rFonts w:eastAsia="仿宋_GB2312"/>
                <w:color w:val="FF0000"/>
                <w:kern w:val="0"/>
              </w:rPr>
            </w:pPr>
          </w:p>
        </w:tc>
        <w:tc>
          <w:tcPr>
            <w:tcW w:w="1421" w:type="pct"/>
            <w:gridSpan w:val="2"/>
            <w:shd w:val="clear" w:color="auto" w:fill="auto"/>
            <w:tcMar>
              <w:top w:w="15" w:type="dxa"/>
              <w:left w:w="15" w:type="dxa"/>
              <w:bottom w:w="0" w:type="dxa"/>
              <w:right w:w="15" w:type="dxa"/>
            </w:tcMar>
            <w:vAlign w:val="center"/>
          </w:tcPr>
          <w:p w14:paraId="7A6BB1F4">
            <w:pPr>
              <w:widowControl/>
              <w:jc w:val="center"/>
              <w:rPr>
                <w:rFonts w:ascii="Times New Roman" w:hAnsi="Times New Roman" w:eastAsia="仿宋_GB2312" w:cs="Times New Roman"/>
                <w:color w:val="FF0000"/>
                <w:kern w:val="0"/>
                <w:sz w:val="21"/>
                <w:szCs w:val="21"/>
                <w:lang w:val="en-US" w:eastAsia="zh-CN" w:bidi="ar-SA"/>
              </w:rPr>
            </w:pPr>
            <w:r>
              <w:rPr>
                <w:rFonts w:eastAsia="仿宋_GB2312"/>
                <w:color w:val="auto"/>
                <w:kern w:val="0"/>
                <w:szCs w:val="21"/>
              </w:rPr>
              <w:t>二氯乙烷废液</w:t>
            </w:r>
          </w:p>
        </w:tc>
        <w:tc>
          <w:tcPr>
            <w:tcW w:w="385" w:type="pct"/>
            <w:shd w:val="clear" w:color="auto" w:fill="auto"/>
            <w:tcMar>
              <w:top w:w="15" w:type="dxa"/>
              <w:left w:w="15" w:type="dxa"/>
              <w:bottom w:w="0" w:type="dxa"/>
              <w:right w:w="15" w:type="dxa"/>
            </w:tcMar>
            <w:vAlign w:val="center"/>
          </w:tcPr>
          <w:p w14:paraId="1096E8B6">
            <w:pPr>
              <w:widowControl/>
              <w:jc w:val="center"/>
              <w:rPr>
                <w:rFonts w:ascii="Times New Roman" w:hAnsi="Times New Roman" w:eastAsia="仿宋_GB2312" w:cs="Times New Roman"/>
                <w:color w:val="auto"/>
                <w:kern w:val="0"/>
                <w:sz w:val="21"/>
                <w:szCs w:val="21"/>
                <w:lang w:val="en-US" w:eastAsia="zh-CN" w:bidi="ar-SA"/>
              </w:rPr>
            </w:pPr>
            <w:r>
              <w:rPr>
                <w:rFonts w:eastAsia="仿宋_GB2312"/>
                <w:color w:val="auto"/>
                <w:kern w:val="0"/>
                <w:szCs w:val="21"/>
              </w:rPr>
              <w:t>2765</w:t>
            </w:r>
          </w:p>
        </w:tc>
        <w:tc>
          <w:tcPr>
            <w:tcW w:w="466" w:type="pct"/>
            <w:shd w:val="clear" w:color="auto" w:fill="auto"/>
            <w:vAlign w:val="center"/>
          </w:tcPr>
          <w:p w14:paraId="086A4664">
            <w:pPr>
              <w:widowControl/>
              <w:jc w:val="center"/>
              <w:rPr>
                <w:rFonts w:ascii="Times New Roman" w:hAnsi="Times New Roman" w:eastAsia="仿宋_GB2312" w:cs="Times New Roman"/>
                <w:bCs/>
                <w:color w:val="auto"/>
                <w:kern w:val="0"/>
                <w:sz w:val="21"/>
                <w:szCs w:val="21"/>
                <w:lang w:val="en-US" w:eastAsia="zh-CN" w:bidi="ar-SA"/>
              </w:rPr>
            </w:pPr>
            <w:r>
              <w:rPr>
                <w:rFonts w:eastAsia="仿宋_GB2312"/>
                <w:bCs/>
                <w:color w:val="auto"/>
                <w:kern w:val="0"/>
                <w:szCs w:val="21"/>
              </w:rPr>
              <w:t>22600</w:t>
            </w:r>
          </w:p>
        </w:tc>
        <w:tc>
          <w:tcPr>
            <w:tcW w:w="335" w:type="pct"/>
            <w:shd w:val="clear" w:color="auto" w:fill="auto"/>
            <w:vAlign w:val="center"/>
          </w:tcPr>
          <w:p w14:paraId="701B2D9C">
            <w:pPr>
              <w:widowControl/>
              <w:jc w:val="center"/>
              <w:rPr>
                <w:rFonts w:eastAsia="仿宋_GB2312"/>
                <w:bCs/>
                <w:color w:val="auto"/>
                <w:kern w:val="0"/>
                <w:szCs w:val="21"/>
                <w:lang w:val="en-US" w:eastAsia="zh-CN"/>
              </w:rPr>
            </w:pPr>
            <w:r>
              <w:rPr>
                <w:rFonts w:hint="default" w:eastAsia="仿宋_GB2312"/>
                <w:bCs/>
                <w:color w:val="auto"/>
                <w:kern w:val="0"/>
                <w:szCs w:val="21"/>
                <w:lang w:val="en-US" w:eastAsia="zh-CN"/>
              </w:rPr>
              <w:t>123</w:t>
            </w:r>
          </w:p>
        </w:tc>
        <w:tc>
          <w:tcPr>
            <w:tcW w:w="448" w:type="pct"/>
            <w:shd w:val="clear" w:color="auto" w:fill="auto"/>
            <w:vAlign w:val="center"/>
          </w:tcPr>
          <w:p w14:paraId="5DB1BE38">
            <w:pPr>
              <w:keepNext w:val="0"/>
              <w:keepLines w:val="0"/>
              <w:widowControl/>
              <w:suppressLineNumbers w:val="0"/>
              <w:jc w:val="center"/>
              <w:textAlignment w:val="center"/>
              <w:rPr>
                <w:rFonts w:ascii="Times New Roman" w:hAnsi="Times New Roman" w:eastAsia="仿宋_GB2312" w:cs="Times New Roman"/>
                <w:bCs/>
                <w:color w:val="auto"/>
                <w:kern w:val="0"/>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22</w:t>
            </w:r>
          </w:p>
        </w:tc>
        <w:tc>
          <w:tcPr>
            <w:tcW w:w="392" w:type="pct"/>
            <w:shd w:val="clear" w:color="auto" w:fill="auto"/>
            <w:vAlign w:val="center"/>
          </w:tcPr>
          <w:p w14:paraId="06DB50A0">
            <w:pPr>
              <w:widowControl/>
              <w:jc w:val="center"/>
              <w:rPr>
                <w:rFonts w:hint="eastAsia" w:ascii="Times New Roman" w:hAnsi="Times New Roman" w:eastAsia="仿宋_GB2312" w:cs="Times New Roman"/>
                <w:bCs/>
                <w:color w:val="auto"/>
                <w:kern w:val="0"/>
                <w:sz w:val="21"/>
                <w:szCs w:val="21"/>
                <w:lang w:val="en-US" w:eastAsia="zh-CN" w:bidi="ar-SA"/>
              </w:rPr>
            </w:pPr>
            <w:r>
              <w:rPr>
                <w:rFonts w:hint="eastAsia" w:eastAsia="仿宋_GB2312"/>
                <w:bCs/>
                <w:color w:val="auto"/>
                <w:kern w:val="0"/>
                <w:szCs w:val="21"/>
                <w:lang w:val="en-US" w:eastAsia="zh-CN"/>
              </w:rPr>
              <w:t>8</w:t>
            </w:r>
          </w:p>
        </w:tc>
        <w:tc>
          <w:tcPr>
            <w:tcW w:w="355" w:type="pct"/>
            <w:shd w:val="clear" w:color="auto" w:fill="auto"/>
            <w:vAlign w:val="center"/>
          </w:tcPr>
          <w:p w14:paraId="26B0BB48">
            <w:pPr>
              <w:widowControl/>
              <w:jc w:val="center"/>
              <w:rPr>
                <w:rFonts w:hint="eastAsia" w:eastAsia="仿宋_GB2312"/>
                <w:bCs/>
                <w:color w:val="auto"/>
                <w:kern w:val="0"/>
                <w:szCs w:val="21"/>
                <w:lang w:val="en-US" w:eastAsia="zh-CN"/>
              </w:rPr>
            </w:pPr>
            <w:r>
              <w:rPr>
                <w:rFonts w:hint="eastAsia" w:eastAsia="仿宋_GB2312"/>
                <w:bCs/>
                <w:color w:val="auto"/>
                <w:kern w:val="0"/>
                <w:szCs w:val="21"/>
                <w:lang w:val="en-US" w:eastAsia="zh-CN"/>
              </w:rPr>
              <w:t>339</w:t>
            </w:r>
          </w:p>
        </w:tc>
        <w:tc>
          <w:tcPr>
            <w:tcW w:w="314" w:type="pct"/>
            <w:vMerge w:val="continue"/>
            <w:vAlign w:val="center"/>
          </w:tcPr>
          <w:p w14:paraId="650D72A0">
            <w:pPr>
              <w:widowControl/>
              <w:jc w:val="center"/>
              <w:rPr>
                <w:rFonts w:eastAsia="仿宋_GB2312"/>
                <w:bCs/>
                <w:color w:val="FF0000"/>
                <w:kern w:val="0"/>
                <w:szCs w:val="21"/>
              </w:rPr>
            </w:pPr>
          </w:p>
        </w:tc>
      </w:tr>
      <w:tr w14:paraId="3C4FF1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12" w:hRule="atLeast"/>
          <w:tblHeader/>
          <w:jc w:val="center"/>
        </w:trPr>
        <w:tc>
          <w:tcPr>
            <w:tcW w:w="604" w:type="pct"/>
            <w:vMerge w:val="continue"/>
            <w:tcMar>
              <w:top w:w="15" w:type="dxa"/>
              <w:left w:w="15" w:type="dxa"/>
              <w:bottom w:w="0" w:type="dxa"/>
              <w:right w:w="15" w:type="dxa"/>
            </w:tcMar>
            <w:vAlign w:val="center"/>
          </w:tcPr>
          <w:p w14:paraId="0CC31860">
            <w:pPr>
              <w:widowControl/>
              <w:jc w:val="center"/>
              <w:rPr>
                <w:rFonts w:eastAsia="仿宋_GB2312"/>
                <w:kern w:val="0"/>
              </w:rPr>
            </w:pPr>
          </w:p>
        </w:tc>
        <w:tc>
          <w:tcPr>
            <w:tcW w:w="277" w:type="pct"/>
            <w:vMerge w:val="continue"/>
            <w:tcMar>
              <w:top w:w="15" w:type="dxa"/>
              <w:left w:w="15" w:type="dxa"/>
              <w:bottom w:w="0" w:type="dxa"/>
              <w:right w:w="15" w:type="dxa"/>
            </w:tcMar>
            <w:vAlign w:val="center"/>
          </w:tcPr>
          <w:p w14:paraId="1C2F7B49">
            <w:pPr>
              <w:widowControl/>
              <w:jc w:val="center"/>
              <w:rPr>
                <w:rFonts w:eastAsia="仿宋_GB2312"/>
                <w:color w:val="FF0000"/>
                <w:kern w:val="0"/>
              </w:rPr>
            </w:pPr>
          </w:p>
        </w:tc>
        <w:tc>
          <w:tcPr>
            <w:tcW w:w="1421" w:type="pct"/>
            <w:gridSpan w:val="2"/>
            <w:shd w:val="clear" w:color="auto" w:fill="auto"/>
            <w:tcMar>
              <w:top w:w="15" w:type="dxa"/>
              <w:left w:w="15" w:type="dxa"/>
              <w:bottom w:w="0" w:type="dxa"/>
              <w:right w:w="15" w:type="dxa"/>
            </w:tcMar>
            <w:vAlign w:val="center"/>
          </w:tcPr>
          <w:p w14:paraId="750797F6">
            <w:pPr>
              <w:widowControl/>
              <w:jc w:val="center"/>
              <w:rPr>
                <w:rFonts w:ascii="Times New Roman" w:hAnsi="Times New Roman" w:eastAsia="仿宋_GB2312" w:cs="Times New Roman"/>
                <w:color w:val="auto"/>
                <w:kern w:val="0"/>
                <w:sz w:val="21"/>
                <w:szCs w:val="21"/>
                <w:lang w:val="en-US" w:eastAsia="zh-CN" w:bidi="ar-SA"/>
              </w:rPr>
            </w:pPr>
            <w:r>
              <w:rPr>
                <w:rFonts w:eastAsia="仿宋_GB2312"/>
                <w:color w:val="auto"/>
                <w:kern w:val="0"/>
                <w:szCs w:val="21"/>
              </w:rPr>
              <w:t>二甲基亚砜废液</w:t>
            </w:r>
          </w:p>
        </w:tc>
        <w:tc>
          <w:tcPr>
            <w:tcW w:w="385" w:type="pct"/>
            <w:shd w:val="clear" w:color="auto" w:fill="auto"/>
            <w:tcMar>
              <w:top w:w="15" w:type="dxa"/>
              <w:left w:w="15" w:type="dxa"/>
              <w:bottom w:w="0" w:type="dxa"/>
              <w:right w:w="15" w:type="dxa"/>
            </w:tcMar>
            <w:vAlign w:val="center"/>
          </w:tcPr>
          <w:p w14:paraId="5BBEF155">
            <w:pPr>
              <w:widowControl/>
              <w:jc w:val="center"/>
              <w:rPr>
                <w:rFonts w:hint="default" w:ascii="Times New Roman" w:hAnsi="Times New Roman" w:eastAsia="仿宋_GB2312" w:cs="Times New Roman"/>
                <w:color w:val="auto"/>
                <w:kern w:val="0"/>
                <w:sz w:val="21"/>
                <w:szCs w:val="21"/>
                <w:lang w:val="en-US" w:eastAsia="zh-CN" w:bidi="ar-SA"/>
              </w:rPr>
            </w:pPr>
            <w:r>
              <w:rPr>
                <w:rFonts w:hint="eastAsia" w:eastAsia="仿宋_GB2312"/>
                <w:color w:val="auto"/>
                <w:kern w:val="0"/>
                <w:szCs w:val="21"/>
                <w:lang w:val="en-US" w:eastAsia="zh-CN"/>
              </w:rPr>
              <w:t>23775</w:t>
            </w:r>
          </w:p>
        </w:tc>
        <w:tc>
          <w:tcPr>
            <w:tcW w:w="466" w:type="pct"/>
            <w:shd w:val="clear" w:color="auto" w:fill="auto"/>
            <w:vAlign w:val="center"/>
          </w:tcPr>
          <w:p w14:paraId="2AE26EA7">
            <w:pPr>
              <w:widowControl/>
              <w:jc w:val="center"/>
              <w:rPr>
                <w:rFonts w:ascii="Times New Roman" w:hAnsi="Times New Roman" w:eastAsia="仿宋_GB2312" w:cs="Times New Roman"/>
                <w:bCs/>
                <w:color w:val="auto"/>
                <w:kern w:val="0"/>
                <w:sz w:val="21"/>
                <w:szCs w:val="21"/>
                <w:lang w:val="en-US" w:eastAsia="zh-CN" w:bidi="ar-SA"/>
              </w:rPr>
            </w:pPr>
            <w:r>
              <w:rPr>
                <w:rFonts w:eastAsia="仿宋_GB2312"/>
                <w:bCs/>
                <w:color w:val="auto"/>
                <w:kern w:val="0"/>
                <w:szCs w:val="21"/>
              </w:rPr>
              <w:t>19800</w:t>
            </w:r>
          </w:p>
        </w:tc>
        <w:tc>
          <w:tcPr>
            <w:tcW w:w="335" w:type="pct"/>
            <w:shd w:val="clear" w:color="auto" w:fill="auto"/>
            <w:vAlign w:val="center"/>
          </w:tcPr>
          <w:p w14:paraId="0FAB049D">
            <w:pPr>
              <w:widowControl/>
              <w:jc w:val="center"/>
              <w:rPr>
                <w:rFonts w:hint="default" w:eastAsia="仿宋_GB2312"/>
                <w:bCs/>
                <w:color w:val="auto"/>
                <w:kern w:val="0"/>
                <w:szCs w:val="21"/>
                <w:lang w:val="en-US" w:eastAsia="zh-CN"/>
              </w:rPr>
            </w:pPr>
            <w:r>
              <w:rPr>
                <w:rFonts w:hint="eastAsia" w:eastAsia="仿宋_GB2312"/>
                <w:bCs/>
                <w:color w:val="auto"/>
                <w:kern w:val="0"/>
                <w:szCs w:val="21"/>
                <w:lang w:val="en-US" w:eastAsia="zh-CN"/>
              </w:rPr>
              <w:t>1201</w:t>
            </w:r>
          </w:p>
        </w:tc>
        <w:tc>
          <w:tcPr>
            <w:tcW w:w="448" w:type="pct"/>
            <w:shd w:val="clear" w:color="auto" w:fill="auto"/>
            <w:vAlign w:val="center"/>
          </w:tcPr>
          <w:p w14:paraId="5BDF4573">
            <w:pPr>
              <w:keepNext w:val="0"/>
              <w:keepLines w:val="0"/>
              <w:widowControl/>
              <w:suppressLineNumbers w:val="0"/>
              <w:jc w:val="center"/>
              <w:textAlignment w:val="center"/>
              <w:rPr>
                <w:rFonts w:ascii="Times New Roman" w:hAnsi="Times New Roman" w:eastAsia="仿宋_GB2312" w:cs="Times New Roman"/>
                <w:bCs/>
                <w:color w:val="auto"/>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19</w:t>
            </w:r>
          </w:p>
        </w:tc>
        <w:tc>
          <w:tcPr>
            <w:tcW w:w="392" w:type="pct"/>
            <w:shd w:val="clear" w:color="auto" w:fill="auto"/>
            <w:vAlign w:val="center"/>
          </w:tcPr>
          <w:p w14:paraId="3310AEA6">
            <w:pPr>
              <w:widowControl/>
              <w:jc w:val="center"/>
              <w:rPr>
                <w:rFonts w:hint="eastAsia" w:ascii="Times New Roman" w:hAnsi="Times New Roman" w:eastAsia="仿宋_GB2312" w:cs="Times New Roman"/>
                <w:bCs/>
                <w:color w:val="auto"/>
                <w:kern w:val="0"/>
                <w:sz w:val="21"/>
                <w:szCs w:val="21"/>
                <w:lang w:val="en-US" w:eastAsia="zh-CN" w:bidi="ar-SA"/>
              </w:rPr>
            </w:pPr>
            <w:r>
              <w:rPr>
                <w:rFonts w:hint="eastAsia" w:eastAsia="仿宋_GB2312"/>
                <w:bCs/>
                <w:color w:val="auto"/>
                <w:kern w:val="0"/>
                <w:szCs w:val="21"/>
                <w:lang w:val="en-US" w:eastAsia="zh-CN"/>
              </w:rPr>
              <w:t>8</w:t>
            </w:r>
          </w:p>
        </w:tc>
        <w:tc>
          <w:tcPr>
            <w:tcW w:w="355" w:type="pct"/>
            <w:shd w:val="clear" w:color="auto" w:fill="auto"/>
            <w:vAlign w:val="center"/>
          </w:tcPr>
          <w:p w14:paraId="15657334">
            <w:pPr>
              <w:widowControl/>
              <w:jc w:val="center"/>
              <w:rPr>
                <w:rFonts w:hint="default" w:eastAsia="仿宋_GB2312"/>
                <w:bCs/>
                <w:color w:val="auto"/>
                <w:kern w:val="0"/>
                <w:szCs w:val="21"/>
                <w:lang w:val="en-US" w:eastAsia="zh-CN"/>
              </w:rPr>
            </w:pPr>
            <w:r>
              <w:rPr>
                <w:rFonts w:hint="eastAsia" w:eastAsia="仿宋_GB2312"/>
                <w:bCs/>
                <w:color w:val="auto"/>
                <w:kern w:val="0"/>
                <w:szCs w:val="21"/>
                <w:lang w:val="en-US" w:eastAsia="zh-CN"/>
              </w:rPr>
              <w:t>2852</w:t>
            </w:r>
          </w:p>
        </w:tc>
        <w:tc>
          <w:tcPr>
            <w:tcW w:w="314" w:type="pct"/>
            <w:vMerge w:val="continue"/>
            <w:vAlign w:val="center"/>
          </w:tcPr>
          <w:p w14:paraId="4A55C1C5">
            <w:pPr>
              <w:widowControl/>
              <w:jc w:val="center"/>
              <w:rPr>
                <w:rFonts w:eastAsia="仿宋_GB2312"/>
                <w:bCs/>
                <w:color w:val="FF0000"/>
                <w:kern w:val="0"/>
                <w:szCs w:val="21"/>
              </w:rPr>
            </w:pPr>
          </w:p>
        </w:tc>
      </w:tr>
      <w:tr w14:paraId="25626A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12" w:hRule="atLeast"/>
          <w:tblHeader/>
          <w:jc w:val="center"/>
        </w:trPr>
        <w:tc>
          <w:tcPr>
            <w:tcW w:w="604" w:type="pct"/>
            <w:vMerge w:val="continue"/>
            <w:tcMar>
              <w:top w:w="15" w:type="dxa"/>
              <w:left w:w="15" w:type="dxa"/>
              <w:bottom w:w="0" w:type="dxa"/>
              <w:right w:w="15" w:type="dxa"/>
            </w:tcMar>
            <w:vAlign w:val="center"/>
          </w:tcPr>
          <w:p w14:paraId="233276EF">
            <w:pPr>
              <w:widowControl/>
              <w:jc w:val="center"/>
              <w:rPr>
                <w:rFonts w:eastAsia="仿宋_GB2312"/>
                <w:kern w:val="0"/>
              </w:rPr>
            </w:pPr>
          </w:p>
        </w:tc>
        <w:tc>
          <w:tcPr>
            <w:tcW w:w="277" w:type="pct"/>
            <w:vMerge w:val="continue"/>
            <w:tcMar>
              <w:top w:w="15" w:type="dxa"/>
              <w:left w:w="15" w:type="dxa"/>
              <w:bottom w:w="0" w:type="dxa"/>
              <w:right w:w="15" w:type="dxa"/>
            </w:tcMar>
            <w:vAlign w:val="center"/>
          </w:tcPr>
          <w:p w14:paraId="60673528">
            <w:pPr>
              <w:widowControl/>
              <w:jc w:val="center"/>
              <w:rPr>
                <w:rFonts w:eastAsia="仿宋_GB2312"/>
                <w:color w:val="FF0000"/>
                <w:kern w:val="0"/>
              </w:rPr>
            </w:pPr>
          </w:p>
        </w:tc>
        <w:tc>
          <w:tcPr>
            <w:tcW w:w="1421" w:type="pct"/>
            <w:gridSpan w:val="2"/>
            <w:shd w:val="clear" w:color="auto" w:fill="auto"/>
            <w:tcMar>
              <w:top w:w="15" w:type="dxa"/>
              <w:left w:w="15" w:type="dxa"/>
              <w:bottom w:w="0" w:type="dxa"/>
              <w:right w:w="15" w:type="dxa"/>
            </w:tcMar>
            <w:vAlign w:val="center"/>
          </w:tcPr>
          <w:p w14:paraId="4C86B67E">
            <w:pPr>
              <w:widowControl/>
              <w:jc w:val="center"/>
              <w:rPr>
                <w:rFonts w:ascii="Times New Roman" w:hAnsi="Times New Roman" w:eastAsia="仿宋_GB2312" w:cs="Times New Roman"/>
                <w:color w:val="auto"/>
                <w:kern w:val="0"/>
                <w:sz w:val="21"/>
                <w:szCs w:val="21"/>
                <w:lang w:val="en-US" w:eastAsia="zh-CN" w:bidi="ar-SA"/>
              </w:rPr>
            </w:pPr>
            <w:r>
              <w:rPr>
                <w:rFonts w:eastAsia="仿宋_GB2312"/>
                <w:color w:val="auto"/>
                <w:kern w:val="0"/>
                <w:szCs w:val="21"/>
              </w:rPr>
              <w:t>废辛醇、丁醇轻重组分废液</w:t>
            </w:r>
          </w:p>
        </w:tc>
        <w:tc>
          <w:tcPr>
            <w:tcW w:w="385" w:type="pct"/>
            <w:shd w:val="clear" w:color="auto" w:fill="auto"/>
            <w:tcMar>
              <w:top w:w="15" w:type="dxa"/>
              <w:left w:w="15" w:type="dxa"/>
              <w:bottom w:w="0" w:type="dxa"/>
              <w:right w:w="15" w:type="dxa"/>
            </w:tcMar>
            <w:vAlign w:val="center"/>
          </w:tcPr>
          <w:p w14:paraId="75523911">
            <w:pPr>
              <w:widowControl/>
              <w:jc w:val="center"/>
              <w:rPr>
                <w:rFonts w:ascii="Times New Roman" w:hAnsi="Times New Roman" w:eastAsia="仿宋_GB2312" w:cs="Times New Roman"/>
                <w:color w:val="auto"/>
                <w:kern w:val="0"/>
                <w:sz w:val="21"/>
                <w:szCs w:val="21"/>
                <w:lang w:val="en-US" w:eastAsia="zh-CN" w:bidi="ar-SA"/>
              </w:rPr>
            </w:pPr>
            <w:r>
              <w:rPr>
                <w:rFonts w:hint="eastAsia" w:eastAsia="仿宋_GB2312"/>
                <w:color w:val="auto"/>
                <w:kern w:val="0"/>
                <w:szCs w:val="21"/>
                <w:lang w:val="en-US" w:eastAsia="zh-CN"/>
              </w:rPr>
              <w:t>10</w:t>
            </w:r>
            <w:r>
              <w:rPr>
                <w:rFonts w:eastAsia="仿宋_GB2312"/>
                <w:color w:val="auto"/>
                <w:kern w:val="0"/>
                <w:szCs w:val="21"/>
              </w:rPr>
              <w:t>00</w:t>
            </w:r>
          </w:p>
        </w:tc>
        <w:tc>
          <w:tcPr>
            <w:tcW w:w="466" w:type="pct"/>
            <w:shd w:val="clear" w:color="auto" w:fill="auto"/>
            <w:vAlign w:val="center"/>
          </w:tcPr>
          <w:p w14:paraId="7D17ED16">
            <w:pPr>
              <w:widowControl/>
              <w:jc w:val="center"/>
              <w:rPr>
                <w:rFonts w:ascii="Times New Roman" w:hAnsi="Times New Roman" w:eastAsia="仿宋_GB2312" w:cs="Times New Roman"/>
                <w:bCs/>
                <w:color w:val="auto"/>
                <w:kern w:val="0"/>
                <w:sz w:val="21"/>
                <w:szCs w:val="21"/>
                <w:lang w:val="en-US" w:eastAsia="zh-CN" w:bidi="ar-SA"/>
              </w:rPr>
            </w:pPr>
            <w:r>
              <w:rPr>
                <w:rFonts w:eastAsia="仿宋_GB2312"/>
                <w:bCs/>
                <w:color w:val="auto"/>
                <w:kern w:val="0"/>
                <w:szCs w:val="21"/>
              </w:rPr>
              <w:t>14400</w:t>
            </w:r>
          </w:p>
        </w:tc>
        <w:tc>
          <w:tcPr>
            <w:tcW w:w="335" w:type="pct"/>
            <w:shd w:val="clear" w:color="auto" w:fill="auto"/>
            <w:vAlign w:val="center"/>
          </w:tcPr>
          <w:p w14:paraId="53044329">
            <w:pPr>
              <w:widowControl/>
              <w:jc w:val="center"/>
              <w:rPr>
                <w:rFonts w:hint="default" w:eastAsia="仿宋_GB2312"/>
                <w:bCs/>
                <w:color w:val="auto"/>
                <w:kern w:val="0"/>
                <w:szCs w:val="21"/>
                <w:lang w:val="en-US" w:eastAsia="zh-CN"/>
              </w:rPr>
            </w:pPr>
            <w:r>
              <w:rPr>
                <w:rFonts w:hint="eastAsia" w:eastAsia="仿宋_GB2312"/>
                <w:bCs/>
                <w:color w:val="auto"/>
                <w:kern w:val="0"/>
                <w:szCs w:val="21"/>
                <w:lang w:val="en-US" w:eastAsia="zh-CN"/>
              </w:rPr>
              <w:t>70</w:t>
            </w:r>
          </w:p>
        </w:tc>
        <w:tc>
          <w:tcPr>
            <w:tcW w:w="448" w:type="pct"/>
            <w:shd w:val="clear" w:color="auto" w:fill="auto"/>
            <w:vAlign w:val="center"/>
          </w:tcPr>
          <w:p w14:paraId="5B6274C5">
            <w:pPr>
              <w:keepNext w:val="0"/>
              <w:keepLines w:val="0"/>
              <w:widowControl/>
              <w:suppressLineNumbers w:val="0"/>
              <w:jc w:val="center"/>
              <w:textAlignment w:val="center"/>
              <w:rPr>
                <w:rFonts w:ascii="Times New Roman" w:hAnsi="Times New Roman" w:eastAsia="仿宋_GB2312" w:cs="Times New Roman"/>
                <w:bCs/>
                <w:color w:val="auto"/>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15</w:t>
            </w:r>
          </w:p>
        </w:tc>
        <w:tc>
          <w:tcPr>
            <w:tcW w:w="392" w:type="pct"/>
            <w:shd w:val="clear" w:color="auto" w:fill="auto"/>
            <w:vAlign w:val="center"/>
          </w:tcPr>
          <w:p w14:paraId="581BA8E3">
            <w:pPr>
              <w:widowControl/>
              <w:jc w:val="center"/>
              <w:rPr>
                <w:rFonts w:hint="eastAsia" w:ascii="Times New Roman" w:hAnsi="Times New Roman" w:eastAsia="仿宋_GB2312" w:cs="Times New Roman"/>
                <w:bCs/>
                <w:color w:val="auto"/>
                <w:kern w:val="0"/>
                <w:sz w:val="21"/>
                <w:szCs w:val="21"/>
                <w:lang w:val="en-US" w:eastAsia="zh-CN" w:bidi="ar-SA"/>
              </w:rPr>
            </w:pPr>
            <w:r>
              <w:rPr>
                <w:rFonts w:hint="eastAsia" w:eastAsia="仿宋_GB2312"/>
                <w:bCs/>
                <w:color w:val="auto"/>
                <w:kern w:val="0"/>
                <w:szCs w:val="21"/>
                <w:lang w:val="en-US" w:eastAsia="zh-CN"/>
              </w:rPr>
              <w:t>8</w:t>
            </w:r>
          </w:p>
        </w:tc>
        <w:tc>
          <w:tcPr>
            <w:tcW w:w="355" w:type="pct"/>
            <w:shd w:val="clear" w:color="auto" w:fill="auto"/>
            <w:vAlign w:val="center"/>
          </w:tcPr>
          <w:p w14:paraId="4672E4EE">
            <w:pPr>
              <w:widowControl/>
              <w:jc w:val="center"/>
              <w:rPr>
                <w:rFonts w:hint="default" w:eastAsia="仿宋_GB2312"/>
                <w:bCs/>
                <w:color w:val="auto"/>
                <w:kern w:val="0"/>
                <w:szCs w:val="21"/>
                <w:lang w:val="en-US" w:eastAsia="zh-CN"/>
              </w:rPr>
            </w:pPr>
            <w:r>
              <w:rPr>
                <w:rFonts w:hint="eastAsia" w:eastAsia="仿宋_GB2312"/>
                <w:bCs/>
                <w:color w:val="auto"/>
                <w:kern w:val="0"/>
                <w:szCs w:val="21"/>
                <w:lang w:val="en-US" w:eastAsia="zh-CN"/>
              </w:rPr>
              <w:t>132</w:t>
            </w:r>
          </w:p>
        </w:tc>
        <w:tc>
          <w:tcPr>
            <w:tcW w:w="314" w:type="pct"/>
            <w:vMerge w:val="continue"/>
            <w:vAlign w:val="center"/>
          </w:tcPr>
          <w:p w14:paraId="4D2E1932">
            <w:pPr>
              <w:widowControl/>
              <w:jc w:val="center"/>
              <w:rPr>
                <w:rFonts w:eastAsia="仿宋_GB2312"/>
                <w:bCs/>
                <w:color w:val="FF0000"/>
                <w:kern w:val="0"/>
                <w:szCs w:val="21"/>
              </w:rPr>
            </w:pPr>
          </w:p>
        </w:tc>
      </w:tr>
      <w:tr w14:paraId="1B1DA8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12" w:hRule="atLeast"/>
          <w:tblHeader/>
          <w:jc w:val="center"/>
        </w:trPr>
        <w:tc>
          <w:tcPr>
            <w:tcW w:w="604" w:type="pct"/>
            <w:vMerge w:val="continue"/>
            <w:tcMar>
              <w:top w:w="15" w:type="dxa"/>
              <w:left w:w="15" w:type="dxa"/>
              <w:bottom w:w="0" w:type="dxa"/>
              <w:right w:w="15" w:type="dxa"/>
            </w:tcMar>
            <w:vAlign w:val="center"/>
          </w:tcPr>
          <w:p w14:paraId="095B3047">
            <w:pPr>
              <w:widowControl/>
              <w:jc w:val="center"/>
              <w:rPr>
                <w:rFonts w:eastAsia="仿宋_GB2312"/>
                <w:kern w:val="0"/>
              </w:rPr>
            </w:pPr>
          </w:p>
        </w:tc>
        <w:tc>
          <w:tcPr>
            <w:tcW w:w="277" w:type="pct"/>
            <w:vMerge w:val="continue"/>
            <w:tcMar>
              <w:top w:w="15" w:type="dxa"/>
              <w:left w:w="15" w:type="dxa"/>
              <w:bottom w:w="0" w:type="dxa"/>
              <w:right w:w="15" w:type="dxa"/>
            </w:tcMar>
            <w:vAlign w:val="center"/>
          </w:tcPr>
          <w:p w14:paraId="64529A25">
            <w:pPr>
              <w:widowControl/>
              <w:jc w:val="center"/>
              <w:rPr>
                <w:rFonts w:eastAsia="仿宋_GB2312"/>
                <w:color w:val="FF0000"/>
                <w:kern w:val="0"/>
              </w:rPr>
            </w:pPr>
          </w:p>
        </w:tc>
        <w:tc>
          <w:tcPr>
            <w:tcW w:w="1421" w:type="pct"/>
            <w:gridSpan w:val="2"/>
            <w:shd w:val="clear" w:color="auto" w:fill="auto"/>
            <w:tcMar>
              <w:top w:w="15" w:type="dxa"/>
              <w:left w:w="15" w:type="dxa"/>
              <w:bottom w:w="0" w:type="dxa"/>
              <w:right w:w="15" w:type="dxa"/>
            </w:tcMar>
            <w:vAlign w:val="center"/>
          </w:tcPr>
          <w:p w14:paraId="1DBD7B8C">
            <w:pPr>
              <w:widowControl/>
              <w:jc w:val="center"/>
              <w:rPr>
                <w:rFonts w:hint="eastAsia" w:ascii="Times New Roman" w:hAnsi="Times New Roman" w:eastAsia="仿宋_GB2312" w:cs="Times New Roman"/>
                <w:color w:val="auto"/>
                <w:kern w:val="0"/>
                <w:sz w:val="21"/>
                <w:szCs w:val="21"/>
                <w:lang w:val="en-US" w:eastAsia="zh-CN" w:bidi="ar-SA"/>
              </w:rPr>
            </w:pPr>
            <w:r>
              <w:rPr>
                <w:rFonts w:eastAsia="仿宋_GB2312"/>
                <w:color w:val="auto"/>
                <w:kern w:val="0"/>
                <w:szCs w:val="21"/>
              </w:rPr>
              <w:t>精馏残液</w:t>
            </w:r>
            <w:r>
              <w:rPr>
                <w:rFonts w:hint="eastAsia" w:eastAsia="仿宋_GB2312"/>
                <w:color w:val="auto"/>
                <w:kern w:val="0"/>
                <w:szCs w:val="21"/>
                <w:lang w:eastAsia="zh-CN"/>
              </w:rPr>
              <w:t>（</w:t>
            </w:r>
            <w:r>
              <w:rPr>
                <w:rFonts w:hint="eastAsia" w:eastAsia="仿宋_GB2312"/>
                <w:color w:val="auto"/>
                <w:kern w:val="0"/>
                <w:szCs w:val="21"/>
                <w:lang w:val="en-US" w:eastAsia="zh-CN"/>
              </w:rPr>
              <w:t>含碳九、苯乙烯</w:t>
            </w:r>
            <w:r>
              <w:rPr>
                <w:rFonts w:hint="eastAsia" w:eastAsia="仿宋_GB2312"/>
                <w:color w:val="auto"/>
                <w:kern w:val="0"/>
                <w:szCs w:val="21"/>
                <w:lang w:eastAsia="zh-CN"/>
              </w:rPr>
              <w:t>）</w:t>
            </w:r>
          </w:p>
        </w:tc>
        <w:tc>
          <w:tcPr>
            <w:tcW w:w="385" w:type="pct"/>
            <w:shd w:val="clear" w:color="auto" w:fill="auto"/>
            <w:tcMar>
              <w:top w:w="15" w:type="dxa"/>
              <w:left w:w="15" w:type="dxa"/>
              <w:bottom w:w="0" w:type="dxa"/>
              <w:right w:w="15" w:type="dxa"/>
            </w:tcMar>
            <w:vAlign w:val="center"/>
          </w:tcPr>
          <w:p w14:paraId="219D900C">
            <w:pPr>
              <w:widowControl/>
              <w:jc w:val="center"/>
              <w:rPr>
                <w:rFonts w:ascii="Times New Roman" w:hAnsi="Times New Roman" w:eastAsia="仿宋_GB2312" w:cs="Times New Roman"/>
                <w:color w:val="auto"/>
                <w:kern w:val="0"/>
                <w:sz w:val="21"/>
                <w:szCs w:val="21"/>
                <w:lang w:val="en-US" w:eastAsia="zh-CN" w:bidi="ar-SA"/>
              </w:rPr>
            </w:pPr>
            <w:r>
              <w:rPr>
                <w:rFonts w:hint="eastAsia" w:eastAsia="仿宋_GB2312"/>
                <w:color w:val="auto"/>
                <w:kern w:val="0"/>
                <w:szCs w:val="21"/>
                <w:lang w:val="en-US" w:eastAsia="zh-CN"/>
              </w:rPr>
              <w:t>1</w:t>
            </w:r>
            <w:r>
              <w:rPr>
                <w:rFonts w:eastAsia="仿宋_GB2312"/>
                <w:color w:val="auto"/>
                <w:kern w:val="0"/>
                <w:szCs w:val="21"/>
              </w:rPr>
              <w:t>000</w:t>
            </w:r>
          </w:p>
        </w:tc>
        <w:tc>
          <w:tcPr>
            <w:tcW w:w="466" w:type="pct"/>
            <w:shd w:val="clear" w:color="auto" w:fill="auto"/>
            <w:vAlign w:val="center"/>
          </w:tcPr>
          <w:p w14:paraId="69D1C5C4">
            <w:pPr>
              <w:widowControl/>
              <w:jc w:val="center"/>
              <w:rPr>
                <w:rFonts w:ascii="Times New Roman" w:hAnsi="Times New Roman" w:eastAsia="仿宋_GB2312" w:cs="Times New Roman"/>
                <w:bCs/>
                <w:color w:val="auto"/>
                <w:kern w:val="0"/>
                <w:sz w:val="21"/>
                <w:szCs w:val="21"/>
                <w:lang w:val="en-US" w:eastAsia="zh-CN" w:bidi="ar-SA"/>
              </w:rPr>
            </w:pPr>
            <w:r>
              <w:rPr>
                <w:rFonts w:eastAsia="仿宋_GB2312"/>
                <w:bCs/>
                <w:color w:val="auto"/>
                <w:kern w:val="0"/>
                <w:szCs w:val="21"/>
              </w:rPr>
              <w:t>16200</w:t>
            </w:r>
          </w:p>
        </w:tc>
        <w:tc>
          <w:tcPr>
            <w:tcW w:w="335" w:type="pct"/>
            <w:shd w:val="clear" w:color="auto" w:fill="auto"/>
            <w:vAlign w:val="center"/>
          </w:tcPr>
          <w:p w14:paraId="068C8D88">
            <w:pPr>
              <w:widowControl/>
              <w:jc w:val="center"/>
              <w:rPr>
                <w:rFonts w:hint="default" w:eastAsia="仿宋_GB2312"/>
                <w:bCs/>
                <w:color w:val="auto"/>
                <w:kern w:val="0"/>
                <w:szCs w:val="21"/>
                <w:lang w:val="en-US" w:eastAsia="zh-CN"/>
              </w:rPr>
            </w:pPr>
            <w:r>
              <w:rPr>
                <w:rFonts w:hint="eastAsia" w:eastAsia="仿宋_GB2312"/>
                <w:bCs/>
                <w:color w:val="auto"/>
                <w:kern w:val="0"/>
                <w:szCs w:val="21"/>
                <w:lang w:val="en-US" w:eastAsia="zh-CN"/>
              </w:rPr>
              <w:t>62</w:t>
            </w:r>
          </w:p>
        </w:tc>
        <w:tc>
          <w:tcPr>
            <w:tcW w:w="448" w:type="pct"/>
            <w:shd w:val="clear" w:color="auto" w:fill="auto"/>
            <w:vAlign w:val="center"/>
          </w:tcPr>
          <w:p w14:paraId="24803BF1">
            <w:pPr>
              <w:keepNext w:val="0"/>
              <w:keepLines w:val="0"/>
              <w:widowControl/>
              <w:suppressLineNumbers w:val="0"/>
              <w:jc w:val="center"/>
              <w:textAlignment w:val="center"/>
              <w:rPr>
                <w:rFonts w:ascii="Times New Roman" w:hAnsi="Times New Roman" w:eastAsia="仿宋_GB2312" w:cs="Times New Roman"/>
                <w:bCs/>
                <w:color w:val="auto"/>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15</w:t>
            </w:r>
          </w:p>
        </w:tc>
        <w:tc>
          <w:tcPr>
            <w:tcW w:w="392" w:type="pct"/>
            <w:shd w:val="clear" w:color="auto" w:fill="auto"/>
            <w:vAlign w:val="center"/>
          </w:tcPr>
          <w:p w14:paraId="0EEA7051">
            <w:pPr>
              <w:widowControl/>
              <w:jc w:val="center"/>
              <w:rPr>
                <w:rFonts w:hint="eastAsia" w:ascii="Times New Roman" w:hAnsi="Times New Roman" w:eastAsia="仿宋_GB2312" w:cs="Times New Roman"/>
                <w:bCs/>
                <w:color w:val="auto"/>
                <w:kern w:val="0"/>
                <w:sz w:val="21"/>
                <w:szCs w:val="21"/>
                <w:lang w:val="en-US" w:eastAsia="zh-CN" w:bidi="ar-SA"/>
              </w:rPr>
            </w:pPr>
            <w:r>
              <w:rPr>
                <w:rFonts w:hint="eastAsia" w:eastAsia="仿宋_GB2312"/>
                <w:bCs/>
                <w:color w:val="auto"/>
                <w:kern w:val="0"/>
                <w:szCs w:val="21"/>
                <w:lang w:val="en-US" w:eastAsia="zh-CN"/>
              </w:rPr>
              <w:t>8</w:t>
            </w:r>
          </w:p>
        </w:tc>
        <w:tc>
          <w:tcPr>
            <w:tcW w:w="355" w:type="pct"/>
            <w:shd w:val="clear" w:color="auto" w:fill="auto"/>
            <w:vAlign w:val="center"/>
          </w:tcPr>
          <w:p w14:paraId="4E9610A5">
            <w:pPr>
              <w:widowControl/>
              <w:jc w:val="center"/>
              <w:rPr>
                <w:rFonts w:hint="default" w:eastAsia="仿宋_GB2312"/>
                <w:bCs/>
                <w:color w:val="auto"/>
                <w:kern w:val="0"/>
                <w:szCs w:val="21"/>
                <w:lang w:val="en-US" w:eastAsia="zh-CN"/>
              </w:rPr>
            </w:pPr>
            <w:r>
              <w:rPr>
                <w:rFonts w:hint="eastAsia" w:eastAsia="仿宋_GB2312"/>
                <w:bCs/>
                <w:color w:val="auto"/>
                <w:kern w:val="0"/>
                <w:szCs w:val="21"/>
                <w:lang w:val="en-US" w:eastAsia="zh-CN"/>
              </w:rPr>
              <w:t>117</w:t>
            </w:r>
          </w:p>
        </w:tc>
        <w:tc>
          <w:tcPr>
            <w:tcW w:w="314" w:type="pct"/>
            <w:vMerge w:val="continue"/>
            <w:vAlign w:val="center"/>
          </w:tcPr>
          <w:p w14:paraId="0D91025A">
            <w:pPr>
              <w:widowControl/>
              <w:jc w:val="center"/>
              <w:rPr>
                <w:rFonts w:eastAsia="仿宋_GB2312"/>
                <w:bCs/>
                <w:color w:val="FF0000"/>
                <w:kern w:val="0"/>
                <w:szCs w:val="21"/>
              </w:rPr>
            </w:pPr>
          </w:p>
        </w:tc>
      </w:tr>
      <w:tr w14:paraId="440B4E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12" w:hRule="atLeast"/>
          <w:tblHeader/>
          <w:jc w:val="center"/>
        </w:trPr>
        <w:tc>
          <w:tcPr>
            <w:tcW w:w="604" w:type="pct"/>
            <w:vMerge w:val="continue"/>
            <w:tcMar>
              <w:top w:w="15" w:type="dxa"/>
              <w:left w:w="15" w:type="dxa"/>
              <w:bottom w:w="0" w:type="dxa"/>
              <w:right w:w="15" w:type="dxa"/>
            </w:tcMar>
            <w:vAlign w:val="center"/>
          </w:tcPr>
          <w:p w14:paraId="3F0B73CB">
            <w:pPr>
              <w:widowControl/>
              <w:jc w:val="center"/>
              <w:rPr>
                <w:rFonts w:eastAsia="仿宋_GB2312"/>
                <w:kern w:val="0"/>
              </w:rPr>
            </w:pPr>
          </w:p>
        </w:tc>
        <w:tc>
          <w:tcPr>
            <w:tcW w:w="277" w:type="pct"/>
            <w:vMerge w:val="continue"/>
            <w:tcMar>
              <w:top w:w="15" w:type="dxa"/>
              <w:left w:w="15" w:type="dxa"/>
              <w:bottom w:w="0" w:type="dxa"/>
              <w:right w:w="15" w:type="dxa"/>
            </w:tcMar>
            <w:vAlign w:val="center"/>
          </w:tcPr>
          <w:p w14:paraId="37DE54FA">
            <w:pPr>
              <w:widowControl/>
              <w:jc w:val="center"/>
              <w:rPr>
                <w:rFonts w:eastAsia="仿宋_GB2312"/>
                <w:color w:val="FF0000"/>
                <w:kern w:val="0"/>
              </w:rPr>
            </w:pPr>
          </w:p>
        </w:tc>
        <w:tc>
          <w:tcPr>
            <w:tcW w:w="1421" w:type="pct"/>
            <w:gridSpan w:val="2"/>
            <w:shd w:val="clear" w:color="auto" w:fill="auto"/>
            <w:tcMar>
              <w:top w:w="15" w:type="dxa"/>
              <w:left w:w="15" w:type="dxa"/>
              <w:bottom w:w="0" w:type="dxa"/>
              <w:right w:w="15" w:type="dxa"/>
            </w:tcMar>
            <w:vAlign w:val="center"/>
          </w:tcPr>
          <w:p w14:paraId="1395F6B2">
            <w:pPr>
              <w:widowControl/>
              <w:jc w:val="center"/>
              <w:rPr>
                <w:rFonts w:ascii="Times New Roman" w:hAnsi="Times New Roman" w:eastAsia="仿宋_GB2312" w:cs="Times New Roman"/>
                <w:color w:val="auto"/>
                <w:kern w:val="0"/>
                <w:sz w:val="21"/>
                <w:szCs w:val="21"/>
                <w:lang w:val="en-US" w:eastAsia="zh-CN" w:bidi="ar-SA"/>
              </w:rPr>
            </w:pPr>
            <w:r>
              <w:rPr>
                <w:rFonts w:eastAsia="仿宋_GB2312"/>
                <w:color w:val="auto"/>
                <w:kern w:val="0"/>
                <w:szCs w:val="21"/>
              </w:rPr>
              <w:t>多元醇废液</w:t>
            </w:r>
          </w:p>
        </w:tc>
        <w:tc>
          <w:tcPr>
            <w:tcW w:w="385" w:type="pct"/>
            <w:shd w:val="clear" w:color="auto" w:fill="auto"/>
            <w:tcMar>
              <w:top w:w="15" w:type="dxa"/>
              <w:left w:w="15" w:type="dxa"/>
              <w:bottom w:w="0" w:type="dxa"/>
              <w:right w:w="15" w:type="dxa"/>
            </w:tcMar>
            <w:vAlign w:val="center"/>
          </w:tcPr>
          <w:p w14:paraId="41730013">
            <w:pPr>
              <w:widowControl/>
              <w:jc w:val="center"/>
              <w:rPr>
                <w:rFonts w:ascii="Times New Roman" w:hAnsi="Times New Roman" w:eastAsia="仿宋_GB2312" w:cs="Times New Roman"/>
                <w:color w:val="auto"/>
                <w:kern w:val="0"/>
                <w:sz w:val="21"/>
                <w:szCs w:val="21"/>
                <w:lang w:val="en-US" w:eastAsia="zh-CN" w:bidi="ar-SA"/>
              </w:rPr>
            </w:pPr>
            <w:r>
              <w:rPr>
                <w:rFonts w:eastAsia="仿宋_GB2312"/>
                <w:color w:val="auto"/>
                <w:kern w:val="0"/>
                <w:szCs w:val="21"/>
              </w:rPr>
              <w:t>1</w:t>
            </w:r>
            <w:r>
              <w:rPr>
                <w:rFonts w:hint="eastAsia" w:eastAsia="仿宋_GB2312"/>
                <w:color w:val="auto"/>
                <w:kern w:val="0"/>
                <w:szCs w:val="21"/>
                <w:lang w:val="en-US" w:eastAsia="zh-CN"/>
              </w:rPr>
              <w:t>0</w:t>
            </w:r>
            <w:r>
              <w:rPr>
                <w:rFonts w:eastAsia="仿宋_GB2312"/>
                <w:color w:val="auto"/>
                <w:kern w:val="0"/>
                <w:szCs w:val="21"/>
              </w:rPr>
              <w:t>00</w:t>
            </w:r>
          </w:p>
        </w:tc>
        <w:tc>
          <w:tcPr>
            <w:tcW w:w="466" w:type="pct"/>
            <w:shd w:val="clear" w:color="auto" w:fill="auto"/>
            <w:vAlign w:val="center"/>
          </w:tcPr>
          <w:p w14:paraId="5B0AF473">
            <w:pPr>
              <w:widowControl/>
              <w:jc w:val="center"/>
              <w:rPr>
                <w:rFonts w:ascii="Times New Roman" w:hAnsi="Times New Roman" w:eastAsia="仿宋_GB2312" w:cs="Times New Roman"/>
                <w:bCs/>
                <w:color w:val="auto"/>
                <w:kern w:val="0"/>
                <w:sz w:val="21"/>
                <w:szCs w:val="21"/>
                <w:lang w:val="en-US" w:eastAsia="zh-CN" w:bidi="ar-SA"/>
              </w:rPr>
            </w:pPr>
            <w:r>
              <w:rPr>
                <w:rFonts w:eastAsia="仿宋_GB2312"/>
                <w:bCs/>
                <w:color w:val="auto"/>
                <w:kern w:val="0"/>
                <w:szCs w:val="21"/>
              </w:rPr>
              <w:t>19800</w:t>
            </w:r>
          </w:p>
        </w:tc>
        <w:tc>
          <w:tcPr>
            <w:tcW w:w="335" w:type="pct"/>
            <w:shd w:val="clear" w:color="auto" w:fill="auto"/>
            <w:vAlign w:val="center"/>
          </w:tcPr>
          <w:p w14:paraId="582BA55B">
            <w:pPr>
              <w:widowControl/>
              <w:jc w:val="center"/>
              <w:rPr>
                <w:rFonts w:eastAsia="仿宋_GB2312"/>
                <w:bCs/>
                <w:color w:val="auto"/>
                <w:kern w:val="0"/>
                <w:szCs w:val="21"/>
                <w:lang w:val="en-US" w:eastAsia="zh-CN"/>
              </w:rPr>
            </w:pPr>
            <w:r>
              <w:rPr>
                <w:rFonts w:hint="default" w:eastAsia="仿宋_GB2312"/>
                <w:bCs/>
                <w:color w:val="auto"/>
                <w:kern w:val="0"/>
                <w:szCs w:val="21"/>
                <w:lang w:val="en-US" w:eastAsia="zh-CN"/>
              </w:rPr>
              <w:t>51</w:t>
            </w:r>
          </w:p>
        </w:tc>
        <w:tc>
          <w:tcPr>
            <w:tcW w:w="448" w:type="pct"/>
            <w:shd w:val="clear" w:color="auto" w:fill="auto"/>
            <w:vAlign w:val="center"/>
          </w:tcPr>
          <w:p w14:paraId="6893ECBD">
            <w:pPr>
              <w:keepNext w:val="0"/>
              <w:keepLines w:val="0"/>
              <w:widowControl/>
              <w:suppressLineNumbers w:val="0"/>
              <w:jc w:val="center"/>
              <w:textAlignment w:val="center"/>
              <w:rPr>
                <w:rFonts w:ascii="Times New Roman" w:hAnsi="Times New Roman" w:eastAsia="仿宋_GB2312" w:cs="Times New Roman"/>
                <w:bCs/>
                <w:color w:val="auto"/>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19</w:t>
            </w:r>
          </w:p>
        </w:tc>
        <w:tc>
          <w:tcPr>
            <w:tcW w:w="392" w:type="pct"/>
            <w:shd w:val="clear" w:color="auto" w:fill="auto"/>
            <w:vAlign w:val="center"/>
          </w:tcPr>
          <w:p w14:paraId="3FCABFDD">
            <w:pPr>
              <w:widowControl/>
              <w:jc w:val="center"/>
              <w:rPr>
                <w:rFonts w:hint="eastAsia" w:ascii="Times New Roman" w:hAnsi="Times New Roman" w:eastAsia="仿宋_GB2312" w:cs="Times New Roman"/>
                <w:bCs/>
                <w:color w:val="auto"/>
                <w:kern w:val="0"/>
                <w:sz w:val="21"/>
                <w:szCs w:val="21"/>
                <w:lang w:val="en-US" w:eastAsia="zh-CN" w:bidi="ar-SA"/>
              </w:rPr>
            </w:pPr>
            <w:r>
              <w:rPr>
                <w:rFonts w:hint="eastAsia" w:eastAsia="仿宋_GB2312"/>
                <w:bCs/>
                <w:color w:val="auto"/>
                <w:kern w:val="0"/>
                <w:szCs w:val="21"/>
                <w:lang w:val="en-US" w:eastAsia="zh-CN"/>
              </w:rPr>
              <w:t>8</w:t>
            </w:r>
          </w:p>
        </w:tc>
        <w:tc>
          <w:tcPr>
            <w:tcW w:w="355" w:type="pct"/>
            <w:shd w:val="clear" w:color="auto" w:fill="auto"/>
            <w:vAlign w:val="center"/>
          </w:tcPr>
          <w:p w14:paraId="5C6937DE">
            <w:pPr>
              <w:widowControl/>
              <w:jc w:val="center"/>
              <w:rPr>
                <w:rFonts w:hint="eastAsia" w:eastAsia="仿宋_GB2312"/>
                <w:bCs/>
                <w:color w:val="auto"/>
                <w:kern w:val="0"/>
                <w:szCs w:val="21"/>
                <w:lang w:val="en-US" w:eastAsia="zh-CN"/>
              </w:rPr>
            </w:pPr>
            <w:r>
              <w:rPr>
                <w:rFonts w:hint="eastAsia" w:eastAsia="仿宋_GB2312"/>
                <w:bCs/>
                <w:color w:val="auto"/>
                <w:kern w:val="0"/>
                <w:szCs w:val="21"/>
                <w:lang w:val="en-US" w:eastAsia="zh-CN"/>
              </w:rPr>
              <w:t>121</w:t>
            </w:r>
          </w:p>
        </w:tc>
        <w:tc>
          <w:tcPr>
            <w:tcW w:w="314" w:type="pct"/>
            <w:vMerge w:val="continue"/>
            <w:vAlign w:val="center"/>
          </w:tcPr>
          <w:p w14:paraId="6B84C700">
            <w:pPr>
              <w:widowControl/>
              <w:jc w:val="center"/>
              <w:rPr>
                <w:rFonts w:eastAsia="仿宋_GB2312"/>
                <w:bCs/>
                <w:color w:val="FF0000"/>
                <w:kern w:val="0"/>
                <w:szCs w:val="21"/>
              </w:rPr>
            </w:pPr>
          </w:p>
        </w:tc>
      </w:tr>
      <w:tr w14:paraId="632860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12" w:hRule="atLeast"/>
          <w:tblHeader/>
          <w:jc w:val="center"/>
        </w:trPr>
        <w:tc>
          <w:tcPr>
            <w:tcW w:w="604" w:type="pct"/>
            <w:vMerge w:val="continue"/>
            <w:tcMar>
              <w:top w:w="15" w:type="dxa"/>
              <w:left w:w="15" w:type="dxa"/>
              <w:bottom w:w="0" w:type="dxa"/>
              <w:right w:w="15" w:type="dxa"/>
            </w:tcMar>
            <w:vAlign w:val="center"/>
          </w:tcPr>
          <w:p w14:paraId="6392F316">
            <w:pPr>
              <w:widowControl/>
              <w:jc w:val="center"/>
              <w:rPr>
                <w:rFonts w:eastAsia="仿宋_GB2312"/>
                <w:kern w:val="0"/>
              </w:rPr>
            </w:pPr>
          </w:p>
        </w:tc>
        <w:tc>
          <w:tcPr>
            <w:tcW w:w="277" w:type="pct"/>
            <w:vMerge w:val="continue"/>
            <w:tcMar>
              <w:top w:w="15" w:type="dxa"/>
              <w:left w:w="15" w:type="dxa"/>
              <w:bottom w:w="0" w:type="dxa"/>
              <w:right w:w="15" w:type="dxa"/>
            </w:tcMar>
            <w:vAlign w:val="center"/>
          </w:tcPr>
          <w:p w14:paraId="489B2775">
            <w:pPr>
              <w:widowControl/>
              <w:jc w:val="center"/>
              <w:rPr>
                <w:rFonts w:eastAsia="仿宋_GB2312"/>
                <w:color w:val="FF0000"/>
                <w:kern w:val="0"/>
              </w:rPr>
            </w:pPr>
          </w:p>
        </w:tc>
        <w:tc>
          <w:tcPr>
            <w:tcW w:w="1421" w:type="pct"/>
            <w:gridSpan w:val="2"/>
            <w:shd w:val="clear" w:color="auto" w:fill="auto"/>
            <w:tcMar>
              <w:top w:w="15" w:type="dxa"/>
              <w:left w:w="15" w:type="dxa"/>
              <w:bottom w:w="0" w:type="dxa"/>
              <w:right w:w="15" w:type="dxa"/>
            </w:tcMar>
            <w:vAlign w:val="center"/>
          </w:tcPr>
          <w:p w14:paraId="3630AD1C">
            <w:pPr>
              <w:widowControl/>
              <w:jc w:val="center"/>
              <w:rPr>
                <w:rFonts w:hint="default" w:eastAsia="仿宋_GB2312"/>
                <w:color w:val="auto"/>
                <w:kern w:val="0"/>
                <w:szCs w:val="21"/>
                <w:lang w:val="en-US" w:eastAsia="zh-CN"/>
              </w:rPr>
            </w:pPr>
            <w:r>
              <w:rPr>
                <w:rFonts w:hint="eastAsia" w:eastAsia="仿宋_GB2312"/>
                <w:color w:val="auto"/>
                <w:kern w:val="0"/>
                <w:szCs w:val="21"/>
                <w:lang w:val="en-US" w:eastAsia="zh-CN"/>
              </w:rPr>
              <w:t>环己烷废液</w:t>
            </w:r>
          </w:p>
        </w:tc>
        <w:tc>
          <w:tcPr>
            <w:tcW w:w="385" w:type="pct"/>
            <w:shd w:val="clear" w:color="auto" w:fill="auto"/>
            <w:tcMar>
              <w:top w:w="15" w:type="dxa"/>
              <w:left w:w="15" w:type="dxa"/>
              <w:bottom w:w="0" w:type="dxa"/>
              <w:right w:w="15" w:type="dxa"/>
            </w:tcMar>
            <w:vAlign w:val="center"/>
          </w:tcPr>
          <w:p w14:paraId="6E063A30">
            <w:pPr>
              <w:widowControl/>
              <w:jc w:val="center"/>
              <w:rPr>
                <w:rFonts w:hint="default" w:eastAsia="仿宋_GB2312"/>
                <w:color w:val="auto"/>
                <w:kern w:val="0"/>
                <w:szCs w:val="21"/>
                <w:lang w:val="en-US" w:eastAsia="zh-CN"/>
              </w:rPr>
            </w:pPr>
            <w:r>
              <w:rPr>
                <w:rFonts w:hint="eastAsia" w:eastAsia="仿宋_GB2312"/>
                <w:color w:val="auto"/>
                <w:kern w:val="0"/>
                <w:szCs w:val="21"/>
                <w:lang w:val="en-US" w:eastAsia="zh-CN"/>
              </w:rPr>
              <w:t>2000</w:t>
            </w:r>
          </w:p>
        </w:tc>
        <w:tc>
          <w:tcPr>
            <w:tcW w:w="466" w:type="pct"/>
            <w:shd w:val="clear" w:color="auto" w:fill="auto"/>
            <w:vAlign w:val="center"/>
          </w:tcPr>
          <w:p w14:paraId="452329E7">
            <w:pPr>
              <w:widowControl/>
              <w:jc w:val="center"/>
              <w:rPr>
                <w:rFonts w:hint="eastAsia" w:eastAsia="仿宋_GB2312"/>
                <w:color w:val="auto"/>
                <w:kern w:val="0"/>
                <w:szCs w:val="21"/>
                <w:lang w:val="en-US" w:eastAsia="zh-CN"/>
              </w:rPr>
            </w:pPr>
            <w:r>
              <w:rPr>
                <w:rFonts w:hint="eastAsia" w:eastAsia="仿宋_GB2312"/>
                <w:color w:val="auto"/>
                <w:kern w:val="0"/>
                <w:szCs w:val="21"/>
                <w:lang w:val="en-US" w:eastAsia="zh-CN"/>
              </w:rPr>
              <w:t>14000</w:t>
            </w:r>
          </w:p>
        </w:tc>
        <w:tc>
          <w:tcPr>
            <w:tcW w:w="335" w:type="pct"/>
            <w:shd w:val="clear" w:color="auto" w:fill="auto"/>
            <w:vAlign w:val="center"/>
          </w:tcPr>
          <w:p w14:paraId="635D5F22">
            <w:pPr>
              <w:widowControl/>
              <w:jc w:val="center"/>
              <w:rPr>
                <w:rFonts w:eastAsia="仿宋_GB2312"/>
                <w:bCs/>
                <w:color w:val="auto"/>
                <w:kern w:val="0"/>
                <w:szCs w:val="21"/>
              </w:rPr>
            </w:pPr>
            <w:r>
              <w:rPr>
                <w:rFonts w:hint="default" w:eastAsia="仿宋_GB2312"/>
                <w:bCs/>
                <w:color w:val="auto"/>
                <w:kern w:val="0"/>
                <w:szCs w:val="21"/>
                <w:lang w:val="en-US" w:eastAsia="zh-CN"/>
              </w:rPr>
              <w:t>143</w:t>
            </w:r>
          </w:p>
        </w:tc>
        <w:tc>
          <w:tcPr>
            <w:tcW w:w="448" w:type="pct"/>
            <w:shd w:val="clear" w:color="auto" w:fill="auto"/>
            <w:vAlign w:val="center"/>
          </w:tcPr>
          <w:p w14:paraId="48078E11">
            <w:pPr>
              <w:keepNext w:val="0"/>
              <w:keepLines w:val="0"/>
              <w:widowControl/>
              <w:suppressLineNumbers w:val="0"/>
              <w:jc w:val="center"/>
              <w:textAlignment w:val="center"/>
              <w:rPr>
                <w:rFonts w:eastAsia="仿宋_GB2312"/>
                <w:bCs/>
                <w:color w:val="auto"/>
                <w:kern w:val="0"/>
                <w:szCs w:val="21"/>
              </w:rPr>
            </w:pPr>
            <w:r>
              <w:rPr>
                <w:rFonts w:hint="default" w:ascii="Times New Roman" w:hAnsi="Times New Roman" w:eastAsia="宋体" w:cs="Times New Roman"/>
                <w:i w:val="0"/>
                <w:iCs w:val="0"/>
                <w:color w:val="auto"/>
                <w:kern w:val="0"/>
                <w:sz w:val="21"/>
                <w:szCs w:val="21"/>
                <w:u w:val="none"/>
                <w:lang w:val="en-US" w:eastAsia="zh-CN" w:bidi="ar"/>
              </w:rPr>
              <w:t>21</w:t>
            </w:r>
          </w:p>
        </w:tc>
        <w:tc>
          <w:tcPr>
            <w:tcW w:w="392" w:type="pct"/>
            <w:shd w:val="clear" w:color="auto" w:fill="auto"/>
            <w:vAlign w:val="center"/>
          </w:tcPr>
          <w:p w14:paraId="78CC2F56">
            <w:pPr>
              <w:widowControl/>
              <w:jc w:val="center"/>
              <w:rPr>
                <w:rFonts w:hint="eastAsia" w:ascii="Times New Roman" w:hAnsi="Times New Roman" w:eastAsia="仿宋_GB2312" w:cs="Times New Roman"/>
                <w:bCs/>
                <w:color w:val="auto"/>
                <w:kern w:val="0"/>
                <w:sz w:val="21"/>
                <w:szCs w:val="21"/>
                <w:lang w:val="en-US" w:eastAsia="zh-CN" w:bidi="ar-SA"/>
              </w:rPr>
            </w:pPr>
            <w:r>
              <w:rPr>
                <w:rFonts w:hint="eastAsia" w:eastAsia="仿宋_GB2312"/>
                <w:bCs/>
                <w:color w:val="auto"/>
                <w:kern w:val="0"/>
                <w:szCs w:val="21"/>
                <w:lang w:val="en-US" w:eastAsia="zh-CN"/>
              </w:rPr>
              <w:t>8</w:t>
            </w:r>
          </w:p>
        </w:tc>
        <w:tc>
          <w:tcPr>
            <w:tcW w:w="355" w:type="pct"/>
            <w:shd w:val="clear" w:color="auto" w:fill="auto"/>
            <w:vAlign w:val="center"/>
          </w:tcPr>
          <w:p w14:paraId="4ADB4E33">
            <w:pPr>
              <w:widowControl/>
              <w:jc w:val="center"/>
              <w:rPr>
                <w:rFonts w:hint="eastAsia" w:eastAsia="仿宋_GB2312"/>
                <w:bCs/>
                <w:color w:val="auto"/>
                <w:kern w:val="0"/>
                <w:szCs w:val="21"/>
                <w:lang w:val="en-US" w:eastAsia="zh-CN"/>
              </w:rPr>
            </w:pPr>
            <w:r>
              <w:rPr>
                <w:rFonts w:hint="eastAsia" w:eastAsia="仿宋_GB2312"/>
                <w:bCs/>
                <w:color w:val="auto"/>
                <w:kern w:val="0"/>
                <w:szCs w:val="21"/>
                <w:lang w:val="en-US" w:eastAsia="zh-CN"/>
              </w:rPr>
              <w:t>375</w:t>
            </w:r>
          </w:p>
        </w:tc>
        <w:tc>
          <w:tcPr>
            <w:tcW w:w="314" w:type="pct"/>
            <w:vMerge w:val="continue"/>
            <w:vAlign w:val="center"/>
          </w:tcPr>
          <w:p w14:paraId="2B57449F">
            <w:pPr>
              <w:widowControl/>
              <w:jc w:val="center"/>
              <w:rPr>
                <w:rFonts w:eastAsia="仿宋_GB2312"/>
                <w:bCs/>
                <w:color w:val="FF0000"/>
                <w:kern w:val="0"/>
                <w:szCs w:val="21"/>
              </w:rPr>
            </w:pPr>
          </w:p>
        </w:tc>
      </w:tr>
      <w:tr w14:paraId="6F0DE47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12" w:hRule="atLeast"/>
          <w:tblHeader/>
          <w:jc w:val="center"/>
        </w:trPr>
        <w:tc>
          <w:tcPr>
            <w:tcW w:w="604" w:type="pct"/>
            <w:vMerge w:val="continue"/>
            <w:tcMar>
              <w:top w:w="15" w:type="dxa"/>
              <w:left w:w="15" w:type="dxa"/>
              <w:bottom w:w="0" w:type="dxa"/>
              <w:right w:w="15" w:type="dxa"/>
            </w:tcMar>
            <w:vAlign w:val="center"/>
          </w:tcPr>
          <w:p w14:paraId="68641AF1">
            <w:pPr>
              <w:widowControl/>
              <w:jc w:val="center"/>
              <w:rPr>
                <w:rFonts w:eastAsia="仿宋_GB2312"/>
                <w:kern w:val="0"/>
              </w:rPr>
            </w:pPr>
          </w:p>
        </w:tc>
        <w:tc>
          <w:tcPr>
            <w:tcW w:w="277" w:type="pct"/>
            <w:vMerge w:val="continue"/>
            <w:tcMar>
              <w:top w:w="15" w:type="dxa"/>
              <w:left w:w="15" w:type="dxa"/>
              <w:bottom w:w="0" w:type="dxa"/>
              <w:right w:w="15" w:type="dxa"/>
            </w:tcMar>
            <w:vAlign w:val="center"/>
          </w:tcPr>
          <w:p w14:paraId="0C04986B">
            <w:pPr>
              <w:widowControl/>
              <w:jc w:val="center"/>
              <w:rPr>
                <w:rFonts w:eastAsia="仿宋_GB2312"/>
                <w:color w:val="FF0000"/>
                <w:kern w:val="0"/>
              </w:rPr>
            </w:pPr>
          </w:p>
        </w:tc>
        <w:tc>
          <w:tcPr>
            <w:tcW w:w="1421" w:type="pct"/>
            <w:gridSpan w:val="2"/>
            <w:shd w:val="clear" w:color="auto" w:fill="auto"/>
            <w:tcMar>
              <w:top w:w="15" w:type="dxa"/>
              <w:left w:w="15" w:type="dxa"/>
              <w:bottom w:w="0" w:type="dxa"/>
              <w:right w:w="15" w:type="dxa"/>
            </w:tcMar>
            <w:vAlign w:val="center"/>
          </w:tcPr>
          <w:p w14:paraId="67305726">
            <w:pPr>
              <w:widowControl/>
              <w:jc w:val="center"/>
              <w:rPr>
                <w:rFonts w:hint="default" w:eastAsia="仿宋_GB2312"/>
                <w:color w:val="auto"/>
                <w:kern w:val="0"/>
                <w:szCs w:val="21"/>
                <w:lang w:val="en-US" w:eastAsia="zh-CN"/>
              </w:rPr>
            </w:pPr>
            <w:r>
              <w:rPr>
                <w:rFonts w:hint="eastAsia" w:eastAsia="仿宋_GB2312"/>
                <w:color w:val="auto"/>
                <w:kern w:val="0"/>
                <w:szCs w:val="21"/>
                <w:lang w:val="en-US" w:eastAsia="zh-CN"/>
              </w:rPr>
              <w:t>己烷废液</w:t>
            </w:r>
          </w:p>
        </w:tc>
        <w:tc>
          <w:tcPr>
            <w:tcW w:w="385" w:type="pct"/>
            <w:shd w:val="clear" w:color="auto" w:fill="auto"/>
            <w:tcMar>
              <w:top w:w="15" w:type="dxa"/>
              <w:left w:w="15" w:type="dxa"/>
              <w:bottom w:w="0" w:type="dxa"/>
              <w:right w:w="15" w:type="dxa"/>
            </w:tcMar>
            <w:vAlign w:val="center"/>
          </w:tcPr>
          <w:p w14:paraId="1BBE625F">
            <w:pPr>
              <w:widowControl/>
              <w:jc w:val="center"/>
              <w:rPr>
                <w:rFonts w:hint="default" w:eastAsia="仿宋_GB2312"/>
                <w:color w:val="auto"/>
                <w:kern w:val="0"/>
                <w:szCs w:val="21"/>
                <w:lang w:val="en-US" w:eastAsia="zh-CN"/>
              </w:rPr>
            </w:pPr>
            <w:r>
              <w:rPr>
                <w:rFonts w:hint="eastAsia" w:eastAsia="仿宋_GB2312"/>
                <w:color w:val="auto"/>
                <w:kern w:val="0"/>
                <w:szCs w:val="21"/>
                <w:lang w:val="en-US" w:eastAsia="zh-CN"/>
              </w:rPr>
              <w:t>3000</w:t>
            </w:r>
          </w:p>
        </w:tc>
        <w:tc>
          <w:tcPr>
            <w:tcW w:w="466" w:type="pct"/>
            <w:shd w:val="clear" w:color="auto" w:fill="auto"/>
            <w:vAlign w:val="center"/>
          </w:tcPr>
          <w:p w14:paraId="59696052">
            <w:pPr>
              <w:widowControl/>
              <w:jc w:val="center"/>
              <w:rPr>
                <w:rFonts w:hint="eastAsia" w:eastAsia="仿宋_GB2312"/>
                <w:color w:val="auto"/>
                <w:kern w:val="0"/>
                <w:szCs w:val="21"/>
                <w:lang w:val="en-US" w:eastAsia="zh-CN"/>
              </w:rPr>
            </w:pPr>
            <w:r>
              <w:rPr>
                <w:rFonts w:hint="eastAsia" w:eastAsia="仿宋_GB2312"/>
                <w:color w:val="auto"/>
                <w:kern w:val="0"/>
                <w:szCs w:val="21"/>
                <w:lang w:val="en-US" w:eastAsia="zh-CN"/>
              </w:rPr>
              <w:t>13500</w:t>
            </w:r>
          </w:p>
        </w:tc>
        <w:tc>
          <w:tcPr>
            <w:tcW w:w="335" w:type="pct"/>
            <w:shd w:val="clear" w:color="auto" w:fill="auto"/>
            <w:vAlign w:val="center"/>
          </w:tcPr>
          <w:p w14:paraId="284C9DE7">
            <w:pPr>
              <w:widowControl/>
              <w:jc w:val="center"/>
              <w:rPr>
                <w:rFonts w:eastAsia="仿宋_GB2312"/>
                <w:bCs/>
                <w:color w:val="auto"/>
                <w:kern w:val="0"/>
                <w:szCs w:val="21"/>
              </w:rPr>
            </w:pPr>
            <w:r>
              <w:rPr>
                <w:rFonts w:hint="default" w:eastAsia="仿宋_GB2312"/>
                <w:bCs/>
                <w:color w:val="auto"/>
                <w:kern w:val="0"/>
                <w:szCs w:val="21"/>
                <w:lang w:val="en-US" w:eastAsia="zh-CN"/>
              </w:rPr>
              <w:t>223</w:t>
            </w:r>
          </w:p>
        </w:tc>
        <w:tc>
          <w:tcPr>
            <w:tcW w:w="448" w:type="pct"/>
            <w:shd w:val="clear" w:color="auto" w:fill="auto"/>
            <w:vAlign w:val="center"/>
          </w:tcPr>
          <w:p w14:paraId="4CBD75A7">
            <w:pPr>
              <w:keepNext w:val="0"/>
              <w:keepLines w:val="0"/>
              <w:widowControl/>
              <w:suppressLineNumbers w:val="0"/>
              <w:jc w:val="center"/>
              <w:textAlignment w:val="center"/>
              <w:rPr>
                <w:rFonts w:eastAsia="仿宋_GB2312"/>
                <w:bCs/>
                <w:color w:val="auto"/>
                <w:kern w:val="0"/>
                <w:szCs w:val="21"/>
              </w:rPr>
            </w:pPr>
            <w:r>
              <w:rPr>
                <w:rFonts w:hint="default" w:ascii="Times New Roman" w:hAnsi="Times New Roman" w:eastAsia="宋体" w:cs="Times New Roman"/>
                <w:i w:val="0"/>
                <w:iCs w:val="0"/>
                <w:color w:val="auto"/>
                <w:kern w:val="0"/>
                <w:sz w:val="21"/>
                <w:szCs w:val="21"/>
                <w:u w:val="none"/>
                <w:lang w:val="en-US" w:eastAsia="zh-CN" w:bidi="ar"/>
              </w:rPr>
              <w:t>16</w:t>
            </w:r>
          </w:p>
        </w:tc>
        <w:tc>
          <w:tcPr>
            <w:tcW w:w="392" w:type="pct"/>
            <w:shd w:val="clear" w:color="auto" w:fill="auto"/>
            <w:vAlign w:val="center"/>
          </w:tcPr>
          <w:p w14:paraId="59EC82A6">
            <w:pPr>
              <w:widowControl/>
              <w:jc w:val="center"/>
              <w:rPr>
                <w:rFonts w:hint="eastAsia" w:ascii="Times New Roman" w:hAnsi="Times New Roman" w:eastAsia="仿宋_GB2312" w:cs="Times New Roman"/>
                <w:bCs/>
                <w:color w:val="auto"/>
                <w:kern w:val="0"/>
                <w:sz w:val="21"/>
                <w:szCs w:val="21"/>
                <w:lang w:val="en-US" w:eastAsia="zh-CN" w:bidi="ar-SA"/>
              </w:rPr>
            </w:pPr>
            <w:r>
              <w:rPr>
                <w:rFonts w:hint="eastAsia" w:eastAsia="仿宋_GB2312"/>
                <w:bCs/>
                <w:color w:val="auto"/>
                <w:kern w:val="0"/>
                <w:szCs w:val="21"/>
                <w:lang w:val="en-US" w:eastAsia="zh-CN"/>
              </w:rPr>
              <w:t>8</w:t>
            </w:r>
          </w:p>
        </w:tc>
        <w:tc>
          <w:tcPr>
            <w:tcW w:w="355" w:type="pct"/>
            <w:shd w:val="clear" w:color="auto" w:fill="auto"/>
            <w:vAlign w:val="center"/>
          </w:tcPr>
          <w:p w14:paraId="7FCDA75E">
            <w:pPr>
              <w:widowControl/>
              <w:jc w:val="center"/>
              <w:rPr>
                <w:rFonts w:hint="eastAsia" w:eastAsia="仿宋_GB2312"/>
                <w:bCs/>
                <w:color w:val="auto"/>
                <w:kern w:val="0"/>
                <w:szCs w:val="21"/>
                <w:lang w:val="en-US" w:eastAsia="zh-CN"/>
              </w:rPr>
            </w:pPr>
            <w:r>
              <w:rPr>
                <w:rFonts w:hint="eastAsia" w:eastAsia="仿宋_GB2312"/>
                <w:bCs/>
                <w:color w:val="auto"/>
                <w:kern w:val="0"/>
                <w:szCs w:val="21"/>
                <w:lang w:val="en-US" w:eastAsia="zh-CN"/>
              </w:rPr>
              <w:t>446</w:t>
            </w:r>
          </w:p>
        </w:tc>
        <w:tc>
          <w:tcPr>
            <w:tcW w:w="314" w:type="pct"/>
            <w:vMerge w:val="continue"/>
            <w:vAlign w:val="center"/>
          </w:tcPr>
          <w:p w14:paraId="7A02BBFE">
            <w:pPr>
              <w:widowControl/>
              <w:jc w:val="center"/>
              <w:rPr>
                <w:rFonts w:eastAsia="仿宋_GB2312"/>
                <w:bCs/>
                <w:color w:val="FF0000"/>
                <w:kern w:val="0"/>
                <w:szCs w:val="21"/>
              </w:rPr>
            </w:pPr>
          </w:p>
        </w:tc>
      </w:tr>
      <w:tr w14:paraId="2079EA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12" w:hRule="atLeast"/>
          <w:tblHeader/>
          <w:jc w:val="center"/>
        </w:trPr>
        <w:tc>
          <w:tcPr>
            <w:tcW w:w="604" w:type="pct"/>
            <w:vMerge w:val="continue"/>
            <w:tcMar>
              <w:top w:w="15" w:type="dxa"/>
              <w:left w:w="15" w:type="dxa"/>
              <w:bottom w:w="0" w:type="dxa"/>
              <w:right w:w="15" w:type="dxa"/>
            </w:tcMar>
            <w:vAlign w:val="center"/>
          </w:tcPr>
          <w:p w14:paraId="5673B092">
            <w:pPr>
              <w:widowControl/>
              <w:jc w:val="center"/>
              <w:rPr>
                <w:rFonts w:eastAsia="仿宋_GB2312"/>
                <w:kern w:val="0"/>
              </w:rPr>
            </w:pPr>
          </w:p>
        </w:tc>
        <w:tc>
          <w:tcPr>
            <w:tcW w:w="277" w:type="pct"/>
            <w:vMerge w:val="continue"/>
            <w:tcMar>
              <w:top w:w="15" w:type="dxa"/>
              <w:left w:w="15" w:type="dxa"/>
              <w:bottom w:w="0" w:type="dxa"/>
              <w:right w:w="15" w:type="dxa"/>
            </w:tcMar>
            <w:vAlign w:val="center"/>
          </w:tcPr>
          <w:p w14:paraId="3A1C9D59">
            <w:pPr>
              <w:widowControl/>
              <w:jc w:val="center"/>
              <w:rPr>
                <w:rFonts w:eastAsia="仿宋_GB2312"/>
                <w:color w:val="FF0000"/>
                <w:kern w:val="0"/>
              </w:rPr>
            </w:pPr>
          </w:p>
        </w:tc>
        <w:tc>
          <w:tcPr>
            <w:tcW w:w="1421" w:type="pct"/>
            <w:gridSpan w:val="2"/>
            <w:shd w:val="clear" w:color="auto" w:fill="auto"/>
            <w:tcMar>
              <w:top w:w="15" w:type="dxa"/>
              <w:left w:w="15" w:type="dxa"/>
              <w:bottom w:w="0" w:type="dxa"/>
              <w:right w:w="15" w:type="dxa"/>
            </w:tcMar>
            <w:vAlign w:val="center"/>
          </w:tcPr>
          <w:p w14:paraId="61602866">
            <w:pPr>
              <w:widowControl/>
              <w:jc w:val="center"/>
              <w:rPr>
                <w:rFonts w:eastAsia="仿宋_GB2312"/>
                <w:color w:val="auto"/>
                <w:kern w:val="0"/>
                <w:szCs w:val="21"/>
              </w:rPr>
            </w:pPr>
            <w:r>
              <w:rPr>
                <w:rFonts w:eastAsia="仿宋_GB2312"/>
                <w:color w:val="auto"/>
                <w:kern w:val="0"/>
                <w:szCs w:val="21"/>
              </w:rPr>
              <w:t>精馏残液</w:t>
            </w:r>
            <w:r>
              <w:rPr>
                <w:rFonts w:hint="eastAsia" w:eastAsia="仿宋_GB2312"/>
                <w:color w:val="auto"/>
                <w:kern w:val="0"/>
                <w:szCs w:val="21"/>
                <w:lang w:eastAsia="zh-CN"/>
              </w:rPr>
              <w:t>（</w:t>
            </w:r>
            <w:r>
              <w:rPr>
                <w:rFonts w:hint="eastAsia" w:eastAsia="仿宋_GB2312"/>
                <w:color w:val="auto"/>
                <w:kern w:val="0"/>
                <w:szCs w:val="21"/>
                <w:lang w:val="en-US" w:eastAsia="zh-CN"/>
              </w:rPr>
              <w:t>含异丙苯</w:t>
            </w:r>
            <w:r>
              <w:rPr>
                <w:rFonts w:hint="eastAsia" w:eastAsia="仿宋_GB2312"/>
                <w:color w:val="auto"/>
                <w:kern w:val="0"/>
                <w:szCs w:val="21"/>
                <w:lang w:eastAsia="zh-CN"/>
              </w:rPr>
              <w:t>）</w:t>
            </w:r>
          </w:p>
        </w:tc>
        <w:tc>
          <w:tcPr>
            <w:tcW w:w="385" w:type="pct"/>
            <w:shd w:val="clear" w:color="auto" w:fill="auto"/>
            <w:tcMar>
              <w:top w:w="15" w:type="dxa"/>
              <w:left w:w="15" w:type="dxa"/>
              <w:bottom w:w="0" w:type="dxa"/>
              <w:right w:w="15" w:type="dxa"/>
            </w:tcMar>
            <w:vAlign w:val="center"/>
          </w:tcPr>
          <w:p w14:paraId="6C0351E7">
            <w:pPr>
              <w:widowControl/>
              <w:jc w:val="center"/>
              <w:rPr>
                <w:rFonts w:hint="default" w:eastAsia="仿宋_GB2312"/>
                <w:color w:val="auto"/>
                <w:kern w:val="0"/>
                <w:szCs w:val="21"/>
                <w:lang w:val="en-US" w:eastAsia="zh-CN"/>
              </w:rPr>
            </w:pPr>
            <w:r>
              <w:rPr>
                <w:rFonts w:hint="eastAsia" w:eastAsia="仿宋_GB2312"/>
                <w:color w:val="auto"/>
                <w:kern w:val="0"/>
                <w:szCs w:val="21"/>
                <w:lang w:val="en-US" w:eastAsia="zh-CN"/>
              </w:rPr>
              <w:t>1000</w:t>
            </w:r>
          </w:p>
        </w:tc>
        <w:tc>
          <w:tcPr>
            <w:tcW w:w="466" w:type="pct"/>
            <w:shd w:val="clear" w:color="auto" w:fill="auto"/>
            <w:vAlign w:val="center"/>
          </w:tcPr>
          <w:p w14:paraId="00F995DA">
            <w:pPr>
              <w:widowControl/>
              <w:jc w:val="center"/>
              <w:rPr>
                <w:rFonts w:hint="eastAsia" w:eastAsia="仿宋_GB2312"/>
                <w:color w:val="auto"/>
                <w:kern w:val="0"/>
                <w:szCs w:val="21"/>
                <w:lang w:val="en-US" w:eastAsia="zh-CN"/>
              </w:rPr>
            </w:pPr>
            <w:r>
              <w:rPr>
                <w:rFonts w:hint="eastAsia" w:eastAsia="仿宋_GB2312"/>
                <w:color w:val="auto"/>
                <w:kern w:val="0"/>
                <w:szCs w:val="21"/>
                <w:lang w:val="en-US" w:eastAsia="zh-CN"/>
              </w:rPr>
              <w:t>16200</w:t>
            </w:r>
          </w:p>
        </w:tc>
        <w:tc>
          <w:tcPr>
            <w:tcW w:w="335" w:type="pct"/>
            <w:shd w:val="clear" w:color="auto" w:fill="auto"/>
            <w:vAlign w:val="center"/>
          </w:tcPr>
          <w:p w14:paraId="37B29B72">
            <w:pPr>
              <w:widowControl/>
              <w:jc w:val="center"/>
              <w:rPr>
                <w:rFonts w:hint="default" w:eastAsia="仿宋_GB2312"/>
                <w:bCs/>
                <w:color w:val="auto"/>
                <w:kern w:val="0"/>
                <w:szCs w:val="21"/>
                <w:lang w:val="en-US"/>
              </w:rPr>
            </w:pPr>
            <w:r>
              <w:rPr>
                <w:rFonts w:hint="eastAsia" w:eastAsia="仿宋_GB2312"/>
                <w:bCs/>
                <w:color w:val="auto"/>
                <w:kern w:val="0"/>
                <w:szCs w:val="21"/>
                <w:lang w:val="en-US" w:eastAsia="zh-CN"/>
              </w:rPr>
              <w:t>62</w:t>
            </w:r>
          </w:p>
        </w:tc>
        <w:tc>
          <w:tcPr>
            <w:tcW w:w="448" w:type="pct"/>
            <w:shd w:val="clear" w:color="auto" w:fill="auto"/>
            <w:vAlign w:val="center"/>
          </w:tcPr>
          <w:p w14:paraId="5BCAE8D9">
            <w:pPr>
              <w:keepNext w:val="0"/>
              <w:keepLines w:val="0"/>
              <w:widowControl/>
              <w:suppressLineNumbers w:val="0"/>
              <w:jc w:val="center"/>
              <w:textAlignment w:val="center"/>
              <w:rPr>
                <w:rFonts w:eastAsia="仿宋_GB2312"/>
                <w:bCs/>
                <w:color w:val="auto"/>
                <w:kern w:val="0"/>
                <w:szCs w:val="21"/>
              </w:rPr>
            </w:pPr>
            <w:r>
              <w:rPr>
                <w:rFonts w:hint="default" w:ascii="Times New Roman" w:hAnsi="Times New Roman" w:eastAsia="宋体" w:cs="Times New Roman"/>
                <w:i w:val="0"/>
                <w:iCs w:val="0"/>
                <w:color w:val="auto"/>
                <w:kern w:val="0"/>
                <w:sz w:val="21"/>
                <w:szCs w:val="21"/>
                <w:u w:val="none"/>
                <w:lang w:val="en-US" w:eastAsia="zh-CN" w:bidi="ar"/>
              </w:rPr>
              <w:t>19</w:t>
            </w:r>
          </w:p>
        </w:tc>
        <w:tc>
          <w:tcPr>
            <w:tcW w:w="392" w:type="pct"/>
            <w:shd w:val="clear" w:color="auto" w:fill="auto"/>
            <w:vAlign w:val="center"/>
          </w:tcPr>
          <w:p w14:paraId="2704F942">
            <w:pPr>
              <w:widowControl/>
              <w:jc w:val="center"/>
              <w:rPr>
                <w:rFonts w:hint="eastAsia" w:ascii="Times New Roman" w:hAnsi="Times New Roman" w:eastAsia="仿宋_GB2312" w:cs="Times New Roman"/>
                <w:bCs/>
                <w:color w:val="auto"/>
                <w:kern w:val="0"/>
                <w:sz w:val="21"/>
                <w:szCs w:val="21"/>
                <w:lang w:val="en-US" w:eastAsia="zh-CN" w:bidi="ar-SA"/>
              </w:rPr>
            </w:pPr>
            <w:r>
              <w:rPr>
                <w:rFonts w:hint="eastAsia" w:eastAsia="仿宋_GB2312"/>
                <w:bCs/>
                <w:color w:val="auto"/>
                <w:kern w:val="0"/>
                <w:szCs w:val="21"/>
                <w:lang w:val="en-US" w:eastAsia="zh-CN"/>
              </w:rPr>
              <w:t>8</w:t>
            </w:r>
          </w:p>
        </w:tc>
        <w:tc>
          <w:tcPr>
            <w:tcW w:w="355" w:type="pct"/>
            <w:shd w:val="clear" w:color="auto" w:fill="auto"/>
            <w:vAlign w:val="center"/>
          </w:tcPr>
          <w:p w14:paraId="30375F9F">
            <w:pPr>
              <w:widowControl/>
              <w:jc w:val="center"/>
              <w:rPr>
                <w:rFonts w:hint="default" w:eastAsia="仿宋_GB2312"/>
                <w:bCs/>
                <w:color w:val="auto"/>
                <w:kern w:val="0"/>
                <w:szCs w:val="21"/>
                <w:lang w:val="en-US" w:eastAsia="zh-CN"/>
              </w:rPr>
            </w:pPr>
            <w:r>
              <w:rPr>
                <w:rFonts w:hint="eastAsia" w:eastAsia="仿宋_GB2312"/>
                <w:bCs/>
                <w:color w:val="auto"/>
                <w:kern w:val="0"/>
                <w:szCs w:val="21"/>
                <w:lang w:val="en-US" w:eastAsia="zh-CN"/>
              </w:rPr>
              <w:t>148</w:t>
            </w:r>
          </w:p>
        </w:tc>
        <w:tc>
          <w:tcPr>
            <w:tcW w:w="314" w:type="pct"/>
            <w:vMerge w:val="continue"/>
            <w:vAlign w:val="center"/>
          </w:tcPr>
          <w:p w14:paraId="349F9A00">
            <w:pPr>
              <w:widowControl/>
              <w:jc w:val="center"/>
              <w:rPr>
                <w:rFonts w:eastAsia="仿宋_GB2312"/>
                <w:bCs/>
                <w:color w:val="FF0000"/>
                <w:kern w:val="0"/>
                <w:szCs w:val="21"/>
              </w:rPr>
            </w:pPr>
          </w:p>
        </w:tc>
      </w:tr>
      <w:tr w14:paraId="26E102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12" w:hRule="atLeast"/>
          <w:tblHeader/>
          <w:jc w:val="center"/>
        </w:trPr>
        <w:tc>
          <w:tcPr>
            <w:tcW w:w="604" w:type="pct"/>
            <w:vMerge w:val="continue"/>
            <w:tcMar>
              <w:top w:w="15" w:type="dxa"/>
              <w:left w:w="15" w:type="dxa"/>
              <w:bottom w:w="0" w:type="dxa"/>
              <w:right w:w="15" w:type="dxa"/>
            </w:tcMar>
            <w:vAlign w:val="center"/>
          </w:tcPr>
          <w:p w14:paraId="5FD32213">
            <w:pPr>
              <w:widowControl/>
              <w:jc w:val="center"/>
              <w:rPr>
                <w:rFonts w:eastAsia="仿宋_GB2312"/>
                <w:kern w:val="0"/>
              </w:rPr>
            </w:pPr>
          </w:p>
        </w:tc>
        <w:tc>
          <w:tcPr>
            <w:tcW w:w="277" w:type="pct"/>
            <w:vMerge w:val="continue"/>
            <w:tcMar>
              <w:top w:w="15" w:type="dxa"/>
              <w:left w:w="15" w:type="dxa"/>
              <w:bottom w:w="0" w:type="dxa"/>
              <w:right w:w="15" w:type="dxa"/>
            </w:tcMar>
            <w:vAlign w:val="center"/>
          </w:tcPr>
          <w:p w14:paraId="4BE6B154">
            <w:pPr>
              <w:widowControl/>
              <w:jc w:val="center"/>
              <w:rPr>
                <w:rFonts w:eastAsia="仿宋_GB2312"/>
                <w:color w:val="FF0000"/>
                <w:kern w:val="0"/>
              </w:rPr>
            </w:pPr>
          </w:p>
        </w:tc>
        <w:tc>
          <w:tcPr>
            <w:tcW w:w="1421" w:type="pct"/>
            <w:gridSpan w:val="2"/>
            <w:shd w:val="clear" w:color="auto" w:fill="auto"/>
            <w:tcMar>
              <w:top w:w="15" w:type="dxa"/>
              <w:left w:w="15" w:type="dxa"/>
              <w:bottom w:w="0" w:type="dxa"/>
              <w:right w:w="15" w:type="dxa"/>
            </w:tcMar>
            <w:vAlign w:val="center"/>
          </w:tcPr>
          <w:p w14:paraId="379F605A">
            <w:pPr>
              <w:widowControl/>
              <w:jc w:val="center"/>
              <w:rPr>
                <w:rFonts w:eastAsia="仿宋_GB2312"/>
                <w:color w:val="auto"/>
                <w:kern w:val="0"/>
                <w:szCs w:val="21"/>
              </w:rPr>
            </w:pPr>
            <w:r>
              <w:rPr>
                <w:rFonts w:eastAsia="仿宋_GB2312"/>
                <w:color w:val="auto"/>
                <w:kern w:val="0"/>
                <w:szCs w:val="21"/>
              </w:rPr>
              <w:t>精馏残液</w:t>
            </w:r>
            <w:r>
              <w:rPr>
                <w:rFonts w:hint="eastAsia" w:eastAsia="仿宋_GB2312"/>
                <w:color w:val="auto"/>
                <w:kern w:val="0"/>
                <w:szCs w:val="21"/>
                <w:lang w:eastAsia="zh-CN"/>
              </w:rPr>
              <w:t>（</w:t>
            </w:r>
            <w:r>
              <w:rPr>
                <w:rFonts w:hint="eastAsia" w:eastAsia="仿宋_GB2312"/>
                <w:color w:val="auto"/>
                <w:kern w:val="0"/>
                <w:szCs w:val="21"/>
                <w:lang w:val="en-US" w:eastAsia="zh-CN"/>
              </w:rPr>
              <w:t>含苯酚</w:t>
            </w:r>
            <w:r>
              <w:rPr>
                <w:rFonts w:hint="eastAsia" w:eastAsia="仿宋_GB2312"/>
                <w:color w:val="auto"/>
                <w:kern w:val="0"/>
                <w:szCs w:val="21"/>
                <w:lang w:eastAsia="zh-CN"/>
              </w:rPr>
              <w:t>）</w:t>
            </w:r>
          </w:p>
        </w:tc>
        <w:tc>
          <w:tcPr>
            <w:tcW w:w="385" w:type="pct"/>
            <w:shd w:val="clear" w:color="auto" w:fill="auto"/>
            <w:tcMar>
              <w:top w:w="15" w:type="dxa"/>
              <w:left w:w="15" w:type="dxa"/>
              <w:bottom w:w="0" w:type="dxa"/>
              <w:right w:w="15" w:type="dxa"/>
            </w:tcMar>
            <w:vAlign w:val="center"/>
          </w:tcPr>
          <w:p w14:paraId="21ECED2E">
            <w:pPr>
              <w:widowControl/>
              <w:jc w:val="center"/>
              <w:rPr>
                <w:rFonts w:hint="default" w:eastAsia="仿宋_GB2312"/>
                <w:color w:val="auto"/>
                <w:kern w:val="0"/>
                <w:szCs w:val="21"/>
                <w:lang w:val="en-US" w:eastAsia="zh-CN"/>
              </w:rPr>
            </w:pPr>
            <w:r>
              <w:rPr>
                <w:rFonts w:hint="eastAsia" w:eastAsia="仿宋_GB2312"/>
                <w:color w:val="auto"/>
                <w:kern w:val="0"/>
                <w:szCs w:val="21"/>
                <w:lang w:val="en-US" w:eastAsia="zh-CN"/>
              </w:rPr>
              <w:t>1000</w:t>
            </w:r>
          </w:p>
        </w:tc>
        <w:tc>
          <w:tcPr>
            <w:tcW w:w="466" w:type="pct"/>
            <w:shd w:val="clear" w:color="auto" w:fill="auto"/>
            <w:vAlign w:val="center"/>
          </w:tcPr>
          <w:p w14:paraId="4D1022F4">
            <w:pPr>
              <w:widowControl/>
              <w:jc w:val="center"/>
              <w:rPr>
                <w:rFonts w:hint="eastAsia" w:eastAsia="仿宋_GB2312"/>
                <w:color w:val="auto"/>
                <w:kern w:val="0"/>
                <w:szCs w:val="21"/>
                <w:lang w:val="en-US" w:eastAsia="zh-CN"/>
              </w:rPr>
            </w:pPr>
            <w:r>
              <w:rPr>
                <w:rFonts w:hint="eastAsia" w:eastAsia="仿宋_GB2312"/>
                <w:color w:val="auto"/>
                <w:kern w:val="0"/>
                <w:szCs w:val="21"/>
                <w:lang w:val="en-US" w:eastAsia="zh-CN"/>
              </w:rPr>
              <w:t>15200</w:t>
            </w:r>
          </w:p>
        </w:tc>
        <w:tc>
          <w:tcPr>
            <w:tcW w:w="335" w:type="pct"/>
            <w:shd w:val="clear" w:color="auto" w:fill="auto"/>
            <w:vAlign w:val="center"/>
          </w:tcPr>
          <w:p w14:paraId="0757C326">
            <w:pPr>
              <w:widowControl/>
              <w:jc w:val="center"/>
              <w:rPr>
                <w:rFonts w:hint="default" w:eastAsia="仿宋_GB2312"/>
                <w:bCs/>
                <w:color w:val="auto"/>
                <w:kern w:val="0"/>
                <w:szCs w:val="21"/>
                <w:lang w:val="en-US"/>
              </w:rPr>
            </w:pPr>
            <w:r>
              <w:rPr>
                <w:rFonts w:hint="eastAsia" w:eastAsia="仿宋_GB2312"/>
                <w:bCs/>
                <w:color w:val="auto"/>
                <w:kern w:val="0"/>
                <w:szCs w:val="21"/>
                <w:lang w:val="en-US" w:eastAsia="zh-CN"/>
              </w:rPr>
              <w:t>66</w:t>
            </w:r>
          </w:p>
        </w:tc>
        <w:tc>
          <w:tcPr>
            <w:tcW w:w="448" w:type="pct"/>
            <w:shd w:val="clear" w:color="auto" w:fill="auto"/>
            <w:vAlign w:val="center"/>
          </w:tcPr>
          <w:p w14:paraId="31E553FA">
            <w:pPr>
              <w:keepNext w:val="0"/>
              <w:keepLines w:val="0"/>
              <w:widowControl/>
              <w:suppressLineNumbers w:val="0"/>
              <w:jc w:val="center"/>
              <w:textAlignment w:val="center"/>
              <w:rPr>
                <w:rFonts w:hint="default" w:eastAsia="仿宋_GB2312"/>
                <w:bCs/>
                <w:color w:val="auto"/>
                <w:kern w:val="0"/>
                <w:szCs w:val="21"/>
                <w:lang w:val="en-US"/>
              </w:rPr>
            </w:pPr>
            <w:r>
              <w:rPr>
                <w:rFonts w:hint="eastAsia" w:cs="Times New Roman"/>
                <w:i w:val="0"/>
                <w:iCs w:val="0"/>
                <w:color w:val="auto"/>
                <w:kern w:val="0"/>
                <w:sz w:val="21"/>
                <w:szCs w:val="21"/>
                <w:u w:val="none"/>
                <w:lang w:val="en-US" w:eastAsia="zh-CN" w:bidi="ar"/>
              </w:rPr>
              <w:t>34</w:t>
            </w:r>
          </w:p>
        </w:tc>
        <w:tc>
          <w:tcPr>
            <w:tcW w:w="392" w:type="pct"/>
            <w:shd w:val="clear" w:color="auto" w:fill="auto"/>
            <w:vAlign w:val="center"/>
          </w:tcPr>
          <w:p w14:paraId="38DA32BE">
            <w:pPr>
              <w:widowControl/>
              <w:jc w:val="center"/>
              <w:rPr>
                <w:rFonts w:hint="eastAsia" w:ascii="Times New Roman" w:hAnsi="Times New Roman" w:eastAsia="仿宋_GB2312" w:cs="Times New Roman"/>
                <w:bCs/>
                <w:color w:val="auto"/>
                <w:kern w:val="0"/>
                <w:sz w:val="21"/>
                <w:szCs w:val="21"/>
                <w:lang w:val="en-US" w:eastAsia="zh-CN" w:bidi="ar-SA"/>
              </w:rPr>
            </w:pPr>
            <w:r>
              <w:rPr>
                <w:rFonts w:hint="eastAsia" w:eastAsia="仿宋_GB2312"/>
                <w:bCs/>
                <w:color w:val="auto"/>
                <w:kern w:val="0"/>
                <w:szCs w:val="21"/>
                <w:lang w:val="en-US" w:eastAsia="zh-CN"/>
              </w:rPr>
              <w:t>8</w:t>
            </w:r>
          </w:p>
        </w:tc>
        <w:tc>
          <w:tcPr>
            <w:tcW w:w="355" w:type="pct"/>
            <w:shd w:val="clear" w:color="auto" w:fill="auto"/>
            <w:vAlign w:val="center"/>
          </w:tcPr>
          <w:p w14:paraId="5B49352C">
            <w:pPr>
              <w:widowControl/>
              <w:jc w:val="center"/>
              <w:rPr>
                <w:rFonts w:hint="default" w:eastAsia="仿宋_GB2312"/>
                <w:bCs/>
                <w:color w:val="auto"/>
                <w:kern w:val="0"/>
                <w:szCs w:val="21"/>
                <w:lang w:val="en-US" w:eastAsia="zh-CN"/>
              </w:rPr>
            </w:pPr>
            <w:r>
              <w:rPr>
                <w:rFonts w:hint="eastAsia" w:eastAsia="仿宋_GB2312"/>
                <w:bCs/>
                <w:color w:val="auto"/>
                <w:kern w:val="0"/>
                <w:szCs w:val="21"/>
                <w:lang w:val="en-US" w:eastAsia="zh-CN"/>
              </w:rPr>
              <w:t>282</w:t>
            </w:r>
          </w:p>
        </w:tc>
        <w:tc>
          <w:tcPr>
            <w:tcW w:w="314" w:type="pct"/>
            <w:vMerge w:val="continue"/>
            <w:vAlign w:val="center"/>
          </w:tcPr>
          <w:p w14:paraId="5CA2F7CB">
            <w:pPr>
              <w:widowControl/>
              <w:jc w:val="center"/>
              <w:rPr>
                <w:rFonts w:eastAsia="仿宋_GB2312"/>
                <w:bCs/>
                <w:color w:val="FF0000"/>
                <w:kern w:val="0"/>
                <w:szCs w:val="21"/>
              </w:rPr>
            </w:pPr>
          </w:p>
        </w:tc>
      </w:tr>
      <w:tr w14:paraId="07B7F0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12" w:hRule="atLeast"/>
          <w:tblHeader/>
          <w:jc w:val="center"/>
        </w:trPr>
        <w:tc>
          <w:tcPr>
            <w:tcW w:w="604" w:type="pct"/>
            <w:vMerge w:val="continue"/>
            <w:tcMar>
              <w:top w:w="15" w:type="dxa"/>
              <w:left w:w="15" w:type="dxa"/>
              <w:bottom w:w="0" w:type="dxa"/>
              <w:right w:w="15" w:type="dxa"/>
            </w:tcMar>
            <w:vAlign w:val="center"/>
          </w:tcPr>
          <w:p w14:paraId="1D43B661">
            <w:pPr>
              <w:widowControl/>
              <w:jc w:val="center"/>
              <w:rPr>
                <w:rFonts w:eastAsia="仿宋_GB2312"/>
                <w:kern w:val="0"/>
              </w:rPr>
            </w:pPr>
          </w:p>
        </w:tc>
        <w:tc>
          <w:tcPr>
            <w:tcW w:w="277" w:type="pct"/>
            <w:vMerge w:val="continue"/>
            <w:tcMar>
              <w:top w:w="15" w:type="dxa"/>
              <w:left w:w="15" w:type="dxa"/>
              <w:bottom w:w="0" w:type="dxa"/>
              <w:right w:w="15" w:type="dxa"/>
            </w:tcMar>
            <w:vAlign w:val="center"/>
          </w:tcPr>
          <w:p w14:paraId="0023658F">
            <w:pPr>
              <w:widowControl/>
              <w:jc w:val="center"/>
              <w:rPr>
                <w:rFonts w:eastAsia="仿宋_GB2312"/>
                <w:color w:val="FF0000"/>
                <w:kern w:val="0"/>
              </w:rPr>
            </w:pPr>
          </w:p>
        </w:tc>
        <w:tc>
          <w:tcPr>
            <w:tcW w:w="1421" w:type="pct"/>
            <w:gridSpan w:val="2"/>
            <w:shd w:val="clear" w:color="auto" w:fill="auto"/>
            <w:tcMar>
              <w:top w:w="15" w:type="dxa"/>
              <w:left w:w="15" w:type="dxa"/>
              <w:bottom w:w="0" w:type="dxa"/>
              <w:right w:w="15" w:type="dxa"/>
            </w:tcMar>
            <w:vAlign w:val="center"/>
          </w:tcPr>
          <w:p w14:paraId="64DA886A">
            <w:pPr>
              <w:widowControl/>
              <w:jc w:val="center"/>
              <w:rPr>
                <w:rFonts w:eastAsia="仿宋_GB2312"/>
                <w:color w:val="auto"/>
                <w:kern w:val="0"/>
                <w:szCs w:val="21"/>
              </w:rPr>
            </w:pPr>
            <w:r>
              <w:rPr>
                <w:rFonts w:eastAsia="仿宋_GB2312"/>
                <w:color w:val="auto"/>
                <w:kern w:val="0"/>
                <w:szCs w:val="21"/>
              </w:rPr>
              <w:t>精馏残液</w:t>
            </w:r>
            <w:r>
              <w:rPr>
                <w:rFonts w:hint="eastAsia" w:eastAsia="仿宋_GB2312"/>
                <w:color w:val="auto"/>
                <w:kern w:val="0"/>
                <w:szCs w:val="21"/>
                <w:lang w:eastAsia="zh-CN"/>
              </w:rPr>
              <w:t>（</w:t>
            </w:r>
            <w:r>
              <w:rPr>
                <w:rFonts w:hint="eastAsia" w:eastAsia="仿宋_GB2312"/>
                <w:color w:val="auto"/>
                <w:kern w:val="0"/>
                <w:szCs w:val="21"/>
                <w:lang w:val="en-US" w:eastAsia="zh-CN"/>
              </w:rPr>
              <w:t>含乙酸乙烯酯</w:t>
            </w:r>
            <w:r>
              <w:rPr>
                <w:rFonts w:hint="eastAsia" w:eastAsia="仿宋_GB2312"/>
                <w:color w:val="auto"/>
                <w:kern w:val="0"/>
                <w:szCs w:val="21"/>
                <w:lang w:eastAsia="zh-CN"/>
              </w:rPr>
              <w:t>）</w:t>
            </w:r>
          </w:p>
        </w:tc>
        <w:tc>
          <w:tcPr>
            <w:tcW w:w="385" w:type="pct"/>
            <w:shd w:val="clear" w:color="auto" w:fill="auto"/>
            <w:tcMar>
              <w:top w:w="15" w:type="dxa"/>
              <w:left w:w="15" w:type="dxa"/>
              <w:bottom w:w="0" w:type="dxa"/>
              <w:right w:w="15" w:type="dxa"/>
            </w:tcMar>
            <w:vAlign w:val="center"/>
          </w:tcPr>
          <w:p w14:paraId="2B5FE273">
            <w:pPr>
              <w:widowControl/>
              <w:jc w:val="center"/>
              <w:rPr>
                <w:rFonts w:hint="default" w:eastAsia="仿宋_GB2312"/>
                <w:color w:val="auto"/>
                <w:kern w:val="0"/>
                <w:szCs w:val="21"/>
                <w:lang w:val="en-US" w:eastAsia="zh-CN"/>
              </w:rPr>
            </w:pPr>
            <w:r>
              <w:rPr>
                <w:rFonts w:hint="eastAsia" w:eastAsia="仿宋_GB2312"/>
                <w:color w:val="auto"/>
                <w:kern w:val="0"/>
                <w:szCs w:val="21"/>
                <w:lang w:val="en-US" w:eastAsia="zh-CN"/>
              </w:rPr>
              <w:t>1000</w:t>
            </w:r>
          </w:p>
        </w:tc>
        <w:tc>
          <w:tcPr>
            <w:tcW w:w="466" w:type="pct"/>
            <w:shd w:val="clear" w:color="auto" w:fill="auto"/>
            <w:vAlign w:val="center"/>
          </w:tcPr>
          <w:p w14:paraId="3898AED2">
            <w:pPr>
              <w:widowControl/>
              <w:jc w:val="center"/>
              <w:rPr>
                <w:rFonts w:hint="eastAsia" w:eastAsia="仿宋_GB2312"/>
                <w:color w:val="auto"/>
                <w:kern w:val="0"/>
                <w:szCs w:val="21"/>
                <w:lang w:val="en-US" w:eastAsia="zh-CN"/>
              </w:rPr>
            </w:pPr>
            <w:r>
              <w:rPr>
                <w:rFonts w:hint="eastAsia" w:eastAsia="仿宋_GB2312"/>
                <w:color w:val="auto"/>
                <w:kern w:val="0"/>
                <w:szCs w:val="21"/>
                <w:lang w:val="en-US" w:eastAsia="zh-CN"/>
              </w:rPr>
              <w:t>11600</w:t>
            </w:r>
          </w:p>
        </w:tc>
        <w:tc>
          <w:tcPr>
            <w:tcW w:w="335" w:type="pct"/>
            <w:shd w:val="clear" w:color="auto" w:fill="auto"/>
            <w:vAlign w:val="center"/>
          </w:tcPr>
          <w:p w14:paraId="0FA69395">
            <w:pPr>
              <w:widowControl/>
              <w:jc w:val="center"/>
              <w:rPr>
                <w:rFonts w:eastAsia="仿宋_GB2312"/>
                <w:bCs/>
                <w:color w:val="auto"/>
                <w:kern w:val="0"/>
                <w:szCs w:val="21"/>
              </w:rPr>
            </w:pPr>
            <w:r>
              <w:rPr>
                <w:rFonts w:hint="default" w:eastAsia="仿宋_GB2312"/>
                <w:bCs/>
                <w:color w:val="auto"/>
                <w:kern w:val="0"/>
                <w:szCs w:val="21"/>
                <w:lang w:val="en-US" w:eastAsia="zh-CN"/>
              </w:rPr>
              <w:t>87</w:t>
            </w:r>
          </w:p>
        </w:tc>
        <w:tc>
          <w:tcPr>
            <w:tcW w:w="448" w:type="pct"/>
            <w:shd w:val="clear" w:color="auto" w:fill="auto"/>
            <w:vAlign w:val="center"/>
          </w:tcPr>
          <w:p w14:paraId="21C878E9">
            <w:pPr>
              <w:keepNext w:val="0"/>
              <w:keepLines w:val="0"/>
              <w:widowControl/>
              <w:suppressLineNumbers w:val="0"/>
              <w:jc w:val="center"/>
              <w:textAlignment w:val="center"/>
              <w:rPr>
                <w:rFonts w:eastAsia="仿宋_GB2312"/>
                <w:bCs/>
                <w:color w:val="auto"/>
                <w:kern w:val="0"/>
                <w:szCs w:val="21"/>
              </w:rPr>
            </w:pPr>
            <w:r>
              <w:rPr>
                <w:rFonts w:hint="default" w:ascii="Times New Roman" w:hAnsi="Times New Roman" w:eastAsia="宋体" w:cs="Times New Roman"/>
                <w:i w:val="0"/>
                <w:iCs w:val="0"/>
                <w:color w:val="auto"/>
                <w:kern w:val="0"/>
                <w:sz w:val="21"/>
                <w:szCs w:val="21"/>
                <w:u w:val="none"/>
                <w:lang w:val="en-US" w:eastAsia="zh-CN" w:bidi="ar"/>
              </w:rPr>
              <w:t>18</w:t>
            </w:r>
          </w:p>
        </w:tc>
        <w:tc>
          <w:tcPr>
            <w:tcW w:w="392" w:type="pct"/>
            <w:shd w:val="clear" w:color="auto" w:fill="auto"/>
            <w:vAlign w:val="center"/>
          </w:tcPr>
          <w:p w14:paraId="17A74CCA">
            <w:pPr>
              <w:widowControl/>
              <w:jc w:val="center"/>
              <w:rPr>
                <w:rFonts w:hint="eastAsia" w:ascii="Times New Roman" w:hAnsi="Times New Roman" w:eastAsia="仿宋_GB2312" w:cs="Times New Roman"/>
                <w:bCs/>
                <w:color w:val="auto"/>
                <w:kern w:val="0"/>
                <w:sz w:val="21"/>
                <w:szCs w:val="21"/>
                <w:lang w:val="en-US" w:eastAsia="zh-CN" w:bidi="ar-SA"/>
              </w:rPr>
            </w:pPr>
            <w:r>
              <w:rPr>
                <w:rFonts w:hint="eastAsia" w:eastAsia="仿宋_GB2312"/>
                <w:bCs/>
                <w:color w:val="auto"/>
                <w:kern w:val="0"/>
                <w:szCs w:val="21"/>
                <w:lang w:val="en-US" w:eastAsia="zh-CN"/>
              </w:rPr>
              <w:t>8</w:t>
            </w:r>
          </w:p>
        </w:tc>
        <w:tc>
          <w:tcPr>
            <w:tcW w:w="355" w:type="pct"/>
            <w:shd w:val="clear" w:color="auto" w:fill="auto"/>
            <w:vAlign w:val="center"/>
          </w:tcPr>
          <w:p w14:paraId="70944452">
            <w:pPr>
              <w:widowControl/>
              <w:jc w:val="center"/>
              <w:rPr>
                <w:rFonts w:hint="eastAsia" w:eastAsia="仿宋_GB2312"/>
                <w:bCs/>
                <w:color w:val="auto"/>
                <w:kern w:val="0"/>
                <w:szCs w:val="21"/>
                <w:lang w:val="en-US" w:eastAsia="zh-CN"/>
              </w:rPr>
            </w:pPr>
            <w:r>
              <w:rPr>
                <w:rFonts w:hint="eastAsia" w:eastAsia="仿宋_GB2312"/>
                <w:bCs/>
                <w:color w:val="auto"/>
                <w:kern w:val="0"/>
                <w:szCs w:val="21"/>
                <w:lang w:val="en-US" w:eastAsia="zh-CN"/>
              </w:rPr>
              <w:t>196</w:t>
            </w:r>
          </w:p>
        </w:tc>
        <w:tc>
          <w:tcPr>
            <w:tcW w:w="314" w:type="pct"/>
            <w:vMerge w:val="continue"/>
            <w:vAlign w:val="center"/>
          </w:tcPr>
          <w:p w14:paraId="57BC3190">
            <w:pPr>
              <w:widowControl/>
              <w:jc w:val="center"/>
              <w:rPr>
                <w:rFonts w:eastAsia="仿宋_GB2312"/>
                <w:bCs/>
                <w:color w:val="FF0000"/>
                <w:kern w:val="0"/>
                <w:szCs w:val="21"/>
              </w:rPr>
            </w:pPr>
          </w:p>
        </w:tc>
      </w:tr>
      <w:tr w14:paraId="25CC06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12" w:hRule="atLeast"/>
          <w:tblHeader/>
          <w:jc w:val="center"/>
        </w:trPr>
        <w:tc>
          <w:tcPr>
            <w:tcW w:w="604" w:type="pct"/>
            <w:vMerge w:val="restart"/>
            <w:tcMar>
              <w:top w:w="15" w:type="dxa"/>
              <w:left w:w="15" w:type="dxa"/>
              <w:bottom w:w="0" w:type="dxa"/>
              <w:right w:w="15" w:type="dxa"/>
            </w:tcMar>
            <w:vAlign w:val="center"/>
          </w:tcPr>
          <w:p w14:paraId="3CF8D362">
            <w:pPr>
              <w:widowControl/>
              <w:jc w:val="center"/>
              <w:rPr>
                <w:rFonts w:eastAsia="仿宋_GB2312"/>
                <w:color w:val="auto"/>
                <w:kern w:val="0"/>
              </w:rPr>
            </w:pPr>
            <w:r>
              <w:rPr>
                <w:rFonts w:eastAsia="仿宋_GB2312"/>
                <w:color w:val="auto"/>
                <w:kern w:val="0"/>
              </w:rPr>
              <w:t>膜处理+</w:t>
            </w:r>
            <w:r>
              <w:rPr>
                <w:rFonts w:hint="eastAsia" w:eastAsia="仿宋_GB2312"/>
                <w:color w:val="auto"/>
                <w:kern w:val="0"/>
                <w:lang w:val="en-US" w:eastAsia="zh-CN"/>
              </w:rPr>
              <w:t>连续</w:t>
            </w:r>
            <w:r>
              <w:rPr>
                <w:rFonts w:eastAsia="仿宋_GB2312"/>
                <w:color w:val="auto"/>
                <w:kern w:val="0"/>
              </w:rPr>
              <w:t>精馏系统</w:t>
            </w:r>
          </w:p>
        </w:tc>
        <w:tc>
          <w:tcPr>
            <w:tcW w:w="277" w:type="pct"/>
            <w:vMerge w:val="restart"/>
            <w:tcMar>
              <w:top w:w="15" w:type="dxa"/>
              <w:left w:w="15" w:type="dxa"/>
              <w:bottom w:w="0" w:type="dxa"/>
              <w:right w:w="15" w:type="dxa"/>
            </w:tcMar>
            <w:vAlign w:val="center"/>
          </w:tcPr>
          <w:p w14:paraId="30D22AE6">
            <w:pPr>
              <w:widowControl/>
              <w:jc w:val="center"/>
              <w:rPr>
                <w:rFonts w:hint="eastAsia" w:eastAsia="仿宋_GB2312"/>
                <w:color w:val="auto"/>
                <w:kern w:val="0"/>
                <w:lang w:val="en-US" w:eastAsia="zh-CN"/>
              </w:rPr>
            </w:pPr>
            <w:r>
              <w:rPr>
                <w:rFonts w:hint="eastAsia" w:eastAsia="仿宋_GB2312"/>
                <w:color w:val="auto"/>
                <w:kern w:val="0"/>
                <w:lang w:val="en-US" w:eastAsia="zh-CN"/>
              </w:rPr>
              <w:t>2</w:t>
            </w:r>
          </w:p>
        </w:tc>
        <w:tc>
          <w:tcPr>
            <w:tcW w:w="1421" w:type="pct"/>
            <w:gridSpan w:val="2"/>
            <w:tcMar>
              <w:top w:w="15" w:type="dxa"/>
              <w:left w:w="15" w:type="dxa"/>
              <w:bottom w:w="0" w:type="dxa"/>
              <w:right w:w="15" w:type="dxa"/>
            </w:tcMar>
            <w:vAlign w:val="center"/>
          </w:tcPr>
          <w:p w14:paraId="09C47A4C">
            <w:pPr>
              <w:widowControl/>
              <w:jc w:val="center"/>
              <w:rPr>
                <w:rFonts w:hint="default" w:eastAsia="仿宋_GB2312"/>
                <w:bCs/>
                <w:color w:val="auto"/>
                <w:kern w:val="0"/>
                <w:szCs w:val="21"/>
                <w:lang w:val="en-US" w:eastAsia="zh-CN"/>
              </w:rPr>
            </w:pPr>
            <w:r>
              <w:rPr>
                <w:rFonts w:hint="eastAsia" w:eastAsia="仿宋_GB2312"/>
                <w:bCs/>
                <w:color w:val="auto"/>
                <w:kern w:val="0"/>
                <w:szCs w:val="21"/>
                <w:lang w:val="en-US" w:eastAsia="zh-CN"/>
              </w:rPr>
              <w:t>丁酮废液</w:t>
            </w:r>
          </w:p>
        </w:tc>
        <w:tc>
          <w:tcPr>
            <w:tcW w:w="385" w:type="pct"/>
            <w:tcMar>
              <w:top w:w="15" w:type="dxa"/>
              <w:left w:w="15" w:type="dxa"/>
              <w:bottom w:w="0" w:type="dxa"/>
              <w:right w:w="15" w:type="dxa"/>
            </w:tcMar>
            <w:vAlign w:val="center"/>
          </w:tcPr>
          <w:p w14:paraId="519466B0">
            <w:pPr>
              <w:widowControl/>
              <w:jc w:val="center"/>
              <w:rPr>
                <w:rFonts w:hint="default" w:eastAsia="仿宋_GB2312"/>
                <w:bCs/>
                <w:color w:val="auto"/>
                <w:kern w:val="0"/>
                <w:szCs w:val="21"/>
                <w:lang w:val="en-US" w:eastAsia="zh-CN"/>
              </w:rPr>
            </w:pPr>
            <w:r>
              <w:rPr>
                <w:rFonts w:hint="eastAsia" w:eastAsia="仿宋_GB2312"/>
                <w:bCs/>
                <w:color w:val="auto"/>
                <w:kern w:val="0"/>
                <w:szCs w:val="21"/>
                <w:lang w:val="en-US" w:eastAsia="zh-CN"/>
              </w:rPr>
              <w:t>600</w:t>
            </w:r>
          </w:p>
        </w:tc>
        <w:tc>
          <w:tcPr>
            <w:tcW w:w="466" w:type="pct"/>
            <w:shd w:val="clear" w:color="auto" w:fill="auto"/>
            <w:vAlign w:val="center"/>
          </w:tcPr>
          <w:p w14:paraId="453446CD">
            <w:pPr>
              <w:widowControl/>
              <w:jc w:val="center"/>
              <w:rPr>
                <w:rFonts w:ascii="Times New Roman" w:hAnsi="Times New Roman" w:eastAsia="仿宋_GB2312" w:cs="Times New Roman"/>
                <w:color w:val="auto"/>
                <w:kern w:val="0"/>
                <w:sz w:val="21"/>
                <w:szCs w:val="24"/>
                <w:lang w:val="en-US" w:eastAsia="zh-CN" w:bidi="ar-SA"/>
              </w:rPr>
            </w:pPr>
            <w:r>
              <w:rPr>
                <w:rFonts w:eastAsia="仿宋_GB2312"/>
                <w:color w:val="auto"/>
                <w:kern w:val="0"/>
              </w:rPr>
              <w:t>连续精馏</w:t>
            </w:r>
          </w:p>
        </w:tc>
        <w:tc>
          <w:tcPr>
            <w:tcW w:w="335" w:type="pct"/>
            <w:shd w:val="clear" w:color="auto" w:fill="auto"/>
            <w:vAlign w:val="center"/>
          </w:tcPr>
          <w:p w14:paraId="018D10A6">
            <w:pPr>
              <w:widowControl/>
              <w:jc w:val="center"/>
              <w:rPr>
                <w:rFonts w:ascii="Times New Roman" w:hAnsi="Times New Roman" w:eastAsia="仿宋_GB2312" w:cs="Times New Roman"/>
                <w:color w:val="auto"/>
                <w:kern w:val="0"/>
                <w:sz w:val="21"/>
                <w:szCs w:val="24"/>
                <w:lang w:val="en-US" w:eastAsia="zh-CN" w:bidi="ar-SA"/>
              </w:rPr>
            </w:pPr>
            <w:r>
              <w:rPr>
                <w:rFonts w:eastAsia="仿宋_GB2312"/>
                <w:color w:val="auto"/>
                <w:kern w:val="0"/>
              </w:rPr>
              <w:t>/</w:t>
            </w:r>
          </w:p>
        </w:tc>
        <w:tc>
          <w:tcPr>
            <w:tcW w:w="448" w:type="pct"/>
            <w:shd w:val="clear" w:color="auto" w:fill="auto"/>
            <w:vAlign w:val="center"/>
          </w:tcPr>
          <w:p w14:paraId="1BC4728B">
            <w:pPr>
              <w:widowControl/>
              <w:jc w:val="center"/>
              <w:rPr>
                <w:rFonts w:ascii="Times New Roman" w:hAnsi="Times New Roman" w:eastAsia="仿宋_GB2312" w:cs="Times New Roman"/>
                <w:color w:val="auto"/>
                <w:kern w:val="0"/>
                <w:sz w:val="21"/>
                <w:szCs w:val="24"/>
                <w:lang w:val="en-US" w:eastAsia="zh-CN" w:bidi="ar-SA"/>
              </w:rPr>
            </w:pPr>
            <w:r>
              <w:rPr>
                <w:rFonts w:eastAsia="仿宋_GB2312"/>
                <w:color w:val="auto"/>
                <w:kern w:val="0"/>
              </w:rPr>
              <w:t>/</w:t>
            </w:r>
          </w:p>
        </w:tc>
        <w:tc>
          <w:tcPr>
            <w:tcW w:w="392" w:type="pct"/>
            <w:shd w:val="clear" w:color="auto" w:fill="auto"/>
            <w:vAlign w:val="center"/>
          </w:tcPr>
          <w:p w14:paraId="5A6B07DA">
            <w:pPr>
              <w:widowControl/>
              <w:jc w:val="center"/>
              <w:rPr>
                <w:rFonts w:hint="eastAsia" w:ascii="Times New Roman" w:hAnsi="Times New Roman" w:eastAsia="仿宋_GB2312" w:cs="Times New Roman"/>
                <w:color w:val="auto"/>
                <w:kern w:val="0"/>
                <w:sz w:val="21"/>
                <w:szCs w:val="24"/>
                <w:lang w:val="en-US" w:eastAsia="zh-CN" w:bidi="ar-SA"/>
              </w:rPr>
            </w:pPr>
            <w:r>
              <w:rPr>
                <w:rFonts w:hint="eastAsia" w:eastAsia="仿宋_GB2312"/>
                <w:color w:val="auto"/>
                <w:kern w:val="0"/>
                <w:lang w:val="en-US" w:eastAsia="zh-CN"/>
              </w:rPr>
              <w:t>2</w:t>
            </w:r>
          </w:p>
        </w:tc>
        <w:tc>
          <w:tcPr>
            <w:tcW w:w="355" w:type="pct"/>
            <w:vAlign w:val="center"/>
          </w:tcPr>
          <w:p w14:paraId="571914DE">
            <w:pPr>
              <w:widowControl/>
              <w:jc w:val="center"/>
              <w:rPr>
                <w:rFonts w:hint="eastAsia" w:eastAsia="仿宋_GB2312"/>
                <w:color w:val="auto"/>
                <w:kern w:val="0"/>
                <w:lang w:val="en-US" w:eastAsia="zh-CN"/>
              </w:rPr>
            </w:pPr>
            <w:r>
              <w:rPr>
                <w:rFonts w:hint="eastAsia" w:eastAsia="仿宋_GB2312"/>
                <w:color w:val="auto"/>
                <w:kern w:val="0"/>
                <w:lang w:val="en-US" w:eastAsia="zh-CN"/>
              </w:rPr>
              <w:t>48</w:t>
            </w:r>
          </w:p>
        </w:tc>
        <w:tc>
          <w:tcPr>
            <w:tcW w:w="314" w:type="pct"/>
            <w:vMerge w:val="restart"/>
            <w:vAlign w:val="center"/>
          </w:tcPr>
          <w:p w14:paraId="7842628F">
            <w:pPr>
              <w:widowControl/>
              <w:jc w:val="center"/>
              <w:rPr>
                <w:rFonts w:hint="default" w:eastAsia="仿宋_GB2312"/>
                <w:bCs/>
                <w:color w:val="auto"/>
                <w:kern w:val="0"/>
                <w:szCs w:val="21"/>
                <w:lang w:val="en-US" w:eastAsia="zh-CN"/>
              </w:rPr>
            </w:pPr>
            <w:r>
              <w:rPr>
                <w:rFonts w:hint="eastAsia" w:eastAsia="仿宋_GB2312"/>
                <w:bCs/>
                <w:color w:val="auto"/>
                <w:kern w:val="0"/>
                <w:szCs w:val="21"/>
                <w:lang w:val="en-US" w:eastAsia="zh-CN"/>
              </w:rPr>
              <w:t>8204</w:t>
            </w:r>
          </w:p>
        </w:tc>
      </w:tr>
      <w:tr w14:paraId="731F4E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12" w:hRule="atLeast"/>
          <w:tblHeader/>
          <w:jc w:val="center"/>
        </w:trPr>
        <w:tc>
          <w:tcPr>
            <w:tcW w:w="604" w:type="pct"/>
            <w:vMerge w:val="continue"/>
            <w:tcMar>
              <w:top w:w="15" w:type="dxa"/>
              <w:left w:w="15" w:type="dxa"/>
              <w:bottom w:w="0" w:type="dxa"/>
              <w:right w:w="15" w:type="dxa"/>
            </w:tcMar>
            <w:vAlign w:val="center"/>
          </w:tcPr>
          <w:p w14:paraId="582AE194">
            <w:pPr>
              <w:widowControl/>
              <w:jc w:val="center"/>
              <w:rPr>
                <w:rFonts w:eastAsia="仿宋_GB2312"/>
                <w:color w:val="auto"/>
                <w:kern w:val="0"/>
              </w:rPr>
            </w:pPr>
          </w:p>
        </w:tc>
        <w:tc>
          <w:tcPr>
            <w:tcW w:w="277" w:type="pct"/>
            <w:vMerge w:val="continue"/>
            <w:tcMar>
              <w:top w:w="15" w:type="dxa"/>
              <w:left w:w="15" w:type="dxa"/>
              <w:bottom w:w="0" w:type="dxa"/>
              <w:right w:w="15" w:type="dxa"/>
            </w:tcMar>
            <w:vAlign w:val="center"/>
          </w:tcPr>
          <w:p w14:paraId="5F30FFF4">
            <w:pPr>
              <w:widowControl/>
              <w:jc w:val="center"/>
              <w:rPr>
                <w:rFonts w:hint="eastAsia" w:eastAsia="仿宋_GB2312"/>
                <w:color w:val="auto"/>
                <w:kern w:val="0"/>
                <w:lang w:val="en-US" w:eastAsia="zh-CN"/>
              </w:rPr>
            </w:pPr>
          </w:p>
        </w:tc>
        <w:tc>
          <w:tcPr>
            <w:tcW w:w="1421" w:type="pct"/>
            <w:gridSpan w:val="2"/>
            <w:tcMar>
              <w:top w:w="15" w:type="dxa"/>
              <w:left w:w="15" w:type="dxa"/>
              <w:bottom w:w="0" w:type="dxa"/>
              <w:right w:w="15" w:type="dxa"/>
            </w:tcMar>
            <w:vAlign w:val="center"/>
          </w:tcPr>
          <w:p w14:paraId="28A47C0B">
            <w:pPr>
              <w:widowControl/>
              <w:jc w:val="center"/>
              <w:rPr>
                <w:rFonts w:eastAsia="仿宋_GB2312"/>
                <w:bCs/>
                <w:color w:val="auto"/>
                <w:kern w:val="0"/>
                <w:szCs w:val="21"/>
              </w:rPr>
            </w:pPr>
            <w:r>
              <w:rPr>
                <w:rFonts w:eastAsia="仿宋_GB2312"/>
                <w:bCs/>
                <w:color w:val="auto"/>
                <w:kern w:val="0"/>
                <w:szCs w:val="21"/>
              </w:rPr>
              <w:t>四氢呋喃废液</w:t>
            </w:r>
          </w:p>
        </w:tc>
        <w:tc>
          <w:tcPr>
            <w:tcW w:w="385" w:type="pct"/>
            <w:tcMar>
              <w:top w:w="15" w:type="dxa"/>
              <w:left w:w="15" w:type="dxa"/>
              <w:bottom w:w="0" w:type="dxa"/>
              <w:right w:w="15" w:type="dxa"/>
            </w:tcMar>
            <w:vAlign w:val="center"/>
          </w:tcPr>
          <w:p w14:paraId="1F0F91F0">
            <w:pPr>
              <w:widowControl/>
              <w:jc w:val="center"/>
              <w:rPr>
                <w:rFonts w:hint="default" w:eastAsia="仿宋_GB2312"/>
                <w:bCs/>
                <w:color w:val="auto"/>
                <w:kern w:val="0"/>
                <w:szCs w:val="21"/>
                <w:lang w:val="en-US" w:eastAsia="zh-CN"/>
              </w:rPr>
            </w:pPr>
            <w:r>
              <w:rPr>
                <w:rFonts w:hint="eastAsia" w:eastAsia="仿宋_GB2312"/>
                <w:bCs/>
                <w:color w:val="auto"/>
                <w:kern w:val="0"/>
                <w:szCs w:val="21"/>
                <w:lang w:val="en-US" w:eastAsia="zh-CN"/>
              </w:rPr>
              <w:t>11100</w:t>
            </w:r>
          </w:p>
        </w:tc>
        <w:tc>
          <w:tcPr>
            <w:tcW w:w="466" w:type="pct"/>
            <w:shd w:val="clear" w:color="auto" w:fill="auto"/>
            <w:vAlign w:val="center"/>
          </w:tcPr>
          <w:p w14:paraId="058EDD73">
            <w:pPr>
              <w:widowControl/>
              <w:jc w:val="center"/>
              <w:rPr>
                <w:rFonts w:ascii="Times New Roman" w:hAnsi="Times New Roman" w:eastAsia="仿宋_GB2312" w:cs="Times New Roman"/>
                <w:color w:val="auto"/>
                <w:kern w:val="0"/>
                <w:sz w:val="21"/>
                <w:szCs w:val="24"/>
                <w:lang w:val="en-US" w:eastAsia="zh-CN" w:bidi="ar-SA"/>
              </w:rPr>
            </w:pPr>
            <w:r>
              <w:rPr>
                <w:rFonts w:eastAsia="仿宋_GB2312"/>
                <w:color w:val="auto"/>
                <w:kern w:val="0"/>
              </w:rPr>
              <w:t>连续精馏</w:t>
            </w:r>
          </w:p>
        </w:tc>
        <w:tc>
          <w:tcPr>
            <w:tcW w:w="335" w:type="pct"/>
            <w:shd w:val="clear" w:color="auto" w:fill="auto"/>
            <w:vAlign w:val="center"/>
          </w:tcPr>
          <w:p w14:paraId="70145D1C">
            <w:pPr>
              <w:widowControl/>
              <w:jc w:val="center"/>
              <w:rPr>
                <w:rFonts w:ascii="Times New Roman" w:hAnsi="Times New Roman" w:eastAsia="仿宋_GB2312" w:cs="Times New Roman"/>
                <w:color w:val="auto"/>
                <w:kern w:val="0"/>
                <w:sz w:val="21"/>
                <w:szCs w:val="24"/>
                <w:lang w:val="en-US" w:eastAsia="zh-CN" w:bidi="ar-SA"/>
              </w:rPr>
            </w:pPr>
            <w:r>
              <w:rPr>
                <w:rFonts w:eastAsia="仿宋_GB2312"/>
                <w:color w:val="auto"/>
                <w:kern w:val="0"/>
              </w:rPr>
              <w:t>/</w:t>
            </w:r>
          </w:p>
        </w:tc>
        <w:tc>
          <w:tcPr>
            <w:tcW w:w="448" w:type="pct"/>
            <w:shd w:val="clear" w:color="auto" w:fill="auto"/>
            <w:vAlign w:val="center"/>
          </w:tcPr>
          <w:p w14:paraId="14EFCA57">
            <w:pPr>
              <w:widowControl/>
              <w:jc w:val="center"/>
              <w:rPr>
                <w:rFonts w:ascii="Times New Roman" w:hAnsi="Times New Roman" w:eastAsia="仿宋_GB2312" w:cs="Times New Roman"/>
                <w:color w:val="auto"/>
                <w:kern w:val="0"/>
                <w:sz w:val="21"/>
                <w:szCs w:val="24"/>
                <w:lang w:val="en-US" w:eastAsia="zh-CN" w:bidi="ar-SA"/>
              </w:rPr>
            </w:pPr>
            <w:r>
              <w:rPr>
                <w:rFonts w:eastAsia="仿宋_GB2312"/>
                <w:color w:val="auto"/>
                <w:kern w:val="0"/>
              </w:rPr>
              <w:t>/</w:t>
            </w:r>
          </w:p>
        </w:tc>
        <w:tc>
          <w:tcPr>
            <w:tcW w:w="392" w:type="pct"/>
            <w:shd w:val="clear" w:color="auto" w:fill="auto"/>
            <w:vAlign w:val="center"/>
          </w:tcPr>
          <w:p w14:paraId="72F1177D">
            <w:pPr>
              <w:widowControl/>
              <w:jc w:val="center"/>
              <w:rPr>
                <w:rFonts w:hint="eastAsia" w:ascii="Times New Roman" w:hAnsi="Times New Roman" w:eastAsia="仿宋_GB2312" w:cs="Times New Roman"/>
                <w:color w:val="auto"/>
                <w:kern w:val="0"/>
                <w:sz w:val="21"/>
                <w:szCs w:val="24"/>
                <w:lang w:val="en-US" w:eastAsia="zh-CN" w:bidi="ar-SA"/>
              </w:rPr>
            </w:pPr>
            <w:r>
              <w:rPr>
                <w:rFonts w:hint="eastAsia" w:eastAsia="仿宋_GB2312"/>
                <w:color w:val="auto"/>
                <w:kern w:val="0"/>
                <w:lang w:val="en-US" w:eastAsia="zh-CN"/>
              </w:rPr>
              <w:t>2</w:t>
            </w:r>
          </w:p>
        </w:tc>
        <w:tc>
          <w:tcPr>
            <w:tcW w:w="355" w:type="pct"/>
            <w:vAlign w:val="center"/>
          </w:tcPr>
          <w:p w14:paraId="35083553">
            <w:pPr>
              <w:widowControl/>
              <w:jc w:val="center"/>
              <w:rPr>
                <w:rFonts w:hint="eastAsia" w:eastAsia="仿宋_GB2312"/>
                <w:color w:val="auto"/>
                <w:kern w:val="0"/>
                <w:lang w:val="en-US" w:eastAsia="zh-CN"/>
              </w:rPr>
            </w:pPr>
            <w:r>
              <w:rPr>
                <w:rFonts w:hint="eastAsia" w:eastAsia="仿宋_GB2312"/>
                <w:color w:val="auto"/>
                <w:kern w:val="0"/>
                <w:lang w:val="en-US" w:eastAsia="zh-CN"/>
              </w:rPr>
              <w:t>647</w:t>
            </w:r>
          </w:p>
        </w:tc>
        <w:tc>
          <w:tcPr>
            <w:tcW w:w="314" w:type="pct"/>
            <w:vMerge w:val="continue"/>
            <w:vAlign w:val="center"/>
          </w:tcPr>
          <w:p w14:paraId="7F5A7C22">
            <w:pPr>
              <w:widowControl/>
              <w:jc w:val="center"/>
              <w:rPr>
                <w:rFonts w:eastAsia="仿宋_GB2312"/>
                <w:bCs/>
                <w:color w:val="FF0000"/>
                <w:kern w:val="0"/>
                <w:szCs w:val="21"/>
              </w:rPr>
            </w:pPr>
          </w:p>
        </w:tc>
      </w:tr>
      <w:tr w14:paraId="73AAB5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12" w:hRule="atLeast"/>
          <w:tblHeader/>
          <w:jc w:val="center"/>
        </w:trPr>
        <w:tc>
          <w:tcPr>
            <w:tcW w:w="604" w:type="pct"/>
            <w:vMerge w:val="continue"/>
            <w:tcMar>
              <w:top w:w="15" w:type="dxa"/>
              <w:left w:w="15" w:type="dxa"/>
              <w:bottom w:w="0" w:type="dxa"/>
              <w:right w:w="15" w:type="dxa"/>
            </w:tcMar>
            <w:vAlign w:val="center"/>
          </w:tcPr>
          <w:p w14:paraId="24ABA0B3">
            <w:pPr>
              <w:widowControl/>
              <w:jc w:val="center"/>
              <w:rPr>
                <w:rFonts w:eastAsia="仿宋_GB2312"/>
                <w:color w:val="auto"/>
                <w:kern w:val="0"/>
              </w:rPr>
            </w:pPr>
          </w:p>
        </w:tc>
        <w:tc>
          <w:tcPr>
            <w:tcW w:w="277" w:type="pct"/>
            <w:vMerge w:val="continue"/>
            <w:tcMar>
              <w:top w:w="15" w:type="dxa"/>
              <w:left w:w="15" w:type="dxa"/>
              <w:bottom w:w="0" w:type="dxa"/>
              <w:right w:w="15" w:type="dxa"/>
            </w:tcMar>
            <w:vAlign w:val="center"/>
          </w:tcPr>
          <w:p w14:paraId="2DDD7F4F">
            <w:pPr>
              <w:widowControl/>
              <w:jc w:val="center"/>
              <w:rPr>
                <w:rFonts w:hint="eastAsia" w:eastAsia="仿宋_GB2312"/>
                <w:color w:val="auto"/>
                <w:kern w:val="0"/>
                <w:lang w:val="en-US" w:eastAsia="zh-CN"/>
              </w:rPr>
            </w:pPr>
          </w:p>
        </w:tc>
        <w:tc>
          <w:tcPr>
            <w:tcW w:w="1421" w:type="pct"/>
            <w:gridSpan w:val="2"/>
            <w:tcMar>
              <w:top w:w="15" w:type="dxa"/>
              <w:left w:w="15" w:type="dxa"/>
              <w:bottom w:w="0" w:type="dxa"/>
              <w:right w:w="15" w:type="dxa"/>
            </w:tcMar>
            <w:vAlign w:val="center"/>
          </w:tcPr>
          <w:p w14:paraId="2C2348AF">
            <w:pPr>
              <w:widowControl/>
              <w:jc w:val="center"/>
              <w:rPr>
                <w:rFonts w:hint="default" w:eastAsia="仿宋_GB2312"/>
                <w:bCs/>
                <w:color w:val="auto"/>
                <w:kern w:val="0"/>
                <w:szCs w:val="21"/>
                <w:lang w:val="en-US" w:eastAsia="zh-CN"/>
              </w:rPr>
            </w:pPr>
            <w:r>
              <w:rPr>
                <w:rFonts w:hint="eastAsia" w:eastAsia="仿宋_GB2312"/>
                <w:bCs/>
                <w:color w:val="auto"/>
                <w:kern w:val="0"/>
                <w:szCs w:val="21"/>
                <w:lang w:val="en-US" w:eastAsia="zh-CN"/>
              </w:rPr>
              <w:t>乙酸乙酯废液</w:t>
            </w:r>
          </w:p>
        </w:tc>
        <w:tc>
          <w:tcPr>
            <w:tcW w:w="385" w:type="pct"/>
            <w:tcMar>
              <w:top w:w="15" w:type="dxa"/>
              <w:left w:w="15" w:type="dxa"/>
              <w:bottom w:w="0" w:type="dxa"/>
              <w:right w:w="15" w:type="dxa"/>
            </w:tcMar>
            <w:vAlign w:val="center"/>
          </w:tcPr>
          <w:p w14:paraId="0FAA0108">
            <w:pPr>
              <w:widowControl/>
              <w:jc w:val="center"/>
              <w:rPr>
                <w:rFonts w:hint="default" w:eastAsia="仿宋_GB2312"/>
                <w:bCs/>
                <w:color w:val="auto"/>
                <w:kern w:val="0"/>
                <w:szCs w:val="21"/>
                <w:lang w:val="en-US" w:eastAsia="zh-CN"/>
              </w:rPr>
            </w:pPr>
            <w:r>
              <w:rPr>
                <w:rFonts w:hint="eastAsia" w:eastAsia="仿宋_GB2312"/>
                <w:bCs/>
                <w:color w:val="auto"/>
                <w:kern w:val="0"/>
                <w:szCs w:val="21"/>
                <w:lang w:val="en-US" w:eastAsia="zh-CN"/>
              </w:rPr>
              <w:t>5650</w:t>
            </w:r>
          </w:p>
        </w:tc>
        <w:tc>
          <w:tcPr>
            <w:tcW w:w="466" w:type="pct"/>
            <w:shd w:val="clear" w:color="auto" w:fill="auto"/>
            <w:vAlign w:val="center"/>
          </w:tcPr>
          <w:p w14:paraId="19A4A258">
            <w:pPr>
              <w:widowControl/>
              <w:jc w:val="center"/>
              <w:rPr>
                <w:rFonts w:ascii="Times New Roman" w:hAnsi="Times New Roman" w:eastAsia="仿宋_GB2312" w:cs="Times New Roman"/>
                <w:color w:val="auto"/>
                <w:kern w:val="0"/>
                <w:sz w:val="21"/>
                <w:szCs w:val="24"/>
                <w:lang w:val="en-US" w:eastAsia="zh-CN" w:bidi="ar-SA"/>
              </w:rPr>
            </w:pPr>
            <w:r>
              <w:rPr>
                <w:rFonts w:eastAsia="仿宋_GB2312"/>
                <w:color w:val="auto"/>
                <w:kern w:val="0"/>
              </w:rPr>
              <w:t>连续精馏</w:t>
            </w:r>
          </w:p>
        </w:tc>
        <w:tc>
          <w:tcPr>
            <w:tcW w:w="335" w:type="pct"/>
            <w:shd w:val="clear" w:color="auto" w:fill="auto"/>
            <w:vAlign w:val="center"/>
          </w:tcPr>
          <w:p w14:paraId="7ACC5B42">
            <w:pPr>
              <w:widowControl/>
              <w:jc w:val="center"/>
              <w:rPr>
                <w:rFonts w:ascii="Times New Roman" w:hAnsi="Times New Roman" w:eastAsia="仿宋_GB2312" w:cs="Times New Roman"/>
                <w:color w:val="auto"/>
                <w:kern w:val="0"/>
                <w:sz w:val="21"/>
                <w:szCs w:val="24"/>
                <w:lang w:val="en-US" w:eastAsia="zh-CN" w:bidi="ar-SA"/>
              </w:rPr>
            </w:pPr>
            <w:r>
              <w:rPr>
                <w:rFonts w:eastAsia="仿宋_GB2312"/>
                <w:color w:val="auto"/>
                <w:kern w:val="0"/>
              </w:rPr>
              <w:t>/</w:t>
            </w:r>
          </w:p>
        </w:tc>
        <w:tc>
          <w:tcPr>
            <w:tcW w:w="448" w:type="pct"/>
            <w:shd w:val="clear" w:color="auto" w:fill="auto"/>
            <w:vAlign w:val="center"/>
          </w:tcPr>
          <w:p w14:paraId="0D9437FF">
            <w:pPr>
              <w:widowControl/>
              <w:jc w:val="center"/>
              <w:rPr>
                <w:rFonts w:ascii="Times New Roman" w:hAnsi="Times New Roman" w:eastAsia="仿宋_GB2312" w:cs="Times New Roman"/>
                <w:color w:val="auto"/>
                <w:kern w:val="0"/>
                <w:sz w:val="21"/>
                <w:szCs w:val="24"/>
                <w:lang w:val="en-US" w:eastAsia="zh-CN" w:bidi="ar-SA"/>
              </w:rPr>
            </w:pPr>
            <w:r>
              <w:rPr>
                <w:rFonts w:eastAsia="仿宋_GB2312"/>
                <w:color w:val="auto"/>
                <w:kern w:val="0"/>
              </w:rPr>
              <w:t>/</w:t>
            </w:r>
          </w:p>
        </w:tc>
        <w:tc>
          <w:tcPr>
            <w:tcW w:w="392" w:type="pct"/>
            <w:shd w:val="clear" w:color="auto" w:fill="auto"/>
            <w:vAlign w:val="center"/>
          </w:tcPr>
          <w:p w14:paraId="0C219982">
            <w:pPr>
              <w:widowControl/>
              <w:jc w:val="center"/>
              <w:rPr>
                <w:rFonts w:hint="eastAsia" w:ascii="Times New Roman" w:hAnsi="Times New Roman" w:eastAsia="仿宋_GB2312" w:cs="Times New Roman"/>
                <w:color w:val="auto"/>
                <w:kern w:val="0"/>
                <w:sz w:val="21"/>
                <w:szCs w:val="24"/>
                <w:lang w:val="en-US" w:eastAsia="zh-CN" w:bidi="ar-SA"/>
              </w:rPr>
            </w:pPr>
            <w:r>
              <w:rPr>
                <w:rFonts w:hint="eastAsia" w:eastAsia="仿宋_GB2312"/>
                <w:color w:val="auto"/>
                <w:kern w:val="0"/>
                <w:lang w:val="en-US" w:eastAsia="zh-CN"/>
              </w:rPr>
              <w:t>2</w:t>
            </w:r>
          </w:p>
        </w:tc>
        <w:tc>
          <w:tcPr>
            <w:tcW w:w="355" w:type="pct"/>
            <w:vAlign w:val="center"/>
          </w:tcPr>
          <w:p w14:paraId="2A66575D">
            <w:pPr>
              <w:widowControl/>
              <w:jc w:val="center"/>
              <w:rPr>
                <w:rFonts w:hint="eastAsia" w:eastAsia="仿宋_GB2312"/>
                <w:color w:val="auto"/>
                <w:kern w:val="0"/>
                <w:lang w:val="en-US" w:eastAsia="zh-CN"/>
              </w:rPr>
            </w:pPr>
            <w:r>
              <w:rPr>
                <w:rFonts w:hint="eastAsia" w:eastAsia="仿宋_GB2312"/>
                <w:color w:val="auto"/>
                <w:kern w:val="0"/>
                <w:lang w:val="en-US" w:eastAsia="zh-CN"/>
              </w:rPr>
              <w:t>302</w:t>
            </w:r>
          </w:p>
        </w:tc>
        <w:tc>
          <w:tcPr>
            <w:tcW w:w="314" w:type="pct"/>
            <w:vMerge w:val="continue"/>
            <w:vAlign w:val="center"/>
          </w:tcPr>
          <w:p w14:paraId="57ED976E">
            <w:pPr>
              <w:widowControl/>
              <w:jc w:val="center"/>
              <w:rPr>
                <w:rFonts w:eastAsia="仿宋_GB2312"/>
                <w:bCs/>
                <w:color w:val="FF0000"/>
                <w:kern w:val="0"/>
                <w:szCs w:val="21"/>
              </w:rPr>
            </w:pPr>
          </w:p>
        </w:tc>
      </w:tr>
      <w:tr w14:paraId="58B2B20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12" w:hRule="atLeast"/>
          <w:tblHeader/>
          <w:jc w:val="center"/>
        </w:trPr>
        <w:tc>
          <w:tcPr>
            <w:tcW w:w="604" w:type="pct"/>
            <w:vMerge w:val="continue"/>
            <w:tcMar>
              <w:top w:w="15" w:type="dxa"/>
              <w:left w:w="15" w:type="dxa"/>
              <w:bottom w:w="0" w:type="dxa"/>
              <w:right w:w="15" w:type="dxa"/>
            </w:tcMar>
            <w:vAlign w:val="center"/>
          </w:tcPr>
          <w:p w14:paraId="5C0772BB">
            <w:pPr>
              <w:widowControl/>
              <w:jc w:val="center"/>
              <w:rPr>
                <w:rFonts w:eastAsia="仿宋_GB2312"/>
                <w:color w:val="auto"/>
                <w:kern w:val="0"/>
              </w:rPr>
            </w:pPr>
          </w:p>
        </w:tc>
        <w:tc>
          <w:tcPr>
            <w:tcW w:w="277" w:type="pct"/>
            <w:vMerge w:val="continue"/>
            <w:tcMar>
              <w:top w:w="15" w:type="dxa"/>
              <w:left w:w="15" w:type="dxa"/>
              <w:bottom w:w="0" w:type="dxa"/>
              <w:right w:w="15" w:type="dxa"/>
            </w:tcMar>
            <w:vAlign w:val="center"/>
          </w:tcPr>
          <w:p w14:paraId="5E9DC79B">
            <w:pPr>
              <w:widowControl/>
              <w:jc w:val="center"/>
              <w:rPr>
                <w:rFonts w:hint="eastAsia" w:eastAsia="仿宋_GB2312"/>
                <w:color w:val="auto"/>
                <w:kern w:val="0"/>
                <w:lang w:val="en-US" w:eastAsia="zh-CN"/>
              </w:rPr>
            </w:pPr>
          </w:p>
        </w:tc>
        <w:tc>
          <w:tcPr>
            <w:tcW w:w="1421" w:type="pct"/>
            <w:gridSpan w:val="2"/>
            <w:tcMar>
              <w:top w:w="15" w:type="dxa"/>
              <w:left w:w="15" w:type="dxa"/>
              <w:bottom w:w="0" w:type="dxa"/>
              <w:right w:w="15" w:type="dxa"/>
            </w:tcMar>
            <w:vAlign w:val="center"/>
          </w:tcPr>
          <w:p w14:paraId="27B8B084">
            <w:pPr>
              <w:widowControl/>
              <w:jc w:val="center"/>
              <w:rPr>
                <w:rFonts w:hint="default" w:eastAsia="仿宋_GB2312"/>
                <w:bCs/>
                <w:color w:val="auto"/>
                <w:kern w:val="0"/>
                <w:szCs w:val="21"/>
                <w:lang w:val="en-US" w:eastAsia="zh-CN"/>
              </w:rPr>
            </w:pPr>
            <w:r>
              <w:rPr>
                <w:rFonts w:hint="eastAsia" w:eastAsia="仿宋_GB2312"/>
                <w:bCs/>
                <w:color w:val="auto"/>
                <w:kern w:val="0"/>
                <w:szCs w:val="21"/>
                <w:lang w:val="en-US" w:eastAsia="zh-CN"/>
              </w:rPr>
              <w:t>乙酸丁酯废液</w:t>
            </w:r>
          </w:p>
        </w:tc>
        <w:tc>
          <w:tcPr>
            <w:tcW w:w="385" w:type="pct"/>
            <w:tcMar>
              <w:top w:w="15" w:type="dxa"/>
              <w:left w:w="15" w:type="dxa"/>
              <w:bottom w:w="0" w:type="dxa"/>
              <w:right w:w="15" w:type="dxa"/>
            </w:tcMar>
            <w:vAlign w:val="center"/>
          </w:tcPr>
          <w:p w14:paraId="25AF7DCF">
            <w:pPr>
              <w:widowControl/>
              <w:jc w:val="center"/>
              <w:rPr>
                <w:rFonts w:hint="default" w:eastAsia="仿宋_GB2312"/>
                <w:bCs/>
                <w:color w:val="auto"/>
                <w:kern w:val="0"/>
                <w:szCs w:val="21"/>
                <w:lang w:val="en-US" w:eastAsia="zh-CN"/>
              </w:rPr>
            </w:pPr>
            <w:r>
              <w:rPr>
                <w:rFonts w:hint="eastAsia" w:eastAsia="仿宋_GB2312"/>
                <w:bCs/>
                <w:color w:val="auto"/>
                <w:kern w:val="0"/>
                <w:szCs w:val="21"/>
                <w:lang w:val="en-US" w:eastAsia="zh-CN"/>
              </w:rPr>
              <w:t>8000</w:t>
            </w:r>
          </w:p>
        </w:tc>
        <w:tc>
          <w:tcPr>
            <w:tcW w:w="466" w:type="pct"/>
            <w:shd w:val="clear" w:color="auto" w:fill="auto"/>
            <w:vAlign w:val="center"/>
          </w:tcPr>
          <w:p w14:paraId="23D55715">
            <w:pPr>
              <w:widowControl/>
              <w:jc w:val="center"/>
              <w:rPr>
                <w:rFonts w:ascii="Times New Roman" w:hAnsi="Times New Roman" w:eastAsia="仿宋_GB2312" w:cs="Times New Roman"/>
                <w:color w:val="auto"/>
                <w:kern w:val="0"/>
                <w:sz w:val="21"/>
                <w:szCs w:val="24"/>
                <w:lang w:val="en-US" w:eastAsia="zh-CN" w:bidi="ar-SA"/>
              </w:rPr>
            </w:pPr>
            <w:r>
              <w:rPr>
                <w:rFonts w:eastAsia="仿宋_GB2312"/>
                <w:color w:val="auto"/>
                <w:kern w:val="0"/>
              </w:rPr>
              <w:t>连续精馏</w:t>
            </w:r>
          </w:p>
        </w:tc>
        <w:tc>
          <w:tcPr>
            <w:tcW w:w="335" w:type="pct"/>
            <w:shd w:val="clear" w:color="auto" w:fill="auto"/>
            <w:vAlign w:val="center"/>
          </w:tcPr>
          <w:p w14:paraId="76CF2E86">
            <w:pPr>
              <w:widowControl/>
              <w:jc w:val="center"/>
              <w:rPr>
                <w:rFonts w:ascii="Times New Roman" w:hAnsi="Times New Roman" w:eastAsia="仿宋_GB2312" w:cs="Times New Roman"/>
                <w:color w:val="auto"/>
                <w:kern w:val="0"/>
                <w:sz w:val="21"/>
                <w:szCs w:val="24"/>
                <w:lang w:val="en-US" w:eastAsia="zh-CN" w:bidi="ar-SA"/>
              </w:rPr>
            </w:pPr>
            <w:r>
              <w:rPr>
                <w:rFonts w:eastAsia="仿宋_GB2312"/>
                <w:color w:val="auto"/>
                <w:kern w:val="0"/>
              </w:rPr>
              <w:t>/</w:t>
            </w:r>
          </w:p>
        </w:tc>
        <w:tc>
          <w:tcPr>
            <w:tcW w:w="448" w:type="pct"/>
            <w:shd w:val="clear" w:color="auto" w:fill="auto"/>
            <w:vAlign w:val="center"/>
          </w:tcPr>
          <w:p w14:paraId="19AE3388">
            <w:pPr>
              <w:widowControl/>
              <w:jc w:val="center"/>
              <w:rPr>
                <w:rFonts w:ascii="Times New Roman" w:hAnsi="Times New Roman" w:eastAsia="仿宋_GB2312" w:cs="Times New Roman"/>
                <w:color w:val="auto"/>
                <w:kern w:val="0"/>
                <w:sz w:val="21"/>
                <w:szCs w:val="24"/>
                <w:lang w:val="en-US" w:eastAsia="zh-CN" w:bidi="ar-SA"/>
              </w:rPr>
            </w:pPr>
            <w:r>
              <w:rPr>
                <w:rFonts w:eastAsia="仿宋_GB2312"/>
                <w:color w:val="auto"/>
                <w:kern w:val="0"/>
              </w:rPr>
              <w:t>/</w:t>
            </w:r>
          </w:p>
        </w:tc>
        <w:tc>
          <w:tcPr>
            <w:tcW w:w="392" w:type="pct"/>
            <w:shd w:val="clear" w:color="auto" w:fill="auto"/>
            <w:vAlign w:val="center"/>
          </w:tcPr>
          <w:p w14:paraId="3286761A">
            <w:pPr>
              <w:widowControl/>
              <w:jc w:val="center"/>
              <w:rPr>
                <w:rFonts w:hint="eastAsia" w:ascii="Times New Roman" w:hAnsi="Times New Roman" w:eastAsia="仿宋_GB2312" w:cs="Times New Roman"/>
                <w:color w:val="auto"/>
                <w:kern w:val="0"/>
                <w:sz w:val="21"/>
                <w:szCs w:val="24"/>
                <w:lang w:val="en-US" w:eastAsia="zh-CN" w:bidi="ar-SA"/>
              </w:rPr>
            </w:pPr>
            <w:r>
              <w:rPr>
                <w:rFonts w:hint="eastAsia" w:eastAsia="仿宋_GB2312"/>
                <w:color w:val="auto"/>
                <w:kern w:val="0"/>
                <w:lang w:val="en-US" w:eastAsia="zh-CN"/>
              </w:rPr>
              <w:t>2</w:t>
            </w:r>
          </w:p>
        </w:tc>
        <w:tc>
          <w:tcPr>
            <w:tcW w:w="355" w:type="pct"/>
            <w:vAlign w:val="center"/>
          </w:tcPr>
          <w:p w14:paraId="42374885">
            <w:pPr>
              <w:widowControl/>
              <w:jc w:val="center"/>
              <w:rPr>
                <w:rFonts w:hint="eastAsia" w:eastAsia="仿宋_GB2312"/>
                <w:color w:val="auto"/>
                <w:kern w:val="0"/>
                <w:lang w:val="en-US" w:eastAsia="zh-CN"/>
              </w:rPr>
            </w:pPr>
            <w:r>
              <w:rPr>
                <w:rFonts w:hint="eastAsia" w:eastAsia="仿宋_GB2312"/>
                <w:color w:val="auto"/>
                <w:kern w:val="0"/>
                <w:lang w:val="en-US" w:eastAsia="zh-CN"/>
              </w:rPr>
              <w:t>461</w:t>
            </w:r>
          </w:p>
        </w:tc>
        <w:tc>
          <w:tcPr>
            <w:tcW w:w="314" w:type="pct"/>
            <w:vMerge w:val="continue"/>
            <w:vAlign w:val="center"/>
          </w:tcPr>
          <w:p w14:paraId="08183ADF">
            <w:pPr>
              <w:widowControl/>
              <w:jc w:val="center"/>
              <w:rPr>
                <w:rFonts w:eastAsia="仿宋_GB2312"/>
                <w:bCs/>
                <w:color w:val="FF0000"/>
                <w:kern w:val="0"/>
                <w:szCs w:val="21"/>
              </w:rPr>
            </w:pPr>
          </w:p>
        </w:tc>
      </w:tr>
      <w:tr w14:paraId="39D89A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12" w:hRule="atLeast"/>
          <w:tblHeader/>
          <w:jc w:val="center"/>
        </w:trPr>
        <w:tc>
          <w:tcPr>
            <w:tcW w:w="604" w:type="pct"/>
            <w:vMerge w:val="continue"/>
            <w:tcMar>
              <w:top w:w="15" w:type="dxa"/>
              <w:left w:w="15" w:type="dxa"/>
              <w:bottom w:w="0" w:type="dxa"/>
              <w:right w:w="15" w:type="dxa"/>
            </w:tcMar>
            <w:vAlign w:val="center"/>
          </w:tcPr>
          <w:p w14:paraId="44CC7F0C">
            <w:pPr>
              <w:widowControl/>
              <w:jc w:val="center"/>
              <w:rPr>
                <w:rFonts w:eastAsia="仿宋_GB2312"/>
                <w:color w:val="auto"/>
                <w:kern w:val="0"/>
              </w:rPr>
            </w:pPr>
          </w:p>
        </w:tc>
        <w:tc>
          <w:tcPr>
            <w:tcW w:w="277" w:type="pct"/>
            <w:vMerge w:val="continue"/>
            <w:tcMar>
              <w:top w:w="15" w:type="dxa"/>
              <w:left w:w="15" w:type="dxa"/>
              <w:bottom w:w="0" w:type="dxa"/>
              <w:right w:w="15" w:type="dxa"/>
            </w:tcMar>
            <w:vAlign w:val="center"/>
          </w:tcPr>
          <w:p w14:paraId="7321DED9">
            <w:pPr>
              <w:widowControl/>
              <w:jc w:val="center"/>
              <w:rPr>
                <w:rFonts w:hint="eastAsia" w:eastAsia="仿宋_GB2312"/>
                <w:color w:val="auto"/>
                <w:kern w:val="0"/>
                <w:lang w:val="en-US" w:eastAsia="zh-CN"/>
              </w:rPr>
            </w:pPr>
          </w:p>
        </w:tc>
        <w:tc>
          <w:tcPr>
            <w:tcW w:w="1421" w:type="pct"/>
            <w:gridSpan w:val="2"/>
            <w:tcMar>
              <w:top w:w="15" w:type="dxa"/>
              <w:left w:w="15" w:type="dxa"/>
              <w:bottom w:w="0" w:type="dxa"/>
              <w:right w:w="15" w:type="dxa"/>
            </w:tcMar>
            <w:vAlign w:val="center"/>
          </w:tcPr>
          <w:p w14:paraId="0A41E6E4">
            <w:pPr>
              <w:widowControl/>
              <w:jc w:val="center"/>
              <w:rPr>
                <w:rFonts w:hint="default" w:eastAsia="仿宋_GB2312"/>
                <w:bCs/>
                <w:color w:val="auto"/>
                <w:kern w:val="0"/>
                <w:szCs w:val="21"/>
                <w:lang w:val="en-US" w:eastAsia="zh-CN"/>
              </w:rPr>
            </w:pPr>
            <w:r>
              <w:rPr>
                <w:rFonts w:hint="eastAsia" w:eastAsia="仿宋_GB2312"/>
                <w:bCs/>
                <w:color w:val="auto"/>
                <w:kern w:val="0"/>
                <w:szCs w:val="21"/>
                <w:lang w:val="en-US" w:eastAsia="zh-CN"/>
              </w:rPr>
              <w:t>乙醇废液</w:t>
            </w:r>
          </w:p>
        </w:tc>
        <w:tc>
          <w:tcPr>
            <w:tcW w:w="385" w:type="pct"/>
            <w:tcMar>
              <w:top w:w="15" w:type="dxa"/>
              <w:left w:w="15" w:type="dxa"/>
              <w:bottom w:w="0" w:type="dxa"/>
              <w:right w:w="15" w:type="dxa"/>
            </w:tcMar>
            <w:vAlign w:val="center"/>
          </w:tcPr>
          <w:p w14:paraId="5F98FE5E">
            <w:pPr>
              <w:widowControl/>
              <w:jc w:val="center"/>
              <w:rPr>
                <w:rFonts w:hint="default" w:eastAsia="仿宋_GB2312"/>
                <w:bCs/>
                <w:color w:val="auto"/>
                <w:kern w:val="0"/>
                <w:szCs w:val="21"/>
                <w:lang w:val="en-US" w:eastAsia="zh-CN"/>
              </w:rPr>
            </w:pPr>
            <w:r>
              <w:rPr>
                <w:rFonts w:hint="eastAsia" w:eastAsia="仿宋_GB2312"/>
                <w:bCs/>
                <w:color w:val="auto"/>
                <w:kern w:val="0"/>
                <w:szCs w:val="21"/>
                <w:lang w:val="en-US" w:eastAsia="zh-CN"/>
              </w:rPr>
              <w:t>25310</w:t>
            </w:r>
          </w:p>
        </w:tc>
        <w:tc>
          <w:tcPr>
            <w:tcW w:w="466" w:type="pct"/>
            <w:shd w:val="clear" w:color="auto" w:fill="auto"/>
            <w:vAlign w:val="center"/>
          </w:tcPr>
          <w:p w14:paraId="16C81B15">
            <w:pPr>
              <w:widowControl/>
              <w:jc w:val="center"/>
              <w:rPr>
                <w:rFonts w:ascii="Times New Roman" w:hAnsi="Times New Roman" w:eastAsia="仿宋_GB2312" w:cs="Times New Roman"/>
                <w:color w:val="auto"/>
                <w:kern w:val="0"/>
                <w:sz w:val="21"/>
                <w:szCs w:val="24"/>
                <w:lang w:val="en-US" w:eastAsia="zh-CN" w:bidi="ar-SA"/>
              </w:rPr>
            </w:pPr>
            <w:r>
              <w:rPr>
                <w:rFonts w:eastAsia="仿宋_GB2312"/>
                <w:color w:val="auto"/>
                <w:kern w:val="0"/>
              </w:rPr>
              <w:t>连续精馏</w:t>
            </w:r>
          </w:p>
        </w:tc>
        <w:tc>
          <w:tcPr>
            <w:tcW w:w="335" w:type="pct"/>
            <w:shd w:val="clear" w:color="auto" w:fill="auto"/>
            <w:vAlign w:val="center"/>
          </w:tcPr>
          <w:p w14:paraId="7AEB3860">
            <w:pPr>
              <w:widowControl/>
              <w:jc w:val="center"/>
              <w:rPr>
                <w:rFonts w:ascii="Times New Roman" w:hAnsi="Times New Roman" w:eastAsia="仿宋_GB2312" w:cs="Times New Roman"/>
                <w:color w:val="auto"/>
                <w:kern w:val="0"/>
                <w:sz w:val="21"/>
                <w:szCs w:val="24"/>
                <w:lang w:val="en-US" w:eastAsia="zh-CN" w:bidi="ar-SA"/>
              </w:rPr>
            </w:pPr>
            <w:r>
              <w:rPr>
                <w:rFonts w:eastAsia="仿宋_GB2312"/>
                <w:color w:val="auto"/>
                <w:kern w:val="0"/>
              </w:rPr>
              <w:t>/</w:t>
            </w:r>
          </w:p>
        </w:tc>
        <w:tc>
          <w:tcPr>
            <w:tcW w:w="448" w:type="pct"/>
            <w:shd w:val="clear" w:color="auto" w:fill="auto"/>
            <w:vAlign w:val="center"/>
          </w:tcPr>
          <w:p w14:paraId="5CF4F5F6">
            <w:pPr>
              <w:widowControl/>
              <w:jc w:val="center"/>
              <w:rPr>
                <w:rFonts w:ascii="Times New Roman" w:hAnsi="Times New Roman" w:eastAsia="仿宋_GB2312" w:cs="Times New Roman"/>
                <w:color w:val="auto"/>
                <w:kern w:val="0"/>
                <w:sz w:val="21"/>
                <w:szCs w:val="24"/>
                <w:lang w:val="en-US" w:eastAsia="zh-CN" w:bidi="ar-SA"/>
              </w:rPr>
            </w:pPr>
            <w:r>
              <w:rPr>
                <w:rFonts w:eastAsia="仿宋_GB2312"/>
                <w:color w:val="auto"/>
                <w:kern w:val="0"/>
              </w:rPr>
              <w:t>/</w:t>
            </w:r>
          </w:p>
        </w:tc>
        <w:tc>
          <w:tcPr>
            <w:tcW w:w="392" w:type="pct"/>
            <w:shd w:val="clear" w:color="auto" w:fill="auto"/>
            <w:vAlign w:val="center"/>
          </w:tcPr>
          <w:p w14:paraId="57746F0B">
            <w:pPr>
              <w:widowControl/>
              <w:jc w:val="center"/>
              <w:rPr>
                <w:rFonts w:hint="eastAsia" w:ascii="Times New Roman" w:hAnsi="Times New Roman" w:eastAsia="仿宋_GB2312" w:cs="Times New Roman"/>
                <w:color w:val="auto"/>
                <w:kern w:val="0"/>
                <w:sz w:val="21"/>
                <w:szCs w:val="24"/>
                <w:lang w:val="en-US" w:eastAsia="zh-CN" w:bidi="ar-SA"/>
              </w:rPr>
            </w:pPr>
            <w:r>
              <w:rPr>
                <w:rFonts w:hint="eastAsia" w:eastAsia="仿宋_GB2312"/>
                <w:color w:val="auto"/>
                <w:kern w:val="0"/>
                <w:lang w:val="en-US" w:eastAsia="zh-CN"/>
              </w:rPr>
              <w:t>2</w:t>
            </w:r>
          </w:p>
        </w:tc>
        <w:tc>
          <w:tcPr>
            <w:tcW w:w="355" w:type="pct"/>
            <w:vAlign w:val="center"/>
          </w:tcPr>
          <w:p w14:paraId="14BA37FD">
            <w:pPr>
              <w:widowControl/>
              <w:jc w:val="center"/>
              <w:rPr>
                <w:rFonts w:hint="eastAsia" w:eastAsia="仿宋_GB2312"/>
                <w:color w:val="auto"/>
                <w:kern w:val="0"/>
                <w:lang w:val="en-US" w:eastAsia="zh-CN"/>
              </w:rPr>
            </w:pPr>
            <w:r>
              <w:rPr>
                <w:rFonts w:hint="eastAsia" w:eastAsia="仿宋_GB2312"/>
                <w:color w:val="auto"/>
                <w:kern w:val="0"/>
                <w:lang w:val="en-US" w:eastAsia="zh-CN"/>
              </w:rPr>
              <w:t>1305</w:t>
            </w:r>
          </w:p>
        </w:tc>
        <w:tc>
          <w:tcPr>
            <w:tcW w:w="314" w:type="pct"/>
            <w:vMerge w:val="continue"/>
            <w:vAlign w:val="center"/>
          </w:tcPr>
          <w:p w14:paraId="7DB5A204">
            <w:pPr>
              <w:widowControl/>
              <w:jc w:val="center"/>
              <w:rPr>
                <w:rFonts w:eastAsia="仿宋_GB2312"/>
                <w:bCs/>
                <w:color w:val="FF0000"/>
                <w:kern w:val="0"/>
                <w:szCs w:val="21"/>
              </w:rPr>
            </w:pPr>
          </w:p>
        </w:tc>
      </w:tr>
      <w:tr w14:paraId="19C77F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12" w:hRule="atLeast"/>
          <w:tblHeader/>
          <w:jc w:val="center"/>
        </w:trPr>
        <w:tc>
          <w:tcPr>
            <w:tcW w:w="604" w:type="pct"/>
            <w:vMerge w:val="continue"/>
            <w:tcMar>
              <w:top w:w="15" w:type="dxa"/>
              <w:left w:w="15" w:type="dxa"/>
              <w:bottom w:w="0" w:type="dxa"/>
              <w:right w:w="15" w:type="dxa"/>
            </w:tcMar>
            <w:vAlign w:val="center"/>
          </w:tcPr>
          <w:p w14:paraId="7EE26F6B">
            <w:pPr>
              <w:widowControl/>
              <w:jc w:val="center"/>
              <w:rPr>
                <w:rFonts w:eastAsia="仿宋_GB2312"/>
                <w:color w:val="auto"/>
                <w:kern w:val="0"/>
              </w:rPr>
            </w:pPr>
          </w:p>
        </w:tc>
        <w:tc>
          <w:tcPr>
            <w:tcW w:w="277" w:type="pct"/>
            <w:vMerge w:val="continue"/>
            <w:tcMar>
              <w:top w:w="15" w:type="dxa"/>
              <w:left w:w="15" w:type="dxa"/>
              <w:bottom w:w="0" w:type="dxa"/>
              <w:right w:w="15" w:type="dxa"/>
            </w:tcMar>
            <w:vAlign w:val="center"/>
          </w:tcPr>
          <w:p w14:paraId="47EF5C24">
            <w:pPr>
              <w:widowControl/>
              <w:jc w:val="center"/>
              <w:rPr>
                <w:rFonts w:hint="eastAsia" w:eastAsia="仿宋_GB2312"/>
                <w:color w:val="auto"/>
                <w:kern w:val="0"/>
                <w:lang w:val="en-US" w:eastAsia="zh-CN"/>
              </w:rPr>
            </w:pPr>
          </w:p>
        </w:tc>
        <w:tc>
          <w:tcPr>
            <w:tcW w:w="1421" w:type="pct"/>
            <w:gridSpan w:val="2"/>
            <w:tcMar>
              <w:top w:w="15" w:type="dxa"/>
              <w:left w:w="15" w:type="dxa"/>
              <w:bottom w:w="0" w:type="dxa"/>
              <w:right w:w="15" w:type="dxa"/>
            </w:tcMar>
            <w:vAlign w:val="center"/>
          </w:tcPr>
          <w:p w14:paraId="7D7A3F0B">
            <w:pPr>
              <w:widowControl/>
              <w:jc w:val="center"/>
              <w:rPr>
                <w:rFonts w:hint="eastAsia" w:eastAsia="仿宋_GB2312"/>
                <w:bCs/>
                <w:color w:val="auto"/>
                <w:kern w:val="0"/>
                <w:szCs w:val="21"/>
                <w:lang w:val="en-US" w:eastAsia="zh-CN"/>
              </w:rPr>
            </w:pPr>
            <w:r>
              <w:rPr>
                <w:rFonts w:eastAsia="仿宋_GB2312"/>
                <w:bCs/>
                <w:color w:val="auto"/>
                <w:kern w:val="0"/>
                <w:szCs w:val="21"/>
              </w:rPr>
              <w:t>丙二醇单甲醚废液</w:t>
            </w:r>
          </w:p>
        </w:tc>
        <w:tc>
          <w:tcPr>
            <w:tcW w:w="385" w:type="pct"/>
            <w:tcMar>
              <w:top w:w="15" w:type="dxa"/>
              <w:left w:w="15" w:type="dxa"/>
              <w:bottom w:w="0" w:type="dxa"/>
              <w:right w:w="15" w:type="dxa"/>
            </w:tcMar>
            <w:vAlign w:val="center"/>
          </w:tcPr>
          <w:p w14:paraId="7A9AF543">
            <w:pPr>
              <w:widowControl/>
              <w:jc w:val="center"/>
              <w:rPr>
                <w:rFonts w:hint="default" w:eastAsia="仿宋_GB2312"/>
                <w:bCs/>
                <w:color w:val="auto"/>
                <w:kern w:val="0"/>
                <w:szCs w:val="21"/>
                <w:lang w:val="en-US" w:eastAsia="zh-CN"/>
              </w:rPr>
            </w:pPr>
            <w:r>
              <w:rPr>
                <w:rFonts w:hint="eastAsia" w:eastAsia="仿宋_GB2312"/>
                <w:bCs/>
                <w:color w:val="auto"/>
                <w:kern w:val="0"/>
                <w:szCs w:val="21"/>
                <w:lang w:val="en-US" w:eastAsia="zh-CN"/>
              </w:rPr>
              <w:t>2650</w:t>
            </w:r>
          </w:p>
        </w:tc>
        <w:tc>
          <w:tcPr>
            <w:tcW w:w="466" w:type="pct"/>
            <w:shd w:val="clear" w:color="auto" w:fill="auto"/>
            <w:vAlign w:val="center"/>
          </w:tcPr>
          <w:p w14:paraId="2EC9F388">
            <w:pPr>
              <w:widowControl/>
              <w:jc w:val="center"/>
              <w:rPr>
                <w:rFonts w:ascii="Times New Roman" w:hAnsi="Times New Roman" w:eastAsia="仿宋_GB2312" w:cs="Times New Roman"/>
                <w:color w:val="auto"/>
                <w:kern w:val="0"/>
                <w:sz w:val="21"/>
                <w:szCs w:val="24"/>
                <w:lang w:val="en-US" w:eastAsia="zh-CN" w:bidi="ar-SA"/>
              </w:rPr>
            </w:pPr>
            <w:r>
              <w:rPr>
                <w:rFonts w:eastAsia="仿宋_GB2312"/>
                <w:color w:val="auto"/>
                <w:kern w:val="0"/>
              </w:rPr>
              <w:t>连续精馏</w:t>
            </w:r>
          </w:p>
        </w:tc>
        <w:tc>
          <w:tcPr>
            <w:tcW w:w="335" w:type="pct"/>
            <w:shd w:val="clear" w:color="auto" w:fill="auto"/>
            <w:vAlign w:val="center"/>
          </w:tcPr>
          <w:p w14:paraId="455DEB9B">
            <w:pPr>
              <w:widowControl/>
              <w:jc w:val="center"/>
              <w:rPr>
                <w:rFonts w:ascii="Times New Roman" w:hAnsi="Times New Roman" w:eastAsia="仿宋_GB2312" w:cs="Times New Roman"/>
                <w:color w:val="auto"/>
                <w:kern w:val="0"/>
                <w:sz w:val="21"/>
                <w:szCs w:val="24"/>
                <w:lang w:val="en-US" w:eastAsia="zh-CN" w:bidi="ar-SA"/>
              </w:rPr>
            </w:pPr>
            <w:r>
              <w:rPr>
                <w:rFonts w:eastAsia="仿宋_GB2312"/>
                <w:color w:val="auto"/>
                <w:kern w:val="0"/>
              </w:rPr>
              <w:t>/</w:t>
            </w:r>
          </w:p>
        </w:tc>
        <w:tc>
          <w:tcPr>
            <w:tcW w:w="448" w:type="pct"/>
            <w:shd w:val="clear" w:color="auto" w:fill="auto"/>
            <w:vAlign w:val="center"/>
          </w:tcPr>
          <w:p w14:paraId="692C96C6">
            <w:pPr>
              <w:widowControl/>
              <w:jc w:val="center"/>
              <w:rPr>
                <w:rFonts w:ascii="Times New Roman" w:hAnsi="Times New Roman" w:eastAsia="仿宋_GB2312" w:cs="Times New Roman"/>
                <w:color w:val="auto"/>
                <w:kern w:val="0"/>
                <w:sz w:val="21"/>
                <w:szCs w:val="24"/>
                <w:lang w:val="en-US" w:eastAsia="zh-CN" w:bidi="ar-SA"/>
              </w:rPr>
            </w:pPr>
            <w:r>
              <w:rPr>
                <w:rFonts w:eastAsia="仿宋_GB2312"/>
                <w:color w:val="auto"/>
                <w:kern w:val="0"/>
              </w:rPr>
              <w:t>/</w:t>
            </w:r>
          </w:p>
        </w:tc>
        <w:tc>
          <w:tcPr>
            <w:tcW w:w="392" w:type="pct"/>
            <w:shd w:val="clear" w:color="auto" w:fill="auto"/>
            <w:vAlign w:val="center"/>
          </w:tcPr>
          <w:p w14:paraId="677D5433">
            <w:pPr>
              <w:widowControl/>
              <w:jc w:val="center"/>
              <w:rPr>
                <w:rFonts w:hint="eastAsia" w:ascii="Times New Roman" w:hAnsi="Times New Roman" w:eastAsia="仿宋_GB2312" w:cs="Times New Roman"/>
                <w:color w:val="auto"/>
                <w:kern w:val="0"/>
                <w:sz w:val="21"/>
                <w:szCs w:val="24"/>
                <w:lang w:val="en-US" w:eastAsia="zh-CN" w:bidi="ar-SA"/>
              </w:rPr>
            </w:pPr>
            <w:r>
              <w:rPr>
                <w:rFonts w:hint="eastAsia" w:eastAsia="仿宋_GB2312"/>
                <w:color w:val="auto"/>
                <w:kern w:val="0"/>
                <w:lang w:val="en-US" w:eastAsia="zh-CN"/>
              </w:rPr>
              <w:t>2</w:t>
            </w:r>
          </w:p>
        </w:tc>
        <w:tc>
          <w:tcPr>
            <w:tcW w:w="355" w:type="pct"/>
            <w:vAlign w:val="center"/>
          </w:tcPr>
          <w:p w14:paraId="4C3F98DD">
            <w:pPr>
              <w:widowControl/>
              <w:jc w:val="center"/>
              <w:rPr>
                <w:rFonts w:hint="eastAsia" w:eastAsia="仿宋_GB2312"/>
                <w:color w:val="auto"/>
                <w:kern w:val="0"/>
                <w:lang w:val="en-US" w:eastAsia="zh-CN"/>
              </w:rPr>
            </w:pPr>
            <w:r>
              <w:rPr>
                <w:rFonts w:hint="eastAsia" w:eastAsia="仿宋_GB2312"/>
                <w:color w:val="auto"/>
                <w:kern w:val="0"/>
                <w:lang w:val="en-US" w:eastAsia="zh-CN"/>
              </w:rPr>
              <w:t>168</w:t>
            </w:r>
          </w:p>
        </w:tc>
        <w:tc>
          <w:tcPr>
            <w:tcW w:w="314" w:type="pct"/>
            <w:vMerge w:val="continue"/>
            <w:vAlign w:val="center"/>
          </w:tcPr>
          <w:p w14:paraId="5C811E8C">
            <w:pPr>
              <w:widowControl/>
              <w:jc w:val="center"/>
              <w:rPr>
                <w:rFonts w:eastAsia="仿宋_GB2312"/>
                <w:bCs/>
                <w:color w:val="FF0000"/>
                <w:kern w:val="0"/>
                <w:szCs w:val="21"/>
              </w:rPr>
            </w:pPr>
          </w:p>
        </w:tc>
      </w:tr>
      <w:tr w14:paraId="2303A4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12" w:hRule="atLeast"/>
          <w:tblHeader/>
          <w:jc w:val="center"/>
        </w:trPr>
        <w:tc>
          <w:tcPr>
            <w:tcW w:w="604" w:type="pct"/>
            <w:vMerge w:val="continue"/>
            <w:tcMar>
              <w:top w:w="15" w:type="dxa"/>
              <w:left w:w="15" w:type="dxa"/>
              <w:bottom w:w="0" w:type="dxa"/>
              <w:right w:w="15" w:type="dxa"/>
            </w:tcMar>
            <w:vAlign w:val="center"/>
          </w:tcPr>
          <w:p w14:paraId="424A6E36">
            <w:pPr>
              <w:widowControl/>
              <w:jc w:val="center"/>
              <w:rPr>
                <w:rFonts w:eastAsia="仿宋_GB2312"/>
                <w:color w:val="auto"/>
                <w:kern w:val="0"/>
              </w:rPr>
            </w:pPr>
          </w:p>
        </w:tc>
        <w:tc>
          <w:tcPr>
            <w:tcW w:w="277" w:type="pct"/>
            <w:vMerge w:val="continue"/>
            <w:tcMar>
              <w:top w:w="15" w:type="dxa"/>
              <w:left w:w="15" w:type="dxa"/>
              <w:bottom w:w="0" w:type="dxa"/>
              <w:right w:w="15" w:type="dxa"/>
            </w:tcMar>
            <w:vAlign w:val="center"/>
          </w:tcPr>
          <w:p w14:paraId="003F6023">
            <w:pPr>
              <w:widowControl/>
              <w:jc w:val="center"/>
              <w:rPr>
                <w:rFonts w:hint="eastAsia" w:eastAsia="仿宋_GB2312"/>
                <w:color w:val="auto"/>
                <w:kern w:val="0"/>
                <w:lang w:val="en-US" w:eastAsia="zh-CN"/>
              </w:rPr>
            </w:pPr>
          </w:p>
        </w:tc>
        <w:tc>
          <w:tcPr>
            <w:tcW w:w="1421" w:type="pct"/>
            <w:gridSpan w:val="2"/>
            <w:tcMar>
              <w:top w:w="15" w:type="dxa"/>
              <w:left w:w="15" w:type="dxa"/>
              <w:bottom w:w="0" w:type="dxa"/>
              <w:right w:w="15" w:type="dxa"/>
            </w:tcMar>
            <w:vAlign w:val="center"/>
          </w:tcPr>
          <w:p w14:paraId="517EFC0C">
            <w:pPr>
              <w:widowControl/>
              <w:jc w:val="center"/>
              <w:rPr>
                <w:rFonts w:hint="eastAsia" w:eastAsia="仿宋_GB2312"/>
                <w:bCs/>
                <w:color w:val="auto"/>
                <w:kern w:val="0"/>
                <w:szCs w:val="21"/>
                <w:lang w:val="en-US" w:eastAsia="zh-CN"/>
              </w:rPr>
            </w:pPr>
            <w:r>
              <w:rPr>
                <w:rFonts w:eastAsia="仿宋_GB2312"/>
                <w:bCs/>
                <w:color w:val="auto"/>
                <w:kern w:val="0"/>
                <w:szCs w:val="21"/>
              </w:rPr>
              <w:t>甲醇废液</w:t>
            </w:r>
          </w:p>
        </w:tc>
        <w:tc>
          <w:tcPr>
            <w:tcW w:w="385" w:type="pct"/>
            <w:tcMar>
              <w:top w:w="15" w:type="dxa"/>
              <w:left w:w="15" w:type="dxa"/>
              <w:bottom w:w="0" w:type="dxa"/>
              <w:right w:w="15" w:type="dxa"/>
            </w:tcMar>
            <w:vAlign w:val="center"/>
          </w:tcPr>
          <w:p w14:paraId="2B071FBC">
            <w:pPr>
              <w:widowControl/>
              <w:jc w:val="center"/>
              <w:rPr>
                <w:rFonts w:hint="default" w:eastAsia="仿宋_GB2312"/>
                <w:bCs/>
                <w:color w:val="auto"/>
                <w:kern w:val="0"/>
                <w:szCs w:val="21"/>
                <w:lang w:val="en-US" w:eastAsia="zh-CN"/>
              </w:rPr>
            </w:pPr>
            <w:r>
              <w:rPr>
                <w:rFonts w:hint="eastAsia" w:eastAsia="仿宋_GB2312"/>
                <w:bCs/>
                <w:color w:val="auto"/>
                <w:kern w:val="0"/>
                <w:szCs w:val="21"/>
                <w:lang w:val="en-US" w:eastAsia="zh-CN"/>
              </w:rPr>
              <w:t>34000</w:t>
            </w:r>
          </w:p>
        </w:tc>
        <w:tc>
          <w:tcPr>
            <w:tcW w:w="466" w:type="pct"/>
            <w:shd w:val="clear" w:color="auto" w:fill="auto"/>
            <w:vAlign w:val="center"/>
          </w:tcPr>
          <w:p w14:paraId="16677DDE">
            <w:pPr>
              <w:widowControl/>
              <w:jc w:val="center"/>
              <w:rPr>
                <w:rFonts w:ascii="Times New Roman" w:hAnsi="Times New Roman" w:eastAsia="仿宋_GB2312" w:cs="Times New Roman"/>
                <w:color w:val="auto"/>
                <w:kern w:val="0"/>
                <w:sz w:val="21"/>
                <w:szCs w:val="24"/>
                <w:lang w:val="en-US" w:eastAsia="zh-CN" w:bidi="ar-SA"/>
              </w:rPr>
            </w:pPr>
            <w:r>
              <w:rPr>
                <w:rFonts w:eastAsia="仿宋_GB2312"/>
                <w:color w:val="auto"/>
                <w:kern w:val="0"/>
              </w:rPr>
              <w:t>连续精馏</w:t>
            </w:r>
          </w:p>
        </w:tc>
        <w:tc>
          <w:tcPr>
            <w:tcW w:w="335" w:type="pct"/>
            <w:shd w:val="clear" w:color="auto" w:fill="auto"/>
            <w:vAlign w:val="center"/>
          </w:tcPr>
          <w:p w14:paraId="70A241AC">
            <w:pPr>
              <w:widowControl/>
              <w:jc w:val="center"/>
              <w:rPr>
                <w:rFonts w:ascii="Times New Roman" w:hAnsi="Times New Roman" w:eastAsia="仿宋_GB2312" w:cs="Times New Roman"/>
                <w:color w:val="auto"/>
                <w:kern w:val="0"/>
                <w:sz w:val="21"/>
                <w:szCs w:val="24"/>
                <w:lang w:val="en-US" w:eastAsia="zh-CN" w:bidi="ar-SA"/>
              </w:rPr>
            </w:pPr>
            <w:r>
              <w:rPr>
                <w:rFonts w:eastAsia="仿宋_GB2312"/>
                <w:color w:val="auto"/>
                <w:kern w:val="0"/>
              </w:rPr>
              <w:t>/</w:t>
            </w:r>
          </w:p>
        </w:tc>
        <w:tc>
          <w:tcPr>
            <w:tcW w:w="448" w:type="pct"/>
            <w:shd w:val="clear" w:color="auto" w:fill="auto"/>
            <w:vAlign w:val="center"/>
          </w:tcPr>
          <w:p w14:paraId="4E67C5F5">
            <w:pPr>
              <w:widowControl/>
              <w:jc w:val="center"/>
              <w:rPr>
                <w:rFonts w:ascii="Times New Roman" w:hAnsi="Times New Roman" w:eastAsia="仿宋_GB2312" w:cs="Times New Roman"/>
                <w:color w:val="auto"/>
                <w:kern w:val="0"/>
                <w:sz w:val="21"/>
                <w:szCs w:val="24"/>
                <w:lang w:val="en-US" w:eastAsia="zh-CN" w:bidi="ar-SA"/>
              </w:rPr>
            </w:pPr>
            <w:r>
              <w:rPr>
                <w:rFonts w:eastAsia="仿宋_GB2312"/>
                <w:color w:val="auto"/>
                <w:kern w:val="0"/>
              </w:rPr>
              <w:t>/</w:t>
            </w:r>
          </w:p>
        </w:tc>
        <w:tc>
          <w:tcPr>
            <w:tcW w:w="392" w:type="pct"/>
            <w:shd w:val="clear" w:color="auto" w:fill="auto"/>
            <w:vAlign w:val="center"/>
          </w:tcPr>
          <w:p w14:paraId="5C075F40">
            <w:pPr>
              <w:widowControl/>
              <w:jc w:val="center"/>
              <w:rPr>
                <w:rFonts w:hint="eastAsia" w:ascii="Times New Roman" w:hAnsi="Times New Roman" w:eastAsia="仿宋_GB2312" w:cs="Times New Roman"/>
                <w:color w:val="auto"/>
                <w:kern w:val="0"/>
                <w:sz w:val="21"/>
                <w:szCs w:val="24"/>
                <w:lang w:val="en-US" w:eastAsia="zh-CN" w:bidi="ar-SA"/>
              </w:rPr>
            </w:pPr>
            <w:r>
              <w:rPr>
                <w:rFonts w:hint="eastAsia" w:eastAsia="仿宋_GB2312"/>
                <w:color w:val="auto"/>
                <w:kern w:val="0"/>
                <w:lang w:val="en-US" w:eastAsia="zh-CN"/>
              </w:rPr>
              <w:t>2</w:t>
            </w:r>
          </w:p>
        </w:tc>
        <w:tc>
          <w:tcPr>
            <w:tcW w:w="355" w:type="pct"/>
            <w:vAlign w:val="center"/>
          </w:tcPr>
          <w:p w14:paraId="3B9A9CDA">
            <w:pPr>
              <w:widowControl/>
              <w:jc w:val="center"/>
              <w:rPr>
                <w:rFonts w:hint="eastAsia" w:eastAsia="仿宋_GB2312"/>
                <w:color w:val="auto"/>
                <w:kern w:val="0"/>
                <w:lang w:val="en-US" w:eastAsia="zh-CN"/>
              </w:rPr>
            </w:pPr>
            <w:r>
              <w:rPr>
                <w:rFonts w:hint="eastAsia" w:eastAsia="仿宋_GB2312"/>
                <w:color w:val="auto"/>
                <w:kern w:val="0"/>
                <w:lang w:val="en-US" w:eastAsia="zh-CN"/>
              </w:rPr>
              <w:t>1785</w:t>
            </w:r>
          </w:p>
        </w:tc>
        <w:tc>
          <w:tcPr>
            <w:tcW w:w="314" w:type="pct"/>
            <w:vMerge w:val="continue"/>
            <w:vAlign w:val="center"/>
          </w:tcPr>
          <w:p w14:paraId="09D7D60A">
            <w:pPr>
              <w:widowControl/>
              <w:jc w:val="center"/>
              <w:rPr>
                <w:rFonts w:eastAsia="仿宋_GB2312"/>
                <w:bCs/>
                <w:color w:val="FF0000"/>
                <w:kern w:val="0"/>
                <w:szCs w:val="21"/>
              </w:rPr>
            </w:pPr>
          </w:p>
        </w:tc>
      </w:tr>
      <w:tr w14:paraId="38B473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12" w:hRule="atLeast"/>
          <w:tblHeader/>
          <w:jc w:val="center"/>
        </w:trPr>
        <w:tc>
          <w:tcPr>
            <w:tcW w:w="604" w:type="pct"/>
            <w:vMerge w:val="continue"/>
            <w:tcMar>
              <w:top w:w="15" w:type="dxa"/>
              <w:left w:w="15" w:type="dxa"/>
              <w:bottom w:w="0" w:type="dxa"/>
              <w:right w:w="15" w:type="dxa"/>
            </w:tcMar>
            <w:vAlign w:val="center"/>
          </w:tcPr>
          <w:p w14:paraId="1AD56AA9">
            <w:pPr>
              <w:widowControl/>
              <w:jc w:val="center"/>
              <w:rPr>
                <w:rFonts w:eastAsia="仿宋_GB2312"/>
                <w:color w:val="auto"/>
                <w:kern w:val="0"/>
              </w:rPr>
            </w:pPr>
          </w:p>
        </w:tc>
        <w:tc>
          <w:tcPr>
            <w:tcW w:w="277" w:type="pct"/>
            <w:vMerge w:val="continue"/>
            <w:tcMar>
              <w:top w:w="15" w:type="dxa"/>
              <w:left w:w="15" w:type="dxa"/>
              <w:bottom w:w="0" w:type="dxa"/>
              <w:right w:w="15" w:type="dxa"/>
            </w:tcMar>
            <w:vAlign w:val="center"/>
          </w:tcPr>
          <w:p w14:paraId="3136810A">
            <w:pPr>
              <w:widowControl/>
              <w:jc w:val="center"/>
              <w:rPr>
                <w:rFonts w:hint="eastAsia" w:eastAsia="仿宋_GB2312"/>
                <w:color w:val="auto"/>
                <w:kern w:val="0"/>
                <w:lang w:val="en-US" w:eastAsia="zh-CN"/>
              </w:rPr>
            </w:pPr>
          </w:p>
        </w:tc>
        <w:tc>
          <w:tcPr>
            <w:tcW w:w="1421" w:type="pct"/>
            <w:gridSpan w:val="2"/>
            <w:tcMar>
              <w:top w:w="15" w:type="dxa"/>
              <w:left w:w="15" w:type="dxa"/>
              <w:bottom w:w="0" w:type="dxa"/>
              <w:right w:w="15" w:type="dxa"/>
            </w:tcMar>
            <w:vAlign w:val="center"/>
          </w:tcPr>
          <w:p w14:paraId="00914AA6">
            <w:pPr>
              <w:widowControl/>
              <w:jc w:val="center"/>
              <w:rPr>
                <w:rFonts w:hint="eastAsia" w:eastAsia="仿宋_GB2312"/>
                <w:bCs/>
                <w:color w:val="auto"/>
                <w:kern w:val="0"/>
                <w:szCs w:val="21"/>
                <w:lang w:val="en-US" w:eastAsia="zh-CN"/>
              </w:rPr>
            </w:pPr>
            <w:r>
              <w:rPr>
                <w:rFonts w:eastAsia="仿宋_GB2312"/>
                <w:bCs/>
                <w:color w:val="auto"/>
                <w:kern w:val="0"/>
                <w:szCs w:val="21"/>
              </w:rPr>
              <w:t>乙腈废液</w:t>
            </w:r>
          </w:p>
        </w:tc>
        <w:tc>
          <w:tcPr>
            <w:tcW w:w="385" w:type="pct"/>
            <w:tcMar>
              <w:top w:w="15" w:type="dxa"/>
              <w:left w:w="15" w:type="dxa"/>
              <w:bottom w:w="0" w:type="dxa"/>
              <w:right w:w="15" w:type="dxa"/>
            </w:tcMar>
            <w:vAlign w:val="center"/>
          </w:tcPr>
          <w:p w14:paraId="203C0CDE">
            <w:pPr>
              <w:widowControl/>
              <w:jc w:val="center"/>
              <w:rPr>
                <w:rFonts w:hint="default" w:eastAsia="仿宋_GB2312"/>
                <w:bCs/>
                <w:color w:val="auto"/>
                <w:kern w:val="0"/>
                <w:szCs w:val="21"/>
                <w:lang w:val="en-US" w:eastAsia="zh-CN"/>
              </w:rPr>
            </w:pPr>
            <w:r>
              <w:rPr>
                <w:rFonts w:hint="eastAsia" w:eastAsia="仿宋_GB2312"/>
                <w:bCs/>
                <w:color w:val="auto"/>
                <w:kern w:val="0"/>
                <w:szCs w:val="21"/>
                <w:lang w:val="en-US" w:eastAsia="zh-CN"/>
              </w:rPr>
              <w:t>43650</w:t>
            </w:r>
          </w:p>
        </w:tc>
        <w:tc>
          <w:tcPr>
            <w:tcW w:w="466" w:type="pct"/>
            <w:shd w:val="clear" w:color="auto" w:fill="auto"/>
            <w:vAlign w:val="center"/>
          </w:tcPr>
          <w:p w14:paraId="45DEF97A">
            <w:pPr>
              <w:widowControl/>
              <w:jc w:val="center"/>
              <w:rPr>
                <w:rFonts w:ascii="Times New Roman" w:hAnsi="Times New Roman" w:eastAsia="仿宋_GB2312" w:cs="Times New Roman"/>
                <w:color w:val="auto"/>
                <w:kern w:val="0"/>
                <w:sz w:val="21"/>
                <w:szCs w:val="24"/>
                <w:lang w:val="en-US" w:eastAsia="zh-CN" w:bidi="ar-SA"/>
              </w:rPr>
            </w:pPr>
            <w:r>
              <w:rPr>
                <w:rFonts w:eastAsia="仿宋_GB2312"/>
                <w:color w:val="auto"/>
                <w:kern w:val="0"/>
              </w:rPr>
              <w:t>连续精馏</w:t>
            </w:r>
          </w:p>
        </w:tc>
        <w:tc>
          <w:tcPr>
            <w:tcW w:w="335" w:type="pct"/>
            <w:shd w:val="clear" w:color="auto" w:fill="auto"/>
            <w:vAlign w:val="center"/>
          </w:tcPr>
          <w:p w14:paraId="5B486437">
            <w:pPr>
              <w:widowControl/>
              <w:jc w:val="center"/>
              <w:rPr>
                <w:rFonts w:ascii="Times New Roman" w:hAnsi="Times New Roman" w:eastAsia="仿宋_GB2312" w:cs="Times New Roman"/>
                <w:color w:val="auto"/>
                <w:kern w:val="0"/>
                <w:sz w:val="21"/>
                <w:szCs w:val="24"/>
                <w:lang w:val="en-US" w:eastAsia="zh-CN" w:bidi="ar-SA"/>
              </w:rPr>
            </w:pPr>
            <w:r>
              <w:rPr>
                <w:rFonts w:eastAsia="仿宋_GB2312"/>
                <w:color w:val="auto"/>
                <w:kern w:val="0"/>
              </w:rPr>
              <w:t>/</w:t>
            </w:r>
          </w:p>
        </w:tc>
        <w:tc>
          <w:tcPr>
            <w:tcW w:w="448" w:type="pct"/>
            <w:shd w:val="clear" w:color="auto" w:fill="auto"/>
            <w:vAlign w:val="center"/>
          </w:tcPr>
          <w:p w14:paraId="065F612D">
            <w:pPr>
              <w:widowControl/>
              <w:jc w:val="center"/>
              <w:rPr>
                <w:rFonts w:ascii="Times New Roman" w:hAnsi="Times New Roman" w:eastAsia="仿宋_GB2312" w:cs="Times New Roman"/>
                <w:color w:val="auto"/>
                <w:kern w:val="0"/>
                <w:sz w:val="21"/>
                <w:szCs w:val="24"/>
                <w:lang w:val="en-US" w:eastAsia="zh-CN" w:bidi="ar-SA"/>
              </w:rPr>
            </w:pPr>
            <w:r>
              <w:rPr>
                <w:rFonts w:eastAsia="仿宋_GB2312"/>
                <w:color w:val="auto"/>
                <w:kern w:val="0"/>
              </w:rPr>
              <w:t>/</w:t>
            </w:r>
          </w:p>
        </w:tc>
        <w:tc>
          <w:tcPr>
            <w:tcW w:w="392" w:type="pct"/>
            <w:shd w:val="clear" w:color="auto" w:fill="auto"/>
            <w:vAlign w:val="center"/>
          </w:tcPr>
          <w:p w14:paraId="773755CD">
            <w:pPr>
              <w:widowControl/>
              <w:jc w:val="center"/>
              <w:rPr>
                <w:rFonts w:hint="eastAsia" w:ascii="Times New Roman" w:hAnsi="Times New Roman" w:eastAsia="仿宋_GB2312" w:cs="Times New Roman"/>
                <w:color w:val="auto"/>
                <w:kern w:val="0"/>
                <w:sz w:val="21"/>
                <w:szCs w:val="24"/>
                <w:lang w:val="en-US" w:eastAsia="zh-CN" w:bidi="ar-SA"/>
              </w:rPr>
            </w:pPr>
            <w:r>
              <w:rPr>
                <w:rFonts w:hint="eastAsia" w:eastAsia="仿宋_GB2312"/>
                <w:color w:val="auto"/>
                <w:kern w:val="0"/>
                <w:lang w:val="en-US" w:eastAsia="zh-CN"/>
              </w:rPr>
              <w:t>2</w:t>
            </w:r>
          </w:p>
        </w:tc>
        <w:tc>
          <w:tcPr>
            <w:tcW w:w="355" w:type="pct"/>
            <w:vAlign w:val="center"/>
          </w:tcPr>
          <w:p w14:paraId="11CF2DB1">
            <w:pPr>
              <w:widowControl/>
              <w:jc w:val="center"/>
              <w:rPr>
                <w:rFonts w:hint="eastAsia" w:eastAsia="仿宋_GB2312"/>
                <w:color w:val="auto"/>
                <w:kern w:val="0"/>
                <w:lang w:val="en-US" w:eastAsia="zh-CN"/>
              </w:rPr>
            </w:pPr>
            <w:r>
              <w:rPr>
                <w:rFonts w:hint="eastAsia" w:eastAsia="仿宋_GB2312"/>
                <w:color w:val="auto"/>
                <w:kern w:val="0"/>
                <w:lang w:val="en-US" w:eastAsia="zh-CN"/>
              </w:rPr>
              <w:t>2231</w:t>
            </w:r>
          </w:p>
        </w:tc>
        <w:tc>
          <w:tcPr>
            <w:tcW w:w="314" w:type="pct"/>
            <w:vMerge w:val="continue"/>
            <w:vAlign w:val="center"/>
          </w:tcPr>
          <w:p w14:paraId="2705EFEA">
            <w:pPr>
              <w:widowControl/>
              <w:jc w:val="center"/>
              <w:rPr>
                <w:rFonts w:eastAsia="仿宋_GB2312"/>
                <w:bCs/>
                <w:color w:val="FF0000"/>
                <w:kern w:val="0"/>
                <w:szCs w:val="21"/>
              </w:rPr>
            </w:pPr>
          </w:p>
        </w:tc>
      </w:tr>
      <w:tr w14:paraId="48AC21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12" w:hRule="atLeast"/>
          <w:tblHeader/>
          <w:jc w:val="center"/>
        </w:trPr>
        <w:tc>
          <w:tcPr>
            <w:tcW w:w="604" w:type="pct"/>
            <w:vMerge w:val="continue"/>
            <w:tcMar>
              <w:top w:w="15" w:type="dxa"/>
              <w:left w:w="15" w:type="dxa"/>
              <w:bottom w:w="0" w:type="dxa"/>
              <w:right w:w="15" w:type="dxa"/>
            </w:tcMar>
            <w:vAlign w:val="center"/>
          </w:tcPr>
          <w:p w14:paraId="00C54A3F">
            <w:pPr>
              <w:widowControl/>
              <w:jc w:val="center"/>
              <w:rPr>
                <w:rFonts w:eastAsia="仿宋_GB2312"/>
                <w:color w:val="auto"/>
                <w:kern w:val="0"/>
              </w:rPr>
            </w:pPr>
          </w:p>
        </w:tc>
        <w:tc>
          <w:tcPr>
            <w:tcW w:w="277" w:type="pct"/>
            <w:vMerge w:val="continue"/>
            <w:tcMar>
              <w:top w:w="15" w:type="dxa"/>
              <w:left w:w="15" w:type="dxa"/>
              <w:bottom w:w="0" w:type="dxa"/>
              <w:right w:w="15" w:type="dxa"/>
            </w:tcMar>
            <w:vAlign w:val="center"/>
          </w:tcPr>
          <w:p w14:paraId="7A718241">
            <w:pPr>
              <w:widowControl/>
              <w:jc w:val="center"/>
              <w:rPr>
                <w:rFonts w:hint="eastAsia" w:eastAsia="仿宋_GB2312"/>
                <w:color w:val="auto"/>
                <w:kern w:val="0"/>
                <w:lang w:val="en-US" w:eastAsia="zh-CN"/>
              </w:rPr>
            </w:pPr>
          </w:p>
        </w:tc>
        <w:tc>
          <w:tcPr>
            <w:tcW w:w="1421" w:type="pct"/>
            <w:gridSpan w:val="2"/>
            <w:tcMar>
              <w:top w:w="15" w:type="dxa"/>
              <w:left w:w="15" w:type="dxa"/>
              <w:bottom w:w="0" w:type="dxa"/>
              <w:right w:w="15" w:type="dxa"/>
            </w:tcMar>
            <w:vAlign w:val="center"/>
          </w:tcPr>
          <w:p w14:paraId="640706EF">
            <w:pPr>
              <w:widowControl/>
              <w:jc w:val="center"/>
              <w:rPr>
                <w:rFonts w:hint="default" w:eastAsia="仿宋_GB2312"/>
                <w:bCs/>
                <w:color w:val="auto"/>
                <w:kern w:val="0"/>
                <w:szCs w:val="21"/>
                <w:lang w:val="en-US" w:eastAsia="zh-CN"/>
              </w:rPr>
            </w:pPr>
            <w:r>
              <w:rPr>
                <w:rFonts w:hint="eastAsia" w:eastAsia="仿宋_GB2312"/>
                <w:bCs/>
                <w:color w:val="auto"/>
                <w:kern w:val="0"/>
                <w:szCs w:val="21"/>
                <w:lang w:val="en-US" w:eastAsia="zh-CN"/>
              </w:rPr>
              <w:t>DMF废液</w:t>
            </w:r>
          </w:p>
        </w:tc>
        <w:tc>
          <w:tcPr>
            <w:tcW w:w="385" w:type="pct"/>
            <w:tcMar>
              <w:top w:w="15" w:type="dxa"/>
              <w:left w:w="15" w:type="dxa"/>
              <w:bottom w:w="0" w:type="dxa"/>
              <w:right w:w="15" w:type="dxa"/>
            </w:tcMar>
            <w:vAlign w:val="center"/>
          </w:tcPr>
          <w:p w14:paraId="59467A6F">
            <w:pPr>
              <w:widowControl/>
              <w:jc w:val="center"/>
              <w:rPr>
                <w:rFonts w:hint="default" w:eastAsia="仿宋_GB2312"/>
                <w:bCs/>
                <w:color w:val="auto"/>
                <w:kern w:val="0"/>
                <w:szCs w:val="21"/>
                <w:lang w:val="en-US" w:eastAsia="zh-CN"/>
              </w:rPr>
            </w:pPr>
            <w:r>
              <w:rPr>
                <w:rFonts w:hint="eastAsia" w:eastAsia="仿宋_GB2312"/>
                <w:bCs/>
                <w:color w:val="auto"/>
                <w:kern w:val="0"/>
                <w:szCs w:val="21"/>
                <w:lang w:val="en-US" w:eastAsia="zh-CN"/>
              </w:rPr>
              <w:t>6300</w:t>
            </w:r>
          </w:p>
        </w:tc>
        <w:tc>
          <w:tcPr>
            <w:tcW w:w="466" w:type="pct"/>
            <w:shd w:val="clear" w:color="auto" w:fill="auto"/>
            <w:vAlign w:val="center"/>
          </w:tcPr>
          <w:p w14:paraId="48D0F473">
            <w:pPr>
              <w:widowControl/>
              <w:jc w:val="center"/>
              <w:rPr>
                <w:rFonts w:ascii="Times New Roman" w:hAnsi="Times New Roman" w:eastAsia="仿宋_GB2312" w:cs="Times New Roman"/>
                <w:color w:val="auto"/>
                <w:kern w:val="0"/>
                <w:sz w:val="21"/>
                <w:szCs w:val="24"/>
                <w:lang w:val="en-US" w:eastAsia="zh-CN" w:bidi="ar-SA"/>
              </w:rPr>
            </w:pPr>
            <w:r>
              <w:rPr>
                <w:rFonts w:eastAsia="仿宋_GB2312"/>
                <w:color w:val="auto"/>
                <w:kern w:val="0"/>
              </w:rPr>
              <w:t>连续精馏</w:t>
            </w:r>
          </w:p>
        </w:tc>
        <w:tc>
          <w:tcPr>
            <w:tcW w:w="335" w:type="pct"/>
            <w:shd w:val="clear" w:color="auto" w:fill="auto"/>
            <w:vAlign w:val="center"/>
          </w:tcPr>
          <w:p w14:paraId="2DED2A25">
            <w:pPr>
              <w:widowControl/>
              <w:jc w:val="center"/>
              <w:rPr>
                <w:rFonts w:ascii="Times New Roman" w:hAnsi="Times New Roman" w:eastAsia="仿宋_GB2312" w:cs="Times New Roman"/>
                <w:color w:val="auto"/>
                <w:kern w:val="0"/>
                <w:sz w:val="21"/>
                <w:szCs w:val="24"/>
                <w:lang w:val="en-US" w:eastAsia="zh-CN" w:bidi="ar-SA"/>
              </w:rPr>
            </w:pPr>
            <w:r>
              <w:rPr>
                <w:rFonts w:eastAsia="仿宋_GB2312"/>
                <w:color w:val="auto"/>
                <w:kern w:val="0"/>
              </w:rPr>
              <w:t>/</w:t>
            </w:r>
          </w:p>
        </w:tc>
        <w:tc>
          <w:tcPr>
            <w:tcW w:w="448" w:type="pct"/>
            <w:shd w:val="clear" w:color="auto" w:fill="auto"/>
            <w:vAlign w:val="center"/>
          </w:tcPr>
          <w:p w14:paraId="59372536">
            <w:pPr>
              <w:widowControl/>
              <w:jc w:val="center"/>
              <w:rPr>
                <w:rFonts w:ascii="Times New Roman" w:hAnsi="Times New Roman" w:eastAsia="仿宋_GB2312" w:cs="Times New Roman"/>
                <w:color w:val="auto"/>
                <w:kern w:val="0"/>
                <w:sz w:val="21"/>
                <w:szCs w:val="24"/>
                <w:lang w:val="en-US" w:eastAsia="zh-CN" w:bidi="ar-SA"/>
              </w:rPr>
            </w:pPr>
            <w:r>
              <w:rPr>
                <w:rFonts w:eastAsia="仿宋_GB2312"/>
                <w:color w:val="auto"/>
                <w:kern w:val="0"/>
              </w:rPr>
              <w:t>/</w:t>
            </w:r>
          </w:p>
        </w:tc>
        <w:tc>
          <w:tcPr>
            <w:tcW w:w="392" w:type="pct"/>
            <w:shd w:val="clear" w:color="auto" w:fill="auto"/>
            <w:vAlign w:val="center"/>
          </w:tcPr>
          <w:p w14:paraId="00C6AA5A">
            <w:pPr>
              <w:widowControl/>
              <w:jc w:val="center"/>
              <w:rPr>
                <w:rFonts w:hint="eastAsia" w:ascii="Times New Roman" w:hAnsi="Times New Roman" w:eastAsia="仿宋_GB2312" w:cs="Times New Roman"/>
                <w:color w:val="auto"/>
                <w:kern w:val="0"/>
                <w:sz w:val="21"/>
                <w:szCs w:val="24"/>
                <w:lang w:val="en-US" w:eastAsia="zh-CN" w:bidi="ar-SA"/>
              </w:rPr>
            </w:pPr>
            <w:r>
              <w:rPr>
                <w:rFonts w:hint="eastAsia" w:eastAsia="仿宋_GB2312"/>
                <w:color w:val="auto"/>
                <w:kern w:val="0"/>
                <w:lang w:val="en-US" w:eastAsia="zh-CN"/>
              </w:rPr>
              <w:t>2</w:t>
            </w:r>
          </w:p>
        </w:tc>
        <w:tc>
          <w:tcPr>
            <w:tcW w:w="355" w:type="pct"/>
            <w:vAlign w:val="center"/>
          </w:tcPr>
          <w:p w14:paraId="747DD96C">
            <w:pPr>
              <w:widowControl/>
              <w:jc w:val="center"/>
              <w:rPr>
                <w:rFonts w:hint="eastAsia" w:eastAsia="仿宋_GB2312"/>
                <w:color w:val="auto"/>
                <w:kern w:val="0"/>
                <w:lang w:val="en-US" w:eastAsia="zh-CN"/>
              </w:rPr>
            </w:pPr>
            <w:r>
              <w:rPr>
                <w:rFonts w:hint="eastAsia" w:eastAsia="仿宋_GB2312"/>
                <w:color w:val="auto"/>
                <w:kern w:val="0"/>
                <w:lang w:val="en-US" w:eastAsia="zh-CN"/>
              </w:rPr>
              <w:t>472</w:t>
            </w:r>
          </w:p>
        </w:tc>
        <w:tc>
          <w:tcPr>
            <w:tcW w:w="314" w:type="pct"/>
            <w:vMerge w:val="continue"/>
            <w:vAlign w:val="center"/>
          </w:tcPr>
          <w:p w14:paraId="07755F66">
            <w:pPr>
              <w:widowControl/>
              <w:jc w:val="center"/>
              <w:rPr>
                <w:rFonts w:eastAsia="仿宋_GB2312"/>
                <w:bCs/>
                <w:color w:val="FF0000"/>
                <w:kern w:val="0"/>
                <w:szCs w:val="21"/>
              </w:rPr>
            </w:pPr>
          </w:p>
        </w:tc>
      </w:tr>
      <w:tr w14:paraId="5CB377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12" w:hRule="atLeast"/>
          <w:tblHeader/>
          <w:jc w:val="center"/>
        </w:trPr>
        <w:tc>
          <w:tcPr>
            <w:tcW w:w="604" w:type="pct"/>
            <w:vMerge w:val="continue"/>
            <w:tcMar>
              <w:top w:w="15" w:type="dxa"/>
              <w:left w:w="15" w:type="dxa"/>
              <w:bottom w:w="0" w:type="dxa"/>
              <w:right w:w="15" w:type="dxa"/>
            </w:tcMar>
            <w:vAlign w:val="center"/>
          </w:tcPr>
          <w:p w14:paraId="26E545DD">
            <w:pPr>
              <w:widowControl/>
              <w:jc w:val="center"/>
              <w:rPr>
                <w:rFonts w:eastAsia="仿宋_GB2312"/>
                <w:color w:val="auto"/>
                <w:kern w:val="0"/>
              </w:rPr>
            </w:pPr>
          </w:p>
        </w:tc>
        <w:tc>
          <w:tcPr>
            <w:tcW w:w="277" w:type="pct"/>
            <w:vMerge w:val="continue"/>
            <w:tcMar>
              <w:top w:w="15" w:type="dxa"/>
              <w:left w:w="15" w:type="dxa"/>
              <w:bottom w:w="0" w:type="dxa"/>
              <w:right w:w="15" w:type="dxa"/>
            </w:tcMar>
            <w:vAlign w:val="center"/>
          </w:tcPr>
          <w:p w14:paraId="5BBEF3DA">
            <w:pPr>
              <w:widowControl/>
              <w:jc w:val="center"/>
              <w:rPr>
                <w:rFonts w:hint="eastAsia" w:eastAsia="仿宋_GB2312"/>
                <w:color w:val="auto"/>
                <w:kern w:val="0"/>
                <w:lang w:val="en-US" w:eastAsia="zh-CN"/>
              </w:rPr>
            </w:pPr>
          </w:p>
        </w:tc>
        <w:tc>
          <w:tcPr>
            <w:tcW w:w="1421" w:type="pct"/>
            <w:gridSpan w:val="2"/>
            <w:tcMar>
              <w:top w:w="15" w:type="dxa"/>
              <w:left w:w="15" w:type="dxa"/>
              <w:bottom w:w="0" w:type="dxa"/>
              <w:right w:w="15" w:type="dxa"/>
            </w:tcMar>
            <w:vAlign w:val="center"/>
          </w:tcPr>
          <w:p w14:paraId="19F61F32">
            <w:pPr>
              <w:widowControl/>
              <w:jc w:val="center"/>
              <w:rPr>
                <w:rFonts w:hint="default" w:eastAsia="仿宋_GB2312"/>
                <w:bCs/>
                <w:color w:val="auto"/>
                <w:kern w:val="0"/>
                <w:szCs w:val="21"/>
                <w:lang w:val="en-US" w:eastAsia="zh-CN"/>
              </w:rPr>
            </w:pPr>
            <w:r>
              <w:rPr>
                <w:rFonts w:hint="eastAsia" w:eastAsia="仿宋_GB2312"/>
                <w:bCs/>
                <w:color w:val="auto"/>
                <w:kern w:val="0"/>
                <w:szCs w:val="21"/>
                <w:lang w:val="en-US" w:eastAsia="zh-CN"/>
              </w:rPr>
              <w:t>环己酮</w:t>
            </w:r>
          </w:p>
        </w:tc>
        <w:tc>
          <w:tcPr>
            <w:tcW w:w="385" w:type="pct"/>
            <w:tcMar>
              <w:top w:w="15" w:type="dxa"/>
              <w:left w:w="15" w:type="dxa"/>
              <w:bottom w:w="0" w:type="dxa"/>
              <w:right w:w="15" w:type="dxa"/>
            </w:tcMar>
            <w:vAlign w:val="center"/>
          </w:tcPr>
          <w:p w14:paraId="45FE6187">
            <w:pPr>
              <w:widowControl/>
              <w:jc w:val="center"/>
              <w:rPr>
                <w:rFonts w:hint="default" w:eastAsia="仿宋_GB2312"/>
                <w:bCs/>
                <w:color w:val="auto"/>
                <w:kern w:val="0"/>
                <w:szCs w:val="21"/>
                <w:lang w:val="en-US" w:eastAsia="zh-CN"/>
              </w:rPr>
            </w:pPr>
            <w:r>
              <w:rPr>
                <w:rFonts w:hint="eastAsia" w:eastAsia="仿宋_GB2312"/>
                <w:bCs/>
                <w:color w:val="auto"/>
                <w:kern w:val="0"/>
                <w:szCs w:val="21"/>
                <w:lang w:val="en-US" w:eastAsia="zh-CN"/>
              </w:rPr>
              <w:t>500</w:t>
            </w:r>
          </w:p>
        </w:tc>
        <w:tc>
          <w:tcPr>
            <w:tcW w:w="466" w:type="pct"/>
            <w:shd w:val="clear" w:color="auto" w:fill="auto"/>
            <w:vAlign w:val="center"/>
          </w:tcPr>
          <w:p w14:paraId="7384CE92">
            <w:pPr>
              <w:widowControl/>
              <w:jc w:val="center"/>
              <w:rPr>
                <w:rFonts w:ascii="Times New Roman" w:hAnsi="Times New Roman" w:eastAsia="仿宋_GB2312" w:cs="Times New Roman"/>
                <w:color w:val="auto"/>
                <w:kern w:val="0"/>
                <w:sz w:val="21"/>
                <w:szCs w:val="24"/>
                <w:lang w:val="en-US" w:eastAsia="zh-CN" w:bidi="ar-SA"/>
              </w:rPr>
            </w:pPr>
            <w:r>
              <w:rPr>
                <w:rFonts w:eastAsia="仿宋_GB2312"/>
                <w:color w:val="auto"/>
                <w:kern w:val="0"/>
              </w:rPr>
              <w:t>连续精馏</w:t>
            </w:r>
          </w:p>
        </w:tc>
        <w:tc>
          <w:tcPr>
            <w:tcW w:w="335" w:type="pct"/>
            <w:shd w:val="clear" w:color="auto" w:fill="auto"/>
            <w:vAlign w:val="center"/>
          </w:tcPr>
          <w:p w14:paraId="072CA08E">
            <w:pPr>
              <w:widowControl/>
              <w:jc w:val="center"/>
              <w:rPr>
                <w:rFonts w:ascii="Times New Roman" w:hAnsi="Times New Roman" w:eastAsia="仿宋_GB2312" w:cs="Times New Roman"/>
                <w:color w:val="auto"/>
                <w:kern w:val="0"/>
                <w:sz w:val="21"/>
                <w:szCs w:val="24"/>
                <w:lang w:val="en-US" w:eastAsia="zh-CN" w:bidi="ar-SA"/>
              </w:rPr>
            </w:pPr>
            <w:r>
              <w:rPr>
                <w:rFonts w:eastAsia="仿宋_GB2312"/>
                <w:color w:val="auto"/>
                <w:kern w:val="0"/>
              </w:rPr>
              <w:t>/</w:t>
            </w:r>
          </w:p>
        </w:tc>
        <w:tc>
          <w:tcPr>
            <w:tcW w:w="448" w:type="pct"/>
            <w:shd w:val="clear" w:color="auto" w:fill="auto"/>
            <w:vAlign w:val="center"/>
          </w:tcPr>
          <w:p w14:paraId="78CE0092">
            <w:pPr>
              <w:widowControl/>
              <w:jc w:val="center"/>
              <w:rPr>
                <w:rFonts w:ascii="Times New Roman" w:hAnsi="Times New Roman" w:eastAsia="仿宋_GB2312" w:cs="Times New Roman"/>
                <w:color w:val="auto"/>
                <w:kern w:val="0"/>
                <w:sz w:val="21"/>
                <w:szCs w:val="24"/>
                <w:lang w:val="en-US" w:eastAsia="zh-CN" w:bidi="ar-SA"/>
              </w:rPr>
            </w:pPr>
            <w:r>
              <w:rPr>
                <w:rFonts w:eastAsia="仿宋_GB2312"/>
                <w:color w:val="auto"/>
                <w:kern w:val="0"/>
              </w:rPr>
              <w:t>/</w:t>
            </w:r>
          </w:p>
        </w:tc>
        <w:tc>
          <w:tcPr>
            <w:tcW w:w="392" w:type="pct"/>
            <w:shd w:val="clear" w:color="auto" w:fill="auto"/>
            <w:vAlign w:val="center"/>
          </w:tcPr>
          <w:p w14:paraId="1363050E">
            <w:pPr>
              <w:widowControl/>
              <w:jc w:val="center"/>
              <w:rPr>
                <w:rFonts w:hint="eastAsia" w:ascii="Times New Roman" w:hAnsi="Times New Roman" w:eastAsia="仿宋_GB2312" w:cs="Times New Roman"/>
                <w:color w:val="auto"/>
                <w:kern w:val="0"/>
                <w:sz w:val="21"/>
                <w:szCs w:val="24"/>
                <w:lang w:val="en-US" w:eastAsia="zh-CN" w:bidi="ar-SA"/>
              </w:rPr>
            </w:pPr>
            <w:r>
              <w:rPr>
                <w:rFonts w:hint="eastAsia" w:eastAsia="仿宋_GB2312"/>
                <w:color w:val="auto"/>
                <w:kern w:val="0"/>
                <w:lang w:val="en-US" w:eastAsia="zh-CN"/>
              </w:rPr>
              <w:t>2</w:t>
            </w:r>
          </w:p>
        </w:tc>
        <w:tc>
          <w:tcPr>
            <w:tcW w:w="355" w:type="pct"/>
            <w:vAlign w:val="center"/>
          </w:tcPr>
          <w:p w14:paraId="438154F3">
            <w:pPr>
              <w:widowControl/>
              <w:jc w:val="center"/>
              <w:rPr>
                <w:rFonts w:hint="eastAsia" w:eastAsia="仿宋_GB2312"/>
                <w:color w:val="auto"/>
                <w:kern w:val="0"/>
                <w:lang w:val="en-US" w:eastAsia="zh-CN"/>
              </w:rPr>
            </w:pPr>
            <w:r>
              <w:rPr>
                <w:rFonts w:hint="eastAsia" w:eastAsia="仿宋_GB2312"/>
                <w:color w:val="auto"/>
                <w:kern w:val="0"/>
                <w:lang w:val="en-US" w:eastAsia="zh-CN"/>
              </w:rPr>
              <w:t>42</w:t>
            </w:r>
          </w:p>
        </w:tc>
        <w:tc>
          <w:tcPr>
            <w:tcW w:w="314" w:type="pct"/>
            <w:vMerge w:val="continue"/>
            <w:vAlign w:val="center"/>
          </w:tcPr>
          <w:p w14:paraId="4AD65433">
            <w:pPr>
              <w:widowControl/>
              <w:jc w:val="center"/>
              <w:rPr>
                <w:rFonts w:eastAsia="仿宋_GB2312"/>
                <w:bCs/>
                <w:color w:val="FF0000"/>
                <w:kern w:val="0"/>
                <w:szCs w:val="21"/>
              </w:rPr>
            </w:pPr>
          </w:p>
        </w:tc>
      </w:tr>
      <w:tr w14:paraId="64F0A1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12" w:hRule="atLeast"/>
          <w:tblHeader/>
          <w:jc w:val="center"/>
        </w:trPr>
        <w:tc>
          <w:tcPr>
            <w:tcW w:w="604" w:type="pct"/>
            <w:vMerge w:val="continue"/>
            <w:tcMar>
              <w:top w:w="15" w:type="dxa"/>
              <w:left w:w="15" w:type="dxa"/>
              <w:bottom w:w="0" w:type="dxa"/>
              <w:right w:w="15" w:type="dxa"/>
            </w:tcMar>
            <w:vAlign w:val="center"/>
          </w:tcPr>
          <w:p w14:paraId="2DF36D3F">
            <w:pPr>
              <w:widowControl/>
              <w:jc w:val="center"/>
              <w:rPr>
                <w:rFonts w:eastAsia="仿宋_GB2312"/>
                <w:color w:val="auto"/>
                <w:kern w:val="0"/>
              </w:rPr>
            </w:pPr>
          </w:p>
        </w:tc>
        <w:tc>
          <w:tcPr>
            <w:tcW w:w="277" w:type="pct"/>
            <w:vMerge w:val="continue"/>
            <w:tcMar>
              <w:top w:w="15" w:type="dxa"/>
              <w:left w:w="15" w:type="dxa"/>
              <w:bottom w:w="0" w:type="dxa"/>
              <w:right w:w="15" w:type="dxa"/>
            </w:tcMar>
            <w:vAlign w:val="center"/>
          </w:tcPr>
          <w:p w14:paraId="38485FE2">
            <w:pPr>
              <w:widowControl/>
              <w:jc w:val="center"/>
              <w:rPr>
                <w:rFonts w:hint="eastAsia" w:eastAsia="仿宋_GB2312"/>
                <w:color w:val="auto"/>
                <w:kern w:val="0"/>
                <w:lang w:val="en-US" w:eastAsia="zh-CN"/>
              </w:rPr>
            </w:pPr>
          </w:p>
        </w:tc>
        <w:tc>
          <w:tcPr>
            <w:tcW w:w="1421" w:type="pct"/>
            <w:gridSpan w:val="2"/>
            <w:shd w:val="clear" w:color="auto" w:fill="auto"/>
            <w:tcMar>
              <w:top w:w="15" w:type="dxa"/>
              <w:left w:w="15" w:type="dxa"/>
              <w:bottom w:w="0" w:type="dxa"/>
              <w:right w:w="15" w:type="dxa"/>
            </w:tcMar>
            <w:vAlign w:val="center"/>
          </w:tcPr>
          <w:p w14:paraId="3643ECA0">
            <w:pPr>
              <w:widowControl/>
              <w:jc w:val="center"/>
              <w:rPr>
                <w:rFonts w:hint="eastAsia" w:ascii="Times New Roman" w:hAnsi="Times New Roman" w:eastAsia="仿宋_GB2312" w:cs="Times New Roman"/>
                <w:color w:val="auto"/>
                <w:kern w:val="0"/>
                <w:sz w:val="21"/>
                <w:szCs w:val="21"/>
                <w:lang w:val="en-US" w:eastAsia="zh-CN" w:bidi="ar-SA"/>
              </w:rPr>
            </w:pPr>
            <w:r>
              <w:rPr>
                <w:rFonts w:eastAsia="仿宋_GB2312"/>
                <w:color w:val="auto"/>
                <w:kern w:val="0"/>
                <w:szCs w:val="21"/>
              </w:rPr>
              <w:t>环戊酮废液</w:t>
            </w:r>
          </w:p>
        </w:tc>
        <w:tc>
          <w:tcPr>
            <w:tcW w:w="385" w:type="pct"/>
            <w:tcMar>
              <w:top w:w="15" w:type="dxa"/>
              <w:left w:w="15" w:type="dxa"/>
              <w:bottom w:w="0" w:type="dxa"/>
              <w:right w:w="15" w:type="dxa"/>
            </w:tcMar>
            <w:vAlign w:val="center"/>
          </w:tcPr>
          <w:p w14:paraId="62D38711">
            <w:pPr>
              <w:widowControl/>
              <w:jc w:val="center"/>
              <w:rPr>
                <w:rFonts w:hint="default" w:eastAsia="仿宋_GB2312"/>
                <w:bCs/>
                <w:color w:val="auto"/>
                <w:kern w:val="0"/>
                <w:szCs w:val="21"/>
                <w:lang w:val="en-US" w:eastAsia="zh-CN"/>
              </w:rPr>
            </w:pPr>
            <w:r>
              <w:rPr>
                <w:rFonts w:hint="eastAsia" w:eastAsia="仿宋_GB2312"/>
                <w:bCs/>
                <w:color w:val="auto"/>
                <w:kern w:val="0"/>
                <w:szCs w:val="21"/>
                <w:lang w:val="en-US" w:eastAsia="zh-CN"/>
              </w:rPr>
              <w:t>1500</w:t>
            </w:r>
          </w:p>
        </w:tc>
        <w:tc>
          <w:tcPr>
            <w:tcW w:w="466" w:type="pct"/>
            <w:shd w:val="clear" w:color="auto" w:fill="auto"/>
            <w:vAlign w:val="center"/>
          </w:tcPr>
          <w:p w14:paraId="4D895E5C">
            <w:pPr>
              <w:widowControl/>
              <w:jc w:val="center"/>
              <w:rPr>
                <w:rFonts w:ascii="Times New Roman" w:hAnsi="Times New Roman" w:eastAsia="仿宋_GB2312" w:cs="Times New Roman"/>
                <w:color w:val="auto"/>
                <w:kern w:val="0"/>
                <w:sz w:val="21"/>
                <w:szCs w:val="24"/>
                <w:lang w:val="en-US" w:eastAsia="zh-CN" w:bidi="ar-SA"/>
              </w:rPr>
            </w:pPr>
            <w:r>
              <w:rPr>
                <w:rFonts w:eastAsia="仿宋_GB2312"/>
                <w:color w:val="auto"/>
                <w:kern w:val="0"/>
              </w:rPr>
              <w:t>连续精馏</w:t>
            </w:r>
          </w:p>
        </w:tc>
        <w:tc>
          <w:tcPr>
            <w:tcW w:w="335" w:type="pct"/>
            <w:shd w:val="clear" w:color="auto" w:fill="auto"/>
            <w:vAlign w:val="center"/>
          </w:tcPr>
          <w:p w14:paraId="1FBC7316">
            <w:pPr>
              <w:widowControl/>
              <w:jc w:val="center"/>
              <w:rPr>
                <w:rFonts w:ascii="Times New Roman" w:hAnsi="Times New Roman" w:eastAsia="仿宋_GB2312" w:cs="Times New Roman"/>
                <w:color w:val="auto"/>
                <w:kern w:val="0"/>
                <w:sz w:val="21"/>
                <w:szCs w:val="24"/>
                <w:lang w:val="en-US" w:eastAsia="zh-CN" w:bidi="ar-SA"/>
              </w:rPr>
            </w:pPr>
            <w:r>
              <w:rPr>
                <w:rFonts w:eastAsia="仿宋_GB2312"/>
                <w:color w:val="auto"/>
                <w:kern w:val="0"/>
              </w:rPr>
              <w:t>/</w:t>
            </w:r>
          </w:p>
        </w:tc>
        <w:tc>
          <w:tcPr>
            <w:tcW w:w="448" w:type="pct"/>
            <w:shd w:val="clear" w:color="auto" w:fill="auto"/>
            <w:vAlign w:val="center"/>
          </w:tcPr>
          <w:p w14:paraId="4CC790CA">
            <w:pPr>
              <w:widowControl/>
              <w:jc w:val="center"/>
              <w:rPr>
                <w:rFonts w:ascii="Times New Roman" w:hAnsi="Times New Roman" w:eastAsia="仿宋_GB2312" w:cs="Times New Roman"/>
                <w:color w:val="auto"/>
                <w:kern w:val="0"/>
                <w:sz w:val="21"/>
                <w:szCs w:val="24"/>
                <w:lang w:val="en-US" w:eastAsia="zh-CN" w:bidi="ar-SA"/>
              </w:rPr>
            </w:pPr>
            <w:r>
              <w:rPr>
                <w:rFonts w:eastAsia="仿宋_GB2312"/>
                <w:color w:val="auto"/>
                <w:kern w:val="0"/>
              </w:rPr>
              <w:t>/</w:t>
            </w:r>
          </w:p>
        </w:tc>
        <w:tc>
          <w:tcPr>
            <w:tcW w:w="392" w:type="pct"/>
            <w:shd w:val="clear" w:color="auto" w:fill="auto"/>
            <w:vAlign w:val="center"/>
          </w:tcPr>
          <w:p w14:paraId="321683BD">
            <w:pPr>
              <w:widowControl/>
              <w:jc w:val="center"/>
              <w:rPr>
                <w:rFonts w:hint="eastAsia" w:ascii="Times New Roman" w:hAnsi="Times New Roman" w:eastAsia="仿宋_GB2312" w:cs="Times New Roman"/>
                <w:color w:val="auto"/>
                <w:kern w:val="0"/>
                <w:sz w:val="21"/>
                <w:szCs w:val="24"/>
                <w:lang w:val="en-US" w:eastAsia="zh-CN" w:bidi="ar-SA"/>
              </w:rPr>
            </w:pPr>
            <w:r>
              <w:rPr>
                <w:rFonts w:hint="eastAsia" w:eastAsia="仿宋_GB2312"/>
                <w:color w:val="auto"/>
                <w:kern w:val="0"/>
                <w:lang w:val="en-US" w:eastAsia="zh-CN"/>
              </w:rPr>
              <w:t>2</w:t>
            </w:r>
          </w:p>
        </w:tc>
        <w:tc>
          <w:tcPr>
            <w:tcW w:w="355" w:type="pct"/>
            <w:vAlign w:val="center"/>
          </w:tcPr>
          <w:p w14:paraId="7588E547">
            <w:pPr>
              <w:widowControl/>
              <w:jc w:val="center"/>
              <w:rPr>
                <w:rFonts w:hint="eastAsia" w:eastAsia="仿宋_GB2312"/>
                <w:color w:val="auto"/>
                <w:kern w:val="0"/>
                <w:lang w:val="en-US" w:eastAsia="zh-CN"/>
              </w:rPr>
            </w:pPr>
            <w:r>
              <w:rPr>
                <w:rFonts w:hint="eastAsia" w:eastAsia="仿宋_GB2312"/>
                <w:color w:val="auto"/>
                <w:kern w:val="0"/>
                <w:lang w:val="en-US" w:eastAsia="zh-CN"/>
              </w:rPr>
              <w:t>100</w:t>
            </w:r>
          </w:p>
        </w:tc>
        <w:tc>
          <w:tcPr>
            <w:tcW w:w="314" w:type="pct"/>
            <w:vMerge w:val="continue"/>
            <w:vAlign w:val="center"/>
          </w:tcPr>
          <w:p w14:paraId="16852E52">
            <w:pPr>
              <w:widowControl/>
              <w:jc w:val="center"/>
              <w:rPr>
                <w:rFonts w:eastAsia="仿宋_GB2312"/>
                <w:bCs/>
                <w:color w:val="FF0000"/>
                <w:kern w:val="0"/>
                <w:szCs w:val="21"/>
              </w:rPr>
            </w:pPr>
          </w:p>
        </w:tc>
      </w:tr>
      <w:tr w14:paraId="5ECF86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12" w:hRule="atLeast"/>
          <w:tblHeader/>
          <w:jc w:val="center"/>
        </w:trPr>
        <w:tc>
          <w:tcPr>
            <w:tcW w:w="604" w:type="pct"/>
            <w:vMerge w:val="continue"/>
            <w:tcMar>
              <w:top w:w="15" w:type="dxa"/>
              <w:left w:w="15" w:type="dxa"/>
              <w:bottom w:w="0" w:type="dxa"/>
              <w:right w:w="15" w:type="dxa"/>
            </w:tcMar>
            <w:vAlign w:val="center"/>
          </w:tcPr>
          <w:p w14:paraId="52E38B70">
            <w:pPr>
              <w:widowControl/>
              <w:jc w:val="center"/>
              <w:rPr>
                <w:rFonts w:eastAsia="仿宋_GB2312"/>
                <w:color w:val="auto"/>
                <w:kern w:val="0"/>
              </w:rPr>
            </w:pPr>
          </w:p>
        </w:tc>
        <w:tc>
          <w:tcPr>
            <w:tcW w:w="277" w:type="pct"/>
            <w:vMerge w:val="continue"/>
            <w:tcMar>
              <w:top w:w="15" w:type="dxa"/>
              <w:left w:w="15" w:type="dxa"/>
              <w:bottom w:w="0" w:type="dxa"/>
              <w:right w:w="15" w:type="dxa"/>
            </w:tcMar>
            <w:vAlign w:val="center"/>
          </w:tcPr>
          <w:p w14:paraId="309A9E26">
            <w:pPr>
              <w:widowControl/>
              <w:jc w:val="center"/>
              <w:rPr>
                <w:rFonts w:hint="eastAsia" w:eastAsia="仿宋_GB2312"/>
                <w:color w:val="auto"/>
                <w:kern w:val="0"/>
                <w:lang w:val="en-US" w:eastAsia="zh-CN"/>
              </w:rPr>
            </w:pPr>
          </w:p>
        </w:tc>
        <w:tc>
          <w:tcPr>
            <w:tcW w:w="1421" w:type="pct"/>
            <w:gridSpan w:val="2"/>
            <w:shd w:val="clear" w:color="auto" w:fill="auto"/>
            <w:tcMar>
              <w:top w:w="15" w:type="dxa"/>
              <w:left w:w="15" w:type="dxa"/>
              <w:bottom w:w="0" w:type="dxa"/>
              <w:right w:w="15" w:type="dxa"/>
            </w:tcMar>
            <w:vAlign w:val="center"/>
          </w:tcPr>
          <w:p w14:paraId="439F3901">
            <w:pPr>
              <w:widowControl/>
              <w:jc w:val="center"/>
              <w:rPr>
                <w:rFonts w:ascii="Times New Roman" w:hAnsi="Times New Roman" w:eastAsia="仿宋_GB2312" w:cs="Times New Roman"/>
                <w:color w:val="auto"/>
                <w:kern w:val="0"/>
                <w:sz w:val="21"/>
                <w:szCs w:val="21"/>
                <w:lang w:val="en-US" w:eastAsia="zh-CN" w:bidi="ar-SA"/>
              </w:rPr>
            </w:pPr>
            <w:r>
              <w:rPr>
                <w:rFonts w:eastAsia="仿宋_GB2312"/>
                <w:color w:val="auto"/>
                <w:kern w:val="0"/>
                <w:szCs w:val="21"/>
              </w:rPr>
              <w:t>乙酸甲酯废液</w:t>
            </w:r>
          </w:p>
        </w:tc>
        <w:tc>
          <w:tcPr>
            <w:tcW w:w="385" w:type="pct"/>
            <w:shd w:val="clear" w:color="auto" w:fill="auto"/>
            <w:tcMar>
              <w:top w:w="15" w:type="dxa"/>
              <w:left w:w="15" w:type="dxa"/>
              <w:bottom w:w="0" w:type="dxa"/>
              <w:right w:w="15" w:type="dxa"/>
            </w:tcMar>
            <w:vAlign w:val="center"/>
          </w:tcPr>
          <w:p w14:paraId="6484249F">
            <w:pPr>
              <w:widowControl/>
              <w:jc w:val="center"/>
              <w:rPr>
                <w:rFonts w:hint="default" w:ascii="Times New Roman" w:hAnsi="Times New Roman" w:eastAsia="仿宋_GB2312" w:cs="Times New Roman"/>
                <w:bCs/>
                <w:color w:val="auto"/>
                <w:kern w:val="0"/>
                <w:sz w:val="21"/>
                <w:szCs w:val="21"/>
                <w:lang w:val="en-US" w:eastAsia="zh-CN" w:bidi="ar-SA"/>
              </w:rPr>
            </w:pPr>
            <w:r>
              <w:rPr>
                <w:rFonts w:hint="eastAsia" w:eastAsia="仿宋_GB2312" w:cs="Times New Roman"/>
                <w:bCs/>
                <w:color w:val="auto"/>
                <w:kern w:val="0"/>
                <w:sz w:val="21"/>
                <w:szCs w:val="21"/>
                <w:lang w:val="en-US" w:eastAsia="zh-CN" w:bidi="ar-SA"/>
              </w:rPr>
              <w:t>1050</w:t>
            </w:r>
          </w:p>
        </w:tc>
        <w:tc>
          <w:tcPr>
            <w:tcW w:w="466" w:type="pct"/>
            <w:shd w:val="clear" w:color="auto" w:fill="auto"/>
            <w:vAlign w:val="center"/>
          </w:tcPr>
          <w:p w14:paraId="74B32000">
            <w:pPr>
              <w:widowControl/>
              <w:jc w:val="center"/>
              <w:rPr>
                <w:rFonts w:ascii="Times New Roman" w:hAnsi="Times New Roman" w:eastAsia="仿宋_GB2312" w:cs="Times New Roman"/>
                <w:color w:val="auto"/>
                <w:kern w:val="0"/>
                <w:sz w:val="21"/>
                <w:szCs w:val="24"/>
                <w:lang w:val="en-US" w:eastAsia="zh-CN" w:bidi="ar-SA"/>
              </w:rPr>
            </w:pPr>
            <w:r>
              <w:rPr>
                <w:rFonts w:eastAsia="仿宋_GB2312"/>
                <w:color w:val="auto"/>
                <w:kern w:val="0"/>
              </w:rPr>
              <w:t>连续精馏</w:t>
            </w:r>
          </w:p>
        </w:tc>
        <w:tc>
          <w:tcPr>
            <w:tcW w:w="335" w:type="pct"/>
            <w:shd w:val="clear" w:color="auto" w:fill="auto"/>
            <w:vAlign w:val="center"/>
          </w:tcPr>
          <w:p w14:paraId="6D10BA6D">
            <w:pPr>
              <w:widowControl/>
              <w:jc w:val="center"/>
              <w:rPr>
                <w:rFonts w:ascii="Times New Roman" w:hAnsi="Times New Roman" w:eastAsia="仿宋_GB2312" w:cs="Times New Roman"/>
                <w:color w:val="auto"/>
                <w:kern w:val="0"/>
                <w:sz w:val="21"/>
                <w:szCs w:val="24"/>
                <w:lang w:val="en-US" w:eastAsia="zh-CN" w:bidi="ar-SA"/>
              </w:rPr>
            </w:pPr>
            <w:r>
              <w:rPr>
                <w:rFonts w:eastAsia="仿宋_GB2312"/>
                <w:color w:val="auto"/>
                <w:kern w:val="0"/>
              </w:rPr>
              <w:t>/</w:t>
            </w:r>
          </w:p>
        </w:tc>
        <w:tc>
          <w:tcPr>
            <w:tcW w:w="448" w:type="pct"/>
            <w:shd w:val="clear" w:color="auto" w:fill="auto"/>
            <w:vAlign w:val="center"/>
          </w:tcPr>
          <w:p w14:paraId="17F307AC">
            <w:pPr>
              <w:widowControl/>
              <w:jc w:val="center"/>
              <w:rPr>
                <w:rFonts w:ascii="Times New Roman" w:hAnsi="Times New Roman" w:eastAsia="仿宋_GB2312" w:cs="Times New Roman"/>
                <w:color w:val="auto"/>
                <w:kern w:val="0"/>
                <w:sz w:val="21"/>
                <w:szCs w:val="24"/>
                <w:lang w:val="en-US" w:eastAsia="zh-CN" w:bidi="ar-SA"/>
              </w:rPr>
            </w:pPr>
            <w:r>
              <w:rPr>
                <w:rFonts w:eastAsia="仿宋_GB2312"/>
                <w:color w:val="auto"/>
                <w:kern w:val="0"/>
              </w:rPr>
              <w:t>/</w:t>
            </w:r>
          </w:p>
        </w:tc>
        <w:tc>
          <w:tcPr>
            <w:tcW w:w="392" w:type="pct"/>
            <w:shd w:val="clear" w:color="auto" w:fill="auto"/>
            <w:vAlign w:val="center"/>
          </w:tcPr>
          <w:p w14:paraId="534369AB">
            <w:pPr>
              <w:widowControl/>
              <w:jc w:val="center"/>
              <w:rPr>
                <w:rFonts w:hint="default" w:ascii="Times New Roman" w:hAnsi="Times New Roman" w:eastAsia="仿宋_GB2312" w:cs="Times New Roman"/>
                <w:color w:val="auto"/>
                <w:kern w:val="0"/>
                <w:sz w:val="21"/>
                <w:szCs w:val="24"/>
                <w:lang w:val="en-US" w:eastAsia="zh-CN" w:bidi="ar-SA"/>
              </w:rPr>
            </w:pPr>
            <w:r>
              <w:rPr>
                <w:rFonts w:hint="eastAsia" w:eastAsia="仿宋_GB2312"/>
                <w:color w:val="auto"/>
                <w:kern w:val="0"/>
                <w:lang w:val="en-US" w:eastAsia="zh-CN"/>
              </w:rPr>
              <w:t>2</w:t>
            </w:r>
          </w:p>
        </w:tc>
        <w:tc>
          <w:tcPr>
            <w:tcW w:w="355" w:type="pct"/>
            <w:shd w:val="clear" w:color="auto" w:fill="auto"/>
            <w:vAlign w:val="center"/>
          </w:tcPr>
          <w:p w14:paraId="1E543C0C">
            <w:pPr>
              <w:widowControl/>
              <w:jc w:val="center"/>
              <w:rPr>
                <w:rFonts w:hint="default" w:eastAsia="仿宋_GB2312"/>
                <w:color w:val="auto"/>
                <w:kern w:val="0"/>
                <w:lang w:val="en-US" w:eastAsia="zh-CN"/>
              </w:rPr>
            </w:pPr>
            <w:r>
              <w:rPr>
                <w:rFonts w:hint="eastAsia" w:eastAsia="仿宋_GB2312"/>
                <w:color w:val="auto"/>
                <w:kern w:val="0"/>
                <w:lang w:val="en-US" w:eastAsia="zh-CN"/>
              </w:rPr>
              <w:t>126</w:t>
            </w:r>
          </w:p>
        </w:tc>
        <w:tc>
          <w:tcPr>
            <w:tcW w:w="314" w:type="pct"/>
            <w:vMerge w:val="continue"/>
            <w:vAlign w:val="center"/>
          </w:tcPr>
          <w:p w14:paraId="2E0C258E">
            <w:pPr>
              <w:widowControl/>
              <w:jc w:val="center"/>
              <w:rPr>
                <w:rFonts w:eastAsia="仿宋_GB2312"/>
                <w:bCs/>
                <w:color w:val="FF0000"/>
                <w:kern w:val="0"/>
                <w:szCs w:val="21"/>
              </w:rPr>
            </w:pPr>
          </w:p>
        </w:tc>
      </w:tr>
      <w:tr w14:paraId="30EEFC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12" w:hRule="atLeast"/>
          <w:tblHeader/>
          <w:jc w:val="center"/>
        </w:trPr>
        <w:tc>
          <w:tcPr>
            <w:tcW w:w="604" w:type="pct"/>
            <w:vMerge w:val="continue"/>
            <w:tcMar>
              <w:top w:w="15" w:type="dxa"/>
              <w:left w:w="15" w:type="dxa"/>
              <w:bottom w:w="0" w:type="dxa"/>
              <w:right w:w="15" w:type="dxa"/>
            </w:tcMar>
            <w:vAlign w:val="center"/>
          </w:tcPr>
          <w:p w14:paraId="4DB42CBC">
            <w:pPr>
              <w:widowControl/>
              <w:jc w:val="center"/>
              <w:rPr>
                <w:rFonts w:eastAsia="仿宋_GB2312"/>
                <w:color w:val="FF0000"/>
                <w:kern w:val="0"/>
              </w:rPr>
            </w:pPr>
          </w:p>
        </w:tc>
        <w:tc>
          <w:tcPr>
            <w:tcW w:w="277" w:type="pct"/>
            <w:vMerge w:val="continue"/>
            <w:tcMar>
              <w:top w:w="15" w:type="dxa"/>
              <w:left w:w="15" w:type="dxa"/>
              <w:bottom w:w="0" w:type="dxa"/>
              <w:right w:w="15" w:type="dxa"/>
            </w:tcMar>
            <w:vAlign w:val="center"/>
          </w:tcPr>
          <w:p w14:paraId="18C1001E">
            <w:pPr>
              <w:widowControl/>
              <w:jc w:val="center"/>
              <w:rPr>
                <w:rFonts w:eastAsia="仿宋_GB2312"/>
                <w:color w:val="FF0000"/>
                <w:kern w:val="0"/>
              </w:rPr>
            </w:pPr>
          </w:p>
        </w:tc>
        <w:tc>
          <w:tcPr>
            <w:tcW w:w="1421" w:type="pct"/>
            <w:gridSpan w:val="2"/>
            <w:tcMar>
              <w:top w:w="15" w:type="dxa"/>
              <w:left w:w="15" w:type="dxa"/>
              <w:bottom w:w="0" w:type="dxa"/>
              <w:right w:w="15" w:type="dxa"/>
            </w:tcMar>
            <w:vAlign w:val="center"/>
          </w:tcPr>
          <w:p w14:paraId="3F2E4302">
            <w:pPr>
              <w:widowControl/>
              <w:jc w:val="center"/>
              <w:rPr>
                <w:rFonts w:hint="default" w:eastAsia="仿宋_GB2312"/>
                <w:bCs/>
                <w:color w:val="auto"/>
                <w:kern w:val="0"/>
                <w:szCs w:val="21"/>
                <w:lang w:val="en-US" w:eastAsia="zh-CN"/>
              </w:rPr>
            </w:pPr>
            <w:r>
              <w:rPr>
                <w:rFonts w:hint="eastAsia" w:eastAsia="仿宋_GB2312"/>
                <w:bCs/>
                <w:color w:val="auto"/>
                <w:kern w:val="0"/>
                <w:szCs w:val="21"/>
                <w:lang w:val="en-US" w:eastAsia="zh-CN"/>
              </w:rPr>
              <w:t>2-甲基四氢呋喃废液</w:t>
            </w:r>
          </w:p>
        </w:tc>
        <w:tc>
          <w:tcPr>
            <w:tcW w:w="385" w:type="pct"/>
            <w:tcMar>
              <w:top w:w="15" w:type="dxa"/>
              <w:left w:w="15" w:type="dxa"/>
              <w:bottom w:w="0" w:type="dxa"/>
              <w:right w:w="15" w:type="dxa"/>
            </w:tcMar>
            <w:vAlign w:val="center"/>
          </w:tcPr>
          <w:p w14:paraId="6CCD81D6">
            <w:pPr>
              <w:widowControl/>
              <w:jc w:val="center"/>
              <w:rPr>
                <w:rFonts w:hint="default" w:eastAsia="仿宋_GB2312"/>
                <w:color w:val="auto"/>
                <w:kern w:val="0"/>
                <w:szCs w:val="21"/>
                <w:lang w:val="en-US" w:eastAsia="zh-CN"/>
              </w:rPr>
            </w:pPr>
            <w:r>
              <w:rPr>
                <w:rFonts w:hint="eastAsia" w:eastAsia="仿宋_GB2312"/>
                <w:color w:val="auto"/>
                <w:kern w:val="0"/>
                <w:szCs w:val="21"/>
                <w:lang w:val="en-US" w:eastAsia="zh-CN"/>
              </w:rPr>
              <w:t>5000</w:t>
            </w:r>
          </w:p>
        </w:tc>
        <w:tc>
          <w:tcPr>
            <w:tcW w:w="466" w:type="pct"/>
            <w:shd w:val="clear" w:color="auto" w:fill="auto"/>
            <w:vAlign w:val="center"/>
          </w:tcPr>
          <w:p w14:paraId="22FACDFA">
            <w:pPr>
              <w:widowControl/>
              <w:jc w:val="center"/>
              <w:rPr>
                <w:rFonts w:ascii="Times New Roman" w:hAnsi="Times New Roman" w:eastAsia="仿宋_GB2312" w:cs="Times New Roman"/>
                <w:color w:val="auto"/>
                <w:kern w:val="0"/>
                <w:sz w:val="21"/>
                <w:szCs w:val="24"/>
                <w:lang w:val="en-US" w:eastAsia="zh-CN" w:bidi="ar-SA"/>
              </w:rPr>
            </w:pPr>
            <w:r>
              <w:rPr>
                <w:rFonts w:eastAsia="仿宋_GB2312"/>
                <w:color w:val="auto"/>
                <w:kern w:val="0"/>
              </w:rPr>
              <w:t>连续精馏</w:t>
            </w:r>
          </w:p>
        </w:tc>
        <w:tc>
          <w:tcPr>
            <w:tcW w:w="335" w:type="pct"/>
            <w:shd w:val="clear" w:color="auto" w:fill="auto"/>
            <w:vAlign w:val="center"/>
          </w:tcPr>
          <w:p w14:paraId="0ABCC491">
            <w:pPr>
              <w:widowControl/>
              <w:jc w:val="center"/>
              <w:rPr>
                <w:rFonts w:ascii="Times New Roman" w:hAnsi="Times New Roman" w:eastAsia="仿宋_GB2312" w:cs="Times New Roman"/>
                <w:color w:val="auto"/>
                <w:kern w:val="0"/>
                <w:sz w:val="21"/>
                <w:szCs w:val="24"/>
                <w:lang w:val="en-US" w:eastAsia="zh-CN" w:bidi="ar-SA"/>
              </w:rPr>
            </w:pPr>
            <w:r>
              <w:rPr>
                <w:rFonts w:eastAsia="仿宋_GB2312"/>
                <w:color w:val="auto"/>
                <w:kern w:val="0"/>
              </w:rPr>
              <w:t>/</w:t>
            </w:r>
          </w:p>
        </w:tc>
        <w:tc>
          <w:tcPr>
            <w:tcW w:w="448" w:type="pct"/>
            <w:shd w:val="clear" w:color="auto" w:fill="auto"/>
            <w:vAlign w:val="center"/>
          </w:tcPr>
          <w:p w14:paraId="06CDB2DD">
            <w:pPr>
              <w:widowControl/>
              <w:jc w:val="center"/>
              <w:rPr>
                <w:rFonts w:ascii="Times New Roman" w:hAnsi="Times New Roman" w:eastAsia="仿宋_GB2312" w:cs="Times New Roman"/>
                <w:color w:val="auto"/>
                <w:kern w:val="0"/>
                <w:sz w:val="21"/>
                <w:szCs w:val="24"/>
                <w:lang w:val="en-US" w:eastAsia="zh-CN" w:bidi="ar-SA"/>
              </w:rPr>
            </w:pPr>
            <w:r>
              <w:rPr>
                <w:rFonts w:eastAsia="仿宋_GB2312"/>
                <w:color w:val="auto"/>
                <w:kern w:val="0"/>
              </w:rPr>
              <w:t>/</w:t>
            </w:r>
          </w:p>
        </w:tc>
        <w:tc>
          <w:tcPr>
            <w:tcW w:w="392" w:type="pct"/>
            <w:shd w:val="clear" w:color="auto" w:fill="auto"/>
            <w:vAlign w:val="center"/>
          </w:tcPr>
          <w:p w14:paraId="1C538701">
            <w:pPr>
              <w:widowControl/>
              <w:jc w:val="center"/>
              <w:rPr>
                <w:rFonts w:hint="eastAsia" w:ascii="Times New Roman" w:hAnsi="Times New Roman" w:eastAsia="仿宋_GB2312" w:cs="Times New Roman"/>
                <w:color w:val="auto"/>
                <w:kern w:val="0"/>
                <w:sz w:val="21"/>
                <w:szCs w:val="24"/>
                <w:lang w:val="en-US" w:eastAsia="zh-CN" w:bidi="ar-SA"/>
              </w:rPr>
            </w:pPr>
            <w:r>
              <w:rPr>
                <w:rFonts w:hint="eastAsia" w:eastAsia="仿宋_GB2312"/>
                <w:color w:val="auto"/>
                <w:kern w:val="0"/>
                <w:lang w:val="en-US" w:eastAsia="zh-CN"/>
              </w:rPr>
              <w:t>2</w:t>
            </w:r>
          </w:p>
        </w:tc>
        <w:tc>
          <w:tcPr>
            <w:tcW w:w="355" w:type="pct"/>
            <w:vAlign w:val="center"/>
          </w:tcPr>
          <w:p w14:paraId="4B6EE61D">
            <w:pPr>
              <w:widowControl/>
              <w:jc w:val="center"/>
              <w:rPr>
                <w:rFonts w:hint="eastAsia" w:eastAsia="仿宋_GB2312"/>
                <w:color w:val="auto"/>
                <w:kern w:val="0"/>
                <w:lang w:val="en-US" w:eastAsia="zh-CN"/>
              </w:rPr>
            </w:pPr>
            <w:r>
              <w:rPr>
                <w:rFonts w:hint="eastAsia" w:eastAsia="仿宋_GB2312"/>
                <w:color w:val="auto"/>
                <w:kern w:val="0"/>
                <w:lang w:val="en-US" w:eastAsia="zh-CN"/>
              </w:rPr>
              <w:t>269</w:t>
            </w:r>
          </w:p>
        </w:tc>
        <w:tc>
          <w:tcPr>
            <w:tcW w:w="314" w:type="pct"/>
            <w:vMerge w:val="continue"/>
            <w:vAlign w:val="center"/>
          </w:tcPr>
          <w:p w14:paraId="787EBB93">
            <w:pPr>
              <w:widowControl/>
              <w:jc w:val="center"/>
              <w:rPr>
                <w:rFonts w:eastAsia="仿宋_GB2312"/>
                <w:bCs/>
                <w:color w:val="FF0000"/>
                <w:kern w:val="0"/>
                <w:szCs w:val="21"/>
              </w:rPr>
            </w:pPr>
          </w:p>
        </w:tc>
      </w:tr>
      <w:tr w14:paraId="259C58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12" w:hRule="atLeast"/>
          <w:tblHeader/>
          <w:jc w:val="center"/>
        </w:trPr>
        <w:tc>
          <w:tcPr>
            <w:tcW w:w="604" w:type="pct"/>
            <w:vMerge w:val="continue"/>
            <w:tcMar>
              <w:top w:w="15" w:type="dxa"/>
              <w:left w:w="15" w:type="dxa"/>
              <w:bottom w:w="0" w:type="dxa"/>
              <w:right w:w="15" w:type="dxa"/>
            </w:tcMar>
            <w:vAlign w:val="center"/>
          </w:tcPr>
          <w:p w14:paraId="5B65FF65">
            <w:pPr>
              <w:widowControl/>
              <w:jc w:val="center"/>
              <w:rPr>
                <w:rFonts w:eastAsia="仿宋_GB2312"/>
                <w:color w:val="FF0000"/>
                <w:kern w:val="0"/>
              </w:rPr>
            </w:pPr>
          </w:p>
        </w:tc>
        <w:tc>
          <w:tcPr>
            <w:tcW w:w="277" w:type="pct"/>
            <w:vMerge w:val="continue"/>
            <w:tcMar>
              <w:top w:w="15" w:type="dxa"/>
              <w:left w:w="15" w:type="dxa"/>
              <w:bottom w:w="0" w:type="dxa"/>
              <w:right w:w="15" w:type="dxa"/>
            </w:tcMar>
            <w:vAlign w:val="center"/>
          </w:tcPr>
          <w:p w14:paraId="7303B03D">
            <w:pPr>
              <w:widowControl/>
              <w:jc w:val="center"/>
              <w:rPr>
                <w:rFonts w:eastAsia="仿宋_GB2312"/>
                <w:color w:val="FF0000"/>
                <w:kern w:val="0"/>
              </w:rPr>
            </w:pPr>
          </w:p>
        </w:tc>
        <w:tc>
          <w:tcPr>
            <w:tcW w:w="1421" w:type="pct"/>
            <w:gridSpan w:val="2"/>
            <w:tcMar>
              <w:top w:w="15" w:type="dxa"/>
              <w:left w:w="15" w:type="dxa"/>
              <w:bottom w:w="0" w:type="dxa"/>
              <w:right w:w="15" w:type="dxa"/>
            </w:tcMar>
            <w:vAlign w:val="center"/>
          </w:tcPr>
          <w:p w14:paraId="6F8CF93C">
            <w:pPr>
              <w:widowControl/>
              <w:jc w:val="center"/>
              <w:rPr>
                <w:rFonts w:hint="default" w:eastAsia="仿宋_GB2312"/>
                <w:bCs/>
                <w:color w:val="auto"/>
                <w:kern w:val="0"/>
                <w:szCs w:val="21"/>
                <w:lang w:val="en-US" w:eastAsia="zh-CN"/>
              </w:rPr>
            </w:pPr>
            <w:r>
              <w:rPr>
                <w:rFonts w:hint="eastAsia" w:eastAsia="仿宋_GB2312"/>
                <w:bCs/>
                <w:color w:val="auto"/>
                <w:kern w:val="0"/>
                <w:szCs w:val="21"/>
                <w:lang w:val="en-US" w:eastAsia="zh-CN"/>
              </w:rPr>
              <w:t>甲基叔丁基醚废液</w:t>
            </w:r>
          </w:p>
        </w:tc>
        <w:tc>
          <w:tcPr>
            <w:tcW w:w="385" w:type="pct"/>
            <w:tcMar>
              <w:top w:w="15" w:type="dxa"/>
              <w:left w:w="15" w:type="dxa"/>
              <w:bottom w:w="0" w:type="dxa"/>
              <w:right w:w="15" w:type="dxa"/>
            </w:tcMar>
            <w:vAlign w:val="center"/>
          </w:tcPr>
          <w:p w14:paraId="0E42745A">
            <w:pPr>
              <w:widowControl/>
              <w:jc w:val="center"/>
              <w:rPr>
                <w:rFonts w:hint="default" w:eastAsia="仿宋_GB2312"/>
                <w:color w:val="auto"/>
                <w:kern w:val="0"/>
                <w:szCs w:val="21"/>
                <w:lang w:val="en-US" w:eastAsia="zh-CN"/>
              </w:rPr>
            </w:pPr>
            <w:r>
              <w:rPr>
                <w:rFonts w:hint="eastAsia" w:eastAsia="仿宋_GB2312"/>
                <w:color w:val="auto"/>
                <w:kern w:val="0"/>
                <w:szCs w:val="21"/>
                <w:lang w:val="en-US" w:eastAsia="zh-CN"/>
              </w:rPr>
              <w:t>2000</w:t>
            </w:r>
          </w:p>
        </w:tc>
        <w:tc>
          <w:tcPr>
            <w:tcW w:w="466" w:type="pct"/>
            <w:shd w:val="clear" w:color="auto" w:fill="auto"/>
            <w:vAlign w:val="center"/>
          </w:tcPr>
          <w:p w14:paraId="2676566C">
            <w:pPr>
              <w:widowControl/>
              <w:jc w:val="center"/>
              <w:rPr>
                <w:rFonts w:ascii="Times New Roman" w:hAnsi="Times New Roman" w:eastAsia="仿宋_GB2312" w:cs="Times New Roman"/>
                <w:color w:val="auto"/>
                <w:kern w:val="0"/>
                <w:sz w:val="21"/>
                <w:szCs w:val="24"/>
                <w:lang w:val="en-US" w:eastAsia="zh-CN" w:bidi="ar-SA"/>
              </w:rPr>
            </w:pPr>
            <w:r>
              <w:rPr>
                <w:rFonts w:eastAsia="仿宋_GB2312"/>
                <w:color w:val="auto"/>
                <w:kern w:val="0"/>
              </w:rPr>
              <w:t>连续精馏</w:t>
            </w:r>
          </w:p>
        </w:tc>
        <w:tc>
          <w:tcPr>
            <w:tcW w:w="335" w:type="pct"/>
            <w:shd w:val="clear" w:color="auto" w:fill="auto"/>
            <w:vAlign w:val="center"/>
          </w:tcPr>
          <w:p w14:paraId="24DE29C7">
            <w:pPr>
              <w:widowControl/>
              <w:jc w:val="center"/>
              <w:rPr>
                <w:rFonts w:ascii="Times New Roman" w:hAnsi="Times New Roman" w:eastAsia="仿宋_GB2312" w:cs="Times New Roman"/>
                <w:color w:val="auto"/>
                <w:kern w:val="0"/>
                <w:sz w:val="21"/>
                <w:szCs w:val="24"/>
                <w:lang w:val="en-US" w:eastAsia="zh-CN" w:bidi="ar-SA"/>
              </w:rPr>
            </w:pPr>
            <w:r>
              <w:rPr>
                <w:rFonts w:eastAsia="仿宋_GB2312"/>
                <w:color w:val="auto"/>
                <w:kern w:val="0"/>
              </w:rPr>
              <w:t>/</w:t>
            </w:r>
          </w:p>
        </w:tc>
        <w:tc>
          <w:tcPr>
            <w:tcW w:w="448" w:type="pct"/>
            <w:shd w:val="clear" w:color="auto" w:fill="auto"/>
            <w:vAlign w:val="center"/>
          </w:tcPr>
          <w:p w14:paraId="79F58823">
            <w:pPr>
              <w:widowControl/>
              <w:jc w:val="center"/>
              <w:rPr>
                <w:rFonts w:ascii="Times New Roman" w:hAnsi="Times New Roman" w:eastAsia="仿宋_GB2312" w:cs="Times New Roman"/>
                <w:color w:val="auto"/>
                <w:kern w:val="0"/>
                <w:sz w:val="21"/>
                <w:szCs w:val="24"/>
                <w:lang w:val="en-US" w:eastAsia="zh-CN" w:bidi="ar-SA"/>
              </w:rPr>
            </w:pPr>
            <w:r>
              <w:rPr>
                <w:rFonts w:eastAsia="仿宋_GB2312"/>
                <w:color w:val="auto"/>
                <w:kern w:val="0"/>
              </w:rPr>
              <w:t>/</w:t>
            </w:r>
          </w:p>
        </w:tc>
        <w:tc>
          <w:tcPr>
            <w:tcW w:w="392" w:type="pct"/>
            <w:shd w:val="clear" w:color="auto" w:fill="auto"/>
            <w:vAlign w:val="center"/>
          </w:tcPr>
          <w:p w14:paraId="5B74A68B">
            <w:pPr>
              <w:widowControl/>
              <w:jc w:val="center"/>
              <w:rPr>
                <w:rFonts w:hint="eastAsia" w:ascii="Times New Roman" w:hAnsi="Times New Roman" w:eastAsia="仿宋_GB2312" w:cs="Times New Roman"/>
                <w:color w:val="auto"/>
                <w:kern w:val="0"/>
                <w:sz w:val="21"/>
                <w:szCs w:val="24"/>
                <w:lang w:val="en-US" w:eastAsia="zh-CN" w:bidi="ar-SA"/>
              </w:rPr>
            </w:pPr>
            <w:r>
              <w:rPr>
                <w:rFonts w:hint="eastAsia" w:eastAsia="仿宋_GB2312"/>
                <w:color w:val="auto"/>
                <w:kern w:val="0"/>
                <w:lang w:val="en-US" w:eastAsia="zh-CN"/>
              </w:rPr>
              <w:t>2</w:t>
            </w:r>
          </w:p>
        </w:tc>
        <w:tc>
          <w:tcPr>
            <w:tcW w:w="355" w:type="pct"/>
            <w:vAlign w:val="center"/>
          </w:tcPr>
          <w:p w14:paraId="2525F7D7">
            <w:pPr>
              <w:widowControl/>
              <w:jc w:val="center"/>
              <w:rPr>
                <w:rFonts w:hint="eastAsia" w:eastAsia="仿宋_GB2312"/>
                <w:color w:val="auto"/>
                <w:kern w:val="0"/>
                <w:lang w:val="en-US" w:eastAsia="zh-CN"/>
              </w:rPr>
            </w:pPr>
            <w:r>
              <w:rPr>
                <w:rFonts w:hint="eastAsia" w:eastAsia="仿宋_GB2312"/>
                <w:color w:val="auto"/>
                <w:kern w:val="0"/>
                <w:lang w:val="en-US" w:eastAsia="zh-CN"/>
              </w:rPr>
              <w:t>115</w:t>
            </w:r>
          </w:p>
        </w:tc>
        <w:tc>
          <w:tcPr>
            <w:tcW w:w="314" w:type="pct"/>
            <w:vMerge w:val="continue"/>
            <w:vAlign w:val="center"/>
          </w:tcPr>
          <w:p w14:paraId="3CA1C8AD">
            <w:pPr>
              <w:widowControl/>
              <w:jc w:val="center"/>
              <w:rPr>
                <w:rFonts w:eastAsia="仿宋_GB2312"/>
                <w:bCs/>
                <w:color w:val="FF0000"/>
                <w:kern w:val="0"/>
                <w:szCs w:val="21"/>
              </w:rPr>
            </w:pPr>
          </w:p>
        </w:tc>
      </w:tr>
      <w:tr w14:paraId="1BFD5D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12" w:hRule="atLeast"/>
          <w:tblHeader/>
          <w:jc w:val="center"/>
        </w:trPr>
        <w:tc>
          <w:tcPr>
            <w:tcW w:w="604" w:type="pct"/>
            <w:vMerge w:val="continue"/>
            <w:tcMar>
              <w:top w:w="15" w:type="dxa"/>
              <w:left w:w="15" w:type="dxa"/>
              <w:bottom w:w="0" w:type="dxa"/>
              <w:right w:w="15" w:type="dxa"/>
            </w:tcMar>
            <w:vAlign w:val="center"/>
          </w:tcPr>
          <w:p w14:paraId="7A0D8D1C">
            <w:pPr>
              <w:widowControl/>
              <w:jc w:val="center"/>
              <w:rPr>
                <w:rFonts w:eastAsia="仿宋_GB2312"/>
                <w:color w:val="FF0000"/>
                <w:kern w:val="0"/>
              </w:rPr>
            </w:pPr>
          </w:p>
        </w:tc>
        <w:tc>
          <w:tcPr>
            <w:tcW w:w="277" w:type="pct"/>
            <w:vMerge w:val="continue"/>
            <w:tcMar>
              <w:top w:w="15" w:type="dxa"/>
              <w:left w:w="15" w:type="dxa"/>
              <w:bottom w:w="0" w:type="dxa"/>
              <w:right w:w="15" w:type="dxa"/>
            </w:tcMar>
            <w:vAlign w:val="center"/>
          </w:tcPr>
          <w:p w14:paraId="74EB70C4">
            <w:pPr>
              <w:widowControl/>
              <w:jc w:val="center"/>
              <w:rPr>
                <w:rFonts w:eastAsia="仿宋_GB2312"/>
                <w:color w:val="FF0000"/>
                <w:kern w:val="0"/>
              </w:rPr>
            </w:pPr>
          </w:p>
        </w:tc>
        <w:tc>
          <w:tcPr>
            <w:tcW w:w="1421" w:type="pct"/>
            <w:gridSpan w:val="2"/>
            <w:tcMar>
              <w:top w:w="15" w:type="dxa"/>
              <w:left w:w="15" w:type="dxa"/>
              <w:bottom w:w="0" w:type="dxa"/>
              <w:right w:w="15" w:type="dxa"/>
            </w:tcMar>
            <w:vAlign w:val="center"/>
          </w:tcPr>
          <w:p w14:paraId="07520A50">
            <w:pPr>
              <w:widowControl/>
              <w:jc w:val="center"/>
              <w:rPr>
                <w:rFonts w:hint="default" w:eastAsia="仿宋_GB2312"/>
                <w:bCs/>
                <w:color w:val="auto"/>
                <w:kern w:val="0"/>
                <w:szCs w:val="21"/>
                <w:lang w:val="en-US" w:eastAsia="zh-CN"/>
              </w:rPr>
            </w:pPr>
            <w:r>
              <w:rPr>
                <w:rFonts w:hint="eastAsia" w:eastAsia="仿宋_GB2312"/>
                <w:bCs/>
                <w:color w:val="auto"/>
                <w:kern w:val="0"/>
                <w:szCs w:val="21"/>
                <w:lang w:val="en-US" w:eastAsia="zh-CN"/>
              </w:rPr>
              <w:t>丙二醇甲醚醋酸酯废液</w:t>
            </w:r>
          </w:p>
        </w:tc>
        <w:tc>
          <w:tcPr>
            <w:tcW w:w="385" w:type="pct"/>
            <w:tcMar>
              <w:top w:w="15" w:type="dxa"/>
              <w:left w:w="15" w:type="dxa"/>
              <w:bottom w:w="0" w:type="dxa"/>
              <w:right w:w="15" w:type="dxa"/>
            </w:tcMar>
            <w:vAlign w:val="center"/>
          </w:tcPr>
          <w:p w14:paraId="71626352">
            <w:pPr>
              <w:widowControl/>
              <w:jc w:val="center"/>
              <w:rPr>
                <w:rFonts w:hint="default" w:eastAsia="仿宋_GB2312"/>
                <w:color w:val="auto"/>
                <w:kern w:val="0"/>
                <w:szCs w:val="21"/>
                <w:lang w:val="en-US" w:eastAsia="zh-CN"/>
              </w:rPr>
            </w:pPr>
            <w:r>
              <w:rPr>
                <w:rFonts w:hint="eastAsia" w:eastAsia="仿宋_GB2312"/>
                <w:color w:val="auto"/>
                <w:kern w:val="0"/>
                <w:szCs w:val="21"/>
                <w:lang w:val="en-US" w:eastAsia="zh-CN"/>
              </w:rPr>
              <w:t>2000</w:t>
            </w:r>
          </w:p>
        </w:tc>
        <w:tc>
          <w:tcPr>
            <w:tcW w:w="466" w:type="pct"/>
            <w:shd w:val="clear" w:color="auto" w:fill="auto"/>
            <w:vAlign w:val="center"/>
          </w:tcPr>
          <w:p w14:paraId="66892CD5">
            <w:pPr>
              <w:widowControl/>
              <w:jc w:val="center"/>
              <w:rPr>
                <w:rFonts w:ascii="Times New Roman" w:hAnsi="Times New Roman" w:eastAsia="仿宋_GB2312" w:cs="Times New Roman"/>
                <w:color w:val="auto"/>
                <w:kern w:val="0"/>
                <w:sz w:val="21"/>
                <w:szCs w:val="24"/>
                <w:lang w:val="en-US" w:eastAsia="zh-CN" w:bidi="ar-SA"/>
              </w:rPr>
            </w:pPr>
            <w:r>
              <w:rPr>
                <w:rFonts w:eastAsia="仿宋_GB2312"/>
                <w:color w:val="auto"/>
                <w:kern w:val="0"/>
              </w:rPr>
              <w:t>连续精馏</w:t>
            </w:r>
          </w:p>
        </w:tc>
        <w:tc>
          <w:tcPr>
            <w:tcW w:w="335" w:type="pct"/>
            <w:shd w:val="clear" w:color="auto" w:fill="auto"/>
            <w:vAlign w:val="center"/>
          </w:tcPr>
          <w:p w14:paraId="3789E4E2">
            <w:pPr>
              <w:widowControl/>
              <w:jc w:val="center"/>
              <w:rPr>
                <w:rFonts w:ascii="Times New Roman" w:hAnsi="Times New Roman" w:eastAsia="仿宋_GB2312" w:cs="Times New Roman"/>
                <w:color w:val="auto"/>
                <w:kern w:val="0"/>
                <w:sz w:val="21"/>
                <w:szCs w:val="24"/>
                <w:lang w:val="en-US" w:eastAsia="zh-CN" w:bidi="ar-SA"/>
              </w:rPr>
            </w:pPr>
            <w:r>
              <w:rPr>
                <w:rFonts w:eastAsia="仿宋_GB2312"/>
                <w:color w:val="auto"/>
                <w:kern w:val="0"/>
              </w:rPr>
              <w:t>/</w:t>
            </w:r>
          </w:p>
        </w:tc>
        <w:tc>
          <w:tcPr>
            <w:tcW w:w="448" w:type="pct"/>
            <w:shd w:val="clear" w:color="auto" w:fill="auto"/>
            <w:vAlign w:val="center"/>
          </w:tcPr>
          <w:p w14:paraId="401E9575">
            <w:pPr>
              <w:widowControl/>
              <w:jc w:val="center"/>
              <w:rPr>
                <w:rFonts w:ascii="Times New Roman" w:hAnsi="Times New Roman" w:eastAsia="仿宋_GB2312" w:cs="Times New Roman"/>
                <w:color w:val="auto"/>
                <w:kern w:val="0"/>
                <w:sz w:val="21"/>
                <w:szCs w:val="24"/>
                <w:lang w:val="en-US" w:eastAsia="zh-CN" w:bidi="ar-SA"/>
              </w:rPr>
            </w:pPr>
            <w:r>
              <w:rPr>
                <w:rFonts w:eastAsia="仿宋_GB2312"/>
                <w:color w:val="auto"/>
                <w:kern w:val="0"/>
              </w:rPr>
              <w:t>/</w:t>
            </w:r>
          </w:p>
        </w:tc>
        <w:tc>
          <w:tcPr>
            <w:tcW w:w="392" w:type="pct"/>
            <w:shd w:val="clear" w:color="auto" w:fill="auto"/>
            <w:vAlign w:val="center"/>
          </w:tcPr>
          <w:p w14:paraId="70587DCC">
            <w:pPr>
              <w:widowControl/>
              <w:jc w:val="center"/>
              <w:rPr>
                <w:rFonts w:hint="eastAsia" w:ascii="Times New Roman" w:hAnsi="Times New Roman" w:eastAsia="仿宋_GB2312" w:cs="Times New Roman"/>
                <w:color w:val="auto"/>
                <w:kern w:val="0"/>
                <w:sz w:val="21"/>
                <w:szCs w:val="24"/>
                <w:lang w:val="en-US" w:eastAsia="zh-CN" w:bidi="ar-SA"/>
              </w:rPr>
            </w:pPr>
            <w:r>
              <w:rPr>
                <w:rFonts w:hint="eastAsia" w:eastAsia="仿宋_GB2312"/>
                <w:color w:val="auto"/>
                <w:kern w:val="0"/>
                <w:lang w:val="en-US" w:eastAsia="zh-CN"/>
              </w:rPr>
              <w:t>2</w:t>
            </w:r>
          </w:p>
        </w:tc>
        <w:tc>
          <w:tcPr>
            <w:tcW w:w="355" w:type="pct"/>
            <w:vAlign w:val="center"/>
          </w:tcPr>
          <w:p w14:paraId="0DDEE237">
            <w:pPr>
              <w:widowControl/>
              <w:jc w:val="center"/>
              <w:rPr>
                <w:rFonts w:hint="eastAsia" w:eastAsia="仿宋_GB2312"/>
                <w:color w:val="auto"/>
                <w:kern w:val="0"/>
                <w:lang w:val="en-US" w:eastAsia="zh-CN"/>
              </w:rPr>
            </w:pPr>
            <w:r>
              <w:rPr>
                <w:rFonts w:hint="eastAsia" w:eastAsia="仿宋_GB2312"/>
                <w:color w:val="auto"/>
                <w:kern w:val="0"/>
                <w:lang w:val="en-US" w:eastAsia="zh-CN"/>
              </w:rPr>
              <w:t>133</w:t>
            </w:r>
          </w:p>
        </w:tc>
        <w:tc>
          <w:tcPr>
            <w:tcW w:w="314" w:type="pct"/>
            <w:vMerge w:val="continue"/>
            <w:vAlign w:val="center"/>
          </w:tcPr>
          <w:p w14:paraId="3A99090F">
            <w:pPr>
              <w:widowControl/>
              <w:jc w:val="center"/>
              <w:rPr>
                <w:rFonts w:eastAsia="仿宋_GB2312"/>
                <w:bCs/>
                <w:color w:val="FF0000"/>
                <w:kern w:val="0"/>
                <w:szCs w:val="21"/>
              </w:rPr>
            </w:pPr>
          </w:p>
        </w:tc>
      </w:tr>
      <w:tr w14:paraId="45F64B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12" w:hRule="atLeast"/>
          <w:tblHeader/>
          <w:jc w:val="center"/>
        </w:trPr>
        <w:tc>
          <w:tcPr>
            <w:tcW w:w="604" w:type="pct"/>
            <w:vMerge w:val="restart"/>
            <w:tcMar>
              <w:top w:w="15" w:type="dxa"/>
              <w:left w:w="15" w:type="dxa"/>
              <w:bottom w:w="0" w:type="dxa"/>
              <w:right w:w="15" w:type="dxa"/>
            </w:tcMar>
            <w:vAlign w:val="center"/>
          </w:tcPr>
          <w:p w14:paraId="763C4C8C">
            <w:pPr>
              <w:widowControl/>
              <w:jc w:val="center"/>
              <w:rPr>
                <w:rFonts w:hint="default" w:eastAsia="仿宋_GB2312"/>
                <w:color w:val="auto"/>
                <w:kern w:val="0"/>
                <w:lang w:val="en-US" w:eastAsia="zh-CN"/>
              </w:rPr>
            </w:pPr>
            <w:r>
              <w:rPr>
                <w:rFonts w:hint="eastAsia" w:eastAsia="仿宋_GB2312"/>
                <w:color w:val="auto"/>
                <w:kern w:val="0"/>
                <w:lang w:val="en-US" w:eastAsia="zh-CN"/>
              </w:rPr>
              <w:t>超重力精馏系统</w:t>
            </w:r>
          </w:p>
        </w:tc>
        <w:tc>
          <w:tcPr>
            <w:tcW w:w="277" w:type="pct"/>
            <w:vMerge w:val="restart"/>
            <w:tcMar>
              <w:top w:w="15" w:type="dxa"/>
              <w:left w:w="15" w:type="dxa"/>
              <w:bottom w:w="0" w:type="dxa"/>
              <w:right w:w="15" w:type="dxa"/>
            </w:tcMar>
            <w:vAlign w:val="center"/>
          </w:tcPr>
          <w:p w14:paraId="29851223">
            <w:pPr>
              <w:widowControl/>
              <w:jc w:val="center"/>
              <w:rPr>
                <w:rFonts w:hint="eastAsia" w:eastAsia="仿宋_GB2312"/>
                <w:color w:val="auto"/>
                <w:kern w:val="0"/>
                <w:lang w:val="en-US" w:eastAsia="zh-CN"/>
              </w:rPr>
            </w:pPr>
            <w:r>
              <w:rPr>
                <w:rFonts w:hint="eastAsia" w:eastAsia="仿宋_GB2312"/>
                <w:color w:val="auto"/>
                <w:kern w:val="0"/>
                <w:lang w:val="en-US" w:eastAsia="zh-CN"/>
              </w:rPr>
              <w:t>2</w:t>
            </w:r>
          </w:p>
        </w:tc>
        <w:tc>
          <w:tcPr>
            <w:tcW w:w="1421" w:type="pct"/>
            <w:gridSpan w:val="2"/>
            <w:tcMar>
              <w:top w:w="15" w:type="dxa"/>
              <w:left w:w="15" w:type="dxa"/>
              <w:bottom w:w="0" w:type="dxa"/>
              <w:right w:w="15" w:type="dxa"/>
            </w:tcMar>
            <w:vAlign w:val="center"/>
          </w:tcPr>
          <w:p w14:paraId="32577333">
            <w:pPr>
              <w:widowControl/>
              <w:jc w:val="center"/>
              <w:rPr>
                <w:rFonts w:hint="default" w:eastAsia="仿宋_GB2312"/>
                <w:bCs/>
                <w:color w:val="auto"/>
                <w:kern w:val="0"/>
                <w:szCs w:val="21"/>
                <w:lang w:val="en-US" w:eastAsia="zh-CN"/>
              </w:rPr>
            </w:pPr>
            <w:r>
              <w:rPr>
                <w:rFonts w:hint="eastAsia" w:eastAsia="仿宋_GB2312"/>
                <w:bCs/>
                <w:color w:val="auto"/>
                <w:kern w:val="0"/>
                <w:szCs w:val="21"/>
                <w:lang w:val="en-US" w:eastAsia="zh-CN"/>
              </w:rPr>
              <w:t>乙醇废液</w:t>
            </w:r>
          </w:p>
        </w:tc>
        <w:tc>
          <w:tcPr>
            <w:tcW w:w="385" w:type="pct"/>
            <w:tcMar>
              <w:top w:w="15" w:type="dxa"/>
              <w:left w:w="15" w:type="dxa"/>
              <w:bottom w:w="0" w:type="dxa"/>
              <w:right w:w="15" w:type="dxa"/>
            </w:tcMar>
            <w:vAlign w:val="center"/>
          </w:tcPr>
          <w:p w14:paraId="0968FB6B">
            <w:pPr>
              <w:widowControl/>
              <w:jc w:val="center"/>
              <w:rPr>
                <w:rFonts w:hint="default" w:eastAsia="仿宋_GB2312"/>
                <w:color w:val="auto"/>
                <w:kern w:val="0"/>
                <w:szCs w:val="21"/>
                <w:lang w:val="en-US" w:eastAsia="zh-CN"/>
              </w:rPr>
            </w:pPr>
            <w:r>
              <w:rPr>
                <w:rFonts w:hint="eastAsia" w:eastAsia="仿宋_GB2312"/>
                <w:color w:val="auto"/>
                <w:kern w:val="0"/>
                <w:szCs w:val="21"/>
                <w:lang w:val="en-US" w:eastAsia="zh-CN"/>
              </w:rPr>
              <w:t>11000</w:t>
            </w:r>
          </w:p>
        </w:tc>
        <w:tc>
          <w:tcPr>
            <w:tcW w:w="466" w:type="pct"/>
            <w:shd w:val="clear" w:color="auto" w:fill="auto"/>
            <w:vAlign w:val="center"/>
          </w:tcPr>
          <w:p w14:paraId="5B143F10">
            <w:pPr>
              <w:widowControl/>
              <w:jc w:val="center"/>
              <w:rPr>
                <w:rFonts w:ascii="Times New Roman" w:hAnsi="Times New Roman" w:eastAsia="仿宋_GB2312" w:cs="Times New Roman"/>
                <w:color w:val="auto"/>
                <w:kern w:val="0"/>
                <w:sz w:val="21"/>
                <w:szCs w:val="24"/>
                <w:lang w:val="en-US" w:eastAsia="zh-CN" w:bidi="ar-SA"/>
              </w:rPr>
            </w:pPr>
            <w:r>
              <w:rPr>
                <w:rFonts w:eastAsia="仿宋_GB2312"/>
                <w:color w:val="auto"/>
                <w:kern w:val="0"/>
              </w:rPr>
              <w:t>连续精馏</w:t>
            </w:r>
          </w:p>
        </w:tc>
        <w:tc>
          <w:tcPr>
            <w:tcW w:w="335" w:type="pct"/>
            <w:shd w:val="clear" w:color="auto" w:fill="auto"/>
            <w:vAlign w:val="center"/>
          </w:tcPr>
          <w:p w14:paraId="4204E7D3">
            <w:pPr>
              <w:widowControl/>
              <w:jc w:val="center"/>
              <w:rPr>
                <w:rFonts w:ascii="Times New Roman" w:hAnsi="Times New Roman" w:eastAsia="仿宋_GB2312" w:cs="Times New Roman"/>
                <w:color w:val="auto"/>
                <w:kern w:val="0"/>
                <w:sz w:val="21"/>
                <w:szCs w:val="24"/>
                <w:lang w:val="en-US" w:eastAsia="zh-CN" w:bidi="ar-SA"/>
              </w:rPr>
            </w:pPr>
            <w:r>
              <w:rPr>
                <w:rFonts w:eastAsia="仿宋_GB2312"/>
                <w:color w:val="auto"/>
                <w:kern w:val="0"/>
              </w:rPr>
              <w:t>/</w:t>
            </w:r>
          </w:p>
        </w:tc>
        <w:tc>
          <w:tcPr>
            <w:tcW w:w="448" w:type="pct"/>
            <w:shd w:val="clear" w:color="auto" w:fill="auto"/>
            <w:vAlign w:val="center"/>
          </w:tcPr>
          <w:p w14:paraId="09CB8485">
            <w:pPr>
              <w:widowControl/>
              <w:jc w:val="center"/>
              <w:rPr>
                <w:rFonts w:ascii="Times New Roman" w:hAnsi="Times New Roman" w:eastAsia="仿宋_GB2312" w:cs="Times New Roman"/>
                <w:color w:val="auto"/>
                <w:kern w:val="0"/>
                <w:sz w:val="21"/>
                <w:szCs w:val="24"/>
                <w:lang w:val="en-US" w:eastAsia="zh-CN" w:bidi="ar-SA"/>
              </w:rPr>
            </w:pPr>
            <w:r>
              <w:rPr>
                <w:rFonts w:eastAsia="仿宋_GB2312"/>
                <w:color w:val="auto"/>
                <w:kern w:val="0"/>
              </w:rPr>
              <w:t>/</w:t>
            </w:r>
          </w:p>
        </w:tc>
        <w:tc>
          <w:tcPr>
            <w:tcW w:w="392" w:type="pct"/>
            <w:shd w:val="clear" w:color="auto" w:fill="auto"/>
            <w:vAlign w:val="center"/>
          </w:tcPr>
          <w:p w14:paraId="21602560">
            <w:pPr>
              <w:widowControl/>
              <w:jc w:val="center"/>
              <w:rPr>
                <w:rFonts w:hint="eastAsia" w:ascii="Times New Roman" w:hAnsi="Times New Roman" w:eastAsia="仿宋_GB2312" w:cs="Times New Roman"/>
                <w:color w:val="auto"/>
                <w:kern w:val="0"/>
                <w:sz w:val="21"/>
                <w:szCs w:val="24"/>
                <w:lang w:val="en-US" w:eastAsia="zh-CN" w:bidi="ar-SA"/>
              </w:rPr>
            </w:pPr>
            <w:r>
              <w:rPr>
                <w:rFonts w:hint="eastAsia" w:eastAsia="仿宋_GB2312"/>
                <w:color w:val="auto"/>
                <w:kern w:val="0"/>
                <w:lang w:val="en-US" w:eastAsia="zh-CN"/>
              </w:rPr>
              <w:t>2</w:t>
            </w:r>
          </w:p>
        </w:tc>
        <w:tc>
          <w:tcPr>
            <w:tcW w:w="355" w:type="pct"/>
            <w:vAlign w:val="center"/>
          </w:tcPr>
          <w:p w14:paraId="517ADE61">
            <w:pPr>
              <w:widowControl/>
              <w:jc w:val="center"/>
              <w:rPr>
                <w:rFonts w:hint="default" w:eastAsia="仿宋_GB2312"/>
                <w:color w:val="auto"/>
                <w:kern w:val="0"/>
                <w:lang w:val="en-US" w:eastAsia="zh-CN"/>
              </w:rPr>
            </w:pPr>
            <w:r>
              <w:rPr>
                <w:rFonts w:hint="eastAsia" w:eastAsia="仿宋_GB2312"/>
                <w:color w:val="auto"/>
                <w:kern w:val="0"/>
                <w:lang w:val="en-US" w:eastAsia="zh-CN"/>
              </w:rPr>
              <w:t>2200</w:t>
            </w:r>
          </w:p>
        </w:tc>
        <w:tc>
          <w:tcPr>
            <w:tcW w:w="314" w:type="pct"/>
            <w:vMerge w:val="restart"/>
            <w:vAlign w:val="center"/>
          </w:tcPr>
          <w:p w14:paraId="3C1D49AF">
            <w:pPr>
              <w:widowControl/>
              <w:jc w:val="center"/>
              <w:rPr>
                <w:rFonts w:hint="default" w:eastAsia="仿宋_GB2312"/>
                <w:bCs/>
                <w:color w:val="FF0000"/>
                <w:kern w:val="0"/>
                <w:szCs w:val="21"/>
                <w:lang w:val="en-US" w:eastAsia="zh-CN"/>
              </w:rPr>
            </w:pPr>
            <w:r>
              <w:rPr>
                <w:rFonts w:hint="eastAsia" w:eastAsia="仿宋_GB2312"/>
                <w:bCs/>
                <w:color w:val="auto"/>
                <w:kern w:val="0"/>
                <w:szCs w:val="21"/>
                <w:lang w:val="en-US" w:eastAsia="zh-CN"/>
              </w:rPr>
              <w:t>8200</w:t>
            </w:r>
          </w:p>
        </w:tc>
      </w:tr>
      <w:tr w14:paraId="74A345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12" w:hRule="atLeast"/>
          <w:tblHeader/>
          <w:jc w:val="center"/>
        </w:trPr>
        <w:tc>
          <w:tcPr>
            <w:tcW w:w="604" w:type="pct"/>
            <w:vMerge w:val="continue"/>
            <w:tcMar>
              <w:top w:w="15" w:type="dxa"/>
              <w:left w:w="15" w:type="dxa"/>
              <w:bottom w:w="0" w:type="dxa"/>
              <w:right w:w="15" w:type="dxa"/>
            </w:tcMar>
            <w:vAlign w:val="center"/>
          </w:tcPr>
          <w:p w14:paraId="6C53224B">
            <w:pPr>
              <w:widowControl/>
              <w:jc w:val="center"/>
              <w:rPr>
                <w:rFonts w:eastAsia="仿宋_GB2312"/>
                <w:color w:val="FF0000"/>
                <w:kern w:val="0"/>
              </w:rPr>
            </w:pPr>
          </w:p>
        </w:tc>
        <w:tc>
          <w:tcPr>
            <w:tcW w:w="277" w:type="pct"/>
            <w:vMerge w:val="continue"/>
            <w:tcMar>
              <w:top w:w="15" w:type="dxa"/>
              <w:left w:w="15" w:type="dxa"/>
              <w:bottom w:w="0" w:type="dxa"/>
              <w:right w:w="15" w:type="dxa"/>
            </w:tcMar>
            <w:vAlign w:val="center"/>
          </w:tcPr>
          <w:p w14:paraId="21FECD78">
            <w:pPr>
              <w:widowControl/>
              <w:jc w:val="center"/>
              <w:rPr>
                <w:rFonts w:eastAsia="仿宋_GB2312"/>
                <w:color w:val="FF0000"/>
                <w:kern w:val="0"/>
              </w:rPr>
            </w:pPr>
          </w:p>
        </w:tc>
        <w:tc>
          <w:tcPr>
            <w:tcW w:w="1421" w:type="pct"/>
            <w:gridSpan w:val="2"/>
            <w:tcMar>
              <w:top w:w="15" w:type="dxa"/>
              <w:left w:w="15" w:type="dxa"/>
              <w:bottom w:w="0" w:type="dxa"/>
              <w:right w:w="15" w:type="dxa"/>
            </w:tcMar>
            <w:vAlign w:val="center"/>
          </w:tcPr>
          <w:p w14:paraId="23BED869">
            <w:pPr>
              <w:widowControl/>
              <w:jc w:val="center"/>
              <w:rPr>
                <w:rFonts w:hint="default" w:eastAsia="仿宋_GB2312"/>
                <w:bCs/>
                <w:color w:val="auto"/>
                <w:kern w:val="0"/>
                <w:szCs w:val="21"/>
                <w:lang w:val="en-US" w:eastAsia="zh-CN"/>
              </w:rPr>
            </w:pPr>
            <w:r>
              <w:rPr>
                <w:rFonts w:hint="eastAsia" w:eastAsia="仿宋_GB2312"/>
                <w:bCs/>
                <w:color w:val="auto"/>
                <w:kern w:val="0"/>
                <w:szCs w:val="21"/>
                <w:lang w:val="en-US" w:eastAsia="zh-CN"/>
              </w:rPr>
              <w:t>甲醇废液</w:t>
            </w:r>
          </w:p>
        </w:tc>
        <w:tc>
          <w:tcPr>
            <w:tcW w:w="385" w:type="pct"/>
            <w:tcMar>
              <w:top w:w="15" w:type="dxa"/>
              <w:left w:w="15" w:type="dxa"/>
              <w:bottom w:w="0" w:type="dxa"/>
              <w:right w:w="15" w:type="dxa"/>
            </w:tcMar>
            <w:vAlign w:val="center"/>
          </w:tcPr>
          <w:p w14:paraId="33D60FC2">
            <w:pPr>
              <w:widowControl/>
              <w:jc w:val="center"/>
              <w:rPr>
                <w:rFonts w:hint="default" w:eastAsia="仿宋_GB2312"/>
                <w:color w:val="auto"/>
                <w:kern w:val="0"/>
                <w:szCs w:val="21"/>
                <w:lang w:val="en-US" w:eastAsia="zh-CN"/>
              </w:rPr>
            </w:pPr>
            <w:r>
              <w:rPr>
                <w:rFonts w:hint="eastAsia" w:eastAsia="仿宋_GB2312"/>
                <w:color w:val="auto"/>
                <w:kern w:val="0"/>
                <w:szCs w:val="21"/>
                <w:lang w:val="en-US" w:eastAsia="zh-CN"/>
              </w:rPr>
              <w:t>12000</w:t>
            </w:r>
          </w:p>
        </w:tc>
        <w:tc>
          <w:tcPr>
            <w:tcW w:w="466" w:type="pct"/>
            <w:shd w:val="clear" w:color="auto" w:fill="auto"/>
            <w:vAlign w:val="center"/>
          </w:tcPr>
          <w:p w14:paraId="54F9D048">
            <w:pPr>
              <w:widowControl/>
              <w:jc w:val="center"/>
              <w:rPr>
                <w:rFonts w:ascii="Times New Roman" w:hAnsi="Times New Roman" w:eastAsia="仿宋_GB2312" w:cs="Times New Roman"/>
                <w:color w:val="auto"/>
                <w:kern w:val="0"/>
                <w:sz w:val="21"/>
                <w:szCs w:val="24"/>
                <w:lang w:val="en-US" w:eastAsia="zh-CN" w:bidi="ar-SA"/>
              </w:rPr>
            </w:pPr>
            <w:r>
              <w:rPr>
                <w:rFonts w:eastAsia="仿宋_GB2312"/>
                <w:color w:val="auto"/>
                <w:kern w:val="0"/>
              </w:rPr>
              <w:t>连续精馏</w:t>
            </w:r>
          </w:p>
        </w:tc>
        <w:tc>
          <w:tcPr>
            <w:tcW w:w="335" w:type="pct"/>
            <w:shd w:val="clear" w:color="auto" w:fill="auto"/>
            <w:vAlign w:val="center"/>
          </w:tcPr>
          <w:p w14:paraId="0274F2FA">
            <w:pPr>
              <w:widowControl/>
              <w:jc w:val="center"/>
              <w:rPr>
                <w:rFonts w:ascii="Times New Roman" w:hAnsi="Times New Roman" w:eastAsia="仿宋_GB2312" w:cs="Times New Roman"/>
                <w:color w:val="auto"/>
                <w:kern w:val="0"/>
                <w:sz w:val="21"/>
                <w:szCs w:val="24"/>
                <w:lang w:val="en-US" w:eastAsia="zh-CN" w:bidi="ar-SA"/>
              </w:rPr>
            </w:pPr>
            <w:r>
              <w:rPr>
                <w:rFonts w:eastAsia="仿宋_GB2312"/>
                <w:color w:val="auto"/>
                <w:kern w:val="0"/>
              </w:rPr>
              <w:t>/</w:t>
            </w:r>
          </w:p>
        </w:tc>
        <w:tc>
          <w:tcPr>
            <w:tcW w:w="448" w:type="pct"/>
            <w:shd w:val="clear" w:color="auto" w:fill="auto"/>
            <w:vAlign w:val="center"/>
          </w:tcPr>
          <w:p w14:paraId="7CB13F2D">
            <w:pPr>
              <w:widowControl/>
              <w:jc w:val="center"/>
              <w:rPr>
                <w:rFonts w:ascii="Times New Roman" w:hAnsi="Times New Roman" w:eastAsia="仿宋_GB2312" w:cs="Times New Roman"/>
                <w:color w:val="auto"/>
                <w:kern w:val="0"/>
                <w:sz w:val="21"/>
                <w:szCs w:val="24"/>
                <w:lang w:val="en-US" w:eastAsia="zh-CN" w:bidi="ar-SA"/>
              </w:rPr>
            </w:pPr>
            <w:r>
              <w:rPr>
                <w:rFonts w:eastAsia="仿宋_GB2312"/>
                <w:color w:val="auto"/>
                <w:kern w:val="0"/>
              </w:rPr>
              <w:t>/</w:t>
            </w:r>
          </w:p>
        </w:tc>
        <w:tc>
          <w:tcPr>
            <w:tcW w:w="392" w:type="pct"/>
            <w:shd w:val="clear" w:color="auto" w:fill="auto"/>
            <w:vAlign w:val="center"/>
          </w:tcPr>
          <w:p w14:paraId="35DAD1E5">
            <w:pPr>
              <w:widowControl/>
              <w:jc w:val="center"/>
              <w:rPr>
                <w:rFonts w:hint="eastAsia" w:ascii="Times New Roman" w:hAnsi="Times New Roman" w:eastAsia="仿宋_GB2312" w:cs="Times New Roman"/>
                <w:color w:val="auto"/>
                <w:kern w:val="0"/>
                <w:sz w:val="21"/>
                <w:szCs w:val="24"/>
                <w:lang w:val="en-US" w:eastAsia="zh-CN" w:bidi="ar-SA"/>
              </w:rPr>
            </w:pPr>
            <w:r>
              <w:rPr>
                <w:rFonts w:hint="eastAsia" w:eastAsia="仿宋_GB2312"/>
                <w:color w:val="auto"/>
                <w:kern w:val="0"/>
                <w:lang w:val="en-US" w:eastAsia="zh-CN"/>
              </w:rPr>
              <w:t>2</w:t>
            </w:r>
          </w:p>
        </w:tc>
        <w:tc>
          <w:tcPr>
            <w:tcW w:w="355" w:type="pct"/>
            <w:vAlign w:val="center"/>
          </w:tcPr>
          <w:p w14:paraId="52EBFD60">
            <w:pPr>
              <w:widowControl/>
              <w:jc w:val="center"/>
              <w:rPr>
                <w:rFonts w:hint="default" w:eastAsia="仿宋_GB2312"/>
                <w:color w:val="auto"/>
                <w:kern w:val="0"/>
                <w:lang w:val="en-US" w:eastAsia="zh-CN"/>
              </w:rPr>
            </w:pPr>
            <w:r>
              <w:rPr>
                <w:rFonts w:hint="eastAsia" w:eastAsia="仿宋_GB2312"/>
                <w:color w:val="auto"/>
                <w:kern w:val="0"/>
                <w:lang w:val="en-US" w:eastAsia="zh-CN"/>
              </w:rPr>
              <w:t>2400</w:t>
            </w:r>
          </w:p>
        </w:tc>
        <w:tc>
          <w:tcPr>
            <w:tcW w:w="314" w:type="pct"/>
            <w:vMerge w:val="continue"/>
            <w:vAlign w:val="center"/>
          </w:tcPr>
          <w:p w14:paraId="689E1E36">
            <w:pPr>
              <w:widowControl/>
              <w:jc w:val="center"/>
              <w:rPr>
                <w:rFonts w:eastAsia="仿宋_GB2312"/>
                <w:bCs/>
                <w:color w:val="FF0000"/>
                <w:kern w:val="0"/>
                <w:szCs w:val="21"/>
              </w:rPr>
            </w:pPr>
          </w:p>
        </w:tc>
      </w:tr>
      <w:tr w14:paraId="17004C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12" w:hRule="atLeast"/>
          <w:tblHeader/>
          <w:jc w:val="center"/>
        </w:trPr>
        <w:tc>
          <w:tcPr>
            <w:tcW w:w="604" w:type="pct"/>
            <w:vMerge w:val="continue"/>
            <w:tcMar>
              <w:top w:w="15" w:type="dxa"/>
              <w:left w:w="15" w:type="dxa"/>
              <w:bottom w:w="0" w:type="dxa"/>
              <w:right w:w="15" w:type="dxa"/>
            </w:tcMar>
            <w:vAlign w:val="center"/>
          </w:tcPr>
          <w:p w14:paraId="3B13420B">
            <w:pPr>
              <w:widowControl/>
              <w:jc w:val="center"/>
              <w:rPr>
                <w:rFonts w:eastAsia="仿宋_GB2312"/>
                <w:color w:val="FF0000"/>
                <w:kern w:val="0"/>
              </w:rPr>
            </w:pPr>
          </w:p>
        </w:tc>
        <w:tc>
          <w:tcPr>
            <w:tcW w:w="277" w:type="pct"/>
            <w:vMerge w:val="continue"/>
            <w:tcMar>
              <w:top w:w="15" w:type="dxa"/>
              <w:left w:w="15" w:type="dxa"/>
              <w:bottom w:w="0" w:type="dxa"/>
              <w:right w:w="15" w:type="dxa"/>
            </w:tcMar>
            <w:vAlign w:val="center"/>
          </w:tcPr>
          <w:p w14:paraId="11F5B9DC">
            <w:pPr>
              <w:widowControl/>
              <w:jc w:val="center"/>
              <w:rPr>
                <w:rFonts w:eastAsia="仿宋_GB2312"/>
                <w:color w:val="FF0000"/>
                <w:kern w:val="0"/>
              </w:rPr>
            </w:pPr>
          </w:p>
        </w:tc>
        <w:tc>
          <w:tcPr>
            <w:tcW w:w="1421" w:type="pct"/>
            <w:gridSpan w:val="2"/>
            <w:tcMar>
              <w:top w:w="15" w:type="dxa"/>
              <w:left w:w="15" w:type="dxa"/>
              <w:bottom w:w="0" w:type="dxa"/>
              <w:right w:w="15" w:type="dxa"/>
            </w:tcMar>
            <w:vAlign w:val="center"/>
          </w:tcPr>
          <w:p w14:paraId="40215E5A">
            <w:pPr>
              <w:widowControl/>
              <w:jc w:val="center"/>
              <w:rPr>
                <w:rFonts w:hint="default" w:eastAsia="仿宋_GB2312"/>
                <w:bCs/>
                <w:color w:val="auto"/>
                <w:kern w:val="0"/>
                <w:szCs w:val="21"/>
                <w:lang w:val="en-US" w:eastAsia="zh-CN"/>
              </w:rPr>
            </w:pPr>
            <w:r>
              <w:rPr>
                <w:rFonts w:hint="eastAsia" w:eastAsia="仿宋_GB2312"/>
                <w:bCs/>
                <w:color w:val="auto"/>
                <w:kern w:val="0"/>
                <w:szCs w:val="21"/>
                <w:lang w:val="en-US" w:eastAsia="zh-CN"/>
              </w:rPr>
              <w:t>DMF废液</w:t>
            </w:r>
          </w:p>
        </w:tc>
        <w:tc>
          <w:tcPr>
            <w:tcW w:w="385" w:type="pct"/>
            <w:tcMar>
              <w:top w:w="15" w:type="dxa"/>
              <w:left w:w="15" w:type="dxa"/>
              <w:bottom w:w="0" w:type="dxa"/>
              <w:right w:w="15" w:type="dxa"/>
            </w:tcMar>
            <w:vAlign w:val="center"/>
          </w:tcPr>
          <w:p w14:paraId="112AC394">
            <w:pPr>
              <w:widowControl/>
              <w:jc w:val="center"/>
              <w:rPr>
                <w:rFonts w:hint="default" w:eastAsia="仿宋_GB2312"/>
                <w:color w:val="auto"/>
                <w:kern w:val="0"/>
                <w:szCs w:val="21"/>
                <w:lang w:val="en-US" w:eastAsia="zh-CN"/>
              </w:rPr>
            </w:pPr>
            <w:r>
              <w:rPr>
                <w:rFonts w:hint="eastAsia" w:eastAsia="仿宋_GB2312"/>
                <w:color w:val="auto"/>
                <w:kern w:val="0"/>
                <w:szCs w:val="21"/>
                <w:lang w:val="en-US" w:eastAsia="zh-CN"/>
              </w:rPr>
              <w:t>18000</w:t>
            </w:r>
          </w:p>
        </w:tc>
        <w:tc>
          <w:tcPr>
            <w:tcW w:w="466" w:type="pct"/>
            <w:shd w:val="clear" w:color="auto" w:fill="auto"/>
            <w:vAlign w:val="center"/>
          </w:tcPr>
          <w:p w14:paraId="7AD57538">
            <w:pPr>
              <w:widowControl/>
              <w:jc w:val="center"/>
              <w:rPr>
                <w:rFonts w:ascii="Times New Roman" w:hAnsi="Times New Roman" w:eastAsia="仿宋_GB2312" w:cs="Times New Roman"/>
                <w:color w:val="auto"/>
                <w:kern w:val="0"/>
                <w:sz w:val="21"/>
                <w:szCs w:val="24"/>
                <w:lang w:val="en-US" w:eastAsia="zh-CN" w:bidi="ar-SA"/>
              </w:rPr>
            </w:pPr>
            <w:r>
              <w:rPr>
                <w:rFonts w:eastAsia="仿宋_GB2312"/>
                <w:color w:val="auto"/>
                <w:kern w:val="0"/>
              </w:rPr>
              <w:t>连续精馏</w:t>
            </w:r>
          </w:p>
        </w:tc>
        <w:tc>
          <w:tcPr>
            <w:tcW w:w="335" w:type="pct"/>
            <w:shd w:val="clear" w:color="auto" w:fill="auto"/>
            <w:vAlign w:val="center"/>
          </w:tcPr>
          <w:p w14:paraId="60D5E1FF">
            <w:pPr>
              <w:widowControl/>
              <w:jc w:val="center"/>
              <w:rPr>
                <w:rFonts w:ascii="Times New Roman" w:hAnsi="Times New Roman" w:eastAsia="仿宋_GB2312" w:cs="Times New Roman"/>
                <w:color w:val="auto"/>
                <w:kern w:val="0"/>
                <w:sz w:val="21"/>
                <w:szCs w:val="24"/>
                <w:lang w:val="en-US" w:eastAsia="zh-CN" w:bidi="ar-SA"/>
              </w:rPr>
            </w:pPr>
            <w:r>
              <w:rPr>
                <w:rFonts w:eastAsia="仿宋_GB2312"/>
                <w:color w:val="auto"/>
                <w:kern w:val="0"/>
              </w:rPr>
              <w:t>/</w:t>
            </w:r>
          </w:p>
        </w:tc>
        <w:tc>
          <w:tcPr>
            <w:tcW w:w="448" w:type="pct"/>
            <w:shd w:val="clear" w:color="auto" w:fill="auto"/>
            <w:vAlign w:val="center"/>
          </w:tcPr>
          <w:p w14:paraId="6CA673BA">
            <w:pPr>
              <w:widowControl/>
              <w:jc w:val="center"/>
              <w:rPr>
                <w:rFonts w:ascii="Times New Roman" w:hAnsi="Times New Roman" w:eastAsia="仿宋_GB2312" w:cs="Times New Roman"/>
                <w:color w:val="auto"/>
                <w:kern w:val="0"/>
                <w:sz w:val="21"/>
                <w:szCs w:val="24"/>
                <w:lang w:val="en-US" w:eastAsia="zh-CN" w:bidi="ar-SA"/>
              </w:rPr>
            </w:pPr>
            <w:r>
              <w:rPr>
                <w:rFonts w:eastAsia="仿宋_GB2312"/>
                <w:color w:val="auto"/>
                <w:kern w:val="0"/>
              </w:rPr>
              <w:t>/</w:t>
            </w:r>
          </w:p>
        </w:tc>
        <w:tc>
          <w:tcPr>
            <w:tcW w:w="392" w:type="pct"/>
            <w:shd w:val="clear" w:color="auto" w:fill="auto"/>
            <w:vAlign w:val="center"/>
          </w:tcPr>
          <w:p w14:paraId="690F49D5">
            <w:pPr>
              <w:widowControl/>
              <w:jc w:val="center"/>
              <w:rPr>
                <w:rFonts w:hint="eastAsia" w:ascii="Times New Roman" w:hAnsi="Times New Roman" w:eastAsia="仿宋_GB2312" w:cs="Times New Roman"/>
                <w:color w:val="auto"/>
                <w:kern w:val="0"/>
                <w:sz w:val="21"/>
                <w:szCs w:val="24"/>
                <w:lang w:val="en-US" w:eastAsia="zh-CN" w:bidi="ar-SA"/>
              </w:rPr>
            </w:pPr>
            <w:r>
              <w:rPr>
                <w:rFonts w:hint="eastAsia" w:eastAsia="仿宋_GB2312"/>
                <w:color w:val="auto"/>
                <w:kern w:val="0"/>
                <w:lang w:val="en-US" w:eastAsia="zh-CN"/>
              </w:rPr>
              <w:t>2</w:t>
            </w:r>
          </w:p>
        </w:tc>
        <w:tc>
          <w:tcPr>
            <w:tcW w:w="355" w:type="pct"/>
            <w:vAlign w:val="center"/>
          </w:tcPr>
          <w:p w14:paraId="69EF1C3C">
            <w:pPr>
              <w:widowControl/>
              <w:jc w:val="center"/>
              <w:rPr>
                <w:rFonts w:hint="default" w:eastAsia="仿宋_GB2312"/>
                <w:color w:val="auto"/>
                <w:kern w:val="0"/>
                <w:lang w:val="en-US" w:eastAsia="zh-CN"/>
              </w:rPr>
            </w:pPr>
            <w:r>
              <w:rPr>
                <w:rFonts w:hint="eastAsia" w:eastAsia="仿宋_GB2312"/>
                <w:color w:val="auto"/>
                <w:kern w:val="0"/>
                <w:lang w:val="en-US" w:eastAsia="zh-CN"/>
              </w:rPr>
              <w:t>3600</w:t>
            </w:r>
          </w:p>
        </w:tc>
        <w:tc>
          <w:tcPr>
            <w:tcW w:w="314" w:type="pct"/>
            <w:vMerge w:val="continue"/>
            <w:vAlign w:val="center"/>
          </w:tcPr>
          <w:p w14:paraId="0555CE44">
            <w:pPr>
              <w:widowControl/>
              <w:jc w:val="center"/>
              <w:rPr>
                <w:rFonts w:eastAsia="仿宋_GB2312"/>
                <w:bCs/>
                <w:color w:val="FF0000"/>
                <w:kern w:val="0"/>
                <w:szCs w:val="21"/>
              </w:rPr>
            </w:pPr>
          </w:p>
        </w:tc>
      </w:tr>
      <w:tr w14:paraId="2A76770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12" w:hRule="atLeast"/>
          <w:tblHeader/>
          <w:jc w:val="center"/>
        </w:trPr>
        <w:tc>
          <w:tcPr>
            <w:tcW w:w="604" w:type="pct"/>
            <w:vMerge w:val="restart"/>
            <w:tcMar>
              <w:top w:w="15" w:type="dxa"/>
              <w:left w:w="15" w:type="dxa"/>
              <w:bottom w:w="0" w:type="dxa"/>
              <w:right w:w="15" w:type="dxa"/>
            </w:tcMar>
            <w:vAlign w:val="center"/>
          </w:tcPr>
          <w:p w14:paraId="72598A35">
            <w:pPr>
              <w:widowControl/>
              <w:jc w:val="center"/>
              <w:rPr>
                <w:rFonts w:eastAsia="仿宋_GB2312"/>
                <w:color w:val="auto"/>
                <w:kern w:val="0"/>
              </w:rPr>
            </w:pPr>
            <w:r>
              <w:rPr>
                <w:rFonts w:eastAsia="仿宋_GB2312"/>
                <w:color w:val="auto"/>
                <w:kern w:val="0"/>
                <w:szCs w:val="20"/>
              </w:rPr>
              <w:t>MVR+双效蒸发系统</w:t>
            </w:r>
          </w:p>
        </w:tc>
        <w:tc>
          <w:tcPr>
            <w:tcW w:w="277" w:type="pct"/>
            <w:vMerge w:val="restart"/>
            <w:tcMar>
              <w:top w:w="15" w:type="dxa"/>
              <w:left w:w="15" w:type="dxa"/>
              <w:bottom w:w="0" w:type="dxa"/>
              <w:right w:w="15" w:type="dxa"/>
            </w:tcMar>
            <w:vAlign w:val="center"/>
          </w:tcPr>
          <w:p w14:paraId="70181241">
            <w:pPr>
              <w:widowControl/>
              <w:jc w:val="center"/>
              <w:rPr>
                <w:rFonts w:hint="eastAsia" w:eastAsia="仿宋_GB2312"/>
                <w:color w:val="auto"/>
                <w:kern w:val="0"/>
                <w:lang w:val="en-US" w:eastAsia="zh-CN"/>
              </w:rPr>
            </w:pPr>
            <w:r>
              <w:rPr>
                <w:rFonts w:hint="eastAsia" w:eastAsia="仿宋_GB2312"/>
                <w:color w:val="auto"/>
                <w:kern w:val="0"/>
                <w:lang w:val="en-US" w:eastAsia="zh-CN"/>
              </w:rPr>
              <w:t>1</w:t>
            </w:r>
          </w:p>
        </w:tc>
        <w:tc>
          <w:tcPr>
            <w:tcW w:w="358" w:type="pct"/>
            <w:vMerge w:val="restart"/>
            <w:tcMar>
              <w:top w:w="15" w:type="dxa"/>
              <w:left w:w="15" w:type="dxa"/>
              <w:bottom w:w="0" w:type="dxa"/>
              <w:right w:w="15" w:type="dxa"/>
            </w:tcMar>
            <w:vAlign w:val="center"/>
          </w:tcPr>
          <w:p w14:paraId="66814351">
            <w:pPr>
              <w:widowControl/>
              <w:jc w:val="center"/>
              <w:rPr>
                <w:rFonts w:eastAsia="仿宋_GB2312"/>
                <w:color w:val="auto"/>
                <w:kern w:val="0"/>
                <w:szCs w:val="21"/>
              </w:rPr>
            </w:pPr>
            <w:r>
              <w:rPr>
                <w:rFonts w:eastAsia="仿宋_GB2312"/>
                <w:color w:val="auto"/>
                <w:kern w:val="0"/>
                <w:szCs w:val="21"/>
              </w:rPr>
              <w:t>原有项目</w:t>
            </w:r>
          </w:p>
        </w:tc>
        <w:tc>
          <w:tcPr>
            <w:tcW w:w="1062" w:type="pct"/>
            <w:vAlign w:val="center"/>
          </w:tcPr>
          <w:p w14:paraId="08007670">
            <w:pPr>
              <w:widowControl/>
              <w:jc w:val="center"/>
              <w:rPr>
                <w:rFonts w:eastAsia="仿宋_GB2312"/>
                <w:color w:val="auto"/>
                <w:kern w:val="0"/>
                <w:szCs w:val="21"/>
              </w:rPr>
            </w:pPr>
            <w:r>
              <w:rPr>
                <w:rFonts w:eastAsia="仿宋_GB2312"/>
                <w:color w:val="auto"/>
                <w:kern w:val="0"/>
                <w:szCs w:val="21"/>
              </w:rPr>
              <w:t>表面处理废物</w:t>
            </w:r>
          </w:p>
        </w:tc>
        <w:tc>
          <w:tcPr>
            <w:tcW w:w="385" w:type="pct"/>
            <w:tcMar>
              <w:top w:w="15" w:type="dxa"/>
              <w:left w:w="15" w:type="dxa"/>
              <w:bottom w:w="0" w:type="dxa"/>
              <w:right w:w="15" w:type="dxa"/>
            </w:tcMar>
            <w:vAlign w:val="center"/>
          </w:tcPr>
          <w:p w14:paraId="14CC4B68">
            <w:pPr>
              <w:widowControl/>
              <w:jc w:val="center"/>
              <w:rPr>
                <w:rFonts w:eastAsia="仿宋_GB2312"/>
                <w:color w:val="auto"/>
                <w:kern w:val="0"/>
                <w:szCs w:val="21"/>
              </w:rPr>
            </w:pPr>
            <w:r>
              <w:rPr>
                <w:rFonts w:eastAsia="仿宋_GB2312"/>
                <w:color w:val="auto"/>
                <w:kern w:val="0"/>
                <w:szCs w:val="21"/>
              </w:rPr>
              <w:t>1000</w:t>
            </w:r>
          </w:p>
        </w:tc>
        <w:tc>
          <w:tcPr>
            <w:tcW w:w="466" w:type="pct"/>
            <w:vAlign w:val="center"/>
          </w:tcPr>
          <w:p w14:paraId="7C758867">
            <w:pPr>
              <w:jc w:val="center"/>
              <w:rPr>
                <w:rFonts w:eastAsia="仿宋_GB2312"/>
                <w:color w:val="auto"/>
                <w:szCs w:val="21"/>
              </w:rPr>
            </w:pPr>
            <w:r>
              <w:rPr>
                <w:rFonts w:eastAsia="仿宋_GB2312"/>
                <w:color w:val="auto"/>
                <w:szCs w:val="21"/>
              </w:rPr>
              <w:t>100000</w:t>
            </w:r>
          </w:p>
        </w:tc>
        <w:tc>
          <w:tcPr>
            <w:tcW w:w="335" w:type="pct"/>
            <w:vAlign w:val="center"/>
          </w:tcPr>
          <w:p w14:paraId="43FEDD64">
            <w:pPr>
              <w:jc w:val="center"/>
              <w:rPr>
                <w:rFonts w:eastAsia="仿宋_GB2312"/>
                <w:color w:val="auto"/>
                <w:szCs w:val="21"/>
              </w:rPr>
            </w:pPr>
            <w:r>
              <w:rPr>
                <w:rFonts w:hint="eastAsia" w:eastAsia="仿宋_GB2312"/>
                <w:color w:val="auto"/>
                <w:szCs w:val="21"/>
                <w:lang w:val="en-US" w:eastAsia="zh-CN"/>
              </w:rPr>
              <w:t>10</w:t>
            </w:r>
          </w:p>
        </w:tc>
        <w:tc>
          <w:tcPr>
            <w:tcW w:w="448" w:type="pct"/>
            <w:vAlign w:val="center"/>
          </w:tcPr>
          <w:p w14:paraId="2380167A">
            <w:pPr>
              <w:jc w:val="center"/>
              <w:rPr>
                <w:rFonts w:eastAsia="仿宋_GB2312"/>
                <w:color w:val="auto"/>
                <w:szCs w:val="21"/>
              </w:rPr>
            </w:pPr>
            <w:r>
              <w:rPr>
                <w:rFonts w:eastAsia="仿宋_GB2312"/>
                <w:color w:val="auto"/>
                <w:szCs w:val="21"/>
              </w:rPr>
              <w:t>10</w:t>
            </w:r>
          </w:p>
        </w:tc>
        <w:tc>
          <w:tcPr>
            <w:tcW w:w="392" w:type="pct"/>
            <w:vAlign w:val="center"/>
          </w:tcPr>
          <w:p w14:paraId="03EB154C">
            <w:pPr>
              <w:jc w:val="center"/>
              <w:rPr>
                <w:rFonts w:eastAsia="仿宋_GB2312"/>
                <w:color w:val="auto"/>
                <w:szCs w:val="21"/>
              </w:rPr>
            </w:pPr>
            <w:r>
              <w:rPr>
                <w:rFonts w:eastAsia="仿宋_GB2312"/>
                <w:color w:val="auto"/>
                <w:szCs w:val="21"/>
              </w:rPr>
              <w:t>/</w:t>
            </w:r>
          </w:p>
        </w:tc>
        <w:tc>
          <w:tcPr>
            <w:tcW w:w="355" w:type="pct"/>
            <w:vAlign w:val="center"/>
          </w:tcPr>
          <w:p w14:paraId="6C9CC951">
            <w:pPr>
              <w:jc w:val="center"/>
              <w:rPr>
                <w:rFonts w:eastAsia="仿宋_GB2312"/>
                <w:color w:val="auto"/>
                <w:szCs w:val="21"/>
              </w:rPr>
            </w:pPr>
            <w:r>
              <w:rPr>
                <w:rFonts w:hint="eastAsia" w:eastAsia="仿宋_GB2312"/>
                <w:color w:val="auto"/>
                <w:szCs w:val="21"/>
                <w:lang w:val="en-US" w:eastAsia="zh-CN"/>
              </w:rPr>
              <w:t>100</w:t>
            </w:r>
          </w:p>
        </w:tc>
        <w:tc>
          <w:tcPr>
            <w:tcW w:w="314" w:type="pct"/>
            <w:vMerge w:val="restart"/>
            <w:vAlign w:val="center"/>
          </w:tcPr>
          <w:p w14:paraId="55E417EB">
            <w:pPr>
              <w:jc w:val="center"/>
              <w:rPr>
                <w:rFonts w:hint="default" w:eastAsia="仿宋_GB2312"/>
                <w:color w:val="FF0000"/>
                <w:szCs w:val="21"/>
                <w:lang w:val="en-US" w:eastAsia="zh-CN"/>
              </w:rPr>
            </w:pPr>
            <w:r>
              <w:rPr>
                <w:rFonts w:hint="eastAsia" w:eastAsia="仿宋_GB2312"/>
                <w:color w:val="auto"/>
                <w:szCs w:val="21"/>
                <w:lang w:val="en-US" w:eastAsia="zh-CN"/>
              </w:rPr>
              <w:t>2199</w:t>
            </w:r>
          </w:p>
        </w:tc>
      </w:tr>
      <w:tr w14:paraId="6E2E94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12" w:hRule="atLeast"/>
          <w:tblHeader/>
          <w:jc w:val="center"/>
        </w:trPr>
        <w:tc>
          <w:tcPr>
            <w:tcW w:w="604" w:type="pct"/>
            <w:vMerge w:val="continue"/>
            <w:vAlign w:val="center"/>
          </w:tcPr>
          <w:p w14:paraId="044A20FD">
            <w:pPr>
              <w:widowControl/>
              <w:jc w:val="center"/>
              <w:rPr>
                <w:rFonts w:eastAsia="仿宋_GB2312"/>
                <w:color w:val="FF0000"/>
                <w:kern w:val="0"/>
              </w:rPr>
            </w:pPr>
          </w:p>
        </w:tc>
        <w:tc>
          <w:tcPr>
            <w:tcW w:w="277" w:type="pct"/>
            <w:vMerge w:val="continue"/>
            <w:vAlign w:val="center"/>
          </w:tcPr>
          <w:p w14:paraId="2AE04508">
            <w:pPr>
              <w:widowControl/>
              <w:jc w:val="center"/>
              <w:rPr>
                <w:rFonts w:eastAsia="仿宋_GB2312"/>
                <w:color w:val="FF0000"/>
                <w:kern w:val="0"/>
              </w:rPr>
            </w:pPr>
          </w:p>
        </w:tc>
        <w:tc>
          <w:tcPr>
            <w:tcW w:w="358" w:type="pct"/>
            <w:vMerge w:val="continue"/>
            <w:tcMar>
              <w:top w:w="15" w:type="dxa"/>
              <w:left w:w="15" w:type="dxa"/>
              <w:bottom w:w="0" w:type="dxa"/>
              <w:right w:w="15" w:type="dxa"/>
            </w:tcMar>
            <w:vAlign w:val="center"/>
          </w:tcPr>
          <w:p w14:paraId="78C50371">
            <w:pPr>
              <w:widowControl/>
              <w:jc w:val="center"/>
              <w:rPr>
                <w:rFonts w:eastAsia="仿宋_GB2312"/>
                <w:color w:val="FF0000"/>
                <w:kern w:val="0"/>
                <w:szCs w:val="21"/>
              </w:rPr>
            </w:pPr>
          </w:p>
        </w:tc>
        <w:tc>
          <w:tcPr>
            <w:tcW w:w="1062" w:type="pct"/>
            <w:vAlign w:val="center"/>
          </w:tcPr>
          <w:p w14:paraId="39220774">
            <w:pPr>
              <w:widowControl/>
              <w:jc w:val="center"/>
              <w:rPr>
                <w:rFonts w:eastAsia="仿宋_GB2312"/>
                <w:color w:val="auto"/>
                <w:kern w:val="0"/>
                <w:szCs w:val="21"/>
              </w:rPr>
            </w:pPr>
            <w:r>
              <w:rPr>
                <w:rFonts w:eastAsia="仿宋_GB2312"/>
                <w:color w:val="auto"/>
                <w:kern w:val="0"/>
                <w:szCs w:val="21"/>
              </w:rPr>
              <w:t>废酸</w:t>
            </w:r>
          </w:p>
        </w:tc>
        <w:tc>
          <w:tcPr>
            <w:tcW w:w="385" w:type="pct"/>
            <w:tcMar>
              <w:top w:w="15" w:type="dxa"/>
              <w:left w:w="15" w:type="dxa"/>
              <w:bottom w:w="0" w:type="dxa"/>
              <w:right w:w="15" w:type="dxa"/>
            </w:tcMar>
            <w:vAlign w:val="center"/>
          </w:tcPr>
          <w:p w14:paraId="6984BB4A">
            <w:pPr>
              <w:widowControl/>
              <w:jc w:val="center"/>
              <w:rPr>
                <w:rFonts w:eastAsia="仿宋_GB2312"/>
                <w:color w:val="auto"/>
                <w:kern w:val="0"/>
                <w:szCs w:val="21"/>
              </w:rPr>
            </w:pPr>
            <w:r>
              <w:rPr>
                <w:rFonts w:hint="eastAsia" w:eastAsia="仿宋_GB2312"/>
                <w:color w:val="auto"/>
                <w:kern w:val="0"/>
                <w:szCs w:val="21"/>
                <w:lang w:val="en-US" w:eastAsia="zh-CN"/>
              </w:rPr>
              <w:t>5</w:t>
            </w:r>
            <w:r>
              <w:rPr>
                <w:rFonts w:eastAsia="仿宋_GB2312"/>
                <w:color w:val="auto"/>
                <w:kern w:val="0"/>
                <w:szCs w:val="21"/>
              </w:rPr>
              <w:t>00</w:t>
            </w:r>
          </w:p>
        </w:tc>
        <w:tc>
          <w:tcPr>
            <w:tcW w:w="466" w:type="pct"/>
            <w:vAlign w:val="center"/>
          </w:tcPr>
          <w:p w14:paraId="2411F108">
            <w:pPr>
              <w:jc w:val="center"/>
              <w:rPr>
                <w:rFonts w:eastAsia="仿宋_GB2312"/>
                <w:color w:val="auto"/>
                <w:szCs w:val="21"/>
              </w:rPr>
            </w:pPr>
            <w:r>
              <w:rPr>
                <w:rFonts w:eastAsia="仿宋_GB2312"/>
                <w:color w:val="auto"/>
                <w:szCs w:val="21"/>
              </w:rPr>
              <w:t>70000</w:t>
            </w:r>
          </w:p>
        </w:tc>
        <w:tc>
          <w:tcPr>
            <w:tcW w:w="335" w:type="pct"/>
            <w:vAlign w:val="center"/>
          </w:tcPr>
          <w:p w14:paraId="5F589001">
            <w:pPr>
              <w:jc w:val="center"/>
              <w:rPr>
                <w:rFonts w:eastAsia="仿宋_GB2312"/>
                <w:color w:val="auto"/>
                <w:szCs w:val="21"/>
              </w:rPr>
            </w:pPr>
            <w:r>
              <w:rPr>
                <w:rFonts w:hint="eastAsia" w:eastAsia="仿宋_GB2312"/>
                <w:color w:val="auto"/>
                <w:szCs w:val="21"/>
                <w:lang w:val="en-US" w:eastAsia="zh-CN"/>
              </w:rPr>
              <w:t>8</w:t>
            </w:r>
          </w:p>
        </w:tc>
        <w:tc>
          <w:tcPr>
            <w:tcW w:w="448" w:type="pct"/>
            <w:vAlign w:val="center"/>
          </w:tcPr>
          <w:p w14:paraId="639956DE">
            <w:pPr>
              <w:jc w:val="center"/>
              <w:rPr>
                <w:rFonts w:eastAsia="仿宋_GB2312"/>
                <w:color w:val="auto"/>
                <w:szCs w:val="21"/>
              </w:rPr>
            </w:pPr>
            <w:r>
              <w:rPr>
                <w:rFonts w:eastAsia="仿宋_GB2312"/>
                <w:color w:val="auto"/>
                <w:szCs w:val="21"/>
              </w:rPr>
              <w:t>7</w:t>
            </w:r>
          </w:p>
        </w:tc>
        <w:tc>
          <w:tcPr>
            <w:tcW w:w="392" w:type="pct"/>
            <w:vAlign w:val="center"/>
          </w:tcPr>
          <w:p w14:paraId="0CA6810E">
            <w:pPr>
              <w:jc w:val="center"/>
              <w:rPr>
                <w:rFonts w:eastAsia="仿宋_GB2312"/>
                <w:color w:val="auto"/>
                <w:szCs w:val="21"/>
              </w:rPr>
            </w:pPr>
            <w:r>
              <w:rPr>
                <w:rFonts w:eastAsia="仿宋_GB2312"/>
                <w:color w:val="auto"/>
                <w:szCs w:val="21"/>
              </w:rPr>
              <w:t>/</w:t>
            </w:r>
          </w:p>
        </w:tc>
        <w:tc>
          <w:tcPr>
            <w:tcW w:w="355" w:type="pct"/>
            <w:vAlign w:val="center"/>
          </w:tcPr>
          <w:p w14:paraId="6AB1B9F8">
            <w:pPr>
              <w:jc w:val="center"/>
              <w:rPr>
                <w:rFonts w:hint="default" w:eastAsia="仿宋_GB2312"/>
                <w:color w:val="auto"/>
                <w:szCs w:val="21"/>
                <w:lang w:val="en-US" w:eastAsia="zh-CN"/>
              </w:rPr>
            </w:pPr>
            <w:r>
              <w:rPr>
                <w:rFonts w:hint="eastAsia" w:eastAsia="仿宋_GB2312"/>
                <w:color w:val="auto"/>
                <w:szCs w:val="21"/>
                <w:lang w:val="en-US" w:eastAsia="zh-CN"/>
              </w:rPr>
              <w:t>56</w:t>
            </w:r>
          </w:p>
        </w:tc>
        <w:tc>
          <w:tcPr>
            <w:tcW w:w="314" w:type="pct"/>
            <w:vMerge w:val="continue"/>
            <w:vAlign w:val="center"/>
          </w:tcPr>
          <w:p w14:paraId="3F384EAA">
            <w:pPr>
              <w:jc w:val="center"/>
              <w:rPr>
                <w:rFonts w:eastAsia="仿宋_GB2312"/>
                <w:color w:val="FF0000"/>
                <w:szCs w:val="21"/>
              </w:rPr>
            </w:pPr>
          </w:p>
        </w:tc>
      </w:tr>
      <w:tr w14:paraId="22183B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12" w:hRule="atLeast"/>
          <w:tblHeader/>
          <w:jc w:val="center"/>
        </w:trPr>
        <w:tc>
          <w:tcPr>
            <w:tcW w:w="604" w:type="pct"/>
            <w:vMerge w:val="continue"/>
            <w:vAlign w:val="center"/>
          </w:tcPr>
          <w:p w14:paraId="0C16A7D2">
            <w:pPr>
              <w:widowControl/>
              <w:jc w:val="center"/>
              <w:rPr>
                <w:rFonts w:eastAsia="仿宋_GB2312"/>
                <w:color w:val="FF0000"/>
                <w:kern w:val="0"/>
              </w:rPr>
            </w:pPr>
          </w:p>
        </w:tc>
        <w:tc>
          <w:tcPr>
            <w:tcW w:w="277" w:type="pct"/>
            <w:vMerge w:val="continue"/>
            <w:vAlign w:val="center"/>
          </w:tcPr>
          <w:p w14:paraId="5C30EB25">
            <w:pPr>
              <w:widowControl/>
              <w:jc w:val="center"/>
              <w:rPr>
                <w:rFonts w:eastAsia="仿宋_GB2312"/>
                <w:color w:val="FF0000"/>
                <w:kern w:val="0"/>
              </w:rPr>
            </w:pPr>
          </w:p>
        </w:tc>
        <w:tc>
          <w:tcPr>
            <w:tcW w:w="358" w:type="pct"/>
            <w:vMerge w:val="continue"/>
            <w:tcMar>
              <w:top w:w="15" w:type="dxa"/>
              <w:left w:w="15" w:type="dxa"/>
              <w:bottom w:w="0" w:type="dxa"/>
              <w:right w:w="15" w:type="dxa"/>
            </w:tcMar>
            <w:vAlign w:val="center"/>
          </w:tcPr>
          <w:p w14:paraId="5BB9CBB2">
            <w:pPr>
              <w:widowControl/>
              <w:jc w:val="center"/>
              <w:rPr>
                <w:rFonts w:eastAsia="仿宋_GB2312"/>
                <w:color w:val="FF0000"/>
                <w:kern w:val="0"/>
                <w:szCs w:val="21"/>
              </w:rPr>
            </w:pPr>
          </w:p>
        </w:tc>
        <w:tc>
          <w:tcPr>
            <w:tcW w:w="1062" w:type="pct"/>
            <w:vAlign w:val="center"/>
          </w:tcPr>
          <w:p w14:paraId="01C86307">
            <w:pPr>
              <w:widowControl/>
              <w:jc w:val="center"/>
              <w:rPr>
                <w:rFonts w:eastAsia="仿宋_GB2312"/>
                <w:color w:val="auto"/>
                <w:kern w:val="0"/>
                <w:szCs w:val="21"/>
              </w:rPr>
            </w:pPr>
            <w:r>
              <w:rPr>
                <w:rFonts w:eastAsia="仿宋_GB2312"/>
                <w:color w:val="auto"/>
                <w:kern w:val="0"/>
                <w:szCs w:val="21"/>
              </w:rPr>
              <w:t>废碱</w:t>
            </w:r>
          </w:p>
        </w:tc>
        <w:tc>
          <w:tcPr>
            <w:tcW w:w="385" w:type="pct"/>
            <w:tcMar>
              <w:top w:w="15" w:type="dxa"/>
              <w:left w:w="15" w:type="dxa"/>
              <w:bottom w:w="0" w:type="dxa"/>
              <w:right w:w="15" w:type="dxa"/>
            </w:tcMar>
            <w:vAlign w:val="center"/>
          </w:tcPr>
          <w:p w14:paraId="7F8BC494">
            <w:pPr>
              <w:widowControl/>
              <w:jc w:val="center"/>
              <w:rPr>
                <w:rFonts w:eastAsia="仿宋_GB2312"/>
                <w:color w:val="auto"/>
                <w:kern w:val="0"/>
                <w:szCs w:val="21"/>
              </w:rPr>
            </w:pPr>
            <w:r>
              <w:rPr>
                <w:rFonts w:eastAsia="仿宋_GB2312"/>
                <w:color w:val="auto"/>
                <w:kern w:val="0"/>
                <w:szCs w:val="21"/>
              </w:rPr>
              <w:t>500</w:t>
            </w:r>
          </w:p>
        </w:tc>
        <w:tc>
          <w:tcPr>
            <w:tcW w:w="466" w:type="pct"/>
            <w:vAlign w:val="center"/>
          </w:tcPr>
          <w:p w14:paraId="30015515">
            <w:pPr>
              <w:jc w:val="center"/>
              <w:rPr>
                <w:rFonts w:eastAsia="仿宋_GB2312"/>
                <w:color w:val="auto"/>
                <w:szCs w:val="21"/>
              </w:rPr>
            </w:pPr>
            <w:r>
              <w:rPr>
                <w:rFonts w:eastAsia="仿宋_GB2312"/>
                <w:color w:val="auto"/>
                <w:szCs w:val="21"/>
              </w:rPr>
              <w:t>70000</w:t>
            </w:r>
          </w:p>
        </w:tc>
        <w:tc>
          <w:tcPr>
            <w:tcW w:w="335" w:type="pct"/>
            <w:vAlign w:val="center"/>
          </w:tcPr>
          <w:p w14:paraId="3E29E603">
            <w:pPr>
              <w:jc w:val="center"/>
              <w:rPr>
                <w:rFonts w:eastAsia="仿宋_GB2312"/>
                <w:color w:val="auto"/>
                <w:szCs w:val="21"/>
              </w:rPr>
            </w:pPr>
            <w:r>
              <w:rPr>
                <w:rFonts w:hint="eastAsia" w:eastAsia="仿宋_GB2312"/>
                <w:color w:val="auto"/>
                <w:szCs w:val="21"/>
                <w:lang w:val="en-US" w:eastAsia="zh-CN"/>
              </w:rPr>
              <w:t>8</w:t>
            </w:r>
          </w:p>
        </w:tc>
        <w:tc>
          <w:tcPr>
            <w:tcW w:w="448" w:type="pct"/>
            <w:vAlign w:val="center"/>
          </w:tcPr>
          <w:p w14:paraId="6869E3B1">
            <w:pPr>
              <w:jc w:val="center"/>
              <w:rPr>
                <w:rFonts w:eastAsia="仿宋_GB2312"/>
                <w:color w:val="auto"/>
                <w:szCs w:val="21"/>
              </w:rPr>
            </w:pPr>
            <w:r>
              <w:rPr>
                <w:rFonts w:eastAsia="仿宋_GB2312"/>
                <w:color w:val="auto"/>
                <w:szCs w:val="21"/>
              </w:rPr>
              <w:t>7</w:t>
            </w:r>
          </w:p>
        </w:tc>
        <w:tc>
          <w:tcPr>
            <w:tcW w:w="392" w:type="pct"/>
            <w:vAlign w:val="center"/>
          </w:tcPr>
          <w:p w14:paraId="4150FF00">
            <w:pPr>
              <w:jc w:val="center"/>
              <w:rPr>
                <w:rFonts w:eastAsia="仿宋_GB2312"/>
                <w:color w:val="auto"/>
                <w:szCs w:val="21"/>
              </w:rPr>
            </w:pPr>
            <w:r>
              <w:rPr>
                <w:rFonts w:eastAsia="仿宋_GB2312"/>
                <w:color w:val="auto"/>
                <w:szCs w:val="21"/>
              </w:rPr>
              <w:t>/</w:t>
            </w:r>
          </w:p>
        </w:tc>
        <w:tc>
          <w:tcPr>
            <w:tcW w:w="355" w:type="pct"/>
            <w:vAlign w:val="center"/>
          </w:tcPr>
          <w:p w14:paraId="5B538CF2">
            <w:pPr>
              <w:jc w:val="center"/>
              <w:rPr>
                <w:rFonts w:hint="default" w:eastAsia="仿宋_GB2312"/>
                <w:color w:val="auto"/>
                <w:szCs w:val="21"/>
                <w:lang w:val="en-US" w:eastAsia="zh-CN"/>
              </w:rPr>
            </w:pPr>
            <w:r>
              <w:rPr>
                <w:rFonts w:hint="eastAsia" w:eastAsia="仿宋_GB2312"/>
                <w:color w:val="auto"/>
                <w:szCs w:val="21"/>
                <w:lang w:val="en-US" w:eastAsia="zh-CN"/>
              </w:rPr>
              <w:t>56</w:t>
            </w:r>
          </w:p>
        </w:tc>
        <w:tc>
          <w:tcPr>
            <w:tcW w:w="314" w:type="pct"/>
            <w:vMerge w:val="continue"/>
            <w:vAlign w:val="center"/>
          </w:tcPr>
          <w:p w14:paraId="2F5319F9">
            <w:pPr>
              <w:jc w:val="center"/>
              <w:rPr>
                <w:rFonts w:eastAsia="仿宋_GB2312"/>
                <w:color w:val="FF0000"/>
                <w:szCs w:val="21"/>
              </w:rPr>
            </w:pPr>
          </w:p>
        </w:tc>
      </w:tr>
      <w:tr w14:paraId="56F867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12" w:hRule="atLeast"/>
          <w:tblHeader/>
          <w:jc w:val="center"/>
        </w:trPr>
        <w:tc>
          <w:tcPr>
            <w:tcW w:w="604" w:type="pct"/>
            <w:vMerge w:val="continue"/>
            <w:vAlign w:val="center"/>
          </w:tcPr>
          <w:p w14:paraId="16A2FF66">
            <w:pPr>
              <w:widowControl/>
              <w:jc w:val="center"/>
              <w:rPr>
                <w:rFonts w:eastAsia="仿宋_GB2312"/>
                <w:color w:val="FF0000"/>
                <w:kern w:val="0"/>
              </w:rPr>
            </w:pPr>
          </w:p>
        </w:tc>
        <w:tc>
          <w:tcPr>
            <w:tcW w:w="277" w:type="pct"/>
            <w:vMerge w:val="continue"/>
            <w:vAlign w:val="center"/>
          </w:tcPr>
          <w:p w14:paraId="062C9B90">
            <w:pPr>
              <w:widowControl/>
              <w:jc w:val="center"/>
              <w:rPr>
                <w:rFonts w:eastAsia="仿宋_GB2312"/>
                <w:color w:val="FF0000"/>
                <w:kern w:val="0"/>
              </w:rPr>
            </w:pPr>
          </w:p>
        </w:tc>
        <w:tc>
          <w:tcPr>
            <w:tcW w:w="358" w:type="pct"/>
            <w:vMerge w:val="continue"/>
            <w:tcMar>
              <w:top w:w="15" w:type="dxa"/>
              <w:left w:w="15" w:type="dxa"/>
              <w:bottom w:w="0" w:type="dxa"/>
              <w:right w:w="15" w:type="dxa"/>
            </w:tcMar>
            <w:vAlign w:val="center"/>
          </w:tcPr>
          <w:p w14:paraId="78589CEE">
            <w:pPr>
              <w:widowControl/>
              <w:jc w:val="center"/>
              <w:rPr>
                <w:rFonts w:eastAsia="仿宋_GB2312"/>
                <w:color w:val="FF0000"/>
                <w:kern w:val="0"/>
                <w:szCs w:val="21"/>
              </w:rPr>
            </w:pPr>
          </w:p>
        </w:tc>
        <w:tc>
          <w:tcPr>
            <w:tcW w:w="1062" w:type="pct"/>
            <w:vAlign w:val="center"/>
          </w:tcPr>
          <w:p w14:paraId="7A894A72">
            <w:pPr>
              <w:widowControl/>
              <w:jc w:val="center"/>
              <w:rPr>
                <w:rFonts w:eastAsia="仿宋_GB2312"/>
                <w:color w:val="auto"/>
                <w:kern w:val="0"/>
                <w:szCs w:val="21"/>
              </w:rPr>
            </w:pPr>
            <w:r>
              <w:rPr>
                <w:rFonts w:eastAsia="仿宋_GB2312"/>
                <w:color w:val="auto"/>
                <w:kern w:val="0"/>
                <w:szCs w:val="21"/>
              </w:rPr>
              <w:t>废有机溶剂与含有机溶剂废物</w:t>
            </w:r>
          </w:p>
        </w:tc>
        <w:tc>
          <w:tcPr>
            <w:tcW w:w="385" w:type="pct"/>
            <w:tcMar>
              <w:top w:w="15" w:type="dxa"/>
              <w:left w:w="15" w:type="dxa"/>
              <w:bottom w:w="0" w:type="dxa"/>
              <w:right w:w="15" w:type="dxa"/>
            </w:tcMar>
            <w:vAlign w:val="center"/>
          </w:tcPr>
          <w:p w14:paraId="7FF9FE82">
            <w:pPr>
              <w:widowControl/>
              <w:jc w:val="center"/>
              <w:rPr>
                <w:rFonts w:eastAsia="仿宋_GB2312"/>
                <w:color w:val="auto"/>
                <w:kern w:val="0"/>
                <w:szCs w:val="21"/>
              </w:rPr>
            </w:pPr>
            <w:r>
              <w:rPr>
                <w:rFonts w:hint="eastAsia" w:eastAsia="仿宋_GB2312"/>
                <w:color w:val="auto"/>
                <w:kern w:val="0"/>
                <w:szCs w:val="21"/>
                <w:lang w:val="en-US" w:eastAsia="zh-CN"/>
              </w:rPr>
              <w:t>6</w:t>
            </w:r>
            <w:r>
              <w:rPr>
                <w:rFonts w:eastAsia="仿宋_GB2312"/>
                <w:color w:val="auto"/>
                <w:kern w:val="0"/>
                <w:szCs w:val="21"/>
              </w:rPr>
              <w:t>000</w:t>
            </w:r>
          </w:p>
        </w:tc>
        <w:tc>
          <w:tcPr>
            <w:tcW w:w="466" w:type="pct"/>
            <w:vAlign w:val="center"/>
          </w:tcPr>
          <w:p w14:paraId="34A5AE40">
            <w:pPr>
              <w:jc w:val="center"/>
              <w:rPr>
                <w:rFonts w:eastAsia="仿宋_GB2312"/>
                <w:color w:val="auto"/>
                <w:szCs w:val="21"/>
              </w:rPr>
            </w:pPr>
            <w:r>
              <w:rPr>
                <w:rFonts w:eastAsia="仿宋_GB2312"/>
                <w:color w:val="auto"/>
                <w:szCs w:val="21"/>
              </w:rPr>
              <w:t>70000</w:t>
            </w:r>
          </w:p>
        </w:tc>
        <w:tc>
          <w:tcPr>
            <w:tcW w:w="335" w:type="pct"/>
            <w:vAlign w:val="center"/>
          </w:tcPr>
          <w:p w14:paraId="531A8BD0">
            <w:pPr>
              <w:jc w:val="center"/>
              <w:rPr>
                <w:rFonts w:eastAsia="仿宋_GB2312"/>
                <w:color w:val="auto"/>
                <w:szCs w:val="21"/>
              </w:rPr>
            </w:pPr>
            <w:r>
              <w:rPr>
                <w:rFonts w:hint="eastAsia" w:eastAsia="仿宋_GB2312"/>
                <w:color w:val="auto"/>
                <w:szCs w:val="21"/>
                <w:lang w:val="en-US" w:eastAsia="zh-CN"/>
              </w:rPr>
              <w:t>86</w:t>
            </w:r>
          </w:p>
        </w:tc>
        <w:tc>
          <w:tcPr>
            <w:tcW w:w="448" w:type="pct"/>
            <w:vAlign w:val="center"/>
          </w:tcPr>
          <w:p w14:paraId="3C729E1A">
            <w:pPr>
              <w:jc w:val="center"/>
              <w:rPr>
                <w:rFonts w:eastAsia="仿宋_GB2312"/>
                <w:color w:val="auto"/>
                <w:szCs w:val="21"/>
              </w:rPr>
            </w:pPr>
            <w:r>
              <w:rPr>
                <w:rFonts w:eastAsia="仿宋_GB2312"/>
                <w:color w:val="auto"/>
                <w:szCs w:val="21"/>
              </w:rPr>
              <w:t>7</w:t>
            </w:r>
          </w:p>
        </w:tc>
        <w:tc>
          <w:tcPr>
            <w:tcW w:w="392" w:type="pct"/>
            <w:vAlign w:val="center"/>
          </w:tcPr>
          <w:p w14:paraId="142828BC">
            <w:pPr>
              <w:jc w:val="center"/>
              <w:rPr>
                <w:rFonts w:eastAsia="仿宋_GB2312"/>
                <w:color w:val="auto"/>
                <w:szCs w:val="21"/>
              </w:rPr>
            </w:pPr>
            <w:r>
              <w:rPr>
                <w:rFonts w:eastAsia="仿宋_GB2312"/>
                <w:color w:val="auto"/>
                <w:szCs w:val="21"/>
              </w:rPr>
              <w:t>/</w:t>
            </w:r>
          </w:p>
        </w:tc>
        <w:tc>
          <w:tcPr>
            <w:tcW w:w="355" w:type="pct"/>
            <w:vAlign w:val="center"/>
          </w:tcPr>
          <w:p w14:paraId="63AF6D3E">
            <w:pPr>
              <w:jc w:val="center"/>
              <w:rPr>
                <w:rFonts w:eastAsia="仿宋_GB2312"/>
                <w:color w:val="auto"/>
                <w:szCs w:val="21"/>
              </w:rPr>
            </w:pPr>
            <w:r>
              <w:rPr>
                <w:rFonts w:hint="eastAsia" w:eastAsia="仿宋_GB2312"/>
                <w:color w:val="auto"/>
                <w:szCs w:val="21"/>
                <w:lang w:val="en-US" w:eastAsia="zh-CN"/>
              </w:rPr>
              <w:t>602</w:t>
            </w:r>
          </w:p>
        </w:tc>
        <w:tc>
          <w:tcPr>
            <w:tcW w:w="314" w:type="pct"/>
            <w:vMerge w:val="continue"/>
            <w:vAlign w:val="center"/>
          </w:tcPr>
          <w:p w14:paraId="5BFEBF29">
            <w:pPr>
              <w:jc w:val="center"/>
              <w:rPr>
                <w:rFonts w:eastAsia="仿宋_GB2312"/>
                <w:color w:val="FF0000"/>
                <w:szCs w:val="21"/>
              </w:rPr>
            </w:pPr>
          </w:p>
        </w:tc>
      </w:tr>
      <w:tr w14:paraId="6B239B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12" w:hRule="atLeast"/>
          <w:tblHeader/>
          <w:jc w:val="center"/>
        </w:trPr>
        <w:tc>
          <w:tcPr>
            <w:tcW w:w="604" w:type="pct"/>
            <w:vMerge w:val="continue"/>
            <w:vAlign w:val="center"/>
          </w:tcPr>
          <w:p w14:paraId="12A1D146">
            <w:pPr>
              <w:widowControl/>
              <w:jc w:val="center"/>
              <w:rPr>
                <w:rFonts w:eastAsia="仿宋_GB2312"/>
                <w:color w:val="FF0000"/>
                <w:kern w:val="0"/>
              </w:rPr>
            </w:pPr>
          </w:p>
        </w:tc>
        <w:tc>
          <w:tcPr>
            <w:tcW w:w="277" w:type="pct"/>
            <w:vMerge w:val="continue"/>
            <w:vAlign w:val="center"/>
          </w:tcPr>
          <w:p w14:paraId="64E61B48">
            <w:pPr>
              <w:widowControl/>
              <w:jc w:val="center"/>
              <w:rPr>
                <w:rFonts w:eastAsia="仿宋_GB2312"/>
                <w:color w:val="FF0000"/>
                <w:kern w:val="0"/>
              </w:rPr>
            </w:pPr>
          </w:p>
        </w:tc>
        <w:tc>
          <w:tcPr>
            <w:tcW w:w="358" w:type="pct"/>
            <w:vMerge w:val="continue"/>
            <w:tcMar>
              <w:top w:w="15" w:type="dxa"/>
              <w:left w:w="15" w:type="dxa"/>
              <w:bottom w:w="0" w:type="dxa"/>
              <w:right w:w="15" w:type="dxa"/>
            </w:tcMar>
            <w:vAlign w:val="center"/>
          </w:tcPr>
          <w:p w14:paraId="6AB1837A">
            <w:pPr>
              <w:widowControl/>
              <w:jc w:val="center"/>
              <w:rPr>
                <w:rFonts w:eastAsia="仿宋_GB2312"/>
                <w:color w:val="FF0000"/>
                <w:kern w:val="0"/>
                <w:szCs w:val="21"/>
              </w:rPr>
            </w:pPr>
          </w:p>
        </w:tc>
        <w:tc>
          <w:tcPr>
            <w:tcW w:w="1062" w:type="pct"/>
            <w:vAlign w:val="center"/>
          </w:tcPr>
          <w:p w14:paraId="370DD5DC">
            <w:pPr>
              <w:widowControl/>
              <w:jc w:val="center"/>
              <w:rPr>
                <w:rFonts w:eastAsia="仿宋_GB2312"/>
                <w:color w:val="auto"/>
                <w:kern w:val="0"/>
                <w:szCs w:val="21"/>
              </w:rPr>
            </w:pPr>
            <w:r>
              <w:rPr>
                <w:rFonts w:eastAsia="仿宋_GB2312"/>
                <w:color w:val="auto"/>
                <w:kern w:val="0"/>
                <w:szCs w:val="21"/>
              </w:rPr>
              <w:t>染料、涂料废物</w:t>
            </w:r>
          </w:p>
        </w:tc>
        <w:tc>
          <w:tcPr>
            <w:tcW w:w="385" w:type="pct"/>
            <w:tcMar>
              <w:top w:w="15" w:type="dxa"/>
              <w:left w:w="15" w:type="dxa"/>
              <w:bottom w:w="0" w:type="dxa"/>
              <w:right w:w="15" w:type="dxa"/>
            </w:tcMar>
            <w:vAlign w:val="center"/>
          </w:tcPr>
          <w:p w14:paraId="28D21A09">
            <w:pPr>
              <w:widowControl/>
              <w:jc w:val="center"/>
              <w:rPr>
                <w:rFonts w:eastAsia="仿宋_GB2312"/>
                <w:color w:val="auto"/>
                <w:kern w:val="0"/>
                <w:szCs w:val="21"/>
              </w:rPr>
            </w:pPr>
            <w:r>
              <w:rPr>
                <w:rFonts w:hint="eastAsia" w:eastAsia="仿宋_GB2312"/>
                <w:color w:val="auto"/>
                <w:kern w:val="0"/>
                <w:szCs w:val="21"/>
                <w:lang w:val="en-US" w:eastAsia="zh-CN"/>
              </w:rPr>
              <w:t>5</w:t>
            </w:r>
            <w:r>
              <w:rPr>
                <w:rFonts w:eastAsia="仿宋_GB2312"/>
                <w:color w:val="auto"/>
                <w:kern w:val="0"/>
                <w:szCs w:val="21"/>
              </w:rPr>
              <w:t>00</w:t>
            </w:r>
          </w:p>
        </w:tc>
        <w:tc>
          <w:tcPr>
            <w:tcW w:w="466" w:type="pct"/>
            <w:vAlign w:val="center"/>
          </w:tcPr>
          <w:p w14:paraId="1F3D9F31">
            <w:pPr>
              <w:jc w:val="center"/>
              <w:rPr>
                <w:rFonts w:eastAsia="仿宋_GB2312"/>
                <w:color w:val="auto"/>
                <w:szCs w:val="21"/>
              </w:rPr>
            </w:pPr>
            <w:r>
              <w:rPr>
                <w:rFonts w:eastAsia="仿宋_GB2312"/>
                <w:color w:val="auto"/>
                <w:szCs w:val="21"/>
              </w:rPr>
              <w:t>70000</w:t>
            </w:r>
          </w:p>
        </w:tc>
        <w:tc>
          <w:tcPr>
            <w:tcW w:w="335" w:type="pct"/>
            <w:vAlign w:val="center"/>
          </w:tcPr>
          <w:p w14:paraId="1A10DF10">
            <w:pPr>
              <w:jc w:val="center"/>
              <w:rPr>
                <w:rFonts w:eastAsia="仿宋_GB2312"/>
                <w:color w:val="auto"/>
                <w:szCs w:val="21"/>
              </w:rPr>
            </w:pPr>
            <w:r>
              <w:rPr>
                <w:rFonts w:hint="eastAsia" w:eastAsia="仿宋_GB2312"/>
                <w:color w:val="auto"/>
                <w:szCs w:val="21"/>
                <w:lang w:val="en-US" w:eastAsia="zh-CN"/>
              </w:rPr>
              <w:t>8</w:t>
            </w:r>
          </w:p>
        </w:tc>
        <w:tc>
          <w:tcPr>
            <w:tcW w:w="448" w:type="pct"/>
            <w:vAlign w:val="center"/>
          </w:tcPr>
          <w:p w14:paraId="144A2E80">
            <w:pPr>
              <w:jc w:val="center"/>
              <w:rPr>
                <w:rFonts w:eastAsia="仿宋_GB2312"/>
                <w:color w:val="auto"/>
                <w:szCs w:val="21"/>
              </w:rPr>
            </w:pPr>
            <w:r>
              <w:rPr>
                <w:rFonts w:eastAsia="仿宋_GB2312"/>
                <w:color w:val="auto"/>
                <w:szCs w:val="21"/>
              </w:rPr>
              <w:t>7</w:t>
            </w:r>
          </w:p>
        </w:tc>
        <w:tc>
          <w:tcPr>
            <w:tcW w:w="392" w:type="pct"/>
            <w:vAlign w:val="center"/>
          </w:tcPr>
          <w:p w14:paraId="7CE69520">
            <w:pPr>
              <w:jc w:val="center"/>
              <w:rPr>
                <w:rFonts w:eastAsia="仿宋_GB2312"/>
                <w:color w:val="auto"/>
                <w:szCs w:val="21"/>
              </w:rPr>
            </w:pPr>
            <w:r>
              <w:rPr>
                <w:rFonts w:eastAsia="仿宋_GB2312"/>
                <w:color w:val="auto"/>
                <w:szCs w:val="21"/>
              </w:rPr>
              <w:t>/</w:t>
            </w:r>
          </w:p>
        </w:tc>
        <w:tc>
          <w:tcPr>
            <w:tcW w:w="355" w:type="pct"/>
            <w:vAlign w:val="center"/>
          </w:tcPr>
          <w:p w14:paraId="34F3E868">
            <w:pPr>
              <w:jc w:val="center"/>
              <w:rPr>
                <w:rFonts w:eastAsia="仿宋_GB2312"/>
                <w:color w:val="auto"/>
                <w:szCs w:val="21"/>
              </w:rPr>
            </w:pPr>
            <w:r>
              <w:rPr>
                <w:rFonts w:hint="eastAsia" w:eastAsia="仿宋_GB2312"/>
                <w:color w:val="auto"/>
                <w:szCs w:val="21"/>
                <w:lang w:val="en-US" w:eastAsia="zh-CN"/>
              </w:rPr>
              <w:t>56</w:t>
            </w:r>
          </w:p>
        </w:tc>
        <w:tc>
          <w:tcPr>
            <w:tcW w:w="314" w:type="pct"/>
            <w:vMerge w:val="continue"/>
            <w:vAlign w:val="center"/>
          </w:tcPr>
          <w:p w14:paraId="0C27BA52">
            <w:pPr>
              <w:jc w:val="center"/>
              <w:rPr>
                <w:rFonts w:eastAsia="仿宋_GB2312"/>
                <w:color w:val="FF0000"/>
                <w:szCs w:val="21"/>
              </w:rPr>
            </w:pPr>
          </w:p>
        </w:tc>
      </w:tr>
      <w:tr w14:paraId="35F80FF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12" w:hRule="atLeast"/>
          <w:tblHeader/>
          <w:jc w:val="center"/>
        </w:trPr>
        <w:tc>
          <w:tcPr>
            <w:tcW w:w="604" w:type="pct"/>
            <w:vMerge w:val="continue"/>
            <w:vAlign w:val="center"/>
          </w:tcPr>
          <w:p w14:paraId="501BFFC7">
            <w:pPr>
              <w:widowControl/>
              <w:jc w:val="center"/>
              <w:rPr>
                <w:rFonts w:eastAsia="仿宋_GB2312"/>
                <w:color w:val="FF0000"/>
                <w:kern w:val="0"/>
              </w:rPr>
            </w:pPr>
          </w:p>
        </w:tc>
        <w:tc>
          <w:tcPr>
            <w:tcW w:w="277" w:type="pct"/>
            <w:vMerge w:val="continue"/>
            <w:vAlign w:val="center"/>
          </w:tcPr>
          <w:p w14:paraId="5D305114">
            <w:pPr>
              <w:widowControl/>
              <w:jc w:val="center"/>
              <w:rPr>
                <w:rFonts w:eastAsia="仿宋_GB2312"/>
                <w:color w:val="FF0000"/>
                <w:kern w:val="0"/>
              </w:rPr>
            </w:pPr>
          </w:p>
        </w:tc>
        <w:tc>
          <w:tcPr>
            <w:tcW w:w="358" w:type="pct"/>
            <w:vMerge w:val="continue"/>
            <w:tcMar>
              <w:top w:w="15" w:type="dxa"/>
              <w:left w:w="15" w:type="dxa"/>
              <w:bottom w:w="0" w:type="dxa"/>
              <w:right w:w="15" w:type="dxa"/>
            </w:tcMar>
            <w:vAlign w:val="center"/>
          </w:tcPr>
          <w:p w14:paraId="21A359AA">
            <w:pPr>
              <w:widowControl/>
              <w:jc w:val="center"/>
              <w:rPr>
                <w:rFonts w:eastAsia="仿宋_GB2312"/>
                <w:color w:val="FF0000"/>
                <w:kern w:val="0"/>
                <w:szCs w:val="21"/>
              </w:rPr>
            </w:pPr>
          </w:p>
        </w:tc>
        <w:tc>
          <w:tcPr>
            <w:tcW w:w="1062" w:type="pct"/>
            <w:vAlign w:val="center"/>
          </w:tcPr>
          <w:p w14:paraId="12B389BB">
            <w:pPr>
              <w:widowControl/>
              <w:jc w:val="center"/>
              <w:rPr>
                <w:rFonts w:eastAsia="仿宋_GB2312"/>
                <w:color w:val="auto"/>
                <w:kern w:val="0"/>
                <w:szCs w:val="21"/>
              </w:rPr>
            </w:pPr>
            <w:r>
              <w:rPr>
                <w:rFonts w:eastAsia="仿宋_GB2312"/>
                <w:color w:val="auto"/>
                <w:kern w:val="0"/>
                <w:szCs w:val="21"/>
              </w:rPr>
              <w:t>有机树脂类废物</w:t>
            </w:r>
          </w:p>
        </w:tc>
        <w:tc>
          <w:tcPr>
            <w:tcW w:w="385" w:type="pct"/>
            <w:tcMar>
              <w:top w:w="15" w:type="dxa"/>
              <w:left w:w="15" w:type="dxa"/>
              <w:bottom w:w="0" w:type="dxa"/>
              <w:right w:w="15" w:type="dxa"/>
            </w:tcMar>
            <w:vAlign w:val="center"/>
          </w:tcPr>
          <w:p w14:paraId="0CB77C8A">
            <w:pPr>
              <w:widowControl/>
              <w:jc w:val="center"/>
              <w:rPr>
                <w:rFonts w:eastAsia="仿宋_GB2312"/>
                <w:color w:val="auto"/>
                <w:kern w:val="0"/>
                <w:szCs w:val="21"/>
              </w:rPr>
            </w:pPr>
            <w:r>
              <w:rPr>
                <w:rFonts w:hint="eastAsia" w:eastAsia="仿宋_GB2312"/>
                <w:color w:val="auto"/>
                <w:kern w:val="0"/>
                <w:szCs w:val="21"/>
                <w:lang w:val="en-US" w:eastAsia="zh-CN"/>
              </w:rPr>
              <w:t>3</w:t>
            </w:r>
            <w:r>
              <w:rPr>
                <w:rFonts w:eastAsia="仿宋_GB2312"/>
                <w:color w:val="auto"/>
                <w:kern w:val="0"/>
                <w:szCs w:val="21"/>
              </w:rPr>
              <w:t>00</w:t>
            </w:r>
          </w:p>
        </w:tc>
        <w:tc>
          <w:tcPr>
            <w:tcW w:w="466" w:type="pct"/>
            <w:vAlign w:val="center"/>
          </w:tcPr>
          <w:p w14:paraId="7631770C">
            <w:pPr>
              <w:jc w:val="center"/>
              <w:rPr>
                <w:rFonts w:eastAsia="仿宋_GB2312"/>
                <w:color w:val="auto"/>
                <w:szCs w:val="21"/>
              </w:rPr>
            </w:pPr>
            <w:r>
              <w:rPr>
                <w:rFonts w:eastAsia="仿宋_GB2312"/>
                <w:color w:val="auto"/>
                <w:szCs w:val="21"/>
              </w:rPr>
              <w:t>70000</w:t>
            </w:r>
          </w:p>
        </w:tc>
        <w:tc>
          <w:tcPr>
            <w:tcW w:w="335" w:type="pct"/>
            <w:vAlign w:val="center"/>
          </w:tcPr>
          <w:p w14:paraId="62B0FB0C">
            <w:pPr>
              <w:jc w:val="center"/>
              <w:rPr>
                <w:rFonts w:eastAsia="仿宋_GB2312"/>
                <w:color w:val="auto"/>
                <w:szCs w:val="21"/>
              </w:rPr>
            </w:pPr>
            <w:r>
              <w:rPr>
                <w:rFonts w:hint="eastAsia" w:eastAsia="仿宋_GB2312"/>
                <w:color w:val="auto"/>
                <w:szCs w:val="21"/>
                <w:lang w:val="en-US" w:eastAsia="zh-CN"/>
              </w:rPr>
              <w:t>5</w:t>
            </w:r>
          </w:p>
        </w:tc>
        <w:tc>
          <w:tcPr>
            <w:tcW w:w="448" w:type="pct"/>
            <w:vAlign w:val="center"/>
          </w:tcPr>
          <w:p w14:paraId="3A9BE695">
            <w:pPr>
              <w:jc w:val="center"/>
              <w:rPr>
                <w:rFonts w:eastAsia="仿宋_GB2312"/>
                <w:color w:val="auto"/>
                <w:szCs w:val="21"/>
              </w:rPr>
            </w:pPr>
            <w:r>
              <w:rPr>
                <w:rFonts w:eastAsia="仿宋_GB2312"/>
                <w:color w:val="auto"/>
                <w:szCs w:val="21"/>
              </w:rPr>
              <w:t>7</w:t>
            </w:r>
          </w:p>
        </w:tc>
        <w:tc>
          <w:tcPr>
            <w:tcW w:w="392" w:type="pct"/>
            <w:vAlign w:val="center"/>
          </w:tcPr>
          <w:p w14:paraId="09E9B933">
            <w:pPr>
              <w:jc w:val="center"/>
              <w:rPr>
                <w:rFonts w:eastAsia="仿宋_GB2312"/>
                <w:color w:val="auto"/>
                <w:szCs w:val="21"/>
              </w:rPr>
            </w:pPr>
            <w:r>
              <w:rPr>
                <w:rFonts w:eastAsia="仿宋_GB2312"/>
                <w:color w:val="auto"/>
                <w:szCs w:val="21"/>
              </w:rPr>
              <w:t>/</w:t>
            </w:r>
          </w:p>
        </w:tc>
        <w:tc>
          <w:tcPr>
            <w:tcW w:w="355" w:type="pct"/>
            <w:vAlign w:val="center"/>
          </w:tcPr>
          <w:p w14:paraId="66728F8C">
            <w:pPr>
              <w:jc w:val="center"/>
              <w:rPr>
                <w:rFonts w:eastAsia="仿宋_GB2312"/>
                <w:color w:val="auto"/>
                <w:szCs w:val="21"/>
              </w:rPr>
            </w:pPr>
            <w:r>
              <w:rPr>
                <w:rFonts w:hint="eastAsia" w:eastAsia="仿宋_GB2312"/>
                <w:color w:val="auto"/>
                <w:szCs w:val="21"/>
                <w:lang w:val="en-US" w:eastAsia="zh-CN"/>
              </w:rPr>
              <w:t>35</w:t>
            </w:r>
          </w:p>
        </w:tc>
        <w:tc>
          <w:tcPr>
            <w:tcW w:w="314" w:type="pct"/>
            <w:vMerge w:val="continue"/>
            <w:vAlign w:val="center"/>
          </w:tcPr>
          <w:p w14:paraId="53F9ECA3">
            <w:pPr>
              <w:jc w:val="center"/>
              <w:rPr>
                <w:rFonts w:eastAsia="仿宋_GB2312"/>
                <w:color w:val="FF0000"/>
                <w:szCs w:val="21"/>
              </w:rPr>
            </w:pPr>
          </w:p>
        </w:tc>
      </w:tr>
      <w:tr w14:paraId="16F7C37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12" w:hRule="atLeast"/>
          <w:tblHeader/>
          <w:jc w:val="center"/>
        </w:trPr>
        <w:tc>
          <w:tcPr>
            <w:tcW w:w="604" w:type="pct"/>
            <w:vMerge w:val="continue"/>
            <w:vAlign w:val="center"/>
          </w:tcPr>
          <w:p w14:paraId="08886B84">
            <w:pPr>
              <w:widowControl/>
              <w:jc w:val="center"/>
              <w:rPr>
                <w:rFonts w:eastAsia="仿宋_GB2312"/>
                <w:color w:val="FF0000"/>
                <w:kern w:val="0"/>
              </w:rPr>
            </w:pPr>
          </w:p>
        </w:tc>
        <w:tc>
          <w:tcPr>
            <w:tcW w:w="277" w:type="pct"/>
            <w:vMerge w:val="continue"/>
            <w:vAlign w:val="center"/>
          </w:tcPr>
          <w:p w14:paraId="74916E0F">
            <w:pPr>
              <w:widowControl/>
              <w:jc w:val="center"/>
              <w:rPr>
                <w:rFonts w:eastAsia="仿宋_GB2312"/>
                <w:color w:val="FF0000"/>
                <w:kern w:val="0"/>
              </w:rPr>
            </w:pPr>
          </w:p>
        </w:tc>
        <w:tc>
          <w:tcPr>
            <w:tcW w:w="358" w:type="pct"/>
            <w:vMerge w:val="continue"/>
            <w:tcMar>
              <w:top w:w="15" w:type="dxa"/>
              <w:left w:w="15" w:type="dxa"/>
              <w:bottom w:w="0" w:type="dxa"/>
              <w:right w:w="15" w:type="dxa"/>
            </w:tcMar>
            <w:vAlign w:val="center"/>
          </w:tcPr>
          <w:p w14:paraId="0A381DC1">
            <w:pPr>
              <w:widowControl/>
              <w:jc w:val="center"/>
              <w:rPr>
                <w:rFonts w:eastAsia="仿宋_GB2312"/>
                <w:color w:val="FF0000"/>
                <w:kern w:val="0"/>
                <w:szCs w:val="21"/>
              </w:rPr>
            </w:pPr>
          </w:p>
        </w:tc>
        <w:tc>
          <w:tcPr>
            <w:tcW w:w="1062" w:type="pct"/>
            <w:vAlign w:val="center"/>
          </w:tcPr>
          <w:p w14:paraId="25DA2299">
            <w:pPr>
              <w:widowControl/>
              <w:jc w:val="center"/>
              <w:rPr>
                <w:rFonts w:eastAsia="仿宋_GB2312"/>
                <w:color w:val="auto"/>
                <w:kern w:val="0"/>
                <w:szCs w:val="21"/>
              </w:rPr>
            </w:pPr>
            <w:r>
              <w:rPr>
                <w:rFonts w:eastAsia="仿宋_GB2312"/>
                <w:color w:val="auto"/>
                <w:kern w:val="0"/>
                <w:szCs w:val="21"/>
              </w:rPr>
              <w:t>废矿物油与含矿物油废物</w:t>
            </w:r>
          </w:p>
        </w:tc>
        <w:tc>
          <w:tcPr>
            <w:tcW w:w="385" w:type="pct"/>
            <w:tcMar>
              <w:top w:w="15" w:type="dxa"/>
              <w:left w:w="15" w:type="dxa"/>
              <w:bottom w:w="0" w:type="dxa"/>
              <w:right w:w="15" w:type="dxa"/>
            </w:tcMar>
            <w:vAlign w:val="center"/>
          </w:tcPr>
          <w:p w14:paraId="3C6E04E0">
            <w:pPr>
              <w:widowControl/>
              <w:jc w:val="center"/>
              <w:rPr>
                <w:rFonts w:eastAsia="仿宋_GB2312"/>
                <w:color w:val="auto"/>
                <w:kern w:val="0"/>
                <w:szCs w:val="21"/>
              </w:rPr>
            </w:pPr>
            <w:r>
              <w:rPr>
                <w:rFonts w:hint="eastAsia" w:eastAsia="仿宋_GB2312"/>
                <w:color w:val="auto"/>
                <w:kern w:val="0"/>
                <w:szCs w:val="21"/>
                <w:lang w:val="en-US" w:eastAsia="zh-CN"/>
              </w:rPr>
              <w:t>2</w:t>
            </w:r>
            <w:r>
              <w:rPr>
                <w:rFonts w:eastAsia="仿宋_GB2312"/>
                <w:color w:val="auto"/>
                <w:kern w:val="0"/>
                <w:szCs w:val="21"/>
              </w:rPr>
              <w:t>00</w:t>
            </w:r>
          </w:p>
        </w:tc>
        <w:tc>
          <w:tcPr>
            <w:tcW w:w="466" w:type="pct"/>
            <w:vAlign w:val="center"/>
          </w:tcPr>
          <w:p w14:paraId="63BDCF2D">
            <w:pPr>
              <w:jc w:val="center"/>
              <w:rPr>
                <w:rFonts w:eastAsia="仿宋_GB2312"/>
                <w:color w:val="auto"/>
                <w:szCs w:val="21"/>
              </w:rPr>
            </w:pPr>
            <w:r>
              <w:rPr>
                <w:rFonts w:eastAsia="仿宋_GB2312"/>
                <w:color w:val="auto"/>
                <w:szCs w:val="21"/>
              </w:rPr>
              <w:t>18200</w:t>
            </w:r>
          </w:p>
        </w:tc>
        <w:tc>
          <w:tcPr>
            <w:tcW w:w="335" w:type="pct"/>
            <w:vAlign w:val="center"/>
          </w:tcPr>
          <w:p w14:paraId="03C1EE55">
            <w:pPr>
              <w:jc w:val="center"/>
              <w:rPr>
                <w:rFonts w:eastAsia="仿宋_GB2312"/>
                <w:color w:val="auto"/>
                <w:szCs w:val="21"/>
              </w:rPr>
            </w:pPr>
            <w:r>
              <w:rPr>
                <w:rFonts w:hint="eastAsia" w:eastAsia="仿宋_GB2312"/>
                <w:color w:val="auto"/>
                <w:szCs w:val="21"/>
                <w:lang w:val="en-US" w:eastAsia="zh-CN"/>
              </w:rPr>
              <w:t>11</w:t>
            </w:r>
          </w:p>
        </w:tc>
        <w:tc>
          <w:tcPr>
            <w:tcW w:w="448" w:type="pct"/>
            <w:vAlign w:val="center"/>
          </w:tcPr>
          <w:p w14:paraId="41E0E575">
            <w:pPr>
              <w:jc w:val="center"/>
              <w:rPr>
                <w:rFonts w:eastAsia="仿宋_GB2312"/>
                <w:color w:val="auto"/>
                <w:szCs w:val="21"/>
              </w:rPr>
            </w:pPr>
            <w:r>
              <w:rPr>
                <w:rFonts w:eastAsia="仿宋_GB2312"/>
                <w:color w:val="auto"/>
                <w:szCs w:val="21"/>
              </w:rPr>
              <w:t>6</w:t>
            </w:r>
          </w:p>
        </w:tc>
        <w:tc>
          <w:tcPr>
            <w:tcW w:w="392" w:type="pct"/>
            <w:vAlign w:val="center"/>
          </w:tcPr>
          <w:p w14:paraId="6BCF8448">
            <w:pPr>
              <w:jc w:val="center"/>
              <w:rPr>
                <w:rFonts w:eastAsia="仿宋_GB2312"/>
                <w:color w:val="auto"/>
                <w:szCs w:val="21"/>
              </w:rPr>
            </w:pPr>
            <w:r>
              <w:rPr>
                <w:rFonts w:eastAsia="仿宋_GB2312"/>
                <w:color w:val="auto"/>
                <w:szCs w:val="21"/>
              </w:rPr>
              <w:t>/</w:t>
            </w:r>
          </w:p>
        </w:tc>
        <w:tc>
          <w:tcPr>
            <w:tcW w:w="355" w:type="pct"/>
            <w:vAlign w:val="center"/>
          </w:tcPr>
          <w:p w14:paraId="1312A2A3">
            <w:pPr>
              <w:jc w:val="center"/>
              <w:rPr>
                <w:rFonts w:hint="default" w:eastAsia="仿宋_GB2312"/>
                <w:color w:val="auto"/>
                <w:szCs w:val="21"/>
                <w:lang w:val="en-US" w:eastAsia="zh-CN"/>
              </w:rPr>
            </w:pPr>
            <w:r>
              <w:rPr>
                <w:rFonts w:hint="eastAsia" w:eastAsia="仿宋_GB2312"/>
                <w:color w:val="auto"/>
                <w:szCs w:val="21"/>
                <w:lang w:val="en-US" w:eastAsia="zh-CN"/>
              </w:rPr>
              <w:t>66</w:t>
            </w:r>
          </w:p>
        </w:tc>
        <w:tc>
          <w:tcPr>
            <w:tcW w:w="314" w:type="pct"/>
            <w:vMerge w:val="continue"/>
            <w:vAlign w:val="center"/>
          </w:tcPr>
          <w:p w14:paraId="4CF61105">
            <w:pPr>
              <w:jc w:val="center"/>
              <w:rPr>
                <w:rFonts w:eastAsia="仿宋_GB2312"/>
                <w:color w:val="FF0000"/>
                <w:szCs w:val="21"/>
              </w:rPr>
            </w:pPr>
          </w:p>
        </w:tc>
      </w:tr>
      <w:tr w14:paraId="4CCC46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12" w:hRule="atLeast"/>
          <w:tblHeader/>
          <w:jc w:val="center"/>
        </w:trPr>
        <w:tc>
          <w:tcPr>
            <w:tcW w:w="604" w:type="pct"/>
            <w:vMerge w:val="continue"/>
            <w:vAlign w:val="center"/>
          </w:tcPr>
          <w:p w14:paraId="3A115244">
            <w:pPr>
              <w:widowControl/>
              <w:jc w:val="center"/>
              <w:rPr>
                <w:rFonts w:eastAsia="仿宋_GB2312"/>
                <w:color w:val="FF0000"/>
                <w:kern w:val="0"/>
              </w:rPr>
            </w:pPr>
          </w:p>
        </w:tc>
        <w:tc>
          <w:tcPr>
            <w:tcW w:w="277" w:type="pct"/>
            <w:vMerge w:val="continue"/>
            <w:vAlign w:val="center"/>
          </w:tcPr>
          <w:p w14:paraId="458DC57B">
            <w:pPr>
              <w:widowControl/>
              <w:jc w:val="center"/>
              <w:rPr>
                <w:rFonts w:eastAsia="仿宋_GB2312"/>
                <w:color w:val="FF0000"/>
                <w:kern w:val="0"/>
              </w:rPr>
            </w:pPr>
          </w:p>
        </w:tc>
        <w:tc>
          <w:tcPr>
            <w:tcW w:w="358" w:type="pct"/>
            <w:vMerge w:val="continue"/>
            <w:tcMar>
              <w:top w:w="15" w:type="dxa"/>
              <w:left w:w="15" w:type="dxa"/>
              <w:bottom w:w="0" w:type="dxa"/>
              <w:right w:w="15" w:type="dxa"/>
            </w:tcMar>
            <w:vAlign w:val="center"/>
          </w:tcPr>
          <w:p w14:paraId="6ADDE429">
            <w:pPr>
              <w:widowControl/>
              <w:jc w:val="center"/>
              <w:rPr>
                <w:rFonts w:eastAsia="仿宋_GB2312"/>
                <w:color w:val="FF0000"/>
                <w:kern w:val="0"/>
                <w:szCs w:val="21"/>
              </w:rPr>
            </w:pPr>
          </w:p>
        </w:tc>
        <w:tc>
          <w:tcPr>
            <w:tcW w:w="1062" w:type="pct"/>
            <w:vAlign w:val="center"/>
          </w:tcPr>
          <w:p w14:paraId="5D86E8FC">
            <w:pPr>
              <w:widowControl/>
              <w:jc w:val="center"/>
              <w:rPr>
                <w:rFonts w:eastAsia="仿宋_GB2312"/>
                <w:color w:val="auto"/>
                <w:kern w:val="0"/>
                <w:szCs w:val="21"/>
              </w:rPr>
            </w:pPr>
            <w:r>
              <w:rPr>
                <w:rFonts w:eastAsia="仿宋_GB2312"/>
                <w:color w:val="auto"/>
                <w:kern w:val="0"/>
                <w:szCs w:val="21"/>
              </w:rPr>
              <w:t>油/水、烃/水混合物或乳化液</w:t>
            </w:r>
          </w:p>
        </w:tc>
        <w:tc>
          <w:tcPr>
            <w:tcW w:w="385" w:type="pct"/>
            <w:tcMar>
              <w:top w:w="15" w:type="dxa"/>
              <w:left w:w="15" w:type="dxa"/>
              <w:bottom w:w="0" w:type="dxa"/>
              <w:right w:w="15" w:type="dxa"/>
            </w:tcMar>
            <w:vAlign w:val="center"/>
          </w:tcPr>
          <w:p w14:paraId="1BA50190">
            <w:pPr>
              <w:widowControl/>
              <w:jc w:val="center"/>
              <w:rPr>
                <w:rFonts w:eastAsia="仿宋_GB2312"/>
                <w:color w:val="auto"/>
                <w:kern w:val="0"/>
                <w:szCs w:val="21"/>
              </w:rPr>
            </w:pPr>
            <w:r>
              <w:rPr>
                <w:rFonts w:hint="eastAsia" w:eastAsia="仿宋_GB2312"/>
                <w:color w:val="auto"/>
                <w:kern w:val="0"/>
                <w:szCs w:val="21"/>
                <w:lang w:val="en-US" w:eastAsia="zh-CN"/>
              </w:rPr>
              <w:t>1</w:t>
            </w:r>
            <w:r>
              <w:rPr>
                <w:rFonts w:eastAsia="仿宋_GB2312"/>
                <w:color w:val="auto"/>
                <w:kern w:val="0"/>
                <w:szCs w:val="21"/>
              </w:rPr>
              <w:t>000</w:t>
            </w:r>
          </w:p>
        </w:tc>
        <w:tc>
          <w:tcPr>
            <w:tcW w:w="466" w:type="pct"/>
            <w:vAlign w:val="center"/>
          </w:tcPr>
          <w:p w14:paraId="2439A803">
            <w:pPr>
              <w:jc w:val="center"/>
              <w:rPr>
                <w:rFonts w:eastAsia="仿宋_GB2312"/>
                <w:color w:val="auto"/>
                <w:szCs w:val="21"/>
              </w:rPr>
            </w:pPr>
            <w:r>
              <w:rPr>
                <w:rFonts w:eastAsia="仿宋_GB2312"/>
                <w:color w:val="auto"/>
                <w:szCs w:val="21"/>
              </w:rPr>
              <w:t>28800</w:t>
            </w:r>
          </w:p>
        </w:tc>
        <w:tc>
          <w:tcPr>
            <w:tcW w:w="335" w:type="pct"/>
            <w:vAlign w:val="center"/>
          </w:tcPr>
          <w:p w14:paraId="52EF457E">
            <w:pPr>
              <w:jc w:val="center"/>
              <w:rPr>
                <w:rFonts w:eastAsia="仿宋_GB2312"/>
                <w:color w:val="auto"/>
                <w:szCs w:val="21"/>
              </w:rPr>
            </w:pPr>
            <w:r>
              <w:rPr>
                <w:rFonts w:hint="eastAsia" w:eastAsia="仿宋_GB2312"/>
                <w:color w:val="auto"/>
                <w:szCs w:val="21"/>
                <w:lang w:val="en-US" w:eastAsia="zh-CN"/>
              </w:rPr>
              <w:t>35</w:t>
            </w:r>
          </w:p>
        </w:tc>
        <w:tc>
          <w:tcPr>
            <w:tcW w:w="448" w:type="pct"/>
            <w:vAlign w:val="center"/>
          </w:tcPr>
          <w:p w14:paraId="4049DAC6">
            <w:pPr>
              <w:jc w:val="center"/>
              <w:rPr>
                <w:rFonts w:eastAsia="仿宋_GB2312"/>
                <w:color w:val="auto"/>
                <w:szCs w:val="21"/>
              </w:rPr>
            </w:pPr>
            <w:r>
              <w:rPr>
                <w:rFonts w:eastAsia="仿宋_GB2312"/>
                <w:color w:val="auto"/>
                <w:szCs w:val="21"/>
              </w:rPr>
              <w:t>12</w:t>
            </w:r>
          </w:p>
        </w:tc>
        <w:tc>
          <w:tcPr>
            <w:tcW w:w="392" w:type="pct"/>
            <w:vAlign w:val="center"/>
          </w:tcPr>
          <w:p w14:paraId="6C5ABC43">
            <w:pPr>
              <w:jc w:val="center"/>
              <w:rPr>
                <w:rFonts w:eastAsia="仿宋_GB2312"/>
                <w:color w:val="auto"/>
                <w:szCs w:val="21"/>
              </w:rPr>
            </w:pPr>
            <w:r>
              <w:rPr>
                <w:rFonts w:eastAsia="仿宋_GB2312"/>
                <w:color w:val="auto"/>
                <w:szCs w:val="21"/>
              </w:rPr>
              <w:t>/</w:t>
            </w:r>
          </w:p>
        </w:tc>
        <w:tc>
          <w:tcPr>
            <w:tcW w:w="355" w:type="pct"/>
            <w:vAlign w:val="center"/>
          </w:tcPr>
          <w:p w14:paraId="6FF54A7A">
            <w:pPr>
              <w:jc w:val="center"/>
              <w:rPr>
                <w:rFonts w:eastAsia="仿宋_GB2312"/>
                <w:color w:val="auto"/>
                <w:szCs w:val="21"/>
              </w:rPr>
            </w:pPr>
            <w:r>
              <w:rPr>
                <w:rFonts w:hint="eastAsia" w:eastAsia="仿宋_GB2312"/>
                <w:color w:val="auto"/>
                <w:szCs w:val="21"/>
                <w:lang w:val="en-US" w:eastAsia="zh-CN"/>
              </w:rPr>
              <w:t>420</w:t>
            </w:r>
          </w:p>
        </w:tc>
        <w:tc>
          <w:tcPr>
            <w:tcW w:w="314" w:type="pct"/>
            <w:vMerge w:val="continue"/>
            <w:vAlign w:val="center"/>
          </w:tcPr>
          <w:p w14:paraId="30371924">
            <w:pPr>
              <w:jc w:val="center"/>
              <w:rPr>
                <w:rFonts w:eastAsia="仿宋_GB2312"/>
                <w:color w:val="FF0000"/>
                <w:szCs w:val="21"/>
              </w:rPr>
            </w:pPr>
          </w:p>
        </w:tc>
      </w:tr>
      <w:tr w14:paraId="4E4BA6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12" w:hRule="atLeast"/>
          <w:tblHeader/>
          <w:jc w:val="center"/>
        </w:trPr>
        <w:tc>
          <w:tcPr>
            <w:tcW w:w="604" w:type="pct"/>
            <w:vMerge w:val="continue"/>
            <w:vAlign w:val="center"/>
          </w:tcPr>
          <w:p w14:paraId="53B6C752">
            <w:pPr>
              <w:widowControl/>
              <w:jc w:val="center"/>
              <w:rPr>
                <w:rFonts w:eastAsia="仿宋_GB2312"/>
                <w:color w:val="FF0000"/>
                <w:kern w:val="0"/>
              </w:rPr>
            </w:pPr>
          </w:p>
        </w:tc>
        <w:tc>
          <w:tcPr>
            <w:tcW w:w="277" w:type="pct"/>
            <w:vMerge w:val="continue"/>
            <w:vAlign w:val="center"/>
          </w:tcPr>
          <w:p w14:paraId="26097B11">
            <w:pPr>
              <w:widowControl/>
              <w:jc w:val="center"/>
              <w:rPr>
                <w:rFonts w:eastAsia="仿宋_GB2312"/>
                <w:color w:val="FF0000"/>
                <w:kern w:val="0"/>
              </w:rPr>
            </w:pPr>
          </w:p>
        </w:tc>
        <w:tc>
          <w:tcPr>
            <w:tcW w:w="358" w:type="pct"/>
            <w:vMerge w:val="restart"/>
            <w:tcMar>
              <w:top w:w="15" w:type="dxa"/>
              <w:left w:w="15" w:type="dxa"/>
              <w:bottom w:w="0" w:type="dxa"/>
              <w:right w:w="15" w:type="dxa"/>
            </w:tcMar>
            <w:vAlign w:val="center"/>
          </w:tcPr>
          <w:p w14:paraId="54C312B1">
            <w:pPr>
              <w:widowControl/>
              <w:jc w:val="center"/>
              <w:rPr>
                <w:rFonts w:eastAsia="仿宋_GB2312"/>
                <w:color w:val="FF0000"/>
                <w:kern w:val="0"/>
                <w:szCs w:val="21"/>
              </w:rPr>
            </w:pPr>
            <w:r>
              <w:rPr>
                <w:rFonts w:eastAsia="仿宋_GB2312"/>
                <w:color w:val="auto"/>
                <w:kern w:val="0"/>
                <w:szCs w:val="21"/>
              </w:rPr>
              <w:t>本次新增</w:t>
            </w:r>
          </w:p>
        </w:tc>
        <w:tc>
          <w:tcPr>
            <w:tcW w:w="1062" w:type="pct"/>
            <w:vAlign w:val="center"/>
          </w:tcPr>
          <w:p w14:paraId="5AB0F022">
            <w:pPr>
              <w:widowControl/>
              <w:jc w:val="center"/>
              <w:rPr>
                <w:rFonts w:eastAsia="仿宋_GB2312"/>
                <w:color w:val="auto"/>
                <w:kern w:val="0"/>
                <w:szCs w:val="21"/>
              </w:rPr>
            </w:pPr>
            <w:r>
              <w:rPr>
                <w:rFonts w:eastAsia="仿宋_GB2312"/>
                <w:color w:val="auto"/>
                <w:kern w:val="0"/>
                <w:szCs w:val="21"/>
              </w:rPr>
              <w:t>废有机溶剂与含有机溶剂废物</w:t>
            </w:r>
          </w:p>
        </w:tc>
        <w:tc>
          <w:tcPr>
            <w:tcW w:w="385" w:type="pct"/>
            <w:tcMar>
              <w:top w:w="15" w:type="dxa"/>
              <w:left w:w="15" w:type="dxa"/>
              <w:bottom w:w="0" w:type="dxa"/>
              <w:right w:w="15" w:type="dxa"/>
            </w:tcMar>
            <w:vAlign w:val="center"/>
          </w:tcPr>
          <w:p w14:paraId="50F92E67">
            <w:pPr>
              <w:widowControl/>
              <w:jc w:val="center"/>
              <w:rPr>
                <w:rFonts w:eastAsia="仿宋_GB2312"/>
                <w:color w:val="auto"/>
                <w:kern w:val="0"/>
                <w:szCs w:val="21"/>
              </w:rPr>
            </w:pPr>
            <w:r>
              <w:rPr>
                <w:rFonts w:hint="eastAsia" w:eastAsia="仿宋_GB2312"/>
                <w:color w:val="auto"/>
                <w:kern w:val="0"/>
                <w:szCs w:val="21"/>
                <w:lang w:val="en-US" w:eastAsia="zh-CN"/>
              </w:rPr>
              <w:t>95</w:t>
            </w:r>
            <w:r>
              <w:rPr>
                <w:rFonts w:eastAsia="仿宋_GB2312"/>
                <w:color w:val="auto"/>
                <w:kern w:val="0"/>
                <w:szCs w:val="21"/>
              </w:rPr>
              <w:t>00</w:t>
            </w:r>
          </w:p>
        </w:tc>
        <w:tc>
          <w:tcPr>
            <w:tcW w:w="466" w:type="pct"/>
            <w:vAlign w:val="center"/>
          </w:tcPr>
          <w:p w14:paraId="02760E66">
            <w:pPr>
              <w:jc w:val="center"/>
              <w:rPr>
                <w:rFonts w:eastAsia="仿宋_GB2312"/>
                <w:color w:val="auto"/>
                <w:szCs w:val="21"/>
              </w:rPr>
            </w:pPr>
            <w:r>
              <w:rPr>
                <w:rFonts w:eastAsia="仿宋_GB2312"/>
                <w:color w:val="auto"/>
                <w:szCs w:val="21"/>
              </w:rPr>
              <w:t>70000</w:t>
            </w:r>
          </w:p>
        </w:tc>
        <w:tc>
          <w:tcPr>
            <w:tcW w:w="335" w:type="pct"/>
            <w:vAlign w:val="center"/>
          </w:tcPr>
          <w:p w14:paraId="0612FE87">
            <w:pPr>
              <w:jc w:val="center"/>
              <w:rPr>
                <w:rFonts w:hint="default" w:eastAsia="仿宋_GB2312"/>
                <w:color w:val="auto"/>
                <w:szCs w:val="21"/>
                <w:lang w:val="en-US" w:eastAsia="zh-CN"/>
              </w:rPr>
            </w:pPr>
            <w:r>
              <w:rPr>
                <w:rFonts w:hint="eastAsia" w:eastAsia="仿宋_GB2312"/>
                <w:color w:val="auto"/>
                <w:szCs w:val="21"/>
                <w:lang w:val="en-US" w:eastAsia="zh-CN"/>
              </w:rPr>
              <w:t>136</w:t>
            </w:r>
          </w:p>
        </w:tc>
        <w:tc>
          <w:tcPr>
            <w:tcW w:w="448" w:type="pct"/>
            <w:vAlign w:val="center"/>
          </w:tcPr>
          <w:p w14:paraId="21BB3F9D">
            <w:pPr>
              <w:jc w:val="center"/>
              <w:rPr>
                <w:rFonts w:eastAsia="仿宋_GB2312"/>
                <w:color w:val="auto"/>
                <w:szCs w:val="21"/>
              </w:rPr>
            </w:pPr>
            <w:r>
              <w:rPr>
                <w:rFonts w:eastAsia="仿宋_GB2312"/>
                <w:color w:val="auto"/>
                <w:szCs w:val="21"/>
              </w:rPr>
              <w:t>7</w:t>
            </w:r>
          </w:p>
        </w:tc>
        <w:tc>
          <w:tcPr>
            <w:tcW w:w="392" w:type="pct"/>
            <w:vAlign w:val="center"/>
          </w:tcPr>
          <w:p w14:paraId="278427D8">
            <w:pPr>
              <w:jc w:val="center"/>
              <w:rPr>
                <w:rFonts w:eastAsia="仿宋_GB2312"/>
                <w:color w:val="auto"/>
                <w:szCs w:val="21"/>
              </w:rPr>
            </w:pPr>
            <w:r>
              <w:rPr>
                <w:rFonts w:eastAsia="仿宋_GB2312"/>
                <w:color w:val="auto"/>
                <w:szCs w:val="21"/>
              </w:rPr>
              <w:t>/</w:t>
            </w:r>
          </w:p>
        </w:tc>
        <w:tc>
          <w:tcPr>
            <w:tcW w:w="355" w:type="pct"/>
            <w:vAlign w:val="center"/>
          </w:tcPr>
          <w:p w14:paraId="13F94E71">
            <w:pPr>
              <w:jc w:val="center"/>
              <w:rPr>
                <w:rFonts w:hint="default" w:eastAsia="仿宋_GB2312"/>
                <w:color w:val="auto"/>
                <w:szCs w:val="21"/>
                <w:lang w:val="en-US" w:eastAsia="zh-CN"/>
              </w:rPr>
            </w:pPr>
            <w:r>
              <w:rPr>
                <w:rFonts w:hint="eastAsia" w:eastAsia="仿宋_GB2312"/>
                <w:color w:val="auto"/>
                <w:szCs w:val="21"/>
                <w:lang w:val="en-US" w:eastAsia="zh-CN"/>
              </w:rPr>
              <w:t>752</w:t>
            </w:r>
          </w:p>
        </w:tc>
        <w:tc>
          <w:tcPr>
            <w:tcW w:w="314" w:type="pct"/>
            <w:vMerge w:val="continue"/>
            <w:vAlign w:val="center"/>
          </w:tcPr>
          <w:p w14:paraId="5E431363">
            <w:pPr>
              <w:jc w:val="center"/>
              <w:rPr>
                <w:rFonts w:eastAsia="仿宋_GB2312"/>
                <w:color w:val="FF0000"/>
                <w:szCs w:val="21"/>
              </w:rPr>
            </w:pPr>
          </w:p>
        </w:tc>
      </w:tr>
      <w:tr w14:paraId="2B3ABD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12" w:hRule="atLeast"/>
          <w:tblHeader/>
          <w:jc w:val="center"/>
        </w:trPr>
        <w:tc>
          <w:tcPr>
            <w:tcW w:w="604" w:type="pct"/>
            <w:vMerge w:val="continue"/>
            <w:vAlign w:val="center"/>
          </w:tcPr>
          <w:p w14:paraId="253F67AC">
            <w:pPr>
              <w:widowControl/>
              <w:jc w:val="center"/>
              <w:rPr>
                <w:rFonts w:eastAsia="仿宋_GB2312"/>
                <w:color w:val="FF0000"/>
                <w:kern w:val="0"/>
              </w:rPr>
            </w:pPr>
          </w:p>
        </w:tc>
        <w:tc>
          <w:tcPr>
            <w:tcW w:w="277" w:type="pct"/>
            <w:vMerge w:val="continue"/>
            <w:vAlign w:val="center"/>
          </w:tcPr>
          <w:p w14:paraId="0C9D31C1">
            <w:pPr>
              <w:widowControl/>
              <w:jc w:val="center"/>
              <w:rPr>
                <w:rFonts w:eastAsia="仿宋_GB2312"/>
                <w:color w:val="FF0000"/>
                <w:kern w:val="0"/>
              </w:rPr>
            </w:pPr>
          </w:p>
        </w:tc>
        <w:tc>
          <w:tcPr>
            <w:tcW w:w="358" w:type="pct"/>
            <w:vMerge w:val="continue"/>
            <w:tcMar>
              <w:top w:w="15" w:type="dxa"/>
              <w:left w:w="15" w:type="dxa"/>
              <w:bottom w:w="0" w:type="dxa"/>
              <w:right w:w="15" w:type="dxa"/>
            </w:tcMar>
            <w:vAlign w:val="center"/>
          </w:tcPr>
          <w:p w14:paraId="7450DC30">
            <w:pPr>
              <w:widowControl/>
              <w:jc w:val="center"/>
              <w:rPr>
                <w:rFonts w:eastAsia="仿宋_GB2312"/>
                <w:color w:val="FF0000"/>
                <w:kern w:val="0"/>
                <w:szCs w:val="21"/>
              </w:rPr>
            </w:pPr>
          </w:p>
        </w:tc>
        <w:tc>
          <w:tcPr>
            <w:tcW w:w="1062" w:type="pct"/>
            <w:shd w:val="clear" w:color="auto" w:fill="auto"/>
            <w:vAlign w:val="center"/>
          </w:tcPr>
          <w:p w14:paraId="22EBD9F1">
            <w:pPr>
              <w:widowControl/>
              <w:jc w:val="center"/>
              <w:rPr>
                <w:rFonts w:ascii="Times New Roman" w:hAnsi="Times New Roman" w:eastAsia="仿宋_GB2312" w:cs="Times New Roman"/>
                <w:color w:val="auto"/>
                <w:kern w:val="0"/>
                <w:sz w:val="21"/>
                <w:szCs w:val="21"/>
                <w:lang w:val="en-US" w:eastAsia="zh-CN" w:bidi="ar-SA"/>
              </w:rPr>
            </w:pPr>
            <w:r>
              <w:rPr>
                <w:rFonts w:eastAsia="仿宋_GB2312"/>
                <w:color w:val="auto"/>
                <w:kern w:val="0"/>
                <w:szCs w:val="21"/>
              </w:rPr>
              <w:t>废碱</w:t>
            </w:r>
          </w:p>
        </w:tc>
        <w:tc>
          <w:tcPr>
            <w:tcW w:w="385" w:type="pct"/>
            <w:shd w:val="clear" w:color="auto" w:fill="auto"/>
            <w:tcMar>
              <w:top w:w="15" w:type="dxa"/>
              <w:left w:w="15" w:type="dxa"/>
              <w:bottom w:w="0" w:type="dxa"/>
              <w:right w:w="15" w:type="dxa"/>
            </w:tcMar>
            <w:vAlign w:val="center"/>
          </w:tcPr>
          <w:p w14:paraId="784AC7A4">
            <w:pPr>
              <w:widowControl/>
              <w:jc w:val="center"/>
              <w:rPr>
                <w:rFonts w:ascii="Times New Roman" w:hAnsi="Times New Roman" w:eastAsia="仿宋_GB2312" w:cs="Times New Roman"/>
                <w:color w:val="auto"/>
                <w:kern w:val="0"/>
                <w:sz w:val="21"/>
                <w:szCs w:val="21"/>
                <w:lang w:val="en-US" w:eastAsia="zh-CN" w:bidi="ar-SA"/>
              </w:rPr>
            </w:pPr>
            <w:r>
              <w:rPr>
                <w:rFonts w:eastAsia="仿宋_GB2312"/>
                <w:color w:val="auto"/>
                <w:kern w:val="0"/>
                <w:szCs w:val="21"/>
              </w:rPr>
              <w:t>500</w:t>
            </w:r>
          </w:p>
        </w:tc>
        <w:tc>
          <w:tcPr>
            <w:tcW w:w="466" w:type="pct"/>
            <w:shd w:val="clear" w:color="auto" w:fill="auto"/>
            <w:vAlign w:val="center"/>
          </w:tcPr>
          <w:p w14:paraId="26044954">
            <w:pPr>
              <w:jc w:val="center"/>
              <w:rPr>
                <w:rFonts w:ascii="Times New Roman" w:hAnsi="Times New Roman" w:eastAsia="仿宋_GB2312" w:cs="Times New Roman"/>
                <w:color w:val="auto"/>
                <w:kern w:val="2"/>
                <w:sz w:val="21"/>
                <w:szCs w:val="21"/>
                <w:lang w:val="en-US" w:eastAsia="zh-CN" w:bidi="ar-SA"/>
              </w:rPr>
            </w:pPr>
            <w:r>
              <w:rPr>
                <w:rFonts w:eastAsia="仿宋_GB2312"/>
                <w:color w:val="auto"/>
                <w:szCs w:val="21"/>
              </w:rPr>
              <w:t>70000</w:t>
            </w:r>
          </w:p>
        </w:tc>
        <w:tc>
          <w:tcPr>
            <w:tcW w:w="335" w:type="pct"/>
            <w:shd w:val="clear" w:color="auto" w:fill="auto"/>
            <w:vAlign w:val="center"/>
          </w:tcPr>
          <w:p w14:paraId="5FB0CC99">
            <w:pPr>
              <w:jc w:val="center"/>
              <w:rPr>
                <w:rFonts w:ascii="Times New Roman" w:hAnsi="Times New Roman" w:eastAsia="仿宋_GB2312" w:cs="Times New Roman"/>
                <w:color w:val="auto"/>
                <w:kern w:val="2"/>
                <w:sz w:val="21"/>
                <w:szCs w:val="21"/>
                <w:lang w:val="en-US" w:eastAsia="zh-CN" w:bidi="ar-SA"/>
              </w:rPr>
            </w:pPr>
            <w:r>
              <w:rPr>
                <w:rFonts w:hint="eastAsia" w:eastAsia="仿宋_GB2312"/>
                <w:color w:val="auto"/>
                <w:szCs w:val="21"/>
                <w:lang w:val="en-US" w:eastAsia="zh-CN"/>
              </w:rPr>
              <w:t>8</w:t>
            </w:r>
          </w:p>
        </w:tc>
        <w:tc>
          <w:tcPr>
            <w:tcW w:w="448" w:type="pct"/>
            <w:shd w:val="clear" w:color="auto" w:fill="auto"/>
            <w:vAlign w:val="center"/>
          </w:tcPr>
          <w:p w14:paraId="6B6077F9">
            <w:pPr>
              <w:jc w:val="center"/>
              <w:rPr>
                <w:rFonts w:ascii="Times New Roman" w:hAnsi="Times New Roman" w:eastAsia="仿宋_GB2312" w:cs="Times New Roman"/>
                <w:color w:val="auto"/>
                <w:kern w:val="2"/>
                <w:sz w:val="21"/>
                <w:szCs w:val="21"/>
                <w:lang w:val="en-US" w:eastAsia="zh-CN" w:bidi="ar-SA"/>
              </w:rPr>
            </w:pPr>
            <w:r>
              <w:rPr>
                <w:rFonts w:eastAsia="仿宋_GB2312"/>
                <w:color w:val="auto"/>
                <w:szCs w:val="21"/>
              </w:rPr>
              <w:t>7</w:t>
            </w:r>
          </w:p>
        </w:tc>
        <w:tc>
          <w:tcPr>
            <w:tcW w:w="392" w:type="pct"/>
            <w:shd w:val="clear" w:color="auto" w:fill="auto"/>
            <w:vAlign w:val="center"/>
          </w:tcPr>
          <w:p w14:paraId="3B71C64D">
            <w:pPr>
              <w:jc w:val="center"/>
              <w:rPr>
                <w:rFonts w:ascii="Times New Roman" w:hAnsi="Times New Roman" w:eastAsia="仿宋_GB2312" w:cs="Times New Roman"/>
                <w:color w:val="auto"/>
                <w:kern w:val="2"/>
                <w:sz w:val="21"/>
                <w:szCs w:val="21"/>
                <w:lang w:val="en-US" w:eastAsia="zh-CN" w:bidi="ar-SA"/>
              </w:rPr>
            </w:pPr>
            <w:r>
              <w:rPr>
                <w:rFonts w:eastAsia="仿宋_GB2312"/>
                <w:color w:val="auto"/>
                <w:szCs w:val="21"/>
              </w:rPr>
              <w:t>/</w:t>
            </w:r>
          </w:p>
        </w:tc>
        <w:tc>
          <w:tcPr>
            <w:tcW w:w="355" w:type="pct"/>
            <w:shd w:val="clear" w:color="auto" w:fill="auto"/>
            <w:vAlign w:val="center"/>
          </w:tcPr>
          <w:p w14:paraId="69AFD183">
            <w:pPr>
              <w:jc w:val="center"/>
              <w:rPr>
                <w:rFonts w:hint="default" w:ascii="Times New Roman" w:hAnsi="Times New Roman" w:eastAsia="仿宋_GB2312" w:cs="Times New Roman"/>
                <w:color w:val="auto"/>
                <w:kern w:val="2"/>
                <w:sz w:val="21"/>
                <w:szCs w:val="21"/>
                <w:lang w:val="en-US" w:eastAsia="zh-CN" w:bidi="ar-SA"/>
              </w:rPr>
            </w:pPr>
            <w:r>
              <w:rPr>
                <w:rFonts w:hint="eastAsia" w:eastAsia="仿宋_GB2312"/>
                <w:color w:val="auto"/>
                <w:szCs w:val="21"/>
                <w:lang w:val="en-US" w:eastAsia="zh-CN"/>
              </w:rPr>
              <w:t>56</w:t>
            </w:r>
          </w:p>
        </w:tc>
        <w:tc>
          <w:tcPr>
            <w:tcW w:w="314" w:type="pct"/>
            <w:vMerge w:val="continue"/>
            <w:vAlign w:val="center"/>
          </w:tcPr>
          <w:p w14:paraId="27AEDD0E">
            <w:pPr>
              <w:jc w:val="center"/>
              <w:rPr>
                <w:rFonts w:eastAsia="仿宋_GB2312"/>
                <w:color w:val="FF0000"/>
                <w:szCs w:val="21"/>
              </w:rPr>
            </w:pPr>
          </w:p>
        </w:tc>
      </w:tr>
    </w:tbl>
    <w:p w14:paraId="094A4EDE">
      <w:pPr>
        <w:spacing w:line="500" w:lineRule="exact"/>
        <w:ind w:firstLine="560" w:firstLineChars="200"/>
        <w:rPr>
          <w:rFonts w:eastAsia="仿宋_GB2312"/>
          <w:color w:val="FF0000"/>
          <w:sz w:val="28"/>
          <w:szCs w:val="28"/>
        </w:rPr>
      </w:pPr>
      <w:r>
        <w:rPr>
          <w:rFonts w:eastAsia="仿宋_GB2312"/>
          <w:color w:val="auto"/>
          <w:sz w:val="28"/>
          <w:szCs w:val="28"/>
        </w:rPr>
        <w:t>综上，本项目设备可以满足生产的需求。</w:t>
      </w:r>
    </w:p>
    <w:p w14:paraId="02C054A6">
      <w:pPr>
        <w:pStyle w:val="2"/>
        <w:rPr>
          <w:color w:val="FF0000"/>
          <w:sz w:val="28"/>
          <w:szCs w:val="28"/>
        </w:rPr>
        <w:sectPr>
          <w:pgSz w:w="16840" w:h="11907" w:orient="landscape"/>
          <w:pgMar w:top="1440" w:right="1800" w:bottom="1440" w:left="1800" w:header="851" w:footer="992" w:gutter="0"/>
          <w:pgBorders>
            <w:top w:val="none" w:sz="0" w:space="0"/>
            <w:left w:val="none" w:sz="0" w:space="0"/>
            <w:bottom w:val="none" w:sz="0" w:space="0"/>
            <w:right w:val="none" w:sz="0" w:space="0"/>
          </w:pgBorders>
          <w:pgNumType w:fmt="decimal"/>
          <w:cols w:space="425" w:num="1"/>
          <w:docGrid w:linePitch="326" w:charSpace="0"/>
        </w:sectPr>
      </w:pPr>
    </w:p>
    <w:p w14:paraId="277C080C">
      <w:pPr>
        <w:pStyle w:val="6"/>
        <w:keepLines w:val="0"/>
        <w:tabs>
          <w:tab w:val="left" w:pos="709"/>
        </w:tabs>
        <w:spacing w:before="120" w:beforeLines="50" w:after="120" w:afterLines="50" w:line="500" w:lineRule="exact"/>
        <w:rPr>
          <w:rFonts w:eastAsia="仿宋_GB2312"/>
          <w:color w:val="auto"/>
          <w:sz w:val="28"/>
          <w:szCs w:val="28"/>
        </w:rPr>
      </w:pPr>
      <w:bookmarkStart w:id="43" w:name="_Toc3696"/>
      <w:r>
        <w:rPr>
          <w:rFonts w:eastAsia="仿宋_GB2312"/>
          <w:color w:val="auto"/>
          <w:sz w:val="30"/>
          <w:szCs w:val="30"/>
        </w:rPr>
        <w:t>3.2.</w:t>
      </w:r>
      <w:r>
        <w:rPr>
          <w:rFonts w:hint="eastAsia" w:eastAsia="仿宋_GB2312"/>
          <w:color w:val="auto"/>
          <w:sz w:val="30"/>
          <w:szCs w:val="30"/>
        </w:rPr>
        <w:t>6</w:t>
      </w:r>
      <w:r>
        <w:rPr>
          <w:rFonts w:eastAsia="仿宋_GB2312"/>
          <w:color w:val="auto"/>
          <w:sz w:val="30"/>
          <w:szCs w:val="30"/>
        </w:rPr>
        <w:t>公用工程及辅助工程</w:t>
      </w:r>
      <w:bookmarkEnd w:id="43"/>
    </w:p>
    <w:p w14:paraId="5C4D807D">
      <w:pPr>
        <w:spacing w:line="500" w:lineRule="exact"/>
        <w:ind w:firstLine="560" w:firstLineChars="200"/>
        <w:rPr>
          <w:rFonts w:eastAsia="仿宋_GB2312"/>
          <w:color w:val="auto"/>
          <w:sz w:val="28"/>
          <w:szCs w:val="28"/>
        </w:rPr>
      </w:pPr>
      <w:r>
        <w:rPr>
          <w:rFonts w:eastAsia="仿宋_GB2312"/>
          <w:color w:val="auto"/>
          <w:sz w:val="28"/>
          <w:szCs w:val="28"/>
        </w:rPr>
        <w:t>本项目公用工程和辅助工程汇总情况见表3.2-4</w:t>
      </w:r>
      <w:r>
        <w:rPr>
          <w:rFonts w:hint="eastAsia" w:eastAsia="仿宋_GB2312"/>
          <w:color w:val="auto"/>
          <w:sz w:val="28"/>
          <w:szCs w:val="28"/>
          <w:lang w:val="en-US" w:eastAsia="zh-CN"/>
        </w:rPr>
        <w:t>6</w:t>
      </w:r>
      <w:r>
        <w:rPr>
          <w:rFonts w:eastAsia="仿宋_GB2312"/>
          <w:color w:val="auto"/>
          <w:sz w:val="28"/>
          <w:szCs w:val="28"/>
        </w:rPr>
        <w:t>。</w:t>
      </w:r>
    </w:p>
    <w:p w14:paraId="24471ADF">
      <w:pPr>
        <w:spacing w:line="500" w:lineRule="exact"/>
        <w:jc w:val="center"/>
        <w:rPr>
          <w:rFonts w:eastAsia="仿宋_GB2312"/>
          <w:b/>
          <w:color w:val="auto"/>
          <w:spacing w:val="-6"/>
          <w:sz w:val="24"/>
        </w:rPr>
      </w:pPr>
      <w:r>
        <w:rPr>
          <w:rFonts w:eastAsia="仿宋_GB2312"/>
          <w:b/>
          <w:color w:val="auto"/>
          <w:spacing w:val="-6"/>
          <w:sz w:val="24"/>
        </w:rPr>
        <w:t>表3.2-4</w:t>
      </w:r>
      <w:r>
        <w:rPr>
          <w:rFonts w:hint="eastAsia" w:eastAsia="仿宋_GB2312"/>
          <w:b/>
          <w:color w:val="auto"/>
          <w:spacing w:val="-6"/>
          <w:sz w:val="24"/>
          <w:lang w:val="en-US" w:eastAsia="zh-CN"/>
        </w:rPr>
        <w:t>6</w:t>
      </w:r>
      <w:r>
        <w:rPr>
          <w:rFonts w:eastAsia="仿宋_GB2312"/>
          <w:b/>
          <w:color w:val="auto"/>
          <w:spacing w:val="-6"/>
          <w:sz w:val="24"/>
        </w:rPr>
        <w:t xml:space="preserve">  本项目公辅工程情况表</w:t>
      </w:r>
    </w:p>
    <w:tbl>
      <w:tblPr>
        <w:tblStyle w:val="88"/>
        <w:tblW w:w="5082"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777"/>
        <w:gridCol w:w="1160"/>
        <w:gridCol w:w="6854"/>
        <w:gridCol w:w="4886"/>
      </w:tblGrid>
      <w:tr w14:paraId="1EAB99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84" w:type="pct"/>
            <w:tcBorders>
              <w:tl2br w:val="nil"/>
              <w:tr2bl w:val="nil"/>
            </w:tcBorders>
            <w:vAlign w:val="center"/>
          </w:tcPr>
          <w:p w14:paraId="118F2D61">
            <w:pPr>
              <w:widowControl/>
              <w:adjustRightInd w:val="0"/>
              <w:snapToGrid w:val="0"/>
              <w:spacing w:line="320" w:lineRule="exact"/>
              <w:jc w:val="center"/>
              <w:rPr>
                <w:rFonts w:eastAsia="仿宋_GB2312"/>
                <w:b/>
                <w:bCs/>
                <w:kern w:val="0"/>
              </w:rPr>
            </w:pPr>
            <w:r>
              <w:rPr>
                <w:rFonts w:eastAsia="仿宋_GB2312"/>
                <w:b/>
                <w:bCs/>
                <w:kern w:val="0"/>
              </w:rPr>
              <w:t>类别</w:t>
            </w:r>
          </w:p>
        </w:tc>
        <w:tc>
          <w:tcPr>
            <w:tcW w:w="424" w:type="pct"/>
            <w:tcBorders>
              <w:tl2br w:val="nil"/>
              <w:tr2bl w:val="nil"/>
            </w:tcBorders>
            <w:vAlign w:val="center"/>
          </w:tcPr>
          <w:p w14:paraId="38724537">
            <w:pPr>
              <w:widowControl/>
              <w:adjustRightInd w:val="0"/>
              <w:snapToGrid w:val="0"/>
              <w:spacing w:line="320" w:lineRule="exact"/>
              <w:jc w:val="center"/>
              <w:rPr>
                <w:rFonts w:eastAsia="仿宋_GB2312"/>
                <w:b/>
                <w:bCs/>
                <w:kern w:val="0"/>
              </w:rPr>
            </w:pPr>
            <w:r>
              <w:rPr>
                <w:rFonts w:eastAsia="仿宋_GB2312"/>
                <w:b/>
                <w:bCs/>
                <w:kern w:val="0"/>
              </w:rPr>
              <w:t>建设名称</w:t>
            </w:r>
          </w:p>
        </w:tc>
        <w:tc>
          <w:tcPr>
            <w:tcW w:w="2505" w:type="pct"/>
            <w:tcBorders>
              <w:tl2br w:val="nil"/>
              <w:tr2bl w:val="nil"/>
            </w:tcBorders>
            <w:vAlign w:val="center"/>
          </w:tcPr>
          <w:p w14:paraId="2562A683">
            <w:pPr>
              <w:widowControl/>
              <w:adjustRightInd w:val="0"/>
              <w:snapToGrid w:val="0"/>
              <w:spacing w:line="320" w:lineRule="exact"/>
              <w:jc w:val="center"/>
              <w:rPr>
                <w:rFonts w:eastAsia="仿宋_GB2312"/>
                <w:b/>
                <w:bCs/>
                <w:kern w:val="0"/>
              </w:rPr>
            </w:pPr>
            <w:r>
              <w:rPr>
                <w:rFonts w:eastAsia="仿宋_GB2312"/>
                <w:b/>
                <w:bCs/>
                <w:kern w:val="0"/>
              </w:rPr>
              <w:t>原有项目建设情况</w:t>
            </w:r>
          </w:p>
        </w:tc>
        <w:tc>
          <w:tcPr>
            <w:tcW w:w="1786" w:type="pct"/>
            <w:tcBorders>
              <w:tl2br w:val="nil"/>
              <w:tr2bl w:val="nil"/>
            </w:tcBorders>
            <w:vAlign w:val="center"/>
          </w:tcPr>
          <w:p w14:paraId="70C9F387">
            <w:pPr>
              <w:widowControl/>
              <w:adjustRightInd w:val="0"/>
              <w:snapToGrid w:val="0"/>
              <w:spacing w:line="320" w:lineRule="exact"/>
              <w:jc w:val="center"/>
              <w:rPr>
                <w:rFonts w:eastAsia="仿宋_GB2312"/>
                <w:b/>
                <w:bCs/>
                <w:kern w:val="0"/>
              </w:rPr>
            </w:pPr>
            <w:r>
              <w:rPr>
                <w:rFonts w:eastAsia="仿宋_GB2312"/>
                <w:b/>
                <w:bCs/>
                <w:color w:val="auto"/>
                <w:kern w:val="0"/>
              </w:rPr>
              <w:t>本项目</w:t>
            </w:r>
          </w:p>
        </w:tc>
      </w:tr>
      <w:tr w14:paraId="0E62AE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84" w:type="pct"/>
            <w:vMerge w:val="restart"/>
            <w:tcBorders>
              <w:tl2br w:val="nil"/>
              <w:tr2bl w:val="nil"/>
            </w:tcBorders>
            <w:vAlign w:val="center"/>
          </w:tcPr>
          <w:p w14:paraId="507BF40E">
            <w:pPr>
              <w:widowControl/>
              <w:adjustRightInd w:val="0"/>
              <w:snapToGrid w:val="0"/>
              <w:spacing w:line="320" w:lineRule="exact"/>
              <w:jc w:val="center"/>
              <w:rPr>
                <w:rFonts w:eastAsia="仿宋_GB2312"/>
                <w:kern w:val="0"/>
              </w:rPr>
            </w:pPr>
            <w:r>
              <w:rPr>
                <w:rFonts w:eastAsia="仿宋_GB2312"/>
                <w:kern w:val="0"/>
              </w:rPr>
              <w:t>储运</w:t>
            </w:r>
          </w:p>
          <w:p w14:paraId="77B31294">
            <w:pPr>
              <w:widowControl/>
              <w:adjustRightInd w:val="0"/>
              <w:snapToGrid w:val="0"/>
              <w:spacing w:line="320" w:lineRule="exact"/>
              <w:jc w:val="center"/>
              <w:rPr>
                <w:rFonts w:eastAsia="仿宋_GB2312"/>
                <w:kern w:val="0"/>
              </w:rPr>
            </w:pPr>
            <w:r>
              <w:rPr>
                <w:rFonts w:eastAsia="仿宋_GB2312"/>
                <w:kern w:val="0"/>
              </w:rPr>
              <w:t>工程</w:t>
            </w:r>
          </w:p>
        </w:tc>
        <w:tc>
          <w:tcPr>
            <w:tcW w:w="424" w:type="pct"/>
            <w:tcBorders>
              <w:tl2br w:val="nil"/>
              <w:tr2bl w:val="nil"/>
            </w:tcBorders>
            <w:vAlign w:val="center"/>
          </w:tcPr>
          <w:p w14:paraId="6534C264">
            <w:pPr>
              <w:widowControl/>
              <w:adjustRightInd w:val="0"/>
              <w:snapToGrid w:val="0"/>
              <w:spacing w:line="320" w:lineRule="exact"/>
              <w:jc w:val="center"/>
              <w:rPr>
                <w:rFonts w:eastAsia="仿宋_GB2312"/>
                <w:kern w:val="0"/>
              </w:rPr>
            </w:pPr>
            <w:r>
              <w:rPr>
                <w:rFonts w:eastAsia="仿宋_GB2312"/>
                <w:kern w:val="0"/>
              </w:rPr>
              <w:t>储罐区</w:t>
            </w:r>
          </w:p>
        </w:tc>
        <w:tc>
          <w:tcPr>
            <w:tcW w:w="2505" w:type="pct"/>
            <w:tcBorders>
              <w:tl2br w:val="nil"/>
              <w:tr2bl w:val="nil"/>
            </w:tcBorders>
            <w:vAlign w:val="center"/>
          </w:tcPr>
          <w:p w14:paraId="5546F663">
            <w:pPr>
              <w:spacing w:line="320" w:lineRule="exact"/>
              <w:jc w:val="left"/>
              <w:rPr>
                <w:rFonts w:eastAsia="仿宋_GB2312"/>
                <w:color w:val="auto"/>
                <w:szCs w:val="21"/>
              </w:rPr>
            </w:pPr>
            <w:r>
              <w:rPr>
                <w:rFonts w:eastAsia="仿宋_GB2312"/>
                <w:b/>
                <w:bCs/>
                <w:color w:val="auto"/>
                <w:szCs w:val="21"/>
              </w:rPr>
              <w:t>1#储罐区（8</w:t>
            </w:r>
            <w:r>
              <w:rPr>
                <w:rFonts w:hint="eastAsia" w:eastAsia="仿宋_GB2312"/>
                <w:b/>
                <w:bCs/>
                <w:color w:val="auto"/>
                <w:szCs w:val="21"/>
              </w:rPr>
              <w:t>个</w:t>
            </w:r>
            <w:r>
              <w:rPr>
                <w:rFonts w:eastAsia="仿宋_GB2312"/>
                <w:b/>
                <w:bCs/>
                <w:color w:val="auto"/>
                <w:szCs w:val="21"/>
              </w:rPr>
              <w:t>70m</w:t>
            </w:r>
            <w:r>
              <w:rPr>
                <w:rFonts w:eastAsia="仿宋_GB2312"/>
                <w:b/>
                <w:bCs/>
                <w:color w:val="auto"/>
                <w:szCs w:val="21"/>
                <w:vertAlign w:val="superscript"/>
              </w:rPr>
              <w:t>3</w:t>
            </w:r>
            <w:r>
              <w:rPr>
                <w:rFonts w:eastAsia="仿宋_GB2312"/>
                <w:b/>
                <w:bCs/>
                <w:color w:val="auto"/>
                <w:szCs w:val="21"/>
              </w:rPr>
              <w:t>储罐）：</w:t>
            </w:r>
            <w:r>
              <w:rPr>
                <w:rFonts w:eastAsia="仿宋_GB2312"/>
                <w:color w:val="auto"/>
                <w:kern w:val="0"/>
                <w:szCs w:val="21"/>
              </w:rPr>
              <w:t>其中两个储罐因安全因素停用，4个废液储罐分别存放甲醇废液、乙醇废液、丙酮废液、异丙醇废液，2个成品储罐分别存放甲醇和乙醇</w:t>
            </w:r>
            <w:r>
              <w:rPr>
                <w:rFonts w:hint="eastAsia" w:eastAsia="仿宋_GB2312"/>
                <w:color w:val="auto"/>
                <w:szCs w:val="21"/>
              </w:rPr>
              <w:t>。</w:t>
            </w:r>
          </w:p>
          <w:p w14:paraId="1E9B2A34">
            <w:pPr>
              <w:spacing w:line="320" w:lineRule="exact"/>
              <w:jc w:val="left"/>
              <w:rPr>
                <w:rFonts w:eastAsia="仿宋_GB2312"/>
                <w:color w:val="auto"/>
                <w:szCs w:val="21"/>
              </w:rPr>
            </w:pPr>
            <w:r>
              <w:rPr>
                <w:rFonts w:eastAsia="仿宋_GB2312"/>
                <w:b/>
                <w:bCs/>
                <w:color w:val="auto"/>
                <w:szCs w:val="21"/>
              </w:rPr>
              <w:t>2#储罐区：</w:t>
            </w:r>
            <w:r>
              <w:rPr>
                <w:rFonts w:eastAsia="仿宋_GB2312"/>
                <w:color w:val="auto"/>
                <w:szCs w:val="21"/>
              </w:rPr>
              <w:t>1个70m</w:t>
            </w:r>
            <w:r>
              <w:rPr>
                <w:rFonts w:eastAsia="仿宋_GB2312"/>
                <w:color w:val="auto"/>
                <w:szCs w:val="21"/>
                <w:vertAlign w:val="superscript"/>
              </w:rPr>
              <w:t>3</w:t>
            </w:r>
            <w:r>
              <w:rPr>
                <w:rFonts w:eastAsia="仿宋_GB2312"/>
                <w:color w:val="auto"/>
                <w:szCs w:val="21"/>
              </w:rPr>
              <w:t>高、低热值常压储罐；1个50m</w:t>
            </w:r>
            <w:r>
              <w:rPr>
                <w:rFonts w:eastAsia="仿宋_GB2312"/>
                <w:color w:val="auto"/>
                <w:szCs w:val="21"/>
                <w:vertAlign w:val="superscript"/>
              </w:rPr>
              <w:t>3</w:t>
            </w:r>
            <w:r>
              <w:rPr>
                <w:rFonts w:eastAsia="仿宋_GB2312"/>
                <w:color w:val="auto"/>
                <w:szCs w:val="21"/>
              </w:rPr>
              <w:t>柴油储罐；1个50m</w:t>
            </w:r>
            <w:r>
              <w:rPr>
                <w:rFonts w:eastAsia="仿宋_GB2312"/>
                <w:color w:val="auto"/>
                <w:szCs w:val="21"/>
                <w:vertAlign w:val="superscript"/>
              </w:rPr>
              <w:t>3</w:t>
            </w:r>
            <w:r>
              <w:rPr>
                <w:rFonts w:eastAsia="仿宋_GB2312"/>
                <w:color w:val="auto"/>
                <w:szCs w:val="21"/>
              </w:rPr>
              <w:t>液碱储罐</w:t>
            </w:r>
            <w:r>
              <w:rPr>
                <w:rFonts w:hint="eastAsia" w:eastAsia="仿宋_GB2312"/>
                <w:color w:val="auto"/>
                <w:szCs w:val="21"/>
                <w:lang w:eastAsia="zh-CN"/>
              </w:rPr>
              <w:t>；</w:t>
            </w:r>
            <w:r>
              <w:rPr>
                <w:rFonts w:hint="eastAsia" w:eastAsia="仿宋_GB2312"/>
                <w:color w:val="auto"/>
                <w:szCs w:val="21"/>
                <w:lang w:val="en-US" w:eastAsia="zh-CN"/>
              </w:rPr>
              <w:t>2个甘油储罐（闲置）</w:t>
            </w:r>
            <w:r>
              <w:rPr>
                <w:rFonts w:eastAsia="仿宋_GB2312"/>
                <w:color w:val="auto"/>
                <w:szCs w:val="21"/>
              </w:rPr>
              <w:t>。</w:t>
            </w:r>
          </w:p>
        </w:tc>
        <w:tc>
          <w:tcPr>
            <w:tcW w:w="1786" w:type="pct"/>
            <w:tcBorders>
              <w:tl2br w:val="nil"/>
              <w:tr2bl w:val="nil"/>
            </w:tcBorders>
            <w:vAlign w:val="center"/>
          </w:tcPr>
          <w:p w14:paraId="4F9F889E">
            <w:pPr>
              <w:spacing w:line="320" w:lineRule="exact"/>
              <w:jc w:val="left"/>
              <w:rPr>
                <w:rFonts w:hint="eastAsia" w:eastAsia="仿宋_GB2312"/>
                <w:b/>
                <w:bCs/>
                <w:color w:val="auto"/>
                <w:szCs w:val="21"/>
                <w:lang w:eastAsia="zh-CN"/>
              </w:rPr>
            </w:pPr>
            <w:r>
              <w:rPr>
                <w:rFonts w:hint="eastAsia" w:eastAsia="仿宋_GB2312"/>
                <w:color w:val="auto"/>
                <w:szCs w:val="21"/>
                <w:lang w:val="en-US" w:eastAsia="zh-CN"/>
              </w:rPr>
              <w:t>本项目仅</w:t>
            </w:r>
            <w:r>
              <w:rPr>
                <w:rFonts w:eastAsia="仿宋_GB2312"/>
                <w:color w:val="auto"/>
                <w:szCs w:val="21"/>
              </w:rPr>
              <w:t>依托</w:t>
            </w:r>
            <w:r>
              <w:rPr>
                <w:rFonts w:hint="eastAsia" w:eastAsia="仿宋_GB2312"/>
                <w:color w:val="auto"/>
                <w:szCs w:val="21"/>
              </w:rPr>
              <w:t>2#储罐区液碱储罐，</w:t>
            </w:r>
            <w:r>
              <w:rPr>
                <w:rFonts w:hint="eastAsia" w:eastAsia="仿宋_GB2312"/>
                <w:color w:val="auto"/>
                <w:szCs w:val="21"/>
                <w:lang w:val="en-US" w:eastAsia="zh-CN"/>
              </w:rPr>
              <w:t>通过增加物料周转频次能够满足生产需求，</w:t>
            </w:r>
            <w:r>
              <w:rPr>
                <w:rFonts w:hint="eastAsia" w:eastAsia="仿宋_GB2312"/>
                <w:color w:val="auto"/>
                <w:szCs w:val="21"/>
              </w:rPr>
              <w:t>其他储罐本项目不涉及</w:t>
            </w:r>
            <w:r>
              <w:rPr>
                <w:rFonts w:hint="eastAsia" w:eastAsia="仿宋_GB2312"/>
                <w:color w:val="auto"/>
                <w:szCs w:val="21"/>
                <w:lang w:eastAsia="zh-CN"/>
              </w:rPr>
              <w:t>。</w:t>
            </w:r>
          </w:p>
        </w:tc>
      </w:tr>
      <w:tr w14:paraId="1F97774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84" w:type="pct"/>
            <w:vMerge w:val="continue"/>
            <w:tcBorders>
              <w:tl2br w:val="nil"/>
              <w:tr2bl w:val="nil"/>
            </w:tcBorders>
            <w:vAlign w:val="center"/>
          </w:tcPr>
          <w:p w14:paraId="72FCD260">
            <w:pPr>
              <w:widowControl/>
              <w:adjustRightInd w:val="0"/>
              <w:snapToGrid w:val="0"/>
              <w:spacing w:line="320" w:lineRule="exact"/>
              <w:jc w:val="center"/>
              <w:rPr>
                <w:rFonts w:eastAsia="仿宋_GB2312"/>
                <w:color w:val="FF0000"/>
                <w:kern w:val="0"/>
              </w:rPr>
            </w:pPr>
          </w:p>
        </w:tc>
        <w:tc>
          <w:tcPr>
            <w:tcW w:w="424" w:type="pct"/>
            <w:tcBorders>
              <w:tl2br w:val="nil"/>
              <w:tr2bl w:val="nil"/>
            </w:tcBorders>
            <w:vAlign w:val="center"/>
          </w:tcPr>
          <w:p w14:paraId="1FCA454F">
            <w:pPr>
              <w:widowControl/>
              <w:adjustRightInd w:val="0"/>
              <w:snapToGrid w:val="0"/>
              <w:spacing w:line="320" w:lineRule="exact"/>
              <w:jc w:val="center"/>
              <w:rPr>
                <w:rFonts w:eastAsia="仿宋_GB2312"/>
                <w:kern w:val="0"/>
              </w:rPr>
            </w:pPr>
            <w:r>
              <w:rPr>
                <w:rFonts w:eastAsia="仿宋_GB2312"/>
                <w:kern w:val="0"/>
              </w:rPr>
              <w:t>原料及成品仓库</w:t>
            </w:r>
          </w:p>
        </w:tc>
        <w:tc>
          <w:tcPr>
            <w:tcW w:w="2505" w:type="pct"/>
            <w:tcBorders>
              <w:tl2br w:val="nil"/>
              <w:tr2bl w:val="nil"/>
            </w:tcBorders>
            <w:vAlign w:val="center"/>
          </w:tcPr>
          <w:p w14:paraId="52F30009">
            <w:pPr>
              <w:spacing w:line="320" w:lineRule="exact"/>
              <w:jc w:val="left"/>
              <w:rPr>
                <w:rFonts w:eastAsia="仿宋_GB2312"/>
                <w:color w:val="auto"/>
                <w:szCs w:val="21"/>
              </w:rPr>
            </w:pPr>
            <w:r>
              <w:rPr>
                <w:rFonts w:eastAsia="仿宋_GB2312"/>
                <w:color w:val="auto"/>
                <w:szCs w:val="21"/>
              </w:rPr>
              <w:t>1#仓库占地606m</w:t>
            </w:r>
            <w:r>
              <w:rPr>
                <w:rFonts w:eastAsia="仿宋_GB2312"/>
                <w:color w:val="auto"/>
                <w:szCs w:val="21"/>
                <w:vertAlign w:val="superscript"/>
              </w:rPr>
              <w:t>2</w:t>
            </w:r>
            <w:r>
              <w:rPr>
                <w:rFonts w:eastAsia="仿宋_GB2312"/>
                <w:color w:val="auto"/>
                <w:szCs w:val="21"/>
              </w:rPr>
              <w:t>，2#仓库占地728.6m</w:t>
            </w:r>
            <w:r>
              <w:rPr>
                <w:rFonts w:eastAsia="仿宋_GB2312"/>
                <w:color w:val="auto"/>
                <w:szCs w:val="21"/>
                <w:vertAlign w:val="superscript"/>
              </w:rPr>
              <w:t>2</w:t>
            </w:r>
            <w:r>
              <w:rPr>
                <w:rFonts w:eastAsia="仿宋_GB2312"/>
                <w:color w:val="auto"/>
                <w:szCs w:val="21"/>
              </w:rPr>
              <w:t>，3#仓库占地1920m</w:t>
            </w:r>
            <w:r>
              <w:rPr>
                <w:rFonts w:eastAsia="仿宋_GB2312"/>
                <w:color w:val="auto"/>
                <w:szCs w:val="21"/>
                <w:vertAlign w:val="superscript"/>
              </w:rPr>
              <w:t>2</w:t>
            </w:r>
            <w:r>
              <w:rPr>
                <w:rFonts w:eastAsia="仿宋_GB2312"/>
                <w:color w:val="auto"/>
                <w:szCs w:val="21"/>
              </w:rPr>
              <w:t>，4#仓库占地2940m</w:t>
            </w:r>
            <w:r>
              <w:rPr>
                <w:rFonts w:eastAsia="仿宋_GB2312"/>
                <w:color w:val="auto"/>
                <w:szCs w:val="21"/>
                <w:vertAlign w:val="superscript"/>
              </w:rPr>
              <w:t>2</w:t>
            </w:r>
            <w:r>
              <w:rPr>
                <w:rFonts w:eastAsia="仿宋_GB2312"/>
                <w:color w:val="auto"/>
                <w:szCs w:val="21"/>
              </w:rPr>
              <w:t>，5#仓库占地1500m</w:t>
            </w:r>
            <w:r>
              <w:rPr>
                <w:rFonts w:eastAsia="仿宋_GB2312"/>
                <w:color w:val="auto"/>
                <w:szCs w:val="21"/>
                <w:vertAlign w:val="superscript"/>
              </w:rPr>
              <w:t>2</w:t>
            </w:r>
            <w:r>
              <w:rPr>
                <w:rFonts w:eastAsia="仿宋_GB2312"/>
                <w:color w:val="auto"/>
                <w:szCs w:val="21"/>
              </w:rPr>
              <w:t>。</w:t>
            </w:r>
          </w:p>
        </w:tc>
        <w:tc>
          <w:tcPr>
            <w:tcW w:w="1786" w:type="pct"/>
            <w:tcBorders>
              <w:tl2br w:val="nil"/>
              <w:tr2bl w:val="nil"/>
            </w:tcBorders>
            <w:vAlign w:val="center"/>
          </w:tcPr>
          <w:p w14:paraId="67E57060">
            <w:pPr>
              <w:spacing w:line="320" w:lineRule="exact"/>
              <w:jc w:val="left"/>
              <w:rPr>
                <w:rFonts w:hint="eastAsia" w:eastAsia="仿宋_GB2312"/>
                <w:color w:val="auto"/>
                <w:szCs w:val="21"/>
                <w:lang w:eastAsia="zh-CN"/>
              </w:rPr>
            </w:pPr>
            <w:r>
              <w:rPr>
                <w:rFonts w:hint="eastAsia" w:eastAsia="仿宋_GB2312"/>
                <w:color w:val="auto"/>
                <w:szCs w:val="21"/>
              </w:rPr>
              <w:t>本项目依托原有</w:t>
            </w:r>
            <w:r>
              <w:rPr>
                <w:rFonts w:eastAsia="仿宋_GB2312"/>
                <w:color w:val="auto"/>
                <w:szCs w:val="21"/>
              </w:rPr>
              <w:t>1#</w:t>
            </w:r>
            <w:r>
              <w:rPr>
                <w:rFonts w:hint="eastAsia" w:eastAsia="仿宋_GB2312"/>
                <w:color w:val="auto"/>
                <w:szCs w:val="21"/>
              </w:rPr>
              <w:t>仓库、</w:t>
            </w:r>
            <w:r>
              <w:rPr>
                <w:rFonts w:eastAsia="仿宋_GB2312"/>
                <w:color w:val="auto"/>
                <w:szCs w:val="21"/>
              </w:rPr>
              <w:t>2#</w:t>
            </w:r>
            <w:r>
              <w:rPr>
                <w:rFonts w:hint="eastAsia" w:eastAsia="仿宋_GB2312"/>
                <w:color w:val="auto"/>
                <w:szCs w:val="21"/>
              </w:rPr>
              <w:t>仓库、</w:t>
            </w:r>
            <w:r>
              <w:rPr>
                <w:rFonts w:eastAsia="仿宋_GB2312"/>
                <w:color w:val="auto"/>
                <w:szCs w:val="21"/>
              </w:rPr>
              <w:t>3#</w:t>
            </w:r>
            <w:r>
              <w:rPr>
                <w:rFonts w:hint="eastAsia" w:eastAsia="仿宋_GB2312"/>
                <w:color w:val="auto"/>
                <w:szCs w:val="21"/>
              </w:rPr>
              <w:t>仓库、</w:t>
            </w:r>
            <w:r>
              <w:rPr>
                <w:rFonts w:eastAsia="仿宋_GB2312"/>
                <w:color w:val="auto"/>
                <w:szCs w:val="21"/>
              </w:rPr>
              <w:t>5#</w:t>
            </w:r>
            <w:r>
              <w:rPr>
                <w:rFonts w:hint="eastAsia" w:eastAsia="仿宋_GB2312"/>
                <w:color w:val="auto"/>
                <w:szCs w:val="21"/>
              </w:rPr>
              <w:t>仓库，可行性分析见报告</w:t>
            </w:r>
            <w:r>
              <w:rPr>
                <w:rFonts w:eastAsia="仿宋_GB2312"/>
                <w:color w:val="auto"/>
                <w:szCs w:val="21"/>
              </w:rPr>
              <w:t>6.3.3</w:t>
            </w:r>
            <w:r>
              <w:rPr>
                <w:rFonts w:hint="eastAsia" w:eastAsia="仿宋_GB2312"/>
                <w:color w:val="auto"/>
                <w:szCs w:val="21"/>
              </w:rPr>
              <w:t>章节</w:t>
            </w:r>
            <w:r>
              <w:rPr>
                <w:rFonts w:hint="eastAsia" w:eastAsia="仿宋_GB2312"/>
                <w:color w:val="auto"/>
                <w:szCs w:val="21"/>
                <w:lang w:eastAsia="zh-CN"/>
              </w:rPr>
              <w:t>。</w:t>
            </w:r>
          </w:p>
        </w:tc>
      </w:tr>
      <w:tr w14:paraId="56B63B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84" w:type="pct"/>
            <w:vMerge w:val="continue"/>
            <w:tcBorders>
              <w:tl2br w:val="nil"/>
              <w:tr2bl w:val="nil"/>
            </w:tcBorders>
            <w:vAlign w:val="center"/>
          </w:tcPr>
          <w:p w14:paraId="794BA1B3">
            <w:pPr>
              <w:spacing w:line="320" w:lineRule="exact"/>
              <w:jc w:val="center"/>
              <w:rPr>
                <w:rFonts w:eastAsia="仿宋_GB2312"/>
                <w:color w:val="FF0000"/>
                <w:szCs w:val="21"/>
              </w:rPr>
            </w:pPr>
          </w:p>
        </w:tc>
        <w:tc>
          <w:tcPr>
            <w:tcW w:w="424" w:type="pct"/>
            <w:tcBorders>
              <w:tl2br w:val="nil"/>
              <w:tr2bl w:val="nil"/>
            </w:tcBorders>
            <w:vAlign w:val="center"/>
          </w:tcPr>
          <w:p w14:paraId="126D3FA3">
            <w:pPr>
              <w:spacing w:line="320" w:lineRule="exact"/>
              <w:jc w:val="center"/>
              <w:rPr>
                <w:rFonts w:eastAsia="仿宋_GB2312"/>
                <w:szCs w:val="21"/>
              </w:rPr>
            </w:pPr>
            <w:r>
              <w:rPr>
                <w:rFonts w:eastAsia="仿宋_GB2312"/>
                <w:szCs w:val="21"/>
              </w:rPr>
              <w:t>接卸区</w:t>
            </w:r>
          </w:p>
        </w:tc>
        <w:tc>
          <w:tcPr>
            <w:tcW w:w="2505" w:type="pct"/>
            <w:tcBorders>
              <w:tl2br w:val="nil"/>
              <w:tr2bl w:val="nil"/>
            </w:tcBorders>
            <w:vAlign w:val="center"/>
          </w:tcPr>
          <w:p w14:paraId="196C70D3">
            <w:pPr>
              <w:spacing w:line="320" w:lineRule="exact"/>
              <w:jc w:val="left"/>
              <w:rPr>
                <w:rFonts w:eastAsia="仿宋_GB2312"/>
                <w:szCs w:val="21"/>
              </w:rPr>
            </w:pPr>
            <w:r>
              <w:rPr>
                <w:rFonts w:eastAsia="仿宋_GB2312"/>
                <w:szCs w:val="21"/>
              </w:rPr>
              <w:t>1#储罐区配套1个占地面积40m</w:t>
            </w:r>
            <w:r>
              <w:rPr>
                <w:rFonts w:eastAsia="仿宋_GB2312"/>
                <w:szCs w:val="21"/>
                <w:vertAlign w:val="superscript"/>
              </w:rPr>
              <w:t>2</w:t>
            </w:r>
            <w:r>
              <w:rPr>
                <w:rFonts w:eastAsia="仿宋_GB2312"/>
                <w:szCs w:val="21"/>
              </w:rPr>
              <w:t>接卸区；2#储罐区配套1个占地面积40m</w:t>
            </w:r>
            <w:r>
              <w:rPr>
                <w:rFonts w:eastAsia="仿宋_GB2312"/>
                <w:szCs w:val="21"/>
                <w:vertAlign w:val="superscript"/>
              </w:rPr>
              <w:t>2</w:t>
            </w:r>
            <w:r>
              <w:rPr>
                <w:rFonts w:eastAsia="仿宋_GB2312"/>
                <w:szCs w:val="21"/>
              </w:rPr>
              <w:t>接卸区。</w:t>
            </w:r>
          </w:p>
        </w:tc>
        <w:tc>
          <w:tcPr>
            <w:tcW w:w="1786" w:type="pct"/>
            <w:tcBorders>
              <w:tl2br w:val="nil"/>
              <w:tr2bl w:val="nil"/>
            </w:tcBorders>
            <w:shd w:val="clear" w:color="auto" w:fill="auto"/>
            <w:vAlign w:val="center"/>
          </w:tcPr>
          <w:p w14:paraId="6059F270">
            <w:pPr>
              <w:spacing w:line="320" w:lineRule="exact"/>
              <w:jc w:val="center"/>
              <w:rPr>
                <w:rFonts w:ascii="Times New Roman" w:hAnsi="Times New Roman" w:eastAsia="仿宋_GB2312" w:cs="Times New Roman"/>
                <w:color w:val="auto"/>
                <w:kern w:val="2"/>
                <w:sz w:val="21"/>
                <w:szCs w:val="21"/>
                <w:lang w:val="en-US" w:eastAsia="zh-CN" w:bidi="ar-SA"/>
              </w:rPr>
            </w:pPr>
            <w:r>
              <w:rPr>
                <w:rFonts w:eastAsia="仿宋_GB2312"/>
                <w:color w:val="auto"/>
                <w:szCs w:val="21"/>
              </w:rPr>
              <w:t>依托原有</w:t>
            </w:r>
          </w:p>
        </w:tc>
      </w:tr>
      <w:tr w14:paraId="125F1A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84" w:type="pct"/>
            <w:vMerge w:val="restart"/>
            <w:tcBorders>
              <w:tl2br w:val="nil"/>
              <w:tr2bl w:val="nil"/>
            </w:tcBorders>
            <w:vAlign w:val="center"/>
          </w:tcPr>
          <w:p w14:paraId="0D5D1DDF">
            <w:pPr>
              <w:spacing w:line="320" w:lineRule="exact"/>
              <w:jc w:val="center"/>
              <w:rPr>
                <w:rFonts w:eastAsia="仿宋_GB2312"/>
                <w:szCs w:val="21"/>
              </w:rPr>
            </w:pPr>
            <w:r>
              <w:rPr>
                <w:rFonts w:eastAsia="仿宋_GB2312"/>
                <w:szCs w:val="21"/>
              </w:rPr>
              <w:t>公辅</w:t>
            </w:r>
          </w:p>
          <w:p w14:paraId="53F78A18">
            <w:pPr>
              <w:spacing w:line="320" w:lineRule="exact"/>
              <w:jc w:val="center"/>
              <w:rPr>
                <w:rFonts w:eastAsia="仿宋_GB2312"/>
                <w:szCs w:val="21"/>
              </w:rPr>
            </w:pPr>
            <w:r>
              <w:rPr>
                <w:rFonts w:eastAsia="仿宋_GB2312"/>
                <w:szCs w:val="21"/>
              </w:rPr>
              <w:t>工程</w:t>
            </w:r>
          </w:p>
        </w:tc>
        <w:tc>
          <w:tcPr>
            <w:tcW w:w="424" w:type="pct"/>
            <w:tcBorders>
              <w:tl2br w:val="nil"/>
              <w:tr2bl w:val="nil"/>
            </w:tcBorders>
            <w:vAlign w:val="center"/>
          </w:tcPr>
          <w:p w14:paraId="481E0181">
            <w:pPr>
              <w:spacing w:line="320" w:lineRule="exact"/>
              <w:jc w:val="center"/>
              <w:rPr>
                <w:rFonts w:eastAsia="仿宋_GB2312"/>
                <w:szCs w:val="21"/>
              </w:rPr>
            </w:pPr>
            <w:r>
              <w:rPr>
                <w:rFonts w:eastAsia="仿宋_GB2312"/>
                <w:szCs w:val="21"/>
              </w:rPr>
              <w:t>给水</w:t>
            </w:r>
          </w:p>
        </w:tc>
        <w:tc>
          <w:tcPr>
            <w:tcW w:w="2505" w:type="pct"/>
            <w:tcBorders>
              <w:tl2br w:val="nil"/>
              <w:tr2bl w:val="nil"/>
            </w:tcBorders>
            <w:vAlign w:val="center"/>
          </w:tcPr>
          <w:p w14:paraId="150ED469">
            <w:pPr>
              <w:spacing w:line="320" w:lineRule="exact"/>
              <w:jc w:val="left"/>
              <w:rPr>
                <w:rFonts w:eastAsia="仿宋_GB2312"/>
                <w:szCs w:val="21"/>
              </w:rPr>
            </w:pPr>
            <w:r>
              <w:rPr>
                <w:rFonts w:eastAsia="仿宋_GB2312"/>
                <w:szCs w:val="21"/>
              </w:rPr>
              <w:t>生产用水、生活用水来自市政自来水管网。</w:t>
            </w:r>
          </w:p>
        </w:tc>
        <w:tc>
          <w:tcPr>
            <w:tcW w:w="1786" w:type="pct"/>
            <w:tcBorders>
              <w:tl2br w:val="nil"/>
              <w:tr2bl w:val="nil"/>
            </w:tcBorders>
            <w:shd w:val="clear" w:color="auto" w:fill="auto"/>
            <w:vAlign w:val="center"/>
          </w:tcPr>
          <w:p w14:paraId="07ECA165">
            <w:pPr>
              <w:spacing w:line="320" w:lineRule="exact"/>
              <w:jc w:val="center"/>
              <w:rPr>
                <w:rFonts w:ascii="Times New Roman" w:hAnsi="Times New Roman" w:eastAsia="仿宋_GB2312" w:cs="Times New Roman"/>
                <w:color w:val="auto"/>
                <w:kern w:val="2"/>
                <w:sz w:val="21"/>
                <w:szCs w:val="21"/>
                <w:lang w:val="en-US" w:eastAsia="zh-CN" w:bidi="ar-SA"/>
              </w:rPr>
            </w:pPr>
            <w:r>
              <w:rPr>
                <w:rFonts w:eastAsia="仿宋_GB2312"/>
                <w:color w:val="auto"/>
                <w:szCs w:val="21"/>
              </w:rPr>
              <w:t>依托原有</w:t>
            </w:r>
          </w:p>
        </w:tc>
      </w:tr>
      <w:tr w14:paraId="414729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84" w:type="pct"/>
            <w:vMerge w:val="continue"/>
            <w:tcBorders>
              <w:tl2br w:val="nil"/>
              <w:tr2bl w:val="nil"/>
            </w:tcBorders>
            <w:vAlign w:val="center"/>
          </w:tcPr>
          <w:p w14:paraId="10E16F57">
            <w:pPr>
              <w:spacing w:line="320" w:lineRule="exact"/>
              <w:jc w:val="center"/>
              <w:rPr>
                <w:rFonts w:eastAsia="仿宋_GB2312"/>
                <w:szCs w:val="21"/>
              </w:rPr>
            </w:pPr>
          </w:p>
        </w:tc>
        <w:tc>
          <w:tcPr>
            <w:tcW w:w="424" w:type="pct"/>
            <w:tcBorders>
              <w:tl2br w:val="nil"/>
              <w:tr2bl w:val="nil"/>
            </w:tcBorders>
            <w:vAlign w:val="center"/>
          </w:tcPr>
          <w:p w14:paraId="6B186FC8">
            <w:pPr>
              <w:spacing w:line="320" w:lineRule="exact"/>
              <w:jc w:val="center"/>
              <w:rPr>
                <w:rFonts w:eastAsia="仿宋_GB2312"/>
                <w:szCs w:val="21"/>
                <w:highlight w:val="yellow"/>
              </w:rPr>
            </w:pPr>
            <w:r>
              <w:rPr>
                <w:rFonts w:eastAsia="仿宋_GB2312"/>
                <w:szCs w:val="21"/>
              </w:rPr>
              <w:t>排水</w:t>
            </w:r>
          </w:p>
        </w:tc>
        <w:tc>
          <w:tcPr>
            <w:tcW w:w="2505" w:type="pct"/>
            <w:tcBorders>
              <w:tl2br w:val="nil"/>
              <w:tr2bl w:val="nil"/>
            </w:tcBorders>
            <w:vAlign w:val="center"/>
          </w:tcPr>
          <w:p w14:paraId="08E48980">
            <w:pPr>
              <w:spacing w:line="320" w:lineRule="exact"/>
              <w:jc w:val="left"/>
              <w:rPr>
                <w:rFonts w:eastAsia="仿宋_GB2312"/>
                <w:color w:val="auto"/>
                <w:szCs w:val="21"/>
              </w:rPr>
            </w:pPr>
            <w:r>
              <w:rPr>
                <w:rFonts w:eastAsia="仿宋_GB2312"/>
                <w:color w:val="auto"/>
                <w:szCs w:val="21"/>
              </w:rPr>
              <w:t>（1）地面冲洗废水、化验室废水、废气喷淋废水</w:t>
            </w:r>
            <w:r>
              <w:rPr>
                <w:rFonts w:hint="eastAsia" w:eastAsia="仿宋_GB2312"/>
                <w:color w:val="auto"/>
                <w:szCs w:val="21"/>
              </w:rPr>
              <w:t>（不含危废综合利用技改项目及焚烧炉项目）</w:t>
            </w:r>
            <w:r>
              <w:rPr>
                <w:rFonts w:eastAsia="仿宋_GB2312"/>
                <w:color w:val="auto"/>
                <w:szCs w:val="21"/>
              </w:rPr>
              <w:t>、生活污水、1#循环冷却系统排水和初期雨水收集后经1#污水站处理</w:t>
            </w:r>
            <w:r>
              <w:rPr>
                <w:rFonts w:hint="eastAsia" w:eastAsia="仿宋_GB2312"/>
                <w:color w:val="auto"/>
                <w:szCs w:val="21"/>
              </w:rPr>
              <w:t>后同部分经2#污水厂处理的生产工艺废水</w:t>
            </w:r>
            <w:r>
              <w:rPr>
                <w:rFonts w:eastAsia="仿宋_GB2312"/>
                <w:color w:val="auto"/>
                <w:szCs w:val="21"/>
              </w:rPr>
              <w:t>达标后接管至常州民生环保科技有限公司集中处理。</w:t>
            </w:r>
          </w:p>
          <w:p w14:paraId="40F902AC">
            <w:pPr>
              <w:spacing w:line="320" w:lineRule="exact"/>
              <w:jc w:val="left"/>
              <w:rPr>
                <w:rFonts w:eastAsia="仿宋_GB2312"/>
                <w:szCs w:val="21"/>
              </w:rPr>
            </w:pPr>
            <w:r>
              <w:rPr>
                <w:rFonts w:eastAsia="仿宋_GB2312"/>
                <w:szCs w:val="21"/>
              </w:rPr>
              <w:t>（2）纯水制备净排水、锅炉排污水、离子交换树脂废水、循环冷却排污水套用于急冷工段、湿法脱酸</w:t>
            </w:r>
            <w:r>
              <w:rPr>
                <w:rFonts w:hint="eastAsia" w:eastAsia="仿宋_GB2312"/>
                <w:szCs w:val="21"/>
              </w:rPr>
              <w:t>、</w:t>
            </w:r>
            <w:r>
              <w:rPr>
                <w:rFonts w:eastAsia="仿宋_GB2312"/>
                <w:szCs w:val="21"/>
              </w:rPr>
              <w:t>水封刮板出渣以及配伍间废气吸收</w:t>
            </w:r>
            <w:r>
              <w:rPr>
                <w:rFonts w:hint="eastAsia" w:eastAsia="仿宋_GB2312"/>
                <w:szCs w:val="21"/>
              </w:rPr>
              <w:t>水</w:t>
            </w:r>
            <w:r>
              <w:rPr>
                <w:rFonts w:eastAsia="仿宋_GB2312"/>
                <w:szCs w:val="21"/>
              </w:rPr>
              <w:t>；焚烧烟气吸收废水、湿法脱酸废水、配伍间废气吸收废水、水封刮板出渣废水经三效蒸发处理后回用于废气处理</w:t>
            </w:r>
            <w:r>
              <w:rPr>
                <w:rFonts w:hint="eastAsia" w:eastAsia="仿宋_GB2312"/>
                <w:szCs w:val="21"/>
              </w:rPr>
              <w:t>、</w:t>
            </w:r>
            <w:r>
              <w:rPr>
                <w:rFonts w:eastAsia="仿宋_GB2312"/>
                <w:szCs w:val="21"/>
              </w:rPr>
              <w:t>湿法脱酸及水封刮板出渣用水环节。</w:t>
            </w:r>
          </w:p>
          <w:p w14:paraId="6DCF2BE1">
            <w:pPr>
              <w:spacing w:line="320" w:lineRule="exact"/>
              <w:jc w:val="left"/>
              <w:rPr>
                <w:rFonts w:eastAsia="仿宋_GB2312"/>
                <w:szCs w:val="21"/>
              </w:rPr>
            </w:pPr>
            <w:r>
              <w:rPr>
                <w:rFonts w:eastAsia="仿宋_GB2312"/>
                <w:szCs w:val="21"/>
              </w:rPr>
              <w:t>（3）危废综合利用</w:t>
            </w:r>
            <w:r>
              <w:rPr>
                <w:rFonts w:hint="eastAsia" w:eastAsia="仿宋_GB2312"/>
                <w:szCs w:val="21"/>
              </w:rPr>
              <w:t>技改</w:t>
            </w:r>
            <w:r>
              <w:rPr>
                <w:rFonts w:eastAsia="仿宋_GB2312"/>
                <w:szCs w:val="21"/>
              </w:rPr>
              <w:t>项目产生的工艺废水、废气喷淋废水、活性炭脱附再生废水收集经3#污水站处理后</w:t>
            </w:r>
            <w:r>
              <w:rPr>
                <w:rFonts w:hint="eastAsia" w:eastAsia="仿宋_GB2312"/>
                <w:szCs w:val="21"/>
              </w:rPr>
              <w:t>部分厂区内</w:t>
            </w:r>
            <w:r>
              <w:rPr>
                <w:rFonts w:eastAsia="仿宋_GB2312"/>
                <w:szCs w:val="21"/>
              </w:rPr>
              <w:t>回用</w:t>
            </w:r>
            <w:r>
              <w:rPr>
                <w:rFonts w:hint="eastAsia" w:eastAsia="仿宋_GB2312"/>
                <w:szCs w:val="21"/>
              </w:rPr>
              <w:t>（事故应急情况下可接管至民生中水回用系统）</w:t>
            </w:r>
            <w:r>
              <w:rPr>
                <w:rFonts w:eastAsia="仿宋_GB2312"/>
                <w:szCs w:val="21"/>
              </w:rPr>
              <w:t>；循环冷却系统排污水经RO膜处理后淡水回用于本系统，RO膜浓排水经三效蒸发处理后返回3#污水站处理。</w:t>
            </w:r>
          </w:p>
          <w:p w14:paraId="43DC90EA">
            <w:pPr>
              <w:spacing w:line="320" w:lineRule="exact"/>
              <w:jc w:val="left"/>
              <w:rPr>
                <w:color w:val="FF0000"/>
              </w:rPr>
            </w:pPr>
            <w:r>
              <w:rPr>
                <w:rFonts w:eastAsia="仿宋_GB2312"/>
                <w:szCs w:val="21"/>
              </w:rPr>
              <w:t>（4）清下水排入园区雨水管网。</w:t>
            </w:r>
          </w:p>
        </w:tc>
        <w:tc>
          <w:tcPr>
            <w:tcW w:w="1786" w:type="pct"/>
            <w:tcBorders>
              <w:tl2br w:val="nil"/>
              <w:tr2bl w:val="nil"/>
            </w:tcBorders>
            <w:vAlign w:val="center"/>
          </w:tcPr>
          <w:p w14:paraId="5F434426">
            <w:pPr>
              <w:spacing w:line="320" w:lineRule="exact"/>
              <w:jc w:val="center"/>
              <w:rPr>
                <w:rFonts w:eastAsia="仿宋_GB2312"/>
                <w:color w:val="auto"/>
                <w:szCs w:val="21"/>
              </w:rPr>
            </w:pPr>
            <w:r>
              <w:rPr>
                <w:rFonts w:eastAsia="仿宋_GB2312"/>
                <w:color w:val="auto"/>
                <w:szCs w:val="21"/>
              </w:rPr>
              <w:t>本项目</w:t>
            </w:r>
            <w:r>
              <w:rPr>
                <w:rFonts w:hint="eastAsia" w:eastAsia="仿宋_GB2312"/>
                <w:color w:val="auto"/>
                <w:szCs w:val="21"/>
                <w:lang w:val="en-US" w:eastAsia="zh-CN"/>
              </w:rPr>
              <w:t>1#循环冷却系统新增循环冷却系统排水经厂区1#污水站处理达标后接管至常州民生环保科技有限公司处理；</w:t>
            </w:r>
            <w:r>
              <w:rPr>
                <w:rFonts w:hint="eastAsia" w:eastAsia="仿宋_GB2312"/>
                <w:color w:val="auto"/>
                <w:szCs w:val="21"/>
              </w:rPr>
              <w:t>新增</w:t>
            </w:r>
            <w:r>
              <w:rPr>
                <w:rFonts w:hint="eastAsia" w:eastAsia="仿宋_GB2312"/>
                <w:color w:val="auto"/>
                <w:szCs w:val="21"/>
                <w:lang w:val="en-US" w:eastAsia="zh-CN"/>
              </w:rPr>
              <w:t>工艺废水、初期雨水和废气吸收水</w:t>
            </w:r>
            <w:r>
              <w:rPr>
                <w:rFonts w:hint="eastAsia" w:eastAsia="仿宋_GB2312"/>
                <w:color w:val="auto"/>
                <w:szCs w:val="21"/>
              </w:rPr>
              <w:t>经厂区3#污水站处理后厂区内回用，不外排</w:t>
            </w:r>
            <w:r>
              <w:rPr>
                <w:rFonts w:eastAsia="仿宋_GB2312"/>
                <w:color w:val="auto"/>
                <w:szCs w:val="21"/>
              </w:rPr>
              <w:t>。</w:t>
            </w:r>
            <w:r>
              <w:rPr>
                <w:rFonts w:hint="eastAsia" w:eastAsia="仿宋_GB2312"/>
                <w:color w:val="auto"/>
                <w:szCs w:val="21"/>
              </w:rPr>
              <w:t>依托可行性分析见报告6.2.2章节。</w:t>
            </w:r>
          </w:p>
        </w:tc>
      </w:tr>
      <w:tr w14:paraId="486EE6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84" w:type="pct"/>
            <w:vMerge w:val="continue"/>
            <w:tcBorders>
              <w:tl2br w:val="nil"/>
              <w:tr2bl w:val="nil"/>
            </w:tcBorders>
            <w:vAlign w:val="center"/>
          </w:tcPr>
          <w:p w14:paraId="5F918EA7">
            <w:pPr>
              <w:spacing w:line="320" w:lineRule="exact"/>
              <w:jc w:val="center"/>
              <w:rPr>
                <w:rFonts w:eastAsia="仿宋_GB2312"/>
                <w:color w:val="FF0000"/>
                <w:szCs w:val="21"/>
              </w:rPr>
            </w:pPr>
          </w:p>
        </w:tc>
        <w:tc>
          <w:tcPr>
            <w:tcW w:w="424" w:type="pct"/>
            <w:tcBorders>
              <w:tl2br w:val="nil"/>
              <w:tr2bl w:val="nil"/>
            </w:tcBorders>
            <w:vAlign w:val="center"/>
          </w:tcPr>
          <w:p w14:paraId="722CBEC5">
            <w:pPr>
              <w:spacing w:line="320" w:lineRule="exact"/>
              <w:jc w:val="center"/>
              <w:rPr>
                <w:rFonts w:eastAsia="仿宋_GB2312"/>
                <w:szCs w:val="21"/>
              </w:rPr>
            </w:pPr>
            <w:r>
              <w:rPr>
                <w:rFonts w:eastAsia="仿宋_GB2312"/>
                <w:szCs w:val="21"/>
              </w:rPr>
              <w:t>供电</w:t>
            </w:r>
          </w:p>
        </w:tc>
        <w:tc>
          <w:tcPr>
            <w:tcW w:w="2505" w:type="pct"/>
            <w:tcBorders>
              <w:tl2br w:val="nil"/>
              <w:tr2bl w:val="nil"/>
            </w:tcBorders>
            <w:vAlign w:val="center"/>
          </w:tcPr>
          <w:p w14:paraId="305540AD">
            <w:pPr>
              <w:spacing w:line="320" w:lineRule="exact"/>
              <w:jc w:val="left"/>
              <w:rPr>
                <w:rFonts w:eastAsia="仿宋_GB2312"/>
                <w:color w:val="auto"/>
                <w:szCs w:val="21"/>
              </w:rPr>
            </w:pPr>
            <w:r>
              <w:rPr>
                <w:rFonts w:eastAsia="仿宋_GB2312"/>
                <w:color w:val="auto"/>
                <w:szCs w:val="21"/>
              </w:rPr>
              <w:t>一座35kV变电站，配套1台6300KVA、1台4000KVA变压器（35/10KV）、2台2000KVA变压器（10/0.4KV）；1台1000KVA保压变（10/0.4KV）；1台800KVA变压器（10/0.4KV）；1台1600KVA变压器（10/0.4KV）；1台2000KVA变压器（10/0.4KV）。</w:t>
            </w:r>
          </w:p>
        </w:tc>
        <w:tc>
          <w:tcPr>
            <w:tcW w:w="1786" w:type="pct"/>
            <w:tcBorders>
              <w:tl2br w:val="nil"/>
              <w:tr2bl w:val="nil"/>
            </w:tcBorders>
            <w:shd w:val="clear" w:color="auto" w:fill="auto"/>
            <w:vAlign w:val="center"/>
          </w:tcPr>
          <w:p w14:paraId="42B6EECA">
            <w:pPr>
              <w:spacing w:line="320" w:lineRule="exact"/>
              <w:jc w:val="center"/>
              <w:rPr>
                <w:rFonts w:hint="default" w:eastAsia="仿宋_GB2312"/>
                <w:color w:val="auto"/>
                <w:szCs w:val="21"/>
                <w:lang w:val="en-US" w:eastAsia="zh-CN"/>
              </w:rPr>
            </w:pPr>
            <w:r>
              <w:rPr>
                <w:rFonts w:hint="eastAsia" w:eastAsia="仿宋_GB2312"/>
                <w:color w:val="auto"/>
                <w:szCs w:val="21"/>
                <w:lang w:val="en-US" w:eastAsia="zh-CN"/>
              </w:rPr>
              <w:t>本项目依托现有变电站和变压器，建成后新增用电量166万度/年。</w:t>
            </w:r>
          </w:p>
        </w:tc>
      </w:tr>
      <w:tr w14:paraId="448C1E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84" w:type="pct"/>
            <w:vMerge w:val="continue"/>
            <w:tcBorders>
              <w:tl2br w:val="nil"/>
              <w:tr2bl w:val="nil"/>
            </w:tcBorders>
            <w:vAlign w:val="center"/>
          </w:tcPr>
          <w:p w14:paraId="43D1C353">
            <w:pPr>
              <w:spacing w:line="320" w:lineRule="exact"/>
              <w:jc w:val="center"/>
              <w:rPr>
                <w:rFonts w:eastAsia="仿宋_GB2312"/>
                <w:color w:val="FF0000"/>
                <w:szCs w:val="21"/>
              </w:rPr>
            </w:pPr>
          </w:p>
        </w:tc>
        <w:tc>
          <w:tcPr>
            <w:tcW w:w="424" w:type="pct"/>
            <w:tcBorders>
              <w:tl2br w:val="nil"/>
              <w:tr2bl w:val="nil"/>
            </w:tcBorders>
            <w:vAlign w:val="center"/>
          </w:tcPr>
          <w:p w14:paraId="5EADC017">
            <w:pPr>
              <w:spacing w:line="320" w:lineRule="exact"/>
              <w:jc w:val="center"/>
              <w:rPr>
                <w:rFonts w:eastAsia="仿宋_GB2312"/>
                <w:szCs w:val="21"/>
              </w:rPr>
            </w:pPr>
            <w:r>
              <w:rPr>
                <w:rFonts w:eastAsia="仿宋_GB2312"/>
                <w:szCs w:val="21"/>
              </w:rPr>
              <w:t>供热</w:t>
            </w:r>
          </w:p>
        </w:tc>
        <w:tc>
          <w:tcPr>
            <w:tcW w:w="2505" w:type="pct"/>
            <w:tcBorders>
              <w:tl2br w:val="nil"/>
              <w:tr2bl w:val="nil"/>
            </w:tcBorders>
            <w:vAlign w:val="center"/>
          </w:tcPr>
          <w:p w14:paraId="0B7D9FB2">
            <w:pPr>
              <w:spacing w:line="320" w:lineRule="exact"/>
              <w:jc w:val="left"/>
              <w:rPr>
                <w:rFonts w:eastAsia="仿宋_GB2312"/>
                <w:color w:val="auto"/>
                <w:szCs w:val="21"/>
              </w:rPr>
            </w:pPr>
            <w:r>
              <w:rPr>
                <w:rFonts w:eastAsia="仿宋_GB2312"/>
                <w:color w:val="auto"/>
                <w:szCs w:val="21"/>
              </w:rPr>
              <w:t>由常州市长江热能有限公司供热；厂内设置2台余热锅炉，1台5.5t/h余热锅炉、1台15t/h余热锅炉。</w:t>
            </w:r>
          </w:p>
        </w:tc>
        <w:tc>
          <w:tcPr>
            <w:tcW w:w="1786" w:type="pct"/>
            <w:tcBorders>
              <w:tl2br w:val="nil"/>
              <w:tr2bl w:val="nil"/>
            </w:tcBorders>
            <w:shd w:val="clear" w:color="auto" w:fill="auto"/>
            <w:vAlign w:val="center"/>
          </w:tcPr>
          <w:p w14:paraId="3B71A79C">
            <w:pPr>
              <w:spacing w:line="320" w:lineRule="exact"/>
              <w:jc w:val="center"/>
              <w:rPr>
                <w:rFonts w:hint="eastAsia" w:ascii="Times New Roman" w:hAnsi="Times New Roman" w:eastAsia="仿宋_GB2312" w:cs="Times New Roman"/>
                <w:color w:val="auto"/>
                <w:kern w:val="2"/>
                <w:sz w:val="21"/>
                <w:szCs w:val="21"/>
                <w:lang w:val="en-US" w:eastAsia="zh-CN" w:bidi="ar-SA"/>
              </w:rPr>
            </w:pPr>
            <w:r>
              <w:rPr>
                <w:rFonts w:hint="eastAsia" w:eastAsia="仿宋_GB2312"/>
                <w:color w:val="auto"/>
                <w:szCs w:val="21"/>
                <w:lang w:val="en-US" w:eastAsia="zh-CN"/>
              </w:rPr>
              <w:t>本项目建成后</w:t>
            </w:r>
            <w:r>
              <w:rPr>
                <w:rFonts w:hint="eastAsia" w:eastAsia="仿宋_GB2312"/>
                <w:color w:val="auto"/>
                <w:szCs w:val="21"/>
              </w:rPr>
              <w:t>新增蒸汽用量</w:t>
            </w:r>
            <w:r>
              <w:rPr>
                <w:rFonts w:hint="eastAsia" w:eastAsia="仿宋_GB2312"/>
                <w:color w:val="auto"/>
                <w:szCs w:val="21"/>
                <w:lang w:val="en-US" w:eastAsia="zh-CN"/>
              </w:rPr>
              <w:t>60</w:t>
            </w:r>
            <w:r>
              <w:rPr>
                <w:rFonts w:hint="eastAsia" w:eastAsia="仿宋_GB2312"/>
                <w:color w:val="auto"/>
                <w:szCs w:val="21"/>
              </w:rPr>
              <w:t>000t/a</w:t>
            </w:r>
            <w:r>
              <w:rPr>
                <w:rFonts w:hint="eastAsia" w:eastAsia="仿宋_GB2312"/>
                <w:color w:val="auto"/>
                <w:szCs w:val="21"/>
                <w:lang w:eastAsia="zh-CN"/>
              </w:rPr>
              <w:t>，</w:t>
            </w:r>
            <w:r>
              <w:rPr>
                <w:rFonts w:eastAsia="仿宋_GB2312"/>
                <w:color w:val="auto"/>
                <w:szCs w:val="21"/>
              </w:rPr>
              <w:t>由常州市长江热能有限公司供热</w:t>
            </w:r>
          </w:p>
        </w:tc>
      </w:tr>
      <w:tr w14:paraId="642FA2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84" w:type="pct"/>
            <w:vMerge w:val="continue"/>
            <w:tcBorders>
              <w:tl2br w:val="nil"/>
              <w:tr2bl w:val="nil"/>
            </w:tcBorders>
            <w:vAlign w:val="center"/>
          </w:tcPr>
          <w:p w14:paraId="58EBB77F">
            <w:pPr>
              <w:spacing w:line="320" w:lineRule="exact"/>
              <w:jc w:val="center"/>
              <w:rPr>
                <w:rFonts w:eastAsia="仿宋_GB2312"/>
                <w:color w:val="FF0000"/>
                <w:szCs w:val="21"/>
              </w:rPr>
            </w:pPr>
          </w:p>
        </w:tc>
        <w:tc>
          <w:tcPr>
            <w:tcW w:w="424" w:type="pct"/>
            <w:tcBorders>
              <w:tl2br w:val="nil"/>
              <w:tr2bl w:val="nil"/>
            </w:tcBorders>
            <w:vAlign w:val="center"/>
          </w:tcPr>
          <w:p w14:paraId="11650F12">
            <w:pPr>
              <w:spacing w:line="320" w:lineRule="exact"/>
              <w:jc w:val="center"/>
              <w:rPr>
                <w:rFonts w:eastAsia="仿宋_GB2312"/>
                <w:szCs w:val="21"/>
              </w:rPr>
            </w:pPr>
            <w:r>
              <w:rPr>
                <w:rFonts w:eastAsia="仿宋_GB2312"/>
                <w:szCs w:val="21"/>
              </w:rPr>
              <w:t>纯水制备系统</w:t>
            </w:r>
          </w:p>
        </w:tc>
        <w:tc>
          <w:tcPr>
            <w:tcW w:w="2505" w:type="pct"/>
            <w:tcBorders>
              <w:tl2br w:val="nil"/>
              <w:tr2bl w:val="nil"/>
            </w:tcBorders>
            <w:vAlign w:val="center"/>
          </w:tcPr>
          <w:p w14:paraId="31CE8666">
            <w:pPr>
              <w:spacing w:line="320" w:lineRule="exact"/>
              <w:jc w:val="left"/>
              <w:rPr>
                <w:rFonts w:eastAsia="仿宋_GB2312"/>
                <w:szCs w:val="21"/>
              </w:rPr>
            </w:pPr>
            <w:r>
              <w:rPr>
                <w:rFonts w:eastAsia="仿宋_GB2312"/>
                <w:szCs w:val="21"/>
              </w:rPr>
              <w:t>厂区设有2套纯水制备系统：1套采用离子交换制水，制水能力20t/h；1套采用反渗透制水，制水能力20t/h。</w:t>
            </w:r>
          </w:p>
        </w:tc>
        <w:tc>
          <w:tcPr>
            <w:tcW w:w="1786" w:type="pct"/>
            <w:tcBorders>
              <w:tl2br w:val="nil"/>
              <w:tr2bl w:val="nil"/>
            </w:tcBorders>
            <w:shd w:val="clear" w:color="auto" w:fill="auto"/>
            <w:vAlign w:val="center"/>
          </w:tcPr>
          <w:p w14:paraId="6AE71D38">
            <w:pPr>
              <w:spacing w:line="320" w:lineRule="exact"/>
              <w:jc w:val="center"/>
              <w:rPr>
                <w:rFonts w:ascii="Times New Roman" w:hAnsi="Times New Roman" w:eastAsia="仿宋_GB2312" w:cs="Times New Roman"/>
                <w:color w:val="FF0000"/>
                <w:kern w:val="2"/>
                <w:sz w:val="21"/>
                <w:szCs w:val="21"/>
                <w:lang w:val="en-US" w:eastAsia="zh-CN" w:bidi="ar-SA"/>
              </w:rPr>
            </w:pPr>
            <w:r>
              <w:rPr>
                <w:rFonts w:eastAsia="仿宋_GB2312"/>
                <w:color w:val="auto"/>
                <w:szCs w:val="21"/>
              </w:rPr>
              <w:t>本项目不涉及</w:t>
            </w:r>
          </w:p>
        </w:tc>
      </w:tr>
      <w:tr w14:paraId="50075F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84" w:type="pct"/>
            <w:vMerge w:val="continue"/>
            <w:tcBorders>
              <w:tl2br w:val="nil"/>
              <w:tr2bl w:val="nil"/>
            </w:tcBorders>
            <w:vAlign w:val="center"/>
          </w:tcPr>
          <w:p w14:paraId="747C29CF">
            <w:pPr>
              <w:spacing w:line="320" w:lineRule="exact"/>
              <w:jc w:val="center"/>
              <w:rPr>
                <w:rFonts w:eastAsia="仿宋_GB2312"/>
                <w:color w:val="FF0000"/>
                <w:szCs w:val="21"/>
              </w:rPr>
            </w:pPr>
          </w:p>
        </w:tc>
        <w:tc>
          <w:tcPr>
            <w:tcW w:w="424" w:type="pct"/>
            <w:tcBorders>
              <w:tl2br w:val="nil"/>
              <w:tr2bl w:val="nil"/>
            </w:tcBorders>
            <w:vAlign w:val="center"/>
          </w:tcPr>
          <w:p w14:paraId="0086BEC4">
            <w:pPr>
              <w:spacing w:line="320" w:lineRule="exact"/>
              <w:jc w:val="center"/>
              <w:rPr>
                <w:rFonts w:eastAsia="仿宋_GB2312"/>
                <w:szCs w:val="21"/>
              </w:rPr>
            </w:pPr>
            <w:r>
              <w:rPr>
                <w:rFonts w:eastAsia="仿宋_GB2312"/>
                <w:szCs w:val="21"/>
              </w:rPr>
              <w:t>循环冷却系统</w:t>
            </w:r>
          </w:p>
        </w:tc>
        <w:tc>
          <w:tcPr>
            <w:tcW w:w="2505" w:type="pct"/>
            <w:tcBorders>
              <w:tl2br w:val="nil"/>
              <w:tr2bl w:val="nil"/>
            </w:tcBorders>
            <w:vAlign w:val="center"/>
          </w:tcPr>
          <w:p w14:paraId="74AA27FD">
            <w:pPr>
              <w:spacing w:line="320" w:lineRule="exact"/>
              <w:jc w:val="left"/>
              <w:rPr>
                <w:rFonts w:hint="default" w:eastAsia="仿宋_GB2312"/>
                <w:szCs w:val="21"/>
                <w:lang w:val="en-US" w:eastAsia="zh-CN"/>
              </w:rPr>
            </w:pPr>
            <w:r>
              <w:rPr>
                <w:rFonts w:eastAsia="仿宋_GB2312"/>
                <w:szCs w:val="21"/>
              </w:rPr>
              <w:t>设置两套循环冷却系统：（1）1座1500m</w:t>
            </w:r>
            <w:r>
              <w:rPr>
                <w:rFonts w:eastAsia="仿宋_GB2312"/>
                <w:szCs w:val="21"/>
                <w:vertAlign w:val="superscript"/>
              </w:rPr>
              <w:t>3</w:t>
            </w:r>
            <w:r>
              <w:rPr>
                <w:rFonts w:eastAsia="仿宋_GB2312"/>
                <w:szCs w:val="21"/>
              </w:rPr>
              <w:t>/h冷却塔和1座600m</w:t>
            </w:r>
            <w:r>
              <w:rPr>
                <w:rFonts w:eastAsia="仿宋_GB2312"/>
                <w:szCs w:val="21"/>
                <w:vertAlign w:val="superscript"/>
              </w:rPr>
              <w:t>3</w:t>
            </w:r>
            <w:r>
              <w:rPr>
                <w:rFonts w:eastAsia="仿宋_GB2312"/>
                <w:szCs w:val="21"/>
              </w:rPr>
              <w:t>/h冷却塔由同一个循环水泵控制，配套2台1500m</w:t>
            </w:r>
            <w:r>
              <w:rPr>
                <w:rFonts w:eastAsia="仿宋_GB2312"/>
                <w:szCs w:val="21"/>
                <w:vertAlign w:val="superscript"/>
              </w:rPr>
              <w:t>3</w:t>
            </w:r>
            <w:r>
              <w:rPr>
                <w:rFonts w:eastAsia="仿宋_GB2312"/>
                <w:szCs w:val="21"/>
              </w:rPr>
              <w:t>/h循环水泵（一用一备），并配套1座2500m</w:t>
            </w:r>
            <w:r>
              <w:rPr>
                <w:rFonts w:eastAsia="仿宋_GB2312"/>
                <w:szCs w:val="21"/>
                <w:vertAlign w:val="superscript"/>
              </w:rPr>
              <w:t>3</w:t>
            </w:r>
            <w:r>
              <w:rPr>
                <w:rFonts w:eastAsia="仿宋_GB2312"/>
                <w:szCs w:val="21"/>
              </w:rPr>
              <w:t>循环冷却水池（1#）</w:t>
            </w:r>
            <w:r>
              <w:rPr>
                <w:rFonts w:hint="eastAsia" w:eastAsia="仿宋_GB2312"/>
                <w:szCs w:val="21"/>
                <w:lang w:eastAsia="zh-CN"/>
              </w:rPr>
              <w:t>，</w:t>
            </w:r>
            <w:r>
              <w:rPr>
                <w:rFonts w:hint="eastAsia" w:eastAsia="仿宋_GB2312"/>
                <w:szCs w:val="21"/>
                <w:lang w:val="en-US" w:eastAsia="zh-CN"/>
              </w:rPr>
              <w:t>现使用负荷80%</w:t>
            </w:r>
            <w:r>
              <w:rPr>
                <w:rFonts w:eastAsia="仿宋_GB2312"/>
                <w:szCs w:val="21"/>
              </w:rPr>
              <w:t>；（2）1座500m</w:t>
            </w:r>
            <w:r>
              <w:rPr>
                <w:rFonts w:eastAsia="仿宋_GB2312"/>
                <w:szCs w:val="21"/>
                <w:vertAlign w:val="superscript"/>
              </w:rPr>
              <w:t>3</w:t>
            </w:r>
            <w:r>
              <w:rPr>
                <w:rFonts w:eastAsia="仿宋_GB2312"/>
                <w:szCs w:val="21"/>
              </w:rPr>
              <w:t>/h冷却塔，配套2台500m</w:t>
            </w:r>
            <w:r>
              <w:rPr>
                <w:rFonts w:eastAsia="仿宋_GB2312"/>
                <w:szCs w:val="21"/>
                <w:vertAlign w:val="superscript"/>
              </w:rPr>
              <w:t>3</w:t>
            </w:r>
            <w:r>
              <w:rPr>
                <w:rFonts w:eastAsia="仿宋_GB2312"/>
                <w:szCs w:val="21"/>
              </w:rPr>
              <w:t>/h循环水泵（一用一备），并配套一座100m</w:t>
            </w:r>
            <w:r>
              <w:rPr>
                <w:rFonts w:eastAsia="仿宋_GB2312"/>
                <w:szCs w:val="21"/>
                <w:vertAlign w:val="superscript"/>
              </w:rPr>
              <w:t>3</w:t>
            </w:r>
            <w:r>
              <w:rPr>
                <w:rFonts w:eastAsia="仿宋_GB2312"/>
                <w:szCs w:val="21"/>
              </w:rPr>
              <w:t>循环冷却水池（2#）</w:t>
            </w:r>
            <w:r>
              <w:rPr>
                <w:rFonts w:hint="eastAsia" w:eastAsia="仿宋_GB2312"/>
                <w:szCs w:val="21"/>
                <w:lang w:eastAsia="zh-CN"/>
              </w:rPr>
              <w:t>，</w:t>
            </w:r>
            <w:r>
              <w:rPr>
                <w:rFonts w:hint="eastAsia" w:eastAsia="仿宋_GB2312"/>
                <w:szCs w:val="21"/>
                <w:lang w:val="en-US" w:eastAsia="zh-CN"/>
              </w:rPr>
              <w:t>现已满负荷运行。</w:t>
            </w:r>
          </w:p>
        </w:tc>
        <w:tc>
          <w:tcPr>
            <w:tcW w:w="1786" w:type="pct"/>
            <w:tcBorders>
              <w:tl2br w:val="nil"/>
              <w:tr2bl w:val="nil"/>
            </w:tcBorders>
            <w:shd w:val="clear" w:color="auto" w:fill="auto"/>
            <w:vAlign w:val="center"/>
          </w:tcPr>
          <w:p w14:paraId="3FB83E31">
            <w:pPr>
              <w:spacing w:line="320" w:lineRule="exact"/>
              <w:jc w:val="center"/>
              <w:rPr>
                <w:rFonts w:ascii="Times New Roman" w:hAnsi="Times New Roman" w:eastAsia="仿宋_GB2312" w:cs="Times New Roman"/>
                <w:color w:val="FF0000"/>
                <w:kern w:val="2"/>
                <w:sz w:val="21"/>
                <w:szCs w:val="21"/>
                <w:lang w:val="en-US" w:eastAsia="zh-CN" w:bidi="ar-SA"/>
              </w:rPr>
            </w:pPr>
            <w:r>
              <w:rPr>
                <w:rFonts w:hint="eastAsia" w:eastAsia="仿宋_GB2312"/>
                <w:color w:val="auto"/>
                <w:szCs w:val="21"/>
                <w:lang w:val="en-US" w:eastAsia="zh-CN"/>
              </w:rPr>
              <w:t>本项目建成后单位时间新增循环水使用量约为80m</w:t>
            </w:r>
            <w:r>
              <w:rPr>
                <w:rFonts w:hint="eastAsia" w:eastAsia="仿宋_GB2312"/>
                <w:color w:val="auto"/>
                <w:szCs w:val="21"/>
                <w:vertAlign w:val="superscript"/>
                <w:lang w:val="en-US" w:eastAsia="zh-CN"/>
              </w:rPr>
              <w:t>3</w:t>
            </w:r>
            <w:r>
              <w:rPr>
                <w:rFonts w:hint="eastAsia" w:eastAsia="仿宋_GB2312"/>
                <w:color w:val="auto"/>
                <w:szCs w:val="21"/>
                <w:lang w:val="en-US" w:eastAsia="zh-CN"/>
              </w:rPr>
              <w:t>/h，</w:t>
            </w:r>
            <w:r>
              <w:rPr>
                <w:rFonts w:eastAsia="仿宋_GB2312"/>
                <w:color w:val="auto"/>
                <w:szCs w:val="21"/>
              </w:rPr>
              <w:t>依托原有</w:t>
            </w:r>
            <w:r>
              <w:rPr>
                <w:rFonts w:hint="eastAsia" w:eastAsia="仿宋_GB2312"/>
                <w:color w:val="auto"/>
                <w:szCs w:val="21"/>
                <w:lang w:val="en-US" w:eastAsia="zh-CN"/>
              </w:rPr>
              <w:t>1</w:t>
            </w:r>
            <w:r>
              <w:rPr>
                <w:rFonts w:eastAsia="仿宋_GB2312"/>
                <w:color w:val="auto"/>
                <w:szCs w:val="21"/>
              </w:rPr>
              <w:t>#循环冷却系统，</w:t>
            </w:r>
            <w:r>
              <w:rPr>
                <w:rFonts w:hint="eastAsia" w:eastAsia="仿宋_GB2312"/>
                <w:color w:val="auto"/>
                <w:szCs w:val="21"/>
                <w:lang w:val="en-US" w:eastAsia="zh-CN"/>
              </w:rPr>
              <w:t>1#循环冷却水系统尚余能力约为200m</w:t>
            </w:r>
            <w:r>
              <w:rPr>
                <w:rFonts w:hint="eastAsia" w:eastAsia="仿宋_GB2312"/>
                <w:color w:val="auto"/>
                <w:szCs w:val="21"/>
                <w:vertAlign w:val="superscript"/>
                <w:lang w:val="en-US" w:eastAsia="zh-CN"/>
              </w:rPr>
              <w:t>3</w:t>
            </w:r>
            <w:r>
              <w:rPr>
                <w:rFonts w:hint="eastAsia" w:eastAsia="仿宋_GB2312"/>
                <w:color w:val="auto"/>
                <w:szCs w:val="21"/>
                <w:lang w:val="en-US" w:eastAsia="zh-CN"/>
              </w:rPr>
              <w:t>/h，</w:t>
            </w:r>
            <w:r>
              <w:rPr>
                <w:rFonts w:eastAsia="仿宋_GB2312"/>
                <w:color w:val="auto"/>
                <w:szCs w:val="21"/>
              </w:rPr>
              <w:t>依托可行。</w:t>
            </w:r>
          </w:p>
        </w:tc>
      </w:tr>
      <w:tr w14:paraId="39940C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84" w:type="pct"/>
            <w:vMerge w:val="continue"/>
            <w:tcBorders>
              <w:tl2br w:val="nil"/>
              <w:tr2bl w:val="nil"/>
            </w:tcBorders>
            <w:vAlign w:val="center"/>
          </w:tcPr>
          <w:p w14:paraId="65C3A162">
            <w:pPr>
              <w:spacing w:line="320" w:lineRule="exact"/>
              <w:jc w:val="center"/>
              <w:rPr>
                <w:rFonts w:eastAsia="仿宋_GB2312"/>
                <w:color w:val="FF0000"/>
                <w:szCs w:val="21"/>
              </w:rPr>
            </w:pPr>
          </w:p>
        </w:tc>
        <w:tc>
          <w:tcPr>
            <w:tcW w:w="424" w:type="pct"/>
            <w:tcBorders>
              <w:tl2br w:val="nil"/>
              <w:tr2bl w:val="nil"/>
            </w:tcBorders>
            <w:vAlign w:val="center"/>
          </w:tcPr>
          <w:p w14:paraId="7E1782E0">
            <w:pPr>
              <w:spacing w:line="320" w:lineRule="exact"/>
              <w:jc w:val="center"/>
              <w:rPr>
                <w:rFonts w:eastAsia="仿宋_GB2312"/>
                <w:szCs w:val="21"/>
              </w:rPr>
            </w:pPr>
            <w:r>
              <w:rPr>
                <w:rFonts w:eastAsia="仿宋_GB2312"/>
                <w:szCs w:val="21"/>
              </w:rPr>
              <w:t>冷冻系统</w:t>
            </w:r>
          </w:p>
        </w:tc>
        <w:tc>
          <w:tcPr>
            <w:tcW w:w="2505" w:type="pct"/>
            <w:tcBorders>
              <w:tl2br w:val="nil"/>
              <w:tr2bl w:val="nil"/>
            </w:tcBorders>
            <w:vAlign w:val="center"/>
          </w:tcPr>
          <w:p w14:paraId="59563C62">
            <w:pPr>
              <w:spacing w:line="320" w:lineRule="exact"/>
              <w:jc w:val="left"/>
              <w:rPr>
                <w:rFonts w:hint="default" w:eastAsia="仿宋_GB2312"/>
                <w:color w:val="auto"/>
                <w:szCs w:val="21"/>
                <w:lang w:val="en-US" w:eastAsia="zh-CN"/>
              </w:rPr>
            </w:pPr>
            <w:r>
              <w:rPr>
                <w:rFonts w:eastAsia="仿宋_GB2312"/>
                <w:color w:val="auto"/>
                <w:szCs w:val="21"/>
              </w:rPr>
              <w:t>2台100万大卡冷冻机组，制冷剂R22，冷冻介质为盐水，制冷温度-20</w:t>
            </w:r>
            <w:r>
              <w:rPr>
                <w:rFonts w:hint="eastAsia" w:ascii="宋体" w:hAnsi="宋体" w:cs="宋体"/>
                <w:color w:val="auto"/>
                <w:szCs w:val="21"/>
              </w:rPr>
              <w:t>℃</w:t>
            </w:r>
            <w:r>
              <w:rPr>
                <w:rFonts w:eastAsia="仿宋_GB2312"/>
                <w:color w:val="auto"/>
                <w:szCs w:val="21"/>
              </w:rPr>
              <w:t>。</w:t>
            </w:r>
          </w:p>
        </w:tc>
        <w:tc>
          <w:tcPr>
            <w:tcW w:w="1786" w:type="pct"/>
            <w:tcBorders>
              <w:tl2br w:val="nil"/>
              <w:tr2bl w:val="nil"/>
            </w:tcBorders>
            <w:shd w:val="clear" w:color="auto" w:fill="auto"/>
            <w:vAlign w:val="center"/>
          </w:tcPr>
          <w:p w14:paraId="58D8F7E0">
            <w:pPr>
              <w:spacing w:line="320" w:lineRule="exact"/>
              <w:jc w:val="center"/>
              <w:rPr>
                <w:rFonts w:ascii="Times New Roman" w:hAnsi="Times New Roman" w:eastAsia="仿宋_GB2312" w:cs="Times New Roman"/>
                <w:color w:val="auto"/>
                <w:kern w:val="2"/>
                <w:sz w:val="21"/>
                <w:szCs w:val="21"/>
                <w:lang w:val="en-US" w:eastAsia="zh-CN" w:bidi="ar-SA"/>
              </w:rPr>
            </w:pPr>
            <w:r>
              <w:rPr>
                <w:rFonts w:hint="eastAsia" w:eastAsia="仿宋_GB2312"/>
                <w:color w:val="auto"/>
                <w:szCs w:val="21"/>
                <w:lang w:val="en-US" w:eastAsia="zh-CN"/>
              </w:rPr>
              <w:t>本项目建成后新增1台</w:t>
            </w:r>
            <w:r>
              <w:rPr>
                <w:rFonts w:eastAsia="仿宋_GB2312"/>
                <w:color w:val="auto"/>
                <w:szCs w:val="21"/>
              </w:rPr>
              <w:t>1</w:t>
            </w:r>
            <w:r>
              <w:rPr>
                <w:rFonts w:hint="eastAsia" w:eastAsia="仿宋_GB2312"/>
                <w:color w:val="auto"/>
                <w:szCs w:val="21"/>
                <w:lang w:val="en-US" w:eastAsia="zh-CN"/>
              </w:rPr>
              <w:t>8</w:t>
            </w:r>
            <w:r>
              <w:rPr>
                <w:rFonts w:eastAsia="仿宋_GB2312"/>
                <w:color w:val="auto"/>
                <w:szCs w:val="21"/>
              </w:rPr>
              <w:t>0万大卡冷冻机组，制冷剂R22，冷冻介质为盐水，制冷温度-20</w:t>
            </w:r>
            <w:r>
              <w:rPr>
                <w:rFonts w:hint="eastAsia" w:ascii="宋体" w:hAnsi="宋体" w:cs="宋体"/>
                <w:color w:val="auto"/>
                <w:szCs w:val="21"/>
              </w:rPr>
              <w:t>℃</w:t>
            </w:r>
            <w:r>
              <w:rPr>
                <w:rFonts w:eastAsia="仿宋_GB2312"/>
                <w:color w:val="auto"/>
                <w:szCs w:val="21"/>
              </w:rPr>
              <w:t>。</w:t>
            </w:r>
          </w:p>
        </w:tc>
      </w:tr>
      <w:tr w14:paraId="36C27F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84" w:type="pct"/>
            <w:vMerge w:val="continue"/>
            <w:tcBorders>
              <w:tl2br w:val="nil"/>
              <w:tr2bl w:val="nil"/>
            </w:tcBorders>
            <w:vAlign w:val="center"/>
          </w:tcPr>
          <w:p w14:paraId="51A7036C">
            <w:pPr>
              <w:spacing w:line="320" w:lineRule="exact"/>
              <w:jc w:val="center"/>
              <w:rPr>
                <w:rFonts w:eastAsia="仿宋_GB2312"/>
                <w:color w:val="FF0000"/>
                <w:szCs w:val="21"/>
              </w:rPr>
            </w:pPr>
          </w:p>
        </w:tc>
        <w:tc>
          <w:tcPr>
            <w:tcW w:w="424" w:type="pct"/>
            <w:tcBorders>
              <w:tl2br w:val="nil"/>
              <w:tr2bl w:val="nil"/>
            </w:tcBorders>
            <w:vAlign w:val="center"/>
          </w:tcPr>
          <w:p w14:paraId="4423BBED">
            <w:pPr>
              <w:spacing w:line="320" w:lineRule="exact"/>
              <w:jc w:val="center"/>
              <w:rPr>
                <w:rFonts w:eastAsia="仿宋_GB2312"/>
                <w:color w:val="auto"/>
                <w:szCs w:val="21"/>
              </w:rPr>
            </w:pPr>
            <w:r>
              <w:rPr>
                <w:rFonts w:eastAsia="仿宋_GB2312"/>
                <w:color w:val="auto"/>
                <w:szCs w:val="21"/>
              </w:rPr>
              <w:t>制氮系统</w:t>
            </w:r>
          </w:p>
        </w:tc>
        <w:tc>
          <w:tcPr>
            <w:tcW w:w="2505" w:type="pct"/>
            <w:tcBorders>
              <w:tl2br w:val="nil"/>
              <w:tr2bl w:val="nil"/>
            </w:tcBorders>
            <w:vAlign w:val="center"/>
          </w:tcPr>
          <w:p w14:paraId="7B9C64C5">
            <w:pPr>
              <w:spacing w:line="320" w:lineRule="exact"/>
              <w:jc w:val="left"/>
              <w:rPr>
                <w:rFonts w:hint="default" w:eastAsia="仿宋_GB2312"/>
                <w:color w:val="auto"/>
                <w:szCs w:val="21"/>
                <w:lang w:val="en-US" w:eastAsia="zh-CN"/>
              </w:rPr>
            </w:pPr>
            <w:r>
              <w:rPr>
                <w:rFonts w:hint="eastAsia" w:eastAsia="仿宋_GB2312"/>
                <w:color w:val="auto"/>
                <w:szCs w:val="21"/>
                <w:lang w:val="en-US" w:eastAsia="zh-CN"/>
              </w:rPr>
              <w:t>氮气由林德气体（常州）有限公司供给，厂区</w:t>
            </w:r>
            <w:r>
              <w:rPr>
                <w:rFonts w:eastAsia="仿宋_GB2312"/>
                <w:color w:val="auto"/>
                <w:szCs w:val="21"/>
              </w:rPr>
              <w:t>2台15Nm</w:t>
            </w:r>
            <w:r>
              <w:rPr>
                <w:rFonts w:eastAsia="仿宋_GB2312"/>
                <w:color w:val="auto"/>
                <w:szCs w:val="21"/>
                <w:vertAlign w:val="superscript"/>
              </w:rPr>
              <w:t>3</w:t>
            </w:r>
            <w:r>
              <w:rPr>
                <w:rFonts w:eastAsia="仿宋_GB2312"/>
                <w:color w:val="auto"/>
                <w:szCs w:val="21"/>
              </w:rPr>
              <w:t>/min的制氮机</w:t>
            </w:r>
            <w:r>
              <w:rPr>
                <w:rFonts w:hint="eastAsia" w:eastAsia="仿宋_GB2312"/>
                <w:color w:val="auto"/>
                <w:szCs w:val="21"/>
                <w:lang w:val="en-US" w:eastAsia="zh-CN"/>
              </w:rPr>
              <w:t>备用</w:t>
            </w:r>
            <w:r>
              <w:rPr>
                <w:rFonts w:eastAsia="仿宋_GB2312"/>
                <w:color w:val="auto"/>
                <w:szCs w:val="21"/>
              </w:rPr>
              <w:t>。</w:t>
            </w:r>
          </w:p>
        </w:tc>
        <w:tc>
          <w:tcPr>
            <w:tcW w:w="1786" w:type="pct"/>
            <w:tcBorders>
              <w:tl2br w:val="nil"/>
              <w:tr2bl w:val="nil"/>
            </w:tcBorders>
            <w:shd w:val="clear" w:color="auto" w:fill="auto"/>
            <w:vAlign w:val="center"/>
          </w:tcPr>
          <w:p w14:paraId="0BE9839E">
            <w:pPr>
              <w:spacing w:line="320" w:lineRule="exact"/>
              <w:jc w:val="center"/>
              <w:rPr>
                <w:rFonts w:ascii="Times New Roman" w:hAnsi="Times New Roman" w:eastAsia="仿宋_GB2312" w:cs="Times New Roman"/>
                <w:color w:val="auto"/>
                <w:kern w:val="2"/>
                <w:sz w:val="21"/>
                <w:szCs w:val="21"/>
                <w:lang w:val="en-US" w:eastAsia="zh-CN" w:bidi="ar-SA"/>
              </w:rPr>
            </w:pPr>
            <w:r>
              <w:rPr>
                <w:rFonts w:hint="eastAsia" w:eastAsia="仿宋_GB2312"/>
                <w:color w:val="auto"/>
                <w:szCs w:val="21"/>
                <w:lang w:val="en-US" w:eastAsia="zh-CN"/>
              </w:rPr>
              <w:t>本项目新增使用氮气12.5万Nm</w:t>
            </w:r>
            <w:r>
              <w:rPr>
                <w:rFonts w:hint="eastAsia" w:eastAsia="仿宋_GB2312"/>
                <w:color w:val="auto"/>
                <w:szCs w:val="21"/>
                <w:vertAlign w:val="superscript"/>
                <w:lang w:val="en-US" w:eastAsia="zh-CN"/>
              </w:rPr>
              <w:t>3</w:t>
            </w:r>
            <w:r>
              <w:rPr>
                <w:rFonts w:hint="eastAsia" w:eastAsia="仿宋_GB2312"/>
                <w:color w:val="auto"/>
                <w:szCs w:val="21"/>
                <w:lang w:val="en-US" w:eastAsia="zh-CN"/>
              </w:rPr>
              <w:t>，由林德气体（常州）有限公司供给</w:t>
            </w:r>
            <w:r>
              <w:rPr>
                <w:rFonts w:eastAsia="仿宋_GB2312"/>
                <w:color w:val="auto"/>
                <w:szCs w:val="21"/>
              </w:rPr>
              <w:t>。</w:t>
            </w:r>
          </w:p>
        </w:tc>
      </w:tr>
      <w:tr w14:paraId="7E6032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84" w:type="pct"/>
            <w:vMerge w:val="continue"/>
            <w:tcBorders>
              <w:tl2br w:val="nil"/>
              <w:tr2bl w:val="nil"/>
            </w:tcBorders>
            <w:vAlign w:val="center"/>
          </w:tcPr>
          <w:p w14:paraId="1E8DFDC4">
            <w:pPr>
              <w:spacing w:line="320" w:lineRule="exact"/>
              <w:jc w:val="center"/>
              <w:rPr>
                <w:rFonts w:eastAsia="仿宋_GB2312"/>
                <w:color w:val="FF0000"/>
                <w:szCs w:val="21"/>
              </w:rPr>
            </w:pPr>
          </w:p>
        </w:tc>
        <w:tc>
          <w:tcPr>
            <w:tcW w:w="424" w:type="pct"/>
            <w:tcBorders>
              <w:tl2br w:val="nil"/>
              <w:tr2bl w:val="nil"/>
            </w:tcBorders>
            <w:vAlign w:val="center"/>
          </w:tcPr>
          <w:p w14:paraId="5E31D5EF">
            <w:pPr>
              <w:spacing w:line="320" w:lineRule="exact"/>
              <w:jc w:val="center"/>
              <w:rPr>
                <w:rFonts w:eastAsia="仿宋_GB2312"/>
                <w:szCs w:val="21"/>
              </w:rPr>
            </w:pPr>
            <w:r>
              <w:rPr>
                <w:rFonts w:eastAsia="仿宋_GB2312"/>
                <w:szCs w:val="21"/>
              </w:rPr>
              <w:t>空压系统</w:t>
            </w:r>
          </w:p>
        </w:tc>
        <w:tc>
          <w:tcPr>
            <w:tcW w:w="2505" w:type="pct"/>
            <w:tcBorders>
              <w:tl2br w:val="nil"/>
              <w:tr2bl w:val="nil"/>
            </w:tcBorders>
            <w:vAlign w:val="center"/>
          </w:tcPr>
          <w:p w14:paraId="42075333">
            <w:pPr>
              <w:spacing w:line="320" w:lineRule="exact"/>
              <w:jc w:val="left"/>
              <w:rPr>
                <w:rFonts w:eastAsia="仿宋_GB2312"/>
                <w:color w:val="auto"/>
                <w:szCs w:val="21"/>
              </w:rPr>
            </w:pPr>
            <w:r>
              <w:rPr>
                <w:rFonts w:eastAsia="仿宋_GB2312"/>
                <w:color w:val="auto"/>
                <w:szCs w:val="21"/>
              </w:rPr>
              <w:t>厂区设有4台13Nm</w:t>
            </w:r>
            <w:r>
              <w:rPr>
                <w:rFonts w:eastAsia="仿宋_GB2312"/>
                <w:color w:val="auto"/>
                <w:szCs w:val="21"/>
                <w:vertAlign w:val="superscript"/>
              </w:rPr>
              <w:t>3</w:t>
            </w:r>
            <w:r>
              <w:rPr>
                <w:rFonts w:eastAsia="仿宋_GB2312"/>
                <w:color w:val="auto"/>
                <w:szCs w:val="21"/>
              </w:rPr>
              <w:t>/min空压机，1台7Nm</w:t>
            </w:r>
            <w:r>
              <w:rPr>
                <w:rFonts w:eastAsia="仿宋_GB2312"/>
                <w:color w:val="auto"/>
                <w:szCs w:val="21"/>
                <w:vertAlign w:val="superscript"/>
              </w:rPr>
              <w:t>3</w:t>
            </w:r>
            <w:r>
              <w:rPr>
                <w:rFonts w:eastAsia="仿宋_GB2312"/>
                <w:color w:val="auto"/>
                <w:szCs w:val="21"/>
              </w:rPr>
              <w:t>/min空压机，3台40Nm</w:t>
            </w:r>
            <w:r>
              <w:rPr>
                <w:rFonts w:eastAsia="仿宋_GB2312"/>
                <w:color w:val="auto"/>
                <w:szCs w:val="21"/>
                <w:vertAlign w:val="superscript"/>
              </w:rPr>
              <w:t>3</w:t>
            </w:r>
            <w:r>
              <w:rPr>
                <w:rFonts w:eastAsia="仿宋_GB2312"/>
                <w:color w:val="auto"/>
                <w:szCs w:val="21"/>
              </w:rPr>
              <w:t>/min空压机，2台15Nm</w:t>
            </w:r>
            <w:r>
              <w:rPr>
                <w:rFonts w:eastAsia="仿宋_GB2312"/>
                <w:color w:val="auto"/>
                <w:szCs w:val="21"/>
                <w:vertAlign w:val="superscript"/>
              </w:rPr>
              <w:t>3</w:t>
            </w:r>
            <w:r>
              <w:rPr>
                <w:rFonts w:eastAsia="仿宋_GB2312"/>
                <w:color w:val="auto"/>
                <w:szCs w:val="21"/>
              </w:rPr>
              <w:t>/min</w:t>
            </w:r>
            <w:r>
              <w:rPr>
                <w:rFonts w:hint="eastAsia" w:eastAsia="仿宋_GB2312"/>
                <w:color w:val="auto"/>
                <w:szCs w:val="21"/>
                <w:lang w:eastAsia="zh-CN"/>
              </w:rPr>
              <w:t>（</w:t>
            </w:r>
            <w:r>
              <w:rPr>
                <w:rFonts w:hint="eastAsia" w:eastAsia="仿宋_GB2312"/>
                <w:color w:val="auto"/>
                <w:szCs w:val="21"/>
                <w:lang w:val="en-US" w:eastAsia="zh-CN"/>
              </w:rPr>
              <w:t>一用一备</w:t>
            </w:r>
            <w:r>
              <w:rPr>
                <w:rFonts w:hint="eastAsia" w:eastAsia="仿宋_GB2312"/>
                <w:color w:val="auto"/>
                <w:szCs w:val="21"/>
                <w:lang w:eastAsia="zh-CN"/>
              </w:rPr>
              <w:t>）</w:t>
            </w:r>
            <w:r>
              <w:rPr>
                <w:rFonts w:eastAsia="仿宋_GB2312"/>
                <w:color w:val="auto"/>
                <w:szCs w:val="21"/>
              </w:rPr>
              <w:t>，现有使用负荷约</w:t>
            </w:r>
            <w:r>
              <w:rPr>
                <w:rFonts w:hint="eastAsia" w:eastAsia="仿宋_GB2312"/>
                <w:color w:val="auto"/>
                <w:szCs w:val="21"/>
                <w:lang w:val="en-US" w:eastAsia="zh-CN"/>
              </w:rPr>
              <w:t>7</w:t>
            </w:r>
            <w:r>
              <w:rPr>
                <w:rFonts w:eastAsia="仿宋_GB2312"/>
                <w:color w:val="auto"/>
                <w:szCs w:val="21"/>
              </w:rPr>
              <w:t>0%。</w:t>
            </w:r>
          </w:p>
        </w:tc>
        <w:tc>
          <w:tcPr>
            <w:tcW w:w="1786" w:type="pct"/>
            <w:tcBorders>
              <w:tl2br w:val="nil"/>
              <w:tr2bl w:val="nil"/>
            </w:tcBorders>
            <w:shd w:val="clear" w:color="auto" w:fill="auto"/>
            <w:vAlign w:val="center"/>
          </w:tcPr>
          <w:p w14:paraId="2033C328">
            <w:pPr>
              <w:spacing w:line="320" w:lineRule="exact"/>
              <w:jc w:val="center"/>
              <w:rPr>
                <w:rFonts w:ascii="Times New Roman" w:hAnsi="Times New Roman" w:eastAsia="仿宋_GB2312" w:cs="Times New Roman"/>
                <w:color w:val="auto"/>
                <w:kern w:val="2"/>
                <w:sz w:val="21"/>
                <w:szCs w:val="21"/>
                <w:lang w:val="en-US" w:eastAsia="zh-CN" w:bidi="ar-SA"/>
              </w:rPr>
            </w:pPr>
            <w:r>
              <w:rPr>
                <w:rFonts w:hint="eastAsia" w:eastAsia="仿宋_GB2312"/>
                <w:color w:val="auto"/>
                <w:szCs w:val="21"/>
                <w:lang w:val="en-US" w:eastAsia="zh-CN"/>
              </w:rPr>
              <w:t>本项目建成后主要增加空压系统仪表风，新增量约为2N</w:t>
            </w:r>
            <w:r>
              <w:rPr>
                <w:rFonts w:eastAsia="仿宋_GB2312"/>
                <w:color w:val="auto"/>
                <w:szCs w:val="21"/>
              </w:rPr>
              <w:t>m</w:t>
            </w:r>
            <w:r>
              <w:rPr>
                <w:rFonts w:eastAsia="仿宋_GB2312"/>
                <w:color w:val="auto"/>
                <w:szCs w:val="21"/>
                <w:vertAlign w:val="superscript"/>
              </w:rPr>
              <w:t>3</w:t>
            </w:r>
            <w:r>
              <w:rPr>
                <w:rFonts w:eastAsia="仿宋_GB2312"/>
                <w:color w:val="auto"/>
                <w:szCs w:val="21"/>
              </w:rPr>
              <w:t>/min</w:t>
            </w:r>
            <w:r>
              <w:rPr>
                <w:rFonts w:hint="eastAsia" w:eastAsia="仿宋_GB2312"/>
                <w:color w:val="auto"/>
                <w:szCs w:val="21"/>
                <w:lang w:eastAsia="zh-CN"/>
              </w:rPr>
              <w:t>，</w:t>
            </w:r>
            <w:r>
              <w:rPr>
                <w:rFonts w:eastAsia="仿宋_GB2312"/>
                <w:color w:val="auto"/>
                <w:szCs w:val="21"/>
              </w:rPr>
              <w:t>依托可行。</w:t>
            </w:r>
          </w:p>
        </w:tc>
      </w:tr>
      <w:tr w14:paraId="6CB13D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84" w:type="pct"/>
            <w:vMerge w:val="restart"/>
            <w:tcBorders>
              <w:tl2br w:val="nil"/>
              <w:tr2bl w:val="nil"/>
            </w:tcBorders>
            <w:vAlign w:val="center"/>
          </w:tcPr>
          <w:p w14:paraId="7FA546F5">
            <w:pPr>
              <w:spacing w:line="320" w:lineRule="exact"/>
              <w:jc w:val="center"/>
              <w:rPr>
                <w:rFonts w:eastAsia="仿宋_GB2312"/>
                <w:szCs w:val="21"/>
              </w:rPr>
            </w:pPr>
            <w:r>
              <w:rPr>
                <w:rFonts w:eastAsia="仿宋_GB2312"/>
                <w:szCs w:val="21"/>
              </w:rPr>
              <w:t>环保</w:t>
            </w:r>
          </w:p>
          <w:p w14:paraId="07D8E6B0">
            <w:pPr>
              <w:spacing w:line="320" w:lineRule="exact"/>
              <w:jc w:val="center"/>
              <w:rPr>
                <w:rFonts w:eastAsia="仿宋_GB2312"/>
                <w:szCs w:val="21"/>
              </w:rPr>
            </w:pPr>
            <w:r>
              <w:rPr>
                <w:rFonts w:eastAsia="仿宋_GB2312"/>
                <w:szCs w:val="21"/>
              </w:rPr>
              <w:t>工程</w:t>
            </w:r>
          </w:p>
        </w:tc>
        <w:tc>
          <w:tcPr>
            <w:tcW w:w="424" w:type="pct"/>
            <w:tcBorders>
              <w:tl2br w:val="nil"/>
              <w:tr2bl w:val="nil"/>
            </w:tcBorders>
            <w:vAlign w:val="center"/>
          </w:tcPr>
          <w:p w14:paraId="6A68116F">
            <w:pPr>
              <w:spacing w:line="320" w:lineRule="exact"/>
              <w:jc w:val="center"/>
              <w:rPr>
                <w:rFonts w:eastAsia="仿宋_GB2312"/>
                <w:szCs w:val="21"/>
                <w:highlight w:val="yellow"/>
              </w:rPr>
            </w:pPr>
            <w:r>
              <w:rPr>
                <w:rFonts w:eastAsia="仿宋_GB2312"/>
                <w:szCs w:val="21"/>
              </w:rPr>
              <w:t>废气</w:t>
            </w:r>
          </w:p>
        </w:tc>
        <w:tc>
          <w:tcPr>
            <w:tcW w:w="2505" w:type="pct"/>
            <w:tcBorders>
              <w:tl2br w:val="nil"/>
              <w:tr2bl w:val="nil"/>
            </w:tcBorders>
            <w:vAlign w:val="center"/>
          </w:tcPr>
          <w:p w14:paraId="47335A28">
            <w:pPr>
              <w:spacing w:line="320" w:lineRule="exact"/>
              <w:jc w:val="left"/>
              <w:rPr>
                <w:rFonts w:eastAsia="仿宋_GB2312"/>
                <w:szCs w:val="21"/>
              </w:rPr>
            </w:pPr>
            <w:r>
              <w:rPr>
                <w:rFonts w:eastAsia="仿宋_GB2312"/>
                <w:szCs w:val="21"/>
              </w:rPr>
              <w:t>（</w:t>
            </w:r>
            <w:r>
              <w:rPr>
                <w:rFonts w:hint="eastAsia" w:eastAsia="仿宋_GB2312"/>
                <w:szCs w:val="21"/>
              </w:rPr>
              <w:t>1</w:t>
            </w:r>
            <w:r>
              <w:rPr>
                <w:rFonts w:eastAsia="仿宋_GB2312"/>
                <w:szCs w:val="21"/>
              </w:rPr>
              <w:t>）实验室废气、危废仓库（1#、2#、3#、4#、5#）废气、分拣暂存间废气、2#储罐区废气收集经稀酸吸收+碱吸收+除雾+光氧离子催化氧化+活性炭吸附处理后通过20米排气筒（</w:t>
            </w:r>
            <w:r>
              <w:rPr>
                <w:rFonts w:hint="eastAsia" w:eastAsia="仿宋_GB2312"/>
                <w:szCs w:val="21"/>
              </w:rPr>
              <w:t>DA001</w:t>
            </w:r>
            <w:r>
              <w:rPr>
                <w:rFonts w:eastAsia="仿宋_GB2312"/>
                <w:szCs w:val="21"/>
              </w:rPr>
              <w:t>）排放。</w:t>
            </w:r>
          </w:p>
          <w:p w14:paraId="35386CE6">
            <w:pPr>
              <w:spacing w:line="320" w:lineRule="exact"/>
              <w:jc w:val="left"/>
              <w:rPr>
                <w:rFonts w:eastAsia="仿宋_GB2312"/>
                <w:szCs w:val="21"/>
              </w:rPr>
            </w:pPr>
            <w:r>
              <w:rPr>
                <w:rFonts w:eastAsia="仿宋_GB2312"/>
                <w:szCs w:val="21"/>
              </w:rPr>
              <w:t>（</w:t>
            </w:r>
            <w:r>
              <w:rPr>
                <w:rFonts w:hint="eastAsia" w:eastAsia="仿宋_GB2312"/>
                <w:szCs w:val="21"/>
              </w:rPr>
              <w:t>2</w:t>
            </w:r>
            <w:r>
              <w:rPr>
                <w:rFonts w:eastAsia="仿宋_GB2312"/>
                <w:szCs w:val="21"/>
              </w:rPr>
              <w:t>）1#焚烧炉焚烧处置危废产生的废气经SNCR+急冷+干式脱酸+布袋除尘+氧化、碱喷淋处理，尾气通过50米高排气筒（</w:t>
            </w:r>
            <w:r>
              <w:rPr>
                <w:rFonts w:hint="eastAsia" w:eastAsia="仿宋_GB2312"/>
                <w:szCs w:val="21"/>
              </w:rPr>
              <w:t>DA002</w:t>
            </w:r>
            <w:r>
              <w:rPr>
                <w:rFonts w:eastAsia="仿宋_GB2312"/>
                <w:szCs w:val="21"/>
              </w:rPr>
              <w:t>）排放。</w:t>
            </w:r>
          </w:p>
          <w:p w14:paraId="5FB31661">
            <w:pPr>
              <w:spacing w:line="320" w:lineRule="exact"/>
              <w:jc w:val="left"/>
              <w:rPr>
                <w:rFonts w:eastAsia="仿宋_GB2312"/>
                <w:szCs w:val="21"/>
              </w:rPr>
            </w:pPr>
            <w:r>
              <w:rPr>
                <w:rFonts w:eastAsia="仿宋_GB2312"/>
                <w:szCs w:val="21"/>
              </w:rPr>
              <w:t>（</w:t>
            </w:r>
            <w:r>
              <w:rPr>
                <w:rFonts w:hint="eastAsia" w:eastAsia="仿宋_GB2312"/>
                <w:szCs w:val="21"/>
              </w:rPr>
              <w:t>3</w:t>
            </w:r>
            <w:r>
              <w:rPr>
                <w:rFonts w:eastAsia="仿宋_GB2312"/>
                <w:szCs w:val="21"/>
              </w:rPr>
              <w:t>）2#焚烧炉焚烧处置危废产生的废气经SNCR+急冷+干式脱酸+喷射活性炭+布袋除尘+两级湿法脱酸+湿电除尘+活性炭吸附+烟气加热处理，尾气通过50米高排气筒（</w:t>
            </w:r>
            <w:r>
              <w:rPr>
                <w:rFonts w:hint="eastAsia" w:eastAsia="仿宋_GB2312"/>
                <w:szCs w:val="21"/>
              </w:rPr>
              <w:t>DA002</w:t>
            </w:r>
            <w:r>
              <w:rPr>
                <w:rFonts w:eastAsia="仿宋_GB2312"/>
                <w:szCs w:val="21"/>
              </w:rPr>
              <w:t>）排放。</w:t>
            </w:r>
          </w:p>
          <w:p w14:paraId="13FDC87D">
            <w:pPr>
              <w:spacing w:line="320" w:lineRule="exact"/>
              <w:jc w:val="left"/>
              <w:rPr>
                <w:rFonts w:eastAsia="仿宋_GB2312"/>
                <w:szCs w:val="21"/>
              </w:rPr>
            </w:pPr>
            <w:r>
              <w:rPr>
                <w:rFonts w:eastAsia="仿宋_GB2312"/>
                <w:szCs w:val="21"/>
              </w:rPr>
              <w:t>（</w:t>
            </w:r>
            <w:r>
              <w:rPr>
                <w:rFonts w:hint="eastAsia" w:eastAsia="仿宋_GB2312"/>
                <w:szCs w:val="21"/>
              </w:rPr>
              <w:t>4</w:t>
            </w:r>
            <w:r>
              <w:rPr>
                <w:rFonts w:eastAsia="仿宋_GB2312"/>
                <w:szCs w:val="21"/>
              </w:rPr>
              <w:t>）1#车间</w:t>
            </w:r>
            <w:r>
              <w:rPr>
                <w:rFonts w:hint="eastAsia" w:eastAsia="仿宋_GB2312"/>
                <w:szCs w:val="21"/>
              </w:rPr>
              <w:t>废气（不含整体换风废气）、2#</w:t>
            </w:r>
            <w:r>
              <w:rPr>
                <w:rFonts w:eastAsia="仿宋_GB2312"/>
                <w:szCs w:val="21"/>
              </w:rPr>
              <w:t>车间</w:t>
            </w:r>
            <w:r>
              <w:rPr>
                <w:rFonts w:hint="eastAsia" w:eastAsia="仿宋_GB2312"/>
                <w:szCs w:val="21"/>
              </w:rPr>
              <w:t>废气（不含整体换风废气）、</w:t>
            </w:r>
            <w:r>
              <w:rPr>
                <w:rFonts w:eastAsia="仿宋_GB2312"/>
                <w:szCs w:val="21"/>
              </w:rPr>
              <w:t>B-7车间</w:t>
            </w:r>
            <w:r>
              <w:rPr>
                <w:rFonts w:hint="eastAsia" w:eastAsia="仿宋_GB2312"/>
                <w:szCs w:val="21"/>
              </w:rPr>
              <w:t>废气（不含整体换风废气）、1#储罐区废气先经冷凝+稀酸吸收+碱吸收+水吸收+除雾预处理后，再经</w:t>
            </w:r>
            <w:r>
              <w:rPr>
                <w:rFonts w:eastAsia="仿宋_GB2312"/>
                <w:szCs w:val="21"/>
              </w:rPr>
              <w:t>焚烧后通过50米高排气筒（</w:t>
            </w:r>
            <w:r>
              <w:rPr>
                <w:rFonts w:hint="eastAsia" w:eastAsia="仿宋_GB2312"/>
                <w:szCs w:val="21"/>
              </w:rPr>
              <w:t>DA002</w:t>
            </w:r>
            <w:r>
              <w:rPr>
                <w:rFonts w:eastAsia="仿宋_GB2312"/>
                <w:szCs w:val="21"/>
              </w:rPr>
              <w:t>）排放。</w:t>
            </w:r>
          </w:p>
          <w:p w14:paraId="1EC65AB4">
            <w:pPr>
              <w:spacing w:line="320" w:lineRule="exact"/>
              <w:jc w:val="left"/>
              <w:rPr>
                <w:rFonts w:eastAsia="仿宋_GB2312"/>
                <w:szCs w:val="21"/>
              </w:rPr>
            </w:pPr>
            <w:r>
              <w:rPr>
                <w:rFonts w:eastAsia="仿宋_GB2312"/>
                <w:szCs w:val="21"/>
              </w:rPr>
              <w:t>（</w:t>
            </w:r>
            <w:r>
              <w:rPr>
                <w:rFonts w:hint="eastAsia" w:eastAsia="仿宋_GB2312"/>
                <w:szCs w:val="21"/>
              </w:rPr>
              <w:t>5</w:t>
            </w:r>
            <w:r>
              <w:rPr>
                <w:rFonts w:eastAsia="仿宋_GB2312"/>
                <w:szCs w:val="21"/>
              </w:rPr>
              <w:t>）危废配伍间废气收集经稀酸吸收+碱吸收+除雾+两级活性炭吸附/脱附处理后通过20米排气筒（</w:t>
            </w:r>
            <w:r>
              <w:rPr>
                <w:rFonts w:hint="eastAsia" w:eastAsia="仿宋_GB2312"/>
                <w:szCs w:val="21"/>
              </w:rPr>
              <w:t>DA003</w:t>
            </w:r>
            <w:r>
              <w:rPr>
                <w:rFonts w:eastAsia="仿宋_GB2312"/>
                <w:szCs w:val="21"/>
              </w:rPr>
              <w:t>）排放。</w:t>
            </w:r>
          </w:p>
          <w:p w14:paraId="1E7292EF">
            <w:pPr>
              <w:spacing w:line="320" w:lineRule="exact"/>
              <w:jc w:val="left"/>
              <w:rPr>
                <w:rFonts w:eastAsia="仿宋_GB2312"/>
                <w:szCs w:val="21"/>
              </w:rPr>
            </w:pPr>
            <w:r>
              <w:rPr>
                <w:rFonts w:eastAsia="仿宋_GB2312"/>
                <w:szCs w:val="21"/>
              </w:rPr>
              <w:t>（</w:t>
            </w:r>
            <w:r>
              <w:rPr>
                <w:rFonts w:hint="eastAsia" w:eastAsia="仿宋_GB2312"/>
                <w:szCs w:val="21"/>
              </w:rPr>
              <w:t>6</w:t>
            </w:r>
            <w:r>
              <w:rPr>
                <w:rFonts w:eastAsia="仿宋_GB2312"/>
                <w:szCs w:val="21"/>
              </w:rPr>
              <w:t>）1#、3#污水处理站废气</w:t>
            </w:r>
            <w:r>
              <w:rPr>
                <w:rFonts w:hint="eastAsia" w:eastAsia="仿宋_GB2312"/>
                <w:szCs w:val="21"/>
              </w:rPr>
              <w:t>和废液处置区</w:t>
            </w:r>
            <w:r>
              <w:rPr>
                <w:rFonts w:eastAsia="仿宋_GB2312"/>
                <w:szCs w:val="21"/>
              </w:rPr>
              <w:t>废气</w:t>
            </w:r>
            <w:r>
              <w:rPr>
                <w:rFonts w:hint="eastAsia" w:eastAsia="仿宋_GB2312"/>
                <w:szCs w:val="21"/>
              </w:rPr>
              <w:t>（含废液收集罐废气）</w:t>
            </w:r>
            <w:r>
              <w:rPr>
                <w:rFonts w:eastAsia="仿宋_GB2312"/>
                <w:szCs w:val="21"/>
              </w:rPr>
              <w:t>收集经冷凝+稀酸吸收+碱、次氯酸钠混合液吸收+除雾+活性炭吸附/脱附后通过25米排气筒（</w:t>
            </w:r>
            <w:r>
              <w:rPr>
                <w:rFonts w:hint="eastAsia" w:eastAsia="仿宋_GB2312"/>
                <w:szCs w:val="21"/>
              </w:rPr>
              <w:t>DA004</w:t>
            </w:r>
            <w:r>
              <w:rPr>
                <w:rFonts w:eastAsia="仿宋_GB2312"/>
                <w:szCs w:val="21"/>
              </w:rPr>
              <w:t>）排放。</w:t>
            </w:r>
          </w:p>
          <w:p w14:paraId="0A77A864">
            <w:pPr>
              <w:spacing w:line="320" w:lineRule="exact"/>
              <w:jc w:val="left"/>
              <w:rPr>
                <w:rFonts w:eastAsia="仿宋_GB2312"/>
                <w:color w:val="FF0000"/>
                <w:szCs w:val="21"/>
              </w:rPr>
            </w:pPr>
            <w:r>
              <w:rPr>
                <w:rFonts w:eastAsia="仿宋_GB2312"/>
                <w:szCs w:val="21"/>
              </w:rPr>
              <w:t>（</w:t>
            </w:r>
            <w:r>
              <w:rPr>
                <w:rFonts w:hint="eastAsia" w:eastAsia="仿宋_GB2312"/>
                <w:szCs w:val="21"/>
              </w:rPr>
              <w:t>7</w:t>
            </w:r>
            <w:r>
              <w:rPr>
                <w:rFonts w:eastAsia="仿宋_GB2312"/>
                <w:szCs w:val="21"/>
              </w:rPr>
              <w:t>）1#车间</w:t>
            </w:r>
            <w:r>
              <w:rPr>
                <w:rFonts w:hint="eastAsia" w:eastAsia="仿宋_GB2312"/>
                <w:szCs w:val="21"/>
              </w:rPr>
              <w:t>整体换风废气</w:t>
            </w:r>
            <w:r>
              <w:rPr>
                <w:rFonts w:eastAsia="仿宋_GB2312"/>
                <w:szCs w:val="21"/>
              </w:rPr>
              <w:t>、2#车间</w:t>
            </w:r>
            <w:r>
              <w:rPr>
                <w:rFonts w:hint="eastAsia" w:eastAsia="仿宋_GB2312"/>
                <w:szCs w:val="21"/>
              </w:rPr>
              <w:t>整体换风废气</w:t>
            </w:r>
            <w:r>
              <w:rPr>
                <w:rFonts w:eastAsia="仿宋_GB2312"/>
                <w:szCs w:val="21"/>
              </w:rPr>
              <w:t>和B-7车间整体换风</w:t>
            </w:r>
            <w:r>
              <w:rPr>
                <w:rFonts w:hint="eastAsia" w:eastAsia="仿宋_GB2312"/>
                <w:szCs w:val="21"/>
              </w:rPr>
              <w:t>废气冷凝+酸吸收+碱吸收+水洗+活性炭吸附/脱附处理后</w:t>
            </w:r>
            <w:r>
              <w:rPr>
                <w:rFonts w:eastAsia="仿宋_GB2312"/>
                <w:szCs w:val="21"/>
              </w:rPr>
              <w:t>通过20米排气筒（</w:t>
            </w:r>
            <w:r>
              <w:rPr>
                <w:rFonts w:hint="eastAsia" w:eastAsia="仿宋_GB2312"/>
                <w:szCs w:val="21"/>
              </w:rPr>
              <w:t>DA005</w:t>
            </w:r>
            <w:r>
              <w:rPr>
                <w:rFonts w:eastAsia="仿宋_GB2312"/>
                <w:szCs w:val="21"/>
              </w:rPr>
              <w:t>）排放。</w:t>
            </w:r>
          </w:p>
        </w:tc>
        <w:tc>
          <w:tcPr>
            <w:tcW w:w="1786" w:type="pct"/>
            <w:tcBorders>
              <w:tl2br w:val="nil"/>
              <w:tr2bl w:val="nil"/>
            </w:tcBorders>
            <w:vAlign w:val="center"/>
          </w:tcPr>
          <w:p w14:paraId="6818EC5D">
            <w:pPr>
              <w:spacing w:line="320" w:lineRule="exact"/>
              <w:jc w:val="left"/>
              <w:rPr>
                <w:rFonts w:hint="default" w:eastAsia="仿宋_GB2312"/>
                <w:szCs w:val="21"/>
                <w:lang w:val="en-US" w:eastAsia="zh-CN"/>
              </w:rPr>
            </w:pPr>
            <w:r>
              <w:rPr>
                <w:rFonts w:hint="eastAsia" w:eastAsia="仿宋_GB2312"/>
                <w:szCs w:val="21"/>
                <w:lang w:val="en-US" w:eastAsia="zh-CN"/>
              </w:rPr>
              <w:t>本项目建成后依托现有DA001、DA002、DA004、DA005号排气筒，依托可行性分析见报告6.21章节。</w:t>
            </w:r>
          </w:p>
        </w:tc>
      </w:tr>
      <w:tr w14:paraId="6DD71F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84" w:type="pct"/>
            <w:vMerge w:val="continue"/>
            <w:tcBorders>
              <w:tl2br w:val="nil"/>
              <w:tr2bl w:val="nil"/>
            </w:tcBorders>
            <w:vAlign w:val="center"/>
          </w:tcPr>
          <w:p w14:paraId="5A092744">
            <w:pPr>
              <w:spacing w:line="320" w:lineRule="exact"/>
              <w:jc w:val="center"/>
              <w:rPr>
                <w:rFonts w:eastAsia="仿宋_GB2312"/>
                <w:color w:val="FF0000"/>
                <w:szCs w:val="21"/>
              </w:rPr>
            </w:pPr>
          </w:p>
        </w:tc>
        <w:tc>
          <w:tcPr>
            <w:tcW w:w="424" w:type="pct"/>
            <w:tcBorders>
              <w:tl2br w:val="nil"/>
              <w:tr2bl w:val="nil"/>
            </w:tcBorders>
            <w:vAlign w:val="center"/>
          </w:tcPr>
          <w:p w14:paraId="5C94429D">
            <w:pPr>
              <w:spacing w:line="320" w:lineRule="exact"/>
              <w:jc w:val="center"/>
              <w:rPr>
                <w:rFonts w:eastAsia="仿宋_GB2312"/>
                <w:szCs w:val="21"/>
              </w:rPr>
            </w:pPr>
            <w:r>
              <w:rPr>
                <w:rFonts w:eastAsia="仿宋_GB2312"/>
                <w:szCs w:val="21"/>
              </w:rPr>
              <w:t>废水</w:t>
            </w:r>
          </w:p>
        </w:tc>
        <w:tc>
          <w:tcPr>
            <w:tcW w:w="2505" w:type="pct"/>
            <w:tcBorders>
              <w:tl2br w:val="nil"/>
              <w:tr2bl w:val="nil"/>
            </w:tcBorders>
            <w:vAlign w:val="center"/>
          </w:tcPr>
          <w:p w14:paraId="29359EA5">
            <w:pPr>
              <w:spacing w:line="320" w:lineRule="exact"/>
              <w:jc w:val="left"/>
              <w:rPr>
                <w:rFonts w:eastAsia="仿宋_GB2312"/>
                <w:szCs w:val="21"/>
              </w:rPr>
            </w:pPr>
            <w:r>
              <w:rPr>
                <w:rFonts w:eastAsia="仿宋_GB2312"/>
                <w:szCs w:val="21"/>
              </w:rPr>
              <w:t>厂区已建成两套污水站：1#污水处理站（处理能力600m</w:t>
            </w:r>
            <w:r>
              <w:rPr>
                <w:rFonts w:eastAsia="仿宋_GB2312"/>
                <w:szCs w:val="21"/>
                <w:vertAlign w:val="superscript"/>
              </w:rPr>
              <w:t>3</w:t>
            </w:r>
            <w:r>
              <w:rPr>
                <w:rFonts w:eastAsia="仿宋_GB2312"/>
                <w:szCs w:val="21"/>
              </w:rPr>
              <w:t>/d）；3#污水处理站（处理能力300m</w:t>
            </w:r>
            <w:r>
              <w:rPr>
                <w:rFonts w:eastAsia="仿宋_GB2312"/>
                <w:szCs w:val="21"/>
                <w:vertAlign w:val="superscript"/>
              </w:rPr>
              <w:t>3</w:t>
            </w:r>
            <w:r>
              <w:rPr>
                <w:rFonts w:eastAsia="仿宋_GB2312"/>
                <w:szCs w:val="21"/>
              </w:rPr>
              <w:t>/d）。</w:t>
            </w:r>
            <w:r>
              <w:rPr>
                <w:rFonts w:hint="eastAsia" w:eastAsia="仿宋_GB2312"/>
                <w:szCs w:val="21"/>
              </w:rPr>
              <w:t>2#污水站尚未建设（处理能力30</w:t>
            </w:r>
            <w:r>
              <w:rPr>
                <w:rFonts w:eastAsia="仿宋_GB2312"/>
                <w:szCs w:val="21"/>
              </w:rPr>
              <w:t>00m</w:t>
            </w:r>
            <w:r>
              <w:rPr>
                <w:rFonts w:eastAsia="仿宋_GB2312"/>
                <w:szCs w:val="21"/>
                <w:vertAlign w:val="superscript"/>
              </w:rPr>
              <w:t>3</w:t>
            </w:r>
            <w:r>
              <w:rPr>
                <w:rFonts w:eastAsia="仿宋_GB2312"/>
                <w:szCs w:val="21"/>
              </w:rPr>
              <w:t>/d</w:t>
            </w:r>
            <w:r>
              <w:rPr>
                <w:rFonts w:hint="eastAsia" w:eastAsia="仿宋_GB2312"/>
                <w:szCs w:val="21"/>
              </w:rPr>
              <w:t>）</w:t>
            </w:r>
          </w:p>
        </w:tc>
        <w:tc>
          <w:tcPr>
            <w:tcW w:w="1786" w:type="pct"/>
            <w:tcBorders>
              <w:tl2br w:val="nil"/>
              <w:tr2bl w:val="nil"/>
            </w:tcBorders>
            <w:shd w:val="clear" w:color="auto" w:fill="auto"/>
            <w:vAlign w:val="center"/>
          </w:tcPr>
          <w:p w14:paraId="105528AE">
            <w:pPr>
              <w:spacing w:line="320" w:lineRule="exact"/>
              <w:jc w:val="center"/>
              <w:rPr>
                <w:rFonts w:ascii="Times New Roman" w:hAnsi="Times New Roman" w:eastAsia="仿宋_GB2312" w:cs="Times New Roman"/>
                <w:color w:val="FF0000"/>
                <w:kern w:val="2"/>
                <w:sz w:val="21"/>
                <w:szCs w:val="21"/>
                <w:lang w:val="en-US" w:eastAsia="zh-CN" w:bidi="ar-SA"/>
              </w:rPr>
            </w:pPr>
            <w:r>
              <w:rPr>
                <w:rFonts w:hint="eastAsia" w:ascii="Times New Roman" w:hAnsi="Times New Roman" w:eastAsia="仿宋_GB2312" w:cs="Times New Roman"/>
                <w:szCs w:val="21"/>
                <w:lang w:val="en-US" w:eastAsia="zh-CN"/>
              </w:rPr>
              <w:t>厂区已建成2套污水站，其中1#污水站处理能力为600m</w:t>
            </w:r>
            <w:r>
              <w:rPr>
                <w:rFonts w:hint="eastAsia" w:ascii="Times New Roman" w:hAnsi="Times New Roman" w:eastAsia="仿宋_GB2312" w:cs="Times New Roman"/>
                <w:szCs w:val="21"/>
                <w:vertAlign w:val="superscript"/>
                <w:lang w:val="en-US" w:eastAsia="zh-CN"/>
              </w:rPr>
              <w:t>3</w:t>
            </w:r>
            <w:r>
              <w:rPr>
                <w:rFonts w:hint="eastAsia" w:ascii="Times New Roman" w:hAnsi="Times New Roman" w:eastAsia="仿宋_GB2312" w:cs="Times New Roman"/>
                <w:szCs w:val="21"/>
                <w:lang w:val="en-US" w:eastAsia="zh-CN"/>
              </w:rPr>
              <w:t>/d，处理工艺主体为生化工艺，3#污水站处理能力为300m</w:t>
            </w:r>
            <w:r>
              <w:rPr>
                <w:rFonts w:hint="eastAsia" w:ascii="Times New Roman" w:hAnsi="Times New Roman" w:eastAsia="仿宋_GB2312" w:cs="Times New Roman"/>
                <w:szCs w:val="21"/>
                <w:vertAlign w:val="superscript"/>
                <w:lang w:val="en-US" w:eastAsia="zh-CN"/>
              </w:rPr>
              <w:t>3</w:t>
            </w:r>
            <w:r>
              <w:rPr>
                <w:rFonts w:hint="eastAsia" w:ascii="Times New Roman" w:hAnsi="Times New Roman" w:eastAsia="仿宋_GB2312" w:cs="Times New Roman"/>
                <w:szCs w:val="21"/>
                <w:lang w:val="en-US" w:eastAsia="zh-CN"/>
              </w:rPr>
              <w:t>/d，处理工艺主体为生化工艺+膜处理工艺，两套污水站生化处理工艺一致，仅处理能力有差异。为充分利用两套污水站的生化系统，本次将两套污水站生化工艺互相置换，调整后1#污水站处理能力为300m</w:t>
            </w:r>
            <w:r>
              <w:rPr>
                <w:rFonts w:hint="eastAsia" w:ascii="Times New Roman" w:hAnsi="Times New Roman" w:eastAsia="仿宋_GB2312" w:cs="Times New Roman"/>
                <w:szCs w:val="21"/>
                <w:vertAlign w:val="superscript"/>
                <w:lang w:val="en-US" w:eastAsia="zh-CN"/>
              </w:rPr>
              <w:t>3</w:t>
            </w:r>
            <w:r>
              <w:rPr>
                <w:rFonts w:hint="eastAsia" w:ascii="Times New Roman" w:hAnsi="Times New Roman" w:eastAsia="仿宋_GB2312" w:cs="Times New Roman"/>
                <w:szCs w:val="21"/>
                <w:lang w:val="en-US" w:eastAsia="zh-CN"/>
              </w:rPr>
              <w:t>/d，3#污水站处理能力为</w:t>
            </w:r>
            <w:r>
              <w:rPr>
                <w:rFonts w:hint="eastAsia" w:ascii="Times New Roman" w:hAnsi="Times New Roman" w:eastAsia="仿宋_GB2312" w:cs="Times New Roman"/>
                <w:color w:val="auto"/>
                <w:szCs w:val="21"/>
                <w:lang w:val="en-US" w:eastAsia="zh-CN"/>
              </w:rPr>
              <w:t>600m</w:t>
            </w:r>
            <w:r>
              <w:rPr>
                <w:rFonts w:hint="eastAsia" w:ascii="Times New Roman" w:hAnsi="Times New Roman" w:eastAsia="仿宋_GB2312" w:cs="Times New Roman"/>
                <w:color w:val="auto"/>
                <w:szCs w:val="21"/>
                <w:vertAlign w:val="superscript"/>
                <w:lang w:val="en-US" w:eastAsia="zh-CN"/>
              </w:rPr>
              <w:t>3</w:t>
            </w:r>
            <w:r>
              <w:rPr>
                <w:rFonts w:hint="eastAsia" w:ascii="Times New Roman" w:hAnsi="Times New Roman" w:eastAsia="仿宋_GB2312" w:cs="Times New Roman"/>
                <w:color w:val="auto"/>
                <w:szCs w:val="21"/>
                <w:lang w:val="en-US" w:eastAsia="zh-CN"/>
              </w:rPr>
              <w:t>/d，同时3#污水站增加1套同现有能力一样的15m</w:t>
            </w:r>
            <w:r>
              <w:rPr>
                <w:rFonts w:hint="eastAsia" w:ascii="Times New Roman" w:hAnsi="Times New Roman" w:eastAsia="仿宋_GB2312" w:cs="Times New Roman"/>
                <w:color w:val="auto"/>
                <w:szCs w:val="21"/>
                <w:vertAlign w:val="superscript"/>
                <w:lang w:val="en-US" w:eastAsia="zh-CN"/>
              </w:rPr>
              <w:t>3</w:t>
            </w:r>
            <w:r>
              <w:rPr>
                <w:rFonts w:hint="eastAsia" w:ascii="Times New Roman" w:hAnsi="Times New Roman" w:eastAsia="仿宋_GB2312" w:cs="Times New Roman"/>
                <w:color w:val="auto"/>
                <w:szCs w:val="21"/>
                <w:lang w:val="en-US" w:eastAsia="zh-CN"/>
              </w:rPr>
              <w:t>/h膜处理系统。本项目依托改造后的</w:t>
            </w:r>
            <w:r>
              <w:rPr>
                <w:rFonts w:eastAsia="仿宋_GB2312"/>
                <w:color w:val="auto"/>
                <w:szCs w:val="21"/>
              </w:rPr>
              <w:t>3#污水处理站</w:t>
            </w:r>
            <w:r>
              <w:rPr>
                <w:rFonts w:hint="eastAsia" w:eastAsia="仿宋_GB2312"/>
                <w:color w:val="auto"/>
                <w:szCs w:val="21"/>
              </w:rPr>
              <w:t>，依托可行性分析见报告6.2.2章节。</w:t>
            </w:r>
          </w:p>
        </w:tc>
      </w:tr>
      <w:tr w14:paraId="130094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84" w:type="pct"/>
            <w:vMerge w:val="continue"/>
            <w:tcBorders>
              <w:tl2br w:val="nil"/>
              <w:tr2bl w:val="nil"/>
            </w:tcBorders>
            <w:vAlign w:val="center"/>
          </w:tcPr>
          <w:p w14:paraId="2AC77A21">
            <w:pPr>
              <w:spacing w:line="320" w:lineRule="exact"/>
              <w:jc w:val="center"/>
              <w:rPr>
                <w:rFonts w:eastAsia="仿宋_GB2312"/>
                <w:color w:val="FF0000"/>
                <w:szCs w:val="21"/>
              </w:rPr>
            </w:pPr>
          </w:p>
        </w:tc>
        <w:tc>
          <w:tcPr>
            <w:tcW w:w="424" w:type="pct"/>
            <w:tcBorders>
              <w:tl2br w:val="nil"/>
              <w:tr2bl w:val="nil"/>
            </w:tcBorders>
            <w:vAlign w:val="center"/>
          </w:tcPr>
          <w:p w14:paraId="23553479">
            <w:pPr>
              <w:spacing w:line="320" w:lineRule="exact"/>
              <w:jc w:val="center"/>
              <w:rPr>
                <w:rFonts w:eastAsia="仿宋_GB2312"/>
                <w:szCs w:val="21"/>
              </w:rPr>
            </w:pPr>
            <w:r>
              <w:rPr>
                <w:rFonts w:eastAsia="仿宋_GB2312"/>
                <w:szCs w:val="21"/>
              </w:rPr>
              <w:t>固废</w:t>
            </w:r>
          </w:p>
        </w:tc>
        <w:tc>
          <w:tcPr>
            <w:tcW w:w="2505" w:type="pct"/>
            <w:tcBorders>
              <w:tl2br w:val="nil"/>
              <w:tr2bl w:val="nil"/>
            </w:tcBorders>
            <w:vAlign w:val="center"/>
          </w:tcPr>
          <w:p w14:paraId="15F6D9D0">
            <w:pPr>
              <w:spacing w:line="320" w:lineRule="exact"/>
              <w:jc w:val="left"/>
              <w:rPr>
                <w:rFonts w:eastAsia="仿宋_GB2312"/>
                <w:color w:val="auto"/>
                <w:szCs w:val="21"/>
              </w:rPr>
            </w:pPr>
            <w:r>
              <w:rPr>
                <w:rFonts w:eastAsia="仿宋_GB2312"/>
                <w:color w:val="auto"/>
                <w:szCs w:val="21"/>
              </w:rPr>
              <w:t>次生危废经厂区焚烧处置或委托有资质单位处置，生活垃圾由环卫部门统一处理。</w:t>
            </w:r>
          </w:p>
        </w:tc>
        <w:tc>
          <w:tcPr>
            <w:tcW w:w="1786" w:type="pct"/>
            <w:tcBorders>
              <w:tl2br w:val="nil"/>
              <w:tr2bl w:val="nil"/>
            </w:tcBorders>
            <w:shd w:val="clear" w:color="auto" w:fill="auto"/>
            <w:vAlign w:val="center"/>
          </w:tcPr>
          <w:p w14:paraId="4BC3E2E1">
            <w:pPr>
              <w:spacing w:line="320" w:lineRule="exact"/>
              <w:jc w:val="center"/>
              <w:rPr>
                <w:rFonts w:ascii="Times New Roman" w:hAnsi="Times New Roman" w:eastAsia="仿宋_GB2312" w:cs="Times New Roman"/>
                <w:color w:val="auto"/>
                <w:kern w:val="2"/>
                <w:sz w:val="21"/>
                <w:szCs w:val="21"/>
                <w:lang w:val="en-US" w:eastAsia="zh-CN" w:bidi="ar-SA"/>
              </w:rPr>
            </w:pPr>
            <w:r>
              <w:rPr>
                <w:rFonts w:eastAsia="仿宋_GB2312"/>
                <w:color w:val="auto"/>
                <w:szCs w:val="21"/>
              </w:rPr>
              <w:t>依托原有</w:t>
            </w:r>
          </w:p>
        </w:tc>
      </w:tr>
      <w:tr w14:paraId="548B4F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84" w:type="pct"/>
            <w:vMerge w:val="continue"/>
            <w:tcBorders>
              <w:tl2br w:val="nil"/>
              <w:tr2bl w:val="nil"/>
            </w:tcBorders>
            <w:vAlign w:val="center"/>
          </w:tcPr>
          <w:p w14:paraId="06BE710A">
            <w:pPr>
              <w:spacing w:line="320" w:lineRule="exact"/>
              <w:jc w:val="center"/>
              <w:rPr>
                <w:rFonts w:eastAsia="仿宋_GB2312"/>
                <w:color w:val="FF0000"/>
                <w:szCs w:val="21"/>
              </w:rPr>
            </w:pPr>
          </w:p>
        </w:tc>
        <w:tc>
          <w:tcPr>
            <w:tcW w:w="424" w:type="pct"/>
            <w:tcBorders>
              <w:tl2br w:val="nil"/>
              <w:tr2bl w:val="nil"/>
            </w:tcBorders>
            <w:vAlign w:val="center"/>
          </w:tcPr>
          <w:p w14:paraId="7207BA3D">
            <w:pPr>
              <w:spacing w:line="320" w:lineRule="exact"/>
              <w:jc w:val="center"/>
              <w:rPr>
                <w:rFonts w:eastAsia="仿宋_GB2312"/>
                <w:szCs w:val="21"/>
              </w:rPr>
            </w:pPr>
            <w:r>
              <w:rPr>
                <w:rFonts w:eastAsia="仿宋_GB2312"/>
                <w:szCs w:val="21"/>
              </w:rPr>
              <w:t>噪声</w:t>
            </w:r>
          </w:p>
        </w:tc>
        <w:tc>
          <w:tcPr>
            <w:tcW w:w="2505" w:type="pct"/>
            <w:tcBorders>
              <w:tl2br w:val="nil"/>
              <w:tr2bl w:val="nil"/>
            </w:tcBorders>
            <w:vAlign w:val="center"/>
          </w:tcPr>
          <w:p w14:paraId="0BCE6EF2">
            <w:pPr>
              <w:spacing w:line="320" w:lineRule="exact"/>
              <w:jc w:val="left"/>
              <w:rPr>
                <w:rFonts w:eastAsia="仿宋_GB2312"/>
                <w:color w:val="auto"/>
                <w:szCs w:val="21"/>
              </w:rPr>
            </w:pPr>
            <w:r>
              <w:rPr>
                <w:rFonts w:eastAsia="仿宋_GB2312"/>
                <w:color w:val="auto"/>
                <w:szCs w:val="21"/>
              </w:rPr>
              <w:t>消声、减振、厂房隔声、距离衰减。</w:t>
            </w:r>
          </w:p>
        </w:tc>
        <w:tc>
          <w:tcPr>
            <w:tcW w:w="1786" w:type="pct"/>
            <w:tcBorders>
              <w:tl2br w:val="nil"/>
              <w:tr2bl w:val="nil"/>
            </w:tcBorders>
            <w:shd w:val="clear" w:color="auto" w:fill="auto"/>
            <w:vAlign w:val="center"/>
          </w:tcPr>
          <w:p w14:paraId="55A9179B">
            <w:pPr>
              <w:spacing w:line="320" w:lineRule="exact"/>
              <w:jc w:val="center"/>
              <w:rPr>
                <w:rFonts w:ascii="Times New Roman" w:hAnsi="Times New Roman" w:eastAsia="仿宋_GB2312" w:cs="Times New Roman"/>
                <w:color w:val="auto"/>
                <w:kern w:val="2"/>
                <w:sz w:val="21"/>
                <w:szCs w:val="21"/>
                <w:lang w:val="en-US" w:eastAsia="zh-CN" w:bidi="ar-SA"/>
              </w:rPr>
            </w:pPr>
            <w:r>
              <w:rPr>
                <w:rFonts w:eastAsia="仿宋_GB2312"/>
                <w:color w:val="auto"/>
                <w:szCs w:val="21"/>
              </w:rPr>
              <w:t>消声、减振、厂房隔声、距离衰减。</w:t>
            </w:r>
          </w:p>
        </w:tc>
      </w:tr>
      <w:tr w14:paraId="6E9851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84" w:type="pct"/>
            <w:vMerge w:val="continue"/>
            <w:tcBorders>
              <w:tl2br w:val="nil"/>
              <w:tr2bl w:val="nil"/>
            </w:tcBorders>
            <w:vAlign w:val="center"/>
          </w:tcPr>
          <w:p w14:paraId="67E8DBC4">
            <w:pPr>
              <w:spacing w:line="320" w:lineRule="exact"/>
              <w:jc w:val="center"/>
              <w:rPr>
                <w:rFonts w:eastAsia="仿宋_GB2312"/>
                <w:color w:val="FF0000"/>
                <w:szCs w:val="21"/>
              </w:rPr>
            </w:pPr>
          </w:p>
        </w:tc>
        <w:tc>
          <w:tcPr>
            <w:tcW w:w="424" w:type="pct"/>
            <w:tcBorders>
              <w:tl2br w:val="nil"/>
              <w:tr2bl w:val="nil"/>
            </w:tcBorders>
            <w:vAlign w:val="center"/>
          </w:tcPr>
          <w:p w14:paraId="50123AEA">
            <w:pPr>
              <w:spacing w:line="320" w:lineRule="exact"/>
              <w:jc w:val="center"/>
              <w:rPr>
                <w:rFonts w:eastAsia="仿宋_GB2312"/>
                <w:szCs w:val="21"/>
              </w:rPr>
            </w:pPr>
            <w:r>
              <w:rPr>
                <w:rFonts w:eastAsia="仿宋_GB2312"/>
                <w:szCs w:val="21"/>
              </w:rPr>
              <w:t>地下水、土壤</w:t>
            </w:r>
          </w:p>
        </w:tc>
        <w:tc>
          <w:tcPr>
            <w:tcW w:w="2505" w:type="pct"/>
            <w:tcBorders>
              <w:tl2br w:val="nil"/>
              <w:tr2bl w:val="nil"/>
            </w:tcBorders>
            <w:vAlign w:val="center"/>
          </w:tcPr>
          <w:p w14:paraId="60BD62AD">
            <w:pPr>
              <w:spacing w:line="320" w:lineRule="exact"/>
              <w:jc w:val="left"/>
              <w:rPr>
                <w:rFonts w:eastAsia="仿宋_GB2312"/>
                <w:color w:val="auto"/>
                <w:szCs w:val="21"/>
              </w:rPr>
            </w:pPr>
            <w:r>
              <w:rPr>
                <w:rFonts w:eastAsia="仿宋_GB2312"/>
                <w:color w:val="auto"/>
                <w:szCs w:val="21"/>
              </w:rPr>
              <w:t>分区防腐防渗，采用防水钢筋混凝土浇筑，铺设玻纤布、环氧树脂防腐层、花岗岩等措施。</w:t>
            </w:r>
          </w:p>
        </w:tc>
        <w:tc>
          <w:tcPr>
            <w:tcW w:w="1786" w:type="pct"/>
            <w:tcBorders>
              <w:tl2br w:val="nil"/>
              <w:tr2bl w:val="nil"/>
            </w:tcBorders>
            <w:shd w:val="clear" w:color="auto" w:fill="auto"/>
            <w:vAlign w:val="center"/>
          </w:tcPr>
          <w:p w14:paraId="55119DFC">
            <w:pPr>
              <w:spacing w:line="320" w:lineRule="exact"/>
              <w:jc w:val="center"/>
              <w:rPr>
                <w:rFonts w:ascii="Times New Roman" w:hAnsi="Times New Roman" w:eastAsia="仿宋_GB2312" w:cs="Times New Roman"/>
                <w:color w:val="auto"/>
                <w:kern w:val="2"/>
                <w:sz w:val="21"/>
                <w:szCs w:val="21"/>
                <w:lang w:val="en-US" w:eastAsia="zh-CN" w:bidi="ar-SA"/>
              </w:rPr>
            </w:pPr>
            <w:r>
              <w:rPr>
                <w:rFonts w:eastAsia="仿宋_GB2312"/>
                <w:color w:val="auto"/>
                <w:szCs w:val="21"/>
              </w:rPr>
              <w:t>依托原有</w:t>
            </w:r>
          </w:p>
        </w:tc>
      </w:tr>
      <w:tr w14:paraId="5EC10E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84" w:type="pct"/>
            <w:vMerge w:val="restart"/>
            <w:tcBorders>
              <w:tl2br w:val="nil"/>
              <w:tr2bl w:val="nil"/>
            </w:tcBorders>
            <w:vAlign w:val="center"/>
          </w:tcPr>
          <w:p w14:paraId="092DF4B8">
            <w:pPr>
              <w:spacing w:line="320" w:lineRule="exact"/>
              <w:jc w:val="center"/>
              <w:rPr>
                <w:rFonts w:eastAsia="仿宋_GB2312"/>
                <w:szCs w:val="21"/>
              </w:rPr>
            </w:pPr>
            <w:r>
              <w:rPr>
                <w:rFonts w:eastAsia="仿宋_GB2312"/>
                <w:szCs w:val="21"/>
              </w:rPr>
              <w:t>风险</w:t>
            </w:r>
          </w:p>
          <w:p w14:paraId="7E0FEEF3">
            <w:pPr>
              <w:spacing w:line="320" w:lineRule="exact"/>
              <w:jc w:val="center"/>
              <w:rPr>
                <w:rFonts w:eastAsia="仿宋_GB2312"/>
                <w:szCs w:val="21"/>
              </w:rPr>
            </w:pPr>
            <w:r>
              <w:rPr>
                <w:rFonts w:eastAsia="仿宋_GB2312"/>
                <w:szCs w:val="21"/>
              </w:rPr>
              <w:t>防范</w:t>
            </w:r>
          </w:p>
        </w:tc>
        <w:tc>
          <w:tcPr>
            <w:tcW w:w="424" w:type="pct"/>
            <w:tcBorders>
              <w:tl2br w:val="nil"/>
              <w:tr2bl w:val="nil"/>
            </w:tcBorders>
            <w:vAlign w:val="center"/>
          </w:tcPr>
          <w:p w14:paraId="4035E460">
            <w:pPr>
              <w:spacing w:line="320" w:lineRule="exact"/>
              <w:jc w:val="center"/>
              <w:rPr>
                <w:rFonts w:eastAsia="仿宋_GB2312"/>
                <w:szCs w:val="21"/>
              </w:rPr>
            </w:pPr>
            <w:r>
              <w:rPr>
                <w:rFonts w:eastAsia="仿宋_GB2312"/>
                <w:szCs w:val="21"/>
              </w:rPr>
              <w:t>初期雨水池</w:t>
            </w:r>
          </w:p>
        </w:tc>
        <w:tc>
          <w:tcPr>
            <w:tcW w:w="2505" w:type="pct"/>
            <w:tcBorders>
              <w:tl2br w:val="nil"/>
              <w:tr2bl w:val="nil"/>
            </w:tcBorders>
            <w:vAlign w:val="center"/>
          </w:tcPr>
          <w:p w14:paraId="2459E81A">
            <w:pPr>
              <w:spacing w:line="320" w:lineRule="exact"/>
              <w:jc w:val="left"/>
              <w:rPr>
                <w:rFonts w:eastAsia="仿宋_GB2312"/>
                <w:szCs w:val="21"/>
              </w:rPr>
            </w:pPr>
            <w:r>
              <w:rPr>
                <w:rFonts w:eastAsia="仿宋_GB2312"/>
                <w:szCs w:val="21"/>
              </w:rPr>
              <w:t>厂区设有1个450m</w:t>
            </w:r>
            <w:r>
              <w:rPr>
                <w:rFonts w:eastAsia="仿宋_GB2312"/>
                <w:szCs w:val="21"/>
                <w:vertAlign w:val="superscript"/>
              </w:rPr>
              <w:t>3</w:t>
            </w:r>
            <w:r>
              <w:rPr>
                <w:rFonts w:eastAsia="仿宋_GB2312"/>
                <w:szCs w:val="21"/>
              </w:rPr>
              <w:t>的初期雨水收集池，1个350m</w:t>
            </w:r>
            <w:r>
              <w:rPr>
                <w:rFonts w:eastAsia="仿宋_GB2312"/>
                <w:szCs w:val="21"/>
                <w:vertAlign w:val="superscript"/>
              </w:rPr>
              <w:t>3</w:t>
            </w:r>
            <w:r>
              <w:rPr>
                <w:rFonts w:eastAsia="仿宋_GB2312"/>
                <w:szCs w:val="21"/>
              </w:rPr>
              <w:t>的雨水收集池。</w:t>
            </w:r>
          </w:p>
        </w:tc>
        <w:tc>
          <w:tcPr>
            <w:tcW w:w="1786" w:type="pct"/>
            <w:tcBorders>
              <w:tl2br w:val="nil"/>
              <w:tr2bl w:val="nil"/>
            </w:tcBorders>
            <w:shd w:val="clear" w:color="auto" w:fill="auto"/>
            <w:vAlign w:val="center"/>
          </w:tcPr>
          <w:p w14:paraId="64A2EF85">
            <w:pPr>
              <w:spacing w:line="320" w:lineRule="exact"/>
              <w:jc w:val="center"/>
              <w:rPr>
                <w:rFonts w:ascii="Times New Roman" w:hAnsi="Times New Roman" w:eastAsia="仿宋_GB2312" w:cs="Times New Roman"/>
                <w:color w:val="FF0000"/>
                <w:kern w:val="2"/>
                <w:sz w:val="21"/>
                <w:szCs w:val="21"/>
                <w:lang w:val="en-US" w:eastAsia="zh-CN" w:bidi="ar-SA"/>
              </w:rPr>
            </w:pPr>
            <w:r>
              <w:rPr>
                <w:rFonts w:hint="eastAsia" w:eastAsia="仿宋_GB2312"/>
                <w:szCs w:val="21"/>
                <w:lang w:val="en-US" w:eastAsia="zh-CN"/>
              </w:rPr>
              <w:t>本次新增的中间缓冲罐区</w:t>
            </w:r>
            <w:r>
              <w:rPr>
                <w:rFonts w:eastAsia="仿宋_GB2312"/>
                <w:szCs w:val="21"/>
              </w:rPr>
              <w:t>配套</w:t>
            </w:r>
            <w:r>
              <w:rPr>
                <w:rFonts w:hint="eastAsia" w:eastAsia="仿宋_GB2312"/>
                <w:szCs w:val="21"/>
              </w:rPr>
              <w:t>1座2</w:t>
            </w:r>
            <w:r>
              <w:rPr>
                <w:rFonts w:eastAsia="仿宋_GB2312"/>
                <w:szCs w:val="21"/>
              </w:rPr>
              <w:t>0m</w:t>
            </w:r>
            <w:r>
              <w:rPr>
                <w:rFonts w:eastAsia="仿宋_GB2312"/>
                <w:szCs w:val="21"/>
                <w:vertAlign w:val="superscript"/>
              </w:rPr>
              <w:t>3</w:t>
            </w:r>
            <w:r>
              <w:rPr>
                <w:rFonts w:eastAsia="仿宋_GB2312"/>
                <w:szCs w:val="21"/>
              </w:rPr>
              <w:t>初期雨水收集池收集初期雨水，收集后</w:t>
            </w:r>
            <w:r>
              <w:rPr>
                <w:rFonts w:hint="eastAsia" w:eastAsia="仿宋_GB2312"/>
                <w:szCs w:val="21"/>
                <w:lang w:val="en-US" w:eastAsia="zh-CN"/>
              </w:rPr>
              <w:t>经3#</w:t>
            </w:r>
            <w:r>
              <w:rPr>
                <w:rFonts w:eastAsia="仿宋_GB2312"/>
                <w:szCs w:val="21"/>
              </w:rPr>
              <w:t>污水站处理</w:t>
            </w:r>
            <w:r>
              <w:rPr>
                <w:rFonts w:hint="eastAsia" w:eastAsia="仿宋_GB2312"/>
                <w:szCs w:val="21"/>
              </w:rPr>
              <w:t>达标</w:t>
            </w:r>
            <w:r>
              <w:rPr>
                <w:rFonts w:eastAsia="仿宋_GB2312"/>
                <w:szCs w:val="21"/>
              </w:rPr>
              <w:t>后回用。</w:t>
            </w:r>
            <w:r>
              <w:rPr>
                <w:rFonts w:hint="eastAsia" w:eastAsia="仿宋_GB2312"/>
                <w:szCs w:val="21"/>
                <w:lang w:val="en-US" w:eastAsia="zh-CN"/>
              </w:rPr>
              <w:t>其他区域初期雨水收集、处置情况依托现有。</w:t>
            </w:r>
          </w:p>
        </w:tc>
      </w:tr>
      <w:tr w14:paraId="65F5C0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84" w:type="pct"/>
            <w:vMerge w:val="continue"/>
            <w:tcBorders>
              <w:tl2br w:val="nil"/>
              <w:tr2bl w:val="nil"/>
            </w:tcBorders>
            <w:vAlign w:val="center"/>
          </w:tcPr>
          <w:p w14:paraId="42E9A6B8">
            <w:pPr>
              <w:spacing w:line="320" w:lineRule="exact"/>
              <w:jc w:val="center"/>
              <w:rPr>
                <w:rFonts w:eastAsia="仿宋_GB2312"/>
                <w:szCs w:val="21"/>
              </w:rPr>
            </w:pPr>
          </w:p>
        </w:tc>
        <w:tc>
          <w:tcPr>
            <w:tcW w:w="424" w:type="pct"/>
            <w:tcBorders>
              <w:tl2br w:val="nil"/>
              <w:tr2bl w:val="nil"/>
            </w:tcBorders>
            <w:vAlign w:val="center"/>
          </w:tcPr>
          <w:p w14:paraId="68FBFC29">
            <w:pPr>
              <w:spacing w:line="320" w:lineRule="exact"/>
              <w:jc w:val="center"/>
              <w:rPr>
                <w:rFonts w:eastAsia="仿宋_GB2312"/>
                <w:szCs w:val="21"/>
              </w:rPr>
            </w:pPr>
            <w:r>
              <w:rPr>
                <w:rFonts w:eastAsia="仿宋_GB2312"/>
                <w:szCs w:val="21"/>
              </w:rPr>
              <w:t>事故应急池</w:t>
            </w:r>
          </w:p>
        </w:tc>
        <w:tc>
          <w:tcPr>
            <w:tcW w:w="2505" w:type="pct"/>
            <w:tcBorders>
              <w:tl2br w:val="nil"/>
              <w:tr2bl w:val="nil"/>
            </w:tcBorders>
            <w:vAlign w:val="center"/>
          </w:tcPr>
          <w:p w14:paraId="0885B158">
            <w:pPr>
              <w:spacing w:line="320" w:lineRule="exact"/>
              <w:jc w:val="left"/>
              <w:rPr>
                <w:rFonts w:eastAsia="仿宋_GB2312"/>
                <w:color w:val="auto"/>
                <w:szCs w:val="21"/>
              </w:rPr>
            </w:pPr>
            <w:r>
              <w:rPr>
                <w:rFonts w:eastAsia="仿宋_GB2312"/>
                <w:color w:val="auto"/>
                <w:szCs w:val="21"/>
              </w:rPr>
              <w:t>厂区设有一座450m</w:t>
            </w:r>
            <w:r>
              <w:rPr>
                <w:rFonts w:eastAsia="仿宋_GB2312"/>
                <w:color w:val="auto"/>
                <w:szCs w:val="21"/>
                <w:vertAlign w:val="superscript"/>
              </w:rPr>
              <w:t>3</w:t>
            </w:r>
            <w:r>
              <w:rPr>
                <w:rFonts w:eastAsia="仿宋_GB2312"/>
                <w:color w:val="auto"/>
                <w:szCs w:val="21"/>
              </w:rPr>
              <w:t>的事故应急池。</w:t>
            </w:r>
          </w:p>
        </w:tc>
        <w:tc>
          <w:tcPr>
            <w:tcW w:w="1786" w:type="pct"/>
            <w:tcBorders>
              <w:tl2br w:val="nil"/>
              <w:tr2bl w:val="nil"/>
            </w:tcBorders>
            <w:shd w:val="clear" w:color="auto" w:fill="auto"/>
            <w:vAlign w:val="center"/>
          </w:tcPr>
          <w:p w14:paraId="1A714FEA">
            <w:pPr>
              <w:spacing w:line="320" w:lineRule="exact"/>
              <w:jc w:val="center"/>
              <w:rPr>
                <w:rFonts w:ascii="Times New Roman" w:hAnsi="Times New Roman" w:eastAsia="仿宋_GB2312" w:cs="Times New Roman"/>
                <w:color w:val="auto"/>
                <w:kern w:val="2"/>
                <w:sz w:val="21"/>
                <w:szCs w:val="21"/>
                <w:lang w:val="en-US" w:eastAsia="zh-CN" w:bidi="ar-SA"/>
              </w:rPr>
            </w:pPr>
            <w:r>
              <w:rPr>
                <w:rFonts w:eastAsia="仿宋_GB2312"/>
                <w:color w:val="auto"/>
                <w:szCs w:val="21"/>
              </w:rPr>
              <w:t>依托</w:t>
            </w:r>
            <w:r>
              <w:rPr>
                <w:rFonts w:hint="eastAsia" w:eastAsia="仿宋_GB2312"/>
                <w:color w:val="auto"/>
                <w:szCs w:val="21"/>
              </w:rPr>
              <w:t>可行，事故池可行性分析见6.7.2章节</w:t>
            </w:r>
          </w:p>
        </w:tc>
      </w:tr>
      <w:tr w14:paraId="3629EE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84" w:type="pct"/>
            <w:vMerge w:val="continue"/>
            <w:tcBorders>
              <w:tl2br w:val="nil"/>
              <w:tr2bl w:val="nil"/>
            </w:tcBorders>
            <w:vAlign w:val="center"/>
          </w:tcPr>
          <w:p w14:paraId="7D7DD8A9">
            <w:pPr>
              <w:spacing w:line="320" w:lineRule="exact"/>
              <w:jc w:val="center"/>
              <w:rPr>
                <w:rFonts w:eastAsia="仿宋_GB2312"/>
                <w:szCs w:val="21"/>
              </w:rPr>
            </w:pPr>
          </w:p>
        </w:tc>
        <w:tc>
          <w:tcPr>
            <w:tcW w:w="424" w:type="pct"/>
            <w:tcBorders>
              <w:tl2br w:val="nil"/>
              <w:tr2bl w:val="nil"/>
            </w:tcBorders>
            <w:vAlign w:val="center"/>
          </w:tcPr>
          <w:p w14:paraId="3E2916BE">
            <w:pPr>
              <w:spacing w:line="320" w:lineRule="exact"/>
              <w:jc w:val="center"/>
              <w:rPr>
                <w:rFonts w:eastAsia="仿宋_GB2312"/>
                <w:szCs w:val="21"/>
              </w:rPr>
            </w:pPr>
            <w:r>
              <w:rPr>
                <w:rFonts w:eastAsia="仿宋_GB2312"/>
                <w:szCs w:val="21"/>
              </w:rPr>
              <w:t>消防系统</w:t>
            </w:r>
          </w:p>
        </w:tc>
        <w:tc>
          <w:tcPr>
            <w:tcW w:w="2505" w:type="pct"/>
            <w:tcBorders>
              <w:tl2br w:val="nil"/>
              <w:tr2bl w:val="nil"/>
            </w:tcBorders>
            <w:vAlign w:val="center"/>
          </w:tcPr>
          <w:p w14:paraId="643FE6D4">
            <w:pPr>
              <w:spacing w:line="320" w:lineRule="exact"/>
              <w:jc w:val="left"/>
              <w:rPr>
                <w:rFonts w:eastAsia="仿宋_GB2312"/>
                <w:color w:val="auto"/>
                <w:szCs w:val="21"/>
              </w:rPr>
            </w:pPr>
            <w:r>
              <w:rPr>
                <w:rFonts w:eastAsia="仿宋_GB2312"/>
                <w:color w:val="auto"/>
                <w:szCs w:val="21"/>
              </w:rPr>
              <w:t>厂区设有一座2500m</w:t>
            </w:r>
            <w:r>
              <w:rPr>
                <w:rFonts w:eastAsia="仿宋_GB2312"/>
                <w:color w:val="auto"/>
                <w:szCs w:val="21"/>
                <w:vertAlign w:val="superscript"/>
              </w:rPr>
              <w:t>3</w:t>
            </w:r>
            <w:r>
              <w:rPr>
                <w:rFonts w:eastAsia="仿宋_GB2312"/>
                <w:color w:val="auto"/>
                <w:szCs w:val="21"/>
              </w:rPr>
              <w:t>的消防水池（兼作循环冷却水池）。</w:t>
            </w:r>
          </w:p>
        </w:tc>
        <w:tc>
          <w:tcPr>
            <w:tcW w:w="1786" w:type="pct"/>
            <w:tcBorders>
              <w:tl2br w:val="nil"/>
              <w:tr2bl w:val="nil"/>
            </w:tcBorders>
            <w:shd w:val="clear" w:color="auto" w:fill="auto"/>
            <w:vAlign w:val="center"/>
          </w:tcPr>
          <w:p w14:paraId="6E01503C">
            <w:pPr>
              <w:spacing w:line="320" w:lineRule="exact"/>
              <w:jc w:val="center"/>
              <w:rPr>
                <w:rFonts w:ascii="Times New Roman" w:hAnsi="Times New Roman" w:eastAsia="仿宋_GB2312" w:cs="Times New Roman"/>
                <w:color w:val="auto"/>
                <w:kern w:val="2"/>
                <w:sz w:val="21"/>
                <w:szCs w:val="21"/>
                <w:lang w:val="en-US" w:eastAsia="zh-CN" w:bidi="ar-SA"/>
              </w:rPr>
            </w:pPr>
            <w:r>
              <w:rPr>
                <w:rFonts w:eastAsia="仿宋_GB2312"/>
                <w:color w:val="auto"/>
                <w:szCs w:val="21"/>
              </w:rPr>
              <w:t>依托原有</w:t>
            </w:r>
          </w:p>
        </w:tc>
      </w:tr>
    </w:tbl>
    <w:p w14:paraId="2DAFBD3E">
      <w:pPr>
        <w:spacing w:line="500" w:lineRule="exact"/>
        <w:jc w:val="center"/>
        <w:rPr>
          <w:rFonts w:eastAsia="仿宋_GB2312"/>
          <w:b/>
          <w:color w:val="auto"/>
          <w:spacing w:val="-6"/>
          <w:sz w:val="24"/>
        </w:rPr>
      </w:pPr>
    </w:p>
    <w:p w14:paraId="3270A75C">
      <w:pPr>
        <w:pStyle w:val="189"/>
        <w:ind w:firstLine="482"/>
        <w:jc w:val="center"/>
        <w:rPr>
          <w:rFonts w:eastAsia="仿宋_GB2312"/>
          <w:b/>
          <w:color w:val="FF0000"/>
        </w:rPr>
        <w:sectPr>
          <w:pgSz w:w="16840" w:h="11907" w:orient="landscape"/>
          <w:pgMar w:top="1440" w:right="1800" w:bottom="1440" w:left="1800" w:header="851" w:footer="992" w:gutter="0"/>
          <w:pgBorders>
            <w:top w:val="none" w:sz="0" w:space="0"/>
            <w:left w:val="none" w:sz="0" w:space="0"/>
            <w:bottom w:val="none" w:sz="0" w:space="0"/>
            <w:right w:val="none" w:sz="0" w:space="0"/>
          </w:pgBorders>
          <w:pgNumType w:fmt="decimal"/>
          <w:cols w:space="425" w:num="1"/>
          <w:docGrid w:linePitch="326" w:charSpace="0"/>
        </w:sectPr>
      </w:pPr>
    </w:p>
    <w:p w14:paraId="26D147E5">
      <w:pPr>
        <w:pStyle w:val="6"/>
        <w:spacing w:before="120" w:after="120" w:line="500" w:lineRule="exact"/>
        <w:rPr>
          <w:rFonts w:eastAsia="仿宋_GB2312"/>
          <w:color w:val="auto"/>
          <w:sz w:val="28"/>
          <w:szCs w:val="28"/>
        </w:rPr>
      </w:pPr>
      <w:bookmarkStart w:id="44" w:name="_Toc25392"/>
      <w:r>
        <w:rPr>
          <w:rFonts w:eastAsia="仿宋_GB2312"/>
          <w:color w:val="auto"/>
          <w:sz w:val="28"/>
          <w:szCs w:val="28"/>
        </w:rPr>
        <w:t>3.2.</w:t>
      </w:r>
      <w:r>
        <w:rPr>
          <w:rFonts w:hint="eastAsia" w:eastAsia="仿宋_GB2312"/>
          <w:color w:val="auto"/>
          <w:sz w:val="28"/>
          <w:szCs w:val="28"/>
        </w:rPr>
        <w:t>7</w:t>
      </w:r>
      <w:r>
        <w:rPr>
          <w:rFonts w:eastAsia="仿宋_GB2312"/>
          <w:color w:val="auto"/>
          <w:sz w:val="28"/>
          <w:szCs w:val="28"/>
        </w:rPr>
        <w:t>总图布置</w:t>
      </w:r>
      <w:bookmarkEnd w:id="44"/>
    </w:p>
    <w:p w14:paraId="45BFDD01">
      <w:pPr>
        <w:pStyle w:val="22"/>
        <w:spacing w:line="500" w:lineRule="exact"/>
        <w:ind w:firstLine="560"/>
        <w:rPr>
          <w:rFonts w:eastAsia="仿宋_GB2312"/>
          <w:color w:val="auto"/>
          <w:sz w:val="28"/>
          <w:szCs w:val="28"/>
        </w:rPr>
      </w:pPr>
      <w:r>
        <w:rPr>
          <w:rFonts w:eastAsia="仿宋_GB2312"/>
          <w:color w:val="auto"/>
          <w:sz w:val="28"/>
          <w:szCs w:val="28"/>
        </w:rPr>
        <w:t>本项目仅涉及部分设备</w:t>
      </w:r>
      <w:r>
        <w:rPr>
          <w:rFonts w:hint="eastAsia" w:eastAsia="仿宋_GB2312"/>
          <w:color w:val="auto"/>
          <w:sz w:val="28"/>
          <w:szCs w:val="28"/>
          <w:lang w:eastAsia="zh-CN"/>
        </w:rPr>
        <w:t>、</w:t>
      </w:r>
      <w:r>
        <w:rPr>
          <w:rFonts w:eastAsia="仿宋_GB2312"/>
          <w:color w:val="auto"/>
          <w:sz w:val="28"/>
          <w:szCs w:val="28"/>
        </w:rPr>
        <w:t>管线的改造</w:t>
      </w:r>
      <w:r>
        <w:rPr>
          <w:rFonts w:hint="eastAsia" w:eastAsia="仿宋_GB2312"/>
          <w:color w:val="auto"/>
          <w:sz w:val="28"/>
          <w:szCs w:val="28"/>
          <w:lang w:val="en-US" w:eastAsia="zh-CN"/>
        </w:rPr>
        <w:t>和安装</w:t>
      </w:r>
      <w:r>
        <w:rPr>
          <w:rFonts w:eastAsia="仿宋_GB2312"/>
          <w:color w:val="auto"/>
          <w:sz w:val="28"/>
          <w:szCs w:val="28"/>
        </w:rPr>
        <w:t>，全厂建、构筑物未发生变动。</w:t>
      </w:r>
      <w:r>
        <w:rPr>
          <w:rFonts w:eastAsia="仿宋_GB2312"/>
          <w:b/>
          <w:color w:val="auto"/>
          <w:sz w:val="28"/>
          <w:szCs w:val="28"/>
        </w:rPr>
        <w:t>厂区平面布置示意图见图3.2-1。</w:t>
      </w:r>
    </w:p>
    <w:p w14:paraId="6C8E4DC5">
      <w:pPr>
        <w:pStyle w:val="6"/>
        <w:spacing w:before="120" w:after="120" w:line="500" w:lineRule="exact"/>
        <w:rPr>
          <w:rFonts w:eastAsia="仿宋_GB2312"/>
          <w:color w:val="auto"/>
          <w:sz w:val="28"/>
          <w:szCs w:val="28"/>
        </w:rPr>
      </w:pPr>
      <w:bookmarkStart w:id="45" w:name="_Toc3476"/>
      <w:r>
        <w:rPr>
          <w:rFonts w:eastAsia="仿宋_GB2312"/>
          <w:color w:val="auto"/>
          <w:sz w:val="28"/>
          <w:szCs w:val="28"/>
        </w:rPr>
        <w:t>3.2.</w:t>
      </w:r>
      <w:r>
        <w:rPr>
          <w:rFonts w:hint="eastAsia" w:eastAsia="仿宋_GB2312"/>
          <w:color w:val="auto"/>
          <w:sz w:val="28"/>
          <w:szCs w:val="28"/>
        </w:rPr>
        <w:t>8</w:t>
      </w:r>
      <w:r>
        <w:rPr>
          <w:rFonts w:eastAsia="仿宋_GB2312"/>
          <w:color w:val="auto"/>
          <w:sz w:val="28"/>
          <w:szCs w:val="28"/>
        </w:rPr>
        <w:t>项目周边500米土地利用现状</w:t>
      </w:r>
      <w:bookmarkEnd w:id="45"/>
    </w:p>
    <w:p w14:paraId="2A4A79AD">
      <w:pPr>
        <w:spacing w:line="500" w:lineRule="exact"/>
        <w:ind w:firstLine="560" w:firstLineChars="200"/>
        <w:rPr>
          <w:rFonts w:eastAsia="仿宋_GB2312"/>
          <w:color w:val="auto"/>
          <w:sz w:val="28"/>
          <w:szCs w:val="28"/>
        </w:rPr>
      </w:pPr>
      <w:r>
        <w:rPr>
          <w:rFonts w:eastAsia="仿宋_GB2312"/>
          <w:color w:val="auto"/>
          <w:sz w:val="28"/>
          <w:szCs w:val="28"/>
        </w:rPr>
        <w:t>本项目位于江苏常州滨江经济开发区新材料产业园，属于工业用地范畴。厂区周边500米范围都是园区企业及规划建设用地。</w:t>
      </w:r>
      <w:r>
        <w:rPr>
          <w:rFonts w:eastAsia="仿宋_GB2312"/>
          <w:b/>
          <w:color w:val="auto"/>
          <w:sz w:val="28"/>
          <w:szCs w:val="28"/>
        </w:rPr>
        <w:t>项目周围500m土地利用现状见附图3.2-2</w:t>
      </w:r>
      <w:r>
        <w:rPr>
          <w:rFonts w:eastAsia="仿宋_GB2312"/>
          <w:color w:val="auto"/>
          <w:sz w:val="28"/>
          <w:szCs w:val="28"/>
        </w:rPr>
        <w:t>。</w:t>
      </w:r>
    </w:p>
    <w:p w14:paraId="062AA61C">
      <w:pPr>
        <w:spacing w:line="500" w:lineRule="exact"/>
        <w:ind w:firstLine="560" w:firstLineChars="200"/>
        <w:rPr>
          <w:rFonts w:eastAsia="仿宋_GB2312"/>
          <w:color w:val="FF0000"/>
          <w:sz w:val="28"/>
          <w:szCs w:val="28"/>
        </w:rPr>
      </w:pPr>
    </w:p>
    <w:p w14:paraId="2D3345DB">
      <w:pPr>
        <w:spacing w:line="500" w:lineRule="exact"/>
        <w:ind w:firstLine="560" w:firstLineChars="200"/>
        <w:rPr>
          <w:rFonts w:eastAsia="仿宋_GB2312"/>
          <w:color w:val="FF0000"/>
          <w:sz w:val="28"/>
          <w:szCs w:val="28"/>
        </w:rPr>
      </w:pPr>
    </w:p>
    <w:p w14:paraId="230BB98D">
      <w:pPr>
        <w:spacing w:line="500" w:lineRule="exact"/>
        <w:ind w:firstLine="420" w:firstLineChars="200"/>
        <w:rPr>
          <w:rFonts w:eastAsia="仿宋_GB2312"/>
          <w:color w:val="FF0000"/>
        </w:rPr>
      </w:pPr>
      <w:r>
        <w:rPr>
          <w:rFonts w:eastAsia="仿宋_GB2312"/>
          <w:color w:val="FF0000"/>
        </w:rPr>
        <w:br w:type="page"/>
      </w:r>
    </w:p>
    <w:p w14:paraId="13DA2BA5">
      <w:pPr>
        <w:pStyle w:val="6"/>
        <w:spacing w:before="120" w:after="120" w:line="500" w:lineRule="exact"/>
        <w:rPr>
          <w:rFonts w:eastAsia="仿宋_GB2312"/>
          <w:color w:val="auto"/>
          <w:sz w:val="28"/>
          <w:szCs w:val="28"/>
        </w:rPr>
      </w:pPr>
      <w:bookmarkStart w:id="46" w:name="_Toc28718"/>
      <w:r>
        <w:rPr>
          <w:rFonts w:eastAsia="仿宋_GB2312"/>
          <w:color w:val="auto"/>
          <w:sz w:val="28"/>
          <w:szCs w:val="28"/>
        </w:rPr>
        <w:t>3.2.</w:t>
      </w:r>
      <w:r>
        <w:rPr>
          <w:rFonts w:hint="eastAsia" w:eastAsia="仿宋_GB2312"/>
          <w:color w:val="auto"/>
          <w:sz w:val="28"/>
          <w:szCs w:val="28"/>
        </w:rPr>
        <w:t>9</w:t>
      </w:r>
      <w:r>
        <w:rPr>
          <w:rFonts w:eastAsia="仿宋_GB2312"/>
          <w:color w:val="auto"/>
          <w:sz w:val="28"/>
          <w:szCs w:val="28"/>
        </w:rPr>
        <w:t>清洁生产分析</w:t>
      </w:r>
      <w:bookmarkEnd w:id="46"/>
    </w:p>
    <w:p w14:paraId="33C90F1E">
      <w:pPr>
        <w:spacing w:line="500" w:lineRule="exact"/>
        <w:ind w:firstLine="562" w:firstLineChars="200"/>
        <w:rPr>
          <w:rFonts w:eastAsia="仿宋_GB2312"/>
          <w:color w:val="auto"/>
          <w:sz w:val="28"/>
          <w:szCs w:val="28"/>
        </w:rPr>
      </w:pPr>
      <w:r>
        <w:rPr>
          <w:rFonts w:eastAsia="仿宋_GB2312"/>
          <w:b/>
          <w:bCs/>
          <w:color w:val="auto"/>
          <w:sz w:val="28"/>
          <w:szCs w:val="28"/>
        </w:rPr>
        <w:t>1、项目技术</w:t>
      </w:r>
      <w:r>
        <w:rPr>
          <w:rFonts w:hint="eastAsia" w:eastAsia="仿宋_GB2312"/>
          <w:b/>
          <w:bCs/>
          <w:color w:val="auto"/>
          <w:sz w:val="28"/>
          <w:szCs w:val="28"/>
          <w:lang w:val="en-US" w:eastAsia="zh-CN"/>
        </w:rPr>
        <w:t>先进性及</w:t>
      </w:r>
      <w:r>
        <w:rPr>
          <w:rFonts w:eastAsia="仿宋_GB2312"/>
          <w:b/>
          <w:bCs/>
          <w:color w:val="auto"/>
          <w:sz w:val="28"/>
          <w:szCs w:val="28"/>
        </w:rPr>
        <w:t>成熟性说明</w:t>
      </w:r>
    </w:p>
    <w:p w14:paraId="4355B1E3">
      <w:pPr>
        <w:spacing w:line="500" w:lineRule="exact"/>
        <w:ind w:firstLine="560" w:firstLineChars="200"/>
        <w:rPr>
          <w:rFonts w:eastAsia="仿宋_GB2312"/>
          <w:color w:val="auto"/>
          <w:sz w:val="28"/>
          <w:szCs w:val="28"/>
        </w:rPr>
      </w:pPr>
      <w:r>
        <w:rPr>
          <w:rFonts w:eastAsia="仿宋_GB2312"/>
          <w:color w:val="auto"/>
          <w:sz w:val="28"/>
          <w:szCs w:val="28"/>
        </w:rPr>
        <w:t>本项目综合利用含溶剂废液回收溶剂产品，实现了危险废物的资源化。有利于节能减排、建设节约型社会、保证经济可持续发展。</w:t>
      </w:r>
    </w:p>
    <w:p w14:paraId="49962FF3">
      <w:pPr>
        <w:spacing w:line="500" w:lineRule="exact"/>
        <w:ind w:firstLine="560" w:firstLineChars="200"/>
        <w:rPr>
          <w:rFonts w:eastAsia="仿宋_GB2312"/>
          <w:color w:val="auto"/>
          <w:sz w:val="28"/>
          <w:szCs w:val="28"/>
        </w:rPr>
      </w:pPr>
      <w:r>
        <w:rPr>
          <w:rFonts w:eastAsia="仿宋_GB2312"/>
          <w:color w:val="auto"/>
          <w:sz w:val="28"/>
          <w:szCs w:val="28"/>
        </w:rPr>
        <w:t>（1）盈天环保公司自2009年有机溶剂回收项目竣工验收以来，在近10多年的工业废溶剂的回收运行时间里，积累了丰富的实践经验，在设备自动化控制方面，目前基本实现了DCS自动化运行。关键点控制，自动连锁切断，在实现回收溶剂产品品质的同时，确保了各设备设施运行的安全性。</w:t>
      </w:r>
    </w:p>
    <w:p w14:paraId="21BA58FE">
      <w:pPr>
        <w:spacing w:line="500" w:lineRule="exact"/>
        <w:ind w:firstLine="560" w:firstLineChars="200"/>
        <w:rPr>
          <w:rFonts w:eastAsia="仿宋_GB2312"/>
          <w:color w:val="auto"/>
          <w:sz w:val="28"/>
          <w:szCs w:val="28"/>
        </w:rPr>
      </w:pPr>
      <w:r>
        <w:rPr>
          <w:rFonts w:eastAsia="仿宋_GB2312"/>
          <w:color w:val="auto"/>
          <w:sz w:val="28"/>
          <w:szCs w:val="28"/>
        </w:rPr>
        <w:t>（2）公司严格控制危废入厂指标，所有入厂危险废物不仅需要经过入厂分析，还要经过精馏测试，确保了溶剂回收的可靠性。自2009年，溶剂回收项目运行以来，公司积累了近万份废溶剂原始及精馏信息，对本次项目的实施积累了大量原始数据。</w:t>
      </w:r>
    </w:p>
    <w:p w14:paraId="36F61A7B">
      <w:pPr>
        <w:spacing w:line="500" w:lineRule="exact"/>
        <w:ind w:firstLine="560" w:firstLineChars="200"/>
        <w:rPr>
          <w:rFonts w:eastAsia="仿宋_GB2312"/>
          <w:color w:val="auto"/>
          <w:sz w:val="28"/>
          <w:szCs w:val="28"/>
        </w:rPr>
      </w:pPr>
      <w:r>
        <w:rPr>
          <w:rFonts w:eastAsia="仿宋_GB2312"/>
          <w:color w:val="auto"/>
          <w:sz w:val="28"/>
          <w:szCs w:val="28"/>
        </w:rPr>
        <w:t>（3）本次项目建立在原有有机溶剂回收项目运行经验的基础上，在自控方面，本次项目将实现全程DCS控制，并建立现场和远程双路控制，配备紧急切断阀、全过程连锁切断，确保了溶剂回收的品质，确保了生产过程中的安全性。</w:t>
      </w:r>
    </w:p>
    <w:p w14:paraId="04F4C857">
      <w:pPr>
        <w:spacing w:line="500" w:lineRule="exact"/>
        <w:ind w:firstLine="560" w:firstLineChars="200"/>
        <w:rPr>
          <w:rFonts w:eastAsia="仿宋_GB2312"/>
          <w:color w:val="auto"/>
          <w:sz w:val="28"/>
          <w:szCs w:val="28"/>
        </w:rPr>
      </w:pPr>
      <w:r>
        <w:rPr>
          <w:rFonts w:hint="eastAsia" w:eastAsia="仿宋_GB2312"/>
          <w:color w:val="auto"/>
          <w:sz w:val="28"/>
          <w:szCs w:val="28"/>
          <w:lang w:eastAsia="zh-CN"/>
        </w:rPr>
        <w:t>（</w:t>
      </w:r>
      <w:r>
        <w:rPr>
          <w:rFonts w:hint="eastAsia" w:eastAsia="仿宋_GB2312"/>
          <w:color w:val="auto"/>
          <w:sz w:val="28"/>
          <w:szCs w:val="28"/>
          <w:lang w:val="en-US" w:eastAsia="zh-CN"/>
        </w:rPr>
        <w:t>4</w:t>
      </w:r>
      <w:r>
        <w:rPr>
          <w:rFonts w:hint="eastAsia" w:eastAsia="仿宋_GB2312"/>
          <w:color w:val="auto"/>
          <w:sz w:val="28"/>
          <w:szCs w:val="28"/>
          <w:lang w:eastAsia="zh-CN"/>
        </w:rPr>
        <w:t>）</w:t>
      </w:r>
      <w:r>
        <w:rPr>
          <w:rFonts w:eastAsia="仿宋_GB2312"/>
          <w:color w:val="auto"/>
          <w:sz w:val="28"/>
          <w:szCs w:val="28"/>
        </w:rPr>
        <w:t>本次对</w:t>
      </w:r>
      <w:r>
        <w:rPr>
          <w:rFonts w:hint="eastAsia" w:eastAsia="仿宋_GB2312"/>
          <w:color w:val="auto"/>
          <w:sz w:val="28"/>
          <w:szCs w:val="28"/>
          <w:lang w:val="en-US" w:eastAsia="zh-CN"/>
        </w:rPr>
        <w:t>渗透汽化膜进行升级，淘汰了现有渗透汽化膜设备，引进武汉智宏公司渗透汽化膜系统，对</w:t>
      </w:r>
      <w:r>
        <w:rPr>
          <w:rFonts w:eastAsia="仿宋_GB2312"/>
          <w:color w:val="auto"/>
          <w:sz w:val="28"/>
          <w:szCs w:val="28"/>
        </w:rPr>
        <w:t>回收的含水量较高的溶剂回收工艺进行了技术提升，通过</w:t>
      </w:r>
      <w:r>
        <w:rPr>
          <w:rFonts w:hint="eastAsia" w:eastAsia="仿宋_GB2312"/>
          <w:color w:val="auto"/>
          <w:sz w:val="28"/>
          <w:szCs w:val="28"/>
          <w:lang w:val="en-US" w:eastAsia="zh-CN"/>
        </w:rPr>
        <w:t>渗透汽化膜</w:t>
      </w:r>
      <w:r>
        <w:rPr>
          <w:rFonts w:eastAsia="仿宋_GB2312"/>
          <w:color w:val="auto"/>
          <w:sz w:val="28"/>
          <w:szCs w:val="28"/>
        </w:rPr>
        <w:t>工艺先进行溶剂中水分的去处</w:t>
      </w:r>
      <w:r>
        <w:rPr>
          <w:rFonts w:hint="eastAsia" w:eastAsia="仿宋_GB2312"/>
          <w:color w:val="auto"/>
          <w:sz w:val="28"/>
          <w:szCs w:val="28"/>
          <w:lang w:eastAsia="zh-CN"/>
        </w:rPr>
        <w:t>（</w:t>
      </w:r>
      <w:r>
        <w:rPr>
          <w:rFonts w:hint="eastAsia" w:eastAsia="仿宋_GB2312"/>
          <w:color w:val="auto"/>
          <w:sz w:val="28"/>
          <w:szCs w:val="28"/>
          <w:lang w:val="en-US" w:eastAsia="zh-CN"/>
        </w:rPr>
        <w:t>过膜后物料中含水率可降低至0.1%</w:t>
      </w:r>
      <w:r>
        <w:rPr>
          <w:rFonts w:hint="eastAsia" w:eastAsia="仿宋_GB2312"/>
          <w:color w:val="auto"/>
          <w:sz w:val="28"/>
          <w:szCs w:val="28"/>
          <w:lang w:eastAsia="zh-CN"/>
        </w:rPr>
        <w:t>）</w:t>
      </w:r>
      <w:r>
        <w:rPr>
          <w:rFonts w:eastAsia="仿宋_GB2312"/>
          <w:color w:val="auto"/>
          <w:sz w:val="28"/>
          <w:szCs w:val="28"/>
        </w:rPr>
        <w:t>，降低了后续精馏工艺的能耗，同时也有利于提高产品质量，更好的满足相关标准的要求。</w:t>
      </w:r>
    </w:p>
    <w:p w14:paraId="4ECC976E">
      <w:pPr>
        <w:spacing w:line="500" w:lineRule="exact"/>
        <w:ind w:firstLine="560" w:firstLineChars="200"/>
        <w:rPr>
          <w:rFonts w:hint="default" w:eastAsia="仿宋_GB2312"/>
          <w:sz w:val="28"/>
          <w:szCs w:val="28"/>
          <w:lang w:val="en-US" w:eastAsia="zh-CN"/>
        </w:rPr>
      </w:pPr>
      <w:r>
        <w:rPr>
          <w:rFonts w:hint="eastAsia" w:eastAsia="仿宋_GB2312"/>
          <w:color w:val="auto"/>
          <w:sz w:val="28"/>
          <w:szCs w:val="28"/>
          <w:lang w:eastAsia="zh-CN"/>
        </w:rPr>
        <w:t>（</w:t>
      </w:r>
      <w:r>
        <w:rPr>
          <w:rFonts w:hint="eastAsia" w:eastAsia="仿宋_GB2312"/>
          <w:color w:val="auto"/>
          <w:sz w:val="28"/>
          <w:szCs w:val="28"/>
          <w:lang w:val="en-US" w:eastAsia="zh-CN"/>
        </w:rPr>
        <w:t>5</w:t>
      </w:r>
      <w:r>
        <w:rPr>
          <w:rFonts w:hint="eastAsia" w:eastAsia="仿宋_GB2312"/>
          <w:color w:val="auto"/>
          <w:sz w:val="28"/>
          <w:szCs w:val="28"/>
          <w:lang w:eastAsia="zh-CN"/>
        </w:rPr>
        <w:t>）</w:t>
      </w:r>
      <w:r>
        <w:rPr>
          <w:rFonts w:hint="eastAsia" w:eastAsia="仿宋_GB2312"/>
          <w:color w:val="auto"/>
          <w:sz w:val="28"/>
          <w:szCs w:val="28"/>
          <w:lang w:val="en-US" w:eastAsia="zh-CN"/>
        </w:rPr>
        <w:t>本次引进</w:t>
      </w:r>
      <w:r>
        <w:rPr>
          <w:rFonts w:eastAsia="仿宋_GB2312"/>
          <w:color w:val="auto"/>
          <w:sz w:val="28"/>
          <w:szCs w:val="28"/>
        </w:rPr>
        <w:t>杭州科力</w:t>
      </w:r>
      <w:r>
        <w:rPr>
          <w:rFonts w:hint="eastAsia" w:eastAsia="仿宋_GB2312"/>
          <w:color w:val="auto"/>
          <w:sz w:val="28"/>
          <w:szCs w:val="28"/>
          <w:lang w:val="en-US" w:eastAsia="zh-CN"/>
        </w:rPr>
        <w:t>公司两套超重力精馏设备，其</w:t>
      </w:r>
      <w:r>
        <w:rPr>
          <w:rFonts w:hint="eastAsia" w:eastAsia="仿宋_GB2312"/>
          <w:sz w:val="28"/>
          <w:szCs w:val="28"/>
        </w:rPr>
        <w:t>适用于</w:t>
      </w:r>
      <w:r>
        <w:rPr>
          <w:rFonts w:eastAsia="仿宋_GB2312"/>
          <w:sz w:val="28"/>
          <w:szCs w:val="28"/>
        </w:rPr>
        <w:t>废液来源相对稳定</w:t>
      </w:r>
      <w:r>
        <w:rPr>
          <w:rFonts w:hint="eastAsia" w:eastAsia="仿宋_GB2312"/>
          <w:sz w:val="28"/>
          <w:szCs w:val="28"/>
        </w:rPr>
        <w:t>，除水外其他杂质成分极少的废液。</w:t>
      </w:r>
      <w:r>
        <w:rPr>
          <w:rFonts w:hint="eastAsia" w:eastAsia="仿宋_GB2312"/>
          <w:sz w:val="28"/>
          <w:szCs w:val="28"/>
          <w:lang w:val="en-US" w:eastAsia="zh-CN"/>
        </w:rPr>
        <w:t>相较于传统精馏设备，其占地面积更小，传质效率高，处理能耗更低。</w:t>
      </w:r>
    </w:p>
    <w:p w14:paraId="3DB670B2">
      <w:pPr>
        <w:spacing w:line="500" w:lineRule="exact"/>
        <w:ind w:firstLine="562" w:firstLineChars="200"/>
        <w:rPr>
          <w:rFonts w:eastAsia="仿宋_GB2312"/>
          <w:b/>
          <w:bCs/>
          <w:color w:val="auto"/>
          <w:sz w:val="28"/>
          <w:szCs w:val="28"/>
        </w:rPr>
      </w:pPr>
      <w:r>
        <w:rPr>
          <w:rFonts w:eastAsia="仿宋_GB2312"/>
          <w:b/>
          <w:bCs/>
          <w:color w:val="auto"/>
          <w:sz w:val="28"/>
          <w:szCs w:val="28"/>
        </w:rPr>
        <w:t>2、工艺及自控系统先进性</w:t>
      </w:r>
    </w:p>
    <w:p w14:paraId="1B0E3442">
      <w:pPr>
        <w:spacing w:line="500" w:lineRule="exact"/>
        <w:ind w:firstLine="560" w:firstLineChars="200"/>
        <w:rPr>
          <w:rFonts w:eastAsia="仿宋_GB2312"/>
          <w:color w:val="auto"/>
          <w:sz w:val="28"/>
          <w:szCs w:val="28"/>
        </w:rPr>
      </w:pPr>
      <w:r>
        <w:rPr>
          <w:rFonts w:eastAsia="仿宋_GB2312"/>
          <w:color w:val="auto"/>
          <w:sz w:val="28"/>
          <w:szCs w:val="28"/>
        </w:rPr>
        <w:t>（1）溶剂回收生产线</w:t>
      </w:r>
    </w:p>
    <w:p w14:paraId="1296314C">
      <w:pPr>
        <w:spacing w:line="500" w:lineRule="exact"/>
        <w:ind w:firstLine="560" w:firstLineChars="200"/>
        <w:rPr>
          <w:rFonts w:eastAsia="仿宋_GB2312"/>
          <w:color w:val="auto"/>
          <w:sz w:val="28"/>
          <w:szCs w:val="28"/>
        </w:rPr>
      </w:pPr>
      <w:r>
        <w:rPr>
          <w:rFonts w:eastAsia="仿宋_GB2312"/>
          <w:color w:val="auto"/>
          <w:sz w:val="28"/>
          <w:szCs w:val="28"/>
        </w:rPr>
        <w:t>本项目从事危险废物处置利用回收，</w:t>
      </w:r>
      <w:r>
        <w:rPr>
          <w:rFonts w:hint="eastAsia" w:eastAsia="仿宋_GB2312"/>
          <w:color w:val="auto"/>
          <w:sz w:val="28"/>
          <w:szCs w:val="28"/>
          <w:lang w:val="en-US" w:eastAsia="zh-CN"/>
        </w:rPr>
        <w:t>针对不同的废液特点，采用针对性处理工艺</w:t>
      </w:r>
      <w:r>
        <w:rPr>
          <w:rFonts w:eastAsia="仿宋_GB2312"/>
          <w:color w:val="auto"/>
          <w:sz w:val="28"/>
          <w:szCs w:val="28"/>
        </w:rPr>
        <w:t>对废有机溶剂中有用成份进行提取，蒸（精）馏全部在常压或负压下进行。所有的工艺设备及管道材质均选定了耐腐蚀材质，有效降低了物料的跑冒滴漏。生产工艺中液体原料采用密闭化管道投料，并设计DCS自动控制系统：对原料中间罐、前馏分罐、成品馏分罐等均设置液位变送器，信号接入DCS系统，实现进料高液位切断，低液位停泵等自控手段；对所有泵体安装压力变送，信号计入DCS，实时监测泵体运行状态；对蒸馏釜、再沸器安装压力变送器、温度传感器，信号接入DCS，可实现高压、高温自动切断热源，实现自动调整釜内温度，远传实现对精馏过程的控制。精馏塔设置3点温度监控，冷凝器安装温度传感，接入DCS系统，通过控制冷凝循环水流量，实现温度控制，从而精确的实现对物质的回收；回流系统，采用流量与自动阀联动，精确控制回流比，可达到提高产品质量的要求。</w:t>
      </w:r>
    </w:p>
    <w:p w14:paraId="26EDF59F">
      <w:pPr>
        <w:spacing w:line="500" w:lineRule="exact"/>
        <w:ind w:firstLine="560" w:firstLineChars="200"/>
        <w:rPr>
          <w:rFonts w:eastAsia="仿宋_GB2312"/>
          <w:color w:val="auto"/>
          <w:sz w:val="28"/>
          <w:szCs w:val="28"/>
        </w:rPr>
      </w:pPr>
      <w:r>
        <w:rPr>
          <w:rFonts w:eastAsia="仿宋_GB2312"/>
          <w:color w:val="auto"/>
          <w:sz w:val="28"/>
          <w:szCs w:val="28"/>
        </w:rPr>
        <w:t>本项目装置基于整个系统对于自动化方面的要求，按照现行的流行控制方案，将DCS系统做为整个系统的控制骨架，外加自动化仪表和现场电器控制系统，以便于将系统整合成一个功能完备，操作简单，质量可靠的系统。自动控制系统设置在中央控制室内，将各装置生产过程需监控的工艺参数信号引到控制室，视其重要程度分别在DCS自动控制系统上进行指示、记录、报警、联锁及调节等控制，使控制和管理水平达到国内领先水平。且在DCS系统的通讯网络上留有上位计算机接口，以便今后与上位计算机进行通讯，实现优化控制和生产管理功能。</w:t>
      </w:r>
    </w:p>
    <w:p w14:paraId="11F49368">
      <w:pPr>
        <w:spacing w:line="500" w:lineRule="exact"/>
        <w:ind w:firstLine="560" w:firstLineChars="200"/>
        <w:rPr>
          <w:rFonts w:eastAsia="仿宋_GB2312"/>
          <w:color w:val="auto"/>
          <w:sz w:val="28"/>
          <w:szCs w:val="28"/>
        </w:rPr>
      </w:pPr>
      <w:r>
        <w:rPr>
          <w:rFonts w:eastAsia="仿宋_GB2312"/>
          <w:color w:val="auto"/>
          <w:sz w:val="28"/>
          <w:szCs w:val="28"/>
        </w:rPr>
        <w:t>（2）废液处置生产线</w:t>
      </w:r>
    </w:p>
    <w:p w14:paraId="6EC7AA8F">
      <w:pPr>
        <w:spacing w:line="500" w:lineRule="exact"/>
        <w:ind w:firstLine="560" w:firstLineChars="200"/>
        <w:rPr>
          <w:rFonts w:eastAsia="仿宋_GB2312"/>
          <w:color w:val="auto"/>
          <w:sz w:val="28"/>
          <w:szCs w:val="28"/>
        </w:rPr>
      </w:pPr>
      <w:r>
        <w:rPr>
          <w:rFonts w:eastAsia="仿宋_GB2312"/>
          <w:color w:val="auto"/>
          <w:sz w:val="28"/>
          <w:szCs w:val="28"/>
        </w:rPr>
        <w:t>废液处置主体工艺为</w:t>
      </w:r>
      <w:r>
        <w:rPr>
          <w:rFonts w:hint="eastAsia" w:eastAsia="仿宋_GB2312"/>
          <w:color w:val="auto"/>
          <w:sz w:val="28"/>
          <w:szCs w:val="28"/>
          <w:lang w:val="en-US" w:eastAsia="zh-CN"/>
        </w:rPr>
        <w:t>MVR+双效</w:t>
      </w:r>
      <w:r>
        <w:rPr>
          <w:rFonts w:eastAsia="仿宋_GB2312"/>
          <w:color w:val="auto"/>
          <w:sz w:val="28"/>
          <w:szCs w:val="28"/>
        </w:rPr>
        <w:t>蒸发，本设备物料接触部分全部采用钛材，有效提高了蒸发过程中材质的抗腐蚀能力，通过蒸发，比较传统中和混凝沉淀工艺，可实现废液中重金属物质的有效去除，大大降低废水中盐分的含量；减少了水处理药剂使用量，降低了次生危废的产生。</w:t>
      </w:r>
    </w:p>
    <w:p w14:paraId="7CE72F79">
      <w:pPr>
        <w:spacing w:line="500" w:lineRule="exact"/>
        <w:ind w:firstLine="560" w:firstLineChars="200"/>
        <w:rPr>
          <w:rFonts w:eastAsia="仿宋_GB2312"/>
          <w:color w:val="auto"/>
          <w:sz w:val="28"/>
          <w:szCs w:val="28"/>
        </w:rPr>
      </w:pPr>
      <w:r>
        <w:rPr>
          <w:rFonts w:eastAsia="仿宋_GB2312"/>
          <w:color w:val="auto"/>
          <w:sz w:val="28"/>
          <w:szCs w:val="28"/>
        </w:rPr>
        <w:t>控制系统组成：中央控制系统对整个污水站实施集中监控，由自动控制系统及现场仪表组成现场检测控制系统（分控站）对污水站各个过程进行分散控制。</w:t>
      </w:r>
    </w:p>
    <w:p w14:paraId="4C153B27">
      <w:pPr>
        <w:spacing w:line="500" w:lineRule="exact"/>
        <w:ind w:firstLine="560" w:firstLineChars="200"/>
        <w:rPr>
          <w:rFonts w:eastAsia="仿宋_GB2312"/>
          <w:color w:val="auto"/>
          <w:sz w:val="28"/>
          <w:szCs w:val="28"/>
        </w:rPr>
      </w:pPr>
      <w:r>
        <w:rPr>
          <w:rFonts w:eastAsia="仿宋_GB2312"/>
          <w:color w:val="auto"/>
          <w:sz w:val="28"/>
          <w:szCs w:val="28"/>
        </w:rPr>
        <w:t>近远程控制：通过现场控制箱或MCC控制柜上的按钮实现对设备就地启/停操作。</w:t>
      </w:r>
    </w:p>
    <w:p w14:paraId="658B2D4B">
      <w:pPr>
        <w:spacing w:line="500" w:lineRule="exact"/>
        <w:ind w:firstLine="560" w:firstLineChars="200"/>
        <w:rPr>
          <w:rFonts w:eastAsia="仿宋_GB2312"/>
          <w:color w:val="auto"/>
          <w:sz w:val="28"/>
          <w:szCs w:val="28"/>
        </w:rPr>
      </w:pPr>
      <w:r>
        <w:rPr>
          <w:rFonts w:eastAsia="仿宋_GB2312"/>
          <w:color w:val="auto"/>
          <w:sz w:val="28"/>
          <w:szCs w:val="28"/>
        </w:rPr>
        <w:t>自动模式：设备的运行完全由水处理的工况及生产要求来完成对设备的运行或开/关控制，而不需要人工干预。</w:t>
      </w:r>
    </w:p>
    <w:p w14:paraId="27558631">
      <w:pPr>
        <w:spacing w:line="500" w:lineRule="exact"/>
        <w:ind w:firstLine="560" w:firstLineChars="200"/>
        <w:rPr>
          <w:rFonts w:eastAsia="仿宋_GB2312"/>
          <w:color w:val="auto"/>
          <w:sz w:val="28"/>
          <w:szCs w:val="28"/>
        </w:rPr>
      </w:pPr>
      <w:r>
        <w:rPr>
          <w:rFonts w:eastAsia="仿宋_GB2312"/>
          <w:color w:val="auto"/>
          <w:sz w:val="28"/>
          <w:szCs w:val="28"/>
        </w:rPr>
        <w:t>综上，本项目清洁生产水平较高。</w:t>
      </w:r>
    </w:p>
    <w:p w14:paraId="412FAF83">
      <w:pPr>
        <w:spacing w:line="500" w:lineRule="exact"/>
        <w:ind w:firstLine="560" w:firstLineChars="200"/>
        <w:rPr>
          <w:rFonts w:eastAsia="仿宋_GB2312"/>
          <w:color w:val="FF0000"/>
          <w:sz w:val="28"/>
          <w:szCs w:val="28"/>
        </w:rPr>
      </w:pPr>
    </w:p>
    <w:p w14:paraId="5A0347AE">
      <w:pPr>
        <w:spacing w:line="500" w:lineRule="exact"/>
        <w:ind w:firstLine="560" w:firstLineChars="200"/>
        <w:rPr>
          <w:rFonts w:eastAsia="仿宋_GB2312"/>
          <w:color w:val="FF0000"/>
          <w:sz w:val="28"/>
          <w:szCs w:val="28"/>
        </w:rPr>
      </w:pPr>
    </w:p>
    <w:p w14:paraId="7DAE2D4D">
      <w:pPr>
        <w:spacing w:line="500" w:lineRule="exact"/>
        <w:ind w:firstLine="560" w:firstLineChars="200"/>
        <w:rPr>
          <w:rFonts w:eastAsia="仿宋_GB2312"/>
          <w:color w:val="FF0000"/>
          <w:sz w:val="28"/>
          <w:szCs w:val="28"/>
        </w:rPr>
      </w:pPr>
    </w:p>
    <w:p w14:paraId="6D37D1E4">
      <w:pPr>
        <w:spacing w:line="500" w:lineRule="exact"/>
        <w:ind w:firstLine="560" w:firstLineChars="200"/>
        <w:rPr>
          <w:rFonts w:eastAsia="仿宋_GB2312"/>
          <w:color w:val="FF0000"/>
          <w:sz w:val="28"/>
          <w:szCs w:val="28"/>
        </w:rPr>
      </w:pPr>
    </w:p>
    <w:p w14:paraId="117C07D9">
      <w:pPr>
        <w:pStyle w:val="2"/>
        <w:rPr>
          <w:color w:val="FF0000"/>
          <w:lang w:val="en-US"/>
        </w:rPr>
      </w:pPr>
    </w:p>
    <w:p w14:paraId="5E45D896">
      <w:pPr>
        <w:spacing w:line="500" w:lineRule="exact"/>
        <w:ind w:firstLine="420" w:firstLineChars="200"/>
        <w:rPr>
          <w:rFonts w:eastAsia="仿宋_GB2312"/>
          <w:color w:val="FF0000"/>
        </w:rPr>
        <w:sectPr>
          <w:footerReference r:id="rId8"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linePitch="312" w:charSpace="0"/>
        </w:sectPr>
      </w:pPr>
    </w:p>
    <w:p w14:paraId="3892DAA5">
      <w:pPr>
        <w:pStyle w:val="5"/>
        <w:spacing w:before="120" w:after="120"/>
        <w:rPr>
          <w:sz w:val="30"/>
          <w:szCs w:val="30"/>
        </w:rPr>
      </w:pPr>
      <w:bookmarkStart w:id="47" w:name="_Toc140174714"/>
      <w:bookmarkStart w:id="48" w:name="_Toc20478"/>
      <w:r>
        <w:rPr>
          <w:sz w:val="30"/>
          <w:szCs w:val="30"/>
        </w:rPr>
        <w:t>3.3</w:t>
      </w:r>
      <w:bookmarkEnd w:id="47"/>
      <w:r>
        <w:rPr>
          <w:sz w:val="30"/>
          <w:szCs w:val="30"/>
        </w:rPr>
        <w:t>溶剂回收综合利用项目工程分析</w:t>
      </w:r>
      <w:bookmarkEnd w:id="48"/>
    </w:p>
    <w:p w14:paraId="569104D4">
      <w:pPr>
        <w:spacing w:line="500" w:lineRule="exact"/>
        <w:ind w:firstLine="560" w:firstLineChars="200"/>
        <w:rPr>
          <w:rFonts w:hint="eastAsia" w:eastAsia="仿宋_GB2312"/>
          <w:color w:val="auto"/>
          <w:sz w:val="28"/>
          <w:szCs w:val="28"/>
          <w:lang w:val="en-US" w:eastAsia="zh-CN"/>
        </w:rPr>
      </w:pPr>
      <w:r>
        <w:rPr>
          <w:rFonts w:hint="eastAsia" w:eastAsia="仿宋_GB2312"/>
          <w:color w:val="auto"/>
          <w:sz w:val="28"/>
          <w:szCs w:val="28"/>
          <w:lang w:val="en-US" w:eastAsia="zh-CN"/>
        </w:rPr>
        <w:t>涉及商业机密，此处省略。</w:t>
      </w:r>
    </w:p>
    <w:p w14:paraId="66CF728D">
      <w:pPr>
        <w:pStyle w:val="5"/>
        <w:spacing w:before="120" w:after="120"/>
        <w:rPr>
          <w:color w:val="auto"/>
          <w:sz w:val="30"/>
          <w:szCs w:val="30"/>
        </w:rPr>
      </w:pPr>
      <w:bookmarkStart w:id="49" w:name="_Toc32353"/>
      <w:r>
        <w:rPr>
          <w:color w:val="auto"/>
          <w:sz w:val="30"/>
          <w:szCs w:val="30"/>
        </w:rPr>
        <w:t>3.4年处置</w:t>
      </w:r>
      <w:r>
        <w:rPr>
          <w:rFonts w:hint="eastAsia"/>
          <w:color w:val="auto"/>
          <w:sz w:val="30"/>
          <w:szCs w:val="30"/>
          <w:lang w:val="en-US" w:eastAsia="zh-CN"/>
        </w:rPr>
        <w:t>95</w:t>
      </w:r>
      <w:r>
        <w:rPr>
          <w:color w:val="auto"/>
          <w:sz w:val="30"/>
          <w:szCs w:val="30"/>
        </w:rPr>
        <w:t>00吨</w:t>
      </w:r>
      <w:r>
        <w:rPr>
          <w:color w:val="auto"/>
          <w:szCs w:val="21"/>
        </w:rPr>
        <w:t>废有机溶剂与含有机溶剂废物</w:t>
      </w:r>
      <w:r>
        <w:rPr>
          <w:color w:val="auto"/>
          <w:sz w:val="30"/>
          <w:szCs w:val="30"/>
        </w:rPr>
        <w:t>工程分析</w:t>
      </w:r>
      <w:bookmarkEnd w:id="49"/>
    </w:p>
    <w:p w14:paraId="604E302E">
      <w:pPr>
        <w:spacing w:line="500" w:lineRule="exact"/>
        <w:ind w:firstLine="560" w:firstLineChars="200"/>
        <w:rPr>
          <w:rFonts w:hint="eastAsia" w:eastAsia="仿宋_GB2312"/>
          <w:color w:val="auto"/>
          <w:sz w:val="28"/>
          <w:szCs w:val="28"/>
          <w:lang w:val="en-US" w:eastAsia="zh-CN"/>
        </w:rPr>
      </w:pPr>
      <w:r>
        <w:rPr>
          <w:rFonts w:hint="eastAsia" w:eastAsia="仿宋_GB2312"/>
          <w:color w:val="auto"/>
          <w:sz w:val="28"/>
          <w:szCs w:val="28"/>
          <w:lang w:val="en-US" w:eastAsia="zh-CN"/>
        </w:rPr>
        <w:t>涉及商业机密，此处省略。</w:t>
      </w:r>
    </w:p>
    <w:p w14:paraId="63379295">
      <w:pPr>
        <w:pStyle w:val="5"/>
        <w:spacing w:before="120" w:after="120"/>
        <w:rPr>
          <w:color w:val="auto"/>
          <w:sz w:val="30"/>
          <w:szCs w:val="30"/>
        </w:rPr>
      </w:pPr>
      <w:bookmarkStart w:id="50" w:name="_Toc20032"/>
      <w:r>
        <w:rPr>
          <w:color w:val="auto"/>
          <w:sz w:val="30"/>
          <w:szCs w:val="30"/>
        </w:rPr>
        <w:t>3.</w:t>
      </w:r>
      <w:r>
        <w:rPr>
          <w:rFonts w:hint="eastAsia"/>
          <w:color w:val="auto"/>
          <w:sz w:val="30"/>
          <w:szCs w:val="30"/>
          <w:lang w:val="en-US" w:eastAsia="zh-CN"/>
        </w:rPr>
        <w:t>5</w:t>
      </w:r>
      <w:r>
        <w:rPr>
          <w:color w:val="auto"/>
          <w:sz w:val="30"/>
          <w:szCs w:val="30"/>
        </w:rPr>
        <w:t>年处置</w:t>
      </w:r>
      <w:r>
        <w:rPr>
          <w:rFonts w:hint="eastAsia"/>
          <w:color w:val="auto"/>
          <w:sz w:val="30"/>
          <w:szCs w:val="30"/>
          <w:lang w:val="en-US" w:eastAsia="zh-CN"/>
        </w:rPr>
        <w:t>500</w:t>
      </w:r>
      <w:r>
        <w:rPr>
          <w:color w:val="auto"/>
          <w:sz w:val="30"/>
          <w:szCs w:val="30"/>
        </w:rPr>
        <w:t>吨</w:t>
      </w:r>
      <w:r>
        <w:rPr>
          <w:color w:val="auto"/>
          <w:szCs w:val="21"/>
        </w:rPr>
        <w:t>废</w:t>
      </w:r>
      <w:r>
        <w:rPr>
          <w:rFonts w:hint="eastAsia"/>
          <w:color w:val="auto"/>
          <w:szCs w:val="21"/>
          <w:lang w:val="en-US" w:eastAsia="zh-CN"/>
        </w:rPr>
        <w:t>碱</w:t>
      </w:r>
      <w:r>
        <w:rPr>
          <w:color w:val="auto"/>
          <w:sz w:val="30"/>
          <w:szCs w:val="30"/>
        </w:rPr>
        <w:t>工程分析</w:t>
      </w:r>
      <w:bookmarkEnd w:id="50"/>
    </w:p>
    <w:p w14:paraId="485670C6">
      <w:pPr>
        <w:spacing w:line="500" w:lineRule="exact"/>
        <w:ind w:firstLine="560" w:firstLineChars="200"/>
        <w:rPr>
          <w:rFonts w:hint="eastAsia" w:eastAsia="仿宋_GB2312"/>
          <w:color w:val="auto"/>
          <w:sz w:val="28"/>
          <w:szCs w:val="28"/>
          <w:lang w:val="en-US" w:eastAsia="zh-CN"/>
        </w:rPr>
      </w:pPr>
      <w:r>
        <w:rPr>
          <w:rFonts w:hint="eastAsia" w:eastAsia="仿宋_GB2312"/>
          <w:color w:val="auto"/>
          <w:sz w:val="28"/>
          <w:szCs w:val="28"/>
          <w:lang w:val="en-US" w:eastAsia="zh-CN"/>
        </w:rPr>
        <w:t>涉及商业机密，此处省略。</w:t>
      </w:r>
    </w:p>
    <w:p w14:paraId="287BEFBA">
      <w:pPr>
        <w:rPr>
          <w:rFonts w:hint="eastAsia" w:eastAsia="仿宋_GB2312"/>
          <w:color w:val="auto"/>
          <w:sz w:val="28"/>
          <w:szCs w:val="28"/>
          <w:lang w:val="en-US" w:eastAsia="zh-CN"/>
        </w:rPr>
      </w:pPr>
      <w:r>
        <w:rPr>
          <w:rFonts w:hint="eastAsia" w:eastAsia="仿宋_GB2312"/>
          <w:color w:val="auto"/>
          <w:sz w:val="28"/>
          <w:szCs w:val="28"/>
          <w:lang w:val="en-US" w:eastAsia="zh-CN"/>
        </w:rPr>
        <w:br w:type="page"/>
      </w:r>
    </w:p>
    <w:p w14:paraId="5210DF6E">
      <w:pPr>
        <w:pStyle w:val="5"/>
        <w:spacing w:before="120" w:after="120"/>
        <w:rPr>
          <w:color w:val="auto"/>
          <w:sz w:val="30"/>
          <w:szCs w:val="30"/>
        </w:rPr>
      </w:pPr>
      <w:bookmarkStart w:id="51" w:name="_Toc140174715"/>
      <w:bookmarkStart w:id="52" w:name="_Toc22478"/>
      <w:r>
        <w:rPr>
          <w:color w:val="auto"/>
          <w:sz w:val="30"/>
          <w:szCs w:val="30"/>
        </w:rPr>
        <w:t>3.6公用工程污染物产生情况</w:t>
      </w:r>
      <w:bookmarkEnd w:id="51"/>
      <w:bookmarkEnd w:id="52"/>
    </w:p>
    <w:p w14:paraId="4009BA66">
      <w:pPr>
        <w:spacing w:line="500" w:lineRule="exact"/>
        <w:ind w:firstLine="560" w:firstLineChars="200"/>
        <w:rPr>
          <w:rFonts w:eastAsia="仿宋_GB2312"/>
          <w:color w:val="auto"/>
          <w:sz w:val="28"/>
          <w:szCs w:val="28"/>
        </w:rPr>
      </w:pPr>
      <w:r>
        <w:rPr>
          <w:rFonts w:eastAsia="仿宋_GB2312"/>
          <w:color w:val="auto"/>
          <w:sz w:val="28"/>
          <w:szCs w:val="28"/>
        </w:rPr>
        <w:t>本项目公用工程污染物产生量核算是指本项目建成后新增的污染物量，不覆盖原有项目公用工程污染物产生情况。</w:t>
      </w:r>
    </w:p>
    <w:p w14:paraId="5040BC76">
      <w:pPr>
        <w:spacing w:before="24" w:beforeLines="10" w:after="24" w:afterLines="10" w:line="500" w:lineRule="exact"/>
        <w:jc w:val="left"/>
        <w:outlineLvl w:val="3"/>
        <w:rPr>
          <w:rFonts w:eastAsia="仿宋_GB2312"/>
          <w:b/>
          <w:color w:val="auto"/>
          <w:sz w:val="28"/>
          <w:szCs w:val="21"/>
        </w:rPr>
      </w:pPr>
      <w:r>
        <w:rPr>
          <w:rFonts w:eastAsia="仿宋_GB2312"/>
          <w:b/>
          <w:color w:val="auto"/>
          <w:sz w:val="28"/>
          <w:szCs w:val="21"/>
        </w:rPr>
        <w:t>3.6.1废水</w:t>
      </w:r>
    </w:p>
    <w:p w14:paraId="5E8AD9CD">
      <w:pPr>
        <w:tabs>
          <w:tab w:val="left" w:pos="6840"/>
        </w:tabs>
        <w:spacing w:line="500" w:lineRule="exact"/>
        <w:ind w:firstLine="562" w:firstLineChars="200"/>
        <w:rPr>
          <w:rFonts w:eastAsia="仿宋_GB2312"/>
          <w:b/>
          <w:color w:val="auto"/>
          <w:sz w:val="28"/>
          <w:szCs w:val="28"/>
        </w:rPr>
      </w:pPr>
      <w:r>
        <w:rPr>
          <w:rFonts w:eastAsia="仿宋_GB2312"/>
          <w:b/>
          <w:color w:val="auto"/>
          <w:sz w:val="28"/>
          <w:szCs w:val="28"/>
        </w:rPr>
        <w:t>（1）生活污水</w:t>
      </w:r>
    </w:p>
    <w:p w14:paraId="0FD26CA3">
      <w:pPr>
        <w:tabs>
          <w:tab w:val="left" w:pos="6840"/>
        </w:tabs>
        <w:spacing w:line="500" w:lineRule="exact"/>
        <w:ind w:firstLine="560" w:firstLineChars="200"/>
        <w:rPr>
          <w:rFonts w:eastAsia="仿宋_GB2312"/>
          <w:color w:val="auto"/>
          <w:sz w:val="28"/>
          <w:szCs w:val="28"/>
        </w:rPr>
      </w:pPr>
      <w:r>
        <w:rPr>
          <w:rFonts w:eastAsia="仿宋_GB2312"/>
          <w:color w:val="auto"/>
          <w:sz w:val="28"/>
          <w:szCs w:val="28"/>
        </w:rPr>
        <w:t>本项目不新增员工，不新增生活污水。</w:t>
      </w:r>
    </w:p>
    <w:p w14:paraId="169E508E">
      <w:pPr>
        <w:tabs>
          <w:tab w:val="left" w:pos="6840"/>
        </w:tabs>
        <w:spacing w:line="500" w:lineRule="exact"/>
        <w:ind w:firstLine="562" w:firstLineChars="200"/>
        <w:rPr>
          <w:rFonts w:eastAsia="仿宋_GB2312"/>
          <w:b/>
          <w:color w:val="auto"/>
          <w:sz w:val="28"/>
          <w:szCs w:val="28"/>
        </w:rPr>
      </w:pPr>
      <w:r>
        <w:rPr>
          <w:rFonts w:eastAsia="仿宋_GB2312"/>
          <w:b/>
          <w:color w:val="auto"/>
          <w:sz w:val="28"/>
          <w:szCs w:val="28"/>
        </w:rPr>
        <w:t>（2）初期雨水</w:t>
      </w:r>
    </w:p>
    <w:p w14:paraId="42B7FE03">
      <w:pPr>
        <w:tabs>
          <w:tab w:val="left" w:pos="6840"/>
        </w:tabs>
        <w:spacing w:line="500" w:lineRule="exact"/>
        <w:ind w:firstLine="560" w:firstLineChars="200"/>
        <w:rPr>
          <w:rFonts w:eastAsia="仿宋_GB2312"/>
          <w:color w:val="auto"/>
          <w:sz w:val="28"/>
          <w:szCs w:val="28"/>
        </w:rPr>
      </w:pPr>
      <w:r>
        <w:rPr>
          <w:rFonts w:hint="eastAsia" w:eastAsia="仿宋_GB2312"/>
          <w:color w:val="auto"/>
          <w:sz w:val="28"/>
          <w:szCs w:val="28"/>
          <w:lang w:val="en-US" w:eastAsia="zh-CN"/>
        </w:rPr>
        <w:t>本次新增的中间缓冲罐区</w:t>
      </w:r>
      <w:r>
        <w:rPr>
          <w:rFonts w:eastAsia="仿宋_GB2312"/>
          <w:color w:val="auto"/>
          <w:sz w:val="28"/>
          <w:szCs w:val="28"/>
        </w:rPr>
        <w:t>配套</w:t>
      </w:r>
      <w:r>
        <w:rPr>
          <w:rFonts w:hint="eastAsia" w:eastAsia="仿宋_GB2312"/>
          <w:color w:val="auto"/>
          <w:sz w:val="28"/>
          <w:szCs w:val="28"/>
        </w:rPr>
        <w:t>1座2</w:t>
      </w:r>
      <w:r>
        <w:rPr>
          <w:rFonts w:eastAsia="仿宋_GB2312"/>
          <w:color w:val="auto"/>
          <w:sz w:val="28"/>
          <w:szCs w:val="28"/>
        </w:rPr>
        <w:t>0m</w:t>
      </w:r>
      <w:r>
        <w:rPr>
          <w:rFonts w:eastAsia="仿宋_GB2312"/>
          <w:color w:val="auto"/>
          <w:sz w:val="28"/>
          <w:szCs w:val="28"/>
          <w:vertAlign w:val="superscript"/>
        </w:rPr>
        <w:t>3</w:t>
      </w:r>
      <w:r>
        <w:rPr>
          <w:rFonts w:eastAsia="仿宋_GB2312"/>
          <w:color w:val="auto"/>
          <w:sz w:val="28"/>
          <w:szCs w:val="28"/>
        </w:rPr>
        <w:t>初期雨水收集池收集初期雨水，收集后</w:t>
      </w:r>
      <w:r>
        <w:rPr>
          <w:rFonts w:hint="eastAsia" w:eastAsia="仿宋_GB2312"/>
          <w:color w:val="auto"/>
          <w:sz w:val="28"/>
          <w:szCs w:val="28"/>
          <w:lang w:val="en-US" w:eastAsia="zh-CN"/>
        </w:rPr>
        <w:t>经3#</w:t>
      </w:r>
      <w:r>
        <w:rPr>
          <w:rFonts w:eastAsia="仿宋_GB2312"/>
          <w:color w:val="auto"/>
          <w:sz w:val="28"/>
          <w:szCs w:val="28"/>
        </w:rPr>
        <w:t>污水站处理</w:t>
      </w:r>
      <w:r>
        <w:rPr>
          <w:rFonts w:hint="eastAsia" w:eastAsia="仿宋_GB2312"/>
          <w:color w:val="auto"/>
          <w:sz w:val="28"/>
          <w:szCs w:val="28"/>
        </w:rPr>
        <w:t>达标</w:t>
      </w:r>
      <w:r>
        <w:rPr>
          <w:rFonts w:eastAsia="仿宋_GB2312"/>
          <w:color w:val="auto"/>
          <w:sz w:val="28"/>
          <w:szCs w:val="28"/>
        </w:rPr>
        <w:t>后回用。</w:t>
      </w:r>
    </w:p>
    <w:p w14:paraId="7BB69574">
      <w:pPr>
        <w:tabs>
          <w:tab w:val="left" w:pos="6840"/>
        </w:tabs>
        <w:spacing w:line="500" w:lineRule="exact"/>
        <w:ind w:firstLine="560" w:firstLineChars="200"/>
        <w:rPr>
          <w:rFonts w:eastAsia="仿宋_GB2312"/>
          <w:color w:val="auto"/>
          <w:sz w:val="28"/>
          <w:szCs w:val="28"/>
        </w:rPr>
      </w:pPr>
      <w:r>
        <w:rPr>
          <w:rFonts w:ascii="仿宋_GB2312" w:eastAsia="仿宋_GB2312"/>
          <w:color w:val="auto"/>
          <w:sz w:val="28"/>
          <w:szCs w:val="28"/>
        </w:rPr>
        <w:t>根据《江苏省重点行业工业企业雨水排放环境管理办法（试行）》（苏污防攻坚指办</w:t>
      </w:r>
      <w:r>
        <w:rPr>
          <w:rFonts w:eastAsia="仿宋_GB2312"/>
          <w:color w:val="auto"/>
          <w:sz w:val="28"/>
          <w:szCs w:val="28"/>
        </w:rPr>
        <w:t>[2023]71</w:t>
      </w:r>
      <w:r>
        <w:rPr>
          <w:rFonts w:ascii="仿宋_GB2312" w:eastAsia="仿宋_GB2312"/>
          <w:color w:val="auto"/>
          <w:sz w:val="28"/>
          <w:szCs w:val="28"/>
        </w:rPr>
        <w:t>号）和《化学工业污水处理与回用设计规范》（</w:t>
      </w:r>
      <w:r>
        <w:rPr>
          <w:rFonts w:eastAsia="仿宋_GB2312"/>
          <w:color w:val="auto"/>
          <w:sz w:val="28"/>
          <w:szCs w:val="28"/>
        </w:rPr>
        <w:t>GB50684-2011</w:t>
      </w:r>
      <w:r>
        <w:rPr>
          <w:rFonts w:ascii="仿宋_GB2312" w:eastAsia="仿宋_GB2312"/>
          <w:color w:val="auto"/>
          <w:sz w:val="28"/>
          <w:szCs w:val="28"/>
        </w:rPr>
        <w:t>），本次环评采用降雨初期</w:t>
      </w:r>
      <w:r>
        <w:rPr>
          <w:rFonts w:eastAsia="仿宋_GB2312"/>
          <w:color w:val="auto"/>
          <w:sz w:val="28"/>
          <w:szCs w:val="28"/>
        </w:rPr>
        <w:t>20mm</w:t>
      </w:r>
      <w:r>
        <w:rPr>
          <w:rFonts w:ascii="仿宋_GB2312" w:eastAsia="仿宋_GB2312"/>
          <w:color w:val="auto"/>
          <w:sz w:val="28"/>
          <w:szCs w:val="28"/>
        </w:rPr>
        <w:t>的雨量作为初期雨水收集，具体如下。</w:t>
      </w:r>
    </w:p>
    <w:p w14:paraId="26906FF0">
      <w:pPr>
        <w:tabs>
          <w:tab w:val="left" w:pos="6840"/>
        </w:tabs>
        <w:spacing w:line="500" w:lineRule="exact"/>
        <w:ind w:firstLine="420" w:firstLineChars="200"/>
        <w:jc w:val="center"/>
        <w:rPr>
          <w:rFonts w:eastAsia="仿宋_GB2312"/>
          <w:color w:val="auto"/>
          <w:sz w:val="28"/>
          <w:szCs w:val="28"/>
        </w:rPr>
      </w:pPr>
      <w:r>
        <w:rPr>
          <w:color w:val="auto"/>
        </w:rPr>
        <w:drawing>
          <wp:inline distT="0" distB="0" distL="0" distR="0">
            <wp:extent cx="1331595" cy="205105"/>
            <wp:effectExtent l="0" t="0" r="9525" b="8255"/>
            <wp:docPr id="1" name="图片 1" descr="C:\Users\ADMINI~1\AppData\Local\Temp\ksohtml21364\wp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1\AppData\Local\Temp\ksohtml21364\wps1.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a:xfrm>
                      <a:off x="0" y="0"/>
                      <a:ext cx="1331595" cy="205105"/>
                    </a:xfrm>
                    <a:prstGeom prst="rect">
                      <a:avLst/>
                    </a:prstGeom>
                    <a:noFill/>
                    <a:ln>
                      <a:noFill/>
                    </a:ln>
                  </pic:spPr>
                </pic:pic>
              </a:graphicData>
            </a:graphic>
          </wp:inline>
        </w:drawing>
      </w:r>
      <w:r>
        <w:rPr>
          <w:rFonts w:eastAsia="仿宋_GB2312"/>
          <w:color w:val="auto"/>
          <w:sz w:val="28"/>
          <w:szCs w:val="28"/>
        </w:rPr>
        <w:t xml:space="preserve"> </w:t>
      </w:r>
    </w:p>
    <w:p w14:paraId="0E231A24">
      <w:pPr>
        <w:tabs>
          <w:tab w:val="left" w:pos="6840"/>
        </w:tabs>
        <w:spacing w:line="500" w:lineRule="exact"/>
        <w:ind w:firstLine="560" w:firstLineChars="200"/>
        <w:rPr>
          <w:rFonts w:eastAsia="仿宋_GB2312"/>
          <w:color w:val="auto"/>
          <w:sz w:val="28"/>
          <w:szCs w:val="28"/>
        </w:rPr>
      </w:pPr>
      <w:r>
        <w:rPr>
          <w:rFonts w:ascii="仿宋_GB2312" w:eastAsia="仿宋_GB2312"/>
          <w:color w:val="auto"/>
          <w:sz w:val="28"/>
          <w:szCs w:val="28"/>
        </w:rPr>
        <w:t>式中：</w:t>
      </w:r>
      <w:r>
        <w:rPr>
          <w:rFonts w:eastAsia="仿宋_GB2312"/>
          <w:color w:val="auto"/>
          <w:sz w:val="28"/>
          <w:szCs w:val="28"/>
        </w:rPr>
        <w:t>V——</w:t>
      </w:r>
      <w:r>
        <w:rPr>
          <w:rFonts w:ascii="仿宋_GB2312" w:eastAsia="仿宋_GB2312"/>
          <w:color w:val="auto"/>
          <w:sz w:val="28"/>
          <w:szCs w:val="28"/>
        </w:rPr>
        <w:t>初期雨水量，</w:t>
      </w:r>
      <w:r>
        <w:rPr>
          <w:rFonts w:eastAsia="仿宋_GB2312"/>
          <w:color w:val="auto"/>
          <w:sz w:val="28"/>
          <w:szCs w:val="28"/>
        </w:rPr>
        <w:t>m</w:t>
      </w:r>
      <w:r>
        <w:rPr>
          <w:rFonts w:eastAsia="仿宋_GB2312"/>
          <w:color w:val="auto"/>
          <w:sz w:val="28"/>
          <w:szCs w:val="28"/>
          <w:vertAlign w:val="superscript"/>
        </w:rPr>
        <w:t>3</w:t>
      </w:r>
      <w:r>
        <w:rPr>
          <w:rFonts w:eastAsia="仿宋_GB2312"/>
          <w:color w:val="auto"/>
          <w:sz w:val="28"/>
          <w:szCs w:val="28"/>
        </w:rPr>
        <w:t>/a</w:t>
      </w:r>
      <w:r>
        <w:rPr>
          <w:rFonts w:ascii="仿宋_GB2312" w:eastAsia="仿宋_GB2312"/>
          <w:color w:val="auto"/>
          <w:sz w:val="28"/>
          <w:szCs w:val="28"/>
        </w:rPr>
        <w:t>；</w:t>
      </w:r>
    </w:p>
    <w:p w14:paraId="73AE8348">
      <w:pPr>
        <w:tabs>
          <w:tab w:val="left" w:pos="6840"/>
        </w:tabs>
        <w:spacing w:line="500" w:lineRule="exact"/>
        <w:ind w:firstLine="1400" w:firstLineChars="500"/>
        <w:rPr>
          <w:rFonts w:eastAsia="仿宋_GB2312"/>
          <w:color w:val="auto"/>
          <w:sz w:val="28"/>
          <w:szCs w:val="28"/>
        </w:rPr>
      </w:pPr>
      <w:r>
        <w:rPr>
          <w:rFonts w:eastAsia="仿宋_GB2312"/>
          <w:color w:val="auto"/>
          <w:sz w:val="28"/>
          <w:szCs w:val="28"/>
        </w:rPr>
        <w:t>F——</w:t>
      </w:r>
      <w:r>
        <w:rPr>
          <w:rFonts w:ascii="仿宋_GB2312" w:eastAsia="仿宋_GB2312"/>
          <w:color w:val="auto"/>
          <w:sz w:val="28"/>
          <w:szCs w:val="28"/>
        </w:rPr>
        <w:t>污染区面积，</w:t>
      </w:r>
      <w:r>
        <w:rPr>
          <w:rFonts w:eastAsia="仿宋_GB2312"/>
          <w:color w:val="auto"/>
          <w:sz w:val="28"/>
          <w:szCs w:val="28"/>
        </w:rPr>
        <w:t>m</w:t>
      </w:r>
      <w:r>
        <w:rPr>
          <w:rFonts w:eastAsia="仿宋_GB2312"/>
          <w:color w:val="auto"/>
          <w:sz w:val="28"/>
          <w:szCs w:val="28"/>
          <w:vertAlign w:val="superscript"/>
        </w:rPr>
        <w:t>2</w:t>
      </w:r>
      <w:r>
        <w:rPr>
          <w:rFonts w:ascii="仿宋_GB2312" w:eastAsia="仿宋_GB2312"/>
          <w:color w:val="auto"/>
          <w:sz w:val="28"/>
          <w:szCs w:val="28"/>
        </w:rPr>
        <w:t>；</w:t>
      </w:r>
    </w:p>
    <w:p w14:paraId="08EF67CE">
      <w:pPr>
        <w:tabs>
          <w:tab w:val="left" w:pos="6840"/>
        </w:tabs>
        <w:spacing w:line="500" w:lineRule="exact"/>
        <w:ind w:firstLine="1400" w:firstLineChars="500"/>
        <w:rPr>
          <w:rFonts w:eastAsia="仿宋_GB2312"/>
          <w:color w:val="auto"/>
          <w:sz w:val="28"/>
          <w:szCs w:val="28"/>
        </w:rPr>
      </w:pPr>
      <w:r>
        <w:rPr>
          <w:rFonts w:eastAsia="仿宋_GB2312"/>
          <w:color w:val="auto"/>
          <w:sz w:val="28"/>
          <w:szCs w:val="28"/>
        </w:rPr>
        <w:t>h——</w:t>
      </w:r>
      <w:r>
        <w:rPr>
          <w:rFonts w:ascii="仿宋_GB2312" w:eastAsia="仿宋_GB2312"/>
          <w:color w:val="auto"/>
          <w:sz w:val="28"/>
          <w:szCs w:val="28"/>
        </w:rPr>
        <w:t>降雨深度，取</w:t>
      </w:r>
      <w:r>
        <w:rPr>
          <w:rFonts w:eastAsia="仿宋_GB2312"/>
          <w:color w:val="auto"/>
          <w:sz w:val="28"/>
          <w:szCs w:val="28"/>
        </w:rPr>
        <w:t>20mm</w:t>
      </w:r>
      <w:r>
        <w:rPr>
          <w:rFonts w:ascii="仿宋_GB2312" w:eastAsia="仿宋_GB2312"/>
          <w:color w:val="auto"/>
          <w:sz w:val="28"/>
          <w:szCs w:val="28"/>
        </w:rPr>
        <w:t>；</w:t>
      </w:r>
    </w:p>
    <w:p w14:paraId="636E0D0B">
      <w:pPr>
        <w:tabs>
          <w:tab w:val="left" w:pos="6840"/>
        </w:tabs>
        <w:spacing w:line="500" w:lineRule="exact"/>
        <w:ind w:firstLine="1400" w:firstLineChars="500"/>
        <w:rPr>
          <w:rFonts w:eastAsia="仿宋_GB2312"/>
          <w:color w:val="auto"/>
          <w:sz w:val="28"/>
          <w:szCs w:val="28"/>
        </w:rPr>
      </w:pPr>
      <w:r>
        <w:rPr>
          <w:rFonts w:eastAsia="仿宋_GB2312"/>
          <w:color w:val="auto"/>
          <w:sz w:val="28"/>
          <w:szCs w:val="28"/>
        </w:rPr>
        <w:t>n——</w:t>
      </w:r>
      <w:r>
        <w:rPr>
          <w:rFonts w:ascii="仿宋_GB2312" w:eastAsia="仿宋_GB2312"/>
          <w:color w:val="auto"/>
          <w:sz w:val="28"/>
          <w:szCs w:val="28"/>
        </w:rPr>
        <w:t>间歇降雨频次，取</w:t>
      </w:r>
      <w:r>
        <w:rPr>
          <w:rFonts w:eastAsia="仿宋_GB2312"/>
          <w:color w:val="auto"/>
          <w:sz w:val="28"/>
          <w:szCs w:val="28"/>
        </w:rPr>
        <w:t>15</w:t>
      </w:r>
      <w:r>
        <w:rPr>
          <w:rFonts w:ascii="仿宋_GB2312" w:eastAsia="仿宋_GB2312"/>
          <w:color w:val="auto"/>
          <w:sz w:val="28"/>
          <w:szCs w:val="28"/>
        </w:rPr>
        <w:t>次</w:t>
      </w:r>
      <w:r>
        <w:rPr>
          <w:rFonts w:eastAsia="仿宋_GB2312"/>
          <w:color w:val="auto"/>
          <w:sz w:val="28"/>
          <w:szCs w:val="28"/>
        </w:rPr>
        <w:t>/a</w:t>
      </w:r>
      <w:r>
        <w:rPr>
          <w:rFonts w:ascii="仿宋_GB2312" w:eastAsia="仿宋_GB2312"/>
          <w:color w:val="auto"/>
          <w:sz w:val="28"/>
          <w:szCs w:val="28"/>
        </w:rPr>
        <w:t>；</w:t>
      </w:r>
    </w:p>
    <w:p w14:paraId="0FF75C94">
      <w:pPr>
        <w:spacing w:line="440" w:lineRule="exact"/>
        <w:ind w:firstLine="482" w:firstLineChars="200"/>
        <w:jc w:val="center"/>
        <w:rPr>
          <w:rFonts w:eastAsia="仿宋_GB2312"/>
          <w:b/>
          <w:color w:val="auto"/>
          <w:sz w:val="24"/>
        </w:rPr>
      </w:pPr>
      <w:r>
        <w:rPr>
          <w:rFonts w:ascii="仿宋_GB2312" w:eastAsia="仿宋_GB2312"/>
          <w:b/>
          <w:color w:val="auto"/>
          <w:sz w:val="24"/>
        </w:rPr>
        <w:t>表</w:t>
      </w:r>
      <w:r>
        <w:rPr>
          <w:rFonts w:eastAsia="仿宋_GB2312"/>
          <w:b/>
          <w:color w:val="auto"/>
          <w:sz w:val="24"/>
        </w:rPr>
        <w:t>3.</w:t>
      </w:r>
      <w:r>
        <w:rPr>
          <w:rFonts w:hint="eastAsia" w:eastAsia="仿宋_GB2312"/>
          <w:b/>
          <w:color w:val="auto"/>
          <w:sz w:val="24"/>
          <w:lang w:val="en-US" w:eastAsia="zh-CN"/>
        </w:rPr>
        <w:t>6</w:t>
      </w:r>
      <w:r>
        <w:rPr>
          <w:rFonts w:eastAsia="仿宋_GB2312"/>
          <w:b/>
          <w:color w:val="auto"/>
          <w:sz w:val="24"/>
        </w:rPr>
        <w:t>-</w:t>
      </w:r>
      <w:r>
        <w:rPr>
          <w:rFonts w:hint="eastAsia" w:eastAsia="仿宋_GB2312"/>
          <w:b/>
          <w:color w:val="auto"/>
          <w:sz w:val="24"/>
          <w:lang w:val="en-US" w:eastAsia="zh-CN"/>
        </w:rPr>
        <w:t>1</w:t>
      </w:r>
      <w:r>
        <w:rPr>
          <w:rFonts w:eastAsia="仿宋_GB2312"/>
          <w:b/>
          <w:color w:val="auto"/>
          <w:sz w:val="24"/>
        </w:rPr>
        <w:t xml:space="preserve">  </w:t>
      </w:r>
      <w:r>
        <w:rPr>
          <w:rFonts w:ascii="仿宋_GB2312" w:eastAsia="仿宋_GB2312"/>
          <w:b/>
          <w:color w:val="auto"/>
          <w:sz w:val="24"/>
        </w:rPr>
        <w:t>本项目初期雨水产生情况表</w:t>
      </w:r>
    </w:p>
    <w:tbl>
      <w:tblPr>
        <w:tblStyle w:val="89"/>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3992"/>
        <w:gridCol w:w="1937"/>
        <w:gridCol w:w="2594"/>
      </w:tblGrid>
      <w:tr w14:paraId="6C43E8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341" w:type="pct"/>
            <w:tcBorders>
              <w:tl2br w:val="nil"/>
              <w:tr2bl w:val="nil"/>
            </w:tcBorders>
            <w:vAlign w:val="center"/>
          </w:tcPr>
          <w:p w14:paraId="1FA75DBA">
            <w:pPr>
              <w:spacing w:line="320" w:lineRule="exact"/>
              <w:jc w:val="center"/>
              <w:rPr>
                <w:rFonts w:eastAsia="仿宋_GB2312"/>
                <w:b/>
                <w:bCs/>
                <w:color w:val="auto"/>
                <w:szCs w:val="21"/>
              </w:rPr>
            </w:pPr>
            <w:r>
              <w:rPr>
                <w:rFonts w:ascii="仿宋_GB2312" w:eastAsia="仿宋_GB2312"/>
                <w:b/>
                <w:bCs/>
                <w:color w:val="auto"/>
              </w:rPr>
              <w:t>收水位置</w:t>
            </w:r>
          </w:p>
        </w:tc>
        <w:tc>
          <w:tcPr>
            <w:tcW w:w="1136" w:type="pct"/>
            <w:tcBorders>
              <w:tl2br w:val="nil"/>
              <w:tr2bl w:val="nil"/>
            </w:tcBorders>
            <w:vAlign w:val="center"/>
          </w:tcPr>
          <w:p w14:paraId="72C378BE">
            <w:pPr>
              <w:spacing w:line="320" w:lineRule="exact"/>
              <w:jc w:val="center"/>
              <w:rPr>
                <w:rFonts w:eastAsia="仿宋_GB2312"/>
                <w:b/>
                <w:bCs/>
                <w:color w:val="auto"/>
              </w:rPr>
            </w:pPr>
            <w:r>
              <w:rPr>
                <w:rFonts w:ascii="仿宋_GB2312" w:eastAsia="仿宋_GB2312"/>
                <w:b/>
                <w:bCs/>
                <w:color w:val="auto"/>
              </w:rPr>
              <w:t>汇水面积（</w:t>
            </w:r>
            <w:r>
              <w:rPr>
                <w:rFonts w:eastAsia="仿宋_GB2312"/>
                <w:b/>
                <w:bCs/>
                <w:color w:val="auto"/>
              </w:rPr>
              <w:t>m</w:t>
            </w:r>
            <w:r>
              <w:rPr>
                <w:rFonts w:eastAsia="仿宋_GB2312"/>
                <w:b/>
                <w:bCs/>
                <w:color w:val="auto"/>
                <w:vertAlign w:val="superscript"/>
              </w:rPr>
              <w:t>2</w:t>
            </w:r>
            <w:r>
              <w:rPr>
                <w:rFonts w:ascii="仿宋_GB2312" w:eastAsia="仿宋_GB2312"/>
                <w:b/>
                <w:bCs/>
                <w:color w:val="auto"/>
              </w:rPr>
              <w:t>）</w:t>
            </w:r>
          </w:p>
        </w:tc>
        <w:tc>
          <w:tcPr>
            <w:tcW w:w="1521" w:type="pct"/>
            <w:tcBorders>
              <w:tl2br w:val="nil"/>
              <w:tr2bl w:val="nil"/>
            </w:tcBorders>
            <w:vAlign w:val="center"/>
          </w:tcPr>
          <w:p w14:paraId="10791A7F">
            <w:pPr>
              <w:spacing w:line="320" w:lineRule="exact"/>
              <w:jc w:val="center"/>
              <w:rPr>
                <w:rFonts w:eastAsia="仿宋_GB2312"/>
                <w:b/>
                <w:bCs/>
                <w:color w:val="auto"/>
              </w:rPr>
            </w:pPr>
            <w:r>
              <w:rPr>
                <w:rFonts w:ascii="仿宋_GB2312" w:eastAsia="仿宋_GB2312"/>
                <w:b/>
                <w:bCs/>
                <w:color w:val="auto"/>
              </w:rPr>
              <w:t>初期雨水量（</w:t>
            </w:r>
            <w:r>
              <w:rPr>
                <w:rFonts w:eastAsia="仿宋_GB2312"/>
                <w:b/>
                <w:bCs/>
                <w:color w:val="auto"/>
              </w:rPr>
              <w:t>m</w:t>
            </w:r>
            <w:r>
              <w:rPr>
                <w:rFonts w:eastAsia="仿宋_GB2312"/>
                <w:b/>
                <w:bCs/>
                <w:color w:val="auto"/>
                <w:vertAlign w:val="superscript"/>
              </w:rPr>
              <w:t>3</w:t>
            </w:r>
            <w:r>
              <w:rPr>
                <w:rFonts w:eastAsia="仿宋_GB2312"/>
                <w:b/>
                <w:bCs/>
                <w:color w:val="auto"/>
              </w:rPr>
              <w:t>/a</w:t>
            </w:r>
            <w:r>
              <w:rPr>
                <w:rFonts w:ascii="仿宋_GB2312" w:eastAsia="仿宋_GB2312"/>
                <w:b/>
                <w:bCs/>
                <w:color w:val="auto"/>
              </w:rPr>
              <w:t>）</w:t>
            </w:r>
          </w:p>
        </w:tc>
      </w:tr>
      <w:tr w14:paraId="572C9D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341" w:type="pct"/>
            <w:tcBorders>
              <w:tl2br w:val="nil"/>
              <w:tr2bl w:val="nil"/>
            </w:tcBorders>
            <w:vAlign w:val="center"/>
          </w:tcPr>
          <w:p w14:paraId="0443657D">
            <w:pPr>
              <w:spacing w:line="320" w:lineRule="exact"/>
              <w:jc w:val="center"/>
              <w:rPr>
                <w:rFonts w:eastAsia="仿宋_GB2312"/>
                <w:color w:val="auto"/>
              </w:rPr>
            </w:pPr>
            <w:r>
              <w:rPr>
                <w:rFonts w:ascii="仿宋_GB2312" w:eastAsia="仿宋_GB2312"/>
                <w:color w:val="auto"/>
              </w:rPr>
              <w:t>厂区新增汇水区域（</w:t>
            </w:r>
            <w:r>
              <w:rPr>
                <w:rFonts w:hint="eastAsia" w:ascii="仿宋_GB2312" w:eastAsia="仿宋_GB2312"/>
                <w:color w:val="auto"/>
                <w:lang w:val="en-US" w:eastAsia="zh-CN"/>
              </w:rPr>
              <w:t>中间缓冲</w:t>
            </w:r>
            <w:r>
              <w:rPr>
                <w:rFonts w:hint="eastAsia" w:ascii="仿宋_GB2312" w:eastAsia="仿宋_GB2312"/>
                <w:color w:val="auto"/>
              </w:rPr>
              <w:t>罐区</w:t>
            </w:r>
            <w:r>
              <w:rPr>
                <w:rFonts w:ascii="仿宋_GB2312" w:eastAsia="仿宋_GB2312"/>
                <w:color w:val="auto"/>
              </w:rPr>
              <w:t>）</w:t>
            </w:r>
          </w:p>
        </w:tc>
        <w:tc>
          <w:tcPr>
            <w:tcW w:w="1136" w:type="pct"/>
            <w:tcBorders>
              <w:tl2br w:val="nil"/>
              <w:tr2bl w:val="nil"/>
            </w:tcBorders>
            <w:vAlign w:val="center"/>
          </w:tcPr>
          <w:p w14:paraId="28991818">
            <w:pPr>
              <w:spacing w:line="320" w:lineRule="exact"/>
              <w:jc w:val="center"/>
              <w:rPr>
                <w:rFonts w:hint="default" w:eastAsia="仿宋_GB2312"/>
                <w:color w:val="auto"/>
                <w:lang w:val="en-US" w:eastAsia="zh-CN"/>
              </w:rPr>
            </w:pPr>
            <w:r>
              <w:rPr>
                <w:rFonts w:hint="eastAsia" w:eastAsia="仿宋_GB2312"/>
                <w:color w:val="auto"/>
                <w:lang w:val="en-US" w:eastAsia="zh-CN"/>
              </w:rPr>
              <w:t>500</w:t>
            </w:r>
          </w:p>
        </w:tc>
        <w:tc>
          <w:tcPr>
            <w:tcW w:w="1521" w:type="pct"/>
            <w:tcBorders>
              <w:tl2br w:val="nil"/>
              <w:tr2bl w:val="nil"/>
            </w:tcBorders>
            <w:vAlign w:val="center"/>
          </w:tcPr>
          <w:p w14:paraId="143E2697">
            <w:pPr>
              <w:spacing w:line="320" w:lineRule="exact"/>
              <w:jc w:val="center"/>
              <w:rPr>
                <w:rFonts w:hint="default" w:eastAsia="仿宋_GB2312"/>
                <w:color w:val="auto"/>
                <w:lang w:val="en-US" w:eastAsia="zh-CN"/>
              </w:rPr>
            </w:pPr>
            <w:r>
              <w:rPr>
                <w:rFonts w:hint="eastAsia" w:eastAsia="仿宋_GB2312"/>
                <w:color w:val="auto"/>
                <w:lang w:val="en-US" w:eastAsia="zh-CN"/>
              </w:rPr>
              <w:t>150</w:t>
            </w:r>
          </w:p>
        </w:tc>
      </w:tr>
    </w:tbl>
    <w:p w14:paraId="513F14FC">
      <w:pPr>
        <w:tabs>
          <w:tab w:val="left" w:pos="6840"/>
        </w:tabs>
        <w:spacing w:line="500" w:lineRule="exact"/>
        <w:ind w:firstLine="560" w:firstLineChars="200"/>
        <w:rPr>
          <w:rFonts w:eastAsia="仿宋_GB2312"/>
          <w:color w:val="auto"/>
          <w:sz w:val="28"/>
          <w:szCs w:val="28"/>
        </w:rPr>
      </w:pPr>
      <w:r>
        <w:rPr>
          <w:rFonts w:ascii="仿宋_GB2312" w:eastAsia="仿宋_GB2312"/>
          <w:color w:val="auto"/>
          <w:sz w:val="28"/>
          <w:szCs w:val="28"/>
        </w:rPr>
        <w:t>本项目</w:t>
      </w:r>
      <w:r>
        <w:rPr>
          <w:rFonts w:hint="eastAsia" w:ascii="仿宋_GB2312" w:eastAsia="仿宋_GB2312"/>
          <w:color w:val="auto"/>
          <w:sz w:val="28"/>
          <w:szCs w:val="28"/>
        </w:rPr>
        <w:t>新增</w:t>
      </w:r>
      <w:r>
        <w:rPr>
          <w:rFonts w:ascii="仿宋_GB2312" w:eastAsia="仿宋_GB2312"/>
          <w:color w:val="auto"/>
          <w:sz w:val="28"/>
          <w:szCs w:val="28"/>
        </w:rPr>
        <w:t>初期雨水源强见下表。</w:t>
      </w:r>
    </w:p>
    <w:p w14:paraId="7C14E532">
      <w:pPr>
        <w:spacing w:line="440" w:lineRule="exact"/>
        <w:ind w:firstLine="482" w:firstLineChars="200"/>
        <w:jc w:val="center"/>
        <w:rPr>
          <w:rFonts w:eastAsia="仿宋_GB2312"/>
          <w:b/>
          <w:color w:val="auto"/>
          <w:sz w:val="24"/>
        </w:rPr>
      </w:pPr>
      <w:r>
        <w:rPr>
          <w:rFonts w:ascii="仿宋_GB2312" w:eastAsia="仿宋_GB2312"/>
          <w:b/>
          <w:color w:val="auto"/>
          <w:sz w:val="24"/>
        </w:rPr>
        <w:t>表</w:t>
      </w:r>
      <w:r>
        <w:rPr>
          <w:rFonts w:eastAsia="仿宋_GB2312"/>
          <w:b/>
          <w:color w:val="auto"/>
          <w:sz w:val="24"/>
        </w:rPr>
        <w:t>3.</w:t>
      </w:r>
      <w:r>
        <w:rPr>
          <w:rFonts w:hint="eastAsia" w:eastAsia="仿宋_GB2312"/>
          <w:b/>
          <w:color w:val="auto"/>
          <w:sz w:val="24"/>
          <w:lang w:val="en-US" w:eastAsia="zh-CN"/>
        </w:rPr>
        <w:t>6</w:t>
      </w:r>
      <w:r>
        <w:rPr>
          <w:rFonts w:eastAsia="仿宋_GB2312"/>
          <w:b/>
          <w:color w:val="auto"/>
          <w:sz w:val="24"/>
        </w:rPr>
        <w:t>-</w:t>
      </w:r>
      <w:r>
        <w:rPr>
          <w:rFonts w:hint="eastAsia" w:eastAsia="仿宋_GB2312"/>
          <w:b/>
          <w:color w:val="auto"/>
          <w:sz w:val="24"/>
          <w:lang w:val="en-US" w:eastAsia="zh-CN"/>
        </w:rPr>
        <w:t>2</w:t>
      </w:r>
      <w:r>
        <w:rPr>
          <w:rFonts w:eastAsia="仿宋_GB2312"/>
          <w:b/>
          <w:color w:val="auto"/>
          <w:sz w:val="24"/>
        </w:rPr>
        <w:t xml:space="preserve">  </w:t>
      </w:r>
      <w:r>
        <w:rPr>
          <w:rFonts w:ascii="仿宋_GB2312" w:eastAsia="仿宋_GB2312"/>
          <w:b/>
          <w:color w:val="auto"/>
          <w:sz w:val="24"/>
        </w:rPr>
        <w:t>本项目</w:t>
      </w:r>
      <w:r>
        <w:rPr>
          <w:rFonts w:hint="eastAsia" w:ascii="仿宋_GB2312" w:eastAsia="仿宋_GB2312"/>
          <w:b/>
          <w:color w:val="auto"/>
          <w:sz w:val="24"/>
        </w:rPr>
        <w:t>新增</w:t>
      </w:r>
      <w:r>
        <w:rPr>
          <w:rFonts w:ascii="仿宋_GB2312" w:eastAsia="仿宋_GB2312"/>
          <w:b/>
          <w:color w:val="auto"/>
          <w:sz w:val="24"/>
        </w:rPr>
        <w:t>初期雨水源强</w:t>
      </w:r>
    </w:p>
    <w:tbl>
      <w:tblPr>
        <w:tblStyle w:val="88"/>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434"/>
        <w:gridCol w:w="1076"/>
        <w:gridCol w:w="1042"/>
        <w:gridCol w:w="1262"/>
        <w:gridCol w:w="1083"/>
        <w:gridCol w:w="1209"/>
        <w:gridCol w:w="1417"/>
      </w:tblGrid>
      <w:tr w14:paraId="00DF43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41" w:type="pct"/>
            <w:vMerge w:val="restart"/>
            <w:vAlign w:val="center"/>
          </w:tcPr>
          <w:p w14:paraId="2EB9D1EB">
            <w:pPr>
              <w:adjustRightInd w:val="0"/>
              <w:snapToGrid w:val="0"/>
              <w:spacing w:line="280" w:lineRule="exact"/>
              <w:jc w:val="center"/>
              <w:rPr>
                <w:rFonts w:eastAsia="仿宋_GB2312"/>
                <w:b/>
                <w:bCs/>
                <w:color w:val="auto"/>
              </w:rPr>
            </w:pPr>
            <w:r>
              <w:rPr>
                <w:rFonts w:ascii="仿宋_GB2312" w:eastAsia="仿宋_GB2312"/>
                <w:b/>
                <w:bCs/>
                <w:color w:val="auto"/>
              </w:rPr>
              <w:t>废水名称</w:t>
            </w:r>
          </w:p>
        </w:tc>
        <w:tc>
          <w:tcPr>
            <w:tcW w:w="631" w:type="pct"/>
            <w:vMerge w:val="restart"/>
            <w:vAlign w:val="center"/>
          </w:tcPr>
          <w:p w14:paraId="29B6E303">
            <w:pPr>
              <w:adjustRightInd w:val="0"/>
              <w:snapToGrid w:val="0"/>
              <w:spacing w:line="280" w:lineRule="exact"/>
              <w:jc w:val="center"/>
              <w:rPr>
                <w:rFonts w:eastAsia="仿宋_GB2312"/>
                <w:b/>
                <w:bCs/>
                <w:color w:val="auto"/>
              </w:rPr>
            </w:pPr>
            <w:r>
              <w:rPr>
                <w:rFonts w:ascii="仿宋_GB2312" w:eastAsia="仿宋_GB2312"/>
                <w:b/>
                <w:bCs/>
                <w:color w:val="auto"/>
              </w:rPr>
              <w:t>废水量（</w:t>
            </w:r>
            <w:r>
              <w:rPr>
                <w:rFonts w:eastAsia="仿宋_GB2312"/>
                <w:b/>
                <w:bCs/>
                <w:color w:val="auto"/>
              </w:rPr>
              <w:t>m</w:t>
            </w:r>
            <w:r>
              <w:rPr>
                <w:rFonts w:eastAsia="仿宋_GB2312"/>
                <w:b/>
                <w:bCs/>
                <w:color w:val="auto"/>
                <w:vertAlign w:val="superscript"/>
              </w:rPr>
              <w:t>3</w:t>
            </w:r>
            <w:r>
              <w:rPr>
                <w:rFonts w:eastAsia="仿宋_GB2312"/>
                <w:b/>
                <w:bCs/>
                <w:color w:val="auto"/>
              </w:rPr>
              <w:t>/a</w:t>
            </w:r>
            <w:r>
              <w:rPr>
                <w:rFonts w:ascii="仿宋_GB2312" w:eastAsia="仿宋_GB2312"/>
                <w:b/>
                <w:bCs/>
                <w:color w:val="auto"/>
              </w:rPr>
              <w:t>）</w:t>
            </w:r>
          </w:p>
        </w:tc>
        <w:tc>
          <w:tcPr>
            <w:tcW w:w="611" w:type="pct"/>
            <w:vMerge w:val="restart"/>
            <w:vAlign w:val="center"/>
          </w:tcPr>
          <w:p w14:paraId="682FBE3B">
            <w:pPr>
              <w:adjustRightInd w:val="0"/>
              <w:snapToGrid w:val="0"/>
              <w:spacing w:line="280" w:lineRule="exact"/>
              <w:jc w:val="center"/>
              <w:rPr>
                <w:rFonts w:eastAsia="仿宋_GB2312"/>
                <w:b/>
                <w:bCs/>
                <w:color w:val="auto"/>
              </w:rPr>
            </w:pPr>
            <w:r>
              <w:rPr>
                <w:rFonts w:ascii="仿宋_GB2312" w:eastAsia="仿宋_GB2312"/>
                <w:b/>
                <w:bCs/>
                <w:color w:val="auto"/>
              </w:rPr>
              <w:t>污染物</w:t>
            </w:r>
          </w:p>
          <w:p w14:paraId="0AA1DCF7">
            <w:pPr>
              <w:adjustRightInd w:val="0"/>
              <w:snapToGrid w:val="0"/>
              <w:spacing w:line="280" w:lineRule="exact"/>
              <w:jc w:val="center"/>
              <w:rPr>
                <w:rFonts w:eastAsia="仿宋_GB2312"/>
                <w:b/>
                <w:bCs/>
                <w:color w:val="auto"/>
              </w:rPr>
            </w:pPr>
            <w:r>
              <w:rPr>
                <w:rFonts w:ascii="仿宋_GB2312" w:eastAsia="仿宋_GB2312"/>
                <w:b/>
                <w:bCs/>
                <w:color w:val="auto"/>
              </w:rPr>
              <w:t>名称</w:t>
            </w:r>
          </w:p>
        </w:tc>
        <w:tc>
          <w:tcPr>
            <w:tcW w:w="1375" w:type="pct"/>
            <w:gridSpan w:val="2"/>
            <w:vAlign w:val="center"/>
          </w:tcPr>
          <w:p w14:paraId="7EA6A90C">
            <w:pPr>
              <w:adjustRightInd w:val="0"/>
              <w:snapToGrid w:val="0"/>
              <w:spacing w:line="280" w:lineRule="exact"/>
              <w:jc w:val="center"/>
              <w:rPr>
                <w:rFonts w:eastAsia="仿宋_GB2312"/>
                <w:b/>
                <w:bCs/>
                <w:color w:val="auto"/>
              </w:rPr>
            </w:pPr>
            <w:r>
              <w:rPr>
                <w:rFonts w:ascii="仿宋_GB2312" w:eastAsia="仿宋_GB2312"/>
                <w:b/>
                <w:bCs/>
                <w:color w:val="auto"/>
              </w:rPr>
              <w:t>产生情况</w:t>
            </w:r>
          </w:p>
        </w:tc>
        <w:tc>
          <w:tcPr>
            <w:tcW w:w="709" w:type="pct"/>
            <w:vMerge w:val="restart"/>
            <w:vAlign w:val="center"/>
          </w:tcPr>
          <w:p w14:paraId="5AB02FD6">
            <w:pPr>
              <w:adjustRightInd w:val="0"/>
              <w:snapToGrid w:val="0"/>
              <w:spacing w:line="280" w:lineRule="exact"/>
              <w:jc w:val="center"/>
              <w:rPr>
                <w:rFonts w:eastAsia="仿宋_GB2312"/>
                <w:b/>
                <w:bCs/>
                <w:color w:val="auto"/>
              </w:rPr>
            </w:pPr>
            <w:r>
              <w:rPr>
                <w:rFonts w:ascii="仿宋_GB2312" w:eastAsia="仿宋_GB2312"/>
                <w:b/>
                <w:bCs/>
                <w:color w:val="auto"/>
              </w:rPr>
              <w:t>拟采取的处理方式</w:t>
            </w:r>
          </w:p>
        </w:tc>
        <w:tc>
          <w:tcPr>
            <w:tcW w:w="830" w:type="pct"/>
            <w:vMerge w:val="restart"/>
            <w:vAlign w:val="center"/>
          </w:tcPr>
          <w:p w14:paraId="342815F6">
            <w:pPr>
              <w:adjustRightInd w:val="0"/>
              <w:snapToGrid w:val="0"/>
              <w:spacing w:line="280" w:lineRule="exact"/>
              <w:jc w:val="center"/>
              <w:rPr>
                <w:rFonts w:eastAsia="仿宋_GB2312"/>
                <w:b/>
                <w:bCs/>
                <w:color w:val="auto"/>
              </w:rPr>
            </w:pPr>
            <w:r>
              <w:rPr>
                <w:rFonts w:ascii="仿宋_GB2312" w:eastAsia="仿宋_GB2312"/>
                <w:b/>
                <w:bCs/>
                <w:color w:val="auto"/>
              </w:rPr>
              <w:t>排放去向</w:t>
            </w:r>
          </w:p>
        </w:tc>
      </w:tr>
      <w:tr w14:paraId="7F9352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41" w:type="pct"/>
            <w:vMerge w:val="continue"/>
            <w:vAlign w:val="center"/>
          </w:tcPr>
          <w:p w14:paraId="6FAA5BC6">
            <w:pPr>
              <w:widowControl/>
              <w:jc w:val="left"/>
              <w:rPr>
                <w:rFonts w:eastAsia="仿宋_GB2312"/>
                <w:b/>
                <w:bCs/>
                <w:color w:val="auto"/>
                <w:szCs w:val="21"/>
              </w:rPr>
            </w:pPr>
          </w:p>
        </w:tc>
        <w:tc>
          <w:tcPr>
            <w:tcW w:w="631" w:type="pct"/>
            <w:vMerge w:val="continue"/>
            <w:vAlign w:val="center"/>
          </w:tcPr>
          <w:p w14:paraId="758F9FF8">
            <w:pPr>
              <w:widowControl/>
              <w:jc w:val="left"/>
              <w:rPr>
                <w:rFonts w:eastAsia="仿宋_GB2312"/>
                <w:b/>
                <w:bCs/>
                <w:color w:val="auto"/>
                <w:szCs w:val="21"/>
              </w:rPr>
            </w:pPr>
          </w:p>
        </w:tc>
        <w:tc>
          <w:tcPr>
            <w:tcW w:w="611" w:type="pct"/>
            <w:vMerge w:val="continue"/>
            <w:vAlign w:val="center"/>
          </w:tcPr>
          <w:p w14:paraId="21F8D805">
            <w:pPr>
              <w:widowControl/>
              <w:jc w:val="left"/>
              <w:rPr>
                <w:rFonts w:eastAsia="仿宋_GB2312"/>
                <w:b/>
                <w:bCs/>
                <w:color w:val="auto"/>
                <w:szCs w:val="21"/>
              </w:rPr>
            </w:pPr>
          </w:p>
        </w:tc>
        <w:tc>
          <w:tcPr>
            <w:tcW w:w="740" w:type="pct"/>
            <w:vAlign w:val="center"/>
          </w:tcPr>
          <w:p w14:paraId="6283F315">
            <w:pPr>
              <w:adjustRightInd w:val="0"/>
              <w:snapToGrid w:val="0"/>
              <w:spacing w:line="280" w:lineRule="exact"/>
              <w:jc w:val="center"/>
              <w:rPr>
                <w:rFonts w:eastAsia="仿宋_GB2312"/>
                <w:b/>
                <w:bCs/>
                <w:color w:val="auto"/>
              </w:rPr>
            </w:pPr>
            <w:r>
              <w:rPr>
                <w:rFonts w:ascii="仿宋_GB2312" w:eastAsia="仿宋_GB2312"/>
                <w:b/>
                <w:bCs/>
                <w:color w:val="auto"/>
              </w:rPr>
              <w:t>浓度</w:t>
            </w:r>
          </w:p>
          <w:p w14:paraId="7B116077">
            <w:pPr>
              <w:adjustRightInd w:val="0"/>
              <w:snapToGrid w:val="0"/>
              <w:spacing w:line="280" w:lineRule="exact"/>
              <w:jc w:val="center"/>
              <w:rPr>
                <w:rFonts w:eastAsia="仿宋_GB2312"/>
                <w:b/>
                <w:bCs/>
                <w:color w:val="auto"/>
              </w:rPr>
            </w:pPr>
            <w:r>
              <w:rPr>
                <w:rFonts w:ascii="仿宋_GB2312" w:eastAsia="仿宋_GB2312"/>
                <w:b/>
                <w:bCs/>
                <w:color w:val="auto"/>
              </w:rPr>
              <w:t>（</w:t>
            </w:r>
            <w:r>
              <w:rPr>
                <w:rFonts w:eastAsia="仿宋_GB2312"/>
                <w:b/>
                <w:bCs/>
                <w:color w:val="auto"/>
              </w:rPr>
              <w:t>mg/L</w:t>
            </w:r>
            <w:r>
              <w:rPr>
                <w:rFonts w:ascii="仿宋_GB2312" w:eastAsia="仿宋_GB2312"/>
                <w:b/>
                <w:bCs/>
                <w:color w:val="auto"/>
              </w:rPr>
              <w:t>）</w:t>
            </w:r>
          </w:p>
        </w:tc>
        <w:tc>
          <w:tcPr>
            <w:tcW w:w="634" w:type="pct"/>
            <w:vAlign w:val="center"/>
          </w:tcPr>
          <w:p w14:paraId="64AEAE63">
            <w:pPr>
              <w:adjustRightInd w:val="0"/>
              <w:snapToGrid w:val="0"/>
              <w:spacing w:line="280" w:lineRule="exact"/>
              <w:jc w:val="center"/>
              <w:rPr>
                <w:rFonts w:eastAsia="仿宋_GB2312"/>
                <w:b/>
                <w:bCs/>
                <w:color w:val="auto"/>
              </w:rPr>
            </w:pPr>
            <w:r>
              <w:rPr>
                <w:rFonts w:ascii="仿宋_GB2312" w:eastAsia="仿宋_GB2312"/>
                <w:b/>
                <w:bCs/>
                <w:color w:val="auto"/>
              </w:rPr>
              <w:t>产生量</w:t>
            </w:r>
          </w:p>
          <w:p w14:paraId="1C65013B">
            <w:pPr>
              <w:adjustRightInd w:val="0"/>
              <w:snapToGrid w:val="0"/>
              <w:spacing w:line="280" w:lineRule="exact"/>
              <w:jc w:val="center"/>
              <w:rPr>
                <w:rFonts w:eastAsia="仿宋_GB2312"/>
                <w:b/>
                <w:bCs/>
                <w:color w:val="auto"/>
              </w:rPr>
            </w:pPr>
            <w:r>
              <w:rPr>
                <w:rFonts w:ascii="仿宋_GB2312" w:eastAsia="仿宋_GB2312"/>
                <w:b/>
                <w:bCs/>
                <w:color w:val="auto"/>
              </w:rPr>
              <w:t>（</w:t>
            </w:r>
            <w:r>
              <w:rPr>
                <w:rFonts w:eastAsia="仿宋_GB2312"/>
                <w:b/>
                <w:bCs/>
                <w:color w:val="auto"/>
              </w:rPr>
              <w:t>t/a</w:t>
            </w:r>
            <w:r>
              <w:rPr>
                <w:rFonts w:ascii="仿宋_GB2312" w:eastAsia="仿宋_GB2312"/>
                <w:b/>
                <w:bCs/>
                <w:color w:val="auto"/>
              </w:rPr>
              <w:t>）</w:t>
            </w:r>
          </w:p>
        </w:tc>
        <w:tc>
          <w:tcPr>
            <w:tcW w:w="709" w:type="pct"/>
            <w:vMerge w:val="continue"/>
            <w:vAlign w:val="center"/>
          </w:tcPr>
          <w:p w14:paraId="69ECF22C">
            <w:pPr>
              <w:widowControl/>
              <w:jc w:val="left"/>
              <w:rPr>
                <w:rFonts w:eastAsia="仿宋_GB2312"/>
                <w:b/>
                <w:bCs/>
                <w:color w:val="auto"/>
                <w:szCs w:val="21"/>
              </w:rPr>
            </w:pPr>
          </w:p>
        </w:tc>
        <w:tc>
          <w:tcPr>
            <w:tcW w:w="830" w:type="pct"/>
            <w:vMerge w:val="continue"/>
            <w:vAlign w:val="center"/>
          </w:tcPr>
          <w:p w14:paraId="42137599">
            <w:pPr>
              <w:widowControl/>
              <w:jc w:val="left"/>
              <w:rPr>
                <w:rFonts w:eastAsia="仿宋_GB2312"/>
                <w:b/>
                <w:bCs/>
                <w:color w:val="auto"/>
                <w:szCs w:val="21"/>
              </w:rPr>
            </w:pPr>
          </w:p>
        </w:tc>
      </w:tr>
      <w:tr w14:paraId="2A8D91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41" w:type="pct"/>
            <w:vMerge w:val="restart"/>
            <w:vAlign w:val="center"/>
          </w:tcPr>
          <w:p w14:paraId="0B6F86D7">
            <w:pPr>
              <w:adjustRightInd w:val="0"/>
              <w:snapToGrid w:val="0"/>
              <w:spacing w:line="280" w:lineRule="exact"/>
              <w:jc w:val="center"/>
              <w:rPr>
                <w:rFonts w:eastAsia="仿宋_GB2312"/>
                <w:color w:val="auto"/>
              </w:rPr>
            </w:pPr>
            <w:r>
              <w:rPr>
                <w:rFonts w:ascii="仿宋_GB2312" w:eastAsia="仿宋_GB2312"/>
                <w:color w:val="auto"/>
              </w:rPr>
              <w:t>初期雨水（</w:t>
            </w:r>
            <w:r>
              <w:rPr>
                <w:rFonts w:hint="eastAsia" w:ascii="仿宋_GB2312" w:eastAsia="仿宋_GB2312"/>
                <w:color w:val="auto"/>
                <w:lang w:val="en-US" w:eastAsia="zh-CN"/>
              </w:rPr>
              <w:t>中间缓冲</w:t>
            </w:r>
            <w:r>
              <w:rPr>
                <w:rFonts w:hint="eastAsia" w:ascii="仿宋_GB2312" w:eastAsia="仿宋_GB2312"/>
                <w:color w:val="auto"/>
              </w:rPr>
              <w:t>罐区</w:t>
            </w:r>
            <w:r>
              <w:rPr>
                <w:rFonts w:ascii="仿宋_GB2312" w:eastAsia="仿宋_GB2312"/>
                <w:color w:val="auto"/>
              </w:rPr>
              <w:t>）</w:t>
            </w:r>
          </w:p>
        </w:tc>
        <w:tc>
          <w:tcPr>
            <w:tcW w:w="631" w:type="pct"/>
            <w:vMerge w:val="restart"/>
            <w:vAlign w:val="center"/>
          </w:tcPr>
          <w:p w14:paraId="5094ADA9">
            <w:pPr>
              <w:adjustRightInd w:val="0"/>
              <w:snapToGrid w:val="0"/>
              <w:spacing w:line="280" w:lineRule="exact"/>
              <w:jc w:val="center"/>
              <w:rPr>
                <w:rFonts w:hint="default" w:eastAsia="仿宋_GB2312"/>
                <w:color w:val="auto"/>
                <w:lang w:val="en-US" w:eastAsia="zh-CN"/>
              </w:rPr>
            </w:pPr>
            <w:r>
              <w:rPr>
                <w:rFonts w:hint="eastAsia" w:eastAsia="仿宋_GB2312"/>
                <w:color w:val="auto"/>
                <w:lang w:val="en-US" w:eastAsia="zh-CN"/>
              </w:rPr>
              <w:t>150</w:t>
            </w:r>
          </w:p>
        </w:tc>
        <w:tc>
          <w:tcPr>
            <w:tcW w:w="611" w:type="pct"/>
            <w:vAlign w:val="center"/>
          </w:tcPr>
          <w:p w14:paraId="72D71823">
            <w:pPr>
              <w:adjustRightInd w:val="0"/>
              <w:snapToGrid w:val="0"/>
              <w:spacing w:line="280" w:lineRule="exact"/>
              <w:jc w:val="center"/>
              <w:rPr>
                <w:rFonts w:eastAsia="仿宋_GB2312"/>
                <w:color w:val="auto"/>
              </w:rPr>
            </w:pPr>
            <w:r>
              <w:rPr>
                <w:rFonts w:eastAsia="仿宋_GB2312"/>
                <w:color w:val="auto"/>
              </w:rPr>
              <w:t>COD</w:t>
            </w:r>
          </w:p>
        </w:tc>
        <w:tc>
          <w:tcPr>
            <w:tcW w:w="740" w:type="pct"/>
            <w:vAlign w:val="center"/>
          </w:tcPr>
          <w:p w14:paraId="40C5FE8F">
            <w:pPr>
              <w:adjustRightInd w:val="0"/>
              <w:snapToGrid w:val="0"/>
              <w:spacing w:line="280" w:lineRule="exact"/>
              <w:jc w:val="center"/>
              <w:rPr>
                <w:rFonts w:eastAsia="仿宋_GB2312"/>
                <w:color w:val="auto"/>
              </w:rPr>
            </w:pPr>
            <w:r>
              <w:rPr>
                <w:rFonts w:hint="eastAsia"/>
                <w:color w:val="auto"/>
                <w:szCs w:val="21"/>
                <w:lang w:val="en-US" w:eastAsia="zh-CN"/>
              </w:rPr>
              <w:t>5</w:t>
            </w:r>
            <w:r>
              <w:rPr>
                <w:color w:val="auto"/>
                <w:szCs w:val="21"/>
              </w:rPr>
              <w:t>00</w:t>
            </w:r>
          </w:p>
        </w:tc>
        <w:tc>
          <w:tcPr>
            <w:tcW w:w="634" w:type="pct"/>
            <w:vAlign w:val="center"/>
          </w:tcPr>
          <w:p w14:paraId="06C399EE">
            <w:pPr>
              <w:jc w:val="center"/>
              <w:rPr>
                <w:rFonts w:hint="default" w:eastAsia="仿宋_GB2312"/>
                <w:color w:val="auto"/>
                <w:lang w:val="en-US" w:eastAsia="zh-CN"/>
              </w:rPr>
            </w:pPr>
            <w:r>
              <w:rPr>
                <w:rFonts w:hint="eastAsia" w:eastAsia="仿宋_GB2312"/>
                <w:color w:val="auto"/>
                <w:lang w:val="en-US" w:eastAsia="zh-CN"/>
              </w:rPr>
              <w:t>0.075</w:t>
            </w:r>
          </w:p>
        </w:tc>
        <w:tc>
          <w:tcPr>
            <w:tcW w:w="709" w:type="pct"/>
            <w:vMerge w:val="restart"/>
            <w:vAlign w:val="center"/>
          </w:tcPr>
          <w:p w14:paraId="18F4FB1B">
            <w:pPr>
              <w:adjustRightInd w:val="0"/>
              <w:snapToGrid w:val="0"/>
              <w:spacing w:line="280" w:lineRule="exact"/>
              <w:jc w:val="center"/>
              <w:rPr>
                <w:rFonts w:eastAsia="仿宋_GB2312"/>
                <w:color w:val="auto"/>
                <w:kern w:val="0"/>
              </w:rPr>
            </w:pPr>
            <w:r>
              <w:rPr>
                <w:rFonts w:hint="eastAsia" w:eastAsia="仿宋_GB2312"/>
                <w:color w:val="auto"/>
                <w:szCs w:val="21"/>
                <w:lang w:val="en-US" w:eastAsia="zh-CN" w:bidi="ar"/>
              </w:rPr>
              <w:t>厂区1#</w:t>
            </w:r>
            <w:r>
              <w:rPr>
                <w:rFonts w:eastAsia="仿宋_GB2312"/>
                <w:color w:val="auto"/>
                <w:szCs w:val="21"/>
                <w:lang w:bidi="ar"/>
              </w:rPr>
              <w:t>污水站</w:t>
            </w:r>
            <w:r>
              <w:rPr>
                <w:rFonts w:hint="eastAsia" w:eastAsia="仿宋_GB2312"/>
                <w:color w:val="auto"/>
                <w:szCs w:val="21"/>
                <w:lang w:bidi="ar"/>
              </w:rPr>
              <w:t>处理</w:t>
            </w:r>
          </w:p>
        </w:tc>
        <w:tc>
          <w:tcPr>
            <w:tcW w:w="830" w:type="pct"/>
            <w:vMerge w:val="restart"/>
            <w:vAlign w:val="center"/>
          </w:tcPr>
          <w:p w14:paraId="095204C4">
            <w:pPr>
              <w:adjustRightInd w:val="0"/>
              <w:snapToGrid w:val="0"/>
              <w:spacing w:line="280" w:lineRule="exact"/>
              <w:jc w:val="center"/>
              <w:rPr>
                <w:rFonts w:eastAsia="仿宋_GB2312"/>
                <w:color w:val="auto"/>
                <w:kern w:val="0"/>
              </w:rPr>
            </w:pPr>
            <w:r>
              <w:rPr>
                <w:rFonts w:hint="eastAsia" w:eastAsia="仿宋_GB2312"/>
                <w:color w:val="auto"/>
                <w:kern w:val="0"/>
                <w:szCs w:val="21"/>
                <w:lang w:val="en-US" w:eastAsia="zh-CN" w:bidi="ar"/>
              </w:rPr>
              <w:t>厂区内回用</w:t>
            </w:r>
            <w:r>
              <w:rPr>
                <w:rFonts w:eastAsia="仿宋_GB2312"/>
                <w:color w:val="auto"/>
                <w:kern w:val="0"/>
                <w:szCs w:val="21"/>
                <w:lang w:bidi="ar"/>
              </w:rPr>
              <w:t>，不外排</w:t>
            </w:r>
          </w:p>
        </w:tc>
      </w:tr>
      <w:tr w14:paraId="123DEF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41" w:type="pct"/>
            <w:vMerge w:val="continue"/>
            <w:vAlign w:val="center"/>
          </w:tcPr>
          <w:p w14:paraId="3688E7DB">
            <w:pPr>
              <w:widowControl/>
              <w:jc w:val="left"/>
              <w:rPr>
                <w:rFonts w:eastAsia="仿宋_GB2312"/>
                <w:color w:val="FF0000"/>
                <w:szCs w:val="21"/>
              </w:rPr>
            </w:pPr>
          </w:p>
        </w:tc>
        <w:tc>
          <w:tcPr>
            <w:tcW w:w="631" w:type="pct"/>
            <w:vMerge w:val="continue"/>
            <w:vAlign w:val="center"/>
          </w:tcPr>
          <w:p w14:paraId="3D3399FF">
            <w:pPr>
              <w:widowControl/>
              <w:jc w:val="left"/>
              <w:rPr>
                <w:rFonts w:eastAsia="仿宋_GB2312"/>
                <w:color w:val="FF0000"/>
                <w:szCs w:val="21"/>
              </w:rPr>
            </w:pPr>
          </w:p>
        </w:tc>
        <w:tc>
          <w:tcPr>
            <w:tcW w:w="611" w:type="pct"/>
            <w:vAlign w:val="center"/>
          </w:tcPr>
          <w:p w14:paraId="7FA79284">
            <w:pPr>
              <w:adjustRightInd w:val="0"/>
              <w:snapToGrid w:val="0"/>
              <w:spacing w:line="280" w:lineRule="exact"/>
              <w:jc w:val="center"/>
              <w:rPr>
                <w:rFonts w:eastAsia="仿宋_GB2312"/>
                <w:color w:val="auto"/>
              </w:rPr>
            </w:pPr>
            <w:r>
              <w:rPr>
                <w:rFonts w:eastAsia="仿宋_GB2312"/>
                <w:color w:val="auto"/>
              </w:rPr>
              <w:t>SS</w:t>
            </w:r>
          </w:p>
        </w:tc>
        <w:tc>
          <w:tcPr>
            <w:tcW w:w="740" w:type="pct"/>
            <w:vAlign w:val="center"/>
          </w:tcPr>
          <w:p w14:paraId="5AACCBB6">
            <w:pPr>
              <w:adjustRightInd w:val="0"/>
              <w:snapToGrid w:val="0"/>
              <w:spacing w:line="280" w:lineRule="exact"/>
              <w:jc w:val="center"/>
              <w:rPr>
                <w:rFonts w:eastAsia="仿宋_GB2312"/>
                <w:color w:val="auto"/>
              </w:rPr>
            </w:pPr>
            <w:r>
              <w:rPr>
                <w:color w:val="auto"/>
                <w:szCs w:val="21"/>
              </w:rPr>
              <w:t>300</w:t>
            </w:r>
          </w:p>
        </w:tc>
        <w:tc>
          <w:tcPr>
            <w:tcW w:w="634" w:type="pct"/>
            <w:vAlign w:val="center"/>
          </w:tcPr>
          <w:p w14:paraId="320FE567">
            <w:pPr>
              <w:jc w:val="center"/>
              <w:rPr>
                <w:rFonts w:hint="default" w:eastAsia="仿宋_GB2312"/>
                <w:color w:val="auto"/>
                <w:lang w:val="en-US" w:eastAsia="zh-CN"/>
              </w:rPr>
            </w:pPr>
            <w:r>
              <w:rPr>
                <w:rFonts w:hint="eastAsia" w:eastAsia="仿宋_GB2312"/>
                <w:color w:val="auto"/>
                <w:lang w:val="en-US" w:eastAsia="zh-CN"/>
              </w:rPr>
              <w:t>0.045</w:t>
            </w:r>
          </w:p>
        </w:tc>
        <w:tc>
          <w:tcPr>
            <w:tcW w:w="709" w:type="pct"/>
            <w:vMerge w:val="continue"/>
            <w:vAlign w:val="center"/>
          </w:tcPr>
          <w:p w14:paraId="26E0638E">
            <w:pPr>
              <w:widowControl/>
              <w:jc w:val="left"/>
              <w:rPr>
                <w:rFonts w:eastAsia="仿宋_GB2312"/>
                <w:color w:val="FF0000"/>
                <w:kern w:val="0"/>
                <w:szCs w:val="21"/>
              </w:rPr>
            </w:pPr>
          </w:p>
        </w:tc>
        <w:tc>
          <w:tcPr>
            <w:tcW w:w="830" w:type="pct"/>
            <w:vMerge w:val="continue"/>
            <w:vAlign w:val="center"/>
          </w:tcPr>
          <w:p w14:paraId="09580ED6">
            <w:pPr>
              <w:widowControl/>
              <w:jc w:val="left"/>
              <w:rPr>
                <w:rFonts w:eastAsia="仿宋_GB2312"/>
                <w:color w:val="FF0000"/>
                <w:kern w:val="0"/>
                <w:szCs w:val="21"/>
              </w:rPr>
            </w:pPr>
          </w:p>
        </w:tc>
      </w:tr>
      <w:tr w14:paraId="2C98E31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41" w:type="pct"/>
            <w:vMerge w:val="continue"/>
            <w:vAlign w:val="center"/>
          </w:tcPr>
          <w:p w14:paraId="011CBFD8">
            <w:pPr>
              <w:widowControl/>
              <w:jc w:val="left"/>
              <w:rPr>
                <w:rFonts w:eastAsia="仿宋_GB2312"/>
                <w:color w:val="FF0000"/>
                <w:szCs w:val="21"/>
              </w:rPr>
            </w:pPr>
          </w:p>
        </w:tc>
        <w:tc>
          <w:tcPr>
            <w:tcW w:w="631" w:type="pct"/>
            <w:vMerge w:val="continue"/>
            <w:vAlign w:val="center"/>
          </w:tcPr>
          <w:p w14:paraId="21A28741">
            <w:pPr>
              <w:widowControl/>
              <w:jc w:val="left"/>
              <w:rPr>
                <w:rFonts w:eastAsia="仿宋_GB2312"/>
                <w:color w:val="FF0000"/>
                <w:szCs w:val="21"/>
              </w:rPr>
            </w:pPr>
          </w:p>
        </w:tc>
        <w:tc>
          <w:tcPr>
            <w:tcW w:w="611" w:type="pct"/>
            <w:shd w:val="clear" w:color="auto" w:fill="auto"/>
            <w:vAlign w:val="center"/>
          </w:tcPr>
          <w:p w14:paraId="2C838204">
            <w:pPr>
              <w:widowControl/>
              <w:spacing w:line="300" w:lineRule="exact"/>
              <w:jc w:val="center"/>
              <w:rPr>
                <w:rFonts w:ascii="Times New Roman" w:hAnsi="Times New Roman" w:eastAsia="仿宋_GB2312" w:cs="Times New Roman"/>
                <w:color w:val="auto"/>
                <w:kern w:val="0"/>
                <w:sz w:val="21"/>
                <w:szCs w:val="21"/>
                <w:lang w:val="en-US" w:eastAsia="zh-CN" w:bidi="ar-SA"/>
              </w:rPr>
            </w:pPr>
            <w:r>
              <w:rPr>
                <w:rFonts w:eastAsia="仿宋_GB2312"/>
                <w:color w:val="auto"/>
                <w:kern w:val="0"/>
                <w:szCs w:val="21"/>
              </w:rPr>
              <w:t>NH</w:t>
            </w:r>
            <w:r>
              <w:rPr>
                <w:rFonts w:eastAsia="仿宋_GB2312"/>
                <w:color w:val="auto"/>
                <w:kern w:val="0"/>
                <w:szCs w:val="21"/>
                <w:vertAlign w:val="subscript"/>
              </w:rPr>
              <w:t>3</w:t>
            </w:r>
            <w:r>
              <w:rPr>
                <w:rFonts w:eastAsia="仿宋_GB2312"/>
                <w:color w:val="auto"/>
                <w:kern w:val="0"/>
                <w:szCs w:val="21"/>
              </w:rPr>
              <w:t>-N</w:t>
            </w:r>
          </w:p>
        </w:tc>
        <w:tc>
          <w:tcPr>
            <w:tcW w:w="740" w:type="pct"/>
            <w:vAlign w:val="center"/>
          </w:tcPr>
          <w:p w14:paraId="1A45A5E7">
            <w:pPr>
              <w:adjustRightInd w:val="0"/>
              <w:snapToGrid w:val="0"/>
              <w:spacing w:line="280" w:lineRule="exact"/>
              <w:jc w:val="center"/>
              <w:rPr>
                <w:rFonts w:hint="default" w:eastAsia="宋体"/>
                <w:color w:val="auto"/>
                <w:szCs w:val="21"/>
                <w:lang w:val="en-US" w:eastAsia="zh-CN"/>
              </w:rPr>
            </w:pPr>
            <w:r>
              <w:rPr>
                <w:rFonts w:hint="eastAsia"/>
                <w:color w:val="auto"/>
                <w:szCs w:val="21"/>
                <w:lang w:val="en-US" w:eastAsia="zh-CN"/>
              </w:rPr>
              <w:t>30</w:t>
            </w:r>
          </w:p>
        </w:tc>
        <w:tc>
          <w:tcPr>
            <w:tcW w:w="634" w:type="pct"/>
            <w:vAlign w:val="center"/>
          </w:tcPr>
          <w:p w14:paraId="02562597">
            <w:pPr>
              <w:jc w:val="center"/>
              <w:rPr>
                <w:rFonts w:hint="default" w:eastAsia="宋体"/>
                <w:color w:val="auto"/>
                <w:szCs w:val="21"/>
                <w:lang w:val="en-US" w:eastAsia="zh-CN"/>
              </w:rPr>
            </w:pPr>
            <w:r>
              <w:rPr>
                <w:rFonts w:hint="eastAsia"/>
                <w:color w:val="auto"/>
                <w:szCs w:val="21"/>
                <w:lang w:val="en-US" w:eastAsia="zh-CN"/>
              </w:rPr>
              <w:t>0.005</w:t>
            </w:r>
          </w:p>
        </w:tc>
        <w:tc>
          <w:tcPr>
            <w:tcW w:w="709" w:type="pct"/>
            <w:vMerge w:val="continue"/>
            <w:vAlign w:val="center"/>
          </w:tcPr>
          <w:p w14:paraId="006ED191">
            <w:pPr>
              <w:widowControl/>
              <w:jc w:val="left"/>
              <w:rPr>
                <w:rFonts w:eastAsia="仿宋_GB2312"/>
                <w:color w:val="FF0000"/>
                <w:kern w:val="0"/>
                <w:szCs w:val="21"/>
              </w:rPr>
            </w:pPr>
          </w:p>
        </w:tc>
        <w:tc>
          <w:tcPr>
            <w:tcW w:w="830" w:type="pct"/>
            <w:vMerge w:val="continue"/>
            <w:vAlign w:val="center"/>
          </w:tcPr>
          <w:p w14:paraId="58CDB1F0">
            <w:pPr>
              <w:widowControl/>
              <w:jc w:val="left"/>
              <w:rPr>
                <w:rFonts w:eastAsia="仿宋_GB2312"/>
                <w:color w:val="FF0000"/>
                <w:kern w:val="0"/>
                <w:szCs w:val="21"/>
              </w:rPr>
            </w:pPr>
          </w:p>
        </w:tc>
      </w:tr>
      <w:tr w14:paraId="6F7270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41" w:type="pct"/>
            <w:vMerge w:val="continue"/>
            <w:vAlign w:val="center"/>
          </w:tcPr>
          <w:p w14:paraId="16CAABB8">
            <w:pPr>
              <w:widowControl/>
              <w:jc w:val="left"/>
              <w:rPr>
                <w:rFonts w:eastAsia="仿宋_GB2312"/>
                <w:color w:val="FF0000"/>
                <w:szCs w:val="21"/>
              </w:rPr>
            </w:pPr>
          </w:p>
        </w:tc>
        <w:tc>
          <w:tcPr>
            <w:tcW w:w="631" w:type="pct"/>
            <w:vMerge w:val="continue"/>
            <w:vAlign w:val="center"/>
          </w:tcPr>
          <w:p w14:paraId="4EBC726F">
            <w:pPr>
              <w:widowControl/>
              <w:jc w:val="left"/>
              <w:rPr>
                <w:rFonts w:eastAsia="仿宋_GB2312"/>
                <w:color w:val="FF0000"/>
                <w:szCs w:val="21"/>
              </w:rPr>
            </w:pPr>
          </w:p>
        </w:tc>
        <w:tc>
          <w:tcPr>
            <w:tcW w:w="611" w:type="pct"/>
            <w:shd w:val="clear" w:color="auto" w:fill="auto"/>
            <w:vAlign w:val="center"/>
          </w:tcPr>
          <w:p w14:paraId="6ED1D244">
            <w:pPr>
              <w:widowControl/>
              <w:spacing w:line="300" w:lineRule="exact"/>
              <w:jc w:val="center"/>
              <w:rPr>
                <w:rFonts w:hint="default" w:ascii="Times New Roman" w:hAnsi="Times New Roman" w:eastAsia="仿宋_GB2312" w:cs="Times New Roman"/>
                <w:color w:val="auto"/>
                <w:kern w:val="0"/>
                <w:sz w:val="21"/>
                <w:szCs w:val="21"/>
                <w:lang w:val="en-US" w:eastAsia="zh-CN" w:bidi="ar-SA"/>
              </w:rPr>
            </w:pPr>
            <w:r>
              <w:rPr>
                <w:rFonts w:hint="eastAsia" w:eastAsia="仿宋_GB2312" w:cs="Times New Roman"/>
                <w:color w:val="auto"/>
                <w:kern w:val="0"/>
                <w:sz w:val="21"/>
                <w:szCs w:val="21"/>
                <w:lang w:val="en-US" w:eastAsia="zh-CN" w:bidi="ar-SA"/>
              </w:rPr>
              <w:t>TN</w:t>
            </w:r>
          </w:p>
        </w:tc>
        <w:tc>
          <w:tcPr>
            <w:tcW w:w="740" w:type="pct"/>
            <w:vAlign w:val="center"/>
          </w:tcPr>
          <w:p w14:paraId="77AAD89D">
            <w:pPr>
              <w:adjustRightInd w:val="0"/>
              <w:snapToGrid w:val="0"/>
              <w:spacing w:line="280" w:lineRule="exact"/>
              <w:jc w:val="center"/>
              <w:rPr>
                <w:rFonts w:hint="default" w:eastAsia="宋体"/>
                <w:color w:val="auto"/>
                <w:szCs w:val="21"/>
                <w:lang w:val="en-US" w:eastAsia="zh-CN"/>
              </w:rPr>
            </w:pPr>
            <w:r>
              <w:rPr>
                <w:rFonts w:hint="eastAsia"/>
                <w:color w:val="auto"/>
                <w:szCs w:val="21"/>
                <w:lang w:val="en-US" w:eastAsia="zh-CN"/>
              </w:rPr>
              <w:t>45</w:t>
            </w:r>
          </w:p>
        </w:tc>
        <w:tc>
          <w:tcPr>
            <w:tcW w:w="634" w:type="pct"/>
            <w:vAlign w:val="center"/>
          </w:tcPr>
          <w:p w14:paraId="379D7309">
            <w:pPr>
              <w:jc w:val="center"/>
              <w:rPr>
                <w:rFonts w:hint="default" w:eastAsia="宋体"/>
                <w:color w:val="auto"/>
                <w:szCs w:val="21"/>
                <w:lang w:val="en-US" w:eastAsia="zh-CN"/>
              </w:rPr>
            </w:pPr>
            <w:r>
              <w:rPr>
                <w:rFonts w:hint="eastAsia"/>
                <w:color w:val="auto"/>
                <w:szCs w:val="21"/>
                <w:lang w:val="en-US" w:eastAsia="zh-CN"/>
              </w:rPr>
              <w:t>0.007</w:t>
            </w:r>
          </w:p>
        </w:tc>
        <w:tc>
          <w:tcPr>
            <w:tcW w:w="709" w:type="pct"/>
            <w:vMerge w:val="continue"/>
            <w:vAlign w:val="center"/>
          </w:tcPr>
          <w:p w14:paraId="400474EB">
            <w:pPr>
              <w:widowControl/>
              <w:jc w:val="left"/>
              <w:rPr>
                <w:rFonts w:eastAsia="仿宋_GB2312"/>
                <w:color w:val="FF0000"/>
                <w:kern w:val="0"/>
                <w:szCs w:val="21"/>
              </w:rPr>
            </w:pPr>
          </w:p>
        </w:tc>
        <w:tc>
          <w:tcPr>
            <w:tcW w:w="830" w:type="pct"/>
            <w:vMerge w:val="continue"/>
            <w:vAlign w:val="center"/>
          </w:tcPr>
          <w:p w14:paraId="06414D95">
            <w:pPr>
              <w:widowControl/>
              <w:jc w:val="left"/>
              <w:rPr>
                <w:rFonts w:eastAsia="仿宋_GB2312"/>
                <w:color w:val="FF0000"/>
                <w:kern w:val="0"/>
                <w:szCs w:val="21"/>
              </w:rPr>
            </w:pPr>
          </w:p>
        </w:tc>
      </w:tr>
      <w:tr w14:paraId="7B1B4F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41" w:type="pct"/>
            <w:vMerge w:val="continue"/>
            <w:vAlign w:val="center"/>
          </w:tcPr>
          <w:p w14:paraId="69F95ED1">
            <w:pPr>
              <w:widowControl/>
              <w:jc w:val="left"/>
              <w:rPr>
                <w:rFonts w:eastAsia="仿宋_GB2312"/>
                <w:color w:val="FF0000"/>
                <w:szCs w:val="21"/>
              </w:rPr>
            </w:pPr>
          </w:p>
        </w:tc>
        <w:tc>
          <w:tcPr>
            <w:tcW w:w="631" w:type="pct"/>
            <w:vMerge w:val="continue"/>
            <w:vAlign w:val="center"/>
          </w:tcPr>
          <w:p w14:paraId="13096E71">
            <w:pPr>
              <w:widowControl/>
              <w:jc w:val="left"/>
              <w:rPr>
                <w:rFonts w:eastAsia="仿宋_GB2312"/>
                <w:color w:val="FF0000"/>
                <w:szCs w:val="21"/>
              </w:rPr>
            </w:pPr>
          </w:p>
        </w:tc>
        <w:tc>
          <w:tcPr>
            <w:tcW w:w="611" w:type="pct"/>
            <w:vAlign w:val="center"/>
          </w:tcPr>
          <w:p w14:paraId="7B7ABB75">
            <w:pPr>
              <w:adjustRightInd w:val="0"/>
              <w:snapToGrid w:val="0"/>
              <w:spacing w:line="280" w:lineRule="exact"/>
              <w:jc w:val="center"/>
              <w:rPr>
                <w:rFonts w:eastAsia="仿宋_GB2312"/>
                <w:color w:val="auto"/>
              </w:rPr>
            </w:pPr>
            <w:r>
              <w:rPr>
                <w:rFonts w:eastAsia="仿宋_GB2312"/>
                <w:color w:val="auto"/>
                <w:kern w:val="0"/>
                <w:szCs w:val="21"/>
              </w:rPr>
              <w:t>TP</w:t>
            </w:r>
          </w:p>
        </w:tc>
        <w:tc>
          <w:tcPr>
            <w:tcW w:w="740" w:type="pct"/>
            <w:vAlign w:val="center"/>
          </w:tcPr>
          <w:p w14:paraId="6A9BB82A">
            <w:pPr>
              <w:adjustRightInd w:val="0"/>
              <w:snapToGrid w:val="0"/>
              <w:spacing w:line="280" w:lineRule="exact"/>
              <w:jc w:val="center"/>
              <w:rPr>
                <w:rFonts w:hint="eastAsia" w:eastAsia="宋体"/>
                <w:color w:val="auto"/>
                <w:szCs w:val="21"/>
                <w:lang w:val="en-US" w:eastAsia="zh-CN"/>
              </w:rPr>
            </w:pPr>
            <w:r>
              <w:rPr>
                <w:rFonts w:hint="eastAsia"/>
                <w:color w:val="auto"/>
                <w:szCs w:val="21"/>
                <w:lang w:val="en-US" w:eastAsia="zh-CN"/>
              </w:rPr>
              <w:t>3</w:t>
            </w:r>
          </w:p>
        </w:tc>
        <w:tc>
          <w:tcPr>
            <w:tcW w:w="634" w:type="pct"/>
            <w:vAlign w:val="center"/>
          </w:tcPr>
          <w:p w14:paraId="4FEB4707">
            <w:pPr>
              <w:jc w:val="center"/>
              <w:rPr>
                <w:rFonts w:hint="default" w:eastAsia="宋体"/>
                <w:color w:val="auto"/>
                <w:szCs w:val="21"/>
                <w:lang w:val="en-US" w:eastAsia="zh-CN"/>
              </w:rPr>
            </w:pPr>
            <w:r>
              <w:rPr>
                <w:rFonts w:hint="eastAsia"/>
                <w:color w:val="auto"/>
                <w:szCs w:val="21"/>
                <w:lang w:val="en-US" w:eastAsia="zh-CN"/>
              </w:rPr>
              <w:t>0.001</w:t>
            </w:r>
          </w:p>
        </w:tc>
        <w:tc>
          <w:tcPr>
            <w:tcW w:w="709" w:type="pct"/>
            <w:vMerge w:val="continue"/>
            <w:vAlign w:val="center"/>
          </w:tcPr>
          <w:p w14:paraId="70A7F3F5">
            <w:pPr>
              <w:widowControl/>
              <w:jc w:val="left"/>
              <w:rPr>
                <w:rFonts w:eastAsia="仿宋_GB2312"/>
                <w:color w:val="FF0000"/>
                <w:kern w:val="0"/>
                <w:szCs w:val="21"/>
              </w:rPr>
            </w:pPr>
          </w:p>
        </w:tc>
        <w:tc>
          <w:tcPr>
            <w:tcW w:w="830" w:type="pct"/>
            <w:vMerge w:val="continue"/>
            <w:vAlign w:val="center"/>
          </w:tcPr>
          <w:p w14:paraId="5E2A257B">
            <w:pPr>
              <w:widowControl/>
              <w:jc w:val="left"/>
              <w:rPr>
                <w:rFonts w:eastAsia="仿宋_GB2312"/>
                <w:color w:val="FF0000"/>
                <w:kern w:val="0"/>
                <w:szCs w:val="21"/>
              </w:rPr>
            </w:pPr>
          </w:p>
        </w:tc>
      </w:tr>
      <w:tr w14:paraId="3F7C546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41" w:type="pct"/>
            <w:vMerge w:val="continue"/>
            <w:vAlign w:val="center"/>
          </w:tcPr>
          <w:p w14:paraId="6E950DB1">
            <w:pPr>
              <w:widowControl/>
              <w:jc w:val="left"/>
              <w:rPr>
                <w:rFonts w:eastAsia="仿宋_GB2312"/>
                <w:color w:val="FF0000"/>
                <w:szCs w:val="21"/>
              </w:rPr>
            </w:pPr>
          </w:p>
        </w:tc>
        <w:tc>
          <w:tcPr>
            <w:tcW w:w="631" w:type="pct"/>
            <w:vMerge w:val="continue"/>
            <w:vAlign w:val="center"/>
          </w:tcPr>
          <w:p w14:paraId="0866523A">
            <w:pPr>
              <w:widowControl/>
              <w:jc w:val="left"/>
              <w:rPr>
                <w:rFonts w:eastAsia="仿宋_GB2312"/>
                <w:color w:val="FF0000"/>
                <w:szCs w:val="21"/>
              </w:rPr>
            </w:pPr>
          </w:p>
        </w:tc>
        <w:tc>
          <w:tcPr>
            <w:tcW w:w="611" w:type="pct"/>
            <w:vAlign w:val="center"/>
          </w:tcPr>
          <w:p w14:paraId="586D1F7C">
            <w:pPr>
              <w:adjustRightInd w:val="0"/>
              <w:snapToGrid w:val="0"/>
              <w:spacing w:line="280" w:lineRule="exact"/>
              <w:jc w:val="center"/>
              <w:rPr>
                <w:rFonts w:eastAsia="仿宋_GB2312"/>
                <w:color w:val="auto"/>
              </w:rPr>
            </w:pPr>
            <w:r>
              <w:rPr>
                <w:rFonts w:ascii="仿宋_GB2312" w:eastAsia="仿宋_GB2312"/>
                <w:color w:val="auto"/>
              </w:rPr>
              <w:t>盐分</w:t>
            </w:r>
          </w:p>
        </w:tc>
        <w:tc>
          <w:tcPr>
            <w:tcW w:w="740" w:type="pct"/>
            <w:vAlign w:val="center"/>
          </w:tcPr>
          <w:p w14:paraId="6D5DBC86">
            <w:pPr>
              <w:adjustRightInd w:val="0"/>
              <w:snapToGrid w:val="0"/>
              <w:spacing w:line="280" w:lineRule="exact"/>
              <w:jc w:val="center"/>
              <w:rPr>
                <w:rFonts w:eastAsia="仿宋_GB2312"/>
                <w:color w:val="auto"/>
              </w:rPr>
            </w:pPr>
            <w:r>
              <w:rPr>
                <w:rFonts w:hint="eastAsia"/>
                <w:color w:val="auto"/>
                <w:szCs w:val="21"/>
                <w:lang w:val="en-US" w:eastAsia="zh-CN"/>
              </w:rPr>
              <w:t>5</w:t>
            </w:r>
            <w:r>
              <w:rPr>
                <w:color w:val="auto"/>
                <w:szCs w:val="21"/>
              </w:rPr>
              <w:t>00</w:t>
            </w:r>
          </w:p>
        </w:tc>
        <w:tc>
          <w:tcPr>
            <w:tcW w:w="634" w:type="pct"/>
            <w:vAlign w:val="center"/>
          </w:tcPr>
          <w:p w14:paraId="401650C6">
            <w:pPr>
              <w:widowControl/>
              <w:jc w:val="center"/>
              <w:rPr>
                <w:rFonts w:hint="default" w:eastAsia="宋体"/>
                <w:color w:val="auto"/>
                <w:kern w:val="0"/>
                <w:szCs w:val="21"/>
                <w:lang w:val="en-US" w:eastAsia="zh-CN"/>
              </w:rPr>
            </w:pPr>
            <w:r>
              <w:rPr>
                <w:rFonts w:hint="eastAsia"/>
                <w:color w:val="auto"/>
                <w:kern w:val="0"/>
                <w:szCs w:val="21"/>
                <w:lang w:val="en-US" w:eastAsia="zh-CN"/>
              </w:rPr>
              <w:t>0.075</w:t>
            </w:r>
          </w:p>
        </w:tc>
        <w:tc>
          <w:tcPr>
            <w:tcW w:w="709" w:type="pct"/>
            <w:vMerge w:val="continue"/>
            <w:vAlign w:val="center"/>
          </w:tcPr>
          <w:p w14:paraId="33258B94">
            <w:pPr>
              <w:widowControl/>
              <w:jc w:val="left"/>
              <w:rPr>
                <w:rFonts w:eastAsia="仿宋_GB2312"/>
                <w:color w:val="FF0000"/>
                <w:kern w:val="0"/>
                <w:szCs w:val="21"/>
              </w:rPr>
            </w:pPr>
          </w:p>
        </w:tc>
        <w:tc>
          <w:tcPr>
            <w:tcW w:w="830" w:type="pct"/>
            <w:vMerge w:val="continue"/>
            <w:vAlign w:val="center"/>
          </w:tcPr>
          <w:p w14:paraId="426889D4">
            <w:pPr>
              <w:widowControl/>
              <w:jc w:val="left"/>
              <w:rPr>
                <w:rFonts w:eastAsia="仿宋_GB2312"/>
                <w:color w:val="FF0000"/>
                <w:kern w:val="0"/>
                <w:szCs w:val="21"/>
              </w:rPr>
            </w:pPr>
          </w:p>
        </w:tc>
      </w:tr>
    </w:tbl>
    <w:p w14:paraId="5719FE8F">
      <w:pPr>
        <w:tabs>
          <w:tab w:val="left" w:pos="6840"/>
        </w:tabs>
        <w:spacing w:line="500" w:lineRule="exact"/>
        <w:ind w:firstLine="562" w:firstLineChars="200"/>
        <w:rPr>
          <w:rFonts w:eastAsia="仿宋_GB2312"/>
          <w:b/>
          <w:color w:val="auto"/>
          <w:sz w:val="28"/>
          <w:szCs w:val="28"/>
        </w:rPr>
      </w:pPr>
      <w:r>
        <w:rPr>
          <w:rFonts w:eastAsia="仿宋_GB2312"/>
          <w:b/>
          <w:color w:val="auto"/>
          <w:sz w:val="28"/>
          <w:szCs w:val="28"/>
        </w:rPr>
        <w:t>（3）循环冷却系统排水</w:t>
      </w:r>
    </w:p>
    <w:p w14:paraId="1B479236">
      <w:pPr>
        <w:spacing w:line="500" w:lineRule="exact"/>
        <w:ind w:firstLine="560" w:firstLineChars="200"/>
        <w:rPr>
          <w:rFonts w:eastAsia="仿宋_GB2312"/>
          <w:color w:val="auto"/>
          <w:sz w:val="28"/>
          <w:szCs w:val="28"/>
        </w:rPr>
      </w:pPr>
      <w:r>
        <w:rPr>
          <w:rFonts w:hint="eastAsia" w:eastAsia="仿宋_GB2312"/>
          <w:color w:val="auto"/>
          <w:sz w:val="28"/>
          <w:szCs w:val="28"/>
          <w:lang w:val="en-US" w:eastAsia="zh-CN"/>
        </w:rPr>
        <w:t>本项目建成后单位时间新增循环水使用量约为80m</w:t>
      </w:r>
      <w:r>
        <w:rPr>
          <w:rFonts w:hint="eastAsia" w:eastAsia="仿宋_GB2312"/>
          <w:color w:val="auto"/>
          <w:sz w:val="28"/>
          <w:szCs w:val="28"/>
          <w:vertAlign w:val="superscript"/>
          <w:lang w:val="en-US" w:eastAsia="zh-CN"/>
        </w:rPr>
        <w:t>3</w:t>
      </w:r>
      <w:r>
        <w:rPr>
          <w:rFonts w:hint="eastAsia" w:eastAsia="仿宋_GB2312"/>
          <w:color w:val="auto"/>
          <w:sz w:val="28"/>
          <w:szCs w:val="28"/>
          <w:lang w:val="en-US" w:eastAsia="zh-CN"/>
        </w:rPr>
        <w:t>/h，</w:t>
      </w:r>
      <w:r>
        <w:rPr>
          <w:rFonts w:eastAsia="仿宋_GB2312"/>
          <w:color w:val="auto"/>
          <w:sz w:val="28"/>
          <w:szCs w:val="28"/>
        </w:rPr>
        <w:t>依托原有</w:t>
      </w:r>
      <w:r>
        <w:rPr>
          <w:rFonts w:hint="eastAsia" w:eastAsia="仿宋_GB2312"/>
          <w:color w:val="auto"/>
          <w:sz w:val="28"/>
          <w:szCs w:val="28"/>
          <w:lang w:val="en-US" w:eastAsia="zh-CN"/>
        </w:rPr>
        <w:t>1</w:t>
      </w:r>
      <w:r>
        <w:rPr>
          <w:rFonts w:eastAsia="仿宋_GB2312"/>
          <w:color w:val="auto"/>
          <w:sz w:val="28"/>
          <w:szCs w:val="28"/>
        </w:rPr>
        <w:t>#循环冷却系统，</w:t>
      </w:r>
      <w:r>
        <w:rPr>
          <w:rFonts w:hint="eastAsia" w:eastAsia="仿宋_GB2312"/>
          <w:color w:val="auto"/>
          <w:sz w:val="28"/>
          <w:szCs w:val="28"/>
          <w:lang w:val="en-US" w:eastAsia="zh-CN"/>
        </w:rPr>
        <w:t>1#循环冷却水系统尚余能力约为200m</w:t>
      </w:r>
      <w:r>
        <w:rPr>
          <w:rFonts w:hint="eastAsia" w:eastAsia="仿宋_GB2312"/>
          <w:color w:val="auto"/>
          <w:sz w:val="28"/>
          <w:szCs w:val="28"/>
          <w:vertAlign w:val="superscript"/>
          <w:lang w:val="en-US" w:eastAsia="zh-CN"/>
        </w:rPr>
        <w:t>3</w:t>
      </w:r>
      <w:r>
        <w:rPr>
          <w:rFonts w:hint="eastAsia" w:eastAsia="仿宋_GB2312"/>
          <w:color w:val="auto"/>
          <w:sz w:val="28"/>
          <w:szCs w:val="28"/>
          <w:lang w:val="en-US" w:eastAsia="zh-CN"/>
        </w:rPr>
        <w:t>/h，</w:t>
      </w:r>
      <w:r>
        <w:rPr>
          <w:rFonts w:eastAsia="仿宋_GB2312"/>
          <w:color w:val="auto"/>
          <w:sz w:val="28"/>
          <w:szCs w:val="28"/>
        </w:rPr>
        <w:t>依托可行。</w:t>
      </w:r>
      <w:r>
        <w:rPr>
          <w:rFonts w:hint="eastAsia" w:eastAsia="仿宋_GB2312"/>
          <w:color w:val="auto"/>
          <w:sz w:val="28"/>
          <w:szCs w:val="28"/>
          <w:lang w:val="en-US" w:eastAsia="zh-CN"/>
        </w:rPr>
        <w:t>本项目建成后1#循环冷却水系统新增新增排水量约为2600</w:t>
      </w:r>
      <w:r>
        <w:rPr>
          <w:rFonts w:eastAsia="仿宋_GB2312"/>
          <w:color w:val="auto"/>
          <w:sz w:val="28"/>
          <w:szCs w:val="28"/>
        </w:rPr>
        <w:t>m</w:t>
      </w:r>
      <w:r>
        <w:rPr>
          <w:rFonts w:eastAsia="仿宋_GB2312"/>
          <w:color w:val="auto"/>
          <w:sz w:val="28"/>
          <w:szCs w:val="28"/>
          <w:vertAlign w:val="superscript"/>
        </w:rPr>
        <w:t>3</w:t>
      </w:r>
      <w:r>
        <w:rPr>
          <w:rFonts w:eastAsia="仿宋_GB2312"/>
          <w:color w:val="auto"/>
          <w:sz w:val="28"/>
          <w:szCs w:val="28"/>
        </w:rPr>
        <w:t>/a，循环冷却水系统排水进入</w:t>
      </w:r>
      <w:r>
        <w:rPr>
          <w:rFonts w:hint="eastAsia" w:eastAsia="仿宋_GB2312"/>
          <w:color w:val="auto"/>
          <w:sz w:val="28"/>
          <w:szCs w:val="28"/>
          <w:lang w:val="en-US" w:eastAsia="zh-CN"/>
        </w:rPr>
        <w:t>3</w:t>
      </w:r>
      <w:r>
        <w:rPr>
          <w:rFonts w:eastAsia="仿宋_GB2312"/>
          <w:color w:val="auto"/>
          <w:sz w:val="28"/>
          <w:szCs w:val="28"/>
        </w:rPr>
        <w:t>#</w:t>
      </w:r>
      <w:r>
        <w:rPr>
          <w:rFonts w:hint="eastAsia" w:eastAsia="仿宋_GB2312"/>
          <w:color w:val="auto"/>
          <w:sz w:val="28"/>
          <w:szCs w:val="28"/>
          <w:lang w:val="en-US" w:eastAsia="zh-CN"/>
        </w:rPr>
        <w:t>污水站处理后接管至常州民生环保科技有限公司</w:t>
      </w:r>
      <w:r>
        <w:rPr>
          <w:rFonts w:eastAsia="仿宋_GB2312"/>
          <w:color w:val="auto"/>
          <w:sz w:val="28"/>
          <w:szCs w:val="28"/>
        </w:rPr>
        <w:t>。具体废水产生情况见表3.6-</w:t>
      </w:r>
      <w:r>
        <w:rPr>
          <w:rFonts w:hint="eastAsia" w:eastAsia="仿宋_GB2312"/>
          <w:color w:val="auto"/>
          <w:sz w:val="28"/>
          <w:szCs w:val="28"/>
          <w:lang w:val="en-US" w:eastAsia="zh-CN"/>
        </w:rPr>
        <w:t>3</w:t>
      </w:r>
      <w:r>
        <w:rPr>
          <w:rFonts w:eastAsia="仿宋_GB2312"/>
          <w:color w:val="auto"/>
          <w:sz w:val="28"/>
          <w:szCs w:val="28"/>
        </w:rPr>
        <w:t>。</w:t>
      </w:r>
    </w:p>
    <w:p w14:paraId="23C0E86D">
      <w:pPr>
        <w:pStyle w:val="404"/>
        <w:spacing w:line="500" w:lineRule="exact"/>
        <w:ind w:firstLine="0" w:firstLineChars="0"/>
        <w:jc w:val="center"/>
        <w:rPr>
          <w:rFonts w:eastAsia="仿宋_GB2312"/>
          <w:b/>
          <w:bCs/>
          <w:color w:val="auto"/>
          <w:sz w:val="24"/>
        </w:rPr>
      </w:pPr>
      <w:r>
        <w:rPr>
          <w:rFonts w:eastAsia="仿宋_GB2312"/>
          <w:b/>
          <w:bCs/>
          <w:color w:val="auto"/>
          <w:sz w:val="24"/>
        </w:rPr>
        <w:t>表3.6-</w:t>
      </w:r>
      <w:r>
        <w:rPr>
          <w:rFonts w:hint="eastAsia" w:eastAsia="仿宋_GB2312"/>
          <w:b/>
          <w:bCs/>
          <w:color w:val="auto"/>
          <w:sz w:val="24"/>
          <w:lang w:val="en-US" w:eastAsia="zh-CN"/>
        </w:rPr>
        <w:t>3</w:t>
      </w:r>
      <w:r>
        <w:rPr>
          <w:rFonts w:eastAsia="仿宋_GB2312"/>
          <w:b/>
          <w:bCs/>
          <w:color w:val="auto"/>
          <w:sz w:val="24"/>
        </w:rPr>
        <w:t xml:space="preserve">  循环冷却系统排水情况表</w:t>
      </w:r>
    </w:p>
    <w:tbl>
      <w:tblPr>
        <w:tblStyle w:val="882"/>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57" w:type="dxa"/>
          <w:bottom w:w="0" w:type="dxa"/>
          <w:right w:w="57" w:type="dxa"/>
        </w:tblCellMar>
      </w:tblPr>
      <w:tblGrid>
        <w:gridCol w:w="1069"/>
        <w:gridCol w:w="888"/>
        <w:gridCol w:w="1219"/>
        <w:gridCol w:w="1285"/>
        <w:gridCol w:w="1295"/>
        <w:gridCol w:w="1219"/>
        <w:gridCol w:w="1446"/>
      </w:tblGrid>
      <w:tr w14:paraId="291780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7" w:type="dxa"/>
            <w:bottom w:w="0" w:type="dxa"/>
            <w:right w:w="57" w:type="dxa"/>
          </w:tblCellMar>
        </w:tblPrEx>
        <w:trPr>
          <w:trHeight w:val="340" w:hRule="atLeast"/>
          <w:jc w:val="center"/>
        </w:trPr>
        <w:tc>
          <w:tcPr>
            <w:tcW w:w="634" w:type="pct"/>
            <w:vAlign w:val="center"/>
          </w:tcPr>
          <w:p w14:paraId="3AA16A06">
            <w:pPr>
              <w:widowControl/>
              <w:spacing w:line="300" w:lineRule="exact"/>
              <w:jc w:val="center"/>
              <w:rPr>
                <w:rFonts w:eastAsia="仿宋_GB2312"/>
                <w:b/>
                <w:color w:val="auto"/>
                <w:kern w:val="0"/>
                <w:szCs w:val="21"/>
              </w:rPr>
            </w:pPr>
            <w:r>
              <w:rPr>
                <w:rFonts w:eastAsia="仿宋_GB2312"/>
                <w:b/>
                <w:color w:val="auto"/>
                <w:kern w:val="0"/>
                <w:szCs w:val="21"/>
              </w:rPr>
              <w:t>废水名称</w:t>
            </w:r>
          </w:p>
        </w:tc>
        <w:tc>
          <w:tcPr>
            <w:tcW w:w="527" w:type="pct"/>
            <w:vAlign w:val="center"/>
          </w:tcPr>
          <w:p w14:paraId="5D6D4C82">
            <w:pPr>
              <w:widowControl/>
              <w:spacing w:line="300" w:lineRule="exact"/>
              <w:jc w:val="center"/>
              <w:rPr>
                <w:rFonts w:eastAsia="仿宋_GB2312"/>
                <w:b/>
                <w:color w:val="auto"/>
                <w:kern w:val="0"/>
                <w:szCs w:val="21"/>
              </w:rPr>
            </w:pPr>
            <w:r>
              <w:rPr>
                <w:rFonts w:eastAsia="仿宋_GB2312"/>
                <w:b/>
                <w:color w:val="auto"/>
                <w:kern w:val="0"/>
                <w:szCs w:val="21"/>
              </w:rPr>
              <w:t>废水量(m</w:t>
            </w:r>
            <w:r>
              <w:rPr>
                <w:rFonts w:eastAsia="仿宋_GB2312"/>
                <w:b/>
                <w:color w:val="auto"/>
                <w:kern w:val="0"/>
                <w:szCs w:val="21"/>
                <w:vertAlign w:val="superscript"/>
              </w:rPr>
              <w:t>3</w:t>
            </w:r>
            <w:r>
              <w:rPr>
                <w:rFonts w:eastAsia="仿宋_GB2312"/>
                <w:b/>
                <w:color w:val="auto"/>
                <w:kern w:val="0"/>
                <w:szCs w:val="21"/>
              </w:rPr>
              <w:t>/a)</w:t>
            </w:r>
          </w:p>
        </w:tc>
        <w:tc>
          <w:tcPr>
            <w:tcW w:w="723" w:type="pct"/>
            <w:vAlign w:val="center"/>
          </w:tcPr>
          <w:p w14:paraId="451CF962">
            <w:pPr>
              <w:widowControl/>
              <w:spacing w:line="300" w:lineRule="exact"/>
              <w:jc w:val="center"/>
              <w:rPr>
                <w:rFonts w:eastAsia="仿宋_GB2312"/>
                <w:b/>
                <w:color w:val="auto"/>
                <w:kern w:val="0"/>
                <w:szCs w:val="21"/>
              </w:rPr>
            </w:pPr>
            <w:r>
              <w:rPr>
                <w:rFonts w:eastAsia="仿宋_GB2312"/>
                <w:b/>
                <w:color w:val="auto"/>
                <w:kern w:val="0"/>
                <w:szCs w:val="21"/>
              </w:rPr>
              <w:t>污染物名称</w:t>
            </w:r>
          </w:p>
        </w:tc>
        <w:tc>
          <w:tcPr>
            <w:tcW w:w="762" w:type="pct"/>
            <w:vAlign w:val="center"/>
          </w:tcPr>
          <w:p w14:paraId="0397FC7F">
            <w:pPr>
              <w:widowControl/>
              <w:spacing w:line="300" w:lineRule="exact"/>
              <w:jc w:val="center"/>
              <w:rPr>
                <w:rFonts w:eastAsia="仿宋_GB2312"/>
                <w:b/>
                <w:color w:val="auto"/>
                <w:kern w:val="0"/>
                <w:szCs w:val="21"/>
              </w:rPr>
            </w:pPr>
            <w:r>
              <w:rPr>
                <w:rFonts w:eastAsia="仿宋_GB2312"/>
                <w:b/>
                <w:color w:val="auto"/>
                <w:kern w:val="0"/>
                <w:szCs w:val="21"/>
              </w:rPr>
              <w:t>浓度(mg/L)</w:t>
            </w:r>
          </w:p>
        </w:tc>
        <w:tc>
          <w:tcPr>
            <w:tcW w:w="768" w:type="pct"/>
            <w:vAlign w:val="center"/>
          </w:tcPr>
          <w:p w14:paraId="78BE4A15">
            <w:pPr>
              <w:widowControl/>
              <w:spacing w:line="300" w:lineRule="exact"/>
              <w:jc w:val="center"/>
              <w:rPr>
                <w:rFonts w:eastAsia="仿宋_GB2312"/>
                <w:b/>
                <w:color w:val="auto"/>
                <w:kern w:val="0"/>
                <w:szCs w:val="21"/>
              </w:rPr>
            </w:pPr>
            <w:r>
              <w:rPr>
                <w:rFonts w:eastAsia="仿宋_GB2312"/>
                <w:b/>
                <w:color w:val="auto"/>
                <w:kern w:val="0"/>
                <w:szCs w:val="21"/>
              </w:rPr>
              <w:t>产生量(t/a)</w:t>
            </w:r>
          </w:p>
        </w:tc>
        <w:tc>
          <w:tcPr>
            <w:tcW w:w="723" w:type="pct"/>
            <w:vAlign w:val="center"/>
          </w:tcPr>
          <w:p w14:paraId="372CFF71">
            <w:pPr>
              <w:widowControl/>
              <w:spacing w:line="300" w:lineRule="exact"/>
              <w:jc w:val="center"/>
              <w:rPr>
                <w:rFonts w:eastAsia="仿宋_GB2312"/>
                <w:b/>
                <w:color w:val="auto"/>
                <w:kern w:val="0"/>
                <w:szCs w:val="21"/>
              </w:rPr>
            </w:pPr>
            <w:r>
              <w:rPr>
                <w:rFonts w:eastAsia="仿宋_GB2312"/>
                <w:b/>
                <w:color w:val="auto"/>
                <w:kern w:val="0"/>
                <w:szCs w:val="21"/>
              </w:rPr>
              <w:t>拟采取的处理方式</w:t>
            </w:r>
          </w:p>
        </w:tc>
        <w:tc>
          <w:tcPr>
            <w:tcW w:w="858" w:type="pct"/>
            <w:vAlign w:val="center"/>
          </w:tcPr>
          <w:p w14:paraId="5450569C">
            <w:pPr>
              <w:widowControl/>
              <w:spacing w:line="300" w:lineRule="exact"/>
              <w:jc w:val="center"/>
              <w:rPr>
                <w:rFonts w:eastAsia="仿宋_GB2312"/>
                <w:b/>
                <w:color w:val="auto"/>
                <w:kern w:val="0"/>
                <w:szCs w:val="21"/>
              </w:rPr>
            </w:pPr>
            <w:r>
              <w:rPr>
                <w:rFonts w:eastAsia="仿宋_GB2312"/>
                <w:b/>
                <w:color w:val="auto"/>
                <w:kern w:val="0"/>
                <w:szCs w:val="21"/>
              </w:rPr>
              <w:t>排放去向</w:t>
            </w:r>
          </w:p>
        </w:tc>
      </w:tr>
      <w:tr w14:paraId="23678B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7" w:type="dxa"/>
            <w:bottom w:w="0" w:type="dxa"/>
            <w:right w:w="57" w:type="dxa"/>
          </w:tblCellMar>
        </w:tblPrEx>
        <w:trPr>
          <w:trHeight w:val="340" w:hRule="atLeast"/>
          <w:jc w:val="center"/>
        </w:trPr>
        <w:tc>
          <w:tcPr>
            <w:tcW w:w="634" w:type="pct"/>
            <w:vMerge w:val="restart"/>
            <w:vAlign w:val="center"/>
          </w:tcPr>
          <w:p w14:paraId="059F1DF2">
            <w:pPr>
              <w:widowControl/>
              <w:spacing w:line="300" w:lineRule="exact"/>
              <w:jc w:val="center"/>
              <w:rPr>
                <w:rFonts w:eastAsia="仿宋_GB2312"/>
                <w:color w:val="auto"/>
                <w:kern w:val="0"/>
                <w:szCs w:val="21"/>
              </w:rPr>
            </w:pPr>
            <w:r>
              <w:rPr>
                <w:rFonts w:eastAsia="仿宋_GB2312"/>
                <w:color w:val="auto"/>
                <w:kern w:val="0"/>
                <w:szCs w:val="21"/>
              </w:rPr>
              <w:t>循环冷却系统排水</w:t>
            </w:r>
          </w:p>
        </w:tc>
        <w:tc>
          <w:tcPr>
            <w:tcW w:w="527" w:type="pct"/>
            <w:vMerge w:val="restart"/>
            <w:vAlign w:val="center"/>
          </w:tcPr>
          <w:p w14:paraId="444C7D78">
            <w:pPr>
              <w:widowControl/>
              <w:spacing w:line="300" w:lineRule="exact"/>
              <w:jc w:val="center"/>
              <w:rPr>
                <w:rFonts w:hint="default" w:eastAsia="仿宋_GB2312"/>
                <w:color w:val="auto"/>
                <w:kern w:val="0"/>
                <w:szCs w:val="21"/>
                <w:lang w:val="en-US" w:eastAsia="zh-CN"/>
              </w:rPr>
            </w:pPr>
            <w:r>
              <w:rPr>
                <w:rFonts w:hint="eastAsia" w:eastAsia="仿宋_GB2312"/>
                <w:color w:val="auto"/>
                <w:kern w:val="0"/>
                <w:szCs w:val="21"/>
                <w:lang w:val="en-US" w:eastAsia="zh-CN"/>
              </w:rPr>
              <w:t>2600</w:t>
            </w:r>
          </w:p>
        </w:tc>
        <w:tc>
          <w:tcPr>
            <w:tcW w:w="723" w:type="pct"/>
            <w:shd w:val="clear" w:color="auto" w:fill="auto"/>
            <w:vAlign w:val="center"/>
          </w:tcPr>
          <w:p w14:paraId="4576330B">
            <w:pPr>
              <w:widowControl/>
              <w:spacing w:line="300" w:lineRule="exact"/>
              <w:jc w:val="center"/>
              <w:rPr>
                <w:rFonts w:eastAsia="仿宋_GB2312"/>
                <w:color w:val="auto"/>
                <w:kern w:val="0"/>
                <w:szCs w:val="21"/>
              </w:rPr>
            </w:pPr>
            <w:r>
              <w:rPr>
                <w:rFonts w:eastAsia="仿宋_GB2312"/>
                <w:color w:val="auto"/>
                <w:kern w:val="0"/>
                <w:szCs w:val="21"/>
              </w:rPr>
              <w:t>COD</w:t>
            </w:r>
          </w:p>
        </w:tc>
        <w:tc>
          <w:tcPr>
            <w:tcW w:w="762" w:type="pct"/>
            <w:shd w:val="clear" w:color="auto" w:fill="auto"/>
            <w:vAlign w:val="center"/>
          </w:tcPr>
          <w:p w14:paraId="62910DA7">
            <w:pPr>
              <w:widowControl/>
              <w:spacing w:line="300" w:lineRule="exact"/>
              <w:jc w:val="center"/>
              <w:rPr>
                <w:rFonts w:hint="default" w:eastAsia="仿宋_GB2312"/>
                <w:color w:val="auto"/>
                <w:kern w:val="0"/>
                <w:szCs w:val="21"/>
                <w:lang w:val="en-US" w:eastAsia="zh-CN"/>
              </w:rPr>
            </w:pPr>
            <w:r>
              <w:rPr>
                <w:rFonts w:hint="eastAsia" w:eastAsia="仿宋_GB2312"/>
                <w:color w:val="auto"/>
                <w:kern w:val="0"/>
                <w:szCs w:val="21"/>
                <w:lang w:val="en-US" w:eastAsia="zh-CN"/>
              </w:rPr>
              <w:t>80</w:t>
            </w:r>
          </w:p>
        </w:tc>
        <w:tc>
          <w:tcPr>
            <w:tcW w:w="768" w:type="pct"/>
            <w:shd w:val="clear" w:color="auto" w:fill="auto"/>
            <w:vAlign w:val="center"/>
          </w:tcPr>
          <w:p w14:paraId="71C5A5A5">
            <w:pPr>
              <w:widowControl/>
              <w:spacing w:line="300" w:lineRule="exact"/>
              <w:jc w:val="center"/>
              <w:rPr>
                <w:rFonts w:hint="default" w:eastAsia="仿宋_GB2312"/>
                <w:color w:val="auto"/>
                <w:kern w:val="0"/>
                <w:szCs w:val="21"/>
                <w:lang w:val="en-US" w:eastAsia="zh-CN"/>
              </w:rPr>
            </w:pPr>
            <w:r>
              <w:rPr>
                <w:rFonts w:eastAsia="仿宋_GB2312"/>
                <w:color w:val="auto"/>
                <w:kern w:val="0"/>
                <w:szCs w:val="21"/>
              </w:rPr>
              <w:t>0.</w:t>
            </w:r>
            <w:r>
              <w:rPr>
                <w:rFonts w:hint="eastAsia" w:eastAsia="仿宋_GB2312"/>
                <w:color w:val="auto"/>
                <w:kern w:val="0"/>
                <w:szCs w:val="21"/>
                <w:lang w:val="en-US" w:eastAsia="zh-CN"/>
              </w:rPr>
              <w:t>21</w:t>
            </w:r>
          </w:p>
        </w:tc>
        <w:tc>
          <w:tcPr>
            <w:tcW w:w="723" w:type="pct"/>
            <w:vMerge w:val="restart"/>
            <w:vAlign w:val="center"/>
          </w:tcPr>
          <w:p w14:paraId="46708CF3">
            <w:pPr>
              <w:widowControl/>
              <w:spacing w:line="300" w:lineRule="exact"/>
              <w:jc w:val="center"/>
              <w:rPr>
                <w:rFonts w:hint="default" w:eastAsia="仿宋_GB2312"/>
                <w:color w:val="auto"/>
                <w:kern w:val="0"/>
                <w:szCs w:val="21"/>
                <w:lang w:val="en-US" w:eastAsia="zh-CN"/>
              </w:rPr>
            </w:pPr>
            <w:r>
              <w:rPr>
                <w:rFonts w:hint="eastAsia" w:eastAsia="仿宋_GB2312"/>
                <w:color w:val="auto"/>
                <w:kern w:val="0"/>
                <w:szCs w:val="21"/>
                <w:lang w:val="en-US" w:eastAsia="zh-CN"/>
              </w:rPr>
              <w:t>3#污水站</w:t>
            </w:r>
          </w:p>
        </w:tc>
        <w:tc>
          <w:tcPr>
            <w:tcW w:w="858" w:type="pct"/>
            <w:vMerge w:val="restart"/>
            <w:vAlign w:val="center"/>
          </w:tcPr>
          <w:p w14:paraId="66DC103B">
            <w:pPr>
              <w:widowControl/>
              <w:spacing w:line="300" w:lineRule="exact"/>
              <w:jc w:val="center"/>
              <w:rPr>
                <w:rFonts w:hint="default" w:eastAsia="仿宋_GB2312"/>
                <w:color w:val="auto"/>
                <w:kern w:val="0"/>
                <w:szCs w:val="21"/>
                <w:lang w:val="en-US" w:eastAsia="zh-CN"/>
              </w:rPr>
            </w:pPr>
            <w:r>
              <w:rPr>
                <w:rFonts w:hint="eastAsia" w:eastAsia="仿宋_GB2312"/>
                <w:color w:val="auto"/>
                <w:kern w:val="0"/>
                <w:szCs w:val="21"/>
                <w:lang w:val="en-US" w:eastAsia="zh-CN"/>
              </w:rPr>
              <w:t>接管至常州民生环保科技有限公司</w:t>
            </w:r>
          </w:p>
        </w:tc>
      </w:tr>
      <w:tr w14:paraId="151155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7" w:type="dxa"/>
            <w:bottom w:w="0" w:type="dxa"/>
            <w:right w:w="57" w:type="dxa"/>
          </w:tblCellMar>
        </w:tblPrEx>
        <w:trPr>
          <w:trHeight w:val="340" w:hRule="atLeast"/>
          <w:jc w:val="center"/>
        </w:trPr>
        <w:tc>
          <w:tcPr>
            <w:tcW w:w="634" w:type="pct"/>
            <w:vMerge w:val="continue"/>
            <w:vAlign w:val="center"/>
          </w:tcPr>
          <w:p w14:paraId="5672399B">
            <w:pPr>
              <w:widowControl/>
              <w:spacing w:line="300" w:lineRule="exact"/>
              <w:jc w:val="center"/>
              <w:rPr>
                <w:rFonts w:eastAsia="仿宋_GB2312"/>
                <w:color w:val="auto"/>
                <w:kern w:val="0"/>
                <w:szCs w:val="21"/>
              </w:rPr>
            </w:pPr>
          </w:p>
        </w:tc>
        <w:tc>
          <w:tcPr>
            <w:tcW w:w="527" w:type="pct"/>
            <w:vMerge w:val="continue"/>
            <w:vAlign w:val="center"/>
          </w:tcPr>
          <w:p w14:paraId="7718E132">
            <w:pPr>
              <w:widowControl/>
              <w:spacing w:line="300" w:lineRule="exact"/>
              <w:jc w:val="center"/>
              <w:rPr>
                <w:rFonts w:eastAsia="仿宋_GB2312"/>
                <w:color w:val="auto"/>
                <w:kern w:val="0"/>
                <w:szCs w:val="21"/>
              </w:rPr>
            </w:pPr>
          </w:p>
        </w:tc>
        <w:tc>
          <w:tcPr>
            <w:tcW w:w="723" w:type="pct"/>
            <w:shd w:val="clear" w:color="auto" w:fill="auto"/>
            <w:vAlign w:val="center"/>
          </w:tcPr>
          <w:p w14:paraId="10843EF7">
            <w:pPr>
              <w:widowControl/>
              <w:spacing w:line="300" w:lineRule="exact"/>
              <w:jc w:val="center"/>
              <w:rPr>
                <w:rFonts w:eastAsia="仿宋_GB2312"/>
                <w:color w:val="auto"/>
                <w:kern w:val="0"/>
                <w:szCs w:val="21"/>
              </w:rPr>
            </w:pPr>
            <w:r>
              <w:rPr>
                <w:rFonts w:eastAsia="仿宋_GB2312"/>
                <w:color w:val="auto"/>
                <w:kern w:val="0"/>
                <w:szCs w:val="21"/>
              </w:rPr>
              <w:t>SS</w:t>
            </w:r>
          </w:p>
        </w:tc>
        <w:tc>
          <w:tcPr>
            <w:tcW w:w="762" w:type="pct"/>
            <w:shd w:val="clear" w:color="auto" w:fill="auto"/>
            <w:vAlign w:val="center"/>
          </w:tcPr>
          <w:p w14:paraId="3C7050B0">
            <w:pPr>
              <w:widowControl/>
              <w:spacing w:line="300" w:lineRule="exact"/>
              <w:jc w:val="center"/>
              <w:rPr>
                <w:rFonts w:hint="default" w:eastAsia="仿宋_GB2312"/>
                <w:color w:val="auto"/>
                <w:kern w:val="0"/>
                <w:szCs w:val="21"/>
                <w:lang w:val="en-US" w:eastAsia="zh-CN"/>
              </w:rPr>
            </w:pPr>
            <w:r>
              <w:rPr>
                <w:rFonts w:hint="eastAsia" w:eastAsia="仿宋_GB2312"/>
                <w:color w:val="auto"/>
                <w:kern w:val="0"/>
                <w:szCs w:val="21"/>
                <w:lang w:val="en-US" w:eastAsia="zh-CN"/>
              </w:rPr>
              <w:t>100</w:t>
            </w:r>
          </w:p>
        </w:tc>
        <w:tc>
          <w:tcPr>
            <w:tcW w:w="768" w:type="pct"/>
            <w:shd w:val="clear" w:color="auto" w:fill="auto"/>
            <w:vAlign w:val="center"/>
          </w:tcPr>
          <w:p w14:paraId="3BD44A4D">
            <w:pPr>
              <w:widowControl/>
              <w:spacing w:line="300" w:lineRule="exact"/>
              <w:jc w:val="center"/>
              <w:rPr>
                <w:rFonts w:hint="default" w:eastAsia="仿宋_GB2312"/>
                <w:color w:val="auto"/>
                <w:kern w:val="0"/>
                <w:szCs w:val="21"/>
                <w:lang w:val="en-US" w:eastAsia="zh-CN"/>
              </w:rPr>
            </w:pPr>
            <w:r>
              <w:rPr>
                <w:rFonts w:eastAsia="仿宋_GB2312"/>
                <w:color w:val="auto"/>
                <w:kern w:val="0"/>
                <w:szCs w:val="21"/>
              </w:rPr>
              <w:t>0.</w:t>
            </w:r>
            <w:r>
              <w:rPr>
                <w:rFonts w:hint="eastAsia" w:eastAsia="仿宋_GB2312"/>
                <w:color w:val="auto"/>
                <w:kern w:val="0"/>
                <w:szCs w:val="21"/>
                <w:lang w:val="en-US" w:eastAsia="zh-CN"/>
              </w:rPr>
              <w:t>26</w:t>
            </w:r>
          </w:p>
        </w:tc>
        <w:tc>
          <w:tcPr>
            <w:tcW w:w="723" w:type="pct"/>
            <w:vMerge w:val="continue"/>
            <w:vAlign w:val="center"/>
          </w:tcPr>
          <w:p w14:paraId="5A33480F">
            <w:pPr>
              <w:pStyle w:val="163"/>
              <w:snapToGrid w:val="0"/>
              <w:ind w:firstLine="420"/>
              <w:rPr>
                <w:rFonts w:ascii="Times New Roman"/>
                <w:color w:val="FF0000"/>
              </w:rPr>
            </w:pPr>
          </w:p>
        </w:tc>
        <w:tc>
          <w:tcPr>
            <w:tcW w:w="858" w:type="pct"/>
            <w:vMerge w:val="continue"/>
            <w:vAlign w:val="center"/>
          </w:tcPr>
          <w:p w14:paraId="7C604A5A">
            <w:pPr>
              <w:pStyle w:val="163"/>
              <w:snapToGrid w:val="0"/>
              <w:ind w:firstLine="420"/>
              <w:rPr>
                <w:rFonts w:ascii="Times New Roman"/>
                <w:color w:val="FF0000"/>
              </w:rPr>
            </w:pPr>
          </w:p>
        </w:tc>
      </w:tr>
    </w:tbl>
    <w:p w14:paraId="2E893EFE">
      <w:pPr>
        <w:tabs>
          <w:tab w:val="left" w:pos="6840"/>
        </w:tabs>
        <w:spacing w:line="500" w:lineRule="exact"/>
        <w:ind w:firstLine="562" w:firstLineChars="200"/>
        <w:rPr>
          <w:rFonts w:eastAsia="仿宋_GB2312"/>
          <w:b/>
          <w:color w:val="auto"/>
          <w:sz w:val="28"/>
          <w:szCs w:val="28"/>
        </w:rPr>
      </w:pPr>
      <w:r>
        <w:rPr>
          <w:rFonts w:eastAsia="仿宋_GB2312"/>
          <w:b/>
          <w:color w:val="auto"/>
          <w:sz w:val="28"/>
          <w:szCs w:val="28"/>
        </w:rPr>
        <w:t>（4）废气吸收废水</w:t>
      </w:r>
    </w:p>
    <w:p w14:paraId="00575585">
      <w:pPr>
        <w:spacing w:line="500" w:lineRule="exact"/>
        <w:ind w:firstLine="560" w:firstLineChars="200"/>
        <w:rPr>
          <w:rFonts w:hint="default" w:eastAsia="仿宋_GB2312"/>
          <w:color w:val="auto"/>
          <w:sz w:val="28"/>
          <w:szCs w:val="28"/>
          <w:lang w:val="en-US" w:eastAsia="zh-CN"/>
        </w:rPr>
      </w:pPr>
      <w:r>
        <w:rPr>
          <w:rFonts w:hint="eastAsia" w:eastAsia="仿宋_GB2312"/>
          <w:color w:val="auto"/>
          <w:sz w:val="28"/>
          <w:szCs w:val="28"/>
          <w:lang w:val="en-US" w:eastAsia="zh-CN"/>
        </w:rPr>
        <w:t>本项目建成后为确保喷淋塔去除效率，增加喷淋液更换频次，新增喷淋废水量约为20000m</w:t>
      </w:r>
      <w:r>
        <w:rPr>
          <w:rFonts w:hint="eastAsia" w:eastAsia="仿宋_GB2312"/>
          <w:color w:val="auto"/>
          <w:sz w:val="28"/>
          <w:szCs w:val="28"/>
          <w:vertAlign w:val="superscript"/>
          <w:lang w:val="en-US" w:eastAsia="zh-CN"/>
        </w:rPr>
        <w:t>3</w:t>
      </w:r>
      <w:r>
        <w:rPr>
          <w:rFonts w:hint="eastAsia" w:eastAsia="仿宋_GB2312"/>
          <w:color w:val="auto"/>
          <w:sz w:val="28"/>
          <w:szCs w:val="28"/>
          <w:lang w:val="en-US" w:eastAsia="zh-CN"/>
        </w:rPr>
        <w:t>/a，具体废气吸收水产生情况如下：</w:t>
      </w:r>
    </w:p>
    <w:p w14:paraId="4E72D116">
      <w:pPr>
        <w:widowControl/>
        <w:spacing w:line="500" w:lineRule="exact"/>
        <w:jc w:val="center"/>
        <w:rPr>
          <w:rFonts w:eastAsia="仿宋_GB2312"/>
          <w:b/>
          <w:sz w:val="24"/>
        </w:rPr>
      </w:pPr>
      <w:r>
        <w:rPr>
          <w:rFonts w:eastAsia="仿宋_GB2312"/>
          <w:b/>
          <w:sz w:val="24"/>
        </w:rPr>
        <w:t>表</w:t>
      </w:r>
      <w:r>
        <w:rPr>
          <w:rFonts w:hint="eastAsia" w:eastAsia="仿宋_GB2312"/>
          <w:b/>
          <w:sz w:val="24"/>
          <w:lang w:val="en-US" w:eastAsia="zh-CN"/>
        </w:rPr>
        <w:t>3.6-4</w:t>
      </w:r>
      <w:r>
        <w:rPr>
          <w:rFonts w:eastAsia="仿宋_GB2312"/>
          <w:b/>
          <w:sz w:val="24"/>
        </w:rPr>
        <w:t xml:space="preserve">  废水产生情况表</w:t>
      </w:r>
    </w:p>
    <w:tbl>
      <w:tblPr>
        <w:tblStyle w:val="88"/>
        <w:tblW w:w="4998"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234"/>
        <w:gridCol w:w="1655"/>
        <w:gridCol w:w="1701"/>
        <w:gridCol w:w="2160"/>
        <w:gridCol w:w="1770"/>
      </w:tblGrid>
      <w:tr w14:paraId="7B8A88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724" w:type="pct"/>
            <w:vMerge w:val="restart"/>
            <w:vAlign w:val="center"/>
          </w:tcPr>
          <w:p w14:paraId="117A695B">
            <w:pPr>
              <w:keepNext w:val="0"/>
              <w:keepLines w:val="0"/>
              <w:widowControl/>
              <w:suppressLineNumbers w:val="0"/>
              <w:spacing w:before="0" w:beforeAutospacing="0" w:after="0" w:afterAutospacing="0"/>
              <w:ind w:left="0" w:right="0"/>
              <w:jc w:val="center"/>
              <w:rPr>
                <w:rFonts w:hint="default" w:eastAsia="仿宋_GB2312"/>
                <w:b/>
                <w:kern w:val="0"/>
                <w:szCs w:val="21"/>
                <w:lang w:val="en-US" w:eastAsia="zh-CN"/>
              </w:rPr>
            </w:pPr>
            <w:r>
              <w:rPr>
                <w:rFonts w:hint="eastAsia" w:eastAsia="仿宋_GB2312"/>
                <w:b/>
                <w:kern w:val="0"/>
                <w:szCs w:val="21"/>
                <w:lang w:val="en-US" w:eastAsia="zh-CN"/>
              </w:rPr>
              <w:t>废水类别</w:t>
            </w:r>
          </w:p>
        </w:tc>
        <w:tc>
          <w:tcPr>
            <w:tcW w:w="971" w:type="pct"/>
            <w:vMerge w:val="restart"/>
            <w:vAlign w:val="center"/>
          </w:tcPr>
          <w:p w14:paraId="4510ABFF">
            <w:pPr>
              <w:keepNext w:val="0"/>
              <w:keepLines w:val="0"/>
              <w:widowControl/>
              <w:suppressLineNumbers w:val="0"/>
              <w:spacing w:before="0" w:beforeAutospacing="0" w:after="0" w:afterAutospacing="0"/>
              <w:ind w:left="0" w:right="0"/>
              <w:jc w:val="center"/>
              <w:rPr>
                <w:rFonts w:hint="default" w:eastAsia="仿宋_GB2312"/>
                <w:b/>
                <w:kern w:val="0"/>
                <w:szCs w:val="21"/>
              </w:rPr>
            </w:pPr>
            <w:r>
              <w:rPr>
                <w:rFonts w:hint="default" w:eastAsia="仿宋_GB2312"/>
                <w:b/>
                <w:kern w:val="0"/>
                <w:szCs w:val="21"/>
              </w:rPr>
              <w:t>废水量（m</w:t>
            </w:r>
            <w:r>
              <w:rPr>
                <w:rFonts w:hint="default" w:eastAsia="仿宋_GB2312"/>
                <w:b/>
                <w:kern w:val="0"/>
                <w:szCs w:val="21"/>
                <w:vertAlign w:val="superscript"/>
              </w:rPr>
              <w:t>3</w:t>
            </w:r>
            <w:r>
              <w:rPr>
                <w:rFonts w:hint="default" w:eastAsia="仿宋_GB2312"/>
                <w:b/>
                <w:kern w:val="0"/>
                <w:szCs w:val="21"/>
              </w:rPr>
              <w:t>/a）</w:t>
            </w:r>
          </w:p>
        </w:tc>
        <w:tc>
          <w:tcPr>
            <w:tcW w:w="3303" w:type="pct"/>
            <w:gridSpan w:val="3"/>
            <w:vAlign w:val="center"/>
          </w:tcPr>
          <w:p w14:paraId="287A5CE1">
            <w:pPr>
              <w:keepNext w:val="0"/>
              <w:keepLines w:val="0"/>
              <w:widowControl/>
              <w:suppressLineNumbers w:val="0"/>
              <w:spacing w:before="0" w:beforeAutospacing="0" w:after="0" w:afterAutospacing="0"/>
              <w:ind w:left="0" w:right="0"/>
              <w:jc w:val="center"/>
              <w:rPr>
                <w:rFonts w:hint="default" w:eastAsia="仿宋_GB2312"/>
                <w:b/>
                <w:kern w:val="0"/>
                <w:szCs w:val="21"/>
              </w:rPr>
            </w:pPr>
            <w:r>
              <w:rPr>
                <w:rFonts w:hint="default" w:eastAsia="仿宋_GB2312"/>
                <w:b/>
                <w:kern w:val="0"/>
                <w:szCs w:val="21"/>
              </w:rPr>
              <w:t>污染物产生情况</w:t>
            </w:r>
          </w:p>
        </w:tc>
      </w:tr>
      <w:tr w14:paraId="12E941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724" w:type="pct"/>
            <w:vMerge w:val="continue"/>
            <w:vAlign w:val="center"/>
          </w:tcPr>
          <w:p w14:paraId="0C24BF49">
            <w:pPr>
              <w:keepNext w:val="0"/>
              <w:keepLines w:val="0"/>
              <w:widowControl/>
              <w:suppressLineNumbers w:val="0"/>
              <w:spacing w:before="0" w:beforeAutospacing="0" w:after="0" w:afterAutospacing="0"/>
              <w:ind w:left="0" w:right="0"/>
              <w:jc w:val="center"/>
              <w:rPr>
                <w:rFonts w:hint="default" w:eastAsia="仿宋_GB2312"/>
                <w:b/>
                <w:kern w:val="0"/>
                <w:szCs w:val="21"/>
              </w:rPr>
            </w:pPr>
          </w:p>
        </w:tc>
        <w:tc>
          <w:tcPr>
            <w:tcW w:w="971" w:type="pct"/>
            <w:vMerge w:val="continue"/>
            <w:vAlign w:val="center"/>
          </w:tcPr>
          <w:p w14:paraId="02DF2BAA">
            <w:pPr>
              <w:keepNext w:val="0"/>
              <w:keepLines w:val="0"/>
              <w:widowControl/>
              <w:suppressLineNumbers w:val="0"/>
              <w:spacing w:before="0" w:beforeAutospacing="0" w:after="0" w:afterAutospacing="0"/>
              <w:ind w:left="0" w:right="0"/>
              <w:jc w:val="center"/>
              <w:rPr>
                <w:rFonts w:hint="default" w:eastAsia="仿宋_GB2312"/>
                <w:b/>
                <w:kern w:val="0"/>
                <w:szCs w:val="21"/>
              </w:rPr>
            </w:pPr>
          </w:p>
        </w:tc>
        <w:tc>
          <w:tcPr>
            <w:tcW w:w="998" w:type="pct"/>
            <w:vAlign w:val="center"/>
          </w:tcPr>
          <w:p w14:paraId="18D7D56B">
            <w:pPr>
              <w:keepNext w:val="0"/>
              <w:keepLines w:val="0"/>
              <w:widowControl/>
              <w:suppressLineNumbers w:val="0"/>
              <w:spacing w:before="0" w:beforeAutospacing="0" w:after="0" w:afterAutospacing="0"/>
              <w:ind w:left="0" w:right="0"/>
              <w:jc w:val="center"/>
              <w:rPr>
                <w:rFonts w:hint="default" w:eastAsia="仿宋_GB2312"/>
                <w:b/>
                <w:kern w:val="0"/>
                <w:szCs w:val="21"/>
              </w:rPr>
            </w:pPr>
            <w:r>
              <w:rPr>
                <w:rFonts w:hint="default" w:eastAsia="仿宋_GB2312"/>
                <w:b/>
                <w:kern w:val="0"/>
                <w:szCs w:val="21"/>
              </w:rPr>
              <w:t>污染物名称</w:t>
            </w:r>
          </w:p>
        </w:tc>
        <w:tc>
          <w:tcPr>
            <w:tcW w:w="1267" w:type="pct"/>
            <w:vAlign w:val="center"/>
          </w:tcPr>
          <w:p w14:paraId="1913A9D9">
            <w:pPr>
              <w:keepNext w:val="0"/>
              <w:keepLines w:val="0"/>
              <w:widowControl/>
              <w:suppressLineNumbers w:val="0"/>
              <w:spacing w:before="0" w:beforeAutospacing="0" w:after="0" w:afterAutospacing="0"/>
              <w:ind w:left="0" w:right="0"/>
              <w:jc w:val="center"/>
              <w:rPr>
                <w:rFonts w:hint="default" w:eastAsia="仿宋_GB2312"/>
                <w:b/>
                <w:kern w:val="0"/>
                <w:szCs w:val="21"/>
              </w:rPr>
            </w:pPr>
            <w:r>
              <w:rPr>
                <w:rFonts w:hint="default" w:eastAsia="仿宋_GB2312"/>
                <w:b/>
                <w:kern w:val="0"/>
                <w:szCs w:val="21"/>
              </w:rPr>
              <w:t>产生浓度（mg/L）</w:t>
            </w:r>
          </w:p>
        </w:tc>
        <w:tc>
          <w:tcPr>
            <w:tcW w:w="1038" w:type="pct"/>
            <w:vAlign w:val="center"/>
          </w:tcPr>
          <w:p w14:paraId="4E34CD30">
            <w:pPr>
              <w:keepNext w:val="0"/>
              <w:keepLines w:val="0"/>
              <w:widowControl/>
              <w:suppressLineNumbers w:val="0"/>
              <w:spacing w:before="0" w:beforeAutospacing="0" w:after="0" w:afterAutospacing="0"/>
              <w:ind w:left="0" w:right="0"/>
              <w:jc w:val="center"/>
              <w:rPr>
                <w:rFonts w:hint="default" w:eastAsia="仿宋_GB2312"/>
                <w:b/>
                <w:kern w:val="0"/>
                <w:szCs w:val="21"/>
              </w:rPr>
            </w:pPr>
            <w:r>
              <w:rPr>
                <w:rFonts w:hint="default" w:eastAsia="仿宋_GB2312"/>
                <w:b/>
                <w:kern w:val="0"/>
                <w:szCs w:val="21"/>
              </w:rPr>
              <w:t>产生量</w:t>
            </w:r>
            <w:r>
              <w:rPr>
                <w:rFonts w:hint="eastAsia" w:eastAsia="仿宋_GB2312"/>
                <w:b/>
                <w:kern w:val="0"/>
                <w:szCs w:val="21"/>
                <w:lang w:eastAsia="zh-CN"/>
              </w:rPr>
              <w:t>（</w:t>
            </w:r>
            <w:r>
              <w:rPr>
                <w:rFonts w:hint="default" w:eastAsia="仿宋_GB2312"/>
                <w:b/>
                <w:kern w:val="0"/>
                <w:szCs w:val="21"/>
              </w:rPr>
              <w:t>t/a</w:t>
            </w:r>
            <w:r>
              <w:rPr>
                <w:rFonts w:hint="eastAsia" w:eastAsia="仿宋_GB2312"/>
                <w:b/>
                <w:kern w:val="0"/>
                <w:szCs w:val="21"/>
                <w:lang w:eastAsia="zh-CN"/>
              </w:rPr>
              <w:t>）</w:t>
            </w:r>
          </w:p>
        </w:tc>
      </w:tr>
      <w:tr w14:paraId="3E00E2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724" w:type="pct"/>
            <w:vMerge w:val="restart"/>
            <w:vAlign w:val="center"/>
          </w:tcPr>
          <w:p w14:paraId="27DF16B0">
            <w:pPr>
              <w:keepNext w:val="0"/>
              <w:keepLines w:val="0"/>
              <w:widowControl/>
              <w:suppressLineNumbers w:val="0"/>
              <w:spacing w:before="0" w:beforeAutospacing="0" w:after="0" w:afterAutospacing="0"/>
              <w:ind w:left="0" w:right="0"/>
              <w:jc w:val="center"/>
              <w:rPr>
                <w:rFonts w:hint="default" w:eastAsia="仿宋_GB2312"/>
                <w:kern w:val="0"/>
                <w:szCs w:val="21"/>
                <w:lang w:val="en-US" w:eastAsia="zh-CN"/>
              </w:rPr>
            </w:pPr>
            <w:r>
              <w:rPr>
                <w:rFonts w:hint="eastAsia" w:eastAsia="仿宋_GB2312"/>
                <w:kern w:val="0"/>
                <w:szCs w:val="21"/>
                <w:lang w:val="en-US" w:eastAsia="zh-CN"/>
              </w:rPr>
              <w:t>废气吸收水</w:t>
            </w:r>
          </w:p>
        </w:tc>
        <w:tc>
          <w:tcPr>
            <w:tcW w:w="971" w:type="pct"/>
            <w:vMerge w:val="restart"/>
            <w:vAlign w:val="center"/>
          </w:tcPr>
          <w:p w14:paraId="1A70749A">
            <w:pPr>
              <w:keepNext w:val="0"/>
              <w:keepLines w:val="0"/>
              <w:widowControl/>
              <w:suppressLineNumbers w:val="0"/>
              <w:spacing w:before="0" w:beforeAutospacing="0" w:after="0" w:afterAutospacing="0"/>
              <w:ind w:left="0" w:right="0"/>
              <w:jc w:val="center"/>
              <w:rPr>
                <w:rFonts w:hint="default" w:eastAsia="仿宋_GB2312"/>
                <w:kern w:val="0"/>
                <w:szCs w:val="21"/>
                <w:lang w:val="en-US" w:eastAsia="zh-CN"/>
              </w:rPr>
            </w:pPr>
            <w:r>
              <w:rPr>
                <w:rFonts w:hint="eastAsia" w:eastAsia="仿宋_GB2312"/>
                <w:kern w:val="0"/>
                <w:szCs w:val="21"/>
                <w:lang w:val="en-US" w:eastAsia="zh-CN"/>
              </w:rPr>
              <w:t>20000</w:t>
            </w:r>
          </w:p>
        </w:tc>
        <w:tc>
          <w:tcPr>
            <w:tcW w:w="998" w:type="pct"/>
            <w:vAlign w:val="center"/>
          </w:tcPr>
          <w:p w14:paraId="3A2C85A2">
            <w:pPr>
              <w:keepNext w:val="0"/>
              <w:keepLines w:val="0"/>
              <w:widowControl/>
              <w:suppressLineNumbers w:val="0"/>
              <w:spacing w:before="0" w:beforeAutospacing="0" w:after="0" w:afterAutospacing="0"/>
              <w:ind w:left="0" w:right="0"/>
              <w:jc w:val="center"/>
              <w:rPr>
                <w:rFonts w:hint="default"/>
                <w:kern w:val="0"/>
                <w:szCs w:val="21"/>
              </w:rPr>
            </w:pPr>
            <w:r>
              <w:rPr>
                <w:rFonts w:hint="default"/>
                <w:kern w:val="0"/>
                <w:szCs w:val="21"/>
              </w:rPr>
              <w:t>COD</w:t>
            </w:r>
          </w:p>
        </w:tc>
        <w:tc>
          <w:tcPr>
            <w:tcW w:w="1267" w:type="pct"/>
            <w:vAlign w:val="center"/>
          </w:tcPr>
          <w:p w14:paraId="27374630">
            <w:pPr>
              <w:keepNext w:val="0"/>
              <w:keepLines w:val="0"/>
              <w:widowControl/>
              <w:suppressLineNumbers w:val="0"/>
              <w:spacing w:before="0" w:beforeAutospacing="0" w:after="0" w:afterAutospacing="0"/>
              <w:ind w:left="0" w:right="0"/>
              <w:jc w:val="center"/>
              <w:rPr>
                <w:rFonts w:hint="default" w:eastAsia="仿宋_GB2312"/>
                <w:kern w:val="0"/>
                <w:szCs w:val="21"/>
                <w:lang w:val="en-US" w:eastAsia="zh-CN"/>
              </w:rPr>
            </w:pPr>
            <w:r>
              <w:rPr>
                <w:rFonts w:hint="eastAsia" w:eastAsia="仿宋_GB2312"/>
                <w:kern w:val="0"/>
                <w:szCs w:val="21"/>
                <w:lang w:val="en-US" w:eastAsia="zh-CN"/>
              </w:rPr>
              <w:t>24715</w:t>
            </w:r>
          </w:p>
        </w:tc>
        <w:tc>
          <w:tcPr>
            <w:tcW w:w="1038" w:type="pct"/>
            <w:vAlign w:val="center"/>
          </w:tcPr>
          <w:p w14:paraId="0EB4051B">
            <w:pPr>
              <w:keepNext w:val="0"/>
              <w:keepLines w:val="0"/>
              <w:widowControl/>
              <w:suppressLineNumbers w:val="0"/>
              <w:spacing w:before="0" w:beforeAutospacing="0" w:after="0" w:afterAutospacing="0"/>
              <w:ind w:left="0" w:right="0"/>
              <w:jc w:val="center"/>
              <w:rPr>
                <w:rFonts w:hint="default" w:eastAsia="仿宋_GB2312"/>
                <w:kern w:val="0"/>
                <w:szCs w:val="21"/>
                <w:lang w:val="en-US" w:eastAsia="zh-CN"/>
              </w:rPr>
            </w:pPr>
            <w:r>
              <w:rPr>
                <w:rFonts w:hint="eastAsia" w:eastAsia="仿宋_GB2312"/>
                <w:kern w:val="0"/>
                <w:szCs w:val="21"/>
                <w:lang w:val="en-US" w:eastAsia="zh-CN"/>
              </w:rPr>
              <w:t>494.3</w:t>
            </w:r>
          </w:p>
        </w:tc>
      </w:tr>
      <w:tr w14:paraId="6665C61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724" w:type="pct"/>
            <w:vMerge w:val="continue"/>
            <w:vAlign w:val="center"/>
          </w:tcPr>
          <w:p w14:paraId="10B755B1">
            <w:pPr>
              <w:keepNext w:val="0"/>
              <w:keepLines w:val="0"/>
              <w:widowControl/>
              <w:suppressLineNumbers w:val="0"/>
              <w:spacing w:before="0" w:beforeAutospacing="0" w:after="0" w:afterAutospacing="0"/>
              <w:ind w:left="0" w:right="0"/>
              <w:jc w:val="center"/>
              <w:rPr>
                <w:rFonts w:hint="eastAsia" w:eastAsia="仿宋_GB2312"/>
                <w:kern w:val="0"/>
                <w:szCs w:val="21"/>
                <w:lang w:val="en-US" w:eastAsia="zh-CN"/>
              </w:rPr>
            </w:pPr>
          </w:p>
        </w:tc>
        <w:tc>
          <w:tcPr>
            <w:tcW w:w="971" w:type="pct"/>
            <w:vMerge w:val="continue"/>
            <w:vAlign w:val="center"/>
          </w:tcPr>
          <w:p w14:paraId="09EC28A7">
            <w:pPr>
              <w:keepNext w:val="0"/>
              <w:keepLines w:val="0"/>
              <w:widowControl/>
              <w:suppressLineNumbers w:val="0"/>
              <w:spacing w:before="0" w:beforeAutospacing="0" w:after="0" w:afterAutospacing="0"/>
              <w:ind w:left="0" w:right="0"/>
              <w:jc w:val="center"/>
              <w:rPr>
                <w:rFonts w:hint="eastAsia" w:eastAsia="仿宋_GB2312"/>
                <w:kern w:val="0"/>
                <w:szCs w:val="21"/>
                <w:lang w:val="en-US" w:eastAsia="zh-CN"/>
              </w:rPr>
            </w:pPr>
          </w:p>
        </w:tc>
        <w:tc>
          <w:tcPr>
            <w:tcW w:w="998" w:type="pct"/>
            <w:vAlign w:val="center"/>
          </w:tcPr>
          <w:p w14:paraId="4C199757">
            <w:pPr>
              <w:keepNext w:val="0"/>
              <w:keepLines w:val="0"/>
              <w:widowControl/>
              <w:suppressLineNumbers w:val="0"/>
              <w:spacing w:before="0" w:beforeAutospacing="0" w:after="0" w:afterAutospacing="0"/>
              <w:ind w:left="0" w:right="0"/>
              <w:jc w:val="center"/>
              <w:rPr>
                <w:rFonts w:hint="default" w:eastAsia="宋体"/>
                <w:kern w:val="0"/>
                <w:szCs w:val="21"/>
                <w:lang w:val="en-US" w:eastAsia="zh-CN"/>
              </w:rPr>
            </w:pPr>
            <w:r>
              <w:rPr>
                <w:rFonts w:hint="eastAsia"/>
                <w:kern w:val="0"/>
                <w:szCs w:val="21"/>
                <w:lang w:val="en-US" w:eastAsia="zh-CN"/>
              </w:rPr>
              <w:t>SS</w:t>
            </w:r>
          </w:p>
        </w:tc>
        <w:tc>
          <w:tcPr>
            <w:tcW w:w="1267" w:type="pct"/>
            <w:vAlign w:val="center"/>
          </w:tcPr>
          <w:p w14:paraId="239696B7">
            <w:pPr>
              <w:keepNext w:val="0"/>
              <w:keepLines w:val="0"/>
              <w:widowControl/>
              <w:suppressLineNumbers w:val="0"/>
              <w:spacing w:before="0" w:beforeAutospacing="0" w:after="0" w:afterAutospacing="0"/>
              <w:ind w:left="0" w:right="0"/>
              <w:jc w:val="center"/>
              <w:rPr>
                <w:rFonts w:hint="default" w:eastAsia="仿宋_GB2312"/>
                <w:kern w:val="0"/>
                <w:szCs w:val="21"/>
                <w:lang w:val="en-US" w:eastAsia="zh-CN"/>
              </w:rPr>
            </w:pPr>
            <w:r>
              <w:rPr>
                <w:rFonts w:hint="eastAsia" w:eastAsia="仿宋_GB2312"/>
                <w:kern w:val="0"/>
                <w:szCs w:val="21"/>
                <w:lang w:val="en-US" w:eastAsia="zh-CN"/>
              </w:rPr>
              <w:t>300</w:t>
            </w:r>
          </w:p>
        </w:tc>
        <w:tc>
          <w:tcPr>
            <w:tcW w:w="1038" w:type="pct"/>
            <w:vAlign w:val="center"/>
          </w:tcPr>
          <w:p w14:paraId="78DC98D1">
            <w:pPr>
              <w:keepNext w:val="0"/>
              <w:keepLines w:val="0"/>
              <w:widowControl/>
              <w:suppressLineNumbers w:val="0"/>
              <w:spacing w:before="0" w:beforeAutospacing="0" w:after="0" w:afterAutospacing="0"/>
              <w:ind w:left="0" w:right="0"/>
              <w:jc w:val="center"/>
              <w:rPr>
                <w:rFonts w:hint="default" w:eastAsia="仿宋_GB2312"/>
                <w:kern w:val="0"/>
                <w:szCs w:val="21"/>
                <w:lang w:val="en-US" w:eastAsia="zh-CN"/>
              </w:rPr>
            </w:pPr>
            <w:r>
              <w:rPr>
                <w:rFonts w:hint="eastAsia" w:eastAsia="仿宋_GB2312"/>
                <w:kern w:val="0"/>
                <w:szCs w:val="21"/>
                <w:lang w:val="en-US" w:eastAsia="zh-CN"/>
              </w:rPr>
              <w:t>6</w:t>
            </w:r>
          </w:p>
        </w:tc>
      </w:tr>
      <w:tr w14:paraId="6DF1BC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724" w:type="pct"/>
            <w:vMerge w:val="continue"/>
            <w:vAlign w:val="center"/>
          </w:tcPr>
          <w:p w14:paraId="54CF7FE9">
            <w:pPr>
              <w:keepNext w:val="0"/>
              <w:keepLines w:val="0"/>
              <w:widowControl/>
              <w:suppressLineNumbers w:val="0"/>
              <w:spacing w:before="0" w:beforeAutospacing="0" w:after="0" w:afterAutospacing="0"/>
              <w:ind w:left="0" w:right="0"/>
              <w:jc w:val="center"/>
              <w:rPr>
                <w:rFonts w:hint="default" w:eastAsia="仿宋_GB2312"/>
                <w:color w:val="FF0000"/>
                <w:kern w:val="0"/>
                <w:szCs w:val="21"/>
              </w:rPr>
            </w:pPr>
          </w:p>
        </w:tc>
        <w:tc>
          <w:tcPr>
            <w:tcW w:w="971" w:type="pct"/>
            <w:vMerge w:val="continue"/>
            <w:vAlign w:val="center"/>
          </w:tcPr>
          <w:p w14:paraId="6481421D">
            <w:pPr>
              <w:keepNext w:val="0"/>
              <w:keepLines w:val="0"/>
              <w:widowControl/>
              <w:suppressLineNumbers w:val="0"/>
              <w:spacing w:before="0" w:beforeAutospacing="0" w:after="0" w:afterAutospacing="0"/>
              <w:ind w:left="0" w:right="0"/>
              <w:jc w:val="center"/>
              <w:rPr>
                <w:rFonts w:hint="default" w:eastAsia="仿宋_GB2312"/>
                <w:color w:val="FF0000"/>
                <w:kern w:val="0"/>
                <w:szCs w:val="21"/>
              </w:rPr>
            </w:pPr>
          </w:p>
        </w:tc>
        <w:tc>
          <w:tcPr>
            <w:tcW w:w="998" w:type="pct"/>
            <w:vAlign w:val="center"/>
          </w:tcPr>
          <w:p w14:paraId="057B9A24">
            <w:pPr>
              <w:keepNext w:val="0"/>
              <w:keepLines w:val="0"/>
              <w:widowControl/>
              <w:suppressLineNumbers w:val="0"/>
              <w:spacing w:before="0" w:beforeAutospacing="0" w:after="0" w:afterAutospacing="0"/>
              <w:ind w:left="0" w:right="0"/>
              <w:jc w:val="center"/>
              <w:rPr>
                <w:rFonts w:hint="default"/>
                <w:kern w:val="0"/>
                <w:szCs w:val="21"/>
              </w:rPr>
            </w:pPr>
            <w:r>
              <w:rPr>
                <w:rFonts w:hint="default"/>
                <w:kern w:val="0"/>
                <w:szCs w:val="21"/>
              </w:rPr>
              <w:t>NH</w:t>
            </w:r>
            <w:r>
              <w:rPr>
                <w:rFonts w:hint="default"/>
                <w:kern w:val="0"/>
                <w:szCs w:val="21"/>
                <w:vertAlign w:val="subscript"/>
              </w:rPr>
              <w:t>3</w:t>
            </w:r>
            <w:r>
              <w:rPr>
                <w:rFonts w:hint="default"/>
                <w:kern w:val="0"/>
                <w:szCs w:val="21"/>
              </w:rPr>
              <w:t>-N</w:t>
            </w:r>
          </w:p>
        </w:tc>
        <w:tc>
          <w:tcPr>
            <w:tcW w:w="1267" w:type="pct"/>
            <w:vAlign w:val="center"/>
          </w:tcPr>
          <w:p w14:paraId="502176A8">
            <w:pPr>
              <w:keepNext w:val="0"/>
              <w:keepLines w:val="0"/>
              <w:widowControl/>
              <w:suppressLineNumbers w:val="0"/>
              <w:spacing w:before="0" w:beforeAutospacing="0" w:after="0" w:afterAutospacing="0"/>
              <w:ind w:left="0" w:right="0"/>
              <w:jc w:val="center"/>
              <w:rPr>
                <w:rFonts w:hint="default" w:eastAsia="仿宋_GB2312"/>
                <w:kern w:val="0"/>
                <w:szCs w:val="21"/>
                <w:lang w:val="en-US" w:eastAsia="zh-CN"/>
              </w:rPr>
            </w:pPr>
            <w:r>
              <w:rPr>
                <w:rFonts w:hint="eastAsia" w:eastAsia="仿宋_GB2312"/>
                <w:kern w:val="0"/>
                <w:szCs w:val="21"/>
                <w:lang w:val="en-US" w:eastAsia="zh-CN"/>
              </w:rPr>
              <w:t>30</w:t>
            </w:r>
          </w:p>
        </w:tc>
        <w:tc>
          <w:tcPr>
            <w:tcW w:w="1038" w:type="pct"/>
            <w:vAlign w:val="center"/>
          </w:tcPr>
          <w:p w14:paraId="1AAF321F">
            <w:pPr>
              <w:keepNext w:val="0"/>
              <w:keepLines w:val="0"/>
              <w:widowControl/>
              <w:suppressLineNumbers w:val="0"/>
              <w:spacing w:before="0" w:beforeAutospacing="0" w:after="0" w:afterAutospacing="0"/>
              <w:ind w:left="0" w:right="0"/>
              <w:jc w:val="center"/>
              <w:rPr>
                <w:rFonts w:hint="default" w:eastAsia="仿宋_GB2312"/>
                <w:kern w:val="0"/>
                <w:szCs w:val="21"/>
                <w:lang w:val="en-US" w:eastAsia="zh-CN"/>
              </w:rPr>
            </w:pPr>
            <w:r>
              <w:rPr>
                <w:rFonts w:hint="eastAsia" w:eastAsia="仿宋_GB2312"/>
                <w:kern w:val="0"/>
                <w:szCs w:val="21"/>
                <w:lang w:val="en-US" w:eastAsia="zh-CN"/>
              </w:rPr>
              <w:t>0.6</w:t>
            </w:r>
          </w:p>
        </w:tc>
      </w:tr>
      <w:tr w14:paraId="0115F6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724" w:type="pct"/>
            <w:vMerge w:val="continue"/>
            <w:vAlign w:val="center"/>
          </w:tcPr>
          <w:p w14:paraId="3E3E97FF">
            <w:pPr>
              <w:keepNext w:val="0"/>
              <w:keepLines w:val="0"/>
              <w:widowControl/>
              <w:suppressLineNumbers w:val="0"/>
              <w:spacing w:before="0" w:beforeAutospacing="0" w:after="0" w:afterAutospacing="0"/>
              <w:ind w:left="0" w:right="0"/>
              <w:jc w:val="center"/>
              <w:rPr>
                <w:rFonts w:hint="default" w:eastAsia="仿宋_GB2312"/>
                <w:color w:val="FF0000"/>
                <w:kern w:val="0"/>
                <w:szCs w:val="21"/>
              </w:rPr>
            </w:pPr>
          </w:p>
        </w:tc>
        <w:tc>
          <w:tcPr>
            <w:tcW w:w="971" w:type="pct"/>
            <w:vMerge w:val="continue"/>
            <w:vAlign w:val="center"/>
          </w:tcPr>
          <w:p w14:paraId="3BAFFF5F">
            <w:pPr>
              <w:keepNext w:val="0"/>
              <w:keepLines w:val="0"/>
              <w:widowControl/>
              <w:suppressLineNumbers w:val="0"/>
              <w:spacing w:before="0" w:beforeAutospacing="0" w:after="0" w:afterAutospacing="0"/>
              <w:ind w:left="0" w:right="0"/>
              <w:jc w:val="center"/>
              <w:rPr>
                <w:rFonts w:hint="default" w:eastAsia="仿宋_GB2312"/>
                <w:color w:val="FF0000"/>
                <w:kern w:val="0"/>
                <w:szCs w:val="21"/>
              </w:rPr>
            </w:pPr>
          </w:p>
        </w:tc>
        <w:tc>
          <w:tcPr>
            <w:tcW w:w="998" w:type="pct"/>
            <w:vAlign w:val="center"/>
          </w:tcPr>
          <w:p w14:paraId="62B98C57">
            <w:pPr>
              <w:keepNext w:val="0"/>
              <w:keepLines w:val="0"/>
              <w:widowControl/>
              <w:suppressLineNumbers w:val="0"/>
              <w:spacing w:before="0" w:beforeAutospacing="0" w:after="0" w:afterAutospacing="0"/>
              <w:ind w:left="0" w:right="0"/>
              <w:jc w:val="center"/>
              <w:rPr>
                <w:rFonts w:hint="default"/>
                <w:kern w:val="0"/>
                <w:szCs w:val="21"/>
              </w:rPr>
            </w:pPr>
            <w:r>
              <w:rPr>
                <w:rFonts w:hint="default"/>
                <w:kern w:val="0"/>
                <w:szCs w:val="21"/>
              </w:rPr>
              <w:t>TN</w:t>
            </w:r>
          </w:p>
        </w:tc>
        <w:tc>
          <w:tcPr>
            <w:tcW w:w="1267" w:type="pct"/>
            <w:vAlign w:val="center"/>
          </w:tcPr>
          <w:p w14:paraId="3CE30887">
            <w:pPr>
              <w:keepNext w:val="0"/>
              <w:keepLines w:val="0"/>
              <w:widowControl/>
              <w:suppressLineNumbers w:val="0"/>
              <w:spacing w:before="0" w:beforeAutospacing="0" w:after="0" w:afterAutospacing="0"/>
              <w:ind w:left="0" w:right="0"/>
              <w:jc w:val="center"/>
              <w:rPr>
                <w:rFonts w:hint="default" w:eastAsia="仿宋_GB2312"/>
                <w:kern w:val="0"/>
                <w:szCs w:val="21"/>
                <w:lang w:val="en-US" w:eastAsia="zh-CN"/>
              </w:rPr>
            </w:pPr>
            <w:r>
              <w:rPr>
                <w:rFonts w:hint="eastAsia" w:eastAsia="仿宋_GB2312"/>
                <w:kern w:val="0"/>
                <w:szCs w:val="21"/>
                <w:lang w:val="en-US" w:eastAsia="zh-CN"/>
              </w:rPr>
              <w:t>1220</w:t>
            </w:r>
          </w:p>
        </w:tc>
        <w:tc>
          <w:tcPr>
            <w:tcW w:w="1038" w:type="pct"/>
            <w:vAlign w:val="center"/>
          </w:tcPr>
          <w:p w14:paraId="27DE0067">
            <w:pPr>
              <w:keepNext w:val="0"/>
              <w:keepLines w:val="0"/>
              <w:widowControl/>
              <w:suppressLineNumbers w:val="0"/>
              <w:spacing w:before="0" w:beforeAutospacing="0" w:after="0" w:afterAutospacing="0"/>
              <w:ind w:left="0" w:right="0"/>
              <w:jc w:val="center"/>
              <w:rPr>
                <w:rFonts w:hint="default" w:eastAsia="仿宋_GB2312"/>
                <w:kern w:val="0"/>
                <w:szCs w:val="21"/>
                <w:lang w:val="en-US" w:eastAsia="zh-CN"/>
              </w:rPr>
            </w:pPr>
            <w:r>
              <w:rPr>
                <w:rFonts w:hint="eastAsia" w:eastAsia="仿宋_GB2312"/>
                <w:kern w:val="0"/>
                <w:szCs w:val="21"/>
                <w:lang w:val="en-US" w:eastAsia="zh-CN"/>
              </w:rPr>
              <w:t>24.4</w:t>
            </w:r>
          </w:p>
        </w:tc>
      </w:tr>
      <w:tr w14:paraId="0DE4DA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724" w:type="pct"/>
            <w:vMerge w:val="continue"/>
            <w:vAlign w:val="center"/>
          </w:tcPr>
          <w:p w14:paraId="14DABD8A">
            <w:pPr>
              <w:keepNext w:val="0"/>
              <w:keepLines w:val="0"/>
              <w:widowControl/>
              <w:suppressLineNumbers w:val="0"/>
              <w:spacing w:before="0" w:beforeAutospacing="0" w:after="0" w:afterAutospacing="0"/>
              <w:ind w:left="0" w:right="0"/>
              <w:jc w:val="center"/>
              <w:rPr>
                <w:rFonts w:hint="default" w:eastAsia="仿宋_GB2312"/>
                <w:color w:val="FF0000"/>
                <w:kern w:val="0"/>
                <w:szCs w:val="21"/>
              </w:rPr>
            </w:pPr>
          </w:p>
        </w:tc>
        <w:tc>
          <w:tcPr>
            <w:tcW w:w="971" w:type="pct"/>
            <w:vMerge w:val="continue"/>
            <w:vAlign w:val="center"/>
          </w:tcPr>
          <w:p w14:paraId="06AE96F8">
            <w:pPr>
              <w:keepNext w:val="0"/>
              <w:keepLines w:val="0"/>
              <w:widowControl/>
              <w:suppressLineNumbers w:val="0"/>
              <w:spacing w:before="0" w:beforeAutospacing="0" w:after="0" w:afterAutospacing="0"/>
              <w:ind w:left="0" w:right="0"/>
              <w:jc w:val="center"/>
              <w:rPr>
                <w:rFonts w:hint="default" w:eastAsia="仿宋_GB2312"/>
                <w:color w:val="FF0000"/>
                <w:kern w:val="0"/>
                <w:szCs w:val="21"/>
              </w:rPr>
            </w:pPr>
          </w:p>
        </w:tc>
        <w:tc>
          <w:tcPr>
            <w:tcW w:w="998" w:type="pct"/>
            <w:vAlign w:val="center"/>
          </w:tcPr>
          <w:p w14:paraId="125BD076">
            <w:pPr>
              <w:keepNext w:val="0"/>
              <w:keepLines w:val="0"/>
              <w:widowControl/>
              <w:suppressLineNumbers w:val="0"/>
              <w:spacing w:before="0" w:beforeAutospacing="0" w:after="0" w:afterAutospacing="0"/>
              <w:ind w:left="0" w:right="0"/>
              <w:jc w:val="center"/>
              <w:rPr>
                <w:rFonts w:hint="default"/>
                <w:kern w:val="0"/>
                <w:szCs w:val="21"/>
              </w:rPr>
            </w:pPr>
            <w:r>
              <w:rPr>
                <w:rFonts w:hint="default"/>
                <w:kern w:val="0"/>
                <w:szCs w:val="21"/>
              </w:rPr>
              <w:t>TP</w:t>
            </w:r>
          </w:p>
        </w:tc>
        <w:tc>
          <w:tcPr>
            <w:tcW w:w="1267" w:type="pct"/>
            <w:vAlign w:val="center"/>
          </w:tcPr>
          <w:p w14:paraId="3CC8366E">
            <w:pPr>
              <w:keepNext w:val="0"/>
              <w:keepLines w:val="0"/>
              <w:widowControl/>
              <w:suppressLineNumbers w:val="0"/>
              <w:spacing w:before="0" w:beforeAutospacing="0" w:after="0" w:afterAutospacing="0"/>
              <w:ind w:left="0" w:right="0"/>
              <w:jc w:val="center"/>
              <w:rPr>
                <w:rFonts w:hint="default" w:eastAsia="仿宋_GB2312"/>
                <w:kern w:val="0"/>
                <w:szCs w:val="21"/>
                <w:lang w:val="en-US" w:eastAsia="zh-CN"/>
              </w:rPr>
            </w:pPr>
            <w:r>
              <w:rPr>
                <w:rFonts w:hint="eastAsia" w:eastAsia="仿宋_GB2312"/>
                <w:kern w:val="0"/>
                <w:szCs w:val="21"/>
                <w:lang w:val="en-US" w:eastAsia="zh-CN"/>
              </w:rPr>
              <w:t>3</w:t>
            </w:r>
          </w:p>
        </w:tc>
        <w:tc>
          <w:tcPr>
            <w:tcW w:w="1038" w:type="pct"/>
            <w:vAlign w:val="center"/>
          </w:tcPr>
          <w:p w14:paraId="7ED38C9E">
            <w:pPr>
              <w:keepNext w:val="0"/>
              <w:keepLines w:val="0"/>
              <w:widowControl/>
              <w:suppressLineNumbers w:val="0"/>
              <w:spacing w:before="0" w:beforeAutospacing="0" w:after="0" w:afterAutospacing="0"/>
              <w:ind w:left="0" w:right="0"/>
              <w:jc w:val="center"/>
              <w:rPr>
                <w:rFonts w:hint="default" w:eastAsia="仿宋_GB2312"/>
                <w:kern w:val="0"/>
                <w:szCs w:val="21"/>
                <w:lang w:val="en-US" w:eastAsia="zh-CN"/>
              </w:rPr>
            </w:pPr>
            <w:r>
              <w:rPr>
                <w:rFonts w:hint="eastAsia" w:eastAsia="仿宋_GB2312"/>
                <w:kern w:val="0"/>
                <w:szCs w:val="21"/>
                <w:lang w:val="en-US" w:eastAsia="zh-CN"/>
              </w:rPr>
              <w:t>0.06</w:t>
            </w:r>
          </w:p>
        </w:tc>
      </w:tr>
      <w:tr w14:paraId="7ED460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724" w:type="pct"/>
            <w:vMerge w:val="continue"/>
            <w:vAlign w:val="center"/>
          </w:tcPr>
          <w:p w14:paraId="4F90E948">
            <w:pPr>
              <w:keepNext w:val="0"/>
              <w:keepLines w:val="0"/>
              <w:widowControl/>
              <w:suppressLineNumbers w:val="0"/>
              <w:spacing w:before="0" w:beforeAutospacing="0" w:after="0" w:afterAutospacing="0"/>
              <w:ind w:left="0" w:right="0"/>
              <w:jc w:val="center"/>
              <w:rPr>
                <w:rFonts w:hint="default" w:eastAsia="仿宋_GB2312"/>
                <w:color w:val="FF0000"/>
                <w:kern w:val="0"/>
                <w:szCs w:val="21"/>
              </w:rPr>
            </w:pPr>
          </w:p>
        </w:tc>
        <w:tc>
          <w:tcPr>
            <w:tcW w:w="971" w:type="pct"/>
            <w:vMerge w:val="continue"/>
            <w:vAlign w:val="center"/>
          </w:tcPr>
          <w:p w14:paraId="40418781">
            <w:pPr>
              <w:keepNext w:val="0"/>
              <w:keepLines w:val="0"/>
              <w:widowControl/>
              <w:suppressLineNumbers w:val="0"/>
              <w:spacing w:before="0" w:beforeAutospacing="0" w:after="0" w:afterAutospacing="0"/>
              <w:ind w:left="0" w:right="0"/>
              <w:jc w:val="center"/>
              <w:rPr>
                <w:rFonts w:hint="default" w:eastAsia="仿宋_GB2312"/>
                <w:color w:val="FF0000"/>
                <w:kern w:val="0"/>
                <w:szCs w:val="21"/>
              </w:rPr>
            </w:pPr>
          </w:p>
        </w:tc>
        <w:tc>
          <w:tcPr>
            <w:tcW w:w="998" w:type="pct"/>
            <w:vAlign w:val="center"/>
          </w:tcPr>
          <w:p w14:paraId="556A304A">
            <w:pPr>
              <w:keepNext w:val="0"/>
              <w:keepLines w:val="0"/>
              <w:widowControl/>
              <w:suppressLineNumbers w:val="0"/>
              <w:spacing w:before="0" w:beforeAutospacing="0" w:after="0" w:afterAutospacing="0"/>
              <w:ind w:left="0" w:right="0"/>
              <w:jc w:val="center"/>
              <w:rPr>
                <w:rFonts w:hint="eastAsia" w:ascii="Times New Roman" w:hAnsi="Times New Roman" w:cs="Times New Roman"/>
                <w:kern w:val="0"/>
                <w:szCs w:val="21"/>
                <w:lang w:val="en-US" w:eastAsia="zh-CN"/>
              </w:rPr>
            </w:pPr>
            <w:r>
              <w:rPr>
                <w:rFonts w:hint="eastAsia" w:ascii="方正仿宋_GB2312" w:hAnsi="方正仿宋_GB2312" w:eastAsia="方正仿宋_GB2312" w:cs="方正仿宋_GB2312"/>
                <w:kern w:val="0"/>
                <w:szCs w:val="21"/>
                <w:lang w:val="en-US" w:eastAsia="zh-CN"/>
              </w:rPr>
              <w:t>盐分</w:t>
            </w:r>
          </w:p>
        </w:tc>
        <w:tc>
          <w:tcPr>
            <w:tcW w:w="1267" w:type="pct"/>
            <w:vAlign w:val="center"/>
          </w:tcPr>
          <w:p w14:paraId="7A06AC0A">
            <w:pPr>
              <w:keepNext w:val="0"/>
              <w:keepLines w:val="0"/>
              <w:widowControl/>
              <w:suppressLineNumbers w:val="0"/>
              <w:spacing w:before="0" w:beforeAutospacing="0" w:after="0" w:afterAutospacing="0"/>
              <w:ind w:left="0" w:right="0"/>
              <w:jc w:val="center"/>
              <w:rPr>
                <w:rFonts w:hint="default" w:ascii="Times New Roman" w:hAnsi="Times New Roman" w:cs="Times New Roman"/>
                <w:kern w:val="0"/>
                <w:szCs w:val="21"/>
                <w:lang w:val="en-US" w:eastAsia="zh-CN"/>
              </w:rPr>
            </w:pPr>
            <w:r>
              <w:rPr>
                <w:rFonts w:hint="eastAsia" w:ascii="Times New Roman" w:hAnsi="Times New Roman" w:cs="Times New Roman"/>
                <w:kern w:val="0"/>
                <w:szCs w:val="21"/>
                <w:lang w:val="en-US" w:eastAsia="zh-CN"/>
              </w:rPr>
              <w:t>3000</w:t>
            </w:r>
          </w:p>
        </w:tc>
        <w:tc>
          <w:tcPr>
            <w:tcW w:w="1038" w:type="pct"/>
            <w:vAlign w:val="center"/>
          </w:tcPr>
          <w:p w14:paraId="6864D6E1">
            <w:pPr>
              <w:keepNext w:val="0"/>
              <w:keepLines w:val="0"/>
              <w:widowControl/>
              <w:suppressLineNumbers w:val="0"/>
              <w:spacing w:before="0" w:beforeAutospacing="0" w:after="0" w:afterAutospacing="0"/>
              <w:ind w:left="0" w:right="0"/>
              <w:jc w:val="center"/>
              <w:rPr>
                <w:rFonts w:hint="default" w:ascii="Times New Roman" w:hAnsi="Times New Roman" w:cs="Times New Roman"/>
                <w:kern w:val="0"/>
                <w:szCs w:val="21"/>
                <w:lang w:val="en-US" w:eastAsia="zh-CN"/>
              </w:rPr>
            </w:pPr>
            <w:r>
              <w:rPr>
                <w:rFonts w:hint="eastAsia" w:cs="Times New Roman"/>
                <w:kern w:val="0"/>
                <w:szCs w:val="21"/>
                <w:lang w:val="en-US" w:eastAsia="zh-CN"/>
              </w:rPr>
              <w:t>60</w:t>
            </w:r>
          </w:p>
        </w:tc>
      </w:tr>
    </w:tbl>
    <w:p w14:paraId="30253F93">
      <w:pPr>
        <w:spacing w:before="24" w:beforeLines="10" w:after="24" w:afterLines="10" w:line="500" w:lineRule="exact"/>
        <w:jc w:val="left"/>
        <w:outlineLvl w:val="3"/>
        <w:rPr>
          <w:rFonts w:eastAsia="仿宋_GB2312"/>
          <w:b/>
          <w:color w:val="auto"/>
          <w:sz w:val="28"/>
          <w:szCs w:val="21"/>
        </w:rPr>
      </w:pPr>
      <w:r>
        <w:rPr>
          <w:rFonts w:eastAsia="仿宋_GB2312"/>
          <w:b/>
          <w:color w:val="auto"/>
          <w:sz w:val="28"/>
          <w:szCs w:val="21"/>
        </w:rPr>
        <w:t>3.6.2废气</w:t>
      </w:r>
    </w:p>
    <w:p w14:paraId="2004C691">
      <w:pPr>
        <w:tabs>
          <w:tab w:val="left" w:pos="6840"/>
        </w:tabs>
        <w:spacing w:line="500" w:lineRule="exact"/>
        <w:ind w:firstLine="562" w:firstLineChars="200"/>
        <w:rPr>
          <w:rFonts w:eastAsia="仿宋_GB2312"/>
          <w:b/>
          <w:color w:val="auto"/>
          <w:sz w:val="28"/>
          <w:szCs w:val="28"/>
        </w:rPr>
      </w:pPr>
      <w:r>
        <w:rPr>
          <w:rFonts w:eastAsia="仿宋_GB2312"/>
          <w:b/>
          <w:color w:val="auto"/>
          <w:sz w:val="28"/>
          <w:szCs w:val="28"/>
        </w:rPr>
        <w:t>1、实验室废气</w:t>
      </w:r>
    </w:p>
    <w:p w14:paraId="72426C2F">
      <w:pPr>
        <w:spacing w:line="500" w:lineRule="exact"/>
        <w:ind w:firstLine="560" w:firstLineChars="200"/>
        <w:rPr>
          <w:rFonts w:eastAsia="仿宋_GB2312"/>
          <w:color w:val="auto"/>
          <w:sz w:val="28"/>
          <w:szCs w:val="28"/>
        </w:rPr>
      </w:pPr>
      <w:r>
        <w:rPr>
          <w:rFonts w:eastAsia="仿宋_GB2312"/>
          <w:color w:val="auto"/>
          <w:sz w:val="28"/>
          <w:szCs w:val="28"/>
        </w:rPr>
        <w:t>本项目入厂分析、成品检验等产生实验室废气，经通风橱或集气罩收集后经“稀酸吸收+碱吸收+除雾+光氧离子催化氧化+活性炭”吸附处理后通过20米排气筒（</w:t>
      </w:r>
      <w:r>
        <w:rPr>
          <w:rFonts w:hint="eastAsia" w:eastAsia="仿宋_GB2312"/>
          <w:color w:val="auto"/>
          <w:sz w:val="28"/>
          <w:szCs w:val="28"/>
          <w:lang w:val="en-US" w:eastAsia="zh-CN"/>
        </w:rPr>
        <w:t>DA001</w:t>
      </w:r>
      <w:r>
        <w:rPr>
          <w:rFonts w:eastAsia="仿宋_GB2312"/>
          <w:color w:val="auto"/>
          <w:sz w:val="28"/>
          <w:szCs w:val="28"/>
        </w:rPr>
        <w:t>）排放。实验室有组织废气产生情况见表3.6-</w:t>
      </w:r>
      <w:r>
        <w:rPr>
          <w:rFonts w:hint="eastAsia" w:eastAsia="仿宋_GB2312"/>
          <w:color w:val="auto"/>
          <w:sz w:val="28"/>
          <w:szCs w:val="28"/>
          <w:lang w:val="en-US" w:eastAsia="zh-CN"/>
        </w:rPr>
        <w:t>5</w:t>
      </w:r>
      <w:r>
        <w:rPr>
          <w:rFonts w:eastAsia="仿宋_GB2312"/>
          <w:color w:val="auto"/>
          <w:sz w:val="28"/>
          <w:szCs w:val="28"/>
        </w:rPr>
        <w:t>，无组织废气产生情况见表3.6-</w:t>
      </w:r>
      <w:r>
        <w:rPr>
          <w:rFonts w:hint="eastAsia" w:eastAsia="仿宋_GB2312"/>
          <w:color w:val="auto"/>
          <w:sz w:val="28"/>
          <w:szCs w:val="28"/>
          <w:lang w:val="en-US" w:eastAsia="zh-CN"/>
        </w:rPr>
        <w:t>6</w:t>
      </w:r>
      <w:r>
        <w:rPr>
          <w:rFonts w:eastAsia="仿宋_GB2312"/>
          <w:color w:val="auto"/>
          <w:sz w:val="28"/>
          <w:szCs w:val="28"/>
        </w:rPr>
        <w:t>。</w:t>
      </w:r>
    </w:p>
    <w:p w14:paraId="793D3A29">
      <w:pPr>
        <w:pStyle w:val="404"/>
        <w:spacing w:line="500" w:lineRule="exact"/>
        <w:ind w:firstLine="0" w:firstLineChars="0"/>
        <w:jc w:val="center"/>
        <w:rPr>
          <w:rFonts w:eastAsia="仿宋_GB2312"/>
          <w:b/>
          <w:bCs/>
          <w:color w:val="auto"/>
          <w:sz w:val="24"/>
        </w:rPr>
      </w:pPr>
      <w:r>
        <w:rPr>
          <w:rFonts w:eastAsia="仿宋_GB2312"/>
          <w:b/>
          <w:bCs/>
          <w:color w:val="auto"/>
          <w:sz w:val="24"/>
        </w:rPr>
        <w:t>表3.6-</w:t>
      </w:r>
      <w:r>
        <w:rPr>
          <w:rFonts w:hint="eastAsia" w:eastAsia="仿宋_GB2312"/>
          <w:b/>
          <w:bCs/>
          <w:color w:val="auto"/>
          <w:sz w:val="24"/>
          <w:lang w:val="en-US" w:eastAsia="zh-CN"/>
        </w:rPr>
        <w:t>5</w:t>
      </w:r>
      <w:r>
        <w:rPr>
          <w:rFonts w:eastAsia="仿宋_GB2312"/>
          <w:b/>
          <w:bCs/>
          <w:color w:val="auto"/>
          <w:sz w:val="24"/>
        </w:rPr>
        <w:t xml:space="preserve">  实验室废气产生情况表（有组织）</w:t>
      </w:r>
    </w:p>
    <w:tbl>
      <w:tblPr>
        <w:tblStyle w:val="882"/>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1366"/>
        <w:gridCol w:w="1365"/>
        <w:gridCol w:w="1489"/>
        <w:gridCol w:w="2613"/>
        <w:gridCol w:w="1530"/>
      </w:tblGrid>
      <w:tr w14:paraId="2899FE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40" w:hRule="atLeast"/>
          <w:tblHeader/>
          <w:jc w:val="center"/>
        </w:trPr>
        <w:tc>
          <w:tcPr>
            <w:tcW w:w="817" w:type="pct"/>
            <w:vAlign w:val="center"/>
          </w:tcPr>
          <w:p w14:paraId="3CED3719">
            <w:pPr>
              <w:widowControl/>
              <w:spacing w:line="300" w:lineRule="exact"/>
              <w:jc w:val="center"/>
              <w:rPr>
                <w:rFonts w:eastAsia="仿宋_GB2312"/>
                <w:b/>
                <w:color w:val="auto"/>
                <w:kern w:val="0"/>
                <w:szCs w:val="21"/>
              </w:rPr>
            </w:pPr>
            <w:r>
              <w:rPr>
                <w:rFonts w:eastAsia="仿宋_GB2312"/>
                <w:b/>
                <w:color w:val="auto"/>
                <w:kern w:val="0"/>
                <w:szCs w:val="21"/>
              </w:rPr>
              <w:t>污染源位置或工序</w:t>
            </w:r>
          </w:p>
        </w:tc>
        <w:tc>
          <w:tcPr>
            <w:tcW w:w="816" w:type="pct"/>
            <w:vAlign w:val="center"/>
          </w:tcPr>
          <w:p w14:paraId="73678BD3">
            <w:pPr>
              <w:widowControl/>
              <w:spacing w:line="300" w:lineRule="exact"/>
              <w:jc w:val="center"/>
              <w:rPr>
                <w:rFonts w:eastAsia="仿宋_GB2312"/>
                <w:b/>
                <w:color w:val="auto"/>
                <w:kern w:val="0"/>
                <w:szCs w:val="21"/>
              </w:rPr>
            </w:pPr>
            <w:r>
              <w:rPr>
                <w:rFonts w:eastAsia="仿宋_GB2312"/>
                <w:b/>
                <w:color w:val="auto"/>
                <w:kern w:val="0"/>
                <w:szCs w:val="21"/>
              </w:rPr>
              <w:t>污染物名称</w:t>
            </w:r>
          </w:p>
        </w:tc>
        <w:tc>
          <w:tcPr>
            <w:tcW w:w="890" w:type="pct"/>
            <w:vAlign w:val="center"/>
          </w:tcPr>
          <w:p w14:paraId="666C245F">
            <w:pPr>
              <w:widowControl/>
              <w:spacing w:line="300" w:lineRule="exact"/>
              <w:jc w:val="center"/>
              <w:rPr>
                <w:rFonts w:eastAsia="仿宋_GB2312"/>
                <w:b/>
                <w:color w:val="auto"/>
                <w:kern w:val="0"/>
                <w:szCs w:val="21"/>
              </w:rPr>
            </w:pPr>
            <w:r>
              <w:rPr>
                <w:rFonts w:eastAsia="仿宋_GB2312"/>
                <w:b/>
                <w:color w:val="auto"/>
                <w:kern w:val="0"/>
                <w:szCs w:val="21"/>
              </w:rPr>
              <w:t>产生量(t/a)</w:t>
            </w:r>
          </w:p>
        </w:tc>
        <w:tc>
          <w:tcPr>
            <w:tcW w:w="1562" w:type="pct"/>
            <w:vAlign w:val="center"/>
          </w:tcPr>
          <w:p w14:paraId="5DBC4121">
            <w:pPr>
              <w:widowControl/>
              <w:spacing w:line="300" w:lineRule="exact"/>
              <w:jc w:val="center"/>
              <w:rPr>
                <w:rFonts w:eastAsia="仿宋_GB2312"/>
                <w:b/>
                <w:color w:val="auto"/>
                <w:kern w:val="0"/>
                <w:szCs w:val="21"/>
              </w:rPr>
            </w:pPr>
            <w:r>
              <w:rPr>
                <w:rFonts w:eastAsia="仿宋_GB2312"/>
                <w:b/>
                <w:color w:val="auto"/>
                <w:kern w:val="0"/>
                <w:szCs w:val="21"/>
              </w:rPr>
              <w:t>拟采取的废气处理措施</w:t>
            </w:r>
          </w:p>
        </w:tc>
        <w:tc>
          <w:tcPr>
            <w:tcW w:w="915" w:type="pct"/>
            <w:vAlign w:val="center"/>
          </w:tcPr>
          <w:p w14:paraId="1A1B690E">
            <w:pPr>
              <w:widowControl/>
              <w:spacing w:line="300" w:lineRule="exact"/>
              <w:jc w:val="center"/>
              <w:rPr>
                <w:rFonts w:eastAsia="仿宋_GB2312"/>
                <w:b/>
                <w:color w:val="auto"/>
                <w:kern w:val="0"/>
                <w:szCs w:val="21"/>
              </w:rPr>
            </w:pPr>
            <w:r>
              <w:rPr>
                <w:rFonts w:eastAsia="仿宋_GB2312"/>
                <w:b/>
                <w:color w:val="auto"/>
                <w:kern w:val="0"/>
                <w:szCs w:val="21"/>
              </w:rPr>
              <w:t>排放高度(m)</w:t>
            </w:r>
          </w:p>
        </w:tc>
      </w:tr>
      <w:tr w14:paraId="32BB197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817" w:type="pct"/>
            <w:vAlign w:val="center"/>
          </w:tcPr>
          <w:p w14:paraId="36BD9D00">
            <w:pPr>
              <w:widowControl/>
              <w:spacing w:line="300" w:lineRule="exact"/>
              <w:jc w:val="center"/>
              <w:rPr>
                <w:rFonts w:eastAsia="仿宋_GB2312"/>
                <w:color w:val="auto"/>
                <w:kern w:val="0"/>
                <w:szCs w:val="21"/>
              </w:rPr>
            </w:pPr>
            <w:r>
              <w:rPr>
                <w:rFonts w:eastAsia="仿宋_GB2312"/>
                <w:color w:val="auto"/>
                <w:kern w:val="0"/>
                <w:szCs w:val="21"/>
              </w:rPr>
              <w:t>实验室废气</w:t>
            </w:r>
          </w:p>
        </w:tc>
        <w:tc>
          <w:tcPr>
            <w:tcW w:w="816" w:type="pct"/>
            <w:vAlign w:val="center"/>
          </w:tcPr>
          <w:p w14:paraId="233CD85A">
            <w:pPr>
              <w:widowControl/>
              <w:spacing w:line="300" w:lineRule="exact"/>
              <w:jc w:val="center"/>
              <w:rPr>
                <w:rFonts w:eastAsia="仿宋_GB2312"/>
                <w:color w:val="auto"/>
                <w:kern w:val="0"/>
                <w:szCs w:val="21"/>
              </w:rPr>
            </w:pPr>
            <w:r>
              <w:rPr>
                <w:rFonts w:eastAsia="仿宋_GB2312"/>
                <w:color w:val="auto"/>
                <w:kern w:val="0"/>
                <w:szCs w:val="21"/>
              </w:rPr>
              <w:t>非甲烷总烃</w:t>
            </w:r>
          </w:p>
        </w:tc>
        <w:tc>
          <w:tcPr>
            <w:tcW w:w="890" w:type="pct"/>
            <w:vAlign w:val="center"/>
          </w:tcPr>
          <w:p w14:paraId="7044B5E1">
            <w:pPr>
              <w:widowControl/>
              <w:spacing w:line="300" w:lineRule="exact"/>
              <w:jc w:val="center"/>
              <w:rPr>
                <w:rFonts w:eastAsia="仿宋_GB2312"/>
                <w:color w:val="auto"/>
                <w:kern w:val="0"/>
                <w:szCs w:val="21"/>
              </w:rPr>
            </w:pPr>
            <w:r>
              <w:rPr>
                <w:rFonts w:eastAsia="仿宋_GB2312"/>
                <w:color w:val="auto"/>
                <w:kern w:val="0"/>
                <w:szCs w:val="21"/>
              </w:rPr>
              <w:t>0.27</w:t>
            </w:r>
          </w:p>
        </w:tc>
        <w:tc>
          <w:tcPr>
            <w:tcW w:w="1562" w:type="pct"/>
            <w:vAlign w:val="center"/>
          </w:tcPr>
          <w:p w14:paraId="170279FE">
            <w:pPr>
              <w:widowControl/>
              <w:spacing w:line="300" w:lineRule="exact"/>
              <w:jc w:val="center"/>
              <w:rPr>
                <w:rFonts w:eastAsia="仿宋_GB2312"/>
                <w:color w:val="auto"/>
                <w:kern w:val="0"/>
                <w:szCs w:val="21"/>
              </w:rPr>
            </w:pPr>
            <w:r>
              <w:rPr>
                <w:rFonts w:eastAsia="仿宋_GB2312"/>
                <w:color w:val="auto"/>
                <w:kern w:val="0"/>
                <w:szCs w:val="21"/>
              </w:rPr>
              <w:t>稀酸吸收+碱吸收+除雾+光氧离子催化氧化+活性炭</w:t>
            </w:r>
          </w:p>
        </w:tc>
        <w:tc>
          <w:tcPr>
            <w:tcW w:w="915" w:type="pct"/>
            <w:vAlign w:val="center"/>
          </w:tcPr>
          <w:p w14:paraId="550EC57C">
            <w:pPr>
              <w:widowControl/>
              <w:spacing w:line="300" w:lineRule="exact"/>
              <w:jc w:val="center"/>
              <w:rPr>
                <w:rFonts w:eastAsia="仿宋_GB2312"/>
                <w:color w:val="auto"/>
                <w:kern w:val="0"/>
                <w:szCs w:val="21"/>
              </w:rPr>
            </w:pPr>
            <w:r>
              <w:rPr>
                <w:rFonts w:eastAsia="仿宋_GB2312"/>
                <w:color w:val="auto"/>
                <w:kern w:val="0"/>
                <w:szCs w:val="21"/>
              </w:rPr>
              <w:t>20m（</w:t>
            </w:r>
            <w:r>
              <w:rPr>
                <w:rFonts w:hint="eastAsia" w:eastAsia="仿宋_GB2312"/>
                <w:color w:val="auto"/>
                <w:kern w:val="0"/>
                <w:szCs w:val="21"/>
                <w:lang w:val="en-US" w:eastAsia="zh-CN"/>
              </w:rPr>
              <w:t>DA001</w:t>
            </w:r>
            <w:r>
              <w:rPr>
                <w:rFonts w:eastAsia="仿宋_GB2312"/>
                <w:color w:val="auto"/>
                <w:kern w:val="0"/>
                <w:szCs w:val="21"/>
              </w:rPr>
              <w:t>）</w:t>
            </w:r>
          </w:p>
        </w:tc>
      </w:tr>
    </w:tbl>
    <w:p w14:paraId="4ECBAD09">
      <w:pPr>
        <w:pStyle w:val="404"/>
        <w:spacing w:line="500" w:lineRule="exact"/>
        <w:ind w:firstLine="0" w:firstLineChars="0"/>
        <w:jc w:val="center"/>
        <w:rPr>
          <w:rFonts w:eastAsia="仿宋_GB2312"/>
          <w:b/>
          <w:bCs/>
          <w:color w:val="auto"/>
          <w:sz w:val="24"/>
        </w:rPr>
      </w:pPr>
      <w:r>
        <w:rPr>
          <w:rFonts w:eastAsia="仿宋_GB2312"/>
          <w:b/>
          <w:bCs/>
          <w:color w:val="auto"/>
          <w:sz w:val="24"/>
        </w:rPr>
        <w:t>表3.6-</w:t>
      </w:r>
      <w:r>
        <w:rPr>
          <w:rFonts w:hint="eastAsia" w:eastAsia="仿宋_GB2312"/>
          <w:b/>
          <w:bCs/>
          <w:color w:val="auto"/>
          <w:sz w:val="24"/>
          <w:lang w:val="en-US" w:eastAsia="zh-CN"/>
        </w:rPr>
        <w:t>6</w:t>
      </w:r>
      <w:r>
        <w:rPr>
          <w:rFonts w:eastAsia="仿宋_GB2312"/>
          <w:b/>
          <w:bCs/>
          <w:color w:val="auto"/>
          <w:sz w:val="24"/>
        </w:rPr>
        <w:t xml:space="preserve">  实验室废气产生情况表（无组织）</w:t>
      </w:r>
    </w:p>
    <w:tbl>
      <w:tblPr>
        <w:tblStyle w:val="882"/>
        <w:tblW w:w="4911"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761"/>
        <w:gridCol w:w="1957"/>
        <w:gridCol w:w="1798"/>
        <w:gridCol w:w="1698"/>
        <w:gridCol w:w="1157"/>
      </w:tblGrid>
      <w:tr w14:paraId="45D7D3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052" w:type="pct"/>
            <w:vMerge w:val="restart"/>
            <w:vAlign w:val="center"/>
          </w:tcPr>
          <w:p w14:paraId="76BA19D1">
            <w:pPr>
              <w:widowControl/>
              <w:spacing w:line="300" w:lineRule="exact"/>
              <w:jc w:val="center"/>
              <w:rPr>
                <w:rFonts w:eastAsia="仿宋_GB2312"/>
                <w:b/>
                <w:color w:val="auto"/>
                <w:kern w:val="0"/>
                <w:szCs w:val="21"/>
              </w:rPr>
            </w:pPr>
            <w:r>
              <w:rPr>
                <w:rFonts w:eastAsia="仿宋_GB2312"/>
                <w:b/>
                <w:color w:val="auto"/>
                <w:kern w:val="0"/>
                <w:szCs w:val="21"/>
              </w:rPr>
              <w:t>污染源位置或工序</w:t>
            </w:r>
          </w:p>
        </w:tc>
        <w:tc>
          <w:tcPr>
            <w:tcW w:w="1169" w:type="pct"/>
            <w:vMerge w:val="restart"/>
            <w:noWrap/>
            <w:vAlign w:val="center"/>
          </w:tcPr>
          <w:p w14:paraId="5C7D682D">
            <w:pPr>
              <w:widowControl/>
              <w:spacing w:line="300" w:lineRule="exact"/>
              <w:jc w:val="center"/>
              <w:rPr>
                <w:rFonts w:eastAsia="仿宋_GB2312"/>
                <w:b/>
                <w:color w:val="auto"/>
                <w:kern w:val="0"/>
                <w:szCs w:val="21"/>
              </w:rPr>
            </w:pPr>
            <w:r>
              <w:rPr>
                <w:rFonts w:eastAsia="仿宋_GB2312"/>
                <w:b/>
                <w:color w:val="auto"/>
                <w:kern w:val="0"/>
                <w:szCs w:val="21"/>
              </w:rPr>
              <w:t>污染物名称</w:t>
            </w:r>
          </w:p>
        </w:tc>
        <w:tc>
          <w:tcPr>
            <w:tcW w:w="1074" w:type="pct"/>
            <w:vMerge w:val="restart"/>
            <w:noWrap/>
            <w:vAlign w:val="center"/>
          </w:tcPr>
          <w:p w14:paraId="52126CEC">
            <w:pPr>
              <w:widowControl/>
              <w:spacing w:line="300" w:lineRule="exact"/>
              <w:jc w:val="center"/>
              <w:rPr>
                <w:rFonts w:eastAsia="仿宋_GB2312"/>
                <w:b/>
                <w:color w:val="auto"/>
                <w:kern w:val="0"/>
                <w:szCs w:val="21"/>
              </w:rPr>
            </w:pPr>
            <w:r>
              <w:rPr>
                <w:rFonts w:eastAsia="仿宋_GB2312"/>
                <w:b/>
                <w:color w:val="auto"/>
                <w:kern w:val="0"/>
                <w:szCs w:val="21"/>
              </w:rPr>
              <w:t>产生量（t/a）</w:t>
            </w:r>
          </w:p>
        </w:tc>
        <w:tc>
          <w:tcPr>
            <w:tcW w:w="1705" w:type="pct"/>
            <w:gridSpan w:val="2"/>
            <w:vAlign w:val="center"/>
          </w:tcPr>
          <w:p w14:paraId="27E98D20">
            <w:pPr>
              <w:widowControl/>
              <w:spacing w:line="300" w:lineRule="exact"/>
              <w:jc w:val="center"/>
              <w:rPr>
                <w:rFonts w:eastAsia="仿宋_GB2312"/>
                <w:b/>
                <w:color w:val="auto"/>
                <w:kern w:val="0"/>
                <w:szCs w:val="21"/>
              </w:rPr>
            </w:pPr>
            <w:r>
              <w:rPr>
                <w:rFonts w:eastAsia="仿宋_GB2312"/>
                <w:b/>
                <w:color w:val="auto"/>
                <w:kern w:val="0"/>
                <w:szCs w:val="21"/>
              </w:rPr>
              <w:t>面源排放参数</w:t>
            </w:r>
          </w:p>
        </w:tc>
      </w:tr>
      <w:tr w14:paraId="7B253C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052" w:type="pct"/>
            <w:vMerge w:val="continue"/>
            <w:vAlign w:val="center"/>
          </w:tcPr>
          <w:p w14:paraId="03EBDF03">
            <w:pPr>
              <w:widowControl/>
              <w:spacing w:line="300" w:lineRule="exact"/>
              <w:jc w:val="center"/>
              <w:rPr>
                <w:rFonts w:eastAsia="仿宋_GB2312"/>
                <w:b/>
                <w:color w:val="auto"/>
                <w:kern w:val="0"/>
                <w:szCs w:val="21"/>
              </w:rPr>
            </w:pPr>
          </w:p>
        </w:tc>
        <w:tc>
          <w:tcPr>
            <w:tcW w:w="1169" w:type="pct"/>
            <w:vMerge w:val="continue"/>
            <w:vAlign w:val="center"/>
          </w:tcPr>
          <w:p w14:paraId="0AD72A9E">
            <w:pPr>
              <w:widowControl/>
              <w:spacing w:line="300" w:lineRule="exact"/>
              <w:jc w:val="center"/>
              <w:rPr>
                <w:rFonts w:eastAsia="仿宋_GB2312"/>
                <w:b/>
                <w:color w:val="auto"/>
                <w:kern w:val="0"/>
                <w:szCs w:val="21"/>
              </w:rPr>
            </w:pPr>
          </w:p>
        </w:tc>
        <w:tc>
          <w:tcPr>
            <w:tcW w:w="1074" w:type="pct"/>
            <w:vMerge w:val="continue"/>
            <w:vAlign w:val="center"/>
          </w:tcPr>
          <w:p w14:paraId="7B8AAF89">
            <w:pPr>
              <w:widowControl/>
              <w:spacing w:line="300" w:lineRule="exact"/>
              <w:jc w:val="center"/>
              <w:rPr>
                <w:rFonts w:eastAsia="仿宋_GB2312"/>
                <w:b/>
                <w:color w:val="auto"/>
                <w:kern w:val="0"/>
                <w:szCs w:val="21"/>
              </w:rPr>
            </w:pPr>
          </w:p>
        </w:tc>
        <w:tc>
          <w:tcPr>
            <w:tcW w:w="1014" w:type="pct"/>
            <w:vAlign w:val="center"/>
          </w:tcPr>
          <w:p w14:paraId="127D0732">
            <w:pPr>
              <w:widowControl/>
              <w:spacing w:line="300" w:lineRule="exact"/>
              <w:jc w:val="center"/>
              <w:rPr>
                <w:rFonts w:eastAsia="仿宋_GB2312"/>
                <w:b/>
                <w:color w:val="auto"/>
                <w:kern w:val="0"/>
                <w:szCs w:val="21"/>
              </w:rPr>
            </w:pPr>
            <w:r>
              <w:rPr>
                <w:rFonts w:eastAsia="仿宋_GB2312"/>
                <w:b/>
                <w:color w:val="auto"/>
                <w:kern w:val="0"/>
                <w:szCs w:val="21"/>
              </w:rPr>
              <w:t>面积（m</w:t>
            </w:r>
            <w:r>
              <w:rPr>
                <w:rFonts w:eastAsia="仿宋_GB2312"/>
                <w:b/>
                <w:color w:val="auto"/>
                <w:kern w:val="0"/>
                <w:szCs w:val="21"/>
                <w:vertAlign w:val="superscript"/>
              </w:rPr>
              <w:t>2</w:t>
            </w:r>
            <w:r>
              <w:rPr>
                <w:rFonts w:eastAsia="仿宋_GB2312"/>
                <w:b/>
                <w:color w:val="auto"/>
                <w:kern w:val="0"/>
                <w:szCs w:val="21"/>
              </w:rPr>
              <w:t>）</w:t>
            </w:r>
          </w:p>
        </w:tc>
        <w:tc>
          <w:tcPr>
            <w:tcW w:w="691" w:type="pct"/>
            <w:vAlign w:val="center"/>
          </w:tcPr>
          <w:p w14:paraId="6189B658">
            <w:pPr>
              <w:widowControl/>
              <w:spacing w:line="300" w:lineRule="exact"/>
              <w:jc w:val="center"/>
              <w:rPr>
                <w:rFonts w:eastAsia="仿宋_GB2312"/>
                <w:b/>
                <w:color w:val="auto"/>
                <w:kern w:val="0"/>
                <w:szCs w:val="21"/>
              </w:rPr>
            </w:pPr>
            <w:r>
              <w:rPr>
                <w:rFonts w:eastAsia="仿宋_GB2312"/>
                <w:b/>
                <w:color w:val="auto"/>
                <w:kern w:val="0"/>
                <w:szCs w:val="21"/>
              </w:rPr>
              <w:t>高（m）</w:t>
            </w:r>
          </w:p>
        </w:tc>
      </w:tr>
      <w:tr w14:paraId="56EF5C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052" w:type="pct"/>
            <w:vAlign w:val="center"/>
          </w:tcPr>
          <w:p w14:paraId="5E7FFED2">
            <w:pPr>
              <w:widowControl/>
              <w:spacing w:line="300" w:lineRule="exact"/>
              <w:jc w:val="center"/>
              <w:rPr>
                <w:rFonts w:eastAsia="仿宋_GB2312"/>
                <w:color w:val="auto"/>
                <w:kern w:val="0"/>
                <w:szCs w:val="21"/>
              </w:rPr>
            </w:pPr>
            <w:r>
              <w:rPr>
                <w:rFonts w:eastAsia="仿宋_GB2312"/>
                <w:color w:val="auto"/>
                <w:kern w:val="0"/>
                <w:szCs w:val="21"/>
              </w:rPr>
              <w:t>实验室废气</w:t>
            </w:r>
          </w:p>
        </w:tc>
        <w:tc>
          <w:tcPr>
            <w:tcW w:w="1169" w:type="pct"/>
            <w:vAlign w:val="center"/>
          </w:tcPr>
          <w:p w14:paraId="6F5FB9D8">
            <w:pPr>
              <w:widowControl/>
              <w:spacing w:line="300" w:lineRule="exact"/>
              <w:jc w:val="center"/>
              <w:rPr>
                <w:rFonts w:eastAsia="仿宋_GB2312"/>
                <w:color w:val="auto"/>
                <w:kern w:val="0"/>
                <w:szCs w:val="21"/>
              </w:rPr>
            </w:pPr>
            <w:r>
              <w:rPr>
                <w:rFonts w:eastAsia="仿宋_GB2312"/>
                <w:color w:val="auto"/>
                <w:kern w:val="0"/>
                <w:szCs w:val="21"/>
              </w:rPr>
              <w:t>非甲烷总烃</w:t>
            </w:r>
          </w:p>
        </w:tc>
        <w:tc>
          <w:tcPr>
            <w:tcW w:w="1074" w:type="pct"/>
            <w:vAlign w:val="center"/>
          </w:tcPr>
          <w:p w14:paraId="46698177">
            <w:pPr>
              <w:widowControl/>
              <w:spacing w:line="300" w:lineRule="exact"/>
              <w:jc w:val="center"/>
              <w:rPr>
                <w:rFonts w:eastAsia="仿宋_GB2312"/>
                <w:color w:val="auto"/>
                <w:kern w:val="0"/>
                <w:szCs w:val="21"/>
              </w:rPr>
            </w:pPr>
            <w:r>
              <w:rPr>
                <w:rFonts w:eastAsia="仿宋_GB2312"/>
                <w:color w:val="auto"/>
                <w:kern w:val="0"/>
                <w:szCs w:val="21"/>
              </w:rPr>
              <w:t>0.03</w:t>
            </w:r>
          </w:p>
        </w:tc>
        <w:tc>
          <w:tcPr>
            <w:tcW w:w="1014" w:type="pct"/>
            <w:vAlign w:val="center"/>
          </w:tcPr>
          <w:p w14:paraId="58987E95">
            <w:pPr>
              <w:widowControl/>
              <w:spacing w:line="300" w:lineRule="exact"/>
              <w:jc w:val="center"/>
              <w:rPr>
                <w:rFonts w:eastAsia="仿宋_GB2312"/>
                <w:color w:val="auto"/>
                <w:kern w:val="0"/>
                <w:szCs w:val="21"/>
              </w:rPr>
            </w:pPr>
            <w:r>
              <w:rPr>
                <w:rFonts w:eastAsia="仿宋_GB2312"/>
                <w:color w:val="auto"/>
                <w:kern w:val="0"/>
                <w:szCs w:val="21"/>
              </w:rPr>
              <w:t>100</w:t>
            </w:r>
          </w:p>
        </w:tc>
        <w:tc>
          <w:tcPr>
            <w:tcW w:w="691" w:type="pct"/>
            <w:vAlign w:val="center"/>
          </w:tcPr>
          <w:p w14:paraId="6D3CF77D">
            <w:pPr>
              <w:widowControl/>
              <w:spacing w:line="300" w:lineRule="exact"/>
              <w:jc w:val="center"/>
              <w:rPr>
                <w:rFonts w:eastAsia="仿宋_GB2312"/>
                <w:color w:val="auto"/>
                <w:kern w:val="0"/>
                <w:szCs w:val="21"/>
              </w:rPr>
            </w:pPr>
            <w:r>
              <w:rPr>
                <w:rFonts w:eastAsia="仿宋_GB2312"/>
                <w:color w:val="auto"/>
                <w:kern w:val="0"/>
                <w:szCs w:val="21"/>
              </w:rPr>
              <w:t>3</w:t>
            </w:r>
          </w:p>
        </w:tc>
      </w:tr>
    </w:tbl>
    <w:p w14:paraId="37C3A388">
      <w:pPr>
        <w:rPr>
          <w:rFonts w:eastAsia="仿宋_GB2312"/>
          <w:bCs/>
          <w:color w:val="auto"/>
        </w:rPr>
      </w:pPr>
      <w:r>
        <w:rPr>
          <w:rFonts w:eastAsia="仿宋_GB2312"/>
          <w:bCs/>
          <w:color w:val="auto"/>
        </w:rPr>
        <w:t>备注：实验室废气采用通风橱或集气罩收集废气，捕集效率以90%计。</w:t>
      </w:r>
    </w:p>
    <w:p w14:paraId="676558D8">
      <w:pPr>
        <w:tabs>
          <w:tab w:val="left" w:pos="6840"/>
        </w:tabs>
        <w:spacing w:line="500" w:lineRule="exact"/>
        <w:ind w:firstLine="562" w:firstLineChars="200"/>
        <w:rPr>
          <w:rFonts w:eastAsia="仿宋_GB2312"/>
          <w:b/>
          <w:color w:val="auto"/>
          <w:sz w:val="28"/>
          <w:szCs w:val="28"/>
        </w:rPr>
      </w:pPr>
      <w:r>
        <w:rPr>
          <w:rFonts w:eastAsia="仿宋_GB2312"/>
          <w:b/>
          <w:color w:val="auto"/>
          <w:sz w:val="28"/>
          <w:szCs w:val="28"/>
        </w:rPr>
        <w:t>2、危废仓库、分拣暂存间废气</w:t>
      </w:r>
    </w:p>
    <w:p w14:paraId="360E3867">
      <w:pPr>
        <w:tabs>
          <w:tab w:val="left" w:pos="6840"/>
        </w:tabs>
        <w:spacing w:line="500" w:lineRule="exact"/>
        <w:ind w:firstLine="560" w:firstLineChars="200"/>
        <w:rPr>
          <w:rFonts w:eastAsia="仿宋_GB2312"/>
          <w:color w:val="FF0000"/>
          <w:sz w:val="28"/>
          <w:szCs w:val="28"/>
        </w:rPr>
      </w:pPr>
      <w:r>
        <w:rPr>
          <w:rFonts w:eastAsia="仿宋_GB2312"/>
          <w:color w:val="auto"/>
          <w:sz w:val="28"/>
          <w:szCs w:val="28"/>
        </w:rPr>
        <w:t>考虑到本项目物料涉及有机物较多，物料分拣、存储过程中存在挥发现象，危废仓库和分拣暂存间设置了废气收集装置，废气收集后经“稀酸吸收+碱吸收+除雾+光氧离子催化氧化+活性炭”吸附处理后通过20米排气筒（</w:t>
      </w:r>
      <w:r>
        <w:rPr>
          <w:rFonts w:hint="eastAsia" w:eastAsia="仿宋_GB2312"/>
          <w:color w:val="auto"/>
          <w:sz w:val="28"/>
          <w:szCs w:val="28"/>
          <w:lang w:val="en-US" w:eastAsia="zh-CN"/>
        </w:rPr>
        <w:t>DA001</w:t>
      </w:r>
      <w:r>
        <w:rPr>
          <w:rFonts w:eastAsia="仿宋_GB2312"/>
          <w:color w:val="auto"/>
          <w:sz w:val="28"/>
          <w:szCs w:val="28"/>
        </w:rPr>
        <w:t>）排放。危废仓库和分拣暂存间有组织废气产生情况见表3.6-</w:t>
      </w:r>
      <w:r>
        <w:rPr>
          <w:rFonts w:hint="eastAsia" w:eastAsia="仿宋_GB2312"/>
          <w:color w:val="auto"/>
          <w:sz w:val="28"/>
          <w:szCs w:val="28"/>
          <w:lang w:val="en-US" w:eastAsia="zh-CN"/>
        </w:rPr>
        <w:t>7</w:t>
      </w:r>
      <w:r>
        <w:rPr>
          <w:rFonts w:eastAsia="仿宋_GB2312"/>
          <w:color w:val="auto"/>
          <w:sz w:val="28"/>
          <w:szCs w:val="28"/>
        </w:rPr>
        <w:t>，无组织废气产生情况见表3.6-</w:t>
      </w:r>
      <w:r>
        <w:rPr>
          <w:rFonts w:hint="eastAsia" w:eastAsia="仿宋_GB2312"/>
          <w:color w:val="auto"/>
          <w:sz w:val="28"/>
          <w:szCs w:val="28"/>
          <w:lang w:val="en-US" w:eastAsia="zh-CN"/>
        </w:rPr>
        <w:t>8</w:t>
      </w:r>
      <w:r>
        <w:rPr>
          <w:rFonts w:eastAsia="仿宋_GB2312"/>
          <w:color w:val="auto"/>
          <w:sz w:val="28"/>
          <w:szCs w:val="28"/>
        </w:rPr>
        <w:t>。</w:t>
      </w:r>
    </w:p>
    <w:p w14:paraId="5C487A17">
      <w:pPr>
        <w:pStyle w:val="404"/>
        <w:spacing w:line="500" w:lineRule="exact"/>
        <w:ind w:firstLine="0" w:firstLineChars="0"/>
        <w:jc w:val="center"/>
        <w:rPr>
          <w:rFonts w:eastAsia="仿宋_GB2312"/>
          <w:b/>
          <w:bCs/>
          <w:color w:val="auto"/>
          <w:sz w:val="24"/>
        </w:rPr>
      </w:pPr>
      <w:r>
        <w:rPr>
          <w:rFonts w:eastAsia="仿宋_GB2312"/>
          <w:b/>
          <w:bCs/>
          <w:color w:val="auto"/>
          <w:sz w:val="24"/>
        </w:rPr>
        <w:t>表3.6-</w:t>
      </w:r>
      <w:r>
        <w:rPr>
          <w:rFonts w:hint="eastAsia" w:eastAsia="仿宋_GB2312"/>
          <w:b/>
          <w:bCs/>
          <w:color w:val="auto"/>
          <w:sz w:val="24"/>
          <w:lang w:val="en-US" w:eastAsia="zh-CN"/>
        </w:rPr>
        <w:t>7</w:t>
      </w:r>
      <w:r>
        <w:rPr>
          <w:rFonts w:eastAsia="仿宋_GB2312"/>
          <w:b/>
          <w:bCs/>
          <w:color w:val="auto"/>
          <w:sz w:val="24"/>
        </w:rPr>
        <w:t xml:space="preserve">  危废仓库、分拣暂存间废气产生情况表（有组织）</w:t>
      </w:r>
    </w:p>
    <w:tbl>
      <w:tblPr>
        <w:tblStyle w:val="882"/>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1872"/>
        <w:gridCol w:w="1642"/>
        <w:gridCol w:w="1654"/>
        <w:gridCol w:w="1905"/>
        <w:gridCol w:w="1290"/>
      </w:tblGrid>
      <w:tr w14:paraId="0961C0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340" w:hRule="atLeast"/>
          <w:tblHeader/>
          <w:jc w:val="center"/>
        </w:trPr>
        <w:tc>
          <w:tcPr>
            <w:tcW w:w="1119" w:type="pct"/>
            <w:vAlign w:val="center"/>
          </w:tcPr>
          <w:p w14:paraId="6380BB0A">
            <w:pPr>
              <w:widowControl/>
              <w:spacing w:line="300" w:lineRule="exact"/>
              <w:jc w:val="center"/>
              <w:rPr>
                <w:rFonts w:eastAsia="仿宋_GB2312"/>
                <w:b/>
                <w:color w:val="auto"/>
                <w:kern w:val="0"/>
                <w:szCs w:val="21"/>
              </w:rPr>
            </w:pPr>
            <w:r>
              <w:rPr>
                <w:rFonts w:eastAsia="仿宋_GB2312"/>
                <w:b/>
                <w:color w:val="auto"/>
                <w:kern w:val="0"/>
                <w:szCs w:val="21"/>
              </w:rPr>
              <w:t>污染源位置或工序</w:t>
            </w:r>
          </w:p>
        </w:tc>
        <w:tc>
          <w:tcPr>
            <w:tcW w:w="982" w:type="pct"/>
            <w:vAlign w:val="center"/>
          </w:tcPr>
          <w:p w14:paraId="5C94640B">
            <w:pPr>
              <w:widowControl/>
              <w:spacing w:line="300" w:lineRule="exact"/>
              <w:jc w:val="center"/>
              <w:rPr>
                <w:rFonts w:eastAsia="仿宋_GB2312"/>
                <w:b/>
                <w:color w:val="auto"/>
                <w:kern w:val="0"/>
                <w:szCs w:val="21"/>
              </w:rPr>
            </w:pPr>
            <w:r>
              <w:rPr>
                <w:rFonts w:eastAsia="仿宋_GB2312"/>
                <w:b/>
                <w:color w:val="auto"/>
                <w:kern w:val="0"/>
                <w:szCs w:val="21"/>
              </w:rPr>
              <w:t>污染物名称</w:t>
            </w:r>
          </w:p>
        </w:tc>
        <w:tc>
          <w:tcPr>
            <w:tcW w:w="989" w:type="pct"/>
            <w:vAlign w:val="center"/>
          </w:tcPr>
          <w:p w14:paraId="43CEEC09">
            <w:pPr>
              <w:widowControl/>
              <w:spacing w:line="300" w:lineRule="exact"/>
              <w:jc w:val="center"/>
              <w:rPr>
                <w:rFonts w:eastAsia="仿宋_GB2312"/>
                <w:b/>
                <w:color w:val="auto"/>
                <w:kern w:val="0"/>
                <w:szCs w:val="21"/>
              </w:rPr>
            </w:pPr>
            <w:r>
              <w:rPr>
                <w:rFonts w:eastAsia="仿宋_GB2312"/>
                <w:b/>
                <w:color w:val="auto"/>
                <w:kern w:val="0"/>
                <w:szCs w:val="21"/>
              </w:rPr>
              <w:t>产生量(t/a)</w:t>
            </w:r>
          </w:p>
        </w:tc>
        <w:tc>
          <w:tcPr>
            <w:tcW w:w="1139" w:type="pct"/>
            <w:vAlign w:val="center"/>
          </w:tcPr>
          <w:p w14:paraId="744200A4">
            <w:pPr>
              <w:widowControl/>
              <w:spacing w:line="300" w:lineRule="exact"/>
              <w:jc w:val="center"/>
              <w:rPr>
                <w:rFonts w:eastAsia="仿宋_GB2312"/>
                <w:b/>
                <w:color w:val="auto"/>
                <w:kern w:val="0"/>
                <w:szCs w:val="21"/>
              </w:rPr>
            </w:pPr>
            <w:r>
              <w:rPr>
                <w:rFonts w:eastAsia="仿宋_GB2312"/>
                <w:b/>
                <w:color w:val="auto"/>
                <w:kern w:val="0"/>
                <w:szCs w:val="21"/>
              </w:rPr>
              <w:t>拟采取的废气处理措施</w:t>
            </w:r>
          </w:p>
        </w:tc>
        <w:tc>
          <w:tcPr>
            <w:tcW w:w="771" w:type="pct"/>
            <w:vAlign w:val="center"/>
          </w:tcPr>
          <w:p w14:paraId="231F7895">
            <w:pPr>
              <w:widowControl/>
              <w:spacing w:line="300" w:lineRule="exact"/>
              <w:jc w:val="center"/>
              <w:rPr>
                <w:rFonts w:eastAsia="仿宋_GB2312"/>
                <w:b/>
                <w:color w:val="auto"/>
                <w:kern w:val="0"/>
                <w:szCs w:val="21"/>
              </w:rPr>
            </w:pPr>
            <w:r>
              <w:rPr>
                <w:rFonts w:eastAsia="仿宋_GB2312"/>
                <w:b/>
                <w:color w:val="auto"/>
                <w:kern w:val="0"/>
                <w:szCs w:val="21"/>
              </w:rPr>
              <w:t>排放高度(m)</w:t>
            </w:r>
          </w:p>
        </w:tc>
      </w:tr>
      <w:tr w14:paraId="76E7D1B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1119" w:type="pct"/>
            <w:vAlign w:val="center"/>
          </w:tcPr>
          <w:p w14:paraId="061A1699">
            <w:pPr>
              <w:widowControl/>
              <w:spacing w:line="300" w:lineRule="exact"/>
              <w:jc w:val="center"/>
              <w:rPr>
                <w:rFonts w:eastAsia="仿宋_GB2312"/>
                <w:color w:val="auto"/>
                <w:kern w:val="0"/>
                <w:szCs w:val="21"/>
              </w:rPr>
            </w:pPr>
            <w:r>
              <w:rPr>
                <w:rFonts w:eastAsia="仿宋_GB2312"/>
                <w:color w:val="auto"/>
                <w:kern w:val="0"/>
                <w:szCs w:val="21"/>
              </w:rPr>
              <w:t>1#仓库</w:t>
            </w:r>
          </w:p>
        </w:tc>
        <w:tc>
          <w:tcPr>
            <w:tcW w:w="982" w:type="pct"/>
            <w:vAlign w:val="center"/>
          </w:tcPr>
          <w:p w14:paraId="31E1A4E7">
            <w:pPr>
              <w:widowControl/>
              <w:spacing w:line="300" w:lineRule="exact"/>
              <w:jc w:val="center"/>
              <w:rPr>
                <w:rFonts w:eastAsia="仿宋_GB2312"/>
                <w:color w:val="auto"/>
                <w:kern w:val="0"/>
                <w:szCs w:val="21"/>
              </w:rPr>
            </w:pPr>
            <w:r>
              <w:rPr>
                <w:rFonts w:eastAsia="仿宋_GB2312"/>
                <w:color w:val="auto"/>
                <w:kern w:val="0"/>
                <w:szCs w:val="21"/>
              </w:rPr>
              <w:t>非甲烷总烃</w:t>
            </w:r>
          </w:p>
        </w:tc>
        <w:tc>
          <w:tcPr>
            <w:tcW w:w="989" w:type="pct"/>
            <w:vAlign w:val="center"/>
          </w:tcPr>
          <w:p w14:paraId="38800A09">
            <w:pPr>
              <w:widowControl/>
              <w:spacing w:line="300" w:lineRule="exact"/>
              <w:jc w:val="center"/>
              <w:rPr>
                <w:rFonts w:eastAsia="仿宋_GB2312"/>
                <w:color w:val="auto"/>
                <w:kern w:val="0"/>
                <w:szCs w:val="21"/>
              </w:rPr>
            </w:pPr>
            <w:r>
              <w:rPr>
                <w:rFonts w:eastAsia="仿宋_GB2312"/>
                <w:color w:val="auto"/>
                <w:kern w:val="0"/>
                <w:szCs w:val="21"/>
              </w:rPr>
              <w:t>0.09</w:t>
            </w:r>
          </w:p>
        </w:tc>
        <w:tc>
          <w:tcPr>
            <w:tcW w:w="1139" w:type="pct"/>
            <w:vMerge w:val="restart"/>
            <w:vAlign w:val="center"/>
          </w:tcPr>
          <w:p w14:paraId="230DC620">
            <w:pPr>
              <w:widowControl/>
              <w:spacing w:line="300" w:lineRule="exact"/>
              <w:jc w:val="center"/>
              <w:rPr>
                <w:rFonts w:eastAsia="仿宋_GB2312"/>
                <w:color w:val="auto"/>
                <w:kern w:val="0"/>
                <w:szCs w:val="21"/>
              </w:rPr>
            </w:pPr>
            <w:r>
              <w:rPr>
                <w:rFonts w:eastAsia="仿宋_GB2312"/>
                <w:color w:val="auto"/>
                <w:kern w:val="0"/>
                <w:szCs w:val="21"/>
              </w:rPr>
              <w:t>稀酸吸收+碱吸收+除雾+光氧离子催化氧化+活性炭</w:t>
            </w:r>
          </w:p>
        </w:tc>
        <w:tc>
          <w:tcPr>
            <w:tcW w:w="771" w:type="pct"/>
            <w:vMerge w:val="restart"/>
            <w:vAlign w:val="center"/>
          </w:tcPr>
          <w:p w14:paraId="62767EB5">
            <w:pPr>
              <w:widowControl/>
              <w:spacing w:line="300" w:lineRule="exact"/>
              <w:jc w:val="center"/>
              <w:rPr>
                <w:rFonts w:eastAsia="仿宋_GB2312"/>
                <w:color w:val="auto"/>
                <w:kern w:val="0"/>
                <w:szCs w:val="21"/>
              </w:rPr>
            </w:pPr>
            <w:r>
              <w:rPr>
                <w:rFonts w:eastAsia="仿宋_GB2312"/>
                <w:color w:val="auto"/>
                <w:kern w:val="0"/>
                <w:szCs w:val="21"/>
              </w:rPr>
              <w:t>20m（</w:t>
            </w:r>
            <w:r>
              <w:rPr>
                <w:rFonts w:hint="eastAsia" w:eastAsia="仿宋_GB2312"/>
                <w:color w:val="auto"/>
                <w:kern w:val="0"/>
                <w:szCs w:val="21"/>
                <w:lang w:val="en-US" w:eastAsia="zh-CN"/>
              </w:rPr>
              <w:t>DA001</w:t>
            </w:r>
            <w:r>
              <w:rPr>
                <w:rFonts w:eastAsia="仿宋_GB2312"/>
                <w:color w:val="auto"/>
                <w:kern w:val="0"/>
                <w:szCs w:val="21"/>
              </w:rPr>
              <w:t>）</w:t>
            </w:r>
          </w:p>
        </w:tc>
      </w:tr>
      <w:tr w14:paraId="7442B73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1119" w:type="pct"/>
            <w:vAlign w:val="center"/>
          </w:tcPr>
          <w:p w14:paraId="36659C98">
            <w:pPr>
              <w:widowControl/>
              <w:spacing w:line="300" w:lineRule="exact"/>
              <w:jc w:val="center"/>
              <w:rPr>
                <w:rFonts w:eastAsia="仿宋_GB2312"/>
                <w:color w:val="auto"/>
                <w:kern w:val="0"/>
                <w:szCs w:val="21"/>
              </w:rPr>
            </w:pPr>
            <w:r>
              <w:rPr>
                <w:rFonts w:hint="eastAsia" w:eastAsia="仿宋_GB2312"/>
                <w:color w:val="auto"/>
                <w:kern w:val="0"/>
                <w:szCs w:val="21"/>
                <w:lang w:val="en-US" w:eastAsia="zh-CN"/>
              </w:rPr>
              <w:t>3</w:t>
            </w:r>
            <w:r>
              <w:rPr>
                <w:rFonts w:eastAsia="仿宋_GB2312"/>
                <w:color w:val="auto"/>
                <w:kern w:val="0"/>
                <w:szCs w:val="21"/>
              </w:rPr>
              <w:t>#仓库</w:t>
            </w:r>
          </w:p>
        </w:tc>
        <w:tc>
          <w:tcPr>
            <w:tcW w:w="982" w:type="pct"/>
            <w:vAlign w:val="center"/>
          </w:tcPr>
          <w:p w14:paraId="73354CC1">
            <w:pPr>
              <w:widowControl/>
              <w:spacing w:line="300" w:lineRule="exact"/>
              <w:jc w:val="center"/>
              <w:rPr>
                <w:rFonts w:eastAsia="仿宋_GB2312"/>
                <w:color w:val="auto"/>
                <w:kern w:val="0"/>
                <w:szCs w:val="21"/>
              </w:rPr>
            </w:pPr>
            <w:r>
              <w:rPr>
                <w:rFonts w:eastAsia="仿宋_GB2312"/>
                <w:color w:val="auto"/>
                <w:kern w:val="0"/>
                <w:szCs w:val="21"/>
              </w:rPr>
              <w:t>非甲烷总烃</w:t>
            </w:r>
          </w:p>
        </w:tc>
        <w:tc>
          <w:tcPr>
            <w:tcW w:w="989" w:type="pct"/>
            <w:vAlign w:val="center"/>
          </w:tcPr>
          <w:p w14:paraId="5ECE8AA3">
            <w:pPr>
              <w:widowControl/>
              <w:spacing w:line="300" w:lineRule="exact"/>
              <w:jc w:val="center"/>
              <w:rPr>
                <w:rFonts w:eastAsia="仿宋_GB2312"/>
                <w:color w:val="auto"/>
                <w:kern w:val="0"/>
                <w:szCs w:val="21"/>
              </w:rPr>
            </w:pPr>
            <w:r>
              <w:rPr>
                <w:rFonts w:eastAsia="仿宋_GB2312"/>
                <w:color w:val="auto"/>
                <w:kern w:val="0"/>
                <w:szCs w:val="21"/>
              </w:rPr>
              <w:t>0.09</w:t>
            </w:r>
          </w:p>
        </w:tc>
        <w:tc>
          <w:tcPr>
            <w:tcW w:w="1139" w:type="pct"/>
            <w:vMerge w:val="continue"/>
            <w:vAlign w:val="center"/>
          </w:tcPr>
          <w:p w14:paraId="34A9793D">
            <w:pPr>
              <w:widowControl/>
              <w:spacing w:line="300" w:lineRule="exact"/>
              <w:jc w:val="center"/>
              <w:rPr>
                <w:rFonts w:eastAsia="仿宋_GB2312"/>
                <w:color w:val="FF0000"/>
                <w:kern w:val="0"/>
                <w:szCs w:val="21"/>
              </w:rPr>
            </w:pPr>
          </w:p>
        </w:tc>
        <w:tc>
          <w:tcPr>
            <w:tcW w:w="771" w:type="pct"/>
            <w:vMerge w:val="continue"/>
            <w:vAlign w:val="center"/>
          </w:tcPr>
          <w:p w14:paraId="649CF3D2">
            <w:pPr>
              <w:widowControl/>
              <w:spacing w:line="300" w:lineRule="exact"/>
              <w:jc w:val="center"/>
              <w:rPr>
                <w:rFonts w:eastAsia="仿宋_GB2312"/>
                <w:color w:val="FF0000"/>
                <w:kern w:val="0"/>
                <w:szCs w:val="21"/>
              </w:rPr>
            </w:pPr>
          </w:p>
        </w:tc>
      </w:tr>
      <w:tr w14:paraId="43798A8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1119" w:type="pct"/>
            <w:vAlign w:val="center"/>
          </w:tcPr>
          <w:p w14:paraId="3E7CE4AC">
            <w:pPr>
              <w:widowControl/>
              <w:spacing w:line="300" w:lineRule="exact"/>
              <w:jc w:val="center"/>
              <w:rPr>
                <w:rFonts w:eastAsia="仿宋_GB2312"/>
                <w:color w:val="auto"/>
                <w:kern w:val="0"/>
                <w:szCs w:val="21"/>
              </w:rPr>
            </w:pPr>
            <w:r>
              <w:rPr>
                <w:rFonts w:hint="eastAsia" w:eastAsia="仿宋_GB2312"/>
                <w:color w:val="auto"/>
                <w:kern w:val="0"/>
                <w:szCs w:val="21"/>
                <w:lang w:val="en-US" w:eastAsia="zh-CN"/>
              </w:rPr>
              <w:t>5</w:t>
            </w:r>
            <w:r>
              <w:rPr>
                <w:rFonts w:eastAsia="仿宋_GB2312"/>
                <w:color w:val="auto"/>
                <w:kern w:val="0"/>
                <w:szCs w:val="21"/>
              </w:rPr>
              <w:t>#仓库</w:t>
            </w:r>
          </w:p>
        </w:tc>
        <w:tc>
          <w:tcPr>
            <w:tcW w:w="982" w:type="pct"/>
            <w:vAlign w:val="center"/>
          </w:tcPr>
          <w:p w14:paraId="585D6CD4">
            <w:pPr>
              <w:widowControl/>
              <w:spacing w:line="300" w:lineRule="exact"/>
              <w:jc w:val="center"/>
              <w:rPr>
                <w:rFonts w:eastAsia="仿宋_GB2312"/>
                <w:color w:val="auto"/>
                <w:kern w:val="0"/>
                <w:szCs w:val="21"/>
              </w:rPr>
            </w:pPr>
            <w:r>
              <w:rPr>
                <w:rFonts w:eastAsia="仿宋_GB2312"/>
                <w:color w:val="auto"/>
                <w:kern w:val="0"/>
                <w:szCs w:val="21"/>
              </w:rPr>
              <w:t>非甲烷总烃</w:t>
            </w:r>
          </w:p>
        </w:tc>
        <w:tc>
          <w:tcPr>
            <w:tcW w:w="989" w:type="pct"/>
            <w:vAlign w:val="center"/>
          </w:tcPr>
          <w:p w14:paraId="1324F2C3">
            <w:pPr>
              <w:widowControl/>
              <w:spacing w:line="300" w:lineRule="exact"/>
              <w:jc w:val="center"/>
              <w:rPr>
                <w:rFonts w:hint="default" w:eastAsia="仿宋_GB2312"/>
                <w:color w:val="auto"/>
                <w:kern w:val="0"/>
                <w:szCs w:val="21"/>
                <w:lang w:val="en-US" w:eastAsia="zh-CN"/>
              </w:rPr>
            </w:pPr>
            <w:r>
              <w:rPr>
                <w:rFonts w:eastAsia="仿宋_GB2312"/>
                <w:color w:val="auto"/>
                <w:kern w:val="0"/>
                <w:szCs w:val="21"/>
              </w:rPr>
              <w:t>0.</w:t>
            </w:r>
            <w:r>
              <w:rPr>
                <w:rFonts w:hint="eastAsia" w:eastAsia="仿宋_GB2312"/>
                <w:color w:val="auto"/>
                <w:kern w:val="0"/>
                <w:szCs w:val="21"/>
                <w:lang w:val="en-US" w:eastAsia="zh-CN"/>
              </w:rPr>
              <w:t>09</w:t>
            </w:r>
          </w:p>
        </w:tc>
        <w:tc>
          <w:tcPr>
            <w:tcW w:w="1139" w:type="pct"/>
            <w:vMerge w:val="continue"/>
            <w:vAlign w:val="center"/>
          </w:tcPr>
          <w:p w14:paraId="0B81CBFB">
            <w:pPr>
              <w:widowControl/>
              <w:spacing w:line="300" w:lineRule="exact"/>
              <w:jc w:val="center"/>
              <w:rPr>
                <w:rFonts w:eastAsia="仿宋_GB2312"/>
                <w:color w:val="FF0000"/>
                <w:kern w:val="0"/>
                <w:szCs w:val="21"/>
              </w:rPr>
            </w:pPr>
          </w:p>
        </w:tc>
        <w:tc>
          <w:tcPr>
            <w:tcW w:w="771" w:type="pct"/>
            <w:vMerge w:val="continue"/>
            <w:vAlign w:val="center"/>
          </w:tcPr>
          <w:p w14:paraId="0D7B04F3">
            <w:pPr>
              <w:widowControl/>
              <w:spacing w:line="300" w:lineRule="exact"/>
              <w:jc w:val="center"/>
              <w:rPr>
                <w:rFonts w:eastAsia="仿宋_GB2312"/>
                <w:color w:val="FF0000"/>
                <w:kern w:val="0"/>
                <w:szCs w:val="21"/>
              </w:rPr>
            </w:pPr>
          </w:p>
        </w:tc>
      </w:tr>
      <w:tr w14:paraId="669C05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1119" w:type="pct"/>
            <w:vAlign w:val="center"/>
          </w:tcPr>
          <w:p w14:paraId="28C57734">
            <w:pPr>
              <w:widowControl/>
              <w:spacing w:line="300" w:lineRule="exact"/>
              <w:jc w:val="center"/>
              <w:rPr>
                <w:rFonts w:eastAsia="仿宋_GB2312"/>
                <w:color w:val="auto"/>
                <w:kern w:val="0"/>
                <w:szCs w:val="21"/>
              </w:rPr>
            </w:pPr>
            <w:r>
              <w:rPr>
                <w:rFonts w:eastAsia="仿宋_GB2312"/>
                <w:color w:val="auto"/>
                <w:kern w:val="0"/>
                <w:szCs w:val="21"/>
              </w:rPr>
              <w:t>分拣暂存间</w:t>
            </w:r>
          </w:p>
        </w:tc>
        <w:tc>
          <w:tcPr>
            <w:tcW w:w="982" w:type="pct"/>
            <w:vAlign w:val="center"/>
          </w:tcPr>
          <w:p w14:paraId="3A7AC4E8">
            <w:pPr>
              <w:widowControl/>
              <w:spacing w:line="300" w:lineRule="exact"/>
              <w:jc w:val="center"/>
              <w:rPr>
                <w:rFonts w:eastAsia="仿宋_GB2312"/>
                <w:color w:val="auto"/>
                <w:kern w:val="0"/>
                <w:szCs w:val="21"/>
              </w:rPr>
            </w:pPr>
            <w:r>
              <w:rPr>
                <w:rFonts w:eastAsia="仿宋_GB2312"/>
                <w:color w:val="auto"/>
                <w:kern w:val="0"/>
                <w:szCs w:val="21"/>
              </w:rPr>
              <w:t>非甲烷总烃</w:t>
            </w:r>
          </w:p>
        </w:tc>
        <w:tc>
          <w:tcPr>
            <w:tcW w:w="989" w:type="pct"/>
            <w:vAlign w:val="center"/>
          </w:tcPr>
          <w:p w14:paraId="12E0C8E8">
            <w:pPr>
              <w:widowControl/>
              <w:spacing w:line="300" w:lineRule="exact"/>
              <w:jc w:val="center"/>
              <w:rPr>
                <w:rFonts w:hint="default" w:eastAsia="仿宋_GB2312"/>
                <w:color w:val="auto"/>
                <w:kern w:val="0"/>
                <w:szCs w:val="21"/>
                <w:lang w:val="en-US" w:eastAsia="zh-CN"/>
              </w:rPr>
            </w:pPr>
            <w:r>
              <w:rPr>
                <w:rFonts w:eastAsia="仿宋_GB2312"/>
                <w:color w:val="auto"/>
                <w:kern w:val="0"/>
                <w:szCs w:val="21"/>
              </w:rPr>
              <w:t>0.</w:t>
            </w:r>
            <w:r>
              <w:rPr>
                <w:rFonts w:hint="eastAsia" w:eastAsia="仿宋_GB2312"/>
                <w:color w:val="auto"/>
                <w:kern w:val="0"/>
                <w:szCs w:val="21"/>
                <w:lang w:val="en-US" w:eastAsia="zh-CN"/>
              </w:rPr>
              <w:t>09</w:t>
            </w:r>
          </w:p>
        </w:tc>
        <w:tc>
          <w:tcPr>
            <w:tcW w:w="1139" w:type="pct"/>
            <w:vMerge w:val="continue"/>
            <w:vAlign w:val="center"/>
          </w:tcPr>
          <w:p w14:paraId="548830D7">
            <w:pPr>
              <w:widowControl/>
              <w:spacing w:line="300" w:lineRule="exact"/>
              <w:jc w:val="center"/>
              <w:rPr>
                <w:rFonts w:eastAsia="仿宋_GB2312"/>
                <w:color w:val="FF0000"/>
                <w:kern w:val="0"/>
                <w:szCs w:val="21"/>
              </w:rPr>
            </w:pPr>
          </w:p>
        </w:tc>
        <w:tc>
          <w:tcPr>
            <w:tcW w:w="771" w:type="pct"/>
            <w:vMerge w:val="continue"/>
            <w:vAlign w:val="center"/>
          </w:tcPr>
          <w:p w14:paraId="07C689AA">
            <w:pPr>
              <w:widowControl/>
              <w:spacing w:line="300" w:lineRule="exact"/>
              <w:jc w:val="center"/>
              <w:rPr>
                <w:rFonts w:eastAsia="仿宋_GB2312"/>
                <w:color w:val="FF0000"/>
                <w:kern w:val="0"/>
                <w:szCs w:val="21"/>
              </w:rPr>
            </w:pPr>
          </w:p>
        </w:tc>
      </w:tr>
    </w:tbl>
    <w:p w14:paraId="0A82D8A0">
      <w:pPr>
        <w:pStyle w:val="404"/>
        <w:spacing w:line="500" w:lineRule="exact"/>
        <w:ind w:firstLine="0" w:firstLineChars="0"/>
        <w:jc w:val="center"/>
        <w:rPr>
          <w:rFonts w:eastAsia="仿宋_GB2312"/>
          <w:b/>
          <w:bCs/>
          <w:color w:val="auto"/>
          <w:sz w:val="24"/>
        </w:rPr>
      </w:pPr>
      <w:r>
        <w:rPr>
          <w:rFonts w:eastAsia="仿宋_GB2312"/>
          <w:b/>
          <w:bCs/>
          <w:color w:val="auto"/>
          <w:sz w:val="24"/>
        </w:rPr>
        <w:t>表3.6-</w:t>
      </w:r>
      <w:r>
        <w:rPr>
          <w:rFonts w:hint="eastAsia" w:eastAsia="仿宋_GB2312"/>
          <w:b/>
          <w:bCs/>
          <w:color w:val="auto"/>
          <w:sz w:val="24"/>
          <w:lang w:val="en-US" w:eastAsia="zh-CN"/>
        </w:rPr>
        <w:t>8</w:t>
      </w:r>
      <w:r>
        <w:rPr>
          <w:rFonts w:eastAsia="仿宋_GB2312"/>
          <w:b/>
          <w:bCs/>
          <w:color w:val="auto"/>
          <w:sz w:val="24"/>
        </w:rPr>
        <w:t xml:space="preserve">  危废仓库、分拣暂存间废气产生情况表（无组织）</w:t>
      </w:r>
    </w:p>
    <w:tbl>
      <w:tblPr>
        <w:tblStyle w:val="882"/>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57" w:type="dxa"/>
          <w:bottom w:w="0" w:type="dxa"/>
          <w:right w:w="57" w:type="dxa"/>
        </w:tblCellMar>
      </w:tblPr>
      <w:tblGrid>
        <w:gridCol w:w="2040"/>
        <w:gridCol w:w="1560"/>
        <w:gridCol w:w="1560"/>
        <w:gridCol w:w="1701"/>
        <w:gridCol w:w="1560"/>
      </w:tblGrid>
      <w:tr w14:paraId="2DA117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7" w:type="dxa"/>
            <w:bottom w:w="0" w:type="dxa"/>
            <w:right w:w="57" w:type="dxa"/>
          </w:tblCellMar>
        </w:tblPrEx>
        <w:trPr>
          <w:trHeight w:val="340" w:hRule="atLeast"/>
          <w:jc w:val="center"/>
        </w:trPr>
        <w:tc>
          <w:tcPr>
            <w:tcW w:w="1211" w:type="pct"/>
            <w:vMerge w:val="restart"/>
            <w:vAlign w:val="center"/>
          </w:tcPr>
          <w:p w14:paraId="58BD1A36">
            <w:pPr>
              <w:widowControl/>
              <w:spacing w:line="300" w:lineRule="exact"/>
              <w:jc w:val="center"/>
              <w:rPr>
                <w:rFonts w:eastAsia="仿宋_GB2312"/>
                <w:b/>
                <w:color w:val="auto"/>
                <w:kern w:val="0"/>
                <w:szCs w:val="21"/>
              </w:rPr>
            </w:pPr>
            <w:r>
              <w:rPr>
                <w:rFonts w:eastAsia="仿宋_GB2312"/>
                <w:b/>
                <w:color w:val="auto"/>
                <w:kern w:val="0"/>
                <w:szCs w:val="21"/>
              </w:rPr>
              <w:t>污染源位置或工序</w:t>
            </w:r>
          </w:p>
        </w:tc>
        <w:tc>
          <w:tcPr>
            <w:tcW w:w="926" w:type="pct"/>
            <w:vMerge w:val="restart"/>
            <w:noWrap/>
            <w:vAlign w:val="center"/>
          </w:tcPr>
          <w:p w14:paraId="69A36A46">
            <w:pPr>
              <w:widowControl/>
              <w:spacing w:line="300" w:lineRule="exact"/>
              <w:jc w:val="center"/>
              <w:rPr>
                <w:rFonts w:eastAsia="仿宋_GB2312"/>
                <w:b/>
                <w:color w:val="auto"/>
                <w:kern w:val="0"/>
                <w:szCs w:val="21"/>
              </w:rPr>
            </w:pPr>
            <w:r>
              <w:rPr>
                <w:rFonts w:eastAsia="仿宋_GB2312"/>
                <w:b/>
                <w:color w:val="auto"/>
                <w:kern w:val="0"/>
                <w:szCs w:val="21"/>
              </w:rPr>
              <w:t>污染物名称</w:t>
            </w:r>
          </w:p>
        </w:tc>
        <w:tc>
          <w:tcPr>
            <w:tcW w:w="926" w:type="pct"/>
            <w:vMerge w:val="restart"/>
            <w:noWrap/>
            <w:vAlign w:val="center"/>
          </w:tcPr>
          <w:p w14:paraId="3D30E568">
            <w:pPr>
              <w:widowControl/>
              <w:spacing w:line="300" w:lineRule="exact"/>
              <w:jc w:val="center"/>
              <w:rPr>
                <w:rFonts w:eastAsia="仿宋_GB2312"/>
                <w:b/>
                <w:color w:val="auto"/>
                <w:kern w:val="0"/>
                <w:szCs w:val="21"/>
              </w:rPr>
            </w:pPr>
            <w:r>
              <w:rPr>
                <w:rFonts w:eastAsia="仿宋_GB2312"/>
                <w:b/>
                <w:color w:val="auto"/>
                <w:kern w:val="0"/>
                <w:szCs w:val="21"/>
              </w:rPr>
              <w:t>产生量（t/a）</w:t>
            </w:r>
          </w:p>
        </w:tc>
        <w:tc>
          <w:tcPr>
            <w:tcW w:w="1936" w:type="pct"/>
            <w:gridSpan w:val="2"/>
            <w:vAlign w:val="center"/>
          </w:tcPr>
          <w:p w14:paraId="17DDA8CA">
            <w:pPr>
              <w:widowControl/>
              <w:spacing w:line="300" w:lineRule="exact"/>
              <w:jc w:val="center"/>
              <w:rPr>
                <w:rFonts w:eastAsia="仿宋_GB2312"/>
                <w:b/>
                <w:color w:val="auto"/>
                <w:kern w:val="0"/>
                <w:szCs w:val="21"/>
              </w:rPr>
            </w:pPr>
            <w:r>
              <w:rPr>
                <w:rFonts w:eastAsia="仿宋_GB2312"/>
                <w:b/>
                <w:color w:val="auto"/>
                <w:kern w:val="0"/>
                <w:szCs w:val="21"/>
              </w:rPr>
              <w:t>面源排放参数</w:t>
            </w:r>
          </w:p>
        </w:tc>
      </w:tr>
      <w:tr w14:paraId="6FDC0C1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7" w:type="dxa"/>
            <w:bottom w:w="0" w:type="dxa"/>
            <w:right w:w="57" w:type="dxa"/>
          </w:tblCellMar>
        </w:tblPrEx>
        <w:trPr>
          <w:trHeight w:val="340" w:hRule="atLeast"/>
          <w:jc w:val="center"/>
        </w:trPr>
        <w:tc>
          <w:tcPr>
            <w:tcW w:w="1211" w:type="pct"/>
            <w:vMerge w:val="continue"/>
            <w:vAlign w:val="center"/>
          </w:tcPr>
          <w:p w14:paraId="180922CC">
            <w:pPr>
              <w:widowControl/>
              <w:spacing w:line="300" w:lineRule="exact"/>
              <w:jc w:val="center"/>
              <w:rPr>
                <w:rFonts w:eastAsia="仿宋_GB2312"/>
                <w:b/>
                <w:color w:val="auto"/>
                <w:kern w:val="0"/>
                <w:szCs w:val="21"/>
              </w:rPr>
            </w:pPr>
          </w:p>
        </w:tc>
        <w:tc>
          <w:tcPr>
            <w:tcW w:w="926" w:type="pct"/>
            <w:vMerge w:val="continue"/>
            <w:vAlign w:val="center"/>
          </w:tcPr>
          <w:p w14:paraId="3188BCCF">
            <w:pPr>
              <w:widowControl/>
              <w:spacing w:line="300" w:lineRule="exact"/>
              <w:jc w:val="center"/>
              <w:rPr>
                <w:rFonts w:eastAsia="仿宋_GB2312"/>
                <w:b/>
                <w:color w:val="auto"/>
                <w:kern w:val="0"/>
                <w:szCs w:val="21"/>
              </w:rPr>
            </w:pPr>
          </w:p>
        </w:tc>
        <w:tc>
          <w:tcPr>
            <w:tcW w:w="926" w:type="pct"/>
            <w:vMerge w:val="continue"/>
            <w:vAlign w:val="center"/>
          </w:tcPr>
          <w:p w14:paraId="65C01CBA">
            <w:pPr>
              <w:widowControl/>
              <w:spacing w:line="300" w:lineRule="exact"/>
              <w:jc w:val="center"/>
              <w:rPr>
                <w:rFonts w:eastAsia="仿宋_GB2312"/>
                <w:b/>
                <w:color w:val="auto"/>
                <w:kern w:val="0"/>
                <w:szCs w:val="21"/>
              </w:rPr>
            </w:pPr>
          </w:p>
        </w:tc>
        <w:tc>
          <w:tcPr>
            <w:tcW w:w="1010" w:type="pct"/>
            <w:vAlign w:val="center"/>
          </w:tcPr>
          <w:p w14:paraId="161AE902">
            <w:pPr>
              <w:widowControl/>
              <w:spacing w:line="300" w:lineRule="exact"/>
              <w:jc w:val="center"/>
              <w:rPr>
                <w:rFonts w:eastAsia="仿宋_GB2312"/>
                <w:b/>
                <w:color w:val="auto"/>
                <w:kern w:val="0"/>
                <w:szCs w:val="21"/>
              </w:rPr>
            </w:pPr>
            <w:r>
              <w:rPr>
                <w:rFonts w:eastAsia="仿宋_GB2312"/>
                <w:b/>
                <w:color w:val="auto"/>
                <w:kern w:val="0"/>
                <w:szCs w:val="21"/>
              </w:rPr>
              <w:t>面积（m</w:t>
            </w:r>
            <w:r>
              <w:rPr>
                <w:rFonts w:eastAsia="仿宋_GB2312"/>
                <w:b/>
                <w:color w:val="auto"/>
                <w:kern w:val="0"/>
                <w:szCs w:val="21"/>
                <w:vertAlign w:val="superscript"/>
              </w:rPr>
              <w:t>2</w:t>
            </w:r>
            <w:r>
              <w:rPr>
                <w:rFonts w:eastAsia="仿宋_GB2312"/>
                <w:b/>
                <w:color w:val="auto"/>
                <w:kern w:val="0"/>
                <w:szCs w:val="21"/>
              </w:rPr>
              <w:t>）</w:t>
            </w:r>
          </w:p>
        </w:tc>
        <w:tc>
          <w:tcPr>
            <w:tcW w:w="926" w:type="pct"/>
            <w:vAlign w:val="center"/>
          </w:tcPr>
          <w:p w14:paraId="2169B89C">
            <w:pPr>
              <w:widowControl/>
              <w:spacing w:line="300" w:lineRule="exact"/>
              <w:jc w:val="center"/>
              <w:rPr>
                <w:rFonts w:eastAsia="仿宋_GB2312"/>
                <w:b/>
                <w:color w:val="auto"/>
                <w:kern w:val="0"/>
                <w:szCs w:val="21"/>
              </w:rPr>
            </w:pPr>
            <w:r>
              <w:rPr>
                <w:rFonts w:eastAsia="仿宋_GB2312"/>
                <w:b/>
                <w:color w:val="auto"/>
                <w:kern w:val="0"/>
                <w:szCs w:val="21"/>
              </w:rPr>
              <w:t>高（m）</w:t>
            </w:r>
          </w:p>
        </w:tc>
      </w:tr>
      <w:tr w14:paraId="6CFE8D8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7" w:type="dxa"/>
            <w:bottom w:w="0" w:type="dxa"/>
            <w:right w:w="57" w:type="dxa"/>
          </w:tblCellMar>
        </w:tblPrEx>
        <w:trPr>
          <w:trHeight w:val="340" w:hRule="atLeast"/>
          <w:jc w:val="center"/>
        </w:trPr>
        <w:tc>
          <w:tcPr>
            <w:tcW w:w="1211" w:type="pct"/>
            <w:vAlign w:val="center"/>
          </w:tcPr>
          <w:p w14:paraId="67C7C862">
            <w:pPr>
              <w:widowControl/>
              <w:spacing w:line="300" w:lineRule="exact"/>
              <w:jc w:val="center"/>
              <w:rPr>
                <w:rFonts w:eastAsia="仿宋_GB2312"/>
                <w:color w:val="auto"/>
                <w:kern w:val="0"/>
                <w:szCs w:val="21"/>
              </w:rPr>
            </w:pPr>
            <w:r>
              <w:rPr>
                <w:rFonts w:eastAsia="仿宋_GB2312"/>
                <w:color w:val="auto"/>
                <w:kern w:val="0"/>
                <w:szCs w:val="21"/>
              </w:rPr>
              <w:t>1#仓库</w:t>
            </w:r>
          </w:p>
        </w:tc>
        <w:tc>
          <w:tcPr>
            <w:tcW w:w="926" w:type="pct"/>
            <w:vAlign w:val="center"/>
          </w:tcPr>
          <w:p w14:paraId="765F3A21">
            <w:pPr>
              <w:widowControl/>
              <w:spacing w:line="300" w:lineRule="exact"/>
              <w:jc w:val="center"/>
              <w:rPr>
                <w:rFonts w:eastAsia="仿宋_GB2312"/>
                <w:color w:val="auto"/>
                <w:kern w:val="0"/>
                <w:szCs w:val="21"/>
              </w:rPr>
            </w:pPr>
            <w:r>
              <w:rPr>
                <w:rFonts w:eastAsia="仿宋_GB2312"/>
                <w:color w:val="auto"/>
                <w:kern w:val="0"/>
                <w:szCs w:val="21"/>
              </w:rPr>
              <w:t>非甲烷总烃</w:t>
            </w:r>
          </w:p>
        </w:tc>
        <w:tc>
          <w:tcPr>
            <w:tcW w:w="926" w:type="pct"/>
            <w:vAlign w:val="center"/>
          </w:tcPr>
          <w:p w14:paraId="3E45FEB9">
            <w:pPr>
              <w:widowControl/>
              <w:spacing w:line="300" w:lineRule="exact"/>
              <w:jc w:val="center"/>
              <w:rPr>
                <w:rFonts w:eastAsia="仿宋_GB2312"/>
                <w:color w:val="auto"/>
                <w:kern w:val="0"/>
                <w:szCs w:val="21"/>
              </w:rPr>
            </w:pPr>
            <w:r>
              <w:rPr>
                <w:rFonts w:eastAsia="仿宋_GB2312"/>
                <w:color w:val="auto"/>
                <w:kern w:val="0"/>
                <w:szCs w:val="21"/>
              </w:rPr>
              <w:t>0.01</w:t>
            </w:r>
          </w:p>
        </w:tc>
        <w:tc>
          <w:tcPr>
            <w:tcW w:w="1010" w:type="pct"/>
            <w:vAlign w:val="center"/>
          </w:tcPr>
          <w:p w14:paraId="1E49C711">
            <w:pPr>
              <w:widowControl/>
              <w:spacing w:line="300" w:lineRule="exact"/>
              <w:jc w:val="center"/>
              <w:rPr>
                <w:rFonts w:eastAsia="仿宋_GB2312"/>
                <w:color w:val="auto"/>
                <w:kern w:val="0"/>
                <w:szCs w:val="21"/>
              </w:rPr>
            </w:pPr>
            <w:r>
              <w:rPr>
                <w:rFonts w:eastAsia="仿宋_GB2312"/>
                <w:color w:val="auto"/>
                <w:kern w:val="0"/>
                <w:szCs w:val="21"/>
              </w:rPr>
              <w:t>606</w:t>
            </w:r>
          </w:p>
        </w:tc>
        <w:tc>
          <w:tcPr>
            <w:tcW w:w="926" w:type="pct"/>
            <w:vAlign w:val="center"/>
          </w:tcPr>
          <w:p w14:paraId="0F669213">
            <w:pPr>
              <w:widowControl/>
              <w:spacing w:line="300" w:lineRule="exact"/>
              <w:jc w:val="center"/>
              <w:rPr>
                <w:rFonts w:eastAsia="仿宋_GB2312"/>
                <w:color w:val="auto"/>
                <w:kern w:val="0"/>
                <w:szCs w:val="21"/>
              </w:rPr>
            </w:pPr>
            <w:r>
              <w:rPr>
                <w:rFonts w:eastAsia="仿宋_GB2312"/>
                <w:color w:val="auto"/>
                <w:kern w:val="0"/>
                <w:szCs w:val="21"/>
              </w:rPr>
              <w:t>3</w:t>
            </w:r>
          </w:p>
        </w:tc>
      </w:tr>
      <w:tr w14:paraId="5EFF45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7" w:type="dxa"/>
            <w:bottom w:w="0" w:type="dxa"/>
            <w:right w:w="57" w:type="dxa"/>
          </w:tblCellMar>
        </w:tblPrEx>
        <w:trPr>
          <w:trHeight w:val="340" w:hRule="atLeast"/>
          <w:jc w:val="center"/>
        </w:trPr>
        <w:tc>
          <w:tcPr>
            <w:tcW w:w="1211" w:type="pct"/>
            <w:vAlign w:val="center"/>
          </w:tcPr>
          <w:p w14:paraId="7C88A82B">
            <w:pPr>
              <w:widowControl/>
              <w:spacing w:line="300" w:lineRule="exact"/>
              <w:jc w:val="center"/>
              <w:rPr>
                <w:rFonts w:eastAsia="仿宋_GB2312"/>
                <w:color w:val="auto"/>
                <w:kern w:val="0"/>
                <w:szCs w:val="21"/>
              </w:rPr>
            </w:pPr>
            <w:r>
              <w:rPr>
                <w:rFonts w:hint="eastAsia" w:eastAsia="仿宋_GB2312"/>
                <w:color w:val="auto"/>
                <w:kern w:val="0"/>
                <w:szCs w:val="21"/>
                <w:lang w:val="en-US" w:eastAsia="zh-CN"/>
              </w:rPr>
              <w:t>3</w:t>
            </w:r>
            <w:r>
              <w:rPr>
                <w:rFonts w:eastAsia="仿宋_GB2312"/>
                <w:color w:val="auto"/>
                <w:kern w:val="0"/>
                <w:szCs w:val="21"/>
              </w:rPr>
              <w:t>#仓库</w:t>
            </w:r>
          </w:p>
        </w:tc>
        <w:tc>
          <w:tcPr>
            <w:tcW w:w="926" w:type="pct"/>
            <w:vAlign w:val="center"/>
          </w:tcPr>
          <w:p w14:paraId="21A86CF0">
            <w:pPr>
              <w:widowControl/>
              <w:spacing w:line="300" w:lineRule="exact"/>
              <w:jc w:val="center"/>
              <w:rPr>
                <w:rFonts w:eastAsia="仿宋_GB2312"/>
                <w:color w:val="auto"/>
                <w:kern w:val="0"/>
                <w:szCs w:val="21"/>
              </w:rPr>
            </w:pPr>
            <w:r>
              <w:rPr>
                <w:rFonts w:eastAsia="仿宋_GB2312"/>
                <w:color w:val="auto"/>
                <w:kern w:val="0"/>
                <w:szCs w:val="21"/>
              </w:rPr>
              <w:t>非甲烷总烃</w:t>
            </w:r>
          </w:p>
        </w:tc>
        <w:tc>
          <w:tcPr>
            <w:tcW w:w="926" w:type="pct"/>
            <w:vAlign w:val="center"/>
          </w:tcPr>
          <w:p w14:paraId="5567FBA4">
            <w:pPr>
              <w:widowControl/>
              <w:spacing w:line="300" w:lineRule="exact"/>
              <w:jc w:val="center"/>
              <w:rPr>
                <w:rFonts w:eastAsia="仿宋_GB2312"/>
                <w:color w:val="auto"/>
                <w:kern w:val="0"/>
                <w:szCs w:val="21"/>
              </w:rPr>
            </w:pPr>
            <w:r>
              <w:rPr>
                <w:rFonts w:eastAsia="仿宋_GB2312"/>
                <w:color w:val="auto"/>
                <w:kern w:val="0"/>
                <w:szCs w:val="21"/>
              </w:rPr>
              <w:t>0.01</w:t>
            </w:r>
          </w:p>
        </w:tc>
        <w:tc>
          <w:tcPr>
            <w:tcW w:w="1010" w:type="pct"/>
            <w:vAlign w:val="center"/>
          </w:tcPr>
          <w:p w14:paraId="112DB539">
            <w:pPr>
              <w:widowControl/>
              <w:spacing w:line="300" w:lineRule="exact"/>
              <w:jc w:val="center"/>
              <w:rPr>
                <w:rFonts w:hint="default" w:eastAsia="仿宋_GB2312"/>
                <w:color w:val="auto"/>
                <w:kern w:val="0"/>
                <w:szCs w:val="21"/>
                <w:lang w:val="en-US" w:eastAsia="zh-CN"/>
              </w:rPr>
            </w:pPr>
            <w:r>
              <w:rPr>
                <w:rFonts w:eastAsia="仿宋_GB2312"/>
                <w:color w:val="auto"/>
                <w:kern w:val="0"/>
                <w:szCs w:val="21"/>
              </w:rPr>
              <w:t>1920</w:t>
            </w:r>
          </w:p>
        </w:tc>
        <w:tc>
          <w:tcPr>
            <w:tcW w:w="926" w:type="pct"/>
            <w:vAlign w:val="center"/>
          </w:tcPr>
          <w:p w14:paraId="218DFBBD">
            <w:pPr>
              <w:widowControl/>
              <w:spacing w:line="300" w:lineRule="exact"/>
              <w:jc w:val="center"/>
              <w:rPr>
                <w:rFonts w:eastAsia="仿宋_GB2312"/>
                <w:color w:val="auto"/>
                <w:kern w:val="0"/>
                <w:szCs w:val="21"/>
              </w:rPr>
            </w:pPr>
            <w:r>
              <w:rPr>
                <w:rFonts w:eastAsia="仿宋_GB2312"/>
                <w:color w:val="auto"/>
                <w:kern w:val="0"/>
                <w:szCs w:val="21"/>
              </w:rPr>
              <w:t>3</w:t>
            </w:r>
          </w:p>
        </w:tc>
      </w:tr>
      <w:tr w14:paraId="4C7587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7" w:type="dxa"/>
            <w:bottom w:w="0" w:type="dxa"/>
            <w:right w:w="57" w:type="dxa"/>
          </w:tblCellMar>
        </w:tblPrEx>
        <w:trPr>
          <w:trHeight w:val="340" w:hRule="atLeast"/>
          <w:jc w:val="center"/>
        </w:trPr>
        <w:tc>
          <w:tcPr>
            <w:tcW w:w="1211" w:type="pct"/>
            <w:vAlign w:val="center"/>
          </w:tcPr>
          <w:p w14:paraId="022194CF">
            <w:pPr>
              <w:widowControl/>
              <w:spacing w:line="300" w:lineRule="exact"/>
              <w:jc w:val="center"/>
              <w:rPr>
                <w:rFonts w:eastAsia="仿宋_GB2312"/>
                <w:color w:val="auto"/>
                <w:kern w:val="0"/>
                <w:szCs w:val="21"/>
              </w:rPr>
            </w:pPr>
            <w:r>
              <w:rPr>
                <w:rFonts w:hint="eastAsia" w:eastAsia="仿宋_GB2312"/>
                <w:color w:val="auto"/>
                <w:kern w:val="0"/>
                <w:szCs w:val="21"/>
                <w:lang w:val="en-US" w:eastAsia="zh-CN"/>
              </w:rPr>
              <w:t>5</w:t>
            </w:r>
            <w:r>
              <w:rPr>
                <w:rFonts w:eastAsia="仿宋_GB2312"/>
                <w:color w:val="auto"/>
                <w:kern w:val="0"/>
                <w:szCs w:val="21"/>
              </w:rPr>
              <w:t>#仓库</w:t>
            </w:r>
          </w:p>
        </w:tc>
        <w:tc>
          <w:tcPr>
            <w:tcW w:w="926" w:type="pct"/>
            <w:vAlign w:val="center"/>
          </w:tcPr>
          <w:p w14:paraId="5D568630">
            <w:pPr>
              <w:widowControl/>
              <w:spacing w:line="300" w:lineRule="exact"/>
              <w:jc w:val="center"/>
              <w:rPr>
                <w:rFonts w:eastAsia="仿宋_GB2312"/>
                <w:color w:val="auto"/>
                <w:kern w:val="0"/>
                <w:szCs w:val="21"/>
              </w:rPr>
            </w:pPr>
            <w:r>
              <w:rPr>
                <w:rFonts w:eastAsia="仿宋_GB2312"/>
                <w:color w:val="auto"/>
                <w:kern w:val="0"/>
                <w:szCs w:val="21"/>
              </w:rPr>
              <w:t>非甲烷总烃</w:t>
            </w:r>
          </w:p>
        </w:tc>
        <w:tc>
          <w:tcPr>
            <w:tcW w:w="926" w:type="pct"/>
            <w:vAlign w:val="center"/>
          </w:tcPr>
          <w:p w14:paraId="5B66DA19">
            <w:pPr>
              <w:widowControl/>
              <w:spacing w:line="300" w:lineRule="exact"/>
              <w:jc w:val="center"/>
              <w:rPr>
                <w:rFonts w:hint="eastAsia" w:eastAsia="仿宋_GB2312"/>
                <w:color w:val="auto"/>
                <w:kern w:val="0"/>
                <w:szCs w:val="21"/>
                <w:lang w:eastAsia="zh-CN"/>
              </w:rPr>
            </w:pPr>
            <w:r>
              <w:rPr>
                <w:rFonts w:eastAsia="仿宋_GB2312"/>
                <w:color w:val="auto"/>
                <w:kern w:val="0"/>
                <w:szCs w:val="21"/>
              </w:rPr>
              <w:t>0.0</w:t>
            </w:r>
            <w:r>
              <w:rPr>
                <w:rFonts w:hint="eastAsia" w:eastAsia="仿宋_GB2312"/>
                <w:color w:val="auto"/>
                <w:kern w:val="0"/>
                <w:szCs w:val="21"/>
                <w:lang w:val="en-US" w:eastAsia="zh-CN"/>
              </w:rPr>
              <w:t>1</w:t>
            </w:r>
          </w:p>
        </w:tc>
        <w:tc>
          <w:tcPr>
            <w:tcW w:w="1010" w:type="pct"/>
            <w:vAlign w:val="center"/>
          </w:tcPr>
          <w:p w14:paraId="13C9C8D3">
            <w:pPr>
              <w:widowControl/>
              <w:spacing w:line="300" w:lineRule="exact"/>
              <w:jc w:val="center"/>
              <w:rPr>
                <w:rFonts w:hint="default" w:eastAsia="仿宋_GB2312"/>
                <w:color w:val="auto"/>
                <w:kern w:val="0"/>
                <w:szCs w:val="21"/>
                <w:lang w:val="en-US" w:eastAsia="zh-CN"/>
              </w:rPr>
            </w:pPr>
            <w:r>
              <w:rPr>
                <w:rFonts w:hint="eastAsia" w:eastAsia="仿宋_GB2312"/>
                <w:color w:val="auto"/>
                <w:kern w:val="0"/>
                <w:szCs w:val="21"/>
                <w:lang w:val="en-US" w:eastAsia="zh-CN"/>
              </w:rPr>
              <w:t>1500</w:t>
            </w:r>
          </w:p>
        </w:tc>
        <w:tc>
          <w:tcPr>
            <w:tcW w:w="926" w:type="pct"/>
            <w:vAlign w:val="center"/>
          </w:tcPr>
          <w:p w14:paraId="3F2A1507">
            <w:pPr>
              <w:widowControl/>
              <w:spacing w:line="300" w:lineRule="exact"/>
              <w:jc w:val="center"/>
              <w:rPr>
                <w:rFonts w:eastAsia="仿宋_GB2312"/>
                <w:color w:val="auto"/>
                <w:kern w:val="0"/>
                <w:szCs w:val="21"/>
              </w:rPr>
            </w:pPr>
            <w:r>
              <w:rPr>
                <w:rFonts w:eastAsia="仿宋_GB2312"/>
                <w:color w:val="auto"/>
                <w:kern w:val="0"/>
                <w:szCs w:val="21"/>
              </w:rPr>
              <w:t>3</w:t>
            </w:r>
          </w:p>
        </w:tc>
      </w:tr>
      <w:tr w14:paraId="190D608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7" w:type="dxa"/>
            <w:bottom w:w="0" w:type="dxa"/>
            <w:right w:w="57" w:type="dxa"/>
          </w:tblCellMar>
        </w:tblPrEx>
        <w:trPr>
          <w:trHeight w:val="340" w:hRule="atLeast"/>
          <w:jc w:val="center"/>
        </w:trPr>
        <w:tc>
          <w:tcPr>
            <w:tcW w:w="1211" w:type="pct"/>
            <w:vAlign w:val="center"/>
          </w:tcPr>
          <w:p w14:paraId="53D1CC88">
            <w:pPr>
              <w:widowControl/>
              <w:spacing w:line="300" w:lineRule="exact"/>
              <w:jc w:val="center"/>
              <w:rPr>
                <w:rFonts w:eastAsia="仿宋_GB2312"/>
                <w:color w:val="auto"/>
                <w:kern w:val="0"/>
                <w:szCs w:val="21"/>
              </w:rPr>
            </w:pPr>
            <w:r>
              <w:rPr>
                <w:rFonts w:eastAsia="仿宋_GB2312"/>
                <w:color w:val="auto"/>
                <w:kern w:val="0"/>
                <w:szCs w:val="21"/>
              </w:rPr>
              <w:t>分拣暂存间</w:t>
            </w:r>
          </w:p>
        </w:tc>
        <w:tc>
          <w:tcPr>
            <w:tcW w:w="926" w:type="pct"/>
            <w:vAlign w:val="center"/>
          </w:tcPr>
          <w:p w14:paraId="32A05F0A">
            <w:pPr>
              <w:widowControl/>
              <w:spacing w:line="300" w:lineRule="exact"/>
              <w:jc w:val="center"/>
              <w:rPr>
                <w:rFonts w:eastAsia="仿宋_GB2312"/>
                <w:color w:val="auto"/>
                <w:kern w:val="0"/>
                <w:szCs w:val="21"/>
              </w:rPr>
            </w:pPr>
            <w:r>
              <w:rPr>
                <w:rFonts w:eastAsia="仿宋_GB2312"/>
                <w:color w:val="auto"/>
                <w:kern w:val="0"/>
                <w:szCs w:val="21"/>
              </w:rPr>
              <w:t>非甲烷总烃</w:t>
            </w:r>
          </w:p>
        </w:tc>
        <w:tc>
          <w:tcPr>
            <w:tcW w:w="926" w:type="pct"/>
            <w:vAlign w:val="center"/>
          </w:tcPr>
          <w:p w14:paraId="4D6AD01C">
            <w:pPr>
              <w:widowControl/>
              <w:spacing w:line="300" w:lineRule="exact"/>
              <w:jc w:val="center"/>
              <w:rPr>
                <w:rFonts w:hint="eastAsia" w:eastAsia="仿宋_GB2312"/>
                <w:color w:val="auto"/>
                <w:kern w:val="0"/>
                <w:szCs w:val="21"/>
                <w:lang w:eastAsia="zh-CN"/>
              </w:rPr>
            </w:pPr>
            <w:r>
              <w:rPr>
                <w:rFonts w:eastAsia="仿宋_GB2312"/>
                <w:color w:val="auto"/>
                <w:kern w:val="0"/>
                <w:szCs w:val="21"/>
              </w:rPr>
              <w:t>0.0</w:t>
            </w:r>
            <w:r>
              <w:rPr>
                <w:rFonts w:hint="eastAsia" w:eastAsia="仿宋_GB2312"/>
                <w:color w:val="auto"/>
                <w:kern w:val="0"/>
                <w:szCs w:val="21"/>
                <w:lang w:val="en-US" w:eastAsia="zh-CN"/>
              </w:rPr>
              <w:t>1</w:t>
            </w:r>
          </w:p>
        </w:tc>
        <w:tc>
          <w:tcPr>
            <w:tcW w:w="1010" w:type="pct"/>
            <w:vAlign w:val="center"/>
          </w:tcPr>
          <w:p w14:paraId="15BE94F8">
            <w:pPr>
              <w:widowControl/>
              <w:spacing w:line="300" w:lineRule="exact"/>
              <w:jc w:val="center"/>
              <w:rPr>
                <w:rFonts w:eastAsia="仿宋_GB2312"/>
                <w:color w:val="auto"/>
                <w:kern w:val="0"/>
                <w:szCs w:val="21"/>
              </w:rPr>
            </w:pPr>
            <w:r>
              <w:rPr>
                <w:rFonts w:eastAsia="仿宋_GB2312"/>
                <w:color w:val="auto"/>
                <w:kern w:val="0"/>
                <w:szCs w:val="21"/>
              </w:rPr>
              <w:t>1536</w:t>
            </w:r>
          </w:p>
        </w:tc>
        <w:tc>
          <w:tcPr>
            <w:tcW w:w="926" w:type="pct"/>
            <w:vAlign w:val="center"/>
          </w:tcPr>
          <w:p w14:paraId="4B65BCEB">
            <w:pPr>
              <w:widowControl/>
              <w:spacing w:line="300" w:lineRule="exact"/>
              <w:jc w:val="center"/>
              <w:rPr>
                <w:rFonts w:eastAsia="仿宋_GB2312"/>
                <w:color w:val="auto"/>
                <w:kern w:val="0"/>
                <w:szCs w:val="21"/>
              </w:rPr>
            </w:pPr>
            <w:r>
              <w:rPr>
                <w:rFonts w:eastAsia="仿宋_GB2312"/>
                <w:color w:val="auto"/>
                <w:kern w:val="0"/>
                <w:szCs w:val="21"/>
              </w:rPr>
              <w:t>3</w:t>
            </w:r>
          </w:p>
        </w:tc>
      </w:tr>
    </w:tbl>
    <w:p w14:paraId="28917830">
      <w:pPr>
        <w:tabs>
          <w:tab w:val="left" w:pos="6840"/>
        </w:tabs>
        <w:spacing w:line="500" w:lineRule="exact"/>
        <w:ind w:firstLine="562" w:firstLineChars="200"/>
        <w:rPr>
          <w:rFonts w:hint="default" w:eastAsia="仿宋_GB2312"/>
          <w:b/>
          <w:color w:val="auto"/>
          <w:sz w:val="28"/>
          <w:szCs w:val="28"/>
          <w:lang w:val="en-US" w:eastAsia="zh-CN"/>
        </w:rPr>
      </w:pPr>
      <w:r>
        <w:rPr>
          <w:rFonts w:eastAsia="仿宋_GB2312"/>
          <w:b/>
          <w:color w:val="auto"/>
          <w:sz w:val="28"/>
          <w:szCs w:val="28"/>
        </w:rPr>
        <w:t>3、</w:t>
      </w:r>
      <w:r>
        <w:rPr>
          <w:rFonts w:hint="eastAsia" w:eastAsia="仿宋_GB2312"/>
          <w:b/>
          <w:color w:val="auto"/>
          <w:sz w:val="28"/>
          <w:szCs w:val="28"/>
          <w:lang w:val="en-US" w:eastAsia="zh-CN"/>
        </w:rPr>
        <w:t>污水站废气</w:t>
      </w:r>
    </w:p>
    <w:p w14:paraId="4529CB85">
      <w:pPr>
        <w:tabs>
          <w:tab w:val="left" w:pos="6840"/>
        </w:tabs>
        <w:spacing w:line="500" w:lineRule="exact"/>
        <w:ind w:firstLine="560" w:firstLineChars="200"/>
        <w:rPr>
          <w:rFonts w:eastAsia="仿宋_GB2312"/>
          <w:color w:val="FF0000"/>
          <w:sz w:val="28"/>
          <w:szCs w:val="28"/>
        </w:rPr>
      </w:pPr>
      <w:r>
        <w:rPr>
          <w:rFonts w:hint="eastAsia" w:eastAsia="仿宋_GB2312"/>
          <w:color w:val="auto"/>
          <w:sz w:val="28"/>
          <w:szCs w:val="28"/>
          <w:lang w:val="en-US" w:eastAsia="zh-CN"/>
        </w:rPr>
        <w:t>污水站处理废水量增加</w:t>
      </w:r>
      <w:r>
        <w:rPr>
          <w:rFonts w:eastAsia="仿宋_GB2312"/>
          <w:color w:val="auto"/>
          <w:sz w:val="28"/>
          <w:szCs w:val="28"/>
        </w:rPr>
        <w:t>，</w:t>
      </w:r>
      <w:r>
        <w:rPr>
          <w:rFonts w:hint="eastAsia" w:eastAsia="仿宋_GB2312"/>
          <w:color w:val="auto"/>
          <w:sz w:val="28"/>
          <w:szCs w:val="28"/>
          <w:lang w:val="en-US" w:eastAsia="zh-CN"/>
        </w:rPr>
        <w:t>污水站废气收集后经“冷凝+稀酸吸收+碱、次氯酸钠混合液吸收+除雾+活性炭吸附/脱附”</w:t>
      </w:r>
      <w:r>
        <w:rPr>
          <w:rFonts w:eastAsia="仿宋_GB2312"/>
          <w:color w:val="auto"/>
          <w:sz w:val="28"/>
          <w:szCs w:val="28"/>
        </w:rPr>
        <w:t>吸附处理后通过2</w:t>
      </w:r>
      <w:r>
        <w:rPr>
          <w:rFonts w:hint="eastAsia" w:eastAsia="仿宋_GB2312"/>
          <w:color w:val="auto"/>
          <w:sz w:val="28"/>
          <w:szCs w:val="28"/>
          <w:lang w:val="en-US" w:eastAsia="zh-CN"/>
        </w:rPr>
        <w:t>5</w:t>
      </w:r>
      <w:r>
        <w:rPr>
          <w:rFonts w:eastAsia="仿宋_GB2312"/>
          <w:color w:val="auto"/>
          <w:sz w:val="28"/>
          <w:szCs w:val="28"/>
        </w:rPr>
        <w:t>米排气筒（</w:t>
      </w:r>
      <w:r>
        <w:rPr>
          <w:rFonts w:hint="eastAsia" w:eastAsia="仿宋_GB2312"/>
          <w:color w:val="auto"/>
          <w:sz w:val="28"/>
          <w:szCs w:val="28"/>
          <w:lang w:val="en-US" w:eastAsia="zh-CN"/>
        </w:rPr>
        <w:t>DA004</w:t>
      </w:r>
      <w:r>
        <w:rPr>
          <w:rFonts w:eastAsia="仿宋_GB2312"/>
          <w:color w:val="auto"/>
          <w:sz w:val="28"/>
          <w:szCs w:val="28"/>
        </w:rPr>
        <w:t>）排放。</w:t>
      </w:r>
      <w:r>
        <w:rPr>
          <w:rFonts w:hint="eastAsia" w:eastAsia="仿宋_GB2312"/>
          <w:color w:val="auto"/>
          <w:sz w:val="28"/>
          <w:szCs w:val="28"/>
          <w:lang w:val="en-US" w:eastAsia="zh-CN"/>
        </w:rPr>
        <w:t>污水站</w:t>
      </w:r>
      <w:r>
        <w:rPr>
          <w:rFonts w:eastAsia="仿宋_GB2312"/>
          <w:color w:val="auto"/>
          <w:sz w:val="28"/>
          <w:szCs w:val="28"/>
        </w:rPr>
        <w:t>有组织废气产生情况见表3.6-</w:t>
      </w:r>
      <w:r>
        <w:rPr>
          <w:rFonts w:hint="eastAsia" w:eastAsia="仿宋_GB2312"/>
          <w:color w:val="auto"/>
          <w:sz w:val="28"/>
          <w:szCs w:val="28"/>
          <w:lang w:val="en-US" w:eastAsia="zh-CN"/>
        </w:rPr>
        <w:t>9</w:t>
      </w:r>
      <w:r>
        <w:rPr>
          <w:rFonts w:eastAsia="仿宋_GB2312"/>
          <w:color w:val="auto"/>
          <w:sz w:val="28"/>
          <w:szCs w:val="28"/>
        </w:rPr>
        <w:t>，无组织废气产生情况见表3.6-</w:t>
      </w:r>
      <w:r>
        <w:rPr>
          <w:rFonts w:hint="eastAsia" w:eastAsia="仿宋_GB2312"/>
          <w:color w:val="auto"/>
          <w:sz w:val="28"/>
          <w:szCs w:val="28"/>
          <w:lang w:val="en-US" w:eastAsia="zh-CN"/>
        </w:rPr>
        <w:t>10</w:t>
      </w:r>
      <w:r>
        <w:rPr>
          <w:rFonts w:eastAsia="仿宋_GB2312"/>
          <w:color w:val="auto"/>
          <w:sz w:val="28"/>
          <w:szCs w:val="28"/>
        </w:rPr>
        <w:t>。</w:t>
      </w:r>
    </w:p>
    <w:p w14:paraId="0E978720">
      <w:pPr>
        <w:pStyle w:val="404"/>
        <w:spacing w:line="500" w:lineRule="exact"/>
        <w:ind w:firstLine="0" w:firstLineChars="0"/>
        <w:jc w:val="center"/>
        <w:rPr>
          <w:rFonts w:eastAsia="仿宋_GB2312"/>
          <w:b/>
          <w:bCs/>
          <w:color w:val="auto"/>
          <w:sz w:val="24"/>
        </w:rPr>
      </w:pPr>
      <w:r>
        <w:rPr>
          <w:rFonts w:eastAsia="仿宋_GB2312"/>
          <w:b/>
          <w:bCs/>
          <w:color w:val="auto"/>
          <w:sz w:val="24"/>
        </w:rPr>
        <w:t>表3.6-</w:t>
      </w:r>
      <w:r>
        <w:rPr>
          <w:rFonts w:hint="eastAsia" w:eastAsia="仿宋_GB2312"/>
          <w:b/>
          <w:bCs/>
          <w:color w:val="auto"/>
          <w:sz w:val="24"/>
          <w:lang w:val="en-US" w:eastAsia="zh-CN"/>
        </w:rPr>
        <w:t>9</w:t>
      </w:r>
      <w:r>
        <w:rPr>
          <w:rFonts w:eastAsia="仿宋_GB2312"/>
          <w:b/>
          <w:bCs/>
          <w:color w:val="auto"/>
          <w:sz w:val="24"/>
        </w:rPr>
        <w:t xml:space="preserve">  </w:t>
      </w:r>
      <w:r>
        <w:rPr>
          <w:rFonts w:hint="eastAsia" w:eastAsia="仿宋_GB2312"/>
          <w:b/>
          <w:bCs/>
          <w:color w:val="auto"/>
          <w:sz w:val="24"/>
          <w:lang w:val="en-US" w:eastAsia="zh-CN"/>
        </w:rPr>
        <w:t>污水站</w:t>
      </w:r>
      <w:r>
        <w:rPr>
          <w:rFonts w:eastAsia="仿宋_GB2312"/>
          <w:b/>
          <w:bCs/>
          <w:color w:val="auto"/>
          <w:sz w:val="24"/>
        </w:rPr>
        <w:t>废气产生情况表（有组织）</w:t>
      </w:r>
    </w:p>
    <w:tbl>
      <w:tblPr>
        <w:tblStyle w:val="882"/>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1511"/>
        <w:gridCol w:w="2003"/>
        <w:gridCol w:w="1608"/>
        <w:gridCol w:w="1950"/>
        <w:gridCol w:w="1291"/>
      </w:tblGrid>
      <w:tr w14:paraId="7F3653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40" w:hRule="atLeast"/>
          <w:tblHeader/>
          <w:jc w:val="center"/>
        </w:trPr>
        <w:tc>
          <w:tcPr>
            <w:tcW w:w="903" w:type="pct"/>
            <w:vAlign w:val="center"/>
          </w:tcPr>
          <w:p w14:paraId="5858B235">
            <w:pPr>
              <w:widowControl/>
              <w:spacing w:line="300" w:lineRule="exact"/>
              <w:jc w:val="center"/>
              <w:rPr>
                <w:rFonts w:eastAsia="仿宋_GB2312"/>
                <w:b/>
                <w:color w:val="auto"/>
                <w:kern w:val="0"/>
                <w:szCs w:val="21"/>
              </w:rPr>
            </w:pPr>
            <w:r>
              <w:rPr>
                <w:rFonts w:eastAsia="仿宋_GB2312"/>
                <w:b/>
                <w:color w:val="auto"/>
                <w:kern w:val="0"/>
                <w:szCs w:val="21"/>
              </w:rPr>
              <w:t>污染源位置或工序</w:t>
            </w:r>
          </w:p>
        </w:tc>
        <w:tc>
          <w:tcPr>
            <w:tcW w:w="1197" w:type="pct"/>
            <w:vAlign w:val="center"/>
          </w:tcPr>
          <w:p w14:paraId="1BCB9999">
            <w:pPr>
              <w:widowControl/>
              <w:spacing w:line="300" w:lineRule="exact"/>
              <w:jc w:val="center"/>
              <w:rPr>
                <w:rFonts w:eastAsia="仿宋_GB2312"/>
                <w:b/>
                <w:color w:val="auto"/>
                <w:kern w:val="0"/>
                <w:szCs w:val="21"/>
              </w:rPr>
            </w:pPr>
            <w:r>
              <w:rPr>
                <w:rFonts w:eastAsia="仿宋_GB2312"/>
                <w:b/>
                <w:color w:val="auto"/>
                <w:kern w:val="0"/>
                <w:szCs w:val="21"/>
              </w:rPr>
              <w:t>污染物名称</w:t>
            </w:r>
          </w:p>
        </w:tc>
        <w:tc>
          <w:tcPr>
            <w:tcW w:w="961" w:type="pct"/>
            <w:vAlign w:val="center"/>
          </w:tcPr>
          <w:p w14:paraId="593D500C">
            <w:pPr>
              <w:widowControl/>
              <w:spacing w:line="300" w:lineRule="exact"/>
              <w:jc w:val="center"/>
              <w:rPr>
                <w:rFonts w:eastAsia="仿宋_GB2312"/>
                <w:b/>
                <w:color w:val="auto"/>
                <w:kern w:val="0"/>
                <w:szCs w:val="21"/>
              </w:rPr>
            </w:pPr>
            <w:r>
              <w:rPr>
                <w:rFonts w:eastAsia="仿宋_GB2312"/>
                <w:b/>
                <w:color w:val="auto"/>
                <w:kern w:val="0"/>
                <w:szCs w:val="21"/>
              </w:rPr>
              <w:t>产生量(t/a)</w:t>
            </w:r>
          </w:p>
        </w:tc>
        <w:tc>
          <w:tcPr>
            <w:tcW w:w="1165" w:type="pct"/>
            <w:vAlign w:val="center"/>
          </w:tcPr>
          <w:p w14:paraId="37248B0E">
            <w:pPr>
              <w:widowControl/>
              <w:spacing w:line="300" w:lineRule="exact"/>
              <w:jc w:val="center"/>
              <w:rPr>
                <w:rFonts w:eastAsia="仿宋_GB2312"/>
                <w:b/>
                <w:color w:val="auto"/>
                <w:kern w:val="0"/>
                <w:szCs w:val="21"/>
              </w:rPr>
            </w:pPr>
            <w:r>
              <w:rPr>
                <w:rFonts w:eastAsia="仿宋_GB2312"/>
                <w:b/>
                <w:color w:val="auto"/>
                <w:kern w:val="0"/>
                <w:szCs w:val="21"/>
              </w:rPr>
              <w:t>拟采取的废气处理措施</w:t>
            </w:r>
          </w:p>
        </w:tc>
        <w:tc>
          <w:tcPr>
            <w:tcW w:w="771" w:type="pct"/>
            <w:vAlign w:val="center"/>
          </w:tcPr>
          <w:p w14:paraId="022C5476">
            <w:pPr>
              <w:widowControl/>
              <w:spacing w:line="300" w:lineRule="exact"/>
              <w:jc w:val="center"/>
              <w:rPr>
                <w:rFonts w:eastAsia="仿宋_GB2312"/>
                <w:b/>
                <w:color w:val="auto"/>
                <w:kern w:val="0"/>
                <w:szCs w:val="21"/>
              </w:rPr>
            </w:pPr>
            <w:r>
              <w:rPr>
                <w:rFonts w:eastAsia="仿宋_GB2312"/>
                <w:b/>
                <w:color w:val="auto"/>
                <w:kern w:val="0"/>
                <w:szCs w:val="21"/>
              </w:rPr>
              <w:t>排放高度(m)</w:t>
            </w:r>
          </w:p>
        </w:tc>
      </w:tr>
      <w:tr w14:paraId="57488D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903" w:type="pct"/>
            <w:vMerge w:val="restart"/>
            <w:vAlign w:val="center"/>
          </w:tcPr>
          <w:p w14:paraId="0E9D8059">
            <w:pPr>
              <w:widowControl/>
              <w:spacing w:line="300" w:lineRule="exact"/>
              <w:jc w:val="center"/>
              <w:rPr>
                <w:rFonts w:hint="eastAsia" w:eastAsia="仿宋_GB2312"/>
                <w:color w:val="auto"/>
                <w:kern w:val="0"/>
                <w:szCs w:val="21"/>
                <w:lang w:val="en-US" w:eastAsia="zh-CN"/>
              </w:rPr>
            </w:pPr>
            <w:r>
              <w:rPr>
                <w:rFonts w:hint="eastAsia" w:eastAsia="仿宋_GB2312"/>
                <w:color w:val="auto"/>
                <w:kern w:val="0"/>
                <w:szCs w:val="21"/>
                <w:lang w:val="en-US" w:eastAsia="zh-CN"/>
              </w:rPr>
              <w:t>污水站</w:t>
            </w:r>
          </w:p>
        </w:tc>
        <w:tc>
          <w:tcPr>
            <w:tcW w:w="1197" w:type="pct"/>
            <w:shd w:val="clear" w:color="auto" w:fill="auto"/>
            <w:vAlign w:val="center"/>
          </w:tcPr>
          <w:p w14:paraId="40F70E8B">
            <w:pPr>
              <w:widowControl/>
              <w:spacing w:line="300" w:lineRule="exact"/>
              <w:jc w:val="center"/>
              <w:rPr>
                <w:rFonts w:hint="eastAsia" w:ascii="Times New Roman" w:hAnsi="Times New Roman" w:eastAsia="仿宋_GB2312" w:cs="Times New Roman"/>
                <w:color w:val="auto"/>
                <w:kern w:val="0"/>
                <w:sz w:val="21"/>
                <w:szCs w:val="21"/>
                <w:lang w:val="en-US" w:eastAsia="zh-CN" w:bidi="ar-SA"/>
              </w:rPr>
            </w:pPr>
            <w:r>
              <w:rPr>
                <w:rFonts w:hint="eastAsia" w:eastAsia="仿宋_GB2312"/>
                <w:color w:val="auto"/>
                <w:kern w:val="0"/>
                <w:szCs w:val="21"/>
                <w:lang w:val="en-US" w:eastAsia="zh-CN"/>
              </w:rPr>
              <w:t>氨</w:t>
            </w:r>
          </w:p>
        </w:tc>
        <w:tc>
          <w:tcPr>
            <w:tcW w:w="961" w:type="pct"/>
            <w:vAlign w:val="center"/>
          </w:tcPr>
          <w:p w14:paraId="1E4EEB97">
            <w:pPr>
              <w:widowControl/>
              <w:spacing w:line="300" w:lineRule="exact"/>
              <w:jc w:val="center"/>
              <w:rPr>
                <w:rFonts w:hint="default" w:eastAsia="仿宋_GB2312"/>
                <w:color w:val="auto"/>
                <w:kern w:val="0"/>
                <w:szCs w:val="21"/>
                <w:lang w:val="en-US" w:eastAsia="zh-CN"/>
              </w:rPr>
            </w:pPr>
            <w:r>
              <w:rPr>
                <w:rFonts w:hint="eastAsia" w:eastAsia="仿宋_GB2312"/>
                <w:color w:val="auto"/>
                <w:kern w:val="0"/>
                <w:szCs w:val="21"/>
                <w:lang w:val="en-US" w:eastAsia="zh-CN"/>
              </w:rPr>
              <w:t>0.09</w:t>
            </w:r>
          </w:p>
        </w:tc>
        <w:tc>
          <w:tcPr>
            <w:tcW w:w="1165" w:type="pct"/>
            <w:vMerge w:val="restart"/>
            <w:vAlign w:val="center"/>
          </w:tcPr>
          <w:p w14:paraId="7D325726">
            <w:pPr>
              <w:widowControl/>
              <w:spacing w:line="300" w:lineRule="exact"/>
              <w:jc w:val="center"/>
              <w:rPr>
                <w:rFonts w:eastAsia="仿宋_GB2312"/>
                <w:color w:val="auto"/>
                <w:kern w:val="0"/>
                <w:szCs w:val="21"/>
              </w:rPr>
            </w:pPr>
            <w:r>
              <w:rPr>
                <w:rFonts w:eastAsia="仿宋_GB2312"/>
                <w:color w:val="auto"/>
                <w:szCs w:val="21"/>
              </w:rPr>
              <w:t>冷凝+稀酸吸收+碱、次氯酸钠混合液吸收+除雾+活性炭吸附/脱附</w:t>
            </w:r>
          </w:p>
        </w:tc>
        <w:tc>
          <w:tcPr>
            <w:tcW w:w="771" w:type="pct"/>
            <w:vMerge w:val="restart"/>
            <w:vAlign w:val="center"/>
          </w:tcPr>
          <w:p w14:paraId="58BB4ECD">
            <w:pPr>
              <w:widowControl/>
              <w:spacing w:line="300" w:lineRule="exact"/>
              <w:jc w:val="center"/>
              <w:rPr>
                <w:rFonts w:eastAsia="仿宋_GB2312"/>
                <w:color w:val="auto"/>
                <w:kern w:val="0"/>
                <w:szCs w:val="21"/>
              </w:rPr>
            </w:pPr>
            <w:r>
              <w:rPr>
                <w:rFonts w:eastAsia="仿宋_GB2312"/>
                <w:color w:val="auto"/>
                <w:kern w:val="0"/>
                <w:szCs w:val="21"/>
              </w:rPr>
              <w:t>2</w:t>
            </w:r>
            <w:r>
              <w:rPr>
                <w:rFonts w:hint="eastAsia" w:eastAsia="仿宋_GB2312"/>
                <w:color w:val="auto"/>
                <w:kern w:val="0"/>
                <w:szCs w:val="21"/>
                <w:lang w:val="en-US" w:eastAsia="zh-CN"/>
              </w:rPr>
              <w:t>5</w:t>
            </w:r>
            <w:r>
              <w:rPr>
                <w:rFonts w:eastAsia="仿宋_GB2312"/>
                <w:color w:val="auto"/>
                <w:kern w:val="0"/>
                <w:szCs w:val="21"/>
              </w:rPr>
              <w:t>m（</w:t>
            </w:r>
            <w:r>
              <w:rPr>
                <w:rFonts w:hint="eastAsia" w:eastAsia="仿宋_GB2312"/>
                <w:color w:val="auto"/>
                <w:kern w:val="0"/>
                <w:szCs w:val="21"/>
                <w:lang w:val="en-US" w:eastAsia="zh-CN"/>
              </w:rPr>
              <w:t>DA004</w:t>
            </w:r>
            <w:r>
              <w:rPr>
                <w:rFonts w:eastAsia="仿宋_GB2312"/>
                <w:color w:val="auto"/>
                <w:kern w:val="0"/>
                <w:szCs w:val="21"/>
              </w:rPr>
              <w:t>）</w:t>
            </w:r>
          </w:p>
        </w:tc>
      </w:tr>
      <w:tr w14:paraId="1556A4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903" w:type="pct"/>
            <w:vMerge w:val="continue"/>
            <w:vAlign w:val="center"/>
          </w:tcPr>
          <w:p w14:paraId="5463D3DF">
            <w:pPr>
              <w:widowControl/>
              <w:spacing w:line="300" w:lineRule="exact"/>
              <w:jc w:val="center"/>
              <w:rPr>
                <w:rFonts w:eastAsia="仿宋_GB2312"/>
                <w:color w:val="auto"/>
                <w:kern w:val="0"/>
                <w:szCs w:val="21"/>
              </w:rPr>
            </w:pPr>
          </w:p>
        </w:tc>
        <w:tc>
          <w:tcPr>
            <w:tcW w:w="1197" w:type="pct"/>
            <w:shd w:val="clear" w:color="auto" w:fill="auto"/>
            <w:vAlign w:val="center"/>
          </w:tcPr>
          <w:p w14:paraId="7B183C5B">
            <w:pPr>
              <w:widowControl/>
              <w:spacing w:line="300" w:lineRule="exact"/>
              <w:jc w:val="center"/>
              <w:rPr>
                <w:rFonts w:hint="default" w:ascii="Times New Roman" w:hAnsi="Times New Roman" w:eastAsia="仿宋_GB2312" w:cs="Times New Roman"/>
                <w:color w:val="auto"/>
                <w:kern w:val="0"/>
                <w:sz w:val="21"/>
                <w:szCs w:val="21"/>
                <w:lang w:val="en-US" w:eastAsia="zh-CN" w:bidi="ar-SA"/>
              </w:rPr>
            </w:pPr>
            <w:r>
              <w:rPr>
                <w:rFonts w:hint="eastAsia" w:eastAsia="仿宋_GB2312"/>
                <w:color w:val="auto"/>
                <w:kern w:val="0"/>
                <w:szCs w:val="21"/>
                <w:lang w:val="en-US" w:eastAsia="zh-CN"/>
              </w:rPr>
              <w:t>硫化氢</w:t>
            </w:r>
          </w:p>
        </w:tc>
        <w:tc>
          <w:tcPr>
            <w:tcW w:w="961" w:type="pct"/>
            <w:vAlign w:val="center"/>
          </w:tcPr>
          <w:p w14:paraId="11FBC63C">
            <w:pPr>
              <w:widowControl/>
              <w:spacing w:line="300" w:lineRule="exact"/>
              <w:jc w:val="center"/>
              <w:rPr>
                <w:rFonts w:hint="default" w:eastAsia="仿宋_GB2312"/>
                <w:color w:val="auto"/>
                <w:kern w:val="0"/>
                <w:szCs w:val="21"/>
                <w:lang w:val="en-US" w:eastAsia="zh-CN"/>
              </w:rPr>
            </w:pPr>
            <w:r>
              <w:rPr>
                <w:rFonts w:hint="eastAsia" w:eastAsia="仿宋_GB2312"/>
                <w:color w:val="auto"/>
                <w:kern w:val="0"/>
                <w:szCs w:val="21"/>
                <w:lang w:val="en-US" w:eastAsia="zh-CN"/>
              </w:rPr>
              <w:t>0.009</w:t>
            </w:r>
          </w:p>
        </w:tc>
        <w:tc>
          <w:tcPr>
            <w:tcW w:w="1165" w:type="pct"/>
            <w:vMerge w:val="continue"/>
            <w:vAlign w:val="center"/>
          </w:tcPr>
          <w:p w14:paraId="19DA1B0B">
            <w:pPr>
              <w:widowControl/>
              <w:spacing w:line="300" w:lineRule="exact"/>
              <w:jc w:val="center"/>
              <w:rPr>
                <w:rFonts w:eastAsia="仿宋_GB2312"/>
                <w:color w:val="FF0000"/>
                <w:kern w:val="0"/>
                <w:szCs w:val="21"/>
              </w:rPr>
            </w:pPr>
          </w:p>
        </w:tc>
        <w:tc>
          <w:tcPr>
            <w:tcW w:w="771" w:type="pct"/>
            <w:vMerge w:val="continue"/>
            <w:vAlign w:val="center"/>
          </w:tcPr>
          <w:p w14:paraId="336325D3">
            <w:pPr>
              <w:widowControl/>
              <w:spacing w:line="300" w:lineRule="exact"/>
              <w:jc w:val="center"/>
              <w:rPr>
                <w:rFonts w:eastAsia="仿宋_GB2312"/>
                <w:color w:val="FF0000"/>
                <w:kern w:val="0"/>
                <w:szCs w:val="21"/>
              </w:rPr>
            </w:pPr>
          </w:p>
        </w:tc>
      </w:tr>
      <w:tr w14:paraId="6ECB3F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903" w:type="pct"/>
            <w:vMerge w:val="continue"/>
            <w:vAlign w:val="center"/>
          </w:tcPr>
          <w:p w14:paraId="25B7CB84">
            <w:pPr>
              <w:widowControl/>
              <w:spacing w:line="300" w:lineRule="exact"/>
              <w:jc w:val="center"/>
              <w:rPr>
                <w:rFonts w:eastAsia="仿宋_GB2312"/>
                <w:color w:val="auto"/>
                <w:kern w:val="0"/>
                <w:szCs w:val="21"/>
              </w:rPr>
            </w:pPr>
          </w:p>
        </w:tc>
        <w:tc>
          <w:tcPr>
            <w:tcW w:w="1197" w:type="pct"/>
            <w:shd w:val="clear" w:color="auto" w:fill="auto"/>
            <w:vAlign w:val="center"/>
          </w:tcPr>
          <w:p w14:paraId="6706A6EB">
            <w:pPr>
              <w:widowControl/>
              <w:spacing w:line="300" w:lineRule="exact"/>
              <w:jc w:val="center"/>
              <w:rPr>
                <w:rFonts w:hint="eastAsia" w:ascii="Times New Roman" w:hAnsi="Times New Roman" w:eastAsia="仿宋_GB2312" w:cs="Times New Roman"/>
                <w:color w:val="auto"/>
                <w:kern w:val="0"/>
                <w:sz w:val="21"/>
                <w:szCs w:val="21"/>
                <w:lang w:val="en-US" w:eastAsia="zh-CN" w:bidi="ar-SA"/>
              </w:rPr>
            </w:pPr>
            <w:r>
              <w:rPr>
                <w:rFonts w:hint="eastAsia" w:eastAsia="仿宋_GB2312"/>
                <w:color w:val="auto"/>
                <w:kern w:val="0"/>
                <w:szCs w:val="21"/>
                <w:lang w:val="en-US" w:eastAsia="zh-CN"/>
              </w:rPr>
              <w:t>非甲烷总烃</w:t>
            </w:r>
          </w:p>
        </w:tc>
        <w:tc>
          <w:tcPr>
            <w:tcW w:w="961" w:type="pct"/>
            <w:vAlign w:val="center"/>
          </w:tcPr>
          <w:p w14:paraId="5C0C5BDE">
            <w:pPr>
              <w:widowControl/>
              <w:spacing w:line="300" w:lineRule="exact"/>
              <w:jc w:val="center"/>
              <w:rPr>
                <w:rFonts w:hint="default" w:eastAsia="仿宋_GB2312"/>
                <w:color w:val="auto"/>
                <w:kern w:val="0"/>
                <w:szCs w:val="21"/>
                <w:lang w:val="en-US" w:eastAsia="zh-CN"/>
              </w:rPr>
            </w:pPr>
            <w:r>
              <w:rPr>
                <w:rFonts w:hint="eastAsia" w:eastAsia="仿宋_GB2312"/>
                <w:color w:val="auto"/>
                <w:kern w:val="0"/>
                <w:szCs w:val="21"/>
                <w:lang w:val="en-US" w:eastAsia="zh-CN"/>
              </w:rPr>
              <w:t>0.27</w:t>
            </w:r>
          </w:p>
        </w:tc>
        <w:tc>
          <w:tcPr>
            <w:tcW w:w="1165" w:type="pct"/>
            <w:vMerge w:val="continue"/>
            <w:vAlign w:val="center"/>
          </w:tcPr>
          <w:p w14:paraId="59BBDEAC">
            <w:pPr>
              <w:widowControl/>
              <w:spacing w:line="300" w:lineRule="exact"/>
              <w:jc w:val="center"/>
              <w:rPr>
                <w:rFonts w:eastAsia="仿宋_GB2312"/>
                <w:color w:val="FF0000"/>
                <w:kern w:val="0"/>
                <w:szCs w:val="21"/>
              </w:rPr>
            </w:pPr>
          </w:p>
        </w:tc>
        <w:tc>
          <w:tcPr>
            <w:tcW w:w="771" w:type="pct"/>
            <w:vMerge w:val="continue"/>
            <w:vAlign w:val="center"/>
          </w:tcPr>
          <w:p w14:paraId="503F1B5A">
            <w:pPr>
              <w:widowControl/>
              <w:spacing w:line="300" w:lineRule="exact"/>
              <w:jc w:val="center"/>
              <w:rPr>
                <w:rFonts w:eastAsia="仿宋_GB2312"/>
                <w:color w:val="FF0000"/>
                <w:kern w:val="0"/>
                <w:szCs w:val="21"/>
              </w:rPr>
            </w:pPr>
          </w:p>
        </w:tc>
      </w:tr>
    </w:tbl>
    <w:p w14:paraId="2F84C2BC">
      <w:pPr>
        <w:pStyle w:val="404"/>
        <w:spacing w:line="500" w:lineRule="exact"/>
        <w:ind w:firstLine="0" w:firstLineChars="0"/>
        <w:jc w:val="center"/>
        <w:rPr>
          <w:rFonts w:eastAsia="仿宋_GB2312"/>
          <w:b/>
          <w:bCs/>
          <w:color w:val="auto"/>
          <w:sz w:val="24"/>
        </w:rPr>
      </w:pPr>
      <w:r>
        <w:rPr>
          <w:rFonts w:eastAsia="仿宋_GB2312"/>
          <w:b/>
          <w:bCs/>
          <w:color w:val="auto"/>
          <w:sz w:val="24"/>
        </w:rPr>
        <w:t>表3.6-</w:t>
      </w:r>
      <w:r>
        <w:rPr>
          <w:rFonts w:hint="eastAsia" w:eastAsia="仿宋_GB2312"/>
          <w:b/>
          <w:bCs/>
          <w:color w:val="auto"/>
          <w:sz w:val="24"/>
          <w:lang w:val="en-US" w:eastAsia="zh-CN"/>
        </w:rPr>
        <w:t>10</w:t>
      </w:r>
      <w:r>
        <w:rPr>
          <w:rFonts w:eastAsia="仿宋_GB2312"/>
          <w:b/>
          <w:bCs/>
          <w:color w:val="auto"/>
          <w:sz w:val="24"/>
        </w:rPr>
        <w:t xml:space="preserve">  </w:t>
      </w:r>
      <w:r>
        <w:rPr>
          <w:rFonts w:hint="eastAsia" w:eastAsia="仿宋_GB2312"/>
          <w:b/>
          <w:bCs/>
          <w:color w:val="auto"/>
          <w:sz w:val="24"/>
          <w:lang w:val="en-US" w:eastAsia="zh-CN"/>
        </w:rPr>
        <w:t>污水站</w:t>
      </w:r>
      <w:r>
        <w:rPr>
          <w:rFonts w:eastAsia="仿宋_GB2312"/>
          <w:b/>
          <w:bCs/>
          <w:color w:val="auto"/>
          <w:sz w:val="24"/>
        </w:rPr>
        <w:t>废气产生情况表（无组织）</w:t>
      </w:r>
    </w:p>
    <w:tbl>
      <w:tblPr>
        <w:tblStyle w:val="882"/>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57" w:type="dxa"/>
          <w:bottom w:w="0" w:type="dxa"/>
          <w:right w:w="57" w:type="dxa"/>
        </w:tblCellMar>
      </w:tblPr>
      <w:tblGrid>
        <w:gridCol w:w="1550"/>
        <w:gridCol w:w="2049"/>
        <w:gridCol w:w="1560"/>
        <w:gridCol w:w="1700"/>
        <w:gridCol w:w="1562"/>
      </w:tblGrid>
      <w:tr w14:paraId="746E1B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7" w:type="dxa"/>
            <w:bottom w:w="0" w:type="dxa"/>
            <w:right w:w="57" w:type="dxa"/>
          </w:tblCellMar>
        </w:tblPrEx>
        <w:trPr>
          <w:trHeight w:val="340" w:hRule="atLeast"/>
          <w:jc w:val="center"/>
        </w:trPr>
        <w:tc>
          <w:tcPr>
            <w:tcW w:w="920" w:type="pct"/>
            <w:vMerge w:val="restart"/>
            <w:vAlign w:val="center"/>
          </w:tcPr>
          <w:p w14:paraId="68D6226B">
            <w:pPr>
              <w:widowControl/>
              <w:spacing w:line="300" w:lineRule="exact"/>
              <w:jc w:val="center"/>
              <w:rPr>
                <w:rFonts w:eastAsia="仿宋_GB2312"/>
                <w:b/>
                <w:color w:val="auto"/>
                <w:kern w:val="0"/>
                <w:szCs w:val="21"/>
              </w:rPr>
            </w:pPr>
            <w:r>
              <w:rPr>
                <w:rFonts w:eastAsia="仿宋_GB2312"/>
                <w:b/>
                <w:color w:val="auto"/>
                <w:kern w:val="0"/>
                <w:szCs w:val="21"/>
              </w:rPr>
              <w:t>污染源位置或工序</w:t>
            </w:r>
          </w:p>
        </w:tc>
        <w:tc>
          <w:tcPr>
            <w:tcW w:w="1216" w:type="pct"/>
            <w:vMerge w:val="restart"/>
            <w:noWrap/>
            <w:vAlign w:val="center"/>
          </w:tcPr>
          <w:p w14:paraId="7698423D">
            <w:pPr>
              <w:widowControl/>
              <w:spacing w:line="300" w:lineRule="exact"/>
              <w:jc w:val="center"/>
              <w:rPr>
                <w:rFonts w:eastAsia="仿宋_GB2312"/>
                <w:b/>
                <w:color w:val="auto"/>
                <w:kern w:val="0"/>
                <w:szCs w:val="21"/>
              </w:rPr>
            </w:pPr>
            <w:r>
              <w:rPr>
                <w:rFonts w:eastAsia="仿宋_GB2312"/>
                <w:b/>
                <w:color w:val="auto"/>
                <w:kern w:val="0"/>
                <w:szCs w:val="21"/>
              </w:rPr>
              <w:t>污染物名称</w:t>
            </w:r>
          </w:p>
        </w:tc>
        <w:tc>
          <w:tcPr>
            <w:tcW w:w="926" w:type="pct"/>
            <w:vMerge w:val="restart"/>
            <w:noWrap/>
            <w:vAlign w:val="center"/>
          </w:tcPr>
          <w:p w14:paraId="142FE245">
            <w:pPr>
              <w:widowControl/>
              <w:spacing w:line="300" w:lineRule="exact"/>
              <w:jc w:val="center"/>
              <w:rPr>
                <w:rFonts w:eastAsia="仿宋_GB2312"/>
                <w:b/>
                <w:color w:val="auto"/>
                <w:kern w:val="0"/>
                <w:szCs w:val="21"/>
              </w:rPr>
            </w:pPr>
            <w:r>
              <w:rPr>
                <w:rFonts w:eastAsia="仿宋_GB2312"/>
                <w:b/>
                <w:color w:val="auto"/>
                <w:kern w:val="0"/>
                <w:szCs w:val="21"/>
              </w:rPr>
              <w:t>产生量（t/a）</w:t>
            </w:r>
          </w:p>
        </w:tc>
        <w:tc>
          <w:tcPr>
            <w:tcW w:w="1936" w:type="pct"/>
            <w:gridSpan w:val="2"/>
            <w:vAlign w:val="center"/>
          </w:tcPr>
          <w:p w14:paraId="19193FE1">
            <w:pPr>
              <w:widowControl/>
              <w:spacing w:line="300" w:lineRule="exact"/>
              <w:jc w:val="center"/>
              <w:rPr>
                <w:rFonts w:eastAsia="仿宋_GB2312"/>
                <w:b/>
                <w:color w:val="auto"/>
                <w:kern w:val="0"/>
                <w:szCs w:val="21"/>
              </w:rPr>
            </w:pPr>
            <w:r>
              <w:rPr>
                <w:rFonts w:eastAsia="仿宋_GB2312"/>
                <w:b/>
                <w:color w:val="auto"/>
                <w:kern w:val="0"/>
                <w:szCs w:val="21"/>
              </w:rPr>
              <w:t>面源排放参数</w:t>
            </w:r>
          </w:p>
        </w:tc>
      </w:tr>
      <w:tr w14:paraId="73044A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7" w:type="dxa"/>
            <w:bottom w:w="0" w:type="dxa"/>
            <w:right w:w="57" w:type="dxa"/>
          </w:tblCellMar>
        </w:tblPrEx>
        <w:trPr>
          <w:trHeight w:val="340" w:hRule="atLeast"/>
          <w:jc w:val="center"/>
        </w:trPr>
        <w:tc>
          <w:tcPr>
            <w:tcW w:w="920" w:type="pct"/>
            <w:vMerge w:val="continue"/>
            <w:vAlign w:val="center"/>
          </w:tcPr>
          <w:p w14:paraId="0EF92723">
            <w:pPr>
              <w:widowControl/>
              <w:spacing w:line="300" w:lineRule="exact"/>
              <w:jc w:val="center"/>
              <w:rPr>
                <w:rFonts w:eastAsia="仿宋_GB2312"/>
                <w:b/>
                <w:color w:val="auto"/>
                <w:kern w:val="0"/>
                <w:szCs w:val="21"/>
              </w:rPr>
            </w:pPr>
          </w:p>
        </w:tc>
        <w:tc>
          <w:tcPr>
            <w:tcW w:w="1216" w:type="pct"/>
            <w:vMerge w:val="continue"/>
            <w:vAlign w:val="center"/>
          </w:tcPr>
          <w:p w14:paraId="0492D892">
            <w:pPr>
              <w:widowControl/>
              <w:spacing w:line="300" w:lineRule="exact"/>
              <w:jc w:val="center"/>
              <w:rPr>
                <w:rFonts w:eastAsia="仿宋_GB2312"/>
                <w:b/>
                <w:color w:val="auto"/>
                <w:kern w:val="0"/>
                <w:szCs w:val="21"/>
              </w:rPr>
            </w:pPr>
          </w:p>
        </w:tc>
        <w:tc>
          <w:tcPr>
            <w:tcW w:w="926" w:type="pct"/>
            <w:vMerge w:val="continue"/>
            <w:vAlign w:val="center"/>
          </w:tcPr>
          <w:p w14:paraId="2BF8E16D">
            <w:pPr>
              <w:widowControl/>
              <w:spacing w:line="300" w:lineRule="exact"/>
              <w:jc w:val="center"/>
              <w:rPr>
                <w:rFonts w:eastAsia="仿宋_GB2312"/>
                <w:b/>
                <w:color w:val="auto"/>
                <w:kern w:val="0"/>
                <w:szCs w:val="21"/>
              </w:rPr>
            </w:pPr>
          </w:p>
        </w:tc>
        <w:tc>
          <w:tcPr>
            <w:tcW w:w="1009" w:type="pct"/>
            <w:vAlign w:val="center"/>
          </w:tcPr>
          <w:p w14:paraId="4ECF8AF5">
            <w:pPr>
              <w:widowControl/>
              <w:spacing w:line="300" w:lineRule="exact"/>
              <w:jc w:val="center"/>
              <w:rPr>
                <w:rFonts w:eastAsia="仿宋_GB2312"/>
                <w:b/>
                <w:color w:val="auto"/>
                <w:kern w:val="0"/>
                <w:szCs w:val="21"/>
              </w:rPr>
            </w:pPr>
            <w:r>
              <w:rPr>
                <w:rFonts w:eastAsia="仿宋_GB2312"/>
                <w:b/>
                <w:color w:val="auto"/>
                <w:kern w:val="0"/>
                <w:szCs w:val="21"/>
              </w:rPr>
              <w:t>面积（m</w:t>
            </w:r>
            <w:r>
              <w:rPr>
                <w:rFonts w:eastAsia="仿宋_GB2312"/>
                <w:b/>
                <w:color w:val="auto"/>
                <w:kern w:val="0"/>
                <w:szCs w:val="21"/>
                <w:vertAlign w:val="superscript"/>
              </w:rPr>
              <w:t>2</w:t>
            </w:r>
            <w:r>
              <w:rPr>
                <w:rFonts w:eastAsia="仿宋_GB2312"/>
                <w:b/>
                <w:color w:val="auto"/>
                <w:kern w:val="0"/>
                <w:szCs w:val="21"/>
              </w:rPr>
              <w:t>）</w:t>
            </w:r>
          </w:p>
        </w:tc>
        <w:tc>
          <w:tcPr>
            <w:tcW w:w="927" w:type="pct"/>
            <w:vAlign w:val="center"/>
          </w:tcPr>
          <w:p w14:paraId="767E0638">
            <w:pPr>
              <w:widowControl/>
              <w:spacing w:line="300" w:lineRule="exact"/>
              <w:jc w:val="center"/>
              <w:rPr>
                <w:rFonts w:eastAsia="仿宋_GB2312"/>
                <w:b/>
                <w:color w:val="auto"/>
                <w:kern w:val="0"/>
                <w:szCs w:val="21"/>
              </w:rPr>
            </w:pPr>
            <w:r>
              <w:rPr>
                <w:rFonts w:eastAsia="仿宋_GB2312"/>
                <w:b/>
                <w:color w:val="auto"/>
                <w:kern w:val="0"/>
                <w:szCs w:val="21"/>
              </w:rPr>
              <w:t>高（m）</w:t>
            </w:r>
          </w:p>
        </w:tc>
      </w:tr>
      <w:tr w14:paraId="778D16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7" w:type="dxa"/>
            <w:bottom w:w="0" w:type="dxa"/>
            <w:right w:w="57" w:type="dxa"/>
          </w:tblCellMar>
        </w:tblPrEx>
        <w:trPr>
          <w:trHeight w:val="340" w:hRule="atLeast"/>
          <w:jc w:val="center"/>
        </w:trPr>
        <w:tc>
          <w:tcPr>
            <w:tcW w:w="920" w:type="pct"/>
            <w:vMerge w:val="restart"/>
            <w:vAlign w:val="center"/>
          </w:tcPr>
          <w:p w14:paraId="22E63F6A">
            <w:pPr>
              <w:widowControl/>
              <w:spacing w:line="300" w:lineRule="exact"/>
              <w:jc w:val="center"/>
              <w:rPr>
                <w:rFonts w:hint="default" w:eastAsia="仿宋_GB2312"/>
                <w:color w:val="auto"/>
                <w:kern w:val="0"/>
                <w:szCs w:val="21"/>
                <w:lang w:val="en-US" w:eastAsia="zh-CN"/>
              </w:rPr>
            </w:pPr>
            <w:r>
              <w:rPr>
                <w:rFonts w:hint="eastAsia" w:eastAsia="仿宋_GB2312"/>
                <w:color w:val="auto"/>
                <w:kern w:val="0"/>
                <w:szCs w:val="21"/>
                <w:lang w:val="en-US" w:eastAsia="zh-CN"/>
              </w:rPr>
              <w:t>污水站</w:t>
            </w:r>
          </w:p>
        </w:tc>
        <w:tc>
          <w:tcPr>
            <w:tcW w:w="1216" w:type="pct"/>
            <w:vAlign w:val="center"/>
          </w:tcPr>
          <w:p w14:paraId="75E45E95">
            <w:pPr>
              <w:widowControl/>
              <w:spacing w:line="300" w:lineRule="exact"/>
              <w:jc w:val="center"/>
              <w:rPr>
                <w:rFonts w:hint="eastAsia" w:eastAsia="仿宋_GB2312"/>
                <w:color w:val="auto"/>
                <w:kern w:val="0"/>
                <w:szCs w:val="21"/>
                <w:lang w:val="en-US" w:eastAsia="zh-CN"/>
              </w:rPr>
            </w:pPr>
            <w:r>
              <w:rPr>
                <w:rFonts w:hint="eastAsia" w:eastAsia="仿宋_GB2312"/>
                <w:color w:val="auto"/>
                <w:kern w:val="0"/>
                <w:szCs w:val="21"/>
                <w:lang w:val="en-US" w:eastAsia="zh-CN"/>
              </w:rPr>
              <w:t>氨</w:t>
            </w:r>
          </w:p>
        </w:tc>
        <w:tc>
          <w:tcPr>
            <w:tcW w:w="926" w:type="pct"/>
            <w:vAlign w:val="center"/>
          </w:tcPr>
          <w:p w14:paraId="1A743A0D">
            <w:pPr>
              <w:widowControl/>
              <w:spacing w:line="300" w:lineRule="exact"/>
              <w:jc w:val="center"/>
              <w:rPr>
                <w:rFonts w:hint="default" w:eastAsia="仿宋_GB2312"/>
                <w:color w:val="auto"/>
                <w:kern w:val="0"/>
                <w:szCs w:val="21"/>
                <w:lang w:val="en-US" w:eastAsia="zh-CN"/>
              </w:rPr>
            </w:pPr>
            <w:r>
              <w:rPr>
                <w:rFonts w:hint="eastAsia" w:eastAsia="仿宋_GB2312"/>
                <w:color w:val="auto"/>
                <w:kern w:val="0"/>
                <w:szCs w:val="21"/>
                <w:lang w:val="en-US" w:eastAsia="zh-CN"/>
              </w:rPr>
              <w:t>0.01</w:t>
            </w:r>
          </w:p>
        </w:tc>
        <w:tc>
          <w:tcPr>
            <w:tcW w:w="1009" w:type="pct"/>
            <w:vMerge w:val="restart"/>
            <w:vAlign w:val="center"/>
          </w:tcPr>
          <w:p w14:paraId="71DF8CF1">
            <w:pPr>
              <w:widowControl/>
              <w:spacing w:line="300" w:lineRule="exact"/>
              <w:jc w:val="center"/>
              <w:rPr>
                <w:rFonts w:hint="default" w:eastAsia="仿宋_GB2312"/>
                <w:color w:val="auto"/>
                <w:kern w:val="0"/>
                <w:szCs w:val="21"/>
                <w:lang w:val="en-US" w:eastAsia="zh-CN"/>
              </w:rPr>
            </w:pPr>
            <w:r>
              <w:rPr>
                <w:rFonts w:hint="eastAsia" w:eastAsia="仿宋_GB2312"/>
                <w:color w:val="auto"/>
                <w:kern w:val="0"/>
                <w:szCs w:val="21"/>
                <w:lang w:val="en-US" w:eastAsia="zh-CN"/>
              </w:rPr>
              <w:t>1000</w:t>
            </w:r>
          </w:p>
        </w:tc>
        <w:tc>
          <w:tcPr>
            <w:tcW w:w="927" w:type="pct"/>
            <w:vMerge w:val="restart"/>
            <w:vAlign w:val="center"/>
          </w:tcPr>
          <w:p w14:paraId="531ED5A1">
            <w:pPr>
              <w:widowControl/>
              <w:spacing w:line="300" w:lineRule="exact"/>
              <w:jc w:val="center"/>
              <w:rPr>
                <w:rFonts w:hint="eastAsia" w:eastAsia="仿宋_GB2312"/>
                <w:color w:val="auto"/>
                <w:kern w:val="0"/>
                <w:szCs w:val="21"/>
                <w:lang w:val="en-US" w:eastAsia="zh-CN"/>
              </w:rPr>
            </w:pPr>
            <w:r>
              <w:rPr>
                <w:rFonts w:hint="eastAsia" w:eastAsia="仿宋_GB2312"/>
                <w:color w:val="auto"/>
                <w:kern w:val="0"/>
                <w:szCs w:val="21"/>
                <w:lang w:val="en-US" w:eastAsia="zh-CN"/>
              </w:rPr>
              <w:t>3</w:t>
            </w:r>
          </w:p>
        </w:tc>
      </w:tr>
      <w:tr w14:paraId="726718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7" w:type="dxa"/>
            <w:bottom w:w="0" w:type="dxa"/>
            <w:right w:w="57" w:type="dxa"/>
          </w:tblCellMar>
        </w:tblPrEx>
        <w:trPr>
          <w:trHeight w:val="340" w:hRule="atLeast"/>
          <w:jc w:val="center"/>
        </w:trPr>
        <w:tc>
          <w:tcPr>
            <w:tcW w:w="920" w:type="pct"/>
            <w:vMerge w:val="continue"/>
            <w:vAlign w:val="center"/>
          </w:tcPr>
          <w:p w14:paraId="57D11D8D">
            <w:pPr>
              <w:widowControl/>
              <w:spacing w:line="300" w:lineRule="exact"/>
              <w:jc w:val="center"/>
              <w:rPr>
                <w:rFonts w:eastAsia="仿宋_GB2312"/>
                <w:color w:val="auto"/>
                <w:kern w:val="0"/>
                <w:szCs w:val="21"/>
              </w:rPr>
            </w:pPr>
          </w:p>
        </w:tc>
        <w:tc>
          <w:tcPr>
            <w:tcW w:w="1216" w:type="pct"/>
            <w:vAlign w:val="center"/>
          </w:tcPr>
          <w:p w14:paraId="52DDEF43">
            <w:pPr>
              <w:widowControl/>
              <w:spacing w:line="300" w:lineRule="exact"/>
              <w:jc w:val="center"/>
              <w:rPr>
                <w:rFonts w:hint="default" w:eastAsia="仿宋_GB2312"/>
                <w:color w:val="auto"/>
                <w:kern w:val="0"/>
                <w:szCs w:val="21"/>
                <w:lang w:val="en-US" w:eastAsia="zh-CN"/>
              </w:rPr>
            </w:pPr>
            <w:r>
              <w:rPr>
                <w:rFonts w:hint="eastAsia" w:eastAsia="仿宋_GB2312"/>
                <w:color w:val="auto"/>
                <w:kern w:val="0"/>
                <w:szCs w:val="21"/>
                <w:lang w:val="en-US" w:eastAsia="zh-CN"/>
              </w:rPr>
              <w:t>硫化氢</w:t>
            </w:r>
          </w:p>
        </w:tc>
        <w:tc>
          <w:tcPr>
            <w:tcW w:w="926" w:type="pct"/>
            <w:vAlign w:val="center"/>
          </w:tcPr>
          <w:p w14:paraId="2BA2E116">
            <w:pPr>
              <w:widowControl/>
              <w:spacing w:line="300" w:lineRule="exact"/>
              <w:jc w:val="center"/>
              <w:rPr>
                <w:rFonts w:hint="default" w:eastAsia="仿宋_GB2312"/>
                <w:color w:val="auto"/>
                <w:kern w:val="0"/>
                <w:szCs w:val="21"/>
                <w:lang w:val="en-US" w:eastAsia="zh-CN"/>
              </w:rPr>
            </w:pPr>
            <w:r>
              <w:rPr>
                <w:rFonts w:hint="eastAsia" w:eastAsia="仿宋_GB2312"/>
                <w:color w:val="auto"/>
                <w:kern w:val="0"/>
                <w:szCs w:val="21"/>
                <w:lang w:val="en-US" w:eastAsia="zh-CN"/>
              </w:rPr>
              <w:t>0.001</w:t>
            </w:r>
          </w:p>
        </w:tc>
        <w:tc>
          <w:tcPr>
            <w:tcW w:w="1009" w:type="pct"/>
            <w:vMerge w:val="continue"/>
            <w:vAlign w:val="center"/>
          </w:tcPr>
          <w:p w14:paraId="6ECA485F">
            <w:pPr>
              <w:widowControl/>
              <w:spacing w:line="300" w:lineRule="exact"/>
              <w:jc w:val="center"/>
              <w:rPr>
                <w:rFonts w:hint="default" w:eastAsia="仿宋_GB2312"/>
                <w:color w:val="auto"/>
                <w:kern w:val="0"/>
                <w:szCs w:val="21"/>
                <w:lang w:val="en-US" w:eastAsia="zh-CN"/>
              </w:rPr>
            </w:pPr>
          </w:p>
        </w:tc>
        <w:tc>
          <w:tcPr>
            <w:tcW w:w="927" w:type="pct"/>
            <w:vMerge w:val="continue"/>
            <w:vAlign w:val="center"/>
          </w:tcPr>
          <w:p w14:paraId="648472B8">
            <w:pPr>
              <w:widowControl/>
              <w:spacing w:line="300" w:lineRule="exact"/>
              <w:jc w:val="center"/>
              <w:rPr>
                <w:rFonts w:eastAsia="仿宋_GB2312"/>
                <w:color w:val="auto"/>
                <w:kern w:val="0"/>
                <w:szCs w:val="21"/>
              </w:rPr>
            </w:pPr>
          </w:p>
        </w:tc>
      </w:tr>
      <w:tr w14:paraId="35ABE4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7" w:type="dxa"/>
            <w:bottom w:w="0" w:type="dxa"/>
            <w:right w:w="57" w:type="dxa"/>
          </w:tblCellMar>
        </w:tblPrEx>
        <w:trPr>
          <w:trHeight w:val="340" w:hRule="atLeast"/>
          <w:jc w:val="center"/>
        </w:trPr>
        <w:tc>
          <w:tcPr>
            <w:tcW w:w="920" w:type="pct"/>
            <w:vMerge w:val="continue"/>
            <w:vAlign w:val="center"/>
          </w:tcPr>
          <w:p w14:paraId="153BDBFC">
            <w:pPr>
              <w:widowControl/>
              <w:spacing w:line="300" w:lineRule="exact"/>
              <w:jc w:val="center"/>
              <w:rPr>
                <w:rFonts w:eastAsia="仿宋_GB2312"/>
                <w:color w:val="auto"/>
                <w:kern w:val="0"/>
                <w:szCs w:val="21"/>
              </w:rPr>
            </w:pPr>
          </w:p>
        </w:tc>
        <w:tc>
          <w:tcPr>
            <w:tcW w:w="1216" w:type="pct"/>
            <w:vAlign w:val="center"/>
          </w:tcPr>
          <w:p w14:paraId="12F20FE9">
            <w:pPr>
              <w:widowControl/>
              <w:spacing w:line="300" w:lineRule="exact"/>
              <w:jc w:val="center"/>
              <w:rPr>
                <w:rFonts w:hint="eastAsia" w:eastAsia="仿宋_GB2312"/>
                <w:color w:val="auto"/>
                <w:kern w:val="0"/>
                <w:szCs w:val="21"/>
                <w:lang w:val="en-US" w:eastAsia="zh-CN"/>
              </w:rPr>
            </w:pPr>
            <w:r>
              <w:rPr>
                <w:rFonts w:hint="eastAsia" w:eastAsia="仿宋_GB2312"/>
                <w:color w:val="auto"/>
                <w:kern w:val="0"/>
                <w:szCs w:val="21"/>
                <w:lang w:val="en-US" w:eastAsia="zh-CN"/>
              </w:rPr>
              <w:t>非甲烷总烃</w:t>
            </w:r>
          </w:p>
        </w:tc>
        <w:tc>
          <w:tcPr>
            <w:tcW w:w="926" w:type="pct"/>
            <w:vAlign w:val="center"/>
          </w:tcPr>
          <w:p w14:paraId="560E578D">
            <w:pPr>
              <w:widowControl/>
              <w:spacing w:line="300" w:lineRule="exact"/>
              <w:jc w:val="center"/>
              <w:rPr>
                <w:rFonts w:hint="default" w:eastAsia="仿宋_GB2312"/>
                <w:color w:val="auto"/>
                <w:kern w:val="0"/>
                <w:szCs w:val="21"/>
                <w:lang w:val="en-US" w:eastAsia="zh-CN"/>
              </w:rPr>
            </w:pPr>
            <w:r>
              <w:rPr>
                <w:rFonts w:hint="eastAsia" w:eastAsia="仿宋_GB2312"/>
                <w:color w:val="auto"/>
                <w:kern w:val="0"/>
                <w:szCs w:val="21"/>
                <w:lang w:val="en-US" w:eastAsia="zh-CN"/>
              </w:rPr>
              <w:t>0.03</w:t>
            </w:r>
          </w:p>
        </w:tc>
        <w:tc>
          <w:tcPr>
            <w:tcW w:w="1009" w:type="pct"/>
            <w:vMerge w:val="continue"/>
            <w:vAlign w:val="center"/>
          </w:tcPr>
          <w:p w14:paraId="3FF991CA">
            <w:pPr>
              <w:widowControl/>
              <w:spacing w:line="300" w:lineRule="exact"/>
              <w:jc w:val="center"/>
              <w:rPr>
                <w:rFonts w:hint="default" w:eastAsia="仿宋_GB2312"/>
                <w:color w:val="auto"/>
                <w:kern w:val="0"/>
                <w:szCs w:val="21"/>
                <w:lang w:val="en-US" w:eastAsia="zh-CN"/>
              </w:rPr>
            </w:pPr>
          </w:p>
        </w:tc>
        <w:tc>
          <w:tcPr>
            <w:tcW w:w="927" w:type="pct"/>
            <w:vMerge w:val="continue"/>
            <w:vAlign w:val="center"/>
          </w:tcPr>
          <w:p w14:paraId="34CCB22D">
            <w:pPr>
              <w:widowControl/>
              <w:spacing w:line="300" w:lineRule="exact"/>
              <w:jc w:val="center"/>
              <w:rPr>
                <w:rFonts w:eastAsia="仿宋_GB2312"/>
                <w:color w:val="auto"/>
                <w:kern w:val="0"/>
                <w:szCs w:val="21"/>
              </w:rPr>
            </w:pPr>
          </w:p>
        </w:tc>
      </w:tr>
    </w:tbl>
    <w:p w14:paraId="6A232604">
      <w:pPr>
        <w:spacing w:before="24" w:beforeLines="10" w:after="24" w:afterLines="10" w:line="500" w:lineRule="exact"/>
        <w:jc w:val="left"/>
        <w:outlineLvl w:val="3"/>
        <w:rPr>
          <w:rFonts w:eastAsia="仿宋_GB2312"/>
          <w:b/>
          <w:color w:val="auto"/>
          <w:sz w:val="28"/>
          <w:szCs w:val="21"/>
        </w:rPr>
      </w:pPr>
      <w:r>
        <w:rPr>
          <w:rFonts w:eastAsia="仿宋_GB2312"/>
          <w:b/>
          <w:color w:val="auto"/>
          <w:sz w:val="28"/>
          <w:szCs w:val="21"/>
        </w:rPr>
        <w:t>3.6.3固废</w:t>
      </w:r>
    </w:p>
    <w:p w14:paraId="617667E1">
      <w:pPr>
        <w:tabs>
          <w:tab w:val="left" w:pos="6840"/>
        </w:tabs>
        <w:spacing w:line="500" w:lineRule="exact"/>
        <w:ind w:firstLine="562" w:firstLineChars="200"/>
        <w:rPr>
          <w:rFonts w:eastAsia="仿宋_GB2312"/>
          <w:b/>
          <w:color w:val="auto"/>
          <w:sz w:val="28"/>
          <w:szCs w:val="28"/>
        </w:rPr>
      </w:pPr>
      <w:r>
        <w:rPr>
          <w:rFonts w:eastAsia="仿宋_GB2312"/>
          <w:b/>
          <w:color w:val="auto"/>
          <w:sz w:val="28"/>
          <w:szCs w:val="28"/>
        </w:rPr>
        <w:t>1、</w:t>
      </w:r>
      <w:r>
        <w:rPr>
          <w:rFonts w:hint="eastAsia" w:eastAsia="仿宋_GB2312"/>
          <w:b/>
          <w:color w:val="auto"/>
          <w:sz w:val="28"/>
          <w:szCs w:val="28"/>
          <w:lang w:val="en-US" w:eastAsia="zh-CN"/>
        </w:rPr>
        <w:t>冷凝</w:t>
      </w:r>
      <w:r>
        <w:rPr>
          <w:rFonts w:eastAsia="仿宋_GB2312"/>
          <w:b/>
          <w:color w:val="auto"/>
          <w:sz w:val="28"/>
          <w:szCs w:val="28"/>
        </w:rPr>
        <w:t>废液</w:t>
      </w:r>
    </w:p>
    <w:p w14:paraId="0C307051">
      <w:pPr>
        <w:tabs>
          <w:tab w:val="left" w:pos="6840"/>
        </w:tabs>
        <w:spacing w:line="500" w:lineRule="exact"/>
        <w:ind w:firstLine="560" w:firstLineChars="200"/>
        <w:rPr>
          <w:rFonts w:eastAsia="仿宋_GB2312"/>
          <w:color w:val="auto"/>
          <w:sz w:val="28"/>
          <w:szCs w:val="28"/>
        </w:rPr>
      </w:pPr>
      <w:r>
        <w:rPr>
          <w:rFonts w:hint="eastAsia" w:eastAsia="仿宋_GB2312"/>
          <w:color w:val="auto"/>
          <w:sz w:val="28"/>
          <w:szCs w:val="28"/>
          <w:lang w:val="en-US" w:eastAsia="zh-CN"/>
        </w:rPr>
        <w:t>本项目废气处理冷凝工序新增冷凝废液量约为765t/a，经</w:t>
      </w:r>
      <w:r>
        <w:rPr>
          <w:rFonts w:hint="eastAsia" w:ascii="Times New Roman" w:hAnsi="Times New Roman" w:eastAsia="仿宋_GB2312" w:cs="Times New Roman"/>
          <w:color w:val="auto"/>
          <w:sz w:val="28"/>
          <w:szCs w:val="28"/>
          <w:lang w:val="en-US" w:eastAsia="zh-CN"/>
        </w:rPr>
        <w:t>厂区焚烧炉焚烧处置/委外处置。</w:t>
      </w:r>
    </w:p>
    <w:p w14:paraId="2F7E3574">
      <w:pPr>
        <w:tabs>
          <w:tab w:val="left" w:pos="6840"/>
        </w:tabs>
        <w:spacing w:line="500" w:lineRule="exact"/>
        <w:ind w:firstLine="562" w:firstLineChars="200"/>
        <w:rPr>
          <w:rFonts w:eastAsia="仿宋_GB2312"/>
          <w:b/>
          <w:color w:val="auto"/>
          <w:sz w:val="28"/>
          <w:szCs w:val="28"/>
        </w:rPr>
      </w:pPr>
      <w:r>
        <w:rPr>
          <w:rFonts w:eastAsia="仿宋_GB2312"/>
          <w:b/>
          <w:color w:val="auto"/>
          <w:sz w:val="28"/>
          <w:szCs w:val="28"/>
        </w:rPr>
        <w:t>2、废包装桶</w:t>
      </w:r>
    </w:p>
    <w:p w14:paraId="57D8B214">
      <w:pPr>
        <w:spacing w:line="500" w:lineRule="exact"/>
        <w:ind w:firstLine="560" w:firstLineChars="200"/>
        <w:rPr>
          <w:rFonts w:hint="eastAsia" w:ascii="Times New Roman" w:hAnsi="Times New Roman" w:eastAsia="仿宋_GB2312" w:cs="Times New Roman"/>
          <w:color w:val="auto"/>
          <w:sz w:val="28"/>
          <w:szCs w:val="28"/>
          <w:lang w:eastAsia="zh-CN"/>
        </w:rPr>
      </w:pPr>
      <w:r>
        <w:rPr>
          <w:rFonts w:eastAsia="仿宋_GB2312"/>
          <w:color w:val="auto"/>
          <w:sz w:val="28"/>
          <w:szCs w:val="28"/>
        </w:rPr>
        <w:t>类比企业现有溶剂回收项目，本项目建成后将新增</w:t>
      </w:r>
      <w:r>
        <w:rPr>
          <w:rFonts w:hint="default" w:ascii="Times New Roman" w:hAnsi="Times New Roman" w:eastAsia="仿宋_GB2312" w:cs="Times New Roman"/>
          <w:color w:val="auto"/>
          <w:sz w:val="28"/>
          <w:szCs w:val="28"/>
        </w:rPr>
        <w:t>200L以上规格废包装桶</w:t>
      </w:r>
      <w:r>
        <w:rPr>
          <w:rFonts w:hint="eastAsia" w:eastAsia="仿宋_GB2312" w:cs="Times New Roman"/>
          <w:color w:val="auto"/>
          <w:sz w:val="28"/>
          <w:szCs w:val="28"/>
          <w:lang w:val="en-US" w:eastAsia="zh-CN"/>
        </w:rPr>
        <w:t>3</w:t>
      </w:r>
      <w:r>
        <w:rPr>
          <w:rFonts w:hint="eastAsia" w:ascii="Times New Roman" w:hAnsi="Times New Roman" w:eastAsia="仿宋_GB2312" w:cs="Times New Roman"/>
          <w:color w:val="auto"/>
          <w:sz w:val="28"/>
          <w:szCs w:val="28"/>
          <w:lang w:val="en-US" w:eastAsia="zh-CN"/>
        </w:rPr>
        <w:t>1</w:t>
      </w:r>
      <w:r>
        <w:rPr>
          <w:rFonts w:hint="default" w:ascii="Times New Roman" w:hAnsi="Times New Roman" w:eastAsia="仿宋_GB2312" w:cs="Times New Roman"/>
          <w:color w:val="auto"/>
          <w:sz w:val="28"/>
          <w:szCs w:val="28"/>
        </w:rPr>
        <w:t>万只/年（</w:t>
      </w:r>
      <w:r>
        <w:rPr>
          <w:rFonts w:hint="eastAsia" w:eastAsia="仿宋_GB2312" w:cs="Times New Roman"/>
          <w:color w:val="auto"/>
          <w:sz w:val="28"/>
          <w:szCs w:val="28"/>
          <w:lang w:val="en-US" w:eastAsia="zh-CN"/>
        </w:rPr>
        <w:t>60</w:t>
      </w:r>
      <w:r>
        <w:rPr>
          <w:rFonts w:hint="default" w:ascii="Times New Roman" w:hAnsi="Times New Roman" w:eastAsia="仿宋_GB2312" w:cs="Times New Roman"/>
          <w:color w:val="auto"/>
          <w:sz w:val="28"/>
          <w:szCs w:val="28"/>
        </w:rPr>
        <w:t>00t/a），200L以下规格废包装桶</w:t>
      </w:r>
      <w:r>
        <w:rPr>
          <w:rFonts w:hint="eastAsia" w:ascii="Times New Roman" w:hAnsi="Times New Roman" w:eastAsia="仿宋_GB2312" w:cs="Times New Roman"/>
          <w:color w:val="auto"/>
          <w:sz w:val="28"/>
          <w:szCs w:val="28"/>
          <w:lang w:val="en-US" w:eastAsia="zh-CN"/>
        </w:rPr>
        <w:t>138</w:t>
      </w:r>
      <w:r>
        <w:rPr>
          <w:rFonts w:hint="default" w:ascii="Times New Roman" w:hAnsi="Times New Roman" w:eastAsia="仿宋_GB2312" w:cs="Times New Roman"/>
          <w:color w:val="auto"/>
          <w:sz w:val="28"/>
          <w:szCs w:val="28"/>
        </w:rPr>
        <w:t>t/a</w:t>
      </w:r>
      <w:r>
        <w:rPr>
          <w:rFonts w:hint="eastAsia" w:ascii="Times New Roman" w:hAnsi="Times New Roman" w:eastAsia="仿宋_GB2312" w:cs="Times New Roman"/>
          <w:color w:val="auto"/>
          <w:sz w:val="28"/>
          <w:szCs w:val="28"/>
          <w:lang w:eastAsia="zh-CN"/>
        </w:rPr>
        <w:t>。</w:t>
      </w:r>
    </w:p>
    <w:p w14:paraId="38BCFDEC">
      <w:pPr>
        <w:spacing w:line="500" w:lineRule="exact"/>
        <w:ind w:firstLine="562" w:firstLineChars="200"/>
        <w:rPr>
          <w:rFonts w:hint="default" w:eastAsia="仿宋_GB2312"/>
          <w:b/>
          <w:bCs/>
          <w:color w:val="auto"/>
          <w:sz w:val="28"/>
          <w:szCs w:val="28"/>
          <w:lang w:val="en-US" w:eastAsia="zh-CN"/>
        </w:rPr>
      </w:pPr>
      <w:r>
        <w:rPr>
          <w:rFonts w:hint="eastAsia" w:eastAsia="仿宋_GB2312"/>
          <w:b/>
          <w:bCs/>
          <w:color w:val="auto"/>
          <w:sz w:val="28"/>
          <w:szCs w:val="28"/>
          <w:lang w:val="en-US" w:eastAsia="zh-CN"/>
        </w:rPr>
        <w:t>3、生化污泥</w:t>
      </w:r>
    </w:p>
    <w:p w14:paraId="04AB621D">
      <w:pPr>
        <w:tabs>
          <w:tab w:val="left" w:pos="6840"/>
        </w:tabs>
        <w:spacing w:line="500" w:lineRule="exact"/>
        <w:ind w:firstLine="560" w:firstLineChars="200"/>
        <w:rPr>
          <w:rFonts w:eastAsia="仿宋_GB2312"/>
          <w:color w:val="auto"/>
          <w:sz w:val="28"/>
          <w:szCs w:val="28"/>
        </w:rPr>
      </w:pPr>
      <w:r>
        <w:rPr>
          <w:rFonts w:hint="eastAsia" w:eastAsia="仿宋_GB2312"/>
          <w:color w:val="auto"/>
          <w:sz w:val="28"/>
          <w:szCs w:val="28"/>
          <w:lang w:val="en-US" w:eastAsia="zh-CN"/>
        </w:rPr>
        <w:t>类比现有项目，1#污水站新增生化污泥约80t/a，经</w:t>
      </w:r>
      <w:r>
        <w:rPr>
          <w:rFonts w:hint="eastAsia" w:ascii="Times New Roman" w:hAnsi="Times New Roman" w:eastAsia="仿宋_GB2312" w:cs="Times New Roman"/>
          <w:color w:val="auto"/>
          <w:sz w:val="28"/>
          <w:szCs w:val="28"/>
          <w:lang w:val="en-US" w:eastAsia="zh-CN"/>
        </w:rPr>
        <w:t>厂区焚烧炉焚烧处置/委外处置。</w:t>
      </w:r>
    </w:p>
    <w:p w14:paraId="3E072588">
      <w:pPr>
        <w:spacing w:line="500" w:lineRule="exact"/>
        <w:ind w:firstLine="560" w:firstLineChars="200"/>
        <w:rPr>
          <w:rFonts w:hint="default" w:eastAsia="仿宋_GB2312"/>
          <w:color w:val="FF0000"/>
          <w:sz w:val="28"/>
          <w:szCs w:val="28"/>
          <w:lang w:val="en-US" w:eastAsia="zh-CN"/>
        </w:rPr>
      </w:pPr>
    </w:p>
    <w:p w14:paraId="281177FB">
      <w:pPr>
        <w:spacing w:line="500" w:lineRule="exact"/>
        <w:ind w:firstLine="560" w:firstLineChars="200"/>
        <w:rPr>
          <w:rFonts w:eastAsia="仿宋_GB2312"/>
          <w:color w:val="FF0000"/>
          <w:sz w:val="28"/>
          <w:szCs w:val="28"/>
        </w:rPr>
      </w:pPr>
    </w:p>
    <w:p w14:paraId="3EEF37A4">
      <w:pPr>
        <w:spacing w:line="500" w:lineRule="exact"/>
        <w:ind w:firstLine="560" w:firstLineChars="200"/>
        <w:rPr>
          <w:rFonts w:eastAsia="仿宋_GB2312"/>
          <w:color w:val="FF0000"/>
          <w:sz w:val="28"/>
          <w:szCs w:val="28"/>
        </w:rPr>
      </w:pPr>
    </w:p>
    <w:p w14:paraId="60060082">
      <w:pPr>
        <w:spacing w:line="500" w:lineRule="exact"/>
        <w:ind w:firstLine="560" w:firstLineChars="200"/>
        <w:rPr>
          <w:rFonts w:eastAsia="仿宋_GB2312"/>
          <w:color w:val="FF0000"/>
          <w:sz w:val="28"/>
          <w:szCs w:val="28"/>
        </w:rPr>
        <w:sectPr>
          <w:headerReference r:id="rId9" w:type="default"/>
          <w:footerReference r:id="rId10" w:type="default"/>
          <w:pgSz w:w="11907" w:h="16840"/>
          <w:pgMar w:top="1440" w:right="1800" w:bottom="1440" w:left="1800" w:header="851" w:footer="992" w:gutter="0"/>
          <w:pgBorders>
            <w:top w:val="none" w:sz="0" w:space="0"/>
            <w:left w:val="none" w:sz="0" w:space="0"/>
            <w:bottom w:val="none" w:sz="0" w:space="0"/>
            <w:right w:val="none" w:sz="0" w:space="0"/>
          </w:pgBorders>
          <w:pgNumType w:fmt="decimal"/>
          <w:cols w:space="425" w:num="1"/>
          <w:docGrid w:linePitch="312" w:charSpace="0"/>
        </w:sectPr>
      </w:pPr>
    </w:p>
    <w:p w14:paraId="72960CF5">
      <w:pPr>
        <w:spacing w:before="24" w:beforeLines="10" w:after="24" w:afterLines="10" w:line="500" w:lineRule="exact"/>
        <w:jc w:val="left"/>
        <w:outlineLvl w:val="3"/>
        <w:rPr>
          <w:rFonts w:eastAsia="仿宋_GB2312"/>
          <w:color w:val="auto"/>
          <w:sz w:val="28"/>
          <w:szCs w:val="28"/>
        </w:rPr>
      </w:pPr>
      <w:r>
        <w:rPr>
          <w:rFonts w:eastAsia="仿宋_GB2312"/>
          <w:b/>
          <w:color w:val="auto"/>
          <w:sz w:val="28"/>
          <w:szCs w:val="21"/>
        </w:rPr>
        <w:t>3.6.4噪声</w:t>
      </w:r>
    </w:p>
    <w:p w14:paraId="03AF56FD">
      <w:pPr>
        <w:tabs>
          <w:tab w:val="left" w:pos="6840"/>
        </w:tabs>
        <w:spacing w:line="500" w:lineRule="exact"/>
        <w:ind w:firstLine="560" w:firstLineChars="200"/>
        <w:rPr>
          <w:rFonts w:eastAsia="仿宋_GB2312"/>
          <w:color w:val="auto"/>
          <w:sz w:val="28"/>
          <w:szCs w:val="28"/>
        </w:rPr>
      </w:pPr>
      <w:r>
        <w:rPr>
          <w:rFonts w:eastAsia="仿宋_GB2312"/>
          <w:color w:val="auto"/>
          <w:sz w:val="28"/>
          <w:szCs w:val="28"/>
        </w:rPr>
        <w:t>本项目噪声源以机械性噪声及空气噪声为主，主要噪声源设备为冷却塔、引风机等。本项目主要噪声污染源产生情况见</w:t>
      </w:r>
      <w:r>
        <w:rPr>
          <w:rFonts w:hint="eastAsia" w:eastAsia="仿宋_GB2312"/>
          <w:color w:val="auto"/>
          <w:sz w:val="28"/>
          <w:szCs w:val="28"/>
        </w:rPr>
        <w:t>下表</w:t>
      </w:r>
      <w:r>
        <w:rPr>
          <w:rFonts w:eastAsia="仿宋_GB2312"/>
          <w:color w:val="auto"/>
          <w:sz w:val="28"/>
          <w:szCs w:val="28"/>
        </w:rPr>
        <w:t>。</w:t>
      </w:r>
    </w:p>
    <w:p w14:paraId="59C3A47A">
      <w:pPr>
        <w:spacing w:line="500" w:lineRule="exact"/>
        <w:jc w:val="center"/>
        <w:rPr>
          <w:rFonts w:eastAsia="仿宋_GB2312"/>
          <w:b/>
          <w:color w:val="auto"/>
          <w:sz w:val="24"/>
        </w:rPr>
      </w:pPr>
      <w:r>
        <w:rPr>
          <w:rFonts w:hint="eastAsia" w:eastAsia="仿宋_GB2312"/>
          <w:b/>
          <w:color w:val="auto"/>
          <w:sz w:val="24"/>
        </w:rPr>
        <w:t>表</w:t>
      </w:r>
      <w:r>
        <w:rPr>
          <w:rFonts w:eastAsia="仿宋_GB2312"/>
          <w:b/>
          <w:color w:val="auto"/>
          <w:sz w:val="24"/>
        </w:rPr>
        <w:t>3.</w:t>
      </w:r>
      <w:r>
        <w:rPr>
          <w:rFonts w:hint="eastAsia" w:eastAsia="仿宋_GB2312"/>
          <w:b/>
          <w:color w:val="auto"/>
          <w:sz w:val="24"/>
          <w:lang w:val="en-US" w:eastAsia="zh-CN"/>
        </w:rPr>
        <w:t>6-11</w:t>
      </w:r>
      <w:r>
        <w:rPr>
          <w:rFonts w:eastAsia="仿宋_GB2312"/>
          <w:b/>
          <w:color w:val="auto"/>
          <w:sz w:val="24"/>
        </w:rPr>
        <w:t xml:space="preserve">  </w:t>
      </w:r>
      <w:r>
        <w:rPr>
          <w:rFonts w:hint="eastAsia" w:eastAsia="仿宋_GB2312"/>
          <w:b/>
          <w:color w:val="auto"/>
          <w:sz w:val="24"/>
        </w:rPr>
        <w:t>本项目噪声源强调查清单（室外声源）</w:t>
      </w:r>
    </w:p>
    <w:tbl>
      <w:tblPr>
        <w:tblStyle w:val="882"/>
        <w:tblW w:w="5386"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57" w:type="dxa"/>
          <w:bottom w:w="0" w:type="dxa"/>
          <w:right w:w="57" w:type="dxa"/>
        </w:tblCellMar>
      </w:tblPr>
      <w:tblGrid>
        <w:gridCol w:w="694"/>
        <w:gridCol w:w="1731"/>
        <w:gridCol w:w="1503"/>
        <w:gridCol w:w="1474"/>
        <w:gridCol w:w="999"/>
        <w:gridCol w:w="1002"/>
        <w:gridCol w:w="985"/>
        <w:gridCol w:w="1005"/>
        <w:gridCol w:w="1135"/>
        <w:gridCol w:w="1492"/>
        <w:gridCol w:w="1011"/>
        <w:gridCol w:w="1354"/>
      </w:tblGrid>
      <w:tr w14:paraId="6857DD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241" w:type="pct"/>
            <w:vMerge w:val="restart"/>
            <w:tcBorders>
              <w:tl2br w:val="nil"/>
              <w:tr2bl w:val="nil"/>
            </w:tcBorders>
            <w:shd w:val="clear" w:color="auto" w:fill="auto"/>
            <w:vAlign w:val="center"/>
          </w:tcPr>
          <w:p w14:paraId="03AA57E2">
            <w:pPr>
              <w:pStyle w:val="81"/>
              <w:spacing w:beforeAutospacing="0" w:afterAutospacing="0" w:line="320" w:lineRule="exact"/>
              <w:jc w:val="center"/>
              <w:rPr>
                <w:rFonts w:eastAsia="仿宋_GB2312"/>
                <w:b/>
                <w:bCs/>
                <w:color w:val="auto"/>
                <w:sz w:val="21"/>
                <w:szCs w:val="21"/>
              </w:rPr>
            </w:pPr>
            <w:r>
              <w:rPr>
                <w:rFonts w:eastAsia="仿宋_GB2312"/>
                <w:b/>
                <w:bCs/>
                <w:color w:val="auto"/>
                <w:sz w:val="21"/>
                <w:szCs w:val="21"/>
                <w:lang w:bidi="ar"/>
              </w:rPr>
              <w:t>序号</w:t>
            </w:r>
          </w:p>
        </w:tc>
        <w:tc>
          <w:tcPr>
            <w:tcW w:w="601" w:type="pct"/>
            <w:vMerge w:val="restart"/>
            <w:tcBorders>
              <w:tl2br w:val="nil"/>
              <w:tr2bl w:val="nil"/>
            </w:tcBorders>
            <w:shd w:val="clear" w:color="auto" w:fill="auto"/>
            <w:vAlign w:val="center"/>
          </w:tcPr>
          <w:p w14:paraId="68418AA0">
            <w:pPr>
              <w:pStyle w:val="81"/>
              <w:spacing w:beforeAutospacing="0" w:afterAutospacing="0" w:line="320" w:lineRule="exact"/>
              <w:jc w:val="center"/>
              <w:rPr>
                <w:rFonts w:eastAsia="仿宋_GB2312"/>
                <w:b/>
                <w:bCs/>
                <w:color w:val="auto"/>
                <w:sz w:val="21"/>
                <w:szCs w:val="21"/>
              </w:rPr>
            </w:pPr>
            <w:r>
              <w:rPr>
                <w:rFonts w:eastAsia="仿宋_GB2312"/>
                <w:b/>
                <w:bCs/>
                <w:color w:val="auto"/>
                <w:sz w:val="21"/>
                <w:szCs w:val="21"/>
                <w:lang w:bidi="ar"/>
              </w:rPr>
              <w:t>位置</w:t>
            </w:r>
          </w:p>
        </w:tc>
        <w:tc>
          <w:tcPr>
            <w:tcW w:w="522" w:type="pct"/>
            <w:vMerge w:val="restart"/>
            <w:tcBorders>
              <w:tl2br w:val="nil"/>
              <w:tr2bl w:val="nil"/>
            </w:tcBorders>
            <w:shd w:val="clear" w:color="auto" w:fill="auto"/>
            <w:vAlign w:val="center"/>
          </w:tcPr>
          <w:p w14:paraId="44857D1F">
            <w:pPr>
              <w:pStyle w:val="81"/>
              <w:spacing w:beforeAutospacing="0" w:afterAutospacing="0" w:line="320" w:lineRule="exact"/>
              <w:jc w:val="center"/>
              <w:rPr>
                <w:rFonts w:eastAsia="仿宋_GB2312"/>
                <w:b/>
                <w:bCs/>
                <w:color w:val="auto"/>
                <w:sz w:val="21"/>
                <w:szCs w:val="21"/>
              </w:rPr>
            </w:pPr>
            <w:r>
              <w:rPr>
                <w:rFonts w:eastAsia="仿宋_GB2312"/>
                <w:b/>
                <w:bCs/>
                <w:color w:val="auto"/>
                <w:sz w:val="21"/>
                <w:szCs w:val="21"/>
                <w:lang w:bidi="ar"/>
              </w:rPr>
              <w:t>声源名称</w:t>
            </w:r>
          </w:p>
        </w:tc>
        <w:tc>
          <w:tcPr>
            <w:tcW w:w="512" w:type="pct"/>
            <w:vMerge w:val="restart"/>
            <w:tcBorders>
              <w:tl2br w:val="nil"/>
              <w:tr2bl w:val="nil"/>
            </w:tcBorders>
            <w:shd w:val="clear" w:color="auto" w:fill="auto"/>
            <w:vAlign w:val="center"/>
          </w:tcPr>
          <w:p w14:paraId="3B1DC7A3">
            <w:pPr>
              <w:pStyle w:val="81"/>
              <w:spacing w:beforeAutospacing="0" w:afterAutospacing="0" w:line="320" w:lineRule="exact"/>
              <w:jc w:val="center"/>
              <w:rPr>
                <w:rFonts w:eastAsia="仿宋_GB2312"/>
                <w:b/>
                <w:bCs/>
                <w:color w:val="auto"/>
                <w:sz w:val="21"/>
                <w:szCs w:val="21"/>
              </w:rPr>
            </w:pPr>
            <w:r>
              <w:rPr>
                <w:rFonts w:eastAsia="仿宋_GB2312"/>
                <w:b/>
                <w:bCs/>
                <w:color w:val="auto"/>
                <w:sz w:val="21"/>
                <w:szCs w:val="21"/>
                <w:lang w:bidi="ar"/>
              </w:rPr>
              <w:t>型号</w:t>
            </w:r>
          </w:p>
        </w:tc>
        <w:tc>
          <w:tcPr>
            <w:tcW w:w="347" w:type="pct"/>
            <w:vMerge w:val="restart"/>
            <w:tcBorders>
              <w:tl2br w:val="nil"/>
              <w:tr2bl w:val="nil"/>
            </w:tcBorders>
            <w:shd w:val="clear" w:color="auto" w:fill="auto"/>
            <w:vAlign w:val="center"/>
          </w:tcPr>
          <w:p w14:paraId="0AD78CC1">
            <w:pPr>
              <w:pStyle w:val="81"/>
              <w:spacing w:beforeAutospacing="0" w:afterAutospacing="0" w:line="320" w:lineRule="exact"/>
              <w:jc w:val="center"/>
              <w:rPr>
                <w:rFonts w:eastAsia="仿宋_GB2312"/>
                <w:b/>
                <w:bCs/>
                <w:color w:val="auto"/>
                <w:sz w:val="21"/>
                <w:szCs w:val="21"/>
              </w:rPr>
            </w:pPr>
            <w:r>
              <w:rPr>
                <w:rFonts w:eastAsia="仿宋_GB2312"/>
                <w:b/>
                <w:bCs/>
                <w:color w:val="auto"/>
                <w:sz w:val="21"/>
                <w:szCs w:val="21"/>
                <w:lang w:bidi="ar"/>
              </w:rPr>
              <w:t>设备</w:t>
            </w:r>
          </w:p>
          <w:p w14:paraId="47E37C91">
            <w:pPr>
              <w:pStyle w:val="81"/>
              <w:spacing w:beforeAutospacing="0" w:afterAutospacing="0" w:line="320" w:lineRule="exact"/>
              <w:jc w:val="center"/>
              <w:rPr>
                <w:rFonts w:eastAsia="仿宋_GB2312"/>
                <w:b/>
                <w:bCs/>
                <w:color w:val="auto"/>
                <w:sz w:val="21"/>
                <w:szCs w:val="21"/>
              </w:rPr>
            </w:pPr>
            <w:r>
              <w:rPr>
                <w:rFonts w:eastAsia="仿宋_GB2312"/>
                <w:b/>
                <w:bCs/>
                <w:color w:val="auto"/>
                <w:sz w:val="21"/>
                <w:szCs w:val="21"/>
                <w:lang w:bidi="ar"/>
              </w:rPr>
              <w:t>台数</w:t>
            </w:r>
          </w:p>
        </w:tc>
        <w:tc>
          <w:tcPr>
            <w:tcW w:w="1039" w:type="pct"/>
            <w:gridSpan w:val="3"/>
            <w:tcBorders>
              <w:tl2br w:val="nil"/>
              <w:tr2bl w:val="nil"/>
            </w:tcBorders>
            <w:shd w:val="clear" w:color="auto" w:fill="auto"/>
            <w:vAlign w:val="center"/>
          </w:tcPr>
          <w:p w14:paraId="372B062C">
            <w:pPr>
              <w:pStyle w:val="81"/>
              <w:spacing w:beforeAutospacing="0" w:afterAutospacing="0" w:line="320" w:lineRule="exact"/>
              <w:jc w:val="center"/>
              <w:rPr>
                <w:rFonts w:eastAsia="仿宋_GB2312"/>
                <w:b/>
                <w:bCs/>
                <w:color w:val="auto"/>
                <w:sz w:val="21"/>
                <w:szCs w:val="21"/>
              </w:rPr>
            </w:pPr>
            <w:r>
              <w:rPr>
                <w:rFonts w:eastAsia="仿宋_GB2312"/>
                <w:b/>
                <w:bCs/>
                <w:color w:val="auto"/>
                <w:sz w:val="21"/>
                <w:szCs w:val="21"/>
                <w:lang w:bidi="ar"/>
              </w:rPr>
              <w:t>空间相对位置/m</w:t>
            </w:r>
          </w:p>
        </w:tc>
        <w:tc>
          <w:tcPr>
            <w:tcW w:w="394" w:type="pct"/>
            <w:vMerge w:val="restart"/>
            <w:tcBorders>
              <w:tl2br w:val="nil"/>
              <w:tr2bl w:val="nil"/>
            </w:tcBorders>
            <w:shd w:val="clear" w:color="auto" w:fill="auto"/>
            <w:vAlign w:val="center"/>
          </w:tcPr>
          <w:p w14:paraId="011F7A4F">
            <w:pPr>
              <w:pStyle w:val="81"/>
              <w:spacing w:beforeAutospacing="0" w:afterAutospacing="0" w:line="320" w:lineRule="exact"/>
              <w:jc w:val="center"/>
              <w:rPr>
                <w:rFonts w:eastAsia="仿宋_GB2312"/>
                <w:b/>
                <w:bCs/>
                <w:color w:val="auto"/>
                <w:sz w:val="21"/>
                <w:szCs w:val="21"/>
              </w:rPr>
            </w:pPr>
            <w:r>
              <w:rPr>
                <w:rFonts w:eastAsia="仿宋_GB2312"/>
                <w:b/>
                <w:bCs/>
                <w:color w:val="auto"/>
                <w:sz w:val="21"/>
                <w:szCs w:val="21"/>
                <w:lang w:bidi="ar"/>
              </w:rPr>
              <w:t>声源源强dB(A)</w:t>
            </w:r>
          </w:p>
        </w:tc>
        <w:tc>
          <w:tcPr>
            <w:tcW w:w="518" w:type="pct"/>
            <w:vMerge w:val="restart"/>
            <w:tcBorders>
              <w:tl2br w:val="nil"/>
              <w:tr2bl w:val="nil"/>
            </w:tcBorders>
            <w:shd w:val="clear" w:color="auto" w:fill="auto"/>
            <w:vAlign w:val="center"/>
          </w:tcPr>
          <w:p w14:paraId="48D1B79A">
            <w:pPr>
              <w:pStyle w:val="81"/>
              <w:spacing w:beforeAutospacing="0" w:afterAutospacing="0" w:line="320" w:lineRule="exact"/>
              <w:jc w:val="center"/>
              <w:rPr>
                <w:rFonts w:eastAsia="仿宋_GB2312"/>
                <w:b/>
                <w:bCs/>
                <w:color w:val="auto"/>
                <w:sz w:val="21"/>
                <w:szCs w:val="21"/>
              </w:rPr>
            </w:pPr>
            <w:r>
              <w:rPr>
                <w:rFonts w:eastAsia="仿宋_GB2312"/>
                <w:b/>
                <w:bCs/>
                <w:color w:val="auto"/>
                <w:sz w:val="21"/>
                <w:szCs w:val="21"/>
                <w:lang w:bidi="ar"/>
              </w:rPr>
              <w:t>声源</w:t>
            </w:r>
          </w:p>
          <w:p w14:paraId="4EA912E4">
            <w:pPr>
              <w:pStyle w:val="81"/>
              <w:spacing w:beforeAutospacing="0" w:afterAutospacing="0" w:line="320" w:lineRule="exact"/>
              <w:jc w:val="center"/>
              <w:rPr>
                <w:rFonts w:eastAsia="仿宋_GB2312"/>
                <w:b/>
                <w:bCs/>
                <w:color w:val="auto"/>
                <w:sz w:val="21"/>
                <w:szCs w:val="21"/>
              </w:rPr>
            </w:pPr>
            <w:r>
              <w:rPr>
                <w:rFonts w:eastAsia="仿宋_GB2312"/>
                <w:b/>
                <w:bCs/>
                <w:color w:val="auto"/>
                <w:sz w:val="21"/>
                <w:szCs w:val="21"/>
                <w:lang w:bidi="ar"/>
              </w:rPr>
              <w:t>控制措施</w:t>
            </w:r>
          </w:p>
        </w:tc>
        <w:tc>
          <w:tcPr>
            <w:tcW w:w="351" w:type="pct"/>
            <w:vMerge w:val="restart"/>
            <w:tcBorders>
              <w:tl2br w:val="nil"/>
              <w:tr2bl w:val="nil"/>
            </w:tcBorders>
            <w:shd w:val="clear" w:color="auto" w:fill="auto"/>
            <w:vAlign w:val="center"/>
          </w:tcPr>
          <w:p w14:paraId="585F649E">
            <w:pPr>
              <w:pStyle w:val="81"/>
              <w:spacing w:beforeAutospacing="0" w:afterAutospacing="0" w:line="320" w:lineRule="exact"/>
              <w:jc w:val="center"/>
              <w:rPr>
                <w:rFonts w:eastAsia="仿宋_GB2312"/>
                <w:b/>
                <w:bCs/>
                <w:color w:val="auto"/>
                <w:sz w:val="21"/>
                <w:szCs w:val="21"/>
              </w:rPr>
            </w:pPr>
            <w:r>
              <w:rPr>
                <w:rFonts w:eastAsia="仿宋_GB2312"/>
                <w:b/>
                <w:bCs/>
                <w:color w:val="auto"/>
                <w:sz w:val="21"/>
                <w:szCs w:val="21"/>
                <w:lang w:bidi="ar"/>
              </w:rPr>
              <w:t>运行</w:t>
            </w:r>
          </w:p>
          <w:p w14:paraId="6842C4F5">
            <w:pPr>
              <w:pStyle w:val="81"/>
              <w:spacing w:beforeAutospacing="0" w:afterAutospacing="0" w:line="320" w:lineRule="exact"/>
              <w:jc w:val="center"/>
              <w:rPr>
                <w:rFonts w:eastAsia="仿宋_GB2312"/>
                <w:b/>
                <w:bCs/>
                <w:color w:val="auto"/>
                <w:sz w:val="21"/>
                <w:szCs w:val="21"/>
              </w:rPr>
            </w:pPr>
            <w:r>
              <w:rPr>
                <w:rFonts w:eastAsia="仿宋_GB2312"/>
                <w:b/>
                <w:bCs/>
                <w:color w:val="auto"/>
                <w:sz w:val="21"/>
                <w:szCs w:val="21"/>
                <w:lang w:bidi="ar"/>
              </w:rPr>
              <w:t>时段</w:t>
            </w:r>
          </w:p>
        </w:tc>
        <w:tc>
          <w:tcPr>
            <w:tcW w:w="470" w:type="pct"/>
            <w:vMerge w:val="restart"/>
            <w:tcBorders>
              <w:tl2br w:val="nil"/>
              <w:tr2bl w:val="nil"/>
            </w:tcBorders>
            <w:shd w:val="clear" w:color="auto" w:fill="auto"/>
            <w:vAlign w:val="center"/>
          </w:tcPr>
          <w:p w14:paraId="735100E0">
            <w:pPr>
              <w:pStyle w:val="81"/>
              <w:spacing w:beforeAutospacing="0" w:afterAutospacing="0" w:line="320" w:lineRule="exact"/>
              <w:jc w:val="center"/>
              <w:rPr>
                <w:rFonts w:hint="eastAsia" w:eastAsia="仿宋_GB2312"/>
                <w:b/>
                <w:bCs/>
                <w:color w:val="auto"/>
                <w:sz w:val="21"/>
                <w:szCs w:val="21"/>
                <w:lang w:val="en-US" w:eastAsia="zh-CN" w:bidi="ar"/>
              </w:rPr>
            </w:pPr>
            <w:r>
              <w:rPr>
                <w:rFonts w:hint="eastAsia" w:eastAsia="仿宋_GB2312"/>
                <w:b/>
                <w:bCs/>
                <w:color w:val="auto"/>
                <w:sz w:val="21"/>
                <w:szCs w:val="21"/>
                <w:lang w:val="en-US" w:eastAsia="zh-CN" w:bidi="ar"/>
              </w:rPr>
              <w:t>备注</w:t>
            </w:r>
          </w:p>
        </w:tc>
      </w:tr>
      <w:tr w14:paraId="60FFEE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241" w:type="pct"/>
            <w:vMerge w:val="continue"/>
            <w:tcBorders>
              <w:tl2br w:val="nil"/>
              <w:tr2bl w:val="nil"/>
            </w:tcBorders>
            <w:shd w:val="clear" w:color="auto" w:fill="auto"/>
            <w:vAlign w:val="center"/>
          </w:tcPr>
          <w:p w14:paraId="6448BCDC">
            <w:pPr>
              <w:rPr>
                <w:rFonts w:eastAsia="仿宋_GB2312"/>
                <w:color w:val="auto"/>
                <w:szCs w:val="21"/>
              </w:rPr>
            </w:pPr>
          </w:p>
        </w:tc>
        <w:tc>
          <w:tcPr>
            <w:tcW w:w="601" w:type="pct"/>
            <w:vMerge w:val="continue"/>
            <w:tcBorders>
              <w:tl2br w:val="nil"/>
              <w:tr2bl w:val="nil"/>
            </w:tcBorders>
            <w:shd w:val="clear" w:color="auto" w:fill="auto"/>
            <w:vAlign w:val="center"/>
          </w:tcPr>
          <w:p w14:paraId="3BF1E772">
            <w:pPr>
              <w:rPr>
                <w:rFonts w:eastAsia="仿宋_GB2312"/>
                <w:color w:val="auto"/>
                <w:szCs w:val="21"/>
              </w:rPr>
            </w:pPr>
          </w:p>
        </w:tc>
        <w:tc>
          <w:tcPr>
            <w:tcW w:w="522" w:type="pct"/>
            <w:vMerge w:val="continue"/>
            <w:tcBorders>
              <w:tl2br w:val="nil"/>
              <w:tr2bl w:val="nil"/>
            </w:tcBorders>
            <w:shd w:val="clear" w:color="auto" w:fill="auto"/>
            <w:vAlign w:val="center"/>
          </w:tcPr>
          <w:p w14:paraId="0E9A1F9C">
            <w:pPr>
              <w:rPr>
                <w:rFonts w:eastAsia="仿宋_GB2312"/>
                <w:color w:val="auto"/>
                <w:szCs w:val="21"/>
              </w:rPr>
            </w:pPr>
          </w:p>
        </w:tc>
        <w:tc>
          <w:tcPr>
            <w:tcW w:w="512" w:type="pct"/>
            <w:vMerge w:val="continue"/>
            <w:tcBorders>
              <w:tl2br w:val="nil"/>
              <w:tr2bl w:val="nil"/>
            </w:tcBorders>
            <w:shd w:val="clear" w:color="auto" w:fill="auto"/>
            <w:vAlign w:val="center"/>
          </w:tcPr>
          <w:p w14:paraId="69AA1BBB">
            <w:pPr>
              <w:rPr>
                <w:rFonts w:eastAsia="仿宋_GB2312"/>
                <w:color w:val="auto"/>
                <w:szCs w:val="21"/>
              </w:rPr>
            </w:pPr>
          </w:p>
        </w:tc>
        <w:tc>
          <w:tcPr>
            <w:tcW w:w="347" w:type="pct"/>
            <w:vMerge w:val="continue"/>
            <w:tcBorders>
              <w:tl2br w:val="nil"/>
              <w:tr2bl w:val="nil"/>
            </w:tcBorders>
            <w:shd w:val="clear" w:color="auto" w:fill="auto"/>
            <w:vAlign w:val="center"/>
          </w:tcPr>
          <w:p w14:paraId="31EE05FE">
            <w:pPr>
              <w:rPr>
                <w:rFonts w:eastAsia="仿宋_GB2312"/>
                <w:color w:val="auto"/>
                <w:szCs w:val="21"/>
              </w:rPr>
            </w:pPr>
          </w:p>
        </w:tc>
        <w:tc>
          <w:tcPr>
            <w:tcW w:w="348" w:type="pct"/>
            <w:tcBorders>
              <w:tl2br w:val="nil"/>
              <w:tr2bl w:val="nil"/>
            </w:tcBorders>
            <w:shd w:val="clear" w:color="auto" w:fill="auto"/>
            <w:vAlign w:val="center"/>
          </w:tcPr>
          <w:p w14:paraId="318629E1">
            <w:pPr>
              <w:pStyle w:val="81"/>
              <w:spacing w:beforeAutospacing="0" w:afterAutospacing="0" w:line="320" w:lineRule="exact"/>
              <w:jc w:val="center"/>
              <w:rPr>
                <w:rFonts w:eastAsia="仿宋_GB2312"/>
                <w:b/>
                <w:bCs/>
                <w:color w:val="auto"/>
                <w:sz w:val="21"/>
                <w:szCs w:val="21"/>
              </w:rPr>
            </w:pPr>
            <w:r>
              <w:rPr>
                <w:rFonts w:eastAsia="仿宋_GB2312"/>
                <w:b/>
                <w:bCs/>
                <w:color w:val="auto"/>
                <w:sz w:val="21"/>
                <w:szCs w:val="21"/>
                <w:lang w:bidi="ar"/>
              </w:rPr>
              <w:t>X</w:t>
            </w:r>
          </w:p>
        </w:tc>
        <w:tc>
          <w:tcPr>
            <w:tcW w:w="342" w:type="pct"/>
            <w:tcBorders>
              <w:tl2br w:val="nil"/>
              <w:tr2bl w:val="nil"/>
            </w:tcBorders>
            <w:shd w:val="clear" w:color="auto" w:fill="auto"/>
            <w:vAlign w:val="center"/>
          </w:tcPr>
          <w:p w14:paraId="516E84A0">
            <w:pPr>
              <w:pStyle w:val="81"/>
              <w:spacing w:beforeAutospacing="0" w:afterAutospacing="0" w:line="320" w:lineRule="exact"/>
              <w:jc w:val="center"/>
              <w:rPr>
                <w:rFonts w:eastAsia="仿宋_GB2312"/>
                <w:b/>
                <w:bCs/>
                <w:color w:val="auto"/>
                <w:sz w:val="21"/>
                <w:szCs w:val="21"/>
              </w:rPr>
            </w:pPr>
            <w:r>
              <w:rPr>
                <w:rFonts w:eastAsia="仿宋_GB2312"/>
                <w:b/>
                <w:bCs/>
                <w:color w:val="auto"/>
                <w:sz w:val="21"/>
                <w:szCs w:val="21"/>
                <w:lang w:bidi="ar"/>
              </w:rPr>
              <w:t>Y</w:t>
            </w:r>
          </w:p>
        </w:tc>
        <w:tc>
          <w:tcPr>
            <w:tcW w:w="348" w:type="pct"/>
            <w:tcBorders>
              <w:tl2br w:val="nil"/>
              <w:tr2bl w:val="nil"/>
            </w:tcBorders>
            <w:shd w:val="clear" w:color="auto" w:fill="auto"/>
            <w:vAlign w:val="center"/>
          </w:tcPr>
          <w:p w14:paraId="7D6890F0">
            <w:pPr>
              <w:pStyle w:val="81"/>
              <w:spacing w:beforeAutospacing="0" w:afterAutospacing="0" w:line="320" w:lineRule="exact"/>
              <w:jc w:val="center"/>
              <w:rPr>
                <w:rFonts w:eastAsia="仿宋_GB2312"/>
                <w:b/>
                <w:bCs/>
                <w:color w:val="auto"/>
                <w:sz w:val="21"/>
                <w:szCs w:val="21"/>
              </w:rPr>
            </w:pPr>
            <w:r>
              <w:rPr>
                <w:rFonts w:eastAsia="仿宋_GB2312"/>
                <w:b/>
                <w:bCs/>
                <w:color w:val="auto"/>
                <w:sz w:val="21"/>
                <w:szCs w:val="21"/>
                <w:lang w:bidi="ar"/>
              </w:rPr>
              <w:t>Z</w:t>
            </w:r>
          </w:p>
        </w:tc>
        <w:tc>
          <w:tcPr>
            <w:tcW w:w="394" w:type="pct"/>
            <w:vMerge w:val="continue"/>
            <w:tcBorders>
              <w:tl2br w:val="nil"/>
              <w:tr2bl w:val="nil"/>
            </w:tcBorders>
            <w:shd w:val="clear" w:color="auto" w:fill="auto"/>
            <w:vAlign w:val="center"/>
          </w:tcPr>
          <w:p w14:paraId="151DCDAE">
            <w:pPr>
              <w:rPr>
                <w:rFonts w:eastAsia="仿宋_GB2312"/>
                <w:color w:val="auto"/>
                <w:szCs w:val="21"/>
              </w:rPr>
            </w:pPr>
          </w:p>
        </w:tc>
        <w:tc>
          <w:tcPr>
            <w:tcW w:w="518" w:type="pct"/>
            <w:vMerge w:val="continue"/>
            <w:tcBorders>
              <w:tl2br w:val="nil"/>
              <w:tr2bl w:val="nil"/>
            </w:tcBorders>
            <w:shd w:val="clear" w:color="auto" w:fill="auto"/>
            <w:vAlign w:val="center"/>
          </w:tcPr>
          <w:p w14:paraId="42355C0A">
            <w:pPr>
              <w:rPr>
                <w:rFonts w:eastAsia="仿宋_GB2312"/>
                <w:color w:val="auto"/>
                <w:szCs w:val="21"/>
              </w:rPr>
            </w:pPr>
          </w:p>
        </w:tc>
        <w:tc>
          <w:tcPr>
            <w:tcW w:w="351" w:type="pct"/>
            <w:vMerge w:val="continue"/>
            <w:tcBorders>
              <w:tl2br w:val="nil"/>
              <w:tr2bl w:val="nil"/>
            </w:tcBorders>
            <w:shd w:val="clear" w:color="auto" w:fill="auto"/>
            <w:vAlign w:val="center"/>
          </w:tcPr>
          <w:p w14:paraId="431ECE90">
            <w:pPr>
              <w:rPr>
                <w:rFonts w:eastAsia="仿宋_GB2312"/>
                <w:color w:val="auto"/>
                <w:szCs w:val="21"/>
              </w:rPr>
            </w:pPr>
          </w:p>
        </w:tc>
        <w:tc>
          <w:tcPr>
            <w:tcW w:w="470" w:type="pct"/>
            <w:vMerge w:val="continue"/>
            <w:tcBorders>
              <w:tl2br w:val="nil"/>
              <w:tr2bl w:val="nil"/>
            </w:tcBorders>
            <w:shd w:val="clear" w:color="auto" w:fill="auto"/>
            <w:vAlign w:val="center"/>
          </w:tcPr>
          <w:p w14:paraId="17FF15B8">
            <w:pPr>
              <w:rPr>
                <w:rFonts w:eastAsia="仿宋_GB2312"/>
                <w:color w:val="auto"/>
                <w:szCs w:val="21"/>
              </w:rPr>
            </w:pPr>
          </w:p>
        </w:tc>
      </w:tr>
      <w:tr w14:paraId="6A783D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241" w:type="pct"/>
            <w:vMerge w:val="restart"/>
            <w:tcBorders>
              <w:tl2br w:val="nil"/>
              <w:tr2bl w:val="nil"/>
            </w:tcBorders>
            <w:shd w:val="clear" w:color="auto" w:fill="auto"/>
            <w:vAlign w:val="center"/>
          </w:tcPr>
          <w:p w14:paraId="42857CED">
            <w:pPr>
              <w:pStyle w:val="81"/>
              <w:spacing w:beforeAutospacing="0" w:afterAutospacing="0" w:line="320" w:lineRule="exact"/>
              <w:jc w:val="center"/>
              <w:rPr>
                <w:rFonts w:eastAsia="仿宋_GB2312"/>
                <w:color w:val="auto"/>
                <w:sz w:val="21"/>
                <w:szCs w:val="21"/>
              </w:rPr>
            </w:pPr>
            <w:r>
              <w:rPr>
                <w:rFonts w:eastAsia="仿宋_GB2312"/>
                <w:color w:val="auto"/>
                <w:sz w:val="21"/>
                <w:szCs w:val="21"/>
                <w:lang w:bidi="ar"/>
              </w:rPr>
              <w:t>1</w:t>
            </w:r>
          </w:p>
        </w:tc>
        <w:tc>
          <w:tcPr>
            <w:tcW w:w="601" w:type="pct"/>
            <w:vMerge w:val="restart"/>
            <w:tcBorders>
              <w:tl2br w:val="nil"/>
              <w:tr2bl w:val="nil"/>
            </w:tcBorders>
            <w:shd w:val="clear" w:color="auto" w:fill="auto"/>
            <w:vAlign w:val="center"/>
          </w:tcPr>
          <w:p w14:paraId="17769EBC">
            <w:pPr>
              <w:pStyle w:val="81"/>
              <w:spacing w:beforeAutospacing="0" w:afterAutospacing="0" w:line="320" w:lineRule="exact"/>
              <w:jc w:val="center"/>
              <w:rPr>
                <w:rFonts w:eastAsia="仿宋_GB2312"/>
                <w:color w:val="auto"/>
                <w:sz w:val="21"/>
                <w:szCs w:val="21"/>
              </w:rPr>
            </w:pPr>
            <w:r>
              <w:rPr>
                <w:rFonts w:hint="eastAsia" w:ascii="仿宋_GB2312" w:hAnsi="仿宋" w:eastAsia="仿宋_GB2312"/>
                <w:color w:val="auto"/>
                <w:kern w:val="2"/>
                <w:sz w:val="21"/>
              </w:rPr>
              <w:t>循环水池</w:t>
            </w:r>
          </w:p>
        </w:tc>
        <w:tc>
          <w:tcPr>
            <w:tcW w:w="522" w:type="pct"/>
            <w:tcBorders>
              <w:tl2br w:val="nil"/>
              <w:tr2bl w:val="nil"/>
            </w:tcBorders>
            <w:shd w:val="clear" w:color="auto" w:fill="auto"/>
            <w:vAlign w:val="center"/>
          </w:tcPr>
          <w:p w14:paraId="61908FC4">
            <w:pPr>
              <w:pStyle w:val="163"/>
              <w:rPr>
                <w:rFonts w:ascii="Times New Roman"/>
                <w:color w:val="auto"/>
                <w:kern w:val="0"/>
                <w:szCs w:val="21"/>
                <w:lang w:bidi="ar"/>
              </w:rPr>
            </w:pPr>
            <w:r>
              <w:rPr>
                <w:rFonts w:hint="eastAsia" w:ascii="Times New Roman"/>
                <w:color w:val="auto"/>
                <w:kern w:val="0"/>
                <w:szCs w:val="21"/>
                <w:lang w:val="en-US" w:eastAsia="zh-CN" w:bidi="ar"/>
              </w:rPr>
              <w:t>1#冷却塔</w:t>
            </w:r>
          </w:p>
        </w:tc>
        <w:tc>
          <w:tcPr>
            <w:tcW w:w="512" w:type="pct"/>
            <w:tcBorders>
              <w:tl2br w:val="nil"/>
              <w:tr2bl w:val="nil"/>
            </w:tcBorders>
            <w:shd w:val="clear" w:color="auto" w:fill="auto"/>
            <w:vAlign w:val="center"/>
          </w:tcPr>
          <w:p w14:paraId="6BF7B428">
            <w:pPr>
              <w:pStyle w:val="163"/>
              <w:rPr>
                <w:rFonts w:ascii="Times New Roman"/>
                <w:color w:val="auto"/>
                <w:kern w:val="0"/>
                <w:szCs w:val="21"/>
                <w:lang w:bidi="ar"/>
              </w:rPr>
            </w:pPr>
            <w:r>
              <w:rPr>
                <w:rFonts w:hint="eastAsia" w:ascii="Times New Roman"/>
                <w:color w:val="auto"/>
                <w:kern w:val="0"/>
                <w:szCs w:val="21"/>
                <w:lang w:val="en-US" w:eastAsia="zh-CN" w:bidi="ar"/>
              </w:rPr>
              <w:t>1500</w:t>
            </w:r>
            <w:r>
              <w:rPr>
                <w:rFonts w:ascii="Times New Roman"/>
                <w:color w:val="auto"/>
                <w:kern w:val="0"/>
                <w:szCs w:val="21"/>
                <w:lang w:bidi="ar"/>
              </w:rPr>
              <w:t>m³/h</w:t>
            </w:r>
          </w:p>
        </w:tc>
        <w:tc>
          <w:tcPr>
            <w:tcW w:w="347" w:type="pct"/>
            <w:tcBorders>
              <w:tl2br w:val="nil"/>
              <w:tr2bl w:val="nil"/>
            </w:tcBorders>
            <w:shd w:val="clear" w:color="auto" w:fill="auto"/>
            <w:vAlign w:val="center"/>
          </w:tcPr>
          <w:p w14:paraId="1BE3B159">
            <w:pPr>
              <w:pStyle w:val="163"/>
              <w:rPr>
                <w:rFonts w:hint="eastAsia" w:ascii="Times New Roman" w:eastAsia="仿宋_GB2312"/>
                <w:color w:val="auto"/>
                <w:kern w:val="0"/>
                <w:szCs w:val="21"/>
                <w:lang w:eastAsia="zh-CN" w:bidi="ar"/>
              </w:rPr>
            </w:pPr>
            <w:r>
              <w:rPr>
                <w:rFonts w:hint="eastAsia" w:ascii="Times New Roman"/>
                <w:color w:val="auto"/>
                <w:kern w:val="0"/>
                <w:szCs w:val="21"/>
                <w:lang w:val="en-US" w:eastAsia="zh-CN" w:bidi="ar"/>
              </w:rPr>
              <w:t>1</w:t>
            </w:r>
          </w:p>
        </w:tc>
        <w:tc>
          <w:tcPr>
            <w:tcW w:w="348" w:type="pct"/>
            <w:tcBorders>
              <w:tl2br w:val="nil"/>
              <w:tr2bl w:val="nil"/>
            </w:tcBorders>
            <w:shd w:val="clear" w:color="auto" w:fill="auto"/>
            <w:vAlign w:val="center"/>
          </w:tcPr>
          <w:p w14:paraId="45CEABCD">
            <w:pPr>
              <w:pStyle w:val="81"/>
              <w:spacing w:beforeAutospacing="0" w:afterAutospacing="0" w:line="320" w:lineRule="exact"/>
              <w:jc w:val="center"/>
              <w:rPr>
                <w:rFonts w:hint="default" w:eastAsia="仿宋_GB2312" w:hAnsiTheme="minorHAnsi"/>
                <w:color w:val="auto"/>
                <w:sz w:val="21"/>
                <w:szCs w:val="21"/>
                <w:lang w:val="en-US" w:eastAsia="zh-CN" w:bidi="ar"/>
              </w:rPr>
            </w:pPr>
            <w:r>
              <w:rPr>
                <w:rFonts w:hint="eastAsia" w:eastAsia="仿宋_GB2312" w:hAnsiTheme="minorHAnsi"/>
                <w:color w:val="auto"/>
                <w:sz w:val="21"/>
                <w:szCs w:val="21"/>
                <w:lang w:val="en-US" w:eastAsia="zh-CN" w:bidi="ar"/>
              </w:rPr>
              <w:t>239</w:t>
            </w:r>
          </w:p>
        </w:tc>
        <w:tc>
          <w:tcPr>
            <w:tcW w:w="342" w:type="pct"/>
            <w:tcBorders>
              <w:tl2br w:val="nil"/>
              <w:tr2bl w:val="nil"/>
            </w:tcBorders>
            <w:shd w:val="clear" w:color="auto" w:fill="auto"/>
            <w:vAlign w:val="center"/>
          </w:tcPr>
          <w:p w14:paraId="03134879">
            <w:pPr>
              <w:pStyle w:val="81"/>
              <w:spacing w:beforeAutospacing="0" w:afterAutospacing="0" w:line="320" w:lineRule="exact"/>
              <w:jc w:val="center"/>
              <w:rPr>
                <w:rFonts w:hint="default" w:eastAsia="仿宋_GB2312" w:hAnsiTheme="minorHAnsi"/>
                <w:color w:val="auto"/>
                <w:sz w:val="21"/>
                <w:szCs w:val="21"/>
                <w:lang w:val="en-US" w:eastAsia="zh-CN" w:bidi="ar"/>
              </w:rPr>
            </w:pPr>
            <w:r>
              <w:rPr>
                <w:rFonts w:hint="eastAsia" w:eastAsia="仿宋_GB2312" w:hAnsiTheme="minorHAnsi"/>
                <w:color w:val="auto"/>
                <w:sz w:val="21"/>
                <w:szCs w:val="21"/>
                <w:lang w:val="en-US" w:eastAsia="zh-CN" w:bidi="ar"/>
              </w:rPr>
              <w:t>-61</w:t>
            </w:r>
          </w:p>
        </w:tc>
        <w:tc>
          <w:tcPr>
            <w:tcW w:w="348" w:type="pct"/>
            <w:tcBorders>
              <w:tl2br w:val="nil"/>
              <w:tr2bl w:val="nil"/>
            </w:tcBorders>
            <w:shd w:val="clear" w:color="auto" w:fill="auto"/>
            <w:vAlign w:val="center"/>
          </w:tcPr>
          <w:p w14:paraId="42C7FA76">
            <w:pPr>
              <w:pStyle w:val="81"/>
              <w:spacing w:beforeAutospacing="0" w:afterAutospacing="0" w:line="320" w:lineRule="exact"/>
              <w:jc w:val="center"/>
              <w:rPr>
                <w:rFonts w:eastAsia="仿宋_GB2312" w:hAnsiTheme="minorHAnsi"/>
                <w:color w:val="auto"/>
                <w:sz w:val="21"/>
                <w:szCs w:val="21"/>
                <w:lang w:bidi="ar"/>
              </w:rPr>
            </w:pPr>
            <w:r>
              <w:rPr>
                <w:rFonts w:hint="eastAsia" w:eastAsia="仿宋_GB2312" w:hAnsiTheme="minorHAnsi"/>
                <w:color w:val="auto"/>
                <w:sz w:val="21"/>
                <w:szCs w:val="21"/>
                <w:lang w:bidi="ar"/>
              </w:rPr>
              <w:t>1</w:t>
            </w:r>
          </w:p>
        </w:tc>
        <w:tc>
          <w:tcPr>
            <w:tcW w:w="394" w:type="pct"/>
            <w:tcBorders>
              <w:tl2br w:val="nil"/>
              <w:tr2bl w:val="nil"/>
            </w:tcBorders>
            <w:shd w:val="clear" w:color="auto" w:fill="auto"/>
            <w:vAlign w:val="center"/>
          </w:tcPr>
          <w:p w14:paraId="54238115">
            <w:pPr>
              <w:pStyle w:val="81"/>
              <w:spacing w:beforeAutospacing="0" w:afterAutospacing="0" w:line="320" w:lineRule="exact"/>
              <w:jc w:val="center"/>
              <w:rPr>
                <w:rFonts w:eastAsia="仿宋_GB2312" w:hAnsiTheme="minorHAnsi"/>
                <w:color w:val="auto"/>
                <w:sz w:val="21"/>
                <w:szCs w:val="21"/>
                <w:lang w:bidi="ar"/>
              </w:rPr>
            </w:pPr>
            <w:r>
              <w:rPr>
                <w:rFonts w:eastAsia="仿宋_GB2312" w:hAnsiTheme="minorHAnsi"/>
                <w:color w:val="auto"/>
                <w:sz w:val="21"/>
                <w:szCs w:val="21"/>
                <w:lang w:bidi="ar"/>
              </w:rPr>
              <w:t>8</w:t>
            </w:r>
            <w:r>
              <w:rPr>
                <w:rFonts w:hint="eastAsia" w:eastAsia="仿宋_GB2312" w:hAnsiTheme="minorHAnsi"/>
                <w:color w:val="auto"/>
                <w:sz w:val="21"/>
                <w:szCs w:val="21"/>
                <w:lang w:bidi="ar"/>
              </w:rPr>
              <w:t>0</w:t>
            </w:r>
          </w:p>
        </w:tc>
        <w:tc>
          <w:tcPr>
            <w:tcW w:w="518" w:type="pct"/>
            <w:tcBorders>
              <w:tl2br w:val="nil"/>
              <w:tr2bl w:val="nil"/>
            </w:tcBorders>
            <w:shd w:val="clear" w:color="auto" w:fill="auto"/>
            <w:vAlign w:val="center"/>
          </w:tcPr>
          <w:p w14:paraId="3588AC04">
            <w:pPr>
              <w:pStyle w:val="81"/>
              <w:spacing w:beforeAutospacing="0" w:afterAutospacing="0" w:line="320" w:lineRule="exact"/>
              <w:jc w:val="center"/>
              <w:rPr>
                <w:rFonts w:eastAsia="仿宋_GB2312" w:hAnsiTheme="minorHAnsi"/>
                <w:color w:val="auto"/>
                <w:sz w:val="21"/>
                <w:szCs w:val="21"/>
                <w:lang w:bidi="ar"/>
              </w:rPr>
            </w:pPr>
            <w:r>
              <w:rPr>
                <w:rFonts w:eastAsia="仿宋_GB2312" w:hAnsiTheme="minorHAnsi"/>
                <w:color w:val="auto"/>
                <w:sz w:val="21"/>
                <w:szCs w:val="21"/>
                <w:lang w:bidi="ar"/>
              </w:rPr>
              <w:t>隔声、减振</w:t>
            </w:r>
          </w:p>
        </w:tc>
        <w:tc>
          <w:tcPr>
            <w:tcW w:w="351" w:type="pct"/>
            <w:tcBorders>
              <w:tl2br w:val="nil"/>
              <w:tr2bl w:val="nil"/>
            </w:tcBorders>
            <w:shd w:val="clear" w:color="auto" w:fill="auto"/>
            <w:vAlign w:val="center"/>
          </w:tcPr>
          <w:p w14:paraId="3FA9B1FE">
            <w:pPr>
              <w:pStyle w:val="81"/>
              <w:spacing w:beforeAutospacing="0" w:afterAutospacing="0" w:line="320" w:lineRule="exact"/>
              <w:jc w:val="center"/>
              <w:rPr>
                <w:rFonts w:eastAsia="仿宋_GB2312" w:hAnsiTheme="minorHAnsi"/>
                <w:color w:val="auto"/>
                <w:sz w:val="21"/>
                <w:szCs w:val="21"/>
                <w:lang w:bidi="ar"/>
              </w:rPr>
            </w:pPr>
            <w:r>
              <w:rPr>
                <w:rFonts w:eastAsia="仿宋_GB2312" w:hAnsiTheme="minorHAnsi"/>
                <w:color w:val="auto"/>
                <w:sz w:val="21"/>
                <w:szCs w:val="21"/>
                <w:lang w:bidi="ar"/>
              </w:rPr>
              <w:t>全天</w:t>
            </w:r>
          </w:p>
        </w:tc>
        <w:tc>
          <w:tcPr>
            <w:tcW w:w="470" w:type="pct"/>
            <w:tcBorders>
              <w:tl2br w:val="nil"/>
              <w:tr2bl w:val="nil"/>
            </w:tcBorders>
            <w:shd w:val="clear" w:color="auto" w:fill="auto"/>
            <w:vAlign w:val="center"/>
          </w:tcPr>
          <w:p w14:paraId="22E96E30">
            <w:pPr>
              <w:pStyle w:val="81"/>
              <w:spacing w:beforeAutospacing="0" w:afterAutospacing="0" w:line="320" w:lineRule="exact"/>
              <w:jc w:val="center"/>
              <w:rPr>
                <w:rFonts w:hint="eastAsia" w:eastAsia="仿宋_GB2312" w:hAnsiTheme="minorHAnsi"/>
                <w:color w:val="auto"/>
                <w:sz w:val="21"/>
                <w:szCs w:val="21"/>
                <w:lang w:val="en-US" w:eastAsia="zh-CN" w:bidi="ar"/>
              </w:rPr>
            </w:pPr>
            <w:r>
              <w:rPr>
                <w:rFonts w:hint="eastAsia" w:eastAsia="仿宋_GB2312" w:hAnsiTheme="minorHAnsi"/>
                <w:color w:val="auto"/>
                <w:sz w:val="21"/>
                <w:szCs w:val="21"/>
                <w:lang w:val="en-US" w:eastAsia="zh-CN" w:bidi="ar"/>
              </w:rPr>
              <w:t>依托现有</w:t>
            </w:r>
          </w:p>
        </w:tc>
      </w:tr>
      <w:tr w14:paraId="2A4023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241" w:type="pct"/>
            <w:vMerge w:val="continue"/>
            <w:tcBorders>
              <w:tl2br w:val="nil"/>
              <w:tr2bl w:val="nil"/>
            </w:tcBorders>
            <w:shd w:val="clear" w:color="auto" w:fill="auto"/>
            <w:vAlign w:val="center"/>
          </w:tcPr>
          <w:p w14:paraId="40053454">
            <w:pPr>
              <w:pStyle w:val="163"/>
              <w:rPr>
                <w:color w:val="auto"/>
              </w:rPr>
            </w:pPr>
          </w:p>
        </w:tc>
        <w:tc>
          <w:tcPr>
            <w:tcW w:w="601" w:type="pct"/>
            <w:vMerge w:val="continue"/>
            <w:tcBorders>
              <w:tl2br w:val="nil"/>
              <w:tr2bl w:val="nil"/>
            </w:tcBorders>
            <w:shd w:val="clear" w:color="auto" w:fill="auto"/>
            <w:vAlign w:val="center"/>
          </w:tcPr>
          <w:p w14:paraId="3EDAB3C4">
            <w:pPr>
              <w:pStyle w:val="163"/>
              <w:rPr>
                <w:color w:val="auto"/>
              </w:rPr>
            </w:pPr>
          </w:p>
        </w:tc>
        <w:tc>
          <w:tcPr>
            <w:tcW w:w="522" w:type="pct"/>
            <w:tcBorders>
              <w:tl2br w:val="nil"/>
              <w:tr2bl w:val="nil"/>
            </w:tcBorders>
            <w:shd w:val="clear" w:color="auto" w:fill="auto"/>
            <w:vAlign w:val="center"/>
          </w:tcPr>
          <w:p w14:paraId="3B288FFC">
            <w:pPr>
              <w:pStyle w:val="163"/>
              <w:rPr>
                <w:rFonts w:hint="default" w:ascii="Times New Roman"/>
                <w:color w:val="auto"/>
                <w:kern w:val="0"/>
                <w:szCs w:val="21"/>
                <w:lang w:val="en-US" w:eastAsia="zh-CN" w:bidi="ar"/>
              </w:rPr>
            </w:pPr>
            <w:r>
              <w:rPr>
                <w:rFonts w:hint="eastAsia" w:ascii="Times New Roman"/>
                <w:color w:val="auto"/>
                <w:kern w:val="0"/>
                <w:szCs w:val="21"/>
                <w:lang w:val="en-US" w:eastAsia="zh-CN" w:bidi="ar"/>
              </w:rPr>
              <w:t>2#冷却塔</w:t>
            </w:r>
          </w:p>
        </w:tc>
        <w:tc>
          <w:tcPr>
            <w:tcW w:w="512" w:type="pct"/>
            <w:tcBorders>
              <w:tl2br w:val="nil"/>
              <w:tr2bl w:val="nil"/>
            </w:tcBorders>
            <w:shd w:val="clear" w:color="auto" w:fill="auto"/>
            <w:vAlign w:val="center"/>
          </w:tcPr>
          <w:p w14:paraId="7B57A642">
            <w:pPr>
              <w:pStyle w:val="163"/>
              <w:rPr>
                <w:rFonts w:ascii="Times New Roman"/>
                <w:color w:val="auto"/>
                <w:kern w:val="0"/>
                <w:szCs w:val="21"/>
                <w:lang w:bidi="ar"/>
              </w:rPr>
            </w:pPr>
            <w:r>
              <w:rPr>
                <w:rFonts w:hint="eastAsia" w:ascii="Times New Roman"/>
                <w:color w:val="auto"/>
                <w:kern w:val="0"/>
                <w:szCs w:val="21"/>
                <w:lang w:val="en-US" w:eastAsia="zh-CN" w:bidi="ar"/>
              </w:rPr>
              <w:t>500</w:t>
            </w:r>
            <w:r>
              <w:rPr>
                <w:rFonts w:ascii="Times New Roman"/>
                <w:color w:val="auto"/>
                <w:kern w:val="0"/>
                <w:szCs w:val="21"/>
                <w:lang w:bidi="ar"/>
              </w:rPr>
              <w:t>m³/h</w:t>
            </w:r>
          </w:p>
        </w:tc>
        <w:tc>
          <w:tcPr>
            <w:tcW w:w="347" w:type="pct"/>
            <w:tcBorders>
              <w:tl2br w:val="nil"/>
              <w:tr2bl w:val="nil"/>
            </w:tcBorders>
            <w:shd w:val="clear" w:color="auto" w:fill="auto"/>
            <w:vAlign w:val="center"/>
          </w:tcPr>
          <w:p w14:paraId="4C80299C">
            <w:pPr>
              <w:pStyle w:val="163"/>
              <w:rPr>
                <w:rFonts w:hint="eastAsia" w:ascii="Times New Roman" w:eastAsia="仿宋_GB2312"/>
                <w:color w:val="auto"/>
                <w:kern w:val="0"/>
                <w:szCs w:val="21"/>
                <w:lang w:eastAsia="zh-CN" w:bidi="ar"/>
              </w:rPr>
            </w:pPr>
            <w:r>
              <w:rPr>
                <w:rFonts w:hint="eastAsia" w:ascii="Times New Roman"/>
                <w:color w:val="auto"/>
                <w:kern w:val="0"/>
                <w:szCs w:val="21"/>
                <w:lang w:val="en-US" w:eastAsia="zh-CN" w:bidi="ar"/>
              </w:rPr>
              <w:t>1</w:t>
            </w:r>
          </w:p>
        </w:tc>
        <w:tc>
          <w:tcPr>
            <w:tcW w:w="348" w:type="pct"/>
            <w:tcBorders>
              <w:tl2br w:val="nil"/>
              <w:tr2bl w:val="nil"/>
            </w:tcBorders>
            <w:shd w:val="clear" w:color="auto" w:fill="auto"/>
            <w:vAlign w:val="center"/>
          </w:tcPr>
          <w:p w14:paraId="5999E074">
            <w:pPr>
              <w:pStyle w:val="163"/>
              <w:rPr>
                <w:rFonts w:hint="default" w:ascii="Times New Roman" w:eastAsia="仿宋_GB2312" w:hAnsiTheme="minorHAnsi"/>
                <w:color w:val="auto"/>
                <w:kern w:val="0"/>
                <w:szCs w:val="21"/>
                <w:lang w:val="en-US" w:eastAsia="zh-CN" w:bidi="ar"/>
              </w:rPr>
            </w:pPr>
            <w:r>
              <w:rPr>
                <w:rFonts w:hint="eastAsia" w:ascii="Times New Roman" w:hAnsiTheme="minorHAnsi"/>
                <w:color w:val="auto"/>
                <w:kern w:val="0"/>
                <w:szCs w:val="21"/>
                <w:lang w:val="en-US" w:eastAsia="zh-CN" w:bidi="ar"/>
              </w:rPr>
              <w:t>239</w:t>
            </w:r>
          </w:p>
        </w:tc>
        <w:tc>
          <w:tcPr>
            <w:tcW w:w="342" w:type="pct"/>
            <w:tcBorders>
              <w:tl2br w:val="nil"/>
              <w:tr2bl w:val="nil"/>
            </w:tcBorders>
            <w:shd w:val="clear" w:color="auto" w:fill="auto"/>
            <w:vAlign w:val="center"/>
          </w:tcPr>
          <w:p w14:paraId="4F0096CA">
            <w:pPr>
              <w:pStyle w:val="163"/>
              <w:rPr>
                <w:rFonts w:hint="default" w:ascii="Times New Roman" w:eastAsia="仿宋_GB2312" w:hAnsiTheme="minorHAnsi"/>
                <w:color w:val="auto"/>
                <w:kern w:val="0"/>
                <w:szCs w:val="21"/>
                <w:lang w:val="en-US" w:eastAsia="zh-CN" w:bidi="ar"/>
              </w:rPr>
            </w:pPr>
            <w:r>
              <w:rPr>
                <w:rFonts w:hint="eastAsia" w:ascii="Times New Roman" w:hAnsiTheme="minorHAnsi"/>
                <w:color w:val="auto"/>
                <w:kern w:val="0"/>
                <w:szCs w:val="21"/>
                <w:lang w:val="en-US" w:eastAsia="zh-CN" w:bidi="ar"/>
              </w:rPr>
              <w:t>-65</w:t>
            </w:r>
          </w:p>
        </w:tc>
        <w:tc>
          <w:tcPr>
            <w:tcW w:w="348" w:type="pct"/>
            <w:tcBorders>
              <w:tl2br w:val="nil"/>
              <w:tr2bl w:val="nil"/>
            </w:tcBorders>
            <w:shd w:val="clear" w:color="auto" w:fill="auto"/>
            <w:vAlign w:val="center"/>
          </w:tcPr>
          <w:p w14:paraId="5F6C69CD">
            <w:pPr>
              <w:pStyle w:val="163"/>
              <w:rPr>
                <w:rFonts w:ascii="Times New Roman" w:hAnsiTheme="minorHAnsi"/>
                <w:color w:val="auto"/>
                <w:kern w:val="0"/>
                <w:szCs w:val="21"/>
                <w:lang w:bidi="ar"/>
              </w:rPr>
            </w:pPr>
            <w:r>
              <w:rPr>
                <w:rFonts w:hint="eastAsia" w:ascii="Times New Roman" w:hAnsiTheme="minorHAnsi"/>
                <w:color w:val="auto"/>
                <w:kern w:val="0"/>
                <w:szCs w:val="21"/>
                <w:lang w:bidi="ar"/>
              </w:rPr>
              <w:t>1</w:t>
            </w:r>
          </w:p>
        </w:tc>
        <w:tc>
          <w:tcPr>
            <w:tcW w:w="394" w:type="pct"/>
            <w:tcBorders>
              <w:tl2br w:val="nil"/>
              <w:tr2bl w:val="nil"/>
            </w:tcBorders>
            <w:shd w:val="clear" w:color="auto" w:fill="auto"/>
            <w:vAlign w:val="center"/>
          </w:tcPr>
          <w:p w14:paraId="1D66F56B">
            <w:pPr>
              <w:pStyle w:val="163"/>
              <w:rPr>
                <w:rFonts w:ascii="Times New Roman" w:hAnsiTheme="minorHAnsi"/>
                <w:color w:val="auto"/>
                <w:kern w:val="0"/>
                <w:szCs w:val="21"/>
                <w:lang w:bidi="ar"/>
              </w:rPr>
            </w:pPr>
            <w:r>
              <w:rPr>
                <w:rFonts w:ascii="Times New Roman" w:hAnsiTheme="minorHAnsi"/>
                <w:color w:val="auto"/>
                <w:kern w:val="0"/>
                <w:szCs w:val="21"/>
                <w:lang w:bidi="ar"/>
              </w:rPr>
              <w:t>8</w:t>
            </w:r>
            <w:r>
              <w:rPr>
                <w:rFonts w:hint="eastAsia" w:ascii="Times New Roman" w:hAnsiTheme="minorHAnsi"/>
                <w:color w:val="auto"/>
                <w:kern w:val="0"/>
                <w:szCs w:val="21"/>
                <w:lang w:bidi="ar"/>
              </w:rPr>
              <w:t>0</w:t>
            </w:r>
          </w:p>
        </w:tc>
        <w:tc>
          <w:tcPr>
            <w:tcW w:w="518" w:type="pct"/>
            <w:tcBorders>
              <w:tl2br w:val="nil"/>
              <w:tr2bl w:val="nil"/>
            </w:tcBorders>
            <w:shd w:val="clear" w:color="auto" w:fill="auto"/>
            <w:vAlign w:val="center"/>
          </w:tcPr>
          <w:p w14:paraId="075C7CC8">
            <w:pPr>
              <w:pStyle w:val="163"/>
              <w:rPr>
                <w:rFonts w:ascii="Times New Roman" w:hAnsiTheme="minorHAnsi"/>
                <w:color w:val="auto"/>
                <w:kern w:val="0"/>
                <w:szCs w:val="21"/>
                <w:lang w:bidi="ar"/>
              </w:rPr>
            </w:pPr>
            <w:r>
              <w:rPr>
                <w:rFonts w:ascii="Times New Roman" w:hAnsiTheme="minorHAnsi"/>
                <w:color w:val="auto"/>
                <w:kern w:val="0"/>
                <w:szCs w:val="21"/>
                <w:lang w:bidi="ar"/>
              </w:rPr>
              <w:t>隔声、减振</w:t>
            </w:r>
          </w:p>
        </w:tc>
        <w:tc>
          <w:tcPr>
            <w:tcW w:w="351" w:type="pct"/>
            <w:tcBorders>
              <w:tl2br w:val="nil"/>
              <w:tr2bl w:val="nil"/>
            </w:tcBorders>
            <w:shd w:val="clear" w:color="auto" w:fill="auto"/>
            <w:vAlign w:val="center"/>
          </w:tcPr>
          <w:p w14:paraId="004D8E04">
            <w:pPr>
              <w:pStyle w:val="163"/>
              <w:rPr>
                <w:rFonts w:ascii="Times New Roman" w:hAnsiTheme="minorHAnsi"/>
                <w:color w:val="auto"/>
                <w:kern w:val="0"/>
                <w:szCs w:val="21"/>
                <w:lang w:bidi="ar"/>
              </w:rPr>
            </w:pPr>
            <w:r>
              <w:rPr>
                <w:rFonts w:ascii="Times New Roman" w:hAnsiTheme="minorHAnsi"/>
                <w:color w:val="auto"/>
                <w:kern w:val="0"/>
                <w:szCs w:val="21"/>
                <w:lang w:bidi="ar"/>
              </w:rPr>
              <w:t>全天</w:t>
            </w:r>
          </w:p>
        </w:tc>
        <w:tc>
          <w:tcPr>
            <w:tcW w:w="470" w:type="pct"/>
            <w:tcBorders>
              <w:tl2br w:val="nil"/>
              <w:tr2bl w:val="nil"/>
            </w:tcBorders>
            <w:shd w:val="clear" w:color="auto" w:fill="auto"/>
            <w:vAlign w:val="center"/>
          </w:tcPr>
          <w:p w14:paraId="039E0D4A">
            <w:pPr>
              <w:pStyle w:val="163"/>
              <w:rPr>
                <w:rFonts w:ascii="Times New Roman" w:hAnsiTheme="minorHAnsi"/>
                <w:color w:val="auto"/>
                <w:kern w:val="0"/>
                <w:szCs w:val="21"/>
                <w:lang w:bidi="ar"/>
              </w:rPr>
            </w:pPr>
            <w:r>
              <w:rPr>
                <w:rFonts w:hint="eastAsia" w:eastAsia="仿宋_GB2312" w:hAnsiTheme="minorHAnsi"/>
                <w:color w:val="auto"/>
                <w:sz w:val="21"/>
                <w:szCs w:val="21"/>
                <w:lang w:val="en-US" w:eastAsia="zh-CN" w:bidi="ar"/>
              </w:rPr>
              <w:t>依托现有</w:t>
            </w:r>
          </w:p>
        </w:tc>
      </w:tr>
      <w:tr w14:paraId="7A7804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241" w:type="pct"/>
            <w:tcBorders>
              <w:tl2br w:val="nil"/>
              <w:tr2bl w:val="nil"/>
            </w:tcBorders>
            <w:shd w:val="clear" w:color="auto" w:fill="auto"/>
            <w:vAlign w:val="center"/>
          </w:tcPr>
          <w:p w14:paraId="6EF628E4">
            <w:pPr>
              <w:pStyle w:val="81"/>
              <w:spacing w:beforeAutospacing="0" w:afterAutospacing="0" w:line="320" w:lineRule="exact"/>
              <w:jc w:val="center"/>
              <w:rPr>
                <w:rFonts w:hint="default" w:ascii="Times New Roman" w:hAnsi="Times New Roman" w:eastAsia="仿宋_GB2312" w:cs="Times New Roman"/>
                <w:color w:val="auto"/>
                <w:sz w:val="21"/>
                <w:szCs w:val="21"/>
                <w:lang w:bidi="ar"/>
              </w:rPr>
            </w:pPr>
            <w:r>
              <w:rPr>
                <w:rFonts w:hint="default" w:ascii="Times New Roman" w:hAnsi="Times New Roman" w:eastAsia="仿宋_GB2312" w:cs="Times New Roman"/>
                <w:color w:val="auto"/>
                <w:sz w:val="21"/>
                <w:szCs w:val="21"/>
                <w:lang w:bidi="ar"/>
              </w:rPr>
              <w:t>2</w:t>
            </w:r>
          </w:p>
        </w:tc>
        <w:tc>
          <w:tcPr>
            <w:tcW w:w="601" w:type="pct"/>
            <w:tcBorders>
              <w:tl2br w:val="nil"/>
              <w:tr2bl w:val="nil"/>
            </w:tcBorders>
            <w:shd w:val="clear" w:color="auto" w:fill="auto"/>
            <w:vAlign w:val="center"/>
          </w:tcPr>
          <w:p w14:paraId="5F813330">
            <w:pPr>
              <w:pStyle w:val="163"/>
              <w:rPr>
                <w:rFonts w:hint="default" w:ascii="Times New Roman" w:hAnsi="Times New Roman" w:eastAsia="仿宋_GB2312" w:cs="Times New Roman"/>
                <w:color w:val="auto"/>
                <w:lang w:val="en-US" w:eastAsia="zh-CN"/>
              </w:rPr>
            </w:pPr>
            <w:r>
              <w:rPr>
                <w:rFonts w:hint="default" w:ascii="Times New Roman" w:hAnsi="Times New Roman" w:cs="Times New Roman"/>
                <w:color w:val="auto"/>
                <w:lang w:val="en-US" w:eastAsia="zh-CN"/>
              </w:rPr>
              <w:t>DA001排气筒</w:t>
            </w:r>
          </w:p>
        </w:tc>
        <w:tc>
          <w:tcPr>
            <w:tcW w:w="522" w:type="pct"/>
            <w:tcBorders>
              <w:tl2br w:val="nil"/>
              <w:tr2bl w:val="nil"/>
            </w:tcBorders>
            <w:shd w:val="clear" w:color="auto" w:fill="auto"/>
            <w:vAlign w:val="center"/>
          </w:tcPr>
          <w:p w14:paraId="57D67CE9">
            <w:pPr>
              <w:pStyle w:val="163"/>
              <w:rPr>
                <w:rFonts w:hAnsi="仿宋"/>
                <w:color w:val="auto"/>
              </w:rPr>
            </w:pPr>
            <w:r>
              <w:rPr>
                <w:rFonts w:hint="eastAsia" w:hAnsi="仿宋"/>
                <w:color w:val="auto"/>
              </w:rPr>
              <w:t>风机</w:t>
            </w:r>
          </w:p>
        </w:tc>
        <w:tc>
          <w:tcPr>
            <w:tcW w:w="512" w:type="pct"/>
            <w:tcBorders>
              <w:tl2br w:val="nil"/>
              <w:tr2bl w:val="nil"/>
            </w:tcBorders>
            <w:shd w:val="clear" w:color="auto" w:fill="auto"/>
            <w:vAlign w:val="center"/>
          </w:tcPr>
          <w:p w14:paraId="57EEAF32">
            <w:pPr>
              <w:pStyle w:val="163"/>
              <w:rPr>
                <w:rFonts w:ascii="Times New Roman"/>
                <w:color w:val="auto"/>
                <w:kern w:val="0"/>
                <w:szCs w:val="21"/>
                <w:lang w:bidi="ar"/>
              </w:rPr>
            </w:pPr>
            <w:r>
              <w:rPr>
                <w:rFonts w:hint="eastAsia" w:ascii="Times New Roman"/>
                <w:color w:val="auto"/>
                <w:kern w:val="0"/>
                <w:szCs w:val="21"/>
                <w:lang w:bidi="ar"/>
              </w:rPr>
              <w:t>12000</w:t>
            </w:r>
            <w:r>
              <w:rPr>
                <w:rFonts w:hint="eastAsia" w:ascii="Times New Roman"/>
                <w:color w:val="auto"/>
                <w:kern w:val="0"/>
                <w:szCs w:val="21"/>
                <w:lang w:val="en-US" w:eastAsia="zh-CN" w:bidi="ar"/>
              </w:rPr>
              <w:t>0</w:t>
            </w:r>
            <w:r>
              <w:rPr>
                <w:rFonts w:hint="eastAsia" w:ascii="Times New Roman"/>
                <w:color w:val="auto"/>
                <w:kern w:val="0"/>
                <w:szCs w:val="21"/>
                <w:lang w:bidi="ar"/>
              </w:rPr>
              <w:t>m</w:t>
            </w:r>
            <w:r>
              <w:rPr>
                <w:rFonts w:hint="eastAsia" w:ascii="Times New Roman"/>
                <w:color w:val="auto"/>
                <w:kern w:val="0"/>
                <w:szCs w:val="21"/>
                <w:vertAlign w:val="superscript"/>
                <w:lang w:bidi="ar"/>
              </w:rPr>
              <w:t>3</w:t>
            </w:r>
            <w:r>
              <w:rPr>
                <w:rFonts w:hint="eastAsia" w:ascii="Times New Roman"/>
                <w:color w:val="auto"/>
                <w:kern w:val="0"/>
                <w:szCs w:val="21"/>
                <w:lang w:bidi="ar"/>
              </w:rPr>
              <w:t>/h</w:t>
            </w:r>
          </w:p>
        </w:tc>
        <w:tc>
          <w:tcPr>
            <w:tcW w:w="347" w:type="pct"/>
            <w:tcBorders>
              <w:tl2br w:val="nil"/>
              <w:tr2bl w:val="nil"/>
            </w:tcBorders>
            <w:shd w:val="clear" w:color="auto" w:fill="auto"/>
            <w:vAlign w:val="center"/>
          </w:tcPr>
          <w:p w14:paraId="1C4B8151">
            <w:pPr>
              <w:pStyle w:val="163"/>
              <w:rPr>
                <w:rFonts w:hint="eastAsia" w:ascii="Times New Roman" w:eastAsia="仿宋_GB2312"/>
                <w:color w:val="auto"/>
                <w:kern w:val="0"/>
                <w:szCs w:val="21"/>
                <w:lang w:eastAsia="zh-CN" w:bidi="ar"/>
              </w:rPr>
            </w:pPr>
            <w:r>
              <w:rPr>
                <w:rFonts w:hint="eastAsia" w:ascii="Times New Roman"/>
                <w:color w:val="auto"/>
                <w:kern w:val="0"/>
                <w:szCs w:val="21"/>
                <w:lang w:val="en-US" w:eastAsia="zh-CN" w:bidi="ar"/>
              </w:rPr>
              <w:t>1</w:t>
            </w:r>
          </w:p>
        </w:tc>
        <w:tc>
          <w:tcPr>
            <w:tcW w:w="348" w:type="pct"/>
            <w:tcBorders>
              <w:tl2br w:val="nil"/>
              <w:tr2bl w:val="nil"/>
            </w:tcBorders>
            <w:shd w:val="clear" w:color="auto" w:fill="auto"/>
            <w:vAlign w:val="center"/>
          </w:tcPr>
          <w:p w14:paraId="29A55412">
            <w:pPr>
              <w:pStyle w:val="81"/>
              <w:spacing w:beforeAutospacing="0" w:afterAutospacing="0" w:line="320" w:lineRule="exact"/>
              <w:jc w:val="center"/>
              <w:rPr>
                <w:rFonts w:hint="default" w:eastAsia="仿宋_GB2312" w:hAnsiTheme="minorHAnsi"/>
                <w:color w:val="auto"/>
                <w:sz w:val="21"/>
                <w:szCs w:val="21"/>
                <w:lang w:val="en-US" w:eastAsia="zh-CN" w:bidi="ar"/>
              </w:rPr>
            </w:pPr>
            <w:r>
              <w:rPr>
                <w:rFonts w:hint="eastAsia" w:eastAsia="仿宋_GB2312" w:hAnsiTheme="minorHAnsi"/>
                <w:color w:val="auto"/>
                <w:sz w:val="21"/>
                <w:szCs w:val="21"/>
                <w:lang w:val="en-US" w:eastAsia="zh-CN" w:bidi="ar"/>
              </w:rPr>
              <w:t>221</w:t>
            </w:r>
          </w:p>
        </w:tc>
        <w:tc>
          <w:tcPr>
            <w:tcW w:w="342" w:type="pct"/>
            <w:tcBorders>
              <w:tl2br w:val="nil"/>
              <w:tr2bl w:val="nil"/>
            </w:tcBorders>
            <w:shd w:val="clear" w:color="auto" w:fill="auto"/>
            <w:vAlign w:val="center"/>
          </w:tcPr>
          <w:p w14:paraId="44E34870">
            <w:pPr>
              <w:pStyle w:val="81"/>
              <w:spacing w:beforeAutospacing="0" w:afterAutospacing="0" w:line="320" w:lineRule="exact"/>
              <w:jc w:val="center"/>
              <w:rPr>
                <w:rFonts w:hint="default" w:eastAsia="仿宋_GB2312" w:hAnsiTheme="minorHAnsi"/>
                <w:color w:val="auto"/>
                <w:sz w:val="21"/>
                <w:szCs w:val="21"/>
                <w:lang w:val="en-US" w:eastAsia="zh-CN" w:bidi="ar"/>
              </w:rPr>
            </w:pPr>
            <w:r>
              <w:rPr>
                <w:rFonts w:hint="eastAsia" w:eastAsia="仿宋_GB2312" w:hAnsiTheme="minorHAnsi"/>
                <w:color w:val="auto"/>
                <w:sz w:val="21"/>
                <w:szCs w:val="21"/>
                <w:lang w:val="en-US" w:eastAsia="zh-CN" w:bidi="ar"/>
              </w:rPr>
              <w:t>-74</w:t>
            </w:r>
          </w:p>
        </w:tc>
        <w:tc>
          <w:tcPr>
            <w:tcW w:w="348" w:type="pct"/>
            <w:tcBorders>
              <w:tl2br w:val="nil"/>
              <w:tr2bl w:val="nil"/>
            </w:tcBorders>
            <w:shd w:val="clear" w:color="auto" w:fill="auto"/>
            <w:vAlign w:val="center"/>
          </w:tcPr>
          <w:p w14:paraId="275D43FE">
            <w:pPr>
              <w:pStyle w:val="81"/>
              <w:spacing w:beforeAutospacing="0" w:afterAutospacing="0" w:line="320" w:lineRule="exact"/>
              <w:jc w:val="center"/>
              <w:rPr>
                <w:rFonts w:eastAsia="仿宋_GB2312" w:hAnsiTheme="minorHAnsi"/>
                <w:color w:val="auto"/>
                <w:sz w:val="21"/>
                <w:szCs w:val="21"/>
                <w:lang w:bidi="ar"/>
              </w:rPr>
            </w:pPr>
            <w:r>
              <w:rPr>
                <w:rFonts w:hint="eastAsia" w:eastAsia="仿宋_GB2312" w:hAnsiTheme="minorHAnsi"/>
                <w:color w:val="auto"/>
                <w:sz w:val="21"/>
                <w:szCs w:val="21"/>
                <w:lang w:bidi="ar"/>
              </w:rPr>
              <w:t>0.5</w:t>
            </w:r>
          </w:p>
        </w:tc>
        <w:tc>
          <w:tcPr>
            <w:tcW w:w="394" w:type="pct"/>
            <w:tcBorders>
              <w:tl2br w:val="nil"/>
              <w:tr2bl w:val="nil"/>
            </w:tcBorders>
            <w:shd w:val="clear" w:color="auto" w:fill="auto"/>
            <w:vAlign w:val="center"/>
          </w:tcPr>
          <w:p w14:paraId="556CDDC8">
            <w:pPr>
              <w:pStyle w:val="81"/>
              <w:spacing w:beforeAutospacing="0" w:afterAutospacing="0" w:line="320" w:lineRule="exact"/>
              <w:jc w:val="center"/>
              <w:rPr>
                <w:rFonts w:eastAsia="仿宋_GB2312" w:hAnsiTheme="minorHAnsi"/>
                <w:color w:val="auto"/>
                <w:sz w:val="21"/>
                <w:szCs w:val="21"/>
                <w:lang w:bidi="ar"/>
              </w:rPr>
            </w:pPr>
            <w:r>
              <w:rPr>
                <w:rFonts w:eastAsia="仿宋_GB2312" w:hAnsiTheme="minorHAnsi"/>
                <w:color w:val="auto"/>
                <w:sz w:val="21"/>
                <w:szCs w:val="21"/>
                <w:lang w:bidi="ar"/>
              </w:rPr>
              <w:t>8</w:t>
            </w:r>
            <w:r>
              <w:rPr>
                <w:rFonts w:hint="eastAsia" w:eastAsia="仿宋_GB2312" w:hAnsiTheme="minorHAnsi"/>
                <w:color w:val="auto"/>
                <w:sz w:val="21"/>
                <w:szCs w:val="21"/>
                <w:lang w:bidi="ar"/>
              </w:rPr>
              <w:t>0</w:t>
            </w:r>
          </w:p>
        </w:tc>
        <w:tc>
          <w:tcPr>
            <w:tcW w:w="518" w:type="pct"/>
            <w:tcBorders>
              <w:tl2br w:val="nil"/>
              <w:tr2bl w:val="nil"/>
            </w:tcBorders>
            <w:shd w:val="clear" w:color="auto" w:fill="auto"/>
            <w:vAlign w:val="center"/>
          </w:tcPr>
          <w:p w14:paraId="583C30AB">
            <w:pPr>
              <w:pStyle w:val="81"/>
              <w:spacing w:beforeAutospacing="0" w:afterAutospacing="0" w:line="320" w:lineRule="exact"/>
              <w:ind w:left="0" w:leftChars="0" w:right="0" w:rightChars="0"/>
              <w:jc w:val="center"/>
              <w:rPr>
                <w:rFonts w:ascii="Times New Roman" w:eastAsia="仿宋_GB2312" w:cs="Times New Roman" w:hAnsiTheme="minorHAnsi"/>
                <w:color w:val="auto"/>
                <w:kern w:val="0"/>
                <w:sz w:val="21"/>
                <w:szCs w:val="21"/>
                <w:lang w:val="en-US" w:eastAsia="zh-CN" w:bidi="ar"/>
              </w:rPr>
            </w:pPr>
            <w:r>
              <w:rPr>
                <w:rFonts w:eastAsia="仿宋_GB2312" w:hAnsiTheme="minorHAnsi"/>
                <w:color w:val="auto"/>
                <w:sz w:val="21"/>
                <w:szCs w:val="21"/>
                <w:lang w:bidi="ar"/>
              </w:rPr>
              <w:t>隔声、减振</w:t>
            </w:r>
          </w:p>
        </w:tc>
        <w:tc>
          <w:tcPr>
            <w:tcW w:w="351" w:type="pct"/>
            <w:tcBorders>
              <w:tl2br w:val="nil"/>
              <w:tr2bl w:val="nil"/>
            </w:tcBorders>
            <w:shd w:val="clear" w:color="auto" w:fill="auto"/>
            <w:vAlign w:val="center"/>
          </w:tcPr>
          <w:p w14:paraId="71C59851">
            <w:pPr>
              <w:pStyle w:val="81"/>
              <w:spacing w:beforeAutospacing="0" w:afterAutospacing="0" w:line="320" w:lineRule="exact"/>
              <w:ind w:left="0" w:leftChars="0" w:right="0" w:rightChars="0"/>
              <w:jc w:val="center"/>
              <w:rPr>
                <w:rFonts w:ascii="Times New Roman" w:eastAsia="仿宋_GB2312" w:cs="Times New Roman" w:hAnsiTheme="minorHAnsi"/>
                <w:color w:val="auto"/>
                <w:kern w:val="0"/>
                <w:sz w:val="21"/>
                <w:szCs w:val="21"/>
                <w:lang w:val="en-US" w:eastAsia="zh-CN" w:bidi="ar"/>
              </w:rPr>
            </w:pPr>
            <w:r>
              <w:rPr>
                <w:rFonts w:eastAsia="仿宋_GB2312" w:hAnsiTheme="minorHAnsi"/>
                <w:color w:val="auto"/>
                <w:sz w:val="21"/>
                <w:szCs w:val="21"/>
                <w:lang w:bidi="ar"/>
              </w:rPr>
              <w:t>全天</w:t>
            </w:r>
          </w:p>
        </w:tc>
        <w:tc>
          <w:tcPr>
            <w:tcW w:w="470" w:type="pct"/>
            <w:tcBorders>
              <w:tl2br w:val="nil"/>
              <w:tr2bl w:val="nil"/>
            </w:tcBorders>
            <w:shd w:val="clear" w:color="auto" w:fill="auto"/>
            <w:vAlign w:val="center"/>
          </w:tcPr>
          <w:p w14:paraId="65C0D756">
            <w:pPr>
              <w:pStyle w:val="81"/>
              <w:spacing w:beforeAutospacing="0" w:afterAutospacing="0" w:line="320" w:lineRule="exact"/>
              <w:ind w:left="0" w:leftChars="0" w:right="0" w:rightChars="0"/>
              <w:jc w:val="center"/>
              <w:rPr>
                <w:rFonts w:hint="eastAsia" w:ascii="Times New Roman" w:eastAsia="仿宋_GB2312" w:cs="Times New Roman" w:hAnsiTheme="minorHAnsi"/>
                <w:color w:val="auto"/>
                <w:kern w:val="0"/>
                <w:sz w:val="21"/>
                <w:szCs w:val="21"/>
                <w:lang w:val="en-US" w:eastAsia="zh-CN" w:bidi="ar"/>
              </w:rPr>
            </w:pPr>
            <w:r>
              <w:rPr>
                <w:rFonts w:hint="eastAsia" w:eastAsia="仿宋_GB2312" w:hAnsiTheme="minorHAnsi"/>
                <w:color w:val="auto"/>
                <w:sz w:val="21"/>
                <w:szCs w:val="21"/>
                <w:lang w:val="en-US" w:eastAsia="zh-CN" w:bidi="ar"/>
              </w:rPr>
              <w:t>依托现有</w:t>
            </w:r>
          </w:p>
        </w:tc>
      </w:tr>
      <w:tr w14:paraId="0DAE95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241" w:type="pct"/>
            <w:tcBorders>
              <w:tl2br w:val="nil"/>
              <w:tr2bl w:val="nil"/>
            </w:tcBorders>
            <w:shd w:val="clear" w:color="auto" w:fill="auto"/>
            <w:vAlign w:val="center"/>
          </w:tcPr>
          <w:p w14:paraId="203E35BB">
            <w:pPr>
              <w:pStyle w:val="81"/>
              <w:spacing w:beforeAutospacing="0" w:afterAutospacing="0" w:line="320" w:lineRule="exact"/>
              <w:jc w:val="center"/>
              <w:rPr>
                <w:rFonts w:hint="default" w:ascii="Times New Roman" w:hAnsi="Times New Roman" w:eastAsia="仿宋_GB2312" w:cs="Times New Roman"/>
                <w:color w:val="auto"/>
                <w:sz w:val="21"/>
                <w:szCs w:val="21"/>
                <w:lang w:val="en-US" w:eastAsia="zh-CN" w:bidi="ar"/>
              </w:rPr>
            </w:pPr>
            <w:r>
              <w:rPr>
                <w:rFonts w:hint="default" w:ascii="Times New Roman" w:hAnsi="Times New Roman" w:eastAsia="仿宋_GB2312" w:cs="Times New Roman"/>
                <w:color w:val="auto"/>
                <w:sz w:val="21"/>
                <w:szCs w:val="21"/>
                <w:lang w:val="en-US" w:eastAsia="zh-CN" w:bidi="ar"/>
              </w:rPr>
              <w:t>3</w:t>
            </w:r>
          </w:p>
        </w:tc>
        <w:tc>
          <w:tcPr>
            <w:tcW w:w="601" w:type="pct"/>
            <w:tcBorders>
              <w:tl2br w:val="nil"/>
              <w:tr2bl w:val="nil"/>
            </w:tcBorders>
            <w:shd w:val="clear" w:color="auto" w:fill="auto"/>
            <w:vAlign w:val="center"/>
          </w:tcPr>
          <w:p w14:paraId="671A72AE">
            <w:pPr>
              <w:pStyle w:val="163"/>
              <w:rPr>
                <w:rFonts w:hint="default" w:ascii="Times New Roman" w:hAnsi="Times New Roman" w:cs="Times New Roman"/>
                <w:color w:val="auto"/>
              </w:rPr>
            </w:pPr>
            <w:r>
              <w:rPr>
                <w:rFonts w:hint="default" w:ascii="Times New Roman" w:hAnsi="Times New Roman" w:cs="Times New Roman"/>
                <w:color w:val="auto"/>
                <w:lang w:val="en-US" w:eastAsia="zh-CN"/>
              </w:rPr>
              <w:t>DA002排气筒</w:t>
            </w:r>
          </w:p>
        </w:tc>
        <w:tc>
          <w:tcPr>
            <w:tcW w:w="522" w:type="pct"/>
            <w:tcBorders>
              <w:tl2br w:val="nil"/>
              <w:tr2bl w:val="nil"/>
            </w:tcBorders>
            <w:shd w:val="clear" w:color="auto" w:fill="auto"/>
            <w:vAlign w:val="center"/>
          </w:tcPr>
          <w:p w14:paraId="162ED984">
            <w:pPr>
              <w:pStyle w:val="163"/>
              <w:rPr>
                <w:rFonts w:hint="eastAsia" w:hAnsi="仿宋"/>
                <w:color w:val="auto"/>
              </w:rPr>
            </w:pPr>
            <w:r>
              <w:rPr>
                <w:rFonts w:hint="eastAsia" w:hAnsi="仿宋"/>
                <w:color w:val="auto"/>
              </w:rPr>
              <w:t>风机</w:t>
            </w:r>
          </w:p>
        </w:tc>
        <w:tc>
          <w:tcPr>
            <w:tcW w:w="512" w:type="pct"/>
            <w:tcBorders>
              <w:tl2br w:val="nil"/>
              <w:tr2bl w:val="nil"/>
            </w:tcBorders>
            <w:shd w:val="clear" w:color="auto" w:fill="auto"/>
            <w:vAlign w:val="center"/>
          </w:tcPr>
          <w:p w14:paraId="055BA960">
            <w:pPr>
              <w:pStyle w:val="163"/>
              <w:rPr>
                <w:rFonts w:hint="eastAsia" w:ascii="Times New Roman"/>
                <w:color w:val="auto"/>
                <w:kern w:val="0"/>
                <w:szCs w:val="21"/>
                <w:lang w:bidi="ar"/>
              </w:rPr>
            </w:pPr>
            <w:r>
              <w:rPr>
                <w:rFonts w:hint="eastAsia" w:ascii="Times New Roman"/>
                <w:color w:val="auto"/>
                <w:kern w:val="0"/>
                <w:szCs w:val="21"/>
                <w:lang w:val="en-US" w:eastAsia="zh-CN" w:bidi="ar"/>
              </w:rPr>
              <w:t>79</w:t>
            </w:r>
            <w:r>
              <w:rPr>
                <w:rFonts w:hint="eastAsia" w:ascii="Times New Roman"/>
                <w:color w:val="auto"/>
                <w:kern w:val="0"/>
                <w:szCs w:val="21"/>
                <w:lang w:bidi="ar"/>
              </w:rPr>
              <w:t>00</w:t>
            </w:r>
            <w:r>
              <w:rPr>
                <w:rFonts w:hint="eastAsia" w:ascii="Times New Roman"/>
                <w:color w:val="auto"/>
                <w:kern w:val="0"/>
                <w:szCs w:val="21"/>
                <w:lang w:val="en-US" w:eastAsia="zh-CN" w:bidi="ar"/>
              </w:rPr>
              <w:t>0</w:t>
            </w:r>
            <w:r>
              <w:rPr>
                <w:rFonts w:hint="eastAsia" w:ascii="Times New Roman"/>
                <w:color w:val="auto"/>
                <w:kern w:val="0"/>
                <w:szCs w:val="21"/>
                <w:lang w:bidi="ar"/>
              </w:rPr>
              <w:t>m</w:t>
            </w:r>
            <w:r>
              <w:rPr>
                <w:rFonts w:hint="eastAsia" w:ascii="Times New Roman"/>
                <w:color w:val="auto"/>
                <w:kern w:val="0"/>
                <w:szCs w:val="21"/>
                <w:vertAlign w:val="superscript"/>
                <w:lang w:bidi="ar"/>
              </w:rPr>
              <w:t>3</w:t>
            </w:r>
            <w:r>
              <w:rPr>
                <w:rFonts w:hint="eastAsia" w:ascii="Times New Roman"/>
                <w:color w:val="auto"/>
                <w:kern w:val="0"/>
                <w:szCs w:val="21"/>
                <w:lang w:bidi="ar"/>
              </w:rPr>
              <w:t>/h</w:t>
            </w:r>
          </w:p>
        </w:tc>
        <w:tc>
          <w:tcPr>
            <w:tcW w:w="347" w:type="pct"/>
            <w:tcBorders>
              <w:tl2br w:val="nil"/>
              <w:tr2bl w:val="nil"/>
            </w:tcBorders>
            <w:shd w:val="clear" w:color="auto" w:fill="auto"/>
            <w:vAlign w:val="center"/>
          </w:tcPr>
          <w:p w14:paraId="03892F9A">
            <w:pPr>
              <w:pStyle w:val="163"/>
              <w:rPr>
                <w:rFonts w:hint="eastAsia" w:ascii="Times New Roman" w:eastAsia="仿宋_GB2312"/>
                <w:color w:val="auto"/>
                <w:kern w:val="0"/>
                <w:szCs w:val="21"/>
                <w:lang w:val="en-US" w:eastAsia="zh-CN" w:bidi="ar"/>
              </w:rPr>
            </w:pPr>
            <w:r>
              <w:rPr>
                <w:rFonts w:hint="eastAsia" w:ascii="Times New Roman"/>
                <w:color w:val="auto"/>
                <w:kern w:val="0"/>
                <w:szCs w:val="21"/>
                <w:lang w:val="en-US" w:eastAsia="zh-CN" w:bidi="ar"/>
              </w:rPr>
              <w:t>1</w:t>
            </w:r>
          </w:p>
        </w:tc>
        <w:tc>
          <w:tcPr>
            <w:tcW w:w="348" w:type="pct"/>
            <w:tcBorders>
              <w:tl2br w:val="nil"/>
              <w:tr2bl w:val="nil"/>
            </w:tcBorders>
            <w:shd w:val="clear" w:color="auto" w:fill="auto"/>
            <w:vAlign w:val="center"/>
          </w:tcPr>
          <w:p w14:paraId="27A95F85">
            <w:pPr>
              <w:pStyle w:val="81"/>
              <w:spacing w:beforeAutospacing="0" w:afterAutospacing="0" w:line="320" w:lineRule="exact"/>
              <w:jc w:val="center"/>
              <w:rPr>
                <w:rFonts w:hint="default" w:eastAsia="仿宋_GB2312" w:hAnsiTheme="minorHAnsi"/>
                <w:color w:val="auto"/>
                <w:sz w:val="21"/>
                <w:szCs w:val="21"/>
                <w:lang w:val="en-US" w:eastAsia="zh-CN" w:bidi="ar"/>
              </w:rPr>
            </w:pPr>
            <w:r>
              <w:rPr>
                <w:rFonts w:hint="eastAsia" w:eastAsia="仿宋_GB2312" w:hAnsiTheme="minorHAnsi"/>
                <w:color w:val="auto"/>
                <w:sz w:val="21"/>
                <w:szCs w:val="21"/>
                <w:lang w:val="en-US" w:eastAsia="zh-CN" w:bidi="ar"/>
              </w:rPr>
              <w:t>45</w:t>
            </w:r>
          </w:p>
        </w:tc>
        <w:tc>
          <w:tcPr>
            <w:tcW w:w="342" w:type="pct"/>
            <w:tcBorders>
              <w:tl2br w:val="nil"/>
              <w:tr2bl w:val="nil"/>
            </w:tcBorders>
            <w:shd w:val="clear" w:color="auto" w:fill="auto"/>
            <w:vAlign w:val="center"/>
          </w:tcPr>
          <w:p w14:paraId="096D05ED">
            <w:pPr>
              <w:pStyle w:val="81"/>
              <w:spacing w:beforeAutospacing="0" w:afterAutospacing="0" w:line="320" w:lineRule="exact"/>
              <w:jc w:val="center"/>
              <w:rPr>
                <w:rFonts w:hint="default" w:eastAsia="仿宋_GB2312" w:hAnsiTheme="minorHAnsi"/>
                <w:color w:val="auto"/>
                <w:sz w:val="21"/>
                <w:szCs w:val="21"/>
                <w:lang w:val="en-US" w:eastAsia="zh-CN" w:bidi="ar"/>
              </w:rPr>
            </w:pPr>
            <w:r>
              <w:rPr>
                <w:rFonts w:hint="eastAsia" w:eastAsia="仿宋_GB2312" w:hAnsiTheme="minorHAnsi"/>
                <w:color w:val="auto"/>
                <w:sz w:val="21"/>
                <w:szCs w:val="21"/>
                <w:lang w:val="en-US" w:eastAsia="zh-CN" w:bidi="ar"/>
              </w:rPr>
              <w:t>63</w:t>
            </w:r>
          </w:p>
        </w:tc>
        <w:tc>
          <w:tcPr>
            <w:tcW w:w="348" w:type="pct"/>
            <w:tcBorders>
              <w:tl2br w:val="nil"/>
              <w:tr2bl w:val="nil"/>
            </w:tcBorders>
            <w:shd w:val="clear" w:color="auto" w:fill="auto"/>
            <w:vAlign w:val="center"/>
          </w:tcPr>
          <w:p w14:paraId="2B60B654">
            <w:pPr>
              <w:pStyle w:val="81"/>
              <w:spacing w:beforeAutospacing="0" w:afterAutospacing="0" w:line="320" w:lineRule="exact"/>
              <w:jc w:val="center"/>
              <w:rPr>
                <w:rFonts w:hint="eastAsia" w:eastAsia="仿宋_GB2312" w:hAnsiTheme="minorHAnsi"/>
                <w:color w:val="auto"/>
                <w:sz w:val="21"/>
                <w:szCs w:val="21"/>
                <w:lang w:bidi="ar"/>
              </w:rPr>
            </w:pPr>
            <w:r>
              <w:rPr>
                <w:rFonts w:hint="eastAsia" w:eastAsia="仿宋_GB2312" w:hAnsiTheme="minorHAnsi"/>
                <w:color w:val="auto"/>
                <w:sz w:val="21"/>
                <w:szCs w:val="21"/>
                <w:lang w:bidi="ar"/>
              </w:rPr>
              <w:t>0.5</w:t>
            </w:r>
          </w:p>
        </w:tc>
        <w:tc>
          <w:tcPr>
            <w:tcW w:w="394" w:type="pct"/>
            <w:tcBorders>
              <w:tl2br w:val="nil"/>
              <w:tr2bl w:val="nil"/>
            </w:tcBorders>
            <w:shd w:val="clear" w:color="auto" w:fill="auto"/>
            <w:vAlign w:val="center"/>
          </w:tcPr>
          <w:p w14:paraId="6FAA9874">
            <w:pPr>
              <w:pStyle w:val="81"/>
              <w:spacing w:beforeAutospacing="0" w:afterAutospacing="0" w:line="320" w:lineRule="exact"/>
              <w:ind w:left="0" w:leftChars="0" w:right="0" w:rightChars="0"/>
              <w:jc w:val="center"/>
              <w:rPr>
                <w:rFonts w:ascii="Times New Roman" w:eastAsia="仿宋_GB2312" w:cs="Times New Roman" w:hAnsiTheme="minorHAnsi"/>
                <w:color w:val="auto"/>
                <w:kern w:val="0"/>
                <w:sz w:val="21"/>
                <w:szCs w:val="21"/>
                <w:lang w:val="en-US" w:eastAsia="zh-CN" w:bidi="ar"/>
              </w:rPr>
            </w:pPr>
            <w:r>
              <w:rPr>
                <w:rFonts w:eastAsia="仿宋_GB2312" w:hAnsiTheme="minorHAnsi"/>
                <w:color w:val="auto"/>
                <w:sz w:val="21"/>
                <w:szCs w:val="21"/>
                <w:lang w:bidi="ar"/>
              </w:rPr>
              <w:t>8</w:t>
            </w:r>
            <w:r>
              <w:rPr>
                <w:rFonts w:hint="eastAsia" w:eastAsia="仿宋_GB2312" w:hAnsiTheme="minorHAnsi"/>
                <w:color w:val="auto"/>
                <w:sz w:val="21"/>
                <w:szCs w:val="21"/>
                <w:lang w:bidi="ar"/>
              </w:rPr>
              <w:t>0</w:t>
            </w:r>
          </w:p>
        </w:tc>
        <w:tc>
          <w:tcPr>
            <w:tcW w:w="518" w:type="pct"/>
            <w:tcBorders>
              <w:tl2br w:val="nil"/>
              <w:tr2bl w:val="nil"/>
            </w:tcBorders>
            <w:shd w:val="clear" w:color="auto" w:fill="auto"/>
            <w:vAlign w:val="center"/>
          </w:tcPr>
          <w:p w14:paraId="7A313FDC">
            <w:pPr>
              <w:pStyle w:val="163"/>
              <w:rPr>
                <w:rFonts w:ascii="Times New Roman" w:eastAsia="仿宋_GB2312" w:cs="Times New Roman" w:hAnsiTheme="minorHAnsi"/>
                <w:color w:val="auto"/>
                <w:kern w:val="0"/>
                <w:sz w:val="21"/>
                <w:szCs w:val="21"/>
                <w:lang w:val="en-US" w:eastAsia="zh-CN" w:bidi="ar"/>
              </w:rPr>
            </w:pPr>
            <w:r>
              <w:rPr>
                <w:rFonts w:ascii="Times New Roman" w:hAnsiTheme="minorHAnsi"/>
                <w:color w:val="auto"/>
                <w:kern w:val="0"/>
                <w:szCs w:val="21"/>
                <w:lang w:bidi="ar"/>
              </w:rPr>
              <w:t>隔声、减振</w:t>
            </w:r>
          </w:p>
        </w:tc>
        <w:tc>
          <w:tcPr>
            <w:tcW w:w="351" w:type="pct"/>
            <w:tcBorders>
              <w:tl2br w:val="nil"/>
              <w:tr2bl w:val="nil"/>
            </w:tcBorders>
            <w:shd w:val="clear" w:color="auto" w:fill="auto"/>
            <w:vAlign w:val="center"/>
          </w:tcPr>
          <w:p w14:paraId="7483072A">
            <w:pPr>
              <w:pStyle w:val="163"/>
              <w:rPr>
                <w:rFonts w:ascii="Times New Roman" w:eastAsia="仿宋_GB2312" w:cs="Times New Roman" w:hAnsiTheme="minorHAnsi"/>
                <w:color w:val="auto"/>
                <w:kern w:val="0"/>
                <w:sz w:val="21"/>
                <w:szCs w:val="21"/>
                <w:lang w:val="en-US" w:eastAsia="zh-CN" w:bidi="ar"/>
              </w:rPr>
            </w:pPr>
            <w:r>
              <w:rPr>
                <w:rFonts w:ascii="Times New Roman" w:hAnsiTheme="minorHAnsi"/>
                <w:color w:val="auto"/>
                <w:kern w:val="0"/>
                <w:szCs w:val="21"/>
                <w:lang w:bidi="ar"/>
              </w:rPr>
              <w:t>全天</w:t>
            </w:r>
          </w:p>
        </w:tc>
        <w:tc>
          <w:tcPr>
            <w:tcW w:w="470" w:type="pct"/>
            <w:tcBorders>
              <w:tl2br w:val="nil"/>
              <w:tr2bl w:val="nil"/>
            </w:tcBorders>
            <w:shd w:val="clear" w:color="auto" w:fill="auto"/>
            <w:vAlign w:val="center"/>
          </w:tcPr>
          <w:p w14:paraId="5FB54DB4">
            <w:pPr>
              <w:pStyle w:val="163"/>
              <w:rPr>
                <w:rFonts w:ascii="Times New Roman" w:eastAsia="仿宋_GB2312" w:cs="Times New Roman" w:hAnsiTheme="minorHAnsi"/>
                <w:color w:val="auto"/>
                <w:kern w:val="0"/>
                <w:sz w:val="21"/>
                <w:szCs w:val="21"/>
                <w:lang w:val="en-US" w:eastAsia="zh-CN" w:bidi="ar"/>
              </w:rPr>
            </w:pPr>
            <w:r>
              <w:rPr>
                <w:rFonts w:hint="eastAsia" w:eastAsia="仿宋_GB2312" w:hAnsiTheme="minorHAnsi"/>
                <w:color w:val="auto"/>
                <w:sz w:val="21"/>
                <w:szCs w:val="21"/>
                <w:lang w:val="en-US" w:eastAsia="zh-CN" w:bidi="ar"/>
              </w:rPr>
              <w:t>依托现有</w:t>
            </w:r>
          </w:p>
        </w:tc>
      </w:tr>
      <w:tr w14:paraId="28D935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241" w:type="pct"/>
            <w:tcBorders>
              <w:tl2br w:val="nil"/>
              <w:tr2bl w:val="nil"/>
            </w:tcBorders>
            <w:shd w:val="clear" w:color="auto" w:fill="auto"/>
            <w:vAlign w:val="center"/>
          </w:tcPr>
          <w:p w14:paraId="2B4B12B1">
            <w:pPr>
              <w:pStyle w:val="81"/>
              <w:spacing w:beforeAutospacing="0" w:afterAutospacing="0" w:line="320" w:lineRule="exact"/>
              <w:jc w:val="center"/>
              <w:rPr>
                <w:rFonts w:hint="default" w:ascii="Times New Roman" w:hAnsi="Times New Roman" w:eastAsia="仿宋_GB2312" w:cs="Times New Roman"/>
                <w:color w:val="auto"/>
                <w:sz w:val="21"/>
                <w:szCs w:val="21"/>
                <w:lang w:val="en-US" w:eastAsia="zh-CN" w:bidi="ar"/>
              </w:rPr>
            </w:pPr>
            <w:r>
              <w:rPr>
                <w:rFonts w:hint="default" w:ascii="Times New Roman" w:hAnsi="Times New Roman" w:eastAsia="仿宋_GB2312" w:cs="Times New Roman"/>
                <w:color w:val="auto"/>
                <w:sz w:val="21"/>
                <w:szCs w:val="21"/>
                <w:lang w:val="en-US" w:eastAsia="zh-CN" w:bidi="ar"/>
              </w:rPr>
              <w:t>4</w:t>
            </w:r>
          </w:p>
        </w:tc>
        <w:tc>
          <w:tcPr>
            <w:tcW w:w="601" w:type="pct"/>
            <w:tcBorders>
              <w:tl2br w:val="nil"/>
              <w:tr2bl w:val="nil"/>
            </w:tcBorders>
            <w:shd w:val="clear" w:color="auto" w:fill="auto"/>
            <w:vAlign w:val="center"/>
          </w:tcPr>
          <w:p w14:paraId="42E6F6EC">
            <w:pPr>
              <w:pStyle w:val="163"/>
              <w:rPr>
                <w:rFonts w:hint="default" w:ascii="Times New Roman" w:hAnsi="Times New Roman" w:cs="Times New Roman"/>
                <w:color w:val="auto"/>
              </w:rPr>
            </w:pPr>
            <w:r>
              <w:rPr>
                <w:rFonts w:hint="default" w:ascii="Times New Roman" w:hAnsi="Times New Roman" w:cs="Times New Roman"/>
                <w:color w:val="auto"/>
                <w:lang w:val="en-US" w:eastAsia="zh-CN"/>
              </w:rPr>
              <w:t>DA004排气筒</w:t>
            </w:r>
          </w:p>
        </w:tc>
        <w:tc>
          <w:tcPr>
            <w:tcW w:w="522" w:type="pct"/>
            <w:tcBorders>
              <w:tl2br w:val="nil"/>
              <w:tr2bl w:val="nil"/>
            </w:tcBorders>
            <w:shd w:val="clear" w:color="auto" w:fill="auto"/>
            <w:vAlign w:val="center"/>
          </w:tcPr>
          <w:p w14:paraId="571CCCD0">
            <w:pPr>
              <w:pStyle w:val="163"/>
              <w:rPr>
                <w:rFonts w:hint="eastAsia" w:hAnsi="仿宋"/>
                <w:color w:val="auto"/>
              </w:rPr>
            </w:pPr>
            <w:r>
              <w:rPr>
                <w:rFonts w:hint="eastAsia" w:hAnsi="仿宋"/>
                <w:color w:val="auto"/>
              </w:rPr>
              <w:t>风机</w:t>
            </w:r>
          </w:p>
        </w:tc>
        <w:tc>
          <w:tcPr>
            <w:tcW w:w="512" w:type="pct"/>
            <w:tcBorders>
              <w:tl2br w:val="nil"/>
              <w:tr2bl w:val="nil"/>
            </w:tcBorders>
            <w:shd w:val="clear" w:color="auto" w:fill="auto"/>
            <w:vAlign w:val="center"/>
          </w:tcPr>
          <w:p w14:paraId="316B2BB1">
            <w:pPr>
              <w:pStyle w:val="163"/>
              <w:rPr>
                <w:rFonts w:hint="eastAsia" w:ascii="Times New Roman"/>
                <w:color w:val="auto"/>
                <w:kern w:val="0"/>
                <w:szCs w:val="21"/>
                <w:lang w:bidi="ar"/>
              </w:rPr>
            </w:pPr>
            <w:r>
              <w:rPr>
                <w:rFonts w:hint="eastAsia" w:ascii="Times New Roman"/>
                <w:color w:val="auto"/>
                <w:kern w:val="0"/>
                <w:szCs w:val="21"/>
                <w:lang w:val="en-US" w:eastAsia="zh-CN" w:bidi="ar"/>
              </w:rPr>
              <w:t>60</w:t>
            </w:r>
            <w:r>
              <w:rPr>
                <w:rFonts w:hint="eastAsia" w:ascii="Times New Roman"/>
                <w:color w:val="auto"/>
                <w:kern w:val="0"/>
                <w:szCs w:val="21"/>
                <w:lang w:bidi="ar"/>
              </w:rPr>
              <w:t>00</w:t>
            </w:r>
            <w:r>
              <w:rPr>
                <w:rFonts w:hint="eastAsia" w:ascii="Times New Roman"/>
                <w:color w:val="auto"/>
                <w:kern w:val="0"/>
                <w:szCs w:val="21"/>
                <w:lang w:val="en-US" w:eastAsia="zh-CN" w:bidi="ar"/>
              </w:rPr>
              <w:t>0</w:t>
            </w:r>
            <w:r>
              <w:rPr>
                <w:rFonts w:hint="eastAsia" w:ascii="Times New Roman"/>
                <w:color w:val="auto"/>
                <w:kern w:val="0"/>
                <w:szCs w:val="21"/>
                <w:lang w:bidi="ar"/>
              </w:rPr>
              <w:t>m</w:t>
            </w:r>
            <w:r>
              <w:rPr>
                <w:rFonts w:hint="eastAsia" w:ascii="Times New Roman"/>
                <w:color w:val="auto"/>
                <w:kern w:val="0"/>
                <w:szCs w:val="21"/>
                <w:vertAlign w:val="superscript"/>
                <w:lang w:bidi="ar"/>
              </w:rPr>
              <w:t>3</w:t>
            </w:r>
            <w:r>
              <w:rPr>
                <w:rFonts w:hint="eastAsia" w:ascii="Times New Roman"/>
                <w:color w:val="auto"/>
                <w:kern w:val="0"/>
                <w:szCs w:val="21"/>
                <w:lang w:bidi="ar"/>
              </w:rPr>
              <w:t>/h</w:t>
            </w:r>
          </w:p>
        </w:tc>
        <w:tc>
          <w:tcPr>
            <w:tcW w:w="347" w:type="pct"/>
            <w:tcBorders>
              <w:tl2br w:val="nil"/>
              <w:tr2bl w:val="nil"/>
            </w:tcBorders>
            <w:shd w:val="clear" w:color="auto" w:fill="auto"/>
            <w:vAlign w:val="center"/>
          </w:tcPr>
          <w:p w14:paraId="74C67545">
            <w:pPr>
              <w:pStyle w:val="163"/>
              <w:rPr>
                <w:rFonts w:hint="eastAsia" w:ascii="Times New Roman" w:eastAsia="仿宋_GB2312"/>
                <w:color w:val="auto"/>
                <w:kern w:val="0"/>
                <w:szCs w:val="21"/>
                <w:lang w:val="en-US" w:eastAsia="zh-CN" w:bidi="ar"/>
              </w:rPr>
            </w:pPr>
            <w:r>
              <w:rPr>
                <w:rFonts w:hint="eastAsia" w:ascii="Times New Roman"/>
                <w:color w:val="auto"/>
                <w:kern w:val="0"/>
                <w:szCs w:val="21"/>
                <w:lang w:val="en-US" w:eastAsia="zh-CN" w:bidi="ar"/>
              </w:rPr>
              <w:t>1</w:t>
            </w:r>
          </w:p>
        </w:tc>
        <w:tc>
          <w:tcPr>
            <w:tcW w:w="348" w:type="pct"/>
            <w:tcBorders>
              <w:tl2br w:val="nil"/>
              <w:tr2bl w:val="nil"/>
            </w:tcBorders>
            <w:shd w:val="clear" w:color="auto" w:fill="auto"/>
            <w:vAlign w:val="center"/>
          </w:tcPr>
          <w:p w14:paraId="3557CB66">
            <w:pPr>
              <w:pStyle w:val="81"/>
              <w:spacing w:beforeAutospacing="0" w:afterAutospacing="0" w:line="320" w:lineRule="exact"/>
              <w:jc w:val="center"/>
              <w:rPr>
                <w:rFonts w:hint="default" w:eastAsia="仿宋_GB2312" w:hAnsiTheme="minorHAnsi"/>
                <w:color w:val="auto"/>
                <w:sz w:val="21"/>
                <w:szCs w:val="21"/>
                <w:lang w:val="en-US" w:eastAsia="zh-CN" w:bidi="ar"/>
              </w:rPr>
            </w:pPr>
            <w:r>
              <w:rPr>
                <w:rFonts w:hint="eastAsia" w:eastAsia="仿宋_GB2312" w:hAnsiTheme="minorHAnsi"/>
                <w:color w:val="auto"/>
                <w:sz w:val="21"/>
                <w:szCs w:val="21"/>
                <w:lang w:val="en-US" w:eastAsia="zh-CN" w:bidi="ar"/>
              </w:rPr>
              <w:t>68</w:t>
            </w:r>
          </w:p>
        </w:tc>
        <w:tc>
          <w:tcPr>
            <w:tcW w:w="342" w:type="pct"/>
            <w:tcBorders>
              <w:tl2br w:val="nil"/>
              <w:tr2bl w:val="nil"/>
            </w:tcBorders>
            <w:shd w:val="clear" w:color="auto" w:fill="auto"/>
            <w:vAlign w:val="center"/>
          </w:tcPr>
          <w:p w14:paraId="1D65F9F1">
            <w:pPr>
              <w:pStyle w:val="81"/>
              <w:spacing w:beforeAutospacing="0" w:afterAutospacing="0" w:line="320" w:lineRule="exact"/>
              <w:jc w:val="center"/>
              <w:rPr>
                <w:rFonts w:hint="default" w:eastAsia="仿宋_GB2312" w:hAnsiTheme="minorHAnsi"/>
                <w:color w:val="auto"/>
                <w:sz w:val="21"/>
                <w:szCs w:val="21"/>
                <w:lang w:val="en-US" w:eastAsia="zh-CN" w:bidi="ar"/>
              </w:rPr>
            </w:pPr>
            <w:r>
              <w:rPr>
                <w:rFonts w:hint="eastAsia" w:eastAsia="仿宋_GB2312" w:hAnsiTheme="minorHAnsi"/>
                <w:color w:val="auto"/>
                <w:sz w:val="21"/>
                <w:szCs w:val="21"/>
                <w:lang w:val="en-US" w:eastAsia="zh-CN" w:bidi="ar"/>
              </w:rPr>
              <w:t>101</w:t>
            </w:r>
          </w:p>
        </w:tc>
        <w:tc>
          <w:tcPr>
            <w:tcW w:w="348" w:type="pct"/>
            <w:tcBorders>
              <w:tl2br w:val="nil"/>
              <w:tr2bl w:val="nil"/>
            </w:tcBorders>
            <w:shd w:val="clear" w:color="auto" w:fill="auto"/>
            <w:vAlign w:val="center"/>
          </w:tcPr>
          <w:p w14:paraId="78604B04">
            <w:pPr>
              <w:pStyle w:val="81"/>
              <w:spacing w:beforeAutospacing="0" w:afterAutospacing="0" w:line="320" w:lineRule="exact"/>
              <w:jc w:val="center"/>
              <w:rPr>
                <w:rFonts w:hint="default" w:eastAsia="仿宋_GB2312" w:hAnsiTheme="minorHAnsi"/>
                <w:color w:val="auto"/>
                <w:sz w:val="21"/>
                <w:szCs w:val="21"/>
                <w:lang w:val="en-US" w:eastAsia="zh-CN" w:bidi="ar"/>
              </w:rPr>
            </w:pPr>
            <w:r>
              <w:rPr>
                <w:rFonts w:hint="eastAsia" w:eastAsia="仿宋_GB2312" w:hAnsiTheme="minorHAnsi"/>
                <w:color w:val="auto"/>
                <w:sz w:val="21"/>
                <w:szCs w:val="21"/>
                <w:lang w:val="en-US" w:eastAsia="zh-CN" w:bidi="ar"/>
              </w:rPr>
              <w:t>0.5</w:t>
            </w:r>
          </w:p>
        </w:tc>
        <w:tc>
          <w:tcPr>
            <w:tcW w:w="394" w:type="pct"/>
            <w:tcBorders>
              <w:tl2br w:val="nil"/>
              <w:tr2bl w:val="nil"/>
            </w:tcBorders>
            <w:shd w:val="clear" w:color="auto" w:fill="auto"/>
            <w:vAlign w:val="center"/>
          </w:tcPr>
          <w:p w14:paraId="166B75EB">
            <w:pPr>
              <w:pStyle w:val="163"/>
              <w:rPr>
                <w:rFonts w:ascii="Times New Roman" w:eastAsia="仿宋_GB2312" w:cs="Times New Roman" w:hAnsiTheme="minorHAnsi"/>
                <w:color w:val="auto"/>
                <w:kern w:val="0"/>
                <w:sz w:val="21"/>
                <w:szCs w:val="21"/>
                <w:lang w:val="en-US" w:eastAsia="zh-CN" w:bidi="ar"/>
              </w:rPr>
            </w:pPr>
            <w:r>
              <w:rPr>
                <w:rFonts w:ascii="Times New Roman" w:hAnsiTheme="minorHAnsi"/>
                <w:color w:val="auto"/>
                <w:kern w:val="0"/>
                <w:szCs w:val="21"/>
                <w:lang w:bidi="ar"/>
              </w:rPr>
              <w:t>8</w:t>
            </w:r>
            <w:r>
              <w:rPr>
                <w:rFonts w:hint="eastAsia" w:ascii="Times New Roman" w:hAnsiTheme="minorHAnsi"/>
                <w:color w:val="auto"/>
                <w:kern w:val="0"/>
                <w:szCs w:val="21"/>
                <w:lang w:bidi="ar"/>
              </w:rPr>
              <w:t>0</w:t>
            </w:r>
          </w:p>
        </w:tc>
        <w:tc>
          <w:tcPr>
            <w:tcW w:w="518" w:type="pct"/>
            <w:tcBorders>
              <w:tl2br w:val="nil"/>
              <w:tr2bl w:val="nil"/>
            </w:tcBorders>
            <w:shd w:val="clear" w:color="auto" w:fill="auto"/>
            <w:vAlign w:val="center"/>
          </w:tcPr>
          <w:p w14:paraId="1C57D1C6">
            <w:pPr>
              <w:pStyle w:val="81"/>
              <w:spacing w:beforeAutospacing="0" w:afterAutospacing="0" w:line="320" w:lineRule="exact"/>
              <w:ind w:left="0" w:leftChars="0" w:right="0" w:rightChars="0"/>
              <w:jc w:val="center"/>
              <w:rPr>
                <w:rFonts w:ascii="Times New Roman" w:eastAsia="仿宋_GB2312" w:cs="Times New Roman" w:hAnsiTheme="minorHAnsi"/>
                <w:color w:val="auto"/>
                <w:kern w:val="0"/>
                <w:sz w:val="21"/>
                <w:szCs w:val="21"/>
                <w:lang w:val="en-US" w:eastAsia="zh-CN" w:bidi="ar"/>
              </w:rPr>
            </w:pPr>
            <w:r>
              <w:rPr>
                <w:rFonts w:eastAsia="仿宋_GB2312" w:hAnsiTheme="minorHAnsi"/>
                <w:color w:val="auto"/>
                <w:sz w:val="21"/>
                <w:szCs w:val="21"/>
                <w:lang w:bidi="ar"/>
              </w:rPr>
              <w:t>隔声、减振</w:t>
            </w:r>
          </w:p>
        </w:tc>
        <w:tc>
          <w:tcPr>
            <w:tcW w:w="351" w:type="pct"/>
            <w:tcBorders>
              <w:tl2br w:val="nil"/>
              <w:tr2bl w:val="nil"/>
            </w:tcBorders>
            <w:shd w:val="clear" w:color="auto" w:fill="auto"/>
            <w:vAlign w:val="center"/>
          </w:tcPr>
          <w:p w14:paraId="74B4CACE">
            <w:pPr>
              <w:pStyle w:val="81"/>
              <w:spacing w:beforeAutospacing="0" w:afterAutospacing="0" w:line="320" w:lineRule="exact"/>
              <w:ind w:left="0" w:leftChars="0" w:right="0" w:rightChars="0"/>
              <w:jc w:val="center"/>
              <w:rPr>
                <w:rFonts w:ascii="Times New Roman" w:eastAsia="仿宋_GB2312" w:cs="Times New Roman" w:hAnsiTheme="minorHAnsi"/>
                <w:color w:val="auto"/>
                <w:kern w:val="0"/>
                <w:sz w:val="21"/>
                <w:szCs w:val="21"/>
                <w:lang w:val="en-US" w:eastAsia="zh-CN" w:bidi="ar"/>
              </w:rPr>
            </w:pPr>
            <w:r>
              <w:rPr>
                <w:rFonts w:eastAsia="仿宋_GB2312" w:hAnsiTheme="minorHAnsi"/>
                <w:color w:val="auto"/>
                <w:sz w:val="21"/>
                <w:szCs w:val="21"/>
                <w:lang w:bidi="ar"/>
              </w:rPr>
              <w:t>全天</w:t>
            </w:r>
          </w:p>
        </w:tc>
        <w:tc>
          <w:tcPr>
            <w:tcW w:w="470" w:type="pct"/>
            <w:tcBorders>
              <w:tl2br w:val="nil"/>
              <w:tr2bl w:val="nil"/>
            </w:tcBorders>
            <w:shd w:val="clear" w:color="auto" w:fill="auto"/>
            <w:vAlign w:val="center"/>
          </w:tcPr>
          <w:p w14:paraId="0276B8DE">
            <w:pPr>
              <w:pStyle w:val="81"/>
              <w:spacing w:beforeAutospacing="0" w:afterAutospacing="0" w:line="320" w:lineRule="exact"/>
              <w:ind w:left="0" w:leftChars="0" w:right="0" w:rightChars="0"/>
              <w:jc w:val="center"/>
              <w:rPr>
                <w:rFonts w:hint="eastAsia" w:ascii="Times New Roman" w:eastAsia="仿宋_GB2312" w:cs="Times New Roman" w:hAnsiTheme="minorHAnsi"/>
                <w:color w:val="auto"/>
                <w:kern w:val="0"/>
                <w:sz w:val="21"/>
                <w:szCs w:val="21"/>
                <w:lang w:val="en-US" w:eastAsia="zh-CN" w:bidi="ar"/>
              </w:rPr>
            </w:pPr>
            <w:r>
              <w:rPr>
                <w:rFonts w:hint="eastAsia" w:eastAsia="仿宋_GB2312" w:hAnsiTheme="minorHAnsi"/>
                <w:color w:val="auto"/>
                <w:sz w:val="21"/>
                <w:szCs w:val="21"/>
                <w:lang w:val="en-US" w:eastAsia="zh-CN" w:bidi="ar"/>
              </w:rPr>
              <w:t>依托现有</w:t>
            </w:r>
          </w:p>
        </w:tc>
      </w:tr>
      <w:tr w14:paraId="41EE52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241" w:type="pct"/>
            <w:tcBorders>
              <w:tl2br w:val="nil"/>
              <w:tr2bl w:val="nil"/>
            </w:tcBorders>
            <w:shd w:val="clear" w:color="auto" w:fill="auto"/>
            <w:vAlign w:val="center"/>
          </w:tcPr>
          <w:p w14:paraId="00741094">
            <w:pPr>
              <w:pStyle w:val="81"/>
              <w:spacing w:beforeAutospacing="0" w:afterAutospacing="0" w:line="320" w:lineRule="exact"/>
              <w:jc w:val="center"/>
              <w:rPr>
                <w:rFonts w:hint="default" w:ascii="Times New Roman" w:hAnsi="Times New Roman" w:eastAsia="仿宋_GB2312" w:cs="Times New Roman"/>
                <w:color w:val="auto"/>
                <w:sz w:val="21"/>
                <w:szCs w:val="21"/>
                <w:lang w:val="en-US" w:eastAsia="zh-CN" w:bidi="ar"/>
              </w:rPr>
            </w:pPr>
            <w:r>
              <w:rPr>
                <w:rFonts w:hint="default" w:ascii="Times New Roman" w:hAnsi="Times New Roman" w:eastAsia="仿宋_GB2312" w:cs="Times New Roman"/>
                <w:color w:val="auto"/>
                <w:sz w:val="21"/>
                <w:szCs w:val="21"/>
                <w:lang w:val="en-US" w:eastAsia="zh-CN" w:bidi="ar"/>
              </w:rPr>
              <w:t>5</w:t>
            </w:r>
          </w:p>
        </w:tc>
        <w:tc>
          <w:tcPr>
            <w:tcW w:w="601" w:type="pct"/>
            <w:tcBorders>
              <w:tl2br w:val="nil"/>
              <w:tr2bl w:val="nil"/>
            </w:tcBorders>
            <w:shd w:val="clear" w:color="auto" w:fill="auto"/>
            <w:vAlign w:val="center"/>
          </w:tcPr>
          <w:p w14:paraId="410625BD">
            <w:pPr>
              <w:pStyle w:val="163"/>
              <w:rPr>
                <w:rFonts w:hint="default" w:ascii="Times New Roman" w:hAnsi="Times New Roman" w:cs="Times New Roman"/>
                <w:color w:val="auto"/>
              </w:rPr>
            </w:pPr>
            <w:r>
              <w:rPr>
                <w:rFonts w:hint="default" w:ascii="Times New Roman" w:hAnsi="Times New Roman" w:cs="Times New Roman"/>
                <w:color w:val="auto"/>
                <w:lang w:val="en-US" w:eastAsia="zh-CN"/>
              </w:rPr>
              <w:t>DA005排气筒</w:t>
            </w:r>
          </w:p>
        </w:tc>
        <w:tc>
          <w:tcPr>
            <w:tcW w:w="522" w:type="pct"/>
            <w:tcBorders>
              <w:tl2br w:val="nil"/>
              <w:tr2bl w:val="nil"/>
            </w:tcBorders>
            <w:shd w:val="clear" w:color="auto" w:fill="auto"/>
            <w:vAlign w:val="center"/>
          </w:tcPr>
          <w:p w14:paraId="0181653C">
            <w:pPr>
              <w:pStyle w:val="163"/>
              <w:rPr>
                <w:rFonts w:hint="eastAsia" w:hAnsi="仿宋"/>
                <w:color w:val="auto"/>
              </w:rPr>
            </w:pPr>
            <w:r>
              <w:rPr>
                <w:rFonts w:hint="eastAsia" w:hAnsi="仿宋"/>
                <w:color w:val="auto"/>
              </w:rPr>
              <w:t>风机</w:t>
            </w:r>
          </w:p>
        </w:tc>
        <w:tc>
          <w:tcPr>
            <w:tcW w:w="512" w:type="pct"/>
            <w:tcBorders>
              <w:tl2br w:val="nil"/>
              <w:tr2bl w:val="nil"/>
            </w:tcBorders>
            <w:shd w:val="clear" w:color="auto" w:fill="auto"/>
            <w:vAlign w:val="center"/>
          </w:tcPr>
          <w:p w14:paraId="594E9CA0">
            <w:pPr>
              <w:pStyle w:val="163"/>
              <w:rPr>
                <w:rFonts w:hint="eastAsia" w:ascii="Times New Roman"/>
                <w:color w:val="auto"/>
                <w:kern w:val="0"/>
                <w:szCs w:val="21"/>
                <w:lang w:bidi="ar"/>
              </w:rPr>
            </w:pPr>
            <w:r>
              <w:rPr>
                <w:rFonts w:hint="eastAsia" w:ascii="Times New Roman"/>
                <w:color w:val="auto"/>
                <w:kern w:val="0"/>
                <w:szCs w:val="21"/>
                <w:lang w:val="en-US" w:eastAsia="zh-CN" w:bidi="ar"/>
              </w:rPr>
              <w:t>38</w:t>
            </w:r>
            <w:r>
              <w:rPr>
                <w:rFonts w:hint="eastAsia" w:ascii="Times New Roman"/>
                <w:color w:val="auto"/>
                <w:kern w:val="0"/>
                <w:szCs w:val="21"/>
                <w:lang w:bidi="ar"/>
              </w:rPr>
              <w:t>00</w:t>
            </w:r>
            <w:r>
              <w:rPr>
                <w:rFonts w:hint="eastAsia" w:ascii="Times New Roman"/>
                <w:color w:val="auto"/>
                <w:kern w:val="0"/>
                <w:szCs w:val="21"/>
                <w:lang w:val="en-US" w:eastAsia="zh-CN" w:bidi="ar"/>
              </w:rPr>
              <w:t>0</w:t>
            </w:r>
            <w:r>
              <w:rPr>
                <w:rFonts w:hint="eastAsia" w:ascii="Times New Roman"/>
                <w:color w:val="auto"/>
                <w:kern w:val="0"/>
                <w:szCs w:val="21"/>
                <w:lang w:bidi="ar"/>
              </w:rPr>
              <w:t>m</w:t>
            </w:r>
            <w:r>
              <w:rPr>
                <w:rFonts w:hint="eastAsia" w:ascii="Times New Roman"/>
                <w:color w:val="auto"/>
                <w:kern w:val="0"/>
                <w:szCs w:val="21"/>
                <w:vertAlign w:val="superscript"/>
                <w:lang w:bidi="ar"/>
              </w:rPr>
              <w:t>3</w:t>
            </w:r>
            <w:r>
              <w:rPr>
                <w:rFonts w:hint="eastAsia" w:ascii="Times New Roman"/>
                <w:color w:val="auto"/>
                <w:kern w:val="0"/>
                <w:szCs w:val="21"/>
                <w:lang w:bidi="ar"/>
              </w:rPr>
              <w:t>/h</w:t>
            </w:r>
          </w:p>
        </w:tc>
        <w:tc>
          <w:tcPr>
            <w:tcW w:w="347" w:type="pct"/>
            <w:tcBorders>
              <w:tl2br w:val="nil"/>
              <w:tr2bl w:val="nil"/>
            </w:tcBorders>
            <w:shd w:val="clear" w:color="auto" w:fill="auto"/>
            <w:vAlign w:val="center"/>
          </w:tcPr>
          <w:p w14:paraId="52757C0D">
            <w:pPr>
              <w:pStyle w:val="163"/>
              <w:rPr>
                <w:rFonts w:hint="eastAsia" w:ascii="Times New Roman" w:eastAsia="仿宋_GB2312"/>
                <w:color w:val="auto"/>
                <w:kern w:val="0"/>
                <w:szCs w:val="21"/>
                <w:lang w:val="en-US" w:eastAsia="zh-CN" w:bidi="ar"/>
              </w:rPr>
            </w:pPr>
            <w:r>
              <w:rPr>
                <w:rFonts w:hint="eastAsia" w:ascii="Times New Roman"/>
                <w:color w:val="auto"/>
                <w:kern w:val="0"/>
                <w:szCs w:val="21"/>
                <w:lang w:val="en-US" w:eastAsia="zh-CN" w:bidi="ar"/>
              </w:rPr>
              <w:t>1</w:t>
            </w:r>
          </w:p>
        </w:tc>
        <w:tc>
          <w:tcPr>
            <w:tcW w:w="348" w:type="pct"/>
            <w:tcBorders>
              <w:tl2br w:val="nil"/>
              <w:tr2bl w:val="nil"/>
            </w:tcBorders>
            <w:shd w:val="clear" w:color="auto" w:fill="auto"/>
            <w:vAlign w:val="center"/>
          </w:tcPr>
          <w:p w14:paraId="1992A976">
            <w:pPr>
              <w:pStyle w:val="81"/>
              <w:spacing w:beforeAutospacing="0" w:afterAutospacing="0" w:line="320" w:lineRule="exact"/>
              <w:jc w:val="center"/>
              <w:rPr>
                <w:rFonts w:hint="default" w:eastAsia="仿宋_GB2312" w:hAnsiTheme="minorHAnsi"/>
                <w:color w:val="auto"/>
                <w:sz w:val="21"/>
                <w:szCs w:val="21"/>
                <w:lang w:val="en-US" w:eastAsia="zh-CN" w:bidi="ar"/>
              </w:rPr>
            </w:pPr>
            <w:r>
              <w:rPr>
                <w:rFonts w:hint="eastAsia" w:eastAsia="仿宋_GB2312" w:hAnsiTheme="minorHAnsi"/>
                <w:color w:val="auto"/>
                <w:sz w:val="21"/>
                <w:szCs w:val="21"/>
                <w:lang w:val="en-US" w:eastAsia="zh-CN" w:bidi="ar"/>
              </w:rPr>
              <w:t>168</w:t>
            </w:r>
          </w:p>
        </w:tc>
        <w:tc>
          <w:tcPr>
            <w:tcW w:w="342" w:type="pct"/>
            <w:tcBorders>
              <w:tl2br w:val="nil"/>
              <w:tr2bl w:val="nil"/>
            </w:tcBorders>
            <w:shd w:val="clear" w:color="auto" w:fill="auto"/>
            <w:vAlign w:val="center"/>
          </w:tcPr>
          <w:p w14:paraId="088AB90D">
            <w:pPr>
              <w:pStyle w:val="81"/>
              <w:spacing w:beforeAutospacing="0" w:afterAutospacing="0" w:line="320" w:lineRule="exact"/>
              <w:jc w:val="center"/>
              <w:rPr>
                <w:rFonts w:hint="default" w:eastAsia="仿宋_GB2312" w:hAnsiTheme="minorHAnsi"/>
                <w:color w:val="auto"/>
                <w:sz w:val="21"/>
                <w:szCs w:val="21"/>
                <w:lang w:val="en-US" w:eastAsia="zh-CN" w:bidi="ar"/>
              </w:rPr>
            </w:pPr>
            <w:r>
              <w:rPr>
                <w:rFonts w:hint="eastAsia" w:eastAsia="仿宋_GB2312" w:hAnsiTheme="minorHAnsi"/>
                <w:color w:val="auto"/>
                <w:sz w:val="21"/>
                <w:szCs w:val="21"/>
                <w:lang w:val="en-US" w:eastAsia="zh-CN" w:bidi="ar"/>
              </w:rPr>
              <w:t>87</w:t>
            </w:r>
          </w:p>
        </w:tc>
        <w:tc>
          <w:tcPr>
            <w:tcW w:w="348" w:type="pct"/>
            <w:tcBorders>
              <w:tl2br w:val="nil"/>
              <w:tr2bl w:val="nil"/>
            </w:tcBorders>
            <w:shd w:val="clear" w:color="auto" w:fill="auto"/>
            <w:vAlign w:val="center"/>
          </w:tcPr>
          <w:p w14:paraId="43872D48">
            <w:pPr>
              <w:pStyle w:val="81"/>
              <w:spacing w:beforeAutospacing="0" w:afterAutospacing="0" w:line="320" w:lineRule="exact"/>
              <w:jc w:val="center"/>
              <w:rPr>
                <w:rFonts w:hint="eastAsia" w:eastAsia="仿宋_GB2312" w:hAnsiTheme="minorHAnsi"/>
                <w:color w:val="auto"/>
                <w:sz w:val="21"/>
                <w:szCs w:val="21"/>
                <w:lang w:bidi="ar"/>
              </w:rPr>
            </w:pPr>
            <w:r>
              <w:rPr>
                <w:rFonts w:hint="eastAsia" w:eastAsia="仿宋_GB2312" w:hAnsiTheme="minorHAnsi"/>
                <w:color w:val="auto"/>
                <w:sz w:val="21"/>
                <w:szCs w:val="21"/>
                <w:lang w:val="en-US" w:eastAsia="zh-CN" w:bidi="ar"/>
              </w:rPr>
              <w:t>0.5</w:t>
            </w:r>
          </w:p>
        </w:tc>
        <w:tc>
          <w:tcPr>
            <w:tcW w:w="394" w:type="pct"/>
            <w:tcBorders>
              <w:tl2br w:val="nil"/>
              <w:tr2bl w:val="nil"/>
            </w:tcBorders>
            <w:shd w:val="clear" w:color="auto" w:fill="auto"/>
            <w:vAlign w:val="center"/>
          </w:tcPr>
          <w:p w14:paraId="6F5B622C">
            <w:pPr>
              <w:pStyle w:val="81"/>
              <w:spacing w:beforeAutospacing="0" w:afterAutospacing="0" w:line="320" w:lineRule="exact"/>
              <w:ind w:left="0" w:leftChars="0" w:right="0" w:rightChars="0"/>
              <w:jc w:val="center"/>
              <w:rPr>
                <w:rFonts w:ascii="Times New Roman" w:eastAsia="仿宋_GB2312" w:cs="Times New Roman" w:hAnsiTheme="minorHAnsi"/>
                <w:color w:val="auto"/>
                <w:kern w:val="0"/>
                <w:sz w:val="21"/>
                <w:szCs w:val="21"/>
                <w:lang w:val="en-US" w:eastAsia="zh-CN" w:bidi="ar"/>
              </w:rPr>
            </w:pPr>
            <w:r>
              <w:rPr>
                <w:rFonts w:eastAsia="仿宋_GB2312" w:hAnsiTheme="minorHAnsi"/>
                <w:color w:val="auto"/>
                <w:sz w:val="21"/>
                <w:szCs w:val="21"/>
                <w:lang w:bidi="ar"/>
              </w:rPr>
              <w:t>8</w:t>
            </w:r>
            <w:r>
              <w:rPr>
                <w:rFonts w:hint="eastAsia" w:eastAsia="仿宋_GB2312" w:hAnsiTheme="minorHAnsi"/>
                <w:color w:val="auto"/>
                <w:sz w:val="21"/>
                <w:szCs w:val="21"/>
                <w:lang w:bidi="ar"/>
              </w:rPr>
              <w:t>0</w:t>
            </w:r>
          </w:p>
        </w:tc>
        <w:tc>
          <w:tcPr>
            <w:tcW w:w="518" w:type="pct"/>
            <w:tcBorders>
              <w:tl2br w:val="nil"/>
              <w:tr2bl w:val="nil"/>
            </w:tcBorders>
            <w:shd w:val="clear" w:color="auto" w:fill="auto"/>
            <w:vAlign w:val="center"/>
          </w:tcPr>
          <w:p w14:paraId="7F54F15A">
            <w:pPr>
              <w:pStyle w:val="163"/>
              <w:rPr>
                <w:rFonts w:ascii="Times New Roman" w:eastAsia="仿宋_GB2312" w:cs="Times New Roman" w:hAnsiTheme="minorHAnsi"/>
                <w:color w:val="auto"/>
                <w:kern w:val="0"/>
                <w:sz w:val="21"/>
                <w:szCs w:val="21"/>
                <w:lang w:val="en-US" w:eastAsia="zh-CN" w:bidi="ar"/>
              </w:rPr>
            </w:pPr>
            <w:r>
              <w:rPr>
                <w:rFonts w:ascii="Times New Roman" w:hAnsiTheme="minorHAnsi"/>
                <w:color w:val="auto"/>
                <w:kern w:val="0"/>
                <w:szCs w:val="21"/>
                <w:lang w:bidi="ar"/>
              </w:rPr>
              <w:t>隔声、减振</w:t>
            </w:r>
          </w:p>
        </w:tc>
        <w:tc>
          <w:tcPr>
            <w:tcW w:w="351" w:type="pct"/>
            <w:tcBorders>
              <w:tl2br w:val="nil"/>
              <w:tr2bl w:val="nil"/>
            </w:tcBorders>
            <w:shd w:val="clear" w:color="auto" w:fill="auto"/>
            <w:vAlign w:val="center"/>
          </w:tcPr>
          <w:p w14:paraId="36478602">
            <w:pPr>
              <w:pStyle w:val="163"/>
              <w:rPr>
                <w:rFonts w:ascii="Times New Roman" w:eastAsia="仿宋_GB2312" w:cs="Times New Roman" w:hAnsiTheme="minorHAnsi"/>
                <w:color w:val="auto"/>
                <w:kern w:val="0"/>
                <w:sz w:val="21"/>
                <w:szCs w:val="21"/>
                <w:lang w:val="en-US" w:eastAsia="zh-CN" w:bidi="ar"/>
              </w:rPr>
            </w:pPr>
            <w:r>
              <w:rPr>
                <w:rFonts w:ascii="Times New Roman" w:hAnsiTheme="minorHAnsi"/>
                <w:color w:val="auto"/>
                <w:kern w:val="0"/>
                <w:szCs w:val="21"/>
                <w:lang w:bidi="ar"/>
              </w:rPr>
              <w:t>全天</w:t>
            </w:r>
          </w:p>
        </w:tc>
        <w:tc>
          <w:tcPr>
            <w:tcW w:w="470" w:type="pct"/>
            <w:tcBorders>
              <w:tl2br w:val="nil"/>
              <w:tr2bl w:val="nil"/>
            </w:tcBorders>
            <w:shd w:val="clear" w:color="auto" w:fill="auto"/>
            <w:vAlign w:val="center"/>
          </w:tcPr>
          <w:p w14:paraId="7DD732C5">
            <w:pPr>
              <w:pStyle w:val="163"/>
              <w:rPr>
                <w:rFonts w:ascii="Times New Roman" w:eastAsia="仿宋_GB2312" w:cs="Times New Roman" w:hAnsiTheme="minorHAnsi"/>
                <w:color w:val="auto"/>
                <w:kern w:val="0"/>
                <w:sz w:val="21"/>
                <w:szCs w:val="21"/>
                <w:lang w:val="en-US" w:eastAsia="zh-CN" w:bidi="ar"/>
              </w:rPr>
            </w:pPr>
            <w:r>
              <w:rPr>
                <w:rFonts w:hint="eastAsia" w:eastAsia="仿宋_GB2312" w:hAnsiTheme="minorHAnsi"/>
                <w:color w:val="auto"/>
                <w:sz w:val="21"/>
                <w:szCs w:val="21"/>
                <w:lang w:val="en-US" w:eastAsia="zh-CN" w:bidi="ar"/>
              </w:rPr>
              <w:t>依托现有</w:t>
            </w:r>
          </w:p>
        </w:tc>
      </w:tr>
    </w:tbl>
    <w:p w14:paraId="5140CE64">
      <w:pPr>
        <w:snapToGrid w:val="0"/>
        <w:spacing w:line="320" w:lineRule="exact"/>
        <w:jc w:val="left"/>
        <w:rPr>
          <w:rFonts w:eastAsia="仿宋_GB2312"/>
          <w:b/>
          <w:bCs/>
          <w:color w:val="auto"/>
          <w:sz w:val="24"/>
        </w:rPr>
      </w:pPr>
      <w:r>
        <w:rPr>
          <w:rFonts w:hint="eastAsia" w:eastAsia="仿宋_GB2312"/>
          <w:color w:val="auto"/>
          <w:szCs w:val="21"/>
          <w:lang w:bidi="ar"/>
        </w:rPr>
        <w:t>备注：以西厂区西南角为原点建立模型坐标系，取东西向为X坐标轴、南北向为Y坐标轴。</w:t>
      </w:r>
    </w:p>
    <w:p w14:paraId="1C076DCD">
      <w:pPr>
        <w:spacing w:line="500" w:lineRule="exact"/>
        <w:jc w:val="center"/>
        <w:rPr>
          <w:rFonts w:eastAsia="仿宋_GB2312"/>
          <w:b/>
          <w:color w:val="auto"/>
          <w:sz w:val="24"/>
        </w:rPr>
      </w:pPr>
      <w:r>
        <w:rPr>
          <w:rFonts w:hint="eastAsia" w:eastAsia="仿宋_GB2312"/>
          <w:b/>
          <w:color w:val="auto"/>
          <w:sz w:val="24"/>
        </w:rPr>
        <w:t>表</w:t>
      </w:r>
      <w:r>
        <w:rPr>
          <w:rFonts w:eastAsia="仿宋_GB2312"/>
          <w:b/>
          <w:color w:val="auto"/>
          <w:sz w:val="24"/>
        </w:rPr>
        <w:t>3.</w:t>
      </w:r>
      <w:r>
        <w:rPr>
          <w:rFonts w:hint="eastAsia" w:eastAsia="仿宋_GB2312"/>
          <w:b/>
          <w:color w:val="auto"/>
          <w:sz w:val="24"/>
          <w:lang w:val="en-US" w:eastAsia="zh-CN"/>
        </w:rPr>
        <w:t>6-12</w:t>
      </w:r>
      <w:r>
        <w:rPr>
          <w:rFonts w:eastAsia="仿宋_GB2312"/>
          <w:b/>
          <w:color w:val="auto"/>
          <w:sz w:val="24"/>
        </w:rPr>
        <w:t xml:space="preserve">  </w:t>
      </w:r>
      <w:r>
        <w:rPr>
          <w:rFonts w:hint="eastAsia" w:eastAsia="仿宋_GB2312"/>
          <w:b/>
          <w:color w:val="auto"/>
          <w:sz w:val="24"/>
        </w:rPr>
        <w:t>本项目噪声源强调查清单（室内声源）</w:t>
      </w:r>
    </w:p>
    <w:tbl>
      <w:tblPr>
        <w:tblStyle w:val="882"/>
        <w:tblW w:w="547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57" w:type="dxa"/>
          <w:bottom w:w="0" w:type="dxa"/>
          <w:right w:w="57" w:type="dxa"/>
        </w:tblCellMar>
      </w:tblPr>
      <w:tblGrid>
        <w:gridCol w:w="567"/>
        <w:gridCol w:w="1090"/>
        <w:gridCol w:w="1434"/>
        <w:gridCol w:w="1270"/>
        <w:gridCol w:w="735"/>
        <w:gridCol w:w="689"/>
        <w:gridCol w:w="641"/>
        <w:gridCol w:w="627"/>
        <w:gridCol w:w="757"/>
        <w:gridCol w:w="834"/>
        <w:gridCol w:w="786"/>
        <w:gridCol w:w="819"/>
        <w:gridCol w:w="786"/>
        <w:gridCol w:w="908"/>
        <w:gridCol w:w="763"/>
        <w:gridCol w:w="837"/>
        <w:gridCol w:w="973"/>
      </w:tblGrid>
      <w:tr w14:paraId="688D88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195" w:type="pct"/>
            <w:vMerge w:val="restart"/>
            <w:tcBorders>
              <w:tl2br w:val="nil"/>
              <w:tr2bl w:val="nil"/>
            </w:tcBorders>
            <w:shd w:val="clear" w:color="auto" w:fill="auto"/>
            <w:tcMar>
              <w:top w:w="0" w:type="dxa"/>
              <w:left w:w="0" w:type="dxa"/>
              <w:bottom w:w="0" w:type="dxa"/>
              <w:right w:w="0" w:type="dxa"/>
            </w:tcMar>
            <w:vAlign w:val="center"/>
          </w:tcPr>
          <w:p w14:paraId="1FF7AB08">
            <w:pPr>
              <w:pStyle w:val="81"/>
              <w:spacing w:beforeAutospacing="0" w:afterAutospacing="0" w:line="320" w:lineRule="exact"/>
              <w:jc w:val="center"/>
              <w:rPr>
                <w:rFonts w:eastAsia="仿宋_GB2312"/>
                <w:b/>
                <w:bCs/>
                <w:color w:val="auto"/>
                <w:sz w:val="21"/>
                <w:szCs w:val="21"/>
              </w:rPr>
            </w:pPr>
            <w:r>
              <w:rPr>
                <w:rFonts w:eastAsia="仿宋_GB2312"/>
                <w:b/>
                <w:bCs/>
                <w:color w:val="auto"/>
                <w:sz w:val="21"/>
                <w:szCs w:val="21"/>
                <w:lang w:bidi="ar"/>
              </w:rPr>
              <w:t>序号</w:t>
            </w:r>
          </w:p>
        </w:tc>
        <w:tc>
          <w:tcPr>
            <w:tcW w:w="375" w:type="pct"/>
            <w:vMerge w:val="restart"/>
            <w:tcBorders>
              <w:tl2br w:val="nil"/>
              <w:tr2bl w:val="nil"/>
            </w:tcBorders>
            <w:shd w:val="clear" w:color="auto" w:fill="auto"/>
            <w:tcMar>
              <w:top w:w="0" w:type="dxa"/>
              <w:left w:w="0" w:type="dxa"/>
              <w:bottom w:w="0" w:type="dxa"/>
              <w:right w:w="0" w:type="dxa"/>
            </w:tcMar>
            <w:vAlign w:val="center"/>
          </w:tcPr>
          <w:p w14:paraId="546C6003">
            <w:pPr>
              <w:pStyle w:val="81"/>
              <w:spacing w:beforeAutospacing="0" w:afterAutospacing="0" w:line="320" w:lineRule="exact"/>
              <w:jc w:val="center"/>
              <w:rPr>
                <w:rFonts w:eastAsia="仿宋_GB2312"/>
                <w:b/>
                <w:bCs/>
                <w:color w:val="auto"/>
                <w:sz w:val="21"/>
                <w:szCs w:val="21"/>
              </w:rPr>
            </w:pPr>
            <w:r>
              <w:rPr>
                <w:rFonts w:eastAsia="仿宋_GB2312"/>
                <w:b/>
                <w:bCs/>
                <w:color w:val="auto"/>
                <w:sz w:val="21"/>
                <w:szCs w:val="21"/>
                <w:lang w:bidi="ar"/>
              </w:rPr>
              <w:t>建筑物名称</w:t>
            </w:r>
          </w:p>
        </w:tc>
        <w:tc>
          <w:tcPr>
            <w:tcW w:w="493" w:type="pct"/>
            <w:vMerge w:val="restart"/>
            <w:tcBorders>
              <w:tl2br w:val="nil"/>
              <w:tr2bl w:val="nil"/>
            </w:tcBorders>
            <w:shd w:val="clear" w:color="auto" w:fill="auto"/>
            <w:tcMar>
              <w:top w:w="0" w:type="dxa"/>
              <w:left w:w="0" w:type="dxa"/>
              <w:bottom w:w="0" w:type="dxa"/>
              <w:right w:w="0" w:type="dxa"/>
            </w:tcMar>
            <w:vAlign w:val="center"/>
          </w:tcPr>
          <w:p w14:paraId="629727C1">
            <w:pPr>
              <w:pStyle w:val="81"/>
              <w:spacing w:beforeAutospacing="0" w:afterAutospacing="0" w:line="320" w:lineRule="exact"/>
              <w:jc w:val="center"/>
              <w:rPr>
                <w:rFonts w:eastAsia="仿宋_GB2312"/>
                <w:b/>
                <w:bCs/>
                <w:color w:val="auto"/>
                <w:sz w:val="21"/>
                <w:szCs w:val="21"/>
              </w:rPr>
            </w:pPr>
            <w:r>
              <w:rPr>
                <w:rFonts w:eastAsia="仿宋_GB2312"/>
                <w:b/>
                <w:bCs/>
                <w:color w:val="auto"/>
                <w:sz w:val="21"/>
                <w:szCs w:val="21"/>
                <w:lang w:bidi="ar"/>
              </w:rPr>
              <w:t>声源名称</w:t>
            </w:r>
          </w:p>
        </w:tc>
        <w:tc>
          <w:tcPr>
            <w:tcW w:w="437" w:type="pct"/>
            <w:vMerge w:val="restart"/>
            <w:tcBorders>
              <w:tl2br w:val="nil"/>
              <w:tr2bl w:val="nil"/>
            </w:tcBorders>
            <w:shd w:val="clear" w:color="auto" w:fill="auto"/>
            <w:tcMar>
              <w:top w:w="0" w:type="dxa"/>
              <w:left w:w="0" w:type="dxa"/>
              <w:bottom w:w="0" w:type="dxa"/>
              <w:right w:w="0" w:type="dxa"/>
            </w:tcMar>
            <w:vAlign w:val="center"/>
          </w:tcPr>
          <w:p w14:paraId="35553ED3">
            <w:pPr>
              <w:pStyle w:val="81"/>
              <w:spacing w:beforeAutospacing="0" w:afterAutospacing="0" w:line="320" w:lineRule="exact"/>
              <w:jc w:val="center"/>
              <w:rPr>
                <w:rFonts w:eastAsia="仿宋_GB2312"/>
                <w:b/>
                <w:bCs/>
                <w:color w:val="auto"/>
                <w:sz w:val="21"/>
                <w:szCs w:val="21"/>
              </w:rPr>
            </w:pPr>
            <w:r>
              <w:rPr>
                <w:rFonts w:eastAsia="仿宋_GB2312"/>
                <w:b/>
                <w:bCs/>
                <w:color w:val="auto"/>
                <w:sz w:val="21"/>
                <w:szCs w:val="21"/>
                <w:lang w:bidi="ar"/>
              </w:rPr>
              <w:t>型号</w:t>
            </w:r>
          </w:p>
        </w:tc>
        <w:tc>
          <w:tcPr>
            <w:tcW w:w="253" w:type="pct"/>
            <w:vMerge w:val="restart"/>
            <w:tcBorders>
              <w:tl2br w:val="nil"/>
              <w:tr2bl w:val="nil"/>
            </w:tcBorders>
            <w:shd w:val="clear" w:color="auto" w:fill="auto"/>
            <w:tcMar>
              <w:top w:w="0" w:type="dxa"/>
              <w:left w:w="0" w:type="dxa"/>
              <w:bottom w:w="0" w:type="dxa"/>
              <w:right w:w="0" w:type="dxa"/>
            </w:tcMar>
            <w:vAlign w:val="center"/>
          </w:tcPr>
          <w:p w14:paraId="0C158EC9">
            <w:pPr>
              <w:pStyle w:val="81"/>
              <w:spacing w:beforeAutospacing="0" w:afterAutospacing="0" w:line="320" w:lineRule="exact"/>
              <w:jc w:val="center"/>
              <w:rPr>
                <w:rFonts w:eastAsia="仿宋_GB2312"/>
                <w:b/>
                <w:bCs/>
                <w:color w:val="auto"/>
                <w:sz w:val="21"/>
                <w:szCs w:val="21"/>
              </w:rPr>
            </w:pPr>
            <w:r>
              <w:rPr>
                <w:rFonts w:eastAsia="仿宋_GB2312"/>
                <w:b/>
                <w:bCs/>
                <w:color w:val="auto"/>
                <w:sz w:val="21"/>
                <w:szCs w:val="21"/>
                <w:lang w:bidi="ar"/>
              </w:rPr>
              <w:t>设备</w:t>
            </w:r>
          </w:p>
          <w:p w14:paraId="4F83531C">
            <w:pPr>
              <w:pStyle w:val="81"/>
              <w:spacing w:beforeAutospacing="0" w:afterAutospacing="0" w:line="320" w:lineRule="exact"/>
              <w:jc w:val="center"/>
              <w:rPr>
                <w:rFonts w:eastAsia="仿宋_GB2312"/>
                <w:b/>
                <w:bCs/>
                <w:color w:val="auto"/>
                <w:sz w:val="21"/>
                <w:szCs w:val="21"/>
              </w:rPr>
            </w:pPr>
            <w:r>
              <w:rPr>
                <w:rFonts w:eastAsia="仿宋_GB2312"/>
                <w:b/>
                <w:bCs/>
                <w:color w:val="auto"/>
                <w:sz w:val="21"/>
                <w:szCs w:val="21"/>
                <w:lang w:bidi="ar"/>
              </w:rPr>
              <w:t>台数</w:t>
            </w:r>
          </w:p>
        </w:tc>
        <w:tc>
          <w:tcPr>
            <w:tcW w:w="674" w:type="pct"/>
            <w:gridSpan w:val="3"/>
            <w:tcBorders>
              <w:tl2br w:val="nil"/>
              <w:tr2bl w:val="nil"/>
            </w:tcBorders>
            <w:shd w:val="clear" w:color="auto" w:fill="auto"/>
            <w:tcMar>
              <w:top w:w="0" w:type="dxa"/>
              <w:left w:w="0" w:type="dxa"/>
              <w:bottom w:w="0" w:type="dxa"/>
              <w:right w:w="0" w:type="dxa"/>
            </w:tcMar>
            <w:vAlign w:val="center"/>
          </w:tcPr>
          <w:p w14:paraId="724E7566">
            <w:pPr>
              <w:pStyle w:val="81"/>
              <w:spacing w:beforeAutospacing="0" w:afterAutospacing="0" w:line="320" w:lineRule="exact"/>
              <w:jc w:val="center"/>
              <w:rPr>
                <w:rFonts w:eastAsia="仿宋_GB2312"/>
                <w:b/>
                <w:bCs/>
                <w:color w:val="auto"/>
                <w:sz w:val="21"/>
                <w:szCs w:val="21"/>
              </w:rPr>
            </w:pPr>
            <w:r>
              <w:rPr>
                <w:rFonts w:eastAsia="仿宋_GB2312"/>
                <w:b/>
                <w:bCs/>
                <w:color w:val="auto"/>
                <w:sz w:val="21"/>
                <w:szCs w:val="21"/>
                <w:lang w:bidi="ar"/>
              </w:rPr>
              <w:t>空间相对位置/m</w:t>
            </w:r>
          </w:p>
        </w:tc>
        <w:tc>
          <w:tcPr>
            <w:tcW w:w="260" w:type="pct"/>
            <w:vMerge w:val="restart"/>
            <w:tcBorders>
              <w:tl2br w:val="nil"/>
              <w:tr2bl w:val="nil"/>
            </w:tcBorders>
            <w:shd w:val="clear" w:color="auto" w:fill="auto"/>
            <w:tcMar>
              <w:top w:w="0" w:type="dxa"/>
              <w:left w:w="0" w:type="dxa"/>
              <w:bottom w:w="0" w:type="dxa"/>
              <w:right w:w="0" w:type="dxa"/>
            </w:tcMar>
            <w:vAlign w:val="center"/>
          </w:tcPr>
          <w:p w14:paraId="36EEDB83">
            <w:pPr>
              <w:pStyle w:val="81"/>
              <w:spacing w:beforeAutospacing="0" w:afterAutospacing="0" w:line="320" w:lineRule="exact"/>
              <w:jc w:val="center"/>
              <w:rPr>
                <w:rFonts w:eastAsia="仿宋_GB2312"/>
                <w:b/>
                <w:bCs/>
                <w:color w:val="auto"/>
                <w:sz w:val="21"/>
                <w:szCs w:val="21"/>
              </w:rPr>
            </w:pPr>
            <w:r>
              <w:rPr>
                <w:rFonts w:eastAsia="仿宋_GB2312"/>
                <w:b/>
                <w:bCs/>
                <w:color w:val="auto"/>
                <w:sz w:val="21"/>
                <w:szCs w:val="21"/>
                <w:lang w:bidi="ar"/>
              </w:rPr>
              <w:t>声源源强</w:t>
            </w:r>
          </w:p>
          <w:p w14:paraId="5743230A">
            <w:pPr>
              <w:pStyle w:val="81"/>
              <w:spacing w:beforeAutospacing="0" w:afterAutospacing="0" w:line="320" w:lineRule="exact"/>
              <w:jc w:val="center"/>
              <w:rPr>
                <w:rFonts w:eastAsia="仿宋_GB2312"/>
                <w:b/>
                <w:bCs/>
                <w:color w:val="auto"/>
                <w:sz w:val="21"/>
                <w:szCs w:val="21"/>
              </w:rPr>
            </w:pPr>
            <w:r>
              <w:rPr>
                <w:rFonts w:eastAsia="仿宋_GB2312"/>
                <w:b/>
                <w:bCs/>
                <w:color w:val="auto"/>
                <w:sz w:val="21"/>
                <w:szCs w:val="21"/>
                <w:lang w:bidi="ar"/>
              </w:rPr>
              <w:t>dB(A)</w:t>
            </w:r>
          </w:p>
        </w:tc>
        <w:tc>
          <w:tcPr>
            <w:tcW w:w="287" w:type="pct"/>
            <w:vMerge w:val="restart"/>
            <w:tcBorders>
              <w:tl2br w:val="nil"/>
              <w:tr2bl w:val="nil"/>
            </w:tcBorders>
            <w:shd w:val="clear" w:color="auto" w:fill="auto"/>
            <w:tcMar>
              <w:top w:w="0" w:type="dxa"/>
              <w:left w:w="0" w:type="dxa"/>
              <w:bottom w:w="0" w:type="dxa"/>
              <w:right w:w="0" w:type="dxa"/>
            </w:tcMar>
            <w:vAlign w:val="center"/>
          </w:tcPr>
          <w:p w14:paraId="2C9BFB71">
            <w:pPr>
              <w:pStyle w:val="81"/>
              <w:spacing w:beforeAutospacing="0" w:afterAutospacing="0" w:line="320" w:lineRule="exact"/>
              <w:jc w:val="center"/>
              <w:rPr>
                <w:rFonts w:eastAsia="仿宋_GB2312"/>
                <w:b/>
                <w:bCs/>
                <w:color w:val="auto"/>
                <w:sz w:val="21"/>
                <w:szCs w:val="21"/>
              </w:rPr>
            </w:pPr>
            <w:r>
              <w:rPr>
                <w:rFonts w:eastAsia="仿宋_GB2312"/>
                <w:b/>
                <w:bCs/>
                <w:color w:val="auto"/>
                <w:sz w:val="21"/>
                <w:szCs w:val="21"/>
                <w:lang w:bidi="ar"/>
              </w:rPr>
              <w:t>声源控制措施</w:t>
            </w:r>
          </w:p>
        </w:tc>
        <w:tc>
          <w:tcPr>
            <w:tcW w:w="270" w:type="pct"/>
            <w:vMerge w:val="restart"/>
            <w:tcBorders>
              <w:tl2br w:val="nil"/>
              <w:tr2bl w:val="nil"/>
            </w:tcBorders>
            <w:shd w:val="clear" w:color="auto" w:fill="auto"/>
            <w:tcMar>
              <w:top w:w="0" w:type="dxa"/>
              <w:left w:w="0" w:type="dxa"/>
              <w:bottom w:w="0" w:type="dxa"/>
              <w:right w:w="0" w:type="dxa"/>
            </w:tcMar>
            <w:vAlign w:val="center"/>
          </w:tcPr>
          <w:p w14:paraId="647902B2">
            <w:pPr>
              <w:pStyle w:val="81"/>
              <w:spacing w:beforeAutospacing="0" w:afterAutospacing="0" w:line="320" w:lineRule="exact"/>
              <w:jc w:val="center"/>
              <w:rPr>
                <w:rFonts w:eastAsia="仿宋_GB2312"/>
                <w:b/>
                <w:bCs/>
                <w:color w:val="auto"/>
                <w:sz w:val="21"/>
                <w:szCs w:val="21"/>
              </w:rPr>
            </w:pPr>
            <w:r>
              <w:rPr>
                <w:rFonts w:eastAsia="仿宋_GB2312"/>
                <w:b/>
                <w:bCs/>
                <w:color w:val="auto"/>
                <w:sz w:val="21"/>
                <w:szCs w:val="20"/>
                <w:lang w:bidi="ar"/>
              </w:rPr>
              <w:t>距室内边界距离m</w:t>
            </w:r>
          </w:p>
        </w:tc>
        <w:tc>
          <w:tcPr>
            <w:tcW w:w="282" w:type="pct"/>
            <w:vMerge w:val="restart"/>
            <w:tcBorders>
              <w:tl2br w:val="nil"/>
              <w:tr2bl w:val="nil"/>
            </w:tcBorders>
            <w:shd w:val="clear" w:color="auto" w:fill="auto"/>
            <w:tcMar>
              <w:top w:w="0" w:type="dxa"/>
              <w:left w:w="0" w:type="dxa"/>
              <w:bottom w:w="0" w:type="dxa"/>
              <w:right w:w="0" w:type="dxa"/>
            </w:tcMar>
            <w:vAlign w:val="center"/>
          </w:tcPr>
          <w:p w14:paraId="1594F1DC">
            <w:pPr>
              <w:pStyle w:val="81"/>
              <w:spacing w:beforeAutospacing="0" w:afterAutospacing="0" w:line="320" w:lineRule="exact"/>
              <w:jc w:val="center"/>
              <w:rPr>
                <w:rFonts w:eastAsia="仿宋_GB2312"/>
                <w:b/>
                <w:bCs/>
                <w:color w:val="auto"/>
                <w:sz w:val="21"/>
                <w:szCs w:val="21"/>
                <w:lang w:bidi="ar"/>
              </w:rPr>
            </w:pPr>
            <w:r>
              <w:rPr>
                <w:rFonts w:eastAsia="仿宋_GB2312"/>
                <w:b/>
                <w:bCs/>
                <w:color w:val="auto"/>
                <w:sz w:val="21"/>
                <w:szCs w:val="20"/>
                <w:lang w:bidi="ar"/>
              </w:rPr>
              <w:t>室内边界声级dB(A)</w:t>
            </w:r>
          </w:p>
        </w:tc>
        <w:tc>
          <w:tcPr>
            <w:tcW w:w="270" w:type="pct"/>
            <w:vMerge w:val="restart"/>
            <w:tcBorders>
              <w:tl2br w:val="nil"/>
              <w:tr2bl w:val="nil"/>
            </w:tcBorders>
            <w:shd w:val="clear" w:color="auto" w:fill="auto"/>
            <w:tcMar>
              <w:top w:w="0" w:type="dxa"/>
              <w:left w:w="0" w:type="dxa"/>
              <w:bottom w:w="0" w:type="dxa"/>
              <w:right w:w="0" w:type="dxa"/>
            </w:tcMar>
            <w:vAlign w:val="center"/>
          </w:tcPr>
          <w:p w14:paraId="61F82557">
            <w:pPr>
              <w:pStyle w:val="81"/>
              <w:spacing w:beforeAutospacing="0" w:afterAutospacing="0" w:line="320" w:lineRule="exact"/>
              <w:jc w:val="center"/>
              <w:rPr>
                <w:rFonts w:eastAsia="仿宋_GB2312"/>
                <w:b/>
                <w:bCs/>
                <w:color w:val="auto"/>
                <w:sz w:val="21"/>
                <w:szCs w:val="21"/>
              </w:rPr>
            </w:pPr>
            <w:r>
              <w:rPr>
                <w:rFonts w:eastAsia="仿宋_GB2312"/>
                <w:b/>
                <w:bCs/>
                <w:color w:val="auto"/>
                <w:sz w:val="21"/>
                <w:szCs w:val="21"/>
                <w:lang w:bidi="ar"/>
              </w:rPr>
              <w:t>运行</w:t>
            </w:r>
          </w:p>
          <w:p w14:paraId="21245767">
            <w:pPr>
              <w:pStyle w:val="81"/>
              <w:spacing w:beforeAutospacing="0" w:afterAutospacing="0" w:line="320" w:lineRule="exact"/>
              <w:jc w:val="center"/>
              <w:rPr>
                <w:rFonts w:eastAsia="仿宋_GB2312"/>
                <w:b/>
                <w:bCs/>
                <w:color w:val="auto"/>
                <w:sz w:val="21"/>
                <w:szCs w:val="21"/>
              </w:rPr>
            </w:pPr>
            <w:r>
              <w:rPr>
                <w:rFonts w:eastAsia="仿宋_GB2312"/>
                <w:b/>
                <w:bCs/>
                <w:color w:val="auto"/>
                <w:sz w:val="21"/>
                <w:szCs w:val="21"/>
                <w:lang w:bidi="ar"/>
              </w:rPr>
              <w:t>时段</w:t>
            </w:r>
          </w:p>
        </w:tc>
        <w:tc>
          <w:tcPr>
            <w:tcW w:w="312" w:type="pct"/>
            <w:vMerge w:val="restart"/>
            <w:tcBorders>
              <w:tl2br w:val="nil"/>
              <w:tr2bl w:val="nil"/>
            </w:tcBorders>
            <w:shd w:val="clear" w:color="auto" w:fill="auto"/>
            <w:tcMar>
              <w:top w:w="0" w:type="dxa"/>
              <w:left w:w="0" w:type="dxa"/>
              <w:bottom w:w="0" w:type="dxa"/>
              <w:right w:w="0" w:type="dxa"/>
            </w:tcMar>
            <w:vAlign w:val="center"/>
          </w:tcPr>
          <w:p w14:paraId="3E4CFE56">
            <w:pPr>
              <w:pStyle w:val="81"/>
              <w:spacing w:beforeAutospacing="0" w:afterAutospacing="0" w:line="320" w:lineRule="exact"/>
              <w:jc w:val="center"/>
              <w:rPr>
                <w:rFonts w:eastAsia="仿宋_GB2312"/>
                <w:b/>
                <w:bCs/>
                <w:color w:val="auto"/>
                <w:sz w:val="21"/>
                <w:szCs w:val="21"/>
              </w:rPr>
            </w:pPr>
            <w:r>
              <w:rPr>
                <w:rFonts w:eastAsia="仿宋_GB2312"/>
                <w:b/>
                <w:bCs/>
                <w:color w:val="auto"/>
                <w:sz w:val="21"/>
                <w:szCs w:val="21"/>
                <w:lang w:bidi="ar"/>
              </w:rPr>
              <w:t>建筑物插入损失dB(A)</w:t>
            </w:r>
          </w:p>
        </w:tc>
        <w:tc>
          <w:tcPr>
            <w:tcW w:w="550" w:type="pct"/>
            <w:gridSpan w:val="2"/>
            <w:tcBorders>
              <w:tl2br w:val="nil"/>
              <w:tr2bl w:val="nil"/>
            </w:tcBorders>
            <w:shd w:val="clear" w:color="auto" w:fill="auto"/>
            <w:tcMar>
              <w:top w:w="0" w:type="dxa"/>
              <w:left w:w="0" w:type="dxa"/>
              <w:bottom w:w="0" w:type="dxa"/>
              <w:right w:w="0" w:type="dxa"/>
            </w:tcMar>
            <w:vAlign w:val="center"/>
          </w:tcPr>
          <w:p w14:paraId="5DA93705">
            <w:pPr>
              <w:pStyle w:val="81"/>
              <w:spacing w:beforeAutospacing="0" w:afterAutospacing="0" w:line="320" w:lineRule="exact"/>
              <w:jc w:val="center"/>
              <w:rPr>
                <w:rFonts w:eastAsia="仿宋_GB2312"/>
                <w:b/>
                <w:bCs/>
                <w:color w:val="auto"/>
                <w:sz w:val="21"/>
                <w:szCs w:val="21"/>
              </w:rPr>
            </w:pPr>
            <w:r>
              <w:rPr>
                <w:rFonts w:eastAsia="仿宋_GB2312"/>
                <w:b/>
                <w:bCs/>
                <w:color w:val="auto"/>
                <w:sz w:val="21"/>
                <w:szCs w:val="21"/>
                <w:lang w:bidi="ar"/>
              </w:rPr>
              <w:t>建筑物外噪声</w:t>
            </w:r>
          </w:p>
        </w:tc>
        <w:tc>
          <w:tcPr>
            <w:tcW w:w="335" w:type="pct"/>
            <w:vMerge w:val="restart"/>
            <w:tcBorders>
              <w:tl2br w:val="nil"/>
              <w:tr2bl w:val="nil"/>
            </w:tcBorders>
            <w:shd w:val="clear" w:color="auto" w:fill="auto"/>
            <w:tcMar>
              <w:top w:w="0" w:type="dxa"/>
              <w:left w:w="0" w:type="dxa"/>
              <w:bottom w:w="0" w:type="dxa"/>
              <w:right w:w="0" w:type="dxa"/>
            </w:tcMar>
            <w:vAlign w:val="center"/>
          </w:tcPr>
          <w:p w14:paraId="49A4FB49">
            <w:pPr>
              <w:pStyle w:val="81"/>
              <w:spacing w:beforeAutospacing="0" w:afterAutospacing="0" w:line="320" w:lineRule="exact"/>
              <w:jc w:val="center"/>
              <w:rPr>
                <w:rFonts w:hint="eastAsia" w:eastAsia="仿宋_GB2312"/>
                <w:b/>
                <w:bCs/>
                <w:color w:val="auto"/>
                <w:sz w:val="21"/>
                <w:szCs w:val="21"/>
                <w:lang w:val="en-US" w:eastAsia="zh-CN" w:bidi="ar"/>
              </w:rPr>
            </w:pPr>
            <w:r>
              <w:rPr>
                <w:rFonts w:hint="eastAsia" w:eastAsia="仿宋_GB2312"/>
                <w:b/>
                <w:bCs/>
                <w:color w:val="auto"/>
                <w:sz w:val="21"/>
                <w:szCs w:val="21"/>
                <w:lang w:val="en-US" w:eastAsia="zh-CN" w:bidi="ar"/>
              </w:rPr>
              <w:t>备注</w:t>
            </w:r>
          </w:p>
        </w:tc>
      </w:tr>
      <w:tr w14:paraId="5D3B95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195" w:type="pct"/>
            <w:vMerge w:val="continue"/>
            <w:tcBorders>
              <w:tl2br w:val="nil"/>
              <w:tr2bl w:val="nil"/>
            </w:tcBorders>
            <w:shd w:val="clear" w:color="auto" w:fill="auto"/>
            <w:tcMar>
              <w:top w:w="0" w:type="dxa"/>
              <w:left w:w="0" w:type="dxa"/>
              <w:bottom w:w="0" w:type="dxa"/>
              <w:right w:w="0" w:type="dxa"/>
            </w:tcMar>
            <w:vAlign w:val="center"/>
          </w:tcPr>
          <w:p w14:paraId="0AD3BA84">
            <w:pPr>
              <w:jc w:val="center"/>
              <w:rPr>
                <w:rFonts w:eastAsia="仿宋_GB2312"/>
                <w:color w:val="auto"/>
                <w:szCs w:val="21"/>
              </w:rPr>
            </w:pPr>
          </w:p>
        </w:tc>
        <w:tc>
          <w:tcPr>
            <w:tcW w:w="375" w:type="pct"/>
            <w:vMerge w:val="continue"/>
            <w:tcBorders>
              <w:tl2br w:val="nil"/>
              <w:tr2bl w:val="nil"/>
            </w:tcBorders>
            <w:shd w:val="clear" w:color="auto" w:fill="auto"/>
            <w:tcMar>
              <w:top w:w="0" w:type="dxa"/>
              <w:left w:w="0" w:type="dxa"/>
              <w:bottom w:w="0" w:type="dxa"/>
              <w:right w:w="0" w:type="dxa"/>
            </w:tcMar>
            <w:vAlign w:val="center"/>
          </w:tcPr>
          <w:p w14:paraId="06D290FD">
            <w:pPr>
              <w:jc w:val="center"/>
              <w:rPr>
                <w:rFonts w:eastAsia="仿宋_GB2312"/>
                <w:color w:val="auto"/>
                <w:szCs w:val="21"/>
              </w:rPr>
            </w:pPr>
          </w:p>
        </w:tc>
        <w:tc>
          <w:tcPr>
            <w:tcW w:w="493" w:type="pct"/>
            <w:vMerge w:val="continue"/>
            <w:tcBorders>
              <w:tl2br w:val="nil"/>
              <w:tr2bl w:val="nil"/>
            </w:tcBorders>
            <w:shd w:val="clear" w:color="auto" w:fill="auto"/>
            <w:tcMar>
              <w:top w:w="0" w:type="dxa"/>
              <w:left w:w="0" w:type="dxa"/>
              <w:bottom w:w="0" w:type="dxa"/>
              <w:right w:w="0" w:type="dxa"/>
            </w:tcMar>
            <w:vAlign w:val="center"/>
          </w:tcPr>
          <w:p w14:paraId="7205BDDC">
            <w:pPr>
              <w:jc w:val="center"/>
              <w:rPr>
                <w:rFonts w:eastAsia="仿宋_GB2312"/>
                <w:color w:val="auto"/>
                <w:szCs w:val="21"/>
              </w:rPr>
            </w:pPr>
          </w:p>
        </w:tc>
        <w:tc>
          <w:tcPr>
            <w:tcW w:w="437" w:type="pct"/>
            <w:vMerge w:val="continue"/>
            <w:tcBorders>
              <w:tl2br w:val="nil"/>
              <w:tr2bl w:val="nil"/>
            </w:tcBorders>
            <w:shd w:val="clear" w:color="auto" w:fill="auto"/>
            <w:tcMar>
              <w:top w:w="0" w:type="dxa"/>
              <w:left w:w="0" w:type="dxa"/>
              <w:bottom w:w="0" w:type="dxa"/>
              <w:right w:w="0" w:type="dxa"/>
            </w:tcMar>
            <w:vAlign w:val="center"/>
          </w:tcPr>
          <w:p w14:paraId="0E020C63">
            <w:pPr>
              <w:jc w:val="center"/>
              <w:rPr>
                <w:rFonts w:eastAsia="仿宋_GB2312"/>
                <w:color w:val="auto"/>
                <w:szCs w:val="21"/>
              </w:rPr>
            </w:pPr>
          </w:p>
        </w:tc>
        <w:tc>
          <w:tcPr>
            <w:tcW w:w="253" w:type="pct"/>
            <w:vMerge w:val="continue"/>
            <w:tcBorders>
              <w:tl2br w:val="nil"/>
              <w:tr2bl w:val="nil"/>
            </w:tcBorders>
            <w:shd w:val="clear" w:color="auto" w:fill="auto"/>
            <w:tcMar>
              <w:top w:w="0" w:type="dxa"/>
              <w:left w:w="0" w:type="dxa"/>
              <w:bottom w:w="0" w:type="dxa"/>
              <w:right w:w="0" w:type="dxa"/>
            </w:tcMar>
            <w:vAlign w:val="center"/>
          </w:tcPr>
          <w:p w14:paraId="283068A6">
            <w:pPr>
              <w:jc w:val="center"/>
              <w:rPr>
                <w:rFonts w:eastAsia="仿宋_GB2312"/>
                <w:color w:val="auto"/>
                <w:szCs w:val="21"/>
              </w:rPr>
            </w:pPr>
          </w:p>
        </w:tc>
        <w:tc>
          <w:tcPr>
            <w:tcW w:w="237" w:type="pct"/>
            <w:tcBorders>
              <w:tl2br w:val="nil"/>
              <w:tr2bl w:val="nil"/>
            </w:tcBorders>
            <w:shd w:val="clear" w:color="auto" w:fill="auto"/>
            <w:tcMar>
              <w:top w:w="0" w:type="dxa"/>
              <w:left w:w="0" w:type="dxa"/>
              <w:bottom w:w="0" w:type="dxa"/>
              <w:right w:w="0" w:type="dxa"/>
            </w:tcMar>
            <w:vAlign w:val="center"/>
          </w:tcPr>
          <w:p w14:paraId="0C2C8704">
            <w:pPr>
              <w:pStyle w:val="81"/>
              <w:spacing w:beforeAutospacing="0" w:afterAutospacing="0" w:line="320" w:lineRule="exact"/>
              <w:jc w:val="center"/>
              <w:rPr>
                <w:rFonts w:eastAsia="仿宋_GB2312"/>
                <w:b/>
                <w:bCs/>
                <w:color w:val="auto"/>
                <w:sz w:val="21"/>
                <w:szCs w:val="21"/>
              </w:rPr>
            </w:pPr>
            <w:r>
              <w:rPr>
                <w:rFonts w:eastAsia="仿宋_GB2312"/>
                <w:b/>
                <w:bCs/>
                <w:color w:val="auto"/>
                <w:sz w:val="21"/>
                <w:szCs w:val="21"/>
                <w:lang w:bidi="ar"/>
              </w:rPr>
              <w:t>X</w:t>
            </w:r>
          </w:p>
        </w:tc>
        <w:tc>
          <w:tcPr>
            <w:tcW w:w="220" w:type="pct"/>
            <w:tcBorders>
              <w:tl2br w:val="nil"/>
              <w:tr2bl w:val="nil"/>
            </w:tcBorders>
            <w:shd w:val="clear" w:color="auto" w:fill="auto"/>
            <w:tcMar>
              <w:top w:w="0" w:type="dxa"/>
              <w:left w:w="0" w:type="dxa"/>
              <w:bottom w:w="0" w:type="dxa"/>
              <w:right w:w="0" w:type="dxa"/>
            </w:tcMar>
            <w:vAlign w:val="center"/>
          </w:tcPr>
          <w:p w14:paraId="526AE9FA">
            <w:pPr>
              <w:pStyle w:val="81"/>
              <w:spacing w:beforeAutospacing="0" w:afterAutospacing="0" w:line="320" w:lineRule="exact"/>
              <w:jc w:val="center"/>
              <w:rPr>
                <w:rFonts w:eastAsia="仿宋_GB2312"/>
                <w:b/>
                <w:bCs/>
                <w:color w:val="auto"/>
                <w:sz w:val="21"/>
                <w:szCs w:val="21"/>
              </w:rPr>
            </w:pPr>
            <w:r>
              <w:rPr>
                <w:rFonts w:eastAsia="仿宋_GB2312"/>
                <w:b/>
                <w:bCs/>
                <w:color w:val="auto"/>
                <w:sz w:val="21"/>
                <w:szCs w:val="21"/>
                <w:lang w:bidi="ar"/>
              </w:rPr>
              <w:t>Y</w:t>
            </w:r>
          </w:p>
        </w:tc>
        <w:tc>
          <w:tcPr>
            <w:tcW w:w="216" w:type="pct"/>
            <w:tcBorders>
              <w:tl2br w:val="nil"/>
              <w:tr2bl w:val="nil"/>
            </w:tcBorders>
            <w:shd w:val="clear" w:color="auto" w:fill="auto"/>
            <w:tcMar>
              <w:top w:w="0" w:type="dxa"/>
              <w:left w:w="0" w:type="dxa"/>
              <w:bottom w:w="0" w:type="dxa"/>
              <w:right w:w="0" w:type="dxa"/>
            </w:tcMar>
            <w:vAlign w:val="center"/>
          </w:tcPr>
          <w:p w14:paraId="0026A42F">
            <w:pPr>
              <w:pStyle w:val="81"/>
              <w:spacing w:beforeAutospacing="0" w:afterAutospacing="0" w:line="320" w:lineRule="exact"/>
              <w:jc w:val="center"/>
              <w:rPr>
                <w:rFonts w:eastAsia="仿宋_GB2312"/>
                <w:b/>
                <w:bCs/>
                <w:color w:val="auto"/>
                <w:sz w:val="21"/>
                <w:szCs w:val="21"/>
              </w:rPr>
            </w:pPr>
            <w:r>
              <w:rPr>
                <w:rFonts w:eastAsia="仿宋_GB2312"/>
                <w:b/>
                <w:bCs/>
                <w:color w:val="auto"/>
                <w:sz w:val="21"/>
                <w:szCs w:val="21"/>
                <w:lang w:bidi="ar"/>
              </w:rPr>
              <w:t>Z</w:t>
            </w:r>
          </w:p>
        </w:tc>
        <w:tc>
          <w:tcPr>
            <w:tcW w:w="260" w:type="pct"/>
            <w:vMerge w:val="continue"/>
            <w:tcBorders>
              <w:tl2br w:val="nil"/>
              <w:tr2bl w:val="nil"/>
            </w:tcBorders>
            <w:shd w:val="clear" w:color="auto" w:fill="auto"/>
            <w:tcMar>
              <w:top w:w="0" w:type="dxa"/>
              <w:left w:w="0" w:type="dxa"/>
              <w:bottom w:w="0" w:type="dxa"/>
              <w:right w:w="0" w:type="dxa"/>
            </w:tcMar>
            <w:vAlign w:val="center"/>
          </w:tcPr>
          <w:p w14:paraId="0616E7C2">
            <w:pPr>
              <w:jc w:val="center"/>
              <w:rPr>
                <w:rFonts w:eastAsia="仿宋_GB2312"/>
                <w:color w:val="auto"/>
                <w:szCs w:val="21"/>
              </w:rPr>
            </w:pPr>
          </w:p>
        </w:tc>
        <w:tc>
          <w:tcPr>
            <w:tcW w:w="287" w:type="pct"/>
            <w:vMerge w:val="continue"/>
            <w:tcBorders>
              <w:tl2br w:val="nil"/>
              <w:tr2bl w:val="nil"/>
            </w:tcBorders>
            <w:shd w:val="clear" w:color="auto" w:fill="auto"/>
            <w:tcMar>
              <w:top w:w="0" w:type="dxa"/>
              <w:left w:w="0" w:type="dxa"/>
              <w:bottom w:w="0" w:type="dxa"/>
              <w:right w:w="0" w:type="dxa"/>
            </w:tcMar>
            <w:vAlign w:val="center"/>
          </w:tcPr>
          <w:p w14:paraId="0F39488B">
            <w:pPr>
              <w:jc w:val="center"/>
              <w:rPr>
                <w:rFonts w:eastAsia="仿宋_GB2312"/>
                <w:color w:val="auto"/>
                <w:szCs w:val="21"/>
              </w:rPr>
            </w:pPr>
          </w:p>
        </w:tc>
        <w:tc>
          <w:tcPr>
            <w:tcW w:w="270" w:type="pct"/>
            <w:vMerge w:val="continue"/>
            <w:tcBorders>
              <w:tl2br w:val="nil"/>
              <w:tr2bl w:val="nil"/>
            </w:tcBorders>
            <w:shd w:val="clear" w:color="auto" w:fill="auto"/>
            <w:tcMar>
              <w:top w:w="0" w:type="dxa"/>
              <w:left w:w="0" w:type="dxa"/>
              <w:bottom w:w="0" w:type="dxa"/>
              <w:right w:w="0" w:type="dxa"/>
            </w:tcMar>
            <w:vAlign w:val="center"/>
          </w:tcPr>
          <w:p w14:paraId="53615FB7">
            <w:pPr>
              <w:jc w:val="center"/>
              <w:rPr>
                <w:rFonts w:eastAsia="仿宋_GB2312"/>
                <w:color w:val="auto"/>
                <w:szCs w:val="21"/>
              </w:rPr>
            </w:pPr>
          </w:p>
        </w:tc>
        <w:tc>
          <w:tcPr>
            <w:tcW w:w="282" w:type="pct"/>
            <w:vMerge w:val="continue"/>
            <w:tcBorders>
              <w:tl2br w:val="nil"/>
              <w:tr2bl w:val="nil"/>
            </w:tcBorders>
            <w:shd w:val="clear" w:color="auto" w:fill="auto"/>
            <w:tcMar>
              <w:top w:w="0" w:type="dxa"/>
              <w:left w:w="0" w:type="dxa"/>
              <w:bottom w:w="0" w:type="dxa"/>
              <w:right w:w="0" w:type="dxa"/>
            </w:tcMar>
            <w:vAlign w:val="center"/>
          </w:tcPr>
          <w:p w14:paraId="34A19163">
            <w:pPr>
              <w:jc w:val="center"/>
              <w:rPr>
                <w:rFonts w:eastAsia="仿宋_GB2312"/>
                <w:color w:val="auto"/>
                <w:szCs w:val="21"/>
              </w:rPr>
            </w:pPr>
          </w:p>
        </w:tc>
        <w:tc>
          <w:tcPr>
            <w:tcW w:w="270" w:type="pct"/>
            <w:vMerge w:val="continue"/>
            <w:tcBorders>
              <w:tl2br w:val="nil"/>
              <w:tr2bl w:val="nil"/>
            </w:tcBorders>
            <w:shd w:val="clear" w:color="auto" w:fill="auto"/>
            <w:tcMar>
              <w:top w:w="0" w:type="dxa"/>
              <w:left w:w="0" w:type="dxa"/>
              <w:bottom w:w="0" w:type="dxa"/>
              <w:right w:w="0" w:type="dxa"/>
            </w:tcMar>
            <w:vAlign w:val="center"/>
          </w:tcPr>
          <w:p w14:paraId="6D597E22">
            <w:pPr>
              <w:jc w:val="center"/>
              <w:rPr>
                <w:rFonts w:eastAsia="仿宋_GB2312"/>
                <w:color w:val="auto"/>
                <w:szCs w:val="21"/>
              </w:rPr>
            </w:pPr>
          </w:p>
        </w:tc>
        <w:tc>
          <w:tcPr>
            <w:tcW w:w="312" w:type="pct"/>
            <w:vMerge w:val="continue"/>
            <w:tcBorders>
              <w:tl2br w:val="nil"/>
              <w:tr2bl w:val="nil"/>
            </w:tcBorders>
            <w:shd w:val="clear" w:color="auto" w:fill="auto"/>
            <w:tcMar>
              <w:top w:w="0" w:type="dxa"/>
              <w:left w:w="0" w:type="dxa"/>
              <w:bottom w:w="0" w:type="dxa"/>
              <w:right w:w="0" w:type="dxa"/>
            </w:tcMar>
            <w:vAlign w:val="center"/>
          </w:tcPr>
          <w:p w14:paraId="3DDA2E93">
            <w:pPr>
              <w:jc w:val="center"/>
              <w:rPr>
                <w:rFonts w:eastAsia="仿宋_GB2312"/>
                <w:color w:val="auto"/>
                <w:szCs w:val="21"/>
              </w:rPr>
            </w:pPr>
          </w:p>
        </w:tc>
        <w:tc>
          <w:tcPr>
            <w:tcW w:w="262" w:type="pct"/>
            <w:tcBorders>
              <w:tl2br w:val="nil"/>
              <w:tr2bl w:val="nil"/>
            </w:tcBorders>
            <w:shd w:val="clear" w:color="auto" w:fill="auto"/>
            <w:tcMar>
              <w:top w:w="0" w:type="dxa"/>
              <w:left w:w="0" w:type="dxa"/>
              <w:bottom w:w="0" w:type="dxa"/>
              <w:right w:w="0" w:type="dxa"/>
            </w:tcMar>
            <w:vAlign w:val="center"/>
          </w:tcPr>
          <w:p w14:paraId="3071C62F">
            <w:pPr>
              <w:pStyle w:val="81"/>
              <w:spacing w:beforeAutospacing="0" w:afterAutospacing="0" w:line="320" w:lineRule="exact"/>
              <w:jc w:val="center"/>
              <w:rPr>
                <w:rFonts w:eastAsia="仿宋_GB2312"/>
                <w:b/>
                <w:bCs/>
                <w:color w:val="auto"/>
                <w:sz w:val="21"/>
                <w:szCs w:val="21"/>
              </w:rPr>
            </w:pPr>
            <w:r>
              <w:rPr>
                <w:rFonts w:eastAsia="仿宋_GB2312"/>
                <w:b/>
                <w:bCs/>
                <w:color w:val="auto"/>
                <w:sz w:val="21"/>
                <w:szCs w:val="21"/>
                <w:lang w:bidi="ar"/>
              </w:rPr>
              <w:t>声压级dB(A)</w:t>
            </w:r>
          </w:p>
        </w:tc>
        <w:tc>
          <w:tcPr>
            <w:tcW w:w="288" w:type="pct"/>
            <w:tcBorders>
              <w:tl2br w:val="nil"/>
              <w:tr2bl w:val="nil"/>
            </w:tcBorders>
            <w:shd w:val="clear" w:color="auto" w:fill="auto"/>
            <w:tcMar>
              <w:top w:w="0" w:type="dxa"/>
              <w:left w:w="0" w:type="dxa"/>
              <w:bottom w:w="0" w:type="dxa"/>
              <w:right w:w="0" w:type="dxa"/>
            </w:tcMar>
            <w:vAlign w:val="center"/>
          </w:tcPr>
          <w:p w14:paraId="1433E240">
            <w:pPr>
              <w:pStyle w:val="81"/>
              <w:spacing w:beforeAutospacing="0" w:afterAutospacing="0" w:line="320" w:lineRule="exact"/>
              <w:jc w:val="center"/>
              <w:rPr>
                <w:rFonts w:eastAsia="仿宋_GB2312"/>
                <w:b/>
                <w:bCs/>
                <w:color w:val="auto"/>
                <w:sz w:val="21"/>
                <w:szCs w:val="21"/>
              </w:rPr>
            </w:pPr>
            <w:r>
              <w:rPr>
                <w:rFonts w:eastAsia="仿宋_GB2312"/>
                <w:b/>
                <w:bCs/>
                <w:color w:val="auto"/>
                <w:sz w:val="21"/>
                <w:szCs w:val="21"/>
                <w:lang w:bidi="ar"/>
              </w:rPr>
              <w:t>建筑物外距离m</w:t>
            </w:r>
          </w:p>
        </w:tc>
        <w:tc>
          <w:tcPr>
            <w:tcW w:w="335" w:type="pct"/>
            <w:vMerge w:val="continue"/>
            <w:tcBorders>
              <w:tl2br w:val="nil"/>
              <w:tr2bl w:val="nil"/>
            </w:tcBorders>
            <w:shd w:val="clear" w:color="auto" w:fill="auto"/>
            <w:tcMar>
              <w:top w:w="0" w:type="dxa"/>
              <w:left w:w="0" w:type="dxa"/>
              <w:bottom w:w="0" w:type="dxa"/>
              <w:right w:w="0" w:type="dxa"/>
            </w:tcMar>
            <w:vAlign w:val="center"/>
          </w:tcPr>
          <w:p w14:paraId="2FB47B67">
            <w:pPr>
              <w:pStyle w:val="81"/>
              <w:spacing w:beforeAutospacing="0" w:afterAutospacing="0" w:line="320" w:lineRule="exact"/>
              <w:jc w:val="center"/>
              <w:rPr>
                <w:rFonts w:eastAsia="仿宋_GB2312"/>
                <w:b/>
                <w:bCs/>
                <w:color w:val="auto"/>
                <w:sz w:val="21"/>
                <w:szCs w:val="21"/>
                <w:lang w:bidi="ar"/>
              </w:rPr>
            </w:pPr>
          </w:p>
        </w:tc>
      </w:tr>
      <w:tr w14:paraId="2BC190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195" w:type="pct"/>
            <w:tcBorders>
              <w:tl2br w:val="nil"/>
              <w:tr2bl w:val="nil"/>
            </w:tcBorders>
            <w:shd w:val="clear" w:color="auto" w:fill="auto"/>
            <w:vAlign w:val="center"/>
          </w:tcPr>
          <w:p w14:paraId="177601F7">
            <w:pPr>
              <w:pStyle w:val="81"/>
              <w:spacing w:beforeAutospacing="0" w:afterAutospacing="0" w:line="320" w:lineRule="exact"/>
              <w:jc w:val="center"/>
              <w:rPr>
                <w:rFonts w:eastAsia="仿宋_GB2312"/>
                <w:color w:val="auto"/>
                <w:sz w:val="21"/>
                <w:szCs w:val="21"/>
              </w:rPr>
            </w:pPr>
            <w:r>
              <w:rPr>
                <w:rFonts w:eastAsia="仿宋_GB2312"/>
                <w:color w:val="auto"/>
                <w:sz w:val="21"/>
                <w:szCs w:val="21"/>
              </w:rPr>
              <w:t>1</w:t>
            </w:r>
          </w:p>
        </w:tc>
        <w:tc>
          <w:tcPr>
            <w:tcW w:w="375" w:type="pct"/>
            <w:vMerge w:val="restart"/>
            <w:tcBorders>
              <w:tl2br w:val="nil"/>
              <w:tr2bl w:val="nil"/>
            </w:tcBorders>
            <w:shd w:val="clear" w:color="auto" w:fill="auto"/>
            <w:vAlign w:val="center"/>
          </w:tcPr>
          <w:p w14:paraId="4F49CA29">
            <w:pPr>
              <w:pStyle w:val="81"/>
              <w:spacing w:beforeAutospacing="0" w:afterAutospacing="0" w:line="320" w:lineRule="exact"/>
              <w:jc w:val="center"/>
              <w:rPr>
                <w:rFonts w:hint="eastAsia" w:eastAsia="仿宋_GB2312"/>
                <w:color w:val="auto"/>
                <w:kern w:val="2"/>
                <w:sz w:val="21"/>
                <w:lang w:eastAsia="zh-CN"/>
              </w:rPr>
            </w:pPr>
            <w:r>
              <w:rPr>
                <w:rFonts w:eastAsia="仿宋_GB2312"/>
                <w:color w:val="auto"/>
                <w:kern w:val="2"/>
                <w:sz w:val="21"/>
              </w:rPr>
              <w:t>公用工程</w:t>
            </w:r>
            <w:r>
              <w:rPr>
                <w:rFonts w:hint="eastAsia" w:eastAsia="仿宋_GB2312"/>
                <w:color w:val="auto"/>
                <w:kern w:val="2"/>
                <w:sz w:val="21"/>
                <w:lang w:val="en-US" w:eastAsia="zh-CN"/>
              </w:rPr>
              <w:t>车间</w:t>
            </w:r>
          </w:p>
        </w:tc>
        <w:tc>
          <w:tcPr>
            <w:tcW w:w="493" w:type="pct"/>
            <w:tcBorders>
              <w:tl2br w:val="nil"/>
              <w:tr2bl w:val="nil"/>
            </w:tcBorders>
            <w:shd w:val="clear" w:color="auto" w:fill="auto"/>
            <w:vAlign w:val="center"/>
          </w:tcPr>
          <w:p w14:paraId="0C7D3360">
            <w:pPr>
              <w:pStyle w:val="163"/>
              <w:jc w:val="center"/>
              <w:rPr>
                <w:rFonts w:ascii="Times New Roman"/>
                <w:color w:val="auto"/>
              </w:rPr>
            </w:pPr>
            <w:r>
              <w:rPr>
                <w:rFonts w:ascii="Times New Roman"/>
                <w:color w:val="auto"/>
              </w:rPr>
              <w:t>冷冻机组</w:t>
            </w:r>
          </w:p>
        </w:tc>
        <w:tc>
          <w:tcPr>
            <w:tcW w:w="437" w:type="pct"/>
            <w:tcBorders>
              <w:tl2br w:val="nil"/>
              <w:tr2bl w:val="nil"/>
            </w:tcBorders>
            <w:shd w:val="clear" w:color="auto" w:fill="auto"/>
            <w:vAlign w:val="center"/>
          </w:tcPr>
          <w:p w14:paraId="27176F46">
            <w:pPr>
              <w:pStyle w:val="163"/>
              <w:jc w:val="center"/>
              <w:rPr>
                <w:rFonts w:hint="default" w:ascii="Times New Roman" w:eastAsia="仿宋_GB2312"/>
                <w:color w:val="auto"/>
                <w:kern w:val="0"/>
                <w:szCs w:val="21"/>
                <w:lang w:val="en-US" w:eastAsia="zh-CN" w:bidi="ar"/>
              </w:rPr>
            </w:pPr>
            <w:r>
              <w:rPr>
                <w:rFonts w:hint="eastAsia" w:ascii="Times New Roman"/>
                <w:color w:val="auto"/>
                <w:kern w:val="0"/>
                <w:szCs w:val="21"/>
                <w:lang w:val="en-US" w:eastAsia="zh-CN" w:bidi="ar"/>
              </w:rPr>
              <w:t>180万大卡</w:t>
            </w:r>
          </w:p>
        </w:tc>
        <w:tc>
          <w:tcPr>
            <w:tcW w:w="253" w:type="pct"/>
            <w:tcBorders>
              <w:tl2br w:val="nil"/>
              <w:tr2bl w:val="nil"/>
            </w:tcBorders>
            <w:shd w:val="clear" w:color="auto" w:fill="auto"/>
            <w:vAlign w:val="center"/>
          </w:tcPr>
          <w:p w14:paraId="0BEC5A55">
            <w:pPr>
              <w:pStyle w:val="163"/>
              <w:jc w:val="center"/>
              <w:rPr>
                <w:rFonts w:hint="eastAsia" w:ascii="Times New Roman" w:eastAsia="仿宋_GB2312"/>
                <w:color w:val="auto"/>
                <w:kern w:val="0"/>
                <w:szCs w:val="21"/>
                <w:lang w:eastAsia="zh-CN" w:bidi="ar"/>
              </w:rPr>
            </w:pPr>
            <w:r>
              <w:rPr>
                <w:rFonts w:hint="eastAsia" w:ascii="Times New Roman"/>
                <w:color w:val="auto"/>
                <w:kern w:val="0"/>
                <w:szCs w:val="21"/>
                <w:lang w:val="en-US" w:eastAsia="zh-CN" w:bidi="ar"/>
              </w:rPr>
              <w:t>1</w:t>
            </w:r>
          </w:p>
        </w:tc>
        <w:tc>
          <w:tcPr>
            <w:tcW w:w="237" w:type="pct"/>
            <w:tcBorders>
              <w:tl2br w:val="nil"/>
              <w:tr2bl w:val="nil"/>
            </w:tcBorders>
            <w:shd w:val="clear" w:color="auto" w:fill="auto"/>
            <w:vAlign w:val="center"/>
          </w:tcPr>
          <w:p w14:paraId="707F6979">
            <w:pPr>
              <w:pStyle w:val="163"/>
              <w:jc w:val="center"/>
              <w:rPr>
                <w:rFonts w:hint="default" w:ascii="Times New Roman" w:eastAsia="仿宋_GB2312"/>
                <w:color w:val="auto"/>
                <w:kern w:val="0"/>
                <w:szCs w:val="21"/>
                <w:lang w:val="en-US" w:eastAsia="zh-CN" w:bidi="ar"/>
              </w:rPr>
            </w:pPr>
            <w:r>
              <w:rPr>
                <w:rFonts w:hint="eastAsia" w:ascii="Times New Roman"/>
                <w:color w:val="auto"/>
                <w:kern w:val="0"/>
                <w:szCs w:val="21"/>
                <w:lang w:val="en-US" w:eastAsia="zh-CN" w:bidi="ar"/>
              </w:rPr>
              <w:t>175</w:t>
            </w:r>
          </w:p>
        </w:tc>
        <w:tc>
          <w:tcPr>
            <w:tcW w:w="220" w:type="pct"/>
            <w:tcBorders>
              <w:tl2br w:val="nil"/>
              <w:tr2bl w:val="nil"/>
            </w:tcBorders>
            <w:shd w:val="clear" w:color="auto" w:fill="auto"/>
            <w:vAlign w:val="center"/>
          </w:tcPr>
          <w:p w14:paraId="13437076">
            <w:pPr>
              <w:pStyle w:val="163"/>
              <w:jc w:val="center"/>
              <w:rPr>
                <w:rFonts w:hint="default" w:ascii="Times New Roman" w:eastAsia="仿宋_GB2312"/>
                <w:color w:val="auto"/>
                <w:kern w:val="0"/>
                <w:szCs w:val="21"/>
                <w:lang w:val="en-US" w:eastAsia="zh-CN" w:bidi="ar"/>
              </w:rPr>
            </w:pPr>
            <w:r>
              <w:rPr>
                <w:rFonts w:hint="eastAsia" w:ascii="Times New Roman"/>
                <w:color w:val="auto"/>
                <w:kern w:val="0"/>
                <w:szCs w:val="21"/>
                <w:lang w:val="en-US" w:eastAsia="zh-CN" w:bidi="ar"/>
              </w:rPr>
              <w:t>87</w:t>
            </w:r>
          </w:p>
        </w:tc>
        <w:tc>
          <w:tcPr>
            <w:tcW w:w="216" w:type="pct"/>
            <w:tcBorders>
              <w:tl2br w:val="nil"/>
              <w:tr2bl w:val="nil"/>
            </w:tcBorders>
            <w:shd w:val="clear" w:color="auto" w:fill="auto"/>
            <w:vAlign w:val="center"/>
          </w:tcPr>
          <w:p w14:paraId="1B4259CD">
            <w:pPr>
              <w:pStyle w:val="163"/>
              <w:jc w:val="center"/>
              <w:rPr>
                <w:rFonts w:hint="eastAsia" w:ascii="Times New Roman" w:eastAsia="仿宋_GB2312"/>
                <w:color w:val="auto"/>
                <w:kern w:val="0"/>
                <w:szCs w:val="21"/>
                <w:lang w:eastAsia="zh-CN" w:bidi="ar"/>
              </w:rPr>
            </w:pPr>
            <w:r>
              <w:rPr>
                <w:rFonts w:hint="eastAsia" w:ascii="Times New Roman"/>
                <w:color w:val="auto"/>
                <w:kern w:val="0"/>
                <w:szCs w:val="21"/>
                <w:lang w:val="en-US" w:eastAsia="zh-CN" w:bidi="ar"/>
              </w:rPr>
              <w:t>1</w:t>
            </w:r>
          </w:p>
        </w:tc>
        <w:tc>
          <w:tcPr>
            <w:tcW w:w="260" w:type="pct"/>
            <w:tcBorders>
              <w:tl2br w:val="nil"/>
              <w:tr2bl w:val="nil"/>
            </w:tcBorders>
            <w:shd w:val="clear" w:color="auto" w:fill="auto"/>
            <w:vAlign w:val="center"/>
          </w:tcPr>
          <w:p w14:paraId="3DCFE7D8">
            <w:pPr>
              <w:pStyle w:val="163"/>
              <w:jc w:val="center"/>
              <w:rPr>
                <w:rFonts w:ascii="Times New Roman"/>
                <w:color w:val="auto"/>
                <w:kern w:val="0"/>
                <w:szCs w:val="21"/>
                <w:lang w:bidi="ar"/>
              </w:rPr>
            </w:pPr>
            <w:r>
              <w:rPr>
                <w:rFonts w:ascii="Times New Roman"/>
                <w:color w:val="auto"/>
                <w:kern w:val="0"/>
                <w:szCs w:val="21"/>
                <w:lang w:bidi="ar"/>
              </w:rPr>
              <w:t>85</w:t>
            </w:r>
          </w:p>
        </w:tc>
        <w:tc>
          <w:tcPr>
            <w:tcW w:w="287" w:type="pct"/>
            <w:vMerge w:val="restart"/>
            <w:tcBorders>
              <w:tl2br w:val="nil"/>
              <w:tr2bl w:val="nil"/>
            </w:tcBorders>
            <w:shd w:val="clear" w:color="auto" w:fill="auto"/>
            <w:vAlign w:val="center"/>
          </w:tcPr>
          <w:p w14:paraId="3DC98D55">
            <w:pPr>
              <w:pStyle w:val="81"/>
              <w:spacing w:beforeAutospacing="0" w:afterAutospacing="0" w:line="320" w:lineRule="exact"/>
              <w:jc w:val="center"/>
              <w:rPr>
                <w:rFonts w:eastAsia="仿宋_GB2312"/>
                <w:color w:val="auto"/>
                <w:sz w:val="21"/>
                <w:szCs w:val="21"/>
              </w:rPr>
            </w:pPr>
            <w:r>
              <w:rPr>
                <w:rFonts w:eastAsia="仿宋_GB2312"/>
                <w:color w:val="auto"/>
                <w:sz w:val="21"/>
                <w:szCs w:val="21"/>
                <w:lang w:bidi="ar"/>
              </w:rPr>
              <w:t>厂房屏蔽、隔声、减振</w:t>
            </w:r>
          </w:p>
        </w:tc>
        <w:tc>
          <w:tcPr>
            <w:tcW w:w="270" w:type="pct"/>
            <w:tcBorders>
              <w:tl2br w:val="nil"/>
              <w:tr2bl w:val="nil"/>
            </w:tcBorders>
            <w:shd w:val="clear" w:color="auto" w:fill="auto"/>
            <w:vAlign w:val="center"/>
          </w:tcPr>
          <w:p w14:paraId="6CD9031A">
            <w:pPr>
              <w:pStyle w:val="81"/>
              <w:spacing w:beforeAutospacing="0" w:afterAutospacing="0" w:line="320" w:lineRule="exact"/>
              <w:jc w:val="center"/>
              <w:rPr>
                <w:rFonts w:eastAsia="仿宋_GB2312"/>
                <w:color w:val="auto"/>
                <w:sz w:val="21"/>
                <w:szCs w:val="21"/>
              </w:rPr>
            </w:pPr>
            <w:r>
              <w:rPr>
                <w:rFonts w:eastAsia="仿宋_GB2312"/>
                <w:color w:val="auto"/>
                <w:sz w:val="21"/>
                <w:szCs w:val="21"/>
              </w:rPr>
              <w:t>5</w:t>
            </w:r>
          </w:p>
        </w:tc>
        <w:tc>
          <w:tcPr>
            <w:tcW w:w="282" w:type="pct"/>
            <w:tcBorders>
              <w:tl2br w:val="nil"/>
              <w:tr2bl w:val="nil"/>
            </w:tcBorders>
            <w:shd w:val="clear" w:color="auto" w:fill="auto"/>
            <w:vAlign w:val="center"/>
          </w:tcPr>
          <w:p w14:paraId="5BADFE0E">
            <w:pPr>
              <w:pStyle w:val="81"/>
              <w:spacing w:beforeAutospacing="0" w:afterAutospacing="0" w:line="320" w:lineRule="exact"/>
              <w:jc w:val="center"/>
              <w:rPr>
                <w:rFonts w:eastAsia="仿宋_GB2312"/>
                <w:color w:val="auto"/>
                <w:sz w:val="21"/>
                <w:szCs w:val="21"/>
                <w:lang w:bidi="ar"/>
              </w:rPr>
            </w:pPr>
            <w:r>
              <w:rPr>
                <w:rFonts w:eastAsia="仿宋_GB2312"/>
                <w:color w:val="auto"/>
                <w:sz w:val="21"/>
                <w:szCs w:val="21"/>
                <w:lang w:bidi="ar"/>
              </w:rPr>
              <w:t>7</w:t>
            </w:r>
            <w:r>
              <w:rPr>
                <w:rFonts w:hint="eastAsia" w:eastAsia="仿宋_GB2312"/>
                <w:color w:val="auto"/>
                <w:sz w:val="21"/>
                <w:szCs w:val="21"/>
                <w:lang w:bidi="ar"/>
              </w:rPr>
              <w:t>1</w:t>
            </w:r>
          </w:p>
        </w:tc>
        <w:tc>
          <w:tcPr>
            <w:tcW w:w="270" w:type="pct"/>
            <w:tcBorders>
              <w:tl2br w:val="nil"/>
              <w:tr2bl w:val="nil"/>
            </w:tcBorders>
            <w:shd w:val="clear" w:color="auto" w:fill="auto"/>
            <w:vAlign w:val="center"/>
          </w:tcPr>
          <w:p w14:paraId="01B0ABD0">
            <w:pPr>
              <w:pStyle w:val="81"/>
              <w:spacing w:beforeAutospacing="0" w:afterAutospacing="0" w:line="320" w:lineRule="exact"/>
              <w:jc w:val="center"/>
              <w:rPr>
                <w:rFonts w:eastAsia="仿宋_GB2312"/>
                <w:b/>
                <w:bCs/>
                <w:color w:val="auto"/>
                <w:sz w:val="21"/>
                <w:szCs w:val="21"/>
              </w:rPr>
            </w:pPr>
            <w:r>
              <w:rPr>
                <w:rFonts w:eastAsia="仿宋_GB2312"/>
                <w:color w:val="auto"/>
                <w:sz w:val="21"/>
                <w:szCs w:val="21"/>
                <w:lang w:bidi="ar"/>
              </w:rPr>
              <w:t>全天</w:t>
            </w:r>
          </w:p>
        </w:tc>
        <w:tc>
          <w:tcPr>
            <w:tcW w:w="312" w:type="pct"/>
            <w:tcBorders>
              <w:tl2br w:val="nil"/>
              <w:tr2bl w:val="nil"/>
            </w:tcBorders>
            <w:shd w:val="clear" w:color="auto" w:fill="auto"/>
            <w:vAlign w:val="center"/>
          </w:tcPr>
          <w:p w14:paraId="16FAF03E">
            <w:pPr>
              <w:pStyle w:val="81"/>
              <w:spacing w:beforeAutospacing="0" w:afterAutospacing="0" w:line="320" w:lineRule="exact"/>
              <w:jc w:val="center"/>
              <w:rPr>
                <w:rFonts w:eastAsia="仿宋_GB2312"/>
                <w:color w:val="auto"/>
                <w:sz w:val="21"/>
                <w:szCs w:val="21"/>
              </w:rPr>
            </w:pPr>
            <w:r>
              <w:rPr>
                <w:rFonts w:eastAsia="仿宋_GB2312"/>
                <w:color w:val="auto"/>
                <w:sz w:val="21"/>
                <w:szCs w:val="21"/>
                <w:lang w:bidi="ar"/>
              </w:rPr>
              <w:t>20</w:t>
            </w:r>
          </w:p>
        </w:tc>
        <w:tc>
          <w:tcPr>
            <w:tcW w:w="262" w:type="pct"/>
            <w:tcBorders>
              <w:tl2br w:val="nil"/>
              <w:tr2bl w:val="nil"/>
            </w:tcBorders>
            <w:shd w:val="clear" w:color="auto" w:fill="auto"/>
            <w:vAlign w:val="center"/>
          </w:tcPr>
          <w:p w14:paraId="06C6ADEC">
            <w:pPr>
              <w:pStyle w:val="81"/>
              <w:spacing w:beforeAutospacing="0" w:afterAutospacing="0" w:line="320" w:lineRule="exact"/>
              <w:jc w:val="center"/>
              <w:rPr>
                <w:rFonts w:eastAsia="仿宋_GB2312"/>
                <w:color w:val="auto"/>
                <w:sz w:val="21"/>
                <w:szCs w:val="21"/>
                <w:lang w:bidi="ar"/>
              </w:rPr>
            </w:pPr>
            <w:r>
              <w:rPr>
                <w:rFonts w:eastAsia="仿宋_GB2312"/>
                <w:color w:val="auto"/>
                <w:sz w:val="21"/>
                <w:szCs w:val="21"/>
                <w:lang w:bidi="ar"/>
              </w:rPr>
              <w:t>5</w:t>
            </w:r>
            <w:r>
              <w:rPr>
                <w:rFonts w:hint="eastAsia" w:eastAsia="仿宋_GB2312"/>
                <w:color w:val="auto"/>
                <w:sz w:val="21"/>
                <w:szCs w:val="21"/>
                <w:lang w:bidi="ar"/>
              </w:rPr>
              <w:t>1</w:t>
            </w:r>
          </w:p>
        </w:tc>
        <w:tc>
          <w:tcPr>
            <w:tcW w:w="288" w:type="pct"/>
            <w:tcBorders>
              <w:tl2br w:val="nil"/>
              <w:tr2bl w:val="nil"/>
            </w:tcBorders>
            <w:shd w:val="clear" w:color="auto" w:fill="auto"/>
            <w:vAlign w:val="center"/>
          </w:tcPr>
          <w:p w14:paraId="668516C0">
            <w:pPr>
              <w:pStyle w:val="81"/>
              <w:spacing w:beforeAutospacing="0" w:afterAutospacing="0" w:line="320" w:lineRule="exact"/>
              <w:jc w:val="center"/>
              <w:rPr>
                <w:rFonts w:eastAsia="仿宋_GB2312"/>
                <w:color w:val="auto"/>
                <w:sz w:val="21"/>
                <w:szCs w:val="21"/>
              </w:rPr>
            </w:pPr>
            <w:r>
              <w:rPr>
                <w:rFonts w:eastAsia="仿宋_GB2312"/>
                <w:color w:val="auto"/>
                <w:sz w:val="21"/>
                <w:szCs w:val="21"/>
                <w:lang w:bidi="ar"/>
              </w:rPr>
              <w:t>1</w:t>
            </w:r>
          </w:p>
        </w:tc>
        <w:tc>
          <w:tcPr>
            <w:tcW w:w="335" w:type="pct"/>
            <w:tcBorders>
              <w:tl2br w:val="nil"/>
              <w:tr2bl w:val="nil"/>
            </w:tcBorders>
            <w:shd w:val="clear" w:color="auto" w:fill="auto"/>
            <w:vAlign w:val="center"/>
          </w:tcPr>
          <w:p w14:paraId="23864FDD">
            <w:pPr>
              <w:pStyle w:val="81"/>
              <w:spacing w:beforeAutospacing="0" w:afterAutospacing="0" w:line="320" w:lineRule="exact"/>
              <w:jc w:val="center"/>
              <w:rPr>
                <w:rFonts w:hint="eastAsia" w:eastAsia="仿宋_GB2312"/>
                <w:color w:val="auto"/>
                <w:sz w:val="21"/>
                <w:szCs w:val="21"/>
                <w:lang w:val="en-US" w:eastAsia="zh-CN" w:bidi="ar"/>
              </w:rPr>
            </w:pPr>
            <w:r>
              <w:rPr>
                <w:rFonts w:hint="eastAsia" w:eastAsia="仿宋_GB2312"/>
                <w:color w:val="auto"/>
                <w:sz w:val="21"/>
                <w:szCs w:val="21"/>
                <w:lang w:val="en-US" w:eastAsia="zh-CN" w:bidi="ar"/>
              </w:rPr>
              <w:t>新增</w:t>
            </w:r>
          </w:p>
        </w:tc>
      </w:tr>
      <w:tr w14:paraId="4FB549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195" w:type="pct"/>
            <w:tcBorders>
              <w:tl2br w:val="nil"/>
              <w:tr2bl w:val="nil"/>
            </w:tcBorders>
            <w:shd w:val="clear" w:color="auto" w:fill="auto"/>
            <w:vAlign w:val="center"/>
          </w:tcPr>
          <w:p w14:paraId="6702D31C">
            <w:pPr>
              <w:pStyle w:val="81"/>
              <w:spacing w:beforeAutospacing="0" w:afterAutospacing="0" w:line="320" w:lineRule="exact"/>
              <w:jc w:val="center"/>
              <w:rPr>
                <w:rFonts w:eastAsia="仿宋_GB2312"/>
                <w:color w:val="auto"/>
                <w:sz w:val="21"/>
                <w:szCs w:val="21"/>
                <w:lang w:bidi="ar"/>
              </w:rPr>
            </w:pPr>
            <w:r>
              <w:rPr>
                <w:rFonts w:eastAsia="仿宋_GB2312"/>
                <w:color w:val="auto"/>
                <w:sz w:val="21"/>
                <w:szCs w:val="21"/>
                <w:lang w:bidi="ar"/>
              </w:rPr>
              <w:t>2</w:t>
            </w:r>
          </w:p>
        </w:tc>
        <w:tc>
          <w:tcPr>
            <w:tcW w:w="375" w:type="pct"/>
            <w:vMerge w:val="continue"/>
            <w:tcBorders>
              <w:tl2br w:val="nil"/>
              <w:tr2bl w:val="nil"/>
            </w:tcBorders>
            <w:shd w:val="clear" w:color="auto" w:fill="auto"/>
            <w:vAlign w:val="center"/>
          </w:tcPr>
          <w:p w14:paraId="11070139">
            <w:pPr>
              <w:widowControl/>
              <w:jc w:val="center"/>
              <w:textAlignment w:val="center"/>
              <w:rPr>
                <w:rFonts w:eastAsia="仿宋_GB2312"/>
                <w:color w:val="FF0000"/>
              </w:rPr>
            </w:pPr>
          </w:p>
        </w:tc>
        <w:tc>
          <w:tcPr>
            <w:tcW w:w="493" w:type="pct"/>
            <w:tcBorders>
              <w:tl2br w:val="nil"/>
              <w:tr2bl w:val="nil"/>
            </w:tcBorders>
            <w:shd w:val="clear" w:color="auto" w:fill="auto"/>
            <w:vAlign w:val="center"/>
          </w:tcPr>
          <w:p w14:paraId="201D2B83">
            <w:pPr>
              <w:pStyle w:val="163"/>
              <w:jc w:val="center"/>
              <w:rPr>
                <w:rFonts w:ascii="Times New Roman"/>
                <w:color w:val="auto"/>
              </w:rPr>
            </w:pPr>
            <w:r>
              <w:rPr>
                <w:rFonts w:ascii="Times New Roman"/>
                <w:color w:val="auto"/>
              </w:rPr>
              <w:t>空压机</w:t>
            </w:r>
          </w:p>
        </w:tc>
        <w:tc>
          <w:tcPr>
            <w:tcW w:w="437" w:type="pct"/>
            <w:tcBorders>
              <w:tl2br w:val="nil"/>
              <w:tr2bl w:val="nil"/>
            </w:tcBorders>
            <w:shd w:val="clear" w:color="auto" w:fill="auto"/>
            <w:vAlign w:val="center"/>
          </w:tcPr>
          <w:p w14:paraId="065E5ECE">
            <w:pPr>
              <w:pStyle w:val="163"/>
              <w:jc w:val="center"/>
              <w:rPr>
                <w:rFonts w:ascii="Times New Roman"/>
                <w:color w:val="auto"/>
                <w:kern w:val="0"/>
                <w:szCs w:val="21"/>
                <w:lang w:bidi="ar"/>
              </w:rPr>
            </w:pPr>
            <w:r>
              <w:rPr>
                <w:rFonts w:hint="eastAsia" w:ascii="Times New Roman"/>
                <w:color w:val="auto"/>
                <w:kern w:val="0"/>
                <w:szCs w:val="21"/>
                <w:lang w:val="en-US" w:eastAsia="zh-CN" w:bidi="ar"/>
              </w:rPr>
              <w:t>15</w:t>
            </w:r>
            <w:r>
              <w:rPr>
                <w:rFonts w:ascii="Times New Roman"/>
                <w:color w:val="auto"/>
                <w:kern w:val="0"/>
                <w:szCs w:val="21"/>
                <w:lang w:bidi="ar"/>
              </w:rPr>
              <w:t>Nm</w:t>
            </w:r>
            <w:r>
              <w:rPr>
                <w:rFonts w:ascii="Times New Roman"/>
                <w:color w:val="auto"/>
                <w:kern w:val="0"/>
                <w:szCs w:val="21"/>
                <w:vertAlign w:val="superscript"/>
                <w:lang w:bidi="ar"/>
              </w:rPr>
              <w:t>3</w:t>
            </w:r>
            <w:r>
              <w:rPr>
                <w:rFonts w:ascii="Times New Roman"/>
                <w:color w:val="auto"/>
                <w:kern w:val="0"/>
                <w:szCs w:val="21"/>
                <w:lang w:bidi="ar"/>
              </w:rPr>
              <w:t>/min</w:t>
            </w:r>
          </w:p>
        </w:tc>
        <w:tc>
          <w:tcPr>
            <w:tcW w:w="253" w:type="pct"/>
            <w:tcBorders>
              <w:tl2br w:val="nil"/>
              <w:tr2bl w:val="nil"/>
            </w:tcBorders>
            <w:shd w:val="clear" w:color="auto" w:fill="auto"/>
            <w:vAlign w:val="center"/>
          </w:tcPr>
          <w:p w14:paraId="7D881E85">
            <w:pPr>
              <w:pStyle w:val="163"/>
              <w:jc w:val="center"/>
              <w:rPr>
                <w:rFonts w:hint="eastAsia" w:ascii="Times New Roman" w:eastAsia="仿宋_GB2312"/>
                <w:color w:val="auto"/>
                <w:kern w:val="0"/>
                <w:szCs w:val="21"/>
                <w:lang w:eastAsia="zh-CN" w:bidi="ar"/>
              </w:rPr>
            </w:pPr>
            <w:r>
              <w:rPr>
                <w:rFonts w:hint="eastAsia" w:ascii="Times New Roman"/>
                <w:color w:val="auto"/>
                <w:kern w:val="0"/>
                <w:szCs w:val="21"/>
                <w:lang w:val="en-US" w:eastAsia="zh-CN" w:bidi="ar"/>
              </w:rPr>
              <w:t>1</w:t>
            </w:r>
          </w:p>
        </w:tc>
        <w:tc>
          <w:tcPr>
            <w:tcW w:w="237" w:type="pct"/>
            <w:tcBorders>
              <w:tl2br w:val="nil"/>
              <w:tr2bl w:val="nil"/>
            </w:tcBorders>
            <w:shd w:val="clear" w:color="auto" w:fill="auto"/>
            <w:vAlign w:val="center"/>
          </w:tcPr>
          <w:p w14:paraId="032D7542">
            <w:pPr>
              <w:pStyle w:val="163"/>
              <w:jc w:val="center"/>
              <w:rPr>
                <w:rFonts w:hint="default" w:ascii="Times New Roman" w:eastAsia="仿宋_GB2312"/>
                <w:color w:val="auto"/>
                <w:kern w:val="0"/>
                <w:szCs w:val="21"/>
                <w:lang w:val="en-US" w:eastAsia="zh-CN" w:bidi="ar"/>
              </w:rPr>
            </w:pPr>
            <w:r>
              <w:rPr>
                <w:rFonts w:hint="eastAsia" w:ascii="Times New Roman"/>
                <w:color w:val="auto"/>
                <w:kern w:val="0"/>
                <w:szCs w:val="21"/>
                <w:lang w:val="en-US" w:eastAsia="zh-CN" w:bidi="ar"/>
              </w:rPr>
              <w:t>177</w:t>
            </w:r>
          </w:p>
        </w:tc>
        <w:tc>
          <w:tcPr>
            <w:tcW w:w="220" w:type="pct"/>
            <w:tcBorders>
              <w:tl2br w:val="nil"/>
              <w:tr2bl w:val="nil"/>
            </w:tcBorders>
            <w:shd w:val="clear" w:color="auto" w:fill="auto"/>
            <w:vAlign w:val="center"/>
          </w:tcPr>
          <w:p w14:paraId="689ABE5F">
            <w:pPr>
              <w:pStyle w:val="163"/>
              <w:jc w:val="center"/>
              <w:rPr>
                <w:rFonts w:hint="default" w:ascii="Times New Roman" w:eastAsia="仿宋_GB2312"/>
                <w:color w:val="auto"/>
                <w:kern w:val="0"/>
                <w:szCs w:val="21"/>
                <w:lang w:val="en-US" w:eastAsia="zh-CN" w:bidi="ar"/>
              </w:rPr>
            </w:pPr>
            <w:r>
              <w:rPr>
                <w:rFonts w:hint="eastAsia" w:ascii="Times New Roman"/>
                <w:color w:val="auto"/>
                <w:kern w:val="0"/>
                <w:szCs w:val="21"/>
                <w:lang w:val="en-US" w:eastAsia="zh-CN" w:bidi="ar"/>
              </w:rPr>
              <w:t>85</w:t>
            </w:r>
          </w:p>
        </w:tc>
        <w:tc>
          <w:tcPr>
            <w:tcW w:w="216" w:type="pct"/>
            <w:tcBorders>
              <w:tl2br w:val="nil"/>
              <w:tr2bl w:val="nil"/>
            </w:tcBorders>
            <w:shd w:val="clear" w:color="auto" w:fill="auto"/>
            <w:vAlign w:val="center"/>
          </w:tcPr>
          <w:p w14:paraId="05DD70FE">
            <w:pPr>
              <w:pStyle w:val="163"/>
              <w:jc w:val="center"/>
              <w:rPr>
                <w:rFonts w:hint="eastAsia" w:ascii="Times New Roman" w:eastAsia="仿宋_GB2312"/>
                <w:color w:val="auto"/>
                <w:kern w:val="0"/>
                <w:szCs w:val="21"/>
                <w:lang w:eastAsia="zh-CN" w:bidi="ar"/>
              </w:rPr>
            </w:pPr>
            <w:r>
              <w:rPr>
                <w:rFonts w:hint="eastAsia" w:ascii="Times New Roman"/>
                <w:color w:val="auto"/>
                <w:kern w:val="0"/>
                <w:szCs w:val="21"/>
                <w:lang w:val="en-US" w:eastAsia="zh-CN" w:bidi="ar"/>
              </w:rPr>
              <w:t>1</w:t>
            </w:r>
          </w:p>
        </w:tc>
        <w:tc>
          <w:tcPr>
            <w:tcW w:w="260" w:type="pct"/>
            <w:tcBorders>
              <w:tl2br w:val="nil"/>
              <w:tr2bl w:val="nil"/>
            </w:tcBorders>
            <w:shd w:val="clear" w:color="auto" w:fill="auto"/>
            <w:vAlign w:val="center"/>
          </w:tcPr>
          <w:p w14:paraId="48AB15B2">
            <w:pPr>
              <w:pStyle w:val="163"/>
              <w:jc w:val="center"/>
              <w:rPr>
                <w:rFonts w:ascii="Times New Roman"/>
                <w:color w:val="auto"/>
                <w:kern w:val="0"/>
                <w:szCs w:val="21"/>
                <w:lang w:bidi="ar"/>
              </w:rPr>
            </w:pPr>
            <w:r>
              <w:rPr>
                <w:rFonts w:ascii="Times New Roman"/>
                <w:color w:val="auto"/>
                <w:kern w:val="0"/>
                <w:szCs w:val="21"/>
                <w:lang w:bidi="ar"/>
              </w:rPr>
              <w:t>85</w:t>
            </w:r>
          </w:p>
        </w:tc>
        <w:tc>
          <w:tcPr>
            <w:tcW w:w="287" w:type="pct"/>
            <w:vMerge w:val="continue"/>
            <w:tcBorders>
              <w:tl2br w:val="nil"/>
              <w:tr2bl w:val="nil"/>
            </w:tcBorders>
            <w:shd w:val="clear" w:color="auto" w:fill="auto"/>
            <w:vAlign w:val="center"/>
          </w:tcPr>
          <w:p w14:paraId="12563687">
            <w:pPr>
              <w:pStyle w:val="81"/>
              <w:spacing w:beforeAutospacing="0" w:afterAutospacing="0" w:line="320" w:lineRule="exact"/>
              <w:jc w:val="center"/>
              <w:rPr>
                <w:rFonts w:eastAsia="仿宋_GB2312"/>
                <w:color w:val="FF0000"/>
                <w:sz w:val="21"/>
                <w:szCs w:val="21"/>
                <w:lang w:bidi="ar"/>
              </w:rPr>
            </w:pPr>
          </w:p>
        </w:tc>
        <w:tc>
          <w:tcPr>
            <w:tcW w:w="270" w:type="pct"/>
            <w:tcBorders>
              <w:tl2br w:val="nil"/>
              <w:tr2bl w:val="nil"/>
            </w:tcBorders>
            <w:shd w:val="clear" w:color="auto" w:fill="auto"/>
            <w:vAlign w:val="center"/>
          </w:tcPr>
          <w:p w14:paraId="7A88EAA4">
            <w:pPr>
              <w:pStyle w:val="81"/>
              <w:spacing w:beforeAutospacing="0" w:afterAutospacing="0" w:line="320" w:lineRule="exact"/>
              <w:jc w:val="center"/>
              <w:rPr>
                <w:rFonts w:eastAsia="仿宋_GB2312"/>
                <w:color w:val="auto"/>
                <w:sz w:val="21"/>
                <w:szCs w:val="21"/>
              </w:rPr>
            </w:pPr>
            <w:r>
              <w:rPr>
                <w:rFonts w:eastAsia="仿宋_GB2312"/>
                <w:color w:val="auto"/>
                <w:sz w:val="21"/>
                <w:szCs w:val="21"/>
              </w:rPr>
              <w:t>5</w:t>
            </w:r>
          </w:p>
        </w:tc>
        <w:tc>
          <w:tcPr>
            <w:tcW w:w="282" w:type="pct"/>
            <w:tcBorders>
              <w:tl2br w:val="nil"/>
              <w:tr2bl w:val="nil"/>
            </w:tcBorders>
            <w:shd w:val="clear" w:color="auto" w:fill="auto"/>
            <w:vAlign w:val="center"/>
          </w:tcPr>
          <w:p w14:paraId="2BAA87B8">
            <w:pPr>
              <w:pStyle w:val="81"/>
              <w:spacing w:beforeAutospacing="0" w:afterAutospacing="0" w:line="320" w:lineRule="exact"/>
              <w:jc w:val="center"/>
              <w:rPr>
                <w:rFonts w:eastAsia="仿宋_GB2312"/>
                <w:color w:val="auto"/>
                <w:sz w:val="21"/>
                <w:szCs w:val="21"/>
                <w:lang w:bidi="ar"/>
              </w:rPr>
            </w:pPr>
            <w:r>
              <w:rPr>
                <w:rFonts w:eastAsia="仿宋_GB2312"/>
                <w:color w:val="auto"/>
                <w:sz w:val="21"/>
                <w:szCs w:val="21"/>
                <w:lang w:bidi="ar"/>
              </w:rPr>
              <w:t>7</w:t>
            </w:r>
            <w:r>
              <w:rPr>
                <w:rFonts w:hint="eastAsia" w:eastAsia="仿宋_GB2312"/>
                <w:color w:val="auto"/>
                <w:sz w:val="21"/>
                <w:szCs w:val="21"/>
                <w:lang w:bidi="ar"/>
              </w:rPr>
              <w:t>1</w:t>
            </w:r>
          </w:p>
        </w:tc>
        <w:tc>
          <w:tcPr>
            <w:tcW w:w="270" w:type="pct"/>
            <w:tcBorders>
              <w:tl2br w:val="nil"/>
              <w:tr2bl w:val="nil"/>
            </w:tcBorders>
            <w:shd w:val="clear" w:color="auto" w:fill="auto"/>
            <w:vAlign w:val="center"/>
          </w:tcPr>
          <w:p w14:paraId="5AFF7A22">
            <w:pPr>
              <w:pStyle w:val="81"/>
              <w:spacing w:beforeAutospacing="0" w:afterAutospacing="0" w:line="320" w:lineRule="exact"/>
              <w:jc w:val="center"/>
              <w:rPr>
                <w:rFonts w:eastAsia="仿宋_GB2312"/>
                <w:b/>
                <w:bCs/>
                <w:color w:val="auto"/>
                <w:sz w:val="21"/>
                <w:szCs w:val="21"/>
              </w:rPr>
            </w:pPr>
            <w:r>
              <w:rPr>
                <w:rFonts w:eastAsia="仿宋_GB2312"/>
                <w:color w:val="auto"/>
                <w:sz w:val="21"/>
                <w:szCs w:val="21"/>
                <w:lang w:bidi="ar"/>
              </w:rPr>
              <w:t>全天</w:t>
            </w:r>
          </w:p>
        </w:tc>
        <w:tc>
          <w:tcPr>
            <w:tcW w:w="312" w:type="pct"/>
            <w:tcBorders>
              <w:tl2br w:val="nil"/>
              <w:tr2bl w:val="nil"/>
            </w:tcBorders>
            <w:shd w:val="clear" w:color="auto" w:fill="auto"/>
            <w:vAlign w:val="center"/>
          </w:tcPr>
          <w:p w14:paraId="3AA2DCCE">
            <w:pPr>
              <w:pStyle w:val="81"/>
              <w:spacing w:beforeAutospacing="0" w:afterAutospacing="0" w:line="320" w:lineRule="exact"/>
              <w:jc w:val="center"/>
              <w:rPr>
                <w:rFonts w:eastAsia="仿宋_GB2312"/>
                <w:color w:val="auto"/>
                <w:sz w:val="21"/>
                <w:szCs w:val="21"/>
              </w:rPr>
            </w:pPr>
            <w:r>
              <w:rPr>
                <w:rFonts w:eastAsia="仿宋_GB2312"/>
                <w:color w:val="auto"/>
                <w:sz w:val="21"/>
                <w:szCs w:val="21"/>
                <w:lang w:bidi="ar"/>
              </w:rPr>
              <w:t>20</w:t>
            </w:r>
          </w:p>
        </w:tc>
        <w:tc>
          <w:tcPr>
            <w:tcW w:w="262" w:type="pct"/>
            <w:tcBorders>
              <w:tl2br w:val="nil"/>
              <w:tr2bl w:val="nil"/>
            </w:tcBorders>
            <w:shd w:val="clear" w:color="auto" w:fill="auto"/>
            <w:vAlign w:val="center"/>
          </w:tcPr>
          <w:p w14:paraId="0FF26644">
            <w:pPr>
              <w:pStyle w:val="81"/>
              <w:spacing w:beforeAutospacing="0" w:afterAutospacing="0" w:line="320" w:lineRule="exact"/>
              <w:jc w:val="center"/>
              <w:rPr>
                <w:rFonts w:eastAsia="仿宋_GB2312"/>
                <w:color w:val="auto"/>
                <w:sz w:val="21"/>
                <w:szCs w:val="21"/>
                <w:lang w:bidi="ar"/>
              </w:rPr>
            </w:pPr>
            <w:r>
              <w:rPr>
                <w:rFonts w:eastAsia="仿宋_GB2312"/>
                <w:color w:val="auto"/>
                <w:sz w:val="21"/>
                <w:szCs w:val="21"/>
                <w:lang w:bidi="ar"/>
              </w:rPr>
              <w:t>5</w:t>
            </w:r>
            <w:r>
              <w:rPr>
                <w:rFonts w:hint="eastAsia" w:eastAsia="仿宋_GB2312"/>
                <w:color w:val="auto"/>
                <w:sz w:val="21"/>
                <w:szCs w:val="21"/>
                <w:lang w:bidi="ar"/>
              </w:rPr>
              <w:t>1</w:t>
            </w:r>
          </w:p>
        </w:tc>
        <w:tc>
          <w:tcPr>
            <w:tcW w:w="288" w:type="pct"/>
            <w:tcBorders>
              <w:tl2br w:val="nil"/>
              <w:tr2bl w:val="nil"/>
            </w:tcBorders>
            <w:shd w:val="clear" w:color="auto" w:fill="auto"/>
            <w:vAlign w:val="center"/>
          </w:tcPr>
          <w:p w14:paraId="54D7E1DA">
            <w:pPr>
              <w:pStyle w:val="81"/>
              <w:spacing w:beforeAutospacing="0" w:afterAutospacing="0" w:line="320" w:lineRule="exact"/>
              <w:jc w:val="center"/>
              <w:rPr>
                <w:rFonts w:eastAsia="仿宋_GB2312"/>
                <w:color w:val="auto"/>
                <w:sz w:val="21"/>
                <w:szCs w:val="21"/>
              </w:rPr>
            </w:pPr>
            <w:r>
              <w:rPr>
                <w:rFonts w:eastAsia="仿宋_GB2312"/>
                <w:color w:val="auto"/>
                <w:sz w:val="21"/>
                <w:szCs w:val="21"/>
                <w:lang w:bidi="ar"/>
              </w:rPr>
              <w:t>1</w:t>
            </w:r>
          </w:p>
        </w:tc>
        <w:tc>
          <w:tcPr>
            <w:tcW w:w="335" w:type="pct"/>
            <w:tcBorders>
              <w:tl2br w:val="nil"/>
              <w:tr2bl w:val="nil"/>
            </w:tcBorders>
            <w:shd w:val="clear" w:color="auto" w:fill="auto"/>
            <w:vAlign w:val="center"/>
          </w:tcPr>
          <w:p w14:paraId="32336459">
            <w:pPr>
              <w:pStyle w:val="81"/>
              <w:spacing w:beforeAutospacing="0" w:afterAutospacing="0" w:line="320" w:lineRule="exact"/>
              <w:jc w:val="center"/>
              <w:rPr>
                <w:rFonts w:eastAsia="仿宋_GB2312"/>
                <w:color w:val="auto"/>
                <w:sz w:val="21"/>
                <w:szCs w:val="21"/>
                <w:lang w:bidi="ar"/>
              </w:rPr>
            </w:pPr>
            <w:r>
              <w:rPr>
                <w:rFonts w:hint="eastAsia" w:eastAsia="仿宋_GB2312" w:hAnsiTheme="minorHAnsi"/>
                <w:color w:val="auto"/>
                <w:sz w:val="21"/>
                <w:szCs w:val="21"/>
                <w:lang w:val="en-US" w:eastAsia="zh-CN" w:bidi="ar"/>
              </w:rPr>
              <w:t>依托现有</w:t>
            </w:r>
          </w:p>
        </w:tc>
      </w:tr>
      <w:tr w14:paraId="4A1306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195" w:type="pct"/>
            <w:tcBorders>
              <w:tl2br w:val="nil"/>
              <w:tr2bl w:val="nil"/>
            </w:tcBorders>
            <w:shd w:val="clear" w:color="auto" w:fill="auto"/>
            <w:vAlign w:val="center"/>
          </w:tcPr>
          <w:p w14:paraId="45685102">
            <w:pPr>
              <w:pStyle w:val="81"/>
              <w:spacing w:beforeAutospacing="0" w:afterAutospacing="0" w:line="320" w:lineRule="exact"/>
              <w:jc w:val="center"/>
              <w:rPr>
                <w:rFonts w:eastAsia="仿宋_GB2312"/>
                <w:color w:val="auto"/>
                <w:sz w:val="21"/>
                <w:szCs w:val="21"/>
                <w:lang w:bidi="ar"/>
              </w:rPr>
            </w:pPr>
            <w:r>
              <w:rPr>
                <w:rFonts w:eastAsia="仿宋_GB2312"/>
                <w:color w:val="auto"/>
                <w:sz w:val="21"/>
                <w:szCs w:val="21"/>
                <w:lang w:bidi="ar"/>
              </w:rPr>
              <w:t>3</w:t>
            </w:r>
          </w:p>
        </w:tc>
        <w:tc>
          <w:tcPr>
            <w:tcW w:w="375" w:type="pct"/>
            <w:vMerge w:val="restart"/>
            <w:tcBorders>
              <w:tl2br w:val="nil"/>
              <w:tr2bl w:val="nil"/>
            </w:tcBorders>
            <w:shd w:val="clear" w:color="auto" w:fill="auto"/>
            <w:vAlign w:val="center"/>
          </w:tcPr>
          <w:p w14:paraId="1BCE2EEE">
            <w:pPr>
              <w:widowControl/>
              <w:jc w:val="center"/>
              <w:textAlignment w:val="center"/>
              <w:rPr>
                <w:rFonts w:eastAsia="仿宋_GB2312"/>
                <w:color w:val="auto"/>
                <w:kern w:val="0"/>
                <w:szCs w:val="21"/>
                <w:lang w:bidi="ar"/>
              </w:rPr>
            </w:pPr>
            <w:r>
              <w:rPr>
                <w:rFonts w:hint="eastAsia" w:eastAsia="仿宋_GB2312"/>
                <w:color w:val="auto"/>
                <w:kern w:val="0"/>
                <w:szCs w:val="21"/>
                <w:lang w:val="en-US" w:eastAsia="zh-CN" w:bidi="ar"/>
              </w:rPr>
              <w:t>B-7</w:t>
            </w:r>
            <w:r>
              <w:rPr>
                <w:rFonts w:eastAsia="仿宋_GB2312"/>
                <w:color w:val="auto"/>
                <w:kern w:val="0"/>
                <w:szCs w:val="21"/>
                <w:lang w:bidi="ar"/>
              </w:rPr>
              <w:t>车间</w:t>
            </w:r>
          </w:p>
        </w:tc>
        <w:tc>
          <w:tcPr>
            <w:tcW w:w="493" w:type="pct"/>
            <w:vMerge w:val="restart"/>
            <w:tcBorders>
              <w:tl2br w:val="nil"/>
              <w:tr2bl w:val="nil"/>
            </w:tcBorders>
            <w:shd w:val="clear" w:color="auto" w:fill="auto"/>
            <w:vAlign w:val="center"/>
          </w:tcPr>
          <w:p w14:paraId="1432DECD">
            <w:pPr>
              <w:bidi w:val="0"/>
              <w:jc w:val="center"/>
              <w:rPr>
                <w:rFonts w:eastAsia="仿宋_GB2312"/>
                <w:color w:val="auto"/>
                <w:kern w:val="0"/>
                <w:szCs w:val="21"/>
                <w:lang w:bidi="ar"/>
              </w:rPr>
            </w:pPr>
            <w:r>
              <w:rPr>
                <w:rFonts w:hint="eastAsia" w:eastAsia="方正仿宋_GB2312" w:cs="Times New Roman"/>
                <w:color w:val="auto"/>
                <w:sz w:val="21"/>
                <w:szCs w:val="21"/>
                <w:lang w:val="en-US" w:eastAsia="zh-CN"/>
              </w:rPr>
              <w:t>连续精馏系列（</w:t>
            </w:r>
            <w:r>
              <w:rPr>
                <w:rFonts w:hint="default" w:ascii="Times New Roman" w:hAnsi="Times New Roman" w:eastAsia="方正仿宋_GB2312" w:cs="Times New Roman"/>
                <w:color w:val="auto"/>
                <w:sz w:val="21"/>
                <w:szCs w:val="21"/>
                <w:lang w:val="en-US" w:eastAsia="zh-CN"/>
              </w:rPr>
              <w:t>真空机组</w:t>
            </w:r>
            <w:r>
              <w:rPr>
                <w:rFonts w:hint="eastAsia" w:eastAsia="方正仿宋_GB2312" w:cs="Times New Roman"/>
                <w:color w:val="auto"/>
                <w:sz w:val="21"/>
                <w:szCs w:val="21"/>
                <w:lang w:val="en-US" w:eastAsia="zh-CN"/>
              </w:rPr>
              <w:t>）</w:t>
            </w:r>
          </w:p>
        </w:tc>
        <w:tc>
          <w:tcPr>
            <w:tcW w:w="437" w:type="pct"/>
            <w:vMerge w:val="restart"/>
            <w:tcBorders>
              <w:tl2br w:val="nil"/>
              <w:tr2bl w:val="nil"/>
            </w:tcBorders>
            <w:shd w:val="clear" w:color="auto" w:fill="auto"/>
            <w:vAlign w:val="center"/>
          </w:tcPr>
          <w:p w14:paraId="239CDF7F">
            <w:pPr>
              <w:bidi w:val="0"/>
              <w:jc w:val="center"/>
              <w:rPr>
                <w:rFonts w:eastAsia="仿宋_GB2312"/>
                <w:color w:val="auto"/>
                <w:kern w:val="0"/>
                <w:szCs w:val="21"/>
                <w:lang w:bidi="ar"/>
              </w:rPr>
            </w:pPr>
            <w:r>
              <w:rPr>
                <w:rFonts w:hint="default" w:ascii="Times New Roman" w:hAnsi="Times New Roman" w:eastAsia="方正仿宋_GB2312" w:cs="Times New Roman"/>
                <w:color w:val="auto"/>
                <w:sz w:val="21"/>
                <w:szCs w:val="21"/>
                <w:lang w:val="en-US" w:eastAsia="zh-CN"/>
              </w:rPr>
              <w:t>Q=200L/S</w:t>
            </w:r>
            <w:r>
              <w:rPr>
                <w:rFonts w:hint="eastAsia" w:ascii="Times New Roman" w:hAnsi="Times New Roman" w:eastAsia="方正仿宋_GB2312" w:cs="Times New Roman"/>
                <w:color w:val="auto"/>
                <w:sz w:val="21"/>
                <w:szCs w:val="21"/>
                <w:lang w:val="en-US" w:eastAsia="zh-CN"/>
              </w:rPr>
              <w:t>，</w:t>
            </w:r>
            <w:r>
              <w:rPr>
                <w:rFonts w:hint="default" w:ascii="Times New Roman" w:hAnsi="Times New Roman" w:eastAsia="方正仿宋_GB2312" w:cs="Times New Roman"/>
                <w:color w:val="auto"/>
                <w:sz w:val="21"/>
                <w:szCs w:val="21"/>
                <w:lang w:val="en-US" w:eastAsia="zh-CN"/>
              </w:rPr>
              <w:t>15kw+4kw</w:t>
            </w:r>
          </w:p>
        </w:tc>
        <w:tc>
          <w:tcPr>
            <w:tcW w:w="253" w:type="pct"/>
            <w:tcBorders>
              <w:tl2br w:val="nil"/>
              <w:tr2bl w:val="nil"/>
            </w:tcBorders>
            <w:shd w:val="clear" w:color="auto" w:fill="auto"/>
            <w:vAlign w:val="center"/>
          </w:tcPr>
          <w:p w14:paraId="5345293F">
            <w:pPr>
              <w:widowControl/>
              <w:jc w:val="center"/>
              <w:textAlignment w:val="center"/>
              <w:rPr>
                <w:rFonts w:hint="eastAsia" w:eastAsia="仿宋_GB2312"/>
                <w:color w:val="auto"/>
                <w:kern w:val="0"/>
                <w:szCs w:val="21"/>
                <w:lang w:eastAsia="zh-CN" w:bidi="ar"/>
              </w:rPr>
            </w:pPr>
            <w:r>
              <w:rPr>
                <w:rFonts w:hint="eastAsia" w:eastAsia="仿宋_GB2312"/>
                <w:color w:val="auto"/>
                <w:kern w:val="0"/>
                <w:szCs w:val="21"/>
                <w:lang w:val="en-US" w:eastAsia="zh-CN" w:bidi="ar"/>
              </w:rPr>
              <w:t>1</w:t>
            </w:r>
          </w:p>
        </w:tc>
        <w:tc>
          <w:tcPr>
            <w:tcW w:w="237" w:type="pct"/>
            <w:tcBorders>
              <w:tl2br w:val="nil"/>
              <w:tr2bl w:val="nil"/>
            </w:tcBorders>
            <w:shd w:val="clear" w:color="auto" w:fill="auto"/>
            <w:vAlign w:val="center"/>
          </w:tcPr>
          <w:p w14:paraId="4A6626A7">
            <w:pPr>
              <w:pStyle w:val="163"/>
              <w:jc w:val="center"/>
              <w:rPr>
                <w:rFonts w:hint="default" w:ascii="Times New Roman"/>
                <w:color w:val="auto"/>
                <w:kern w:val="0"/>
                <w:szCs w:val="21"/>
                <w:lang w:val="en-US" w:eastAsia="zh-CN" w:bidi="ar"/>
              </w:rPr>
            </w:pPr>
            <w:r>
              <w:rPr>
                <w:rFonts w:hint="eastAsia" w:ascii="Times New Roman"/>
                <w:color w:val="auto"/>
                <w:kern w:val="0"/>
                <w:szCs w:val="21"/>
                <w:lang w:val="en-US" w:eastAsia="zh-CN" w:bidi="ar"/>
              </w:rPr>
              <w:t>161</w:t>
            </w:r>
          </w:p>
        </w:tc>
        <w:tc>
          <w:tcPr>
            <w:tcW w:w="220" w:type="pct"/>
            <w:tcBorders>
              <w:tl2br w:val="nil"/>
              <w:tr2bl w:val="nil"/>
            </w:tcBorders>
            <w:shd w:val="clear" w:color="auto" w:fill="auto"/>
            <w:vAlign w:val="center"/>
          </w:tcPr>
          <w:p w14:paraId="5E2A0A64">
            <w:pPr>
              <w:pStyle w:val="163"/>
              <w:jc w:val="center"/>
              <w:rPr>
                <w:rFonts w:hint="default" w:ascii="Times New Roman"/>
                <w:color w:val="auto"/>
                <w:kern w:val="0"/>
                <w:szCs w:val="21"/>
                <w:lang w:val="en-US" w:eastAsia="zh-CN" w:bidi="ar"/>
              </w:rPr>
            </w:pPr>
            <w:r>
              <w:rPr>
                <w:rFonts w:hint="eastAsia" w:ascii="Times New Roman"/>
                <w:color w:val="auto"/>
                <w:kern w:val="0"/>
                <w:szCs w:val="21"/>
                <w:lang w:val="en-US" w:eastAsia="zh-CN" w:bidi="ar"/>
              </w:rPr>
              <w:t>39</w:t>
            </w:r>
          </w:p>
        </w:tc>
        <w:tc>
          <w:tcPr>
            <w:tcW w:w="216" w:type="pct"/>
            <w:tcBorders>
              <w:tl2br w:val="nil"/>
              <w:tr2bl w:val="nil"/>
            </w:tcBorders>
            <w:shd w:val="clear" w:color="auto" w:fill="auto"/>
            <w:vAlign w:val="center"/>
          </w:tcPr>
          <w:p w14:paraId="544B4001">
            <w:pPr>
              <w:pStyle w:val="163"/>
              <w:jc w:val="center"/>
              <w:rPr>
                <w:rFonts w:hint="default" w:ascii="Times New Roman"/>
                <w:color w:val="auto"/>
                <w:kern w:val="0"/>
                <w:szCs w:val="21"/>
                <w:lang w:val="en-US" w:eastAsia="zh-CN" w:bidi="ar"/>
              </w:rPr>
            </w:pPr>
            <w:r>
              <w:rPr>
                <w:rFonts w:hint="eastAsia" w:ascii="Times New Roman"/>
                <w:color w:val="auto"/>
                <w:kern w:val="0"/>
                <w:szCs w:val="21"/>
                <w:lang w:val="en-US" w:eastAsia="zh-CN" w:bidi="ar"/>
              </w:rPr>
              <w:t>0.5</w:t>
            </w:r>
          </w:p>
        </w:tc>
        <w:tc>
          <w:tcPr>
            <w:tcW w:w="260" w:type="pct"/>
            <w:tcBorders>
              <w:tl2br w:val="nil"/>
              <w:tr2bl w:val="nil"/>
            </w:tcBorders>
            <w:shd w:val="clear" w:color="auto" w:fill="auto"/>
            <w:vAlign w:val="center"/>
          </w:tcPr>
          <w:p w14:paraId="152EF123">
            <w:pPr>
              <w:pStyle w:val="163"/>
              <w:jc w:val="center"/>
              <w:rPr>
                <w:rFonts w:hint="eastAsia" w:ascii="Times New Roman"/>
                <w:color w:val="auto"/>
                <w:kern w:val="0"/>
                <w:szCs w:val="21"/>
                <w:lang w:val="en-US" w:eastAsia="zh-CN" w:bidi="ar"/>
              </w:rPr>
            </w:pPr>
            <w:r>
              <w:rPr>
                <w:rFonts w:hint="eastAsia" w:ascii="Times New Roman"/>
                <w:color w:val="auto"/>
                <w:kern w:val="0"/>
                <w:szCs w:val="21"/>
                <w:lang w:val="en-US" w:eastAsia="zh-CN" w:bidi="ar"/>
              </w:rPr>
              <w:t>80</w:t>
            </w:r>
          </w:p>
        </w:tc>
        <w:tc>
          <w:tcPr>
            <w:tcW w:w="287" w:type="pct"/>
            <w:vMerge w:val="continue"/>
            <w:tcBorders>
              <w:tl2br w:val="nil"/>
              <w:tr2bl w:val="nil"/>
            </w:tcBorders>
            <w:shd w:val="clear" w:color="auto" w:fill="auto"/>
            <w:vAlign w:val="center"/>
          </w:tcPr>
          <w:p w14:paraId="128D1F3A">
            <w:pPr>
              <w:pStyle w:val="81"/>
              <w:spacing w:beforeAutospacing="0" w:afterAutospacing="0" w:line="320" w:lineRule="exact"/>
              <w:jc w:val="center"/>
              <w:rPr>
                <w:rFonts w:eastAsia="仿宋_GB2312"/>
                <w:color w:val="FF0000"/>
                <w:sz w:val="21"/>
                <w:szCs w:val="21"/>
                <w:lang w:bidi="ar"/>
              </w:rPr>
            </w:pPr>
          </w:p>
        </w:tc>
        <w:tc>
          <w:tcPr>
            <w:tcW w:w="270" w:type="pct"/>
            <w:tcBorders>
              <w:tl2br w:val="nil"/>
              <w:tr2bl w:val="nil"/>
            </w:tcBorders>
            <w:shd w:val="clear" w:color="auto" w:fill="auto"/>
            <w:vAlign w:val="center"/>
          </w:tcPr>
          <w:p w14:paraId="4A70DB0E">
            <w:pPr>
              <w:pStyle w:val="81"/>
              <w:spacing w:beforeAutospacing="0" w:afterAutospacing="0" w:line="320" w:lineRule="exact"/>
              <w:jc w:val="center"/>
              <w:rPr>
                <w:rFonts w:eastAsia="仿宋_GB2312"/>
                <w:color w:val="auto"/>
                <w:sz w:val="21"/>
                <w:szCs w:val="21"/>
              </w:rPr>
            </w:pPr>
            <w:r>
              <w:rPr>
                <w:rFonts w:eastAsia="仿宋_GB2312"/>
                <w:color w:val="auto"/>
                <w:sz w:val="21"/>
                <w:szCs w:val="21"/>
              </w:rPr>
              <w:t>5</w:t>
            </w:r>
          </w:p>
        </w:tc>
        <w:tc>
          <w:tcPr>
            <w:tcW w:w="282" w:type="pct"/>
            <w:tcBorders>
              <w:tl2br w:val="nil"/>
              <w:tr2bl w:val="nil"/>
            </w:tcBorders>
            <w:shd w:val="clear" w:color="auto" w:fill="auto"/>
            <w:vAlign w:val="center"/>
          </w:tcPr>
          <w:p w14:paraId="1B09F02F">
            <w:pPr>
              <w:pStyle w:val="81"/>
              <w:spacing w:beforeAutospacing="0" w:afterAutospacing="0" w:line="320" w:lineRule="exact"/>
              <w:jc w:val="center"/>
              <w:rPr>
                <w:rFonts w:eastAsia="仿宋_GB2312"/>
                <w:color w:val="auto"/>
                <w:sz w:val="21"/>
                <w:szCs w:val="21"/>
                <w:lang w:bidi="ar"/>
              </w:rPr>
            </w:pPr>
            <w:r>
              <w:rPr>
                <w:rFonts w:eastAsia="仿宋_GB2312"/>
                <w:color w:val="auto"/>
                <w:sz w:val="21"/>
                <w:szCs w:val="21"/>
                <w:lang w:bidi="ar"/>
              </w:rPr>
              <w:t>6</w:t>
            </w:r>
            <w:r>
              <w:rPr>
                <w:rFonts w:hint="eastAsia" w:eastAsia="仿宋_GB2312"/>
                <w:color w:val="auto"/>
                <w:sz w:val="21"/>
                <w:szCs w:val="21"/>
                <w:lang w:bidi="ar"/>
              </w:rPr>
              <w:t>6</w:t>
            </w:r>
          </w:p>
        </w:tc>
        <w:tc>
          <w:tcPr>
            <w:tcW w:w="270" w:type="pct"/>
            <w:tcBorders>
              <w:tl2br w:val="nil"/>
              <w:tr2bl w:val="nil"/>
            </w:tcBorders>
            <w:shd w:val="clear" w:color="auto" w:fill="auto"/>
            <w:vAlign w:val="center"/>
          </w:tcPr>
          <w:p w14:paraId="4C9F0C0C">
            <w:pPr>
              <w:pStyle w:val="81"/>
              <w:spacing w:beforeAutospacing="0" w:afterAutospacing="0" w:line="320" w:lineRule="exact"/>
              <w:jc w:val="center"/>
              <w:rPr>
                <w:rFonts w:eastAsia="仿宋_GB2312"/>
                <w:b/>
                <w:bCs/>
                <w:color w:val="auto"/>
                <w:sz w:val="21"/>
                <w:szCs w:val="21"/>
              </w:rPr>
            </w:pPr>
            <w:r>
              <w:rPr>
                <w:rFonts w:eastAsia="仿宋_GB2312"/>
                <w:color w:val="auto"/>
                <w:sz w:val="21"/>
                <w:szCs w:val="21"/>
                <w:lang w:bidi="ar"/>
              </w:rPr>
              <w:t>全天</w:t>
            </w:r>
          </w:p>
        </w:tc>
        <w:tc>
          <w:tcPr>
            <w:tcW w:w="312" w:type="pct"/>
            <w:tcBorders>
              <w:tl2br w:val="nil"/>
              <w:tr2bl w:val="nil"/>
            </w:tcBorders>
            <w:shd w:val="clear" w:color="auto" w:fill="auto"/>
            <w:vAlign w:val="center"/>
          </w:tcPr>
          <w:p w14:paraId="628B710B">
            <w:pPr>
              <w:pStyle w:val="81"/>
              <w:spacing w:beforeAutospacing="0" w:afterAutospacing="0" w:line="320" w:lineRule="exact"/>
              <w:jc w:val="center"/>
              <w:rPr>
                <w:rFonts w:eastAsia="仿宋_GB2312"/>
                <w:color w:val="auto"/>
                <w:sz w:val="21"/>
                <w:szCs w:val="21"/>
              </w:rPr>
            </w:pPr>
            <w:r>
              <w:rPr>
                <w:rFonts w:eastAsia="仿宋_GB2312"/>
                <w:color w:val="auto"/>
                <w:sz w:val="21"/>
                <w:szCs w:val="21"/>
                <w:lang w:bidi="ar"/>
              </w:rPr>
              <w:t>20</w:t>
            </w:r>
          </w:p>
        </w:tc>
        <w:tc>
          <w:tcPr>
            <w:tcW w:w="262" w:type="pct"/>
            <w:tcBorders>
              <w:tl2br w:val="nil"/>
              <w:tr2bl w:val="nil"/>
            </w:tcBorders>
            <w:shd w:val="clear" w:color="auto" w:fill="auto"/>
            <w:vAlign w:val="center"/>
          </w:tcPr>
          <w:p w14:paraId="230796E8">
            <w:pPr>
              <w:pStyle w:val="81"/>
              <w:spacing w:beforeAutospacing="0" w:afterAutospacing="0" w:line="320" w:lineRule="exact"/>
              <w:jc w:val="center"/>
              <w:rPr>
                <w:rFonts w:eastAsia="仿宋_GB2312"/>
                <w:color w:val="auto"/>
                <w:sz w:val="21"/>
                <w:szCs w:val="21"/>
                <w:lang w:bidi="ar"/>
              </w:rPr>
            </w:pPr>
            <w:r>
              <w:rPr>
                <w:rFonts w:eastAsia="仿宋_GB2312"/>
                <w:color w:val="auto"/>
                <w:sz w:val="21"/>
                <w:szCs w:val="21"/>
                <w:lang w:bidi="ar"/>
              </w:rPr>
              <w:t>46</w:t>
            </w:r>
          </w:p>
        </w:tc>
        <w:tc>
          <w:tcPr>
            <w:tcW w:w="288" w:type="pct"/>
            <w:tcBorders>
              <w:tl2br w:val="nil"/>
              <w:tr2bl w:val="nil"/>
            </w:tcBorders>
            <w:shd w:val="clear" w:color="auto" w:fill="auto"/>
            <w:vAlign w:val="center"/>
          </w:tcPr>
          <w:p w14:paraId="7988EC67">
            <w:pPr>
              <w:pStyle w:val="81"/>
              <w:spacing w:beforeAutospacing="0" w:afterAutospacing="0" w:line="320" w:lineRule="exact"/>
              <w:jc w:val="center"/>
              <w:rPr>
                <w:rFonts w:eastAsia="仿宋_GB2312"/>
                <w:color w:val="auto"/>
                <w:sz w:val="21"/>
                <w:szCs w:val="21"/>
              </w:rPr>
            </w:pPr>
            <w:r>
              <w:rPr>
                <w:rFonts w:eastAsia="仿宋_GB2312"/>
                <w:color w:val="auto"/>
                <w:sz w:val="21"/>
                <w:szCs w:val="21"/>
                <w:lang w:bidi="ar"/>
              </w:rPr>
              <w:t>1</w:t>
            </w:r>
          </w:p>
        </w:tc>
        <w:tc>
          <w:tcPr>
            <w:tcW w:w="335" w:type="pct"/>
            <w:tcBorders>
              <w:tl2br w:val="nil"/>
              <w:tr2bl w:val="nil"/>
            </w:tcBorders>
            <w:shd w:val="clear" w:color="auto" w:fill="auto"/>
            <w:vAlign w:val="center"/>
          </w:tcPr>
          <w:p w14:paraId="0ADCACB4">
            <w:pPr>
              <w:pStyle w:val="81"/>
              <w:spacing w:beforeAutospacing="0" w:afterAutospacing="0" w:line="320" w:lineRule="exact"/>
              <w:jc w:val="center"/>
              <w:rPr>
                <w:rFonts w:eastAsia="仿宋_GB2312"/>
                <w:color w:val="auto"/>
                <w:sz w:val="21"/>
                <w:szCs w:val="21"/>
                <w:lang w:bidi="ar"/>
              </w:rPr>
            </w:pPr>
            <w:r>
              <w:rPr>
                <w:rFonts w:hint="eastAsia" w:eastAsia="仿宋_GB2312" w:hAnsiTheme="minorHAnsi"/>
                <w:color w:val="auto"/>
                <w:sz w:val="21"/>
                <w:szCs w:val="21"/>
                <w:lang w:val="en-US" w:eastAsia="zh-CN" w:bidi="ar"/>
              </w:rPr>
              <w:t>依托现有</w:t>
            </w:r>
          </w:p>
        </w:tc>
      </w:tr>
      <w:tr w14:paraId="5BE71F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195" w:type="pct"/>
            <w:tcBorders>
              <w:tl2br w:val="nil"/>
              <w:tr2bl w:val="nil"/>
            </w:tcBorders>
            <w:shd w:val="clear" w:color="auto" w:fill="auto"/>
            <w:vAlign w:val="center"/>
          </w:tcPr>
          <w:p w14:paraId="2898744B">
            <w:pPr>
              <w:pStyle w:val="81"/>
              <w:spacing w:beforeAutospacing="0" w:afterAutospacing="0" w:line="320" w:lineRule="exact"/>
              <w:jc w:val="center"/>
              <w:rPr>
                <w:rFonts w:hint="eastAsia" w:eastAsia="仿宋_GB2312"/>
                <w:color w:val="auto"/>
                <w:sz w:val="21"/>
                <w:szCs w:val="21"/>
                <w:lang w:val="en-US" w:eastAsia="zh-CN" w:bidi="ar"/>
              </w:rPr>
            </w:pPr>
            <w:r>
              <w:rPr>
                <w:rFonts w:hint="eastAsia" w:eastAsia="仿宋_GB2312"/>
                <w:color w:val="auto"/>
                <w:sz w:val="21"/>
                <w:szCs w:val="21"/>
                <w:lang w:val="en-US" w:eastAsia="zh-CN" w:bidi="ar"/>
              </w:rPr>
              <w:t>4</w:t>
            </w:r>
          </w:p>
        </w:tc>
        <w:tc>
          <w:tcPr>
            <w:tcW w:w="375" w:type="pct"/>
            <w:vMerge w:val="continue"/>
            <w:tcBorders>
              <w:tl2br w:val="nil"/>
              <w:tr2bl w:val="nil"/>
            </w:tcBorders>
            <w:shd w:val="clear" w:color="auto" w:fill="auto"/>
            <w:vAlign w:val="center"/>
          </w:tcPr>
          <w:p w14:paraId="1F909210">
            <w:pPr>
              <w:widowControl/>
              <w:jc w:val="center"/>
              <w:textAlignment w:val="center"/>
              <w:rPr>
                <w:rFonts w:hint="eastAsia" w:eastAsia="仿宋_GB2312"/>
                <w:color w:val="auto"/>
                <w:kern w:val="0"/>
                <w:szCs w:val="21"/>
                <w:lang w:val="en-US" w:eastAsia="zh-CN" w:bidi="ar"/>
              </w:rPr>
            </w:pPr>
          </w:p>
        </w:tc>
        <w:tc>
          <w:tcPr>
            <w:tcW w:w="493" w:type="pct"/>
            <w:vMerge w:val="continue"/>
            <w:tcBorders>
              <w:tl2br w:val="nil"/>
              <w:tr2bl w:val="nil"/>
            </w:tcBorders>
            <w:shd w:val="clear" w:color="auto" w:fill="auto"/>
            <w:vAlign w:val="center"/>
          </w:tcPr>
          <w:p w14:paraId="3F90AA82">
            <w:pPr>
              <w:bidi w:val="0"/>
              <w:jc w:val="center"/>
              <w:rPr>
                <w:rFonts w:hint="default" w:ascii="Times New Roman" w:hAnsi="Times New Roman" w:eastAsia="方正仿宋_GB2312" w:cs="Times New Roman"/>
                <w:color w:val="auto"/>
                <w:sz w:val="21"/>
                <w:szCs w:val="21"/>
                <w:lang w:val="en-US" w:eastAsia="zh-CN"/>
              </w:rPr>
            </w:pPr>
          </w:p>
        </w:tc>
        <w:tc>
          <w:tcPr>
            <w:tcW w:w="437" w:type="pct"/>
            <w:vMerge w:val="continue"/>
            <w:tcBorders>
              <w:tl2br w:val="nil"/>
              <w:tr2bl w:val="nil"/>
            </w:tcBorders>
            <w:shd w:val="clear" w:color="auto" w:fill="auto"/>
            <w:vAlign w:val="center"/>
          </w:tcPr>
          <w:p w14:paraId="76386EB7">
            <w:pPr>
              <w:bidi w:val="0"/>
              <w:jc w:val="center"/>
              <w:rPr>
                <w:rFonts w:hint="default" w:ascii="Times New Roman" w:hAnsi="Times New Roman" w:eastAsia="方正仿宋_GB2312" w:cs="Times New Roman"/>
                <w:color w:val="auto"/>
                <w:sz w:val="21"/>
                <w:szCs w:val="21"/>
                <w:lang w:val="en-US" w:eastAsia="zh-CN"/>
              </w:rPr>
            </w:pPr>
          </w:p>
        </w:tc>
        <w:tc>
          <w:tcPr>
            <w:tcW w:w="253" w:type="pct"/>
            <w:tcBorders>
              <w:tl2br w:val="nil"/>
              <w:tr2bl w:val="nil"/>
            </w:tcBorders>
            <w:shd w:val="clear" w:color="auto" w:fill="auto"/>
            <w:vAlign w:val="center"/>
          </w:tcPr>
          <w:p w14:paraId="1C53A495">
            <w:pPr>
              <w:widowControl/>
              <w:jc w:val="center"/>
              <w:textAlignment w:val="center"/>
              <w:rPr>
                <w:rFonts w:hint="eastAsia" w:eastAsia="仿宋_GB2312"/>
                <w:color w:val="auto"/>
                <w:kern w:val="0"/>
                <w:szCs w:val="21"/>
                <w:lang w:val="en-US" w:eastAsia="zh-CN" w:bidi="ar"/>
              </w:rPr>
            </w:pPr>
            <w:r>
              <w:rPr>
                <w:rFonts w:hint="eastAsia" w:eastAsia="仿宋_GB2312"/>
                <w:color w:val="auto"/>
                <w:kern w:val="0"/>
                <w:szCs w:val="21"/>
                <w:lang w:val="en-US" w:eastAsia="zh-CN" w:bidi="ar"/>
              </w:rPr>
              <w:t>1</w:t>
            </w:r>
          </w:p>
        </w:tc>
        <w:tc>
          <w:tcPr>
            <w:tcW w:w="237" w:type="pct"/>
            <w:tcBorders>
              <w:tl2br w:val="nil"/>
              <w:tr2bl w:val="nil"/>
            </w:tcBorders>
            <w:shd w:val="clear" w:color="auto" w:fill="auto"/>
            <w:vAlign w:val="center"/>
          </w:tcPr>
          <w:p w14:paraId="5136655F">
            <w:pPr>
              <w:pStyle w:val="163"/>
              <w:jc w:val="center"/>
              <w:rPr>
                <w:rFonts w:hint="eastAsia" w:ascii="Times New Roman" w:hAnsi="Times New Roman" w:eastAsia="仿宋_GB2312" w:cs="Times New Roman"/>
                <w:color w:val="auto"/>
                <w:kern w:val="0"/>
                <w:sz w:val="21"/>
                <w:szCs w:val="21"/>
                <w:lang w:val="en-US" w:eastAsia="zh-CN" w:bidi="ar"/>
              </w:rPr>
            </w:pPr>
            <w:r>
              <w:rPr>
                <w:rFonts w:hint="eastAsia" w:ascii="Times New Roman"/>
                <w:color w:val="auto"/>
                <w:kern w:val="0"/>
                <w:szCs w:val="21"/>
                <w:lang w:val="en-US" w:eastAsia="zh-CN" w:bidi="ar"/>
              </w:rPr>
              <w:t>161</w:t>
            </w:r>
          </w:p>
        </w:tc>
        <w:tc>
          <w:tcPr>
            <w:tcW w:w="220" w:type="pct"/>
            <w:tcBorders>
              <w:tl2br w:val="nil"/>
              <w:tr2bl w:val="nil"/>
            </w:tcBorders>
            <w:shd w:val="clear" w:color="auto" w:fill="auto"/>
            <w:vAlign w:val="center"/>
          </w:tcPr>
          <w:p w14:paraId="058B6B77">
            <w:pPr>
              <w:pStyle w:val="163"/>
              <w:jc w:val="center"/>
              <w:rPr>
                <w:rFonts w:hint="default" w:ascii="Times New Roman" w:hAnsi="Times New Roman" w:eastAsia="仿宋_GB2312" w:cs="Times New Roman"/>
                <w:color w:val="auto"/>
                <w:kern w:val="0"/>
                <w:sz w:val="21"/>
                <w:szCs w:val="21"/>
                <w:lang w:val="en-US" w:eastAsia="zh-CN" w:bidi="ar"/>
              </w:rPr>
            </w:pPr>
            <w:r>
              <w:rPr>
                <w:rFonts w:hint="eastAsia" w:ascii="Times New Roman"/>
                <w:color w:val="auto"/>
                <w:kern w:val="0"/>
                <w:szCs w:val="21"/>
                <w:lang w:val="en-US" w:eastAsia="zh-CN" w:bidi="ar"/>
              </w:rPr>
              <w:t>40</w:t>
            </w:r>
          </w:p>
        </w:tc>
        <w:tc>
          <w:tcPr>
            <w:tcW w:w="216" w:type="pct"/>
            <w:tcBorders>
              <w:tl2br w:val="nil"/>
              <w:tr2bl w:val="nil"/>
            </w:tcBorders>
            <w:shd w:val="clear" w:color="auto" w:fill="auto"/>
            <w:vAlign w:val="center"/>
          </w:tcPr>
          <w:p w14:paraId="77FB225F">
            <w:pPr>
              <w:pStyle w:val="163"/>
              <w:jc w:val="center"/>
              <w:rPr>
                <w:rFonts w:hint="eastAsia" w:ascii="Times New Roman" w:hAnsi="Times New Roman" w:eastAsia="仿宋_GB2312" w:cs="Times New Roman"/>
                <w:color w:val="auto"/>
                <w:kern w:val="0"/>
                <w:sz w:val="21"/>
                <w:szCs w:val="21"/>
                <w:lang w:val="en-US" w:eastAsia="zh-CN" w:bidi="ar"/>
              </w:rPr>
            </w:pPr>
            <w:r>
              <w:rPr>
                <w:rFonts w:hint="eastAsia" w:ascii="Times New Roman"/>
                <w:color w:val="auto"/>
                <w:kern w:val="0"/>
                <w:szCs w:val="21"/>
                <w:lang w:val="en-US" w:eastAsia="zh-CN" w:bidi="ar"/>
              </w:rPr>
              <w:t>0.5</w:t>
            </w:r>
          </w:p>
        </w:tc>
        <w:tc>
          <w:tcPr>
            <w:tcW w:w="260" w:type="pct"/>
            <w:tcBorders>
              <w:tl2br w:val="nil"/>
              <w:tr2bl w:val="nil"/>
            </w:tcBorders>
            <w:shd w:val="clear" w:color="auto" w:fill="auto"/>
            <w:vAlign w:val="center"/>
          </w:tcPr>
          <w:p w14:paraId="62799831">
            <w:pPr>
              <w:pStyle w:val="163"/>
              <w:jc w:val="center"/>
              <w:rPr>
                <w:rFonts w:hint="default" w:ascii="Times New Roman"/>
                <w:color w:val="auto"/>
                <w:kern w:val="0"/>
                <w:szCs w:val="21"/>
                <w:lang w:val="en-US" w:eastAsia="zh-CN" w:bidi="ar"/>
              </w:rPr>
            </w:pPr>
            <w:r>
              <w:rPr>
                <w:rFonts w:hint="eastAsia" w:ascii="Times New Roman"/>
                <w:color w:val="auto"/>
                <w:kern w:val="0"/>
                <w:szCs w:val="21"/>
                <w:lang w:val="en-US" w:eastAsia="zh-CN" w:bidi="ar"/>
              </w:rPr>
              <w:t>80</w:t>
            </w:r>
          </w:p>
        </w:tc>
        <w:tc>
          <w:tcPr>
            <w:tcW w:w="287" w:type="pct"/>
            <w:vMerge w:val="continue"/>
            <w:tcBorders>
              <w:tl2br w:val="nil"/>
              <w:tr2bl w:val="nil"/>
            </w:tcBorders>
            <w:shd w:val="clear" w:color="auto" w:fill="auto"/>
            <w:vAlign w:val="center"/>
          </w:tcPr>
          <w:p w14:paraId="367DDFB4">
            <w:pPr>
              <w:pStyle w:val="81"/>
              <w:spacing w:beforeAutospacing="0" w:afterAutospacing="0" w:line="320" w:lineRule="exact"/>
              <w:jc w:val="center"/>
              <w:rPr>
                <w:rFonts w:eastAsia="仿宋_GB2312"/>
                <w:color w:val="FF0000"/>
                <w:sz w:val="21"/>
                <w:szCs w:val="21"/>
                <w:lang w:bidi="ar"/>
              </w:rPr>
            </w:pPr>
          </w:p>
        </w:tc>
        <w:tc>
          <w:tcPr>
            <w:tcW w:w="270" w:type="pct"/>
            <w:tcBorders>
              <w:tl2br w:val="nil"/>
              <w:tr2bl w:val="nil"/>
            </w:tcBorders>
            <w:shd w:val="clear" w:color="auto" w:fill="auto"/>
            <w:vAlign w:val="center"/>
          </w:tcPr>
          <w:p w14:paraId="56ADBFEE">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rPr>
              <w:t>5</w:t>
            </w:r>
          </w:p>
        </w:tc>
        <w:tc>
          <w:tcPr>
            <w:tcW w:w="282" w:type="pct"/>
            <w:tcBorders>
              <w:tl2br w:val="nil"/>
              <w:tr2bl w:val="nil"/>
            </w:tcBorders>
            <w:shd w:val="clear" w:color="auto" w:fill="auto"/>
            <w:vAlign w:val="center"/>
          </w:tcPr>
          <w:p w14:paraId="1037B7E1">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6</w:t>
            </w:r>
            <w:r>
              <w:rPr>
                <w:rFonts w:hint="eastAsia" w:eastAsia="仿宋_GB2312"/>
                <w:color w:val="auto"/>
                <w:sz w:val="21"/>
                <w:szCs w:val="21"/>
                <w:lang w:bidi="ar"/>
              </w:rPr>
              <w:t>6</w:t>
            </w:r>
          </w:p>
        </w:tc>
        <w:tc>
          <w:tcPr>
            <w:tcW w:w="270" w:type="pct"/>
            <w:tcBorders>
              <w:tl2br w:val="nil"/>
              <w:tr2bl w:val="nil"/>
            </w:tcBorders>
            <w:shd w:val="clear" w:color="auto" w:fill="auto"/>
            <w:vAlign w:val="center"/>
          </w:tcPr>
          <w:p w14:paraId="2C75D2CF">
            <w:pPr>
              <w:pStyle w:val="81"/>
              <w:spacing w:beforeAutospacing="0" w:afterAutospacing="0" w:line="320" w:lineRule="exact"/>
              <w:ind w:left="0" w:leftChars="0" w:right="0" w:rightChars="0"/>
              <w:jc w:val="center"/>
              <w:rPr>
                <w:rFonts w:ascii="Times New Roman" w:hAnsi="Times New Roman" w:eastAsia="仿宋_GB2312" w:cs="Times New Roman"/>
                <w:b/>
                <w:bCs/>
                <w:color w:val="auto"/>
                <w:kern w:val="0"/>
                <w:sz w:val="21"/>
                <w:szCs w:val="21"/>
                <w:lang w:val="en-US" w:eastAsia="zh-CN" w:bidi="ar"/>
              </w:rPr>
            </w:pPr>
            <w:r>
              <w:rPr>
                <w:rFonts w:eastAsia="仿宋_GB2312"/>
                <w:color w:val="auto"/>
                <w:sz w:val="21"/>
                <w:szCs w:val="21"/>
                <w:lang w:bidi="ar"/>
              </w:rPr>
              <w:t>全天</w:t>
            </w:r>
          </w:p>
        </w:tc>
        <w:tc>
          <w:tcPr>
            <w:tcW w:w="312" w:type="pct"/>
            <w:tcBorders>
              <w:tl2br w:val="nil"/>
              <w:tr2bl w:val="nil"/>
            </w:tcBorders>
            <w:shd w:val="clear" w:color="auto" w:fill="auto"/>
            <w:vAlign w:val="center"/>
          </w:tcPr>
          <w:p w14:paraId="379A2422">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20</w:t>
            </w:r>
          </w:p>
        </w:tc>
        <w:tc>
          <w:tcPr>
            <w:tcW w:w="262" w:type="pct"/>
            <w:tcBorders>
              <w:tl2br w:val="nil"/>
              <w:tr2bl w:val="nil"/>
            </w:tcBorders>
            <w:shd w:val="clear" w:color="auto" w:fill="auto"/>
            <w:vAlign w:val="center"/>
          </w:tcPr>
          <w:p w14:paraId="0E21803A">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46</w:t>
            </w:r>
          </w:p>
        </w:tc>
        <w:tc>
          <w:tcPr>
            <w:tcW w:w="288" w:type="pct"/>
            <w:tcBorders>
              <w:tl2br w:val="nil"/>
              <w:tr2bl w:val="nil"/>
            </w:tcBorders>
            <w:shd w:val="clear" w:color="auto" w:fill="auto"/>
            <w:vAlign w:val="center"/>
          </w:tcPr>
          <w:p w14:paraId="6F23CF83">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1</w:t>
            </w:r>
          </w:p>
        </w:tc>
        <w:tc>
          <w:tcPr>
            <w:tcW w:w="335" w:type="pct"/>
            <w:tcBorders>
              <w:tl2br w:val="nil"/>
              <w:tr2bl w:val="nil"/>
            </w:tcBorders>
            <w:shd w:val="clear" w:color="auto" w:fill="auto"/>
            <w:vAlign w:val="center"/>
          </w:tcPr>
          <w:p w14:paraId="42EA6B2A">
            <w:pPr>
              <w:pStyle w:val="81"/>
              <w:spacing w:beforeAutospacing="0" w:afterAutospacing="0" w:line="320" w:lineRule="exact"/>
              <w:jc w:val="center"/>
              <w:rPr>
                <w:rFonts w:eastAsia="仿宋_GB2312"/>
                <w:color w:val="FF0000"/>
                <w:sz w:val="21"/>
                <w:szCs w:val="21"/>
                <w:lang w:bidi="ar"/>
              </w:rPr>
            </w:pPr>
            <w:r>
              <w:rPr>
                <w:rFonts w:hint="eastAsia" w:eastAsia="仿宋_GB2312" w:hAnsiTheme="minorHAnsi"/>
                <w:color w:val="auto"/>
                <w:sz w:val="21"/>
                <w:szCs w:val="21"/>
                <w:lang w:val="en-US" w:eastAsia="zh-CN" w:bidi="ar"/>
              </w:rPr>
              <w:t>依托现有</w:t>
            </w:r>
          </w:p>
        </w:tc>
      </w:tr>
      <w:tr w14:paraId="757A7E0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195" w:type="pct"/>
            <w:tcBorders>
              <w:tl2br w:val="nil"/>
              <w:tr2bl w:val="nil"/>
            </w:tcBorders>
            <w:shd w:val="clear" w:color="auto" w:fill="auto"/>
            <w:vAlign w:val="center"/>
          </w:tcPr>
          <w:p w14:paraId="6783E8A8">
            <w:pPr>
              <w:pStyle w:val="81"/>
              <w:spacing w:beforeAutospacing="0" w:afterAutospacing="0" w:line="320" w:lineRule="exact"/>
              <w:jc w:val="center"/>
              <w:rPr>
                <w:rFonts w:hint="eastAsia" w:eastAsia="仿宋_GB2312"/>
                <w:color w:val="auto"/>
                <w:sz w:val="21"/>
                <w:szCs w:val="21"/>
                <w:lang w:val="en-US" w:eastAsia="zh-CN" w:bidi="ar"/>
              </w:rPr>
            </w:pPr>
            <w:r>
              <w:rPr>
                <w:rFonts w:hint="eastAsia" w:eastAsia="仿宋_GB2312"/>
                <w:color w:val="auto"/>
                <w:sz w:val="21"/>
                <w:szCs w:val="21"/>
                <w:lang w:val="en-US" w:eastAsia="zh-CN" w:bidi="ar"/>
              </w:rPr>
              <w:t>5</w:t>
            </w:r>
          </w:p>
        </w:tc>
        <w:tc>
          <w:tcPr>
            <w:tcW w:w="375" w:type="pct"/>
            <w:vMerge w:val="continue"/>
            <w:tcBorders>
              <w:tl2br w:val="nil"/>
              <w:tr2bl w:val="nil"/>
            </w:tcBorders>
            <w:shd w:val="clear" w:color="auto" w:fill="auto"/>
            <w:vAlign w:val="center"/>
          </w:tcPr>
          <w:p w14:paraId="67865963">
            <w:pPr>
              <w:widowControl/>
              <w:jc w:val="center"/>
              <w:textAlignment w:val="center"/>
              <w:rPr>
                <w:rFonts w:hint="eastAsia" w:eastAsia="仿宋_GB2312"/>
                <w:color w:val="auto"/>
                <w:kern w:val="0"/>
                <w:szCs w:val="21"/>
                <w:lang w:val="en-US" w:eastAsia="zh-CN" w:bidi="ar"/>
              </w:rPr>
            </w:pPr>
          </w:p>
        </w:tc>
        <w:tc>
          <w:tcPr>
            <w:tcW w:w="493" w:type="pct"/>
            <w:vMerge w:val="continue"/>
            <w:tcBorders>
              <w:tl2br w:val="nil"/>
              <w:tr2bl w:val="nil"/>
            </w:tcBorders>
            <w:shd w:val="clear" w:color="auto" w:fill="auto"/>
            <w:vAlign w:val="center"/>
          </w:tcPr>
          <w:p w14:paraId="326E7351">
            <w:pPr>
              <w:bidi w:val="0"/>
              <w:jc w:val="center"/>
              <w:rPr>
                <w:rFonts w:hint="default" w:ascii="Times New Roman" w:hAnsi="Times New Roman" w:eastAsia="方正仿宋_GB2312" w:cs="Times New Roman"/>
                <w:color w:val="auto"/>
                <w:sz w:val="21"/>
                <w:szCs w:val="21"/>
                <w:lang w:val="en-US" w:eastAsia="zh-CN"/>
              </w:rPr>
            </w:pPr>
          </w:p>
        </w:tc>
        <w:tc>
          <w:tcPr>
            <w:tcW w:w="437" w:type="pct"/>
            <w:vMerge w:val="continue"/>
            <w:tcBorders>
              <w:tl2br w:val="nil"/>
              <w:tr2bl w:val="nil"/>
            </w:tcBorders>
            <w:shd w:val="clear" w:color="auto" w:fill="auto"/>
            <w:vAlign w:val="center"/>
          </w:tcPr>
          <w:p w14:paraId="49D57EDD">
            <w:pPr>
              <w:bidi w:val="0"/>
              <w:jc w:val="center"/>
              <w:rPr>
                <w:rFonts w:hint="default" w:ascii="Times New Roman" w:hAnsi="Times New Roman" w:eastAsia="方正仿宋_GB2312" w:cs="Times New Roman"/>
                <w:color w:val="auto"/>
                <w:sz w:val="21"/>
                <w:szCs w:val="21"/>
                <w:lang w:val="en-US" w:eastAsia="zh-CN"/>
              </w:rPr>
            </w:pPr>
          </w:p>
        </w:tc>
        <w:tc>
          <w:tcPr>
            <w:tcW w:w="253" w:type="pct"/>
            <w:tcBorders>
              <w:tl2br w:val="nil"/>
              <w:tr2bl w:val="nil"/>
            </w:tcBorders>
            <w:shd w:val="clear" w:color="auto" w:fill="auto"/>
            <w:vAlign w:val="center"/>
          </w:tcPr>
          <w:p w14:paraId="59D4DF0C">
            <w:pPr>
              <w:widowControl/>
              <w:jc w:val="center"/>
              <w:textAlignment w:val="center"/>
              <w:rPr>
                <w:rFonts w:hint="eastAsia" w:eastAsia="仿宋_GB2312"/>
                <w:color w:val="auto"/>
                <w:kern w:val="0"/>
                <w:szCs w:val="21"/>
                <w:lang w:val="en-US" w:eastAsia="zh-CN" w:bidi="ar"/>
              </w:rPr>
            </w:pPr>
            <w:r>
              <w:rPr>
                <w:rFonts w:hint="eastAsia" w:eastAsia="仿宋_GB2312"/>
                <w:color w:val="auto"/>
                <w:kern w:val="0"/>
                <w:szCs w:val="21"/>
                <w:lang w:val="en-US" w:eastAsia="zh-CN" w:bidi="ar"/>
              </w:rPr>
              <w:t>1</w:t>
            </w:r>
          </w:p>
        </w:tc>
        <w:tc>
          <w:tcPr>
            <w:tcW w:w="237" w:type="pct"/>
            <w:tcBorders>
              <w:tl2br w:val="nil"/>
              <w:tr2bl w:val="nil"/>
            </w:tcBorders>
            <w:shd w:val="clear" w:color="auto" w:fill="auto"/>
            <w:vAlign w:val="center"/>
          </w:tcPr>
          <w:p w14:paraId="6A346DED">
            <w:pPr>
              <w:pStyle w:val="163"/>
              <w:jc w:val="center"/>
              <w:rPr>
                <w:rFonts w:hint="default" w:ascii="Times New Roman" w:hAnsi="Times New Roman" w:eastAsia="仿宋_GB2312" w:cs="Times New Roman"/>
                <w:color w:val="auto"/>
                <w:kern w:val="0"/>
                <w:sz w:val="21"/>
                <w:szCs w:val="21"/>
                <w:lang w:val="en-US" w:eastAsia="zh-CN" w:bidi="ar"/>
              </w:rPr>
            </w:pPr>
            <w:r>
              <w:rPr>
                <w:rFonts w:hint="eastAsia" w:ascii="Times New Roman"/>
                <w:color w:val="auto"/>
                <w:kern w:val="0"/>
                <w:szCs w:val="21"/>
                <w:lang w:val="en-US" w:eastAsia="zh-CN" w:bidi="ar"/>
              </w:rPr>
              <w:t>162</w:t>
            </w:r>
          </w:p>
        </w:tc>
        <w:tc>
          <w:tcPr>
            <w:tcW w:w="220" w:type="pct"/>
            <w:tcBorders>
              <w:tl2br w:val="nil"/>
              <w:tr2bl w:val="nil"/>
            </w:tcBorders>
            <w:shd w:val="clear" w:color="auto" w:fill="auto"/>
            <w:vAlign w:val="center"/>
          </w:tcPr>
          <w:p w14:paraId="222063DB">
            <w:pPr>
              <w:pStyle w:val="163"/>
              <w:jc w:val="center"/>
              <w:rPr>
                <w:rFonts w:hint="default" w:ascii="Times New Roman" w:hAnsi="Times New Roman" w:eastAsia="仿宋_GB2312" w:cs="Times New Roman"/>
                <w:color w:val="auto"/>
                <w:kern w:val="0"/>
                <w:sz w:val="21"/>
                <w:szCs w:val="21"/>
                <w:lang w:val="en-US" w:eastAsia="zh-CN" w:bidi="ar"/>
              </w:rPr>
            </w:pPr>
            <w:r>
              <w:rPr>
                <w:rFonts w:hint="eastAsia" w:ascii="Times New Roman"/>
                <w:color w:val="auto"/>
                <w:kern w:val="0"/>
                <w:szCs w:val="21"/>
                <w:lang w:val="en-US" w:eastAsia="zh-CN" w:bidi="ar"/>
              </w:rPr>
              <w:t>41</w:t>
            </w:r>
          </w:p>
        </w:tc>
        <w:tc>
          <w:tcPr>
            <w:tcW w:w="216" w:type="pct"/>
            <w:tcBorders>
              <w:tl2br w:val="nil"/>
              <w:tr2bl w:val="nil"/>
            </w:tcBorders>
            <w:shd w:val="clear" w:color="auto" w:fill="auto"/>
            <w:vAlign w:val="center"/>
          </w:tcPr>
          <w:p w14:paraId="3DA434FD">
            <w:pPr>
              <w:pStyle w:val="163"/>
              <w:jc w:val="center"/>
              <w:rPr>
                <w:rFonts w:hint="default" w:ascii="Times New Roman" w:hAnsi="Times New Roman" w:eastAsia="仿宋_GB2312" w:cs="Times New Roman"/>
                <w:color w:val="auto"/>
                <w:kern w:val="0"/>
                <w:sz w:val="21"/>
                <w:szCs w:val="21"/>
                <w:lang w:val="en-US" w:eastAsia="zh-CN" w:bidi="ar"/>
              </w:rPr>
            </w:pPr>
            <w:r>
              <w:rPr>
                <w:rFonts w:hint="eastAsia" w:ascii="Times New Roman"/>
                <w:color w:val="auto"/>
                <w:kern w:val="0"/>
                <w:szCs w:val="21"/>
                <w:lang w:val="en-US" w:eastAsia="zh-CN" w:bidi="ar"/>
              </w:rPr>
              <w:t>0.5</w:t>
            </w:r>
          </w:p>
        </w:tc>
        <w:tc>
          <w:tcPr>
            <w:tcW w:w="260" w:type="pct"/>
            <w:tcBorders>
              <w:tl2br w:val="nil"/>
              <w:tr2bl w:val="nil"/>
            </w:tcBorders>
            <w:shd w:val="clear" w:color="auto" w:fill="auto"/>
            <w:vAlign w:val="center"/>
          </w:tcPr>
          <w:p w14:paraId="56FA927C">
            <w:pPr>
              <w:pStyle w:val="81"/>
              <w:spacing w:beforeAutospacing="0" w:afterAutospacing="0" w:line="320" w:lineRule="exact"/>
              <w:jc w:val="center"/>
              <w:rPr>
                <w:rFonts w:eastAsia="仿宋_GB2312"/>
                <w:color w:val="FF0000"/>
                <w:sz w:val="21"/>
                <w:szCs w:val="21"/>
                <w:lang w:bidi="ar"/>
              </w:rPr>
            </w:pPr>
            <w:r>
              <w:rPr>
                <w:rFonts w:hint="eastAsia" w:ascii="Times New Roman"/>
                <w:color w:val="auto"/>
                <w:kern w:val="0"/>
                <w:szCs w:val="21"/>
                <w:lang w:val="en-US" w:eastAsia="zh-CN" w:bidi="ar"/>
              </w:rPr>
              <w:t>80</w:t>
            </w:r>
          </w:p>
        </w:tc>
        <w:tc>
          <w:tcPr>
            <w:tcW w:w="287" w:type="pct"/>
            <w:vMerge w:val="continue"/>
            <w:tcBorders>
              <w:tl2br w:val="nil"/>
              <w:tr2bl w:val="nil"/>
            </w:tcBorders>
            <w:shd w:val="clear" w:color="auto" w:fill="auto"/>
            <w:vAlign w:val="center"/>
          </w:tcPr>
          <w:p w14:paraId="57101F88">
            <w:pPr>
              <w:pStyle w:val="81"/>
              <w:spacing w:beforeAutospacing="0" w:afterAutospacing="0" w:line="320" w:lineRule="exact"/>
              <w:jc w:val="center"/>
              <w:rPr>
                <w:rFonts w:eastAsia="仿宋_GB2312"/>
                <w:color w:val="FF0000"/>
                <w:sz w:val="21"/>
                <w:szCs w:val="21"/>
                <w:lang w:bidi="ar"/>
              </w:rPr>
            </w:pPr>
          </w:p>
        </w:tc>
        <w:tc>
          <w:tcPr>
            <w:tcW w:w="270" w:type="pct"/>
            <w:tcBorders>
              <w:tl2br w:val="nil"/>
              <w:tr2bl w:val="nil"/>
            </w:tcBorders>
            <w:shd w:val="clear" w:color="auto" w:fill="auto"/>
            <w:vAlign w:val="center"/>
          </w:tcPr>
          <w:p w14:paraId="6159B29C">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rPr>
              <w:t>5</w:t>
            </w:r>
          </w:p>
        </w:tc>
        <w:tc>
          <w:tcPr>
            <w:tcW w:w="282" w:type="pct"/>
            <w:tcBorders>
              <w:tl2br w:val="nil"/>
              <w:tr2bl w:val="nil"/>
            </w:tcBorders>
            <w:shd w:val="clear" w:color="auto" w:fill="auto"/>
            <w:vAlign w:val="center"/>
          </w:tcPr>
          <w:p w14:paraId="286668E2">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6</w:t>
            </w:r>
            <w:r>
              <w:rPr>
                <w:rFonts w:hint="eastAsia" w:eastAsia="仿宋_GB2312"/>
                <w:color w:val="auto"/>
                <w:sz w:val="21"/>
                <w:szCs w:val="21"/>
                <w:lang w:bidi="ar"/>
              </w:rPr>
              <w:t>6</w:t>
            </w:r>
          </w:p>
        </w:tc>
        <w:tc>
          <w:tcPr>
            <w:tcW w:w="270" w:type="pct"/>
            <w:tcBorders>
              <w:tl2br w:val="nil"/>
              <w:tr2bl w:val="nil"/>
            </w:tcBorders>
            <w:shd w:val="clear" w:color="auto" w:fill="auto"/>
            <w:vAlign w:val="center"/>
          </w:tcPr>
          <w:p w14:paraId="45FD7ACC">
            <w:pPr>
              <w:pStyle w:val="81"/>
              <w:spacing w:beforeAutospacing="0" w:afterAutospacing="0" w:line="320" w:lineRule="exact"/>
              <w:ind w:left="0" w:leftChars="0" w:right="0" w:rightChars="0"/>
              <w:jc w:val="center"/>
              <w:rPr>
                <w:rFonts w:ascii="Times New Roman" w:hAnsi="Times New Roman" w:eastAsia="仿宋_GB2312" w:cs="Times New Roman"/>
                <w:b/>
                <w:bCs/>
                <w:color w:val="auto"/>
                <w:kern w:val="0"/>
                <w:sz w:val="21"/>
                <w:szCs w:val="21"/>
                <w:lang w:val="en-US" w:eastAsia="zh-CN" w:bidi="ar"/>
              </w:rPr>
            </w:pPr>
            <w:r>
              <w:rPr>
                <w:rFonts w:eastAsia="仿宋_GB2312"/>
                <w:color w:val="auto"/>
                <w:sz w:val="21"/>
                <w:szCs w:val="21"/>
                <w:lang w:bidi="ar"/>
              </w:rPr>
              <w:t>全天</w:t>
            </w:r>
          </w:p>
        </w:tc>
        <w:tc>
          <w:tcPr>
            <w:tcW w:w="312" w:type="pct"/>
            <w:tcBorders>
              <w:tl2br w:val="nil"/>
              <w:tr2bl w:val="nil"/>
            </w:tcBorders>
            <w:shd w:val="clear" w:color="auto" w:fill="auto"/>
            <w:vAlign w:val="center"/>
          </w:tcPr>
          <w:p w14:paraId="1391A9EA">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20</w:t>
            </w:r>
          </w:p>
        </w:tc>
        <w:tc>
          <w:tcPr>
            <w:tcW w:w="262" w:type="pct"/>
            <w:tcBorders>
              <w:tl2br w:val="nil"/>
              <w:tr2bl w:val="nil"/>
            </w:tcBorders>
            <w:shd w:val="clear" w:color="auto" w:fill="auto"/>
            <w:vAlign w:val="center"/>
          </w:tcPr>
          <w:p w14:paraId="652AA6C8">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46</w:t>
            </w:r>
          </w:p>
        </w:tc>
        <w:tc>
          <w:tcPr>
            <w:tcW w:w="288" w:type="pct"/>
            <w:tcBorders>
              <w:tl2br w:val="nil"/>
              <w:tr2bl w:val="nil"/>
            </w:tcBorders>
            <w:shd w:val="clear" w:color="auto" w:fill="auto"/>
            <w:vAlign w:val="center"/>
          </w:tcPr>
          <w:p w14:paraId="3FB48C32">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1</w:t>
            </w:r>
          </w:p>
        </w:tc>
        <w:tc>
          <w:tcPr>
            <w:tcW w:w="335" w:type="pct"/>
            <w:tcBorders>
              <w:tl2br w:val="nil"/>
              <w:tr2bl w:val="nil"/>
            </w:tcBorders>
            <w:shd w:val="clear" w:color="auto" w:fill="auto"/>
            <w:vAlign w:val="center"/>
          </w:tcPr>
          <w:p w14:paraId="0EAE9D5B">
            <w:pPr>
              <w:pStyle w:val="81"/>
              <w:spacing w:beforeAutospacing="0" w:afterAutospacing="0" w:line="320" w:lineRule="exact"/>
              <w:jc w:val="center"/>
              <w:rPr>
                <w:rFonts w:eastAsia="仿宋_GB2312"/>
                <w:color w:val="FF0000"/>
                <w:sz w:val="21"/>
                <w:szCs w:val="21"/>
                <w:lang w:bidi="ar"/>
              </w:rPr>
            </w:pPr>
            <w:r>
              <w:rPr>
                <w:rFonts w:hint="eastAsia" w:eastAsia="仿宋_GB2312" w:hAnsiTheme="minorHAnsi"/>
                <w:color w:val="auto"/>
                <w:sz w:val="21"/>
                <w:szCs w:val="21"/>
                <w:lang w:val="en-US" w:eastAsia="zh-CN" w:bidi="ar"/>
              </w:rPr>
              <w:t>依托现有</w:t>
            </w:r>
          </w:p>
        </w:tc>
      </w:tr>
      <w:tr w14:paraId="29C5F3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195" w:type="pct"/>
            <w:tcBorders>
              <w:tl2br w:val="nil"/>
              <w:tr2bl w:val="nil"/>
            </w:tcBorders>
            <w:shd w:val="clear" w:color="auto" w:fill="auto"/>
            <w:vAlign w:val="center"/>
          </w:tcPr>
          <w:p w14:paraId="69705C7D">
            <w:pPr>
              <w:pStyle w:val="81"/>
              <w:spacing w:beforeAutospacing="0" w:afterAutospacing="0" w:line="320" w:lineRule="exact"/>
              <w:jc w:val="center"/>
              <w:rPr>
                <w:rFonts w:hint="eastAsia" w:eastAsia="仿宋_GB2312"/>
                <w:color w:val="auto"/>
                <w:sz w:val="21"/>
                <w:szCs w:val="21"/>
                <w:lang w:val="en-US" w:eastAsia="zh-CN" w:bidi="ar"/>
              </w:rPr>
            </w:pPr>
            <w:r>
              <w:rPr>
                <w:rFonts w:hint="eastAsia" w:eastAsia="仿宋_GB2312"/>
                <w:color w:val="auto"/>
                <w:sz w:val="21"/>
                <w:szCs w:val="21"/>
                <w:lang w:val="en-US" w:eastAsia="zh-CN" w:bidi="ar"/>
              </w:rPr>
              <w:t>6</w:t>
            </w:r>
          </w:p>
        </w:tc>
        <w:tc>
          <w:tcPr>
            <w:tcW w:w="375" w:type="pct"/>
            <w:vMerge w:val="continue"/>
            <w:tcBorders>
              <w:tl2br w:val="nil"/>
              <w:tr2bl w:val="nil"/>
            </w:tcBorders>
            <w:shd w:val="clear" w:color="auto" w:fill="auto"/>
            <w:vAlign w:val="center"/>
          </w:tcPr>
          <w:p w14:paraId="1C59223F">
            <w:pPr>
              <w:widowControl/>
              <w:jc w:val="center"/>
              <w:textAlignment w:val="center"/>
              <w:rPr>
                <w:rFonts w:hint="eastAsia" w:eastAsia="仿宋_GB2312"/>
                <w:color w:val="auto"/>
                <w:kern w:val="0"/>
                <w:szCs w:val="21"/>
                <w:lang w:val="en-US" w:eastAsia="zh-CN" w:bidi="ar"/>
              </w:rPr>
            </w:pPr>
          </w:p>
        </w:tc>
        <w:tc>
          <w:tcPr>
            <w:tcW w:w="493" w:type="pct"/>
            <w:vMerge w:val="continue"/>
            <w:tcBorders>
              <w:tl2br w:val="nil"/>
              <w:tr2bl w:val="nil"/>
            </w:tcBorders>
            <w:shd w:val="clear" w:color="auto" w:fill="auto"/>
            <w:vAlign w:val="center"/>
          </w:tcPr>
          <w:p w14:paraId="1644DB89">
            <w:pPr>
              <w:bidi w:val="0"/>
              <w:jc w:val="center"/>
              <w:rPr>
                <w:rFonts w:hint="default" w:ascii="Times New Roman" w:hAnsi="Times New Roman" w:eastAsia="方正仿宋_GB2312" w:cs="Times New Roman"/>
                <w:color w:val="auto"/>
                <w:sz w:val="21"/>
                <w:szCs w:val="21"/>
                <w:lang w:val="en-US" w:eastAsia="zh-CN"/>
              </w:rPr>
            </w:pPr>
          </w:p>
        </w:tc>
        <w:tc>
          <w:tcPr>
            <w:tcW w:w="437" w:type="pct"/>
            <w:vMerge w:val="continue"/>
            <w:tcBorders>
              <w:tl2br w:val="nil"/>
              <w:tr2bl w:val="nil"/>
            </w:tcBorders>
            <w:shd w:val="clear" w:color="auto" w:fill="auto"/>
            <w:vAlign w:val="center"/>
          </w:tcPr>
          <w:p w14:paraId="30107DD0">
            <w:pPr>
              <w:bidi w:val="0"/>
              <w:jc w:val="center"/>
              <w:rPr>
                <w:rFonts w:hint="default" w:ascii="Times New Roman" w:hAnsi="Times New Roman" w:eastAsia="方正仿宋_GB2312" w:cs="Times New Roman"/>
                <w:color w:val="auto"/>
                <w:sz w:val="21"/>
                <w:szCs w:val="21"/>
                <w:lang w:val="en-US" w:eastAsia="zh-CN"/>
              </w:rPr>
            </w:pPr>
          </w:p>
        </w:tc>
        <w:tc>
          <w:tcPr>
            <w:tcW w:w="253" w:type="pct"/>
            <w:tcBorders>
              <w:tl2br w:val="nil"/>
              <w:tr2bl w:val="nil"/>
            </w:tcBorders>
            <w:shd w:val="clear" w:color="auto" w:fill="auto"/>
            <w:vAlign w:val="center"/>
          </w:tcPr>
          <w:p w14:paraId="26419395">
            <w:pPr>
              <w:widowControl/>
              <w:jc w:val="center"/>
              <w:textAlignment w:val="center"/>
              <w:rPr>
                <w:rFonts w:hint="eastAsia" w:eastAsia="仿宋_GB2312"/>
                <w:color w:val="auto"/>
                <w:kern w:val="0"/>
                <w:szCs w:val="21"/>
                <w:lang w:val="en-US" w:eastAsia="zh-CN" w:bidi="ar"/>
              </w:rPr>
            </w:pPr>
            <w:r>
              <w:rPr>
                <w:rFonts w:hint="eastAsia" w:eastAsia="仿宋_GB2312"/>
                <w:color w:val="auto"/>
                <w:kern w:val="0"/>
                <w:szCs w:val="21"/>
                <w:lang w:val="en-US" w:eastAsia="zh-CN" w:bidi="ar"/>
              </w:rPr>
              <w:t>1</w:t>
            </w:r>
          </w:p>
        </w:tc>
        <w:tc>
          <w:tcPr>
            <w:tcW w:w="237" w:type="pct"/>
            <w:tcBorders>
              <w:tl2br w:val="nil"/>
              <w:tr2bl w:val="nil"/>
            </w:tcBorders>
            <w:shd w:val="clear" w:color="auto" w:fill="auto"/>
            <w:vAlign w:val="center"/>
          </w:tcPr>
          <w:p w14:paraId="4EDF68A9">
            <w:pPr>
              <w:pStyle w:val="163"/>
              <w:jc w:val="center"/>
              <w:rPr>
                <w:rFonts w:hint="default" w:ascii="Times New Roman" w:hAnsi="Times New Roman" w:eastAsia="仿宋_GB2312" w:cs="Times New Roman"/>
                <w:color w:val="auto"/>
                <w:kern w:val="0"/>
                <w:sz w:val="21"/>
                <w:szCs w:val="21"/>
                <w:lang w:val="en-US" w:eastAsia="zh-CN" w:bidi="ar"/>
              </w:rPr>
            </w:pPr>
            <w:r>
              <w:rPr>
                <w:rFonts w:hint="eastAsia" w:ascii="Times New Roman"/>
                <w:color w:val="auto"/>
                <w:kern w:val="0"/>
                <w:szCs w:val="21"/>
                <w:lang w:val="en-US" w:eastAsia="zh-CN" w:bidi="ar"/>
              </w:rPr>
              <w:t>162</w:t>
            </w:r>
          </w:p>
        </w:tc>
        <w:tc>
          <w:tcPr>
            <w:tcW w:w="220" w:type="pct"/>
            <w:tcBorders>
              <w:tl2br w:val="nil"/>
              <w:tr2bl w:val="nil"/>
            </w:tcBorders>
            <w:shd w:val="clear" w:color="auto" w:fill="auto"/>
            <w:vAlign w:val="center"/>
          </w:tcPr>
          <w:p w14:paraId="3BCBBB08">
            <w:pPr>
              <w:pStyle w:val="163"/>
              <w:jc w:val="center"/>
              <w:rPr>
                <w:rFonts w:hint="default" w:ascii="Times New Roman" w:hAnsi="Times New Roman" w:eastAsia="仿宋_GB2312" w:cs="Times New Roman"/>
                <w:color w:val="auto"/>
                <w:kern w:val="0"/>
                <w:sz w:val="21"/>
                <w:szCs w:val="21"/>
                <w:lang w:val="en-US" w:eastAsia="zh-CN" w:bidi="ar"/>
              </w:rPr>
            </w:pPr>
            <w:r>
              <w:rPr>
                <w:rFonts w:hint="eastAsia" w:ascii="Times New Roman"/>
                <w:color w:val="auto"/>
                <w:kern w:val="0"/>
                <w:szCs w:val="21"/>
                <w:lang w:val="en-US" w:eastAsia="zh-CN" w:bidi="ar"/>
              </w:rPr>
              <w:t>42</w:t>
            </w:r>
          </w:p>
        </w:tc>
        <w:tc>
          <w:tcPr>
            <w:tcW w:w="216" w:type="pct"/>
            <w:tcBorders>
              <w:tl2br w:val="nil"/>
              <w:tr2bl w:val="nil"/>
            </w:tcBorders>
            <w:shd w:val="clear" w:color="auto" w:fill="auto"/>
            <w:vAlign w:val="center"/>
          </w:tcPr>
          <w:p w14:paraId="438020B5">
            <w:pPr>
              <w:pStyle w:val="163"/>
              <w:jc w:val="center"/>
              <w:rPr>
                <w:rFonts w:hint="default" w:ascii="Times New Roman" w:hAnsi="Times New Roman" w:eastAsia="仿宋_GB2312" w:cs="Times New Roman"/>
                <w:color w:val="auto"/>
                <w:kern w:val="0"/>
                <w:sz w:val="21"/>
                <w:szCs w:val="21"/>
                <w:lang w:val="en-US" w:eastAsia="zh-CN" w:bidi="ar"/>
              </w:rPr>
            </w:pPr>
            <w:r>
              <w:rPr>
                <w:rFonts w:hint="eastAsia" w:ascii="Times New Roman"/>
                <w:color w:val="auto"/>
                <w:kern w:val="0"/>
                <w:szCs w:val="21"/>
                <w:lang w:val="en-US" w:eastAsia="zh-CN" w:bidi="ar"/>
              </w:rPr>
              <w:t>0.5</w:t>
            </w:r>
          </w:p>
        </w:tc>
        <w:tc>
          <w:tcPr>
            <w:tcW w:w="260" w:type="pct"/>
            <w:tcBorders>
              <w:tl2br w:val="nil"/>
              <w:tr2bl w:val="nil"/>
            </w:tcBorders>
            <w:shd w:val="clear" w:color="auto" w:fill="auto"/>
            <w:vAlign w:val="center"/>
          </w:tcPr>
          <w:p w14:paraId="679A8BDD">
            <w:pPr>
              <w:pStyle w:val="81"/>
              <w:spacing w:beforeAutospacing="0" w:afterAutospacing="0" w:line="320" w:lineRule="exact"/>
              <w:jc w:val="center"/>
              <w:rPr>
                <w:rFonts w:eastAsia="仿宋_GB2312"/>
                <w:color w:val="FF0000"/>
                <w:sz w:val="21"/>
                <w:szCs w:val="21"/>
                <w:lang w:bidi="ar"/>
              </w:rPr>
            </w:pPr>
            <w:r>
              <w:rPr>
                <w:rFonts w:hint="eastAsia" w:ascii="Times New Roman"/>
                <w:color w:val="auto"/>
                <w:kern w:val="0"/>
                <w:szCs w:val="21"/>
                <w:lang w:val="en-US" w:eastAsia="zh-CN" w:bidi="ar"/>
              </w:rPr>
              <w:t>80</w:t>
            </w:r>
          </w:p>
        </w:tc>
        <w:tc>
          <w:tcPr>
            <w:tcW w:w="287" w:type="pct"/>
            <w:vMerge w:val="continue"/>
            <w:tcBorders>
              <w:tl2br w:val="nil"/>
              <w:tr2bl w:val="nil"/>
            </w:tcBorders>
            <w:shd w:val="clear" w:color="auto" w:fill="auto"/>
            <w:vAlign w:val="center"/>
          </w:tcPr>
          <w:p w14:paraId="19B16271">
            <w:pPr>
              <w:pStyle w:val="81"/>
              <w:spacing w:beforeAutospacing="0" w:afterAutospacing="0" w:line="320" w:lineRule="exact"/>
              <w:jc w:val="center"/>
              <w:rPr>
                <w:rFonts w:eastAsia="仿宋_GB2312"/>
                <w:color w:val="FF0000"/>
                <w:sz w:val="21"/>
                <w:szCs w:val="21"/>
                <w:lang w:bidi="ar"/>
              </w:rPr>
            </w:pPr>
          </w:p>
        </w:tc>
        <w:tc>
          <w:tcPr>
            <w:tcW w:w="270" w:type="pct"/>
            <w:tcBorders>
              <w:tl2br w:val="nil"/>
              <w:tr2bl w:val="nil"/>
            </w:tcBorders>
            <w:shd w:val="clear" w:color="auto" w:fill="auto"/>
            <w:vAlign w:val="center"/>
          </w:tcPr>
          <w:p w14:paraId="5EB4B775">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rPr>
              <w:t>5</w:t>
            </w:r>
          </w:p>
        </w:tc>
        <w:tc>
          <w:tcPr>
            <w:tcW w:w="282" w:type="pct"/>
            <w:tcBorders>
              <w:tl2br w:val="nil"/>
              <w:tr2bl w:val="nil"/>
            </w:tcBorders>
            <w:shd w:val="clear" w:color="auto" w:fill="auto"/>
            <w:vAlign w:val="center"/>
          </w:tcPr>
          <w:p w14:paraId="7CDA67A0">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6</w:t>
            </w:r>
            <w:r>
              <w:rPr>
                <w:rFonts w:hint="eastAsia" w:eastAsia="仿宋_GB2312"/>
                <w:color w:val="auto"/>
                <w:sz w:val="21"/>
                <w:szCs w:val="21"/>
                <w:lang w:bidi="ar"/>
              </w:rPr>
              <w:t>6</w:t>
            </w:r>
          </w:p>
        </w:tc>
        <w:tc>
          <w:tcPr>
            <w:tcW w:w="270" w:type="pct"/>
            <w:tcBorders>
              <w:tl2br w:val="nil"/>
              <w:tr2bl w:val="nil"/>
            </w:tcBorders>
            <w:shd w:val="clear" w:color="auto" w:fill="auto"/>
            <w:vAlign w:val="center"/>
          </w:tcPr>
          <w:p w14:paraId="2A9F1A22">
            <w:pPr>
              <w:pStyle w:val="81"/>
              <w:spacing w:beforeAutospacing="0" w:afterAutospacing="0" w:line="320" w:lineRule="exact"/>
              <w:ind w:left="0" w:leftChars="0" w:right="0" w:rightChars="0"/>
              <w:jc w:val="center"/>
              <w:rPr>
                <w:rFonts w:ascii="Times New Roman" w:hAnsi="Times New Roman" w:eastAsia="仿宋_GB2312" w:cs="Times New Roman"/>
                <w:b/>
                <w:bCs/>
                <w:color w:val="auto"/>
                <w:kern w:val="0"/>
                <w:sz w:val="21"/>
                <w:szCs w:val="21"/>
                <w:lang w:val="en-US" w:eastAsia="zh-CN" w:bidi="ar"/>
              </w:rPr>
            </w:pPr>
            <w:r>
              <w:rPr>
                <w:rFonts w:eastAsia="仿宋_GB2312"/>
                <w:color w:val="auto"/>
                <w:sz w:val="21"/>
                <w:szCs w:val="21"/>
                <w:lang w:bidi="ar"/>
              </w:rPr>
              <w:t>全天</w:t>
            </w:r>
          </w:p>
        </w:tc>
        <w:tc>
          <w:tcPr>
            <w:tcW w:w="312" w:type="pct"/>
            <w:tcBorders>
              <w:tl2br w:val="nil"/>
              <w:tr2bl w:val="nil"/>
            </w:tcBorders>
            <w:shd w:val="clear" w:color="auto" w:fill="auto"/>
            <w:vAlign w:val="center"/>
          </w:tcPr>
          <w:p w14:paraId="3534FACA">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20</w:t>
            </w:r>
          </w:p>
        </w:tc>
        <w:tc>
          <w:tcPr>
            <w:tcW w:w="262" w:type="pct"/>
            <w:tcBorders>
              <w:tl2br w:val="nil"/>
              <w:tr2bl w:val="nil"/>
            </w:tcBorders>
            <w:shd w:val="clear" w:color="auto" w:fill="auto"/>
            <w:vAlign w:val="center"/>
          </w:tcPr>
          <w:p w14:paraId="0620507A">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46</w:t>
            </w:r>
          </w:p>
        </w:tc>
        <w:tc>
          <w:tcPr>
            <w:tcW w:w="288" w:type="pct"/>
            <w:tcBorders>
              <w:tl2br w:val="nil"/>
              <w:tr2bl w:val="nil"/>
            </w:tcBorders>
            <w:shd w:val="clear" w:color="auto" w:fill="auto"/>
            <w:vAlign w:val="center"/>
          </w:tcPr>
          <w:p w14:paraId="5FF4393A">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1</w:t>
            </w:r>
          </w:p>
        </w:tc>
        <w:tc>
          <w:tcPr>
            <w:tcW w:w="335" w:type="pct"/>
            <w:tcBorders>
              <w:tl2br w:val="nil"/>
              <w:tr2bl w:val="nil"/>
            </w:tcBorders>
            <w:shd w:val="clear" w:color="auto" w:fill="auto"/>
            <w:vAlign w:val="center"/>
          </w:tcPr>
          <w:p w14:paraId="5EEE2100">
            <w:pPr>
              <w:pStyle w:val="81"/>
              <w:spacing w:beforeAutospacing="0" w:afterAutospacing="0" w:line="320" w:lineRule="exact"/>
              <w:jc w:val="center"/>
              <w:rPr>
                <w:rFonts w:eastAsia="仿宋_GB2312"/>
                <w:color w:val="FF0000"/>
                <w:sz w:val="21"/>
                <w:szCs w:val="21"/>
                <w:lang w:bidi="ar"/>
              </w:rPr>
            </w:pPr>
            <w:r>
              <w:rPr>
                <w:rFonts w:hint="eastAsia" w:eastAsia="仿宋_GB2312" w:hAnsiTheme="minorHAnsi"/>
                <w:color w:val="auto"/>
                <w:sz w:val="21"/>
                <w:szCs w:val="21"/>
                <w:lang w:val="en-US" w:eastAsia="zh-CN" w:bidi="ar"/>
              </w:rPr>
              <w:t>依托现有</w:t>
            </w:r>
          </w:p>
        </w:tc>
      </w:tr>
      <w:tr w14:paraId="62BDC4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195" w:type="pct"/>
            <w:tcBorders>
              <w:tl2br w:val="nil"/>
              <w:tr2bl w:val="nil"/>
            </w:tcBorders>
            <w:shd w:val="clear" w:color="auto" w:fill="auto"/>
            <w:vAlign w:val="center"/>
          </w:tcPr>
          <w:p w14:paraId="6A98B8FB">
            <w:pPr>
              <w:pStyle w:val="81"/>
              <w:spacing w:beforeAutospacing="0" w:afterAutospacing="0" w:line="320" w:lineRule="exact"/>
              <w:jc w:val="center"/>
              <w:rPr>
                <w:rFonts w:hint="eastAsia" w:eastAsia="仿宋_GB2312"/>
                <w:color w:val="auto"/>
                <w:sz w:val="21"/>
                <w:szCs w:val="21"/>
                <w:lang w:val="en-US" w:eastAsia="zh-CN" w:bidi="ar"/>
              </w:rPr>
            </w:pPr>
            <w:r>
              <w:rPr>
                <w:rFonts w:hint="eastAsia" w:eastAsia="仿宋_GB2312"/>
                <w:color w:val="auto"/>
                <w:sz w:val="21"/>
                <w:szCs w:val="21"/>
                <w:lang w:val="en-US" w:eastAsia="zh-CN" w:bidi="ar"/>
              </w:rPr>
              <w:t>7</w:t>
            </w:r>
          </w:p>
        </w:tc>
        <w:tc>
          <w:tcPr>
            <w:tcW w:w="375" w:type="pct"/>
            <w:vMerge w:val="continue"/>
            <w:tcBorders>
              <w:tl2br w:val="nil"/>
              <w:tr2bl w:val="nil"/>
            </w:tcBorders>
            <w:shd w:val="clear" w:color="auto" w:fill="auto"/>
            <w:vAlign w:val="center"/>
          </w:tcPr>
          <w:p w14:paraId="152BD63C">
            <w:pPr>
              <w:widowControl/>
              <w:jc w:val="center"/>
              <w:textAlignment w:val="center"/>
              <w:rPr>
                <w:rFonts w:hint="eastAsia" w:eastAsia="仿宋_GB2312"/>
                <w:color w:val="auto"/>
                <w:kern w:val="0"/>
                <w:szCs w:val="21"/>
                <w:lang w:val="en-US" w:eastAsia="zh-CN" w:bidi="ar"/>
              </w:rPr>
            </w:pPr>
          </w:p>
        </w:tc>
        <w:tc>
          <w:tcPr>
            <w:tcW w:w="493" w:type="pct"/>
            <w:vMerge w:val="continue"/>
            <w:tcBorders>
              <w:tl2br w:val="nil"/>
              <w:tr2bl w:val="nil"/>
            </w:tcBorders>
            <w:shd w:val="clear" w:color="auto" w:fill="auto"/>
            <w:vAlign w:val="center"/>
          </w:tcPr>
          <w:p w14:paraId="664576BB">
            <w:pPr>
              <w:bidi w:val="0"/>
              <w:jc w:val="center"/>
              <w:rPr>
                <w:rFonts w:hint="default" w:ascii="Times New Roman" w:hAnsi="Times New Roman" w:eastAsia="方正仿宋_GB2312" w:cs="Times New Roman"/>
                <w:color w:val="auto"/>
                <w:sz w:val="21"/>
                <w:szCs w:val="21"/>
                <w:lang w:val="en-US" w:eastAsia="zh-CN"/>
              </w:rPr>
            </w:pPr>
          </w:p>
        </w:tc>
        <w:tc>
          <w:tcPr>
            <w:tcW w:w="437" w:type="pct"/>
            <w:vMerge w:val="continue"/>
            <w:tcBorders>
              <w:tl2br w:val="nil"/>
              <w:tr2bl w:val="nil"/>
            </w:tcBorders>
            <w:shd w:val="clear" w:color="auto" w:fill="auto"/>
            <w:vAlign w:val="center"/>
          </w:tcPr>
          <w:p w14:paraId="29E1E429">
            <w:pPr>
              <w:bidi w:val="0"/>
              <w:jc w:val="center"/>
              <w:rPr>
                <w:rFonts w:hint="default" w:ascii="Times New Roman" w:hAnsi="Times New Roman" w:eastAsia="方正仿宋_GB2312" w:cs="Times New Roman"/>
                <w:color w:val="auto"/>
                <w:sz w:val="21"/>
                <w:szCs w:val="21"/>
                <w:lang w:val="en-US" w:eastAsia="zh-CN"/>
              </w:rPr>
            </w:pPr>
          </w:p>
        </w:tc>
        <w:tc>
          <w:tcPr>
            <w:tcW w:w="253" w:type="pct"/>
            <w:tcBorders>
              <w:tl2br w:val="nil"/>
              <w:tr2bl w:val="nil"/>
            </w:tcBorders>
            <w:shd w:val="clear" w:color="auto" w:fill="auto"/>
            <w:vAlign w:val="center"/>
          </w:tcPr>
          <w:p w14:paraId="15EE2EBE">
            <w:pPr>
              <w:widowControl/>
              <w:jc w:val="center"/>
              <w:textAlignment w:val="center"/>
              <w:rPr>
                <w:rFonts w:hint="eastAsia" w:eastAsia="仿宋_GB2312"/>
                <w:color w:val="auto"/>
                <w:kern w:val="0"/>
                <w:szCs w:val="21"/>
                <w:lang w:val="en-US" w:eastAsia="zh-CN" w:bidi="ar"/>
              </w:rPr>
            </w:pPr>
            <w:r>
              <w:rPr>
                <w:rFonts w:hint="eastAsia" w:eastAsia="仿宋_GB2312"/>
                <w:color w:val="auto"/>
                <w:kern w:val="0"/>
                <w:szCs w:val="21"/>
                <w:lang w:val="en-US" w:eastAsia="zh-CN" w:bidi="ar"/>
              </w:rPr>
              <w:t>1</w:t>
            </w:r>
          </w:p>
        </w:tc>
        <w:tc>
          <w:tcPr>
            <w:tcW w:w="237" w:type="pct"/>
            <w:tcBorders>
              <w:tl2br w:val="nil"/>
              <w:tr2bl w:val="nil"/>
            </w:tcBorders>
            <w:shd w:val="clear" w:color="auto" w:fill="auto"/>
            <w:vAlign w:val="center"/>
          </w:tcPr>
          <w:p w14:paraId="014A0135">
            <w:pPr>
              <w:pStyle w:val="163"/>
              <w:jc w:val="center"/>
              <w:rPr>
                <w:rFonts w:hint="default" w:ascii="Times New Roman" w:hAnsi="Times New Roman" w:eastAsia="仿宋_GB2312" w:cs="Times New Roman"/>
                <w:color w:val="auto"/>
                <w:kern w:val="0"/>
                <w:sz w:val="21"/>
                <w:szCs w:val="21"/>
                <w:lang w:val="en-US" w:eastAsia="zh-CN" w:bidi="ar"/>
              </w:rPr>
            </w:pPr>
            <w:r>
              <w:rPr>
                <w:rFonts w:hint="eastAsia" w:ascii="Times New Roman"/>
                <w:color w:val="auto"/>
                <w:kern w:val="0"/>
                <w:szCs w:val="21"/>
                <w:lang w:val="en-US" w:eastAsia="zh-CN" w:bidi="ar"/>
              </w:rPr>
              <w:t>163</w:t>
            </w:r>
          </w:p>
        </w:tc>
        <w:tc>
          <w:tcPr>
            <w:tcW w:w="220" w:type="pct"/>
            <w:tcBorders>
              <w:tl2br w:val="nil"/>
              <w:tr2bl w:val="nil"/>
            </w:tcBorders>
            <w:shd w:val="clear" w:color="auto" w:fill="auto"/>
            <w:vAlign w:val="center"/>
          </w:tcPr>
          <w:p w14:paraId="4884CD3D">
            <w:pPr>
              <w:pStyle w:val="163"/>
              <w:jc w:val="center"/>
              <w:rPr>
                <w:rFonts w:hint="default" w:ascii="Times New Roman" w:hAnsi="Times New Roman" w:eastAsia="仿宋_GB2312" w:cs="Times New Roman"/>
                <w:color w:val="auto"/>
                <w:kern w:val="0"/>
                <w:sz w:val="21"/>
                <w:szCs w:val="21"/>
                <w:lang w:val="en-US" w:eastAsia="zh-CN" w:bidi="ar"/>
              </w:rPr>
            </w:pPr>
            <w:r>
              <w:rPr>
                <w:rFonts w:hint="eastAsia" w:ascii="Times New Roman"/>
                <w:color w:val="auto"/>
                <w:kern w:val="0"/>
                <w:szCs w:val="21"/>
                <w:lang w:val="en-US" w:eastAsia="zh-CN" w:bidi="ar"/>
              </w:rPr>
              <w:t>43</w:t>
            </w:r>
          </w:p>
        </w:tc>
        <w:tc>
          <w:tcPr>
            <w:tcW w:w="216" w:type="pct"/>
            <w:tcBorders>
              <w:tl2br w:val="nil"/>
              <w:tr2bl w:val="nil"/>
            </w:tcBorders>
            <w:shd w:val="clear" w:color="auto" w:fill="auto"/>
            <w:vAlign w:val="center"/>
          </w:tcPr>
          <w:p w14:paraId="1AA839CF">
            <w:pPr>
              <w:pStyle w:val="163"/>
              <w:jc w:val="center"/>
              <w:rPr>
                <w:rFonts w:hint="default" w:ascii="Times New Roman" w:hAnsi="Times New Roman" w:eastAsia="仿宋_GB2312" w:cs="Times New Roman"/>
                <w:color w:val="auto"/>
                <w:kern w:val="0"/>
                <w:sz w:val="21"/>
                <w:szCs w:val="21"/>
                <w:lang w:val="en-US" w:eastAsia="zh-CN" w:bidi="ar"/>
              </w:rPr>
            </w:pPr>
            <w:r>
              <w:rPr>
                <w:rFonts w:hint="eastAsia" w:ascii="Times New Roman"/>
                <w:color w:val="auto"/>
                <w:kern w:val="0"/>
                <w:szCs w:val="21"/>
                <w:lang w:val="en-US" w:eastAsia="zh-CN" w:bidi="ar"/>
              </w:rPr>
              <w:t>0.5</w:t>
            </w:r>
          </w:p>
        </w:tc>
        <w:tc>
          <w:tcPr>
            <w:tcW w:w="260" w:type="pct"/>
            <w:tcBorders>
              <w:tl2br w:val="nil"/>
              <w:tr2bl w:val="nil"/>
            </w:tcBorders>
            <w:shd w:val="clear" w:color="auto" w:fill="auto"/>
            <w:vAlign w:val="center"/>
          </w:tcPr>
          <w:p w14:paraId="7FB9F547">
            <w:pPr>
              <w:pStyle w:val="81"/>
              <w:spacing w:beforeAutospacing="0" w:afterAutospacing="0" w:line="320" w:lineRule="exact"/>
              <w:jc w:val="center"/>
              <w:rPr>
                <w:rFonts w:eastAsia="仿宋_GB2312"/>
                <w:color w:val="FF0000"/>
                <w:sz w:val="21"/>
                <w:szCs w:val="21"/>
                <w:lang w:bidi="ar"/>
              </w:rPr>
            </w:pPr>
            <w:r>
              <w:rPr>
                <w:rFonts w:hint="eastAsia" w:ascii="Times New Roman"/>
                <w:color w:val="auto"/>
                <w:kern w:val="0"/>
                <w:szCs w:val="21"/>
                <w:lang w:val="en-US" w:eastAsia="zh-CN" w:bidi="ar"/>
              </w:rPr>
              <w:t>80</w:t>
            </w:r>
          </w:p>
        </w:tc>
        <w:tc>
          <w:tcPr>
            <w:tcW w:w="287" w:type="pct"/>
            <w:vMerge w:val="continue"/>
            <w:tcBorders>
              <w:tl2br w:val="nil"/>
              <w:tr2bl w:val="nil"/>
            </w:tcBorders>
            <w:shd w:val="clear" w:color="auto" w:fill="auto"/>
            <w:vAlign w:val="center"/>
          </w:tcPr>
          <w:p w14:paraId="60C37CBD">
            <w:pPr>
              <w:pStyle w:val="81"/>
              <w:spacing w:beforeAutospacing="0" w:afterAutospacing="0" w:line="320" w:lineRule="exact"/>
              <w:jc w:val="center"/>
              <w:rPr>
                <w:rFonts w:eastAsia="仿宋_GB2312"/>
                <w:color w:val="FF0000"/>
                <w:sz w:val="21"/>
                <w:szCs w:val="21"/>
                <w:lang w:bidi="ar"/>
              </w:rPr>
            </w:pPr>
          </w:p>
        </w:tc>
        <w:tc>
          <w:tcPr>
            <w:tcW w:w="270" w:type="pct"/>
            <w:tcBorders>
              <w:tl2br w:val="nil"/>
              <w:tr2bl w:val="nil"/>
            </w:tcBorders>
            <w:shd w:val="clear" w:color="auto" w:fill="auto"/>
            <w:vAlign w:val="center"/>
          </w:tcPr>
          <w:p w14:paraId="4919E0C7">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rPr>
              <w:t>5</w:t>
            </w:r>
          </w:p>
        </w:tc>
        <w:tc>
          <w:tcPr>
            <w:tcW w:w="282" w:type="pct"/>
            <w:tcBorders>
              <w:tl2br w:val="nil"/>
              <w:tr2bl w:val="nil"/>
            </w:tcBorders>
            <w:shd w:val="clear" w:color="auto" w:fill="auto"/>
            <w:vAlign w:val="center"/>
          </w:tcPr>
          <w:p w14:paraId="70B038DD">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6</w:t>
            </w:r>
            <w:r>
              <w:rPr>
                <w:rFonts w:hint="eastAsia" w:eastAsia="仿宋_GB2312"/>
                <w:color w:val="auto"/>
                <w:sz w:val="21"/>
                <w:szCs w:val="21"/>
                <w:lang w:bidi="ar"/>
              </w:rPr>
              <w:t>6</w:t>
            </w:r>
          </w:p>
        </w:tc>
        <w:tc>
          <w:tcPr>
            <w:tcW w:w="270" w:type="pct"/>
            <w:tcBorders>
              <w:tl2br w:val="nil"/>
              <w:tr2bl w:val="nil"/>
            </w:tcBorders>
            <w:shd w:val="clear" w:color="auto" w:fill="auto"/>
            <w:vAlign w:val="center"/>
          </w:tcPr>
          <w:p w14:paraId="3912EE9B">
            <w:pPr>
              <w:pStyle w:val="81"/>
              <w:spacing w:beforeAutospacing="0" w:afterAutospacing="0" w:line="320" w:lineRule="exact"/>
              <w:ind w:left="0" w:leftChars="0" w:right="0" w:rightChars="0"/>
              <w:jc w:val="center"/>
              <w:rPr>
                <w:rFonts w:ascii="Times New Roman" w:hAnsi="Times New Roman" w:eastAsia="仿宋_GB2312" w:cs="Times New Roman"/>
                <w:b/>
                <w:bCs/>
                <w:color w:val="auto"/>
                <w:kern w:val="0"/>
                <w:sz w:val="21"/>
                <w:szCs w:val="21"/>
                <w:lang w:val="en-US" w:eastAsia="zh-CN" w:bidi="ar"/>
              </w:rPr>
            </w:pPr>
            <w:r>
              <w:rPr>
                <w:rFonts w:eastAsia="仿宋_GB2312"/>
                <w:color w:val="auto"/>
                <w:sz w:val="21"/>
                <w:szCs w:val="21"/>
                <w:lang w:bidi="ar"/>
              </w:rPr>
              <w:t>全天</w:t>
            </w:r>
          </w:p>
        </w:tc>
        <w:tc>
          <w:tcPr>
            <w:tcW w:w="312" w:type="pct"/>
            <w:tcBorders>
              <w:tl2br w:val="nil"/>
              <w:tr2bl w:val="nil"/>
            </w:tcBorders>
            <w:shd w:val="clear" w:color="auto" w:fill="auto"/>
            <w:vAlign w:val="center"/>
          </w:tcPr>
          <w:p w14:paraId="13E889E9">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20</w:t>
            </w:r>
          </w:p>
        </w:tc>
        <w:tc>
          <w:tcPr>
            <w:tcW w:w="262" w:type="pct"/>
            <w:tcBorders>
              <w:tl2br w:val="nil"/>
              <w:tr2bl w:val="nil"/>
            </w:tcBorders>
            <w:shd w:val="clear" w:color="auto" w:fill="auto"/>
            <w:vAlign w:val="center"/>
          </w:tcPr>
          <w:p w14:paraId="74FE04F1">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46</w:t>
            </w:r>
          </w:p>
        </w:tc>
        <w:tc>
          <w:tcPr>
            <w:tcW w:w="288" w:type="pct"/>
            <w:tcBorders>
              <w:tl2br w:val="nil"/>
              <w:tr2bl w:val="nil"/>
            </w:tcBorders>
            <w:shd w:val="clear" w:color="auto" w:fill="auto"/>
            <w:vAlign w:val="center"/>
          </w:tcPr>
          <w:p w14:paraId="43C65428">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1</w:t>
            </w:r>
          </w:p>
        </w:tc>
        <w:tc>
          <w:tcPr>
            <w:tcW w:w="335" w:type="pct"/>
            <w:tcBorders>
              <w:tl2br w:val="nil"/>
              <w:tr2bl w:val="nil"/>
            </w:tcBorders>
            <w:shd w:val="clear" w:color="auto" w:fill="auto"/>
            <w:vAlign w:val="center"/>
          </w:tcPr>
          <w:p w14:paraId="1F7C9923">
            <w:pPr>
              <w:pStyle w:val="81"/>
              <w:spacing w:beforeAutospacing="0" w:afterAutospacing="0" w:line="320" w:lineRule="exact"/>
              <w:jc w:val="center"/>
              <w:rPr>
                <w:rFonts w:eastAsia="仿宋_GB2312"/>
                <w:color w:val="FF0000"/>
                <w:sz w:val="21"/>
                <w:szCs w:val="21"/>
                <w:lang w:bidi="ar"/>
              </w:rPr>
            </w:pPr>
            <w:r>
              <w:rPr>
                <w:rFonts w:hint="eastAsia" w:eastAsia="仿宋_GB2312" w:hAnsiTheme="minorHAnsi"/>
                <w:color w:val="auto"/>
                <w:sz w:val="21"/>
                <w:szCs w:val="21"/>
                <w:lang w:val="en-US" w:eastAsia="zh-CN" w:bidi="ar"/>
              </w:rPr>
              <w:t>依托现有</w:t>
            </w:r>
          </w:p>
        </w:tc>
      </w:tr>
      <w:tr w14:paraId="0B9C7B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195" w:type="pct"/>
            <w:tcBorders>
              <w:tl2br w:val="nil"/>
              <w:tr2bl w:val="nil"/>
            </w:tcBorders>
            <w:shd w:val="clear" w:color="auto" w:fill="auto"/>
            <w:vAlign w:val="center"/>
          </w:tcPr>
          <w:p w14:paraId="2D72E901">
            <w:pPr>
              <w:pStyle w:val="81"/>
              <w:spacing w:beforeAutospacing="0" w:afterAutospacing="0" w:line="320" w:lineRule="exact"/>
              <w:jc w:val="center"/>
              <w:rPr>
                <w:rFonts w:hint="eastAsia" w:eastAsia="仿宋_GB2312"/>
                <w:color w:val="auto"/>
                <w:sz w:val="21"/>
                <w:szCs w:val="21"/>
                <w:lang w:val="en-US" w:eastAsia="zh-CN" w:bidi="ar"/>
              </w:rPr>
            </w:pPr>
            <w:r>
              <w:rPr>
                <w:rFonts w:hint="eastAsia" w:eastAsia="仿宋_GB2312"/>
                <w:color w:val="auto"/>
                <w:sz w:val="21"/>
                <w:szCs w:val="21"/>
                <w:lang w:val="en-US" w:eastAsia="zh-CN" w:bidi="ar"/>
              </w:rPr>
              <w:t>8</w:t>
            </w:r>
          </w:p>
        </w:tc>
        <w:tc>
          <w:tcPr>
            <w:tcW w:w="375" w:type="pct"/>
            <w:vMerge w:val="continue"/>
            <w:tcBorders>
              <w:tl2br w:val="nil"/>
              <w:tr2bl w:val="nil"/>
            </w:tcBorders>
            <w:shd w:val="clear" w:color="auto" w:fill="auto"/>
            <w:vAlign w:val="center"/>
          </w:tcPr>
          <w:p w14:paraId="4624513C">
            <w:pPr>
              <w:widowControl/>
              <w:jc w:val="center"/>
              <w:textAlignment w:val="center"/>
              <w:rPr>
                <w:rFonts w:hint="eastAsia" w:eastAsia="仿宋_GB2312"/>
                <w:color w:val="auto"/>
                <w:kern w:val="0"/>
                <w:szCs w:val="21"/>
                <w:lang w:val="en-US" w:eastAsia="zh-CN" w:bidi="ar"/>
              </w:rPr>
            </w:pPr>
          </w:p>
        </w:tc>
        <w:tc>
          <w:tcPr>
            <w:tcW w:w="493" w:type="pct"/>
            <w:vMerge w:val="continue"/>
            <w:tcBorders>
              <w:tl2br w:val="nil"/>
              <w:tr2bl w:val="nil"/>
            </w:tcBorders>
            <w:shd w:val="clear" w:color="auto" w:fill="auto"/>
            <w:vAlign w:val="center"/>
          </w:tcPr>
          <w:p w14:paraId="6FC45928">
            <w:pPr>
              <w:bidi w:val="0"/>
              <w:jc w:val="center"/>
              <w:rPr>
                <w:rFonts w:hint="default" w:ascii="Times New Roman" w:hAnsi="Times New Roman" w:eastAsia="方正仿宋_GB2312" w:cs="Times New Roman"/>
                <w:color w:val="auto"/>
                <w:sz w:val="21"/>
                <w:szCs w:val="21"/>
                <w:lang w:val="en-US" w:eastAsia="zh-CN"/>
              </w:rPr>
            </w:pPr>
          </w:p>
        </w:tc>
        <w:tc>
          <w:tcPr>
            <w:tcW w:w="437" w:type="pct"/>
            <w:vMerge w:val="continue"/>
            <w:tcBorders>
              <w:tl2br w:val="nil"/>
              <w:tr2bl w:val="nil"/>
            </w:tcBorders>
            <w:shd w:val="clear" w:color="auto" w:fill="auto"/>
            <w:vAlign w:val="center"/>
          </w:tcPr>
          <w:p w14:paraId="36342931">
            <w:pPr>
              <w:bidi w:val="0"/>
              <w:jc w:val="center"/>
              <w:rPr>
                <w:rFonts w:hint="default" w:ascii="Times New Roman" w:hAnsi="Times New Roman" w:eastAsia="方正仿宋_GB2312" w:cs="Times New Roman"/>
                <w:color w:val="auto"/>
                <w:sz w:val="21"/>
                <w:szCs w:val="21"/>
                <w:lang w:val="en-US" w:eastAsia="zh-CN"/>
              </w:rPr>
            </w:pPr>
          </w:p>
        </w:tc>
        <w:tc>
          <w:tcPr>
            <w:tcW w:w="253" w:type="pct"/>
            <w:tcBorders>
              <w:tl2br w:val="nil"/>
              <w:tr2bl w:val="nil"/>
            </w:tcBorders>
            <w:shd w:val="clear" w:color="auto" w:fill="auto"/>
            <w:vAlign w:val="center"/>
          </w:tcPr>
          <w:p w14:paraId="2D74161E">
            <w:pPr>
              <w:widowControl/>
              <w:jc w:val="center"/>
              <w:textAlignment w:val="center"/>
              <w:rPr>
                <w:rFonts w:hint="eastAsia" w:eastAsia="仿宋_GB2312"/>
                <w:color w:val="auto"/>
                <w:kern w:val="0"/>
                <w:szCs w:val="21"/>
                <w:lang w:val="en-US" w:eastAsia="zh-CN" w:bidi="ar"/>
              </w:rPr>
            </w:pPr>
            <w:r>
              <w:rPr>
                <w:rFonts w:hint="eastAsia" w:eastAsia="仿宋_GB2312"/>
                <w:color w:val="auto"/>
                <w:kern w:val="0"/>
                <w:szCs w:val="21"/>
                <w:lang w:val="en-US" w:eastAsia="zh-CN" w:bidi="ar"/>
              </w:rPr>
              <w:t>1</w:t>
            </w:r>
          </w:p>
        </w:tc>
        <w:tc>
          <w:tcPr>
            <w:tcW w:w="237" w:type="pct"/>
            <w:tcBorders>
              <w:tl2br w:val="nil"/>
              <w:tr2bl w:val="nil"/>
            </w:tcBorders>
            <w:shd w:val="clear" w:color="auto" w:fill="auto"/>
            <w:vAlign w:val="center"/>
          </w:tcPr>
          <w:p w14:paraId="22A520A3">
            <w:pPr>
              <w:pStyle w:val="163"/>
              <w:jc w:val="center"/>
              <w:rPr>
                <w:rFonts w:hint="default" w:ascii="Times New Roman" w:hAnsi="Times New Roman" w:eastAsia="仿宋_GB2312" w:cs="Times New Roman"/>
                <w:color w:val="auto"/>
                <w:kern w:val="0"/>
                <w:sz w:val="21"/>
                <w:szCs w:val="21"/>
                <w:lang w:val="en-US" w:eastAsia="zh-CN" w:bidi="ar"/>
              </w:rPr>
            </w:pPr>
            <w:r>
              <w:rPr>
                <w:rFonts w:hint="eastAsia" w:ascii="Times New Roman"/>
                <w:color w:val="auto"/>
                <w:kern w:val="0"/>
                <w:szCs w:val="21"/>
                <w:lang w:val="en-US" w:eastAsia="zh-CN" w:bidi="ar"/>
              </w:rPr>
              <w:t>163</w:t>
            </w:r>
          </w:p>
        </w:tc>
        <w:tc>
          <w:tcPr>
            <w:tcW w:w="220" w:type="pct"/>
            <w:tcBorders>
              <w:tl2br w:val="nil"/>
              <w:tr2bl w:val="nil"/>
            </w:tcBorders>
            <w:shd w:val="clear" w:color="auto" w:fill="auto"/>
            <w:vAlign w:val="center"/>
          </w:tcPr>
          <w:p w14:paraId="15F5BB46">
            <w:pPr>
              <w:pStyle w:val="163"/>
              <w:jc w:val="center"/>
              <w:rPr>
                <w:rFonts w:hint="default" w:ascii="Times New Roman" w:hAnsi="Times New Roman" w:eastAsia="仿宋_GB2312" w:cs="Times New Roman"/>
                <w:color w:val="auto"/>
                <w:kern w:val="0"/>
                <w:sz w:val="21"/>
                <w:szCs w:val="21"/>
                <w:lang w:val="en-US" w:eastAsia="zh-CN" w:bidi="ar"/>
              </w:rPr>
            </w:pPr>
            <w:r>
              <w:rPr>
                <w:rFonts w:hint="eastAsia" w:ascii="Times New Roman"/>
                <w:color w:val="auto"/>
                <w:kern w:val="0"/>
                <w:szCs w:val="21"/>
                <w:lang w:val="en-US" w:eastAsia="zh-CN" w:bidi="ar"/>
              </w:rPr>
              <w:t>44</w:t>
            </w:r>
          </w:p>
        </w:tc>
        <w:tc>
          <w:tcPr>
            <w:tcW w:w="216" w:type="pct"/>
            <w:tcBorders>
              <w:tl2br w:val="nil"/>
              <w:tr2bl w:val="nil"/>
            </w:tcBorders>
            <w:shd w:val="clear" w:color="auto" w:fill="auto"/>
            <w:vAlign w:val="center"/>
          </w:tcPr>
          <w:p w14:paraId="43A33A64">
            <w:pPr>
              <w:pStyle w:val="163"/>
              <w:jc w:val="center"/>
              <w:rPr>
                <w:rFonts w:hint="default" w:ascii="Times New Roman" w:hAnsi="Times New Roman" w:eastAsia="仿宋_GB2312" w:cs="Times New Roman"/>
                <w:color w:val="auto"/>
                <w:kern w:val="0"/>
                <w:sz w:val="21"/>
                <w:szCs w:val="21"/>
                <w:lang w:val="en-US" w:eastAsia="zh-CN" w:bidi="ar"/>
              </w:rPr>
            </w:pPr>
            <w:r>
              <w:rPr>
                <w:rFonts w:hint="eastAsia" w:ascii="Times New Roman"/>
                <w:color w:val="auto"/>
                <w:kern w:val="0"/>
                <w:szCs w:val="21"/>
                <w:lang w:val="en-US" w:eastAsia="zh-CN" w:bidi="ar"/>
              </w:rPr>
              <w:t>0.5</w:t>
            </w:r>
          </w:p>
        </w:tc>
        <w:tc>
          <w:tcPr>
            <w:tcW w:w="260" w:type="pct"/>
            <w:tcBorders>
              <w:tl2br w:val="nil"/>
              <w:tr2bl w:val="nil"/>
            </w:tcBorders>
            <w:shd w:val="clear" w:color="auto" w:fill="auto"/>
            <w:vAlign w:val="center"/>
          </w:tcPr>
          <w:p w14:paraId="05B03117">
            <w:pPr>
              <w:pStyle w:val="81"/>
              <w:spacing w:beforeAutospacing="0" w:afterAutospacing="0" w:line="320" w:lineRule="exact"/>
              <w:jc w:val="center"/>
              <w:rPr>
                <w:rFonts w:eastAsia="仿宋_GB2312"/>
                <w:color w:val="FF0000"/>
                <w:sz w:val="21"/>
                <w:szCs w:val="21"/>
                <w:lang w:bidi="ar"/>
              </w:rPr>
            </w:pPr>
            <w:r>
              <w:rPr>
                <w:rFonts w:hint="eastAsia" w:ascii="Times New Roman"/>
                <w:color w:val="auto"/>
                <w:kern w:val="0"/>
                <w:szCs w:val="21"/>
                <w:lang w:val="en-US" w:eastAsia="zh-CN" w:bidi="ar"/>
              </w:rPr>
              <w:t>80</w:t>
            </w:r>
          </w:p>
        </w:tc>
        <w:tc>
          <w:tcPr>
            <w:tcW w:w="287" w:type="pct"/>
            <w:vMerge w:val="continue"/>
            <w:tcBorders>
              <w:tl2br w:val="nil"/>
              <w:tr2bl w:val="nil"/>
            </w:tcBorders>
            <w:shd w:val="clear" w:color="auto" w:fill="auto"/>
            <w:vAlign w:val="center"/>
          </w:tcPr>
          <w:p w14:paraId="095E2597">
            <w:pPr>
              <w:pStyle w:val="81"/>
              <w:spacing w:beforeAutospacing="0" w:afterAutospacing="0" w:line="320" w:lineRule="exact"/>
              <w:jc w:val="center"/>
              <w:rPr>
                <w:rFonts w:eastAsia="仿宋_GB2312"/>
                <w:color w:val="FF0000"/>
                <w:sz w:val="21"/>
                <w:szCs w:val="21"/>
                <w:lang w:bidi="ar"/>
              </w:rPr>
            </w:pPr>
          </w:p>
        </w:tc>
        <w:tc>
          <w:tcPr>
            <w:tcW w:w="270" w:type="pct"/>
            <w:tcBorders>
              <w:tl2br w:val="nil"/>
              <w:tr2bl w:val="nil"/>
            </w:tcBorders>
            <w:shd w:val="clear" w:color="auto" w:fill="auto"/>
            <w:vAlign w:val="center"/>
          </w:tcPr>
          <w:p w14:paraId="626DCEBC">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rPr>
              <w:t>5</w:t>
            </w:r>
          </w:p>
        </w:tc>
        <w:tc>
          <w:tcPr>
            <w:tcW w:w="282" w:type="pct"/>
            <w:tcBorders>
              <w:tl2br w:val="nil"/>
              <w:tr2bl w:val="nil"/>
            </w:tcBorders>
            <w:shd w:val="clear" w:color="auto" w:fill="auto"/>
            <w:vAlign w:val="center"/>
          </w:tcPr>
          <w:p w14:paraId="1BBB2729">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6</w:t>
            </w:r>
            <w:r>
              <w:rPr>
                <w:rFonts w:hint="eastAsia" w:eastAsia="仿宋_GB2312"/>
                <w:color w:val="auto"/>
                <w:sz w:val="21"/>
                <w:szCs w:val="21"/>
                <w:lang w:bidi="ar"/>
              </w:rPr>
              <w:t>6</w:t>
            </w:r>
          </w:p>
        </w:tc>
        <w:tc>
          <w:tcPr>
            <w:tcW w:w="270" w:type="pct"/>
            <w:tcBorders>
              <w:tl2br w:val="nil"/>
              <w:tr2bl w:val="nil"/>
            </w:tcBorders>
            <w:shd w:val="clear" w:color="auto" w:fill="auto"/>
            <w:vAlign w:val="center"/>
          </w:tcPr>
          <w:p w14:paraId="1CBDE69A">
            <w:pPr>
              <w:pStyle w:val="81"/>
              <w:spacing w:beforeAutospacing="0" w:afterAutospacing="0" w:line="320" w:lineRule="exact"/>
              <w:ind w:left="0" w:leftChars="0" w:right="0" w:rightChars="0"/>
              <w:jc w:val="center"/>
              <w:rPr>
                <w:rFonts w:ascii="Times New Roman" w:hAnsi="Times New Roman" w:eastAsia="仿宋_GB2312" w:cs="Times New Roman"/>
                <w:b/>
                <w:bCs/>
                <w:color w:val="auto"/>
                <w:kern w:val="0"/>
                <w:sz w:val="21"/>
                <w:szCs w:val="21"/>
                <w:lang w:val="en-US" w:eastAsia="zh-CN" w:bidi="ar"/>
              </w:rPr>
            </w:pPr>
            <w:r>
              <w:rPr>
                <w:rFonts w:eastAsia="仿宋_GB2312"/>
                <w:color w:val="auto"/>
                <w:sz w:val="21"/>
                <w:szCs w:val="21"/>
                <w:lang w:bidi="ar"/>
              </w:rPr>
              <w:t>全天</w:t>
            </w:r>
          </w:p>
        </w:tc>
        <w:tc>
          <w:tcPr>
            <w:tcW w:w="312" w:type="pct"/>
            <w:tcBorders>
              <w:tl2br w:val="nil"/>
              <w:tr2bl w:val="nil"/>
            </w:tcBorders>
            <w:shd w:val="clear" w:color="auto" w:fill="auto"/>
            <w:vAlign w:val="center"/>
          </w:tcPr>
          <w:p w14:paraId="02FA58FF">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20</w:t>
            </w:r>
          </w:p>
        </w:tc>
        <w:tc>
          <w:tcPr>
            <w:tcW w:w="262" w:type="pct"/>
            <w:tcBorders>
              <w:tl2br w:val="nil"/>
              <w:tr2bl w:val="nil"/>
            </w:tcBorders>
            <w:shd w:val="clear" w:color="auto" w:fill="auto"/>
            <w:vAlign w:val="center"/>
          </w:tcPr>
          <w:p w14:paraId="7A7B4F45">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46</w:t>
            </w:r>
          </w:p>
        </w:tc>
        <w:tc>
          <w:tcPr>
            <w:tcW w:w="288" w:type="pct"/>
            <w:tcBorders>
              <w:tl2br w:val="nil"/>
              <w:tr2bl w:val="nil"/>
            </w:tcBorders>
            <w:shd w:val="clear" w:color="auto" w:fill="auto"/>
            <w:vAlign w:val="center"/>
          </w:tcPr>
          <w:p w14:paraId="1047F008">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1</w:t>
            </w:r>
          </w:p>
        </w:tc>
        <w:tc>
          <w:tcPr>
            <w:tcW w:w="335" w:type="pct"/>
            <w:tcBorders>
              <w:tl2br w:val="nil"/>
              <w:tr2bl w:val="nil"/>
            </w:tcBorders>
            <w:shd w:val="clear" w:color="auto" w:fill="auto"/>
            <w:vAlign w:val="center"/>
          </w:tcPr>
          <w:p w14:paraId="60F06B50">
            <w:pPr>
              <w:pStyle w:val="81"/>
              <w:spacing w:beforeAutospacing="0" w:afterAutospacing="0" w:line="320" w:lineRule="exact"/>
              <w:jc w:val="center"/>
              <w:rPr>
                <w:rFonts w:eastAsia="仿宋_GB2312"/>
                <w:color w:val="FF0000"/>
                <w:sz w:val="21"/>
                <w:szCs w:val="21"/>
                <w:lang w:bidi="ar"/>
              </w:rPr>
            </w:pPr>
            <w:r>
              <w:rPr>
                <w:rFonts w:hint="eastAsia" w:eastAsia="仿宋_GB2312" w:hAnsiTheme="minorHAnsi"/>
                <w:color w:val="auto"/>
                <w:sz w:val="21"/>
                <w:szCs w:val="21"/>
                <w:lang w:val="en-US" w:eastAsia="zh-CN" w:bidi="ar"/>
              </w:rPr>
              <w:t>依托现有</w:t>
            </w:r>
          </w:p>
        </w:tc>
      </w:tr>
      <w:tr w14:paraId="08A270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195" w:type="pct"/>
            <w:tcBorders>
              <w:tl2br w:val="nil"/>
              <w:tr2bl w:val="nil"/>
            </w:tcBorders>
            <w:shd w:val="clear" w:color="auto" w:fill="auto"/>
            <w:vAlign w:val="center"/>
          </w:tcPr>
          <w:p w14:paraId="554D4947">
            <w:pPr>
              <w:pStyle w:val="81"/>
              <w:spacing w:beforeAutospacing="0" w:afterAutospacing="0" w:line="320" w:lineRule="exact"/>
              <w:jc w:val="center"/>
              <w:rPr>
                <w:rFonts w:hint="default" w:eastAsia="仿宋_GB2312"/>
                <w:color w:val="auto"/>
                <w:sz w:val="21"/>
                <w:szCs w:val="21"/>
                <w:lang w:val="en-US" w:eastAsia="zh-CN" w:bidi="ar"/>
              </w:rPr>
            </w:pPr>
            <w:r>
              <w:rPr>
                <w:rFonts w:hint="eastAsia" w:eastAsia="仿宋_GB2312"/>
                <w:color w:val="auto"/>
                <w:sz w:val="21"/>
                <w:szCs w:val="21"/>
                <w:lang w:val="en-US" w:eastAsia="zh-CN" w:bidi="ar"/>
              </w:rPr>
              <w:t>9</w:t>
            </w:r>
          </w:p>
        </w:tc>
        <w:tc>
          <w:tcPr>
            <w:tcW w:w="375" w:type="pct"/>
            <w:vMerge w:val="continue"/>
            <w:tcBorders>
              <w:tl2br w:val="nil"/>
              <w:tr2bl w:val="nil"/>
            </w:tcBorders>
            <w:shd w:val="clear" w:color="auto" w:fill="auto"/>
            <w:vAlign w:val="center"/>
          </w:tcPr>
          <w:p w14:paraId="34CA74D0">
            <w:pPr>
              <w:widowControl/>
              <w:jc w:val="center"/>
              <w:textAlignment w:val="center"/>
              <w:rPr>
                <w:rFonts w:hint="eastAsia" w:eastAsia="仿宋_GB2312"/>
                <w:color w:val="auto"/>
                <w:kern w:val="0"/>
                <w:szCs w:val="21"/>
                <w:lang w:val="en-US" w:eastAsia="zh-CN" w:bidi="ar"/>
              </w:rPr>
            </w:pPr>
          </w:p>
        </w:tc>
        <w:tc>
          <w:tcPr>
            <w:tcW w:w="493" w:type="pct"/>
            <w:vMerge w:val="restart"/>
            <w:tcBorders>
              <w:tl2br w:val="nil"/>
              <w:tr2bl w:val="nil"/>
            </w:tcBorders>
            <w:shd w:val="clear" w:color="auto" w:fill="auto"/>
            <w:vAlign w:val="center"/>
          </w:tcPr>
          <w:p w14:paraId="797CCCF8">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eastAsia" w:eastAsia="方正仿宋_GB2312" w:cs="Times New Roman"/>
                <w:color w:val="000000" w:themeColor="text1"/>
                <w:sz w:val="21"/>
                <w:szCs w:val="21"/>
                <w:lang w:val="en-US" w:eastAsia="zh-CN"/>
                <w14:textFill>
                  <w14:solidFill>
                    <w14:schemeClr w14:val="tx1"/>
                  </w14:solidFill>
                </w14:textFill>
              </w:rPr>
              <w:t>间歇精馏系列（</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1#~8#塔真空泵组</w:t>
            </w:r>
            <w:r>
              <w:rPr>
                <w:rFonts w:hint="eastAsia" w:eastAsia="方正仿宋_GB2312" w:cs="Times New Roman"/>
                <w:color w:val="000000" w:themeColor="text1"/>
                <w:sz w:val="21"/>
                <w:szCs w:val="21"/>
                <w:lang w:val="en-US" w:eastAsia="zh-CN"/>
                <w14:textFill>
                  <w14:solidFill>
                    <w14:schemeClr w14:val="tx1"/>
                  </w14:solidFill>
                </w14:textFill>
              </w:rPr>
              <w:t>）</w:t>
            </w:r>
          </w:p>
        </w:tc>
        <w:tc>
          <w:tcPr>
            <w:tcW w:w="437" w:type="pct"/>
            <w:vMerge w:val="restart"/>
            <w:tcBorders>
              <w:tl2br w:val="nil"/>
              <w:tr2bl w:val="nil"/>
            </w:tcBorders>
            <w:shd w:val="clear" w:color="auto" w:fill="auto"/>
            <w:vAlign w:val="center"/>
          </w:tcPr>
          <w:p w14:paraId="04DC2D22">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Q=200L/S</w:t>
            </w:r>
            <w:r>
              <w:rPr>
                <w:rFonts w:hint="eastAsia" w:eastAsia="方正仿宋_GB2312" w:cs="Times New Roman"/>
                <w:color w:val="000000" w:themeColor="text1"/>
                <w:sz w:val="21"/>
                <w:szCs w:val="21"/>
                <w:lang w:val="en-US" w:eastAsia="zh-CN"/>
                <w14:textFill>
                  <w14:solidFill>
                    <w14:schemeClr w14:val="tx1"/>
                  </w14:solidFill>
                </w14:textFill>
              </w:rPr>
              <w:t>，</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15kw+4kw</w:t>
            </w:r>
          </w:p>
        </w:tc>
        <w:tc>
          <w:tcPr>
            <w:tcW w:w="253" w:type="pct"/>
            <w:tcBorders>
              <w:tl2br w:val="nil"/>
              <w:tr2bl w:val="nil"/>
            </w:tcBorders>
            <w:shd w:val="clear" w:color="auto" w:fill="auto"/>
            <w:vAlign w:val="center"/>
          </w:tcPr>
          <w:p w14:paraId="261EF9F2">
            <w:pPr>
              <w:widowControl/>
              <w:jc w:val="center"/>
              <w:textAlignment w:val="center"/>
              <w:rPr>
                <w:rFonts w:hint="default" w:eastAsia="仿宋_GB2312"/>
                <w:color w:val="auto"/>
                <w:kern w:val="0"/>
                <w:szCs w:val="21"/>
                <w:lang w:val="en-US" w:eastAsia="zh-CN" w:bidi="ar"/>
              </w:rPr>
            </w:pPr>
            <w:r>
              <w:rPr>
                <w:rFonts w:hint="eastAsia" w:eastAsia="仿宋_GB2312"/>
                <w:color w:val="auto"/>
                <w:kern w:val="0"/>
                <w:szCs w:val="21"/>
                <w:lang w:val="en-US" w:eastAsia="zh-CN" w:bidi="ar"/>
              </w:rPr>
              <w:t>1</w:t>
            </w:r>
          </w:p>
        </w:tc>
        <w:tc>
          <w:tcPr>
            <w:tcW w:w="237" w:type="pct"/>
            <w:tcBorders>
              <w:tl2br w:val="nil"/>
              <w:tr2bl w:val="nil"/>
            </w:tcBorders>
            <w:shd w:val="clear" w:color="auto" w:fill="auto"/>
            <w:vAlign w:val="center"/>
          </w:tcPr>
          <w:p w14:paraId="7823FC53">
            <w:pPr>
              <w:pStyle w:val="163"/>
              <w:jc w:val="center"/>
              <w:rPr>
                <w:rFonts w:hint="default" w:ascii="Times New Roman" w:hAnsi="Times New Roman" w:eastAsia="仿宋_GB2312" w:cs="Times New Roman"/>
                <w:color w:val="auto"/>
                <w:kern w:val="0"/>
                <w:sz w:val="21"/>
                <w:szCs w:val="21"/>
                <w:lang w:val="en-US" w:eastAsia="zh-CN" w:bidi="ar"/>
              </w:rPr>
            </w:pPr>
            <w:r>
              <w:rPr>
                <w:rFonts w:hint="eastAsia" w:ascii="Times New Roman"/>
                <w:color w:val="auto"/>
                <w:kern w:val="0"/>
                <w:szCs w:val="21"/>
                <w:lang w:val="en-US" w:eastAsia="zh-CN" w:bidi="ar"/>
              </w:rPr>
              <w:t>165</w:t>
            </w:r>
          </w:p>
        </w:tc>
        <w:tc>
          <w:tcPr>
            <w:tcW w:w="220" w:type="pct"/>
            <w:tcBorders>
              <w:tl2br w:val="nil"/>
              <w:tr2bl w:val="nil"/>
            </w:tcBorders>
            <w:shd w:val="clear" w:color="auto" w:fill="auto"/>
            <w:vAlign w:val="center"/>
          </w:tcPr>
          <w:p w14:paraId="43898931">
            <w:pPr>
              <w:pStyle w:val="163"/>
              <w:jc w:val="center"/>
              <w:rPr>
                <w:rFonts w:hint="default" w:ascii="Times New Roman" w:hAnsi="Times New Roman" w:eastAsia="仿宋_GB2312" w:cs="Times New Roman"/>
                <w:color w:val="auto"/>
                <w:kern w:val="0"/>
                <w:sz w:val="21"/>
                <w:szCs w:val="21"/>
                <w:lang w:val="en-US" w:eastAsia="zh-CN" w:bidi="ar"/>
              </w:rPr>
            </w:pPr>
            <w:r>
              <w:rPr>
                <w:rFonts w:hint="eastAsia" w:ascii="Times New Roman"/>
                <w:color w:val="auto"/>
                <w:kern w:val="0"/>
                <w:szCs w:val="21"/>
                <w:lang w:val="en-US" w:eastAsia="zh-CN" w:bidi="ar"/>
              </w:rPr>
              <w:t>44</w:t>
            </w:r>
          </w:p>
        </w:tc>
        <w:tc>
          <w:tcPr>
            <w:tcW w:w="216" w:type="pct"/>
            <w:tcBorders>
              <w:tl2br w:val="nil"/>
              <w:tr2bl w:val="nil"/>
            </w:tcBorders>
            <w:shd w:val="clear" w:color="auto" w:fill="auto"/>
            <w:vAlign w:val="center"/>
          </w:tcPr>
          <w:p w14:paraId="71F89569">
            <w:pPr>
              <w:pStyle w:val="163"/>
              <w:jc w:val="center"/>
              <w:rPr>
                <w:rFonts w:hint="default" w:ascii="Times New Roman" w:hAnsi="Times New Roman" w:eastAsia="仿宋_GB2312" w:cs="Times New Roman"/>
                <w:color w:val="auto"/>
                <w:kern w:val="0"/>
                <w:sz w:val="21"/>
                <w:szCs w:val="21"/>
                <w:lang w:val="en-US" w:eastAsia="zh-CN" w:bidi="ar"/>
              </w:rPr>
            </w:pPr>
            <w:r>
              <w:rPr>
                <w:rFonts w:hint="eastAsia" w:ascii="Times New Roman"/>
                <w:color w:val="auto"/>
                <w:kern w:val="0"/>
                <w:szCs w:val="21"/>
                <w:lang w:val="en-US" w:eastAsia="zh-CN" w:bidi="ar"/>
              </w:rPr>
              <w:t>0.5</w:t>
            </w:r>
          </w:p>
        </w:tc>
        <w:tc>
          <w:tcPr>
            <w:tcW w:w="260" w:type="pct"/>
            <w:tcBorders>
              <w:tl2br w:val="nil"/>
              <w:tr2bl w:val="nil"/>
            </w:tcBorders>
            <w:shd w:val="clear" w:color="auto" w:fill="auto"/>
            <w:vAlign w:val="center"/>
          </w:tcPr>
          <w:p w14:paraId="0F3A35A9">
            <w:pPr>
              <w:pStyle w:val="163"/>
              <w:jc w:val="center"/>
              <w:rPr>
                <w:rFonts w:hint="eastAsia" w:ascii="Times New Roman" w:hAnsi="Times New Roman" w:eastAsia="仿宋_GB2312" w:cs="Times New Roman"/>
                <w:color w:val="auto"/>
                <w:kern w:val="0"/>
                <w:sz w:val="21"/>
                <w:szCs w:val="21"/>
                <w:lang w:val="en-US" w:eastAsia="zh-CN" w:bidi="ar"/>
              </w:rPr>
            </w:pPr>
            <w:r>
              <w:rPr>
                <w:rFonts w:hint="eastAsia" w:ascii="Times New Roman"/>
                <w:color w:val="auto"/>
                <w:kern w:val="0"/>
                <w:szCs w:val="21"/>
                <w:lang w:val="en-US" w:eastAsia="zh-CN" w:bidi="ar"/>
              </w:rPr>
              <w:t>80</w:t>
            </w:r>
          </w:p>
        </w:tc>
        <w:tc>
          <w:tcPr>
            <w:tcW w:w="287" w:type="pct"/>
            <w:vMerge w:val="continue"/>
            <w:tcBorders>
              <w:tl2br w:val="nil"/>
              <w:tr2bl w:val="nil"/>
            </w:tcBorders>
            <w:shd w:val="clear" w:color="auto" w:fill="auto"/>
            <w:vAlign w:val="center"/>
          </w:tcPr>
          <w:p w14:paraId="4EA28C64">
            <w:pPr>
              <w:pStyle w:val="81"/>
              <w:spacing w:beforeAutospacing="0" w:afterAutospacing="0" w:line="320" w:lineRule="exact"/>
              <w:jc w:val="center"/>
              <w:rPr>
                <w:rFonts w:eastAsia="仿宋_GB2312"/>
                <w:color w:val="FF0000"/>
                <w:sz w:val="21"/>
                <w:szCs w:val="21"/>
                <w:lang w:bidi="ar"/>
              </w:rPr>
            </w:pPr>
          </w:p>
        </w:tc>
        <w:tc>
          <w:tcPr>
            <w:tcW w:w="270" w:type="pct"/>
            <w:tcBorders>
              <w:tl2br w:val="nil"/>
              <w:tr2bl w:val="nil"/>
            </w:tcBorders>
            <w:shd w:val="clear" w:color="auto" w:fill="auto"/>
            <w:vAlign w:val="center"/>
          </w:tcPr>
          <w:p w14:paraId="3217B722">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rPr>
              <w:t>5</w:t>
            </w:r>
          </w:p>
        </w:tc>
        <w:tc>
          <w:tcPr>
            <w:tcW w:w="282" w:type="pct"/>
            <w:tcBorders>
              <w:tl2br w:val="nil"/>
              <w:tr2bl w:val="nil"/>
            </w:tcBorders>
            <w:shd w:val="clear" w:color="auto" w:fill="auto"/>
            <w:vAlign w:val="center"/>
          </w:tcPr>
          <w:p w14:paraId="718C856E">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6</w:t>
            </w:r>
            <w:r>
              <w:rPr>
                <w:rFonts w:hint="eastAsia" w:eastAsia="仿宋_GB2312"/>
                <w:color w:val="auto"/>
                <w:sz w:val="21"/>
                <w:szCs w:val="21"/>
                <w:lang w:bidi="ar"/>
              </w:rPr>
              <w:t>6</w:t>
            </w:r>
          </w:p>
        </w:tc>
        <w:tc>
          <w:tcPr>
            <w:tcW w:w="270" w:type="pct"/>
            <w:tcBorders>
              <w:tl2br w:val="nil"/>
              <w:tr2bl w:val="nil"/>
            </w:tcBorders>
            <w:shd w:val="clear" w:color="auto" w:fill="auto"/>
            <w:vAlign w:val="center"/>
          </w:tcPr>
          <w:p w14:paraId="51B64BC4">
            <w:pPr>
              <w:pStyle w:val="81"/>
              <w:spacing w:beforeAutospacing="0" w:afterAutospacing="0" w:line="320" w:lineRule="exact"/>
              <w:ind w:left="0" w:leftChars="0" w:right="0" w:rightChars="0"/>
              <w:jc w:val="center"/>
              <w:rPr>
                <w:rFonts w:ascii="Times New Roman" w:hAnsi="Times New Roman" w:eastAsia="仿宋_GB2312" w:cs="Times New Roman"/>
                <w:b/>
                <w:bCs/>
                <w:color w:val="auto"/>
                <w:kern w:val="0"/>
                <w:sz w:val="21"/>
                <w:szCs w:val="21"/>
                <w:lang w:val="en-US" w:eastAsia="zh-CN" w:bidi="ar"/>
              </w:rPr>
            </w:pPr>
            <w:r>
              <w:rPr>
                <w:rFonts w:eastAsia="仿宋_GB2312"/>
                <w:color w:val="auto"/>
                <w:sz w:val="21"/>
                <w:szCs w:val="21"/>
                <w:lang w:bidi="ar"/>
              </w:rPr>
              <w:t>全天</w:t>
            </w:r>
          </w:p>
        </w:tc>
        <w:tc>
          <w:tcPr>
            <w:tcW w:w="312" w:type="pct"/>
            <w:tcBorders>
              <w:tl2br w:val="nil"/>
              <w:tr2bl w:val="nil"/>
            </w:tcBorders>
            <w:shd w:val="clear" w:color="auto" w:fill="auto"/>
            <w:vAlign w:val="center"/>
          </w:tcPr>
          <w:p w14:paraId="71F8C73A">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20</w:t>
            </w:r>
          </w:p>
        </w:tc>
        <w:tc>
          <w:tcPr>
            <w:tcW w:w="262" w:type="pct"/>
            <w:tcBorders>
              <w:tl2br w:val="nil"/>
              <w:tr2bl w:val="nil"/>
            </w:tcBorders>
            <w:shd w:val="clear" w:color="auto" w:fill="auto"/>
            <w:vAlign w:val="center"/>
          </w:tcPr>
          <w:p w14:paraId="457EDE8B">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46</w:t>
            </w:r>
          </w:p>
        </w:tc>
        <w:tc>
          <w:tcPr>
            <w:tcW w:w="288" w:type="pct"/>
            <w:tcBorders>
              <w:tl2br w:val="nil"/>
              <w:tr2bl w:val="nil"/>
            </w:tcBorders>
            <w:shd w:val="clear" w:color="auto" w:fill="auto"/>
            <w:vAlign w:val="center"/>
          </w:tcPr>
          <w:p w14:paraId="67B71665">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1</w:t>
            </w:r>
          </w:p>
        </w:tc>
        <w:tc>
          <w:tcPr>
            <w:tcW w:w="335" w:type="pct"/>
            <w:tcBorders>
              <w:tl2br w:val="nil"/>
              <w:tr2bl w:val="nil"/>
            </w:tcBorders>
            <w:shd w:val="clear" w:color="auto" w:fill="auto"/>
            <w:vAlign w:val="center"/>
          </w:tcPr>
          <w:p w14:paraId="2B75CC7D">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hint="eastAsia" w:eastAsia="仿宋_GB2312" w:hAnsiTheme="minorHAnsi"/>
                <w:color w:val="auto"/>
                <w:sz w:val="21"/>
                <w:szCs w:val="21"/>
                <w:lang w:val="en-US" w:eastAsia="zh-CN" w:bidi="ar"/>
              </w:rPr>
              <w:t>依托现有</w:t>
            </w:r>
          </w:p>
        </w:tc>
      </w:tr>
      <w:tr w14:paraId="6C3D16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195" w:type="pct"/>
            <w:tcBorders>
              <w:tl2br w:val="nil"/>
              <w:tr2bl w:val="nil"/>
            </w:tcBorders>
            <w:shd w:val="clear" w:color="auto" w:fill="auto"/>
            <w:vAlign w:val="center"/>
          </w:tcPr>
          <w:p w14:paraId="32A9DCBA">
            <w:pPr>
              <w:pStyle w:val="81"/>
              <w:spacing w:beforeAutospacing="0" w:afterAutospacing="0" w:line="320" w:lineRule="exact"/>
              <w:jc w:val="center"/>
              <w:rPr>
                <w:rFonts w:hint="default" w:eastAsia="仿宋_GB2312"/>
                <w:color w:val="auto"/>
                <w:sz w:val="21"/>
                <w:szCs w:val="21"/>
                <w:lang w:val="en-US" w:eastAsia="zh-CN" w:bidi="ar"/>
              </w:rPr>
            </w:pPr>
            <w:r>
              <w:rPr>
                <w:rFonts w:hint="eastAsia" w:eastAsia="仿宋_GB2312"/>
                <w:color w:val="auto"/>
                <w:sz w:val="21"/>
                <w:szCs w:val="21"/>
                <w:lang w:val="en-US" w:eastAsia="zh-CN" w:bidi="ar"/>
              </w:rPr>
              <w:t>10</w:t>
            </w:r>
          </w:p>
        </w:tc>
        <w:tc>
          <w:tcPr>
            <w:tcW w:w="375" w:type="pct"/>
            <w:vMerge w:val="continue"/>
            <w:tcBorders>
              <w:tl2br w:val="nil"/>
              <w:tr2bl w:val="nil"/>
            </w:tcBorders>
            <w:shd w:val="clear" w:color="auto" w:fill="auto"/>
            <w:vAlign w:val="center"/>
          </w:tcPr>
          <w:p w14:paraId="621362A3">
            <w:pPr>
              <w:widowControl/>
              <w:jc w:val="center"/>
              <w:textAlignment w:val="center"/>
              <w:rPr>
                <w:rFonts w:hint="eastAsia" w:eastAsia="仿宋_GB2312"/>
                <w:color w:val="auto"/>
                <w:kern w:val="0"/>
                <w:szCs w:val="21"/>
                <w:lang w:val="en-US" w:eastAsia="zh-CN" w:bidi="ar"/>
              </w:rPr>
            </w:pPr>
          </w:p>
        </w:tc>
        <w:tc>
          <w:tcPr>
            <w:tcW w:w="493" w:type="pct"/>
            <w:vMerge w:val="continue"/>
            <w:tcBorders>
              <w:tl2br w:val="nil"/>
              <w:tr2bl w:val="nil"/>
            </w:tcBorders>
            <w:shd w:val="clear" w:color="auto" w:fill="auto"/>
            <w:vAlign w:val="center"/>
          </w:tcPr>
          <w:p w14:paraId="51472555">
            <w:pPr>
              <w:bidi w:val="0"/>
              <w:jc w:val="center"/>
              <w:rPr>
                <w:rFonts w:hint="default" w:ascii="Times New Roman" w:hAnsi="Times New Roman" w:eastAsia="方正仿宋_GB2312" w:cs="Times New Roman"/>
                <w:color w:val="auto"/>
                <w:sz w:val="21"/>
                <w:szCs w:val="21"/>
                <w:lang w:val="en-US" w:eastAsia="zh-CN"/>
              </w:rPr>
            </w:pPr>
          </w:p>
        </w:tc>
        <w:tc>
          <w:tcPr>
            <w:tcW w:w="437" w:type="pct"/>
            <w:vMerge w:val="continue"/>
            <w:tcBorders>
              <w:tl2br w:val="nil"/>
              <w:tr2bl w:val="nil"/>
            </w:tcBorders>
            <w:shd w:val="clear" w:color="auto" w:fill="auto"/>
            <w:vAlign w:val="center"/>
          </w:tcPr>
          <w:p w14:paraId="57399692">
            <w:pPr>
              <w:bidi w:val="0"/>
              <w:jc w:val="center"/>
              <w:rPr>
                <w:rFonts w:hint="default" w:ascii="Times New Roman" w:hAnsi="Times New Roman" w:eastAsia="方正仿宋_GB2312" w:cs="Times New Roman"/>
                <w:color w:val="auto"/>
                <w:sz w:val="21"/>
                <w:szCs w:val="21"/>
                <w:lang w:val="en-US" w:eastAsia="zh-CN"/>
              </w:rPr>
            </w:pPr>
          </w:p>
        </w:tc>
        <w:tc>
          <w:tcPr>
            <w:tcW w:w="253" w:type="pct"/>
            <w:tcBorders>
              <w:tl2br w:val="nil"/>
              <w:tr2bl w:val="nil"/>
            </w:tcBorders>
            <w:shd w:val="clear" w:color="auto" w:fill="auto"/>
            <w:vAlign w:val="center"/>
          </w:tcPr>
          <w:p w14:paraId="2E1DD36D">
            <w:pPr>
              <w:widowControl/>
              <w:jc w:val="center"/>
              <w:textAlignment w:val="center"/>
              <w:rPr>
                <w:rFonts w:hint="default" w:eastAsia="仿宋_GB2312"/>
                <w:color w:val="auto"/>
                <w:kern w:val="0"/>
                <w:szCs w:val="21"/>
                <w:lang w:val="en-US" w:eastAsia="zh-CN" w:bidi="ar"/>
              </w:rPr>
            </w:pPr>
            <w:r>
              <w:rPr>
                <w:rFonts w:hint="eastAsia" w:eastAsia="仿宋_GB2312"/>
                <w:color w:val="auto"/>
                <w:kern w:val="0"/>
                <w:szCs w:val="21"/>
                <w:lang w:val="en-US" w:eastAsia="zh-CN" w:bidi="ar"/>
              </w:rPr>
              <w:t>1</w:t>
            </w:r>
          </w:p>
        </w:tc>
        <w:tc>
          <w:tcPr>
            <w:tcW w:w="237" w:type="pct"/>
            <w:tcBorders>
              <w:tl2br w:val="nil"/>
              <w:tr2bl w:val="nil"/>
            </w:tcBorders>
            <w:shd w:val="clear" w:color="auto" w:fill="auto"/>
            <w:vAlign w:val="center"/>
          </w:tcPr>
          <w:p w14:paraId="63139CD9">
            <w:pPr>
              <w:pStyle w:val="163"/>
              <w:jc w:val="center"/>
              <w:rPr>
                <w:rFonts w:hint="default" w:ascii="Times New Roman" w:hAnsi="Times New Roman" w:eastAsia="仿宋_GB2312" w:cs="Times New Roman"/>
                <w:color w:val="auto"/>
                <w:kern w:val="0"/>
                <w:sz w:val="21"/>
                <w:szCs w:val="21"/>
                <w:lang w:val="en-US" w:eastAsia="zh-CN" w:bidi="ar"/>
              </w:rPr>
            </w:pPr>
            <w:r>
              <w:rPr>
                <w:rFonts w:hint="eastAsia" w:ascii="Times New Roman"/>
                <w:color w:val="auto"/>
                <w:kern w:val="0"/>
                <w:szCs w:val="21"/>
                <w:lang w:val="en-US" w:eastAsia="zh-CN" w:bidi="ar"/>
              </w:rPr>
              <w:t>165</w:t>
            </w:r>
          </w:p>
        </w:tc>
        <w:tc>
          <w:tcPr>
            <w:tcW w:w="220" w:type="pct"/>
            <w:tcBorders>
              <w:tl2br w:val="nil"/>
              <w:tr2bl w:val="nil"/>
            </w:tcBorders>
            <w:shd w:val="clear" w:color="auto" w:fill="auto"/>
            <w:vAlign w:val="center"/>
          </w:tcPr>
          <w:p w14:paraId="7879BE50">
            <w:pPr>
              <w:pStyle w:val="163"/>
              <w:jc w:val="center"/>
              <w:rPr>
                <w:rFonts w:hint="default" w:ascii="Times New Roman" w:hAnsi="Times New Roman" w:eastAsia="仿宋_GB2312" w:cs="Times New Roman"/>
                <w:color w:val="auto"/>
                <w:kern w:val="0"/>
                <w:sz w:val="21"/>
                <w:szCs w:val="21"/>
                <w:lang w:val="en-US" w:eastAsia="zh-CN" w:bidi="ar"/>
              </w:rPr>
            </w:pPr>
            <w:r>
              <w:rPr>
                <w:rFonts w:hint="eastAsia" w:ascii="Times New Roman"/>
                <w:color w:val="auto"/>
                <w:kern w:val="0"/>
                <w:szCs w:val="21"/>
                <w:lang w:val="en-US" w:eastAsia="zh-CN" w:bidi="ar"/>
              </w:rPr>
              <w:t>45</w:t>
            </w:r>
          </w:p>
        </w:tc>
        <w:tc>
          <w:tcPr>
            <w:tcW w:w="216" w:type="pct"/>
            <w:tcBorders>
              <w:tl2br w:val="nil"/>
              <w:tr2bl w:val="nil"/>
            </w:tcBorders>
            <w:shd w:val="clear" w:color="auto" w:fill="auto"/>
            <w:vAlign w:val="center"/>
          </w:tcPr>
          <w:p w14:paraId="2488776B">
            <w:pPr>
              <w:pStyle w:val="163"/>
              <w:jc w:val="center"/>
              <w:rPr>
                <w:rFonts w:hint="default" w:ascii="Times New Roman" w:hAnsi="Times New Roman" w:eastAsia="仿宋_GB2312" w:cs="Times New Roman"/>
                <w:color w:val="auto"/>
                <w:kern w:val="0"/>
                <w:sz w:val="21"/>
                <w:szCs w:val="21"/>
                <w:lang w:val="en-US" w:eastAsia="zh-CN" w:bidi="ar"/>
              </w:rPr>
            </w:pPr>
            <w:r>
              <w:rPr>
                <w:rFonts w:hint="eastAsia" w:ascii="Times New Roman"/>
                <w:color w:val="auto"/>
                <w:kern w:val="0"/>
                <w:szCs w:val="21"/>
                <w:lang w:val="en-US" w:eastAsia="zh-CN" w:bidi="ar"/>
              </w:rPr>
              <w:t>0.5</w:t>
            </w:r>
          </w:p>
        </w:tc>
        <w:tc>
          <w:tcPr>
            <w:tcW w:w="260" w:type="pct"/>
            <w:tcBorders>
              <w:tl2br w:val="nil"/>
              <w:tr2bl w:val="nil"/>
            </w:tcBorders>
            <w:shd w:val="clear" w:color="auto" w:fill="auto"/>
            <w:vAlign w:val="center"/>
          </w:tcPr>
          <w:p w14:paraId="385DEDFB">
            <w:pPr>
              <w:pStyle w:val="163"/>
              <w:jc w:val="center"/>
              <w:rPr>
                <w:rFonts w:hint="default" w:ascii="Times New Roman" w:hAnsi="Times New Roman" w:eastAsia="仿宋_GB2312" w:cs="Times New Roman"/>
                <w:color w:val="auto"/>
                <w:kern w:val="0"/>
                <w:sz w:val="21"/>
                <w:szCs w:val="21"/>
                <w:lang w:val="en-US" w:eastAsia="zh-CN" w:bidi="ar"/>
              </w:rPr>
            </w:pPr>
            <w:r>
              <w:rPr>
                <w:rFonts w:hint="eastAsia" w:ascii="Times New Roman"/>
                <w:color w:val="auto"/>
                <w:kern w:val="0"/>
                <w:szCs w:val="21"/>
                <w:lang w:val="en-US" w:eastAsia="zh-CN" w:bidi="ar"/>
              </w:rPr>
              <w:t>80</w:t>
            </w:r>
          </w:p>
        </w:tc>
        <w:tc>
          <w:tcPr>
            <w:tcW w:w="287" w:type="pct"/>
            <w:vMerge w:val="continue"/>
            <w:tcBorders>
              <w:tl2br w:val="nil"/>
              <w:tr2bl w:val="nil"/>
            </w:tcBorders>
            <w:shd w:val="clear" w:color="auto" w:fill="auto"/>
            <w:vAlign w:val="center"/>
          </w:tcPr>
          <w:p w14:paraId="004838F5">
            <w:pPr>
              <w:pStyle w:val="81"/>
              <w:spacing w:beforeAutospacing="0" w:afterAutospacing="0" w:line="320" w:lineRule="exact"/>
              <w:jc w:val="center"/>
              <w:rPr>
                <w:rFonts w:eastAsia="仿宋_GB2312"/>
                <w:color w:val="FF0000"/>
                <w:sz w:val="21"/>
                <w:szCs w:val="21"/>
                <w:lang w:bidi="ar"/>
              </w:rPr>
            </w:pPr>
          </w:p>
        </w:tc>
        <w:tc>
          <w:tcPr>
            <w:tcW w:w="270" w:type="pct"/>
            <w:tcBorders>
              <w:tl2br w:val="nil"/>
              <w:tr2bl w:val="nil"/>
            </w:tcBorders>
            <w:shd w:val="clear" w:color="auto" w:fill="auto"/>
            <w:vAlign w:val="center"/>
          </w:tcPr>
          <w:p w14:paraId="28897086">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rPr>
              <w:t>5</w:t>
            </w:r>
          </w:p>
        </w:tc>
        <w:tc>
          <w:tcPr>
            <w:tcW w:w="282" w:type="pct"/>
            <w:tcBorders>
              <w:tl2br w:val="nil"/>
              <w:tr2bl w:val="nil"/>
            </w:tcBorders>
            <w:shd w:val="clear" w:color="auto" w:fill="auto"/>
            <w:vAlign w:val="center"/>
          </w:tcPr>
          <w:p w14:paraId="689AFBD1">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6</w:t>
            </w:r>
            <w:r>
              <w:rPr>
                <w:rFonts w:hint="eastAsia" w:eastAsia="仿宋_GB2312"/>
                <w:color w:val="auto"/>
                <w:sz w:val="21"/>
                <w:szCs w:val="21"/>
                <w:lang w:bidi="ar"/>
              </w:rPr>
              <w:t>6</w:t>
            </w:r>
          </w:p>
        </w:tc>
        <w:tc>
          <w:tcPr>
            <w:tcW w:w="270" w:type="pct"/>
            <w:tcBorders>
              <w:tl2br w:val="nil"/>
              <w:tr2bl w:val="nil"/>
            </w:tcBorders>
            <w:shd w:val="clear" w:color="auto" w:fill="auto"/>
            <w:vAlign w:val="center"/>
          </w:tcPr>
          <w:p w14:paraId="0507F71F">
            <w:pPr>
              <w:pStyle w:val="81"/>
              <w:spacing w:beforeAutospacing="0" w:afterAutospacing="0" w:line="320" w:lineRule="exact"/>
              <w:ind w:left="0" w:leftChars="0" w:right="0" w:rightChars="0"/>
              <w:jc w:val="center"/>
              <w:rPr>
                <w:rFonts w:ascii="Times New Roman" w:hAnsi="Times New Roman" w:eastAsia="仿宋_GB2312" w:cs="Times New Roman"/>
                <w:b/>
                <w:bCs/>
                <w:color w:val="auto"/>
                <w:kern w:val="0"/>
                <w:sz w:val="21"/>
                <w:szCs w:val="21"/>
                <w:lang w:val="en-US" w:eastAsia="zh-CN" w:bidi="ar"/>
              </w:rPr>
            </w:pPr>
            <w:r>
              <w:rPr>
                <w:rFonts w:eastAsia="仿宋_GB2312"/>
                <w:color w:val="auto"/>
                <w:sz w:val="21"/>
                <w:szCs w:val="21"/>
                <w:lang w:bidi="ar"/>
              </w:rPr>
              <w:t>全天</w:t>
            </w:r>
          </w:p>
        </w:tc>
        <w:tc>
          <w:tcPr>
            <w:tcW w:w="312" w:type="pct"/>
            <w:tcBorders>
              <w:tl2br w:val="nil"/>
              <w:tr2bl w:val="nil"/>
            </w:tcBorders>
            <w:shd w:val="clear" w:color="auto" w:fill="auto"/>
            <w:vAlign w:val="center"/>
          </w:tcPr>
          <w:p w14:paraId="63F27896">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20</w:t>
            </w:r>
          </w:p>
        </w:tc>
        <w:tc>
          <w:tcPr>
            <w:tcW w:w="262" w:type="pct"/>
            <w:tcBorders>
              <w:tl2br w:val="nil"/>
              <w:tr2bl w:val="nil"/>
            </w:tcBorders>
            <w:shd w:val="clear" w:color="auto" w:fill="auto"/>
            <w:vAlign w:val="center"/>
          </w:tcPr>
          <w:p w14:paraId="4E0A4469">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46</w:t>
            </w:r>
          </w:p>
        </w:tc>
        <w:tc>
          <w:tcPr>
            <w:tcW w:w="288" w:type="pct"/>
            <w:tcBorders>
              <w:tl2br w:val="nil"/>
              <w:tr2bl w:val="nil"/>
            </w:tcBorders>
            <w:shd w:val="clear" w:color="auto" w:fill="auto"/>
            <w:vAlign w:val="center"/>
          </w:tcPr>
          <w:p w14:paraId="432C7E06">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1</w:t>
            </w:r>
          </w:p>
        </w:tc>
        <w:tc>
          <w:tcPr>
            <w:tcW w:w="335" w:type="pct"/>
            <w:tcBorders>
              <w:tl2br w:val="nil"/>
              <w:tr2bl w:val="nil"/>
            </w:tcBorders>
            <w:shd w:val="clear" w:color="auto" w:fill="auto"/>
            <w:vAlign w:val="center"/>
          </w:tcPr>
          <w:p w14:paraId="0DC2A5DA">
            <w:pPr>
              <w:pStyle w:val="81"/>
              <w:spacing w:beforeAutospacing="0" w:afterAutospacing="0" w:line="320" w:lineRule="exact"/>
              <w:ind w:left="0" w:leftChars="0" w:right="0" w:rightChars="0"/>
              <w:jc w:val="center"/>
              <w:rPr>
                <w:rFonts w:ascii="Times New Roman" w:hAnsi="Times New Roman" w:eastAsia="仿宋_GB2312" w:cs="Times New Roman"/>
                <w:color w:val="FF0000"/>
                <w:kern w:val="0"/>
                <w:sz w:val="21"/>
                <w:szCs w:val="21"/>
                <w:lang w:val="en-US" w:eastAsia="zh-CN" w:bidi="ar"/>
              </w:rPr>
            </w:pPr>
            <w:r>
              <w:rPr>
                <w:rFonts w:hint="eastAsia" w:eastAsia="仿宋_GB2312" w:hAnsiTheme="minorHAnsi"/>
                <w:color w:val="auto"/>
                <w:sz w:val="21"/>
                <w:szCs w:val="21"/>
                <w:lang w:val="en-US" w:eastAsia="zh-CN" w:bidi="ar"/>
              </w:rPr>
              <w:t>依托现有</w:t>
            </w:r>
          </w:p>
        </w:tc>
      </w:tr>
      <w:tr w14:paraId="0B8F15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195" w:type="pct"/>
            <w:tcBorders>
              <w:tl2br w:val="nil"/>
              <w:tr2bl w:val="nil"/>
            </w:tcBorders>
            <w:shd w:val="clear" w:color="auto" w:fill="auto"/>
            <w:vAlign w:val="center"/>
          </w:tcPr>
          <w:p w14:paraId="7F36B0CB">
            <w:pPr>
              <w:pStyle w:val="81"/>
              <w:spacing w:beforeAutospacing="0" w:afterAutospacing="0" w:line="320" w:lineRule="exact"/>
              <w:jc w:val="center"/>
              <w:rPr>
                <w:rFonts w:hint="default" w:eastAsia="仿宋_GB2312"/>
                <w:color w:val="auto"/>
                <w:sz w:val="21"/>
                <w:szCs w:val="21"/>
                <w:lang w:val="en-US" w:eastAsia="zh-CN" w:bidi="ar"/>
              </w:rPr>
            </w:pPr>
            <w:r>
              <w:rPr>
                <w:rFonts w:hint="eastAsia" w:eastAsia="仿宋_GB2312"/>
                <w:color w:val="auto"/>
                <w:sz w:val="21"/>
                <w:szCs w:val="21"/>
                <w:lang w:val="en-US" w:eastAsia="zh-CN" w:bidi="ar"/>
              </w:rPr>
              <w:t>11</w:t>
            </w:r>
          </w:p>
        </w:tc>
        <w:tc>
          <w:tcPr>
            <w:tcW w:w="375" w:type="pct"/>
            <w:vMerge w:val="continue"/>
            <w:tcBorders>
              <w:tl2br w:val="nil"/>
              <w:tr2bl w:val="nil"/>
            </w:tcBorders>
            <w:shd w:val="clear" w:color="auto" w:fill="auto"/>
            <w:vAlign w:val="center"/>
          </w:tcPr>
          <w:p w14:paraId="101D78AA">
            <w:pPr>
              <w:widowControl/>
              <w:jc w:val="center"/>
              <w:textAlignment w:val="center"/>
              <w:rPr>
                <w:rFonts w:hint="eastAsia" w:eastAsia="仿宋_GB2312"/>
                <w:color w:val="auto"/>
                <w:kern w:val="0"/>
                <w:szCs w:val="21"/>
                <w:lang w:val="en-US" w:eastAsia="zh-CN" w:bidi="ar"/>
              </w:rPr>
            </w:pPr>
          </w:p>
        </w:tc>
        <w:tc>
          <w:tcPr>
            <w:tcW w:w="493" w:type="pct"/>
            <w:vMerge w:val="continue"/>
            <w:tcBorders>
              <w:tl2br w:val="nil"/>
              <w:tr2bl w:val="nil"/>
            </w:tcBorders>
            <w:shd w:val="clear" w:color="auto" w:fill="auto"/>
            <w:vAlign w:val="center"/>
          </w:tcPr>
          <w:p w14:paraId="7DEC7765">
            <w:pPr>
              <w:bidi w:val="0"/>
              <w:jc w:val="center"/>
              <w:rPr>
                <w:rFonts w:hint="default" w:ascii="Times New Roman" w:hAnsi="Times New Roman" w:eastAsia="方正仿宋_GB2312" w:cs="Times New Roman"/>
                <w:color w:val="auto"/>
                <w:sz w:val="21"/>
                <w:szCs w:val="21"/>
                <w:lang w:val="en-US" w:eastAsia="zh-CN"/>
              </w:rPr>
            </w:pPr>
          </w:p>
        </w:tc>
        <w:tc>
          <w:tcPr>
            <w:tcW w:w="437" w:type="pct"/>
            <w:vMerge w:val="continue"/>
            <w:tcBorders>
              <w:tl2br w:val="nil"/>
              <w:tr2bl w:val="nil"/>
            </w:tcBorders>
            <w:shd w:val="clear" w:color="auto" w:fill="auto"/>
            <w:vAlign w:val="center"/>
          </w:tcPr>
          <w:p w14:paraId="0BDC11B3">
            <w:pPr>
              <w:bidi w:val="0"/>
              <w:jc w:val="center"/>
              <w:rPr>
                <w:rFonts w:hint="default" w:ascii="Times New Roman" w:hAnsi="Times New Roman" w:eastAsia="方正仿宋_GB2312" w:cs="Times New Roman"/>
                <w:color w:val="auto"/>
                <w:sz w:val="21"/>
                <w:szCs w:val="21"/>
                <w:lang w:val="en-US" w:eastAsia="zh-CN"/>
              </w:rPr>
            </w:pPr>
          </w:p>
        </w:tc>
        <w:tc>
          <w:tcPr>
            <w:tcW w:w="253" w:type="pct"/>
            <w:tcBorders>
              <w:tl2br w:val="nil"/>
              <w:tr2bl w:val="nil"/>
            </w:tcBorders>
            <w:shd w:val="clear" w:color="auto" w:fill="auto"/>
            <w:vAlign w:val="center"/>
          </w:tcPr>
          <w:p w14:paraId="5137D63C">
            <w:pPr>
              <w:widowControl/>
              <w:jc w:val="center"/>
              <w:textAlignment w:val="center"/>
              <w:rPr>
                <w:rFonts w:hint="default" w:eastAsia="仿宋_GB2312"/>
                <w:color w:val="auto"/>
                <w:kern w:val="0"/>
                <w:szCs w:val="21"/>
                <w:lang w:val="en-US" w:eastAsia="zh-CN" w:bidi="ar"/>
              </w:rPr>
            </w:pPr>
            <w:r>
              <w:rPr>
                <w:rFonts w:hint="eastAsia" w:eastAsia="仿宋_GB2312"/>
                <w:color w:val="auto"/>
                <w:kern w:val="0"/>
                <w:szCs w:val="21"/>
                <w:lang w:val="en-US" w:eastAsia="zh-CN" w:bidi="ar"/>
              </w:rPr>
              <w:t>1</w:t>
            </w:r>
          </w:p>
        </w:tc>
        <w:tc>
          <w:tcPr>
            <w:tcW w:w="237" w:type="pct"/>
            <w:tcBorders>
              <w:tl2br w:val="nil"/>
              <w:tr2bl w:val="nil"/>
            </w:tcBorders>
            <w:shd w:val="clear" w:color="auto" w:fill="auto"/>
            <w:vAlign w:val="center"/>
          </w:tcPr>
          <w:p w14:paraId="21E6AB06">
            <w:pPr>
              <w:pStyle w:val="163"/>
              <w:jc w:val="center"/>
              <w:rPr>
                <w:rFonts w:hint="default" w:ascii="Times New Roman" w:hAnsi="Times New Roman" w:eastAsia="仿宋_GB2312" w:cs="Times New Roman"/>
                <w:color w:val="auto"/>
                <w:kern w:val="0"/>
                <w:sz w:val="21"/>
                <w:szCs w:val="21"/>
                <w:lang w:val="en-US" w:eastAsia="zh-CN" w:bidi="ar"/>
              </w:rPr>
            </w:pPr>
            <w:r>
              <w:rPr>
                <w:rFonts w:hint="eastAsia" w:ascii="Times New Roman"/>
                <w:color w:val="auto"/>
                <w:kern w:val="0"/>
                <w:szCs w:val="21"/>
                <w:lang w:val="en-US" w:eastAsia="zh-CN" w:bidi="ar"/>
              </w:rPr>
              <w:t>166</w:t>
            </w:r>
          </w:p>
        </w:tc>
        <w:tc>
          <w:tcPr>
            <w:tcW w:w="220" w:type="pct"/>
            <w:tcBorders>
              <w:tl2br w:val="nil"/>
              <w:tr2bl w:val="nil"/>
            </w:tcBorders>
            <w:shd w:val="clear" w:color="auto" w:fill="auto"/>
            <w:vAlign w:val="center"/>
          </w:tcPr>
          <w:p w14:paraId="024A9C1B">
            <w:pPr>
              <w:pStyle w:val="163"/>
              <w:jc w:val="center"/>
              <w:rPr>
                <w:rFonts w:hint="default" w:ascii="Times New Roman" w:hAnsi="Times New Roman" w:eastAsia="仿宋_GB2312" w:cs="Times New Roman"/>
                <w:color w:val="auto"/>
                <w:kern w:val="0"/>
                <w:sz w:val="21"/>
                <w:szCs w:val="21"/>
                <w:lang w:val="en-US" w:eastAsia="zh-CN" w:bidi="ar"/>
              </w:rPr>
            </w:pPr>
            <w:r>
              <w:rPr>
                <w:rFonts w:hint="eastAsia" w:ascii="Times New Roman"/>
                <w:color w:val="auto"/>
                <w:kern w:val="0"/>
                <w:szCs w:val="21"/>
                <w:lang w:val="en-US" w:eastAsia="zh-CN" w:bidi="ar"/>
              </w:rPr>
              <w:t>46</w:t>
            </w:r>
          </w:p>
        </w:tc>
        <w:tc>
          <w:tcPr>
            <w:tcW w:w="216" w:type="pct"/>
            <w:tcBorders>
              <w:tl2br w:val="nil"/>
              <w:tr2bl w:val="nil"/>
            </w:tcBorders>
            <w:shd w:val="clear" w:color="auto" w:fill="auto"/>
            <w:vAlign w:val="center"/>
          </w:tcPr>
          <w:p w14:paraId="0ED5ED5D">
            <w:pPr>
              <w:pStyle w:val="163"/>
              <w:jc w:val="center"/>
              <w:rPr>
                <w:rFonts w:hint="default" w:ascii="Times New Roman" w:hAnsi="Times New Roman" w:eastAsia="仿宋_GB2312" w:cs="Times New Roman"/>
                <w:color w:val="auto"/>
                <w:kern w:val="0"/>
                <w:sz w:val="21"/>
                <w:szCs w:val="21"/>
                <w:lang w:val="en-US" w:eastAsia="zh-CN" w:bidi="ar"/>
              </w:rPr>
            </w:pPr>
            <w:r>
              <w:rPr>
                <w:rFonts w:hint="eastAsia" w:ascii="Times New Roman"/>
                <w:color w:val="auto"/>
                <w:kern w:val="0"/>
                <w:szCs w:val="21"/>
                <w:lang w:val="en-US" w:eastAsia="zh-CN" w:bidi="ar"/>
              </w:rPr>
              <w:t>0.5</w:t>
            </w:r>
          </w:p>
        </w:tc>
        <w:tc>
          <w:tcPr>
            <w:tcW w:w="260" w:type="pct"/>
            <w:tcBorders>
              <w:tl2br w:val="nil"/>
              <w:tr2bl w:val="nil"/>
            </w:tcBorders>
            <w:shd w:val="clear" w:color="auto" w:fill="auto"/>
            <w:vAlign w:val="center"/>
          </w:tcPr>
          <w:p w14:paraId="39B2CC49">
            <w:pPr>
              <w:pStyle w:val="81"/>
              <w:spacing w:beforeAutospacing="0" w:afterAutospacing="0" w:line="320" w:lineRule="exact"/>
              <w:ind w:left="0" w:leftChars="0" w:right="0" w:rightChars="0"/>
              <w:jc w:val="center"/>
              <w:rPr>
                <w:rFonts w:ascii="Times New Roman" w:hAnsi="Times New Roman" w:eastAsia="仿宋_GB2312" w:cs="Times New Roman"/>
                <w:color w:val="FF0000"/>
                <w:kern w:val="0"/>
                <w:sz w:val="21"/>
                <w:szCs w:val="21"/>
                <w:lang w:val="en-US" w:eastAsia="zh-CN" w:bidi="ar"/>
              </w:rPr>
            </w:pPr>
            <w:r>
              <w:rPr>
                <w:rFonts w:hint="eastAsia" w:ascii="Times New Roman"/>
                <w:color w:val="auto"/>
                <w:kern w:val="0"/>
                <w:szCs w:val="21"/>
                <w:lang w:val="en-US" w:eastAsia="zh-CN" w:bidi="ar"/>
              </w:rPr>
              <w:t>80</w:t>
            </w:r>
          </w:p>
        </w:tc>
        <w:tc>
          <w:tcPr>
            <w:tcW w:w="287" w:type="pct"/>
            <w:vMerge w:val="continue"/>
            <w:tcBorders>
              <w:tl2br w:val="nil"/>
              <w:tr2bl w:val="nil"/>
            </w:tcBorders>
            <w:shd w:val="clear" w:color="auto" w:fill="auto"/>
            <w:vAlign w:val="center"/>
          </w:tcPr>
          <w:p w14:paraId="13798A2F">
            <w:pPr>
              <w:pStyle w:val="81"/>
              <w:spacing w:beforeAutospacing="0" w:afterAutospacing="0" w:line="320" w:lineRule="exact"/>
              <w:jc w:val="center"/>
              <w:rPr>
                <w:rFonts w:eastAsia="仿宋_GB2312"/>
                <w:color w:val="FF0000"/>
                <w:sz w:val="21"/>
                <w:szCs w:val="21"/>
                <w:lang w:bidi="ar"/>
              </w:rPr>
            </w:pPr>
          </w:p>
        </w:tc>
        <w:tc>
          <w:tcPr>
            <w:tcW w:w="270" w:type="pct"/>
            <w:tcBorders>
              <w:tl2br w:val="nil"/>
              <w:tr2bl w:val="nil"/>
            </w:tcBorders>
            <w:shd w:val="clear" w:color="auto" w:fill="auto"/>
            <w:vAlign w:val="center"/>
          </w:tcPr>
          <w:p w14:paraId="1D3E1C98">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rPr>
              <w:t>5</w:t>
            </w:r>
          </w:p>
        </w:tc>
        <w:tc>
          <w:tcPr>
            <w:tcW w:w="282" w:type="pct"/>
            <w:tcBorders>
              <w:tl2br w:val="nil"/>
              <w:tr2bl w:val="nil"/>
            </w:tcBorders>
            <w:shd w:val="clear" w:color="auto" w:fill="auto"/>
            <w:vAlign w:val="center"/>
          </w:tcPr>
          <w:p w14:paraId="65C1B953">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6</w:t>
            </w:r>
            <w:r>
              <w:rPr>
                <w:rFonts w:hint="eastAsia" w:eastAsia="仿宋_GB2312"/>
                <w:color w:val="auto"/>
                <w:sz w:val="21"/>
                <w:szCs w:val="21"/>
                <w:lang w:bidi="ar"/>
              </w:rPr>
              <w:t>6</w:t>
            </w:r>
          </w:p>
        </w:tc>
        <w:tc>
          <w:tcPr>
            <w:tcW w:w="270" w:type="pct"/>
            <w:tcBorders>
              <w:tl2br w:val="nil"/>
              <w:tr2bl w:val="nil"/>
            </w:tcBorders>
            <w:shd w:val="clear" w:color="auto" w:fill="auto"/>
            <w:vAlign w:val="center"/>
          </w:tcPr>
          <w:p w14:paraId="3B428FE6">
            <w:pPr>
              <w:pStyle w:val="81"/>
              <w:spacing w:beforeAutospacing="0" w:afterAutospacing="0" w:line="320" w:lineRule="exact"/>
              <w:ind w:left="0" w:leftChars="0" w:right="0" w:rightChars="0"/>
              <w:jc w:val="center"/>
              <w:rPr>
                <w:rFonts w:ascii="Times New Roman" w:hAnsi="Times New Roman" w:eastAsia="仿宋_GB2312" w:cs="Times New Roman"/>
                <w:b/>
                <w:bCs/>
                <w:color w:val="auto"/>
                <w:kern w:val="0"/>
                <w:sz w:val="21"/>
                <w:szCs w:val="21"/>
                <w:lang w:val="en-US" w:eastAsia="zh-CN" w:bidi="ar"/>
              </w:rPr>
            </w:pPr>
            <w:r>
              <w:rPr>
                <w:rFonts w:eastAsia="仿宋_GB2312"/>
                <w:color w:val="auto"/>
                <w:sz w:val="21"/>
                <w:szCs w:val="21"/>
                <w:lang w:bidi="ar"/>
              </w:rPr>
              <w:t>全天</w:t>
            </w:r>
          </w:p>
        </w:tc>
        <w:tc>
          <w:tcPr>
            <w:tcW w:w="312" w:type="pct"/>
            <w:tcBorders>
              <w:tl2br w:val="nil"/>
              <w:tr2bl w:val="nil"/>
            </w:tcBorders>
            <w:shd w:val="clear" w:color="auto" w:fill="auto"/>
            <w:vAlign w:val="center"/>
          </w:tcPr>
          <w:p w14:paraId="43C75E69">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20</w:t>
            </w:r>
          </w:p>
        </w:tc>
        <w:tc>
          <w:tcPr>
            <w:tcW w:w="262" w:type="pct"/>
            <w:tcBorders>
              <w:tl2br w:val="nil"/>
              <w:tr2bl w:val="nil"/>
            </w:tcBorders>
            <w:shd w:val="clear" w:color="auto" w:fill="auto"/>
            <w:vAlign w:val="center"/>
          </w:tcPr>
          <w:p w14:paraId="6ED97CFD">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46</w:t>
            </w:r>
          </w:p>
        </w:tc>
        <w:tc>
          <w:tcPr>
            <w:tcW w:w="288" w:type="pct"/>
            <w:tcBorders>
              <w:tl2br w:val="nil"/>
              <w:tr2bl w:val="nil"/>
            </w:tcBorders>
            <w:shd w:val="clear" w:color="auto" w:fill="auto"/>
            <w:vAlign w:val="center"/>
          </w:tcPr>
          <w:p w14:paraId="2A17FEFF">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1</w:t>
            </w:r>
          </w:p>
        </w:tc>
        <w:tc>
          <w:tcPr>
            <w:tcW w:w="335" w:type="pct"/>
            <w:tcBorders>
              <w:tl2br w:val="nil"/>
              <w:tr2bl w:val="nil"/>
            </w:tcBorders>
            <w:shd w:val="clear" w:color="auto" w:fill="auto"/>
            <w:vAlign w:val="center"/>
          </w:tcPr>
          <w:p w14:paraId="55AD9C9C">
            <w:pPr>
              <w:pStyle w:val="81"/>
              <w:spacing w:beforeAutospacing="0" w:afterAutospacing="0" w:line="320" w:lineRule="exact"/>
              <w:ind w:left="0" w:leftChars="0" w:right="0" w:rightChars="0"/>
              <w:jc w:val="center"/>
              <w:rPr>
                <w:rFonts w:ascii="Times New Roman" w:hAnsi="Times New Roman" w:eastAsia="仿宋_GB2312" w:cs="Times New Roman"/>
                <w:color w:val="FF0000"/>
                <w:kern w:val="0"/>
                <w:sz w:val="21"/>
                <w:szCs w:val="21"/>
                <w:lang w:val="en-US" w:eastAsia="zh-CN" w:bidi="ar"/>
              </w:rPr>
            </w:pPr>
            <w:r>
              <w:rPr>
                <w:rFonts w:hint="eastAsia" w:eastAsia="仿宋_GB2312" w:hAnsiTheme="minorHAnsi"/>
                <w:color w:val="auto"/>
                <w:sz w:val="21"/>
                <w:szCs w:val="21"/>
                <w:lang w:val="en-US" w:eastAsia="zh-CN" w:bidi="ar"/>
              </w:rPr>
              <w:t>依托现有</w:t>
            </w:r>
          </w:p>
        </w:tc>
      </w:tr>
      <w:tr w14:paraId="5F456F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195" w:type="pct"/>
            <w:tcBorders>
              <w:tl2br w:val="nil"/>
              <w:tr2bl w:val="nil"/>
            </w:tcBorders>
            <w:shd w:val="clear" w:color="auto" w:fill="auto"/>
            <w:vAlign w:val="center"/>
          </w:tcPr>
          <w:p w14:paraId="3D037285">
            <w:pPr>
              <w:pStyle w:val="81"/>
              <w:spacing w:beforeAutospacing="0" w:afterAutospacing="0" w:line="320" w:lineRule="exact"/>
              <w:jc w:val="center"/>
              <w:rPr>
                <w:rFonts w:hint="default" w:eastAsia="仿宋_GB2312"/>
                <w:color w:val="auto"/>
                <w:sz w:val="21"/>
                <w:szCs w:val="21"/>
                <w:lang w:val="en-US" w:eastAsia="zh-CN" w:bidi="ar"/>
              </w:rPr>
            </w:pPr>
            <w:r>
              <w:rPr>
                <w:rFonts w:hint="eastAsia" w:eastAsia="仿宋_GB2312"/>
                <w:color w:val="auto"/>
                <w:sz w:val="21"/>
                <w:szCs w:val="21"/>
                <w:lang w:val="en-US" w:eastAsia="zh-CN" w:bidi="ar"/>
              </w:rPr>
              <w:t>12</w:t>
            </w:r>
          </w:p>
        </w:tc>
        <w:tc>
          <w:tcPr>
            <w:tcW w:w="375" w:type="pct"/>
            <w:vMerge w:val="continue"/>
            <w:tcBorders>
              <w:tl2br w:val="nil"/>
              <w:tr2bl w:val="nil"/>
            </w:tcBorders>
            <w:shd w:val="clear" w:color="auto" w:fill="auto"/>
            <w:vAlign w:val="center"/>
          </w:tcPr>
          <w:p w14:paraId="5F5EC708">
            <w:pPr>
              <w:widowControl/>
              <w:jc w:val="center"/>
              <w:textAlignment w:val="center"/>
              <w:rPr>
                <w:rFonts w:hint="eastAsia" w:eastAsia="仿宋_GB2312"/>
                <w:color w:val="auto"/>
                <w:kern w:val="0"/>
                <w:szCs w:val="21"/>
                <w:lang w:val="en-US" w:eastAsia="zh-CN" w:bidi="ar"/>
              </w:rPr>
            </w:pPr>
          </w:p>
        </w:tc>
        <w:tc>
          <w:tcPr>
            <w:tcW w:w="493" w:type="pct"/>
            <w:vMerge w:val="continue"/>
            <w:tcBorders>
              <w:tl2br w:val="nil"/>
              <w:tr2bl w:val="nil"/>
            </w:tcBorders>
            <w:shd w:val="clear" w:color="auto" w:fill="auto"/>
            <w:vAlign w:val="center"/>
          </w:tcPr>
          <w:p w14:paraId="3D8F02E1">
            <w:pPr>
              <w:bidi w:val="0"/>
              <w:jc w:val="center"/>
              <w:rPr>
                <w:rFonts w:hint="default" w:ascii="Times New Roman" w:hAnsi="Times New Roman" w:eastAsia="方正仿宋_GB2312" w:cs="Times New Roman"/>
                <w:color w:val="auto"/>
                <w:sz w:val="21"/>
                <w:szCs w:val="21"/>
                <w:lang w:val="en-US" w:eastAsia="zh-CN"/>
              </w:rPr>
            </w:pPr>
          </w:p>
        </w:tc>
        <w:tc>
          <w:tcPr>
            <w:tcW w:w="437" w:type="pct"/>
            <w:vMerge w:val="continue"/>
            <w:tcBorders>
              <w:tl2br w:val="nil"/>
              <w:tr2bl w:val="nil"/>
            </w:tcBorders>
            <w:shd w:val="clear" w:color="auto" w:fill="auto"/>
            <w:vAlign w:val="center"/>
          </w:tcPr>
          <w:p w14:paraId="2971EB81">
            <w:pPr>
              <w:bidi w:val="0"/>
              <w:jc w:val="center"/>
              <w:rPr>
                <w:rFonts w:hint="default" w:ascii="Times New Roman" w:hAnsi="Times New Roman" w:eastAsia="方正仿宋_GB2312" w:cs="Times New Roman"/>
                <w:color w:val="auto"/>
                <w:sz w:val="21"/>
                <w:szCs w:val="21"/>
                <w:lang w:val="en-US" w:eastAsia="zh-CN"/>
              </w:rPr>
            </w:pPr>
          </w:p>
        </w:tc>
        <w:tc>
          <w:tcPr>
            <w:tcW w:w="253" w:type="pct"/>
            <w:tcBorders>
              <w:tl2br w:val="nil"/>
              <w:tr2bl w:val="nil"/>
            </w:tcBorders>
            <w:shd w:val="clear" w:color="auto" w:fill="auto"/>
            <w:vAlign w:val="center"/>
          </w:tcPr>
          <w:p w14:paraId="0F17CC52">
            <w:pPr>
              <w:widowControl/>
              <w:jc w:val="center"/>
              <w:textAlignment w:val="center"/>
              <w:rPr>
                <w:rFonts w:hint="default" w:eastAsia="仿宋_GB2312"/>
                <w:color w:val="auto"/>
                <w:kern w:val="0"/>
                <w:szCs w:val="21"/>
                <w:lang w:val="en-US" w:eastAsia="zh-CN" w:bidi="ar"/>
              </w:rPr>
            </w:pPr>
            <w:r>
              <w:rPr>
                <w:rFonts w:hint="eastAsia" w:eastAsia="仿宋_GB2312"/>
                <w:color w:val="auto"/>
                <w:kern w:val="0"/>
                <w:szCs w:val="21"/>
                <w:lang w:val="en-US" w:eastAsia="zh-CN" w:bidi="ar"/>
              </w:rPr>
              <w:t>1</w:t>
            </w:r>
          </w:p>
        </w:tc>
        <w:tc>
          <w:tcPr>
            <w:tcW w:w="237" w:type="pct"/>
            <w:tcBorders>
              <w:tl2br w:val="nil"/>
              <w:tr2bl w:val="nil"/>
            </w:tcBorders>
            <w:shd w:val="clear" w:color="auto" w:fill="auto"/>
            <w:vAlign w:val="center"/>
          </w:tcPr>
          <w:p w14:paraId="236EC372">
            <w:pPr>
              <w:pStyle w:val="163"/>
              <w:jc w:val="center"/>
              <w:rPr>
                <w:rFonts w:hint="default" w:ascii="Times New Roman" w:hAnsi="Times New Roman" w:eastAsia="仿宋_GB2312" w:cs="Times New Roman"/>
                <w:color w:val="auto"/>
                <w:kern w:val="0"/>
                <w:sz w:val="21"/>
                <w:szCs w:val="21"/>
                <w:lang w:val="en-US" w:eastAsia="zh-CN" w:bidi="ar"/>
              </w:rPr>
            </w:pPr>
            <w:r>
              <w:rPr>
                <w:rFonts w:hint="eastAsia" w:ascii="Times New Roman"/>
                <w:color w:val="auto"/>
                <w:kern w:val="0"/>
                <w:szCs w:val="21"/>
                <w:lang w:val="en-US" w:eastAsia="zh-CN" w:bidi="ar"/>
              </w:rPr>
              <w:t>166</w:t>
            </w:r>
          </w:p>
        </w:tc>
        <w:tc>
          <w:tcPr>
            <w:tcW w:w="220" w:type="pct"/>
            <w:tcBorders>
              <w:tl2br w:val="nil"/>
              <w:tr2bl w:val="nil"/>
            </w:tcBorders>
            <w:shd w:val="clear" w:color="auto" w:fill="auto"/>
            <w:vAlign w:val="center"/>
          </w:tcPr>
          <w:p w14:paraId="2D5E634E">
            <w:pPr>
              <w:pStyle w:val="163"/>
              <w:jc w:val="center"/>
              <w:rPr>
                <w:rFonts w:hint="default" w:ascii="Times New Roman" w:hAnsi="Times New Roman" w:eastAsia="仿宋_GB2312" w:cs="Times New Roman"/>
                <w:color w:val="auto"/>
                <w:kern w:val="0"/>
                <w:sz w:val="21"/>
                <w:szCs w:val="21"/>
                <w:lang w:val="en-US" w:eastAsia="zh-CN" w:bidi="ar"/>
              </w:rPr>
            </w:pPr>
            <w:r>
              <w:rPr>
                <w:rFonts w:hint="eastAsia" w:ascii="Times New Roman"/>
                <w:color w:val="auto"/>
                <w:kern w:val="0"/>
                <w:szCs w:val="21"/>
                <w:lang w:val="en-US" w:eastAsia="zh-CN" w:bidi="ar"/>
              </w:rPr>
              <w:t>46</w:t>
            </w:r>
          </w:p>
        </w:tc>
        <w:tc>
          <w:tcPr>
            <w:tcW w:w="216" w:type="pct"/>
            <w:tcBorders>
              <w:tl2br w:val="nil"/>
              <w:tr2bl w:val="nil"/>
            </w:tcBorders>
            <w:shd w:val="clear" w:color="auto" w:fill="auto"/>
            <w:vAlign w:val="center"/>
          </w:tcPr>
          <w:p w14:paraId="3053C76A">
            <w:pPr>
              <w:pStyle w:val="163"/>
              <w:jc w:val="center"/>
              <w:rPr>
                <w:rFonts w:hint="default" w:ascii="Times New Roman" w:hAnsi="Times New Roman" w:eastAsia="仿宋_GB2312" w:cs="Times New Roman"/>
                <w:color w:val="auto"/>
                <w:kern w:val="0"/>
                <w:sz w:val="21"/>
                <w:szCs w:val="21"/>
                <w:lang w:val="en-US" w:eastAsia="zh-CN" w:bidi="ar"/>
              </w:rPr>
            </w:pPr>
            <w:r>
              <w:rPr>
                <w:rFonts w:hint="eastAsia" w:ascii="Times New Roman"/>
                <w:color w:val="auto"/>
                <w:kern w:val="0"/>
                <w:szCs w:val="21"/>
                <w:lang w:val="en-US" w:eastAsia="zh-CN" w:bidi="ar"/>
              </w:rPr>
              <w:t>0.5</w:t>
            </w:r>
          </w:p>
        </w:tc>
        <w:tc>
          <w:tcPr>
            <w:tcW w:w="260" w:type="pct"/>
            <w:tcBorders>
              <w:tl2br w:val="nil"/>
              <w:tr2bl w:val="nil"/>
            </w:tcBorders>
            <w:shd w:val="clear" w:color="auto" w:fill="auto"/>
            <w:vAlign w:val="center"/>
          </w:tcPr>
          <w:p w14:paraId="62DE63F1">
            <w:pPr>
              <w:pStyle w:val="81"/>
              <w:spacing w:beforeAutospacing="0" w:afterAutospacing="0" w:line="320" w:lineRule="exact"/>
              <w:ind w:left="0" w:leftChars="0" w:right="0" w:rightChars="0"/>
              <w:jc w:val="center"/>
              <w:rPr>
                <w:rFonts w:ascii="Times New Roman" w:hAnsi="Times New Roman" w:eastAsia="仿宋_GB2312" w:cs="Times New Roman"/>
                <w:color w:val="FF0000"/>
                <w:kern w:val="0"/>
                <w:sz w:val="21"/>
                <w:szCs w:val="21"/>
                <w:lang w:val="en-US" w:eastAsia="zh-CN" w:bidi="ar"/>
              </w:rPr>
            </w:pPr>
            <w:r>
              <w:rPr>
                <w:rFonts w:hint="eastAsia" w:ascii="Times New Roman"/>
                <w:color w:val="auto"/>
                <w:kern w:val="0"/>
                <w:szCs w:val="21"/>
                <w:lang w:val="en-US" w:eastAsia="zh-CN" w:bidi="ar"/>
              </w:rPr>
              <w:t>80</w:t>
            </w:r>
          </w:p>
        </w:tc>
        <w:tc>
          <w:tcPr>
            <w:tcW w:w="287" w:type="pct"/>
            <w:vMerge w:val="continue"/>
            <w:tcBorders>
              <w:tl2br w:val="nil"/>
              <w:tr2bl w:val="nil"/>
            </w:tcBorders>
            <w:shd w:val="clear" w:color="auto" w:fill="auto"/>
            <w:vAlign w:val="center"/>
          </w:tcPr>
          <w:p w14:paraId="02695629">
            <w:pPr>
              <w:pStyle w:val="81"/>
              <w:spacing w:beforeAutospacing="0" w:afterAutospacing="0" w:line="320" w:lineRule="exact"/>
              <w:jc w:val="center"/>
              <w:rPr>
                <w:rFonts w:eastAsia="仿宋_GB2312"/>
                <w:color w:val="FF0000"/>
                <w:sz w:val="21"/>
                <w:szCs w:val="21"/>
                <w:lang w:bidi="ar"/>
              </w:rPr>
            </w:pPr>
          </w:p>
        </w:tc>
        <w:tc>
          <w:tcPr>
            <w:tcW w:w="270" w:type="pct"/>
            <w:tcBorders>
              <w:tl2br w:val="nil"/>
              <w:tr2bl w:val="nil"/>
            </w:tcBorders>
            <w:shd w:val="clear" w:color="auto" w:fill="auto"/>
            <w:vAlign w:val="center"/>
          </w:tcPr>
          <w:p w14:paraId="58A4628A">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rPr>
              <w:t>5</w:t>
            </w:r>
          </w:p>
        </w:tc>
        <w:tc>
          <w:tcPr>
            <w:tcW w:w="282" w:type="pct"/>
            <w:tcBorders>
              <w:tl2br w:val="nil"/>
              <w:tr2bl w:val="nil"/>
            </w:tcBorders>
            <w:shd w:val="clear" w:color="auto" w:fill="auto"/>
            <w:vAlign w:val="center"/>
          </w:tcPr>
          <w:p w14:paraId="3C4E7BE5">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6</w:t>
            </w:r>
            <w:r>
              <w:rPr>
                <w:rFonts w:hint="eastAsia" w:eastAsia="仿宋_GB2312"/>
                <w:color w:val="auto"/>
                <w:sz w:val="21"/>
                <w:szCs w:val="21"/>
                <w:lang w:bidi="ar"/>
              </w:rPr>
              <w:t>6</w:t>
            </w:r>
          </w:p>
        </w:tc>
        <w:tc>
          <w:tcPr>
            <w:tcW w:w="270" w:type="pct"/>
            <w:tcBorders>
              <w:tl2br w:val="nil"/>
              <w:tr2bl w:val="nil"/>
            </w:tcBorders>
            <w:shd w:val="clear" w:color="auto" w:fill="auto"/>
            <w:vAlign w:val="center"/>
          </w:tcPr>
          <w:p w14:paraId="355A0060">
            <w:pPr>
              <w:pStyle w:val="81"/>
              <w:spacing w:beforeAutospacing="0" w:afterAutospacing="0" w:line="320" w:lineRule="exact"/>
              <w:ind w:left="0" w:leftChars="0" w:right="0" w:rightChars="0"/>
              <w:jc w:val="center"/>
              <w:rPr>
                <w:rFonts w:ascii="Times New Roman" w:hAnsi="Times New Roman" w:eastAsia="仿宋_GB2312" w:cs="Times New Roman"/>
                <w:b/>
                <w:bCs/>
                <w:color w:val="auto"/>
                <w:kern w:val="0"/>
                <w:sz w:val="21"/>
                <w:szCs w:val="21"/>
                <w:lang w:val="en-US" w:eastAsia="zh-CN" w:bidi="ar"/>
              </w:rPr>
            </w:pPr>
            <w:r>
              <w:rPr>
                <w:rFonts w:eastAsia="仿宋_GB2312"/>
                <w:color w:val="auto"/>
                <w:sz w:val="21"/>
                <w:szCs w:val="21"/>
                <w:lang w:bidi="ar"/>
              </w:rPr>
              <w:t>全天</w:t>
            </w:r>
          </w:p>
        </w:tc>
        <w:tc>
          <w:tcPr>
            <w:tcW w:w="312" w:type="pct"/>
            <w:tcBorders>
              <w:tl2br w:val="nil"/>
              <w:tr2bl w:val="nil"/>
            </w:tcBorders>
            <w:shd w:val="clear" w:color="auto" w:fill="auto"/>
            <w:vAlign w:val="center"/>
          </w:tcPr>
          <w:p w14:paraId="5C402128">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20</w:t>
            </w:r>
          </w:p>
        </w:tc>
        <w:tc>
          <w:tcPr>
            <w:tcW w:w="262" w:type="pct"/>
            <w:tcBorders>
              <w:tl2br w:val="nil"/>
              <w:tr2bl w:val="nil"/>
            </w:tcBorders>
            <w:shd w:val="clear" w:color="auto" w:fill="auto"/>
            <w:vAlign w:val="center"/>
          </w:tcPr>
          <w:p w14:paraId="749E5832">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46</w:t>
            </w:r>
          </w:p>
        </w:tc>
        <w:tc>
          <w:tcPr>
            <w:tcW w:w="288" w:type="pct"/>
            <w:tcBorders>
              <w:tl2br w:val="nil"/>
              <w:tr2bl w:val="nil"/>
            </w:tcBorders>
            <w:shd w:val="clear" w:color="auto" w:fill="auto"/>
            <w:vAlign w:val="center"/>
          </w:tcPr>
          <w:p w14:paraId="50443080">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1</w:t>
            </w:r>
          </w:p>
        </w:tc>
        <w:tc>
          <w:tcPr>
            <w:tcW w:w="335" w:type="pct"/>
            <w:tcBorders>
              <w:tl2br w:val="nil"/>
              <w:tr2bl w:val="nil"/>
            </w:tcBorders>
            <w:shd w:val="clear" w:color="auto" w:fill="auto"/>
            <w:vAlign w:val="center"/>
          </w:tcPr>
          <w:p w14:paraId="4E30CD77">
            <w:pPr>
              <w:pStyle w:val="81"/>
              <w:spacing w:beforeAutospacing="0" w:afterAutospacing="0" w:line="320" w:lineRule="exact"/>
              <w:ind w:left="0" w:leftChars="0" w:right="0" w:rightChars="0"/>
              <w:jc w:val="center"/>
              <w:rPr>
                <w:rFonts w:ascii="Times New Roman" w:hAnsi="Times New Roman" w:eastAsia="仿宋_GB2312" w:cs="Times New Roman"/>
                <w:color w:val="FF0000"/>
                <w:kern w:val="0"/>
                <w:sz w:val="21"/>
                <w:szCs w:val="21"/>
                <w:lang w:val="en-US" w:eastAsia="zh-CN" w:bidi="ar"/>
              </w:rPr>
            </w:pPr>
            <w:r>
              <w:rPr>
                <w:rFonts w:hint="eastAsia" w:eastAsia="仿宋_GB2312" w:hAnsiTheme="minorHAnsi"/>
                <w:color w:val="auto"/>
                <w:sz w:val="21"/>
                <w:szCs w:val="21"/>
                <w:lang w:val="en-US" w:eastAsia="zh-CN" w:bidi="ar"/>
              </w:rPr>
              <w:t>依托现有</w:t>
            </w:r>
          </w:p>
        </w:tc>
      </w:tr>
      <w:tr w14:paraId="089697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195" w:type="pct"/>
            <w:tcBorders>
              <w:tl2br w:val="nil"/>
              <w:tr2bl w:val="nil"/>
            </w:tcBorders>
            <w:shd w:val="clear" w:color="auto" w:fill="auto"/>
            <w:vAlign w:val="center"/>
          </w:tcPr>
          <w:p w14:paraId="3A992FC6">
            <w:pPr>
              <w:pStyle w:val="81"/>
              <w:spacing w:beforeAutospacing="0" w:afterAutospacing="0" w:line="320" w:lineRule="exact"/>
              <w:jc w:val="center"/>
              <w:rPr>
                <w:rFonts w:hint="default" w:eastAsia="仿宋_GB2312"/>
                <w:color w:val="auto"/>
                <w:sz w:val="21"/>
                <w:szCs w:val="21"/>
                <w:lang w:val="en-US" w:eastAsia="zh-CN" w:bidi="ar"/>
              </w:rPr>
            </w:pPr>
            <w:r>
              <w:rPr>
                <w:rFonts w:hint="eastAsia" w:eastAsia="仿宋_GB2312"/>
                <w:color w:val="auto"/>
                <w:sz w:val="21"/>
                <w:szCs w:val="21"/>
                <w:lang w:val="en-US" w:eastAsia="zh-CN" w:bidi="ar"/>
              </w:rPr>
              <w:t>13</w:t>
            </w:r>
          </w:p>
        </w:tc>
        <w:tc>
          <w:tcPr>
            <w:tcW w:w="375" w:type="pct"/>
            <w:vMerge w:val="continue"/>
            <w:tcBorders>
              <w:tl2br w:val="nil"/>
              <w:tr2bl w:val="nil"/>
            </w:tcBorders>
            <w:shd w:val="clear" w:color="auto" w:fill="auto"/>
            <w:vAlign w:val="center"/>
          </w:tcPr>
          <w:p w14:paraId="2B6E4C64">
            <w:pPr>
              <w:widowControl/>
              <w:jc w:val="center"/>
              <w:textAlignment w:val="center"/>
              <w:rPr>
                <w:rFonts w:hint="eastAsia" w:eastAsia="仿宋_GB2312"/>
                <w:color w:val="auto"/>
                <w:kern w:val="0"/>
                <w:szCs w:val="21"/>
                <w:lang w:val="en-US" w:eastAsia="zh-CN" w:bidi="ar"/>
              </w:rPr>
            </w:pPr>
          </w:p>
        </w:tc>
        <w:tc>
          <w:tcPr>
            <w:tcW w:w="493" w:type="pct"/>
            <w:vMerge w:val="continue"/>
            <w:tcBorders>
              <w:tl2br w:val="nil"/>
              <w:tr2bl w:val="nil"/>
            </w:tcBorders>
            <w:shd w:val="clear" w:color="auto" w:fill="auto"/>
            <w:vAlign w:val="center"/>
          </w:tcPr>
          <w:p w14:paraId="5793D6F4">
            <w:pPr>
              <w:bidi w:val="0"/>
              <w:jc w:val="center"/>
              <w:rPr>
                <w:rFonts w:hint="default" w:ascii="Times New Roman" w:hAnsi="Times New Roman" w:eastAsia="方正仿宋_GB2312" w:cs="Times New Roman"/>
                <w:color w:val="auto"/>
                <w:sz w:val="21"/>
                <w:szCs w:val="21"/>
                <w:lang w:val="en-US" w:eastAsia="zh-CN"/>
              </w:rPr>
            </w:pPr>
          </w:p>
        </w:tc>
        <w:tc>
          <w:tcPr>
            <w:tcW w:w="437" w:type="pct"/>
            <w:vMerge w:val="continue"/>
            <w:tcBorders>
              <w:tl2br w:val="nil"/>
              <w:tr2bl w:val="nil"/>
            </w:tcBorders>
            <w:shd w:val="clear" w:color="auto" w:fill="auto"/>
            <w:vAlign w:val="center"/>
          </w:tcPr>
          <w:p w14:paraId="61DC63DD">
            <w:pPr>
              <w:bidi w:val="0"/>
              <w:jc w:val="center"/>
              <w:rPr>
                <w:rFonts w:hint="default" w:ascii="Times New Roman" w:hAnsi="Times New Roman" w:eastAsia="方正仿宋_GB2312" w:cs="Times New Roman"/>
                <w:color w:val="auto"/>
                <w:sz w:val="21"/>
                <w:szCs w:val="21"/>
                <w:lang w:val="en-US" w:eastAsia="zh-CN"/>
              </w:rPr>
            </w:pPr>
          </w:p>
        </w:tc>
        <w:tc>
          <w:tcPr>
            <w:tcW w:w="253" w:type="pct"/>
            <w:tcBorders>
              <w:tl2br w:val="nil"/>
              <w:tr2bl w:val="nil"/>
            </w:tcBorders>
            <w:shd w:val="clear" w:color="auto" w:fill="auto"/>
            <w:vAlign w:val="center"/>
          </w:tcPr>
          <w:p w14:paraId="1DC4FF61">
            <w:pPr>
              <w:widowControl/>
              <w:jc w:val="center"/>
              <w:textAlignment w:val="center"/>
              <w:rPr>
                <w:rFonts w:hint="default" w:eastAsia="仿宋_GB2312"/>
                <w:color w:val="auto"/>
                <w:kern w:val="0"/>
                <w:szCs w:val="21"/>
                <w:lang w:val="en-US" w:eastAsia="zh-CN" w:bidi="ar"/>
              </w:rPr>
            </w:pPr>
            <w:r>
              <w:rPr>
                <w:rFonts w:hint="eastAsia" w:eastAsia="仿宋_GB2312"/>
                <w:color w:val="auto"/>
                <w:kern w:val="0"/>
                <w:szCs w:val="21"/>
                <w:lang w:val="en-US" w:eastAsia="zh-CN" w:bidi="ar"/>
              </w:rPr>
              <w:t>1</w:t>
            </w:r>
          </w:p>
        </w:tc>
        <w:tc>
          <w:tcPr>
            <w:tcW w:w="237" w:type="pct"/>
            <w:tcBorders>
              <w:tl2br w:val="nil"/>
              <w:tr2bl w:val="nil"/>
            </w:tcBorders>
            <w:shd w:val="clear" w:color="auto" w:fill="auto"/>
            <w:vAlign w:val="center"/>
          </w:tcPr>
          <w:p w14:paraId="74912195">
            <w:pPr>
              <w:pStyle w:val="163"/>
              <w:jc w:val="center"/>
              <w:rPr>
                <w:rFonts w:hint="default" w:ascii="Times New Roman" w:hAnsi="Times New Roman" w:eastAsia="仿宋_GB2312" w:cs="Times New Roman"/>
                <w:color w:val="auto"/>
                <w:kern w:val="0"/>
                <w:sz w:val="21"/>
                <w:szCs w:val="21"/>
                <w:lang w:val="en-US" w:eastAsia="zh-CN" w:bidi="ar"/>
              </w:rPr>
            </w:pPr>
            <w:r>
              <w:rPr>
                <w:rFonts w:hint="eastAsia" w:ascii="Times New Roman"/>
                <w:color w:val="auto"/>
                <w:kern w:val="0"/>
                <w:szCs w:val="21"/>
                <w:lang w:val="en-US" w:eastAsia="zh-CN" w:bidi="ar"/>
              </w:rPr>
              <w:t>167</w:t>
            </w:r>
          </w:p>
        </w:tc>
        <w:tc>
          <w:tcPr>
            <w:tcW w:w="220" w:type="pct"/>
            <w:tcBorders>
              <w:tl2br w:val="nil"/>
              <w:tr2bl w:val="nil"/>
            </w:tcBorders>
            <w:shd w:val="clear" w:color="auto" w:fill="auto"/>
            <w:vAlign w:val="center"/>
          </w:tcPr>
          <w:p w14:paraId="01A468D0">
            <w:pPr>
              <w:pStyle w:val="163"/>
              <w:jc w:val="center"/>
              <w:rPr>
                <w:rFonts w:hint="default" w:ascii="Times New Roman" w:hAnsi="Times New Roman" w:eastAsia="仿宋_GB2312" w:cs="Times New Roman"/>
                <w:color w:val="auto"/>
                <w:kern w:val="0"/>
                <w:sz w:val="21"/>
                <w:szCs w:val="21"/>
                <w:lang w:val="en-US" w:eastAsia="zh-CN" w:bidi="ar"/>
              </w:rPr>
            </w:pPr>
            <w:r>
              <w:rPr>
                <w:rFonts w:hint="eastAsia" w:ascii="Times New Roman"/>
                <w:color w:val="auto"/>
                <w:kern w:val="0"/>
                <w:szCs w:val="21"/>
                <w:lang w:val="en-US" w:eastAsia="zh-CN" w:bidi="ar"/>
              </w:rPr>
              <w:t>47</w:t>
            </w:r>
          </w:p>
        </w:tc>
        <w:tc>
          <w:tcPr>
            <w:tcW w:w="216" w:type="pct"/>
            <w:tcBorders>
              <w:tl2br w:val="nil"/>
              <w:tr2bl w:val="nil"/>
            </w:tcBorders>
            <w:shd w:val="clear" w:color="auto" w:fill="auto"/>
            <w:vAlign w:val="center"/>
          </w:tcPr>
          <w:p w14:paraId="263722A1">
            <w:pPr>
              <w:pStyle w:val="163"/>
              <w:jc w:val="center"/>
              <w:rPr>
                <w:rFonts w:hint="default" w:ascii="Times New Roman" w:hAnsi="Times New Roman" w:eastAsia="仿宋_GB2312" w:cs="Times New Roman"/>
                <w:color w:val="auto"/>
                <w:kern w:val="0"/>
                <w:sz w:val="21"/>
                <w:szCs w:val="21"/>
                <w:lang w:val="en-US" w:eastAsia="zh-CN" w:bidi="ar"/>
              </w:rPr>
            </w:pPr>
            <w:r>
              <w:rPr>
                <w:rFonts w:hint="eastAsia" w:ascii="Times New Roman"/>
                <w:color w:val="auto"/>
                <w:kern w:val="0"/>
                <w:szCs w:val="21"/>
                <w:lang w:val="en-US" w:eastAsia="zh-CN" w:bidi="ar"/>
              </w:rPr>
              <w:t>0.5</w:t>
            </w:r>
          </w:p>
        </w:tc>
        <w:tc>
          <w:tcPr>
            <w:tcW w:w="260" w:type="pct"/>
            <w:tcBorders>
              <w:tl2br w:val="nil"/>
              <w:tr2bl w:val="nil"/>
            </w:tcBorders>
            <w:shd w:val="clear" w:color="auto" w:fill="auto"/>
            <w:vAlign w:val="center"/>
          </w:tcPr>
          <w:p w14:paraId="681FEAB6">
            <w:pPr>
              <w:pStyle w:val="81"/>
              <w:spacing w:beforeAutospacing="0" w:afterAutospacing="0" w:line="320" w:lineRule="exact"/>
              <w:ind w:left="0" w:leftChars="0" w:right="0" w:rightChars="0"/>
              <w:jc w:val="center"/>
              <w:rPr>
                <w:rFonts w:ascii="Times New Roman" w:hAnsi="Times New Roman" w:eastAsia="仿宋_GB2312" w:cs="Times New Roman"/>
                <w:color w:val="FF0000"/>
                <w:kern w:val="0"/>
                <w:sz w:val="21"/>
                <w:szCs w:val="21"/>
                <w:lang w:val="en-US" w:eastAsia="zh-CN" w:bidi="ar"/>
              </w:rPr>
            </w:pPr>
            <w:r>
              <w:rPr>
                <w:rFonts w:hint="eastAsia" w:ascii="Times New Roman"/>
                <w:color w:val="auto"/>
                <w:kern w:val="0"/>
                <w:szCs w:val="21"/>
                <w:lang w:val="en-US" w:eastAsia="zh-CN" w:bidi="ar"/>
              </w:rPr>
              <w:t>80</w:t>
            </w:r>
          </w:p>
        </w:tc>
        <w:tc>
          <w:tcPr>
            <w:tcW w:w="287" w:type="pct"/>
            <w:vMerge w:val="continue"/>
            <w:tcBorders>
              <w:tl2br w:val="nil"/>
              <w:tr2bl w:val="nil"/>
            </w:tcBorders>
            <w:shd w:val="clear" w:color="auto" w:fill="auto"/>
            <w:vAlign w:val="center"/>
          </w:tcPr>
          <w:p w14:paraId="0DEE5CBE">
            <w:pPr>
              <w:pStyle w:val="81"/>
              <w:spacing w:beforeAutospacing="0" w:afterAutospacing="0" w:line="320" w:lineRule="exact"/>
              <w:jc w:val="center"/>
              <w:rPr>
                <w:rFonts w:eastAsia="仿宋_GB2312"/>
                <w:color w:val="FF0000"/>
                <w:sz w:val="21"/>
                <w:szCs w:val="21"/>
                <w:lang w:bidi="ar"/>
              </w:rPr>
            </w:pPr>
          </w:p>
        </w:tc>
        <w:tc>
          <w:tcPr>
            <w:tcW w:w="270" w:type="pct"/>
            <w:tcBorders>
              <w:tl2br w:val="nil"/>
              <w:tr2bl w:val="nil"/>
            </w:tcBorders>
            <w:shd w:val="clear" w:color="auto" w:fill="auto"/>
            <w:vAlign w:val="center"/>
          </w:tcPr>
          <w:p w14:paraId="0E90AB78">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rPr>
              <w:t>5</w:t>
            </w:r>
          </w:p>
        </w:tc>
        <w:tc>
          <w:tcPr>
            <w:tcW w:w="282" w:type="pct"/>
            <w:tcBorders>
              <w:tl2br w:val="nil"/>
              <w:tr2bl w:val="nil"/>
            </w:tcBorders>
            <w:shd w:val="clear" w:color="auto" w:fill="auto"/>
            <w:vAlign w:val="center"/>
          </w:tcPr>
          <w:p w14:paraId="7D94BDF4">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6</w:t>
            </w:r>
            <w:r>
              <w:rPr>
                <w:rFonts w:hint="eastAsia" w:eastAsia="仿宋_GB2312"/>
                <w:color w:val="auto"/>
                <w:sz w:val="21"/>
                <w:szCs w:val="21"/>
                <w:lang w:bidi="ar"/>
              </w:rPr>
              <w:t>6</w:t>
            </w:r>
          </w:p>
        </w:tc>
        <w:tc>
          <w:tcPr>
            <w:tcW w:w="270" w:type="pct"/>
            <w:tcBorders>
              <w:tl2br w:val="nil"/>
              <w:tr2bl w:val="nil"/>
            </w:tcBorders>
            <w:shd w:val="clear" w:color="auto" w:fill="auto"/>
            <w:vAlign w:val="center"/>
          </w:tcPr>
          <w:p w14:paraId="7F22F9B5">
            <w:pPr>
              <w:pStyle w:val="81"/>
              <w:spacing w:beforeAutospacing="0" w:afterAutospacing="0" w:line="320" w:lineRule="exact"/>
              <w:ind w:left="0" w:leftChars="0" w:right="0" w:rightChars="0"/>
              <w:jc w:val="center"/>
              <w:rPr>
                <w:rFonts w:ascii="Times New Roman" w:hAnsi="Times New Roman" w:eastAsia="仿宋_GB2312" w:cs="Times New Roman"/>
                <w:b/>
                <w:bCs/>
                <w:color w:val="auto"/>
                <w:kern w:val="0"/>
                <w:sz w:val="21"/>
                <w:szCs w:val="21"/>
                <w:lang w:val="en-US" w:eastAsia="zh-CN" w:bidi="ar"/>
              </w:rPr>
            </w:pPr>
            <w:r>
              <w:rPr>
                <w:rFonts w:eastAsia="仿宋_GB2312"/>
                <w:color w:val="auto"/>
                <w:sz w:val="21"/>
                <w:szCs w:val="21"/>
                <w:lang w:bidi="ar"/>
              </w:rPr>
              <w:t>全天</w:t>
            </w:r>
          </w:p>
        </w:tc>
        <w:tc>
          <w:tcPr>
            <w:tcW w:w="312" w:type="pct"/>
            <w:tcBorders>
              <w:tl2br w:val="nil"/>
              <w:tr2bl w:val="nil"/>
            </w:tcBorders>
            <w:shd w:val="clear" w:color="auto" w:fill="auto"/>
            <w:vAlign w:val="center"/>
          </w:tcPr>
          <w:p w14:paraId="19173268">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20</w:t>
            </w:r>
          </w:p>
        </w:tc>
        <w:tc>
          <w:tcPr>
            <w:tcW w:w="262" w:type="pct"/>
            <w:tcBorders>
              <w:tl2br w:val="nil"/>
              <w:tr2bl w:val="nil"/>
            </w:tcBorders>
            <w:shd w:val="clear" w:color="auto" w:fill="auto"/>
            <w:vAlign w:val="center"/>
          </w:tcPr>
          <w:p w14:paraId="5107931D">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46</w:t>
            </w:r>
          </w:p>
        </w:tc>
        <w:tc>
          <w:tcPr>
            <w:tcW w:w="288" w:type="pct"/>
            <w:tcBorders>
              <w:tl2br w:val="nil"/>
              <w:tr2bl w:val="nil"/>
            </w:tcBorders>
            <w:shd w:val="clear" w:color="auto" w:fill="auto"/>
            <w:vAlign w:val="center"/>
          </w:tcPr>
          <w:p w14:paraId="1237F173">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1</w:t>
            </w:r>
          </w:p>
        </w:tc>
        <w:tc>
          <w:tcPr>
            <w:tcW w:w="335" w:type="pct"/>
            <w:tcBorders>
              <w:tl2br w:val="nil"/>
              <w:tr2bl w:val="nil"/>
            </w:tcBorders>
            <w:shd w:val="clear" w:color="auto" w:fill="auto"/>
            <w:vAlign w:val="center"/>
          </w:tcPr>
          <w:p w14:paraId="56B60A78">
            <w:pPr>
              <w:pStyle w:val="81"/>
              <w:spacing w:beforeAutospacing="0" w:afterAutospacing="0" w:line="320" w:lineRule="exact"/>
              <w:ind w:left="0" w:leftChars="0" w:right="0" w:rightChars="0"/>
              <w:jc w:val="center"/>
              <w:rPr>
                <w:rFonts w:ascii="Times New Roman" w:hAnsi="Times New Roman" w:eastAsia="仿宋_GB2312" w:cs="Times New Roman"/>
                <w:color w:val="FF0000"/>
                <w:kern w:val="0"/>
                <w:sz w:val="21"/>
                <w:szCs w:val="21"/>
                <w:lang w:val="en-US" w:eastAsia="zh-CN" w:bidi="ar"/>
              </w:rPr>
            </w:pPr>
            <w:r>
              <w:rPr>
                <w:rFonts w:hint="eastAsia" w:eastAsia="仿宋_GB2312" w:hAnsiTheme="minorHAnsi"/>
                <w:color w:val="auto"/>
                <w:sz w:val="21"/>
                <w:szCs w:val="21"/>
                <w:lang w:val="en-US" w:eastAsia="zh-CN" w:bidi="ar"/>
              </w:rPr>
              <w:t>依托现有</w:t>
            </w:r>
          </w:p>
        </w:tc>
      </w:tr>
      <w:tr w14:paraId="40B1FE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195" w:type="pct"/>
            <w:tcBorders>
              <w:tl2br w:val="nil"/>
              <w:tr2bl w:val="nil"/>
            </w:tcBorders>
            <w:shd w:val="clear" w:color="auto" w:fill="auto"/>
            <w:vAlign w:val="center"/>
          </w:tcPr>
          <w:p w14:paraId="09A0DD8B">
            <w:pPr>
              <w:pStyle w:val="81"/>
              <w:spacing w:beforeAutospacing="0" w:afterAutospacing="0" w:line="320" w:lineRule="exact"/>
              <w:jc w:val="center"/>
              <w:rPr>
                <w:rFonts w:hint="default" w:eastAsia="仿宋_GB2312"/>
                <w:color w:val="auto"/>
                <w:sz w:val="21"/>
                <w:szCs w:val="21"/>
                <w:lang w:val="en-US" w:eastAsia="zh-CN" w:bidi="ar"/>
              </w:rPr>
            </w:pPr>
            <w:r>
              <w:rPr>
                <w:rFonts w:hint="eastAsia" w:eastAsia="仿宋_GB2312"/>
                <w:color w:val="auto"/>
                <w:sz w:val="21"/>
                <w:szCs w:val="21"/>
                <w:lang w:val="en-US" w:eastAsia="zh-CN" w:bidi="ar"/>
              </w:rPr>
              <w:t>14</w:t>
            </w:r>
          </w:p>
        </w:tc>
        <w:tc>
          <w:tcPr>
            <w:tcW w:w="375" w:type="pct"/>
            <w:vMerge w:val="continue"/>
            <w:tcBorders>
              <w:tl2br w:val="nil"/>
              <w:tr2bl w:val="nil"/>
            </w:tcBorders>
            <w:shd w:val="clear" w:color="auto" w:fill="auto"/>
            <w:vAlign w:val="center"/>
          </w:tcPr>
          <w:p w14:paraId="2F5D6E7A">
            <w:pPr>
              <w:widowControl/>
              <w:jc w:val="center"/>
              <w:textAlignment w:val="center"/>
              <w:rPr>
                <w:rFonts w:hint="eastAsia" w:eastAsia="仿宋_GB2312"/>
                <w:color w:val="auto"/>
                <w:kern w:val="0"/>
                <w:szCs w:val="21"/>
                <w:lang w:val="en-US" w:eastAsia="zh-CN" w:bidi="ar"/>
              </w:rPr>
            </w:pPr>
          </w:p>
        </w:tc>
        <w:tc>
          <w:tcPr>
            <w:tcW w:w="493" w:type="pct"/>
            <w:vMerge w:val="continue"/>
            <w:tcBorders>
              <w:tl2br w:val="nil"/>
              <w:tr2bl w:val="nil"/>
            </w:tcBorders>
            <w:shd w:val="clear" w:color="auto" w:fill="auto"/>
            <w:vAlign w:val="center"/>
          </w:tcPr>
          <w:p w14:paraId="2AD22C23">
            <w:pPr>
              <w:bidi w:val="0"/>
              <w:jc w:val="center"/>
              <w:rPr>
                <w:rFonts w:hint="default" w:ascii="Times New Roman" w:hAnsi="Times New Roman" w:eastAsia="方正仿宋_GB2312" w:cs="Times New Roman"/>
                <w:color w:val="auto"/>
                <w:sz w:val="21"/>
                <w:szCs w:val="21"/>
                <w:lang w:val="en-US" w:eastAsia="zh-CN"/>
              </w:rPr>
            </w:pPr>
          </w:p>
        </w:tc>
        <w:tc>
          <w:tcPr>
            <w:tcW w:w="437" w:type="pct"/>
            <w:vMerge w:val="continue"/>
            <w:tcBorders>
              <w:tl2br w:val="nil"/>
              <w:tr2bl w:val="nil"/>
            </w:tcBorders>
            <w:shd w:val="clear" w:color="auto" w:fill="auto"/>
            <w:vAlign w:val="center"/>
          </w:tcPr>
          <w:p w14:paraId="616473B6">
            <w:pPr>
              <w:bidi w:val="0"/>
              <w:jc w:val="center"/>
              <w:rPr>
                <w:rFonts w:hint="default" w:ascii="Times New Roman" w:hAnsi="Times New Roman" w:eastAsia="方正仿宋_GB2312" w:cs="Times New Roman"/>
                <w:color w:val="auto"/>
                <w:sz w:val="21"/>
                <w:szCs w:val="21"/>
                <w:lang w:val="en-US" w:eastAsia="zh-CN"/>
              </w:rPr>
            </w:pPr>
          </w:p>
        </w:tc>
        <w:tc>
          <w:tcPr>
            <w:tcW w:w="253" w:type="pct"/>
            <w:tcBorders>
              <w:tl2br w:val="nil"/>
              <w:tr2bl w:val="nil"/>
            </w:tcBorders>
            <w:shd w:val="clear" w:color="auto" w:fill="auto"/>
            <w:vAlign w:val="center"/>
          </w:tcPr>
          <w:p w14:paraId="487D5550">
            <w:pPr>
              <w:widowControl/>
              <w:jc w:val="center"/>
              <w:textAlignment w:val="center"/>
              <w:rPr>
                <w:rFonts w:hint="default" w:eastAsia="仿宋_GB2312"/>
                <w:color w:val="auto"/>
                <w:kern w:val="0"/>
                <w:szCs w:val="21"/>
                <w:lang w:val="en-US" w:eastAsia="zh-CN" w:bidi="ar"/>
              </w:rPr>
            </w:pPr>
            <w:r>
              <w:rPr>
                <w:rFonts w:hint="eastAsia" w:eastAsia="仿宋_GB2312"/>
                <w:color w:val="auto"/>
                <w:kern w:val="0"/>
                <w:szCs w:val="21"/>
                <w:lang w:val="en-US" w:eastAsia="zh-CN" w:bidi="ar"/>
              </w:rPr>
              <w:t>1</w:t>
            </w:r>
          </w:p>
        </w:tc>
        <w:tc>
          <w:tcPr>
            <w:tcW w:w="237" w:type="pct"/>
            <w:tcBorders>
              <w:tl2br w:val="nil"/>
              <w:tr2bl w:val="nil"/>
            </w:tcBorders>
            <w:shd w:val="clear" w:color="auto" w:fill="auto"/>
            <w:vAlign w:val="center"/>
          </w:tcPr>
          <w:p w14:paraId="716A8109">
            <w:pPr>
              <w:pStyle w:val="163"/>
              <w:jc w:val="center"/>
              <w:rPr>
                <w:rFonts w:hint="default" w:ascii="Times New Roman" w:hAnsi="Times New Roman" w:eastAsia="仿宋_GB2312" w:cs="Times New Roman"/>
                <w:color w:val="auto"/>
                <w:kern w:val="0"/>
                <w:sz w:val="21"/>
                <w:szCs w:val="21"/>
                <w:lang w:val="en-US" w:eastAsia="zh-CN" w:bidi="ar"/>
              </w:rPr>
            </w:pPr>
            <w:r>
              <w:rPr>
                <w:rFonts w:hint="eastAsia" w:ascii="Times New Roman"/>
                <w:color w:val="auto"/>
                <w:kern w:val="0"/>
                <w:szCs w:val="21"/>
                <w:lang w:val="en-US" w:eastAsia="zh-CN" w:bidi="ar"/>
              </w:rPr>
              <w:t>167</w:t>
            </w:r>
          </w:p>
        </w:tc>
        <w:tc>
          <w:tcPr>
            <w:tcW w:w="220" w:type="pct"/>
            <w:tcBorders>
              <w:tl2br w:val="nil"/>
              <w:tr2bl w:val="nil"/>
            </w:tcBorders>
            <w:shd w:val="clear" w:color="auto" w:fill="auto"/>
            <w:vAlign w:val="center"/>
          </w:tcPr>
          <w:p w14:paraId="5F6E57EE">
            <w:pPr>
              <w:pStyle w:val="163"/>
              <w:jc w:val="center"/>
              <w:rPr>
                <w:rFonts w:hint="default" w:ascii="Times New Roman" w:hAnsi="Times New Roman" w:eastAsia="仿宋_GB2312" w:cs="Times New Roman"/>
                <w:color w:val="auto"/>
                <w:kern w:val="0"/>
                <w:sz w:val="21"/>
                <w:szCs w:val="21"/>
                <w:lang w:val="en-US" w:eastAsia="zh-CN" w:bidi="ar"/>
              </w:rPr>
            </w:pPr>
            <w:r>
              <w:rPr>
                <w:rFonts w:hint="eastAsia" w:ascii="Times New Roman"/>
                <w:color w:val="auto"/>
                <w:kern w:val="0"/>
                <w:szCs w:val="21"/>
                <w:lang w:val="en-US" w:eastAsia="zh-CN" w:bidi="ar"/>
              </w:rPr>
              <w:t>47</w:t>
            </w:r>
          </w:p>
        </w:tc>
        <w:tc>
          <w:tcPr>
            <w:tcW w:w="216" w:type="pct"/>
            <w:tcBorders>
              <w:tl2br w:val="nil"/>
              <w:tr2bl w:val="nil"/>
            </w:tcBorders>
            <w:shd w:val="clear" w:color="auto" w:fill="auto"/>
            <w:vAlign w:val="center"/>
          </w:tcPr>
          <w:p w14:paraId="1D110185">
            <w:pPr>
              <w:pStyle w:val="163"/>
              <w:jc w:val="center"/>
              <w:rPr>
                <w:rFonts w:hint="default" w:ascii="Times New Roman" w:hAnsi="Times New Roman" w:eastAsia="仿宋_GB2312" w:cs="Times New Roman"/>
                <w:color w:val="auto"/>
                <w:kern w:val="0"/>
                <w:sz w:val="21"/>
                <w:szCs w:val="21"/>
                <w:lang w:val="en-US" w:eastAsia="zh-CN" w:bidi="ar"/>
              </w:rPr>
            </w:pPr>
            <w:r>
              <w:rPr>
                <w:rFonts w:hint="eastAsia" w:ascii="Times New Roman"/>
                <w:color w:val="auto"/>
                <w:kern w:val="0"/>
                <w:szCs w:val="21"/>
                <w:lang w:val="en-US" w:eastAsia="zh-CN" w:bidi="ar"/>
              </w:rPr>
              <w:t>0.5</w:t>
            </w:r>
          </w:p>
        </w:tc>
        <w:tc>
          <w:tcPr>
            <w:tcW w:w="260" w:type="pct"/>
            <w:tcBorders>
              <w:tl2br w:val="nil"/>
              <w:tr2bl w:val="nil"/>
            </w:tcBorders>
            <w:shd w:val="clear" w:color="auto" w:fill="auto"/>
            <w:vAlign w:val="center"/>
          </w:tcPr>
          <w:p w14:paraId="3596D69F">
            <w:pPr>
              <w:pStyle w:val="81"/>
              <w:spacing w:beforeAutospacing="0" w:afterAutospacing="0" w:line="320" w:lineRule="exact"/>
              <w:ind w:left="0" w:leftChars="0" w:right="0" w:rightChars="0"/>
              <w:jc w:val="center"/>
              <w:rPr>
                <w:rFonts w:ascii="Times New Roman" w:hAnsi="Times New Roman" w:eastAsia="仿宋_GB2312" w:cs="Times New Roman"/>
                <w:color w:val="FF0000"/>
                <w:kern w:val="0"/>
                <w:sz w:val="21"/>
                <w:szCs w:val="21"/>
                <w:lang w:val="en-US" w:eastAsia="zh-CN" w:bidi="ar"/>
              </w:rPr>
            </w:pPr>
            <w:r>
              <w:rPr>
                <w:rFonts w:hint="eastAsia" w:ascii="Times New Roman"/>
                <w:color w:val="auto"/>
                <w:kern w:val="0"/>
                <w:szCs w:val="21"/>
                <w:lang w:val="en-US" w:eastAsia="zh-CN" w:bidi="ar"/>
              </w:rPr>
              <w:t>80</w:t>
            </w:r>
          </w:p>
        </w:tc>
        <w:tc>
          <w:tcPr>
            <w:tcW w:w="287" w:type="pct"/>
            <w:vMerge w:val="continue"/>
            <w:tcBorders>
              <w:tl2br w:val="nil"/>
              <w:tr2bl w:val="nil"/>
            </w:tcBorders>
            <w:shd w:val="clear" w:color="auto" w:fill="auto"/>
            <w:vAlign w:val="center"/>
          </w:tcPr>
          <w:p w14:paraId="68044E02">
            <w:pPr>
              <w:pStyle w:val="81"/>
              <w:spacing w:beforeAutospacing="0" w:afterAutospacing="0" w:line="320" w:lineRule="exact"/>
              <w:jc w:val="center"/>
              <w:rPr>
                <w:rFonts w:eastAsia="仿宋_GB2312"/>
                <w:color w:val="FF0000"/>
                <w:sz w:val="21"/>
                <w:szCs w:val="21"/>
                <w:lang w:bidi="ar"/>
              </w:rPr>
            </w:pPr>
          </w:p>
        </w:tc>
        <w:tc>
          <w:tcPr>
            <w:tcW w:w="270" w:type="pct"/>
            <w:tcBorders>
              <w:tl2br w:val="nil"/>
              <w:tr2bl w:val="nil"/>
            </w:tcBorders>
            <w:shd w:val="clear" w:color="auto" w:fill="auto"/>
            <w:vAlign w:val="center"/>
          </w:tcPr>
          <w:p w14:paraId="3C965783">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rPr>
              <w:t>5</w:t>
            </w:r>
          </w:p>
        </w:tc>
        <w:tc>
          <w:tcPr>
            <w:tcW w:w="282" w:type="pct"/>
            <w:tcBorders>
              <w:tl2br w:val="nil"/>
              <w:tr2bl w:val="nil"/>
            </w:tcBorders>
            <w:shd w:val="clear" w:color="auto" w:fill="auto"/>
            <w:vAlign w:val="center"/>
          </w:tcPr>
          <w:p w14:paraId="12BF7B8F">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6</w:t>
            </w:r>
            <w:r>
              <w:rPr>
                <w:rFonts w:hint="eastAsia" w:eastAsia="仿宋_GB2312"/>
                <w:color w:val="auto"/>
                <w:sz w:val="21"/>
                <w:szCs w:val="21"/>
                <w:lang w:bidi="ar"/>
              </w:rPr>
              <w:t>6</w:t>
            </w:r>
          </w:p>
        </w:tc>
        <w:tc>
          <w:tcPr>
            <w:tcW w:w="270" w:type="pct"/>
            <w:tcBorders>
              <w:tl2br w:val="nil"/>
              <w:tr2bl w:val="nil"/>
            </w:tcBorders>
            <w:shd w:val="clear" w:color="auto" w:fill="auto"/>
            <w:vAlign w:val="center"/>
          </w:tcPr>
          <w:p w14:paraId="6C2284AE">
            <w:pPr>
              <w:pStyle w:val="81"/>
              <w:spacing w:beforeAutospacing="0" w:afterAutospacing="0" w:line="320" w:lineRule="exact"/>
              <w:ind w:left="0" w:leftChars="0" w:right="0" w:rightChars="0"/>
              <w:jc w:val="center"/>
              <w:rPr>
                <w:rFonts w:ascii="Times New Roman" w:hAnsi="Times New Roman" w:eastAsia="仿宋_GB2312" w:cs="Times New Roman"/>
                <w:b/>
                <w:bCs/>
                <w:color w:val="auto"/>
                <w:kern w:val="0"/>
                <w:sz w:val="21"/>
                <w:szCs w:val="21"/>
                <w:lang w:val="en-US" w:eastAsia="zh-CN" w:bidi="ar"/>
              </w:rPr>
            </w:pPr>
            <w:r>
              <w:rPr>
                <w:rFonts w:eastAsia="仿宋_GB2312"/>
                <w:color w:val="auto"/>
                <w:sz w:val="21"/>
                <w:szCs w:val="21"/>
                <w:lang w:bidi="ar"/>
              </w:rPr>
              <w:t>全天</w:t>
            </w:r>
          </w:p>
        </w:tc>
        <w:tc>
          <w:tcPr>
            <w:tcW w:w="312" w:type="pct"/>
            <w:tcBorders>
              <w:tl2br w:val="nil"/>
              <w:tr2bl w:val="nil"/>
            </w:tcBorders>
            <w:shd w:val="clear" w:color="auto" w:fill="auto"/>
            <w:vAlign w:val="center"/>
          </w:tcPr>
          <w:p w14:paraId="1B18C745">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20</w:t>
            </w:r>
          </w:p>
        </w:tc>
        <w:tc>
          <w:tcPr>
            <w:tcW w:w="262" w:type="pct"/>
            <w:tcBorders>
              <w:tl2br w:val="nil"/>
              <w:tr2bl w:val="nil"/>
            </w:tcBorders>
            <w:shd w:val="clear" w:color="auto" w:fill="auto"/>
            <w:vAlign w:val="center"/>
          </w:tcPr>
          <w:p w14:paraId="0A625D95">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46</w:t>
            </w:r>
          </w:p>
        </w:tc>
        <w:tc>
          <w:tcPr>
            <w:tcW w:w="288" w:type="pct"/>
            <w:tcBorders>
              <w:tl2br w:val="nil"/>
              <w:tr2bl w:val="nil"/>
            </w:tcBorders>
            <w:shd w:val="clear" w:color="auto" w:fill="auto"/>
            <w:vAlign w:val="center"/>
          </w:tcPr>
          <w:p w14:paraId="00BE5C38">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1</w:t>
            </w:r>
          </w:p>
        </w:tc>
        <w:tc>
          <w:tcPr>
            <w:tcW w:w="335" w:type="pct"/>
            <w:tcBorders>
              <w:tl2br w:val="nil"/>
              <w:tr2bl w:val="nil"/>
            </w:tcBorders>
            <w:shd w:val="clear" w:color="auto" w:fill="auto"/>
            <w:vAlign w:val="center"/>
          </w:tcPr>
          <w:p w14:paraId="17690E4C">
            <w:pPr>
              <w:pStyle w:val="81"/>
              <w:spacing w:beforeAutospacing="0" w:afterAutospacing="0" w:line="320" w:lineRule="exact"/>
              <w:ind w:left="0" w:leftChars="0" w:right="0" w:rightChars="0"/>
              <w:jc w:val="center"/>
              <w:rPr>
                <w:rFonts w:ascii="Times New Roman" w:hAnsi="Times New Roman" w:eastAsia="仿宋_GB2312" w:cs="Times New Roman"/>
                <w:color w:val="FF0000"/>
                <w:kern w:val="0"/>
                <w:sz w:val="21"/>
                <w:szCs w:val="21"/>
                <w:lang w:val="en-US" w:eastAsia="zh-CN" w:bidi="ar"/>
              </w:rPr>
            </w:pPr>
            <w:r>
              <w:rPr>
                <w:rFonts w:hint="eastAsia" w:eastAsia="仿宋_GB2312" w:hAnsiTheme="minorHAnsi"/>
                <w:color w:val="auto"/>
                <w:sz w:val="21"/>
                <w:szCs w:val="21"/>
                <w:lang w:val="en-US" w:eastAsia="zh-CN" w:bidi="ar"/>
              </w:rPr>
              <w:t>依托现有</w:t>
            </w:r>
          </w:p>
        </w:tc>
      </w:tr>
      <w:tr w14:paraId="414073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195" w:type="pct"/>
            <w:tcBorders>
              <w:tl2br w:val="nil"/>
              <w:tr2bl w:val="nil"/>
            </w:tcBorders>
            <w:shd w:val="clear" w:color="auto" w:fill="auto"/>
            <w:vAlign w:val="center"/>
          </w:tcPr>
          <w:p w14:paraId="285F0120">
            <w:pPr>
              <w:pStyle w:val="81"/>
              <w:spacing w:beforeAutospacing="0" w:afterAutospacing="0" w:line="320" w:lineRule="exact"/>
              <w:jc w:val="center"/>
              <w:rPr>
                <w:rFonts w:hint="default" w:eastAsia="仿宋_GB2312"/>
                <w:color w:val="auto"/>
                <w:sz w:val="21"/>
                <w:szCs w:val="21"/>
                <w:lang w:val="en-US" w:eastAsia="zh-CN" w:bidi="ar"/>
              </w:rPr>
            </w:pPr>
            <w:r>
              <w:rPr>
                <w:rFonts w:hint="eastAsia" w:eastAsia="仿宋_GB2312"/>
                <w:color w:val="auto"/>
                <w:sz w:val="21"/>
                <w:szCs w:val="21"/>
                <w:lang w:val="en-US" w:eastAsia="zh-CN" w:bidi="ar"/>
              </w:rPr>
              <w:t>15</w:t>
            </w:r>
          </w:p>
        </w:tc>
        <w:tc>
          <w:tcPr>
            <w:tcW w:w="375" w:type="pct"/>
            <w:vMerge w:val="continue"/>
            <w:tcBorders>
              <w:tl2br w:val="nil"/>
              <w:tr2bl w:val="nil"/>
            </w:tcBorders>
            <w:shd w:val="clear" w:color="auto" w:fill="auto"/>
            <w:vAlign w:val="center"/>
          </w:tcPr>
          <w:p w14:paraId="08EAE224">
            <w:pPr>
              <w:widowControl/>
              <w:jc w:val="center"/>
              <w:textAlignment w:val="center"/>
              <w:rPr>
                <w:rFonts w:hint="eastAsia" w:eastAsia="仿宋_GB2312"/>
                <w:color w:val="auto"/>
                <w:kern w:val="0"/>
                <w:szCs w:val="21"/>
                <w:lang w:val="en-US" w:eastAsia="zh-CN" w:bidi="ar"/>
              </w:rPr>
            </w:pPr>
          </w:p>
        </w:tc>
        <w:tc>
          <w:tcPr>
            <w:tcW w:w="493" w:type="pct"/>
            <w:vMerge w:val="continue"/>
            <w:tcBorders>
              <w:tl2br w:val="nil"/>
              <w:tr2bl w:val="nil"/>
            </w:tcBorders>
            <w:shd w:val="clear" w:color="auto" w:fill="auto"/>
            <w:vAlign w:val="center"/>
          </w:tcPr>
          <w:p w14:paraId="4F077EC3">
            <w:pPr>
              <w:bidi w:val="0"/>
              <w:jc w:val="center"/>
              <w:rPr>
                <w:rFonts w:hint="default" w:ascii="Times New Roman" w:hAnsi="Times New Roman" w:eastAsia="方正仿宋_GB2312" w:cs="Times New Roman"/>
                <w:color w:val="auto"/>
                <w:sz w:val="21"/>
                <w:szCs w:val="21"/>
                <w:lang w:val="en-US" w:eastAsia="zh-CN"/>
              </w:rPr>
            </w:pPr>
          </w:p>
        </w:tc>
        <w:tc>
          <w:tcPr>
            <w:tcW w:w="437" w:type="pct"/>
            <w:vMerge w:val="continue"/>
            <w:tcBorders>
              <w:tl2br w:val="nil"/>
              <w:tr2bl w:val="nil"/>
            </w:tcBorders>
            <w:shd w:val="clear" w:color="auto" w:fill="auto"/>
            <w:vAlign w:val="center"/>
          </w:tcPr>
          <w:p w14:paraId="1C7427A7">
            <w:pPr>
              <w:bidi w:val="0"/>
              <w:jc w:val="center"/>
              <w:rPr>
                <w:rFonts w:hint="default" w:ascii="Times New Roman" w:hAnsi="Times New Roman" w:eastAsia="方正仿宋_GB2312" w:cs="Times New Roman"/>
                <w:color w:val="auto"/>
                <w:sz w:val="21"/>
                <w:szCs w:val="21"/>
                <w:lang w:val="en-US" w:eastAsia="zh-CN"/>
              </w:rPr>
            </w:pPr>
          </w:p>
        </w:tc>
        <w:tc>
          <w:tcPr>
            <w:tcW w:w="253" w:type="pct"/>
            <w:tcBorders>
              <w:tl2br w:val="nil"/>
              <w:tr2bl w:val="nil"/>
            </w:tcBorders>
            <w:shd w:val="clear" w:color="auto" w:fill="auto"/>
            <w:vAlign w:val="center"/>
          </w:tcPr>
          <w:p w14:paraId="24CAE085">
            <w:pPr>
              <w:widowControl/>
              <w:jc w:val="center"/>
              <w:textAlignment w:val="center"/>
              <w:rPr>
                <w:rFonts w:hint="default" w:eastAsia="仿宋_GB2312"/>
                <w:color w:val="auto"/>
                <w:kern w:val="0"/>
                <w:szCs w:val="21"/>
                <w:lang w:val="en-US" w:eastAsia="zh-CN" w:bidi="ar"/>
              </w:rPr>
            </w:pPr>
            <w:r>
              <w:rPr>
                <w:rFonts w:hint="eastAsia" w:eastAsia="仿宋_GB2312"/>
                <w:color w:val="auto"/>
                <w:kern w:val="0"/>
                <w:szCs w:val="21"/>
                <w:lang w:val="en-US" w:eastAsia="zh-CN" w:bidi="ar"/>
              </w:rPr>
              <w:t>1</w:t>
            </w:r>
          </w:p>
        </w:tc>
        <w:tc>
          <w:tcPr>
            <w:tcW w:w="237" w:type="pct"/>
            <w:tcBorders>
              <w:tl2br w:val="nil"/>
              <w:tr2bl w:val="nil"/>
            </w:tcBorders>
            <w:shd w:val="clear" w:color="auto" w:fill="auto"/>
            <w:vAlign w:val="center"/>
          </w:tcPr>
          <w:p w14:paraId="4E14437A">
            <w:pPr>
              <w:pStyle w:val="163"/>
              <w:jc w:val="center"/>
              <w:rPr>
                <w:rFonts w:hint="default" w:ascii="Times New Roman" w:hAnsi="Times New Roman" w:eastAsia="仿宋_GB2312" w:cs="Times New Roman"/>
                <w:color w:val="auto"/>
                <w:kern w:val="0"/>
                <w:sz w:val="21"/>
                <w:szCs w:val="21"/>
                <w:lang w:val="en-US" w:eastAsia="zh-CN" w:bidi="ar"/>
              </w:rPr>
            </w:pPr>
            <w:r>
              <w:rPr>
                <w:rFonts w:hint="eastAsia" w:ascii="Times New Roman"/>
                <w:color w:val="auto"/>
                <w:kern w:val="0"/>
                <w:szCs w:val="21"/>
                <w:lang w:val="en-US" w:eastAsia="zh-CN" w:bidi="ar"/>
              </w:rPr>
              <w:t>168</w:t>
            </w:r>
          </w:p>
        </w:tc>
        <w:tc>
          <w:tcPr>
            <w:tcW w:w="220" w:type="pct"/>
            <w:tcBorders>
              <w:tl2br w:val="nil"/>
              <w:tr2bl w:val="nil"/>
            </w:tcBorders>
            <w:shd w:val="clear" w:color="auto" w:fill="auto"/>
            <w:vAlign w:val="center"/>
          </w:tcPr>
          <w:p w14:paraId="5A495F17">
            <w:pPr>
              <w:pStyle w:val="163"/>
              <w:jc w:val="center"/>
              <w:rPr>
                <w:rFonts w:hint="default" w:ascii="Times New Roman" w:hAnsi="Times New Roman" w:eastAsia="仿宋_GB2312" w:cs="Times New Roman"/>
                <w:color w:val="auto"/>
                <w:kern w:val="0"/>
                <w:sz w:val="21"/>
                <w:szCs w:val="21"/>
                <w:lang w:val="en-US" w:eastAsia="zh-CN" w:bidi="ar"/>
              </w:rPr>
            </w:pPr>
            <w:r>
              <w:rPr>
                <w:rFonts w:hint="eastAsia" w:ascii="Times New Roman"/>
                <w:color w:val="auto"/>
                <w:kern w:val="0"/>
                <w:szCs w:val="21"/>
                <w:lang w:val="en-US" w:eastAsia="zh-CN" w:bidi="ar"/>
              </w:rPr>
              <w:t>47</w:t>
            </w:r>
          </w:p>
        </w:tc>
        <w:tc>
          <w:tcPr>
            <w:tcW w:w="216" w:type="pct"/>
            <w:tcBorders>
              <w:tl2br w:val="nil"/>
              <w:tr2bl w:val="nil"/>
            </w:tcBorders>
            <w:shd w:val="clear" w:color="auto" w:fill="auto"/>
            <w:vAlign w:val="center"/>
          </w:tcPr>
          <w:p w14:paraId="2DF288A4">
            <w:pPr>
              <w:pStyle w:val="163"/>
              <w:jc w:val="center"/>
              <w:rPr>
                <w:rFonts w:hint="default" w:ascii="Times New Roman" w:hAnsi="Times New Roman" w:eastAsia="仿宋_GB2312" w:cs="Times New Roman"/>
                <w:color w:val="auto"/>
                <w:kern w:val="0"/>
                <w:sz w:val="21"/>
                <w:szCs w:val="21"/>
                <w:lang w:val="en-US" w:eastAsia="zh-CN" w:bidi="ar"/>
              </w:rPr>
            </w:pPr>
            <w:r>
              <w:rPr>
                <w:rFonts w:hint="eastAsia" w:ascii="Times New Roman"/>
                <w:color w:val="auto"/>
                <w:kern w:val="0"/>
                <w:szCs w:val="21"/>
                <w:lang w:val="en-US" w:eastAsia="zh-CN" w:bidi="ar"/>
              </w:rPr>
              <w:t>0.5</w:t>
            </w:r>
          </w:p>
        </w:tc>
        <w:tc>
          <w:tcPr>
            <w:tcW w:w="260" w:type="pct"/>
            <w:tcBorders>
              <w:tl2br w:val="nil"/>
              <w:tr2bl w:val="nil"/>
            </w:tcBorders>
            <w:shd w:val="clear" w:color="auto" w:fill="auto"/>
            <w:vAlign w:val="center"/>
          </w:tcPr>
          <w:p w14:paraId="55FF263E">
            <w:pPr>
              <w:pStyle w:val="163"/>
              <w:jc w:val="center"/>
              <w:rPr>
                <w:rFonts w:hint="eastAsia" w:ascii="Times New Roman" w:hAnsi="Times New Roman" w:eastAsia="仿宋_GB2312" w:cs="Times New Roman"/>
                <w:color w:val="auto"/>
                <w:kern w:val="0"/>
                <w:sz w:val="21"/>
                <w:szCs w:val="21"/>
                <w:lang w:val="en-US" w:eastAsia="zh-CN" w:bidi="ar"/>
              </w:rPr>
            </w:pPr>
            <w:r>
              <w:rPr>
                <w:rFonts w:hint="eastAsia" w:ascii="Times New Roman"/>
                <w:color w:val="auto"/>
                <w:kern w:val="0"/>
                <w:szCs w:val="21"/>
                <w:lang w:val="en-US" w:eastAsia="zh-CN" w:bidi="ar"/>
              </w:rPr>
              <w:t>80</w:t>
            </w:r>
          </w:p>
        </w:tc>
        <w:tc>
          <w:tcPr>
            <w:tcW w:w="287" w:type="pct"/>
            <w:vMerge w:val="continue"/>
            <w:tcBorders>
              <w:tl2br w:val="nil"/>
              <w:tr2bl w:val="nil"/>
            </w:tcBorders>
            <w:shd w:val="clear" w:color="auto" w:fill="auto"/>
            <w:vAlign w:val="center"/>
          </w:tcPr>
          <w:p w14:paraId="6F030EA9">
            <w:pPr>
              <w:pStyle w:val="81"/>
              <w:spacing w:beforeAutospacing="0" w:afterAutospacing="0" w:line="320" w:lineRule="exact"/>
              <w:jc w:val="center"/>
              <w:rPr>
                <w:rFonts w:eastAsia="仿宋_GB2312"/>
                <w:color w:val="FF0000"/>
                <w:sz w:val="21"/>
                <w:szCs w:val="21"/>
                <w:lang w:bidi="ar"/>
              </w:rPr>
            </w:pPr>
          </w:p>
        </w:tc>
        <w:tc>
          <w:tcPr>
            <w:tcW w:w="270" w:type="pct"/>
            <w:tcBorders>
              <w:tl2br w:val="nil"/>
              <w:tr2bl w:val="nil"/>
            </w:tcBorders>
            <w:shd w:val="clear" w:color="auto" w:fill="auto"/>
            <w:vAlign w:val="center"/>
          </w:tcPr>
          <w:p w14:paraId="39DCF325">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rPr>
              <w:t>5</w:t>
            </w:r>
          </w:p>
        </w:tc>
        <w:tc>
          <w:tcPr>
            <w:tcW w:w="282" w:type="pct"/>
            <w:tcBorders>
              <w:tl2br w:val="nil"/>
              <w:tr2bl w:val="nil"/>
            </w:tcBorders>
            <w:shd w:val="clear" w:color="auto" w:fill="auto"/>
            <w:vAlign w:val="center"/>
          </w:tcPr>
          <w:p w14:paraId="2C343EDF">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6</w:t>
            </w:r>
            <w:r>
              <w:rPr>
                <w:rFonts w:hint="eastAsia" w:eastAsia="仿宋_GB2312"/>
                <w:color w:val="auto"/>
                <w:sz w:val="21"/>
                <w:szCs w:val="21"/>
                <w:lang w:bidi="ar"/>
              </w:rPr>
              <w:t>6</w:t>
            </w:r>
          </w:p>
        </w:tc>
        <w:tc>
          <w:tcPr>
            <w:tcW w:w="270" w:type="pct"/>
            <w:tcBorders>
              <w:tl2br w:val="nil"/>
              <w:tr2bl w:val="nil"/>
            </w:tcBorders>
            <w:shd w:val="clear" w:color="auto" w:fill="auto"/>
            <w:vAlign w:val="center"/>
          </w:tcPr>
          <w:p w14:paraId="28A1E176">
            <w:pPr>
              <w:pStyle w:val="81"/>
              <w:spacing w:beforeAutospacing="0" w:afterAutospacing="0" w:line="320" w:lineRule="exact"/>
              <w:ind w:left="0" w:leftChars="0" w:right="0" w:rightChars="0"/>
              <w:jc w:val="center"/>
              <w:rPr>
                <w:rFonts w:ascii="Times New Roman" w:hAnsi="Times New Roman" w:eastAsia="仿宋_GB2312" w:cs="Times New Roman"/>
                <w:b/>
                <w:bCs/>
                <w:color w:val="auto"/>
                <w:kern w:val="0"/>
                <w:sz w:val="21"/>
                <w:szCs w:val="21"/>
                <w:lang w:val="en-US" w:eastAsia="zh-CN" w:bidi="ar"/>
              </w:rPr>
            </w:pPr>
            <w:r>
              <w:rPr>
                <w:rFonts w:eastAsia="仿宋_GB2312"/>
                <w:color w:val="auto"/>
                <w:sz w:val="21"/>
                <w:szCs w:val="21"/>
                <w:lang w:bidi="ar"/>
              </w:rPr>
              <w:t>全天</w:t>
            </w:r>
          </w:p>
        </w:tc>
        <w:tc>
          <w:tcPr>
            <w:tcW w:w="312" w:type="pct"/>
            <w:tcBorders>
              <w:tl2br w:val="nil"/>
              <w:tr2bl w:val="nil"/>
            </w:tcBorders>
            <w:shd w:val="clear" w:color="auto" w:fill="auto"/>
            <w:vAlign w:val="center"/>
          </w:tcPr>
          <w:p w14:paraId="20432960">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20</w:t>
            </w:r>
          </w:p>
        </w:tc>
        <w:tc>
          <w:tcPr>
            <w:tcW w:w="262" w:type="pct"/>
            <w:tcBorders>
              <w:tl2br w:val="nil"/>
              <w:tr2bl w:val="nil"/>
            </w:tcBorders>
            <w:shd w:val="clear" w:color="auto" w:fill="auto"/>
            <w:vAlign w:val="center"/>
          </w:tcPr>
          <w:p w14:paraId="01C261D0">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46</w:t>
            </w:r>
          </w:p>
        </w:tc>
        <w:tc>
          <w:tcPr>
            <w:tcW w:w="288" w:type="pct"/>
            <w:tcBorders>
              <w:tl2br w:val="nil"/>
              <w:tr2bl w:val="nil"/>
            </w:tcBorders>
            <w:shd w:val="clear" w:color="auto" w:fill="auto"/>
            <w:vAlign w:val="center"/>
          </w:tcPr>
          <w:p w14:paraId="1B64812E">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1</w:t>
            </w:r>
          </w:p>
        </w:tc>
        <w:tc>
          <w:tcPr>
            <w:tcW w:w="335" w:type="pct"/>
            <w:tcBorders>
              <w:tl2br w:val="nil"/>
              <w:tr2bl w:val="nil"/>
            </w:tcBorders>
            <w:shd w:val="clear" w:color="auto" w:fill="auto"/>
            <w:vAlign w:val="center"/>
          </w:tcPr>
          <w:p w14:paraId="6D158A98">
            <w:pPr>
              <w:pStyle w:val="81"/>
              <w:spacing w:beforeAutospacing="0" w:afterAutospacing="0" w:line="320" w:lineRule="exact"/>
              <w:ind w:left="0" w:leftChars="0" w:right="0" w:rightChars="0"/>
              <w:jc w:val="center"/>
              <w:rPr>
                <w:rFonts w:ascii="Times New Roman" w:hAnsi="Times New Roman" w:eastAsia="仿宋_GB2312" w:cs="Times New Roman"/>
                <w:color w:val="FF0000"/>
                <w:kern w:val="0"/>
                <w:sz w:val="21"/>
                <w:szCs w:val="21"/>
                <w:lang w:val="en-US" w:eastAsia="zh-CN" w:bidi="ar"/>
              </w:rPr>
            </w:pPr>
            <w:r>
              <w:rPr>
                <w:rFonts w:hint="eastAsia" w:eastAsia="仿宋_GB2312" w:hAnsiTheme="minorHAnsi"/>
                <w:color w:val="auto"/>
                <w:sz w:val="21"/>
                <w:szCs w:val="21"/>
                <w:lang w:val="en-US" w:eastAsia="zh-CN" w:bidi="ar"/>
              </w:rPr>
              <w:t>依托现有</w:t>
            </w:r>
          </w:p>
        </w:tc>
      </w:tr>
      <w:tr w14:paraId="334699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195" w:type="pct"/>
            <w:tcBorders>
              <w:tl2br w:val="nil"/>
              <w:tr2bl w:val="nil"/>
            </w:tcBorders>
            <w:shd w:val="clear" w:color="auto" w:fill="auto"/>
            <w:vAlign w:val="center"/>
          </w:tcPr>
          <w:p w14:paraId="3AF48E85">
            <w:pPr>
              <w:pStyle w:val="81"/>
              <w:spacing w:beforeAutospacing="0" w:afterAutospacing="0" w:line="320" w:lineRule="exact"/>
              <w:jc w:val="center"/>
              <w:rPr>
                <w:rFonts w:hint="default" w:eastAsia="仿宋_GB2312"/>
                <w:color w:val="auto"/>
                <w:sz w:val="21"/>
                <w:szCs w:val="21"/>
                <w:lang w:val="en-US" w:eastAsia="zh-CN" w:bidi="ar"/>
              </w:rPr>
            </w:pPr>
            <w:r>
              <w:rPr>
                <w:rFonts w:hint="eastAsia" w:eastAsia="仿宋_GB2312"/>
                <w:color w:val="auto"/>
                <w:sz w:val="21"/>
                <w:szCs w:val="21"/>
                <w:lang w:val="en-US" w:eastAsia="zh-CN" w:bidi="ar"/>
              </w:rPr>
              <w:t>16</w:t>
            </w:r>
          </w:p>
        </w:tc>
        <w:tc>
          <w:tcPr>
            <w:tcW w:w="375" w:type="pct"/>
            <w:vMerge w:val="continue"/>
            <w:tcBorders>
              <w:tl2br w:val="nil"/>
              <w:tr2bl w:val="nil"/>
            </w:tcBorders>
            <w:shd w:val="clear" w:color="auto" w:fill="auto"/>
            <w:vAlign w:val="center"/>
          </w:tcPr>
          <w:p w14:paraId="0B6EF768">
            <w:pPr>
              <w:widowControl/>
              <w:jc w:val="center"/>
              <w:textAlignment w:val="center"/>
              <w:rPr>
                <w:rFonts w:hint="eastAsia" w:eastAsia="仿宋_GB2312"/>
                <w:color w:val="auto"/>
                <w:kern w:val="0"/>
                <w:szCs w:val="21"/>
                <w:lang w:val="en-US" w:eastAsia="zh-CN" w:bidi="ar"/>
              </w:rPr>
            </w:pPr>
          </w:p>
        </w:tc>
        <w:tc>
          <w:tcPr>
            <w:tcW w:w="493" w:type="pct"/>
            <w:vMerge w:val="continue"/>
            <w:tcBorders>
              <w:tl2br w:val="nil"/>
              <w:tr2bl w:val="nil"/>
            </w:tcBorders>
            <w:shd w:val="clear" w:color="auto" w:fill="auto"/>
            <w:vAlign w:val="center"/>
          </w:tcPr>
          <w:p w14:paraId="006CB147">
            <w:pPr>
              <w:bidi w:val="0"/>
              <w:jc w:val="center"/>
              <w:rPr>
                <w:rFonts w:hint="default" w:ascii="Times New Roman" w:hAnsi="Times New Roman" w:eastAsia="方正仿宋_GB2312" w:cs="Times New Roman"/>
                <w:color w:val="auto"/>
                <w:sz w:val="21"/>
                <w:szCs w:val="21"/>
                <w:lang w:val="en-US" w:eastAsia="zh-CN"/>
              </w:rPr>
            </w:pPr>
          </w:p>
        </w:tc>
        <w:tc>
          <w:tcPr>
            <w:tcW w:w="437" w:type="pct"/>
            <w:vMerge w:val="continue"/>
            <w:tcBorders>
              <w:tl2br w:val="nil"/>
              <w:tr2bl w:val="nil"/>
            </w:tcBorders>
            <w:shd w:val="clear" w:color="auto" w:fill="auto"/>
            <w:vAlign w:val="center"/>
          </w:tcPr>
          <w:p w14:paraId="1B0C8407">
            <w:pPr>
              <w:bidi w:val="0"/>
              <w:jc w:val="center"/>
              <w:rPr>
                <w:rFonts w:hint="default" w:ascii="Times New Roman" w:hAnsi="Times New Roman" w:eastAsia="方正仿宋_GB2312" w:cs="Times New Roman"/>
                <w:color w:val="auto"/>
                <w:sz w:val="21"/>
                <w:szCs w:val="21"/>
                <w:lang w:val="en-US" w:eastAsia="zh-CN"/>
              </w:rPr>
            </w:pPr>
          </w:p>
        </w:tc>
        <w:tc>
          <w:tcPr>
            <w:tcW w:w="253" w:type="pct"/>
            <w:tcBorders>
              <w:tl2br w:val="nil"/>
              <w:tr2bl w:val="nil"/>
            </w:tcBorders>
            <w:shd w:val="clear" w:color="auto" w:fill="auto"/>
            <w:vAlign w:val="center"/>
          </w:tcPr>
          <w:p w14:paraId="44C9594D">
            <w:pPr>
              <w:widowControl/>
              <w:jc w:val="center"/>
              <w:textAlignment w:val="center"/>
              <w:rPr>
                <w:rFonts w:hint="default" w:eastAsia="仿宋_GB2312"/>
                <w:color w:val="auto"/>
                <w:kern w:val="0"/>
                <w:szCs w:val="21"/>
                <w:lang w:val="en-US" w:eastAsia="zh-CN" w:bidi="ar"/>
              </w:rPr>
            </w:pPr>
            <w:r>
              <w:rPr>
                <w:rFonts w:hint="eastAsia" w:eastAsia="仿宋_GB2312"/>
                <w:color w:val="auto"/>
                <w:kern w:val="0"/>
                <w:szCs w:val="21"/>
                <w:lang w:val="en-US" w:eastAsia="zh-CN" w:bidi="ar"/>
              </w:rPr>
              <w:t>1</w:t>
            </w:r>
          </w:p>
        </w:tc>
        <w:tc>
          <w:tcPr>
            <w:tcW w:w="237" w:type="pct"/>
            <w:tcBorders>
              <w:tl2br w:val="nil"/>
              <w:tr2bl w:val="nil"/>
            </w:tcBorders>
            <w:shd w:val="clear" w:color="auto" w:fill="auto"/>
            <w:vAlign w:val="center"/>
          </w:tcPr>
          <w:p w14:paraId="7C857F73">
            <w:pPr>
              <w:pStyle w:val="163"/>
              <w:jc w:val="center"/>
              <w:rPr>
                <w:rFonts w:hint="default" w:ascii="Times New Roman" w:hAnsi="Times New Roman" w:eastAsia="仿宋_GB2312" w:cs="Times New Roman"/>
                <w:color w:val="auto"/>
                <w:kern w:val="0"/>
                <w:sz w:val="21"/>
                <w:szCs w:val="21"/>
                <w:lang w:val="en-US" w:eastAsia="zh-CN" w:bidi="ar"/>
              </w:rPr>
            </w:pPr>
            <w:r>
              <w:rPr>
                <w:rFonts w:hint="eastAsia" w:ascii="Times New Roman"/>
                <w:color w:val="auto"/>
                <w:kern w:val="0"/>
                <w:szCs w:val="21"/>
                <w:lang w:val="en-US" w:eastAsia="zh-CN" w:bidi="ar"/>
              </w:rPr>
              <w:t>168</w:t>
            </w:r>
          </w:p>
        </w:tc>
        <w:tc>
          <w:tcPr>
            <w:tcW w:w="220" w:type="pct"/>
            <w:tcBorders>
              <w:tl2br w:val="nil"/>
              <w:tr2bl w:val="nil"/>
            </w:tcBorders>
            <w:shd w:val="clear" w:color="auto" w:fill="auto"/>
            <w:vAlign w:val="center"/>
          </w:tcPr>
          <w:p w14:paraId="5CABA2A4">
            <w:pPr>
              <w:pStyle w:val="163"/>
              <w:jc w:val="center"/>
              <w:rPr>
                <w:rFonts w:hint="default" w:ascii="Times New Roman" w:hAnsi="Times New Roman" w:eastAsia="仿宋_GB2312" w:cs="Times New Roman"/>
                <w:color w:val="auto"/>
                <w:kern w:val="0"/>
                <w:sz w:val="21"/>
                <w:szCs w:val="21"/>
                <w:lang w:val="en-US" w:eastAsia="zh-CN" w:bidi="ar"/>
              </w:rPr>
            </w:pPr>
            <w:r>
              <w:rPr>
                <w:rFonts w:hint="eastAsia" w:ascii="Times New Roman"/>
                <w:color w:val="auto"/>
                <w:kern w:val="0"/>
                <w:szCs w:val="21"/>
                <w:lang w:val="en-US" w:eastAsia="zh-CN" w:bidi="ar"/>
              </w:rPr>
              <w:t>48</w:t>
            </w:r>
          </w:p>
        </w:tc>
        <w:tc>
          <w:tcPr>
            <w:tcW w:w="216" w:type="pct"/>
            <w:tcBorders>
              <w:tl2br w:val="nil"/>
              <w:tr2bl w:val="nil"/>
            </w:tcBorders>
            <w:shd w:val="clear" w:color="auto" w:fill="auto"/>
            <w:vAlign w:val="center"/>
          </w:tcPr>
          <w:p w14:paraId="6CD8DA97">
            <w:pPr>
              <w:pStyle w:val="163"/>
              <w:jc w:val="center"/>
              <w:rPr>
                <w:rFonts w:hint="default" w:ascii="Times New Roman" w:hAnsi="Times New Roman" w:eastAsia="仿宋_GB2312" w:cs="Times New Roman"/>
                <w:color w:val="auto"/>
                <w:kern w:val="0"/>
                <w:sz w:val="21"/>
                <w:szCs w:val="21"/>
                <w:lang w:val="en-US" w:eastAsia="zh-CN" w:bidi="ar"/>
              </w:rPr>
            </w:pPr>
            <w:r>
              <w:rPr>
                <w:rFonts w:hint="eastAsia" w:ascii="Times New Roman"/>
                <w:color w:val="auto"/>
                <w:kern w:val="0"/>
                <w:szCs w:val="21"/>
                <w:lang w:val="en-US" w:eastAsia="zh-CN" w:bidi="ar"/>
              </w:rPr>
              <w:t>0.5</w:t>
            </w:r>
          </w:p>
        </w:tc>
        <w:tc>
          <w:tcPr>
            <w:tcW w:w="260" w:type="pct"/>
            <w:tcBorders>
              <w:tl2br w:val="nil"/>
              <w:tr2bl w:val="nil"/>
            </w:tcBorders>
            <w:shd w:val="clear" w:color="auto" w:fill="auto"/>
            <w:vAlign w:val="center"/>
          </w:tcPr>
          <w:p w14:paraId="4D5AB396">
            <w:pPr>
              <w:pStyle w:val="163"/>
              <w:jc w:val="center"/>
              <w:rPr>
                <w:rFonts w:hint="default" w:ascii="Times New Roman" w:hAnsi="Times New Roman" w:eastAsia="仿宋_GB2312" w:cs="Times New Roman"/>
                <w:color w:val="auto"/>
                <w:kern w:val="0"/>
                <w:sz w:val="21"/>
                <w:szCs w:val="21"/>
                <w:lang w:val="en-US" w:eastAsia="zh-CN" w:bidi="ar"/>
              </w:rPr>
            </w:pPr>
            <w:r>
              <w:rPr>
                <w:rFonts w:hint="eastAsia" w:ascii="Times New Roman"/>
                <w:color w:val="auto"/>
                <w:kern w:val="0"/>
                <w:szCs w:val="21"/>
                <w:lang w:val="en-US" w:eastAsia="zh-CN" w:bidi="ar"/>
              </w:rPr>
              <w:t>80</w:t>
            </w:r>
          </w:p>
        </w:tc>
        <w:tc>
          <w:tcPr>
            <w:tcW w:w="287" w:type="pct"/>
            <w:vMerge w:val="continue"/>
            <w:tcBorders>
              <w:tl2br w:val="nil"/>
              <w:tr2bl w:val="nil"/>
            </w:tcBorders>
            <w:shd w:val="clear" w:color="auto" w:fill="auto"/>
            <w:vAlign w:val="center"/>
          </w:tcPr>
          <w:p w14:paraId="38918E15">
            <w:pPr>
              <w:pStyle w:val="81"/>
              <w:spacing w:beforeAutospacing="0" w:afterAutospacing="0" w:line="320" w:lineRule="exact"/>
              <w:jc w:val="center"/>
              <w:rPr>
                <w:rFonts w:eastAsia="仿宋_GB2312"/>
                <w:color w:val="FF0000"/>
                <w:sz w:val="21"/>
                <w:szCs w:val="21"/>
                <w:lang w:bidi="ar"/>
              </w:rPr>
            </w:pPr>
          </w:p>
        </w:tc>
        <w:tc>
          <w:tcPr>
            <w:tcW w:w="270" w:type="pct"/>
            <w:tcBorders>
              <w:tl2br w:val="nil"/>
              <w:tr2bl w:val="nil"/>
            </w:tcBorders>
            <w:shd w:val="clear" w:color="auto" w:fill="auto"/>
            <w:vAlign w:val="center"/>
          </w:tcPr>
          <w:p w14:paraId="76B222EA">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rPr>
              <w:t>5</w:t>
            </w:r>
          </w:p>
        </w:tc>
        <w:tc>
          <w:tcPr>
            <w:tcW w:w="282" w:type="pct"/>
            <w:tcBorders>
              <w:tl2br w:val="nil"/>
              <w:tr2bl w:val="nil"/>
            </w:tcBorders>
            <w:shd w:val="clear" w:color="auto" w:fill="auto"/>
            <w:vAlign w:val="center"/>
          </w:tcPr>
          <w:p w14:paraId="6E7C2661">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6</w:t>
            </w:r>
            <w:r>
              <w:rPr>
                <w:rFonts w:hint="eastAsia" w:eastAsia="仿宋_GB2312"/>
                <w:color w:val="auto"/>
                <w:sz w:val="21"/>
                <w:szCs w:val="21"/>
                <w:lang w:bidi="ar"/>
              </w:rPr>
              <w:t>6</w:t>
            </w:r>
          </w:p>
        </w:tc>
        <w:tc>
          <w:tcPr>
            <w:tcW w:w="270" w:type="pct"/>
            <w:tcBorders>
              <w:tl2br w:val="nil"/>
              <w:tr2bl w:val="nil"/>
            </w:tcBorders>
            <w:shd w:val="clear" w:color="auto" w:fill="auto"/>
            <w:vAlign w:val="center"/>
          </w:tcPr>
          <w:p w14:paraId="39A0B677">
            <w:pPr>
              <w:pStyle w:val="81"/>
              <w:spacing w:beforeAutospacing="0" w:afterAutospacing="0" w:line="320" w:lineRule="exact"/>
              <w:ind w:left="0" w:leftChars="0" w:right="0" w:rightChars="0"/>
              <w:jc w:val="center"/>
              <w:rPr>
                <w:rFonts w:ascii="Times New Roman" w:hAnsi="Times New Roman" w:eastAsia="仿宋_GB2312" w:cs="Times New Roman"/>
                <w:b/>
                <w:bCs/>
                <w:color w:val="auto"/>
                <w:kern w:val="0"/>
                <w:sz w:val="21"/>
                <w:szCs w:val="21"/>
                <w:lang w:val="en-US" w:eastAsia="zh-CN" w:bidi="ar"/>
              </w:rPr>
            </w:pPr>
            <w:r>
              <w:rPr>
                <w:rFonts w:eastAsia="仿宋_GB2312"/>
                <w:color w:val="auto"/>
                <w:sz w:val="21"/>
                <w:szCs w:val="21"/>
                <w:lang w:bidi="ar"/>
              </w:rPr>
              <w:t>全天</w:t>
            </w:r>
          </w:p>
        </w:tc>
        <w:tc>
          <w:tcPr>
            <w:tcW w:w="312" w:type="pct"/>
            <w:tcBorders>
              <w:tl2br w:val="nil"/>
              <w:tr2bl w:val="nil"/>
            </w:tcBorders>
            <w:shd w:val="clear" w:color="auto" w:fill="auto"/>
            <w:vAlign w:val="center"/>
          </w:tcPr>
          <w:p w14:paraId="12640E06">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20</w:t>
            </w:r>
          </w:p>
        </w:tc>
        <w:tc>
          <w:tcPr>
            <w:tcW w:w="262" w:type="pct"/>
            <w:tcBorders>
              <w:tl2br w:val="nil"/>
              <w:tr2bl w:val="nil"/>
            </w:tcBorders>
            <w:shd w:val="clear" w:color="auto" w:fill="auto"/>
            <w:vAlign w:val="center"/>
          </w:tcPr>
          <w:p w14:paraId="18E6587B">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46</w:t>
            </w:r>
          </w:p>
        </w:tc>
        <w:tc>
          <w:tcPr>
            <w:tcW w:w="288" w:type="pct"/>
            <w:tcBorders>
              <w:tl2br w:val="nil"/>
              <w:tr2bl w:val="nil"/>
            </w:tcBorders>
            <w:shd w:val="clear" w:color="auto" w:fill="auto"/>
            <w:vAlign w:val="center"/>
          </w:tcPr>
          <w:p w14:paraId="3AFBEF7D">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1</w:t>
            </w:r>
          </w:p>
        </w:tc>
        <w:tc>
          <w:tcPr>
            <w:tcW w:w="335" w:type="pct"/>
            <w:tcBorders>
              <w:tl2br w:val="nil"/>
              <w:tr2bl w:val="nil"/>
            </w:tcBorders>
            <w:shd w:val="clear" w:color="auto" w:fill="auto"/>
            <w:vAlign w:val="center"/>
          </w:tcPr>
          <w:p w14:paraId="776EF846">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hint="eastAsia" w:eastAsia="仿宋_GB2312" w:hAnsiTheme="minorHAnsi"/>
                <w:color w:val="auto"/>
                <w:sz w:val="21"/>
                <w:szCs w:val="21"/>
                <w:lang w:val="en-US" w:eastAsia="zh-CN" w:bidi="ar"/>
              </w:rPr>
              <w:t>依托现有</w:t>
            </w:r>
          </w:p>
        </w:tc>
      </w:tr>
      <w:tr w14:paraId="1C3B73F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195" w:type="pct"/>
            <w:tcBorders>
              <w:tl2br w:val="nil"/>
              <w:tr2bl w:val="nil"/>
            </w:tcBorders>
            <w:shd w:val="clear" w:color="auto" w:fill="auto"/>
            <w:vAlign w:val="center"/>
          </w:tcPr>
          <w:p w14:paraId="47C675E1">
            <w:pPr>
              <w:pStyle w:val="81"/>
              <w:spacing w:beforeAutospacing="0" w:afterAutospacing="0" w:line="320" w:lineRule="exact"/>
              <w:jc w:val="center"/>
              <w:rPr>
                <w:rFonts w:hint="default" w:eastAsia="仿宋_GB2312"/>
                <w:color w:val="auto"/>
                <w:sz w:val="21"/>
                <w:szCs w:val="21"/>
                <w:lang w:val="en-US" w:eastAsia="zh-CN" w:bidi="ar"/>
              </w:rPr>
            </w:pPr>
            <w:r>
              <w:rPr>
                <w:rFonts w:hint="eastAsia" w:eastAsia="仿宋_GB2312"/>
                <w:color w:val="auto"/>
                <w:sz w:val="21"/>
                <w:szCs w:val="21"/>
                <w:lang w:val="en-US" w:eastAsia="zh-CN" w:bidi="ar"/>
              </w:rPr>
              <w:t>17</w:t>
            </w:r>
          </w:p>
        </w:tc>
        <w:tc>
          <w:tcPr>
            <w:tcW w:w="375" w:type="pct"/>
            <w:vMerge w:val="continue"/>
            <w:tcBorders>
              <w:tl2br w:val="nil"/>
              <w:tr2bl w:val="nil"/>
            </w:tcBorders>
            <w:shd w:val="clear" w:color="auto" w:fill="auto"/>
            <w:vAlign w:val="center"/>
          </w:tcPr>
          <w:p w14:paraId="6CECA554">
            <w:pPr>
              <w:widowControl/>
              <w:jc w:val="center"/>
              <w:textAlignment w:val="center"/>
              <w:rPr>
                <w:rFonts w:hint="eastAsia" w:eastAsia="仿宋_GB2312"/>
                <w:color w:val="auto"/>
                <w:kern w:val="0"/>
                <w:szCs w:val="21"/>
                <w:lang w:val="en-US" w:eastAsia="zh-CN" w:bidi="ar"/>
              </w:rPr>
            </w:pPr>
          </w:p>
        </w:tc>
        <w:tc>
          <w:tcPr>
            <w:tcW w:w="493" w:type="pct"/>
            <w:vMerge w:val="restart"/>
            <w:tcBorders>
              <w:tl2br w:val="nil"/>
              <w:tr2bl w:val="nil"/>
            </w:tcBorders>
            <w:shd w:val="clear" w:color="auto" w:fill="auto"/>
            <w:vAlign w:val="center"/>
          </w:tcPr>
          <w:p w14:paraId="5B5C6CCA">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eastAsia" w:eastAsia="方正仿宋_GB2312" w:cs="Times New Roman"/>
                <w:color w:val="000000" w:themeColor="text1"/>
                <w:sz w:val="21"/>
                <w:szCs w:val="21"/>
                <w:lang w:val="en-US" w:eastAsia="zh-CN"/>
                <w14:textFill>
                  <w14:solidFill>
                    <w14:schemeClr w14:val="tx1"/>
                  </w14:solidFill>
                </w14:textFill>
              </w:rPr>
              <w:t>膜处理+连续精馏系列（</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真空泵组</w:t>
            </w:r>
            <w:r>
              <w:rPr>
                <w:rFonts w:hint="eastAsia" w:eastAsia="方正仿宋_GB2312" w:cs="Times New Roman"/>
                <w:color w:val="000000" w:themeColor="text1"/>
                <w:sz w:val="21"/>
                <w:szCs w:val="21"/>
                <w:lang w:val="en-US" w:eastAsia="zh-CN"/>
                <w14:textFill>
                  <w14:solidFill>
                    <w14:schemeClr w14:val="tx1"/>
                  </w14:solidFill>
                </w14:textFill>
              </w:rPr>
              <w:t>）</w:t>
            </w:r>
          </w:p>
        </w:tc>
        <w:tc>
          <w:tcPr>
            <w:tcW w:w="437" w:type="pct"/>
            <w:vMerge w:val="restart"/>
            <w:tcBorders>
              <w:tl2br w:val="nil"/>
              <w:tr2bl w:val="nil"/>
            </w:tcBorders>
            <w:shd w:val="clear" w:color="auto" w:fill="auto"/>
            <w:vAlign w:val="center"/>
          </w:tcPr>
          <w:p w14:paraId="1845596A">
            <w:pPr>
              <w:bidi w:val="0"/>
              <w:jc w:val="center"/>
              <w:rPr>
                <w:rFonts w:hint="default" w:ascii="Times New Roman" w:hAnsi="Times New Roman" w:eastAsia="方正仿宋_GB2312" w:cs="Times New Roman"/>
                <w:kern w:val="2"/>
                <w:sz w:val="21"/>
                <w:szCs w:val="24"/>
                <w:lang w:val="en-US" w:eastAsia="zh-CN" w:bidi="ar-SA"/>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WLW200AB,W=15kw</w:t>
            </w:r>
          </w:p>
        </w:tc>
        <w:tc>
          <w:tcPr>
            <w:tcW w:w="253" w:type="pct"/>
            <w:tcBorders>
              <w:tl2br w:val="nil"/>
              <w:tr2bl w:val="nil"/>
            </w:tcBorders>
            <w:shd w:val="clear" w:color="auto" w:fill="auto"/>
            <w:vAlign w:val="center"/>
          </w:tcPr>
          <w:p w14:paraId="40F8B2DF">
            <w:pPr>
              <w:widowControl/>
              <w:jc w:val="center"/>
              <w:textAlignment w:val="center"/>
              <w:rPr>
                <w:rFonts w:hint="default" w:eastAsia="仿宋_GB2312"/>
                <w:color w:val="auto"/>
                <w:kern w:val="0"/>
                <w:szCs w:val="21"/>
                <w:lang w:val="en-US" w:eastAsia="zh-CN" w:bidi="ar"/>
              </w:rPr>
            </w:pPr>
            <w:r>
              <w:rPr>
                <w:rFonts w:hint="eastAsia" w:eastAsia="仿宋_GB2312"/>
                <w:color w:val="auto"/>
                <w:kern w:val="0"/>
                <w:szCs w:val="21"/>
                <w:lang w:val="en-US" w:eastAsia="zh-CN" w:bidi="ar"/>
              </w:rPr>
              <w:t>1</w:t>
            </w:r>
          </w:p>
        </w:tc>
        <w:tc>
          <w:tcPr>
            <w:tcW w:w="237" w:type="pct"/>
            <w:tcBorders>
              <w:tl2br w:val="nil"/>
              <w:tr2bl w:val="nil"/>
            </w:tcBorders>
            <w:shd w:val="clear" w:color="auto" w:fill="auto"/>
            <w:vAlign w:val="center"/>
          </w:tcPr>
          <w:p w14:paraId="7D874B20">
            <w:pPr>
              <w:pStyle w:val="163"/>
              <w:jc w:val="center"/>
              <w:rPr>
                <w:rFonts w:hint="default" w:ascii="Times New Roman" w:hAnsi="Times New Roman" w:eastAsia="仿宋_GB2312" w:cs="Times New Roman"/>
                <w:color w:val="auto"/>
                <w:kern w:val="0"/>
                <w:sz w:val="21"/>
                <w:szCs w:val="21"/>
                <w:lang w:val="en-US" w:eastAsia="zh-CN" w:bidi="ar"/>
              </w:rPr>
            </w:pPr>
            <w:r>
              <w:rPr>
                <w:rFonts w:hint="eastAsia" w:ascii="Times New Roman"/>
                <w:color w:val="auto"/>
                <w:kern w:val="0"/>
                <w:szCs w:val="21"/>
                <w:lang w:val="en-US" w:eastAsia="zh-CN" w:bidi="ar"/>
              </w:rPr>
              <w:t>171</w:t>
            </w:r>
          </w:p>
        </w:tc>
        <w:tc>
          <w:tcPr>
            <w:tcW w:w="220" w:type="pct"/>
            <w:tcBorders>
              <w:tl2br w:val="nil"/>
              <w:tr2bl w:val="nil"/>
            </w:tcBorders>
            <w:shd w:val="clear" w:color="auto" w:fill="auto"/>
            <w:vAlign w:val="center"/>
          </w:tcPr>
          <w:p w14:paraId="3758CD47">
            <w:pPr>
              <w:pStyle w:val="163"/>
              <w:jc w:val="center"/>
              <w:rPr>
                <w:rFonts w:hint="default" w:ascii="Times New Roman" w:hAnsi="Times New Roman" w:eastAsia="仿宋_GB2312" w:cs="Times New Roman"/>
                <w:color w:val="auto"/>
                <w:kern w:val="0"/>
                <w:sz w:val="21"/>
                <w:szCs w:val="21"/>
                <w:lang w:val="en-US" w:eastAsia="zh-CN" w:bidi="ar"/>
              </w:rPr>
            </w:pPr>
            <w:r>
              <w:rPr>
                <w:rFonts w:hint="eastAsia" w:ascii="Times New Roman"/>
                <w:color w:val="auto"/>
                <w:kern w:val="0"/>
                <w:szCs w:val="21"/>
                <w:lang w:val="en-US" w:eastAsia="zh-CN" w:bidi="ar"/>
              </w:rPr>
              <w:t>55</w:t>
            </w:r>
          </w:p>
        </w:tc>
        <w:tc>
          <w:tcPr>
            <w:tcW w:w="216" w:type="pct"/>
            <w:tcBorders>
              <w:tl2br w:val="nil"/>
              <w:tr2bl w:val="nil"/>
            </w:tcBorders>
            <w:shd w:val="clear" w:color="auto" w:fill="auto"/>
            <w:vAlign w:val="center"/>
          </w:tcPr>
          <w:p w14:paraId="58A5D4AC">
            <w:pPr>
              <w:pStyle w:val="163"/>
              <w:jc w:val="center"/>
              <w:rPr>
                <w:rFonts w:hint="default" w:ascii="Times New Roman" w:hAnsi="Times New Roman" w:eastAsia="仿宋_GB2312" w:cs="Times New Roman"/>
                <w:color w:val="auto"/>
                <w:kern w:val="0"/>
                <w:sz w:val="21"/>
                <w:szCs w:val="21"/>
                <w:lang w:val="en-US" w:eastAsia="zh-CN" w:bidi="ar"/>
              </w:rPr>
            </w:pPr>
            <w:r>
              <w:rPr>
                <w:rFonts w:hint="eastAsia" w:ascii="Times New Roman"/>
                <w:color w:val="auto"/>
                <w:kern w:val="0"/>
                <w:szCs w:val="21"/>
                <w:lang w:val="en-US" w:eastAsia="zh-CN" w:bidi="ar"/>
              </w:rPr>
              <w:t>0.5</w:t>
            </w:r>
          </w:p>
        </w:tc>
        <w:tc>
          <w:tcPr>
            <w:tcW w:w="260" w:type="pct"/>
            <w:tcBorders>
              <w:tl2br w:val="nil"/>
              <w:tr2bl w:val="nil"/>
            </w:tcBorders>
            <w:shd w:val="clear" w:color="auto" w:fill="auto"/>
            <w:vAlign w:val="center"/>
          </w:tcPr>
          <w:p w14:paraId="2DD19D09">
            <w:pPr>
              <w:pStyle w:val="81"/>
              <w:spacing w:beforeAutospacing="0" w:afterAutospacing="0" w:line="320" w:lineRule="exact"/>
              <w:ind w:left="0" w:leftChars="0" w:right="0" w:rightChars="0"/>
              <w:jc w:val="center"/>
              <w:rPr>
                <w:rFonts w:ascii="Times New Roman" w:hAnsi="Times New Roman" w:eastAsia="仿宋_GB2312" w:cs="Times New Roman"/>
                <w:color w:val="FF0000"/>
                <w:kern w:val="0"/>
                <w:sz w:val="21"/>
                <w:szCs w:val="21"/>
                <w:lang w:val="en-US" w:eastAsia="zh-CN" w:bidi="ar"/>
              </w:rPr>
            </w:pPr>
            <w:r>
              <w:rPr>
                <w:rFonts w:hint="eastAsia" w:ascii="Times New Roman"/>
                <w:color w:val="auto"/>
                <w:kern w:val="0"/>
                <w:szCs w:val="21"/>
                <w:lang w:val="en-US" w:eastAsia="zh-CN" w:bidi="ar"/>
              </w:rPr>
              <w:t>80</w:t>
            </w:r>
          </w:p>
        </w:tc>
        <w:tc>
          <w:tcPr>
            <w:tcW w:w="287" w:type="pct"/>
            <w:vMerge w:val="continue"/>
            <w:tcBorders>
              <w:tl2br w:val="nil"/>
              <w:tr2bl w:val="nil"/>
            </w:tcBorders>
            <w:shd w:val="clear" w:color="auto" w:fill="auto"/>
            <w:vAlign w:val="center"/>
          </w:tcPr>
          <w:p w14:paraId="4BE37656">
            <w:pPr>
              <w:pStyle w:val="81"/>
              <w:spacing w:beforeAutospacing="0" w:afterAutospacing="0" w:line="320" w:lineRule="exact"/>
              <w:jc w:val="center"/>
              <w:rPr>
                <w:rFonts w:eastAsia="仿宋_GB2312"/>
                <w:color w:val="FF0000"/>
                <w:sz w:val="21"/>
                <w:szCs w:val="21"/>
                <w:lang w:bidi="ar"/>
              </w:rPr>
            </w:pPr>
          </w:p>
        </w:tc>
        <w:tc>
          <w:tcPr>
            <w:tcW w:w="270" w:type="pct"/>
            <w:tcBorders>
              <w:tl2br w:val="nil"/>
              <w:tr2bl w:val="nil"/>
            </w:tcBorders>
            <w:shd w:val="clear" w:color="auto" w:fill="auto"/>
            <w:vAlign w:val="center"/>
          </w:tcPr>
          <w:p w14:paraId="4DAE3C70">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rPr>
              <w:t>5</w:t>
            </w:r>
          </w:p>
        </w:tc>
        <w:tc>
          <w:tcPr>
            <w:tcW w:w="282" w:type="pct"/>
            <w:tcBorders>
              <w:tl2br w:val="nil"/>
              <w:tr2bl w:val="nil"/>
            </w:tcBorders>
            <w:shd w:val="clear" w:color="auto" w:fill="auto"/>
            <w:vAlign w:val="center"/>
          </w:tcPr>
          <w:p w14:paraId="000B09F0">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6</w:t>
            </w:r>
            <w:r>
              <w:rPr>
                <w:rFonts w:hint="eastAsia" w:eastAsia="仿宋_GB2312"/>
                <w:color w:val="auto"/>
                <w:sz w:val="21"/>
                <w:szCs w:val="21"/>
                <w:lang w:bidi="ar"/>
              </w:rPr>
              <w:t>6</w:t>
            </w:r>
          </w:p>
        </w:tc>
        <w:tc>
          <w:tcPr>
            <w:tcW w:w="270" w:type="pct"/>
            <w:tcBorders>
              <w:tl2br w:val="nil"/>
              <w:tr2bl w:val="nil"/>
            </w:tcBorders>
            <w:shd w:val="clear" w:color="auto" w:fill="auto"/>
            <w:vAlign w:val="center"/>
          </w:tcPr>
          <w:p w14:paraId="0B86FBAC">
            <w:pPr>
              <w:pStyle w:val="81"/>
              <w:spacing w:beforeAutospacing="0" w:afterAutospacing="0" w:line="320" w:lineRule="exact"/>
              <w:ind w:left="0" w:leftChars="0" w:right="0" w:rightChars="0"/>
              <w:jc w:val="center"/>
              <w:rPr>
                <w:rFonts w:ascii="Times New Roman" w:hAnsi="Times New Roman" w:eastAsia="仿宋_GB2312" w:cs="Times New Roman"/>
                <w:b/>
                <w:bCs/>
                <w:color w:val="auto"/>
                <w:kern w:val="0"/>
                <w:sz w:val="21"/>
                <w:szCs w:val="21"/>
                <w:lang w:val="en-US" w:eastAsia="zh-CN" w:bidi="ar"/>
              </w:rPr>
            </w:pPr>
            <w:r>
              <w:rPr>
                <w:rFonts w:eastAsia="仿宋_GB2312"/>
                <w:color w:val="auto"/>
                <w:sz w:val="21"/>
                <w:szCs w:val="21"/>
                <w:lang w:bidi="ar"/>
              </w:rPr>
              <w:t>全天</w:t>
            </w:r>
          </w:p>
        </w:tc>
        <w:tc>
          <w:tcPr>
            <w:tcW w:w="312" w:type="pct"/>
            <w:tcBorders>
              <w:tl2br w:val="nil"/>
              <w:tr2bl w:val="nil"/>
            </w:tcBorders>
            <w:shd w:val="clear" w:color="auto" w:fill="auto"/>
            <w:vAlign w:val="center"/>
          </w:tcPr>
          <w:p w14:paraId="33CD8E73">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20</w:t>
            </w:r>
          </w:p>
        </w:tc>
        <w:tc>
          <w:tcPr>
            <w:tcW w:w="262" w:type="pct"/>
            <w:tcBorders>
              <w:tl2br w:val="nil"/>
              <w:tr2bl w:val="nil"/>
            </w:tcBorders>
            <w:shd w:val="clear" w:color="auto" w:fill="auto"/>
            <w:vAlign w:val="center"/>
          </w:tcPr>
          <w:p w14:paraId="676408BD">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46</w:t>
            </w:r>
          </w:p>
        </w:tc>
        <w:tc>
          <w:tcPr>
            <w:tcW w:w="288" w:type="pct"/>
            <w:tcBorders>
              <w:tl2br w:val="nil"/>
              <w:tr2bl w:val="nil"/>
            </w:tcBorders>
            <w:shd w:val="clear" w:color="auto" w:fill="auto"/>
            <w:vAlign w:val="center"/>
          </w:tcPr>
          <w:p w14:paraId="7B071794">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1</w:t>
            </w:r>
          </w:p>
        </w:tc>
        <w:tc>
          <w:tcPr>
            <w:tcW w:w="335" w:type="pct"/>
            <w:tcBorders>
              <w:tl2br w:val="nil"/>
              <w:tr2bl w:val="nil"/>
            </w:tcBorders>
            <w:shd w:val="clear" w:color="auto" w:fill="auto"/>
            <w:vAlign w:val="center"/>
          </w:tcPr>
          <w:p w14:paraId="600D8F9F">
            <w:pPr>
              <w:pStyle w:val="81"/>
              <w:spacing w:beforeAutospacing="0" w:afterAutospacing="0" w:line="320" w:lineRule="exact"/>
              <w:ind w:left="0" w:leftChars="0" w:right="0" w:rightChars="0"/>
              <w:jc w:val="center"/>
              <w:rPr>
                <w:rFonts w:hint="default" w:ascii="Times New Roman" w:hAnsi="Times New Roman" w:eastAsia="仿宋_GB2312" w:cs="Times New Roman"/>
                <w:color w:val="auto"/>
                <w:kern w:val="0"/>
                <w:sz w:val="21"/>
                <w:szCs w:val="21"/>
                <w:lang w:val="en-US" w:eastAsia="zh-CN" w:bidi="ar"/>
              </w:rPr>
            </w:pPr>
            <w:r>
              <w:rPr>
                <w:rFonts w:hint="eastAsia" w:eastAsia="仿宋_GB2312" w:cs="Times New Roman"/>
                <w:color w:val="auto"/>
                <w:kern w:val="0"/>
                <w:sz w:val="21"/>
                <w:szCs w:val="21"/>
                <w:lang w:val="en-US" w:eastAsia="zh-CN" w:bidi="ar"/>
              </w:rPr>
              <w:t>新增</w:t>
            </w:r>
          </w:p>
        </w:tc>
      </w:tr>
      <w:tr w14:paraId="281DF3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195" w:type="pct"/>
            <w:tcBorders>
              <w:tl2br w:val="nil"/>
              <w:tr2bl w:val="nil"/>
            </w:tcBorders>
            <w:shd w:val="clear" w:color="auto" w:fill="auto"/>
            <w:vAlign w:val="center"/>
          </w:tcPr>
          <w:p w14:paraId="40E028DE">
            <w:pPr>
              <w:pStyle w:val="81"/>
              <w:spacing w:beforeAutospacing="0" w:afterAutospacing="0" w:line="320" w:lineRule="exact"/>
              <w:jc w:val="center"/>
              <w:rPr>
                <w:rFonts w:hint="default" w:eastAsia="仿宋_GB2312"/>
                <w:color w:val="auto"/>
                <w:sz w:val="21"/>
                <w:szCs w:val="21"/>
                <w:lang w:val="en-US" w:eastAsia="zh-CN" w:bidi="ar"/>
              </w:rPr>
            </w:pPr>
            <w:r>
              <w:rPr>
                <w:rFonts w:hint="eastAsia" w:eastAsia="仿宋_GB2312"/>
                <w:color w:val="auto"/>
                <w:sz w:val="21"/>
                <w:szCs w:val="21"/>
                <w:lang w:val="en-US" w:eastAsia="zh-CN" w:bidi="ar"/>
              </w:rPr>
              <w:t>18</w:t>
            </w:r>
          </w:p>
        </w:tc>
        <w:tc>
          <w:tcPr>
            <w:tcW w:w="375" w:type="pct"/>
            <w:vMerge w:val="continue"/>
            <w:tcBorders>
              <w:tl2br w:val="nil"/>
              <w:tr2bl w:val="nil"/>
            </w:tcBorders>
            <w:shd w:val="clear" w:color="auto" w:fill="auto"/>
            <w:vAlign w:val="center"/>
          </w:tcPr>
          <w:p w14:paraId="740C8300">
            <w:pPr>
              <w:widowControl/>
              <w:jc w:val="center"/>
              <w:textAlignment w:val="center"/>
              <w:rPr>
                <w:rFonts w:hint="eastAsia" w:eastAsia="仿宋_GB2312"/>
                <w:color w:val="auto"/>
                <w:kern w:val="0"/>
                <w:szCs w:val="21"/>
                <w:lang w:val="en-US" w:eastAsia="zh-CN" w:bidi="ar"/>
              </w:rPr>
            </w:pPr>
          </w:p>
        </w:tc>
        <w:tc>
          <w:tcPr>
            <w:tcW w:w="493" w:type="pct"/>
            <w:vMerge w:val="continue"/>
            <w:tcBorders>
              <w:tl2br w:val="nil"/>
              <w:tr2bl w:val="nil"/>
            </w:tcBorders>
            <w:shd w:val="clear" w:color="auto" w:fill="auto"/>
            <w:vAlign w:val="center"/>
          </w:tcPr>
          <w:p w14:paraId="50A8B914">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p>
        </w:tc>
        <w:tc>
          <w:tcPr>
            <w:tcW w:w="437" w:type="pct"/>
            <w:vMerge w:val="continue"/>
            <w:tcBorders>
              <w:tl2br w:val="nil"/>
              <w:tr2bl w:val="nil"/>
            </w:tcBorders>
            <w:shd w:val="clear" w:color="auto" w:fill="auto"/>
            <w:vAlign w:val="center"/>
          </w:tcPr>
          <w:p w14:paraId="2C2BDAE6">
            <w:pPr>
              <w:bidi w:val="0"/>
              <w:jc w:val="center"/>
              <w:rPr>
                <w:rFonts w:hint="default" w:ascii="Times New Roman" w:hAnsi="Times New Roman" w:eastAsia="方正仿宋_GB2312" w:cs="Times New Roman"/>
                <w:kern w:val="2"/>
                <w:sz w:val="21"/>
                <w:szCs w:val="24"/>
                <w:lang w:val="en-US" w:eastAsia="zh-CN" w:bidi="ar-SA"/>
              </w:rPr>
            </w:pPr>
          </w:p>
        </w:tc>
        <w:tc>
          <w:tcPr>
            <w:tcW w:w="253" w:type="pct"/>
            <w:tcBorders>
              <w:tl2br w:val="nil"/>
              <w:tr2bl w:val="nil"/>
            </w:tcBorders>
            <w:shd w:val="clear" w:color="auto" w:fill="auto"/>
            <w:vAlign w:val="center"/>
          </w:tcPr>
          <w:p w14:paraId="0F91923F">
            <w:pPr>
              <w:widowControl/>
              <w:jc w:val="center"/>
              <w:textAlignment w:val="center"/>
              <w:rPr>
                <w:rFonts w:hint="default" w:eastAsia="仿宋_GB2312"/>
                <w:color w:val="auto"/>
                <w:kern w:val="0"/>
                <w:szCs w:val="21"/>
                <w:lang w:val="en-US" w:eastAsia="zh-CN" w:bidi="ar"/>
              </w:rPr>
            </w:pPr>
            <w:r>
              <w:rPr>
                <w:rFonts w:hint="eastAsia" w:eastAsia="仿宋_GB2312"/>
                <w:color w:val="auto"/>
                <w:kern w:val="0"/>
                <w:szCs w:val="21"/>
                <w:lang w:val="en-US" w:eastAsia="zh-CN" w:bidi="ar"/>
              </w:rPr>
              <w:t>1</w:t>
            </w:r>
          </w:p>
        </w:tc>
        <w:tc>
          <w:tcPr>
            <w:tcW w:w="237" w:type="pct"/>
            <w:tcBorders>
              <w:tl2br w:val="nil"/>
              <w:tr2bl w:val="nil"/>
            </w:tcBorders>
            <w:shd w:val="clear" w:color="auto" w:fill="auto"/>
            <w:vAlign w:val="center"/>
          </w:tcPr>
          <w:p w14:paraId="0BB9C7AA">
            <w:pPr>
              <w:pStyle w:val="163"/>
              <w:jc w:val="center"/>
              <w:rPr>
                <w:rFonts w:hint="default" w:ascii="Times New Roman" w:hAnsi="Times New Roman" w:eastAsia="仿宋_GB2312" w:cs="Times New Roman"/>
                <w:color w:val="auto"/>
                <w:kern w:val="0"/>
                <w:sz w:val="21"/>
                <w:szCs w:val="21"/>
                <w:lang w:val="en-US" w:eastAsia="zh-CN" w:bidi="ar"/>
              </w:rPr>
            </w:pPr>
            <w:r>
              <w:rPr>
                <w:rFonts w:hint="eastAsia" w:ascii="Times New Roman"/>
                <w:color w:val="auto"/>
                <w:kern w:val="0"/>
                <w:szCs w:val="21"/>
                <w:lang w:val="en-US" w:eastAsia="zh-CN" w:bidi="ar"/>
              </w:rPr>
              <w:t>171</w:t>
            </w:r>
          </w:p>
        </w:tc>
        <w:tc>
          <w:tcPr>
            <w:tcW w:w="220" w:type="pct"/>
            <w:tcBorders>
              <w:tl2br w:val="nil"/>
              <w:tr2bl w:val="nil"/>
            </w:tcBorders>
            <w:shd w:val="clear" w:color="auto" w:fill="auto"/>
            <w:vAlign w:val="center"/>
          </w:tcPr>
          <w:p w14:paraId="0F1F6D76">
            <w:pPr>
              <w:pStyle w:val="163"/>
              <w:jc w:val="center"/>
              <w:rPr>
                <w:rFonts w:hint="default" w:ascii="Times New Roman" w:hAnsi="Times New Roman" w:eastAsia="仿宋_GB2312" w:cs="Times New Roman"/>
                <w:color w:val="auto"/>
                <w:kern w:val="0"/>
                <w:sz w:val="21"/>
                <w:szCs w:val="21"/>
                <w:lang w:val="en-US" w:eastAsia="zh-CN" w:bidi="ar"/>
              </w:rPr>
            </w:pPr>
            <w:r>
              <w:rPr>
                <w:rFonts w:hint="eastAsia" w:ascii="Times New Roman"/>
                <w:color w:val="auto"/>
                <w:kern w:val="0"/>
                <w:szCs w:val="21"/>
                <w:lang w:val="en-US" w:eastAsia="zh-CN" w:bidi="ar"/>
              </w:rPr>
              <w:t>56</w:t>
            </w:r>
          </w:p>
        </w:tc>
        <w:tc>
          <w:tcPr>
            <w:tcW w:w="216" w:type="pct"/>
            <w:tcBorders>
              <w:tl2br w:val="nil"/>
              <w:tr2bl w:val="nil"/>
            </w:tcBorders>
            <w:shd w:val="clear" w:color="auto" w:fill="auto"/>
            <w:vAlign w:val="center"/>
          </w:tcPr>
          <w:p w14:paraId="6A1F0F64">
            <w:pPr>
              <w:pStyle w:val="163"/>
              <w:jc w:val="center"/>
              <w:rPr>
                <w:rFonts w:hint="default" w:ascii="Times New Roman" w:hAnsi="Times New Roman" w:eastAsia="仿宋_GB2312" w:cs="Times New Roman"/>
                <w:color w:val="auto"/>
                <w:kern w:val="0"/>
                <w:sz w:val="21"/>
                <w:szCs w:val="21"/>
                <w:lang w:val="en-US" w:eastAsia="zh-CN" w:bidi="ar"/>
              </w:rPr>
            </w:pPr>
            <w:r>
              <w:rPr>
                <w:rFonts w:hint="eastAsia" w:ascii="Times New Roman"/>
                <w:color w:val="auto"/>
                <w:kern w:val="0"/>
                <w:szCs w:val="21"/>
                <w:lang w:val="en-US" w:eastAsia="zh-CN" w:bidi="ar"/>
              </w:rPr>
              <w:t>0.5</w:t>
            </w:r>
          </w:p>
        </w:tc>
        <w:tc>
          <w:tcPr>
            <w:tcW w:w="260" w:type="pct"/>
            <w:tcBorders>
              <w:tl2br w:val="nil"/>
              <w:tr2bl w:val="nil"/>
            </w:tcBorders>
            <w:shd w:val="clear" w:color="auto" w:fill="auto"/>
            <w:vAlign w:val="center"/>
          </w:tcPr>
          <w:p w14:paraId="7B79EA7A">
            <w:pPr>
              <w:pStyle w:val="81"/>
              <w:spacing w:beforeAutospacing="0" w:afterAutospacing="0" w:line="320" w:lineRule="exact"/>
              <w:ind w:left="0" w:leftChars="0" w:right="0" w:rightChars="0"/>
              <w:jc w:val="center"/>
              <w:rPr>
                <w:rFonts w:ascii="Times New Roman" w:hAnsi="Times New Roman" w:eastAsia="仿宋_GB2312" w:cs="Times New Roman"/>
                <w:color w:val="FF0000"/>
                <w:kern w:val="0"/>
                <w:sz w:val="21"/>
                <w:szCs w:val="21"/>
                <w:lang w:val="en-US" w:eastAsia="zh-CN" w:bidi="ar"/>
              </w:rPr>
            </w:pPr>
            <w:r>
              <w:rPr>
                <w:rFonts w:hint="eastAsia" w:ascii="Times New Roman"/>
                <w:color w:val="auto"/>
                <w:kern w:val="0"/>
                <w:szCs w:val="21"/>
                <w:lang w:val="en-US" w:eastAsia="zh-CN" w:bidi="ar"/>
              </w:rPr>
              <w:t>80</w:t>
            </w:r>
          </w:p>
        </w:tc>
        <w:tc>
          <w:tcPr>
            <w:tcW w:w="287" w:type="pct"/>
            <w:vMerge w:val="continue"/>
            <w:tcBorders>
              <w:tl2br w:val="nil"/>
              <w:tr2bl w:val="nil"/>
            </w:tcBorders>
            <w:shd w:val="clear" w:color="auto" w:fill="auto"/>
            <w:vAlign w:val="center"/>
          </w:tcPr>
          <w:p w14:paraId="33B9F703">
            <w:pPr>
              <w:pStyle w:val="81"/>
              <w:spacing w:beforeAutospacing="0" w:afterAutospacing="0" w:line="320" w:lineRule="exact"/>
              <w:jc w:val="center"/>
              <w:rPr>
                <w:rFonts w:eastAsia="仿宋_GB2312"/>
                <w:color w:val="FF0000"/>
                <w:sz w:val="21"/>
                <w:szCs w:val="21"/>
                <w:lang w:bidi="ar"/>
              </w:rPr>
            </w:pPr>
          </w:p>
        </w:tc>
        <w:tc>
          <w:tcPr>
            <w:tcW w:w="270" w:type="pct"/>
            <w:tcBorders>
              <w:tl2br w:val="nil"/>
              <w:tr2bl w:val="nil"/>
            </w:tcBorders>
            <w:shd w:val="clear" w:color="auto" w:fill="auto"/>
            <w:vAlign w:val="center"/>
          </w:tcPr>
          <w:p w14:paraId="07A319CC">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rPr>
              <w:t>5</w:t>
            </w:r>
          </w:p>
        </w:tc>
        <w:tc>
          <w:tcPr>
            <w:tcW w:w="282" w:type="pct"/>
            <w:tcBorders>
              <w:tl2br w:val="nil"/>
              <w:tr2bl w:val="nil"/>
            </w:tcBorders>
            <w:shd w:val="clear" w:color="auto" w:fill="auto"/>
            <w:vAlign w:val="center"/>
          </w:tcPr>
          <w:p w14:paraId="28E78873">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6</w:t>
            </w:r>
            <w:r>
              <w:rPr>
                <w:rFonts w:hint="eastAsia" w:eastAsia="仿宋_GB2312"/>
                <w:color w:val="auto"/>
                <w:sz w:val="21"/>
                <w:szCs w:val="21"/>
                <w:lang w:bidi="ar"/>
              </w:rPr>
              <w:t>6</w:t>
            </w:r>
          </w:p>
        </w:tc>
        <w:tc>
          <w:tcPr>
            <w:tcW w:w="270" w:type="pct"/>
            <w:tcBorders>
              <w:tl2br w:val="nil"/>
              <w:tr2bl w:val="nil"/>
            </w:tcBorders>
            <w:shd w:val="clear" w:color="auto" w:fill="auto"/>
            <w:vAlign w:val="center"/>
          </w:tcPr>
          <w:p w14:paraId="155DF28B">
            <w:pPr>
              <w:pStyle w:val="81"/>
              <w:spacing w:beforeAutospacing="0" w:afterAutospacing="0" w:line="320" w:lineRule="exact"/>
              <w:ind w:left="0" w:leftChars="0" w:right="0" w:rightChars="0"/>
              <w:jc w:val="center"/>
              <w:rPr>
                <w:rFonts w:ascii="Times New Roman" w:hAnsi="Times New Roman" w:eastAsia="仿宋_GB2312" w:cs="Times New Roman"/>
                <w:b/>
                <w:bCs/>
                <w:color w:val="auto"/>
                <w:kern w:val="0"/>
                <w:sz w:val="21"/>
                <w:szCs w:val="21"/>
                <w:lang w:val="en-US" w:eastAsia="zh-CN" w:bidi="ar"/>
              </w:rPr>
            </w:pPr>
            <w:r>
              <w:rPr>
                <w:rFonts w:eastAsia="仿宋_GB2312"/>
                <w:color w:val="auto"/>
                <w:sz w:val="21"/>
                <w:szCs w:val="21"/>
                <w:lang w:bidi="ar"/>
              </w:rPr>
              <w:t>全天</w:t>
            </w:r>
          </w:p>
        </w:tc>
        <w:tc>
          <w:tcPr>
            <w:tcW w:w="312" w:type="pct"/>
            <w:tcBorders>
              <w:tl2br w:val="nil"/>
              <w:tr2bl w:val="nil"/>
            </w:tcBorders>
            <w:shd w:val="clear" w:color="auto" w:fill="auto"/>
            <w:vAlign w:val="center"/>
          </w:tcPr>
          <w:p w14:paraId="211DCD1B">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20</w:t>
            </w:r>
          </w:p>
        </w:tc>
        <w:tc>
          <w:tcPr>
            <w:tcW w:w="262" w:type="pct"/>
            <w:tcBorders>
              <w:tl2br w:val="nil"/>
              <w:tr2bl w:val="nil"/>
            </w:tcBorders>
            <w:shd w:val="clear" w:color="auto" w:fill="auto"/>
            <w:vAlign w:val="center"/>
          </w:tcPr>
          <w:p w14:paraId="28B7079C">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46</w:t>
            </w:r>
          </w:p>
        </w:tc>
        <w:tc>
          <w:tcPr>
            <w:tcW w:w="288" w:type="pct"/>
            <w:tcBorders>
              <w:tl2br w:val="nil"/>
              <w:tr2bl w:val="nil"/>
            </w:tcBorders>
            <w:shd w:val="clear" w:color="auto" w:fill="auto"/>
            <w:vAlign w:val="center"/>
          </w:tcPr>
          <w:p w14:paraId="03005C18">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1</w:t>
            </w:r>
          </w:p>
        </w:tc>
        <w:tc>
          <w:tcPr>
            <w:tcW w:w="335" w:type="pct"/>
            <w:tcBorders>
              <w:tl2br w:val="nil"/>
              <w:tr2bl w:val="nil"/>
            </w:tcBorders>
            <w:shd w:val="clear" w:color="auto" w:fill="auto"/>
            <w:vAlign w:val="center"/>
          </w:tcPr>
          <w:p w14:paraId="66677E61">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hint="eastAsia" w:eastAsia="仿宋_GB2312" w:cs="Times New Roman"/>
                <w:color w:val="auto"/>
                <w:kern w:val="0"/>
                <w:sz w:val="21"/>
                <w:szCs w:val="21"/>
                <w:lang w:val="en-US" w:eastAsia="zh-CN" w:bidi="ar"/>
              </w:rPr>
              <w:t>新增</w:t>
            </w:r>
          </w:p>
        </w:tc>
      </w:tr>
      <w:tr w14:paraId="0FD194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195" w:type="pct"/>
            <w:tcBorders>
              <w:tl2br w:val="nil"/>
              <w:tr2bl w:val="nil"/>
            </w:tcBorders>
            <w:shd w:val="clear" w:color="auto" w:fill="auto"/>
            <w:vAlign w:val="center"/>
          </w:tcPr>
          <w:p w14:paraId="1131E133">
            <w:pPr>
              <w:pStyle w:val="81"/>
              <w:spacing w:beforeAutospacing="0" w:afterAutospacing="0" w:line="320" w:lineRule="exact"/>
              <w:jc w:val="center"/>
              <w:rPr>
                <w:rFonts w:hint="default" w:eastAsia="仿宋_GB2312"/>
                <w:color w:val="auto"/>
                <w:sz w:val="21"/>
                <w:szCs w:val="21"/>
                <w:lang w:val="en-US" w:eastAsia="zh-CN" w:bidi="ar"/>
              </w:rPr>
            </w:pPr>
            <w:r>
              <w:rPr>
                <w:rFonts w:hint="eastAsia" w:eastAsia="仿宋_GB2312"/>
                <w:color w:val="auto"/>
                <w:sz w:val="21"/>
                <w:szCs w:val="21"/>
                <w:lang w:val="en-US" w:eastAsia="zh-CN" w:bidi="ar"/>
              </w:rPr>
              <w:t>19</w:t>
            </w:r>
          </w:p>
        </w:tc>
        <w:tc>
          <w:tcPr>
            <w:tcW w:w="375" w:type="pct"/>
            <w:vMerge w:val="continue"/>
            <w:tcBorders>
              <w:tl2br w:val="nil"/>
              <w:tr2bl w:val="nil"/>
            </w:tcBorders>
            <w:shd w:val="clear" w:color="auto" w:fill="auto"/>
            <w:vAlign w:val="center"/>
          </w:tcPr>
          <w:p w14:paraId="0A7C4326">
            <w:pPr>
              <w:widowControl/>
              <w:jc w:val="center"/>
              <w:textAlignment w:val="center"/>
              <w:rPr>
                <w:rFonts w:hint="eastAsia" w:eastAsia="仿宋_GB2312"/>
                <w:color w:val="auto"/>
                <w:kern w:val="0"/>
                <w:szCs w:val="21"/>
                <w:lang w:val="en-US" w:eastAsia="zh-CN" w:bidi="ar"/>
              </w:rPr>
            </w:pPr>
          </w:p>
        </w:tc>
        <w:tc>
          <w:tcPr>
            <w:tcW w:w="493" w:type="pct"/>
            <w:vMerge w:val="restart"/>
            <w:tcBorders>
              <w:tl2br w:val="nil"/>
              <w:tr2bl w:val="nil"/>
            </w:tcBorders>
            <w:shd w:val="clear" w:color="auto" w:fill="auto"/>
            <w:vAlign w:val="center"/>
          </w:tcPr>
          <w:p w14:paraId="263D2F8D">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eastAsia" w:eastAsia="方正仿宋_GB2312" w:cs="Times New Roman"/>
                <w:color w:val="000000" w:themeColor="text1"/>
                <w:sz w:val="21"/>
                <w:szCs w:val="21"/>
                <w:lang w:val="en-US" w:eastAsia="zh-CN"/>
                <w14:textFill>
                  <w14:solidFill>
                    <w14:schemeClr w14:val="tx1"/>
                  </w14:solidFill>
                </w14:textFill>
              </w:rPr>
              <w:t>超重力精馏系列（</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真空泵组</w:t>
            </w:r>
            <w:r>
              <w:rPr>
                <w:rFonts w:hint="eastAsia" w:eastAsia="方正仿宋_GB2312" w:cs="Times New Roman"/>
                <w:color w:val="000000" w:themeColor="text1"/>
                <w:sz w:val="21"/>
                <w:szCs w:val="21"/>
                <w:lang w:val="en-US" w:eastAsia="zh-CN"/>
                <w14:textFill>
                  <w14:solidFill>
                    <w14:schemeClr w14:val="tx1"/>
                  </w14:solidFill>
                </w14:textFill>
              </w:rPr>
              <w:t>）</w:t>
            </w:r>
          </w:p>
        </w:tc>
        <w:tc>
          <w:tcPr>
            <w:tcW w:w="437" w:type="pct"/>
            <w:vMerge w:val="restart"/>
            <w:tcBorders>
              <w:tl2br w:val="nil"/>
              <w:tr2bl w:val="nil"/>
            </w:tcBorders>
            <w:shd w:val="clear" w:color="auto" w:fill="auto"/>
            <w:vAlign w:val="center"/>
          </w:tcPr>
          <w:p w14:paraId="44CEE59A">
            <w:pPr>
              <w:bidi w:val="0"/>
              <w:jc w:val="center"/>
              <w:rPr>
                <w:rFonts w:hint="default" w:ascii="Times New Roman" w:hAnsi="Times New Roman" w:eastAsia="方正仿宋_GB2312" w:cs="Times New Roman"/>
                <w:snapToGrid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Q=200L/S</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15kw+4kw</w:t>
            </w:r>
          </w:p>
        </w:tc>
        <w:tc>
          <w:tcPr>
            <w:tcW w:w="253" w:type="pct"/>
            <w:tcBorders>
              <w:tl2br w:val="nil"/>
              <w:tr2bl w:val="nil"/>
            </w:tcBorders>
            <w:shd w:val="clear" w:color="auto" w:fill="auto"/>
            <w:vAlign w:val="center"/>
          </w:tcPr>
          <w:p w14:paraId="6914FFFB">
            <w:pPr>
              <w:widowControl/>
              <w:jc w:val="center"/>
              <w:textAlignment w:val="center"/>
              <w:rPr>
                <w:rFonts w:hint="default" w:eastAsia="仿宋_GB2312"/>
                <w:color w:val="auto"/>
                <w:kern w:val="0"/>
                <w:szCs w:val="21"/>
                <w:lang w:val="en-US" w:eastAsia="zh-CN" w:bidi="ar"/>
              </w:rPr>
            </w:pPr>
            <w:r>
              <w:rPr>
                <w:rFonts w:hint="eastAsia" w:eastAsia="仿宋_GB2312"/>
                <w:color w:val="auto"/>
                <w:kern w:val="0"/>
                <w:szCs w:val="21"/>
                <w:lang w:val="en-US" w:eastAsia="zh-CN" w:bidi="ar"/>
              </w:rPr>
              <w:t>1</w:t>
            </w:r>
          </w:p>
        </w:tc>
        <w:tc>
          <w:tcPr>
            <w:tcW w:w="237" w:type="pct"/>
            <w:tcBorders>
              <w:tl2br w:val="nil"/>
              <w:tr2bl w:val="nil"/>
            </w:tcBorders>
            <w:shd w:val="clear" w:color="auto" w:fill="auto"/>
            <w:vAlign w:val="center"/>
          </w:tcPr>
          <w:p w14:paraId="53E2875E">
            <w:pPr>
              <w:pStyle w:val="163"/>
              <w:jc w:val="center"/>
              <w:rPr>
                <w:rFonts w:hint="default" w:ascii="Times New Roman" w:hAnsi="Times New Roman" w:eastAsia="仿宋_GB2312" w:cs="Times New Roman"/>
                <w:color w:val="auto"/>
                <w:kern w:val="0"/>
                <w:sz w:val="21"/>
                <w:szCs w:val="21"/>
                <w:lang w:val="en-US" w:eastAsia="zh-CN" w:bidi="ar"/>
              </w:rPr>
            </w:pPr>
            <w:r>
              <w:rPr>
                <w:rFonts w:hint="eastAsia" w:ascii="Times New Roman"/>
                <w:color w:val="auto"/>
                <w:kern w:val="0"/>
                <w:szCs w:val="21"/>
                <w:lang w:val="en-US" w:eastAsia="zh-CN" w:bidi="ar"/>
              </w:rPr>
              <w:t>179</w:t>
            </w:r>
          </w:p>
        </w:tc>
        <w:tc>
          <w:tcPr>
            <w:tcW w:w="220" w:type="pct"/>
            <w:tcBorders>
              <w:tl2br w:val="nil"/>
              <w:tr2bl w:val="nil"/>
            </w:tcBorders>
            <w:shd w:val="clear" w:color="auto" w:fill="auto"/>
            <w:vAlign w:val="center"/>
          </w:tcPr>
          <w:p w14:paraId="38C1B8AE">
            <w:pPr>
              <w:pStyle w:val="163"/>
              <w:jc w:val="center"/>
              <w:rPr>
                <w:rFonts w:hint="default" w:ascii="Times New Roman" w:hAnsi="Times New Roman" w:eastAsia="仿宋_GB2312" w:cs="Times New Roman"/>
                <w:color w:val="auto"/>
                <w:kern w:val="0"/>
                <w:sz w:val="21"/>
                <w:szCs w:val="21"/>
                <w:lang w:val="en-US" w:eastAsia="zh-CN" w:bidi="ar"/>
              </w:rPr>
            </w:pPr>
            <w:r>
              <w:rPr>
                <w:rFonts w:hint="eastAsia" w:ascii="Times New Roman"/>
                <w:color w:val="auto"/>
                <w:kern w:val="0"/>
                <w:szCs w:val="21"/>
                <w:lang w:val="en-US" w:eastAsia="zh-CN" w:bidi="ar"/>
              </w:rPr>
              <w:t>78</w:t>
            </w:r>
          </w:p>
        </w:tc>
        <w:tc>
          <w:tcPr>
            <w:tcW w:w="216" w:type="pct"/>
            <w:tcBorders>
              <w:tl2br w:val="nil"/>
              <w:tr2bl w:val="nil"/>
            </w:tcBorders>
            <w:shd w:val="clear" w:color="auto" w:fill="auto"/>
            <w:vAlign w:val="center"/>
          </w:tcPr>
          <w:p w14:paraId="53EF579A">
            <w:pPr>
              <w:pStyle w:val="163"/>
              <w:jc w:val="center"/>
              <w:rPr>
                <w:rFonts w:hint="default" w:ascii="Times New Roman" w:hAnsi="Times New Roman" w:eastAsia="仿宋_GB2312" w:cs="Times New Roman"/>
                <w:color w:val="auto"/>
                <w:kern w:val="0"/>
                <w:sz w:val="21"/>
                <w:szCs w:val="21"/>
                <w:lang w:val="en-US" w:eastAsia="zh-CN" w:bidi="ar"/>
              </w:rPr>
            </w:pPr>
            <w:r>
              <w:rPr>
                <w:rFonts w:hint="eastAsia" w:ascii="Times New Roman"/>
                <w:color w:val="auto"/>
                <w:kern w:val="0"/>
                <w:szCs w:val="21"/>
                <w:lang w:val="en-US" w:eastAsia="zh-CN" w:bidi="ar"/>
              </w:rPr>
              <w:t>0.5</w:t>
            </w:r>
          </w:p>
        </w:tc>
        <w:tc>
          <w:tcPr>
            <w:tcW w:w="260" w:type="pct"/>
            <w:tcBorders>
              <w:tl2br w:val="nil"/>
              <w:tr2bl w:val="nil"/>
            </w:tcBorders>
            <w:shd w:val="clear" w:color="auto" w:fill="auto"/>
            <w:vAlign w:val="center"/>
          </w:tcPr>
          <w:p w14:paraId="697DFA75">
            <w:pPr>
              <w:pStyle w:val="81"/>
              <w:spacing w:beforeAutospacing="0" w:afterAutospacing="0" w:line="320" w:lineRule="exact"/>
              <w:ind w:left="0" w:leftChars="0" w:right="0" w:rightChars="0"/>
              <w:jc w:val="center"/>
              <w:rPr>
                <w:rFonts w:ascii="Times New Roman" w:hAnsi="Times New Roman" w:eastAsia="仿宋_GB2312" w:cs="Times New Roman"/>
                <w:color w:val="FF0000"/>
                <w:kern w:val="0"/>
                <w:sz w:val="21"/>
                <w:szCs w:val="21"/>
                <w:lang w:val="en-US" w:eastAsia="zh-CN" w:bidi="ar"/>
              </w:rPr>
            </w:pPr>
            <w:r>
              <w:rPr>
                <w:rFonts w:hint="eastAsia" w:ascii="Times New Roman"/>
                <w:color w:val="auto"/>
                <w:kern w:val="0"/>
                <w:szCs w:val="21"/>
                <w:lang w:val="en-US" w:eastAsia="zh-CN" w:bidi="ar"/>
              </w:rPr>
              <w:t>80</w:t>
            </w:r>
          </w:p>
        </w:tc>
        <w:tc>
          <w:tcPr>
            <w:tcW w:w="287" w:type="pct"/>
            <w:vMerge w:val="continue"/>
            <w:tcBorders>
              <w:tl2br w:val="nil"/>
              <w:tr2bl w:val="nil"/>
            </w:tcBorders>
            <w:shd w:val="clear" w:color="auto" w:fill="auto"/>
            <w:vAlign w:val="center"/>
          </w:tcPr>
          <w:p w14:paraId="6C60FD1B">
            <w:pPr>
              <w:pStyle w:val="81"/>
              <w:spacing w:beforeAutospacing="0" w:afterAutospacing="0" w:line="320" w:lineRule="exact"/>
              <w:jc w:val="center"/>
              <w:rPr>
                <w:rFonts w:eastAsia="仿宋_GB2312"/>
                <w:color w:val="FF0000"/>
                <w:sz w:val="21"/>
                <w:szCs w:val="21"/>
                <w:lang w:bidi="ar"/>
              </w:rPr>
            </w:pPr>
          </w:p>
        </w:tc>
        <w:tc>
          <w:tcPr>
            <w:tcW w:w="270" w:type="pct"/>
            <w:tcBorders>
              <w:tl2br w:val="nil"/>
              <w:tr2bl w:val="nil"/>
            </w:tcBorders>
            <w:shd w:val="clear" w:color="auto" w:fill="auto"/>
            <w:vAlign w:val="center"/>
          </w:tcPr>
          <w:p w14:paraId="0D339BA9">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rPr>
              <w:t>5</w:t>
            </w:r>
          </w:p>
        </w:tc>
        <w:tc>
          <w:tcPr>
            <w:tcW w:w="282" w:type="pct"/>
            <w:tcBorders>
              <w:tl2br w:val="nil"/>
              <w:tr2bl w:val="nil"/>
            </w:tcBorders>
            <w:shd w:val="clear" w:color="auto" w:fill="auto"/>
            <w:vAlign w:val="center"/>
          </w:tcPr>
          <w:p w14:paraId="4A39AA84">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6</w:t>
            </w:r>
            <w:r>
              <w:rPr>
                <w:rFonts w:hint="eastAsia" w:eastAsia="仿宋_GB2312"/>
                <w:color w:val="auto"/>
                <w:sz w:val="21"/>
                <w:szCs w:val="21"/>
                <w:lang w:bidi="ar"/>
              </w:rPr>
              <w:t>6</w:t>
            </w:r>
          </w:p>
        </w:tc>
        <w:tc>
          <w:tcPr>
            <w:tcW w:w="270" w:type="pct"/>
            <w:tcBorders>
              <w:tl2br w:val="nil"/>
              <w:tr2bl w:val="nil"/>
            </w:tcBorders>
            <w:shd w:val="clear" w:color="auto" w:fill="auto"/>
            <w:vAlign w:val="center"/>
          </w:tcPr>
          <w:p w14:paraId="24BCB5E3">
            <w:pPr>
              <w:pStyle w:val="81"/>
              <w:spacing w:beforeAutospacing="0" w:afterAutospacing="0" w:line="320" w:lineRule="exact"/>
              <w:ind w:left="0" w:leftChars="0" w:right="0" w:rightChars="0"/>
              <w:jc w:val="center"/>
              <w:rPr>
                <w:rFonts w:ascii="Times New Roman" w:hAnsi="Times New Roman" w:eastAsia="仿宋_GB2312" w:cs="Times New Roman"/>
                <w:b/>
                <w:bCs/>
                <w:color w:val="auto"/>
                <w:kern w:val="0"/>
                <w:sz w:val="21"/>
                <w:szCs w:val="21"/>
                <w:lang w:val="en-US" w:eastAsia="zh-CN" w:bidi="ar"/>
              </w:rPr>
            </w:pPr>
            <w:r>
              <w:rPr>
                <w:rFonts w:eastAsia="仿宋_GB2312"/>
                <w:color w:val="auto"/>
                <w:sz w:val="21"/>
                <w:szCs w:val="21"/>
                <w:lang w:bidi="ar"/>
              </w:rPr>
              <w:t>全天</w:t>
            </w:r>
          </w:p>
        </w:tc>
        <w:tc>
          <w:tcPr>
            <w:tcW w:w="312" w:type="pct"/>
            <w:tcBorders>
              <w:tl2br w:val="nil"/>
              <w:tr2bl w:val="nil"/>
            </w:tcBorders>
            <w:shd w:val="clear" w:color="auto" w:fill="auto"/>
            <w:vAlign w:val="center"/>
          </w:tcPr>
          <w:p w14:paraId="4BD9FB3F">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20</w:t>
            </w:r>
          </w:p>
        </w:tc>
        <w:tc>
          <w:tcPr>
            <w:tcW w:w="262" w:type="pct"/>
            <w:tcBorders>
              <w:tl2br w:val="nil"/>
              <w:tr2bl w:val="nil"/>
            </w:tcBorders>
            <w:shd w:val="clear" w:color="auto" w:fill="auto"/>
            <w:vAlign w:val="center"/>
          </w:tcPr>
          <w:p w14:paraId="5FB32003">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46</w:t>
            </w:r>
          </w:p>
        </w:tc>
        <w:tc>
          <w:tcPr>
            <w:tcW w:w="288" w:type="pct"/>
            <w:tcBorders>
              <w:tl2br w:val="nil"/>
              <w:tr2bl w:val="nil"/>
            </w:tcBorders>
            <w:shd w:val="clear" w:color="auto" w:fill="auto"/>
            <w:vAlign w:val="center"/>
          </w:tcPr>
          <w:p w14:paraId="551C26C2">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1</w:t>
            </w:r>
          </w:p>
        </w:tc>
        <w:tc>
          <w:tcPr>
            <w:tcW w:w="335" w:type="pct"/>
            <w:tcBorders>
              <w:tl2br w:val="nil"/>
              <w:tr2bl w:val="nil"/>
            </w:tcBorders>
            <w:shd w:val="clear" w:color="auto" w:fill="auto"/>
            <w:vAlign w:val="center"/>
          </w:tcPr>
          <w:p w14:paraId="1B05674C">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hint="eastAsia" w:eastAsia="仿宋_GB2312" w:cs="Times New Roman"/>
                <w:color w:val="auto"/>
                <w:kern w:val="0"/>
                <w:sz w:val="21"/>
                <w:szCs w:val="21"/>
                <w:lang w:val="en-US" w:eastAsia="zh-CN" w:bidi="ar"/>
              </w:rPr>
              <w:t>新增</w:t>
            </w:r>
          </w:p>
        </w:tc>
      </w:tr>
      <w:tr w14:paraId="56219F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195" w:type="pct"/>
            <w:tcBorders>
              <w:tl2br w:val="nil"/>
              <w:tr2bl w:val="nil"/>
            </w:tcBorders>
            <w:shd w:val="clear" w:color="auto" w:fill="auto"/>
            <w:vAlign w:val="center"/>
          </w:tcPr>
          <w:p w14:paraId="47123F6E">
            <w:pPr>
              <w:pStyle w:val="81"/>
              <w:spacing w:beforeAutospacing="0" w:afterAutospacing="0" w:line="320" w:lineRule="exact"/>
              <w:jc w:val="center"/>
              <w:rPr>
                <w:rFonts w:hint="default" w:eastAsia="仿宋_GB2312"/>
                <w:color w:val="auto"/>
                <w:sz w:val="21"/>
                <w:szCs w:val="21"/>
                <w:lang w:val="en-US" w:eastAsia="zh-CN" w:bidi="ar"/>
              </w:rPr>
            </w:pPr>
            <w:r>
              <w:rPr>
                <w:rFonts w:hint="eastAsia" w:eastAsia="仿宋_GB2312"/>
                <w:color w:val="auto"/>
                <w:sz w:val="21"/>
                <w:szCs w:val="21"/>
                <w:lang w:val="en-US" w:eastAsia="zh-CN" w:bidi="ar"/>
              </w:rPr>
              <w:t>20</w:t>
            </w:r>
          </w:p>
        </w:tc>
        <w:tc>
          <w:tcPr>
            <w:tcW w:w="375" w:type="pct"/>
            <w:vMerge w:val="continue"/>
            <w:tcBorders>
              <w:tl2br w:val="nil"/>
              <w:tr2bl w:val="nil"/>
            </w:tcBorders>
            <w:shd w:val="clear" w:color="auto" w:fill="auto"/>
            <w:vAlign w:val="center"/>
          </w:tcPr>
          <w:p w14:paraId="49E23B96">
            <w:pPr>
              <w:widowControl/>
              <w:jc w:val="center"/>
              <w:textAlignment w:val="center"/>
              <w:rPr>
                <w:rFonts w:hint="eastAsia" w:eastAsia="仿宋_GB2312"/>
                <w:color w:val="auto"/>
                <w:kern w:val="0"/>
                <w:szCs w:val="21"/>
                <w:lang w:val="en-US" w:eastAsia="zh-CN" w:bidi="ar"/>
              </w:rPr>
            </w:pPr>
          </w:p>
        </w:tc>
        <w:tc>
          <w:tcPr>
            <w:tcW w:w="493" w:type="pct"/>
            <w:vMerge w:val="continue"/>
            <w:tcBorders>
              <w:tl2br w:val="nil"/>
              <w:tr2bl w:val="nil"/>
            </w:tcBorders>
            <w:shd w:val="clear" w:color="auto" w:fill="auto"/>
            <w:vAlign w:val="center"/>
          </w:tcPr>
          <w:p w14:paraId="2FE18A2A">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p>
        </w:tc>
        <w:tc>
          <w:tcPr>
            <w:tcW w:w="437" w:type="pct"/>
            <w:vMerge w:val="continue"/>
            <w:tcBorders>
              <w:tl2br w:val="nil"/>
              <w:tr2bl w:val="nil"/>
            </w:tcBorders>
            <w:shd w:val="clear" w:color="auto" w:fill="auto"/>
            <w:vAlign w:val="center"/>
          </w:tcPr>
          <w:p w14:paraId="3C9712C7">
            <w:pPr>
              <w:bidi w:val="0"/>
              <w:jc w:val="center"/>
              <w:rPr>
                <w:rFonts w:hint="default" w:ascii="Times New Roman" w:hAnsi="Times New Roman" w:eastAsia="方正仿宋_GB2312" w:cs="Times New Roman"/>
                <w:snapToGrid w:val="0"/>
                <w:color w:val="000000" w:themeColor="text1"/>
                <w:kern w:val="0"/>
                <w:sz w:val="21"/>
                <w:szCs w:val="21"/>
                <w:lang w:val="en-US" w:eastAsia="zh-CN" w:bidi="ar-SA"/>
                <w14:textFill>
                  <w14:solidFill>
                    <w14:schemeClr w14:val="tx1"/>
                  </w14:solidFill>
                </w14:textFill>
              </w:rPr>
            </w:pPr>
          </w:p>
        </w:tc>
        <w:tc>
          <w:tcPr>
            <w:tcW w:w="253" w:type="pct"/>
            <w:tcBorders>
              <w:tl2br w:val="nil"/>
              <w:tr2bl w:val="nil"/>
            </w:tcBorders>
            <w:shd w:val="clear" w:color="auto" w:fill="auto"/>
            <w:vAlign w:val="center"/>
          </w:tcPr>
          <w:p w14:paraId="167EE2F3">
            <w:pPr>
              <w:widowControl/>
              <w:jc w:val="center"/>
              <w:textAlignment w:val="center"/>
              <w:rPr>
                <w:rFonts w:hint="default" w:eastAsia="仿宋_GB2312"/>
                <w:color w:val="auto"/>
                <w:kern w:val="0"/>
                <w:szCs w:val="21"/>
                <w:lang w:val="en-US" w:eastAsia="zh-CN" w:bidi="ar"/>
              </w:rPr>
            </w:pPr>
            <w:r>
              <w:rPr>
                <w:rFonts w:hint="eastAsia" w:eastAsia="仿宋_GB2312"/>
                <w:color w:val="auto"/>
                <w:kern w:val="0"/>
                <w:szCs w:val="21"/>
                <w:lang w:val="en-US" w:eastAsia="zh-CN" w:bidi="ar"/>
              </w:rPr>
              <w:t>1</w:t>
            </w:r>
          </w:p>
        </w:tc>
        <w:tc>
          <w:tcPr>
            <w:tcW w:w="237" w:type="pct"/>
            <w:tcBorders>
              <w:tl2br w:val="nil"/>
              <w:tr2bl w:val="nil"/>
            </w:tcBorders>
            <w:shd w:val="clear" w:color="auto" w:fill="auto"/>
            <w:vAlign w:val="center"/>
          </w:tcPr>
          <w:p w14:paraId="23538132">
            <w:pPr>
              <w:pStyle w:val="163"/>
              <w:jc w:val="center"/>
              <w:rPr>
                <w:rFonts w:hint="default" w:ascii="Times New Roman" w:hAnsi="Times New Roman" w:eastAsia="仿宋_GB2312" w:cs="Times New Roman"/>
                <w:color w:val="auto"/>
                <w:kern w:val="0"/>
                <w:sz w:val="21"/>
                <w:szCs w:val="21"/>
                <w:lang w:val="en-US" w:eastAsia="zh-CN" w:bidi="ar"/>
              </w:rPr>
            </w:pPr>
            <w:r>
              <w:rPr>
                <w:rFonts w:hint="eastAsia" w:ascii="Times New Roman"/>
                <w:color w:val="auto"/>
                <w:kern w:val="0"/>
                <w:szCs w:val="21"/>
                <w:lang w:val="en-US" w:eastAsia="zh-CN" w:bidi="ar"/>
              </w:rPr>
              <w:t>179</w:t>
            </w:r>
          </w:p>
        </w:tc>
        <w:tc>
          <w:tcPr>
            <w:tcW w:w="220" w:type="pct"/>
            <w:tcBorders>
              <w:tl2br w:val="nil"/>
              <w:tr2bl w:val="nil"/>
            </w:tcBorders>
            <w:shd w:val="clear" w:color="auto" w:fill="auto"/>
            <w:vAlign w:val="center"/>
          </w:tcPr>
          <w:p w14:paraId="752F6482">
            <w:pPr>
              <w:pStyle w:val="163"/>
              <w:jc w:val="center"/>
              <w:rPr>
                <w:rFonts w:hint="default" w:ascii="Times New Roman" w:hAnsi="Times New Roman" w:eastAsia="仿宋_GB2312" w:cs="Times New Roman"/>
                <w:color w:val="auto"/>
                <w:kern w:val="0"/>
                <w:sz w:val="21"/>
                <w:szCs w:val="21"/>
                <w:lang w:val="en-US" w:eastAsia="zh-CN" w:bidi="ar"/>
              </w:rPr>
            </w:pPr>
            <w:r>
              <w:rPr>
                <w:rFonts w:hint="eastAsia" w:ascii="Times New Roman"/>
                <w:color w:val="auto"/>
                <w:kern w:val="0"/>
                <w:szCs w:val="21"/>
                <w:lang w:val="en-US" w:eastAsia="zh-CN" w:bidi="ar"/>
              </w:rPr>
              <w:t>78</w:t>
            </w:r>
          </w:p>
        </w:tc>
        <w:tc>
          <w:tcPr>
            <w:tcW w:w="216" w:type="pct"/>
            <w:tcBorders>
              <w:tl2br w:val="nil"/>
              <w:tr2bl w:val="nil"/>
            </w:tcBorders>
            <w:shd w:val="clear" w:color="auto" w:fill="auto"/>
            <w:vAlign w:val="center"/>
          </w:tcPr>
          <w:p w14:paraId="021DB206">
            <w:pPr>
              <w:pStyle w:val="163"/>
              <w:jc w:val="center"/>
              <w:rPr>
                <w:rFonts w:hint="default" w:ascii="Times New Roman" w:hAnsi="Times New Roman" w:eastAsia="仿宋_GB2312" w:cs="Times New Roman"/>
                <w:color w:val="auto"/>
                <w:kern w:val="0"/>
                <w:sz w:val="21"/>
                <w:szCs w:val="21"/>
                <w:lang w:val="en-US" w:eastAsia="zh-CN" w:bidi="ar"/>
              </w:rPr>
            </w:pPr>
            <w:r>
              <w:rPr>
                <w:rFonts w:hint="eastAsia" w:ascii="Times New Roman"/>
                <w:color w:val="auto"/>
                <w:kern w:val="0"/>
                <w:szCs w:val="21"/>
                <w:lang w:val="en-US" w:eastAsia="zh-CN" w:bidi="ar"/>
              </w:rPr>
              <w:t>0.5</w:t>
            </w:r>
          </w:p>
        </w:tc>
        <w:tc>
          <w:tcPr>
            <w:tcW w:w="260" w:type="pct"/>
            <w:tcBorders>
              <w:tl2br w:val="nil"/>
              <w:tr2bl w:val="nil"/>
            </w:tcBorders>
            <w:shd w:val="clear" w:color="auto" w:fill="auto"/>
            <w:vAlign w:val="center"/>
          </w:tcPr>
          <w:p w14:paraId="1ABF8C10">
            <w:pPr>
              <w:pStyle w:val="81"/>
              <w:spacing w:beforeAutospacing="0" w:afterAutospacing="0" w:line="320" w:lineRule="exact"/>
              <w:ind w:left="0" w:leftChars="0" w:right="0" w:rightChars="0"/>
              <w:jc w:val="center"/>
              <w:rPr>
                <w:rFonts w:ascii="Times New Roman" w:hAnsi="Times New Roman" w:eastAsia="仿宋_GB2312" w:cs="Times New Roman"/>
                <w:color w:val="FF0000"/>
                <w:kern w:val="0"/>
                <w:sz w:val="21"/>
                <w:szCs w:val="21"/>
                <w:lang w:val="en-US" w:eastAsia="zh-CN" w:bidi="ar"/>
              </w:rPr>
            </w:pPr>
            <w:r>
              <w:rPr>
                <w:rFonts w:hint="eastAsia" w:ascii="Times New Roman"/>
                <w:color w:val="auto"/>
                <w:kern w:val="0"/>
                <w:szCs w:val="21"/>
                <w:lang w:val="en-US" w:eastAsia="zh-CN" w:bidi="ar"/>
              </w:rPr>
              <w:t>80</w:t>
            </w:r>
          </w:p>
        </w:tc>
        <w:tc>
          <w:tcPr>
            <w:tcW w:w="287" w:type="pct"/>
            <w:vMerge w:val="continue"/>
            <w:tcBorders>
              <w:tl2br w:val="nil"/>
              <w:tr2bl w:val="nil"/>
            </w:tcBorders>
            <w:shd w:val="clear" w:color="auto" w:fill="auto"/>
            <w:vAlign w:val="center"/>
          </w:tcPr>
          <w:p w14:paraId="471624ED">
            <w:pPr>
              <w:pStyle w:val="81"/>
              <w:spacing w:beforeAutospacing="0" w:afterAutospacing="0" w:line="320" w:lineRule="exact"/>
              <w:jc w:val="center"/>
              <w:rPr>
                <w:rFonts w:eastAsia="仿宋_GB2312"/>
                <w:color w:val="FF0000"/>
                <w:sz w:val="21"/>
                <w:szCs w:val="21"/>
                <w:lang w:bidi="ar"/>
              </w:rPr>
            </w:pPr>
          </w:p>
        </w:tc>
        <w:tc>
          <w:tcPr>
            <w:tcW w:w="270" w:type="pct"/>
            <w:tcBorders>
              <w:tl2br w:val="nil"/>
              <w:tr2bl w:val="nil"/>
            </w:tcBorders>
            <w:shd w:val="clear" w:color="auto" w:fill="auto"/>
            <w:vAlign w:val="center"/>
          </w:tcPr>
          <w:p w14:paraId="4D7B5E00">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rPr>
              <w:t>5</w:t>
            </w:r>
          </w:p>
        </w:tc>
        <w:tc>
          <w:tcPr>
            <w:tcW w:w="282" w:type="pct"/>
            <w:tcBorders>
              <w:tl2br w:val="nil"/>
              <w:tr2bl w:val="nil"/>
            </w:tcBorders>
            <w:shd w:val="clear" w:color="auto" w:fill="auto"/>
            <w:vAlign w:val="center"/>
          </w:tcPr>
          <w:p w14:paraId="79FA59ED">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6</w:t>
            </w:r>
            <w:r>
              <w:rPr>
                <w:rFonts w:hint="eastAsia" w:eastAsia="仿宋_GB2312"/>
                <w:color w:val="auto"/>
                <w:sz w:val="21"/>
                <w:szCs w:val="21"/>
                <w:lang w:bidi="ar"/>
              </w:rPr>
              <w:t>6</w:t>
            </w:r>
          </w:p>
        </w:tc>
        <w:tc>
          <w:tcPr>
            <w:tcW w:w="270" w:type="pct"/>
            <w:tcBorders>
              <w:tl2br w:val="nil"/>
              <w:tr2bl w:val="nil"/>
            </w:tcBorders>
            <w:shd w:val="clear" w:color="auto" w:fill="auto"/>
            <w:vAlign w:val="center"/>
          </w:tcPr>
          <w:p w14:paraId="63EBFD2F">
            <w:pPr>
              <w:pStyle w:val="81"/>
              <w:spacing w:beforeAutospacing="0" w:afterAutospacing="0" w:line="320" w:lineRule="exact"/>
              <w:ind w:left="0" w:leftChars="0" w:right="0" w:rightChars="0"/>
              <w:jc w:val="center"/>
              <w:rPr>
                <w:rFonts w:ascii="Times New Roman" w:hAnsi="Times New Roman" w:eastAsia="仿宋_GB2312" w:cs="Times New Roman"/>
                <w:b/>
                <w:bCs/>
                <w:color w:val="auto"/>
                <w:kern w:val="0"/>
                <w:sz w:val="21"/>
                <w:szCs w:val="21"/>
                <w:lang w:val="en-US" w:eastAsia="zh-CN" w:bidi="ar"/>
              </w:rPr>
            </w:pPr>
            <w:r>
              <w:rPr>
                <w:rFonts w:eastAsia="仿宋_GB2312"/>
                <w:color w:val="auto"/>
                <w:sz w:val="21"/>
                <w:szCs w:val="21"/>
                <w:lang w:bidi="ar"/>
              </w:rPr>
              <w:t>全天</w:t>
            </w:r>
          </w:p>
        </w:tc>
        <w:tc>
          <w:tcPr>
            <w:tcW w:w="312" w:type="pct"/>
            <w:tcBorders>
              <w:tl2br w:val="nil"/>
              <w:tr2bl w:val="nil"/>
            </w:tcBorders>
            <w:shd w:val="clear" w:color="auto" w:fill="auto"/>
            <w:vAlign w:val="center"/>
          </w:tcPr>
          <w:p w14:paraId="5D0039AB">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20</w:t>
            </w:r>
          </w:p>
        </w:tc>
        <w:tc>
          <w:tcPr>
            <w:tcW w:w="262" w:type="pct"/>
            <w:tcBorders>
              <w:tl2br w:val="nil"/>
              <w:tr2bl w:val="nil"/>
            </w:tcBorders>
            <w:shd w:val="clear" w:color="auto" w:fill="auto"/>
            <w:vAlign w:val="center"/>
          </w:tcPr>
          <w:p w14:paraId="562758F0">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46</w:t>
            </w:r>
          </w:p>
        </w:tc>
        <w:tc>
          <w:tcPr>
            <w:tcW w:w="288" w:type="pct"/>
            <w:tcBorders>
              <w:tl2br w:val="nil"/>
              <w:tr2bl w:val="nil"/>
            </w:tcBorders>
            <w:shd w:val="clear" w:color="auto" w:fill="auto"/>
            <w:vAlign w:val="center"/>
          </w:tcPr>
          <w:p w14:paraId="6DBD3414">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1</w:t>
            </w:r>
          </w:p>
        </w:tc>
        <w:tc>
          <w:tcPr>
            <w:tcW w:w="335" w:type="pct"/>
            <w:tcBorders>
              <w:tl2br w:val="nil"/>
              <w:tr2bl w:val="nil"/>
            </w:tcBorders>
            <w:shd w:val="clear" w:color="auto" w:fill="auto"/>
            <w:vAlign w:val="center"/>
          </w:tcPr>
          <w:p w14:paraId="7689F73D">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hint="eastAsia" w:eastAsia="仿宋_GB2312" w:cs="Times New Roman"/>
                <w:color w:val="auto"/>
                <w:kern w:val="0"/>
                <w:sz w:val="21"/>
                <w:szCs w:val="21"/>
                <w:lang w:val="en-US" w:eastAsia="zh-CN" w:bidi="ar"/>
              </w:rPr>
              <w:t>新增</w:t>
            </w:r>
          </w:p>
        </w:tc>
      </w:tr>
      <w:tr w14:paraId="3D3D2F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195" w:type="pct"/>
            <w:tcBorders>
              <w:tl2br w:val="nil"/>
              <w:tr2bl w:val="nil"/>
            </w:tcBorders>
            <w:shd w:val="clear" w:color="auto" w:fill="auto"/>
            <w:vAlign w:val="center"/>
          </w:tcPr>
          <w:p w14:paraId="5575B7F1">
            <w:pPr>
              <w:pStyle w:val="81"/>
              <w:spacing w:beforeAutospacing="0" w:afterAutospacing="0" w:line="320" w:lineRule="exact"/>
              <w:jc w:val="center"/>
              <w:rPr>
                <w:rFonts w:hint="default" w:eastAsia="仿宋_GB2312"/>
                <w:color w:val="auto"/>
                <w:sz w:val="21"/>
                <w:szCs w:val="21"/>
                <w:lang w:val="en-US" w:eastAsia="zh-CN" w:bidi="ar"/>
              </w:rPr>
            </w:pPr>
            <w:r>
              <w:rPr>
                <w:rFonts w:hint="eastAsia" w:eastAsia="仿宋_GB2312"/>
                <w:color w:val="auto"/>
                <w:sz w:val="21"/>
                <w:szCs w:val="21"/>
                <w:lang w:val="en-US" w:eastAsia="zh-CN" w:bidi="ar"/>
              </w:rPr>
              <w:t>21</w:t>
            </w:r>
          </w:p>
        </w:tc>
        <w:tc>
          <w:tcPr>
            <w:tcW w:w="375" w:type="pct"/>
            <w:vMerge w:val="continue"/>
            <w:tcBorders>
              <w:tl2br w:val="nil"/>
              <w:tr2bl w:val="nil"/>
            </w:tcBorders>
            <w:shd w:val="clear" w:color="auto" w:fill="auto"/>
            <w:vAlign w:val="center"/>
          </w:tcPr>
          <w:p w14:paraId="76662FFB">
            <w:pPr>
              <w:widowControl/>
              <w:jc w:val="center"/>
              <w:textAlignment w:val="center"/>
              <w:rPr>
                <w:rFonts w:hint="eastAsia" w:eastAsia="仿宋_GB2312"/>
                <w:color w:val="auto"/>
                <w:kern w:val="0"/>
                <w:szCs w:val="21"/>
                <w:lang w:val="en-US" w:eastAsia="zh-CN" w:bidi="ar"/>
              </w:rPr>
            </w:pPr>
          </w:p>
        </w:tc>
        <w:tc>
          <w:tcPr>
            <w:tcW w:w="493" w:type="pct"/>
            <w:vMerge w:val="continue"/>
            <w:tcBorders>
              <w:tl2br w:val="nil"/>
              <w:tr2bl w:val="nil"/>
            </w:tcBorders>
            <w:shd w:val="clear" w:color="auto" w:fill="auto"/>
            <w:vAlign w:val="center"/>
          </w:tcPr>
          <w:p w14:paraId="5B0B22FD">
            <w:pPr>
              <w:bidi w:val="0"/>
              <w:jc w:val="center"/>
              <w:rPr>
                <w:rFonts w:hint="default" w:ascii="Times New Roman" w:hAnsi="Times New Roman" w:eastAsia="方正仿宋_GB2312" w:cs="Times New Roman"/>
                <w:color w:val="auto"/>
                <w:sz w:val="21"/>
                <w:szCs w:val="21"/>
                <w:lang w:val="en-US" w:eastAsia="zh-CN"/>
              </w:rPr>
            </w:pPr>
          </w:p>
        </w:tc>
        <w:tc>
          <w:tcPr>
            <w:tcW w:w="437" w:type="pct"/>
            <w:vMerge w:val="continue"/>
            <w:tcBorders>
              <w:tl2br w:val="nil"/>
              <w:tr2bl w:val="nil"/>
            </w:tcBorders>
            <w:shd w:val="clear" w:color="auto" w:fill="auto"/>
            <w:vAlign w:val="center"/>
          </w:tcPr>
          <w:p w14:paraId="055B115C">
            <w:pPr>
              <w:bidi w:val="0"/>
              <w:jc w:val="center"/>
              <w:rPr>
                <w:rFonts w:hint="default" w:ascii="Times New Roman" w:hAnsi="Times New Roman" w:eastAsia="方正仿宋_GB2312" w:cs="Times New Roman"/>
                <w:color w:val="auto"/>
                <w:sz w:val="21"/>
                <w:szCs w:val="21"/>
                <w:lang w:val="en-US" w:eastAsia="zh-CN"/>
              </w:rPr>
            </w:pPr>
          </w:p>
        </w:tc>
        <w:tc>
          <w:tcPr>
            <w:tcW w:w="253" w:type="pct"/>
            <w:tcBorders>
              <w:tl2br w:val="nil"/>
              <w:tr2bl w:val="nil"/>
            </w:tcBorders>
            <w:shd w:val="clear" w:color="auto" w:fill="auto"/>
            <w:vAlign w:val="center"/>
          </w:tcPr>
          <w:p w14:paraId="7CCA0E4B">
            <w:pPr>
              <w:widowControl/>
              <w:jc w:val="center"/>
              <w:textAlignment w:val="center"/>
              <w:rPr>
                <w:rFonts w:hint="eastAsia" w:eastAsia="仿宋_GB2312"/>
                <w:color w:val="auto"/>
                <w:kern w:val="0"/>
                <w:szCs w:val="21"/>
                <w:lang w:val="en-US" w:eastAsia="zh-CN" w:bidi="ar"/>
              </w:rPr>
            </w:pPr>
            <w:r>
              <w:rPr>
                <w:rFonts w:hint="eastAsia" w:eastAsia="仿宋_GB2312"/>
                <w:color w:val="auto"/>
                <w:kern w:val="0"/>
                <w:szCs w:val="21"/>
                <w:lang w:val="en-US" w:eastAsia="zh-CN" w:bidi="ar"/>
              </w:rPr>
              <w:t>1</w:t>
            </w:r>
          </w:p>
        </w:tc>
        <w:tc>
          <w:tcPr>
            <w:tcW w:w="237" w:type="pct"/>
            <w:tcBorders>
              <w:tl2br w:val="nil"/>
              <w:tr2bl w:val="nil"/>
            </w:tcBorders>
            <w:shd w:val="clear" w:color="auto" w:fill="auto"/>
            <w:vAlign w:val="center"/>
          </w:tcPr>
          <w:p w14:paraId="1673B499">
            <w:pPr>
              <w:pStyle w:val="163"/>
              <w:jc w:val="center"/>
              <w:rPr>
                <w:rFonts w:hint="default" w:ascii="Times New Roman" w:hAnsi="Times New Roman" w:eastAsia="仿宋_GB2312" w:cs="Times New Roman"/>
                <w:color w:val="auto"/>
                <w:kern w:val="0"/>
                <w:sz w:val="21"/>
                <w:szCs w:val="21"/>
                <w:lang w:val="en-US" w:eastAsia="zh-CN" w:bidi="ar"/>
              </w:rPr>
            </w:pPr>
            <w:r>
              <w:rPr>
                <w:rFonts w:hint="eastAsia" w:ascii="Times New Roman"/>
                <w:color w:val="auto"/>
                <w:kern w:val="0"/>
                <w:szCs w:val="21"/>
                <w:lang w:val="en-US" w:eastAsia="zh-CN" w:bidi="ar"/>
              </w:rPr>
              <w:t>180</w:t>
            </w:r>
          </w:p>
        </w:tc>
        <w:tc>
          <w:tcPr>
            <w:tcW w:w="220" w:type="pct"/>
            <w:tcBorders>
              <w:tl2br w:val="nil"/>
              <w:tr2bl w:val="nil"/>
            </w:tcBorders>
            <w:shd w:val="clear" w:color="auto" w:fill="auto"/>
            <w:vAlign w:val="center"/>
          </w:tcPr>
          <w:p w14:paraId="643D3C53">
            <w:pPr>
              <w:pStyle w:val="163"/>
              <w:jc w:val="center"/>
              <w:rPr>
                <w:rFonts w:hint="default" w:ascii="Times New Roman" w:hAnsi="Times New Roman" w:eastAsia="仿宋_GB2312" w:cs="Times New Roman"/>
                <w:color w:val="auto"/>
                <w:kern w:val="0"/>
                <w:sz w:val="21"/>
                <w:szCs w:val="21"/>
                <w:lang w:val="en-US" w:eastAsia="zh-CN" w:bidi="ar"/>
              </w:rPr>
            </w:pPr>
            <w:r>
              <w:rPr>
                <w:rFonts w:hint="eastAsia" w:ascii="Times New Roman"/>
                <w:color w:val="auto"/>
                <w:kern w:val="0"/>
                <w:szCs w:val="21"/>
                <w:lang w:val="en-US" w:eastAsia="zh-CN" w:bidi="ar"/>
              </w:rPr>
              <w:t>79</w:t>
            </w:r>
          </w:p>
        </w:tc>
        <w:tc>
          <w:tcPr>
            <w:tcW w:w="216" w:type="pct"/>
            <w:tcBorders>
              <w:tl2br w:val="nil"/>
              <w:tr2bl w:val="nil"/>
            </w:tcBorders>
            <w:shd w:val="clear" w:color="auto" w:fill="auto"/>
            <w:vAlign w:val="center"/>
          </w:tcPr>
          <w:p w14:paraId="68BE9E4E">
            <w:pPr>
              <w:pStyle w:val="163"/>
              <w:jc w:val="center"/>
              <w:rPr>
                <w:rFonts w:hint="default" w:ascii="Times New Roman" w:hAnsi="Times New Roman" w:eastAsia="仿宋_GB2312" w:cs="Times New Roman"/>
                <w:color w:val="auto"/>
                <w:kern w:val="0"/>
                <w:sz w:val="21"/>
                <w:szCs w:val="21"/>
                <w:lang w:val="en-US" w:eastAsia="zh-CN" w:bidi="ar"/>
              </w:rPr>
            </w:pPr>
            <w:r>
              <w:rPr>
                <w:rFonts w:hint="eastAsia" w:ascii="Times New Roman"/>
                <w:color w:val="auto"/>
                <w:kern w:val="0"/>
                <w:szCs w:val="21"/>
                <w:lang w:val="en-US" w:eastAsia="zh-CN" w:bidi="ar"/>
              </w:rPr>
              <w:t>0.5</w:t>
            </w:r>
          </w:p>
        </w:tc>
        <w:tc>
          <w:tcPr>
            <w:tcW w:w="260" w:type="pct"/>
            <w:tcBorders>
              <w:tl2br w:val="nil"/>
              <w:tr2bl w:val="nil"/>
            </w:tcBorders>
            <w:shd w:val="clear" w:color="auto" w:fill="auto"/>
            <w:vAlign w:val="center"/>
          </w:tcPr>
          <w:p w14:paraId="3253A25D">
            <w:pPr>
              <w:pStyle w:val="81"/>
              <w:spacing w:beforeAutospacing="0" w:afterAutospacing="0" w:line="320" w:lineRule="exact"/>
              <w:ind w:left="0" w:leftChars="0" w:right="0" w:rightChars="0"/>
              <w:jc w:val="center"/>
              <w:rPr>
                <w:rFonts w:ascii="Times New Roman" w:hAnsi="Times New Roman" w:eastAsia="仿宋_GB2312" w:cs="Times New Roman"/>
                <w:color w:val="FF0000"/>
                <w:kern w:val="0"/>
                <w:sz w:val="21"/>
                <w:szCs w:val="21"/>
                <w:lang w:val="en-US" w:eastAsia="zh-CN" w:bidi="ar"/>
              </w:rPr>
            </w:pPr>
            <w:r>
              <w:rPr>
                <w:rFonts w:hint="eastAsia" w:ascii="Times New Roman"/>
                <w:color w:val="auto"/>
                <w:kern w:val="0"/>
                <w:szCs w:val="21"/>
                <w:lang w:val="en-US" w:eastAsia="zh-CN" w:bidi="ar"/>
              </w:rPr>
              <w:t>80</w:t>
            </w:r>
          </w:p>
        </w:tc>
        <w:tc>
          <w:tcPr>
            <w:tcW w:w="287" w:type="pct"/>
            <w:vMerge w:val="continue"/>
            <w:tcBorders>
              <w:tl2br w:val="nil"/>
              <w:tr2bl w:val="nil"/>
            </w:tcBorders>
            <w:shd w:val="clear" w:color="auto" w:fill="auto"/>
            <w:vAlign w:val="center"/>
          </w:tcPr>
          <w:p w14:paraId="5FE67359">
            <w:pPr>
              <w:pStyle w:val="81"/>
              <w:spacing w:beforeAutospacing="0" w:afterAutospacing="0" w:line="320" w:lineRule="exact"/>
              <w:jc w:val="center"/>
              <w:rPr>
                <w:rFonts w:eastAsia="仿宋_GB2312"/>
                <w:color w:val="FF0000"/>
                <w:sz w:val="21"/>
                <w:szCs w:val="21"/>
                <w:lang w:bidi="ar"/>
              </w:rPr>
            </w:pPr>
          </w:p>
        </w:tc>
        <w:tc>
          <w:tcPr>
            <w:tcW w:w="270" w:type="pct"/>
            <w:tcBorders>
              <w:tl2br w:val="nil"/>
              <w:tr2bl w:val="nil"/>
            </w:tcBorders>
            <w:shd w:val="clear" w:color="auto" w:fill="auto"/>
            <w:vAlign w:val="center"/>
          </w:tcPr>
          <w:p w14:paraId="68BCDACB">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rPr>
              <w:t>5</w:t>
            </w:r>
          </w:p>
        </w:tc>
        <w:tc>
          <w:tcPr>
            <w:tcW w:w="282" w:type="pct"/>
            <w:tcBorders>
              <w:tl2br w:val="nil"/>
              <w:tr2bl w:val="nil"/>
            </w:tcBorders>
            <w:shd w:val="clear" w:color="auto" w:fill="auto"/>
            <w:vAlign w:val="center"/>
          </w:tcPr>
          <w:p w14:paraId="75C44C74">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6</w:t>
            </w:r>
            <w:r>
              <w:rPr>
                <w:rFonts w:hint="eastAsia" w:eastAsia="仿宋_GB2312"/>
                <w:color w:val="auto"/>
                <w:sz w:val="21"/>
                <w:szCs w:val="21"/>
                <w:lang w:bidi="ar"/>
              </w:rPr>
              <w:t>6</w:t>
            </w:r>
          </w:p>
        </w:tc>
        <w:tc>
          <w:tcPr>
            <w:tcW w:w="270" w:type="pct"/>
            <w:tcBorders>
              <w:tl2br w:val="nil"/>
              <w:tr2bl w:val="nil"/>
            </w:tcBorders>
            <w:shd w:val="clear" w:color="auto" w:fill="auto"/>
            <w:vAlign w:val="center"/>
          </w:tcPr>
          <w:p w14:paraId="5460C0A6">
            <w:pPr>
              <w:pStyle w:val="81"/>
              <w:spacing w:beforeAutospacing="0" w:afterAutospacing="0" w:line="320" w:lineRule="exact"/>
              <w:ind w:left="0" w:leftChars="0" w:right="0" w:rightChars="0"/>
              <w:jc w:val="center"/>
              <w:rPr>
                <w:rFonts w:ascii="Times New Roman" w:hAnsi="Times New Roman" w:eastAsia="仿宋_GB2312" w:cs="Times New Roman"/>
                <w:b/>
                <w:bCs/>
                <w:color w:val="auto"/>
                <w:kern w:val="0"/>
                <w:sz w:val="21"/>
                <w:szCs w:val="21"/>
                <w:lang w:val="en-US" w:eastAsia="zh-CN" w:bidi="ar"/>
              </w:rPr>
            </w:pPr>
            <w:r>
              <w:rPr>
                <w:rFonts w:eastAsia="仿宋_GB2312"/>
                <w:color w:val="auto"/>
                <w:sz w:val="21"/>
                <w:szCs w:val="21"/>
                <w:lang w:bidi="ar"/>
              </w:rPr>
              <w:t>全天</w:t>
            </w:r>
          </w:p>
        </w:tc>
        <w:tc>
          <w:tcPr>
            <w:tcW w:w="312" w:type="pct"/>
            <w:tcBorders>
              <w:tl2br w:val="nil"/>
              <w:tr2bl w:val="nil"/>
            </w:tcBorders>
            <w:shd w:val="clear" w:color="auto" w:fill="auto"/>
            <w:vAlign w:val="center"/>
          </w:tcPr>
          <w:p w14:paraId="06D010E5">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20</w:t>
            </w:r>
          </w:p>
        </w:tc>
        <w:tc>
          <w:tcPr>
            <w:tcW w:w="262" w:type="pct"/>
            <w:tcBorders>
              <w:tl2br w:val="nil"/>
              <w:tr2bl w:val="nil"/>
            </w:tcBorders>
            <w:shd w:val="clear" w:color="auto" w:fill="auto"/>
            <w:vAlign w:val="center"/>
          </w:tcPr>
          <w:p w14:paraId="68C8F45D">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46</w:t>
            </w:r>
          </w:p>
        </w:tc>
        <w:tc>
          <w:tcPr>
            <w:tcW w:w="288" w:type="pct"/>
            <w:tcBorders>
              <w:tl2br w:val="nil"/>
              <w:tr2bl w:val="nil"/>
            </w:tcBorders>
            <w:shd w:val="clear" w:color="auto" w:fill="auto"/>
            <w:vAlign w:val="center"/>
          </w:tcPr>
          <w:p w14:paraId="6A8D689E">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1</w:t>
            </w:r>
          </w:p>
        </w:tc>
        <w:tc>
          <w:tcPr>
            <w:tcW w:w="335" w:type="pct"/>
            <w:tcBorders>
              <w:tl2br w:val="nil"/>
              <w:tr2bl w:val="nil"/>
            </w:tcBorders>
            <w:shd w:val="clear" w:color="auto" w:fill="auto"/>
            <w:vAlign w:val="center"/>
          </w:tcPr>
          <w:p w14:paraId="1AD6C2C4">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hint="eastAsia" w:eastAsia="仿宋_GB2312" w:cs="Times New Roman"/>
                <w:color w:val="auto"/>
                <w:kern w:val="0"/>
                <w:sz w:val="21"/>
                <w:szCs w:val="21"/>
                <w:lang w:val="en-US" w:eastAsia="zh-CN" w:bidi="ar"/>
              </w:rPr>
              <w:t>新增</w:t>
            </w:r>
          </w:p>
        </w:tc>
      </w:tr>
      <w:tr w14:paraId="3FF00A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195" w:type="pct"/>
            <w:tcBorders>
              <w:tl2br w:val="nil"/>
              <w:tr2bl w:val="nil"/>
            </w:tcBorders>
            <w:shd w:val="clear" w:color="auto" w:fill="auto"/>
            <w:vAlign w:val="center"/>
          </w:tcPr>
          <w:p w14:paraId="165D21B7">
            <w:pPr>
              <w:pStyle w:val="81"/>
              <w:spacing w:beforeAutospacing="0" w:afterAutospacing="0" w:line="320" w:lineRule="exact"/>
              <w:jc w:val="center"/>
              <w:rPr>
                <w:rFonts w:hint="default" w:eastAsia="仿宋_GB2312"/>
                <w:color w:val="auto"/>
                <w:sz w:val="21"/>
                <w:szCs w:val="21"/>
                <w:lang w:val="en-US" w:eastAsia="zh-CN" w:bidi="ar"/>
              </w:rPr>
            </w:pPr>
            <w:r>
              <w:rPr>
                <w:rFonts w:hint="eastAsia" w:eastAsia="仿宋_GB2312"/>
                <w:color w:val="auto"/>
                <w:sz w:val="21"/>
                <w:szCs w:val="21"/>
                <w:lang w:val="en-US" w:eastAsia="zh-CN" w:bidi="ar"/>
              </w:rPr>
              <w:t>22</w:t>
            </w:r>
          </w:p>
        </w:tc>
        <w:tc>
          <w:tcPr>
            <w:tcW w:w="375" w:type="pct"/>
            <w:vMerge w:val="continue"/>
            <w:tcBorders>
              <w:tl2br w:val="nil"/>
              <w:tr2bl w:val="nil"/>
            </w:tcBorders>
            <w:shd w:val="clear" w:color="auto" w:fill="auto"/>
            <w:vAlign w:val="center"/>
          </w:tcPr>
          <w:p w14:paraId="749CC701">
            <w:pPr>
              <w:widowControl/>
              <w:jc w:val="center"/>
              <w:textAlignment w:val="center"/>
              <w:rPr>
                <w:rFonts w:eastAsia="仿宋_GB2312"/>
                <w:color w:val="auto"/>
                <w:kern w:val="0"/>
                <w:szCs w:val="21"/>
                <w:lang w:bidi="ar"/>
              </w:rPr>
            </w:pPr>
          </w:p>
        </w:tc>
        <w:tc>
          <w:tcPr>
            <w:tcW w:w="493" w:type="pct"/>
            <w:vMerge w:val="continue"/>
            <w:tcBorders>
              <w:tl2br w:val="nil"/>
              <w:tr2bl w:val="nil"/>
            </w:tcBorders>
            <w:shd w:val="clear" w:color="auto" w:fill="auto"/>
            <w:vAlign w:val="center"/>
          </w:tcPr>
          <w:p w14:paraId="63769B7A">
            <w:pPr>
              <w:widowControl/>
              <w:jc w:val="center"/>
              <w:textAlignment w:val="center"/>
              <w:rPr>
                <w:rFonts w:eastAsia="仿宋_GB2312"/>
                <w:color w:val="auto"/>
                <w:kern w:val="0"/>
                <w:szCs w:val="21"/>
                <w:lang w:bidi="ar"/>
              </w:rPr>
            </w:pPr>
          </w:p>
        </w:tc>
        <w:tc>
          <w:tcPr>
            <w:tcW w:w="437" w:type="pct"/>
            <w:vMerge w:val="continue"/>
            <w:tcBorders>
              <w:tl2br w:val="nil"/>
              <w:tr2bl w:val="nil"/>
            </w:tcBorders>
            <w:shd w:val="clear" w:color="auto" w:fill="auto"/>
            <w:vAlign w:val="center"/>
          </w:tcPr>
          <w:p w14:paraId="4CB77D3A">
            <w:pPr>
              <w:widowControl/>
              <w:jc w:val="center"/>
              <w:textAlignment w:val="center"/>
              <w:rPr>
                <w:rFonts w:eastAsia="仿宋_GB2312"/>
                <w:color w:val="auto"/>
                <w:kern w:val="0"/>
                <w:szCs w:val="21"/>
                <w:lang w:bidi="ar"/>
              </w:rPr>
            </w:pPr>
          </w:p>
        </w:tc>
        <w:tc>
          <w:tcPr>
            <w:tcW w:w="253" w:type="pct"/>
            <w:tcBorders>
              <w:tl2br w:val="nil"/>
              <w:tr2bl w:val="nil"/>
            </w:tcBorders>
            <w:shd w:val="clear" w:color="auto" w:fill="auto"/>
            <w:vAlign w:val="center"/>
          </w:tcPr>
          <w:p w14:paraId="41E83870">
            <w:pPr>
              <w:widowControl/>
              <w:jc w:val="center"/>
              <w:textAlignment w:val="center"/>
              <w:rPr>
                <w:rFonts w:hint="eastAsia" w:eastAsia="仿宋_GB2312"/>
                <w:color w:val="auto"/>
                <w:kern w:val="0"/>
                <w:szCs w:val="21"/>
                <w:lang w:val="en-US" w:eastAsia="zh-CN" w:bidi="ar"/>
              </w:rPr>
            </w:pPr>
            <w:r>
              <w:rPr>
                <w:rFonts w:hint="eastAsia" w:eastAsia="仿宋_GB2312"/>
                <w:color w:val="auto"/>
                <w:kern w:val="0"/>
                <w:szCs w:val="21"/>
                <w:lang w:val="en-US" w:eastAsia="zh-CN" w:bidi="ar"/>
              </w:rPr>
              <w:t>1</w:t>
            </w:r>
          </w:p>
        </w:tc>
        <w:tc>
          <w:tcPr>
            <w:tcW w:w="237" w:type="pct"/>
            <w:tcBorders>
              <w:tl2br w:val="nil"/>
              <w:tr2bl w:val="nil"/>
            </w:tcBorders>
            <w:shd w:val="clear" w:color="auto" w:fill="auto"/>
            <w:vAlign w:val="center"/>
          </w:tcPr>
          <w:p w14:paraId="4E69E096">
            <w:pPr>
              <w:pStyle w:val="163"/>
              <w:jc w:val="center"/>
              <w:rPr>
                <w:rFonts w:hint="default" w:ascii="Times New Roman" w:hAnsi="Times New Roman" w:eastAsia="仿宋_GB2312" w:cs="Times New Roman"/>
                <w:color w:val="auto"/>
                <w:kern w:val="0"/>
                <w:sz w:val="21"/>
                <w:szCs w:val="21"/>
                <w:lang w:val="en-US" w:eastAsia="zh-CN" w:bidi="ar"/>
              </w:rPr>
            </w:pPr>
            <w:r>
              <w:rPr>
                <w:rFonts w:hint="eastAsia" w:ascii="Times New Roman"/>
                <w:color w:val="auto"/>
                <w:kern w:val="0"/>
                <w:szCs w:val="21"/>
                <w:lang w:val="en-US" w:eastAsia="zh-CN" w:bidi="ar"/>
              </w:rPr>
              <w:t>180</w:t>
            </w:r>
          </w:p>
        </w:tc>
        <w:tc>
          <w:tcPr>
            <w:tcW w:w="220" w:type="pct"/>
            <w:tcBorders>
              <w:tl2br w:val="nil"/>
              <w:tr2bl w:val="nil"/>
            </w:tcBorders>
            <w:shd w:val="clear" w:color="auto" w:fill="auto"/>
            <w:vAlign w:val="center"/>
          </w:tcPr>
          <w:p w14:paraId="214A83BA">
            <w:pPr>
              <w:pStyle w:val="163"/>
              <w:jc w:val="center"/>
              <w:rPr>
                <w:rFonts w:hint="default" w:ascii="Times New Roman" w:hAnsi="Times New Roman" w:eastAsia="仿宋_GB2312" w:cs="Times New Roman"/>
                <w:color w:val="auto"/>
                <w:kern w:val="0"/>
                <w:sz w:val="21"/>
                <w:szCs w:val="21"/>
                <w:lang w:val="en-US" w:eastAsia="zh-CN" w:bidi="ar"/>
              </w:rPr>
            </w:pPr>
            <w:r>
              <w:rPr>
                <w:rFonts w:hint="eastAsia" w:ascii="Times New Roman"/>
                <w:color w:val="auto"/>
                <w:kern w:val="0"/>
                <w:szCs w:val="21"/>
                <w:lang w:val="en-US" w:eastAsia="zh-CN" w:bidi="ar"/>
              </w:rPr>
              <w:t>79</w:t>
            </w:r>
          </w:p>
        </w:tc>
        <w:tc>
          <w:tcPr>
            <w:tcW w:w="216" w:type="pct"/>
            <w:tcBorders>
              <w:tl2br w:val="nil"/>
              <w:tr2bl w:val="nil"/>
            </w:tcBorders>
            <w:shd w:val="clear" w:color="auto" w:fill="auto"/>
            <w:vAlign w:val="center"/>
          </w:tcPr>
          <w:p w14:paraId="1D80F5C5">
            <w:pPr>
              <w:pStyle w:val="163"/>
              <w:jc w:val="center"/>
              <w:rPr>
                <w:rFonts w:hint="default" w:ascii="Times New Roman" w:hAnsi="Times New Roman" w:eastAsia="仿宋_GB2312" w:cs="Times New Roman"/>
                <w:color w:val="auto"/>
                <w:kern w:val="0"/>
                <w:sz w:val="21"/>
                <w:szCs w:val="21"/>
                <w:lang w:val="en-US" w:eastAsia="zh-CN" w:bidi="ar"/>
              </w:rPr>
            </w:pPr>
            <w:r>
              <w:rPr>
                <w:rFonts w:hint="eastAsia" w:ascii="Times New Roman"/>
                <w:color w:val="auto"/>
                <w:kern w:val="0"/>
                <w:szCs w:val="21"/>
                <w:lang w:val="en-US" w:eastAsia="zh-CN" w:bidi="ar"/>
              </w:rPr>
              <w:t>0.5</w:t>
            </w:r>
          </w:p>
        </w:tc>
        <w:tc>
          <w:tcPr>
            <w:tcW w:w="260" w:type="pct"/>
            <w:tcBorders>
              <w:tl2br w:val="nil"/>
              <w:tr2bl w:val="nil"/>
            </w:tcBorders>
            <w:shd w:val="clear" w:color="auto" w:fill="auto"/>
            <w:vAlign w:val="center"/>
          </w:tcPr>
          <w:p w14:paraId="22757552">
            <w:pPr>
              <w:pStyle w:val="81"/>
              <w:spacing w:beforeAutospacing="0" w:afterAutospacing="0" w:line="320" w:lineRule="exact"/>
              <w:ind w:left="0" w:leftChars="0" w:right="0" w:rightChars="0"/>
              <w:jc w:val="center"/>
              <w:rPr>
                <w:rFonts w:ascii="Times New Roman" w:hAnsi="Times New Roman" w:eastAsia="仿宋_GB2312" w:cs="Times New Roman"/>
                <w:color w:val="FF0000"/>
                <w:kern w:val="0"/>
                <w:sz w:val="21"/>
                <w:szCs w:val="21"/>
                <w:lang w:val="en-US" w:eastAsia="zh-CN" w:bidi="ar"/>
              </w:rPr>
            </w:pPr>
            <w:r>
              <w:rPr>
                <w:rFonts w:hint="eastAsia" w:ascii="Times New Roman"/>
                <w:color w:val="auto"/>
                <w:kern w:val="0"/>
                <w:szCs w:val="21"/>
                <w:lang w:val="en-US" w:eastAsia="zh-CN" w:bidi="ar"/>
              </w:rPr>
              <w:t>80</w:t>
            </w:r>
          </w:p>
        </w:tc>
        <w:tc>
          <w:tcPr>
            <w:tcW w:w="287" w:type="pct"/>
            <w:vMerge w:val="continue"/>
            <w:tcBorders>
              <w:tl2br w:val="nil"/>
              <w:tr2bl w:val="nil"/>
            </w:tcBorders>
            <w:shd w:val="clear" w:color="auto" w:fill="auto"/>
            <w:vAlign w:val="center"/>
          </w:tcPr>
          <w:p w14:paraId="1D2FCF17">
            <w:pPr>
              <w:pStyle w:val="81"/>
              <w:spacing w:beforeAutospacing="0" w:afterAutospacing="0" w:line="320" w:lineRule="exact"/>
              <w:jc w:val="center"/>
              <w:rPr>
                <w:rFonts w:eastAsia="仿宋_GB2312"/>
                <w:color w:val="FF0000"/>
                <w:sz w:val="21"/>
                <w:szCs w:val="21"/>
                <w:lang w:bidi="ar"/>
              </w:rPr>
            </w:pPr>
          </w:p>
        </w:tc>
        <w:tc>
          <w:tcPr>
            <w:tcW w:w="270" w:type="pct"/>
            <w:tcBorders>
              <w:tl2br w:val="nil"/>
              <w:tr2bl w:val="nil"/>
            </w:tcBorders>
            <w:shd w:val="clear" w:color="auto" w:fill="auto"/>
            <w:vAlign w:val="center"/>
          </w:tcPr>
          <w:p w14:paraId="73739DF4">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rPr>
              <w:t>5</w:t>
            </w:r>
          </w:p>
        </w:tc>
        <w:tc>
          <w:tcPr>
            <w:tcW w:w="282" w:type="pct"/>
            <w:tcBorders>
              <w:tl2br w:val="nil"/>
              <w:tr2bl w:val="nil"/>
            </w:tcBorders>
            <w:shd w:val="clear" w:color="auto" w:fill="auto"/>
            <w:vAlign w:val="center"/>
          </w:tcPr>
          <w:p w14:paraId="4383237B">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6</w:t>
            </w:r>
            <w:r>
              <w:rPr>
                <w:rFonts w:hint="eastAsia" w:eastAsia="仿宋_GB2312"/>
                <w:color w:val="auto"/>
                <w:sz w:val="21"/>
                <w:szCs w:val="21"/>
                <w:lang w:bidi="ar"/>
              </w:rPr>
              <w:t>6</w:t>
            </w:r>
          </w:p>
        </w:tc>
        <w:tc>
          <w:tcPr>
            <w:tcW w:w="270" w:type="pct"/>
            <w:tcBorders>
              <w:tl2br w:val="nil"/>
              <w:tr2bl w:val="nil"/>
            </w:tcBorders>
            <w:shd w:val="clear" w:color="auto" w:fill="auto"/>
            <w:vAlign w:val="center"/>
          </w:tcPr>
          <w:p w14:paraId="05260FBE">
            <w:pPr>
              <w:pStyle w:val="81"/>
              <w:spacing w:beforeAutospacing="0" w:afterAutospacing="0" w:line="320" w:lineRule="exact"/>
              <w:ind w:left="0" w:leftChars="0" w:right="0" w:rightChars="0"/>
              <w:jc w:val="center"/>
              <w:rPr>
                <w:rFonts w:ascii="Times New Roman" w:hAnsi="Times New Roman" w:eastAsia="仿宋_GB2312" w:cs="Times New Roman"/>
                <w:b/>
                <w:bCs/>
                <w:color w:val="auto"/>
                <w:kern w:val="0"/>
                <w:sz w:val="21"/>
                <w:szCs w:val="21"/>
                <w:lang w:val="en-US" w:eastAsia="zh-CN" w:bidi="ar"/>
              </w:rPr>
            </w:pPr>
            <w:r>
              <w:rPr>
                <w:rFonts w:eastAsia="仿宋_GB2312"/>
                <w:color w:val="auto"/>
                <w:sz w:val="21"/>
                <w:szCs w:val="21"/>
                <w:lang w:bidi="ar"/>
              </w:rPr>
              <w:t>全天</w:t>
            </w:r>
          </w:p>
        </w:tc>
        <w:tc>
          <w:tcPr>
            <w:tcW w:w="312" w:type="pct"/>
            <w:tcBorders>
              <w:tl2br w:val="nil"/>
              <w:tr2bl w:val="nil"/>
            </w:tcBorders>
            <w:shd w:val="clear" w:color="auto" w:fill="auto"/>
            <w:vAlign w:val="center"/>
          </w:tcPr>
          <w:p w14:paraId="75F6422F">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20</w:t>
            </w:r>
          </w:p>
        </w:tc>
        <w:tc>
          <w:tcPr>
            <w:tcW w:w="262" w:type="pct"/>
            <w:tcBorders>
              <w:tl2br w:val="nil"/>
              <w:tr2bl w:val="nil"/>
            </w:tcBorders>
            <w:shd w:val="clear" w:color="auto" w:fill="auto"/>
            <w:vAlign w:val="center"/>
          </w:tcPr>
          <w:p w14:paraId="48C11939">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46</w:t>
            </w:r>
          </w:p>
        </w:tc>
        <w:tc>
          <w:tcPr>
            <w:tcW w:w="288" w:type="pct"/>
            <w:tcBorders>
              <w:tl2br w:val="nil"/>
              <w:tr2bl w:val="nil"/>
            </w:tcBorders>
            <w:shd w:val="clear" w:color="auto" w:fill="auto"/>
            <w:vAlign w:val="center"/>
          </w:tcPr>
          <w:p w14:paraId="521D1F6A">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1</w:t>
            </w:r>
          </w:p>
        </w:tc>
        <w:tc>
          <w:tcPr>
            <w:tcW w:w="335" w:type="pct"/>
            <w:tcBorders>
              <w:tl2br w:val="nil"/>
              <w:tr2bl w:val="nil"/>
            </w:tcBorders>
            <w:shd w:val="clear" w:color="auto" w:fill="auto"/>
            <w:vAlign w:val="center"/>
          </w:tcPr>
          <w:p w14:paraId="403811BC">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hint="eastAsia" w:eastAsia="仿宋_GB2312" w:cs="Times New Roman"/>
                <w:color w:val="auto"/>
                <w:kern w:val="0"/>
                <w:sz w:val="21"/>
                <w:szCs w:val="21"/>
                <w:lang w:val="en-US" w:eastAsia="zh-CN" w:bidi="ar"/>
              </w:rPr>
              <w:t>新增</w:t>
            </w:r>
          </w:p>
        </w:tc>
      </w:tr>
    </w:tbl>
    <w:p w14:paraId="0453FD14">
      <w:pPr>
        <w:snapToGrid w:val="0"/>
        <w:spacing w:line="320" w:lineRule="exact"/>
        <w:jc w:val="left"/>
        <w:rPr>
          <w:rFonts w:eastAsia="仿宋_GB2312"/>
          <w:b/>
          <w:color w:val="auto"/>
          <w:sz w:val="24"/>
        </w:rPr>
      </w:pPr>
      <w:r>
        <w:rPr>
          <w:rFonts w:hint="eastAsia" w:eastAsia="仿宋_GB2312"/>
          <w:color w:val="auto"/>
          <w:szCs w:val="21"/>
          <w:lang w:bidi="ar"/>
        </w:rPr>
        <w:t>备注：以西厂区西南角为原点建立模型坐标系，取东西向为X坐标轴、南北向为Y坐标轴。</w:t>
      </w:r>
    </w:p>
    <w:p w14:paraId="1021E831">
      <w:pPr>
        <w:spacing w:line="500" w:lineRule="exact"/>
        <w:ind w:firstLine="560" w:firstLineChars="200"/>
        <w:rPr>
          <w:rFonts w:eastAsia="仿宋_GB2312"/>
          <w:color w:val="FF0000"/>
          <w:sz w:val="28"/>
          <w:szCs w:val="28"/>
        </w:rPr>
      </w:pPr>
    </w:p>
    <w:p w14:paraId="7FD56CD3">
      <w:pPr>
        <w:spacing w:line="500" w:lineRule="exact"/>
        <w:ind w:firstLine="560" w:firstLineChars="200"/>
        <w:rPr>
          <w:rFonts w:eastAsia="仿宋_GB2312"/>
          <w:color w:val="FF0000"/>
          <w:sz w:val="28"/>
          <w:szCs w:val="28"/>
        </w:rPr>
        <w:sectPr>
          <w:pgSz w:w="16840" w:h="11907" w:orient="landscape"/>
          <w:pgMar w:top="1440" w:right="1800" w:bottom="1440" w:left="1800" w:header="851" w:footer="992" w:gutter="0"/>
          <w:pgBorders>
            <w:top w:val="none" w:sz="0" w:space="0"/>
            <w:left w:val="none" w:sz="0" w:space="0"/>
            <w:bottom w:val="none" w:sz="0" w:space="0"/>
            <w:right w:val="none" w:sz="0" w:space="0"/>
          </w:pgBorders>
          <w:pgNumType w:fmt="decimal"/>
          <w:cols w:space="425" w:num="1"/>
          <w:docGrid w:linePitch="312" w:charSpace="0"/>
        </w:sectPr>
      </w:pPr>
    </w:p>
    <w:p w14:paraId="1D4BA399">
      <w:pPr>
        <w:pStyle w:val="5"/>
        <w:spacing w:before="120" w:after="120"/>
        <w:rPr>
          <w:color w:val="auto"/>
          <w:sz w:val="30"/>
          <w:szCs w:val="30"/>
        </w:rPr>
      </w:pPr>
      <w:bookmarkStart w:id="53" w:name="_Toc140174716"/>
      <w:bookmarkStart w:id="54" w:name="_Toc7324"/>
      <w:r>
        <w:rPr>
          <w:color w:val="auto"/>
          <w:sz w:val="30"/>
          <w:szCs w:val="30"/>
        </w:rPr>
        <w:t>3.7蒸汽平衡、水平衡</w:t>
      </w:r>
      <w:bookmarkEnd w:id="53"/>
      <w:bookmarkEnd w:id="54"/>
      <w:bookmarkStart w:id="70" w:name="_GoBack"/>
      <w:bookmarkEnd w:id="70"/>
    </w:p>
    <w:p w14:paraId="79CFF726">
      <w:pPr>
        <w:adjustRightInd w:val="0"/>
        <w:snapToGrid w:val="0"/>
        <w:spacing w:line="500" w:lineRule="exact"/>
        <w:ind w:firstLine="560" w:firstLineChars="200"/>
        <w:rPr>
          <w:rFonts w:eastAsia="仿宋_GB2312"/>
          <w:color w:val="auto"/>
          <w:sz w:val="28"/>
          <w:szCs w:val="28"/>
        </w:rPr>
      </w:pPr>
      <w:r>
        <w:rPr>
          <w:rFonts w:eastAsia="仿宋_GB2312"/>
          <w:color w:val="auto"/>
          <w:sz w:val="28"/>
          <w:szCs w:val="28"/>
        </w:rPr>
        <w:t>本项目蒸汽平衡图见图3.</w:t>
      </w:r>
      <w:r>
        <w:rPr>
          <w:rFonts w:hint="eastAsia" w:eastAsia="仿宋_GB2312"/>
          <w:color w:val="auto"/>
          <w:sz w:val="28"/>
          <w:szCs w:val="28"/>
          <w:lang w:val="en-US" w:eastAsia="zh-CN"/>
        </w:rPr>
        <w:t>7</w:t>
      </w:r>
      <w:r>
        <w:rPr>
          <w:rFonts w:eastAsia="仿宋_GB2312"/>
          <w:color w:val="auto"/>
          <w:sz w:val="28"/>
          <w:szCs w:val="28"/>
        </w:rPr>
        <w:t>-1。</w:t>
      </w:r>
    </w:p>
    <w:p w14:paraId="3A497374">
      <w:pPr>
        <w:widowControl/>
        <w:jc w:val="center"/>
        <w:rPr>
          <w:color w:val="auto"/>
        </w:rPr>
      </w:pPr>
      <w:r>
        <w:rPr>
          <w:color w:val="auto"/>
        </w:rPr>
        <w:object>
          <v:shape id="_x0000_i1189" o:spt="75" type="#_x0000_t75" style="height:47.35pt;width:387.5pt;" o:ole="t" filled="f" o:preferrelative="t" stroked="f" coordsize="21600,21600">
            <v:path/>
            <v:fill on="f" focussize="0,0"/>
            <v:stroke on="f"/>
            <v:imagedata r:id="rId28" o:title=""/>
            <o:lock v:ext="edit" aspectratio="t"/>
            <w10:wrap type="none"/>
            <w10:anchorlock/>
          </v:shape>
          <o:OLEObject Type="Embed" ProgID="Visio.Drawing.15" ShapeID="_x0000_i1189" DrawAspect="Content" ObjectID="_1468075731" r:id="rId27">
            <o:LockedField>false</o:LockedField>
          </o:OLEObject>
        </w:object>
      </w:r>
    </w:p>
    <w:p w14:paraId="2EDEEC5A">
      <w:pPr>
        <w:widowControl/>
        <w:jc w:val="center"/>
        <w:rPr>
          <w:rFonts w:eastAsia="仿宋_GB2312"/>
          <w:b/>
          <w:color w:val="auto"/>
          <w:sz w:val="24"/>
        </w:rPr>
      </w:pPr>
      <w:r>
        <w:rPr>
          <w:rFonts w:eastAsia="仿宋_GB2312"/>
          <w:b/>
          <w:color w:val="auto"/>
          <w:sz w:val="24"/>
        </w:rPr>
        <w:t>图3.7-1  本项目蒸汽平衡图（t/a）</w:t>
      </w:r>
    </w:p>
    <w:p w14:paraId="391E0FEA">
      <w:pPr>
        <w:adjustRightInd w:val="0"/>
        <w:snapToGrid w:val="0"/>
        <w:spacing w:line="500" w:lineRule="exact"/>
        <w:ind w:firstLine="560" w:firstLineChars="200"/>
        <w:rPr>
          <w:rFonts w:eastAsia="仿宋_GB2312"/>
          <w:color w:val="auto"/>
          <w:sz w:val="28"/>
          <w:szCs w:val="28"/>
        </w:rPr>
      </w:pPr>
      <w:r>
        <w:rPr>
          <w:rFonts w:eastAsia="仿宋_GB2312"/>
          <w:color w:val="auto"/>
          <w:sz w:val="28"/>
          <w:szCs w:val="28"/>
        </w:rPr>
        <w:t>本项目水平衡图见图3.7-2。</w:t>
      </w:r>
    </w:p>
    <w:p w14:paraId="515547F8">
      <w:pPr>
        <w:widowControl/>
        <w:ind w:left="-420" w:leftChars="-200" w:firstLine="0" w:firstLineChars="0"/>
        <w:jc w:val="center"/>
        <w:rPr>
          <w:color w:val="FF0000"/>
        </w:rPr>
      </w:pPr>
      <w:r>
        <w:rPr>
          <w:color w:val="FF0000"/>
        </w:rPr>
        <w:object>
          <v:shape id="_x0000_i1190" o:spt="75" type="#_x0000_t75" style="height:287.2pt;width:445.35pt;" o:ole="t" filled="f" o:preferrelative="t" stroked="f" coordsize="21600,21600">
            <v:path/>
            <v:fill on="f" focussize="0,0"/>
            <v:stroke on="f"/>
            <v:imagedata r:id="rId30" o:title=""/>
            <o:lock v:ext="edit" aspectratio="f"/>
            <w10:wrap type="none"/>
            <w10:anchorlock/>
          </v:shape>
          <o:OLEObject Type="Embed" ProgID="Visio.Drawing.15" ShapeID="_x0000_i1190" DrawAspect="Content" ObjectID="_1468075732" r:id="rId29">
            <o:LockedField>false</o:LockedField>
          </o:OLEObject>
        </w:object>
      </w:r>
    </w:p>
    <w:p w14:paraId="4FB6C544">
      <w:pPr>
        <w:widowControl/>
        <w:ind w:left="-283" w:leftChars="-135"/>
        <w:jc w:val="center"/>
        <w:rPr>
          <w:rFonts w:eastAsia="仿宋_GB2312"/>
          <w:b/>
          <w:color w:val="auto"/>
          <w:sz w:val="24"/>
        </w:rPr>
      </w:pPr>
      <w:r>
        <w:rPr>
          <w:rFonts w:eastAsia="仿宋_GB2312"/>
          <w:b/>
          <w:color w:val="auto"/>
          <w:sz w:val="24"/>
        </w:rPr>
        <w:t>图3.</w:t>
      </w:r>
      <w:r>
        <w:rPr>
          <w:rFonts w:hint="eastAsia" w:eastAsia="仿宋_GB2312"/>
          <w:b/>
          <w:color w:val="auto"/>
          <w:sz w:val="24"/>
          <w:lang w:val="en-US" w:eastAsia="zh-CN"/>
        </w:rPr>
        <w:t>7</w:t>
      </w:r>
      <w:r>
        <w:rPr>
          <w:rFonts w:eastAsia="仿宋_GB2312"/>
          <w:b/>
          <w:color w:val="auto"/>
          <w:sz w:val="24"/>
        </w:rPr>
        <w:t>-2  本项目水平衡图（m</w:t>
      </w:r>
      <w:r>
        <w:rPr>
          <w:rFonts w:eastAsia="仿宋_GB2312"/>
          <w:b/>
          <w:color w:val="auto"/>
          <w:sz w:val="24"/>
          <w:vertAlign w:val="superscript"/>
        </w:rPr>
        <w:t>3</w:t>
      </w:r>
      <w:r>
        <w:rPr>
          <w:rFonts w:eastAsia="仿宋_GB2312"/>
          <w:b/>
          <w:color w:val="auto"/>
          <w:sz w:val="24"/>
        </w:rPr>
        <w:t>/a）</w:t>
      </w:r>
    </w:p>
    <w:p w14:paraId="31BAA92E">
      <w:pPr>
        <w:adjustRightInd w:val="0"/>
        <w:snapToGrid w:val="0"/>
        <w:spacing w:line="500" w:lineRule="exact"/>
        <w:ind w:firstLine="560" w:firstLineChars="200"/>
        <w:rPr>
          <w:rFonts w:eastAsia="仿宋_GB2312"/>
          <w:color w:val="auto"/>
          <w:sz w:val="28"/>
          <w:szCs w:val="28"/>
        </w:rPr>
      </w:pPr>
      <w:r>
        <w:rPr>
          <w:rFonts w:eastAsia="仿宋_GB2312"/>
          <w:color w:val="auto"/>
          <w:sz w:val="28"/>
          <w:szCs w:val="28"/>
        </w:rPr>
        <w:t>本项目建成后全厂蒸汽平衡图见图3.7-3。</w:t>
      </w:r>
    </w:p>
    <w:p w14:paraId="60F91DA1">
      <w:pPr>
        <w:widowControl/>
        <w:ind w:left="-141" w:leftChars="-67"/>
        <w:jc w:val="center"/>
        <w:rPr>
          <w:color w:val="FF0000"/>
        </w:rPr>
      </w:pPr>
      <w:r>
        <w:rPr>
          <w:color w:val="FF0000"/>
        </w:rPr>
        <w:object>
          <v:shape id="_x0000_i1191" o:spt="75" type="#_x0000_t75" style="height:139.2pt;width:414.9pt;" o:ole="t" filled="f" o:preferrelative="t" stroked="f" coordsize="21600,21600">
            <v:path/>
            <v:fill on="f" focussize="0,0"/>
            <v:stroke on="f"/>
            <v:imagedata r:id="rId32" o:title=""/>
            <o:lock v:ext="edit" aspectratio="t"/>
            <w10:wrap type="none"/>
            <w10:anchorlock/>
          </v:shape>
          <o:OLEObject Type="Embed" ProgID="Visio.Drawing.15" ShapeID="_x0000_i1191" DrawAspect="Content" ObjectID="_1468075733" r:id="rId31">
            <o:LockedField>false</o:LockedField>
          </o:OLEObject>
        </w:object>
      </w:r>
    </w:p>
    <w:p w14:paraId="4FF2941C">
      <w:pPr>
        <w:widowControl/>
        <w:jc w:val="center"/>
        <w:rPr>
          <w:rFonts w:eastAsia="仿宋_GB2312"/>
          <w:b/>
          <w:color w:val="auto"/>
          <w:sz w:val="24"/>
        </w:rPr>
      </w:pPr>
      <w:r>
        <w:rPr>
          <w:rFonts w:eastAsia="仿宋_GB2312"/>
          <w:b/>
          <w:color w:val="auto"/>
          <w:sz w:val="24"/>
        </w:rPr>
        <w:t>图3.7-3  本项目建成后全厂蒸汽平衡图（t/a）</w:t>
      </w:r>
    </w:p>
    <w:p w14:paraId="2828E238">
      <w:pPr>
        <w:adjustRightInd w:val="0"/>
        <w:snapToGrid w:val="0"/>
        <w:spacing w:line="500" w:lineRule="exact"/>
        <w:ind w:firstLine="560" w:firstLineChars="200"/>
        <w:rPr>
          <w:rFonts w:eastAsia="仿宋_GB2312"/>
          <w:color w:val="auto"/>
          <w:sz w:val="28"/>
          <w:szCs w:val="28"/>
        </w:rPr>
      </w:pPr>
      <w:r>
        <w:rPr>
          <w:rFonts w:eastAsia="仿宋_GB2312"/>
          <w:color w:val="auto"/>
          <w:sz w:val="28"/>
          <w:szCs w:val="28"/>
        </w:rPr>
        <w:t>本项目建成后全厂水平衡图见图3.7-4。</w:t>
      </w:r>
    </w:p>
    <w:p w14:paraId="437B5556">
      <w:pPr>
        <w:adjustRightInd w:val="0"/>
        <w:snapToGrid w:val="0"/>
        <w:spacing w:line="500" w:lineRule="exact"/>
        <w:ind w:firstLine="560" w:firstLineChars="200"/>
        <w:rPr>
          <w:rFonts w:eastAsia="仿宋_GB2312"/>
          <w:color w:val="FF0000"/>
          <w:sz w:val="28"/>
          <w:szCs w:val="28"/>
        </w:rPr>
      </w:pPr>
    </w:p>
    <w:p w14:paraId="6D8599A8">
      <w:pPr>
        <w:adjustRightInd w:val="0"/>
        <w:snapToGrid w:val="0"/>
        <w:spacing w:line="500" w:lineRule="exact"/>
        <w:ind w:firstLine="560" w:firstLineChars="200"/>
        <w:rPr>
          <w:rFonts w:eastAsia="仿宋_GB2312"/>
          <w:color w:val="FF0000"/>
          <w:sz w:val="28"/>
          <w:szCs w:val="28"/>
        </w:rPr>
        <w:sectPr>
          <w:pgSz w:w="11907" w:h="16840"/>
          <w:pgMar w:top="1440" w:right="1800" w:bottom="1440" w:left="1800" w:header="851" w:footer="992" w:gutter="0"/>
          <w:pgBorders>
            <w:top w:val="none" w:sz="0" w:space="0"/>
            <w:left w:val="none" w:sz="0" w:space="0"/>
            <w:bottom w:val="none" w:sz="0" w:space="0"/>
            <w:right w:val="none" w:sz="0" w:space="0"/>
          </w:pgBorders>
          <w:pgNumType w:fmt="decimal"/>
          <w:cols w:space="425" w:num="1"/>
          <w:docGrid w:linePitch="312" w:charSpace="0"/>
        </w:sectPr>
      </w:pPr>
    </w:p>
    <w:p w14:paraId="3964C4EF">
      <w:pPr>
        <w:pStyle w:val="163"/>
        <w:ind w:left="-619" w:leftChars="-295" w:right="-420" w:rightChars="-200" w:firstLine="0" w:firstLineChars="0"/>
        <w:rPr>
          <w:rFonts w:ascii="Times New Roman"/>
          <w:color w:val="FF0000"/>
        </w:rPr>
      </w:pPr>
      <w:r>
        <w:rPr>
          <w:rFonts w:eastAsia="仿宋_GB2312"/>
          <w:b/>
          <w:color w:val="FF0000"/>
          <w:sz w:val="24"/>
        </w:rPr>
        <w:object>
          <v:shape id="_x0000_i1192" o:spt="75" type="#_x0000_t75" style="height:903.95pt;width:697.95pt;" o:ole="t" filled="f" o:preferrelative="t" stroked="f" coordsize="21600,21600">
            <v:path/>
            <v:fill on="f" focussize="0,0"/>
            <v:stroke on="f"/>
            <v:imagedata r:id="rId34" o:title=""/>
            <o:lock v:ext="edit" aspectratio="f"/>
            <w10:wrap type="none"/>
            <w10:anchorlock/>
          </v:shape>
          <o:OLEObject Type="Embed" ProgID="Visio.Drawing.15" ShapeID="_x0000_i1192" DrawAspect="Content" ObjectID="_1468075734" r:id="rId33">
            <o:LockedField>false</o:LockedField>
          </o:OLEObject>
        </w:object>
      </w:r>
    </w:p>
    <w:p w14:paraId="69E3C4E3">
      <w:pPr>
        <w:widowControl/>
        <w:spacing w:before="120" w:beforeLines="50"/>
        <w:jc w:val="center"/>
        <w:rPr>
          <w:rFonts w:eastAsia="仿宋_GB2312"/>
          <w:b/>
          <w:color w:val="auto"/>
          <w:sz w:val="24"/>
        </w:rPr>
      </w:pPr>
      <w:r>
        <w:rPr>
          <w:rFonts w:eastAsia="仿宋_GB2312"/>
          <w:b/>
          <w:color w:val="auto"/>
          <w:sz w:val="24"/>
        </w:rPr>
        <w:t>图3.7-4  本项目建成后全厂水平衡图（m</w:t>
      </w:r>
      <w:r>
        <w:rPr>
          <w:rFonts w:eastAsia="仿宋_GB2312"/>
          <w:b/>
          <w:color w:val="auto"/>
          <w:sz w:val="24"/>
          <w:vertAlign w:val="superscript"/>
        </w:rPr>
        <w:t>3</w:t>
      </w:r>
      <w:r>
        <w:rPr>
          <w:rFonts w:eastAsia="仿宋_GB2312"/>
          <w:b/>
          <w:color w:val="auto"/>
          <w:sz w:val="24"/>
        </w:rPr>
        <w:t>/a）</w:t>
      </w:r>
    </w:p>
    <w:p w14:paraId="62051DEA">
      <w:pPr>
        <w:widowControl/>
        <w:spacing w:before="120" w:beforeLines="50"/>
        <w:jc w:val="center"/>
        <w:rPr>
          <w:rFonts w:eastAsia="仿宋_GB2312"/>
          <w:b/>
          <w:color w:val="auto"/>
          <w:sz w:val="24"/>
        </w:rPr>
      </w:pPr>
    </w:p>
    <w:p w14:paraId="795997F6">
      <w:pPr>
        <w:widowControl/>
        <w:spacing w:before="120" w:beforeLines="50"/>
        <w:jc w:val="center"/>
        <w:rPr>
          <w:rFonts w:eastAsia="仿宋_GB2312"/>
          <w:b/>
          <w:color w:val="FF0000"/>
          <w:sz w:val="24"/>
        </w:rPr>
      </w:pPr>
    </w:p>
    <w:p w14:paraId="7D279F2A">
      <w:pPr>
        <w:rPr>
          <w:rFonts w:eastAsia="仿宋_GB2312"/>
          <w:color w:val="FF0000"/>
        </w:rPr>
        <w:sectPr>
          <w:pgSz w:w="16839" w:h="23814"/>
          <w:pgMar w:top="1440" w:right="1800" w:bottom="1440" w:left="1800" w:header="851" w:footer="992" w:gutter="0"/>
          <w:pgBorders>
            <w:top w:val="none" w:sz="0" w:space="0"/>
            <w:left w:val="none" w:sz="0" w:space="0"/>
            <w:bottom w:val="none" w:sz="0" w:space="0"/>
            <w:right w:val="none" w:sz="0" w:space="0"/>
          </w:pgBorders>
          <w:pgNumType w:fmt="decimal"/>
          <w:cols w:space="425" w:num="1"/>
          <w:docGrid w:linePitch="312" w:charSpace="0"/>
        </w:sectPr>
      </w:pPr>
    </w:p>
    <w:p w14:paraId="7412168D">
      <w:pPr>
        <w:pStyle w:val="5"/>
        <w:spacing w:before="120" w:after="120"/>
        <w:rPr>
          <w:color w:val="auto"/>
          <w:sz w:val="30"/>
          <w:szCs w:val="30"/>
        </w:rPr>
      </w:pPr>
      <w:bookmarkStart w:id="55" w:name="_Toc140174717"/>
      <w:bookmarkStart w:id="56" w:name="_Toc3796"/>
      <w:r>
        <w:rPr>
          <w:color w:val="auto"/>
          <w:sz w:val="30"/>
          <w:szCs w:val="30"/>
        </w:rPr>
        <w:t>3.8风险因素识别</w:t>
      </w:r>
      <w:bookmarkEnd w:id="55"/>
      <w:bookmarkEnd w:id="56"/>
    </w:p>
    <w:p w14:paraId="74F808A5">
      <w:pPr>
        <w:pStyle w:val="6"/>
        <w:tabs>
          <w:tab w:val="left" w:pos="709"/>
        </w:tabs>
        <w:spacing w:before="120" w:beforeLines="50" w:after="120" w:afterLines="50" w:line="500" w:lineRule="exact"/>
        <w:rPr>
          <w:rFonts w:eastAsia="仿宋_GB2312"/>
          <w:color w:val="auto"/>
          <w:sz w:val="28"/>
          <w:szCs w:val="28"/>
        </w:rPr>
      </w:pPr>
      <w:bookmarkStart w:id="57" w:name="_Toc22966"/>
      <w:r>
        <w:rPr>
          <w:rFonts w:eastAsia="仿宋_GB2312"/>
          <w:color w:val="auto"/>
          <w:sz w:val="28"/>
          <w:szCs w:val="28"/>
        </w:rPr>
        <w:t>3.8.1原有项目环境风险识别</w:t>
      </w:r>
      <w:bookmarkEnd w:id="57"/>
    </w:p>
    <w:p w14:paraId="6A7091A8">
      <w:pPr>
        <w:pStyle w:val="7"/>
        <w:keepLines w:val="0"/>
        <w:widowControl/>
        <w:adjustRightInd w:val="0"/>
        <w:snapToGrid w:val="0"/>
        <w:spacing w:after="60" w:afterLines="25"/>
        <w:jc w:val="left"/>
        <w:rPr>
          <w:rFonts w:ascii="Times New Roman" w:hAnsi="Times New Roman"/>
          <w:b/>
          <w:color w:val="auto"/>
        </w:rPr>
      </w:pPr>
      <w:r>
        <w:rPr>
          <w:rFonts w:ascii="Times New Roman" w:hAnsi="Times New Roman"/>
          <w:b/>
          <w:color w:val="auto"/>
        </w:rPr>
        <w:t>3.8.1.1物质风险识别</w:t>
      </w:r>
    </w:p>
    <w:p w14:paraId="7B90D3A3">
      <w:pPr>
        <w:adjustRightInd w:val="0"/>
        <w:snapToGrid w:val="0"/>
        <w:spacing w:line="500" w:lineRule="exact"/>
        <w:ind w:firstLine="560" w:firstLineChars="200"/>
        <w:rPr>
          <w:rFonts w:eastAsia="仿宋_GB2312"/>
          <w:color w:val="auto"/>
          <w:sz w:val="28"/>
          <w:szCs w:val="28"/>
        </w:rPr>
      </w:pPr>
      <w:r>
        <w:rPr>
          <w:rFonts w:eastAsia="仿宋_GB2312"/>
          <w:color w:val="auto"/>
          <w:sz w:val="28"/>
          <w:szCs w:val="28"/>
        </w:rPr>
        <w:t>根据原有项目涉及的原辅材料和产品的理化性质、毒性、燃烧爆炸性等数据判断物质危险性，其中危险化学品危险性类别及包装类别依据《危险货物品名表》（GB12268-2012）确定，急性毒性类别依据《化学品分类分类、警示标签和警示性说明安全规范 急性毒性》（GB20592-2006）确定。原有项目涉及的危险物质风险识别情况见表3.8-1和表3.8-2。</w:t>
      </w:r>
    </w:p>
    <w:p w14:paraId="7E140CD9">
      <w:pPr>
        <w:spacing w:line="500" w:lineRule="exact"/>
        <w:jc w:val="center"/>
        <w:rPr>
          <w:rFonts w:eastAsia="仿宋_GB2312"/>
          <w:b/>
          <w:color w:val="auto"/>
          <w:sz w:val="24"/>
        </w:rPr>
      </w:pPr>
      <w:r>
        <w:rPr>
          <w:rFonts w:eastAsia="仿宋_GB2312"/>
          <w:b/>
          <w:color w:val="auto"/>
          <w:sz w:val="24"/>
        </w:rPr>
        <w:t>表3.8-1  原有项目涉及危险物质风险识别表</w:t>
      </w:r>
    </w:p>
    <w:tbl>
      <w:tblPr>
        <w:tblStyle w:val="88"/>
        <w:tblW w:w="8846"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464"/>
        <w:gridCol w:w="862"/>
        <w:gridCol w:w="803"/>
        <w:gridCol w:w="896"/>
        <w:gridCol w:w="896"/>
        <w:gridCol w:w="1281"/>
        <w:gridCol w:w="1279"/>
        <w:gridCol w:w="1365"/>
      </w:tblGrid>
      <w:tr w14:paraId="1DC51D2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464" w:type="dxa"/>
            <w:tcBorders>
              <w:tl2br w:val="nil"/>
              <w:tr2bl w:val="nil"/>
            </w:tcBorders>
            <w:vAlign w:val="center"/>
          </w:tcPr>
          <w:p w14:paraId="623DCBC1">
            <w:pPr>
              <w:adjustRightInd w:val="0"/>
              <w:snapToGrid w:val="0"/>
              <w:spacing w:line="240" w:lineRule="exact"/>
              <w:jc w:val="center"/>
              <w:rPr>
                <w:rFonts w:eastAsia="仿宋_GB2312"/>
                <w:b/>
                <w:color w:val="auto"/>
                <w:szCs w:val="21"/>
              </w:rPr>
            </w:pPr>
            <w:r>
              <w:rPr>
                <w:rFonts w:eastAsia="仿宋_GB2312"/>
                <w:b/>
                <w:color w:val="auto"/>
                <w:szCs w:val="21"/>
              </w:rPr>
              <w:t>物质名称</w:t>
            </w:r>
          </w:p>
        </w:tc>
        <w:tc>
          <w:tcPr>
            <w:tcW w:w="862" w:type="dxa"/>
            <w:tcBorders>
              <w:tl2br w:val="nil"/>
              <w:tr2bl w:val="nil"/>
            </w:tcBorders>
            <w:vAlign w:val="center"/>
          </w:tcPr>
          <w:p w14:paraId="77BE8CBE">
            <w:pPr>
              <w:adjustRightInd w:val="0"/>
              <w:snapToGrid w:val="0"/>
              <w:spacing w:line="240" w:lineRule="exact"/>
              <w:jc w:val="center"/>
              <w:rPr>
                <w:rFonts w:eastAsia="仿宋_GB2312"/>
                <w:b/>
                <w:color w:val="auto"/>
                <w:szCs w:val="21"/>
              </w:rPr>
            </w:pPr>
            <w:r>
              <w:rPr>
                <w:rFonts w:eastAsia="仿宋_GB2312"/>
                <w:b/>
                <w:color w:val="auto"/>
                <w:szCs w:val="21"/>
              </w:rPr>
              <w:t>危规号</w:t>
            </w:r>
          </w:p>
        </w:tc>
        <w:tc>
          <w:tcPr>
            <w:tcW w:w="803" w:type="dxa"/>
            <w:tcBorders>
              <w:tl2br w:val="nil"/>
              <w:tr2bl w:val="nil"/>
            </w:tcBorders>
            <w:vAlign w:val="center"/>
          </w:tcPr>
          <w:p w14:paraId="642A48DC">
            <w:pPr>
              <w:adjustRightInd w:val="0"/>
              <w:snapToGrid w:val="0"/>
              <w:spacing w:line="240" w:lineRule="exact"/>
              <w:jc w:val="center"/>
              <w:rPr>
                <w:rFonts w:eastAsia="仿宋_GB2312"/>
                <w:b/>
                <w:color w:val="auto"/>
                <w:szCs w:val="21"/>
              </w:rPr>
            </w:pPr>
            <w:r>
              <w:rPr>
                <w:rFonts w:eastAsia="仿宋_GB2312"/>
                <w:b/>
                <w:color w:val="auto"/>
                <w:szCs w:val="21"/>
              </w:rPr>
              <w:t>闪点（</w:t>
            </w:r>
            <w:r>
              <w:rPr>
                <w:rFonts w:hint="eastAsia" w:ascii="宋体" w:hAnsi="宋体" w:cs="宋体"/>
                <w:b/>
                <w:color w:val="auto"/>
                <w:szCs w:val="21"/>
              </w:rPr>
              <w:t>℃</w:t>
            </w:r>
            <w:r>
              <w:rPr>
                <w:rFonts w:eastAsia="仿宋_GB2312"/>
                <w:b/>
                <w:color w:val="auto"/>
                <w:szCs w:val="21"/>
              </w:rPr>
              <w:t>）</w:t>
            </w:r>
          </w:p>
        </w:tc>
        <w:tc>
          <w:tcPr>
            <w:tcW w:w="896" w:type="dxa"/>
            <w:tcBorders>
              <w:tl2br w:val="nil"/>
              <w:tr2bl w:val="nil"/>
            </w:tcBorders>
            <w:vAlign w:val="center"/>
          </w:tcPr>
          <w:p w14:paraId="453A193B">
            <w:pPr>
              <w:adjustRightInd w:val="0"/>
              <w:snapToGrid w:val="0"/>
              <w:spacing w:line="240" w:lineRule="exact"/>
              <w:jc w:val="center"/>
              <w:rPr>
                <w:rFonts w:eastAsia="仿宋_GB2312"/>
                <w:b/>
                <w:color w:val="auto"/>
                <w:szCs w:val="21"/>
              </w:rPr>
            </w:pPr>
            <w:r>
              <w:rPr>
                <w:rFonts w:eastAsia="仿宋_GB2312"/>
                <w:b/>
                <w:color w:val="auto"/>
                <w:szCs w:val="21"/>
              </w:rPr>
              <w:t>沸点</w:t>
            </w:r>
          </w:p>
          <w:p w14:paraId="60E6C931">
            <w:pPr>
              <w:adjustRightInd w:val="0"/>
              <w:snapToGrid w:val="0"/>
              <w:spacing w:line="240" w:lineRule="exact"/>
              <w:jc w:val="center"/>
              <w:rPr>
                <w:rFonts w:eastAsia="仿宋_GB2312"/>
                <w:b/>
                <w:color w:val="auto"/>
                <w:szCs w:val="21"/>
              </w:rPr>
            </w:pPr>
            <w:r>
              <w:rPr>
                <w:rFonts w:eastAsia="仿宋_GB2312"/>
                <w:b/>
                <w:color w:val="auto"/>
                <w:szCs w:val="21"/>
              </w:rPr>
              <w:t>（</w:t>
            </w:r>
            <w:r>
              <w:rPr>
                <w:rFonts w:hint="eastAsia" w:ascii="宋体" w:hAnsi="宋体" w:cs="宋体"/>
                <w:b/>
                <w:color w:val="auto"/>
                <w:szCs w:val="21"/>
              </w:rPr>
              <w:t>℃</w:t>
            </w:r>
            <w:r>
              <w:rPr>
                <w:rFonts w:eastAsia="仿宋_GB2312"/>
                <w:b/>
                <w:color w:val="auto"/>
                <w:szCs w:val="21"/>
              </w:rPr>
              <w:t>）</w:t>
            </w:r>
          </w:p>
        </w:tc>
        <w:tc>
          <w:tcPr>
            <w:tcW w:w="896" w:type="dxa"/>
            <w:tcBorders>
              <w:tl2br w:val="nil"/>
              <w:tr2bl w:val="nil"/>
            </w:tcBorders>
            <w:vAlign w:val="center"/>
          </w:tcPr>
          <w:p w14:paraId="10C15810">
            <w:pPr>
              <w:adjustRightInd w:val="0"/>
              <w:snapToGrid w:val="0"/>
              <w:spacing w:line="240" w:lineRule="exact"/>
              <w:jc w:val="center"/>
              <w:rPr>
                <w:rFonts w:eastAsia="仿宋_GB2312"/>
                <w:b/>
                <w:color w:val="auto"/>
                <w:szCs w:val="21"/>
              </w:rPr>
            </w:pPr>
            <w:r>
              <w:rPr>
                <w:rFonts w:eastAsia="仿宋_GB2312"/>
                <w:b/>
                <w:color w:val="auto"/>
                <w:szCs w:val="21"/>
              </w:rPr>
              <w:t>熔点（</w:t>
            </w:r>
            <w:r>
              <w:rPr>
                <w:rFonts w:hint="eastAsia" w:ascii="宋体" w:hAnsi="宋体" w:cs="宋体"/>
                <w:b/>
                <w:color w:val="auto"/>
                <w:szCs w:val="21"/>
              </w:rPr>
              <w:t>℃</w:t>
            </w:r>
            <w:r>
              <w:rPr>
                <w:rFonts w:eastAsia="仿宋_GB2312"/>
                <w:b/>
                <w:color w:val="auto"/>
                <w:szCs w:val="21"/>
              </w:rPr>
              <w:t>）</w:t>
            </w:r>
          </w:p>
        </w:tc>
        <w:tc>
          <w:tcPr>
            <w:tcW w:w="1281" w:type="dxa"/>
            <w:tcBorders>
              <w:tl2br w:val="nil"/>
              <w:tr2bl w:val="nil"/>
            </w:tcBorders>
            <w:vAlign w:val="center"/>
          </w:tcPr>
          <w:p w14:paraId="645C0992">
            <w:pPr>
              <w:adjustRightInd w:val="0"/>
              <w:snapToGrid w:val="0"/>
              <w:spacing w:line="240" w:lineRule="exact"/>
              <w:jc w:val="center"/>
              <w:rPr>
                <w:rFonts w:eastAsia="仿宋_GB2312"/>
                <w:b/>
                <w:color w:val="auto"/>
                <w:szCs w:val="21"/>
              </w:rPr>
            </w:pPr>
            <w:r>
              <w:rPr>
                <w:rFonts w:eastAsia="仿宋_GB2312"/>
                <w:b/>
                <w:color w:val="auto"/>
                <w:szCs w:val="21"/>
              </w:rPr>
              <w:t>LD</w:t>
            </w:r>
            <w:r>
              <w:rPr>
                <w:rFonts w:eastAsia="仿宋_GB2312"/>
                <w:b/>
                <w:color w:val="auto"/>
                <w:szCs w:val="21"/>
                <w:vertAlign w:val="subscript"/>
              </w:rPr>
              <w:t>50</w:t>
            </w:r>
            <w:r>
              <w:rPr>
                <w:rFonts w:eastAsia="仿宋_GB2312"/>
                <w:b/>
                <w:color w:val="auto"/>
                <w:szCs w:val="21"/>
              </w:rPr>
              <w:t>（经口，mg/kg）</w:t>
            </w:r>
          </w:p>
        </w:tc>
        <w:tc>
          <w:tcPr>
            <w:tcW w:w="1279" w:type="dxa"/>
            <w:tcBorders>
              <w:tl2br w:val="nil"/>
              <w:tr2bl w:val="nil"/>
            </w:tcBorders>
            <w:vAlign w:val="center"/>
          </w:tcPr>
          <w:p w14:paraId="39E802E0">
            <w:pPr>
              <w:adjustRightInd w:val="0"/>
              <w:snapToGrid w:val="0"/>
              <w:spacing w:line="240" w:lineRule="exact"/>
              <w:jc w:val="center"/>
              <w:rPr>
                <w:rFonts w:eastAsia="仿宋_GB2312"/>
                <w:b/>
                <w:color w:val="auto"/>
                <w:szCs w:val="21"/>
              </w:rPr>
            </w:pPr>
            <w:r>
              <w:rPr>
                <w:rFonts w:eastAsia="仿宋_GB2312"/>
                <w:b/>
                <w:color w:val="auto"/>
                <w:szCs w:val="21"/>
              </w:rPr>
              <w:t>LD</w:t>
            </w:r>
            <w:r>
              <w:rPr>
                <w:rFonts w:eastAsia="仿宋_GB2312"/>
                <w:b/>
                <w:color w:val="auto"/>
                <w:szCs w:val="21"/>
                <w:vertAlign w:val="subscript"/>
              </w:rPr>
              <w:t>50</w:t>
            </w:r>
            <w:r>
              <w:rPr>
                <w:rFonts w:eastAsia="仿宋_GB2312"/>
                <w:b/>
                <w:color w:val="auto"/>
                <w:szCs w:val="21"/>
              </w:rPr>
              <w:t>（经皮，mg/kg）</w:t>
            </w:r>
          </w:p>
        </w:tc>
        <w:tc>
          <w:tcPr>
            <w:tcW w:w="1365" w:type="dxa"/>
            <w:tcBorders>
              <w:tl2br w:val="nil"/>
              <w:tr2bl w:val="nil"/>
            </w:tcBorders>
            <w:vAlign w:val="center"/>
          </w:tcPr>
          <w:p w14:paraId="14C3273D">
            <w:pPr>
              <w:adjustRightInd w:val="0"/>
              <w:snapToGrid w:val="0"/>
              <w:spacing w:line="240" w:lineRule="exact"/>
              <w:jc w:val="center"/>
              <w:rPr>
                <w:rFonts w:eastAsia="仿宋_GB2312"/>
                <w:b/>
                <w:color w:val="auto"/>
                <w:szCs w:val="21"/>
              </w:rPr>
            </w:pPr>
            <w:r>
              <w:rPr>
                <w:rFonts w:eastAsia="仿宋_GB2312"/>
                <w:b/>
                <w:color w:val="auto"/>
                <w:szCs w:val="21"/>
              </w:rPr>
              <w:t>LC</w:t>
            </w:r>
            <w:r>
              <w:rPr>
                <w:rFonts w:eastAsia="仿宋_GB2312"/>
                <w:b/>
                <w:color w:val="auto"/>
                <w:szCs w:val="21"/>
                <w:vertAlign w:val="subscript"/>
              </w:rPr>
              <w:t>50</w:t>
            </w:r>
            <w:r>
              <w:rPr>
                <w:rFonts w:eastAsia="仿宋_GB2312"/>
                <w:b/>
                <w:color w:val="auto"/>
                <w:szCs w:val="21"/>
              </w:rPr>
              <w:t>（吸入，mg/m</w:t>
            </w:r>
            <w:r>
              <w:rPr>
                <w:rFonts w:eastAsia="仿宋_GB2312"/>
                <w:b/>
                <w:color w:val="auto"/>
                <w:szCs w:val="21"/>
                <w:vertAlign w:val="superscript"/>
              </w:rPr>
              <w:t>3</w:t>
            </w:r>
            <w:r>
              <w:rPr>
                <w:rFonts w:eastAsia="仿宋_GB2312"/>
                <w:b/>
                <w:color w:val="auto"/>
                <w:szCs w:val="21"/>
              </w:rPr>
              <w:t>）</w:t>
            </w:r>
          </w:p>
        </w:tc>
      </w:tr>
      <w:tr w14:paraId="2913269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464" w:type="dxa"/>
            <w:tcBorders>
              <w:tl2br w:val="nil"/>
              <w:tr2bl w:val="nil"/>
            </w:tcBorders>
            <w:vAlign w:val="center"/>
          </w:tcPr>
          <w:p w14:paraId="2DFC8B1B">
            <w:pPr>
              <w:adjustRightInd w:val="0"/>
              <w:snapToGrid w:val="0"/>
              <w:spacing w:line="320" w:lineRule="exact"/>
              <w:jc w:val="center"/>
              <w:rPr>
                <w:rFonts w:eastAsia="仿宋_GB2312"/>
                <w:color w:val="auto"/>
                <w:szCs w:val="21"/>
              </w:rPr>
            </w:pPr>
            <w:r>
              <w:rPr>
                <w:rFonts w:eastAsia="仿宋_GB2312"/>
                <w:color w:val="auto"/>
                <w:szCs w:val="21"/>
              </w:rPr>
              <w:t>二乙酸乙酯醇</w:t>
            </w:r>
          </w:p>
        </w:tc>
        <w:tc>
          <w:tcPr>
            <w:tcW w:w="862" w:type="dxa"/>
            <w:tcBorders>
              <w:tl2br w:val="nil"/>
              <w:tr2bl w:val="nil"/>
            </w:tcBorders>
            <w:vAlign w:val="center"/>
          </w:tcPr>
          <w:p w14:paraId="4C716326">
            <w:pPr>
              <w:adjustRightInd w:val="0"/>
              <w:snapToGrid w:val="0"/>
              <w:spacing w:line="320" w:lineRule="exact"/>
              <w:jc w:val="center"/>
              <w:rPr>
                <w:rFonts w:eastAsia="仿宋_GB2312"/>
                <w:color w:val="auto"/>
                <w:szCs w:val="21"/>
              </w:rPr>
            </w:pPr>
            <w:r>
              <w:rPr>
                <w:rFonts w:eastAsia="仿宋_GB2312"/>
                <w:color w:val="auto"/>
                <w:szCs w:val="21"/>
              </w:rPr>
              <w:t>32077</w:t>
            </w:r>
          </w:p>
        </w:tc>
        <w:tc>
          <w:tcPr>
            <w:tcW w:w="803" w:type="dxa"/>
            <w:tcBorders>
              <w:tl2br w:val="nil"/>
              <w:tr2bl w:val="nil"/>
            </w:tcBorders>
            <w:vAlign w:val="center"/>
          </w:tcPr>
          <w:p w14:paraId="34F58890">
            <w:pPr>
              <w:adjustRightInd w:val="0"/>
              <w:snapToGrid w:val="0"/>
              <w:spacing w:line="320" w:lineRule="exact"/>
              <w:jc w:val="center"/>
              <w:rPr>
                <w:rFonts w:eastAsia="仿宋_GB2312"/>
                <w:color w:val="auto"/>
                <w:szCs w:val="21"/>
              </w:rPr>
            </w:pPr>
            <w:r>
              <w:rPr>
                <w:rFonts w:eastAsia="仿宋_GB2312"/>
                <w:color w:val="auto"/>
                <w:szCs w:val="21"/>
              </w:rPr>
              <w:t>&lt;23</w:t>
            </w:r>
          </w:p>
        </w:tc>
        <w:tc>
          <w:tcPr>
            <w:tcW w:w="896" w:type="dxa"/>
            <w:tcBorders>
              <w:tl2br w:val="nil"/>
              <w:tr2bl w:val="nil"/>
            </w:tcBorders>
            <w:vAlign w:val="center"/>
          </w:tcPr>
          <w:p w14:paraId="4A84DB65">
            <w:pPr>
              <w:adjustRightInd w:val="0"/>
              <w:snapToGrid w:val="0"/>
              <w:spacing w:line="320" w:lineRule="exact"/>
              <w:jc w:val="center"/>
              <w:rPr>
                <w:rFonts w:eastAsia="仿宋_GB2312"/>
                <w:color w:val="auto"/>
                <w:szCs w:val="21"/>
              </w:rPr>
            </w:pPr>
            <w:r>
              <w:rPr>
                <w:rFonts w:eastAsia="仿宋_GB2312"/>
                <w:color w:val="auto"/>
                <w:szCs w:val="21"/>
              </w:rPr>
              <w:t>167.0</w:t>
            </w:r>
          </w:p>
        </w:tc>
        <w:tc>
          <w:tcPr>
            <w:tcW w:w="896" w:type="dxa"/>
            <w:tcBorders>
              <w:tl2br w:val="nil"/>
              <w:tr2bl w:val="nil"/>
            </w:tcBorders>
            <w:vAlign w:val="center"/>
          </w:tcPr>
          <w:p w14:paraId="65E19EC9">
            <w:pPr>
              <w:adjustRightInd w:val="0"/>
              <w:snapToGrid w:val="0"/>
              <w:spacing w:line="320" w:lineRule="exact"/>
              <w:jc w:val="center"/>
              <w:rPr>
                <w:rFonts w:eastAsia="仿宋_GB2312"/>
                <w:color w:val="auto"/>
                <w:szCs w:val="21"/>
              </w:rPr>
            </w:pPr>
            <w:r>
              <w:rPr>
                <w:rFonts w:eastAsia="仿宋_GB2312"/>
                <w:color w:val="auto"/>
                <w:szCs w:val="21"/>
              </w:rPr>
              <w:t>-44</w:t>
            </w:r>
          </w:p>
        </w:tc>
        <w:tc>
          <w:tcPr>
            <w:tcW w:w="1281" w:type="dxa"/>
            <w:tcBorders>
              <w:tl2br w:val="nil"/>
              <w:tr2bl w:val="nil"/>
            </w:tcBorders>
            <w:vAlign w:val="center"/>
          </w:tcPr>
          <w:p w14:paraId="1B9570D8">
            <w:pPr>
              <w:adjustRightInd w:val="0"/>
              <w:snapToGrid w:val="0"/>
              <w:spacing w:line="320" w:lineRule="exact"/>
              <w:jc w:val="center"/>
              <w:rPr>
                <w:rFonts w:eastAsia="仿宋_GB2312"/>
                <w:color w:val="auto"/>
                <w:szCs w:val="21"/>
              </w:rPr>
            </w:pPr>
            <w:r>
              <w:rPr>
                <w:rFonts w:eastAsia="仿宋_GB2312"/>
                <w:color w:val="auto"/>
                <w:szCs w:val="21"/>
              </w:rPr>
              <w:t>4000</w:t>
            </w:r>
          </w:p>
        </w:tc>
        <w:tc>
          <w:tcPr>
            <w:tcW w:w="1279" w:type="dxa"/>
            <w:tcBorders>
              <w:tl2br w:val="nil"/>
              <w:tr2bl w:val="nil"/>
            </w:tcBorders>
            <w:vAlign w:val="center"/>
          </w:tcPr>
          <w:p w14:paraId="4F16D08E">
            <w:pPr>
              <w:adjustRightInd w:val="0"/>
              <w:snapToGrid w:val="0"/>
              <w:spacing w:line="320" w:lineRule="exact"/>
              <w:jc w:val="center"/>
              <w:rPr>
                <w:rFonts w:eastAsia="仿宋_GB2312"/>
                <w:color w:val="auto"/>
                <w:szCs w:val="21"/>
              </w:rPr>
            </w:pPr>
            <w:r>
              <w:rPr>
                <w:rFonts w:eastAsia="仿宋_GB2312"/>
                <w:color w:val="auto"/>
                <w:szCs w:val="21"/>
              </w:rPr>
              <w:t>13500</w:t>
            </w:r>
          </w:p>
        </w:tc>
        <w:tc>
          <w:tcPr>
            <w:tcW w:w="1365" w:type="dxa"/>
            <w:tcBorders>
              <w:tl2br w:val="nil"/>
              <w:tr2bl w:val="nil"/>
            </w:tcBorders>
            <w:vAlign w:val="center"/>
          </w:tcPr>
          <w:p w14:paraId="394BB95E">
            <w:pPr>
              <w:adjustRightInd w:val="0"/>
              <w:snapToGrid w:val="0"/>
              <w:spacing w:line="320" w:lineRule="exact"/>
              <w:jc w:val="center"/>
              <w:rPr>
                <w:rFonts w:eastAsia="仿宋_GB2312"/>
                <w:color w:val="auto"/>
                <w:szCs w:val="21"/>
              </w:rPr>
            </w:pPr>
            <w:r>
              <w:rPr>
                <w:rFonts w:eastAsia="仿宋_GB2312"/>
                <w:color w:val="auto"/>
                <w:szCs w:val="21"/>
              </w:rPr>
              <w:t>/</w:t>
            </w:r>
          </w:p>
        </w:tc>
      </w:tr>
      <w:tr w14:paraId="3514623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464" w:type="dxa"/>
            <w:tcBorders>
              <w:tl2br w:val="nil"/>
              <w:tr2bl w:val="nil"/>
            </w:tcBorders>
            <w:vAlign w:val="center"/>
          </w:tcPr>
          <w:p w14:paraId="5EBB2CDD">
            <w:pPr>
              <w:adjustRightInd w:val="0"/>
              <w:snapToGrid w:val="0"/>
              <w:spacing w:line="320" w:lineRule="exact"/>
              <w:jc w:val="center"/>
              <w:rPr>
                <w:rFonts w:eastAsia="仿宋_GB2312"/>
                <w:color w:val="auto"/>
                <w:szCs w:val="21"/>
              </w:rPr>
            </w:pPr>
            <w:r>
              <w:rPr>
                <w:rFonts w:eastAsia="仿宋_GB2312"/>
                <w:color w:val="auto"/>
                <w:szCs w:val="21"/>
              </w:rPr>
              <w:t>丙酮</w:t>
            </w:r>
          </w:p>
        </w:tc>
        <w:tc>
          <w:tcPr>
            <w:tcW w:w="862" w:type="dxa"/>
            <w:tcBorders>
              <w:tl2br w:val="nil"/>
              <w:tr2bl w:val="nil"/>
            </w:tcBorders>
            <w:vAlign w:val="center"/>
          </w:tcPr>
          <w:p w14:paraId="4DB51039">
            <w:pPr>
              <w:widowControl/>
              <w:adjustRightInd w:val="0"/>
              <w:snapToGrid w:val="0"/>
              <w:spacing w:line="320" w:lineRule="exact"/>
              <w:jc w:val="center"/>
              <w:rPr>
                <w:rFonts w:eastAsia="仿宋_GB2312"/>
                <w:color w:val="auto"/>
                <w:szCs w:val="21"/>
              </w:rPr>
            </w:pPr>
            <w:r>
              <w:rPr>
                <w:rFonts w:eastAsia="仿宋_GB2312"/>
                <w:color w:val="auto"/>
                <w:szCs w:val="21"/>
              </w:rPr>
              <w:t>31025</w:t>
            </w:r>
          </w:p>
        </w:tc>
        <w:tc>
          <w:tcPr>
            <w:tcW w:w="803" w:type="dxa"/>
            <w:tcBorders>
              <w:tl2br w:val="nil"/>
              <w:tr2bl w:val="nil"/>
            </w:tcBorders>
            <w:vAlign w:val="center"/>
          </w:tcPr>
          <w:p w14:paraId="363C30CD">
            <w:pPr>
              <w:adjustRightInd w:val="0"/>
              <w:snapToGrid w:val="0"/>
              <w:spacing w:line="320" w:lineRule="exact"/>
              <w:jc w:val="center"/>
              <w:rPr>
                <w:rFonts w:eastAsia="仿宋_GB2312"/>
                <w:color w:val="auto"/>
                <w:szCs w:val="21"/>
              </w:rPr>
            </w:pPr>
            <w:r>
              <w:rPr>
                <w:rFonts w:eastAsia="仿宋_GB2312"/>
                <w:color w:val="auto"/>
                <w:szCs w:val="21"/>
              </w:rPr>
              <w:t>-20</w:t>
            </w:r>
          </w:p>
        </w:tc>
        <w:tc>
          <w:tcPr>
            <w:tcW w:w="896" w:type="dxa"/>
            <w:tcBorders>
              <w:tl2br w:val="nil"/>
              <w:tr2bl w:val="nil"/>
            </w:tcBorders>
            <w:vAlign w:val="center"/>
          </w:tcPr>
          <w:p w14:paraId="3E28F6FF">
            <w:pPr>
              <w:adjustRightInd w:val="0"/>
              <w:snapToGrid w:val="0"/>
              <w:spacing w:line="320" w:lineRule="exact"/>
              <w:jc w:val="center"/>
              <w:rPr>
                <w:rFonts w:eastAsia="仿宋_GB2312"/>
                <w:color w:val="auto"/>
                <w:szCs w:val="21"/>
              </w:rPr>
            </w:pPr>
            <w:r>
              <w:rPr>
                <w:rFonts w:eastAsia="仿宋_GB2312"/>
                <w:color w:val="auto"/>
                <w:szCs w:val="21"/>
              </w:rPr>
              <w:t>56.5</w:t>
            </w:r>
          </w:p>
        </w:tc>
        <w:tc>
          <w:tcPr>
            <w:tcW w:w="896" w:type="dxa"/>
            <w:tcBorders>
              <w:tl2br w:val="nil"/>
              <w:tr2bl w:val="nil"/>
            </w:tcBorders>
            <w:vAlign w:val="center"/>
          </w:tcPr>
          <w:p w14:paraId="44987C43">
            <w:pPr>
              <w:adjustRightInd w:val="0"/>
              <w:snapToGrid w:val="0"/>
              <w:spacing w:line="320" w:lineRule="exact"/>
              <w:jc w:val="center"/>
              <w:rPr>
                <w:rFonts w:eastAsia="仿宋_GB2312"/>
                <w:color w:val="auto"/>
                <w:szCs w:val="21"/>
              </w:rPr>
            </w:pPr>
            <w:r>
              <w:rPr>
                <w:rFonts w:eastAsia="仿宋_GB2312"/>
                <w:color w:val="auto"/>
                <w:szCs w:val="21"/>
              </w:rPr>
              <w:t>-94.6</w:t>
            </w:r>
          </w:p>
        </w:tc>
        <w:tc>
          <w:tcPr>
            <w:tcW w:w="1281" w:type="dxa"/>
            <w:tcBorders>
              <w:tl2br w:val="nil"/>
              <w:tr2bl w:val="nil"/>
            </w:tcBorders>
            <w:vAlign w:val="center"/>
          </w:tcPr>
          <w:p w14:paraId="28E3F833">
            <w:pPr>
              <w:adjustRightInd w:val="0"/>
              <w:snapToGrid w:val="0"/>
              <w:spacing w:line="320" w:lineRule="exact"/>
              <w:jc w:val="center"/>
              <w:rPr>
                <w:rFonts w:eastAsia="仿宋_GB2312"/>
                <w:color w:val="auto"/>
                <w:szCs w:val="21"/>
              </w:rPr>
            </w:pPr>
            <w:r>
              <w:rPr>
                <w:rFonts w:eastAsia="仿宋_GB2312"/>
                <w:color w:val="auto"/>
                <w:szCs w:val="21"/>
              </w:rPr>
              <w:t>5800</w:t>
            </w:r>
          </w:p>
        </w:tc>
        <w:tc>
          <w:tcPr>
            <w:tcW w:w="1279" w:type="dxa"/>
            <w:tcBorders>
              <w:tl2br w:val="nil"/>
              <w:tr2bl w:val="nil"/>
            </w:tcBorders>
            <w:vAlign w:val="center"/>
          </w:tcPr>
          <w:p w14:paraId="4CB5788B">
            <w:pPr>
              <w:adjustRightInd w:val="0"/>
              <w:snapToGrid w:val="0"/>
              <w:spacing w:line="320" w:lineRule="exact"/>
              <w:jc w:val="center"/>
              <w:rPr>
                <w:rFonts w:eastAsia="仿宋_GB2312"/>
                <w:color w:val="auto"/>
                <w:szCs w:val="21"/>
              </w:rPr>
            </w:pPr>
            <w:r>
              <w:rPr>
                <w:rFonts w:eastAsia="仿宋_GB2312"/>
                <w:color w:val="auto"/>
                <w:szCs w:val="21"/>
              </w:rPr>
              <w:t>20000</w:t>
            </w:r>
          </w:p>
        </w:tc>
        <w:tc>
          <w:tcPr>
            <w:tcW w:w="1365" w:type="dxa"/>
            <w:tcBorders>
              <w:tl2br w:val="nil"/>
              <w:tr2bl w:val="nil"/>
            </w:tcBorders>
            <w:vAlign w:val="center"/>
          </w:tcPr>
          <w:p w14:paraId="68DE594A">
            <w:pPr>
              <w:adjustRightInd w:val="0"/>
              <w:snapToGrid w:val="0"/>
              <w:spacing w:line="320" w:lineRule="exact"/>
              <w:jc w:val="center"/>
              <w:rPr>
                <w:rFonts w:eastAsia="仿宋_GB2312"/>
                <w:color w:val="auto"/>
                <w:szCs w:val="21"/>
              </w:rPr>
            </w:pPr>
            <w:r>
              <w:rPr>
                <w:rFonts w:eastAsia="仿宋_GB2312"/>
                <w:color w:val="auto"/>
                <w:szCs w:val="21"/>
              </w:rPr>
              <w:t>/</w:t>
            </w:r>
          </w:p>
        </w:tc>
      </w:tr>
      <w:tr w14:paraId="5760BCA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464" w:type="dxa"/>
            <w:tcBorders>
              <w:tl2br w:val="nil"/>
              <w:tr2bl w:val="nil"/>
            </w:tcBorders>
            <w:vAlign w:val="center"/>
          </w:tcPr>
          <w:p w14:paraId="6A07EABC">
            <w:pPr>
              <w:adjustRightInd w:val="0"/>
              <w:snapToGrid w:val="0"/>
              <w:spacing w:line="320" w:lineRule="exact"/>
              <w:jc w:val="center"/>
              <w:rPr>
                <w:rFonts w:eastAsia="仿宋_GB2312"/>
                <w:color w:val="auto"/>
                <w:szCs w:val="21"/>
              </w:rPr>
            </w:pPr>
            <w:r>
              <w:rPr>
                <w:rFonts w:eastAsia="仿宋_GB2312"/>
                <w:color w:val="auto"/>
                <w:szCs w:val="21"/>
              </w:rPr>
              <w:t>N-甲基吡咯烷酮</w:t>
            </w:r>
          </w:p>
        </w:tc>
        <w:tc>
          <w:tcPr>
            <w:tcW w:w="862" w:type="dxa"/>
            <w:tcBorders>
              <w:tl2br w:val="nil"/>
              <w:tr2bl w:val="nil"/>
            </w:tcBorders>
            <w:vAlign w:val="center"/>
          </w:tcPr>
          <w:p w14:paraId="4CC50E94">
            <w:pPr>
              <w:widowControl/>
              <w:adjustRightInd w:val="0"/>
              <w:snapToGrid w:val="0"/>
              <w:spacing w:line="320" w:lineRule="exact"/>
              <w:jc w:val="center"/>
              <w:rPr>
                <w:rFonts w:eastAsia="仿宋_GB2312"/>
                <w:color w:val="auto"/>
                <w:szCs w:val="21"/>
              </w:rPr>
            </w:pPr>
            <w:r>
              <w:rPr>
                <w:rFonts w:eastAsia="仿宋_GB2312"/>
                <w:color w:val="auto"/>
                <w:szCs w:val="21"/>
              </w:rPr>
              <w:t>/</w:t>
            </w:r>
          </w:p>
        </w:tc>
        <w:tc>
          <w:tcPr>
            <w:tcW w:w="803" w:type="dxa"/>
            <w:tcBorders>
              <w:tl2br w:val="nil"/>
              <w:tr2bl w:val="nil"/>
            </w:tcBorders>
            <w:vAlign w:val="center"/>
          </w:tcPr>
          <w:p w14:paraId="3ECD2D44">
            <w:pPr>
              <w:adjustRightInd w:val="0"/>
              <w:snapToGrid w:val="0"/>
              <w:spacing w:line="320" w:lineRule="exact"/>
              <w:jc w:val="center"/>
              <w:rPr>
                <w:rFonts w:eastAsia="仿宋_GB2312"/>
                <w:color w:val="auto"/>
                <w:szCs w:val="21"/>
              </w:rPr>
            </w:pPr>
            <w:r>
              <w:rPr>
                <w:rFonts w:eastAsia="仿宋_GB2312"/>
                <w:color w:val="auto"/>
                <w:szCs w:val="21"/>
              </w:rPr>
              <w:t>88</w:t>
            </w:r>
          </w:p>
        </w:tc>
        <w:tc>
          <w:tcPr>
            <w:tcW w:w="896" w:type="dxa"/>
            <w:tcBorders>
              <w:tl2br w:val="nil"/>
              <w:tr2bl w:val="nil"/>
            </w:tcBorders>
            <w:vAlign w:val="center"/>
          </w:tcPr>
          <w:p w14:paraId="604E59F3">
            <w:pPr>
              <w:adjustRightInd w:val="0"/>
              <w:snapToGrid w:val="0"/>
              <w:spacing w:line="320" w:lineRule="exact"/>
              <w:jc w:val="center"/>
              <w:rPr>
                <w:rFonts w:eastAsia="仿宋_GB2312"/>
                <w:color w:val="auto"/>
                <w:szCs w:val="21"/>
              </w:rPr>
            </w:pPr>
            <w:r>
              <w:rPr>
                <w:rFonts w:eastAsia="仿宋_GB2312"/>
                <w:color w:val="auto"/>
                <w:szCs w:val="21"/>
              </w:rPr>
              <w:t>202</w:t>
            </w:r>
          </w:p>
        </w:tc>
        <w:tc>
          <w:tcPr>
            <w:tcW w:w="896" w:type="dxa"/>
            <w:tcBorders>
              <w:tl2br w:val="nil"/>
              <w:tr2bl w:val="nil"/>
            </w:tcBorders>
            <w:vAlign w:val="center"/>
          </w:tcPr>
          <w:p w14:paraId="38DDADB9">
            <w:pPr>
              <w:adjustRightInd w:val="0"/>
              <w:snapToGrid w:val="0"/>
              <w:spacing w:line="320" w:lineRule="exact"/>
              <w:jc w:val="center"/>
              <w:rPr>
                <w:rFonts w:eastAsia="仿宋_GB2312"/>
                <w:color w:val="auto"/>
                <w:szCs w:val="21"/>
              </w:rPr>
            </w:pPr>
            <w:r>
              <w:rPr>
                <w:rFonts w:eastAsia="仿宋_GB2312"/>
                <w:color w:val="auto"/>
                <w:szCs w:val="21"/>
              </w:rPr>
              <w:t>-24</w:t>
            </w:r>
          </w:p>
        </w:tc>
        <w:tc>
          <w:tcPr>
            <w:tcW w:w="1281" w:type="dxa"/>
            <w:tcBorders>
              <w:tl2br w:val="nil"/>
              <w:tr2bl w:val="nil"/>
            </w:tcBorders>
            <w:vAlign w:val="center"/>
          </w:tcPr>
          <w:p w14:paraId="2B5E6202">
            <w:pPr>
              <w:adjustRightInd w:val="0"/>
              <w:snapToGrid w:val="0"/>
              <w:spacing w:line="320" w:lineRule="exact"/>
              <w:jc w:val="center"/>
              <w:rPr>
                <w:rFonts w:eastAsia="仿宋_GB2312"/>
                <w:color w:val="auto"/>
                <w:szCs w:val="21"/>
              </w:rPr>
            </w:pPr>
            <w:r>
              <w:rPr>
                <w:rFonts w:eastAsia="仿宋_GB2312"/>
                <w:color w:val="auto"/>
                <w:szCs w:val="21"/>
              </w:rPr>
              <w:t>3914</w:t>
            </w:r>
          </w:p>
        </w:tc>
        <w:tc>
          <w:tcPr>
            <w:tcW w:w="1279" w:type="dxa"/>
            <w:tcBorders>
              <w:tl2br w:val="nil"/>
              <w:tr2bl w:val="nil"/>
            </w:tcBorders>
            <w:vAlign w:val="center"/>
          </w:tcPr>
          <w:p w14:paraId="5EE2AB5C">
            <w:pPr>
              <w:adjustRightInd w:val="0"/>
              <w:snapToGrid w:val="0"/>
              <w:spacing w:line="320" w:lineRule="exact"/>
              <w:jc w:val="center"/>
              <w:rPr>
                <w:rFonts w:eastAsia="仿宋_GB2312"/>
                <w:color w:val="auto"/>
                <w:szCs w:val="21"/>
              </w:rPr>
            </w:pPr>
            <w:r>
              <w:rPr>
                <w:rFonts w:eastAsia="仿宋_GB2312"/>
                <w:color w:val="auto"/>
                <w:szCs w:val="21"/>
              </w:rPr>
              <w:t>8000</w:t>
            </w:r>
          </w:p>
        </w:tc>
        <w:tc>
          <w:tcPr>
            <w:tcW w:w="1365" w:type="dxa"/>
            <w:tcBorders>
              <w:tl2br w:val="nil"/>
              <w:tr2bl w:val="nil"/>
            </w:tcBorders>
            <w:vAlign w:val="center"/>
          </w:tcPr>
          <w:p w14:paraId="38D4D0F3">
            <w:pPr>
              <w:adjustRightInd w:val="0"/>
              <w:snapToGrid w:val="0"/>
              <w:spacing w:line="320" w:lineRule="exact"/>
              <w:jc w:val="center"/>
              <w:rPr>
                <w:rFonts w:eastAsia="仿宋_GB2312"/>
                <w:color w:val="auto"/>
                <w:szCs w:val="21"/>
              </w:rPr>
            </w:pPr>
            <w:r>
              <w:rPr>
                <w:rFonts w:eastAsia="仿宋_GB2312"/>
                <w:color w:val="auto"/>
                <w:szCs w:val="21"/>
              </w:rPr>
              <w:t>/</w:t>
            </w:r>
          </w:p>
        </w:tc>
      </w:tr>
      <w:tr w14:paraId="28CAF96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464" w:type="dxa"/>
            <w:tcBorders>
              <w:tl2br w:val="nil"/>
              <w:tr2bl w:val="nil"/>
            </w:tcBorders>
            <w:vAlign w:val="center"/>
          </w:tcPr>
          <w:p w14:paraId="35329D0D">
            <w:pPr>
              <w:adjustRightInd w:val="0"/>
              <w:snapToGrid w:val="0"/>
              <w:spacing w:line="320" w:lineRule="exact"/>
              <w:jc w:val="center"/>
              <w:rPr>
                <w:rFonts w:eastAsia="仿宋_GB2312"/>
                <w:color w:val="auto"/>
                <w:szCs w:val="21"/>
              </w:rPr>
            </w:pPr>
            <w:r>
              <w:rPr>
                <w:rFonts w:eastAsia="仿宋_GB2312"/>
                <w:color w:val="auto"/>
                <w:szCs w:val="21"/>
              </w:rPr>
              <w:t>异丙醇</w:t>
            </w:r>
          </w:p>
        </w:tc>
        <w:tc>
          <w:tcPr>
            <w:tcW w:w="862" w:type="dxa"/>
            <w:tcBorders>
              <w:tl2br w:val="nil"/>
              <w:tr2bl w:val="nil"/>
            </w:tcBorders>
            <w:vAlign w:val="center"/>
          </w:tcPr>
          <w:p w14:paraId="71BFC6A6">
            <w:pPr>
              <w:adjustRightInd w:val="0"/>
              <w:snapToGrid w:val="0"/>
              <w:spacing w:line="320" w:lineRule="exact"/>
              <w:jc w:val="center"/>
              <w:rPr>
                <w:rFonts w:eastAsia="仿宋_GB2312"/>
                <w:color w:val="auto"/>
                <w:szCs w:val="21"/>
              </w:rPr>
            </w:pPr>
            <w:r>
              <w:rPr>
                <w:rFonts w:eastAsia="仿宋_GB2312"/>
                <w:color w:val="auto"/>
                <w:szCs w:val="21"/>
              </w:rPr>
              <w:t>32064</w:t>
            </w:r>
          </w:p>
        </w:tc>
        <w:tc>
          <w:tcPr>
            <w:tcW w:w="803" w:type="dxa"/>
            <w:tcBorders>
              <w:tl2br w:val="nil"/>
              <w:tr2bl w:val="nil"/>
            </w:tcBorders>
            <w:vAlign w:val="center"/>
          </w:tcPr>
          <w:p w14:paraId="6534C0B8">
            <w:pPr>
              <w:adjustRightInd w:val="0"/>
              <w:snapToGrid w:val="0"/>
              <w:spacing w:line="320" w:lineRule="exact"/>
              <w:jc w:val="center"/>
              <w:rPr>
                <w:rFonts w:eastAsia="仿宋_GB2312"/>
                <w:color w:val="auto"/>
                <w:szCs w:val="21"/>
              </w:rPr>
            </w:pPr>
            <w:r>
              <w:rPr>
                <w:rFonts w:eastAsia="仿宋_GB2312"/>
                <w:color w:val="auto"/>
                <w:szCs w:val="21"/>
              </w:rPr>
              <w:t>12</w:t>
            </w:r>
          </w:p>
        </w:tc>
        <w:tc>
          <w:tcPr>
            <w:tcW w:w="896" w:type="dxa"/>
            <w:tcBorders>
              <w:tl2br w:val="nil"/>
              <w:tr2bl w:val="nil"/>
            </w:tcBorders>
            <w:vAlign w:val="center"/>
          </w:tcPr>
          <w:p w14:paraId="33D23AC5">
            <w:pPr>
              <w:adjustRightInd w:val="0"/>
              <w:snapToGrid w:val="0"/>
              <w:spacing w:line="320" w:lineRule="exact"/>
              <w:jc w:val="center"/>
              <w:rPr>
                <w:rFonts w:eastAsia="仿宋_GB2312"/>
                <w:color w:val="auto"/>
                <w:szCs w:val="21"/>
              </w:rPr>
            </w:pPr>
            <w:r>
              <w:rPr>
                <w:rFonts w:eastAsia="仿宋_GB2312"/>
                <w:color w:val="auto"/>
                <w:szCs w:val="21"/>
              </w:rPr>
              <w:t>82.5</w:t>
            </w:r>
          </w:p>
        </w:tc>
        <w:tc>
          <w:tcPr>
            <w:tcW w:w="896" w:type="dxa"/>
            <w:tcBorders>
              <w:tl2br w:val="nil"/>
              <w:tr2bl w:val="nil"/>
            </w:tcBorders>
            <w:vAlign w:val="center"/>
          </w:tcPr>
          <w:p w14:paraId="23256EEF">
            <w:pPr>
              <w:adjustRightInd w:val="0"/>
              <w:snapToGrid w:val="0"/>
              <w:spacing w:line="320" w:lineRule="exact"/>
              <w:jc w:val="center"/>
              <w:rPr>
                <w:rFonts w:eastAsia="仿宋_GB2312"/>
                <w:color w:val="auto"/>
                <w:szCs w:val="21"/>
              </w:rPr>
            </w:pPr>
            <w:r>
              <w:rPr>
                <w:rFonts w:eastAsia="仿宋_GB2312"/>
                <w:color w:val="auto"/>
                <w:szCs w:val="21"/>
              </w:rPr>
              <w:t>-88.5</w:t>
            </w:r>
          </w:p>
        </w:tc>
        <w:tc>
          <w:tcPr>
            <w:tcW w:w="1281" w:type="dxa"/>
            <w:tcBorders>
              <w:tl2br w:val="nil"/>
              <w:tr2bl w:val="nil"/>
            </w:tcBorders>
            <w:vAlign w:val="center"/>
          </w:tcPr>
          <w:p w14:paraId="6E1D98B8">
            <w:pPr>
              <w:adjustRightInd w:val="0"/>
              <w:snapToGrid w:val="0"/>
              <w:spacing w:line="320" w:lineRule="exact"/>
              <w:jc w:val="center"/>
              <w:rPr>
                <w:rFonts w:eastAsia="仿宋_GB2312"/>
                <w:color w:val="auto"/>
                <w:szCs w:val="21"/>
              </w:rPr>
            </w:pPr>
            <w:r>
              <w:rPr>
                <w:rFonts w:eastAsia="仿宋_GB2312"/>
                <w:color w:val="auto"/>
                <w:szCs w:val="21"/>
              </w:rPr>
              <w:t>5045</w:t>
            </w:r>
          </w:p>
        </w:tc>
        <w:tc>
          <w:tcPr>
            <w:tcW w:w="1279" w:type="dxa"/>
            <w:tcBorders>
              <w:tl2br w:val="nil"/>
              <w:tr2bl w:val="nil"/>
            </w:tcBorders>
            <w:vAlign w:val="center"/>
          </w:tcPr>
          <w:p w14:paraId="0078B924">
            <w:pPr>
              <w:adjustRightInd w:val="0"/>
              <w:snapToGrid w:val="0"/>
              <w:spacing w:line="320" w:lineRule="exact"/>
              <w:jc w:val="center"/>
              <w:rPr>
                <w:rFonts w:eastAsia="仿宋_GB2312"/>
                <w:color w:val="auto"/>
                <w:szCs w:val="21"/>
              </w:rPr>
            </w:pPr>
            <w:r>
              <w:rPr>
                <w:rFonts w:eastAsia="仿宋_GB2312"/>
                <w:color w:val="auto"/>
                <w:szCs w:val="21"/>
              </w:rPr>
              <w:t>12800</w:t>
            </w:r>
          </w:p>
        </w:tc>
        <w:tc>
          <w:tcPr>
            <w:tcW w:w="1365" w:type="dxa"/>
            <w:tcBorders>
              <w:tl2br w:val="nil"/>
              <w:tr2bl w:val="nil"/>
            </w:tcBorders>
            <w:vAlign w:val="center"/>
          </w:tcPr>
          <w:p w14:paraId="32635BF1">
            <w:pPr>
              <w:adjustRightInd w:val="0"/>
              <w:snapToGrid w:val="0"/>
              <w:spacing w:line="320" w:lineRule="exact"/>
              <w:jc w:val="center"/>
              <w:rPr>
                <w:rFonts w:eastAsia="仿宋_GB2312"/>
                <w:color w:val="auto"/>
                <w:szCs w:val="21"/>
              </w:rPr>
            </w:pPr>
            <w:r>
              <w:rPr>
                <w:rFonts w:eastAsia="仿宋_GB2312"/>
                <w:color w:val="auto"/>
                <w:szCs w:val="21"/>
              </w:rPr>
              <w:t>/</w:t>
            </w:r>
          </w:p>
        </w:tc>
      </w:tr>
      <w:tr w14:paraId="4A8E126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464" w:type="dxa"/>
            <w:tcBorders>
              <w:tl2br w:val="nil"/>
              <w:tr2bl w:val="nil"/>
            </w:tcBorders>
            <w:vAlign w:val="center"/>
          </w:tcPr>
          <w:p w14:paraId="0DCFBDE1">
            <w:pPr>
              <w:adjustRightInd w:val="0"/>
              <w:snapToGrid w:val="0"/>
              <w:spacing w:line="320" w:lineRule="exact"/>
              <w:jc w:val="center"/>
              <w:rPr>
                <w:rFonts w:eastAsia="仿宋_GB2312"/>
                <w:color w:val="auto"/>
                <w:szCs w:val="21"/>
              </w:rPr>
            </w:pPr>
            <w:r>
              <w:rPr>
                <w:rFonts w:eastAsia="仿宋_GB2312"/>
                <w:color w:val="auto"/>
                <w:szCs w:val="21"/>
              </w:rPr>
              <w:t>四氢呋喃</w:t>
            </w:r>
          </w:p>
        </w:tc>
        <w:tc>
          <w:tcPr>
            <w:tcW w:w="862" w:type="dxa"/>
            <w:tcBorders>
              <w:tl2br w:val="nil"/>
              <w:tr2bl w:val="nil"/>
            </w:tcBorders>
            <w:vAlign w:val="center"/>
          </w:tcPr>
          <w:p w14:paraId="75B41273">
            <w:pPr>
              <w:adjustRightInd w:val="0"/>
              <w:snapToGrid w:val="0"/>
              <w:spacing w:line="320" w:lineRule="exact"/>
              <w:jc w:val="center"/>
              <w:rPr>
                <w:rFonts w:eastAsia="仿宋_GB2312"/>
                <w:color w:val="auto"/>
                <w:szCs w:val="21"/>
              </w:rPr>
            </w:pPr>
            <w:r>
              <w:rPr>
                <w:rFonts w:eastAsia="仿宋_GB2312"/>
                <w:color w:val="auto"/>
                <w:szCs w:val="21"/>
              </w:rPr>
              <w:t>31042</w:t>
            </w:r>
          </w:p>
        </w:tc>
        <w:tc>
          <w:tcPr>
            <w:tcW w:w="803" w:type="dxa"/>
            <w:tcBorders>
              <w:tl2br w:val="nil"/>
              <w:tr2bl w:val="nil"/>
            </w:tcBorders>
            <w:vAlign w:val="center"/>
          </w:tcPr>
          <w:p w14:paraId="1834C6B2">
            <w:pPr>
              <w:adjustRightInd w:val="0"/>
              <w:snapToGrid w:val="0"/>
              <w:spacing w:line="320" w:lineRule="exact"/>
              <w:jc w:val="center"/>
              <w:rPr>
                <w:rFonts w:eastAsia="仿宋_GB2312"/>
                <w:color w:val="auto"/>
                <w:szCs w:val="21"/>
              </w:rPr>
            </w:pPr>
            <w:r>
              <w:rPr>
                <w:rFonts w:eastAsia="仿宋_GB2312"/>
                <w:color w:val="auto"/>
                <w:szCs w:val="21"/>
              </w:rPr>
              <w:t>-20</w:t>
            </w:r>
          </w:p>
        </w:tc>
        <w:tc>
          <w:tcPr>
            <w:tcW w:w="896" w:type="dxa"/>
            <w:tcBorders>
              <w:tl2br w:val="nil"/>
              <w:tr2bl w:val="nil"/>
            </w:tcBorders>
            <w:vAlign w:val="center"/>
          </w:tcPr>
          <w:p w14:paraId="3BB74EBD">
            <w:pPr>
              <w:adjustRightInd w:val="0"/>
              <w:snapToGrid w:val="0"/>
              <w:spacing w:line="320" w:lineRule="exact"/>
              <w:jc w:val="center"/>
              <w:rPr>
                <w:rFonts w:eastAsia="仿宋_GB2312"/>
                <w:color w:val="auto"/>
                <w:szCs w:val="21"/>
              </w:rPr>
            </w:pPr>
            <w:r>
              <w:rPr>
                <w:rFonts w:eastAsia="仿宋_GB2312"/>
                <w:color w:val="auto"/>
                <w:szCs w:val="21"/>
              </w:rPr>
              <w:t>65.4</w:t>
            </w:r>
          </w:p>
        </w:tc>
        <w:tc>
          <w:tcPr>
            <w:tcW w:w="896" w:type="dxa"/>
            <w:tcBorders>
              <w:tl2br w:val="nil"/>
              <w:tr2bl w:val="nil"/>
            </w:tcBorders>
            <w:vAlign w:val="center"/>
          </w:tcPr>
          <w:p w14:paraId="02548BB8">
            <w:pPr>
              <w:adjustRightInd w:val="0"/>
              <w:snapToGrid w:val="0"/>
              <w:spacing w:line="320" w:lineRule="exact"/>
              <w:jc w:val="center"/>
              <w:rPr>
                <w:rFonts w:eastAsia="仿宋_GB2312"/>
                <w:color w:val="auto"/>
                <w:szCs w:val="21"/>
              </w:rPr>
            </w:pPr>
            <w:r>
              <w:rPr>
                <w:rFonts w:eastAsia="仿宋_GB2312"/>
                <w:color w:val="auto"/>
                <w:szCs w:val="21"/>
              </w:rPr>
              <w:t>-108.5</w:t>
            </w:r>
          </w:p>
        </w:tc>
        <w:tc>
          <w:tcPr>
            <w:tcW w:w="1281" w:type="dxa"/>
            <w:tcBorders>
              <w:tl2br w:val="nil"/>
              <w:tr2bl w:val="nil"/>
            </w:tcBorders>
            <w:vAlign w:val="center"/>
          </w:tcPr>
          <w:p w14:paraId="0080CA45">
            <w:pPr>
              <w:adjustRightInd w:val="0"/>
              <w:snapToGrid w:val="0"/>
              <w:spacing w:line="320" w:lineRule="exact"/>
              <w:jc w:val="center"/>
              <w:rPr>
                <w:rFonts w:eastAsia="仿宋_GB2312"/>
                <w:color w:val="auto"/>
                <w:szCs w:val="21"/>
              </w:rPr>
            </w:pPr>
            <w:r>
              <w:rPr>
                <w:rFonts w:eastAsia="仿宋_GB2312"/>
                <w:color w:val="auto"/>
                <w:szCs w:val="21"/>
              </w:rPr>
              <w:t>2816</w:t>
            </w:r>
          </w:p>
        </w:tc>
        <w:tc>
          <w:tcPr>
            <w:tcW w:w="1279" w:type="dxa"/>
            <w:tcBorders>
              <w:tl2br w:val="nil"/>
              <w:tr2bl w:val="nil"/>
            </w:tcBorders>
            <w:vAlign w:val="center"/>
          </w:tcPr>
          <w:p w14:paraId="67DC63ED">
            <w:pPr>
              <w:adjustRightInd w:val="0"/>
              <w:snapToGrid w:val="0"/>
              <w:spacing w:line="320" w:lineRule="exact"/>
              <w:jc w:val="center"/>
              <w:rPr>
                <w:rFonts w:eastAsia="仿宋_GB2312"/>
                <w:color w:val="auto"/>
                <w:szCs w:val="21"/>
              </w:rPr>
            </w:pPr>
            <w:r>
              <w:rPr>
                <w:rFonts w:eastAsia="仿宋_GB2312"/>
                <w:color w:val="auto"/>
                <w:szCs w:val="21"/>
              </w:rPr>
              <w:t>/</w:t>
            </w:r>
          </w:p>
        </w:tc>
        <w:tc>
          <w:tcPr>
            <w:tcW w:w="1365" w:type="dxa"/>
            <w:tcBorders>
              <w:tl2br w:val="nil"/>
              <w:tr2bl w:val="nil"/>
            </w:tcBorders>
            <w:vAlign w:val="center"/>
          </w:tcPr>
          <w:p w14:paraId="0CF2680A">
            <w:pPr>
              <w:adjustRightInd w:val="0"/>
              <w:snapToGrid w:val="0"/>
              <w:spacing w:line="320" w:lineRule="exact"/>
              <w:jc w:val="center"/>
              <w:rPr>
                <w:rFonts w:eastAsia="仿宋_GB2312"/>
                <w:color w:val="auto"/>
                <w:szCs w:val="21"/>
              </w:rPr>
            </w:pPr>
            <w:r>
              <w:rPr>
                <w:rFonts w:eastAsia="仿宋_GB2312"/>
                <w:color w:val="auto"/>
                <w:szCs w:val="21"/>
              </w:rPr>
              <w:t>61740,3小时</w:t>
            </w:r>
          </w:p>
        </w:tc>
      </w:tr>
      <w:tr w14:paraId="465FE83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464" w:type="dxa"/>
            <w:tcBorders>
              <w:tl2br w:val="nil"/>
              <w:tr2bl w:val="nil"/>
            </w:tcBorders>
            <w:vAlign w:val="center"/>
          </w:tcPr>
          <w:p w14:paraId="47652AA0">
            <w:pPr>
              <w:adjustRightInd w:val="0"/>
              <w:snapToGrid w:val="0"/>
              <w:spacing w:line="320" w:lineRule="exact"/>
              <w:jc w:val="center"/>
              <w:rPr>
                <w:rFonts w:eastAsia="仿宋_GB2312"/>
                <w:color w:val="auto"/>
                <w:szCs w:val="21"/>
              </w:rPr>
            </w:pPr>
            <w:r>
              <w:rPr>
                <w:rFonts w:eastAsia="仿宋_GB2312"/>
                <w:color w:val="auto"/>
                <w:szCs w:val="21"/>
              </w:rPr>
              <w:t>丁酮</w:t>
            </w:r>
          </w:p>
        </w:tc>
        <w:tc>
          <w:tcPr>
            <w:tcW w:w="862" w:type="dxa"/>
            <w:tcBorders>
              <w:tl2br w:val="nil"/>
              <w:tr2bl w:val="nil"/>
            </w:tcBorders>
            <w:vAlign w:val="center"/>
          </w:tcPr>
          <w:p w14:paraId="0F2105DC">
            <w:pPr>
              <w:adjustRightInd w:val="0"/>
              <w:snapToGrid w:val="0"/>
              <w:spacing w:line="320" w:lineRule="exact"/>
              <w:jc w:val="center"/>
              <w:rPr>
                <w:rFonts w:eastAsia="仿宋_GB2312"/>
                <w:color w:val="auto"/>
                <w:szCs w:val="21"/>
              </w:rPr>
            </w:pPr>
            <w:r>
              <w:rPr>
                <w:rFonts w:eastAsia="仿宋_GB2312"/>
                <w:color w:val="auto"/>
                <w:szCs w:val="21"/>
              </w:rPr>
              <w:t>32073</w:t>
            </w:r>
          </w:p>
        </w:tc>
        <w:tc>
          <w:tcPr>
            <w:tcW w:w="803" w:type="dxa"/>
            <w:tcBorders>
              <w:tl2br w:val="nil"/>
              <w:tr2bl w:val="nil"/>
            </w:tcBorders>
            <w:vAlign w:val="center"/>
          </w:tcPr>
          <w:p w14:paraId="00EA7236">
            <w:pPr>
              <w:adjustRightInd w:val="0"/>
              <w:snapToGrid w:val="0"/>
              <w:spacing w:line="320" w:lineRule="exact"/>
              <w:jc w:val="center"/>
              <w:rPr>
                <w:rFonts w:eastAsia="仿宋_GB2312"/>
                <w:color w:val="auto"/>
                <w:szCs w:val="21"/>
              </w:rPr>
            </w:pPr>
            <w:r>
              <w:rPr>
                <w:rFonts w:eastAsia="仿宋_GB2312"/>
                <w:color w:val="auto"/>
                <w:szCs w:val="21"/>
              </w:rPr>
              <w:t>-9</w:t>
            </w:r>
          </w:p>
        </w:tc>
        <w:tc>
          <w:tcPr>
            <w:tcW w:w="896" w:type="dxa"/>
            <w:tcBorders>
              <w:tl2br w:val="nil"/>
              <w:tr2bl w:val="nil"/>
            </w:tcBorders>
            <w:vAlign w:val="center"/>
          </w:tcPr>
          <w:p w14:paraId="3D2C3851">
            <w:pPr>
              <w:adjustRightInd w:val="0"/>
              <w:snapToGrid w:val="0"/>
              <w:spacing w:line="320" w:lineRule="exact"/>
              <w:jc w:val="center"/>
              <w:rPr>
                <w:rFonts w:eastAsia="仿宋_GB2312"/>
                <w:color w:val="auto"/>
                <w:szCs w:val="21"/>
              </w:rPr>
            </w:pPr>
            <w:r>
              <w:rPr>
                <w:rFonts w:eastAsia="仿宋_GB2312"/>
                <w:color w:val="auto"/>
                <w:szCs w:val="21"/>
              </w:rPr>
              <w:t>79.6</w:t>
            </w:r>
          </w:p>
        </w:tc>
        <w:tc>
          <w:tcPr>
            <w:tcW w:w="896" w:type="dxa"/>
            <w:tcBorders>
              <w:tl2br w:val="nil"/>
              <w:tr2bl w:val="nil"/>
            </w:tcBorders>
            <w:vAlign w:val="center"/>
          </w:tcPr>
          <w:p w14:paraId="647945D4">
            <w:pPr>
              <w:adjustRightInd w:val="0"/>
              <w:snapToGrid w:val="0"/>
              <w:spacing w:line="320" w:lineRule="exact"/>
              <w:jc w:val="center"/>
              <w:rPr>
                <w:rFonts w:eastAsia="仿宋_GB2312"/>
                <w:color w:val="auto"/>
                <w:szCs w:val="21"/>
              </w:rPr>
            </w:pPr>
            <w:r>
              <w:rPr>
                <w:rFonts w:eastAsia="仿宋_GB2312"/>
                <w:color w:val="auto"/>
                <w:szCs w:val="21"/>
              </w:rPr>
              <w:t>-85.9</w:t>
            </w:r>
          </w:p>
        </w:tc>
        <w:tc>
          <w:tcPr>
            <w:tcW w:w="1281" w:type="dxa"/>
            <w:tcBorders>
              <w:tl2br w:val="nil"/>
              <w:tr2bl w:val="nil"/>
            </w:tcBorders>
            <w:vAlign w:val="center"/>
          </w:tcPr>
          <w:p w14:paraId="1B78C97C">
            <w:pPr>
              <w:adjustRightInd w:val="0"/>
              <w:snapToGrid w:val="0"/>
              <w:spacing w:line="320" w:lineRule="exact"/>
              <w:jc w:val="center"/>
              <w:rPr>
                <w:rFonts w:eastAsia="仿宋_GB2312"/>
                <w:color w:val="auto"/>
                <w:szCs w:val="21"/>
              </w:rPr>
            </w:pPr>
            <w:r>
              <w:rPr>
                <w:rFonts w:eastAsia="仿宋_GB2312"/>
                <w:color w:val="auto"/>
                <w:szCs w:val="21"/>
              </w:rPr>
              <w:t>3400</w:t>
            </w:r>
          </w:p>
        </w:tc>
        <w:tc>
          <w:tcPr>
            <w:tcW w:w="1279" w:type="dxa"/>
            <w:tcBorders>
              <w:tl2br w:val="nil"/>
              <w:tr2bl w:val="nil"/>
            </w:tcBorders>
            <w:vAlign w:val="center"/>
          </w:tcPr>
          <w:p w14:paraId="03D64A01">
            <w:pPr>
              <w:adjustRightInd w:val="0"/>
              <w:snapToGrid w:val="0"/>
              <w:spacing w:line="320" w:lineRule="exact"/>
              <w:jc w:val="center"/>
              <w:rPr>
                <w:rFonts w:eastAsia="仿宋_GB2312"/>
                <w:color w:val="auto"/>
                <w:szCs w:val="21"/>
              </w:rPr>
            </w:pPr>
            <w:r>
              <w:rPr>
                <w:rFonts w:eastAsia="仿宋_GB2312"/>
                <w:color w:val="auto"/>
                <w:szCs w:val="21"/>
              </w:rPr>
              <w:t>6480</w:t>
            </w:r>
          </w:p>
        </w:tc>
        <w:tc>
          <w:tcPr>
            <w:tcW w:w="1365" w:type="dxa"/>
            <w:tcBorders>
              <w:tl2br w:val="nil"/>
              <w:tr2bl w:val="nil"/>
            </w:tcBorders>
            <w:vAlign w:val="center"/>
          </w:tcPr>
          <w:p w14:paraId="4EE1C56E">
            <w:pPr>
              <w:adjustRightInd w:val="0"/>
              <w:snapToGrid w:val="0"/>
              <w:spacing w:line="320" w:lineRule="exact"/>
              <w:jc w:val="center"/>
              <w:rPr>
                <w:rFonts w:eastAsia="仿宋_GB2312"/>
                <w:color w:val="auto"/>
                <w:szCs w:val="21"/>
              </w:rPr>
            </w:pPr>
            <w:r>
              <w:rPr>
                <w:rFonts w:eastAsia="仿宋_GB2312"/>
                <w:color w:val="auto"/>
                <w:szCs w:val="21"/>
              </w:rPr>
              <w:t>23520,8小时</w:t>
            </w:r>
          </w:p>
        </w:tc>
      </w:tr>
      <w:tr w14:paraId="4EDAEBC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464" w:type="dxa"/>
            <w:tcBorders>
              <w:tl2br w:val="nil"/>
              <w:tr2bl w:val="nil"/>
            </w:tcBorders>
            <w:vAlign w:val="center"/>
          </w:tcPr>
          <w:p w14:paraId="685CB5AF">
            <w:pPr>
              <w:adjustRightInd w:val="0"/>
              <w:snapToGrid w:val="0"/>
              <w:spacing w:line="320" w:lineRule="exact"/>
              <w:jc w:val="center"/>
              <w:rPr>
                <w:rFonts w:eastAsia="仿宋_GB2312"/>
                <w:color w:val="auto"/>
                <w:szCs w:val="21"/>
              </w:rPr>
            </w:pPr>
            <w:r>
              <w:rPr>
                <w:rFonts w:eastAsia="仿宋_GB2312"/>
                <w:color w:val="auto"/>
                <w:szCs w:val="21"/>
              </w:rPr>
              <w:t>丙二醇单甲醚</w:t>
            </w:r>
          </w:p>
        </w:tc>
        <w:tc>
          <w:tcPr>
            <w:tcW w:w="862" w:type="dxa"/>
            <w:tcBorders>
              <w:tl2br w:val="nil"/>
              <w:tr2bl w:val="nil"/>
            </w:tcBorders>
            <w:vAlign w:val="center"/>
          </w:tcPr>
          <w:p w14:paraId="47B2F8C1">
            <w:pPr>
              <w:adjustRightInd w:val="0"/>
              <w:snapToGrid w:val="0"/>
              <w:spacing w:line="320" w:lineRule="exact"/>
              <w:jc w:val="center"/>
              <w:rPr>
                <w:rFonts w:eastAsia="仿宋_GB2312"/>
                <w:color w:val="auto"/>
                <w:szCs w:val="21"/>
              </w:rPr>
            </w:pPr>
            <w:r>
              <w:rPr>
                <w:rFonts w:eastAsia="仿宋_GB2312"/>
                <w:color w:val="auto"/>
                <w:szCs w:val="21"/>
              </w:rPr>
              <w:t>/</w:t>
            </w:r>
          </w:p>
        </w:tc>
        <w:tc>
          <w:tcPr>
            <w:tcW w:w="803" w:type="dxa"/>
            <w:tcBorders>
              <w:tl2br w:val="nil"/>
              <w:tr2bl w:val="nil"/>
            </w:tcBorders>
            <w:vAlign w:val="center"/>
          </w:tcPr>
          <w:p w14:paraId="37FDD975">
            <w:pPr>
              <w:adjustRightInd w:val="0"/>
              <w:snapToGrid w:val="0"/>
              <w:spacing w:line="320" w:lineRule="exact"/>
              <w:jc w:val="center"/>
              <w:rPr>
                <w:rFonts w:eastAsia="仿宋_GB2312"/>
                <w:color w:val="auto"/>
                <w:szCs w:val="21"/>
              </w:rPr>
            </w:pPr>
            <w:r>
              <w:rPr>
                <w:rFonts w:eastAsia="仿宋_GB2312"/>
                <w:color w:val="auto"/>
                <w:szCs w:val="21"/>
              </w:rPr>
              <w:t>37.8</w:t>
            </w:r>
          </w:p>
        </w:tc>
        <w:tc>
          <w:tcPr>
            <w:tcW w:w="896" w:type="dxa"/>
            <w:tcBorders>
              <w:tl2br w:val="nil"/>
              <w:tr2bl w:val="nil"/>
            </w:tcBorders>
            <w:vAlign w:val="center"/>
          </w:tcPr>
          <w:p w14:paraId="208C3313">
            <w:pPr>
              <w:adjustRightInd w:val="0"/>
              <w:snapToGrid w:val="0"/>
              <w:spacing w:line="320" w:lineRule="exact"/>
              <w:jc w:val="center"/>
              <w:rPr>
                <w:rFonts w:eastAsia="仿宋_GB2312"/>
                <w:color w:val="auto"/>
                <w:szCs w:val="21"/>
              </w:rPr>
            </w:pPr>
            <w:r>
              <w:rPr>
                <w:rFonts w:eastAsia="仿宋_GB2312"/>
                <w:color w:val="auto"/>
                <w:szCs w:val="21"/>
              </w:rPr>
              <w:t>120</w:t>
            </w:r>
          </w:p>
        </w:tc>
        <w:tc>
          <w:tcPr>
            <w:tcW w:w="896" w:type="dxa"/>
            <w:tcBorders>
              <w:tl2br w:val="nil"/>
              <w:tr2bl w:val="nil"/>
            </w:tcBorders>
            <w:vAlign w:val="center"/>
          </w:tcPr>
          <w:p w14:paraId="3D902403">
            <w:pPr>
              <w:adjustRightInd w:val="0"/>
              <w:snapToGrid w:val="0"/>
              <w:spacing w:line="320" w:lineRule="exact"/>
              <w:jc w:val="center"/>
              <w:rPr>
                <w:rFonts w:eastAsia="仿宋_GB2312"/>
                <w:color w:val="auto"/>
                <w:szCs w:val="21"/>
              </w:rPr>
            </w:pPr>
            <w:r>
              <w:rPr>
                <w:rFonts w:eastAsia="仿宋_GB2312"/>
                <w:color w:val="auto"/>
                <w:szCs w:val="21"/>
              </w:rPr>
              <w:t>-96.7</w:t>
            </w:r>
          </w:p>
        </w:tc>
        <w:tc>
          <w:tcPr>
            <w:tcW w:w="1281" w:type="dxa"/>
            <w:tcBorders>
              <w:tl2br w:val="nil"/>
              <w:tr2bl w:val="nil"/>
            </w:tcBorders>
            <w:vAlign w:val="center"/>
          </w:tcPr>
          <w:p w14:paraId="5DC26533">
            <w:pPr>
              <w:adjustRightInd w:val="0"/>
              <w:snapToGrid w:val="0"/>
              <w:spacing w:line="320" w:lineRule="exact"/>
              <w:jc w:val="center"/>
              <w:rPr>
                <w:rFonts w:eastAsia="仿宋_GB2312"/>
                <w:color w:val="auto"/>
                <w:szCs w:val="21"/>
              </w:rPr>
            </w:pPr>
            <w:r>
              <w:rPr>
                <w:rFonts w:eastAsia="仿宋_GB2312"/>
                <w:color w:val="auto"/>
                <w:szCs w:val="21"/>
              </w:rPr>
              <w:t>6600</w:t>
            </w:r>
          </w:p>
        </w:tc>
        <w:tc>
          <w:tcPr>
            <w:tcW w:w="1279" w:type="dxa"/>
            <w:tcBorders>
              <w:tl2br w:val="nil"/>
              <w:tr2bl w:val="nil"/>
            </w:tcBorders>
            <w:vAlign w:val="center"/>
          </w:tcPr>
          <w:p w14:paraId="05B134C4">
            <w:pPr>
              <w:adjustRightInd w:val="0"/>
              <w:snapToGrid w:val="0"/>
              <w:spacing w:line="320" w:lineRule="exact"/>
              <w:jc w:val="center"/>
              <w:rPr>
                <w:rFonts w:eastAsia="仿宋_GB2312"/>
                <w:color w:val="auto"/>
                <w:szCs w:val="21"/>
              </w:rPr>
            </w:pPr>
            <w:r>
              <w:rPr>
                <w:rFonts w:eastAsia="仿宋_GB2312"/>
                <w:color w:val="auto"/>
                <w:szCs w:val="21"/>
              </w:rPr>
              <w:t>5660</w:t>
            </w:r>
          </w:p>
        </w:tc>
        <w:tc>
          <w:tcPr>
            <w:tcW w:w="1365" w:type="dxa"/>
            <w:tcBorders>
              <w:tl2br w:val="nil"/>
              <w:tr2bl w:val="nil"/>
            </w:tcBorders>
            <w:vAlign w:val="center"/>
          </w:tcPr>
          <w:p w14:paraId="7A41F181">
            <w:pPr>
              <w:adjustRightInd w:val="0"/>
              <w:snapToGrid w:val="0"/>
              <w:spacing w:line="320" w:lineRule="exact"/>
              <w:jc w:val="center"/>
              <w:rPr>
                <w:rFonts w:eastAsia="仿宋_GB2312"/>
                <w:color w:val="auto"/>
                <w:szCs w:val="21"/>
              </w:rPr>
            </w:pPr>
            <w:r>
              <w:rPr>
                <w:rFonts w:eastAsia="仿宋_GB2312"/>
                <w:color w:val="auto"/>
                <w:szCs w:val="21"/>
              </w:rPr>
              <w:t>/</w:t>
            </w:r>
          </w:p>
        </w:tc>
      </w:tr>
      <w:tr w14:paraId="7FB16A7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464" w:type="dxa"/>
            <w:tcBorders>
              <w:tl2br w:val="nil"/>
              <w:tr2bl w:val="nil"/>
            </w:tcBorders>
            <w:vAlign w:val="center"/>
          </w:tcPr>
          <w:p w14:paraId="3F95271C">
            <w:pPr>
              <w:adjustRightInd w:val="0"/>
              <w:snapToGrid w:val="0"/>
              <w:spacing w:line="320" w:lineRule="exact"/>
              <w:jc w:val="center"/>
              <w:rPr>
                <w:rFonts w:eastAsia="仿宋_GB2312"/>
                <w:color w:val="auto"/>
                <w:szCs w:val="21"/>
              </w:rPr>
            </w:pPr>
            <w:r>
              <w:rPr>
                <w:rFonts w:eastAsia="仿宋_GB2312"/>
                <w:color w:val="auto"/>
                <w:szCs w:val="21"/>
              </w:rPr>
              <w:t>乙二醇</w:t>
            </w:r>
          </w:p>
        </w:tc>
        <w:tc>
          <w:tcPr>
            <w:tcW w:w="862" w:type="dxa"/>
            <w:tcBorders>
              <w:tl2br w:val="nil"/>
              <w:tr2bl w:val="nil"/>
            </w:tcBorders>
            <w:vAlign w:val="center"/>
          </w:tcPr>
          <w:p w14:paraId="580A3EE1">
            <w:pPr>
              <w:adjustRightInd w:val="0"/>
              <w:snapToGrid w:val="0"/>
              <w:spacing w:line="320" w:lineRule="exact"/>
              <w:jc w:val="center"/>
              <w:rPr>
                <w:rFonts w:eastAsia="仿宋_GB2312"/>
                <w:color w:val="auto"/>
                <w:szCs w:val="21"/>
              </w:rPr>
            </w:pPr>
            <w:r>
              <w:rPr>
                <w:rFonts w:eastAsia="仿宋_GB2312"/>
                <w:color w:val="auto"/>
                <w:szCs w:val="21"/>
              </w:rPr>
              <w:t>/</w:t>
            </w:r>
          </w:p>
        </w:tc>
        <w:tc>
          <w:tcPr>
            <w:tcW w:w="803" w:type="dxa"/>
            <w:tcBorders>
              <w:tl2br w:val="nil"/>
              <w:tr2bl w:val="nil"/>
            </w:tcBorders>
            <w:vAlign w:val="center"/>
          </w:tcPr>
          <w:p w14:paraId="1C1B122F">
            <w:pPr>
              <w:adjustRightInd w:val="0"/>
              <w:snapToGrid w:val="0"/>
              <w:spacing w:line="320" w:lineRule="exact"/>
              <w:jc w:val="center"/>
              <w:rPr>
                <w:rFonts w:eastAsia="仿宋_GB2312"/>
                <w:color w:val="auto"/>
                <w:szCs w:val="21"/>
              </w:rPr>
            </w:pPr>
            <w:r>
              <w:rPr>
                <w:rFonts w:eastAsia="仿宋_GB2312"/>
                <w:color w:val="auto"/>
                <w:szCs w:val="21"/>
              </w:rPr>
              <w:t>110</w:t>
            </w:r>
          </w:p>
        </w:tc>
        <w:tc>
          <w:tcPr>
            <w:tcW w:w="896" w:type="dxa"/>
            <w:tcBorders>
              <w:tl2br w:val="nil"/>
              <w:tr2bl w:val="nil"/>
            </w:tcBorders>
            <w:vAlign w:val="center"/>
          </w:tcPr>
          <w:p w14:paraId="559563BF">
            <w:pPr>
              <w:adjustRightInd w:val="0"/>
              <w:snapToGrid w:val="0"/>
              <w:spacing w:line="320" w:lineRule="exact"/>
              <w:jc w:val="center"/>
              <w:rPr>
                <w:rFonts w:eastAsia="仿宋_GB2312"/>
                <w:color w:val="auto"/>
                <w:szCs w:val="21"/>
              </w:rPr>
            </w:pPr>
            <w:r>
              <w:rPr>
                <w:rFonts w:eastAsia="仿宋_GB2312"/>
                <w:color w:val="auto"/>
                <w:szCs w:val="21"/>
              </w:rPr>
              <w:t>197.5</w:t>
            </w:r>
          </w:p>
        </w:tc>
        <w:tc>
          <w:tcPr>
            <w:tcW w:w="896" w:type="dxa"/>
            <w:tcBorders>
              <w:tl2br w:val="nil"/>
              <w:tr2bl w:val="nil"/>
            </w:tcBorders>
            <w:vAlign w:val="center"/>
          </w:tcPr>
          <w:p w14:paraId="5F208BF3">
            <w:pPr>
              <w:adjustRightInd w:val="0"/>
              <w:snapToGrid w:val="0"/>
              <w:spacing w:line="320" w:lineRule="exact"/>
              <w:jc w:val="center"/>
              <w:rPr>
                <w:rFonts w:eastAsia="仿宋_GB2312"/>
                <w:color w:val="auto"/>
                <w:szCs w:val="21"/>
              </w:rPr>
            </w:pPr>
            <w:r>
              <w:rPr>
                <w:rFonts w:eastAsia="仿宋_GB2312"/>
                <w:color w:val="auto"/>
                <w:szCs w:val="21"/>
              </w:rPr>
              <w:t>-13-2</w:t>
            </w:r>
          </w:p>
        </w:tc>
        <w:tc>
          <w:tcPr>
            <w:tcW w:w="1281" w:type="dxa"/>
            <w:tcBorders>
              <w:tl2br w:val="nil"/>
              <w:tr2bl w:val="nil"/>
            </w:tcBorders>
            <w:vAlign w:val="center"/>
          </w:tcPr>
          <w:p w14:paraId="7EA5C2E3">
            <w:pPr>
              <w:adjustRightInd w:val="0"/>
              <w:snapToGrid w:val="0"/>
              <w:spacing w:line="320" w:lineRule="exact"/>
              <w:jc w:val="center"/>
              <w:rPr>
                <w:rFonts w:eastAsia="仿宋_GB2312"/>
                <w:color w:val="auto"/>
                <w:szCs w:val="21"/>
              </w:rPr>
            </w:pPr>
            <w:r>
              <w:rPr>
                <w:rFonts w:eastAsia="仿宋_GB2312"/>
                <w:color w:val="auto"/>
                <w:szCs w:val="21"/>
              </w:rPr>
              <w:t>9650</w:t>
            </w:r>
          </w:p>
        </w:tc>
        <w:tc>
          <w:tcPr>
            <w:tcW w:w="1279" w:type="dxa"/>
            <w:tcBorders>
              <w:tl2br w:val="nil"/>
              <w:tr2bl w:val="nil"/>
            </w:tcBorders>
            <w:vAlign w:val="center"/>
          </w:tcPr>
          <w:p w14:paraId="383287F6">
            <w:pPr>
              <w:adjustRightInd w:val="0"/>
              <w:snapToGrid w:val="0"/>
              <w:spacing w:line="320" w:lineRule="exact"/>
              <w:jc w:val="center"/>
              <w:rPr>
                <w:rFonts w:eastAsia="仿宋_GB2312"/>
                <w:color w:val="auto"/>
                <w:szCs w:val="21"/>
              </w:rPr>
            </w:pPr>
            <w:r>
              <w:rPr>
                <w:rFonts w:eastAsia="仿宋_GB2312"/>
                <w:color w:val="auto"/>
                <w:szCs w:val="21"/>
              </w:rPr>
              <w:t>/</w:t>
            </w:r>
          </w:p>
        </w:tc>
        <w:tc>
          <w:tcPr>
            <w:tcW w:w="1365" w:type="dxa"/>
            <w:tcBorders>
              <w:tl2br w:val="nil"/>
              <w:tr2bl w:val="nil"/>
            </w:tcBorders>
            <w:vAlign w:val="center"/>
          </w:tcPr>
          <w:p w14:paraId="0596A7D6">
            <w:pPr>
              <w:adjustRightInd w:val="0"/>
              <w:snapToGrid w:val="0"/>
              <w:spacing w:line="320" w:lineRule="exact"/>
              <w:jc w:val="center"/>
              <w:rPr>
                <w:rFonts w:eastAsia="仿宋_GB2312"/>
                <w:color w:val="auto"/>
                <w:szCs w:val="21"/>
              </w:rPr>
            </w:pPr>
            <w:r>
              <w:rPr>
                <w:rFonts w:eastAsia="仿宋_GB2312"/>
                <w:color w:val="auto"/>
                <w:szCs w:val="21"/>
              </w:rPr>
              <w:t>/</w:t>
            </w:r>
          </w:p>
        </w:tc>
      </w:tr>
      <w:tr w14:paraId="58BE8C5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464" w:type="dxa"/>
            <w:tcBorders>
              <w:tl2br w:val="nil"/>
              <w:tr2bl w:val="nil"/>
            </w:tcBorders>
            <w:vAlign w:val="center"/>
          </w:tcPr>
          <w:p w14:paraId="544D8FF9">
            <w:pPr>
              <w:adjustRightInd w:val="0"/>
              <w:snapToGrid w:val="0"/>
              <w:spacing w:line="320" w:lineRule="exact"/>
              <w:jc w:val="center"/>
              <w:rPr>
                <w:rFonts w:eastAsia="仿宋_GB2312"/>
                <w:color w:val="auto"/>
                <w:szCs w:val="21"/>
              </w:rPr>
            </w:pPr>
            <w:r>
              <w:rPr>
                <w:rFonts w:eastAsia="仿宋_GB2312"/>
                <w:color w:val="auto"/>
                <w:szCs w:val="21"/>
              </w:rPr>
              <w:t>二丁醚</w:t>
            </w:r>
          </w:p>
        </w:tc>
        <w:tc>
          <w:tcPr>
            <w:tcW w:w="862" w:type="dxa"/>
            <w:tcBorders>
              <w:tl2br w:val="nil"/>
              <w:tr2bl w:val="nil"/>
            </w:tcBorders>
            <w:vAlign w:val="center"/>
          </w:tcPr>
          <w:p w14:paraId="3E992756">
            <w:pPr>
              <w:adjustRightInd w:val="0"/>
              <w:snapToGrid w:val="0"/>
              <w:spacing w:line="320" w:lineRule="exact"/>
              <w:jc w:val="center"/>
              <w:rPr>
                <w:rFonts w:eastAsia="仿宋_GB2312"/>
                <w:color w:val="auto"/>
                <w:szCs w:val="21"/>
              </w:rPr>
            </w:pPr>
            <w:r>
              <w:rPr>
                <w:rFonts w:eastAsia="仿宋_GB2312"/>
                <w:color w:val="auto"/>
                <w:szCs w:val="21"/>
              </w:rPr>
              <w:t>33565</w:t>
            </w:r>
          </w:p>
        </w:tc>
        <w:tc>
          <w:tcPr>
            <w:tcW w:w="803" w:type="dxa"/>
            <w:tcBorders>
              <w:tl2br w:val="nil"/>
              <w:tr2bl w:val="nil"/>
            </w:tcBorders>
            <w:vAlign w:val="center"/>
          </w:tcPr>
          <w:p w14:paraId="1486ECF4">
            <w:pPr>
              <w:adjustRightInd w:val="0"/>
              <w:snapToGrid w:val="0"/>
              <w:spacing w:line="320" w:lineRule="exact"/>
              <w:jc w:val="center"/>
              <w:rPr>
                <w:rFonts w:eastAsia="仿宋_GB2312"/>
                <w:color w:val="auto"/>
                <w:szCs w:val="21"/>
              </w:rPr>
            </w:pPr>
            <w:r>
              <w:rPr>
                <w:rFonts w:eastAsia="仿宋_GB2312"/>
                <w:color w:val="auto"/>
                <w:szCs w:val="21"/>
              </w:rPr>
              <w:t>25</w:t>
            </w:r>
          </w:p>
        </w:tc>
        <w:tc>
          <w:tcPr>
            <w:tcW w:w="896" w:type="dxa"/>
            <w:tcBorders>
              <w:tl2br w:val="nil"/>
              <w:tr2bl w:val="nil"/>
            </w:tcBorders>
            <w:vAlign w:val="center"/>
          </w:tcPr>
          <w:p w14:paraId="173D16E6">
            <w:pPr>
              <w:adjustRightInd w:val="0"/>
              <w:snapToGrid w:val="0"/>
              <w:spacing w:line="320" w:lineRule="exact"/>
              <w:jc w:val="center"/>
              <w:rPr>
                <w:rFonts w:eastAsia="仿宋_GB2312"/>
                <w:color w:val="auto"/>
                <w:szCs w:val="21"/>
              </w:rPr>
            </w:pPr>
            <w:r>
              <w:rPr>
                <w:rFonts w:eastAsia="仿宋_GB2312"/>
                <w:color w:val="auto"/>
                <w:szCs w:val="21"/>
              </w:rPr>
              <w:t>142.4</w:t>
            </w:r>
          </w:p>
        </w:tc>
        <w:tc>
          <w:tcPr>
            <w:tcW w:w="896" w:type="dxa"/>
            <w:tcBorders>
              <w:tl2br w:val="nil"/>
              <w:tr2bl w:val="nil"/>
            </w:tcBorders>
            <w:vAlign w:val="center"/>
          </w:tcPr>
          <w:p w14:paraId="1DA42942">
            <w:pPr>
              <w:adjustRightInd w:val="0"/>
              <w:snapToGrid w:val="0"/>
              <w:spacing w:line="320" w:lineRule="exact"/>
              <w:jc w:val="center"/>
              <w:rPr>
                <w:rFonts w:eastAsia="仿宋_GB2312"/>
                <w:color w:val="auto"/>
                <w:szCs w:val="21"/>
              </w:rPr>
            </w:pPr>
            <w:r>
              <w:rPr>
                <w:rFonts w:eastAsia="仿宋_GB2312"/>
                <w:color w:val="auto"/>
                <w:szCs w:val="21"/>
              </w:rPr>
              <w:t>-95.4</w:t>
            </w:r>
          </w:p>
        </w:tc>
        <w:tc>
          <w:tcPr>
            <w:tcW w:w="1281" w:type="dxa"/>
            <w:tcBorders>
              <w:tl2br w:val="nil"/>
              <w:tr2bl w:val="nil"/>
            </w:tcBorders>
            <w:vAlign w:val="center"/>
          </w:tcPr>
          <w:p w14:paraId="3DCF8931">
            <w:pPr>
              <w:adjustRightInd w:val="0"/>
              <w:snapToGrid w:val="0"/>
              <w:spacing w:line="320" w:lineRule="exact"/>
              <w:jc w:val="center"/>
              <w:rPr>
                <w:rFonts w:eastAsia="仿宋_GB2312"/>
                <w:color w:val="auto"/>
                <w:szCs w:val="21"/>
              </w:rPr>
            </w:pPr>
            <w:r>
              <w:rPr>
                <w:rFonts w:eastAsia="仿宋_GB2312"/>
                <w:color w:val="auto"/>
                <w:szCs w:val="21"/>
              </w:rPr>
              <w:t>11000</w:t>
            </w:r>
          </w:p>
        </w:tc>
        <w:tc>
          <w:tcPr>
            <w:tcW w:w="1279" w:type="dxa"/>
            <w:tcBorders>
              <w:tl2br w:val="nil"/>
              <w:tr2bl w:val="nil"/>
            </w:tcBorders>
            <w:vAlign w:val="center"/>
          </w:tcPr>
          <w:p w14:paraId="5DCEE9D3">
            <w:pPr>
              <w:adjustRightInd w:val="0"/>
              <w:snapToGrid w:val="0"/>
              <w:spacing w:line="320" w:lineRule="exact"/>
              <w:jc w:val="center"/>
              <w:rPr>
                <w:rFonts w:eastAsia="仿宋_GB2312"/>
                <w:color w:val="auto"/>
                <w:szCs w:val="21"/>
              </w:rPr>
            </w:pPr>
            <w:r>
              <w:rPr>
                <w:rFonts w:eastAsia="仿宋_GB2312"/>
                <w:color w:val="auto"/>
                <w:szCs w:val="21"/>
              </w:rPr>
              <w:t>10000</w:t>
            </w:r>
          </w:p>
        </w:tc>
        <w:tc>
          <w:tcPr>
            <w:tcW w:w="1365" w:type="dxa"/>
            <w:tcBorders>
              <w:tl2br w:val="nil"/>
              <w:tr2bl w:val="nil"/>
            </w:tcBorders>
            <w:vAlign w:val="center"/>
          </w:tcPr>
          <w:p w14:paraId="65ED395D">
            <w:pPr>
              <w:adjustRightInd w:val="0"/>
              <w:snapToGrid w:val="0"/>
              <w:spacing w:line="320" w:lineRule="exact"/>
              <w:jc w:val="center"/>
              <w:rPr>
                <w:rFonts w:eastAsia="仿宋_GB2312"/>
                <w:color w:val="auto"/>
                <w:szCs w:val="21"/>
              </w:rPr>
            </w:pPr>
            <w:r>
              <w:rPr>
                <w:rFonts w:eastAsia="仿宋_GB2312"/>
                <w:color w:val="auto"/>
                <w:szCs w:val="21"/>
              </w:rPr>
              <w:t>/</w:t>
            </w:r>
          </w:p>
        </w:tc>
      </w:tr>
      <w:tr w14:paraId="495053C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464" w:type="dxa"/>
            <w:tcBorders>
              <w:tl2br w:val="nil"/>
              <w:tr2bl w:val="nil"/>
            </w:tcBorders>
            <w:vAlign w:val="center"/>
          </w:tcPr>
          <w:p w14:paraId="211A9A22">
            <w:pPr>
              <w:adjustRightInd w:val="0"/>
              <w:snapToGrid w:val="0"/>
              <w:spacing w:line="320" w:lineRule="exact"/>
              <w:jc w:val="center"/>
              <w:rPr>
                <w:rFonts w:eastAsia="仿宋_GB2312"/>
                <w:color w:val="auto"/>
                <w:szCs w:val="21"/>
              </w:rPr>
            </w:pPr>
            <w:r>
              <w:rPr>
                <w:rFonts w:eastAsia="仿宋_GB2312"/>
                <w:color w:val="auto"/>
                <w:szCs w:val="21"/>
              </w:rPr>
              <w:t>甲醇</w:t>
            </w:r>
          </w:p>
        </w:tc>
        <w:tc>
          <w:tcPr>
            <w:tcW w:w="862" w:type="dxa"/>
            <w:tcBorders>
              <w:tl2br w:val="nil"/>
              <w:tr2bl w:val="nil"/>
            </w:tcBorders>
            <w:vAlign w:val="center"/>
          </w:tcPr>
          <w:p w14:paraId="1497CA7E">
            <w:pPr>
              <w:adjustRightInd w:val="0"/>
              <w:snapToGrid w:val="0"/>
              <w:spacing w:line="320" w:lineRule="exact"/>
              <w:jc w:val="center"/>
              <w:rPr>
                <w:rFonts w:eastAsia="仿宋_GB2312"/>
                <w:color w:val="auto"/>
                <w:szCs w:val="21"/>
              </w:rPr>
            </w:pPr>
            <w:r>
              <w:rPr>
                <w:rFonts w:eastAsia="仿宋_GB2312"/>
                <w:color w:val="auto"/>
                <w:szCs w:val="21"/>
              </w:rPr>
              <w:t>32058</w:t>
            </w:r>
          </w:p>
        </w:tc>
        <w:tc>
          <w:tcPr>
            <w:tcW w:w="803" w:type="dxa"/>
            <w:tcBorders>
              <w:tl2br w:val="nil"/>
              <w:tr2bl w:val="nil"/>
            </w:tcBorders>
            <w:vAlign w:val="center"/>
          </w:tcPr>
          <w:p w14:paraId="1E4009D5">
            <w:pPr>
              <w:adjustRightInd w:val="0"/>
              <w:snapToGrid w:val="0"/>
              <w:spacing w:line="320" w:lineRule="exact"/>
              <w:jc w:val="center"/>
              <w:rPr>
                <w:rFonts w:eastAsia="仿宋_GB2312"/>
                <w:color w:val="auto"/>
                <w:szCs w:val="21"/>
              </w:rPr>
            </w:pPr>
            <w:r>
              <w:rPr>
                <w:rFonts w:eastAsia="仿宋_GB2312"/>
                <w:color w:val="auto"/>
                <w:szCs w:val="21"/>
              </w:rPr>
              <w:t>11</w:t>
            </w:r>
          </w:p>
        </w:tc>
        <w:tc>
          <w:tcPr>
            <w:tcW w:w="896" w:type="dxa"/>
            <w:tcBorders>
              <w:tl2br w:val="nil"/>
              <w:tr2bl w:val="nil"/>
            </w:tcBorders>
            <w:vAlign w:val="center"/>
          </w:tcPr>
          <w:p w14:paraId="19C603DA">
            <w:pPr>
              <w:adjustRightInd w:val="0"/>
              <w:snapToGrid w:val="0"/>
              <w:spacing w:line="320" w:lineRule="exact"/>
              <w:jc w:val="center"/>
              <w:rPr>
                <w:rFonts w:eastAsia="仿宋_GB2312"/>
                <w:color w:val="auto"/>
                <w:szCs w:val="21"/>
              </w:rPr>
            </w:pPr>
            <w:r>
              <w:rPr>
                <w:rFonts w:eastAsia="仿宋_GB2312"/>
                <w:color w:val="auto"/>
                <w:szCs w:val="21"/>
              </w:rPr>
              <w:t>64.8</w:t>
            </w:r>
          </w:p>
        </w:tc>
        <w:tc>
          <w:tcPr>
            <w:tcW w:w="896" w:type="dxa"/>
            <w:tcBorders>
              <w:tl2br w:val="nil"/>
              <w:tr2bl w:val="nil"/>
            </w:tcBorders>
            <w:vAlign w:val="center"/>
          </w:tcPr>
          <w:p w14:paraId="5C8E8302">
            <w:pPr>
              <w:adjustRightInd w:val="0"/>
              <w:snapToGrid w:val="0"/>
              <w:spacing w:line="320" w:lineRule="exact"/>
              <w:jc w:val="center"/>
              <w:rPr>
                <w:rFonts w:eastAsia="仿宋_GB2312"/>
                <w:color w:val="auto"/>
                <w:szCs w:val="21"/>
              </w:rPr>
            </w:pPr>
            <w:r>
              <w:rPr>
                <w:rFonts w:eastAsia="仿宋_GB2312"/>
                <w:color w:val="auto"/>
                <w:szCs w:val="21"/>
              </w:rPr>
              <w:t>-97.8</w:t>
            </w:r>
          </w:p>
        </w:tc>
        <w:tc>
          <w:tcPr>
            <w:tcW w:w="1281" w:type="dxa"/>
            <w:tcBorders>
              <w:tl2br w:val="nil"/>
              <w:tr2bl w:val="nil"/>
            </w:tcBorders>
            <w:vAlign w:val="center"/>
          </w:tcPr>
          <w:p w14:paraId="6244C222">
            <w:pPr>
              <w:adjustRightInd w:val="0"/>
              <w:snapToGrid w:val="0"/>
              <w:spacing w:line="320" w:lineRule="exact"/>
              <w:jc w:val="center"/>
              <w:rPr>
                <w:rFonts w:eastAsia="仿宋_GB2312"/>
                <w:color w:val="auto"/>
                <w:szCs w:val="21"/>
              </w:rPr>
            </w:pPr>
            <w:r>
              <w:rPr>
                <w:rFonts w:eastAsia="仿宋_GB2312"/>
                <w:color w:val="auto"/>
                <w:szCs w:val="21"/>
              </w:rPr>
              <w:t>5628</w:t>
            </w:r>
          </w:p>
        </w:tc>
        <w:tc>
          <w:tcPr>
            <w:tcW w:w="1279" w:type="dxa"/>
            <w:tcBorders>
              <w:tl2br w:val="nil"/>
              <w:tr2bl w:val="nil"/>
            </w:tcBorders>
            <w:vAlign w:val="center"/>
          </w:tcPr>
          <w:p w14:paraId="02D88D76">
            <w:pPr>
              <w:adjustRightInd w:val="0"/>
              <w:snapToGrid w:val="0"/>
              <w:spacing w:line="320" w:lineRule="exact"/>
              <w:jc w:val="center"/>
              <w:rPr>
                <w:rFonts w:eastAsia="仿宋_GB2312"/>
                <w:color w:val="auto"/>
                <w:szCs w:val="21"/>
              </w:rPr>
            </w:pPr>
            <w:r>
              <w:rPr>
                <w:rFonts w:eastAsia="仿宋_GB2312"/>
                <w:color w:val="auto"/>
                <w:szCs w:val="21"/>
              </w:rPr>
              <w:t>15800</w:t>
            </w:r>
          </w:p>
        </w:tc>
        <w:tc>
          <w:tcPr>
            <w:tcW w:w="1365" w:type="dxa"/>
            <w:tcBorders>
              <w:tl2br w:val="nil"/>
              <w:tr2bl w:val="nil"/>
            </w:tcBorders>
            <w:vAlign w:val="center"/>
          </w:tcPr>
          <w:p w14:paraId="48B7AC0D">
            <w:pPr>
              <w:adjustRightInd w:val="0"/>
              <w:snapToGrid w:val="0"/>
              <w:spacing w:line="320" w:lineRule="exact"/>
              <w:jc w:val="center"/>
              <w:rPr>
                <w:rFonts w:eastAsia="仿宋_GB2312"/>
                <w:color w:val="auto"/>
                <w:szCs w:val="21"/>
              </w:rPr>
            </w:pPr>
            <w:r>
              <w:rPr>
                <w:rFonts w:eastAsia="仿宋_GB2312"/>
                <w:color w:val="auto"/>
                <w:szCs w:val="21"/>
              </w:rPr>
              <w:t>82776,4小时</w:t>
            </w:r>
          </w:p>
        </w:tc>
      </w:tr>
      <w:tr w14:paraId="6B5E403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464" w:type="dxa"/>
            <w:tcBorders>
              <w:tl2br w:val="nil"/>
              <w:tr2bl w:val="nil"/>
            </w:tcBorders>
            <w:vAlign w:val="center"/>
          </w:tcPr>
          <w:p w14:paraId="29ABD197">
            <w:pPr>
              <w:adjustRightInd w:val="0"/>
              <w:snapToGrid w:val="0"/>
              <w:spacing w:line="320" w:lineRule="exact"/>
              <w:jc w:val="center"/>
              <w:rPr>
                <w:rFonts w:eastAsia="仿宋_GB2312"/>
                <w:color w:val="auto"/>
                <w:szCs w:val="21"/>
              </w:rPr>
            </w:pPr>
            <w:r>
              <w:rPr>
                <w:rFonts w:eastAsia="仿宋_GB2312"/>
                <w:color w:val="auto"/>
                <w:szCs w:val="21"/>
              </w:rPr>
              <w:t>硫酸</w:t>
            </w:r>
          </w:p>
        </w:tc>
        <w:tc>
          <w:tcPr>
            <w:tcW w:w="862" w:type="dxa"/>
            <w:tcBorders>
              <w:tl2br w:val="nil"/>
              <w:tr2bl w:val="nil"/>
            </w:tcBorders>
            <w:vAlign w:val="center"/>
          </w:tcPr>
          <w:p w14:paraId="3F9459D5">
            <w:pPr>
              <w:adjustRightInd w:val="0"/>
              <w:snapToGrid w:val="0"/>
              <w:spacing w:line="320" w:lineRule="exact"/>
              <w:jc w:val="center"/>
              <w:rPr>
                <w:rFonts w:eastAsia="仿宋_GB2312"/>
                <w:color w:val="auto"/>
                <w:szCs w:val="21"/>
              </w:rPr>
            </w:pPr>
            <w:r>
              <w:rPr>
                <w:rFonts w:eastAsia="仿宋_GB2312"/>
                <w:color w:val="auto"/>
                <w:szCs w:val="21"/>
              </w:rPr>
              <w:t>81007</w:t>
            </w:r>
          </w:p>
        </w:tc>
        <w:tc>
          <w:tcPr>
            <w:tcW w:w="803" w:type="dxa"/>
            <w:tcBorders>
              <w:tl2br w:val="nil"/>
              <w:tr2bl w:val="nil"/>
            </w:tcBorders>
            <w:vAlign w:val="center"/>
          </w:tcPr>
          <w:p w14:paraId="39472143">
            <w:pPr>
              <w:adjustRightInd w:val="0"/>
              <w:snapToGrid w:val="0"/>
              <w:spacing w:line="320" w:lineRule="exact"/>
              <w:jc w:val="center"/>
              <w:rPr>
                <w:rFonts w:eastAsia="仿宋_GB2312"/>
                <w:color w:val="auto"/>
                <w:szCs w:val="21"/>
              </w:rPr>
            </w:pPr>
            <w:r>
              <w:rPr>
                <w:rFonts w:eastAsia="仿宋_GB2312"/>
                <w:color w:val="auto"/>
                <w:szCs w:val="21"/>
              </w:rPr>
              <w:t>/</w:t>
            </w:r>
          </w:p>
        </w:tc>
        <w:tc>
          <w:tcPr>
            <w:tcW w:w="896" w:type="dxa"/>
            <w:tcBorders>
              <w:tl2br w:val="nil"/>
              <w:tr2bl w:val="nil"/>
            </w:tcBorders>
            <w:vAlign w:val="center"/>
          </w:tcPr>
          <w:p w14:paraId="78D3DBDB">
            <w:pPr>
              <w:adjustRightInd w:val="0"/>
              <w:snapToGrid w:val="0"/>
              <w:spacing w:line="320" w:lineRule="exact"/>
              <w:jc w:val="center"/>
              <w:rPr>
                <w:rFonts w:eastAsia="仿宋_GB2312"/>
                <w:color w:val="auto"/>
                <w:szCs w:val="21"/>
              </w:rPr>
            </w:pPr>
            <w:r>
              <w:rPr>
                <w:rFonts w:eastAsia="仿宋_GB2312"/>
                <w:color w:val="auto"/>
                <w:szCs w:val="21"/>
              </w:rPr>
              <w:t>330</w:t>
            </w:r>
          </w:p>
        </w:tc>
        <w:tc>
          <w:tcPr>
            <w:tcW w:w="896" w:type="dxa"/>
            <w:tcBorders>
              <w:tl2br w:val="nil"/>
              <w:tr2bl w:val="nil"/>
            </w:tcBorders>
            <w:vAlign w:val="center"/>
          </w:tcPr>
          <w:p w14:paraId="72A65C90">
            <w:pPr>
              <w:adjustRightInd w:val="0"/>
              <w:snapToGrid w:val="0"/>
              <w:spacing w:line="320" w:lineRule="exact"/>
              <w:jc w:val="center"/>
              <w:rPr>
                <w:rFonts w:eastAsia="仿宋_GB2312"/>
                <w:color w:val="auto"/>
                <w:szCs w:val="21"/>
              </w:rPr>
            </w:pPr>
            <w:r>
              <w:rPr>
                <w:rFonts w:eastAsia="仿宋_GB2312"/>
                <w:color w:val="auto"/>
                <w:szCs w:val="21"/>
              </w:rPr>
              <w:t>10.5</w:t>
            </w:r>
          </w:p>
        </w:tc>
        <w:tc>
          <w:tcPr>
            <w:tcW w:w="1281" w:type="dxa"/>
            <w:tcBorders>
              <w:tl2br w:val="nil"/>
              <w:tr2bl w:val="nil"/>
            </w:tcBorders>
            <w:vAlign w:val="center"/>
          </w:tcPr>
          <w:p w14:paraId="7339F1D3">
            <w:pPr>
              <w:adjustRightInd w:val="0"/>
              <w:snapToGrid w:val="0"/>
              <w:spacing w:line="320" w:lineRule="exact"/>
              <w:jc w:val="center"/>
              <w:rPr>
                <w:rFonts w:eastAsia="仿宋_GB2312"/>
                <w:color w:val="auto"/>
                <w:szCs w:val="21"/>
              </w:rPr>
            </w:pPr>
            <w:r>
              <w:rPr>
                <w:rFonts w:eastAsia="仿宋_GB2312"/>
                <w:color w:val="auto"/>
                <w:szCs w:val="21"/>
              </w:rPr>
              <w:t>80</w:t>
            </w:r>
          </w:p>
        </w:tc>
        <w:tc>
          <w:tcPr>
            <w:tcW w:w="1279" w:type="dxa"/>
            <w:tcBorders>
              <w:tl2br w:val="nil"/>
              <w:tr2bl w:val="nil"/>
            </w:tcBorders>
            <w:vAlign w:val="center"/>
          </w:tcPr>
          <w:p w14:paraId="10FF330D">
            <w:pPr>
              <w:adjustRightInd w:val="0"/>
              <w:snapToGrid w:val="0"/>
              <w:spacing w:line="320" w:lineRule="exact"/>
              <w:jc w:val="center"/>
              <w:rPr>
                <w:rFonts w:eastAsia="仿宋_GB2312"/>
                <w:color w:val="auto"/>
                <w:szCs w:val="21"/>
              </w:rPr>
            </w:pPr>
            <w:r>
              <w:rPr>
                <w:rFonts w:eastAsia="仿宋_GB2312"/>
                <w:color w:val="auto"/>
                <w:szCs w:val="21"/>
              </w:rPr>
              <w:t>/</w:t>
            </w:r>
          </w:p>
        </w:tc>
        <w:tc>
          <w:tcPr>
            <w:tcW w:w="1365" w:type="dxa"/>
            <w:tcBorders>
              <w:tl2br w:val="nil"/>
              <w:tr2bl w:val="nil"/>
            </w:tcBorders>
            <w:vAlign w:val="center"/>
          </w:tcPr>
          <w:p w14:paraId="295635E4">
            <w:pPr>
              <w:adjustRightInd w:val="0"/>
              <w:snapToGrid w:val="0"/>
              <w:spacing w:line="320" w:lineRule="exact"/>
              <w:jc w:val="center"/>
              <w:rPr>
                <w:rFonts w:eastAsia="仿宋_GB2312"/>
                <w:color w:val="auto"/>
                <w:szCs w:val="21"/>
              </w:rPr>
            </w:pPr>
            <w:r>
              <w:rPr>
                <w:rFonts w:eastAsia="仿宋_GB2312"/>
                <w:color w:val="auto"/>
                <w:szCs w:val="21"/>
              </w:rPr>
              <w:t>510,2小时</w:t>
            </w:r>
          </w:p>
        </w:tc>
      </w:tr>
      <w:tr w14:paraId="777F3F6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464" w:type="dxa"/>
            <w:tcBorders>
              <w:tl2br w:val="nil"/>
              <w:tr2bl w:val="nil"/>
            </w:tcBorders>
            <w:vAlign w:val="center"/>
          </w:tcPr>
          <w:p w14:paraId="19D1AC3D">
            <w:pPr>
              <w:adjustRightInd w:val="0"/>
              <w:snapToGrid w:val="0"/>
              <w:spacing w:line="320" w:lineRule="exact"/>
              <w:jc w:val="center"/>
              <w:rPr>
                <w:rFonts w:eastAsia="仿宋_GB2312"/>
                <w:color w:val="auto"/>
                <w:szCs w:val="21"/>
              </w:rPr>
            </w:pPr>
            <w:r>
              <w:rPr>
                <w:rFonts w:eastAsia="仿宋_GB2312"/>
                <w:color w:val="auto"/>
                <w:szCs w:val="21"/>
              </w:rPr>
              <w:t>HF</w:t>
            </w:r>
          </w:p>
        </w:tc>
        <w:tc>
          <w:tcPr>
            <w:tcW w:w="862" w:type="dxa"/>
            <w:tcBorders>
              <w:tl2br w:val="nil"/>
              <w:tr2bl w:val="nil"/>
            </w:tcBorders>
            <w:vAlign w:val="center"/>
          </w:tcPr>
          <w:p w14:paraId="1BC94D32">
            <w:pPr>
              <w:adjustRightInd w:val="0"/>
              <w:snapToGrid w:val="0"/>
              <w:spacing w:line="320" w:lineRule="exact"/>
              <w:jc w:val="center"/>
              <w:rPr>
                <w:rFonts w:eastAsia="仿宋_GB2312"/>
                <w:color w:val="auto"/>
                <w:szCs w:val="21"/>
              </w:rPr>
            </w:pPr>
            <w:r>
              <w:rPr>
                <w:rFonts w:eastAsia="仿宋_GB2312"/>
                <w:color w:val="auto"/>
                <w:szCs w:val="21"/>
              </w:rPr>
              <w:t>/</w:t>
            </w:r>
          </w:p>
        </w:tc>
        <w:tc>
          <w:tcPr>
            <w:tcW w:w="803" w:type="dxa"/>
            <w:tcBorders>
              <w:tl2br w:val="nil"/>
              <w:tr2bl w:val="nil"/>
            </w:tcBorders>
            <w:vAlign w:val="center"/>
          </w:tcPr>
          <w:p w14:paraId="14A33103">
            <w:pPr>
              <w:adjustRightInd w:val="0"/>
              <w:snapToGrid w:val="0"/>
              <w:spacing w:line="320" w:lineRule="exact"/>
              <w:jc w:val="center"/>
              <w:rPr>
                <w:rFonts w:eastAsia="仿宋_GB2312"/>
                <w:color w:val="auto"/>
                <w:szCs w:val="21"/>
              </w:rPr>
            </w:pPr>
            <w:r>
              <w:rPr>
                <w:rFonts w:eastAsia="仿宋_GB2312"/>
                <w:color w:val="auto"/>
                <w:szCs w:val="21"/>
              </w:rPr>
              <w:t>/</w:t>
            </w:r>
          </w:p>
        </w:tc>
        <w:tc>
          <w:tcPr>
            <w:tcW w:w="896" w:type="dxa"/>
            <w:tcBorders>
              <w:tl2br w:val="nil"/>
              <w:tr2bl w:val="nil"/>
            </w:tcBorders>
            <w:vAlign w:val="center"/>
          </w:tcPr>
          <w:p w14:paraId="539BFC42">
            <w:pPr>
              <w:adjustRightInd w:val="0"/>
              <w:snapToGrid w:val="0"/>
              <w:spacing w:line="320" w:lineRule="exact"/>
              <w:jc w:val="center"/>
              <w:rPr>
                <w:rFonts w:eastAsia="仿宋_GB2312"/>
                <w:color w:val="auto"/>
                <w:szCs w:val="21"/>
              </w:rPr>
            </w:pPr>
            <w:r>
              <w:rPr>
                <w:rFonts w:eastAsia="仿宋_GB2312"/>
                <w:color w:val="auto"/>
                <w:szCs w:val="21"/>
              </w:rPr>
              <w:t>19.5</w:t>
            </w:r>
          </w:p>
        </w:tc>
        <w:tc>
          <w:tcPr>
            <w:tcW w:w="896" w:type="dxa"/>
            <w:tcBorders>
              <w:tl2br w:val="nil"/>
              <w:tr2bl w:val="nil"/>
            </w:tcBorders>
            <w:vAlign w:val="center"/>
          </w:tcPr>
          <w:p w14:paraId="22294459">
            <w:pPr>
              <w:adjustRightInd w:val="0"/>
              <w:snapToGrid w:val="0"/>
              <w:spacing w:line="320" w:lineRule="exact"/>
              <w:jc w:val="center"/>
              <w:rPr>
                <w:rFonts w:eastAsia="仿宋_GB2312"/>
                <w:color w:val="auto"/>
                <w:szCs w:val="21"/>
              </w:rPr>
            </w:pPr>
            <w:r>
              <w:rPr>
                <w:rFonts w:eastAsia="仿宋_GB2312"/>
                <w:color w:val="auto"/>
                <w:szCs w:val="21"/>
              </w:rPr>
              <w:t>-83.7</w:t>
            </w:r>
          </w:p>
        </w:tc>
        <w:tc>
          <w:tcPr>
            <w:tcW w:w="1281" w:type="dxa"/>
            <w:tcBorders>
              <w:tl2br w:val="nil"/>
              <w:tr2bl w:val="nil"/>
            </w:tcBorders>
            <w:vAlign w:val="center"/>
          </w:tcPr>
          <w:p w14:paraId="242FD20A">
            <w:pPr>
              <w:adjustRightInd w:val="0"/>
              <w:snapToGrid w:val="0"/>
              <w:spacing w:line="320" w:lineRule="exact"/>
              <w:jc w:val="center"/>
              <w:rPr>
                <w:rFonts w:eastAsia="仿宋_GB2312"/>
                <w:color w:val="auto"/>
                <w:szCs w:val="21"/>
              </w:rPr>
            </w:pPr>
            <w:r>
              <w:rPr>
                <w:rFonts w:eastAsia="仿宋_GB2312"/>
                <w:color w:val="auto"/>
                <w:szCs w:val="21"/>
              </w:rPr>
              <w:t>/</w:t>
            </w:r>
          </w:p>
        </w:tc>
        <w:tc>
          <w:tcPr>
            <w:tcW w:w="1279" w:type="dxa"/>
            <w:tcBorders>
              <w:tl2br w:val="nil"/>
              <w:tr2bl w:val="nil"/>
            </w:tcBorders>
            <w:vAlign w:val="center"/>
          </w:tcPr>
          <w:p w14:paraId="59999CF4">
            <w:pPr>
              <w:adjustRightInd w:val="0"/>
              <w:snapToGrid w:val="0"/>
              <w:spacing w:line="320" w:lineRule="exact"/>
              <w:jc w:val="center"/>
              <w:rPr>
                <w:rFonts w:eastAsia="仿宋_GB2312"/>
                <w:color w:val="auto"/>
                <w:szCs w:val="21"/>
              </w:rPr>
            </w:pPr>
            <w:r>
              <w:rPr>
                <w:rFonts w:eastAsia="仿宋_GB2312"/>
                <w:color w:val="auto"/>
                <w:szCs w:val="21"/>
              </w:rPr>
              <w:t>/</w:t>
            </w:r>
          </w:p>
        </w:tc>
        <w:tc>
          <w:tcPr>
            <w:tcW w:w="1365" w:type="dxa"/>
            <w:tcBorders>
              <w:tl2br w:val="nil"/>
              <w:tr2bl w:val="nil"/>
            </w:tcBorders>
            <w:vAlign w:val="center"/>
          </w:tcPr>
          <w:p w14:paraId="752715E1">
            <w:pPr>
              <w:adjustRightInd w:val="0"/>
              <w:snapToGrid w:val="0"/>
              <w:spacing w:line="320" w:lineRule="exact"/>
              <w:jc w:val="center"/>
              <w:rPr>
                <w:rFonts w:eastAsia="仿宋_GB2312"/>
                <w:color w:val="auto"/>
                <w:szCs w:val="21"/>
              </w:rPr>
            </w:pPr>
            <w:r>
              <w:rPr>
                <w:rFonts w:eastAsia="仿宋_GB2312"/>
                <w:color w:val="auto"/>
                <w:szCs w:val="21"/>
              </w:rPr>
              <w:t>1276,1小时</w:t>
            </w:r>
          </w:p>
        </w:tc>
      </w:tr>
      <w:tr w14:paraId="0C38F4C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464" w:type="dxa"/>
            <w:tcBorders>
              <w:tl2br w:val="nil"/>
              <w:tr2bl w:val="nil"/>
            </w:tcBorders>
            <w:vAlign w:val="center"/>
          </w:tcPr>
          <w:p w14:paraId="67AFB378">
            <w:pPr>
              <w:adjustRightInd w:val="0"/>
              <w:snapToGrid w:val="0"/>
              <w:spacing w:line="320" w:lineRule="exact"/>
              <w:jc w:val="center"/>
              <w:rPr>
                <w:rFonts w:eastAsia="仿宋_GB2312"/>
                <w:color w:val="auto"/>
                <w:szCs w:val="21"/>
              </w:rPr>
            </w:pPr>
            <w:r>
              <w:rPr>
                <w:rFonts w:eastAsia="仿宋_GB2312"/>
                <w:color w:val="auto"/>
                <w:szCs w:val="21"/>
              </w:rPr>
              <w:t>硫酸铜</w:t>
            </w:r>
          </w:p>
        </w:tc>
        <w:tc>
          <w:tcPr>
            <w:tcW w:w="862" w:type="dxa"/>
            <w:tcBorders>
              <w:tl2br w:val="nil"/>
              <w:tr2bl w:val="nil"/>
            </w:tcBorders>
            <w:vAlign w:val="center"/>
          </w:tcPr>
          <w:p w14:paraId="5A850232">
            <w:pPr>
              <w:adjustRightInd w:val="0"/>
              <w:snapToGrid w:val="0"/>
              <w:spacing w:line="320" w:lineRule="exact"/>
              <w:jc w:val="center"/>
              <w:rPr>
                <w:rFonts w:eastAsia="仿宋_GB2312"/>
                <w:color w:val="auto"/>
                <w:szCs w:val="21"/>
              </w:rPr>
            </w:pPr>
            <w:r>
              <w:rPr>
                <w:rFonts w:eastAsia="仿宋_GB2312"/>
                <w:color w:val="auto"/>
                <w:szCs w:val="21"/>
              </w:rPr>
              <w:t>/</w:t>
            </w:r>
          </w:p>
        </w:tc>
        <w:tc>
          <w:tcPr>
            <w:tcW w:w="803" w:type="dxa"/>
            <w:tcBorders>
              <w:tl2br w:val="nil"/>
              <w:tr2bl w:val="nil"/>
            </w:tcBorders>
            <w:vAlign w:val="center"/>
          </w:tcPr>
          <w:p w14:paraId="3BB21ED1">
            <w:pPr>
              <w:adjustRightInd w:val="0"/>
              <w:snapToGrid w:val="0"/>
              <w:spacing w:line="320" w:lineRule="exact"/>
              <w:jc w:val="center"/>
              <w:rPr>
                <w:rFonts w:eastAsia="仿宋_GB2312"/>
                <w:color w:val="auto"/>
                <w:szCs w:val="21"/>
              </w:rPr>
            </w:pPr>
            <w:r>
              <w:rPr>
                <w:rFonts w:eastAsia="仿宋_GB2312"/>
                <w:color w:val="auto"/>
                <w:szCs w:val="21"/>
              </w:rPr>
              <w:t>200</w:t>
            </w:r>
          </w:p>
        </w:tc>
        <w:tc>
          <w:tcPr>
            <w:tcW w:w="896" w:type="dxa"/>
            <w:tcBorders>
              <w:tl2br w:val="nil"/>
              <w:tr2bl w:val="nil"/>
            </w:tcBorders>
            <w:vAlign w:val="center"/>
          </w:tcPr>
          <w:p w14:paraId="3B550BEC">
            <w:pPr>
              <w:adjustRightInd w:val="0"/>
              <w:snapToGrid w:val="0"/>
              <w:spacing w:line="320" w:lineRule="exact"/>
              <w:jc w:val="center"/>
              <w:rPr>
                <w:rFonts w:eastAsia="仿宋_GB2312"/>
                <w:color w:val="auto"/>
                <w:szCs w:val="21"/>
              </w:rPr>
            </w:pPr>
            <w:r>
              <w:rPr>
                <w:rFonts w:eastAsia="仿宋_GB2312"/>
                <w:color w:val="auto"/>
                <w:szCs w:val="21"/>
              </w:rPr>
              <w:t>/</w:t>
            </w:r>
          </w:p>
        </w:tc>
        <w:tc>
          <w:tcPr>
            <w:tcW w:w="896" w:type="dxa"/>
            <w:tcBorders>
              <w:tl2br w:val="nil"/>
              <w:tr2bl w:val="nil"/>
            </w:tcBorders>
            <w:vAlign w:val="center"/>
          </w:tcPr>
          <w:p w14:paraId="48B727F6">
            <w:pPr>
              <w:adjustRightInd w:val="0"/>
              <w:snapToGrid w:val="0"/>
              <w:spacing w:line="320" w:lineRule="exact"/>
              <w:jc w:val="center"/>
              <w:rPr>
                <w:rFonts w:eastAsia="仿宋_GB2312"/>
                <w:color w:val="auto"/>
                <w:szCs w:val="21"/>
              </w:rPr>
            </w:pPr>
            <w:r>
              <w:rPr>
                <w:rFonts w:eastAsia="仿宋_GB2312"/>
                <w:color w:val="auto"/>
                <w:szCs w:val="21"/>
              </w:rPr>
              <w:t>/</w:t>
            </w:r>
          </w:p>
        </w:tc>
        <w:tc>
          <w:tcPr>
            <w:tcW w:w="1281" w:type="dxa"/>
            <w:tcBorders>
              <w:tl2br w:val="nil"/>
              <w:tr2bl w:val="nil"/>
            </w:tcBorders>
            <w:vAlign w:val="center"/>
          </w:tcPr>
          <w:p w14:paraId="3584F04B">
            <w:pPr>
              <w:adjustRightInd w:val="0"/>
              <w:snapToGrid w:val="0"/>
              <w:spacing w:line="320" w:lineRule="exact"/>
              <w:jc w:val="center"/>
              <w:rPr>
                <w:rFonts w:eastAsia="仿宋_GB2312"/>
                <w:color w:val="auto"/>
                <w:szCs w:val="21"/>
              </w:rPr>
            </w:pPr>
            <w:r>
              <w:rPr>
                <w:rFonts w:eastAsia="仿宋_GB2312"/>
                <w:color w:val="auto"/>
                <w:szCs w:val="21"/>
              </w:rPr>
              <w:t xml:space="preserve">300 </w:t>
            </w:r>
          </w:p>
        </w:tc>
        <w:tc>
          <w:tcPr>
            <w:tcW w:w="1279" w:type="dxa"/>
            <w:tcBorders>
              <w:tl2br w:val="nil"/>
              <w:tr2bl w:val="nil"/>
            </w:tcBorders>
            <w:vAlign w:val="center"/>
          </w:tcPr>
          <w:p w14:paraId="4803449D">
            <w:pPr>
              <w:adjustRightInd w:val="0"/>
              <w:snapToGrid w:val="0"/>
              <w:spacing w:line="320" w:lineRule="exact"/>
              <w:jc w:val="center"/>
              <w:rPr>
                <w:rFonts w:eastAsia="仿宋_GB2312"/>
                <w:color w:val="auto"/>
                <w:szCs w:val="21"/>
              </w:rPr>
            </w:pPr>
            <w:r>
              <w:rPr>
                <w:rFonts w:eastAsia="仿宋_GB2312"/>
                <w:color w:val="auto"/>
                <w:szCs w:val="21"/>
              </w:rPr>
              <w:t>/</w:t>
            </w:r>
          </w:p>
        </w:tc>
        <w:tc>
          <w:tcPr>
            <w:tcW w:w="1365" w:type="dxa"/>
            <w:tcBorders>
              <w:tl2br w:val="nil"/>
              <w:tr2bl w:val="nil"/>
            </w:tcBorders>
            <w:vAlign w:val="center"/>
          </w:tcPr>
          <w:p w14:paraId="406C0CEF">
            <w:pPr>
              <w:adjustRightInd w:val="0"/>
              <w:snapToGrid w:val="0"/>
              <w:spacing w:line="320" w:lineRule="exact"/>
              <w:jc w:val="center"/>
              <w:rPr>
                <w:rFonts w:eastAsia="仿宋_GB2312"/>
                <w:color w:val="auto"/>
                <w:szCs w:val="21"/>
              </w:rPr>
            </w:pPr>
            <w:r>
              <w:rPr>
                <w:rFonts w:eastAsia="仿宋_GB2312"/>
                <w:color w:val="auto"/>
                <w:szCs w:val="21"/>
              </w:rPr>
              <w:t>/</w:t>
            </w:r>
          </w:p>
        </w:tc>
      </w:tr>
      <w:tr w14:paraId="3018369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464" w:type="dxa"/>
            <w:tcBorders>
              <w:tl2br w:val="nil"/>
              <w:tr2bl w:val="nil"/>
            </w:tcBorders>
            <w:vAlign w:val="center"/>
          </w:tcPr>
          <w:p w14:paraId="56FD2E7D">
            <w:pPr>
              <w:adjustRightInd w:val="0"/>
              <w:snapToGrid w:val="0"/>
              <w:spacing w:line="320" w:lineRule="exact"/>
              <w:jc w:val="center"/>
              <w:rPr>
                <w:rFonts w:eastAsia="仿宋_GB2312"/>
                <w:color w:val="auto"/>
                <w:szCs w:val="21"/>
              </w:rPr>
            </w:pPr>
            <w:r>
              <w:rPr>
                <w:rFonts w:eastAsia="仿宋_GB2312"/>
                <w:color w:val="auto"/>
                <w:szCs w:val="21"/>
              </w:rPr>
              <w:t>硝酸</w:t>
            </w:r>
          </w:p>
        </w:tc>
        <w:tc>
          <w:tcPr>
            <w:tcW w:w="862" w:type="dxa"/>
            <w:tcBorders>
              <w:tl2br w:val="nil"/>
              <w:tr2bl w:val="nil"/>
            </w:tcBorders>
            <w:vAlign w:val="center"/>
          </w:tcPr>
          <w:p w14:paraId="49ED4960">
            <w:pPr>
              <w:adjustRightInd w:val="0"/>
              <w:snapToGrid w:val="0"/>
              <w:spacing w:line="320" w:lineRule="exact"/>
              <w:jc w:val="center"/>
              <w:rPr>
                <w:rFonts w:eastAsia="仿宋_GB2312"/>
                <w:color w:val="auto"/>
                <w:szCs w:val="21"/>
              </w:rPr>
            </w:pPr>
            <w:r>
              <w:rPr>
                <w:rFonts w:eastAsia="仿宋_GB2312"/>
                <w:color w:val="auto"/>
                <w:szCs w:val="21"/>
              </w:rPr>
              <w:t>81002</w:t>
            </w:r>
          </w:p>
        </w:tc>
        <w:tc>
          <w:tcPr>
            <w:tcW w:w="803" w:type="dxa"/>
            <w:tcBorders>
              <w:tl2br w:val="nil"/>
              <w:tr2bl w:val="nil"/>
            </w:tcBorders>
            <w:vAlign w:val="center"/>
          </w:tcPr>
          <w:p w14:paraId="2F24CB28">
            <w:pPr>
              <w:adjustRightInd w:val="0"/>
              <w:snapToGrid w:val="0"/>
              <w:spacing w:line="320" w:lineRule="exact"/>
              <w:jc w:val="center"/>
              <w:rPr>
                <w:rFonts w:eastAsia="仿宋_GB2312"/>
                <w:color w:val="auto"/>
                <w:szCs w:val="21"/>
              </w:rPr>
            </w:pPr>
            <w:r>
              <w:rPr>
                <w:rFonts w:eastAsia="仿宋_GB2312"/>
                <w:color w:val="auto"/>
                <w:szCs w:val="21"/>
              </w:rPr>
              <w:t>/</w:t>
            </w:r>
          </w:p>
        </w:tc>
        <w:tc>
          <w:tcPr>
            <w:tcW w:w="896" w:type="dxa"/>
            <w:tcBorders>
              <w:tl2br w:val="nil"/>
              <w:tr2bl w:val="nil"/>
            </w:tcBorders>
            <w:vAlign w:val="center"/>
          </w:tcPr>
          <w:p w14:paraId="31928ADC">
            <w:pPr>
              <w:adjustRightInd w:val="0"/>
              <w:snapToGrid w:val="0"/>
              <w:spacing w:line="320" w:lineRule="exact"/>
              <w:jc w:val="center"/>
              <w:rPr>
                <w:rFonts w:eastAsia="仿宋_GB2312"/>
                <w:color w:val="auto"/>
                <w:szCs w:val="21"/>
              </w:rPr>
            </w:pPr>
            <w:r>
              <w:rPr>
                <w:rFonts w:eastAsia="仿宋_GB2312"/>
                <w:color w:val="auto"/>
                <w:szCs w:val="21"/>
              </w:rPr>
              <w:t>86</w:t>
            </w:r>
          </w:p>
        </w:tc>
        <w:tc>
          <w:tcPr>
            <w:tcW w:w="896" w:type="dxa"/>
            <w:tcBorders>
              <w:tl2br w:val="nil"/>
              <w:tr2bl w:val="nil"/>
            </w:tcBorders>
            <w:vAlign w:val="center"/>
          </w:tcPr>
          <w:p w14:paraId="5DE5DEC8">
            <w:pPr>
              <w:adjustRightInd w:val="0"/>
              <w:snapToGrid w:val="0"/>
              <w:spacing w:line="320" w:lineRule="exact"/>
              <w:jc w:val="center"/>
              <w:rPr>
                <w:rFonts w:eastAsia="仿宋_GB2312"/>
                <w:color w:val="auto"/>
                <w:szCs w:val="21"/>
              </w:rPr>
            </w:pPr>
            <w:r>
              <w:rPr>
                <w:rFonts w:eastAsia="仿宋_GB2312"/>
                <w:color w:val="auto"/>
                <w:szCs w:val="21"/>
              </w:rPr>
              <w:t>-42</w:t>
            </w:r>
          </w:p>
        </w:tc>
        <w:tc>
          <w:tcPr>
            <w:tcW w:w="1281" w:type="dxa"/>
            <w:tcBorders>
              <w:tl2br w:val="nil"/>
              <w:tr2bl w:val="nil"/>
            </w:tcBorders>
            <w:vAlign w:val="center"/>
          </w:tcPr>
          <w:p w14:paraId="56A075B9">
            <w:pPr>
              <w:adjustRightInd w:val="0"/>
              <w:snapToGrid w:val="0"/>
              <w:spacing w:line="320" w:lineRule="exact"/>
              <w:jc w:val="center"/>
              <w:rPr>
                <w:rFonts w:eastAsia="仿宋_GB2312"/>
                <w:color w:val="auto"/>
                <w:szCs w:val="21"/>
              </w:rPr>
            </w:pPr>
            <w:r>
              <w:rPr>
                <w:rFonts w:eastAsia="仿宋_GB2312"/>
                <w:color w:val="auto"/>
                <w:szCs w:val="21"/>
              </w:rPr>
              <w:t>/</w:t>
            </w:r>
          </w:p>
        </w:tc>
        <w:tc>
          <w:tcPr>
            <w:tcW w:w="1279" w:type="dxa"/>
            <w:tcBorders>
              <w:tl2br w:val="nil"/>
              <w:tr2bl w:val="nil"/>
            </w:tcBorders>
            <w:vAlign w:val="center"/>
          </w:tcPr>
          <w:p w14:paraId="64D11697">
            <w:pPr>
              <w:adjustRightInd w:val="0"/>
              <w:snapToGrid w:val="0"/>
              <w:spacing w:line="320" w:lineRule="exact"/>
              <w:jc w:val="center"/>
              <w:rPr>
                <w:rFonts w:eastAsia="仿宋_GB2312"/>
                <w:color w:val="auto"/>
                <w:szCs w:val="21"/>
              </w:rPr>
            </w:pPr>
            <w:r>
              <w:rPr>
                <w:rFonts w:eastAsia="仿宋_GB2312"/>
                <w:color w:val="auto"/>
                <w:szCs w:val="21"/>
              </w:rPr>
              <w:t>/</w:t>
            </w:r>
          </w:p>
        </w:tc>
        <w:tc>
          <w:tcPr>
            <w:tcW w:w="1365" w:type="dxa"/>
            <w:tcBorders>
              <w:tl2br w:val="nil"/>
              <w:tr2bl w:val="nil"/>
            </w:tcBorders>
            <w:vAlign w:val="center"/>
          </w:tcPr>
          <w:p w14:paraId="445C9DA2">
            <w:pPr>
              <w:adjustRightInd w:val="0"/>
              <w:snapToGrid w:val="0"/>
              <w:spacing w:line="320" w:lineRule="exact"/>
              <w:jc w:val="center"/>
              <w:rPr>
                <w:rFonts w:eastAsia="仿宋_GB2312"/>
                <w:color w:val="auto"/>
                <w:szCs w:val="21"/>
              </w:rPr>
            </w:pPr>
            <w:r>
              <w:rPr>
                <w:rFonts w:eastAsia="仿宋_GB2312"/>
                <w:color w:val="auto"/>
                <w:szCs w:val="21"/>
              </w:rPr>
              <w:t>/</w:t>
            </w:r>
          </w:p>
        </w:tc>
      </w:tr>
      <w:tr w14:paraId="12B429E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464" w:type="dxa"/>
            <w:tcBorders>
              <w:tl2br w:val="nil"/>
              <w:tr2bl w:val="nil"/>
            </w:tcBorders>
            <w:vAlign w:val="center"/>
          </w:tcPr>
          <w:p w14:paraId="2BF2A6BB">
            <w:pPr>
              <w:adjustRightInd w:val="0"/>
              <w:snapToGrid w:val="0"/>
              <w:spacing w:line="320" w:lineRule="exact"/>
              <w:jc w:val="center"/>
              <w:rPr>
                <w:rFonts w:eastAsia="仿宋_GB2312"/>
                <w:color w:val="auto"/>
                <w:szCs w:val="21"/>
              </w:rPr>
            </w:pPr>
            <w:r>
              <w:rPr>
                <w:rFonts w:eastAsia="仿宋_GB2312"/>
                <w:color w:val="auto"/>
                <w:szCs w:val="21"/>
              </w:rPr>
              <w:t>HCl</w:t>
            </w:r>
          </w:p>
        </w:tc>
        <w:tc>
          <w:tcPr>
            <w:tcW w:w="862" w:type="dxa"/>
            <w:tcBorders>
              <w:tl2br w:val="nil"/>
              <w:tr2bl w:val="nil"/>
            </w:tcBorders>
            <w:vAlign w:val="center"/>
          </w:tcPr>
          <w:p w14:paraId="16F31B0B">
            <w:pPr>
              <w:adjustRightInd w:val="0"/>
              <w:snapToGrid w:val="0"/>
              <w:spacing w:line="320" w:lineRule="exact"/>
              <w:jc w:val="center"/>
              <w:rPr>
                <w:rFonts w:eastAsia="仿宋_GB2312"/>
                <w:color w:val="auto"/>
                <w:szCs w:val="21"/>
              </w:rPr>
            </w:pPr>
            <w:r>
              <w:rPr>
                <w:rFonts w:eastAsia="仿宋_GB2312"/>
                <w:color w:val="auto"/>
                <w:szCs w:val="21"/>
              </w:rPr>
              <w:t>81013</w:t>
            </w:r>
          </w:p>
        </w:tc>
        <w:tc>
          <w:tcPr>
            <w:tcW w:w="803" w:type="dxa"/>
            <w:tcBorders>
              <w:tl2br w:val="nil"/>
              <w:tr2bl w:val="nil"/>
            </w:tcBorders>
            <w:vAlign w:val="center"/>
          </w:tcPr>
          <w:p w14:paraId="076136F0">
            <w:pPr>
              <w:adjustRightInd w:val="0"/>
              <w:snapToGrid w:val="0"/>
              <w:spacing w:line="320" w:lineRule="exact"/>
              <w:jc w:val="center"/>
              <w:rPr>
                <w:rFonts w:eastAsia="仿宋_GB2312"/>
                <w:color w:val="auto"/>
                <w:szCs w:val="21"/>
              </w:rPr>
            </w:pPr>
            <w:r>
              <w:rPr>
                <w:rFonts w:eastAsia="仿宋_GB2312"/>
                <w:color w:val="auto"/>
                <w:szCs w:val="21"/>
              </w:rPr>
              <w:t>/</w:t>
            </w:r>
          </w:p>
        </w:tc>
        <w:tc>
          <w:tcPr>
            <w:tcW w:w="896" w:type="dxa"/>
            <w:tcBorders>
              <w:tl2br w:val="nil"/>
              <w:tr2bl w:val="nil"/>
            </w:tcBorders>
            <w:vAlign w:val="center"/>
          </w:tcPr>
          <w:p w14:paraId="378542AB">
            <w:pPr>
              <w:adjustRightInd w:val="0"/>
              <w:snapToGrid w:val="0"/>
              <w:spacing w:line="320" w:lineRule="exact"/>
              <w:jc w:val="center"/>
              <w:rPr>
                <w:rFonts w:eastAsia="仿宋_GB2312"/>
                <w:color w:val="auto"/>
                <w:szCs w:val="21"/>
              </w:rPr>
            </w:pPr>
            <w:r>
              <w:rPr>
                <w:rFonts w:eastAsia="仿宋_GB2312"/>
                <w:color w:val="auto"/>
                <w:szCs w:val="21"/>
              </w:rPr>
              <w:t>-85</w:t>
            </w:r>
          </w:p>
        </w:tc>
        <w:tc>
          <w:tcPr>
            <w:tcW w:w="896" w:type="dxa"/>
            <w:tcBorders>
              <w:tl2br w:val="nil"/>
              <w:tr2bl w:val="nil"/>
            </w:tcBorders>
            <w:vAlign w:val="center"/>
          </w:tcPr>
          <w:p w14:paraId="0E5B7DC7">
            <w:pPr>
              <w:adjustRightInd w:val="0"/>
              <w:snapToGrid w:val="0"/>
              <w:spacing w:line="320" w:lineRule="exact"/>
              <w:jc w:val="center"/>
              <w:rPr>
                <w:rFonts w:eastAsia="仿宋_GB2312"/>
                <w:color w:val="auto"/>
                <w:szCs w:val="21"/>
              </w:rPr>
            </w:pPr>
            <w:r>
              <w:rPr>
                <w:rFonts w:eastAsia="仿宋_GB2312"/>
                <w:color w:val="auto"/>
                <w:szCs w:val="21"/>
              </w:rPr>
              <w:t>/</w:t>
            </w:r>
          </w:p>
        </w:tc>
        <w:tc>
          <w:tcPr>
            <w:tcW w:w="1281" w:type="dxa"/>
            <w:tcBorders>
              <w:tl2br w:val="nil"/>
              <w:tr2bl w:val="nil"/>
            </w:tcBorders>
            <w:vAlign w:val="center"/>
          </w:tcPr>
          <w:p w14:paraId="66F50518">
            <w:pPr>
              <w:adjustRightInd w:val="0"/>
              <w:snapToGrid w:val="0"/>
              <w:spacing w:line="320" w:lineRule="exact"/>
              <w:jc w:val="center"/>
              <w:rPr>
                <w:rFonts w:eastAsia="仿宋_GB2312"/>
                <w:color w:val="auto"/>
                <w:szCs w:val="21"/>
              </w:rPr>
            </w:pPr>
            <w:r>
              <w:rPr>
                <w:rFonts w:eastAsia="仿宋_GB2312"/>
                <w:color w:val="auto"/>
                <w:szCs w:val="21"/>
              </w:rPr>
              <w:t>/</w:t>
            </w:r>
          </w:p>
        </w:tc>
        <w:tc>
          <w:tcPr>
            <w:tcW w:w="1279" w:type="dxa"/>
            <w:tcBorders>
              <w:tl2br w:val="nil"/>
              <w:tr2bl w:val="nil"/>
            </w:tcBorders>
            <w:vAlign w:val="center"/>
          </w:tcPr>
          <w:p w14:paraId="60D166B3">
            <w:pPr>
              <w:adjustRightInd w:val="0"/>
              <w:snapToGrid w:val="0"/>
              <w:spacing w:line="320" w:lineRule="exact"/>
              <w:jc w:val="center"/>
              <w:rPr>
                <w:rFonts w:eastAsia="仿宋_GB2312"/>
                <w:color w:val="auto"/>
                <w:szCs w:val="21"/>
              </w:rPr>
            </w:pPr>
            <w:r>
              <w:rPr>
                <w:rFonts w:eastAsia="仿宋_GB2312"/>
                <w:color w:val="auto"/>
                <w:szCs w:val="21"/>
              </w:rPr>
              <w:t>/</w:t>
            </w:r>
          </w:p>
        </w:tc>
        <w:tc>
          <w:tcPr>
            <w:tcW w:w="1365" w:type="dxa"/>
            <w:tcBorders>
              <w:tl2br w:val="nil"/>
              <w:tr2bl w:val="nil"/>
            </w:tcBorders>
            <w:vAlign w:val="center"/>
          </w:tcPr>
          <w:p w14:paraId="5C5DB9F7">
            <w:pPr>
              <w:adjustRightInd w:val="0"/>
              <w:snapToGrid w:val="0"/>
              <w:spacing w:line="320" w:lineRule="exact"/>
              <w:jc w:val="center"/>
              <w:rPr>
                <w:rFonts w:eastAsia="仿宋_GB2312"/>
                <w:color w:val="auto"/>
                <w:szCs w:val="21"/>
              </w:rPr>
            </w:pPr>
            <w:r>
              <w:rPr>
                <w:rFonts w:eastAsia="仿宋_GB2312"/>
                <w:color w:val="auto"/>
                <w:szCs w:val="21"/>
              </w:rPr>
              <w:t>4600,1小时</w:t>
            </w:r>
          </w:p>
        </w:tc>
      </w:tr>
      <w:tr w14:paraId="06DD7DD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464" w:type="dxa"/>
            <w:tcBorders>
              <w:tl2br w:val="nil"/>
              <w:tr2bl w:val="nil"/>
            </w:tcBorders>
            <w:vAlign w:val="center"/>
          </w:tcPr>
          <w:p w14:paraId="24B7347E">
            <w:pPr>
              <w:adjustRightInd w:val="0"/>
              <w:snapToGrid w:val="0"/>
              <w:spacing w:line="320" w:lineRule="exact"/>
              <w:jc w:val="center"/>
              <w:rPr>
                <w:rFonts w:eastAsia="仿宋_GB2312"/>
                <w:color w:val="auto"/>
                <w:szCs w:val="21"/>
              </w:rPr>
            </w:pPr>
            <w:r>
              <w:rPr>
                <w:rFonts w:eastAsia="仿宋_GB2312"/>
                <w:color w:val="auto"/>
                <w:szCs w:val="21"/>
              </w:rPr>
              <w:t>丙二醇</w:t>
            </w:r>
          </w:p>
        </w:tc>
        <w:tc>
          <w:tcPr>
            <w:tcW w:w="862" w:type="dxa"/>
            <w:tcBorders>
              <w:tl2br w:val="nil"/>
              <w:tr2bl w:val="nil"/>
            </w:tcBorders>
            <w:vAlign w:val="center"/>
          </w:tcPr>
          <w:p w14:paraId="23658F81">
            <w:pPr>
              <w:adjustRightInd w:val="0"/>
              <w:snapToGrid w:val="0"/>
              <w:spacing w:line="320" w:lineRule="exact"/>
              <w:jc w:val="center"/>
              <w:rPr>
                <w:rFonts w:eastAsia="仿宋_GB2312"/>
                <w:color w:val="auto"/>
                <w:szCs w:val="21"/>
              </w:rPr>
            </w:pPr>
            <w:r>
              <w:rPr>
                <w:rFonts w:eastAsia="仿宋_GB2312"/>
                <w:color w:val="auto"/>
                <w:szCs w:val="21"/>
              </w:rPr>
              <w:t>/</w:t>
            </w:r>
          </w:p>
        </w:tc>
        <w:tc>
          <w:tcPr>
            <w:tcW w:w="803" w:type="dxa"/>
            <w:tcBorders>
              <w:tl2br w:val="nil"/>
              <w:tr2bl w:val="nil"/>
            </w:tcBorders>
            <w:vAlign w:val="center"/>
          </w:tcPr>
          <w:p w14:paraId="0A3F1784">
            <w:pPr>
              <w:adjustRightInd w:val="0"/>
              <w:snapToGrid w:val="0"/>
              <w:spacing w:line="320" w:lineRule="exact"/>
              <w:jc w:val="center"/>
              <w:rPr>
                <w:rFonts w:eastAsia="仿宋_GB2312"/>
                <w:color w:val="auto"/>
                <w:szCs w:val="21"/>
              </w:rPr>
            </w:pPr>
            <w:r>
              <w:rPr>
                <w:rFonts w:eastAsia="仿宋_GB2312"/>
                <w:color w:val="auto"/>
                <w:szCs w:val="21"/>
              </w:rPr>
              <w:t>79</w:t>
            </w:r>
          </w:p>
        </w:tc>
        <w:tc>
          <w:tcPr>
            <w:tcW w:w="896" w:type="dxa"/>
            <w:tcBorders>
              <w:tl2br w:val="nil"/>
              <w:tr2bl w:val="nil"/>
            </w:tcBorders>
            <w:vAlign w:val="center"/>
          </w:tcPr>
          <w:p w14:paraId="3175D9A7">
            <w:pPr>
              <w:adjustRightInd w:val="0"/>
              <w:snapToGrid w:val="0"/>
              <w:spacing w:line="320" w:lineRule="exact"/>
              <w:jc w:val="center"/>
              <w:rPr>
                <w:rFonts w:eastAsia="仿宋_GB2312"/>
                <w:color w:val="auto"/>
                <w:szCs w:val="21"/>
              </w:rPr>
            </w:pPr>
            <w:r>
              <w:rPr>
                <w:rFonts w:eastAsia="仿宋_GB2312"/>
                <w:color w:val="auto"/>
                <w:szCs w:val="21"/>
              </w:rPr>
              <w:t>210.5</w:t>
            </w:r>
          </w:p>
        </w:tc>
        <w:tc>
          <w:tcPr>
            <w:tcW w:w="896" w:type="dxa"/>
            <w:tcBorders>
              <w:tl2br w:val="nil"/>
              <w:tr2bl w:val="nil"/>
            </w:tcBorders>
            <w:vAlign w:val="center"/>
          </w:tcPr>
          <w:p w14:paraId="112BA613">
            <w:pPr>
              <w:adjustRightInd w:val="0"/>
              <w:snapToGrid w:val="0"/>
              <w:spacing w:line="320" w:lineRule="exact"/>
              <w:jc w:val="center"/>
              <w:rPr>
                <w:rFonts w:eastAsia="仿宋_GB2312"/>
                <w:color w:val="auto"/>
                <w:szCs w:val="21"/>
              </w:rPr>
            </w:pPr>
            <w:r>
              <w:rPr>
                <w:rFonts w:eastAsia="仿宋_GB2312"/>
                <w:color w:val="auto"/>
                <w:szCs w:val="21"/>
              </w:rPr>
              <w:t>-27</w:t>
            </w:r>
          </w:p>
        </w:tc>
        <w:tc>
          <w:tcPr>
            <w:tcW w:w="1281" w:type="dxa"/>
            <w:tcBorders>
              <w:tl2br w:val="nil"/>
              <w:tr2bl w:val="nil"/>
            </w:tcBorders>
            <w:vAlign w:val="center"/>
          </w:tcPr>
          <w:p w14:paraId="528EE88A">
            <w:pPr>
              <w:adjustRightInd w:val="0"/>
              <w:snapToGrid w:val="0"/>
              <w:spacing w:line="320" w:lineRule="exact"/>
              <w:jc w:val="center"/>
              <w:rPr>
                <w:rFonts w:eastAsia="仿宋_GB2312"/>
                <w:color w:val="auto"/>
                <w:szCs w:val="21"/>
              </w:rPr>
            </w:pPr>
            <w:r>
              <w:rPr>
                <w:rFonts w:eastAsia="仿宋_GB2312"/>
                <w:color w:val="auto"/>
                <w:szCs w:val="21"/>
              </w:rPr>
              <w:t>16080</w:t>
            </w:r>
          </w:p>
        </w:tc>
        <w:tc>
          <w:tcPr>
            <w:tcW w:w="1279" w:type="dxa"/>
            <w:tcBorders>
              <w:tl2br w:val="nil"/>
              <w:tr2bl w:val="nil"/>
            </w:tcBorders>
            <w:vAlign w:val="center"/>
          </w:tcPr>
          <w:p w14:paraId="4F7BD478">
            <w:pPr>
              <w:adjustRightInd w:val="0"/>
              <w:snapToGrid w:val="0"/>
              <w:spacing w:line="320" w:lineRule="exact"/>
              <w:jc w:val="center"/>
              <w:rPr>
                <w:rFonts w:eastAsia="仿宋_GB2312"/>
                <w:color w:val="auto"/>
                <w:szCs w:val="21"/>
              </w:rPr>
            </w:pPr>
            <w:r>
              <w:rPr>
                <w:rFonts w:eastAsia="仿宋_GB2312"/>
                <w:color w:val="auto"/>
                <w:szCs w:val="21"/>
              </w:rPr>
              <w:t>/</w:t>
            </w:r>
          </w:p>
        </w:tc>
        <w:tc>
          <w:tcPr>
            <w:tcW w:w="1365" w:type="dxa"/>
            <w:tcBorders>
              <w:tl2br w:val="nil"/>
              <w:tr2bl w:val="nil"/>
            </w:tcBorders>
            <w:vAlign w:val="center"/>
          </w:tcPr>
          <w:p w14:paraId="5C92CD5E">
            <w:pPr>
              <w:adjustRightInd w:val="0"/>
              <w:snapToGrid w:val="0"/>
              <w:spacing w:line="320" w:lineRule="exact"/>
              <w:jc w:val="center"/>
              <w:rPr>
                <w:rFonts w:eastAsia="仿宋_GB2312"/>
                <w:color w:val="auto"/>
                <w:szCs w:val="21"/>
              </w:rPr>
            </w:pPr>
            <w:r>
              <w:rPr>
                <w:rFonts w:eastAsia="仿宋_GB2312"/>
                <w:color w:val="auto"/>
                <w:szCs w:val="21"/>
              </w:rPr>
              <w:t>/</w:t>
            </w:r>
          </w:p>
        </w:tc>
      </w:tr>
      <w:tr w14:paraId="69C31F0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464" w:type="dxa"/>
            <w:tcBorders>
              <w:tl2br w:val="nil"/>
              <w:tr2bl w:val="nil"/>
            </w:tcBorders>
            <w:vAlign w:val="center"/>
          </w:tcPr>
          <w:p w14:paraId="7A309FA0">
            <w:pPr>
              <w:adjustRightInd w:val="0"/>
              <w:snapToGrid w:val="0"/>
              <w:spacing w:line="320" w:lineRule="exact"/>
              <w:jc w:val="center"/>
              <w:rPr>
                <w:rFonts w:eastAsia="仿宋_GB2312"/>
                <w:color w:val="auto"/>
                <w:szCs w:val="21"/>
              </w:rPr>
            </w:pPr>
            <w:r>
              <w:rPr>
                <w:rFonts w:eastAsia="仿宋_GB2312"/>
                <w:color w:val="auto"/>
                <w:szCs w:val="21"/>
              </w:rPr>
              <w:t>甲苯</w:t>
            </w:r>
          </w:p>
        </w:tc>
        <w:tc>
          <w:tcPr>
            <w:tcW w:w="862" w:type="dxa"/>
            <w:tcBorders>
              <w:tl2br w:val="nil"/>
              <w:tr2bl w:val="nil"/>
            </w:tcBorders>
            <w:vAlign w:val="center"/>
          </w:tcPr>
          <w:p w14:paraId="3668C220">
            <w:pPr>
              <w:adjustRightInd w:val="0"/>
              <w:snapToGrid w:val="0"/>
              <w:spacing w:line="320" w:lineRule="exact"/>
              <w:jc w:val="center"/>
              <w:rPr>
                <w:rFonts w:eastAsia="仿宋_GB2312"/>
                <w:color w:val="auto"/>
                <w:szCs w:val="21"/>
              </w:rPr>
            </w:pPr>
            <w:r>
              <w:rPr>
                <w:rFonts w:eastAsia="仿宋_GB2312"/>
                <w:color w:val="auto"/>
                <w:szCs w:val="21"/>
              </w:rPr>
              <w:t>32052</w:t>
            </w:r>
          </w:p>
        </w:tc>
        <w:tc>
          <w:tcPr>
            <w:tcW w:w="803" w:type="dxa"/>
            <w:tcBorders>
              <w:tl2br w:val="nil"/>
              <w:tr2bl w:val="nil"/>
            </w:tcBorders>
            <w:vAlign w:val="center"/>
          </w:tcPr>
          <w:p w14:paraId="6BEC08FC">
            <w:pPr>
              <w:adjustRightInd w:val="0"/>
              <w:snapToGrid w:val="0"/>
              <w:spacing w:line="320" w:lineRule="exact"/>
              <w:jc w:val="center"/>
              <w:rPr>
                <w:rFonts w:eastAsia="仿宋_GB2312"/>
                <w:color w:val="auto"/>
                <w:szCs w:val="21"/>
              </w:rPr>
            </w:pPr>
            <w:r>
              <w:rPr>
                <w:rFonts w:eastAsia="仿宋_GB2312"/>
                <w:color w:val="auto"/>
                <w:szCs w:val="21"/>
              </w:rPr>
              <w:t>4</w:t>
            </w:r>
          </w:p>
        </w:tc>
        <w:tc>
          <w:tcPr>
            <w:tcW w:w="896" w:type="dxa"/>
            <w:tcBorders>
              <w:tl2br w:val="nil"/>
              <w:tr2bl w:val="nil"/>
            </w:tcBorders>
            <w:vAlign w:val="center"/>
          </w:tcPr>
          <w:p w14:paraId="592190B3">
            <w:pPr>
              <w:adjustRightInd w:val="0"/>
              <w:snapToGrid w:val="0"/>
              <w:spacing w:line="320" w:lineRule="exact"/>
              <w:jc w:val="center"/>
              <w:rPr>
                <w:rFonts w:eastAsia="仿宋_GB2312"/>
                <w:color w:val="auto"/>
                <w:szCs w:val="21"/>
              </w:rPr>
            </w:pPr>
            <w:r>
              <w:rPr>
                <w:rFonts w:eastAsia="仿宋_GB2312"/>
                <w:color w:val="auto"/>
                <w:szCs w:val="21"/>
              </w:rPr>
              <w:t>110.6</w:t>
            </w:r>
          </w:p>
        </w:tc>
        <w:tc>
          <w:tcPr>
            <w:tcW w:w="896" w:type="dxa"/>
            <w:tcBorders>
              <w:tl2br w:val="nil"/>
              <w:tr2bl w:val="nil"/>
            </w:tcBorders>
            <w:vAlign w:val="center"/>
          </w:tcPr>
          <w:p w14:paraId="77B90541">
            <w:pPr>
              <w:adjustRightInd w:val="0"/>
              <w:snapToGrid w:val="0"/>
              <w:spacing w:line="320" w:lineRule="exact"/>
              <w:jc w:val="center"/>
              <w:rPr>
                <w:rFonts w:eastAsia="仿宋_GB2312"/>
                <w:color w:val="auto"/>
                <w:szCs w:val="21"/>
              </w:rPr>
            </w:pPr>
            <w:r>
              <w:rPr>
                <w:rFonts w:eastAsia="仿宋_GB2312"/>
                <w:color w:val="auto"/>
                <w:szCs w:val="21"/>
              </w:rPr>
              <w:t>-94.9</w:t>
            </w:r>
          </w:p>
        </w:tc>
        <w:tc>
          <w:tcPr>
            <w:tcW w:w="1281" w:type="dxa"/>
            <w:tcBorders>
              <w:tl2br w:val="nil"/>
              <w:tr2bl w:val="nil"/>
            </w:tcBorders>
            <w:vAlign w:val="center"/>
          </w:tcPr>
          <w:p w14:paraId="100B93D7">
            <w:pPr>
              <w:adjustRightInd w:val="0"/>
              <w:snapToGrid w:val="0"/>
              <w:spacing w:line="320" w:lineRule="exact"/>
              <w:jc w:val="center"/>
              <w:rPr>
                <w:rFonts w:eastAsia="仿宋_GB2312"/>
                <w:color w:val="auto"/>
                <w:szCs w:val="21"/>
              </w:rPr>
            </w:pPr>
            <w:r>
              <w:rPr>
                <w:rFonts w:eastAsia="仿宋_GB2312"/>
                <w:color w:val="auto"/>
                <w:szCs w:val="21"/>
              </w:rPr>
              <w:t>5000</w:t>
            </w:r>
          </w:p>
        </w:tc>
        <w:tc>
          <w:tcPr>
            <w:tcW w:w="1279" w:type="dxa"/>
            <w:tcBorders>
              <w:tl2br w:val="nil"/>
              <w:tr2bl w:val="nil"/>
            </w:tcBorders>
            <w:vAlign w:val="center"/>
          </w:tcPr>
          <w:p w14:paraId="27335116">
            <w:pPr>
              <w:adjustRightInd w:val="0"/>
              <w:snapToGrid w:val="0"/>
              <w:spacing w:line="320" w:lineRule="exact"/>
              <w:jc w:val="center"/>
              <w:rPr>
                <w:rFonts w:eastAsia="仿宋_GB2312"/>
                <w:color w:val="auto"/>
                <w:szCs w:val="21"/>
              </w:rPr>
            </w:pPr>
            <w:r>
              <w:rPr>
                <w:rFonts w:eastAsia="仿宋_GB2312"/>
                <w:color w:val="auto"/>
                <w:szCs w:val="21"/>
              </w:rPr>
              <w:t xml:space="preserve">12124 </w:t>
            </w:r>
          </w:p>
        </w:tc>
        <w:tc>
          <w:tcPr>
            <w:tcW w:w="1365" w:type="dxa"/>
            <w:tcBorders>
              <w:tl2br w:val="nil"/>
              <w:tr2bl w:val="nil"/>
            </w:tcBorders>
            <w:vAlign w:val="center"/>
          </w:tcPr>
          <w:p w14:paraId="76BA7262">
            <w:pPr>
              <w:adjustRightInd w:val="0"/>
              <w:snapToGrid w:val="0"/>
              <w:spacing w:line="320" w:lineRule="exact"/>
              <w:jc w:val="center"/>
              <w:rPr>
                <w:rFonts w:eastAsia="仿宋_GB2312"/>
                <w:color w:val="auto"/>
                <w:szCs w:val="21"/>
              </w:rPr>
            </w:pPr>
            <w:r>
              <w:rPr>
                <w:rFonts w:eastAsia="仿宋_GB2312"/>
                <w:color w:val="auto"/>
                <w:szCs w:val="21"/>
              </w:rPr>
              <w:t>20003,8小时</w:t>
            </w:r>
          </w:p>
        </w:tc>
      </w:tr>
      <w:tr w14:paraId="64850D5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464" w:type="dxa"/>
            <w:tcBorders>
              <w:tl2br w:val="nil"/>
              <w:tr2bl w:val="nil"/>
            </w:tcBorders>
            <w:vAlign w:val="center"/>
          </w:tcPr>
          <w:p w14:paraId="7D8AFC87">
            <w:pPr>
              <w:adjustRightInd w:val="0"/>
              <w:snapToGrid w:val="0"/>
              <w:spacing w:line="320" w:lineRule="exact"/>
              <w:jc w:val="center"/>
              <w:rPr>
                <w:rFonts w:eastAsia="仿宋_GB2312"/>
                <w:color w:val="auto"/>
                <w:szCs w:val="21"/>
              </w:rPr>
            </w:pPr>
            <w:r>
              <w:rPr>
                <w:rFonts w:eastAsia="仿宋_GB2312"/>
                <w:color w:val="auto"/>
                <w:szCs w:val="21"/>
              </w:rPr>
              <w:t>二甲苯</w:t>
            </w:r>
          </w:p>
        </w:tc>
        <w:tc>
          <w:tcPr>
            <w:tcW w:w="862" w:type="dxa"/>
            <w:tcBorders>
              <w:tl2br w:val="nil"/>
              <w:tr2bl w:val="nil"/>
            </w:tcBorders>
            <w:vAlign w:val="center"/>
          </w:tcPr>
          <w:p w14:paraId="5806B9D5">
            <w:pPr>
              <w:adjustRightInd w:val="0"/>
              <w:snapToGrid w:val="0"/>
              <w:spacing w:line="320" w:lineRule="exact"/>
              <w:jc w:val="center"/>
              <w:rPr>
                <w:rFonts w:eastAsia="仿宋_GB2312"/>
                <w:color w:val="auto"/>
                <w:szCs w:val="21"/>
              </w:rPr>
            </w:pPr>
            <w:r>
              <w:rPr>
                <w:rFonts w:eastAsia="仿宋_GB2312"/>
                <w:color w:val="auto"/>
                <w:szCs w:val="21"/>
              </w:rPr>
              <w:t>33535</w:t>
            </w:r>
          </w:p>
        </w:tc>
        <w:tc>
          <w:tcPr>
            <w:tcW w:w="803" w:type="dxa"/>
            <w:tcBorders>
              <w:tl2br w:val="nil"/>
              <w:tr2bl w:val="nil"/>
            </w:tcBorders>
            <w:vAlign w:val="center"/>
          </w:tcPr>
          <w:p w14:paraId="151404B6">
            <w:pPr>
              <w:adjustRightInd w:val="0"/>
              <w:snapToGrid w:val="0"/>
              <w:spacing w:line="320" w:lineRule="exact"/>
              <w:jc w:val="center"/>
              <w:rPr>
                <w:rFonts w:eastAsia="仿宋_GB2312"/>
                <w:color w:val="auto"/>
                <w:szCs w:val="21"/>
              </w:rPr>
            </w:pPr>
            <w:r>
              <w:rPr>
                <w:rFonts w:eastAsia="仿宋_GB2312"/>
                <w:color w:val="auto"/>
                <w:szCs w:val="21"/>
              </w:rPr>
              <w:t>30</w:t>
            </w:r>
          </w:p>
        </w:tc>
        <w:tc>
          <w:tcPr>
            <w:tcW w:w="896" w:type="dxa"/>
            <w:tcBorders>
              <w:tl2br w:val="nil"/>
              <w:tr2bl w:val="nil"/>
            </w:tcBorders>
            <w:vAlign w:val="center"/>
          </w:tcPr>
          <w:p w14:paraId="3C0575E9">
            <w:pPr>
              <w:adjustRightInd w:val="0"/>
              <w:snapToGrid w:val="0"/>
              <w:spacing w:line="320" w:lineRule="exact"/>
              <w:jc w:val="center"/>
              <w:rPr>
                <w:rFonts w:eastAsia="仿宋_GB2312"/>
                <w:color w:val="auto"/>
                <w:szCs w:val="21"/>
              </w:rPr>
            </w:pPr>
            <w:r>
              <w:rPr>
                <w:rFonts w:eastAsia="仿宋_GB2312"/>
                <w:color w:val="auto"/>
                <w:szCs w:val="21"/>
              </w:rPr>
              <w:t>144.4</w:t>
            </w:r>
          </w:p>
        </w:tc>
        <w:tc>
          <w:tcPr>
            <w:tcW w:w="896" w:type="dxa"/>
            <w:tcBorders>
              <w:tl2br w:val="nil"/>
              <w:tr2bl w:val="nil"/>
            </w:tcBorders>
            <w:vAlign w:val="center"/>
          </w:tcPr>
          <w:p w14:paraId="38894389">
            <w:pPr>
              <w:adjustRightInd w:val="0"/>
              <w:snapToGrid w:val="0"/>
              <w:spacing w:line="320" w:lineRule="exact"/>
              <w:jc w:val="center"/>
              <w:rPr>
                <w:rFonts w:eastAsia="仿宋_GB2312"/>
                <w:color w:val="auto"/>
                <w:szCs w:val="21"/>
              </w:rPr>
            </w:pPr>
            <w:r>
              <w:rPr>
                <w:rFonts w:eastAsia="仿宋_GB2312"/>
                <w:color w:val="auto"/>
                <w:szCs w:val="21"/>
              </w:rPr>
              <w:t>-25.5</w:t>
            </w:r>
          </w:p>
        </w:tc>
        <w:tc>
          <w:tcPr>
            <w:tcW w:w="1281" w:type="dxa"/>
            <w:tcBorders>
              <w:tl2br w:val="nil"/>
              <w:tr2bl w:val="nil"/>
            </w:tcBorders>
            <w:vAlign w:val="center"/>
          </w:tcPr>
          <w:p w14:paraId="04F0BB16">
            <w:pPr>
              <w:adjustRightInd w:val="0"/>
              <w:snapToGrid w:val="0"/>
              <w:spacing w:line="320" w:lineRule="exact"/>
              <w:jc w:val="center"/>
              <w:rPr>
                <w:rFonts w:eastAsia="仿宋_GB2312"/>
                <w:color w:val="auto"/>
                <w:szCs w:val="21"/>
              </w:rPr>
            </w:pPr>
            <w:r>
              <w:rPr>
                <w:rFonts w:eastAsia="仿宋_GB2312"/>
                <w:color w:val="auto"/>
                <w:szCs w:val="21"/>
              </w:rPr>
              <w:t>4300</w:t>
            </w:r>
          </w:p>
        </w:tc>
        <w:tc>
          <w:tcPr>
            <w:tcW w:w="1279" w:type="dxa"/>
            <w:tcBorders>
              <w:tl2br w:val="nil"/>
              <w:tr2bl w:val="nil"/>
            </w:tcBorders>
            <w:vAlign w:val="center"/>
          </w:tcPr>
          <w:p w14:paraId="2245E614">
            <w:pPr>
              <w:adjustRightInd w:val="0"/>
              <w:snapToGrid w:val="0"/>
              <w:spacing w:line="320" w:lineRule="exact"/>
              <w:jc w:val="center"/>
              <w:rPr>
                <w:rFonts w:eastAsia="仿宋_GB2312"/>
                <w:color w:val="auto"/>
                <w:szCs w:val="21"/>
              </w:rPr>
            </w:pPr>
            <w:r>
              <w:rPr>
                <w:rFonts w:eastAsia="仿宋_GB2312"/>
                <w:color w:val="auto"/>
                <w:szCs w:val="21"/>
              </w:rPr>
              <w:t>/</w:t>
            </w:r>
          </w:p>
        </w:tc>
        <w:tc>
          <w:tcPr>
            <w:tcW w:w="1365" w:type="dxa"/>
            <w:tcBorders>
              <w:tl2br w:val="nil"/>
              <w:tr2bl w:val="nil"/>
            </w:tcBorders>
            <w:vAlign w:val="center"/>
          </w:tcPr>
          <w:p w14:paraId="6E9851BF">
            <w:pPr>
              <w:adjustRightInd w:val="0"/>
              <w:snapToGrid w:val="0"/>
              <w:spacing w:line="320" w:lineRule="exact"/>
              <w:jc w:val="center"/>
              <w:rPr>
                <w:rFonts w:eastAsia="仿宋_GB2312"/>
                <w:color w:val="auto"/>
                <w:szCs w:val="21"/>
              </w:rPr>
            </w:pPr>
            <w:r>
              <w:rPr>
                <w:rFonts w:eastAsia="仿宋_GB2312"/>
                <w:color w:val="auto"/>
                <w:szCs w:val="21"/>
              </w:rPr>
              <w:t>2199</w:t>
            </w:r>
          </w:p>
        </w:tc>
      </w:tr>
      <w:tr w14:paraId="5C3F04F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464" w:type="dxa"/>
            <w:tcBorders>
              <w:tl2br w:val="nil"/>
              <w:tr2bl w:val="nil"/>
            </w:tcBorders>
            <w:vAlign w:val="center"/>
          </w:tcPr>
          <w:p w14:paraId="5F5D8D4F">
            <w:pPr>
              <w:adjustRightInd w:val="0"/>
              <w:snapToGrid w:val="0"/>
              <w:spacing w:line="320" w:lineRule="exact"/>
              <w:jc w:val="center"/>
              <w:rPr>
                <w:rFonts w:eastAsia="仿宋_GB2312"/>
                <w:color w:val="auto"/>
                <w:szCs w:val="21"/>
              </w:rPr>
            </w:pPr>
            <w:r>
              <w:rPr>
                <w:rFonts w:eastAsia="仿宋_GB2312"/>
                <w:color w:val="auto"/>
                <w:szCs w:val="21"/>
              </w:rPr>
              <w:t>乙酸乙酯</w:t>
            </w:r>
          </w:p>
        </w:tc>
        <w:tc>
          <w:tcPr>
            <w:tcW w:w="862" w:type="dxa"/>
            <w:tcBorders>
              <w:tl2br w:val="nil"/>
              <w:tr2bl w:val="nil"/>
            </w:tcBorders>
            <w:vAlign w:val="center"/>
          </w:tcPr>
          <w:p w14:paraId="2302ED36">
            <w:pPr>
              <w:adjustRightInd w:val="0"/>
              <w:snapToGrid w:val="0"/>
              <w:spacing w:line="320" w:lineRule="exact"/>
              <w:jc w:val="center"/>
              <w:rPr>
                <w:rFonts w:eastAsia="仿宋_GB2312"/>
                <w:color w:val="auto"/>
                <w:szCs w:val="21"/>
              </w:rPr>
            </w:pPr>
            <w:r>
              <w:rPr>
                <w:rFonts w:eastAsia="仿宋_GB2312"/>
                <w:color w:val="auto"/>
                <w:szCs w:val="21"/>
              </w:rPr>
              <w:t>32127</w:t>
            </w:r>
          </w:p>
        </w:tc>
        <w:tc>
          <w:tcPr>
            <w:tcW w:w="803" w:type="dxa"/>
            <w:tcBorders>
              <w:tl2br w:val="nil"/>
              <w:tr2bl w:val="nil"/>
            </w:tcBorders>
            <w:vAlign w:val="center"/>
          </w:tcPr>
          <w:p w14:paraId="4252FE78">
            <w:pPr>
              <w:adjustRightInd w:val="0"/>
              <w:snapToGrid w:val="0"/>
              <w:spacing w:line="320" w:lineRule="exact"/>
              <w:jc w:val="center"/>
              <w:rPr>
                <w:rFonts w:eastAsia="仿宋_GB2312"/>
                <w:color w:val="auto"/>
                <w:szCs w:val="21"/>
              </w:rPr>
            </w:pPr>
            <w:r>
              <w:rPr>
                <w:rFonts w:eastAsia="仿宋_GB2312"/>
                <w:color w:val="auto"/>
                <w:szCs w:val="21"/>
              </w:rPr>
              <w:t>-4</w:t>
            </w:r>
          </w:p>
        </w:tc>
        <w:tc>
          <w:tcPr>
            <w:tcW w:w="896" w:type="dxa"/>
            <w:tcBorders>
              <w:tl2br w:val="nil"/>
              <w:tr2bl w:val="nil"/>
            </w:tcBorders>
            <w:vAlign w:val="center"/>
          </w:tcPr>
          <w:p w14:paraId="04F910DF">
            <w:pPr>
              <w:adjustRightInd w:val="0"/>
              <w:snapToGrid w:val="0"/>
              <w:spacing w:line="320" w:lineRule="exact"/>
              <w:jc w:val="center"/>
              <w:rPr>
                <w:rFonts w:eastAsia="仿宋_GB2312"/>
                <w:color w:val="auto"/>
                <w:szCs w:val="21"/>
              </w:rPr>
            </w:pPr>
            <w:r>
              <w:rPr>
                <w:rFonts w:eastAsia="仿宋_GB2312"/>
                <w:color w:val="auto"/>
                <w:szCs w:val="21"/>
              </w:rPr>
              <w:t>77.2</w:t>
            </w:r>
          </w:p>
        </w:tc>
        <w:tc>
          <w:tcPr>
            <w:tcW w:w="896" w:type="dxa"/>
            <w:tcBorders>
              <w:tl2br w:val="nil"/>
              <w:tr2bl w:val="nil"/>
            </w:tcBorders>
            <w:vAlign w:val="center"/>
          </w:tcPr>
          <w:p w14:paraId="6208F53B">
            <w:pPr>
              <w:adjustRightInd w:val="0"/>
              <w:snapToGrid w:val="0"/>
              <w:spacing w:line="320" w:lineRule="exact"/>
              <w:jc w:val="center"/>
              <w:rPr>
                <w:rFonts w:eastAsia="仿宋_GB2312"/>
                <w:color w:val="auto"/>
                <w:szCs w:val="21"/>
              </w:rPr>
            </w:pPr>
            <w:r>
              <w:rPr>
                <w:rFonts w:eastAsia="仿宋_GB2312"/>
                <w:color w:val="auto"/>
                <w:szCs w:val="21"/>
              </w:rPr>
              <w:t>-83.6</w:t>
            </w:r>
          </w:p>
        </w:tc>
        <w:tc>
          <w:tcPr>
            <w:tcW w:w="1281" w:type="dxa"/>
            <w:tcBorders>
              <w:tl2br w:val="nil"/>
              <w:tr2bl w:val="nil"/>
            </w:tcBorders>
            <w:vAlign w:val="center"/>
          </w:tcPr>
          <w:p w14:paraId="0CB4B772">
            <w:pPr>
              <w:adjustRightInd w:val="0"/>
              <w:snapToGrid w:val="0"/>
              <w:spacing w:line="320" w:lineRule="exact"/>
              <w:jc w:val="center"/>
              <w:rPr>
                <w:rFonts w:eastAsia="仿宋_GB2312"/>
                <w:color w:val="auto"/>
                <w:szCs w:val="21"/>
              </w:rPr>
            </w:pPr>
            <w:r>
              <w:rPr>
                <w:rFonts w:eastAsia="仿宋_GB2312"/>
                <w:color w:val="auto"/>
                <w:szCs w:val="21"/>
              </w:rPr>
              <w:t>5620</w:t>
            </w:r>
          </w:p>
        </w:tc>
        <w:tc>
          <w:tcPr>
            <w:tcW w:w="1279" w:type="dxa"/>
            <w:tcBorders>
              <w:tl2br w:val="nil"/>
              <w:tr2bl w:val="nil"/>
            </w:tcBorders>
            <w:vAlign w:val="center"/>
          </w:tcPr>
          <w:p w14:paraId="0BEE502E">
            <w:pPr>
              <w:adjustRightInd w:val="0"/>
              <w:snapToGrid w:val="0"/>
              <w:spacing w:line="320" w:lineRule="exact"/>
              <w:jc w:val="center"/>
              <w:rPr>
                <w:rFonts w:eastAsia="仿宋_GB2312"/>
                <w:color w:val="auto"/>
                <w:szCs w:val="21"/>
              </w:rPr>
            </w:pPr>
            <w:r>
              <w:rPr>
                <w:rFonts w:eastAsia="仿宋_GB2312"/>
                <w:color w:val="auto"/>
                <w:szCs w:val="21"/>
              </w:rPr>
              <w:t>/</w:t>
            </w:r>
          </w:p>
        </w:tc>
        <w:tc>
          <w:tcPr>
            <w:tcW w:w="1365" w:type="dxa"/>
            <w:tcBorders>
              <w:tl2br w:val="nil"/>
              <w:tr2bl w:val="nil"/>
            </w:tcBorders>
            <w:vAlign w:val="center"/>
          </w:tcPr>
          <w:p w14:paraId="5086BE4A">
            <w:pPr>
              <w:adjustRightInd w:val="0"/>
              <w:snapToGrid w:val="0"/>
              <w:spacing w:line="320" w:lineRule="exact"/>
              <w:jc w:val="center"/>
              <w:rPr>
                <w:rFonts w:eastAsia="仿宋_GB2312"/>
                <w:color w:val="auto"/>
                <w:szCs w:val="21"/>
              </w:rPr>
            </w:pPr>
            <w:r>
              <w:rPr>
                <w:rFonts w:eastAsia="仿宋_GB2312"/>
                <w:color w:val="auto"/>
                <w:szCs w:val="21"/>
              </w:rPr>
              <w:t>5760,8小时</w:t>
            </w:r>
          </w:p>
        </w:tc>
      </w:tr>
      <w:tr w14:paraId="0944277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464" w:type="dxa"/>
            <w:tcBorders>
              <w:tl2br w:val="nil"/>
              <w:tr2bl w:val="nil"/>
            </w:tcBorders>
            <w:vAlign w:val="center"/>
          </w:tcPr>
          <w:p w14:paraId="78AE104E">
            <w:pPr>
              <w:adjustRightInd w:val="0"/>
              <w:snapToGrid w:val="0"/>
              <w:spacing w:line="320" w:lineRule="exact"/>
              <w:jc w:val="center"/>
              <w:rPr>
                <w:rFonts w:eastAsia="仿宋_GB2312"/>
                <w:color w:val="auto"/>
                <w:szCs w:val="21"/>
              </w:rPr>
            </w:pPr>
            <w:r>
              <w:rPr>
                <w:rFonts w:eastAsia="仿宋_GB2312"/>
                <w:color w:val="auto"/>
                <w:szCs w:val="21"/>
              </w:rPr>
              <w:t>乙酸甲酯</w:t>
            </w:r>
          </w:p>
        </w:tc>
        <w:tc>
          <w:tcPr>
            <w:tcW w:w="862" w:type="dxa"/>
            <w:tcBorders>
              <w:tl2br w:val="nil"/>
              <w:tr2bl w:val="nil"/>
            </w:tcBorders>
            <w:vAlign w:val="center"/>
          </w:tcPr>
          <w:p w14:paraId="48B4705B">
            <w:pPr>
              <w:adjustRightInd w:val="0"/>
              <w:snapToGrid w:val="0"/>
              <w:spacing w:line="320" w:lineRule="exact"/>
              <w:jc w:val="center"/>
              <w:rPr>
                <w:rFonts w:eastAsia="仿宋_GB2312"/>
                <w:color w:val="auto"/>
                <w:szCs w:val="21"/>
              </w:rPr>
            </w:pPr>
            <w:r>
              <w:rPr>
                <w:rFonts w:eastAsia="仿宋_GB2312"/>
                <w:color w:val="auto"/>
                <w:szCs w:val="21"/>
              </w:rPr>
              <w:t>32126</w:t>
            </w:r>
          </w:p>
        </w:tc>
        <w:tc>
          <w:tcPr>
            <w:tcW w:w="803" w:type="dxa"/>
            <w:tcBorders>
              <w:tl2br w:val="nil"/>
              <w:tr2bl w:val="nil"/>
            </w:tcBorders>
            <w:vAlign w:val="center"/>
          </w:tcPr>
          <w:p w14:paraId="4D471BD0">
            <w:pPr>
              <w:adjustRightInd w:val="0"/>
              <w:snapToGrid w:val="0"/>
              <w:spacing w:line="320" w:lineRule="exact"/>
              <w:jc w:val="center"/>
              <w:rPr>
                <w:rFonts w:eastAsia="仿宋_GB2312"/>
                <w:color w:val="auto"/>
                <w:szCs w:val="21"/>
              </w:rPr>
            </w:pPr>
            <w:r>
              <w:rPr>
                <w:rFonts w:eastAsia="仿宋_GB2312"/>
                <w:color w:val="auto"/>
                <w:szCs w:val="21"/>
              </w:rPr>
              <w:t>-10</w:t>
            </w:r>
          </w:p>
        </w:tc>
        <w:tc>
          <w:tcPr>
            <w:tcW w:w="896" w:type="dxa"/>
            <w:tcBorders>
              <w:tl2br w:val="nil"/>
              <w:tr2bl w:val="nil"/>
            </w:tcBorders>
            <w:vAlign w:val="center"/>
          </w:tcPr>
          <w:p w14:paraId="3C02E2B7">
            <w:pPr>
              <w:adjustRightInd w:val="0"/>
              <w:snapToGrid w:val="0"/>
              <w:spacing w:line="320" w:lineRule="exact"/>
              <w:jc w:val="center"/>
              <w:rPr>
                <w:rFonts w:eastAsia="仿宋_GB2312"/>
                <w:color w:val="auto"/>
                <w:szCs w:val="21"/>
              </w:rPr>
            </w:pPr>
            <w:r>
              <w:rPr>
                <w:rFonts w:eastAsia="仿宋_GB2312"/>
                <w:color w:val="auto"/>
                <w:szCs w:val="21"/>
              </w:rPr>
              <w:t>57.8</w:t>
            </w:r>
          </w:p>
        </w:tc>
        <w:tc>
          <w:tcPr>
            <w:tcW w:w="896" w:type="dxa"/>
            <w:tcBorders>
              <w:tl2br w:val="nil"/>
              <w:tr2bl w:val="nil"/>
            </w:tcBorders>
            <w:vAlign w:val="center"/>
          </w:tcPr>
          <w:p w14:paraId="55C04C63">
            <w:pPr>
              <w:adjustRightInd w:val="0"/>
              <w:snapToGrid w:val="0"/>
              <w:spacing w:line="320" w:lineRule="exact"/>
              <w:jc w:val="center"/>
              <w:rPr>
                <w:rFonts w:eastAsia="仿宋_GB2312"/>
                <w:color w:val="auto"/>
                <w:szCs w:val="21"/>
              </w:rPr>
            </w:pPr>
            <w:r>
              <w:rPr>
                <w:rFonts w:eastAsia="仿宋_GB2312"/>
                <w:color w:val="auto"/>
                <w:szCs w:val="21"/>
              </w:rPr>
              <w:t>-98.7</w:t>
            </w:r>
          </w:p>
        </w:tc>
        <w:tc>
          <w:tcPr>
            <w:tcW w:w="1281" w:type="dxa"/>
            <w:tcBorders>
              <w:tl2br w:val="nil"/>
              <w:tr2bl w:val="nil"/>
            </w:tcBorders>
            <w:vAlign w:val="center"/>
          </w:tcPr>
          <w:p w14:paraId="4D3F5DDC">
            <w:pPr>
              <w:adjustRightInd w:val="0"/>
              <w:snapToGrid w:val="0"/>
              <w:spacing w:line="320" w:lineRule="exact"/>
              <w:jc w:val="center"/>
              <w:rPr>
                <w:rFonts w:eastAsia="仿宋_GB2312"/>
                <w:color w:val="auto"/>
                <w:szCs w:val="21"/>
              </w:rPr>
            </w:pPr>
            <w:r>
              <w:rPr>
                <w:rFonts w:eastAsia="仿宋_GB2312"/>
                <w:color w:val="auto"/>
                <w:szCs w:val="21"/>
              </w:rPr>
              <w:t>5450</w:t>
            </w:r>
          </w:p>
        </w:tc>
        <w:tc>
          <w:tcPr>
            <w:tcW w:w="1279" w:type="dxa"/>
            <w:tcBorders>
              <w:tl2br w:val="nil"/>
              <w:tr2bl w:val="nil"/>
            </w:tcBorders>
            <w:vAlign w:val="center"/>
          </w:tcPr>
          <w:p w14:paraId="1300B058">
            <w:pPr>
              <w:adjustRightInd w:val="0"/>
              <w:snapToGrid w:val="0"/>
              <w:spacing w:line="320" w:lineRule="exact"/>
              <w:jc w:val="center"/>
              <w:rPr>
                <w:rFonts w:eastAsia="仿宋_GB2312"/>
                <w:color w:val="auto"/>
                <w:szCs w:val="21"/>
              </w:rPr>
            </w:pPr>
            <w:r>
              <w:rPr>
                <w:rFonts w:eastAsia="仿宋_GB2312"/>
                <w:color w:val="auto"/>
                <w:szCs w:val="21"/>
              </w:rPr>
              <w:t>/</w:t>
            </w:r>
          </w:p>
        </w:tc>
        <w:tc>
          <w:tcPr>
            <w:tcW w:w="1365" w:type="dxa"/>
            <w:tcBorders>
              <w:tl2br w:val="nil"/>
              <w:tr2bl w:val="nil"/>
            </w:tcBorders>
            <w:vAlign w:val="center"/>
          </w:tcPr>
          <w:p w14:paraId="1C79D745">
            <w:pPr>
              <w:adjustRightInd w:val="0"/>
              <w:snapToGrid w:val="0"/>
              <w:spacing w:line="320" w:lineRule="exact"/>
              <w:jc w:val="center"/>
              <w:rPr>
                <w:rFonts w:eastAsia="仿宋_GB2312"/>
                <w:color w:val="auto"/>
                <w:szCs w:val="21"/>
              </w:rPr>
            </w:pPr>
            <w:r>
              <w:rPr>
                <w:rFonts w:eastAsia="仿宋_GB2312"/>
                <w:color w:val="auto"/>
                <w:szCs w:val="21"/>
              </w:rPr>
              <w:t>/</w:t>
            </w:r>
          </w:p>
        </w:tc>
      </w:tr>
      <w:tr w14:paraId="073AF5E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464" w:type="dxa"/>
            <w:tcBorders>
              <w:tl2br w:val="nil"/>
              <w:tr2bl w:val="nil"/>
            </w:tcBorders>
            <w:vAlign w:val="center"/>
          </w:tcPr>
          <w:p w14:paraId="16ABD3CF">
            <w:pPr>
              <w:adjustRightInd w:val="0"/>
              <w:snapToGrid w:val="0"/>
              <w:spacing w:line="320" w:lineRule="exact"/>
              <w:jc w:val="center"/>
              <w:rPr>
                <w:rFonts w:eastAsia="仿宋_GB2312"/>
                <w:color w:val="auto"/>
                <w:szCs w:val="21"/>
              </w:rPr>
            </w:pPr>
            <w:r>
              <w:rPr>
                <w:rFonts w:eastAsia="仿宋_GB2312"/>
                <w:color w:val="auto"/>
                <w:szCs w:val="21"/>
              </w:rPr>
              <w:t>乙酸丁酯</w:t>
            </w:r>
          </w:p>
        </w:tc>
        <w:tc>
          <w:tcPr>
            <w:tcW w:w="862" w:type="dxa"/>
            <w:tcBorders>
              <w:tl2br w:val="nil"/>
              <w:tr2bl w:val="nil"/>
            </w:tcBorders>
            <w:vAlign w:val="center"/>
          </w:tcPr>
          <w:p w14:paraId="58E9672B">
            <w:pPr>
              <w:adjustRightInd w:val="0"/>
              <w:snapToGrid w:val="0"/>
              <w:spacing w:line="320" w:lineRule="exact"/>
              <w:jc w:val="center"/>
              <w:rPr>
                <w:rFonts w:eastAsia="仿宋_GB2312"/>
                <w:color w:val="auto"/>
                <w:szCs w:val="21"/>
              </w:rPr>
            </w:pPr>
            <w:r>
              <w:rPr>
                <w:rFonts w:eastAsia="仿宋_GB2312"/>
                <w:color w:val="auto"/>
                <w:szCs w:val="21"/>
              </w:rPr>
              <w:t>32130</w:t>
            </w:r>
          </w:p>
        </w:tc>
        <w:tc>
          <w:tcPr>
            <w:tcW w:w="803" w:type="dxa"/>
            <w:tcBorders>
              <w:tl2br w:val="nil"/>
              <w:tr2bl w:val="nil"/>
            </w:tcBorders>
            <w:vAlign w:val="center"/>
          </w:tcPr>
          <w:p w14:paraId="0D27B497">
            <w:pPr>
              <w:adjustRightInd w:val="0"/>
              <w:snapToGrid w:val="0"/>
              <w:spacing w:line="320" w:lineRule="exact"/>
              <w:jc w:val="center"/>
              <w:rPr>
                <w:rFonts w:eastAsia="仿宋_GB2312"/>
                <w:color w:val="auto"/>
                <w:szCs w:val="21"/>
              </w:rPr>
            </w:pPr>
            <w:r>
              <w:rPr>
                <w:rFonts w:eastAsia="仿宋_GB2312"/>
                <w:color w:val="auto"/>
                <w:szCs w:val="21"/>
              </w:rPr>
              <w:t>22</w:t>
            </w:r>
          </w:p>
        </w:tc>
        <w:tc>
          <w:tcPr>
            <w:tcW w:w="896" w:type="dxa"/>
            <w:tcBorders>
              <w:tl2br w:val="nil"/>
              <w:tr2bl w:val="nil"/>
            </w:tcBorders>
            <w:vAlign w:val="center"/>
          </w:tcPr>
          <w:p w14:paraId="4747C1C6">
            <w:pPr>
              <w:adjustRightInd w:val="0"/>
              <w:snapToGrid w:val="0"/>
              <w:spacing w:line="320" w:lineRule="exact"/>
              <w:jc w:val="center"/>
              <w:rPr>
                <w:rFonts w:eastAsia="仿宋_GB2312"/>
                <w:color w:val="auto"/>
                <w:szCs w:val="21"/>
              </w:rPr>
            </w:pPr>
            <w:r>
              <w:rPr>
                <w:rFonts w:eastAsia="仿宋_GB2312"/>
                <w:color w:val="auto"/>
                <w:szCs w:val="21"/>
              </w:rPr>
              <w:t>126.1</w:t>
            </w:r>
          </w:p>
        </w:tc>
        <w:tc>
          <w:tcPr>
            <w:tcW w:w="896" w:type="dxa"/>
            <w:tcBorders>
              <w:tl2br w:val="nil"/>
              <w:tr2bl w:val="nil"/>
            </w:tcBorders>
            <w:vAlign w:val="center"/>
          </w:tcPr>
          <w:p w14:paraId="26E19642">
            <w:pPr>
              <w:adjustRightInd w:val="0"/>
              <w:snapToGrid w:val="0"/>
              <w:spacing w:line="320" w:lineRule="exact"/>
              <w:jc w:val="center"/>
              <w:rPr>
                <w:rFonts w:eastAsia="仿宋_GB2312"/>
                <w:color w:val="auto"/>
                <w:szCs w:val="21"/>
              </w:rPr>
            </w:pPr>
            <w:r>
              <w:rPr>
                <w:rFonts w:eastAsia="仿宋_GB2312"/>
                <w:color w:val="auto"/>
                <w:szCs w:val="21"/>
              </w:rPr>
              <w:t>-73.5</w:t>
            </w:r>
          </w:p>
        </w:tc>
        <w:tc>
          <w:tcPr>
            <w:tcW w:w="1281" w:type="dxa"/>
            <w:tcBorders>
              <w:tl2br w:val="nil"/>
              <w:tr2bl w:val="nil"/>
            </w:tcBorders>
            <w:vAlign w:val="center"/>
          </w:tcPr>
          <w:p w14:paraId="374E26D6">
            <w:pPr>
              <w:adjustRightInd w:val="0"/>
              <w:snapToGrid w:val="0"/>
              <w:spacing w:line="320" w:lineRule="exact"/>
              <w:jc w:val="center"/>
              <w:rPr>
                <w:rFonts w:eastAsia="仿宋_GB2312"/>
                <w:color w:val="auto"/>
                <w:szCs w:val="21"/>
              </w:rPr>
            </w:pPr>
            <w:r>
              <w:rPr>
                <w:rFonts w:eastAsia="仿宋_GB2312"/>
                <w:color w:val="auto"/>
                <w:szCs w:val="21"/>
              </w:rPr>
              <w:t>13100</w:t>
            </w:r>
          </w:p>
        </w:tc>
        <w:tc>
          <w:tcPr>
            <w:tcW w:w="1279" w:type="dxa"/>
            <w:tcBorders>
              <w:tl2br w:val="nil"/>
              <w:tr2bl w:val="nil"/>
            </w:tcBorders>
            <w:vAlign w:val="center"/>
          </w:tcPr>
          <w:p w14:paraId="4C34B6CF">
            <w:pPr>
              <w:adjustRightInd w:val="0"/>
              <w:snapToGrid w:val="0"/>
              <w:spacing w:line="320" w:lineRule="exact"/>
              <w:jc w:val="center"/>
              <w:rPr>
                <w:rFonts w:eastAsia="仿宋_GB2312"/>
                <w:color w:val="auto"/>
                <w:szCs w:val="21"/>
              </w:rPr>
            </w:pPr>
            <w:r>
              <w:rPr>
                <w:rFonts w:eastAsia="仿宋_GB2312"/>
                <w:color w:val="auto"/>
                <w:szCs w:val="21"/>
              </w:rPr>
              <w:t>/</w:t>
            </w:r>
          </w:p>
        </w:tc>
        <w:tc>
          <w:tcPr>
            <w:tcW w:w="1365" w:type="dxa"/>
            <w:tcBorders>
              <w:tl2br w:val="nil"/>
              <w:tr2bl w:val="nil"/>
            </w:tcBorders>
            <w:vAlign w:val="center"/>
          </w:tcPr>
          <w:p w14:paraId="1D55FF97">
            <w:pPr>
              <w:adjustRightInd w:val="0"/>
              <w:snapToGrid w:val="0"/>
              <w:spacing w:line="320" w:lineRule="exact"/>
              <w:jc w:val="center"/>
              <w:rPr>
                <w:rFonts w:eastAsia="仿宋_GB2312"/>
                <w:color w:val="auto"/>
                <w:szCs w:val="21"/>
              </w:rPr>
            </w:pPr>
            <w:r>
              <w:rPr>
                <w:rFonts w:eastAsia="仿宋_GB2312"/>
                <w:color w:val="auto"/>
                <w:szCs w:val="21"/>
              </w:rPr>
              <w:t>/</w:t>
            </w:r>
          </w:p>
        </w:tc>
      </w:tr>
      <w:tr w14:paraId="1303E47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464" w:type="dxa"/>
            <w:tcBorders>
              <w:tl2br w:val="nil"/>
              <w:tr2bl w:val="nil"/>
            </w:tcBorders>
            <w:vAlign w:val="center"/>
          </w:tcPr>
          <w:p w14:paraId="7BF8AC01">
            <w:pPr>
              <w:adjustRightInd w:val="0"/>
              <w:snapToGrid w:val="0"/>
              <w:spacing w:line="320" w:lineRule="exact"/>
              <w:jc w:val="center"/>
              <w:rPr>
                <w:rFonts w:eastAsia="仿宋_GB2312"/>
                <w:color w:val="auto"/>
                <w:szCs w:val="21"/>
              </w:rPr>
            </w:pPr>
            <w:r>
              <w:rPr>
                <w:rFonts w:eastAsia="仿宋_GB2312"/>
                <w:color w:val="auto"/>
                <w:szCs w:val="21"/>
              </w:rPr>
              <w:t>乙醇</w:t>
            </w:r>
          </w:p>
        </w:tc>
        <w:tc>
          <w:tcPr>
            <w:tcW w:w="862" w:type="dxa"/>
            <w:tcBorders>
              <w:tl2br w:val="nil"/>
              <w:tr2bl w:val="nil"/>
            </w:tcBorders>
            <w:vAlign w:val="center"/>
          </w:tcPr>
          <w:p w14:paraId="0DEBA3B1">
            <w:pPr>
              <w:adjustRightInd w:val="0"/>
              <w:snapToGrid w:val="0"/>
              <w:spacing w:line="320" w:lineRule="exact"/>
              <w:jc w:val="center"/>
              <w:rPr>
                <w:rFonts w:eastAsia="仿宋_GB2312"/>
                <w:color w:val="auto"/>
                <w:szCs w:val="21"/>
              </w:rPr>
            </w:pPr>
            <w:r>
              <w:rPr>
                <w:rFonts w:eastAsia="仿宋_GB2312"/>
                <w:color w:val="auto"/>
                <w:szCs w:val="21"/>
              </w:rPr>
              <w:t>32061</w:t>
            </w:r>
          </w:p>
        </w:tc>
        <w:tc>
          <w:tcPr>
            <w:tcW w:w="803" w:type="dxa"/>
            <w:tcBorders>
              <w:tl2br w:val="nil"/>
              <w:tr2bl w:val="nil"/>
            </w:tcBorders>
            <w:vAlign w:val="center"/>
          </w:tcPr>
          <w:p w14:paraId="23F3848F">
            <w:pPr>
              <w:adjustRightInd w:val="0"/>
              <w:snapToGrid w:val="0"/>
              <w:spacing w:line="320" w:lineRule="exact"/>
              <w:jc w:val="center"/>
              <w:rPr>
                <w:rFonts w:eastAsia="仿宋_GB2312"/>
                <w:color w:val="auto"/>
                <w:szCs w:val="21"/>
              </w:rPr>
            </w:pPr>
            <w:r>
              <w:rPr>
                <w:rFonts w:eastAsia="仿宋_GB2312"/>
                <w:color w:val="auto"/>
                <w:szCs w:val="21"/>
              </w:rPr>
              <w:t>12</w:t>
            </w:r>
          </w:p>
        </w:tc>
        <w:tc>
          <w:tcPr>
            <w:tcW w:w="896" w:type="dxa"/>
            <w:tcBorders>
              <w:tl2br w:val="nil"/>
              <w:tr2bl w:val="nil"/>
            </w:tcBorders>
            <w:vAlign w:val="center"/>
          </w:tcPr>
          <w:p w14:paraId="503131D2">
            <w:pPr>
              <w:adjustRightInd w:val="0"/>
              <w:snapToGrid w:val="0"/>
              <w:spacing w:line="320" w:lineRule="exact"/>
              <w:jc w:val="center"/>
              <w:rPr>
                <w:rFonts w:eastAsia="仿宋_GB2312"/>
                <w:color w:val="auto"/>
                <w:szCs w:val="21"/>
              </w:rPr>
            </w:pPr>
            <w:r>
              <w:rPr>
                <w:rFonts w:eastAsia="仿宋_GB2312"/>
                <w:color w:val="auto"/>
                <w:szCs w:val="21"/>
              </w:rPr>
              <w:t>78.3</w:t>
            </w:r>
          </w:p>
        </w:tc>
        <w:tc>
          <w:tcPr>
            <w:tcW w:w="896" w:type="dxa"/>
            <w:tcBorders>
              <w:tl2br w:val="nil"/>
              <w:tr2bl w:val="nil"/>
            </w:tcBorders>
            <w:vAlign w:val="center"/>
          </w:tcPr>
          <w:p w14:paraId="0A513742">
            <w:pPr>
              <w:adjustRightInd w:val="0"/>
              <w:snapToGrid w:val="0"/>
              <w:spacing w:line="320" w:lineRule="exact"/>
              <w:jc w:val="center"/>
              <w:rPr>
                <w:rFonts w:eastAsia="仿宋_GB2312"/>
                <w:color w:val="auto"/>
                <w:szCs w:val="21"/>
              </w:rPr>
            </w:pPr>
            <w:r>
              <w:rPr>
                <w:rFonts w:eastAsia="仿宋_GB2312"/>
                <w:color w:val="auto"/>
                <w:szCs w:val="21"/>
              </w:rPr>
              <w:t>-11</w:t>
            </w:r>
          </w:p>
        </w:tc>
        <w:tc>
          <w:tcPr>
            <w:tcW w:w="1281" w:type="dxa"/>
            <w:tcBorders>
              <w:tl2br w:val="nil"/>
              <w:tr2bl w:val="nil"/>
            </w:tcBorders>
            <w:vAlign w:val="center"/>
          </w:tcPr>
          <w:p w14:paraId="68C19D04">
            <w:pPr>
              <w:adjustRightInd w:val="0"/>
              <w:snapToGrid w:val="0"/>
              <w:spacing w:line="320" w:lineRule="exact"/>
              <w:jc w:val="center"/>
              <w:rPr>
                <w:rFonts w:eastAsia="仿宋_GB2312"/>
                <w:color w:val="auto"/>
                <w:szCs w:val="21"/>
              </w:rPr>
            </w:pPr>
            <w:r>
              <w:rPr>
                <w:rFonts w:eastAsia="仿宋_GB2312"/>
                <w:color w:val="auto"/>
                <w:szCs w:val="21"/>
              </w:rPr>
              <w:t>7060</w:t>
            </w:r>
          </w:p>
        </w:tc>
        <w:tc>
          <w:tcPr>
            <w:tcW w:w="1279" w:type="dxa"/>
            <w:tcBorders>
              <w:tl2br w:val="nil"/>
              <w:tr2bl w:val="nil"/>
            </w:tcBorders>
            <w:vAlign w:val="center"/>
          </w:tcPr>
          <w:p w14:paraId="66B18B93">
            <w:pPr>
              <w:adjustRightInd w:val="0"/>
              <w:snapToGrid w:val="0"/>
              <w:spacing w:line="320" w:lineRule="exact"/>
              <w:jc w:val="center"/>
              <w:rPr>
                <w:rFonts w:eastAsia="仿宋_GB2312"/>
                <w:color w:val="auto"/>
                <w:szCs w:val="21"/>
              </w:rPr>
            </w:pPr>
            <w:r>
              <w:rPr>
                <w:rFonts w:eastAsia="仿宋_GB2312"/>
                <w:color w:val="auto"/>
                <w:szCs w:val="21"/>
              </w:rPr>
              <w:t xml:space="preserve">7430 </w:t>
            </w:r>
          </w:p>
        </w:tc>
        <w:tc>
          <w:tcPr>
            <w:tcW w:w="1365" w:type="dxa"/>
            <w:tcBorders>
              <w:tl2br w:val="nil"/>
              <w:tr2bl w:val="nil"/>
            </w:tcBorders>
            <w:vAlign w:val="center"/>
          </w:tcPr>
          <w:p w14:paraId="44448089">
            <w:pPr>
              <w:adjustRightInd w:val="0"/>
              <w:snapToGrid w:val="0"/>
              <w:spacing w:line="320" w:lineRule="exact"/>
              <w:jc w:val="center"/>
              <w:rPr>
                <w:rFonts w:eastAsia="仿宋_GB2312"/>
                <w:color w:val="auto"/>
                <w:szCs w:val="21"/>
              </w:rPr>
            </w:pPr>
            <w:r>
              <w:rPr>
                <w:rFonts w:eastAsia="仿宋_GB2312"/>
                <w:color w:val="auto"/>
                <w:szCs w:val="21"/>
              </w:rPr>
              <w:t>37620,10</w:t>
            </w:r>
          </w:p>
        </w:tc>
      </w:tr>
      <w:tr w14:paraId="40F02F3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464" w:type="dxa"/>
            <w:tcBorders>
              <w:tl2br w:val="nil"/>
              <w:tr2bl w:val="nil"/>
            </w:tcBorders>
            <w:vAlign w:val="center"/>
          </w:tcPr>
          <w:p w14:paraId="17602A6F">
            <w:pPr>
              <w:adjustRightInd w:val="0"/>
              <w:snapToGrid w:val="0"/>
              <w:spacing w:line="320" w:lineRule="exact"/>
              <w:jc w:val="center"/>
              <w:rPr>
                <w:rFonts w:eastAsia="仿宋_GB2312"/>
                <w:color w:val="auto"/>
                <w:szCs w:val="21"/>
              </w:rPr>
            </w:pPr>
            <w:r>
              <w:rPr>
                <w:rFonts w:eastAsia="仿宋_GB2312"/>
                <w:color w:val="auto"/>
                <w:szCs w:val="21"/>
              </w:rPr>
              <w:t>二异丁基甲酮</w:t>
            </w:r>
          </w:p>
        </w:tc>
        <w:tc>
          <w:tcPr>
            <w:tcW w:w="862" w:type="dxa"/>
            <w:tcBorders>
              <w:tl2br w:val="nil"/>
              <w:tr2bl w:val="nil"/>
            </w:tcBorders>
            <w:vAlign w:val="center"/>
          </w:tcPr>
          <w:p w14:paraId="5F489434">
            <w:pPr>
              <w:adjustRightInd w:val="0"/>
              <w:snapToGrid w:val="0"/>
              <w:spacing w:line="320" w:lineRule="exact"/>
              <w:jc w:val="center"/>
              <w:rPr>
                <w:rFonts w:eastAsia="仿宋_GB2312"/>
                <w:color w:val="auto"/>
                <w:szCs w:val="21"/>
              </w:rPr>
            </w:pPr>
            <w:r>
              <w:rPr>
                <w:rFonts w:eastAsia="仿宋_GB2312"/>
                <w:color w:val="auto"/>
                <w:szCs w:val="21"/>
              </w:rPr>
              <w:t>/</w:t>
            </w:r>
          </w:p>
        </w:tc>
        <w:tc>
          <w:tcPr>
            <w:tcW w:w="803" w:type="dxa"/>
            <w:tcBorders>
              <w:tl2br w:val="nil"/>
              <w:tr2bl w:val="nil"/>
            </w:tcBorders>
            <w:vAlign w:val="center"/>
          </w:tcPr>
          <w:p w14:paraId="7E6A6B59">
            <w:pPr>
              <w:adjustRightInd w:val="0"/>
              <w:snapToGrid w:val="0"/>
              <w:spacing w:line="320" w:lineRule="exact"/>
              <w:jc w:val="center"/>
              <w:rPr>
                <w:rFonts w:eastAsia="仿宋_GB2312"/>
                <w:color w:val="auto"/>
                <w:szCs w:val="21"/>
              </w:rPr>
            </w:pPr>
            <w:r>
              <w:rPr>
                <w:rFonts w:eastAsia="仿宋_GB2312"/>
                <w:color w:val="auto"/>
                <w:szCs w:val="21"/>
              </w:rPr>
              <w:t>49</w:t>
            </w:r>
          </w:p>
        </w:tc>
        <w:tc>
          <w:tcPr>
            <w:tcW w:w="896" w:type="dxa"/>
            <w:tcBorders>
              <w:tl2br w:val="nil"/>
              <w:tr2bl w:val="nil"/>
            </w:tcBorders>
            <w:vAlign w:val="center"/>
          </w:tcPr>
          <w:p w14:paraId="53A53B14">
            <w:pPr>
              <w:adjustRightInd w:val="0"/>
              <w:snapToGrid w:val="0"/>
              <w:spacing w:line="320" w:lineRule="exact"/>
              <w:jc w:val="center"/>
              <w:rPr>
                <w:rFonts w:eastAsia="仿宋_GB2312"/>
                <w:color w:val="auto"/>
                <w:szCs w:val="21"/>
              </w:rPr>
            </w:pPr>
            <w:r>
              <w:rPr>
                <w:rFonts w:eastAsia="仿宋_GB2312"/>
                <w:color w:val="auto"/>
                <w:szCs w:val="21"/>
              </w:rPr>
              <w:t>168.4</w:t>
            </w:r>
          </w:p>
        </w:tc>
        <w:tc>
          <w:tcPr>
            <w:tcW w:w="896" w:type="dxa"/>
            <w:tcBorders>
              <w:tl2br w:val="nil"/>
              <w:tr2bl w:val="nil"/>
            </w:tcBorders>
            <w:vAlign w:val="center"/>
          </w:tcPr>
          <w:p w14:paraId="04D850F3">
            <w:pPr>
              <w:adjustRightInd w:val="0"/>
              <w:snapToGrid w:val="0"/>
              <w:spacing w:line="320" w:lineRule="exact"/>
              <w:jc w:val="center"/>
              <w:rPr>
                <w:rFonts w:eastAsia="仿宋_GB2312"/>
                <w:color w:val="auto"/>
                <w:szCs w:val="21"/>
              </w:rPr>
            </w:pPr>
            <w:r>
              <w:rPr>
                <w:rFonts w:eastAsia="仿宋_GB2312"/>
                <w:color w:val="auto"/>
                <w:szCs w:val="21"/>
              </w:rPr>
              <w:t>-46.4</w:t>
            </w:r>
          </w:p>
        </w:tc>
        <w:tc>
          <w:tcPr>
            <w:tcW w:w="1281" w:type="dxa"/>
            <w:tcBorders>
              <w:tl2br w:val="nil"/>
              <w:tr2bl w:val="nil"/>
            </w:tcBorders>
            <w:vAlign w:val="center"/>
          </w:tcPr>
          <w:p w14:paraId="79A63637">
            <w:pPr>
              <w:adjustRightInd w:val="0"/>
              <w:snapToGrid w:val="0"/>
              <w:spacing w:line="320" w:lineRule="exact"/>
              <w:jc w:val="center"/>
              <w:rPr>
                <w:rFonts w:eastAsia="仿宋_GB2312"/>
                <w:color w:val="auto"/>
                <w:szCs w:val="21"/>
              </w:rPr>
            </w:pPr>
            <w:r>
              <w:rPr>
                <w:rFonts w:eastAsia="仿宋_GB2312"/>
                <w:color w:val="auto"/>
                <w:szCs w:val="21"/>
              </w:rPr>
              <w:t xml:space="preserve">5750 </w:t>
            </w:r>
          </w:p>
        </w:tc>
        <w:tc>
          <w:tcPr>
            <w:tcW w:w="1279" w:type="dxa"/>
            <w:tcBorders>
              <w:tl2br w:val="nil"/>
              <w:tr2bl w:val="nil"/>
            </w:tcBorders>
            <w:vAlign w:val="center"/>
          </w:tcPr>
          <w:p w14:paraId="787AE82B">
            <w:pPr>
              <w:adjustRightInd w:val="0"/>
              <w:snapToGrid w:val="0"/>
              <w:spacing w:line="320" w:lineRule="exact"/>
              <w:jc w:val="center"/>
              <w:rPr>
                <w:rFonts w:eastAsia="仿宋_GB2312"/>
                <w:color w:val="auto"/>
                <w:szCs w:val="21"/>
              </w:rPr>
            </w:pPr>
            <w:r>
              <w:rPr>
                <w:rFonts w:eastAsia="仿宋_GB2312"/>
                <w:color w:val="auto"/>
                <w:szCs w:val="21"/>
              </w:rPr>
              <w:t>/</w:t>
            </w:r>
          </w:p>
        </w:tc>
        <w:tc>
          <w:tcPr>
            <w:tcW w:w="1365" w:type="dxa"/>
            <w:tcBorders>
              <w:tl2br w:val="nil"/>
              <w:tr2bl w:val="nil"/>
            </w:tcBorders>
            <w:vAlign w:val="center"/>
          </w:tcPr>
          <w:p w14:paraId="1E29B422">
            <w:pPr>
              <w:adjustRightInd w:val="0"/>
              <w:snapToGrid w:val="0"/>
              <w:spacing w:line="320" w:lineRule="exact"/>
              <w:jc w:val="center"/>
              <w:rPr>
                <w:rFonts w:eastAsia="仿宋_GB2312"/>
                <w:color w:val="auto"/>
                <w:szCs w:val="21"/>
              </w:rPr>
            </w:pPr>
            <w:r>
              <w:rPr>
                <w:rFonts w:eastAsia="仿宋_GB2312"/>
                <w:color w:val="auto"/>
                <w:szCs w:val="21"/>
              </w:rPr>
              <w:t>2000,4小时</w:t>
            </w:r>
          </w:p>
        </w:tc>
      </w:tr>
      <w:tr w14:paraId="5731EE3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464" w:type="dxa"/>
            <w:tcBorders>
              <w:tl2br w:val="nil"/>
              <w:tr2bl w:val="nil"/>
            </w:tcBorders>
            <w:vAlign w:val="center"/>
          </w:tcPr>
          <w:p w14:paraId="5950AAB9">
            <w:pPr>
              <w:adjustRightInd w:val="0"/>
              <w:snapToGrid w:val="0"/>
              <w:spacing w:line="320" w:lineRule="exact"/>
              <w:jc w:val="center"/>
              <w:rPr>
                <w:rFonts w:eastAsia="仿宋_GB2312"/>
                <w:color w:val="auto"/>
                <w:szCs w:val="21"/>
              </w:rPr>
            </w:pPr>
            <w:r>
              <w:rPr>
                <w:rFonts w:eastAsia="仿宋_GB2312"/>
                <w:color w:val="auto"/>
                <w:szCs w:val="21"/>
              </w:rPr>
              <w:t>石油醚</w:t>
            </w:r>
          </w:p>
        </w:tc>
        <w:tc>
          <w:tcPr>
            <w:tcW w:w="862" w:type="dxa"/>
            <w:tcBorders>
              <w:tl2br w:val="nil"/>
              <w:tr2bl w:val="nil"/>
            </w:tcBorders>
            <w:vAlign w:val="center"/>
          </w:tcPr>
          <w:p w14:paraId="06B24F35">
            <w:pPr>
              <w:adjustRightInd w:val="0"/>
              <w:snapToGrid w:val="0"/>
              <w:spacing w:line="320" w:lineRule="exact"/>
              <w:jc w:val="center"/>
              <w:rPr>
                <w:rFonts w:eastAsia="仿宋_GB2312"/>
                <w:color w:val="auto"/>
                <w:szCs w:val="21"/>
              </w:rPr>
            </w:pPr>
            <w:r>
              <w:rPr>
                <w:rFonts w:eastAsia="仿宋_GB2312"/>
                <w:color w:val="auto"/>
                <w:szCs w:val="21"/>
              </w:rPr>
              <w:t>32002</w:t>
            </w:r>
          </w:p>
        </w:tc>
        <w:tc>
          <w:tcPr>
            <w:tcW w:w="803" w:type="dxa"/>
            <w:tcBorders>
              <w:tl2br w:val="nil"/>
              <w:tr2bl w:val="nil"/>
            </w:tcBorders>
            <w:vAlign w:val="center"/>
          </w:tcPr>
          <w:p w14:paraId="0195491F">
            <w:pPr>
              <w:adjustRightInd w:val="0"/>
              <w:snapToGrid w:val="0"/>
              <w:spacing w:line="320" w:lineRule="exact"/>
              <w:jc w:val="center"/>
              <w:rPr>
                <w:rFonts w:eastAsia="仿宋_GB2312"/>
                <w:color w:val="auto"/>
                <w:szCs w:val="21"/>
              </w:rPr>
            </w:pPr>
            <w:r>
              <w:rPr>
                <w:rFonts w:eastAsia="仿宋_GB2312"/>
                <w:color w:val="auto"/>
                <w:szCs w:val="21"/>
              </w:rPr>
              <w:t>＜-20</w:t>
            </w:r>
          </w:p>
        </w:tc>
        <w:tc>
          <w:tcPr>
            <w:tcW w:w="896" w:type="dxa"/>
            <w:tcBorders>
              <w:tl2br w:val="nil"/>
              <w:tr2bl w:val="nil"/>
            </w:tcBorders>
            <w:vAlign w:val="center"/>
          </w:tcPr>
          <w:p w14:paraId="5722EBD3">
            <w:pPr>
              <w:adjustRightInd w:val="0"/>
              <w:snapToGrid w:val="0"/>
              <w:spacing w:line="320" w:lineRule="exact"/>
              <w:jc w:val="center"/>
              <w:rPr>
                <w:rFonts w:eastAsia="仿宋_GB2312"/>
                <w:color w:val="auto"/>
                <w:szCs w:val="21"/>
              </w:rPr>
            </w:pPr>
            <w:r>
              <w:rPr>
                <w:rFonts w:eastAsia="仿宋_GB2312"/>
                <w:color w:val="auto"/>
                <w:szCs w:val="21"/>
              </w:rPr>
              <w:t>40～ 80</w:t>
            </w:r>
          </w:p>
        </w:tc>
        <w:tc>
          <w:tcPr>
            <w:tcW w:w="896" w:type="dxa"/>
            <w:tcBorders>
              <w:tl2br w:val="nil"/>
              <w:tr2bl w:val="nil"/>
            </w:tcBorders>
            <w:vAlign w:val="center"/>
          </w:tcPr>
          <w:p w14:paraId="71BDD504">
            <w:pPr>
              <w:adjustRightInd w:val="0"/>
              <w:snapToGrid w:val="0"/>
              <w:spacing w:line="320" w:lineRule="exact"/>
              <w:jc w:val="center"/>
              <w:rPr>
                <w:rFonts w:eastAsia="仿宋_GB2312"/>
                <w:color w:val="auto"/>
                <w:szCs w:val="21"/>
              </w:rPr>
            </w:pPr>
            <w:r>
              <w:rPr>
                <w:rFonts w:eastAsia="仿宋_GB2312"/>
                <w:color w:val="auto"/>
                <w:szCs w:val="21"/>
              </w:rPr>
              <w:t>＜ -73</w:t>
            </w:r>
          </w:p>
        </w:tc>
        <w:tc>
          <w:tcPr>
            <w:tcW w:w="1281" w:type="dxa"/>
            <w:tcBorders>
              <w:tl2br w:val="nil"/>
              <w:tr2bl w:val="nil"/>
            </w:tcBorders>
            <w:vAlign w:val="center"/>
          </w:tcPr>
          <w:p w14:paraId="1AA1FE2E">
            <w:pPr>
              <w:adjustRightInd w:val="0"/>
              <w:snapToGrid w:val="0"/>
              <w:spacing w:line="320" w:lineRule="exact"/>
              <w:jc w:val="center"/>
              <w:rPr>
                <w:rFonts w:eastAsia="仿宋_GB2312"/>
                <w:color w:val="auto"/>
                <w:szCs w:val="21"/>
              </w:rPr>
            </w:pPr>
            <w:r>
              <w:rPr>
                <w:rFonts w:eastAsia="仿宋_GB2312"/>
                <w:color w:val="auto"/>
                <w:szCs w:val="21"/>
              </w:rPr>
              <w:t xml:space="preserve">40 </w:t>
            </w:r>
          </w:p>
        </w:tc>
        <w:tc>
          <w:tcPr>
            <w:tcW w:w="1279" w:type="dxa"/>
            <w:tcBorders>
              <w:tl2br w:val="nil"/>
              <w:tr2bl w:val="nil"/>
            </w:tcBorders>
            <w:vAlign w:val="center"/>
          </w:tcPr>
          <w:p w14:paraId="53A0EAC6">
            <w:pPr>
              <w:adjustRightInd w:val="0"/>
              <w:snapToGrid w:val="0"/>
              <w:spacing w:line="320" w:lineRule="exact"/>
              <w:jc w:val="center"/>
              <w:rPr>
                <w:rFonts w:eastAsia="仿宋_GB2312"/>
                <w:color w:val="auto"/>
                <w:szCs w:val="21"/>
              </w:rPr>
            </w:pPr>
            <w:r>
              <w:rPr>
                <w:rFonts w:eastAsia="仿宋_GB2312"/>
                <w:color w:val="auto"/>
                <w:szCs w:val="21"/>
              </w:rPr>
              <w:t>/</w:t>
            </w:r>
          </w:p>
        </w:tc>
        <w:tc>
          <w:tcPr>
            <w:tcW w:w="1365" w:type="dxa"/>
            <w:tcBorders>
              <w:tl2br w:val="nil"/>
              <w:tr2bl w:val="nil"/>
            </w:tcBorders>
            <w:vAlign w:val="center"/>
          </w:tcPr>
          <w:p w14:paraId="5F5B9362">
            <w:pPr>
              <w:adjustRightInd w:val="0"/>
              <w:snapToGrid w:val="0"/>
              <w:spacing w:line="320" w:lineRule="exact"/>
              <w:jc w:val="center"/>
              <w:rPr>
                <w:rFonts w:eastAsia="仿宋_GB2312"/>
                <w:color w:val="auto"/>
                <w:szCs w:val="21"/>
              </w:rPr>
            </w:pPr>
            <w:r>
              <w:rPr>
                <w:rFonts w:eastAsia="仿宋_GB2312"/>
                <w:color w:val="auto"/>
                <w:szCs w:val="21"/>
              </w:rPr>
              <w:t>/</w:t>
            </w:r>
          </w:p>
        </w:tc>
      </w:tr>
      <w:tr w14:paraId="071CDDA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464" w:type="dxa"/>
            <w:tcBorders>
              <w:tl2br w:val="nil"/>
              <w:tr2bl w:val="nil"/>
            </w:tcBorders>
            <w:vAlign w:val="center"/>
          </w:tcPr>
          <w:p w14:paraId="318BB49B">
            <w:pPr>
              <w:adjustRightInd w:val="0"/>
              <w:snapToGrid w:val="0"/>
              <w:spacing w:line="320" w:lineRule="exact"/>
              <w:jc w:val="center"/>
              <w:rPr>
                <w:rFonts w:eastAsia="仿宋_GB2312"/>
                <w:color w:val="auto"/>
                <w:szCs w:val="21"/>
              </w:rPr>
            </w:pPr>
            <w:r>
              <w:rPr>
                <w:rFonts w:eastAsia="仿宋_GB2312"/>
                <w:color w:val="auto"/>
                <w:szCs w:val="21"/>
              </w:rPr>
              <w:t>甲基异丁基甲酮</w:t>
            </w:r>
          </w:p>
        </w:tc>
        <w:tc>
          <w:tcPr>
            <w:tcW w:w="862" w:type="dxa"/>
            <w:tcBorders>
              <w:tl2br w:val="nil"/>
              <w:tr2bl w:val="nil"/>
            </w:tcBorders>
            <w:vAlign w:val="center"/>
          </w:tcPr>
          <w:p w14:paraId="579C59E0">
            <w:pPr>
              <w:adjustRightInd w:val="0"/>
              <w:snapToGrid w:val="0"/>
              <w:spacing w:line="320" w:lineRule="exact"/>
              <w:jc w:val="center"/>
              <w:rPr>
                <w:rFonts w:eastAsia="仿宋_GB2312"/>
                <w:color w:val="auto"/>
                <w:szCs w:val="21"/>
              </w:rPr>
            </w:pPr>
            <w:r>
              <w:rPr>
                <w:rFonts w:eastAsia="仿宋_GB2312"/>
                <w:color w:val="auto"/>
                <w:szCs w:val="21"/>
              </w:rPr>
              <w:t>32075</w:t>
            </w:r>
          </w:p>
        </w:tc>
        <w:tc>
          <w:tcPr>
            <w:tcW w:w="803" w:type="dxa"/>
            <w:tcBorders>
              <w:tl2br w:val="nil"/>
              <w:tr2bl w:val="nil"/>
            </w:tcBorders>
            <w:vAlign w:val="center"/>
          </w:tcPr>
          <w:p w14:paraId="2430CFBA">
            <w:pPr>
              <w:adjustRightInd w:val="0"/>
              <w:snapToGrid w:val="0"/>
              <w:spacing w:line="320" w:lineRule="exact"/>
              <w:jc w:val="center"/>
              <w:rPr>
                <w:rFonts w:eastAsia="仿宋_GB2312"/>
                <w:color w:val="auto"/>
                <w:szCs w:val="21"/>
              </w:rPr>
            </w:pPr>
            <w:r>
              <w:rPr>
                <w:rFonts w:eastAsia="仿宋_GB2312"/>
                <w:color w:val="auto"/>
                <w:szCs w:val="21"/>
              </w:rPr>
              <w:t>15.6</w:t>
            </w:r>
          </w:p>
        </w:tc>
        <w:tc>
          <w:tcPr>
            <w:tcW w:w="896" w:type="dxa"/>
            <w:tcBorders>
              <w:tl2br w:val="nil"/>
              <w:tr2bl w:val="nil"/>
            </w:tcBorders>
            <w:vAlign w:val="center"/>
          </w:tcPr>
          <w:p w14:paraId="7F9DD4E1">
            <w:pPr>
              <w:adjustRightInd w:val="0"/>
              <w:snapToGrid w:val="0"/>
              <w:spacing w:line="320" w:lineRule="exact"/>
              <w:jc w:val="center"/>
              <w:rPr>
                <w:rFonts w:eastAsia="仿宋_GB2312"/>
                <w:color w:val="auto"/>
                <w:szCs w:val="21"/>
              </w:rPr>
            </w:pPr>
            <w:r>
              <w:rPr>
                <w:rFonts w:eastAsia="仿宋_GB2312"/>
                <w:color w:val="auto"/>
                <w:szCs w:val="21"/>
              </w:rPr>
              <w:t>115.8</w:t>
            </w:r>
          </w:p>
        </w:tc>
        <w:tc>
          <w:tcPr>
            <w:tcW w:w="896" w:type="dxa"/>
            <w:tcBorders>
              <w:tl2br w:val="nil"/>
              <w:tr2bl w:val="nil"/>
            </w:tcBorders>
            <w:vAlign w:val="center"/>
          </w:tcPr>
          <w:p w14:paraId="64FCB26C">
            <w:pPr>
              <w:adjustRightInd w:val="0"/>
              <w:snapToGrid w:val="0"/>
              <w:spacing w:line="320" w:lineRule="exact"/>
              <w:jc w:val="center"/>
              <w:rPr>
                <w:rFonts w:eastAsia="仿宋_GB2312"/>
                <w:color w:val="auto"/>
                <w:szCs w:val="21"/>
              </w:rPr>
            </w:pPr>
            <w:r>
              <w:rPr>
                <w:rFonts w:eastAsia="仿宋_GB2312"/>
                <w:color w:val="auto"/>
                <w:szCs w:val="21"/>
              </w:rPr>
              <w:t>-83.5</w:t>
            </w:r>
          </w:p>
        </w:tc>
        <w:tc>
          <w:tcPr>
            <w:tcW w:w="1281" w:type="dxa"/>
            <w:tcBorders>
              <w:tl2br w:val="nil"/>
              <w:tr2bl w:val="nil"/>
            </w:tcBorders>
            <w:vAlign w:val="center"/>
          </w:tcPr>
          <w:p w14:paraId="4D55CEA6">
            <w:pPr>
              <w:adjustRightInd w:val="0"/>
              <w:snapToGrid w:val="0"/>
              <w:spacing w:line="320" w:lineRule="exact"/>
              <w:jc w:val="center"/>
              <w:rPr>
                <w:rFonts w:eastAsia="仿宋_GB2312"/>
                <w:color w:val="auto"/>
                <w:szCs w:val="21"/>
              </w:rPr>
            </w:pPr>
            <w:r>
              <w:rPr>
                <w:rFonts w:eastAsia="仿宋_GB2312"/>
                <w:color w:val="auto"/>
                <w:szCs w:val="21"/>
              </w:rPr>
              <w:t xml:space="preserve">2080 </w:t>
            </w:r>
          </w:p>
        </w:tc>
        <w:tc>
          <w:tcPr>
            <w:tcW w:w="1279" w:type="dxa"/>
            <w:tcBorders>
              <w:tl2br w:val="nil"/>
              <w:tr2bl w:val="nil"/>
            </w:tcBorders>
            <w:vAlign w:val="center"/>
          </w:tcPr>
          <w:p w14:paraId="6FE581FB">
            <w:pPr>
              <w:adjustRightInd w:val="0"/>
              <w:snapToGrid w:val="0"/>
              <w:spacing w:line="320" w:lineRule="exact"/>
              <w:jc w:val="center"/>
              <w:rPr>
                <w:rFonts w:eastAsia="仿宋_GB2312"/>
                <w:color w:val="auto"/>
                <w:szCs w:val="21"/>
              </w:rPr>
            </w:pPr>
            <w:r>
              <w:rPr>
                <w:rFonts w:eastAsia="仿宋_GB2312"/>
                <w:color w:val="auto"/>
                <w:szCs w:val="21"/>
              </w:rPr>
              <w:t>/</w:t>
            </w:r>
          </w:p>
        </w:tc>
        <w:tc>
          <w:tcPr>
            <w:tcW w:w="1365" w:type="dxa"/>
            <w:tcBorders>
              <w:tl2br w:val="nil"/>
              <w:tr2bl w:val="nil"/>
            </w:tcBorders>
            <w:vAlign w:val="center"/>
          </w:tcPr>
          <w:p w14:paraId="52B8658E">
            <w:pPr>
              <w:adjustRightInd w:val="0"/>
              <w:snapToGrid w:val="0"/>
              <w:spacing w:line="320" w:lineRule="exact"/>
              <w:jc w:val="center"/>
              <w:rPr>
                <w:rFonts w:eastAsia="仿宋_GB2312"/>
                <w:color w:val="auto"/>
                <w:szCs w:val="21"/>
              </w:rPr>
            </w:pPr>
            <w:r>
              <w:rPr>
                <w:rFonts w:eastAsia="仿宋_GB2312"/>
                <w:color w:val="auto"/>
                <w:szCs w:val="21"/>
              </w:rPr>
              <w:t>32720,4小时</w:t>
            </w:r>
          </w:p>
        </w:tc>
      </w:tr>
      <w:tr w14:paraId="327675A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464" w:type="dxa"/>
            <w:tcBorders>
              <w:tl2br w:val="nil"/>
              <w:tr2bl w:val="nil"/>
            </w:tcBorders>
            <w:vAlign w:val="center"/>
          </w:tcPr>
          <w:p w14:paraId="79709DDE">
            <w:pPr>
              <w:adjustRightInd w:val="0"/>
              <w:snapToGrid w:val="0"/>
              <w:spacing w:line="320" w:lineRule="exact"/>
              <w:jc w:val="center"/>
              <w:rPr>
                <w:rFonts w:eastAsia="仿宋_GB2312"/>
                <w:color w:val="auto"/>
                <w:szCs w:val="21"/>
              </w:rPr>
            </w:pPr>
            <w:r>
              <w:rPr>
                <w:rFonts w:eastAsia="仿宋_GB2312"/>
                <w:color w:val="auto"/>
                <w:szCs w:val="21"/>
              </w:rPr>
              <w:t>正庚烷</w:t>
            </w:r>
          </w:p>
        </w:tc>
        <w:tc>
          <w:tcPr>
            <w:tcW w:w="862" w:type="dxa"/>
            <w:tcBorders>
              <w:tl2br w:val="nil"/>
              <w:tr2bl w:val="nil"/>
            </w:tcBorders>
            <w:vAlign w:val="center"/>
          </w:tcPr>
          <w:p w14:paraId="7065490D">
            <w:pPr>
              <w:adjustRightInd w:val="0"/>
              <w:snapToGrid w:val="0"/>
              <w:spacing w:line="320" w:lineRule="exact"/>
              <w:jc w:val="center"/>
              <w:rPr>
                <w:rFonts w:eastAsia="仿宋_GB2312"/>
                <w:color w:val="auto"/>
                <w:szCs w:val="21"/>
              </w:rPr>
            </w:pPr>
            <w:r>
              <w:rPr>
                <w:rFonts w:eastAsia="仿宋_GB2312"/>
                <w:color w:val="auto"/>
                <w:szCs w:val="21"/>
              </w:rPr>
              <w:t>32006</w:t>
            </w:r>
          </w:p>
        </w:tc>
        <w:tc>
          <w:tcPr>
            <w:tcW w:w="803" w:type="dxa"/>
            <w:tcBorders>
              <w:tl2br w:val="nil"/>
              <w:tr2bl w:val="nil"/>
            </w:tcBorders>
            <w:vAlign w:val="center"/>
          </w:tcPr>
          <w:p w14:paraId="78B07E37">
            <w:pPr>
              <w:adjustRightInd w:val="0"/>
              <w:snapToGrid w:val="0"/>
              <w:spacing w:line="320" w:lineRule="exact"/>
              <w:jc w:val="center"/>
              <w:rPr>
                <w:rFonts w:eastAsia="仿宋_GB2312"/>
                <w:color w:val="auto"/>
                <w:szCs w:val="21"/>
              </w:rPr>
            </w:pPr>
            <w:r>
              <w:rPr>
                <w:rFonts w:eastAsia="仿宋_GB2312"/>
                <w:color w:val="auto"/>
                <w:szCs w:val="21"/>
              </w:rPr>
              <w:t>-4</w:t>
            </w:r>
          </w:p>
        </w:tc>
        <w:tc>
          <w:tcPr>
            <w:tcW w:w="896" w:type="dxa"/>
            <w:tcBorders>
              <w:tl2br w:val="nil"/>
              <w:tr2bl w:val="nil"/>
            </w:tcBorders>
            <w:vAlign w:val="center"/>
          </w:tcPr>
          <w:p w14:paraId="25E705FC">
            <w:pPr>
              <w:adjustRightInd w:val="0"/>
              <w:snapToGrid w:val="0"/>
              <w:spacing w:line="320" w:lineRule="exact"/>
              <w:jc w:val="center"/>
              <w:rPr>
                <w:rFonts w:eastAsia="仿宋_GB2312"/>
                <w:color w:val="auto"/>
                <w:szCs w:val="21"/>
              </w:rPr>
            </w:pPr>
            <w:r>
              <w:rPr>
                <w:rFonts w:eastAsia="仿宋_GB2312"/>
                <w:color w:val="auto"/>
                <w:szCs w:val="21"/>
              </w:rPr>
              <w:t>98.5</w:t>
            </w:r>
          </w:p>
        </w:tc>
        <w:tc>
          <w:tcPr>
            <w:tcW w:w="896" w:type="dxa"/>
            <w:tcBorders>
              <w:tl2br w:val="nil"/>
              <w:tr2bl w:val="nil"/>
            </w:tcBorders>
            <w:vAlign w:val="center"/>
          </w:tcPr>
          <w:p w14:paraId="2ADD4DB8">
            <w:pPr>
              <w:adjustRightInd w:val="0"/>
              <w:snapToGrid w:val="0"/>
              <w:spacing w:line="320" w:lineRule="exact"/>
              <w:jc w:val="center"/>
              <w:rPr>
                <w:rFonts w:eastAsia="仿宋_GB2312"/>
                <w:color w:val="auto"/>
                <w:szCs w:val="21"/>
              </w:rPr>
            </w:pPr>
            <w:r>
              <w:rPr>
                <w:rFonts w:eastAsia="仿宋_GB2312"/>
                <w:color w:val="auto"/>
                <w:szCs w:val="21"/>
              </w:rPr>
              <w:t>-90.5</w:t>
            </w:r>
          </w:p>
        </w:tc>
        <w:tc>
          <w:tcPr>
            <w:tcW w:w="1281" w:type="dxa"/>
            <w:tcBorders>
              <w:tl2br w:val="nil"/>
              <w:tr2bl w:val="nil"/>
            </w:tcBorders>
            <w:vAlign w:val="center"/>
          </w:tcPr>
          <w:p w14:paraId="06FB5607">
            <w:pPr>
              <w:adjustRightInd w:val="0"/>
              <w:snapToGrid w:val="0"/>
              <w:spacing w:line="320" w:lineRule="exact"/>
              <w:jc w:val="center"/>
              <w:rPr>
                <w:rFonts w:eastAsia="仿宋_GB2312"/>
                <w:color w:val="auto"/>
                <w:szCs w:val="21"/>
              </w:rPr>
            </w:pPr>
            <w:r>
              <w:rPr>
                <w:rFonts w:eastAsia="仿宋_GB2312"/>
                <w:color w:val="auto"/>
                <w:szCs w:val="21"/>
              </w:rPr>
              <w:t xml:space="preserve">222 </w:t>
            </w:r>
          </w:p>
        </w:tc>
        <w:tc>
          <w:tcPr>
            <w:tcW w:w="1279" w:type="dxa"/>
            <w:tcBorders>
              <w:tl2br w:val="nil"/>
              <w:tr2bl w:val="nil"/>
            </w:tcBorders>
            <w:vAlign w:val="center"/>
          </w:tcPr>
          <w:p w14:paraId="731FF746">
            <w:pPr>
              <w:adjustRightInd w:val="0"/>
              <w:snapToGrid w:val="0"/>
              <w:spacing w:line="320" w:lineRule="exact"/>
              <w:jc w:val="center"/>
              <w:rPr>
                <w:rFonts w:eastAsia="仿宋_GB2312"/>
                <w:color w:val="auto"/>
                <w:szCs w:val="21"/>
              </w:rPr>
            </w:pPr>
            <w:r>
              <w:rPr>
                <w:rFonts w:eastAsia="仿宋_GB2312"/>
                <w:color w:val="auto"/>
                <w:szCs w:val="21"/>
              </w:rPr>
              <w:t>/</w:t>
            </w:r>
          </w:p>
        </w:tc>
        <w:tc>
          <w:tcPr>
            <w:tcW w:w="1365" w:type="dxa"/>
            <w:tcBorders>
              <w:tl2br w:val="nil"/>
              <w:tr2bl w:val="nil"/>
            </w:tcBorders>
            <w:vAlign w:val="center"/>
          </w:tcPr>
          <w:p w14:paraId="2C5E2321">
            <w:pPr>
              <w:adjustRightInd w:val="0"/>
              <w:snapToGrid w:val="0"/>
              <w:spacing w:line="320" w:lineRule="exact"/>
              <w:jc w:val="center"/>
              <w:rPr>
                <w:rFonts w:eastAsia="仿宋_GB2312"/>
                <w:color w:val="auto"/>
                <w:szCs w:val="21"/>
              </w:rPr>
            </w:pPr>
            <w:r>
              <w:rPr>
                <w:rFonts w:eastAsia="仿宋_GB2312"/>
                <w:color w:val="auto"/>
                <w:szCs w:val="21"/>
              </w:rPr>
              <w:t>75000,2小时</w:t>
            </w:r>
          </w:p>
        </w:tc>
      </w:tr>
      <w:tr w14:paraId="7AA9828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464" w:type="dxa"/>
            <w:tcBorders>
              <w:tl2br w:val="nil"/>
              <w:tr2bl w:val="nil"/>
            </w:tcBorders>
            <w:vAlign w:val="center"/>
          </w:tcPr>
          <w:p w14:paraId="058BE774">
            <w:pPr>
              <w:adjustRightInd w:val="0"/>
              <w:snapToGrid w:val="0"/>
              <w:spacing w:line="320" w:lineRule="exact"/>
              <w:jc w:val="center"/>
              <w:rPr>
                <w:rFonts w:eastAsia="仿宋_GB2312"/>
                <w:color w:val="auto"/>
                <w:szCs w:val="21"/>
              </w:rPr>
            </w:pPr>
            <w:r>
              <w:rPr>
                <w:rFonts w:eastAsia="仿宋_GB2312"/>
                <w:color w:val="auto"/>
                <w:szCs w:val="21"/>
              </w:rPr>
              <w:t>己烷</w:t>
            </w:r>
          </w:p>
        </w:tc>
        <w:tc>
          <w:tcPr>
            <w:tcW w:w="862" w:type="dxa"/>
            <w:tcBorders>
              <w:tl2br w:val="nil"/>
              <w:tr2bl w:val="nil"/>
            </w:tcBorders>
            <w:vAlign w:val="center"/>
          </w:tcPr>
          <w:p w14:paraId="633AFC92">
            <w:pPr>
              <w:adjustRightInd w:val="0"/>
              <w:snapToGrid w:val="0"/>
              <w:spacing w:line="320" w:lineRule="exact"/>
              <w:jc w:val="center"/>
              <w:rPr>
                <w:rFonts w:eastAsia="仿宋_GB2312"/>
                <w:color w:val="auto"/>
                <w:szCs w:val="21"/>
              </w:rPr>
            </w:pPr>
            <w:r>
              <w:rPr>
                <w:rFonts w:eastAsia="仿宋_GB2312"/>
                <w:color w:val="auto"/>
                <w:szCs w:val="21"/>
              </w:rPr>
              <w:t>31005</w:t>
            </w:r>
          </w:p>
        </w:tc>
        <w:tc>
          <w:tcPr>
            <w:tcW w:w="803" w:type="dxa"/>
            <w:tcBorders>
              <w:tl2br w:val="nil"/>
              <w:tr2bl w:val="nil"/>
            </w:tcBorders>
            <w:vAlign w:val="center"/>
          </w:tcPr>
          <w:p w14:paraId="68F8460D">
            <w:pPr>
              <w:adjustRightInd w:val="0"/>
              <w:snapToGrid w:val="0"/>
              <w:spacing w:line="320" w:lineRule="exact"/>
              <w:jc w:val="center"/>
              <w:rPr>
                <w:rFonts w:eastAsia="仿宋_GB2312"/>
                <w:color w:val="auto"/>
                <w:szCs w:val="21"/>
              </w:rPr>
            </w:pPr>
            <w:r>
              <w:rPr>
                <w:rFonts w:eastAsia="仿宋_GB2312"/>
                <w:color w:val="auto"/>
                <w:szCs w:val="21"/>
              </w:rPr>
              <w:t>-25.5</w:t>
            </w:r>
          </w:p>
        </w:tc>
        <w:tc>
          <w:tcPr>
            <w:tcW w:w="896" w:type="dxa"/>
            <w:tcBorders>
              <w:tl2br w:val="nil"/>
              <w:tr2bl w:val="nil"/>
            </w:tcBorders>
            <w:vAlign w:val="center"/>
          </w:tcPr>
          <w:p w14:paraId="17A458D6">
            <w:pPr>
              <w:adjustRightInd w:val="0"/>
              <w:snapToGrid w:val="0"/>
              <w:spacing w:line="320" w:lineRule="exact"/>
              <w:jc w:val="center"/>
              <w:rPr>
                <w:rFonts w:eastAsia="仿宋_GB2312"/>
                <w:color w:val="auto"/>
                <w:szCs w:val="21"/>
              </w:rPr>
            </w:pPr>
            <w:r>
              <w:rPr>
                <w:rFonts w:eastAsia="仿宋_GB2312"/>
                <w:color w:val="auto"/>
                <w:szCs w:val="21"/>
              </w:rPr>
              <w:t>68.7</w:t>
            </w:r>
          </w:p>
        </w:tc>
        <w:tc>
          <w:tcPr>
            <w:tcW w:w="896" w:type="dxa"/>
            <w:tcBorders>
              <w:tl2br w:val="nil"/>
              <w:tr2bl w:val="nil"/>
            </w:tcBorders>
            <w:vAlign w:val="center"/>
          </w:tcPr>
          <w:p w14:paraId="16F0C3BD">
            <w:pPr>
              <w:adjustRightInd w:val="0"/>
              <w:snapToGrid w:val="0"/>
              <w:spacing w:line="320" w:lineRule="exact"/>
              <w:jc w:val="center"/>
              <w:rPr>
                <w:rFonts w:eastAsia="仿宋_GB2312"/>
                <w:color w:val="auto"/>
                <w:szCs w:val="21"/>
              </w:rPr>
            </w:pPr>
            <w:r>
              <w:rPr>
                <w:rFonts w:eastAsia="仿宋_GB2312"/>
                <w:color w:val="auto"/>
                <w:szCs w:val="21"/>
              </w:rPr>
              <w:t>-95.6</w:t>
            </w:r>
          </w:p>
        </w:tc>
        <w:tc>
          <w:tcPr>
            <w:tcW w:w="1281" w:type="dxa"/>
            <w:tcBorders>
              <w:tl2br w:val="nil"/>
              <w:tr2bl w:val="nil"/>
            </w:tcBorders>
            <w:vAlign w:val="center"/>
          </w:tcPr>
          <w:p w14:paraId="2D91F3C4">
            <w:pPr>
              <w:adjustRightInd w:val="0"/>
              <w:snapToGrid w:val="0"/>
              <w:spacing w:line="320" w:lineRule="exact"/>
              <w:jc w:val="center"/>
              <w:rPr>
                <w:rFonts w:eastAsia="仿宋_GB2312"/>
                <w:color w:val="auto"/>
                <w:szCs w:val="21"/>
              </w:rPr>
            </w:pPr>
            <w:r>
              <w:rPr>
                <w:rFonts w:eastAsia="仿宋_GB2312"/>
                <w:color w:val="auto"/>
                <w:szCs w:val="21"/>
              </w:rPr>
              <w:t xml:space="preserve">28710 </w:t>
            </w:r>
          </w:p>
        </w:tc>
        <w:tc>
          <w:tcPr>
            <w:tcW w:w="1279" w:type="dxa"/>
            <w:tcBorders>
              <w:tl2br w:val="nil"/>
              <w:tr2bl w:val="nil"/>
            </w:tcBorders>
            <w:vAlign w:val="center"/>
          </w:tcPr>
          <w:p w14:paraId="53417254">
            <w:pPr>
              <w:adjustRightInd w:val="0"/>
              <w:snapToGrid w:val="0"/>
              <w:spacing w:line="320" w:lineRule="exact"/>
              <w:jc w:val="center"/>
              <w:rPr>
                <w:rFonts w:eastAsia="仿宋_GB2312"/>
                <w:color w:val="auto"/>
                <w:szCs w:val="21"/>
              </w:rPr>
            </w:pPr>
            <w:r>
              <w:rPr>
                <w:rFonts w:eastAsia="仿宋_GB2312"/>
                <w:color w:val="auto"/>
                <w:szCs w:val="21"/>
              </w:rPr>
              <w:t>/</w:t>
            </w:r>
          </w:p>
        </w:tc>
        <w:tc>
          <w:tcPr>
            <w:tcW w:w="1365" w:type="dxa"/>
            <w:tcBorders>
              <w:tl2br w:val="nil"/>
              <w:tr2bl w:val="nil"/>
            </w:tcBorders>
            <w:vAlign w:val="center"/>
          </w:tcPr>
          <w:p w14:paraId="10CBEF56">
            <w:pPr>
              <w:adjustRightInd w:val="0"/>
              <w:snapToGrid w:val="0"/>
              <w:spacing w:line="320" w:lineRule="exact"/>
              <w:jc w:val="center"/>
              <w:rPr>
                <w:rFonts w:eastAsia="仿宋_GB2312"/>
                <w:color w:val="auto"/>
                <w:szCs w:val="21"/>
              </w:rPr>
            </w:pPr>
            <w:r>
              <w:rPr>
                <w:rFonts w:eastAsia="仿宋_GB2312"/>
                <w:color w:val="auto"/>
                <w:szCs w:val="21"/>
              </w:rPr>
              <w:t>/</w:t>
            </w:r>
          </w:p>
        </w:tc>
      </w:tr>
      <w:tr w14:paraId="1EC558C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464" w:type="dxa"/>
            <w:tcBorders>
              <w:tl2br w:val="nil"/>
              <w:tr2bl w:val="nil"/>
            </w:tcBorders>
            <w:vAlign w:val="center"/>
          </w:tcPr>
          <w:p w14:paraId="5400FEB5">
            <w:pPr>
              <w:adjustRightInd w:val="0"/>
              <w:snapToGrid w:val="0"/>
              <w:spacing w:line="320" w:lineRule="exact"/>
              <w:jc w:val="center"/>
              <w:rPr>
                <w:rFonts w:eastAsia="仿宋_GB2312"/>
                <w:color w:val="auto"/>
                <w:szCs w:val="21"/>
              </w:rPr>
            </w:pPr>
            <w:r>
              <w:rPr>
                <w:rFonts w:eastAsia="仿宋_GB2312"/>
                <w:color w:val="auto"/>
                <w:szCs w:val="21"/>
              </w:rPr>
              <w:t>二氯甲烷</w:t>
            </w:r>
          </w:p>
        </w:tc>
        <w:tc>
          <w:tcPr>
            <w:tcW w:w="862" w:type="dxa"/>
            <w:tcBorders>
              <w:tl2br w:val="nil"/>
              <w:tr2bl w:val="nil"/>
            </w:tcBorders>
            <w:vAlign w:val="center"/>
          </w:tcPr>
          <w:p w14:paraId="4538503A">
            <w:pPr>
              <w:adjustRightInd w:val="0"/>
              <w:snapToGrid w:val="0"/>
              <w:spacing w:line="320" w:lineRule="exact"/>
              <w:jc w:val="center"/>
              <w:rPr>
                <w:rFonts w:eastAsia="仿宋_GB2312"/>
                <w:color w:val="auto"/>
                <w:szCs w:val="21"/>
              </w:rPr>
            </w:pPr>
            <w:r>
              <w:rPr>
                <w:rFonts w:eastAsia="仿宋_GB2312"/>
                <w:color w:val="auto"/>
                <w:szCs w:val="21"/>
              </w:rPr>
              <w:t>61552</w:t>
            </w:r>
          </w:p>
        </w:tc>
        <w:tc>
          <w:tcPr>
            <w:tcW w:w="803" w:type="dxa"/>
            <w:tcBorders>
              <w:tl2br w:val="nil"/>
              <w:tr2bl w:val="nil"/>
            </w:tcBorders>
            <w:vAlign w:val="center"/>
          </w:tcPr>
          <w:p w14:paraId="1C6A9F2F">
            <w:pPr>
              <w:adjustRightInd w:val="0"/>
              <w:snapToGrid w:val="0"/>
              <w:spacing w:line="320" w:lineRule="exact"/>
              <w:jc w:val="center"/>
              <w:rPr>
                <w:rFonts w:eastAsia="仿宋_GB2312"/>
                <w:color w:val="auto"/>
                <w:szCs w:val="21"/>
              </w:rPr>
            </w:pPr>
            <w:r>
              <w:rPr>
                <w:rFonts w:eastAsia="仿宋_GB2312"/>
                <w:color w:val="auto"/>
                <w:szCs w:val="21"/>
              </w:rPr>
              <w:t>/</w:t>
            </w:r>
          </w:p>
        </w:tc>
        <w:tc>
          <w:tcPr>
            <w:tcW w:w="896" w:type="dxa"/>
            <w:tcBorders>
              <w:tl2br w:val="nil"/>
              <w:tr2bl w:val="nil"/>
            </w:tcBorders>
            <w:vAlign w:val="center"/>
          </w:tcPr>
          <w:p w14:paraId="416986F2">
            <w:pPr>
              <w:adjustRightInd w:val="0"/>
              <w:snapToGrid w:val="0"/>
              <w:spacing w:line="320" w:lineRule="exact"/>
              <w:jc w:val="center"/>
              <w:rPr>
                <w:rFonts w:eastAsia="仿宋_GB2312"/>
                <w:color w:val="auto"/>
                <w:szCs w:val="21"/>
              </w:rPr>
            </w:pPr>
            <w:r>
              <w:rPr>
                <w:rFonts w:eastAsia="仿宋_GB2312"/>
                <w:color w:val="auto"/>
                <w:szCs w:val="21"/>
              </w:rPr>
              <w:t>39.8</w:t>
            </w:r>
          </w:p>
        </w:tc>
        <w:tc>
          <w:tcPr>
            <w:tcW w:w="896" w:type="dxa"/>
            <w:tcBorders>
              <w:tl2br w:val="nil"/>
              <w:tr2bl w:val="nil"/>
            </w:tcBorders>
            <w:vAlign w:val="center"/>
          </w:tcPr>
          <w:p w14:paraId="086AC696">
            <w:pPr>
              <w:adjustRightInd w:val="0"/>
              <w:snapToGrid w:val="0"/>
              <w:spacing w:line="320" w:lineRule="exact"/>
              <w:jc w:val="center"/>
              <w:rPr>
                <w:rFonts w:eastAsia="仿宋_GB2312"/>
                <w:color w:val="auto"/>
                <w:szCs w:val="21"/>
              </w:rPr>
            </w:pPr>
            <w:r>
              <w:rPr>
                <w:rFonts w:eastAsia="仿宋_GB2312"/>
                <w:color w:val="auto"/>
                <w:szCs w:val="21"/>
              </w:rPr>
              <w:t>-96.7</w:t>
            </w:r>
          </w:p>
        </w:tc>
        <w:tc>
          <w:tcPr>
            <w:tcW w:w="1281" w:type="dxa"/>
            <w:tcBorders>
              <w:tl2br w:val="nil"/>
              <w:tr2bl w:val="nil"/>
            </w:tcBorders>
            <w:vAlign w:val="center"/>
          </w:tcPr>
          <w:p w14:paraId="035125B6">
            <w:pPr>
              <w:adjustRightInd w:val="0"/>
              <w:snapToGrid w:val="0"/>
              <w:spacing w:line="320" w:lineRule="exact"/>
              <w:jc w:val="center"/>
              <w:rPr>
                <w:rFonts w:eastAsia="仿宋_GB2312"/>
                <w:color w:val="auto"/>
                <w:szCs w:val="21"/>
              </w:rPr>
            </w:pPr>
            <w:r>
              <w:rPr>
                <w:rFonts w:eastAsia="仿宋_GB2312"/>
                <w:color w:val="auto"/>
                <w:szCs w:val="21"/>
              </w:rPr>
              <w:t xml:space="preserve">1600～2000 </w:t>
            </w:r>
          </w:p>
        </w:tc>
        <w:tc>
          <w:tcPr>
            <w:tcW w:w="1279" w:type="dxa"/>
            <w:tcBorders>
              <w:tl2br w:val="nil"/>
              <w:tr2bl w:val="nil"/>
            </w:tcBorders>
            <w:vAlign w:val="center"/>
          </w:tcPr>
          <w:p w14:paraId="5B2079F4">
            <w:pPr>
              <w:adjustRightInd w:val="0"/>
              <w:snapToGrid w:val="0"/>
              <w:spacing w:line="320" w:lineRule="exact"/>
              <w:jc w:val="center"/>
              <w:rPr>
                <w:rFonts w:eastAsia="仿宋_GB2312"/>
                <w:color w:val="auto"/>
                <w:szCs w:val="21"/>
              </w:rPr>
            </w:pPr>
            <w:r>
              <w:rPr>
                <w:rFonts w:eastAsia="仿宋_GB2312"/>
                <w:color w:val="auto"/>
                <w:szCs w:val="21"/>
              </w:rPr>
              <w:t>/</w:t>
            </w:r>
          </w:p>
        </w:tc>
        <w:tc>
          <w:tcPr>
            <w:tcW w:w="1365" w:type="dxa"/>
            <w:tcBorders>
              <w:tl2br w:val="nil"/>
              <w:tr2bl w:val="nil"/>
            </w:tcBorders>
            <w:vAlign w:val="center"/>
          </w:tcPr>
          <w:p w14:paraId="07F36063">
            <w:pPr>
              <w:adjustRightInd w:val="0"/>
              <w:snapToGrid w:val="0"/>
              <w:spacing w:line="320" w:lineRule="exact"/>
              <w:jc w:val="center"/>
              <w:rPr>
                <w:rFonts w:eastAsia="仿宋_GB2312"/>
                <w:color w:val="auto"/>
                <w:szCs w:val="21"/>
              </w:rPr>
            </w:pPr>
            <w:r>
              <w:rPr>
                <w:rFonts w:eastAsia="仿宋_GB2312"/>
                <w:color w:val="auto"/>
                <w:szCs w:val="21"/>
              </w:rPr>
              <w:t>88000,1/2小时</w:t>
            </w:r>
          </w:p>
        </w:tc>
      </w:tr>
      <w:tr w14:paraId="20BA9B9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464" w:type="dxa"/>
            <w:tcBorders>
              <w:tl2br w:val="nil"/>
              <w:tr2bl w:val="nil"/>
            </w:tcBorders>
            <w:vAlign w:val="center"/>
          </w:tcPr>
          <w:p w14:paraId="13ECC270">
            <w:pPr>
              <w:adjustRightInd w:val="0"/>
              <w:snapToGrid w:val="0"/>
              <w:spacing w:line="320" w:lineRule="exact"/>
              <w:jc w:val="center"/>
              <w:rPr>
                <w:rFonts w:eastAsia="仿宋_GB2312"/>
                <w:color w:val="auto"/>
                <w:szCs w:val="21"/>
              </w:rPr>
            </w:pPr>
            <w:r>
              <w:rPr>
                <w:rFonts w:eastAsia="仿宋_GB2312"/>
                <w:color w:val="auto"/>
                <w:szCs w:val="21"/>
              </w:rPr>
              <w:t>二氯乙烷</w:t>
            </w:r>
          </w:p>
        </w:tc>
        <w:tc>
          <w:tcPr>
            <w:tcW w:w="862" w:type="dxa"/>
            <w:tcBorders>
              <w:tl2br w:val="nil"/>
              <w:tr2bl w:val="nil"/>
            </w:tcBorders>
            <w:vAlign w:val="center"/>
          </w:tcPr>
          <w:p w14:paraId="7CEBEFDE">
            <w:pPr>
              <w:adjustRightInd w:val="0"/>
              <w:snapToGrid w:val="0"/>
              <w:spacing w:line="320" w:lineRule="exact"/>
              <w:jc w:val="center"/>
              <w:rPr>
                <w:rFonts w:eastAsia="仿宋_GB2312"/>
                <w:color w:val="auto"/>
                <w:szCs w:val="21"/>
              </w:rPr>
            </w:pPr>
            <w:r>
              <w:rPr>
                <w:rFonts w:eastAsia="仿宋_GB2312"/>
                <w:color w:val="auto"/>
                <w:szCs w:val="21"/>
              </w:rPr>
              <w:t>32035</w:t>
            </w:r>
          </w:p>
        </w:tc>
        <w:tc>
          <w:tcPr>
            <w:tcW w:w="803" w:type="dxa"/>
            <w:tcBorders>
              <w:tl2br w:val="nil"/>
              <w:tr2bl w:val="nil"/>
            </w:tcBorders>
            <w:vAlign w:val="center"/>
          </w:tcPr>
          <w:p w14:paraId="025E05CC">
            <w:pPr>
              <w:adjustRightInd w:val="0"/>
              <w:snapToGrid w:val="0"/>
              <w:spacing w:line="320" w:lineRule="exact"/>
              <w:jc w:val="center"/>
              <w:rPr>
                <w:rFonts w:eastAsia="仿宋_GB2312"/>
                <w:color w:val="auto"/>
                <w:szCs w:val="21"/>
              </w:rPr>
            </w:pPr>
            <w:r>
              <w:rPr>
                <w:rFonts w:eastAsia="仿宋_GB2312"/>
                <w:color w:val="auto"/>
                <w:szCs w:val="21"/>
              </w:rPr>
              <w:t>-10</w:t>
            </w:r>
          </w:p>
        </w:tc>
        <w:tc>
          <w:tcPr>
            <w:tcW w:w="896" w:type="dxa"/>
            <w:tcBorders>
              <w:tl2br w:val="nil"/>
              <w:tr2bl w:val="nil"/>
            </w:tcBorders>
            <w:vAlign w:val="center"/>
          </w:tcPr>
          <w:p w14:paraId="6C11172F">
            <w:pPr>
              <w:adjustRightInd w:val="0"/>
              <w:snapToGrid w:val="0"/>
              <w:spacing w:line="320" w:lineRule="exact"/>
              <w:jc w:val="center"/>
              <w:rPr>
                <w:rFonts w:eastAsia="仿宋_GB2312"/>
                <w:color w:val="auto"/>
                <w:szCs w:val="21"/>
              </w:rPr>
            </w:pPr>
            <w:r>
              <w:rPr>
                <w:rFonts w:eastAsia="仿宋_GB2312"/>
                <w:color w:val="auto"/>
                <w:szCs w:val="21"/>
              </w:rPr>
              <w:t>57.3</w:t>
            </w:r>
          </w:p>
        </w:tc>
        <w:tc>
          <w:tcPr>
            <w:tcW w:w="896" w:type="dxa"/>
            <w:tcBorders>
              <w:tl2br w:val="nil"/>
              <w:tr2bl w:val="nil"/>
            </w:tcBorders>
            <w:vAlign w:val="center"/>
          </w:tcPr>
          <w:p w14:paraId="66B34921">
            <w:pPr>
              <w:adjustRightInd w:val="0"/>
              <w:snapToGrid w:val="0"/>
              <w:spacing w:line="320" w:lineRule="exact"/>
              <w:jc w:val="center"/>
              <w:rPr>
                <w:rFonts w:eastAsia="仿宋_GB2312"/>
                <w:color w:val="auto"/>
                <w:szCs w:val="21"/>
              </w:rPr>
            </w:pPr>
            <w:r>
              <w:rPr>
                <w:rFonts w:eastAsia="仿宋_GB2312"/>
                <w:color w:val="auto"/>
                <w:szCs w:val="21"/>
              </w:rPr>
              <w:t>-96.7</w:t>
            </w:r>
          </w:p>
        </w:tc>
        <w:tc>
          <w:tcPr>
            <w:tcW w:w="1281" w:type="dxa"/>
            <w:tcBorders>
              <w:tl2br w:val="nil"/>
              <w:tr2bl w:val="nil"/>
            </w:tcBorders>
            <w:vAlign w:val="center"/>
          </w:tcPr>
          <w:p w14:paraId="07096CDB">
            <w:pPr>
              <w:adjustRightInd w:val="0"/>
              <w:snapToGrid w:val="0"/>
              <w:spacing w:line="320" w:lineRule="exact"/>
              <w:jc w:val="center"/>
              <w:rPr>
                <w:rFonts w:eastAsia="仿宋_GB2312"/>
                <w:color w:val="auto"/>
                <w:szCs w:val="21"/>
              </w:rPr>
            </w:pPr>
            <w:r>
              <w:rPr>
                <w:rFonts w:eastAsia="仿宋_GB2312"/>
                <w:color w:val="auto"/>
                <w:szCs w:val="21"/>
              </w:rPr>
              <w:t xml:space="preserve">725 </w:t>
            </w:r>
          </w:p>
        </w:tc>
        <w:tc>
          <w:tcPr>
            <w:tcW w:w="1279" w:type="dxa"/>
            <w:tcBorders>
              <w:tl2br w:val="nil"/>
              <w:tr2bl w:val="nil"/>
            </w:tcBorders>
            <w:vAlign w:val="center"/>
          </w:tcPr>
          <w:p w14:paraId="0FA1B653">
            <w:pPr>
              <w:adjustRightInd w:val="0"/>
              <w:snapToGrid w:val="0"/>
              <w:spacing w:line="320" w:lineRule="exact"/>
              <w:jc w:val="center"/>
              <w:rPr>
                <w:rFonts w:eastAsia="仿宋_GB2312"/>
                <w:color w:val="auto"/>
                <w:szCs w:val="21"/>
              </w:rPr>
            </w:pPr>
            <w:r>
              <w:rPr>
                <w:rFonts w:eastAsia="仿宋_GB2312"/>
                <w:color w:val="auto"/>
                <w:szCs w:val="21"/>
              </w:rPr>
              <w:t>/</w:t>
            </w:r>
          </w:p>
        </w:tc>
        <w:tc>
          <w:tcPr>
            <w:tcW w:w="1365" w:type="dxa"/>
            <w:tcBorders>
              <w:tl2br w:val="nil"/>
              <w:tr2bl w:val="nil"/>
            </w:tcBorders>
            <w:vAlign w:val="center"/>
          </w:tcPr>
          <w:p w14:paraId="49DC3A6F">
            <w:pPr>
              <w:adjustRightInd w:val="0"/>
              <w:snapToGrid w:val="0"/>
              <w:spacing w:line="320" w:lineRule="exact"/>
              <w:jc w:val="center"/>
              <w:rPr>
                <w:rFonts w:eastAsia="仿宋_GB2312"/>
                <w:color w:val="auto"/>
                <w:szCs w:val="21"/>
              </w:rPr>
            </w:pPr>
            <w:r>
              <w:rPr>
                <w:rFonts w:eastAsia="仿宋_GB2312"/>
                <w:color w:val="auto"/>
                <w:szCs w:val="21"/>
              </w:rPr>
              <w:t>/</w:t>
            </w:r>
          </w:p>
        </w:tc>
      </w:tr>
      <w:tr w14:paraId="159CA84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464" w:type="dxa"/>
            <w:tcBorders>
              <w:tl2br w:val="nil"/>
              <w:tr2bl w:val="nil"/>
            </w:tcBorders>
            <w:vAlign w:val="center"/>
          </w:tcPr>
          <w:p w14:paraId="31EF3BC8">
            <w:pPr>
              <w:adjustRightInd w:val="0"/>
              <w:snapToGrid w:val="0"/>
              <w:spacing w:line="320" w:lineRule="exact"/>
              <w:jc w:val="center"/>
              <w:rPr>
                <w:rFonts w:eastAsia="仿宋_GB2312"/>
                <w:color w:val="auto"/>
                <w:szCs w:val="21"/>
              </w:rPr>
            </w:pPr>
            <w:r>
              <w:rPr>
                <w:rFonts w:eastAsia="仿宋_GB2312"/>
                <w:color w:val="auto"/>
                <w:szCs w:val="21"/>
              </w:rPr>
              <w:t>醋酸</w:t>
            </w:r>
          </w:p>
        </w:tc>
        <w:tc>
          <w:tcPr>
            <w:tcW w:w="862" w:type="dxa"/>
            <w:tcBorders>
              <w:tl2br w:val="nil"/>
              <w:tr2bl w:val="nil"/>
            </w:tcBorders>
            <w:vAlign w:val="center"/>
          </w:tcPr>
          <w:p w14:paraId="41D53848">
            <w:pPr>
              <w:adjustRightInd w:val="0"/>
              <w:snapToGrid w:val="0"/>
              <w:spacing w:line="320" w:lineRule="exact"/>
              <w:jc w:val="center"/>
              <w:rPr>
                <w:rFonts w:eastAsia="仿宋_GB2312"/>
                <w:color w:val="auto"/>
                <w:szCs w:val="21"/>
              </w:rPr>
            </w:pPr>
            <w:r>
              <w:rPr>
                <w:rFonts w:eastAsia="仿宋_GB2312"/>
                <w:color w:val="auto"/>
                <w:szCs w:val="21"/>
              </w:rPr>
              <w:t>81601</w:t>
            </w:r>
          </w:p>
        </w:tc>
        <w:tc>
          <w:tcPr>
            <w:tcW w:w="803" w:type="dxa"/>
            <w:tcBorders>
              <w:tl2br w:val="nil"/>
              <w:tr2bl w:val="nil"/>
            </w:tcBorders>
            <w:vAlign w:val="center"/>
          </w:tcPr>
          <w:p w14:paraId="2BDCE6B8">
            <w:pPr>
              <w:adjustRightInd w:val="0"/>
              <w:snapToGrid w:val="0"/>
              <w:spacing w:line="320" w:lineRule="exact"/>
              <w:jc w:val="center"/>
              <w:rPr>
                <w:rFonts w:eastAsia="仿宋_GB2312"/>
                <w:color w:val="auto"/>
                <w:szCs w:val="21"/>
              </w:rPr>
            </w:pPr>
            <w:r>
              <w:rPr>
                <w:rFonts w:eastAsia="仿宋_GB2312"/>
                <w:color w:val="auto"/>
                <w:szCs w:val="21"/>
              </w:rPr>
              <w:t>39</w:t>
            </w:r>
          </w:p>
        </w:tc>
        <w:tc>
          <w:tcPr>
            <w:tcW w:w="896" w:type="dxa"/>
            <w:tcBorders>
              <w:tl2br w:val="nil"/>
              <w:tr2bl w:val="nil"/>
            </w:tcBorders>
            <w:vAlign w:val="center"/>
          </w:tcPr>
          <w:p w14:paraId="548BDC09">
            <w:pPr>
              <w:adjustRightInd w:val="0"/>
              <w:snapToGrid w:val="0"/>
              <w:spacing w:line="320" w:lineRule="exact"/>
              <w:jc w:val="center"/>
              <w:rPr>
                <w:rFonts w:eastAsia="仿宋_GB2312"/>
                <w:color w:val="auto"/>
                <w:szCs w:val="21"/>
              </w:rPr>
            </w:pPr>
            <w:r>
              <w:rPr>
                <w:rFonts w:eastAsia="仿宋_GB2312"/>
                <w:color w:val="auto"/>
                <w:szCs w:val="21"/>
              </w:rPr>
              <w:t>118.1</w:t>
            </w:r>
          </w:p>
        </w:tc>
        <w:tc>
          <w:tcPr>
            <w:tcW w:w="896" w:type="dxa"/>
            <w:tcBorders>
              <w:tl2br w:val="nil"/>
              <w:tr2bl w:val="nil"/>
            </w:tcBorders>
            <w:vAlign w:val="center"/>
          </w:tcPr>
          <w:p w14:paraId="14853225">
            <w:pPr>
              <w:adjustRightInd w:val="0"/>
              <w:snapToGrid w:val="0"/>
              <w:spacing w:line="320" w:lineRule="exact"/>
              <w:jc w:val="center"/>
              <w:rPr>
                <w:rFonts w:eastAsia="仿宋_GB2312"/>
                <w:color w:val="auto"/>
                <w:szCs w:val="21"/>
              </w:rPr>
            </w:pPr>
            <w:r>
              <w:rPr>
                <w:rFonts w:eastAsia="仿宋_GB2312"/>
                <w:color w:val="auto"/>
                <w:szCs w:val="21"/>
              </w:rPr>
              <w:t>16.7</w:t>
            </w:r>
          </w:p>
        </w:tc>
        <w:tc>
          <w:tcPr>
            <w:tcW w:w="1281" w:type="dxa"/>
            <w:tcBorders>
              <w:tl2br w:val="nil"/>
              <w:tr2bl w:val="nil"/>
            </w:tcBorders>
            <w:vAlign w:val="center"/>
          </w:tcPr>
          <w:p w14:paraId="54E165FE">
            <w:pPr>
              <w:adjustRightInd w:val="0"/>
              <w:snapToGrid w:val="0"/>
              <w:spacing w:line="320" w:lineRule="exact"/>
              <w:jc w:val="center"/>
              <w:rPr>
                <w:rFonts w:eastAsia="仿宋_GB2312"/>
                <w:color w:val="auto"/>
                <w:szCs w:val="21"/>
              </w:rPr>
            </w:pPr>
            <w:r>
              <w:rPr>
                <w:rFonts w:eastAsia="仿宋_GB2312"/>
                <w:color w:val="auto"/>
                <w:szCs w:val="21"/>
              </w:rPr>
              <w:t xml:space="preserve">3230 </w:t>
            </w:r>
          </w:p>
        </w:tc>
        <w:tc>
          <w:tcPr>
            <w:tcW w:w="1279" w:type="dxa"/>
            <w:tcBorders>
              <w:tl2br w:val="nil"/>
              <w:tr2bl w:val="nil"/>
            </w:tcBorders>
            <w:vAlign w:val="center"/>
          </w:tcPr>
          <w:p w14:paraId="6612B616">
            <w:pPr>
              <w:adjustRightInd w:val="0"/>
              <w:snapToGrid w:val="0"/>
              <w:spacing w:line="320" w:lineRule="exact"/>
              <w:jc w:val="center"/>
              <w:rPr>
                <w:rFonts w:eastAsia="仿宋_GB2312"/>
                <w:color w:val="auto"/>
                <w:szCs w:val="21"/>
              </w:rPr>
            </w:pPr>
            <w:r>
              <w:rPr>
                <w:rFonts w:eastAsia="仿宋_GB2312"/>
                <w:color w:val="auto"/>
                <w:szCs w:val="21"/>
              </w:rPr>
              <w:t xml:space="preserve">1060 </w:t>
            </w:r>
          </w:p>
        </w:tc>
        <w:tc>
          <w:tcPr>
            <w:tcW w:w="1365" w:type="dxa"/>
            <w:tcBorders>
              <w:tl2br w:val="nil"/>
              <w:tr2bl w:val="nil"/>
            </w:tcBorders>
            <w:vAlign w:val="center"/>
          </w:tcPr>
          <w:p w14:paraId="76E04AA6">
            <w:pPr>
              <w:adjustRightInd w:val="0"/>
              <w:snapToGrid w:val="0"/>
              <w:spacing w:line="320" w:lineRule="exact"/>
              <w:jc w:val="center"/>
              <w:rPr>
                <w:rFonts w:eastAsia="仿宋_GB2312"/>
                <w:color w:val="auto"/>
                <w:szCs w:val="21"/>
              </w:rPr>
            </w:pPr>
            <w:r>
              <w:rPr>
                <w:rFonts w:eastAsia="仿宋_GB2312"/>
                <w:color w:val="auto"/>
                <w:szCs w:val="21"/>
              </w:rPr>
              <w:t>13791,1小时</w:t>
            </w:r>
          </w:p>
        </w:tc>
      </w:tr>
      <w:tr w14:paraId="587E188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464" w:type="dxa"/>
            <w:tcBorders>
              <w:tl2br w:val="nil"/>
              <w:tr2bl w:val="nil"/>
            </w:tcBorders>
            <w:vAlign w:val="center"/>
          </w:tcPr>
          <w:p w14:paraId="35F0B43D">
            <w:pPr>
              <w:adjustRightInd w:val="0"/>
              <w:snapToGrid w:val="0"/>
              <w:spacing w:line="320" w:lineRule="exact"/>
              <w:jc w:val="center"/>
              <w:rPr>
                <w:rFonts w:eastAsia="仿宋_GB2312"/>
                <w:color w:val="auto"/>
                <w:szCs w:val="21"/>
              </w:rPr>
            </w:pPr>
            <w:r>
              <w:rPr>
                <w:rFonts w:eastAsia="仿宋_GB2312"/>
                <w:color w:val="auto"/>
                <w:szCs w:val="21"/>
              </w:rPr>
              <w:t>乙腈</w:t>
            </w:r>
          </w:p>
        </w:tc>
        <w:tc>
          <w:tcPr>
            <w:tcW w:w="862" w:type="dxa"/>
            <w:tcBorders>
              <w:tl2br w:val="nil"/>
              <w:tr2bl w:val="nil"/>
            </w:tcBorders>
            <w:vAlign w:val="center"/>
          </w:tcPr>
          <w:p w14:paraId="6E3F5915">
            <w:pPr>
              <w:adjustRightInd w:val="0"/>
              <w:snapToGrid w:val="0"/>
              <w:spacing w:line="320" w:lineRule="exact"/>
              <w:jc w:val="center"/>
              <w:rPr>
                <w:rFonts w:eastAsia="仿宋_GB2312"/>
                <w:color w:val="auto"/>
                <w:szCs w:val="21"/>
              </w:rPr>
            </w:pPr>
            <w:r>
              <w:rPr>
                <w:rFonts w:eastAsia="仿宋_GB2312"/>
                <w:color w:val="auto"/>
                <w:szCs w:val="21"/>
              </w:rPr>
              <w:t>32159</w:t>
            </w:r>
          </w:p>
        </w:tc>
        <w:tc>
          <w:tcPr>
            <w:tcW w:w="803" w:type="dxa"/>
            <w:tcBorders>
              <w:tl2br w:val="nil"/>
              <w:tr2bl w:val="nil"/>
            </w:tcBorders>
            <w:vAlign w:val="center"/>
          </w:tcPr>
          <w:p w14:paraId="0F495B11">
            <w:pPr>
              <w:adjustRightInd w:val="0"/>
              <w:snapToGrid w:val="0"/>
              <w:spacing w:line="320" w:lineRule="exact"/>
              <w:jc w:val="center"/>
              <w:rPr>
                <w:rFonts w:eastAsia="仿宋_GB2312"/>
                <w:color w:val="auto"/>
                <w:szCs w:val="21"/>
              </w:rPr>
            </w:pPr>
            <w:r>
              <w:rPr>
                <w:rFonts w:eastAsia="仿宋_GB2312"/>
                <w:color w:val="auto"/>
                <w:szCs w:val="21"/>
              </w:rPr>
              <w:t>2</w:t>
            </w:r>
          </w:p>
        </w:tc>
        <w:tc>
          <w:tcPr>
            <w:tcW w:w="896" w:type="dxa"/>
            <w:tcBorders>
              <w:tl2br w:val="nil"/>
              <w:tr2bl w:val="nil"/>
            </w:tcBorders>
            <w:vAlign w:val="center"/>
          </w:tcPr>
          <w:p w14:paraId="0C3745F7">
            <w:pPr>
              <w:adjustRightInd w:val="0"/>
              <w:snapToGrid w:val="0"/>
              <w:spacing w:line="320" w:lineRule="exact"/>
              <w:jc w:val="center"/>
              <w:rPr>
                <w:rFonts w:eastAsia="仿宋_GB2312"/>
                <w:color w:val="auto"/>
                <w:szCs w:val="21"/>
              </w:rPr>
            </w:pPr>
            <w:r>
              <w:rPr>
                <w:rFonts w:eastAsia="仿宋_GB2312"/>
                <w:color w:val="auto"/>
                <w:szCs w:val="21"/>
              </w:rPr>
              <w:t>81.1</w:t>
            </w:r>
          </w:p>
        </w:tc>
        <w:tc>
          <w:tcPr>
            <w:tcW w:w="896" w:type="dxa"/>
            <w:tcBorders>
              <w:tl2br w:val="nil"/>
              <w:tr2bl w:val="nil"/>
            </w:tcBorders>
            <w:vAlign w:val="center"/>
          </w:tcPr>
          <w:p w14:paraId="3F83BD58">
            <w:pPr>
              <w:adjustRightInd w:val="0"/>
              <w:snapToGrid w:val="0"/>
              <w:spacing w:line="320" w:lineRule="exact"/>
              <w:jc w:val="center"/>
              <w:rPr>
                <w:rFonts w:eastAsia="仿宋_GB2312"/>
                <w:color w:val="auto"/>
                <w:szCs w:val="21"/>
              </w:rPr>
            </w:pPr>
            <w:r>
              <w:rPr>
                <w:rFonts w:eastAsia="仿宋_GB2312"/>
                <w:color w:val="auto"/>
                <w:szCs w:val="21"/>
              </w:rPr>
              <w:t>-45.7</w:t>
            </w:r>
          </w:p>
        </w:tc>
        <w:tc>
          <w:tcPr>
            <w:tcW w:w="1281" w:type="dxa"/>
            <w:tcBorders>
              <w:tl2br w:val="nil"/>
              <w:tr2bl w:val="nil"/>
            </w:tcBorders>
            <w:vAlign w:val="center"/>
          </w:tcPr>
          <w:p w14:paraId="3C039DAE">
            <w:pPr>
              <w:adjustRightInd w:val="0"/>
              <w:snapToGrid w:val="0"/>
              <w:spacing w:line="320" w:lineRule="exact"/>
              <w:jc w:val="center"/>
              <w:rPr>
                <w:rFonts w:eastAsia="仿宋_GB2312"/>
                <w:color w:val="auto"/>
                <w:szCs w:val="21"/>
              </w:rPr>
            </w:pPr>
            <w:r>
              <w:rPr>
                <w:rFonts w:eastAsia="仿宋_GB2312"/>
                <w:color w:val="auto"/>
                <w:szCs w:val="21"/>
              </w:rPr>
              <w:t xml:space="preserve">2730 </w:t>
            </w:r>
          </w:p>
        </w:tc>
        <w:tc>
          <w:tcPr>
            <w:tcW w:w="1279" w:type="dxa"/>
            <w:tcBorders>
              <w:tl2br w:val="nil"/>
              <w:tr2bl w:val="nil"/>
            </w:tcBorders>
            <w:vAlign w:val="center"/>
          </w:tcPr>
          <w:p w14:paraId="71C4E557">
            <w:pPr>
              <w:adjustRightInd w:val="0"/>
              <w:snapToGrid w:val="0"/>
              <w:spacing w:line="320" w:lineRule="exact"/>
              <w:jc w:val="center"/>
              <w:rPr>
                <w:rFonts w:eastAsia="仿宋_GB2312"/>
                <w:color w:val="auto"/>
                <w:szCs w:val="21"/>
              </w:rPr>
            </w:pPr>
            <w:r>
              <w:rPr>
                <w:rFonts w:eastAsia="仿宋_GB2312"/>
                <w:color w:val="auto"/>
                <w:szCs w:val="21"/>
              </w:rPr>
              <w:t xml:space="preserve">1250 </w:t>
            </w:r>
          </w:p>
        </w:tc>
        <w:tc>
          <w:tcPr>
            <w:tcW w:w="1365" w:type="dxa"/>
            <w:tcBorders>
              <w:tl2br w:val="nil"/>
              <w:tr2bl w:val="nil"/>
            </w:tcBorders>
            <w:vAlign w:val="center"/>
          </w:tcPr>
          <w:p w14:paraId="299F1F3C">
            <w:pPr>
              <w:adjustRightInd w:val="0"/>
              <w:snapToGrid w:val="0"/>
              <w:spacing w:line="320" w:lineRule="exact"/>
              <w:jc w:val="center"/>
              <w:rPr>
                <w:rFonts w:eastAsia="仿宋_GB2312"/>
                <w:color w:val="auto"/>
                <w:szCs w:val="21"/>
              </w:rPr>
            </w:pPr>
            <w:r>
              <w:rPr>
                <w:rFonts w:eastAsia="仿宋_GB2312"/>
                <w:color w:val="auto"/>
                <w:szCs w:val="21"/>
              </w:rPr>
              <w:t>12663,8小时</w:t>
            </w:r>
          </w:p>
        </w:tc>
      </w:tr>
      <w:tr w14:paraId="3CCD811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464" w:type="dxa"/>
            <w:tcBorders>
              <w:tl2br w:val="nil"/>
              <w:tr2bl w:val="nil"/>
            </w:tcBorders>
            <w:vAlign w:val="center"/>
          </w:tcPr>
          <w:p w14:paraId="78803481">
            <w:pPr>
              <w:adjustRightInd w:val="0"/>
              <w:snapToGrid w:val="0"/>
              <w:spacing w:line="320" w:lineRule="exact"/>
              <w:jc w:val="center"/>
              <w:rPr>
                <w:rFonts w:eastAsia="仿宋_GB2312"/>
                <w:color w:val="auto"/>
                <w:szCs w:val="21"/>
              </w:rPr>
            </w:pPr>
            <w:r>
              <w:rPr>
                <w:rFonts w:eastAsia="仿宋_GB2312"/>
                <w:color w:val="auto"/>
                <w:szCs w:val="21"/>
              </w:rPr>
              <w:t>硫酸</w:t>
            </w:r>
          </w:p>
        </w:tc>
        <w:tc>
          <w:tcPr>
            <w:tcW w:w="862" w:type="dxa"/>
            <w:tcBorders>
              <w:tl2br w:val="nil"/>
              <w:tr2bl w:val="nil"/>
            </w:tcBorders>
            <w:vAlign w:val="center"/>
          </w:tcPr>
          <w:p w14:paraId="696B38EA">
            <w:pPr>
              <w:adjustRightInd w:val="0"/>
              <w:snapToGrid w:val="0"/>
              <w:spacing w:line="320" w:lineRule="exact"/>
              <w:jc w:val="center"/>
              <w:rPr>
                <w:rFonts w:eastAsia="仿宋_GB2312"/>
                <w:color w:val="auto"/>
                <w:szCs w:val="21"/>
              </w:rPr>
            </w:pPr>
            <w:r>
              <w:rPr>
                <w:rFonts w:eastAsia="仿宋_GB2312"/>
                <w:color w:val="auto"/>
                <w:szCs w:val="21"/>
              </w:rPr>
              <w:t>81007</w:t>
            </w:r>
          </w:p>
        </w:tc>
        <w:tc>
          <w:tcPr>
            <w:tcW w:w="803" w:type="dxa"/>
            <w:tcBorders>
              <w:tl2br w:val="nil"/>
              <w:tr2bl w:val="nil"/>
            </w:tcBorders>
            <w:vAlign w:val="center"/>
          </w:tcPr>
          <w:p w14:paraId="5173532E">
            <w:pPr>
              <w:adjustRightInd w:val="0"/>
              <w:snapToGrid w:val="0"/>
              <w:spacing w:line="320" w:lineRule="exact"/>
              <w:jc w:val="center"/>
              <w:rPr>
                <w:rFonts w:eastAsia="仿宋_GB2312"/>
                <w:color w:val="auto"/>
                <w:szCs w:val="21"/>
              </w:rPr>
            </w:pPr>
            <w:r>
              <w:rPr>
                <w:rFonts w:eastAsia="仿宋_GB2312"/>
                <w:color w:val="auto"/>
                <w:szCs w:val="21"/>
              </w:rPr>
              <w:t>/</w:t>
            </w:r>
          </w:p>
        </w:tc>
        <w:tc>
          <w:tcPr>
            <w:tcW w:w="896" w:type="dxa"/>
            <w:tcBorders>
              <w:tl2br w:val="nil"/>
              <w:tr2bl w:val="nil"/>
            </w:tcBorders>
            <w:vAlign w:val="center"/>
          </w:tcPr>
          <w:p w14:paraId="504AF44F">
            <w:pPr>
              <w:adjustRightInd w:val="0"/>
              <w:snapToGrid w:val="0"/>
              <w:spacing w:line="320" w:lineRule="exact"/>
              <w:jc w:val="center"/>
              <w:rPr>
                <w:rFonts w:eastAsia="仿宋_GB2312"/>
                <w:color w:val="auto"/>
                <w:szCs w:val="21"/>
              </w:rPr>
            </w:pPr>
            <w:r>
              <w:rPr>
                <w:rFonts w:eastAsia="仿宋_GB2312"/>
                <w:color w:val="auto"/>
                <w:szCs w:val="21"/>
              </w:rPr>
              <w:t>330</w:t>
            </w:r>
          </w:p>
        </w:tc>
        <w:tc>
          <w:tcPr>
            <w:tcW w:w="896" w:type="dxa"/>
            <w:tcBorders>
              <w:tl2br w:val="nil"/>
              <w:tr2bl w:val="nil"/>
            </w:tcBorders>
            <w:vAlign w:val="center"/>
          </w:tcPr>
          <w:p w14:paraId="668B6A6A">
            <w:pPr>
              <w:adjustRightInd w:val="0"/>
              <w:snapToGrid w:val="0"/>
              <w:spacing w:line="320" w:lineRule="exact"/>
              <w:jc w:val="center"/>
              <w:rPr>
                <w:rFonts w:eastAsia="仿宋_GB2312"/>
                <w:color w:val="auto"/>
                <w:szCs w:val="21"/>
              </w:rPr>
            </w:pPr>
            <w:r>
              <w:rPr>
                <w:rFonts w:eastAsia="仿宋_GB2312"/>
                <w:color w:val="auto"/>
                <w:szCs w:val="21"/>
              </w:rPr>
              <w:t>10.5</w:t>
            </w:r>
          </w:p>
        </w:tc>
        <w:tc>
          <w:tcPr>
            <w:tcW w:w="1281" w:type="dxa"/>
            <w:tcBorders>
              <w:tl2br w:val="nil"/>
              <w:tr2bl w:val="nil"/>
            </w:tcBorders>
            <w:vAlign w:val="center"/>
          </w:tcPr>
          <w:p w14:paraId="0D7E5E0B">
            <w:pPr>
              <w:adjustRightInd w:val="0"/>
              <w:snapToGrid w:val="0"/>
              <w:spacing w:line="320" w:lineRule="exact"/>
              <w:jc w:val="center"/>
              <w:rPr>
                <w:rFonts w:eastAsia="仿宋_GB2312"/>
                <w:color w:val="auto"/>
                <w:szCs w:val="21"/>
              </w:rPr>
            </w:pPr>
            <w:r>
              <w:rPr>
                <w:rFonts w:eastAsia="仿宋_GB2312"/>
                <w:color w:val="auto"/>
                <w:szCs w:val="21"/>
              </w:rPr>
              <w:t xml:space="preserve">80 </w:t>
            </w:r>
          </w:p>
        </w:tc>
        <w:tc>
          <w:tcPr>
            <w:tcW w:w="1279" w:type="dxa"/>
            <w:tcBorders>
              <w:tl2br w:val="nil"/>
              <w:tr2bl w:val="nil"/>
            </w:tcBorders>
            <w:vAlign w:val="center"/>
          </w:tcPr>
          <w:p w14:paraId="43EA974D">
            <w:pPr>
              <w:adjustRightInd w:val="0"/>
              <w:snapToGrid w:val="0"/>
              <w:spacing w:line="320" w:lineRule="exact"/>
              <w:jc w:val="center"/>
              <w:rPr>
                <w:rFonts w:eastAsia="仿宋_GB2312"/>
                <w:color w:val="auto"/>
                <w:szCs w:val="21"/>
              </w:rPr>
            </w:pPr>
            <w:r>
              <w:rPr>
                <w:rFonts w:eastAsia="仿宋_GB2312"/>
                <w:color w:val="auto"/>
                <w:szCs w:val="21"/>
              </w:rPr>
              <w:t>/</w:t>
            </w:r>
          </w:p>
        </w:tc>
        <w:tc>
          <w:tcPr>
            <w:tcW w:w="1365" w:type="dxa"/>
            <w:tcBorders>
              <w:tl2br w:val="nil"/>
              <w:tr2bl w:val="nil"/>
            </w:tcBorders>
            <w:vAlign w:val="center"/>
          </w:tcPr>
          <w:p w14:paraId="19BB2D82">
            <w:pPr>
              <w:adjustRightInd w:val="0"/>
              <w:snapToGrid w:val="0"/>
              <w:spacing w:line="320" w:lineRule="exact"/>
              <w:jc w:val="center"/>
              <w:rPr>
                <w:rFonts w:eastAsia="仿宋_GB2312"/>
                <w:color w:val="auto"/>
                <w:szCs w:val="21"/>
              </w:rPr>
            </w:pPr>
            <w:r>
              <w:rPr>
                <w:rFonts w:eastAsia="仿宋_GB2312"/>
                <w:color w:val="auto"/>
                <w:szCs w:val="21"/>
              </w:rPr>
              <w:t>510,2小时</w:t>
            </w:r>
          </w:p>
        </w:tc>
      </w:tr>
      <w:tr w14:paraId="433A2DB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464" w:type="dxa"/>
            <w:tcBorders>
              <w:tl2br w:val="nil"/>
              <w:tr2bl w:val="nil"/>
            </w:tcBorders>
            <w:vAlign w:val="center"/>
          </w:tcPr>
          <w:p w14:paraId="32DEE172">
            <w:pPr>
              <w:adjustRightInd w:val="0"/>
              <w:snapToGrid w:val="0"/>
              <w:spacing w:line="320" w:lineRule="exact"/>
              <w:jc w:val="center"/>
              <w:rPr>
                <w:rFonts w:eastAsia="仿宋_GB2312"/>
                <w:color w:val="auto"/>
                <w:szCs w:val="21"/>
              </w:rPr>
            </w:pPr>
            <w:r>
              <w:rPr>
                <w:rFonts w:eastAsia="仿宋_GB2312"/>
                <w:color w:val="auto"/>
                <w:szCs w:val="21"/>
              </w:rPr>
              <w:t>氢氧化钠</w:t>
            </w:r>
          </w:p>
        </w:tc>
        <w:tc>
          <w:tcPr>
            <w:tcW w:w="862" w:type="dxa"/>
            <w:tcBorders>
              <w:tl2br w:val="nil"/>
              <w:tr2bl w:val="nil"/>
            </w:tcBorders>
            <w:vAlign w:val="center"/>
          </w:tcPr>
          <w:p w14:paraId="2B7B96D3">
            <w:pPr>
              <w:adjustRightInd w:val="0"/>
              <w:snapToGrid w:val="0"/>
              <w:spacing w:line="320" w:lineRule="exact"/>
              <w:jc w:val="center"/>
              <w:rPr>
                <w:rFonts w:eastAsia="仿宋_GB2312"/>
                <w:color w:val="auto"/>
                <w:szCs w:val="21"/>
              </w:rPr>
            </w:pPr>
            <w:r>
              <w:rPr>
                <w:rFonts w:eastAsia="仿宋_GB2312"/>
                <w:color w:val="auto"/>
                <w:szCs w:val="21"/>
              </w:rPr>
              <w:t>82001</w:t>
            </w:r>
          </w:p>
        </w:tc>
        <w:tc>
          <w:tcPr>
            <w:tcW w:w="803" w:type="dxa"/>
            <w:tcBorders>
              <w:tl2br w:val="nil"/>
              <w:tr2bl w:val="nil"/>
            </w:tcBorders>
            <w:vAlign w:val="center"/>
          </w:tcPr>
          <w:p w14:paraId="3F55F046">
            <w:pPr>
              <w:adjustRightInd w:val="0"/>
              <w:snapToGrid w:val="0"/>
              <w:spacing w:line="320" w:lineRule="exact"/>
              <w:jc w:val="center"/>
              <w:rPr>
                <w:rFonts w:eastAsia="仿宋_GB2312"/>
                <w:color w:val="auto"/>
                <w:szCs w:val="21"/>
              </w:rPr>
            </w:pPr>
            <w:r>
              <w:rPr>
                <w:rFonts w:eastAsia="仿宋_GB2312"/>
                <w:color w:val="auto"/>
                <w:szCs w:val="21"/>
              </w:rPr>
              <w:t>318.4</w:t>
            </w:r>
          </w:p>
        </w:tc>
        <w:tc>
          <w:tcPr>
            <w:tcW w:w="896" w:type="dxa"/>
            <w:tcBorders>
              <w:tl2br w:val="nil"/>
              <w:tr2bl w:val="nil"/>
            </w:tcBorders>
            <w:vAlign w:val="center"/>
          </w:tcPr>
          <w:p w14:paraId="5EEF7C2E">
            <w:pPr>
              <w:adjustRightInd w:val="0"/>
              <w:snapToGrid w:val="0"/>
              <w:spacing w:line="320" w:lineRule="exact"/>
              <w:jc w:val="center"/>
              <w:rPr>
                <w:rFonts w:eastAsia="仿宋_GB2312"/>
                <w:color w:val="auto"/>
                <w:szCs w:val="21"/>
              </w:rPr>
            </w:pPr>
            <w:r>
              <w:rPr>
                <w:rFonts w:eastAsia="仿宋_GB2312"/>
                <w:color w:val="auto"/>
                <w:szCs w:val="21"/>
              </w:rPr>
              <w:t>1390</w:t>
            </w:r>
          </w:p>
        </w:tc>
        <w:tc>
          <w:tcPr>
            <w:tcW w:w="896" w:type="dxa"/>
            <w:tcBorders>
              <w:tl2br w:val="nil"/>
              <w:tr2bl w:val="nil"/>
            </w:tcBorders>
            <w:vAlign w:val="center"/>
          </w:tcPr>
          <w:p w14:paraId="247BC6E1">
            <w:pPr>
              <w:adjustRightInd w:val="0"/>
              <w:snapToGrid w:val="0"/>
              <w:spacing w:line="320" w:lineRule="exact"/>
              <w:jc w:val="center"/>
              <w:rPr>
                <w:rFonts w:eastAsia="仿宋_GB2312"/>
                <w:color w:val="auto"/>
                <w:szCs w:val="21"/>
              </w:rPr>
            </w:pPr>
            <w:r>
              <w:rPr>
                <w:rFonts w:eastAsia="仿宋_GB2312"/>
                <w:color w:val="auto"/>
                <w:szCs w:val="21"/>
              </w:rPr>
              <w:t>/</w:t>
            </w:r>
          </w:p>
        </w:tc>
        <w:tc>
          <w:tcPr>
            <w:tcW w:w="1281" w:type="dxa"/>
            <w:tcBorders>
              <w:tl2br w:val="nil"/>
              <w:tr2bl w:val="nil"/>
            </w:tcBorders>
            <w:vAlign w:val="center"/>
          </w:tcPr>
          <w:p w14:paraId="3B897B3B">
            <w:pPr>
              <w:adjustRightInd w:val="0"/>
              <w:snapToGrid w:val="0"/>
              <w:spacing w:line="320" w:lineRule="exact"/>
              <w:jc w:val="center"/>
              <w:rPr>
                <w:rFonts w:eastAsia="仿宋_GB2312"/>
                <w:color w:val="auto"/>
                <w:szCs w:val="21"/>
              </w:rPr>
            </w:pPr>
            <w:r>
              <w:rPr>
                <w:rFonts w:eastAsia="仿宋_GB2312"/>
                <w:color w:val="auto"/>
                <w:szCs w:val="21"/>
              </w:rPr>
              <w:t>/</w:t>
            </w:r>
          </w:p>
        </w:tc>
        <w:tc>
          <w:tcPr>
            <w:tcW w:w="1279" w:type="dxa"/>
            <w:tcBorders>
              <w:tl2br w:val="nil"/>
              <w:tr2bl w:val="nil"/>
            </w:tcBorders>
            <w:vAlign w:val="center"/>
          </w:tcPr>
          <w:p w14:paraId="244969F1">
            <w:pPr>
              <w:adjustRightInd w:val="0"/>
              <w:snapToGrid w:val="0"/>
              <w:spacing w:line="320" w:lineRule="exact"/>
              <w:jc w:val="center"/>
              <w:rPr>
                <w:rFonts w:eastAsia="仿宋_GB2312"/>
                <w:color w:val="auto"/>
                <w:szCs w:val="21"/>
              </w:rPr>
            </w:pPr>
            <w:r>
              <w:rPr>
                <w:rFonts w:eastAsia="仿宋_GB2312"/>
                <w:color w:val="auto"/>
                <w:szCs w:val="21"/>
              </w:rPr>
              <w:t>/</w:t>
            </w:r>
          </w:p>
        </w:tc>
        <w:tc>
          <w:tcPr>
            <w:tcW w:w="1365" w:type="dxa"/>
            <w:tcBorders>
              <w:tl2br w:val="nil"/>
              <w:tr2bl w:val="nil"/>
            </w:tcBorders>
            <w:vAlign w:val="center"/>
          </w:tcPr>
          <w:p w14:paraId="2F71FE6B">
            <w:pPr>
              <w:adjustRightInd w:val="0"/>
              <w:snapToGrid w:val="0"/>
              <w:spacing w:line="320" w:lineRule="exact"/>
              <w:jc w:val="center"/>
              <w:rPr>
                <w:rFonts w:eastAsia="仿宋_GB2312"/>
                <w:color w:val="auto"/>
                <w:szCs w:val="21"/>
              </w:rPr>
            </w:pPr>
            <w:r>
              <w:rPr>
                <w:rFonts w:eastAsia="仿宋_GB2312"/>
                <w:color w:val="auto"/>
                <w:szCs w:val="21"/>
              </w:rPr>
              <w:t>/</w:t>
            </w:r>
          </w:p>
        </w:tc>
      </w:tr>
      <w:tr w14:paraId="3A88C98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464" w:type="dxa"/>
            <w:tcBorders>
              <w:tl2br w:val="nil"/>
              <w:tr2bl w:val="nil"/>
            </w:tcBorders>
            <w:vAlign w:val="center"/>
          </w:tcPr>
          <w:p w14:paraId="29F93720">
            <w:pPr>
              <w:adjustRightInd w:val="0"/>
              <w:snapToGrid w:val="0"/>
              <w:spacing w:line="320" w:lineRule="exact"/>
              <w:jc w:val="center"/>
              <w:rPr>
                <w:rFonts w:eastAsia="仿宋_GB2312"/>
                <w:color w:val="auto"/>
                <w:szCs w:val="21"/>
              </w:rPr>
            </w:pPr>
            <w:r>
              <w:rPr>
                <w:rFonts w:eastAsia="仿宋_GB2312"/>
                <w:color w:val="auto"/>
                <w:szCs w:val="21"/>
              </w:rPr>
              <w:t>聚乙二醇</w:t>
            </w:r>
          </w:p>
        </w:tc>
        <w:tc>
          <w:tcPr>
            <w:tcW w:w="862" w:type="dxa"/>
            <w:tcBorders>
              <w:tl2br w:val="nil"/>
              <w:tr2bl w:val="nil"/>
            </w:tcBorders>
            <w:vAlign w:val="center"/>
          </w:tcPr>
          <w:p w14:paraId="58C49872">
            <w:pPr>
              <w:adjustRightInd w:val="0"/>
              <w:snapToGrid w:val="0"/>
              <w:spacing w:line="320" w:lineRule="exact"/>
              <w:jc w:val="center"/>
              <w:rPr>
                <w:rFonts w:eastAsia="仿宋_GB2312"/>
                <w:color w:val="auto"/>
                <w:szCs w:val="21"/>
              </w:rPr>
            </w:pPr>
            <w:r>
              <w:rPr>
                <w:rFonts w:eastAsia="仿宋_GB2312"/>
                <w:color w:val="auto"/>
                <w:szCs w:val="21"/>
              </w:rPr>
              <w:t>/</w:t>
            </w:r>
          </w:p>
        </w:tc>
        <w:tc>
          <w:tcPr>
            <w:tcW w:w="803" w:type="dxa"/>
            <w:tcBorders>
              <w:tl2br w:val="nil"/>
              <w:tr2bl w:val="nil"/>
            </w:tcBorders>
            <w:vAlign w:val="center"/>
          </w:tcPr>
          <w:p w14:paraId="091934BE">
            <w:pPr>
              <w:adjustRightInd w:val="0"/>
              <w:snapToGrid w:val="0"/>
              <w:spacing w:line="320" w:lineRule="exact"/>
              <w:jc w:val="center"/>
              <w:rPr>
                <w:rFonts w:eastAsia="仿宋_GB2312"/>
                <w:color w:val="auto"/>
                <w:szCs w:val="21"/>
              </w:rPr>
            </w:pPr>
            <w:r>
              <w:rPr>
                <w:rFonts w:eastAsia="仿宋_GB2312"/>
                <w:color w:val="auto"/>
                <w:szCs w:val="21"/>
              </w:rPr>
              <w:t>270</w:t>
            </w:r>
          </w:p>
        </w:tc>
        <w:tc>
          <w:tcPr>
            <w:tcW w:w="896" w:type="dxa"/>
            <w:tcBorders>
              <w:tl2br w:val="nil"/>
              <w:tr2bl w:val="nil"/>
            </w:tcBorders>
            <w:vAlign w:val="center"/>
          </w:tcPr>
          <w:p w14:paraId="27092302">
            <w:pPr>
              <w:adjustRightInd w:val="0"/>
              <w:snapToGrid w:val="0"/>
              <w:spacing w:line="320" w:lineRule="exact"/>
              <w:jc w:val="center"/>
              <w:rPr>
                <w:rFonts w:eastAsia="仿宋_GB2312"/>
                <w:color w:val="auto"/>
                <w:szCs w:val="21"/>
              </w:rPr>
            </w:pPr>
            <w:r>
              <w:rPr>
                <w:rFonts w:eastAsia="仿宋_GB2312"/>
                <w:color w:val="auto"/>
                <w:szCs w:val="21"/>
              </w:rPr>
              <w:t>&gt;250</w:t>
            </w:r>
          </w:p>
        </w:tc>
        <w:tc>
          <w:tcPr>
            <w:tcW w:w="896" w:type="dxa"/>
            <w:tcBorders>
              <w:tl2br w:val="nil"/>
              <w:tr2bl w:val="nil"/>
            </w:tcBorders>
            <w:vAlign w:val="center"/>
          </w:tcPr>
          <w:p w14:paraId="2490D03B">
            <w:pPr>
              <w:adjustRightInd w:val="0"/>
              <w:snapToGrid w:val="0"/>
              <w:spacing w:line="320" w:lineRule="exact"/>
              <w:jc w:val="center"/>
              <w:rPr>
                <w:rFonts w:eastAsia="仿宋_GB2312"/>
                <w:color w:val="auto"/>
                <w:szCs w:val="21"/>
              </w:rPr>
            </w:pPr>
            <w:r>
              <w:rPr>
                <w:rFonts w:eastAsia="仿宋_GB2312"/>
                <w:color w:val="auto"/>
                <w:szCs w:val="21"/>
              </w:rPr>
              <w:t>64-66</w:t>
            </w:r>
          </w:p>
        </w:tc>
        <w:tc>
          <w:tcPr>
            <w:tcW w:w="1281" w:type="dxa"/>
            <w:tcBorders>
              <w:tl2br w:val="nil"/>
              <w:tr2bl w:val="nil"/>
            </w:tcBorders>
            <w:vAlign w:val="center"/>
          </w:tcPr>
          <w:p w14:paraId="62912C5E">
            <w:pPr>
              <w:adjustRightInd w:val="0"/>
              <w:snapToGrid w:val="0"/>
              <w:spacing w:line="320" w:lineRule="exact"/>
              <w:jc w:val="center"/>
              <w:rPr>
                <w:rFonts w:eastAsia="仿宋_GB2312"/>
                <w:color w:val="auto"/>
                <w:szCs w:val="21"/>
              </w:rPr>
            </w:pPr>
            <w:r>
              <w:rPr>
                <w:rFonts w:eastAsia="仿宋_GB2312"/>
                <w:color w:val="auto"/>
                <w:szCs w:val="21"/>
              </w:rPr>
              <w:t>28000</w:t>
            </w:r>
          </w:p>
        </w:tc>
        <w:tc>
          <w:tcPr>
            <w:tcW w:w="1279" w:type="dxa"/>
            <w:tcBorders>
              <w:tl2br w:val="nil"/>
              <w:tr2bl w:val="nil"/>
            </w:tcBorders>
            <w:vAlign w:val="center"/>
          </w:tcPr>
          <w:p w14:paraId="765FF02E">
            <w:pPr>
              <w:adjustRightInd w:val="0"/>
              <w:snapToGrid w:val="0"/>
              <w:spacing w:line="320" w:lineRule="exact"/>
              <w:jc w:val="center"/>
              <w:rPr>
                <w:rFonts w:eastAsia="仿宋_GB2312"/>
                <w:color w:val="auto"/>
                <w:szCs w:val="21"/>
              </w:rPr>
            </w:pPr>
            <w:r>
              <w:rPr>
                <w:rFonts w:eastAsia="仿宋_GB2312"/>
                <w:color w:val="auto"/>
                <w:szCs w:val="21"/>
              </w:rPr>
              <w:t>/</w:t>
            </w:r>
          </w:p>
        </w:tc>
        <w:tc>
          <w:tcPr>
            <w:tcW w:w="1365" w:type="dxa"/>
            <w:tcBorders>
              <w:tl2br w:val="nil"/>
              <w:tr2bl w:val="nil"/>
            </w:tcBorders>
            <w:vAlign w:val="center"/>
          </w:tcPr>
          <w:p w14:paraId="598E1357">
            <w:pPr>
              <w:adjustRightInd w:val="0"/>
              <w:snapToGrid w:val="0"/>
              <w:spacing w:line="320" w:lineRule="exact"/>
              <w:jc w:val="center"/>
              <w:rPr>
                <w:rFonts w:eastAsia="仿宋_GB2312"/>
                <w:color w:val="auto"/>
                <w:szCs w:val="21"/>
              </w:rPr>
            </w:pPr>
            <w:r>
              <w:rPr>
                <w:rFonts w:eastAsia="仿宋_GB2312"/>
                <w:color w:val="auto"/>
                <w:szCs w:val="21"/>
              </w:rPr>
              <w:t>/</w:t>
            </w:r>
          </w:p>
        </w:tc>
      </w:tr>
      <w:tr w14:paraId="373548A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464" w:type="dxa"/>
            <w:tcBorders>
              <w:tl2br w:val="nil"/>
              <w:tr2bl w:val="nil"/>
            </w:tcBorders>
            <w:vAlign w:val="center"/>
          </w:tcPr>
          <w:p w14:paraId="2CA8CAA4">
            <w:pPr>
              <w:adjustRightInd w:val="0"/>
              <w:snapToGrid w:val="0"/>
              <w:spacing w:line="320" w:lineRule="exact"/>
              <w:jc w:val="center"/>
              <w:rPr>
                <w:rFonts w:eastAsia="仿宋_GB2312"/>
                <w:color w:val="auto"/>
                <w:szCs w:val="21"/>
              </w:rPr>
            </w:pPr>
            <w:r>
              <w:rPr>
                <w:rFonts w:eastAsia="仿宋_GB2312"/>
                <w:color w:val="auto"/>
                <w:szCs w:val="21"/>
              </w:rPr>
              <w:t>丙二醇</w:t>
            </w:r>
          </w:p>
        </w:tc>
        <w:tc>
          <w:tcPr>
            <w:tcW w:w="862" w:type="dxa"/>
            <w:tcBorders>
              <w:tl2br w:val="nil"/>
              <w:tr2bl w:val="nil"/>
            </w:tcBorders>
            <w:vAlign w:val="center"/>
          </w:tcPr>
          <w:p w14:paraId="6272B3B1">
            <w:pPr>
              <w:adjustRightInd w:val="0"/>
              <w:snapToGrid w:val="0"/>
              <w:spacing w:line="320" w:lineRule="exact"/>
              <w:jc w:val="center"/>
              <w:rPr>
                <w:rFonts w:eastAsia="仿宋_GB2312"/>
                <w:color w:val="auto"/>
                <w:szCs w:val="21"/>
              </w:rPr>
            </w:pPr>
            <w:r>
              <w:rPr>
                <w:rFonts w:eastAsia="仿宋_GB2312"/>
                <w:color w:val="auto"/>
                <w:szCs w:val="21"/>
              </w:rPr>
              <w:t>/</w:t>
            </w:r>
          </w:p>
        </w:tc>
        <w:tc>
          <w:tcPr>
            <w:tcW w:w="803" w:type="dxa"/>
            <w:tcBorders>
              <w:tl2br w:val="nil"/>
              <w:tr2bl w:val="nil"/>
            </w:tcBorders>
            <w:vAlign w:val="center"/>
          </w:tcPr>
          <w:p w14:paraId="65647D64">
            <w:pPr>
              <w:adjustRightInd w:val="0"/>
              <w:snapToGrid w:val="0"/>
              <w:spacing w:line="320" w:lineRule="exact"/>
              <w:jc w:val="center"/>
              <w:rPr>
                <w:rFonts w:eastAsia="仿宋_GB2312"/>
                <w:color w:val="auto"/>
                <w:szCs w:val="21"/>
              </w:rPr>
            </w:pPr>
            <w:r>
              <w:rPr>
                <w:rFonts w:eastAsia="仿宋_GB2312"/>
                <w:color w:val="auto"/>
                <w:szCs w:val="21"/>
              </w:rPr>
              <w:t>98.9</w:t>
            </w:r>
          </w:p>
        </w:tc>
        <w:tc>
          <w:tcPr>
            <w:tcW w:w="896" w:type="dxa"/>
            <w:tcBorders>
              <w:tl2br w:val="nil"/>
              <w:tr2bl w:val="nil"/>
            </w:tcBorders>
            <w:vAlign w:val="center"/>
          </w:tcPr>
          <w:p w14:paraId="5B2B5B57">
            <w:pPr>
              <w:adjustRightInd w:val="0"/>
              <w:snapToGrid w:val="0"/>
              <w:spacing w:line="320" w:lineRule="exact"/>
              <w:jc w:val="center"/>
              <w:rPr>
                <w:rFonts w:eastAsia="仿宋_GB2312"/>
                <w:color w:val="auto"/>
                <w:szCs w:val="21"/>
              </w:rPr>
            </w:pPr>
            <w:r>
              <w:rPr>
                <w:rFonts w:eastAsia="仿宋_GB2312"/>
                <w:color w:val="auto"/>
                <w:szCs w:val="21"/>
              </w:rPr>
              <w:t>187.3</w:t>
            </w:r>
          </w:p>
        </w:tc>
        <w:tc>
          <w:tcPr>
            <w:tcW w:w="896" w:type="dxa"/>
            <w:tcBorders>
              <w:tl2br w:val="nil"/>
              <w:tr2bl w:val="nil"/>
            </w:tcBorders>
            <w:vAlign w:val="center"/>
          </w:tcPr>
          <w:p w14:paraId="295BF5AB">
            <w:pPr>
              <w:adjustRightInd w:val="0"/>
              <w:snapToGrid w:val="0"/>
              <w:spacing w:line="320" w:lineRule="exact"/>
              <w:jc w:val="center"/>
              <w:rPr>
                <w:rFonts w:eastAsia="仿宋_GB2312"/>
                <w:color w:val="auto"/>
                <w:szCs w:val="21"/>
              </w:rPr>
            </w:pPr>
            <w:r>
              <w:rPr>
                <w:rFonts w:eastAsia="仿宋_GB2312"/>
                <w:color w:val="auto"/>
                <w:szCs w:val="21"/>
              </w:rPr>
              <w:t>-60</w:t>
            </w:r>
          </w:p>
        </w:tc>
        <w:tc>
          <w:tcPr>
            <w:tcW w:w="1281" w:type="dxa"/>
            <w:tcBorders>
              <w:tl2br w:val="nil"/>
              <w:tr2bl w:val="nil"/>
            </w:tcBorders>
            <w:vAlign w:val="center"/>
          </w:tcPr>
          <w:p w14:paraId="47EC6B86">
            <w:pPr>
              <w:adjustRightInd w:val="0"/>
              <w:snapToGrid w:val="0"/>
              <w:spacing w:line="320" w:lineRule="exact"/>
              <w:jc w:val="center"/>
              <w:rPr>
                <w:rFonts w:eastAsia="仿宋_GB2312"/>
                <w:color w:val="auto"/>
                <w:szCs w:val="21"/>
              </w:rPr>
            </w:pPr>
            <w:r>
              <w:rPr>
                <w:rFonts w:eastAsia="仿宋_GB2312"/>
                <w:color w:val="auto"/>
                <w:szCs w:val="21"/>
              </w:rPr>
              <w:t xml:space="preserve">20000 </w:t>
            </w:r>
          </w:p>
        </w:tc>
        <w:tc>
          <w:tcPr>
            <w:tcW w:w="1279" w:type="dxa"/>
            <w:tcBorders>
              <w:tl2br w:val="nil"/>
              <w:tr2bl w:val="nil"/>
            </w:tcBorders>
            <w:vAlign w:val="center"/>
          </w:tcPr>
          <w:p w14:paraId="53E5DBAE">
            <w:pPr>
              <w:adjustRightInd w:val="0"/>
              <w:snapToGrid w:val="0"/>
              <w:spacing w:line="320" w:lineRule="exact"/>
              <w:jc w:val="center"/>
              <w:rPr>
                <w:rFonts w:eastAsia="仿宋_GB2312"/>
                <w:color w:val="auto"/>
                <w:szCs w:val="21"/>
              </w:rPr>
            </w:pPr>
            <w:r>
              <w:rPr>
                <w:rFonts w:eastAsia="仿宋_GB2312"/>
                <w:color w:val="auto"/>
                <w:szCs w:val="21"/>
              </w:rPr>
              <w:t>/</w:t>
            </w:r>
          </w:p>
        </w:tc>
        <w:tc>
          <w:tcPr>
            <w:tcW w:w="1365" w:type="dxa"/>
            <w:tcBorders>
              <w:tl2br w:val="nil"/>
              <w:tr2bl w:val="nil"/>
            </w:tcBorders>
            <w:vAlign w:val="center"/>
          </w:tcPr>
          <w:p w14:paraId="3429808C">
            <w:pPr>
              <w:adjustRightInd w:val="0"/>
              <w:snapToGrid w:val="0"/>
              <w:spacing w:line="320" w:lineRule="exact"/>
              <w:jc w:val="center"/>
              <w:rPr>
                <w:rFonts w:eastAsia="仿宋_GB2312"/>
                <w:color w:val="auto"/>
                <w:szCs w:val="21"/>
              </w:rPr>
            </w:pPr>
            <w:r>
              <w:rPr>
                <w:rFonts w:eastAsia="仿宋_GB2312"/>
                <w:color w:val="auto"/>
                <w:szCs w:val="21"/>
              </w:rPr>
              <w:t>/</w:t>
            </w:r>
          </w:p>
        </w:tc>
      </w:tr>
      <w:tr w14:paraId="45285F8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464" w:type="dxa"/>
            <w:tcBorders>
              <w:tl2br w:val="nil"/>
              <w:tr2bl w:val="nil"/>
            </w:tcBorders>
            <w:vAlign w:val="center"/>
          </w:tcPr>
          <w:p w14:paraId="12305D86">
            <w:pPr>
              <w:adjustRightInd w:val="0"/>
              <w:snapToGrid w:val="0"/>
              <w:spacing w:line="320" w:lineRule="exact"/>
              <w:jc w:val="center"/>
              <w:rPr>
                <w:rFonts w:eastAsia="仿宋_GB2312"/>
                <w:color w:val="auto"/>
                <w:szCs w:val="21"/>
              </w:rPr>
            </w:pPr>
            <w:r>
              <w:rPr>
                <w:rFonts w:eastAsia="仿宋_GB2312"/>
                <w:color w:val="auto"/>
                <w:szCs w:val="21"/>
              </w:rPr>
              <w:t>乙二醇</w:t>
            </w:r>
          </w:p>
        </w:tc>
        <w:tc>
          <w:tcPr>
            <w:tcW w:w="862" w:type="dxa"/>
            <w:tcBorders>
              <w:tl2br w:val="nil"/>
              <w:tr2bl w:val="nil"/>
            </w:tcBorders>
            <w:vAlign w:val="center"/>
          </w:tcPr>
          <w:p w14:paraId="64809C05">
            <w:pPr>
              <w:adjustRightInd w:val="0"/>
              <w:snapToGrid w:val="0"/>
              <w:spacing w:line="320" w:lineRule="exact"/>
              <w:jc w:val="center"/>
              <w:rPr>
                <w:rFonts w:eastAsia="仿宋_GB2312"/>
                <w:color w:val="auto"/>
                <w:szCs w:val="21"/>
              </w:rPr>
            </w:pPr>
            <w:r>
              <w:rPr>
                <w:rFonts w:eastAsia="仿宋_GB2312"/>
                <w:color w:val="auto"/>
                <w:szCs w:val="21"/>
              </w:rPr>
              <w:t>/</w:t>
            </w:r>
          </w:p>
        </w:tc>
        <w:tc>
          <w:tcPr>
            <w:tcW w:w="803" w:type="dxa"/>
            <w:tcBorders>
              <w:tl2br w:val="nil"/>
              <w:tr2bl w:val="nil"/>
            </w:tcBorders>
            <w:vAlign w:val="center"/>
          </w:tcPr>
          <w:p w14:paraId="34EE4A74">
            <w:pPr>
              <w:adjustRightInd w:val="0"/>
              <w:snapToGrid w:val="0"/>
              <w:spacing w:line="320" w:lineRule="exact"/>
              <w:jc w:val="center"/>
              <w:rPr>
                <w:rFonts w:eastAsia="仿宋_GB2312"/>
                <w:color w:val="auto"/>
                <w:szCs w:val="21"/>
              </w:rPr>
            </w:pPr>
            <w:r>
              <w:rPr>
                <w:rFonts w:eastAsia="仿宋_GB2312"/>
                <w:color w:val="auto"/>
                <w:szCs w:val="21"/>
              </w:rPr>
              <w:t>110</w:t>
            </w:r>
          </w:p>
        </w:tc>
        <w:tc>
          <w:tcPr>
            <w:tcW w:w="896" w:type="dxa"/>
            <w:tcBorders>
              <w:tl2br w:val="nil"/>
              <w:tr2bl w:val="nil"/>
            </w:tcBorders>
            <w:vAlign w:val="center"/>
          </w:tcPr>
          <w:p w14:paraId="34AB076D">
            <w:pPr>
              <w:adjustRightInd w:val="0"/>
              <w:snapToGrid w:val="0"/>
              <w:spacing w:line="320" w:lineRule="exact"/>
              <w:jc w:val="center"/>
              <w:rPr>
                <w:rFonts w:eastAsia="仿宋_GB2312"/>
                <w:color w:val="auto"/>
                <w:szCs w:val="21"/>
              </w:rPr>
            </w:pPr>
            <w:r>
              <w:rPr>
                <w:rFonts w:eastAsia="仿宋_GB2312"/>
                <w:color w:val="auto"/>
                <w:szCs w:val="21"/>
              </w:rPr>
              <w:t>197.5</w:t>
            </w:r>
          </w:p>
        </w:tc>
        <w:tc>
          <w:tcPr>
            <w:tcW w:w="896" w:type="dxa"/>
            <w:tcBorders>
              <w:tl2br w:val="nil"/>
              <w:tr2bl w:val="nil"/>
            </w:tcBorders>
            <w:vAlign w:val="center"/>
          </w:tcPr>
          <w:p w14:paraId="2048BEC9">
            <w:pPr>
              <w:adjustRightInd w:val="0"/>
              <w:snapToGrid w:val="0"/>
              <w:spacing w:line="320" w:lineRule="exact"/>
              <w:jc w:val="center"/>
              <w:rPr>
                <w:rFonts w:eastAsia="仿宋_GB2312"/>
                <w:color w:val="auto"/>
                <w:szCs w:val="21"/>
              </w:rPr>
            </w:pPr>
            <w:r>
              <w:rPr>
                <w:rFonts w:eastAsia="仿宋_GB2312"/>
                <w:color w:val="auto"/>
                <w:szCs w:val="21"/>
              </w:rPr>
              <w:t>-13.2</w:t>
            </w:r>
          </w:p>
        </w:tc>
        <w:tc>
          <w:tcPr>
            <w:tcW w:w="1281" w:type="dxa"/>
            <w:tcBorders>
              <w:tl2br w:val="nil"/>
              <w:tr2bl w:val="nil"/>
            </w:tcBorders>
            <w:vAlign w:val="center"/>
          </w:tcPr>
          <w:p w14:paraId="21CBE4DC">
            <w:pPr>
              <w:adjustRightInd w:val="0"/>
              <w:snapToGrid w:val="0"/>
              <w:spacing w:line="320" w:lineRule="exact"/>
              <w:jc w:val="center"/>
              <w:rPr>
                <w:rFonts w:eastAsia="仿宋_GB2312"/>
                <w:color w:val="auto"/>
                <w:szCs w:val="21"/>
              </w:rPr>
            </w:pPr>
            <w:r>
              <w:rPr>
                <w:rFonts w:eastAsia="仿宋_GB2312"/>
                <w:color w:val="auto"/>
                <w:szCs w:val="21"/>
              </w:rPr>
              <w:t xml:space="preserve">8000 </w:t>
            </w:r>
          </w:p>
        </w:tc>
        <w:tc>
          <w:tcPr>
            <w:tcW w:w="1279" w:type="dxa"/>
            <w:tcBorders>
              <w:tl2br w:val="nil"/>
              <w:tr2bl w:val="nil"/>
            </w:tcBorders>
            <w:vAlign w:val="center"/>
          </w:tcPr>
          <w:p w14:paraId="26179C79">
            <w:pPr>
              <w:adjustRightInd w:val="0"/>
              <w:snapToGrid w:val="0"/>
              <w:spacing w:line="320" w:lineRule="exact"/>
              <w:jc w:val="center"/>
              <w:rPr>
                <w:rFonts w:eastAsia="仿宋_GB2312"/>
                <w:color w:val="auto"/>
                <w:szCs w:val="21"/>
              </w:rPr>
            </w:pPr>
            <w:r>
              <w:rPr>
                <w:rFonts w:eastAsia="仿宋_GB2312"/>
                <w:color w:val="auto"/>
                <w:szCs w:val="21"/>
              </w:rPr>
              <w:t>/</w:t>
            </w:r>
          </w:p>
        </w:tc>
        <w:tc>
          <w:tcPr>
            <w:tcW w:w="1365" w:type="dxa"/>
            <w:tcBorders>
              <w:tl2br w:val="nil"/>
              <w:tr2bl w:val="nil"/>
            </w:tcBorders>
            <w:vAlign w:val="center"/>
          </w:tcPr>
          <w:p w14:paraId="72DA8B8C">
            <w:pPr>
              <w:adjustRightInd w:val="0"/>
              <w:snapToGrid w:val="0"/>
              <w:spacing w:line="320" w:lineRule="exact"/>
              <w:jc w:val="center"/>
              <w:rPr>
                <w:rFonts w:eastAsia="仿宋_GB2312"/>
                <w:color w:val="auto"/>
                <w:szCs w:val="21"/>
              </w:rPr>
            </w:pPr>
            <w:r>
              <w:rPr>
                <w:rFonts w:eastAsia="仿宋_GB2312"/>
                <w:color w:val="auto"/>
                <w:szCs w:val="21"/>
              </w:rPr>
              <w:t>/</w:t>
            </w:r>
          </w:p>
        </w:tc>
      </w:tr>
      <w:tr w14:paraId="16E8906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464" w:type="dxa"/>
            <w:tcBorders>
              <w:tl2br w:val="nil"/>
              <w:tr2bl w:val="nil"/>
            </w:tcBorders>
            <w:vAlign w:val="center"/>
          </w:tcPr>
          <w:p w14:paraId="38E5F757">
            <w:pPr>
              <w:adjustRightInd w:val="0"/>
              <w:snapToGrid w:val="0"/>
              <w:spacing w:line="320" w:lineRule="exact"/>
              <w:jc w:val="center"/>
              <w:rPr>
                <w:rFonts w:eastAsia="仿宋_GB2312"/>
                <w:color w:val="auto"/>
                <w:szCs w:val="21"/>
              </w:rPr>
            </w:pPr>
            <w:r>
              <w:rPr>
                <w:rFonts w:eastAsia="仿宋_GB2312"/>
                <w:color w:val="auto"/>
                <w:szCs w:val="21"/>
              </w:rPr>
              <w:t>二乙二醇</w:t>
            </w:r>
          </w:p>
        </w:tc>
        <w:tc>
          <w:tcPr>
            <w:tcW w:w="862" w:type="dxa"/>
            <w:tcBorders>
              <w:tl2br w:val="nil"/>
              <w:tr2bl w:val="nil"/>
            </w:tcBorders>
            <w:vAlign w:val="center"/>
          </w:tcPr>
          <w:p w14:paraId="694EA603">
            <w:pPr>
              <w:adjustRightInd w:val="0"/>
              <w:snapToGrid w:val="0"/>
              <w:spacing w:line="320" w:lineRule="exact"/>
              <w:jc w:val="center"/>
              <w:rPr>
                <w:rFonts w:eastAsia="仿宋_GB2312"/>
                <w:color w:val="auto"/>
                <w:szCs w:val="21"/>
              </w:rPr>
            </w:pPr>
            <w:r>
              <w:rPr>
                <w:rFonts w:eastAsia="仿宋_GB2312"/>
                <w:color w:val="auto"/>
                <w:szCs w:val="21"/>
              </w:rPr>
              <w:t>/</w:t>
            </w:r>
          </w:p>
        </w:tc>
        <w:tc>
          <w:tcPr>
            <w:tcW w:w="803" w:type="dxa"/>
            <w:tcBorders>
              <w:tl2br w:val="nil"/>
              <w:tr2bl w:val="nil"/>
            </w:tcBorders>
            <w:vAlign w:val="center"/>
          </w:tcPr>
          <w:p w14:paraId="0943A007">
            <w:pPr>
              <w:adjustRightInd w:val="0"/>
              <w:snapToGrid w:val="0"/>
              <w:spacing w:line="320" w:lineRule="exact"/>
              <w:jc w:val="center"/>
              <w:rPr>
                <w:rFonts w:eastAsia="仿宋_GB2312"/>
                <w:color w:val="auto"/>
                <w:szCs w:val="21"/>
              </w:rPr>
            </w:pPr>
            <w:r>
              <w:rPr>
                <w:rFonts w:eastAsia="仿宋_GB2312"/>
                <w:color w:val="auto"/>
                <w:szCs w:val="21"/>
              </w:rPr>
              <w:t>143</w:t>
            </w:r>
          </w:p>
        </w:tc>
        <w:tc>
          <w:tcPr>
            <w:tcW w:w="896" w:type="dxa"/>
            <w:tcBorders>
              <w:tl2br w:val="nil"/>
              <w:tr2bl w:val="nil"/>
            </w:tcBorders>
            <w:vAlign w:val="center"/>
          </w:tcPr>
          <w:p w14:paraId="025EE558">
            <w:pPr>
              <w:adjustRightInd w:val="0"/>
              <w:snapToGrid w:val="0"/>
              <w:spacing w:line="320" w:lineRule="exact"/>
              <w:jc w:val="center"/>
              <w:rPr>
                <w:rFonts w:eastAsia="仿宋_GB2312"/>
                <w:color w:val="auto"/>
                <w:szCs w:val="21"/>
              </w:rPr>
            </w:pPr>
            <w:r>
              <w:rPr>
                <w:rFonts w:eastAsia="仿宋_GB2312"/>
                <w:color w:val="auto"/>
                <w:szCs w:val="21"/>
              </w:rPr>
              <w:t>245</w:t>
            </w:r>
          </w:p>
        </w:tc>
        <w:tc>
          <w:tcPr>
            <w:tcW w:w="896" w:type="dxa"/>
            <w:tcBorders>
              <w:tl2br w:val="nil"/>
              <w:tr2bl w:val="nil"/>
            </w:tcBorders>
            <w:vAlign w:val="center"/>
          </w:tcPr>
          <w:p w14:paraId="0D91084F">
            <w:pPr>
              <w:adjustRightInd w:val="0"/>
              <w:snapToGrid w:val="0"/>
              <w:spacing w:line="320" w:lineRule="exact"/>
              <w:jc w:val="center"/>
              <w:rPr>
                <w:rFonts w:eastAsia="仿宋_GB2312"/>
                <w:color w:val="auto"/>
                <w:szCs w:val="21"/>
              </w:rPr>
            </w:pPr>
            <w:r>
              <w:rPr>
                <w:rFonts w:eastAsia="仿宋_GB2312"/>
                <w:color w:val="auto"/>
                <w:szCs w:val="21"/>
              </w:rPr>
              <w:t>-10.5</w:t>
            </w:r>
          </w:p>
        </w:tc>
        <w:tc>
          <w:tcPr>
            <w:tcW w:w="1281" w:type="dxa"/>
            <w:tcBorders>
              <w:tl2br w:val="nil"/>
              <w:tr2bl w:val="nil"/>
            </w:tcBorders>
            <w:vAlign w:val="center"/>
          </w:tcPr>
          <w:p w14:paraId="0FF8800B">
            <w:pPr>
              <w:adjustRightInd w:val="0"/>
              <w:snapToGrid w:val="0"/>
              <w:spacing w:line="320" w:lineRule="exact"/>
              <w:jc w:val="center"/>
              <w:rPr>
                <w:rFonts w:eastAsia="仿宋_GB2312"/>
                <w:color w:val="auto"/>
                <w:szCs w:val="21"/>
              </w:rPr>
            </w:pPr>
            <w:r>
              <w:rPr>
                <w:rFonts w:eastAsia="仿宋_GB2312"/>
                <w:color w:val="auto"/>
                <w:szCs w:val="21"/>
              </w:rPr>
              <w:t xml:space="preserve">12565 </w:t>
            </w:r>
          </w:p>
        </w:tc>
        <w:tc>
          <w:tcPr>
            <w:tcW w:w="1279" w:type="dxa"/>
            <w:tcBorders>
              <w:tl2br w:val="nil"/>
              <w:tr2bl w:val="nil"/>
            </w:tcBorders>
            <w:vAlign w:val="center"/>
          </w:tcPr>
          <w:p w14:paraId="4B54D919">
            <w:pPr>
              <w:adjustRightInd w:val="0"/>
              <w:snapToGrid w:val="0"/>
              <w:spacing w:line="320" w:lineRule="exact"/>
              <w:jc w:val="center"/>
              <w:rPr>
                <w:rFonts w:eastAsia="仿宋_GB2312"/>
                <w:color w:val="auto"/>
                <w:szCs w:val="21"/>
              </w:rPr>
            </w:pPr>
            <w:r>
              <w:rPr>
                <w:rFonts w:eastAsia="仿宋_GB2312"/>
                <w:color w:val="auto"/>
                <w:szCs w:val="21"/>
              </w:rPr>
              <w:t xml:space="preserve">11890 </w:t>
            </w:r>
          </w:p>
        </w:tc>
        <w:tc>
          <w:tcPr>
            <w:tcW w:w="1365" w:type="dxa"/>
            <w:tcBorders>
              <w:tl2br w:val="nil"/>
              <w:tr2bl w:val="nil"/>
            </w:tcBorders>
            <w:vAlign w:val="center"/>
          </w:tcPr>
          <w:p w14:paraId="11196947">
            <w:pPr>
              <w:adjustRightInd w:val="0"/>
              <w:snapToGrid w:val="0"/>
              <w:spacing w:line="320" w:lineRule="exact"/>
              <w:jc w:val="center"/>
              <w:rPr>
                <w:rFonts w:eastAsia="仿宋_GB2312"/>
                <w:color w:val="auto"/>
                <w:szCs w:val="21"/>
              </w:rPr>
            </w:pPr>
            <w:r>
              <w:rPr>
                <w:rFonts w:eastAsia="仿宋_GB2312"/>
                <w:color w:val="auto"/>
                <w:szCs w:val="21"/>
              </w:rPr>
              <w:t>/</w:t>
            </w:r>
          </w:p>
        </w:tc>
      </w:tr>
      <w:tr w14:paraId="768EA6C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464" w:type="dxa"/>
            <w:tcBorders>
              <w:tl2br w:val="nil"/>
              <w:tr2bl w:val="nil"/>
            </w:tcBorders>
            <w:vAlign w:val="center"/>
          </w:tcPr>
          <w:p w14:paraId="72F971F2">
            <w:pPr>
              <w:adjustRightInd w:val="0"/>
              <w:snapToGrid w:val="0"/>
              <w:spacing w:line="320" w:lineRule="exact"/>
              <w:jc w:val="center"/>
              <w:rPr>
                <w:rFonts w:eastAsia="仿宋_GB2312"/>
                <w:color w:val="auto"/>
                <w:szCs w:val="21"/>
              </w:rPr>
            </w:pPr>
            <w:r>
              <w:rPr>
                <w:rFonts w:eastAsia="仿宋_GB2312"/>
                <w:color w:val="auto"/>
                <w:szCs w:val="21"/>
              </w:rPr>
              <w:t>己二酸</w:t>
            </w:r>
          </w:p>
        </w:tc>
        <w:tc>
          <w:tcPr>
            <w:tcW w:w="862" w:type="dxa"/>
            <w:tcBorders>
              <w:tl2br w:val="nil"/>
              <w:tr2bl w:val="nil"/>
            </w:tcBorders>
            <w:vAlign w:val="center"/>
          </w:tcPr>
          <w:p w14:paraId="669554A3">
            <w:pPr>
              <w:adjustRightInd w:val="0"/>
              <w:snapToGrid w:val="0"/>
              <w:spacing w:line="320" w:lineRule="exact"/>
              <w:jc w:val="center"/>
              <w:rPr>
                <w:rFonts w:eastAsia="仿宋_GB2312"/>
                <w:color w:val="auto"/>
                <w:szCs w:val="21"/>
              </w:rPr>
            </w:pPr>
            <w:r>
              <w:rPr>
                <w:rFonts w:eastAsia="仿宋_GB2312"/>
                <w:color w:val="auto"/>
                <w:szCs w:val="21"/>
              </w:rPr>
              <w:t>/</w:t>
            </w:r>
          </w:p>
        </w:tc>
        <w:tc>
          <w:tcPr>
            <w:tcW w:w="803" w:type="dxa"/>
            <w:tcBorders>
              <w:tl2br w:val="nil"/>
              <w:tr2bl w:val="nil"/>
            </w:tcBorders>
            <w:vAlign w:val="center"/>
          </w:tcPr>
          <w:p w14:paraId="09DCD7A5">
            <w:pPr>
              <w:adjustRightInd w:val="0"/>
              <w:snapToGrid w:val="0"/>
              <w:spacing w:line="320" w:lineRule="exact"/>
              <w:jc w:val="center"/>
              <w:rPr>
                <w:rFonts w:eastAsia="仿宋_GB2312"/>
                <w:color w:val="auto"/>
                <w:szCs w:val="21"/>
              </w:rPr>
            </w:pPr>
            <w:r>
              <w:rPr>
                <w:rFonts w:eastAsia="仿宋_GB2312"/>
                <w:color w:val="auto"/>
                <w:szCs w:val="21"/>
              </w:rPr>
              <w:t>196</w:t>
            </w:r>
          </w:p>
        </w:tc>
        <w:tc>
          <w:tcPr>
            <w:tcW w:w="896" w:type="dxa"/>
            <w:tcBorders>
              <w:tl2br w:val="nil"/>
              <w:tr2bl w:val="nil"/>
            </w:tcBorders>
            <w:vAlign w:val="center"/>
          </w:tcPr>
          <w:p w14:paraId="78499407">
            <w:pPr>
              <w:adjustRightInd w:val="0"/>
              <w:snapToGrid w:val="0"/>
              <w:spacing w:line="320" w:lineRule="exact"/>
              <w:jc w:val="center"/>
              <w:rPr>
                <w:rFonts w:eastAsia="仿宋_GB2312"/>
                <w:color w:val="auto"/>
                <w:szCs w:val="21"/>
              </w:rPr>
            </w:pPr>
            <w:r>
              <w:rPr>
                <w:rFonts w:eastAsia="仿宋_GB2312"/>
                <w:color w:val="auto"/>
                <w:szCs w:val="21"/>
              </w:rPr>
              <w:t>337.5</w:t>
            </w:r>
          </w:p>
        </w:tc>
        <w:tc>
          <w:tcPr>
            <w:tcW w:w="896" w:type="dxa"/>
            <w:tcBorders>
              <w:tl2br w:val="nil"/>
              <w:tr2bl w:val="nil"/>
            </w:tcBorders>
            <w:vAlign w:val="center"/>
          </w:tcPr>
          <w:p w14:paraId="39C0CE80">
            <w:pPr>
              <w:adjustRightInd w:val="0"/>
              <w:snapToGrid w:val="0"/>
              <w:spacing w:line="320" w:lineRule="exact"/>
              <w:jc w:val="center"/>
              <w:rPr>
                <w:rFonts w:eastAsia="仿宋_GB2312"/>
                <w:color w:val="auto"/>
                <w:szCs w:val="21"/>
              </w:rPr>
            </w:pPr>
            <w:r>
              <w:rPr>
                <w:rFonts w:eastAsia="仿宋_GB2312"/>
                <w:color w:val="auto"/>
                <w:szCs w:val="21"/>
              </w:rPr>
              <w:t>153</w:t>
            </w:r>
          </w:p>
        </w:tc>
        <w:tc>
          <w:tcPr>
            <w:tcW w:w="1281" w:type="dxa"/>
            <w:tcBorders>
              <w:tl2br w:val="nil"/>
              <w:tr2bl w:val="nil"/>
            </w:tcBorders>
            <w:vAlign w:val="center"/>
          </w:tcPr>
          <w:p w14:paraId="34BEC504">
            <w:pPr>
              <w:adjustRightInd w:val="0"/>
              <w:snapToGrid w:val="0"/>
              <w:spacing w:line="320" w:lineRule="exact"/>
              <w:jc w:val="center"/>
              <w:rPr>
                <w:rFonts w:eastAsia="仿宋_GB2312"/>
                <w:color w:val="auto"/>
                <w:szCs w:val="21"/>
              </w:rPr>
            </w:pPr>
            <w:r>
              <w:rPr>
                <w:rFonts w:eastAsia="仿宋_GB2312"/>
                <w:color w:val="auto"/>
                <w:szCs w:val="21"/>
              </w:rPr>
              <w:t xml:space="preserve">11000 </w:t>
            </w:r>
          </w:p>
        </w:tc>
        <w:tc>
          <w:tcPr>
            <w:tcW w:w="1279" w:type="dxa"/>
            <w:tcBorders>
              <w:tl2br w:val="nil"/>
              <w:tr2bl w:val="nil"/>
            </w:tcBorders>
            <w:vAlign w:val="center"/>
          </w:tcPr>
          <w:p w14:paraId="1598ECFE">
            <w:pPr>
              <w:adjustRightInd w:val="0"/>
              <w:snapToGrid w:val="0"/>
              <w:spacing w:line="320" w:lineRule="exact"/>
              <w:jc w:val="center"/>
              <w:rPr>
                <w:rFonts w:eastAsia="仿宋_GB2312"/>
                <w:color w:val="auto"/>
                <w:szCs w:val="21"/>
              </w:rPr>
            </w:pPr>
            <w:r>
              <w:rPr>
                <w:rFonts w:eastAsia="仿宋_GB2312"/>
                <w:color w:val="auto"/>
                <w:szCs w:val="21"/>
              </w:rPr>
              <w:t>/</w:t>
            </w:r>
          </w:p>
        </w:tc>
        <w:tc>
          <w:tcPr>
            <w:tcW w:w="1365" w:type="dxa"/>
            <w:tcBorders>
              <w:tl2br w:val="nil"/>
              <w:tr2bl w:val="nil"/>
            </w:tcBorders>
            <w:vAlign w:val="center"/>
          </w:tcPr>
          <w:p w14:paraId="26C88B24">
            <w:pPr>
              <w:adjustRightInd w:val="0"/>
              <w:snapToGrid w:val="0"/>
              <w:spacing w:line="320" w:lineRule="exact"/>
              <w:jc w:val="center"/>
              <w:rPr>
                <w:rFonts w:eastAsia="仿宋_GB2312"/>
                <w:color w:val="auto"/>
                <w:szCs w:val="21"/>
              </w:rPr>
            </w:pPr>
            <w:r>
              <w:rPr>
                <w:rFonts w:eastAsia="仿宋_GB2312"/>
                <w:color w:val="auto"/>
                <w:szCs w:val="21"/>
              </w:rPr>
              <w:t>/</w:t>
            </w:r>
          </w:p>
        </w:tc>
      </w:tr>
      <w:tr w14:paraId="002072E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464" w:type="dxa"/>
            <w:tcBorders>
              <w:tl2br w:val="nil"/>
              <w:tr2bl w:val="nil"/>
            </w:tcBorders>
            <w:vAlign w:val="center"/>
          </w:tcPr>
          <w:p w14:paraId="59A07A01">
            <w:pPr>
              <w:adjustRightInd w:val="0"/>
              <w:snapToGrid w:val="0"/>
              <w:spacing w:line="320" w:lineRule="exact"/>
              <w:jc w:val="center"/>
              <w:rPr>
                <w:rFonts w:eastAsia="仿宋_GB2312"/>
                <w:color w:val="auto"/>
                <w:szCs w:val="21"/>
              </w:rPr>
            </w:pPr>
            <w:r>
              <w:rPr>
                <w:rFonts w:eastAsia="仿宋_GB2312"/>
                <w:color w:val="auto"/>
                <w:szCs w:val="21"/>
              </w:rPr>
              <w:t>苯酐</w:t>
            </w:r>
          </w:p>
        </w:tc>
        <w:tc>
          <w:tcPr>
            <w:tcW w:w="862" w:type="dxa"/>
            <w:tcBorders>
              <w:tl2br w:val="nil"/>
              <w:tr2bl w:val="nil"/>
            </w:tcBorders>
            <w:vAlign w:val="center"/>
          </w:tcPr>
          <w:p w14:paraId="7C75593E">
            <w:pPr>
              <w:adjustRightInd w:val="0"/>
              <w:snapToGrid w:val="0"/>
              <w:spacing w:line="320" w:lineRule="exact"/>
              <w:jc w:val="center"/>
              <w:rPr>
                <w:rFonts w:eastAsia="仿宋_GB2312"/>
                <w:color w:val="auto"/>
                <w:szCs w:val="21"/>
              </w:rPr>
            </w:pPr>
            <w:r>
              <w:rPr>
                <w:rFonts w:eastAsia="仿宋_GB2312"/>
                <w:color w:val="auto"/>
                <w:szCs w:val="21"/>
              </w:rPr>
              <w:t>91631</w:t>
            </w:r>
          </w:p>
        </w:tc>
        <w:tc>
          <w:tcPr>
            <w:tcW w:w="803" w:type="dxa"/>
            <w:tcBorders>
              <w:tl2br w:val="nil"/>
              <w:tr2bl w:val="nil"/>
            </w:tcBorders>
            <w:vAlign w:val="center"/>
          </w:tcPr>
          <w:p w14:paraId="3CED9A68">
            <w:pPr>
              <w:adjustRightInd w:val="0"/>
              <w:snapToGrid w:val="0"/>
              <w:spacing w:line="320" w:lineRule="exact"/>
              <w:jc w:val="center"/>
              <w:rPr>
                <w:rFonts w:eastAsia="仿宋_GB2312"/>
                <w:color w:val="auto"/>
                <w:szCs w:val="21"/>
              </w:rPr>
            </w:pPr>
            <w:r>
              <w:rPr>
                <w:rFonts w:eastAsia="仿宋_GB2312"/>
                <w:color w:val="auto"/>
                <w:szCs w:val="21"/>
              </w:rPr>
              <w:t>151.7</w:t>
            </w:r>
          </w:p>
        </w:tc>
        <w:tc>
          <w:tcPr>
            <w:tcW w:w="896" w:type="dxa"/>
            <w:tcBorders>
              <w:tl2br w:val="nil"/>
              <w:tr2bl w:val="nil"/>
            </w:tcBorders>
            <w:vAlign w:val="center"/>
          </w:tcPr>
          <w:p w14:paraId="02495D6E">
            <w:pPr>
              <w:adjustRightInd w:val="0"/>
              <w:snapToGrid w:val="0"/>
              <w:spacing w:line="320" w:lineRule="exact"/>
              <w:jc w:val="center"/>
              <w:rPr>
                <w:rFonts w:eastAsia="仿宋_GB2312"/>
                <w:color w:val="auto"/>
                <w:szCs w:val="21"/>
              </w:rPr>
            </w:pPr>
            <w:r>
              <w:rPr>
                <w:rFonts w:eastAsia="仿宋_GB2312"/>
                <w:color w:val="auto"/>
                <w:szCs w:val="21"/>
              </w:rPr>
              <w:t>295</w:t>
            </w:r>
          </w:p>
        </w:tc>
        <w:tc>
          <w:tcPr>
            <w:tcW w:w="896" w:type="dxa"/>
            <w:tcBorders>
              <w:tl2br w:val="nil"/>
              <w:tr2bl w:val="nil"/>
            </w:tcBorders>
            <w:vAlign w:val="center"/>
          </w:tcPr>
          <w:p w14:paraId="5391E9AD">
            <w:pPr>
              <w:adjustRightInd w:val="0"/>
              <w:snapToGrid w:val="0"/>
              <w:spacing w:line="320" w:lineRule="exact"/>
              <w:jc w:val="center"/>
              <w:rPr>
                <w:rFonts w:eastAsia="仿宋_GB2312"/>
                <w:color w:val="auto"/>
                <w:szCs w:val="21"/>
              </w:rPr>
            </w:pPr>
            <w:r>
              <w:rPr>
                <w:rFonts w:eastAsia="仿宋_GB2312"/>
                <w:color w:val="auto"/>
                <w:szCs w:val="21"/>
              </w:rPr>
              <w:t>131.2</w:t>
            </w:r>
          </w:p>
        </w:tc>
        <w:tc>
          <w:tcPr>
            <w:tcW w:w="1281" w:type="dxa"/>
            <w:tcBorders>
              <w:tl2br w:val="nil"/>
              <w:tr2bl w:val="nil"/>
            </w:tcBorders>
            <w:vAlign w:val="center"/>
          </w:tcPr>
          <w:p w14:paraId="1FBE6BD7">
            <w:pPr>
              <w:adjustRightInd w:val="0"/>
              <w:snapToGrid w:val="0"/>
              <w:spacing w:line="320" w:lineRule="exact"/>
              <w:jc w:val="center"/>
              <w:rPr>
                <w:rFonts w:eastAsia="仿宋_GB2312"/>
                <w:color w:val="auto"/>
                <w:szCs w:val="21"/>
              </w:rPr>
            </w:pPr>
            <w:r>
              <w:rPr>
                <w:rFonts w:eastAsia="仿宋_GB2312"/>
                <w:color w:val="auto"/>
                <w:szCs w:val="21"/>
              </w:rPr>
              <w:t xml:space="preserve">4020 </w:t>
            </w:r>
          </w:p>
        </w:tc>
        <w:tc>
          <w:tcPr>
            <w:tcW w:w="1279" w:type="dxa"/>
            <w:tcBorders>
              <w:tl2br w:val="nil"/>
              <w:tr2bl w:val="nil"/>
            </w:tcBorders>
            <w:vAlign w:val="center"/>
          </w:tcPr>
          <w:p w14:paraId="673BE75A">
            <w:pPr>
              <w:adjustRightInd w:val="0"/>
              <w:snapToGrid w:val="0"/>
              <w:spacing w:line="320" w:lineRule="exact"/>
              <w:jc w:val="center"/>
              <w:rPr>
                <w:rFonts w:eastAsia="仿宋_GB2312"/>
                <w:color w:val="auto"/>
                <w:szCs w:val="21"/>
              </w:rPr>
            </w:pPr>
            <w:r>
              <w:rPr>
                <w:rFonts w:eastAsia="仿宋_GB2312"/>
                <w:color w:val="auto"/>
                <w:szCs w:val="21"/>
              </w:rPr>
              <w:t>/</w:t>
            </w:r>
          </w:p>
        </w:tc>
        <w:tc>
          <w:tcPr>
            <w:tcW w:w="1365" w:type="dxa"/>
            <w:tcBorders>
              <w:tl2br w:val="nil"/>
              <w:tr2bl w:val="nil"/>
            </w:tcBorders>
            <w:vAlign w:val="center"/>
          </w:tcPr>
          <w:p w14:paraId="00275625">
            <w:pPr>
              <w:adjustRightInd w:val="0"/>
              <w:snapToGrid w:val="0"/>
              <w:spacing w:line="320" w:lineRule="exact"/>
              <w:jc w:val="center"/>
              <w:rPr>
                <w:rFonts w:eastAsia="仿宋_GB2312"/>
                <w:color w:val="auto"/>
                <w:szCs w:val="21"/>
              </w:rPr>
            </w:pPr>
            <w:r>
              <w:rPr>
                <w:rFonts w:eastAsia="仿宋_GB2312"/>
                <w:color w:val="auto"/>
                <w:szCs w:val="21"/>
              </w:rPr>
              <w:t>/</w:t>
            </w:r>
          </w:p>
        </w:tc>
      </w:tr>
      <w:tr w14:paraId="63B81F0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464" w:type="dxa"/>
            <w:tcBorders>
              <w:tl2br w:val="nil"/>
              <w:tr2bl w:val="nil"/>
            </w:tcBorders>
            <w:vAlign w:val="center"/>
          </w:tcPr>
          <w:p w14:paraId="06F76F67">
            <w:pPr>
              <w:adjustRightInd w:val="0"/>
              <w:snapToGrid w:val="0"/>
              <w:spacing w:line="320" w:lineRule="exact"/>
              <w:jc w:val="center"/>
              <w:rPr>
                <w:rFonts w:eastAsia="仿宋_GB2312"/>
                <w:color w:val="auto"/>
                <w:szCs w:val="21"/>
              </w:rPr>
            </w:pPr>
            <w:r>
              <w:rPr>
                <w:rFonts w:eastAsia="仿宋_GB2312"/>
                <w:color w:val="auto"/>
                <w:szCs w:val="21"/>
              </w:rPr>
              <w:t>丙三醇</w:t>
            </w:r>
          </w:p>
        </w:tc>
        <w:tc>
          <w:tcPr>
            <w:tcW w:w="862" w:type="dxa"/>
            <w:tcBorders>
              <w:tl2br w:val="nil"/>
              <w:tr2bl w:val="nil"/>
            </w:tcBorders>
            <w:vAlign w:val="center"/>
          </w:tcPr>
          <w:p w14:paraId="5D7963F1">
            <w:pPr>
              <w:adjustRightInd w:val="0"/>
              <w:snapToGrid w:val="0"/>
              <w:spacing w:line="320" w:lineRule="exact"/>
              <w:jc w:val="center"/>
              <w:rPr>
                <w:rFonts w:eastAsia="仿宋_GB2312"/>
                <w:color w:val="auto"/>
                <w:szCs w:val="21"/>
              </w:rPr>
            </w:pPr>
            <w:r>
              <w:rPr>
                <w:rFonts w:eastAsia="仿宋_GB2312"/>
                <w:color w:val="auto"/>
                <w:szCs w:val="21"/>
              </w:rPr>
              <w:t>/</w:t>
            </w:r>
          </w:p>
        </w:tc>
        <w:tc>
          <w:tcPr>
            <w:tcW w:w="803" w:type="dxa"/>
            <w:tcBorders>
              <w:tl2br w:val="nil"/>
              <w:tr2bl w:val="nil"/>
            </w:tcBorders>
            <w:vAlign w:val="center"/>
          </w:tcPr>
          <w:p w14:paraId="14FC04DA">
            <w:pPr>
              <w:adjustRightInd w:val="0"/>
              <w:snapToGrid w:val="0"/>
              <w:spacing w:line="320" w:lineRule="exact"/>
              <w:jc w:val="center"/>
              <w:rPr>
                <w:rFonts w:eastAsia="仿宋_GB2312"/>
                <w:color w:val="auto"/>
                <w:szCs w:val="21"/>
              </w:rPr>
            </w:pPr>
            <w:r>
              <w:rPr>
                <w:rFonts w:eastAsia="仿宋_GB2312"/>
                <w:color w:val="auto"/>
                <w:szCs w:val="21"/>
              </w:rPr>
              <w:t>177</w:t>
            </w:r>
          </w:p>
        </w:tc>
        <w:tc>
          <w:tcPr>
            <w:tcW w:w="896" w:type="dxa"/>
            <w:tcBorders>
              <w:tl2br w:val="nil"/>
              <w:tr2bl w:val="nil"/>
            </w:tcBorders>
            <w:vAlign w:val="center"/>
          </w:tcPr>
          <w:p w14:paraId="2352E541">
            <w:pPr>
              <w:adjustRightInd w:val="0"/>
              <w:snapToGrid w:val="0"/>
              <w:spacing w:line="320" w:lineRule="exact"/>
              <w:jc w:val="center"/>
              <w:rPr>
                <w:rFonts w:eastAsia="仿宋_GB2312"/>
                <w:color w:val="auto"/>
                <w:szCs w:val="21"/>
              </w:rPr>
            </w:pPr>
            <w:r>
              <w:rPr>
                <w:rFonts w:eastAsia="仿宋_GB2312"/>
                <w:color w:val="auto"/>
                <w:szCs w:val="21"/>
              </w:rPr>
              <w:t>290</w:t>
            </w:r>
          </w:p>
        </w:tc>
        <w:tc>
          <w:tcPr>
            <w:tcW w:w="896" w:type="dxa"/>
            <w:tcBorders>
              <w:tl2br w:val="nil"/>
              <w:tr2bl w:val="nil"/>
            </w:tcBorders>
            <w:vAlign w:val="center"/>
          </w:tcPr>
          <w:p w14:paraId="3E31C215">
            <w:pPr>
              <w:adjustRightInd w:val="0"/>
              <w:snapToGrid w:val="0"/>
              <w:spacing w:line="320" w:lineRule="exact"/>
              <w:jc w:val="center"/>
              <w:rPr>
                <w:rFonts w:eastAsia="仿宋_GB2312"/>
                <w:color w:val="auto"/>
                <w:szCs w:val="21"/>
              </w:rPr>
            </w:pPr>
            <w:r>
              <w:rPr>
                <w:rFonts w:eastAsia="仿宋_GB2312"/>
                <w:color w:val="auto"/>
                <w:szCs w:val="21"/>
              </w:rPr>
              <w:t>20</w:t>
            </w:r>
          </w:p>
        </w:tc>
        <w:tc>
          <w:tcPr>
            <w:tcW w:w="1281" w:type="dxa"/>
            <w:tcBorders>
              <w:tl2br w:val="nil"/>
              <w:tr2bl w:val="nil"/>
            </w:tcBorders>
            <w:vAlign w:val="center"/>
          </w:tcPr>
          <w:p w14:paraId="15EF86CF">
            <w:pPr>
              <w:adjustRightInd w:val="0"/>
              <w:snapToGrid w:val="0"/>
              <w:spacing w:line="320" w:lineRule="exact"/>
              <w:jc w:val="center"/>
              <w:rPr>
                <w:rFonts w:eastAsia="仿宋_GB2312"/>
                <w:color w:val="auto"/>
                <w:szCs w:val="21"/>
              </w:rPr>
            </w:pPr>
            <w:r>
              <w:rPr>
                <w:rFonts w:eastAsia="仿宋_GB2312"/>
                <w:color w:val="auto"/>
                <w:szCs w:val="21"/>
              </w:rPr>
              <w:t>26000</w:t>
            </w:r>
          </w:p>
        </w:tc>
        <w:tc>
          <w:tcPr>
            <w:tcW w:w="1279" w:type="dxa"/>
            <w:tcBorders>
              <w:tl2br w:val="nil"/>
              <w:tr2bl w:val="nil"/>
            </w:tcBorders>
            <w:vAlign w:val="center"/>
          </w:tcPr>
          <w:p w14:paraId="21136B3F">
            <w:pPr>
              <w:adjustRightInd w:val="0"/>
              <w:snapToGrid w:val="0"/>
              <w:spacing w:line="320" w:lineRule="exact"/>
              <w:jc w:val="center"/>
              <w:rPr>
                <w:rFonts w:eastAsia="仿宋_GB2312"/>
                <w:color w:val="auto"/>
                <w:szCs w:val="21"/>
              </w:rPr>
            </w:pPr>
            <w:r>
              <w:rPr>
                <w:rFonts w:eastAsia="仿宋_GB2312"/>
                <w:color w:val="auto"/>
                <w:szCs w:val="21"/>
              </w:rPr>
              <w:t>/</w:t>
            </w:r>
          </w:p>
        </w:tc>
        <w:tc>
          <w:tcPr>
            <w:tcW w:w="1365" w:type="dxa"/>
            <w:tcBorders>
              <w:tl2br w:val="nil"/>
              <w:tr2bl w:val="nil"/>
            </w:tcBorders>
            <w:vAlign w:val="center"/>
          </w:tcPr>
          <w:p w14:paraId="010624A3">
            <w:pPr>
              <w:adjustRightInd w:val="0"/>
              <w:snapToGrid w:val="0"/>
              <w:spacing w:line="320" w:lineRule="exact"/>
              <w:jc w:val="center"/>
              <w:rPr>
                <w:rFonts w:eastAsia="仿宋_GB2312"/>
                <w:color w:val="auto"/>
                <w:szCs w:val="21"/>
              </w:rPr>
            </w:pPr>
            <w:r>
              <w:rPr>
                <w:rFonts w:eastAsia="仿宋_GB2312"/>
                <w:color w:val="auto"/>
                <w:szCs w:val="21"/>
              </w:rPr>
              <w:t>4090mg/kg</w:t>
            </w:r>
          </w:p>
        </w:tc>
      </w:tr>
      <w:tr w14:paraId="3F372BD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464" w:type="dxa"/>
            <w:tcBorders>
              <w:tl2br w:val="nil"/>
              <w:tr2bl w:val="nil"/>
            </w:tcBorders>
            <w:vAlign w:val="center"/>
          </w:tcPr>
          <w:p w14:paraId="298B815A">
            <w:pPr>
              <w:adjustRightInd w:val="0"/>
              <w:snapToGrid w:val="0"/>
              <w:spacing w:line="320" w:lineRule="exact"/>
              <w:jc w:val="center"/>
              <w:rPr>
                <w:rFonts w:eastAsia="仿宋_GB2312"/>
                <w:color w:val="auto"/>
                <w:szCs w:val="21"/>
              </w:rPr>
            </w:pPr>
            <w:r>
              <w:rPr>
                <w:rFonts w:eastAsia="仿宋_GB2312"/>
                <w:color w:val="auto"/>
                <w:szCs w:val="21"/>
              </w:rPr>
              <w:t>N,N-二甲基甲酰胺</w:t>
            </w:r>
          </w:p>
        </w:tc>
        <w:tc>
          <w:tcPr>
            <w:tcW w:w="862" w:type="dxa"/>
            <w:tcBorders>
              <w:tl2br w:val="nil"/>
              <w:tr2bl w:val="nil"/>
            </w:tcBorders>
            <w:vAlign w:val="center"/>
          </w:tcPr>
          <w:p w14:paraId="67EE19E8">
            <w:pPr>
              <w:adjustRightInd w:val="0"/>
              <w:snapToGrid w:val="0"/>
              <w:spacing w:line="320" w:lineRule="exact"/>
              <w:jc w:val="center"/>
              <w:rPr>
                <w:rFonts w:eastAsia="仿宋_GB2312"/>
                <w:color w:val="auto"/>
                <w:szCs w:val="21"/>
              </w:rPr>
            </w:pPr>
            <w:r>
              <w:rPr>
                <w:rFonts w:eastAsia="仿宋_GB2312"/>
                <w:color w:val="auto"/>
                <w:szCs w:val="21"/>
              </w:rPr>
              <w:t>33627</w:t>
            </w:r>
          </w:p>
        </w:tc>
        <w:tc>
          <w:tcPr>
            <w:tcW w:w="803" w:type="dxa"/>
            <w:tcBorders>
              <w:tl2br w:val="nil"/>
              <w:tr2bl w:val="nil"/>
            </w:tcBorders>
            <w:vAlign w:val="center"/>
          </w:tcPr>
          <w:p w14:paraId="3464CCAC">
            <w:pPr>
              <w:adjustRightInd w:val="0"/>
              <w:snapToGrid w:val="0"/>
              <w:spacing w:line="320" w:lineRule="exact"/>
              <w:jc w:val="center"/>
              <w:rPr>
                <w:rFonts w:eastAsia="仿宋_GB2312"/>
                <w:color w:val="auto"/>
                <w:szCs w:val="21"/>
              </w:rPr>
            </w:pPr>
            <w:r>
              <w:rPr>
                <w:rFonts w:eastAsia="仿宋_GB2312"/>
                <w:color w:val="auto"/>
                <w:szCs w:val="21"/>
              </w:rPr>
              <w:t>58</w:t>
            </w:r>
          </w:p>
        </w:tc>
        <w:tc>
          <w:tcPr>
            <w:tcW w:w="896" w:type="dxa"/>
            <w:tcBorders>
              <w:tl2br w:val="nil"/>
              <w:tr2bl w:val="nil"/>
            </w:tcBorders>
            <w:vAlign w:val="center"/>
          </w:tcPr>
          <w:p w14:paraId="1A0CB1D6">
            <w:pPr>
              <w:adjustRightInd w:val="0"/>
              <w:snapToGrid w:val="0"/>
              <w:spacing w:line="320" w:lineRule="exact"/>
              <w:jc w:val="center"/>
              <w:rPr>
                <w:rFonts w:eastAsia="仿宋_GB2312"/>
                <w:color w:val="auto"/>
                <w:szCs w:val="21"/>
              </w:rPr>
            </w:pPr>
            <w:r>
              <w:rPr>
                <w:rFonts w:eastAsia="仿宋_GB2312"/>
                <w:color w:val="auto"/>
                <w:szCs w:val="21"/>
              </w:rPr>
              <w:t>152.8</w:t>
            </w:r>
          </w:p>
        </w:tc>
        <w:tc>
          <w:tcPr>
            <w:tcW w:w="896" w:type="dxa"/>
            <w:tcBorders>
              <w:tl2br w:val="nil"/>
              <w:tr2bl w:val="nil"/>
            </w:tcBorders>
            <w:vAlign w:val="center"/>
          </w:tcPr>
          <w:p w14:paraId="740F1FED">
            <w:pPr>
              <w:adjustRightInd w:val="0"/>
              <w:snapToGrid w:val="0"/>
              <w:spacing w:line="320" w:lineRule="exact"/>
              <w:jc w:val="center"/>
              <w:rPr>
                <w:rFonts w:eastAsia="仿宋_GB2312"/>
                <w:color w:val="auto"/>
                <w:szCs w:val="21"/>
              </w:rPr>
            </w:pPr>
            <w:r>
              <w:rPr>
                <w:rFonts w:eastAsia="仿宋_GB2312"/>
                <w:color w:val="auto"/>
                <w:szCs w:val="21"/>
              </w:rPr>
              <w:t>-61</w:t>
            </w:r>
          </w:p>
        </w:tc>
        <w:tc>
          <w:tcPr>
            <w:tcW w:w="1281" w:type="dxa"/>
            <w:tcBorders>
              <w:tl2br w:val="nil"/>
              <w:tr2bl w:val="nil"/>
            </w:tcBorders>
            <w:vAlign w:val="center"/>
          </w:tcPr>
          <w:p w14:paraId="0348C85A">
            <w:pPr>
              <w:adjustRightInd w:val="0"/>
              <w:snapToGrid w:val="0"/>
              <w:spacing w:line="320" w:lineRule="exact"/>
              <w:jc w:val="center"/>
              <w:rPr>
                <w:rFonts w:eastAsia="仿宋_GB2312"/>
                <w:color w:val="auto"/>
                <w:szCs w:val="21"/>
              </w:rPr>
            </w:pPr>
            <w:r>
              <w:rPr>
                <w:rFonts w:eastAsia="仿宋_GB2312"/>
                <w:color w:val="auto"/>
                <w:szCs w:val="21"/>
              </w:rPr>
              <w:t>4000</w:t>
            </w:r>
          </w:p>
        </w:tc>
        <w:tc>
          <w:tcPr>
            <w:tcW w:w="1279" w:type="dxa"/>
            <w:tcBorders>
              <w:tl2br w:val="nil"/>
              <w:tr2bl w:val="nil"/>
            </w:tcBorders>
            <w:vAlign w:val="center"/>
          </w:tcPr>
          <w:p w14:paraId="1A3AE4E9">
            <w:pPr>
              <w:adjustRightInd w:val="0"/>
              <w:snapToGrid w:val="0"/>
              <w:spacing w:line="320" w:lineRule="exact"/>
              <w:jc w:val="center"/>
              <w:rPr>
                <w:rFonts w:eastAsia="仿宋_GB2312"/>
                <w:color w:val="auto"/>
                <w:szCs w:val="21"/>
              </w:rPr>
            </w:pPr>
            <w:r>
              <w:rPr>
                <w:rFonts w:eastAsia="仿宋_GB2312"/>
                <w:color w:val="auto"/>
                <w:szCs w:val="21"/>
              </w:rPr>
              <w:t>4720</w:t>
            </w:r>
          </w:p>
        </w:tc>
        <w:tc>
          <w:tcPr>
            <w:tcW w:w="1365" w:type="dxa"/>
            <w:tcBorders>
              <w:tl2br w:val="nil"/>
              <w:tr2bl w:val="nil"/>
            </w:tcBorders>
            <w:vAlign w:val="center"/>
          </w:tcPr>
          <w:p w14:paraId="606C8BAC">
            <w:pPr>
              <w:adjustRightInd w:val="0"/>
              <w:snapToGrid w:val="0"/>
              <w:spacing w:line="320" w:lineRule="exact"/>
              <w:jc w:val="center"/>
              <w:rPr>
                <w:rFonts w:eastAsia="仿宋_GB2312"/>
                <w:color w:val="auto"/>
                <w:szCs w:val="21"/>
              </w:rPr>
            </w:pPr>
            <w:r>
              <w:rPr>
                <w:rFonts w:eastAsia="仿宋_GB2312"/>
                <w:color w:val="auto"/>
                <w:szCs w:val="21"/>
              </w:rPr>
              <w:t>/</w:t>
            </w:r>
          </w:p>
        </w:tc>
      </w:tr>
      <w:tr w14:paraId="66A3CE1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464" w:type="dxa"/>
            <w:tcBorders>
              <w:tl2br w:val="nil"/>
              <w:tr2bl w:val="nil"/>
            </w:tcBorders>
            <w:vAlign w:val="center"/>
          </w:tcPr>
          <w:p w14:paraId="42998F3A">
            <w:pPr>
              <w:adjustRightInd w:val="0"/>
              <w:snapToGrid w:val="0"/>
              <w:spacing w:line="320" w:lineRule="exact"/>
              <w:jc w:val="center"/>
              <w:rPr>
                <w:rFonts w:eastAsia="仿宋_GB2312"/>
                <w:color w:val="auto"/>
                <w:szCs w:val="21"/>
              </w:rPr>
            </w:pPr>
            <w:r>
              <w:rPr>
                <w:rFonts w:eastAsia="仿宋_GB2312"/>
                <w:color w:val="auto"/>
                <w:szCs w:val="21"/>
              </w:rPr>
              <w:t>丙二醇单甲醚醋酸酯</w:t>
            </w:r>
          </w:p>
        </w:tc>
        <w:tc>
          <w:tcPr>
            <w:tcW w:w="862" w:type="dxa"/>
            <w:tcBorders>
              <w:tl2br w:val="nil"/>
              <w:tr2bl w:val="nil"/>
            </w:tcBorders>
            <w:vAlign w:val="center"/>
          </w:tcPr>
          <w:p w14:paraId="18187FC9">
            <w:pPr>
              <w:adjustRightInd w:val="0"/>
              <w:snapToGrid w:val="0"/>
              <w:spacing w:line="320" w:lineRule="exact"/>
              <w:jc w:val="center"/>
              <w:rPr>
                <w:rFonts w:eastAsia="仿宋_GB2312"/>
                <w:color w:val="auto"/>
                <w:szCs w:val="21"/>
              </w:rPr>
            </w:pPr>
            <w:r>
              <w:rPr>
                <w:rFonts w:eastAsia="仿宋_GB2312"/>
                <w:color w:val="auto"/>
                <w:szCs w:val="21"/>
              </w:rPr>
              <w:t>/</w:t>
            </w:r>
          </w:p>
        </w:tc>
        <w:tc>
          <w:tcPr>
            <w:tcW w:w="803" w:type="dxa"/>
            <w:tcBorders>
              <w:tl2br w:val="nil"/>
              <w:tr2bl w:val="nil"/>
            </w:tcBorders>
            <w:vAlign w:val="center"/>
          </w:tcPr>
          <w:p w14:paraId="7EEB0214">
            <w:pPr>
              <w:adjustRightInd w:val="0"/>
              <w:snapToGrid w:val="0"/>
              <w:spacing w:line="320" w:lineRule="exact"/>
              <w:jc w:val="center"/>
              <w:rPr>
                <w:rFonts w:eastAsia="仿宋_GB2312"/>
                <w:color w:val="auto"/>
                <w:szCs w:val="21"/>
              </w:rPr>
            </w:pPr>
            <w:r>
              <w:rPr>
                <w:rFonts w:eastAsia="仿宋_GB2312"/>
                <w:color w:val="auto"/>
                <w:szCs w:val="21"/>
              </w:rPr>
              <w:t>42</w:t>
            </w:r>
          </w:p>
        </w:tc>
        <w:tc>
          <w:tcPr>
            <w:tcW w:w="896" w:type="dxa"/>
            <w:tcBorders>
              <w:tl2br w:val="nil"/>
              <w:tr2bl w:val="nil"/>
            </w:tcBorders>
            <w:vAlign w:val="center"/>
          </w:tcPr>
          <w:p w14:paraId="18BBC516">
            <w:pPr>
              <w:adjustRightInd w:val="0"/>
              <w:snapToGrid w:val="0"/>
              <w:spacing w:line="320" w:lineRule="exact"/>
              <w:jc w:val="center"/>
              <w:rPr>
                <w:rFonts w:eastAsia="仿宋_GB2312"/>
                <w:color w:val="auto"/>
                <w:szCs w:val="21"/>
              </w:rPr>
            </w:pPr>
            <w:r>
              <w:rPr>
                <w:rFonts w:eastAsia="仿宋_GB2312"/>
                <w:color w:val="auto"/>
                <w:szCs w:val="21"/>
              </w:rPr>
              <w:t>146</w:t>
            </w:r>
          </w:p>
        </w:tc>
        <w:tc>
          <w:tcPr>
            <w:tcW w:w="896" w:type="dxa"/>
            <w:tcBorders>
              <w:tl2br w:val="nil"/>
              <w:tr2bl w:val="nil"/>
            </w:tcBorders>
            <w:vAlign w:val="center"/>
          </w:tcPr>
          <w:p w14:paraId="76848E5E">
            <w:pPr>
              <w:adjustRightInd w:val="0"/>
              <w:snapToGrid w:val="0"/>
              <w:spacing w:line="320" w:lineRule="exact"/>
              <w:jc w:val="center"/>
              <w:rPr>
                <w:rFonts w:eastAsia="仿宋_GB2312"/>
                <w:color w:val="auto"/>
                <w:szCs w:val="21"/>
              </w:rPr>
            </w:pPr>
            <w:r>
              <w:rPr>
                <w:rFonts w:eastAsia="仿宋_GB2312"/>
                <w:color w:val="auto"/>
                <w:szCs w:val="21"/>
              </w:rPr>
              <w:t>-87</w:t>
            </w:r>
          </w:p>
        </w:tc>
        <w:tc>
          <w:tcPr>
            <w:tcW w:w="1281" w:type="dxa"/>
            <w:tcBorders>
              <w:tl2br w:val="nil"/>
              <w:tr2bl w:val="nil"/>
            </w:tcBorders>
            <w:vAlign w:val="center"/>
          </w:tcPr>
          <w:p w14:paraId="5656A0E3">
            <w:pPr>
              <w:adjustRightInd w:val="0"/>
              <w:snapToGrid w:val="0"/>
              <w:spacing w:line="320" w:lineRule="exact"/>
              <w:jc w:val="center"/>
              <w:rPr>
                <w:rFonts w:eastAsia="仿宋_GB2312"/>
                <w:color w:val="auto"/>
                <w:szCs w:val="21"/>
              </w:rPr>
            </w:pPr>
            <w:r>
              <w:rPr>
                <w:rFonts w:eastAsia="仿宋_GB2312"/>
                <w:color w:val="auto"/>
                <w:szCs w:val="21"/>
              </w:rPr>
              <w:t>3739</w:t>
            </w:r>
          </w:p>
        </w:tc>
        <w:tc>
          <w:tcPr>
            <w:tcW w:w="1279" w:type="dxa"/>
            <w:tcBorders>
              <w:tl2br w:val="nil"/>
              <w:tr2bl w:val="nil"/>
            </w:tcBorders>
            <w:vAlign w:val="center"/>
          </w:tcPr>
          <w:p w14:paraId="5466FE4E">
            <w:pPr>
              <w:adjustRightInd w:val="0"/>
              <w:snapToGrid w:val="0"/>
              <w:spacing w:line="320" w:lineRule="exact"/>
              <w:jc w:val="center"/>
              <w:rPr>
                <w:rFonts w:eastAsia="仿宋_GB2312"/>
                <w:color w:val="auto"/>
                <w:szCs w:val="21"/>
              </w:rPr>
            </w:pPr>
            <w:r>
              <w:rPr>
                <w:rFonts w:eastAsia="仿宋_GB2312"/>
                <w:color w:val="auto"/>
                <w:szCs w:val="21"/>
              </w:rPr>
              <w:t>/</w:t>
            </w:r>
          </w:p>
        </w:tc>
        <w:tc>
          <w:tcPr>
            <w:tcW w:w="1365" w:type="dxa"/>
            <w:tcBorders>
              <w:tl2br w:val="nil"/>
              <w:tr2bl w:val="nil"/>
            </w:tcBorders>
            <w:vAlign w:val="center"/>
          </w:tcPr>
          <w:p w14:paraId="0E36C803">
            <w:pPr>
              <w:adjustRightInd w:val="0"/>
              <w:snapToGrid w:val="0"/>
              <w:spacing w:line="320" w:lineRule="exact"/>
              <w:jc w:val="center"/>
              <w:rPr>
                <w:rFonts w:eastAsia="仿宋_GB2312"/>
                <w:color w:val="auto"/>
                <w:szCs w:val="21"/>
              </w:rPr>
            </w:pPr>
            <w:r>
              <w:rPr>
                <w:rFonts w:eastAsia="仿宋_GB2312"/>
                <w:color w:val="auto"/>
                <w:szCs w:val="21"/>
              </w:rPr>
              <w:t>/</w:t>
            </w:r>
          </w:p>
        </w:tc>
      </w:tr>
      <w:tr w14:paraId="4D947EA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464" w:type="dxa"/>
            <w:tcBorders>
              <w:tl2br w:val="nil"/>
              <w:tr2bl w:val="nil"/>
            </w:tcBorders>
            <w:vAlign w:val="center"/>
          </w:tcPr>
          <w:p w14:paraId="35272320">
            <w:pPr>
              <w:adjustRightInd w:val="0"/>
              <w:snapToGrid w:val="0"/>
              <w:spacing w:line="320" w:lineRule="exact"/>
              <w:jc w:val="center"/>
              <w:rPr>
                <w:rFonts w:eastAsia="仿宋_GB2312"/>
                <w:color w:val="auto"/>
                <w:szCs w:val="21"/>
              </w:rPr>
            </w:pPr>
            <w:r>
              <w:rPr>
                <w:rFonts w:eastAsia="仿宋_GB2312"/>
                <w:color w:val="auto"/>
                <w:szCs w:val="21"/>
              </w:rPr>
              <w:t>甲酸甲酯</w:t>
            </w:r>
          </w:p>
        </w:tc>
        <w:tc>
          <w:tcPr>
            <w:tcW w:w="862" w:type="dxa"/>
            <w:tcBorders>
              <w:tl2br w:val="nil"/>
              <w:tr2bl w:val="nil"/>
            </w:tcBorders>
            <w:vAlign w:val="center"/>
          </w:tcPr>
          <w:p w14:paraId="397B4E61">
            <w:pPr>
              <w:adjustRightInd w:val="0"/>
              <w:snapToGrid w:val="0"/>
              <w:spacing w:line="320" w:lineRule="exact"/>
              <w:jc w:val="center"/>
              <w:rPr>
                <w:rFonts w:eastAsia="仿宋_GB2312"/>
                <w:color w:val="auto"/>
                <w:szCs w:val="21"/>
              </w:rPr>
            </w:pPr>
            <w:r>
              <w:rPr>
                <w:rFonts w:eastAsia="仿宋_GB2312"/>
                <w:color w:val="auto"/>
                <w:szCs w:val="21"/>
              </w:rPr>
              <w:t>31037</w:t>
            </w:r>
          </w:p>
        </w:tc>
        <w:tc>
          <w:tcPr>
            <w:tcW w:w="803" w:type="dxa"/>
            <w:tcBorders>
              <w:tl2br w:val="nil"/>
              <w:tr2bl w:val="nil"/>
            </w:tcBorders>
            <w:vAlign w:val="center"/>
          </w:tcPr>
          <w:p w14:paraId="4A7AAB37">
            <w:pPr>
              <w:adjustRightInd w:val="0"/>
              <w:snapToGrid w:val="0"/>
              <w:spacing w:line="320" w:lineRule="exact"/>
              <w:jc w:val="center"/>
              <w:rPr>
                <w:rFonts w:eastAsia="仿宋_GB2312"/>
                <w:color w:val="auto"/>
                <w:szCs w:val="21"/>
              </w:rPr>
            </w:pPr>
            <w:r>
              <w:rPr>
                <w:rFonts w:eastAsia="仿宋_GB2312"/>
                <w:color w:val="auto"/>
                <w:szCs w:val="21"/>
              </w:rPr>
              <w:t>-32</w:t>
            </w:r>
          </w:p>
        </w:tc>
        <w:tc>
          <w:tcPr>
            <w:tcW w:w="896" w:type="dxa"/>
            <w:tcBorders>
              <w:tl2br w:val="nil"/>
              <w:tr2bl w:val="nil"/>
            </w:tcBorders>
            <w:vAlign w:val="center"/>
          </w:tcPr>
          <w:p w14:paraId="5F073DDC">
            <w:pPr>
              <w:adjustRightInd w:val="0"/>
              <w:snapToGrid w:val="0"/>
              <w:spacing w:line="320" w:lineRule="exact"/>
              <w:jc w:val="center"/>
              <w:rPr>
                <w:rFonts w:eastAsia="仿宋_GB2312"/>
                <w:color w:val="auto"/>
                <w:szCs w:val="21"/>
              </w:rPr>
            </w:pPr>
            <w:r>
              <w:rPr>
                <w:rFonts w:eastAsia="仿宋_GB2312"/>
                <w:color w:val="auto"/>
                <w:szCs w:val="21"/>
              </w:rPr>
              <w:t>32</w:t>
            </w:r>
          </w:p>
        </w:tc>
        <w:tc>
          <w:tcPr>
            <w:tcW w:w="896" w:type="dxa"/>
            <w:tcBorders>
              <w:tl2br w:val="nil"/>
              <w:tr2bl w:val="nil"/>
            </w:tcBorders>
            <w:vAlign w:val="center"/>
          </w:tcPr>
          <w:p w14:paraId="33DD1BCE">
            <w:pPr>
              <w:adjustRightInd w:val="0"/>
              <w:snapToGrid w:val="0"/>
              <w:spacing w:line="320" w:lineRule="exact"/>
              <w:jc w:val="center"/>
              <w:rPr>
                <w:rFonts w:eastAsia="仿宋_GB2312"/>
                <w:color w:val="auto"/>
                <w:szCs w:val="21"/>
              </w:rPr>
            </w:pPr>
            <w:r>
              <w:rPr>
                <w:rFonts w:eastAsia="仿宋_GB2312"/>
                <w:color w:val="auto"/>
                <w:szCs w:val="21"/>
              </w:rPr>
              <w:t>-99.8</w:t>
            </w:r>
          </w:p>
        </w:tc>
        <w:tc>
          <w:tcPr>
            <w:tcW w:w="1281" w:type="dxa"/>
            <w:tcBorders>
              <w:tl2br w:val="nil"/>
              <w:tr2bl w:val="nil"/>
            </w:tcBorders>
            <w:vAlign w:val="center"/>
          </w:tcPr>
          <w:p w14:paraId="4480837B">
            <w:pPr>
              <w:adjustRightInd w:val="0"/>
              <w:snapToGrid w:val="0"/>
              <w:spacing w:line="320" w:lineRule="exact"/>
              <w:jc w:val="center"/>
              <w:rPr>
                <w:rFonts w:eastAsia="仿宋_GB2312"/>
                <w:color w:val="auto"/>
                <w:szCs w:val="21"/>
              </w:rPr>
            </w:pPr>
            <w:r>
              <w:rPr>
                <w:rFonts w:eastAsia="仿宋_GB2312"/>
                <w:color w:val="auto"/>
                <w:szCs w:val="21"/>
              </w:rPr>
              <w:t>1622</w:t>
            </w:r>
          </w:p>
        </w:tc>
        <w:tc>
          <w:tcPr>
            <w:tcW w:w="1279" w:type="dxa"/>
            <w:tcBorders>
              <w:tl2br w:val="nil"/>
              <w:tr2bl w:val="nil"/>
            </w:tcBorders>
            <w:vAlign w:val="center"/>
          </w:tcPr>
          <w:p w14:paraId="1140D0C4">
            <w:pPr>
              <w:adjustRightInd w:val="0"/>
              <w:snapToGrid w:val="0"/>
              <w:spacing w:line="320" w:lineRule="exact"/>
              <w:jc w:val="center"/>
              <w:rPr>
                <w:rFonts w:eastAsia="仿宋_GB2312"/>
                <w:color w:val="auto"/>
                <w:szCs w:val="21"/>
              </w:rPr>
            </w:pPr>
            <w:r>
              <w:rPr>
                <w:rFonts w:eastAsia="仿宋_GB2312"/>
                <w:color w:val="auto"/>
                <w:szCs w:val="21"/>
              </w:rPr>
              <w:t>/</w:t>
            </w:r>
          </w:p>
        </w:tc>
        <w:tc>
          <w:tcPr>
            <w:tcW w:w="1365" w:type="dxa"/>
            <w:tcBorders>
              <w:tl2br w:val="nil"/>
              <w:tr2bl w:val="nil"/>
            </w:tcBorders>
            <w:vAlign w:val="center"/>
          </w:tcPr>
          <w:p w14:paraId="7E95A2D3">
            <w:pPr>
              <w:adjustRightInd w:val="0"/>
              <w:snapToGrid w:val="0"/>
              <w:spacing w:line="320" w:lineRule="exact"/>
              <w:jc w:val="center"/>
              <w:rPr>
                <w:rFonts w:eastAsia="仿宋_GB2312"/>
                <w:color w:val="auto"/>
                <w:szCs w:val="21"/>
              </w:rPr>
            </w:pPr>
            <w:r>
              <w:rPr>
                <w:rFonts w:eastAsia="仿宋_GB2312"/>
                <w:color w:val="auto"/>
                <w:szCs w:val="21"/>
              </w:rPr>
              <w:t>/</w:t>
            </w:r>
          </w:p>
        </w:tc>
      </w:tr>
      <w:tr w14:paraId="618B231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464" w:type="dxa"/>
            <w:tcBorders>
              <w:tl2br w:val="nil"/>
              <w:tr2bl w:val="nil"/>
            </w:tcBorders>
            <w:vAlign w:val="center"/>
          </w:tcPr>
          <w:p w14:paraId="54CA9145">
            <w:pPr>
              <w:adjustRightInd w:val="0"/>
              <w:snapToGrid w:val="0"/>
              <w:spacing w:line="320" w:lineRule="exact"/>
              <w:jc w:val="center"/>
              <w:rPr>
                <w:rFonts w:eastAsia="仿宋_GB2312"/>
                <w:color w:val="auto"/>
                <w:szCs w:val="21"/>
              </w:rPr>
            </w:pPr>
            <w:r>
              <w:rPr>
                <w:rFonts w:eastAsia="仿宋_GB2312"/>
                <w:color w:val="auto"/>
                <w:szCs w:val="21"/>
              </w:rPr>
              <w:t>环己酮</w:t>
            </w:r>
          </w:p>
        </w:tc>
        <w:tc>
          <w:tcPr>
            <w:tcW w:w="862" w:type="dxa"/>
            <w:tcBorders>
              <w:tl2br w:val="nil"/>
              <w:tr2bl w:val="nil"/>
            </w:tcBorders>
            <w:vAlign w:val="center"/>
          </w:tcPr>
          <w:p w14:paraId="7A33F967">
            <w:pPr>
              <w:adjustRightInd w:val="0"/>
              <w:snapToGrid w:val="0"/>
              <w:spacing w:line="320" w:lineRule="exact"/>
              <w:jc w:val="center"/>
              <w:rPr>
                <w:rFonts w:eastAsia="仿宋_GB2312"/>
                <w:color w:val="auto"/>
                <w:szCs w:val="21"/>
              </w:rPr>
            </w:pPr>
            <w:r>
              <w:rPr>
                <w:rFonts w:eastAsia="仿宋_GB2312"/>
                <w:color w:val="auto"/>
                <w:szCs w:val="21"/>
              </w:rPr>
              <w:t>33590</w:t>
            </w:r>
          </w:p>
        </w:tc>
        <w:tc>
          <w:tcPr>
            <w:tcW w:w="803" w:type="dxa"/>
            <w:tcBorders>
              <w:tl2br w:val="nil"/>
              <w:tr2bl w:val="nil"/>
            </w:tcBorders>
            <w:vAlign w:val="center"/>
          </w:tcPr>
          <w:p w14:paraId="36F3CF7E">
            <w:pPr>
              <w:adjustRightInd w:val="0"/>
              <w:snapToGrid w:val="0"/>
              <w:spacing w:line="320" w:lineRule="exact"/>
              <w:jc w:val="center"/>
              <w:rPr>
                <w:rFonts w:eastAsia="仿宋_GB2312"/>
                <w:color w:val="auto"/>
                <w:szCs w:val="21"/>
              </w:rPr>
            </w:pPr>
            <w:r>
              <w:rPr>
                <w:rFonts w:eastAsia="仿宋_GB2312"/>
                <w:color w:val="auto"/>
                <w:szCs w:val="21"/>
              </w:rPr>
              <w:t>43</w:t>
            </w:r>
          </w:p>
        </w:tc>
        <w:tc>
          <w:tcPr>
            <w:tcW w:w="896" w:type="dxa"/>
            <w:tcBorders>
              <w:tl2br w:val="nil"/>
              <w:tr2bl w:val="nil"/>
            </w:tcBorders>
            <w:vAlign w:val="center"/>
          </w:tcPr>
          <w:p w14:paraId="426BDDFB">
            <w:pPr>
              <w:adjustRightInd w:val="0"/>
              <w:snapToGrid w:val="0"/>
              <w:spacing w:line="320" w:lineRule="exact"/>
              <w:jc w:val="center"/>
              <w:rPr>
                <w:rFonts w:eastAsia="仿宋_GB2312"/>
                <w:color w:val="auto"/>
                <w:szCs w:val="21"/>
              </w:rPr>
            </w:pPr>
            <w:r>
              <w:rPr>
                <w:rFonts w:eastAsia="仿宋_GB2312"/>
                <w:color w:val="auto"/>
                <w:szCs w:val="21"/>
              </w:rPr>
              <w:t>155</w:t>
            </w:r>
          </w:p>
        </w:tc>
        <w:tc>
          <w:tcPr>
            <w:tcW w:w="896" w:type="dxa"/>
            <w:tcBorders>
              <w:tl2br w:val="nil"/>
              <w:tr2bl w:val="nil"/>
            </w:tcBorders>
            <w:vAlign w:val="center"/>
          </w:tcPr>
          <w:p w14:paraId="3F2FAB6B">
            <w:pPr>
              <w:adjustRightInd w:val="0"/>
              <w:snapToGrid w:val="0"/>
              <w:spacing w:line="320" w:lineRule="exact"/>
              <w:jc w:val="center"/>
              <w:rPr>
                <w:rFonts w:eastAsia="仿宋_GB2312"/>
                <w:color w:val="auto"/>
                <w:szCs w:val="21"/>
              </w:rPr>
            </w:pPr>
            <w:r>
              <w:rPr>
                <w:rFonts w:eastAsia="仿宋_GB2312"/>
                <w:color w:val="auto"/>
                <w:szCs w:val="21"/>
              </w:rPr>
              <w:t>-31</w:t>
            </w:r>
          </w:p>
        </w:tc>
        <w:tc>
          <w:tcPr>
            <w:tcW w:w="1281" w:type="dxa"/>
            <w:tcBorders>
              <w:tl2br w:val="nil"/>
              <w:tr2bl w:val="nil"/>
            </w:tcBorders>
            <w:vAlign w:val="center"/>
          </w:tcPr>
          <w:p w14:paraId="22CFFB6B">
            <w:pPr>
              <w:adjustRightInd w:val="0"/>
              <w:snapToGrid w:val="0"/>
              <w:spacing w:line="320" w:lineRule="exact"/>
              <w:jc w:val="center"/>
              <w:rPr>
                <w:rFonts w:eastAsia="仿宋_GB2312"/>
                <w:color w:val="auto"/>
                <w:szCs w:val="21"/>
              </w:rPr>
            </w:pPr>
            <w:r>
              <w:rPr>
                <w:rFonts w:eastAsia="仿宋_GB2312"/>
                <w:color w:val="auto"/>
                <w:szCs w:val="21"/>
              </w:rPr>
              <w:t>1540</w:t>
            </w:r>
          </w:p>
        </w:tc>
        <w:tc>
          <w:tcPr>
            <w:tcW w:w="1279" w:type="dxa"/>
            <w:tcBorders>
              <w:tl2br w:val="nil"/>
              <w:tr2bl w:val="nil"/>
            </w:tcBorders>
            <w:vAlign w:val="center"/>
          </w:tcPr>
          <w:p w14:paraId="1FECFFA8">
            <w:pPr>
              <w:adjustRightInd w:val="0"/>
              <w:snapToGrid w:val="0"/>
              <w:spacing w:line="320" w:lineRule="exact"/>
              <w:jc w:val="center"/>
              <w:rPr>
                <w:rFonts w:eastAsia="仿宋_GB2312"/>
                <w:color w:val="auto"/>
                <w:szCs w:val="21"/>
              </w:rPr>
            </w:pPr>
            <w:r>
              <w:rPr>
                <w:rFonts w:eastAsia="仿宋_GB2312"/>
                <w:color w:val="auto"/>
                <w:szCs w:val="21"/>
              </w:rPr>
              <w:t>948</w:t>
            </w:r>
          </w:p>
        </w:tc>
        <w:tc>
          <w:tcPr>
            <w:tcW w:w="1365" w:type="dxa"/>
            <w:tcBorders>
              <w:tl2br w:val="nil"/>
              <w:tr2bl w:val="nil"/>
            </w:tcBorders>
            <w:vAlign w:val="center"/>
          </w:tcPr>
          <w:p w14:paraId="621883F4">
            <w:pPr>
              <w:adjustRightInd w:val="0"/>
              <w:snapToGrid w:val="0"/>
              <w:spacing w:line="320" w:lineRule="exact"/>
              <w:jc w:val="center"/>
              <w:rPr>
                <w:rFonts w:eastAsia="仿宋_GB2312"/>
                <w:color w:val="auto"/>
                <w:szCs w:val="21"/>
              </w:rPr>
            </w:pPr>
            <w:r>
              <w:rPr>
                <w:rFonts w:eastAsia="仿宋_GB2312"/>
                <w:color w:val="auto"/>
                <w:szCs w:val="21"/>
              </w:rPr>
              <w:t>4000ppm</w:t>
            </w:r>
          </w:p>
        </w:tc>
      </w:tr>
      <w:tr w14:paraId="029663F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464" w:type="dxa"/>
            <w:tcBorders>
              <w:tl2br w:val="nil"/>
              <w:tr2bl w:val="nil"/>
            </w:tcBorders>
            <w:vAlign w:val="center"/>
          </w:tcPr>
          <w:p w14:paraId="31CF434A">
            <w:pPr>
              <w:adjustRightInd w:val="0"/>
              <w:snapToGrid w:val="0"/>
              <w:spacing w:line="320" w:lineRule="exact"/>
              <w:jc w:val="center"/>
              <w:rPr>
                <w:rFonts w:eastAsia="仿宋_GB2312"/>
                <w:color w:val="auto"/>
                <w:szCs w:val="21"/>
              </w:rPr>
            </w:pPr>
            <w:r>
              <w:rPr>
                <w:rFonts w:eastAsia="仿宋_GB2312"/>
                <w:color w:val="auto"/>
                <w:szCs w:val="21"/>
              </w:rPr>
              <w:t>碳化硅</w:t>
            </w:r>
          </w:p>
        </w:tc>
        <w:tc>
          <w:tcPr>
            <w:tcW w:w="862" w:type="dxa"/>
            <w:tcBorders>
              <w:tl2br w:val="nil"/>
              <w:tr2bl w:val="nil"/>
            </w:tcBorders>
            <w:vAlign w:val="center"/>
          </w:tcPr>
          <w:p w14:paraId="77553E5A">
            <w:pPr>
              <w:adjustRightInd w:val="0"/>
              <w:snapToGrid w:val="0"/>
              <w:spacing w:line="320" w:lineRule="exact"/>
              <w:jc w:val="center"/>
              <w:rPr>
                <w:rFonts w:eastAsia="仿宋_GB2312"/>
                <w:color w:val="auto"/>
                <w:szCs w:val="21"/>
              </w:rPr>
            </w:pPr>
            <w:r>
              <w:rPr>
                <w:rFonts w:eastAsia="仿宋_GB2312"/>
                <w:color w:val="auto"/>
                <w:szCs w:val="21"/>
              </w:rPr>
              <w:t>/</w:t>
            </w:r>
          </w:p>
        </w:tc>
        <w:tc>
          <w:tcPr>
            <w:tcW w:w="803" w:type="dxa"/>
            <w:tcBorders>
              <w:tl2br w:val="nil"/>
              <w:tr2bl w:val="nil"/>
            </w:tcBorders>
            <w:vAlign w:val="center"/>
          </w:tcPr>
          <w:p w14:paraId="1C46060C">
            <w:pPr>
              <w:adjustRightInd w:val="0"/>
              <w:snapToGrid w:val="0"/>
              <w:spacing w:line="320" w:lineRule="exact"/>
              <w:jc w:val="center"/>
              <w:rPr>
                <w:rFonts w:eastAsia="仿宋_GB2312"/>
                <w:color w:val="auto"/>
                <w:szCs w:val="21"/>
              </w:rPr>
            </w:pPr>
            <w:r>
              <w:rPr>
                <w:rFonts w:eastAsia="仿宋_GB2312"/>
                <w:color w:val="auto"/>
                <w:szCs w:val="21"/>
              </w:rPr>
              <w:t>/</w:t>
            </w:r>
          </w:p>
        </w:tc>
        <w:tc>
          <w:tcPr>
            <w:tcW w:w="896" w:type="dxa"/>
            <w:tcBorders>
              <w:tl2br w:val="nil"/>
              <w:tr2bl w:val="nil"/>
            </w:tcBorders>
            <w:vAlign w:val="center"/>
          </w:tcPr>
          <w:p w14:paraId="4562BDDF">
            <w:pPr>
              <w:adjustRightInd w:val="0"/>
              <w:snapToGrid w:val="0"/>
              <w:spacing w:line="320" w:lineRule="exact"/>
              <w:jc w:val="center"/>
              <w:rPr>
                <w:rFonts w:eastAsia="仿宋_GB2312"/>
                <w:color w:val="auto"/>
                <w:szCs w:val="21"/>
              </w:rPr>
            </w:pPr>
            <w:r>
              <w:rPr>
                <w:rFonts w:eastAsia="仿宋_GB2312"/>
                <w:color w:val="auto"/>
                <w:szCs w:val="21"/>
              </w:rPr>
              <w:t>1560</w:t>
            </w:r>
          </w:p>
        </w:tc>
        <w:tc>
          <w:tcPr>
            <w:tcW w:w="896" w:type="dxa"/>
            <w:tcBorders>
              <w:tl2br w:val="nil"/>
              <w:tr2bl w:val="nil"/>
            </w:tcBorders>
            <w:vAlign w:val="center"/>
          </w:tcPr>
          <w:p w14:paraId="781AE0BC">
            <w:pPr>
              <w:adjustRightInd w:val="0"/>
              <w:snapToGrid w:val="0"/>
              <w:spacing w:line="320" w:lineRule="exact"/>
              <w:jc w:val="center"/>
              <w:rPr>
                <w:rFonts w:eastAsia="仿宋_GB2312"/>
                <w:color w:val="auto"/>
                <w:szCs w:val="21"/>
              </w:rPr>
            </w:pPr>
            <w:r>
              <w:rPr>
                <w:rFonts w:eastAsia="仿宋_GB2312"/>
                <w:color w:val="auto"/>
                <w:szCs w:val="21"/>
              </w:rPr>
              <w:t>/</w:t>
            </w:r>
          </w:p>
        </w:tc>
        <w:tc>
          <w:tcPr>
            <w:tcW w:w="1281" w:type="dxa"/>
            <w:tcBorders>
              <w:tl2br w:val="nil"/>
              <w:tr2bl w:val="nil"/>
            </w:tcBorders>
            <w:vAlign w:val="center"/>
          </w:tcPr>
          <w:p w14:paraId="3A2C8C80">
            <w:pPr>
              <w:adjustRightInd w:val="0"/>
              <w:snapToGrid w:val="0"/>
              <w:spacing w:line="320" w:lineRule="exact"/>
              <w:jc w:val="center"/>
              <w:rPr>
                <w:rFonts w:eastAsia="仿宋_GB2312"/>
                <w:color w:val="auto"/>
                <w:szCs w:val="21"/>
              </w:rPr>
            </w:pPr>
            <w:r>
              <w:rPr>
                <w:rFonts w:eastAsia="仿宋_GB2312"/>
                <w:color w:val="auto"/>
                <w:szCs w:val="21"/>
              </w:rPr>
              <w:t>/</w:t>
            </w:r>
          </w:p>
        </w:tc>
        <w:tc>
          <w:tcPr>
            <w:tcW w:w="1279" w:type="dxa"/>
            <w:tcBorders>
              <w:tl2br w:val="nil"/>
              <w:tr2bl w:val="nil"/>
            </w:tcBorders>
            <w:vAlign w:val="center"/>
          </w:tcPr>
          <w:p w14:paraId="5A16DC3F">
            <w:pPr>
              <w:adjustRightInd w:val="0"/>
              <w:snapToGrid w:val="0"/>
              <w:spacing w:line="320" w:lineRule="exact"/>
              <w:jc w:val="center"/>
              <w:rPr>
                <w:rFonts w:eastAsia="仿宋_GB2312"/>
                <w:color w:val="auto"/>
                <w:szCs w:val="21"/>
              </w:rPr>
            </w:pPr>
            <w:r>
              <w:rPr>
                <w:rFonts w:eastAsia="仿宋_GB2312"/>
                <w:color w:val="auto"/>
                <w:szCs w:val="21"/>
              </w:rPr>
              <w:t>/</w:t>
            </w:r>
          </w:p>
        </w:tc>
        <w:tc>
          <w:tcPr>
            <w:tcW w:w="1365" w:type="dxa"/>
            <w:tcBorders>
              <w:tl2br w:val="nil"/>
              <w:tr2bl w:val="nil"/>
            </w:tcBorders>
            <w:vAlign w:val="center"/>
          </w:tcPr>
          <w:p w14:paraId="3A0C3D3F">
            <w:pPr>
              <w:adjustRightInd w:val="0"/>
              <w:snapToGrid w:val="0"/>
              <w:spacing w:line="320" w:lineRule="exact"/>
              <w:jc w:val="center"/>
              <w:rPr>
                <w:rFonts w:eastAsia="仿宋_GB2312"/>
                <w:color w:val="auto"/>
                <w:szCs w:val="21"/>
              </w:rPr>
            </w:pPr>
            <w:r>
              <w:rPr>
                <w:rFonts w:eastAsia="仿宋_GB2312"/>
                <w:color w:val="auto"/>
                <w:szCs w:val="21"/>
              </w:rPr>
              <w:t>/</w:t>
            </w:r>
          </w:p>
        </w:tc>
      </w:tr>
      <w:tr w14:paraId="5B0D86B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464" w:type="dxa"/>
            <w:tcBorders>
              <w:tl2br w:val="nil"/>
              <w:tr2bl w:val="nil"/>
            </w:tcBorders>
            <w:vAlign w:val="center"/>
          </w:tcPr>
          <w:p w14:paraId="5E86D366">
            <w:pPr>
              <w:adjustRightInd w:val="0"/>
              <w:snapToGrid w:val="0"/>
              <w:spacing w:line="320" w:lineRule="exact"/>
              <w:jc w:val="center"/>
              <w:rPr>
                <w:rFonts w:eastAsia="仿宋_GB2312"/>
                <w:color w:val="auto"/>
                <w:szCs w:val="21"/>
              </w:rPr>
            </w:pPr>
            <w:r>
              <w:rPr>
                <w:rFonts w:eastAsia="仿宋_GB2312"/>
                <w:color w:val="auto"/>
                <w:szCs w:val="21"/>
              </w:rPr>
              <w:t>聚丙二醇</w:t>
            </w:r>
          </w:p>
        </w:tc>
        <w:tc>
          <w:tcPr>
            <w:tcW w:w="862" w:type="dxa"/>
            <w:tcBorders>
              <w:tl2br w:val="nil"/>
              <w:tr2bl w:val="nil"/>
            </w:tcBorders>
            <w:vAlign w:val="center"/>
          </w:tcPr>
          <w:p w14:paraId="7568DEDF">
            <w:pPr>
              <w:adjustRightInd w:val="0"/>
              <w:snapToGrid w:val="0"/>
              <w:spacing w:line="320" w:lineRule="exact"/>
              <w:jc w:val="center"/>
              <w:rPr>
                <w:rFonts w:eastAsia="仿宋_GB2312"/>
                <w:color w:val="auto"/>
                <w:szCs w:val="21"/>
              </w:rPr>
            </w:pPr>
            <w:r>
              <w:rPr>
                <w:rFonts w:eastAsia="仿宋_GB2312"/>
                <w:color w:val="auto"/>
                <w:szCs w:val="21"/>
              </w:rPr>
              <w:t>/</w:t>
            </w:r>
          </w:p>
        </w:tc>
        <w:tc>
          <w:tcPr>
            <w:tcW w:w="803" w:type="dxa"/>
            <w:tcBorders>
              <w:tl2br w:val="nil"/>
              <w:tr2bl w:val="nil"/>
            </w:tcBorders>
            <w:vAlign w:val="center"/>
          </w:tcPr>
          <w:p w14:paraId="533B1AA7">
            <w:pPr>
              <w:adjustRightInd w:val="0"/>
              <w:snapToGrid w:val="0"/>
              <w:spacing w:line="320" w:lineRule="exact"/>
              <w:jc w:val="center"/>
              <w:rPr>
                <w:rFonts w:eastAsia="仿宋_GB2312"/>
                <w:color w:val="auto"/>
                <w:szCs w:val="21"/>
              </w:rPr>
            </w:pPr>
            <w:r>
              <w:rPr>
                <w:rFonts w:eastAsia="仿宋_GB2312"/>
                <w:color w:val="auto"/>
                <w:szCs w:val="21"/>
              </w:rPr>
              <w:t>/</w:t>
            </w:r>
          </w:p>
        </w:tc>
        <w:tc>
          <w:tcPr>
            <w:tcW w:w="896" w:type="dxa"/>
            <w:tcBorders>
              <w:tl2br w:val="nil"/>
              <w:tr2bl w:val="nil"/>
            </w:tcBorders>
            <w:vAlign w:val="center"/>
          </w:tcPr>
          <w:p w14:paraId="1D7A6C6F">
            <w:pPr>
              <w:adjustRightInd w:val="0"/>
              <w:snapToGrid w:val="0"/>
              <w:spacing w:line="320" w:lineRule="exact"/>
              <w:jc w:val="center"/>
              <w:rPr>
                <w:rFonts w:eastAsia="仿宋_GB2312"/>
                <w:color w:val="auto"/>
                <w:szCs w:val="21"/>
              </w:rPr>
            </w:pPr>
            <w:r>
              <w:rPr>
                <w:rFonts w:eastAsia="仿宋_GB2312"/>
                <w:color w:val="auto"/>
                <w:szCs w:val="21"/>
              </w:rPr>
              <w:t>/</w:t>
            </w:r>
          </w:p>
        </w:tc>
        <w:tc>
          <w:tcPr>
            <w:tcW w:w="896" w:type="dxa"/>
            <w:tcBorders>
              <w:tl2br w:val="nil"/>
              <w:tr2bl w:val="nil"/>
            </w:tcBorders>
            <w:vAlign w:val="center"/>
          </w:tcPr>
          <w:p w14:paraId="7C9EAA26">
            <w:pPr>
              <w:adjustRightInd w:val="0"/>
              <w:snapToGrid w:val="0"/>
              <w:spacing w:line="320" w:lineRule="exact"/>
              <w:jc w:val="center"/>
              <w:rPr>
                <w:rFonts w:eastAsia="仿宋_GB2312"/>
                <w:color w:val="auto"/>
                <w:szCs w:val="21"/>
              </w:rPr>
            </w:pPr>
            <w:r>
              <w:rPr>
                <w:rFonts w:eastAsia="仿宋_GB2312"/>
                <w:color w:val="auto"/>
                <w:szCs w:val="21"/>
              </w:rPr>
              <w:t>/</w:t>
            </w:r>
          </w:p>
        </w:tc>
        <w:tc>
          <w:tcPr>
            <w:tcW w:w="1281" w:type="dxa"/>
            <w:tcBorders>
              <w:tl2br w:val="nil"/>
              <w:tr2bl w:val="nil"/>
            </w:tcBorders>
            <w:vAlign w:val="center"/>
          </w:tcPr>
          <w:p w14:paraId="6DF26D1C">
            <w:pPr>
              <w:adjustRightInd w:val="0"/>
              <w:snapToGrid w:val="0"/>
              <w:spacing w:line="320" w:lineRule="exact"/>
              <w:jc w:val="center"/>
              <w:rPr>
                <w:rFonts w:eastAsia="仿宋_GB2312"/>
                <w:color w:val="auto"/>
                <w:szCs w:val="21"/>
              </w:rPr>
            </w:pPr>
            <w:r>
              <w:rPr>
                <w:rFonts w:eastAsia="仿宋_GB2312"/>
                <w:color w:val="auto"/>
                <w:szCs w:val="21"/>
              </w:rPr>
              <w:t>4220</w:t>
            </w:r>
          </w:p>
        </w:tc>
        <w:tc>
          <w:tcPr>
            <w:tcW w:w="1279" w:type="dxa"/>
            <w:tcBorders>
              <w:tl2br w:val="nil"/>
              <w:tr2bl w:val="nil"/>
            </w:tcBorders>
            <w:vAlign w:val="center"/>
          </w:tcPr>
          <w:p w14:paraId="0850CE60">
            <w:pPr>
              <w:adjustRightInd w:val="0"/>
              <w:snapToGrid w:val="0"/>
              <w:spacing w:line="320" w:lineRule="exact"/>
              <w:jc w:val="center"/>
              <w:rPr>
                <w:rFonts w:eastAsia="仿宋_GB2312"/>
                <w:color w:val="auto"/>
                <w:szCs w:val="21"/>
              </w:rPr>
            </w:pPr>
            <w:r>
              <w:rPr>
                <w:rFonts w:eastAsia="仿宋_GB2312"/>
                <w:color w:val="auto"/>
                <w:szCs w:val="21"/>
              </w:rPr>
              <w:t>/</w:t>
            </w:r>
          </w:p>
        </w:tc>
        <w:tc>
          <w:tcPr>
            <w:tcW w:w="1365" w:type="dxa"/>
            <w:tcBorders>
              <w:tl2br w:val="nil"/>
              <w:tr2bl w:val="nil"/>
            </w:tcBorders>
            <w:vAlign w:val="center"/>
          </w:tcPr>
          <w:p w14:paraId="1F09EE73">
            <w:pPr>
              <w:adjustRightInd w:val="0"/>
              <w:snapToGrid w:val="0"/>
              <w:spacing w:line="320" w:lineRule="exact"/>
              <w:jc w:val="center"/>
              <w:rPr>
                <w:rFonts w:eastAsia="仿宋_GB2312"/>
                <w:color w:val="auto"/>
                <w:szCs w:val="21"/>
              </w:rPr>
            </w:pPr>
            <w:r>
              <w:rPr>
                <w:rFonts w:eastAsia="仿宋_GB2312"/>
                <w:color w:val="auto"/>
                <w:szCs w:val="21"/>
              </w:rPr>
              <w:t>/</w:t>
            </w:r>
          </w:p>
        </w:tc>
      </w:tr>
      <w:tr w14:paraId="781C65E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464" w:type="dxa"/>
            <w:tcBorders>
              <w:tl2br w:val="nil"/>
              <w:tr2bl w:val="nil"/>
            </w:tcBorders>
            <w:vAlign w:val="center"/>
          </w:tcPr>
          <w:p w14:paraId="30F7267A">
            <w:pPr>
              <w:adjustRightInd w:val="0"/>
              <w:snapToGrid w:val="0"/>
              <w:spacing w:line="320" w:lineRule="exact"/>
              <w:jc w:val="center"/>
              <w:rPr>
                <w:rFonts w:eastAsia="仿宋_GB2312"/>
                <w:color w:val="auto"/>
                <w:szCs w:val="21"/>
              </w:rPr>
            </w:pPr>
            <w:r>
              <w:rPr>
                <w:rFonts w:eastAsia="仿宋_GB2312"/>
                <w:color w:val="auto"/>
                <w:szCs w:val="21"/>
              </w:rPr>
              <w:t>钛白粉</w:t>
            </w:r>
          </w:p>
        </w:tc>
        <w:tc>
          <w:tcPr>
            <w:tcW w:w="862" w:type="dxa"/>
            <w:tcBorders>
              <w:tl2br w:val="nil"/>
              <w:tr2bl w:val="nil"/>
            </w:tcBorders>
            <w:vAlign w:val="center"/>
          </w:tcPr>
          <w:p w14:paraId="148BEF0A">
            <w:pPr>
              <w:adjustRightInd w:val="0"/>
              <w:snapToGrid w:val="0"/>
              <w:spacing w:line="320" w:lineRule="exact"/>
              <w:jc w:val="center"/>
              <w:rPr>
                <w:rFonts w:eastAsia="仿宋_GB2312"/>
                <w:color w:val="auto"/>
                <w:szCs w:val="21"/>
              </w:rPr>
            </w:pPr>
            <w:r>
              <w:rPr>
                <w:rFonts w:eastAsia="仿宋_GB2312"/>
                <w:color w:val="auto"/>
                <w:szCs w:val="21"/>
              </w:rPr>
              <w:t>/</w:t>
            </w:r>
          </w:p>
        </w:tc>
        <w:tc>
          <w:tcPr>
            <w:tcW w:w="803" w:type="dxa"/>
            <w:tcBorders>
              <w:tl2br w:val="nil"/>
              <w:tr2bl w:val="nil"/>
            </w:tcBorders>
            <w:vAlign w:val="center"/>
          </w:tcPr>
          <w:p w14:paraId="575E0881">
            <w:pPr>
              <w:adjustRightInd w:val="0"/>
              <w:snapToGrid w:val="0"/>
              <w:spacing w:line="320" w:lineRule="exact"/>
              <w:jc w:val="center"/>
              <w:rPr>
                <w:rFonts w:eastAsia="仿宋_GB2312"/>
                <w:color w:val="auto"/>
                <w:szCs w:val="21"/>
              </w:rPr>
            </w:pPr>
            <w:r>
              <w:rPr>
                <w:rFonts w:eastAsia="仿宋_GB2312"/>
                <w:color w:val="auto"/>
                <w:szCs w:val="21"/>
              </w:rPr>
              <w:t>/</w:t>
            </w:r>
          </w:p>
        </w:tc>
        <w:tc>
          <w:tcPr>
            <w:tcW w:w="896" w:type="dxa"/>
            <w:tcBorders>
              <w:tl2br w:val="nil"/>
              <w:tr2bl w:val="nil"/>
            </w:tcBorders>
            <w:vAlign w:val="center"/>
          </w:tcPr>
          <w:p w14:paraId="4D792DB4">
            <w:pPr>
              <w:adjustRightInd w:val="0"/>
              <w:snapToGrid w:val="0"/>
              <w:spacing w:line="320" w:lineRule="exact"/>
              <w:jc w:val="center"/>
              <w:rPr>
                <w:rFonts w:eastAsia="仿宋_GB2312"/>
                <w:color w:val="auto"/>
                <w:szCs w:val="21"/>
              </w:rPr>
            </w:pPr>
            <w:r>
              <w:rPr>
                <w:rFonts w:eastAsia="仿宋_GB2312"/>
                <w:color w:val="auto"/>
                <w:szCs w:val="21"/>
              </w:rPr>
              <w:t>1560</w:t>
            </w:r>
          </w:p>
        </w:tc>
        <w:tc>
          <w:tcPr>
            <w:tcW w:w="896" w:type="dxa"/>
            <w:tcBorders>
              <w:tl2br w:val="nil"/>
              <w:tr2bl w:val="nil"/>
            </w:tcBorders>
            <w:vAlign w:val="center"/>
          </w:tcPr>
          <w:p w14:paraId="3CDB415C">
            <w:pPr>
              <w:adjustRightInd w:val="0"/>
              <w:snapToGrid w:val="0"/>
              <w:spacing w:line="320" w:lineRule="exact"/>
              <w:jc w:val="center"/>
              <w:rPr>
                <w:rFonts w:eastAsia="仿宋_GB2312"/>
                <w:color w:val="auto"/>
                <w:szCs w:val="21"/>
              </w:rPr>
            </w:pPr>
            <w:r>
              <w:rPr>
                <w:rFonts w:eastAsia="仿宋_GB2312"/>
                <w:color w:val="auto"/>
                <w:szCs w:val="21"/>
              </w:rPr>
              <w:t>/</w:t>
            </w:r>
          </w:p>
        </w:tc>
        <w:tc>
          <w:tcPr>
            <w:tcW w:w="1281" w:type="dxa"/>
            <w:tcBorders>
              <w:tl2br w:val="nil"/>
              <w:tr2bl w:val="nil"/>
            </w:tcBorders>
            <w:vAlign w:val="center"/>
          </w:tcPr>
          <w:p w14:paraId="426740A3">
            <w:pPr>
              <w:adjustRightInd w:val="0"/>
              <w:snapToGrid w:val="0"/>
              <w:spacing w:line="320" w:lineRule="exact"/>
              <w:jc w:val="center"/>
              <w:rPr>
                <w:rFonts w:eastAsia="仿宋_GB2312"/>
                <w:color w:val="auto"/>
                <w:szCs w:val="21"/>
              </w:rPr>
            </w:pPr>
            <w:r>
              <w:rPr>
                <w:rFonts w:eastAsia="仿宋_GB2312"/>
                <w:color w:val="auto"/>
                <w:szCs w:val="21"/>
              </w:rPr>
              <w:t>/</w:t>
            </w:r>
          </w:p>
        </w:tc>
        <w:tc>
          <w:tcPr>
            <w:tcW w:w="1279" w:type="dxa"/>
            <w:tcBorders>
              <w:tl2br w:val="nil"/>
              <w:tr2bl w:val="nil"/>
            </w:tcBorders>
            <w:vAlign w:val="center"/>
          </w:tcPr>
          <w:p w14:paraId="0E277B5E">
            <w:pPr>
              <w:adjustRightInd w:val="0"/>
              <w:snapToGrid w:val="0"/>
              <w:spacing w:line="320" w:lineRule="exact"/>
              <w:jc w:val="center"/>
              <w:rPr>
                <w:rFonts w:eastAsia="仿宋_GB2312"/>
                <w:color w:val="auto"/>
                <w:szCs w:val="21"/>
              </w:rPr>
            </w:pPr>
            <w:r>
              <w:rPr>
                <w:rFonts w:eastAsia="仿宋_GB2312"/>
                <w:color w:val="auto"/>
                <w:szCs w:val="21"/>
              </w:rPr>
              <w:t>/</w:t>
            </w:r>
          </w:p>
        </w:tc>
        <w:tc>
          <w:tcPr>
            <w:tcW w:w="1365" w:type="dxa"/>
            <w:tcBorders>
              <w:tl2br w:val="nil"/>
              <w:tr2bl w:val="nil"/>
            </w:tcBorders>
            <w:vAlign w:val="center"/>
          </w:tcPr>
          <w:p w14:paraId="1BB489EF">
            <w:pPr>
              <w:adjustRightInd w:val="0"/>
              <w:snapToGrid w:val="0"/>
              <w:spacing w:line="320" w:lineRule="exact"/>
              <w:jc w:val="center"/>
              <w:rPr>
                <w:rFonts w:eastAsia="仿宋_GB2312"/>
                <w:color w:val="auto"/>
                <w:szCs w:val="21"/>
              </w:rPr>
            </w:pPr>
            <w:r>
              <w:rPr>
                <w:rFonts w:eastAsia="仿宋_GB2312"/>
                <w:color w:val="auto"/>
                <w:szCs w:val="21"/>
              </w:rPr>
              <w:t>/</w:t>
            </w:r>
          </w:p>
        </w:tc>
      </w:tr>
      <w:tr w14:paraId="64DF054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464" w:type="dxa"/>
            <w:tcBorders>
              <w:tl2br w:val="nil"/>
              <w:tr2bl w:val="nil"/>
            </w:tcBorders>
            <w:vAlign w:val="center"/>
          </w:tcPr>
          <w:p w14:paraId="747EEF3D">
            <w:pPr>
              <w:adjustRightInd w:val="0"/>
              <w:snapToGrid w:val="0"/>
              <w:spacing w:line="320" w:lineRule="exact"/>
              <w:jc w:val="center"/>
              <w:rPr>
                <w:rFonts w:eastAsia="仿宋_GB2312"/>
                <w:color w:val="auto"/>
                <w:szCs w:val="21"/>
              </w:rPr>
            </w:pPr>
            <w:r>
              <w:rPr>
                <w:rFonts w:eastAsia="仿宋_GB2312"/>
                <w:color w:val="auto"/>
                <w:szCs w:val="21"/>
              </w:rPr>
              <w:t>乙二醇乙醚醋酸酯</w:t>
            </w:r>
          </w:p>
        </w:tc>
        <w:tc>
          <w:tcPr>
            <w:tcW w:w="862" w:type="dxa"/>
            <w:tcBorders>
              <w:tl2br w:val="nil"/>
              <w:tr2bl w:val="nil"/>
            </w:tcBorders>
            <w:vAlign w:val="center"/>
          </w:tcPr>
          <w:p w14:paraId="44ACF590">
            <w:pPr>
              <w:adjustRightInd w:val="0"/>
              <w:snapToGrid w:val="0"/>
              <w:spacing w:line="320" w:lineRule="exact"/>
              <w:jc w:val="center"/>
              <w:rPr>
                <w:rFonts w:eastAsia="仿宋_GB2312"/>
                <w:color w:val="auto"/>
                <w:szCs w:val="21"/>
              </w:rPr>
            </w:pPr>
            <w:r>
              <w:rPr>
                <w:rFonts w:eastAsia="仿宋_GB2312"/>
                <w:color w:val="auto"/>
                <w:szCs w:val="21"/>
              </w:rPr>
              <w:t>/</w:t>
            </w:r>
          </w:p>
        </w:tc>
        <w:tc>
          <w:tcPr>
            <w:tcW w:w="803" w:type="dxa"/>
            <w:tcBorders>
              <w:tl2br w:val="nil"/>
              <w:tr2bl w:val="nil"/>
            </w:tcBorders>
            <w:vAlign w:val="center"/>
          </w:tcPr>
          <w:p w14:paraId="3A557FA3">
            <w:pPr>
              <w:adjustRightInd w:val="0"/>
              <w:snapToGrid w:val="0"/>
              <w:spacing w:line="320" w:lineRule="exact"/>
              <w:jc w:val="center"/>
              <w:rPr>
                <w:rFonts w:eastAsia="仿宋_GB2312"/>
                <w:color w:val="auto"/>
                <w:szCs w:val="21"/>
              </w:rPr>
            </w:pPr>
            <w:r>
              <w:rPr>
                <w:rFonts w:eastAsia="仿宋_GB2312"/>
                <w:color w:val="auto"/>
                <w:szCs w:val="21"/>
              </w:rPr>
              <w:t>57.2</w:t>
            </w:r>
          </w:p>
        </w:tc>
        <w:tc>
          <w:tcPr>
            <w:tcW w:w="896" w:type="dxa"/>
            <w:tcBorders>
              <w:tl2br w:val="nil"/>
              <w:tr2bl w:val="nil"/>
            </w:tcBorders>
            <w:vAlign w:val="center"/>
          </w:tcPr>
          <w:p w14:paraId="7D0E6062">
            <w:pPr>
              <w:adjustRightInd w:val="0"/>
              <w:snapToGrid w:val="0"/>
              <w:spacing w:line="320" w:lineRule="exact"/>
              <w:jc w:val="center"/>
              <w:rPr>
                <w:rFonts w:eastAsia="仿宋_GB2312"/>
                <w:color w:val="auto"/>
                <w:szCs w:val="21"/>
              </w:rPr>
            </w:pPr>
            <w:r>
              <w:rPr>
                <w:rFonts w:eastAsia="仿宋_GB2312"/>
                <w:color w:val="auto"/>
                <w:szCs w:val="21"/>
              </w:rPr>
              <w:t>156</w:t>
            </w:r>
          </w:p>
        </w:tc>
        <w:tc>
          <w:tcPr>
            <w:tcW w:w="896" w:type="dxa"/>
            <w:tcBorders>
              <w:tl2br w:val="nil"/>
              <w:tr2bl w:val="nil"/>
            </w:tcBorders>
            <w:vAlign w:val="center"/>
          </w:tcPr>
          <w:p w14:paraId="2B949D71">
            <w:pPr>
              <w:adjustRightInd w:val="0"/>
              <w:snapToGrid w:val="0"/>
              <w:spacing w:line="320" w:lineRule="exact"/>
              <w:jc w:val="center"/>
              <w:rPr>
                <w:rFonts w:eastAsia="仿宋_GB2312"/>
                <w:color w:val="auto"/>
                <w:szCs w:val="21"/>
              </w:rPr>
            </w:pPr>
            <w:r>
              <w:rPr>
                <w:rFonts w:eastAsia="仿宋_GB2312"/>
                <w:color w:val="auto"/>
                <w:szCs w:val="21"/>
              </w:rPr>
              <w:t>-61</w:t>
            </w:r>
          </w:p>
        </w:tc>
        <w:tc>
          <w:tcPr>
            <w:tcW w:w="1281" w:type="dxa"/>
            <w:tcBorders>
              <w:tl2br w:val="nil"/>
              <w:tr2bl w:val="nil"/>
            </w:tcBorders>
            <w:vAlign w:val="center"/>
          </w:tcPr>
          <w:p w14:paraId="7F68CC0B">
            <w:pPr>
              <w:adjustRightInd w:val="0"/>
              <w:snapToGrid w:val="0"/>
              <w:spacing w:line="320" w:lineRule="exact"/>
              <w:jc w:val="center"/>
              <w:rPr>
                <w:rFonts w:eastAsia="仿宋_GB2312"/>
                <w:color w:val="auto"/>
                <w:szCs w:val="21"/>
              </w:rPr>
            </w:pPr>
            <w:r>
              <w:rPr>
                <w:rFonts w:eastAsia="仿宋_GB2312"/>
                <w:color w:val="auto"/>
                <w:szCs w:val="21"/>
              </w:rPr>
              <w:t>270</w:t>
            </w:r>
          </w:p>
        </w:tc>
        <w:tc>
          <w:tcPr>
            <w:tcW w:w="1279" w:type="dxa"/>
            <w:tcBorders>
              <w:tl2br w:val="nil"/>
              <w:tr2bl w:val="nil"/>
            </w:tcBorders>
            <w:vAlign w:val="center"/>
          </w:tcPr>
          <w:p w14:paraId="7268B396">
            <w:pPr>
              <w:adjustRightInd w:val="0"/>
              <w:snapToGrid w:val="0"/>
              <w:spacing w:line="320" w:lineRule="exact"/>
              <w:jc w:val="center"/>
              <w:rPr>
                <w:rFonts w:eastAsia="仿宋_GB2312"/>
                <w:color w:val="auto"/>
                <w:szCs w:val="21"/>
              </w:rPr>
            </w:pPr>
            <w:r>
              <w:rPr>
                <w:rFonts w:eastAsia="仿宋_GB2312"/>
                <w:color w:val="auto"/>
                <w:szCs w:val="21"/>
              </w:rPr>
              <w:t>/</w:t>
            </w:r>
          </w:p>
        </w:tc>
        <w:tc>
          <w:tcPr>
            <w:tcW w:w="1365" w:type="dxa"/>
            <w:tcBorders>
              <w:tl2br w:val="nil"/>
              <w:tr2bl w:val="nil"/>
            </w:tcBorders>
            <w:vAlign w:val="center"/>
          </w:tcPr>
          <w:p w14:paraId="35BE696B">
            <w:pPr>
              <w:adjustRightInd w:val="0"/>
              <w:snapToGrid w:val="0"/>
              <w:spacing w:line="320" w:lineRule="exact"/>
              <w:jc w:val="center"/>
              <w:rPr>
                <w:rFonts w:eastAsia="仿宋_GB2312"/>
                <w:color w:val="auto"/>
                <w:szCs w:val="21"/>
              </w:rPr>
            </w:pPr>
            <w:r>
              <w:rPr>
                <w:rFonts w:eastAsia="仿宋_GB2312"/>
                <w:color w:val="auto"/>
                <w:szCs w:val="21"/>
              </w:rPr>
              <w:t>/</w:t>
            </w:r>
          </w:p>
        </w:tc>
      </w:tr>
      <w:tr w14:paraId="71B8033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464" w:type="dxa"/>
            <w:tcBorders>
              <w:tl2br w:val="nil"/>
              <w:tr2bl w:val="nil"/>
            </w:tcBorders>
            <w:vAlign w:val="center"/>
          </w:tcPr>
          <w:p w14:paraId="5ADBA6ED">
            <w:pPr>
              <w:adjustRightInd w:val="0"/>
              <w:snapToGrid w:val="0"/>
              <w:spacing w:line="320" w:lineRule="exact"/>
              <w:jc w:val="center"/>
              <w:rPr>
                <w:rFonts w:eastAsia="仿宋_GB2312"/>
                <w:color w:val="auto"/>
                <w:szCs w:val="21"/>
              </w:rPr>
            </w:pPr>
            <w:r>
              <w:rPr>
                <w:rFonts w:eastAsia="仿宋_GB2312"/>
                <w:color w:val="auto"/>
                <w:szCs w:val="21"/>
              </w:rPr>
              <w:t>盐酸</w:t>
            </w:r>
          </w:p>
        </w:tc>
        <w:tc>
          <w:tcPr>
            <w:tcW w:w="862" w:type="dxa"/>
            <w:tcBorders>
              <w:tl2br w:val="nil"/>
              <w:tr2bl w:val="nil"/>
            </w:tcBorders>
            <w:vAlign w:val="center"/>
          </w:tcPr>
          <w:p w14:paraId="379FBC46">
            <w:pPr>
              <w:adjustRightInd w:val="0"/>
              <w:snapToGrid w:val="0"/>
              <w:spacing w:line="320" w:lineRule="exact"/>
              <w:jc w:val="center"/>
              <w:rPr>
                <w:rFonts w:eastAsia="仿宋_GB2312"/>
                <w:color w:val="auto"/>
                <w:szCs w:val="21"/>
              </w:rPr>
            </w:pPr>
            <w:r>
              <w:rPr>
                <w:rFonts w:eastAsia="仿宋_GB2312"/>
                <w:color w:val="auto"/>
                <w:szCs w:val="21"/>
              </w:rPr>
              <w:t>81013</w:t>
            </w:r>
          </w:p>
        </w:tc>
        <w:tc>
          <w:tcPr>
            <w:tcW w:w="803" w:type="dxa"/>
            <w:tcBorders>
              <w:tl2br w:val="nil"/>
              <w:tr2bl w:val="nil"/>
            </w:tcBorders>
            <w:vAlign w:val="center"/>
          </w:tcPr>
          <w:p w14:paraId="06068BAC">
            <w:pPr>
              <w:adjustRightInd w:val="0"/>
              <w:snapToGrid w:val="0"/>
              <w:spacing w:line="320" w:lineRule="exact"/>
              <w:jc w:val="center"/>
              <w:rPr>
                <w:rFonts w:eastAsia="仿宋_GB2312"/>
                <w:color w:val="auto"/>
                <w:szCs w:val="21"/>
              </w:rPr>
            </w:pPr>
            <w:r>
              <w:rPr>
                <w:rFonts w:eastAsia="仿宋_GB2312"/>
                <w:color w:val="auto"/>
                <w:szCs w:val="21"/>
              </w:rPr>
              <w:t>/</w:t>
            </w:r>
          </w:p>
        </w:tc>
        <w:tc>
          <w:tcPr>
            <w:tcW w:w="896" w:type="dxa"/>
            <w:tcBorders>
              <w:tl2br w:val="nil"/>
              <w:tr2bl w:val="nil"/>
            </w:tcBorders>
            <w:vAlign w:val="center"/>
          </w:tcPr>
          <w:p w14:paraId="4428E87A">
            <w:pPr>
              <w:adjustRightInd w:val="0"/>
              <w:snapToGrid w:val="0"/>
              <w:spacing w:line="320" w:lineRule="exact"/>
              <w:jc w:val="center"/>
              <w:rPr>
                <w:rFonts w:eastAsia="仿宋_GB2312"/>
                <w:color w:val="auto"/>
                <w:szCs w:val="21"/>
              </w:rPr>
            </w:pPr>
            <w:r>
              <w:rPr>
                <w:rFonts w:eastAsia="仿宋_GB2312"/>
                <w:color w:val="auto"/>
                <w:szCs w:val="21"/>
              </w:rPr>
              <w:t>108.6</w:t>
            </w:r>
          </w:p>
        </w:tc>
        <w:tc>
          <w:tcPr>
            <w:tcW w:w="896" w:type="dxa"/>
            <w:tcBorders>
              <w:tl2br w:val="nil"/>
              <w:tr2bl w:val="nil"/>
            </w:tcBorders>
            <w:vAlign w:val="center"/>
          </w:tcPr>
          <w:p w14:paraId="706B637D">
            <w:pPr>
              <w:adjustRightInd w:val="0"/>
              <w:snapToGrid w:val="0"/>
              <w:spacing w:line="320" w:lineRule="exact"/>
              <w:jc w:val="center"/>
              <w:rPr>
                <w:rFonts w:eastAsia="仿宋_GB2312"/>
                <w:color w:val="auto"/>
                <w:szCs w:val="21"/>
              </w:rPr>
            </w:pPr>
            <w:r>
              <w:rPr>
                <w:rFonts w:eastAsia="仿宋_GB2312"/>
                <w:color w:val="auto"/>
                <w:szCs w:val="21"/>
              </w:rPr>
              <w:t>-114.8</w:t>
            </w:r>
          </w:p>
        </w:tc>
        <w:tc>
          <w:tcPr>
            <w:tcW w:w="1281" w:type="dxa"/>
            <w:tcBorders>
              <w:tl2br w:val="nil"/>
              <w:tr2bl w:val="nil"/>
            </w:tcBorders>
            <w:vAlign w:val="center"/>
          </w:tcPr>
          <w:p w14:paraId="62D4A413">
            <w:pPr>
              <w:adjustRightInd w:val="0"/>
              <w:snapToGrid w:val="0"/>
              <w:spacing w:line="320" w:lineRule="exact"/>
              <w:jc w:val="center"/>
              <w:rPr>
                <w:rFonts w:eastAsia="仿宋_GB2312"/>
                <w:color w:val="auto"/>
                <w:szCs w:val="21"/>
              </w:rPr>
            </w:pPr>
            <w:r>
              <w:rPr>
                <w:rFonts w:eastAsia="仿宋_GB2312"/>
                <w:color w:val="auto"/>
                <w:szCs w:val="21"/>
              </w:rPr>
              <w:t>900</w:t>
            </w:r>
          </w:p>
        </w:tc>
        <w:tc>
          <w:tcPr>
            <w:tcW w:w="1279" w:type="dxa"/>
            <w:tcBorders>
              <w:tl2br w:val="nil"/>
              <w:tr2bl w:val="nil"/>
            </w:tcBorders>
            <w:vAlign w:val="center"/>
          </w:tcPr>
          <w:p w14:paraId="12A75BE0">
            <w:pPr>
              <w:adjustRightInd w:val="0"/>
              <w:snapToGrid w:val="0"/>
              <w:spacing w:line="320" w:lineRule="exact"/>
              <w:jc w:val="center"/>
              <w:rPr>
                <w:rFonts w:eastAsia="仿宋_GB2312"/>
                <w:color w:val="auto"/>
                <w:szCs w:val="21"/>
              </w:rPr>
            </w:pPr>
            <w:r>
              <w:rPr>
                <w:rFonts w:eastAsia="仿宋_GB2312"/>
                <w:color w:val="auto"/>
                <w:szCs w:val="21"/>
              </w:rPr>
              <w:t>/</w:t>
            </w:r>
          </w:p>
        </w:tc>
        <w:tc>
          <w:tcPr>
            <w:tcW w:w="1365" w:type="dxa"/>
            <w:tcBorders>
              <w:tl2br w:val="nil"/>
              <w:tr2bl w:val="nil"/>
            </w:tcBorders>
            <w:vAlign w:val="center"/>
          </w:tcPr>
          <w:p w14:paraId="397C543A">
            <w:pPr>
              <w:adjustRightInd w:val="0"/>
              <w:snapToGrid w:val="0"/>
              <w:spacing w:line="320" w:lineRule="exact"/>
              <w:jc w:val="center"/>
              <w:rPr>
                <w:rFonts w:eastAsia="仿宋_GB2312"/>
                <w:color w:val="auto"/>
                <w:szCs w:val="21"/>
              </w:rPr>
            </w:pPr>
            <w:r>
              <w:rPr>
                <w:rFonts w:eastAsia="仿宋_GB2312"/>
                <w:color w:val="auto"/>
                <w:szCs w:val="21"/>
              </w:rPr>
              <w:t>3124</w:t>
            </w:r>
          </w:p>
        </w:tc>
      </w:tr>
      <w:tr w14:paraId="2F3EC51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464" w:type="dxa"/>
            <w:tcBorders>
              <w:tl2br w:val="nil"/>
              <w:tr2bl w:val="nil"/>
            </w:tcBorders>
            <w:vAlign w:val="center"/>
          </w:tcPr>
          <w:p w14:paraId="3B60667E">
            <w:pPr>
              <w:adjustRightInd w:val="0"/>
              <w:snapToGrid w:val="0"/>
              <w:spacing w:line="320" w:lineRule="exact"/>
              <w:jc w:val="center"/>
              <w:rPr>
                <w:rFonts w:eastAsia="仿宋_GB2312"/>
                <w:color w:val="auto"/>
                <w:szCs w:val="21"/>
              </w:rPr>
            </w:pPr>
            <w:r>
              <w:rPr>
                <w:rFonts w:eastAsia="仿宋_GB2312"/>
                <w:color w:val="auto"/>
                <w:szCs w:val="21"/>
              </w:rPr>
              <w:t>乙二醇单甲醚</w:t>
            </w:r>
          </w:p>
        </w:tc>
        <w:tc>
          <w:tcPr>
            <w:tcW w:w="862" w:type="dxa"/>
            <w:tcBorders>
              <w:tl2br w:val="nil"/>
              <w:tr2bl w:val="nil"/>
            </w:tcBorders>
            <w:vAlign w:val="center"/>
          </w:tcPr>
          <w:p w14:paraId="7C48C005">
            <w:pPr>
              <w:adjustRightInd w:val="0"/>
              <w:snapToGrid w:val="0"/>
              <w:spacing w:line="320" w:lineRule="exact"/>
              <w:jc w:val="center"/>
              <w:rPr>
                <w:rFonts w:eastAsia="仿宋_GB2312"/>
                <w:color w:val="auto"/>
                <w:szCs w:val="21"/>
              </w:rPr>
            </w:pPr>
            <w:r>
              <w:rPr>
                <w:rFonts w:eastAsia="仿宋_GB2312"/>
                <w:color w:val="auto"/>
                <w:szCs w:val="21"/>
              </w:rPr>
              <w:t>33569</w:t>
            </w:r>
          </w:p>
        </w:tc>
        <w:tc>
          <w:tcPr>
            <w:tcW w:w="803" w:type="dxa"/>
            <w:tcBorders>
              <w:tl2br w:val="nil"/>
              <w:tr2bl w:val="nil"/>
            </w:tcBorders>
            <w:vAlign w:val="center"/>
          </w:tcPr>
          <w:p w14:paraId="0DFB6E44">
            <w:pPr>
              <w:adjustRightInd w:val="0"/>
              <w:snapToGrid w:val="0"/>
              <w:spacing w:line="320" w:lineRule="exact"/>
              <w:jc w:val="center"/>
              <w:rPr>
                <w:rFonts w:eastAsia="仿宋_GB2312"/>
                <w:color w:val="auto"/>
                <w:szCs w:val="21"/>
              </w:rPr>
            </w:pPr>
            <w:r>
              <w:rPr>
                <w:rFonts w:eastAsia="仿宋_GB2312"/>
                <w:color w:val="auto"/>
                <w:szCs w:val="21"/>
              </w:rPr>
              <w:t>39</w:t>
            </w:r>
          </w:p>
        </w:tc>
        <w:tc>
          <w:tcPr>
            <w:tcW w:w="896" w:type="dxa"/>
            <w:tcBorders>
              <w:tl2br w:val="nil"/>
              <w:tr2bl w:val="nil"/>
            </w:tcBorders>
            <w:vAlign w:val="center"/>
          </w:tcPr>
          <w:p w14:paraId="01C1D04B">
            <w:pPr>
              <w:adjustRightInd w:val="0"/>
              <w:snapToGrid w:val="0"/>
              <w:spacing w:line="320" w:lineRule="exact"/>
              <w:jc w:val="center"/>
              <w:rPr>
                <w:rFonts w:eastAsia="仿宋_GB2312"/>
                <w:color w:val="auto"/>
                <w:szCs w:val="21"/>
              </w:rPr>
            </w:pPr>
            <w:r>
              <w:rPr>
                <w:rFonts w:eastAsia="仿宋_GB2312"/>
                <w:color w:val="auto"/>
                <w:szCs w:val="21"/>
              </w:rPr>
              <w:t>124.5</w:t>
            </w:r>
          </w:p>
        </w:tc>
        <w:tc>
          <w:tcPr>
            <w:tcW w:w="896" w:type="dxa"/>
            <w:tcBorders>
              <w:tl2br w:val="nil"/>
              <w:tr2bl w:val="nil"/>
            </w:tcBorders>
            <w:vAlign w:val="center"/>
          </w:tcPr>
          <w:p w14:paraId="03607975">
            <w:pPr>
              <w:adjustRightInd w:val="0"/>
              <w:snapToGrid w:val="0"/>
              <w:spacing w:line="320" w:lineRule="exact"/>
              <w:jc w:val="center"/>
              <w:rPr>
                <w:rFonts w:eastAsia="仿宋_GB2312"/>
                <w:color w:val="auto"/>
                <w:szCs w:val="21"/>
              </w:rPr>
            </w:pPr>
            <w:r>
              <w:rPr>
                <w:rFonts w:eastAsia="仿宋_GB2312"/>
                <w:color w:val="auto"/>
                <w:szCs w:val="21"/>
              </w:rPr>
              <w:t>-86.5</w:t>
            </w:r>
          </w:p>
        </w:tc>
        <w:tc>
          <w:tcPr>
            <w:tcW w:w="1281" w:type="dxa"/>
            <w:tcBorders>
              <w:tl2br w:val="nil"/>
              <w:tr2bl w:val="nil"/>
            </w:tcBorders>
            <w:vAlign w:val="center"/>
          </w:tcPr>
          <w:p w14:paraId="2720376D">
            <w:pPr>
              <w:adjustRightInd w:val="0"/>
              <w:snapToGrid w:val="0"/>
              <w:spacing w:line="320" w:lineRule="exact"/>
              <w:jc w:val="center"/>
              <w:rPr>
                <w:rFonts w:eastAsia="仿宋_GB2312"/>
                <w:color w:val="auto"/>
                <w:szCs w:val="21"/>
              </w:rPr>
            </w:pPr>
            <w:r>
              <w:rPr>
                <w:rFonts w:eastAsia="仿宋_GB2312"/>
                <w:color w:val="auto"/>
                <w:szCs w:val="21"/>
              </w:rPr>
              <w:t>2460</w:t>
            </w:r>
          </w:p>
        </w:tc>
        <w:tc>
          <w:tcPr>
            <w:tcW w:w="1279" w:type="dxa"/>
            <w:tcBorders>
              <w:tl2br w:val="nil"/>
              <w:tr2bl w:val="nil"/>
            </w:tcBorders>
            <w:vAlign w:val="center"/>
          </w:tcPr>
          <w:p w14:paraId="19FB2ABB">
            <w:pPr>
              <w:adjustRightInd w:val="0"/>
              <w:snapToGrid w:val="0"/>
              <w:spacing w:line="320" w:lineRule="exact"/>
              <w:jc w:val="center"/>
              <w:rPr>
                <w:rFonts w:eastAsia="仿宋_GB2312"/>
                <w:color w:val="auto"/>
                <w:szCs w:val="21"/>
              </w:rPr>
            </w:pPr>
            <w:r>
              <w:rPr>
                <w:rFonts w:eastAsia="仿宋_GB2312"/>
                <w:color w:val="auto"/>
                <w:szCs w:val="21"/>
              </w:rPr>
              <w:t>2000</w:t>
            </w:r>
          </w:p>
        </w:tc>
        <w:tc>
          <w:tcPr>
            <w:tcW w:w="1365" w:type="dxa"/>
            <w:tcBorders>
              <w:tl2br w:val="nil"/>
              <w:tr2bl w:val="nil"/>
            </w:tcBorders>
            <w:vAlign w:val="center"/>
          </w:tcPr>
          <w:p w14:paraId="53A2FFDE">
            <w:pPr>
              <w:adjustRightInd w:val="0"/>
              <w:snapToGrid w:val="0"/>
              <w:spacing w:line="320" w:lineRule="exact"/>
              <w:jc w:val="center"/>
              <w:rPr>
                <w:rFonts w:eastAsia="仿宋_GB2312"/>
                <w:color w:val="auto"/>
                <w:szCs w:val="21"/>
              </w:rPr>
            </w:pPr>
            <w:r>
              <w:rPr>
                <w:rFonts w:eastAsia="仿宋_GB2312"/>
                <w:color w:val="auto"/>
                <w:szCs w:val="21"/>
              </w:rPr>
              <w:t>4665</w:t>
            </w:r>
          </w:p>
        </w:tc>
      </w:tr>
      <w:tr w14:paraId="558656A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464" w:type="dxa"/>
            <w:tcBorders>
              <w:tl2br w:val="nil"/>
              <w:tr2bl w:val="nil"/>
            </w:tcBorders>
            <w:vAlign w:val="center"/>
          </w:tcPr>
          <w:p w14:paraId="161D13C6">
            <w:pPr>
              <w:adjustRightInd w:val="0"/>
              <w:snapToGrid w:val="0"/>
              <w:spacing w:line="320" w:lineRule="exact"/>
              <w:jc w:val="center"/>
              <w:rPr>
                <w:rFonts w:eastAsia="仿宋_GB2312"/>
                <w:color w:val="auto"/>
                <w:szCs w:val="21"/>
              </w:rPr>
            </w:pPr>
            <w:r>
              <w:rPr>
                <w:rFonts w:eastAsia="仿宋_GB2312"/>
                <w:color w:val="auto"/>
                <w:szCs w:val="21"/>
              </w:rPr>
              <w:t>天那水</w:t>
            </w:r>
          </w:p>
        </w:tc>
        <w:tc>
          <w:tcPr>
            <w:tcW w:w="862" w:type="dxa"/>
            <w:tcBorders>
              <w:tl2br w:val="nil"/>
              <w:tr2bl w:val="nil"/>
            </w:tcBorders>
            <w:vAlign w:val="center"/>
          </w:tcPr>
          <w:p w14:paraId="748C60C7">
            <w:pPr>
              <w:adjustRightInd w:val="0"/>
              <w:snapToGrid w:val="0"/>
              <w:spacing w:line="320" w:lineRule="exact"/>
              <w:jc w:val="center"/>
              <w:rPr>
                <w:rFonts w:eastAsia="仿宋_GB2312"/>
                <w:color w:val="auto"/>
                <w:szCs w:val="21"/>
              </w:rPr>
            </w:pPr>
            <w:r>
              <w:rPr>
                <w:rFonts w:eastAsia="仿宋_GB2312"/>
                <w:color w:val="auto"/>
                <w:szCs w:val="21"/>
              </w:rPr>
              <w:t>33596</w:t>
            </w:r>
          </w:p>
        </w:tc>
        <w:tc>
          <w:tcPr>
            <w:tcW w:w="803" w:type="dxa"/>
            <w:tcBorders>
              <w:tl2br w:val="nil"/>
              <w:tr2bl w:val="nil"/>
            </w:tcBorders>
            <w:vAlign w:val="center"/>
          </w:tcPr>
          <w:p w14:paraId="4869A7EE">
            <w:pPr>
              <w:adjustRightInd w:val="0"/>
              <w:snapToGrid w:val="0"/>
              <w:spacing w:line="320" w:lineRule="exact"/>
              <w:jc w:val="center"/>
              <w:rPr>
                <w:rFonts w:eastAsia="仿宋_GB2312"/>
                <w:color w:val="auto"/>
                <w:szCs w:val="21"/>
              </w:rPr>
            </w:pPr>
            <w:r>
              <w:rPr>
                <w:rFonts w:eastAsia="仿宋_GB2312"/>
                <w:color w:val="auto"/>
                <w:szCs w:val="21"/>
              </w:rPr>
              <w:t>25</w:t>
            </w:r>
          </w:p>
        </w:tc>
        <w:tc>
          <w:tcPr>
            <w:tcW w:w="896" w:type="dxa"/>
            <w:tcBorders>
              <w:tl2br w:val="nil"/>
              <w:tr2bl w:val="nil"/>
            </w:tcBorders>
            <w:vAlign w:val="center"/>
          </w:tcPr>
          <w:p w14:paraId="185C3632">
            <w:pPr>
              <w:adjustRightInd w:val="0"/>
              <w:snapToGrid w:val="0"/>
              <w:spacing w:line="320" w:lineRule="exact"/>
              <w:jc w:val="center"/>
              <w:rPr>
                <w:rFonts w:eastAsia="仿宋_GB2312"/>
                <w:color w:val="auto"/>
                <w:szCs w:val="21"/>
              </w:rPr>
            </w:pPr>
            <w:r>
              <w:rPr>
                <w:rFonts w:eastAsia="仿宋_GB2312"/>
                <w:color w:val="auto"/>
                <w:szCs w:val="21"/>
              </w:rPr>
              <w:t>143</w:t>
            </w:r>
          </w:p>
        </w:tc>
        <w:tc>
          <w:tcPr>
            <w:tcW w:w="896" w:type="dxa"/>
            <w:tcBorders>
              <w:tl2br w:val="nil"/>
              <w:tr2bl w:val="nil"/>
            </w:tcBorders>
            <w:vAlign w:val="center"/>
          </w:tcPr>
          <w:p w14:paraId="2497E2C0">
            <w:pPr>
              <w:adjustRightInd w:val="0"/>
              <w:snapToGrid w:val="0"/>
              <w:spacing w:line="320" w:lineRule="exact"/>
              <w:jc w:val="center"/>
              <w:rPr>
                <w:rFonts w:eastAsia="仿宋_GB2312"/>
                <w:color w:val="auto"/>
                <w:szCs w:val="21"/>
              </w:rPr>
            </w:pPr>
            <w:r>
              <w:rPr>
                <w:rFonts w:eastAsia="仿宋_GB2312"/>
                <w:color w:val="auto"/>
                <w:szCs w:val="21"/>
              </w:rPr>
              <w:t>-78</w:t>
            </w:r>
          </w:p>
        </w:tc>
        <w:tc>
          <w:tcPr>
            <w:tcW w:w="1281" w:type="dxa"/>
            <w:tcBorders>
              <w:tl2br w:val="nil"/>
              <w:tr2bl w:val="nil"/>
            </w:tcBorders>
            <w:vAlign w:val="center"/>
          </w:tcPr>
          <w:p w14:paraId="71E29745">
            <w:pPr>
              <w:adjustRightInd w:val="0"/>
              <w:snapToGrid w:val="0"/>
              <w:spacing w:line="320" w:lineRule="exact"/>
              <w:jc w:val="center"/>
              <w:rPr>
                <w:rFonts w:eastAsia="仿宋_GB2312"/>
                <w:color w:val="auto"/>
                <w:szCs w:val="21"/>
              </w:rPr>
            </w:pPr>
            <w:r>
              <w:rPr>
                <w:rFonts w:eastAsia="仿宋_GB2312"/>
                <w:color w:val="auto"/>
                <w:szCs w:val="21"/>
              </w:rPr>
              <w:t>16600</w:t>
            </w:r>
          </w:p>
        </w:tc>
        <w:tc>
          <w:tcPr>
            <w:tcW w:w="1279" w:type="dxa"/>
            <w:tcBorders>
              <w:tl2br w:val="nil"/>
              <w:tr2bl w:val="nil"/>
            </w:tcBorders>
            <w:vAlign w:val="center"/>
          </w:tcPr>
          <w:p w14:paraId="1CD222C3">
            <w:pPr>
              <w:adjustRightInd w:val="0"/>
              <w:snapToGrid w:val="0"/>
              <w:spacing w:line="320" w:lineRule="exact"/>
              <w:jc w:val="center"/>
              <w:rPr>
                <w:rFonts w:eastAsia="仿宋_GB2312"/>
                <w:color w:val="auto"/>
                <w:szCs w:val="21"/>
              </w:rPr>
            </w:pPr>
            <w:r>
              <w:rPr>
                <w:rFonts w:eastAsia="仿宋_GB2312"/>
                <w:color w:val="auto"/>
                <w:szCs w:val="21"/>
              </w:rPr>
              <w:t>/</w:t>
            </w:r>
          </w:p>
        </w:tc>
        <w:tc>
          <w:tcPr>
            <w:tcW w:w="1365" w:type="dxa"/>
            <w:tcBorders>
              <w:tl2br w:val="nil"/>
              <w:tr2bl w:val="nil"/>
            </w:tcBorders>
            <w:vAlign w:val="center"/>
          </w:tcPr>
          <w:p w14:paraId="448C4D82">
            <w:pPr>
              <w:adjustRightInd w:val="0"/>
              <w:snapToGrid w:val="0"/>
              <w:spacing w:line="320" w:lineRule="exact"/>
              <w:jc w:val="center"/>
              <w:rPr>
                <w:rFonts w:eastAsia="仿宋_GB2312"/>
                <w:color w:val="auto"/>
                <w:szCs w:val="21"/>
              </w:rPr>
            </w:pPr>
            <w:r>
              <w:rPr>
                <w:rFonts w:eastAsia="仿宋_GB2312"/>
                <w:color w:val="auto"/>
                <w:szCs w:val="21"/>
              </w:rPr>
              <w:t>/</w:t>
            </w:r>
          </w:p>
        </w:tc>
      </w:tr>
      <w:tr w14:paraId="7B4465A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464" w:type="dxa"/>
            <w:tcBorders>
              <w:tl2br w:val="nil"/>
              <w:tr2bl w:val="nil"/>
            </w:tcBorders>
            <w:vAlign w:val="center"/>
          </w:tcPr>
          <w:p w14:paraId="1DB844FA">
            <w:pPr>
              <w:adjustRightInd w:val="0"/>
              <w:snapToGrid w:val="0"/>
              <w:spacing w:line="320" w:lineRule="exact"/>
              <w:jc w:val="center"/>
              <w:rPr>
                <w:rFonts w:eastAsia="仿宋_GB2312"/>
                <w:color w:val="auto"/>
                <w:szCs w:val="21"/>
              </w:rPr>
            </w:pPr>
            <w:r>
              <w:rPr>
                <w:rFonts w:eastAsia="仿宋_GB2312"/>
                <w:color w:val="auto"/>
                <w:szCs w:val="21"/>
              </w:rPr>
              <w:t>乙二醇单丁醚</w:t>
            </w:r>
          </w:p>
        </w:tc>
        <w:tc>
          <w:tcPr>
            <w:tcW w:w="862" w:type="dxa"/>
            <w:tcBorders>
              <w:tl2br w:val="nil"/>
              <w:tr2bl w:val="nil"/>
            </w:tcBorders>
            <w:vAlign w:val="center"/>
          </w:tcPr>
          <w:p w14:paraId="413AF6A6">
            <w:pPr>
              <w:adjustRightInd w:val="0"/>
              <w:snapToGrid w:val="0"/>
              <w:spacing w:line="320" w:lineRule="exact"/>
              <w:jc w:val="center"/>
              <w:rPr>
                <w:rFonts w:eastAsia="仿宋_GB2312"/>
                <w:color w:val="auto"/>
                <w:szCs w:val="21"/>
              </w:rPr>
            </w:pPr>
            <w:r>
              <w:rPr>
                <w:rFonts w:eastAsia="仿宋_GB2312"/>
                <w:color w:val="auto"/>
                <w:szCs w:val="21"/>
              </w:rPr>
              <w:t>/</w:t>
            </w:r>
          </w:p>
        </w:tc>
        <w:tc>
          <w:tcPr>
            <w:tcW w:w="803" w:type="dxa"/>
            <w:tcBorders>
              <w:tl2br w:val="nil"/>
              <w:tr2bl w:val="nil"/>
            </w:tcBorders>
            <w:vAlign w:val="center"/>
          </w:tcPr>
          <w:p w14:paraId="0E151141">
            <w:pPr>
              <w:adjustRightInd w:val="0"/>
              <w:snapToGrid w:val="0"/>
              <w:spacing w:line="320" w:lineRule="exact"/>
              <w:jc w:val="center"/>
              <w:rPr>
                <w:rFonts w:eastAsia="仿宋_GB2312"/>
                <w:color w:val="auto"/>
                <w:szCs w:val="21"/>
              </w:rPr>
            </w:pPr>
            <w:r>
              <w:rPr>
                <w:rFonts w:eastAsia="仿宋_GB2312"/>
                <w:color w:val="auto"/>
                <w:szCs w:val="21"/>
              </w:rPr>
              <w:t>61</w:t>
            </w:r>
          </w:p>
        </w:tc>
        <w:tc>
          <w:tcPr>
            <w:tcW w:w="896" w:type="dxa"/>
            <w:tcBorders>
              <w:tl2br w:val="nil"/>
              <w:tr2bl w:val="nil"/>
            </w:tcBorders>
            <w:vAlign w:val="center"/>
          </w:tcPr>
          <w:p w14:paraId="5943A103">
            <w:pPr>
              <w:adjustRightInd w:val="0"/>
              <w:snapToGrid w:val="0"/>
              <w:spacing w:line="320" w:lineRule="exact"/>
              <w:jc w:val="center"/>
              <w:rPr>
                <w:rFonts w:eastAsia="仿宋_GB2312"/>
                <w:color w:val="auto"/>
                <w:szCs w:val="21"/>
              </w:rPr>
            </w:pPr>
            <w:r>
              <w:rPr>
                <w:rFonts w:eastAsia="仿宋_GB2312"/>
                <w:color w:val="auto"/>
                <w:szCs w:val="21"/>
              </w:rPr>
              <w:t>171</w:t>
            </w:r>
          </w:p>
        </w:tc>
        <w:tc>
          <w:tcPr>
            <w:tcW w:w="896" w:type="dxa"/>
            <w:tcBorders>
              <w:tl2br w:val="nil"/>
              <w:tr2bl w:val="nil"/>
            </w:tcBorders>
            <w:vAlign w:val="center"/>
          </w:tcPr>
          <w:p w14:paraId="1284C4FD">
            <w:pPr>
              <w:adjustRightInd w:val="0"/>
              <w:snapToGrid w:val="0"/>
              <w:spacing w:line="320" w:lineRule="exact"/>
              <w:jc w:val="center"/>
              <w:rPr>
                <w:rFonts w:eastAsia="仿宋_GB2312"/>
                <w:color w:val="auto"/>
                <w:szCs w:val="21"/>
              </w:rPr>
            </w:pPr>
            <w:r>
              <w:rPr>
                <w:rFonts w:eastAsia="仿宋_GB2312"/>
                <w:color w:val="auto"/>
                <w:szCs w:val="21"/>
              </w:rPr>
              <w:t>-70</w:t>
            </w:r>
          </w:p>
        </w:tc>
        <w:tc>
          <w:tcPr>
            <w:tcW w:w="1281" w:type="dxa"/>
            <w:tcBorders>
              <w:tl2br w:val="nil"/>
              <w:tr2bl w:val="nil"/>
            </w:tcBorders>
            <w:vAlign w:val="center"/>
          </w:tcPr>
          <w:p w14:paraId="0A85C9AC">
            <w:pPr>
              <w:adjustRightInd w:val="0"/>
              <w:snapToGrid w:val="0"/>
              <w:spacing w:line="320" w:lineRule="exact"/>
              <w:jc w:val="center"/>
              <w:rPr>
                <w:rFonts w:eastAsia="仿宋_GB2312"/>
                <w:color w:val="auto"/>
                <w:szCs w:val="21"/>
              </w:rPr>
            </w:pPr>
            <w:r>
              <w:rPr>
                <w:rFonts w:eastAsia="仿宋_GB2312"/>
                <w:color w:val="auto"/>
                <w:szCs w:val="21"/>
              </w:rPr>
              <w:t>/</w:t>
            </w:r>
          </w:p>
        </w:tc>
        <w:tc>
          <w:tcPr>
            <w:tcW w:w="1279" w:type="dxa"/>
            <w:tcBorders>
              <w:tl2br w:val="nil"/>
              <w:tr2bl w:val="nil"/>
            </w:tcBorders>
            <w:vAlign w:val="center"/>
          </w:tcPr>
          <w:p w14:paraId="499681F5">
            <w:pPr>
              <w:adjustRightInd w:val="0"/>
              <w:snapToGrid w:val="0"/>
              <w:spacing w:line="320" w:lineRule="exact"/>
              <w:jc w:val="center"/>
              <w:rPr>
                <w:rFonts w:eastAsia="仿宋_GB2312"/>
                <w:color w:val="auto"/>
                <w:szCs w:val="21"/>
              </w:rPr>
            </w:pPr>
            <w:r>
              <w:rPr>
                <w:rFonts w:eastAsia="仿宋_GB2312"/>
                <w:color w:val="auto"/>
                <w:szCs w:val="21"/>
              </w:rPr>
              <w:t>/</w:t>
            </w:r>
          </w:p>
        </w:tc>
        <w:tc>
          <w:tcPr>
            <w:tcW w:w="1365" w:type="dxa"/>
            <w:tcBorders>
              <w:tl2br w:val="nil"/>
              <w:tr2bl w:val="nil"/>
            </w:tcBorders>
            <w:vAlign w:val="center"/>
          </w:tcPr>
          <w:p w14:paraId="2E046FDE">
            <w:pPr>
              <w:adjustRightInd w:val="0"/>
              <w:snapToGrid w:val="0"/>
              <w:spacing w:line="320" w:lineRule="exact"/>
              <w:jc w:val="center"/>
              <w:rPr>
                <w:rFonts w:eastAsia="仿宋_GB2312"/>
                <w:color w:val="auto"/>
                <w:szCs w:val="21"/>
              </w:rPr>
            </w:pPr>
            <w:r>
              <w:rPr>
                <w:rFonts w:eastAsia="仿宋_GB2312"/>
                <w:color w:val="auto"/>
                <w:szCs w:val="21"/>
              </w:rPr>
              <w:t>/</w:t>
            </w:r>
          </w:p>
        </w:tc>
      </w:tr>
      <w:tr w14:paraId="21AC0D5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464" w:type="dxa"/>
            <w:tcBorders>
              <w:tl2br w:val="nil"/>
              <w:tr2bl w:val="nil"/>
            </w:tcBorders>
            <w:vAlign w:val="center"/>
          </w:tcPr>
          <w:p w14:paraId="09FC6E85">
            <w:pPr>
              <w:adjustRightInd w:val="0"/>
              <w:snapToGrid w:val="0"/>
              <w:spacing w:line="320" w:lineRule="exact"/>
              <w:jc w:val="center"/>
              <w:rPr>
                <w:rFonts w:eastAsia="仿宋_GB2312"/>
                <w:color w:val="auto"/>
                <w:szCs w:val="21"/>
              </w:rPr>
            </w:pPr>
            <w:r>
              <w:rPr>
                <w:rFonts w:eastAsia="仿宋_GB2312"/>
                <w:color w:val="auto"/>
                <w:szCs w:val="21"/>
              </w:rPr>
              <w:t>碳酸氢钠</w:t>
            </w:r>
          </w:p>
        </w:tc>
        <w:tc>
          <w:tcPr>
            <w:tcW w:w="862" w:type="dxa"/>
            <w:tcBorders>
              <w:tl2br w:val="nil"/>
              <w:tr2bl w:val="nil"/>
            </w:tcBorders>
            <w:vAlign w:val="center"/>
          </w:tcPr>
          <w:p w14:paraId="3428964B">
            <w:pPr>
              <w:adjustRightInd w:val="0"/>
              <w:snapToGrid w:val="0"/>
              <w:spacing w:line="320" w:lineRule="exact"/>
              <w:jc w:val="center"/>
              <w:rPr>
                <w:rFonts w:eastAsia="仿宋_GB2312"/>
                <w:color w:val="auto"/>
                <w:szCs w:val="21"/>
              </w:rPr>
            </w:pPr>
            <w:r>
              <w:rPr>
                <w:rFonts w:eastAsia="仿宋_GB2312"/>
                <w:color w:val="auto"/>
                <w:szCs w:val="21"/>
              </w:rPr>
              <w:t>/</w:t>
            </w:r>
          </w:p>
        </w:tc>
        <w:tc>
          <w:tcPr>
            <w:tcW w:w="803" w:type="dxa"/>
            <w:tcBorders>
              <w:tl2br w:val="nil"/>
              <w:tr2bl w:val="nil"/>
            </w:tcBorders>
            <w:vAlign w:val="center"/>
          </w:tcPr>
          <w:p w14:paraId="141A9B02">
            <w:pPr>
              <w:adjustRightInd w:val="0"/>
              <w:snapToGrid w:val="0"/>
              <w:spacing w:line="320" w:lineRule="exact"/>
              <w:jc w:val="center"/>
              <w:rPr>
                <w:rFonts w:eastAsia="仿宋_GB2312"/>
                <w:color w:val="auto"/>
                <w:szCs w:val="21"/>
              </w:rPr>
            </w:pPr>
            <w:r>
              <w:rPr>
                <w:rFonts w:eastAsia="仿宋_GB2312"/>
                <w:color w:val="auto"/>
                <w:szCs w:val="21"/>
              </w:rPr>
              <w:t>/</w:t>
            </w:r>
          </w:p>
        </w:tc>
        <w:tc>
          <w:tcPr>
            <w:tcW w:w="896" w:type="dxa"/>
            <w:tcBorders>
              <w:tl2br w:val="nil"/>
              <w:tr2bl w:val="nil"/>
            </w:tcBorders>
            <w:vAlign w:val="center"/>
          </w:tcPr>
          <w:p w14:paraId="5BB95472">
            <w:pPr>
              <w:adjustRightInd w:val="0"/>
              <w:snapToGrid w:val="0"/>
              <w:spacing w:line="320" w:lineRule="exact"/>
              <w:jc w:val="center"/>
              <w:rPr>
                <w:rFonts w:eastAsia="仿宋_GB2312"/>
                <w:color w:val="auto"/>
                <w:szCs w:val="21"/>
              </w:rPr>
            </w:pPr>
            <w:r>
              <w:rPr>
                <w:rFonts w:eastAsia="仿宋_GB2312"/>
                <w:color w:val="auto"/>
                <w:szCs w:val="21"/>
              </w:rPr>
              <w:t>/</w:t>
            </w:r>
          </w:p>
        </w:tc>
        <w:tc>
          <w:tcPr>
            <w:tcW w:w="896" w:type="dxa"/>
            <w:tcBorders>
              <w:tl2br w:val="nil"/>
              <w:tr2bl w:val="nil"/>
            </w:tcBorders>
            <w:vAlign w:val="center"/>
          </w:tcPr>
          <w:p w14:paraId="6FE98682">
            <w:pPr>
              <w:adjustRightInd w:val="0"/>
              <w:snapToGrid w:val="0"/>
              <w:spacing w:line="320" w:lineRule="exact"/>
              <w:jc w:val="center"/>
              <w:rPr>
                <w:rFonts w:eastAsia="仿宋_GB2312"/>
                <w:color w:val="auto"/>
                <w:szCs w:val="21"/>
              </w:rPr>
            </w:pPr>
            <w:r>
              <w:rPr>
                <w:rFonts w:eastAsia="仿宋_GB2312"/>
                <w:color w:val="auto"/>
                <w:szCs w:val="21"/>
              </w:rPr>
              <w:t>270</w:t>
            </w:r>
          </w:p>
        </w:tc>
        <w:tc>
          <w:tcPr>
            <w:tcW w:w="1281" w:type="dxa"/>
            <w:tcBorders>
              <w:tl2br w:val="nil"/>
              <w:tr2bl w:val="nil"/>
            </w:tcBorders>
            <w:vAlign w:val="center"/>
          </w:tcPr>
          <w:p w14:paraId="6CDA150C">
            <w:pPr>
              <w:adjustRightInd w:val="0"/>
              <w:snapToGrid w:val="0"/>
              <w:spacing w:line="320" w:lineRule="exact"/>
              <w:jc w:val="center"/>
              <w:rPr>
                <w:rFonts w:eastAsia="仿宋_GB2312"/>
                <w:color w:val="auto"/>
                <w:szCs w:val="21"/>
              </w:rPr>
            </w:pPr>
            <w:r>
              <w:rPr>
                <w:rFonts w:eastAsia="仿宋_GB2312"/>
                <w:color w:val="auto"/>
                <w:szCs w:val="21"/>
              </w:rPr>
              <w:t>4220</w:t>
            </w:r>
          </w:p>
        </w:tc>
        <w:tc>
          <w:tcPr>
            <w:tcW w:w="1279" w:type="dxa"/>
            <w:tcBorders>
              <w:tl2br w:val="nil"/>
              <w:tr2bl w:val="nil"/>
            </w:tcBorders>
            <w:vAlign w:val="center"/>
          </w:tcPr>
          <w:p w14:paraId="056655E3">
            <w:pPr>
              <w:adjustRightInd w:val="0"/>
              <w:snapToGrid w:val="0"/>
              <w:spacing w:line="320" w:lineRule="exact"/>
              <w:jc w:val="center"/>
              <w:rPr>
                <w:rFonts w:eastAsia="仿宋_GB2312"/>
                <w:color w:val="auto"/>
                <w:szCs w:val="21"/>
              </w:rPr>
            </w:pPr>
            <w:r>
              <w:rPr>
                <w:rFonts w:eastAsia="仿宋_GB2312"/>
                <w:color w:val="auto"/>
                <w:szCs w:val="21"/>
              </w:rPr>
              <w:t>/</w:t>
            </w:r>
          </w:p>
        </w:tc>
        <w:tc>
          <w:tcPr>
            <w:tcW w:w="1365" w:type="dxa"/>
            <w:tcBorders>
              <w:tl2br w:val="nil"/>
              <w:tr2bl w:val="nil"/>
            </w:tcBorders>
            <w:vAlign w:val="center"/>
          </w:tcPr>
          <w:p w14:paraId="41F9A7ED">
            <w:pPr>
              <w:adjustRightInd w:val="0"/>
              <w:snapToGrid w:val="0"/>
              <w:spacing w:line="320" w:lineRule="exact"/>
              <w:jc w:val="center"/>
              <w:rPr>
                <w:rFonts w:eastAsia="仿宋_GB2312"/>
                <w:color w:val="auto"/>
                <w:szCs w:val="21"/>
              </w:rPr>
            </w:pPr>
            <w:r>
              <w:rPr>
                <w:rFonts w:eastAsia="仿宋_GB2312"/>
                <w:color w:val="auto"/>
                <w:szCs w:val="21"/>
              </w:rPr>
              <w:t>/</w:t>
            </w:r>
          </w:p>
        </w:tc>
      </w:tr>
      <w:tr w14:paraId="11B1A21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464" w:type="dxa"/>
            <w:tcBorders>
              <w:tl2br w:val="nil"/>
              <w:tr2bl w:val="nil"/>
            </w:tcBorders>
            <w:vAlign w:val="center"/>
          </w:tcPr>
          <w:p w14:paraId="6089493A">
            <w:pPr>
              <w:adjustRightInd w:val="0"/>
              <w:snapToGrid w:val="0"/>
              <w:spacing w:line="320" w:lineRule="exact"/>
              <w:jc w:val="center"/>
              <w:rPr>
                <w:rFonts w:eastAsia="仿宋_GB2312"/>
                <w:color w:val="auto"/>
                <w:szCs w:val="21"/>
              </w:rPr>
            </w:pPr>
            <w:r>
              <w:rPr>
                <w:rFonts w:eastAsia="仿宋_GB2312"/>
                <w:color w:val="auto"/>
                <w:szCs w:val="21"/>
              </w:rPr>
              <w:t>双氧水</w:t>
            </w:r>
          </w:p>
        </w:tc>
        <w:tc>
          <w:tcPr>
            <w:tcW w:w="862" w:type="dxa"/>
            <w:tcBorders>
              <w:tl2br w:val="nil"/>
              <w:tr2bl w:val="nil"/>
            </w:tcBorders>
            <w:vAlign w:val="center"/>
          </w:tcPr>
          <w:p w14:paraId="0DCB28DD">
            <w:pPr>
              <w:adjustRightInd w:val="0"/>
              <w:snapToGrid w:val="0"/>
              <w:spacing w:line="320" w:lineRule="exact"/>
              <w:jc w:val="center"/>
              <w:rPr>
                <w:rFonts w:eastAsia="仿宋_GB2312"/>
                <w:color w:val="auto"/>
                <w:szCs w:val="21"/>
              </w:rPr>
            </w:pPr>
            <w:r>
              <w:rPr>
                <w:rFonts w:eastAsia="仿宋_GB2312"/>
                <w:color w:val="auto"/>
                <w:szCs w:val="21"/>
              </w:rPr>
              <w:t>51001</w:t>
            </w:r>
          </w:p>
        </w:tc>
        <w:tc>
          <w:tcPr>
            <w:tcW w:w="803" w:type="dxa"/>
            <w:tcBorders>
              <w:tl2br w:val="nil"/>
              <w:tr2bl w:val="nil"/>
            </w:tcBorders>
            <w:vAlign w:val="center"/>
          </w:tcPr>
          <w:p w14:paraId="45EB6440">
            <w:pPr>
              <w:adjustRightInd w:val="0"/>
              <w:snapToGrid w:val="0"/>
              <w:spacing w:line="320" w:lineRule="exact"/>
              <w:jc w:val="center"/>
              <w:rPr>
                <w:rFonts w:eastAsia="仿宋_GB2312"/>
                <w:color w:val="auto"/>
                <w:szCs w:val="21"/>
              </w:rPr>
            </w:pPr>
            <w:r>
              <w:rPr>
                <w:rFonts w:eastAsia="仿宋_GB2312"/>
                <w:color w:val="auto"/>
                <w:szCs w:val="21"/>
              </w:rPr>
              <w:t>/</w:t>
            </w:r>
          </w:p>
        </w:tc>
        <w:tc>
          <w:tcPr>
            <w:tcW w:w="896" w:type="dxa"/>
            <w:tcBorders>
              <w:tl2br w:val="nil"/>
              <w:tr2bl w:val="nil"/>
            </w:tcBorders>
            <w:vAlign w:val="center"/>
          </w:tcPr>
          <w:p w14:paraId="7271CD67">
            <w:pPr>
              <w:adjustRightInd w:val="0"/>
              <w:snapToGrid w:val="0"/>
              <w:spacing w:line="320" w:lineRule="exact"/>
              <w:jc w:val="center"/>
              <w:rPr>
                <w:rFonts w:eastAsia="仿宋_GB2312"/>
                <w:color w:val="auto"/>
                <w:szCs w:val="21"/>
              </w:rPr>
            </w:pPr>
            <w:r>
              <w:rPr>
                <w:rFonts w:eastAsia="仿宋_GB2312"/>
                <w:color w:val="auto"/>
                <w:szCs w:val="21"/>
              </w:rPr>
              <w:t>158</w:t>
            </w:r>
          </w:p>
        </w:tc>
        <w:tc>
          <w:tcPr>
            <w:tcW w:w="896" w:type="dxa"/>
            <w:tcBorders>
              <w:tl2br w:val="nil"/>
              <w:tr2bl w:val="nil"/>
            </w:tcBorders>
            <w:vAlign w:val="center"/>
          </w:tcPr>
          <w:p w14:paraId="12E1E6AD">
            <w:pPr>
              <w:adjustRightInd w:val="0"/>
              <w:snapToGrid w:val="0"/>
              <w:spacing w:line="320" w:lineRule="exact"/>
              <w:jc w:val="center"/>
              <w:rPr>
                <w:rFonts w:eastAsia="仿宋_GB2312"/>
                <w:color w:val="auto"/>
                <w:szCs w:val="21"/>
              </w:rPr>
            </w:pPr>
            <w:r>
              <w:rPr>
                <w:rFonts w:eastAsia="仿宋_GB2312"/>
                <w:color w:val="auto"/>
                <w:szCs w:val="21"/>
              </w:rPr>
              <w:t>-2</w:t>
            </w:r>
          </w:p>
        </w:tc>
        <w:tc>
          <w:tcPr>
            <w:tcW w:w="1281" w:type="dxa"/>
            <w:tcBorders>
              <w:tl2br w:val="nil"/>
              <w:tr2bl w:val="nil"/>
            </w:tcBorders>
            <w:vAlign w:val="center"/>
          </w:tcPr>
          <w:p w14:paraId="7F5B30DE">
            <w:pPr>
              <w:adjustRightInd w:val="0"/>
              <w:snapToGrid w:val="0"/>
              <w:spacing w:line="320" w:lineRule="exact"/>
              <w:jc w:val="center"/>
              <w:rPr>
                <w:rFonts w:eastAsia="仿宋_GB2312"/>
                <w:color w:val="auto"/>
                <w:szCs w:val="21"/>
              </w:rPr>
            </w:pPr>
            <w:r>
              <w:rPr>
                <w:rFonts w:eastAsia="仿宋_GB2312"/>
                <w:color w:val="auto"/>
                <w:szCs w:val="21"/>
              </w:rPr>
              <w:t>/</w:t>
            </w:r>
          </w:p>
        </w:tc>
        <w:tc>
          <w:tcPr>
            <w:tcW w:w="1279" w:type="dxa"/>
            <w:tcBorders>
              <w:tl2br w:val="nil"/>
              <w:tr2bl w:val="nil"/>
            </w:tcBorders>
            <w:vAlign w:val="center"/>
          </w:tcPr>
          <w:p w14:paraId="686EB36D">
            <w:pPr>
              <w:adjustRightInd w:val="0"/>
              <w:snapToGrid w:val="0"/>
              <w:spacing w:line="320" w:lineRule="exact"/>
              <w:jc w:val="center"/>
              <w:rPr>
                <w:rFonts w:eastAsia="仿宋_GB2312"/>
                <w:color w:val="auto"/>
                <w:szCs w:val="21"/>
              </w:rPr>
            </w:pPr>
            <w:r>
              <w:rPr>
                <w:rFonts w:eastAsia="仿宋_GB2312"/>
                <w:color w:val="auto"/>
                <w:szCs w:val="21"/>
              </w:rPr>
              <w:t>/</w:t>
            </w:r>
          </w:p>
        </w:tc>
        <w:tc>
          <w:tcPr>
            <w:tcW w:w="1365" w:type="dxa"/>
            <w:tcBorders>
              <w:tl2br w:val="nil"/>
              <w:tr2bl w:val="nil"/>
            </w:tcBorders>
            <w:vAlign w:val="center"/>
          </w:tcPr>
          <w:p w14:paraId="79E64352">
            <w:pPr>
              <w:adjustRightInd w:val="0"/>
              <w:snapToGrid w:val="0"/>
              <w:spacing w:line="320" w:lineRule="exact"/>
              <w:jc w:val="center"/>
              <w:rPr>
                <w:rFonts w:eastAsia="仿宋_GB2312"/>
                <w:color w:val="auto"/>
                <w:szCs w:val="21"/>
              </w:rPr>
            </w:pPr>
            <w:r>
              <w:rPr>
                <w:rFonts w:eastAsia="仿宋_GB2312"/>
                <w:color w:val="auto"/>
                <w:szCs w:val="21"/>
              </w:rPr>
              <w:t>/</w:t>
            </w:r>
          </w:p>
        </w:tc>
      </w:tr>
      <w:tr w14:paraId="4B75876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464" w:type="dxa"/>
            <w:tcBorders>
              <w:tl2br w:val="nil"/>
              <w:tr2bl w:val="nil"/>
            </w:tcBorders>
            <w:vAlign w:val="center"/>
          </w:tcPr>
          <w:p w14:paraId="66A52027">
            <w:pPr>
              <w:adjustRightInd w:val="0"/>
              <w:snapToGrid w:val="0"/>
              <w:spacing w:line="320" w:lineRule="exact"/>
              <w:jc w:val="center"/>
              <w:rPr>
                <w:rFonts w:eastAsia="仿宋_GB2312"/>
                <w:color w:val="auto"/>
                <w:szCs w:val="21"/>
              </w:rPr>
            </w:pPr>
            <w:r>
              <w:rPr>
                <w:rFonts w:eastAsia="仿宋_GB2312"/>
                <w:color w:val="auto"/>
                <w:szCs w:val="21"/>
              </w:rPr>
              <w:t>碳酸钾</w:t>
            </w:r>
          </w:p>
        </w:tc>
        <w:tc>
          <w:tcPr>
            <w:tcW w:w="862" w:type="dxa"/>
            <w:tcBorders>
              <w:tl2br w:val="nil"/>
              <w:tr2bl w:val="nil"/>
            </w:tcBorders>
            <w:vAlign w:val="center"/>
          </w:tcPr>
          <w:p w14:paraId="67CF6E67">
            <w:pPr>
              <w:adjustRightInd w:val="0"/>
              <w:snapToGrid w:val="0"/>
              <w:spacing w:line="320" w:lineRule="exact"/>
              <w:jc w:val="center"/>
              <w:rPr>
                <w:rFonts w:eastAsia="仿宋_GB2312"/>
                <w:color w:val="auto"/>
                <w:szCs w:val="21"/>
              </w:rPr>
            </w:pPr>
            <w:r>
              <w:rPr>
                <w:rFonts w:eastAsia="仿宋_GB2312"/>
                <w:color w:val="auto"/>
                <w:szCs w:val="21"/>
              </w:rPr>
              <w:t>/</w:t>
            </w:r>
          </w:p>
        </w:tc>
        <w:tc>
          <w:tcPr>
            <w:tcW w:w="803" w:type="dxa"/>
            <w:tcBorders>
              <w:tl2br w:val="nil"/>
              <w:tr2bl w:val="nil"/>
            </w:tcBorders>
            <w:vAlign w:val="center"/>
          </w:tcPr>
          <w:p w14:paraId="1BCB5763">
            <w:pPr>
              <w:adjustRightInd w:val="0"/>
              <w:snapToGrid w:val="0"/>
              <w:spacing w:line="320" w:lineRule="exact"/>
              <w:jc w:val="center"/>
              <w:rPr>
                <w:rFonts w:eastAsia="仿宋_GB2312"/>
                <w:color w:val="auto"/>
                <w:szCs w:val="21"/>
              </w:rPr>
            </w:pPr>
            <w:r>
              <w:rPr>
                <w:rFonts w:eastAsia="仿宋_GB2312"/>
                <w:color w:val="auto"/>
                <w:szCs w:val="21"/>
              </w:rPr>
              <w:t>/</w:t>
            </w:r>
          </w:p>
        </w:tc>
        <w:tc>
          <w:tcPr>
            <w:tcW w:w="896" w:type="dxa"/>
            <w:tcBorders>
              <w:tl2br w:val="nil"/>
              <w:tr2bl w:val="nil"/>
            </w:tcBorders>
            <w:vAlign w:val="center"/>
          </w:tcPr>
          <w:p w14:paraId="62E42F01">
            <w:pPr>
              <w:adjustRightInd w:val="0"/>
              <w:snapToGrid w:val="0"/>
              <w:spacing w:line="320" w:lineRule="exact"/>
              <w:jc w:val="center"/>
              <w:rPr>
                <w:rFonts w:eastAsia="仿宋_GB2312"/>
                <w:color w:val="auto"/>
                <w:szCs w:val="21"/>
              </w:rPr>
            </w:pPr>
            <w:r>
              <w:rPr>
                <w:rFonts w:eastAsia="仿宋_GB2312"/>
                <w:color w:val="auto"/>
                <w:szCs w:val="21"/>
              </w:rPr>
              <w:t>/</w:t>
            </w:r>
          </w:p>
        </w:tc>
        <w:tc>
          <w:tcPr>
            <w:tcW w:w="896" w:type="dxa"/>
            <w:tcBorders>
              <w:tl2br w:val="nil"/>
              <w:tr2bl w:val="nil"/>
            </w:tcBorders>
            <w:vAlign w:val="center"/>
          </w:tcPr>
          <w:p w14:paraId="66EC227C">
            <w:pPr>
              <w:adjustRightInd w:val="0"/>
              <w:snapToGrid w:val="0"/>
              <w:spacing w:line="320" w:lineRule="exact"/>
              <w:jc w:val="center"/>
              <w:rPr>
                <w:rFonts w:eastAsia="仿宋_GB2312"/>
                <w:color w:val="auto"/>
                <w:szCs w:val="21"/>
              </w:rPr>
            </w:pPr>
            <w:r>
              <w:rPr>
                <w:rFonts w:eastAsia="仿宋_GB2312"/>
                <w:color w:val="auto"/>
                <w:szCs w:val="21"/>
              </w:rPr>
              <w:t>891</w:t>
            </w:r>
          </w:p>
        </w:tc>
        <w:tc>
          <w:tcPr>
            <w:tcW w:w="1281" w:type="dxa"/>
            <w:tcBorders>
              <w:tl2br w:val="nil"/>
              <w:tr2bl w:val="nil"/>
            </w:tcBorders>
            <w:vAlign w:val="center"/>
          </w:tcPr>
          <w:p w14:paraId="0BF3E92F">
            <w:pPr>
              <w:adjustRightInd w:val="0"/>
              <w:snapToGrid w:val="0"/>
              <w:spacing w:line="320" w:lineRule="exact"/>
              <w:jc w:val="center"/>
              <w:rPr>
                <w:rFonts w:eastAsia="仿宋_GB2312"/>
                <w:color w:val="auto"/>
                <w:szCs w:val="21"/>
              </w:rPr>
            </w:pPr>
            <w:r>
              <w:rPr>
                <w:rFonts w:eastAsia="仿宋_GB2312"/>
                <w:color w:val="auto"/>
                <w:szCs w:val="21"/>
              </w:rPr>
              <w:t>/</w:t>
            </w:r>
          </w:p>
        </w:tc>
        <w:tc>
          <w:tcPr>
            <w:tcW w:w="1279" w:type="dxa"/>
            <w:tcBorders>
              <w:tl2br w:val="nil"/>
              <w:tr2bl w:val="nil"/>
            </w:tcBorders>
            <w:vAlign w:val="center"/>
          </w:tcPr>
          <w:p w14:paraId="27456666">
            <w:pPr>
              <w:adjustRightInd w:val="0"/>
              <w:snapToGrid w:val="0"/>
              <w:spacing w:line="320" w:lineRule="exact"/>
              <w:jc w:val="center"/>
              <w:rPr>
                <w:rFonts w:eastAsia="仿宋_GB2312"/>
                <w:color w:val="auto"/>
                <w:szCs w:val="21"/>
              </w:rPr>
            </w:pPr>
            <w:r>
              <w:rPr>
                <w:rFonts w:eastAsia="仿宋_GB2312"/>
                <w:color w:val="auto"/>
                <w:szCs w:val="21"/>
              </w:rPr>
              <w:t>/</w:t>
            </w:r>
          </w:p>
        </w:tc>
        <w:tc>
          <w:tcPr>
            <w:tcW w:w="1365" w:type="dxa"/>
            <w:tcBorders>
              <w:tl2br w:val="nil"/>
              <w:tr2bl w:val="nil"/>
            </w:tcBorders>
            <w:vAlign w:val="center"/>
          </w:tcPr>
          <w:p w14:paraId="2C7624FB">
            <w:pPr>
              <w:adjustRightInd w:val="0"/>
              <w:snapToGrid w:val="0"/>
              <w:spacing w:line="320" w:lineRule="exact"/>
              <w:jc w:val="center"/>
              <w:rPr>
                <w:rFonts w:eastAsia="仿宋_GB2312"/>
                <w:color w:val="auto"/>
                <w:szCs w:val="21"/>
              </w:rPr>
            </w:pPr>
            <w:r>
              <w:rPr>
                <w:rFonts w:eastAsia="仿宋_GB2312"/>
                <w:color w:val="auto"/>
                <w:szCs w:val="21"/>
              </w:rPr>
              <w:t>/</w:t>
            </w:r>
          </w:p>
        </w:tc>
      </w:tr>
      <w:tr w14:paraId="26B20FD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464" w:type="dxa"/>
            <w:tcBorders>
              <w:tl2br w:val="nil"/>
              <w:tr2bl w:val="nil"/>
            </w:tcBorders>
            <w:vAlign w:val="center"/>
          </w:tcPr>
          <w:p w14:paraId="76D93D0E">
            <w:pPr>
              <w:adjustRightInd w:val="0"/>
              <w:snapToGrid w:val="0"/>
              <w:spacing w:line="320" w:lineRule="exact"/>
              <w:jc w:val="center"/>
              <w:rPr>
                <w:rFonts w:eastAsia="仿宋_GB2312"/>
                <w:color w:val="auto"/>
                <w:szCs w:val="21"/>
              </w:rPr>
            </w:pPr>
            <w:r>
              <w:rPr>
                <w:rFonts w:eastAsia="仿宋_GB2312"/>
                <w:color w:val="auto"/>
                <w:szCs w:val="21"/>
              </w:rPr>
              <w:t>碳酸钠</w:t>
            </w:r>
          </w:p>
        </w:tc>
        <w:tc>
          <w:tcPr>
            <w:tcW w:w="862" w:type="dxa"/>
            <w:tcBorders>
              <w:tl2br w:val="nil"/>
              <w:tr2bl w:val="nil"/>
            </w:tcBorders>
            <w:vAlign w:val="center"/>
          </w:tcPr>
          <w:p w14:paraId="070847D6">
            <w:pPr>
              <w:adjustRightInd w:val="0"/>
              <w:snapToGrid w:val="0"/>
              <w:spacing w:line="320" w:lineRule="exact"/>
              <w:jc w:val="center"/>
              <w:rPr>
                <w:rFonts w:eastAsia="仿宋_GB2312"/>
                <w:color w:val="auto"/>
                <w:szCs w:val="21"/>
              </w:rPr>
            </w:pPr>
            <w:r>
              <w:rPr>
                <w:rFonts w:eastAsia="仿宋_GB2312"/>
                <w:color w:val="auto"/>
                <w:szCs w:val="21"/>
              </w:rPr>
              <w:t>/</w:t>
            </w:r>
          </w:p>
        </w:tc>
        <w:tc>
          <w:tcPr>
            <w:tcW w:w="803" w:type="dxa"/>
            <w:tcBorders>
              <w:tl2br w:val="nil"/>
              <w:tr2bl w:val="nil"/>
            </w:tcBorders>
            <w:vAlign w:val="center"/>
          </w:tcPr>
          <w:p w14:paraId="63B8990F">
            <w:pPr>
              <w:adjustRightInd w:val="0"/>
              <w:snapToGrid w:val="0"/>
              <w:spacing w:line="320" w:lineRule="exact"/>
              <w:jc w:val="center"/>
              <w:rPr>
                <w:rFonts w:eastAsia="仿宋_GB2312"/>
                <w:color w:val="auto"/>
                <w:szCs w:val="21"/>
              </w:rPr>
            </w:pPr>
            <w:r>
              <w:rPr>
                <w:rFonts w:eastAsia="仿宋_GB2312"/>
                <w:color w:val="auto"/>
                <w:szCs w:val="21"/>
              </w:rPr>
              <w:t>/</w:t>
            </w:r>
          </w:p>
        </w:tc>
        <w:tc>
          <w:tcPr>
            <w:tcW w:w="896" w:type="dxa"/>
            <w:tcBorders>
              <w:tl2br w:val="nil"/>
              <w:tr2bl w:val="nil"/>
            </w:tcBorders>
            <w:vAlign w:val="center"/>
          </w:tcPr>
          <w:p w14:paraId="3BD4B6C1">
            <w:pPr>
              <w:adjustRightInd w:val="0"/>
              <w:snapToGrid w:val="0"/>
              <w:spacing w:line="320" w:lineRule="exact"/>
              <w:jc w:val="center"/>
              <w:rPr>
                <w:rFonts w:eastAsia="仿宋_GB2312"/>
                <w:color w:val="auto"/>
                <w:szCs w:val="21"/>
              </w:rPr>
            </w:pPr>
            <w:r>
              <w:rPr>
                <w:rFonts w:eastAsia="仿宋_GB2312"/>
                <w:color w:val="auto"/>
                <w:szCs w:val="21"/>
              </w:rPr>
              <w:t>/</w:t>
            </w:r>
          </w:p>
        </w:tc>
        <w:tc>
          <w:tcPr>
            <w:tcW w:w="896" w:type="dxa"/>
            <w:tcBorders>
              <w:tl2br w:val="nil"/>
              <w:tr2bl w:val="nil"/>
            </w:tcBorders>
            <w:vAlign w:val="center"/>
          </w:tcPr>
          <w:p w14:paraId="6A73EFF0">
            <w:pPr>
              <w:adjustRightInd w:val="0"/>
              <w:snapToGrid w:val="0"/>
              <w:spacing w:line="320" w:lineRule="exact"/>
              <w:jc w:val="center"/>
              <w:rPr>
                <w:rFonts w:eastAsia="仿宋_GB2312"/>
                <w:color w:val="auto"/>
                <w:szCs w:val="21"/>
              </w:rPr>
            </w:pPr>
            <w:r>
              <w:rPr>
                <w:rFonts w:eastAsia="仿宋_GB2312"/>
                <w:color w:val="auto"/>
                <w:szCs w:val="21"/>
              </w:rPr>
              <w:t>851</w:t>
            </w:r>
          </w:p>
        </w:tc>
        <w:tc>
          <w:tcPr>
            <w:tcW w:w="1281" w:type="dxa"/>
            <w:tcBorders>
              <w:tl2br w:val="nil"/>
              <w:tr2bl w:val="nil"/>
            </w:tcBorders>
            <w:vAlign w:val="center"/>
          </w:tcPr>
          <w:p w14:paraId="7CC8C49E">
            <w:pPr>
              <w:adjustRightInd w:val="0"/>
              <w:snapToGrid w:val="0"/>
              <w:spacing w:line="320" w:lineRule="exact"/>
              <w:jc w:val="center"/>
              <w:rPr>
                <w:rFonts w:eastAsia="仿宋_GB2312"/>
                <w:color w:val="auto"/>
                <w:szCs w:val="21"/>
              </w:rPr>
            </w:pPr>
            <w:r>
              <w:rPr>
                <w:rFonts w:eastAsia="仿宋_GB2312"/>
                <w:color w:val="auto"/>
                <w:szCs w:val="21"/>
              </w:rPr>
              <w:t>4090</w:t>
            </w:r>
          </w:p>
        </w:tc>
        <w:tc>
          <w:tcPr>
            <w:tcW w:w="1279" w:type="dxa"/>
            <w:tcBorders>
              <w:tl2br w:val="nil"/>
              <w:tr2bl w:val="nil"/>
            </w:tcBorders>
            <w:vAlign w:val="center"/>
          </w:tcPr>
          <w:p w14:paraId="3D2BD9F5">
            <w:pPr>
              <w:adjustRightInd w:val="0"/>
              <w:snapToGrid w:val="0"/>
              <w:spacing w:line="320" w:lineRule="exact"/>
              <w:jc w:val="center"/>
              <w:rPr>
                <w:rFonts w:eastAsia="仿宋_GB2312"/>
                <w:color w:val="auto"/>
                <w:szCs w:val="21"/>
              </w:rPr>
            </w:pPr>
            <w:r>
              <w:rPr>
                <w:rFonts w:eastAsia="仿宋_GB2312"/>
                <w:color w:val="auto"/>
                <w:szCs w:val="21"/>
              </w:rPr>
              <w:t>/</w:t>
            </w:r>
          </w:p>
        </w:tc>
        <w:tc>
          <w:tcPr>
            <w:tcW w:w="1365" w:type="dxa"/>
            <w:tcBorders>
              <w:tl2br w:val="nil"/>
              <w:tr2bl w:val="nil"/>
            </w:tcBorders>
            <w:vAlign w:val="center"/>
          </w:tcPr>
          <w:p w14:paraId="56556FE2">
            <w:pPr>
              <w:adjustRightInd w:val="0"/>
              <w:snapToGrid w:val="0"/>
              <w:spacing w:line="320" w:lineRule="exact"/>
              <w:jc w:val="center"/>
              <w:rPr>
                <w:rFonts w:eastAsia="仿宋_GB2312"/>
                <w:color w:val="auto"/>
                <w:szCs w:val="21"/>
              </w:rPr>
            </w:pPr>
            <w:r>
              <w:rPr>
                <w:rFonts w:eastAsia="仿宋_GB2312"/>
                <w:color w:val="auto"/>
                <w:szCs w:val="21"/>
              </w:rPr>
              <w:t>2300</w:t>
            </w:r>
          </w:p>
        </w:tc>
      </w:tr>
      <w:tr w14:paraId="2C09695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464" w:type="dxa"/>
            <w:tcBorders>
              <w:tl2br w:val="nil"/>
              <w:tr2bl w:val="nil"/>
            </w:tcBorders>
            <w:vAlign w:val="center"/>
          </w:tcPr>
          <w:p w14:paraId="181568D2">
            <w:pPr>
              <w:adjustRightInd w:val="0"/>
              <w:snapToGrid w:val="0"/>
              <w:spacing w:line="320" w:lineRule="exact"/>
              <w:jc w:val="center"/>
              <w:rPr>
                <w:rFonts w:eastAsia="仿宋_GB2312"/>
                <w:color w:val="auto"/>
                <w:szCs w:val="21"/>
              </w:rPr>
            </w:pPr>
            <w:r>
              <w:rPr>
                <w:rFonts w:eastAsia="仿宋_GB2312"/>
                <w:color w:val="auto"/>
                <w:szCs w:val="21"/>
              </w:rPr>
              <w:t>硼酸</w:t>
            </w:r>
          </w:p>
        </w:tc>
        <w:tc>
          <w:tcPr>
            <w:tcW w:w="862" w:type="dxa"/>
            <w:tcBorders>
              <w:tl2br w:val="nil"/>
              <w:tr2bl w:val="nil"/>
            </w:tcBorders>
            <w:vAlign w:val="center"/>
          </w:tcPr>
          <w:p w14:paraId="0862F3FE">
            <w:pPr>
              <w:adjustRightInd w:val="0"/>
              <w:snapToGrid w:val="0"/>
              <w:spacing w:line="320" w:lineRule="exact"/>
              <w:jc w:val="center"/>
              <w:rPr>
                <w:rFonts w:eastAsia="仿宋_GB2312"/>
                <w:color w:val="auto"/>
                <w:szCs w:val="21"/>
              </w:rPr>
            </w:pPr>
            <w:r>
              <w:rPr>
                <w:rFonts w:eastAsia="仿宋_GB2312"/>
                <w:color w:val="auto"/>
                <w:szCs w:val="21"/>
              </w:rPr>
              <w:t>/</w:t>
            </w:r>
          </w:p>
        </w:tc>
        <w:tc>
          <w:tcPr>
            <w:tcW w:w="803" w:type="dxa"/>
            <w:tcBorders>
              <w:tl2br w:val="nil"/>
              <w:tr2bl w:val="nil"/>
            </w:tcBorders>
            <w:vAlign w:val="center"/>
          </w:tcPr>
          <w:p w14:paraId="5737177C">
            <w:pPr>
              <w:adjustRightInd w:val="0"/>
              <w:snapToGrid w:val="0"/>
              <w:spacing w:line="320" w:lineRule="exact"/>
              <w:jc w:val="center"/>
              <w:rPr>
                <w:rFonts w:eastAsia="仿宋_GB2312"/>
                <w:color w:val="auto"/>
                <w:szCs w:val="21"/>
              </w:rPr>
            </w:pPr>
            <w:r>
              <w:rPr>
                <w:rFonts w:eastAsia="仿宋_GB2312"/>
                <w:color w:val="auto"/>
                <w:szCs w:val="21"/>
              </w:rPr>
              <w:t>/</w:t>
            </w:r>
          </w:p>
        </w:tc>
        <w:tc>
          <w:tcPr>
            <w:tcW w:w="896" w:type="dxa"/>
            <w:tcBorders>
              <w:tl2br w:val="nil"/>
              <w:tr2bl w:val="nil"/>
            </w:tcBorders>
            <w:vAlign w:val="center"/>
          </w:tcPr>
          <w:p w14:paraId="778CE36F">
            <w:pPr>
              <w:adjustRightInd w:val="0"/>
              <w:snapToGrid w:val="0"/>
              <w:spacing w:line="320" w:lineRule="exact"/>
              <w:jc w:val="center"/>
              <w:rPr>
                <w:rFonts w:eastAsia="仿宋_GB2312"/>
                <w:color w:val="auto"/>
                <w:szCs w:val="21"/>
              </w:rPr>
            </w:pPr>
            <w:r>
              <w:rPr>
                <w:rFonts w:eastAsia="仿宋_GB2312"/>
                <w:color w:val="auto"/>
                <w:szCs w:val="21"/>
              </w:rPr>
              <w:t>/</w:t>
            </w:r>
          </w:p>
        </w:tc>
        <w:tc>
          <w:tcPr>
            <w:tcW w:w="896" w:type="dxa"/>
            <w:tcBorders>
              <w:tl2br w:val="nil"/>
              <w:tr2bl w:val="nil"/>
            </w:tcBorders>
            <w:vAlign w:val="center"/>
          </w:tcPr>
          <w:p w14:paraId="72FE0F09">
            <w:pPr>
              <w:adjustRightInd w:val="0"/>
              <w:snapToGrid w:val="0"/>
              <w:spacing w:line="320" w:lineRule="exact"/>
              <w:jc w:val="center"/>
              <w:rPr>
                <w:rFonts w:eastAsia="仿宋_GB2312"/>
                <w:color w:val="auto"/>
                <w:szCs w:val="21"/>
              </w:rPr>
            </w:pPr>
            <w:r>
              <w:rPr>
                <w:rFonts w:eastAsia="仿宋_GB2312"/>
                <w:color w:val="auto"/>
                <w:szCs w:val="21"/>
              </w:rPr>
              <w:t>185</w:t>
            </w:r>
          </w:p>
        </w:tc>
        <w:tc>
          <w:tcPr>
            <w:tcW w:w="1281" w:type="dxa"/>
            <w:tcBorders>
              <w:tl2br w:val="nil"/>
              <w:tr2bl w:val="nil"/>
            </w:tcBorders>
            <w:vAlign w:val="center"/>
          </w:tcPr>
          <w:p w14:paraId="1793B3E6">
            <w:pPr>
              <w:adjustRightInd w:val="0"/>
              <w:snapToGrid w:val="0"/>
              <w:spacing w:line="320" w:lineRule="exact"/>
              <w:jc w:val="center"/>
              <w:rPr>
                <w:rFonts w:eastAsia="仿宋_GB2312"/>
                <w:color w:val="auto"/>
                <w:szCs w:val="21"/>
              </w:rPr>
            </w:pPr>
            <w:r>
              <w:rPr>
                <w:rFonts w:eastAsia="仿宋_GB2312"/>
                <w:color w:val="auto"/>
                <w:szCs w:val="21"/>
              </w:rPr>
              <w:t>/</w:t>
            </w:r>
          </w:p>
        </w:tc>
        <w:tc>
          <w:tcPr>
            <w:tcW w:w="1279" w:type="dxa"/>
            <w:tcBorders>
              <w:tl2br w:val="nil"/>
              <w:tr2bl w:val="nil"/>
            </w:tcBorders>
            <w:vAlign w:val="center"/>
          </w:tcPr>
          <w:p w14:paraId="18693A20">
            <w:pPr>
              <w:adjustRightInd w:val="0"/>
              <w:snapToGrid w:val="0"/>
              <w:spacing w:line="320" w:lineRule="exact"/>
              <w:jc w:val="center"/>
              <w:rPr>
                <w:rFonts w:eastAsia="仿宋_GB2312"/>
                <w:color w:val="auto"/>
                <w:szCs w:val="21"/>
              </w:rPr>
            </w:pPr>
            <w:r>
              <w:rPr>
                <w:rFonts w:eastAsia="仿宋_GB2312"/>
                <w:color w:val="auto"/>
                <w:szCs w:val="21"/>
              </w:rPr>
              <w:t>/</w:t>
            </w:r>
          </w:p>
        </w:tc>
        <w:tc>
          <w:tcPr>
            <w:tcW w:w="1365" w:type="dxa"/>
            <w:tcBorders>
              <w:tl2br w:val="nil"/>
              <w:tr2bl w:val="nil"/>
            </w:tcBorders>
            <w:vAlign w:val="center"/>
          </w:tcPr>
          <w:p w14:paraId="17E7A09D">
            <w:pPr>
              <w:adjustRightInd w:val="0"/>
              <w:snapToGrid w:val="0"/>
              <w:spacing w:line="320" w:lineRule="exact"/>
              <w:jc w:val="center"/>
              <w:rPr>
                <w:rFonts w:eastAsia="仿宋_GB2312"/>
                <w:color w:val="auto"/>
                <w:szCs w:val="21"/>
              </w:rPr>
            </w:pPr>
            <w:r>
              <w:rPr>
                <w:rFonts w:eastAsia="仿宋_GB2312"/>
                <w:color w:val="auto"/>
                <w:szCs w:val="21"/>
              </w:rPr>
              <w:t>/</w:t>
            </w:r>
          </w:p>
        </w:tc>
      </w:tr>
      <w:tr w14:paraId="3600A2C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464" w:type="dxa"/>
            <w:tcBorders>
              <w:tl2br w:val="nil"/>
              <w:tr2bl w:val="nil"/>
            </w:tcBorders>
            <w:vAlign w:val="center"/>
          </w:tcPr>
          <w:p w14:paraId="001B4BA9">
            <w:pPr>
              <w:adjustRightInd w:val="0"/>
              <w:snapToGrid w:val="0"/>
              <w:spacing w:line="320" w:lineRule="exact"/>
              <w:jc w:val="center"/>
              <w:rPr>
                <w:rFonts w:eastAsia="仿宋_GB2312"/>
                <w:color w:val="auto"/>
                <w:szCs w:val="21"/>
              </w:rPr>
            </w:pPr>
            <w:r>
              <w:rPr>
                <w:rFonts w:eastAsia="仿宋_GB2312"/>
                <w:color w:val="auto"/>
                <w:szCs w:val="21"/>
              </w:rPr>
              <w:t>柠檬酸</w:t>
            </w:r>
          </w:p>
        </w:tc>
        <w:tc>
          <w:tcPr>
            <w:tcW w:w="862" w:type="dxa"/>
            <w:tcBorders>
              <w:tl2br w:val="nil"/>
              <w:tr2bl w:val="nil"/>
            </w:tcBorders>
            <w:vAlign w:val="center"/>
          </w:tcPr>
          <w:p w14:paraId="32323B15">
            <w:pPr>
              <w:adjustRightInd w:val="0"/>
              <w:snapToGrid w:val="0"/>
              <w:spacing w:line="320" w:lineRule="exact"/>
              <w:jc w:val="center"/>
              <w:rPr>
                <w:rFonts w:eastAsia="仿宋_GB2312"/>
                <w:color w:val="auto"/>
                <w:szCs w:val="21"/>
              </w:rPr>
            </w:pPr>
            <w:r>
              <w:rPr>
                <w:rFonts w:eastAsia="仿宋_GB2312"/>
                <w:color w:val="auto"/>
                <w:szCs w:val="21"/>
              </w:rPr>
              <w:t>/</w:t>
            </w:r>
          </w:p>
        </w:tc>
        <w:tc>
          <w:tcPr>
            <w:tcW w:w="803" w:type="dxa"/>
            <w:tcBorders>
              <w:tl2br w:val="nil"/>
              <w:tr2bl w:val="nil"/>
            </w:tcBorders>
            <w:vAlign w:val="center"/>
          </w:tcPr>
          <w:p w14:paraId="4C11604F">
            <w:pPr>
              <w:adjustRightInd w:val="0"/>
              <w:snapToGrid w:val="0"/>
              <w:spacing w:line="320" w:lineRule="exact"/>
              <w:jc w:val="center"/>
              <w:rPr>
                <w:rFonts w:eastAsia="仿宋_GB2312"/>
                <w:color w:val="auto"/>
                <w:szCs w:val="21"/>
              </w:rPr>
            </w:pPr>
            <w:r>
              <w:rPr>
                <w:rFonts w:eastAsia="仿宋_GB2312"/>
                <w:color w:val="auto"/>
                <w:szCs w:val="21"/>
              </w:rPr>
              <w:t>/</w:t>
            </w:r>
          </w:p>
        </w:tc>
        <w:tc>
          <w:tcPr>
            <w:tcW w:w="896" w:type="dxa"/>
            <w:tcBorders>
              <w:tl2br w:val="nil"/>
              <w:tr2bl w:val="nil"/>
            </w:tcBorders>
            <w:vAlign w:val="center"/>
          </w:tcPr>
          <w:p w14:paraId="51A88A18">
            <w:pPr>
              <w:adjustRightInd w:val="0"/>
              <w:snapToGrid w:val="0"/>
              <w:spacing w:line="320" w:lineRule="exact"/>
              <w:jc w:val="center"/>
              <w:rPr>
                <w:rFonts w:eastAsia="仿宋_GB2312"/>
                <w:color w:val="auto"/>
                <w:szCs w:val="21"/>
              </w:rPr>
            </w:pPr>
            <w:r>
              <w:rPr>
                <w:rFonts w:eastAsia="仿宋_GB2312"/>
                <w:color w:val="auto"/>
                <w:szCs w:val="21"/>
              </w:rPr>
              <w:t>/</w:t>
            </w:r>
          </w:p>
        </w:tc>
        <w:tc>
          <w:tcPr>
            <w:tcW w:w="896" w:type="dxa"/>
            <w:tcBorders>
              <w:tl2br w:val="nil"/>
              <w:tr2bl w:val="nil"/>
            </w:tcBorders>
            <w:vAlign w:val="center"/>
          </w:tcPr>
          <w:p w14:paraId="49C69AED">
            <w:pPr>
              <w:adjustRightInd w:val="0"/>
              <w:snapToGrid w:val="0"/>
              <w:spacing w:line="320" w:lineRule="exact"/>
              <w:jc w:val="center"/>
              <w:rPr>
                <w:rFonts w:eastAsia="仿宋_GB2312"/>
                <w:color w:val="auto"/>
                <w:szCs w:val="21"/>
              </w:rPr>
            </w:pPr>
            <w:r>
              <w:rPr>
                <w:rFonts w:eastAsia="仿宋_GB2312"/>
                <w:color w:val="auto"/>
                <w:szCs w:val="21"/>
              </w:rPr>
              <w:t>153</w:t>
            </w:r>
          </w:p>
        </w:tc>
        <w:tc>
          <w:tcPr>
            <w:tcW w:w="1281" w:type="dxa"/>
            <w:tcBorders>
              <w:tl2br w:val="nil"/>
              <w:tr2bl w:val="nil"/>
            </w:tcBorders>
            <w:vAlign w:val="center"/>
          </w:tcPr>
          <w:p w14:paraId="633258A0">
            <w:pPr>
              <w:adjustRightInd w:val="0"/>
              <w:snapToGrid w:val="0"/>
              <w:spacing w:line="320" w:lineRule="exact"/>
              <w:jc w:val="center"/>
              <w:rPr>
                <w:rFonts w:eastAsia="仿宋_GB2312"/>
                <w:color w:val="auto"/>
                <w:szCs w:val="21"/>
              </w:rPr>
            </w:pPr>
            <w:r>
              <w:rPr>
                <w:rFonts w:eastAsia="仿宋_GB2312"/>
                <w:color w:val="auto"/>
                <w:szCs w:val="21"/>
              </w:rPr>
              <w:t>6730</w:t>
            </w:r>
          </w:p>
        </w:tc>
        <w:tc>
          <w:tcPr>
            <w:tcW w:w="1279" w:type="dxa"/>
            <w:tcBorders>
              <w:tl2br w:val="nil"/>
              <w:tr2bl w:val="nil"/>
            </w:tcBorders>
            <w:vAlign w:val="center"/>
          </w:tcPr>
          <w:p w14:paraId="1D7EECDC">
            <w:pPr>
              <w:adjustRightInd w:val="0"/>
              <w:snapToGrid w:val="0"/>
              <w:spacing w:line="320" w:lineRule="exact"/>
              <w:jc w:val="center"/>
              <w:rPr>
                <w:rFonts w:eastAsia="仿宋_GB2312"/>
                <w:color w:val="auto"/>
                <w:szCs w:val="21"/>
              </w:rPr>
            </w:pPr>
            <w:r>
              <w:rPr>
                <w:rFonts w:eastAsia="仿宋_GB2312"/>
                <w:color w:val="auto"/>
                <w:szCs w:val="21"/>
              </w:rPr>
              <w:t>/</w:t>
            </w:r>
          </w:p>
        </w:tc>
        <w:tc>
          <w:tcPr>
            <w:tcW w:w="1365" w:type="dxa"/>
            <w:tcBorders>
              <w:tl2br w:val="nil"/>
              <w:tr2bl w:val="nil"/>
            </w:tcBorders>
            <w:vAlign w:val="center"/>
          </w:tcPr>
          <w:p w14:paraId="29517BA1">
            <w:pPr>
              <w:adjustRightInd w:val="0"/>
              <w:snapToGrid w:val="0"/>
              <w:spacing w:line="320" w:lineRule="exact"/>
              <w:jc w:val="center"/>
              <w:rPr>
                <w:rFonts w:eastAsia="仿宋_GB2312"/>
                <w:color w:val="auto"/>
                <w:szCs w:val="21"/>
              </w:rPr>
            </w:pPr>
            <w:r>
              <w:rPr>
                <w:rFonts w:eastAsia="仿宋_GB2312"/>
                <w:color w:val="auto"/>
                <w:szCs w:val="21"/>
              </w:rPr>
              <w:t>/</w:t>
            </w:r>
          </w:p>
        </w:tc>
      </w:tr>
      <w:tr w14:paraId="3E30B58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464" w:type="dxa"/>
            <w:tcBorders>
              <w:tl2br w:val="nil"/>
              <w:tr2bl w:val="nil"/>
            </w:tcBorders>
            <w:vAlign w:val="center"/>
          </w:tcPr>
          <w:p w14:paraId="5172B870">
            <w:pPr>
              <w:adjustRightInd w:val="0"/>
              <w:snapToGrid w:val="0"/>
              <w:spacing w:line="320" w:lineRule="exact"/>
              <w:jc w:val="center"/>
              <w:rPr>
                <w:rFonts w:eastAsia="仿宋_GB2312"/>
                <w:color w:val="auto"/>
                <w:szCs w:val="21"/>
              </w:rPr>
            </w:pPr>
            <w:r>
              <w:rPr>
                <w:rFonts w:eastAsia="仿宋_GB2312"/>
                <w:color w:val="auto"/>
                <w:szCs w:val="21"/>
              </w:rPr>
              <w:t>柠檬酸钾</w:t>
            </w:r>
          </w:p>
        </w:tc>
        <w:tc>
          <w:tcPr>
            <w:tcW w:w="862" w:type="dxa"/>
            <w:tcBorders>
              <w:tl2br w:val="nil"/>
              <w:tr2bl w:val="nil"/>
            </w:tcBorders>
            <w:vAlign w:val="center"/>
          </w:tcPr>
          <w:p w14:paraId="391A8757">
            <w:pPr>
              <w:adjustRightInd w:val="0"/>
              <w:snapToGrid w:val="0"/>
              <w:spacing w:line="320" w:lineRule="exact"/>
              <w:jc w:val="center"/>
              <w:rPr>
                <w:rFonts w:eastAsia="仿宋_GB2312"/>
                <w:color w:val="auto"/>
                <w:szCs w:val="21"/>
              </w:rPr>
            </w:pPr>
            <w:r>
              <w:rPr>
                <w:rFonts w:eastAsia="仿宋_GB2312"/>
                <w:color w:val="auto"/>
                <w:szCs w:val="21"/>
              </w:rPr>
              <w:t>/</w:t>
            </w:r>
          </w:p>
        </w:tc>
        <w:tc>
          <w:tcPr>
            <w:tcW w:w="803" w:type="dxa"/>
            <w:tcBorders>
              <w:tl2br w:val="nil"/>
              <w:tr2bl w:val="nil"/>
            </w:tcBorders>
            <w:vAlign w:val="center"/>
          </w:tcPr>
          <w:p w14:paraId="49C6E89A">
            <w:pPr>
              <w:adjustRightInd w:val="0"/>
              <w:snapToGrid w:val="0"/>
              <w:spacing w:line="320" w:lineRule="exact"/>
              <w:jc w:val="center"/>
              <w:rPr>
                <w:rFonts w:eastAsia="仿宋_GB2312"/>
                <w:color w:val="auto"/>
                <w:szCs w:val="21"/>
              </w:rPr>
            </w:pPr>
            <w:r>
              <w:rPr>
                <w:rFonts w:eastAsia="仿宋_GB2312"/>
                <w:color w:val="auto"/>
                <w:szCs w:val="21"/>
              </w:rPr>
              <w:t>/</w:t>
            </w:r>
          </w:p>
        </w:tc>
        <w:tc>
          <w:tcPr>
            <w:tcW w:w="896" w:type="dxa"/>
            <w:tcBorders>
              <w:tl2br w:val="nil"/>
              <w:tr2bl w:val="nil"/>
            </w:tcBorders>
            <w:vAlign w:val="center"/>
          </w:tcPr>
          <w:p w14:paraId="6ED6272C">
            <w:pPr>
              <w:adjustRightInd w:val="0"/>
              <w:snapToGrid w:val="0"/>
              <w:spacing w:line="320" w:lineRule="exact"/>
              <w:jc w:val="center"/>
              <w:rPr>
                <w:rFonts w:eastAsia="仿宋_GB2312"/>
                <w:color w:val="auto"/>
                <w:szCs w:val="21"/>
              </w:rPr>
            </w:pPr>
            <w:r>
              <w:rPr>
                <w:rFonts w:eastAsia="仿宋_GB2312"/>
                <w:color w:val="auto"/>
                <w:szCs w:val="21"/>
              </w:rPr>
              <w:t>/</w:t>
            </w:r>
          </w:p>
        </w:tc>
        <w:tc>
          <w:tcPr>
            <w:tcW w:w="896" w:type="dxa"/>
            <w:tcBorders>
              <w:tl2br w:val="nil"/>
              <w:tr2bl w:val="nil"/>
            </w:tcBorders>
            <w:vAlign w:val="center"/>
          </w:tcPr>
          <w:p w14:paraId="28A9AAE9">
            <w:pPr>
              <w:adjustRightInd w:val="0"/>
              <w:snapToGrid w:val="0"/>
              <w:spacing w:line="320" w:lineRule="exact"/>
              <w:jc w:val="center"/>
              <w:rPr>
                <w:rFonts w:eastAsia="仿宋_GB2312"/>
                <w:color w:val="auto"/>
                <w:szCs w:val="21"/>
              </w:rPr>
            </w:pPr>
            <w:r>
              <w:rPr>
                <w:rFonts w:eastAsia="仿宋_GB2312"/>
                <w:color w:val="auto"/>
                <w:szCs w:val="21"/>
              </w:rPr>
              <w:t>230</w:t>
            </w:r>
          </w:p>
        </w:tc>
        <w:tc>
          <w:tcPr>
            <w:tcW w:w="1281" w:type="dxa"/>
            <w:tcBorders>
              <w:tl2br w:val="nil"/>
              <w:tr2bl w:val="nil"/>
            </w:tcBorders>
            <w:vAlign w:val="center"/>
          </w:tcPr>
          <w:p w14:paraId="100E8417">
            <w:pPr>
              <w:adjustRightInd w:val="0"/>
              <w:snapToGrid w:val="0"/>
              <w:spacing w:line="320" w:lineRule="exact"/>
              <w:jc w:val="center"/>
              <w:rPr>
                <w:rFonts w:eastAsia="仿宋_GB2312"/>
                <w:color w:val="auto"/>
                <w:szCs w:val="21"/>
              </w:rPr>
            </w:pPr>
            <w:r>
              <w:rPr>
                <w:rFonts w:eastAsia="仿宋_GB2312"/>
                <w:color w:val="auto"/>
                <w:szCs w:val="21"/>
              </w:rPr>
              <w:t>3000</w:t>
            </w:r>
          </w:p>
        </w:tc>
        <w:tc>
          <w:tcPr>
            <w:tcW w:w="1279" w:type="dxa"/>
            <w:tcBorders>
              <w:tl2br w:val="nil"/>
              <w:tr2bl w:val="nil"/>
            </w:tcBorders>
            <w:vAlign w:val="center"/>
          </w:tcPr>
          <w:p w14:paraId="17EE18DC">
            <w:pPr>
              <w:adjustRightInd w:val="0"/>
              <w:snapToGrid w:val="0"/>
              <w:spacing w:line="320" w:lineRule="exact"/>
              <w:jc w:val="center"/>
              <w:rPr>
                <w:rFonts w:eastAsia="仿宋_GB2312"/>
                <w:color w:val="auto"/>
                <w:szCs w:val="21"/>
              </w:rPr>
            </w:pPr>
            <w:r>
              <w:rPr>
                <w:rFonts w:eastAsia="仿宋_GB2312"/>
                <w:color w:val="auto"/>
                <w:szCs w:val="21"/>
              </w:rPr>
              <w:t>/</w:t>
            </w:r>
          </w:p>
        </w:tc>
        <w:tc>
          <w:tcPr>
            <w:tcW w:w="1365" w:type="dxa"/>
            <w:tcBorders>
              <w:tl2br w:val="nil"/>
              <w:tr2bl w:val="nil"/>
            </w:tcBorders>
            <w:vAlign w:val="center"/>
          </w:tcPr>
          <w:p w14:paraId="243C73BC">
            <w:pPr>
              <w:adjustRightInd w:val="0"/>
              <w:snapToGrid w:val="0"/>
              <w:spacing w:line="320" w:lineRule="exact"/>
              <w:jc w:val="center"/>
              <w:rPr>
                <w:rFonts w:eastAsia="仿宋_GB2312"/>
                <w:color w:val="auto"/>
                <w:szCs w:val="21"/>
              </w:rPr>
            </w:pPr>
            <w:r>
              <w:rPr>
                <w:rFonts w:eastAsia="仿宋_GB2312"/>
                <w:color w:val="auto"/>
                <w:szCs w:val="21"/>
              </w:rPr>
              <w:t>/</w:t>
            </w:r>
          </w:p>
        </w:tc>
      </w:tr>
    </w:tbl>
    <w:p w14:paraId="6DB1121F">
      <w:pPr>
        <w:spacing w:line="500" w:lineRule="exact"/>
        <w:jc w:val="center"/>
        <w:rPr>
          <w:rFonts w:eastAsia="仿宋_GB2312"/>
          <w:b/>
          <w:color w:val="auto"/>
          <w:sz w:val="24"/>
        </w:rPr>
      </w:pPr>
      <w:r>
        <w:rPr>
          <w:rFonts w:eastAsia="仿宋_GB2312"/>
          <w:b/>
          <w:color w:val="auto"/>
          <w:sz w:val="24"/>
        </w:rPr>
        <w:t>表3.8-2  原有项目主要化学品危险性判别</w:t>
      </w:r>
    </w:p>
    <w:tbl>
      <w:tblPr>
        <w:tblStyle w:val="88"/>
        <w:tblW w:w="884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670"/>
        <w:gridCol w:w="816"/>
        <w:gridCol w:w="876"/>
        <w:gridCol w:w="4104"/>
        <w:gridCol w:w="1380"/>
      </w:tblGrid>
      <w:tr w14:paraId="60B6B6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670" w:type="dxa"/>
            <w:tcBorders>
              <w:tl2br w:val="nil"/>
              <w:tr2bl w:val="nil"/>
            </w:tcBorders>
            <w:vAlign w:val="center"/>
          </w:tcPr>
          <w:p w14:paraId="3D1128CC">
            <w:pPr>
              <w:adjustRightInd w:val="0"/>
              <w:snapToGrid w:val="0"/>
              <w:spacing w:line="320" w:lineRule="exact"/>
              <w:jc w:val="center"/>
              <w:rPr>
                <w:rFonts w:eastAsia="仿宋_GB2312"/>
                <w:b/>
                <w:color w:val="auto"/>
                <w:szCs w:val="21"/>
              </w:rPr>
            </w:pPr>
            <w:r>
              <w:rPr>
                <w:rFonts w:eastAsia="仿宋_GB2312"/>
                <w:b/>
                <w:color w:val="auto"/>
                <w:szCs w:val="21"/>
              </w:rPr>
              <w:t>物质名称</w:t>
            </w:r>
          </w:p>
        </w:tc>
        <w:tc>
          <w:tcPr>
            <w:tcW w:w="816" w:type="dxa"/>
            <w:tcBorders>
              <w:tl2br w:val="nil"/>
              <w:tr2bl w:val="nil"/>
            </w:tcBorders>
            <w:vAlign w:val="center"/>
          </w:tcPr>
          <w:p w14:paraId="5656E590">
            <w:pPr>
              <w:adjustRightInd w:val="0"/>
              <w:snapToGrid w:val="0"/>
              <w:spacing w:line="320" w:lineRule="exact"/>
              <w:jc w:val="center"/>
              <w:rPr>
                <w:rFonts w:eastAsia="仿宋_GB2312"/>
                <w:b/>
                <w:color w:val="auto"/>
                <w:szCs w:val="21"/>
              </w:rPr>
            </w:pPr>
            <w:r>
              <w:rPr>
                <w:rFonts w:eastAsia="仿宋_GB2312"/>
                <w:b/>
                <w:color w:val="auto"/>
                <w:szCs w:val="21"/>
              </w:rPr>
              <w:t>毒性</w:t>
            </w:r>
          </w:p>
        </w:tc>
        <w:tc>
          <w:tcPr>
            <w:tcW w:w="876" w:type="dxa"/>
            <w:tcBorders>
              <w:tl2br w:val="nil"/>
              <w:tr2bl w:val="nil"/>
            </w:tcBorders>
            <w:vAlign w:val="center"/>
          </w:tcPr>
          <w:p w14:paraId="5EB19BC7">
            <w:pPr>
              <w:adjustRightInd w:val="0"/>
              <w:snapToGrid w:val="0"/>
              <w:spacing w:line="320" w:lineRule="exact"/>
              <w:jc w:val="center"/>
              <w:rPr>
                <w:rFonts w:eastAsia="仿宋_GB2312"/>
                <w:b/>
                <w:color w:val="auto"/>
                <w:szCs w:val="21"/>
              </w:rPr>
            </w:pPr>
            <w:r>
              <w:rPr>
                <w:rFonts w:eastAsia="仿宋_GB2312"/>
                <w:b/>
                <w:color w:val="auto"/>
                <w:szCs w:val="21"/>
              </w:rPr>
              <w:t>燃烧性</w:t>
            </w:r>
          </w:p>
        </w:tc>
        <w:tc>
          <w:tcPr>
            <w:tcW w:w="4104" w:type="dxa"/>
            <w:tcBorders>
              <w:tl2br w:val="nil"/>
              <w:tr2bl w:val="nil"/>
            </w:tcBorders>
            <w:vAlign w:val="center"/>
          </w:tcPr>
          <w:p w14:paraId="5EB212A8">
            <w:pPr>
              <w:adjustRightInd w:val="0"/>
              <w:snapToGrid w:val="0"/>
              <w:spacing w:line="320" w:lineRule="exact"/>
              <w:jc w:val="center"/>
              <w:rPr>
                <w:rFonts w:eastAsia="仿宋_GB2312"/>
                <w:b/>
                <w:color w:val="auto"/>
                <w:szCs w:val="21"/>
              </w:rPr>
            </w:pPr>
            <w:r>
              <w:rPr>
                <w:rFonts w:eastAsia="仿宋_GB2312"/>
                <w:b/>
                <w:color w:val="auto"/>
                <w:szCs w:val="21"/>
              </w:rPr>
              <w:t>爆炸性</w:t>
            </w:r>
          </w:p>
        </w:tc>
        <w:tc>
          <w:tcPr>
            <w:tcW w:w="1380" w:type="dxa"/>
            <w:tcBorders>
              <w:tl2br w:val="nil"/>
              <w:tr2bl w:val="nil"/>
            </w:tcBorders>
            <w:vAlign w:val="center"/>
          </w:tcPr>
          <w:p w14:paraId="7082B06A">
            <w:pPr>
              <w:adjustRightInd w:val="0"/>
              <w:snapToGrid w:val="0"/>
              <w:spacing w:line="320" w:lineRule="exact"/>
              <w:jc w:val="center"/>
              <w:rPr>
                <w:rFonts w:eastAsia="仿宋_GB2312"/>
                <w:b/>
                <w:color w:val="auto"/>
                <w:szCs w:val="21"/>
              </w:rPr>
            </w:pPr>
            <w:r>
              <w:rPr>
                <w:rFonts w:eastAsia="仿宋_GB2312"/>
                <w:b/>
                <w:color w:val="auto"/>
                <w:szCs w:val="21"/>
              </w:rPr>
              <w:t>腐蚀性</w:t>
            </w:r>
          </w:p>
        </w:tc>
      </w:tr>
      <w:tr w14:paraId="3F0884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670" w:type="dxa"/>
            <w:tcBorders>
              <w:tl2br w:val="nil"/>
              <w:tr2bl w:val="nil"/>
            </w:tcBorders>
            <w:vAlign w:val="center"/>
          </w:tcPr>
          <w:p w14:paraId="5C7A1302">
            <w:pPr>
              <w:adjustRightInd w:val="0"/>
              <w:snapToGrid w:val="0"/>
              <w:spacing w:line="320" w:lineRule="exact"/>
              <w:jc w:val="center"/>
              <w:rPr>
                <w:rFonts w:eastAsia="仿宋_GB2312"/>
                <w:color w:val="auto"/>
                <w:szCs w:val="21"/>
              </w:rPr>
            </w:pPr>
            <w:r>
              <w:rPr>
                <w:rFonts w:eastAsia="仿宋_GB2312"/>
                <w:color w:val="auto"/>
                <w:szCs w:val="21"/>
              </w:rPr>
              <w:t>二乙酸乙酯醇</w:t>
            </w:r>
          </w:p>
        </w:tc>
        <w:tc>
          <w:tcPr>
            <w:tcW w:w="816" w:type="dxa"/>
            <w:tcBorders>
              <w:tl2br w:val="nil"/>
              <w:tr2bl w:val="nil"/>
            </w:tcBorders>
            <w:vAlign w:val="center"/>
          </w:tcPr>
          <w:p w14:paraId="52380D31">
            <w:pPr>
              <w:adjustRightInd w:val="0"/>
              <w:snapToGrid w:val="0"/>
              <w:spacing w:line="320" w:lineRule="exact"/>
              <w:jc w:val="center"/>
              <w:rPr>
                <w:rFonts w:eastAsia="仿宋_GB2312"/>
                <w:color w:val="auto"/>
                <w:szCs w:val="21"/>
              </w:rPr>
            </w:pPr>
            <w:r>
              <w:rPr>
                <w:rFonts w:eastAsia="仿宋_GB2312"/>
                <w:color w:val="auto"/>
                <w:szCs w:val="21"/>
              </w:rPr>
              <w:t>低毒</w:t>
            </w:r>
          </w:p>
        </w:tc>
        <w:tc>
          <w:tcPr>
            <w:tcW w:w="876" w:type="dxa"/>
            <w:tcBorders>
              <w:tl2br w:val="nil"/>
              <w:tr2bl w:val="nil"/>
            </w:tcBorders>
            <w:vAlign w:val="center"/>
          </w:tcPr>
          <w:p w14:paraId="4B5EE5FE">
            <w:pPr>
              <w:adjustRightInd w:val="0"/>
              <w:snapToGrid w:val="0"/>
              <w:spacing w:line="320" w:lineRule="exact"/>
              <w:jc w:val="center"/>
              <w:rPr>
                <w:rFonts w:eastAsia="仿宋_GB2312"/>
                <w:color w:val="auto"/>
                <w:szCs w:val="21"/>
              </w:rPr>
            </w:pPr>
            <w:r>
              <w:rPr>
                <w:rFonts w:eastAsia="仿宋_GB2312"/>
                <w:color w:val="auto"/>
                <w:szCs w:val="21"/>
              </w:rPr>
              <w:t>易燃</w:t>
            </w:r>
          </w:p>
        </w:tc>
        <w:tc>
          <w:tcPr>
            <w:tcW w:w="4104" w:type="dxa"/>
            <w:tcBorders>
              <w:tl2br w:val="nil"/>
              <w:tr2bl w:val="nil"/>
            </w:tcBorders>
            <w:vAlign w:val="center"/>
          </w:tcPr>
          <w:p w14:paraId="12AA2F45">
            <w:pPr>
              <w:adjustRightInd w:val="0"/>
              <w:snapToGrid w:val="0"/>
              <w:spacing w:line="320" w:lineRule="exact"/>
              <w:jc w:val="center"/>
              <w:rPr>
                <w:rFonts w:eastAsia="仿宋_GB2312"/>
                <w:color w:val="auto"/>
                <w:szCs w:val="21"/>
              </w:rPr>
            </w:pPr>
            <w:r>
              <w:rPr>
                <w:rFonts w:eastAsia="仿宋_GB2312"/>
                <w:color w:val="auto"/>
                <w:szCs w:val="21"/>
              </w:rPr>
              <w:t>其蒸汽与空气混合可形成爆炸性混合物</w:t>
            </w:r>
          </w:p>
        </w:tc>
        <w:tc>
          <w:tcPr>
            <w:tcW w:w="1380" w:type="dxa"/>
            <w:tcBorders>
              <w:tl2br w:val="nil"/>
              <w:tr2bl w:val="nil"/>
            </w:tcBorders>
            <w:vAlign w:val="center"/>
          </w:tcPr>
          <w:p w14:paraId="25E4366C">
            <w:pPr>
              <w:adjustRightInd w:val="0"/>
              <w:snapToGrid w:val="0"/>
              <w:spacing w:line="320" w:lineRule="exact"/>
              <w:jc w:val="center"/>
              <w:rPr>
                <w:rFonts w:eastAsia="仿宋_GB2312"/>
                <w:color w:val="auto"/>
                <w:szCs w:val="21"/>
              </w:rPr>
            </w:pPr>
            <w:r>
              <w:rPr>
                <w:rFonts w:eastAsia="仿宋_GB2312"/>
                <w:color w:val="auto"/>
                <w:szCs w:val="21"/>
              </w:rPr>
              <w:t>/</w:t>
            </w:r>
          </w:p>
        </w:tc>
      </w:tr>
      <w:tr w14:paraId="29E20B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670" w:type="dxa"/>
            <w:tcBorders>
              <w:tl2br w:val="nil"/>
              <w:tr2bl w:val="nil"/>
            </w:tcBorders>
            <w:vAlign w:val="center"/>
          </w:tcPr>
          <w:p w14:paraId="44C5B1B6">
            <w:pPr>
              <w:adjustRightInd w:val="0"/>
              <w:snapToGrid w:val="0"/>
              <w:spacing w:line="320" w:lineRule="exact"/>
              <w:jc w:val="center"/>
              <w:rPr>
                <w:rFonts w:eastAsia="仿宋_GB2312"/>
                <w:color w:val="auto"/>
                <w:szCs w:val="21"/>
              </w:rPr>
            </w:pPr>
            <w:r>
              <w:rPr>
                <w:rFonts w:eastAsia="仿宋_GB2312"/>
                <w:color w:val="auto"/>
                <w:szCs w:val="21"/>
              </w:rPr>
              <w:t>丙酮</w:t>
            </w:r>
          </w:p>
        </w:tc>
        <w:tc>
          <w:tcPr>
            <w:tcW w:w="816" w:type="dxa"/>
            <w:tcBorders>
              <w:tl2br w:val="nil"/>
              <w:tr2bl w:val="nil"/>
            </w:tcBorders>
            <w:vAlign w:val="center"/>
          </w:tcPr>
          <w:p w14:paraId="6F3F6AA2">
            <w:pPr>
              <w:adjustRightInd w:val="0"/>
              <w:snapToGrid w:val="0"/>
              <w:spacing w:line="320" w:lineRule="exact"/>
              <w:jc w:val="center"/>
              <w:rPr>
                <w:rFonts w:eastAsia="仿宋_GB2312"/>
                <w:color w:val="auto"/>
                <w:szCs w:val="21"/>
              </w:rPr>
            </w:pPr>
            <w:r>
              <w:rPr>
                <w:rFonts w:eastAsia="仿宋_GB2312"/>
                <w:color w:val="auto"/>
                <w:szCs w:val="21"/>
              </w:rPr>
              <w:t>低毒</w:t>
            </w:r>
          </w:p>
        </w:tc>
        <w:tc>
          <w:tcPr>
            <w:tcW w:w="876" w:type="dxa"/>
            <w:tcBorders>
              <w:tl2br w:val="nil"/>
              <w:tr2bl w:val="nil"/>
            </w:tcBorders>
            <w:vAlign w:val="center"/>
          </w:tcPr>
          <w:p w14:paraId="6EEAA8AF">
            <w:pPr>
              <w:adjustRightInd w:val="0"/>
              <w:snapToGrid w:val="0"/>
              <w:spacing w:line="320" w:lineRule="exact"/>
              <w:jc w:val="center"/>
              <w:rPr>
                <w:rFonts w:eastAsia="仿宋_GB2312"/>
                <w:color w:val="auto"/>
                <w:szCs w:val="21"/>
              </w:rPr>
            </w:pPr>
            <w:r>
              <w:rPr>
                <w:rFonts w:eastAsia="仿宋_GB2312"/>
                <w:color w:val="auto"/>
                <w:szCs w:val="21"/>
              </w:rPr>
              <w:t>易燃</w:t>
            </w:r>
          </w:p>
        </w:tc>
        <w:tc>
          <w:tcPr>
            <w:tcW w:w="4104" w:type="dxa"/>
            <w:tcBorders>
              <w:tl2br w:val="nil"/>
              <w:tr2bl w:val="nil"/>
            </w:tcBorders>
            <w:vAlign w:val="center"/>
          </w:tcPr>
          <w:p w14:paraId="3B5627B4">
            <w:pPr>
              <w:adjustRightInd w:val="0"/>
              <w:snapToGrid w:val="0"/>
              <w:spacing w:line="320" w:lineRule="exact"/>
              <w:jc w:val="center"/>
              <w:rPr>
                <w:rFonts w:eastAsia="仿宋_GB2312"/>
                <w:color w:val="auto"/>
                <w:szCs w:val="21"/>
              </w:rPr>
            </w:pPr>
            <w:r>
              <w:rPr>
                <w:rFonts w:eastAsia="仿宋_GB2312"/>
                <w:color w:val="auto"/>
                <w:szCs w:val="21"/>
              </w:rPr>
              <w:t>其蒸汽与空气混合可形成爆炸性混合物</w:t>
            </w:r>
          </w:p>
        </w:tc>
        <w:tc>
          <w:tcPr>
            <w:tcW w:w="1380" w:type="dxa"/>
            <w:tcBorders>
              <w:tl2br w:val="nil"/>
              <w:tr2bl w:val="nil"/>
            </w:tcBorders>
            <w:vAlign w:val="center"/>
          </w:tcPr>
          <w:p w14:paraId="733DEE0B">
            <w:pPr>
              <w:adjustRightInd w:val="0"/>
              <w:snapToGrid w:val="0"/>
              <w:spacing w:line="320" w:lineRule="exact"/>
              <w:jc w:val="center"/>
              <w:rPr>
                <w:rFonts w:eastAsia="仿宋_GB2312"/>
                <w:color w:val="auto"/>
                <w:szCs w:val="21"/>
              </w:rPr>
            </w:pPr>
            <w:r>
              <w:rPr>
                <w:rFonts w:eastAsia="仿宋_GB2312"/>
                <w:color w:val="auto"/>
                <w:szCs w:val="21"/>
              </w:rPr>
              <w:t>/</w:t>
            </w:r>
          </w:p>
        </w:tc>
      </w:tr>
      <w:tr w14:paraId="3B8CDB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670" w:type="dxa"/>
            <w:tcBorders>
              <w:tl2br w:val="nil"/>
              <w:tr2bl w:val="nil"/>
            </w:tcBorders>
            <w:vAlign w:val="center"/>
          </w:tcPr>
          <w:p w14:paraId="5FCE5FF7">
            <w:pPr>
              <w:adjustRightInd w:val="0"/>
              <w:snapToGrid w:val="0"/>
              <w:spacing w:line="320" w:lineRule="exact"/>
              <w:jc w:val="center"/>
              <w:rPr>
                <w:rFonts w:hint="default" w:eastAsia="仿宋_GB2312"/>
                <w:color w:val="auto"/>
                <w:szCs w:val="21"/>
                <w:lang w:val="en-US" w:eastAsia="zh-CN"/>
              </w:rPr>
            </w:pPr>
            <w:r>
              <w:rPr>
                <w:rFonts w:hint="eastAsia" w:eastAsia="仿宋_GB2312"/>
                <w:color w:val="auto"/>
                <w:szCs w:val="21"/>
                <w:lang w:val="en-US" w:eastAsia="zh-CN"/>
              </w:rPr>
              <w:t>NMP</w:t>
            </w:r>
          </w:p>
        </w:tc>
        <w:tc>
          <w:tcPr>
            <w:tcW w:w="816" w:type="dxa"/>
            <w:tcBorders>
              <w:tl2br w:val="nil"/>
              <w:tr2bl w:val="nil"/>
            </w:tcBorders>
            <w:vAlign w:val="center"/>
          </w:tcPr>
          <w:p w14:paraId="0B445EB3">
            <w:pPr>
              <w:adjustRightInd w:val="0"/>
              <w:snapToGrid w:val="0"/>
              <w:spacing w:line="320" w:lineRule="exact"/>
              <w:jc w:val="center"/>
              <w:rPr>
                <w:rFonts w:eastAsia="仿宋_GB2312"/>
                <w:color w:val="auto"/>
                <w:szCs w:val="21"/>
              </w:rPr>
            </w:pPr>
            <w:r>
              <w:rPr>
                <w:rFonts w:eastAsia="仿宋_GB2312"/>
                <w:color w:val="auto"/>
                <w:szCs w:val="21"/>
              </w:rPr>
              <w:t>/</w:t>
            </w:r>
          </w:p>
        </w:tc>
        <w:tc>
          <w:tcPr>
            <w:tcW w:w="876" w:type="dxa"/>
            <w:tcBorders>
              <w:tl2br w:val="nil"/>
              <w:tr2bl w:val="nil"/>
            </w:tcBorders>
            <w:vAlign w:val="center"/>
          </w:tcPr>
          <w:p w14:paraId="58F1B5F1">
            <w:pPr>
              <w:adjustRightInd w:val="0"/>
              <w:snapToGrid w:val="0"/>
              <w:spacing w:line="320" w:lineRule="exact"/>
              <w:jc w:val="center"/>
              <w:rPr>
                <w:rFonts w:eastAsia="仿宋_GB2312"/>
                <w:color w:val="auto"/>
                <w:szCs w:val="21"/>
              </w:rPr>
            </w:pPr>
            <w:r>
              <w:rPr>
                <w:rFonts w:eastAsia="仿宋_GB2312"/>
                <w:color w:val="auto"/>
                <w:szCs w:val="21"/>
              </w:rPr>
              <w:t>易燃</w:t>
            </w:r>
          </w:p>
        </w:tc>
        <w:tc>
          <w:tcPr>
            <w:tcW w:w="4104" w:type="dxa"/>
            <w:tcBorders>
              <w:tl2br w:val="nil"/>
              <w:tr2bl w:val="nil"/>
            </w:tcBorders>
            <w:vAlign w:val="center"/>
          </w:tcPr>
          <w:p w14:paraId="4BDDD23D">
            <w:pPr>
              <w:adjustRightInd w:val="0"/>
              <w:snapToGrid w:val="0"/>
              <w:spacing w:line="320" w:lineRule="exact"/>
              <w:jc w:val="center"/>
              <w:rPr>
                <w:rFonts w:eastAsia="仿宋_GB2312"/>
                <w:color w:val="auto"/>
                <w:szCs w:val="21"/>
              </w:rPr>
            </w:pPr>
            <w:r>
              <w:rPr>
                <w:rFonts w:eastAsia="仿宋_GB2312"/>
                <w:color w:val="auto"/>
                <w:szCs w:val="21"/>
              </w:rPr>
              <w:t>其蒸汽与空气混合可形成爆炸性混合物</w:t>
            </w:r>
          </w:p>
        </w:tc>
        <w:tc>
          <w:tcPr>
            <w:tcW w:w="1380" w:type="dxa"/>
            <w:tcBorders>
              <w:tl2br w:val="nil"/>
              <w:tr2bl w:val="nil"/>
            </w:tcBorders>
            <w:vAlign w:val="center"/>
          </w:tcPr>
          <w:p w14:paraId="17D75963">
            <w:pPr>
              <w:adjustRightInd w:val="0"/>
              <w:snapToGrid w:val="0"/>
              <w:spacing w:line="320" w:lineRule="exact"/>
              <w:jc w:val="center"/>
              <w:rPr>
                <w:rFonts w:eastAsia="仿宋_GB2312"/>
                <w:color w:val="auto"/>
                <w:szCs w:val="21"/>
              </w:rPr>
            </w:pPr>
            <w:r>
              <w:rPr>
                <w:rFonts w:eastAsia="仿宋_GB2312"/>
                <w:color w:val="auto"/>
                <w:szCs w:val="21"/>
              </w:rPr>
              <w:t>/</w:t>
            </w:r>
          </w:p>
        </w:tc>
      </w:tr>
      <w:tr w14:paraId="4405CB9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670" w:type="dxa"/>
            <w:tcBorders>
              <w:tl2br w:val="nil"/>
              <w:tr2bl w:val="nil"/>
            </w:tcBorders>
            <w:vAlign w:val="center"/>
          </w:tcPr>
          <w:p w14:paraId="25D40B82">
            <w:pPr>
              <w:adjustRightInd w:val="0"/>
              <w:snapToGrid w:val="0"/>
              <w:spacing w:line="320" w:lineRule="exact"/>
              <w:jc w:val="center"/>
              <w:rPr>
                <w:rFonts w:eastAsia="仿宋_GB2312"/>
                <w:color w:val="auto"/>
                <w:szCs w:val="21"/>
              </w:rPr>
            </w:pPr>
            <w:r>
              <w:rPr>
                <w:rFonts w:eastAsia="仿宋_GB2312"/>
                <w:color w:val="auto"/>
                <w:szCs w:val="21"/>
              </w:rPr>
              <w:t>异丙醇</w:t>
            </w:r>
          </w:p>
        </w:tc>
        <w:tc>
          <w:tcPr>
            <w:tcW w:w="816" w:type="dxa"/>
            <w:tcBorders>
              <w:tl2br w:val="nil"/>
              <w:tr2bl w:val="nil"/>
            </w:tcBorders>
            <w:vAlign w:val="center"/>
          </w:tcPr>
          <w:p w14:paraId="52CA52A4">
            <w:pPr>
              <w:adjustRightInd w:val="0"/>
              <w:snapToGrid w:val="0"/>
              <w:spacing w:line="320" w:lineRule="exact"/>
              <w:jc w:val="center"/>
              <w:rPr>
                <w:rFonts w:eastAsia="仿宋_GB2312"/>
                <w:color w:val="auto"/>
                <w:szCs w:val="21"/>
              </w:rPr>
            </w:pPr>
            <w:r>
              <w:rPr>
                <w:rFonts w:eastAsia="仿宋_GB2312"/>
                <w:color w:val="auto"/>
                <w:szCs w:val="21"/>
              </w:rPr>
              <w:t>低毒</w:t>
            </w:r>
          </w:p>
        </w:tc>
        <w:tc>
          <w:tcPr>
            <w:tcW w:w="876" w:type="dxa"/>
            <w:tcBorders>
              <w:tl2br w:val="nil"/>
              <w:tr2bl w:val="nil"/>
            </w:tcBorders>
            <w:vAlign w:val="center"/>
          </w:tcPr>
          <w:p w14:paraId="36D1444E">
            <w:pPr>
              <w:adjustRightInd w:val="0"/>
              <w:snapToGrid w:val="0"/>
              <w:spacing w:line="320" w:lineRule="exact"/>
              <w:jc w:val="center"/>
              <w:rPr>
                <w:rFonts w:eastAsia="仿宋_GB2312"/>
                <w:color w:val="auto"/>
                <w:szCs w:val="21"/>
              </w:rPr>
            </w:pPr>
            <w:r>
              <w:rPr>
                <w:rFonts w:eastAsia="仿宋_GB2312"/>
                <w:color w:val="auto"/>
                <w:szCs w:val="21"/>
              </w:rPr>
              <w:t>易燃</w:t>
            </w:r>
          </w:p>
        </w:tc>
        <w:tc>
          <w:tcPr>
            <w:tcW w:w="4104" w:type="dxa"/>
            <w:tcBorders>
              <w:tl2br w:val="nil"/>
              <w:tr2bl w:val="nil"/>
            </w:tcBorders>
            <w:vAlign w:val="center"/>
          </w:tcPr>
          <w:p w14:paraId="15363F4D">
            <w:pPr>
              <w:adjustRightInd w:val="0"/>
              <w:snapToGrid w:val="0"/>
              <w:spacing w:line="320" w:lineRule="exact"/>
              <w:jc w:val="center"/>
              <w:rPr>
                <w:rFonts w:eastAsia="仿宋_GB2312"/>
                <w:color w:val="auto"/>
                <w:szCs w:val="21"/>
              </w:rPr>
            </w:pPr>
            <w:r>
              <w:rPr>
                <w:rFonts w:eastAsia="仿宋_GB2312"/>
                <w:color w:val="auto"/>
                <w:szCs w:val="21"/>
              </w:rPr>
              <w:t>其蒸汽与空气混合可形成爆炸性混合物</w:t>
            </w:r>
          </w:p>
        </w:tc>
        <w:tc>
          <w:tcPr>
            <w:tcW w:w="1380" w:type="dxa"/>
            <w:tcBorders>
              <w:tl2br w:val="nil"/>
              <w:tr2bl w:val="nil"/>
            </w:tcBorders>
            <w:vAlign w:val="center"/>
          </w:tcPr>
          <w:p w14:paraId="5D273414">
            <w:pPr>
              <w:adjustRightInd w:val="0"/>
              <w:snapToGrid w:val="0"/>
              <w:spacing w:line="320" w:lineRule="exact"/>
              <w:jc w:val="center"/>
              <w:rPr>
                <w:rFonts w:eastAsia="仿宋_GB2312"/>
                <w:color w:val="auto"/>
                <w:szCs w:val="21"/>
              </w:rPr>
            </w:pPr>
            <w:r>
              <w:rPr>
                <w:rFonts w:eastAsia="仿宋_GB2312"/>
                <w:color w:val="auto"/>
                <w:szCs w:val="21"/>
              </w:rPr>
              <w:t>/</w:t>
            </w:r>
          </w:p>
        </w:tc>
      </w:tr>
      <w:tr w14:paraId="07B44D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670" w:type="dxa"/>
            <w:tcBorders>
              <w:tl2br w:val="nil"/>
              <w:tr2bl w:val="nil"/>
            </w:tcBorders>
            <w:vAlign w:val="center"/>
          </w:tcPr>
          <w:p w14:paraId="2D5F4D86">
            <w:pPr>
              <w:adjustRightInd w:val="0"/>
              <w:snapToGrid w:val="0"/>
              <w:spacing w:line="320" w:lineRule="exact"/>
              <w:jc w:val="center"/>
              <w:rPr>
                <w:rFonts w:eastAsia="仿宋_GB2312"/>
                <w:color w:val="auto"/>
                <w:szCs w:val="21"/>
              </w:rPr>
            </w:pPr>
            <w:r>
              <w:rPr>
                <w:rFonts w:eastAsia="仿宋_GB2312"/>
                <w:color w:val="auto"/>
                <w:szCs w:val="21"/>
              </w:rPr>
              <w:t>四氢呋喃</w:t>
            </w:r>
          </w:p>
        </w:tc>
        <w:tc>
          <w:tcPr>
            <w:tcW w:w="816" w:type="dxa"/>
            <w:tcBorders>
              <w:tl2br w:val="nil"/>
              <w:tr2bl w:val="nil"/>
            </w:tcBorders>
            <w:vAlign w:val="center"/>
          </w:tcPr>
          <w:p w14:paraId="3C2DCAF9">
            <w:pPr>
              <w:adjustRightInd w:val="0"/>
              <w:snapToGrid w:val="0"/>
              <w:spacing w:line="320" w:lineRule="exact"/>
              <w:jc w:val="center"/>
              <w:rPr>
                <w:rFonts w:eastAsia="仿宋_GB2312"/>
                <w:color w:val="auto"/>
                <w:szCs w:val="21"/>
              </w:rPr>
            </w:pPr>
            <w:r>
              <w:rPr>
                <w:rFonts w:eastAsia="仿宋_GB2312"/>
                <w:color w:val="auto"/>
                <w:szCs w:val="21"/>
              </w:rPr>
              <w:t>/</w:t>
            </w:r>
          </w:p>
        </w:tc>
        <w:tc>
          <w:tcPr>
            <w:tcW w:w="876" w:type="dxa"/>
            <w:tcBorders>
              <w:tl2br w:val="nil"/>
              <w:tr2bl w:val="nil"/>
            </w:tcBorders>
            <w:vAlign w:val="center"/>
          </w:tcPr>
          <w:p w14:paraId="43D07C43">
            <w:pPr>
              <w:adjustRightInd w:val="0"/>
              <w:snapToGrid w:val="0"/>
              <w:spacing w:line="320" w:lineRule="exact"/>
              <w:jc w:val="center"/>
              <w:rPr>
                <w:rFonts w:eastAsia="仿宋_GB2312"/>
                <w:color w:val="auto"/>
                <w:szCs w:val="21"/>
              </w:rPr>
            </w:pPr>
            <w:r>
              <w:rPr>
                <w:rFonts w:eastAsia="仿宋_GB2312"/>
                <w:color w:val="auto"/>
                <w:szCs w:val="21"/>
              </w:rPr>
              <w:t>易燃</w:t>
            </w:r>
          </w:p>
        </w:tc>
        <w:tc>
          <w:tcPr>
            <w:tcW w:w="4104" w:type="dxa"/>
            <w:tcBorders>
              <w:tl2br w:val="nil"/>
              <w:tr2bl w:val="nil"/>
            </w:tcBorders>
            <w:vAlign w:val="center"/>
          </w:tcPr>
          <w:p w14:paraId="303BECF5">
            <w:pPr>
              <w:adjustRightInd w:val="0"/>
              <w:snapToGrid w:val="0"/>
              <w:spacing w:line="320" w:lineRule="exact"/>
              <w:jc w:val="center"/>
              <w:rPr>
                <w:rFonts w:eastAsia="仿宋_GB2312"/>
                <w:color w:val="auto"/>
                <w:szCs w:val="21"/>
              </w:rPr>
            </w:pPr>
            <w:r>
              <w:rPr>
                <w:rFonts w:eastAsia="仿宋_GB2312"/>
                <w:color w:val="auto"/>
                <w:szCs w:val="21"/>
              </w:rPr>
              <w:t>其蒸汽与空气混合可形成爆炸性混合物</w:t>
            </w:r>
          </w:p>
        </w:tc>
        <w:tc>
          <w:tcPr>
            <w:tcW w:w="1380" w:type="dxa"/>
            <w:tcBorders>
              <w:tl2br w:val="nil"/>
              <w:tr2bl w:val="nil"/>
            </w:tcBorders>
            <w:vAlign w:val="center"/>
          </w:tcPr>
          <w:p w14:paraId="05FE4BF3">
            <w:pPr>
              <w:adjustRightInd w:val="0"/>
              <w:snapToGrid w:val="0"/>
              <w:spacing w:line="320" w:lineRule="exact"/>
              <w:jc w:val="center"/>
              <w:rPr>
                <w:rFonts w:eastAsia="仿宋_GB2312"/>
                <w:color w:val="auto"/>
                <w:szCs w:val="21"/>
              </w:rPr>
            </w:pPr>
            <w:r>
              <w:rPr>
                <w:rFonts w:eastAsia="仿宋_GB2312"/>
                <w:color w:val="auto"/>
                <w:szCs w:val="21"/>
              </w:rPr>
              <w:t>/</w:t>
            </w:r>
          </w:p>
        </w:tc>
      </w:tr>
      <w:tr w14:paraId="3F0D71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670" w:type="dxa"/>
            <w:tcBorders>
              <w:tl2br w:val="nil"/>
              <w:tr2bl w:val="nil"/>
            </w:tcBorders>
            <w:vAlign w:val="center"/>
          </w:tcPr>
          <w:p w14:paraId="2B1563C8">
            <w:pPr>
              <w:adjustRightInd w:val="0"/>
              <w:snapToGrid w:val="0"/>
              <w:spacing w:line="320" w:lineRule="exact"/>
              <w:jc w:val="center"/>
              <w:rPr>
                <w:rFonts w:eastAsia="仿宋_GB2312"/>
                <w:color w:val="auto"/>
                <w:szCs w:val="21"/>
              </w:rPr>
            </w:pPr>
            <w:r>
              <w:rPr>
                <w:rFonts w:eastAsia="仿宋_GB2312"/>
                <w:color w:val="auto"/>
                <w:szCs w:val="21"/>
              </w:rPr>
              <w:t>丁酮</w:t>
            </w:r>
          </w:p>
        </w:tc>
        <w:tc>
          <w:tcPr>
            <w:tcW w:w="816" w:type="dxa"/>
            <w:tcBorders>
              <w:tl2br w:val="nil"/>
              <w:tr2bl w:val="nil"/>
            </w:tcBorders>
            <w:vAlign w:val="center"/>
          </w:tcPr>
          <w:p w14:paraId="6EA1B962">
            <w:pPr>
              <w:adjustRightInd w:val="0"/>
              <w:snapToGrid w:val="0"/>
              <w:spacing w:line="320" w:lineRule="exact"/>
              <w:jc w:val="center"/>
              <w:rPr>
                <w:rFonts w:eastAsia="仿宋_GB2312"/>
                <w:color w:val="auto"/>
                <w:szCs w:val="21"/>
              </w:rPr>
            </w:pPr>
            <w:r>
              <w:rPr>
                <w:rFonts w:eastAsia="仿宋_GB2312"/>
                <w:color w:val="auto"/>
                <w:szCs w:val="21"/>
              </w:rPr>
              <w:t>低毒</w:t>
            </w:r>
          </w:p>
        </w:tc>
        <w:tc>
          <w:tcPr>
            <w:tcW w:w="876" w:type="dxa"/>
            <w:tcBorders>
              <w:tl2br w:val="nil"/>
              <w:tr2bl w:val="nil"/>
            </w:tcBorders>
            <w:vAlign w:val="center"/>
          </w:tcPr>
          <w:p w14:paraId="4D51DA9D">
            <w:pPr>
              <w:adjustRightInd w:val="0"/>
              <w:snapToGrid w:val="0"/>
              <w:spacing w:line="320" w:lineRule="exact"/>
              <w:jc w:val="center"/>
              <w:rPr>
                <w:rFonts w:eastAsia="仿宋_GB2312"/>
                <w:color w:val="auto"/>
                <w:szCs w:val="21"/>
              </w:rPr>
            </w:pPr>
            <w:r>
              <w:rPr>
                <w:rFonts w:eastAsia="仿宋_GB2312"/>
                <w:color w:val="auto"/>
                <w:szCs w:val="21"/>
              </w:rPr>
              <w:t>易燃</w:t>
            </w:r>
          </w:p>
        </w:tc>
        <w:tc>
          <w:tcPr>
            <w:tcW w:w="4104" w:type="dxa"/>
            <w:tcBorders>
              <w:tl2br w:val="nil"/>
              <w:tr2bl w:val="nil"/>
            </w:tcBorders>
            <w:vAlign w:val="center"/>
          </w:tcPr>
          <w:p w14:paraId="583C962B">
            <w:pPr>
              <w:adjustRightInd w:val="0"/>
              <w:snapToGrid w:val="0"/>
              <w:spacing w:line="320" w:lineRule="exact"/>
              <w:jc w:val="center"/>
              <w:rPr>
                <w:rFonts w:eastAsia="仿宋_GB2312"/>
                <w:color w:val="auto"/>
                <w:szCs w:val="21"/>
              </w:rPr>
            </w:pPr>
            <w:r>
              <w:rPr>
                <w:rFonts w:eastAsia="仿宋_GB2312"/>
                <w:color w:val="auto"/>
                <w:szCs w:val="21"/>
              </w:rPr>
              <w:t>其蒸汽与空气混合可形成爆炸性混合物</w:t>
            </w:r>
          </w:p>
        </w:tc>
        <w:tc>
          <w:tcPr>
            <w:tcW w:w="1380" w:type="dxa"/>
            <w:tcBorders>
              <w:tl2br w:val="nil"/>
              <w:tr2bl w:val="nil"/>
            </w:tcBorders>
            <w:vAlign w:val="center"/>
          </w:tcPr>
          <w:p w14:paraId="2759E75C">
            <w:pPr>
              <w:adjustRightInd w:val="0"/>
              <w:snapToGrid w:val="0"/>
              <w:spacing w:line="320" w:lineRule="exact"/>
              <w:jc w:val="center"/>
              <w:rPr>
                <w:rFonts w:eastAsia="仿宋_GB2312"/>
                <w:color w:val="auto"/>
                <w:szCs w:val="21"/>
              </w:rPr>
            </w:pPr>
            <w:r>
              <w:rPr>
                <w:rFonts w:eastAsia="仿宋_GB2312"/>
                <w:color w:val="auto"/>
                <w:szCs w:val="21"/>
              </w:rPr>
              <w:t>/</w:t>
            </w:r>
          </w:p>
        </w:tc>
      </w:tr>
      <w:tr w14:paraId="149F08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670" w:type="dxa"/>
            <w:tcBorders>
              <w:tl2br w:val="nil"/>
              <w:tr2bl w:val="nil"/>
            </w:tcBorders>
            <w:vAlign w:val="center"/>
          </w:tcPr>
          <w:p w14:paraId="01D8E2E7">
            <w:pPr>
              <w:adjustRightInd w:val="0"/>
              <w:snapToGrid w:val="0"/>
              <w:spacing w:line="320" w:lineRule="exact"/>
              <w:jc w:val="center"/>
              <w:rPr>
                <w:rFonts w:eastAsia="仿宋_GB2312"/>
                <w:color w:val="auto"/>
                <w:szCs w:val="21"/>
              </w:rPr>
            </w:pPr>
            <w:r>
              <w:rPr>
                <w:rFonts w:eastAsia="仿宋_GB2312"/>
                <w:color w:val="auto"/>
                <w:szCs w:val="21"/>
              </w:rPr>
              <w:t>丙二醇单甲醚</w:t>
            </w:r>
          </w:p>
        </w:tc>
        <w:tc>
          <w:tcPr>
            <w:tcW w:w="816" w:type="dxa"/>
            <w:tcBorders>
              <w:tl2br w:val="nil"/>
              <w:tr2bl w:val="nil"/>
            </w:tcBorders>
            <w:vAlign w:val="center"/>
          </w:tcPr>
          <w:p w14:paraId="78855BCE">
            <w:pPr>
              <w:adjustRightInd w:val="0"/>
              <w:snapToGrid w:val="0"/>
              <w:spacing w:line="320" w:lineRule="exact"/>
              <w:jc w:val="center"/>
              <w:rPr>
                <w:rFonts w:eastAsia="仿宋_GB2312"/>
                <w:color w:val="auto"/>
                <w:szCs w:val="21"/>
              </w:rPr>
            </w:pPr>
            <w:r>
              <w:rPr>
                <w:rFonts w:eastAsia="仿宋_GB2312"/>
                <w:color w:val="auto"/>
                <w:szCs w:val="21"/>
              </w:rPr>
              <w:t>低毒</w:t>
            </w:r>
          </w:p>
        </w:tc>
        <w:tc>
          <w:tcPr>
            <w:tcW w:w="876" w:type="dxa"/>
            <w:tcBorders>
              <w:tl2br w:val="nil"/>
              <w:tr2bl w:val="nil"/>
            </w:tcBorders>
            <w:vAlign w:val="center"/>
          </w:tcPr>
          <w:p w14:paraId="2F1FEE44">
            <w:pPr>
              <w:adjustRightInd w:val="0"/>
              <w:snapToGrid w:val="0"/>
              <w:spacing w:line="320" w:lineRule="exact"/>
              <w:jc w:val="center"/>
              <w:rPr>
                <w:rFonts w:eastAsia="仿宋_GB2312"/>
                <w:color w:val="auto"/>
                <w:szCs w:val="21"/>
              </w:rPr>
            </w:pPr>
            <w:r>
              <w:rPr>
                <w:rFonts w:eastAsia="仿宋_GB2312"/>
                <w:color w:val="auto"/>
                <w:szCs w:val="21"/>
              </w:rPr>
              <w:t>易燃</w:t>
            </w:r>
          </w:p>
        </w:tc>
        <w:tc>
          <w:tcPr>
            <w:tcW w:w="4104" w:type="dxa"/>
            <w:tcBorders>
              <w:tl2br w:val="nil"/>
              <w:tr2bl w:val="nil"/>
            </w:tcBorders>
            <w:vAlign w:val="center"/>
          </w:tcPr>
          <w:p w14:paraId="77047DFE">
            <w:pPr>
              <w:adjustRightInd w:val="0"/>
              <w:snapToGrid w:val="0"/>
              <w:spacing w:line="320" w:lineRule="exact"/>
              <w:jc w:val="center"/>
              <w:rPr>
                <w:rFonts w:eastAsia="仿宋_GB2312"/>
                <w:color w:val="auto"/>
                <w:szCs w:val="21"/>
              </w:rPr>
            </w:pPr>
            <w:r>
              <w:rPr>
                <w:rFonts w:eastAsia="仿宋_GB2312"/>
                <w:color w:val="auto"/>
                <w:szCs w:val="21"/>
              </w:rPr>
              <w:t>遇明火、高热易燃</w:t>
            </w:r>
          </w:p>
        </w:tc>
        <w:tc>
          <w:tcPr>
            <w:tcW w:w="1380" w:type="dxa"/>
            <w:tcBorders>
              <w:tl2br w:val="nil"/>
              <w:tr2bl w:val="nil"/>
            </w:tcBorders>
            <w:vAlign w:val="center"/>
          </w:tcPr>
          <w:p w14:paraId="02626A92">
            <w:pPr>
              <w:adjustRightInd w:val="0"/>
              <w:snapToGrid w:val="0"/>
              <w:spacing w:line="320" w:lineRule="exact"/>
              <w:jc w:val="center"/>
              <w:rPr>
                <w:rFonts w:eastAsia="仿宋_GB2312"/>
                <w:color w:val="auto"/>
                <w:szCs w:val="21"/>
              </w:rPr>
            </w:pPr>
            <w:r>
              <w:rPr>
                <w:rFonts w:eastAsia="仿宋_GB2312"/>
                <w:color w:val="auto"/>
                <w:szCs w:val="21"/>
              </w:rPr>
              <w:t>/</w:t>
            </w:r>
          </w:p>
        </w:tc>
      </w:tr>
      <w:tr w14:paraId="5033A4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670" w:type="dxa"/>
            <w:tcBorders>
              <w:tl2br w:val="nil"/>
              <w:tr2bl w:val="nil"/>
            </w:tcBorders>
            <w:vAlign w:val="center"/>
          </w:tcPr>
          <w:p w14:paraId="341EAF6D">
            <w:pPr>
              <w:adjustRightInd w:val="0"/>
              <w:snapToGrid w:val="0"/>
              <w:spacing w:line="320" w:lineRule="exact"/>
              <w:jc w:val="center"/>
              <w:rPr>
                <w:rFonts w:eastAsia="仿宋_GB2312"/>
                <w:color w:val="auto"/>
                <w:szCs w:val="21"/>
              </w:rPr>
            </w:pPr>
            <w:r>
              <w:rPr>
                <w:rFonts w:eastAsia="仿宋_GB2312"/>
                <w:color w:val="auto"/>
                <w:szCs w:val="21"/>
              </w:rPr>
              <w:t>乙二醇</w:t>
            </w:r>
          </w:p>
        </w:tc>
        <w:tc>
          <w:tcPr>
            <w:tcW w:w="816" w:type="dxa"/>
            <w:tcBorders>
              <w:tl2br w:val="nil"/>
              <w:tr2bl w:val="nil"/>
            </w:tcBorders>
            <w:vAlign w:val="center"/>
          </w:tcPr>
          <w:p w14:paraId="183CA9A3">
            <w:pPr>
              <w:adjustRightInd w:val="0"/>
              <w:snapToGrid w:val="0"/>
              <w:spacing w:line="320" w:lineRule="exact"/>
              <w:jc w:val="center"/>
              <w:rPr>
                <w:rFonts w:eastAsia="仿宋_GB2312"/>
                <w:color w:val="auto"/>
                <w:szCs w:val="21"/>
              </w:rPr>
            </w:pPr>
            <w:r>
              <w:rPr>
                <w:rFonts w:eastAsia="仿宋_GB2312"/>
                <w:color w:val="auto"/>
                <w:szCs w:val="21"/>
              </w:rPr>
              <w:t>低毒</w:t>
            </w:r>
          </w:p>
        </w:tc>
        <w:tc>
          <w:tcPr>
            <w:tcW w:w="876" w:type="dxa"/>
            <w:tcBorders>
              <w:tl2br w:val="nil"/>
              <w:tr2bl w:val="nil"/>
            </w:tcBorders>
            <w:vAlign w:val="center"/>
          </w:tcPr>
          <w:p w14:paraId="6A449F2A">
            <w:pPr>
              <w:adjustRightInd w:val="0"/>
              <w:snapToGrid w:val="0"/>
              <w:spacing w:line="320" w:lineRule="exact"/>
              <w:jc w:val="center"/>
              <w:rPr>
                <w:rFonts w:eastAsia="仿宋_GB2312"/>
                <w:color w:val="auto"/>
                <w:szCs w:val="21"/>
              </w:rPr>
            </w:pPr>
            <w:r>
              <w:rPr>
                <w:rFonts w:eastAsia="仿宋_GB2312"/>
                <w:color w:val="auto"/>
                <w:szCs w:val="21"/>
              </w:rPr>
              <w:t>可燃</w:t>
            </w:r>
          </w:p>
        </w:tc>
        <w:tc>
          <w:tcPr>
            <w:tcW w:w="4104" w:type="dxa"/>
            <w:tcBorders>
              <w:tl2br w:val="nil"/>
              <w:tr2bl w:val="nil"/>
            </w:tcBorders>
            <w:vAlign w:val="center"/>
          </w:tcPr>
          <w:p w14:paraId="659AFD00">
            <w:pPr>
              <w:adjustRightInd w:val="0"/>
              <w:snapToGrid w:val="0"/>
              <w:spacing w:line="320" w:lineRule="exact"/>
              <w:jc w:val="center"/>
              <w:rPr>
                <w:rFonts w:eastAsia="仿宋_GB2312"/>
                <w:color w:val="auto"/>
                <w:szCs w:val="21"/>
              </w:rPr>
            </w:pPr>
            <w:r>
              <w:rPr>
                <w:rFonts w:eastAsia="仿宋_GB2312"/>
                <w:color w:val="auto"/>
                <w:szCs w:val="21"/>
              </w:rPr>
              <w:t>遇明火、高热或氧化剂接触，有引起燃烧爆炸的危险</w:t>
            </w:r>
          </w:p>
        </w:tc>
        <w:tc>
          <w:tcPr>
            <w:tcW w:w="1380" w:type="dxa"/>
            <w:tcBorders>
              <w:tl2br w:val="nil"/>
              <w:tr2bl w:val="nil"/>
            </w:tcBorders>
            <w:vAlign w:val="center"/>
          </w:tcPr>
          <w:p w14:paraId="05E8D4AD">
            <w:pPr>
              <w:adjustRightInd w:val="0"/>
              <w:snapToGrid w:val="0"/>
              <w:spacing w:line="320" w:lineRule="exact"/>
              <w:jc w:val="center"/>
              <w:rPr>
                <w:rFonts w:eastAsia="仿宋_GB2312"/>
                <w:color w:val="auto"/>
                <w:szCs w:val="21"/>
              </w:rPr>
            </w:pPr>
            <w:r>
              <w:rPr>
                <w:rFonts w:eastAsia="仿宋_GB2312"/>
                <w:color w:val="auto"/>
                <w:szCs w:val="21"/>
              </w:rPr>
              <w:t>/</w:t>
            </w:r>
          </w:p>
        </w:tc>
      </w:tr>
      <w:tr w14:paraId="4D3B45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670" w:type="dxa"/>
            <w:tcBorders>
              <w:tl2br w:val="nil"/>
              <w:tr2bl w:val="nil"/>
            </w:tcBorders>
            <w:vAlign w:val="center"/>
          </w:tcPr>
          <w:p w14:paraId="684DB4A8">
            <w:pPr>
              <w:adjustRightInd w:val="0"/>
              <w:snapToGrid w:val="0"/>
              <w:spacing w:line="320" w:lineRule="exact"/>
              <w:jc w:val="center"/>
              <w:rPr>
                <w:rFonts w:eastAsia="仿宋_GB2312"/>
                <w:color w:val="auto"/>
                <w:szCs w:val="21"/>
              </w:rPr>
            </w:pPr>
            <w:r>
              <w:rPr>
                <w:rFonts w:eastAsia="仿宋_GB2312"/>
                <w:color w:val="auto"/>
                <w:szCs w:val="21"/>
              </w:rPr>
              <w:t>二丁醚</w:t>
            </w:r>
          </w:p>
        </w:tc>
        <w:tc>
          <w:tcPr>
            <w:tcW w:w="816" w:type="dxa"/>
            <w:tcBorders>
              <w:tl2br w:val="nil"/>
              <w:tr2bl w:val="nil"/>
            </w:tcBorders>
            <w:vAlign w:val="center"/>
          </w:tcPr>
          <w:p w14:paraId="08189210">
            <w:pPr>
              <w:adjustRightInd w:val="0"/>
              <w:snapToGrid w:val="0"/>
              <w:spacing w:line="320" w:lineRule="exact"/>
              <w:jc w:val="center"/>
              <w:rPr>
                <w:rFonts w:eastAsia="仿宋_GB2312"/>
                <w:color w:val="auto"/>
                <w:szCs w:val="21"/>
              </w:rPr>
            </w:pPr>
            <w:r>
              <w:rPr>
                <w:rFonts w:eastAsia="仿宋_GB2312"/>
                <w:color w:val="auto"/>
                <w:szCs w:val="21"/>
              </w:rPr>
              <w:t>/</w:t>
            </w:r>
          </w:p>
        </w:tc>
        <w:tc>
          <w:tcPr>
            <w:tcW w:w="876" w:type="dxa"/>
            <w:tcBorders>
              <w:tl2br w:val="nil"/>
              <w:tr2bl w:val="nil"/>
            </w:tcBorders>
            <w:vAlign w:val="center"/>
          </w:tcPr>
          <w:p w14:paraId="31A81B0C">
            <w:pPr>
              <w:adjustRightInd w:val="0"/>
              <w:snapToGrid w:val="0"/>
              <w:spacing w:line="320" w:lineRule="exact"/>
              <w:jc w:val="center"/>
              <w:rPr>
                <w:rFonts w:eastAsia="仿宋_GB2312"/>
                <w:color w:val="auto"/>
                <w:szCs w:val="21"/>
              </w:rPr>
            </w:pPr>
            <w:r>
              <w:rPr>
                <w:rFonts w:eastAsia="仿宋_GB2312"/>
                <w:color w:val="auto"/>
                <w:szCs w:val="21"/>
              </w:rPr>
              <w:t>易燃</w:t>
            </w:r>
          </w:p>
        </w:tc>
        <w:tc>
          <w:tcPr>
            <w:tcW w:w="4104" w:type="dxa"/>
            <w:tcBorders>
              <w:tl2br w:val="nil"/>
              <w:tr2bl w:val="nil"/>
            </w:tcBorders>
            <w:vAlign w:val="center"/>
          </w:tcPr>
          <w:p w14:paraId="19226DC8">
            <w:pPr>
              <w:adjustRightInd w:val="0"/>
              <w:snapToGrid w:val="0"/>
              <w:spacing w:line="320" w:lineRule="exact"/>
              <w:jc w:val="center"/>
              <w:rPr>
                <w:rFonts w:eastAsia="仿宋_GB2312"/>
                <w:color w:val="auto"/>
                <w:szCs w:val="21"/>
              </w:rPr>
            </w:pPr>
            <w:r>
              <w:rPr>
                <w:rFonts w:eastAsia="仿宋_GB2312"/>
                <w:color w:val="auto"/>
                <w:szCs w:val="21"/>
              </w:rPr>
              <w:t>其蒸汽与空气混合可形成爆炸性混合物</w:t>
            </w:r>
          </w:p>
        </w:tc>
        <w:tc>
          <w:tcPr>
            <w:tcW w:w="1380" w:type="dxa"/>
            <w:tcBorders>
              <w:tl2br w:val="nil"/>
              <w:tr2bl w:val="nil"/>
            </w:tcBorders>
            <w:vAlign w:val="center"/>
          </w:tcPr>
          <w:p w14:paraId="58DA6400">
            <w:pPr>
              <w:adjustRightInd w:val="0"/>
              <w:snapToGrid w:val="0"/>
              <w:spacing w:line="320" w:lineRule="exact"/>
              <w:jc w:val="center"/>
              <w:rPr>
                <w:rFonts w:eastAsia="仿宋_GB2312"/>
                <w:color w:val="auto"/>
                <w:szCs w:val="21"/>
              </w:rPr>
            </w:pPr>
            <w:r>
              <w:rPr>
                <w:rFonts w:eastAsia="仿宋_GB2312"/>
                <w:color w:val="auto"/>
                <w:szCs w:val="21"/>
              </w:rPr>
              <w:t>/</w:t>
            </w:r>
          </w:p>
        </w:tc>
      </w:tr>
      <w:tr w14:paraId="3DAE0D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670" w:type="dxa"/>
            <w:tcBorders>
              <w:tl2br w:val="nil"/>
              <w:tr2bl w:val="nil"/>
            </w:tcBorders>
            <w:vAlign w:val="center"/>
          </w:tcPr>
          <w:p w14:paraId="75EF5985">
            <w:pPr>
              <w:adjustRightInd w:val="0"/>
              <w:snapToGrid w:val="0"/>
              <w:spacing w:line="320" w:lineRule="exact"/>
              <w:jc w:val="center"/>
              <w:rPr>
                <w:rFonts w:eastAsia="仿宋_GB2312"/>
                <w:color w:val="auto"/>
                <w:szCs w:val="21"/>
              </w:rPr>
            </w:pPr>
            <w:r>
              <w:rPr>
                <w:rFonts w:eastAsia="仿宋_GB2312"/>
                <w:color w:val="auto"/>
                <w:szCs w:val="21"/>
              </w:rPr>
              <w:t>甲醇</w:t>
            </w:r>
          </w:p>
        </w:tc>
        <w:tc>
          <w:tcPr>
            <w:tcW w:w="816" w:type="dxa"/>
            <w:tcBorders>
              <w:tl2br w:val="nil"/>
              <w:tr2bl w:val="nil"/>
            </w:tcBorders>
            <w:vAlign w:val="center"/>
          </w:tcPr>
          <w:p w14:paraId="7A4A38CD">
            <w:pPr>
              <w:adjustRightInd w:val="0"/>
              <w:snapToGrid w:val="0"/>
              <w:spacing w:line="320" w:lineRule="exact"/>
              <w:jc w:val="center"/>
              <w:rPr>
                <w:rFonts w:eastAsia="仿宋_GB2312"/>
                <w:color w:val="auto"/>
                <w:szCs w:val="21"/>
              </w:rPr>
            </w:pPr>
            <w:r>
              <w:rPr>
                <w:rFonts w:eastAsia="仿宋_GB2312"/>
                <w:color w:val="auto"/>
                <w:szCs w:val="21"/>
              </w:rPr>
              <w:t>中毒</w:t>
            </w:r>
          </w:p>
        </w:tc>
        <w:tc>
          <w:tcPr>
            <w:tcW w:w="876" w:type="dxa"/>
            <w:tcBorders>
              <w:tl2br w:val="nil"/>
              <w:tr2bl w:val="nil"/>
            </w:tcBorders>
            <w:vAlign w:val="center"/>
          </w:tcPr>
          <w:p w14:paraId="0C72097C">
            <w:pPr>
              <w:adjustRightInd w:val="0"/>
              <w:snapToGrid w:val="0"/>
              <w:spacing w:line="320" w:lineRule="exact"/>
              <w:jc w:val="center"/>
              <w:rPr>
                <w:rFonts w:eastAsia="仿宋_GB2312"/>
                <w:color w:val="auto"/>
                <w:szCs w:val="21"/>
              </w:rPr>
            </w:pPr>
            <w:r>
              <w:rPr>
                <w:rFonts w:eastAsia="仿宋_GB2312"/>
                <w:color w:val="auto"/>
                <w:szCs w:val="21"/>
              </w:rPr>
              <w:t>易燃</w:t>
            </w:r>
          </w:p>
        </w:tc>
        <w:tc>
          <w:tcPr>
            <w:tcW w:w="4104" w:type="dxa"/>
            <w:tcBorders>
              <w:tl2br w:val="nil"/>
              <w:tr2bl w:val="nil"/>
            </w:tcBorders>
            <w:vAlign w:val="center"/>
          </w:tcPr>
          <w:p w14:paraId="0DE29B03">
            <w:pPr>
              <w:adjustRightInd w:val="0"/>
              <w:snapToGrid w:val="0"/>
              <w:spacing w:line="320" w:lineRule="exact"/>
              <w:jc w:val="center"/>
              <w:rPr>
                <w:rFonts w:eastAsia="仿宋_GB2312"/>
                <w:color w:val="auto"/>
                <w:szCs w:val="21"/>
              </w:rPr>
            </w:pPr>
            <w:r>
              <w:rPr>
                <w:rFonts w:eastAsia="仿宋_GB2312"/>
                <w:color w:val="auto"/>
                <w:szCs w:val="21"/>
              </w:rPr>
              <w:t>其蒸汽与空气混合可形成爆炸性混合物</w:t>
            </w:r>
          </w:p>
        </w:tc>
        <w:tc>
          <w:tcPr>
            <w:tcW w:w="1380" w:type="dxa"/>
            <w:tcBorders>
              <w:tl2br w:val="nil"/>
              <w:tr2bl w:val="nil"/>
            </w:tcBorders>
            <w:vAlign w:val="center"/>
          </w:tcPr>
          <w:p w14:paraId="49618813">
            <w:pPr>
              <w:adjustRightInd w:val="0"/>
              <w:snapToGrid w:val="0"/>
              <w:spacing w:line="320" w:lineRule="exact"/>
              <w:jc w:val="center"/>
              <w:rPr>
                <w:rFonts w:eastAsia="仿宋_GB2312"/>
                <w:color w:val="auto"/>
                <w:szCs w:val="21"/>
              </w:rPr>
            </w:pPr>
            <w:r>
              <w:rPr>
                <w:rFonts w:eastAsia="仿宋_GB2312"/>
                <w:color w:val="auto"/>
                <w:szCs w:val="21"/>
              </w:rPr>
              <w:t>/</w:t>
            </w:r>
          </w:p>
        </w:tc>
      </w:tr>
      <w:tr w14:paraId="5FD669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670" w:type="dxa"/>
            <w:tcBorders>
              <w:tl2br w:val="nil"/>
              <w:tr2bl w:val="nil"/>
            </w:tcBorders>
            <w:vAlign w:val="center"/>
          </w:tcPr>
          <w:p w14:paraId="594513B7">
            <w:pPr>
              <w:adjustRightInd w:val="0"/>
              <w:snapToGrid w:val="0"/>
              <w:spacing w:line="320" w:lineRule="exact"/>
              <w:jc w:val="center"/>
              <w:rPr>
                <w:rFonts w:eastAsia="仿宋_GB2312"/>
                <w:color w:val="auto"/>
                <w:szCs w:val="21"/>
              </w:rPr>
            </w:pPr>
            <w:r>
              <w:rPr>
                <w:rFonts w:eastAsia="仿宋_GB2312"/>
                <w:color w:val="auto"/>
                <w:szCs w:val="21"/>
              </w:rPr>
              <w:t>HF</w:t>
            </w:r>
          </w:p>
        </w:tc>
        <w:tc>
          <w:tcPr>
            <w:tcW w:w="816" w:type="dxa"/>
            <w:tcBorders>
              <w:tl2br w:val="nil"/>
              <w:tr2bl w:val="nil"/>
            </w:tcBorders>
            <w:vAlign w:val="center"/>
          </w:tcPr>
          <w:p w14:paraId="4A123184">
            <w:pPr>
              <w:adjustRightInd w:val="0"/>
              <w:snapToGrid w:val="0"/>
              <w:spacing w:line="320" w:lineRule="exact"/>
              <w:jc w:val="center"/>
              <w:rPr>
                <w:rFonts w:eastAsia="仿宋_GB2312"/>
                <w:color w:val="auto"/>
                <w:szCs w:val="21"/>
              </w:rPr>
            </w:pPr>
            <w:r>
              <w:rPr>
                <w:rFonts w:eastAsia="仿宋_GB2312"/>
                <w:color w:val="auto"/>
                <w:szCs w:val="21"/>
              </w:rPr>
              <w:t>/</w:t>
            </w:r>
          </w:p>
        </w:tc>
        <w:tc>
          <w:tcPr>
            <w:tcW w:w="876" w:type="dxa"/>
            <w:tcBorders>
              <w:tl2br w:val="nil"/>
              <w:tr2bl w:val="nil"/>
            </w:tcBorders>
            <w:vAlign w:val="center"/>
          </w:tcPr>
          <w:p w14:paraId="37026D38">
            <w:pPr>
              <w:adjustRightInd w:val="0"/>
              <w:snapToGrid w:val="0"/>
              <w:spacing w:line="320" w:lineRule="exact"/>
              <w:jc w:val="center"/>
              <w:rPr>
                <w:rFonts w:eastAsia="仿宋_GB2312"/>
                <w:color w:val="auto"/>
                <w:szCs w:val="21"/>
              </w:rPr>
            </w:pPr>
            <w:r>
              <w:rPr>
                <w:rFonts w:eastAsia="仿宋_GB2312"/>
                <w:color w:val="auto"/>
                <w:szCs w:val="21"/>
              </w:rPr>
              <w:t>/</w:t>
            </w:r>
          </w:p>
        </w:tc>
        <w:tc>
          <w:tcPr>
            <w:tcW w:w="4104" w:type="dxa"/>
            <w:tcBorders>
              <w:tl2br w:val="nil"/>
              <w:tr2bl w:val="nil"/>
            </w:tcBorders>
            <w:vAlign w:val="center"/>
          </w:tcPr>
          <w:p w14:paraId="7324D622">
            <w:pPr>
              <w:adjustRightInd w:val="0"/>
              <w:snapToGrid w:val="0"/>
              <w:spacing w:line="320" w:lineRule="exact"/>
              <w:jc w:val="center"/>
              <w:rPr>
                <w:rFonts w:eastAsia="仿宋_GB2312"/>
                <w:color w:val="auto"/>
                <w:szCs w:val="21"/>
              </w:rPr>
            </w:pPr>
            <w:r>
              <w:rPr>
                <w:rFonts w:eastAsia="仿宋_GB2312"/>
                <w:color w:val="auto"/>
                <w:szCs w:val="21"/>
              </w:rPr>
              <w:t>/</w:t>
            </w:r>
          </w:p>
        </w:tc>
        <w:tc>
          <w:tcPr>
            <w:tcW w:w="1380" w:type="dxa"/>
            <w:tcBorders>
              <w:tl2br w:val="nil"/>
              <w:tr2bl w:val="nil"/>
            </w:tcBorders>
            <w:vAlign w:val="center"/>
          </w:tcPr>
          <w:p w14:paraId="6737B98E">
            <w:pPr>
              <w:adjustRightInd w:val="0"/>
              <w:snapToGrid w:val="0"/>
              <w:spacing w:line="320" w:lineRule="exact"/>
              <w:jc w:val="center"/>
              <w:rPr>
                <w:rFonts w:eastAsia="仿宋_GB2312"/>
                <w:color w:val="auto"/>
                <w:szCs w:val="21"/>
              </w:rPr>
            </w:pPr>
            <w:r>
              <w:rPr>
                <w:rFonts w:eastAsia="仿宋_GB2312"/>
                <w:color w:val="auto"/>
                <w:szCs w:val="21"/>
              </w:rPr>
              <w:t>酸性腐蚀品</w:t>
            </w:r>
          </w:p>
        </w:tc>
      </w:tr>
      <w:tr w14:paraId="19082F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670" w:type="dxa"/>
            <w:tcBorders>
              <w:tl2br w:val="nil"/>
              <w:tr2bl w:val="nil"/>
            </w:tcBorders>
            <w:vAlign w:val="center"/>
          </w:tcPr>
          <w:p w14:paraId="3F92C4AE">
            <w:pPr>
              <w:adjustRightInd w:val="0"/>
              <w:snapToGrid w:val="0"/>
              <w:spacing w:line="320" w:lineRule="exact"/>
              <w:jc w:val="center"/>
              <w:rPr>
                <w:rFonts w:eastAsia="仿宋_GB2312"/>
                <w:color w:val="auto"/>
                <w:szCs w:val="21"/>
              </w:rPr>
            </w:pPr>
            <w:r>
              <w:rPr>
                <w:rFonts w:eastAsia="仿宋_GB2312"/>
                <w:color w:val="auto"/>
                <w:szCs w:val="21"/>
              </w:rPr>
              <w:t>硫酸</w:t>
            </w:r>
          </w:p>
        </w:tc>
        <w:tc>
          <w:tcPr>
            <w:tcW w:w="816" w:type="dxa"/>
            <w:tcBorders>
              <w:tl2br w:val="nil"/>
              <w:tr2bl w:val="nil"/>
            </w:tcBorders>
            <w:vAlign w:val="center"/>
          </w:tcPr>
          <w:p w14:paraId="7C901DE6">
            <w:pPr>
              <w:adjustRightInd w:val="0"/>
              <w:snapToGrid w:val="0"/>
              <w:spacing w:line="320" w:lineRule="exact"/>
              <w:jc w:val="center"/>
              <w:rPr>
                <w:rFonts w:eastAsia="仿宋_GB2312"/>
                <w:color w:val="auto"/>
                <w:szCs w:val="21"/>
              </w:rPr>
            </w:pPr>
            <w:r>
              <w:rPr>
                <w:rFonts w:eastAsia="仿宋_GB2312"/>
                <w:color w:val="auto"/>
                <w:szCs w:val="21"/>
              </w:rPr>
              <w:t>中毒</w:t>
            </w:r>
          </w:p>
        </w:tc>
        <w:tc>
          <w:tcPr>
            <w:tcW w:w="876" w:type="dxa"/>
            <w:tcBorders>
              <w:tl2br w:val="nil"/>
              <w:tr2bl w:val="nil"/>
            </w:tcBorders>
            <w:vAlign w:val="center"/>
          </w:tcPr>
          <w:p w14:paraId="3FD806D4">
            <w:pPr>
              <w:adjustRightInd w:val="0"/>
              <w:snapToGrid w:val="0"/>
              <w:spacing w:line="320" w:lineRule="exact"/>
              <w:jc w:val="center"/>
              <w:rPr>
                <w:rFonts w:eastAsia="仿宋_GB2312"/>
                <w:color w:val="auto"/>
                <w:szCs w:val="21"/>
              </w:rPr>
            </w:pPr>
            <w:r>
              <w:rPr>
                <w:rFonts w:eastAsia="仿宋_GB2312"/>
                <w:color w:val="auto"/>
                <w:szCs w:val="21"/>
              </w:rPr>
              <w:t>/</w:t>
            </w:r>
          </w:p>
        </w:tc>
        <w:tc>
          <w:tcPr>
            <w:tcW w:w="4104" w:type="dxa"/>
            <w:tcBorders>
              <w:tl2br w:val="nil"/>
              <w:tr2bl w:val="nil"/>
            </w:tcBorders>
            <w:vAlign w:val="center"/>
          </w:tcPr>
          <w:p w14:paraId="5D8AB9AC">
            <w:pPr>
              <w:adjustRightInd w:val="0"/>
              <w:snapToGrid w:val="0"/>
              <w:spacing w:line="320" w:lineRule="exact"/>
              <w:jc w:val="center"/>
              <w:rPr>
                <w:rFonts w:eastAsia="仿宋_GB2312"/>
                <w:color w:val="auto"/>
                <w:szCs w:val="21"/>
              </w:rPr>
            </w:pPr>
            <w:r>
              <w:rPr>
                <w:rFonts w:eastAsia="仿宋_GB2312"/>
                <w:color w:val="auto"/>
                <w:szCs w:val="21"/>
              </w:rPr>
              <w:t>/</w:t>
            </w:r>
          </w:p>
        </w:tc>
        <w:tc>
          <w:tcPr>
            <w:tcW w:w="1380" w:type="dxa"/>
            <w:tcBorders>
              <w:tl2br w:val="nil"/>
              <w:tr2bl w:val="nil"/>
            </w:tcBorders>
            <w:vAlign w:val="center"/>
          </w:tcPr>
          <w:p w14:paraId="2E01E057">
            <w:pPr>
              <w:adjustRightInd w:val="0"/>
              <w:snapToGrid w:val="0"/>
              <w:spacing w:line="320" w:lineRule="exact"/>
              <w:jc w:val="center"/>
              <w:rPr>
                <w:rFonts w:eastAsia="仿宋_GB2312"/>
                <w:color w:val="auto"/>
                <w:szCs w:val="21"/>
              </w:rPr>
            </w:pPr>
            <w:r>
              <w:rPr>
                <w:rFonts w:eastAsia="仿宋_GB2312"/>
                <w:color w:val="auto"/>
                <w:szCs w:val="21"/>
              </w:rPr>
              <w:t>酸性腐蚀品</w:t>
            </w:r>
          </w:p>
        </w:tc>
      </w:tr>
      <w:tr w14:paraId="3F6B95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670" w:type="dxa"/>
            <w:tcBorders>
              <w:tl2br w:val="nil"/>
              <w:tr2bl w:val="nil"/>
            </w:tcBorders>
            <w:vAlign w:val="center"/>
          </w:tcPr>
          <w:p w14:paraId="6A1F1FF8">
            <w:pPr>
              <w:adjustRightInd w:val="0"/>
              <w:snapToGrid w:val="0"/>
              <w:spacing w:line="320" w:lineRule="exact"/>
              <w:jc w:val="center"/>
              <w:rPr>
                <w:rFonts w:eastAsia="仿宋_GB2312"/>
                <w:color w:val="auto"/>
                <w:szCs w:val="21"/>
              </w:rPr>
            </w:pPr>
            <w:r>
              <w:rPr>
                <w:rFonts w:eastAsia="仿宋_GB2312"/>
                <w:color w:val="auto"/>
                <w:szCs w:val="21"/>
              </w:rPr>
              <w:t>硫酸铜</w:t>
            </w:r>
          </w:p>
        </w:tc>
        <w:tc>
          <w:tcPr>
            <w:tcW w:w="816" w:type="dxa"/>
            <w:tcBorders>
              <w:tl2br w:val="nil"/>
              <w:tr2bl w:val="nil"/>
            </w:tcBorders>
            <w:vAlign w:val="center"/>
          </w:tcPr>
          <w:p w14:paraId="471A4C07">
            <w:pPr>
              <w:adjustRightInd w:val="0"/>
              <w:snapToGrid w:val="0"/>
              <w:spacing w:line="320" w:lineRule="exact"/>
              <w:jc w:val="center"/>
              <w:rPr>
                <w:rFonts w:eastAsia="仿宋_GB2312"/>
                <w:color w:val="auto"/>
                <w:szCs w:val="21"/>
              </w:rPr>
            </w:pPr>
            <w:r>
              <w:rPr>
                <w:rFonts w:eastAsia="仿宋_GB2312"/>
                <w:color w:val="auto"/>
                <w:szCs w:val="21"/>
              </w:rPr>
              <w:t>中毒</w:t>
            </w:r>
          </w:p>
        </w:tc>
        <w:tc>
          <w:tcPr>
            <w:tcW w:w="876" w:type="dxa"/>
            <w:tcBorders>
              <w:tl2br w:val="nil"/>
              <w:tr2bl w:val="nil"/>
            </w:tcBorders>
            <w:vAlign w:val="center"/>
          </w:tcPr>
          <w:p w14:paraId="56E387B3">
            <w:pPr>
              <w:adjustRightInd w:val="0"/>
              <w:snapToGrid w:val="0"/>
              <w:spacing w:line="320" w:lineRule="exact"/>
              <w:jc w:val="center"/>
              <w:rPr>
                <w:rFonts w:eastAsia="仿宋_GB2312"/>
                <w:color w:val="auto"/>
                <w:szCs w:val="21"/>
              </w:rPr>
            </w:pPr>
            <w:r>
              <w:rPr>
                <w:rFonts w:eastAsia="仿宋_GB2312"/>
                <w:color w:val="auto"/>
                <w:szCs w:val="21"/>
              </w:rPr>
              <w:t>/</w:t>
            </w:r>
          </w:p>
        </w:tc>
        <w:tc>
          <w:tcPr>
            <w:tcW w:w="4104" w:type="dxa"/>
            <w:tcBorders>
              <w:tl2br w:val="nil"/>
              <w:tr2bl w:val="nil"/>
            </w:tcBorders>
            <w:vAlign w:val="center"/>
          </w:tcPr>
          <w:p w14:paraId="71D9D217">
            <w:pPr>
              <w:adjustRightInd w:val="0"/>
              <w:snapToGrid w:val="0"/>
              <w:spacing w:line="320" w:lineRule="exact"/>
              <w:jc w:val="center"/>
              <w:rPr>
                <w:rFonts w:eastAsia="仿宋_GB2312"/>
                <w:color w:val="auto"/>
                <w:szCs w:val="21"/>
              </w:rPr>
            </w:pPr>
            <w:r>
              <w:rPr>
                <w:rFonts w:eastAsia="仿宋_GB2312"/>
                <w:color w:val="auto"/>
                <w:szCs w:val="21"/>
              </w:rPr>
              <w:t>/</w:t>
            </w:r>
          </w:p>
        </w:tc>
        <w:tc>
          <w:tcPr>
            <w:tcW w:w="1380" w:type="dxa"/>
            <w:tcBorders>
              <w:tl2br w:val="nil"/>
              <w:tr2bl w:val="nil"/>
            </w:tcBorders>
            <w:vAlign w:val="center"/>
          </w:tcPr>
          <w:p w14:paraId="4C5DA40E">
            <w:pPr>
              <w:adjustRightInd w:val="0"/>
              <w:snapToGrid w:val="0"/>
              <w:spacing w:line="320" w:lineRule="exact"/>
              <w:jc w:val="center"/>
              <w:rPr>
                <w:rFonts w:eastAsia="仿宋_GB2312"/>
                <w:color w:val="auto"/>
                <w:szCs w:val="21"/>
              </w:rPr>
            </w:pPr>
            <w:r>
              <w:rPr>
                <w:rFonts w:eastAsia="仿宋_GB2312"/>
                <w:color w:val="auto"/>
                <w:szCs w:val="21"/>
              </w:rPr>
              <w:t>/</w:t>
            </w:r>
          </w:p>
        </w:tc>
      </w:tr>
      <w:tr w14:paraId="229B22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670" w:type="dxa"/>
            <w:tcBorders>
              <w:tl2br w:val="nil"/>
              <w:tr2bl w:val="nil"/>
            </w:tcBorders>
            <w:vAlign w:val="center"/>
          </w:tcPr>
          <w:p w14:paraId="3A6AE482">
            <w:pPr>
              <w:adjustRightInd w:val="0"/>
              <w:snapToGrid w:val="0"/>
              <w:spacing w:line="320" w:lineRule="exact"/>
              <w:jc w:val="center"/>
              <w:rPr>
                <w:rFonts w:eastAsia="仿宋_GB2312"/>
                <w:color w:val="auto"/>
                <w:szCs w:val="21"/>
              </w:rPr>
            </w:pPr>
            <w:r>
              <w:rPr>
                <w:rFonts w:eastAsia="仿宋_GB2312"/>
                <w:color w:val="auto"/>
                <w:szCs w:val="21"/>
              </w:rPr>
              <w:t>硝酸</w:t>
            </w:r>
          </w:p>
        </w:tc>
        <w:tc>
          <w:tcPr>
            <w:tcW w:w="816" w:type="dxa"/>
            <w:tcBorders>
              <w:tl2br w:val="nil"/>
              <w:tr2bl w:val="nil"/>
            </w:tcBorders>
            <w:vAlign w:val="center"/>
          </w:tcPr>
          <w:p w14:paraId="31CD2EFC">
            <w:pPr>
              <w:adjustRightInd w:val="0"/>
              <w:snapToGrid w:val="0"/>
              <w:spacing w:line="320" w:lineRule="exact"/>
              <w:jc w:val="center"/>
              <w:rPr>
                <w:rFonts w:eastAsia="仿宋_GB2312"/>
                <w:color w:val="auto"/>
                <w:szCs w:val="21"/>
              </w:rPr>
            </w:pPr>
            <w:r>
              <w:rPr>
                <w:rFonts w:eastAsia="仿宋_GB2312"/>
                <w:color w:val="auto"/>
                <w:szCs w:val="21"/>
              </w:rPr>
              <w:t>/</w:t>
            </w:r>
          </w:p>
        </w:tc>
        <w:tc>
          <w:tcPr>
            <w:tcW w:w="876" w:type="dxa"/>
            <w:tcBorders>
              <w:tl2br w:val="nil"/>
              <w:tr2bl w:val="nil"/>
            </w:tcBorders>
            <w:vAlign w:val="center"/>
          </w:tcPr>
          <w:p w14:paraId="279058A2">
            <w:pPr>
              <w:adjustRightInd w:val="0"/>
              <w:snapToGrid w:val="0"/>
              <w:spacing w:line="320" w:lineRule="exact"/>
              <w:jc w:val="center"/>
              <w:rPr>
                <w:rFonts w:eastAsia="仿宋_GB2312"/>
                <w:color w:val="auto"/>
                <w:szCs w:val="21"/>
              </w:rPr>
            </w:pPr>
            <w:r>
              <w:rPr>
                <w:rFonts w:eastAsia="仿宋_GB2312"/>
                <w:color w:val="auto"/>
                <w:szCs w:val="21"/>
              </w:rPr>
              <w:t>/</w:t>
            </w:r>
          </w:p>
        </w:tc>
        <w:tc>
          <w:tcPr>
            <w:tcW w:w="4104" w:type="dxa"/>
            <w:tcBorders>
              <w:tl2br w:val="nil"/>
              <w:tr2bl w:val="nil"/>
            </w:tcBorders>
            <w:vAlign w:val="center"/>
          </w:tcPr>
          <w:p w14:paraId="67A50595">
            <w:pPr>
              <w:adjustRightInd w:val="0"/>
              <w:snapToGrid w:val="0"/>
              <w:spacing w:line="320" w:lineRule="exact"/>
              <w:jc w:val="center"/>
              <w:rPr>
                <w:rFonts w:eastAsia="仿宋_GB2312"/>
                <w:color w:val="auto"/>
                <w:szCs w:val="21"/>
              </w:rPr>
            </w:pPr>
            <w:r>
              <w:rPr>
                <w:rFonts w:eastAsia="仿宋_GB2312"/>
                <w:color w:val="auto"/>
                <w:szCs w:val="21"/>
              </w:rPr>
              <w:t>/</w:t>
            </w:r>
          </w:p>
        </w:tc>
        <w:tc>
          <w:tcPr>
            <w:tcW w:w="1380" w:type="dxa"/>
            <w:tcBorders>
              <w:tl2br w:val="nil"/>
              <w:tr2bl w:val="nil"/>
            </w:tcBorders>
            <w:vAlign w:val="center"/>
          </w:tcPr>
          <w:p w14:paraId="40D410F3">
            <w:pPr>
              <w:adjustRightInd w:val="0"/>
              <w:snapToGrid w:val="0"/>
              <w:spacing w:line="320" w:lineRule="exact"/>
              <w:jc w:val="center"/>
              <w:rPr>
                <w:rFonts w:eastAsia="仿宋_GB2312"/>
                <w:color w:val="auto"/>
                <w:szCs w:val="21"/>
              </w:rPr>
            </w:pPr>
            <w:r>
              <w:rPr>
                <w:rFonts w:eastAsia="仿宋_GB2312"/>
                <w:color w:val="auto"/>
                <w:szCs w:val="21"/>
              </w:rPr>
              <w:t>酸性腐蚀品</w:t>
            </w:r>
          </w:p>
        </w:tc>
      </w:tr>
      <w:tr w14:paraId="29B4BD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670" w:type="dxa"/>
            <w:tcBorders>
              <w:tl2br w:val="nil"/>
              <w:tr2bl w:val="nil"/>
            </w:tcBorders>
            <w:vAlign w:val="center"/>
          </w:tcPr>
          <w:p w14:paraId="34901B5A">
            <w:pPr>
              <w:adjustRightInd w:val="0"/>
              <w:snapToGrid w:val="0"/>
              <w:spacing w:line="320" w:lineRule="exact"/>
              <w:jc w:val="center"/>
              <w:rPr>
                <w:rFonts w:eastAsia="仿宋_GB2312"/>
                <w:color w:val="auto"/>
                <w:szCs w:val="21"/>
              </w:rPr>
            </w:pPr>
            <w:r>
              <w:rPr>
                <w:rFonts w:eastAsia="仿宋_GB2312"/>
                <w:color w:val="auto"/>
                <w:szCs w:val="21"/>
              </w:rPr>
              <w:t>盐酸</w:t>
            </w:r>
          </w:p>
        </w:tc>
        <w:tc>
          <w:tcPr>
            <w:tcW w:w="816" w:type="dxa"/>
            <w:tcBorders>
              <w:tl2br w:val="nil"/>
              <w:tr2bl w:val="nil"/>
            </w:tcBorders>
            <w:vAlign w:val="center"/>
          </w:tcPr>
          <w:p w14:paraId="1776271C">
            <w:pPr>
              <w:adjustRightInd w:val="0"/>
              <w:snapToGrid w:val="0"/>
              <w:spacing w:line="320" w:lineRule="exact"/>
              <w:jc w:val="center"/>
              <w:rPr>
                <w:rFonts w:eastAsia="仿宋_GB2312"/>
                <w:color w:val="auto"/>
                <w:szCs w:val="21"/>
              </w:rPr>
            </w:pPr>
            <w:r>
              <w:rPr>
                <w:rFonts w:eastAsia="仿宋_GB2312"/>
                <w:color w:val="auto"/>
                <w:szCs w:val="21"/>
              </w:rPr>
              <w:t>低毒</w:t>
            </w:r>
          </w:p>
        </w:tc>
        <w:tc>
          <w:tcPr>
            <w:tcW w:w="876" w:type="dxa"/>
            <w:tcBorders>
              <w:tl2br w:val="nil"/>
              <w:tr2bl w:val="nil"/>
            </w:tcBorders>
            <w:vAlign w:val="center"/>
          </w:tcPr>
          <w:p w14:paraId="2AC727BA">
            <w:pPr>
              <w:adjustRightInd w:val="0"/>
              <w:snapToGrid w:val="0"/>
              <w:spacing w:line="320" w:lineRule="exact"/>
              <w:jc w:val="center"/>
              <w:rPr>
                <w:rFonts w:eastAsia="仿宋_GB2312"/>
                <w:color w:val="auto"/>
                <w:szCs w:val="21"/>
              </w:rPr>
            </w:pPr>
            <w:r>
              <w:rPr>
                <w:rFonts w:eastAsia="仿宋_GB2312"/>
                <w:color w:val="auto"/>
                <w:szCs w:val="21"/>
              </w:rPr>
              <w:t>不燃</w:t>
            </w:r>
          </w:p>
        </w:tc>
        <w:tc>
          <w:tcPr>
            <w:tcW w:w="4104" w:type="dxa"/>
            <w:tcBorders>
              <w:tl2br w:val="nil"/>
              <w:tr2bl w:val="nil"/>
            </w:tcBorders>
            <w:vAlign w:val="center"/>
          </w:tcPr>
          <w:p w14:paraId="354BDA25">
            <w:pPr>
              <w:adjustRightInd w:val="0"/>
              <w:snapToGrid w:val="0"/>
              <w:spacing w:line="320" w:lineRule="exact"/>
              <w:jc w:val="center"/>
              <w:rPr>
                <w:rFonts w:eastAsia="仿宋_GB2312"/>
                <w:color w:val="auto"/>
                <w:szCs w:val="21"/>
              </w:rPr>
            </w:pPr>
            <w:r>
              <w:rPr>
                <w:rFonts w:eastAsia="仿宋_GB2312"/>
                <w:color w:val="auto"/>
                <w:szCs w:val="21"/>
              </w:rPr>
              <w:t>/</w:t>
            </w:r>
          </w:p>
        </w:tc>
        <w:tc>
          <w:tcPr>
            <w:tcW w:w="1380" w:type="dxa"/>
            <w:tcBorders>
              <w:tl2br w:val="nil"/>
              <w:tr2bl w:val="nil"/>
            </w:tcBorders>
            <w:vAlign w:val="center"/>
          </w:tcPr>
          <w:p w14:paraId="39FC9389">
            <w:pPr>
              <w:adjustRightInd w:val="0"/>
              <w:snapToGrid w:val="0"/>
              <w:spacing w:line="320" w:lineRule="exact"/>
              <w:jc w:val="center"/>
              <w:rPr>
                <w:rFonts w:eastAsia="仿宋_GB2312"/>
                <w:color w:val="auto"/>
                <w:szCs w:val="21"/>
              </w:rPr>
            </w:pPr>
            <w:r>
              <w:rPr>
                <w:rFonts w:eastAsia="仿宋_GB2312"/>
                <w:color w:val="auto"/>
                <w:szCs w:val="21"/>
              </w:rPr>
              <w:t>酸性腐蚀品</w:t>
            </w:r>
          </w:p>
        </w:tc>
      </w:tr>
      <w:tr w14:paraId="114808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670" w:type="dxa"/>
            <w:tcBorders>
              <w:tl2br w:val="nil"/>
              <w:tr2bl w:val="nil"/>
            </w:tcBorders>
            <w:vAlign w:val="center"/>
          </w:tcPr>
          <w:p w14:paraId="15CECDE0">
            <w:pPr>
              <w:adjustRightInd w:val="0"/>
              <w:snapToGrid w:val="0"/>
              <w:spacing w:line="320" w:lineRule="exact"/>
              <w:jc w:val="center"/>
              <w:rPr>
                <w:rFonts w:eastAsia="仿宋_GB2312"/>
                <w:color w:val="auto"/>
                <w:szCs w:val="21"/>
              </w:rPr>
            </w:pPr>
            <w:r>
              <w:rPr>
                <w:rFonts w:eastAsia="仿宋_GB2312"/>
                <w:color w:val="auto"/>
                <w:szCs w:val="21"/>
              </w:rPr>
              <w:t>丙二醇</w:t>
            </w:r>
          </w:p>
        </w:tc>
        <w:tc>
          <w:tcPr>
            <w:tcW w:w="816" w:type="dxa"/>
            <w:tcBorders>
              <w:tl2br w:val="nil"/>
              <w:tr2bl w:val="nil"/>
            </w:tcBorders>
            <w:vAlign w:val="center"/>
          </w:tcPr>
          <w:p w14:paraId="39BCC5DE">
            <w:pPr>
              <w:adjustRightInd w:val="0"/>
              <w:snapToGrid w:val="0"/>
              <w:spacing w:line="320" w:lineRule="exact"/>
              <w:jc w:val="center"/>
              <w:rPr>
                <w:rFonts w:eastAsia="仿宋_GB2312"/>
                <w:color w:val="auto"/>
                <w:szCs w:val="21"/>
              </w:rPr>
            </w:pPr>
            <w:r>
              <w:rPr>
                <w:rFonts w:eastAsia="仿宋_GB2312"/>
                <w:color w:val="auto"/>
                <w:szCs w:val="21"/>
              </w:rPr>
              <w:t>低毒</w:t>
            </w:r>
          </w:p>
        </w:tc>
        <w:tc>
          <w:tcPr>
            <w:tcW w:w="876" w:type="dxa"/>
            <w:tcBorders>
              <w:tl2br w:val="nil"/>
              <w:tr2bl w:val="nil"/>
            </w:tcBorders>
            <w:vAlign w:val="center"/>
          </w:tcPr>
          <w:p w14:paraId="19FFB808">
            <w:pPr>
              <w:adjustRightInd w:val="0"/>
              <w:snapToGrid w:val="0"/>
              <w:spacing w:line="320" w:lineRule="exact"/>
              <w:jc w:val="center"/>
              <w:rPr>
                <w:rFonts w:eastAsia="仿宋_GB2312"/>
                <w:color w:val="auto"/>
                <w:szCs w:val="21"/>
              </w:rPr>
            </w:pPr>
            <w:r>
              <w:rPr>
                <w:rFonts w:eastAsia="仿宋_GB2312"/>
                <w:color w:val="auto"/>
                <w:szCs w:val="21"/>
              </w:rPr>
              <w:t>/</w:t>
            </w:r>
          </w:p>
        </w:tc>
        <w:tc>
          <w:tcPr>
            <w:tcW w:w="4104" w:type="dxa"/>
            <w:tcBorders>
              <w:tl2br w:val="nil"/>
              <w:tr2bl w:val="nil"/>
            </w:tcBorders>
            <w:vAlign w:val="center"/>
          </w:tcPr>
          <w:p w14:paraId="0243D158">
            <w:pPr>
              <w:adjustRightInd w:val="0"/>
              <w:snapToGrid w:val="0"/>
              <w:spacing w:line="320" w:lineRule="exact"/>
              <w:jc w:val="center"/>
              <w:rPr>
                <w:rFonts w:eastAsia="仿宋_GB2312"/>
                <w:color w:val="auto"/>
                <w:szCs w:val="21"/>
              </w:rPr>
            </w:pPr>
            <w:r>
              <w:rPr>
                <w:rFonts w:eastAsia="仿宋_GB2312"/>
                <w:color w:val="auto"/>
                <w:szCs w:val="21"/>
              </w:rPr>
              <w:t>/</w:t>
            </w:r>
          </w:p>
        </w:tc>
        <w:tc>
          <w:tcPr>
            <w:tcW w:w="1380" w:type="dxa"/>
            <w:tcBorders>
              <w:tl2br w:val="nil"/>
              <w:tr2bl w:val="nil"/>
            </w:tcBorders>
            <w:vAlign w:val="center"/>
          </w:tcPr>
          <w:p w14:paraId="7EC2C68D">
            <w:pPr>
              <w:adjustRightInd w:val="0"/>
              <w:snapToGrid w:val="0"/>
              <w:spacing w:line="320" w:lineRule="exact"/>
              <w:jc w:val="center"/>
              <w:rPr>
                <w:rFonts w:eastAsia="仿宋_GB2312"/>
                <w:color w:val="auto"/>
                <w:szCs w:val="21"/>
              </w:rPr>
            </w:pPr>
            <w:r>
              <w:rPr>
                <w:rFonts w:eastAsia="仿宋_GB2312"/>
                <w:color w:val="auto"/>
                <w:szCs w:val="21"/>
              </w:rPr>
              <w:t>/</w:t>
            </w:r>
          </w:p>
        </w:tc>
      </w:tr>
      <w:tr w14:paraId="2E7833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670" w:type="dxa"/>
            <w:tcBorders>
              <w:tl2br w:val="nil"/>
              <w:tr2bl w:val="nil"/>
            </w:tcBorders>
            <w:vAlign w:val="center"/>
          </w:tcPr>
          <w:p w14:paraId="136DDDE5">
            <w:pPr>
              <w:adjustRightInd w:val="0"/>
              <w:snapToGrid w:val="0"/>
              <w:spacing w:line="320" w:lineRule="exact"/>
              <w:jc w:val="center"/>
              <w:rPr>
                <w:rFonts w:eastAsia="仿宋_GB2312"/>
                <w:color w:val="auto"/>
                <w:szCs w:val="21"/>
              </w:rPr>
            </w:pPr>
            <w:r>
              <w:rPr>
                <w:rFonts w:eastAsia="仿宋_GB2312"/>
                <w:color w:val="auto"/>
                <w:szCs w:val="21"/>
              </w:rPr>
              <w:t>甲苯</w:t>
            </w:r>
          </w:p>
        </w:tc>
        <w:tc>
          <w:tcPr>
            <w:tcW w:w="816" w:type="dxa"/>
            <w:tcBorders>
              <w:tl2br w:val="nil"/>
              <w:tr2bl w:val="nil"/>
            </w:tcBorders>
            <w:vAlign w:val="center"/>
          </w:tcPr>
          <w:p w14:paraId="78E65B3A">
            <w:pPr>
              <w:adjustRightInd w:val="0"/>
              <w:snapToGrid w:val="0"/>
              <w:spacing w:line="320" w:lineRule="exact"/>
              <w:jc w:val="center"/>
              <w:rPr>
                <w:rFonts w:eastAsia="仿宋_GB2312"/>
                <w:color w:val="auto"/>
                <w:szCs w:val="21"/>
              </w:rPr>
            </w:pPr>
            <w:r>
              <w:rPr>
                <w:rFonts w:eastAsia="仿宋_GB2312"/>
                <w:color w:val="auto"/>
                <w:szCs w:val="21"/>
              </w:rPr>
              <w:t>低毒</w:t>
            </w:r>
          </w:p>
        </w:tc>
        <w:tc>
          <w:tcPr>
            <w:tcW w:w="876" w:type="dxa"/>
            <w:tcBorders>
              <w:tl2br w:val="nil"/>
              <w:tr2bl w:val="nil"/>
            </w:tcBorders>
            <w:vAlign w:val="center"/>
          </w:tcPr>
          <w:p w14:paraId="3846B363">
            <w:pPr>
              <w:adjustRightInd w:val="0"/>
              <w:snapToGrid w:val="0"/>
              <w:spacing w:line="320" w:lineRule="exact"/>
              <w:jc w:val="center"/>
              <w:rPr>
                <w:rFonts w:eastAsia="仿宋_GB2312"/>
                <w:color w:val="auto"/>
                <w:szCs w:val="21"/>
              </w:rPr>
            </w:pPr>
            <w:r>
              <w:rPr>
                <w:rFonts w:eastAsia="仿宋_GB2312"/>
                <w:color w:val="auto"/>
                <w:szCs w:val="21"/>
              </w:rPr>
              <w:t>易燃</w:t>
            </w:r>
          </w:p>
        </w:tc>
        <w:tc>
          <w:tcPr>
            <w:tcW w:w="4104" w:type="dxa"/>
            <w:tcBorders>
              <w:tl2br w:val="nil"/>
              <w:tr2bl w:val="nil"/>
            </w:tcBorders>
            <w:vAlign w:val="center"/>
          </w:tcPr>
          <w:p w14:paraId="0B5CA56D">
            <w:pPr>
              <w:adjustRightInd w:val="0"/>
              <w:snapToGrid w:val="0"/>
              <w:spacing w:line="320" w:lineRule="exact"/>
              <w:jc w:val="center"/>
              <w:rPr>
                <w:rFonts w:eastAsia="仿宋_GB2312"/>
                <w:color w:val="auto"/>
                <w:szCs w:val="21"/>
              </w:rPr>
            </w:pPr>
            <w:r>
              <w:rPr>
                <w:rFonts w:eastAsia="仿宋_GB2312"/>
                <w:color w:val="auto"/>
                <w:szCs w:val="21"/>
              </w:rPr>
              <w:t>其蒸汽与空气混合可形成爆炸性混合物</w:t>
            </w:r>
          </w:p>
        </w:tc>
        <w:tc>
          <w:tcPr>
            <w:tcW w:w="1380" w:type="dxa"/>
            <w:tcBorders>
              <w:tl2br w:val="nil"/>
              <w:tr2bl w:val="nil"/>
            </w:tcBorders>
            <w:vAlign w:val="center"/>
          </w:tcPr>
          <w:p w14:paraId="7C42EC82">
            <w:pPr>
              <w:adjustRightInd w:val="0"/>
              <w:snapToGrid w:val="0"/>
              <w:spacing w:line="320" w:lineRule="exact"/>
              <w:jc w:val="center"/>
              <w:rPr>
                <w:rFonts w:eastAsia="仿宋_GB2312"/>
                <w:color w:val="auto"/>
                <w:szCs w:val="21"/>
              </w:rPr>
            </w:pPr>
            <w:r>
              <w:rPr>
                <w:rFonts w:eastAsia="仿宋_GB2312"/>
                <w:color w:val="auto"/>
                <w:szCs w:val="21"/>
              </w:rPr>
              <w:t>/</w:t>
            </w:r>
          </w:p>
        </w:tc>
      </w:tr>
      <w:tr w14:paraId="016B8D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670" w:type="dxa"/>
            <w:tcBorders>
              <w:tl2br w:val="nil"/>
              <w:tr2bl w:val="nil"/>
            </w:tcBorders>
            <w:vAlign w:val="center"/>
          </w:tcPr>
          <w:p w14:paraId="546F0EA8">
            <w:pPr>
              <w:adjustRightInd w:val="0"/>
              <w:snapToGrid w:val="0"/>
              <w:spacing w:line="320" w:lineRule="exact"/>
              <w:jc w:val="center"/>
              <w:rPr>
                <w:rFonts w:eastAsia="仿宋_GB2312"/>
                <w:color w:val="auto"/>
                <w:szCs w:val="21"/>
              </w:rPr>
            </w:pPr>
            <w:r>
              <w:rPr>
                <w:rFonts w:eastAsia="仿宋_GB2312"/>
                <w:color w:val="auto"/>
                <w:szCs w:val="21"/>
              </w:rPr>
              <w:t>二甲苯</w:t>
            </w:r>
          </w:p>
        </w:tc>
        <w:tc>
          <w:tcPr>
            <w:tcW w:w="816" w:type="dxa"/>
            <w:tcBorders>
              <w:tl2br w:val="nil"/>
              <w:tr2bl w:val="nil"/>
            </w:tcBorders>
            <w:vAlign w:val="center"/>
          </w:tcPr>
          <w:p w14:paraId="43922124">
            <w:pPr>
              <w:adjustRightInd w:val="0"/>
              <w:snapToGrid w:val="0"/>
              <w:spacing w:line="320" w:lineRule="exact"/>
              <w:jc w:val="center"/>
              <w:rPr>
                <w:rFonts w:eastAsia="仿宋_GB2312"/>
                <w:color w:val="auto"/>
                <w:szCs w:val="21"/>
              </w:rPr>
            </w:pPr>
            <w:r>
              <w:rPr>
                <w:rFonts w:eastAsia="仿宋_GB2312"/>
                <w:color w:val="auto"/>
                <w:szCs w:val="21"/>
              </w:rPr>
              <w:t>低毒</w:t>
            </w:r>
          </w:p>
        </w:tc>
        <w:tc>
          <w:tcPr>
            <w:tcW w:w="876" w:type="dxa"/>
            <w:tcBorders>
              <w:tl2br w:val="nil"/>
              <w:tr2bl w:val="nil"/>
            </w:tcBorders>
            <w:vAlign w:val="center"/>
          </w:tcPr>
          <w:p w14:paraId="580E4150">
            <w:pPr>
              <w:adjustRightInd w:val="0"/>
              <w:snapToGrid w:val="0"/>
              <w:spacing w:line="320" w:lineRule="exact"/>
              <w:jc w:val="center"/>
              <w:rPr>
                <w:rFonts w:eastAsia="仿宋_GB2312"/>
                <w:color w:val="auto"/>
                <w:szCs w:val="21"/>
              </w:rPr>
            </w:pPr>
            <w:r>
              <w:rPr>
                <w:rFonts w:eastAsia="仿宋_GB2312"/>
                <w:color w:val="auto"/>
                <w:szCs w:val="21"/>
              </w:rPr>
              <w:t>易燃</w:t>
            </w:r>
          </w:p>
        </w:tc>
        <w:tc>
          <w:tcPr>
            <w:tcW w:w="4104" w:type="dxa"/>
            <w:tcBorders>
              <w:tl2br w:val="nil"/>
              <w:tr2bl w:val="nil"/>
            </w:tcBorders>
            <w:vAlign w:val="center"/>
          </w:tcPr>
          <w:p w14:paraId="35EC6EBB">
            <w:pPr>
              <w:adjustRightInd w:val="0"/>
              <w:snapToGrid w:val="0"/>
              <w:spacing w:line="320" w:lineRule="exact"/>
              <w:jc w:val="center"/>
              <w:rPr>
                <w:rFonts w:eastAsia="仿宋_GB2312"/>
                <w:color w:val="auto"/>
                <w:szCs w:val="21"/>
              </w:rPr>
            </w:pPr>
            <w:r>
              <w:rPr>
                <w:rFonts w:eastAsia="仿宋_GB2312"/>
                <w:color w:val="auto"/>
                <w:szCs w:val="21"/>
              </w:rPr>
              <w:t>其蒸汽与空气混合可形成爆炸性混合物</w:t>
            </w:r>
          </w:p>
        </w:tc>
        <w:tc>
          <w:tcPr>
            <w:tcW w:w="1380" w:type="dxa"/>
            <w:tcBorders>
              <w:tl2br w:val="nil"/>
              <w:tr2bl w:val="nil"/>
            </w:tcBorders>
            <w:vAlign w:val="center"/>
          </w:tcPr>
          <w:p w14:paraId="4A60DF83">
            <w:pPr>
              <w:adjustRightInd w:val="0"/>
              <w:snapToGrid w:val="0"/>
              <w:spacing w:line="320" w:lineRule="exact"/>
              <w:jc w:val="center"/>
              <w:rPr>
                <w:rFonts w:eastAsia="仿宋_GB2312"/>
                <w:color w:val="auto"/>
                <w:szCs w:val="21"/>
              </w:rPr>
            </w:pPr>
            <w:r>
              <w:rPr>
                <w:rFonts w:eastAsia="仿宋_GB2312"/>
                <w:color w:val="auto"/>
                <w:szCs w:val="21"/>
              </w:rPr>
              <w:t>/</w:t>
            </w:r>
          </w:p>
        </w:tc>
      </w:tr>
      <w:tr w14:paraId="471047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670" w:type="dxa"/>
            <w:tcBorders>
              <w:tl2br w:val="nil"/>
              <w:tr2bl w:val="nil"/>
            </w:tcBorders>
            <w:vAlign w:val="center"/>
          </w:tcPr>
          <w:p w14:paraId="162B5920">
            <w:pPr>
              <w:adjustRightInd w:val="0"/>
              <w:snapToGrid w:val="0"/>
              <w:spacing w:line="320" w:lineRule="exact"/>
              <w:jc w:val="center"/>
              <w:rPr>
                <w:rFonts w:eastAsia="仿宋_GB2312"/>
                <w:color w:val="auto"/>
                <w:szCs w:val="21"/>
              </w:rPr>
            </w:pPr>
            <w:r>
              <w:rPr>
                <w:rFonts w:eastAsia="仿宋_GB2312"/>
                <w:color w:val="auto"/>
                <w:szCs w:val="21"/>
              </w:rPr>
              <w:t>乙酸乙酯</w:t>
            </w:r>
          </w:p>
        </w:tc>
        <w:tc>
          <w:tcPr>
            <w:tcW w:w="816" w:type="dxa"/>
            <w:tcBorders>
              <w:tl2br w:val="nil"/>
              <w:tr2bl w:val="nil"/>
            </w:tcBorders>
            <w:vAlign w:val="center"/>
          </w:tcPr>
          <w:p w14:paraId="1806D2D5">
            <w:pPr>
              <w:adjustRightInd w:val="0"/>
              <w:snapToGrid w:val="0"/>
              <w:spacing w:line="320" w:lineRule="exact"/>
              <w:jc w:val="center"/>
              <w:rPr>
                <w:rFonts w:eastAsia="仿宋_GB2312"/>
                <w:color w:val="auto"/>
                <w:szCs w:val="21"/>
              </w:rPr>
            </w:pPr>
            <w:r>
              <w:rPr>
                <w:rFonts w:eastAsia="仿宋_GB2312"/>
                <w:color w:val="auto"/>
                <w:szCs w:val="21"/>
              </w:rPr>
              <w:t>低毒</w:t>
            </w:r>
          </w:p>
        </w:tc>
        <w:tc>
          <w:tcPr>
            <w:tcW w:w="876" w:type="dxa"/>
            <w:tcBorders>
              <w:tl2br w:val="nil"/>
              <w:tr2bl w:val="nil"/>
            </w:tcBorders>
            <w:vAlign w:val="center"/>
          </w:tcPr>
          <w:p w14:paraId="58D2E8D1">
            <w:pPr>
              <w:adjustRightInd w:val="0"/>
              <w:snapToGrid w:val="0"/>
              <w:spacing w:line="320" w:lineRule="exact"/>
              <w:jc w:val="center"/>
              <w:rPr>
                <w:rFonts w:eastAsia="仿宋_GB2312"/>
                <w:color w:val="auto"/>
                <w:szCs w:val="21"/>
              </w:rPr>
            </w:pPr>
            <w:r>
              <w:rPr>
                <w:rFonts w:eastAsia="仿宋_GB2312"/>
                <w:color w:val="auto"/>
                <w:szCs w:val="21"/>
              </w:rPr>
              <w:t>易燃</w:t>
            </w:r>
          </w:p>
        </w:tc>
        <w:tc>
          <w:tcPr>
            <w:tcW w:w="4104" w:type="dxa"/>
            <w:tcBorders>
              <w:tl2br w:val="nil"/>
              <w:tr2bl w:val="nil"/>
            </w:tcBorders>
            <w:vAlign w:val="center"/>
          </w:tcPr>
          <w:p w14:paraId="2E3A7B4C">
            <w:pPr>
              <w:adjustRightInd w:val="0"/>
              <w:snapToGrid w:val="0"/>
              <w:spacing w:line="320" w:lineRule="exact"/>
              <w:jc w:val="center"/>
              <w:rPr>
                <w:rFonts w:eastAsia="仿宋_GB2312"/>
                <w:color w:val="auto"/>
                <w:szCs w:val="21"/>
              </w:rPr>
            </w:pPr>
            <w:r>
              <w:rPr>
                <w:rFonts w:eastAsia="仿宋_GB2312"/>
                <w:color w:val="auto"/>
                <w:szCs w:val="21"/>
              </w:rPr>
              <w:t>其蒸气与空气可形成爆炸性混合物</w:t>
            </w:r>
          </w:p>
        </w:tc>
        <w:tc>
          <w:tcPr>
            <w:tcW w:w="1380" w:type="dxa"/>
            <w:tcBorders>
              <w:tl2br w:val="nil"/>
              <w:tr2bl w:val="nil"/>
            </w:tcBorders>
            <w:vAlign w:val="center"/>
          </w:tcPr>
          <w:p w14:paraId="1498DAD8">
            <w:pPr>
              <w:adjustRightInd w:val="0"/>
              <w:snapToGrid w:val="0"/>
              <w:spacing w:line="320" w:lineRule="exact"/>
              <w:jc w:val="center"/>
              <w:rPr>
                <w:rFonts w:eastAsia="仿宋_GB2312"/>
                <w:color w:val="auto"/>
                <w:szCs w:val="21"/>
              </w:rPr>
            </w:pPr>
          </w:p>
        </w:tc>
      </w:tr>
      <w:tr w14:paraId="789232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670" w:type="dxa"/>
            <w:tcBorders>
              <w:tl2br w:val="nil"/>
              <w:tr2bl w:val="nil"/>
            </w:tcBorders>
            <w:vAlign w:val="center"/>
          </w:tcPr>
          <w:p w14:paraId="56A0E5DC">
            <w:pPr>
              <w:adjustRightInd w:val="0"/>
              <w:snapToGrid w:val="0"/>
              <w:spacing w:line="320" w:lineRule="exact"/>
              <w:jc w:val="center"/>
              <w:rPr>
                <w:rFonts w:eastAsia="仿宋_GB2312"/>
                <w:color w:val="auto"/>
                <w:szCs w:val="21"/>
              </w:rPr>
            </w:pPr>
            <w:r>
              <w:rPr>
                <w:rFonts w:eastAsia="仿宋_GB2312"/>
                <w:color w:val="auto"/>
                <w:szCs w:val="21"/>
              </w:rPr>
              <w:t>乙酸甲酯</w:t>
            </w:r>
          </w:p>
        </w:tc>
        <w:tc>
          <w:tcPr>
            <w:tcW w:w="816" w:type="dxa"/>
            <w:tcBorders>
              <w:tl2br w:val="nil"/>
              <w:tr2bl w:val="nil"/>
            </w:tcBorders>
            <w:vAlign w:val="center"/>
          </w:tcPr>
          <w:p w14:paraId="759F1231">
            <w:pPr>
              <w:adjustRightInd w:val="0"/>
              <w:snapToGrid w:val="0"/>
              <w:spacing w:line="320" w:lineRule="exact"/>
              <w:jc w:val="center"/>
              <w:rPr>
                <w:rFonts w:eastAsia="仿宋_GB2312"/>
                <w:color w:val="auto"/>
                <w:szCs w:val="21"/>
              </w:rPr>
            </w:pPr>
            <w:r>
              <w:rPr>
                <w:rFonts w:eastAsia="仿宋_GB2312"/>
                <w:color w:val="auto"/>
                <w:szCs w:val="21"/>
              </w:rPr>
              <w:t>低毒</w:t>
            </w:r>
          </w:p>
        </w:tc>
        <w:tc>
          <w:tcPr>
            <w:tcW w:w="876" w:type="dxa"/>
            <w:tcBorders>
              <w:tl2br w:val="nil"/>
              <w:tr2bl w:val="nil"/>
            </w:tcBorders>
            <w:vAlign w:val="center"/>
          </w:tcPr>
          <w:p w14:paraId="7289E9DE">
            <w:pPr>
              <w:adjustRightInd w:val="0"/>
              <w:snapToGrid w:val="0"/>
              <w:spacing w:line="320" w:lineRule="exact"/>
              <w:jc w:val="center"/>
              <w:rPr>
                <w:rFonts w:eastAsia="仿宋_GB2312"/>
                <w:color w:val="auto"/>
                <w:szCs w:val="21"/>
              </w:rPr>
            </w:pPr>
            <w:r>
              <w:rPr>
                <w:rFonts w:eastAsia="仿宋_GB2312"/>
                <w:color w:val="auto"/>
                <w:szCs w:val="21"/>
              </w:rPr>
              <w:t>易燃</w:t>
            </w:r>
          </w:p>
        </w:tc>
        <w:tc>
          <w:tcPr>
            <w:tcW w:w="4104" w:type="dxa"/>
            <w:tcBorders>
              <w:tl2br w:val="nil"/>
              <w:tr2bl w:val="nil"/>
            </w:tcBorders>
            <w:vAlign w:val="center"/>
          </w:tcPr>
          <w:p w14:paraId="2FDDE475">
            <w:pPr>
              <w:adjustRightInd w:val="0"/>
              <w:snapToGrid w:val="0"/>
              <w:spacing w:line="320" w:lineRule="exact"/>
              <w:jc w:val="center"/>
              <w:rPr>
                <w:rFonts w:eastAsia="仿宋_GB2312"/>
                <w:color w:val="auto"/>
                <w:szCs w:val="21"/>
              </w:rPr>
            </w:pPr>
            <w:r>
              <w:rPr>
                <w:rFonts w:eastAsia="仿宋_GB2312"/>
                <w:color w:val="auto"/>
                <w:szCs w:val="21"/>
              </w:rPr>
              <w:t>其蒸气与空气可形成爆炸性混合物</w:t>
            </w:r>
          </w:p>
        </w:tc>
        <w:tc>
          <w:tcPr>
            <w:tcW w:w="1380" w:type="dxa"/>
            <w:tcBorders>
              <w:tl2br w:val="nil"/>
              <w:tr2bl w:val="nil"/>
            </w:tcBorders>
            <w:vAlign w:val="center"/>
          </w:tcPr>
          <w:p w14:paraId="6E922B40">
            <w:pPr>
              <w:adjustRightInd w:val="0"/>
              <w:snapToGrid w:val="0"/>
              <w:spacing w:line="320" w:lineRule="exact"/>
              <w:jc w:val="center"/>
              <w:rPr>
                <w:rFonts w:eastAsia="仿宋_GB2312"/>
                <w:color w:val="auto"/>
                <w:szCs w:val="21"/>
              </w:rPr>
            </w:pPr>
            <w:r>
              <w:rPr>
                <w:rFonts w:eastAsia="仿宋_GB2312"/>
                <w:color w:val="auto"/>
                <w:szCs w:val="21"/>
              </w:rPr>
              <w:t>/</w:t>
            </w:r>
          </w:p>
        </w:tc>
      </w:tr>
      <w:tr w14:paraId="01140F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670" w:type="dxa"/>
            <w:tcBorders>
              <w:tl2br w:val="nil"/>
              <w:tr2bl w:val="nil"/>
            </w:tcBorders>
            <w:vAlign w:val="center"/>
          </w:tcPr>
          <w:p w14:paraId="1BB2F84D">
            <w:pPr>
              <w:adjustRightInd w:val="0"/>
              <w:snapToGrid w:val="0"/>
              <w:spacing w:line="320" w:lineRule="exact"/>
              <w:jc w:val="center"/>
              <w:rPr>
                <w:rFonts w:eastAsia="仿宋_GB2312"/>
                <w:color w:val="auto"/>
                <w:szCs w:val="21"/>
              </w:rPr>
            </w:pPr>
            <w:r>
              <w:rPr>
                <w:rFonts w:eastAsia="仿宋_GB2312"/>
                <w:color w:val="auto"/>
                <w:szCs w:val="21"/>
              </w:rPr>
              <w:t>乙酸丁酯</w:t>
            </w:r>
          </w:p>
        </w:tc>
        <w:tc>
          <w:tcPr>
            <w:tcW w:w="816" w:type="dxa"/>
            <w:tcBorders>
              <w:tl2br w:val="nil"/>
              <w:tr2bl w:val="nil"/>
            </w:tcBorders>
            <w:vAlign w:val="center"/>
          </w:tcPr>
          <w:p w14:paraId="3BEC6D20">
            <w:pPr>
              <w:adjustRightInd w:val="0"/>
              <w:snapToGrid w:val="0"/>
              <w:spacing w:line="320" w:lineRule="exact"/>
              <w:jc w:val="center"/>
              <w:rPr>
                <w:rFonts w:eastAsia="仿宋_GB2312"/>
                <w:color w:val="auto"/>
                <w:szCs w:val="21"/>
              </w:rPr>
            </w:pPr>
            <w:r>
              <w:rPr>
                <w:rFonts w:eastAsia="仿宋_GB2312"/>
                <w:color w:val="auto"/>
                <w:szCs w:val="21"/>
              </w:rPr>
              <w:t>低毒</w:t>
            </w:r>
          </w:p>
        </w:tc>
        <w:tc>
          <w:tcPr>
            <w:tcW w:w="876" w:type="dxa"/>
            <w:tcBorders>
              <w:tl2br w:val="nil"/>
              <w:tr2bl w:val="nil"/>
            </w:tcBorders>
            <w:vAlign w:val="center"/>
          </w:tcPr>
          <w:p w14:paraId="78234594">
            <w:pPr>
              <w:adjustRightInd w:val="0"/>
              <w:snapToGrid w:val="0"/>
              <w:spacing w:line="320" w:lineRule="exact"/>
              <w:jc w:val="center"/>
              <w:rPr>
                <w:rFonts w:eastAsia="仿宋_GB2312"/>
                <w:color w:val="auto"/>
                <w:szCs w:val="21"/>
              </w:rPr>
            </w:pPr>
            <w:r>
              <w:rPr>
                <w:rFonts w:eastAsia="仿宋_GB2312"/>
                <w:color w:val="auto"/>
                <w:szCs w:val="21"/>
              </w:rPr>
              <w:t>易燃</w:t>
            </w:r>
          </w:p>
        </w:tc>
        <w:tc>
          <w:tcPr>
            <w:tcW w:w="4104" w:type="dxa"/>
            <w:tcBorders>
              <w:tl2br w:val="nil"/>
              <w:tr2bl w:val="nil"/>
            </w:tcBorders>
            <w:vAlign w:val="center"/>
          </w:tcPr>
          <w:p w14:paraId="7C31409D">
            <w:pPr>
              <w:adjustRightInd w:val="0"/>
              <w:snapToGrid w:val="0"/>
              <w:spacing w:line="320" w:lineRule="exact"/>
              <w:jc w:val="center"/>
              <w:rPr>
                <w:rFonts w:eastAsia="仿宋_GB2312"/>
                <w:color w:val="auto"/>
                <w:szCs w:val="21"/>
              </w:rPr>
            </w:pPr>
            <w:r>
              <w:rPr>
                <w:rFonts w:eastAsia="仿宋_GB2312"/>
                <w:color w:val="auto"/>
                <w:szCs w:val="21"/>
              </w:rPr>
              <w:t>其蒸汽与空气可形成爆炸性混合物</w:t>
            </w:r>
          </w:p>
        </w:tc>
        <w:tc>
          <w:tcPr>
            <w:tcW w:w="1380" w:type="dxa"/>
            <w:tcBorders>
              <w:tl2br w:val="nil"/>
              <w:tr2bl w:val="nil"/>
            </w:tcBorders>
            <w:vAlign w:val="center"/>
          </w:tcPr>
          <w:p w14:paraId="0888BF00">
            <w:pPr>
              <w:adjustRightInd w:val="0"/>
              <w:snapToGrid w:val="0"/>
              <w:spacing w:line="320" w:lineRule="exact"/>
              <w:jc w:val="center"/>
              <w:rPr>
                <w:rFonts w:eastAsia="仿宋_GB2312"/>
                <w:color w:val="auto"/>
                <w:szCs w:val="21"/>
              </w:rPr>
            </w:pPr>
            <w:r>
              <w:rPr>
                <w:rFonts w:eastAsia="仿宋_GB2312"/>
                <w:color w:val="auto"/>
                <w:szCs w:val="21"/>
              </w:rPr>
              <w:t>/</w:t>
            </w:r>
          </w:p>
        </w:tc>
      </w:tr>
      <w:tr w14:paraId="4DF7C4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670" w:type="dxa"/>
            <w:tcBorders>
              <w:tl2br w:val="nil"/>
              <w:tr2bl w:val="nil"/>
            </w:tcBorders>
            <w:vAlign w:val="center"/>
          </w:tcPr>
          <w:p w14:paraId="799564AA">
            <w:pPr>
              <w:adjustRightInd w:val="0"/>
              <w:snapToGrid w:val="0"/>
              <w:spacing w:line="320" w:lineRule="exact"/>
              <w:jc w:val="center"/>
              <w:rPr>
                <w:rFonts w:eastAsia="仿宋_GB2312"/>
                <w:color w:val="auto"/>
                <w:szCs w:val="21"/>
              </w:rPr>
            </w:pPr>
            <w:r>
              <w:rPr>
                <w:rFonts w:eastAsia="仿宋_GB2312"/>
                <w:color w:val="auto"/>
                <w:szCs w:val="21"/>
              </w:rPr>
              <w:t>乙醇</w:t>
            </w:r>
          </w:p>
        </w:tc>
        <w:tc>
          <w:tcPr>
            <w:tcW w:w="816" w:type="dxa"/>
            <w:tcBorders>
              <w:tl2br w:val="nil"/>
              <w:tr2bl w:val="nil"/>
            </w:tcBorders>
            <w:vAlign w:val="center"/>
          </w:tcPr>
          <w:p w14:paraId="7343BB60">
            <w:pPr>
              <w:adjustRightInd w:val="0"/>
              <w:snapToGrid w:val="0"/>
              <w:spacing w:line="320" w:lineRule="exact"/>
              <w:jc w:val="center"/>
              <w:rPr>
                <w:rFonts w:eastAsia="仿宋_GB2312"/>
                <w:color w:val="auto"/>
                <w:szCs w:val="21"/>
              </w:rPr>
            </w:pPr>
            <w:r>
              <w:rPr>
                <w:rFonts w:eastAsia="仿宋_GB2312"/>
                <w:color w:val="auto"/>
                <w:szCs w:val="21"/>
              </w:rPr>
              <w:t>低毒</w:t>
            </w:r>
          </w:p>
        </w:tc>
        <w:tc>
          <w:tcPr>
            <w:tcW w:w="876" w:type="dxa"/>
            <w:tcBorders>
              <w:tl2br w:val="nil"/>
              <w:tr2bl w:val="nil"/>
            </w:tcBorders>
            <w:vAlign w:val="center"/>
          </w:tcPr>
          <w:p w14:paraId="087853BB">
            <w:pPr>
              <w:adjustRightInd w:val="0"/>
              <w:snapToGrid w:val="0"/>
              <w:spacing w:line="320" w:lineRule="exact"/>
              <w:jc w:val="center"/>
              <w:rPr>
                <w:rFonts w:eastAsia="仿宋_GB2312"/>
                <w:color w:val="auto"/>
                <w:szCs w:val="21"/>
              </w:rPr>
            </w:pPr>
            <w:r>
              <w:rPr>
                <w:rFonts w:eastAsia="仿宋_GB2312"/>
                <w:color w:val="auto"/>
                <w:szCs w:val="21"/>
              </w:rPr>
              <w:t>易燃</w:t>
            </w:r>
          </w:p>
        </w:tc>
        <w:tc>
          <w:tcPr>
            <w:tcW w:w="4104" w:type="dxa"/>
            <w:tcBorders>
              <w:tl2br w:val="nil"/>
              <w:tr2bl w:val="nil"/>
            </w:tcBorders>
            <w:vAlign w:val="center"/>
          </w:tcPr>
          <w:p w14:paraId="0B30D82C">
            <w:pPr>
              <w:adjustRightInd w:val="0"/>
              <w:snapToGrid w:val="0"/>
              <w:spacing w:line="320" w:lineRule="exact"/>
              <w:jc w:val="center"/>
              <w:rPr>
                <w:rFonts w:eastAsia="仿宋_GB2312"/>
                <w:color w:val="auto"/>
                <w:szCs w:val="21"/>
              </w:rPr>
            </w:pPr>
            <w:r>
              <w:rPr>
                <w:rFonts w:eastAsia="仿宋_GB2312"/>
                <w:color w:val="auto"/>
                <w:szCs w:val="21"/>
              </w:rPr>
              <w:t>其蒸气与空气混合能形成爆炸性混合物</w:t>
            </w:r>
          </w:p>
        </w:tc>
        <w:tc>
          <w:tcPr>
            <w:tcW w:w="1380" w:type="dxa"/>
            <w:tcBorders>
              <w:tl2br w:val="nil"/>
              <w:tr2bl w:val="nil"/>
            </w:tcBorders>
            <w:vAlign w:val="center"/>
          </w:tcPr>
          <w:p w14:paraId="6BE1BC0A">
            <w:pPr>
              <w:adjustRightInd w:val="0"/>
              <w:snapToGrid w:val="0"/>
              <w:spacing w:line="320" w:lineRule="exact"/>
              <w:jc w:val="center"/>
              <w:rPr>
                <w:rFonts w:eastAsia="仿宋_GB2312"/>
                <w:color w:val="auto"/>
                <w:szCs w:val="21"/>
              </w:rPr>
            </w:pPr>
            <w:r>
              <w:rPr>
                <w:rFonts w:eastAsia="仿宋_GB2312"/>
                <w:color w:val="auto"/>
                <w:szCs w:val="21"/>
              </w:rPr>
              <w:t>/</w:t>
            </w:r>
          </w:p>
        </w:tc>
      </w:tr>
      <w:tr w14:paraId="411D03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670" w:type="dxa"/>
            <w:tcBorders>
              <w:tl2br w:val="nil"/>
              <w:tr2bl w:val="nil"/>
            </w:tcBorders>
            <w:vAlign w:val="center"/>
          </w:tcPr>
          <w:p w14:paraId="35342F6C">
            <w:pPr>
              <w:adjustRightInd w:val="0"/>
              <w:snapToGrid w:val="0"/>
              <w:spacing w:line="320" w:lineRule="exact"/>
              <w:jc w:val="center"/>
              <w:rPr>
                <w:rFonts w:eastAsia="仿宋_GB2312"/>
                <w:color w:val="auto"/>
                <w:szCs w:val="21"/>
              </w:rPr>
            </w:pPr>
            <w:r>
              <w:rPr>
                <w:rFonts w:eastAsia="仿宋_GB2312"/>
                <w:color w:val="auto"/>
                <w:szCs w:val="21"/>
              </w:rPr>
              <w:t>二异丁基甲酮</w:t>
            </w:r>
          </w:p>
        </w:tc>
        <w:tc>
          <w:tcPr>
            <w:tcW w:w="816" w:type="dxa"/>
            <w:tcBorders>
              <w:tl2br w:val="nil"/>
              <w:tr2bl w:val="nil"/>
            </w:tcBorders>
            <w:vAlign w:val="center"/>
          </w:tcPr>
          <w:p w14:paraId="2E0C18B4">
            <w:pPr>
              <w:adjustRightInd w:val="0"/>
              <w:snapToGrid w:val="0"/>
              <w:spacing w:line="320" w:lineRule="exact"/>
              <w:jc w:val="center"/>
              <w:rPr>
                <w:rFonts w:eastAsia="仿宋_GB2312"/>
                <w:color w:val="auto"/>
                <w:szCs w:val="21"/>
              </w:rPr>
            </w:pPr>
            <w:r>
              <w:rPr>
                <w:rFonts w:eastAsia="仿宋_GB2312"/>
                <w:color w:val="auto"/>
                <w:szCs w:val="21"/>
              </w:rPr>
              <w:t>低毒</w:t>
            </w:r>
          </w:p>
        </w:tc>
        <w:tc>
          <w:tcPr>
            <w:tcW w:w="876" w:type="dxa"/>
            <w:tcBorders>
              <w:tl2br w:val="nil"/>
              <w:tr2bl w:val="nil"/>
            </w:tcBorders>
            <w:vAlign w:val="center"/>
          </w:tcPr>
          <w:p w14:paraId="211C7C65">
            <w:pPr>
              <w:adjustRightInd w:val="0"/>
              <w:snapToGrid w:val="0"/>
              <w:spacing w:line="320" w:lineRule="exact"/>
              <w:jc w:val="center"/>
              <w:rPr>
                <w:rFonts w:eastAsia="仿宋_GB2312"/>
                <w:color w:val="auto"/>
                <w:szCs w:val="21"/>
              </w:rPr>
            </w:pPr>
            <w:r>
              <w:rPr>
                <w:rFonts w:eastAsia="仿宋_GB2312"/>
                <w:color w:val="auto"/>
                <w:szCs w:val="21"/>
              </w:rPr>
              <w:t>易燃</w:t>
            </w:r>
          </w:p>
        </w:tc>
        <w:tc>
          <w:tcPr>
            <w:tcW w:w="4104" w:type="dxa"/>
            <w:tcBorders>
              <w:tl2br w:val="nil"/>
              <w:tr2bl w:val="nil"/>
            </w:tcBorders>
            <w:vAlign w:val="center"/>
          </w:tcPr>
          <w:p w14:paraId="5CDD01B6">
            <w:pPr>
              <w:adjustRightInd w:val="0"/>
              <w:snapToGrid w:val="0"/>
              <w:spacing w:line="320" w:lineRule="exact"/>
              <w:jc w:val="center"/>
              <w:rPr>
                <w:rFonts w:eastAsia="仿宋_GB2312"/>
                <w:color w:val="auto"/>
                <w:szCs w:val="21"/>
              </w:rPr>
            </w:pPr>
            <w:r>
              <w:rPr>
                <w:rFonts w:eastAsia="仿宋_GB2312"/>
                <w:color w:val="auto"/>
                <w:szCs w:val="21"/>
              </w:rPr>
              <w:t>/</w:t>
            </w:r>
          </w:p>
        </w:tc>
        <w:tc>
          <w:tcPr>
            <w:tcW w:w="1380" w:type="dxa"/>
            <w:tcBorders>
              <w:tl2br w:val="nil"/>
              <w:tr2bl w:val="nil"/>
            </w:tcBorders>
            <w:vAlign w:val="center"/>
          </w:tcPr>
          <w:p w14:paraId="259786D9">
            <w:pPr>
              <w:adjustRightInd w:val="0"/>
              <w:snapToGrid w:val="0"/>
              <w:spacing w:line="320" w:lineRule="exact"/>
              <w:jc w:val="center"/>
              <w:rPr>
                <w:rFonts w:eastAsia="仿宋_GB2312"/>
                <w:color w:val="auto"/>
                <w:szCs w:val="21"/>
              </w:rPr>
            </w:pPr>
            <w:r>
              <w:rPr>
                <w:rFonts w:eastAsia="仿宋_GB2312"/>
                <w:color w:val="auto"/>
                <w:szCs w:val="21"/>
              </w:rPr>
              <w:t>/</w:t>
            </w:r>
          </w:p>
        </w:tc>
      </w:tr>
      <w:tr w14:paraId="1A8232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670" w:type="dxa"/>
            <w:tcBorders>
              <w:tl2br w:val="nil"/>
              <w:tr2bl w:val="nil"/>
            </w:tcBorders>
            <w:vAlign w:val="center"/>
          </w:tcPr>
          <w:p w14:paraId="112023CF">
            <w:pPr>
              <w:adjustRightInd w:val="0"/>
              <w:snapToGrid w:val="0"/>
              <w:spacing w:line="320" w:lineRule="exact"/>
              <w:jc w:val="center"/>
              <w:rPr>
                <w:rFonts w:eastAsia="仿宋_GB2312"/>
                <w:color w:val="auto"/>
                <w:szCs w:val="21"/>
              </w:rPr>
            </w:pPr>
            <w:r>
              <w:rPr>
                <w:rFonts w:eastAsia="仿宋_GB2312"/>
                <w:color w:val="auto"/>
                <w:szCs w:val="21"/>
              </w:rPr>
              <w:t>石油醚</w:t>
            </w:r>
          </w:p>
        </w:tc>
        <w:tc>
          <w:tcPr>
            <w:tcW w:w="816" w:type="dxa"/>
            <w:tcBorders>
              <w:tl2br w:val="nil"/>
              <w:tr2bl w:val="nil"/>
            </w:tcBorders>
            <w:vAlign w:val="center"/>
          </w:tcPr>
          <w:p w14:paraId="190A6F27">
            <w:pPr>
              <w:adjustRightInd w:val="0"/>
              <w:snapToGrid w:val="0"/>
              <w:spacing w:line="320" w:lineRule="exact"/>
              <w:jc w:val="center"/>
              <w:rPr>
                <w:rFonts w:eastAsia="仿宋_GB2312"/>
                <w:color w:val="auto"/>
                <w:szCs w:val="21"/>
              </w:rPr>
            </w:pPr>
            <w:r>
              <w:rPr>
                <w:rFonts w:eastAsia="仿宋_GB2312"/>
                <w:color w:val="auto"/>
                <w:szCs w:val="21"/>
              </w:rPr>
              <w:t>低毒</w:t>
            </w:r>
          </w:p>
        </w:tc>
        <w:tc>
          <w:tcPr>
            <w:tcW w:w="876" w:type="dxa"/>
            <w:tcBorders>
              <w:tl2br w:val="nil"/>
              <w:tr2bl w:val="nil"/>
            </w:tcBorders>
            <w:vAlign w:val="center"/>
          </w:tcPr>
          <w:p w14:paraId="4056F26D">
            <w:pPr>
              <w:adjustRightInd w:val="0"/>
              <w:snapToGrid w:val="0"/>
              <w:spacing w:line="320" w:lineRule="exact"/>
              <w:jc w:val="center"/>
              <w:rPr>
                <w:rFonts w:eastAsia="仿宋_GB2312"/>
                <w:color w:val="auto"/>
                <w:szCs w:val="21"/>
              </w:rPr>
            </w:pPr>
            <w:r>
              <w:rPr>
                <w:rFonts w:eastAsia="仿宋_GB2312"/>
                <w:color w:val="auto"/>
                <w:szCs w:val="21"/>
              </w:rPr>
              <w:t>易燃</w:t>
            </w:r>
          </w:p>
        </w:tc>
        <w:tc>
          <w:tcPr>
            <w:tcW w:w="4104" w:type="dxa"/>
            <w:tcBorders>
              <w:tl2br w:val="nil"/>
              <w:tr2bl w:val="nil"/>
            </w:tcBorders>
            <w:vAlign w:val="center"/>
          </w:tcPr>
          <w:p w14:paraId="629F0F78">
            <w:pPr>
              <w:adjustRightInd w:val="0"/>
              <w:snapToGrid w:val="0"/>
              <w:spacing w:line="320" w:lineRule="exact"/>
              <w:jc w:val="center"/>
              <w:rPr>
                <w:rFonts w:eastAsia="仿宋_GB2312"/>
                <w:color w:val="auto"/>
                <w:szCs w:val="21"/>
              </w:rPr>
            </w:pPr>
            <w:r>
              <w:rPr>
                <w:rFonts w:eastAsia="仿宋_GB2312"/>
                <w:color w:val="auto"/>
                <w:szCs w:val="21"/>
              </w:rPr>
              <w:t>其蒸气与空气可形成爆炸性混合物</w:t>
            </w:r>
          </w:p>
        </w:tc>
        <w:tc>
          <w:tcPr>
            <w:tcW w:w="1380" w:type="dxa"/>
            <w:tcBorders>
              <w:tl2br w:val="nil"/>
              <w:tr2bl w:val="nil"/>
            </w:tcBorders>
            <w:vAlign w:val="center"/>
          </w:tcPr>
          <w:p w14:paraId="0B216090">
            <w:pPr>
              <w:adjustRightInd w:val="0"/>
              <w:snapToGrid w:val="0"/>
              <w:spacing w:line="320" w:lineRule="exact"/>
              <w:jc w:val="center"/>
              <w:rPr>
                <w:rFonts w:eastAsia="仿宋_GB2312"/>
                <w:color w:val="auto"/>
                <w:szCs w:val="21"/>
              </w:rPr>
            </w:pPr>
            <w:r>
              <w:rPr>
                <w:rFonts w:eastAsia="仿宋_GB2312"/>
                <w:color w:val="auto"/>
                <w:szCs w:val="21"/>
              </w:rPr>
              <w:t>/</w:t>
            </w:r>
          </w:p>
        </w:tc>
      </w:tr>
      <w:tr w14:paraId="713CE0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670" w:type="dxa"/>
            <w:tcBorders>
              <w:tl2br w:val="nil"/>
              <w:tr2bl w:val="nil"/>
            </w:tcBorders>
            <w:vAlign w:val="center"/>
          </w:tcPr>
          <w:p w14:paraId="0FD28FD3">
            <w:pPr>
              <w:adjustRightInd w:val="0"/>
              <w:snapToGrid w:val="0"/>
              <w:spacing w:line="320" w:lineRule="exact"/>
              <w:jc w:val="center"/>
              <w:rPr>
                <w:rFonts w:eastAsia="仿宋_GB2312"/>
                <w:color w:val="auto"/>
                <w:szCs w:val="21"/>
              </w:rPr>
            </w:pPr>
            <w:r>
              <w:rPr>
                <w:rFonts w:eastAsia="仿宋_GB2312"/>
                <w:color w:val="auto"/>
                <w:szCs w:val="21"/>
              </w:rPr>
              <w:t>甲基异丁基酮</w:t>
            </w:r>
          </w:p>
        </w:tc>
        <w:tc>
          <w:tcPr>
            <w:tcW w:w="816" w:type="dxa"/>
            <w:tcBorders>
              <w:tl2br w:val="nil"/>
              <w:tr2bl w:val="nil"/>
            </w:tcBorders>
            <w:vAlign w:val="center"/>
          </w:tcPr>
          <w:p w14:paraId="1BE43F10">
            <w:pPr>
              <w:adjustRightInd w:val="0"/>
              <w:snapToGrid w:val="0"/>
              <w:spacing w:line="320" w:lineRule="exact"/>
              <w:jc w:val="center"/>
              <w:rPr>
                <w:rFonts w:eastAsia="仿宋_GB2312"/>
                <w:color w:val="auto"/>
                <w:szCs w:val="21"/>
              </w:rPr>
            </w:pPr>
            <w:r>
              <w:rPr>
                <w:rFonts w:eastAsia="仿宋_GB2312"/>
                <w:color w:val="auto"/>
                <w:szCs w:val="21"/>
              </w:rPr>
              <w:t>低毒</w:t>
            </w:r>
          </w:p>
        </w:tc>
        <w:tc>
          <w:tcPr>
            <w:tcW w:w="876" w:type="dxa"/>
            <w:tcBorders>
              <w:tl2br w:val="nil"/>
              <w:tr2bl w:val="nil"/>
            </w:tcBorders>
            <w:vAlign w:val="center"/>
          </w:tcPr>
          <w:p w14:paraId="1E53FF23">
            <w:pPr>
              <w:adjustRightInd w:val="0"/>
              <w:snapToGrid w:val="0"/>
              <w:spacing w:line="320" w:lineRule="exact"/>
              <w:jc w:val="center"/>
              <w:rPr>
                <w:rFonts w:eastAsia="仿宋_GB2312"/>
                <w:color w:val="auto"/>
                <w:szCs w:val="21"/>
              </w:rPr>
            </w:pPr>
            <w:r>
              <w:rPr>
                <w:rFonts w:eastAsia="仿宋_GB2312"/>
                <w:color w:val="auto"/>
                <w:szCs w:val="21"/>
              </w:rPr>
              <w:t>易燃</w:t>
            </w:r>
          </w:p>
        </w:tc>
        <w:tc>
          <w:tcPr>
            <w:tcW w:w="4104" w:type="dxa"/>
            <w:tcBorders>
              <w:tl2br w:val="nil"/>
              <w:tr2bl w:val="nil"/>
            </w:tcBorders>
            <w:vAlign w:val="center"/>
          </w:tcPr>
          <w:p w14:paraId="176FAFA5">
            <w:pPr>
              <w:adjustRightInd w:val="0"/>
              <w:snapToGrid w:val="0"/>
              <w:spacing w:line="320" w:lineRule="exact"/>
              <w:jc w:val="center"/>
              <w:rPr>
                <w:rFonts w:eastAsia="仿宋_GB2312"/>
                <w:color w:val="auto"/>
                <w:szCs w:val="21"/>
              </w:rPr>
            </w:pPr>
            <w:r>
              <w:rPr>
                <w:rFonts w:eastAsia="仿宋_GB2312"/>
                <w:color w:val="auto"/>
                <w:szCs w:val="21"/>
              </w:rPr>
              <w:t>其蒸气比空气重，能在较低处扩散到相当远的地方，遇火源会着火回燃。</w:t>
            </w:r>
          </w:p>
        </w:tc>
        <w:tc>
          <w:tcPr>
            <w:tcW w:w="1380" w:type="dxa"/>
            <w:tcBorders>
              <w:tl2br w:val="nil"/>
              <w:tr2bl w:val="nil"/>
            </w:tcBorders>
            <w:vAlign w:val="center"/>
          </w:tcPr>
          <w:p w14:paraId="32B1FCD2">
            <w:pPr>
              <w:adjustRightInd w:val="0"/>
              <w:snapToGrid w:val="0"/>
              <w:spacing w:line="320" w:lineRule="exact"/>
              <w:jc w:val="center"/>
              <w:rPr>
                <w:rFonts w:eastAsia="仿宋_GB2312"/>
                <w:color w:val="auto"/>
                <w:szCs w:val="21"/>
              </w:rPr>
            </w:pPr>
            <w:r>
              <w:rPr>
                <w:rFonts w:eastAsia="仿宋_GB2312"/>
                <w:color w:val="auto"/>
                <w:szCs w:val="21"/>
              </w:rPr>
              <w:t>/</w:t>
            </w:r>
          </w:p>
        </w:tc>
      </w:tr>
      <w:tr w14:paraId="3CDBA6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670" w:type="dxa"/>
            <w:tcBorders>
              <w:tl2br w:val="nil"/>
              <w:tr2bl w:val="nil"/>
            </w:tcBorders>
            <w:vAlign w:val="center"/>
          </w:tcPr>
          <w:p w14:paraId="47870522">
            <w:pPr>
              <w:adjustRightInd w:val="0"/>
              <w:snapToGrid w:val="0"/>
              <w:spacing w:line="320" w:lineRule="exact"/>
              <w:jc w:val="center"/>
              <w:rPr>
                <w:rFonts w:eastAsia="仿宋_GB2312"/>
                <w:color w:val="auto"/>
                <w:szCs w:val="21"/>
              </w:rPr>
            </w:pPr>
            <w:r>
              <w:rPr>
                <w:rFonts w:eastAsia="仿宋_GB2312"/>
                <w:color w:val="auto"/>
                <w:szCs w:val="21"/>
              </w:rPr>
              <w:t>正庚烷</w:t>
            </w:r>
          </w:p>
        </w:tc>
        <w:tc>
          <w:tcPr>
            <w:tcW w:w="816" w:type="dxa"/>
            <w:tcBorders>
              <w:tl2br w:val="nil"/>
              <w:tr2bl w:val="nil"/>
            </w:tcBorders>
            <w:vAlign w:val="center"/>
          </w:tcPr>
          <w:p w14:paraId="21DCCC09">
            <w:pPr>
              <w:adjustRightInd w:val="0"/>
              <w:snapToGrid w:val="0"/>
              <w:spacing w:line="320" w:lineRule="exact"/>
              <w:jc w:val="center"/>
              <w:rPr>
                <w:rFonts w:eastAsia="仿宋_GB2312"/>
                <w:color w:val="auto"/>
                <w:szCs w:val="21"/>
              </w:rPr>
            </w:pPr>
            <w:r>
              <w:rPr>
                <w:rFonts w:eastAsia="仿宋_GB2312"/>
                <w:color w:val="auto"/>
                <w:szCs w:val="21"/>
              </w:rPr>
              <w:t>低毒</w:t>
            </w:r>
          </w:p>
        </w:tc>
        <w:tc>
          <w:tcPr>
            <w:tcW w:w="876" w:type="dxa"/>
            <w:tcBorders>
              <w:tl2br w:val="nil"/>
              <w:tr2bl w:val="nil"/>
            </w:tcBorders>
            <w:vAlign w:val="center"/>
          </w:tcPr>
          <w:p w14:paraId="2E8C3137">
            <w:pPr>
              <w:adjustRightInd w:val="0"/>
              <w:snapToGrid w:val="0"/>
              <w:spacing w:line="320" w:lineRule="exact"/>
              <w:jc w:val="center"/>
              <w:rPr>
                <w:rFonts w:eastAsia="仿宋_GB2312"/>
                <w:color w:val="auto"/>
                <w:szCs w:val="21"/>
              </w:rPr>
            </w:pPr>
            <w:r>
              <w:rPr>
                <w:rFonts w:eastAsia="仿宋_GB2312"/>
                <w:color w:val="auto"/>
                <w:szCs w:val="21"/>
              </w:rPr>
              <w:t>易燃</w:t>
            </w:r>
          </w:p>
        </w:tc>
        <w:tc>
          <w:tcPr>
            <w:tcW w:w="4104" w:type="dxa"/>
            <w:tcBorders>
              <w:tl2br w:val="nil"/>
              <w:tr2bl w:val="nil"/>
            </w:tcBorders>
            <w:vAlign w:val="center"/>
          </w:tcPr>
          <w:p w14:paraId="5348CA72">
            <w:pPr>
              <w:adjustRightInd w:val="0"/>
              <w:snapToGrid w:val="0"/>
              <w:spacing w:line="320" w:lineRule="exact"/>
              <w:jc w:val="center"/>
              <w:rPr>
                <w:rFonts w:eastAsia="仿宋_GB2312"/>
                <w:color w:val="auto"/>
                <w:szCs w:val="21"/>
              </w:rPr>
            </w:pPr>
            <w:r>
              <w:rPr>
                <w:rFonts w:eastAsia="仿宋_GB2312"/>
                <w:color w:val="auto"/>
                <w:szCs w:val="21"/>
              </w:rPr>
              <w:t>其蒸气与空气可形成爆炸性混合物，遇热源和明火有燃烧爆炸的危险。与氧化剂接触发生化学反应或引起燃烧。高速冲击、流动、激荡后可因产生静电火花放电引起燃烧爆炸。其蒸气比空气重，能在较低处扩散到相当远的地方，遇火源会着火回燃。</w:t>
            </w:r>
          </w:p>
        </w:tc>
        <w:tc>
          <w:tcPr>
            <w:tcW w:w="1380" w:type="dxa"/>
            <w:tcBorders>
              <w:tl2br w:val="nil"/>
              <w:tr2bl w:val="nil"/>
            </w:tcBorders>
            <w:vAlign w:val="center"/>
          </w:tcPr>
          <w:p w14:paraId="2A8B4B7C">
            <w:pPr>
              <w:adjustRightInd w:val="0"/>
              <w:snapToGrid w:val="0"/>
              <w:spacing w:line="320" w:lineRule="exact"/>
              <w:jc w:val="center"/>
              <w:rPr>
                <w:rFonts w:eastAsia="仿宋_GB2312"/>
                <w:color w:val="auto"/>
                <w:szCs w:val="21"/>
              </w:rPr>
            </w:pPr>
            <w:r>
              <w:rPr>
                <w:rFonts w:eastAsia="仿宋_GB2312"/>
                <w:color w:val="auto"/>
                <w:szCs w:val="21"/>
              </w:rPr>
              <w:t>/</w:t>
            </w:r>
          </w:p>
        </w:tc>
      </w:tr>
      <w:tr w14:paraId="4B39E3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670" w:type="dxa"/>
            <w:tcBorders>
              <w:tl2br w:val="nil"/>
              <w:tr2bl w:val="nil"/>
            </w:tcBorders>
            <w:vAlign w:val="center"/>
          </w:tcPr>
          <w:p w14:paraId="51857C54">
            <w:pPr>
              <w:adjustRightInd w:val="0"/>
              <w:snapToGrid w:val="0"/>
              <w:spacing w:line="320" w:lineRule="exact"/>
              <w:jc w:val="center"/>
              <w:rPr>
                <w:rFonts w:eastAsia="仿宋_GB2312"/>
                <w:color w:val="auto"/>
                <w:szCs w:val="21"/>
              </w:rPr>
            </w:pPr>
            <w:r>
              <w:rPr>
                <w:rFonts w:eastAsia="仿宋_GB2312"/>
                <w:color w:val="auto"/>
                <w:szCs w:val="21"/>
              </w:rPr>
              <w:t>己烷</w:t>
            </w:r>
          </w:p>
        </w:tc>
        <w:tc>
          <w:tcPr>
            <w:tcW w:w="816" w:type="dxa"/>
            <w:tcBorders>
              <w:tl2br w:val="nil"/>
              <w:tr2bl w:val="nil"/>
            </w:tcBorders>
            <w:vAlign w:val="center"/>
          </w:tcPr>
          <w:p w14:paraId="08FF7A43">
            <w:pPr>
              <w:adjustRightInd w:val="0"/>
              <w:snapToGrid w:val="0"/>
              <w:spacing w:line="320" w:lineRule="exact"/>
              <w:jc w:val="center"/>
              <w:rPr>
                <w:rFonts w:eastAsia="仿宋_GB2312"/>
                <w:color w:val="auto"/>
                <w:szCs w:val="21"/>
              </w:rPr>
            </w:pPr>
            <w:r>
              <w:rPr>
                <w:rFonts w:eastAsia="仿宋_GB2312"/>
                <w:color w:val="auto"/>
                <w:szCs w:val="21"/>
              </w:rPr>
              <w:t>低毒</w:t>
            </w:r>
          </w:p>
        </w:tc>
        <w:tc>
          <w:tcPr>
            <w:tcW w:w="876" w:type="dxa"/>
            <w:tcBorders>
              <w:tl2br w:val="nil"/>
              <w:tr2bl w:val="nil"/>
            </w:tcBorders>
            <w:vAlign w:val="center"/>
          </w:tcPr>
          <w:p w14:paraId="4C02045A">
            <w:pPr>
              <w:adjustRightInd w:val="0"/>
              <w:snapToGrid w:val="0"/>
              <w:spacing w:line="320" w:lineRule="exact"/>
              <w:jc w:val="center"/>
              <w:rPr>
                <w:rFonts w:eastAsia="仿宋_GB2312"/>
                <w:color w:val="auto"/>
                <w:szCs w:val="21"/>
              </w:rPr>
            </w:pPr>
            <w:r>
              <w:rPr>
                <w:rFonts w:eastAsia="仿宋_GB2312"/>
                <w:color w:val="auto"/>
                <w:szCs w:val="21"/>
              </w:rPr>
              <w:t>易燃</w:t>
            </w:r>
          </w:p>
        </w:tc>
        <w:tc>
          <w:tcPr>
            <w:tcW w:w="4104" w:type="dxa"/>
            <w:tcBorders>
              <w:tl2br w:val="nil"/>
              <w:tr2bl w:val="nil"/>
            </w:tcBorders>
            <w:vAlign w:val="center"/>
          </w:tcPr>
          <w:p w14:paraId="046DCA63">
            <w:pPr>
              <w:adjustRightInd w:val="0"/>
              <w:snapToGrid w:val="0"/>
              <w:spacing w:line="320" w:lineRule="exact"/>
              <w:jc w:val="center"/>
              <w:rPr>
                <w:rFonts w:eastAsia="仿宋_GB2312"/>
                <w:color w:val="auto"/>
                <w:szCs w:val="21"/>
              </w:rPr>
            </w:pPr>
            <w:r>
              <w:rPr>
                <w:rFonts w:eastAsia="仿宋_GB2312"/>
                <w:color w:val="auto"/>
                <w:szCs w:val="21"/>
              </w:rPr>
              <w:t>其蒸汽与空气混合可形成爆炸性混合物</w:t>
            </w:r>
          </w:p>
        </w:tc>
        <w:tc>
          <w:tcPr>
            <w:tcW w:w="1380" w:type="dxa"/>
            <w:tcBorders>
              <w:tl2br w:val="nil"/>
              <w:tr2bl w:val="nil"/>
            </w:tcBorders>
            <w:vAlign w:val="center"/>
          </w:tcPr>
          <w:p w14:paraId="02F9FBB4">
            <w:pPr>
              <w:adjustRightInd w:val="0"/>
              <w:snapToGrid w:val="0"/>
              <w:spacing w:line="320" w:lineRule="exact"/>
              <w:jc w:val="center"/>
              <w:rPr>
                <w:rFonts w:hint="eastAsia" w:eastAsia="仿宋_GB2312"/>
                <w:color w:val="auto"/>
                <w:szCs w:val="21"/>
                <w:lang w:val="en-US" w:eastAsia="zh-CN"/>
              </w:rPr>
            </w:pPr>
            <w:r>
              <w:rPr>
                <w:rFonts w:hint="eastAsia" w:eastAsia="仿宋_GB2312"/>
                <w:color w:val="auto"/>
                <w:szCs w:val="21"/>
                <w:lang w:val="en-US" w:eastAsia="zh-CN"/>
              </w:rPr>
              <w:t>/</w:t>
            </w:r>
          </w:p>
        </w:tc>
      </w:tr>
      <w:tr w14:paraId="1CC9F7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670" w:type="dxa"/>
            <w:tcBorders>
              <w:tl2br w:val="nil"/>
              <w:tr2bl w:val="nil"/>
            </w:tcBorders>
            <w:vAlign w:val="center"/>
          </w:tcPr>
          <w:p w14:paraId="06DF97E0">
            <w:pPr>
              <w:adjustRightInd w:val="0"/>
              <w:snapToGrid w:val="0"/>
              <w:spacing w:line="320" w:lineRule="exact"/>
              <w:jc w:val="center"/>
              <w:rPr>
                <w:rFonts w:eastAsia="仿宋_GB2312"/>
                <w:color w:val="auto"/>
                <w:szCs w:val="21"/>
              </w:rPr>
            </w:pPr>
            <w:r>
              <w:rPr>
                <w:rFonts w:eastAsia="仿宋_GB2312"/>
                <w:color w:val="auto"/>
                <w:szCs w:val="21"/>
              </w:rPr>
              <w:t>二氯甲烷</w:t>
            </w:r>
          </w:p>
        </w:tc>
        <w:tc>
          <w:tcPr>
            <w:tcW w:w="816" w:type="dxa"/>
            <w:tcBorders>
              <w:tl2br w:val="nil"/>
              <w:tr2bl w:val="nil"/>
            </w:tcBorders>
            <w:vAlign w:val="center"/>
          </w:tcPr>
          <w:p w14:paraId="4AD22FCF">
            <w:pPr>
              <w:adjustRightInd w:val="0"/>
              <w:snapToGrid w:val="0"/>
              <w:spacing w:line="320" w:lineRule="exact"/>
              <w:jc w:val="center"/>
              <w:rPr>
                <w:rFonts w:eastAsia="仿宋_GB2312"/>
                <w:color w:val="auto"/>
                <w:szCs w:val="21"/>
              </w:rPr>
            </w:pPr>
            <w:r>
              <w:rPr>
                <w:rFonts w:eastAsia="仿宋_GB2312"/>
                <w:color w:val="auto"/>
                <w:szCs w:val="21"/>
              </w:rPr>
              <w:t>中毒</w:t>
            </w:r>
          </w:p>
        </w:tc>
        <w:tc>
          <w:tcPr>
            <w:tcW w:w="876" w:type="dxa"/>
            <w:tcBorders>
              <w:tl2br w:val="nil"/>
              <w:tr2bl w:val="nil"/>
            </w:tcBorders>
            <w:vAlign w:val="center"/>
          </w:tcPr>
          <w:p w14:paraId="7C810451">
            <w:pPr>
              <w:adjustRightInd w:val="0"/>
              <w:snapToGrid w:val="0"/>
              <w:spacing w:line="320" w:lineRule="exact"/>
              <w:jc w:val="center"/>
              <w:rPr>
                <w:rFonts w:eastAsia="仿宋_GB2312"/>
                <w:color w:val="auto"/>
                <w:szCs w:val="21"/>
              </w:rPr>
            </w:pPr>
            <w:r>
              <w:rPr>
                <w:rFonts w:eastAsia="仿宋_GB2312"/>
                <w:color w:val="auto"/>
                <w:szCs w:val="21"/>
              </w:rPr>
              <w:t>可燃</w:t>
            </w:r>
          </w:p>
        </w:tc>
        <w:tc>
          <w:tcPr>
            <w:tcW w:w="4104" w:type="dxa"/>
            <w:tcBorders>
              <w:tl2br w:val="nil"/>
              <w:tr2bl w:val="nil"/>
            </w:tcBorders>
            <w:vAlign w:val="center"/>
          </w:tcPr>
          <w:p w14:paraId="7C8F9BBF">
            <w:pPr>
              <w:adjustRightInd w:val="0"/>
              <w:snapToGrid w:val="0"/>
              <w:spacing w:line="320" w:lineRule="exact"/>
              <w:jc w:val="center"/>
              <w:rPr>
                <w:rFonts w:eastAsia="仿宋_GB2312"/>
                <w:color w:val="auto"/>
                <w:szCs w:val="21"/>
              </w:rPr>
            </w:pPr>
            <w:r>
              <w:rPr>
                <w:rFonts w:eastAsia="仿宋_GB2312"/>
                <w:color w:val="auto"/>
                <w:szCs w:val="21"/>
              </w:rPr>
              <w:t>/</w:t>
            </w:r>
          </w:p>
        </w:tc>
        <w:tc>
          <w:tcPr>
            <w:tcW w:w="1380" w:type="dxa"/>
            <w:tcBorders>
              <w:tl2br w:val="nil"/>
              <w:tr2bl w:val="nil"/>
            </w:tcBorders>
            <w:vAlign w:val="center"/>
          </w:tcPr>
          <w:p w14:paraId="2C56E633">
            <w:pPr>
              <w:adjustRightInd w:val="0"/>
              <w:snapToGrid w:val="0"/>
              <w:spacing w:line="320" w:lineRule="exact"/>
              <w:jc w:val="center"/>
              <w:rPr>
                <w:rFonts w:eastAsia="仿宋_GB2312"/>
                <w:color w:val="auto"/>
                <w:szCs w:val="21"/>
              </w:rPr>
            </w:pPr>
            <w:r>
              <w:rPr>
                <w:rFonts w:eastAsia="仿宋_GB2312"/>
                <w:color w:val="auto"/>
                <w:szCs w:val="21"/>
              </w:rPr>
              <w:t>/</w:t>
            </w:r>
          </w:p>
        </w:tc>
      </w:tr>
      <w:tr w14:paraId="6F6B71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670" w:type="dxa"/>
            <w:tcBorders>
              <w:tl2br w:val="nil"/>
              <w:tr2bl w:val="nil"/>
            </w:tcBorders>
            <w:vAlign w:val="center"/>
          </w:tcPr>
          <w:p w14:paraId="0B18E88D">
            <w:pPr>
              <w:adjustRightInd w:val="0"/>
              <w:snapToGrid w:val="0"/>
              <w:spacing w:line="320" w:lineRule="exact"/>
              <w:jc w:val="center"/>
              <w:rPr>
                <w:rFonts w:eastAsia="仿宋_GB2312"/>
                <w:color w:val="auto"/>
                <w:szCs w:val="21"/>
              </w:rPr>
            </w:pPr>
            <w:r>
              <w:rPr>
                <w:rFonts w:eastAsia="仿宋_GB2312"/>
                <w:color w:val="auto"/>
                <w:szCs w:val="21"/>
              </w:rPr>
              <w:t>二氯乙烷</w:t>
            </w:r>
          </w:p>
        </w:tc>
        <w:tc>
          <w:tcPr>
            <w:tcW w:w="816" w:type="dxa"/>
            <w:tcBorders>
              <w:tl2br w:val="nil"/>
              <w:tr2bl w:val="nil"/>
            </w:tcBorders>
            <w:vAlign w:val="center"/>
          </w:tcPr>
          <w:p w14:paraId="559E2FBB">
            <w:pPr>
              <w:adjustRightInd w:val="0"/>
              <w:snapToGrid w:val="0"/>
              <w:spacing w:line="320" w:lineRule="exact"/>
              <w:jc w:val="center"/>
              <w:rPr>
                <w:rFonts w:eastAsia="仿宋_GB2312"/>
                <w:color w:val="auto"/>
                <w:szCs w:val="21"/>
              </w:rPr>
            </w:pPr>
            <w:r>
              <w:rPr>
                <w:rFonts w:eastAsia="仿宋_GB2312"/>
                <w:color w:val="auto"/>
                <w:szCs w:val="21"/>
              </w:rPr>
              <w:t>低毒</w:t>
            </w:r>
          </w:p>
        </w:tc>
        <w:tc>
          <w:tcPr>
            <w:tcW w:w="876" w:type="dxa"/>
            <w:tcBorders>
              <w:tl2br w:val="nil"/>
              <w:tr2bl w:val="nil"/>
            </w:tcBorders>
            <w:vAlign w:val="center"/>
          </w:tcPr>
          <w:p w14:paraId="3099EFDA">
            <w:pPr>
              <w:adjustRightInd w:val="0"/>
              <w:snapToGrid w:val="0"/>
              <w:spacing w:line="320" w:lineRule="exact"/>
              <w:jc w:val="center"/>
              <w:rPr>
                <w:rFonts w:eastAsia="仿宋_GB2312"/>
                <w:color w:val="auto"/>
                <w:szCs w:val="21"/>
              </w:rPr>
            </w:pPr>
            <w:r>
              <w:rPr>
                <w:rFonts w:eastAsia="仿宋_GB2312"/>
                <w:color w:val="auto"/>
                <w:szCs w:val="21"/>
              </w:rPr>
              <w:t>易燃</w:t>
            </w:r>
          </w:p>
        </w:tc>
        <w:tc>
          <w:tcPr>
            <w:tcW w:w="4104" w:type="dxa"/>
            <w:tcBorders>
              <w:tl2br w:val="nil"/>
              <w:tr2bl w:val="nil"/>
            </w:tcBorders>
            <w:vAlign w:val="center"/>
          </w:tcPr>
          <w:p w14:paraId="1C934CA6">
            <w:pPr>
              <w:adjustRightInd w:val="0"/>
              <w:snapToGrid w:val="0"/>
              <w:spacing w:line="320" w:lineRule="exact"/>
              <w:jc w:val="center"/>
              <w:rPr>
                <w:rFonts w:eastAsia="仿宋_GB2312"/>
                <w:color w:val="auto"/>
                <w:szCs w:val="21"/>
              </w:rPr>
            </w:pPr>
            <w:r>
              <w:rPr>
                <w:rFonts w:eastAsia="仿宋_GB2312"/>
                <w:color w:val="auto"/>
                <w:szCs w:val="21"/>
              </w:rPr>
              <w:t>其蒸汽与空气可形成爆炸性混合物</w:t>
            </w:r>
          </w:p>
        </w:tc>
        <w:tc>
          <w:tcPr>
            <w:tcW w:w="1380" w:type="dxa"/>
            <w:tcBorders>
              <w:tl2br w:val="nil"/>
              <w:tr2bl w:val="nil"/>
            </w:tcBorders>
            <w:vAlign w:val="center"/>
          </w:tcPr>
          <w:p w14:paraId="59F03699">
            <w:pPr>
              <w:adjustRightInd w:val="0"/>
              <w:snapToGrid w:val="0"/>
              <w:spacing w:line="320" w:lineRule="exact"/>
              <w:jc w:val="center"/>
              <w:rPr>
                <w:rFonts w:eastAsia="仿宋_GB2312"/>
                <w:color w:val="auto"/>
                <w:szCs w:val="21"/>
              </w:rPr>
            </w:pPr>
            <w:r>
              <w:rPr>
                <w:rFonts w:eastAsia="仿宋_GB2312"/>
                <w:color w:val="auto"/>
                <w:szCs w:val="21"/>
              </w:rPr>
              <w:t>/</w:t>
            </w:r>
          </w:p>
        </w:tc>
      </w:tr>
      <w:tr w14:paraId="73F548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670" w:type="dxa"/>
            <w:tcBorders>
              <w:tl2br w:val="nil"/>
              <w:tr2bl w:val="nil"/>
            </w:tcBorders>
            <w:vAlign w:val="center"/>
          </w:tcPr>
          <w:p w14:paraId="07F05CF6">
            <w:pPr>
              <w:adjustRightInd w:val="0"/>
              <w:snapToGrid w:val="0"/>
              <w:spacing w:line="320" w:lineRule="exact"/>
              <w:jc w:val="center"/>
              <w:rPr>
                <w:rFonts w:eastAsia="仿宋_GB2312"/>
                <w:color w:val="auto"/>
                <w:szCs w:val="21"/>
              </w:rPr>
            </w:pPr>
            <w:r>
              <w:rPr>
                <w:rFonts w:eastAsia="仿宋_GB2312"/>
                <w:color w:val="auto"/>
                <w:szCs w:val="21"/>
              </w:rPr>
              <w:t>醋酸</w:t>
            </w:r>
          </w:p>
        </w:tc>
        <w:tc>
          <w:tcPr>
            <w:tcW w:w="816" w:type="dxa"/>
            <w:tcBorders>
              <w:tl2br w:val="nil"/>
              <w:tr2bl w:val="nil"/>
            </w:tcBorders>
            <w:vAlign w:val="center"/>
          </w:tcPr>
          <w:p w14:paraId="2B2AECF6">
            <w:pPr>
              <w:adjustRightInd w:val="0"/>
              <w:snapToGrid w:val="0"/>
              <w:spacing w:line="320" w:lineRule="exact"/>
              <w:jc w:val="center"/>
              <w:rPr>
                <w:rFonts w:eastAsia="仿宋_GB2312"/>
                <w:color w:val="auto"/>
                <w:szCs w:val="21"/>
              </w:rPr>
            </w:pPr>
            <w:r>
              <w:rPr>
                <w:rFonts w:eastAsia="仿宋_GB2312"/>
                <w:color w:val="auto"/>
                <w:szCs w:val="21"/>
              </w:rPr>
              <w:t>低毒</w:t>
            </w:r>
          </w:p>
        </w:tc>
        <w:tc>
          <w:tcPr>
            <w:tcW w:w="876" w:type="dxa"/>
            <w:tcBorders>
              <w:tl2br w:val="nil"/>
              <w:tr2bl w:val="nil"/>
            </w:tcBorders>
            <w:vAlign w:val="center"/>
          </w:tcPr>
          <w:p w14:paraId="28D1578F">
            <w:pPr>
              <w:adjustRightInd w:val="0"/>
              <w:snapToGrid w:val="0"/>
              <w:spacing w:line="320" w:lineRule="exact"/>
              <w:jc w:val="center"/>
              <w:rPr>
                <w:rFonts w:eastAsia="仿宋_GB2312"/>
                <w:color w:val="auto"/>
                <w:szCs w:val="21"/>
              </w:rPr>
            </w:pPr>
            <w:r>
              <w:rPr>
                <w:rFonts w:eastAsia="仿宋_GB2312"/>
                <w:color w:val="auto"/>
                <w:szCs w:val="21"/>
              </w:rPr>
              <w:t>易燃</w:t>
            </w:r>
          </w:p>
        </w:tc>
        <w:tc>
          <w:tcPr>
            <w:tcW w:w="4104" w:type="dxa"/>
            <w:tcBorders>
              <w:tl2br w:val="nil"/>
              <w:tr2bl w:val="nil"/>
            </w:tcBorders>
            <w:vAlign w:val="center"/>
          </w:tcPr>
          <w:p w14:paraId="0218D9A7">
            <w:pPr>
              <w:adjustRightInd w:val="0"/>
              <w:snapToGrid w:val="0"/>
              <w:spacing w:line="320" w:lineRule="exact"/>
              <w:jc w:val="center"/>
              <w:rPr>
                <w:rFonts w:eastAsia="仿宋_GB2312"/>
                <w:color w:val="auto"/>
                <w:szCs w:val="21"/>
              </w:rPr>
            </w:pPr>
            <w:r>
              <w:rPr>
                <w:rFonts w:eastAsia="仿宋_GB2312"/>
                <w:color w:val="auto"/>
                <w:szCs w:val="21"/>
              </w:rPr>
              <w:t>其蒸气与空气可形成爆炸性混合物</w:t>
            </w:r>
          </w:p>
        </w:tc>
        <w:tc>
          <w:tcPr>
            <w:tcW w:w="1380" w:type="dxa"/>
            <w:tcBorders>
              <w:tl2br w:val="nil"/>
              <w:tr2bl w:val="nil"/>
            </w:tcBorders>
            <w:vAlign w:val="center"/>
          </w:tcPr>
          <w:p w14:paraId="0E6280D6">
            <w:pPr>
              <w:adjustRightInd w:val="0"/>
              <w:snapToGrid w:val="0"/>
              <w:spacing w:line="320" w:lineRule="exact"/>
              <w:jc w:val="center"/>
              <w:rPr>
                <w:rFonts w:eastAsia="仿宋_GB2312"/>
                <w:color w:val="auto"/>
                <w:szCs w:val="21"/>
              </w:rPr>
            </w:pPr>
            <w:r>
              <w:rPr>
                <w:rFonts w:eastAsia="仿宋_GB2312"/>
                <w:color w:val="auto"/>
                <w:szCs w:val="21"/>
              </w:rPr>
              <w:t>酸性腐蚀品</w:t>
            </w:r>
          </w:p>
        </w:tc>
      </w:tr>
      <w:tr w14:paraId="4A4365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670" w:type="dxa"/>
            <w:tcBorders>
              <w:tl2br w:val="nil"/>
              <w:tr2bl w:val="nil"/>
            </w:tcBorders>
            <w:vAlign w:val="center"/>
          </w:tcPr>
          <w:p w14:paraId="23F757D0">
            <w:pPr>
              <w:adjustRightInd w:val="0"/>
              <w:snapToGrid w:val="0"/>
              <w:spacing w:line="320" w:lineRule="exact"/>
              <w:jc w:val="center"/>
              <w:rPr>
                <w:rFonts w:eastAsia="仿宋_GB2312"/>
                <w:color w:val="auto"/>
                <w:szCs w:val="21"/>
              </w:rPr>
            </w:pPr>
            <w:r>
              <w:rPr>
                <w:rFonts w:eastAsia="仿宋_GB2312"/>
                <w:color w:val="auto"/>
                <w:szCs w:val="21"/>
              </w:rPr>
              <w:t>乙腈</w:t>
            </w:r>
          </w:p>
        </w:tc>
        <w:tc>
          <w:tcPr>
            <w:tcW w:w="816" w:type="dxa"/>
            <w:tcBorders>
              <w:tl2br w:val="nil"/>
              <w:tr2bl w:val="nil"/>
            </w:tcBorders>
            <w:vAlign w:val="center"/>
          </w:tcPr>
          <w:p w14:paraId="62F090F7">
            <w:pPr>
              <w:adjustRightInd w:val="0"/>
              <w:snapToGrid w:val="0"/>
              <w:spacing w:line="320" w:lineRule="exact"/>
              <w:jc w:val="center"/>
              <w:rPr>
                <w:rFonts w:eastAsia="仿宋_GB2312"/>
                <w:color w:val="auto"/>
                <w:szCs w:val="21"/>
              </w:rPr>
            </w:pPr>
            <w:r>
              <w:rPr>
                <w:rFonts w:eastAsia="仿宋_GB2312"/>
                <w:color w:val="auto"/>
                <w:szCs w:val="21"/>
              </w:rPr>
              <w:t>中毒</w:t>
            </w:r>
          </w:p>
        </w:tc>
        <w:tc>
          <w:tcPr>
            <w:tcW w:w="876" w:type="dxa"/>
            <w:tcBorders>
              <w:tl2br w:val="nil"/>
              <w:tr2bl w:val="nil"/>
            </w:tcBorders>
            <w:vAlign w:val="center"/>
          </w:tcPr>
          <w:p w14:paraId="41F63BBB">
            <w:pPr>
              <w:adjustRightInd w:val="0"/>
              <w:snapToGrid w:val="0"/>
              <w:spacing w:line="320" w:lineRule="exact"/>
              <w:jc w:val="center"/>
              <w:rPr>
                <w:rFonts w:eastAsia="仿宋_GB2312"/>
                <w:color w:val="auto"/>
                <w:szCs w:val="21"/>
              </w:rPr>
            </w:pPr>
            <w:r>
              <w:rPr>
                <w:rFonts w:eastAsia="仿宋_GB2312"/>
                <w:color w:val="auto"/>
                <w:szCs w:val="21"/>
              </w:rPr>
              <w:t>易燃</w:t>
            </w:r>
          </w:p>
        </w:tc>
        <w:tc>
          <w:tcPr>
            <w:tcW w:w="4104" w:type="dxa"/>
            <w:tcBorders>
              <w:tl2br w:val="nil"/>
              <w:tr2bl w:val="nil"/>
            </w:tcBorders>
            <w:vAlign w:val="center"/>
          </w:tcPr>
          <w:p w14:paraId="1E5E5345">
            <w:pPr>
              <w:adjustRightInd w:val="0"/>
              <w:snapToGrid w:val="0"/>
              <w:spacing w:line="320" w:lineRule="exact"/>
              <w:jc w:val="center"/>
              <w:rPr>
                <w:rFonts w:eastAsia="仿宋_GB2312"/>
                <w:color w:val="auto"/>
                <w:szCs w:val="21"/>
              </w:rPr>
            </w:pPr>
            <w:r>
              <w:rPr>
                <w:rFonts w:eastAsia="仿宋_GB2312"/>
                <w:color w:val="auto"/>
                <w:szCs w:val="21"/>
              </w:rPr>
              <w:t>其蒸汽与空气可形成爆炸性混合物</w:t>
            </w:r>
          </w:p>
        </w:tc>
        <w:tc>
          <w:tcPr>
            <w:tcW w:w="1380" w:type="dxa"/>
            <w:tcBorders>
              <w:tl2br w:val="nil"/>
              <w:tr2bl w:val="nil"/>
            </w:tcBorders>
            <w:vAlign w:val="center"/>
          </w:tcPr>
          <w:p w14:paraId="23AD4BD8">
            <w:pPr>
              <w:adjustRightInd w:val="0"/>
              <w:snapToGrid w:val="0"/>
              <w:spacing w:line="320" w:lineRule="exact"/>
              <w:jc w:val="center"/>
              <w:rPr>
                <w:rFonts w:eastAsia="仿宋_GB2312"/>
                <w:color w:val="auto"/>
                <w:szCs w:val="21"/>
              </w:rPr>
            </w:pPr>
            <w:r>
              <w:rPr>
                <w:rFonts w:eastAsia="仿宋_GB2312"/>
                <w:color w:val="auto"/>
                <w:szCs w:val="21"/>
              </w:rPr>
              <w:t>/</w:t>
            </w:r>
          </w:p>
        </w:tc>
      </w:tr>
      <w:tr w14:paraId="2C6D3A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670" w:type="dxa"/>
            <w:tcBorders>
              <w:tl2br w:val="nil"/>
              <w:tr2bl w:val="nil"/>
            </w:tcBorders>
            <w:vAlign w:val="center"/>
          </w:tcPr>
          <w:p w14:paraId="16A441A3">
            <w:pPr>
              <w:adjustRightInd w:val="0"/>
              <w:snapToGrid w:val="0"/>
              <w:spacing w:line="320" w:lineRule="exact"/>
              <w:jc w:val="center"/>
              <w:rPr>
                <w:rFonts w:eastAsia="仿宋_GB2312"/>
                <w:color w:val="auto"/>
                <w:szCs w:val="21"/>
              </w:rPr>
            </w:pPr>
            <w:r>
              <w:rPr>
                <w:rFonts w:eastAsia="仿宋_GB2312"/>
                <w:color w:val="auto"/>
                <w:szCs w:val="21"/>
              </w:rPr>
              <w:t>氢氧化钠</w:t>
            </w:r>
          </w:p>
        </w:tc>
        <w:tc>
          <w:tcPr>
            <w:tcW w:w="816" w:type="dxa"/>
            <w:tcBorders>
              <w:tl2br w:val="nil"/>
              <w:tr2bl w:val="nil"/>
            </w:tcBorders>
            <w:vAlign w:val="center"/>
          </w:tcPr>
          <w:p w14:paraId="3676C27D">
            <w:pPr>
              <w:adjustRightInd w:val="0"/>
              <w:snapToGrid w:val="0"/>
              <w:spacing w:line="320" w:lineRule="exact"/>
              <w:jc w:val="center"/>
              <w:rPr>
                <w:rFonts w:eastAsia="仿宋_GB2312"/>
                <w:color w:val="auto"/>
                <w:szCs w:val="21"/>
              </w:rPr>
            </w:pPr>
            <w:r>
              <w:rPr>
                <w:rFonts w:eastAsia="仿宋_GB2312"/>
                <w:color w:val="auto"/>
                <w:szCs w:val="21"/>
              </w:rPr>
              <w:t>/</w:t>
            </w:r>
          </w:p>
        </w:tc>
        <w:tc>
          <w:tcPr>
            <w:tcW w:w="876" w:type="dxa"/>
            <w:tcBorders>
              <w:tl2br w:val="nil"/>
              <w:tr2bl w:val="nil"/>
            </w:tcBorders>
            <w:vAlign w:val="center"/>
          </w:tcPr>
          <w:p w14:paraId="050FF8B3">
            <w:pPr>
              <w:adjustRightInd w:val="0"/>
              <w:snapToGrid w:val="0"/>
              <w:spacing w:line="320" w:lineRule="exact"/>
              <w:jc w:val="center"/>
              <w:rPr>
                <w:rFonts w:eastAsia="仿宋_GB2312"/>
                <w:color w:val="auto"/>
                <w:szCs w:val="21"/>
              </w:rPr>
            </w:pPr>
            <w:r>
              <w:rPr>
                <w:rFonts w:eastAsia="仿宋_GB2312"/>
                <w:color w:val="auto"/>
                <w:szCs w:val="21"/>
              </w:rPr>
              <w:t>/</w:t>
            </w:r>
          </w:p>
        </w:tc>
        <w:tc>
          <w:tcPr>
            <w:tcW w:w="4104" w:type="dxa"/>
            <w:tcBorders>
              <w:tl2br w:val="nil"/>
              <w:tr2bl w:val="nil"/>
            </w:tcBorders>
            <w:vAlign w:val="center"/>
          </w:tcPr>
          <w:p w14:paraId="50C4A2D9">
            <w:pPr>
              <w:adjustRightInd w:val="0"/>
              <w:snapToGrid w:val="0"/>
              <w:spacing w:line="320" w:lineRule="exact"/>
              <w:jc w:val="center"/>
              <w:rPr>
                <w:rFonts w:eastAsia="仿宋_GB2312"/>
                <w:color w:val="auto"/>
                <w:szCs w:val="21"/>
              </w:rPr>
            </w:pPr>
            <w:r>
              <w:rPr>
                <w:rFonts w:eastAsia="仿宋_GB2312"/>
                <w:color w:val="auto"/>
                <w:szCs w:val="21"/>
              </w:rPr>
              <w:t>/</w:t>
            </w:r>
          </w:p>
        </w:tc>
        <w:tc>
          <w:tcPr>
            <w:tcW w:w="1380" w:type="dxa"/>
            <w:tcBorders>
              <w:tl2br w:val="nil"/>
              <w:tr2bl w:val="nil"/>
            </w:tcBorders>
            <w:vAlign w:val="center"/>
          </w:tcPr>
          <w:p w14:paraId="22A84509">
            <w:pPr>
              <w:adjustRightInd w:val="0"/>
              <w:snapToGrid w:val="0"/>
              <w:spacing w:line="320" w:lineRule="exact"/>
              <w:jc w:val="center"/>
              <w:rPr>
                <w:rFonts w:eastAsia="仿宋_GB2312"/>
                <w:color w:val="auto"/>
                <w:szCs w:val="21"/>
              </w:rPr>
            </w:pPr>
            <w:r>
              <w:rPr>
                <w:rFonts w:eastAsia="仿宋_GB2312"/>
                <w:color w:val="auto"/>
                <w:szCs w:val="21"/>
              </w:rPr>
              <w:t>碱性腐蚀品</w:t>
            </w:r>
          </w:p>
        </w:tc>
      </w:tr>
      <w:tr w14:paraId="61A0AC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670" w:type="dxa"/>
            <w:tcBorders>
              <w:tl2br w:val="nil"/>
              <w:tr2bl w:val="nil"/>
            </w:tcBorders>
            <w:vAlign w:val="center"/>
          </w:tcPr>
          <w:p w14:paraId="757647E1">
            <w:pPr>
              <w:adjustRightInd w:val="0"/>
              <w:snapToGrid w:val="0"/>
              <w:spacing w:line="320" w:lineRule="exact"/>
              <w:jc w:val="center"/>
              <w:rPr>
                <w:rFonts w:eastAsia="仿宋_GB2312"/>
                <w:color w:val="auto"/>
                <w:szCs w:val="21"/>
              </w:rPr>
            </w:pPr>
            <w:r>
              <w:rPr>
                <w:rFonts w:eastAsia="仿宋_GB2312"/>
                <w:color w:val="auto"/>
                <w:szCs w:val="21"/>
              </w:rPr>
              <w:t>聚乙二醇</w:t>
            </w:r>
          </w:p>
        </w:tc>
        <w:tc>
          <w:tcPr>
            <w:tcW w:w="816" w:type="dxa"/>
            <w:tcBorders>
              <w:tl2br w:val="nil"/>
              <w:tr2bl w:val="nil"/>
            </w:tcBorders>
            <w:vAlign w:val="center"/>
          </w:tcPr>
          <w:p w14:paraId="55B0686A">
            <w:pPr>
              <w:adjustRightInd w:val="0"/>
              <w:snapToGrid w:val="0"/>
              <w:spacing w:line="320" w:lineRule="exact"/>
              <w:jc w:val="center"/>
              <w:rPr>
                <w:rFonts w:eastAsia="仿宋_GB2312"/>
                <w:color w:val="auto"/>
                <w:szCs w:val="21"/>
              </w:rPr>
            </w:pPr>
            <w:r>
              <w:rPr>
                <w:rFonts w:eastAsia="仿宋_GB2312"/>
                <w:color w:val="auto"/>
                <w:szCs w:val="21"/>
              </w:rPr>
              <w:t>低毒</w:t>
            </w:r>
          </w:p>
        </w:tc>
        <w:tc>
          <w:tcPr>
            <w:tcW w:w="876" w:type="dxa"/>
            <w:tcBorders>
              <w:tl2br w:val="nil"/>
              <w:tr2bl w:val="nil"/>
            </w:tcBorders>
            <w:vAlign w:val="center"/>
          </w:tcPr>
          <w:p w14:paraId="6BA29714">
            <w:pPr>
              <w:adjustRightInd w:val="0"/>
              <w:snapToGrid w:val="0"/>
              <w:spacing w:line="320" w:lineRule="exact"/>
              <w:jc w:val="center"/>
              <w:rPr>
                <w:rFonts w:eastAsia="仿宋_GB2312"/>
                <w:color w:val="auto"/>
                <w:szCs w:val="21"/>
              </w:rPr>
            </w:pPr>
            <w:r>
              <w:rPr>
                <w:rFonts w:eastAsia="仿宋_GB2312"/>
                <w:color w:val="auto"/>
                <w:szCs w:val="21"/>
              </w:rPr>
              <w:t>可燃</w:t>
            </w:r>
          </w:p>
        </w:tc>
        <w:tc>
          <w:tcPr>
            <w:tcW w:w="4104" w:type="dxa"/>
            <w:tcBorders>
              <w:tl2br w:val="nil"/>
              <w:tr2bl w:val="nil"/>
            </w:tcBorders>
            <w:vAlign w:val="center"/>
          </w:tcPr>
          <w:p w14:paraId="578ABBAC">
            <w:pPr>
              <w:adjustRightInd w:val="0"/>
              <w:snapToGrid w:val="0"/>
              <w:spacing w:line="320" w:lineRule="exact"/>
              <w:jc w:val="center"/>
              <w:rPr>
                <w:rFonts w:eastAsia="仿宋_GB2312"/>
                <w:color w:val="auto"/>
                <w:szCs w:val="21"/>
              </w:rPr>
            </w:pPr>
            <w:r>
              <w:rPr>
                <w:rFonts w:eastAsia="仿宋_GB2312"/>
                <w:color w:val="auto"/>
                <w:szCs w:val="21"/>
              </w:rPr>
              <w:t>其粉体与空气可形成爆炸性混合物</w:t>
            </w:r>
          </w:p>
        </w:tc>
        <w:tc>
          <w:tcPr>
            <w:tcW w:w="1380" w:type="dxa"/>
            <w:tcBorders>
              <w:tl2br w:val="nil"/>
              <w:tr2bl w:val="nil"/>
            </w:tcBorders>
            <w:vAlign w:val="center"/>
          </w:tcPr>
          <w:p w14:paraId="004E946C">
            <w:pPr>
              <w:adjustRightInd w:val="0"/>
              <w:snapToGrid w:val="0"/>
              <w:spacing w:line="320" w:lineRule="exact"/>
              <w:jc w:val="center"/>
              <w:rPr>
                <w:rFonts w:eastAsia="仿宋_GB2312"/>
                <w:color w:val="auto"/>
                <w:szCs w:val="21"/>
              </w:rPr>
            </w:pPr>
            <w:r>
              <w:rPr>
                <w:rFonts w:eastAsia="仿宋_GB2312"/>
                <w:color w:val="auto"/>
                <w:szCs w:val="21"/>
              </w:rPr>
              <w:t>/</w:t>
            </w:r>
          </w:p>
        </w:tc>
      </w:tr>
      <w:tr w14:paraId="7BE801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670" w:type="dxa"/>
            <w:tcBorders>
              <w:tl2br w:val="nil"/>
              <w:tr2bl w:val="nil"/>
            </w:tcBorders>
            <w:vAlign w:val="center"/>
          </w:tcPr>
          <w:p w14:paraId="6BF47C9B">
            <w:pPr>
              <w:adjustRightInd w:val="0"/>
              <w:snapToGrid w:val="0"/>
              <w:spacing w:line="320" w:lineRule="exact"/>
              <w:jc w:val="center"/>
              <w:rPr>
                <w:rFonts w:eastAsia="仿宋_GB2312"/>
                <w:color w:val="auto"/>
                <w:szCs w:val="21"/>
              </w:rPr>
            </w:pPr>
            <w:r>
              <w:rPr>
                <w:rFonts w:eastAsia="仿宋_GB2312"/>
                <w:color w:val="auto"/>
                <w:szCs w:val="21"/>
              </w:rPr>
              <w:t>乙二醇</w:t>
            </w:r>
          </w:p>
        </w:tc>
        <w:tc>
          <w:tcPr>
            <w:tcW w:w="816" w:type="dxa"/>
            <w:tcBorders>
              <w:tl2br w:val="nil"/>
              <w:tr2bl w:val="nil"/>
            </w:tcBorders>
            <w:vAlign w:val="center"/>
          </w:tcPr>
          <w:p w14:paraId="1D5D3C66">
            <w:pPr>
              <w:adjustRightInd w:val="0"/>
              <w:snapToGrid w:val="0"/>
              <w:spacing w:line="320" w:lineRule="exact"/>
              <w:jc w:val="center"/>
              <w:rPr>
                <w:rFonts w:eastAsia="仿宋_GB2312"/>
                <w:color w:val="auto"/>
                <w:szCs w:val="21"/>
              </w:rPr>
            </w:pPr>
            <w:r>
              <w:rPr>
                <w:rFonts w:eastAsia="仿宋_GB2312"/>
                <w:color w:val="auto"/>
                <w:szCs w:val="21"/>
              </w:rPr>
              <w:t>低毒</w:t>
            </w:r>
          </w:p>
        </w:tc>
        <w:tc>
          <w:tcPr>
            <w:tcW w:w="876" w:type="dxa"/>
            <w:tcBorders>
              <w:tl2br w:val="nil"/>
              <w:tr2bl w:val="nil"/>
            </w:tcBorders>
            <w:vAlign w:val="center"/>
          </w:tcPr>
          <w:p w14:paraId="1CE2D2B9">
            <w:pPr>
              <w:adjustRightInd w:val="0"/>
              <w:snapToGrid w:val="0"/>
              <w:spacing w:line="320" w:lineRule="exact"/>
              <w:jc w:val="center"/>
              <w:rPr>
                <w:rFonts w:eastAsia="仿宋_GB2312"/>
                <w:color w:val="auto"/>
                <w:szCs w:val="21"/>
              </w:rPr>
            </w:pPr>
            <w:r>
              <w:rPr>
                <w:rFonts w:eastAsia="仿宋_GB2312"/>
                <w:color w:val="auto"/>
                <w:szCs w:val="21"/>
              </w:rPr>
              <w:t>可燃</w:t>
            </w:r>
          </w:p>
        </w:tc>
        <w:tc>
          <w:tcPr>
            <w:tcW w:w="4104" w:type="dxa"/>
            <w:tcBorders>
              <w:tl2br w:val="nil"/>
              <w:tr2bl w:val="nil"/>
            </w:tcBorders>
            <w:vAlign w:val="center"/>
          </w:tcPr>
          <w:p w14:paraId="44BAC97D">
            <w:pPr>
              <w:adjustRightInd w:val="0"/>
              <w:snapToGrid w:val="0"/>
              <w:spacing w:line="320" w:lineRule="exact"/>
              <w:jc w:val="center"/>
              <w:rPr>
                <w:rFonts w:eastAsia="仿宋_GB2312"/>
                <w:color w:val="auto"/>
                <w:szCs w:val="21"/>
              </w:rPr>
            </w:pPr>
            <w:r>
              <w:rPr>
                <w:rFonts w:eastAsia="仿宋_GB2312"/>
                <w:color w:val="auto"/>
                <w:szCs w:val="21"/>
              </w:rPr>
              <w:t>遇明火、高热或氧化剂接触，有引起燃烧爆炸的危险</w:t>
            </w:r>
          </w:p>
        </w:tc>
        <w:tc>
          <w:tcPr>
            <w:tcW w:w="1380" w:type="dxa"/>
            <w:tcBorders>
              <w:tl2br w:val="nil"/>
              <w:tr2bl w:val="nil"/>
            </w:tcBorders>
            <w:vAlign w:val="center"/>
          </w:tcPr>
          <w:p w14:paraId="4CD0A8C9">
            <w:pPr>
              <w:adjustRightInd w:val="0"/>
              <w:snapToGrid w:val="0"/>
              <w:spacing w:line="320" w:lineRule="exact"/>
              <w:jc w:val="center"/>
              <w:rPr>
                <w:rFonts w:eastAsia="仿宋_GB2312"/>
                <w:color w:val="auto"/>
                <w:szCs w:val="21"/>
              </w:rPr>
            </w:pPr>
            <w:r>
              <w:rPr>
                <w:rFonts w:eastAsia="仿宋_GB2312"/>
                <w:color w:val="auto"/>
                <w:szCs w:val="21"/>
              </w:rPr>
              <w:t>/</w:t>
            </w:r>
          </w:p>
        </w:tc>
      </w:tr>
      <w:tr w14:paraId="2BB54A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670" w:type="dxa"/>
            <w:tcBorders>
              <w:tl2br w:val="nil"/>
              <w:tr2bl w:val="nil"/>
            </w:tcBorders>
            <w:vAlign w:val="center"/>
          </w:tcPr>
          <w:p w14:paraId="0E9B27EA">
            <w:pPr>
              <w:adjustRightInd w:val="0"/>
              <w:snapToGrid w:val="0"/>
              <w:spacing w:line="320" w:lineRule="exact"/>
              <w:jc w:val="center"/>
              <w:rPr>
                <w:rFonts w:eastAsia="仿宋_GB2312"/>
                <w:color w:val="auto"/>
                <w:szCs w:val="21"/>
              </w:rPr>
            </w:pPr>
            <w:r>
              <w:rPr>
                <w:rFonts w:eastAsia="仿宋_GB2312"/>
                <w:color w:val="auto"/>
                <w:szCs w:val="21"/>
              </w:rPr>
              <w:t>丙二醇</w:t>
            </w:r>
          </w:p>
        </w:tc>
        <w:tc>
          <w:tcPr>
            <w:tcW w:w="816" w:type="dxa"/>
            <w:tcBorders>
              <w:tl2br w:val="nil"/>
              <w:tr2bl w:val="nil"/>
            </w:tcBorders>
            <w:vAlign w:val="center"/>
          </w:tcPr>
          <w:p w14:paraId="71570642">
            <w:pPr>
              <w:adjustRightInd w:val="0"/>
              <w:snapToGrid w:val="0"/>
              <w:spacing w:line="320" w:lineRule="exact"/>
              <w:jc w:val="center"/>
              <w:rPr>
                <w:rFonts w:eastAsia="仿宋_GB2312"/>
                <w:color w:val="auto"/>
                <w:szCs w:val="21"/>
              </w:rPr>
            </w:pPr>
            <w:r>
              <w:rPr>
                <w:rFonts w:eastAsia="仿宋_GB2312"/>
                <w:color w:val="auto"/>
                <w:szCs w:val="21"/>
              </w:rPr>
              <w:t>低毒</w:t>
            </w:r>
          </w:p>
        </w:tc>
        <w:tc>
          <w:tcPr>
            <w:tcW w:w="876" w:type="dxa"/>
            <w:tcBorders>
              <w:tl2br w:val="nil"/>
              <w:tr2bl w:val="nil"/>
            </w:tcBorders>
            <w:vAlign w:val="center"/>
          </w:tcPr>
          <w:p w14:paraId="32981268">
            <w:pPr>
              <w:adjustRightInd w:val="0"/>
              <w:snapToGrid w:val="0"/>
              <w:spacing w:line="320" w:lineRule="exact"/>
              <w:jc w:val="center"/>
              <w:rPr>
                <w:rFonts w:eastAsia="仿宋_GB2312"/>
                <w:color w:val="auto"/>
                <w:szCs w:val="21"/>
              </w:rPr>
            </w:pPr>
            <w:r>
              <w:rPr>
                <w:rFonts w:eastAsia="仿宋_GB2312"/>
                <w:color w:val="auto"/>
                <w:szCs w:val="21"/>
              </w:rPr>
              <w:t>/</w:t>
            </w:r>
          </w:p>
        </w:tc>
        <w:tc>
          <w:tcPr>
            <w:tcW w:w="4104" w:type="dxa"/>
            <w:tcBorders>
              <w:tl2br w:val="nil"/>
              <w:tr2bl w:val="nil"/>
            </w:tcBorders>
            <w:vAlign w:val="center"/>
          </w:tcPr>
          <w:p w14:paraId="0F06E026">
            <w:pPr>
              <w:adjustRightInd w:val="0"/>
              <w:snapToGrid w:val="0"/>
              <w:spacing w:line="320" w:lineRule="exact"/>
              <w:jc w:val="center"/>
              <w:rPr>
                <w:rFonts w:eastAsia="仿宋_GB2312"/>
                <w:color w:val="auto"/>
                <w:szCs w:val="21"/>
              </w:rPr>
            </w:pPr>
            <w:r>
              <w:rPr>
                <w:rFonts w:eastAsia="仿宋_GB2312"/>
                <w:color w:val="auto"/>
                <w:szCs w:val="21"/>
              </w:rPr>
              <w:t>其蒸气与空气可形成爆炸性混合物</w:t>
            </w:r>
          </w:p>
        </w:tc>
        <w:tc>
          <w:tcPr>
            <w:tcW w:w="1380" w:type="dxa"/>
            <w:tcBorders>
              <w:tl2br w:val="nil"/>
              <w:tr2bl w:val="nil"/>
            </w:tcBorders>
            <w:vAlign w:val="center"/>
          </w:tcPr>
          <w:p w14:paraId="15D1C668">
            <w:pPr>
              <w:adjustRightInd w:val="0"/>
              <w:snapToGrid w:val="0"/>
              <w:spacing w:line="320" w:lineRule="exact"/>
              <w:jc w:val="center"/>
              <w:rPr>
                <w:rFonts w:eastAsia="仿宋_GB2312"/>
                <w:color w:val="auto"/>
                <w:szCs w:val="21"/>
              </w:rPr>
            </w:pPr>
            <w:r>
              <w:rPr>
                <w:rFonts w:eastAsia="仿宋_GB2312"/>
                <w:color w:val="auto"/>
                <w:szCs w:val="21"/>
              </w:rPr>
              <w:t>/</w:t>
            </w:r>
          </w:p>
        </w:tc>
      </w:tr>
      <w:tr w14:paraId="71F1B6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670" w:type="dxa"/>
            <w:tcBorders>
              <w:tl2br w:val="nil"/>
              <w:tr2bl w:val="nil"/>
            </w:tcBorders>
            <w:vAlign w:val="center"/>
          </w:tcPr>
          <w:p w14:paraId="6506CEC3">
            <w:pPr>
              <w:adjustRightInd w:val="0"/>
              <w:snapToGrid w:val="0"/>
              <w:spacing w:line="320" w:lineRule="exact"/>
              <w:jc w:val="center"/>
              <w:rPr>
                <w:rFonts w:eastAsia="仿宋_GB2312"/>
                <w:color w:val="auto"/>
                <w:szCs w:val="21"/>
              </w:rPr>
            </w:pPr>
            <w:r>
              <w:rPr>
                <w:rFonts w:eastAsia="仿宋_GB2312"/>
                <w:color w:val="auto"/>
                <w:szCs w:val="21"/>
              </w:rPr>
              <w:t>二乙二醇</w:t>
            </w:r>
          </w:p>
        </w:tc>
        <w:tc>
          <w:tcPr>
            <w:tcW w:w="816" w:type="dxa"/>
            <w:tcBorders>
              <w:tl2br w:val="nil"/>
              <w:tr2bl w:val="nil"/>
            </w:tcBorders>
            <w:vAlign w:val="center"/>
          </w:tcPr>
          <w:p w14:paraId="5137090C">
            <w:pPr>
              <w:adjustRightInd w:val="0"/>
              <w:snapToGrid w:val="0"/>
              <w:spacing w:line="320" w:lineRule="exact"/>
              <w:jc w:val="center"/>
              <w:rPr>
                <w:rFonts w:eastAsia="仿宋_GB2312"/>
                <w:color w:val="auto"/>
                <w:szCs w:val="21"/>
              </w:rPr>
            </w:pPr>
            <w:r>
              <w:rPr>
                <w:rFonts w:eastAsia="仿宋_GB2312"/>
                <w:color w:val="auto"/>
                <w:szCs w:val="21"/>
              </w:rPr>
              <w:t>低毒</w:t>
            </w:r>
          </w:p>
        </w:tc>
        <w:tc>
          <w:tcPr>
            <w:tcW w:w="876" w:type="dxa"/>
            <w:tcBorders>
              <w:tl2br w:val="nil"/>
              <w:tr2bl w:val="nil"/>
            </w:tcBorders>
            <w:vAlign w:val="center"/>
          </w:tcPr>
          <w:p w14:paraId="4762F504">
            <w:pPr>
              <w:adjustRightInd w:val="0"/>
              <w:snapToGrid w:val="0"/>
              <w:spacing w:line="320" w:lineRule="exact"/>
              <w:jc w:val="center"/>
              <w:rPr>
                <w:rFonts w:eastAsia="仿宋_GB2312"/>
                <w:color w:val="auto"/>
                <w:szCs w:val="21"/>
              </w:rPr>
            </w:pPr>
            <w:r>
              <w:rPr>
                <w:rFonts w:eastAsia="仿宋_GB2312"/>
                <w:color w:val="auto"/>
                <w:szCs w:val="21"/>
              </w:rPr>
              <w:t>/</w:t>
            </w:r>
          </w:p>
        </w:tc>
        <w:tc>
          <w:tcPr>
            <w:tcW w:w="4104" w:type="dxa"/>
            <w:tcBorders>
              <w:tl2br w:val="nil"/>
              <w:tr2bl w:val="nil"/>
            </w:tcBorders>
            <w:vAlign w:val="center"/>
          </w:tcPr>
          <w:p w14:paraId="3A5E6442">
            <w:pPr>
              <w:adjustRightInd w:val="0"/>
              <w:snapToGrid w:val="0"/>
              <w:spacing w:line="320" w:lineRule="exact"/>
              <w:jc w:val="center"/>
              <w:rPr>
                <w:rFonts w:eastAsia="仿宋_GB2312"/>
                <w:color w:val="auto"/>
                <w:szCs w:val="21"/>
              </w:rPr>
            </w:pPr>
            <w:r>
              <w:rPr>
                <w:rFonts w:eastAsia="仿宋_GB2312"/>
                <w:color w:val="auto"/>
                <w:szCs w:val="21"/>
              </w:rPr>
              <w:t>遇明火、高热或氧化剂接触，有引起燃烧爆炸的危险</w:t>
            </w:r>
          </w:p>
        </w:tc>
        <w:tc>
          <w:tcPr>
            <w:tcW w:w="1380" w:type="dxa"/>
            <w:tcBorders>
              <w:tl2br w:val="nil"/>
              <w:tr2bl w:val="nil"/>
            </w:tcBorders>
            <w:vAlign w:val="center"/>
          </w:tcPr>
          <w:p w14:paraId="52390E98">
            <w:pPr>
              <w:adjustRightInd w:val="0"/>
              <w:snapToGrid w:val="0"/>
              <w:spacing w:line="320" w:lineRule="exact"/>
              <w:jc w:val="center"/>
              <w:rPr>
                <w:rFonts w:eastAsia="仿宋_GB2312"/>
                <w:color w:val="auto"/>
                <w:szCs w:val="21"/>
              </w:rPr>
            </w:pPr>
            <w:r>
              <w:rPr>
                <w:rFonts w:eastAsia="仿宋_GB2312"/>
                <w:color w:val="auto"/>
                <w:szCs w:val="21"/>
              </w:rPr>
              <w:t>/</w:t>
            </w:r>
          </w:p>
        </w:tc>
      </w:tr>
      <w:tr w14:paraId="64CA99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670" w:type="dxa"/>
            <w:tcBorders>
              <w:tl2br w:val="nil"/>
              <w:tr2bl w:val="nil"/>
            </w:tcBorders>
            <w:vAlign w:val="center"/>
          </w:tcPr>
          <w:p w14:paraId="60E60DAC">
            <w:pPr>
              <w:adjustRightInd w:val="0"/>
              <w:snapToGrid w:val="0"/>
              <w:spacing w:line="320" w:lineRule="exact"/>
              <w:jc w:val="center"/>
              <w:rPr>
                <w:rFonts w:eastAsia="仿宋_GB2312"/>
                <w:color w:val="auto"/>
                <w:szCs w:val="21"/>
              </w:rPr>
            </w:pPr>
            <w:r>
              <w:rPr>
                <w:rFonts w:eastAsia="仿宋_GB2312"/>
                <w:color w:val="auto"/>
                <w:szCs w:val="21"/>
              </w:rPr>
              <w:t>己二酸</w:t>
            </w:r>
          </w:p>
        </w:tc>
        <w:tc>
          <w:tcPr>
            <w:tcW w:w="816" w:type="dxa"/>
            <w:tcBorders>
              <w:tl2br w:val="nil"/>
              <w:tr2bl w:val="nil"/>
            </w:tcBorders>
            <w:vAlign w:val="center"/>
          </w:tcPr>
          <w:p w14:paraId="74A7641C">
            <w:pPr>
              <w:adjustRightInd w:val="0"/>
              <w:snapToGrid w:val="0"/>
              <w:spacing w:line="320" w:lineRule="exact"/>
              <w:jc w:val="center"/>
              <w:rPr>
                <w:rFonts w:eastAsia="仿宋_GB2312"/>
                <w:color w:val="auto"/>
                <w:szCs w:val="21"/>
              </w:rPr>
            </w:pPr>
            <w:r>
              <w:rPr>
                <w:rFonts w:eastAsia="仿宋_GB2312"/>
                <w:color w:val="auto"/>
                <w:szCs w:val="21"/>
              </w:rPr>
              <w:t>低毒</w:t>
            </w:r>
          </w:p>
        </w:tc>
        <w:tc>
          <w:tcPr>
            <w:tcW w:w="876" w:type="dxa"/>
            <w:tcBorders>
              <w:tl2br w:val="nil"/>
              <w:tr2bl w:val="nil"/>
            </w:tcBorders>
            <w:vAlign w:val="center"/>
          </w:tcPr>
          <w:p w14:paraId="54B88433">
            <w:pPr>
              <w:adjustRightInd w:val="0"/>
              <w:snapToGrid w:val="0"/>
              <w:spacing w:line="320" w:lineRule="exact"/>
              <w:jc w:val="center"/>
              <w:rPr>
                <w:rFonts w:eastAsia="仿宋_GB2312"/>
                <w:color w:val="auto"/>
                <w:szCs w:val="21"/>
              </w:rPr>
            </w:pPr>
            <w:r>
              <w:rPr>
                <w:rFonts w:eastAsia="仿宋_GB2312"/>
                <w:color w:val="auto"/>
                <w:szCs w:val="21"/>
              </w:rPr>
              <w:t>/</w:t>
            </w:r>
          </w:p>
        </w:tc>
        <w:tc>
          <w:tcPr>
            <w:tcW w:w="4104" w:type="dxa"/>
            <w:tcBorders>
              <w:tl2br w:val="nil"/>
              <w:tr2bl w:val="nil"/>
            </w:tcBorders>
            <w:vAlign w:val="center"/>
          </w:tcPr>
          <w:p w14:paraId="45B48672">
            <w:pPr>
              <w:adjustRightInd w:val="0"/>
              <w:snapToGrid w:val="0"/>
              <w:spacing w:line="320" w:lineRule="exact"/>
              <w:jc w:val="center"/>
              <w:rPr>
                <w:rFonts w:eastAsia="仿宋_GB2312"/>
                <w:color w:val="auto"/>
                <w:szCs w:val="21"/>
              </w:rPr>
            </w:pPr>
            <w:r>
              <w:rPr>
                <w:rFonts w:eastAsia="仿宋_GB2312"/>
                <w:color w:val="auto"/>
                <w:szCs w:val="21"/>
              </w:rPr>
              <w:t>遇明火、高热或氧化剂接触，有引起燃烧爆炸的危险</w:t>
            </w:r>
          </w:p>
        </w:tc>
        <w:tc>
          <w:tcPr>
            <w:tcW w:w="1380" w:type="dxa"/>
            <w:tcBorders>
              <w:tl2br w:val="nil"/>
              <w:tr2bl w:val="nil"/>
            </w:tcBorders>
            <w:vAlign w:val="center"/>
          </w:tcPr>
          <w:p w14:paraId="3996AF29">
            <w:pPr>
              <w:adjustRightInd w:val="0"/>
              <w:snapToGrid w:val="0"/>
              <w:spacing w:line="320" w:lineRule="exact"/>
              <w:jc w:val="center"/>
              <w:rPr>
                <w:rFonts w:eastAsia="仿宋_GB2312"/>
                <w:color w:val="auto"/>
                <w:szCs w:val="21"/>
              </w:rPr>
            </w:pPr>
            <w:r>
              <w:rPr>
                <w:rFonts w:eastAsia="仿宋_GB2312"/>
                <w:color w:val="auto"/>
                <w:szCs w:val="21"/>
              </w:rPr>
              <w:t>/</w:t>
            </w:r>
          </w:p>
        </w:tc>
      </w:tr>
      <w:tr w14:paraId="2AF493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670" w:type="dxa"/>
            <w:tcBorders>
              <w:tl2br w:val="nil"/>
              <w:tr2bl w:val="nil"/>
            </w:tcBorders>
            <w:vAlign w:val="center"/>
          </w:tcPr>
          <w:p w14:paraId="4B6ADDC7">
            <w:pPr>
              <w:adjustRightInd w:val="0"/>
              <w:snapToGrid w:val="0"/>
              <w:spacing w:line="320" w:lineRule="exact"/>
              <w:jc w:val="center"/>
              <w:rPr>
                <w:rFonts w:eastAsia="仿宋_GB2312"/>
                <w:color w:val="auto"/>
                <w:szCs w:val="21"/>
              </w:rPr>
            </w:pPr>
            <w:r>
              <w:rPr>
                <w:rFonts w:eastAsia="仿宋_GB2312"/>
                <w:color w:val="auto"/>
                <w:szCs w:val="21"/>
              </w:rPr>
              <w:t>苯酐</w:t>
            </w:r>
          </w:p>
        </w:tc>
        <w:tc>
          <w:tcPr>
            <w:tcW w:w="816" w:type="dxa"/>
            <w:tcBorders>
              <w:tl2br w:val="nil"/>
              <w:tr2bl w:val="nil"/>
            </w:tcBorders>
            <w:vAlign w:val="center"/>
          </w:tcPr>
          <w:p w14:paraId="5DCAF654">
            <w:pPr>
              <w:adjustRightInd w:val="0"/>
              <w:snapToGrid w:val="0"/>
              <w:spacing w:line="320" w:lineRule="exact"/>
              <w:jc w:val="center"/>
              <w:rPr>
                <w:rFonts w:eastAsia="仿宋_GB2312"/>
                <w:color w:val="auto"/>
                <w:szCs w:val="21"/>
              </w:rPr>
            </w:pPr>
            <w:r>
              <w:rPr>
                <w:rFonts w:eastAsia="仿宋_GB2312"/>
                <w:color w:val="auto"/>
                <w:szCs w:val="21"/>
              </w:rPr>
              <w:t>低毒</w:t>
            </w:r>
          </w:p>
        </w:tc>
        <w:tc>
          <w:tcPr>
            <w:tcW w:w="876" w:type="dxa"/>
            <w:tcBorders>
              <w:tl2br w:val="nil"/>
              <w:tr2bl w:val="nil"/>
            </w:tcBorders>
            <w:vAlign w:val="center"/>
          </w:tcPr>
          <w:p w14:paraId="4E58E8F4">
            <w:pPr>
              <w:adjustRightInd w:val="0"/>
              <w:snapToGrid w:val="0"/>
              <w:spacing w:line="320" w:lineRule="exact"/>
              <w:jc w:val="center"/>
              <w:rPr>
                <w:rFonts w:eastAsia="仿宋_GB2312"/>
                <w:color w:val="auto"/>
                <w:szCs w:val="21"/>
              </w:rPr>
            </w:pPr>
            <w:r>
              <w:rPr>
                <w:rFonts w:eastAsia="仿宋_GB2312"/>
                <w:color w:val="auto"/>
                <w:szCs w:val="21"/>
              </w:rPr>
              <w:t>/</w:t>
            </w:r>
          </w:p>
        </w:tc>
        <w:tc>
          <w:tcPr>
            <w:tcW w:w="4104" w:type="dxa"/>
            <w:tcBorders>
              <w:tl2br w:val="nil"/>
              <w:tr2bl w:val="nil"/>
            </w:tcBorders>
            <w:vAlign w:val="center"/>
          </w:tcPr>
          <w:p w14:paraId="43EDBCD2">
            <w:pPr>
              <w:adjustRightInd w:val="0"/>
              <w:snapToGrid w:val="0"/>
              <w:spacing w:line="320" w:lineRule="exact"/>
              <w:jc w:val="center"/>
              <w:rPr>
                <w:rFonts w:eastAsia="仿宋_GB2312"/>
                <w:color w:val="auto"/>
                <w:szCs w:val="21"/>
              </w:rPr>
            </w:pPr>
            <w:r>
              <w:rPr>
                <w:rFonts w:eastAsia="仿宋_GB2312"/>
                <w:color w:val="auto"/>
                <w:szCs w:val="21"/>
              </w:rPr>
              <w:t>遇明火、高热或氧化剂接触，有引起燃烧爆炸的危险</w:t>
            </w:r>
          </w:p>
        </w:tc>
        <w:tc>
          <w:tcPr>
            <w:tcW w:w="1380" w:type="dxa"/>
            <w:tcBorders>
              <w:tl2br w:val="nil"/>
              <w:tr2bl w:val="nil"/>
            </w:tcBorders>
            <w:vAlign w:val="center"/>
          </w:tcPr>
          <w:p w14:paraId="12719883">
            <w:pPr>
              <w:adjustRightInd w:val="0"/>
              <w:snapToGrid w:val="0"/>
              <w:spacing w:line="320" w:lineRule="exact"/>
              <w:jc w:val="center"/>
              <w:rPr>
                <w:rFonts w:eastAsia="仿宋_GB2312"/>
                <w:color w:val="auto"/>
                <w:szCs w:val="21"/>
              </w:rPr>
            </w:pPr>
            <w:r>
              <w:rPr>
                <w:rFonts w:eastAsia="仿宋_GB2312"/>
                <w:color w:val="auto"/>
                <w:szCs w:val="21"/>
              </w:rPr>
              <w:t>/</w:t>
            </w:r>
          </w:p>
        </w:tc>
      </w:tr>
      <w:tr w14:paraId="20CF13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670" w:type="dxa"/>
            <w:tcBorders>
              <w:tl2br w:val="nil"/>
              <w:tr2bl w:val="nil"/>
            </w:tcBorders>
            <w:vAlign w:val="center"/>
          </w:tcPr>
          <w:p w14:paraId="52465EF3">
            <w:pPr>
              <w:adjustRightInd w:val="0"/>
              <w:snapToGrid w:val="0"/>
              <w:spacing w:line="320" w:lineRule="exact"/>
              <w:jc w:val="center"/>
              <w:rPr>
                <w:rFonts w:eastAsia="仿宋_GB2312"/>
                <w:color w:val="auto"/>
                <w:szCs w:val="21"/>
              </w:rPr>
            </w:pPr>
            <w:r>
              <w:rPr>
                <w:rFonts w:eastAsia="仿宋_GB2312"/>
                <w:color w:val="auto"/>
                <w:szCs w:val="21"/>
              </w:rPr>
              <w:t>丙三醇</w:t>
            </w:r>
          </w:p>
        </w:tc>
        <w:tc>
          <w:tcPr>
            <w:tcW w:w="816" w:type="dxa"/>
            <w:tcBorders>
              <w:tl2br w:val="nil"/>
              <w:tr2bl w:val="nil"/>
            </w:tcBorders>
            <w:vAlign w:val="center"/>
          </w:tcPr>
          <w:p w14:paraId="70B56279">
            <w:pPr>
              <w:adjustRightInd w:val="0"/>
              <w:snapToGrid w:val="0"/>
              <w:spacing w:line="320" w:lineRule="exact"/>
              <w:jc w:val="center"/>
              <w:rPr>
                <w:rFonts w:eastAsia="仿宋_GB2312"/>
                <w:color w:val="auto"/>
                <w:szCs w:val="21"/>
              </w:rPr>
            </w:pPr>
            <w:r>
              <w:rPr>
                <w:rFonts w:eastAsia="仿宋_GB2312"/>
                <w:color w:val="auto"/>
                <w:szCs w:val="21"/>
              </w:rPr>
              <w:t>低毒</w:t>
            </w:r>
          </w:p>
        </w:tc>
        <w:tc>
          <w:tcPr>
            <w:tcW w:w="876" w:type="dxa"/>
            <w:tcBorders>
              <w:tl2br w:val="nil"/>
              <w:tr2bl w:val="nil"/>
            </w:tcBorders>
            <w:vAlign w:val="center"/>
          </w:tcPr>
          <w:p w14:paraId="798F9FC2">
            <w:pPr>
              <w:adjustRightInd w:val="0"/>
              <w:snapToGrid w:val="0"/>
              <w:spacing w:line="320" w:lineRule="exact"/>
              <w:jc w:val="center"/>
              <w:rPr>
                <w:rFonts w:eastAsia="仿宋_GB2312"/>
                <w:color w:val="auto"/>
                <w:szCs w:val="21"/>
              </w:rPr>
            </w:pPr>
            <w:r>
              <w:rPr>
                <w:rFonts w:eastAsia="仿宋_GB2312"/>
                <w:color w:val="auto"/>
                <w:szCs w:val="21"/>
              </w:rPr>
              <w:t>/</w:t>
            </w:r>
          </w:p>
        </w:tc>
        <w:tc>
          <w:tcPr>
            <w:tcW w:w="4104" w:type="dxa"/>
            <w:tcBorders>
              <w:tl2br w:val="nil"/>
              <w:tr2bl w:val="nil"/>
            </w:tcBorders>
            <w:vAlign w:val="center"/>
          </w:tcPr>
          <w:p w14:paraId="15F0D395">
            <w:pPr>
              <w:adjustRightInd w:val="0"/>
              <w:snapToGrid w:val="0"/>
              <w:spacing w:line="320" w:lineRule="exact"/>
              <w:jc w:val="center"/>
              <w:rPr>
                <w:rFonts w:eastAsia="仿宋_GB2312"/>
                <w:color w:val="auto"/>
                <w:szCs w:val="21"/>
              </w:rPr>
            </w:pPr>
            <w:r>
              <w:rPr>
                <w:rFonts w:eastAsia="仿宋_GB2312"/>
                <w:color w:val="auto"/>
                <w:szCs w:val="21"/>
              </w:rPr>
              <w:t>本品可燃。遇明火、高热可燃</w:t>
            </w:r>
          </w:p>
        </w:tc>
        <w:tc>
          <w:tcPr>
            <w:tcW w:w="1380" w:type="dxa"/>
            <w:tcBorders>
              <w:tl2br w:val="nil"/>
              <w:tr2bl w:val="nil"/>
            </w:tcBorders>
            <w:vAlign w:val="center"/>
          </w:tcPr>
          <w:p w14:paraId="52F1C994">
            <w:pPr>
              <w:adjustRightInd w:val="0"/>
              <w:snapToGrid w:val="0"/>
              <w:spacing w:line="320" w:lineRule="exact"/>
              <w:jc w:val="center"/>
              <w:rPr>
                <w:rFonts w:eastAsia="仿宋_GB2312"/>
                <w:color w:val="auto"/>
                <w:szCs w:val="21"/>
              </w:rPr>
            </w:pPr>
            <w:r>
              <w:rPr>
                <w:rFonts w:eastAsia="仿宋_GB2312"/>
                <w:color w:val="auto"/>
                <w:szCs w:val="21"/>
              </w:rPr>
              <w:t>/</w:t>
            </w:r>
          </w:p>
        </w:tc>
      </w:tr>
      <w:tr w14:paraId="6B3081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670" w:type="dxa"/>
            <w:tcBorders>
              <w:tl2br w:val="nil"/>
              <w:tr2bl w:val="nil"/>
            </w:tcBorders>
            <w:vAlign w:val="center"/>
          </w:tcPr>
          <w:p w14:paraId="4328FC36">
            <w:pPr>
              <w:adjustRightInd w:val="0"/>
              <w:snapToGrid w:val="0"/>
              <w:spacing w:line="320" w:lineRule="exact"/>
              <w:jc w:val="center"/>
              <w:rPr>
                <w:rFonts w:eastAsia="仿宋_GB2312"/>
                <w:color w:val="auto"/>
                <w:szCs w:val="21"/>
              </w:rPr>
            </w:pPr>
            <w:r>
              <w:rPr>
                <w:rFonts w:eastAsia="仿宋_GB2312"/>
                <w:color w:val="auto"/>
                <w:szCs w:val="21"/>
              </w:rPr>
              <w:t>N,N-二甲基甲酰胺</w:t>
            </w:r>
          </w:p>
        </w:tc>
        <w:tc>
          <w:tcPr>
            <w:tcW w:w="816" w:type="dxa"/>
            <w:tcBorders>
              <w:tl2br w:val="nil"/>
              <w:tr2bl w:val="nil"/>
            </w:tcBorders>
            <w:vAlign w:val="center"/>
          </w:tcPr>
          <w:p w14:paraId="166085A0">
            <w:pPr>
              <w:adjustRightInd w:val="0"/>
              <w:snapToGrid w:val="0"/>
              <w:spacing w:line="320" w:lineRule="exact"/>
              <w:jc w:val="center"/>
              <w:rPr>
                <w:rFonts w:eastAsia="仿宋_GB2312"/>
                <w:color w:val="auto"/>
                <w:szCs w:val="21"/>
              </w:rPr>
            </w:pPr>
            <w:r>
              <w:rPr>
                <w:rFonts w:eastAsia="仿宋_GB2312"/>
                <w:color w:val="auto"/>
                <w:szCs w:val="21"/>
              </w:rPr>
              <w:t>低毒</w:t>
            </w:r>
          </w:p>
        </w:tc>
        <w:tc>
          <w:tcPr>
            <w:tcW w:w="876" w:type="dxa"/>
            <w:tcBorders>
              <w:tl2br w:val="nil"/>
              <w:tr2bl w:val="nil"/>
            </w:tcBorders>
            <w:vAlign w:val="center"/>
          </w:tcPr>
          <w:p w14:paraId="0FF31515">
            <w:pPr>
              <w:adjustRightInd w:val="0"/>
              <w:snapToGrid w:val="0"/>
              <w:spacing w:line="320" w:lineRule="exact"/>
              <w:jc w:val="center"/>
              <w:rPr>
                <w:rFonts w:eastAsia="仿宋_GB2312"/>
                <w:color w:val="auto"/>
                <w:szCs w:val="21"/>
              </w:rPr>
            </w:pPr>
            <w:r>
              <w:rPr>
                <w:rFonts w:eastAsia="仿宋_GB2312"/>
                <w:color w:val="auto"/>
                <w:szCs w:val="21"/>
              </w:rPr>
              <w:t>易燃</w:t>
            </w:r>
          </w:p>
        </w:tc>
        <w:tc>
          <w:tcPr>
            <w:tcW w:w="4104" w:type="dxa"/>
            <w:tcBorders>
              <w:tl2br w:val="nil"/>
              <w:tr2bl w:val="nil"/>
            </w:tcBorders>
            <w:vAlign w:val="center"/>
          </w:tcPr>
          <w:p w14:paraId="7B7C84D1">
            <w:pPr>
              <w:adjustRightInd w:val="0"/>
              <w:snapToGrid w:val="0"/>
              <w:spacing w:line="320" w:lineRule="exact"/>
              <w:jc w:val="center"/>
              <w:rPr>
                <w:rFonts w:eastAsia="仿宋_GB2312"/>
                <w:color w:val="auto"/>
                <w:szCs w:val="21"/>
              </w:rPr>
            </w:pPr>
            <w:r>
              <w:rPr>
                <w:rFonts w:eastAsia="仿宋_GB2312"/>
                <w:color w:val="auto"/>
                <w:szCs w:val="21"/>
              </w:rPr>
              <w:t>遇高热、明火或与氧化剂接触，有引起燃烧爆炸的危险。能与浓硫酸、发烟硝酸猛烈反应，甚至发生爆炸。与卤化物(如四氯化碳)能发生剧烈反应。</w:t>
            </w:r>
          </w:p>
        </w:tc>
        <w:tc>
          <w:tcPr>
            <w:tcW w:w="1380" w:type="dxa"/>
            <w:tcBorders>
              <w:tl2br w:val="nil"/>
              <w:tr2bl w:val="nil"/>
            </w:tcBorders>
            <w:vAlign w:val="center"/>
          </w:tcPr>
          <w:p w14:paraId="73003CFC">
            <w:pPr>
              <w:adjustRightInd w:val="0"/>
              <w:snapToGrid w:val="0"/>
              <w:spacing w:line="320" w:lineRule="exact"/>
              <w:jc w:val="center"/>
              <w:rPr>
                <w:rFonts w:eastAsia="仿宋_GB2312"/>
                <w:color w:val="auto"/>
                <w:szCs w:val="21"/>
              </w:rPr>
            </w:pPr>
            <w:r>
              <w:rPr>
                <w:rFonts w:eastAsia="仿宋_GB2312"/>
                <w:color w:val="auto"/>
                <w:szCs w:val="21"/>
              </w:rPr>
              <w:t>/</w:t>
            </w:r>
          </w:p>
        </w:tc>
      </w:tr>
      <w:tr w14:paraId="3E755B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670" w:type="dxa"/>
            <w:tcBorders>
              <w:tl2br w:val="nil"/>
              <w:tr2bl w:val="nil"/>
            </w:tcBorders>
            <w:vAlign w:val="center"/>
          </w:tcPr>
          <w:p w14:paraId="3EE56312">
            <w:pPr>
              <w:adjustRightInd w:val="0"/>
              <w:snapToGrid w:val="0"/>
              <w:spacing w:line="320" w:lineRule="exact"/>
              <w:jc w:val="center"/>
              <w:rPr>
                <w:rFonts w:eastAsia="仿宋_GB2312"/>
                <w:color w:val="auto"/>
                <w:szCs w:val="21"/>
              </w:rPr>
            </w:pPr>
            <w:r>
              <w:rPr>
                <w:rFonts w:eastAsia="仿宋_GB2312"/>
                <w:color w:val="auto"/>
                <w:szCs w:val="21"/>
              </w:rPr>
              <w:t>三氯乙烯</w:t>
            </w:r>
          </w:p>
        </w:tc>
        <w:tc>
          <w:tcPr>
            <w:tcW w:w="816" w:type="dxa"/>
            <w:tcBorders>
              <w:tl2br w:val="nil"/>
              <w:tr2bl w:val="nil"/>
            </w:tcBorders>
            <w:vAlign w:val="center"/>
          </w:tcPr>
          <w:p w14:paraId="01167359">
            <w:pPr>
              <w:adjustRightInd w:val="0"/>
              <w:snapToGrid w:val="0"/>
              <w:spacing w:line="320" w:lineRule="exact"/>
              <w:jc w:val="center"/>
              <w:rPr>
                <w:rFonts w:eastAsia="仿宋_GB2312"/>
                <w:color w:val="auto"/>
                <w:szCs w:val="21"/>
              </w:rPr>
            </w:pPr>
            <w:r>
              <w:rPr>
                <w:rFonts w:eastAsia="仿宋_GB2312"/>
                <w:color w:val="auto"/>
                <w:szCs w:val="21"/>
              </w:rPr>
              <w:t>低毒</w:t>
            </w:r>
          </w:p>
        </w:tc>
        <w:tc>
          <w:tcPr>
            <w:tcW w:w="876" w:type="dxa"/>
            <w:tcBorders>
              <w:tl2br w:val="nil"/>
              <w:tr2bl w:val="nil"/>
            </w:tcBorders>
            <w:vAlign w:val="center"/>
          </w:tcPr>
          <w:p w14:paraId="5553CD96">
            <w:pPr>
              <w:adjustRightInd w:val="0"/>
              <w:snapToGrid w:val="0"/>
              <w:spacing w:line="320" w:lineRule="exact"/>
              <w:jc w:val="center"/>
              <w:rPr>
                <w:rFonts w:eastAsia="仿宋_GB2312"/>
                <w:color w:val="auto"/>
                <w:szCs w:val="21"/>
              </w:rPr>
            </w:pPr>
            <w:r>
              <w:rPr>
                <w:rFonts w:eastAsia="仿宋_GB2312"/>
                <w:color w:val="auto"/>
                <w:szCs w:val="21"/>
              </w:rPr>
              <w:t>可燃</w:t>
            </w:r>
          </w:p>
        </w:tc>
        <w:tc>
          <w:tcPr>
            <w:tcW w:w="4104" w:type="dxa"/>
            <w:tcBorders>
              <w:tl2br w:val="nil"/>
              <w:tr2bl w:val="nil"/>
            </w:tcBorders>
            <w:vAlign w:val="center"/>
          </w:tcPr>
          <w:p w14:paraId="0B02CC70">
            <w:pPr>
              <w:adjustRightInd w:val="0"/>
              <w:snapToGrid w:val="0"/>
              <w:spacing w:line="320" w:lineRule="exact"/>
              <w:jc w:val="center"/>
              <w:rPr>
                <w:rFonts w:eastAsia="仿宋_GB2312"/>
                <w:color w:val="auto"/>
                <w:szCs w:val="21"/>
              </w:rPr>
            </w:pPr>
            <w:r>
              <w:rPr>
                <w:rFonts w:eastAsia="仿宋_GB2312"/>
                <w:color w:val="auto"/>
                <w:szCs w:val="21"/>
              </w:rPr>
              <w:t>遇到明火、高热能够引发火灾爆炸的危险。</w:t>
            </w:r>
          </w:p>
        </w:tc>
        <w:tc>
          <w:tcPr>
            <w:tcW w:w="1380" w:type="dxa"/>
            <w:tcBorders>
              <w:tl2br w:val="nil"/>
              <w:tr2bl w:val="nil"/>
            </w:tcBorders>
            <w:vAlign w:val="center"/>
          </w:tcPr>
          <w:p w14:paraId="05699492">
            <w:pPr>
              <w:adjustRightInd w:val="0"/>
              <w:snapToGrid w:val="0"/>
              <w:spacing w:line="320" w:lineRule="exact"/>
              <w:jc w:val="center"/>
              <w:rPr>
                <w:rFonts w:eastAsia="仿宋_GB2312"/>
                <w:color w:val="auto"/>
                <w:szCs w:val="21"/>
              </w:rPr>
            </w:pPr>
            <w:r>
              <w:rPr>
                <w:rFonts w:eastAsia="仿宋_GB2312"/>
                <w:color w:val="auto"/>
                <w:szCs w:val="21"/>
              </w:rPr>
              <w:t>/</w:t>
            </w:r>
          </w:p>
        </w:tc>
      </w:tr>
      <w:tr w14:paraId="1D9E32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670" w:type="dxa"/>
            <w:tcBorders>
              <w:tl2br w:val="nil"/>
              <w:tr2bl w:val="nil"/>
            </w:tcBorders>
            <w:vAlign w:val="center"/>
          </w:tcPr>
          <w:p w14:paraId="37362D19">
            <w:pPr>
              <w:adjustRightInd w:val="0"/>
              <w:snapToGrid w:val="0"/>
              <w:spacing w:line="320" w:lineRule="exact"/>
              <w:jc w:val="center"/>
              <w:rPr>
                <w:rFonts w:eastAsia="仿宋_GB2312"/>
                <w:color w:val="auto"/>
                <w:szCs w:val="21"/>
              </w:rPr>
            </w:pPr>
            <w:r>
              <w:rPr>
                <w:rFonts w:eastAsia="仿宋_GB2312"/>
                <w:color w:val="auto"/>
                <w:szCs w:val="21"/>
              </w:rPr>
              <w:t>氯化铜</w:t>
            </w:r>
          </w:p>
        </w:tc>
        <w:tc>
          <w:tcPr>
            <w:tcW w:w="816" w:type="dxa"/>
            <w:tcBorders>
              <w:tl2br w:val="nil"/>
              <w:tr2bl w:val="nil"/>
            </w:tcBorders>
            <w:vAlign w:val="center"/>
          </w:tcPr>
          <w:p w14:paraId="346CFAB0">
            <w:pPr>
              <w:adjustRightInd w:val="0"/>
              <w:snapToGrid w:val="0"/>
              <w:spacing w:line="320" w:lineRule="exact"/>
              <w:jc w:val="center"/>
              <w:rPr>
                <w:rFonts w:eastAsia="仿宋_GB2312"/>
                <w:color w:val="auto"/>
                <w:szCs w:val="21"/>
              </w:rPr>
            </w:pPr>
            <w:r>
              <w:rPr>
                <w:rFonts w:eastAsia="仿宋_GB2312"/>
                <w:color w:val="auto"/>
                <w:szCs w:val="21"/>
              </w:rPr>
              <w:t>低毒</w:t>
            </w:r>
          </w:p>
        </w:tc>
        <w:tc>
          <w:tcPr>
            <w:tcW w:w="876" w:type="dxa"/>
            <w:tcBorders>
              <w:tl2br w:val="nil"/>
              <w:tr2bl w:val="nil"/>
            </w:tcBorders>
            <w:vAlign w:val="center"/>
          </w:tcPr>
          <w:p w14:paraId="53DA0D46">
            <w:pPr>
              <w:adjustRightInd w:val="0"/>
              <w:snapToGrid w:val="0"/>
              <w:spacing w:line="320" w:lineRule="exact"/>
              <w:jc w:val="center"/>
              <w:rPr>
                <w:rFonts w:eastAsia="仿宋_GB2312"/>
                <w:color w:val="auto"/>
                <w:szCs w:val="21"/>
              </w:rPr>
            </w:pPr>
            <w:r>
              <w:rPr>
                <w:rFonts w:eastAsia="仿宋_GB2312"/>
                <w:color w:val="auto"/>
                <w:szCs w:val="21"/>
              </w:rPr>
              <w:t>不燃</w:t>
            </w:r>
          </w:p>
        </w:tc>
        <w:tc>
          <w:tcPr>
            <w:tcW w:w="4104" w:type="dxa"/>
            <w:tcBorders>
              <w:tl2br w:val="nil"/>
              <w:tr2bl w:val="nil"/>
            </w:tcBorders>
            <w:vAlign w:val="center"/>
          </w:tcPr>
          <w:p w14:paraId="6F3C2060">
            <w:pPr>
              <w:adjustRightInd w:val="0"/>
              <w:snapToGrid w:val="0"/>
              <w:spacing w:line="320" w:lineRule="exact"/>
              <w:jc w:val="center"/>
              <w:rPr>
                <w:rFonts w:eastAsia="仿宋_GB2312"/>
                <w:color w:val="auto"/>
                <w:szCs w:val="21"/>
              </w:rPr>
            </w:pPr>
            <w:r>
              <w:rPr>
                <w:rFonts w:eastAsia="仿宋_GB2312"/>
                <w:color w:val="auto"/>
                <w:szCs w:val="21"/>
              </w:rPr>
              <w:t>与钾、钠发生剧烈反应。燃烧可生成刺激性氯化氢气体。</w:t>
            </w:r>
          </w:p>
        </w:tc>
        <w:tc>
          <w:tcPr>
            <w:tcW w:w="1380" w:type="dxa"/>
            <w:tcBorders>
              <w:tl2br w:val="nil"/>
              <w:tr2bl w:val="nil"/>
            </w:tcBorders>
            <w:vAlign w:val="center"/>
          </w:tcPr>
          <w:p w14:paraId="70B2FCEE">
            <w:pPr>
              <w:adjustRightInd w:val="0"/>
              <w:snapToGrid w:val="0"/>
              <w:spacing w:line="320" w:lineRule="exact"/>
              <w:jc w:val="center"/>
              <w:rPr>
                <w:rFonts w:eastAsia="仿宋_GB2312"/>
                <w:color w:val="auto"/>
                <w:szCs w:val="21"/>
              </w:rPr>
            </w:pPr>
            <w:r>
              <w:rPr>
                <w:rFonts w:eastAsia="仿宋_GB2312"/>
                <w:color w:val="auto"/>
                <w:szCs w:val="21"/>
              </w:rPr>
              <w:t>酸性腐蚀品</w:t>
            </w:r>
          </w:p>
        </w:tc>
      </w:tr>
      <w:tr w14:paraId="4D0839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670" w:type="dxa"/>
            <w:tcBorders>
              <w:tl2br w:val="nil"/>
              <w:tr2bl w:val="nil"/>
            </w:tcBorders>
            <w:vAlign w:val="center"/>
          </w:tcPr>
          <w:p w14:paraId="5908B07D">
            <w:pPr>
              <w:adjustRightInd w:val="0"/>
              <w:snapToGrid w:val="0"/>
              <w:spacing w:line="320" w:lineRule="exact"/>
              <w:jc w:val="center"/>
              <w:rPr>
                <w:rFonts w:eastAsia="仿宋_GB2312"/>
                <w:color w:val="auto"/>
                <w:szCs w:val="21"/>
              </w:rPr>
            </w:pPr>
            <w:r>
              <w:rPr>
                <w:rFonts w:eastAsia="仿宋_GB2312"/>
                <w:color w:val="auto"/>
                <w:szCs w:val="21"/>
              </w:rPr>
              <w:t>硝酸铜</w:t>
            </w:r>
          </w:p>
        </w:tc>
        <w:tc>
          <w:tcPr>
            <w:tcW w:w="816" w:type="dxa"/>
            <w:tcBorders>
              <w:tl2br w:val="nil"/>
              <w:tr2bl w:val="nil"/>
            </w:tcBorders>
            <w:vAlign w:val="center"/>
          </w:tcPr>
          <w:p w14:paraId="3D678420">
            <w:pPr>
              <w:adjustRightInd w:val="0"/>
              <w:snapToGrid w:val="0"/>
              <w:spacing w:line="320" w:lineRule="exact"/>
              <w:jc w:val="center"/>
              <w:rPr>
                <w:rFonts w:eastAsia="仿宋_GB2312"/>
                <w:color w:val="auto"/>
                <w:szCs w:val="21"/>
              </w:rPr>
            </w:pPr>
            <w:r>
              <w:rPr>
                <w:rFonts w:eastAsia="仿宋_GB2312"/>
                <w:color w:val="auto"/>
                <w:szCs w:val="21"/>
              </w:rPr>
              <w:t>低毒</w:t>
            </w:r>
          </w:p>
        </w:tc>
        <w:tc>
          <w:tcPr>
            <w:tcW w:w="876" w:type="dxa"/>
            <w:tcBorders>
              <w:tl2br w:val="nil"/>
              <w:tr2bl w:val="nil"/>
            </w:tcBorders>
            <w:vAlign w:val="center"/>
          </w:tcPr>
          <w:p w14:paraId="47449BDD">
            <w:pPr>
              <w:adjustRightInd w:val="0"/>
              <w:snapToGrid w:val="0"/>
              <w:spacing w:line="320" w:lineRule="exact"/>
              <w:jc w:val="center"/>
              <w:rPr>
                <w:rFonts w:eastAsia="仿宋_GB2312"/>
                <w:color w:val="auto"/>
                <w:szCs w:val="21"/>
              </w:rPr>
            </w:pPr>
            <w:r>
              <w:rPr>
                <w:rFonts w:eastAsia="仿宋_GB2312"/>
                <w:color w:val="auto"/>
                <w:szCs w:val="21"/>
              </w:rPr>
              <w:t>不燃</w:t>
            </w:r>
          </w:p>
        </w:tc>
        <w:tc>
          <w:tcPr>
            <w:tcW w:w="4104" w:type="dxa"/>
            <w:tcBorders>
              <w:tl2br w:val="nil"/>
              <w:tr2bl w:val="nil"/>
            </w:tcBorders>
            <w:vAlign w:val="center"/>
          </w:tcPr>
          <w:p w14:paraId="2E1C37C4">
            <w:pPr>
              <w:adjustRightInd w:val="0"/>
              <w:snapToGrid w:val="0"/>
              <w:spacing w:line="320" w:lineRule="exact"/>
              <w:jc w:val="center"/>
              <w:rPr>
                <w:rFonts w:eastAsia="仿宋_GB2312"/>
                <w:color w:val="auto"/>
                <w:szCs w:val="21"/>
              </w:rPr>
            </w:pPr>
            <w:r>
              <w:rPr>
                <w:rFonts w:eastAsia="仿宋_GB2312"/>
                <w:color w:val="auto"/>
                <w:szCs w:val="21"/>
              </w:rPr>
              <w:t>有氧化性，与炭末、硫黄或其他可燃性物质加热打击和摩擦时，发生燃烧爆炸。</w:t>
            </w:r>
          </w:p>
        </w:tc>
        <w:tc>
          <w:tcPr>
            <w:tcW w:w="1380" w:type="dxa"/>
            <w:tcBorders>
              <w:tl2br w:val="nil"/>
              <w:tr2bl w:val="nil"/>
            </w:tcBorders>
            <w:vAlign w:val="center"/>
          </w:tcPr>
          <w:p w14:paraId="0B9422D0">
            <w:pPr>
              <w:adjustRightInd w:val="0"/>
              <w:snapToGrid w:val="0"/>
              <w:spacing w:line="320" w:lineRule="exact"/>
              <w:jc w:val="center"/>
              <w:rPr>
                <w:rFonts w:eastAsia="仿宋_GB2312"/>
                <w:color w:val="auto"/>
                <w:szCs w:val="21"/>
              </w:rPr>
            </w:pPr>
            <w:r>
              <w:rPr>
                <w:rFonts w:eastAsia="仿宋_GB2312"/>
                <w:color w:val="auto"/>
                <w:szCs w:val="21"/>
              </w:rPr>
              <w:t>/</w:t>
            </w:r>
          </w:p>
        </w:tc>
      </w:tr>
      <w:tr w14:paraId="61927A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670" w:type="dxa"/>
            <w:tcBorders>
              <w:tl2br w:val="nil"/>
              <w:tr2bl w:val="nil"/>
            </w:tcBorders>
            <w:vAlign w:val="center"/>
          </w:tcPr>
          <w:p w14:paraId="4F8F65A8">
            <w:pPr>
              <w:adjustRightInd w:val="0"/>
              <w:snapToGrid w:val="0"/>
              <w:spacing w:line="320" w:lineRule="exact"/>
              <w:jc w:val="center"/>
              <w:rPr>
                <w:rFonts w:eastAsia="仿宋_GB2312"/>
                <w:color w:val="auto"/>
                <w:szCs w:val="21"/>
              </w:rPr>
            </w:pPr>
            <w:r>
              <w:rPr>
                <w:rFonts w:eastAsia="仿宋_GB2312"/>
                <w:color w:val="auto"/>
                <w:szCs w:val="21"/>
              </w:rPr>
              <w:t>硫酸锌</w:t>
            </w:r>
          </w:p>
        </w:tc>
        <w:tc>
          <w:tcPr>
            <w:tcW w:w="816" w:type="dxa"/>
            <w:tcBorders>
              <w:tl2br w:val="nil"/>
              <w:tr2bl w:val="nil"/>
            </w:tcBorders>
            <w:vAlign w:val="center"/>
          </w:tcPr>
          <w:p w14:paraId="4B3BC92E">
            <w:pPr>
              <w:adjustRightInd w:val="0"/>
              <w:snapToGrid w:val="0"/>
              <w:spacing w:line="320" w:lineRule="exact"/>
              <w:jc w:val="center"/>
              <w:rPr>
                <w:rFonts w:eastAsia="仿宋_GB2312"/>
                <w:color w:val="auto"/>
                <w:szCs w:val="21"/>
              </w:rPr>
            </w:pPr>
            <w:r>
              <w:rPr>
                <w:rFonts w:eastAsia="仿宋_GB2312"/>
                <w:color w:val="auto"/>
                <w:szCs w:val="21"/>
              </w:rPr>
              <w:t>低毒</w:t>
            </w:r>
          </w:p>
        </w:tc>
        <w:tc>
          <w:tcPr>
            <w:tcW w:w="876" w:type="dxa"/>
            <w:tcBorders>
              <w:tl2br w:val="nil"/>
              <w:tr2bl w:val="nil"/>
            </w:tcBorders>
            <w:vAlign w:val="center"/>
          </w:tcPr>
          <w:p w14:paraId="4FA1B9CF">
            <w:pPr>
              <w:adjustRightInd w:val="0"/>
              <w:snapToGrid w:val="0"/>
              <w:spacing w:line="320" w:lineRule="exact"/>
              <w:jc w:val="center"/>
              <w:rPr>
                <w:rFonts w:eastAsia="仿宋_GB2312"/>
                <w:color w:val="auto"/>
                <w:szCs w:val="21"/>
              </w:rPr>
            </w:pPr>
            <w:r>
              <w:rPr>
                <w:rFonts w:eastAsia="仿宋_GB2312"/>
                <w:color w:val="auto"/>
                <w:szCs w:val="21"/>
              </w:rPr>
              <w:t>不燃</w:t>
            </w:r>
          </w:p>
        </w:tc>
        <w:tc>
          <w:tcPr>
            <w:tcW w:w="4104" w:type="dxa"/>
            <w:tcBorders>
              <w:tl2br w:val="nil"/>
              <w:tr2bl w:val="nil"/>
            </w:tcBorders>
            <w:vAlign w:val="center"/>
          </w:tcPr>
          <w:p w14:paraId="0A621AB6">
            <w:pPr>
              <w:adjustRightInd w:val="0"/>
              <w:snapToGrid w:val="0"/>
              <w:spacing w:line="320" w:lineRule="exact"/>
              <w:jc w:val="center"/>
              <w:rPr>
                <w:rFonts w:eastAsia="仿宋_GB2312"/>
                <w:color w:val="auto"/>
                <w:szCs w:val="21"/>
              </w:rPr>
            </w:pPr>
            <w:r>
              <w:rPr>
                <w:rFonts w:eastAsia="仿宋_GB2312"/>
                <w:color w:val="auto"/>
                <w:szCs w:val="21"/>
              </w:rPr>
              <w:t>该品不燃，具刺激性。</w:t>
            </w:r>
          </w:p>
        </w:tc>
        <w:tc>
          <w:tcPr>
            <w:tcW w:w="1380" w:type="dxa"/>
            <w:tcBorders>
              <w:tl2br w:val="nil"/>
              <w:tr2bl w:val="nil"/>
            </w:tcBorders>
            <w:vAlign w:val="center"/>
          </w:tcPr>
          <w:p w14:paraId="70A769CB">
            <w:pPr>
              <w:adjustRightInd w:val="0"/>
              <w:snapToGrid w:val="0"/>
              <w:spacing w:line="320" w:lineRule="exact"/>
              <w:jc w:val="center"/>
              <w:rPr>
                <w:rFonts w:eastAsia="仿宋_GB2312"/>
                <w:color w:val="auto"/>
                <w:szCs w:val="21"/>
              </w:rPr>
            </w:pPr>
            <w:r>
              <w:rPr>
                <w:rFonts w:eastAsia="仿宋_GB2312"/>
                <w:color w:val="auto"/>
                <w:szCs w:val="21"/>
              </w:rPr>
              <w:t>酸性腐蚀品</w:t>
            </w:r>
          </w:p>
        </w:tc>
      </w:tr>
      <w:tr w14:paraId="6D3438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670" w:type="dxa"/>
            <w:tcBorders>
              <w:tl2br w:val="nil"/>
              <w:tr2bl w:val="nil"/>
            </w:tcBorders>
            <w:vAlign w:val="center"/>
          </w:tcPr>
          <w:p w14:paraId="4B8551FE">
            <w:pPr>
              <w:adjustRightInd w:val="0"/>
              <w:snapToGrid w:val="0"/>
              <w:spacing w:line="320" w:lineRule="exact"/>
              <w:jc w:val="center"/>
              <w:rPr>
                <w:rFonts w:eastAsia="仿宋_GB2312"/>
                <w:color w:val="auto"/>
                <w:szCs w:val="21"/>
              </w:rPr>
            </w:pPr>
            <w:r>
              <w:rPr>
                <w:rFonts w:eastAsia="仿宋_GB2312"/>
                <w:color w:val="auto"/>
                <w:szCs w:val="21"/>
              </w:rPr>
              <w:t>氯化锌</w:t>
            </w:r>
          </w:p>
        </w:tc>
        <w:tc>
          <w:tcPr>
            <w:tcW w:w="816" w:type="dxa"/>
            <w:tcBorders>
              <w:tl2br w:val="nil"/>
              <w:tr2bl w:val="nil"/>
            </w:tcBorders>
            <w:vAlign w:val="center"/>
          </w:tcPr>
          <w:p w14:paraId="54A75071">
            <w:pPr>
              <w:adjustRightInd w:val="0"/>
              <w:snapToGrid w:val="0"/>
              <w:spacing w:line="320" w:lineRule="exact"/>
              <w:jc w:val="center"/>
              <w:rPr>
                <w:rFonts w:eastAsia="仿宋_GB2312"/>
                <w:color w:val="auto"/>
                <w:szCs w:val="21"/>
              </w:rPr>
            </w:pPr>
            <w:r>
              <w:rPr>
                <w:rFonts w:eastAsia="仿宋_GB2312"/>
                <w:color w:val="auto"/>
                <w:szCs w:val="21"/>
              </w:rPr>
              <w:t>低毒</w:t>
            </w:r>
          </w:p>
        </w:tc>
        <w:tc>
          <w:tcPr>
            <w:tcW w:w="876" w:type="dxa"/>
            <w:tcBorders>
              <w:tl2br w:val="nil"/>
              <w:tr2bl w:val="nil"/>
            </w:tcBorders>
            <w:vAlign w:val="center"/>
          </w:tcPr>
          <w:p w14:paraId="31C5F0B8">
            <w:pPr>
              <w:adjustRightInd w:val="0"/>
              <w:snapToGrid w:val="0"/>
              <w:spacing w:line="320" w:lineRule="exact"/>
              <w:jc w:val="center"/>
              <w:rPr>
                <w:rFonts w:eastAsia="仿宋_GB2312"/>
                <w:color w:val="auto"/>
                <w:szCs w:val="21"/>
              </w:rPr>
            </w:pPr>
            <w:r>
              <w:rPr>
                <w:rFonts w:eastAsia="仿宋_GB2312"/>
                <w:color w:val="auto"/>
                <w:szCs w:val="21"/>
              </w:rPr>
              <w:t>不燃</w:t>
            </w:r>
          </w:p>
        </w:tc>
        <w:tc>
          <w:tcPr>
            <w:tcW w:w="4104" w:type="dxa"/>
            <w:tcBorders>
              <w:tl2br w:val="nil"/>
              <w:tr2bl w:val="nil"/>
            </w:tcBorders>
            <w:vAlign w:val="center"/>
          </w:tcPr>
          <w:p w14:paraId="11B08B61">
            <w:pPr>
              <w:adjustRightInd w:val="0"/>
              <w:snapToGrid w:val="0"/>
              <w:spacing w:line="320" w:lineRule="exact"/>
              <w:jc w:val="center"/>
              <w:rPr>
                <w:rFonts w:eastAsia="仿宋_GB2312"/>
                <w:color w:val="auto"/>
                <w:szCs w:val="21"/>
              </w:rPr>
            </w:pPr>
            <w:r>
              <w:rPr>
                <w:rFonts w:eastAsia="仿宋_GB2312"/>
                <w:color w:val="auto"/>
                <w:szCs w:val="21"/>
              </w:rPr>
              <w:t>灼热时有浓厚的白烟生成。</w:t>
            </w:r>
          </w:p>
        </w:tc>
        <w:tc>
          <w:tcPr>
            <w:tcW w:w="1380" w:type="dxa"/>
            <w:tcBorders>
              <w:tl2br w:val="nil"/>
              <w:tr2bl w:val="nil"/>
            </w:tcBorders>
            <w:vAlign w:val="center"/>
          </w:tcPr>
          <w:p w14:paraId="3CDFB51F">
            <w:pPr>
              <w:adjustRightInd w:val="0"/>
              <w:snapToGrid w:val="0"/>
              <w:spacing w:line="320" w:lineRule="exact"/>
              <w:jc w:val="center"/>
              <w:rPr>
                <w:rFonts w:eastAsia="仿宋_GB2312"/>
                <w:color w:val="auto"/>
                <w:szCs w:val="21"/>
              </w:rPr>
            </w:pPr>
            <w:r>
              <w:rPr>
                <w:rFonts w:eastAsia="仿宋_GB2312"/>
                <w:color w:val="auto"/>
                <w:szCs w:val="21"/>
              </w:rPr>
              <w:t>/</w:t>
            </w:r>
          </w:p>
        </w:tc>
      </w:tr>
      <w:tr w14:paraId="46F572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670" w:type="dxa"/>
            <w:tcBorders>
              <w:tl2br w:val="nil"/>
              <w:tr2bl w:val="nil"/>
            </w:tcBorders>
            <w:vAlign w:val="center"/>
          </w:tcPr>
          <w:p w14:paraId="0769A42F">
            <w:pPr>
              <w:adjustRightInd w:val="0"/>
              <w:snapToGrid w:val="0"/>
              <w:spacing w:line="320" w:lineRule="exact"/>
              <w:jc w:val="center"/>
              <w:rPr>
                <w:rFonts w:eastAsia="仿宋_GB2312"/>
                <w:color w:val="auto"/>
                <w:szCs w:val="21"/>
              </w:rPr>
            </w:pPr>
            <w:r>
              <w:rPr>
                <w:rFonts w:eastAsia="仿宋_GB2312"/>
                <w:color w:val="auto"/>
                <w:szCs w:val="21"/>
              </w:rPr>
              <w:t>氯化铁</w:t>
            </w:r>
          </w:p>
        </w:tc>
        <w:tc>
          <w:tcPr>
            <w:tcW w:w="816" w:type="dxa"/>
            <w:tcBorders>
              <w:tl2br w:val="nil"/>
              <w:tr2bl w:val="nil"/>
            </w:tcBorders>
            <w:vAlign w:val="center"/>
          </w:tcPr>
          <w:p w14:paraId="7ACC4C67">
            <w:pPr>
              <w:adjustRightInd w:val="0"/>
              <w:snapToGrid w:val="0"/>
              <w:spacing w:line="320" w:lineRule="exact"/>
              <w:jc w:val="center"/>
              <w:rPr>
                <w:rFonts w:eastAsia="仿宋_GB2312"/>
                <w:color w:val="auto"/>
                <w:szCs w:val="21"/>
              </w:rPr>
            </w:pPr>
            <w:r>
              <w:rPr>
                <w:rFonts w:eastAsia="仿宋_GB2312"/>
                <w:color w:val="auto"/>
                <w:szCs w:val="21"/>
              </w:rPr>
              <w:t>低毒</w:t>
            </w:r>
          </w:p>
        </w:tc>
        <w:tc>
          <w:tcPr>
            <w:tcW w:w="876" w:type="dxa"/>
            <w:tcBorders>
              <w:tl2br w:val="nil"/>
              <w:tr2bl w:val="nil"/>
            </w:tcBorders>
            <w:vAlign w:val="center"/>
          </w:tcPr>
          <w:p w14:paraId="0A9C0781">
            <w:pPr>
              <w:adjustRightInd w:val="0"/>
              <w:snapToGrid w:val="0"/>
              <w:spacing w:line="320" w:lineRule="exact"/>
              <w:jc w:val="center"/>
              <w:rPr>
                <w:rFonts w:eastAsia="仿宋_GB2312"/>
                <w:color w:val="auto"/>
                <w:szCs w:val="21"/>
              </w:rPr>
            </w:pPr>
            <w:r>
              <w:rPr>
                <w:rFonts w:eastAsia="仿宋_GB2312"/>
                <w:color w:val="auto"/>
                <w:szCs w:val="21"/>
              </w:rPr>
              <w:t>不燃</w:t>
            </w:r>
          </w:p>
        </w:tc>
        <w:tc>
          <w:tcPr>
            <w:tcW w:w="4104" w:type="dxa"/>
            <w:tcBorders>
              <w:tl2br w:val="nil"/>
              <w:tr2bl w:val="nil"/>
            </w:tcBorders>
            <w:vAlign w:val="center"/>
          </w:tcPr>
          <w:p w14:paraId="1ED88B8D">
            <w:pPr>
              <w:adjustRightInd w:val="0"/>
              <w:snapToGrid w:val="0"/>
              <w:spacing w:line="320" w:lineRule="exact"/>
              <w:jc w:val="center"/>
              <w:rPr>
                <w:rFonts w:eastAsia="仿宋_GB2312"/>
                <w:color w:val="auto"/>
                <w:szCs w:val="21"/>
              </w:rPr>
            </w:pPr>
            <w:r>
              <w:rPr>
                <w:rFonts w:eastAsia="仿宋_GB2312"/>
                <w:color w:val="auto"/>
                <w:szCs w:val="21"/>
              </w:rPr>
              <w:t>受高热分解产生有毒的腐蚀性气体氯化氢。</w:t>
            </w:r>
          </w:p>
        </w:tc>
        <w:tc>
          <w:tcPr>
            <w:tcW w:w="1380" w:type="dxa"/>
            <w:tcBorders>
              <w:tl2br w:val="nil"/>
              <w:tr2bl w:val="nil"/>
            </w:tcBorders>
            <w:vAlign w:val="center"/>
          </w:tcPr>
          <w:p w14:paraId="746E4FB9">
            <w:pPr>
              <w:adjustRightInd w:val="0"/>
              <w:snapToGrid w:val="0"/>
              <w:spacing w:line="320" w:lineRule="exact"/>
              <w:jc w:val="center"/>
              <w:rPr>
                <w:rFonts w:eastAsia="仿宋_GB2312"/>
                <w:color w:val="auto"/>
                <w:szCs w:val="21"/>
              </w:rPr>
            </w:pPr>
            <w:r>
              <w:rPr>
                <w:rFonts w:eastAsia="仿宋_GB2312"/>
                <w:color w:val="auto"/>
                <w:szCs w:val="21"/>
              </w:rPr>
              <w:t>/</w:t>
            </w:r>
          </w:p>
        </w:tc>
      </w:tr>
      <w:tr w14:paraId="23BF27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670" w:type="dxa"/>
            <w:tcBorders>
              <w:tl2br w:val="nil"/>
              <w:tr2bl w:val="nil"/>
            </w:tcBorders>
            <w:vAlign w:val="center"/>
          </w:tcPr>
          <w:p w14:paraId="51387F49">
            <w:pPr>
              <w:adjustRightInd w:val="0"/>
              <w:snapToGrid w:val="0"/>
              <w:spacing w:line="320" w:lineRule="exact"/>
              <w:jc w:val="center"/>
              <w:rPr>
                <w:rFonts w:eastAsia="仿宋_GB2312"/>
                <w:color w:val="auto"/>
                <w:szCs w:val="21"/>
              </w:rPr>
            </w:pPr>
            <w:r>
              <w:rPr>
                <w:rFonts w:eastAsia="仿宋_GB2312"/>
                <w:color w:val="auto"/>
                <w:szCs w:val="21"/>
              </w:rPr>
              <w:t>硫酸铁</w:t>
            </w:r>
          </w:p>
        </w:tc>
        <w:tc>
          <w:tcPr>
            <w:tcW w:w="816" w:type="dxa"/>
            <w:tcBorders>
              <w:tl2br w:val="nil"/>
              <w:tr2bl w:val="nil"/>
            </w:tcBorders>
            <w:vAlign w:val="center"/>
          </w:tcPr>
          <w:p w14:paraId="7F77FB37">
            <w:pPr>
              <w:adjustRightInd w:val="0"/>
              <w:snapToGrid w:val="0"/>
              <w:spacing w:line="320" w:lineRule="exact"/>
              <w:jc w:val="center"/>
              <w:rPr>
                <w:rFonts w:eastAsia="仿宋_GB2312"/>
                <w:color w:val="auto"/>
                <w:szCs w:val="21"/>
              </w:rPr>
            </w:pPr>
            <w:r>
              <w:rPr>
                <w:rFonts w:eastAsia="仿宋_GB2312"/>
                <w:color w:val="auto"/>
                <w:szCs w:val="21"/>
              </w:rPr>
              <w:t>低毒</w:t>
            </w:r>
          </w:p>
        </w:tc>
        <w:tc>
          <w:tcPr>
            <w:tcW w:w="876" w:type="dxa"/>
            <w:tcBorders>
              <w:tl2br w:val="nil"/>
              <w:tr2bl w:val="nil"/>
            </w:tcBorders>
            <w:vAlign w:val="center"/>
          </w:tcPr>
          <w:p w14:paraId="38ED7C2B">
            <w:pPr>
              <w:adjustRightInd w:val="0"/>
              <w:snapToGrid w:val="0"/>
              <w:spacing w:line="320" w:lineRule="exact"/>
              <w:jc w:val="center"/>
              <w:rPr>
                <w:rFonts w:eastAsia="仿宋_GB2312"/>
                <w:color w:val="auto"/>
                <w:szCs w:val="21"/>
              </w:rPr>
            </w:pPr>
            <w:r>
              <w:rPr>
                <w:rFonts w:eastAsia="仿宋_GB2312"/>
                <w:color w:val="auto"/>
                <w:szCs w:val="21"/>
              </w:rPr>
              <w:t>不燃</w:t>
            </w:r>
          </w:p>
        </w:tc>
        <w:tc>
          <w:tcPr>
            <w:tcW w:w="4104" w:type="dxa"/>
            <w:tcBorders>
              <w:tl2br w:val="nil"/>
              <w:tr2bl w:val="nil"/>
            </w:tcBorders>
            <w:vAlign w:val="center"/>
          </w:tcPr>
          <w:p w14:paraId="09C15BF6">
            <w:pPr>
              <w:adjustRightInd w:val="0"/>
              <w:snapToGrid w:val="0"/>
              <w:spacing w:line="320" w:lineRule="exact"/>
              <w:jc w:val="center"/>
              <w:rPr>
                <w:rFonts w:eastAsia="仿宋_GB2312"/>
                <w:color w:val="auto"/>
                <w:szCs w:val="21"/>
              </w:rPr>
            </w:pPr>
            <w:r>
              <w:rPr>
                <w:rFonts w:eastAsia="仿宋_GB2312"/>
                <w:color w:val="auto"/>
                <w:szCs w:val="21"/>
              </w:rPr>
              <w:t>/</w:t>
            </w:r>
          </w:p>
        </w:tc>
        <w:tc>
          <w:tcPr>
            <w:tcW w:w="1380" w:type="dxa"/>
            <w:tcBorders>
              <w:tl2br w:val="nil"/>
              <w:tr2bl w:val="nil"/>
            </w:tcBorders>
            <w:vAlign w:val="center"/>
          </w:tcPr>
          <w:p w14:paraId="59F193C7">
            <w:pPr>
              <w:adjustRightInd w:val="0"/>
              <w:snapToGrid w:val="0"/>
              <w:spacing w:line="320" w:lineRule="exact"/>
              <w:jc w:val="center"/>
              <w:rPr>
                <w:rFonts w:eastAsia="仿宋_GB2312"/>
                <w:color w:val="auto"/>
                <w:szCs w:val="21"/>
              </w:rPr>
            </w:pPr>
            <w:r>
              <w:rPr>
                <w:rFonts w:eastAsia="仿宋_GB2312"/>
                <w:color w:val="auto"/>
                <w:szCs w:val="21"/>
              </w:rPr>
              <w:t>/</w:t>
            </w:r>
          </w:p>
        </w:tc>
      </w:tr>
      <w:tr w14:paraId="1D8681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670" w:type="dxa"/>
            <w:tcBorders>
              <w:tl2br w:val="nil"/>
              <w:tr2bl w:val="nil"/>
            </w:tcBorders>
            <w:vAlign w:val="center"/>
          </w:tcPr>
          <w:p w14:paraId="776CED11">
            <w:pPr>
              <w:adjustRightInd w:val="0"/>
              <w:snapToGrid w:val="0"/>
              <w:spacing w:line="320" w:lineRule="exact"/>
              <w:jc w:val="center"/>
              <w:rPr>
                <w:rFonts w:eastAsia="仿宋_GB2312"/>
                <w:color w:val="auto"/>
                <w:szCs w:val="21"/>
              </w:rPr>
            </w:pPr>
            <w:r>
              <w:rPr>
                <w:rFonts w:eastAsia="仿宋_GB2312"/>
                <w:color w:val="auto"/>
                <w:szCs w:val="21"/>
              </w:rPr>
              <w:t>磷酸</w:t>
            </w:r>
          </w:p>
        </w:tc>
        <w:tc>
          <w:tcPr>
            <w:tcW w:w="816" w:type="dxa"/>
            <w:tcBorders>
              <w:tl2br w:val="nil"/>
              <w:tr2bl w:val="nil"/>
            </w:tcBorders>
            <w:vAlign w:val="center"/>
          </w:tcPr>
          <w:p w14:paraId="28CFAA2D">
            <w:pPr>
              <w:adjustRightInd w:val="0"/>
              <w:snapToGrid w:val="0"/>
              <w:spacing w:line="320" w:lineRule="exact"/>
              <w:jc w:val="center"/>
              <w:rPr>
                <w:rFonts w:eastAsia="仿宋_GB2312"/>
                <w:color w:val="auto"/>
                <w:szCs w:val="21"/>
              </w:rPr>
            </w:pPr>
            <w:r>
              <w:rPr>
                <w:rFonts w:eastAsia="仿宋_GB2312"/>
                <w:color w:val="auto"/>
                <w:szCs w:val="21"/>
              </w:rPr>
              <w:t>低毒</w:t>
            </w:r>
          </w:p>
        </w:tc>
        <w:tc>
          <w:tcPr>
            <w:tcW w:w="876" w:type="dxa"/>
            <w:tcBorders>
              <w:tl2br w:val="nil"/>
              <w:tr2bl w:val="nil"/>
            </w:tcBorders>
            <w:vAlign w:val="center"/>
          </w:tcPr>
          <w:p w14:paraId="41C043B5">
            <w:pPr>
              <w:adjustRightInd w:val="0"/>
              <w:snapToGrid w:val="0"/>
              <w:spacing w:line="320" w:lineRule="exact"/>
              <w:jc w:val="center"/>
              <w:rPr>
                <w:rFonts w:eastAsia="仿宋_GB2312"/>
                <w:color w:val="auto"/>
                <w:szCs w:val="21"/>
              </w:rPr>
            </w:pPr>
            <w:r>
              <w:rPr>
                <w:rFonts w:eastAsia="仿宋_GB2312"/>
                <w:color w:val="auto"/>
                <w:szCs w:val="21"/>
              </w:rPr>
              <w:t>不燃</w:t>
            </w:r>
          </w:p>
        </w:tc>
        <w:tc>
          <w:tcPr>
            <w:tcW w:w="4104" w:type="dxa"/>
            <w:tcBorders>
              <w:tl2br w:val="nil"/>
              <w:tr2bl w:val="nil"/>
            </w:tcBorders>
            <w:vAlign w:val="center"/>
          </w:tcPr>
          <w:p w14:paraId="07F25BE9">
            <w:pPr>
              <w:adjustRightInd w:val="0"/>
              <w:snapToGrid w:val="0"/>
              <w:spacing w:line="320" w:lineRule="exact"/>
              <w:jc w:val="center"/>
              <w:rPr>
                <w:rFonts w:eastAsia="仿宋_GB2312"/>
                <w:color w:val="auto"/>
                <w:szCs w:val="21"/>
              </w:rPr>
            </w:pPr>
            <w:r>
              <w:rPr>
                <w:rFonts w:eastAsia="仿宋_GB2312"/>
                <w:color w:val="auto"/>
                <w:szCs w:val="21"/>
              </w:rPr>
              <w:t>加热会失水得到焦磷酸，再进一步失水得到偏磷酸。</w:t>
            </w:r>
          </w:p>
        </w:tc>
        <w:tc>
          <w:tcPr>
            <w:tcW w:w="1380" w:type="dxa"/>
            <w:tcBorders>
              <w:tl2br w:val="nil"/>
              <w:tr2bl w:val="nil"/>
            </w:tcBorders>
            <w:vAlign w:val="center"/>
          </w:tcPr>
          <w:p w14:paraId="77BCB55C">
            <w:pPr>
              <w:adjustRightInd w:val="0"/>
              <w:snapToGrid w:val="0"/>
              <w:spacing w:line="320" w:lineRule="exact"/>
              <w:jc w:val="center"/>
              <w:rPr>
                <w:rFonts w:eastAsia="仿宋_GB2312"/>
                <w:color w:val="auto"/>
                <w:szCs w:val="21"/>
              </w:rPr>
            </w:pPr>
            <w:r>
              <w:rPr>
                <w:rFonts w:eastAsia="仿宋_GB2312"/>
                <w:color w:val="auto"/>
                <w:szCs w:val="21"/>
              </w:rPr>
              <w:t>酸性腐蚀品</w:t>
            </w:r>
          </w:p>
        </w:tc>
      </w:tr>
    </w:tbl>
    <w:p w14:paraId="1A6F3A46">
      <w:pPr>
        <w:adjustRightInd w:val="0"/>
        <w:snapToGrid w:val="0"/>
        <w:spacing w:line="500" w:lineRule="exact"/>
        <w:ind w:firstLine="560" w:firstLineChars="200"/>
        <w:rPr>
          <w:rFonts w:eastAsia="仿宋_GB2312"/>
          <w:color w:val="auto"/>
          <w:sz w:val="28"/>
          <w:szCs w:val="28"/>
        </w:rPr>
      </w:pPr>
    </w:p>
    <w:p w14:paraId="0378135B">
      <w:pPr>
        <w:adjustRightInd w:val="0"/>
        <w:snapToGrid w:val="0"/>
        <w:spacing w:line="500" w:lineRule="exact"/>
        <w:ind w:firstLine="560" w:firstLineChars="200"/>
        <w:rPr>
          <w:rFonts w:eastAsia="仿宋_GB2312"/>
          <w:color w:val="auto"/>
          <w:sz w:val="28"/>
          <w:szCs w:val="28"/>
        </w:rPr>
      </w:pPr>
    </w:p>
    <w:p w14:paraId="0336873D">
      <w:pPr>
        <w:pStyle w:val="7"/>
        <w:keepLines w:val="0"/>
        <w:widowControl/>
        <w:adjustRightInd w:val="0"/>
        <w:snapToGrid w:val="0"/>
        <w:spacing w:after="60" w:afterLines="25"/>
        <w:jc w:val="left"/>
        <w:rPr>
          <w:rFonts w:ascii="Times New Roman" w:hAnsi="Times New Roman"/>
          <w:b/>
          <w:color w:val="auto"/>
        </w:rPr>
      </w:pPr>
      <w:r>
        <w:rPr>
          <w:rFonts w:ascii="Times New Roman" w:hAnsi="Times New Roman"/>
          <w:b/>
          <w:color w:val="auto"/>
        </w:rPr>
        <w:t>3.8.1.2生产过程风险识别</w:t>
      </w:r>
    </w:p>
    <w:p w14:paraId="6C2DBE69">
      <w:pPr>
        <w:adjustRightInd w:val="0"/>
        <w:snapToGrid w:val="0"/>
        <w:spacing w:line="500" w:lineRule="exact"/>
        <w:ind w:firstLine="560" w:firstLineChars="200"/>
        <w:rPr>
          <w:rFonts w:eastAsia="仿宋_GB2312"/>
          <w:color w:val="auto"/>
          <w:sz w:val="28"/>
          <w:szCs w:val="28"/>
        </w:rPr>
      </w:pPr>
      <w:r>
        <w:rPr>
          <w:rFonts w:eastAsia="仿宋_GB2312"/>
          <w:color w:val="auto"/>
          <w:sz w:val="28"/>
          <w:szCs w:val="28"/>
        </w:rPr>
        <w:t>原有项目生产过程中可能存在的风险见下表。</w:t>
      </w:r>
    </w:p>
    <w:p w14:paraId="31EEB144">
      <w:pPr>
        <w:spacing w:line="500" w:lineRule="exact"/>
        <w:jc w:val="center"/>
        <w:rPr>
          <w:rFonts w:eastAsia="仿宋_GB2312"/>
          <w:b/>
          <w:color w:val="auto"/>
          <w:sz w:val="24"/>
        </w:rPr>
      </w:pPr>
      <w:r>
        <w:rPr>
          <w:rFonts w:eastAsia="仿宋_GB2312"/>
          <w:b/>
          <w:color w:val="auto"/>
          <w:sz w:val="24"/>
        </w:rPr>
        <w:t>表3.8-3  原有项目环境风险源识别表</w:t>
      </w:r>
    </w:p>
    <w:tbl>
      <w:tblPr>
        <w:tblStyle w:val="88"/>
        <w:tblW w:w="881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259"/>
        <w:gridCol w:w="7558"/>
      </w:tblGrid>
      <w:tr w14:paraId="31568B0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59" w:type="dxa"/>
            <w:vAlign w:val="center"/>
          </w:tcPr>
          <w:p w14:paraId="2D133F91">
            <w:pPr>
              <w:snapToGrid w:val="0"/>
              <w:spacing w:line="240" w:lineRule="exact"/>
              <w:jc w:val="center"/>
              <w:rPr>
                <w:rFonts w:eastAsia="仿宋_GB2312"/>
                <w:b/>
                <w:color w:val="auto"/>
                <w:szCs w:val="21"/>
              </w:rPr>
            </w:pPr>
            <w:r>
              <w:rPr>
                <w:rFonts w:eastAsia="仿宋_GB2312"/>
                <w:b/>
                <w:color w:val="auto"/>
                <w:szCs w:val="21"/>
              </w:rPr>
              <w:t>环境风险源</w:t>
            </w:r>
          </w:p>
        </w:tc>
        <w:tc>
          <w:tcPr>
            <w:tcW w:w="7558" w:type="dxa"/>
            <w:vAlign w:val="center"/>
          </w:tcPr>
          <w:p w14:paraId="567A6A8D">
            <w:pPr>
              <w:snapToGrid w:val="0"/>
              <w:spacing w:line="240" w:lineRule="exact"/>
              <w:jc w:val="center"/>
              <w:rPr>
                <w:rFonts w:eastAsia="仿宋_GB2312"/>
                <w:b/>
                <w:iCs/>
                <w:color w:val="auto"/>
                <w:szCs w:val="21"/>
              </w:rPr>
            </w:pPr>
            <w:r>
              <w:rPr>
                <w:rFonts w:eastAsia="仿宋_GB2312"/>
                <w:b/>
                <w:iCs/>
                <w:color w:val="auto"/>
                <w:szCs w:val="21"/>
              </w:rPr>
              <w:t>识别过程</w:t>
            </w:r>
          </w:p>
        </w:tc>
      </w:tr>
      <w:tr w14:paraId="0338FDE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59" w:type="dxa"/>
            <w:vAlign w:val="center"/>
          </w:tcPr>
          <w:p w14:paraId="601F486E">
            <w:pPr>
              <w:snapToGrid w:val="0"/>
              <w:spacing w:line="240" w:lineRule="exact"/>
              <w:jc w:val="center"/>
              <w:rPr>
                <w:rFonts w:eastAsia="仿宋_GB2312"/>
                <w:color w:val="FF0000"/>
                <w:szCs w:val="21"/>
                <w:highlight w:val="yellow"/>
              </w:rPr>
            </w:pPr>
            <w:r>
              <w:rPr>
                <w:rFonts w:eastAsia="仿宋_GB2312"/>
                <w:color w:val="auto"/>
                <w:szCs w:val="21"/>
              </w:rPr>
              <w:t>生产工艺过程</w:t>
            </w:r>
          </w:p>
        </w:tc>
        <w:tc>
          <w:tcPr>
            <w:tcW w:w="7558" w:type="dxa"/>
            <w:vAlign w:val="center"/>
          </w:tcPr>
          <w:p w14:paraId="2B2A7E1A">
            <w:pPr>
              <w:adjustRightInd w:val="0"/>
              <w:snapToGrid w:val="0"/>
              <w:spacing w:line="320" w:lineRule="exact"/>
              <w:jc w:val="left"/>
              <w:rPr>
                <w:rFonts w:eastAsia="仿宋_GB2312"/>
                <w:color w:val="auto"/>
                <w:szCs w:val="21"/>
              </w:rPr>
            </w:pPr>
            <w:r>
              <w:rPr>
                <w:rFonts w:eastAsia="仿宋_GB2312"/>
                <w:color w:val="auto"/>
                <w:szCs w:val="21"/>
              </w:rPr>
              <w:t>一、溶剂回收、危废综合利用处置项目</w:t>
            </w:r>
          </w:p>
          <w:p w14:paraId="183472A1">
            <w:pPr>
              <w:adjustRightInd w:val="0"/>
              <w:snapToGrid w:val="0"/>
              <w:spacing w:line="320" w:lineRule="exact"/>
              <w:jc w:val="left"/>
              <w:rPr>
                <w:rFonts w:eastAsia="仿宋_GB2312"/>
                <w:color w:val="auto"/>
                <w:szCs w:val="21"/>
              </w:rPr>
            </w:pPr>
            <w:r>
              <w:rPr>
                <w:rFonts w:eastAsia="仿宋_GB2312"/>
                <w:color w:val="auto"/>
                <w:szCs w:val="21"/>
              </w:rPr>
              <w:t>1、废溶剂来源广泛，组份复杂。在未确定废溶剂来源、明确其中所含组份或未进行化验分析前盲目进行提纯生产，很可能造成火灾爆炸事故。</w:t>
            </w:r>
          </w:p>
          <w:p w14:paraId="2F1E5365">
            <w:pPr>
              <w:adjustRightInd w:val="0"/>
              <w:snapToGrid w:val="0"/>
              <w:spacing w:line="320" w:lineRule="exact"/>
              <w:jc w:val="left"/>
              <w:rPr>
                <w:rFonts w:eastAsia="仿宋_GB2312"/>
                <w:color w:val="auto"/>
                <w:szCs w:val="21"/>
              </w:rPr>
            </w:pPr>
            <w:r>
              <w:rPr>
                <w:rFonts w:eastAsia="仿宋_GB2312"/>
                <w:color w:val="auto"/>
                <w:szCs w:val="21"/>
              </w:rPr>
              <w:t>（1）废溶剂来料数量可能每次不等，在进入精馏塔釜前需集中不同来源的废溶剂一起进行处理。在混批作业中，可能因各来料单位的废溶剂中所含的组份互为禁忌物而发生剧烈的化学反应。</w:t>
            </w:r>
          </w:p>
          <w:p w14:paraId="3972196A">
            <w:pPr>
              <w:adjustRightInd w:val="0"/>
              <w:snapToGrid w:val="0"/>
              <w:spacing w:line="320" w:lineRule="exact"/>
              <w:jc w:val="left"/>
              <w:rPr>
                <w:rFonts w:eastAsia="仿宋_GB2312"/>
                <w:color w:val="auto"/>
                <w:szCs w:val="21"/>
              </w:rPr>
            </w:pPr>
            <w:r>
              <w:rPr>
                <w:rFonts w:eastAsia="仿宋_GB2312"/>
                <w:color w:val="auto"/>
                <w:szCs w:val="21"/>
              </w:rPr>
              <w:t>（2）废溶剂中所含某些组份如过氧化物、不饱和单体等在加热到一定温度下可能发生分解、聚合危险。</w:t>
            </w:r>
          </w:p>
          <w:p w14:paraId="6945DB89">
            <w:pPr>
              <w:adjustRightInd w:val="0"/>
              <w:snapToGrid w:val="0"/>
              <w:spacing w:line="320" w:lineRule="exact"/>
              <w:jc w:val="left"/>
              <w:rPr>
                <w:rFonts w:eastAsia="仿宋_GB2312"/>
                <w:color w:val="auto"/>
                <w:szCs w:val="21"/>
              </w:rPr>
            </w:pPr>
            <w:r>
              <w:rPr>
                <w:rFonts w:eastAsia="仿宋_GB2312"/>
                <w:color w:val="auto"/>
                <w:szCs w:val="21"/>
              </w:rPr>
              <w:t>2、釜底残液(渣)的爆炸危险性。醚类废溶剂精馏后期釜底残液中可能有过氧化醚富集，受热或快蒸干时可因分解而爆炸。有的废溶剂含过氧化物或硝化、氧化后的溶剂，同样可因其中有机物的分解而发生爆炸事故。</w:t>
            </w:r>
          </w:p>
          <w:p w14:paraId="3804036B">
            <w:pPr>
              <w:adjustRightInd w:val="0"/>
              <w:snapToGrid w:val="0"/>
              <w:spacing w:line="320" w:lineRule="exact"/>
              <w:jc w:val="left"/>
              <w:rPr>
                <w:rFonts w:eastAsia="仿宋_GB2312"/>
                <w:color w:val="auto"/>
                <w:szCs w:val="21"/>
              </w:rPr>
            </w:pPr>
            <w:r>
              <w:rPr>
                <w:rFonts w:eastAsia="仿宋_GB2312"/>
                <w:color w:val="auto"/>
                <w:szCs w:val="21"/>
              </w:rPr>
              <w:t>3、有些溶剂在生产中用作除盐溶剂，废溶剂中无机盐的溶解度很高，在蒸馏过程中这些无机盐可析出在釜内结垢，一则高温下存在可能分解的危险性，二则有损精馏塔釜并在人工清理过程中存在危险危害。</w:t>
            </w:r>
          </w:p>
          <w:p w14:paraId="0D03E1E3">
            <w:pPr>
              <w:adjustRightInd w:val="0"/>
              <w:snapToGrid w:val="0"/>
              <w:spacing w:line="320" w:lineRule="exact"/>
              <w:jc w:val="left"/>
              <w:rPr>
                <w:rFonts w:eastAsia="仿宋_GB2312"/>
                <w:color w:val="auto"/>
                <w:szCs w:val="21"/>
              </w:rPr>
            </w:pPr>
            <w:r>
              <w:rPr>
                <w:rFonts w:eastAsia="仿宋_GB2312"/>
                <w:color w:val="auto"/>
                <w:szCs w:val="21"/>
              </w:rPr>
              <w:t>4、对某些组份较复杂的废溶剂，可能先采用常压蒸馏然后再进行减压精馏。从常压转向减压过程中，可能由于人工调节、操作不当而发生冲料事故。</w:t>
            </w:r>
          </w:p>
          <w:p w14:paraId="68FD75EA">
            <w:pPr>
              <w:adjustRightInd w:val="0"/>
              <w:snapToGrid w:val="0"/>
              <w:spacing w:line="320" w:lineRule="exact"/>
              <w:jc w:val="left"/>
              <w:rPr>
                <w:rFonts w:eastAsia="仿宋_GB2312"/>
                <w:color w:val="auto"/>
                <w:szCs w:val="21"/>
              </w:rPr>
            </w:pPr>
            <w:r>
              <w:rPr>
                <w:rFonts w:eastAsia="仿宋_GB2312"/>
                <w:color w:val="auto"/>
                <w:szCs w:val="21"/>
              </w:rPr>
              <w:t>5、加热温度不当，蒸发速度过快，或冷凝器冷却不足，可因气相物料得不到全部冷凝而外泄，遇点火源可发生燃爆事故。</w:t>
            </w:r>
          </w:p>
          <w:p w14:paraId="5EA1718A">
            <w:pPr>
              <w:adjustRightInd w:val="0"/>
              <w:snapToGrid w:val="0"/>
              <w:spacing w:line="320" w:lineRule="exact"/>
              <w:jc w:val="left"/>
              <w:rPr>
                <w:rFonts w:eastAsia="仿宋_GB2312"/>
                <w:color w:val="auto"/>
                <w:szCs w:val="21"/>
              </w:rPr>
            </w:pPr>
            <w:r>
              <w:rPr>
                <w:rFonts w:eastAsia="仿宋_GB2312"/>
                <w:color w:val="auto"/>
                <w:szCs w:val="21"/>
              </w:rPr>
              <w:t>6、废溶剂、废液均具有一定的毒物危害性，它们可通过呼吸道、口腔、皮肤对人体造成职业危害。</w:t>
            </w:r>
          </w:p>
          <w:p w14:paraId="728DABAC">
            <w:pPr>
              <w:adjustRightInd w:val="0"/>
              <w:snapToGrid w:val="0"/>
              <w:spacing w:line="320" w:lineRule="exact"/>
              <w:jc w:val="left"/>
              <w:rPr>
                <w:rFonts w:eastAsia="仿宋_GB2312"/>
                <w:color w:val="auto"/>
                <w:szCs w:val="21"/>
              </w:rPr>
            </w:pPr>
            <w:r>
              <w:rPr>
                <w:rFonts w:eastAsia="仿宋_GB2312"/>
                <w:color w:val="auto"/>
                <w:szCs w:val="21"/>
              </w:rPr>
              <w:t>7、废溶剂、废液回收处理过程中产生的废渣、残液以及前馏份等均为危险废弃物，项目中应按规定及时送常州市安耐得工业废弃物处置中心作焚烧处理，否则可产生新的危险危害并污染环境。</w:t>
            </w:r>
          </w:p>
          <w:p w14:paraId="3FFFDEF2">
            <w:pPr>
              <w:adjustRightInd w:val="0"/>
              <w:snapToGrid w:val="0"/>
              <w:spacing w:line="320" w:lineRule="exact"/>
              <w:jc w:val="left"/>
              <w:rPr>
                <w:rFonts w:eastAsia="仿宋_GB2312"/>
                <w:color w:val="auto"/>
                <w:szCs w:val="21"/>
              </w:rPr>
            </w:pPr>
            <w:r>
              <w:rPr>
                <w:rFonts w:eastAsia="仿宋_GB2312"/>
                <w:color w:val="auto"/>
                <w:szCs w:val="21"/>
              </w:rPr>
              <w:t>8、废料回收处理过程若人工操作不当，可造成精馏塔液泛、堵塞、物料泄漏等而引起事故。此外，在人工取样化验分析中还存在火灾、灼伤等危险因素。</w:t>
            </w:r>
          </w:p>
          <w:p w14:paraId="5618AE53">
            <w:pPr>
              <w:adjustRightInd w:val="0"/>
              <w:snapToGrid w:val="0"/>
              <w:spacing w:line="320" w:lineRule="exact"/>
              <w:jc w:val="left"/>
              <w:rPr>
                <w:rFonts w:eastAsia="仿宋_GB2312"/>
                <w:color w:val="auto"/>
                <w:szCs w:val="21"/>
              </w:rPr>
            </w:pPr>
            <w:r>
              <w:rPr>
                <w:rFonts w:eastAsia="仿宋_GB2312"/>
                <w:color w:val="auto"/>
                <w:szCs w:val="21"/>
              </w:rPr>
              <w:t>9、精馏装置对多种废溶剂精馏过程中，若未充分清洗、吹扫有可能因不同废溶剂中所含杂质相互间的化学反应而造成事故。</w:t>
            </w:r>
          </w:p>
          <w:p w14:paraId="0BE479C7">
            <w:pPr>
              <w:adjustRightInd w:val="0"/>
              <w:snapToGrid w:val="0"/>
              <w:spacing w:line="320" w:lineRule="exact"/>
              <w:jc w:val="left"/>
              <w:rPr>
                <w:rFonts w:eastAsia="仿宋_GB2312"/>
                <w:color w:val="auto"/>
                <w:szCs w:val="21"/>
              </w:rPr>
            </w:pPr>
            <w:r>
              <w:rPr>
                <w:rFonts w:eastAsia="仿宋_GB2312"/>
                <w:color w:val="auto"/>
                <w:szCs w:val="21"/>
              </w:rPr>
              <w:t>10、使用易燃易爆的物质较多，而且都具有一定的毒性。如操作不当加热量过大，或冷凝器中的冷却水量不足，冷却水突然中断，都可能使未冷凝的溶剂蒸气逸出设备散入空气中，遇点火源就有可能发生燃烧、爆炸或伤害人身事故。</w:t>
            </w:r>
          </w:p>
          <w:p w14:paraId="57206FAE">
            <w:pPr>
              <w:adjustRightInd w:val="0"/>
              <w:snapToGrid w:val="0"/>
              <w:spacing w:line="320" w:lineRule="exact"/>
              <w:jc w:val="left"/>
              <w:rPr>
                <w:rFonts w:eastAsia="仿宋_GB2312"/>
                <w:color w:val="auto"/>
                <w:szCs w:val="21"/>
              </w:rPr>
            </w:pPr>
            <w:r>
              <w:rPr>
                <w:rFonts w:eastAsia="仿宋_GB2312"/>
                <w:color w:val="auto"/>
                <w:szCs w:val="21"/>
              </w:rPr>
              <w:t>11、废溶剂当采用特殊精馏时，可能使用共沸剂、萃取剂，共沸剂、萃取剂应根据来料情况具体选用，存在不确定性，而大多为易燃易爆、有毒性物料。因此共沸剂、萃取剂物料本身的危险、有害特性本报告中未列出，项目单位在共沸剂、萃取剂的使用上应引起足够重视。</w:t>
            </w:r>
          </w:p>
          <w:p w14:paraId="12693C62">
            <w:pPr>
              <w:adjustRightInd w:val="0"/>
              <w:snapToGrid w:val="0"/>
              <w:spacing w:line="320" w:lineRule="exact"/>
              <w:jc w:val="left"/>
              <w:rPr>
                <w:rFonts w:eastAsia="仿宋_GB2312"/>
                <w:color w:val="auto"/>
                <w:szCs w:val="21"/>
              </w:rPr>
            </w:pPr>
            <w:r>
              <w:rPr>
                <w:rFonts w:eastAsia="仿宋_GB2312"/>
                <w:color w:val="auto"/>
                <w:szCs w:val="21"/>
              </w:rPr>
              <w:t>12、项目中存在的腐蚀性物料对生产设备、管线、阀门及其它设施存在腐蚀危害。因腐蚀破坏常常不容易被察觉，设备、管线、阀门因长期的腐蚀作用一旦被腐蚀破坏(材料减薄、穿孔、强度降低、密封失效等)，物料泄漏可导致燃爆事故、人体化学灼伤事故。</w:t>
            </w:r>
          </w:p>
          <w:p w14:paraId="316149EB">
            <w:pPr>
              <w:adjustRightInd w:val="0"/>
              <w:snapToGrid w:val="0"/>
              <w:spacing w:line="320" w:lineRule="exact"/>
              <w:jc w:val="left"/>
              <w:rPr>
                <w:rFonts w:eastAsia="仿宋_GB2312"/>
                <w:color w:val="auto"/>
                <w:szCs w:val="21"/>
              </w:rPr>
            </w:pPr>
            <w:r>
              <w:rPr>
                <w:rFonts w:hint="eastAsia" w:eastAsia="仿宋_GB2312"/>
                <w:color w:val="auto"/>
                <w:szCs w:val="21"/>
                <w:lang w:val="en-US" w:eastAsia="zh-CN"/>
              </w:rPr>
              <w:t>二</w:t>
            </w:r>
            <w:r>
              <w:rPr>
                <w:rFonts w:eastAsia="仿宋_GB2312"/>
                <w:color w:val="auto"/>
                <w:szCs w:val="21"/>
              </w:rPr>
              <w:t>、多元醇项目</w:t>
            </w:r>
          </w:p>
          <w:p w14:paraId="7C5D9B4D">
            <w:pPr>
              <w:adjustRightInd w:val="0"/>
              <w:snapToGrid w:val="0"/>
              <w:spacing w:line="320" w:lineRule="exact"/>
              <w:jc w:val="left"/>
              <w:rPr>
                <w:rFonts w:eastAsia="仿宋_GB2312"/>
                <w:color w:val="auto"/>
                <w:szCs w:val="21"/>
              </w:rPr>
            </w:pPr>
            <w:r>
              <w:rPr>
                <w:rFonts w:eastAsia="仿宋_GB2312"/>
                <w:color w:val="auto"/>
                <w:szCs w:val="21"/>
              </w:rPr>
              <w:t>1、投料时不规范作业可造成物料撒落、粉尘飞扬，若生产现场通风不良、操作人员防护不当，可造成职业危害，可燃粉尘积聚与空气形成爆炸性混合物，遇点火源可引发燃爆事故。</w:t>
            </w:r>
          </w:p>
          <w:p w14:paraId="2E1BDE7F">
            <w:pPr>
              <w:adjustRightInd w:val="0"/>
              <w:snapToGrid w:val="0"/>
              <w:spacing w:line="320" w:lineRule="exact"/>
              <w:jc w:val="left"/>
              <w:rPr>
                <w:rFonts w:eastAsia="仿宋_GB2312"/>
                <w:color w:val="auto"/>
                <w:szCs w:val="21"/>
              </w:rPr>
            </w:pPr>
            <w:r>
              <w:rPr>
                <w:rFonts w:eastAsia="仿宋_GB2312"/>
                <w:color w:val="auto"/>
                <w:szCs w:val="21"/>
              </w:rPr>
              <w:t>2、反应温度若反应初期升温过快，釜内温度过高，短时间内将产生大量的水可造成冲料事故；升温速率影响反应速度，温度过低或过高，反应中聚合度及分子量大小和分布（聚合度）不能满足使用要求，将影响产品性能。</w:t>
            </w:r>
          </w:p>
          <w:p w14:paraId="7E337BFC">
            <w:pPr>
              <w:adjustRightInd w:val="0"/>
              <w:snapToGrid w:val="0"/>
              <w:spacing w:line="320" w:lineRule="exact"/>
              <w:jc w:val="left"/>
              <w:rPr>
                <w:rFonts w:eastAsia="仿宋_GB2312"/>
                <w:color w:val="auto"/>
                <w:szCs w:val="21"/>
              </w:rPr>
            </w:pPr>
            <w:r>
              <w:rPr>
                <w:rFonts w:eastAsia="仿宋_GB2312"/>
                <w:color w:val="auto"/>
                <w:szCs w:val="21"/>
              </w:rPr>
              <w:t>3、反应加热最高温度通常根据不同规格树脂所用原料的配方而定。反应温度过高则产生双键交联、凝胶，生产过程凝胶事故处置不当可造成“二次”安全生产事故、危害作业人员。</w:t>
            </w:r>
          </w:p>
          <w:p w14:paraId="18286830">
            <w:pPr>
              <w:adjustRightInd w:val="0"/>
              <w:snapToGrid w:val="0"/>
              <w:spacing w:line="320" w:lineRule="exact"/>
              <w:jc w:val="left"/>
              <w:rPr>
                <w:rFonts w:eastAsia="仿宋_GB2312"/>
                <w:color w:val="auto"/>
                <w:szCs w:val="21"/>
              </w:rPr>
            </w:pPr>
            <w:r>
              <w:rPr>
                <w:rFonts w:eastAsia="仿宋_GB2312"/>
                <w:color w:val="auto"/>
                <w:szCs w:val="21"/>
              </w:rPr>
              <w:t>4、聚酯多元醇生产过程中醇与酸的缩聚（聚合）反应属于首批重点监管的危险化工工艺。该工艺危险特点为：聚合原料具有自聚和燃爆危险性；如果反应过程中热量不能及时移出，随物料温度上升，发生裂解和暴聚，所产生的热量使裂解和暴聚过程进一步加剧，进而引发反应器爆炸。该工艺需重点监控的工艺参数有：聚合反应釜内温度、压力，聚合反应釜内搅拌速率，冷却水流量，料仓静电、可燃气体监控等。</w:t>
            </w:r>
          </w:p>
          <w:p w14:paraId="6131B3CE">
            <w:pPr>
              <w:adjustRightInd w:val="0"/>
              <w:snapToGrid w:val="0"/>
              <w:spacing w:line="320" w:lineRule="exact"/>
              <w:jc w:val="left"/>
              <w:rPr>
                <w:rFonts w:eastAsia="仿宋_GB2312"/>
                <w:color w:val="auto"/>
                <w:szCs w:val="21"/>
              </w:rPr>
            </w:pPr>
            <w:r>
              <w:rPr>
                <w:rFonts w:hint="eastAsia" w:eastAsia="仿宋_GB2312"/>
                <w:color w:val="auto"/>
                <w:szCs w:val="21"/>
                <w:lang w:val="en-US" w:eastAsia="zh-CN"/>
              </w:rPr>
              <w:t>三</w:t>
            </w:r>
            <w:r>
              <w:rPr>
                <w:rFonts w:eastAsia="仿宋_GB2312"/>
                <w:color w:val="auto"/>
                <w:szCs w:val="21"/>
              </w:rPr>
              <w:t>、甘油项目生产工艺风险识别</w:t>
            </w:r>
          </w:p>
          <w:p w14:paraId="4ACBD2C8">
            <w:pPr>
              <w:adjustRightInd w:val="0"/>
              <w:snapToGrid w:val="0"/>
              <w:spacing w:line="320" w:lineRule="exact"/>
              <w:jc w:val="left"/>
              <w:rPr>
                <w:rFonts w:eastAsia="仿宋_GB2312"/>
                <w:color w:val="auto"/>
                <w:szCs w:val="21"/>
              </w:rPr>
            </w:pPr>
            <w:r>
              <w:rPr>
                <w:rFonts w:eastAsia="仿宋_GB2312"/>
                <w:color w:val="auto"/>
                <w:szCs w:val="21"/>
              </w:rPr>
              <w:t>1、上料时不规范作业可造成物料废气无组织排放，若生产现场通风不良、操作人员防护不当，可造成职业危害。</w:t>
            </w:r>
          </w:p>
          <w:p w14:paraId="0862208C">
            <w:pPr>
              <w:adjustRightInd w:val="0"/>
              <w:snapToGrid w:val="0"/>
              <w:spacing w:line="320" w:lineRule="exact"/>
              <w:jc w:val="left"/>
              <w:rPr>
                <w:rFonts w:eastAsia="仿宋_GB2312"/>
                <w:color w:val="auto"/>
                <w:szCs w:val="21"/>
              </w:rPr>
            </w:pPr>
            <w:r>
              <w:rPr>
                <w:rFonts w:eastAsia="仿宋_GB2312"/>
                <w:color w:val="auto"/>
                <w:szCs w:val="21"/>
              </w:rPr>
              <w:t>2、反应釜若加热初期升温过快，釜内温度过高，短时间内将产生大量蒸汽流造成冲料事故；温度过低或过高，将影响产品回收的收率。</w:t>
            </w:r>
          </w:p>
          <w:p w14:paraId="37873ED3">
            <w:pPr>
              <w:adjustRightInd w:val="0"/>
              <w:snapToGrid w:val="0"/>
              <w:spacing w:line="320" w:lineRule="exact"/>
              <w:jc w:val="left"/>
              <w:rPr>
                <w:rFonts w:eastAsia="仿宋_GB2312"/>
                <w:color w:val="auto"/>
                <w:szCs w:val="21"/>
              </w:rPr>
            </w:pPr>
            <w:r>
              <w:rPr>
                <w:rFonts w:eastAsia="仿宋_GB2312"/>
                <w:color w:val="auto"/>
                <w:szCs w:val="21"/>
              </w:rPr>
              <w:t>3、本项目生产过程中若操作中工艺参数控制不当（如投料量、滴加速度、温度与压力控制等）、违反工艺、安全操作规程，可造成反应失控，导致超温超压、喷料、火灾爆炸事故。</w:t>
            </w:r>
          </w:p>
          <w:p w14:paraId="5A8205AF">
            <w:pPr>
              <w:adjustRightInd w:val="0"/>
              <w:snapToGrid w:val="0"/>
              <w:spacing w:line="320" w:lineRule="exact"/>
              <w:jc w:val="left"/>
              <w:rPr>
                <w:rFonts w:eastAsia="仿宋_GB2312"/>
                <w:color w:val="auto"/>
                <w:szCs w:val="21"/>
              </w:rPr>
            </w:pPr>
            <w:r>
              <w:rPr>
                <w:rFonts w:hint="eastAsia" w:eastAsia="仿宋_GB2312"/>
                <w:color w:val="auto"/>
                <w:szCs w:val="21"/>
                <w:lang w:val="en-US" w:eastAsia="zh-CN"/>
              </w:rPr>
              <w:t>四</w:t>
            </w:r>
            <w:r>
              <w:rPr>
                <w:rFonts w:eastAsia="仿宋_GB2312"/>
                <w:color w:val="auto"/>
                <w:szCs w:val="21"/>
              </w:rPr>
              <w:t>、表面处理剂项目</w:t>
            </w:r>
          </w:p>
          <w:p w14:paraId="4920ED08">
            <w:pPr>
              <w:adjustRightInd w:val="0"/>
              <w:snapToGrid w:val="0"/>
              <w:spacing w:line="320" w:lineRule="exact"/>
              <w:jc w:val="left"/>
              <w:rPr>
                <w:rFonts w:eastAsia="仿宋_GB2312"/>
                <w:color w:val="auto"/>
                <w:szCs w:val="21"/>
              </w:rPr>
            </w:pPr>
            <w:r>
              <w:rPr>
                <w:rFonts w:eastAsia="仿宋_GB2312"/>
                <w:color w:val="auto"/>
                <w:szCs w:val="21"/>
              </w:rPr>
              <w:t>1、氰化物剧毒，吸入、口服或经皮吸收均可引起急性中毒。氰化物与硝酸盐、亚硝酸盐、氯酸盐反应剧烈，有发生爆炸的危险。遇酸会产生剧毒、易燃的氰化氢气体。在潮湿空气或二氧化碳中即缓慢发出微量氰化氢气体。</w:t>
            </w:r>
          </w:p>
          <w:p w14:paraId="0F32194F">
            <w:pPr>
              <w:adjustRightInd w:val="0"/>
              <w:snapToGrid w:val="0"/>
              <w:spacing w:line="320" w:lineRule="exact"/>
              <w:jc w:val="left"/>
              <w:rPr>
                <w:rFonts w:eastAsia="仿宋_GB2312"/>
                <w:color w:val="FF0000"/>
                <w:szCs w:val="21"/>
              </w:rPr>
            </w:pPr>
            <w:r>
              <w:rPr>
                <w:rFonts w:eastAsia="仿宋_GB2312"/>
                <w:color w:val="auto"/>
                <w:szCs w:val="21"/>
              </w:rPr>
              <w:t>2、双氧水属于过氧化物类，如受到撞击、震动、高温，极易分解而引起爆炸。</w:t>
            </w:r>
          </w:p>
          <w:p w14:paraId="1001B788">
            <w:pPr>
              <w:adjustRightInd w:val="0"/>
              <w:snapToGrid w:val="0"/>
              <w:spacing w:line="320" w:lineRule="exact"/>
              <w:jc w:val="left"/>
              <w:rPr>
                <w:rFonts w:eastAsia="仿宋_GB2312"/>
                <w:color w:val="auto"/>
                <w:szCs w:val="21"/>
              </w:rPr>
            </w:pPr>
            <w:r>
              <w:rPr>
                <w:rFonts w:hint="eastAsia" w:eastAsia="仿宋_GB2312"/>
                <w:color w:val="auto"/>
                <w:szCs w:val="21"/>
                <w:lang w:val="en-US" w:eastAsia="zh-CN"/>
              </w:rPr>
              <w:t>五</w:t>
            </w:r>
            <w:r>
              <w:rPr>
                <w:rFonts w:eastAsia="仿宋_GB2312"/>
                <w:color w:val="auto"/>
                <w:szCs w:val="21"/>
              </w:rPr>
              <w:t>、安全、环保优化整治提升项目</w:t>
            </w:r>
          </w:p>
          <w:p w14:paraId="2CEA88FD">
            <w:pPr>
              <w:adjustRightInd w:val="0"/>
              <w:snapToGrid w:val="0"/>
              <w:spacing w:line="320" w:lineRule="exact"/>
              <w:jc w:val="left"/>
              <w:rPr>
                <w:rFonts w:eastAsia="仿宋_GB2312"/>
                <w:color w:val="auto"/>
                <w:szCs w:val="21"/>
              </w:rPr>
            </w:pPr>
            <w:r>
              <w:rPr>
                <w:rFonts w:eastAsia="仿宋_GB2312"/>
                <w:color w:val="auto"/>
                <w:szCs w:val="21"/>
              </w:rPr>
              <w:t>1、焚烧炉配套的烟气处理设施发生故障；</w:t>
            </w:r>
          </w:p>
          <w:p w14:paraId="3C962EAC">
            <w:pPr>
              <w:adjustRightInd w:val="0"/>
              <w:snapToGrid w:val="0"/>
              <w:spacing w:line="320" w:lineRule="exact"/>
              <w:jc w:val="left"/>
              <w:rPr>
                <w:rFonts w:eastAsia="仿宋_GB2312"/>
                <w:color w:val="auto"/>
                <w:szCs w:val="21"/>
              </w:rPr>
            </w:pPr>
            <w:r>
              <w:rPr>
                <w:rFonts w:eastAsia="仿宋_GB2312"/>
                <w:color w:val="auto"/>
                <w:szCs w:val="21"/>
              </w:rPr>
              <w:t>2、焚烧炉内CO量过大造成爆炸事故对周围环境的影响；</w:t>
            </w:r>
          </w:p>
          <w:p w14:paraId="68895160">
            <w:pPr>
              <w:adjustRightInd w:val="0"/>
              <w:snapToGrid w:val="0"/>
              <w:spacing w:line="320" w:lineRule="exact"/>
              <w:jc w:val="left"/>
              <w:rPr>
                <w:rFonts w:eastAsia="仿宋_GB2312"/>
                <w:color w:val="auto"/>
                <w:szCs w:val="21"/>
              </w:rPr>
            </w:pPr>
            <w:r>
              <w:rPr>
                <w:rFonts w:eastAsia="仿宋_GB2312"/>
                <w:color w:val="auto"/>
                <w:szCs w:val="21"/>
              </w:rPr>
              <w:t>3、由于待处理的危险废物具有一定毒性，因此在储存过程中，若长期接触，有中毒的危险。</w:t>
            </w:r>
          </w:p>
          <w:p w14:paraId="7703C85B">
            <w:pPr>
              <w:adjustRightInd w:val="0"/>
              <w:snapToGrid w:val="0"/>
              <w:spacing w:line="320" w:lineRule="exact"/>
              <w:jc w:val="left"/>
              <w:rPr>
                <w:rFonts w:eastAsia="仿宋_GB2312"/>
                <w:color w:val="auto"/>
                <w:szCs w:val="21"/>
              </w:rPr>
            </w:pPr>
            <w:r>
              <w:rPr>
                <w:rFonts w:eastAsia="仿宋_GB2312"/>
                <w:color w:val="auto"/>
                <w:szCs w:val="21"/>
              </w:rPr>
              <w:t>4、焚烧过程中生成的SO</w:t>
            </w:r>
            <w:r>
              <w:rPr>
                <w:rFonts w:eastAsia="仿宋_GB2312"/>
                <w:color w:val="auto"/>
                <w:szCs w:val="21"/>
                <w:vertAlign w:val="subscript"/>
              </w:rPr>
              <w:t>2</w:t>
            </w:r>
            <w:r>
              <w:rPr>
                <w:rFonts w:eastAsia="仿宋_GB2312"/>
                <w:color w:val="auto"/>
                <w:szCs w:val="21"/>
              </w:rPr>
              <w:t>、HCl、CO、二</w:t>
            </w:r>
            <w:r>
              <w:rPr>
                <w:rFonts w:hint="eastAsia" w:ascii="宋体" w:hAnsi="宋体" w:cs="宋体"/>
                <w:color w:val="auto"/>
                <w:szCs w:val="21"/>
              </w:rPr>
              <w:t>噁</w:t>
            </w:r>
            <w:r>
              <w:rPr>
                <w:rFonts w:hint="eastAsia" w:ascii="仿宋_GB2312" w:hAnsi="仿宋_GB2312" w:eastAsia="仿宋_GB2312" w:cs="仿宋_GB2312"/>
                <w:color w:val="auto"/>
                <w:szCs w:val="21"/>
              </w:rPr>
              <w:t>英类等气体具有不同程度的毒性，因泄漏或长期吸入</w:t>
            </w:r>
            <w:r>
              <w:rPr>
                <w:rFonts w:eastAsia="仿宋_GB2312"/>
                <w:color w:val="auto"/>
                <w:szCs w:val="21"/>
              </w:rPr>
              <w:t>，有引起窒息或中毒的危险；其中二</w:t>
            </w:r>
            <w:r>
              <w:rPr>
                <w:rFonts w:hint="eastAsia" w:ascii="宋体" w:hAnsi="宋体" w:cs="宋体"/>
                <w:color w:val="auto"/>
                <w:szCs w:val="21"/>
              </w:rPr>
              <w:t>噁</w:t>
            </w:r>
            <w:r>
              <w:rPr>
                <w:rFonts w:hint="eastAsia" w:ascii="仿宋_GB2312" w:hAnsi="仿宋_GB2312" w:eastAsia="仿宋_GB2312" w:cs="仿宋_GB2312"/>
                <w:color w:val="auto"/>
                <w:szCs w:val="21"/>
              </w:rPr>
              <w:t>英类毒性极大，对人群健康影响极大。</w:t>
            </w:r>
          </w:p>
          <w:p w14:paraId="672A4E42">
            <w:pPr>
              <w:adjustRightInd w:val="0"/>
              <w:snapToGrid w:val="0"/>
              <w:spacing w:line="320" w:lineRule="exact"/>
              <w:jc w:val="left"/>
              <w:rPr>
                <w:rFonts w:eastAsia="仿宋_GB2312"/>
                <w:color w:val="auto"/>
                <w:szCs w:val="21"/>
              </w:rPr>
            </w:pPr>
            <w:r>
              <w:rPr>
                <w:rFonts w:eastAsia="仿宋_GB2312"/>
                <w:color w:val="auto"/>
                <w:szCs w:val="21"/>
              </w:rPr>
              <w:t>5、发生火灾时产生的CO、CO</w:t>
            </w:r>
            <w:r>
              <w:rPr>
                <w:rFonts w:eastAsia="仿宋_GB2312"/>
                <w:color w:val="auto"/>
                <w:szCs w:val="21"/>
                <w:vertAlign w:val="subscript"/>
              </w:rPr>
              <w:t>2</w:t>
            </w:r>
            <w:r>
              <w:rPr>
                <w:rFonts w:eastAsia="仿宋_GB2312"/>
                <w:color w:val="auto"/>
                <w:szCs w:val="21"/>
              </w:rPr>
              <w:t>及其它有毒有害气体，可造成人员的二次伤害。</w:t>
            </w:r>
          </w:p>
          <w:p w14:paraId="5D0915EA">
            <w:pPr>
              <w:adjustRightInd w:val="0"/>
              <w:snapToGrid w:val="0"/>
              <w:spacing w:line="320" w:lineRule="exact"/>
              <w:jc w:val="left"/>
              <w:rPr>
                <w:rFonts w:eastAsia="仿宋_GB2312"/>
                <w:color w:val="auto"/>
                <w:szCs w:val="21"/>
              </w:rPr>
            </w:pPr>
            <w:r>
              <w:rPr>
                <w:rFonts w:eastAsia="仿宋_GB2312"/>
                <w:color w:val="auto"/>
                <w:szCs w:val="21"/>
              </w:rPr>
              <w:t>6、当控制系统出现故障且未及时发现，压力和温度未得到有效控制而导致燃烧爆炸事故，造成对周围环境、工作人员的伤害和影响。</w:t>
            </w:r>
          </w:p>
          <w:p w14:paraId="409A86FA">
            <w:pPr>
              <w:adjustRightInd w:val="0"/>
              <w:snapToGrid w:val="0"/>
              <w:spacing w:line="320" w:lineRule="exact"/>
              <w:jc w:val="left"/>
              <w:rPr>
                <w:rFonts w:eastAsia="仿宋_GB2312"/>
                <w:color w:val="FF0000"/>
                <w:szCs w:val="21"/>
              </w:rPr>
            </w:pPr>
            <w:r>
              <w:rPr>
                <w:rFonts w:eastAsia="仿宋_GB2312"/>
                <w:color w:val="auto"/>
                <w:szCs w:val="21"/>
              </w:rPr>
              <w:t>7、焚烧炉采用轻柴油作为燃料，企业管理或者操作不当，轻柴油使用过程可能发生泄漏，从而引起火灾、爆炸事故。</w:t>
            </w:r>
          </w:p>
        </w:tc>
      </w:tr>
      <w:tr w14:paraId="66FDAF1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59" w:type="dxa"/>
            <w:vAlign w:val="center"/>
          </w:tcPr>
          <w:p w14:paraId="3C71AC5C">
            <w:pPr>
              <w:snapToGrid w:val="0"/>
              <w:spacing w:line="240" w:lineRule="exact"/>
              <w:jc w:val="center"/>
              <w:rPr>
                <w:rFonts w:eastAsia="仿宋_GB2312"/>
                <w:color w:val="FF0000"/>
                <w:szCs w:val="21"/>
                <w:highlight w:val="yellow"/>
              </w:rPr>
            </w:pPr>
            <w:r>
              <w:rPr>
                <w:rFonts w:eastAsia="仿宋_GB2312"/>
                <w:color w:val="auto"/>
                <w:szCs w:val="21"/>
              </w:rPr>
              <w:t>生产设施</w:t>
            </w:r>
          </w:p>
        </w:tc>
        <w:tc>
          <w:tcPr>
            <w:tcW w:w="7558" w:type="dxa"/>
            <w:vAlign w:val="center"/>
          </w:tcPr>
          <w:p w14:paraId="6FEE21A9">
            <w:pPr>
              <w:adjustRightInd w:val="0"/>
              <w:snapToGrid w:val="0"/>
              <w:spacing w:line="320" w:lineRule="exact"/>
              <w:jc w:val="left"/>
              <w:rPr>
                <w:rFonts w:eastAsia="仿宋_GB2312"/>
                <w:color w:val="auto"/>
                <w:szCs w:val="21"/>
              </w:rPr>
            </w:pPr>
            <w:r>
              <w:rPr>
                <w:rFonts w:eastAsia="仿宋_GB2312"/>
                <w:color w:val="auto"/>
                <w:szCs w:val="21"/>
              </w:rPr>
              <w:t>一、常规设备风险识别</w:t>
            </w:r>
          </w:p>
          <w:p w14:paraId="1D8E31E1">
            <w:pPr>
              <w:adjustRightInd w:val="0"/>
              <w:snapToGrid w:val="0"/>
              <w:spacing w:line="320" w:lineRule="exact"/>
              <w:jc w:val="left"/>
              <w:rPr>
                <w:rFonts w:eastAsia="仿宋_GB2312"/>
                <w:color w:val="auto"/>
                <w:szCs w:val="21"/>
              </w:rPr>
            </w:pPr>
            <w:r>
              <w:rPr>
                <w:rFonts w:eastAsia="仿宋_GB2312"/>
                <w:color w:val="auto"/>
                <w:szCs w:val="21"/>
              </w:rPr>
              <w:t>1、特种设备</w:t>
            </w:r>
          </w:p>
          <w:p w14:paraId="731C445A">
            <w:pPr>
              <w:adjustRightInd w:val="0"/>
              <w:snapToGrid w:val="0"/>
              <w:spacing w:line="320" w:lineRule="exact"/>
              <w:jc w:val="left"/>
              <w:rPr>
                <w:rFonts w:eastAsia="仿宋_GB2312"/>
                <w:color w:val="auto"/>
                <w:szCs w:val="21"/>
              </w:rPr>
            </w:pPr>
            <w:r>
              <w:rPr>
                <w:rFonts w:hint="eastAsia" w:ascii="宋体" w:hAnsi="宋体" w:cs="宋体"/>
                <w:color w:val="auto"/>
                <w:szCs w:val="21"/>
              </w:rPr>
              <w:t>①</w:t>
            </w:r>
            <w:r>
              <w:rPr>
                <w:rFonts w:eastAsia="仿宋_GB2312"/>
                <w:color w:val="auto"/>
                <w:szCs w:val="21"/>
              </w:rPr>
              <w:t>压力容器（精馏塔等）、压力管道若未经正规设计、制造、监检，违法安装与使用，易超压引起爆炸事故；安全阀、压力表等安全附件未定期校验、检定合格，一旦超压易引起爆炸事故。装置运行时作业人员违章敲击、带压维修和紧固，易产生火花引起火灾爆炸事故。现场操作设备，一旦发生火灾爆炸事故，对现场作业人员危害较大，极易引起人员伤亡。管道长期使用未定期检测，一旦发生氢气泄漏，遇点火源易引起燃爆事故。</w:t>
            </w:r>
          </w:p>
          <w:p w14:paraId="1E7712B4">
            <w:pPr>
              <w:adjustRightInd w:val="0"/>
              <w:snapToGrid w:val="0"/>
              <w:spacing w:line="320" w:lineRule="exact"/>
              <w:jc w:val="left"/>
              <w:rPr>
                <w:rFonts w:eastAsia="仿宋_GB2312"/>
                <w:color w:val="auto"/>
                <w:szCs w:val="21"/>
              </w:rPr>
            </w:pPr>
            <w:r>
              <w:rPr>
                <w:rFonts w:eastAsia="仿宋_GB2312"/>
                <w:color w:val="auto"/>
                <w:szCs w:val="21"/>
              </w:rPr>
              <w:fldChar w:fldCharType="begin"/>
            </w:r>
            <w:r>
              <w:rPr>
                <w:rFonts w:eastAsia="仿宋_GB2312"/>
                <w:color w:val="auto"/>
                <w:szCs w:val="21"/>
              </w:rPr>
              <w:instrText xml:space="preserve"> = 2 \* GB3 </w:instrText>
            </w:r>
            <w:r>
              <w:rPr>
                <w:rFonts w:eastAsia="仿宋_GB2312"/>
                <w:color w:val="auto"/>
                <w:szCs w:val="21"/>
              </w:rPr>
              <w:fldChar w:fldCharType="separate"/>
            </w:r>
            <w:r>
              <w:rPr>
                <w:rFonts w:hint="eastAsia" w:eastAsia="仿宋_GB2312"/>
                <w:color w:val="auto"/>
                <w:szCs w:val="21"/>
              </w:rPr>
              <w:t>②</w:t>
            </w:r>
            <w:r>
              <w:rPr>
                <w:rFonts w:eastAsia="仿宋_GB2312"/>
                <w:color w:val="auto"/>
                <w:szCs w:val="21"/>
              </w:rPr>
              <w:fldChar w:fldCharType="end"/>
            </w:r>
            <w:r>
              <w:rPr>
                <w:rFonts w:eastAsia="仿宋_GB2312"/>
                <w:color w:val="auto"/>
                <w:szCs w:val="21"/>
              </w:rPr>
              <w:t>蒸气、工艺（有机溶剂、腐蚀性物料等）管道属于压力管道，若焊接缺陷、超压使用或未经试压合格，一旦发生泄漏，蒸气可造成人员烫伤，氢气、有机溶剂遇点火源会造成火灾爆炸事故，腐蚀性物料可造成人员灼伤。另外，压力管道会受内部输送物料和外部环境介质的化学或电化学作用而发生腐蚀，压力管道的腐蚀破坏形式，除全面腐蚀外，还有局部腐蚀、应力腐蚀破裂、腐蚀疲劳等，其中危害最大的是应力腐蚀破裂，这种腐蚀破坏往往在没有任何先兆的情况下突然发生，造成预测不到的破坏。腐蚀既有可能大面积减薄管道的壁厚，从而导致变形或破裂，也有可能直接造成管道穿孔、开裂引起物料泄漏。</w:t>
            </w:r>
          </w:p>
          <w:p w14:paraId="59154D58">
            <w:pPr>
              <w:adjustRightInd w:val="0"/>
              <w:snapToGrid w:val="0"/>
              <w:spacing w:line="320" w:lineRule="exact"/>
              <w:jc w:val="left"/>
              <w:rPr>
                <w:rFonts w:eastAsia="仿宋_GB2312"/>
                <w:color w:val="auto"/>
                <w:szCs w:val="21"/>
              </w:rPr>
            </w:pPr>
            <w:r>
              <w:rPr>
                <w:rFonts w:eastAsia="仿宋_GB2312"/>
                <w:color w:val="auto"/>
                <w:szCs w:val="21"/>
              </w:rPr>
              <w:fldChar w:fldCharType="begin"/>
            </w:r>
            <w:r>
              <w:rPr>
                <w:rFonts w:eastAsia="仿宋_GB2312"/>
                <w:color w:val="auto"/>
                <w:szCs w:val="21"/>
              </w:rPr>
              <w:instrText xml:space="preserve"> = 3 \* GB3 </w:instrText>
            </w:r>
            <w:r>
              <w:rPr>
                <w:rFonts w:eastAsia="仿宋_GB2312"/>
                <w:color w:val="auto"/>
                <w:szCs w:val="21"/>
              </w:rPr>
              <w:fldChar w:fldCharType="separate"/>
            </w:r>
            <w:r>
              <w:rPr>
                <w:rFonts w:hint="eastAsia" w:eastAsia="仿宋_GB2312"/>
                <w:color w:val="auto"/>
                <w:szCs w:val="21"/>
              </w:rPr>
              <w:t>③</w:t>
            </w:r>
            <w:r>
              <w:rPr>
                <w:rFonts w:eastAsia="仿宋_GB2312"/>
                <w:color w:val="auto"/>
                <w:szCs w:val="21"/>
              </w:rPr>
              <w:fldChar w:fldCharType="end"/>
            </w:r>
            <w:r>
              <w:rPr>
                <w:rFonts w:eastAsia="仿宋_GB2312"/>
                <w:color w:val="auto"/>
                <w:szCs w:val="21"/>
              </w:rPr>
              <w:t>压力容器、压力管道有潜在的超压物理爆炸的危险因素，超压破裂的主要原因为设备选材、设计及制造缺陷、未经试压合格、安全附件（安全阀、压力表等）不齐全或超压时因故障未能泄放压力等等。压力容器及管道的超压爆裂产生的冲击波可造成人员伤亡、设备及建筑的损坏，并可引起火灾爆炸等次生事故。高温蒸汽泄漏可造成烫伤。</w:t>
            </w:r>
          </w:p>
          <w:p w14:paraId="21450D86">
            <w:pPr>
              <w:adjustRightInd w:val="0"/>
              <w:snapToGrid w:val="0"/>
              <w:spacing w:line="320" w:lineRule="exact"/>
              <w:jc w:val="left"/>
              <w:rPr>
                <w:rFonts w:eastAsia="仿宋_GB2312"/>
                <w:color w:val="auto"/>
                <w:szCs w:val="21"/>
              </w:rPr>
            </w:pPr>
            <w:r>
              <w:rPr>
                <w:rFonts w:eastAsia="仿宋_GB2312"/>
                <w:color w:val="auto"/>
                <w:szCs w:val="21"/>
              </w:rPr>
              <w:fldChar w:fldCharType="begin"/>
            </w:r>
            <w:r>
              <w:rPr>
                <w:rFonts w:eastAsia="仿宋_GB2312"/>
                <w:color w:val="auto"/>
                <w:szCs w:val="21"/>
              </w:rPr>
              <w:instrText xml:space="preserve"> = 4 \* GB3 </w:instrText>
            </w:r>
            <w:r>
              <w:rPr>
                <w:rFonts w:eastAsia="仿宋_GB2312"/>
                <w:color w:val="auto"/>
                <w:szCs w:val="21"/>
              </w:rPr>
              <w:fldChar w:fldCharType="separate"/>
            </w:r>
            <w:r>
              <w:rPr>
                <w:rFonts w:hint="eastAsia" w:eastAsia="仿宋_GB2312"/>
                <w:color w:val="auto"/>
                <w:szCs w:val="21"/>
              </w:rPr>
              <w:t>④</w:t>
            </w:r>
            <w:r>
              <w:rPr>
                <w:rFonts w:eastAsia="仿宋_GB2312"/>
                <w:color w:val="auto"/>
                <w:szCs w:val="21"/>
              </w:rPr>
              <w:fldChar w:fldCharType="end"/>
            </w:r>
            <w:r>
              <w:rPr>
                <w:rFonts w:eastAsia="仿宋_GB2312"/>
                <w:color w:val="auto"/>
                <w:szCs w:val="21"/>
              </w:rPr>
              <w:t>起重机械若未按规范设计、制造、安装、使用，电动葫芦有缺陷或安全装置不齐全、违章超载使用等原因可导致人身伤害事故，包括电动葫芦失衡倾翻、重物坠落、高处跌落、脱绳断绳脱钩、触电等；若对电动葫芦起吊物下方不设置保护措施，坠落物品对下方作业人员易造成重大伤害。</w:t>
            </w:r>
          </w:p>
          <w:p w14:paraId="71249E60">
            <w:pPr>
              <w:adjustRightInd w:val="0"/>
              <w:snapToGrid w:val="0"/>
              <w:spacing w:line="320" w:lineRule="exact"/>
              <w:jc w:val="left"/>
              <w:rPr>
                <w:rFonts w:eastAsia="仿宋_GB2312"/>
                <w:color w:val="auto"/>
                <w:szCs w:val="21"/>
              </w:rPr>
            </w:pPr>
            <w:r>
              <w:rPr>
                <w:rFonts w:eastAsia="仿宋_GB2312"/>
                <w:color w:val="auto"/>
                <w:szCs w:val="21"/>
              </w:rPr>
              <w:t>2、设备、管道系统的凝、堵</w:t>
            </w:r>
          </w:p>
          <w:p w14:paraId="24DCBAC5">
            <w:pPr>
              <w:adjustRightInd w:val="0"/>
              <w:snapToGrid w:val="0"/>
              <w:spacing w:line="320" w:lineRule="exact"/>
              <w:jc w:val="left"/>
              <w:rPr>
                <w:rFonts w:eastAsia="仿宋_GB2312"/>
                <w:color w:val="auto"/>
                <w:szCs w:val="21"/>
              </w:rPr>
            </w:pPr>
            <w:r>
              <w:rPr>
                <w:rFonts w:eastAsia="仿宋_GB2312"/>
                <w:color w:val="auto"/>
                <w:szCs w:val="21"/>
              </w:rPr>
              <w:t>生产一段时间后，反应釜、管道、阀门、仪表等内壁附着物料，若不定期清理，可造成传热效果差、堵塞引起憋压，测温、测液位、测pH显示不准而造成生产安全事故。</w:t>
            </w:r>
          </w:p>
          <w:p w14:paraId="42F5CEA4">
            <w:pPr>
              <w:adjustRightInd w:val="0"/>
              <w:snapToGrid w:val="0"/>
              <w:spacing w:line="320" w:lineRule="exact"/>
              <w:jc w:val="left"/>
              <w:rPr>
                <w:rFonts w:eastAsia="仿宋_GB2312"/>
                <w:color w:val="auto"/>
                <w:szCs w:val="21"/>
              </w:rPr>
            </w:pPr>
            <w:r>
              <w:rPr>
                <w:rFonts w:eastAsia="仿宋_GB2312"/>
                <w:color w:val="auto"/>
                <w:szCs w:val="21"/>
              </w:rPr>
              <w:t>3、搅拌</w:t>
            </w:r>
          </w:p>
          <w:p w14:paraId="6B053075">
            <w:pPr>
              <w:adjustRightInd w:val="0"/>
              <w:snapToGrid w:val="0"/>
              <w:spacing w:line="320" w:lineRule="exact"/>
              <w:jc w:val="left"/>
              <w:rPr>
                <w:rFonts w:eastAsia="仿宋_GB2312"/>
                <w:color w:val="auto"/>
                <w:szCs w:val="21"/>
              </w:rPr>
            </w:pPr>
            <w:r>
              <w:rPr>
                <w:rFonts w:eastAsia="仿宋_GB2312"/>
                <w:color w:val="auto"/>
                <w:szCs w:val="21"/>
              </w:rPr>
              <w:t>搅拌型式、转速等设计不合理，搅拌效果差会导致釜壁至釜中心产生明显温差，使物料不均匀，可能导致难以处理且处理过程带来危险危害。搅拌设计、安装不符合要求，会导致搅拌运行不平稳，甚至搅拌叶片刮蹭釜壁产生火花而成为燃爆事故的点火源。</w:t>
            </w:r>
          </w:p>
          <w:p w14:paraId="4120F243">
            <w:pPr>
              <w:adjustRightInd w:val="0"/>
              <w:snapToGrid w:val="0"/>
              <w:spacing w:line="320" w:lineRule="exact"/>
              <w:jc w:val="left"/>
              <w:rPr>
                <w:rFonts w:eastAsia="仿宋_GB2312"/>
                <w:color w:val="auto"/>
                <w:szCs w:val="21"/>
              </w:rPr>
            </w:pPr>
            <w:r>
              <w:rPr>
                <w:rFonts w:eastAsia="仿宋_GB2312"/>
                <w:color w:val="auto"/>
                <w:szCs w:val="21"/>
              </w:rPr>
              <w:t>4、设备设施的泄漏</w:t>
            </w:r>
          </w:p>
          <w:p w14:paraId="5CBBC142">
            <w:pPr>
              <w:adjustRightInd w:val="0"/>
              <w:snapToGrid w:val="0"/>
              <w:spacing w:line="320" w:lineRule="exact"/>
              <w:jc w:val="left"/>
              <w:rPr>
                <w:rFonts w:eastAsia="仿宋_GB2312"/>
                <w:color w:val="auto"/>
                <w:szCs w:val="21"/>
              </w:rPr>
            </w:pPr>
            <w:r>
              <w:rPr>
                <w:rFonts w:eastAsia="仿宋_GB2312"/>
                <w:color w:val="auto"/>
                <w:szCs w:val="21"/>
              </w:rPr>
              <w:t>装置中设备、容器、泵机、阀门（包括自控阀门）、管道系统（包括法兰、垫片、管件等）、仪表（包括流量计、液位计等）泄漏或人为操作失误致使物料泄漏，一方面影响正常的工艺操作安全，另一方面物料泄漏干燥后可能造成燃烧爆炸、毒物危害以及环境污染等事故。各种形式的泄漏（包括喷射式泄漏、渗漏式泄漏或满溢泄出）的常见原因有：（1）设备、管道系统的材质、安装或检修质量是泄漏的直接原因。设备在不同的工艺条件下使用，若选材不当，设备强度不够、腐蚀、与物料发生副反应，都会致设备损坏、物料泄漏。如设备、管道的焊接质量、阀门、法兰、垫片、螺纹连接的质量都会直接影响生产装置在运行中是否产生泄漏；（2）生产过程中因工艺参数控制不当造成超温或者温度、压力异常变化，引起泄漏。如反复开、停工等；（3）设备密封的损坏。如设备密封面磨损，机泵端面密封损坏，液位计损坏等；（4）操作失误导致物料放空、跑损泄漏。（5）设备、管道、管件、阀门等因腐蚀穿孔而导致物料泄漏。（6）投料、出料过程物料溢出、无组织挥发排放。</w:t>
            </w:r>
          </w:p>
          <w:p w14:paraId="29F1F797">
            <w:pPr>
              <w:adjustRightInd w:val="0"/>
              <w:snapToGrid w:val="0"/>
              <w:spacing w:line="320" w:lineRule="exact"/>
              <w:jc w:val="left"/>
              <w:rPr>
                <w:rFonts w:eastAsia="仿宋_GB2312"/>
                <w:color w:val="auto"/>
                <w:szCs w:val="21"/>
              </w:rPr>
            </w:pPr>
            <w:r>
              <w:rPr>
                <w:rFonts w:eastAsia="仿宋_GB2312"/>
                <w:color w:val="auto"/>
                <w:szCs w:val="21"/>
              </w:rPr>
              <w:t>5、涉及易燃、易爆介质</w:t>
            </w:r>
          </w:p>
          <w:p w14:paraId="42B423F0">
            <w:pPr>
              <w:adjustRightInd w:val="0"/>
              <w:snapToGrid w:val="0"/>
              <w:spacing w:line="320" w:lineRule="exact"/>
              <w:jc w:val="left"/>
              <w:rPr>
                <w:rFonts w:eastAsia="仿宋_GB2312"/>
                <w:color w:val="auto"/>
                <w:szCs w:val="21"/>
              </w:rPr>
            </w:pPr>
            <w:r>
              <w:rPr>
                <w:rFonts w:hint="eastAsia" w:eastAsia="仿宋_GB2312"/>
                <w:color w:val="auto"/>
                <w:szCs w:val="21"/>
                <w:lang w:val="en-US" w:eastAsia="zh-CN"/>
              </w:rPr>
              <w:t>生产中</w:t>
            </w:r>
            <w:r>
              <w:rPr>
                <w:rFonts w:eastAsia="仿宋_GB2312"/>
                <w:color w:val="auto"/>
                <w:szCs w:val="21"/>
              </w:rPr>
              <w:t>使用易燃与易爆介质（如四氢呋喃、乙酸乙酯、甲苯、二甲苯、丁酮等），输送时通过不同材质管道经真空抽料、泵输送、人工投料进行物料的输送，在易燃物料的输送中流速过快与管壁、釜口摩擦可产生静电，若无可靠的静电屏蔽、跨接、接地等消除静电荷积聚措施，或抽料速度超过安全流速，静电荷积聚放电而产生的静电火花可成为燃烧爆炸的点火源。</w:t>
            </w:r>
          </w:p>
          <w:p w14:paraId="13D37DFD">
            <w:pPr>
              <w:adjustRightInd w:val="0"/>
              <w:snapToGrid w:val="0"/>
              <w:spacing w:line="320" w:lineRule="exact"/>
              <w:jc w:val="left"/>
              <w:rPr>
                <w:rFonts w:eastAsia="仿宋_GB2312"/>
                <w:color w:val="auto"/>
                <w:szCs w:val="21"/>
              </w:rPr>
            </w:pPr>
            <w:r>
              <w:rPr>
                <w:rFonts w:eastAsia="仿宋_GB2312"/>
                <w:color w:val="auto"/>
                <w:szCs w:val="21"/>
              </w:rPr>
              <w:t>6、涉及腐蚀性介质</w:t>
            </w:r>
          </w:p>
          <w:p w14:paraId="3395178C">
            <w:pPr>
              <w:adjustRightInd w:val="0"/>
              <w:snapToGrid w:val="0"/>
              <w:spacing w:line="320" w:lineRule="exact"/>
              <w:jc w:val="left"/>
              <w:rPr>
                <w:rFonts w:eastAsia="仿宋_GB2312"/>
                <w:color w:val="auto"/>
                <w:szCs w:val="21"/>
              </w:rPr>
            </w:pPr>
            <w:r>
              <w:rPr>
                <w:rFonts w:hint="eastAsia" w:eastAsia="仿宋_GB2312"/>
                <w:color w:val="auto"/>
                <w:szCs w:val="21"/>
                <w:lang w:val="en-US" w:eastAsia="zh-CN"/>
              </w:rPr>
              <w:t>生产</w:t>
            </w:r>
            <w:r>
              <w:rPr>
                <w:rFonts w:eastAsia="仿宋_GB2312"/>
                <w:color w:val="auto"/>
                <w:szCs w:val="21"/>
              </w:rPr>
              <w:t>中使用的氢氧化钠、盐酸、乙酸等腐蚀性物料，对生产设备、管线、阀门、操作平台及其它设施等等存在腐蚀危害。若设备、设施材质的选择不合适或防腐处理不当，腐蚀速率较快，因腐蚀作用一旦被腐蚀破坏(材料减薄、穿孔、强度降低、密封失效等)，盐酸腐蚀产生易燃易爆氢气，物料的泄漏可导致燃爆、人员中毒、化学灼伤事故。</w:t>
            </w:r>
          </w:p>
          <w:p w14:paraId="79B51805">
            <w:pPr>
              <w:adjustRightInd w:val="0"/>
              <w:snapToGrid w:val="0"/>
              <w:spacing w:line="320" w:lineRule="exact"/>
              <w:jc w:val="left"/>
              <w:rPr>
                <w:rFonts w:eastAsia="仿宋_GB2312"/>
                <w:color w:val="auto"/>
                <w:szCs w:val="21"/>
              </w:rPr>
            </w:pPr>
            <w:r>
              <w:rPr>
                <w:rFonts w:eastAsia="仿宋_GB2312"/>
                <w:color w:val="auto"/>
                <w:szCs w:val="21"/>
              </w:rPr>
              <w:t>7、泵机</w:t>
            </w:r>
          </w:p>
          <w:p w14:paraId="6656C1C3">
            <w:pPr>
              <w:adjustRightInd w:val="0"/>
              <w:snapToGrid w:val="0"/>
              <w:spacing w:line="320" w:lineRule="exact"/>
              <w:jc w:val="left"/>
              <w:rPr>
                <w:rFonts w:eastAsia="仿宋_GB2312"/>
                <w:color w:val="auto"/>
                <w:szCs w:val="21"/>
              </w:rPr>
            </w:pPr>
            <w:r>
              <w:rPr>
                <w:rFonts w:eastAsia="仿宋_GB2312"/>
                <w:color w:val="auto"/>
                <w:szCs w:val="21"/>
              </w:rPr>
              <w:t>泵机包括输送泵、离心机、真空泵、干燥机等，运行存在的主要危险因素为泄漏及机械伤害。泵机转动部分无可靠防护罩或运行过程中违章擦试清洗等易引起机械伤害事故。引起泵机泄漏的因素较多，但主要以密封失效为主，引起密封失效的原因主要有：</w:t>
            </w:r>
            <w:r>
              <w:rPr>
                <w:rFonts w:eastAsia="仿宋_GB2312"/>
                <w:color w:val="auto"/>
                <w:szCs w:val="21"/>
              </w:rPr>
              <w:fldChar w:fldCharType="begin"/>
            </w:r>
            <w:r>
              <w:rPr>
                <w:rFonts w:eastAsia="仿宋_GB2312"/>
                <w:color w:val="auto"/>
                <w:szCs w:val="21"/>
              </w:rPr>
              <w:instrText xml:space="preserve"> = 1 \* GB3 </w:instrText>
            </w:r>
            <w:r>
              <w:rPr>
                <w:rFonts w:eastAsia="仿宋_GB2312"/>
                <w:color w:val="auto"/>
                <w:szCs w:val="21"/>
              </w:rPr>
              <w:fldChar w:fldCharType="separate"/>
            </w:r>
            <w:r>
              <w:rPr>
                <w:rFonts w:hint="eastAsia" w:eastAsia="仿宋_GB2312"/>
                <w:color w:val="auto"/>
                <w:szCs w:val="21"/>
              </w:rPr>
              <w:t>①</w:t>
            </w:r>
            <w:r>
              <w:rPr>
                <w:rFonts w:eastAsia="仿宋_GB2312"/>
                <w:color w:val="auto"/>
                <w:szCs w:val="21"/>
              </w:rPr>
              <w:fldChar w:fldCharType="end"/>
            </w:r>
            <w:r>
              <w:rPr>
                <w:rFonts w:eastAsia="仿宋_GB2312"/>
                <w:color w:val="auto"/>
                <w:szCs w:val="21"/>
              </w:rPr>
              <w:t>操作中因抽空、气蚀、长时间憋压等异常现象引起较大轴向力，使动静环接触面分离导致密封破坏；</w:t>
            </w:r>
            <w:r>
              <w:rPr>
                <w:rFonts w:eastAsia="仿宋_GB2312"/>
                <w:color w:val="auto"/>
                <w:szCs w:val="21"/>
              </w:rPr>
              <w:fldChar w:fldCharType="begin"/>
            </w:r>
            <w:r>
              <w:rPr>
                <w:rFonts w:eastAsia="仿宋_GB2312"/>
                <w:color w:val="auto"/>
                <w:szCs w:val="21"/>
              </w:rPr>
              <w:instrText xml:space="preserve"> = 2 \* GB3 </w:instrText>
            </w:r>
            <w:r>
              <w:rPr>
                <w:rFonts w:eastAsia="仿宋_GB2312"/>
                <w:color w:val="auto"/>
                <w:szCs w:val="21"/>
              </w:rPr>
              <w:fldChar w:fldCharType="separate"/>
            </w:r>
            <w:r>
              <w:rPr>
                <w:rFonts w:hint="eastAsia" w:eastAsia="仿宋_GB2312"/>
                <w:color w:val="auto"/>
                <w:szCs w:val="21"/>
              </w:rPr>
              <w:t>②</w:t>
            </w:r>
            <w:r>
              <w:rPr>
                <w:rFonts w:eastAsia="仿宋_GB2312"/>
                <w:color w:val="auto"/>
                <w:szCs w:val="21"/>
              </w:rPr>
              <w:fldChar w:fldCharType="end"/>
            </w:r>
            <w:r>
              <w:rPr>
                <w:rFonts w:eastAsia="仿宋_GB2312"/>
                <w:color w:val="auto"/>
                <w:szCs w:val="21"/>
              </w:rPr>
              <w:t>密封安装不符合规范要求，导致密封端面严重磨损、擦伤；</w:t>
            </w:r>
            <w:r>
              <w:rPr>
                <w:rFonts w:eastAsia="仿宋_GB2312"/>
                <w:color w:val="auto"/>
                <w:szCs w:val="21"/>
              </w:rPr>
              <w:fldChar w:fldCharType="begin"/>
            </w:r>
            <w:r>
              <w:rPr>
                <w:rFonts w:eastAsia="仿宋_GB2312"/>
                <w:color w:val="auto"/>
                <w:szCs w:val="21"/>
              </w:rPr>
              <w:instrText xml:space="preserve"> = 3 \* GB3 </w:instrText>
            </w:r>
            <w:r>
              <w:rPr>
                <w:rFonts w:eastAsia="仿宋_GB2312"/>
                <w:color w:val="auto"/>
                <w:szCs w:val="21"/>
              </w:rPr>
              <w:fldChar w:fldCharType="separate"/>
            </w:r>
            <w:r>
              <w:rPr>
                <w:rFonts w:hint="eastAsia" w:eastAsia="仿宋_GB2312"/>
                <w:color w:val="auto"/>
                <w:szCs w:val="21"/>
              </w:rPr>
              <w:t>③</w:t>
            </w:r>
            <w:r>
              <w:rPr>
                <w:rFonts w:eastAsia="仿宋_GB2312"/>
                <w:color w:val="auto"/>
                <w:szCs w:val="21"/>
              </w:rPr>
              <w:fldChar w:fldCharType="end"/>
            </w:r>
            <w:r>
              <w:rPr>
                <w:rFonts w:eastAsia="仿宋_GB2312"/>
                <w:color w:val="auto"/>
                <w:szCs w:val="21"/>
              </w:rPr>
              <w:t>介质中含颗粒状物质，运转中易造成密封端面导致泄漏。</w:t>
            </w:r>
            <w:r>
              <w:rPr>
                <w:rFonts w:eastAsia="仿宋_GB2312"/>
                <w:color w:val="auto"/>
                <w:szCs w:val="21"/>
              </w:rPr>
              <w:fldChar w:fldCharType="begin"/>
            </w:r>
            <w:r>
              <w:rPr>
                <w:rFonts w:eastAsia="仿宋_GB2312"/>
                <w:color w:val="auto"/>
                <w:szCs w:val="21"/>
              </w:rPr>
              <w:instrText xml:space="preserve"> = 4 \* GB3 </w:instrText>
            </w:r>
            <w:r>
              <w:rPr>
                <w:rFonts w:eastAsia="仿宋_GB2312"/>
                <w:color w:val="auto"/>
                <w:szCs w:val="21"/>
              </w:rPr>
              <w:fldChar w:fldCharType="separate"/>
            </w:r>
            <w:r>
              <w:rPr>
                <w:rFonts w:hint="eastAsia" w:eastAsia="仿宋_GB2312"/>
                <w:color w:val="auto"/>
                <w:szCs w:val="21"/>
              </w:rPr>
              <w:t>④</w:t>
            </w:r>
            <w:r>
              <w:rPr>
                <w:rFonts w:eastAsia="仿宋_GB2312"/>
                <w:color w:val="auto"/>
                <w:szCs w:val="21"/>
              </w:rPr>
              <w:fldChar w:fldCharType="end"/>
            </w:r>
            <w:r>
              <w:rPr>
                <w:rFonts w:eastAsia="仿宋_GB2312"/>
                <w:color w:val="auto"/>
                <w:szCs w:val="21"/>
              </w:rPr>
              <w:t>冷却水断水。泵机泄漏多因工况变化较大或操作、维护不当引起。泵机正常运转中突然泄漏，如不能及时发现、妥当处理，往往会酿成较大事故或损失，须予以高度重视并采取有效措施，减少工况频繁变化或调整。</w:t>
            </w:r>
          </w:p>
          <w:p w14:paraId="29544004">
            <w:pPr>
              <w:adjustRightInd w:val="0"/>
              <w:snapToGrid w:val="0"/>
              <w:spacing w:line="320" w:lineRule="exact"/>
              <w:jc w:val="left"/>
              <w:rPr>
                <w:rFonts w:eastAsia="仿宋_GB2312"/>
                <w:color w:val="auto"/>
                <w:szCs w:val="21"/>
              </w:rPr>
            </w:pPr>
            <w:r>
              <w:rPr>
                <w:rFonts w:eastAsia="仿宋_GB2312"/>
                <w:color w:val="auto"/>
                <w:szCs w:val="21"/>
              </w:rPr>
              <w:t>8、安全标识</w:t>
            </w:r>
          </w:p>
          <w:p w14:paraId="20289BB1">
            <w:pPr>
              <w:adjustRightInd w:val="0"/>
              <w:snapToGrid w:val="0"/>
              <w:spacing w:line="320" w:lineRule="exact"/>
              <w:jc w:val="left"/>
              <w:rPr>
                <w:rFonts w:eastAsia="仿宋_GB2312"/>
                <w:color w:val="auto"/>
                <w:szCs w:val="21"/>
              </w:rPr>
            </w:pPr>
            <w:r>
              <w:rPr>
                <w:rFonts w:eastAsia="仿宋_GB2312"/>
                <w:color w:val="auto"/>
                <w:szCs w:val="21"/>
              </w:rPr>
              <w:t>设备、管道、阀门及开关按钮等未按GB7231《工业管道基本识别色、识别符号和安全标识》、GB2893《安全色》及GB2894《安全标志使用导则》等标准规范要求设置显著警示标志、标示（管道、阀门应标注物料名称、流向及开启方向等；开关按钮应标明对应设备编号），可能因阀门、开关按钮开启错误导致安全生产事故。</w:t>
            </w:r>
          </w:p>
          <w:p w14:paraId="50E99EA8">
            <w:pPr>
              <w:adjustRightInd w:val="0"/>
              <w:snapToGrid w:val="0"/>
              <w:spacing w:line="320" w:lineRule="exact"/>
              <w:jc w:val="left"/>
              <w:rPr>
                <w:rFonts w:eastAsia="仿宋_GB2312"/>
                <w:color w:val="auto"/>
                <w:szCs w:val="21"/>
              </w:rPr>
            </w:pPr>
            <w:r>
              <w:rPr>
                <w:rFonts w:eastAsia="仿宋_GB2312"/>
                <w:color w:val="auto"/>
                <w:szCs w:val="21"/>
              </w:rPr>
              <w:t>9、高处设施</w:t>
            </w:r>
          </w:p>
          <w:p w14:paraId="2D786634">
            <w:pPr>
              <w:adjustRightInd w:val="0"/>
              <w:snapToGrid w:val="0"/>
              <w:spacing w:line="320" w:lineRule="exact"/>
              <w:jc w:val="left"/>
              <w:rPr>
                <w:rFonts w:eastAsia="仿宋_GB2312"/>
                <w:color w:val="auto"/>
                <w:szCs w:val="21"/>
              </w:rPr>
            </w:pPr>
            <w:r>
              <w:rPr>
                <w:rFonts w:eastAsia="仿宋_GB2312"/>
                <w:color w:val="auto"/>
                <w:szCs w:val="21"/>
              </w:rPr>
              <w:t>高处布置设备、操作平台等未按GB4053.1《固定式钢梯及平台安全要求第1部分：钢直梯》、GB4053.2《固定式钢梯及平台安全要求第2部分：钢斜梯》及GB4053.3《固定式钢梯及平台安全要求第3部分：工业防护栏杆及钢平台》等标准规范要求设置操作平台、防护栏杆（含踢脚档板）及楼梯等，存在高处坠落危险。</w:t>
            </w:r>
          </w:p>
          <w:p w14:paraId="7EF5A431">
            <w:pPr>
              <w:adjustRightInd w:val="0"/>
              <w:snapToGrid w:val="0"/>
              <w:spacing w:line="320" w:lineRule="exact"/>
              <w:jc w:val="left"/>
              <w:rPr>
                <w:rFonts w:eastAsia="仿宋_GB2312"/>
                <w:color w:val="auto"/>
                <w:szCs w:val="21"/>
              </w:rPr>
            </w:pPr>
            <w:r>
              <w:rPr>
                <w:rFonts w:eastAsia="仿宋_GB2312"/>
                <w:color w:val="auto"/>
                <w:szCs w:val="21"/>
              </w:rPr>
              <w:t>二、回转窑设施风险识别</w:t>
            </w:r>
          </w:p>
          <w:p w14:paraId="30A8DAB2">
            <w:pPr>
              <w:adjustRightInd w:val="0"/>
              <w:snapToGrid w:val="0"/>
              <w:spacing w:line="320" w:lineRule="exact"/>
              <w:jc w:val="left"/>
              <w:rPr>
                <w:rFonts w:eastAsia="仿宋_GB2312"/>
                <w:color w:val="auto"/>
                <w:szCs w:val="21"/>
              </w:rPr>
            </w:pPr>
            <w:r>
              <w:rPr>
                <w:rFonts w:eastAsia="仿宋_GB2312"/>
                <w:color w:val="auto"/>
                <w:szCs w:val="21"/>
              </w:rPr>
              <w:t>1、焚烧炉配套的烟气处理设施发生故障；</w:t>
            </w:r>
          </w:p>
          <w:p w14:paraId="58DAB1E9">
            <w:pPr>
              <w:adjustRightInd w:val="0"/>
              <w:snapToGrid w:val="0"/>
              <w:spacing w:line="320" w:lineRule="exact"/>
              <w:jc w:val="left"/>
              <w:rPr>
                <w:rFonts w:eastAsia="仿宋_GB2312"/>
                <w:color w:val="auto"/>
                <w:szCs w:val="21"/>
              </w:rPr>
            </w:pPr>
            <w:r>
              <w:rPr>
                <w:rFonts w:eastAsia="仿宋_GB2312"/>
                <w:color w:val="auto"/>
                <w:szCs w:val="21"/>
              </w:rPr>
              <w:t>2、焚烧炉内CO量过大造成爆炸事故对周围环境的影响；</w:t>
            </w:r>
          </w:p>
          <w:p w14:paraId="58E809EA">
            <w:pPr>
              <w:adjustRightInd w:val="0"/>
              <w:snapToGrid w:val="0"/>
              <w:spacing w:line="320" w:lineRule="exact"/>
              <w:jc w:val="left"/>
              <w:rPr>
                <w:rFonts w:eastAsia="仿宋_GB2312"/>
                <w:color w:val="auto"/>
                <w:szCs w:val="21"/>
              </w:rPr>
            </w:pPr>
            <w:r>
              <w:rPr>
                <w:rFonts w:eastAsia="仿宋_GB2312"/>
                <w:color w:val="auto"/>
                <w:szCs w:val="21"/>
              </w:rPr>
              <w:t>3、由于待处理的危险废物具有一定毒性，因此在储存过程中，若长期接触，有中毒的危险。</w:t>
            </w:r>
          </w:p>
          <w:p w14:paraId="58D140C8">
            <w:pPr>
              <w:adjustRightInd w:val="0"/>
              <w:snapToGrid w:val="0"/>
              <w:spacing w:line="320" w:lineRule="exact"/>
              <w:jc w:val="left"/>
              <w:rPr>
                <w:rFonts w:eastAsia="仿宋_GB2312"/>
                <w:color w:val="auto"/>
                <w:szCs w:val="21"/>
              </w:rPr>
            </w:pPr>
            <w:r>
              <w:rPr>
                <w:rFonts w:eastAsia="仿宋_GB2312"/>
                <w:color w:val="auto"/>
                <w:szCs w:val="21"/>
              </w:rPr>
              <w:t>4、焚烧过程中生成的SO</w:t>
            </w:r>
            <w:r>
              <w:rPr>
                <w:rFonts w:eastAsia="仿宋_GB2312"/>
                <w:color w:val="auto"/>
                <w:szCs w:val="21"/>
                <w:vertAlign w:val="subscript"/>
              </w:rPr>
              <w:t>2</w:t>
            </w:r>
            <w:r>
              <w:rPr>
                <w:rFonts w:eastAsia="仿宋_GB2312"/>
                <w:color w:val="auto"/>
                <w:szCs w:val="21"/>
              </w:rPr>
              <w:t>、HCl、CO、二</w:t>
            </w:r>
            <w:r>
              <w:rPr>
                <w:rFonts w:hint="eastAsia" w:ascii="宋体" w:hAnsi="宋体" w:cs="宋体"/>
                <w:color w:val="auto"/>
                <w:szCs w:val="21"/>
              </w:rPr>
              <w:t>噁</w:t>
            </w:r>
            <w:r>
              <w:rPr>
                <w:rFonts w:hint="eastAsia" w:ascii="仿宋_GB2312" w:hAnsi="仿宋_GB2312" w:eastAsia="仿宋_GB2312" w:cs="仿宋_GB2312"/>
                <w:color w:val="auto"/>
                <w:szCs w:val="21"/>
              </w:rPr>
              <w:t>英类等气体具有不同程度的毒性，因泄漏或长期吸入，有引起窒息或中毒的危险；其中二</w:t>
            </w:r>
            <w:r>
              <w:rPr>
                <w:rFonts w:hint="eastAsia" w:ascii="宋体" w:hAnsi="宋体" w:cs="宋体"/>
                <w:color w:val="auto"/>
                <w:szCs w:val="21"/>
              </w:rPr>
              <w:t>噁</w:t>
            </w:r>
            <w:r>
              <w:rPr>
                <w:rFonts w:hint="eastAsia" w:ascii="仿宋_GB2312" w:hAnsi="仿宋_GB2312" w:eastAsia="仿宋_GB2312" w:cs="仿宋_GB2312"/>
                <w:color w:val="auto"/>
                <w:szCs w:val="21"/>
              </w:rPr>
              <w:t>英类毒性极大，对人群健康影响极大。</w:t>
            </w:r>
          </w:p>
          <w:p w14:paraId="6EAF0C46">
            <w:pPr>
              <w:adjustRightInd w:val="0"/>
              <w:snapToGrid w:val="0"/>
              <w:spacing w:line="320" w:lineRule="exact"/>
              <w:jc w:val="left"/>
              <w:rPr>
                <w:rFonts w:eastAsia="仿宋_GB2312"/>
                <w:color w:val="auto"/>
                <w:szCs w:val="21"/>
              </w:rPr>
            </w:pPr>
            <w:r>
              <w:rPr>
                <w:rFonts w:eastAsia="仿宋_GB2312"/>
                <w:color w:val="auto"/>
                <w:szCs w:val="21"/>
              </w:rPr>
              <w:t>5、发生火灾时产生的CO、CO</w:t>
            </w:r>
            <w:r>
              <w:rPr>
                <w:rFonts w:eastAsia="仿宋_GB2312"/>
                <w:color w:val="auto"/>
                <w:szCs w:val="21"/>
                <w:vertAlign w:val="subscript"/>
              </w:rPr>
              <w:t>2</w:t>
            </w:r>
            <w:r>
              <w:rPr>
                <w:rFonts w:eastAsia="仿宋_GB2312"/>
                <w:color w:val="auto"/>
                <w:szCs w:val="21"/>
              </w:rPr>
              <w:t>及其它有毒有害气体，可造成人员的二次伤害。</w:t>
            </w:r>
          </w:p>
          <w:p w14:paraId="4C76CE8B">
            <w:pPr>
              <w:adjustRightInd w:val="0"/>
              <w:snapToGrid w:val="0"/>
              <w:spacing w:line="320" w:lineRule="exact"/>
              <w:jc w:val="left"/>
              <w:rPr>
                <w:rFonts w:eastAsia="仿宋_GB2312"/>
                <w:color w:val="auto"/>
                <w:szCs w:val="21"/>
              </w:rPr>
            </w:pPr>
            <w:r>
              <w:rPr>
                <w:rFonts w:eastAsia="仿宋_GB2312"/>
                <w:color w:val="auto"/>
                <w:szCs w:val="21"/>
              </w:rPr>
              <w:t>6、当控制系统出现故障且未及时发现，压力和温度未得到有效控制而导致燃烧爆炸事故，造成对周围环境、工作人员的伤害和影响。</w:t>
            </w:r>
          </w:p>
          <w:p w14:paraId="04DE80BE">
            <w:pPr>
              <w:adjustRightInd w:val="0"/>
              <w:snapToGrid w:val="0"/>
              <w:spacing w:line="320" w:lineRule="exact"/>
              <w:jc w:val="left"/>
              <w:rPr>
                <w:rFonts w:eastAsia="仿宋_GB2312"/>
                <w:color w:val="FF0000"/>
                <w:szCs w:val="21"/>
              </w:rPr>
            </w:pPr>
            <w:r>
              <w:rPr>
                <w:rFonts w:eastAsia="仿宋_GB2312"/>
                <w:color w:val="auto"/>
                <w:szCs w:val="21"/>
              </w:rPr>
              <w:t>7、焚烧炉采用柴油作为燃料，企业管理或者操作不当，柴油使用过程可能发生泄漏，从而引起火灾、爆炸事故。</w:t>
            </w:r>
          </w:p>
        </w:tc>
      </w:tr>
      <w:tr w14:paraId="1D6174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59" w:type="dxa"/>
            <w:vAlign w:val="center"/>
          </w:tcPr>
          <w:p w14:paraId="2D3417A6">
            <w:pPr>
              <w:snapToGrid w:val="0"/>
              <w:spacing w:line="240" w:lineRule="exact"/>
              <w:jc w:val="center"/>
              <w:rPr>
                <w:rFonts w:eastAsia="仿宋_GB2312"/>
                <w:color w:val="FF0000"/>
                <w:szCs w:val="21"/>
                <w:highlight w:val="yellow"/>
              </w:rPr>
            </w:pPr>
            <w:r>
              <w:rPr>
                <w:rFonts w:eastAsia="仿宋_GB2312"/>
                <w:color w:val="auto"/>
                <w:szCs w:val="21"/>
              </w:rPr>
              <w:t>储运设施</w:t>
            </w:r>
          </w:p>
        </w:tc>
        <w:tc>
          <w:tcPr>
            <w:tcW w:w="7558" w:type="dxa"/>
            <w:vAlign w:val="center"/>
          </w:tcPr>
          <w:p w14:paraId="427BF78C">
            <w:pPr>
              <w:adjustRightInd w:val="0"/>
              <w:snapToGrid w:val="0"/>
              <w:spacing w:line="320" w:lineRule="exact"/>
              <w:jc w:val="left"/>
              <w:rPr>
                <w:rFonts w:eastAsia="仿宋_GB2312"/>
                <w:color w:val="auto"/>
                <w:szCs w:val="21"/>
              </w:rPr>
            </w:pPr>
            <w:r>
              <w:rPr>
                <w:rFonts w:eastAsia="仿宋_GB2312"/>
                <w:color w:val="auto"/>
                <w:szCs w:val="21"/>
              </w:rPr>
              <w:t>一、储罐区</w:t>
            </w:r>
          </w:p>
          <w:p w14:paraId="4A40D405">
            <w:pPr>
              <w:adjustRightInd w:val="0"/>
              <w:snapToGrid w:val="0"/>
              <w:spacing w:line="320" w:lineRule="exact"/>
              <w:jc w:val="left"/>
              <w:rPr>
                <w:rFonts w:eastAsia="仿宋_GB2312"/>
                <w:color w:val="auto"/>
                <w:szCs w:val="21"/>
              </w:rPr>
            </w:pPr>
            <w:r>
              <w:rPr>
                <w:rFonts w:eastAsia="仿宋_GB2312"/>
                <w:color w:val="auto"/>
                <w:szCs w:val="21"/>
              </w:rPr>
              <w:t>储罐区储存物料数量较大，所储物料具有火灾、爆炸危险性，因此在储运过程中最主要的危险性是储运物料的泄漏、挥发而发生的火灾、爆炸事故。泄漏可能发生在储罐、管线、泵体。当泄漏物料与空气混合物处于爆炸极限范围内，遇点火源就会发生爆炸事故。点火源可能是明火(包括违章动火)、电气火花、摩擦撞击火花、交通工具排气管火花、静电荷积聚引起的放电火花及雷电危害等。主要危险情况如下：</w:t>
            </w:r>
            <w:r>
              <w:rPr>
                <w:rFonts w:hint="eastAsia" w:ascii="宋体" w:hAnsi="宋体" w:cs="宋体"/>
                <w:color w:val="auto"/>
                <w:szCs w:val="21"/>
              </w:rPr>
              <w:t>①</w:t>
            </w:r>
            <w:r>
              <w:rPr>
                <w:rFonts w:eastAsia="仿宋_GB2312"/>
                <w:color w:val="auto"/>
                <w:szCs w:val="21"/>
              </w:rPr>
              <w:t>储罐因基础沉降不匀而导致罐体撕裂、罐体焊缝开裂等原因将造成罐体的整体性破裂，物料的突然大量泄漏可酿成重大的火灾爆炸事故。</w:t>
            </w:r>
            <w:r>
              <w:rPr>
                <w:rFonts w:hint="eastAsia" w:ascii="宋体" w:hAnsi="宋体" w:cs="宋体"/>
                <w:color w:val="auto"/>
                <w:szCs w:val="21"/>
              </w:rPr>
              <w:t>②</w:t>
            </w:r>
            <w:r>
              <w:rPr>
                <w:rFonts w:eastAsia="仿宋_GB2312"/>
                <w:color w:val="auto"/>
                <w:szCs w:val="21"/>
              </w:rPr>
              <w:t>储罐的安全附件如呼吸阀及阻火器堵塞、温度及液位指示失灵，有可能在物料储存中发生储罐设备承压和易燃液体满溢等事故。</w:t>
            </w:r>
            <w:r>
              <w:rPr>
                <w:rFonts w:hint="eastAsia" w:ascii="宋体" w:hAnsi="宋体" w:cs="宋体"/>
                <w:color w:val="auto"/>
                <w:szCs w:val="21"/>
              </w:rPr>
              <w:t>③</w:t>
            </w:r>
            <w:r>
              <w:rPr>
                <w:rFonts w:eastAsia="仿宋_GB2312"/>
                <w:color w:val="auto"/>
                <w:szCs w:val="21"/>
              </w:rPr>
              <w:t>储罐的进、出料阀门及其输送泵、管线损坏、破裂可导致物料的连续泄漏，若不及时正确处置，泄漏物料遇点火源可造成火灾爆炸事故。</w:t>
            </w:r>
            <w:r>
              <w:rPr>
                <w:rFonts w:hint="eastAsia" w:ascii="宋体" w:hAnsi="宋体" w:cs="宋体"/>
                <w:color w:val="auto"/>
                <w:szCs w:val="21"/>
              </w:rPr>
              <w:t>④</w:t>
            </w:r>
            <w:r>
              <w:rPr>
                <w:rFonts w:eastAsia="仿宋_GB2312"/>
                <w:color w:val="auto"/>
                <w:szCs w:val="21"/>
              </w:rPr>
              <w:t>储罐进料量的控制十分重要。因控制系统故障、仪表显示不灵或人为操作失误造成物料满溢是罐区造成事故的主要常见的原因之一。槽罐车在卸料过程中也容易造成物料的泄漏、挥发。</w:t>
            </w:r>
            <w:r>
              <w:rPr>
                <w:rFonts w:hint="eastAsia" w:ascii="宋体" w:hAnsi="宋体" w:cs="宋体"/>
                <w:color w:val="auto"/>
                <w:szCs w:val="21"/>
              </w:rPr>
              <w:t>⑤</w:t>
            </w:r>
            <w:r>
              <w:rPr>
                <w:rFonts w:eastAsia="仿宋_GB2312"/>
                <w:color w:val="auto"/>
                <w:szCs w:val="21"/>
              </w:rPr>
              <w:t>储罐的检修、进入罐内作业，尤其是动火检修作业，若不严格执行作业规程，均可导致重大事故的发生。</w:t>
            </w:r>
            <w:r>
              <w:rPr>
                <w:rFonts w:hint="eastAsia" w:ascii="宋体" w:hAnsi="宋体" w:cs="宋体"/>
                <w:color w:val="auto"/>
                <w:szCs w:val="21"/>
              </w:rPr>
              <w:t>⑥</w:t>
            </w:r>
            <w:r>
              <w:rPr>
                <w:rFonts w:eastAsia="仿宋_GB2312"/>
                <w:color w:val="auto"/>
                <w:szCs w:val="21"/>
              </w:rPr>
              <w:t>储罐四周的防火堤若不完备或有损坏、不防渗，一旦物料泄漏将造成四处蔓延，扩大事故后果。同时，若罐区不正确设置水封井、切断阀，雨水与污水不能分开排放，泄漏物料可在下水道、水体中可造成环境污染或发生火灾事故。</w:t>
            </w:r>
          </w:p>
          <w:p w14:paraId="34128E12">
            <w:pPr>
              <w:adjustRightInd w:val="0"/>
              <w:snapToGrid w:val="0"/>
              <w:spacing w:line="320" w:lineRule="exact"/>
              <w:jc w:val="left"/>
              <w:rPr>
                <w:rFonts w:eastAsia="仿宋_GB2312"/>
                <w:color w:val="auto"/>
                <w:szCs w:val="21"/>
              </w:rPr>
            </w:pPr>
            <w:r>
              <w:rPr>
                <w:rFonts w:hint="eastAsia" w:eastAsia="仿宋_GB2312"/>
                <w:color w:val="auto"/>
                <w:szCs w:val="21"/>
                <w:lang w:val="en-US" w:eastAsia="zh-CN"/>
              </w:rPr>
              <w:t>二</w:t>
            </w:r>
            <w:r>
              <w:rPr>
                <w:rFonts w:eastAsia="仿宋_GB2312"/>
                <w:color w:val="auto"/>
                <w:szCs w:val="21"/>
              </w:rPr>
              <w:t>、仓库</w:t>
            </w:r>
          </w:p>
          <w:p w14:paraId="46E1229A">
            <w:pPr>
              <w:adjustRightInd w:val="0"/>
              <w:snapToGrid w:val="0"/>
              <w:spacing w:line="320" w:lineRule="exact"/>
              <w:jc w:val="left"/>
              <w:rPr>
                <w:rFonts w:eastAsia="仿宋_GB2312"/>
                <w:color w:val="auto"/>
                <w:szCs w:val="21"/>
              </w:rPr>
            </w:pPr>
            <w:r>
              <w:rPr>
                <w:rFonts w:eastAsia="仿宋_GB2312"/>
                <w:color w:val="auto"/>
                <w:szCs w:val="21"/>
              </w:rPr>
              <w:t>（1）物料储存配置。</w:t>
            </w:r>
            <w:r>
              <w:rPr>
                <w:rFonts w:hint="eastAsia" w:ascii="宋体" w:hAnsi="宋体" w:cs="宋体"/>
                <w:color w:val="auto"/>
                <w:szCs w:val="21"/>
              </w:rPr>
              <w:t>①</w:t>
            </w:r>
            <w:r>
              <w:rPr>
                <w:rFonts w:eastAsia="仿宋_GB2312"/>
                <w:color w:val="auto"/>
                <w:szCs w:val="21"/>
              </w:rPr>
              <w:t>禁忌物料配置。日常储存中，如违章将禁忌类物料混合储存，则可因物料泄漏等原因发生物料间的化学反应，引起火灾、爆炸等安全事故。物料混存也可因火灾事故条件下其灭火方法不同造成难以扑救或扩大事故后果。</w:t>
            </w:r>
            <w:r>
              <w:rPr>
                <w:rFonts w:hint="eastAsia" w:ascii="宋体" w:hAnsi="宋体" w:cs="宋体"/>
                <w:color w:val="auto"/>
                <w:szCs w:val="21"/>
              </w:rPr>
              <w:t>②</w:t>
            </w:r>
            <w:r>
              <w:rPr>
                <w:rFonts w:eastAsia="仿宋_GB2312"/>
                <w:color w:val="auto"/>
                <w:szCs w:val="21"/>
              </w:rPr>
              <w:t>物料储存量与储存安排。仓库内物料单位面积储存量、最大储量、垛距、墙距、通道宽度应符合GB17914-17916-1999及MSDS要求。仓储物料管理不善、违章储存，则事故发生的可能性和严重程度可增大。</w:t>
            </w:r>
          </w:p>
          <w:p w14:paraId="45F95486">
            <w:pPr>
              <w:adjustRightInd w:val="0"/>
              <w:snapToGrid w:val="0"/>
              <w:spacing w:line="320" w:lineRule="exact"/>
              <w:jc w:val="left"/>
              <w:rPr>
                <w:rFonts w:eastAsia="仿宋_GB2312"/>
                <w:color w:val="auto"/>
                <w:szCs w:val="21"/>
              </w:rPr>
            </w:pPr>
            <w:r>
              <w:rPr>
                <w:rFonts w:eastAsia="仿宋_GB2312"/>
                <w:color w:val="auto"/>
                <w:szCs w:val="21"/>
              </w:rPr>
              <w:t>（2）物料泄漏。在物料搬运、堆码过程中若操作不当（摔、碰、撞、击、拖拉、滚动等），可发生泄漏；包装存在缺陷也可引发泄漏。</w:t>
            </w:r>
          </w:p>
          <w:p w14:paraId="092C65B6">
            <w:pPr>
              <w:adjustRightInd w:val="0"/>
              <w:snapToGrid w:val="0"/>
              <w:spacing w:line="320" w:lineRule="exact"/>
              <w:jc w:val="left"/>
              <w:rPr>
                <w:rFonts w:eastAsia="仿宋_GB2312"/>
                <w:color w:val="auto"/>
                <w:szCs w:val="21"/>
              </w:rPr>
            </w:pPr>
            <w:r>
              <w:rPr>
                <w:rFonts w:eastAsia="仿宋_GB2312"/>
                <w:color w:val="auto"/>
                <w:szCs w:val="21"/>
              </w:rPr>
              <w:t>（3）仓储场所条件。根据储存物料的物质特性和危险特性，选择合适的温度、湿度、光照以及通风条件。</w:t>
            </w:r>
          </w:p>
          <w:p w14:paraId="0746A01B">
            <w:pPr>
              <w:adjustRightInd w:val="0"/>
              <w:snapToGrid w:val="0"/>
              <w:spacing w:line="320" w:lineRule="exact"/>
              <w:jc w:val="left"/>
              <w:rPr>
                <w:rFonts w:eastAsia="仿宋_GB2312"/>
                <w:color w:val="auto"/>
                <w:szCs w:val="21"/>
              </w:rPr>
            </w:pPr>
            <w:r>
              <w:rPr>
                <w:rFonts w:eastAsia="仿宋_GB2312"/>
                <w:color w:val="auto"/>
                <w:szCs w:val="21"/>
              </w:rPr>
              <w:t>（4）装卸、搬运。</w:t>
            </w:r>
            <w:r>
              <w:rPr>
                <w:rFonts w:hint="eastAsia" w:ascii="宋体" w:hAnsi="宋体" w:cs="宋体"/>
                <w:color w:val="auto"/>
                <w:szCs w:val="21"/>
              </w:rPr>
              <w:t>①</w:t>
            </w:r>
            <w:r>
              <w:rPr>
                <w:rFonts w:eastAsia="仿宋_GB2312"/>
                <w:color w:val="auto"/>
                <w:szCs w:val="21"/>
              </w:rPr>
              <w:t>装卸、搬运中物料装车不稳，可发生倾倒、翻落、撞击引起包装容器破损泄漏。</w:t>
            </w:r>
            <w:r>
              <w:rPr>
                <w:rFonts w:hint="eastAsia" w:ascii="宋体" w:hAnsi="宋体" w:cs="宋体"/>
                <w:color w:val="auto"/>
                <w:szCs w:val="21"/>
              </w:rPr>
              <w:t>②</w:t>
            </w:r>
            <w:r>
              <w:rPr>
                <w:rFonts w:eastAsia="仿宋_GB2312"/>
                <w:color w:val="auto"/>
                <w:szCs w:val="21"/>
              </w:rPr>
              <w:t>搬运时包装容器破损、作业人员未正确穿戴劳动防护用品，装卸、搬运过程中可造成灼伤。</w:t>
            </w:r>
          </w:p>
          <w:p w14:paraId="3B78ECFF">
            <w:pPr>
              <w:adjustRightInd w:val="0"/>
              <w:snapToGrid w:val="0"/>
              <w:spacing w:line="320" w:lineRule="exact"/>
              <w:jc w:val="left"/>
              <w:rPr>
                <w:rFonts w:eastAsia="仿宋_GB2312"/>
                <w:color w:val="auto"/>
                <w:szCs w:val="21"/>
              </w:rPr>
            </w:pPr>
            <w:r>
              <w:rPr>
                <w:rFonts w:hint="eastAsia" w:eastAsia="仿宋_GB2312"/>
                <w:color w:val="auto"/>
                <w:szCs w:val="21"/>
                <w:lang w:val="en-US" w:eastAsia="zh-CN"/>
              </w:rPr>
              <w:t>三</w:t>
            </w:r>
            <w:r>
              <w:rPr>
                <w:rFonts w:eastAsia="仿宋_GB2312"/>
                <w:color w:val="auto"/>
                <w:szCs w:val="21"/>
              </w:rPr>
              <w:t>、物料输送管道</w:t>
            </w:r>
          </w:p>
          <w:p w14:paraId="2928CD87">
            <w:pPr>
              <w:adjustRightInd w:val="0"/>
              <w:snapToGrid w:val="0"/>
              <w:spacing w:line="320" w:lineRule="exact"/>
              <w:jc w:val="left"/>
              <w:rPr>
                <w:rFonts w:eastAsia="仿宋_GB2312"/>
                <w:color w:val="FF0000"/>
                <w:szCs w:val="21"/>
              </w:rPr>
            </w:pPr>
            <w:r>
              <w:rPr>
                <w:rFonts w:eastAsia="仿宋_GB2312"/>
                <w:color w:val="auto"/>
                <w:szCs w:val="21"/>
              </w:rPr>
              <w:t>通过大量事故统计分析，管道设计不合理，材质与制造质量低劣，安装、检修、维护不当，操作失误，外界条件恶劣，液体冲击、化学腐蚀等均有可能导致管道破裂、爆炸事故。发生管道破裂爆炸事故，不仅会影响管道的正常运行，而且还会发生连锁反应，使事故迅速蔓延和扩大，特别当管内介质有毒时，危害更大。</w:t>
            </w:r>
          </w:p>
        </w:tc>
      </w:tr>
      <w:tr w14:paraId="66889C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59" w:type="dxa"/>
            <w:vAlign w:val="center"/>
          </w:tcPr>
          <w:p w14:paraId="3EB2F522">
            <w:pPr>
              <w:snapToGrid w:val="0"/>
              <w:spacing w:line="240" w:lineRule="exact"/>
              <w:jc w:val="center"/>
              <w:rPr>
                <w:rFonts w:eastAsia="仿宋_GB2312"/>
                <w:color w:val="FF0000"/>
                <w:szCs w:val="21"/>
                <w:highlight w:val="yellow"/>
              </w:rPr>
            </w:pPr>
            <w:r>
              <w:rPr>
                <w:rFonts w:eastAsia="仿宋_GB2312"/>
                <w:color w:val="auto"/>
                <w:kern w:val="0"/>
                <w:szCs w:val="21"/>
              </w:rPr>
              <w:t>公用工程及辅助设施</w:t>
            </w:r>
          </w:p>
        </w:tc>
        <w:tc>
          <w:tcPr>
            <w:tcW w:w="7558" w:type="dxa"/>
            <w:vAlign w:val="center"/>
          </w:tcPr>
          <w:p w14:paraId="7272ECD2">
            <w:pPr>
              <w:adjustRightInd w:val="0"/>
              <w:snapToGrid w:val="0"/>
              <w:spacing w:line="320" w:lineRule="exact"/>
              <w:jc w:val="left"/>
              <w:rPr>
                <w:rFonts w:eastAsia="仿宋_GB2312"/>
                <w:color w:val="auto"/>
                <w:szCs w:val="21"/>
              </w:rPr>
            </w:pPr>
            <w:r>
              <w:rPr>
                <w:rFonts w:eastAsia="仿宋_GB2312"/>
                <w:color w:val="auto"/>
                <w:szCs w:val="21"/>
              </w:rPr>
              <w:t>（1）变配电站和输电</w:t>
            </w:r>
          </w:p>
          <w:p w14:paraId="3DF41B77">
            <w:pPr>
              <w:adjustRightInd w:val="0"/>
              <w:snapToGrid w:val="0"/>
              <w:spacing w:line="320" w:lineRule="exact"/>
              <w:jc w:val="left"/>
              <w:rPr>
                <w:rFonts w:eastAsia="仿宋_GB2312"/>
                <w:color w:val="auto"/>
                <w:szCs w:val="21"/>
              </w:rPr>
            </w:pPr>
            <w:r>
              <w:rPr>
                <w:rFonts w:hint="eastAsia" w:ascii="宋体" w:hAnsi="宋体" w:cs="宋体"/>
                <w:color w:val="auto"/>
                <w:szCs w:val="21"/>
              </w:rPr>
              <w:t>①</w:t>
            </w:r>
            <w:r>
              <w:rPr>
                <w:rFonts w:eastAsia="仿宋_GB2312"/>
                <w:color w:val="auto"/>
                <w:szCs w:val="21"/>
              </w:rPr>
              <w:t>失电的危险性</w:t>
            </w:r>
          </w:p>
          <w:p w14:paraId="05798232">
            <w:pPr>
              <w:adjustRightInd w:val="0"/>
              <w:snapToGrid w:val="0"/>
              <w:spacing w:line="320" w:lineRule="exact"/>
              <w:jc w:val="left"/>
              <w:rPr>
                <w:rFonts w:eastAsia="仿宋_GB2312"/>
                <w:color w:val="auto"/>
                <w:szCs w:val="21"/>
              </w:rPr>
            </w:pPr>
            <w:r>
              <w:rPr>
                <w:rFonts w:eastAsia="仿宋_GB2312"/>
                <w:color w:val="auto"/>
                <w:szCs w:val="21"/>
              </w:rPr>
              <w:t>生产装置的生产过程中如发生供电中断甚至会引发可燃性物质泄漏及爆炸，产生不良的后果。因此在化工安全生产过程中对供电可靠性、连续性的要求，对不同的生产装置采用不同的供电形式。项目供电采用双电源供给方式。对装置中的重要设备，所有装置中的自控仪表用电、关键仪表用电负荷考虑配备应急保安电源。</w:t>
            </w:r>
          </w:p>
          <w:p w14:paraId="2184783B">
            <w:pPr>
              <w:adjustRightInd w:val="0"/>
              <w:snapToGrid w:val="0"/>
              <w:spacing w:line="320" w:lineRule="exact"/>
              <w:jc w:val="left"/>
              <w:rPr>
                <w:rFonts w:eastAsia="仿宋_GB2312"/>
                <w:color w:val="auto"/>
                <w:szCs w:val="21"/>
              </w:rPr>
            </w:pPr>
            <w:r>
              <w:rPr>
                <w:rFonts w:eastAsia="仿宋_GB2312"/>
                <w:color w:val="auto"/>
                <w:szCs w:val="21"/>
              </w:rPr>
              <w:t>工厂消防水泵供电采用双回路备用电源，以确保企业正常生产的消防应急安全需要。</w:t>
            </w:r>
          </w:p>
          <w:p w14:paraId="72052E85">
            <w:pPr>
              <w:adjustRightInd w:val="0"/>
              <w:snapToGrid w:val="0"/>
              <w:spacing w:line="320" w:lineRule="exact"/>
              <w:jc w:val="left"/>
              <w:rPr>
                <w:rFonts w:eastAsia="仿宋_GB2312"/>
                <w:color w:val="auto"/>
                <w:szCs w:val="21"/>
              </w:rPr>
            </w:pPr>
            <w:r>
              <w:rPr>
                <w:rFonts w:hint="eastAsia" w:ascii="宋体" w:hAnsi="宋体" w:cs="宋体"/>
                <w:color w:val="auto"/>
                <w:szCs w:val="21"/>
              </w:rPr>
              <w:t>②</w:t>
            </w:r>
            <w:r>
              <w:rPr>
                <w:rFonts w:eastAsia="仿宋_GB2312"/>
                <w:color w:val="auto"/>
                <w:szCs w:val="21"/>
              </w:rPr>
              <w:t>企业变配电站火灾危险性</w:t>
            </w:r>
          </w:p>
          <w:p w14:paraId="041C17F2">
            <w:pPr>
              <w:adjustRightInd w:val="0"/>
              <w:snapToGrid w:val="0"/>
              <w:spacing w:line="320" w:lineRule="exact"/>
              <w:jc w:val="left"/>
              <w:rPr>
                <w:rFonts w:eastAsia="仿宋_GB2312"/>
                <w:color w:val="auto"/>
                <w:szCs w:val="21"/>
              </w:rPr>
            </w:pPr>
            <w:r>
              <w:rPr>
                <w:rFonts w:eastAsia="仿宋_GB2312"/>
                <w:color w:val="auto"/>
                <w:szCs w:val="21"/>
              </w:rPr>
              <w:t>变压器及电气设备的火灾、爆炸:变电、输电、配电、用电的电气设备如变压器、高压开关柜、配电装置、电动机、照明装置等，在严重过热和故障情况下，容易引起火灾。尤其是充油设备，火灾危险更大，如变压器中的变压器油为可燃液体，其蒸气和空气混合物形成爆炸性气体，遇明火就可以发生爆炸。变压器等电气设备中的绝缘材料大多为可燃性物质，容易发生火灾危险。油浸变压器，储油量大，此类火灾一般都是喷油燃烧，火势迅猛。</w:t>
            </w:r>
          </w:p>
          <w:p w14:paraId="44CF6173">
            <w:pPr>
              <w:adjustRightInd w:val="0"/>
              <w:snapToGrid w:val="0"/>
              <w:spacing w:line="320" w:lineRule="exact"/>
              <w:jc w:val="left"/>
              <w:rPr>
                <w:rFonts w:eastAsia="仿宋_GB2312"/>
                <w:color w:val="auto"/>
                <w:szCs w:val="21"/>
              </w:rPr>
            </w:pPr>
            <w:r>
              <w:rPr>
                <w:rFonts w:eastAsia="仿宋_GB2312"/>
                <w:color w:val="auto"/>
                <w:szCs w:val="21"/>
              </w:rPr>
              <w:t>（2）给排水</w:t>
            </w:r>
          </w:p>
          <w:p w14:paraId="55EEF04F">
            <w:pPr>
              <w:adjustRightInd w:val="0"/>
              <w:snapToGrid w:val="0"/>
              <w:spacing w:line="320" w:lineRule="exact"/>
              <w:jc w:val="left"/>
              <w:rPr>
                <w:rFonts w:eastAsia="仿宋_GB2312"/>
                <w:color w:val="auto"/>
                <w:szCs w:val="21"/>
              </w:rPr>
            </w:pPr>
            <w:r>
              <w:rPr>
                <w:rFonts w:hint="eastAsia" w:ascii="宋体" w:hAnsi="宋体" w:cs="宋体"/>
                <w:color w:val="auto"/>
                <w:szCs w:val="21"/>
              </w:rPr>
              <w:t>①</w:t>
            </w:r>
            <w:r>
              <w:rPr>
                <w:rFonts w:eastAsia="仿宋_GB2312"/>
                <w:color w:val="auto"/>
                <w:szCs w:val="21"/>
              </w:rPr>
              <w:t>供水</w:t>
            </w:r>
            <w:r>
              <w:rPr>
                <w:rFonts w:hint="eastAsia" w:eastAsia="仿宋_GB2312"/>
                <w:color w:val="auto"/>
                <w:szCs w:val="21"/>
                <w:lang w:eastAsia="zh-CN"/>
              </w:rPr>
              <w:t>：</w:t>
            </w:r>
            <w:r>
              <w:rPr>
                <w:rFonts w:eastAsia="仿宋_GB2312"/>
                <w:color w:val="auto"/>
                <w:szCs w:val="21"/>
              </w:rPr>
              <w:t>消防用水供水不可靠情况下，一旦发生火灾，无法及时以大量水冷却，可造成火灾的蔓延、扩大。当物料喷溅于人体上，如人体部位受到腐蚀品、毒物玷污，应以大量清水立即冲洗，在没有冲洗水情况下，将延误现场急救时机。</w:t>
            </w:r>
          </w:p>
          <w:p w14:paraId="0E1213A7">
            <w:pPr>
              <w:adjustRightInd w:val="0"/>
              <w:snapToGrid w:val="0"/>
              <w:spacing w:line="320" w:lineRule="exact"/>
              <w:jc w:val="left"/>
              <w:rPr>
                <w:rFonts w:eastAsia="仿宋_GB2312"/>
                <w:color w:val="FF0000"/>
                <w:szCs w:val="21"/>
              </w:rPr>
            </w:pPr>
            <w:r>
              <w:rPr>
                <w:rFonts w:hint="eastAsia" w:ascii="宋体" w:hAnsi="宋体" w:cs="宋体"/>
                <w:color w:val="auto"/>
                <w:szCs w:val="21"/>
              </w:rPr>
              <w:t>②</w:t>
            </w:r>
            <w:r>
              <w:rPr>
                <w:rFonts w:eastAsia="仿宋_GB2312"/>
                <w:color w:val="auto"/>
                <w:szCs w:val="21"/>
              </w:rPr>
              <w:t>排水</w:t>
            </w:r>
            <w:r>
              <w:rPr>
                <w:rFonts w:hint="eastAsia" w:eastAsia="仿宋_GB2312"/>
                <w:color w:val="auto"/>
                <w:szCs w:val="21"/>
                <w:lang w:eastAsia="zh-CN"/>
              </w:rPr>
              <w:t>：</w:t>
            </w:r>
            <w:r>
              <w:rPr>
                <w:rFonts w:eastAsia="仿宋_GB2312"/>
                <w:color w:val="auto"/>
                <w:szCs w:val="21"/>
              </w:rPr>
              <w:t>洪涝：由于化工生产企业固有的危险特征，一旦发生洪涝灾害，将构成严重的安全威胁。企业储存大量的化学品，这些化学品存在燃爆危险性、腐蚀性及毒物危害性。当这些化学品的包装物浸泡在水体中，不可避免地将发生泄漏。</w:t>
            </w:r>
          </w:p>
        </w:tc>
      </w:tr>
      <w:tr w14:paraId="00F1FC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59" w:type="dxa"/>
            <w:vAlign w:val="center"/>
          </w:tcPr>
          <w:p w14:paraId="21F9E15C">
            <w:pPr>
              <w:snapToGrid w:val="0"/>
              <w:spacing w:line="240" w:lineRule="exact"/>
              <w:jc w:val="center"/>
              <w:rPr>
                <w:rFonts w:eastAsia="仿宋_GB2312"/>
                <w:iCs/>
                <w:color w:val="auto"/>
                <w:kern w:val="0"/>
                <w:szCs w:val="21"/>
                <w:highlight w:val="yellow"/>
              </w:rPr>
            </w:pPr>
            <w:r>
              <w:rPr>
                <w:rFonts w:eastAsia="仿宋_GB2312"/>
                <w:iCs/>
                <w:color w:val="auto"/>
                <w:kern w:val="0"/>
                <w:szCs w:val="21"/>
              </w:rPr>
              <w:t>环保处理设施</w:t>
            </w:r>
          </w:p>
        </w:tc>
        <w:tc>
          <w:tcPr>
            <w:tcW w:w="7558" w:type="dxa"/>
            <w:vAlign w:val="center"/>
          </w:tcPr>
          <w:p w14:paraId="0A473A0D">
            <w:pPr>
              <w:adjustRightInd w:val="0"/>
              <w:snapToGrid w:val="0"/>
              <w:spacing w:line="320" w:lineRule="exact"/>
              <w:jc w:val="left"/>
              <w:rPr>
                <w:rFonts w:eastAsia="仿宋_GB2312"/>
                <w:color w:val="auto"/>
                <w:szCs w:val="21"/>
              </w:rPr>
            </w:pPr>
            <w:r>
              <w:rPr>
                <w:rFonts w:eastAsia="仿宋_GB2312"/>
                <w:color w:val="auto"/>
                <w:szCs w:val="21"/>
              </w:rPr>
              <w:t>1、废气收集处理系统出现故障可能导致废气的事故排放。</w:t>
            </w:r>
          </w:p>
          <w:p w14:paraId="698ABDF7">
            <w:pPr>
              <w:adjustRightInd w:val="0"/>
              <w:snapToGrid w:val="0"/>
              <w:spacing w:line="320" w:lineRule="exact"/>
              <w:jc w:val="left"/>
              <w:rPr>
                <w:rFonts w:eastAsia="仿宋_GB2312"/>
                <w:color w:val="auto"/>
                <w:szCs w:val="21"/>
              </w:rPr>
            </w:pPr>
            <w:r>
              <w:rPr>
                <w:rFonts w:eastAsia="仿宋_GB2312"/>
                <w:color w:val="auto"/>
                <w:szCs w:val="21"/>
              </w:rPr>
              <w:t>2、厂内污水处理站污水处理系统出现故障会引起废水处理不充分导致出水超过常州民生环保科技有限公司接管标准。</w:t>
            </w:r>
          </w:p>
          <w:p w14:paraId="0AA6A43F">
            <w:pPr>
              <w:adjustRightInd w:val="0"/>
              <w:snapToGrid w:val="0"/>
              <w:spacing w:line="320" w:lineRule="exact"/>
              <w:jc w:val="left"/>
              <w:rPr>
                <w:rFonts w:eastAsia="仿宋_GB2312"/>
                <w:color w:val="auto"/>
                <w:szCs w:val="21"/>
              </w:rPr>
            </w:pPr>
            <w:r>
              <w:rPr>
                <w:rFonts w:eastAsia="仿宋_GB2312"/>
                <w:color w:val="auto"/>
                <w:szCs w:val="21"/>
              </w:rPr>
              <w:t>3、厂内废水处理设施若未做好防渗措施，发生泄漏将污染地下水及土壤。</w:t>
            </w:r>
          </w:p>
          <w:p w14:paraId="35F7AD80">
            <w:pPr>
              <w:adjustRightInd w:val="0"/>
              <w:snapToGrid w:val="0"/>
              <w:spacing w:line="320" w:lineRule="exact"/>
              <w:jc w:val="left"/>
              <w:rPr>
                <w:rFonts w:eastAsia="仿宋_GB2312"/>
                <w:color w:val="auto"/>
                <w:szCs w:val="21"/>
              </w:rPr>
            </w:pPr>
            <w:r>
              <w:rPr>
                <w:rFonts w:eastAsia="仿宋_GB2312"/>
                <w:color w:val="auto"/>
                <w:szCs w:val="21"/>
              </w:rPr>
              <w:t>4、本厂区内突发性泄漏和火灾爆炸事故泄漏、伴生和次生的泄漏物料、污水、消防废水可能直接进入厂内污水管网和雨水管网，未经处理后排入园区污水和雨水管网，给污水处理厂造成一定的冲击及造成周边水环境污染。</w:t>
            </w:r>
          </w:p>
          <w:p w14:paraId="79C7CC35">
            <w:pPr>
              <w:adjustRightInd w:val="0"/>
              <w:snapToGrid w:val="0"/>
              <w:spacing w:line="320" w:lineRule="exact"/>
              <w:jc w:val="left"/>
              <w:rPr>
                <w:rFonts w:eastAsia="仿宋_GB2312"/>
                <w:color w:val="auto"/>
                <w:szCs w:val="21"/>
              </w:rPr>
            </w:pPr>
            <w:r>
              <w:rPr>
                <w:rFonts w:eastAsia="仿宋_GB2312"/>
                <w:color w:val="auto"/>
                <w:szCs w:val="21"/>
              </w:rPr>
              <w:t>5、固废堆放场所的废料意外泄漏，若“三防”措施不到位，泄漏物将影响外环境并通过地面渗漏进而影响土壤和地下水。</w:t>
            </w:r>
          </w:p>
        </w:tc>
      </w:tr>
    </w:tbl>
    <w:p w14:paraId="4117DBA6">
      <w:pPr>
        <w:rPr>
          <w:rFonts w:eastAsia="仿宋_GB2312"/>
          <w:color w:val="FF0000"/>
          <w:sz w:val="28"/>
          <w:szCs w:val="28"/>
        </w:rPr>
      </w:pPr>
    </w:p>
    <w:p w14:paraId="5D3D747C">
      <w:pPr>
        <w:rPr>
          <w:rFonts w:eastAsia="仿宋_GB2312"/>
          <w:color w:val="FF0000"/>
          <w:sz w:val="28"/>
          <w:szCs w:val="28"/>
        </w:rPr>
      </w:pPr>
    </w:p>
    <w:p w14:paraId="0409FFF9">
      <w:pPr>
        <w:rPr>
          <w:rFonts w:eastAsia="仿宋_GB2312"/>
          <w:color w:val="FF0000"/>
          <w:sz w:val="28"/>
          <w:szCs w:val="28"/>
        </w:rPr>
      </w:pPr>
      <w:r>
        <w:rPr>
          <w:rFonts w:eastAsia="仿宋_GB2312"/>
          <w:color w:val="FF0000"/>
          <w:sz w:val="28"/>
          <w:szCs w:val="28"/>
        </w:rPr>
        <w:br w:type="page"/>
      </w:r>
    </w:p>
    <w:p w14:paraId="2B5A81D6">
      <w:pPr>
        <w:pStyle w:val="6"/>
        <w:tabs>
          <w:tab w:val="left" w:pos="709"/>
        </w:tabs>
        <w:spacing w:before="120" w:beforeLines="50" w:after="120" w:afterLines="50" w:line="500" w:lineRule="exact"/>
        <w:rPr>
          <w:rFonts w:eastAsia="仿宋_GB2312"/>
          <w:color w:val="auto"/>
          <w:sz w:val="28"/>
          <w:szCs w:val="28"/>
        </w:rPr>
      </w:pPr>
      <w:bookmarkStart w:id="58" w:name="_Toc10785"/>
      <w:r>
        <w:rPr>
          <w:rFonts w:eastAsia="仿宋_GB2312"/>
          <w:color w:val="auto"/>
          <w:sz w:val="28"/>
          <w:szCs w:val="28"/>
        </w:rPr>
        <w:t>3.8.2本项目环境风险识别</w:t>
      </w:r>
      <w:bookmarkEnd w:id="58"/>
    </w:p>
    <w:p w14:paraId="1E606778">
      <w:pPr>
        <w:pStyle w:val="7"/>
        <w:keepLines w:val="0"/>
        <w:widowControl/>
        <w:adjustRightInd w:val="0"/>
        <w:snapToGrid w:val="0"/>
        <w:spacing w:after="60" w:afterLines="25"/>
        <w:jc w:val="left"/>
        <w:rPr>
          <w:rFonts w:ascii="Times New Roman" w:hAnsi="Times New Roman"/>
          <w:b/>
          <w:color w:val="auto"/>
        </w:rPr>
      </w:pPr>
      <w:r>
        <w:rPr>
          <w:rFonts w:ascii="Times New Roman" w:hAnsi="Times New Roman"/>
          <w:b/>
          <w:color w:val="auto"/>
        </w:rPr>
        <w:t>3.8.2.1物质风险识别</w:t>
      </w:r>
    </w:p>
    <w:p w14:paraId="6A5C0C3A">
      <w:pPr>
        <w:adjustRightInd w:val="0"/>
        <w:snapToGrid w:val="0"/>
        <w:spacing w:line="500" w:lineRule="exact"/>
        <w:ind w:firstLine="560" w:firstLineChars="200"/>
        <w:rPr>
          <w:rFonts w:eastAsia="仿宋_GB2312"/>
          <w:color w:val="auto"/>
          <w:sz w:val="28"/>
          <w:szCs w:val="28"/>
        </w:rPr>
      </w:pPr>
      <w:r>
        <w:rPr>
          <w:rFonts w:eastAsia="仿宋_GB2312"/>
          <w:color w:val="auto"/>
          <w:sz w:val="28"/>
          <w:szCs w:val="28"/>
        </w:rPr>
        <w:t>根据企业涉及的原辅材料和产品的理化性质、毒性、燃烧爆炸性等数据判断物质危险性，其中危险化学品危险性类别及包装类别依据《危险货物品名表》（GB12268-2012）确定，急性毒性类别依据《化学品分类和标签规范第18部分：急性毒性》（GB30000.18-2013）确定。毒性类别见表3.8-5。</w:t>
      </w:r>
    </w:p>
    <w:p w14:paraId="684E0D58">
      <w:pPr>
        <w:adjustRightInd w:val="0"/>
        <w:snapToGrid w:val="0"/>
        <w:spacing w:line="500" w:lineRule="exact"/>
        <w:jc w:val="center"/>
        <w:rPr>
          <w:rFonts w:eastAsia="仿宋_GB2312"/>
          <w:b/>
          <w:color w:val="auto"/>
          <w:sz w:val="24"/>
        </w:rPr>
      </w:pPr>
      <w:r>
        <w:rPr>
          <w:rFonts w:eastAsia="仿宋_GB2312"/>
          <w:b/>
          <w:color w:val="auto"/>
          <w:sz w:val="24"/>
        </w:rPr>
        <w:t>表3.8-5  急性毒性危害类别及确定各类别的LD</w:t>
      </w:r>
      <w:r>
        <w:rPr>
          <w:rFonts w:eastAsia="仿宋_GB2312"/>
          <w:b/>
          <w:color w:val="auto"/>
          <w:sz w:val="24"/>
          <w:vertAlign w:val="subscript"/>
        </w:rPr>
        <w:t>50</w:t>
      </w:r>
      <w:r>
        <w:rPr>
          <w:rFonts w:eastAsia="仿宋_GB2312"/>
          <w:b/>
          <w:color w:val="auto"/>
          <w:sz w:val="24"/>
        </w:rPr>
        <w:t>/LC</w:t>
      </w:r>
      <w:r>
        <w:rPr>
          <w:rFonts w:eastAsia="仿宋_GB2312"/>
          <w:b/>
          <w:color w:val="auto"/>
          <w:sz w:val="24"/>
          <w:vertAlign w:val="subscript"/>
        </w:rPr>
        <w:t>50</w:t>
      </w:r>
      <w:r>
        <w:rPr>
          <w:rFonts w:eastAsia="仿宋_GB2312"/>
          <w:b/>
          <w:color w:val="auto"/>
          <w:sz w:val="24"/>
        </w:rPr>
        <w:t>值</w:t>
      </w:r>
    </w:p>
    <w:tbl>
      <w:tblPr>
        <w:tblStyle w:val="88"/>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731"/>
        <w:gridCol w:w="1142"/>
        <w:gridCol w:w="1144"/>
        <w:gridCol w:w="1144"/>
        <w:gridCol w:w="1144"/>
        <w:gridCol w:w="1144"/>
        <w:gridCol w:w="1074"/>
      </w:tblGrid>
      <w:tr w14:paraId="1207135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015" w:type="pct"/>
            <w:vAlign w:val="center"/>
          </w:tcPr>
          <w:p w14:paraId="1562E7FA">
            <w:pPr>
              <w:adjustRightInd w:val="0"/>
              <w:snapToGrid w:val="0"/>
              <w:spacing w:line="320" w:lineRule="exact"/>
              <w:jc w:val="center"/>
              <w:rPr>
                <w:rFonts w:eastAsia="仿宋_GB2312"/>
                <w:b/>
                <w:color w:val="auto"/>
                <w:szCs w:val="21"/>
              </w:rPr>
            </w:pPr>
            <w:r>
              <w:rPr>
                <w:rFonts w:eastAsia="仿宋_GB2312"/>
                <w:b/>
                <w:color w:val="auto"/>
                <w:szCs w:val="21"/>
              </w:rPr>
              <w:t>接触途径</w:t>
            </w:r>
          </w:p>
        </w:tc>
        <w:tc>
          <w:tcPr>
            <w:tcW w:w="670" w:type="pct"/>
            <w:vAlign w:val="center"/>
          </w:tcPr>
          <w:p w14:paraId="0E6A10BB">
            <w:pPr>
              <w:adjustRightInd w:val="0"/>
              <w:snapToGrid w:val="0"/>
              <w:spacing w:line="320" w:lineRule="exact"/>
              <w:jc w:val="center"/>
              <w:rPr>
                <w:rFonts w:eastAsia="仿宋_GB2312"/>
                <w:b/>
                <w:color w:val="auto"/>
                <w:szCs w:val="21"/>
              </w:rPr>
            </w:pPr>
            <w:r>
              <w:rPr>
                <w:rFonts w:eastAsia="仿宋_GB2312"/>
                <w:b/>
                <w:color w:val="auto"/>
                <w:szCs w:val="21"/>
              </w:rPr>
              <w:t>单位</w:t>
            </w:r>
          </w:p>
        </w:tc>
        <w:tc>
          <w:tcPr>
            <w:tcW w:w="671" w:type="pct"/>
            <w:vAlign w:val="center"/>
          </w:tcPr>
          <w:p w14:paraId="16107E2C">
            <w:pPr>
              <w:adjustRightInd w:val="0"/>
              <w:snapToGrid w:val="0"/>
              <w:spacing w:line="320" w:lineRule="exact"/>
              <w:jc w:val="center"/>
              <w:rPr>
                <w:rFonts w:eastAsia="仿宋_GB2312"/>
                <w:b/>
                <w:color w:val="auto"/>
                <w:szCs w:val="21"/>
              </w:rPr>
            </w:pPr>
            <w:r>
              <w:rPr>
                <w:rFonts w:eastAsia="仿宋_GB2312"/>
                <w:b/>
                <w:color w:val="auto"/>
                <w:szCs w:val="21"/>
              </w:rPr>
              <w:t>类别1</w:t>
            </w:r>
          </w:p>
        </w:tc>
        <w:tc>
          <w:tcPr>
            <w:tcW w:w="671" w:type="pct"/>
            <w:vAlign w:val="center"/>
          </w:tcPr>
          <w:p w14:paraId="11C52638">
            <w:pPr>
              <w:adjustRightInd w:val="0"/>
              <w:snapToGrid w:val="0"/>
              <w:spacing w:line="320" w:lineRule="exact"/>
              <w:jc w:val="center"/>
              <w:rPr>
                <w:rFonts w:eastAsia="仿宋_GB2312"/>
                <w:b/>
                <w:color w:val="auto"/>
                <w:szCs w:val="21"/>
              </w:rPr>
            </w:pPr>
            <w:r>
              <w:rPr>
                <w:rFonts w:eastAsia="仿宋_GB2312"/>
                <w:b/>
                <w:color w:val="auto"/>
                <w:szCs w:val="21"/>
              </w:rPr>
              <w:t>类别2</w:t>
            </w:r>
          </w:p>
        </w:tc>
        <w:tc>
          <w:tcPr>
            <w:tcW w:w="671" w:type="pct"/>
            <w:vAlign w:val="center"/>
          </w:tcPr>
          <w:p w14:paraId="5357E9B7">
            <w:pPr>
              <w:adjustRightInd w:val="0"/>
              <w:snapToGrid w:val="0"/>
              <w:spacing w:line="320" w:lineRule="exact"/>
              <w:jc w:val="center"/>
              <w:rPr>
                <w:rFonts w:eastAsia="仿宋_GB2312"/>
                <w:b/>
                <w:color w:val="auto"/>
                <w:szCs w:val="21"/>
              </w:rPr>
            </w:pPr>
            <w:r>
              <w:rPr>
                <w:rFonts w:eastAsia="仿宋_GB2312"/>
                <w:b/>
                <w:color w:val="auto"/>
                <w:szCs w:val="21"/>
              </w:rPr>
              <w:t>类别3</w:t>
            </w:r>
          </w:p>
        </w:tc>
        <w:tc>
          <w:tcPr>
            <w:tcW w:w="671" w:type="pct"/>
            <w:vAlign w:val="center"/>
          </w:tcPr>
          <w:p w14:paraId="6EADF43C">
            <w:pPr>
              <w:adjustRightInd w:val="0"/>
              <w:snapToGrid w:val="0"/>
              <w:spacing w:line="320" w:lineRule="exact"/>
              <w:jc w:val="center"/>
              <w:rPr>
                <w:rFonts w:eastAsia="仿宋_GB2312"/>
                <w:b/>
                <w:color w:val="auto"/>
                <w:szCs w:val="21"/>
              </w:rPr>
            </w:pPr>
            <w:r>
              <w:rPr>
                <w:rFonts w:eastAsia="仿宋_GB2312"/>
                <w:b/>
                <w:color w:val="auto"/>
                <w:szCs w:val="21"/>
              </w:rPr>
              <w:t>类别4</w:t>
            </w:r>
          </w:p>
        </w:tc>
        <w:tc>
          <w:tcPr>
            <w:tcW w:w="630" w:type="pct"/>
            <w:vAlign w:val="center"/>
          </w:tcPr>
          <w:p w14:paraId="227F8B13">
            <w:pPr>
              <w:adjustRightInd w:val="0"/>
              <w:snapToGrid w:val="0"/>
              <w:spacing w:line="320" w:lineRule="exact"/>
              <w:jc w:val="center"/>
              <w:rPr>
                <w:rFonts w:eastAsia="仿宋_GB2312"/>
                <w:b/>
                <w:color w:val="auto"/>
                <w:szCs w:val="21"/>
              </w:rPr>
            </w:pPr>
            <w:r>
              <w:rPr>
                <w:rFonts w:eastAsia="仿宋_GB2312"/>
                <w:b/>
                <w:color w:val="auto"/>
                <w:szCs w:val="21"/>
              </w:rPr>
              <w:t>类别5</w:t>
            </w:r>
          </w:p>
        </w:tc>
      </w:tr>
      <w:tr w14:paraId="038F3B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015" w:type="pct"/>
            <w:vAlign w:val="center"/>
          </w:tcPr>
          <w:p w14:paraId="347D0C34">
            <w:pPr>
              <w:adjustRightInd w:val="0"/>
              <w:snapToGrid w:val="0"/>
              <w:spacing w:line="320" w:lineRule="exact"/>
              <w:jc w:val="center"/>
              <w:rPr>
                <w:rFonts w:eastAsia="仿宋_GB2312"/>
                <w:color w:val="auto"/>
                <w:szCs w:val="21"/>
              </w:rPr>
            </w:pPr>
            <w:r>
              <w:rPr>
                <w:rFonts w:eastAsia="仿宋_GB2312"/>
                <w:color w:val="auto"/>
                <w:szCs w:val="21"/>
              </w:rPr>
              <w:t>经口</w:t>
            </w:r>
          </w:p>
        </w:tc>
        <w:tc>
          <w:tcPr>
            <w:tcW w:w="670" w:type="pct"/>
            <w:vAlign w:val="center"/>
          </w:tcPr>
          <w:p w14:paraId="3C49F172">
            <w:pPr>
              <w:adjustRightInd w:val="0"/>
              <w:snapToGrid w:val="0"/>
              <w:spacing w:line="320" w:lineRule="exact"/>
              <w:jc w:val="center"/>
              <w:rPr>
                <w:rFonts w:eastAsia="仿宋_GB2312"/>
                <w:color w:val="auto"/>
                <w:szCs w:val="21"/>
              </w:rPr>
            </w:pPr>
            <w:r>
              <w:rPr>
                <w:rFonts w:eastAsia="仿宋_GB2312"/>
                <w:color w:val="auto"/>
                <w:szCs w:val="21"/>
              </w:rPr>
              <w:t>mg/kg</w:t>
            </w:r>
          </w:p>
        </w:tc>
        <w:tc>
          <w:tcPr>
            <w:tcW w:w="671" w:type="pct"/>
            <w:vAlign w:val="center"/>
          </w:tcPr>
          <w:p w14:paraId="7BC071FC">
            <w:pPr>
              <w:adjustRightInd w:val="0"/>
              <w:snapToGrid w:val="0"/>
              <w:spacing w:line="320" w:lineRule="exact"/>
              <w:jc w:val="center"/>
              <w:rPr>
                <w:rFonts w:eastAsia="仿宋_GB2312"/>
                <w:color w:val="auto"/>
                <w:szCs w:val="21"/>
              </w:rPr>
            </w:pPr>
            <w:r>
              <w:rPr>
                <w:rFonts w:eastAsia="仿宋_GB2312"/>
                <w:color w:val="auto"/>
                <w:szCs w:val="21"/>
              </w:rPr>
              <w:t>5</w:t>
            </w:r>
          </w:p>
        </w:tc>
        <w:tc>
          <w:tcPr>
            <w:tcW w:w="671" w:type="pct"/>
            <w:vAlign w:val="center"/>
          </w:tcPr>
          <w:p w14:paraId="20E1CD01">
            <w:pPr>
              <w:adjustRightInd w:val="0"/>
              <w:snapToGrid w:val="0"/>
              <w:spacing w:line="320" w:lineRule="exact"/>
              <w:jc w:val="center"/>
              <w:rPr>
                <w:rFonts w:eastAsia="仿宋_GB2312"/>
                <w:color w:val="auto"/>
                <w:szCs w:val="21"/>
              </w:rPr>
            </w:pPr>
            <w:r>
              <w:rPr>
                <w:rFonts w:eastAsia="仿宋_GB2312"/>
                <w:color w:val="auto"/>
                <w:szCs w:val="21"/>
              </w:rPr>
              <w:t>50</w:t>
            </w:r>
          </w:p>
        </w:tc>
        <w:tc>
          <w:tcPr>
            <w:tcW w:w="671" w:type="pct"/>
            <w:vAlign w:val="center"/>
          </w:tcPr>
          <w:p w14:paraId="11826DF7">
            <w:pPr>
              <w:adjustRightInd w:val="0"/>
              <w:snapToGrid w:val="0"/>
              <w:spacing w:line="320" w:lineRule="exact"/>
              <w:jc w:val="center"/>
              <w:rPr>
                <w:rFonts w:eastAsia="仿宋_GB2312"/>
                <w:color w:val="auto"/>
                <w:szCs w:val="21"/>
              </w:rPr>
            </w:pPr>
            <w:r>
              <w:rPr>
                <w:rFonts w:eastAsia="仿宋_GB2312"/>
                <w:color w:val="auto"/>
                <w:szCs w:val="21"/>
              </w:rPr>
              <w:t>300</w:t>
            </w:r>
          </w:p>
        </w:tc>
        <w:tc>
          <w:tcPr>
            <w:tcW w:w="671" w:type="pct"/>
            <w:vAlign w:val="center"/>
          </w:tcPr>
          <w:p w14:paraId="53C164F6">
            <w:pPr>
              <w:adjustRightInd w:val="0"/>
              <w:snapToGrid w:val="0"/>
              <w:spacing w:line="320" w:lineRule="exact"/>
              <w:jc w:val="center"/>
              <w:rPr>
                <w:rFonts w:eastAsia="仿宋_GB2312"/>
                <w:color w:val="auto"/>
                <w:szCs w:val="21"/>
              </w:rPr>
            </w:pPr>
            <w:r>
              <w:rPr>
                <w:rFonts w:eastAsia="仿宋_GB2312"/>
                <w:color w:val="auto"/>
                <w:szCs w:val="21"/>
              </w:rPr>
              <w:t>2000</w:t>
            </w:r>
          </w:p>
        </w:tc>
        <w:tc>
          <w:tcPr>
            <w:tcW w:w="630" w:type="pct"/>
            <w:vMerge w:val="restart"/>
            <w:vAlign w:val="center"/>
          </w:tcPr>
          <w:p w14:paraId="3D4B0F1A">
            <w:pPr>
              <w:adjustRightInd w:val="0"/>
              <w:snapToGrid w:val="0"/>
              <w:spacing w:line="320" w:lineRule="exact"/>
              <w:jc w:val="center"/>
              <w:rPr>
                <w:rFonts w:eastAsia="仿宋_GB2312"/>
                <w:color w:val="auto"/>
                <w:szCs w:val="21"/>
              </w:rPr>
            </w:pPr>
            <w:r>
              <w:rPr>
                <w:rFonts w:eastAsia="仿宋_GB2312"/>
                <w:color w:val="auto"/>
                <w:szCs w:val="21"/>
              </w:rPr>
              <w:t>5000</w:t>
            </w:r>
          </w:p>
        </w:tc>
      </w:tr>
      <w:tr w14:paraId="115D38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015" w:type="pct"/>
            <w:vAlign w:val="center"/>
          </w:tcPr>
          <w:p w14:paraId="28DEFCCE">
            <w:pPr>
              <w:adjustRightInd w:val="0"/>
              <w:snapToGrid w:val="0"/>
              <w:spacing w:line="320" w:lineRule="exact"/>
              <w:jc w:val="center"/>
              <w:rPr>
                <w:rFonts w:eastAsia="仿宋_GB2312"/>
                <w:color w:val="auto"/>
                <w:szCs w:val="21"/>
              </w:rPr>
            </w:pPr>
            <w:r>
              <w:rPr>
                <w:rFonts w:eastAsia="仿宋_GB2312"/>
                <w:color w:val="auto"/>
                <w:szCs w:val="21"/>
              </w:rPr>
              <w:t>经皮肤</w:t>
            </w:r>
          </w:p>
        </w:tc>
        <w:tc>
          <w:tcPr>
            <w:tcW w:w="670" w:type="pct"/>
            <w:vAlign w:val="center"/>
          </w:tcPr>
          <w:p w14:paraId="0D95262F">
            <w:pPr>
              <w:adjustRightInd w:val="0"/>
              <w:snapToGrid w:val="0"/>
              <w:spacing w:line="320" w:lineRule="exact"/>
              <w:jc w:val="center"/>
              <w:rPr>
                <w:rFonts w:eastAsia="仿宋_GB2312"/>
                <w:color w:val="auto"/>
                <w:szCs w:val="21"/>
              </w:rPr>
            </w:pPr>
            <w:r>
              <w:rPr>
                <w:rFonts w:eastAsia="仿宋_GB2312"/>
                <w:color w:val="auto"/>
                <w:szCs w:val="21"/>
              </w:rPr>
              <w:t>mg/kg</w:t>
            </w:r>
          </w:p>
        </w:tc>
        <w:tc>
          <w:tcPr>
            <w:tcW w:w="671" w:type="pct"/>
            <w:vAlign w:val="center"/>
          </w:tcPr>
          <w:p w14:paraId="2DE68728">
            <w:pPr>
              <w:adjustRightInd w:val="0"/>
              <w:snapToGrid w:val="0"/>
              <w:spacing w:line="320" w:lineRule="exact"/>
              <w:jc w:val="center"/>
              <w:rPr>
                <w:rFonts w:eastAsia="仿宋_GB2312"/>
                <w:color w:val="auto"/>
                <w:szCs w:val="21"/>
              </w:rPr>
            </w:pPr>
            <w:r>
              <w:rPr>
                <w:rFonts w:eastAsia="仿宋_GB2312"/>
                <w:color w:val="auto"/>
                <w:szCs w:val="21"/>
              </w:rPr>
              <w:t>50</w:t>
            </w:r>
          </w:p>
        </w:tc>
        <w:tc>
          <w:tcPr>
            <w:tcW w:w="671" w:type="pct"/>
            <w:vAlign w:val="center"/>
          </w:tcPr>
          <w:p w14:paraId="7FDBD834">
            <w:pPr>
              <w:adjustRightInd w:val="0"/>
              <w:snapToGrid w:val="0"/>
              <w:spacing w:line="320" w:lineRule="exact"/>
              <w:jc w:val="center"/>
              <w:rPr>
                <w:rFonts w:eastAsia="仿宋_GB2312"/>
                <w:color w:val="auto"/>
                <w:szCs w:val="21"/>
              </w:rPr>
            </w:pPr>
            <w:r>
              <w:rPr>
                <w:rFonts w:eastAsia="仿宋_GB2312"/>
                <w:color w:val="auto"/>
                <w:szCs w:val="21"/>
              </w:rPr>
              <w:t>200</w:t>
            </w:r>
          </w:p>
        </w:tc>
        <w:tc>
          <w:tcPr>
            <w:tcW w:w="671" w:type="pct"/>
            <w:vAlign w:val="center"/>
          </w:tcPr>
          <w:p w14:paraId="30023874">
            <w:pPr>
              <w:adjustRightInd w:val="0"/>
              <w:snapToGrid w:val="0"/>
              <w:spacing w:line="320" w:lineRule="exact"/>
              <w:jc w:val="center"/>
              <w:rPr>
                <w:rFonts w:eastAsia="仿宋_GB2312"/>
                <w:color w:val="auto"/>
                <w:szCs w:val="21"/>
              </w:rPr>
            </w:pPr>
            <w:r>
              <w:rPr>
                <w:rFonts w:eastAsia="仿宋_GB2312"/>
                <w:color w:val="auto"/>
                <w:szCs w:val="21"/>
              </w:rPr>
              <w:t>1000</w:t>
            </w:r>
          </w:p>
        </w:tc>
        <w:tc>
          <w:tcPr>
            <w:tcW w:w="671" w:type="pct"/>
            <w:vAlign w:val="center"/>
          </w:tcPr>
          <w:p w14:paraId="603C93D4">
            <w:pPr>
              <w:adjustRightInd w:val="0"/>
              <w:snapToGrid w:val="0"/>
              <w:spacing w:line="320" w:lineRule="exact"/>
              <w:jc w:val="center"/>
              <w:rPr>
                <w:rFonts w:eastAsia="仿宋_GB2312"/>
                <w:color w:val="auto"/>
                <w:szCs w:val="21"/>
              </w:rPr>
            </w:pPr>
            <w:r>
              <w:rPr>
                <w:rFonts w:eastAsia="仿宋_GB2312"/>
                <w:color w:val="auto"/>
                <w:szCs w:val="21"/>
              </w:rPr>
              <w:t>2000</w:t>
            </w:r>
          </w:p>
        </w:tc>
        <w:tc>
          <w:tcPr>
            <w:tcW w:w="630" w:type="pct"/>
            <w:vMerge w:val="continue"/>
            <w:vAlign w:val="center"/>
          </w:tcPr>
          <w:p w14:paraId="0F00161E">
            <w:pPr>
              <w:adjustRightInd w:val="0"/>
              <w:snapToGrid w:val="0"/>
              <w:spacing w:line="320" w:lineRule="exact"/>
              <w:jc w:val="center"/>
              <w:rPr>
                <w:rFonts w:eastAsia="仿宋_GB2312"/>
                <w:color w:val="auto"/>
                <w:szCs w:val="21"/>
              </w:rPr>
            </w:pPr>
          </w:p>
        </w:tc>
      </w:tr>
      <w:tr w14:paraId="51948B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015" w:type="pct"/>
            <w:vAlign w:val="center"/>
          </w:tcPr>
          <w:p w14:paraId="40409719">
            <w:pPr>
              <w:adjustRightInd w:val="0"/>
              <w:snapToGrid w:val="0"/>
              <w:spacing w:line="320" w:lineRule="exact"/>
              <w:jc w:val="center"/>
              <w:rPr>
                <w:rFonts w:eastAsia="仿宋_GB2312"/>
                <w:color w:val="auto"/>
                <w:szCs w:val="21"/>
              </w:rPr>
            </w:pPr>
            <w:r>
              <w:rPr>
                <w:rFonts w:eastAsia="仿宋_GB2312"/>
                <w:color w:val="auto"/>
                <w:szCs w:val="21"/>
              </w:rPr>
              <w:t>气体</w:t>
            </w:r>
          </w:p>
        </w:tc>
        <w:tc>
          <w:tcPr>
            <w:tcW w:w="670" w:type="pct"/>
            <w:vAlign w:val="center"/>
          </w:tcPr>
          <w:p w14:paraId="08F16CE2">
            <w:pPr>
              <w:adjustRightInd w:val="0"/>
              <w:snapToGrid w:val="0"/>
              <w:spacing w:line="320" w:lineRule="exact"/>
              <w:jc w:val="center"/>
              <w:rPr>
                <w:rFonts w:eastAsia="仿宋_GB2312"/>
                <w:color w:val="auto"/>
                <w:szCs w:val="21"/>
              </w:rPr>
            </w:pPr>
            <w:r>
              <w:rPr>
                <w:rFonts w:eastAsia="仿宋_GB2312"/>
                <w:color w:val="auto"/>
                <w:szCs w:val="21"/>
              </w:rPr>
              <w:t>mgL/L</w:t>
            </w:r>
          </w:p>
        </w:tc>
        <w:tc>
          <w:tcPr>
            <w:tcW w:w="671" w:type="pct"/>
            <w:vAlign w:val="center"/>
          </w:tcPr>
          <w:p w14:paraId="30EAC290">
            <w:pPr>
              <w:adjustRightInd w:val="0"/>
              <w:snapToGrid w:val="0"/>
              <w:spacing w:line="320" w:lineRule="exact"/>
              <w:jc w:val="center"/>
              <w:rPr>
                <w:rFonts w:eastAsia="仿宋_GB2312"/>
                <w:color w:val="auto"/>
                <w:szCs w:val="21"/>
              </w:rPr>
            </w:pPr>
            <w:r>
              <w:rPr>
                <w:rFonts w:eastAsia="仿宋_GB2312"/>
                <w:color w:val="auto"/>
                <w:szCs w:val="21"/>
              </w:rPr>
              <w:t>0.1</w:t>
            </w:r>
          </w:p>
        </w:tc>
        <w:tc>
          <w:tcPr>
            <w:tcW w:w="671" w:type="pct"/>
            <w:vAlign w:val="center"/>
          </w:tcPr>
          <w:p w14:paraId="3936EB73">
            <w:pPr>
              <w:adjustRightInd w:val="0"/>
              <w:snapToGrid w:val="0"/>
              <w:spacing w:line="320" w:lineRule="exact"/>
              <w:jc w:val="center"/>
              <w:rPr>
                <w:rFonts w:eastAsia="仿宋_GB2312"/>
                <w:color w:val="auto"/>
                <w:szCs w:val="21"/>
              </w:rPr>
            </w:pPr>
            <w:r>
              <w:rPr>
                <w:rFonts w:eastAsia="仿宋_GB2312"/>
                <w:color w:val="auto"/>
                <w:szCs w:val="21"/>
              </w:rPr>
              <w:t>0.5</w:t>
            </w:r>
          </w:p>
        </w:tc>
        <w:tc>
          <w:tcPr>
            <w:tcW w:w="671" w:type="pct"/>
            <w:vAlign w:val="center"/>
          </w:tcPr>
          <w:p w14:paraId="0AF36C27">
            <w:pPr>
              <w:adjustRightInd w:val="0"/>
              <w:snapToGrid w:val="0"/>
              <w:spacing w:line="320" w:lineRule="exact"/>
              <w:jc w:val="center"/>
              <w:rPr>
                <w:rFonts w:eastAsia="仿宋_GB2312"/>
                <w:color w:val="auto"/>
                <w:szCs w:val="21"/>
              </w:rPr>
            </w:pPr>
            <w:r>
              <w:rPr>
                <w:rFonts w:eastAsia="仿宋_GB2312"/>
                <w:color w:val="auto"/>
                <w:szCs w:val="21"/>
              </w:rPr>
              <w:t>2.5</w:t>
            </w:r>
          </w:p>
        </w:tc>
        <w:tc>
          <w:tcPr>
            <w:tcW w:w="671" w:type="pct"/>
            <w:vAlign w:val="center"/>
          </w:tcPr>
          <w:p w14:paraId="3788D1AF">
            <w:pPr>
              <w:adjustRightInd w:val="0"/>
              <w:snapToGrid w:val="0"/>
              <w:spacing w:line="320" w:lineRule="exact"/>
              <w:jc w:val="center"/>
              <w:rPr>
                <w:rFonts w:eastAsia="仿宋_GB2312"/>
                <w:color w:val="auto"/>
                <w:szCs w:val="21"/>
              </w:rPr>
            </w:pPr>
            <w:r>
              <w:rPr>
                <w:rFonts w:eastAsia="仿宋_GB2312"/>
                <w:color w:val="auto"/>
                <w:szCs w:val="21"/>
              </w:rPr>
              <w:t>20</w:t>
            </w:r>
          </w:p>
        </w:tc>
        <w:tc>
          <w:tcPr>
            <w:tcW w:w="630" w:type="pct"/>
            <w:vMerge w:val="continue"/>
            <w:vAlign w:val="center"/>
          </w:tcPr>
          <w:p w14:paraId="16E10549">
            <w:pPr>
              <w:adjustRightInd w:val="0"/>
              <w:snapToGrid w:val="0"/>
              <w:spacing w:line="320" w:lineRule="exact"/>
              <w:jc w:val="center"/>
              <w:rPr>
                <w:rFonts w:eastAsia="仿宋_GB2312"/>
                <w:color w:val="auto"/>
                <w:szCs w:val="21"/>
              </w:rPr>
            </w:pPr>
          </w:p>
        </w:tc>
      </w:tr>
      <w:tr w14:paraId="7B17635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015" w:type="pct"/>
            <w:vAlign w:val="center"/>
          </w:tcPr>
          <w:p w14:paraId="4AC304FE">
            <w:pPr>
              <w:adjustRightInd w:val="0"/>
              <w:snapToGrid w:val="0"/>
              <w:spacing w:line="320" w:lineRule="exact"/>
              <w:jc w:val="center"/>
              <w:rPr>
                <w:rFonts w:eastAsia="仿宋_GB2312"/>
                <w:color w:val="auto"/>
                <w:szCs w:val="21"/>
              </w:rPr>
            </w:pPr>
            <w:r>
              <w:rPr>
                <w:rFonts w:eastAsia="仿宋_GB2312"/>
                <w:color w:val="auto"/>
                <w:szCs w:val="21"/>
              </w:rPr>
              <w:t>蒸汽</w:t>
            </w:r>
          </w:p>
        </w:tc>
        <w:tc>
          <w:tcPr>
            <w:tcW w:w="670" w:type="pct"/>
            <w:vAlign w:val="center"/>
          </w:tcPr>
          <w:p w14:paraId="36A36ADA">
            <w:pPr>
              <w:adjustRightInd w:val="0"/>
              <w:snapToGrid w:val="0"/>
              <w:spacing w:line="320" w:lineRule="exact"/>
              <w:jc w:val="center"/>
              <w:rPr>
                <w:rFonts w:eastAsia="仿宋_GB2312"/>
                <w:color w:val="auto"/>
                <w:szCs w:val="21"/>
              </w:rPr>
            </w:pPr>
            <w:r>
              <w:rPr>
                <w:rFonts w:eastAsia="仿宋_GB2312"/>
                <w:color w:val="auto"/>
                <w:szCs w:val="21"/>
              </w:rPr>
              <w:t>mg/L</w:t>
            </w:r>
          </w:p>
        </w:tc>
        <w:tc>
          <w:tcPr>
            <w:tcW w:w="671" w:type="pct"/>
            <w:vAlign w:val="center"/>
          </w:tcPr>
          <w:p w14:paraId="3646FA39">
            <w:pPr>
              <w:adjustRightInd w:val="0"/>
              <w:snapToGrid w:val="0"/>
              <w:spacing w:line="320" w:lineRule="exact"/>
              <w:jc w:val="center"/>
              <w:rPr>
                <w:rFonts w:eastAsia="仿宋_GB2312"/>
                <w:color w:val="auto"/>
                <w:szCs w:val="21"/>
              </w:rPr>
            </w:pPr>
            <w:r>
              <w:rPr>
                <w:rFonts w:eastAsia="仿宋_GB2312"/>
                <w:color w:val="auto"/>
                <w:szCs w:val="21"/>
              </w:rPr>
              <w:t>0.5</w:t>
            </w:r>
          </w:p>
        </w:tc>
        <w:tc>
          <w:tcPr>
            <w:tcW w:w="671" w:type="pct"/>
            <w:vAlign w:val="center"/>
          </w:tcPr>
          <w:p w14:paraId="5BFA2C0E">
            <w:pPr>
              <w:adjustRightInd w:val="0"/>
              <w:snapToGrid w:val="0"/>
              <w:spacing w:line="320" w:lineRule="exact"/>
              <w:jc w:val="center"/>
              <w:rPr>
                <w:rFonts w:eastAsia="仿宋_GB2312"/>
                <w:color w:val="auto"/>
                <w:szCs w:val="21"/>
              </w:rPr>
            </w:pPr>
            <w:r>
              <w:rPr>
                <w:rFonts w:eastAsia="仿宋_GB2312"/>
                <w:color w:val="auto"/>
                <w:szCs w:val="21"/>
              </w:rPr>
              <w:t>2.0</w:t>
            </w:r>
          </w:p>
        </w:tc>
        <w:tc>
          <w:tcPr>
            <w:tcW w:w="671" w:type="pct"/>
            <w:vAlign w:val="center"/>
          </w:tcPr>
          <w:p w14:paraId="2778FCA3">
            <w:pPr>
              <w:adjustRightInd w:val="0"/>
              <w:snapToGrid w:val="0"/>
              <w:spacing w:line="320" w:lineRule="exact"/>
              <w:jc w:val="center"/>
              <w:rPr>
                <w:rFonts w:eastAsia="仿宋_GB2312"/>
                <w:color w:val="auto"/>
                <w:szCs w:val="21"/>
              </w:rPr>
            </w:pPr>
            <w:r>
              <w:rPr>
                <w:rFonts w:eastAsia="仿宋_GB2312"/>
                <w:color w:val="auto"/>
                <w:szCs w:val="21"/>
              </w:rPr>
              <w:t>10</w:t>
            </w:r>
          </w:p>
        </w:tc>
        <w:tc>
          <w:tcPr>
            <w:tcW w:w="671" w:type="pct"/>
            <w:vAlign w:val="center"/>
          </w:tcPr>
          <w:p w14:paraId="6780D41A">
            <w:pPr>
              <w:adjustRightInd w:val="0"/>
              <w:snapToGrid w:val="0"/>
              <w:spacing w:line="320" w:lineRule="exact"/>
              <w:jc w:val="center"/>
              <w:rPr>
                <w:rFonts w:eastAsia="仿宋_GB2312"/>
                <w:color w:val="auto"/>
                <w:szCs w:val="21"/>
              </w:rPr>
            </w:pPr>
            <w:r>
              <w:rPr>
                <w:rFonts w:eastAsia="仿宋_GB2312"/>
                <w:color w:val="auto"/>
                <w:szCs w:val="21"/>
              </w:rPr>
              <w:t>20</w:t>
            </w:r>
          </w:p>
        </w:tc>
        <w:tc>
          <w:tcPr>
            <w:tcW w:w="630" w:type="pct"/>
            <w:vMerge w:val="continue"/>
            <w:vAlign w:val="center"/>
          </w:tcPr>
          <w:p w14:paraId="5455CFF2">
            <w:pPr>
              <w:adjustRightInd w:val="0"/>
              <w:snapToGrid w:val="0"/>
              <w:spacing w:line="320" w:lineRule="exact"/>
              <w:jc w:val="center"/>
              <w:rPr>
                <w:rFonts w:eastAsia="仿宋_GB2312"/>
                <w:color w:val="auto"/>
                <w:szCs w:val="21"/>
              </w:rPr>
            </w:pPr>
          </w:p>
        </w:tc>
      </w:tr>
      <w:tr w14:paraId="061B63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015" w:type="pct"/>
            <w:vAlign w:val="center"/>
          </w:tcPr>
          <w:p w14:paraId="4B4AADB6">
            <w:pPr>
              <w:adjustRightInd w:val="0"/>
              <w:snapToGrid w:val="0"/>
              <w:spacing w:line="320" w:lineRule="exact"/>
              <w:jc w:val="center"/>
              <w:rPr>
                <w:rFonts w:eastAsia="仿宋_GB2312"/>
                <w:color w:val="auto"/>
                <w:szCs w:val="21"/>
              </w:rPr>
            </w:pPr>
            <w:r>
              <w:rPr>
                <w:rFonts w:eastAsia="仿宋_GB2312"/>
                <w:color w:val="auto"/>
                <w:szCs w:val="21"/>
              </w:rPr>
              <w:t>粉尘和烟雾</w:t>
            </w:r>
          </w:p>
        </w:tc>
        <w:tc>
          <w:tcPr>
            <w:tcW w:w="670" w:type="pct"/>
            <w:vAlign w:val="center"/>
          </w:tcPr>
          <w:p w14:paraId="0AF70672">
            <w:pPr>
              <w:adjustRightInd w:val="0"/>
              <w:snapToGrid w:val="0"/>
              <w:spacing w:line="320" w:lineRule="exact"/>
              <w:jc w:val="center"/>
              <w:rPr>
                <w:rFonts w:eastAsia="仿宋_GB2312"/>
                <w:color w:val="auto"/>
                <w:szCs w:val="21"/>
              </w:rPr>
            </w:pPr>
            <w:r>
              <w:rPr>
                <w:rFonts w:eastAsia="仿宋_GB2312"/>
                <w:color w:val="auto"/>
                <w:szCs w:val="21"/>
              </w:rPr>
              <w:t>mg/L</w:t>
            </w:r>
          </w:p>
        </w:tc>
        <w:tc>
          <w:tcPr>
            <w:tcW w:w="671" w:type="pct"/>
            <w:vAlign w:val="center"/>
          </w:tcPr>
          <w:p w14:paraId="41BF0966">
            <w:pPr>
              <w:adjustRightInd w:val="0"/>
              <w:snapToGrid w:val="0"/>
              <w:spacing w:line="320" w:lineRule="exact"/>
              <w:jc w:val="center"/>
              <w:rPr>
                <w:rFonts w:eastAsia="仿宋_GB2312"/>
                <w:color w:val="auto"/>
                <w:szCs w:val="21"/>
              </w:rPr>
            </w:pPr>
            <w:r>
              <w:rPr>
                <w:rFonts w:eastAsia="仿宋_GB2312"/>
                <w:color w:val="auto"/>
                <w:szCs w:val="21"/>
              </w:rPr>
              <w:t>0.05</w:t>
            </w:r>
          </w:p>
        </w:tc>
        <w:tc>
          <w:tcPr>
            <w:tcW w:w="671" w:type="pct"/>
            <w:vAlign w:val="center"/>
          </w:tcPr>
          <w:p w14:paraId="58D85A8E">
            <w:pPr>
              <w:adjustRightInd w:val="0"/>
              <w:snapToGrid w:val="0"/>
              <w:spacing w:line="320" w:lineRule="exact"/>
              <w:jc w:val="center"/>
              <w:rPr>
                <w:rFonts w:eastAsia="仿宋_GB2312"/>
                <w:color w:val="auto"/>
                <w:szCs w:val="21"/>
              </w:rPr>
            </w:pPr>
            <w:r>
              <w:rPr>
                <w:rFonts w:eastAsia="仿宋_GB2312"/>
                <w:color w:val="auto"/>
                <w:szCs w:val="21"/>
              </w:rPr>
              <w:t>0.5</w:t>
            </w:r>
          </w:p>
        </w:tc>
        <w:tc>
          <w:tcPr>
            <w:tcW w:w="671" w:type="pct"/>
            <w:vAlign w:val="center"/>
          </w:tcPr>
          <w:p w14:paraId="7F16E4E1">
            <w:pPr>
              <w:adjustRightInd w:val="0"/>
              <w:snapToGrid w:val="0"/>
              <w:spacing w:line="320" w:lineRule="exact"/>
              <w:jc w:val="center"/>
              <w:rPr>
                <w:rFonts w:eastAsia="仿宋_GB2312"/>
                <w:color w:val="auto"/>
                <w:szCs w:val="21"/>
              </w:rPr>
            </w:pPr>
            <w:r>
              <w:rPr>
                <w:rFonts w:eastAsia="仿宋_GB2312"/>
                <w:color w:val="auto"/>
                <w:szCs w:val="21"/>
              </w:rPr>
              <w:t>1.0</w:t>
            </w:r>
          </w:p>
        </w:tc>
        <w:tc>
          <w:tcPr>
            <w:tcW w:w="671" w:type="pct"/>
            <w:vAlign w:val="center"/>
          </w:tcPr>
          <w:p w14:paraId="2C579023">
            <w:pPr>
              <w:adjustRightInd w:val="0"/>
              <w:snapToGrid w:val="0"/>
              <w:spacing w:line="320" w:lineRule="exact"/>
              <w:jc w:val="center"/>
              <w:rPr>
                <w:rFonts w:eastAsia="仿宋_GB2312"/>
                <w:color w:val="auto"/>
                <w:szCs w:val="21"/>
              </w:rPr>
            </w:pPr>
            <w:r>
              <w:rPr>
                <w:rFonts w:eastAsia="仿宋_GB2312"/>
                <w:color w:val="auto"/>
                <w:szCs w:val="21"/>
              </w:rPr>
              <w:t>5</w:t>
            </w:r>
          </w:p>
        </w:tc>
        <w:tc>
          <w:tcPr>
            <w:tcW w:w="630" w:type="pct"/>
            <w:vMerge w:val="continue"/>
            <w:vAlign w:val="center"/>
          </w:tcPr>
          <w:p w14:paraId="3641670E">
            <w:pPr>
              <w:adjustRightInd w:val="0"/>
              <w:snapToGrid w:val="0"/>
              <w:spacing w:line="320" w:lineRule="exact"/>
              <w:jc w:val="center"/>
              <w:rPr>
                <w:rFonts w:eastAsia="仿宋_GB2312"/>
                <w:color w:val="auto"/>
                <w:szCs w:val="21"/>
              </w:rPr>
            </w:pPr>
          </w:p>
        </w:tc>
      </w:tr>
    </w:tbl>
    <w:p w14:paraId="63D2348D">
      <w:pPr>
        <w:adjustRightInd w:val="0"/>
        <w:snapToGrid w:val="0"/>
        <w:spacing w:line="320" w:lineRule="exact"/>
        <w:ind w:firstLine="420" w:firstLineChars="200"/>
        <w:rPr>
          <w:rFonts w:eastAsia="仿宋_GB2312"/>
          <w:color w:val="auto"/>
          <w:szCs w:val="22"/>
        </w:rPr>
      </w:pPr>
      <w:r>
        <w:rPr>
          <w:rFonts w:eastAsia="仿宋_GB2312"/>
          <w:color w:val="auto"/>
          <w:szCs w:val="21"/>
        </w:rPr>
        <w:t>注：毒性物质是危险性属于GB12268-2012中6.1项（经口LD</w:t>
      </w:r>
      <w:r>
        <w:rPr>
          <w:rFonts w:eastAsia="仿宋_GB2312"/>
          <w:color w:val="auto"/>
          <w:szCs w:val="21"/>
          <w:vertAlign w:val="subscript"/>
        </w:rPr>
        <w:t>50</w:t>
      </w:r>
      <w:r>
        <w:rPr>
          <w:rFonts w:eastAsia="仿宋_GB2312"/>
          <w:color w:val="auto"/>
          <w:szCs w:val="21"/>
        </w:rPr>
        <w:t>≤5mg/kg，经皮肤LC</w:t>
      </w:r>
      <w:r>
        <w:rPr>
          <w:rFonts w:eastAsia="仿宋_GB2312"/>
          <w:color w:val="auto"/>
          <w:szCs w:val="21"/>
          <w:vertAlign w:val="subscript"/>
        </w:rPr>
        <w:t>50</w:t>
      </w:r>
      <w:r>
        <w:rPr>
          <w:rFonts w:eastAsia="仿宋_GB2312"/>
          <w:color w:val="auto"/>
          <w:szCs w:val="21"/>
        </w:rPr>
        <w:t>≤50mg/kg，吸入LC</w:t>
      </w:r>
      <w:r>
        <w:rPr>
          <w:rFonts w:eastAsia="仿宋_GB2312"/>
          <w:color w:val="auto"/>
          <w:szCs w:val="21"/>
          <w:vertAlign w:val="subscript"/>
        </w:rPr>
        <w:t>50</w:t>
      </w:r>
      <w:r>
        <w:rPr>
          <w:rFonts w:eastAsia="仿宋_GB2312"/>
          <w:color w:val="auto"/>
          <w:szCs w:val="21"/>
        </w:rPr>
        <w:t>≤100×10</w:t>
      </w:r>
      <w:r>
        <w:rPr>
          <w:rFonts w:eastAsia="仿宋_GB2312"/>
          <w:color w:val="auto"/>
          <w:szCs w:val="21"/>
          <w:vertAlign w:val="superscript"/>
        </w:rPr>
        <w:t>-6</w:t>
      </w:r>
      <w:r>
        <w:rPr>
          <w:rFonts w:eastAsia="仿宋_GB2312"/>
          <w:color w:val="auto"/>
          <w:szCs w:val="21"/>
        </w:rPr>
        <w:t>mg/kg（体积分数）（气体），吸入LC</w:t>
      </w:r>
      <w:r>
        <w:rPr>
          <w:rFonts w:eastAsia="仿宋_GB2312"/>
          <w:color w:val="auto"/>
          <w:szCs w:val="21"/>
          <w:vertAlign w:val="subscript"/>
        </w:rPr>
        <w:t>50</w:t>
      </w:r>
      <w:r>
        <w:rPr>
          <w:rFonts w:eastAsia="仿宋_GB2312"/>
          <w:color w:val="auto"/>
          <w:szCs w:val="21"/>
        </w:rPr>
        <w:t>≤0.5mg/L（蒸汽），吸入LC</w:t>
      </w:r>
      <w:r>
        <w:rPr>
          <w:rFonts w:eastAsia="仿宋_GB2312"/>
          <w:color w:val="auto"/>
          <w:szCs w:val="21"/>
          <w:vertAlign w:val="subscript"/>
        </w:rPr>
        <w:t>50</w:t>
      </w:r>
      <w:r>
        <w:rPr>
          <w:rFonts w:eastAsia="仿宋_GB2312"/>
          <w:color w:val="auto"/>
          <w:szCs w:val="21"/>
        </w:rPr>
        <w:t>≤0.5mg/L（粉尘、烟雾））且急性毒性类别属于表中类别1，类别2的物质。</w:t>
      </w:r>
    </w:p>
    <w:p w14:paraId="1236F252">
      <w:pPr>
        <w:spacing w:line="500" w:lineRule="exact"/>
        <w:ind w:firstLine="560" w:firstLineChars="200"/>
        <w:rPr>
          <w:rFonts w:eastAsia="仿宋_GB2312"/>
          <w:color w:val="auto"/>
          <w:sz w:val="28"/>
          <w:szCs w:val="28"/>
        </w:rPr>
      </w:pPr>
      <w:r>
        <w:rPr>
          <w:rFonts w:eastAsia="仿宋_GB2312"/>
          <w:color w:val="auto"/>
          <w:sz w:val="28"/>
          <w:szCs w:val="28"/>
        </w:rPr>
        <w:t>本项目涉及的危险物质风险识别情况见表3.8-6和表3.8-7。</w:t>
      </w:r>
    </w:p>
    <w:p w14:paraId="60FAF93F">
      <w:pPr>
        <w:spacing w:line="500" w:lineRule="exact"/>
        <w:ind w:firstLine="482" w:firstLineChars="200"/>
        <w:rPr>
          <w:rFonts w:eastAsia="仿宋_GB2312"/>
          <w:b/>
          <w:color w:val="auto"/>
          <w:sz w:val="24"/>
        </w:rPr>
      </w:pPr>
      <w:r>
        <w:rPr>
          <w:rFonts w:eastAsia="仿宋_GB2312"/>
          <w:b/>
          <w:color w:val="auto"/>
          <w:sz w:val="24"/>
        </w:rPr>
        <w:t>表3.8-6  本项目涉及的主要原辅材料和产品主要性状一览表</w:t>
      </w:r>
    </w:p>
    <w:tbl>
      <w:tblPr>
        <w:tblStyle w:val="88"/>
        <w:tblW w:w="9210"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353"/>
        <w:gridCol w:w="900"/>
        <w:gridCol w:w="732"/>
        <w:gridCol w:w="840"/>
        <w:gridCol w:w="852"/>
        <w:gridCol w:w="1845"/>
        <w:gridCol w:w="1320"/>
        <w:gridCol w:w="1368"/>
      </w:tblGrid>
      <w:tr w14:paraId="7995233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353" w:type="dxa"/>
            <w:vAlign w:val="center"/>
          </w:tcPr>
          <w:p w14:paraId="1738CE57">
            <w:pPr>
              <w:adjustRightInd w:val="0"/>
              <w:snapToGrid w:val="0"/>
              <w:jc w:val="center"/>
              <w:rPr>
                <w:rFonts w:eastAsia="仿宋_GB2312"/>
                <w:b/>
                <w:color w:val="auto"/>
                <w:szCs w:val="21"/>
              </w:rPr>
            </w:pPr>
            <w:r>
              <w:rPr>
                <w:rFonts w:eastAsia="仿宋_GB2312"/>
                <w:b/>
                <w:color w:val="auto"/>
                <w:szCs w:val="21"/>
              </w:rPr>
              <w:t>物质名称</w:t>
            </w:r>
          </w:p>
        </w:tc>
        <w:tc>
          <w:tcPr>
            <w:tcW w:w="900" w:type="dxa"/>
            <w:vAlign w:val="center"/>
          </w:tcPr>
          <w:p w14:paraId="79509B05">
            <w:pPr>
              <w:adjustRightInd w:val="0"/>
              <w:snapToGrid w:val="0"/>
              <w:jc w:val="center"/>
              <w:rPr>
                <w:rFonts w:eastAsia="仿宋_GB2312"/>
                <w:b/>
                <w:color w:val="auto"/>
                <w:szCs w:val="21"/>
              </w:rPr>
            </w:pPr>
            <w:r>
              <w:rPr>
                <w:rFonts w:eastAsia="仿宋_GB2312"/>
                <w:b/>
                <w:color w:val="auto"/>
                <w:szCs w:val="21"/>
              </w:rPr>
              <w:t>危规号</w:t>
            </w:r>
          </w:p>
        </w:tc>
        <w:tc>
          <w:tcPr>
            <w:tcW w:w="732" w:type="dxa"/>
            <w:vAlign w:val="center"/>
          </w:tcPr>
          <w:p w14:paraId="24581098">
            <w:pPr>
              <w:adjustRightInd w:val="0"/>
              <w:snapToGrid w:val="0"/>
              <w:jc w:val="center"/>
              <w:rPr>
                <w:rFonts w:eastAsia="仿宋_GB2312"/>
                <w:b/>
                <w:color w:val="auto"/>
                <w:szCs w:val="21"/>
              </w:rPr>
            </w:pPr>
            <w:r>
              <w:rPr>
                <w:rFonts w:eastAsia="仿宋_GB2312"/>
                <w:b/>
                <w:color w:val="auto"/>
                <w:szCs w:val="21"/>
              </w:rPr>
              <w:t>闪点（</w:t>
            </w:r>
            <w:r>
              <w:rPr>
                <w:rFonts w:hint="eastAsia" w:ascii="宋体" w:hAnsi="宋体" w:cs="宋体"/>
                <w:b/>
                <w:color w:val="auto"/>
                <w:szCs w:val="21"/>
              </w:rPr>
              <w:t>℃</w:t>
            </w:r>
            <w:r>
              <w:rPr>
                <w:rFonts w:eastAsia="仿宋_GB2312"/>
                <w:b/>
                <w:color w:val="auto"/>
                <w:szCs w:val="21"/>
              </w:rPr>
              <w:t>）</w:t>
            </w:r>
          </w:p>
        </w:tc>
        <w:tc>
          <w:tcPr>
            <w:tcW w:w="840" w:type="dxa"/>
            <w:vAlign w:val="center"/>
          </w:tcPr>
          <w:p w14:paraId="618161C5">
            <w:pPr>
              <w:adjustRightInd w:val="0"/>
              <w:snapToGrid w:val="0"/>
              <w:jc w:val="center"/>
              <w:rPr>
                <w:rFonts w:eastAsia="仿宋_GB2312"/>
                <w:b/>
                <w:color w:val="auto"/>
                <w:szCs w:val="21"/>
              </w:rPr>
            </w:pPr>
            <w:r>
              <w:rPr>
                <w:rFonts w:eastAsia="仿宋_GB2312"/>
                <w:b/>
                <w:color w:val="auto"/>
                <w:szCs w:val="21"/>
              </w:rPr>
              <w:t>沸点</w:t>
            </w:r>
          </w:p>
          <w:p w14:paraId="3B90B881">
            <w:pPr>
              <w:adjustRightInd w:val="0"/>
              <w:snapToGrid w:val="0"/>
              <w:jc w:val="center"/>
              <w:rPr>
                <w:rFonts w:eastAsia="仿宋_GB2312"/>
                <w:b/>
                <w:color w:val="auto"/>
                <w:szCs w:val="21"/>
              </w:rPr>
            </w:pPr>
            <w:r>
              <w:rPr>
                <w:rFonts w:eastAsia="仿宋_GB2312"/>
                <w:b/>
                <w:color w:val="auto"/>
                <w:szCs w:val="21"/>
              </w:rPr>
              <w:t>（</w:t>
            </w:r>
            <w:r>
              <w:rPr>
                <w:rFonts w:hint="eastAsia" w:ascii="宋体" w:hAnsi="宋体" w:cs="宋体"/>
                <w:b/>
                <w:color w:val="auto"/>
                <w:szCs w:val="21"/>
              </w:rPr>
              <w:t>℃</w:t>
            </w:r>
            <w:r>
              <w:rPr>
                <w:rFonts w:eastAsia="仿宋_GB2312"/>
                <w:b/>
                <w:color w:val="auto"/>
                <w:szCs w:val="21"/>
              </w:rPr>
              <w:t>）</w:t>
            </w:r>
          </w:p>
        </w:tc>
        <w:tc>
          <w:tcPr>
            <w:tcW w:w="852" w:type="dxa"/>
            <w:vAlign w:val="center"/>
          </w:tcPr>
          <w:p w14:paraId="3A0302F5">
            <w:pPr>
              <w:adjustRightInd w:val="0"/>
              <w:snapToGrid w:val="0"/>
              <w:jc w:val="center"/>
              <w:rPr>
                <w:rFonts w:eastAsia="仿宋_GB2312"/>
                <w:b/>
                <w:color w:val="auto"/>
                <w:szCs w:val="21"/>
              </w:rPr>
            </w:pPr>
            <w:r>
              <w:rPr>
                <w:rFonts w:eastAsia="仿宋_GB2312"/>
                <w:b/>
                <w:color w:val="auto"/>
                <w:szCs w:val="21"/>
              </w:rPr>
              <w:t>熔点（</w:t>
            </w:r>
            <w:r>
              <w:rPr>
                <w:rFonts w:hint="eastAsia" w:ascii="宋体" w:hAnsi="宋体" w:cs="宋体"/>
                <w:b/>
                <w:color w:val="auto"/>
                <w:szCs w:val="21"/>
              </w:rPr>
              <w:t>℃</w:t>
            </w:r>
            <w:r>
              <w:rPr>
                <w:rFonts w:eastAsia="仿宋_GB2312"/>
                <w:b/>
                <w:color w:val="auto"/>
                <w:szCs w:val="21"/>
              </w:rPr>
              <w:t>）</w:t>
            </w:r>
          </w:p>
        </w:tc>
        <w:tc>
          <w:tcPr>
            <w:tcW w:w="1845" w:type="dxa"/>
            <w:vAlign w:val="center"/>
          </w:tcPr>
          <w:p w14:paraId="20953F88">
            <w:pPr>
              <w:adjustRightInd w:val="0"/>
              <w:snapToGrid w:val="0"/>
              <w:jc w:val="center"/>
              <w:rPr>
                <w:rFonts w:eastAsia="仿宋_GB2312"/>
                <w:b/>
                <w:color w:val="auto"/>
                <w:szCs w:val="21"/>
              </w:rPr>
            </w:pPr>
            <w:r>
              <w:rPr>
                <w:rFonts w:eastAsia="仿宋_GB2312"/>
                <w:b/>
                <w:color w:val="auto"/>
                <w:szCs w:val="21"/>
              </w:rPr>
              <w:t>LD</w:t>
            </w:r>
            <w:r>
              <w:rPr>
                <w:rFonts w:eastAsia="仿宋_GB2312"/>
                <w:b/>
                <w:color w:val="auto"/>
                <w:szCs w:val="21"/>
                <w:vertAlign w:val="subscript"/>
              </w:rPr>
              <w:t>50</w:t>
            </w:r>
            <w:r>
              <w:rPr>
                <w:rFonts w:eastAsia="仿宋_GB2312"/>
                <w:b/>
                <w:color w:val="auto"/>
                <w:szCs w:val="21"/>
              </w:rPr>
              <w:t>（经口，mg/kg）</w:t>
            </w:r>
          </w:p>
        </w:tc>
        <w:tc>
          <w:tcPr>
            <w:tcW w:w="1320" w:type="dxa"/>
            <w:vAlign w:val="center"/>
          </w:tcPr>
          <w:p w14:paraId="18B305AC">
            <w:pPr>
              <w:adjustRightInd w:val="0"/>
              <w:snapToGrid w:val="0"/>
              <w:jc w:val="center"/>
              <w:rPr>
                <w:rFonts w:eastAsia="仿宋_GB2312"/>
                <w:b/>
                <w:color w:val="auto"/>
                <w:szCs w:val="21"/>
              </w:rPr>
            </w:pPr>
            <w:r>
              <w:rPr>
                <w:rFonts w:eastAsia="仿宋_GB2312"/>
                <w:b/>
                <w:color w:val="auto"/>
                <w:szCs w:val="21"/>
              </w:rPr>
              <w:t>LD</w:t>
            </w:r>
            <w:r>
              <w:rPr>
                <w:rFonts w:eastAsia="仿宋_GB2312"/>
                <w:b/>
                <w:color w:val="auto"/>
                <w:szCs w:val="21"/>
                <w:vertAlign w:val="subscript"/>
              </w:rPr>
              <w:t>50</w:t>
            </w:r>
            <w:r>
              <w:rPr>
                <w:rFonts w:eastAsia="仿宋_GB2312"/>
                <w:b/>
                <w:color w:val="auto"/>
                <w:szCs w:val="21"/>
              </w:rPr>
              <w:t>（经皮，mg/kg）</w:t>
            </w:r>
          </w:p>
        </w:tc>
        <w:tc>
          <w:tcPr>
            <w:tcW w:w="1368" w:type="dxa"/>
            <w:vAlign w:val="center"/>
          </w:tcPr>
          <w:p w14:paraId="26ED52FB">
            <w:pPr>
              <w:adjustRightInd w:val="0"/>
              <w:snapToGrid w:val="0"/>
              <w:jc w:val="center"/>
              <w:rPr>
                <w:rFonts w:eastAsia="仿宋_GB2312"/>
                <w:b/>
                <w:color w:val="auto"/>
                <w:szCs w:val="21"/>
              </w:rPr>
            </w:pPr>
            <w:r>
              <w:rPr>
                <w:rFonts w:eastAsia="仿宋_GB2312"/>
                <w:b/>
                <w:color w:val="auto"/>
                <w:szCs w:val="21"/>
              </w:rPr>
              <w:t>LC</w:t>
            </w:r>
            <w:r>
              <w:rPr>
                <w:rFonts w:eastAsia="仿宋_GB2312"/>
                <w:b/>
                <w:color w:val="auto"/>
                <w:szCs w:val="21"/>
                <w:vertAlign w:val="subscript"/>
              </w:rPr>
              <w:t>50</w:t>
            </w:r>
            <w:r>
              <w:rPr>
                <w:rFonts w:eastAsia="仿宋_GB2312"/>
                <w:b/>
                <w:color w:val="auto"/>
                <w:szCs w:val="21"/>
              </w:rPr>
              <w:t>（吸入，mg/m</w:t>
            </w:r>
            <w:r>
              <w:rPr>
                <w:rFonts w:eastAsia="仿宋_GB2312"/>
                <w:b/>
                <w:color w:val="auto"/>
                <w:szCs w:val="21"/>
                <w:vertAlign w:val="superscript"/>
              </w:rPr>
              <w:t>3</w:t>
            </w:r>
            <w:r>
              <w:rPr>
                <w:rFonts w:eastAsia="仿宋_GB2312"/>
                <w:b/>
                <w:color w:val="auto"/>
                <w:szCs w:val="21"/>
              </w:rPr>
              <w:t>）</w:t>
            </w:r>
          </w:p>
        </w:tc>
      </w:tr>
      <w:tr w14:paraId="5B4F47D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353" w:type="dxa"/>
            <w:vAlign w:val="center"/>
          </w:tcPr>
          <w:p w14:paraId="69744852">
            <w:pPr>
              <w:adjustRightInd w:val="0"/>
              <w:snapToGrid w:val="0"/>
              <w:spacing w:line="320" w:lineRule="exact"/>
              <w:jc w:val="center"/>
              <w:rPr>
                <w:rFonts w:eastAsia="仿宋_GB2312"/>
                <w:color w:val="auto"/>
                <w:szCs w:val="21"/>
              </w:rPr>
            </w:pPr>
            <w:r>
              <w:rPr>
                <w:rFonts w:eastAsia="仿宋_GB2312"/>
                <w:color w:val="auto"/>
                <w:szCs w:val="21"/>
              </w:rPr>
              <w:t>N-甲基吡咯烷酮</w:t>
            </w:r>
          </w:p>
        </w:tc>
        <w:tc>
          <w:tcPr>
            <w:tcW w:w="900" w:type="dxa"/>
            <w:vAlign w:val="center"/>
          </w:tcPr>
          <w:p w14:paraId="2D07681A">
            <w:pPr>
              <w:adjustRightInd w:val="0"/>
              <w:snapToGrid w:val="0"/>
              <w:spacing w:line="320" w:lineRule="exact"/>
              <w:jc w:val="center"/>
              <w:rPr>
                <w:rFonts w:eastAsia="仿宋_GB2312"/>
                <w:color w:val="auto"/>
                <w:szCs w:val="21"/>
              </w:rPr>
            </w:pPr>
            <w:r>
              <w:rPr>
                <w:rFonts w:eastAsia="仿宋_GB2312"/>
                <w:color w:val="auto"/>
                <w:szCs w:val="21"/>
              </w:rPr>
              <w:t>/</w:t>
            </w:r>
          </w:p>
        </w:tc>
        <w:tc>
          <w:tcPr>
            <w:tcW w:w="732" w:type="dxa"/>
            <w:vAlign w:val="center"/>
          </w:tcPr>
          <w:p w14:paraId="10318005">
            <w:pPr>
              <w:spacing w:line="320" w:lineRule="exact"/>
              <w:jc w:val="center"/>
              <w:rPr>
                <w:rFonts w:eastAsia="仿宋_GB2312"/>
                <w:color w:val="auto"/>
                <w:szCs w:val="21"/>
              </w:rPr>
            </w:pPr>
            <w:r>
              <w:rPr>
                <w:rFonts w:eastAsia="仿宋_GB2312"/>
                <w:color w:val="auto"/>
                <w:szCs w:val="21"/>
              </w:rPr>
              <w:t>86.11</w:t>
            </w:r>
          </w:p>
        </w:tc>
        <w:tc>
          <w:tcPr>
            <w:tcW w:w="840" w:type="dxa"/>
            <w:vAlign w:val="center"/>
          </w:tcPr>
          <w:p w14:paraId="5608F9BC">
            <w:pPr>
              <w:spacing w:line="320" w:lineRule="exact"/>
              <w:jc w:val="center"/>
              <w:rPr>
                <w:rFonts w:eastAsia="仿宋_GB2312"/>
                <w:color w:val="auto"/>
                <w:szCs w:val="21"/>
              </w:rPr>
            </w:pPr>
            <w:r>
              <w:rPr>
                <w:rFonts w:eastAsia="仿宋_GB2312"/>
                <w:color w:val="auto"/>
                <w:szCs w:val="21"/>
              </w:rPr>
              <w:t>202</w:t>
            </w:r>
          </w:p>
        </w:tc>
        <w:tc>
          <w:tcPr>
            <w:tcW w:w="852" w:type="dxa"/>
            <w:vAlign w:val="center"/>
          </w:tcPr>
          <w:p w14:paraId="31618ACC">
            <w:pPr>
              <w:spacing w:line="320" w:lineRule="exact"/>
              <w:jc w:val="center"/>
              <w:rPr>
                <w:rFonts w:eastAsia="仿宋_GB2312"/>
                <w:color w:val="auto"/>
                <w:szCs w:val="21"/>
              </w:rPr>
            </w:pPr>
            <w:r>
              <w:rPr>
                <w:rFonts w:eastAsia="仿宋_GB2312"/>
                <w:color w:val="auto"/>
                <w:szCs w:val="21"/>
              </w:rPr>
              <w:t>-24</w:t>
            </w:r>
          </w:p>
        </w:tc>
        <w:tc>
          <w:tcPr>
            <w:tcW w:w="1845" w:type="dxa"/>
            <w:vAlign w:val="center"/>
          </w:tcPr>
          <w:p w14:paraId="0616845D">
            <w:pPr>
              <w:spacing w:line="320" w:lineRule="exact"/>
              <w:jc w:val="center"/>
              <w:rPr>
                <w:rFonts w:eastAsia="仿宋_GB2312"/>
                <w:color w:val="auto"/>
                <w:szCs w:val="21"/>
              </w:rPr>
            </w:pPr>
            <w:r>
              <w:rPr>
                <w:rFonts w:eastAsia="仿宋_GB2312"/>
                <w:color w:val="auto"/>
                <w:szCs w:val="21"/>
              </w:rPr>
              <w:t>3914（大鼠）</w:t>
            </w:r>
          </w:p>
          <w:p w14:paraId="28E08581">
            <w:pPr>
              <w:spacing w:line="320" w:lineRule="exact"/>
              <w:jc w:val="center"/>
              <w:rPr>
                <w:rFonts w:eastAsia="仿宋_GB2312"/>
                <w:color w:val="auto"/>
                <w:szCs w:val="21"/>
              </w:rPr>
            </w:pPr>
            <w:r>
              <w:rPr>
                <w:rFonts w:eastAsia="仿宋_GB2312"/>
                <w:color w:val="auto"/>
                <w:szCs w:val="21"/>
              </w:rPr>
              <w:t>5130（小鼠）</w:t>
            </w:r>
          </w:p>
        </w:tc>
        <w:tc>
          <w:tcPr>
            <w:tcW w:w="1320" w:type="dxa"/>
            <w:vAlign w:val="center"/>
          </w:tcPr>
          <w:p w14:paraId="486E75A9">
            <w:pPr>
              <w:spacing w:line="320" w:lineRule="exact"/>
              <w:jc w:val="center"/>
              <w:rPr>
                <w:rFonts w:eastAsia="仿宋_GB2312"/>
                <w:color w:val="auto"/>
                <w:szCs w:val="21"/>
              </w:rPr>
            </w:pPr>
            <w:r>
              <w:rPr>
                <w:rFonts w:eastAsia="仿宋_GB2312"/>
                <w:color w:val="auto"/>
                <w:szCs w:val="21"/>
              </w:rPr>
              <w:t>/</w:t>
            </w:r>
          </w:p>
        </w:tc>
        <w:tc>
          <w:tcPr>
            <w:tcW w:w="1368" w:type="dxa"/>
            <w:vAlign w:val="center"/>
          </w:tcPr>
          <w:p w14:paraId="50A4BF64">
            <w:pPr>
              <w:spacing w:line="320" w:lineRule="exact"/>
              <w:jc w:val="center"/>
              <w:rPr>
                <w:rFonts w:eastAsia="仿宋_GB2312"/>
                <w:color w:val="auto"/>
                <w:szCs w:val="21"/>
              </w:rPr>
            </w:pPr>
            <w:r>
              <w:rPr>
                <w:rFonts w:eastAsia="仿宋_GB2312"/>
                <w:color w:val="auto"/>
                <w:szCs w:val="21"/>
              </w:rPr>
              <w:t>/</w:t>
            </w:r>
          </w:p>
        </w:tc>
      </w:tr>
      <w:tr w14:paraId="2A2053D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353" w:type="dxa"/>
            <w:vAlign w:val="center"/>
          </w:tcPr>
          <w:p w14:paraId="0B845EF3">
            <w:pPr>
              <w:adjustRightInd w:val="0"/>
              <w:snapToGrid w:val="0"/>
              <w:spacing w:line="320" w:lineRule="exact"/>
              <w:jc w:val="center"/>
              <w:rPr>
                <w:rFonts w:eastAsia="仿宋_GB2312"/>
                <w:color w:val="auto"/>
                <w:szCs w:val="21"/>
              </w:rPr>
            </w:pPr>
            <w:r>
              <w:rPr>
                <w:rFonts w:eastAsia="仿宋_GB2312"/>
                <w:color w:val="auto"/>
                <w:szCs w:val="21"/>
              </w:rPr>
              <w:t>异丙醇</w:t>
            </w:r>
          </w:p>
        </w:tc>
        <w:tc>
          <w:tcPr>
            <w:tcW w:w="900" w:type="dxa"/>
            <w:vAlign w:val="center"/>
          </w:tcPr>
          <w:p w14:paraId="703B4134">
            <w:pPr>
              <w:adjustRightInd w:val="0"/>
              <w:snapToGrid w:val="0"/>
              <w:spacing w:line="320" w:lineRule="exact"/>
              <w:jc w:val="center"/>
              <w:rPr>
                <w:rFonts w:eastAsia="仿宋_GB2312"/>
                <w:color w:val="auto"/>
                <w:szCs w:val="21"/>
              </w:rPr>
            </w:pPr>
            <w:r>
              <w:rPr>
                <w:rFonts w:eastAsia="仿宋_GB2312"/>
                <w:color w:val="auto"/>
                <w:szCs w:val="21"/>
              </w:rPr>
              <w:t>32064</w:t>
            </w:r>
          </w:p>
        </w:tc>
        <w:tc>
          <w:tcPr>
            <w:tcW w:w="732" w:type="dxa"/>
            <w:vAlign w:val="center"/>
          </w:tcPr>
          <w:p w14:paraId="2C41592F">
            <w:pPr>
              <w:spacing w:line="320" w:lineRule="exact"/>
              <w:jc w:val="center"/>
              <w:rPr>
                <w:rFonts w:eastAsia="仿宋_GB2312"/>
                <w:color w:val="auto"/>
                <w:szCs w:val="21"/>
              </w:rPr>
            </w:pPr>
            <w:r>
              <w:rPr>
                <w:rFonts w:eastAsia="仿宋_GB2312"/>
                <w:color w:val="auto"/>
                <w:szCs w:val="21"/>
              </w:rPr>
              <w:t>12</w:t>
            </w:r>
          </w:p>
        </w:tc>
        <w:tc>
          <w:tcPr>
            <w:tcW w:w="840" w:type="dxa"/>
            <w:vAlign w:val="center"/>
          </w:tcPr>
          <w:p w14:paraId="62072C20">
            <w:pPr>
              <w:spacing w:line="320" w:lineRule="exact"/>
              <w:jc w:val="center"/>
              <w:rPr>
                <w:rFonts w:eastAsia="仿宋_GB2312"/>
                <w:color w:val="auto"/>
                <w:szCs w:val="21"/>
              </w:rPr>
            </w:pPr>
            <w:r>
              <w:rPr>
                <w:rFonts w:eastAsia="仿宋_GB2312"/>
                <w:color w:val="auto"/>
                <w:szCs w:val="21"/>
              </w:rPr>
              <w:t>82.5</w:t>
            </w:r>
          </w:p>
        </w:tc>
        <w:tc>
          <w:tcPr>
            <w:tcW w:w="852" w:type="dxa"/>
            <w:vAlign w:val="center"/>
          </w:tcPr>
          <w:p w14:paraId="4834AF7A">
            <w:pPr>
              <w:spacing w:line="320" w:lineRule="exact"/>
              <w:jc w:val="center"/>
              <w:rPr>
                <w:rFonts w:eastAsia="仿宋_GB2312"/>
                <w:color w:val="auto"/>
                <w:szCs w:val="21"/>
              </w:rPr>
            </w:pPr>
            <w:r>
              <w:rPr>
                <w:rFonts w:eastAsia="仿宋_GB2312"/>
                <w:color w:val="auto"/>
                <w:szCs w:val="21"/>
              </w:rPr>
              <w:t>-88.5</w:t>
            </w:r>
          </w:p>
        </w:tc>
        <w:tc>
          <w:tcPr>
            <w:tcW w:w="1845" w:type="dxa"/>
            <w:vAlign w:val="center"/>
          </w:tcPr>
          <w:p w14:paraId="283CABB8">
            <w:pPr>
              <w:spacing w:line="320" w:lineRule="exact"/>
              <w:jc w:val="center"/>
              <w:rPr>
                <w:rFonts w:eastAsia="仿宋_GB2312"/>
                <w:color w:val="auto"/>
                <w:szCs w:val="21"/>
              </w:rPr>
            </w:pPr>
            <w:r>
              <w:rPr>
                <w:rFonts w:eastAsia="仿宋_GB2312"/>
                <w:color w:val="auto"/>
                <w:szCs w:val="21"/>
              </w:rPr>
              <w:t>5045（大鼠）</w:t>
            </w:r>
          </w:p>
        </w:tc>
        <w:tc>
          <w:tcPr>
            <w:tcW w:w="1320" w:type="dxa"/>
            <w:vAlign w:val="center"/>
          </w:tcPr>
          <w:p w14:paraId="3A9487DD">
            <w:pPr>
              <w:spacing w:line="320" w:lineRule="exact"/>
              <w:jc w:val="center"/>
              <w:rPr>
                <w:rFonts w:eastAsia="仿宋_GB2312"/>
                <w:color w:val="auto"/>
                <w:szCs w:val="21"/>
              </w:rPr>
            </w:pPr>
            <w:r>
              <w:rPr>
                <w:rFonts w:eastAsia="仿宋_GB2312"/>
                <w:color w:val="auto"/>
                <w:szCs w:val="21"/>
              </w:rPr>
              <w:t>12800（兔）</w:t>
            </w:r>
          </w:p>
        </w:tc>
        <w:tc>
          <w:tcPr>
            <w:tcW w:w="1368" w:type="dxa"/>
            <w:vAlign w:val="center"/>
          </w:tcPr>
          <w:p w14:paraId="6F2CF0D7">
            <w:pPr>
              <w:spacing w:line="320" w:lineRule="exact"/>
              <w:jc w:val="center"/>
              <w:rPr>
                <w:rFonts w:eastAsia="仿宋_GB2312"/>
                <w:color w:val="auto"/>
                <w:szCs w:val="21"/>
              </w:rPr>
            </w:pPr>
            <w:r>
              <w:rPr>
                <w:rFonts w:eastAsia="仿宋_GB2312"/>
                <w:color w:val="auto"/>
                <w:szCs w:val="21"/>
              </w:rPr>
              <w:t>/</w:t>
            </w:r>
          </w:p>
        </w:tc>
      </w:tr>
      <w:tr w14:paraId="1B66BCD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353" w:type="dxa"/>
            <w:vAlign w:val="center"/>
          </w:tcPr>
          <w:p w14:paraId="353DB3D4">
            <w:pPr>
              <w:adjustRightInd w:val="0"/>
              <w:snapToGrid w:val="0"/>
              <w:spacing w:line="320" w:lineRule="exact"/>
              <w:jc w:val="center"/>
              <w:rPr>
                <w:rFonts w:eastAsia="仿宋_GB2312"/>
                <w:color w:val="auto"/>
                <w:szCs w:val="21"/>
              </w:rPr>
            </w:pPr>
            <w:r>
              <w:rPr>
                <w:rFonts w:eastAsia="仿宋_GB2312"/>
                <w:color w:val="auto"/>
                <w:szCs w:val="21"/>
              </w:rPr>
              <w:t>丁酮</w:t>
            </w:r>
          </w:p>
        </w:tc>
        <w:tc>
          <w:tcPr>
            <w:tcW w:w="900" w:type="dxa"/>
            <w:vAlign w:val="center"/>
          </w:tcPr>
          <w:p w14:paraId="1B28997E">
            <w:pPr>
              <w:adjustRightInd w:val="0"/>
              <w:snapToGrid w:val="0"/>
              <w:spacing w:line="320" w:lineRule="exact"/>
              <w:jc w:val="center"/>
              <w:rPr>
                <w:rFonts w:eastAsia="仿宋_GB2312"/>
                <w:color w:val="auto"/>
                <w:szCs w:val="21"/>
              </w:rPr>
            </w:pPr>
            <w:r>
              <w:rPr>
                <w:rFonts w:eastAsia="仿宋_GB2312"/>
                <w:color w:val="auto"/>
                <w:szCs w:val="21"/>
              </w:rPr>
              <w:t>32073</w:t>
            </w:r>
          </w:p>
        </w:tc>
        <w:tc>
          <w:tcPr>
            <w:tcW w:w="732" w:type="dxa"/>
            <w:vAlign w:val="center"/>
          </w:tcPr>
          <w:p w14:paraId="7F954991">
            <w:pPr>
              <w:spacing w:line="320" w:lineRule="exact"/>
              <w:jc w:val="center"/>
              <w:rPr>
                <w:rFonts w:eastAsia="仿宋_GB2312"/>
                <w:color w:val="auto"/>
                <w:szCs w:val="21"/>
              </w:rPr>
            </w:pPr>
            <w:r>
              <w:rPr>
                <w:rFonts w:eastAsia="仿宋_GB2312"/>
                <w:color w:val="auto"/>
                <w:szCs w:val="21"/>
              </w:rPr>
              <w:t>-9</w:t>
            </w:r>
          </w:p>
        </w:tc>
        <w:tc>
          <w:tcPr>
            <w:tcW w:w="840" w:type="dxa"/>
            <w:vAlign w:val="center"/>
          </w:tcPr>
          <w:p w14:paraId="1D3434DE">
            <w:pPr>
              <w:spacing w:line="320" w:lineRule="exact"/>
              <w:jc w:val="center"/>
              <w:rPr>
                <w:rFonts w:eastAsia="仿宋_GB2312"/>
                <w:color w:val="auto"/>
                <w:szCs w:val="21"/>
              </w:rPr>
            </w:pPr>
            <w:r>
              <w:rPr>
                <w:rFonts w:eastAsia="仿宋_GB2312"/>
                <w:color w:val="auto"/>
                <w:szCs w:val="21"/>
              </w:rPr>
              <w:t>79.6</w:t>
            </w:r>
          </w:p>
        </w:tc>
        <w:tc>
          <w:tcPr>
            <w:tcW w:w="852" w:type="dxa"/>
            <w:vAlign w:val="center"/>
          </w:tcPr>
          <w:p w14:paraId="76DCDF6B">
            <w:pPr>
              <w:spacing w:line="320" w:lineRule="exact"/>
              <w:jc w:val="center"/>
              <w:rPr>
                <w:rFonts w:eastAsia="仿宋_GB2312"/>
                <w:color w:val="auto"/>
                <w:szCs w:val="21"/>
              </w:rPr>
            </w:pPr>
            <w:r>
              <w:rPr>
                <w:rFonts w:eastAsia="仿宋_GB2312"/>
                <w:color w:val="auto"/>
                <w:szCs w:val="21"/>
              </w:rPr>
              <w:t>-85.9</w:t>
            </w:r>
          </w:p>
        </w:tc>
        <w:tc>
          <w:tcPr>
            <w:tcW w:w="1845" w:type="dxa"/>
            <w:vAlign w:val="center"/>
          </w:tcPr>
          <w:p w14:paraId="1274039C">
            <w:pPr>
              <w:spacing w:line="320" w:lineRule="exact"/>
              <w:jc w:val="center"/>
              <w:rPr>
                <w:rFonts w:eastAsia="仿宋_GB2312"/>
                <w:color w:val="auto"/>
                <w:szCs w:val="21"/>
              </w:rPr>
            </w:pPr>
            <w:r>
              <w:rPr>
                <w:rFonts w:eastAsia="仿宋_GB2312"/>
                <w:color w:val="auto"/>
                <w:szCs w:val="21"/>
              </w:rPr>
              <w:t>3300（大鼠）</w:t>
            </w:r>
          </w:p>
        </w:tc>
        <w:tc>
          <w:tcPr>
            <w:tcW w:w="1320" w:type="dxa"/>
            <w:vAlign w:val="center"/>
          </w:tcPr>
          <w:p w14:paraId="07BB3557">
            <w:pPr>
              <w:spacing w:line="320" w:lineRule="exact"/>
              <w:jc w:val="center"/>
              <w:rPr>
                <w:rFonts w:eastAsia="仿宋_GB2312"/>
                <w:color w:val="auto"/>
                <w:szCs w:val="21"/>
              </w:rPr>
            </w:pPr>
            <w:r>
              <w:rPr>
                <w:rFonts w:eastAsia="仿宋_GB2312"/>
                <w:color w:val="auto"/>
                <w:szCs w:val="21"/>
              </w:rPr>
              <w:t>/</w:t>
            </w:r>
          </w:p>
        </w:tc>
        <w:tc>
          <w:tcPr>
            <w:tcW w:w="1368" w:type="dxa"/>
            <w:vAlign w:val="center"/>
          </w:tcPr>
          <w:p w14:paraId="33FA10E4">
            <w:pPr>
              <w:spacing w:line="320" w:lineRule="exact"/>
              <w:jc w:val="center"/>
              <w:rPr>
                <w:rFonts w:eastAsia="仿宋_GB2312"/>
                <w:color w:val="auto"/>
                <w:szCs w:val="21"/>
              </w:rPr>
            </w:pPr>
            <w:r>
              <w:rPr>
                <w:rFonts w:eastAsia="仿宋_GB2312"/>
                <w:color w:val="auto"/>
                <w:szCs w:val="21"/>
              </w:rPr>
              <w:t>/</w:t>
            </w:r>
          </w:p>
        </w:tc>
      </w:tr>
      <w:tr w14:paraId="492AB4F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353" w:type="dxa"/>
            <w:vAlign w:val="center"/>
          </w:tcPr>
          <w:p w14:paraId="4F675EEB">
            <w:pPr>
              <w:adjustRightInd w:val="0"/>
              <w:snapToGrid w:val="0"/>
              <w:spacing w:line="320" w:lineRule="exact"/>
              <w:jc w:val="center"/>
              <w:rPr>
                <w:rFonts w:eastAsia="仿宋_GB2312"/>
                <w:color w:val="auto"/>
                <w:szCs w:val="21"/>
              </w:rPr>
            </w:pPr>
            <w:r>
              <w:rPr>
                <w:rFonts w:eastAsia="仿宋_GB2312"/>
                <w:color w:val="auto"/>
                <w:szCs w:val="21"/>
              </w:rPr>
              <w:t>乙醇</w:t>
            </w:r>
          </w:p>
        </w:tc>
        <w:tc>
          <w:tcPr>
            <w:tcW w:w="900" w:type="dxa"/>
            <w:vAlign w:val="center"/>
          </w:tcPr>
          <w:p w14:paraId="4BB13CE7">
            <w:pPr>
              <w:adjustRightInd w:val="0"/>
              <w:snapToGrid w:val="0"/>
              <w:spacing w:line="320" w:lineRule="exact"/>
              <w:jc w:val="center"/>
              <w:rPr>
                <w:rFonts w:eastAsia="仿宋_GB2312"/>
                <w:color w:val="auto"/>
                <w:szCs w:val="21"/>
              </w:rPr>
            </w:pPr>
            <w:r>
              <w:rPr>
                <w:rFonts w:eastAsia="仿宋_GB2312"/>
                <w:color w:val="auto"/>
                <w:szCs w:val="21"/>
              </w:rPr>
              <w:t>32061</w:t>
            </w:r>
          </w:p>
        </w:tc>
        <w:tc>
          <w:tcPr>
            <w:tcW w:w="732" w:type="dxa"/>
            <w:vAlign w:val="center"/>
          </w:tcPr>
          <w:p w14:paraId="697A5A75">
            <w:pPr>
              <w:spacing w:line="320" w:lineRule="exact"/>
              <w:jc w:val="center"/>
              <w:rPr>
                <w:rFonts w:eastAsia="仿宋_GB2312"/>
                <w:color w:val="auto"/>
                <w:szCs w:val="21"/>
              </w:rPr>
            </w:pPr>
            <w:r>
              <w:rPr>
                <w:rFonts w:eastAsia="仿宋_GB2312"/>
                <w:color w:val="auto"/>
                <w:szCs w:val="21"/>
              </w:rPr>
              <w:t>12</w:t>
            </w:r>
          </w:p>
        </w:tc>
        <w:tc>
          <w:tcPr>
            <w:tcW w:w="840" w:type="dxa"/>
            <w:vAlign w:val="center"/>
          </w:tcPr>
          <w:p w14:paraId="15ED33F7">
            <w:pPr>
              <w:spacing w:line="320" w:lineRule="exact"/>
              <w:jc w:val="center"/>
              <w:rPr>
                <w:rFonts w:eastAsia="仿宋_GB2312"/>
                <w:color w:val="auto"/>
                <w:szCs w:val="21"/>
              </w:rPr>
            </w:pPr>
            <w:r>
              <w:rPr>
                <w:rFonts w:eastAsia="仿宋_GB2312"/>
                <w:color w:val="auto"/>
                <w:szCs w:val="21"/>
              </w:rPr>
              <w:t>78.3</w:t>
            </w:r>
          </w:p>
        </w:tc>
        <w:tc>
          <w:tcPr>
            <w:tcW w:w="852" w:type="dxa"/>
            <w:vAlign w:val="center"/>
          </w:tcPr>
          <w:p w14:paraId="47EF4F11">
            <w:pPr>
              <w:spacing w:line="320" w:lineRule="exact"/>
              <w:jc w:val="center"/>
              <w:rPr>
                <w:rFonts w:eastAsia="仿宋_GB2312"/>
                <w:color w:val="auto"/>
                <w:szCs w:val="21"/>
              </w:rPr>
            </w:pPr>
            <w:r>
              <w:rPr>
                <w:rFonts w:eastAsia="仿宋_GB2312"/>
                <w:color w:val="auto"/>
                <w:szCs w:val="21"/>
              </w:rPr>
              <w:t>-114.1</w:t>
            </w:r>
          </w:p>
        </w:tc>
        <w:tc>
          <w:tcPr>
            <w:tcW w:w="1845" w:type="dxa"/>
            <w:vAlign w:val="center"/>
          </w:tcPr>
          <w:p w14:paraId="42B90BD4">
            <w:pPr>
              <w:spacing w:line="320" w:lineRule="exact"/>
              <w:jc w:val="center"/>
              <w:rPr>
                <w:rFonts w:eastAsia="仿宋_GB2312"/>
                <w:color w:val="auto"/>
                <w:szCs w:val="21"/>
              </w:rPr>
            </w:pPr>
            <w:r>
              <w:rPr>
                <w:rFonts w:eastAsia="仿宋_GB2312"/>
                <w:color w:val="auto"/>
                <w:szCs w:val="21"/>
              </w:rPr>
              <w:t>7060（兔）</w:t>
            </w:r>
          </w:p>
        </w:tc>
        <w:tc>
          <w:tcPr>
            <w:tcW w:w="1320" w:type="dxa"/>
            <w:vAlign w:val="center"/>
          </w:tcPr>
          <w:p w14:paraId="500796E3">
            <w:pPr>
              <w:jc w:val="center"/>
              <w:rPr>
                <w:rFonts w:eastAsia="仿宋_GB2312"/>
                <w:color w:val="auto"/>
                <w:szCs w:val="21"/>
              </w:rPr>
            </w:pPr>
            <w:r>
              <w:rPr>
                <w:rFonts w:eastAsia="仿宋_GB2312"/>
                <w:color w:val="auto"/>
                <w:szCs w:val="21"/>
              </w:rPr>
              <w:t>7340（兔）</w:t>
            </w:r>
          </w:p>
        </w:tc>
        <w:tc>
          <w:tcPr>
            <w:tcW w:w="1368" w:type="dxa"/>
            <w:vAlign w:val="center"/>
          </w:tcPr>
          <w:p w14:paraId="4E345842">
            <w:pPr>
              <w:jc w:val="center"/>
              <w:rPr>
                <w:rFonts w:eastAsia="仿宋_GB2312"/>
                <w:color w:val="auto"/>
                <w:szCs w:val="21"/>
              </w:rPr>
            </w:pPr>
            <w:r>
              <w:rPr>
                <w:rFonts w:eastAsia="仿宋_GB2312"/>
                <w:color w:val="auto"/>
                <w:szCs w:val="21"/>
              </w:rPr>
              <w:t>37620（大鼠、10小时）</w:t>
            </w:r>
          </w:p>
        </w:tc>
      </w:tr>
      <w:tr w14:paraId="02508CF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353" w:type="dxa"/>
            <w:vAlign w:val="center"/>
          </w:tcPr>
          <w:p w14:paraId="066E4606">
            <w:pPr>
              <w:adjustRightInd w:val="0"/>
              <w:snapToGrid w:val="0"/>
              <w:spacing w:line="320" w:lineRule="exact"/>
              <w:jc w:val="center"/>
              <w:rPr>
                <w:rFonts w:eastAsia="仿宋_GB2312"/>
                <w:color w:val="auto"/>
                <w:szCs w:val="21"/>
              </w:rPr>
            </w:pPr>
            <w:r>
              <w:rPr>
                <w:rFonts w:eastAsia="仿宋_GB2312"/>
                <w:color w:val="auto"/>
                <w:szCs w:val="21"/>
              </w:rPr>
              <w:t>乙酸乙酯</w:t>
            </w:r>
          </w:p>
        </w:tc>
        <w:tc>
          <w:tcPr>
            <w:tcW w:w="900" w:type="dxa"/>
            <w:vAlign w:val="center"/>
          </w:tcPr>
          <w:p w14:paraId="4F810E2C">
            <w:pPr>
              <w:adjustRightInd w:val="0"/>
              <w:snapToGrid w:val="0"/>
              <w:spacing w:line="320" w:lineRule="exact"/>
              <w:jc w:val="center"/>
              <w:rPr>
                <w:rFonts w:eastAsia="仿宋_GB2312"/>
                <w:color w:val="auto"/>
                <w:szCs w:val="21"/>
              </w:rPr>
            </w:pPr>
            <w:r>
              <w:rPr>
                <w:rFonts w:eastAsia="仿宋_GB2312"/>
                <w:color w:val="auto"/>
                <w:szCs w:val="21"/>
              </w:rPr>
              <w:t>32127</w:t>
            </w:r>
          </w:p>
        </w:tc>
        <w:tc>
          <w:tcPr>
            <w:tcW w:w="732" w:type="dxa"/>
            <w:vAlign w:val="center"/>
          </w:tcPr>
          <w:p w14:paraId="25099E74">
            <w:pPr>
              <w:spacing w:line="320" w:lineRule="exact"/>
              <w:jc w:val="center"/>
              <w:rPr>
                <w:rFonts w:eastAsia="仿宋_GB2312"/>
                <w:color w:val="auto"/>
                <w:szCs w:val="21"/>
              </w:rPr>
            </w:pPr>
            <w:r>
              <w:rPr>
                <w:rFonts w:eastAsia="仿宋_GB2312"/>
                <w:color w:val="auto"/>
                <w:szCs w:val="21"/>
              </w:rPr>
              <w:t>-4</w:t>
            </w:r>
          </w:p>
        </w:tc>
        <w:tc>
          <w:tcPr>
            <w:tcW w:w="840" w:type="dxa"/>
            <w:vAlign w:val="center"/>
          </w:tcPr>
          <w:p w14:paraId="7D109444">
            <w:pPr>
              <w:spacing w:line="320" w:lineRule="exact"/>
              <w:jc w:val="center"/>
              <w:rPr>
                <w:rFonts w:eastAsia="仿宋_GB2312"/>
                <w:color w:val="auto"/>
                <w:szCs w:val="21"/>
              </w:rPr>
            </w:pPr>
            <w:r>
              <w:rPr>
                <w:rFonts w:eastAsia="仿宋_GB2312"/>
                <w:color w:val="auto"/>
                <w:szCs w:val="21"/>
              </w:rPr>
              <w:t>77.2</w:t>
            </w:r>
          </w:p>
        </w:tc>
        <w:tc>
          <w:tcPr>
            <w:tcW w:w="852" w:type="dxa"/>
            <w:vAlign w:val="center"/>
          </w:tcPr>
          <w:p w14:paraId="0014E387">
            <w:pPr>
              <w:spacing w:line="320" w:lineRule="exact"/>
              <w:jc w:val="center"/>
              <w:rPr>
                <w:rFonts w:eastAsia="仿宋_GB2312"/>
                <w:color w:val="auto"/>
                <w:szCs w:val="21"/>
              </w:rPr>
            </w:pPr>
            <w:r>
              <w:rPr>
                <w:rFonts w:eastAsia="仿宋_GB2312"/>
                <w:color w:val="auto"/>
                <w:szCs w:val="21"/>
              </w:rPr>
              <w:t>-83.6</w:t>
            </w:r>
          </w:p>
        </w:tc>
        <w:tc>
          <w:tcPr>
            <w:tcW w:w="1845" w:type="dxa"/>
            <w:vAlign w:val="center"/>
          </w:tcPr>
          <w:p w14:paraId="3C695808">
            <w:pPr>
              <w:spacing w:line="320" w:lineRule="exact"/>
              <w:jc w:val="center"/>
              <w:rPr>
                <w:rFonts w:eastAsia="仿宋_GB2312"/>
                <w:color w:val="auto"/>
                <w:szCs w:val="21"/>
              </w:rPr>
            </w:pPr>
            <w:r>
              <w:rPr>
                <w:rFonts w:eastAsia="仿宋_GB2312"/>
                <w:color w:val="auto"/>
                <w:szCs w:val="21"/>
              </w:rPr>
              <w:t>5620（大鼠）</w:t>
            </w:r>
          </w:p>
          <w:p w14:paraId="30630845">
            <w:pPr>
              <w:pStyle w:val="2"/>
              <w:spacing w:line="320" w:lineRule="exact"/>
              <w:jc w:val="center"/>
              <w:rPr>
                <w:smallCaps w:val="0"/>
                <w:color w:val="auto"/>
                <w:spacing w:val="0"/>
                <w:kern w:val="2"/>
                <w:sz w:val="21"/>
                <w:szCs w:val="21"/>
                <w:lang w:val="en-US"/>
              </w:rPr>
            </w:pPr>
            <w:r>
              <w:rPr>
                <w:smallCaps w:val="0"/>
                <w:color w:val="auto"/>
                <w:spacing w:val="0"/>
                <w:kern w:val="2"/>
                <w:sz w:val="21"/>
                <w:szCs w:val="21"/>
                <w:lang w:val="en-US"/>
              </w:rPr>
              <w:t>4940（兔）</w:t>
            </w:r>
          </w:p>
        </w:tc>
        <w:tc>
          <w:tcPr>
            <w:tcW w:w="1320" w:type="dxa"/>
            <w:vAlign w:val="center"/>
          </w:tcPr>
          <w:p w14:paraId="62410C9E">
            <w:pPr>
              <w:jc w:val="center"/>
              <w:rPr>
                <w:rFonts w:eastAsia="仿宋_GB2312"/>
                <w:color w:val="auto"/>
                <w:szCs w:val="21"/>
              </w:rPr>
            </w:pPr>
            <w:r>
              <w:rPr>
                <w:rFonts w:eastAsia="仿宋_GB2312"/>
                <w:color w:val="auto"/>
                <w:szCs w:val="21"/>
              </w:rPr>
              <w:t>/</w:t>
            </w:r>
          </w:p>
        </w:tc>
        <w:tc>
          <w:tcPr>
            <w:tcW w:w="1368" w:type="dxa"/>
            <w:vAlign w:val="center"/>
          </w:tcPr>
          <w:p w14:paraId="748DE329">
            <w:pPr>
              <w:jc w:val="center"/>
              <w:rPr>
                <w:rFonts w:eastAsia="仿宋_GB2312"/>
                <w:color w:val="auto"/>
                <w:szCs w:val="21"/>
              </w:rPr>
            </w:pPr>
            <w:r>
              <w:rPr>
                <w:rFonts w:eastAsia="仿宋_GB2312"/>
                <w:color w:val="auto"/>
                <w:szCs w:val="21"/>
              </w:rPr>
              <w:t>5760（大鼠、8小时）</w:t>
            </w:r>
          </w:p>
        </w:tc>
      </w:tr>
      <w:tr w14:paraId="1ADAFCB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353" w:type="dxa"/>
            <w:vAlign w:val="center"/>
          </w:tcPr>
          <w:p w14:paraId="673C96F3">
            <w:pPr>
              <w:adjustRightInd w:val="0"/>
              <w:snapToGrid w:val="0"/>
              <w:spacing w:line="320" w:lineRule="exact"/>
              <w:jc w:val="center"/>
              <w:rPr>
                <w:rFonts w:eastAsia="仿宋_GB2312"/>
                <w:color w:val="auto"/>
                <w:szCs w:val="21"/>
              </w:rPr>
            </w:pPr>
            <w:r>
              <w:rPr>
                <w:rFonts w:eastAsia="仿宋_GB2312"/>
                <w:color w:val="auto"/>
                <w:szCs w:val="21"/>
              </w:rPr>
              <w:t>乙二醇</w:t>
            </w:r>
          </w:p>
        </w:tc>
        <w:tc>
          <w:tcPr>
            <w:tcW w:w="900" w:type="dxa"/>
            <w:vAlign w:val="center"/>
          </w:tcPr>
          <w:p w14:paraId="1A77E377">
            <w:pPr>
              <w:adjustRightInd w:val="0"/>
              <w:snapToGrid w:val="0"/>
              <w:spacing w:line="320" w:lineRule="exact"/>
              <w:jc w:val="center"/>
              <w:rPr>
                <w:rFonts w:eastAsia="仿宋_GB2312"/>
                <w:color w:val="auto"/>
                <w:szCs w:val="21"/>
              </w:rPr>
            </w:pPr>
            <w:r>
              <w:rPr>
                <w:rFonts w:eastAsia="仿宋_GB2312"/>
                <w:color w:val="auto"/>
                <w:szCs w:val="21"/>
              </w:rPr>
              <w:t>/</w:t>
            </w:r>
          </w:p>
        </w:tc>
        <w:tc>
          <w:tcPr>
            <w:tcW w:w="732" w:type="dxa"/>
            <w:vAlign w:val="center"/>
          </w:tcPr>
          <w:p w14:paraId="045E0807">
            <w:pPr>
              <w:adjustRightInd w:val="0"/>
              <w:snapToGrid w:val="0"/>
              <w:spacing w:line="320" w:lineRule="exact"/>
              <w:jc w:val="center"/>
              <w:rPr>
                <w:rFonts w:eastAsia="仿宋_GB2312"/>
                <w:color w:val="auto"/>
                <w:szCs w:val="21"/>
              </w:rPr>
            </w:pPr>
            <w:r>
              <w:rPr>
                <w:rFonts w:eastAsia="仿宋_GB2312"/>
                <w:color w:val="auto"/>
                <w:szCs w:val="21"/>
              </w:rPr>
              <w:t>110</w:t>
            </w:r>
          </w:p>
        </w:tc>
        <w:tc>
          <w:tcPr>
            <w:tcW w:w="840" w:type="dxa"/>
            <w:vAlign w:val="center"/>
          </w:tcPr>
          <w:p w14:paraId="2666A613">
            <w:pPr>
              <w:adjustRightInd w:val="0"/>
              <w:snapToGrid w:val="0"/>
              <w:spacing w:line="320" w:lineRule="exact"/>
              <w:jc w:val="center"/>
              <w:rPr>
                <w:rFonts w:eastAsia="仿宋_GB2312"/>
                <w:color w:val="auto"/>
                <w:szCs w:val="21"/>
              </w:rPr>
            </w:pPr>
            <w:r>
              <w:rPr>
                <w:rFonts w:eastAsia="仿宋_GB2312"/>
                <w:color w:val="auto"/>
                <w:szCs w:val="21"/>
              </w:rPr>
              <w:t>197.5</w:t>
            </w:r>
          </w:p>
        </w:tc>
        <w:tc>
          <w:tcPr>
            <w:tcW w:w="852" w:type="dxa"/>
            <w:vAlign w:val="center"/>
          </w:tcPr>
          <w:p w14:paraId="4AFDDCDA">
            <w:pPr>
              <w:adjustRightInd w:val="0"/>
              <w:snapToGrid w:val="0"/>
              <w:spacing w:line="320" w:lineRule="exact"/>
              <w:jc w:val="center"/>
              <w:rPr>
                <w:rFonts w:eastAsia="仿宋_GB2312"/>
                <w:color w:val="auto"/>
                <w:szCs w:val="21"/>
              </w:rPr>
            </w:pPr>
            <w:r>
              <w:rPr>
                <w:rFonts w:eastAsia="仿宋_GB2312"/>
                <w:color w:val="auto"/>
                <w:szCs w:val="21"/>
              </w:rPr>
              <w:t>-13.2</w:t>
            </w:r>
          </w:p>
        </w:tc>
        <w:tc>
          <w:tcPr>
            <w:tcW w:w="1845" w:type="dxa"/>
            <w:vAlign w:val="center"/>
          </w:tcPr>
          <w:p w14:paraId="080E68A5">
            <w:pPr>
              <w:adjustRightInd w:val="0"/>
              <w:snapToGrid w:val="0"/>
              <w:spacing w:line="320" w:lineRule="exact"/>
              <w:jc w:val="center"/>
              <w:rPr>
                <w:rFonts w:eastAsia="仿宋_GB2312"/>
                <w:color w:val="auto"/>
                <w:szCs w:val="21"/>
              </w:rPr>
            </w:pPr>
            <w:r>
              <w:rPr>
                <w:rFonts w:eastAsia="仿宋_GB2312"/>
                <w:color w:val="auto"/>
                <w:szCs w:val="21"/>
              </w:rPr>
              <w:t>5.8mL/kg</w:t>
            </w:r>
          </w:p>
          <w:p w14:paraId="2BD1466D">
            <w:pPr>
              <w:adjustRightInd w:val="0"/>
              <w:snapToGrid w:val="0"/>
              <w:spacing w:line="320" w:lineRule="exact"/>
              <w:jc w:val="center"/>
              <w:rPr>
                <w:rFonts w:eastAsia="仿宋_GB2312"/>
                <w:color w:val="auto"/>
                <w:szCs w:val="21"/>
              </w:rPr>
            </w:pPr>
            <w:r>
              <w:rPr>
                <w:rFonts w:eastAsia="仿宋_GB2312"/>
                <w:color w:val="auto"/>
                <w:szCs w:val="21"/>
              </w:rPr>
              <w:t>（大鼠）</w:t>
            </w:r>
          </w:p>
        </w:tc>
        <w:tc>
          <w:tcPr>
            <w:tcW w:w="1320" w:type="dxa"/>
            <w:vAlign w:val="center"/>
          </w:tcPr>
          <w:p w14:paraId="16879E30">
            <w:pPr>
              <w:adjustRightInd w:val="0"/>
              <w:snapToGrid w:val="0"/>
              <w:jc w:val="center"/>
              <w:rPr>
                <w:rFonts w:eastAsia="仿宋_GB2312"/>
                <w:color w:val="auto"/>
                <w:szCs w:val="21"/>
              </w:rPr>
            </w:pPr>
            <w:r>
              <w:rPr>
                <w:rFonts w:eastAsia="仿宋_GB2312"/>
                <w:color w:val="auto"/>
                <w:szCs w:val="21"/>
              </w:rPr>
              <w:t>/</w:t>
            </w:r>
          </w:p>
        </w:tc>
        <w:tc>
          <w:tcPr>
            <w:tcW w:w="1368" w:type="dxa"/>
            <w:vAlign w:val="center"/>
          </w:tcPr>
          <w:p w14:paraId="6BCC6210">
            <w:pPr>
              <w:adjustRightInd w:val="0"/>
              <w:snapToGrid w:val="0"/>
              <w:jc w:val="center"/>
              <w:rPr>
                <w:rFonts w:eastAsia="仿宋_GB2312"/>
                <w:color w:val="auto"/>
                <w:szCs w:val="21"/>
              </w:rPr>
            </w:pPr>
            <w:r>
              <w:rPr>
                <w:rFonts w:eastAsia="仿宋_GB2312"/>
                <w:color w:val="auto"/>
                <w:szCs w:val="21"/>
              </w:rPr>
              <w:t>/</w:t>
            </w:r>
          </w:p>
        </w:tc>
      </w:tr>
      <w:tr w14:paraId="0D83700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353" w:type="dxa"/>
            <w:vAlign w:val="center"/>
          </w:tcPr>
          <w:p w14:paraId="5E1DF0E4">
            <w:pPr>
              <w:adjustRightInd w:val="0"/>
              <w:snapToGrid w:val="0"/>
              <w:spacing w:line="320" w:lineRule="exact"/>
              <w:jc w:val="center"/>
              <w:rPr>
                <w:rFonts w:eastAsia="仿宋_GB2312"/>
                <w:color w:val="auto"/>
                <w:szCs w:val="21"/>
              </w:rPr>
            </w:pPr>
            <w:r>
              <w:rPr>
                <w:rFonts w:eastAsia="仿宋_GB2312"/>
                <w:color w:val="auto"/>
                <w:szCs w:val="21"/>
              </w:rPr>
              <w:t>二氯甲烷</w:t>
            </w:r>
          </w:p>
        </w:tc>
        <w:tc>
          <w:tcPr>
            <w:tcW w:w="900" w:type="dxa"/>
            <w:vAlign w:val="center"/>
          </w:tcPr>
          <w:p w14:paraId="3DAF30B2">
            <w:pPr>
              <w:adjustRightInd w:val="0"/>
              <w:snapToGrid w:val="0"/>
              <w:spacing w:line="320" w:lineRule="exact"/>
              <w:jc w:val="center"/>
              <w:rPr>
                <w:rFonts w:eastAsia="仿宋_GB2312"/>
                <w:color w:val="auto"/>
                <w:szCs w:val="21"/>
              </w:rPr>
            </w:pPr>
            <w:r>
              <w:rPr>
                <w:rFonts w:eastAsia="仿宋_GB2312"/>
                <w:color w:val="auto"/>
                <w:szCs w:val="21"/>
              </w:rPr>
              <w:t>61552</w:t>
            </w:r>
          </w:p>
        </w:tc>
        <w:tc>
          <w:tcPr>
            <w:tcW w:w="732" w:type="dxa"/>
            <w:vAlign w:val="center"/>
          </w:tcPr>
          <w:p w14:paraId="04EBFCA7">
            <w:pPr>
              <w:spacing w:line="320" w:lineRule="exact"/>
              <w:jc w:val="center"/>
              <w:rPr>
                <w:rFonts w:eastAsia="仿宋_GB2312"/>
                <w:color w:val="auto"/>
                <w:szCs w:val="21"/>
              </w:rPr>
            </w:pPr>
            <w:r>
              <w:rPr>
                <w:rFonts w:eastAsia="仿宋_GB2312"/>
                <w:color w:val="auto"/>
                <w:szCs w:val="21"/>
              </w:rPr>
              <w:t>/</w:t>
            </w:r>
          </w:p>
        </w:tc>
        <w:tc>
          <w:tcPr>
            <w:tcW w:w="840" w:type="dxa"/>
            <w:vAlign w:val="center"/>
          </w:tcPr>
          <w:p w14:paraId="6C4839EE">
            <w:pPr>
              <w:spacing w:line="320" w:lineRule="exact"/>
              <w:jc w:val="center"/>
              <w:rPr>
                <w:rFonts w:eastAsia="仿宋_GB2312"/>
                <w:color w:val="auto"/>
                <w:szCs w:val="21"/>
              </w:rPr>
            </w:pPr>
            <w:r>
              <w:rPr>
                <w:rFonts w:eastAsia="仿宋_GB2312"/>
                <w:color w:val="auto"/>
                <w:szCs w:val="21"/>
              </w:rPr>
              <w:t>39.8</w:t>
            </w:r>
          </w:p>
        </w:tc>
        <w:tc>
          <w:tcPr>
            <w:tcW w:w="852" w:type="dxa"/>
            <w:vAlign w:val="center"/>
          </w:tcPr>
          <w:p w14:paraId="29E34032">
            <w:pPr>
              <w:spacing w:line="320" w:lineRule="exact"/>
              <w:jc w:val="center"/>
              <w:rPr>
                <w:rFonts w:eastAsia="仿宋_GB2312"/>
                <w:color w:val="auto"/>
                <w:szCs w:val="21"/>
              </w:rPr>
            </w:pPr>
            <w:r>
              <w:rPr>
                <w:rFonts w:eastAsia="仿宋_GB2312"/>
                <w:color w:val="auto"/>
                <w:szCs w:val="21"/>
              </w:rPr>
              <w:t>-96.7</w:t>
            </w:r>
          </w:p>
        </w:tc>
        <w:tc>
          <w:tcPr>
            <w:tcW w:w="1845" w:type="dxa"/>
            <w:vAlign w:val="center"/>
          </w:tcPr>
          <w:p w14:paraId="0E2284D3">
            <w:pPr>
              <w:spacing w:line="320" w:lineRule="exact"/>
              <w:jc w:val="center"/>
              <w:rPr>
                <w:rFonts w:eastAsia="仿宋_GB2312"/>
                <w:color w:val="auto"/>
                <w:szCs w:val="21"/>
              </w:rPr>
            </w:pPr>
            <w:r>
              <w:rPr>
                <w:rFonts w:eastAsia="仿宋_GB2312"/>
                <w:color w:val="auto"/>
                <w:szCs w:val="21"/>
              </w:rPr>
              <w:t>1600-2000</w:t>
            </w:r>
          </w:p>
          <w:p w14:paraId="5D4E5124">
            <w:pPr>
              <w:spacing w:line="320" w:lineRule="exact"/>
              <w:jc w:val="center"/>
              <w:rPr>
                <w:rFonts w:eastAsia="仿宋_GB2312"/>
                <w:color w:val="auto"/>
                <w:szCs w:val="21"/>
              </w:rPr>
            </w:pPr>
            <w:r>
              <w:rPr>
                <w:rFonts w:eastAsia="仿宋_GB2312"/>
                <w:color w:val="auto"/>
                <w:szCs w:val="21"/>
              </w:rPr>
              <w:t>（大鼠）</w:t>
            </w:r>
          </w:p>
        </w:tc>
        <w:tc>
          <w:tcPr>
            <w:tcW w:w="1320" w:type="dxa"/>
            <w:vAlign w:val="center"/>
          </w:tcPr>
          <w:p w14:paraId="208BBEA7">
            <w:pPr>
              <w:jc w:val="center"/>
              <w:rPr>
                <w:rFonts w:eastAsia="仿宋_GB2312"/>
                <w:color w:val="auto"/>
                <w:szCs w:val="21"/>
              </w:rPr>
            </w:pPr>
            <w:r>
              <w:rPr>
                <w:rFonts w:eastAsia="仿宋_GB2312"/>
                <w:color w:val="auto"/>
                <w:szCs w:val="21"/>
              </w:rPr>
              <w:t>/</w:t>
            </w:r>
          </w:p>
        </w:tc>
        <w:tc>
          <w:tcPr>
            <w:tcW w:w="1368" w:type="dxa"/>
            <w:vAlign w:val="center"/>
          </w:tcPr>
          <w:p w14:paraId="2C1DC7B7">
            <w:pPr>
              <w:rPr>
                <w:rFonts w:eastAsia="仿宋_GB2312"/>
                <w:color w:val="auto"/>
                <w:szCs w:val="21"/>
              </w:rPr>
            </w:pPr>
            <w:r>
              <w:rPr>
                <w:rFonts w:eastAsia="仿宋_GB2312"/>
                <w:color w:val="auto"/>
                <w:szCs w:val="21"/>
              </w:rPr>
              <w:t>562</w:t>
            </w:r>
            <w:r>
              <w:rPr>
                <w:rFonts w:hint="eastAsia" w:eastAsia="仿宋_GB2312"/>
                <w:color w:val="auto"/>
                <w:szCs w:val="21"/>
                <w:lang w:val="en-US" w:eastAsia="zh-CN"/>
              </w:rPr>
              <w:t>00</w:t>
            </w:r>
            <w:r>
              <w:rPr>
                <w:rFonts w:eastAsia="仿宋_GB2312"/>
                <w:color w:val="auto"/>
                <w:szCs w:val="21"/>
              </w:rPr>
              <w:t>（小鼠、8小时）</w:t>
            </w:r>
          </w:p>
        </w:tc>
      </w:tr>
      <w:tr w14:paraId="342C5CB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353" w:type="dxa"/>
            <w:vAlign w:val="center"/>
          </w:tcPr>
          <w:p w14:paraId="066E81E3">
            <w:pPr>
              <w:adjustRightInd w:val="0"/>
              <w:snapToGrid w:val="0"/>
              <w:spacing w:line="320" w:lineRule="exact"/>
              <w:jc w:val="center"/>
              <w:rPr>
                <w:rFonts w:eastAsia="仿宋_GB2312"/>
                <w:color w:val="auto"/>
                <w:szCs w:val="21"/>
              </w:rPr>
            </w:pPr>
            <w:r>
              <w:rPr>
                <w:rFonts w:eastAsia="仿宋_GB2312"/>
                <w:color w:val="auto"/>
                <w:szCs w:val="21"/>
              </w:rPr>
              <w:t>乙酸丁酯</w:t>
            </w:r>
          </w:p>
        </w:tc>
        <w:tc>
          <w:tcPr>
            <w:tcW w:w="900" w:type="dxa"/>
            <w:vAlign w:val="center"/>
          </w:tcPr>
          <w:p w14:paraId="587988CD">
            <w:pPr>
              <w:adjustRightInd w:val="0"/>
              <w:snapToGrid w:val="0"/>
              <w:spacing w:line="320" w:lineRule="exact"/>
              <w:jc w:val="center"/>
              <w:rPr>
                <w:rFonts w:eastAsia="仿宋_GB2312"/>
                <w:color w:val="auto"/>
                <w:szCs w:val="21"/>
              </w:rPr>
            </w:pPr>
            <w:r>
              <w:rPr>
                <w:rFonts w:eastAsia="仿宋_GB2312"/>
                <w:color w:val="auto"/>
                <w:szCs w:val="21"/>
              </w:rPr>
              <w:t>62030</w:t>
            </w:r>
          </w:p>
        </w:tc>
        <w:tc>
          <w:tcPr>
            <w:tcW w:w="732" w:type="dxa"/>
            <w:vAlign w:val="center"/>
          </w:tcPr>
          <w:p w14:paraId="4982082C">
            <w:pPr>
              <w:spacing w:line="320" w:lineRule="exact"/>
              <w:jc w:val="center"/>
              <w:rPr>
                <w:rFonts w:eastAsia="仿宋_GB2312"/>
                <w:color w:val="auto"/>
                <w:szCs w:val="21"/>
              </w:rPr>
            </w:pPr>
            <w:r>
              <w:rPr>
                <w:rFonts w:eastAsia="仿宋_GB2312"/>
                <w:color w:val="auto"/>
                <w:szCs w:val="21"/>
              </w:rPr>
              <w:t>22</w:t>
            </w:r>
          </w:p>
        </w:tc>
        <w:tc>
          <w:tcPr>
            <w:tcW w:w="840" w:type="dxa"/>
            <w:vAlign w:val="center"/>
          </w:tcPr>
          <w:p w14:paraId="1C8068D0">
            <w:pPr>
              <w:spacing w:line="320" w:lineRule="exact"/>
              <w:jc w:val="center"/>
              <w:rPr>
                <w:rFonts w:eastAsia="仿宋_GB2312"/>
                <w:color w:val="auto"/>
                <w:szCs w:val="21"/>
              </w:rPr>
            </w:pPr>
            <w:r>
              <w:rPr>
                <w:rFonts w:eastAsia="仿宋_GB2312"/>
                <w:color w:val="auto"/>
                <w:szCs w:val="21"/>
              </w:rPr>
              <w:t>126.1</w:t>
            </w:r>
          </w:p>
        </w:tc>
        <w:tc>
          <w:tcPr>
            <w:tcW w:w="852" w:type="dxa"/>
            <w:vAlign w:val="center"/>
          </w:tcPr>
          <w:p w14:paraId="0541AB77">
            <w:pPr>
              <w:spacing w:line="320" w:lineRule="exact"/>
              <w:jc w:val="center"/>
              <w:rPr>
                <w:rFonts w:eastAsia="仿宋_GB2312"/>
                <w:color w:val="auto"/>
                <w:szCs w:val="21"/>
              </w:rPr>
            </w:pPr>
            <w:r>
              <w:rPr>
                <w:rFonts w:eastAsia="仿宋_GB2312"/>
                <w:color w:val="auto"/>
                <w:szCs w:val="21"/>
              </w:rPr>
              <w:t>-73.5</w:t>
            </w:r>
          </w:p>
        </w:tc>
        <w:tc>
          <w:tcPr>
            <w:tcW w:w="1845" w:type="dxa"/>
            <w:vAlign w:val="center"/>
          </w:tcPr>
          <w:p w14:paraId="435B94AD">
            <w:pPr>
              <w:spacing w:line="320" w:lineRule="exact"/>
              <w:jc w:val="center"/>
              <w:rPr>
                <w:rFonts w:eastAsia="仿宋_GB2312"/>
                <w:color w:val="auto"/>
                <w:szCs w:val="21"/>
              </w:rPr>
            </w:pPr>
            <w:r>
              <w:rPr>
                <w:rFonts w:eastAsia="仿宋_GB2312"/>
                <w:color w:val="auto"/>
                <w:szCs w:val="21"/>
              </w:rPr>
              <w:t>10768（大鼠）</w:t>
            </w:r>
          </w:p>
          <w:p w14:paraId="2B637D47">
            <w:pPr>
              <w:pStyle w:val="2"/>
              <w:spacing w:line="320" w:lineRule="exact"/>
              <w:ind w:left="0"/>
              <w:jc w:val="center"/>
              <w:rPr>
                <w:smallCaps w:val="0"/>
                <w:color w:val="auto"/>
                <w:spacing w:val="0"/>
                <w:kern w:val="2"/>
                <w:sz w:val="21"/>
                <w:szCs w:val="21"/>
                <w:lang w:val="en-US"/>
              </w:rPr>
            </w:pPr>
            <w:r>
              <w:rPr>
                <w:smallCaps w:val="0"/>
                <w:color w:val="auto"/>
                <w:spacing w:val="0"/>
                <w:kern w:val="2"/>
                <w:sz w:val="21"/>
                <w:szCs w:val="21"/>
                <w:lang w:val="en-US"/>
              </w:rPr>
              <w:t>7076（小鼠）</w:t>
            </w:r>
          </w:p>
        </w:tc>
        <w:tc>
          <w:tcPr>
            <w:tcW w:w="1320" w:type="dxa"/>
            <w:vAlign w:val="center"/>
          </w:tcPr>
          <w:p w14:paraId="22C9CAC3">
            <w:pPr>
              <w:jc w:val="center"/>
              <w:rPr>
                <w:rFonts w:eastAsia="仿宋_GB2312"/>
                <w:color w:val="auto"/>
                <w:szCs w:val="21"/>
              </w:rPr>
            </w:pPr>
            <w:r>
              <w:rPr>
                <w:rFonts w:eastAsia="仿宋_GB2312"/>
                <w:color w:val="auto"/>
                <w:szCs w:val="21"/>
              </w:rPr>
              <w:t>/</w:t>
            </w:r>
          </w:p>
        </w:tc>
        <w:tc>
          <w:tcPr>
            <w:tcW w:w="1368" w:type="dxa"/>
            <w:vAlign w:val="center"/>
          </w:tcPr>
          <w:p w14:paraId="327456A2">
            <w:pPr>
              <w:jc w:val="center"/>
              <w:rPr>
                <w:rFonts w:eastAsia="仿宋_GB2312"/>
                <w:color w:val="auto"/>
                <w:szCs w:val="21"/>
              </w:rPr>
            </w:pPr>
            <w:r>
              <w:rPr>
                <w:rFonts w:eastAsia="仿宋_GB2312"/>
                <w:color w:val="auto"/>
                <w:szCs w:val="21"/>
              </w:rPr>
              <w:t>/</w:t>
            </w:r>
          </w:p>
        </w:tc>
      </w:tr>
      <w:tr w14:paraId="6BD66AA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353" w:type="dxa"/>
            <w:vAlign w:val="center"/>
          </w:tcPr>
          <w:p w14:paraId="24EEC156">
            <w:pPr>
              <w:adjustRightInd w:val="0"/>
              <w:snapToGrid w:val="0"/>
              <w:spacing w:line="320" w:lineRule="exact"/>
              <w:jc w:val="center"/>
              <w:rPr>
                <w:rFonts w:eastAsia="仿宋_GB2312"/>
                <w:color w:val="auto"/>
                <w:szCs w:val="21"/>
              </w:rPr>
            </w:pPr>
            <w:r>
              <w:rPr>
                <w:rFonts w:eastAsia="仿宋_GB2312"/>
                <w:color w:val="auto"/>
                <w:szCs w:val="21"/>
              </w:rPr>
              <w:t>二甲苯</w:t>
            </w:r>
          </w:p>
        </w:tc>
        <w:tc>
          <w:tcPr>
            <w:tcW w:w="900" w:type="dxa"/>
            <w:vAlign w:val="center"/>
          </w:tcPr>
          <w:p w14:paraId="767BD1B0">
            <w:pPr>
              <w:adjustRightInd w:val="0"/>
              <w:snapToGrid w:val="0"/>
              <w:spacing w:line="320" w:lineRule="exact"/>
              <w:jc w:val="center"/>
              <w:rPr>
                <w:rFonts w:eastAsia="仿宋_GB2312"/>
                <w:color w:val="auto"/>
                <w:szCs w:val="21"/>
              </w:rPr>
            </w:pPr>
            <w:r>
              <w:rPr>
                <w:rFonts w:eastAsia="仿宋_GB2312"/>
                <w:color w:val="auto"/>
                <w:szCs w:val="21"/>
              </w:rPr>
              <w:t>33535</w:t>
            </w:r>
          </w:p>
        </w:tc>
        <w:tc>
          <w:tcPr>
            <w:tcW w:w="732" w:type="dxa"/>
            <w:vAlign w:val="center"/>
          </w:tcPr>
          <w:p w14:paraId="072837CA">
            <w:pPr>
              <w:spacing w:line="320" w:lineRule="exact"/>
              <w:jc w:val="center"/>
              <w:rPr>
                <w:rFonts w:eastAsia="仿宋_GB2312"/>
                <w:color w:val="auto"/>
                <w:szCs w:val="21"/>
              </w:rPr>
            </w:pPr>
            <w:r>
              <w:rPr>
                <w:rFonts w:eastAsia="仿宋_GB2312"/>
                <w:color w:val="auto"/>
                <w:szCs w:val="21"/>
              </w:rPr>
              <w:t>30</w:t>
            </w:r>
          </w:p>
        </w:tc>
        <w:tc>
          <w:tcPr>
            <w:tcW w:w="840" w:type="dxa"/>
            <w:vAlign w:val="center"/>
          </w:tcPr>
          <w:p w14:paraId="2CF0F4C2">
            <w:pPr>
              <w:spacing w:line="320" w:lineRule="exact"/>
              <w:jc w:val="center"/>
              <w:rPr>
                <w:rFonts w:eastAsia="仿宋_GB2312"/>
                <w:color w:val="auto"/>
                <w:szCs w:val="21"/>
              </w:rPr>
            </w:pPr>
            <w:r>
              <w:rPr>
                <w:rFonts w:eastAsia="仿宋_GB2312"/>
                <w:color w:val="auto"/>
                <w:szCs w:val="21"/>
              </w:rPr>
              <w:t>137-140</w:t>
            </w:r>
          </w:p>
        </w:tc>
        <w:tc>
          <w:tcPr>
            <w:tcW w:w="852" w:type="dxa"/>
            <w:vAlign w:val="center"/>
          </w:tcPr>
          <w:p w14:paraId="32EA8F0B">
            <w:pPr>
              <w:spacing w:line="320" w:lineRule="exact"/>
              <w:jc w:val="center"/>
              <w:rPr>
                <w:rFonts w:eastAsia="仿宋_GB2312"/>
                <w:color w:val="auto"/>
                <w:szCs w:val="21"/>
              </w:rPr>
            </w:pPr>
            <w:r>
              <w:rPr>
                <w:rFonts w:eastAsia="仿宋_GB2312"/>
                <w:color w:val="auto"/>
                <w:szCs w:val="21"/>
              </w:rPr>
              <w:t>-25.5</w:t>
            </w:r>
          </w:p>
        </w:tc>
        <w:tc>
          <w:tcPr>
            <w:tcW w:w="1845" w:type="dxa"/>
            <w:vAlign w:val="center"/>
          </w:tcPr>
          <w:p w14:paraId="6B7E674B">
            <w:pPr>
              <w:spacing w:line="320" w:lineRule="exact"/>
              <w:jc w:val="center"/>
              <w:rPr>
                <w:rFonts w:eastAsia="仿宋_GB2312"/>
                <w:color w:val="auto"/>
                <w:szCs w:val="21"/>
              </w:rPr>
            </w:pPr>
            <w:r>
              <w:rPr>
                <w:rFonts w:eastAsia="仿宋_GB2312"/>
                <w:color w:val="auto"/>
                <w:szCs w:val="21"/>
              </w:rPr>
              <w:t>/</w:t>
            </w:r>
          </w:p>
        </w:tc>
        <w:tc>
          <w:tcPr>
            <w:tcW w:w="1320" w:type="dxa"/>
            <w:vAlign w:val="center"/>
          </w:tcPr>
          <w:p w14:paraId="6B4DA154">
            <w:pPr>
              <w:jc w:val="center"/>
              <w:rPr>
                <w:rFonts w:eastAsia="仿宋_GB2312"/>
                <w:color w:val="auto"/>
                <w:szCs w:val="21"/>
              </w:rPr>
            </w:pPr>
            <w:r>
              <w:rPr>
                <w:rFonts w:eastAsia="仿宋_GB2312"/>
                <w:color w:val="auto"/>
                <w:szCs w:val="21"/>
              </w:rPr>
              <w:t>/</w:t>
            </w:r>
          </w:p>
        </w:tc>
        <w:tc>
          <w:tcPr>
            <w:tcW w:w="1368" w:type="dxa"/>
            <w:vAlign w:val="center"/>
          </w:tcPr>
          <w:p w14:paraId="1C3301BD">
            <w:pPr>
              <w:jc w:val="center"/>
              <w:rPr>
                <w:rFonts w:eastAsia="仿宋_GB2312"/>
                <w:color w:val="auto"/>
                <w:szCs w:val="21"/>
              </w:rPr>
            </w:pPr>
            <w:r>
              <w:rPr>
                <w:rFonts w:eastAsia="仿宋_GB2312"/>
                <w:color w:val="auto"/>
                <w:szCs w:val="21"/>
              </w:rPr>
              <w:t>/</w:t>
            </w:r>
          </w:p>
        </w:tc>
      </w:tr>
      <w:tr w14:paraId="07C88AE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353" w:type="dxa"/>
            <w:vAlign w:val="center"/>
          </w:tcPr>
          <w:p w14:paraId="3B256392">
            <w:pPr>
              <w:adjustRightInd w:val="0"/>
              <w:snapToGrid w:val="0"/>
              <w:spacing w:line="320" w:lineRule="exact"/>
              <w:jc w:val="center"/>
              <w:rPr>
                <w:rFonts w:eastAsia="仿宋_GB2312"/>
                <w:color w:val="auto"/>
                <w:szCs w:val="21"/>
              </w:rPr>
            </w:pPr>
            <w:r>
              <w:rPr>
                <w:rFonts w:eastAsia="仿宋_GB2312"/>
                <w:color w:val="auto"/>
                <w:szCs w:val="21"/>
              </w:rPr>
              <w:t>乙酸甲酯</w:t>
            </w:r>
          </w:p>
        </w:tc>
        <w:tc>
          <w:tcPr>
            <w:tcW w:w="900" w:type="dxa"/>
            <w:vAlign w:val="center"/>
          </w:tcPr>
          <w:p w14:paraId="2469ACB6">
            <w:pPr>
              <w:adjustRightInd w:val="0"/>
              <w:snapToGrid w:val="0"/>
              <w:spacing w:line="320" w:lineRule="exact"/>
              <w:jc w:val="center"/>
              <w:rPr>
                <w:rFonts w:eastAsia="仿宋_GB2312"/>
                <w:color w:val="auto"/>
                <w:szCs w:val="21"/>
              </w:rPr>
            </w:pPr>
            <w:r>
              <w:rPr>
                <w:rFonts w:eastAsia="仿宋_GB2312"/>
                <w:color w:val="auto"/>
                <w:szCs w:val="21"/>
              </w:rPr>
              <w:t>32126</w:t>
            </w:r>
          </w:p>
        </w:tc>
        <w:tc>
          <w:tcPr>
            <w:tcW w:w="732" w:type="dxa"/>
            <w:vAlign w:val="center"/>
          </w:tcPr>
          <w:p w14:paraId="05137F56">
            <w:pPr>
              <w:spacing w:line="320" w:lineRule="exact"/>
              <w:jc w:val="center"/>
              <w:rPr>
                <w:rFonts w:eastAsia="仿宋_GB2312"/>
                <w:color w:val="auto"/>
                <w:szCs w:val="21"/>
              </w:rPr>
            </w:pPr>
            <w:r>
              <w:rPr>
                <w:rFonts w:eastAsia="仿宋_GB2312"/>
                <w:color w:val="auto"/>
                <w:szCs w:val="21"/>
              </w:rPr>
              <w:t>/</w:t>
            </w:r>
          </w:p>
        </w:tc>
        <w:tc>
          <w:tcPr>
            <w:tcW w:w="840" w:type="dxa"/>
            <w:vAlign w:val="center"/>
          </w:tcPr>
          <w:p w14:paraId="5808C914">
            <w:pPr>
              <w:spacing w:line="320" w:lineRule="exact"/>
              <w:jc w:val="center"/>
              <w:rPr>
                <w:rFonts w:eastAsia="仿宋_GB2312"/>
                <w:color w:val="auto"/>
                <w:szCs w:val="21"/>
              </w:rPr>
            </w:pPr>
            <w:r>
              <w:rPr>
                <w:rFonts w:eastAsia="仿宋_GB2312"/>
                <w:color w:val="auto"/>
                <w:szCs w:val="21"/>
              </w:rPr>
              <w:t>57.8</w:t>
            </w:r>
          </w:p>
        </w:tc>
        <w:tc>
          <w:tcPr>
            <w:tcW w:w="852" w:type="dxa"/>
            <w:vAlign w:val="center"/>
          </w:tcPr>
          <w:p w14:paraId="6416DF00">
            <w:pPr>
              <w:spacing w:line="320" w:lineRule="exact"/>
              <w:jc w:val="center"/>
              <w:rPr>
                <w:rFonts w:eastAsia="仿宋_GB2312"/>
                <w:color w:val="auto"/>
                <w:szCs w:val="21"/>
              </w:rPr>
            </w:pPr>
            <w:r>
              <w:rPr>
                <w:rFonts w:eastAsia="仿宋_GB2312"/>
                <w:color w:val="auto"/>
                <w:szCs w:val="21"/>
              </w:rPr>
              <w:t>-98.7</w:t>
            </w:r>
          </w:p>
        </w:tc>
        <w:tc>
          <w:tcPr>
            <w:tcW w:w="1845" w:type="dxa"/>
            <w:vAlign w:val="center"/>
          </w:tcPr>
          <w:p w14:paraId="5C7601ED">
            <w:pPr>
              <w:spacing w:line="320" w:lineRule="exact"/>
              <w:jc w:val="center"/>
              <w:rPr>
                <w:rFonts w:eastAsia="仿宋_GB2312"/>
                <w:color w:val="auto"/>
                <w:szCs w:val="21"/>
              </w:rPr>
            </w:pPr>
            <w:r>
              <w:rPr>
                <w:rFonts w:eastAsia="仿宋_GB2312"/>
                <w:color w:val="auto"/>
                <w:szCs w:val="21"/>
              </w:rPr>
              <w:t>5450（大鼠）</w:t>
            </w:r>
          </w:p>
          <w:p w14:paraId="3634D5C3">
            <w:pPr>
              <w:pStyle w:val="2"/>
              <w:spacing w:line="320" w:lineRule="exact"/>
              <w:jc w:val="center"/>
              <w:rPr>
                <w:smallCaps w:val="0"/>
                <w:color w:val="auto"/>
                <w:spacing w:val="0"/>
                <w:kern w:val="2"/>
                <w:sz w:val="21"/>
                <w:szCs w:val="21"/>
                <w:lang w:val="en-US"/>
              </w:rPr>
            </w:pPr>
            <w:r>
              <w:rPr>
                <w:smallCaps w:val="0"/>
                <w:color w:val="auto"/>
                <w:spacing w:val="0"/>
                <w:kern w:val="2"/>
                <w:sz w:val="21"/>
                <w:szCs w:val="21"/>
                <w:lang w:val="en-US"/>
              </w:rPr>
              <w:t>3700（兔）</w:t>
            </w:r>
          </w:p>
        </w:tc>
        <w:tc>
          <w:tcPr>
            <w:tcW w:w="1320" w:type="dxa"/>
            <w:vAlign w:val="center"/>
          </w:tcPr>
          <w:p w14:paraId="23F96C90">
            <w:pPr>
              <w:spacing w:line="320" w:lineRule="exact"/>
              <w:jc w:val="center"/>
              <w:rPr>
                <w:rFonts w:eastAsia="仿宋_GB2312"/>
                <w:color w:val="auto"/>
                <w:szCs w:val="21"/>
              </w:rPr>
            </w:pPr>
            <w:r>
              <w:rPr>
                <w:rFonts w:eastAsia="仿宋_GB2312"/>
                <w:color w:val="auto"/>
                <w:szCs w:val="21"/>
              </w:rPr>
              <w:t>/</w:t>
            </w:r>
          </w:p>
        </w:tc>
        <w:tc>
          <w:tcPr>
            <w:tcW w:w="1368" w:type="dxa"/>
            <w:vAlign w:val="center"/>
          </w:tcPr>
          <w:p w14:paraId="32C6982B">
            <w:pPr>
              <w:spacing w:line="320" w:lineRule="exact"/>
              <w:jc w:val="center"/>
              <w:rPr>
                <w:rFonts w:eastAsia="仿宋_GB2312"/>
                <w:color w:val="auto"/>
                <w:szCs w:val="21"/>
              </w:rPr>
            </w:pPr>
            <w:r>
              <w:rPr>
                <w:rFonts w:eastAsia="仿宋_GB2312"/>
                <w:color w:val="auto"/>
                <w:szCs w:val="21"/>
              </w:rPr>
              <w:t>/</w:t>
            </w:r>
          </w:p>
        </w:tc>
      </w:tr>
      <w:tr w14:paraId="6EF2F88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353" w:type="dxa"/>
            <w:vAlign w:val="center"/>
          </w:tcPr>
          <w:p w14:paraId="3384AABD">
            <w:pPr>
              <w:adjustRightInd w:val="0"/>
              <w:snapToGrid w:val="0"/>
              <w:spacing w:line="320" w:lineRule="exact"/>
              <w:jc w:val="center"/>
              <w:rPr>
                <w:rFonts w:eastAsia="仿宋_GB2312"/>
                <w:color w:val="auto"/>
                <w:szCs w:val="21"/>
              </w:rPr>
            </w:pPr>
            <w:r>
              <w:rPr>
                <w:rFonts w:eastAsia="仿宋_GB2312"/>
                <w:color w:val="auto"/>
                <w:szCs w:val="21"/>
              </w:rPr>
              <w:t>甲苯</w:t>
            </w:r>
          </w:p>
        </w:tc>
        <w:tc>
          <w:tcPr>
            <w:tcW w:w="900" w:type="dxa"/>
            <w:vAlign w:val="center"/>
          </w:tcPr>
          <w:p w14:paraId="0396D5B4">
            <w:pPr>
              <w:adjustRightInd w:val="0"/>
              <w:snapToGrid w:val="0"/>
              <w:spacing w:line="320" w:lineRule="exact"/>
              <w:jc w:val="center"/>
              <w:rPr>
                <w:rFonts w:eastAsia="仿宋_GB2312"/>
                <w:color w:val="auto"/>
                <w:szCs w:val="21"/>
              </w:rPr>
            </w:pPr>
            <w:r>
              <w:rPr>
                <w:rFonts w:eastAsia="仿宋_GB2312"/>
                <w:color w:val="auto"/>
                <w:szCs w:val="21"/>
              </w:rPr>
              <w:t>32052</w:t>
            </w:r>
          </w:p>
        </w:tc>
        <w:tc>
          <w:tcPr>
            <w:tcW w:w="732" w:type="dxa"/>
            <w:vAlign w:val="center"/>
          </w:tcPr>
          <w:p w14:paraId="4C9100FA">
            <w:pPr>
              <w:spacing w:line="320" w:lineRule="exact"/>
              <w:jc w:val="center"/>
              <w:rPr>
                <w:rFonts w:eastAsia="仿宋_GB2312"/>
                <w:color w:val="auto"/>
                <w:szCs w:val="21"/>
              </w:rPr>
            </w:pPr>
            <w:r>
              <w:rPr>
                <w:rFonts w:eastAsia="仿宋_GB2312"/>
                <w:color w:val="auto"/>
                <w:szCs w:val="21"/>
              </w:rPr>
              <w:t>/</w:t>
            </w:r>
          </w:p>
        </w:tc>
        <w:tc>
          <w:tcPr>
            <w:tcW w:w="840" w:type="dxa"/>
            <w:vAlign w:val="center"/>
          </w:tcPr>
          <w:p w14:paraId="71DF6590">
            <w:pPr>
              <w:spacing w:line="320" w:lineRule="exact"/>
              <w:jc w:val="center"/>
              <w:rPr>
                <w:rFonts w:eastAsia="仿宋_GB2312"/>
                <w:color w:val="auto"/>
                <w:szCs w:val="21"/>
              </w:rPr>
            </w:pPr>
            <w:r>
              <w:rPr>
                <w:rFonts w:eastAsia="仿宋_GB2312"/>
                <w:color w:val="auto"/>
                <w:szCs w:val="21"/>
              </w:rPr>
              <w:t>110.6</w:t>
            </w:r>
          </w:p>
        </w:tc>
        <w:tc>
          <w:tcPr>
            <w:tcW w:w="852" w:type="dxa"/>
            <w:vAlign w:val="center"/>
          </w:tcPr>
          <w:p w14:paraId="224830FD">
            <w:pPr>
              <w:spacing w:line="320" w:lineRule="exact"/>
              <w:jc w:val="center"/>
              <w:rPr>
                <w:rFonts w:eastAsia="仿宋_GB2312"/>
                <w:color w:val="auto"/>
                <w:szCs w:val="21"/>
              </w:rPr>
            </w:pPr>
            <w:r>
              <w:rPr>
                <w:rFonts w:eastAsia="仿宋_GB2312"/>
                <w:color w:val="auto"/>
                <w:szCs w:val="21"/>
              </w:rPr>
              <w:t>-94.4</w:t>
            </w:r>
          </w:p>
        </w:tc>
        <w:tc>
          <w:tcPr>
            <w:tcW w:w="1845" w:type="dxa"/>
            <w:vAlign w:val="center"/>
          </w:tcPr>
          <w:p w14:paraId="468C0E23">
            <w:pPr>
              <w:spacing w:line="320" w:lineRule="exact"/>
              <w:jc w:val="center"/>
              <w:rPr>
                <w:rFonts w:eastAsia="仿宋_GB2312"/>
                <w:color w:val="auto"/>
                <w:szCs w:val="21"/>
              </w:rPr>
            </w:pPr>
            <w:r>
              <w:rPr>
                <w:rFonts w:eastAsia="仿宋_GB2312"/>
                <w:color w:val="auto"/>
                <w:szCs w:val="21"/>
              </w:rPr>
              <w:t>5000（大鼠）</w:t>
            </w:r>
          </w:p>
        </w:tc>
        <w:tc>
          <w:tcPr>
            <w:tcW w:w="1320" w:type="dxa"/>
            <w:vAlign w:val="center"/>
          </w:tcPr>
          <w:p w14:paraId="06071F59">
            <w:pPr>
              <w:spacing w:line="320" w:lineRule="exact"/>
              <w:jc w:val="center"/>
              <w:rPr>
                <w:rFonts w:eastAsia="仿宋_GB2312"/>
                <w:color w:val="auto"/>
                <w:szCs w:val="21"/>
              </w:rPr>
            </w:pPr>
            <w:r>
              <w:rPr>
                <w:rFonts w:eastAsia="仿宋_GB2312"/>
                <w:color w:val="auto"/>
                <w:szCs w:val="21"/>
              </w:rPr>
              <w:t>12124（兔）</w:t>
            </w:r>
          </w:p>
        </w:tc>
        <w:tc>
          <w:tcPr>
            <w:tcW w:w="1368" w:type="dxa"/>
            <w:vAlign w:val="center"/>
          </w:tcPr>
          <w:p w14:paraId="5A4A4982">
            <w:pPr>
              <w:spacing w:line="320" w:lineRule="exact"/>
              <w:jc w:val="center"/>
              <w:rPr>
                <w:rFonts w:eastAsia="仿宋_GB2312"/>
                <w:color w:val="auto"/>
                <w:szCs w:val="21"/>
              </w:rPr>
            </w:pPr>
            <w:r>
              <w:rPr>
                <w:rFonts w:eastAsia="仿宋_GB2312"/>
                <w:color w:val="auto"/>
                <w:szCs w:val="21"/>
              </w:rPr>
              <w:t>/</w:t>
            </w:r>
          </w:p>
        </w:tc>
      </w:tr>
      <w:tr w14:paraId="039224C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353" w:type="dxa"/>
            <w:vAlign w:val="center"/>
          </w:tcPr>
          <w:p w14:paraId="7A367B35">
            <w:pPr>
              <w:adjustRightInd w:val="0"/>
              <w:snapToGrid w:val="0"/>
              <w:spacing w:line="320" w:lineRule="exact"/>
              <w:jc w:val="center"/>
              <w:rPr>
                <w:rFonts w:eastAsia="仿宋_GB2312"/>
                <w:color w:val="auto"/>
                <w:szCs w:val="21"/>
              </w:rPr>
            </w:pPr>
            <w:r>
              <w:rPr>
                <w:rFonts w:eastAsia="仿宋_GB2312"/>
                <w:color w:val="auto"/>
                <w:szCs w:val="21"/>
              </w:rPr>
              <w:t>甲醇</w:t>
            </w:r>
          </w:p>
        </w:tc>
        <w:tc>
          <w:tcPr>
            <w:tcW w:w="900" w:type="dxa"/>
            <w:vAlign w:val="center"/>
          </w:tcPr>
          <w:p w14:paraId="1721AACD">
            <w:pPr>
              <w:adjustRightInd w:val="0"/>
              <w:snapToGrid w:val="0"/>
              <w:spacing w:line="320" w:lineRule="exact"/>
              <w:jc w:val="center"/>
              <w:rPr>
                <w:rFonts w:eastAsia="仿宋_GB2312"/>
                <w:color w:val="auto"/>
                <w:szCs w:val="21"/>
              </w:rPr>
            </w:pPr>
            <w:r>
              <w:rPr>
                <w:rFonts w:eastAsia="仿宋_GB2312"/>
                <w:color w:val="auto"/>
                <w:szCs w:val="21"/>
              </w:rPr>
              <w:t>32058</w:t>
            </w:r>
          </w:p>
        </w:tc>
        <w:tc>
          <w:tcPr>
            <w:tcW w:w="732" w:type="dxa"/>
            <w:vAlign w:val="center"/>
          </w:tcPr>
          <w:p w14:paraId="01A22868">
            <w:pPr>
              <w:spacing w:line="320" w:lineRule="exact"/>
              <w:jc w:val="center"/>
              <w:rPr>
                <w:rFonts w:eastAsia="仿宋_GB2312"/>
                <w:color w:val="auto"/>
                <w:szCs w:val="21"/>
              </w:rPr>
            </w:pPr>
            <w:r>
              <w:rPr>
                <w:rFonts w:eastAsia="仿宋_GB2312"/>
                <w:color w:val="auto"/>
                <w:szCs w:val="21"/>
              </w:rPr>
              <w:t>11</w:t>
            </w:r>
          </w:p>
        </w:tc>
        <w:tc>
          <w:tcPr>
            <w:tcW w:w="840" w:type="dxa"/>
            <w:vAlign w:val="center"/>
          </w:tcPr>
          <w:p w14:paraId="44F4DE85">
            <w:pPr>
              <w:spacing w:line="320" w:lineRule="exact"/>
              <w:jc w:val="center"/>
              <w:rPr>
                <w:rFonts w:eastAsia="仿宋_GB2312"/>
                <w:color w:val="auto"/>
                <w:szCs w:val="21"/>
              </w:rPr>
            </w:pPr>
            <w:r>
              <w:rPr>
                <w:rFonts w:eastAsia="仿宋_GB2312"/>
                <w:color w:val="auto"/>
                <w:szCs w:val="21"/>
              </w:rPr>
              <w:t>64.8</w:t>
            </w:r>
          </w:p>
        </w:tc>
        <w:tc>
          <w:tcPr>
            <w:tcW w:w="852" w:type="dxa"/>
            <w:vAlign w:val="center"/>
          </w:tcPr>
          <w:p w14:paraId="01096BC3">
            <w:pPr>
              <w:spacing w:line="320" w:lineRule="exact"/>
              <w:jc w:val="center"/>
              <w:rPr>
                <w:rFonts w:eastAsia="仿宋_GB2312"/>
                <w:color w:val="auto"/>
                <w:szCs w:val="21"/>
              </w:rPr>
            </w:pPr>
            <w:r>
              <w:rPr>
                <w:rFonts w:eastAsia="仿宋_GB2312"/>
                <w:color w:val="auto"/>
                <w:szCs w:val="21"/>
              </w:rPr>
              <w:t>-97.8</w:t>
            </w:r>
          </w:p>
        </w:tc>
        <w:tc>
          <w:tcPr>
            <w:tcW w:w="1845" w:type="dxa"/>
            <w:vAlign w:val="center"/>
          </w:tcPr>
          <w:p w14:paraId="6177D5CE">
            <w:pPr>
              <w:spacing w:line="320" w:lineRule="exact"/>
              <w:jc w:val="center"/>
              <w:rPr>
                <w:rFonts w:eastAsia="仿宋_GB2312"/>
                <w:color w:val="auto"/>
                <w:szCs w:val="21"/>
              </w:rPr>
            </w:pPr>
            <w:r>
              <w:rPr>
                <w:rFonts w:eastAsia="仿宋_GB2312"/>
                <w:color w:val="auto"/>
                <w:szCs w:val="21"/>
              </w:rPr>
              <w:t>5628（大鼠）</w:t>
            </w:r>
          </w:p>
        </w:tc>
        <w:tc>
          <w:tcPr>
            <w:tcW w:w="1320" w:type="dxa"/>
            <w:vAlign w:val="center"/>
          </w:tcPr>
          <w:p w14:paraId="4D5221FE">
            <w:pPr>
              <w:spacing w:line="320" w:lineRule="exact"/>
              <w:jc w:val="center"/>
              <w:rPr>
                <w:rFonts w:eastAsia="仿宋_GB2312"/>
                <w:color w:val="auto"/>
                <w:szCs w:val="21"/>
              </w:rPr>
            </w:pPr>
            <w:r>
              <w:rPr>
                <w:rFonts w:eastAsia="仿宋_GB2312"/>
                <w:color w:val="auto"/>
                <w:szCs w:val="21"/>
              </w:rPr>
              <w:t>15800（兔）</w:t>
            </w:r>
          </w:p>
        </w:tc>
        <w:tc>
          <w:tcPr>
            <w:tcW w:w="1368" w:type="dxa"/>
            <w:vAlign w:val="center"/>
          </w:tcPr>
          <w:p w14:paraId="62EEF0A0">
            <w:pPr>
              <w:spacing w:line="320" w:lineRule="exact"/>
              <w:jc w:val="center"/>
              <w:rPr>
                <w:rFonts w:eastAsia="仿宋_GB2312"/>
                <w:color w:val="auto"/>
                <w:szCs w:val="21"/>
              </w:rPr>
            </w:pPr>
            <w:r>
              <w:rPr>
                <w:rFonts w:eastAsia="仿宋_GB2312"/>
                <w:color w:val="auto"/>
                <w:szCs w:val="21"/>
              </w:rPr>
              <w:t>82776（大鼠、4小时）</w:t>
            </w:r>
          </w:p>
        </w:tc>
      </w:tr>
      <w:tr w14:paraId="23529BE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353" w:type="dxa"/>
            <w:vAlign w:val="center"/>
          </w:tcPr>
          <w:p w14:paraId="1899F3C3">
            <w:pPr>
              <w:adjustRightInd w:val="0"/>
              <w:snapToGrid w:val="0"/>
              <w:spacing w:line="320" w:lineRule="exact"/>
              <w:jc w:val="center"/>
              <w:rPr>
                <w:rFonts w:eastAsia="仿宋_GB2312"/>
                <w:color w:val="auto"/>
                <w:szCs w:val="21"/>
              </w:rPr>
            </w:pPr>
            <w:r>
              <w:rPr>
                <w:rFonts w:eastAsia="仿宋_GB2312"/>
                <w:color w:val="auto"/>
                <w:szCs w:val="21"/>
              </w:rPr>
              <w:t>N,N-二甲基甲酰胺</w:t>
            </w:r>
          </w:p>
        </w:tc>
        <w:tc>
          <w:tcPr>
            <w:tcW w:w="900" w:type="dxa"/>
            <w:vAlign w:val="center"/>
          </w:tcPr>
          <w:p w14:paraId="652930EA">
            <w:pPr>
              <w:adjustRightInd w:val="0"/>
              <w:snapToGrid w:val="0"/>
              <w:spacing w:line="320" w:lineRule="exact"/>
              <w:jc w:val="center"/>
              <w:rPr>
                <w:rFonts w:eastAsia="仿宋_GB2312"/>
                <w:color w:val="auto"/>
                <w:szCs w:val="21"/>
              </w:rPr>
            </w:pPr>
            <w:r>
              <w:rPr>
                <w:rFonts w:eastAsia="仿宋_GB2312"/>
                <w:color w:val="auto"/>
                <w:szCs w:val="21"/>
              </w:rPr>
              <w:t>33627</w:t>
            </w:r>
          </w:p>
        </w:tc>
        <w:tc>
          <w:tcPr>
            <w:tcW w:w="732" w:type="dxa"/>
            <w:vAlign w:val="center"/>
          </w:tcPr>
          <w:p w14:paraId="7846803C">
            <w:pPr>
              <w:spacing w:line="320" w:lineRule="exact"/>
              <w:jc w:val="center"/>
              <w:rPr>
                <w:rFonts w:eastAsia="仿宋_GB2312"/>
                <w:color w:val="auto"/>
                <w:szCs w:val="21"/>
              </w:rPr>
            </w:pPr>
            <w:r>
              <w:rPr>
                <w:rFonts w:eastAsia="仿宋_GB2312"/>
                <w:color w:val="auto"/>
                <w:szCs w:val="21"/>
              </w:rPr>
              <w:t>58</w:t>
            </w:r>
          </w:p>
        </w:tc>
        <w:tc>
          <w:tcPr>
            <w:tcW w:w="840" w:type="dxa"/>
            <w:vAlign w:val="center"/>
          </w:tcPr>
          <w:p w14:paraId="43B267F8">
            <w:pPr>
              <w:spacing w:line="320" w:lineRule="exact"/>
              <w:jc w:val="center"/>
              <w:rPr>
                <w:rFonts w:eastAsia="仿宋_GB2312"/>
                <w:color w:val="auto"/>
                <w:szCs w:val="21"/>
              </w:rPr>
            </w:pPr>
            <w:r>
              <w:rPr>
                <w:rFonts w:eastAsia="仿宋_GB2312"/>
                <w:color w:val="auto"/>
                <w:szCs w:val="21"/>
              </w:rPr>
              <w:t>152.8</w:t>
            </w:r>
          </w:p>
        </w:tc>
        <w:tc>
          <w:tcPr>
            <w:tcW w:w="852" w:type="dxa"/>
            <w:vAlign w:val="center"/>
          </w:tcPr>
          <w:p w14:paraId="2E4B7DC5">
            <w:pPr>
              <w:spacing w:line="320" w:lineRule="exact"/>
              <w:jc w:val="center"/>
              <w:rPr>
                <w:rFonts w:eastAsia="仿宋_GB2312"/>
                <w:color w:val="auto"/>
                <w:szCs w:val="21"/>
              </w:rPr>
            </w:pPr>
            <w:r>
              <w:rPr>
                <w:rFonts w:eastAsia="仿宋_GB2312"/>
                <w:color w:val="auto"/>
                <w:szCs w:val="21"/>
              </w:rPr>
              <w:t>-61</w:t>
            </w:r>
          </w:p>
        </w:tc>
        <w:tc>
          <w:tcPr>
            <w:tcW w:w="1845" w:type="dxa"/>
            <w:vAlign w:val="center"/>
          </w:tcPr>
          <w:p w14:paraId="2124BEE4">
            <w:pPr>
              <w:spacing w:line="320" w:lineRule="exact"/>
              <w:jc w:val="center"/>
              <w:rPr>
                <w:rFonts w:eastAsia="仿宋_GB2312"/>
                <w:color w:val="auto"/>
                <w:szCs w:val="21"/>
              </w:rPr>
            </w:pPr>
            <w:r>
              <w:rPr>
                <w:rFonts w:eastAsia="仿宋_GB2312"/>
                <w:color w:val="auto"/>
                <w:szCs w:val="21"/>
              </w:rPr>
              <w:t>4000（大鼠）</w:t>
            </w:r>
          </w:p>
        </w:tc>
        <w:tc>
          <w:tcPr>
            <w:tcW w:w="1320" w:type="dxa"/>
            <w:vAlign w:val="center"/>
          </w:tcPr>
          <w:p w14:paraId="19BBFFE1">
            <w:pPr>
              <w:spacing w:line="320" w:lineRule="exact"/>
              <w:jc w:val="center"/>
              <w:rPr>
                <w:rFonts w:eastAsia="仿宋_GB2312"/>
                <w:color w:val="auto"/>
                <w:szCs w:val="21"/>
              </w:rPr>
            </w:pPr>
            <w:r>
              <w:rPr>
                <w:rFonts w:eastAsia="仿宋_GB2312"/>
                <w:color w:val="auto"/>
                <w:szCs w:val="21"/>
              </w:rPr>
              <w:t>4720（兔）</w:t>
            </w:r>
          </w:p>
        </w:tc>
        <w:tc>
          <w:tcPr>
            <w:tcW w:w="1368" w:type="dxa"/>
            <w:vAlign w:val="center"/>
          </w:tcPr>
          <w:p w14:paraId="5C54266A">
            <w:pPr>
              <w:spacing w:line="320" w:lineRule="exact"/>
              <w:jc w:val="center"/>
              <w:rPr>
                <w:rFonts w:eastAsia="仿宋_GB2312"/>
                <w:color w:val="auto"/>
                <w:szCs w:val="21"/>
              </w:rPr>
            </w:pPr>
            <w:r>
              <w:rPr>
                <w:rFonts w:eastAsia="仿宋_GB2312"/>
                <w:color w:val="auto"/>
                <w:szCs w:val="21"/>
              </w:rPr>
              <w:t>9400（小鼠、2小时）</w:t>
            </w:r>
          </w:p>
        </w:tc>
      </w:tr>
      <w:tr w14:paraId="2A55EB2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353" w:type="dxa"/>
            <w:vAlign w:val="center"/>
          </w:tcPr>
          <w:p w14:paraId="3332EBBE">
            <w:pPr>
              <w:adjustRightInd w:val="0"/>
              <w:snapToGrid w:val="0"/>
              <w:spacing w:line="320" w:lineRule="exact"/>
              <w:jc w:val="center"/>
              <w:rPr>
                <w:rFonts w:eastAsia="仿宋_GB2312"/>
                <w:color w:val="auto"/>
                <w:szCs w:val="21"/>
              </w:rPr>
            </w:pPr>
            <w:r>
              <w:rPr>
                <w:rFonts w:eastAsia="仿宋_GB2312"/>
                <w:color w:val="auto"/>
                <w:szCs w:val="21"/>
              </w:rPr>
              <w:t>环己烷</w:t>
            </w:r>
          </w:p>
        </w:tc>
        <w:tc>
          <w:tcPr>
            <w:tcW w:w="900" w:type="dxa"/>
            <w:vAlign w:val="center"/>
          </w:tcPr>
          <w:p w14:paraId="438AAC2B">
            <w:pPr>
              <w:adjustRightInd w:val="0"/>
              <w:snapToGrid w:val="0"/>
              <w:spacing w:line="320" w:lineRule="exact"/>
              <w:jc w:val="center"/>
              <w:rPr>
                <w:rFonts w:eastAsia="仿宋_GB2312"/>
                <w:color w:val="auto"/>
                <w:szCs w:val="21"/>
              </w:rPr>
            </w:pPr>
            <w:r>
              <w:rPr>
                <w:rFonts w:eastAsia="仿宋_GB2312"/>
                <w:color w:val="auto"/>
                <w:szCs w:val="21"/>
              </w:rPr>
              <w:t>31004</w:t>
            </w:r>
          </w:p>
        </w:tc>
        <w:tc>
          <w:tcPr>
            <w:tcW w:w="732" w:type="dxa"/>
            <w:vAlign w:val="center"/>
          </w:tcPr>
          <w:p w14:paraId="39FBC6C9">
            <w:pPr>
              <w:spacing w:line="320" w:lineRule="exact"/>
              <w:jc w:val="center"/>
              <w:rPr>
                <w:rFonts w:eastAsia="仿宋_GB2312"/>
                <w:color w:val="auto"/>
                <w:szCs w:val="21"/>
              </w:rPr>
            </w:pPr>
            <w:r>
              <w:rPr>
                <w:rFonts w:eastAsia="仿宋_GB2312"/>
                <w:color w:val="auto"/>
                <w:szCs w:val="21"/>
              </w:rPr>
              <w:t>/</w:t>
            </w:r>
          </w:p>
        </w:tc>
        <w:tc>
          <w:tcPr>
            <w:tcW w:w="840" w:type="dxa"/>
            <w:vAlign w:val="center"/>
          </w:tcPr>
          <w:p w14:paraId="0B05ECB5">
            <w:pPr>
              <w:spacing w:line="320" w:lineRule="exact"/>
              <w:jc w:val="center"/>
              <w:rPr>
                <w:rFonts w:eastAsia="仿宋_GB2312"/>
                <w:color w:val="auto"/>
                <w:szCs w:val="21"/>
              </w:rPr>
            </w:pPr>
            <w:r>
              <w:rPr>
                <w:rFonts w:eastAsia="仿宋_GB2312"/>
                <w:color w:val="auto"/>
                <w:szCs w:val="21"/>
              </w:rPr>
              <w:t>80.7</w:t>
            </w:r>
          </w:p>
        </w:tc>
        <w:tc>
          <w:tcPr>
            <w:tcW w:w="852" w:type="dxa"/>
            <w:vAlign w:val="center"/>
          </w:tcPr>
          <w:p w14:paraId="7D568D81">
            <w:pPr>
              <w:spacing w:line="320" w:lineRule="exact"/>
              <w:jc w:val="center"/>
              <w:rPr>
                <w:rFonts w:eastAsia="仿宋_GB2312"/>
                <w:color w:val="auto"/>
                <w:szCs w:val="21"/>
              </w:rPr>
            </w:pPr>
            <w:r>
              <w:rPr>
                <w:rFonts w:eastAsia="仿宋_GB2312"/>
                <w:color w:val="auto"/>
                <w:szCs w:val="21"/>
              </w:rPr>
              <w:t>6.5</w:t>
            </w:r>
          </w:p>
        </w:tc>
        <w:tc>
          <w:tcPr>
            <w:tcW w:w="1845" w:type="dxa"/>
            <w:vAlign w:val="center"/>
          </w:tcPr>
          <w:p w14:paraId="7C7F7F14">
            <w:pPr>
              <w:spacing w:line="320" w:lineRule="exact"/>
              <w:jc w:val="center"/>
              <w:rPr>
                <w:rFonts w:eastAsia="仿宋_GB2312"/>
                <w:color w:val="auto"/>
                <w:szCs w:val="21"/>
              </w:rPr>
            </w:pPr>
            <w:r>
              <w:rPr>
                <w:rFonts w:eastAsia="仿宋_GB2312"/>
                <w:color w:val="auto"/>
                <w:szCs w:val="21"/>
              </w:rPr>
              <w:t>12705（大鼠）</w:t>
            </w:r>
          </w:p>
        </w:tc>
        <w:tc>
          <w:tcPr>
            <w:tcW w:w="1320" w:type="dxa"/>
            <w:vAlign w:val="center"/>
          </w:tcPr>
          <w:p w14:paraId="423B0DCA">
            <w:pPr>
              <w:spacing w:line="320" w:lineRule="exact"/>
              <w:jc w:val="center"/>
              <w:rPr>
                <w:rFonts w:eastAsia="仿宋_GB2312"/>
                <w:color w:val="auto"/>
                <w:szCs w:val="21"/>
              </w:rPr>
            </w:pPr>
            <w:r>
              <w:rPr>
                <w:rFonts w:eastAsia="仿宋_GB2312"/>
                <w:color w:val="auto"/>
                <w:szCs w:val="21"/>
              </w:rPr>
              <w:t>/</w:t>
            </w:r>
          </w:p>
        </w:tc>
        <w:tc>
          <w:tcPr>
            <w:tcW w:w="1368" w:type="dxa"/>
            <w:vAlign w:val="center"/>
          </w:tcPr>
          <w:p w14:paraId="6E8CCB08">
            <w:pPr>
              <w:spacing w:line="320" w:lineRule="exact"/>
              <w:jc w:val="center"/>
              <w:rPr>
                <w:rFonts w:eastAsia="仿宋_GB2312"/>
                <w:color w:val="auto"/>
                <w:szCs w:val="21"/>
              </w:rPr>
            </w:pPr>
            <w:r>
              <w:rPr>
                <w:rFonts w:eastAsia="仿宋_GB2312"/>
                <w:color w:val="auto"/>
                <w:szCs w:val="21"/>
              </w:rPr>
              <w:t>/</w:t>
            </w:r>
          </w:p>
        </w:tc>
      </w:tr>
      <w:tr w14:paraId="43EAAFB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353" w:type="dxa"/>
            <w:vAlign w:val="center"/>
          </w:tcPr>
          <w:p w14:paraId="3D2A9A05">
            <w:pPr>
              <w:adjustRightInd w:val="0"/>
              <w:snapToGrid w:val="0"/>
              <w:spacing w:line="320" w:lineRule="exact"/>
              <w:jc w:val="center"/>
              <w:rPr>
                <w:rFonts w:eastAsia="仿宋_GB2312"/>
                <w:color w:val="auto"/>
                <w:szCs w:val="21"/>
              </w:rPr>
            </w:pPr>
            <w:r>
              <w:rPr>
                <w:rFonts w:eastAsia="仿宋_GB2312"/>
                <w:color w:val="auto"/>
                <w:szCs w:val="21"/>
              </w:rPr>
              <w:t>环己酮</w:t>
            </w:r>
          </w:p>
        </w:tc>
        <w:tc>
          <w:tcPr>
            <w:tcW w:w="900" w:type="dxa"/>
            <w:vAlign w:val="center"/>
          </w:tcPr>
          <w:p w14:paraId="266398C5">
            <w:pPr>
              <w:adjustRightInd w:val="0"/>
              <w:snapToGrid w:val="0"/>
              <w:spacing w:line="320" w:lineRule="exact"/>
              <w:jc w:val="center"/>
              <w:rPr>
                <w:rFonts w:eastAsia="仿宋_GB2312"/>
                <w:color w:val="auto"/>
                <w:szCs w:val="21"/>
              </w:rPr>
            </w:pPr>
            <w:r>
              <w:rPr>
                <w:rFonts w:eastAsia="仿宋_GB2312"/>
                <w:color w:val="auto"/>
                <w:szCs w:val="21"/>
              </w:rPr>
              <w:t>33590</w:t>
            </w:r>
          </w:p>
        </w:tc>
        <w:tc>
          <w:tcPr>
            <w:tcW w:w="732" w:type="dxa"/>
            <w:vAlign w:val="center"/>
          </w:tcPr>
          <w:p w14:paraId="55E88712">
            <w:pPr>
              <w:spacing w:line="320" w:lineRule="exact"/>
              <w:jc w:val="center"/>
              <w:rPr>
                <w:rFonts w:eastAsia="仿宋_GB2312"/>
                <w:color w:val="auto"/>
                <w:szCs w:val="21"/>
              </w:rPr>
            </w:pPr>
            <w:r>
              <w:rPr>
                <w:rFonts w:eastAsia="仿宋_GB2312"/>
                <w:color w:val="auto"/>
                <w:szCs w:val="21"/>
              </w:rPr>
              <w:t>43</w:t>
            </w:r>
          </w:p>
        </w:tc>
        <w:tc>
          <w:tcPr>
            <w:tcW w:w="840" w:type="dxa"/>
            <w:vAlign w:val="center"/>
          </w:tcPr>
          <w:p w14:paraId="54929EA5">
            <w:pPr>
              <w:spacing w:line="320" w:lineRule="exact"/>
              <w:jc w:val="center"/>
              <w:rPr>
                <w:rFonts w:eastAsia="仿宋_GB2312"/>
                <w:color w:val="auto"/>
                <w:szCs w:val="21"/>
              </w:rPr>
            </w:pPr>
            <w:r>
              <w:rPr>
                <w:rFonts w:eastAsia="仿宋_GB2312"/>
                <w:color w:val="auto"/>
                <w:szCs w:val="21"/>
              </w:rPr>
              <w:t>155</w:t>
            </w:r>
          </w:p>
        </w:tc>
        <w:tc>
          <w:tcPr>
            <w:tcW w:w="852" w:type="dxa"/>
            <w:vAlign w:val="center"/>
          </w:tcPr>
          <w:p w14:paraId="17DD095E">
            <w:pPr>
              <w:spacing w:line="320" w:lineRule="exact"/>
              <w:jc w:val="center"/>
              <w:rPr>
                <w:rFonts w:eastAsia="仿宋_GB2312"/>
                <w:color w:val="auto"/>
                <w:szCs w:val="21"/>
              </w:rPr>
            </w:pPr>
            <w:r>
              <w:rPr>
                <w:rFonts w:eastAsia="仿宋_GB2312"/>
                <w:color w:val="auto"/>
                <w:szCs w:val="21"/>
              </w:rPr>
              <w:t>-31</w:t>
            </w:r>
          </w:p>
        </w:tc>
        <w:tc>
          <w:tcPr>
            <w:tcW w:w="1845" w:type="dxa"/>
            <w:vAlign w:val="center"/>
          </w:tcPr>
          <w:p w14:paraId="15BD246E">
            <w:pPr>
              <w:spacing w:line="320" w:lineRule="exact"/>
              <w:jc w:val="center"/>
              <w:rPr>
                <w:rFonts w:eastAsia="仿宋_GB2312"/>
                <w:color w:val="auto"/>
                <w:szCs w:val="21"/>
              </w:rPr>
            </w:pPr>
            <w:r>
              <w:rPr>
                <w:rFonts w:eastAsia="仿宋_GB2312"/>
                <w:color w:val="auto"/>
                <w:szCs w:val="21"/>
              </w:rPr>
              <w:t>1540（大鼠）</w:t>
            </w:r>
          </w:p>
        </w:tc>
        <w:tc>
          <w:tcPr>
            <w:tcW w:w="1320" w:type="dxa"/>
            <w:vAlign w:val="center"/>
          </w:tcPr>
          <w:p w14:paraId="142B5C2A">
            <w:pPr>
              <w:spacing w:line="320" w:lineRule="exact"/>
              <w:jc w:val="center"/>
              <w:rPr>
                <w:rFonts w:eastAsia="仿宋_GB2312"/>
                <w:color w:val="auto"/>
                <w:szCs w:val="21"/>
              </w:rPr>
            </w:pPr>
            <w:r>
              <w:rPr>
                <w:rFonts w:eastAsia="仿宋_GB2312"/>
                <w:color w:val="auto"/>
                <w:szCs w:val="21"/>
              </w:rPr>
              <w:t>948（兔）</w:t>
            </w:r>
          </w:p>
        </w:tc>
        <w:tc>
          <w:tcPr>
            <w:tcW w:w="1368" w:type="dxa"/>
            <w:vAlign w:val="center"/>
          </w:tcPr>
          <w:p w14:paraId="5E7B86AE">
            <w:pPr>
              <w:spacing w:line="320" w:lineRule="exact"/>
              <w:jc w:val="center"/>
              <w:rPr>
                <w:rFonts w:eastAsia="仿宋_GB2312"/>
                <w:color w:val="auto"/>
                <w:szCs w:val="21"/>
              </w:rPr>
            </w:pPr>
            <w:r>
              <w:rPr>
                <w:rFonts w:eastAsia="仿宋_GB2312"/>
                <w:color w:val="auto"/>
                <w:szCs w:val="21"/>
              </w:rPr>
              <w:t>4000ppm（大鼠、4小时）</w:t>
            </w:r>
          </w:p>
        </w:tc>
      </w:tr>
      <w:tr w14:paraId="2503353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353" w:type="dxa"/>
            <w:vAlign w:val="center"/>
          </w:tcPr>
          <w:p w14:paraId="1D646FB4">
            <w:pPr>
              <w:adjustRightInd w:val="0"/>
              <w:snapToGrid w:val="0"/>
              <w:spacing w:line="320" w:lineRule="exact"/>
              <w:jc w:val="center"/>
              <w:rPr>
                <w:rFonts w:eastAsia="仿宋_GB2312"/>
                <w:color w:val="auto"/>
                <w:szCs w:val="21"/>
              </w:rPr>
            </w:pPr>
            <w:r>
              <w:rPr>
                <w:rFonts w:eastAsia="仿宋_GB2312"/>
                <w:color w:val="auto"/>
                <w:szCs w:val="21"/>
              </w:rPr>
              <w:t>二氯乙烷</w:t>
            </w:r>
          </w:p>
        </w:tc>
        <w:tc>
          <w:tcPr>
            <w:tcW w:w="900" w:type="dxa"/>
            <w:vAlign w:val="center"/>
          </w:tcPr>
          <w:p w14:paraId="311E0CE8">
            <w:pPr>
              <w:adjustRightInd w:val="0"/>
              <w:snapToGrid w:val="0"/>
              <w:spacing w:line="320" w:lineRule="exact"/>
              <w:jc w:val="center"/>
              <w:rPr>
                <w:rFonts w:eastAsia="仿宋_GB2312"/>
                <w:color w:val="auto"/>
                <w:szCs w:val="21"/>
              </w:rPr>
            </w:pPr>
            <w:r>
              <w:rPr>
                <w:rFonts w:eastAsia="仿宋_GB2312"/>
                <w:color w:val="auto"/>
                <w:szCs w:val="21"/>
              </w:rPr>
              <w:t>32035</w:t>
            </w:r>
          </w:p>
        </w:tc>
        <w:tc>
          <w:tcPr>
            <w:tcW w:w="732" w:type="dxa"/>
            <w:vAlign w:val="center"/>
          </w:tcPr>
          <w:p w14:paraId="68E1E2D1">
            <w:pPr>
              <w:spacing w:line="320" w:lineRule="exact"/>
              <w:jc w:val="center"/>
              <w:rPr>
                <w:rFonts w:eastAsia="仿宋_GB2312"/>
                <w:color w:val="auto"/>
                <w:szCs w:val="21"/>
              </w:rPr>
            </w:pPr>
            <w:r>
              <w:rPr>
                <w:rFonts w:eastAsia="仿宋_GB2312"/>
                <w:color w:val="auto"/>
                <w:szCs w:val="21"/>
              </w:rPr>
              <w:t>17</w:t>
            </w:r>
          </w:p>
        </w:tc>
        <w:tc>
          <w:tcPr>
            <w:tcW w:w="840" w:type="dxa"/>
            <w:vAlign w:val="center"/>
          </w:tcPr>
          <w:p w14:paraId="3CC75128">
            <w:pPr>
              <w:spacing w:line="320" w:lineRule="exact"/>
              <w:jc w:val="center"/>
              <w:rPr>
                <w:rFonts w:eastAsia="仿宋_GB2312"/>
                <w:color w:val="auto"/>
                <w:szCs w:val="21"/>
              </w:rPr>
            </w:pPr>
            <w:r>
              <w:rPr>
                <w:rFonts w:eastAsia="仿宋_GB2312"/>
                <w:color w:val="auto"/>
                <w:szCs w:val="21"/>
              </w:rPr>
              <w:t>83.5</w:t>
            </w:r>
          </w:p>
        </w:tc>
        <w:tc>
          <w:tcPr>
            <w:tcW w:w="852" w:type="dxa"/>
            <w:vAlign w:val="center"/>
          </w:tcPr>
          <w:p w14:paraId="45812E38">
            <w:pPr>
              <w:spacing w:line="320" w:lineRule="exact"/>
              <w:jc w:val="center"/>
              <w:rPr>
                <w:rFonts w:eastAsia="仿宋_GB2312"/>
                <w:color w:val="auto"/>
                <w:szCs w:val="21"/>
              </w:rPr>
            </w:pPr>
            <w:r>
              <w:rPr>
                <w:rFonts w:eastAsia="仿宋_GB2312"/>
                <w:color w:val="auto"/>
                <w:szCs w:val="21"/>
              </w:rPr>
              <w:t>-35.3</w:t>
            </w:r>
          </w:p>
        </w:tc>
        <w:tc>
          <w:tcPr>
            <w:tcW w:w="1845" w:type="dxa"/>
            <w:vAlign w:val="center"/>
          </w:tcPr>
          <w:p w14:paraId="07D6E726">
            <w:pPr>
              <w:spacing w:line="320" w:lineRule="exact"/>
              <w:jc w:val="center"/>
              <w:rPr>
                <w:rFonts w:eastAsia="仿宋_GB2312"/>
                <w:color w:val="auto"/>
                <w:szCs w:val="21"/>
              </w:rPr>
            </w:pPr>
            <w:r>
              <w:rPr>
                <w:rFonts w:eastAsia="仿宋_GB2312"/>
                <w:color w:val="auto"/>
                <w:szCs w:val="21"/>
              </w:rPr>
              <w:t>770（大鼠）</w:t>
            </w:r>
          </w:p>
        </w:tc>
        <w:tc>
          <w:tcPr>
            <w:tcW w:w="1320" w:type="dxa"/>
            <w:vAlign w:val="center"/>
          </w:tcPr>
          <w:p w14:paraId="5A6E573F">
            <w:pPr>
              <w:spacing w:line="320" w:lineRule="exact"/>
              <w:jc w:val="center"/>
              <w:rPr>
                <w:rFonts w:eastAsia="仿宋_GB2312"/>
                <w:color w:val="auto"/>
                <w:szCs w:val="21"/>
              </w:rPr>
            </w:pPr>
            <w:r>
              <w:rPr>
                <w:rFonts w:eastAsia="仿宋_GB2312"/>
                <w:color w:val="auto"/>
                <w:szCs w:val="21"/>
              </w:rPr>
              <w:t>/</w:t>
            </w:r>
          </w:p>
        </w:tc>
        <w:tc>
          <w:tcPr>
            <w:tcW w:w="1368" w:type="dxa"/>
            <w:vAlign w:val="center"/>
          </w:tcPr>
          <w:p w14:paraId="5615FFCD">
            <w:pPr>
              <w:spacing w:line="320" w:lineRule="exact"/>
              <w:jc w:val="center"/>
              <w:rPr>
                <w:rFonts w:eastAsia="仿宋_GB2312"/>
                <w:color w:val="auto"/>
                <w:szCs w:val="21"/>
              </w:rPr>
            </w:pPr>
            <w:r>
              <w:rPr>
                <w:rFonts w:eastAsia="仿宋_GB2312"/>
                <w:color w:val="auto"/>
                <w:szCs w:val="21"/>
              </w:rPr>
              <w:t>/</w:t>
            </w:r>
          </w:p>
        </w:tc>
      </w:tr>
      <w:tr w14:paraId="1E37607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353" w:type="dxa"/>
            <w:vAlign w:val="center"/>
          </w:tcPr>
          <w:p w14:paraId="071E2FDE">
            <w:pPr>
              <w:adjustRightInd w:val="0"/>
              <w:snapToGrid w:val="0"/>
              <w:spacing w:line="320" w:lineRule="exact"/>
              <w:jc w:val="center"/>
              <w:rPr>
                <w:rFonts w:eastAsia="仿宋_GB2312"/>
                <w:color w:val="auto"/>
                <w:szCs w:val="21"/>
              </w:rPr>
            </w:pPr>
            <w:r>
              <w:rPr>
                <w:rFonts w:eastAsia="仿宋_GB2312"/>
                <w:color w:val="auto"/>
                <w:szCs w:val="21"/>
              </w:rPr>
              <w:t>二甲基亚砜</w:t>
            </w:r>
          </w:p>
        </w:tc>
        <w:tc>
          <w:tcPr>
            <w:tcW w:w="900" w:type="dxa"/>
            <w:vAlign w:val="center"/>
          </w:tcPr>
          <w:p w14:paraId="2C1F0ECC">
            <w:pPr>
              <w:adjustRightInd w:val="0"/>
              <w:snapToGrid w:val="0"/>
              <w:spacing w:line="320" w:lineRule="exact"/>
              <w:jc w:val="center"/>
              <w:rPr>
                <w:rFonts w:eastAsia="仿宋_GB2312"/>
                <w:color w:val="auto"/>
                <w:szCs w:val="21"/>
              </w:rPr>
            </w:pPr>
            <w:r>
              <w:rPr>
                <w:rFonts w:eastAsia="仿宋_GB2312"/>
                <w:color w:val="auto"/>
                <w:szCs w:val="21"/>
              </w:rPr>
              <w:t>/</w:t>
            </w:r>
          </w:p>
        </w:tc>
        <w:tc>
          <w:tcPr>
            <w:tcW w:w="732" w:type="dxa"/>
            <w:vAlign w:val="center"/>
          </w:tcPr>
          <w:p w14:paraId="3E8775F6">
            <w:pPr>
              <w:spacing w:line="320" w:lineRule="exact"/>
              <w:jc w:val="center"/>
              <w:rPr>
                <w:rFonts w:eastAsia="仿宋_GB2312"/>
                <w:color w:val="auto"/>
                <w:szCs w:val="21"/>
              </w:rPr>
            </w:pPr>
            <w:r>
              <w:rPr>
                <w:rFonts w:eastAsia="仿宋_GB2312"/>
                <w:color w:val="auto"/>
                <w:szCs w:val="21"/>
              </w:rPr>
              <w:t>/</w:t>
            </w:r>
          </w:p>
        </w:tc>
        <w:tc>
          <w:tcPr>
            <w:tcW w:w="840" w:type="dxa"/>
            <w:vAlign w:val="center"/>
          </w:tcPr>
          <w:p w14:paraId="6DC52DA4">
            <w:pPr>
              <w:spacing w:line="320" w:lineRule="exact"/>
              <w:jc w:val="center"/>
              <w:rPr>
                <w:rFonts w:eastAsia="仿宋_GB2312"/>
                <w:color w:val="auto"/>
                <w:szCs w:val="21"/>
              </w:rPr>
            </w:pPr>
            <w:r>
              <w:rPr>
                <w:rFonts w:eastAsia="仿宋_GB2312"/>
                <w:color w:val="auto"/>
                <w:szCs w:val="21"/>
              </w:rPr>
              <w:t>189</w:t>
            </w:r>
          </w:p>
        </w:tc>
        <w:tc>
          <w:tcPr>
            <w:tcW w:w="852" w:type="dxa"/>
            <w:vAlign w:val="center"/>
          </w:tcPr>
          <w:p w14:paraId="4074CD29">
            <w:pPr>
              <w:spacing w:line="320" w:lineRule="exact"/>
              <w:jc w:val="center"/>
              <w:rPr>
                <w:rFonts w:eastAsia="仿宋_GB2312"/>
                <w:color w:val="auto"/>
                <w:szCs w:val="21"/>
              </w:rPr>
            </w:pPr>
            <w:r>
              <w:rPr>
                <w:rFonts w:eastAsia="仿宋_GB2312"/>
                <w:color w:val="auto"/>
                <w:szCs w:val="21"/>
              </w:rPr>
              <w:t>18.45</w:t>
            </w:r>
          </w:p>
        </w:tc>
        <w:tc>
          <w:tcPr>
            <w:tcW w:w="1845" w:type="dxa"/>
            <w:vAlign w:val="center"/>
          </w:tcPr>
          <w:p w14:paraId="5BEF7CFA">
            <w:pPr>
              <w:spacing w:line="320" w:lineRule="exact"/>
              <w:jc w:val="center"/>
              <w:rPr>
                <w:rFonts w:eastAsia="仿宋_GB2312"/>
                <w:color w:val="auto"/>
                <w:szCs w:val="21"/>
              </w:rPr>
            </w:pPr>
            <w:r>
              <w:rPr>
                <w:rFonts w:eastAsia="仿宋_GB2312"/>
                <w:color w:val="auto"/>
                <w:szCs w:val="21"/>
              </w:rPr>
              <w:t>9700-28300（大鼠）</w:t>
            </w:r>
          </w:p>
        </w:tc>
        <w:tc>
          <w:tcPr>
            <w:tcW w:w="1320" w:type="dxa"/>
            <w:vAlign w:val="center"/>
          </w:tcPr>
          <w:p w14:paraId="0D9A6FEB">
            <w:pPr>
              <w:spacing w:line="320" w:lineRule="exact"/>
              <w:jc w:val="center"/>
              <w:rPr>
                <w:rFonts w:eastAsia="仿宋_GB2312"/>
                <w:color w:val="auto"/>
                <w:szCs w:val="21"/>
              </w:rPr>
            </w:pPr>
            <w:r>
              <w:rPr>
                <w:rFonts w:eastAsia="仿宋_GB2312"/>
                <w:color w:val="auto"/>
                <w:szCs w:val="21"/>
              </w:rPr>
              <w:t>/</w:t>
            </w:r>
          </w:p>
        </w:tc>
        <w:tc>
          <w:tcPr>
            <w:tcW w:w="1368" w:type="dxa"/>
            <w:vAlign w:val="center"/>
          </w:tcPr>
          <w:p w14:paraId="78C44FD4">
            <w:pPr>
              <w:spacing w:line="320" w:lineRule="exact"/>
              <w:jc w:val="center"/>
              <w:rPr>
                <w:rFonts w:eastAsia="仿宋_GB2312"/>
                <w:color w:val="auto"/>
                <w:szCs w:val="21"/>
              </w:rPr>
            </w:pPr>
            <w:r>
              <w:rPr>
                <w:rFonts w:eastAsia="仿宋_GB2312"/>
                <w:color w:val="auto"/>
                <w:szCs w:val="21"/>
              </w:rPr>
              <w:t>/</w:t>
            </w:r>
          </w:p>
        </w:tc>
      </w:tr>
      <w:tr w14:paraId="748DC0C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353" w:type="dxa"/>
            <w:vAlign w:val="center"/>
          </w:tcPr>
          <w:p w14:paraId="4D7C9729">
            <w:pPr>
              <w:adjustRightInd w:val="0"/>
              <w:snapToGrid w:val="0"/>
              <w:spacing w:line="320" w:lineRule="exact"/>
              <w:jc w:val="center"/>
              <w:rPr>
                <w:rFonts w:eastAsia="仿宋_GB2312"/>
                <w:color w:val="auto"/>
                <w:szCs w:val="21"/>
              </w:rPr>
            </w:pPr>
            <w:r>
              <w:rPr>
                <w:rFonts w:eastAsia="仿宋_GB2312"/>
                <w:color w:val="auto"/>
                <w:szCs w:val="21"/>
              </w:rPr>
              <w:t>丁醇</w:t>
            </w:r>
          </w:p>
        </w:tc>
        <w:tc>
          <w:tcPr>
            <w:tcW w:w="900" w:type="dxa"/>
            <w:vAlign w:val="center"/>
          </w:tcPr>
          <w:p w14:paraId="3FBFE93E">
            <w:pPr>
              <w:adjustRightInd w:val="0"/>
              <w:snapToGrid w:val="0"/>
              <w:spacing w:line="320" w:lineRule="exact"/>
              <w:jc w:val="center"/>
              <w:rPr>
                <w:rFonts w:eastAsia="仿宋_GB2312"/>
                <w:color w:val="auto"/>
                <w:szCs w:val="21"/>
              </w:rPr>
            </w:pPr>
            <w:r>
              <w:rPr>
                <w:rFonts w:eastAsia="仿宋_GB2312"/>
                <w:color w:val="auto"/>
                <w:szCs w:val="21"/>
              </w:rPr>
              <w:t>33552</w:t>
            </w:r>
          </w:p>
        </w:tc>
        <w:tc>
          <w:tcPr>
            <w:tcW w:w="732" w:type="dxa"/>
            <w:vAlign w:val="center"/>
          </w:tcPr>
          <w:p w14:paraId="4063D833">
            <w:pPr>
              <w:spacing w:line="320" w:lineRule="exact"/>
              <w:jc w:val="center"/>
              <w:rPr>
                <w:rFonts w:eastAsia="仿宋_GB2312"/>
                <w:color w:val="auto"/>
                <w:szCs w:val="21"/>
              </w:rPr>
            </w:pPr>
            <w:r>
              <w:rPr>
                <w:rFonts w:eastAsia="仿宋_GB2312"/>
                <w:color w:val="auto"/>
                <w:szCs w:val="21"/>
              </w:rPr>
              <w:t>/</w:t>
            </w:r>
          </w:p>
        </w:tc>
        <w:tc>
          <w:tcPr>
            <w:tcW w:w="840" w:type="dxa"/>
            <w:vAlign w:val="center"/>
          </w:tcPr>
          <w:p w14:paraId="5169ECDA">
            <w:pPr>
              <w:spacing w:line="320" w:lineRule="exact"/>
              <w:jc w:val="center"/>
              <w:rPr>
                <w:rFonts w:eastAsia="仿宋_GB2312"/>
                <w:color w:val="auto"/>
                <w:szCs w:val="21"/>
              </w:rPr>
            </w:pPr>
            <w:r>
              <w:rPr>
                <w:rFonts w:eastAsia="仿宋_GB2312"/>
                <w:color w:val="auto"/>
                <w:szCs w:val="21"/>
              </w:rPr>
              <w:t>117.5</w:t>
            </w:r>
          </w:p>
        </w:tc>
        <w:tc>
          <w:tcPr>
            <w:tcW w:w="852" w:type="dxa"/>
            <w:vAlign w:val="center"/>
          </w:tcPr>
          <w:p w14:paraId="67B0363E">
            <w:pPr>
              <w:spacing w:line="320" w:lineRule="exact"/>
              <w:jc w:val="center"/>
              <w:rPr>
                <w:rFonts w:eastAsia="仿宋_GB2312"/>
                <w:color w:val="auto"/>
                <w:szCs w:val="21"/>
              </w:rPr>
            </w:pPr>
            <w:r>
              <w:rPr>
                <w:rFonts w:eastAsia="仿宋_GB2312"/>
                <w:color w:val="auto"/>
                <w:szCs w:val="21"/>
              </w:rPr>
              <w:t>-88.9</w:t>
            </w:r>
          </w:p>
        </w:tc>
        <w:tc>
          <w:tcPr>
            <w:tcW w:w="1845" w:type="dxa"/>
            <w:vAlign w:val="center"/>
          </w:tcPr>
          <w:p w14:paraId="6E1DDA90">
            <w:pPr>
              <w:spacing w:line="320" w:lineRule="exact"/>
              <w:jc w:val="center"/>
              <w:rPr>
                <w:rFonts w:eastAsia="仿宋_GB2312"/>
                <w:color w:val="auto"/>
                <w:szCs w:val="21"/>
              </w:rPr>
            </w:pPr>
            <w:r>
              <w:rPr>
                <w:rFonts w:eastAsia="仿宋_GB2312"/>
                <w:color w:val="auto"/>
                <w:szCs w:val="21"/>
              </w:rPr>
              <w:t>4360（大鼠）</w:t>
            </w:r>
          </w:p>
        </w:tc>
        <w:tc>
          <w:tcPr>
            <w:tcW w:w="1320" w:type="dxa"/>
            <w:vAlign w:val="center"/>
          </w:tcPr>
          <w:p w14:paraId="0A56B1B0">
            <w:pPr>
              <w:spacing w:line="320" w:lineRule="exact"/>
              <w:jc w:val="center"/>
              <w:rPr>
                <w:rFonts w:eastAsia="仿宋_GB2312"/>
                <w:color w:val="auto"/>
                <w:szCs w:val="21"/>
              </w:rPr>
            </w:pPr>
            <w:r>
              <w:rPr>
                <w:rFonts w:eastAsia="仿宋_GB2312"/>
                <w:color w:val="auto"/>
                <w:szCs w:val="21"/>
              </w:rPr>
              <w:t>3400（兔）</w:t>
            </w:r>
          </w:p>
        </w:tc>
        <w:tc>
          <w:tcPr>
            <w:tcW w:w="1368" w:type="dxa"/>
            <w:vAlign w:val="center"/>
          </w:tcPr>
          <w:p w14:paraId="3AEB6BA7">
            <w:pPr>
              <w:spacing w:line="320" w:lineRule="exact"/>
              <w:jc w:val="center"/>
              <w:rPr>
                <w:rFonts w:eastAsia="仿宋_GB2312"/>
                <w:color w:val="auto"/>
                <w:szCs w:val="21"/>
              </w:rPr>
            </w:pPr>
            <w:r>
              <w:rPr>
                <w:rFonts w:eastAsia="仿宋_GB2312"/>
                <w:color w:val="auto"/>
                <w:szCs w:val="21"/>
              </w:rPr>
              <w:t>24240（大鼠、4小时）</w:t>
            </w:r>
          </w:p>
        </w:tc>
      </w:tr>
      <w:tr w14:paraId="2B61369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353" w:type="dxa"/>
            <w:vAlign w:val="center"/>
          </w:tcPr>
          <w:p w14:paraId="7D298DB2">
            <w:pPr>
              <w:adjustRightInd w:val="0"/>
              <w:snapToGrid w:val="0"/>
              <w:spacing w:line="320" w:lineRule="exact"/>
              <w:jc w:val="center"/>
              <w:rPr>
                <w:rFonts w:eastAsia="仿宋_GB2312"/>
                <w:color w:val="auto"/>
                <w:szCs w:val="21"/>
              </w:rPr>
            </w:pPr>
            <w:r>
              <w:rPr>
                <w:rFonts w:eastAsia="仿宋_GB2312"/>
                <w:color w:val="auto"/>
                <w:szCs w:val="21"/>
              </w:rPr>
              <w:t>辛醇</w:t>
            </w:r>
          </w:p>
        </w:tc>
        <w:tc>
          <w:tcPr>
            <w:tcW w:w="900" w:type="dxa"/>
            <w:vAlign w:val="center"/>
          </w:tcPr>
          <w:p w14:paraId="3E2DEC29">
            <w:pPr>
              <w:adjustRightInd w:val="0"/>
              <w:snapToGrid w:val="0"/>
              <w:spacing w:line="320" w:lineRule="exact"/>
              <w:jc w:val="center"/>
              <w:rPr>
                <w:rFonts w:eastAsia="仿宋_GB2312"/>
                <w:color w:val="auto"/>
                <w:szCs w:val="21"/>
              </w:rPr>
            </w:pPr>
            <w:r>
              <w:rPr>
                <w:rFonts w:eastAsia="仿宋_GB2312"/>
                <w:color w:val="auto"/>
                <w:szCs w:val="21"/>
              </w:rPr>
              <w:t>/</w:t>
            </w:r>
          </w:p>
        </w:tc>
        <w:tc>
          <w:tcPr>
            <w:tcW w:w="732" w:type="dxa"/>
            <w:vAlign w:val="center"/>
          </w:tcPr>
          <w:p w14:paraId="02C9BC89">
            <w:pPr>
              <w:spacing w:line="320" w:lineRule="exact"/>
              <w:jc w:val="center"/>
              <w:rPr>
                <w:rFonts w:eastAsia="仿宋_GB2312"/>
                <w:color w:val="auto"/>
                <w:szCs w:val="21"/>
              </w:rPr>
            </w:pPr>
            <w:r>
              <w:rPr>
                <w:rFonts w:eastAsia="仿宋_GB2312"/>
                <w:color w:val="auto"/>
                <w:szCs w:val="21"/>
              </w:rPr>
              <w:t>/</w:t>
            </w:r>
          </w:p>
        </w:tc>
        <w:tc>
          <w:tcPr>
            <w:tcW w:w="840" w:type="dxa"/>
            <w:vAlign w:val="center"/>
          </w:tcPr>
          <w:p w14:paraId="10528CDE">
            <w:pPr>
              <w:spacing w:line="320" w:lineRule="exact"/>
              <w:jc w:val="center"/>
              <w:rPr>
                <w:rFonts w:eastAsia="仿宋_GB2312"/>
                <w:color w:val="auto"/>
                <w:szCs w:val="21"/>
              </w:rPr>
            </w:pPr>
            <w:r>
              <w:rPr>
                <w:rFonts w:eastAsia="仿宋_GB2312"/>
                <w:color w:val="auto"/>
                <w:szCs w:val="21"/>
              </w:rPr>
              <w:t>196</w:t>
            </w:r>
          </w:p>
        </w:tc>
        <w:tc>
          <w:tcPr>
            <w:tcW w:w="852" w:type="dxa"/>
            <w:vAlign w:val="center"/>
          </w:tcPr>
          <w:p w14:paraId="49F2E3DC">
            <w:pPr>
              <w:spacing w:line="320" w:lineRule="exact"/>
              <w:jc w:val="center"/>
              <w:rPr>
                <w:rFonts w:eastAsia="仿宋_GB2312"/>
                <w:color w:val="auto"/>
                <w:szCs w:val="21"/>
              </w:rPr>
            </w:pPr>
            <w:r>
              <w:rPr>
                <w:rFonts w:eastAsia="仿宋_GB2312"/>
                <w:color w:val="auto"/>
                <w:szCs w:val="21"/>
              </w:rPr>
              <w:t>-16.7</w:t>
            </w:r>
          </w:p>
        </w:tc>
        <w:tc>
          <w:tcPr>
            <w:tcW w:w="1845" w:type="dxa"/>
            <w:vAlign w:val="center"/>
          </w:tcPr>
          <w:p w14:paraId="061C5D25">
            <w:pPr>
              <w:spacing w:line="320" w:lineRule="exact"/>
              <w:jc w:val="center"/>
              <w:rPr>
                <w:rFonts w:eastAsia="仿宋_GB2312"/>
                <w:color w:val="auto"/>
                <w:szCs w:val="21"/>
              </w:rPr>
            </w:pPr>
            <w:r>
              <w:rPr>
                <w:rFonts w:eastAsia="仿宋_GB2312"/>
                <w:color w:val="auto"/>
                <w:szCs w:val="21"/>
              </w:rPr>
              <w:t>1790（小鼠）</w:t>
            </w:r>
          </w:p>
        </w:tc>
        <w:tc>
          <w:tcPr>
            <w:tcW w:w="1320" w:type="dxa"/>
            <w:vAlign w:val="center"/>
          </w:tcPr>
          <w:p w14:paraId="092E0F57">
            <w:pPr>
              <w:spacing w:line="320" w:lineRule="exact"/>
              <w:jc w:val="center"/>
              <w:rPr>
                <w:rFonts w:eastAsia="仿宋_GB2312"/>
                <w:color w:val="auto"/>
                <w:szCs w:val="21"/>
              </w:rPr>
            </w:pPr>
            <w:r>
              <w:rPr>
                <w:rFonts w:eastAsia="仿宋_GB2312"/>
                <w:color w:val="auto"/>
                <w:szCs w:val="21"/>
              </w:rPr>
              <w:t>/</w:t>
            </w:r>
          </w:p>
        </w:tc>
        <w:tc>
          <w:tcPr>
            <w:tcW w:w="1368" w:type="dxa"/>
            <w:vAlign w:val="center"/>
          </w:tcPr>
          <w:p w14:paraId="470F273D">
            <w:pPr>
              <w:spacing w:line="320" w:lineRule="exact"/>
              <w:jc w:val="center"/>
              <w:rPr>
                <w:rFonts w:eastAsia="仿宋_GB2312"/>
                <w:color w:val="auto"/>
                <w:szCs w:val="21"/>
              </w:rPr>
            </w:pPr>
            <w:r>
              <w:rPr>
                <w:rFonts w:eastAsia="仿宋_GB2312"/>
                <w:color w:val="auto"/>
                <w:szCs w:val="21"/>
              </w:rPr>
              <w:t>/</w:t>
            </w:r>
          </w:p>
        </w:tc>
      </w:tr>
      <w:tr w14:paraId="0A5A3AC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353" w:type="dxa"/>
            <w:vAlign w:val="center"/>
          </w:tcPr>
          <w:p w14:paraId="7AA8F142">
            <w:pPr>
              <w:adjustRightInd w:val="0"/>
              <w:snapToGrid w:val="0"/>
              <w:spacing w:line="320" w:lineRule="exact"/>
              <w:jc w:val="center"/>
              <w:rPr>
                <w:rFonts w:eastAsia="仿宋_GB2312"/>
                <w:color w:val="auto"/>
                <w:szCs w:val="21"/>
              </w:rPr>
            </w:pPr>
            <w:r>
              <w:rPr>
                <w:rFonts w:eastAsia="仿宋_GB2312"/>
                <w:color w:val="auto"/>
                <w:szCs w:val="21"/>
              </w:rPr>
              <w:t>苯乙烯</w:t>
            </w:r>
          </w:p>
        </w:tc>
        <w:tc>
          <w:tcPr>
            <w:tcW w:w="900" w:type="dxa"/>
            <w:vAlign w:val="center"/>
          </w:tcPr>
          <w:p w14:paraId="3E3C6CD5">
            <w:pPr>
              <w:adjustRightInd w:val="0"/>
              <w:snapToGrid w:val="0"/>
              <w:spacing w:line="320" w:lineRule="exact"/>
              <w:jc w:val="center"/>
              <w:rPr>
                <w:rFonts w:eastAsia="仿宋_GB2312"/>
                <w:color w:val="auto"/>
                <w:szCs w:val="21"/>
              </w:rPr>
            </w:pPr>
            <w:r>
              <w:rPr>
                <w:rFonts w:eastAsia="仿宋_GB2312"/>
                <w:color w:val="auto"/>
                <w:szCs w:val="21"/>
              </w:rPr>
              <w:t>33541</w:t>
            </w:r>
          </w:p>
        </w:tc>
        <w:tc>
          <w:tcPr>
            <w:tcW w:w="732" w:type="dxa"/>
            <w:vAlign w:val="center"/>
          </w:tcPr>
          <w:p w14:paraId="2F280AF6">
            <w:pPr>
              <w:spacing w:line="320" w:lineRule="exact"/>
              <w:jc w:val="center"/>
              <w:rPr>
                <w:rFonts w:eastAsia="仿宋_GB2312"/>
                <w:color w:val="auto"/>
                <w:szCs w:val="21"/>
              </w:rPr>
            </w:pPr>
            <w:r>
              <w:rPr>
                <w:rFonts w:eastAsia="仿宋_GB2312"/>
                <w:color w:val="auto"/>
                <w:szCs w:val="21"/>
              </w:rPr>
              <w:t>/</w:t>
            </w:r>
          </w:p>
        </w:tc>
        <w:tc>
          <w:tcPr>
            <w:tcW w:w="840" w:type="dxa"/>
            <w:vAlign w:val="center"/>
          </w:tcPr>
          <w:p w14:paraId="2E394234">
            <w:pPr>
              <w:spacing w:line="320" w:lineRule="exact"/>
              <w:jc w:val="center"/>
              <w:rPr>
                <w:rFonts w:eastAsia="仿宋_GB2312"/>
                <w:color w:val="auto"/>
                <w:szCs w:val="21"/>
              </w:rPr>
            </w:pPr>
            <w:r>
              <w:rPr>
                <w:rFonts w:eastAsia="仿宋_GB2312"/>
                <w:color w:val="auto"/>
                <w:szCs w:val="21"/>
              </w:rPr>
              <w:t>146</w:t>
            </w:r>
          </w:p>
        </w:tc>
        <w:tc>
          <w:tcPr>
            <w:tcW w:w="852" w:type="dxa"/>
            <w:vAlign w:val="center"/>
          </w:tcPr>
          <w:p w14:paraId="65AD9FA0">
            <w:pPr>
              <w:spacing w:line="320" w:lineRule="exact"/>
              <w:jc w:val="center"/>
              <w:rPr>
                <w:rFonts w:eastAsia="仿宋_GB2312"/>
                <w:color w:val="auto"/>
                <w:szCs w:val="21"/>
              </w:rPr>
            </w:pPr>
            <w:r>
              <w:rPr>
                <w:rFonts w:eastAsia="仿宋_GB2312"/>
                <w:color w:val="auto"/>
                <w:szCs w:val="21"/>
              </w:rPr>
              <w:t>-30.6</w:t>
            </w:r>
          </w:p>
        </w:tc>
        <w:tc>
          <w:tcPr>
            <w:tcW w:w="1845" w:type="dxa"/>
            <w:vAlign w:val="center"/>
          </w:tcPr>
          <w:p w14:paraId="50D1BC0E">
            <w:pPr>
              <w:spacing w:line="320" w:lineRule="exact"/>
              <w:jc w:val="center"/>
              <w:rPr>
                <w:rFonts w:eastAsia="仿宋_GB2312"/>
                <w:color w:val="auto"/>
                <w:szCs w:val="21"/>
              </w:rPr>
            </w:pPr>
            <w:r>
              <w:rPr>
                <w:rFonts w:eastAsia="仿宋_GB2312"/>
                <w:color w:val="auto"/>
                <w:szCs w:val="21"/>
              </w:rPr>
              <w:t>500（大鼠）</w:t>
            </w:r>
          </w:p>
        </w:tc>
        <w:tc>
          <w:tcPr>
            <w:tcW w:w="1320" w:type="dxa"/>
            <w:vAlign w:val="center"/>
          </w:tcPr>
          <w:p w14:paraId="19283364">
            <w:pPr>
              <w:spacing w:line="320" w:lineRule="exact"/>
              <w:jc w:val="center"/>
              <w:rPr>
                <w:rFonts w:eastAsia="仿宋_GB2312"/>
                <w:color w:val="auto"/>
                <w:szCs w:val="21"/>
              </w:rPr>
            </w:pPr>
            <w:r>
              <w:rPr>
                <w:rFonts w:eastAsia="仿宋_GB2312"/>
                <w:color w:val="auto"/>
                <w:szCs w:val="21"/>
              </w:rPr>
              <w:t>/</w:t>
            </w:r>
          </w:p>
        </w:tc>
        <w:tc>
          <w:tcPr>
            <w:tcW w:w="1368" w:type="dxa"/>
            <w:vAlign w:val="center"/>
          </w:tcPr>
          <w:p w14:paraId="36482FB0">
            <w:pPr>
              <w:spacing w:line="320" w:lineRule="exact"/>
              <w:jc w:val="center"/>
              <w:rPr>
                <w:rFonts w:eastAsia="仿宋_GB2312"/>
                <w:color w:val="auto"/>
                <w:szCs w:val="21"/>
              </w:rPr>
            </w:pPr>
            <w:r>
              <w:rPr>
                <w:rFonts w:eastAsia="仿宋_GB2312"/>
                <w:color w:val="auto"/>
                <w:szCs w:val="21"/>
              </w:rPr>
              <w:t>24000（大鼠）</w:t>
            </w:r>
          </w:p>
        </w:tc>
      </w:tr>
      <w:tr w14:paraId="6C8947D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353" w:type="dxa"/>
            <w:vAlign w:val="center"/>
          </w:tcPr>
          <w:p w14:paraId="428E5F01">
            <w:pPr>
              <w:adjustRightInd w:val="0"/>
              <w:snapToGrid w:val="0"/>
              <w:spacing w:line="320" w:lineRule="exact"/>
              <w:jc w:val="center"/>
              <w:rPr>
                <w:rFonts w:eastAsia="仿宋_GB2312"/>
                <w:color w:val="auto"/>
                <w:szCs w:val="21"/>
              </w:rPr>
            </w:pPr>
            <w:r>
              <w:rPr>
                <w:rFonts w:eastAsia="仿宋_GB2312"/>
                <w:color w:val="auto"/>
                <w:szCs w:val="21"/>
              </w:rPr>
              <w:t>二乙二醇</w:t>
            </w:r>
          </w:p>
        </w:tc>
        <w:tc>
          <w:tcPr>
            <w:tcW w:w="900" w:type="dxa"/>
            <w:vAlign w:val="center"/>
          </w:tcPr>
          <w:p w14:paraId="6ADF7A5C">
            <w:pPr>
              <w:spacing w:line="320" w:lineRule="exact"/>
              <w:jc w:val="center"/>
              <w:rPr>
                <w:rFonts w:eastAsia="仿宋_GB2312"/>
                <w:color w:val="auto"/>
                <w:szCs w:val="21"/>
              </w:rPr>
            </w:pPr>
            <w:r>
              <w:rPr>
                <w:rFonts w:eastAsia="仿宋_GB2312"/>
                <w:color w:val="auto"/>
                <w:szCs w:val="21"/>
              </w:rPr>
              <w:t>/</w:t>
            </w:r>
          </w:p>
        </w:tc>
        <w:tc>
          <w:tcPr>
            <w:tcW w:w="732" w:type="dxa"/>
            <w:vAlign w:val="center"/>
          </w:tcPr>
          <w:p w14:paraId="1A6602D3">
            <w:pPr>
              <w:spacing w:line="320" w:lineRule="exact"/>
              <w:jc w:val="center"/>
              <w:rPr>
                <w:rFonts w:eastAsia="仿宋_GB2312"/>
                <w:color w:val="auto"/>
                <w:szCs w:val="21"/>
              </w:rPr>
            </w:pPr>
            <w:r>
              <w:rPr>
                <w:rFonts w:eastAsia="仿宋_GB2312"/>
                <w:color w:val="auto"/>
                <w:szCs w:val="21"/>
              </w:rPr>
              <w:t>/</w:t>
            </w:r>
          </w:p>
        </w:tc>
        <w:tc>
          <w:tcPr>
            <w:tcW w:w="840" w:type="dxa"/>
            <w:vAlign w:val="center"/>
          </w:tcPr>
          <w:p w14:paraId="5687259A">
            <w:pPr>
              <w:spacing w:line="320" w:lineRule="exact"/>
              <w:jc w:val="center"/>
              <w:rPr>
                <w:rFonts w:eastAsia="仿宋_GB2312"/>
                <w:color w:val="auto"/>
                <w:szCs w:val="21"/>
              </w:rPr>
            </w:pPr>
            <w:r>
              <w:rPr>
                <w:rFonts w:eastAsia="仿宋_GB2312"/>
                <w:color w:val="auto"/>
                <w:szCs w:val="21"/>
              </w:rPr>
              <w:t>245</w:t>
            </w:r>
          </w:p>
        </w:tc>
        <w:tc>
          <w:tcPr>
            <w:tcW w:w="852" w:type="dxa"/>
            <w:vAlign w:val="center"/>
          </w:tcPr>
          <w:p w14:paraId="19BA73B1">
            <w:pPr>
              <w:spacing w:line="320" w:lineRule="exact"/>
              <w:jc w:val="center"/>
              <w:rPr>
                <w:rFonts w:eastAsia="仿宋_GB2312"/>
                <w:color w:val="auto"/>
                <w:szCs w:val="21"/>
              </w:rPr>
            </w:pPr>
            <w:r>
              <w:rPr>
                <w:rFonts w:eastAsia="仿宋_GB2312"/>
                <w:color w:val="auto"/>
                <w:szCs w:val="21"/>
              </w:rPr>
              <w:t>-10</w:t>
            </w:r>
          </w:p>
        </w:tc>
        <w:tc>
          <w:tcPr>
            <w:tcW w:w="1845" w:type="dxa"/>
            <w:vAlign w:val="center"/>
          </w:tcPr>
          <w:p w14:paraId="20F5129D">
            <w:pPr>
              <w:spacing w:line="320" w:lineRule="exact"/>
              <w:jc w:val="center"/>
              <w:rPr>
                <w:rFonts w:eastAsia="仿宋_GB2312"/>
                <w:color w:val="auto"/>
                <w:szCs w:val="21"/>
              </w:rPr>
            </w:pPr>
            <w:r>
              <w:rPr>
                <w:rFonts w:eastAsia="仿宋_GB2312"/>
                <w:color w:val="auto"/>
                <w:szCs w:val="21"/>
              </w:rPr>
              <w:t>12565（大鼠）</w:t>
            </w:r>
          </w:p>
        </w:tc>
        <w:tc>
          <w:tcPr>
            <w:tcW w:w="1320" w:type="dxa"/>
            <w:vAlign w:val="center"/>
          </w:tcPr>
          <w:p w14:paraId="74D7C52F">
            <w:pPr>
              <w:spacing w:line="320" w:lineRule="exact"/>
              <w:jc w:val="center"/>
              <w:rPr>
                <w:rFonts w:eastAsia="仿宋_GB2312"/>
                <w:color w:val="auto"/>
                <w:szCs w:val="21"/>
              </w:rPr>
            </w:pPr>
            <w:r>
              <w:rPr>
                <w:rFonts w:eastAsia="仿宋_GB2312"/>
                <w:color w:val="auto"/>
                <w:szCs w:val="21"/>
              </w:rPr>
              <w:t>11890（兔）</w:t>
            </w:r>
          </w:p>
        </w:tc>
        <w:tc>
          <w:tcPr>
            <w:tcW w:w="1368" w:type="dxa"/>
            <w:vAlign w:val="center"/>
          </w:tcPr>
          <w:p w14:paraId="14B4861A">
            <w:pPr>
              <w:spacing w:line="320" w:lineRule="exact"/>
              <w:jc w:val="center"/>
              <w:rPr>
                <w:rFonts w:eastAsia="仿宋_GB2312"/>
                <w:color w:val="auto"/>
                <w:szCs w:val="21"/>
              </w:rPr>
            </w:pPr>
            <w:r>
              <w:rPr>
                <w:rFonts w:eastAsia="仿宋_GB2312"/>
                <w:color w:val="auto"/>
                <w:szCs w:val="21"/>
              </w:rPr>
              <w:t>/</w:t>
            </w:r>
          </w:p>
        </w:tc>
      </w:tr>
      <w:tr w14:paraId="3CD3058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353" w:type="dxa"/>
            <w:vAlign w:val="center"/>
          </w:tcPr>
          <w:p w14:paraId="69951BDA">
            <w:pPr>
              <w:adjustRightInd w:val="0"/>
              <w:snapToGrid w:val="0"/>
              <w:spacing w:line="320" w:lineRule="exact"/>
              <w:jc w:val="center"/>
              <w:rPr>
                <w:rFonts w:eastAsia="仿宋_GB2312"/>
                <w:color w:val="auto"/>
                <w:szCs w:val="21"/>
              </w:rPr>
            </w:pPr>
            <w:r>
              <w:rPr>
                <w:rFonts w:eastAsia="仿宋_GB2312"/>
                <w:color w:val="auto"/>
                <w:szCs w:val="21"/>
              </w:rPr>
              <w:t>聚乙二醇</w:t>
            </w:r>
          </w:p>
        </w:tc>
        <w:tc>
          <w:tcPr>
            <w:tcW w:w="900" w:type="dxa"/>
            <w:vAlign w:val="center"/>
          </w:tcPr>
          <w:p w14:paraId="185A6F03">
            <w:pPr>
              <w:spacing w:line="320" w:lineRule="exact"/>
              <w:jc w:val="center"/>
              <w:rPr>
                <w:rFonts w:eastAsia="仿宋_GB2312"/>
                <w:color w:val="auto"/>
                <w:szCs w:val="21"/>
              </w:rPr>
            </w:pPr>
            <w:r>
              <w:rPr>
                <w:rFonts w:eastAsia="仿宋_GB2312"/>
                <w:color w:val="auto"/>
                <w:szCs w:val="21"/>
              </w:rPr>
              <w:t>/</w:t>
            </w:r>
          </w:p>
        </w:tc>
        <w:tc>
          <w:tcPr>
            <w:tcW w:w="732" w:type="dxa"/>
            <w:vAlign w:val="center"/>
          </w:tcPr>
          <w:p w14:paraId="60618062">
            <w:pPr>
              <w:spacing w:line="320" w:lineRule="exact"/>
              <w:jc w:val="center"/>
              <w:rPr>
                <w:rFonts w:eastAsia="仿宋_GB2312"/>
                <w:color w:val="auto"/>
                <w:szCs w:val="21"/>
              </w:rPr>
            </w:pPr>
            <w:r>
              <w:rPr>
                <w:rFonts w:eastAsia="仿宋_GB2312"/>
                <w:color w:val="auto"/>
                <w:szCs w:val="21"/>
              </w:rPr>
              <w:t>/</w:t>
            </w:r>
          </w:p>
        </w:tc>
        <w:tc>
          <w:tcPr>
            <w:tcW w:w="840" w:type="dxa"/>
            <w:vAlign w:val="center"/>
          </w:tcPr>
          <w:p w14:paraId="17871595">
            <w:pPr>
              <w:spacing w:line="320" w:lineRule="exact"/>
              <w:jc w:val="center"/>
              <w:rPr>
                <w:rFonts w:eastAsia="仿宋_GB2312"/>
                <w:color w:val="auto"/>
                <w:szCs w:val="21"/>
              </w:rPr>
            </w:pPr>
            <w:r>
              <w:rPr>
                <w:rFonts w:eastAsia="仿宋_GB2312"/>
                <w:color w:val="auto"/>
                <w:szCs w:val="21"/>
              </w:rPr>
              <w:t>/</w:t>
            </w:r>
          </w:p>
        </w:tc>
        <w:tc>
          <w:tcPr>
            <w:tcW w:w="852" w:type="dxa"/>
            <w:vAlign w:val="center"/>
          </w:tcPr>
          <w:p w14:paraId="3453B0C6">
            <w:pPr>
              <w:spacing w:line="320" w:lineRule="exact"/>
              <w:jc w:val="center"/>
              <w:rPr>
                <w:rFonts w:eastAsia="仿宋_GB2312"/>
                <w:color w:val="auto"/>
                <w:szCs w:val="21"/>
              </w:rPr>
            </w:pPr>
            <w:r>
              <w:rPr>
                <w:rFonts w:eastAsia="仿宋_GB2312"/>
                <w:color w:val="auto"/>
                <w:szCs w:val="21"/>
              </w:rPr>
              <w:t>/</w:t>
            </w:r>
          </w:p>
        </w:tc>
        <w:tc>
          <w:tcPr>
            <w:tcW w:w="1845" w:type="dxa"/>
            <w:vAlign w:val="center"/>
          </w:tcPr>
          <w:p w14:paraId="09B165E3">
            <w:pPr>
              <w:spacing w:line="320" w:lineRule="exact"/>
              <w:jc w:val="center"/>
              <w:rPr>
                <w:rFonts w:eastAsia="仿宋_GB2312"/>
                <w:color w:val="auto"/>
                <w:szCs w:val="21"/>
              </w:rPr>
            </w:pPr>
            <w:r>
              <w:rPr>
                <w:rFonts w:eastAsia="仿宋_GB2312"/>
                <w:color w:val="auto"/>
                <w:szCs w:val="21"/>
              </w:rPr>
              <w:t>348000（小鼠）</w:t>
            </w:r>
          </w:p>
        </w:tc>
        <w:tc>
          <w:tcPr>
            <w:tcW w:w="1320" w:type="dxa"/>
            <w:vAlign w:val="center"/>
          </w:tcPr>
          <w:p w14:paraId="759E73A7">
            <w:pPr>
              <w:spacing w:line="320" w:lineRule="exact"/>
              <w:jc w:val="center"/>
              <w:rPr>
                <w:rFonts w:eastAsia="仿宋_GB2312"/>
                <w:color w:val="auto"/>
                <w:szCs w:val="21"/>
              </w:rPr>
            </w:pPr>
            <w:r>
              <w:rPr>
                <w:rFonts w:eastAsia="仿宋_GB2312"/>
                <w:color w:val="auto"/>
                <w:szCs w:val="21"/>
              </w:rPr>
              <w:t>/</w:t>
            </w:r>
          </w:p>
        </w:tc>
        <w:tc>
          <w:tcPr>
            <w:tcW w:w="1368" w:type="dxa"/>
            <w:vAlign w:val="center"/>
          </w:tcPr>
          <w:p w14:paraId="5AC7C4BA">
            <w:pPr>
              <w:spacing w:line="320" w:lineRule="exact"/>
              <w:jc w:val="center"/>
              <w:rPr>
                <w:rFonts w:eastAsia="仿宋_GB2312"/>
                <w:color w:val="auto"/>
                <w:szCs w:val="21"/>
              </w:rPr>
            </w:pPr>
            <w:r>
              <w:rPr>
                <w:rFonts w:eastAsia="仿宋_GB2312"/>
                <w:color w:val="auto"/>
                <w:szCs w:val="21"/>
              </w:rPr>
              <w:t>/</w:t>
            </w:r>
          </w:p>
        </w:tc>
      </w:tr>
      <w:tr w14:paraId="5BCCCA0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353" w:type="dxa"/>
            <w:vAlign w:val="center"/>
          </w:tcPr>
          <w:p w14:paraId="06883D2D">
            <w:pPr>
              <w:adjustRightInd w:val="0"/>
              <w:snapToGrid w:val="0"/>
              <w:spacing w:line="320" w:lineRule="exact"/>
              <w:jc w:val="center"/>
              <w:rPr>
                <w:rFonts w:eastAsia="仿宋_GB2312"/>
                <w:color w:val="auto"/>
                <w:szCs w:val="21"/>
              </w:rPr>
            </w:pPr>
            <w:r>
              <w:rPr>
                <w:rFonts w:eastAsia="仿宋_GB2312"/>
                <w:color w:val="auto"/>
                <w:szCs w:val="21"/>
              </w:rPr>
              <w:t>四氢呋喃</w:t>
            </w:r>
          </w:p>
        </w:tc>
        <w:tc>
          <w:tcPr>
            <w:tcW w:w="900" w:type="dxa"/>
            <w:vAlign w:val="center"/>
          </w:tcPr>
          <w:p w14:paraId="339FAA1C">
            <w:pPr>
              <w:spacing w:line="320" w:lineRule="exact"/>
              <w:jc w:val="center"/>
              <w:rPr>
                <w:rFonts w:eastAsia="仿宋_GB2312"/>
                <w:color w:val="auto"/>
                <w:szCs w:val="21"/>
              </w:rPr>
            </w:pPr>
            <w:r>
              <w:rPr>
                <w:rFonts w:eastAsia="仿宋_GB2312"/>
                <w:color w:val="auto"/>
                <w:szCs w:val="21"/>
              </w:rPr>
              <w:t>31042</w:t>
            </w:r>
          </w:p>
        </w:tc>
        <w:tc>
          <w:tcPr>
            <w:tcW w:w="732" w:type="dxa"/>
            <w:vAlign w:val="center"/>
          </w:tcPr>
          <w:p w14:paraId="0F4DC7F2">
            <w:pPr>
              <w:spacing w:line="320" w:lineRule="exact"/>
              <w:jc w:val="center"/>
              <w:rPr>
                <w:rFonts w:eastAsia="仿宋_GB2312"/>
                <w:color w:val="auto"/>
                <w:szCs w:val="21"/>
              </w:rPr>
            </w:pPr>
            <w:r>
              <w:rPr>
                <w:rFonts w:eastAsia="仿宋_GB2312"/>
                <w:color w:val="auto"/>
                <w:szCs w:val="21"/>
              </w:rPr>
              <w:t>-20</w:t>
            </w:r>
          </w:p>
        </w:tc>
        <w:tc>
          <w:tcPr>
            <w:tcW w:w="840" w:type="dxa"/>
            <w:vAlign w:val="center"/>
          </w:tcPr>
          <w:p w14:paraId="35FC453D">
            <w:pPr>
              <w:spacing w:line="320" w:lineRule="exact"/>
              <w:jc w:val="center"/>
              <w:rPr>
                <w:rFonts w:eastAsia="仿宋_GB2312"/>
                <w:color w:val="auto"/>
                <w:szCs w:val="21"/>
              </w:rPr>
            </w:pPr>
            <w:r>
              <w:rPr>
                <w:rFonts w:eastAsia="仿宋_GB2312"/>
                <w:color w:val="auto"/>
                <w:szCs w:val="21"/>
              </w:rPr>
              <w:t>65.4</w:t>
            </w:r>
          </w:p>
        </w:tc>
        <w:tc>
          <w:tcPr>
            <w:tcW w:w="852" w:type="dxa"/>
            <w:vAlign w:val="center"/>
          </w:tcPr>
          <w:p w14:paraId="29F90316">
            <w:pPr>
              <w:spacing w:line="320" w:lineRule="exact"/>
              <w:jc w:val="center"/>
              <w:rPr>
                <w:rFonts w:eastAsia="仿宋_GB2312"/>
                <w:color w:val="auto"/>
                <w:szCs w:val="21"/>
              </w:rPr>
            </w:pPr>
            <w:r>
              <w:rPr>
                <w:rFonts w:eastAsia="仿宋_GB2312"/>
                <w:color w:val="auto"/>
                <w:szCs w:val="21"/>
              </w:rPr>
              <w:t>-108.5</w:t>
            </w:r>
          </w:p>
        </w:tc>
        <w:tc>
          <w:tcPr>
            <w:tcW w:w="1845" w:type="dxa"/>
            <w:vAlign w:val="center"/>
          </w:tcPr>
          <w:p w14:paraId="50F8393C">
            <w:pPr>
              <w:spacing w:line="320" w:lineRule="exact"/>
              <w:jc w:val="center"/>
              <w:rPr>
                <w:rFonts w:eastAsia="仿宋_GB2312"/>
                <w:color w:val="auto"/>
                <w:szCs w:val="21"/>
              </w:rPr>
            </w:pPr>
            <w:r>
              <w:rPr>
                <w:rFonts w:eastAsia="仿宋_GB2312"/>
                <w:color w:val="auto"/>
                <w:szCs w:val="21"/>
              </w:rPr>
              <w:t>1650（大鼠）</w:t>
            </w:r>
          </w:p>
        </w:tc>
        <w:tc>
          <w:tcPr>
            <w:tcW w:w="1320" w:type="dxa"/>
            <w:vAlign w:val="center"/>
          </w:tcPr>
          <w:p w14:paraId="5DB88F42">
            <w:pPr>
              <w:spacing w:line="320" w:lineRule="exact"/>
              <w:jc w:val="center"/>
              <w:rPr>
                <w:rFonts w:eastAsia="仿宋_GB2312"/>
                <w:color w:val="auto"/>
                <w:szCs w:val="21"/>
              </w:rPr>
            </w:pPr>
            <w:r>
              <w:rPr>
                <w:rFonts w:eastAsia="仿宋_GB2312"/>
                <w:color w:val="auto"/>
                <w:szCs w:val="21"/>
              </w:rPr>
              <w:t>/</w:t>
            </w:r>
          </w:p>
        </w:tc>
        <w:tc>
          <w:tcPr>
            <w:tcW w:w="1368" w:type="dxa"/>
            <w:vAlign w:val="center"/>
          </w:tcPr>
          <w:p w14:paraId="0C5CB65D">
            <w:pPr>
              <w:spacing w:line="320" w:lineRule="exact"/>
              <w:jc w:val="center"/>
              <w:rPr>
                <w:rFonts w:eastAsia="仿宋_GB2312"/>
                <w:color w:val="auto"/>
                <w:szCs w:val="21"/>
              </w:rPr>
            </w:pPr>
            <w:r>
              <w:rPr>
                <w:rFonts w:eastAsia="仿宋_GB2312"/>
                <w:color w:val="auto"/>
                <w:szCs w:val="21"/>
              </w:rPr>
              <w:t>/</w:t>
            </w:r>
          </w:p>
        </w:tc>
      </w:tr>
      <w:tr w14:paraId="6AD9F0A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353" w:type="dxa"/>
            <w:vAlign w:val="center"/>
          </w:tcPr>
          <w:p w14:paraId="5A6F49E1">
            <w:pPr>
              <w:adjustRightInd w:val="0"/>
              <w:snapToGrid w:val="0"/>
              <w:spacing w:line="320" w:lineRule="exact"/>
              <w:jc w:val="center"/>
              <w:rPr>
                <w:rFonts w:eastAsia="仿宋_GB2312"/>
                <w:color w:val="auto"/>
                <w:szCs w:val="21"/>
              </w:rPr>
            </w:pPr>
            <w:r>
              <w:rPr>
                <w:rFonts w:eastAsia="仿宋_GB2312"/>
                <w:color w:val="auto"/>
                <w:szCs w:val="21"/>
              </w:rPr>
              <w:t>乙腈</w:t>
            </w:r>
          </w:p>
        </w:tc>
        <w:tc>
          <w:tcPr>
            <w:tcW w:w="900" w:type="dxa"/>
            <w:vAlign w:val="center"/>
          </w:tcPr>
          <w:p w14:paraId="7A7226AF">
            <w:pPr>
              <w:spacing w:line="320" w:lineRule="exact"/>
              <w:jc w:val="center"/>
              <w:rPr>
                <w:rFonts w:eastAsia="仿宋_GB2312"/>
                <w:color w:val="auto"/>
                <w:szCs w:val="21"/>
              </w:rPr>
            </w:pPr>
            <w:r>
              <w:rPr>
                <w:rFonts w:eastAsia="仿宋_GB2312"/>
                <w:color w:val="auto"/>
                <w:szCs w:val="21"/>
              </w:rPr>
              <w:t>32159</w:t>
            </w:r>
          </w:p>
        </w:tc>
        <w:tc>
          <w:tcPr>
            <w:tcW w:w="732" w:type="dxa"/>
            <w:vAlign w:val="center"/>
          </w:tcPr>
          <w:p w14:paraId="084301A3">
            <w:pPr>
              <w:spacing w:line="320" w:lineRule="exact"/>
              <w:jc w:val="center"/>
              <w:rPr>
                <w:rFonts w:eastAsia="仿宋_GB2312"/>
                <w:color w:val="auto"/>
                <w:szCs w:val="21"/>
              </w:rPr>
            </w:pPr>
            <w:r>
              <w:rPr>
                <w:rFonts w:eastAsia="仿宋_GB2312"/>
                <w:color w:val="auto"/>
                <w:szCs w:val="21"/>
              </w:rPr>
              <w:t>2</w:t>
            </w:r>
          </w:p>
        </w:tc>
        <w:tc>
          <w:tcPr>
            <w:tcW w:w="840" w:type="dxa"/>
            <w:vAlign w:val="center"/>
          </w:tcPr>
          <w:p w14:paraId="0DA279A6">
            <w:pPr>
              <w:spacing w:line="320" w:lineRule="exact"/>
              <w:jc w:val="center"/>
              <w:rPr>
                <w:rFonts w:eastAsia="仿宋_GB2312"/>
                <w:color w:val="auto"/>
                <w:szCs w:val="21"/>
              </w:rPr>
            </w:pPr>
            <w:r>
              <w:rPr>
                <w:rFonts w:eastAsia="仿宋_GB2312"/>
                <w:color w:val="auto"/>
                <w:szCs w:val="21"/>
              </w:rPr>
              <w:t>81.1</w:t>
            </w:r>
          </w:p>
        </w:tc>
        <w:tc>
          <w:tcPr>
            <w:tcW w:w="852" w:type="dxa"/>
            <w:vAlign w:val="center"/>
          </w:tcPr>
          <w:p w14:paraId="2D2187F5">
            <w:pPr>
              <w:spacing w:line="320" w:lineRule="exact"/>
              <w:jc w:val="center"/>
              <w:rPr>
                <w:rFonts w:eastAsia="仿宋_GB2312"/>
                <w:color w:val="auto"/>
                <w:szCs w:val="21"/>
              </w:rPr>
            </w:pPr>
            <w:r>
              <w:rPr>
                <w:rFonts w:eastAsia="仿宋_GB2312"/>
                <w:color w:val="auto"/>
                <w:szCs w:val="21"/>
              </w:rPr>
              <w:t>-45.7</w:t>
            </w:r>
          </w:p>
        </w:tc>
        <w:tc>
          <w:tcPr>
            <w:tcW w:w="1845" w:type="dxa"/>
            <w:vAlign w:val="center"/>
          </w:tcPr>
          <w:p w14:paraId="7A6993BF">
            <w:pPr>
              <w:spacing w:line="320" w:lineRule="exact"/>
              <w:jc w:val="center"/>
              <w:rPr>
                <w:rFonts w:eastAsia="仿宋_GB2312"/>
                <w:color w:val="auto"/>
                <w:szCs w:val="21"/>
              </w:rPr>
            </w:pPr>
            <w:r>
              <w:rPr>
                <w:rFonts w:eastAsia="仿宋_GB2312"/>
                <w:color w:val="auto"/>
                <w:szCs w:val="21"/>
              </w:rPr>
              <w:t>2730（大鼠）</w:t>
            </w:r>
          </w:p>
        </w:tc>
        <w:tc>
          <w:tcPr>
            <w:tcW w:w="1320" w:type="dxa"/>
            <w:vAlign w:val="center"/>
          </w:tcPr>
          <w:p w14:paraId="3F560D1C">
            <w:pPr>
              <w:spacing w:line="320" w:lineRule="exact"/>
              <w:jc w:val="center"/>
              <w:rPr>
                <w:rFonts w:eastAsia="仿宋_GB2312"/>
                <w:color w:val="auto"/>
                <w:szCs w:val="21"/>
              </w:rPr>
            </w:pPr>
            <w:r>
              <w:rPr>
                <w:rFonts w:eastAsia="仿宋_GB2312"/>
                <w:color w:val="auto"/>
                <w:szCs w:val="21"/>
              </w:rPr>
              <w:t>1250（兔）</w:t>
            </w:r>
          </w:p>
        </w:tc>
        <w:tc>
          <w:tcPr>
            <w:tcW w:w="1368" w:type="dxa"/>
            <w:vAlign w:val="center"/>
          </w:tcPr>
          <w:p w14:paraId="6341B56D">
            <w:pPr>
              <w:spacing w:line="320" w:lineRule="exact"/>
              <w:jc w:val="center"/>
              <w:rPr>
                <w:rFonts w:eastAsia="仿宋_GB2312"/>
                <w:color w:val="auto"/>
                <w:szCs w:val="21"/>
              </w:rPr>
            </w:pPr>
            <w:r>
              <w:rPr>
                <w:rFonts w:eastAsia="仿宋_GB2312"/>
                <w:color w:val="auto"/>
                <w:szCs w:val="21"/>
              </w:rPr>
              <w:t>12663（大鼠、8小时）</w:t>
            </w:r>
          </w:p>
        </w:tc>
      </w:tr>
      <w:tr w14:paraId="6FB829B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353" w:type="dxa"/>
            <w:vAlign w:val="center"/>
          </w:tcPr>
          <w:p w14:paraId="45F269F9">
            <w:pPr>
              <w:adjustRightInd w:val="0"/>
              <w:snapToGrid w:val="0"/>
              <w:spacing w:line="320" w:lineRule="exact"/>
              <w:jc w:val="center"/>
              <w:rPr>
                <w:rFonts w:eastAsia="仿宋_GB2312"/>
                <w:color w:val="auto"/>
                <w:szCs w:val="21"/>
              </w:rPr>
            </w:pPr>
            <w:r>
              <w:rPr>
                <w:rFonts w:eastAsia="仿宋_GB2312"/>
                <w:color w:val="auto"/>
                <w:szCs w:val="21"/>
              </w:rPr>
              <w:t>丙二醇单甲醚</w:t>
            </w:r>
          </w:p>
        </w:tc>
        <w:tc>
          <w:tcPr>
            <w:tcW w:w="900" w:type="dxa"/>
            <w:vAlign w:val="center"/>
          </w:tcPr>
          <w:p w14:paraId="7FD8428E">
            <w:pPr>
              <w:spacing w:line="320" w:lineRule="exact"/>
              <w:jc w:val="center"/>
              <w:rPr>
                <w:rFonts w:eastAsia="仿宋_GB2312"/>
                <w:color w:val="auto"/>
                <w:szCs w:val="21"/>
              </w:rPr>
            </w:pPr>
            <w:r>
              <w:rPr>
                <w:rFonts w:eastAsia="仿宋_GB2312"/>
                <w:color w:val="auto"/>
                <w:szCs w:val="21"/>
              </w:rPr>
              <w:t>/</w:t>
            </w:r>
          </w:p>
        </w:tc>
        <w:tc>
          <w:tcPr>
            <w:tcW w:w="732" w:type="dxa"/>
            <w:vAlign w:val="center"/>
          </w:tcPr>
          <w:p w14:paraId="267E3E45">
            <w:pPr>
              <w:spacing w:line="320" w:lineRule="exact"/>
              <w:jc w:val="center"/>
              <w:rPr>
                <w:rFonts w:eastAsia="仿宋_GB2312"/>
                <w:color w:val="auto"/>
                <w:szCs w:val="21"/>
              </w:rPr>
            </w:pPr>
            <w:r>
              <w:rPr>
                <w:rFonts w:eastAsia="仿宋_GB2312"/>
                <w:color w:val="auto"/>
                <w:szCs w:val="21"/>
              </w:rPr>
              <w:t>33</w:t>
            </w:r>
          </w:p>
        </w:tc>
        <w:tc>
          <w:tcPr>
            <w:tcW w:w="840" w:type="dxa"/>
            <w:vAlign w:val="center"/>
          </w:tcPr>
          <w:p w14:paraId="54279A22">
            <w:pPr>
              <w:spacing w:line="320" w:lineRule="exact"/>
              <w:jc w:val="center"/>
              <w:rPr>
                <w:rFonts w:eastAsia="仿宋_GB2312"/>
                <w:color w:val="auto"/>
                <w:szCs w:val="21"/>
              </w:rPr>
            </w:pPr>
            <w:r>
              <w:rPr>
                <w:rFonts w:eastAsia="仿宋_GB2312"/>
                <w:color w:val="auto"/>
                <w:szCs w:val="21"/>
              </w:rPr>
              <w:t>118-119</w:t>
            </w:r>
          </w:p>
        </w:tc>
        <w:tc>
          <w:tcPr>
            <w:tcW w:w="852" w:type="dxa"/>
            <w:vAlign w:val="center"/>
          </w:tcPr>
          <w:p w14:paraId="0E50E59E">
            <w:pPr>
              <w:spacing w:line="320" w:lineRule="exact"/>
              <w:jc w:val="center"/>
              <w:rPr>
                <w:rFonts w:eastAsia="仿宋_GB2312"/>
                <w:color w:val="auto"/>
                <w:szCs w:val="21"/>
              </w:rPr>
            </w:pPr>
            <w:r>
              <w:rPr>
                <w:rFonts w:eastAsia="仿宋_GB2312"/>
                <w:color w:val="auto"/>
                <w:szCs w:val="21"/>
              </w:rPr>
              <w:t>-97</w:t>
            </w:r>
          </w:p>
        </w:tc>
        <w:tc>
          <w:tcPr>
            <w:tcW w:w="1845" w:type="dxa"/>
            <w:vAlign w:val="center"/>
          </w:tcPr>
          <w:p w14:paraId="50859B04">
            <w:pPr>
              <w:spacing w:line="320" w:lineRule="exact"/>
              <w:jc w:val="center"/>
              <w:rPr>
                <w:rFonts w:eastAsia="仿宋_GB2312"/>
                <w:color w:val="auto"/>
                <w:szCs w:val="21"/>
              </w:rPr>
            </w:pPr>
            <w:r>
              <w:rPr>
                <w:rFonts w:eastAsia="仿宋_GB2312"/>
                <w:color w:val="auto"/>
                <w:szCs w:val="21"/>
              </w:rPr>
              <w:t>3739（大鼠）</w:t>
            </w:r>
          </w:p>
          <w:p w14:paraId="3098C045">
            <w:pPr>
              <w:spacing w:line="320" w:lineRule="exact"/>
              <w:jc w:val="center"/>
              <w:rPr>
                <w:rFonts w:eastAsia="仿宋_GB2312"/>
                <w:color w:val="auto"/>
                <w:szCs w:val="21"/>
              </w:rPr>
            </w:pPr>
            <w:r>
              <w:rPr>
                <w:rFonts w:eastAsia="仿宋_GB2312"/>
                <w:color w:val="auto"/>
                <w:szCs w:val="21"/>
              </w:rPr>
              <w:t>11700（小鼠）</w:t>
            </w:r>
          </w:p>
        </w:tc>
        <w:tc>
          <w:tcPr>
            <w:tcW w:w="1320" w:type="dxa"/>
            <w:vAlign w:val="center"/>
          </w:tcPr>
          <w:p w14:paraId="6F14EC68">
            <w:pPr>
              <w:spacing w:line="320" w:lineRule="exact"/>
              <w:jc w:val="center"/>
              <w:rPr>
                <w:rFonts w:eastAsia="仿宋_GB2312"/>
                <w:color w:val="auto"/>
                <w:szCs w:val="21"/>
              </w:rPr>
            </w:pPr>
            <w:r>
              <w:rPr>
                <w:rFonts w:eastAsia="仿宋_GB2312"/>
                <w:color w:val="auto"/>
                <w:szCs w:val="21"/>
              </w:rPr>
              <w:t>/</w:t>
            </w:r>
          </w:p>
        </w:tc>
        <w:tc>
          <w:tcPr>
            <w:tcW w:w="1368" w:type="dxa"/>
            <w:vAlign w:val="center"/>
          </w:tcPr>
          <w:p w14:paraId="10BE4DB7">
            <w:pPr>
              <w:spacing w:line="320" w:lineRule="exact"/>
              <w:jc w:val="center"/>
              <w:rPr>
                <w:rFonts w:eastAsia="仿宋_GB2312"/>
                <w:color w:val="auto"/>
                <w:szCs w:val="21"/>
              </w:rPr>
            </w:pPr>
            <w:r>
              <w:rPr>
                <w:rFonts w:eastAsia="仿宋_GB2312"/>
                <w:color w:val="auto"/>
                <w:szCs w:val="21"/>
              </w:rPr>
              <w:t>/</w:t>
            </w:r>
          </w:p>
        </w:tc>
      </w:tr>
      <w:tr w14:paraId="60F5C34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353" w:type="dxa"/>
            <w:vAlign w:val="center"/>
          </w:tcPr>
          <w:p w14:paraId="072623B6">
            <w:pPr>
              <w:adjustRightInd w:val="0"/>
              <w:snapToGrid w:val="0"/>
              <w:spacing w:line="320" w:lineRule="exact"/>
              <w:jc w:val="center"/>
              <w:rPr>
                <w:rFonts w:eastAsia="仿宋_GB2312"/>
                <w:color w:val="auto"/>
                <w:szCs w:val="21"/>
              </w:rPr>
            </w:pPr>
            <w:r>
              <w:rPr>
                <w:rFonts w:eastAsia="仿宋_GB2312"/>
                <w:color w:val="auto"/>
                <w:szCs w:val="21"/>
              </w:rPr>
              <w:t>丙二醇单甲醚乙酸酯</w:t>
            </w:r>
          </w:p>
        </w:tc>
        <w:tc>
          <w:tcPr>
            <w:tcW w:w="900" w:type="dxa"/>
            <w:vAlign w:val="center"/>
          </w:tcPr>
          <w:p w14:paraId="5D34ADE5">
            <w:pPr>
              <w:spacing w:line="320" w:lineRule="exact"/>
              <w:jc w:val="center"/>
              <w:rPr>
                <w:rFonts w:eastAsia="仿宋_GB2312"/>
                <w:color w:val="auto"/>
                <w:szCs w:val="21"/>
              </w:rPr>
            </w:pPr>
            <w:r>
              <w:rPr>
                <w:rFonts w:eastAsia="仿宋_GB2312"/>
                <w:color w:val="auto"/>
                <w:szCs w:val="21"/>
              </w:rPr>
              <w:t>/</w:t>
            </w:r>
          </w:p>
        </w:tc>
        <w:tc>
          <w:tcPr>
            <w:tcW w:w="732" w:type="dxa"/>
            <w:vAlign w:val="center"/>
          </w:tcPr>
          <w:p w14:paraId="49000D8C">
            <w:pPr>
              <w:spacing w:line="320" w:lineRule="exact"/>
              <w:jc w:val="center"/>
              <w:rPr>
                <w:rFonts w:eastAsia="仿宋_GB2312"/>
                <w:color w:val="auto"/>
                <w:szCs w:val="21"/>
              </w:rPr>
            </w:pPr>
            <w:r>
              <w:rPr>
                <w:rFonts w:eastAsia="仿宋_GB2312"/>
                <w:color w:val="auto"/>
                <w:szCs w:val="21"/>
              </w:rPr>
              <w:t>47.9</w:t>
            </w:r>
          </w:p>
        </w:tc>
        <w:tc>
          <w:tcPr>
            <w:tcW w:w="840" w:type="dxa"/>
            <w:vAlign w:val="center"/>
          </w:tcPr>
          <w:p w14:paraId="22148828">
            <w:pPr>
              <w:spacing w:line="320" w:lineRule="exact"/>
              <w:jc w:val="center"/>
              <w:rPr>
                <w:rFonts w:eastAsia="仿宋_GB2312"/>
                <w:color w:val="auto"/>
                <w:szCs w:val="21"/>
              </w:rPr>
            </w:pPr>
            <w:r>
              <w:rPr>
                <w:rFonts w:eastAsia="仿宋_GB2312"/>
                <w:color w:val="auto"/>
                <w:szCs w:val="21"/>
              </w:rPr>
              <w:t>146</w:t>
            </w:r>
          </w:p>
        </w:tc>
        <w:tc>
          <w:tcPr>
            <w:tcW w:w="852" w:type="dxa"/>
            <w:vAlign w:val="center"/>
          </w:tcPr>
          <w:p w14:paraId="08B82746">
            <w:pPr>
              <w:spacing w:line="320" w:lineRule="exact"/>
              <w:jc w:val="center"/>
              <w:rPr>
                <w:rFonts w:eastAsia="仿宋_GB2312"/>
                <w:color w:val="auto"/>
                <w:szCs w:val="21"/>
              </w:rPr>
            </w:pPr>
            <w:r>
              <w:rPr>
                <w:rFonts w:eastAsia="仿宋_GB2312"/>
                <w:color w:val="auto"/>
                <w:szCs w:val="21"/>
              </w:rPr>
              <w:t>-87</w:t>
            </w:r>
          </w:p>
        </w:tc>
        <w:tc>
          <w:tcPr>
            <w:tcW w:w="1845" w:type="dxa"/>
            <w:vAlign w:val="center"/>
          </w:tcPr>
          <w:p w14:paraId="1BC75983">
            <w:pPr>
              <w:spacing w:line="320" w:lineRule="exact"/>
              <w:jc w:val="center"/>
              <w:rPr>
                <w:rFonts w:eastAsia="仿宋_GB2312"/>
                <w:color w:val="auto"/>
                <w:szCs w:val="21"/>
              </w:rPr>
            </w:pPr>
            <w:r>
              <w:rPr>
                <w:rFonts w:eastAsia="仿宋_GB2312"/>
                <w:color w:val="auto"/>
                <w:szCs w:val="21"/>
              </w:rPr>
              <w:t>3739（大鼠）</w:t>
            </w:r>
          </w:p>
          <w:p w14:paraId="49C1A917">
            <w:pPr>
              <w:spacing w:line="320" w:lineRule="exact"/>
              <w:jc w:val="center"/>
              <w:rPr>
                <w:rFonts w:eastAsia="仿宋_GB2312"/>
                <w:color w:val="auto"/>
                <w:szCs w:val="21"/>
              </w:rPr>
            </w:pPr>
            <w:r>
              <w:rPr>
                <w:rFonts w:eastAsia="仿宋_GB2312"/>
                <w:color w:val="auto"/>
                <w:szCs w:val="21"/>
              </w:rPr>
              <w:t>11700（小鼠）</w:t>
            </w:r>
          </w:p>
        </w:tc>
        <w:tc>
          <w:tcPr>
            <w:tcW w:w="1320" w:type="dxa"/>
            <w:vAlign w:val="center"/>
          </w:tcPr>
          <w:p w14:paraId="2580C188">
            <w:pPr>
              <w:spacing w:line="320" w:lineRule="exact"/>
              <w:jc w:val="center"/>
              <w:rPr>
                <w:rFonts w:eastAsia="仿宋_GB2312"/>
                <w:color w:val="auto"/>
                <w:szCs w:val="21"/>
              </w:rPr>
            </w:pPr>
            <w:r>
              <w:rPr>
                <w:rFonts w:eastAsia="仿宋_GB2312"/>
                <w:color w:val="auto"/>
                <w:szCs w:val="21"/>
              </w:rPr>
              <w:t>/</w:t>
            </w:r>
          </w:p>
        </w:tc>
        <w:tc>
          <w:tcPr>
            <w:tcW w:w="1368" w:type="dxa"/>
            <w:vAlign w:val="center"/>
          </w:tcPr>
          <w:p w14:paraId="578D40A4">
            <w:pPr>
              <w:spacing w:line="320" w:lineRule="exact"/>
              <w:jc w:val="center"/>
              <w:rPr>
                <w:rFonts w:eastAsia="仿宋_GB2312"/>
                <w:color w:val="auto"/>
                <w:szCs w:val="21"/>
              </w:rPr>
            </w:pPr>
            <w:r>
              <w:rPr>
                <w:rFonts w:eastAsia="仿宋_GB2312"/>
                <w:color w:val="auto"/>
                <w:szCs w:val="21"/>
              </w:rPr>
              <w:t>/</w:t>
            </w:r>
          </w:p>
        </w:tc>
      </w:tr>
      <w:tr w14:paraId="2299D03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353" w:type="dxa"/>
            <w:vAlign w:val="center"/>
          </w:tcPr>
          <w:p w14:paraId="4F520DC7">
            <w:pPr>
              <w:adjustRightInd w:val="0"/>
              <w:snapToGrid w:val="0"/>
              <w:spacing w:line="320" w:lineRule="exact"/>
              <w:jc w:val="center"/>
              <w:rPr>
                <w:rFonts w:eastAsia="仿宋_GB2312"/>
                <w:color w:val="auto"/>
                <w:szCs w:val="21"/>
              </w:rPr>
            </w:pPr>
            <w:r>
              <w:rPr>
                <w:rFonts w:eastAsia="仿宋_GB2312"/>
                <w:color w:val="auto"/>
                <w:szCs w:val="21"/>
              </w:rPr>
              <w:t>环戊酮</w:t>
            </w:r>
          </w:p>
        </w:tc>
        <w:tc>
          <w:tcPr>
            <w:tcW w:w="900" w:type="dxa"/>
            <w:vAlign w:val="center"/>
          </w:tcPr>
          <w:p w14:paraId="19E77CF6">
            <w:pPr>
              <w:spacing w:line="320" w:lineRule="exact"/>
              <w:jc w:val="center"/>
              <w:rPr>
                <w:rFonts w:eastAsia="仿宋_GB2312"/>
                <w:color w:val="auto"/>
                <w:szCs w:val="21"/>
              </w:rPr>
            </w:pPr>
            <w:r>
              <w:rPr>
                <w:rFonts w:eastAsia="仿宋_GB2312"/>
                <w:color w:val="auto"/>
                <w:szCs w:val="21"/>
              </w:rPr>
              <w:t>33590</w:t>
            </w:r>
          </w:p>
        </w:tc>
        <w:tc>
          <w:tcPr>
            <w:tcW w:w="732" w:type="dxa"/>
            <w:vAlign w:val="center"/>
          </w:tcPr>
          <w:p w14:paraId="60B1B1E5">
            <w:pPr>
              <w:spacing w:line="320" w:lineRule="exact"/>
              <w:jc w:val="center"/>
              <w:rPr>
                <w:rFonts w:eastAsia="仿宋_GB2312"/>
                <w:color w:val="auto"/>
                <w:szCs w:val="21"/>
              </w:rPr>
            </w:pPr>
            <w:r>
              <w:rPr>
                <w:rFonts w:eastAsia="仿宋_GB2312"/>
                <w:color w:val="auto"/>
                <w:szCs w:val="21"/>
              </w:rPr>
              <w:t>/</w:t>
            </w:r>
          </w:p>
        </w:tc>
        <w:tc>
          <w:tcPr>
            <w:tcW w:w="840" w:type="dxa"/>
            <w:vAlign w:val="center"/>
          </w:tcPr>
          <w:p w14:paraId="1C0297CD">
            <w:pPr>
              <w:spacing w:line="320" w:lineRule="exact"/>
              <w:jc w:val="center"/>
              <w:rPr>
                <w:rFonts w:eastAsia="仿宋_GB2312"/>
                <w:color w:val="auto"/>
                <w:szCs w:val="21"/>
              </w:rPr>
            </w:pPr>
            <w:r>
              <w:rPr>
                <w:rFonts w:eastAsia="仿宋_GB2312"/>
                <w:color w:val="auto"/>
                <w:szCs w:val="21"/>
              </w:rPr>
              <w:t>130.6</w:t>
            </w:r>
          </w:p>
        </w:tc>
        <w:tc>
          <w:tcPr>
            <w:tcW w:w="852" w:type="dxa"/>
            <w:vAlign w:val="center"/>
          </w:tcPr>
          <w:p w14:paraId="2A8665BF">
            <w:pPr>
              <w:spacing w:line="320" w:lineRule="exact"/>
              <w:jc w:val="center"/>
              <w:rPr>
                <w:rFonts w:eastAsia="仿宋_GB2312"/>
                <w:color w:val="auto"/>
                <w:szCs w:val="21"/>
              </w:rPr>
            </w:pPr>
            <w:r>
              <w:rPr>
                <w:rFonts w:eastAsia="仿宋_GB2312"/>
                <w:color w:val="auto"/>
                <w:szCs w:val="21"/>
              </w:rPr>
              <w:t>-58.2</w:t>
            </w:r>
          </w:p>
        </w:tc>
        <w:tc>
          <w:tcPr>
            <w:tcW w:w="1845" w:type="dxa"/>
            <w:vAlign w:val="center"/>
          </w:tcPr>
          <w:p w14:paraId="00FA14CD">
            <w:pPr>
              <w:spacing w:line="320" w:lineRule="exact"/>
              <w:jc w:val="center"/>
              <w:rPr>
                <w:rFonts w:eastAsia="仿宋_GB2312"/>
                <w:color w:val="auto"/>
                <w:szCs w:val="21"/>
              </w:rPr>
            </w:pPr>
            <w:r>
              <w:rPr>
                <w:rFonts w:eastAsia="仿宋_GB2312"/>
                <w:color w:val="auto"/>
                <w:szCs w:val="21"/>
              </w:rPr>
              <w:t>/</w:t>
            </w:r>
          </w:p>
        </w:tc>
        <w:tc>
          <w:tcPr>
            <w:tcW w:w="1320" w:type="dxa"/>
            <w:vAlign w:val="center"/>
          </w:tcPr>
          <w:p w14:paraId="14FCA9BB">
            <w:pPr>
              <w:spacing w:line="320" w:lineRule="exact"/>
              <w:jc w:val="center"/>
              <w:rPr>
                <w:rFonts w:eastAsia="仿宋_GB2312"/>
                <w:color w:val="auto"/>
                <w:szCs w:val="21"/>
              </w:rPr>
            </w:pPr>
            <w:r>
              <w:rPr>
                <w:rFonts w:eastAsia="仿宋_GB2312"/>
                <w:color w:val="auto"/>
                <w:szCs w:val="21"/>
              </w:rPr>
              <w:t>/</w:t>
            </w:r>
          </w:p>
        </w:tc>
        <w:tc>
          <w:tcPr>
            <w:tcW w:w="1368" w:type="dxa"/>
            <w:vAlign w:val="center"/>
          </w:tcPr>
          <w:p w14:paraId="3C0839AF">
            <w:pPr>
              <w:spacing w:line="320" w:lineRule="exact"/>
              <w:jc w:val="center"/>
              <w:rPr>
                <w:rFonts w:eastAsia="仿宋_GB2312"/>
                <w:color w:val="auto"/>
                <w:szCs w:val="21"/>
              </w:rPr>
            </w:pPr>
            <w:r>
              <w:rPr>
                <w:rFonts w:eastAsia="仿宋_GB2312"/>
                <w:color w:val="auto"/>
                <w:szCs w:val="21"/>
              </w:rPr>
              <w:t>/</w:t>
            </w:r>
          </w:p>
        </w:tc>
      </w:tr>
      <w:tr w14:paraId="383E052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353" w:type="dxa"/>
            <w:vAlign w:val="center"/>
          </w:tcPr>
          <w:p w14:paraId="0296C47A">
            <w:pPr>
              <w:adjustRightInd w:val="0"/>
              <w:snapToGrid w:val="0"/>
              <w:spacing w:line="320" w:lineRule="exact"/>
              <w:jc w:val="center"/>
              <w:rPr>
                <w:rFonts w:eastAsia="仿宋_GB2312"/>
                <w:color w:val="auto"/>
                <w:szCs w:val="21"/>
              </w:rPr>
            </w:pPr>
            <w:r>
              <w:rPr>
                <w:rFonts w:eastAsia="仿宋_GB2312"/>
                <w:color w:val="auto"/>
                <w:szCs w:val="21"/>
              </w:rPr>
              <w:t>甲酸乙酯</w:t>
            </w:r>
          </w:p>
        </w:tc>
        <w:tc>
          <w:tcPr>
            <w:tcW w:w="900" w:type="dxa"/>
            <w:vAlign w:val="center"/>
          </w:tcPr>
          <w:p w14:paraId="6CFC272D">
            <w:pPr>
              <w:spacing w:line="320" w:lineRule="exact"/>
              <w:jc w:val="center"/>
              <w:rPr>
                <w:rFonts w:eastAsia="仿宋_GB2312"/>
                <w:color w:val="auto"/>
                <w:szCs w:val="21"/>
              </w:rPr>
            </w:pPr>
            <w:r>
              <w:rPr>
                <w:rFonts w:eastAsia="仿宋_GB2312"/>
                <w:color w:val="auto"/>
                <w:szCs w:val="21"/>
              </w:rPr>
              <w:t>31038</w:t>
            </w:r>
          </w:p>
        </w:tc>
        <w:tc>
          <w:tcPr>
            <w:tcW w:w="732" w:type="dxa"/>
            <w:vAlign w:val="center"/>
          </w:tcPr>
          <w:p w14:paraId="2077E5A9">
            <w:pPr>
              <w:spacing w:line="320" w:lineRule="exact"/>
              <w:jc w:val="center"/>
              <w:rPr>
                <w:rFonts w:eastAsia="仿宋_GB2312"/>
                <w:color w:val="auto"/>
                <w:szCs w:val="21"/>
              </w:rPr>
            </w:pPr>
            <w:r>
              <w:rPr>
                <w:rFonts w:eastAsia="仿宋_GB2312"/>
                <w:color w:val="auto"/>
                <w:szCs w:val="21"/>
              </w:rPr>
              <w:t>/</w:t>
            </w:r>
          </w:p>
        </w:tc>
        <w:tc>
          <w:tcPr>
            <w:tcW w:w="840" w:type="dxa"/>
            <w:vAlign w:val="center"/>
          </w:tcPr>
          <w:p w14:paraId="32B235A0">
            <w:pPr>
              <w:spacing w:line="320" w:lineRule="exact"/>
              <w:jc w:val="center"/>
              <w:rPr>
                <w:rFonts w:eastAsia="仿宋_GB2312"/>
                <w:color w:val="auto"/>
                <w:szCs w:val="21"/>
              </w:rPr>
            </w:pPr>
            <w:r>
              <w:rPr>
                <w:rFonts w:eastAsia="仿宋_GB2312"/>
                <w:color w:val="auto"/>
                <w:szCs w:val="21"/>
              </w:rPr>
              <w:t>54.3</w:t>
            </w:r>
          </w:p>
        </w:tc>
        <w:tc>
          <w:tcPr>
            <w:tcW w:w="852" w:type="dxa"/>
            <w:vAlign w:val="center"/>
          </w:tcPr>
          <w:p w14:paraId="79BFFB8F">
            <w:pPr>
              <w:spacing w:line="320" w:lineRule="exact"/>
              <w:jc w:val="center"/>
              <w:rPr>
                <w:rFonts w:eastAsia="仿宋_GB2312"/>
                <w:color w:val="auto"/>
                <w:szCs w:val="21"/>
              </w:rPr>
            </w:pPr>
            <w:r>
              <w:rPr>
                <w:rFonts w:eastAsia="仿宋_GB2312"/>
                <w:color w:val="auto"/>
                <w:szCs w:val="21"/>
              </w:rPr>
              <w:t>-79</w:t>
            </w:r>
          </w:p>
        </w:tc>
        <w:tc>
          <w:tcPr>
            <w:tcW w:w="1845" w:type="dxa"/>
            <w:vAlign w:val="center"/>
          </w:tcPr>
          <w:p w14:paraId="5522A53E">
            <w:pPr>
              <w:spacing w:line="320" w:lineRule="exact"/>
              <w:jc w:val="center"/>
              <w:rPr>
                <w:rFonts w:eastAsia="仿宋_GB2312"/>
                <w:color w:val="auto"/>
                <w:szCs w:val="21"/>
              </w:rPr>
            </w:pPr>
            <w:r>
              <w:rPr>
                <w:rFonts w:eastAsia="仿宋_GB2312"/>
                <w:color w:val="auto"/>
                <w:szCs w:val="21"/>
              </w:rPr>
              <w:t>/</w:t>
            </w:r>
          </w:p>
        </w:tc>
        <w:tc>
          <w:tcPr>
            <w:tcW w:w="1320" w:type="dxa"/>
            <w:vAlign w:val="center"/>
          </w:tcPr>
          <w:p w14:paraId="2D2A24F3">
            <w:pPr>
              <w:spacing w:line="320" w:lineRule="exact"/>
              <w:jc w:val="center"/>
              <w:rPr>
                <w:rFonts w:eastAsia="仿宋_GB2312"/>
                <w:color w:val="auto"/>
                <w:szCs w:val="21"/>
              </w:rPr>
            </w:pPr>
            <w:r>
              <w:rPr>
                <w:rFonts w:eastAsia="仿宋_GB2312"/>
                <w:color w:val="auto"/>
                <w:szCs w:val="21"/>
              </w:rPr>
              <w:t>/</w:t>
            </w:r>
          </w:p>
        </w:tc>
        <w:tc>
          <w:tcPr>
            <w:tcW w:w="1368" w:type="dxa"/>
            <w:vAlign w:val="center"/>
          </w:tcPr>
          <w:p w14:paraId="44D8478F">
            <w:pPr>
              <w:spacing w:line="320" w:lineRule="exact"/>
              <w:jc w:val="center"/>
              <w:rPr>
                <w:rFonts w:eastAsia="仿宋_GB2312"/>
                <w:color w:val="auto"/>
                <w:szCs w:val="21"/>
              </w:rPr>
            </w:pPr>
            <w:r>
              <w:rPr>
                <w:rFonts w:eastAsia="仿宋_GB2312"/>
                <w:color w:val="auto"/>
                <w:szCs w:val="21"/>
              </w:rPr>
              <w:t>/</w:t>
            </w:r>
          </w:p>
        </w:tc>
      </w:tr>
      <w:tr w14:paraId="3C1481B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353" w:type="dxa"/>
            <w:shd w:val="clear" w:color="auto" w:fill="auto"/>
            <w:vAlign w:val="center"/>
          </w:tcPr>
          <w:p w14:paraId="5A149C79">
            <w:pPr>
              <w:widowControl/>
              <w:jc w:val="center"/>
              <w:rPr>
                <w:rFonts w:ascii="Times New Roman" w:hAnsi="Times New Roman" w:eastAsia="仿宋_GB2312" w:cs="Times New Roman"/>
                <w:kern w:val="0"/>
                <w:sz w:val="21"/>
                <w:szCs w:val="21"/>
                <w:lang w:val="en-US" w:eastAsia="zh-CN" w:bidi="ar-SA"/>
              </w:rPr>
            </w:pPr>
            <w:r>
              <w:rPr>
                <w:rFonts w:hint="eastAsia" w:eastAsia="仿宋_GB2312"/>
                <w:kern w:val="0"/>
                <w:szCs w:val="21"/>
              </w:rPr>
              <w:t>苯酚</w:t>
            </w:r>
          </w:p>
        </w:tc>
        <w:tc>
          <w:tcPr>
            <w:tcW w:w="900" w:type="dxa"/>
            <w:shd w:val="clear" w:color="auto" w:fill="auto"/>
            <w:vAlign w:val="center"/>
          </w:tcPr>
          <w:p w14:paraId="21D22AAB">
            <w:pPr>
              <w:widowControl/>
              <w:jc w:val="center"/>
              <w:rPr>
                <w:rFonts w:ascii="Times New Roman" w:hAnsi="Times New Roman" w:eastAsia="仿宋_GB2312" w:cs="Times New Roman"/>
                <w:kern w:val="0"/>
                <w:sz w:val="21"/>
                <w:szCs w:val="21"/>
                <w:lang w:val="en-US" w:eastAsia="zh-CN" w:bidi="ar-SA"/>
              </w:rPr>
            </w:pPr>
            <w:r>
              <w:rPr>
                <w:rFonts w:hint="eastAsia" w:eastAsia="仿宋_GB2312"/>
                <w:kern w:val="0"/>
                <w:szCs w:val="21"/>
              </w:rPr>
              <w:t>61067</w:t>
            </w:r>
          </w:p>
        </w:tc>
        <w:tc>
          <w:tcPr>
            <w:tcW w:w="732" w:type="dxa"/>
            <w:shd w:val="clear" w:color="auto" w:fill="auto"/>
            <w:vAlign w:val="center"/>
          </w:tcPr>
          <w:p w14:paraId="2A865715">
            <w:pPr>
              <w:widowControl/>
              <w:jc w:val="center"/>
              <w:rPr>
                <w:rFonts w:ascii="Times New Roman" w:hAnsi="Times New Roman" w:eastAsia="仿宋_GB2312" w:cs="Times New Roman"/>
                <w:kern w:val="0"/>
                <w:sz w:val="21"/>
                <w:szCs w:val="21"/>
                <w:lang w:val="en-US" w:eastAsia="zh-CN" w:bidi="ar-SA"/>
              </w:rPr>
            </w:pPr>
            <w:r>
              <w:rPr>
                <w:rFonts w:hint="eastAsia"/>
              </w:rPr>
              <w:t>79</w:t>
            </w:r>
          </w:p>
        </w:tc>
        <w:tc>
          <w:tcPr>
            <w:tcW w:w="840" w:type="dxa"/>
            <w:shd w:val="clear" w:color="auto" w:fill="auto"/>
            <w:vAlign w:val="center"/>
          </w:tcPr>
          <w:p w14:paraId="6D17E0C1">
            <w:pPr>
              <w:widowControl/>
              <w:jc w:val="center"/>
              <w:rPr>
                <w:rFonts w:hint="default" w:ascii="Times New Roman" w:hAnsi="Times New Roman" w:eastAsia="仿宋_GB2312" w:cs="Times New Roman"/>
                <w:kern w:val="0"/>
                <w:sz w:val="21"/>
                <w:szCs w:val="21"/>
                <w:lang w:val="en-US" w:eastAsia="zh-CN" w:bidi="ar-SA"/>
              </w:rPr>
            </w:pPr>
            <w:r>
              <w:rPr>
                <w:rFonts w:hint="eastAsia" w:eastAsia="仿宋_GB2312" w:cs="Times New Roman"/>
                <w:kern w:val="0"/>
                <w:sz w:val="21"/>
                <w:szCs w:val="21"/>
                <w:lang w:val="en-US" w:eastAsia="zh-CN" w:bidi="ar-SA"/>
              </w:rPr>
              <w:t>/</w:t>
            </w:r>
          </w:p>
        </w:tc>
        <w:tc>
          <w:tcPr>
            <w:tcW w:w="852" w:type="dxa"/>
            <w:shd w:val="clear" w:color="auto" w:fill="auto"/>
            <w:vAlign w:val="center"/>
          </w:tcPr>
          <w:p w14:paraId="4EB213DC">
            <w:pPr>
              <w:widowControl/>
              <w:jc w:val="center"/>
              <w:rPr>
                <w:rFonts w:hint="default" w:ascii="Times New Roman" w:hAnsi="Times New Roman" w:eastAsia="仿宋_GB2312" w:cs="Times New Roman"/>
                <w:bCs/>
                <w:kern w:val="2"/>
                <w:sz w:val="21"/>
                <w:szCs w:val="24"/>
                <w:lang w:val="en-US" w:eastAsia="zh-CN" w:bidi="ar-SA"/>
              </w:rPr>
            </w:pPr>
            <w:r>
              <w:rPr>
                <w:rFonts w:hint="eastAsia" w:eastAsia="仿宋_GB2312" w:cs="Times New Roman"/>
                <w:bCs/>
                <w:kern w:val="2"/>
                <w:sz w:val="21"/>
                <w:szCs w:val="24"/>
                <w:lang w:val="en-US" w:eastAsia="zh-CN" w:bidi="ar-SA"/>
              </w:rPr>
              <w:t>/</w:t>
            </w:r>
          </w:p>
        </w:tc>
        <w:tc>
          <w:tcPr>
            <w:tcW w:w="1845" w:type="dxa"/>
            <w:shd w:val="clear" w:color="auto" w:fill="auto"/>
            <w:vAlign w:val="center"/>
          </w:tcPr>
          <w:p w14:paraId="16DCA0CC">
            <w:pPr>
              <w:spacing w:line="320" w:lineRule="exact"/>
              <w:jc w:val="center"/>
              <w:rPr>
                <w:rFonts w:eastAsia="仿宋_GB2312"/>
                <w:color w:val="auto"/>
                <w:szCs w:val="21"/>
                <w:lang w:val="en-US" w:eastAsia="zh-CN"/>
              </w:rPr>
            </w:pPr>
            <w:r>
              <w:rPr>
                <w:rFonts w:hint="eastAsia" w:eastAsia="仿宋_GB2312"/>
                <w:color w:val="auto"/>
                <w:szCs w:val="21"/>
              </w:rPr>
              <w:t>317</w:t>
            </w:r>
            <w:r>
              <w:rPr>
                <w:rFonts w:hint="eastAsia" w:eastAsia="仿宋_GB2312"/>
                <w:color w:val="auto"/>
                <w:szCs w:val="21"/>
                <w:lang w:val="en-US" w:eastAsia="zh-CN"/>
              </w:rPr>
              <w:t>（</w:t>
            </w:r>
            <w:r>
              <w:rPr>
                <w:rFonts w:eastAsia="仿宋_GB2312"/>
                <w:color w:val="auto"/>
                <w:szCs w:val="21"/>
              </w:rPr>
              <w:t>大鼠</w:t>
            </w:r>
            <w:r>
              <w:rPr>
                <w:rFonts w:hint="eastAsia" w:eastAsia="仿宋_GB2312"/>
                <w:color w:val="auto"/>
                <w:szCs w:val="21"/>
                <w:lang w:val="en-US" w:eastAsia="zh-CN"/>
              </w:rPr>
              <w:t>）</w:t>
            </w:r>
          </w:p>
        </w:tc>
        <w:tc>
          <w:tcPr>
            <w:tcW w:w="1320" w:type="dxa"/>
            <w:shd w:val="clear" w:color="auto" w:fill="auto"/>
            <w:vAlign w:val="center"/>
          </w:tcPr>
          <w:p w14:paraId="04319B31">
            <w:pPr>
              <w:spacing w:line="320" w:lineRule="exact"/>
              <w:jc w:val="center"/>
              <w:rPr>
                <w:rFonts w:eastAsia="仿宋_GB2312"/>
                <w:color w:val="auto"/>
                <w:szCs w:val="21"/>
                <w:lang w:val="en-US" w:eastAsia="zh-CN"/>
              </w:rPr>
            </w:pPr>
            <w:r>
              <w:rPr>
                <w:rFonts w:hint="eastAsia" w:eastAsia="仿宋_GB2312"/>
                <w:color w:val="auto"/>
                <w:szCs w:val="21"/>
              </w:rPr>
              <w:t>669</w:t>
            </w:r>
            <w:r>
              <w:rPr>
                <w:rFonts w:eastAsia="仿宋_GB2312"/>
                <w:color w:val="auto"/>
                <w:szCs w:val="21"/>
              </w:rPr>
              <w:t>（兔）</w:t>
            </w:r>
          </w:p>
        </w:tc>
        <w:tc>
          <w:tcPr>
            <w:tcW w:w="1368" w:type="dxa"/>
            <w:vAlign w:val="center"/>
          </w:tcPr>
          <w:p w14:paraId="28EA4A96">
            <w:pPr>
              <w:spacing w:line="320" w:lineRule="exact"/>
              <w:jc w:val="center"/>
              <w:rPr>
                <w:rFonts w:eastAsia="仿宋_GB2312"/>
                <w:color w:val="auto"/>
                <w:szCs w:val="21"/>
              </w:rPr>
            </w:pPr>
            <w:r>
              <w:rPr>
                <w:rFonts w:hint="eastAsia" w:eastAsia="仿宋_GB2312"/>
                <w:color w:val="auto"/>
                <w:szCs w:val="21"/>
              </w:rPr>
              <w:t>316</w:t>
            </w:r>
            <w:r>
              <w:rPr>
                <w:rFonts w:eastAsia="仿宋_GB2312"/>
                <w:color w:val="auto"/>
                <w:szCs w:val="21"/>
              </w:rPr>
              <w:t>(大鼠</w:t>
            </w:r>
            <w:r>
              <w:rPr>
                <w:rFonts w:hint="eastAsia" w:eastAsia="仿宋_GB2312"/>
                <w:color w:val="auto"/>
                <w:szCs w:val="21"/>
                <w:lang w:eastAsia="zh-CN"/>
              </w:rPr>
              <w:t>、</w:t>
            </w:r>
            <w:r>
              <w:rPr>
                <w:rFonts w:hint="eastAsia" w:eastAsia="仿宋_GB2312"/>
                <w:color w:val="auto"/>
                <w:szCs w:val="21"/>
                <w:lang w:val="en-US" w:eastAsia="zh-CN"/>
              </w:rPr>
              <w:t>4小时</w:t>
            </w:r>
            <w:r>
              <w:rPr>
                <w:rFonts w:eastAsia="仿宋_GB2312"/>
                <w:color w:val="auto"/>
                <w:szCs w:val="21"/>
              </w:rPr>
              <w:t>)</w:t>
            </w:r>
          </w:p>
        </w:tc>
      </w:tr>
      <w:tr w14:paraId="15F8A87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353" w:type="dxa"/>
            <w:shd w:val="clear" w:color="auto" w:fill="auto"/>
            <w:vAlign w:val="center"/>
          </w:tcPr>
          <w:p w14:paraId="4EA6EC77">
            <w:pPr>
              <w:widowControl/>
              <w:jc w:val="center"/>
              <w:rPr>
                <w:rFonts w:ascii="Times New Roman" w:hAnsi="Times New Roman" w:eastAsia="仿宋_GB2312" w:cs="Times New Roman"/>
                <w:kern w:val="0"/>
                <w:sz w:val="21"/>
                <w:szCs w:val="21"/>
                <w:lang w:val="en-US" w:eastAsia="zh-CN" w:bidi="ar-SA"/>
              </w:rPr>
            </w:pPr>
            <w:r>
              <w:rPr>
                <w:rFonts w:hint="eastAsia" w:eastAsia="仿宋_GB2312"/>
                <w:kern w:val="0"/>
                <w:szCs w:val="21"/>
              </w:rPr>
              <w:t>乙酸乙烯酯</w:t>
            </w:r>
          </w:p>
        </w:tc>
        <w:tc>
          <w:tcPr>
            <w:tcW w:w="900" w:type="dxa"/>
            <w:shd w:val="clear" w:color="auto" w:fill="auto"/>
            <w:vAlign w:val="center"/>
          </w:tcPr>
          <w:p w14:paraId="0C062FE7">
            <w:pPr>
              <w:widowControl/>
              <w:jc w:val="center"/>
              <w:rPr>
                <w:rFonts w:ascii="Times New Roman" w:hAnsi="Times New Roman" w:eastAsia="仿宋_GB2312" w:cs="Times New Roman"/>
                <w:kern w:val="0"/>
                <w:sz w:val="21"/>
                <w:szCs w:val="21"/>
                <w:lang w:val="en-US" w:eastAsia="zh-CN" w:bidi="ar-SA"/>
              </w:rPr>
            </w:pPr>
            <w:r>
              <w:rPr>
                <w:rFonts w:hint="eastAsia" w:eastAsia="仿宋_GB2312"/>
                <w:kern w:val="0"/>
                <w:szCs w:val="21"/>
              </w:rPr>
              <w:t>32131</w:t>
            </w:r>
          </w:p>
        </w:tc>
        <w:tc>
          <w:tcPr>
            <w:tcW w:w="732" w:type="dxa"/>
            <w:shd w:val="clear" w:color="auto" w:fill="auto"/>
            <w:vAlign w:val="center"/>
          </w:tcPr>
          <w:p w14:paraId="035D6BE6">
            <w:pPr>
              <w:widowControl/>
              <w:jc w:val="center"/>
              <w:rPr>
                <w:rFonts w:ascii="Times New Roman" w:hAnsi="Times New Roman" w:eastAsia="仿宋_GB2312" w:cs="Times New Roman"/>
                <w:kern w:val="0"/>
                <w:sz w:val="21"/>
                <w:szCs w:val="21"/>
                <w:lang w:val="en-US" w:eastAsia="zh-CN" w:bidi="ar-SA"/>
              </w:rPr>
            </w:pPr>
            <w:r>
              <w:rPr>
                <w:rFonts w:hint="eastAsia"/>
              </w:rPr>
              <w:t>-8</w:t>
            </w:r>
          </w:p>
        </w:tc>
        <w:tc>
          <w:tcPr>
            <w:tcW w:w="840" w:type="dxa"/>
            <w:shd w:val="clear" w:color="auto" w:fill="auto"/>
            <w:vAlign w:val="center"/>
          </w:tcPr>
          <w:p w14:paraId="51CE4619">
            <w:pPr>
              <w:widowControl/>
              <w:jc w:val="center"/>
              <w:rPr>
                <w:rFonts w:ascii="Times New Roman" w:hAnsi="Times New Roman" w:eastAsia="仿宋_GB2312" w:cs="Times New Roman"/>
                <w:kern w:val="0"/>
                <w:sz w:val="21"/>
                <w:szCs w:val="21"/>
                <w:lang w:val="en-US" w:eastAsia="zh-CN" w:bidi="ar-SA"/>
              </w:rPr>
            </w:pPr>
            <w:r>
              <w:rPr>
                <w:rFonts w:hint="eastAsia" w:eastAsia="仿宋_GB2312"/>
              </w:rPr>
              <w:t>72.7</w:t>
            </w:r>
          </w:p>
        </w:tc>
        <w:tc>
          <w:tcPr>
            <w:tcW w:w="852" w:type="dxa"/>
            <w:shd w:val="clear" w:color="auto" w:fill="auto"/>
            <w:vAlign w:val="center"/>
          </w:tcPr>
          <w:p w14:paraId="7282AA9A">
            <w:pPr>
              <w:widowControl/>
              <w:jc w:val="center"/>
              <w:rPr>
                <w:rFonts w:ascii="Times New Roman" w:hAnsi="Times New Roman" w:eastAsia="仿宋_GB2312" w:cs="Times New Roman"/>
                <w:kern w:val="0"/>
                <w:sz w:val="21"/>
                <w:szCs w:val="21"/>
                <w:lang w:val="en-US" w:eastAsia="zh-CN" w:bidi="ar-SA"/>
              </w:rPr>
            </w:pPr>
            <w:r>
              <w:rPr>
                <w:rFonts w:hint="eastAsia" w:eastAsia="仿宋_GB2312"/>
              </w:rPr>
              <w:t>-93.2</w:t>
            </w:r>
          </w:p>
        </w:tc>
        <w:tc>
          <w:tcPr>
            <w:tcW w:w="1845" w:type="dxa"/>
            <w:shd w:val="clear" w:color="auto" w:fill="auto"/>
            <w:vAlign w:val="center"/>
          </w:tcPr>
          <w:p w14:paraId="4A988C10">
            <w:pPr>
              <w:spacing w:line="320" w:lineRule="exact"/>
              <w:jc w:val="center"/>
              <w:rPr>
                <w:rFonts w:eastAsia="仿宋_GB2312"/>
                <w:color w:val="auto"/>
                <w:szCs w:val="21"/>
                <w:lang w:val="en-US" w:eastAsia="zh-CN"/>
              </w:rPr>
            </w:pPr>
            <w:r>
              <w:rPr>
                <w:rFonts w:hint="eastAsia" w:eastAsia="仿宋_GB2312"/>
                <w:color w:val="auto"/>
                <w:szCs w:val="21"/>
              </w:rPr>
              <w:t>2900</w:t>
            </w:r>
            <w:r>
              <w:rPr>
                <w:rFonts w:hint="eastAsia" w:eastAsia="仿宋_GB2312"/>
                <w:color w:val="auto"/>
                <w:szCs w:val="21"/>
                <w:lang w:eastAsia="zh-CN"/>
              </w:rPr>
              <w:t>（</w:t>
            </w:r>
            <w:r>
              <w:rPr>
                <w:rFonts w:eastAsia="仿宋_GB2312"/>
                <w:color w:val="auto"/>
                <w:szCs w:val="21"/>
              </w:rPr>
              <w:t>大鼠</w:t>
            </w:r>
            <w:r>
              <w:rPr>
                <w:rFonts w:hint="eastAsia" w:eastAsia="仿宋_GB2312"/>
                <w:color w:val="auto"/>
                <w:szCs w:val="21"/>
                <w:lang w:eastAsia="zh-CN"/>
              </w:rPr>
              <w:t>）</w:t>
            </w:r>
          </w:p>
        </w:tc>
        <w:tc>
          <w:tcPr>
            <w:tcW w:w="1320" w:type="dxa"/>
            <w:shd w:val="clear" w:color="auto" w:fill="auto"/>
            <w:vAlign w:val="center"/>
          </w:tcPr>
          <w:p w14:paraId="6043DB13">
            <w:pPr>
              <w:spacing w:line="320" w:lineRule="exact"/>
              <w:jc w:val="center"/>
              <w:rPr>
                <w:rFonts w:eastAsia="仿宋_GB2312"/>
                <w:color w:val="auto"/>
                <w:szCs w:val="21"/>
                <w:lang w:val="en-US" w:eastAsia="zh-CN"/>
              </w:rPr>
            </w:pPr>
            <w:r>
              <w:rPr>
                <w:rFonts w:hint="eastAsia" w:eastAsia="仿宋_GB2312"/>
                <w:color w:val="auto"/>
                <w:szCs w:val="21"/>
              </w:rPr>
              <w:t>2500</w:t>
            </w:r>
            <w:r>
              <w:rPr>
                <w:rFonts w:eastAsia="仿宋_GB2312"/>
                <w:color w:val="auto"/>
                <w:szCs w:val="21"/>
              </w:rPr>
              <w:t>（兔）</w:t>
            </w:r>
          </w:p>
        </w:tc>
        <w:tc>
          <w:tcPr>
            <w:tcW w:w="1368" w:type="dxa"/>
            <w:vAlign w:val="center"/>
          </w:tcPr>
          <w:p w14:paraId="098C54DD">
            <w:pPr>
              <w:spacing w:line="320" w:lineRule="exact"/>
              <w:jc w:val="center"/>
              <w:rPr>
                <w:rFonts w:hint="eastAsia" w:eastAsia="仿宋_GB2312"/>
                <w:color w:val="auto"/>
                <w:szCs w:val="21"/>
                <w:lang w:val="en-US" w:eastAsia="zh-CN"/>
              </w:rPr>
            </w:pPr>
            <w:r>
              <w:rPr>
                <w:rFonts w:hint="eastAsia" w:eastAsia="仿宋_GB2312"/>
                <w:color w:val="auto"/>
                <w:szCs w:val="21"/>
                <w:lang w:val="en-US" w:eastAsia="zh-CN"/>
              </w:rPr>
              <w:t>/</w:t>
            </w:r>
          </w:p>
        </w:tc>
      </w:tr>
      <w:tr w14:paraId="32EFE09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353" w:type="dxa"/>
            <w:shd w:val="clear" w:color="auto" w:fill="auto"/>
            <w:vAlign w:val="center"/>
          </w:tcPr>
          <w:p w14:paraId="2C980F57">
            <w:pPr>
              <w:widowControl/>
              <w:jc w:val="center"/>
              <w:rPr>
                <w:rFonts w:ascii="Times New Roman" w:hAnsi="Times New Roman" w:eastAsia="仿宋_GB2312" w:cs="Times New Roman"/>
                <w:kern w:val="0"/>
                <w:sz w:val="21"/>
                <w:szCs w:val="21"/>
                <w:lang w:val="en-US" w:eastAsia="zh-CN" w:bidi="ar-SA"/>
              </w:rPr>
            </w:pPr>
            <w:r>
              <w:rPr>
                <w:rFonts w:hint="eastAsia" w:eastAsia="仿宋_GB2312"/>
                <w:kern w:val="0"/>
                <w:szCs w:val="21"/>
              </w:rPr>
              <w:t>2-甲基四氢呋喃</w:t>
            </w:r>
          </w:p>
        </w:tc>
        <w:tc>
          <w:tcPr>
            <w:tcW w:w="900" w:type="dxa"/>
            <w:shd w:val="clear" w:color="auto" w:fill="auto"/>
            <w:vAlign w:val="center"/>
          </w:tcPr>
          <w:p w14:paraId="6DF13268">
            <w:pPr>
              <w:widowControl/>
              <w:jc w:val="center"/>
              <w:rPr>
                <w:rFonts w:ascii="Times New Roman" w:hAnsi="Times New Roman" w:eastAsia="仿宋_GB2312" w:cs="Times New Roman"/>
                <w:kern w:val="0"/>
                <w:sz w:val="21"/>
                <w:szCs w:val="21"/>
                <w:lang w:val="en-US" w:eastAsia="zh-CN" w:bidi="ar-SA"/>
              </w:rPr>
            </w:pPr>
            <w:r>
              <w:rPr>
                <w:rFonts w:hint="eastAsia" w:eastAsia="仿宋_GB2312"/>
                <w:kern w:val="0"/>
                <w:szCs w:val="21"/>
              </w:rPr>
              <w:t>31043</w:t>
            </w:r>
          </w:p>
        </w:tc>
        <w:tc>
          <w:tcPr>
            <w:tcW w:w="732" w:type="dxa"/>
            <w:shd w:val="clear" w:color="auto" w:fill="auto"/>
            <w:vAlign w:val="center"/>
          </w:tcPr>
          <w:p w14:paraId="58BE8400">
            <w:pPr>
              <w:widowControl/>
              <w:jc w:val="center"/>
              <w:rPr>
                <w:rFonts w:ascii="Times New Roman" w:hAnsi="Times New Roman" w:eastAsia="仿宋_GB2312" w:cs="Times New Roman"/>
                <w:kern w:val="0"/>
                <w:sz w:val="21"/>
                <w:szCs w:val="21"/>
                <w:lang w:val="en-US" w:eastAsia="zh-CN" w:bidi="ar-SA"/>
              </w:rPr>
            </w:pPr>
            <w:r>
              <w:rPr>
                <w:rFonts w:hint="eastAsia"/>
              </w:rPr>
              <w:t>-11</w:t>
            </w:r>
          </w:p>
        </w:tc>
        <w:tc>
          <w:tcPr>
            <w:tcW w:w="840" w:type="dxa"/>
            <w:shd w:val="clear" w:color="auto" w:fill="auto"/>
            <w:vAlign w:val="center"/>
          </w:tcPr>
          <w:p w14:paraId="4B47D2DF">
            <w:pPr>
              <w:widowControl/>
              <w:jc w:val="center"/>
              <w:rPr>
                <w:rFonts w:ascii="Times New Roman" w:hAnsi="Times New Roman" w:eastAsia="仿宋_GB2312" w:cs="Times New Roman"/>
                <w:kern w:val="0"/>
                <w:sz w:val="21"/>
                <w:szCs w:val="21"/>
                <w:lang w:val="en-US" w:eastAsia="zh-CN" w:bidi="ar-SA"/>
              </w:rPr>
            </w:pPr>
            <w:r>
              <w:rPr>
                <w:rFonts w:hint="eastAsia" w:eastAsia="仿宋_GB2312"/>
              </w:rPr>
              <w:t>80.2</w:t>
            </w:r>
          </w:p>
        </w:tc>
        <w:tc>
          <w:tcPr>
            <w:tcW w:w="852" w:type="dxa"/>
            <w:shd w:val="clear" w:color="auto" w:fill="auto"/>
            <w:vAlign w:val="center"/>
          </w:tcPr>
          <w:p w14:paraId="74C63DBC">
            <w:pPr>
              <w:widowControl/>
              <w:jc w:val="center"/>
              <w:rPr>
                <w:rFonts w:ascii="Times New Roman" w:hAnsi="Times New Roman" w:eastAsia="仿宋_GB2312" w:cs="Times New Roman"/>
                <w:kern w:val="0"/>
                <w:sz w:val="21"/>
                <w:szCs w:val="21"/>
                <w:lang w:val="en-US" w:eastAsia="zh-CN" w:bidi="ar-SA"/>
              </w:rPr>
            </w:pPr>
            <w:r>
              <w:rPr>
                <w:rFonts w:hint="eastAsia" w:eastAsia="仿宋_GB2312"/>
              </w:rPr>
              <w:t>-136</w:t>
            </w:r>
          </w:p>
        </w:tc>
        <w:tc>
          <w:tcPr>
            <w:tcW w:w="1845" w:type="dxa"/>
            <w:shd w:val="clear" w:color="auto" w:fill="auto"/>
            <w:vAlign w:val="center"/>
          </w:tcPr>
          <w:p w14:paraId="74DD7EC2">
            <w:pPr>
              <w:spacing w:line="320" w:lineRule="exact"/>
              <w:jc w:val="center"/>
              <w:rPr>
                <w:rFonts w:eastAsia="仿宋_GB2312"/>
                <w:color w:val="auto"/>
                <w:szCs w:val="21"/>
                <w:lang w:val="en-US" w:eastAsia="zh-CN"/>
              </w:rPr>
            </w:pPr>
            <w:r>
              <w:rPr>
                <w:rFonts w:hint="eastAsia" w:eastAsia="仿宋_GB2312"/>
                <w:color w:val="auto"/>
                <w:szCs w:val="21"/>
              </w:rPr>
              <w:t>5720</w:t>
            </w:r>
            <w:r>
              <w:rPr>
                <w:rFonts w:hint="eastAsia" w:eastAsia="仿宋_GB2312"/>
                <w:color w:val="auto"/>
                <w:szCs w:val="21"/>
                <w:lang w:eastAsia="zh-CN"/>
              </w:rPr>
              <w:t>（</w:t>
            </w:r>
            <w:r>
              <w:rPr>
                <w:rFonts w:eastAsia="仿宋_GB2312"/>
                <w:color w:val="auto"/>
                <w:szCs w:val="21"/>
              </w:rPr>
              <w:t>大鼠</w:t>
            </w:r>
            <w:r>
              <w:rPr>
                <w:rFonts w:hint="eastAsia" w:eastAsia="仿宋_GB2312"/>
                <w:color w:val="auto"/>
                <w:szCs w:val="21"/>
                <w:lang w:eastAsia="zh-CN"/>
              </w:rPr>
              <w:t>）</w:t>
            </w:r>
          </w:p>
        </w:tc>
        <w:tc>
          <w:tcPr>
            <w:tcW w:w="1320" w:type="dxa"/>
            <w:shd w:val="clear" w:color="auto" w:fill="auto"/>
            <w:vAlign w:val="center"/>
          </w:tcPr>
          <w:p w14:paraId="2D2EBC38">
            <w:pPr>
              <w:spacing w:line="320" w:lineRule="exact"/>
              <w:jc w:val="center"/>
              <w:rPr>
                <w:rFonts w:eastAsia="仿宋_GB2312"/>
                <w:color w:val="auto"/>
                <w:szCs w:val="21"/>
                <w:lang w:val="en-US" w:eastAsia="zh-CN"/>
              </w:rPr>
            </w:pPr>
            <w:r>
              <w:rPr>
                <w:rFonts w:hint="eastAsia" w:eastAsia="仿宋_GB2312"/>
                <w:color w:val="auto"/>
                <w:szCs w:val="21"/>
              </w:rPr>
              <w:t>4500</w:t>
            </w:r>
            <w:r>
              <w:rPr>
                <w:rFonts w:eastAsia="仿宋_GB2312"/>
                <w:color w:val="auto"/>
                <w:szCs w:val="21"/>
              </w:rPr>
              <w:t>（兔）</w:t>
            </w:r>
          </w:p>
        </w:tc>
        <w:tc>
          <w:tcPr>
            <w:tcW w:w="1368" w:type="dxa"/>
            <w:vAlign w:val="center"/>
          </w:tcPr>
          <w:p w14:paraId="068855F0">
            <w:pPr>
              <w:spacing w:line="320" w:lineRule="exact"/>
              <w:jc w:val="center"/>
              <w:rPr>
                <w:rFonts w:hint="eastAsia" w:eastAsia="仿宋_GB2312"/>
                <w:color w:val="auto"/>
                <w:szCs w:val="21"/>
                <w:lang w:val="en-US" w:eastAsia="zh-CN"/>
              </w:rPr>
            </w:pPr>
            <w:r>
              <w:rPr>
                <w:rFonts w:hint="eastAsia" w:eastAsia="仿宋_GB2312"/>
                <w:color w:val="auto"/>
                <w:szCs w:val="21"/>
                <w:lang w:val="en-US" w:eastAsia="zh-CN"/>
              </w:rPr>
              <w:t>/</w:t>
            </w:r>
          </w:p>
        </w:tc>
      </w:tr>
      <w:tr w14:paraId="2C7B23F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353" w:type="dxa"/>
            <w:shd w:val="clear" w:color="auto" w:fill="auto"/>
            <w:vAlign w:val="center"/>
          </w:tcPr>
          <w:p w14:paraId="6C8E8A9E">
            <w:pPr>
              <w:widowControl/>
              <w:jc w:val="center"/>
              <w:rPr>
                <w:rFonts w:ascii="Times New Roman" w:hAnsi="Times New Roman" w:eastAsia="仿宋_GB2312" w:cs="Times New Roman"/>
                <w:kern w:val="0"/>
                <w:sz w:val="21"/>
                <w:szCs w:val="21"/>
                <w:lang w:val="en-US" w:eastAsia="zh-CN" w:bidi="ar-SA"/>
              </w:rPr>
            </w:pPr>
            <w:r>
              <w:rPr>
                <w:rFonts w:hint="eastAsia" w:eastAsia="仿宋_GB2312"/>
                <w:kern w:val="0"/>
                <w:szCs w:val="21"/>
              </w:rPr>
              <w:t>甲基</w:t>
            </w:r>
            <w:r>
              <w:rPr>
                <w:rFonts w:hint="eastAsia" w:eastAsia="仿宋_GB2312"/>
                <w:kern w:val="0"/>
                <w:szCs w:val="21"/>
                <w:lang w:val="en-US" w:eastAsia="zh-CN"/>
              </w:rPr>
              <w:t>叔</w:t>
            </w:r>
            <w:r>
              <w:rPr>
                <w:rFonts w:hint="eastAsia" w:eastAsia="仿宋_GB2312"/>
                <w:kern w:val="0"/>
                <w:szCs w:val="21"/>
              </w:rPr>
              <w:t>丁基醚</w:t>
            </w:r>
          </w:p>
        </w:tc>
        <w:tc>
          <w:tcPr>
            <w:tcW w:w="900" w:type="dxa"/>
            <w:shd w:val="clear" w:color="auto" w:fill="auto"/>
            <w:vAlign w:val="center"/>
          </w:tcPr>
          <w:p w14:paraId="278D5181">
            <w:pPr>
              <w:widowControl/>
              <w:jc w:val="center"/>
              <w:rPr>
                <w:rFonts w:ascii="Times New Roman" w:hAnsi="Times New Roman" w:eastAsia="仿宋_GB2312" w:cs="Times New Roman"/>
                <w:kern w:val="0"/>
                <w:sz w:val="21"/>
                <w:szCs w:val="21"/>
                <w:lang w:val="en-US" w:eastAsia="zh-CN" w:bidi="ar-SA"/>
              </w:rPr>
            </w:pPr>
            <w:r>
              <w:rPr>
                <w:rFonts w:hint="eastAsia" w:eastAsia="仿宋_GB2312"/>
                <w:kern w:val="0"/>
                <w:szCs w:val="21"/>
              </w:rPr>
              <w:t>31040</w:t>
            </w:r>
          </w:p>
        </w:tc>
        <w:tc>
          <w:tcPr>
            <w:tcW w:w="732" w:type="dxa"/>
            <w:shd w:val="clear" w:color="auto" w:fill="auto"/>
            <w:vAlign w:val="center"/>
          </w:tcPr>
          <w:p w14:paraId="55E716B5">
            <w:pPr>
              <w:widowControl/>
              <w:jc w:val="center"/>
              <w:rPr>
                <w:rFonts w:ascii="Times New Roman" w:hAnsi="Times New Roman" w:eastAsia="仿宋_GB2312" w:cs="Times New Roman"/>
                <w:kern w:val="0"/>
                <w:sz w:val="21"/>
                <w:szCs w:val="21"/>
                <w:lang w:val="en-US" w:eastAsia="zh-CN" w:bidi="ar-SA"/>
              </w:rPr>
            </w:pPr>
            <w:r>
              <w:rPr>
                <w:rFonts w:hint="eastAsia"/>
              </w:rPr>
              <w:t>-28</w:t>
            </w:r>
          </w:p>
        </w:tc>
        <w:tc>
          <w:tcPr>
            <w:tcW w:w="840" w:type="dxa"/>
            <w:shd w:val="clear" w:color="auto" w:fill="auto"/>
            <w:vAlign w:val="center"/>
          </w:tcPr>
          <w:p w14:paraId="18BB2681">
            <w:pPr>
              <w:widowControl/>
              <w:jc w:val="center"/>
              <w:rPr>
                <w:rFonts w:ascii="Times New Roman" w:hAnsi="Times New Roman" w:eastAsia="仿宋_GB2312" w:cs="Times New Roman"/>
                <w:kern w:val="0"/>
                <w:sz w:val="21"/>
                <w:szCs w:val="21"/>
                <w:lang w:val="en-US" w:eastAsia="zh-CN" w:bidi="ar-SA"/>
              </w:rPr>
            </w:pPr>
            <w:r>
              <w:rPr>
                <w:rFonts w:hint="eastAsia" w:eastAsia="仿宋_GB2312"/>
              </w:rPr>
              <w:t>55.2</w:t>
            </w:r>
          </w:p>
        </w:tc>
        <w:tc>
          <w:tcPr>
            <w:tcW w:w="852" w:type="dxa"/>
            <w:shd w:val="clear" w:color="auto" w:fill="auto"/>
            <w:vAlign w:val="center"/>
          </w:tcPr>
          <w:p w14:paraId="5DC8E6D3">
            <w:pPr>
              <w:widowControl/>
              <w:jc w:val="center"/>
              <w:rPr>
                <w:rFonts w:ascii="Times New Roman" w:hAnsi="Times New Roman" w:eastAsia="仿宋_GB2312" w:cs="Times New Roman"/>
                <w:kern w:val="0"/>
                <w:sz w:val="21"/>
                <w:szCs w:val="21"/>
                <w:lang w:val="en-US" w:eastAsia="zh-CN" w:bidi="ar-SA"/>
              </w:rPr>
            </w:pPr>
            <w:r>
              <w:rPr>
                <w:rFonts w:hint="eastAsia" w:eastAsia="仿宋_GB2312"/>
              </w:rPr>
              <w:t>-109</w:t>
            </w:r>
          </w:p>
        </w:tc>
        <w:tc>
          <w:tcPr>
            <w:tcW w:w="1845" w:type="dxa"/>
            <w:shd w:val="clear" w:color="auto" w:fill="auto"/>
            <w:vAlign w:val="center"/>
          </w:tcPr>
          <w:p w14:paraId="21909378">
            <w:pPr>
              <w:spacing w:line="320" w:lineRule="exact"/>
              <w:jc w:val="center"/>
              <w:rPr>
                <w:rFonts w:eastAsia="仿宋_GB2312"/>
                <w:color w:val="auto"/>
                <w:szCs w:val="21"/>
                <w:lang w:val="en-US" w:eastAsia="zh-CN"/>
              </w:rPr>
            </w:pPr>
            <w:r>
              <w:rPr>
                <w:rFonts w:hint="eastAsia" w:eastAsia="仿宋_GB2312"/>
                <w:color w:val="auto"/>
                <w:szCs w:val="21"/>
              </w:rPr>
              <w:t>3030</w:t>
            </w:r>
            <w:r>
              <w:rPr>
                <w:rFonts w:hint="eastAsia" w:eastAsia="仿宋_GB2312"/>
                <w:color w:val="auto"/>
                <w:szCs w:val="21"/>
                <w:lang w:eastAsia="zh-CN"/>
              </w:rPr>
              <w:t>（</w:t>
            </w:r>
            <w:r>
              <w:rPr>
                <w:rFonts w:eastAsia="仿宋_GB2312"/>
                <w:color w:val="auto"/>
                <w:szCs w:val="21"/>
              </w:rPr>
              <w:t>大鼠</w:t>
            </w:r>
            <w:r>
              <w:rPr>
                <w:rFonts w:hint="eastAsia" w:eastAsia="仿宋_GB2312"/>
                <w:color w:val="auto"/>
                <w:szCs w:val="21"/>
                <w:lang w:eastAsia="zh-CN"/>
              </w:rPr>
              <w:t>）</w:t>
            </w:r>
          </w:p>
        </w:tc>
        <w:tc>
          <w:tcPr>
            <w:tcW w:w="1320" w:type="dxa"/>
            <w:shd w:val="clear" w:color="auto" w:fill="auto"/>
            <w:vAlign w:val="center"/>
          </w:tcPr>
          <w:p w14:paraId="508A3E59">
            <w:pPr>
              <w:spacing w:line="320" w:lineRule="exact"/>
              <w:jc w:val="center"/>
              <w:rPr>
                <w:rFonts w:eastAsia="仿宋_GB2312"/>
                <w:color w:val="auto"/>
                <w:szCs w:val="21"/>
                <w:lang w:val="en-US" w:eastAsia="zh-CN"/>
              </w:rPr>
            </w:pPr>
            <w:r>
              <w:rPr>
                <w:rFonts w:hint="eastAsia" w:eastAsia="仿宋_GB2312"/>
                <w:color w:val="auto"/>
                <w:szCs w:val="21"/>
              </w:rPr>
              <w:t>7500</w:t>
            </w:r>
            <w:r>
              <w:rPr>
                <w:rFonts w:eastAsia="仿宋_GB2312"/>
                <w:color w:val="auto"/>
                <w:szCs w:val="21"/>
              </w:rPr>
              <w:t>（兔）</w:t>
            </w:r>
          </w:p>
        </w:tc>
        <w:tc>
          <w:tcPr>
            <w:tcW w:w="1368" w:type="dxa"/>
            <w:vAlign w:val="center"/>
          </w:tcPr>
          <w:p w14:paraId="09720F5D">
            <w:pPr>
              <w:spacing w:line="320" w:lineRule="exact"/>
              <w:jc w:val="center"/>
              <w:rPr>
                <w:rFonts w:hint="eastAsia" w:eastAsia="仿宋_GB2312"/>
                <w:color w:val="auto"/>
                <w:szCs w:val="21"/>
                <w:lang w:val="en-US" w:eastAsia="zh-CN"/>
              </w:rPr>
            </w:pPr>
            <w:r>
              <w:rPr>
                <w:rFonts w:hint="eastAsia" w:eastAsia="仿宋_GB2312"/>
                <w:color w:val="auto"/>
                <w:szCs w:val="21"/>
                <w:lang w:val="en-US" w:eastAsia="zh-CN"/>
              </w:rPr>
              <w:t>/</w:t>
            </w:r>
          </w:p>
        </w:tc>
      </w:tr>
      <w:tr w14:paraId="39FFFC3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353" w:type="dxa"/>
            <w:shd w:val="clear" w:color="auto" w:fill="auto"/>
            <w:vAlign w:val="center"/>
          </w:tcPr>
          <w:p w14:paraId="6B367277">
            <w:pPr>
              <w:widowControl/>
              <w:jc w:val="center"/>
              <w:rPr>
                <w:rFonts w:ascii="Times New Roman" w:hAnsi="Times New Roman" w:eastAsia="仿宋_GB2312" w:cs="Times New Roman"/>
                <w:kern w:val="0"/>
                <w:sz w:val="21"/>
                <w:szCs w:val="21"/>
                <w:lang w:val="en-US" w:eastAsia="zh-CN" w:bidi="ar-SA"/>
              </w:rPr>
            </w:pPr>
            <w:r>
              <w:rPr>
                <w:rFonts w:hint="eastAsia" w:eastAsia="仿宋_GB2312"/>
                <w:kern w:val="0"/>
                <w:szCs w:val="21"/>
              </w:rPr>
              <w:t>丙二醇甲醚醋酸酯</w:t>
            </w:r>
          </w:p>
        </w:tc>
        <w:tc>
          <w:tcPr>
            <w:tcW w:w="900" w:type="dxa"/>
            <w:shd w:val="clear" w:color="auto" w:fill="auto"/>
            <w:vAlign w:val="center"/>
          </w:tcPr>
          <w:p w14:paraId="2C1663FA">
            <w:pPr>
              <w:widowControl/>
              <w:jc w:val="center"/>
              <w:rPr>
                <w:rFonts w:ascii="Times New Roman" w:hAnsi="Times New Roman" w:eastAsia="仿宋_GB2312" w:cs="Times New Roman"/>
                <w:kern w:val="0"/>
                <w:sz w:val="21"/>
                <w:szCs w:val="21"/>
                <w:lang w:val="en-US" w:eastAsia="zh-CN" w:bidi="ar-SA"/>
              </w:rPr>
            </w:pPr>
            <w:r>
              <w:rPr>
                <w:rFonts w:hint="eastAsia" w:eastAsia="仿宋_GB2312"/>
                <w:kern w:val="0"/>
                <w:szCs w:val="21"/>
              </w:rPr>
              <w:t>33642</w:t>
            </w:r>
          </w:p>
        </w:tc>
        <w:tc>
          <w:tcPr>
            <w:tcW w:w="732" w:type="dxa"/>
            <w:shd w:val="clear" w:color="auto" w:fill="auto"/>
            <w:vAlign w:val="center"/>
          </w:tcPr>
          <w:p w14:paraId="64FFAC49">
            <w:pPr>
              <w:widowControl/>
              <w:jc w:val="center"/>
              <w:rPr>
                <w:rFonts w:ascii="Times New Roman" w:hAnsi="Times New Roman" w:eastAsia="仿宋_GB2312" w:cs="Times New Roman"/>
                <w:kern w:val="0"/>
                <w:sz w:val="21"/>
                <w:szCs w:val="21"/>
                <w:lang w:val="en-US" w:eastAsia="zh-CN" w:bidi="ar-SA"/>
              </w:rPr>
            </w:pPr>
            <w:r>
              <w:rPr>
                <w:rFonts w:hint="eastAsia"/>
              </w:rPr>
              <w:t>42</w:t>
            </w:r>
          </w:p>
        </w:tc>
        <w:tc>
          <w:tcPr>
            <w:tcW w:w="840" w:type="dxa"/>
            <w:shd w:val="clear" w:color="auto" w:fill="auto"/>
            <w:vAlign w:val="center"/>
          </w:tcPr>
          <w:p w14:paraId="4FDA238A">
            <w:pPr>
              <w:widowControl/>
              <w:jc w:val="center"/>
              <w:rPr>
                <w:rFonts w:ascii="Times New Roman" w:hAnsi="Times New Roman" w:eastAsia="仿宋_GB2312" w:cs="Times New Roman"/>
                <w:kern w:val="0"/>
                <w:sz w:val="21"/>
                <w:szCs w:val="21"/>
                <w:lang w:val="en-US" w:eastAsia="zh-CN" w:bidi="ar-SA"/>
              </w:rPr>
            </w:pPr>
            <w:r>
              <w:rPr>
                <w:rFonts w:hint="eastAsia" w:eastAsia="仿宋_GB2312"/>
              </w:rPr>
              <w:t>145</w:t>
            </w:r>
          </w:p>
        </w:tc>
        <w:tc>
          <w:tcPr>
            <w:tcW w:w="852" w:type="dxa"/>
            <w:shd w:val="clear" w:color="auto" w:fill="auto"/>
            <w:vAlign w:val="center"/>
          </w:tcPr>
          <w:p w14:paraId="266B4CDA">
            <w:pPr>
              <w:widowControl/>
              <w:jc w:val="center"/>
              <w:rPr>
                <w:rFonts w:ascii="Times New Roman" w:hAnsi="Times New Roman" w:eastAsia="仿宋_GB2312" w:cs="Times New Roman"/>
                <w:kern w:val="0"/>
                <w:sz w:val="21"/>
                <w:szCs w:val="21"/>
                <w:lang w:val="en-US" w:eastAsia="zh-CN" w:bidi="ar-SA"/>
              </w:rPr>
            </w:pPr>
            <w:r>
              <w:rPr>
                <w:rFonts w:hint="eastAsia" w:eastAsia="仿宋_GB2312"/>
              </w:rPr>
              <w:t>-87</w:t>
            </w:r>
          </w:p>
        </w:tc>
        <w:tc>
          <w:tcPr>
            <w:tcW w:w="1845" w:type="dxa"/>
            <w:shd w:val="clear" w:color="auto" w:fill="auto"/>
            <w:vAlign w:val="center"/>
          </w:tcPr>
          <w:p w14:paraId="558F56BA">
            <w:pPr>
              <w:spacing w:line="320" w:lineRule="exact"/>
              <w:jc w:val="center"/>
              <w:rPr>
                <w:rFonts w:eastAsia="仿宋_GB2312"/>
                <w:color w:val="auto"/>
                <w:szCs w:val="21"/>
                <w:lang w:val="en-US" w:eastAsia="zh-CN"/>
              </w:rPr>
            </w:pPr>
            <w:r>
              <w:rPr>
                <w:rFonts w:hint="eastAsia" w:eastAsia="仿宋_GB2312"/>
                <w:color w:val="auto"/>
                <w:szCs w:val="21"/>
              </w:rPr>
              <w:t>3700</w:t>
            </w:r>
            <w:r>
              <w:rPr>
                <w:rFonts w:hint="eastAsia" w:eastAsia="仿宋_GB2312"/>
                <w:color w:val="auto"/>
                <w:szCs w:val="21"/>
                <w:lang w:eastAsia="zh-CN"/>
              </w:rPr>
              <w:t>（</w:t>
            </w:r>
            <w:r>
              <w:rPr>
                <w:rFonts w:eastAsia="仿宋_GB2312"/>
                <w:color w:val="auto"/>
                <w:szCs w:val="21"/>
              </w:rPr>
              <w:t>大鼠</w:t>
            </w:r>
            <w:r>
              <w:rPr>
                <w:rFonts w:hint="eastAsia" w:eastAsia="仿宋_GB2312"/>
                <w:color w:val="auto"/>
                <w:szCs w:val="21"/>
                <w:lang w:eastAsia="zh-CN"/>
              </w:rPr>
              <w:t>）</w:t>
            </w:r>
          </w:p>
        </w:tc>
        <w:tc>
          <w:tcPr>
            <w:tcW w:w="1320" w:type="dxa"/>
            <w:shd w:val="clear" w:color="auto" w:fill="auto"/>
            <w:vAlign w:val="center"/>
          </w:tcPr>
          <w:p w14:paraId="334F55DE">
            <w:pPr>
              <w:spacing w:line="320" w:lineRule="exact"/>
              <w:jc w:val="center"/>
              <w:rPr>
                <w:rFonts w:eastAsia="仿宋_GB2312"/>
                <w:color w:val="auto"/>
                <w:szCs w:val="21"/>
                <w:lang w:val="en-US" w:eastAsia="zh-CN"/>
              </w:rPr>
            </w:pPr>
            <w:r>
              <w:rPr>
                <w:rFonts w:hint="eastAsia" w:eastAsia="仿宋_GB2312"/>
                <w:color w:val="auto"/>
                <w:szCs w:val="21"/>
              </w:rPr>
              <w:t>13000</w:t>
            </w:r>
            <w:r>
              <w:rPr>
                <w:rFonts w:eastAsia="仿宋_GB2312"/>
                <w:color w:val="auto"/>
                <w:szCs w:val="21"/>
              </w:rPr>
              <w:t>（兔）</w:t>
            </w:r>
          </w:p>
        </w:tc>
        <w:tc>
          <w:tcPr>
            <w:tcW w:w="1368" w:type="dxa"/>
            <w:vAlign w:val="center"/>
          </w:tcPr>
          <w:p w14:paraId="6D012390">
            <w:pPr>
              <w:spacing w:line="320" w:lineRule="exact"/>
              <w:jc w:val="center"/>
              <w:rPr>
                <w:rFonts w:hint="eastAsia" w:eastAsia="仿宋_GB2312"/>
                <w:color w:val="auto"/>
                <w:szCs w:val="21"/>
                <w:lang w:val="en-US" w:eastAsia="zh-CN"/>
              </w:rPr>
            </w:pPr>
            <w:r>
              <w:rPr>
                <w:rFonts w:hint="eastAsia" w:eastAsia="仿宋_GB2312"/>
                <w:color w:val="auto"/>
                <w:szCs w:val="21"/>
                <w:lang w:val="en-US" w:eastAsia="zh-CN"/>
              </w:rPr>
              <w:t>/</w:t>
            </w:r>
          </w:p>
        </w:tc>
      </w:tr>
    </w:tbl>
    <w:p w14:paraId="38D8EB4A">
      <w:pPr>
        <w:spacing w:line="500" w:lineRule="exact"/>
        <w:jc w:val="center"/>
        <w:rPr>
          <w:rFonts w:eastAsia="仿宋_GB2312"/>
          <w:b/>
          <w:bCs/>
          <w:color w:val="auto"/>
          <w:sz w:val="24"/>
        </w:rPr>
      </w:pPr>
    </w:p>
    <w:p w14:paraId="0A4E64A5">
      <w:pPr>
        <w:spacing w:line="500" w:lineRule="exact"/>
        <w:jc w:val="center"/>
        <w:rPr>
          <w:rFonts w:eastAsia="仿宋_GB2312"/>
          <w:b/>
          <w:color w:val="auto"/>
          <w:sz w:val="24"/>
        </w:rPr>
      </w:pPr>
      <w:r>
        <w:rPr>
          <w:rFonts w:eastAsia="仿宋_GB2312"/>
          <w:b/>
          <w:bCs/>
          <w:color w:val="auto"/>
          <w:sz w:val="24"/>
        </w:rPr>
        <w:t xml:space="preserve">表3.8-7  </w:t>
      </w:r>
      <w:r>
        <w:rPr>
          <w:rFonts w:eastAsia="仿宋_GB2312"/>
          <w:b/>
          <w:color w:val="auto"/>
          <w:sz w:val="24"/>
        </w:rPr>
        <w:t>危险性物质判定结果表</w:t>
      </w:r>
    </w:p>
    <w:tbl>
      <w:tblPr>
        <w:tblStyle w:val="88"/>
        <w:tblW w:w="9157"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525"/>
        <w:gridCol w:w="804"/>
        <w:gridCol w:w="1092"/>
        <w:gridCol w:w="4716"/>
        <w:gridCol w:w="1020"/>
      </w:tblGrid>
      <w:tr w14:paraId="618012C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525" w:type="dxa"/>
            <w:vAlign w:val="center"/>
          </w:tcPr>
          <w:p w14:paraId="7C77CE74">
            <w:pPr>
              <w:adjustRightInd w:val="0"/>
              <w:snapToGrid w:val="0"/>
              <w:spacing w:line="320" w:lineRule="exact"/>
              <w:jc w:val="center"/>
              <w:rPr>
                <w:rFonts w:eastAsia="仿宋_GB2312"/>
                <w:b/>
                <w:color w:val="auto"/>
                <w:szCs w:val="21"/>
              </w:rPr>
            </w:pPr>
            <w:r>
              <w:rPr>
                <w:rFonts w:eastAsia="仿宋_GB2312"/>
                <w:b/>
                <w:color w:val="auto"/>
                <w:szCs w:val="21"/>
              </w:rPr>
              <w:t>物质名称</w:t>
            </w:r>
          </w:p>
        </w:tc>
        <w:tc>
          <w:tcPr>
            <w:tcW w:w="804" w:type="dxa"/>
            <w:vAlign w:val="center"/>
          </w:tcPr>
          <w:p w14:paraId="1B38210B">
            <w:pPr>
              <w:adjustRightInd w:val="0"/>
              <w:snapToGrid w:val="0"/>
              <w:spacing w:line="320" w:lineRule="exact"/>
              <w:jc w:val="center"/>
              <w:rPr>
                <w:rFonts w:eastAsia="仿宋_GB2312"/>
                <w:b/>
                <w:color w:val="auto"/>
                <w:szCs w:val="21"/>
              </w:rPr>
            </w:pPr>
            <w:r>
              <w:rPr>
                <w:rFonts w:eastAsia="仿宋_GB2312"/>
                <w:b/>
                <w:color w:val="auto"/>
                <w:szCs w:val="21"/>
              </w:rPr>
              <w:t>毒性</w:t>
            </w:r>
          </w:p>
        </w:tc>
        <w:tc>
          <w:tcPr>
            <w:tcW w:w="1092" w:type="dxa"/>
            <w:vAlign w:val="center"/>
          </w:tcPr>
          <w:p w14:paraId="535861DC">
            <w:pPr>
              <w:adjustRightInd w:val="0"/>
              <w:snapToGrid w:val="0"/>
              <w:spacing w:line="320" w:lineRule="exact"/>
              <w:jc w:val="center"/>
              <w:rPr>
                <w:rFonts w:eastAsia="仿宋_GB2312"/>
                <w:b/>
                <w:color w:val="auto"/>
                <w:szCs w:val="21"/>
              </w:rPr>
            </w:pPr>
            <w:r>
              <w:rPr>
                <w:rFonts w:eastAsia="仿宋_GB2312"/>
                <w:b/>
                <w:color w:val="auto"/>
                <w:szCs w:val="21"/>
              </w:rPr>
              <w:t>燃烧性</w:t>
            </w:r>
          </w:p>
        </w:tc>
        <w:tc>
          <w:tcPr>
            <w:tcW w:w="4716" w:type="dxa"/>
            <w:vAlign w:val="center"/>
          </w:tcPr>
          <w:p w14:paraId="00AF1DFA">
            <w:pPr>
              <w:adjustRightInd w:val="0"/>
              <w:snapToGrid w:val="0"/>
              <w:spacing w:line="320" w:lineRule="exact"/>
              <w:jc w:val="center"/>
              <w:rPr>
                <w:rFonts w:eastAsia="仿宋_GB2312"/>
                <w:b/>
                <w:color w:val="auto"/>
                <w:szCs w:val="21"/>
              </w:rPr>
            </w:pPr>
            <w:r>
              <w:rPr>
                <w:rFonts w:eastAsia="仿宋_GB2312"/>
                <w:b/>
                <w:color w:val="auto"/>
                <w:szCs w:val="21"/>
              </w:rPr>
              <w:t>爆炸性</w:t>
            </w:r>
          </w:p>
        </w:tc>
        <w:tc>
          <w:tcPr>
            <w:tcW w:w="1020" w:type="dxa"/>
            <w:vAlign w:val="center"/>
          </w:tcPr>
          <w:p w14:paraId="591DA642">
            <w:pPr>
              <w:adjustRightInd w:val="0"/>
              <w:snapToGrid w:val="0"/>
              <w:spacing w:line="320" w:lineRule="exact"/>
              <w:jc w:val="center"/>
              <w:rPr>
                <w:rFonts w:eastAsia="仿宋_GB2312"/>
                <w:b/>
                <w:color w:val="auto"/>
                <w:szCs w:val="21"/>
              </w:rPr>
            </w:pPr>
            <w:r>
              <w:rPr>
                <w:rFonts w:eastAsia="仿宋_GB2312"/>
                <w:b/>
                <w:color w:val="auto"/>
                <w:szCs w:val="21"/>
              </w:rPr>
              <w:t>腐蚀性</w:t>
            </w:r>
          </w:p>
        </w:tc>
      </w:tr>
      <w:tr w14:paraId="662DAA9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525" w:type="dxa"/>
            <w:vAlign w:val="center"/>
          </w:tcPr>
          <w:p w14:paraId="095D820A">
            <w:pPr>
              <w:adjustRightInd w:val="0"/>
              <w:snapToGrid w:val="0"/>
              <w:spacing w:line="320" w:lineRule="exact"/>
              <w:jc w:val="center"/>
              <w:rPr>
                <w:rFonts w:eastAsia="仿宋_GB2312"/>
                <w:color w:val="auto"/>
                <w:szCs w:val="21"/>
              </w:rPr>
            </w:pPr>
            <w:r>
              <w:rPr>
                <w:rFonts w:eastAsia="仿宋_GB2312"/>
                <w:color w:val="auto"/>
                <w:szCs w:val="21"/>
              </w:rPr>
              <w:t>N-甲基吡咯烷酮</w:t>
            </w:r>
          </w:p>
        </w:tc>
        <w:tc>
          <w:tcPr>
            <w:tcW w:w="804" w:type="dxa"/>
            <w:vAlign w:val="center"/>
          </w:tcPr>
          <w:p w14:paraId="63526504">
            <w:pPr>
              <w:adjustRightInd w:val="0"/>
              <w:snapToGrid w:val="0"/>
              <w:spacing w:line="320" w:lineRule="exact"/>
              <w:jc w:val="center"/>
              <w:rPr>
                <w:rFonts w:eastAsia="仿宋_GB2312"/>
                <w:color w:val="auto"/>
                <w:szCs w:val="21"/>
              </w:rPr>
            </w:pPr>
            <w:r>
              <w:rPr>
                <w:rFonts w:eastAsia="仿宋_GB2312"/>
                <w:color w:val="auto"/>
                <w:szCs w:val="21"/>
              </w:rPr>
              <w:t>低毒</w:t>
            </w:r>
          </w:p>
        </w:tc>
        <w:tc>
          <w:tcPr>
            <w:tcW w:w="1092" w:type="dxa"/>
            <w:vAlign w:val="center"/>
          </w:tcPr>
          <w:p w14:paraId="6AFA2ACF">
            <w:pPr>
              <w:adjustRightInd w:val="0"/>
              <w:snapToGrid w:val="0"/>
              <w:spacing w:line="320" w:lineRule="exact"/>
              <w:jc w:val="center"/>
              <w:rPr>
                <w:rFonts w:eastAsia="仿宋_GB2312"/>
                <w:color w:val="auto"/>
                <w:szCs w:val="21"/>
              </w:rPr>
            </w:pPr>
            <w:r>
              <w:rPr>
                <w:rFonts w:eastAsia="仿宋_GB2312"/>
                <w:color w:val="auto"/>
                <w:szCs w:val="21"/>
              </w:rPr>
              <w:t>易燃</w:t>
            </w:r>
          </w:p>
        </w:tc>
        <w:tc>
          <w:tcPr>
            <w:tcW w:w="4716" w:type="dxa"/>
            <w:vAlign w:val="center"/>
          </w:tcPr>
          <w:p w14:paraId="1A4937AB">
            <w:pPr>
              <w:spacing w:line="320" w:lineRule="exact"/>
              <w:jc w:val="center"/>
              <w:rPr>
                <w:rFonts w:eastAsia="仿宋_GB2312"/>
                <w:color w:val="auto"/>
                <w:szCs w:val="21"/>
              </w:rPr>
            </w:pPr>
            <w:r>
              <w:rPr>
                <w:rFonts w:eastAsia="仿宋_GB2312"/>
                <w:color w:val="auto"/>
                <w:szCs w:val="21"/>
              </w:rPr>
              <w:t>遇明火、高温、强氧化剂可燃</w:t>
            </w:r>
          </w:p>
        </w:tc>
        <w:tc>
          <w:tcPr>
            <w:tcW w:w="1020" w:type="dxa"/>
            <w:vAlign w:val="center"/>
          </w:tcPr>
          <w:p w14:paraId="05E96754">
            <w:pPr>
              <w:adjustRightInd w:val="0"/>
              <w:snapToGrid w:val="0"/>
              <w:spacing w:line="320" w:lineRule="exact"/>
              <w:jc w:val="center"/>
              <w:rPr>
                <w:rFonts w:eastAsia="仿宋_GB2312"/>
                <w:color w:val="auto"/>
                <w:szCs w:val="21"/>
              </w:rPr>
            </w:pPr>
            <w:r>
              <w:rPr>
                <w:rFonts w:eastAsia="仿宋_GB2312"/>
                <w:color w:val="auto"/>
                <w:szCs w:val="21"/>
              </w:rPr>
              <w:t>/</w:t>
            </w:r>
          </w:p>
        </w:tc>
      </w:tr>
      <w:tr w14:paraId="29ABDCA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525" w:type="dxa"/>
            <w:vAlign w:val="center"/>
          </w:tcPr>
          <w:p w14:paraId="00F5B7ED">
            <w:pPr>
              <w:adjustRightInd w:val="0"/>
              <w:snapToGrid w:val="0"/>
              <w:spacing w:line="320" w:lineRule="exact"/>
              <w:jc w:val="center"/>
              <w:rPr>
                <w:rFonts w:eastAsia="仿宋_GB2312"/>
                <w:color w:val="auto"/>
                <w:szCs w:val="21"/>
              </w:rPr>
            </w:pPr>
            <w:r>
              <w:rPr>
                <w:rFonts w:eastAsia="仿宋_GB2312"/>
                <w:color w:val="auto"/>
                <w:szCs w:val="21"/>
              </w:rPr>
              <w:t>异丙醇</w:t>
            </w:r>
          </w:p>
        </w:tc>
        <w:tc>
          <w:tcPr>
            <w:tcW w:w="804" w:type="dxa"/>
            <w:vAlign w:val="center"/>
          </w:tcPr>
          <w:p w14:paraId="6D9DAF80">
            <w:pPr>
              <w:adjustRightInd w:val="0"/>
              <w:snapToGrid w:val="0"/>
              <w:spacing w:line="320" w:lineRule="exact"/>
              <w:jc w:val="center"/>
              <w:rPr>
                <w:rFonts w:eastAsia="仿宋_GB2312"/>
                <w:color w:val="auto"/>
                <w:szCs w:val="21"/>
              </w:rPr>
            </w:pPr>
            <w:r>
              <w:rPr>
                <w:rFonts w:eastAsia="仿宋_GB2312"/>
                <w:color w:val="auto"/>
                <w:szCs w:val="21"/>
              </w:rPr>
              <w:t>低毒</w:t>
            </w:r>
          </w:p>
        </w:tc>
        <w:tc>
          <w:tcPr>
            <w:tcW w:w="1092" w:type="dxa"/>
            <w:vAlign w:val="center"/>
          </w:tcPr>
          <w:p w14:paraId="5562A860">
            <w:pPr>
              <w:adjustRightInd w:val="0"/>
              <w:snapToGrid w:val="0"/>
              <w:spacing w:line="320" w:lineRule="exact"/>
              <w:jc w:val="center"/>
              <w:rPr>
                <w:rFonts w:eastAsia="仿宋_GB2312"/>
                <w:color w:val="auto"/>
                <w:szCs w:val="21"/>
              </w:rPr>
            </w:pPr>
            <w:r>
              <w:rPr>
                <w:rFonts w:eastAsia="仿宋_GB2312"/>
                <w:color w:val="auto"/>
                <w:szCs w:val="21"/>
              </w:rPr>
              <w:t>易燃</w:t>
            </w:r>
          </w:p>
        </w:tc>
        <w:tc>
          <w:tcPr>
            <w:tcW w:w="4716" w:type="dxa"/>
            <w:vAlign w:val="center"/>
          </w:tcPr>
          <w:p w14:paraId="44E25F63">
            <w:pPr>
              <w:spacing w:line="320" w:lineRule="exact"/>
              <w:jc w:val="center"/>
              <w:rPr>
                <w:rFonts w:eastAsia="仿宋_GB2312"/>
                <w:color w:val="auto"/>
                <w:szCs w:val="21"/>
              </w:rPr>
            </w:pPr>
            <w:r>
              <w:rPr>
                <w:rFonts w:eastAsia="仿宋_GB2312"/>
                <w:color w:val="auto"/>
                <w:szCs w:val="21"/>
              </w:rPr>
              <w:t>遇明火、高温、强氧化剂可燃</w:t>
            </w:r>
          </w:p>
        </w:tc>
        <w:tc>
          <w:tcPr>
            <w:tcW w:w="1020" w:type="dxa"/>
            <w:vAlign w:val="center"/>
          </w:tcPr>
          <w:p w14:paraId="3B72441D">
            <w:pPr>
              <w:adjustRightInd w:val="0"/>
              <w:snapToGrid w:val="0"/>
              <w:spacing w:line="320" w:lineRule="exact"/>
              <w:jc w:val="center"/>
              <w:rPr>
                <w:rFonts w:eastAsia="仿宋_GB2312"/>
                <w:color w:val="auto"/>
                <w:szCs w:val="21"/>
              </w:rPr>
            </w:pPr>
            <w:r>
              <w:rPr>
                <w:rFonts w:eastAsia="仿宋_GB2312"/>
                <w:color w:val="auto"/>
                <w:szCs w:val="21"/>
              </w:rPr>
              <w:t>/</w:t>
            </w:r>
          </w:p>
        </w:tc>
      </w:tr>
      <w:tr w14:paraId="1820F38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525" w:type="dxa"/>
            <w:vAlign w:val="center"/>
          </w:tcPr>
          <w:p w14:paraId="413C135C">
            <w:pPr>
              <w:adjustRightInd w:val="0"/>
              <w:snapToGrid w:val="0"/>
              <w:spacing w:line="320" w:lineRule="exact"/>
              <w:jc w:val="center"/>
              <w:rPr>
                <w:rFonts w:eastAsia="仿宋_GB2312"/>
                <w:color w:val="auto"/>
                <w:szCs w:val="21"/>
              </w:rPr>
            </w:pPr>
            <w:r>
              <w:rPr>
                <w:rFonts w:eastAsia="仿宋_GB2312"/>
                <w:color w:val="auto"/>
                <w:szCs w:val="21"/>
              </w:rPr>
              <w:t>丁酮</w:t>
            </w:r>
          </w:p>
        </w:tc>
        <w:tc>
          <w:tcPr>
            <w:tcW w:w="804" w:type="dxa"/>
            <w:vAlign w:val="center"/>
          </w:tcPr>
          <w:p w14:paraId="38BF8877">
            <w:pPr>
              <w:adjustRightInd w:val="0"/>
              <w:snapToGrid w:val="0"/>
              <w:spacing w:line="320" w:lineRule="exact"/>
              <w:jc w:val="center"/>
              <w:rPr>
                <w:rFonts w:eastAsia="仿宋_GB2312"/>
                <w:color w:val="auto"/>
                <w:szCs w:val="21"/>
              </w:rPr>
            </w:pPr>
            <w:r>
              <w:rPr>
                <w:rFonts w:eastAsia="仿宋_GB2312"/>
                <w:color w:val="auto"/>
                <w:szCs w:val="21"/>
              </w:rPr>
              <w:t>低毒</w:t>
            </w:r>
          </w:p>
        </w:tc>
        <w:tc>
          <w:tcPr>
            <w:tcW w:w="1092" w:type="dxa"/>
          </w:tcPr>
          <w:p w14:paraId="26E3011E">
            <w:pPr>
              <w:adjustRightInd w:val="0"/>
              <w:snapToGrid w:val="0"/>
              <w:spacing w:line="320" w:lineRule="exact"/>
              <w:jc w:val="center"/>
              <w:rPr>
                <w:rFonts w:eastAsia="仿宋_GB2312"/>
                <w:color w:val="auto"/>
                <w:szCs w:val="21"/>
              </w:rPr>
            </w:pPr>
            <w:r>
              <w:rPr>
                <w:rFonts w:eastAsia="仿宋_GB2312"/>
                <w:color w:val="auto"/>
                <w:szCs w:val="21"/>
              </w:rPr>
              <w:t>易燃</w:t>
            </w:r>
          </w:p>
        </w:tc>
        <w:tc>
          <w:tcPr>
            <w:tcW w:w="4716" w:type="dxa"/>
          </w:tcPr>
          <w:p w14:paraId="6DAEA51A">
            <w:pPr>
              <w:adjustRightInd w:val="0"/>
              <w:snapToGrid w:val="0"/>
              <w:spacing w:line="320" w:lineRule="exact"/>
              <w:jc w:val="center"/>
              <w:rPr>
                <w:rFonts w:eastAsia="仿宋_GB2312"/>
                <w:color w:val="auto"/>
                <w:szCs w:val="21"/>
              </w:rPr>
            </w:pPr>
            <w:r>
              <w:rPr>
                <w:rFonts w:eastAsia="仿宋_GB2312"/>
                <w:color w:val="auto"/>
                <w:szCs w:val="21"/>
              </w:rPr>
              <w:t>蒸气能与空气形成</w:t>
            </w:r>
            <w:r>
              <w:rPr>
                <w:color w:val="auto"/>
              </w:rPr>
              <w:fldChar w:fldCharType="begin"/>
            </w:r>
            <w:r>
              <w:rPr>
                <w:color w:val="auto"/>
              </w:rPr>
              <w:instrText xml:space="preserve"> HYPERLINK "https://baike.baidu.com/item/%E7%88%86%E7%82%B8%E6%80%A7%E6%B7%B7%E5%90%88%E7%89%A9" </w:instrText>
            </w:r>
            <w:r>
              <w:rPr>
                <w:color w:val="auto"/>
              </w:rPr>
              <w:fldChar w:fldCharType="separate"/>
            </w:r>
            <w:r>
              <w:rPr>
                <w:rFonts w:eastAsia="仿宋_GB2312"/>
                <w:color w:val="auto"/>
                <w:szCs w:val="21"/>
              </w:rPr>
              <w:t>爆炸性混合物</w:t>
            </w:r>
            <w:r>
              <w:rPr>
                <w:rFonts w:eastAsia="仿宋_GB2312"/>
                <w:color w:val="auto"/>
                <w:szCs w:val="21"/>
              </w:rPr>
              <w:fldChar w:fldCharType="end"/>
            </w:r>
          </w:p>
        </w:tc>
        <w:tc>
          <w:tcPr>
            <w:tcW w:w="1020" w:type="dxa"/>
            <w:vAlign w:val="center"/>
          </w:tcPr>
          <w:p w14:paraId="6000C20A">
            <w:pPr>
              <w:adjustRightInd w:val="0"/>
              <w:snapToGrid w:val="0"/>
              <w:spacing w:line="320" w:lineRule="exact"/>
              <w:jc w:val="center"/>
              <w:rPr>
                <w:rFonts w:eastAsia="仿宋_GB2312"/>
                <w:color w:val="auto"/>
                <w:szCs w:val="21"/>
              </w:rPr>
            </w:pPr>
            <w:r>
              <w:rPr>
                <w:rFonts w:eastAsia="仿宋_GB2312"/>
                <w:color w:val="auto"/>
                <w:szCs w:val="21"/>
              </w:rPr>
              <w:t>/</w:t>
            </w:r>
          </w:p>
        </w:tc>
      </w:tr>
      <w:tr w14:paraId="436B210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525" w:type="dxa"/>
            <w:vAlign w:val="center"/>
          </w:tcPr>
          <w:p w14:paraId="432BE347">
            <w:pPr>
              <w:adjustRightInd w:val="0"/>
              <w:snapToGrid w:val="0"/>
              <w:spacing w:line="320" w:lineRule="exact"/>
              <w:jc w:val="center"/>
              <w:rPr>
                <w:rFonts w:eastAsia="仿宋_GB2312"/>
                <w:color w:val="auto"/>
                <w:szCs w:val="21"/>
              </w:rPr>
            </w:pPr>
            <w:r>
              <w:rPr>
                <w:rFonts w:eastAsia="仿宋_GB2312"/>
                <w:color w:val="auto"/>
                <w:szCs w:val="21"/>
              </w:rPr>
              <w:t>乙醇</w:t>
            </w:r>
          </w:p>
        </w:tc>
        <w:tc>
          <w:tcPr>
            <w:tcW w:w="804" w:type="dxa"/>
            <w:vAlign w:val="center"/>
          </w:tcPr>
          <w:p w14:paraId="05BAF516">
            <w:pPr>
              <w:adjustRightInd w:val="0"/>
              <w:snapToGrid w:val="0"/>
              <w:spacing w:line="320" w:lineRule="exact"/>
              <w:jc w:val="center"/>
              <w:rPr>
                <w:rFonts w:eastAsia="仿宋_GB2312"/>
                <w:color w:val="auto"/>
                <w:szCs w:val="21"/>
              </w:rPr>
            </w:pPr>
            <w:r>
              <w:rPr>
                <w:rFonts w:eastAsia="仿宋_GB2312"/>
                <w:color w:val="auto"/>
                <w:szCs w:val="21"/>
              </w:rPr>
              <w:t>低毒</w:t>
            </w:r>
          </w:p>
        </w:tc>
        <w:tc>
          <w:tcPr>
            <w:tcW w:w="1092" w:type="dxa"/>
            <w:vAlign w:val="center"/>
          </w:tcPr>
          <w:p w14:paraId="7058FBBF">
            <w:pPr>
              <w:adjustRightInd w:val="0"/>
              <w:snapToGrid w:val="0"/>
              <w:spacing w:line="320" w:lineRule="exact"/>
              <w:jc w:val="center"/>
              <w:rPr>
                <w:rFonts w:eastAsia="仿宋_GB2312"/>
                <w:color w:val="auto"/>
                <w:szCs w:val="21"/>
              </w:rPr>
            </w:pPr>
            <w:r>
              <w:rPr>
                <w:rFonts w:eastAsia="仿宋_GB2312"/>
                <w:color w:val="auto"/>
                <w:szCs w:val="21"/>
              </w:rPr>
              <w:t>易燃</w:t>
            </w:r>
          </w:p>
        </w:tc>
        <w:tc>
          <w:tcPr>
            <w:tcW w:w="4716" w:type="dxa"/>
            <w:vAlign w:val="center"/>
          </w:tcPr>
          <w:p w14:paraId="20BEB56A">
            <w:pPr>
              <w:adjustRightInd w:val="0"/>
              <w:snapToGrid w:val="0"/>
              <w:spacing w:line="320" w:lineRule="exact"/>
              <w:jc w:val="center"/>
              <w:rPr>
                <w:rFonts w:eastAsia="仿宋_GB2312"/>
                <w:color w:val="auto"/>
                <w:szCs w:val="21"/>
              </w:rPr>
            </w:pPr>
            <w:r>
              <w:rPr>
                <w:rFonts w:eastAsia="仿宋_GB2312"/>
                <w:color w:val="auto"/>
                <w:szCs w:val="21"/>
              </w:rPr>
              <w:t>其蒸气与空气可形成爆炸性混合物，遇明火、高热能引起燃烧爆炸</w:t>
            </w:r>
          </w:p>
        </w:tc>
        <w:tc>
          <w:tcPr>
            <w:tcW w:w="1020" w:type="dxa"/>
            <w:vAlign w:val="center"/>
          </w:tcPr>
          <w:p w14:paraId="4F42740E">
            <w:pPr>
              <w:adjustRightInd w:val="0"/>
              <w:snapToGrid w:val="0"/>
              <w:spacing w:line="320" w:lineRule="exact"/>
              <w:jc w:val="center"/>
              <w:rPr>
                <w:rFonts w:eastAsia="仿宋_GB2312"/>
                <w:color w:val="auto"/>
                <w:szCs w:val="21"/>
              </w:rPr>
            </w:pPr>
            <w:r>
              <w:rPr>
                <w:rFonts w:eastAsia="仿宋_GB2312"/>
                <w:color w:val="auto"/>
                <w:szCs w:val="21"/>
              </w:rPr>
              <w:t>/</w:t>
            </w:r>
          </w:p>
        </w:tc>
      </w:tr>
      <w:tr w14:paraId="70FB2A3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525" w:type="dxa"/>
            <w:vAlign w:val="center"/>
          </w:tcPr>
          <w:p w14:paraId="7FDF624F">
            <w:pPr>
              <w:adjustRightInd w:val="0"/>
              <w:snapToGrid w:val="0"/>
              <w:spacing w:line="320" w:lineRule="exact"/>
              <w:jc w:val="center"/>
              <w:rPr>
                <w:rFonts w:eastAsia="仿宋_GB2312"/>
                <w:color w:val="auto"/>
                <w:szCs w:val="21"/>
              </w:rPr>
            </w:pPr>
            <w:r>
              <w:rPr>
                <w:rFonts w:eastAsia="仿宋_GB2312"/>
                <w:color w:val="auto"/>
                <w:szCs w:val="21"/>
              </w:rPr>
              <w:t>乙酸乙酯</w:t>
            </w:r>
          </w:p>
        </w:tc>
        <w:tc>
          <w:tcPr>
            <w:tcW w:w="804" w:type="dxa"/>
            <w:vAlign w:val="center"/>
          </w:tcPr>
          <w:p w14:paraId="37CB5D32">
            <w:pPr>
              <w:adjustRightInd w:val="0"/>
              <w:snapToGrid w:val="0"/>
              <w:spacing w:line="320" w:lineRule="exact"/>
              <w:jc w:val="center"/>
              <w:rPr>
                <w:rFonts w:eastAsia="仿宋_GB2312"/>
                <w:color w:val="auto"/>
                <w:szCs w:val="21"/>
              </w:rPr>
            </w:pPr>
            <w:r>
              <w:rPr>
                <w:rFonts w:eastAsia="仿宋_GB2312"/>
                <w:color w:val="auto"/>
                <w:szCs w:val="21"/>
              </w:rPr>
              <w:t>低毒</w:t>
            </w:r>
          </w:p>
        </w:tc>
        <w:tc>
          <w:tcPr>
            <w:tcW w:w="1092" w:type="dxa"/>
            <w:vAlign w:val="center"/>
          </w:tcPr>
          <w:p w14:paraId="0FC3219B">
            <w:pPr>
              <w:adjustRightInd w:val="0"/>
              <w:snapToGrid w:val="0"/>
              <w:spacing w:line="320" w:lineRule="exact"/>
              <w:jc w:val="center"/>
              <w:rPr>
                <w:rFonts w:eastAsia="仿宋_GB2312"/>
                <w:color w:val="auto"/>
                <w:szCs w:val="21"/>
              </w:rPr>
            </w:pPr>
            <w:r>
              <w:rPr>
                <w:rFonts w:eastAsia="仿宋_GB2312"/>
                <w:color w:val="auto"/>
                <w:szCs w:val="21"/>
              </w:rPr>
              <w:t>易燃</w:t>
            </w:r>
          </w:p>
        </w:tc>
        <w:tc>
          <w:tcPr>
            <w:tcW w:w="4716" w:type="dxa"/>
            <w:vAlign w:val="center"/>
          </w:tcPr>
          <w:p w14:paraId="4BECF400">
            <w:pPr>
              <w:adjustRightInd w:val="0"/>
              <w:snapToGrid w:val="0"/>
              <w:spacing w:line="320" w:lineRule="exact"/>
              <w:jc w:val="center"/>
              <w:rPr>
                <w:rFonts w:eastAsia="仿宋_GB2312"/>
                <w:color w:val="auto"/>
                <w:szCs w:val="21"/>
              </w:rPr>
            </w:pPr>
            <w:r>
              <w:rPr>
                <w:rFonts w:eastAsia="仿宋_GB2312"/>
                <w:color w:val="auto"/>
                <w:szCs w:val="21"/>
              </w:rPr>
              <w:t>蒸气与空气可形成爆炸性混合物。遇明火、高热能引起燃烧爆炸</w:t>
            </w:r>
          </w:p>
        </w:tc>
        <w:tc>
          <w:tcPr>
            <w:tcW w:w="1020" w:type="dxa"/>
            <w:vAlign w:val="center"/>
          </w:tcPr>
          <w:p w14:paraId="5C5982C8">
            <w:pPr>
              <w:adjustRightInd w:val="0"/>
              <w:snapToGrid w:val="0"/>
              <w:spacing w:line="320" w:lineRule="exact"/>
              <w:jc w:val="center"/>
              <w:rPr>
                <w:rFonts w:eastAsia="仿宋_GB2312"/>
                <w:color w:val="auto"/>
                <w:szCs w:val="21"/>
              </w:rPr>
            </w:pPr>
            <w:r>
              <w:rPr>
                <w:rFonts w:eastAsia="仿宋_GB2312"/>
                <w:color w:val="auto"/>
                <w:szCs w:val="21"/>
              </w:rPr>
              <w:t>/</w:t>
            </w:r>
          </w:p>
        </w:tc>
      </w:tr>
      <w:tr w14:paraId="4994958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525" w:type="dxa"/>
            <w:vAlign w:val="center"/>
          </w:tcPr>
          <w:p w14:paraId="6E906277">
            <w:pPr>
              <w:adjustRightInd w:val="0"/>
              <w:snapToGrid w:val="0"/>
              <w:spacing w:line="320" w:lineRule="exact"/>
              <w:jc w:val="center"/>
              <w:rPr>
                <w:rFonts w:eastAsia="仿宋_GB2312"/>
                <w:color w:val="auto"/>
                <w:szCs w:val="21"/>
              </w:rPr>
            </w:pPr>
            <w:r>
              <w:rPr>
                <w:rFonts w:eastAsia="仿宋_GB2312"/>
                <w:color w:val="auto"/>
                <w:szCs w:val="21"/>
              </w:rPr>
              <w:t>乙二醇</w:t>
            </w:r>
          </w:p>
        </w:tc>
        <w:tc>
          <w:tcPr>
            <w:tcW w:w="804" w:type="dxa"/>
            <w:vAlign w:val="center"/>
          </w:tcPr>
          <w:p w14:paraId="341E5642">
            <w:pPr>
              <w:adjustRightInd w:val="0"/>
              <w:snapToGrid w:val="0"/>
              <w:spacing w:line="320" w:lineRule="exact"/>
              <w:jc w:val="center"/>
              <w:rPr>
                <w:rFonts w:eastAsia="仿宋_GB2312"/>
                <w:color w:val="auto"/>
                <w:szCs w:val="21"/>
              </w:rPr>
            </w:pPr>
            <w:r>
              <w:rPr>
                <w:rFonts w:eastAsia="仿宋_GB2312"/>
                <w:color w:val="auto"/>
                <w:szCs w:val="21"/>
              </w:rPr>
              <w:t>低毒</w:t>
            </w:r>
          </w:p>
        </w:tc>
        <w:tc>
          <w:tcPr>
            <w:tcW w:w="1092" w:type="dxa"/>
            <w:vAlign w:val="center"/>
          </w:tcPr>
          <w:p w14:paraId="0ADFF287">
            <w:pPr>
              <w:adjustRightInd w:val="0"/>
              <w:snapToGrid w:val="0"/>
              <w:spacing w:line="320" w:lineRule="exact"/>
              <w:jc w:val="center"/>
              <w:rPr>
                <w:rFonts w:eastAsia="仿宋_GB2312"/>
                <w:color w:val="auto"/>
                <w:szCs w:val="21"/>
              </w:rPr>
            </w:pPr>
            <w:r>
              <w:rPr>
                <w:rFonts w:eastAsia="仿宋_GB2312"/>
                <w:color w:val="auto"/>
                <w:szCs w:val="21"/>
              </w:rPr>
              <w:t>易燃</w:t>
            </w:r>
          </w:p>
        </w:tc>
        <w:tc>
          <w:tcPr>
            <w:tcW w:w="4716" w:type="dxa"/>
            <w:vAlign w:val="center"/>
          </w:tcPr>
          <w:p w14:paraId="4C67E2A2">
            <w:pPr>
              <w:adjustRightInd w:val="0"/>
              <w:snapToGrid w:val="0"/>
              <w:spacing w:line="320" w:lineRule="exact"/>
              <w:jc w:val="center"/>
              <w:rPr>
                <w:rFonts w:eastAsia="仿宋_GB2312"/>
                <w:color w:val="auto"/>
                <w:szCs w:val="21"/>
              </w:rPr>
            </w:pPr>
            <w:r>
              <w:rPr>
                <w:rFonts w:eastAsia="仿宋_GB2312"/>
                <w:color w:val="auto"/>
                <w:szCs w:val="21"/>
              </w:rPr>
              <w:t>遇明火、高热或与氧化剂接触，有引起燃烧爆炸的危险</w:t>
            </w:r>
          </w:p>
        </w:tc>
        <w:tc>
          <w:tcPr>
            <w:tcW w:w="1020" w:type="dxa"/>
            <w:vAlign w:val="center"/>
          </w:tcPr>
          <w:p w14:paraId="486E4687">
            <w:pPr>
              <w:adjustRightInd w:val="0"/>
              <w:snapToGrid w:val="0"/>
              <w:spacing w:line="320" w:lineRule="exact"/>
              <w:jc w:val="center"/>
              <w:rPr>
                <w:rFonts w:eastAsia="仿宋_GB2312"/>
                <w:color w:val="auto"/>
                <w:szCs w:val="21"/>
              </w:rPr>
            </w:pPr>
            <w:r>
              <w:rPr>
                <w:rFonts w:eastAsia="仿宋_GB2312"/>
                <w:color w:val="auto"/>
                <w:szCs w:val="21"/>
              </w:rPr>
              <w:t>/</w:t>
            </w:r>
          </w:p>
        </w:tc>
      </w:tr>
      <w:tr w14:paraId="544456C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525" w:type="dxa"/>
            <w:vAlign w:val="center"/>
          </w:tcPr>
          <w:p w14:paraId="6439A992">
            <w:pPr>
              <w:adjustRightInd w:val="0"/>
              <w:snapToGrid w:val="0"/>
              <w:spacing w:line="320" w:lineRule="exact"/>
              <w:jc w:val="center"/>
              <w:rPr>
                <w:rFonts w:eastAsia="仿宋_GB2312"/>
                <w:color w:val="auto"/>
                <w:szCs w:val="21"/>
              </w:rPr>
            </w:pPr>
            <w:r>
              <w:rPr>
                <w:rFonts w:eastAsia="仿宋_GB2312"/>
                <w:color w:val="auto"/>
                <w:szCs w:val="21"/>
              </w:rPr>
              <w:t>二氯甲烷</w:t>
            </w:r>
          </w:p>
        </w:tc>
        <w:tc>
          <w:tcPr>
            <w:tcW w:w="804" w:type="dxa"/>
            <w:vAlign w:val="center"/>
          </w:tcPr>
          <w:p w14:paraId="132B2919">
            <w:pPr>
              <w:adjustRightInd w:val="0"/>
              <w:snapToGrid w:val="0"/>
              <w:spacing w:line="320" w:lineRule="exact"/>
              <w:jc w:val="center"/>
              <w:rPr>
                <w:rFonts w:eastAsia="仿宋_GB2312"/>
                <w:color w:val="auto"/>
                <w:szCs w:val="21"/>
              </w:rPr>
            </w:pPr>
            <w:r>
              <w:rPr>
                <w:rFonts w:eastAsia="仿宋_GB2312"/>
                <w:color w:val="auto"/>
                <w:szCs w:val="21"/>
              </w:rPr>
              <w:t>低毒</w:t>
            </w:r>
          </w:p>
        </w:tc>
        <w:tc>
          <w:tcPr>
            <w:tcW w:w="1092" w:type="dxa"/>
            <w:vAlign w:val="center"/>
          </w:tcPr>
          <w:p w14:paraId="79D45C80">
            <w:pPr>
              <w:adjustRightInd w:val="0"/>
              <w:snapToGrid w:val="0"/>
              <w:spacing w:line="320" w:lineRule="exact"/>
              <w:jc w:val="center"/>
              <w:rPr>
                <w:rFonts w:eastAsia="仿宋_GB2312"/>
                <w:color w:val="auto"/>
                <w:szCs w:val="21"/>
              </w:rPr>
            </w:pPr>
            <w:r>
              <w:rPr>
                <w:rFonts w:eastAsia="仿宋_GB2312"/>
                <w:color w:val="auto"/>
                <w:szCs w:val="21"/>
              </w:rPr>
              <w:t>可燃</w:t>
            </w:r>
          </w:p>
        </w:tc>
        <w:tc>
          <w:tcPr>
            <w:tcW w:w="4716" w:type="dxa"/>
            <w:vAlign w:val="center"/>
          </w:tcPr>
          <w:p w14:paraId="62ED9215">
            <w:pPr>
              <w:spacing w:line="320" w:lineRule="exact"/>
              <w:jc w:val="center"/>
              <w:rPr>
                <w:rFonts w:eastAsia="仿宋_GB2312"/>
                <w:color w:val="auto"/>
                <w:szCs w:val="21"/>
              </w:rPr>
            </w:pPr>
            <w:r>
              <w:rPr>
                <w:rFonts w:eastAsia="仿宋_GB2312"/>
                <w:color w:val="auto"/>
                <w:szCs w:val="21"/>
              </w:rPr>
              <w:t>遇明火高热可燃</w:t>
            </w:r>
          </w:p>
        </w:tc>
        <w:tc>
          <w:tcPr>
            <w:tcW w:w="1020" w:type="dxa"/>
            <w:vAlign w:val="center"/>
          </w:tcPr>
          <w:p w14:paraId="4F0A2BEF">
            <w:pPr>
              <w:adjustRightInd w:val="0"/>
              <w:snapToGrid w:val="0"/>
              <w:spacing w:line="320" w:lineRule="exact"/>
              <w:jc w:val="center"/>
              <w:rPr>
                <w:rFonts w:eastAsia="仿宋_GB2312"/>
                <w:color w:val="auto"/>
                <w:szCs w:val="21"/>
              </w:rPr>
            </w:pPr>
            <w:r>
              <w:rPr>
                <w:rFonts w:eastAsia="仿宋_GB2312"/>
                <w:color w:val="auto"/>
                <w:szCs w:val="21"/>
              </w:rPr>
              <w:t>/</w:t>
            </w:r>
          </w:p>
        </w:tc>
      </w:tr>
      <w:tr w14:paraId="42D9B4E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525" w:type="dxa"/>
            <w:vAlign w:val="center"/>
          </w:tcPr>
          <w:p w14:paraId="5CC1D9CC">
            <w:pPr>
              <w:adjustRightInd w:val="0"/>
              <w:snapToGrid w:val="0"/>
              <w:spacing w:line="320" w:lineRule="exact"/>
              <w:jc w:val="center"/>
              <w:rPr>
                <w:rFonts w:eastAsia="仿宋_GB2312"/>
                <w:color w:val="auto"/>
                <w:szCs w:val="21"/>
              </w:rPr>
            </w:pPr>
            <w:r>
              <w:rPr>
                <w:rFonts w:eastAsia="仿宋_GB2312"/>
                <w:color w:val="auto"/>
                <w:szCs w:val="21"/>
              </w:rPr>
              <w:t>乙酸丁酯</w:t>
            </w:r>
          </w:p>
        </w:tc>
        <w:tc>
          <w:tcPr>
            <w:tcW w:w="804" w:type="dxa"/>
            <w:vAlign w:val="center"/>
          </w:tcPr>
          <w:p w14:paraId="13CD4838">
            <w:pPr>
              <w:adjustRightInd w:val="0"/>
              <w:snapToGrid w:val="0"/>
              <w:spacing w:line="320" w:lineRule="exact"/>
              <w:jc w:val="center"/>
              <w:rPr>
                <w:rFonts w:eastAsia="仿宋_GB2312"/>
                <w:color w:val="auto"/>
                <w:szCs w:val="21"/>
              </w:rPr>
            </w:pPr>
            <w:r>
              <w:rPr>
                <w:rFonts w:eastAsia="仿宋_GB2312"/>
                <w:color w:val="auto"/>
                <w:szCs w:val="21"/>
              </w:rPr>
              <w:t>低毒</w:t>
            </w:r>
          </w:p>
        </w:tc>
        <w:tc>
          <w:tcPr>
            <w:tcW w:w="1092" w:type="dxa"/>
            <w:vAlign w:val="center"/>
          </w:tcPr>
          <w:p w14:paraId="45584F68">
            <w:pPr>
              <w:adjustRightInd w:val="0"/>
              <w:snapToGrid w:val="0"/>
              <w:spacing w:line="320" w:lineRule="exact"/>
              <w:jc w:val="center"/>
              <w:rPr>
                <w:rFonts w:eastAsia="仿宋_GB2312"/>
                <w:color w:val="auto"/>
                <w:szCs w:val="21"/>
              </w:rPr>
            </w:pPr>
            <w:r>
              <w:rPr>
                <w:rFonts w:eastAsia="仿宋_GB2312"/>
                <w:color w:val="auto"/>
                <w:szCs w:val="21"/>
              </w:rPr>
              <w:t>易燃</w:t>
            </w:r>
          </w:p>
        </w:tc>
        <w:tc>
          <w:tcPr>
            <w:tcW w:w="4716" w:type="dxa"/>
            <w:vAlign w:val="center"/>
          </w:tcPr>
          <w:p w14:paraId="67EB120F">
            <w:pPr>
              <w:adjustRightInd w:val="0"/>
              <w:snapToGrid w:val="0"/>
              <w:spacing w:line="320" w:lineRule="exact"/>
              <w:jc w:val="center"/>
              <w:rPr>
                <w:rFonts w:eastAsia="仿宋_GB2312"/>
                <w:color w:val="auto"/>
                <w:szCs w:val="21"/>
              </w:rPr>
            </w:pPr>
            <w:r>
              <w:rPr>
                <w:rFonts w:eastAsia="仿宋_GB2312"/>
                <w:color w:val="auto"/>
                <w:szCs w:val="21"/>
              </w:rPr>
              <w:t>其蒸气与空气可形成爆燃性混合物。遇明火、高温能引起燃烧。爆炸。</w:t>
            </w:r>
          </w:p>
        </w:tc>
        <w:tc>
          <w:tcPr>
            <w:tcW w:w="1020" w:type="dxa"/>
            <w:vAlign w:val="center"/>
          </w:tcPr>
          <w:p w14:paraId="4020BC04">
            <w:pPr>
              <w:adjustRightInd w:val="0"/>
              <w:snapToGrid w:val="0"/>
              <w:spacing w:line="320" w:lineRule="exact"/>
              <w:jc w:val="center"/>
              <w:rPr>
                <w:rFonts w:eastAsia="仿宋_GB2312"/>
                <w:color w:val="auto"/>
                <w:szCs w:val="21"/>
              </w:rPr>
            </w:pPr>
            <w:r>
              <w:rPr>
                <w:rFonts w:eastAsia="仿宋_GB2312"/>
                <w:color w:val="auto"/>
                <w:szCs w:val="21"/>
              </w:rPr>
              <w:t>/</w:t>
            </w:r>
          </w:p>
        </w:tc>
      </w:tr>
      <w:tr w14:paraId="7036511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525" w:type="dxa"/>
            <w:vAlign w:val="center"/>
          </w:tcPr>
          <w:p w14:paraId="34FCE3E5">
            <w:pPr>
              <w:adjustRightInd w:val="0"/>
              <w:snapToGrid w:val="0"/>
              <w:spacing w:line="320" w:lineRule="exact"/>
              <w:jc w:val="center"/>
              <w:rPr>
                <w:rFonts w:eastAsia="仿宋_GB2312"/>
                <w:color w:val="auto"/>
                <w:szCs w:val="21"/>
              </w:rPr>
            </w:pPr>
            <w:r>
              <w:rPr>
                <w:rFonts w:eastAsia="仿宋_GB2312"/>
                <w:color w:val="auto"/>
                <w:szCs w:val="21"/>
              </w:rPr>
              <w:t>二甲苯</w:t>
            </w:r>
          </w:p>
        </w:tc>
        <w:tc>
          <w:tcPr>
            <w:tcW w:w="804" w:type="dxa"/>
            <w:vAlign w:val="center"/>
          </w:tcPr>
          <w:p w14:paraId="64BF9EF5">
            <w:pPr>
              <w:adjustRightInd w:val="0"/>
              <w:snapToGrid w:val="0"/>
              <w:spacing w:line="320" w:lineRule="exact"/>
              <w:jc w:val="center"/>
              <w:rPr>
                <w:rFonts w:eastAsia="仿宋_GB2312"/>
                <w:color w:val="auto"/>
                <w:szCs w:val="21"/>
              </w:rPr>
            </w:pPr>
            <w:r>
              <w:rPr>
                <w:rFonts w:eastAsia="仿宋_GB2312"/>
                <w:color w:val="auto"/>
                <w:szCs w:val="21"/>
              </w:rPr>
              <w:t>低毒</w:t>
            </w:r>
          </w:p>
        </w:tc>
        <w:tc>
          <w:tcPr>
            <w:tcW w:w="1092" w:type="dxa"/>
            <w:vAlign w:val="center"/>
          </w:tcPr>
          <w:p w14:paraId="264203E2">
            <w:pPr>
              <w:spacing w:line="320" w:lineRule="exact"/>
              <w:jc w:val="center"/>
              <w:rPr>
                <w:rFonts w:eastAsia="仿宋_GB2312"/>
                <w:color w:val="auto"/>
                <w:szCs w:val="21"/>
              </w:rPr>
            </w:pPr>
            <w:r>
              <w:rPr>
                <w:rFonts w:eastAsia="仿宋_GB2312"/>
                <w:color w:val="auto"/>
                <w:szCs w:val="21"/>
              </w:rPr>
              <w:t>易燃</w:t>
            </w:r>
          </w:p>
        </w:tc>
        <w:tc>
          <w:tcPr>
            <w:tcW w:w="4716" w:type="dxa"/>
            <w:vAlign w:val="center"/>
          </w:tcPr>
          <w:p w14:paraId="4D9BB7A3">
            <w:pPr>
              <w:adjustRightInd w:val="0"/>
              <w:snapToGrid w:val="0"/>
              <w:spacing w:line="320" w:lineRule="exact"/>
              <w:jc w:val="center"/>
              <w:rPr>
                <w:rFonts w:eastAsia="仿宋_GB2312"/>
                <w:color w:val="auto"/>
                <w:szCs w:val="21"/>
              </w:rPr>
            </w:pPr>
            <w:r>
              <w:rPr>
                <w:rFonts w:eastAsia="仿宋_GB2312"/>
                <w:color w:val="auto"/>
                <w:szCs w:val="21"/>
              </w:rPr>
              <w:t>蒸气与空气可形成爆炸性混合物。遇明火、高热能引起燃烧爆炸</w:t>
            </w:r>
          </w:p>
        </w:tc>
        <w:tc>
          <w:tcPr>
            <w:tcW w:w="1020" w:type="dxa"/>
            <w:vAlign w:val="center"/>
          </w:tcPr>
          <w:p w14:paraId="69E0CD71">
            <w:pPr>
              <w:adjustRightInd w:val="0"/>
              <w:snapToGrid w:val="0"/>
              <w:spacing w:line="320" w:lineRule="exact"/>
              <w:jc w:val="center"/>
              <w:rPr>
                <w:rFonts w:eastAsia="仿宋_GB2312"/>
                <w:color w:val="auto"/>
                <w:szCs w:val="21"/>
              </w:rPr>
            </w:pPr>
            <w:r>
              <w:rPr>
                <w:rFonts w:eastAsia="仿宋_GB2312"/>
                <w:color w:val="auto"/>
                <w:szCs w:val="21"/>
              </w:rPr>
              <w:t>/</w:t>
            </w:r>
          </w:p>
        </w:tc>
      </w:tr>
      <w:tr w14:paraId="0798754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525" w:type="dxa"/>
            <w:vAlign w:val="center"/>
          </w:tcPr>
          <w:p w14:paraId="172E2AC7">
            <w:pPr>
              <w:adjustRightInd w:val="0"/>
              <w:snapToGrid w:val="0"/>
              <w:spacing w:line="320" w:lineRule="exact"/>
              <w:jc w:val="center"/>
              <w:rPr>
                <w:rFonts w:eastAsia="仿宋_GB2312"/>
                <w:color w:val="auto"/>
                <w:szCs w:val="21"/>
              </w:rPr>
            </w:pPr>
            <w:r>
              <w:rPr>
                <w:rFonts w:eastAsia="仿宋_GB2312"/>
                <w:color w:val="auto"/>
                <w:szCs w:val="21"/>
              </w:rPr>
              <w:t>乙酸甲酯</w:t>
            </w:r>
          </w:p>
        </w:tc>
        <w:tc>
          <w:tcPr>
            <w:tcW w:w="804" w:type="dxa"/>
            <w:vAlign w:val="center"/>
          </w:tcPr>
          <w:p w14:paraId="612BD0D5">
            <w:pPr>
              <w:spacing w:line="320" w:lineRule="exact"/>
              <w:jc w:val="center"/>
              <w:rPr>
                <w:rFonts w:eastAsia="仿宋_GB2312"/>
                <w:color w:val="auto"/>
                <w:szCs w:val="21"/>
              </w:rPr>
            </w:pPr>
            <w:r>
              <w:rPr>
                <w:rFonts w:eastAsia="仿宋_GB2312"/>
                <w:color w:val="auto"/>
                <w:szCs w:val="21"/>
              </w:rPr>
              <w:t>低毒</w:t>
            </w:r>
          </w:p>
        </w:tc>
        <w:tc>
          <w:tcPr>
            <w:tcW w:w="1092" w:type="dxa"/>
            <w:vAlign w:val="center"/>
          </w:tcPr>
          <w:p w14:paraId="68F77296">
            <w:pPr>
              <w:adjustRightInd w:val="0"/>
              <w:snapToGrid w:val="0"/>
              <w:spacing w:line="320" w:lineRule="exact"/>
              <w:jc w:val="center"/>
              <w:rPr>
                <w:rFonts w:eastAsia="仿宋_GB2312"/>
                <w:color w:val="auto"/>
                <w:szCs w:val="21"/>
              </w:rPr>
            </w:pPr>
            <w:r>
              <w:rPr>
                <w:rFonts w:eastAsia="仿宋_GB2312"/>
                <w:color w:val="auto"/>
                <w:szCs w:val="21"/>
              </w:rPr>
              <w:t>易燃</w:t>
            </w:r>
          </w:p>
        </w:tc>
        <w:tc>
          <w:tcPr>
            <w:tcW w:w="4716" w:type="dxa"/>
            <w:vAlign w:val="center"/>
          </w:tcPr>
          <w:p w14:paraId="77F3E451">
            <w:pPr>
              <w:adjustRightInd w:val="0"/>
              <w:snapToGrid w:val="0"/>
              <w:spacing w:line="320" w:lineRule="exact"/>
              <w:jc w:val="center"/>
              <w:rPr>
                <w:rFonts w:eastAsia="仿宋_GB2312"/>
                <w:color w:val="auto"/>
                <w:szCs w:val="21"/>
              </w:rPr>
            </w:pPr>
            <w:r>
              <w:rPr>
                <w:rFonts w:eastAsia="仿宋_GB2312"/>
                <w:color w:val="auto"/>
                <w:szCs w:val="21"/>
              </w:rPr>
              <w:t>蒸气与空气可形成爆炸性混合物，遇明火、高热能引起燃烧爆炸</w:t>
            </w:r>
          </w:p>
        </w:tc>
        <w:tc>
          <w:tcPr>
            <w:tcW w:w="1020" w:type="dxa"/>
            <w:vAlign w:val="center"/>
          </w:tcPr>
          <w:p w14:paraId="628AF2FB">
            <w:pPr>
              <w:adjustRightInd w:val="0"/>
              <w:snapToGrid w:val="0"/>
              <w:spacing w:line="320" w:lineRule="exact"/>
              <w:jc w:val="center"/>
              <w:rPr>
                <w:rFonts w:eastAsia="仿宋_GB2312"/>
                <w:color w:val="auto"/>
                <w:szCs w:val="21"/>
              </w:rPr>
            </w:pPr>
            <w:r>
              <w:rPr>
                <w:rFonts w:eastAsia="仿宋_GB2312"/>
                <w:color w:val="auto"/>
                <w:szCs w:val="21"/>
              </w:rPr>
              <w:t>/</w:t>
            </w:r>
          </w:p>
        </w:tc>
      </w:tr>
      <w:tr w14:paraId="3BD65BB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525" w:type="dxa"/>
            <w:vAlign w:val="center"/>
          </w:tcPr>
          <w:p w14:paraId="7ED711EE">
            <w:pPr>
              <w:adjustRightInd w:val="0"/>
              <w:snapToGrid w:val="0"/>
              <w:spacing w:line="320" w:lineRule="exact"/>
              <w:jc w:val="center"/>
              <w:rPr>
                <w:rFonts w:eastAsia="仿宋_GB2312"/>
                <w:color w:val="auto"/>
                <w:szCs w:val="21"/>
              </w:rPr>
            </w:pPr>
            <w:r>
              <w:rPr>
                <w:rFonts w:eastAsia="仿宋_GB2312"/>
                <w:color w:val="auto"/>
                <w:szCs w:val="21"/>
              </w:rPr>
              <w:t>甲苯</w:t>
            </w:r>
          </w:p>
        </w:tc>
        <w:tc>
          <w:tcPr>
            <w:tcW w:w="804" w:type="dxa"/>
            <w:vAlign w:val="center"/>
          </w:tcPr>
          <w:p w14:paraId="1BD7D711">
            <w:pPr>
              <w:adjustRightInd w:val="0"/>
              <w:snapToGrid w:val="0"/>
              <w:spacing w:line="320" w:lineRule="exact"/>
              <w:jc w:val="center"/>
              <w:rPr>
                <w:rFonts w:eastAsia="仿宋_GB2312"/>
                <w:color w:val="auto"/>
                <w:szCs w:val="21"/>
              </w:rPr>
            </w:pPr>
            <w:r>
              <w:rPr>
                <w:rFonts w:eastAsia="仿宋_GB2312"/>
                <w:color w:val="auto"/>
                <w:szCs w:val="21"/>
              </w:rPr>
              <w:t>低毒</w:t>
            </w:r>
          </w:p>
        </w:tc>
        <w:tc>
          <w:tcPr>
            <w:tcW w:w="1092" w:type="dxa"/>
            <w:vAlign w:val="center"/>
          </w:tcPr>
          <w:p w14:paraId="4262678A">
            <w:pPr>
              <w:adjustRightInd w:val="0"/>
              <w:snapToGrid w:val="0"/>
              <w:spacing w:line="320" w:lineRule="exact"/>
              <w:jc w:val="center"/>
              <w:rPr>
                <w:rFonts w:eastAsia="仿宋_GB2312"/>
                <w:color w:val="auto"/>
                <w:szCs w:val="21"/>
              </w:rPr>
            </w:pPr>
            <w:r>
              <w:rPr>
                <w:rFonts w:eastAsia="仿宋_GB2312"/>
                <w:color w:val="auto"/>
                <w:szCs w:val="21"/>
              </w:rPr>
              <w:t>易燃</w:t>
            </w:r>
          </w:p>
        </w:tc>
        <w:tc>
          <w:tcPr>
            <w:tcW w:w="4716" w:type="dxa"/>
            <w:vAlign w:val="center"/>
          </w:tcPr>
          <w:p w14:paraId="542AF418">
            <w:pPr>
              <w:adjustRightInd w:val="0"/>
              <w:snapToGrid w:val="0"/>
              <w:spacing w:line="320" w:lineRule="exact"/>
              <w:jc w:val="center"/>
              <w:rPr>
                <w:rFonts w:eastAsia="仿宋_GB2312"/>
                <w:color w:val="auto"/>
                <w:szCs w:val="21"/>
              </w:rPr>
            </w:pPr>
            <w:r>
              <w:rPr>
                <w:rFonts w:eastAsia="仿宋_GB2312"/>
                <w:color w:val="auto"/>
                <w:szCs w:val="21"/>
              </w:rPr>
              <w:t>蒸气与空气可形成爆炸性混合物，遇明火、高热能引起燃烧爆炸</w:t>
            </w:r>
          </w:p>
        </w:tc>
        <w:tc>
          <w:tcPr>
            <w:tcW w:w="1020" w:type="dxa"/>
            <w:vAlign w:val="center"/>
          </w:tcPr>
          <w:p w14:paraId="0EE32A31">
            <w:pPr>
              <w:adjustRightInd w:val="0"/>
              <w:snapToGrid w:val="0"/>
              <w:spacing w:line="320" w:lineRule="exact"/>
              <w:jc w:val="center"/>
              <w:rPr>
                <w:rFonts w:eastAsia="仿宋_GB2312"/>
                <w:color w:val="auto"/>
                <w:szCs w:val="21"/>
              </w:rPr>
            </w:pPr>
            <w:r>
              <w:rPr>
                <w:rFonts w:eastAsia="仿宋_GB2312"/>
                <w:color w:val="auto"/>
                <w:szCs w:val="21"/>
              </w:rPr>
              <w:t>/</w:t>
            </w:r>
          </w:p>
        </w:tc>
      </w:tr>
      <w:tr w14:paraId="271221F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525" w:type="dxa"/>
            <w:vAlign w:val="center"/>
          </w:tcPr>
          <w:p w14:paraId="298A3582">
            <w:pPr>
              <w:adjustRightInd w:val="0"/>
              <w:snapToGrid w:val="0"/>
              <w:spacing w:line="320" w:lineRule="exact"/>
              <w:jc w:val="center"/>
              <w:rPr>
                <w:rFonts w:eastAsia="仿宋_GB2312"/>
                <w:color w:val="auto"/>
                <w:szCs w:val="21"/>
              </w:rPr>
            </w:pPr>
            <w:r>
              <w:rPr>
                <w:rFonts w:eastAsia="仿宋_GB2312"/>
                <w:color w:val="auto"/>
                <w:szCs w:val="21"/>
              </w:rPr>
              <w:t>甲醇</w:t>
            </w:r>
          </w:p>
        </w:tc>
        <w:tc>
          <w:tcPr>
            <w:tcW w:w="804" w:type="dxa"/>
            <w:vAlign w:val="center"/>
          </w:tcPr>
          <w:p w14:paraId="36337985">
            <w:pPr>
              <w:adjustRightInd w:val="0"/>
              <w:snapToGrid w:val="0"/>
              <w:spacing w:line="320" w:lineRule="exact"/>
              <w:jc w:val="center"/>
              <w:rPr>
                <w:rFonts w:eastAsia="仿宋_GB2312"/>
                <w:color w:val="auto"/>
                <w:szCs w:val="21"/>
              </w:rPr>
            </w:pPr>
            <w:r>
              <w:rPr>
                <w:rFonts w:eastAsia="仿宋_GB2312"/>
                <w:color w:val="auto"/>
                <w:szCs w:val="21"/>
              </w:rPr>
              <w:t>低毒</w:t>
            </w:r>
          </w:p>
        </w:tc>
        <w:tc>
          <w:tcPr>
            <w:tcW w:w="1092" w:type="dxa"/>
            <w:vAlign w:val="center"/>
          </w:tcPr>
          <w:p w14:paraId="6FC9AD1E">
            <w:pPr>
              <w:adjustRightInd w:val="0"/>
              <w:snapToGrid w:val="0"/>
              <w:spacing w:line="320" w:lineRule="exact"/>
              <w:jc w:val="center"/>
              <w:rPr>
                <w:rFonts w:eastAsia="仿宋_GB2312"/>
                <w:color w:val="auto"/>
                <w:szCs w:val="21"/>
              </w:rPr>
            </w:pPr>
            <w:r>
              <w:rPr>
                <w:rFonts w:eastAsia="仿宋_GB2312"/>
                <w:color w:val="auto"/>
                <w:szCs w:val="21"/>
              </w:rPr>
              <w:t>易燃</w:t>
            </w:r>
          </w:p>
        </w:tc>
        <w:tc>
          <w:tcPr>
            <w:tcW w:w="4716" w:type="dxa"/>
            <w:vAlign w:val="center"/>
          </w:tcPr>
          <w:p w14:paraId="270354E1">
            <w:pPr>
              <w:adjustRightInd w:val="0"/>
              <w:snapToGrid w:val="0"/>
              <w:spacing w:line="320" w:lineRule="exact"/>
              <w:jc w:val="center"/>
              <w:rPr>
                <w:rFonts w:eastAsia="仿宋_GB2312"/>
                <w:color w:val="auto"/>
                <w:szCs w:val="21"/>
              </w:rPr>
            </w:pPr>
            <w:r>
              <w:rPr>
                <w:rFonts w:eastAsia="仿宋_GB2312"/>
                <w:color w:val="auto"/>
                <w:szCs w:val="21"/>
              </w:rPr>
              <w:t>蒸气与空气可形成爆炸性混合物。遇明火、高热能引起燃烧爆炸</w:t>
            </w:r>
          </w:p>
        </w:tc>
        <w:tc>
          <w:tcPr>
            <w:tcW w:w="1020" w:type="dxa"/>
            <w:vAlign w:val="center"/>
          </w:tcPr>
          <w:p w14:paraId="45DC14AE">
            <w:pPr>
              <w:adjustRightInd w:val="0"/>
              <w:snapToGrid w:val="0"/>
              <w:spacing w:line="320" w:lineRule="exact"/>
              <w:jc w:val="center"/>
              <w:rPr>
                <w:rFonts w:eastAsia="仿宋_GB2312"/>
                <w:color w:val="auto"/>
                <w:szCs w:val="21"/>
              </w:rPr>
            </w:pPr>
            <w:r>
              <w:rPr>
                <w:rFonts w:eastAsia="仿宋_GB2312"/>
                <w:color w:val="auto"/>
                <w:szCs w:val="21"/>
              </w:rPr>
              <w:t>/</w:t>
            </w:r>
          </w:p>
        </w:tc>
      </w:tr>
      <w:tr w14:paraId="78EA837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525" w:type="dxa"/>
            <w:vAlign w:val="center"/>
          </w:tcPr>
          <w:p w14:paraId="7DAECB63">
            <w:pPr>
              <w:adjustRightInd w:val="0"/>
              <w:snapToGrid w:val="0"/>
              <w:spacing w:line="320" w:lineRule="exact"/>
              <w:jc w:val="center"/>
              <w:rPr>
                <w:rFonts w:eastAsia="仿宋_GB2312"/>
                <w:color w:val="auto"/>
                <w:szCs w:val="21"/>
              </w:rPr>
            </w:pPr>
            <w:r>
              <w:rPr>
                <w:rFonts w:eastAsia="仿宋_GB2312"/>
                <w:color w:val="auto"/>
                <w:szCs w:val="21"/>
              </w:rPr>
              <w:t>N,N-二甲基甲酰胺</w:t>
            </w:r>
          </w:p>
        </w:tc>
        <w:tc>
          <w:tcPr>
            <w:tcW w:w="804" w:type="dxa"/>
            <w:vAlign w:val="center"/>
          </w:tcPr>
          <w:p w14:paraId="35BD850F">
            <w:pPr>
              <w:adjustRightInd w:val="0"/>
              <w:snapToGrid w:val="0"/>
              <w:spacing w:line="320" w:lineRule="exact"/>
              <w:jc w:val="center"/>
              <w:rPr>
                <w:rFonts w:eastAsia="仿宋_GB2312"/>
                <w:color w:val="auto"/>
                <w:szCs w:val="21"/>
              </w:rPr>
            </w:pPr>
            <w:r>
              <w:rPr>
                <w:rFonts w:eastAsia="仿宋_GB2312"/>
                <w:color w:val="auto"/>
                <w:szCs w:val="21"/>
              </w:rPr>
              <w:t>低毒</w:t>
            </w:r>
          </w:p>
        </w:tc>
        <w:tc>
          <w:tcPr>
            <w:tcW w:w="1092" w:type="dxa"/>
            <w:vAlign w:val="center"/>
          </w:tcPr>
          <w:p w14:paraId="42A66019">
            <w:pPr>
              <w:adjustRightInd w:val="0"/>
              <w:snapToGrid w:val="0"/>
              <w:spacing w:line="320" w:lineRule="exact"/>
              <w:jc w:val="center"/>
              <w:rPr>
                <w:rFonts w:eastAsia="仿宋_GB2312"/>
                <w:color w:val="auto"/>
                <w:szCs w:val="21"/>
              </w:rPr>
            </w:pPr>
            <w:r>
              <w:rPr>
                <w:rFonts w:eastAsia="仿宋_GB2312"/>
                <w:color w:val="auto"/>
                <w:szCs w:val="21"/>
              </w:rPr>
              <w:t>易燃</w:t>
            </w:r>
          </w:p>
        </w:tc>
        <w:tc>
          <w:tcPr>
            <w:tcW w:w="4716" w:type="dxa"/>
            <w:vAlign w:val="center"/>
          </w:tcPr>
          <w:p w14:paraId="03C17C26">
            <w:pPr>
              <w:adjustRightInd w:val="0"/>
              <w:snapToGrid w:val="0"/>
              <w:spacing w:line="320" w:lineRule="exact"/>
              <w:jc w:val="center"/>
              <w:rPr>
                <w:rFonts w:eastAsia="仿宋_GB2312"/>
                <w:color w:val="auto"/>
                <w:szCs w:val="21"/>
              </w:rPr>
            </w:pPr>
            <w:r>
              <w:rPr>
                <w:rFonts w:eastAsia="仿宋_GB2312"/>
                <w:color w:val="auto"/>
                <w:szCs w:val="21"/>
              </w:rPr>
              <w:t>遇高热、明火或与氧化剂接触，有引起燃烧爆炸的危险</w:t>
            </w:r>
          </w:p>
        </w:tc>
        <w:tc>
          <w:tcPr>
            <w:tcW w:w="1020" w:type="dxa"/>
            <w:vAlign w:val="center"/>
          </w:tcPr>
          <w:p w14:paraId="30C461D9">
            <w:pPr>
              <w:adjustRightInd w:val="0"/>
              <w:snapToGrid w:val="0"/>
              <w:spacing w:line="320" w:lineRule="exact"/>
              <w:jc w:val="center"/>
              <w:rPr>
                <w:rFonts w:eastAsia="仿宋_GB2312"/>
                <w:color w:val="auto"/>
                <w:szCs w:val="21"/>
              </w:rPr>
            </w:pPr>
            <w:r>
              <w:rPr>
                <w:rFonts w:eastAsia="仿宋_GB2312"/>
                <w:color w:val="auto"/>
                <w:szCs w:val="21"/>
              </w:rPr>
              <w:t>/</w:t>
            </w:r>
          </w:p>
        </w:tc>
      </w:tr>
      <w:tr w14:paraId="4506618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525" w:type="dxa"/>
            <w:vAlign w:val="center"/>
          </w:tcPr>
          <w:p w14:paraId="57C270ED">
            <w:pPr>
              <w:adjustRightInd w:val="0"/>
              <w:snapToGrid w:val="0"/>
              <w:spacing w:line="320" w:lineRule="exact"/>
              <w:jc w:val="center"/>
              <w:rPr>
                <w:rFonts w:eastAsia="仿宋_GB2312"/>
                <w:color w:val="auto"/>
                <w:szCs w:val="21"/>
              </w:rPr>
            </w:pPr>
            <w:r>
              <w:rPr>
                <w:rFonts w:eastAsia="仿宋_GB2312"/>
                <w:color w:val="auto"/>
                <w:szCs w:val="21"/>
              </w:rPr>
              <w:t>环己烷</w:t>
            </w:r>
          </w:p>
        </w:tc>
        <w:tc>
          <w:tcPr>
            <w:tcW w:w="804" w:type="dxa"/>
            <w:vAlign w:val="center"/>
          </w:tcPr>
          <w:p w14:paraId="5973284F">
            <w:pPr>
              <w:adjustRightInd w:val="0"/>
              <w:snapToGrid w:val="0"/>
              <w:spacing w:line="320" w:lineRule="exact"/>
              <w:jc w:val="center"/>
              <w:rPr>
                <w:rFonts w:eastAsia="仿宋_GB2312"/>
                <w:color w:val="auto"/>
                <w:szCs w:val="21"/>
              </w:rPr>
            </w:pPr>
            <w:r>
              <w:rPr>
                <w:rFonts w:eastAsia="仿宋_GB2312"/>
                <w:color w:val="auto"/>
                <w:szCs w:val="21"/>
              </w:rPr>
              <w:t>低毒</w:t>
            </w:r>
          </w:p>
        </w:tc>
        <w:tc>
          <w:tcPr>
            <w:tcW w:w="1092" w:type="dxa"/>
            <w:vAlign w:val="center"/>
          </w:tcPr>
          <w:p w14:paraId="31DE5456">
            <w:pPr>
              <w:adjustRightInd w:val="0"/>
              <w:snapToGrid w:val="0"/>
              <w:spacing w:line="320" w:lineRule="exact"/>
              <w:jc w:val="center"/>
              <w:rPr>
                <w:rFonts w:eastAsia="仿宋_GB2312"/>
                <w:color w:val="auto"/>
                <w:szCs w:val="21"/>
              </w:rPr>
            </w:pPr>
            <w:r>
              <w:rPr>
                <w:rFonts w:eastAsia="仿宋_GB2312"/>
                <w:color w:val="auto"/>
                <w:szCs w:val="21"/>
              </w:rPr>
              <w:t>易燃</w:t>
            </w:r>
          </w:p>
        </w:tc>
        <w:tc>
          <w:tcPr>
            <w:tcW w:w="4716" w:type="dxa"/>
            <w:vAlign w:val="center"/>
          </w:tcPr>
          <w:p w14:paraId="395647D3">
            <w:pPr>
              <w:adjustRightInd w:val="0"/>
              <w:snapToGrid w:val="0"/>
              <w:spacing w:line="320" w:lineRule="exact"/>
              <w:jc w:val="center"/>
              <w:rPr>
                <w:rFonts w:eastAsia="仿宋_GB2312"/>
                <w:color w:val="auto"/>
                <w:szCs w:val="21"/>
              </w:rPr>
            </w:pPr>
            <w:r>
              <w:rPr>
                <w:rFonts w:eastAsia="仿宋_GB2312"/>
                <w:color w:val="auto"/>
                <w:szCs w:val="21"/>
              </w:rPr>
              <w:t>蒸气与空气可形成爆炸性混合物，遇明火、高热极易燃烧爆炸</w:t>
            </w:r>
          </w:p>
        </w:tc>
        <w:tc>
          <w:tcPr>
            <w:tcW w:w="1020" w:type="dxa"/>
            <w:vAlign w:val="center"/>
          </w:tcPr>
          <w:p w14:paraId="3E0E48A9">
            <w:pPr>
              <w:adjustRightInd w:val="0"/>
              <w:snapToGrid w:val="0"/>
              <w:spacing w:line="320" w:lineRule="exact"/>
              <w:jc w:val="center"/>
              <w:rPr>
                <w:rFonts w:eastAsia="仿宋_GB2312"/>
                <w:color w:val="auto"/>
                <w:szCs w:val="21"/>
              </w:rPr>
            </w:pPr>
            <w:r>
              <w:rPr>
                <w:rFonts w:eastAsia="仿宋_GB2312"/>
                <w:color w:val="auto"/>
                <w:szCs w:val="21"/>
              </w:rPr>
              <w:t>/</w:t>
            </w:r>
          </w:p>
        </w:tc>
      </w:tr>
      <w:tr w14:paraId="0029347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525" w:type="dxa"/>
            <w:vAlign w:val="center"/>
          </w:tcPr>
          <w:p w14:paraId="20D81B43">
            <w:pPr>
              <w:adjustRightInd w:val="0"/>
              <w:snapToGrid w:val="0"/>
              <w:spacing w:line="320" w:lineRule="exact"/>
              <w:jc w:val="center"/>
              <w:rPr>
                <w:rFonts w:eastAsia="仿宋_GB2312"/>
                <w:color w:val="auto"/>
                <w:szCs w:val="21"/>
              </w:rPr>
            </w:pPr>
            <w:r>
              <w:rPr>
                <w:rFonts w:eastAsia="仿宋_GB2312"/>
                <w:color w:val="auto"/>
                <w:szCs w:val="21"/>
              </w:rPr>
              <w:t>环己酮</w:t>
            </w:r>
          </w:p>
        </w:tc>
        <w:tc>
          <w:tcPr>
            <w:tcW w:w="804" w:type="dxa"/>
            <w:vAlign w:val="center"/>
          </w:tcPr>
          <w:p w14:paraId="1D9A9B0E">
            <w:pPr>
              <w:adjustRightInd w:val="0"/>
              <w:snapToGrid w:val="0"/>
              <w:spacing w:line="320" w:lineRule="exact"/>
              <w:jc w:val="center"/>
              <w:rPr>
                <w:rFonts w:eastAsia="仿宋_GB2312"/>
                <w:color w:val="auto"/>
                <w:szCs w:val="21"/>
              </w:rPr>
            </w:pPr>
            <w:r>
              <w:rPr>
                <w:rFonts w:eastAsia="仿宋_GB2312"/>
                <w:color w:val="auto"/>
                <w:szCs w:val="21"/>
              </w:rPr>
              <w:t>低毒</w:t>
            </w:r>
          </w:p>
        </w:tc>
        <w:tc>
          <w:tcPr>
            <w:tcW w:w="1092" w:type="dxa"/>
            <w:vAlign w:val="center"/>
          </w:tcPr>
          <w:p w14:paraId="4F3B2706">
            <w:pPr>
              <w:adjustRightInd w:val="0"/>
              <w:snapToGrid w:val="0"/>
              <w:spacing w:line="320" w:lineRule="exact"/>
              <w:jc w:val="center"/>
              <w:rPr>
                <w:rFonts w:eastAsia="仿宋_GB2312"/>
                <w:color w:val="auto"/>
                <w:szCs w:val="21"/>
              </w:rPr>
            </w:pPr>
            <w:r>
              <w:rPr>
                <w:rFonts w:eastAsia="仿宋_GB2312"/>
                <w:color w:val="auto"/>
                <w:szCs w:val="21"/>
              </w:rPr>
              <w:t>易燃</w:t>
            </w:r>
          </w:p>
        </w:tc>
        <w:tc>
          <w:tcPr>
            <w:tcW w:w="4716" w:type="dxa"/>
            <w:vAlign w:val="center"/>
          </w:tcPr>
          <w:p w14:paraId="2B550133">
            <w:pPr>
              <w:adjustRightInd w:val="0"/>
              <w:snapToGrid w:val="0"/>
              <w:spacing w:line="320" w:lineRule="exact"/>
              <w:jc w:val="center"/>
              <w:rPr>
                <w:rFonts w:eastAsia="仿宋_GB2312"/>
                <w:color w:val="auto"/>
                <w:szCs w:val="21"/>
              </w:rPr>
            </w:pPr>
            <w:r>
              <w:rPr>
                <w:rFonts w:eastAsia="仿宋_GB2312"/>
                <w:color w:val="auto"/>
                <w:szCs w:val="21"/>
              </w:rPr>
              <w:t>遇高热，明火有引起燃烧的危险。与氧化剂接触猛烈反应</w:t>
            </w:r>
          </w:p>
        </w:tc>
        <w:tc>
          <w:tcPr>
            <w:tcW w:w="1020" w:type="dxa"/>
            <w:vAlign w:val="center"/>
          </w:tcPr>
          <w:p w14:paraId="771BCA34">
            <w:pPr>
              <w:adjustRightInd w:val="0"/>
              <w:snapToGrid w:val="0"/>
              <w:spacing w:line="320" w:lineRule="exact"/>
              <w:jc w:val="center"/>
              <w:rPr>
                <w:rFonts w:eastAsia="仿宋_GB2312"/>
                <w:color w:val="auto"/>
                <w:szCs w:val="21"/>
              </w:rPr>
            </w:pPr>
            <w:r>
              <w:rPr>
                <w:rFonts w:eastAsia="仿宋_GB2312"/>
                <w:color w:val="auto"/>
                <w:szCs w:val="21"/>
              </w:rPr>
              <w:t>/</w:t>
            </w:r>
          </w:p>
        </w:tc>
      </w:tr>
      <w:tr w14:paraId="118DA84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525" w:type="dxa"/>
            <w:vAlign w:val="center"/>
          </w:tcPr>
          <w:p w14:paraId="47CD76CB">
            <w:pPr>
              <w:adjustRightInd w:val="0"/>
              <w:snapToGrid w:val="0"/>
              <w:spacing w:line="320" w:lineRule="exact"/>
              <w:jc w:val="center"/>
              <w:rPr>
                <w:rFonts w:eastAsia="仿宋_GB2312"/>
                <w:color w:val="auto"/>
                <w:szCs w:val="21"/>
              </w:rPr>
            </w:pPr>
            <w:r>
              <w:rPr>
                <w:rFonts w:eastAsia="仿宋_GB2312"/>
                <w:color w:val="auto"/>
                <w:szCs w:val="21"/>
              </w:rPr>
              <w:t>二氯乙烷</w:t>
            </w:r>
          </w:p>
        </w:tc>
        <w:tc>
          <w:tcPr>
            <w:tcW w:w="804" w:type="dxa"/>
            <w:vAlign w:val="center"/>
          </w:tcPr>
          <w:p w14:paraId="305315E0">
            <w:pPr>
              <w:adjustRightInd w:val="0"/>
              <w:snapToGrid w:val="0"/>
              <w:spacing w:line="320" w:lineRule="exact"/>
              <w:jc w:val="center"/>
              <w:rPr>
                <w:rFonts w:eastAsia="仿宋_GB2312"/>
                <w:color w:val="auto"/>
                <w:szCs w:val="21"/>
              </w:rPr>
            </w:pPr>
            <w:r>
              <w:rPr>
                <w:rFonts w:eastAsia="仿宋_GB2312"/>
                <w:color w:val="auto"/>
                <w:szCs w:val="21"/>
              </w:rPr>
              <w:t>低毒</w:t>
            </w:r>
          </w:p>
        </w:tc>
        <w:tc>
          <w:tcPr>
            <w:tcW w:w="1092" w:type="dxa"/>
            <w:vAlign w:val="center"/>
          </w:tcPr>
          <w:p w14:paraId="7E7B0937">
            <w:pPr>
              <w:adjustRightInd w:val="0"/>
              <w:snapToGrid w:val="0"/>
              <w:spacing w:line="320" w:lineRule="exact"/>
              <w:jc w:val="center"/>
              <w:rPr>
                <w:rFonts w:eastAsia="仿宋_GB2312"/>
                <w:color w:val="auto"/>
                <w:szCs w:val="21"/>
              </w:rPr>
            </w:pPr>
            <w:r>
              <w:rPr>
                <w:rFonts w:eastAsia="仿宋_GB2312"/>
                <w:color w:val="auto"/>
                <w:szCs w:val="21"/>
              </w:rPr>
              <w:t>易燃</w:t>
            </w:r>
          </w:p>
        </w:tc>
        <w:tc>
          <w:tcPr>
            <w:tcW w:w="4716" w:type="dxa"/>
            <w:vAlign w:val="center"/>
          </w:tcPr>
          <w:p w14:paraId="511D70D3">
            <w:pPr>
              <w:adjustRightInd w:val="0"/>
              <w:snapToGrid w:val="0"/>
              <w:spacing w:line="320" w:lineRule="exact"/>
              <w:jc w:val="center"/>
              <w:rPr>
                <w:rFonts w:eastAsia="仿宋_GB2312"/>
                <w:color w:val="auto"/>
                <w:szCs w:val="21"/>
              </w:rPr>
            </w:pPr>
            <w:r>
              <w:rPr>
                <w:rFonts w:eastAsia="仿宋_GB2312"/>
                <w:color w:val="auto"/>
                <w:szCs w:val="21"/>
              </w:rPr>
              <w:t>蒸气与空气可形成爆炸性混合物。遇明火、高热能引起燃烧爆炸</w:t>
            </w:r>
          </w:p>
        </w:tc>
        <w:tc>
          <w:tcPr>
            <w:tcW w:w="1020" w:type="dxa"/>
            <w:vAlign w:val="center"/>
          </w:tcPr>
          <w:p w14:paraId="717E3394">
            <w:pPr>
              <w:adjustRightInd w:val="0"/>
              <w:snapToGrid w:val="0"/>
              <w:spacing w:line="320" w:lineRule="exact"/>
              <w:jc w:val="center"/>
              <w:rPr>
                <w:rFonts w:eastAsia="仿宋_GB2312"/>
                <w:color w:val="auto"/>
                <w:szCs w:val="21"/>
              </w:rPr>
            </w:pPr>
            <w:r>
              <w:rPr>
                <w:rFonts w:eastAsia="仿宋_GB2312"/>
                <w:color w:val="auto"/>
                <w:szCs w:val="21"/>
              </w:rPr>
              <w:t>/</w:t>
            </w:r>
          </w:p>
        </w:tc>
      </w:tr>
      <w:tr w14:paraId="3915DCC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525" w:type="dxa"/>
            <w:vAlign w:val="center"/>
          </w:tcPr>
          <w:p w14:paraId="027E95C7">
            <w:pPr>
              <w:adjustRightInd w:val="0"/>
              <w:snapToGrid w:val="0"/>
              <w:spacing w:line="320" w:lineRule="exact"/>
              <w:jc w:val="center"/>
              <w:rPr>
                <w:rFonts w:eastAsia="仿宋_GB2312"/>
                <w:color w:val="auto"/>
                <w:szCs w:val="21"/>
              </w:rPr>
            </w:pPr>
            <w:r>
              <w:rPr>
                <w:rFonts w:eastAsia="仿宋_GB2312"/>
                <w:color w:val="auto"/>
                <w:szCs w:val="21"/>
              </w:rPr>
              <w:t>二甲基亚砜</w:t>
            </w:r>
          </w:p>
        </w:tc>
        <w:tc>
          <w:tcPr>
            <w:tcW w:w="804" w:type="dxa"/>
            <w:vAlign w:val="center"/>
          </w:tcPr>
          <w:p w14:paraId="4D4493D0">
            <w:pPr>
              <w:adjustRightInd w:val="0"/>
              <w:snapToGrid w:val="0"/>
              <w:spacing w:line="320" w:lineRule="exact"/>
              <w:jc w:val="center"/>
              <w:rPr>
                <w:rFonts w:eastAsia="仿宋_GB2312"/>
                <w:color w:val="auto"/>
                <w:szCs w:val="21"/>
              </w:rPr>
            </w:pPr>
            <w:r>
              <w:rPr>
                <w:rFonts w:eastAsia="仿宋_GB2312"/>
                <w:color w:val="auto"/>
                <w:szCs w:val="21"/>
              </w:rPr>
              <w:t>低毒</w:t>
            </w:r>
          </w:p>
        </w:tc>
        <w:tc>
          <w:tcPr>
            <w:tcW w:w="1092" w:type="dxa"/>
            <w:vAlign w:val="center"/>
          </w:tcPr>
          <w:p w14:paraId="5AE765F5">
            <w:pPr>
              <w:adjustRightInd w:val="0"/>
              <w:snapToGrid w:val="0"/>
              <w:spacing w:line="320" w:lineRule="exact"/>
              <w:jc w:val="center"/>
              <w:rPr>
                <w:rFonts w:eastAsia="仿宋_GB2312"/>
                <w:color w:val="auto"/>
                <w:szCs w:val="21"/>
              </w:rPr>
            </w:pPr>
            <w:r>
              <w:rPr>
                <w:rFonts w:eastAsia="仿宋_GB2312"/>
                <w:color w:val="auto"/>
                <w:szCs w:val="21"/>
              </w:rPr>
              <w:t>可燃</w:t>
            </w:r>
          </w:p>
        </w:tc>
        <w:tc>
          <w:tcPr>
            <w:tcW w:w="4716" w:type="dxa"/>
            <w:vAlign w:val="center"/>
          </w:tcPr>
          <w:p w14:paraId="7A3F5F36">
            <w:pPr>
              <w:adjustRightInd w:val="0"/>
              <w:snapToGrid w:val="0"/>
              <w:spacing w:line="320" w:lineRule="exact"/>
              <w:jc w:val="center"/>
              <w:rPr>
                <w:rFonts w:eastAsia="仿宋_GB2312"/>
                <w:color w:val="auto"/>
                <w:szCs w:val="21"/>
              </w:rPr>
            </w:pPr>
            <w:r>
              <w:rPr>
                <w:rFonts w:eastAsia="仿宋_GB2312"/>
                <w:color w:val="auto"/>
                <w:szCs w:val="21"/>
              </w:rPr>
              <w:t>遇明火、高热或与氧化剂接触，有引起燃烧爆炸的危险</w:t>
            </w:r>
          </w:p>
        </w:tc>
        <w:tc>
          <w:tcPr>
            <w:tcW w:w="1020" w:type="dxa"/>
            <w:vAlign w:val="center"/>
          </w:tcPr>
          <w:p w14:paraId="6C349A71">
            <w:pPr>
              <w:adjustRightInd w:val="0"/>
              <w:snapToGrid w:val="0"/>
              <w:spacing w:line="320" w:lineRule="exact"/>
              <w:jc w:val="center"/>
              <w:rPr>
                <w:rFonts w:eastAsia="仿宋_GB2312"/>
                <w:color w:val="auto"/>
                <w:szCs w:val="21"/>
              </w:rPr>
            </w:pPr>
            <w:r>
              <w:rPr>
                <w:rFonts w:eastAsia="仿宋_GB2312"/>
                <w:color w:val="auto"/>
                <w:szCs w:val="21"/>
              </w:rPr>
              <w:t>/</w:t>
            </w:r>
          </w:p>
        </w:tc>
      </w:tr>
      <w:tr w14:paraId="4849113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525" w:type="dxa"/>
            <w:vAlign w:val="center"/>
          </w:tcPr>
          <w:p w14:paraId="16C2D41F">
            <w:pPr>
              <w:adjustRightInd w:val="0"/>
              <w:snapToGrid w:val="0"/>
              <w:spacing w:line="320" w:lineRule="exact"/>
              <w:jc w:val="center"/>
              <w:rPr>
                <w:rFonts w:eastAsia="仿宋_GB2312"/>
                <w:color w:val="auto"/>
                <w:szCs w:val="21"/>
              </w:rPr>
            </w:pPr>
            <w:r>
              <w:rPr>
                <w:rFonts w:eastAsia="仿宋_GB2312"/>
                <w:color w:val="auto"/>
                <w:szCs w:val="21"/>
              </w:rPr>
              <w:t>丁醇</w:t>
            </w:r>
          </w:p>
        </w:tc>
        <w:tc>
          <w:tcPr>
            <w:tcW w:w="804" w:type="dxa"/>
            <w:vAlign w:val="center"/>
          </w:tcPr>
          <w:p w14:paraId="4B507457">
            <w:pPr>
              <w:adjustRightInd w:val="0"/>
              <w:snapToGrid w:val="0"/>
              <w:spacing w:line="320" w:lineRule="exact"/>
              <w:jc w:val="center"/>
              <w:rPr>
                <w:rFonts w:eastAsia="仿宋_GB2312"/>
                <w:color w:val="auto"/>
                <w:szCs w:val="21"/>
              </w:rPr>
            </w:pPr>
            <w:r>
              <w:rPr>
                <w:rFonts w:eastAsia="仿宋_GB2312"/>
                <w:color w:val="auto"/>
                <w:szCs w:val="21"/>
              </w:rPr>
              <w:t>低毒</w:t>
            </w:r>
          </w:p>
        </w:tc>
        <w:tc>
          <w:tcPr>
            <w:tcW w:w="1092" w:type="dxa"/>
            <w:vAlign w:val="center"/>
          </w:tcPr>
          <w:p w14:paraId="688C0798">
            <w:pPr>
              <w:adjustRightInd w:val="0"/>
              <w:snapToGrid w:val="0"/>
              <w:spacing w:line="320" w:lineRule="exact"/>
              <w:jc w:val="center"/>
              <w:rPr>
                <w:rFonts w:eastAsia="仿宋_GB2312"/>
                <w:color w:val="auto"/>
                <w:szCs w:val="21"/>
              </w:rPr>
            </w:pPr>
            <w:r>
              <w:rPr>
                <w:rFonts w:eastAsia="仿宋_GB2312"/>
                <w:color w:val="auto"/>
                <w:szCs w:val="21"/>
              </w:rPr>
              <w:t>易燃</w:t>
            </w:r>
          </w:p>
        </w:tc>
        <w:tc>
          <w:tcPr>
            <w:tcW w:w="4716" w:type="dxa"/>
            <w:vAlign w:val="center"/>
          </w:tcPr>
          <w:p w14:paraId="5F0C31D3">
            <w:pPr>
              <w:adjustRightInd w:val="0"/>
              <w:snapToGrid w:val="0"/>
              <w:spacing w:line="320" w:lineRule="exact"/>
              <w:jc w:val="center"/>
              <w:rPr>
                <w:rFonts w:eastAsia="仿宋_GB2312"/>
                <w:color w:val="auto"/>
                <w:szCs w:val="21"/>
              </w:rPr>
            </w:pPr>
            <w:r>
              <w:rPr>
                <w:rFonts w:eastAsia="仿宋_GB2312"/>
                <w:color w:val="auto"/>
                <w:szCs w:val="21"/>
              </w:rPr>
              <w:t>气与空气可形成爆炸性混合物，遇明火、高热能引起燃烧爆炸</w:t>
            </w:r>
          </w:p>
        </w:tc>
        <w:tc>
          <w:tcPr>
            <w:tcW w:w="1020" w:type="dxa"/>
            <w:vAlign w:val="center"/>
          </w:tcPr>
          <w:p w14:paraId="71E06329">
            <w:pPr>
              <w:adjustRightInd w:val="0"/>
              <w:snapToGrid w:val="0"/>
              <w:spacing w:line="320" w:lineRule="exact"/>
              <w:jc w:val="center"/>
              <w:rPr>
                <w:rFonts w:eastAsia="仿宋_GB2312"/>
                <w:color w:val="auto"/>
                <w:szCs w:val="21"/>
              </w:rPr>
            </w:pPr>
            <w:r>
              <w:rPr>
                <w:rFonts w:eastAsia="仿宋_GB2312"/>
                <w:color w:val="auto"/>
                <w:szCs w:val="21"/>
              </w:rPr>
              <w:t>/</w:t>
            </w:r>
          </w:p>
        </w:tc>
      </w:tr>
      <w:tr w14:paraId="00D3C61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525" w:type="dxa"/>
            <w:vAlign w:val="center"/>
          </w:tcPr>
          <w:p w14:paraId="3626EFA8">
            <w:pPr>
              <w:adjustRightInd w:val="0"/>
              <w:snapToGrid w:val="0"/>
              <w:spacing w:line="320" w:lineRule="exact"/>
              <w:jc w:val="center"/>
              <w:rPr>
                <w:rFonts w:eastAsia="仿宋_GB2312"/>
                <w:color w:val="auto"/>
                <w:szCs w:val="21"/>
              </w:rPr>
            </w:pPr>
            <w:r>
              <w:rPr>
                <w:rFonts w:eastAsia="仿宋_GB2312"/>
                <w:color w:val="auto"/>
                <w:szCs w:val="21"/>
              </w:rPr>
              <w:t>辛醇</w:t>
            </w:r>
          </w:p>
        </w:tc>
        <w:tc>
          <w:tcPr>
            <w:tcW w:w="804" w:type="dxa"/>
            <w:vAlign w:val="center"/>
          </w:tcPr>
          <w:p w14:paraId="0EC4D71A">
            <w:pPr>
              <w:adjustRightInd w:val="0"/>
              <w:snapToGrid w:val="0"/>
              <w:spacing w:line="320" w:lineRule="exact"/>
              <w:jc w:val="center"/>
              <w:rPr>
                <w:rFonts w:eastAsia="仿宋_GB2312"/>
                <w:color w:val="auto"/>
                <w:szCs w:val="21"/>
              </w:rPr>
            </w:pPr>
            <w:r>
              <w:rPr>
                <w:rFonts w:eastAsia="仿宋_GB2312"/>
                <w:color w:val="auto"/>
                <w:szCs w:val="21"/>
              </w:rPr>
              <w:t>低毒</w:t>
            </w:r>
          </w:p>
        </w:tc>
        <w:tc>
          <w:tcPr>
            <w:tcW w:w="1092" w:type="dxa"/>
            <w:vAlign w:val="center"/>
          </w:tcPr>
          <w:p w14:paraId="307CB678">
            <w:pPr>
              <w:adjustRightInd w:val="0"/>
              <w:snapToGrid w:val="0"/>
              <w:spacing w:line="320" w:lineRule="exact"/>
              <w:jc w:val="center"/>
              <w:rPr>
                <w:rFonts w:eastAsia="仿宋_GB2312"/>
                <w:color w:val="auto"/>
                <w:szCs w:val="21"/>
              </w:rPr>
            </w:pPr>
            <w:r>
              <w:rPr>
                <w:rFonts w:eastAsia="仿宋_GB2312"/>
                <w:color w:val="auto"/>
                <w:szCs w:val="21"/>
              </w:rPr>
              <w:t>可燃</w:t>
            </w:r>
          </w:p>
        </w:tc>
        <w:tc>
          <w:tcPr>
            <w:tcW w:w="4716" w:type="dxa"/>
            <w:vAlign w:val="center"/>
          </w:tcPr>
          <w:p w14:paraId="3B70F202">
            <w:pPr>
              <w:adjustRightInd w:val="0"/>
              <w:snapToGrid w:val="0"/>
              <w:spacing w:line="320" w:lineRule="exact"/>
              <w:jc w:val="center"/>
              <w:rPr>
                <w:rFonts w:eastAsia="仿宋_GB2312"/>
                <w:color w:val="auto"/>
                <w:szCs w:val="21"/>
              </w:rPr>
            </w:pPr>
            <w:r>
              <w:rPr>
                <w:rFonts w:eastAsia="仿宋_GB2312"/>
                <w:color w:val="auto"/>
                <w:szCs w:val="21"/>
              </w:rPr>
              <w:t>高热、明火或与氧化剂接触，有引起燃烧的危险</w:t>
            </w:r>
          </w:p>
        </w:tc>
        <w:tc>
          <w:tcPr>
            <w:tcW w:w="1020" w:type="dxa"/>
            <w:vAlign w:val="center"/>
          </w:tcPr>
          <w:p w14:paraId="77011D73">
            <w:pPr>
              <w:adjustRightInd w:val="0"/>
              <w:snapToGrid w:val="0"/>
              <w:spacing w:line="320" w:lineRule="exact"/>
              <w:jc w:val="center"/>
              <w:rPr>
                <w:rFonts w:eastAsia="仿宋_GB2312"/>
                <w:color w:val="auto"/>
                <w:szCs w:val="21"/>
              </w:rPr>
            </w:pPr>
            <w:r>
              <w:rPr>
                <w:rFonts w:eastAsia="仿宋_GB2312"/>
                <w:color w:val="auto"/>
                <w:szCs w:val="21"/>
              </w:rPr>
              <w:t>/</w:t>
            </w:r>
          </w:p>
        </w:tc>
      </w:tr>
      <w:tr w14:paraId="5C97775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525" w:type="dxa"/>
            <w:vAlign w:val="center"/>
          </w:tcPr>
          <w:p w14:paraId="36148E80">
            <w:pPr>
              <w:adjustRightInd w:val="0"/>
              <w:snapToGrid w:val="0"/>
              <w:spacing w:line="320" w:lineRule="exact"/>
              <w:jc w:val="center"/>
              <w:rPr>
                <w:rFonts w:eastAsia="仿宋_GB2312"/>
                <w:color w:val="auto"/>
                <w:szCs w:val="21"/>
              </w:rPr>
            </w:pPr>
            <w:r>
              <w:rPr>
                <w:rFonts w:eastAsia="仿宋_GB2312"/>
                <w:color w:val="auto"/>
                <w:szCs w:val="21"/>
              </w:rPr>
              <w:t>苯乙烯</w:t>
            </w:r>
          </w:p>
        </w:tc>
        <w:tc>
          <w:tcPr>
            <w:tcW w:w="804" w:type="dxa"/>
            <w:vAlign w:val="center"/>
          </w:tcPr>
          <w:p w14:paraId="4DAB8BFB">
            <w:pPr>
              <w:adjustRightInd w:val="0"/>
              <w:snapToGrid w:val="0"/>
              <w:spacing w:line="320" w:lineRule="exact"/>
              <w:jc w:val="center"/>
              <w:rPr>
                <w:rFonts w:eastAsia="仿宋_GB2312"/>
                <w:color w:val="auto"/>
                <w:szCs w:val="21"/>
              </w:rPr>
            </w:pPr>
            <w:r>
              <w:rPr>
                <w:rFonts w:eastAsia="仿宋_GB2312"/>
                <w:color w:val="auto"/>
                <w:szCs w:val="21"/>
              </w:rPr>
              <w:t>低毒</w:t>
            </w:r>
          </w:p>
        </w:tc>
        <w:tc>
          <w:tcPr>
            <w:tcW w:w="1092" w:type="dxa"/>
            <w:vAlign w:val="center"/>
          </w:tcPr>
          <w:p w14:paraId="492600F6">
            <w:pPr>
              <w:adjustRightInd w:val="0"/>
              <w:snapToGrid w:val="0"/>
              <w:spacing w:line="320" w:lineRule="exact"/>
              <w:jc w:val="center"/>
              <w:rPr>
                <w:rFonts w:eastAsia="仿宋_GB2312"/>
                <w:color w:val="auto"/>
                <w:szCs w:val="21"/>
              </w:rPr>
            </w:pPr>
            <w:r>
              <w:rPr>
                <w:rFonts w:eastAsia="仿宋_GB2312"/>
                <w:color w:val="auto"/>
                <w:szCs w:val="21"/>
              </w:rPr>
              <w:t>易燃</w:t>
            </w:r>
          </w:p>
        </w:tc>
        <w:tc>
          <w:tcPr>
            <w:tcW w:w="4716" w:type="dxa"/>
            <w:vAlign w:val="center"/>
          </w:tcPr>
          <w:p w14:paraId="51FFC2F8">
            <w:pPr>
              <w:adjustRightInd w:val="0"/>
              <w:snapToGrid w:val="0"/>
              <w:spacing w:line="320" w:lineRule="exact"/>
              <w:jc w:val="center"/>
              <w:rPr>
                <w:rFonts w:eastAsia="仿宋_GB2312"/>
                <w:color w:val="auto"/>
                <w:szCs w:val="21"/>
              </w:rPr>
            </w:pPr>
            <w:r>
              <w:rPr>
                <w:rFonts w:eastAsia="仿宋_GB2312"/>
                <w:color w:val="auto"/>
                <w:szCs w:val="21"/>
              </w:rPr>
              <w:t>蒸气与空气可形成爆炸性混合物，遇明火、高热或与氧化剂接触，有引起燃烧爆炸的危险</w:t>
            </w:r>
          </w:p>
        </w:tc>
        <w:tc>
          <w:tcPr>
            <w:tcW w:w="1020" w:type="dxa"/>
            <w:vAlign w:val="center"/>
          </w:tcPr>
          <w:p w14:paraId="5BE7899F">
            <w:pPr>
              <w:adjustRightInd w:val="0"/>
              <w:snapToGrid w:val="0"/>
              <w:spacing w:line="320" w:lineRule="exact"/>
              <w:jc w:val="center"/>
              <w:rPr>
                <w:rFonts w:eastAsia="仿宋_GB2312"/>
                <w:color w:val="auto"/>
                <w:szCs w:val="21"/>
              </w:rPr>
            </w:pPr>
            <w:r>
              <w:rPr>
                <w:rFonts w:eastAsia="仿宋_GB2312"/>
                <w:color w:val="auto"/>
                <w:szCs w:val="21"/>
              </w:rPr>
              <w:t>/</w:t>
            </w:r>
          </w:p>
        </w:tc>
      </w:tr>
      <w:tr w14:paraId="3E20ECC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525" w:type="dxa"/>
            <w:vAlign w:val="center"/>
          </w:tcPr>
          <w:p w14:paraId="39C96778">
            <w:pPr>
              <w:adjustRightInd w:val="0"/>
              <w:snapToGrid w:val="0"/>
              <w:spacing w:line="320" w:lineRule="exact"/>
              <w:jc w:val="center"/>
              <w:rPr>
                <w:rFonts w:eastAsia="仿宋_GB2312"/>
                <w:color w:val="auto"/>
                <w:szCs w:val="21"/>
              </w:rPr>
            </w:pPr>
            <w:r>
              <w:rPr>
                <w:rFonts w:eastAsia="仿宋_GB2312"/>
                <w:color w:val="auto"/>
                <w:szCs w:val="21"/>
              </w:rPr>
              <w:t>二乙二醇</w:t>
            </w:r>
          </w:p>
        </w:tc>
        <w:tc>
          <w:tcPr>
            <w:tcW w:w="804" w:type="dxa"/>
            <w:vAlign w:val="center"/>
          </w:tcPr>
          <w:p w14:paraId="7E9348E5">
            <w:pPr>
              <w:adjustRightInd w:val="0"/>
              <w:snapToGrid w:val="0"/>
              <w:spacing w:line="320" w:lineRule="exact"/>
              <w:jc w:val="center"/>
              <w:rPr>
                <w:rFonts w:eastAsia="仿宋_GB2312"/>
                <w:color w:val="auto"/>
                <w:szCs w:val="21"/>
              </w:rPr>
            </w:pPr>
            <w:r>
              <w:rPr>
                <w:rFonts w:eastAsia="仿宋_GB2312"/>
                <w:color w:val="auto"/>
                <w:szCs w:val="21"/>
              </w:rPr>
              <w:t>低毒</w:t>
            </w:r>
          </w:p>
        </w:tc>
        <w:tc>
          <w:tcPr>
            <w:tcW w:w="1092" w:type="dxa"/>
            <w:vAlign w:val="center"/>
          </w:tcPr>
          <w:p w14:paraId="73608561">
            <w:pPr>
              <w:adjustRightInd w:val="0"/>
              <w:snapToGrid w:val="0"/>
              <w:spacing w:line="320" w:lineRule="exact"/>
              <w:jc w:val="center"/>
              <w:rPr>
                <w:rFonts w:eastAsia="仿宋_GB2312"/>
                <w:color w:val="auto"/>
                <w:szCs w:val="21"/>
              </w:rPr>
            </w:pPr>
            <w:r>
              <w:rPr>
                <w:rFonts w:eastAsia="仿宋_GB2312"/>
                <w:color w:val="auto"/>
                <w:szCs w:val="21"/>
              </w:rPr>
              <w:t>易燃</w:t>
            </w:r>
          </w:p>
        </w:tc>
        <w:tc>
          <w:tcPr>
            <w:tcW w:w="4716" w:type="dxa"/>
            <w:vAlign w:val="center"/>
          </w:tcPr>
          <w:p w14:paraId="58E9D4BF">
            <w:pPr>
              <w:adjustRightInd w:val="0"/>
              <w:snapToGrid w:val="0"/>
              <w:spacing w:line="320" w:lineRule="exact"/>
              <w:jc w:val="center"/>
              <w:rPr>
                <w:rFonts w:eastAsia="仿宋_GB2312"/>
                <w:color w:val="auto"/>
                <w:szCs w:val="21"/>
              </w:rPr>
            </w:pPr>
            <w:r>
              <w:rPr>
                <w:rFonts w:eastAsia="仿宋_GB2312"/>
                <w:color w:val="auto"/>
                <w:szCs w:val="21"/>
              </w:rPr>
              <w:t>遇明火、高热可燃</w:t>
            </w:r>
          </w:p>
        </w:tc>
        <w:tc>
          <w:tcPr>
            <w:tcW w:w="1020" w:type="dxa"/>
            <w:vAlign w:val="center"/>
          </w:tcPr>
          <w:p w14:paraId="1D937CA1">
            <w:pPr>
              <w:adjustRightInd w:val="0"/>
              <w:snapToGrid w:val="0"/>
              <w:spacing w:line="320" w:lineRule="exact"/>
              <w:jc w:val="center"/>
              <w:rPr>
                <w:rFonts w:eastAsia="仿宋_GB2312"/>
                <w:color w:val="auto"/>
                <w:szCs w:val="21"/>
              </w:rPr>
            </w:pPr>
            <w:r>
              <w:rPr>
                <w:rFonts w:eastAsia="仿宋_GB2312"/>
                <w:color w:val="auto"/>
                <w:szCs w:val="21"/>
              </w:rPr>
              <w:t>/</w:t>
            </w:r>
          </w:p>
        </w:tc>
      </w:tr>
      <w:tr w14:paraId="47775BA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525" w:type="dxa"/>
            <w:vAlign w:val="center"/>
          </w:tcPr>
          <w:p w14:paraId="1028624A">
            <w:pPr>
              <w:adjustRightInd w:val="0"/>
              <w:snapToGrid w:val="0"/>
              <w:spacing w:line="320" w:lineRule="exact"/>
              <w:jc w:val="center"/>
              <w:rPr>
                <w:rFonts w:eastAsia="仿宋_GB2312"/>
                <w:color w:val="auto"/>
                <w:szCs w:val="21"/>
              </w:rPr>
            </w:pPr>
            <w:r>
              <w:rPr>
                <w:rFonts w:eastAsia="仿宋_GB2312"/>
                <w:color w:val="auto"/>
                <w:szCs w:val="21"/>
              </w:rPr>
              <w:t>聚乙二醇</w:t>
            </w:r>
          </w:p>
        </w:tc>
        <w:tc>
          <w:tcPr>
            <w:tcW w:w="804" w:type="dxa"/>
            <w:vAlign w:val="center"/>
          </w:tcPr>
          <w:p w14:paraId="784F7C1C">
            <w:pPr>
              <w:adjustRightInd w:val="0"/>
              <w:snapToGrid w:val="0"/>
              <w:spacing w:line="320" w:lineRule="exact"/>
              <w:jc w:val="center"/>
              <w:rPr>
                <w:rFonts w:eastAsia="仿宋_GB2312"/>
                <w:color w:val="auto"/>
                <w:szCs w:val="21"/>
              </w:rPr>
            </w:pPr>
            <w:r>
              <w:rPr>
                <w:rFonts w:eastAsia="仿宋_GB2312"/>
                <w:color w:val="auto"/>
                <w:szCs w:val="21"/>
              </w:rPr>
              <w:t>低毒</w:t>
            </w:r>
          </w:p>
        </w:tc>
        <w:tc>
          <w:tcPr>
            <w:tcW w:w="1092" w:type="dxa"/>
            <w:vAlign w:val="center"/>
          </w:tcPr>
          <w:p w14:paraId="1C59261A">
            <w:pPr>
              <w:adjustRightInd w:val="0"/>
              <w:snapToGrid w:val="0"/>
              <w:spacing w:line="320" w:lineRule="exact"/>
              <w:jc w:val="center"/>
              <w:rPr>
                <w:rFonts w:eastAsia="仿宋_GB2312"/>
                <w:color w:val="auto"/>
                <w:szCs w:val="21"/>
              </w:rPr>
            </w:pPr>
            <w:r>
              <w:rPr>
                <w:rFonts w:eastAsia="仿宋_GB2312"/>
                <w:color w:val="auto"/>
                <w:szCs w:val="21"/>
              </w:rPr>
              <w:t>易燃</w:t>
            </w:r>
          </w:p>
        </w:tc>
        <w:tc>
          <w:tcPr>
            <w:tcW w:w="4716" w:type="dxa"/>
            <w:vAlign w:val="center"/>
          </w:tcPr>
          <w:p w14:paraId="23176487">
            <w:pPr>
              <w:adjustRightInd w:val="0"/>
              <w:snapToGrid w:val="0"/>
              <w:spacing w:line="320" w:lineRule="exact"/>
              <w:jc w:val="center"/>
              <w:rPr>
                <w:rFonts w:eastAsia="仿宋_GB2312"/>
                <w:color w:val="auto"/>
                <w:szCs w:val="21"/>
              </w:rPr>
            </w:pPr>
            <w:r>
              <w:rPr>
                <w:rFonts w:eastAsia="仿宋_GB2312"/>
                <w:color w:val="auto"/>
                <w:szCs w:val="21"/>
              </w:rPr>
              <w:t>遇明火、高热可燃</w:t>
            </w:r>
          </w:p>
        </w:tc>
        <w:tc>
          <w:tcPr>
            <w:tcW w:w="1020" w:type="dxa"/>
            <w:vAlign w:val="center"/>
          </w:tcPr>
          <w:p w14:paraId="5378418B">
            <w:pPr>
              <w:adjustRightInd w:val="0"/>
              <w:snapToGrid w:val="0"/>
              <w:spacing w:line="320" w:lineRule="exact"/>
              <w:jc w:val="center"/>
              <w:rPr>
                <w:rFonts w:eastAsia="仿宋_GB2312"/>
                <w:color w:val="auto"/>
                <w:szCs w:val="21"/>
              </w:rPr>
            </w:pPr>
            <w:r>
              <w:rPr>
                <w:rFonts w:eastAsia="仿宋_GB2312"/>
                <w:color w:val="auto"/>
                <w:szCs w:val="21"/>
              </w:rPr>
              <w:t>/</w:t>
            </w:r>
          </w:p>
        </w:tc>
      </w:tr>
      <w:tr w14:paraId="0F08E55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525" w:type="dxa"/>
            <w:vAlign w:val="center"/>
          </w:tcPr>
          <w:p w14:paraId="490497B9">
            <w:pPr>
              <w:adjustRightInd w:val="0"/>
              <w:snapToGrid w:val="0"/>
              <w:spacing w:line="320" w:lineRule="exact"/>
              <w:jc w:val="center"/>
              <w:rPr>
                <w:rFonts w:eastAsia="仿宋_GB2312"/>
                <w:color w:val="auto"/>
                <w:szCs w:val="21"/>
              </w:rPr>
            </w:pPr>
            <w:r>
              <w:rPr>
                <w:rFonts w:eastAsia="仿宋_GB2312"/>
                <w:color w:val="auto"/>
                <w:szCs w:val="21"/>
              </w:rPr>
              <w:t>四氢呋喃</w:t>
            </w:r>
          </w:p>
        </w:tc>
        <w:tc>
          <w:tcPr>
            <w:tcW w:w="804" w:type="dxa"/>
            <w:vAlign w:val="center"/>
          </w:tcPr>
          <w:p w14:paraId="503D5D90">
            <w:pPr>
              <w:adjustRightInd w:val="0"/>
              <w:snapToGrid w:val="0"/>
              <w:spacing w:line="320" w:lineRule="exact"/>
              <w:jc w:val="center"/>
              <w:rPr>
                <w:rFonts w:eastAsia="仿宋_GB2312"/>
                <w:color w:val="auto"/>
                <w:szCs w:val="21"/>
              </w:rPr>
            </w:pPr>
            <w:r>
              <w:rPr>
                <w:rFonts w:eastAsia="仿宋_GB2312"/>
                <w:color w:val="auto"/>
                <w:szCs w:val="21"/>
              </w:rPr>
              <w:t>低毒</w:t>
            </w:r>
          </w:p>
        </w:tc>
        <w:tc>
          <w:tcPr>
            <w:tcW w:w="1092" w:type="dxa"/>
            <w:vAlign w:val="center"/>
          </w:tcPr>
          <w:p w14:paraId="5D3B307B">
            <w:pPr>
              <w:adjustRightInd w:val="0"/>
              <w:snapToGrid w:val="0"/>
              <w:spacing w:line="320" w:lineRule="exact"/>
              <w:jc w:val="center"/>
              <w:rPr>
                <w:rFonts w:eastAsia="仿宋_GB2312"/>
                <w:color w:val="auto"/>
                <w:szCs w:val="21"/>
              </w:rPr>
            </w:pPr>
            <w:r>
              <w:rPr>
                <w:rFonts w:eastAsia="仿宋_GB2312"/>
                <w:color w:val="auto"/>
                <w:szCs w:val="21"/>
              </w:rPr>
              <w:t>易燃</w:t>
            </w:r>
          </w:p>
        </w:tc>
        <w:tc>
          <w:tcPr>
            <w:tcW w:w="4716" w:type="dxa"/>
            <w:vAlign w:val="center"/>
          </w:tcPr>
          <w:p w14:paraId="42BFD05A">
            <w:pPr>
              <w:adjustRightInd w:val="0"/>
              <w:snapToGrid w:val="0"/>
              <w:spacing w:line="320" w:lineRule="exact"/>
              <w:jc w:val="center"/>
              <w:rPr>
                <w:rFonts w:eastAsia="仿宋_GB2312"/>
                <w:color w:val="auto"/>
                <w:szCs w:val="21"/>
              </w:rPr>
            </w:pPr>
            <w:r>
              <w:rPr>
                <w:rFonts w:eastAsia="仿宋_GB2312"/>
                <w:color w:val="auto"/>
                <w:szCs w:val="21"/>
              </w:rPr>
              <w:t>蒸气与空气可形成爆炸性混合物</w:t>
            </w:r>
          </w:p>
        </w:tc>
        <w:tc>
          <w:tcPr>
            <w:tcW w:w="1020" w:type="dxa"/>
            <w:vAlign w:val="center"/>
          </w:tcPr>
          <w:p w14:paraId="53A8D53A">
            <w:pPr>
              <w:adjustRightInd w:val="0"/>
              <w:snapToGrid w:val="0"/>
              <w:spacing w:line="320" w:lineRule="exact"/>
              <w:jc w:val="center"/>
              <w:rPr>
                <w:rFonts w:eastAsia="仿宋_GB2312"/>
                <w:color w:val="auto"/>
                <w:szCs w:val="21"/>
              </w:rPr>
            </w:pPr>
            <w:r>
              <w:rPr>
                <w:rFonts w:eastAsia="仿宋_GB2312"/>
                <w:color w:val="auto"/>
                <w:szCs w:val="21"/>
              </w:rPr>
              <w:t>/</w:t>
            </w:r>
          </w:p>
        </w:tc>
      </w:tr>
      <w:tr w14:paraId="504A548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525" w:type="dxa"/>
            <w:vAlign w:val="center"/>
          </w:tcPr>
          <w:p w14:paraId="635226B2">
            <w:pPr>
              <w:adjustRightInd w:val="0"/>
              <w:snapToGrid w:val="0"/>
              <w:spacing w:line="320" w:lineRule="exact"/>
              <w:jc w:val="center"/>
              <w:rPr>
                <w:rFonts w:eastAsia="仿宋_GB2312"/>
                <w:color w:val="auto"/>
                <w:szCs w:val="21"/>
              </w:rPr>
            </w:pPr>
            <w:r>
              <w:rPr>
                <w:rFonts w:eastAsia="仿宋_GB2312"/>
                <w:color w:val="auto"/>
                <w:szCs w:val="21"/>
              </w:rPr>
              <w:t>乙腈</w:t>
            </w:r>
          </w:p>
        </w:tc>
        <w:tc>
          <w:tcPr>
            <w:tcW w:w="804" w:type="dxa"/>
            <w:vAlign w:val="center"/>
          </w:tcPr>
          <w:p w14:paraId="61A3656F">
            <w:pPr>
              <w:adjustRightInd w:val="0"/>
              <w:snapToGrid w:val="0"/>
              <w:spacing w:line="320" w:lineRule="exact"/>
              <w:jc w:val="center"/>
              <w:rPr>
                <w:rFonts w:eastAsia="仿宋_GB2312"/>
                <w:color w:val="auto"/>
                <w:szCs w:val="21"/>
              </w:rPr>
            </w:pPr>
            <w:r>
              <w:rPr>
                <w:rFonts w:eastAsia="仿宋_GB2312"/>
                <w:color w:val="auto"/>
                <w:szCs w:val="21"/>
              </w:rPr>
              <w:t>中毒</w:t>
            </w:r>
          </w:p>
        </w:tc>
        <w:tc>
          <w:tcPr>
            <w:tcW w:w="1092" w:type="dxa"/>
            <w:vAlign w:val="center"/>
          </w:tcPr>
          <w:p w14:paraId="54774D4E">
            <w:pPr>
              <w:adjustRightInd w:val="0"/>
              <w:snapToGrid w:val="0"/>
              <w:spacing w:line="320" w:lineRule="exact"/>
              <w:jc w:val="center"/>
              <w:rPr>
                <w:rFonts w:eastAsia="仿宋_GB2312"/>
                <w:color w:val="auto"/>
                <w:szCs w:val="21"/>
              </w:rPr>
            </w:pPr>
            <w:r>
              <w:rPr>
                <w:rFonts w:eastAsia="仿宋_GB2312"/>
                <w:color w:val="auto"/>
                <w:szCs w:val="21"/>
              </w:rPr>
              <w:t>易燃</w:t>
            </w:r>
          </w:p>
        </w:tc>
        <w:tc>
          <w:tcPr>
            <w:tcW w:w="4716" w:type="dxa"/>
            <w:vAlign w:val="center"/>
          </w:tcPr>
          <w:p w14:paraId="7FDD9E72">
            <w:pPr>
              <w:adjustRightInd w:val="0"/>
              <w:snapToGrid w:val="0"/>
              <w:spacing w:line="320" w:lineRule="exact"/>
              <w:jc w:val="center"/>
              <w:rPr>
                <w:rFonts w:eastAsia="仿宋_GB2312"/>
                <w:color w:val="auto"/>
                <w:szCs w:val="21"/>
              </w:rPr>
            </w:pPr>
            <w:r>
              <w:rPr>
                <w:rFonts w:eastAsia="仿宋_GB2312"/>
                <w:color w:val="auto"/>
                <w:szCs w:val="21"/>
              </w:rPr>
              <w:t>蒸气与空气可形成爆炸性混合物</w:t>
            </w:r>
          </w:p>
        </w:tc>
        <w:tc>
          <w:tcPr>
            <w:tcW w:w="1020" w:type="dxa"/>
            <w:vAlign w:val="center"/>
          </w:tcPr>
          <w:p w14:paraId="741477F1">
            <w:pPr>
              <w:adjustRightInd w:val="0"/>
              <w:snapToGrid w:val="0"/>
              <w:spacing w:line="320" w:lineRule="exact"/>
              <w:jc w:val="center"/>
              <w:rPr>
                <w:rFonts w:eastAsia="仿宋_GB2312"/>
                <w:color w:val="auto"/>
                <w:szCs w:val="21"/>
              </w:rPr>
            </w:pPr>
            <w:r>
              <w:rPr>
                <w:rFonts w:eastAsia="仿宋_GB2312"/>
                <w:color w:val="auto"/>
                <w:szCs w:val="21"/>
              </w:rPr>
              <w:t>/</w:t>
            </w:r>
          </w:p>
        </w:tc>
      </w:tr>
      <w:tr w14:paraId="2F53BD5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525" w:type="dxa"/>
            <w:vAlign w:val="center"/>
          </w:tcPr>
          <w:p w14:paraId="4E9ABD1A">
            <w:pPr>
              <w:adjustRightInd w:val="0"/>
              <w:snapToGrid w:val="0"/>
              <w:spacing w:line="320" w:lineRule="exact"/>
              <w:jc w:val="center"/>
              <w:rPr>
                <w:rFonts w:eastAsia="仿宋_GB2312"/>
                <w:color w:val="auto"/>
                <w:szCs w:val="21"/>
              </w:rPr>
            </w:pPr>
            <w:r>
              <w:rPr>
                <w:rFonts w:eastAsia="仿宋_GB2312"/>
                <w:color w:val="auto"/>
                <w:szCs w:val="21"/>
              </w:rPr>
              <w:t>丙二醇单甲醚</w:t>
            </w:r>
          </w:p>
        </w:tc>
        <w:tc>
          <w:tcPr>
            <w:tcW w:w="804" w:type="dxa"/>
            <w:vAlign w:val="center"/>
          </w:tcPr>
          <w:p w14:paraId="21556F68">
            <w:pPr>
              <w:adjustRightInd w:val="0"/>
              <w:snapToGrid w:val="0"/>
              <w:spacing w:line="320" w:lineRule="exact"/>
              <w:jc w:val="center"/>
              <w:rPr>
                <w:rFonts w:eastAsia="仿宋_GB2312"/>
                <w:color w:val="auto"/>
                <w:szCs w:val="21"/>
              </w:rPr>
            </w:pPr>
            <w:r>
              <w:rPr>
                <w:rFonts w:eastAsia="仿宋_GB2312"/>
                <w:color w:val="auto"/>
                <w:szCs w:val="21"/>
              </w:rPr>
              <w:t>低毒</w:t>
            </w:r>
          </w:p>
        </w:tc>
        <w:tc>
          <w:tcPr>
            <w:tcW w:w="1092" w:type="dxa"/>
            <w:vAlign w:val="center"/>
          </w:tcPr>
          <w:p w14:paraId="659F9DE7">
            <w:pPr>
              <w:adjustRightInd w:val="0"/>
              <w:snapToGrid w:val="0"/>
              <w:spacing w:line="320" w:lineRule="exact"/>
              <w:jc w:val="center"/>
              <w:rPr>
                <w:rFonts w:eastAsia="仿宋_GB2312"/>
                <w:color w:val="auto"/>
                <w:szCs w:val="21"/>
              </w:rPr>
            </w:pPr>
            <w:r>
              <w:rPr>
                <w:rFonts w:eastAsia="仿宋_GB2312"/>
                <w:color w:val="auto"/>
                <w:szCs w:val="21"/>
              </w:rPr>
              <w:t>易燃</w:t>
            </w:r>
          </w:p>
        </w:tc>
        <w:tc>
          <w:tcPr>
            <w:tcW w:w="4716" w:type="dxa"/>
            <w:vAlign w:val="center"/>
          </w:tcPr>
          <w:p w14:paraId="37799ECE">
            <w:pPr>
              <w:adjustRightInd w:val="0"/>
              <w:snapToGrid w:val="0"/>
              <w:spacing w:line="320" w:lineRule="exact"/>
              <w:jc w:val="center"/>
              <w:rPr>
                <w:rFonts w:eastAsia="仿宋_GB2312"/>
                <w:color w:val="auto"/>
                <w:szCs w:val="21"/>
              </w:rPr>
            </w:pPr>
            <w:r>
              <w:rPr>
                <w:rFonts w:eastAsia="仿宋_GB2312"/>
                <w:color w:val="auto"/>
                <w:szCs w:val="21"/>
              </w:rPr>
              <w:t>蒸气与空气可形成爆炸性混合物，遇明火、高热能引起爆炸</w:t>
            </w:r>
          </w:p>
        </w:tc>
        <w:tc>
          <w:tcPr>
            <w:tcW w:w="1020" w:type="dxa"/>
            <w:vAlign w:val="center"/>
          </w:tcPr>
          <w:p w14:paraId="4FCE104A">
            <w:pPr>
              <w:adjustRightInd w:val="0"/>
              <w:snapToGrid w:val="0"/>
              <w:spacing w:line="320" w:lineRule="exact"/>
              <w:jc w:val="center"/>
              <w:rPr>
                <w:rFonts w:eastAsia="仿宋_GB2312"/>
                <w:color w:val="auto"/>
                <w:szCs w:val="21"/>
              </w:rPr>
            </w:pPr>
            <w:r>
              <w:rPr>
                <w:rFonts w:eastAsia="仿宋_GB2312"/>
                <w:color w:val="auto"/>
                <w:szCs w:val="21"/>
              </w:rPr>
              <w:t>/</w:t>
            </w:r>
          </w:p>
        </w:tc>
      </w:tr>
      <w:tr w14:paraId="410E635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525" w:type="dxa"/>
            <w:vAlign w:val="center"/>
          </w:tcPr>
          <w:p w14:paraId="3A93F0B3">
            <w:pPr>
              <w:adjustRightInd w:val="0"/>
              <w:snapToGrid w:val="0"/>
              <w:spacing w:line="320" w:lineRule="exact"/>
              <w:jc w:val="center"/>
              <w:rPr>
                <w:rFonts w:eastAsia="仿宋_GB2312"/>
                <w:color w:val="auto"/>
                <w:szCs w:val="21"/>
              </w:rPr>
            </w:pPr>
            <w:r>
              <w:rPr>
                <w:rFonts w:eastAsia="仿宋_GB2312"/>
                <w:color w:val="auto"/>
                <w:szCs w:val="21"/>
              </w:rPr>
              <w:t>丙二醇单甲醚乙酸酯</w:t>
            </w:r>
          </w:p>
        </w:tc>
        <w:tc>
          <w:tcPr>
            <w:tcW w:w="804" w:type="dxa"/>
            <w:vAlign w:val="center"/>
          </w:tcPr>
          <w:p w14:paraId="5885D60C">
            <w:pPr>
              <w:adjustRightInd w:val="0"/>
              <w:snapToGrid w:val="0"/>
              <w:spacing w:line="320" w:lineRule="exact"/>
              <w:jc w:val="center"/>
              <w:rPr>
                <w:rFonts w:eastAsia="仿宋_GB2312"/>
                <w:color w:val="auto"/>
                <w:szCs w:val="21"/>
              </w:rPr>
            </w:pPr>
            <w:r>
              <w:rPr>
                <w:rFonts w:eastAsia="仿宋_GB2312"/>
                <w:color w:val="auto"/>
                <w:szCs w:val="21"/>
              </w:rPr>
              <w:t>低毒</w:t>
            </w:r>
          </w:p>
        </w:tc>
        <w:tc>
          <w:tcPr>
            <w:tcW w:w="1092" w:type="dxa"/>
            <w:vAlign w:val="center"/>
          </w:tcPr>
          <w:p w14:paraId="21716E17">
            <w:pPr>
              <w:adjustRightInd w:val="0"/>
              <w:snapToGrid w:val="0"/>
              <w:spacing w:line="320" w:lineRule="exact"/>
              <w:jc w:val="center"/>
              <w:rPr>
                <w:rFonts w:eastAsia="仿宋_GB2312"/>
                <w:color w:val="auto"/>
                <w:szCs w:val="21"/>
              </w:rPr>
            </w:pPr>
            <w:r>
              <w:rPr>
                <w:rFonts w:eastAsia="仿宋_GB2312"/>
                <w:color w:val="auto"/>
                <w:szCs w:val="21"/>
              </w:rPr>
              <w:t>易燃</w:t>
            </w:r>
          </w:p>
        </w:tc>
        <w:tc>
          <w:tcPr>
            <w:tcW w:w="4716" w:type="dxa"/>
            <w:vAlign w:val="center"/>
          </w:tcPr>
          <w:p w14:paraId="17993922">
            <w:pPr>
              <w:adjustRightInd w:val="0"/>
              <w:snapToGrid w:val="0"/>
              <w:spacing w:line="320" w:lineRule="exact"/>
              <w:jc w:val="center"/>
              <w:rPr>
                <w:rFonts w:eastAsia="仿宋_GB2312"/>
                <w:color w:val="auto"/>
                <w:szCs w:val="21"/>
              </w:rPr>
            </w:pPr>
            <w:r>
              <w:rPr>
                <w:rFonts w:eastAsia="仿宋_GB2312"/>
                <w:color w:val="auto"/>
                <w:szCs w:val="21"/>
              </w:rPr>
              <w:t>蒸气与空气可形成爆炸性混合物，遇明火、高热能引起爆炸</w:t>
            </w:r>
          </w:p>
        </w:tc>
        <w:tc>
          <w:tcPr>
            <w:tcW w:w="1020" w:type="dxa"/>
            <w:vAlign w:val="center"/>
          </w:tcPr>
          <w:p w14:paraId="6C31797B">
            <w:pPr>
              <w:adjustRightInd w:val="0"/>
              <w:snapToGrid w:val="0"/>
              <w:spacing w:line="320" w:lineRule="exact"/>
              <w:jc w:val="center"/>
              <w:rPr>
                <w:rFonts w:eastAsia="仿宋_GB2312"/>
                <w:color w:val="auto"/>
                <w:szCs w:val="21"/>
              </w:rPr>
            </w:pPr>
            <w:r>
              <w:rPr>
                <w:rFonts w:eastAsia="仿宋_GB2312"/>
                <w:color w:val="auto"/>
                <w:szCs w:val="21"/>
              </w:rPr>
              <w:t>/</w:t>
            </w:r>
          </w:p>
        </w:tc>
      </w:tr>
      <w:tr w14:paraId="1107623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525" w:type="dxa"/>
            <w:vAlign w:val="center"/>
          </w:tcPr>
          <w:p w14:paraId="6006AE0A">
            <w:pPr>
              <w:adjustRightInd w:val="0"/>
              <w:snapToGrid w:val="0"/>
              <w:spacing w:line="320" w:lineRule="exact"/>
              <w:jc w:val="center"/>
              <w:rPr>
                <w:rFonts w:eastAsia="仿宋_GB2312"/>
                <w:color w:val="auto"/>
                <w:szCs w:val="21"/>
              </w:rPr>
            </w:pPr>
            <w:r>
              <w:rPr>
                <w:rFonts w:eastAsia="仿宋_GB2312"/>
                <w:color w:val="auto"/>
                <w:szCs w:val="21"/>
              </w:rPr>
              <w:t>环戊酮</w:t>
            </w:r>
          </w:p>
        </w:tc>
        <w:tc>
          <w:tcPr>
            <w:tcW w:w="804" w:type="dxa"/>
            <w:vAlign w:val="center"/>
          </w:tcPr>
          <w:p w14:paraId="7B4FABDE">
            <w:pPr>
              <w:adjustRightInd w:val="0"/>
              <w:snapToGrid w:val="0"/>
              <w:spacing w:line="320" w:lineRule="exact"/>
              <w:jc w:val="center"/>
              <w:rPr>
                <w:rFonts w:eastAsia="仿宋_GB2312"/>
                <w:color w:val="auto"/>
                <w:szCs w:val="21"/>
              </w:rPr>
            </w:pPr>
            <w:r>
              <w:rPr>
                <w:rFonts w:eastAsia="仿宋_GB2312"/>
                <w:color w:val="auto"/>
                <w:szCs w:val="21"/>
              </w:rPr>
              <w:t>低毒</w:t>
            </w:r>
          </w:p>
        </w:tc>
        <w:tc>
          <w:tcPr>
            <w:tcW w:w="1092" w:type="dxa"/>
            <w:vAlign w:val="center"/>
          </w:tcPr>
          <w:p w14:paraId="3A81559D">
            <w:pPr>
              <w:adjustRightInd w:val="0"/>
              <w:snapToGrid w:val="0"/>
              <w:spacing w:line="320" w:lineRule="exact"/>
              <w:jc w:val="center"/>
              <w:rPr>
                <w:rFonts w:eastAsia="仿宋_GB2312"/>
                <w:color w:val="auto"/>
                <w:szCs w:val="21"/>
              </w:rPr>
            </w:pPr>
            <w:r>
              <w:rPr>
                <w:rFonts w:eastAsia="仿宋_GB2312"/>
                <w:color w:val="auto"/>
                <w:szCs w:val="21"/>
              </w:rPr>
              <w:t>易燃</w:t>
            </w:r>
          </w:p>
        </w:tc>
        <w:tc>
          <w:tcPr>
            <w:tcW w:w="4716" w:type="dxa"/>
            <w:vAlign w:val="center"/>
          </w:tcPr>
          <w:p w14:paraId="0EBE4C84">
            <w:pPr>
              <w:adjustRightInd w:val="0"/>
              <w:snapToGrid w:val="0"/>
              <w:spacing w:line="320" w:lineRule="exact"/>
              <w:jc w:val="center"/>
              <w:rPr>
                <w:rFonts w:eastAsia="仿宋_GB2312"/>
                <w:color w:val="auto"/>
                <w:szCs w:val="21"/>
              </w:rPr>
            </w:pPr>
            <w:r>
              <w:rPr>
                <w:rFonts w:eastAsia="仿宋_GB2312"/>
                <w:color w:val="auto"/>
                <w:szCs w:val="21"/>
              </w:rPr>
              <w:t>遇明火、高热或与氧化剂接触，有引起燃烧爆炸的危险</w:t>
            </w:r>
          </w:p>
        </w:tc>
        <w:tc>
          <w:tcPr>
            <w:tcW w:w="1020" w:type="dxa"/>
            <w:vAlign w:val="center"/>
          </w:tcPr>
          <w:p w14:paraId="358A2DAF">
            <w:pPr>
              <w:adjustRightInd w:val="0"/>
              <w:snapToGrid w:val="0"/>
              <w:spacing w:line="320" w:lineRule="exact"/>
              <w:jc w:val="center"/>
              <w:rPr>
                <w:rFonts w:eastAsia="仿宋_GB2312"/>
                <w:color w:val="auto"/>
                <w:szCs w:val="21"/>
              </w:rPr>
            </w:pPr>
            <w:r>
              <w:rPr>
                <w:rFonts w:eastAsia="仿宋_GB2312"/>
                <w:color w:val="auto"/>
                <w:szCs w:val="21"/>
              </w:rPr>
              <w:t>/</w:t>
            </w:r>
          </w:p>
        </w:tc>
      </w:tr>
      <w:tr w14:paraId="05255DE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525" w:type="dxa"/>
            <w:vAlign w:val="center"/>
          </w:tcPr>
          <w:p w14:paraId="58ACEA8F">
            <w:pPr>
              <w:adjustRightInd w:val="0"/>
              <w:snapToGrid w:val="0"/>
              <w:spacing w:line="320" w:lineRule="exact"/>
              <w:jc w:val="center"/>
              <w:rPr>
                <w:rFonts w:eastAsia="仿宋_GB2312"/>
                <w:color w:val="auto"/>
                <w:szCs w:val="21"/>
              </w:rPr>
            </w:pPr>
            <w:r>
              <w:rPr>
                <w:rFonts w:eastAsia="仿宋_GB2312"/>
                <w:color w:val="auto"/>
                <w:szCs w:val="21"/>
              </w:rPr>
              <w:t>甲酸乙酯</w:t>
            </w:r>
          </w:p>
        </w:tc>
        <w:tc>
          <w:tcPr>
            <w:tcW w:w="804" w:type="dxa"/>
            <w:vAlign w:val="center"/>
          </w:tcPr>
          <w:p w14:paraId="7CAF4E95">
            <w:pPr>
              <w:adjustRightInd w:val="0"/>
              <w:snapToGrid w:val="0"/>
              <w:spacing w:line="320" w:lineRule="exact"/>
              <w:jc w:val="center"/>
              <w:rPr>
                <w:rFonts w:eastAsia="仿宋_GB2312"/>
                <w:color w:val="auto"/>
                <w:szCs w:val="21"/>
              </w:rPr>
            </w:pPr>
            <w:r>
              <w:rPr>
                <w:rFonts w:eastAsia="仿宋_GB2312"/>
                <w:color w:val="auto"/>
                <w:szCs w:val="21"/>
              </w:rPr>
              <w:t>低毒</w:t>
            </w:r>
          </w:p>
        </w:tc>
        <w:tc>
          <w:tcPr>
            <w:tcW w:w="1092" w:type="dxa"/>
            <w:vAlign w:val="center"/>
          </w:tcPr>
          <w:p w14:paraId="6C6693C7">
            <w:pPr>
              <w:adjustRightInd w:val="0"/>
              <w:snapToGrid w:val="0"/>
              <w:spacing w:line="320" w:lineRule="exact"/>
              <w:jc w:val="center"/>
              <w:rPr>
                <w:rFonts w:eastAsia="仿宋_GB2312"/>
                <w:color w:val="auto"/>
                <w:szCs w:val="21"/>
              </w:rPr>
            </w:pPr>
            <w:r>
              <w:rPr>
                <w:rFonts w:eastAsia="仿宋_GB2312"/>
                <w:color w:val="auto"/>
                <w:szCs w:val="21"/>
              </w:rPr>
              <w:t>易燃</w:t>
            </w:r>
          </w:p>
        </w:tc>
        <w:tc>
          <w:tcPr>
            <w:tcW w:w="4716" w:type="dxa"/>
            <w:vAlign w:val="center"/>
          </w:tcPr>
          <w:p w14:paraId="364017A1">
            <w:pPr>
              <w:widowControl/>
              <w:jc w:val="center"/>
              <w:rPr>
                <w:rFonts w:hint="eastAsia" w:eastAsia="仿宋_GB2312"/>
                <w:kern w:val="0"/>
                <w:szCs w:val="21"/>
              </w:rPr>
            </w:pPr>
            <w:r>
              <w:rPr>
                <w:rFonts w:hint="eastAsia" w:eastAsia="仿宋_GB2312"/>
                <w:kern w:val="0"/>
                <w:szCs w:val="21"/>
              </w:rPr>
              <w:t>蒸气与空气可形成爆炸性混合物</w:t>
            </w:r>
          </w:p>
        </w:tc>
        <w:tc>
          <w:tcPr>
            <w:tcW w:w="1020" w:type="dxa"/>
            <w:vAlign w:val="center"/>
          </w:tcPr>
          <w:p w14:paraId="53D74957">
            <w:pPr>
              <w:widowControl/>
              <w:jc w:val="center"/>
              <w:rPr>
                <w:rFonts w:hint="eastAsia" w:eastAsia="仿宋_GB2312"/>
                <w:kern w:val="0"/>
                <w:szCs w:val="21"/>
              </w:rPr>
            </w:pPr>
            <w:r>
              <w:rPr>
                <w:rFonts w:hint="eastAsia" w:eastAsia="仿宋_GB2312"/>
                <w:kern w:val="0"/>
                <w:szCs w:val="21"/>
              </w:rPr>
              <w:t>/</w:t>
            </w:r>
          </w:p>
        </w:tc>
      </w:tr>
      <w:tr w14:paraId="7A81CE2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525" w:type="dxa"/>
            <w:shd w:val="clear" w:color="auto" w:fill="auto"/>
            <w:vAlign w:val="center"/>
          </w:tcPr>
          <w:p w14:paraId="6BFA6673">
            <w:pPr>
              <w:widowControl/>
              <w:jc w:val="center"/>
              <w:rPr>
                <w:rFonts w:ascii="Times New Roman" w:hAnsi="Times New Roman" w:eastAsia="仿宋_GB2312" w:cs="Times New Roman"/>
                <w:kern w:val="0"/>
                <w:sz w:val="21"/>
                <w:szCs w:val="21"/>
                <w:lang w:val="en-US" w:eastAsia="zh-CN" w:bidi="ar-SA"/>
              </w:rPr>
            </w:pPr>
            <w:r>
              <w:rPr>
                <w:rFonts w:hint="eastAsia" w:eastAsia="仿宋_GB2312"/>
                <w:kern w:val="0"/>
                <w:szCs w:val="21"/>
              </w:rPr>
              <w:t>苯酚</w:t>
            </w:r>
          </w:p>
        </w:tc>
        <w:tc>
          <w:tcPr>
            <w:tcW w:w="804" w:type="dxa"/>
            <w:vAlign w:val="center"/>
          </w:tcPr>
          <w:p w14:paraId="03DD5E0A">
            <w:pPr>
              <w:adjustRightInd w:val="0"/>
              <w:snapToGrid w:val="0"/>
              <w:spacing w:line="320" w:lineRule="exact"/>
              <w:jc w:val="center"/>
              <w:rPr>
                <w:rFonts w:eastAsia="仿宋_GB2312"/>
                <w:color w:val="auto"/>
                <w:szCs w:val="21"/>
              </w:rPr>
            </w:pPr>
            <w:r>
              <w:rPr>
                <w:rFonts w:eastAsia="仿宋_GB2312"/>
                <w:color w:val="auto"/>
                <w:szCs w:val="21"/>
              </w:rPr>
              <w:t>中毒</w:t>
            </w:r>
          </w:p>
        </w:tc>
        <w:tc>
          <w:tcPr>
            <w:tcW w:w="1092" w:type="dxa"/>
            <w:shd w:val="clear" w:color="auto" w:fill="auto"/>
            <w:vAlign w:val="center"/>
          </w:tcPr>
          <w:p w14:paraId="7469E4F2">
            <w:pPr>
              <w:widowControl/>
              <w:jc w:val="center"/>
              <w:rPr>
                <w:rFonts w:ascii="Times New Roman" w:hAnsi="Times New Roman" w:eastAsia="仿宋_GB2312" w:cs="Times New Roman"/>
                <w:kern w:val="0"/>
                <w:sz w:val="21"/>
                <w:szCs w:val="21"/>
                <w:lang w:val="en-US" w:eastAsia="zh-CN" w:bidi="ar-SA"/>
              </w:rPr>
            </w:pPr>
            <w:r>
              <w:rPr>
                <w:rFonts w:hint="eastAsia" w:eastAsia="仿宋_GB2312"/>
                <w:kern w:val="0"/>
                <w:szCs w:val="21"/>
              </w:rPr>
              <w:t>可然</w:t>
            </w:r>
          </w:p>
        </w:tc>
        <w:tc>
          <w:tcPr>
            <w:tcW w:w="4716" w:type="dxa"/>
            <w:vAlign w:val="center"/>
          </w:tcPr>
          <w:p w14:paraId="7923FBD6">
            <w:pPr>
              <w:widowControl/>
              <w:jc w:val="center"/>
              <w:rPr>
                <w:rFonts w:hint="eastAsia" w:eastAsia="仿宋_GB2312"/>
                <w:kern w:val="0"/>
                <w:szCs w:val="21"/>
              </w:rPr>
            </w:pPr>
            <w:r>
              <w:rPr>
                <w:rFonts w:hint="eastAsia" w:eastAsia="仿宋_GB2312"/>
                <w:kern w:val="0"/>
                <w:szCs w:val="21"/>
              </w:rPr>
              <w:t>遇明火、高热或与氧化剂接触有引起燃烧爆炸的危险</w:t>
            </w:r>
          </w:p>
        </w:tc>
        <w:tc>
          <w:tcPr>
            <w:tcW w:w="1020" w:type="dxa"/>
            <w:shd w:val="clear" w:color="auto" w:fill="auto"/>
            <w:vAlign w:val="center"/>
          </w:tcPr>
          <w:p w14:paraId="608EA1B4">
            <w:pPr>
              <w:widowControl/>
              <w:jc w:val="center"/>
              <w:rPr>
                <w:rFonts w:hint="eastAsia" w:eastAsia="仿宋_GB2312"/>
                <w:kern w:val="0"/>
                <w:szCs w:val="21"/>
                <w:lang w:val="en-US" w:eastAsia="zh-CN"/>
              </w:rPr>
            </w:pPr>
            <w:r>
              <w:rPr>
                <w:rFonts w:hint="eastAsia" w:eastAsia="仿宋_GB2312"/>
                <w:kern w:val="0"/>
                <w:szCs w:val="21"/>
              </w:rPr>
              <w:t>/</w:t>
            </w:r>
          </w:p>
        </w:tc>
      </w:tr>
      <w:tr w14:paraId="663E51B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525" w:type="dxa"/>
            <w:shd w:val="clear" w:color="auto" w:fill="auto"/>
            <w:vAlign w:val="center"/>
          </w:tcPr>
          <w:p w14:paraId="209F3BE7">
            <w:pPr>
              <w:widowControl/>
              <w:jc w:val="center"/>
              <w:rPr>
                <w:rFonts w:ascii="Times New Roman" w:hAnsi="Times New Roman" w:eastAsia="仿宋_GB2312" w:cs="Times New Roman"/>
                <w:kern w:val="0"/>
                <w:sz w:val="21"/>
                <w:szCs w:val="21"/>
                <w:lang w:val="en-US" w:eastAsia="zh-CN" w:bidi="ar-SA"/>
              </w:rPr>
            </w:pPr>
            <w:r>
              <w:rPr>
                <w:rFonts w:hint="eastAsia" w:eastAsia="仿宋_GB2312"/>
                <w:kern w:val="0"/>
                <w:szCs w:val="21"/>
              </w:rPr>
              <w:t>乙酸乙烯酯</w:t>
            </w:r>
          </w:p>
        </w:tc>
        <w:tc>
          <w:tcPr>
            <w:tcW w:w="804" w:type="dxa"/>
            <w:shd w:val="clear" w:color="auto" w:fill="auto"/>
            <w:vAlign w:val="center"/>
          </w:tcPr>
          <w:p w14:paraId="3AEFBEC6">
            <w:pPr>
              <w:adjustRightInd w:val="0"/>
              <w:snapToGrid w:val="0"/>
              <w:spacing w:line="320" w:lineRule="exact"/>
              <w:jc w:val="center"/>
              <w:rPr>
                <w:rFonts w:ascii="Times New Roman" w:hAnsi="Times New Roman" w:eastAsia="仿宋_GB2312" w:cs="Times New Roman"/>
                <w:color w:val="auto"/>
                <w:kern w:val="2"/>
                <w:sz w:val="21"/>
                <w:szCs w:val="21"/>
                <w:lang w:val="en-US" w:eastAsia="zh-CN" w:bidi="ar-SA"/>
              </w:rPr>
            </w:pPr>
            <w:r>
              <w:rPr>
                <w:rFonts w:eastAsia="仿宋_GB2312"/>
                <w:color w:val="auto"/>
                <w:szCs w:val="21"/>
              </w:rPr>
              <w:t>低毒</w:t>
            </w:r>
          </w:p>
        </w:tc>
        <w:tc>
          <w:tcPr>
            <w:tcW w:w="1092" w:type="dxa"/>
            <w:shd w:val="clear" w:color="auto" w:fill="auto"/>
            <w:vAlign w:val="center"/>
          </w:tcPr>
          <w:p w14:paraId="1BCD0B9A">
            <w:pPr>
              <w:adjustRightInd w:val="0"/>
              <w:snapToGrid w:val="0"/>
              <w:spacing w:line="320" w:lineRule="exact"/>
              <w:jc w:val="center"/>
              <w:rPr>
                <w:rFonts w:ascii="Times New Roman" w:hAnsi="Times New Roman" w:eastAsia="仿宋_GB2312" w:cs="Times New Roman"/>
                <w:color w:val="auto"/>
                <w:kern w:val="2"/>
                <w:sz w:val="21"/>
                <w:szCs w:val="21"/>
                <w:lang w:val="en-US" w:eastAsia="zh-CN" w:bidi="ar-SA"/>
              </w:rPr>
            </w:pPr>
            <w:r>
              <w:rPr>
                <w:rFonts w:eastAsia="仿宋_GB2312"/>
                <w:color w:val="auto"/>
                <w:szCs w:val="21"/>
              </w:rPr>
              <w:t>易燃</w:t>
            </w:r>
          </w:p>
        </w:tc>
        <w:tc>
          <w:tcPr>
            <w:tcW w:w="4716" w:type="dxa"/>
            <w:vAlign w:val="center"/>
          </w:tcPr>
          <w:p w14:paraId="3D421CFD">
            <w:pPr>
              <w:widowControl/>
              <w:jc w:val="center"/>
              <w:rPr>
                <w:rFonts w:hint="eastAsia" w:eastAsia="仿宋_GB2312"/>
                <w:kern w:val="0"/>
                <w:szCs w:val="21"/>
              </w:rPr>
            </w:pPr>
            <w:r>
              <w:rPr>
                <w:rFonts w:hint="eastAsia" w:eastAsia="仿宋_GB2312"/>
                <w:kern w:val="0"/>
                <w:szCs w:val="21"/>
              </w:rPr>
              <w:t>其蒸气与空气可形成爆炸性混合物。遇明火、高热能引起燃烧爆炸</w:t>
            </w:r>
          </w:p>
        </w:tc>
        <w:tc>
          <w:tcPr>
            <w:tcW w:w="1020" w:type="dxa"/>
            <w:shd w:val="clear" w:color="auto" w:fill="auto"/>
            <w:vAlign w:val="center"/>
          </w:tcPr>
          <w:p w14:paraId="5E77EB13">
            <w:pPr>
              <w:widowControl/>
              <w:jc w:val="center"/>
              <w:rPr>
                <w:rFonts w:hint="eastAsia" w:eastAsia="仿宋_GB2312"/>
                <w:kern w:val="0"/>
                <w:szCs w:val="21"/>
                <w:lang w:val="en-US" w:eastAsia="zh-CN"/>
              </w:rPr>
            </w:pPr>
            <w:r>
              <w:rPr>
                <w:rFonts w:hint="eastAsia" w:eastAsia="仿宋_GB2312"/>
                <w:kern w:val="0"/>
                <w:szCs w:val="21"/>
              </w:rPr>
              <w:t>/</w:t>
            </w:r>
          </w:p>
        </w:tc>
      </w:tr>
      <w:tr w14:paraId="090E221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525" w:type="dxa"/>
            <w:shd w:val="clear" w:color="auto" w:fill="auto"/>
            <w:vAlign w:val="center"/>
          </w:tcPr>
          <w:p w14:paraId="4DB8C573">
            <w:pPr>
              <w:widowControl/>
              <w:jc w:val="center"/>
              <w:rPr>
                <w:rFonts w:ascii="Times New Roman" w:hAnsi="Times New Roman" w:eastAsia="仿宋_GB2312" w:cs="Times New Roman"/>
                <w:kern w:val="0"/>
                <w:sz w:val="21"/>
                <w:szCs w:val="21"/>
                <w:lang w:val="en-US" w:eastAsia="zh-CN" w:bidi="ar-SA"/>
              </w:rPr>
            </w:pPr>
            <w:r>
              <w:rPr>
                <w:rFonts w:hint="eastAsia" w:eastAsia="仿宋_GB2312"/>
                <w:kern w:val="0"/>
                <w:szCs w:val="21"/>
              </w:rPr>
              <w:t>2-甲基四氢呋喃</w:t>
            </w:r>
          </w:p>
        </w:tc>
        <w:tc>
          <w:tcPr>
            <w:tcW w:w="804" w:type="dxa"/>
            <w:shd w:val="clear" w:color="auto" w:fill="auto"/>
            <w:vAlign w:val="center"/>
          </w:tcPr>
          <w:p w14:paraId="225646CD">
            <w:pPr>
              <w:adjustRightInd w:val="0"/>
              <w:snapToGrid w:val="0"/>
              <w:spacing w:line="320" w:lineRule="exact"/>
              <w:jc w:val="center"/>
              <w:rPr>
                <w:rFonts w:ascii="Times New Roman" w:hAnsi="Times New Roman" w:eastAsia="仿宋_GB2312" w:cs="Times New Roman"/>
                <w:color w:val="auto"/>
                <w:kern w:val="2"/>
                <w:sz w:val="21"/>
                <w:szCs w:val="21"/>
                <w:lang w:val="en-US" w:eastAsia="zh-CN" w:bidi="ar-SA"/>
              </w:rPr>
            </w:pPr>
            <w:r>
              <w:rPr>
                <w:rFonts w:eastAsia="仿宋_GB2312"/>
                <w:color w:val="auto"/>
                <w:szCs w:val="21"/>
              </w:rPr>
              <w:t>低毒</w:t>
            </w:r>
          </w:p>
        </w:tc>
        <w:tc>
          <w:tcPr>
            <w:tcW w:w="1092" w:type="dxa"/>
            <w:shd w:val="clear" w:color="auto" w:fill="auto"/>
            <w:vAlign w:val="center"/>
          </w:tcPr>
          <w:p w14:paraId="1E8AA7F8">
            <w:pPr>
              <w:adjustRightInd w:val="0"/>
              <w:snapToGrid w:val="0"/>
              <w:spacing w:line="320" w:lineRule="exact"/>
              <w:jc w:val="center"/>
              <w:rPr>
                <w:rFonts w:ascii="Times New Roman" w:hAnsi="Times New Roman" w:eastAsia="仿宋_GB2312" w:cs="Times New Roman"/>
                <w:color w:val="auto"/>
                <w:kern w:val="2"/>
                <w:sz w:val="21"/>
                <w:szCs w:val="21"/>
                <w:lang w:val="en-US" w:eastAsia="zh-CN" w:bidi="ar-SA"/>
              </w:rPr>
            </w:pPr>
            <w:r>
              <w:rPr>
                <w:rFonts w:eastAsia="仿宋_GB2312"/>
                <w:color w:val="auto"/>
                <w:szCs w:val="21"/>
              </w:rPr>
              <w:t>易燃</w:t>
            </w:r>
          </w:p>
        </w:tc>
        <w:tc>
          <w:tcPr>
            <w:tcW w:w="4716" w:type="dxa"/>
            <w:vAlign w:val="center"/>
          </w:tcPr>
          <w:p w14:paraId="112A0D66">
            <w:pPr>
              <w:widowControl/>
              <w:jc w:val="center"/>
              <w:rPr>
                <w:rFonts w:hint="eastAsia" w:eastAsia="仿宋_GB2312"/>
                <w:kern w:val="0"/>
                <w:szCs w:val="21"/>
              </w:rPr>
            </w:pPr>
            <w:r>
              <w:rPr>
                <w:rFonts w:hint="eastAsia" w:eastAsia="仿宋_GB2312"/>
                <w:kern w:val="0"/>
                <w:szCs w:val="21"/>
              </w:rPr>
              <w:t>其蒸气与空气形成爆炸性混合物，遇明火、高热能引起燃烧爆炸。</w:t>
            </w:r>
          </w:p>
        </w:tc>
        <w:tc>
          <w:tcPr>
            <w:tcW w:w="1020" w:type="dxa"/>
            <w:shd w:val="clear" w:color="auto" w:fill="auto"/>
            <w:vAlign w:val="center"/>
          </w:tcPr>
          <w:p w14:paraId="43DEB013">
            <w:pPr>
              <w:widowControl/>
              <w:jc w:val="center"/>
              <w:rPr>
                <w:rFonts w:hint="eastAsia" w:eastAsia="仿宋_GB2312"/>
                <w:kern w:val="0"/>
                <w:szCs w:val="21"/>
                <w:lang w:val="en-US" w:eastAsia="zh-CN"/>
              </w:rPr>
            </w:pPr>
            <w:r>
              <w:rPr>
                <w:rFonts w:hint="eastAsia" w:eastAsia="仿宋_GB2312"/>
                <w:kern w:val="0"/>
                <w:szCs w:val="21"/>
              </w:rPr>
              <w:t>/</w:t>
            </w:r>
          </w:p>
        </w:tc>
      </w:tr>
      <w:tr w14:paraId="13EB24F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525" w:type="dxa"/>
            <w:shd w:val="clear" w:color="auto" w:fill="auto"/>
            <w:vAlign w:val="center"/>
          </w:tcPr>
          <w:p w14:paraId="3CA5CB7C">
            <w:pPr>
              <w:widowControl/>
              <w:jc w:val="center"/>
              <w:rPr>
                <w:rFonts w:ascii="Times New Roman" w:hAnsi="Times New Roman" w:eastAsia="仿宋_GB2312" w:cs="Times New Roman"/>
                <w:kern w:val="0"/>
                <w:sz w:val="21"/>
                <w:szCs w:val="21"/>
                <w:lang w:val="en-US" w:eastAsia="zh-CN" w:bidi="ar-SA"/>
              </w:rPr>
            </w:pPr>
            <w:r>
              <w:rPr>
                <w:rFonts w:hint="eastAsia" w:eastAsia="仿宋_GB2312"/>
                <w:kern w:val="0"/>
                <w:szCs w:val="21"/>
              </w:rPr>
              <w:t>甲基</w:t>
            </w:r>
            <w:r>
              <w:rPr>
                <w:rFonts w:hint="eastAsia" w:eastAsia="仿宋_GB2312"/>
                <w:kern w:val="0"/>
                <w:szCs w:val="21"/>
                <w:lang w:val="en-US" w:eastAsia="zh-CN"/>
              </w:rPr>
              <w:t>叔</w:t>
            </w:r>
            <w:r>
              <w:rPr>
                <w:rFonts w:hint="eastAsia" w:eastAsia="仿宋_GB2312"/>
                <w:kern w:val="0"/>
                <w:szCs w:val="21"/>
              </w:rPr>
              <w:t>丁基醚</w:t>
            </w:r>
          </w:p>
        </w:tc>
        <w:tc>
          <w:tcPr>
            <w:tcW w:w="804" w:type="dxa"/>
            <w:shd w:val="clear" w:color="auto" w:fill="auto"/>
            <w:vAlign w:val="center"/>
          </w:tcPr>
          <w:p w14:paraId="5A052D32">
            <w:pPr>
              <w:adjustRightInd w:val="0"/>
              <w:snapToGrid w:val="0"/>
              <w:spacing w:line="320" w:lineRule="exact"/>
              <w:jc w:val="center"/>
              <w:rPr>
                <w:rFonts w:ascii="Times New Roman" w:hAnsi="Times New Roman" w:eastAsia="仿宋_GB2312" w:cs="Times New Roman"/>
                <w:color w:val="auto"/>
                <w:kern w:val="2"/>
                <w:sz w:val="21"/>
                <w:szCs w:val="21"/>
                <w:lang w:val="en-US" w:eastAsia="zh-CN" w:bidi="ar-SA"/>
              </w:rPr>
            </w:pPr>
            <w:r>
              <w:rPr>
                <w:rFonts w:eastAsia="仿宋_GB2312"/>
                <w:color w:val="auto"/>
                <w:szCs w:val="21"/>
              </w:rPr>
              <w:t>低毒</w:t>
            </w:r>
          </w:p>
        </w:tc>
        <w:tc>
          <w:tcPr>
            <w:tcW w:w="1092" w:type="dxa"/>
            <w:shd w:val="clear" w:color="auto" w:fill="auto"/>
            <w:vAlign w:val="center"/>
          </w:tcPr>
          <w:p w14:paraId="4DA6DA4B">
            <w:pPr>
              <w:adjustRightInd w:val="0"/>
              <w:snapToGrid w:val="0"/>
              <w:spacing w:line="320" w:lineRule="exact"/>
              <w:jc w:val="center"/>
              <w:rPr>
                <w:rFonts w:ascii="Times New Roman" w:hAnsi="Times New Roman" w:eastAsia="仿宋_GB2312" w:cs="Times New Roman"/>
                <w:color w:val="auto"/>
                <w:kern w:val="2"/>
                <w:sz w:val="21"/>
                <w:szCs w:val="21"/>
                <w:lang w:val="en-US" w:eastAsia="zh-CN" w:bidi="ar-SA"/>
              </w:rPr>
            </w:pPr>
            <w:r>
              <w:rPr>
                <w:rFonts w:eastAsia="仿宋_GB2312"/>
                <w:color w:val="auto"/>
                <w:szCs w:val="21"/>
              </w:rPr>
              <w:t>易燃</w:t>
            </w:r>
          </w:p>
        </w:tc>
        <w:tc>
          <w:tcPr>
            <w:tcW w:w="4716" w:type="dxa"/>
            <w:vAlign w:val="center"/>
          </w:tcPr>
          <w:p w14:paraId="3DC65355">
            <w:pPr>
              <w:widowControl/>
              <w:jc w:val="center"/>
              <w:rPr>
                <w:rFonts w:hint="eastAsia" w:eastAsia="仿宋_GB2312"/>
                <w:kern w:val="0"/>
                <w:szCs w:val="21"/>
              </w:rPr>
            </w:pPr>
            <w:r>
              <w:rPr>
                <w:rFonts w:hint="eastAsia" w:eastAsia="仿宋_GB2312"/>
                <w:kern w:val="0"/>
                <w:szCs w:val="21"/>
              </w:rPr>
              <w:t>其蒸气与空气可形成爆炸性混合物。遇明火、高热或与氧化剂接触，有引起燃烧爆炸有危险。</w:t>
            </w:r>
          </w:p>
        </w:tc>
        <w:tc>
          <w:tcPr>
            <w:tcW w:w="1020" w:type="dxa"/>
            <w:shd w:val="clear" w:color="auto" w:fill="auto"/>
            <w:vAlign w:val="center"/>
          </w:tcPr>
          <w:p w14:paraId="4DADE482">
            <w:pPr>
              <w:widowControl/>
              <w:jc w:val="center"/>
              <w:rPr>
                <w:rFonts w:hint="eastAsia" w:eastAsia="仿宋_GB2312"/>
                <w:kern w:val="0"/>
                <w:szCs w:val="21"/>
                <w:lang w:val="en-US" w:eastAsia="zh-CN"/>
              </w:rPr>
            </w:pPr>
            <w:r>
              <w:rPr>
                <w:rFonts w:hint="eastAsia" w:eastAsia="仿宋_GB2312"/>
                <w:kern w:val="0"/>
                <w:szCs w:val="21"/>
              </w:rPr>
              <w:t>/</w:t>
            </w:r>
          </w:p>
        </w:tc>
      </w:tr>
      <w:tr w14:paraId="70BD7CE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525" w:type="dxa"/>
            <w:shd w:val="clear" w:color="auto" w:fill="auto"/>
            <w:vAlign w:val="center"/>
          </w:tcPr>
          <w:p w14:paraId="33A8092D">
            <w:pPr>
              <w:widowControl/>
              <w:jc w:val="center"/>
              <w:rPr>
                <w:rFonts w:ascii="Times New Roman" w:hAnsi="Times New Roman" w:eastAsia="仿宋_GB2312" w:cs="Times New Roman"/>
                <w:kern w:val="0"/>
                <w:sz w:val="21"/>
                <w:szCs w:val="21"/>
                <w:lang w:val="en-US" w:eastAsia="zh-CN" w:bidi="ar-SA"/>
              </w:rPr>
            </w:pPr>
            <w:r>
              <w:rPr>
                <w:rFonts w:hint="eastAsia" w:eastAsia="仿宋_GB2312"/>
                <w:kern w:val="0"/>
                <w:szCs w:val="21"/>
              </w:rPr>
              <w:t>丙二醇甲醚醋酸酯</w:t>
            </w:r>
          </w:p>
        </w:tc>
        <w:tc>
          <w:tcPr>
            <w:tcW w:w="804" w:type="dxa"/>
            <w:shd w:val="clear" w:color="auto" w:fill="auto"/>
            <w:vAlign w:val="center"/>
          </w:tcPr>
          <w:p w14:paraId="30A26958">
            <w:pPr>
              <w:adjustRightInd w:val="0"/>
              <w:snapToGrid w:val="0"/>
              <w:spacing w:line="320" w:lineRule="exact"/>
              <w:jc w:val="center"/>
              <w:rPr>
                <w:rFonts w:ascii="Times New Roman" w:hAnsi="Times New Roman" w:eastAsia="仿宋_GB2312" w:cs="Times New Roman"/>
                <w:color w:val="auto"/>
                <w:kern w:val="2"/>
                <w:sz w:val="21"/>
                <w:szCs w:val="21"/>
                <w:lang w:val="en-US" w:eastAsia="zh-CN" w:bidi="ar-SA"/>
              </w:rPr>
            </w:pPr>
            <w:r>
              <w:rPr>
                <w:rFonts w:eastAsia="仿宋_GB2312"/>
                <w:color w:val="auto"/>
                <w:szCs w:val="21"/>
              </w:rPr>
              <w:t>低毒</w:t>
            </w:r>
          </w:p>
        </w:tc>
        <w:tc>
          <w:tcPr>
            <w:tcW w:w="1092" w:type="dxa"/>
            <w:shd w:val="clear" w:color="auto" w:fill="auto"/>
            <w:vAlign w:val="center"/>
          </w:tcPr>
          <w:p w14:paraId="16CA7E57">
            <w:pPr>
              <w:adjustRightInd w:val="0"/>
              <w:snapToGrid w:val="0"/>
              <w:spacing w:line="320" w:lineRule="exact"/>
              <w:jc w:val="center"/>
              <w:rPr>
                <w:rFonts w:ascii="Times New Roman" w:hAnsi="Times New Roman" w:eastAsia="仿宋_GB2312" w:cs="Times New Roman"/>
                <w:color w:val="auto"/>
                <w:kern w:val="2"/>
                <w:sz w:val="21"/>
                <w:szCs w:val="21"/>
                <w:lang w:val="en-US" w:eastAsia="zh-CN" w:bidi="ar-SA"/>
              </w:rPr>
            </w:pPr>
            <w:r>
              <w:rPr>
                <w:rFonts w:eastAsia="仿宋_GB2312"/>
                <w:color w:val="auto"/>
                <w:szCs w:val="21"/>
              </w:rPr>
              <w:t>易燃</w:t>
            </w:r>
          </w:p>
        </w:tc>
        <w:tc>
          <w:tcPr>
            <w:tcW w:w="4716" w:type="dxa"/>
            <w:vAlign w:val="center"/>
          </w:tcPr>
          <w:p w14:paraId="482500E5">
            <w:pPr>
              <w:widowControl/>
              <w:jc w:val="center"/>
              <w:rPr>
                <w:rFonts w:hint="eastAsia" w:eastAsia="仿宋_GB2312"/>
                <w:kern w:val="0"/>
                <w:szCs w:val="21"/>
              </w:rPr>
            </w:pPr>
            <w:r>
              <w:rPr>
                <w:rFonts w:hint="eastAsia" w:eastAsia="仿宋_GB2312"/>
                <w:kern w:val="0"/>
                <w:szCs w:val="21"/>
              </w:rPr>
              <w:t>遇明火、高温、强氧化剂可燃</w:t>
            </w:r>
          </w:p>
        </w:tc>
        <w:tc>
          <w:tcPr>
            <w:tcW w:w="1020" w:type="dxa"/>
            <w:shd w:val="clear" w:color="auto" w:fill="auto"/>
            <w:vAlign w:val="center"/>
          </w:tcPr>
          <w:p w14:paraId="3BCA454B">
            <w:pPr>
              <w:widowControl/>
              <w:jc w:val="center"/>
              <w:rPr>
                <w:rFonts w:hint="eastAsia" w:eastAsia="仿宋_GB2312"/>
                <w:kern w:val="0"/>
                <w:szCs w:val="21"/>
                <w:lang w:val="en-US" w:eastAsia="zh-CN"/>
              </w:rPr>
            </w:pPr>
            <w:r>
              <w:rPr>
                <w:rFonts w:hint="eastAsia" w:eastAsia="仿宋_GB2312"/>
                <w:kern w:val="0"/>
                <w:szCs w:val="21"/>
              </w:rPr>
              <w:t>/</w:t>
            </w:r>
          </w:p>
        </w:tc>
      </w:tr>
    </w:tbl>
    <w:p w14:paraId="689565CC">
      <w:pPr>
        <w:pStyle w:val="7"/>
        <w:keepLines w:val="0"/>
        <w:widowControl/>
        <w:adjustRightInd w:val="0"/>
        <w:snapToGrid w:val="0"/>
        <w:spacing w:after="60" w:afterLines="25"/>
        <w:jc w:val="left"/>
        <w:rPr>
          <w:rFonts w:ascii="Times New Roman" w:hAnsi="Times New Roman"/>
          <w:b/>
          <w:color w:val="auto"/>
        </w:rPr>
      </w:pPr>
      <w:r>
        <w:rPr>
          <w:rFonts w:ascii="Times New Roman" w:hAnsi="Times New Roman"/>
          <w:b/>
          <w:color w:val="auto"/>
        </w:rPr>
        <w:t>3.8.2.2生产工艺风险识别</w:t>
      </w:r>
    </w:p>
    <w:p w14:paraId="466F293D">
      <w:pPr>
        <w:spacing w:line="480" w:lineRule="exact"/>
        <w:ind w:firstLine="560" w:firstLineChars="200"/>
        <w:rPr>
          <w:rFonts w:eastAsia="仿宋_GB2312"/>
          <w:bCs/>
          <w:color w:val="auto"/>
          <w:sz w:val="28"/>
          <w:szCs w:val="28"/>
        </w:rPr>
      </w:pPr>
      <w:r>
        <w:rPr>
          <w:rFonts w:eastAsia="仿宋_GB2312"/>
          <w:bCs/>
          <w:color w:val="auto"/>
          <w:sz w:val="28"/>
          <w:szCs w:val="28"/>
        </w:rPr>
        <w:t>一、原料危险性</w:t>
      </w:r>
    </w:p>
    <w:p w14:paraId="318DD2BE">
      <w:pPr>
        <w:spacing w:line="480" w:lineRule="exact"/>
        <w:ind w:firstLine="560" w:firstLineChars="200"/>
        <w:rPr>
          <w:rFonts w:eastAsia="仿宋_GB2312"/>
          <w:bCs/>
          <w:color w:val="auto"/>
          <w:sz w:val="28"/>
          <w:szCs w:val="28"/>
        </w:rPr>
      </w:pPr>
      <w:r>
        <w:rPr>
          <w:rFonts w:eastAsia="仿宋_GB2312"/>
          <w:bCs/>
          <w:color w:val="auto"/>
          <w:sz w:val="28"/>
          <w:szCs w:val="28"/>
        </w:rPr>
        <w:t>（1）废溶剂来源广泛，组份复杂。在未确定废溶剂来源、明确其中所含组份或未进行化验分析前盲目进行提纯生产，很可能造成火灾爆炸事故。</w:t>
      </w:r>
    </w:p>
    <w:p w14:paraId="28DA84BD">
      <w:pPr>
        <w:spacing w:line="480" w:lineRule="exact"/>
        <w:ind w:firstLine="560" w:firstLineChars="200"/>
        <w:rPr>
          <w:rFonts w:eastAsia="仿宋_GB2312"/>
          <w:bCs/>
          <w:color w:val="auto"/>
          <w:sz w:val="28"/>
          <w:szCs w:val="28"/>
        </w:rPr>
      </w:pPr>
      <w:r>
        <w:rPr>
          <w:rFonts w:eastAsia="仿宋_GB2312"/>
          <w:bCs/>
          <w:color w:val="auto"/>
          <w:sz w:val="28"/>
          <w:szCs w:val="28"/>
        </w:rPr>
        <w:t>（2）废溶剂来料数量可能每次不等，在进入精馏塔釜前需集中不同来源的废溶剂一起进行处理。在混批作业中，可能因各来料单位的废溶剂中所含的组份互为禁忌物而发生剧烈的化学反应。</w:t>
      </w:r>
    </w:p>
    <w:p w14:paraId="62230599">
      <w:pPr>
        <w:spacing w:line="480" w:lineRule="exact"/>
        <w:ind w:firstLine="560" w:firstLineChars="200"/>
        <w:rPr>
          <w:rFonts w:eastAsia="仿宋_GB2312"/>
          <w:bCs/>
          <w:color w:val="auto"/>
          <w:sz w:val="28"/>
          <w:szCs w:val="28"/>
        </w:rPr>
      </w:pPr>
      <w:r>
        <w:rPr>
          <w:rFonts w:eastAsia="仿宋_GB2312"/>
          <w:bCs/>
          <w:color w:val="auto"/>
          <w:sz w:val="28"/>
          <w:szCs w:val="28"/>
        </w:rPr>
        <w:t>（3）废溶剂中所含某些组份如过氧化物、不饱和单体等在加热到一定温度下可能发生分解、聚合危险。</w:t>
      </w:r>
    </w:p>
    <w:p w14:paraId="749AAE99">
      <w:pPr>
        <w:spacing w:line="480" w:lineRule="exact"/>
        <w:ind w:firstLine="560" w:firstLineChars="200"/>
        <w:rPr>
          <w:rFonts w:eastAsia="仿宋_GB2312"/>
          <w:bCs/>
          <w:color w:val="auto"/>
          <w:sz w:val="28"/>
          <w:szCs w:val="28"/>
        </w:rPr>
      </w:pPr>
      <w:r>
        <w:rPr>
          <w:rFonts w:eastAsia="仿宋_GB2312"/>
          <w:bCs/>
          <w:color w:val="auto"/>
          <w:sz w:val="28"/>
          <w:szCs w:val="28"/>
        </w:rPr>
        <w:t>二、釜底残液</w:t>
      </w:r>
      <w:r>
        <w:rPr>
          <w:rFonts w:hint="eastAsia" w:eastAsia="仿宋_GB2312"/>
          <w:bCs/>
          <w:color w:val="auto"/>
          <w:sz w:val="28"/>
          <w:szCs w:val="28"/>
          <w:lang w:eastAsia="zh-CN"/>
        </w:rPr>
        <w:t>（</w:t>
      </w:r>
      <w:r>
        <w:rPr>
          <w:rFonts w:eastAsia="仿宋_GB2312"/>
          <w:bCs/>
          <w:color w:val="auto"/>
          <w:sz w:val="28"/>
          <w:szCs w:val="28"/>
        </w:rPr>
        <w:t>渣</w:t>
      </w:r>
      <w:r>
        <w:rPr>
          <w:rFonts w:hint="eastAsia" w:eastAsia="仿宋_GB2312"/>
          <w:bCs/>
          <w:color w:val="auto"/>
          <w:sz w:val="28"/>
          <w:szCs w:val="28"/>
          <w:lang w:eastAsia="zh-CN"/>
        </w:rPr>
        <w:t>）</w:t>
      </w:r>
      <w:r>
        <w:rPr>
          <w:rFonts w:eastAsia="仿宋_GB2312"/>
          <w:bCs/>
          <w:color w:val="auto"/>
          <w:sz w:val="28"/>
          <w:szCs w:val="28"/>
        </w:rPr>
        <w:t>的爆炸危险性</w:t>
      </w:r>
    </w:p>
    <w:p w14:paraId="6D2912A0">
      <w:pPr>
        <w:spacing w:line="480" w:lineRule="exact"/>
        <w:ind w:firstLine="560" w:firstLineChars="200"/>
        <w:rPr>
          <w:rFonts w:eastAsia="仿宋_GB2312"/>
          <w:bCs/>
          <w:color w:val="auto"/>
          <w:sz w:val="28"/>
          <w:szCs w:val="28"/>
        </w:rPr>
      </w:pPr>
      <w:r>
        <w:rPr>
          <w:rFonts w:eastAsia="仿宋_GB2312"/>
          <w:bCs/>
          <w:color w:val="auto"/>
          <w:sz w:val="28"/>
          <w:szCs w:val="28"/>
        </w:rPr>
        <w:t>（1）醚类废溶剂精馏后期釜底残液中可能有过氧化醚富集，受热或快蒸干时可因分解而爆炸。有的废溶剂含过氧化物或硝化、氧化后的溶剂，同样可因其中有机物的分解而发生爆炸事故。</w:t>
      </w:r>
    </w:p>
    <w:p w14:paraId="5BBC6575">
      <w:pPr>
        <w:spacing w:line="480" w:lineRule="exact"/>
        <w:ind w:firstLine="560" w:firstLineChars="200"/>
        <w:rPr>
          <w:rFonts w:eastAsia="仿宋_GB2312"/>
          <w:bCs/>
          <w:color w:val="auto"/>
          <w:sz w:val="28"/>
          <w:szCs w:val="28"/>
        </w:rPr>
      </w:pPr>
      <w:r>
        <w:rPr>
          <w:rFonts w:eastAsia="仿宋_GB2312"/>
          <w:bCs/>
          <w:color w:val="auto"/>
          <w:sz w:val="28"/>
          <w:szCs w:val="28"/>
        </w:rPr>
        <w:t>（2）有些溶剂在生产中用作除盐溶剂，废溶剂中无机盐的溶解度很高，在蒸馏过程中这些无机盐可析出在釜内结垢，一则高温下存在可能分解的危险性，二则有损精馏塔釜并在人工清理过程中存在危险危害。</w:t>
      </w:r>
    </w:p>
    <w:p w14:paraId="658D118B">
      <w:pPr>
        <w:spacing w:line="480" w:lineRule="exact"/>
        <w:ind w:firstLine="560" w:firstLineChars="200"/>
        <w:rPr>
          <w:rFonts w:eastAsia="仿宋_GB2312"/>
          <w:bCs/>
          <w:color w:val="auto"/>
          <w:sz w:val="28"/>
          <w:szCs w:val="28"/>
        </w:rPr>
      </w:pPr>
      <w:r>
        <w:rPr>
          <w:rFonts w:eastAsia="仿宋_GB2312"/>
          <w:bCs/>
          <w:color w:val="auto"/>
          <w:sz w:val="28"/>
          <w:szCs w:val="28"/>
        </w:rPr>
        <w:t>（3）对某些组份较复杂的废溶剂，可能先采用常压蒸馏然后再进行减压精馏。从常压转向减压过程中，可能由于人工调节、操作不当而发生冲料事故。</w:t>
      </w:r>
    </w:p>
    <w:p w14:paraId="6FE6EBBE">
      <w:pPr>
        <w:spacing w:line="480" w:lineRule="exact"/>
        <w:ind w:firstLine="560" w:firstLineChars="200"/>
        <w:rPr>
          <w:rFonts w:eastAsia="仿宋_GB2312"/>
          <w:bCs/>
          <w:color w:val="auto"/>
          <w:sz w:val="28"/>
          <w:szCs w:val="28"/>
        </w:rPr>
      </w:pPr>
      <w:r>
        <w:rPr>
          <w:rFonts w:eastAsia="仿宋_GB2312"/>
          <w:bCs/>
          <w:color w:val="auto"/>
          <w:sz w:val="28"/>
          <w:szCs w:val="28"/>
        </w:rPr>
        <w:t>（4）加热温度不当，蒸发速度过快，或冷凝器冷却不足，可因气相物料得不到全部冷凝而外泄，遇点火源可发生燃爆事故。</w:t>
      </w:r>
    </w:p>
    <w:p w14:paraId="08EEC798">
      <w:pPr>
        <w:spacing w:line="480" w:lineRule="exact"/>
        <w:ind w:firstLine="560" w:firstLineChars="200"/>
        <w:rPr>
          <w:rFonts w:eastAsia="仿宋_GB2312"/>
          <w:bCs/>
          <w:color w:val="auto"/>
          <w:sz w:val="28"/>
          <w:szCs w:val="28"/>
        </w:rPr>
      </w:pPr>
      <w:r>
        <w:rPr>
          <w:rFonts w:eastAsia="仿宋_GB2312"/>
          <w:bCs/>
          <w:color w:val="auto"/>
          <w:sz w:val="28"/>
          <w:szCs w:val="28"/>
        </w:rPr>
        <w:t>（5）精馏装置对多种废溶剂精馏过程中，若未充分清洗、吹扫有可能因不同废溶剂中所含杂质相互间的化学反应而造成事故。</w:t>
      </w:r>
    </w:p>
    <w:p w14:paraId="4B6BD787">
      <w:pPr>
        <w:spacing w:line="480" w:lineRule="exact"/>
        <w:ind w:firstLine="560" w:firstLineChars="200"/>
        <w:rPr>
          <w:rFonts w:eastAsia="仿宋_GB2312"/>
          <w:bCs/>
          <w:color w:val="auto"/>
          <w:sz w:val="28"/>
          <w:szCs w:val="28"/>
        </w:rPr>
      </w:pPr>
      <w:r>
        <w:rPr>
          <w:rFonts w:eastAsia="仿宋_GB2312"/>
          <w:bCs/>
          <w:color w:val="auto"/>
          <w:sz w:val="28"/>
          <w:szCs w:val="28"/>
        </w:rPr>
        <w:t>（6）使用易燃易爆的物质较多，而且都具有一定的毒性。如操作不当加热量过大，或冷凝器中的冷却水量不足，冷却水突然中断，都可能使未冷凝的溶剂蒸气逸出设备散入空气中，遇点火源就有可能发生燃烧、爆炸或伤害人身事故。</w:t>
      </w:r>
    </w:p>
    <w:p w14:paraId="0338308F">
      <w:pPr>
        <w:spacing w:line="480" w:lineRule="exact"/>
        <w:ind w:firstLine="560" w:firstLineChars="200"/>
        <w:rPr>
          <w:rFonts w:eastAsia="仿宋_GB2312"/>
          <w:bCs/>
          <w:color w:val="auto"/>
          <w:sz w:val="28"/>
          <w:szCs w:val="28"/>
        </w:rPr>
      </w:pPr>
      <w:r>
        <w:rPr>
          <w:rFonts w:eastAsia="仿宋_GB2312"/>
          <w:bCs/>
          <w:color w:val="auto"/>
          <w:sz w:val="28"/>
          <w:szCs w:val="28"/>
        </w:rPr>
        <w:t>（7）项目中存在的腐蚀性物料对生产设备、管线、阀门及其它设施存在腐蚀危害。因腐蚀破坏常常不容易被察觉，设备、管线、阀门因长期的腐蚀作用一旦被腐蚀破坏</w:t>
      </w:r>
      <w:r>
        <w:rPr>
          <w:rFonts w:hint="eastAsia" w:eastAsia="仿宋_GB2312"/>
          <w:bCs/>
          <w:color w:val="auto"/>
          <w:sz w:val="28"/>
          <w:szCs w:val="28"/>
          <w:lang w:eastAsia="zh-CN"/>
        </w:rPr>
        <w:t>（</w:t>
      </w:r>
      <w:r>
        <w:rPr>
          <w:rFonts w:eastAsia="仿宋_GB2312"/>
          <w:bCs/>
          <w:color w:val="auto"/>
          <w:sz w:val="28"/>
          <w:szCs w:val="28"/>
        </w:rPr>
        <w:t>材料减薄、穿孔、强度降低、密封失效等</w:t>
      </w:r>
      <w:r>
        <w:rPr>
          <w:rFonts w:hint="eastAsia" w:eastAsia="仿宋_GB2312"/>
          <w:bCs/>
          <w:color w:val="auto"/>
          <w:sz w:val="28"/>
          <w:szCs w:val="28"/>
          <w:lang w:eastAsia="zh-CN"/>
        </w:rPr>
        <w:t>）</w:t>
      </w:r>
      <w:r>
        <w:rPr>
          <w:rFonts w:eastAsia="仿宋_GB2312"/>
          <w:bCs/>
          <w:color w:val="auto"/>
          <w:sz w:val="28"/>
          <w:szCs w:val="28"/>
        </w:rPr>
        <w:t>，物料泄漏可导致燃爆事故、人体化学灼伤事故。</w:t>
      </w:r>
    </w:p>
    <w:p w14:paraId="1DABA19D">
      <w:pPr>
        <w:spacing w:line="480" w:lineRule="exact"/>
        <w:ind w:firstLine="560" w:firstLineChars="200"/>
        <w:rPr>
          <w:rFonts w:eastAsia="仿宋_GB2312"/>
          <w:bCs/>
          <w:color w:val="auto"/>
          <w:sz w:val="28"/>
          <w:szCs w:val="28"/>
        </w:rPr>
      </w:pPr>
      <w:r>
        <w:rPr>
          <w:rFonts w:eastAsia="仿宋_GB2312"/>
          <w:bCs/>
          <w:color w:val="auto"/>
          <w:sz w:val="28"/>
          <w:szCs w:val="28"/>
        </w:rPr>
        <w:t>三、废溶剂、废液危险性</w:t>
      </w:r>
    </w:p>
    <w:p w14:paraId="5C63B856">
      <w:pPr>
        <w:spacing w:line="480" w:lineRule="exact"/>
        <w:ind w:firstLine="560" w:firstLineChars="200"/>
        <w:rPr>
          <w:rFonts w:eastAsia="仿宋_GB2312"/>
          <w:bCs/>
          <w:color w:val="auto"/>
          <w:sz w:val="28"/>
          <w:szCs w:val="28"/>
        </w:rPr>
      </w:pPr>
      <w:r>
        <w:rPr>
          <w:rFonts w:eastAsia="仿宋_GB2312"/>
          <w:bCs/>
          <w:color w:val="auto"/>
          <w:sz w:val="28"/>
          <w:szCs w:val="28"/>
        </w:rPr>
        <w:t>（1）废溶剂、废液均具有一定的毒物危害性，它们可通过呼吸道、口腔、皮肤对人体造成职业危害。</w:t>
      </w:r>
    </w:p>
    <w:p w14:paraId="78A3A3D7">
      <w:pPr>
        <w:spacing w:line="480" w:lineRule="exact"/>
        <w:ind w:firstLine="560" w:firstLineChars="200"/>
        <w:rPr>
          <w:rFonts w:eastAsia="仿宋_GB2312"/>
          <w:bCs/>
          <w:color w:val="auto"/>
          <w:sz w:val="28"/>
          <w:szCs w:val="28"/>
        </w:rPr>
      </w:pPr>
      <w:r>
        <w:rPr>
          <w:rFonts w:eastAsia="仿宋_GB2312"/>
          <w:bCs/>
          <w:color w:val="auto"/>
          <w:sz w:val="28"/>
          <w:szCs w:val="28"/>
        </w:rPr>
        <w:t>（2）废溶剂、废液回收处理过程中产生的废渣、残液以及前馏份等均为危险废弃物，项目中应按规定及时送有资质单位作焚烧处理，否则可产生新的危险危害并污染环境。</w:t>
      </w:r>
    </w:p>
    <w:p w14:paraId="38D15ED3">
      <w:pPr>
        <w:spacing w:line="480" w:lineRule="exact"/>
        <w:ind w:firstLine="560" w:firstLineChars="200"/>
        <w:rPr>
          <w:rFonts w:eastAsia="仿宋_GB2312"/>
          <w:bCs/>
          <w:color w:val="auto"/>
          <w:sz w:val="28"/>
          <w:szCs w:val="28"/>
        </w:rPr>
      </w:pPr>
      <w:r>
        <w:rPr>
          <w:rFonts w:eastAsia="仿宋_GB2312"/>
          <w:bCs/>
          <w:color w:val="auto"/>
          <w:sz w:val="28"/>
          <w:szCs w:val="28"/>
        </w:rPr>
        <w:t>（3）废料回收处理过程若人工操作不当，可造成精馏塔液泛、堵塞、物料泄漏等而引起事故。此外，在人工取样化验分析中还存在火灾、灼伤等危险因素。</w:t>
      </w:r>
    </w:p>
    <w:p w14:paraId="532F97E6">
      <w:pPr>
        <w:spacing w:line="480" w:lineRule="exact"/>
        <w:ind w:firstLine="560" w:firstLineChars="200"/>
        <w:rPr>
          <w:rFonts w:eastAsia="仿宋_GB2312"/>
          <w:bCs/>
          <w:color w:val="auto"/>
          <w:sz w:val="28"/>
          <w:szCs w:val="28"/>
        </w:rPr>
      </w:pPr>
      <w:r>
        <w:rPr>
          <w:rFonts w:eastAsia="仿宋_GB2312"/>
          <w:bCs/>
          <w:color w:val="auto"/>
          <w:sz w:val="28"/>
          <w:szCs w:val="28"/>
        </w:rPr>
        <w:t>三、一般化工操作识别</w:t>
      </w:r>
    </w:p>
    <w:p w14:paraId="63E324D3">
      <w:pPr>
        <w:spacing w:line="480" w:lineRule="exact"/>
        <w:ind w:firstLine="560" w:firstLineChars="200"/>
        <w:rPr>
          <w:rFonts w:eastAsia="仿宋_GB2312"/>
          <w:bCs/>
          <w:color w:val="auto"/>
          <w:sz w:val="28"/>
          <w:szCs w:val="28"/>
        </w:rPr>
      </w:pPr>
      <w:r>
        <w:rPr>
          <w:rFonts w:eastAsia="仿宋_GB2312"/>
          <w:bCs/>
          <w:color w:val="auto"/>
          <w:sz w:val="28"/>
          <w:szCs w:val="28"/>
        </w:rPr>
        <w:t>（1）中和</w:t>
      </w:r>
    </w:p>
    <w:p w14:paraId="1C089D6D">
      <w:pPr>
        <w:spacing w:line="480" w:lineRule="exact"/>
        <w:ind w:firstLine="560" w:firstLineChars="200"/>
        <w:rPr>
          <w:rFonts w:eastAsia="仿宋_GB2312"/>
          <w:bCs/>
          <w:color w:val="auto"/>
          <w:sz w:val="28"/>
          <w:szCs w:val="28"/>
        </w:rPr>
      </w:pPr>
      <w:r>
        <w:rPr>
          <w:rFonts w:eastAsia="仿宋_GB2312"/>
          <w:bCs/>
          <w:color w:val="auto"/>
          <w:sz w:val="28"/>
          <w:szCs w:val="28"/>
        </w:rPr>
        <w:t>酸与碱中和的热效应较大，因此操作过程失误、酸或碱投料量过大以及投料速度过快，可因中和热导致温升过快引起冲料事故。项目中涉及的酸、碱具有强腐蚀性，可因冲料事故、沸溅、作业人员不慎接触、泄漏等原因造成对作业人员的严重的化学灼伤，此外可造成对设备设施的腐蚀。</w:t>
      </w:r>
    </w:p>
    <w:p w14:paraId="118C3239">
      <w:pPr>
        <w:spacing w:line="480" w:lineRule="exact"/>
        <w:ind w:firstLine="560" w:firstLineChars="200"/>
        <w:rPr>
          <w:rFonts w:eastAsia="仿宋_GB2312"/>
          <w:bCs/>
          <w:color w:val="auto"/>
          <w:sz w:val="28"/>
          <w:szCs w:val="28"/>
        </w:rPr>
      </w:pPr>
      <w:r>
        <w:rPr>
          <w:rFonts w:eastAsia="仿宋_GB2312"/>
          <w:bCs/>
          <w:color w:val="auto"/>
          <w:sz w:val="28"/>
          <w:szCs w:val="28"/>
        </w:rPr>
        <w:t>（2）浓缩、精馏</w:t>
      </w:r>
    </w:p>
    <w:p w14:paraId="4A6F5D18">
      <w:pPr>
        <w:spacing w:line="480" w:lineRule="exact"/>
        <w:ind w:firstLine="560" w:firstLineChars="200"/>
        <w:rPr>
          <w:rFonts w:eastAsia="仿宋_GB2312"/>
          <w:bCs/>
          <w:color w:val="auto"/>
          <w:sz w:val="28"/>
          <w:szCs w:val="28"/>
        </w:rPr>
      </w:pPr>
      <w:r>
        <w:rPr>
          <w:rFonts w:eastAsia="仿宋_GB2312"/>
          <w:bCs/>
          <w:color w:val="auto"/>
          <w:sz w:val="28"/>
          <w:szCs w:val="28"/>
        </w:rPr>
        <w:t>本项目各产品都涉及溶剂（物料）浓缩精馏回收/回用等，溶剂回收装置主要N-甲基吡咯烷酮、异丙醇、四氢呋喃、二氯甲烷、乙酸丁酯、乙酸乙酯、甲醇、甲苯等溶剂。</w:t>
      </w:r>
    </w:p>
    <w:p w14:paraId="2D5337E3">
      <w:pPr>
        <w:spacing w:line="480" w:lineRule="exact"/>
        <w:ind w:firstLine="560" w:firstLineChars="200"/>
        <w:rPr>
          <w:rFonts w:eastAsia="仿宋_GB2312"/>
          <w:bCs/>
          <w:color w:val="auto"/>
          <w:sz w:val="28"/>
          <w:szCs w:val="28"/>
        </w:rPr>
      </w:pPr>
      <w:r>
        <w:rPr>
          <w:rFonts w:eastAsia="仿宋_GB2312"/>
          <w:bCs/>
          <w:color w:val="auto"/>
          <w:sz w:val="28"/>
          <w:szCs w:val="28"/>
        </w:rPr>
        <w:t>在溶剂精馏、尤其是负压精馏作业中，一旦系统密闭失效，空气可进入设备内形成爆炸性气体。负压精馏结束未降温，急于打开放空阀，在釜温较高情况下空气进入系统可与残液气相形成爆炸性混合物。精馏系统冷凝器冷却不足或冷媒中断，气相得不到及时冷凝而导致蒸馏系统超压、易燃蒸气外泄，造成火灾爆炸事故。</w:t>
      </w:r>
    </w:p>
    <w:p w14:paraId="6C93D4F5">
      <w:pPr>
        <w:spacing w:line="480" w:lineRule="exact"/>
        <w:ind w:firstLine="560" w:firstLineChars="200"/>
        <w:rPr>
          <w:rFonts w:eastAsia="仿宋_GB2312"/>
          <w:bCs/>
          <w:color w:val="auto"/>
          <w:sz w:val="28"/>
          <w:szCs w:val="28"/>
        </w:rPr>
      </w:pPr>
      <w:r>
        <w:rPr>
          <w:rFonts w:eastAsia="仿宋_GB2312"/>
          <w:bCs/>
          <w:color w:val="auto"/>
          <w:sz w:val="28"/>
          <w:szCs w:val="28"/>
        </w:rPr>
        <w:t>（3）后处理</w:t>
      </w:r>
    </w:p>
    <w:p w14:paraId="7E5D9E81">
      <w:pPr>
        <w:spacing w:line="480" w:lineRule="exact"/>
        <w:ind w:firstLine="560" w:firstLineChars="200"/>
        <w:rPr>
          <w:rFonts w:eastAsia="仿宋_GB2312"/>
          <w:bCs/>
          <w:color w:val="auto"/>
          <w:sz w:val="28"/>
          <w:szCs w:val="28"/>
        </w:rPr>
      </w:pPr>
      <w:r>
        <w:rPr>
          <w:rFonts w:eastAsia="仿宋_GB2312"/>
          <w:bCs/>
          <w:color w:val="auto"/>
          <w:sz w:val="28"/>
          <w:szCs w:val="28"/>
        </w:rPr>
        <w:t>本项目产品为溶剂回收类项目，原料品种多，三废多。生产过程中产生大量废弃物需进入“三废”系统处理，这些物料大多为可燃、有毒甚至易爆的化学品，品种多处理量大，如果处理不当，可引发火灾爆炸和环境污染事故。</w:t>
      </w:r>
    </w:p>
    <w:p w14:paraId="6896C375">
      <w:pPr>
        <w:spacing w:line="480" w:lineRule="exact"/>
        <w:ind w:firstLine="560" w:firstLineChars="200"/>
        <w:rPr>
          <w:rFonts w:eastAsia="仿宋_GB2312"/>
          <w:bCs/>
          <w:color w:val="auto"/>
          <w:sz w:val="28"/>
          <w:szCs w:val="28"/>
        </w:rPr>
      </w:pPr>
      <w:r>
        <w:rPr>
          <w:rFonts w:eastAsia="仿宋_GB2312"/>
          <w:bCs/>
          <w:color w:val="auto"/>
          <w:sz w:val="28"/>
          <w:szCs w:val="28"/>
        </w:rPr>
        <w:t>含易燃介质的废水，易燃蒸气在下水道或密闭空间遇点火源（如检修动火等）极易发生火灾、爆炸事故。</w:t>
      </w:r>
    </w:p>
    <w:p w14:paraId="7AD53E6F">
      <w:pPr>
        <w:spacing w:line="480" w:lineRule="exact"/>
        <w:ind w:firstLine="560" w:firstLineChars="200"/>
        <w:rPr>
          <w:rFonts w:eastAsia="仿宋_GB2312"/>
          <w:bCs/>
          <w:color w:val="auto"/>
          <w:sz w:val="28"/>
          <w:szCs w:val="28"/>
        </w:rPr>
      </w:pPr>
      <w:r>
        <w:rPr>
          <w:rFonts w:eastAsia="仿宋_GB2312"/>
          <w:bCs/>
          <w:color w:val="auto"/>
          <w:sz w:val="28"/>
          <w:szCs w:val="28"/>
        </w:rPr>
        <w:t>危险品废桶若未及时处理，堆积时间长，残留的危险化学品泄漏与空气氧化或与禁忌物等发生化学反应，遇明火等等均可发生火灾、爆炸事故。</w:t>
      </w:r>
    </w:p>
    <w:p w14:paraId="61C92DD8">
      <w:pPr>
        <w:pStyle w:val="7"/>
        <w:keepLines w:val="0"/>
        <w:widowControl/>
        <w:adjustRightInd w:val="0"/>
        <w:snapToGrid w:val="0"/>
        <w:spacing w:after="60" w:afterLines="25"/>
        <w:jc w:val="left"/>
        <w:rPr>
          <w:rFonts w:ascii="Times New Roman" w:hAnsi="Times New Roman"/>
          <w:b/>
          <w:color w:val="auto"/>
        </w:rPr>
      </w:pPr>
      <w:r>
        <w:rPr>
          <w:rFonts w:ascii="Times New Roman" w:hAnsi="Times New Roman"/>
          <w:b/>
          <w:color w:val="auto"/>
        </w:rPr>
        <w:t>3.8.2.3生产设施风险识别</w:t>
      </w:r>
    </w:p>
    <w:p w14:paraId="7DF0ABAE">
      <w:pPr>
        <w:spacing w:line="480" w:lineRule="exact"/>
        <w:ind w:firstLine="560" w:firstLineChars="200"/>
        <w:rPr>
          <w:rFonts w:eastAsia="仿宋_GB2312"/>
          <w:bCs/>
          <w:color w:val="auto"/>
          <w:sz w:val="28"/>
          <w:szCs w:val="28"/>
        </w:rPr>
      </w:pPr>
      <w:r>
        <w:rPr>
          <w:rFonts w:eastAsia="仿宋_GB2312"/>
          <w:bCs/>
          <w:color w:val="auto"/>
          <w:sz w:val="28"/>
          <w:szCs w:val="28"/>
        </w:rPr>
        <w:t>1）特种设备</w:t>
      </w:r>
    </w:p>
    <w:p w14:paraId="14F727DA">
      <w:pPr>
        <w:spacing w:line="480" w:lineRule="exact"/>
        <w:ind w:firstLine="560" w:firstLineChars="200"/>
        <w:rPr>
          <w:rFonts w:eastAsia="仿宋_GB2312"/>
          <w:bCs/>
          <w:color w:val="auto"/>
          <w:sz w:val="28"/>
          <w:szCs w:val="28"/>
        </w:rPr>
      </w:pPr>
      <w:r>
        <w:rPr>
          <w:rFonts w:hint="eastAsia" w:ascii="宋体" w:hAnsi="宋体" w:cs="宋体"/>
          <w:bCs/>
          <w:color w:val="auto"/>
          <w:sz w:val="28"/>
          <w:szCs w:val="28"/>
        </w:rPr>
        <w:t>①</w:t>
      </w:r>
      <w:r>
        <w:rPr>
          <w:rFonts w:eastAsia="仿宋_GB2312"/>
          <w:bCs/>
          <w:color w:val="auto"/>
          <w:sz w:val="28"/>
          <w:szCs w:val="28"/>
        </w:rPr>
        <w:t>压力容器（精馏塔等）、压力管道若未经正规设计、制造、监检，违法安装与使用，易超压引起爆炸事故；安全阀、压力表等安全附件未定期校验、检定合格，一旦超压易引起爆炸事故。装置运行时作业人员违章敲击、带压维修和紧固，易产生火花引起火灾爆炸事故。现场操作设备，一旦发生火灾爆炸事故，对现场作业人员危害较大，极易引起人员伤亡。管道长期使用未定期检测，一旦发生氢气泄漏，遇点火源易引起燃爆事故。</w:t>
      </w:r>
    </w:p>
    <w:p w14:paraId="68C09090">
      <w:pPr>
        <w:spacing w:line="480" w:lineRule="exact"/>
        <w:ind w:firstLine="560" w:firstLineChars="200"/>
        <w:rPr>
          <w:rFonts w:eastAsia="仿宋_GB2312"/>
          <w:bCs/>
          <w:color w:val="auto"/>
          <w:sz w:val="28"/>
          <w:szCs w:val="28"/>
        </w:rPr>
      </w:pPr>
      <w:r>
        <w:rPr>
          <w:rFonts w:eastAsia="仿宋_GB2312"/>
          <w:bCs/>
          <w:color w:val="auto"/>
          <w:sz w:val="28"/>
          <w:szCs w:val="28"/>
        </w:rPr>
        <w:fldChar w:fldCharType="begin"/>
      </w:r>
      <w:r>
        <w:rPr>
          <w:rFonts w:eastAsia="仿宋_GB2312"/>
          <w:bCs/>
          <w:color w:val="auto"/>
          <w:sz w:val="28"/>
          <w:szCs w:val="28"/>
        </w:rPr>
        <w:instrText xml:space="preserve"> = 2 \* GB3 </w:instrText>
      </w:r>
      <w:r>
        <w:rPr>
          <w:rFonts w:eastAsia="仿宋_GB2312"/>
          <w:bCs/>
          <w:color w:val="auto"/>
          <w:sz w:val="28"/>
          <w:szCs w:val="28"/>
        </w:rPr>
        <w:fldChar w:fldCharType="separate"/>
      </w:r>
      <w:r>
        <w:rPr>
          <w:rFonts w:hint="eastAsia" w:eastAsia="仿宋_GB2312"/>
          <w:bCs/>
          <w:color w:val="auto"/>
          <w:sz w:val="28"/>
          <w:szCs w:val="28"/>
        </w:rPr>
        <w:t>②</w:t>
      </w:r>
      <w:r>
        <w:rPr>
          <w:rFonts w:eastAsia="仿宋_GB2312"/>
          <w:bCs/>
          <w:color w:val="auto"/>
          <w:sz w:val="28"/>
          <w:szCs w:val="28"/>
        </w:rPr>
        <w:fldChar w:fldCharType="end"/>
      </w:r>
      <w:r>
        <w:rPr>
          <w:rFonts w:eastAsia="仿宋_GB2312"/>
          <w:bCs/>
          <w:color w:val="auto"/>
          <w:sz w:val="28"/>
          <w:szCs w:val="28"/>
        </w:rPr>
        <w:t>本项目涉及的蒸气、工艺（有机溶剂、腐蚀性物料等）管道属于压力管道，若焊接缺陷、超压使用或未经试压合格，一旦发生泄漏，蒸气可造成人员烫伤，氢气、有机溶剂遇点火源会造成火灾爆炸事故，腐蚀性物料可造成人员灼伤。另外，压力管道会受内部输送物料和外部环境介质的化学或电化学作用而发生腐蚀，压力管道的腐蚀破坏形式，除全面腐蚀外，还有局部腐蚀、应力腐蚀破裂、腐蚀疲劳等，其中危害最大的是应力腐蚀破裂，这种腐蚀破坏往往在没有任何先兆的情况下突然发生，造成预测不到的破坏。腐蚀既有可能大面积减薄管道的壁厚，从而导致变形或破裂，也有可能直接造成管道穿孔、开裂引起物料泄漏。</w:t>
      </w:r>
    </w:p>
    <w:p w14:paraId="3E76D142">
      <w:pPr>
        <w:spacing w:line="480" w:lineRule="exact"/>
        <w:ind w:firstLine="560" w:firstLineChars="200"/>
        <w:rPr>
          <w:rFonts w:eastAsia="仿宋_GB2312"/>
          <w:bCs/>
          <w:color w:val="auto"/>
          <w:sz w:val="28"/>
          <w:szCs w:val="28"/>
        </w:rPr>
      </w:pPr>
      <w:r>
        <w:rPr>
          <w:rFonts w:eastAsia="仿宋_GB2312"/>
          <w:bCs/>
          <w:color w:val="auto"/>
          <w:sz w:val="28"/>
          <w:szCs w:val="28"/>
        </w:rPr>
        <w:fldChar w:fldCharType="begin"/>
      </w:r>
      <w:r>
        <w:rPr>
          <w:rFonts w:eastAsia="仿宋_GB2312"/>
          <w:bCs/>
          <w:color w:val="auto"/>
          <w:sz w:val="28"/>
          <w:szCs w:val="28"/>
        </w:rPr>
        <w:instrText xml:space="preserve"> = 3 \* GB3 </w:instrText>
      </w:r>
      <w:r>
        <w:rPr>
          <w:rFonts w:eastAsia="仿宋_GB2312"/>
          <w:bCs/>
          <w:color w:val="auto"/>
          <w:sz w:val="28"/>
          <w:szCs w:val="28"/>
        </w:rPr>
        <w:fldChar w:fldCharType="separate"/>
      </w:r>
      <w:r>
        <w:rPr>
          <w:rFonts w:hint="eastAsia" w:eastAsia="仿宋_GB2312"/>
          <w:bCs/>
          <w:color w:val="auto"/>
          <w:sz w:val="28"/>
          <w:szCs w:val="28"/>
        </w:rPr>
        <w:t>③</w:t>
      </w:r>
      <w:r>
        <w:rPr>
          <w:rFonts w:eastAsia="仿宋_GB2312"/>
          <w:bCs/>
          <w:color w:val="auto"/>
          <w:sz w:val="28"/>
          <w:szCs w:val="28"/>
        </w:rPr>
        <w:fldChar w:fldCharType="end"/>
      </w:r>
      <w:r>
        <w:rPr>
          <w:rFonts w:eastAsia="仿宋_GB2312"/>
          <w:bCs/>
          <w:color w:val="auto"/>
          <w:sz w:val="28"/>
          <w:szCs w:val="28"/>
        </w:rPr>
        <w:t>压力容器、压力管道有潜在的超压物理爆炸的危险因素，超压破裂的主要原因为设备选材、设计及制造缺陷、未经试压合格、安全附件（安全阀、压力表等）不齐全或超压时因故障未能泄放压力等等。压力容器及管道的超压爆裂产生的冲击波可造成人员伤亡、设备及建筑的损坏，并可引起火灾爆炸等次生事故。高温蒸汽泄漏可造成烫伤。</w:t>
      </w:r>
    </w:p>
    <w:p w14:paraId="6F46AEDC">
      <w:pPr>
        <w:spacing w:line="480" w:lineRule="exact"/>
        <w:ind w:firstLine="560" w:firstLineChars="200"/>
        <w:rPr>
          <w:rFonts w:eastAsia="仿宋_GB2312"/>
          <w:bCs/>
          <w:color w:val="auto"/>
          <w:sz w:val="28"/>
          <w:szCs w:val="28"/>
        </w:rPr>
      </w:pPr>
      <w:r>
        <w:rPr>
          <w:rFonts w:eastAsia="仿宋_GB2312"/>
          <w:bCs/>
          <w:color w:val="auto"/>
          <w:sz w:val="28"/>
          <w:szCs w:val="28"/>
        </w:rPr>
        <w:fldChar w:fldCharType="begin"/>
      </w:r>
      <w:r>
        <w:rPr>
          <w:rFonts w:eastAsia="仿宋_GB2312"/>
          <w:bCs/>
          <w:color w:val="auto"/>
          <w:sz w:val="28"/>
          <w:szCs w:val="28"/>
        </w:rPr>
        <w:instrText xml:space="preserve"> = 4 \* GB3 </w:instrText>
      </w:r>
      <w:r>
        <w:rPr>
          <w:rFonts w:eastAsia="仿宋_GB2312"/>
          <w:bCs/>
          <w:color w:val="auto"/>
          <w:sz w:val="28"/>
          <w:szCs w:val="28"/>
        </w:rPr>
        <w:fldChar w:fldCharType="separate"/>
      </w:r>
      <w:r>
        <w:rPr>
          <w:rFonts w:hint="eastAsia" w:eastAsia="仿宋_GB2312"/>
          <w:bCs/>
          <w:color w:val="auto"/>
          <w:sz w:val="28"/>
          <w:szCs w:val="28"/>
        </w:rPr>
        <w:t>④</w:t>
      </w:r>
      <w:r>
        <w:rPr>
          <w:rFonts w:eastAsia="仿宋_GB2312"/>
          <w:bCs/>
          <w:color w:val="auto"/>
          <w:sz w:val="28"/>
          <w:szCs w:val="28"/>
        </w:rPr>
        <w:fldChar w:fldCharType="end"/>
      </w:r>
      <w:r>
        <w:rPr>
          <w:rFonts w:eastAsia="仿宋_GB2312"/>
          <w:bCs/>
          <w:color w:val="auto"/>
          <w:sz w:val="28"/>
          <w:szCs w:val="28"/>
        </w:rPr>
        <w:t>起重机械若未按规范设计、制造、安装、使用，电动葫芦有缺陷或安全装置不齐全、违章超载使用等原因可导致人身伤害事故，包括电动葫芦失衡倾翻、重物坠落、高处跌落、脱绳断绳脱钩、触电等；若对电动葫芦起吊物下方不设置保护措施，坠落物品对下方作业人员易造成重大伤害。</w:t>
      </w:r>
    </w:p>
    <w:p w14:paraId="05AF1E9E">
      <w:pPr>
        <w:spacing w:line="480" w:lineRule="exact"/>
        <w:ind w:firstLine="560" w:firstLineChars="200"/>
        <w:rPr>
          <w:rFonts w:eastAsia="仿宋_GB2312"/>
          <w:bCs/>
          <w:color w:val="auto"/>
          <w:sz w:val="28"/>
          <w:szCs w:val="28"/>
        </w:rPr>
      </w:pPr>
      <w:r>
        <w:rPr>
          <w:rFonts w:eastAsia="仿宋_GB2312"/>
          <w:bCs/>
          <w:color w:val="auto"/>
          <w:sz w:val="28"/>
          <w:szCs w:val="28"/>
        </w:rPr>
        <w:t>2）设备、管道系统的凝、堵</w:t>
      </w:r>
    </w:p>
    <w:p w14:paraId="2A364E12">
      <w:pPr>
        <w:spacing w:line="480" w:lineRule="exact"/>
        <w:ind w:firstLine="560" w:firstLineChars="200"/>
        <w:rPr>
          <w:rFonts w:eastAsia="仿宋_GB2312"/>
          <w:bCs/>
          <w:color w:val="auto"/>
          <w:sz w:val="28"/>
          <w:szCs w:val="28"/>
        </w:rPr>
      </w:pPr>
      <w:r>
        <w:rPr>
          <w:rFonts w:eastAsia="仿宋_GB2312"/>
          <w:bCs/>
          <w:color w:val="auto"/>
          <w:sz w:val="28"/>
          <w:szCs w:val="28"/>
        </w:rPr>
        <w:t>生产一段时间后，反应釜、管道、阀门、仪表等内壁附着物料，若不定期清理，可造成传热效果差、堵塞引起憋压，测温、测液位、测pH显示不准而造成生产安全事故。</w:t>
      </w:r>
    </w:p>
    <w:p w14:paraId="005DC4A3">
      <w:pPr>
        <w:spacing w:line="480" w:lineRule="exact"/>
        <w:ind w:firstLine="560" w:firstLineChars="200"/>
        <w:rPr>
          <w:rFonts w:eastAsia="仿宋_GB2312"/>
          <w:bCs/>
          <w:color w:val="auto"/>
          <w:sz w:val="28"/>
          <w:szCs w:val="28"/>
        </w:rPr>
      </w:pPr>
      <w:r>
        <w:rPr>
          <w:rFonts w:eastAsia="仿宋_GB2312"/>
          <w:bCs/>
          <w:color w:val="auto"/>
          <w:sz w:val="28"/>
          <w:szCs w:val="28"/>
        </w:rPr>
        <w:t>3）搅拌</w:t>
      </w:r>
    </w:p>
    <w:p w14:paraId="284D4841">
      <w:pPr>
        <w:spacing w:line="480" w:lineRule="exact"/>
        <w:ind w:firstLine="560" w:firstLineChars="200"/>
        <w:rPr>
          <w:rFonts w:eastAsia="仿宋_GB2312"/>
          <w:bCs/>
          <w:color w:val="auto"/>
          <w:sz w:val="28"/>
          <w:szCs w:val="28"/>
        </w:rPr>
      </w:pPr>
      <w:r>
        <w:rPr>
          <w:rFonts w:eastAsia="仿宋_GB2312"/>
          <w:bCs/>
          <w:color w:val="auto"/>
          <w:sz w:val="28"/>
          <w:szCs w:val="28"/>
        </w:rPr>
        <w:t>搅拌型式、转速等设计不合理，搅拌效果差会导致釜壁至釜中心产生明显温差，使物料不均匀，可能导致难以处理且处理过程带来危险危害。搅拌设计、安装不符合要求，会导致搅拌运行不平稳，甚至搅拌叶片刮蹭釜壁产生火花而成为燃爆事故的点火源。</w:t>
      </w:r>
    </w:p>
    <w:p w14:paraId="37D9B171">
      <w:pPr>
        <w:spacing w:line="480" w:lineRule="exact"/>
        <w:ind w:firstLine="560" w:firstLineChars="200"/>
        <w:rPr>
          <w:rFonts w:eastAsia="仿宋_GB2312"/>
          <w:bCs/>
          <w:color w:val="auto"/>
          <w:sz w:val="28"/>
          <w:szCs w:val="28"/>
        </w:rPr>
      </w:pPr>
      <w:r>
        <w:rPr>
          <w:rFonts w:eastAsia="仿宋_GB2312"/>
          <w:bCs/>
          <w:color w:val="auto"/>
          <w:sz w:val="28"/>
          <w:szCs w:val="28"/>
        </w:rPr>
        <w:t>4）设备设施的泄漏</w:t>
      </w:r>
    </w:p>
    <w:p w14:paraId="35791D62">
      <w:pPr>
        <w:spacing w:line="480" w:lineRule="exact"/>
        <w:ind w:firstLine="560" w:firstLineChars="200"/>
        <w:rPr>
          <w:rFonts w:eastAsia="仿宋_GB2312"/>
          <w:bCs/>
          <w:color w:val="auto"/>
          <w:sz w:val="28"/>
          <w:szCs w:val="28"/>
        </w:rPr>
      </w:pPr>
      <w:r>
        <w:rPr>
          <w:rFonts w:eastAsia="仿宋_GB2312"/>
          <w:bCs/>
          <w:color w:val="auto"/>
          <w:sz w:val="28"/>
          <w:szCs w:val="28"/>
        </w:rPr>
        <w:t>装置中设备、容器、泵机、阀门（包括自控阀门）、管道系统（包括法兰、垫片、管件等）、仪表（包括流量计、液位计等）泄漏或人为操作失误致使物料泄漏，一方面影响正常的工艺操作安全，另一方面物料泄漏干燥后可能造成燃烧爆炸、毒物危害以及环境污染等事故。</w:t>
      </w:r>
    </w:p>
    <w:p w14:paraId="02691092">
      <w:pPr>
        <w:spacing w:line="480" w:lineRule="exact"/>
        <w:ind w:firstLine="560" w:firstLineChars="200"/>
        <w:rPr>
          <w:rFonts w:eastAsia="仿宋_GB2312"/>
          <w:bCs/>
          <w:color w:val="auto"/>
          <w:sz w:val="28"/>
          <w:szCs w:val="28"/>
        </w:rPr>
      </w:pPr>
      <w:r>
        <w:rPr>
          <w:rFonts w:eastAsia="仿宋_GB2312"/>
          <w:bCs/>
          <w:color w:val="auto"/>
          <w:sz w:val="28"/>
          <w:szCs w:val="28"/>
        </w:rPr>
        <w:t>各种形式的泄漏（包括喷射式泄漏、渗漏式泄漏或满溢泄出）的常见原因有：（1）设备、管道系统的材质、安装或检修质量是泄漏的直接原因。设备在不同的工艺条件下使用，若选材不当，设备强度不够、腐蚀、与物料发生副反应，都会致设备损坏、物料泄漏。如设备、管道的焊接质量、阀门、法兰、垫片、螺纹连接的质量都会直接影响生产装置在运行中是否产生泄漏；（2）生产过程中因工艺参数控制不当造成超温或者温度、压力异常变化，引起泄漏。如反复开、停工等；（3）设备密封的损坏。如设备密封面磨损，机泵端面密封损坏，液位计损坏等；（4）操作失误导致物料放空、跑损泄漏。（5）设备、管道、管件、阀门等因腐蚀穿孔而导致物料泄漏。（6）投料、出料过程物料溢出、无组织挥发排放。</w:t>
      </w:r>
    </w:p>
    <w:p w14:paraId="13AD6DF5">
      <w:pPr>
        <w:spacing w:line="480" w:lineRule="exact"/>
        <w:ind w:firstLine="560" w:firstLineChars="200"/>
        <w:rPr>
          <w:rFonts w:eastAsia="仿宋_GB2312"/>
          <w:bCs/>
          <w:color w:val="auto"/>
          <w:sz w:val="28"/>
          <w:szCs w:val="28"/>
        </w:rPr>
      </w:pPr>
      <w:r>
        <w:rPr>
          <w:rFonts w:eastAsia="仿宋_GB2312"/>
          <w:bCs/>
          <w:color w:val="auto"/>
          <w:sz w:val="28"/>
          <w:szCs w:val="28"/>
        </w:rPr>
        <w:t>5）涉及易燃、易爆介质</w:t>
      </w:r>
    </w:p>
    <w:p w14:paraId="7F601D54">
      <w:pPr>
        <w:spacing w:line="480" w:lineRule="exact"/>
        <w:ind w:firstLine="560" w:firstLineChars="200"/>
        <w:rPr>
          <w:rFonts w:eastAsia="仿宋_GB2312"/>
          <w:bCs/>
          <w:color w:val="auto"/>
          <w:sz w:val="28"/>
          <w:szCs w:val="28"/>
        </w:rPr>
      </w:pPr>
      <w:r>
        <w:rPr>
          <w:rFonts w:eastAsia="仿宋_GB2312"/>
          <w:bCs/>
          <w:color w:val="auto"/>
          <w:sz w:val="28"/>
          <w:szCs w:val="28"/>
        </w:rPr>
        <w:t>本项目中使用易燃与易爆介质（N-甲基吡咯烷酮、异丙醇、四氢呋喃、二氯甲烷、乙酸丁酯、乙酸乙酯、甲醇、甲苯等），输送时通过不同材质管道经真空抽料、泵输送、人工投料进行物料的输送，在易燃物料的输送中流速过快与管壁、釜口摩擦可产生静电，若无可靠的静电屏蔽、跨接、接地等消除静电荷积聚措施，或抽料速度超过安全流速，静电荷积聚放电而产生的静电火花可成为燃烧爆炸的点火源。</w:t>
      </w:r>
    </w:p>
    <w:p w14:paraId="255221BE">
      <w:pPr>
        <w:spacing w:line="480" w:lineRule="exact"/>
        <w:ind w:firstLine="560" w:firstLineChars="200"/>
        <w:rPr>
          <w:rFonts w:eastAsia="仿宋_GB2312"/>
          <w:bCs/>
          <w:color w:val="auto"/>
          <w:sz w:val="28"/>
          <w:szCs w:val="28"/>
        </w:rPr>
      </w:pPr>
      <w:r>
        <w:rPr>
          <w:rFonts w:eastAsia="仿宋_GB2312"/>
          <w:bCs/>
          <w:color w:val="auto"/>
          <w:sz w:val="28"/>
          <w:szCs w:val="28"/>
        </w:rPr>
        <w:t>6）涉及腐蚀性介质</w:t>
      </w:r>
    </w:p>
    <w:p w14:paraId="5AE5442C">
      <w:pPr>
        <w:spacing w:line="480" w:lineRule="exact"/>
        <w:ind w:firstLine="560" w:firstLineChars="200"/>
        <w:rPr>
          <w:rFonts w:eastAsia="仿宋_GB2312"/>
          <w:bCs/>
          <w:color w:val="auto"/>
          <w:sz w:val="28"/>
          <w:szCs w:val="28"/>
        </w:rPr>
      </w:pPr>
      <w:r>
        <w:rPr>
          <w:rFonts w:eastAsia="仿宋_GB2312"/>
          <w:bCs/>
          <w:color w:val="auto"/>
          <w:sz w:val="28"/>
          <w:szCs w:val="28"/>
        </w:rPr>
        <w:t>本项目中使用的氢氧化钠、盐酸、乙酸等腐蚀性物料，对生产设备、管线、阀门、操作平台及其它设施等等存在腐蚀危害。若设备、设施材质的选择不合适或防腐处理不当，腐蚀速率较快，因腐蚀作用一旦被腐蚀破坏</w:t>
      </w:r>
      <w:r>
        <w:rPr>
          <w:rFonts w:hint="eastAsia" w:eastAsia="仿宋_GB2312"/>
          <w:bCs/>
          <w:color w:val="auto"/>
          <w:sz w:val="28"/>
          <w:szCs w:val="28"/>
          <w:lang w:eastAsia="zh-CN"/>
        </w:rPr>
        <w:t>（</w:t>
      </w:r>
      <w:r>
        <w:rPr>
          <w:rFonts w:eastAsia="仿宋_GB2312"/>
          <w:bCs/>
          <w:color w:val="auto"/>
          <w:sz w:val="28"/>
          <w:szCs w:val="28"/>
        </w:rPr>
        <w:t>材料减薄、穿孔、强度降低、密封失效等</w:t>
      </w:r>
      <w:r>
        <w:rPr>
          <w:rFonts w:hint="eastAsia" w:eastAsia="仿宋_GB2312"/>
          <w:bCs/>
          <w:color w:val="auto"/>
          <w:sz w:val="28"/>
          <w:szCs w:val="28"/>
          <w:lang w:eastAsia="zh-CN"/>
        </w:rPr>
        <w:t>）</w:t>
      </w:r>
      <w:r>
        <w:rPr>
          <w:rFonts w:eastAsia="仿宋_GB2312"/>
          <w:bCs/>
          <w:color w:val="auto"/>
          <w:sz w:val="28"/>
          <w:szCs w:val="28"/>
        </w:rPr>
        <w:t>，盐酸腐蚀产生易燃易爆氢气，物料的泄漏可导致燃爆、人员中毒、化学灼伤事故。</w:t>
      </w:r>
    </w:p>
    <w:p w14:paraId="28753722">
      <w:pPr>
        <w:spacing w:line="480" w:lineRule="exact"/>
        <w:ind w:firstLine="560" w:firstLineChars="200"/>
        <w:rPr>
          <w:rFonts w:eastAsia="仿宋_GB2312"/>
          <w:bCs/>
          <w:color w:val="auto"/>
          <w:sz w:val="28"/>
          <w:szCs w:val="28"/>
        </w:rPr>
      </w:pPr>
      <w:r>
        <w:rPr>
          <w:rFonts w:eastAsia="仿宋_GB2312"/>
          <w:bCs/>
          <w:color w:val="auto"/>
          <w:sz w:val="28"/>
          <w:szCs w:val="28"/>
        </w:rPr>
        <w:t>7）泵机</w:t>
      </w:r>
    </w:p>
    <w:p w14:paraId="33D0E373">
      <w:pPr>
        <w:spacing w:line="480" w:lineRule="exact"/>
        <w:ind w:firstLine="560" w:firstLineChars="200"/>
        <w:rPr>
          <w:rFonts w:eastAsia="仿宋_GB2312"/>
          <w:bCs/>
          <w:color w:val="auto"/>
          <w:sz w:val="28"/>
          <w:szCs w:val="28"/>
        </w:rPr>
      </w:pPr>
      <w:r>
        <w:rPr>
          <w:rFonts w:eastAsia="仿宋_GB2312"/>
          <w:bCs/>
          <w:color w:val="auto"/>
          <w:sz w:val="28"/>
          <w:szCs w:val="28"/>
        </w:rPr>
        <w:t>泵机包括输送泵、离心机、真空泵、干燥机等，运行存在的主要危险因素为泄漏及机械伤害。泵机转动部分无可靠防护罩或运行过程中违章擦试清洗等易引起机械伤害事故。</w:t>
      </w:r>
    </w:p>
    <w:p w14:paraId="6FB29348">
      <w:pPr>
        <w:spacing w:line="480" w:lineRule="exact"/>
        <w:ind w:firstLine="560" w:firstLineChars="200"/>
        <w:rPr>
          <w:rFonts w:eastAsia="仿宋_GB2312"/>
          <w:bCs/>
          <w:color w:val="auto"/>
          <w:sz w:val="28"/>
          <w:szCs w:val="28"/>
        </w:rPr>
      </w:pPr>
      <w:r>
        <w:rPr>
          <w:rFonts w:eastAsia="仿宋_GB2312"/>
          <w:bCs/>
          <w:color w:val="auto"/>
          <w:sz w:val="28"/>
          <w:szCs w:val="28"/>
        </w:rPr>
        <w:t>引起泵机泄漏的因素较多，但主要以密封失效为主，引起密封失效的原因主要有：</w:t>
      </w:r>
      <w:r>
        <w:rPr>
          <w:rFonts w:eastAsia="仿宋_GB2312"/>
          <w:bCs/>
          <w:color w:val="auto"/>
          <w:sz w:val="28"/>
          <w:szCs w:val="28"/>
        </w:rPr>
        <w:fldChar w:fldCharType="begin"/>
      </w:r>
      <w:r>
        <w:rPr>
          <w:rFonts w:eastAsia="仿宋_GB2312"/>
          <w:bCs/>
          <w:color w:val="auto"/>
          <w:sz w:val="28"/>
          <w:szCs w:val="28"/>
        </w:rPr>
        <w:instrText xml:space="preserve"> = 1 \* GB3 </w:instrText>
      </w:r>
      <w:r>
        <w:rPr>
          <w:rFonts w:eastAsia="仿宋_GB2312"/>
          <w:bCs/>
          <w:color w:val="auto"/>
          <w:sz w:val="28"/>
          <w:szCs w:val="28"/>
        </w:rPr>
        <w:fldChar w:fldCharType="separate"/>
      </w:r>
      <w:r>
        <w:rPr>
          <w:rFonts w:hint="eastAsia" w:eastAsia="仿宋_GB2312"/>
          <w:bCs/>
          <w:color w:val="auto"/>
          <w:sz w:val="28"/>
          <w:szCs w:val="28"/>
        </w:rPr>
        <w:t>①</w:t>
      </w:r>
      <w:r>
        <w:rPr>
          <w:rFonts w:eastAsia="仿宋_GB2312"/>
          <w:bCs/>
          <w:color w:val="auto"/>
          <w:sz w:val="28"/>
          <w:szCs w:val="28"/>
        </w:rPr>
        <w:fldChar w:fldCharType="end"/>
      </w:r>
      <w:r>
        <w:rPr>
          <w:rFonts w:eastAsia="仿宋_GB2312"/>
          <w:bCs/>
          <w:color w:val="auto"/>
          <w:sz w:val="28"/>
          <w:szCs w:val="28"/>
        </w:rPr>
        <w:t>操作中因抽空、气蚀、长时间憋压等异常现象引起较大轴向力，使动静环接触面分离导致密封破坏；</w:t>
      </w:r>
      <w:r>
        <w:rPr>
          <w:rFonts w:eastAsia="仿宋_GB2312"/>
          <w:bCs/>
          <w:color w:val="auto"/>
          <w:sz w:val="28"/>
          <w:szCs w:val="28"/>
        </w:rPr>
        <w:fldChar w:fldCharType="begin"/>
      </w:r>
      <w:r>
        <w:rPr>
          <w:rFonts w:eastAsia="仿宋_GB2312"/>
          <w:bCs/>
          <w:color w:val="auto"/>
          <w:sz w:val="28"/>
          <w:szCs w:val="28"/>
        </w:rPr>
        <w:instrText xml:space="preserve"> = 2 \* GB3 </w:instrText>
      </w:r>
      <w:r>
        <w:rPr>
          <w:rFonts w:eastAsia="仿宋_GB2312"/>
          <w:bCs/>
          <w:color w:val="auto"/>
          <w:sz w:val="28"/>
          <w:szCs w:val="28"/>
        </w:rPr>
        <w:fldChar w:fldCharType="separate"/>
      </w:r>
      <w:r>
        <w:rPr>
          <w:rFonts w:hint="eastAsia" w:eastAsia="仿宋_GB2312"/>
          <w:bCs/>
          <w:color w:val="auto"/>
          <w:sz w:val="28"/>
          <w:szCs w:val="28"/>
        </w:rPr>
        <w:t>②</w:t>
      </w:r>
      <w:r>
        <w:rPr>
          <w:rFonts w:eastAsia="仿宋_GB2312"/>
          <w:bCs/>
          <w:color w:val="auto"/>
          <w:sz w:val="28"/>
          <w:szCs w:val="28"/>
        </w:rPr>
        <w:fldChar w:fldCharType="end"/>
      </w:r>
      <w:r>
        <w:rPr>
          <w:rFonts w:eastAsia="仿宋_GB2312"/>
          <w:bCs/>
          <w:color w:val="auto"/>
          <w:sz w:val="28"/>
          <w:szCs w:val="28"/>
        </w:rPr>
        <w:t>密封安装不符合规范要求，导致密封端面严重磨损、擦伤；</w:t>
      </w:r>
      <w:r>
        <w:rPr>
          <w:rFonts w:eastAsia="仿宋_GB2312"/>
          <w:bCs/>
          <w:color w:val="auto"/>
          <w:sz w:val="28"/>
          <w:szCs w:val="28"/>
        </w:rPr>
        <w:fldChar w:fldCharType="begin"/>
      </w:r>
      <w:r>
        <w:rPr>
          <w:rFonts w:eastAsia="仿宋_GB2312"/>
          <w:bCs/>
          <w:color w:val="auto"/>
          <w:sz w:val="28"/>
          <w:szCs w:val="28"/>
        </w:rPr>
        <w:instrText xml:space="preserve"> = 3 \* GB3 </w:instrText>
      </w:r>
      <w:r>
        <w:rPr>
          <w:rFonts w:eastAsia="仿宋_GB2312"/>
          <w:bCs/>
          <w:color w:val="auto"/>
          <w:sz w:val="28"/>
          <w:szCs w:val="28"/>
        </w:rPr>
        <w:fldChar w:fldCharType="separate"/>
      </w:r>
      <w:r>
        <w:rPr>
          <w:rFonts w:hint="eastAsia" w:eastAsia="仿宋_GB2312"/>
          <w:bCs/>
          <w:color w:val="auto"/>
          <w:sz w:val="28"/>
          <w:szCs w:val="28"/>
        </w:rPr>
        <w:t>③</w:t>
      </w:r>
      <w:r>
        <w:rPr>
          <w:rFonts w:eastAsia="仿宋_GB2312"/>
          <w:bCs/>
          <w:color w:val="auto"/>
          <w:sz w:val="28"/>
          <w:szCs w:val="28"/>
        </w:rPr>
        <w:fldChar w:fldCharType="end"/>
      </w:r>
      <w:r>
        <w:rPr>
          <w:rFonts w:eastAsia="仿宋_GB2312"/>
          <w:bCs/>
          <w:color w:val="auto"/>
          <w:sz w:val="28"/>
          <w:szCs w:val="28"/>
        </w:rPr>
        <w:t>介质中含颗粒状物质，运转中易造成密封端面导致泄漏。</w:t>
      </w:r>
      <w:r>
        <w:rPr>
          <w:rFonts w:eastAsia="仿宋_GB2312"/>
          <w:bCs/>
          <w:color w:val="auto"/>
          <w:sz w:val="28"/>
          <w:szCs w:val="28"/>
        </w:rPr>
        <w:fldChar w:fldCharType="begin"/>
      </w:r>
      <w:r>
        <w:rPr>
          <w:rFonts w:eastAsia="仿宋_GB2312"/>
          <w:bCs/>
          <w:color w:val="auto"/>
          <w:sz w:val="28"/>
          <w:szCs w:val="28"/>
        </w:rPr>
        <w:instrText xml:space="preserve"> = 4 \* GB3 </w:instrText>
      </w:r>
      <w:r>
        <w:rPr>
          <w:rFonts w:eastAsia="仿宋_GB2312"/>
          <w:bCs/>
          <w:color w:val="auto"/>
          <w:sz w:val="28"/>
          <w:szCs w:val="28"/>
        </w:rPr>
        <w:fldChar w:fldCharType="separate"/>
      </w:r>
      <w:r>
        <w:rPr>
          <w:rFonts w:hint="eastAsia" w:eastAsia="仿宋_GB2312"/>
          <w:bCs/>
          <w:color w:val="auto"/>
          <w:sz w:val="28"/>
          <w:szCs w:val="28"/>
        </w:rPr>
        <w:t>④</w:t>
      </w:r>
      <w:r>
        <w:rPr>
          <w:rFonts w:eastAsia="仿宋_GB2312"/>
          <w:bCs/>
          <w:color w:val="auto"/>
          <w:sz w:val="28"/>
          <w:szCs w:val="28"/>
        </w:rPr>
        <w:fldChar w:fldCharType="end"/>
      </w:r>
      <w:r>
        <w:rPr>
          <w:rFonts w:eastAsia="仿宋_GB2312"/>
          <w:bCs/>
          <w:color w:val="auto"/>
          <w:sz w:val="28"/>
          <w:szCs w:val="28"/>
        </w:rPr>
        <w:t>冷却水断水。</w:t>
      </w:r>
    </w:p>
    <w:p w14:paraId="30C92F90">
      <w:pPr>
        <w:spacing w:line="480" w:lineRule="exact"/>
        <w:ind w:firstLine="560" w:firstLineChars="200"/>
        <w:rPr>
          <w:rFonts w:eastAsia="仿宋_GB2312"/>
          <w:bCs/>
          <w:color w:val="auto"/>
          <w:sz w:val="28"/>
          <w:szCs w:val="28"/>
        </w:rPr>
      </w:pPr>
      <w:r>
        <w:rPr>
          <w:rFonts w:eastAsia="仿宋_GB2312"/>
          <w:bCs/>
          <w:color w:val="auto"/>
          <w:sz w:val="28"/>
          <w:szCs w:val="28"/>
        </w:rPr>
        <w:t>泵机泄漏多因工况变化较大或操作、维护不当引起。泵机正常运转中突然泄漏，如不能及时发现、妥当处理，往往会酿成较大事故或损失，须予以高度重视并采取有效措施，减少工况频繁变化或调整。</w:t>
      </w:r>
    </w:p>
    <w:p w14:paraId="31326B46">
      <w:pPr>
        <w:spacing w:line="480" w:lineRule="exact"/>
        <w:ind w:firstLine="560" w:firstLineChars="200"/>
        <w:rPr>
          <w:rFonts w:eastAsia="仿宋_GB2312"/>
          <w:bCs/>
          <w:color w:val="auto"/>
          <w:sz w:val="28"/>
          <w:szCs w:val="28"/>
        </w:rPr>
      </w:pPr>
      <w:r>
        <w:rPr>
          <w:rFonts w:eastAsia="仿宋_GB2312"/>
          <w:bCs/>
          <w:color w:val="auto"/>
          <w:sz w:val="28"/>
          <w:szCs w:val="28"/>
        </w:rPr>
        <w:t>8）安全标识</w:t>
      </w:r>
    </w:p>
    <w:p w14:paraId="764A2C9A">
      <w:pPr>
        <w:spacing w:line="480" w:lineRule="exact"/>
        <w:ind w:firstLine="560" w:firstLineChars="200"/>
        <w:rPr>
          <w:rFonts w:eastAsia="仿宋_GB2312"/>
          <w:bCs/>
          <w:color w:val="auto"/>
          <w:sz w:val="28"/>
          <w:szCs w:val="28"/>
        </w:rPr>
      </w:pPr>
      <w:r>
        <w:rPr>
          <w:rFonts w:eastAsia="仿宋_GB2312"/>
          <w:bCs/>
          <w:color w:val="auto"/>
          <w:sz w:val="28"/>
          <w:szCs w:val="28"/>
        </w:rPr>
        <w:t>设备、管道、阀门及开关按钮等未按GB7231《工业管道基本识别色、识别符号和安全标识》、GB2893《安全色》及GB2894《安全标志使用导则》等标准规范要求设置显著警示标志、标示（管道、阀门应标注物料名称、流向及开启方向等；开关按钮应标明对应设备编号），可能因阀门、开关按钮开启错误导致安全生产事故。</w:t>
      </w:r>
    </w:p>
    <w:p w14:paraId="169DF76D">
      <w:pPr>
        <w:spacing w:line="480" w:lineRule="exact"/>
        <w:ind w:firstLine="560" w:firstLineChars="200"/>
        <w:rPr>
          <w:rFonts w:eastAsia="仿宋_GB2312"/>
          <w:bCs/>
          <w:color w:val="auto"/>
          <w:sz w:val="28"/>
          <w:szCs w:val="28"/>
        </w:rPr>
      </w:pPr>
      <w:r>
        <w:rPr>
          <w:rFonts w:eastAsia="仿宋_GB2312"/>
          <w:bCs/>
          <w:color w:val="auto"/>
          <w:sz w:val="28"/>
          <w:szCs w:val="28"/>
        </w:rPr>
        <w:t>9）高处设施</w:t>
      </w:r>
    </w:p>
    <w:p w14:paraId="4529BE3B">
      <w:pPr>
        <w:spacing w:line="480" w:lineRule="exact"/>
        <w:ind w:firstLine="560" w:firstLineChars="200"/>
        <w:rPr>
          <w:rFonts w:eastAsia="仿宋_GB2312"/>
          <w:bCs/>
          <w:color w:val="auto"/>
          <w:sz w:val="28"/>
          <w:szCs w:val="28"/>
        </w:rPr>
      </w:pPr>
      <w:r>
        <w:rPr>
          <w:rFonts w:eastAsia="仿宋_GB2312"/>
          <w:bCs/>
          <w:color w:val="auto"/>
          <w:sz w:val="28"/>
          <w:szCs w:val="28"/>
        </w:rPr>
        <w:t>高处布置设备、操作平台等未按GB4053.1《固定式钢梯及平台安全要求第1部分：钢直梯》、GB4053.2《固定式钢梯及平台安全要求第2部分：钢斜梯》及GB4053.3《固定式钢梯及平台安全要求第3部分：工业防护栏杆及钢平台》等标准规范要求设置</w:t>
      </w:r>
    </w:p>
    <w:p w14:paraId="6D73A8A9">
      <w:pPr>
        <w:pStyle w:val="7"/>
        <w:keepLines w:val="0"/>
        <w:widowControl/>
        <w:adjustRightInd w:val="0"/>
        <w:snapToGrid w:val="0"/>
        <w:spacing w:after="60" w:afterLines="25"/>
        <w:jc w:val="left"/>
        <w:rPr>
          <w:rFonts w:ascii="Times New Roman" w:hAnsi="Times New Roman"/>
          <w:b/>
          <w:color w:val="auto"/>
        </w:rPr>
      </w:pPr>
      <w:r>
        <w:rPr>
          <w:rFonts w:ascii="Times New Roman" w:hAnsi="Times New Roman"/>
          <w:b/>
          <w:color w:val="auto"/>
        </w:rPr>
        <w:t>3.8.2.4储存场所风险识别</w:t>
      </w:r>
    </w:p>
    <w:p w14:paraId="091A4353">
      <w:pPr>
        <w:spacing w:line="480" w:lineRule="exact"/>
        <w:ind w:firstLine="560" w:firstLineChars="200"/>
        <w:rPr>
          <w:rFonts w:eastAsia="仿宋_GB2312"/>
          <w:bCs/>
          <w:color w:val="auto"/>
          <w:sz w:val="28"/>
          <w:szCs w:val="28"/>
        </w:rPr>
      </w:pPr>
      <w:r>
        <w:rPr>
          <w:rFonts w:eastAsia="仿宋_GB2312"/>
          <w:bCs/>
          <w:color w:val="auto"/>
          <w:sz w:val="28"/>
          <w:szCs w:val="28"/>
        </w:rPr>
        <w:t>1、物料储存配置</w:t>
      </w:r>
    </w:p>
    <w:p w14:paraId="4F95783B">
      <w:pPr>
        <w:spacing w:line="480" w:lineRule="exact"/>
        <w:ind w:firstLine="560" w:firstLineChars="200"/>
        <w:rPr>
          <w:rFonts w:eastAsia="仿宋_GB2312"/>
          <w:bCs/>
          <w:color w:val="auto"/>
          <w:sz w:val="28"/>
          <w:szCs w:val="28"/>
        </w:rPr>
      </w:pPr>
      <w:r>
        <w:rPr>
          <w:rFonts w:hint="eastAsia" w:ascii="宋体" w:hAnsi="宋体" w:cs="宋体"/>
          <w:bCs/>
          <w:color w:val="auto"/>
          <w:sz w:val="28"/>
          <w:szCs w:val="28"/>
        </w:rPr>
        <w:t>①</w:t>
      </w:r>
      <w:r>
        <w:rPr>
          <w:rFonts w:eastAsia="仿宋_GB2312"/>
          <w:bCs/>
          <w:color w:val="auto"/>
          <w:sz w:val="28"/>
          <w:szCs w:val="28"/>
        </w:rPr>
        <w:t>禁忌物料的配置</w:t>
      </w:r>
    </w:p>
    <w:p w14:paraId="3432484D">
      <w:pPr>
        <w:spacing w:line="480" w:lineRule="exact"/>
        <w:ind w:firstLine="560" w:firstLineChars="200"/>
        <w:rPr>
          <w:rFonts w:eastAsia="仿宋_GB2312"/>
          <w:bCs/>
          <w:color w:val="auto"/>
          <w:sz w:val="28"/>
          <w:szCs w:val="28"/>
        </w:rPr>
      </w:pPr>
      <w:r>
        <w:rPr>
          <w:rFonts w:eastAsia="仿宋_GB2312"/>
          <w:bCs/>
          <w:color w:val="auto"/>
          <w:sz w:val="28"/>
          <w:szCs w:val="28"/>
        </w:rPr>
        <w:t>危险化学品应根据其理化、危险特性采取隔离、隔开、分开的储存方式。若管理不善，违章将禁忌类物料混合储存，则有可能因物料的泄漏等原因发生物料间的化学反应，引起火灾、爆炸、毒物危害事故。物料混存也可因火灾事故条件下其灭火方法不同造成难以扑救或扩大事故后果。</w:t>
      </w:r>
    </w:p>
    <w:p w14:paraId="080C75C9">
      <w:pPr>
        <w:spacing w:line="480" w:lineRule="exact"/>
        <w:ind w:firstLine="560" w:firstLineChars="200"/>
        <w:rPr>
          <w:rFonts w:eastAsia="仿宋_GB2312"/>
          <w:bCs/>
          <w:color w:val="auto"/>
          <w:sz w:val="28"/>
          <w:szCs w:val="28"/>
        </w:rPr>
      </w:pPr>
      <w:r>
        <w:rPr>
          <w:rFonts w:hint="eastAsia" w:ascii="宋体" w:hAnsi="宋体" w:cs="宋体"/>
          <w:bCs/>
          <w:color w:val="auto"/>
          <w:sz w:val="28"/>
          <w:szCs w:val="28"/>
        </w:rPr>
        <w:t>②</w:t>
      </w:r>
      <w:r>
        <w:rPr>
          <w:rFonts w:eastAsia="仿宋_GB2312"/>
          <w:bCs/>
          <w:color w:val="auto"/>
          <w:sz w:val="28"/>
          <w:szCs w:val="28"/>
        </w:rPr>
        <w:t>物料储存量与储存安排</w:t>
      </w:r>
    </w:p>
    <w:p w14:paraId="610F6241">
      <w:pPr>
        <w:spacing w:line="480" w:lineRule="exact"/>
        <w:ind w:firstLine="560" w:firstLineChars="200"/>
        <w:rPr>
          <w:rFonts w:eastAsia="仿宋_GB2312"/>
          <w:bCs/>
          <w:color w:val="auto"/>
          <w:sz w:val="28"/>
          <w:szCs w:val="28"/>
        </w:rPr>
      </w:pPr>
      <w:r>
        <w:rPr>
          <w:rFonts w:eastAsia="仿宋_GB2312"/>
          <w:bCs/>
          <w:color w:val="auto"/>
          <w:sz w:val="28"/>
          <w:szCs w:val="28"/>
        </w:rPr>
        <w:t>仓库内物料单位面积储存量、最大储量、垛距、墙距、通道宽度、与禁忌品距离应根据物料储存类别的不同（隔离储存、隔开储存、分离储存）相应确定。仓储物料管理不善、违章储存，则事故发生的可能性和严重程度可增大。</w:t>
      </w:r>
    </w:p>
    <w:p w14:paraId="26394755">
      <w:pPr>
        <w:spacing w:line="480" w:lineRule="exact"/>
        <w:ind w:firstLine="560" w:firstLineChars="200"/>
        <w:rPr>
          <w:rFonts w:eastAsia="仿宋_GB2312"/>
          <w:bCs/>
          <w:color w:val="auto"/>
          <w:sz w:val="28"/>
          <w:szCs w:val="28"/>
        </w:rPr>
      </w:pPr>
      <w:r>
        <w:rPr>
          <w:rFonts w:eastAsia="仿宋_GB2312"/>
          <w:bCs/>
          <w:color w:val="auto"/>
          <w:sz w:val="28"/>
          <w:szCs w:val="28"/>
        </w:rPr>
        <w:t>（2）物料的泄漏、变质</w:t>
      </w:r>
    </w:p>
    <w:p w14:paraId="7E725B0C">
      <w:pPr>
        <w:spacing w:line="480" w:lineRule="exact"/>
        <w:ind w:firstLine="560" w:firstLineChars="200"/>
        <w:rPr>
          <w:rFonts w:eastAsia="仿宋_GB2312"/>
          <w:bCs/>
          <w:color w:val="auto"/>
          <w:sz w:val="28"/>
          <w:szCs w:val="28"/>
        </w:rPr>
      </w:pPr>
      <w:r>
        <w:rPr>
          <w:rFonts w:eastAsia="仿宋_GB2312"/>
          <w:bCs/>
          <w:color w:val="auto"/>
          <w:sz w:val="28"/>
          <w:szCs w:val="28"/>
        </w:rPr>
        <w:t>在物料的搬运、堆码过程中若操作不当（摔、碰、撞、击、拖拉、滚动等），可能发生物料的泄漏；物料的包装存在缺陷（破损、不严密、超装、渗漏等）可发生泄漏。液体物料仓库若无防止流散的设施，液体物料泄漏后流散可造成事故扩大。</w:t>
      </w:r>
    </w:p>
    <w:p w14:paraId="041BCD08">
      <w:pPr>
        <w:spacing w:line="480" w:lineRule="exact"/>
        <w:ind w:firstLine="560" w:firstLineChars="200"/>
        <w:rPr>
          <w:rFonts w:eastAsia="仿宋_GB2312"/>
          <w:bCs/>
          <w:color w:val="auto"/>
          <w:sz w:val="28"/>
          <w:szCs w:val="28"/>
        </w:rPr>
      </w:pPr>
      <w:r>
        <w:rPr>
          <w:rFonts w:eastAsia="仿宋_GB2312"/>
          <w:bCs/>
          <w:color w:val="auto"/>
          <w:sz w:val="28"/>
          <w:szCs w:val="28"/>
        </w:rPr>
        <w:t>（3）仓储场所条件</w:t>
      </w:r>
    </w:p>
    <w:p w14:paraId="39954E26">
      <w:pPr>
        <w:spacing w:line="480" w:lineRule="exact"/>
        <w:ind w:firstLine="560" w:firstLineChars="200"/>
        <w:rPr>
          <w:rFonts w:eastAsia="仿宋_GB2312"/>
          <w:bCs/>
          <w:color w:val="auto"/>
          <w:sz w:val="28"/>
          <w:szCs w:val="28"/>
        </w:rPr>
      </w:pPr>
      <w:r>
        <w:rPr>
          <w:rFonts w:hint="eastAsia" w:ascii="宋体" w:hAnsi="宋体" w:cs="宋体"/>
          <w:bCs/>
          <w:color w:val="auto"/>
          <w:sz w:val="28"/>
          <w:szCs w:val="28"/>
        </w:rPr>
        <w:t>①</w:t>
      </w:r>
      <w:r>
        <w:rPr>
          <w:rFonts w:eastAsia="仿宋_GB2312"/>
          <w:bCs/>
          <w:color w:val="auto"/>
          <w:sz w:val="28"/>
          <w:szCs w:val="28"/>
        </w:rPr>
        <w:t>仓储温度</w:t>
      </w:r>
    </w:p>
    <w:p w14:paraId="2FE3E205">
      <w:pPr>
        <w:spacing w:line="480" w:lineRule="exact"/>
        <w:ind w:firstLine="560" w:firstLineChars="200"/>
        <w:rPr>
          <w:rFonts w:eastAsia="仿宋_GB2312"/>
          <w:bCs/>
          <w:color w:val="auto"/>
          <w:sz w:val="28"/>
          <w:szCs w:val="28"/>
        </w:rPr>
      </w:pPr>
      <w:r>
        <w:rPr>
          <w:rFonts w:eastAsia="仿宋_GB2312"/>
          <w:bCs/>
          <w:color w:val="auto"/>
          <w:sz w:val="28"/>
          <w:szCs w:val="28"/>
        </w:rPr>
        <w:t>仓储温度应根据储存物料的理化特性相应确定。若超温（夏季高温、违章露天存放等），则可能引起易燃液体挥发量增大，导致燃爆事故。另外，硫磺粉尘空气可形成爆炸性混合物，当达到一定的浓度时，遇火星会发生爆炸；活性炭自燃，温度过高可能着火；储存于甲类仓库一阴凉库的二氯甲烷若遇空调故障造成停止供冷，库内温度上升，二氯甲烷挥发形成易燃蒸汽外泄造成火灾爆炸事故，另外，二氯甲烷受热分解能放出剧毒的光气。</w:t>
      </w:r>
    </w:p>
    <w:p w14:paraId="5462A7F7">
      <w:pPr>
        <w:spacing w:line="480" w:lineRule="exact"/>
        <w:ind w:firstLine="560" w:firstLineChars="200"/>
        <w:rPr>
          <w:rFonts w:eastAsia="仿宋_GB2312"/>
          <w:bCs/>
          <w:color w:val="auto"/>
          <w:sz w:val="28"/>
          <w:szCs w:val="28"/>
        </w:rPr>
      </w:pPr>
      <w:r>
        <w:rPr>
          <w:rFonts w:hint="eastAsia" w:ascii="宋体" w:hAnsi="宋体" w:cs="宋体"/>
          <w:bCs/>
          <w:color w:val="auto"/>
          <w:sz w:val="28"/>
          <w:szCs w:val="28"/>
        </w:rPr>
        <w:t>②</w:t>
      </w:r>
      <w:r>
        <w:rPr>
          <w:rFonts w:eastAsia="仿宋_GB2312"/>
          <w:bCs/>
          <w:color w:val="auto"/>
          <w:sz w:val="28"/>
          <w:szCs w:val="28"/>
        </w:rPr>
        <w:t>仓储积水、湿度</w:t>
      </w:r>
    </w:p>
    <w:p w14:paraId="67D299E0">
      <w:pPr>
        <w:spacing w:line="480" w:lineRule="exact"/>
        <w:ind w:firstLine="560" w:firstLineChars="200"/>
        <w:rPr>
          <w:rFonts w:eastAsia="仿宋_GB2312"/>
          <w:bCs/>
          <w:color w:val="auto"/>
          <w:sz w:val="28"/>
          <w:szCs w:val="28"/>
        </w:rPr>
      </w:pPr>
      <w:r>
        <w:rPr>
          <w:rFonts w:eastAsia="仿宋_GB2312"/>
          <w:bCs/>
          <w:color w:val="auto"/>
          <w:sz w:val="28"/>
          <w:szCs w:val="28"/>
        </w:rPr>
        <w:t>梅雨或雷雨季节库房门窗进水、屋漏等造成的库房积水，物料包装浸泡于水中可造成危害，因此在降水量大时应加强对仓库的安全检查。</w:t>
      </w:r>
    </w:p>
    <w:p w14:paraId="15661CD7">
      <w:pPr>
        <w:spacing w:line="480" w:lineRule="exact"/>
        <w:ind w:firstLine="560" w:firstLineChars="200"/>
        <w:rPr>
          <w:rFonts w:eastAsia="仿宋_GB2312"/>
          <w:bCs/>
          <w:color w:val="auto"/>
          <w:sz w:val="28"/>
          <w:szCs w:val="28"/>
        </w:rPr>
      </w:pPr>
      <w:r>
        <w:rPr>
          <w:rFonts w:hint="eastAsia" w:ascii="宋体" w:hAnsi="宋体" w:cs="宋体"/>
          <w:bCs/>
          <w:color w:val="auto"/>
          <w:sz w:val="28"/>
          <w:szCs w:val="28"/>
        </w:rPr>
        <w:t>③</w:t>
      </w:r>
      <w:r>
        <w:rPr>
          <w:rFonts w:eastAsia="仿宋_GB2312"/>
          <w:bCs/>
          <w:color w:val="auto"/>
          <w:sz w:val="28"/>
          <w:szCs w:val="28"/>
        </w:rPr>
        <w:t>仓储光照</w:t>
      </w:r>
    </w:p>
    <w:p w14:paraId="096D1E41">
      <w:pPr>
        <w:spacing w:line="480" w:lineRule="exact"/>
        <w:ind w:firstLine="560" w:firstLineChars="200"/>
        <w:rPr>
          <w:rFonts w:eastAsia="仿宋_GB2312"/>
          <w:bCs/>
          <w:color w:val="auto"/>
          <w:sz w:val="28"/>
          <w:szCs w:val="28"/>
        </w:rPr>
      </w:pPr>
      <w:r>
        <w:rPr>
          <w:rFonts w:eastAsia="仿宋_GB2312"/>
          <w:bCs/>
          <w:color w:val="auto"/>
          <w:sz w:val="28"/>
          <w:szCs w:val="28"/>
        </w:rPr>
        <w:t>根据项目单位危化品仓库实际条件，光照对物料仓储基本无影响。</w:t>
      </w:r>
    </w:p>
    <w:p w14:paraId="3A2E554B">
      <w:pPr>
        <w:spacing w:line="480" w:lineRule="exact"/>
        <w:ind w:firstLine="560" w:firstLineChars="200"/>
        <w:rPr>
          <w:rFonts w:eastAsia="仿宋_GB2312"/>
          <w:bCs/>
          <w:color w:val="auto"/>
          <w:sz w:val="28"/>
          <w:szCs w:val="28"/>
        </w:rPr>
      </w:pPr>
      <w:r>
        <w:rPr>
          <w:rFonts w:hint="eastAsia" w:ascii="宋体" w:hAnsi="宋体" w:cs="宋体"/>
          <w:bCs/>
          <w:color w:val="auto"/>
          <w:sz w:val="28"/>
          <w:szCs w:val="28"/>
        </w:rPr>
        <w:t>④</w:t>
      </w:r>
      <w:r>
        <w:rPr>
          <w:rFonts w:eastAsia="仿宋_GB2312"/>
          <w:bCs/>
          <w:color w:val="auto"/>
          <w:sz w:val="28"/>
          <w:szCs w:val="28"/>
        </w:rPr>
        <w:t>通风</w:t>
      </w:r>
    </w:p>
    <w:p w14:paraId="1E8AE222">
      <w:pPr>
        <w:spacing w:line="480" w:lineRule="exact"/>
        <w:ind w:firstLine="560" w:firstLineChars="200"/>
        <w:rPr>
          <w:rFonts w:eastAsia="仿宋_GB2312"/>
          <w:bCs/>
          <w:color w:val="auto"/>
          <w:sz w:val="28"/>
          <w:szCs w:val="28"/>
        </w:rPr>
      </w:pPr>
      <w:r>
        <w:rPr>
          <w:rFonts w:eastAsia="仿宋_GB2312"/>
          <w:bCs/>
          <w:color w:val="auto"/>
          <w:sz w:val="28"/>
          <w:szCs w:val="28"/>
        </w:rPr>
        <w:t>仓库采取自然通风，甲类仓库内设置了可燃气体泄漏检测报警装置。实际通风条件对物料仓储基本无影响。</w:t>
      </w:r>
    </w:p>
    <w:p w14:paraId="5111FB8E">
      <w:pPr>
        <w:spacing w:line="480" w:lineRule="exact"/>
        <w:ind w:firstLine="560" w:firstLineChars="200"/>
        <w:rPr>
          <w:rFonts w:eastAsia="仿宋_GB2312"/>
          <w:bCs/>
          <w:color w:val="auto"/>
          <w:sz w:val="28"/>
          <w:szCs w:val="28"/>
        </w:rPr>
      </w:pPr>
      <w:r>
        <w:rPr>
          <w:rFonts w:eastAsia="仿宋_GB2312"/>
          <w:bCs/>
          <w:color w:val="auto"/>
          <w:sz w:val="28"/>
          <w:szCs w:val="28"/>
        </w:rPr>
        <w:t>（4）装卸、搬运</w:t>
      </w:r>
    </w:p>
    <w:p w14:paraId="39EC622F">
      <w:pPr>
        <w:spacing w:line="480" w:lineRule="exact"/>
        <w:ind w:firstLine="560" w:firstLineChars="200"/>
        <w:rPr>
          <w:rFonts w:eastAsia="仿宋_GB2312"/>
          <w:bCs/>
          <w:color w:val="auto"/>
          <w:sz w:val="28"/>
          <w:szCs w:val="28"/>
        </w:rPr>
      </w:pPr>
      <w:r>
        <w:rPr>
          <w:rFonts w:hint="eastAsia" w:ascii="宋体" w:hAnsi="宋体" w:cs="宋体"/>
          <w:bCs/>
          <w:color w:val="auto"/>
          <w:sz w:val="28"/>
          <w:szCs w:val="28"/>
        </w:rPr>
        <w:t>①</w:t>
      </w:r>
      <w:r>
        <w:rPr>
          <w:rFonts w:eastAsia="仿宋_GB2312"/>
          <w:bCs/>
          <w:color w:val="auto"/>
          <w:sz w:val="28"/>
          <w:szCs w:val="28"/>
        </w:rPr>
        <w:t>装卸、搬运过程中因物料装车不稳固，可能发生物料的倾倒、翻落、撞击引起包装泄漏造成事故。</w:t>
      </w:r>
    </w:p>
    <w:p w14:paraId="3C7F789F">
      <w:pPr>
        <w:spacing w:line="480" w:lineRule="exact"/>
        <w:ind w:firstLine="560" w:firstLineChars="200"/>
        <w:rPr>
          <w:rFonts w:eastAsia="仿宋_GB2312"/>
          <w:bCs/>
          <w:color w:val="auto"/>
          <w:sz w:val="28"/>
          <w:szCs w:val="28"/>
        </w:rPr>
      </w:pPr>
      <w:r>
        <w:rPr>
          <w:rFonts w:hint="eastAsia" w:ascii="宋体" w:hAnsi="宋体" w:cs="宋体"/>
          <w:bCs/>
          <w:color w:val="auto"/>
          <w:sz w:val="28"/>
          <w:szCs w:val="28"/>
        </w:rPr>
        <w:t>②</w:t>
      </w:r>
      <w:r>
        <w:rPr>
          <w:rFonts w:eastAsia="仿宋_GB2312"/>
          <w:bCs/>
          <w:color w:val="auto"/>
          <w:sz w:val="28"/>
          <w:szCs w:val="28"/>
        </w:rPr>
        <w:t>具有腐蚀性的化学品若包装破损、作业人员未正确穿戴劳动防护用品，装卸、搬运过程可造成作业人员化学灼伤。</w:t>
      </w:r>
    </w:p>
    <w:p w14:paraId="0143338C">
      <w:pPr>
        <w:spacing w:line="480" w:lineRule="exact"/>
        <w:ind w:firstLine="560" w:firstLineChars="200"/>
        <w:rPr>
          <w:rFonts w:eastAsia="仿宋_GB2312"/>
          <w:bCs/>
          <w:color w:val="auto"/>
          <w:sz w:val="28"/>
          <w:szCs w:val="28"/>
        </w:rPr>
      </w:pPr>
      <w:r>
        <w:rPr>
          <w:rFonts w:eastAsia="仿宋_GB2312"/>
          <w:bCs/>
          <w:color w:val="auto"/>
          <w:sz w:val="28"/>
          <w:szCs w:val="28"/>
        </w:rPr>
        <w:t>（5）储罐、中间罐的围堤若不完备或有损坏、不密实，一旦物料泄漏将造成四处蔓延，扩大事故后果；地面及围堰无防腐措施或防腐层损坏，一旦泄漏可对土壤腐蚀。</w:t>
      </w:r>
    </w:p>
    <w:p w14:paraId="0A1D35CA">
      <w:pPr>
        <w:spacing w:line="480" w:lineRule="exact"/>
        <w:ind w:firstLine="560" w:firstLineChars="200"/>
        <w:rPr>
          <w:rFonts w:eastAsia="仿宋_GB2312"/>
          <w:bCs/>
          <w:color w:val="auto"/>
          <w:sz w:val="28"/>
          <w:szCs w:val="28"/>
        </w:rPr>
      </w:pPr>
      <w:r>
        <w:rPr>
          <w:rFonts w:eastAsia="仿宋_GB2312"/>
          <w:bCs/>
          <w:color w:val="auto"/>
          <w:sz w:val="28"/>
          <w:szCs w:val="28"/>
        </w:rPr>
        <w:t>（6）其他</w:t>
      </w:r>
    </w:p>
    <w:p w14:paraId="1DA53524">
      <w:pPr>
        <w:spacing w:line="480" w:lineRule="exact"/>
        <w:ind w:firstLine="560" w:firstLineChars="200"/>
        <w:rPr>
          <w:rFonts w:eastAsia="仿宋_GB2312"/>
          <w:bCs/>
          <w:color w:val="auto"/>
          <w:sz w:val="28"/>
          <w:szCs w:val="28"/>
        </w:rPr>
      </w:pPr>
      <w:r>
        <w:rPr>
          <w:rFonts w:eastAsia="仿宋_GB2312"/>
          <w:bCs/>
          <w:color w:val="auto"/>
          <w:sz w:val="28"/>
          <w:szCs w:val="28"/>
        </w:rPr>
        <w:t>1）仓库管理不善，也易引起安全事故。主要包括：</w:t>
      </w:r>
    </w:p>
    <w:p w14:paraId="65F4723E">
      <w:pPr>
        <w:spacing w:line="480" w:lineRule="exact"/>
        <w:ind w:firstLine="560" w:firstLineChars="200"/>
        <w:rPr>
          <w:rFonts w:eastAsia="仿宋_GB2312"/>
          <w:bCs/>
          <w:color w:val="auto"/>
          <w:sz w:val="28"/>
          <w:szCs w:val="28"/>
        </w:rPr>
      </w:pPr>
      <w:r>
        <w:rPr>
          <w:rFonts w:hint="eastAsia" w:ascii="宋体" w:hAnsi="宋体" w:cs="宋体"/>
          <w:bCs/>
          <w:color w:val="auto"/>
          <w:sz w:val="28"/>
          <w:szCs w:val="28"/>
        </w:rPr>
        <w:t>①</w:t>
      </w:r>
      <w:r>
        <w:rPr>
          <w:rFonts w:eastAsia="仿宋_GB2312"/>
          <w:bCs/>
          <w:color w:val="auto"/>
          <w:sz w:val="28"/>
          <w:szCs w:val="28"/>
        </w:rPr>
        <w:t>入库时未严格检验物品质量、数量、包装情况、有无泄漏；</w:t>
      </w:r>
      <w:r>
        <w:rPr>
          <w:rFonts w:hint="eastAsia" w:ascii="宋体" w:hAnsi="宋体" w:cs="宋体"/>
          <w:bCs/>
          <w:color w:val="auto"/>
          <w:sz w:val="28"/>
          <w:szCs w:val="28"/>
        </w:rPr>
        <w:t>②</w:t>
      </w:r>
      <w:r>
        <w:rPr>
          <w:rFonts w:eastAsia="仿宋_GB2312"/>
          <w:bCs/>
          <w:color w:val="auto"/>
          <w:sz w:val="28"/>
          <w:szCs w:val="28"/>
        </w:rPr>
        <w:t>入库后未采取适当的养护措施，在贮存期内，未定期检查，发现其品质变化、包装破损、渗漏等未及时处理；</w:t>
      </w:r>
      <w:r>
        <w:rPr>
          <w:rFonts w:hint="eastAsia" w:ascii="宋体" w:hAnsi="宋体" w:cs="宋体"/>
          <w:bCs/>
          <w:color w:val="auto"/>
          <w:sz w:val="28"/>
          <w:szCs w:val="28"/>
        </w:rPr>
        <w:t>③</w:t>
      </w:r>
      <w:r>
        <w:rPr>
          <w:rFonts w:eastAsia="仿宋_GB2312"/>
          <w:bCs/>
          <w:color w:val="auto"/>
          <w:sz w:val="28"/>
          <w:szCs w:val="28"/>
        </w:rPr>
        <w:t>装卸人员未穿戴相应防护用品；</w:t>
      </w:r>
      <w:r>
        <w:rPr>
          <w:rFonts w:hint="eastAsia" w:ascii="宋体" w:hAnsi="宋体" w:cs="宋体"/>
          <w:bCs/>
          <w:color w:val="auto"/>
          <w:sz w:val="28"/>
          <w:szCs w:val="28"/>
        </w:rPr>
        <w:t>④</w:t>
      </w:r>
      <w:r>
        <w:rPr>
          <w:rFonts w:eastAsia="仿宋_GB2312"/>
          <w:bCs/>
          <w:color w:val="auto"/>
          <w:sz w:val="28"/>
          <w:szCs w:val="28"/>
        </w:rPr>
        <w:t>违章使用产生火花的工器具；</w:t>
      </w:r>
      <w:r>
        <w:rPr>
          <w:rFonts w:hint="eastAsia" w:ascii="宋体" w:hAnsi="宋体" w:cs="宋体"/>
          <w:bCs/>
          <w:color w:val="auto"/>
          <w:sz w:val="28"/>
          <w:szCs w:val="28"/>
        </w:rPr>
        <w:t>⑤</w:t>
      </w:r>
      <w:r>
        <w:rPr>
          <w:rFonts w:eastAsia="仿宋_GB2312"/>
          <w:bCs/>
          <w:color w:val="auto"/>
          <w:sz w:val="28"/>
          <w:szCs w:val="28"/>
        </w:rPr>
        <w:t>违章在库内分装等。</w:t>
      </w:r>
    </w:p>
    <w:p w14:paraId="6DCF93A4">
      <w:pPr>
        <w:spacing w:line="480" w:lineRule="exact"/>
        <w:ind w:firstLine="560" w:firstLineChars="200"/>
        <w:rPr>
          <w:rFonts w:eastAsia="仿宋_GB2312"/>
          <w:bCs/>
          <w:color w:val="auto"/>
          <w:sz w:val="28"/>
          <w:szCs w:val="28"/>
        </w:rPr>
      </w:pPr>
      <w:r>
        <w:rPr>
          <w:rFonts w:eastAsia="仿宋_GB2312"/>
          <w:bCs/>
          <w:color w:val="auto"/>
          <w:sz w:val="28"/>
          <w:szCs w:val="28"/>
        </w:rPr>
        <w:t>2）仓库中储存物料品种较多，如库内各储存区域未设置明显标志、标识，未显著载明危化品相关信息，存在错误收发物料风险。</w:t>
      </w:r>
    </w:p>
    <w:p w14:paraId="4F5FFE4D">
      <w:pPr>
        <w:pStyle w:val="7"/>
        <w:keepLines w:val="0"/>
        <w:widowControl/>
        <w:adjustRightInd w:val="0"/>
        <w:snapToGrid w:val="0"/>
        <w:spacing w:after="60" w:afterLines="25"/>
        <w:jc w:val="left"/>
        <w:rPr>
          <w:rFonts w:ascii="Times New Roman" w:hAnsi="Times New Roman"/>
          <w:b/>
          <w:color w:val="auto"/>
        </w:rPr>
      </w:pPr>
      <w:r>
        <w:rPr>
          <w:rFonts w:ascii="Times New Roman" w:hAnsi="Times New Roman"/>
          <w:b/>
          <w:color w:val="auto"/>
        </w:rPr>
        <w:t>3.8.2.5公用设施风险识别</w:t>
      </w:r>
    </w:p>
    <w:p w14:paraId="30ABB667">
      <w:pPr>
        <w:spacing w:line="480" w:lineRule="exact"/>
        <w:ind w:firstLine="560" w:firstLineChars="200"/>
        <w:rPr>
          <w:rFonts w:eastAsia="仿宋_GB2312"/>
          <w:bCs/>
          <w:color w:val="auto"/>
          <w:sz w:val="28"/>
          <w:szCs w:val="28"/>
        </w:rPr>
      </w:pPr>
      <w:r>
        <w:rPr>
          <w:rFonts w:eastAsia="仿宋_GB2312"/>
          <w:bCs/>
          <w:color w:val="auto"/>
          <w:sz w:val="28"/>
          <w:szCs w:val="28"/>
        </w:rPr>
        <w:t>一、给排水</w:t>
      </w:r>
    </w:p>
    <w:p w14:paraId="46814C82">
      <w:pPr>
        <w:spacing w:line="480" w:lineRule="exact"/>
        <w:ind w:firstLine="560" w:firstLineChars="200"/>
        <w:rPr>
          <w:rFonts w:eastAsia="仿宋_GB2312"/>
          <w:bCs/>
          <w:color w:val="auto"/>
          <w:sz w:val="28"/>
          <w:szCs w:val="28"/>
        </w:rPr>
      </w:pPr>
      <w:r>
        <w:rPr>
          <w:rFonts w:eastAsia="仿宋_GB2312"/>
          <w:bCs/>
          <w:color w:val="auto"/>
          <w:sz w:val="28"/>
          <w:szCs w:val="28"/>
        </w:rPr>
        <w:t>1）供水</w:t>
      </w:r>
    </w:p>
    <w:p w14:paraId="6960EED1">
      <w:pPr>
        <w:spacing w:line="480" w:lineRule="exact"/>
        <w:ind w:firstLine="560" w:firstLineChars="200"/>
        <w:rPr>
          <w:rFonts w:eastAsia="仿宋_GB2312"/>
          <w:bCs/>
          <w:color w:val="auto"/>
          <w:sz w:val="28"/>
          <w:szCs w:val="28"/>
        </w:rPr>
      </w:pPr>
      <w:r>
        <w:rPr>
          <w:rFonts w:eastAsia="仿宋_GB2312"/>
          <w:bCs/>
          <w:color w:val="auto"/>
          <w:sz w:val="28"/>
          <w:szCs w:val="28"/>
        </w:rPr>
        <w:fldChar w:fldCharType="begin"/>
      </w:r>
      <w:r>
        <w:rPr>
          <w:rFonts w:eastAsia="仿宋_GB2312"/>
          <w:bCs/>
          <w:color w:val="auto"/>
          <w:sz w:val="28"/>
          <w:szCs w:val="28"/>
        </w:rPr>
        <w:instrText xml:space="preserve"> = 1 \* GB3 </w:instrText>
      </w:r>
      <w:r>
        <w:rPr>
          <w:rFonts w:eastAsia="仿宋_GB2312"/>
          <w:bCs/>
          <w:color w:val="auto"/>
          <w:sz w:val="28"/>
          <w:szCs w:val="28"/>
        </w:rPr>
        <w:fldChar w:fldCharType="separate"/>
      </w:r>
      <w:r>
        <w:rPr>
          <w:rFonts w:hint="eastAsia" w:eastAsia="仿宋_GB2312"/>
          <w:bCs/>
          <w:color w:val="auto"/>
          <w:sz w:val="28"/>
          <w:szCs w:val="28"/>
        </w:rPr>
        <w:t>①</w:t>
      </w:r>
      <w:r>
        <w:rPr>
          <w:rFonts w:eastAsia="仿宋_GB2312"/>
          <w:bCs/>
          <w:color w:val="auto"/>
          <w:sz w:val="28"/>
          <w:szCs w:val="28"/>
        </w:rPr>
        <w:fldChar w:fldCharType="end"/>
      </w:r>
      <w:r>
        <w:rPr>
          <w:rFonts w:eastAsia="仿宋_GB2312"/>
          <w:bCs/>
          <w:color w:val="auto"/>
          <w:sz w:val="28"/>
          <w:szCs w:val="28"/>
        </w:rPr>
        <w:t>生产装置冷却供水中断或供水不足，致使生产装置如冷凝器内的热量无法移出，物料（尤其是二氯甲烷、甲醇等沸点较低的物质）得不到及时冷凝逸出可与空气形成爆炸性混合物以及构成环境污染等，更严重的是，将引起生产装置的温度异常升高，超温致使工艺失去控制、换热设备等超压，可酿成火灾爆炸事故。</w:t>
      </w:r>
    </w:p>
    <w:p w14:paraId="46B6AEBA">
      <w:pPr>
        <w:spacing w:line="480" w:lineRule="exact"/>
        <w:ind w:firstLine="560" w:firstLineChars="200"/>
        <w:rPr>
          <w:rFonts w:eastAsia="仿宋_GB2312"/>
          <w:bCs/>
          <w:color w:val="auto"/>
          <w:sz w:val="28"/>
          <w:szCs w:val="28"/>
        </w:rPr>
      </w:pPr>
      <w:r>
        <w:rPr>
          <w:rFonts w:eastAsia="仿宋_GB2312"/>
          <w:bCs/>
          <w:color w:val="auto"/>
          <w:sz w:val="28"/>
          <w:szCs w:val="28"/>
        </w:rPr>
        <w:fldChar w:fldCharType="begin"/>
      </w:r>
      <w:r>
        <w:rPr>
          <w:rFonts w:eastAsia="仿宋_GB2312"/>
          <w:bCs/>
          <w:color w:val="auto"/>
          <w:sz w:val="28"/>
          <w:szCs w:val="28"/>
        </w:rPr>
        <w:instrText xml:space="preserve"> = 2 \* GB3 </w:instrText>
      </w:r>
      <w:r>
        <w:rPr>
          <w:rFonts w:eastAsia="仿宋_GB2312"/>
          <w:bCs/>
          <w:color w:val="auto"/>
          <w:sz w:val="28"/>
          <w:szCs w:val="28"/>
        </w:rPr>
        <w:fldChar w:fldCharType="separate"/>
      </w:r>
      <w:r>
        <w:rPr>
          <w:rFonts w:hint="eastAsia" w:eastAsia="仿宋_GB2312"/>
          <w:bCs/>
          <w:color w:val="auto"/>
          <w:sz w:val="28"/>
          <w:szCs w:val="28"/>
        </w:rPr>
        <w:t>②</w:t>
      </w:r>
      <w:r>
        <w:rPr>
          <w:rFonts w:eastAsia="仿宋_GB2312"/>
          <w:bCs/>
          <w:color w:val="auto"/>
          <w:sz w:val="28"/>
          <w:szCs w:val="28"/>
        </w:rPr>
        <w:fldChar w:fldCharType="end"/>
      </w:r>
      <w:r>
        <w:rPr>
          <w:rFonts w:eastAsia="仿宋_GB2312"/>
          <w:bCs/>
          <w:color w:val="auto"/>
          <w:sz w:val="28"/>
          <w:szCs w:val="28"/>
        </w:rPr>
        <w:t>供水水质达不到指标要求，易造成冷凝器、管道内壁等部位结垢、堵塞，影响传热效果。</w:t>
      </w:r>
    </w:p>
    <w:p w14:paraId="6959F780">
      <w:pPr>
        <w:spacing w:line="480" w:lineRule="exact"/>
        <w:ind w:firstLine="560" w:firstLineChars="200"/>
        <w:rPr>
          <w:rFonts w:eastAsia="仿宋_GB2312"/>
          <w:bCs/>
          <w:color w:val="auto"/>
          <w:sz w:val="28"/>
          <w:szCs w:val="28"/>
        </w:rPr>
      </w:pPr>
      <w:r>
        <w:rPr>
          <w:rFonts w:eastAsia="仿宋_GB2312"/>
          <w:bCs/>
          <w:color w:val="auto"/>
          <w:sz w:val="28"/>
          <w:szCs w:val="28"/>
        </w:rPr>
        <w:fldChar w:fldCharType="begin"/>
      </w:r>
      <w:r>
        <w:rPr>
          <w:rFonts w:eastAsia="仿宋_GB2312"/>
          <w:bCs/>
          <w:color w:val="auto"/>
          <w:sz w:val="28"/>
          <w:szCs w:val="28"/>
        </w:rPr>
        <w:instrText xml:space="preserve"> = 3 \* GB3 </w:instrText>
      </w:r>
      <w:r>
        <w:rPr>
          <w:rFonts w:eastAsia="仿宋_GB2312"/>
          <w:bCs/>
          <w:color w:val="auto"/>
          <w:sz w:val="28"/>
          <w:szCs w:val="28"/>
        </w:rPr>
        <w:fldChar w:fldCharType="separate"/>
      </w:r>
      <w:r>
        <w:rPr>
          <w:rFonts w:hint="eastAsia" w:eastAsia="仿宋_GB2312"/>
          <w:bCs/>
          <w:color w:val="auto"/>
          <w:sz w:val="28"/>
          <w:szCs w:val="28"/>
        </w:rPr>
        <w:t>③</w:t>
      </w:r>
      <w:r>
        <w:rPr>
          <w:rFonts w:eastAsia="仿宋_GB2312"/>
          <w:bCs/>
          <w:color w:val="auto"/>
          <w:sz w:val="28"/>
          <w:szCs w:val="28"/>
        </w:rPr>
        <w:fldChar w:fldCharType="end"/>
      </w:r>
      <w:r>
        <w:rPr>
          <w:rFonts w:eastAsia="仿宋_GB2312"/>
          <w:bCs/>
          <w:color w:val="auto"/>
          <w:sz w:val="28"/>
          <w:szCs w:val="28"/>
        </w:rPr>
        <w:t>消防用水供水不可靠情况下，一旦发生火灾，无法及时以大量水冷却，可造成火灾的蔓延、扩大。</w:t>
      </w:r>
    </w:p>
    <w:p w14:paraId="3B78D2DA">
      <w:pPr>
        <w:spacing w:line="480" w:lineRule="exact"/>
        <w:ind w:firstLine="560" w:firstLineChars="200"/>
        <w:rPr>
          <w:rFonts w:eastAsia="仿宋_GB2312"/>
          <w:bCs/>
          <w:color w:val="auto"/>
          <w:sz w:val="28"/>
          <w:szCs w:val="28"/>
        </w:rPr>
      </w:pPr>
      <w:r>
        <w:rPr>
          <w:rFonts w:eastAsia="仿宋_GB2312"/>
          <w:bCs/>
          <w:color w:val="auto"/>
          <w:sz w:val="28"/>
          <w:szCs w:val="28"/>
        </w:rPr>
        <w:fldChar w:fldCharType="begin"/>
      </w:r>
      <w:r>
        <w:rPr>
          <w:rFonts w:eastAsia="仿宋_GB2312"/>
          <w:bCs/>
          <w:color w:val="auto"/>
          <w:sz w:val="28"/>
          <w:szCs w:val="28"/>
        </w:rPr>
        <w:instrText xml:space="preserve"> = 4 \* GB3 </w:instrText>
      </w:r>
      <w:r>
        <w:rPr>
          <w:rFonts w:eastAsia="仿宋_GB2312"/>
          <w:bCs/>
          <w:color w:val="auto"/>
          <w:sz w:val="28"/>
          <w:szCs w:val="28"/>
        </w:rPr>
        <w:fldChar w:fldCharType="separate"/>
      </w:r>
      <w:r>
        <w:rPr>
          <w:rFonts w:hint="eastAsia" w:eastAsia="仿宋_GB2312"/>
          <w:bCs/>
          <w:color w:val="auto"/>
          <w:sz w:val="28"/>
          <w:szCs w:val="28"/>
        </w:rPr>
        <w:t>④</w:t>
      </w:r>
      <w:r>
        <w:rPr>
          <w:rFonts w:eastAsia="仿宋_GB2312"/>
          <w:bCs/>
          <w:color w:val="auto"/>
          <w:sz w:val="28"/>
          <w:szCs w:val="28"/>
        </w:rPr>
        <w:fldChar w:fldCharType="end"/>
      </w:r>
      <w:r>
        <w:rPr>
          <w:rFonts w:eastAsia="仿宋_GB2312"/>
          <w:bCs/>
          <w:color w:val="auto"/>
          <w:sz w:val="28"/>
          <w:szCs w:val="28"/>
        </w:rPr>
        <w:t>当物料喷溅于人体上，如人体部位受到腐蚀品、毒物玷污，应以大量清水立即冲洗，在没有冲洗水情况下，将延误现场急救时机。</w:t>
      </w:r>
    </w:p>
    <w:p w14:paraId="253DB782">
      <w:pPr>
        <w:spacing w:line="480" w:lineRule="exact"/>
        <w:ind w:firstLine="560" w:firstLineChars="200"/>
        <w:rPr>
          <w:rFonts w:eastAsia="仿宋_GB2312"/>
          <w:bCs/>
          <w:color w:val="auto"/>
          <w:sz w:val="28"/>
          <w:szCs w:val="28"/>
        </w:rPr>
      </w:pPr>
      <w:r>
        <w:rPr>
          <w:rFonts w:eastAsia="仿宋_GB2312"/>
          <w:bCs/>
          <w:color w:val="auto"/>
          <w:sz w:val="28"/>
          <w:szCs w:val="28"/>
        </w:rPr>
        <w:t>2）排水</w:t>
      </w:r>
    </w:p>
    <w:p w14:paraId="4BB5C68D">
      <w:pPr>
        <w:spacing w:line="480" w:lineRule="exact"/>
        <w:ind w:firstLine="560" w:firstLineChars="200"/>
        <w:rPr>
          <w:rFonts w:eastAsia="仿宋_GB2312"/>
          <w:bCs/>
          <w:color w:val="auto"/>
          <w:sz w:val="28"/>
          <w:szCs w:val="28"/>
        </w:rPr>
      </w:pPr>
      <w:r>
        <w:rPr>
          <w:rFonts w:eastAsia="仿宋_GB2312"/>
          <w:bCs/>
          <w:color w:val="auto"/>
          <w:sz w:val="28"/>
          <w:szCs w:val="28"/>
        </w:rPr>
        <w:t>厂区雨污水排放系统已建成，本项目产生的污水经收集后送污水站处理。</w:t>
      </w:r>
    </w:p>
    <w:p w14:paraId="178EDE46">
      <w:pPr>
        <w:spacing w:line="480" w:lineRule="exact"/>
        <w:ind w:firstLine="560" w:firstLineChars="200"/>
        <w:rPr>
          <w:rFonts w:eastAsia="仿宋_GB2312"/>
          <w:bCs/>
          <w:color w:val="auto"/>
          <w:sz w:val="28"/>
          <w:szCs w:val="28"/>
        </w:rPr>
      </w:pPr>
      <w:r>
        <w:rPr>
          <w:rFonts w:eastAsia="仿宋_GB2312"/>
          <w:bCs/>
          <w:color w:val="auto"/>
          <w:sz w:val="28"/>
          <w:szCs w:val="28"/>
        </w:rPr>
        <w:fldChar w:fldCharType="begin"/>
      </w:r>
      <w:r>
        <w:rPr>
          <w:rFonts w:eastAsia="仿宋_GB2312"/>
          <w:bCs/>
          <w:color w:val="auto"/>
          <w:sz w:val="28"/>
          <w:szCs w:val="28"/>
        </w:rPr>
        <w:instrText xml:space="preserve"> = 1 \* GB3 </w:instrText>
      </w:r>
      <w:r>
        <w:rPr>
          <w:rFonts w:eastAsia="仿宋_GB2312"/>
          <w:bCs/>
          <w:color w:val="auto"/>
          <w:sz w:val="28"/>
          <w:szCs w:val="28"/>
        </w:rPr>
        <w:fldChar w:fldCharType="separate"/>
      </w:r>
      <w:r>
        <w:rPr>
          <w:rFonts w:hint="eastAsia" w:eastAsia="仿宋_GB2312"/>
          <w:bCs/>
          <w:color w:val="auto"/>
          <w:sz w:val="28"/>
          <w:szCs w:val="28"/>
        </w:rPr>
        <w:t>①</w:t>
      </w:r>
      <w:r>
        <w:rPr>
          <w:rFonts w:eastAsia="仿宋_GB2312"/>
          <w:bCs/>
          <w:color w:val="auto"/>
          <w:sz w:val="28"/>
          <w:szCs w:val="28"/>
        </w:rPr>
        <w:fldChar w:fldCharType="end"/>
      </w:r>
      <w:r>
        <w:rPr>
          <w:rFonts w:eastAsia="仿宋_GB2312"/>
          <w:bCs/>
          <w:color w:val="auto"/>
          <w:sz w:val="28"/>
          <w:szCs w:val="28"/>
        </w:rPr>
        <w:t>洪涝：由于化工生产企业固有的危险特征，一旦发生洪涝灾害，将构成严重的安全威胁。企业储存大量的化学品，这些化学品存在燃爆危险性、毒物危害性及腐蚀性。当这些化学品的包装物浸泡在水体中，则可能发生泄漏进而引起火灾爆炸事故、毒物危害以及环境污染事故。</w:t>
      </w:r>
    </w:p>
    <w:p w14:paraId="5EF1EF1B">
      <w:pPr>
        <w:spacing w:line="480" w:lineRule="exact"/>
        <w:ind w:firstLine="560" w:firstLineChars="200"/>
        <w:rPr>
          <w:rFonts w:eastAsia="仿宋_GB2312"/>
          <w:bCs/>
          <w:color w:val="auto"/>
          <w:sz w:val="28"/>
          <w:szCs w:val="28"/>
        </w:rPr>
      </w:pPr>
      <w:r>
        <w:rPr>
          <w:rFonts w:eastAsia="仿宋_GB2312"/>
          <w:bCs/>
          <w:color w:val="auto"/>
          <w:sz w:val="28"/>
          <w:szCs w:val="28"/>
        </w:rPr>
        <w:fldChar w:fldCharType="begin"/>
      </w:r>
      <w:r>
        <w:rPr>
          <w:rFonts w:eastAsia="仿宋_GB2312"/>
          <w:bCs/>
          <w:color w:val="auto"/>
          <w:sz w:val="28"/>
          <w:szCs w:val="28"/>
        </w:rPr>
        <w:instrText xml:space="preserve"> = 2 \* GB3 </w:instrText>
      </w:r>
      <w:r>
        <w:rPr>
          <w:rFonts w:eastAsia="仿宋_GB2312"/>
          <w:bCs/>
          <w:color w:val="auto"/>
          <w:sz w:val="28"/>
          <w:szCs w:val="28"/>
        </w:rPr>
        <w:fldChar w:fldCharType="separate"/>
      </w:r>
      <w:r>
        <w:rPr>
          <w:rFonts w:hint="eastAsia" w:eastAsia="仿宋_GB2312"/>
          <w:bCs/>
          <w:color w:val="auto"/>
          <w:sz w:val="28"/>
          <w:szCs w:val="28"/>
        </w:rPr>
        <w:t>②</w:t>
      </w:r>
      <w:r>
        <w:rPr>
          <w:rFonts w:eastAsia="仿宋_GB2312"/>
          <w:bCs/>
          <w:color w:val="auto"/>
          <w:sz w:val="28"/>
          <w:szCs w:val="28"/>
        </w:rPr>
        <w:fldChar w:fldCharType="end"/>
      </w:r>
      <w:r>
        <w:rPr>
          <w:rFonts w:eastAsia="仿宋_GB2312"/>
          <w:bCs/>
          <w:color w:val="auto"/>
          <w:sz w:val="28"/>
          <w:szCs w:val="28"/>
        </w:rPr>
        <w:t>安全事故引发的重大水体环境污染事故。项目单位按环保要求对厂区排水系统实行雨、污分流，并按环境影响报告批复文件设置的收集池以满足初期雨水收集及事故状态下消防废水的收集，并在雨水排放口、污水接管口配备电动闸门截流控制装置，可有效地防范由于危险化学品安全生产事故引发重大的水体环境污染事故</w:t>
      </w:r>
    </w:p>
    <w:p w14:paraId="026ECA2F">
      <w:pPr>
        <w:spacing w:line="480" w:lineRule="exact"/>
        <w:ind w:firstLine="560" w:firstLineChars="200"/>
        <w:rPr>
          <w:rFonts w:eastAsia="仿宋_GB2312"/>
          <w:bCs/>
          <w:color w:val="auto"/>
          <w:sz w:val="28"/>
          <w:szCs w:val="28"/>
        </w:rPr>
      </w:pPr>
      <w:r>
        <w:rPr>
          <w:rFonts w:eastAsia="仿宋_GB2312"/>
          <w:bCs/>
          <w:color w:val="auto"/>
          <w:sz w:val="28"/>
          <w:szCs w:val="28"/>
        </w:rPr>
        <w:t>3）废水及废水处理区</w:t>
      </w:r>
    </w:p>
    <w:p w14:paraId="6F4F2BB6">
      <w:pPr>
        <w:spacing w:line="480" w:lineRule="exact"/>
        <w:ind w:firstLine="560" w:firstLineChars="200"/>
        <w:rPr>
          <w:rFonts w:eastAsia="仿宋_GB2312"/>
          <w:bCs/>
          <w:color w:val="auto"/>
          <w:sz w:val="28"/>
          <w:szCs w:val="28"/>
        </w:rPr>
      </w:pPr>
      <w:r>
        <w:rPr>
          <w:rFonts w:eastAsia="仿宋_GB2312"/>
          <w:bCs/>
          <w:color w:val="auto"/>
          <w:sz w:val="28"/>
          <w:szCs w:val="28"/>
        </w:rPr>
        <w:fldChar w:fldCharType="begin"/>
      </w:r>
      <w:r>
        <w:rPr>
          <w:rFonts w:eastAsia="仿宋_GB2312"/>
          <w:bCs/>
          <w:color w:val="auto"/>
          <w:sz w:val="28"/>
          <w:szCs w:val="28"/>
        </w:rPr>
        <w:instrText xml:space="preserve"> = 1 \* GB3 </w:instrText>
      </w:r>
      <w:r>
        <w:rPr>
          <w:rFonts w:eastAsia="仿宋_GB2312"/>
          <w:bCs/>
          <w:color w:val="auto"/>
          <w:sz w:val="28"/>
          <w:szCs w:val="28"/>
        </w:rPr>
        <w:fldChar w:fldCharType="separate"/>
      </w:r>
      <w:r>
        <w:rPr>
          <w:rFonts w:hint="eastAsia" w:eastAsia="仿宋_GB2312"/>
          <w:bCs/>
          <w:color w:val="auto"/>
          <w:sz w:val="28"/>
          <w:szCs w:val="28"/>
        </w:rPr>
        <w:t>①</w:t>
      </w:r>
      <w:r>
        <w:rPr>
          <w:rFonts w:eastAsia="仿宋_GB2312"/>
          <w:bCs/>
          <w:color w:val="auto"/>
          <w:sz w:val="28"/>
          <w:szCs w:val="28"/>
        </w:rPr>
        <w:fldChar w:fldCharType="end"/>
      </w:r>
      <w:r>
        <w:rPr>
          <w:rFonts w:eastAsia="仿宋_GB2312"/>
          <w:bCs/>
          <w:color w:val="auto"/>
          <w:sz w:val="28"/>
          <w:szCs w:val="28"/>
        </w:rPr>
        <w:t>当生产设备或贮存容器发生事故时，会泄漏出大量可燃液体或气体。当可燃气体或蒸气的密度大于空气时，它们将与可燃液体一样沿排水管沟流入下水管道中去。由于下水管道中有很大的空间，使得这些气体或蒸气在管网中飘逸，如果管网与其他建筑相连接，又无水封井隔离，当达到爆炸极限浓度时，遇到火源就会发生爆炸，沿管网传递从而扩大爆炸灾害范围。</w:t>
      </w:r>
    </w:p>
    <w:p w14:paraId="4B4CDFA0">
      <w:pPr>
        <w:spacing w:line="480" w:lineRule="exact"/>
        <w:ind w:firstLine="560" w:firstLineChars="200"/>
        <w:rPr>
          <w:rFonts w:eastAsia="仿宋_GB2312"/>
          <w:bCs/>
          <w:color w:val="auto"/>
          <w:sz w:val="28"/>
          <w:szCs w:val="28"/>
        </w:rPr>
      </w:pPr>
      <w:r>
        <w:rPr>
          <w:rFonts w:eastAsia="仿宋_GB2312"/>
          <w:bCs/>
          <w:color w:val="auto"/>
          <w:sz w:val="28"/>
          <w:szCs w:val="28"/>
        </w:rPr>
        <w:fldChar w:fldCharType="begin"/>
      </w:r>
      <w:r>
        <w:rPr>
          <w:rFonts w:eastAsia="仿宋_GB2312"/>
          <w:bCs/>
          <w:color w:val="auto"/>
          <w:sz w:val="28"/>
          <w:szCs w:val="28"/>
        </w:rPr>
        <w:instrText xml:space="preserve"> = 2 \* GB3 </w:instrText>
      </w:r>
      <w:r>
        <w:rPr>
          <w:rFonts w:eastAsia="仿宋_GB2312"/>
          <w:bCs/>
          <w:color w:val="auto"/>
          <w:sz w:val="28"/>
          <w:szCs w:val="28"/>
        </w:rPr>
        <w:fldChar w:fldCharType="separate"/>
      </w:r>
      <w:r>
        <w:rPr>
          <w:rFonts w:hint="eastAsia" w:eastAsia="仿宋_GB2312"/>
          <w:bCs/>
          <w:color w:val="auto"/>
          <w:sz w:val="28"/>
          <w:szCs w:val="28"/>
        </w:rPr>
        <w:t>②</w:t>
      </w:r>
      <w:r>
        <w:rPr>
          <w:rFonts w:eastAsia="仿宋_GB2312"/>
          <w:bCs/>
          <w:color w:val="auto"/>
          <w:sz w:val="28"/>
          <w:szCs w:val="28"/>
        </w:rPr>
        <w:fldChar w:fldCharType="end"/>
      </w:r>
      <w:r>
        <w:rPr>
          <w:rFonts w:eastAsia="仿宋_GB2312"/>
          <w:bCs/>
          <w:color w:val="auto"/>
          <w:sz w:val="28"/>
          <w:szCs w:val="28"/>
        </w:rPr>
        <w:t>生产设备或贮存容器发生事故时，会泄漏出有毒、腐蚀液体，它们沿排水管沟流入下水管道中去。由于下水管道中可能积存有其他装置的物料，有可能发生反应产生腐蚀性毒害气体，若管网与其他建筑相连接，腐蚀性毒害气体沿管网传递从而扩大污染灾害范围。</w:t>
      </w:r>
    </w:p>
    <w:p w14:paraId="5F2BED4B">
      <w:pPr>
        <w:spacing w:line="480" w:lineRule="exact"/>
        <w:ind w:firstLine="560" w:firstLineChars="200"/>
        <w:rPr>
          <w:rFonts w:eastAsia="仿宋_GB2312"/>
          <w:bCs/>
          <w:color w:val="auto"/>
          <w:sz w:val="28"/>
          <w:szCs w:val="28"/>
        </w:rPr>
      </w:pPr>
      <w:r>
        <w:rPr>
          <w:rFonts w:eastAsia="仿宋_GB2312"/>
          <w:bCs/>
          <w:color w:val="auto"/>
          <w:sz w:val="28"/>
          <w:szCs w:val="28"/>
        </w:rPr>
        <w:fldChar w:fldCharType="begin"/>
      </w:r>
      <w:r>
        <w:rPr>
          <w:rFonts w:eastAsia="仿宋_GB2312"/>
          <w:bCs/>
          <w:color w:val="auto"/>
          <w:sz w:val="28"/>
          <w:szCs w:val="28"/>
        </w:rPr>
        <w:instrText xml:space="preserve"> = 3 \* GB3 </w:instrText>
      </w:r>
      <w:r>
        <w:rPr>
          <w:rFonts w:eastAsia="仿宋_GB2312"/>
          <w:bCs/>
          <w:color w:val="auto"/>
          <w:sz w:val="28"/>
          <w:szCs w:val="28"/>
        </w:rPr>
        <w:fldChar w:fldCharType="separate"/>
      </w:r>
      <w:r>
        <w:rPr>
          <w:rFonts w:hint="eastAsia" w:eastAsia="仿宋_GB2312"/>
          <w:bCs/>
          <w:color w:val="auto"/>
          <w:sz w:val="28"/>
          <w:szCs w:val="28"/>
        </w:rPr>
        <w:t>③</w:t>
      </w:r>
      <w:r>
        <w:rPr>
          <w:rFonts w:eastAsia="仿宋_GB2312"/>
          <w:bCs/>
          <w:color w:val="auto"/>
          <w:sz w:val="28"/>
          <w:szCs w:val="28"/>
        </w:rPr>
        <w:fldChar w:fldCharType="end"/>
      </w:r>
      <w:r>
        <w:rPr>
          <w:rFonts w:eastAsia="仿宋_GB2312"/>
          <w:bCs/>
          <w:color w:val="auto"/>
          <w:sz w:val="28"/>
          <w:szCs w:val="28"/>
        </w:rPr>
        <w:t>含工艺介质废水处理（或生产中分层作业静置时间不足，分层时带出有机相）过程中，若控制、操作不当，废水夹带有机层进入废水处理区，夹带的有机层具有火灾危险性。因此，在废水处理区防火安全工作也不容忽视。</w:t>
      </w:r>
    </w:p>
    <w:p w14:paraId="333B2CDD">
      <w:pPr>
        <w:spacing w:line="480" w:lineRule="exact"/>
        <w:ind w:firstLine="560" w:firstLineChars="200"/>
        <w:rPr>
          <w:rFonts w:eastAsia="仿宋_GB2312"/>
          <w:bCs/>
          <w:color w:val="auto"/>
          <w:sz w:val="28"/>
          <w:szCs w:val="28"/>
        </w:rPr>
      </w:pPr>
      <w:r>
        <w:rPr>
          <w:rFonts w:eastAsia="仿宋_GB2312"/>
          <w:bCs/>
          <w:color w:val="auto"/>
          <w:sz w:val="28"/>
          <w:szCs w:val="28"/>
        </w:rPr>
        <w:fldChar w:fldCharType="begin"/>
      </w:r>
      <w:r>
        <w:rPr>
          <w:rFonts w:eastAsia="仿宋_GB2312"/>
          <w:bCs/>
          <w:color w:val="auto"/>
          <w:sz w:val="28"/>
          <w:szCs w:val="28"/>
        </w:rPr>
        <w:instrText xml:space="preserve"> = 4 \* GB3 </w:instrText>
      </w:r>
      <w:r>
        <w:rPr>
          <w:rFonts w:eastAsia="仿宋_GB2312"/>
          <w:bCs/>
          <w:color w:val="auto"/>
          <w:sz w:val="28"/>
          <w:szCs w:val="28"/>
        </w:rPr>
        <w:fldChar w:fldCharType="separate"/>
      </w:r>
      <w:r>
        <w:rPr>
          <w:rFonts w:hint="eastAsia" w:eastAsia="仿宋_GB2312"/>
          <w:bCs/>
          <w:color w:val="auto"/>
          <w:sz w:val="28"/>
          <w:szCs w:val="28"/>
        </w:rPr>
        <w:t>④</w:t>
      </w:r>
      <w:r>
        <w:rPr>
          <w:rFonts w:eastAsia="仿宋_GB2312"/>
          <w:bCs/>
          <w:color w:val="auto"/>
          <w:sz w:val="28"/>
          <w:szCs w:val="28"/>
        </w:rPr>
        <w:fldChar w:fldCharType="end"/>
      </w:r>
      <w:r>
        <w:rPr>
          <w:rFonts w:eastAsia="仿宋_GB2312"/>
          <w:bCs/>
          <w:color w:val="auto"/>
          <w:sz w:val="28"/>
          <w:szCs w:val="28"/>
        </w:rPr>
        <w:t>污水池中可能含硫化氢气体，硫化氢为强烈神经毒物，对粘膜有强烈的刺激作用。高浓度时可直接抑制呼吸中枢，引起迅速窒息而死亡。污水池检维修时如未采取可靠安全防护措施，易引起严重中毒事故。</w:t>
      </w:r>
    </w:p>
    <w:p w14:paraId="0034F33B">
      <w:pPr>
        <w:spacing w:line="480" w:lineRule="exact"/>
        <w:ind w:firstLine="560" w:firstLineChars="200"/>
        <w:rPr>
          <w:rFonts w:eastAsia="仿宋_GB2312"/>
          <w:bCs/>
          <w:color w:val="auto"/>
          <w:sz w:val="28"/>
          <w:szCs w:val="28"/>
        </w:rPr>
      </w:pPr>
      <w:r>
        <w:rPr>
          <w:rFonts w:eastAsia="仿宋_GB2312"/>
          <w:bCs/>
          <w:color w:val="auto"/>
          <w:sz w:val="28"/>
          <w:szCs w:val="28"/>
        </w:rPr>
        <w:fldChar w:fldCharType="begin"/>
      </w:r>
      <w:r>
        <w:rPr>
          <w:rFonts w:eastAsia="仿宋_GB2312"/>
          <w:bCs/>
          <w:color w:val="auto"/>
          <w:sz w:val="28"/>
          <w:szCs w:val="28"/>
        </w:rPr>
        <w:instrText xml:space="preserve"> = 5 \* GB3 </w:instrText>
      </w:r>
      <w:r>
        <w:rPr>
          <w:rFonts w:eastAsia="仿宋_GB2312"/>
          <w:bCs/>
          <w:color w:val="auto"/>
          <w:sz w:val="28"/>
          <w:szCs w:val="28"/>
        </w:rPr>
        <w:fldChar w:fldCharType="separate"/>
      </w:r>
      <w:r>
        <w:rPr>
          <w:rFonts w:hint="eastAsia" w:eastAsia="仿宋_GB2312"/>
          <w:bCs/>
          <w:color w:val="auto"/>
          <w:sz w:val="28"/>
          <w:szCs w:val="28"/>
        </w:rPr>
        <w:t>⑤</w:t>
      </w:r>
      <w:r>
        <w:rPr>
          <w:rFonts w:eastAsia="仿宋_GB2312"/>
          <w:bCs/>
          <w:color w:val="auto"/>
          <w:sz w:val="28"/>
          <w:szCs w:val="28"/>
        </w:rPr>
        <w:fldChar w:fldCharType="end"/>
      </w:r>
      <w:r>
        <w:rPr>
          <w:rFonts w:eastAsia="仿宋_GB2312"/>
          <w:bCs/>
          <w:color w:val="auto"/>
          <w:sz w:val="28"/>
          <w:szCs w:val="28"/>
        </w:rPr>
        <w:t>污水池周边防护栏或其他安全防护措施损坏，作业及巡检中可能跌入造成人员淹溺、伤亡事故。</w:t>
      </w:r>
    </w:p>
    <w:p w14:paraId="0A63C2DA">
      <w:pPr>
        <w:spacing w:line="480" w:lineRule="exact"/>
        <w:ind w:firstLine="560" w:firstLineChars="200"/>
        <w:rPr>
          <w:rFonts w:eastAsia="仿宋_GB2312"/>
          <w:bCs/>
          <w:color w:val="auto"/>
          <w:sz w:val="28"/>
          <w:szCs w:val="28"/>
        </w:rPr>
      </w:pPr>
      <w:r>
        <w:rPr>
          <w:rFonts w:eastAsia="仿宋_GB2312"/>
          <w:bCs/>
          <w:color w:val="auto"/>
          <w:sz w:val="28"/>
          <w:szCs w:val="28"/>
        </w:rPr>
        <w:t>二、供电</w:t>
      </w:r>
    </w:p>
    <w:p w14:paraId="3036E350">
      <w:pPr>
        <w:spacing w:line="480" w:lineRule="exact"/>
        <w:ind w:firstLine="560" w:firstLineChars="200"/>
        <w:rPr>
          <w:rFonts w:eastAsia="仿宋_GB2312"/>
          <w:bCs/>
          <w:color w:val="auto"/>
          <w:sz w:val="28"/>
          <w:szCs w:val="28"/>
        </w:rPr>
      </w:pPr>
      <w:r>
        <w:rPr>
          <w:rFonts w:eastAsia="仿宋_GB2312"/>
          <w:bCs/>
          <w:color w:val="auto"/>
          <w:sz w:val="28"/>
          <w:szCs w:val="28"/>
        </w:rPr>
        <w:t>1）失电的危险性</w:t>
      </w:r>
    </w:p>
    <w:p w14:paraId="44BB4C2B">
      <w:pPr>
        <w:spacing w:line="480" w:lineRule="exact"/>
        <w:ind w:firstLine="560" w:firstLineChars="200"/>
        <w:rPr>
          <w:rFonts w:eastAsia="仿宋_GB2312"/>
          <w:bCs/>
          <w:color w:val="auto"/>
          <w:sz w:val="28"/>
          <w:szCs w:val="28"/>
        </w:rPr>
      </w:pPr>
      <w:r>
        <w:rPr>
          <w:rFonts w:eastAsia="仿宋_GB2312"/>
          <w:bCs/>
          <w:color w:val="auto"/>
          <w:sz w:val="28"/>
          <w:szCs w:val="28"/>
        </w:rPr>
        <w:t>供电中断对生产装置有影响，断电导致氢气紧急切断阀失去动作，搅拌停止、冷却水、制冷中断，反应热无法及时撤出积热，严重时可引起火灾爆炸事故。供电中断还将严重影响事故紧急状态下的消防应急安全需要。部分工艺装置采用PLC控制，控制系统和仪表UPS电源故障、中断可造成控制系统瘫涣，甚至装置失控。</w:t>
      </w:r>
    </w:p>
    <w:p w14:paraId="6065EF97">
      <w:pPr>
        <w:spacing w:line="480" w:lineRule="exact"/>
        <w:ind w:firstLine="560" w:firstLineChars="200"/>
        <w:rPr>
          <w:rFonts w:eastAsia="仿宋_GB2312"/>
          <w:bCs/>
          <w:color w:val="auto"/>
          <w:sz w:val="28"/>
          <w:szCs w:val="28"/>
        </w:rPr>
      </w:pPr>
      <w:r>
        <w:rPr>
          <w:rFonts w:eastAsia="仿宋_GB2312"/>
          <w:bCs/>
          <w:color w:val="auto"/>
          <w:sz w:val="28"/>
          <w:szCs w:val="28"/>
        </w:rPr>
        <w:t>2）电气火灾与触电伤害</w:t>
      </w:r>
    </w:p>
    <w:p w14:paraId="41A54D78">
      <w:pPr>
        <w:spacing w:line="480" w:lineRule="exact"/>
        <w:ind w:firstLine="560" w:firstLineChars="200"/>
        <w:rPr>
          <w:rFonts w:eastAsia="仿宋_GB2312"/>
          <w:bCs/>
          <w:color w:val="auto"/>
          <w:sz w:val="28"/>
          <w:szCs w:val="28"/>
        </w:rPr>
      </w:pPr>
      <w:r>
        <w:rPr>
          <w:rFonts w:eastAsia="仿宋_GB2312"/>
          <w:bCs/>
          <w:color w:val="auto"/>
          <w:sz w:val="28"/>
          <w:szCs w:val="28"/>
        </w:rPr>
        <w:fldChar w:fldCharType="begin"/>
      </w:r>
      <w:r>
        <w:rPr>
          <w:rFonts w:eastAsia="仿宋_GB2312"/>
          <w:bCs/>
          <w:color w:val="auto"/>
          <w:sz w:val="28"/>
          <w:szCs w:val="28"/>
        </w:rPr>
        <w:instrText xml:space="preserve"> = 1 \* GB3 </w:instrText>
      </w:r>
      <w:r>
        <w:rPr>
          <w:rFonts w:eastAsia="仿宋_GB2312"/>
          <w:bCs/>
          <w:color w:val="auto"/>
          <w:sz w:val="28"/>
          <w:szCs w:val="28"/>
        </w:rPr>
        <w:fldChar w:fldCharType="separate"/>
      </w:r>
      <w:r>
        <w:rPr>
          <w:rFonts w:hint="eastAsia" w:eastAsia="仿宋_GB2312"/>
          <w:bCs/>
          <w:color w:val="auto"/>
          <w:sz w:val="28"/>
          <w:szCs w:val="28"/>
        </w:rPr>
        <w:t>①</w:t>
      </w:r>
      <w:r>
        <w:rPr>
          <w:rFonts w:eastAsia="仿宋_GB2312"/>
          <w:bCs/>
          <w:color w:val="auto"/>
          <w:sz w:val="28"/>
          <w:szCs w:val="28"/>
        </w:rPr>
        <w:fldChar w:fldCharType="end"/>
      </w:r>
      <w:r>
        <w:rPr>
          <w:rFonts w:eastAsia="仿宋_GB2312"/>
          <w:bCs/>
          <w:color w:val="auto"/>
          <w:sz w:val="28"/>
          <w:szCs w:val="28"/>
        </w:rPr>
        <w:t>电气设备火灾危险性。输电、配电、用电电气设备如配电装置、电机、照明装置等，在严重过热和故障情况下，容易引起火灾。</w:t>
      </w:r>
    </w:p>
    <w:p w14:paraId="7D99D7B8">
      <w:pPr>
        <w:spacing w:line="480" w:lineRule="exact"/>
        <w:ind w:firstLine="560" w:firstLineChars="200"/>
        <w:rPr>
          <w:rFonts w:eastAsia="仿宋_GB2312"/>
          <w:bCs/>
          <w:color w:val="auto"/>
          <w:sz w:val="28"/>
          <w:szCs w:val="28"/>
        </w:rPr>
      </w:pPr>
      <w:r>
        <w:rPr>
          <w:rFonts w:eastAsia="仿宋_GB2312"/>
          <w:bCs/>
          <w:color w:val="auto"/>
          <w:sz w:val="28"/>
          <w:szCs w:val="28"/>
        </w:rPr>
        <w:fldChar w:fldCharType="begin"/>
      </w:r>
      <w:r>
        <w:rPr>
          <w:rFonts w:eastAsia="仿宋_GB2312"/>
          <w:bCs/>
          <w:color w:val="auto"/>
          <w:sz w:val="28"/>
          <w:szCs w:val="28"/>
        </w:rPr>
        <w:instrText xml:space="preserve"> = 2 \* GB3 </w:instrText>
      </w:r>
      <w:r>
        <w:rPr>
          <w:rFonts w:eastAsia="仿宋_GB2312"/>
          <w:bCs/>
          <w:color w:val="auto"/>
          <w:sz w:val="28"/>
          <w:szCs w:val="28"/>
        </w:rPr>
        <w:fldChar w:fldCharType="separate"/>
      </w:r>
      <w:r>
        <w:rPr>
          <w:rFonts w:hint="eastAsia" w:eastAsia="仿宋_GB2312"/>
          <w:bCs/>
          <w:color w:val="auto"/>
          <w:sz w:val="28"/>
          <w:szCs w:val="28"/>
        </w:rPr>
        <w:t>②</w:t>
      </w:r>
      <w:r>
        <w:rPr>
          <w:rFonts w:eastAsia="仿宋_GB2312"/>
          <w:bCs/>
          <w:color w:val="auto"/>
          <w:sz w:val="28"/>
          <w:szCs w:val="28"/>
        </w:rPr>
        <w:fldChar w:fldCharType="end"/>
      </w:r>
      <w:r>
        <w:rPr>
          <w:rFonts w:eastAsia="仿宋_GB2312"/>
          <w:bCs/>
          <w:color w:val="auto"/>
          <w:sz w:val="28"/>
          <w:szCs w:val="28"/>
        </w:rPr>
        <w:t>本项目生产使用腐蚀性物料，对电气设备等存在腐蚀危害，尤其对电器绝缘性能有较大影响，易引起漏电、短路等造成电气火灾事故。</w:t>
      </w:r>
    </w:p>
    <w:p w14:paraId="11F5B9F6">
      <w:pPr>
        <w:spacing w:line="480" w:lineRule="exact"/>
        <w:ind w:firstLine="560" w:firstLineChars="200"/>
        <w:rPr>
          <w:rFonts w:eastAsia="仿宋_GB2312"/>
          <w:bCs/>
          <w:color w:val="auto"/>
          <w:sz w:val="28"/>
          <w:szCs w:val="28"/>
        </w:rPr>
      </w:pPr>
      <w:r>
        <w:rPr>
          <w:rFonts w:eastAsia="仿宋_GB2312"/>
          <w:bCs/>
          <w:color w:val="auto"/>
          <w:sz w:val="28"/>
          <w:szCs w:val="28"/>
        </w:rPr>
        <w:fldChar w:fldCharType="begin"/>
      </w:r>
      <w:r>
        <w:rPr>
          <w:rFonts w:eastAsia="仿宋_GB2312"/>
          <w:bCs/>
          <w:color w:val="auto"/>
          <w:sz w:val="28"/>
          <w:szCs w:val="28"/>
        </w:rPr>
        <w:instrText xml:space="preserve"> = 3 \* GB3 </w:instrText>
      </w:r>
      <w:r>
        <w:rPr>
          <w:rFonts w:eastAsia="仿宋_GB2312"/>
          <w:bCs/>
          <w:color w:val="auto"/>
          <w:sz w:val="28"/>
          <w:szCs w:val="28"/>
        </w:rPr>
        <w:fldChar w:fldCharType="separate"/>
      </w:r>
      <w:r>
        <w:rPr>
          <w:rFonts w:hint="eastAsia" w:eastAsia="仿宋_GB2312"/>
          <w:bCs/>
          <w:color w:val="auto"/>
          <w:sz w:val="28"/>
          <w:szCs w:val="28"/>
        </w:rPr>
        <w:t>③</w:t>
      </w:r>
      <w:r>
        <w:rPr>
          <w:rFonts w:eastAsia="仿宋_GB2312"/>
          <w:bCs/>
          <w:color w:val="auto"/>
          <w:sz w:val="28"/>
          <w:szCs w:val="28"/>
        </w:rPr>
        <w:fldChar w:fldCharType="end"/>
      </w:r>
      <w:r>
        <w:rPr>
          <w:rFonts w:eastAsia="仿宋_GB2312"/>
          <w:bCs/>
          <w:color w:val="auto"/>
          <w:sz w:val="28"/>
          <w:szCs w:val="28"/>
        </w:rPr>
        <w:t>电气作业违反电气安全规程要求，带电设备绝缘不良、电气接地保护措施不可靠，都有可能引起触电事故。另外，在检修工作时，会因安全组织措施和安全技术措施不完备而造成触电事故。此外，输配电系统电压较高，如防护设施缺陷或不遵守电气安全操作规程，极有触电可能和危险。电气设备带负荷拉闸、违反操作规程，有可能造成电弧烧伤的事故。</w:t>
      </w:r>
    </w:p>
    <w:p w14:paraId="1AEBDF9F">
      <w:pPr>
        <w:spacing w:line="480" w:lineRule="exact"/>
        <w:ind w:firstLine="560" w:firstLineChars="200"/>
        <w:rPr>
          <w:rFonts w:eastAsia="仿宋_GB2312"/>
          <w:bCs/>
          <w:color w:val="auto"/>
          <w:sz w:val="28"/>
          <w:szCs w:val="28"/>
        </w:rPr>
      </w:pPr>
      <w:r>
        <w:rPr>
          <w:rFonts w:eastAsia="仿宋_GB2312"/>
          <w:bCs/>
          <w:color w:val="auto"/>
          <w:sz w:val="28"/>
          <w:szCs w:val="28"/>
        </w:rPr>
        <w:t>三、供热供冷</w:t>
      </w:r>
    </w:p>
    <w:p w14:paraId="65EE94A7">
      <w:pPr>
        <w:spacing w:line="480" w:lineRule="exact"/>
        <w:ind w:firstLine="560" w:firstLineChars="200"/>
        <w:rPr>
          <w:rFonts w:eastAsia="仿宋_GB2312"/>
          <w:bCs/>
          <w:color w:val="auto"/>
          <w:sz w:val="28"/>
          <w:szCs w:val="28"/>
        </w:rPr>
      </w:pPr>
      <w:r>
        <w:rPr>
          <w:rFonts w:eastAsia="仿宋_GB2312"/>
          <w:bCs/>
          <w:color w:val="auto"/>
          <w:sz w:val="28"/>
          <w:szCs w:val="28"/>
        </w:rPr>
        <w:t>1）蒸汽若发生泄漏、管道保温不当，人体接触可致高温烫伤。</w:t>
      </w:r>
    </w:p>
    <w:p w14:paraId="0CC9A5DC">
      <w:pPr>
        <w:spacing w:line="480" w:lineRule="exact"/>
        <w:ind w:firstLine="560" w:firstLineChars="200"/>
        <w:rPr>
          <w:rFonts w:eastAsia="仿宋_GB2312"/>
          <w:bCs/>
          <w:color w:val="auto"/>
          <w:sz w:val="28"/>
          <w:szCs w:val="28"/>
        </w:rPr>
      </w:pPr>
      <w:r>
        <w:rPr>
          <w:rFonts w:eastAsia="仿宋_GB2312"/>
          <w:bCs/>
          <w:color w:val="auto"/>
          <w:sz w:val="28"/>
          <w:szCs w:val="28"/>
        </w:rPr>
        <w:t>2）循环冷却水系统</w:t>
      </w:r>
    </w:p>
    <w:p w14:paraId="2EEC9E92">
      <w:pPr>
        <w:spacing w:line="480" w:lineRule="exact"/>
        <w:ind w:firstLine="560" w:firstLineChars="200"/>
        <w:rPr>
          <w:rFonts w:eastAsia="仿宋_GB2312"/>
          <w:bCs/>
          <w:color w:val="auto"/>
          <w:sz w:val="28"/>
          <w:szCs w:val="28"/>
        </w:rPr>
      </w:pPr>
      <w:r>
        <w:rPr>
          <w:rFonts w:eastAsia="仿宋_GB2312"/>
          <w:bCs/>
          <w:color w:val="auto"/>
          <w:sz w:val="28"/>
          <w:szCs w:val="28"/>
        </w:rPr>
        <w:fldChar w:fldCharType="begin"/>
      </w:r>
      <w:r>
        <w:rPr>
          <w:rFonts w:eastAsia="仿宋_GB2312"/>
          <w:bCs/>
          <w:color w:val="auto"/>
          <w:sz w:val="28"/>
          <w:szCs w:val="28"/>
        </w:rPr>
        <w:instrText xml:space="preserve"> = 1 \* GB3 </w:instrText>
      </w:r>
      <w:r>
        <w:rPr>
          <w:rFonts w:eastAsia="仿宋_GB2312"/>
          <w:bCs/>
          <w:color w:val="auto"/>
          <w:sz w:val="28"/>
          <w:szCs w:val="28"/>
        </w:rPr>
        <w:fldChar w:fldCharType="separate"/>
      </w:r>
      <w:r>
        <w:rPr>
          <w:rFonts w:hint="eastAsia" w:eastAsia="仿宋_GB2312"/>
          <w:bCs/>
          <w:color w:val="auto"/>
          <w:sz w:val="28"/>
          <w:szCs w:val="28"/>
        </w:rPr>
        <w:t>①</w:t>
      </w:r>
      <w:r>
        <w:rPr>
          <w:rFonts w:eastAsia="仿宋_GB2312"/>
          <w:bCs/>
          <w:color w:val="auto"/>
          <w:sz w:val="28"/>
          <w:szCs w:val="28"/>
        </w:rPr>
        <w:fldChar w:fldCharType="end"/>
      </w:r>
      <w:r>
        <w:rPr>
          <w:rFonts w:eastAsia="仿宋_GB2312"/>
          <w:bCs/>
          <w:color w:val="auto"/>
          <w:sz w:val="28"/>
          <w:szCs w:val="28"/>
        </w:rPr>
        <w:t>循环冷却水系统中断或水压水量不足危险性如前述。</w:t>
      </w:r>
    </w:p>
    <w:p w14:paraId="468C22FA">
      <w:pPr>
        <w:spacing w:line="480" w:lineRule="exact"/>
        <w:ind w:firstLine="560" w:firstLineChars="200"/>
        <w:rPr>
          <w:rFonts w:eastAsia="仿宋_GB2312"/>
          <w:bCs/>
          <w:color w:val="auto"/>
          <w:sz w:val="28"/>
          <w:szCs w:val="28"/>
        </w:rPr>
      </w:pPr>
      <w:r>
        <w:rPr>
          <w:rFonts w:eastAsia="仿宋_GB2312"/>
          <w:bCs/>
          <w:color w:val="auto"/>
          <w:sz w:val="28"/>
          <w:szCs w:val="28"/>
        </w:rPr>
        <w:fldChar w:fldCharType="begin"/>
      </w:r>
      <w:r>
        <w:rPr>
          <w:rFonts w:eastAsia="仿宋_GB2312"/>
          <w:bCs/>
          <w:color w:val="auto"/>
          <w:sz w:val="28"/>
          <w:szCs w:val="28"/>
        </w:rPr>
        <w:instrText xml:space="preserve"> = 2 \* GB3 </w:instrText>
      </w:r>
      <w:r>
        <w:rPr>
          <w:rFonts w:eastAsia="仿宋_GB2312"/>
          <w:bCs/>
          <w:color w:val="auto"/>
          <w:sz w:val="28"/>
          <w:szCs w:val="28"/>
        </w:rPr>
        <w:fldChar w:fldCharType="separate"/>
      </w:r>
      <w:r>
        <w:rPr>
          <w:rFonts w:hint="eastAsia" w:eastAsia="仿宋_GB2312"/>
          <w:bCs/>
          <w:color w:val="auto"/>
          <w:sz w:val="28"/>
          <w:szCs w:val="28"/>
        </w:rPr>
        <w:t>②</w:t>
      </w:r>
      <w:r>
        <w:rPr>
          <w:rFonts w:eastAsia="仿宋_GB2312"/>
          <w:bCs/>
          <w:color w:val="auto"/>
          <w:sz w:val="28"/>
          <w:szCs w:val="28"/>
        </w:rPr>
        <w:fldChar w:fldCharType="end"/>
      </w:r>
      <w:r>
        <w:rPr>
          <w:rFonts w:eastAsia="仿宋_GB2312"/>
          <w:bCs/>
          <w:color w:val="auto"/>
          <w:sz w:val="28"/>
          <w:szCs w:val="28"/>
        </w:rPr>
        <w:t>水质差，反应器夹套结垢，导致热阻系数增大，影响换热效果。</w:t>
      </w:r>
    </w:p>
    <w:p w14:paraId="0926A5CB">
      <w:pPr>
        <w:spacing w:line="480" w:lineRule="exact"/>
        <w:ind w:firstLine="560" w:firstLineChars="200"/>
        <w:rPr>
          <w:rFonts w:eastAsia="仿宋_GB2312"/>
          <w:bCs/>
          <w:color w:val="auto"/>
          <w:sz w:val="28"/>
          <w:szCs w:val="28"/>
        </w:rPr>
      </w:pPr>
      <w:r>
        <w:rPr>
          <w:rFonts w:eastAsia="仿宋_GB2312"/>
          <w:bCs/>
          <w:color w:val="auto"/>
          <w:sz w:val="28"/>
          <w:szCs w:val="28"/>
        </w:rPr>
        <w:fldChar w:fldCharType="begin"/>
      </w:r>
      <w:r>
        <w:rPr>
          <w:rFonts w:eastAsia="仿宋_GB2312"/>
          <w:bCs/>
          <w:color w:val="auto"/>
          <w:sz w:val="28"/>
          <w:szCs w:val="28"/>
        </w:rPr>
        <w:instrText xml:space="preserve"> = 3 \* GB3 </w:instrText>
      </w:r>
      <w:r>
        <w:rPr>
          <w:rFonts w:eastAsia="仿宋_GB2312"/>
          <w:bCs/>
          <w:color w:val="auto"/>
          <w:sz w:val="28"/>
          <w:szCs w:val="28"/>
        </w:rPr>
        <w:fldChar w:fldCharType="separate"/>
      </w:r>
      <w:r>
        <w:rPr>
          <w:rFonts w:hint="eastAsia" w:eastAsia="仿宋_GB2312"/>
          <w:bCs/>
          <w:color w:val="auto"/>
          <w:sz w:val="28"/>
          <w:szCs w:val="28"/>
        </w:rPr>
        <w:t>③</w:t>
      </w:r>
      <w:r>
        <w:rPr>
          <w:rFonts w:eastAsia="仿宋_GB2312"/>
          <w:bCs/>
          <w:color w:val="auto"/>
          <w:sz w:val="28"/>
          <w:szCs w:val="28"/>
        </w:rPr>
        <w:fldChar w:fldCharType="end"/>
      </w:r>
      <w:r>
        <w:rPr>
          <w:rFonts w:eastAsia="仿宋_GB2312"/>
          <w:bCs/>
          <w:color w:val="auto"/>
          <w:sz w:val="28"/>
          <w:szCs w:val="28"/>
        </w:rPr>
        <w:t>带冷却设备破损泄漏，易燃、有毒、腐蚀物料进入循环冷却水系统，就有可能在循环冷却水系统造成燃爆、腐蚀危险危害，对作业人员造成火灾、爆炸、毒害、化学灼伤等伤害。</w:t>
      </w:r>
    </w:p>
    <w:p w14:paraId="2AB30F79">
      <w:pPr>
        <w:spacing w:line="480" w:lineRule="exact"/>
        <w:ind w:firstLine="560" w:firstLineChars="200"/>
        <w:rPr>
          <w:rFonts w:eastAsia="仿宋_GB2312"/>
          <w:bCs/>
          <w:color w:val="auto"/>
          <w:sz w:val="28"/>
          <w:szCs w:val="28"/>
        </w:rPr>
      </w:pPr>
      <w:r>
        <w:rPr>
          <w:rFonts w:eastAsia="仿宋_GB2312"/>
          <w:bCs/>
          <w:color w:val="auto"/>
          <w:sz w:val="28"/>
          <w:szCs w:val="28"/>
        </w:rPr>
        <w:t>3）冷凝系统</w:t>
      </w:r>
    </w:p>
    <w:p w14:paraId="32656DAC">
      <w:pPr>
        <w:spacing w:line="480" w:lineRule="exact"/>
        <w:ind w:firstLine="560" w:firstLineChars="200"/>
        <w:rPr>
          <w:rFonts w:eastAsia="仿宋_GB2312"/>
          <w:bCs/>
          <w:color w:val="auto"/>
          <w:sz w:val="28"/>
          <w:szCs w:val="28"/>
        </w:rPr>
      </w:pPr>
      <w:r>
        <w:rPr>
          <w:rFonts w:eastAsia="仿宋_GB2312"/>
          <w:bCs/>
          <w:color w:val="auto"/>
          <w:sz w:val="28"/>
          <w:szCs w:val="28"/>
        </w:rPr>
        <w:t>生产过程中如制冷机组故障停止运行，冷凝盐水供应中断，造成易燃易爆、有毒有害物质蒸气无法及时冷凝，易造成外逸引起火灾爆炸、中毒及环境污染事故。冷凝系统低温管道如保温不良，存在低温冻伤危害。</w:t>
      </w:r>
    </w:p>
    <w:p w14:paraId="782D3BB8">
      <w:pPr>
        <w:spacing w:line="480" w:lineRule="exact"/>
        <w:ind w:firstLine="560" w:firstLineChars="200"/>
        <w:rPr>
          <w:rFonts w:eastAsia="仿宋_GB2312"/>
          <w:bCs/>
          <w:color w:val="auto"/>
          <w:sz w:val="28"/>
          <w:szCs w:val="28"/>
        </w:rPr>
      </w:pPr>
      <w:r>
        <w:rPr>
          <w:rFonts w:eastAsia="仿宋_GB2312"/>
          <w:bCs/>
          <w:color w:val="auto"/>
          <w:sz w:val="28"/>
          <w:szCs w:val="28"/>
        </w:rPr>
        <w:t>四、供气</w:t>
      </w:r>
    </w:p>
    <w:p w14:paraId="7A58F2AF">
      <w:pPr>
        <w:spacing w:line="480" w:lineRule="exact"/>
        <w:ind w:firstLine="560" w:firstLineChars="200"/>
        <w:rPr>
          <w:rFonts w:eastAsia="仿宋_GB2312"/>
          <w:bCs/>
          <w:color w:val="auto"/>
          <w:sz w:val="28"/>
          <w:szCs w:val="28"/>
        </w:rPr>
      </w:pPr>
      <w:r>
        <w:rPr>
          <w:rFonts w:eastAsia="仿宋_GB2312"/>
          <w:bCs/>
          <w:color w:val="auto"/>
          <w:sz w:val="28"/>
          <w:szCs w:val="28"/>
        </w:rPr>
        <w:t>压缩空气仪表气若供给不足，生产、储存装置的自动控制仪表的气动操纵机构便不能动作，可造成控制系统瘫痪、使装置失去控制、被迫停车。此外还存在压缩空气管道超压的危险因素。</w:t>
      </w:r>
    </w:p>
    <w:p w14:paraId="416312B1">
      <w:pPr>
        <w:pStyle w:val="7"/>
        <w:keepLines w:val="0"/>
        <w:widowControl/>
        <w:adjustRightInd w:val="0"/>
        <w:snapToGrid w:val="0"/>
        <w:spacing w:after="60" w:afterLines="25"/>
        <w:jc w:val="left"/>
        <w:rPr>
          <w:rFonts w:ascii="Times New Roman" w:hAnsi="Times New Roman"/>
          <w:b/>
          <w:color w:val="auto"/>
        </w:rPr>
      </w:pPr>
      <w:r>
        <w:rPr>
          <w:rFonts w:ascii="Times New Roman" w:hAnsi="Times New Roman"/>
          <w:b/>
          <w:color w:val="auto"/>
        </w:rPr>
        <w:t>3.8.2.6环保设施风险识别</w:t>
      </w:r>
    </w:p>
    <w:p w14:paraId="10D0F887">
      <w:pPr>
        <w:spacing w:line="480" w:lineRule="exact"/>
        <w:ind w:firstLine="560" w:firstLineChars="200"/>
        <w:rPr>
          <w:rFonts w:eastAsia="仿宋_GB2312"/>
          <w:bCs/>
          <w:color w:val="auto"/>
          <w:sz w:val="28"/>
          <w:szCs w:val="28"/>
        </w:rPr>
      </w:pPr>
      <w:r>
        <w:rPr>
          <w:rFonts w:eastAsia="仿宋_GB2312"/>
          <w:bCs/>
          <w:color w:val="auto"/>
          <w:sz w:val="28"/>
          <w:szCs w:val="28"/>
        </w:rPr>
        <w:t>（1）废气处理设施</w:t>
      </w:r>
    </w:p>
    <w:p w14:paraId="3BDB1FEC">
      <w:pPr>
        <w:spacing w:line="480" w:lineRule="exact"/>
        <w:ind w:firstLine="560" w:firstLineChars="200"/>
        <w:rPr>
          <w:rFonts w:eastAsia="仿宋_GB2312"/>
          <w:bCs/>
          <w:color w:val="auto"/>
          <w:sz w:val="28"/>
          <w:szCs w:val="28"/>
        </w:rPr>
      </w:pPr>
      <w:r>
        <w:rPr>
          <w:rFonts w:eastAsia="仿宋_GB2312"/>
          <w:bCs/>
          <w:color w:val="auto"/>
          <w:sz w:val="28"/>
          <w:szCs w:val="28"/>
        </w:rPr>
        <w:t>1）废气收集</w:t>
      </w:r>
    </w:p>
    <w:p w14:paraId="60646225">
      <w:pPr>
        <w:spacing w:line="480" w:lineRule="exact"/>
        <w:ind w:firstLine="560" w:firstLineChars="200"/>
        <w:rPr>
          <w:rFonts w:eastAsia="仿宋_GB2312"/>
          <w:bCs/>
          <w:color w:val="auto"/>
          <w:sz w:val="28"/>
          <w:szCs w:val="28"/>
        </w:rPr>
      </w:pPr>
      <w:r>
        <w:rPr>
          <w:rFonts w:eastAsia="仿宋_GB2312"/>
          <w:bCs/>
          <w:color w:val="auto"/>
          <w:sz w:val="28"/>
          <w:szCs w:val="28"/>
        </w:rPr>
        <w:fldChar w:fldCharType="begin"/>
      </w:r>
      <w:r>
        <w:rPr>
          <w:rFonts w:eastAsia="仿宋_GB2312"/>
          <w:bCs/>
          <w:color w:val="auto"/>
          <w:sz w:val="28"/>
          <w:szCs w:val="28"/>
        </w:rPr>
        <w:instrText xml:space="preserve"> = 1 \* GB3 </w:instrText>
      </w:r>
      <w:r>
        <w:rPr>
          <w:rFonts w:eastAsia="仿宋_GB2312"/>
          <w:bCs/>
          <w:color w:val="auto"/>
          <w:sz w:val="28"/>
          <w:szCs w:val="28"/>
        </w:rPr>
        <w:fldChar w:fldCharType="separate"/>
      </w:r>
      <w:r>
        <w:rPr>
          <w:rFonts w:hint="eastAsia" w:eastAsia="仿宋_GB2312"/>
          <w:bCs/>
          <w:color w:val="auto"/>
          <w:sz w:val="28"/>
          <w:szCs w:val="28"/>
        </w:rPr>
        <w:t>①</w:t>
      </w:r>
      <w:r>
        <w:rPr>
          <w:rFonts w:eastAsia="仿宋_GB2312"/>
          <w:bCs/>
          <w:color w:val="auto"/>
          <w:sz w:val="28"/>
          <w:szCs w:val="28"/>
        </w:rPr>
        <w:fldChar w:fldCharType="end"/>
      </w:r>
      <w:r>
        <w:rPr>
          <w:rFonts w:eastAsia="仿宋_GB2312"/>
          <w:bCs/>
          <w:color w:val="auto"/>
          <w:sz w:val="28"/>
          <w:szCs w:val="28"/>
        </w:rPr>
        <w:t>日常生产过程中如废气收集装置密封性能下降、废气管道破损等均可造成废气泄漏外逸；</w:t>
      </w:r>
    </w:p>
    <w:p w14:paraId="0616153D">
      <w:pPr>
        <w:spacing w:line="480" w:lineRule="exact"/>
        <w:ind w:firstLine="560" w:firstLineChars="200"/>
        <w:rPr>
          <w:rFonts w:eastAsia="仿宋_GB2312"/>
          <w:bCs/>
          <w:color w:val="auto"/>
          <w:sz w:val="28"/>
          <w:szCs w:val="28"/>
        </w:rPr>
      </w:pPr>
      <w:r>
        <w:rPr>
          <w:rFonts w:eastAsia="仿宋_GB2312"/>
          <w:bCs/>
          <w:color w:val="auto"/>
          <w:sz w:val="28"/>
          <w:szCs w:val="28"/>
        </w:rPr>
        <w:fldChar w:fldCharType="begin"/>
      </w:r>
      <w:r>
        <w:rPr>
          <w:rFonts w:eastAsia="仿宋_GB2312"/>
          <w:bCs/>
          <w:color w:val="auto"/>
          <w:sz w:val="28"/>
          <w:szCs w:val="28"/>
        </w:rPr>
        <w:instrText xml:space="preserve"> = 2 \* GB3 </w:instrText>
      </w:r>
      <w:r>
        <w:rPr>
          <w:rFonts w:eastAsia="仿宋_GB2312"/>
          <w:bCs/>
          <w:color w:val="auto"/>
          <w:sz w:val="28"/>
          <w:szCs w:val="28"/>
        </w:rPr>
        <w:fldChar w:fldCharType="separate"/>
      </w:r>
      <w:r>
        <w:rPr>
          <w:rFonts w:hint="eastAsia" w:eastAsia="仿宋_GB2312"/>
          <w:bCs/>
          <w:color w:val="auto"/>
          <w:sz w:val="28"/>
          <w:szCs w:val="28"/>
        </w:rPr>
        <w:t>②</w:t>
      </w:r>
      <w:r>
        <w:rPr>
          <w:rFonts w:eastAsia="仿宋_GB2312"/>
          <w:bCs/>
          <w:color w:val="auto"/>
          <w:sz w:val="28"/>
          <w:szCs w:val="28"/>
        </w:rPr>
        <w:fldChar w:fldCharType="end"/>
      </w:r>
      <w:r>
        <w:rPr>
          <w:rFonts w:eastAsia="仿宋_GB2312"/>
          <w:bCs/>
          <w:color w:val="auto"/>
          <w:sz w:val="28"/>
          <w:szCs w:val="28"/>
        </w:rPr>
        <w:t>风机的正常运转是确保废气处理安全的关键，如风机失电或故障停止运转，废气不能被及时排出，外逸并弥漫在生产现场，易引发燃爆事故，另外，风机若不防爆也有造成废气燃爆的危险。</w:t>
      </w:r>
    </w:p>
    <w:p w14:paraId="183978F0">
      <w:pPr>
        <w:spacing w:line="480" w:lineRule="exact"/>
        <w:ind w:firstLine="560" w:firstLineChars="200"/>
        <w:rPr>
          <w:rFonts w:eastAsia="仿宋_GB2312"/>
          <w:bCs/>
          <w:color w:val="auto"/>
          <w:sz w:val="28"/>
          <w:szCs w:val="28"/>
        </w:rPr>
      </w:pPr>
      <w:r>
        <w:rPr>
          <w:rFonts w:eastAsia="仿宋_GB2312"/>
          <w:bCs/>
          <w:color w:val="auto"/>
          <w:sz w:val="28"/>
          <w:szCs w:val="28"/>
        </w:rPr>
        <w:fldChar w:fldCharType="begin"/>
      </w:r>
      <w:r>
        <w:rPr>
          <w:rFonts w:eastAsia="仿宋_GB2312"/>
          <w:bCs/>
          <w:color w:val="auto"/>
          <w:sz w:val="28"/>
          <w:szCs w:val="28"/>
        </w:rPr>
        <w:instrText xml:space="preserve"> = 3 \* GB3 </w:instrText>
      </w:r>
      <w:r>
        <w:rPr>
          <w:rFonts w:eastAsia="仿宋_GB2312"/>
          <w:bCs/>
          <w:color w:val="auto"/>
          <w:sz w:val="28"/>
          <w:szCs w:val="28"/>
        </w:rPr>
        <w:fldChar w:fldCharType="separate"/>
      </w:r>
      <w:r>
        <w:rPr>
          <w:rFonts w:hint="eastAsia" w:eastAsia="仿宋_GB2312"/>
          <w:bCs/>
          <w:color w:val="auto"/>
          <w:sz w:val="28"/>
          <w:szCs w:val="28"/>
        </w:rPr>
        <w:t>③</w:t>
      </w:r>
      <w:r>
        <w:rPr>
          <w:rFonts w:eastAsia="仿宋_GB2312"/>
          <w:bCs/>
          <w:color w:val="auto"/>
          <w:sz w:val="28"/>
          <w:szCs w:val="28"/>
        </w:rPr>
        <w:fldChar w:fldCharType="end"/>
      </w:r>
      <w:r>
        <w:rPr>
          <w:rFonts w:eastAsia="仿宋_GB2312"/>
          <w:bCs/>
          <w:color w:val="auto"/>
          <w:sz w:val="28"/>
          <w:szCs w:val="28"/>
        </w:rPr>
        <w:t>项目中涉及各种易燃可燃废气，高浓度废气管道若缺少静电跨接/接地或静电跨接/接地失效，则可能引发燃爆事故。</w:t>
      </w:r>
    </w:p>
    <w:p w14:paraId="6FE1565E">
      <w:pPr>
        <w:spacing w:line="480" w:lineRule="exact"/>
        <w:ind w:firstLine="560" w:firstLineChars="200"/>
        <w:rPr>
          <w:rFonts w:eastAsia="仿宋_GB2312"/>
          <w:bCs/>
          <w:color w:val="auto"/>
          <w:sz w:val="28"/>
          <w:szCs w:val="28"/>
        </w:rPr>
      </w:pPr>
      <w:r>
        <w:rPr>
          <w:rFonts w:eastAsia="仿宋_GB2312"/>
          <w:bCs/>
          <w:color w:val="auto"/>
          <w:sz w:val="28"/>
          <w:szCs w:val="28"/>
        </w:rPr>
        <w:t>2）尾气处理</w:t>
      </w:r>
    </w:p>
    <w:p w14:paraId="32BB436B">
      <w:pPr>
        <w:spacing w:line="480" w:lineRule="exact"/>
        <w:ind w:firstLine="560" w:firstLineChars="200"/>
        <w:rPr>
          <w:rFonts w:eastAsia="仿宋_GB2312"/>
          <w:bCs/>
          <w:color w:val="auto"/>
          <w:sz w:val="28"/>
          <w:szCs w:val="28"/>
        </w:rPr>
      </w:pPr>
      <w:r>
        <w:rPr>
          <w:rFonts w:hint="eastAsia" w:ascii="宋体" w:hAnsi="宋体" w:cs="宋体"/>
          <w:bCs/>
          <w:color w:val="auto"/>
          <w:sz w:val="28"/>
          <w:szCs w:val="28"/>
        </w:rPr>
        <w:t>①</w:t>
      </w:r>
      <w:r>
        <w:rPr>
          <w:rFonts w:eastAsia="仿宋_GB2312"/>
          <w:bCs/>
          <w:color w:val="auto"/>
          <w:sz w:val="28"/>
          <w:szCs w:val="28"/>
        </w:rPr>
        <w:t>尾气吸收系统若有堵塞或喷淋液补充不够、温度升高，则将影响吸收效果引起生产工艺波动，造成工艺的不稳定；外泄的尾气可对周边从业人员产生职业健康危害。</w:t>
      </w:r>
      <w:r>
        <w:rPr>
          <w:rFonts w:hint="eastAsia" w:ascii="宋体" w:hAnsi="宋体" w:cs="宋体"/>
          <w:bCs/>
          <w:color w:val="auto"/>
          <w:sz w:val="28"/>
          <w:szCs w:val="28"/>
        </w:rPr>
        <w:t>②</w:t>
      </w:r>
      <w:r>
        <w:rPr>
          <w:rFonts w:eastAsia="仿宋_GB2312"/>
          <w:bCs/>
          <w:color w:val="auto"/>
          <w:sz w:val="28"/>
          <w:szCs w:val="28"/>
        </w:rPr>
        <w:t>若系统压力波动、无防倒吸装置，有可能造成喷淋液倒吸入反应釜而造成事故。</w:t>
      </w:r>
      <w:r>
        <w:rPr>
          <w:rFonts w:hint="eastAsia" w:ascii="宋体" w:hAnsi="宋体" w:cs="宋体"/>
          <w:bCs/>
          <w:color w:val="auto"/>
          <w:sz w:val="28"/>
          <w:szCs w:val="28"/>
        </w:rPr>
        <w:t>③</w:t>
      </w:r>
      <w:r>
        <w:rPr>
          <w:rFonts w:eastAsia="仿宋_GB2312"/>
          <w:bCs/>
          <w:color w:val="auto"/>
          <w:sz w:val="28"/>
          <w:szCs w:val="28"/>
        </w:rPr>
        <w:t>喷淋装置循环液槽中往往含有易燃液体（随尾气带入），吸收过程因反应热升温，在吸收槽周围空气中含易燃液体蒸气（尤其是夏季高温季节），当易燃液体蒸气浓度达到爆炸极限范围，遇点火源将发生燃爆事故。</w:t>
      </w:r>
    </w:p>
    <w:p w14:paraId="55162FAB">
      <w:pPr>
        <w:spacing w:line="480" w:lineRule="exact"/>
        <w:ind w:firstLine="560" w:firstLineChars="200"/>
        <w:rPr>
          <w:rFonts w:eastAsia="仿宋_GB2312"/>
          <w:bCs/>
          <w:color w:val="auto"/>
          <w:sz w:val="28"/>
          <w:szCs w:val="28"/>
        </w:rPr>
      </w:pPr>
      <w:r>
        <w:rPr>
          <w:rFonts w:eastAsia="仿宋_GB2312"/>
          <w:bCs/>
          <w:color w:val="auto"/>
          <w:sz w:val="28"/>
          <w:szCs w:val="28"/>
        </w:rPr>
        <w:t>（2）废水处理设施</w:t>
      </w:r>
    </w:p>
    <w:p w14:paraId="4F2F9E1E">
      <w:pPr>
        <w:spacing w:line="480" w:lineRule="exact"/>
        <w:ind w:firstLine="560" w:firstLineChars="200"/>
        <w:rPr>
          <w:rFonts w:eastAsia="仿宋_GB2312"/>
          <w:bCs/>
          <w:color w:val="auto"/>
          <w:sz w:val="28"/>
          <w:szCs w:val="28"/>
        </w:rPr>
      </w:pPr>
      <w:r>
        <w:rPr>
          <w:rFonts w:eastAsia="仿宋_GB2312"/>
          <w:bCs/>
          <w:color w:val="auto"/>
          <w:sz w:val="28"/>
          <w:szCs w:val="28"/>
        </w:rPr>
        <w:t>主要考虑废水处理装置发生事故不能正常运转，产生的废水未经处理就排入常州民生环保科技有限公司，造成对常州民生环保科技有限公司处理设施的影响。</w:t>
      </w:r>
    </w:p>
    <w:p w14:paraId="70D1CD6C">
      <w:pPr>
        <w:spacing w:line="480" w:lineRule="exact"/>
        <w:ind w:firstLine="560" w:firstLineChars="200"/>
        <w:rPr>
          <w:rFonts w:eastAsia="仿宋_GB2312"/>
          <w:bCs/>
          <w:color w:val="auto"/>
          <w:sz w:val="28"/>
          <w:szCs w:val="28"/>
        </w:rPr>
      </w:pPr>
      <w:r>
        <w:rPr>
          <w:rFonts w:eastAsia="仿宋_GB2312"/>
          <w:bCs/>
          <w:color w:val="auto"/>
          <w:sz w:val="28"/>
          <w:szCs w:val="28"/>
        </w:rPr>
        <w:t>（3）固废堆场</w:t>
      </w:r>
    </w:p>
    <w:p w14:paraId="3BC290FC">
      <w:pPr>
        <w:spacing w:line="480" w:lineRule="exact"/>
        <w:ind w:firstLine="560" w:firstLineChars="200"/>
        <w:rPr>
          <w:rFonts w:eastAsia="仿宋_GB2312"/>
          <w:bCs/>
          <w:color w:val="auto"/>
          <w:sz w:val="28"/>
          <w:szCs w:val="28"/>
        </w:rPr>
      </w:pPr>
      <w:r>
        <w:rPr>
          <w:rFonts w:eastAsia="仿宋_GB2312"/>
          <w:bCs/>
          <w:color w:val="auto"/>
          <w:sz w:val="28"/>
          <w:szCs w:val="28"/>
        </w:rPr>
        <w:t>固废堆场固废流失，污染周边地下水及土壤。</w:t>
      </w:r>
    </w:p>
    <w:p w14:paraId="3240EAFD">
      <w:pPr>
        <w:pStyle w:val="7"/>
        <w:keepLines w:val="0"/>
        <w:widowControl/>
        <w:adjustRightInd w:val="0"/>
        <w:snapToGrid w:val="0"/>
        <w:spacing w:after="60" w:afterLines="25"/>
        <w:jc w:val="left"/>
        <w:rPr>
          <w:rFonts w:ascii="Times New Roman" w:hAnsi="Times New Roman"/>
          <w:b/>
          <w:color w:val="auto"/>
        </w:rPr>
      </w:pPr>
      <w:r>
        <w:rPr>
          <w:rFonts w:ascii="Times New Roman" w:hAnsi="Times New Roman"/>
          <w:b/>
          <w:color w:val="auto"/>
        </w:rPr>
        <w:t>3.8.2.7环境风险类型及危害分析</w:t>
      </w:r>
    </w:p>
    <w:p w14:paraId="7F83C4C6">
      <w:pPr>
        <w:spacing w:line="500" w:lineRule="exact"/>
        <w:ind w:firstLine="562" w:firstLineChars="200"/>
        <w:rPr>
          <w:rFonts w:eastAsia="仿宋_GB2312"/>
          <w:b/>
          <w:color w:val="auto"/>
          <w:sz w:val="28"/>
          <w:szCs w:val="28"/>
        </w:rPr>
      </w:pPr>
      <w:r>
        <w:rPr>
          <w:rFonts w:eastAsia="仿宋_GB2312"/>
          <w:b/>
          <w:color w:val="auto"/>
          <w:sz w:val="28"/>
          <w:szCs w:val="28"/>
        </w:rPr>
        <w:t>1、环境风险类型</w:t>
      </w:r>
    </w:p>
    <w:p w14:paraId="7D20CA1A">
      <w:pPr>
        <w:spacing w:line="500" w:lineRule="exact"/>
        <w:ind w:firstLine="560" w:firstLineChars="200"/>
        <w:rPr>
          <w:rFonts w:eastAsia="仿宋_GB2312"/>
          <w:color w:val="auto"/>
          <w:sz w:val="28"/>
          <w:szCs w:val="28"/>
        </w:rPr>
      </w:pPr>
      <w:r>
        <w:rPr>
          <w:rFonts w:eastAsia="仿宋_GB2312"/>
          <w:color w:val="auto"/>
          <w:sz w:val="28"/>
          <w:szCs w:val="28"/>
        </w:rPr>
        <w:t>根据危险物质及生产系统的风险识别结果，环境风险类型包括危险物质泄漏、火灾爆炸事故等引发的伴生/次生污染物排放。</w:t>
      </w:r>
    </w:p>
    <w:p w14:paraId="6DF6301E">
      <w:pPr>
        <w:spacing w:line="500" w:lineRule="exact"/>
        <w:ind w:firstLine="562" w:firstLineChars="200"/>
        <w:rPr>
          <w:rFonts w:eastAsia="仿宋_GB2312"/>
          <w:b/>
          <w:color w:val="auto"/>
          <w:sz w:val="28"/>
          <w:szCs w:val="28"/>
        </w:rPr>
      </w:pPr>
      <w:r>
        <w:rPr>
          <w:rFonts w:eastAsia="仿宋_GB2312"/>
          <w:b/>
          <w:color w:val="auto"/>
          <w:sz w:val="28"/>
          <w:szCs w:val="28"/>
        </w:rPr>
        <w:t>2、风险危害分析</w:t>
      </w:r>
    </w:p>
    <w:p w14:paraId="18A0E5AA">
      <w:pPr>
        <w:spacing w:line="500" w:lineRule="exact"/>
        <w:ind w:firstLine="560" w:firstLineChars="200"/>
        <w:rPr>
          <w:rFonts w:eastAsia="仿宋_GB2312"/>
          <w:color w:val="auto"/>
          <w:sz w:val="28"/>
          <w:szCs w:val="28"/>
        </w:rPr>
      </w:pPr>
      <w:r>
        <w:rPr>
          <w:rFonts w:eastAsia="仿宋_GB2312"/>
          <w:color w:val="auto"/>
          <w:sz w:val="28"/>
          <w:szCs w:val="28"/>
        </w:rPr>
        <w:t>（1）对大气环境的影响</w:t>
      </w:r>
    </w:p>
    <w:p w14:paraId="6F975A7C">
      <w:pPr>
        <w:spacing w:line="500" w:lineRule="exact"/>
        <w:ind w:firstLine="560" w:firstLineChars="200"/>
        <w:rPr>
          <w:rFonts w:eastAsia="仿宋_GB2312"/>
          <w:color w:val="auto"/>
          <w:sz w:val="28"/>
          <w:szCs w:val="28"/>
        </w:rPr>
      </w:pPr>
      <w:r>
        <w:rPr>
          <w:rFonts w:eastAsia="仿宋_GB2312"/>
          <w:color w:val="auto"/>
          <w:sz w:val="28"/>
          <w:szCs w:val="28"/>
        </w:rPr>
        <w:t>本项目涉及的有毒有害物质在泄漏后挥发至大气环境中，易燃可燃物质在泄漏后遇明火等发生火灾、爆炸事故次生产生的CO排放至大气环境中，对大气环境造成影响，从而造成对厂外环境敏感点和人群的影响。</w:t>
      </w:r>
    </w:p>
    <w:p w14:paraId="1C773BF0">
      <w:pPr>
        <w:adjustRightInd w:val="0"/>
        <w:snapToGrid w:val="0"/>
        <w:spacing w:line="500" w:lineRule="exact"/>
        <w:ind w:firstLine="560" w:firstLineChars="200"/>
        <w:rPr>
          <w:rFonts w:eastAsia="仿宋_GB2312"/>
          <w:color w:val="auto"/>
          <w:sz w:val="28"/>
          <w:szCs w:val="28"/>
        </w:rPr>
      </w:pPr>
      <w:r>
        <w:rPr>
          <w:rFonts w:eastAsia="仿宋_GB2312"/>
          <w:color w:val="auto"/>
          <w:sz w:val="28"/>
          <w:szCs w:val="28"/>
        </w:rPr>
        <w:t>（2）对地表水环境的影响</w:t>
      </w:r>
    </w:p>
    <w:p w14:paraId="25432774">
      <w:pPr>
        <w:adjustRightInd w:val="0"/>
        <w:snapToGrid w:val="0"/>
        <w:spacing w:line="500" w:lineRule="exact"/>
        <w:ind w:firstLine="560" w:firstLineChars="200"/>
        <w:rPr>
          <w:rFonts w:eastAsia="仿宋_GB2312"/>
          <w:color w:val="auto"/>
          <w:sz w:val="28"/>
          <w:szCs w:val="28"/>
        </w:rPr>
      </w:pPr>
      <w:r>
        <w:rPr>
          <w:rFonts w:eastAsia="仿宋_GB2312"/>
          <w:color w:val="auto"/>
          <w:sz w:val="28"/>
          <w:szCs w:val="28"/>
        </w:rPr>
        <w:t>火灾、爆炸事故发生时产生的消防废水处理不当而排入附近地表水体时，将对周边地表水环境产生影响。</w:t>
      </w:r>
    </w:p>
    <w:p w14:paraId="1C4D48A3">
      <w:pPr>
        <w:adjustRightInd w:val="0"/>
        <w:snapToGrid w:val="0"/>
        <w:spacing w:line="500" w:lineRule="exact"/>
        <w:ind w:firstLine="560" w:firstLineChars="200"/>
        <w:rPr>
          <w:rFonts w:eastAsia="仿宋_GB2312"/>
          <w:color w:val="auto"/>
          <w:sz w:val="28"/>
          <w:szCs w:val="28"/>
        </w:rPr>
      </w:pPr>
      <w:r>
        <w:rPr>
          <w:rFonts w:eastAsia="仿宋_GB2312"/>
          <w:color w:val="auto"/>
          <w:sz w:val="28"/>
          <w:szCs w:val="28"/>
        </w:rPr>
        <w:t>（3）对地下水环境的影响</w:t>
      </w:r>
    </w:p>
    <w:p w14:paraId="5BE8513B">
      <w:pPr>
        <w:adjustRightInd w:val="0"/>
        <w:snapToGrid w:val="0"/>
        <w:spacing w:line="500" w:lineRule="exact"/>
        <w:ind w:firstLine="560" w:firstLineChars="200"/>
        <w:rPr>
          <w:rFonts w:eastAsia="仿宋_GB2312"/>
          <w:color w:val="auto"/>
          <w:sz w:val="28"/>
          <w:szCs w:val="28"/>
        </w:rPr>
      </w:pPr>
      <w:r>
        <w:rPr>
          <w:rFonts w:eastAsia="仿宋_GB2312"/>
          <w:color w:val="auto"/>
          <w:sz w:val="28"/>
          <w:szCs w:val="28"/>
        </w:rPr>
        <w:t>有毒有害物质在储存或厂内转移过程中由于操作不当、防渗材料破裂等原因而下渗，将对地下水环境产生影响。</w:t>
      </w:r>
    </w:p>
    <w:p w14:paraId="494A7462">
      <w:pPr>
        <w:pStyle w:val="7"/>
        <w:keepLines w:val="0"/>
        <w:widowControl/>
        <w:adjustRightInd w:val="0"/>
        <w:snapToGrid w:val="0"/>
        <w:spacing w:after="60" w:afterLines="25"/>
        <w:jc w:val="left"/>
        <w:rPr>
          <w:rFonts w:ascii="Times New Roman" w:hAnsi="Times New Roman"/>
          <w:b/>
          <w:color w:val="auto"/>
        </w:rPr>
      </w:pPr>
      <w:r>
        <w:rPr>
          <w:rFonts w:ascii="Times New Roman" w:hAnsi="Times New Roman"/>
          <w:b/>
          <w:color w:val="auto"/>
        </w:rPr>
        <w:t>3.8.2.8环境风险识别结果</w:t>
      </w:r>
    </w:p>
    <w:p w14:paraId="485FA63F">
      <w:pPr>
        <w:adjustRightInd w:val="0"/>
        <w:snapToGrid w:val="0"/>
        <w:spacing w:line="490" w:lineRule="exact"/>
        <w:ind w:firstLine="560" w:firstLineChars="200"/>
        <w:rPr>
          <w:rFonts w:eastAsia="仿宋_GB2312"/>
          <w:color w:val="auto"/>
          <w:sz w:val="28"/>
          <w:szCs w:val="28"/>
        </w:rPr>
      </w:pPr>
      <w:r>
        <w:rPr>
          <w:rFonts w:eastAsia="仿宋_GB2312"/>
          <w:color w:val="auto"/>
          <w:sz w:val="28"/>
          <w:szCs w:val="28"/>
        </w:rPr>
        <w:t>综上，本项目环境风险识别结果汇总情况见表3.8-8。</w:t>
      </w:r>
    </w:p>
    <w:p w14:paraId="1879A624">
      <w:pPr>
        <w:spacing w:line="500" w:lineRule="exact"/>
        <w:jc w:val="center"/>
        <w:rPr>
          <w:rFonts w:eastAsia="仿宋_GB2312"/>
          <w:b/>
          <w:color w:val="auto"/>
          <w:sz w:val="24"/>
        </w:rPr>
      </w:pPr>
      <w:r>
        <w:rPr>
          <w:rFonts w:eastAsia="仿宋_GB2312"/>
          <w:b/>
          <w:color w:val="auto"/>
          <w:sz w:val="24"/>
        </w:rPr>
        <w:t>表3.8-8  环境风险识别结果汇总表</w:t>
      </w:r>
    </w:p>
    <w:tbl>
      <w:tblPr>
        <w:tblStyle w:val="882"/>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403"/>
        <w:gridCol w:w="1294"/>
        <w:gridCol w:w="1294"/>
        <w:gridCol w:w="1647"/>
        <w:gridCol w:w="1238"/>
        <w:gridCol w:w="1647"/>
      </w:tblGrid>
      <w:tr w14:paraId="0445F0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23" w:type="pct"/>
            <w:vAlign w:val="center"/>
          </w:tcPr>
          <w:p w14:paraId="38E33099">
            <w:pPr>
              <w:pStyle w:val="163"/>
              <w:keepNext w:val="0"/>
              <w:keepLines w:val="0"/>
              <w:suppressLineNumbers w:val="0"/>
              <w:spacing w:before="0" w:beforeAutospacing="0" w:after="0" w:afterAutospacing="0" w:line="320" w:lineRule="exact"/>
              <w:ind w:left="0" w:right="0"/>
              <w:rPr>
                <w:rFonts w:hint="default" w:ascii="Times New Roman"/>
                <w:b/>
                <w:color w:val="auto"/>
                <w:szCs w:val="21"/>
              </w:rPr>
            </w:pPr>
            <w:r>
              <w:rPr>
                <w:rFonts w:hint="default" w:ascii="Times New Roman"/>
                <w:b/>
                <w:color w:val="auto"/>
                <w:szCs w:val="21"/>
              </w:rPr>
              <w:t>危险单元</w:t>
            </w:r>
          </w:p>
        </w:tc>
        <w:tc>
          <w:tcPr>
            <w:tcW w:w="759" w:type="pct"/>
            <w:vAlign w:val="center"/>
          </w:tcPr>
          <w:p w14:paraId="7ECC3CF6">
            <w:pPr>
              <w:pStyle w:val="163"/>
              <w:keepNext w:val="0"/>
              <w:keepLines w:val="0"/>
              <w:suppressLineNumbers w:val="0"/>
              <w:spacing w:before="0" w:beforeAutospacing="0" w:after="0" w:afterAutospacing="0" w:line="320" w:lineRule="exact"/>
              <w:ind w:left="0" w:right="0"/>
              <w:rPr>
                <w:rFonts w:hint="default" w:ascii="Times New Roman"/>
                <w:b/>
                <w:color w:val="auto"/>
                <w:szCs w:val="21"/>
              </w:rPr>
            </w:pPr>
            <w:r>
              <w:rPr>
                <w:rFonts w:hint="default" w:ascii="Times New Roman"/>
                <w:b/>
                <w:color w:val="auto"/>
                <w:szCs w:val="21"/>
              </w:rPr>
              <w:t>风险源</w:t>
            </w:r>
          </w:p>
        </w:tc>
        <w:tc>
          <w:tcPr>
            <w:tcW w:w="759" w:type="pct"/>
            <w:vAlign w:val="center"/>
          </w:tcPr>
          <w:p w14:paraId="7C4BB255">
            <w:pPr>
              <w:pStyle w:val="163"/>
              <w:keepNext w:val="0"/>
              <w:keepLines w:val="0"/>
              <w:suppressLineNumbers w:val="0"/>
              <w:spacing w:before="0" w:beforeAutospacing="0" w:after="0" w:afterAutospacing="0" w:line="320" w:lineRule="exact"/>
              <w:ind w:left="0" w:right="0"/>
              <w:rPr>
                <w:rFonts w:hint="default" w:ascii="Times New Roman"/>
                <w:b/>
                <w:color w:val="auto"/>
                <w:szCs w:val="21"/>
              </w:rPr>
            </w:pPr>
            <w:r>
              <w:rPr>
                <w:rFonts w:hint="default" w:ascii="Times New Roman"/>
                <w:b/>
                <w:color w:val="auto"/>
                <w:szCs w:val="21"/>
              </w:rPr>
              <w:t>主要危险物质</w:t>
            </w:r>
          </w:p>
        </w:tc>
        <w:tc>
          <w:tcPr>
            <w:tcW w:w="966" w:type="pct"/>
            <w:vAlign w:val="center"/>
          </w:tcPr>
          <w:p w14:paraId="7F056894">
            <w:pPr>
              <w:pStyle w:val="163"/>
              <w:keepNext w:val="0"/>
              <w:keepLines w:val="0"/>
              <w:suppressLineNumbers w:val="0"/>
              <w:spacing w:before="0" w:beforeAutospacing="0" w:after="0" w:afterAutospacing="0" w:line="320" w:lineRule="exact"/>
              <w:ind w:left="0" w:right="0"/>
              <w:rPr>
                <w:rFonts w:hint="default" w:ascii="Times New Roman"/>
                <w:b/>
                <w:color w:val="auto"/>
                <w:szCs w:val="21"/>
              </w:rPr>
            </w:pPr>
            <w:r>
              <w:rPr>
                <w:rFonts w:hint="default" w:ascii="Times New Roman"/>
                <w:b/>
                <w:color w:val="auto"/>
                <w:szCs w:val="21"/>
              </w:rPr>
              <w:t>环境风险</w:t>
            </w:r>
          </w:p>
          <w:p w14:paraId="0D89DFCB">
            <w:pPr>
              <w:pStyle w:val="163"/>
              <w:keepNext w:val="0"/>
              <w:keepLines w:val="0"/>
              <w:suppressLineNumbers w:val="0"/>
              <w:spacing w:before="0" w:beforeAutospacing="0" w:after="0" w:afterAutospacing="0" w:line="320" w:lineRule="exact"/>
              <w:ind w:left="0" w:right="0"/>
              <w:rPr>
                <w:rFonts w:hint="default" w:ascii="Times New Roman"/>
                <w:b/>
                <w:color w:val="auto"/>
                <w:szCs w:val="21"/>
              </w:rPr>
            </w:pPr>
            <w:r>
              <w:rPr>
                <w:rFonts w:hint="default" w:ascii="Times New Roman"/>
                <w:b/>
                <w:color w:val="auto"/>
                <w:szCs w:val="21"/>
              </w:rPr>
              <w:t>类型</w:t>
            </w:r>
          </w:p>
        </w:tc>
        <w:tc>
          <w:tcPr>
            <w:tcW w:w="726" w:type="pct"/>
            <w:vAlign w:val="center"/>
          </w:tcPr>
          <w:p w14:paraId="7D5B231E">
            <w:pPr>
              <w:pStyle w:val="163"/>
              <w:keepNext w:val="0"/>
              <w:keepLines w:val="0"/>
              <w:suppressLineNumbers w:val="0"/>
              <w:spacing w:before="0" w:beforeAutospacing="0" w:after="0" w:afterAutospacing="0" w:line="320" w:lineRule="exact"/>
              <w:ind w:left="0" w:right="0"/>
              <w:rPr>
                <w:rFonts w:hint="default" w:ascii="Times New Roman"/>
                <w:b/>
                <w:color w:val="auto"/>
                <w:szCs w:val="21"/>
              </w:rPr>
            </w:pPr>
            <w:r>
              <w:rPr>
                <w:rFonts w:hint="default" w:ascii="Times New Roman"/>
                <w:b/>
                <w:color w:val="auto"/>
                <w:szCs w:val="21"/>
              </w:rPr>
              <w:t>环境影响</w:t>
            </w:r>
          </w:p>
          <w:p w14:paraId="2C5F34D4">
            <w:pPr>
              <w:pStyle w:val="163"/>
              <w:keepNext w:val="0"/>
              <w:keepLines w:val="0"/>
              <w:suppressLineNumbers w:val="0"/>
              <w:spacing w:before="0" w:beforeAutospacing="0" w:after="0" w:afterAutospacing="0" w:line="320" w:lineRule="exact"/>
              <w:ind w:left="0" w:right="0"/>
              <w:rPr>
                <w:rFonts w:hint="default" w:ascii="Times New Roman"/>
                <w:b/>
                <w:color w:val="auto"/>
                <w:szCs w:val="21"/>
              </w:rPr>
            </w:pPr>
            <w:r>
              <w:rPr>
                <w:rFonts w:hint="default" w:ascii="Times New Roman"/>
                <w:b/>
                <w:color w:val="auto"/>
                <w:szCs w:val="21"/>
              </w:rPr>
              <w:t>途径</w:t>
            </w:r>
          </w:p>
        </w:tc>
        <w:tc>
          <w:tcPr>
            <w:tcW w:w="965" w:type="pct"/>
            <w:vAlign w:val="center"/>
          </w:tcPr>
          <w:p w14:paraId="5B7A7777">
            <w:pPr>
              <w:pStyle w:val="163"/>
              <w:keepNext w:val="0"/>
              <w:keepLines w:val="0"/>
              <w:suppressLineNumbers w:val="0"/>
              <w:spacing w:before="0" w:beforeAutospacing="0" w:after="0" w:afterAutospacing="0" w:line="320" w:lineRule="exact"/>
              <w:ind w:left="0" w:right="0"/>
              <w:rPr>
                <w:rFonts w:hint="default" w:ascii="Times New Roman"/>
                <w:b/>
                <w:color w:val="auto"/>
                <w:szCs w:val="21"/>
              </w:rPr>
            </w:pPr>
            <w:r>
              <w:rPr>
                <w:rFonts w:hint="default" w:ascii="Times New Roman"/>
                <w:b/>
                <w:color w:val="auto"/>
                <w:szCs w:val="21"/>
              </w:rPr>
              <w:t>可能受影响的环境敏感目标</w:t>
            </w:r>
          </w:p>
        </w:tc>
      </w:tr>
      <w:tr w14:paraId="520D20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3" w:hRule="atLeast"/>
          <w:jc w:val="center"/>
        </w:trPr>
        <w:tc>
          <w:tcPr>
            <w:tcW w:w="823" w:type="pct"/>
            <w:vAlign w:val="center"/>
          </w:tcPr>
          <w:p w14:paraId="0A371A72">
            <w:pPr>
              <w:pStyle w:val="163"/>
              <w:keepNext w:val="0"/>
              <w:keepLines w:val="0"/>
              <w:suppressLineNumbers w:val="0"/>
              <w:spacing w:before="0" w:beforeAutospacing="0" w:after="0" w:afterAutospacing="0" w:line="320" w:lineRule="exact"/>
              <w:ind w:left="0" w:right="0"/>
              <w:rPr>
                <w:rFonts w:hint="default" w:ascii="Times New Roman"/>
                <w:color w:val="auto"/>
                <w:szCs w:val="21"/>
              </w:rPr>
            </w:pPr>
            <w:r>
              <w:rPr>
                <w:rFonts w:hint="eastAsia" w:ascii="Times New Roman"/>
                <w:color w:val="auto"/>
                <w:szCs w:val="21"/>
              </w:rPr>
              <w:t>仓库</w:t>
            </w:r>
            <w:r>
              <w:rPr>
                <w:rFonts w:hint="default" w:ascii="Times New Roman"/>
                <w:color w:val="auto"/>
                <w:szCs w:val="21"/>
              </w:rPr>
              <w:t>/车间</w:t>
            </w:r>
          </w:p>
        </w:tc>
        <w:tc>
          <w:tcPr>
            <w:tcW w:w="759" w:type="pct"/>
            <w:vAlign w:val="center"/>
          </w:tcPr>
          <w:p w14:paraId="7EFE430E">
            <w:pPr>
              <w:pStyle w:val="163"/>
              <w:keepNext w:val="0"/>
              <w:keepLines w:val="0"/>
              <w:suppressLineNumbers w:val="0"/>
              <w:spacing w:before="0" w:beforeAutospacing="0" w:after="0" w:afterAutospacing="0" w:line="320" w:lineRule="exact"/>
              <w:ind w:left="0" w:right="0"/>
              <w:rPr>
                <w:rFonts w:hint="default" w:ascii="Times New Roman"/>
                <w:color w:val="auto"/>
                <w:szCs w:val="21"/>
              </w:rPr>
            </w:pPr>
            <w:r>
              <w:rPr>
                <w:rFonts w:hint="default" w:ascii="Times New Roman"/>
                <w:color w:val="auto"/>
                <w:szCs w:val="21"/>
              </w:rPr>
              <w:t>存储/生产</w:t>
            </w:r>
          </w:p>
        </w:tc>
        <w:tc>
          <w:tcPr>
            <w:tcW w:w="759" w:type="pct"/>
            <w:vAlign w:val="center"/>
          </w:tcPr>
          <w:p w14:paraId="7B5F6066">
            <w:pPr>
              <w:pStyle w:val="163"/>
              <w:keepNext w:val="0"/>
              <w:keepLines w:val="0"/>
              <w:suppressLineNumbers w:val="0"/>
              <w:spacing w:before="0" w:beforeAutospacing="0" w:after="0" w:afterAutospacing="0" w:line="320" w:lineRule="exact"/>
              <w:ind w:left="0" w:right="0"/>
              <w:rPr>
                <w:rFonts w:hint="default" w:ascii="Times" w:hAnsi="Times"/>
                <w:color w:val="auto"/>
                <w:kern w:val="0"/>
                <w:szCs w:val="21"/>
              </w:rPr>
            </w:pPr>
            <w:r>
              <w:rPr>
                <w:rFonts w:hint="eastAsia" w:ascii="Times" w:hAnsi="Times"/>
                <w:color w:val="auto"/>
                <w:kern w:val="0"/>
                <w:szCs w:val="21"/>
              </w:rPr>
              <w:t>甲醇</w:t>
            </w:r>
          </w:p>
        </w:tc>
        <w:tc>
          <w:tcPr>
            <w:tcW w:w="966" w:type="pct"/>
            <w:vAlign w:val="center"/>
          </w:tcPr>
          <w:p w14:paraId="1502340D">
            <w:pPr>
              <w:pStyle w:val="163"/>
              <w:keepNext w:val="0"/>
              <w:keepLines w:val="0"/>
              <w:suppressLineNumbers w:val="0"/>
              <w:spacing w:before="0" w:beforeAutospacing="0" w:after="0" w:afterAutospacing="0" w:line="320" w:lineRule="exact"/>
              <w:ind w:left="0" w:right="0"/>
              <w:rPr>
                <w:rFonts w:hint="default" w:ascii="Times New Roman"/>
                <w:color w:val="auto"/>
                <w:szCs w:val="21"/>
              </w:rPr>
            </w:pPr>
            <w:r>
              <w:rPr>
                <w:rFonts w:hint="default" w:ascii="Times New Roman"/>
                <w:color w:val="auto"/>
                <w:szCs w:val="21"/>
              </w:rPr>
              <w:t>物料泄漏</w:t>
            </w:r>
          </w:p>
        </w:tc>
        <w:tc>
          <w:tcPr>
            <w:tcW w:w="726" w:type="pct"/>
            <w:vMerge w:val="restart"/>
            <w:vAlign w:val="center"/>
          </w:tcPr>
          <w:p w14:paraId="1093881B">
            <w:pPr>
              <w:pStyle w:val="163"/>
              <w:keepNext w:val="0"/>
              <w:keepLines w:val="0"/>
              <w:suppressLineNumbers w:val="0"/>
              <w:spacing w:before="0" w:beforeAutospacing="0" w:after="0" w:afterAutospacing="0" w:line="320" w:lineRule="exact"/>
              <w:ind w:left="0" w:right="0"/>
              <w:rPr>
                <w:rFonts w:hint="default" w:ascii="Times New Roman"/>
                <w:color w:val="auto"/>
                <w:szCs w:val="21"/>
              </w:rPr>
            </w:pPr>
            <w:r>
              <w:rPr>
                <w:rFonts w:hint="default" w:ascii="Times New Roman"/>
                <w:color w:val="auto"/>
              </w:rPr>
              <w:t>大气、地下水、土壤</w:t>
            </w:r>
          </w:p>
        </w:tc>
        <w:tc>
          <w:tcPr>
            <w:tcW w:w="965" w:type="pct"/>
            <w:vMerge w:val="restart"/>
            <w:vAlign w:val="center"/>
          </w:tcPr>
          <w:p w14:paraId="06D91BD3">
            <w:pPr>
              <w:pStyle w:val="163"/>
              <w:keepNext w:val="0"/>
              <w:keepLines w:val="0"/>
              <w:suppressLineNumbers w:val="0"/>
              <w:spacing w:before="0" w:beforeAutospacing="0" w:after="0" w:afterAutospacing="0" w:line="320" w:lineRule="exact"/>
              <w:ind w:left="0" w:right="0"/>
              <w:rPr>
                <w:rFonts w:hint="default" w:ascii="Times New Roman"/>
                <w:color w:val="auto"/>
                <w:szCs w:val="21"/>
                <w:highlight w:val="yellow"/>
              </w:rPr>
            </w:pPr>
            <w:r>
              <w:rPr>
                <w:rFonts w:hint="default"/>
                <w:color w:val="auto"/>
                <w:szCs w:val="21"/>
              </w:rPr>
              <w:t>同新圩、蛇埭圩、新华村、临江花苑、魏村中学、魏村花苑等</w:t>
            </w:r>
          </w:p>
        </w:tc>
      </w:tr>
      <w:tr w14:paraId="6C365A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23" w:type="pct"/>
            <w:vAlign w:val="center"/>
          </w:tcPr>
          <w:p w14:paraId="5CB700EB">
            <w:pPr>
              <w:pStyle w:val="163"/>
              <w:keepNext w:val="0"/>
              <w:keepLines w:val="0"/>
              <w:suppressLineNumbers w:val="0"/>
              <w:spacing w:before="0" w:beforeAutospacing="0" w:after="0" w:afterAutospacing="0" w:line="320" w:lineRule="exact"/>
              <w:ind w:left="0" w:right="0"/>
              <w:rPr>
                <w:rFonts w:hint="default" w:ascii="Times New Roman"/>
                <w:color w:val="auto"/>
                <w:szCs w:val="21"/>
              </w:rPr>
            </w:pPr>
            <w:r>
              <w:rPr>
                <w:rFonts w:hint="eastAsia" w:ascii="Times New Roman"/>
                <w:color w:val="auto"/>
                <w:szCs w:val="21"/>
              </w:rPr>
              <w:t>仓库</w:t>
            </w:r>
            <w:r>
              <w:rPr>
                <w:rFonts w:hint="default" w:ascii="Times New Roman"/>
                <w:color w:val="auto"/>
                <w:szCs w:val="21"/>
              </w:rPr>
              <w:t>/车间</w:t>
            </w:r>
          </w:p>
        </w:tc>
        <w:tc>
          <w:tcPr>
            <w:tcW w:w="759" w:type="pct"/>
            <w:vAlign w:val="center"/>
          </w:tcPr>
          <w:p w14:paraId="73AB1900">
            <w:pPr>
              <w:pStyle w:val="163"/>
              <w:keepNext w:val="0"/>
              <w:keepLines w:val="0"/>
              <w:suppressLineNumbers w:val="0"/>
              <w:spacing w:before="0" w:beforeAutospacing="0" w:after="0" w:afterAutospacing="0" w:line="320" w:lineRule="exact"/>
              <w:ind w:left="0" w:right="0"/>
              <w:rPr>
                <w:rFonts w:hint="default" w:ascii="Times New Roman"/>
                <w:color w:val="auto"/>
                <w:szCs w:val="21"/>
              </w:rPr>
            </w:pPr>
            <w:r>
              <w:rPr>
                <w:rFonts w:hint="default" w:ascii="Times New Roman"/>
                <w:color w:val="auto"/>
                <w:szCs w:val="21"/>
              </w:rPr>
              <w:t>存储/生产</w:t>
            </w:r>
          </w:p>
        </w:tc>
        <w:tc>
          <w:tcPr>
            <w:tcW w:w="759" w:type="pct"/>
            <w:vAlign w:val="center"/>
          </w:tcPr>
          <w:p w14:paraId="05EB08D8">
            <w:pPr>
              <w:pStyle w:val="163"/>
              <w:keepNext w:val="0"/>
              <w:keepLines w:val="0"/>
              <w:suppressLineNumbers w:val="0"/>
              <w:spacing w:before="0" w:beforeAutospacing="0" w:after="0" w:afterAutospacing="0" w:line="320" w:lineRule="exact"/>
              <w:ind w:left="0" w:right="0"/>
              <w:rPr>
                <w:rFonts w:hint="default" w:ascii="Times" w:hAnsi="Times"/>
                <w:color w:val="auto"/>
                <w:kern w:val="0"/>
                <w:szCs w:val="21"/>
              </w:rPr>
            </w:pPr>
            <w:r>
              <w:rPr>
                <w:rFonts w:hint="eastAsia" w:ascii="Times New Roman"/>
                <w:color w:val="auto"/>
                <w:szCs w:val="21"/>
              </w:rPr>
              <w:t>二氯甲烷</w:t>
            </w:r>
          </w:p>
        </w:tc>
        <w:tc>
          <w:tcPr>
            <w:tcW w:w="966" w:type="pct"/>
            <w:vAlign w:val="center"/>
          </w:tcPr>
          <w:p w14:paraId="24BEF30E">
            <w:pPr>
              <w:pStyle w:val="163"/>
              <w:keepNext w:val="0"/>
              <w:keepLines w:val="0"/>
              <w:suppressLineNumbers w:val="0"/>
              <w:spacing w:before="0" w:beforeAutospacing="0" w:after="0" w:afterAutospacing="0" w:line="320" w:lineRule="exact"/>
              <w:ind w:left="0" w:right="0"/>
              <w:rPr>
                <w:rFonts w:hint="default" w:ascii="Times New Roman"/>
                <w:color w:val="auto"/>
                <w:szCs w:val="21"/>
              </w:rPr>
            </w:pPr>
            <w:r>
              <w:rPr>
                <w:rFonts w:hint="default" w:ascii="Times New Roman"/>
                <w:color w:val="auto"/>
                <w:szCs w:val="21"/>
              </w:rPr>
              <w:t>物料泄漏</w:t>
            </w:r>
          </w:p>
        </w:tc>
        <w:tc>
          <w:tcPr>
            <w:tcW w:w="726" w:type="pct"/>
            <w:vMerge w:val="continue"/>
            <w:vAlign w:val="center"/>
          </w:tcPr>
          <w:p w14:paraId="4C7F167C">
            <w:pPr>
              <w:pStyle w:val="163"/>
              <w:keepNext w:val="0"/>
              <w:keepLines w:val="0"/>
              <w:suppressLineNumbers w:val="0"/>
              <w:spacing w:before="0" w:beforeAutospacing="0" w:after="0" w:afterAutospacing="0" w:line="320" w:lineRule="exact"/>
              <w:ind w:left="0" w:right="0"/>
              <w:rPr>
                <w:rFonts w:hint="default" w:ascii="Times New Roman"/>
                <w:color w:val="auto"/>
              </w:rPr>
            </w:pPr>
          </w:p>
        </w:tc>
        <w:tc>
          <w:tcPr>
            <w:tcW w:w="965" w:type="pct"/>
            <w:vMerge w:val="continue"/>
            <w:vAlign w:val="center"/>
          </w:tcPr>
          <w:p w14:paraId="428E67F1">
            <w:pPr>
              <w:pStyle w:val="163"/>
              <w:keepNext w:val="0"/>
              <w:keepLines w:val="0"/>
              <w:suppressLineNumbers w:val="0"/>
              <w:spacing w:before="0" w:beforeAutospacing="0" w:after="0" w:afterAutospacing="0" w:line="320" w:lineRule="exact"/>
              <w:ind w:left="0" w:right="0"/>
              <w:rPr>
                <w:rFonts w:hint="default" w:ascii="Times" w:hAnsi="Times" w:cs="宋体"/>
                <w:color w:val="auto"/>
                <w:kern w:val="0"/>
                <w:szCs w:val="21"/>
              </w:rPr>
            </w:pPr>
          </w:p>
        </w:tc>
      </w:tr>
      <w:tr w14:paraId="57CDB2B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23" w:type="pct"/>
            <w:vAlign w:val="center"/>
          </w:tcPr>
          <w:p w14:paraId="7C415551">
            <w:pPr>
              <w:pStyle w:val="163"/>
              <w:keepNext w:val="0"/>
              <w:keepLines w:val="0"/>
              <w:suppressLineNumbers w:val="0"/>
              <w:spacing w:before="0" w:beforeAutospacing="0" w:after="0" w:afterAutospacing="0" w:line="320" w:lineRule="exact"/>
              <w:ind w:left="0" w:right="0"/>
              <w:rPr>
                <w:rFonts w:hint="default" w:ascii="Times New Roman"/>
                <w:color w:val="auto"/>
                <w:szCs w:val="21"/>
              </w:rPr>
            </w:pPr>
            <w:r>
              <w:rPr>
                <w:rFonts w:hint="eastAsia" w:ascii="Times New Roman"/>
                <w:color w:val="auto"/>
                <w:szCs w:val="21"/>
              </w:rPr>
              <w:t>仓库</w:t>
            </w:r>
            <w:r>
              <w:rPr>
                <w:rFonts w:hint="default" w:ascii="Times New Roman"/>
                <w:color w:val="auto"/>
                <w:szCs w:val="21"/>
              </w:rPr>
              <w:t>/车间</w:t>
            </w:r>
          </w:p>
        </w:tc>
        <w:tc>
          <w:tcPr>
            <w:tcW w:w="759" w:type="pct"/>
            <w:vAlign w:val="center"/>
          </w:tcPr>
          <w:p w14:paraId="717306B9">
            <w:pPr>
              <w:pStyle w:val="163"/>
              <w:keepNext w:val="0"/>
              <w:keepLines w:val="0"/>
              <w:suppressLineNumbers w:val="0"/>
              <w:spacing w:before="0" w:beforeAutospacing="0" w:after="0" w:afterAutospacing="0" w:line="320" w:lineRule="exact"/>
              <w:ind w:left="0" w:right="0"/>
              <w:rPr>
                <w:rFonts w:hint="default" w:ascii="Times New Roman"/>
                <w:color w:val="auto"/>
                <w:szCs w:val="21"/>
              </w:rPr>
            </w:pPr>
            <w:r>
              <w:rPr>
                <w:rFonts w:hint="default" w:ascii="Times New Roman"/>
                <w:color w:val="auto"/>
                <w:szCs w:val="21"/>
              </w:rPr>
              <w:t>存储/生产</w:t>
            </w:r>
          </w:p>
        </w:tc>
        <w:tc>
          <w:tcPr>
            <w:tcW w:w="759" w:type="pct"/>
            <w:vAlign w:val="center"/>
          </w:tcPr>
          <w:p w14:paraId="64D5E29D">
            <w:pPr>
              <w:pStyle w:val="163"/>
              <w:keepNext w:val="0"/>
              <w:keepLines w:val="0"/>
              <w:suppressLineNumbers w:val="0"/>
              <w:spacing w:before="0" w:beforeAutospacing="0" w:after="0" w:afterAutospacing="0" w:line="320" w:lineRule="exact"/>
              <w:ind w:left="0" w:right="0"/>
              <w:rPr>
                <w:rFonts w:hint="default" w:ascii="Times New Roman"/>
                <w:color w:val="auto"/>
                <w:szCs w:val="21"/>
              </w:rPr>
            </w:pPr>
            <w:r>
              <w:rPr>
                <w:rFonts w:hint="eastAsia" w:ascii="Times New Roman"/>
                <w:color w:val="auto"/>
                <w:szCs w:val="21"/>
              </w:rPr>
              <w:t>异丙醇</w:t>
            </w:r>
          </w:p>
        </w:tc>
        <w:tc>
          <w:tcPr>
            <w:tcW w:w="966" w:type="pct"/>
            <w:vAlign w:val="center"/>
          </w:tcPr>
          <w:p w14:paraId="7C63812A">
            <w:pPr>
              <w:pStyle w:val="163"/>
              <w:keepNext w:val="0"/>
              <w:keepLines w:val="0"/>
              <w:suppressLineNumbers w:val="0"/>
              <w:spacing w:before="0" w:beforeAutospacing="0" w:after="0" w:afterAutospacing="0" w:line="320" w:lineRule="exact"/>
              <w:ind w:left="0" w:right="0"/>
              <w:rPr>
                <w:rFonts w:hint="default" w:ascii="Times New Roman"/>
                <w:color w:val="auto"/>
                <w:szCs w:val="21"/>
              </w:rPr>
            </w:pPr>
            <w:r>
              <w:rPr>
                <w:rFonts w:hint="default" w:ascii="Times New Roman"/>
                <w:color w:val="auto"/>
                <w:szCs w:val="21"/>
              </w:rPr>
              <w:t>物料泄漏</w:t>
            </w:r>
          </w:p>
        </w:tc>
        <w:tc>
          <w:tcPr>
            <w:tcW w:w="726" w:type="pct"/>
            <w:vMerge w:val="continue"/>
            <w:vAlign w:val="center"/>
          </w:tcPr>
          <w:p w14:paraId="105F2A30">
            <w:pPr>
              <w:pStyle w:val="163"/>
              <w:keepNext w:val="0"/>
              <w:keepLines w:val="0"/>
              <w:suppressLineNumbers w:val="0"/>
              <w:spacing w:before="0" w:beforeAutospacing="0" w:after="0" w:afterAutospacing="0" w:line="320" w:lineRule="exact"/>
              <w:ind w:left="0" w:right="0"/>
              <w:rPr>
                <w:rFonts w:hint="default" w:ascii="Times New Roman"/>
                <w:color w:val="auto"/>
              </w:rPr>
            </w:pPr>
          </w:p>
        </w:tc>
        <w:tc>
          <w:tcPr>
            <w:tcW w:w="965" w:type="pct"/>
            <w:vMerge w:val="continue"/>
            <w:vAlign w:val="center"/>
          </w:tcPr>
          <w:p w14:paraId="2DE225B7">
            <w:pPr>
              <w:pStyle w:val="163"/>
              <w:keepNext w:val="0"/>
              <w:keepLines w:val="0"/>
              <w:suppressLineNumbers w:val="0"/>
              <w:spacing w:before="0" w:beforeAutospacing="0" w:after="0" w:afterAutospacing="0" w:line="320" w:lineRule="exact"/>
              <w:ind w:left="0" w:right="0"/>
              <w:rPr>
                <w:rFonts w:hint="default" w:ascii="Times" w:hAnsi="Times" w:cs="宋体"/>
                <w:color w:val="auto"/>
                <w:kern w:val="0"/>
                <w:szCs w:val="21"/>
              </w:rPr>
            </w:pPr>
          </w:p>
        </w:tc>
      </w:tr>
      <w:tr w14:paraId="4E3324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23" w:type="pct"/>
            <w:vAlign w:val="center"/>
          </w:tcPr>
          <w:p w14:paraId="094F3E5A">
            <w:pPr>
              <w:pStyle w:val="163"/>
              <w:keepNext w:val="0"/>
              <w:keepLines w:val="0"/>
              <w:suppressLineNumbers w:val="0"/>
              <w:spacing w:before="0" w:beforeAutospacing="0" w:after="0" w:afterAutospacing="0" w:line="320" w:lineRule="exact"/>
              <w:ind w:left="0" w:right="0"/>
              <w:rPr>
                <w:rFonts w:hint="default" w:ascii="Times New Roman"/>
                <w:color w:val="auto"/>
                <w:szCs w:val="21"/>
              </w:rPr>
            </w:pPr>
            <w:r>
              <w:rPr>
                <w:rFonts w:hint="eastAsia" w:ascii="Times New Roman"/>
                <w:color w:val="auto"/>
                <w:szCs w:val="21"/>
              </w:rPr>
              <w:t>仓库</w:t>
            </w:r>
            <w:r>
              <w:rPr>
                <w:rFonts w:hint="default" w:ascii="Times New Roman"/>
                <w:color w:val="auto"/>
                <w:szCs w:val="21"/>
              </w:rPr>
              <w:t>/车间</w:t>
            </w:r>
          </w:p>
        </w:tc>
        <w:tc>
          <w:tcPr>
            <w:tcW w:w="759" w:type="pct"/>
            <w:vAlign w:val="center"/>
          </w:tcPr>
          <w:p w14:paraId="4017CAED">
            <w:pPr>
              <w:pStyle w:val="163"/>
              <w:keepNext w:val="0"/>
              <w:keepLines w:val="0"/>
              <w:suppressLineNumbers w:val="0"/>
              <w:spacing w:before="0" w:beforeAutospacing="0" w:after="0" w:afterAutospacing="0" w:line="320" w:lineRule="exact"/>
              <w:ind w:left="0" w:right="0"/>
              <w:rPr>
                <w:rFonts w:hint="default" w:ascii="Times New Roman"/>
                <w:color w:val="auto"/>
                <w:szCs w:val="21"/>
              </w:rPr>
            </w:pPr>
            <w:r>
              <w:rPr>
                <w:rFonts w:hint="default" w:ascii="Times New Roman"/>
                <w:color w:val="auto"/>
                <w:szCs w:val="21"/>
              </w:rPr>
              <w:t>存储/生产</w:t>
            </w:r>
          </w:p>
        </w:tc>
        <w:tc>
          <w:tcPr>
            <w:tcW w:w="759" w:type="pct"/>
            <w:vAlign w:val="center"/>
          </w:tcPr>
          <w:p w14:paraId="6BD0C3D5">
            <w:pPr>
              <w:pStyle w:val="163"/>
              <w:keepNext w:val="0"/>
              <w:keepLines w:val="0"/>
              <w:suppressLineNumbers w:val="0"/>
              <w:spacing w:before="0" w:beforeAutospacing="0" w:after="0" w:afterAutospacing="0" w:line="320" w:lineRule="exact"/>
              <w:ind w:left="0" w:right="0"/>
              <w:rPr>
                <w:rFonts w:hint="default" w:ascii="Times New Roman"/>
                <w:color w:val="auto"/>
                <w:szCs w:val="21"/>
              </w:rPr>
            </w:pPr>
            <w:r>
              <w:rPr>
                <w:rFonts w:hint="eastAsia" w:ascii="Times New Roman"/>
                <w:color w:val="auto"/>
                <w:szCs w:val="21"/>
              </w:rPr>
              <w:t>乙酸乙酯</w:t>
            </w:r>
          </w:p>
        </w:tc>
        <w:tc>
          <w:tcPr>
            <w:tcW w:w="966" w:type="pct"/>
            <w:vAlign w:val="center"/>
          </w:tcPr>
          <w:p w14:paraId="42F5A522">
            <w:pPr>
              <w:pStyle w:val="163"/>
              <w:keepNext w:val="0"/>
              <w:keepLines w:val="0"/>
              <w:suppressLineNumbers w:val="0"/>
              <w:spacing w:before="0" w:beforeAutospacing="0" w:after="0" w:afterAutospacing="0" w:line="320" w:lineRule="exact"/>
              <w:ind w:left="0" w:right="0"/>
              <w:rPr>
                <w:rFonts w:hint="default" w:ascii="Times New Roman"/>
                <w:color w:val="auto"/>
                <w:szCs w:val="21"/>
              </w:rPr>
            </w:pPr>
            <w:r>
              <w:rPr>
                <w:rFonts w:hint="default" w:ascii="Times New Roman"/>
                <w:color w:val="auto"/>
                <w:szCs w:val="21"/>
              </w:rPr>
              <w:t>物料泄漏</w:t>
            </w:r>
          </w:p>
        </w:tc>
        <w:tc>
          <w:tcPr>
            <w:tcW w:w="726" w:type="pct"/>
            <w:vMerge w:val="continue"/>
            <w:vAlign w:val="center"/>
          </w:tcPr>
          <w:p w14:paraId="64CCF2C6">
            <w:pPr>
              <w:pStyle w:val="163"/>
              <w:keepNext w:val="0"/>
              <w:keepLines w:val="0"/>
              <w:suppressLineNumbers w:val="0"/>
              <w:spacing w:before="0" w:beforeAutospacing="0" w:after="0" w:afterAutospacing="0" w:line="320" w:lineRule="exact"/>
              <w:ind w:left="0" w:right="0"/>
              <w:rPr>
                <w:rFonts w:hint="default" w:ascii="Times New Roman"/>
                <w:color w:val="auto"/>
                <w:szCs w:val="21"/>
              </w:rPr>
            </w:pPr>
          </w:p>
        </w:tc>
        <w:tc>
          <w:tcPr>
            <w:tcW w:w="965" w:type="pct"/>
            <w:vMerge w:val="continue"/>
            <w:vAlign w:val="center"/>
          </w:tcPr>
          <w:p w14:paraId="258A8593">
            <w:pPr>
              <w:pStyle w:val="163"/>
              <w:keepNext w:val="0"/>
              <w:keepLines w:val="0"/>
              <w:suppressLineNumbers w:val="0"/>
              <w:spacing w:before="0" w:beforeAutospacing="0" w:after="0" w:afterAutospacing="0" w:line="320" w:lineRule="exact"/>
              <w:ind w:left="0" w:right="0"/>
              <w:rPr>
                <w:rFonts w:hint="default" w:ascii="Times New Roman"/>
                <w:color w:val="auto"/>
                <w:szCs w:val="21"/>
              </w:rPr>
            </w:pPr>
          </w:p>
        </w:tc>
      </w:tr>
      <w:tr w14:paraId="407F7E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23" w:type="pct"/>
            <w:vAlign w:val="center"/>
          </w:tcPr>
          <w:p w14:paraId="1B101DBC">
            <w:pPr>
              <w:pStyle w:val="163"/>
              <w:keepNext w:val="0"/>
              <w:keepLines w:val="0"/>
              <w:suppressLineNumbers w:val="0"/>
              <w:spacing w:before="0" w:beforeAutospacing="0" w:after="0" w:afterAutospacing="0" w:line="320" w:lineRule="exact"/>
              <w:ind w:left="0" w:right="0"/>
              <w:rPr>
                <w:rFonts w:hint="default" w:ascii="Times New Roman"/>
                <w:color w:val="auto"/>
                <w:szCs w:val="21"/>
              </w:rPr>
            </w:pPr>
            <w:r>
              <w:rPr>
                <w:rFonts w:hint="eastAsia" w:ascii="Times New Roman"/>
                <w:color w:val="auto"/>
                <w:szCs w:val="21"/>
              </w:rPr>
              <w:t>仓库</w:t>
            </w:r>
            <w:r>
              <w:rPr>
                <w:rFonts w:hint="default" w:ascii="Times New Roman"/>
                <w:color w:val="auto"/>
                <w:szCs w:val="21"/>
              </w:rPr>
              <w:t>/车间</w:t>
            </w:r>
          </w:p>
        </w:tc>
        <w:tc>
          <w:tcPr>
            <w:tcW w:w="759" w:type="pct"/>
            <w:vAlign w:val="center"/>
          </w:tcPr>
          <w:p w14:paraId="54517D74">
            <w:pPr>
              <w:pStyle w:val="163"/>
              <w:keepNext w:val="0"/>
              <w:keepLines w:val="0"/>
              <w:suppressLineNumbers w:val="0"/>
              <w:spacing w:before="0" w:beforeAutospacing="0" w:after="0" w:afterAutospacing="0" w:line="320" w:lineRule="exact"/>
              <w:ind w:left="0" w:right="0"/>
              <w:rPr>
                <w:rFonts w:hint="default" w:ascii="Times New Roman"/>
                <w:color w:val="auto"/>
                <w:szCs w:val="21"/>
              </w:rPr>
            </w:pPr>
            <w:r>
              <w:rPr>
                <w:rFonts w:hint="default" w:ascii="Times New Roman"/>
                <w:color w:val="auto"/>
                <w:szCs w:val="21"/>
              </w:rPr>
              <w:t>存储/生产</w:t>
            </w:r>
          </w:p>
        </w:tc>
        <w:tc>
          <w:tcPr>
            <w:tcW w:w="759" w:type="pct"/>
            <w:vAlign w:val="center"/>
          </w:tcPr>
          <w:p w14:paraId="5546A1E8">
            <w:pPr>
              <w:pStyle w:val="163"/>
              <w:keepNext w:val="0"/>
              <w:keepLines w:val="0"/>
              <w:suppressLineNumbers w:val="0"/>
              <w:spacing w:before="0" w:beforeAutospacing="0" w:after="0" w:afterAutospacing="0" w:line="320" w:lineRule="exact"/>
              <w:ind w:left="0" w:right="0"/>
              <w:rPr>
                <w:rFonts w:hint="default" w:ascii="Times New Roman"/>
                <w:color w:val="auto"/>
                <w:szCs w:val="21"/>
              </w:rPr>
            </w:pPr>
            <w:r>
              <w:rPr>
                <w:rFonts w:hint="eastAsia" w:ascii="Times New Roman"/>
                <w:color w:val="auto"/>
                <w:szCs w:val="21"/>
              </w:rPr>
              <w:t>乙腈</w:t>
            </w:r>
          </w:p>
        </w:tc>
        <w:tc>
          <w:tcPr>
            <w:tcW w:w="966" w:type="pct"/>
            <w:vAlign w:val="center"/>
          </w:tcPr>
          <w:p w14:paraId="11BE2829">
            <w:pPr>
              <w:pStyle w:val="163"/>
              <w:keepNext w:val="0"/>
              <w:keepLines w:val="0"/>
              <w:suppressLineNumbers w:val="0"/>
              <w:spacing w:before="0" w:beforeAutospacing="0" w:after="0" w:afterAutospacing="0" w:line="320" w:lineRule="exact"/>
              <w:ind w:left="0" w:right="0"/>
              <w:rPr>
                <w:rFonts w:hint="default" w:ascii="Times New Roman"/>
                <w:color w:val="auto"/>
                <w:szCs w:val="21"/>
              </w:rPr>
            </w:pPr>
            <w:r>
              <w:rPr>
                <w:rFonts w:hint="default" w:ascii="Times New Roman"/>
                <w:color w:val="auto"/>
                <w:szCs w:val="21"/>
              </w:rPr>
              <w:t>物料泄漏</w:t>
            </w:r>
          </w:p>
        </w:tc>
        <w:tc>
          <w:tcPr>
            <w:tcW w:w="726" w:type="pct"/>
            <w:vMerge w:val="continue"/>
            <w:vAlign w:val="center"/>
          </w:tcPr>
          <w:p w14:paraId="47176F6E">
            <w:pPr>
              <w:pStyle w:val="163"/>
              <w:keepNext w:val="0"/>
              <w:keepLines w:val="0"/>
              <w:suppressLineNumbers w:val="0"/>
              <w:spacing w:before="0" w:beforeAutospacing="0" w:after="0" w:afterAutospacing="0" w:line="320" w:lineRule="exact"/>
              <w:ind w:left="0" w:right="0"/>
              <w:rPr>
                <w:rFonts w:hint="default" w:ascii="Times New Roman"/>
                <w:color w:val="auto"/>
                <w:szCs w:val="21"/>
              </w:rPr>
            </w:pPr>
          </w:p>
        </w:tc>
        <w:tc>
          <w:tcPr>
            <w:tcW w:w="965" w:type="pct"/>
            <w:vMerge w:val="continue"/>
            <w:vAlign w:val="center"/>
          </w:tcPr>
          <w:p w14:paraId="691AB430">
            <w:pPr>
              <w:pStyle w:val="163"/>
              <w:keepNext w:val="0"/>
              <w:keepLines w:val="0"/>
              <w:suppressLineNumbers w:val="0"/>
              <w:spacing w:before="0" w:beforeAutospacing="0" w:after="0" w:afterAutospacing="0" w:line="320" w:lineRule="exact"/>
              <w:ind w:left="0" w:right="0"/>
              <w:rPr>
                <w:rFonts w:hint="default" w:ascii="Times New Roman"/>
                <w:color w:val="auto"/>
                <w:szCs w:val="21"/>
              </w:rPr>
            </w:pPr>
          </w:p>
        </w:tc>
      </w:tr>
      <w:tr w14:paraId="7FA956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23" w:type="pct"/>
            <w:vAlign w:val="center"/>
          </w:tcPr>
          <w:p w14:paraId="76244E35">
            <w:pPr>
              <w:pStyle w:val="163"/>
              <w:keepNext w:val="0"/>
              <w:keepLines w:val="0"/>
              <w:suppressLineNumbers w:val="0"/>
              <w:spacing w:before="0" w:beforeAutospacing="0" w:after="0" w:afterAutospacing="0" w:line="320" w:lineRule="exact"/>
              <w:ind w:left="0" w:right="0"/>
              <w:rPr>
                <w:rFonts w:hint="default" w:ascii="Times New Roman"/>
                <w:color w:val="auto"/>
                <w:szCs w:val="21"/>
              </w:rPr>
            </w:pPr>
            <w:r>
              <w:rPr>
                <w:rFonts w:hint="eastAsia" w:ascii="Times New Roman"/>
                <w:color w:val="auto"/>
                <w:szCs w:val="21"/>
              </w:rPr>
              <w:t>仓库</w:t>
            </w:r>
            <w:r>
              <w:rPr>
                <w:rFonts w:hint="default" w:ascii="Times New Roman"/>
                <w:color w:val="auto"/>
                <w:szCs w:val="21"/>
              </w:rPr>
              <w:t>/车间</w:t>
            </w:r>
          </w:p>
        </w:tc>
        <w:tc>
          <w:tcPr>
            <w:tcW w:w="759" w:type="pct"/>
            <w:vAlign w:val="center"/>
          </w:tcPr>
          <w:p w14:paraId="69D94E6C">
            <w:pPr>
              <w:pStyle w:val="163"/>
              <w:keepNext w:val="0"/>
              <w:keepLines w:val="0"/>
              <w:suppressLineNumbers w:val="0"/>
              <w:spacing w:before="0" w:beforeAutospacing="0" w:after="0" w:afterAutospacing="0" w:line="320" w:lineRule="exact"/>
              <w:ind w:left="0" w:right="0"/>
              <w:rPr>
                <w:rFonts w:hint="default" w:ascii="Times New Roman"/>
                <w:color w:val="auto"/>
                <w:szCs w:val="21"/>
              </w:rPr>
            </w:pPr>
            <w:r>
              <w:rPr>
                <w:rFonts w:hint="default" w:ascii="Times New Roman"/>
                <w:color w:val="auto"/>
                <w:szCs w:val="21"/>
              </w:rPr>
              <w:t>存储/生产</w:t>
            </w:r>
          </w:p>
        </w:tc>
        <w:tc>
          <w:tcPr>
            <w:tcW w:w="759" w:type="pct"/>
            <w:vAlign w:val="center"/>
          </w:tcPr>
          <w:p w14:paraId="50A27926">
            <w:pPr>
              <w:pStyle w:val="163"/>
              <w:keepNext w:val="0"/>
              <w:keepLines w:val="0"/>
              <w:suppressLineNumbers w:val="0"/>
              <w:spacing w:before="0" w:beforeAutospacing="0" w:after="0" w:afterAutospacing="0" w:line="320" w:lineRule="exact"/>
              <w:ind w:left="0" w:right="0"/>
              <w:rPr>
                <w:rFonts w:hint="default" w:ascii="Times New Roman"/>
                <w:color w:val="auto"/>
                <w:szCs w:val="21"/>
              </w:rPr>
            </w:pPr>
            <w:r>
              <w:rPr>
                <w:rFonts w:hint="eastAsia" w:ascii="Times New Roman"/>
                <w:color w:val="auto"/>
                <w:szCs w:val="21"/>
              </w:rPr>
              <w:t>甲苯</w:t>
            </w:r>
          </w:p>
        </w:tc>
        <w:tc>
          <w:tcPr>
            <w:tcW w:w="966" w:type="pct"/>
            <w:vAlign w:val="center"/>
          </w:tcPr>
          <w:p w14:paraId="040E8093">
            <w:pPr>
              <w:pStyle w:val="163"/>
              <w:keepNext w:val="0"/>
              <w:keepLines w:val="0"/>
              <w:suppressLineNumbers w:val="0"/>
              <w:spacing w:before="0" w:beforeAutospacing="0" w:after="0" w:afterAutospacing="0" w:line="320" w:lineRule="exact"/>
              <w:ind w:left="0" w:right="0"/>
              <w:rPr>
                <w:rFonts w:hint="default" w:ascii="Times New Roman"/>
                <w:color w:val="auto"/>
                <w:szCs w:val="21"/>
              </w:rPr>
            </w:pPr>
            <w:r>
              <w:rPr>
                <w:rFonts w:hint="default" w:ascii="Times New Roman"/>
                <w:color w:val="auto"/>
                <w:szCs w:val="21"/>
              </w:rPr>
              <w:t>物料泄漏</w:t>
            </w:r>
          </w:p>
        </w:tc>
        <w:tc>
          <w:tcPr>
            <w:tcW w:w="726" w:type="pct"/>
            <w:vMerge w:val="continue"/>
            <w:vAlign w:val="center"/>
          </w:tcPr>
          <w:p w14:paraId="3B672BBE">
            <w:pPr>
              <w:pStyle w:val="163"/>
              <w:keepNext w:val="0"/>
              <w:keepLines w:val="0"/>
              <w:suppressLineNumbers w:val="0"/>
              <w:spacing w:before="0" w:beforeAutospacing="0" w:after="0" w:afterAutospacing="0" w:line="320" w:lineRule="exact"/>
              <w:ind w:left="0" w:right="0"/>
              <w:rPr>
                <w:rFonts w:hint="default" w:ascii="Times New Roman"/>
                <w:color w:val="auto"/>
                <w:szCs w:val="21"/>
              </w:rPr>
            </w:pPr>
          </w:p>
        </w:tc>
        <w:tc>
          <w:tcPr>
            <w:tcW w:w="965" w:type="pct"/>
            <w:vMerge w:val="continue"/>
            <w:vAlign w:val="center"/>
          </w:tcPr>
          <w:p w14:paraId="0005F58A">
            <w:pPr>
              <w:pStyle w:val="163"/>
              <w:keepNext w:val="0"/>
              <w:keepLines w:val="0"/>
              <w:suppressLineNumbers w:val="0"/>
              <w:spacing w:before="0" w:beforeAutospacing="0" w:after="0" w:afterAutospacing="0" w:line="320" w:lineRule="exact"/>
              <w:ind w:left="0" w:right="0"/>
              <w:rPr>
                <w:rFonts w:hint="default" w:ascii="Times New Roman"/>
                <w:color w:val="auto"/>
                <w:szCs w:val="21"/>
              </w:rPr>
            </w:pPr>
          </w:p>
        </w:tc>
      </w:tr>
      <w:tr w14:paraId="12C3F1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23" w:type="pct"/>
            <w:vAlign w:val="center"/>
          </w:tcPr>
          <w:p w14:paraId="1E6CE10A">
            <w:pPr>
              <w:pStyle w:val="163"/>
              <w:keepNext w:val="0"/>
              <w:keepLines w:val="0"/>
              <w:suppressLineNumbers w:val="0"/>
              <w:spacing w:before="0" w:beforeAutospacing="0" w:after="0" w:afterAutospacing="0" w:line="320" w:lineRule="exact"/>
              <w:ind w:left="0" w:right="0"/>
              <w:rPr>
                <w:rFonts w:hint="default" w:ascii="Times New Roman"/>
                <w:color w:val="auto"/>
                <w:szCs w:val="21"/>
              </w:rPr>
            </w:pPr>
            <w:r>
              <w:rPr>
                <w:rFonts w:hint="eastAsia" w:ascii="Times New Roman"/>
                <w:color w:val="auto"/>
                <w:szCs w:val="21"/>
              </w:rPr>
              <w:t>仓库</w:t>
            </w:r>
            <w:r>
              <w:rPr>
                <w:rFonts w:hint="default" w:ascii="Times New Roman"/>
                <w:color w:val="auto"/>
                <w:szCs w:val="21"/>
              </w:rPr>
              <w:t>/车间</w:t>
            </w:r>
          </w:p>
        </w:tc>
        <w:tc>
          <w:tcPr>
            <w:tcW w:w="759" w:type="pct"/>
            <w:vAlign w:val="center"/>
          </w:tcPr>
          <w:p w14:paraId="520204CA">
            <w:pPr>
              <w:pStyle w:val="163"/>
              <w:keepNext w:val="0"/>
              <w:keepLines w:val="0"/>
              <w:suppressLineNumbers w:val="0"/>
              <w:spacing w:before="0" w:beforeAutospacing="0" w:after="0" w:afterAutospacing="0" w:line="320" w:lineRule="exact"/>
              <w:ind w:left="0" w:right="0"/>
              <w:rPr>
                <w:rFonts w:hint="default" w:ascii="Times New Roman"/>
                <w:color w:val="auto"/>
                <w:szCs w:val="21"/>
              </w:rPr>
            </w:pPr>
            <w:r>
              <w:rPr>
                <w:rFonts w:hint="default" w:ascii="Times New Roman"/>
                <w:color w:val="auto"/>
                <w:szCs w:val="21"/>
              </w:rPr>
              <w:t>伴生/次生</w:t>
            </w:r>
          </w:p>
        </w:tc>
        <w:tc>
          <w:tcPr>
            <w:tcW w:w="759" w:type="pct"/>
            <w:vAlign w:val="center"/>
          </w:tcPr>
          <w:p w14:paraId="327E9027">
            <w:pPr>
              <w:pStyle w:val="163"/>
              <w:keepNext w:val="0"/>
              <w:keepLines w:val="0"/>
              <w:suppressLineNumbers w:val="0"/>
              <w:spacing w:before="0" w:beforeAutospacing="0" w:after="0" w:afterAutospacing="0" w:line="320" w:lineRule="exact"/>
              <w:ind w:left="0" w:right="0"/>
              <w:rPr>
                <w:rFonts w:hint="default" w:ascii="Times New Roman"/>
                <w:color w:val="auto"/>
                <w:szCs w:val="21"/>
              </w:rPr>
            </w:pPr>
            <w:r>
              <w:rPr>
                <w:rFonts w:hint="default" w:ascii="Times New Roman"/>
                <w:color w:val="auto"/>
                <w:szCs w:val="21"/>
              </w:rPr>
              <w:t>CO</w:t>
            </w:r>
          </w:p>
        </w:tc>
        <w:tc>
          <w:tcPr>
            <w:tcW w:w="966" w:type="pct"/>
            <w:vAlign w:val="center"/>
          </w:tcPr>
          <w:p w14:paraId="3C6CE8AF">
            <w:pPr>
              <w:pStyle w:val="163"/>
              <w:keepNext w:val="0"/>
              <w:keepLines w:val="0"/>
              <w:suppressLineNumbers w:val="0"/>
              <w:spacing w:before="0" w:beforeAutospacing="0" w:after="0" w:afterAutospacing="0" w:line="320" w:lineRule="exact"/>
              <w:ind w:left="0" w:right="0"/>
              <w:rPr>
                <w:rFonts w:hint="default" w:ascii="Times New Roman"/>
                <w:color w:val="auto"/>
                <w:szCs w:val="21"/>
              </w:rPr>
            </w:pPr>
            <w:r>
              <w:rPr>
                <w:rFonts w:hint="default" w:ascii="Times New Roman"/>
                <w:color w:val="auto"/>
                <w:szCs w:val="21"/>
              </w:rPr>
              <w:t>火灾、爆炸</w:t>
            </w:r>
          </w:p>
        </w:tc>
        <w:tc>
          <w:tcPr>
            <w:tcW w:w="726" w:type="pct"/>
            <w:vMerge w:val="restart"/>
            <w:vAlign w:val="center"/>
          </w:tcPr>
          <w:p w14:paraId="3927441C">
            <w:pPr>
              <w:pStyle w:val="163"/>
              <w:keepNext w:val="0"/>
              <w:keepLines w:val="0"/>
              <w:suppressLineNumbers w:val="0"/>
              <w:spacing w:before="0" w:beforeAutospacing="0" w:after="0" w:afterAutospacing="0" w:line="320" w:lineRule="exact"/>
              <w:ind w:left="0" w:right="0"/>
              <w:rPr>
                <w:rFonts w:hint="default" w:ascii="Times New Roman"/>
                <w:color w:val="auto"/>
                <w:szCs w:val="21"/>
              </w:rPr>
            </w:pPr>
            <w:r>
              <w:rPr>
                <w:rFonts w:hint="default" w:ascii="Times New Roman"/>
                <w:color w:val="auto"/>
                <w:szCs w:val="21"/>
              </w:rPr>
              <w:t>大气</w:t>
            </w:r>
          </w:p>
        </w:tc>
        <w:tc>
          <w:tcPr>
            <w:tcW w:w="965" w:type="pct"/>
            <w:vMerge w:val="continue"/>
            <w:vAlign w:val="center"/>
          </w:tcPr>
          <w:p w14:paraId="326CCB67">
            <w:pPr>
              <w:pStyle w:val="163"/>
              <w:keepNext w:val="0"/>
              <w:keepLines w:val="0"/>
              <w:suppressLineNumbers w:val="0"/>
              <w:spacing w:before="0" w:beforeAutospacing="0" w:after="0" w:afterAutospacing="0" w:line="320" w:lineRule="exact"/>
              <w:ind w:left="0" w:right="0"/>
              <w:rPr>
                <w:rFonts w:hint="default" w:ascii="Times New Roman"/>
                <w:color w:val="auto"/>
                <w:szCs w:val="21"/>
              </w:rPr>
            </w:pPr>
          </w:p>
        </w:tc>
      </w:tr>
      <w:tr w14:paraId="7029AD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23" w:type="pct"/>
            <w:vAlign w:val="center"/>
          </w:tcPr>
          <w:p w14:paraId="0205659D">
            <w:pPr>
              <w:pStyle w:val="163"/>
              <w:keepNext w:val="0"/>
              <w:keepLines w:val="0"/>
              <w:suppressLineNumbers w:val="0"/>
              <w:spacing w:before="0" w:beforeAutospacing="0" w:after="0" w:afterAutospacing="0" w:line="320" w:lineRule="exact"/>
              <w:ind w:left="0" w:right="0"/>
              <w:rPr>
                <w:rFonts w:hint="default" w:ascii="Times New Roman"/>
                <w:color w:val="auto"/>
                <w:szCs w:val="21"/>
              </w:rPr>
            </w:pPr>
            <w:r>
              <w:rPr>
                <w:rFonts w:hint="eastAsia" w:ascii="Times New Roman"/>
                <w:color w:val="auto"/>
                <w:szCs w:val="21"/>
              </w:rPr>
              <w:t>仓库</w:t>
            </w:r>
            <w:r>
              <w:rPr>
                <w:rFonts w:hint="default" w:ascii="Times New Roman"/>
                <w:color w:val="auto"/>
                <w:szCs w:val="21"/>
              </w:rPr>
              <w:t>/车间</w:t>
            </w:r>
          </w:p>
        </w:tc>
        <w:tc>
          <w:tcPr>
            <w:tcW w:w="759" w:type="pct"/>
            <w:vAlign w:val="center"/>
          </w:tcPr>
          <w:p w14:paraId="2417F27B">
            <w:pPr>
              <w:pStyle w:val="163"/>
              <w:keepNext w:val="0"/>
              <w:keepLines w:val="0"/>
              <w:suppressLineNumbers w:val="0"/>
              <w:spacing w:before="0" w:beforeAutospacing="0" w:after="0" w:afterAutospacing="0" w:line="320" w:lineRule="exact"/>
              <w:ind w:left="0" w:right="0"/>
              <w:rPr>
                <w:rFonts w:hint="default" w:ascii="Times New Roman"/>
                <w:color w:val="auto"/>
                <w:szCs w:val="21"/>
              </w:rPr>
            </w:pPr>
            <w:r>
              <w:rPr>
                <w:rFonts w:hint="default" w:ascii="Times New Roman"/>
                <w:color w:val="auto"/>
                <w:szCs w:val="21"/>
              </w:rPr>
              <w:t>伴生/次生</w:t>
            </w:r>
          </w:p>
        </w:tc>
        <w:tc>
          <w:tcPr>
            <w:tcW w:w="759" w:type="pct"/>
            <w:vAlign w:val="center"/>
          </w:tcPr>
          <w:p w14:paraId="45BE263D">
            <w:pPr>
              <w:pStyle w:val="163"/>
              <w:keepNext w:val="0"/>
              <w:keepLines w:val="0"/>
              <w:suppressLineNumbers w:val="0"/>
              <w:spacing w:before="0" w:beforeAutospacing="0" w:after="0" w:afterAutospacing="0" w:line="320" w:lineRule="exact"/>
              <w:ind w:left="0" w:right="0"/>
              <w:rPr>
                <w:rFonts w:hint="default" w:ascii="Times New Roman"/>
                <w:color w:val="auto"/>
                <w:szCs w:val="21"/>
              </w:rPr>
            </w:pPr>
            <w:r>
              <w:rPr>
                <w:rFonts w:hint="eastAsia" w:ascii="Times New Roman"/>
                <w:color w:val="auto"/>
                <w:szCs w:val="21"/>
              </w:rPr>
              <w:t>NO</w:t>
            </w:r>
          </w:p>
        </w:tc>
        <w:tc>
          <w:tcPr>
            <w:tcW w:w="966" w:type="pct"/>
            <w:vAlign w:val="center"/>
          </w:tcPr>
          <w:p w14:paraId="2ACDBC91">
            <w:pPr>
              <w:pStyle w:val="163"/>
              <w:keepNext w:val="0"/>
              <w:keepLines w:val="0"/>
              <w:suppressLineNumbers w:val="0"/>
              <w:spacing w:before="0" w:beforeAutospacing="0" w:after="0" w:afterAutospacing="0" w:line="320" w:lineRule="exact"/>
              <w:ind w:left="0" w:right="0"/>
              <w:rPr>
                <w:rFonts w:hint="default" w:ascii="Times New Roman"/>
                <w:color w:val="auto"/>
                <w:szCs w:val="21"/>
              </w:rPr>
            </w:pPr>
            <w:r>
              <w:rPr>
                <w:rFonts w:hint="default" w:ascii="Times New Roman"/>
                <w:color w:val="auto"/>
                <w:szCs w:val="21"/>
              </w:rPr>
              <w:t>火灾、爆炸</w:t>
            </w:r>
          </w:p>
        </w:tc>
        <w:tc>
          <w:tcPr>
            <w:tcW w:w="726" w:type="pct"/>
            <w:vMerge w:val="continue"/>
            <w:vAlign w:val="center"/>
          </w:tcPr>
          <w:p w14:paraId="31C7C850">
            <w:pPr>
              <w:pStyle w:val="163"/>
              <w:keepNext w:val="0"/>
              <w:keepLines w:val="0"/>
              <w:suppressLineNumbers w:val="0"/>
              <w:spacing w:before="0" w:beforeAutospacing="0" w:after="0" w:afterAutospacing="0" w:line="320" w:lineRule="exact"/>
              <w:ind w:left="0" w:right="0"/>
              <w:rPr>
                <w:rFonts w:hint="default" w:ascii="Times New Roman"/>
                <w:color w:val="auto"/>
                <w:szCs w:val="21"/>
              </w:rPr>
            </w:pPr>
          </w:p>
        </w:tc>
        <w:tc>
          <w:tcPr>
            <w:tcW w:w="965" w:type="pct"/>
            <w:vMerge w:val="continue"/>
            <w:vAlign w:val="center"/>
          </w:tcPr>
          <w:p w14:paraId="585C8365">
            <w:pPr>
              <w:pStyle w:val="163"/>
              <w:keepNext w:val="0"/>
              <w:keepLines w:val="0"/>
              <w:suppressLineNumbers w:val="0"/>
              <w:spacing w:before="0" w:beforeAutospacing="0" w:after="0" w:afterAutospacing="0" w:line="320" w:lineRule="exact"/>
              <w:ind w:left="0" w:right="0"/>
              <w:rPr>
                <w:rFonts w:hint="default" w:ascii="Times New Roman"/>
                <w:color w:val="auto"/>
                <w:szCs w:val="21"/>
              </w:rPr>
            </w:pPr>
          </w:p>
        </w:tc>
      </w:tr>
      <w:tr w14:paraId="227C66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23" w:type="pct"/>
            <w:vAlign w:val="center"/>
          </w:tcPr>
          <w:p w14:paraId="09FE8CB0">
            <w:pPr>
              <w:pStyle w:val="163"/>
              <w:keepNext w:val="0"/>
              <w:keepLines w:val="0"/>
              <w:suppressLineNumbers w:val="0"/>
              <w:spacing w:before="0" w:beforeAutospacing="0" w:after="0" w:afterAutospacing="0" w:line="320" w:lineRule="exact"/>
              <w:ind w:left="0" w:right="0"/>
              <w:rPr>
                <w:rFonts w:hint="default" w:ascii="Times New Roman"/>
                <w:color w:val="auto"/>
                <w:szCs w:val="21"/>
              </w:rPr>
            </w:pPr>
            <w:r>
              <w:rPr>
                <w:rFonts w:hint="eastAsia" w:ascii="Times New Roman"/>
                <w:color w:val="auto"/>
                <w:szCs w:val="21"/>
              </w:rPr>
              <w:t>仓库</w:t>
            </w:r>
            <w:r>
              <w:rPr>
                <w:rFonts w:hint="default" w:ascii="Times New Roman"/>
                <w:color w:val="auto"/>
                <w:szCs w:val="21"/>
              </w:rPr>
              <w:t>/车间</w:t>
            </w:r>
          </w:p>
        </w:tc>
        <w:tc>
          <w:tcPr>
            <w:tcW w:w="759" w:type="pct"/>
            <w:vAlign w:val="center"/>
          </w:tcPr>
          <w:p w14:paraId="0567FA5B">
            <w:pPr>
              <w:pStyle w:val="163"/>
              <w:keepNext w:val="0"/>
              <w:keepLines w:val="0"/>
              <w:suppressLineNumbers w:val="0"/>
              <w:spacing w:before="0" w:beforeAutospacing="0" w:after="0" w:afterAutospacing="0" w:line="320" w:lineRule="exact"/>
              <w:ind w:left="0" w:right="0"/>
              <w:rPr>
                <w:rFonts w:hint="default" w:ascii="Times New Roman"/>
                <w:color w:val="auto"/>
                <w:szCs w:val="21"/>
              </w:rPr>
            </w:pPr>
            <w:r>
              <w:rPr>
                <w:rFonts w:hint="default" w:ascii="Times New Roman"/>
                <w:color w:val="auto"/>
                <w:szCs w:val="21"/>
              </w:rPr>
              <w:t>伴生/次生</w:t>
            </w:r>
          </w:p>
        </w:tc>
        <w:tc>
          <w:tcPr>
            <w:tcW w:w="759" w:type="pct"/>
            <w:vAlign w:val="center"/>
          </w:tcPr>
          <w:p w14:paraId="00FC344D">
            <w:pPr>
              <w:pStyle w:val="163"/>
              <w:keepNext w:val="0"/>
              <w:keepLines w:val="0"/>
              <w:suppressLineNumbers w:val="0"/>
              <w:spacing w:before="0" w:beforeAutospacing="0" w:after="0" w:afterAutospacing="0" w:line="320" w:lineRule="exact"/>
              <w:ind w:left="0" w:right="0"/>
              <w:rPr>
                <w:rFonts w:hint="default" w:ascii="Times New Roman"/>
                <w:color w:val="auto"/>
                <w:szCs w:val="21"/>
              </w:rPr>
            </w:pPr>
            <w:r>
              <w:rPr>
                <w:rFonts w:hint="eastAsia" w:ascii="Times New Roman"/>
                <w:color w:val="auto"/>
                <w:szCs w:val="21"/>
              </w:rPr>
              <w:t>HCN</w:t>
            </w:r>
          </w:p>
        </w:tc>
        <w:tc>
          <w:tcPr>
            <w:tcW w:w="966" w:type="pct"/>
            <w:vAlign w:val="center"/>
          </w:tcPr>
          <w:p w14:paraId="666F2D23">
            <w:pPr>
              <w:pStyle w:val="163"/>
              <w:keepNext w:val="0"/>
              <w:keepLines w:val="0"/>
              <w:suppressLineNumbers w:val="0"/>
              <w:spacing w:before="0" w:beforeAutospacing="0" w:after="0" w:afterAutospacing="0" w:line="320" w:lineRule="exact"/>
              <w:ind w:left="0" w:right="0"/>
              <w:rPr>
                <w:rFonts w:hint="default" w:ascii="Times New Roman"/>
                <w:color w:val="auto"/>
                <w:szCs w:val="21"/>
              </w:rPr>
            </w:pPr>
            <w:r>
              <w:rPr>
                <w:rFonts w:hint="default" w:ascii="Times New Roman"/>
                <w:color w:val="auto"/>
                <w:szCs w:val="21"/>
              </w:rPr>
              <w:t>火灾、爆炸</w:t>
            </w:r>
          </w:p>
        </w:tc>
        <w:tc>
          <w:tcPr>
            <w:tcW w:w="726" w:type="pct"/>
            <w:vMerge w:val="continue"/>
            <w:vAlign w:val="center"/>
          </w:tcPr>
          <w:p w14:paraId="52237646">
            <w:pPr>
              <w:pStyle w:val="163"/>
              <w:keepNext w:val="0"/>
              <w:keepLines w:val="0"/>
              <w:suppressLineNumbers w:val="0"/>
              <w:spacing w:before="0" w:beforeAutospacing="0" w:after="0" w:afterAutospacing="0" w:line="320" w:lineRule="exact"/>
              <w:ind w:left="0" w:right="0"/>
              <w:rPr>
                <w:rFonts w:hint="default" w:ascii="Times New Roman"/>
                <w:color w:val="auto"/>
                <w:szCs w:val="21"/>
              </w:rPr>
            </w:pPr>
          </w:p>
        </w:tc>
        <w:tc>
          <w:tcPr>
            <w:tcW w:w="965" w:type="pct"/>
            <w:vMerge w:val="continue"/>
            <w:vAlign w:val="center"/>
          </w:tcPr>
          <w:p w14:paraId="357D4993">
            <w:pPr>
              <w:pStyle w:val="163"/>
              <w:keepNext w:val="0"/>
              <w:keepLines w:val="0"/>
              <w:suppressLineNumbers w:val="0"/>
              <w:spacing w:before="0" w:beforeAutospacing="0" w:after="0" w:afterAutospacing="0" w:line="320" w:lineRule="exact"/>
              <w:ind w:left="0" w:right="0"/>
              <w:rPr>
                <w:rFonts w:hint="default" w:ascii="Times New Roman"/>
                <w:color w:val="auto"/>
                <w:szCs w:val="21"/>
              </w:rPr>
            </w:pPr>
          </w:p>
        </w:tc>
      </w:tr>
      <w:tr w14:paraId="4F5629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23" w:type="pct"/>
            <w:vAlign w:val="center"/>
          </w:tcPr>
          <w:p w14:paraId="197C696C">
            <w:pPr>
              <w:pStyle w:val="163"/>
              <w:keepNext w:val="0"/>
              <w:keepLines w:val="0"/>
              <w:suppressLineNumbers w:val="0"/>
              <w:spacing w:before="0" w:beforeAutospacing="0" w:after="0" w:afterAutospacing="0" w:line="320" w:lineRule="exact"/>
              <w:ind w:left="0" w:right="0"/>
              <w:rPr>
                <w:rFonts w:hint="default" w:ascii="Times New Roman"/>
                <w:color w:val="auto"/>
                <w:szCs w:val="21"/>
              </w:rPr>
            </w:pPr>
            <w:r>
              <w:rPr>
                <w:rFonts w:hint="default" w:ascii="Times New Roman"/>
                <w:color w:val="auto"/>
                <w:szCs w:val="21"/>
              </w:rPr>
              <w:t>仓库/车间</w:t>
            </w:r>
          </w:p>
        </w:tc>
        <w:tc>
          <w:tcPr>
            <w:tcW w:w="759" w:type="pct"/>
            <w:vAlign w:val="center"/>
          </w:tcPr>
          <w:p w14:paraId="54E514E6">
            <w:pPr>
              <w:pStyle w:val="163"/>
              <w:keepNext w:val="0"/>
              <w:keepLines w:val="0"/>
              <w:suppressLineNumbers w:val="0"/>
              <w:spacing w:before="0" w:beforeAutospacing="0" w:after="0" w:afterAutospacing="0" w:line="320" w:lineRule="exact"/>
              <w:ind w:left="0" w:right="0"/>
              <w:rPr>
                <w:rFonts w:hint="default" w:ascii="Times New Roman"/>
                <w:color w:val="auto"/>
                <w:szCs w:val="21"/>
              </w:rPr>
            </w:pPr>
            <w:r>
              <w:rPr>
                <w:rFonts w:hint="default" w:ascii="Times New Roman"/>
                <w:color w:val="auto"/>
                <w:szCs w:val="21"/>
              </w:rPr>
              <w:t>伴生/次生</w:t>
            </w:r>
          </w:p>
        </w:tc>
        <w:tc>
          <w:tcPr>
            <w:tcW w:w="759" w:type="pct"/>
            <w:vAlign w:val="center"/>
          </w:tcPr>
          <w:p w14:paraId="735F8C06">
            <w:pPr>
              <w:pStyle w:val="163"/>
              <w:keepNext w:val="0"/>
              <w:keepLines w:val="0"/>
              <w:suppressLineNumbers w:val="0"/>
              <w:spacing w:before="0" w:beforeAutospacing="0" w:after="0" w:afterAutospacing="0" w:line="320" w:lineRule="exact"/>
              <w:ind w:left="0" w:right="0"/>
              <w:rPr>
                <w:rFonts w:hint="default" w:ascii="Times New Roman"/>
                <w:color w:val="auto"/>
                <w:szCs w:val="21"/>
              </w:rPr>
            </w:pPr>
            <w:r>
              <w:rPr>
                <w:rFonts w:hint="eastAsia" w:ascii="Times New Roman"/>
                <w:color w:val="auto"/>
                <w:szCs w:val="21"/>
              </w:rPr>
              <w:t>光气</w:t>
            </w:r>
          </w:p>
        </w:tc>
        <w:tc>
          <w:tcPr>
            <w:tcW w:w="966" w:type="pct"/>
            <w:vAlign w:val="center"/>
          </w:tcPr>
          <w:p w14:paraId="338BC588">
            <w:pPr>
              <w:pStyle w:val="163"/>
              <w:keepNext w:val="0"/>
              <w:keepLines w:val="0"/>
              <w:suppressLineNumbers w:val="0"/>
              <w:spacing w:before="0" w:beforeAutospacing="0" w:after="0" w:afterAutospacing="0" w:line="320" w:lineRule="exact"/>
              <w:ind w:left="0" w:right="0"/>
              <w:rPr>
                <w:rFonts w:hint="default" w:ascii="Times New Roman"/>
                <w:color w:val="auto"/>
                <w:szCs w:val="21"/>
              </w:rPr>
            </w:pPr>
            <w:r>
              <w:rPr>
                <w:rFonts w:hint="default" w:ascii="Times New Roman"/>
                <w:color w:val="auto"/>
                <w:szCs w:val="21"/>
              </w:rPr>
              <w:t>火灾、爆炸</w:t>
            </w:r>
          </w:p>
        </w:tc>
        <w:tc>
          <w:tcPr>
            <w:tcW w:w="726" w:type="pct"/>
            <w:vMerge w:val="continue"/>
            <w:vAlign w:val="center"/>
          </w:tcPr>
          <w:p w14:paraId="1425B5EB">
            <w:pPr>
              <w:pStyle w:val="163"/>
              <w:keepNext w:val="0"/>
              <w:keepLines w:val="0"/>
              <w:suppressLineNumbers w:val="0"/>
              <w:spacing w:before="0" w:beforeAutospacing="0" w:after="0" w:afterAutospacing="0" w:line="320" w:lineRule="exact"/>
              <w:ind w:left="0" w:right="0"/>
              <w:rPr>
                <w:rFonts w:hint="default" w:ascii="Times New Roman"/>
                <w:color w:val="auto"/>
                <w:szCs w:val="21"/>
              </w:rPr>
            </w:pPr>
          </w:p>
        </w:tc>
        <w:tc>
          <w:tcPr>
            <w:tcW w:w="965" w:type="pct"/>
            <w:vMerge w:val="continue"/>
            <w:vAlign w:val="center"/>
          </w:tcPr>
          <w:p w14:paraId="05C0C51A">
            <w:pPr>
              <w:pStyle w:val="163"/>
              <w:keepNext w:val="0"/>
              <w:keepLines w:val="0"/>
              <w:suppressLineNumbers w:val="0"/>
              <w:spacing w:before="0" w:beforeAutospacing="0" w:after="0" w:afterAutospacing="0" w:line="320" w:lineRule="exact"/>
              <w:ind w:left="0" w:right="0"/>
              <w:rPr>
                <w:rFonts w:hint="default" w:ascii="Times New Roman"/>
                <w:color w:val="auto"/>
                <w:szCs w:val="21"/>
              </w:rPr>
            </w:pPr>
          </w:p>
        </w:tc>
      </w:tr>
      <w:tr w14:paraId="34F171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23" w:type="pct"/>
            <w:vAlign w:val="center"/>
          </w:tcPr>
          <w:p w14:paraId="37931468">
            <w:pPr>
              <w:pStyle w:val="163"/>
              <w:keepNext w:val="0"/>
              <w:keepLines w:val="0"/>
              <w:suppressLineNumbers w:val="0"/>
              <w:spacing w:before="0" w:beforeAutospacing="0" w:after="0" w:afterAutospacing="0" w:line="320" w:lineRule="exact"/>
              <w:ind w:left="0" w:right="0"/>
              <w:rPr>
                <w:rFonts w:hint="default" w:ascii="Times New Roman"/>
                <w:color w:val="auto"/>
                <w:szCs w:val="21"/>
              </w:rPr>
            </w:pPr>
            <w:r>
              <w:rPr>
                <w:rFonts w:hint="eastAsia" w:ascii="Times New Roman"/>
                <w:color w:val="auto"/>
                <w:szCs w:val="21"/>
              </w:rPr>
              <w:t>仓库</w:t>
            </w:r>
            <w:r>
              <w:rPr>
                <w:rFonts w:hint="default" w:ascii="Times New Roman"/>
                <w:color w:val="auto"/>
                <w:szCs w:val="21"/>
              </w:rPr>
              <w:t>/车间</w:t>
            </w:r>
          </w:p>
        </w:tc>
        <w:tc>
          <w:tcPr>
            <w:tcW w:w="759" w:type="pct"/>
            <w:vAlign w:val="center"/>
          </w:tcPr>
          <w:p w14:paraId="2082B32C">
            <w:pPr>
              <w:keepNext w:val="0"/>
              <w:keepLines w:val="0"/>
              <w:suppressLineNumbers w:val="0"/>
              <w:kinsoku w:val="0"/>
              <w:overflowPunct w:val="0"/>
              <w:adjustRightInd w:val="0"/>
              <w:snapToGrid w:val="0"/>
              <w:spacing w:before="0" w:beforeAutospacing="0" w:after="0" w:afterAutospacing="0" w:line="320" w:lineRule="exact"/>
              <w:ind w:left="0" w:right="0"/>
              <w:jc w:val="center"/>
              <w:rPr>
                <w:rFonts w:hint="default" w:eastAsia="仿宋_GB2312"/>
                <w:color w:val="auto"/>
                <w:szCs w:val="21"/>
              </w:rPr>
            </w:pPr>
            <w:r>
              <w:rPr>
                <w:rFonts w:hint="default" w:eastAsia="仿宋_GB2312"/>
                <w:color w:val="auto"/>
                <w:szCs w:val="21"/>
              </w:rPr>
              <w:t>存储/生产</w:t>
            </w:r>
          </w:p>
        </w:tc>
        <w:tc>
          <w:tcPr>
            <w:tcW w:w="759" w:type="pct"/>
            <w:vAlign w:val="center"/>
          </w:tcPr>
          <w:p w14:paraId="51206D35">
            <w:pPr>
              <w:keepNext w:val="0"/>
              <w:keepLines w:val="0"/>
              <w:suppressLineNumbers w:val="0"/>
              <w:kinsoku w:val="0"/>
              <w:overflowPunct w:val="0"/>
              <w:adjustRightInd w:val="0"/>
              <w:snapToGrid w:val="0"/>
              <w:spacing w:before="0" w:beforeAutospacing="0" w:after="0" w:afterAutospacing="0" w:line="320" w:lineRule="exact"/>
              <w:ind w:left="0" w:right="0"/>
              <w:jc w:val="center"/>
              <w:rPr>
                <w:rFonts w:hint="default" w:eastAsia="仿宋_GB2312"/>
                <w:color w:val="auto"/>
                <w:szCs w:val="21"/>
              </w:rPr>
            </w:pPr>
            <w:r>
              <w:rPr>
                <w:rFonts w:hint="default" w:eastAsia="仿宋_GB2312"/>
                <w:color w:val="auto"/>
                <w:szCs w:val="21"/>
              </w:rPr>
              <w:t>消防废水</w:t>
            </w:r>
          </w:p>
        </w:tc>
        <w:tc>
          <w:tcPr>
            <w:tcW w:w="966" w:type="pct"/>
            <w:vAlign w:val="center"/>
          </w:tcPr>
          <w:p w14:paraId="640A7C5E">
            <w:pPr>
              <w:keepNext w:val="0"/>
              <w:keepLines w:val="0"/>
              <w:suppressLineNumbers w:val="0"/>
              <w:kinsoku w:val="0"/>
              <w:overflowPunct w:val="0"/>
              <w:adjustRightInd w:val="0"/>
              <w:snapToGrid w:val="0"/>
              <w:spacing w:before="0" w:beforeAutospacing="0" w:after="0" w:afterAutospacing="0" w:line="320" w:lineRule="exact"/>
              <w:ind w:left="0" w:right="0"/>
              <w:jc w:val="center"/>
              <w:rPr>
                <w:rFonts w:hint="default" w:eastAsia="仿宋_GB2312"/>
                <w:color w:val="auto"/>
                <w:szCs w:val="21"/>
              </w:rPr>
            </w:pPr>
            <w:r>
              <w:rPr>
                <w:rFonts w:hint="default" w:eastAsia="仿宋_GB2312"/>
                <w:color w:val="auto"/>
                <w:szCs w:val="21"/>
              </w:rPr>
              <w:t>火灾、爆炸</w:t>
            </w:r>
          </w:p>
        </w:tc>
        <w:tc>
          <w:tcPr>
            <w:tcW w:w="726" w:type="pct"/>
            <w:vAlign w:val="center"/>
          </w:tcPr>
          <w:p w14:paraId="0152147E">
            <w:pPr>
              <w:keepNext w:val="0"/>
              <w:keepLines w:val="0"/>
              <w:suppressLineNumbers w:val="0"/>
              <w:kinsoku w:val="0"/>
              <w:overflowPunct w:val="0"/>
              <w:adjustRightInd w:val="0"/>
              <w:snapToGrid w:val="0"/>
              <w:spacing w:before="0" w:beforeAutospacing="0" w:after="0" w:afterAutospacing="0" w:line="320" w:lineRule="exact"/>
              <w:ind w:left="0" w:right="0"/>
              <w:jc w:val="center"/>
              <w:rPr>
                <w:rFonts w:hint="default" w:eastAsia="仿宋_GB2312"/>
                <w:color w:val="auto"/>
                <w:szCs w:val="21"/>
              </w:rPr>
            </w:pPr>
            <w:r>
              <w:rPr>
                <w:rFonts w:hint="default" w:eastAsia="仿宋_GB2312"/>
                <w:color w:val="auto"/>
                <w:szCs w:val="21"/>
              </w:rPr>
              <w:t>地表水</w:t>
            </w:r>
          </w:p>
        </w:tc>
        <w:tc>
          <w:tcPr>
            <w:tcW w:w="965" w:type="pct"/>
            <w:vAlign w:val="center"/>
          </w:tcPr>
          <w:p w14:paraId="44E8E04B">
            <w:pPr>
              <w:pStyle w:val="163"/>
              <w:keepNext w:val="0"/>
              <w:keepLines w:val="0"/>
              <w:suppressLineNumbers w:val="0"/>
              <w:spacing w:before="0" w:beforeAutospacing="0" w:after="0" w:afterAutospacing="0" w:line="320" w:lineRule="exact"/>
              <w:ind w:left="0" w:right="0"/>
              <w:rPr>
                <w:rFonts w:hint="default" w:ascii="Times New Roman" w:eastAsia="仿宋_GB2312"/>
                <w:color w:val="auto"/>
                <w:szCs w:val="21"/>
                <w:lang w:val="en-US" w:eastAsia="zh-CN"/>
              </w:rPr>
            </w:pPr>
            <w:r>
              <w:rPr>
                <w:rFonts w:hint="default" w:ascii="Times New Roman"/>
                <w:color w:val="auto"/>
              </w:rPr>
              <w:t>肖龙港河</w:t>
            </w:r>
            <w:r>
              <w:rPr>
                <w:rFonts w:hint="eastAsia" w:ascii="Times New Roman"/>
                <w:color w:val="auto"/>
                <w:lang w:eastAsia="zh-CN"/>
              </w:rPr>
              <w:t>、</w:t>
            </w:r>
            <w:r>
              <w:rPr>
                <w:rFonts w:hint="default" w:ascii="Times New Roman"/>
                <w:color w:val="auto"/>
              </w:rPr>
              <w:t>省庄河</w:t>
            </w:r>
            <w:r>
              <w:rPr>
                <w:rFonts w:hint="eastAsia" w:ascii="Times New Roman"/>
                <w:color w:val="auto"/>
                <w:lang w:eastAsia="zh-CN"/>
              </w:rPr>
              <w:t>、</w:t>
            </w:r>
            <w:r>
              <w:rPr>
                <w:rFonts w:hint="eastAsia" w:ascii="Times New Roman"/>
                <w:color w:val="auto"/>
                <w:lang w:val="en-US" w:eastAsia="zh-CN"/>
              </w:rPr>
              <w:t>长江</w:t>
            </w:r>
          </w:p>
        </w:tc>
      </w:tr>
    </w:tbl>
    <w:p w14:paraId="705D3E38">
      <w:pPr>
        <w:spacing w:line="500" w:lineRule="exact"/>
        <w:ind w:firstLine="561"/>
        <w:rPr>
          <w:rFonts w:eastAsia="仿宋_GB2312"/>
          <w:color w:val="FF0000"/>
          <w:sz w:val="28"/>
          <w:szCs w:val="28"/>
        </w:rPr>
      </w:pPr>
    </w:p>
    <w:p w14:paraId="0F329546">
      <w:pPr>
        <w:pStyle w:val="35"/>
        <w:rPr>
          <w:rFonts w:eastAsia="仿宋_GB2312"/>
          <w:color w:val="FF0000"/>
          <w:sz w:val="28"/>
          <w:szCs w:val="28"/>
        </w:rPr>
      </w:pPr>
    </w:p>
    <w:p w14:paraId="55970D52">
      <w:pPr>
        <w:pStyle w:val="35"/>
        <w:rPr>
          <w:rFonts w:eastAsia="仿宋_GB2312"/>
          <w:color w:val="FF0000"/>
          <w:sz w:val="28"/>
          <w:szCs w:val="28"/>
        </w:rPr>
      </w:pPr>
    </w:p>
    <w:p w14:paraId="4428D664">
      <w:pPr>
        <w:widowControl/>
        <w:jc w:val="left"/>
        <w:rPr>
          <w:rFonts w:eastAsia="仿宋_GB2312"/>
          <w:b/>
          <w:bCs/>
          <w:color w:val="FF0000"/>
          <w:sz w:val="28"/>
          <w:szCs w:val="28"/>
        </w:rPr>
      </w:pPr>
    </w:p>
    <w:p w14:paraId="6DB59178">
      <w:pPr>
        <w:widowControl/>
        <w:jc w:val="left"/>
        <w:rPr>
          <w:rFonts w:eastAsia="仿宋_GB2312"/>
          <w:b/>
          <w:bCs/>
          <w:color w:val="FF0000"/>
          <w:sz w:val="28"/>
          <w:szCs w:val="28"/>
        </w:rPr>
      </w:pPr>
    </w:p>
    <w:p w14:paraId="699A8BF2">
      <w:pPr>
        <w:rPr>
          <w:rFonts w:eastAsia="仿宋_GB2312"/>
          <w:color w:val="FF0000"/>
        </w:rPr>
        <w:sectPr>
          <w:pgSz w:w="11907" w:h="16840"/>
          <w:pgMar w:top="1440" w:right="1800" w:bottom="1440" w:left="1800" w:header="851" w:footer="992" w:gutter="0"/>
          <w:pgBorders>
            <w:top w:val="none" w:sz="0" w:space="0"/>
            <w:left w:val="none" w:sz="0" w:space="0"/>
            <w:bottom w:val="none" w:sz="0" w:space="0"/>
            <w:right w:val="none" w:sz="0" w:space="0"/>
          </w:pgBorders>
          <w:pgNumType w:fmt="decimal"/>
          <w:cols w:space="425" w:num="1"/>
          <w:docGrid w:linePitch="312" w:charSpace="0"/>
        </w:sectPr>
      </w:pPr>
    </w:p>
    <w:p w14:paraId="68F7BDB8">
      <w:pPr>
        <w:pStyle w:val="5"/>
        <w:spacing w:before="120" w:after="120"/>
        <w:rPr>
          <w:color w:val="auto"/>
          <w:sz w:val="30"/>
          <w:szCs w:val="30"/>
        </w:rPr>
      </w:pPr>
      <w:bookmarkStart w:id="59" w:name="_Toc140174718"/>
      <w:bookmarkStart w:id="60" w:name="_Toc9368"/>
      <w:r>
        <w:rPr>
          <w:color w:val="auto"/>
          <w:sz w:val="30"/>
          <w:szCs w:val="30"/>
        </w:rPr>
        <w:t>3.9建设项目污染源强及排放情况</w:t>
      </w:r>
      <w:bookmarkEnd w:id="59"/>
      <w:bookmarkEnd w:id="60"/>
    </w:p>
    <w:p w14:paraId="033630E3">
      <w:pPr>
        <w:pStyle w:val="6"/>
        <w:keepLines w:val="0"/>
        <w:tabs>
          <w:tab w:val="left" w:pos="709"/>
        </w:tabs>
        <w:spacing w:before="120" w:beforeLines="50" w:after="120" w:afterLines="50" w:line="500" w:lineRule="exact"/>
        <w:rPr>
          <w:rFonts w:eastAsia="仿宋_GB2312"/>
          <w:color w:val="auto"/>
          <w:sz w:val="30"/>
          <w:szCs w:val="30"/>
        </w:rPr>
      </w:pPr>
      <w:bookmarkStart w:id="61" w:name="_Toc13629"/>
      <w:r>
        <w:rPr>
          <w:rFonts w:eastAsia="仿宋_GB2312"/>
          <w:color w:val="auto"/>
          <w:sz w:val="30"/>
          <w:szCs w:val="30"/>
        </w:rPr>
        <w:t>3.9.1废气污染物源强及排放情况</w:t>
      </w:r>
      <w:bookmarkEnd w:id="61"/>
    </w:p>
    <w:p w14:paraId="50FE1D4D">
      <w:pPr>
        <w:spacing w:line="500" w:lineRule="exact"/>
        <w:outlineLvl w:val="3"/>
        <w:rPr>
          <w:rFonts w:eastAsia="仿宋_GB2312"/>
          <w:b/>
          <w:bCs/>
          <w:color w:val="auto"/>
          <w:sz w:val="28"/>
          <w:szCs w:val="28"/>
        </w:rPr>
      </w:pPr>
      <w:r>
        <w:rPr>
          <w:rFonts w:eastAsia="仿宋_GB2312"/>
          <w:b/>
          <w:bCs/>
          <w:color w:val="auto"/>
          <w:sz w:val="28"/>
          <w:szCs w:val="28"/>
        </w:rPr>
        <w:t>3.9.1.1正常工况下有组织废气源强</w:t>
      </w:r>
    </w:p>
    <w:p w14:paraId="3FB6EC97">
      <w:pPr>
        <w:spacing w:line="500" w:lineRule="exact"/>
        <w:ind w:firstLine="561"/>
        <w:rPr>
          <w:rFonts w:eastAsia="仿宋_GB2312"/>
          <w:color w:val="auto"/>
          <w:sz w:val="28"/>
          <w:szCs w:val="28"/>
        </w:rPr>
      </w:pPr>
      <w:r>
        <w:rPr>
          <w:rFonts w:eastAsia="仿宋_GB2312"/>
          <w:color w:val="auto"/>
          <w:sz w:val="28"/>
          <w:szCs w:val="28"/>
        </w:rPr>
        <w:t>本项目有组织废气污染源源强汇总见表3.9-1。</w:t>
      </w:r>
    </w:p>
    <w:p w14:paraId="679F30A0">
      <w:pPr>
        <w:spacing w:line="500" w:lineRule="exact"/>
        <w:jc w:val="center"/>
        <w:rPr>
          <w:rFonts w:eastAsia="仿宋_GB2312"/>
          <w:b/>
          <w:color w:val="auto"/>
          <w:sz w:val="24"/>
        </w:rPr>
      </w:pPr>
      <w:r>
        <w:rPr>
          <w:rFonts w:eastAsia="仿宋_GB2312"/>
          <w:b/>
          <w:color w:val="auto"/>
          <w:sz w:val="24"/>
        </w:rPr>
        <w:t>表3.9-1  本项目有组织废气污染源源强汇总</w:t>
      </w:r>
    </w:p>
    <w:tbl>
      <w:tblPr>
        <w:tblStyle w:val="89"/>
        <w:tblW w:w="5542"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039"/>
        <w:gridCol w:w="1068"/>
        <w:gridCol w:w="1247"/>
        <w:gridCol w:w="1332"/>
        <w:gridCol w:w="1077"/>
        <w:gridCol w:w="1488"/>
        <w:gridCol w:w="2447"/>
        <w:gridCol w:w="1134"/>
        <w:gridCol w:w="1330"/>
        <w:gridCol w:w="1881"/>
        <w:gridCol w:w="872"/>
      </w:tblGrid>
      <w:tr w14:paraId="6B23CD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Align w:val="center"/>
          </w:tcPr>
          <w:p w14:paraId="6C6F642E">
            <w:pPr>
              <w:jc w:val="center"/>
              <w:rPr>
                <w:rFonts w:eastAsia="仿宋_GB2312"/>
                <w:b/>
                <w:bCs/>
                <w:color w:val="auto"/>
                <w:szCs w:val="21"/>
              </w:rPr>
            </w:pPr>
            <w:r>
              <w:rPr>
                <w:rFonts w:eastAsia="仿宋_GB2312"/>
                <w:b/>
                <w:bCs/>
                <w:color w:val="auto"/>
                <w:szCs w:val="21"/>
              </w:rPr>
              <w:t>车间名称</w:t>
            </w:r>
          </w:p>
        </w:tc>
        <w:tc>
          <w:tcPr>
            <w:tcW w:w="358" w:type="pct"/>
            <w:vAlign w:val="center"/>
          </w:tcPr>
          <w:p w14:paraId="642CC656">
            <w:pPr>
              <w:jc w:val="center"/>
              <w:rPr>
                <w:rFonts w:eastAsia="仿宋_GB2312"/>
                <w:b/>
                <w:bCs/>
                <w:color w:val="auto"/>
                <w:szCs w:val="21"/>
              </w:rPr>
            </w:pPr>
            <w:r>
              <w:rPr>
                <w:rFonts w:eastAsia="仿宋_GB2312"/>
                <w:b/>
                <w:bCs/>
                <w:color w:val="auto"/>
                <w:szCs w:val="21"/>
              </w:rPr>
              <w:t>产品名称</w:t>
            </w:r>
          </w:p>
        </w:tc>
        <w:tc>
          <w:tcPr>
            <w:tcW w:w="418" w:type="pct"/>
            <w:vAlign w:val="center"/>
          </w:tcPr>
          <w:p w14:paraId="197EBF5E">
            <w:pPr>
              <w:jc w:val="center"/>
              <w:rPr>
                <w:rFonts w:eastAsia="仿宋_GB2312"/>
                <w:b/>
                <w:bCs/>
                <w:color w:val="auto"/>
                <w:szCs w:val="21"/>
              </w:rPr>
            </w:pPr>
            <w:r>
              <w:rPr>
                <w:rFonts w:eastAsia="仿宋_GB2312"/>
                <w:b/>
                <w:bCs/>
                <w:color w:val="auto"/>
                <w:szCs w:val="21"/>
              </w:rPr>
              <w:t>废气编号</w:t>
            </w:r>
          </w:p>
        </w:tc>
        <w:tc>
          <w:tcPr>
            <w:tcW w:w="446" w:type="pct"/>
            <w:vAlign w:val="center"/>
          </w:tcPr>
          <w:p w14:paraId="44A0E0AD">
            <w:pPr>
              <w:jc w:val="center"/>
              <w:rPr>
                <w:rFonts w:eastAsia="仿宋_GB2312"/>
                <w:b/>
                <w:bCs/>
                <w:color w:val="auto"/>
                <w:szCs w:val="21"/>
              </w:rPr>
            </w:pPr>
            <w:r>
              <w:rPr>
                <w:rFonts w:eastAsia="仿宋_GB2312"/>
                <w:b/>
                <w:bCs/>
                <w:color w:val="auto"/>
                <w:szCs w:val="21"/>
              </w:rPr>
              <w:t>污染源位置或工序</w:t>
            </w:r>
          </w:p>
        </w:tc>
        <w:tc>
          <w:tcPr>
            <w:tcW w:w="361" w:type="pct"/>
            <w:vAlign w:val="center"/>
          </w:tcPr>
          <w:p w14:paraId="7D44E381">
            <w:pPr>
              <w:jc w:val="center"/>
              <w:rPr>
                <w:rFonts w:eastAsia="仿宋_GB2312"/>
                <w:b/>
                <w:bCs/>
                <w:color w:val="auto"/>
                <w:szCs w:val="21"/>
              </w:rPr>
            </w:pPr>
            <w:r>
              <w:rPr>
                <w:rFonts w:eastAsia="仿宋_GB2312"/>
                <w:b/>
                <w:bCs/>
                <w:color w:val="auto"/>
                <w:szCs w:val="21"/>
              </w:rPr>
              <w:t>废气量（m</w:t>
            </w:r>
            <w:r>
              <w:rPr>
                <w:rFonts w:eastAsia="仿宋_GB2312"/>
                <w:b/>
                <w:bCs/>
                <w:color w:val="auto"/>
                <w:szCs w:val="21"/>
                <w:vertAlign w:val="superscript"/>
              </w:rPr>
              <w:t>3</w:t>
            </w:r>
            <w:r>
              <w:rPr>
                <w:rFonts w:eastAsia="仿宋_GB2312"/>
                <w:b/>
                <w:bCs/>
                <w:color w:val="auto"/>
                <w:szCs w:val="21"/>
              </w:rPr>
              <w:t>/h）</w:t>
            </w:r>
          </w:p>
        </w:tc>
        <w:tc>
          <w:tcPr>
            <w:tcW w:w="498" w:type="pct"/>
            <w:vAlign w:val="center"/>
          </w:tcPr>
          <w:p w14:paraId="56777D50">
            <w:pPr>
              <w:jc w:val="center"/>
              <w:rPr>
                <w:rFonts w:eastAsia="仿宋_GB2312"/>
                <w:b/>
                <w:bCs/>
                <w:color w:val="auto"/>
                <w:szCs w:val="21"/>
              </w:rPr>
            </w:pPr>
            <w:r>
              <w:rPr>
                <w:rFonts w:eastAsia="仿宋_GB2312"/>
                <w:b/>
                <w:bCs/>
                <w:color w:val="auto"/>
                <w:szCs w:val="21"/>
              </w:rPr>
              <w:t>工序排放时间（h/a）</w:t>
            </w:r>
          </w:p>
        </w:tc>
        <w:tc>
          <w:tcPr>
            <w:tcW w:w="820" w:type="pct"/>
            <w:vAlign w:val="center"/>
          </w:tcPr>
          <w:p w14:paraId="18F2D208">
            <w:pPr>
              <w:jc w:val="center"/>
              <w:rPr>
                <w:rFonts w:eastAsia="仿宋_GB2312"/>
                <w:b/>
                <w:bCs/>
                <w:color w:val="auto"/>
                <w:szCs w:val="21"/>
              </w:rPr>
            </w:pPr>
            <w:r>
              <w:rPr>
                <w:rFonts w:eastAsia="仿宋_GB2312"/>
                <w:b/>
                <w:bCs/>
                <w:color w:val="auto"/>
                <w:szCs w:val="21"/>
              </w:rPr>
              <w:t>污染物名称</w:t>
            </w:r>
          </w:p>
        </w:tc>
        <w:tc>
          <w:tcPr>
            <w:tcW w:w="380" w:type="pct"/>
            <w:vAlign w:val="center"/>
          </w:tcPr>
          <w:p w14:paraId="5C4B0C07">
            <w:pPr>
              <w:jc w:val="center"/>
              <w:rPr>
                <w:rFonts w:eastAsia="仿宋_GB2312"/>
                <w:b/>
                <w:bCs/>
                <w:color w:val="auto"/>
                <w:szCs w:val="21"/>
              </w:rPr>
            </w:pPr>
            <w:r>
              <w:rPr>
                <w:rFonts w:eastAsia="仿宋_GB2312"/>
                <w:b/>
                <w:bCs/>
                <w:color w:val="auto"/>
                <w:szCs w:val="21"/>
              </w:rPr>
              <w:t>最大产生速率（kg/h）</w:t>
            </w:r>
          </w:p>
        </w:tc>
        <w:tc>
          <w:tcPr>
            <w:tcW w:w="445" w:type="pct"/>
            <w:vAlign w:val="center"/>
          </w:tcPr>
          <w:p w14:paraId="22C13343">
            <w:pPr>
              <w:jc w:val="center"/>
              <w:rPr>
                <w:rFonts w:eastAsia="仿宋_GB2312"/>
                <w:b/>
                <w:bCs/>
                <w:color w:val="auto"/>
                <w:szCs w:val="21"/>
              </w:rPr>
            </w:pPr>
            <w:r>
              <w:rPr>
                <w:rFonts w:eastAsia="仿宋_GB2312"/>
                <w:b/>
                <w:bCs/>
                <w:color w:val="auto"/>
                <w:szCs w:val="21"/>
              </w:rPr>
              <w:t>产生量（t/a）</w:t>
            </w:r>
          </w:p>
        </w:tc>
        <w:tc>
          <w:tcPr>
            <w:tcW w:w="630" w:type="pct"/>
            <w:vAlign w:val="center"/>
          </w:tcPr>
          <w:p w14:paraId="0C9903B2">
            <w:pPr>
              <w:jc w:val="center"/>
              <w:rPr>
                <w:rFonts w:eastAsia="仿宋_GB2312"/>
                <w:b/>
                <w:bCs/>
                <w:color w:val="auto"/>
                <w:szCs w:val="21"/>
              </w:rPr>
            </w:pPr>
            <w:r>
              <w:rPr>
                <w:rFonts w:eastAsia="仿宋_GB2312"/>
                <w:b/>
                <w:bCs/>
                <w:color w:val="auto"/>
                <w:szCs w:val="21"/>
              </w:rPr>
              <w:t>污染治理措施</w:t>
            </w:r>
          </w:p>
        </w:tc>
        <w:tc>
          <w:tcPr>
            <w:tcW w:w="292" w:type="pct"/>
            <w:vAlign w:val="center"/>
          </w:tcPr>
          <w:p w14:paraId="7A066BC2">
            <w:pPr>
              <w:jc w:val="center"/>
              <w:rPr>
                <w:rFonts w:eastAsia="仿宋_GB2312"/>
                <w:b/>
                <w:bCs/>
                <w:color w:val="auto"/>
                <w:szCs w:val="21"/>
              </w:rPr>
            </w:pPr>
            <w:r>
              <w:rPr>
                <w:rFonts w:eastAsia="仿宋_GB2312"/>
                <w:b/>
                <w:bCs/>
                <w:color w:val="auto"/>
                <w:szCs w:val="21"/>
              </w:rPr>
              <w:t>排气筒编号</w:t>
            </w:r>
          </w:p>
        </w:tc>
      </w:tr>
      <w:tr w14:paraId="197841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restart"/>
            <w:vAlign w:val="center"/>
          </w:tcPr>
          <w:p w14:paraId="3A463B70">
            <w:pPr>
              <w:jc w:val="center"/>
              <w:rPr>
                <w:rFonts w:eastAsia="仿宋_GB2312"/>
                <w:color w:val="auto"/>
                <w:szCs w:val="21"/>
              </w:rPr>
            </w:pPr>
            <w:r>
              <w:rPr>
                <w:rFonts w:eastAsia="仿宋_GB2312"/>
                <w:color w:val="auto"/>
                <w:szCs w:val="21"/>
              </w:rPr>
              <w:t>B-7车间</w:t>
            </w:r>
          </w:p>
        </w:tc>
        <w:tc>
          <w:tcPr>
            <w:tcW w:w="358" w:type="pct"/>
            <w:vMerge w:val="restart"/>
            <w:vAlign w:val="center"/>
          </w:tcPr>
          <w:p w14:paraId="5D64AB98">
            <w:pPr>
              <w:jc w:val="center"/>
              <w:rPr>
                <w:rFonts w:eastAsia="仿宋_GB2312"/>
                <w:bCs/>
                <w:color w:val="auto"/>
                <w:szCs w:val="21"/>
              </w:rPr>
            </w:pPr>
            <w:r>
              <w:rPr>
                <w:rFonts w:eastAsia="仿宋_GB2312"/>
                <w:bCs/>
                <w:color w:val="auto"/>
                <w:szCs w:val="21"/>
              </w:rPr>
              <w:t>N-甲基吡咯烷酮</w:t>
            </w:r>
          </w:p>
        </w:tc>
        <w:tc>
          <w:tcPr>
            <w:tcW w:w="418" w:type="pct"/>
            <w:vMerge w:val="restart"/>
            <w:vAlign w:val="center"/>
          </w:tcPr>
          <w:p w14:paraId="254BED96">
            <w:pPr>
              <w:jc w:val="center"/>
              <w:rPr>
                <w:rFonts w:eastAsia="仿宋_GB2312"/>
                <w:color w:val="auto"/>
                <w:szCs w:val="21"/>
              </w:rPr>
            </w:pPr>
            <w:r>
              <w:rPr>
                <w:rFonts w:eastAsia="仿宋_GB2312"/>
                <w:color w:val="auto"/>
                <w:kern w:val="0"/>
                <w:szCs w:val="21"/>
                <w:lang w:bidi="ar"/>
              </w:rPr>
              <w:t>G1-1-1</w:t>
            </w:r>
          </w:p>
        </w:tc>
        <w:tc>
          <w:tcPr>
            <w:tcW w:w="446" w:type="pct"/>
            <w:vMerge w:val="restart"/>
            <w:vAlign w:val="center"/>
          </w:tcPr>
          <w:p w14:paraId="67381ECD">
            <w:pPr>
              <w:jc w:val="center"/>
              <w:rPr>
                <w:rFonts w:eastAsia="仿宋_GB2312"/>
                <w:color w:val="auto"/>
                <w:szCs w:val="21"/>
              </w:rPr>
            </w:pPr>
            <w:r>
              <w:rPr>
                <w:rFonts w:eastAsia="仿宋_GB2312"/>
                <w:color w:val="auto"/>
                <w:kern w:val="0"/>
                <w:szCs w:val="21"/>
                <w:lang w:bidi="ar"/>
              </w:rPr>
              <w:t>投料废气</w:t>
            </w:r>
          </w:p>
        </w:tc>
        <w:tc>
          <w:tcPr>
            <w:tcW w:w="361" w:type="pct"/>
            <w:vMerge w:val="restart"/>
            <w:vAlign w:val="center"/>
          </w:tcPr>
          <w:p w14:paraId="0E301E0B">
            <w:pPr>
              <w:jc w:val="center"/>
              <w:rPr>
                <w:rFonts w:hint="default" w:eastAsia="仿宋_GB2312"/>
                <w:color w:val="auto"/>
                <w:szCs w:val="21"/>
                <w:lang w:val="en-US" w:eastAsia="zh-CN"/>
              </w:rPr>
            </w:pPr>
            <w:r>
              <w:rPr>
                <w:rFonts w:hint="eastAsia" w:eastAsia="仿宋_GB2312"/>
                <w:color w:val="auto"/>
                <w:szCs w:val="21"/>
                <w:lang w:val="en-US" w:eastAsia="zh-CN"/>
              </w:rPr>
              <w:t>2000</w:t>
            </w:r>
          </w:p>
        </w:tc>
        <w:tc>
          <w:tcPr>
            <w:tcW w:w="498" w:type="pct"/>
            <w:vMerge w:val="restart"/>
            <w:vAlign w:val="center"/>
          </w:tcPr>
          <w:p w14:paraId="403280F0">
            <w:pPr>
              <w:keepNext w:val="0"/>
              <w:keepLines w:val="0"/>
              <w:widowControl/>
              <w:suppressLineNumbers w:val="0"/>
              <w:jc w:val="center"/>
              <w:textAlignment w:val="bottom"/>
              <w:rPr>
                <w:rFonts w:eastAsia="仿宋_GB2312"/>
                <w:color w:val="auto"/>
                <w:kern w:val="0"/>
                <w:szCs w:val="21"/>
                <w:lang w:bidi="ar"/>
              </w:rPr>
            </w:pPr>
            <w:r>
              <w:rPr>
                <w:rFonts w:hint="default" w:ascii="Times New Roman" w:hAnsi="Times New Roman" w:eastAsia="宋体" w:cs="Times New Roman"/>
                <w:i w:val="0"/>
                <w:iCs w:val="0"/>
                <w:color w:val="auto"/>
                <w:kern w:val="0"/>
                <w:sz w:val="21"/>
                <w:szCs w:val="21"/>
                <w:u w:val="none"/>
                <w:lang w:val="en-US" w:eastAsia="zh-CN" w:bidi="ar"/>
              </w:rPr>
              <w:t>1050</w:t>
            </w:r>
          </w:p>
        </w:tc>
        <w:tc>
          <w:tcPr>
            <w:tcW w:w="820" w:type="pct"/>
            <w:vAlign w:val="center"/>
          </w:tcPr>
          <w:p w14:paraId="3032253A">
            <w:pPr>
              <w:jc w:val="center"/>
              <w:rPr>
                <w:rFonts w:eastAsia="仿宋_GB2312"/>
                <w:color w:val="auto"/>
                <w:szCs w:val="21"/>
              </w:rPr>
            </w:pPr>
            <w:r>
              <w:rPr>
                <w:rFonts w:eastAsia="仿宋_GB2312"/>
                <w:color w:val="auto"/>
                <w:kern w:val="0"/>
                <w:szCs w:val="21"/>
                <w:lang w:bidi="ar"/>
              </w:rPr>
              <w:t>NMP</w:t>
            </w:r>
          </w:p>
        </w:tc>
        <w:tc>
          <w:tcPr>
            <w:tcW w:w="380" w:type="pct"/>
            <w:shd w:val="clear" w:color="auto" w:fill="auto"/>
            <w:vAlign w:val="center"/>
          </w:tcPr>
          <w:p w14:paraId="71263C72">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2.1</w:t>
            </w:r>
            <w:r>
              <w:rPr>
                <w:rFonts w:hint="eastAsia" w:ascii="Times New Roman" w:hAnsi="Times New Roman" w:eastAsia="宋体" w:cs="Times New Roman"/>
                <w:i w:val="0"/>
                <w:iCs w:val="0"/>
                <w:color w:val="auto"/>
                <w:kern w:val="0"/>
                <w:sz w:val="21"/>
                <w:szCs w:val="21"/>
                <w:u w:val="none"/>
                <w:lang w:val="en-US" w:eastAsia="zh-CN" w:bidi="ar"/>
              </w:rPr>
              <w:t>7</w:t>
            </w:r>
          </w:p>
        </w:tc>
        <w:tc>
          <w:tcPr>
            <w:tcW w:w="445" w:type="pct"/>
            <w:shd w:val="clear" w:color="auto" w:fill="auto"/>
            <w:vAlign w:val="center"/>
          </w:tcPr>
          <w:p w14:paraId="08BCEE4A">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2.275</w:t>
            </w:r>
          </w:p>
        </w:tc>
        <w:tc>
          <w:tcPr>
            <w:tcW w:w="630" w:type="pct"/>
            <w:vMerge w:val="restart"/>
            <w:shd w:val="clear" w:color="auto" w:fill="auto"/>
            <w:vAlign w:val="center"/>
          </w:tcPr>
          <w:p w14:paraId="2C3B2341">
            <w:pPr>
              <w:jc w:val="center"/>
              <w:rPr>
                <w:rFonts w:eastAsia="仿宋_GB2312"/>
                <w:color w:val="auto"/>
                <w:szCs w:val="21"/>
              </w:rPr>
            </w:pPr>
            <w:r>
              <w:rPr>
                <w:rFonts w:hint="eastAsia" w:eastAsia="仿宋_GB2312"/>
                <w:color w:val="auto"/>
                <w:szCs w:val="21"/>
              </w:rPr>
              <w:t>冷凝+酸吸收+碱吸收+水洗+活性炭吸附/脱附</w:t>
            </w:r>
          </w:p>
        </w:tc>
        <w:tc>
          <w:tcPr>
            <w:tcW w:w="292" w:type="pct"/>
            <w:vMerge w:val="restart"/>
            <w:shd w:val="clear" w:color="auto" w:fill="auto"/>
            <w:vAlign w:val="center"/>
          </w:tcPr>
          <w:p w14:paraId="184D45E3">
            <w:pPr>
              <w:jc w:val="center"/>
              <w:rPr>
                <w:rFonts w:eastAsia="仿宋_GB2312"/>
                <w:color w:val="auto"/>
                <w:szCs w:val="21"/>
              </w:rPr>
            </w:pPr>
            <w:r>
              <w:rPr>
                <w:rFonts w:hint="eastAsia" w:eastAsia="仿宋_GB2312"/>
                <w:color w:val="auto"/>
              </w:rPr>
              <w:t>DA005</w:t>
            </w:r>
          </w:p>
        </w:tc>
      </w:tr>
      <w:tr w14:paraId="3AC703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01A5D9E1">
            <w:pPr>
              <w:jc w:val="center"/>
              <w:rPr>
                <w:rFonts w:eastAsia="仿宋_GB2312"/>
                <w:color w:val="auto"/>
                <w:szCs w:val="21"/>
              </w:rPr>
            </w:pPr>
          </w:p>
        </w:tc>
        <w:tc>
          <w:tcPr>
            <w:tcW w:w="358" w:type="pct"/>
            <w:vMerge w:val="continue"/>
            <w:vAlign w:val="center"/>
          </w:tcPr>
          <w:p w14:paraId="0D5FEE1C">
            <w:pPr>
              <w:jc w:val="center"/>
              <w:rPr>
                <w:rFonts w:eastAsia="仿宋_GB2312"/>
                <w:bCs/>
                <w:color w:val="auto"/>
                <w:szCs w:val="21"/>
              </w:rPr>
            </w:pPr>
          </w:p>
        </w:tc>
        <w:tc>
          <w:tcPr>
            <w:tcW w:w="418" w:type="pct"/>
            <w:vMerge w:val="continue"/>
            <w:vAlign w:val="center"/>
          </w:tcPr>
          <w:p w14:paraId="45F87ECF">
            <w:pPr>
              <w:jc w:val="center"/>
              <w:rPr>
                <w:rFonts w:eastAsia="仿宋_GB2312"/>
                <w:color w:val="auto"/>
                <w:kern w:val="0"/>
                <w:szCs w:val="21"/>
                <w:lang w:bidi="ar"/>
              </w:rPr>
            </w:pPr>
          </w:p>
        </w:tc>
        <w:tc>
          <w:tcPr>
            <w:tcW w:w="446" w:type="pct"/>
            <w:vMerge w:val="continue"/>
            <w:vAlign w:val="center"/>
          </w:tcPr>
          <w:p w14:paraId="64D694C9">
            <w:pPr>
              <w:jc w:val="center"/>
              <w:rPr>
                <w:rFonts w:eastAsia="仿宋_GB2312"/>
                <w:color w:val="auto"/>
                <w:kern w:val="0"/>
                <w:szCs w:val="21"/>
                <w:lang w:bidi="ar"/>
              </w:rPr>
            </w:pPr>
          </w:p>
        </w:tc>
        <w:tc>
          <w:tcPr>
            <w:tcW w:w="361" w:type="pct"/>
            <w:vMerge w:val="continue"/>
            <w:vAlign w:val="center"/>
          </w:tcPr>
          <w:p w14:paraId="1DD2A8C2">
            <w:pPr>
              <w:jc w:val="center"/>
              <w:rPr>
                <w:rFonts w:eastAsia="仿宋_GB2312"/>
                <w:color w:val="auto"/>
                <w:szCs w:val="21"/>
              </w:rPr>
            </w:pPr>
          </w:p>
        </w:tc>
        <w:tc>
          <w:tcPr>
            <w:tcW w:w="498" w:type="pct"/>
            <w:vMerge w:val="continue"/>
            <w:vAlign w:val="center"/>
          </w:tcPr>
          <w:p w14:paraId="4A4BAF41">
            <w:pPr>
              <w:keepNext w:val="0"/>
              <w:keepLines w:val="0"/>
              <w:widowControl/>
              <w:suppressLineNumbers w:val="0"/>
              <w:jc w:val="center"/>
              <w:textAlignment w:val="bottom"/>
              <w:rPr>
                <w:rFonts w:eastAsia="仿宋_GB2312"/>
                <w:color w:val="auto"/>
                <w:kern w:val="0"/>
                <w:szCs w:val="21"/>
                <w:lang w:bidi="ar"/>
              </w:rPr>
            </w:pPr>
          </w:p>
        </w:tc>
        <w:tc>
          <w:tcPr>
            <w:tcW w:w="820" w:type="pct"/>
            <w:vAlign w:val="center"/>
          </w:tcPr>
          <w:p w14:paraId="5B2EBBCF">
            <w:pPr>
              <w:jc w:val="center"/>
              <w:rPr>
                <w:rFonts w:eastAsia="仿宋_GB2312"/>
                <w:color w:val="auto"/>
                <w:kern w:val="0"/>
                <w:szCs w:val="21"/>
                <w:lang w:bidi="ar"/>
              </w:rPr>
            </w:pPr>
            <w:r>
              <w:rPr>
                <w:rFonts w:eastAsia="仿宋_GB2312"/>
                <w:color w:val="auto"/>
                <w:kern w:val="0"/>
                <w:szCs w:val="21"/>
                <w:lang w:bidi="ar"/>
              </w:rPr>
              <w:t>其他有机物</w:t>
            </w:r>
          </w:p>
        </w:tc>
        <w:tc>
          <w:tcPr>
            <w:tcW w:w="380" w:type="pct"/>
            <w:shd w:val="clear" w:color="auto" w:fill="auto"/>
            <w:vAlign w:val="center"/>
          </w:tcPr>
          <w:p w14:paraId="7EBA13E7">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0.06</w:t>
            </w:r>
            <w:r>
              <w:rPr>
                <w:rFonts w:hint="eastAsia" w:ascii="Times New Roman" w:hAnsi="Times New Roman" w:eastAsia="宋体" w:cs="Times New Roman"/>
                <w:i w:val="0"/>
                <w:iCs w:val="0"/>
                <w:color w:val="auto"/>
                <w:kern w:val="0"/>
                <w:sz w:val="21"/>
                <w:szCs w:val="21"/>
                <w:u w:val="none"/>
                <w:lang w:val="en-US" w:eastAsia="zh-CN" w:bidi="ar"/>
              </w:rPr>
              <w:t>7</w:t>
            </w:r>
          </w:p>
        </w:tc>
        <w:tc>
          <w:tcPr>
            <w:tcW w:w="445" w:type="pct"/>
            <w:shd w:val="clear" w:color="auto" w:fill="auto"/>
            <w:vAlign w:val="center"/>
          </w:tcPr>
          <w:p w14:paraId="1568ED2D">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0.07</w:t>
            </w:r>
          </w:p>
        </w:tc>
        <w:tc>
          <w:tcPr>
            <w:tcW w:w="630" w:type="pct"/>
            <w:vMerge w:val="continue"/>
            <w:vAlign w:val="center"/>
          </w:tcPr>
          <w:p w14:paraId="2A852AA2">
            <w:pPr>
              <w:jc w:val="center"/>
              <w:rPr>
                <w:rFonts w:eastAsia="仿宋_GB2312"/>
                <w:color w:val="auto"/>
                <w:kern w:val="0"/>
                <w:szCs w:val="21"/>
                <w:lang w:bidi="ar"/>
              </w:rPr>
            </w:pPr>
          </w:p>
        </w:tc>
        <w:tc>
          <w:tcPr>
            <w:tcW w:w="292" w:type="pct"/>
            <w:vMerge w:val="continue"/>
            <w:vAlign w:val="center"/>
          </w:tcPr>
          <w:p w14:paraId="644C1069">
            <w:pPr>
              <w:jc w:val="center"/>
              <w:rPr>
                <w:rFonts w:eastAsia="仿宋_GB2312"/>
                <w:color w:val="auto"/>
                <w:szCs w:val="21"/>
              </w:rPr>
            </w:pPr>
          </w:p>
        </w:tc>
      </w:tr>
      <w:tr w14:paraId="41AC0A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553AAE6D">
            <w:pPr>
              <w:jc w:val="center"/>
              <w:rPr>
                <w:rFonts w:eastAsia="仿宋_GB2312"/>
                <w:color w:val="auto"/>
                <w:szCs w:val="21"/>
              </w:rPr>
            </w:pPr>
          </w:p>
        </w:tc>
        <w:tc>
          <w:tcPr>
            <w:tcW w:w="358" w:type="pct"/>
            <w:vMerge w:val="continue"/>
            <w:vAlign w:val="center"/>
          </w:tcPr>
          <w:p w14:paraId="64A14BC9">
            <w:pPr>
              <w:jc w:val="center"/>
              <w:rPr>
                <w:rFonts w:eastAsia="仿宋_GB2312"/>
                <w:color w:val="auto"/>
                <w:szCs w:val="21"/>
              </w:rPr>
            </w:pPr>
          </w:p>
        </w:tc>
        <w:tc>
          <w:tcPr>
            <w:tcW w:w="418" w:type="pct"/>
            <w:vMerge w:val="restart"/>
            <w:vAlign w:val="center"/>
          </w:tcPr>
          <w:p w14:paraId="43398B21">
            <w:pPr>
              <w:jc w:val="center"/>
              <w:rPr>
                <w:rFonts w:eastAsia="仿宋_GB2312"/>
                <w:color w:val="auto"/>
                <w:szCs w:val="21"/>
              </w:rPr>
            </w:pPr>
            <w:r>
              <w:rPr>
                <w:rFonts w:eastAsia="仿宋_GB2312"/>
                <w:color w:val="auto"/>
                <w:kern w:val="0"/>
                <w:szCs w:val="21"/>
                <w:lang w:bidi="ar"/>
              </w:rPr>
              <w:t>G1-1-2</w:t>
            </w:r>
          </w:p>
        </w:tc>
        <w:tc>
          <w:tcPr>
            <w:tcW w:w="446" w:type="pct"/>
            <w:vMerge w:val="restart"/>
            <w:vAlign w:val="center"/>
          </w:tcPr>
          <w:p w14:paraId="213367AA">
            <w:pPr>
              <w:jc w:val="center"/>
              <w:rPr>
                <w:rFonts w:eastAsia="仿宋_GB2312"/>
                <w:color w:val="auto"/>
                <w:szCs w:val="21"/>
              </w:rPr>
            </w:pPr>
            <w:r>
              <w:rPr>
                <w:rFonts w:eastAsia="仿宋_GB2312"/>
                <w:color w:val="auto"/>
                <w:kern w:val="0"/>
                <w:szCs w:val="21"/>
                <w:lang w:bidi="ar"/>
              </w:rPr>
              <w:t>调节废气</w:t>
            </w:r>
          </w:p>
        </w:tc>
        <w:tc>
          <w:tcPr>
            <w:tcW w:w="361" w:type="pct"/>
            <w:vMerge w:val="restart"/>
            <w:vAlign w:val="center"/>
          </w:tcPr>
          <w:p w14:paraId="544F3FB9">
            <w:pPr>
              <w:jc w:val="center"/>
              <w:rPr>
                <w:rFonts w:eastAsia="仿宋_GB2312"/>
                <w:color w:val="auto"/>
                <w:szCs w:val="21"/>
              </w:rPr>
            </w:pPr>
            <w:r>
              <w:rPr>
                <w:rFonts w:eastAsia="仿宋_GB2312"/>
                <w:color w:val="auto"/>
                <w:szCs w:val="21"/>
              </w:rPr>
              <w:t>100</w:t>
            </w:r>
          </w:p>
        </w:tc>
        <w:tc>
          <w:tcPr>
            <w:tcW w:w="498" w:type="pct"/>
            <w:vMerge w:val="restart"/>
            <w:vAlign w:val="center"/>
          </w:tcPr>
          <w:p w14:paraId="4D232E07">
            <w:pPr>
              <w:keepNext w:val="0"/>
              <w:keepLines w:val="0"/>
              <w:widowControl/>
              <w:suppressLineNumbers w:val="0"/>
              <w:jc w:val="center"/>
              <w:textAlignment w:val="bottom"/>
              <w:rPr>
                <w:rFonts w:eastAsia="仿宋_GB2312"/>
                <w:color w:val="auto"/>
                <w:kern w:val="0"/>
                <w:szCs w:val="21"/>
                <w:lang w:bidi="ar"/>
              </w:rPr>
            </w:pPr>
            <w:r>
              <w:rPr>
                <w:rFonts w:hint="default" w:ascii="Times New Roman" w:hAnsi="Times New Roman" w:eastAsia="宋体" w:cs="Times New Roman"/>
                <w:i w:val="0"/>
                <w:iCs w:val="0"/>
                <w:color w:val="auto"/>
                <w:kern w:val="0"/>
                <w:sz w:val="21"/>
                <w:szCs w:val="21"/>
                <w:u w:val="none"/>
                <w:lang w:val="en-US" w:eastAsia="zh-CN" w:bidi="ar"/>
              </w:rPr>
              <w:t>1050</w:t>
            </w:r>
          </w:p>
        </w:tc>
        <w:tc>
          <w:tcPr>
            <w:tcW w:w="820" w:type="pct"/>
            <w:vAlign w:val="center"/>
          </w:tcPr>
          <w:p w14:paraId="0E7492C5">
            <w:pPr>
              <w:jc w:val="center"/>
              <w:rPr>
                <w:rFonts w:eastAsia="仿宋_GB2312"/>
                <w:color w:val="auto"/>
                <w:szCs w:val="21"/>
              </w:rPr>
            </w:pPr>
            <w:r>
              <w:rPr>
                <w:rFonts w:eastAsia="仿宋_GB2312"/>
                <w:color w:val="auto"/>
                <w:kern w:val="0"/>
                <w:szCs w:val="21"/>
                <w:lang w:bidi="ar"/>
              </w:rPr>
              <w:t>NMP</w:t>
            </w:r>
          </w:p>
        </w:tc>
        <w:tc>
          <w:tcPr>
            <w:tcW w:w="380" w:type="pct"/>
            <w:shd w:val="clear" w:color="auto" w:fill="auto"/>
            <w:vAlign w:val="center"/>
          </w:tcPr>
          <w:p w14:paraId="5EBF26C3">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1.09</w:t>
            </w:r>
          </w:p>
        </w:tc>
        <w:tc>
          <w:tcPr>
            <w:tcW w:w="445" w:type="pct"/>
            <w:shd w:val="clear" w:color="auto" w:fill="auto"/>
            <w:vAlign w:val="center"/>
          </w:tcPr>
          <w:p w14:paraId="5DB86596">
            <w:pPr>
              <w:widowControl/>
              <w:jc w:val="center"/>
              <w:textAlignment w:val="center"/>
              <w:rPr>
                <w:rFonts w:ascii="Times New Roman" w:hAnsi="Times New Roman" w:eastAsia="仿宋_GB2312" w:cs="Times New Roman"/>
                <w:color w:val="auto"/>
                <w:kern w:val="0"/>
                <w:sz w:val="21"/>
                <w:szCs w:val="21"/>
                <w:lang w:val="en-US" w:eastAsia="zh-CN" w:bidi="ar"/>
              </w:rPr>
            </w:pPr>
            <w:r>
              <w:rPr>
                <w:rFonts w:eastAsia="仿宋_GB2312"/>
                <w:color w:val="auto"/>
                <w:kern w:val="0"/>
                <w:szCs w:val="21"/>
                <w:lang w:bidi="ar"/>
              </w:rPr>
              <w:t>1.148</w:t>
            </w:r>
          </w:p>
        </w:tc>
        <w:tc>
          <w:tcPr>
            <w:tcW w:w="630" w:type="pct"/>
            <w:vMerge w:val="restart"/>
            <w:shd w:val="clear" w:color="auto" w:fill="auto"/>
            <w:vAlign w:val="center"/>
          </w:tcPr>
          <w:p w14:paraId="5B7F094A">
            <w:pPr>
              <w:widowControl/>
              <w:jc w:val="center"/>
              <w:textAlignment w:val="center"/>
              <w:rPr>
                <w:rFonts w:eastAsia="仿宋_GB2312"/>
                <w:color w:val="auto"/>
                <w:szCs w:val="21"/>
              </w:rPr>
            </w:pPr>
            <w:r>
              <w:rPr>
                <w:rFonts w:hint="eastAsia" w:eastAsia="仿宋_GB2312"/>
                <w:color w:val="auto"/>
                <w:szCs w:val="21"/>
              </w:rPr>
              <w:t>预处理（冷凝+稀酸吸收+碱吸收+水吸收+除雾）+</w:t>
            </w:r>
            <w:r>
              <w:rPr>
                <w:rFonts w:eastAsia="仿宋_GB2312"/>
                <w:color w:val="auto"/>
                <w:szCs w:val="21"/>
              </w:rPr>
              <w:t>焚烧</w:t>
            </w:r>
          </w:p>
        </w:tc>
        <w:tc>
          <w:tcPr>
            <w:tcW w:w="292" w:type="pct"/>
            <w:vMerge w:val="restart"/>
            <w:shd w:val="clear" w:color="auto" w:fill="auto"/>
            <w:vAlign w:val="center"/>
          </w:tcPr>
          <w:p w14:paraId="6965BE84">
            <w:pPr>
              <w:widowControl/>
              <w:jc w:val="center"/>
              <w:textAlignment w:val="center"/>
              <w:rPr>
                <w:rFonts w:eastAsia="仿宋_GB2312"/>
                <w:color w:val="auto"/>
                <w:szCs w:val="21"/>
              </w:rPr>
            </w:pPr>
            <w:r>
              <w:rPr>
                <w:rFonts w:hint="eastAsia" w:eastAsia="仿宋_GB2312"/>
                <w:color w:val="auto"/>
                <w:kern w:val="0"/>
                <w:szCs w:val="21"/>
                <w:lang w:bidi="ar"/>
              </w:rPr>
              <w:t>DA002</w:t>
            </w:r>
          </w:p>
        </w:tc>
      </w:tr>
      <w:tr w14:paraId="321F37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09EC04F5">
            <w:pPr>
              <w:jc w:val="center"/>
              <w:rPr>
                <w:rFonts w:eastAsia="仿宋_GB2312"/>
                <w:color w:val="auto"/>
                <w:szCs w:val="21"/>
              </w:rPr>
            </w:pPr>
          </w:p>
        </w:tc>
        <w:tc>
          <w:tcPr>
            <w:tcW w:w="358" w:type="pct"/>
            <w:vMerge w:val="continue"/>
            <w:vAlign w:val="center"/>
          </w:tcPr>
          <w:p w14:paraId="1326AF94">
            <w:pPr>
              <w:jc w:val="center"/>
              <w:rPr>
                <w:rFonts w:eastAsia="仿宋_GB2312"/>
                <w:color w:val="auto"/>
                <w:szCs w:val="21"/>
              </w:rPr>
            </w:pPr>
          </w:p>
        </w:tc>
        <w:tc>
          <w:tcPr>
            <w:tcW w:w="418" w:type="pct"/>
            <w:vMerge w:val="continue"/>
            <w:vAlign w:val="center"/>
          </w:tcPr>
          <w:p w14:paraId="1DD22D2A">
            <w:pPr>
              <w:jc w:val="center"/>
              <w:rPr>
                <w:rFonts w:eastAsia="仿宋_GB2312"/>
                <w:color w:val="auto"/>
                <w:szCs w:val="21"/>
              </w:rPr>
            </w:pPr>
          </w:p>
        </w:tc>
        <w:tc>
          <w:tcPr>
            <w:tcW w:w="446" w:type="pct"/>
            <w:vMerge w:val="continue"/>
            <w:vAlign w:val="center"/>
          </w:tcPr>
          <w:p w14:paraId="0416F6CB">
            <w:pPr>
              <w:jc w:val="center"/>
              <w:rPr>
                <w:rFonts w:eastAsia="仿宋_GB2312"/>
                <w:color w:val="auto"/>
                <w:szCs w:val="21"/>
              </w:rPr>
            </w:pPr>
          </w:p>
        </w:tc>
        <w:tc>
          <w:tcPr>
            <w:tcW w:w="361" w:type="pct"/>
            <w:vMerge w:val="continue"/>
            <w:vAlign w:val="center"/>
          </w:tcPr>
          <w:p w14:paraId="7D23DF8B">
            <w:pPr>
              <w:jc w:val="center"/>
              <w:rPr>
                <w:rFonts w:eastAsia="仿宋_GB2312"/>
                <w:color w:val="auto"/>
                <w:szCs w:val="21"/>
              </w:rPr>
            </w:pPr>
          </w:p>
        </w:tc>
        <w:tc>
          <w:tcPr>
            <w:tcW w:w="498" w:type="pct"/>
            <w:vMerge w:val="continue"/>
            <w:vAlign w:val="center"/>
          </w:tcPr>
          <w:p w14:paraId="3AE6E3E4">
            <w:pPr>
              <w:keepNext w:val="0"/>
              <w:keepLines w:val="0"/>
              <w:widowControl/>
              <w:suppressLineNumbers w:val="0"/>
              <w:jc w:val="center"/>
              <w:textAlignment w:val="bottom"/>
              <w:rPr>
                <w:rFonts w:eastAsia="仿宋_GB2312"/>
                <w:color w:val="auto"/>
                <w:kern w:val="0"/>
                <w:szCs w:val="21"/>
                <w:lang w:bidi="ar"/>
              </w:rPr>
            </w:pPr>
          </w:p>
        </w:tc>
        <w:tc>
          <w:tcPr>
            <w:tcW w:w="820" w:type="pct"/>
            <w:vAlign w:val="center"/>
          </w:tcPr>
          <w:p w14:paraId="51B5D312">
            <w:pPr>
              <w:jc w:val="center"/>
              <w:rPr>
                <w:rFonts w:eastAsia="仿宋_GB2312"/>
                <w:color w:val="auto"/>
                <w:szCs w:val="21"/>
              </w:rPr>
            </w:pPr>
            <w:r>
              <w:rPr>
                <w:rFonts w:eastAsia="仿宋_GB2312"/>
                <w:color w:val="auto"/>
                <w:kern w:val="0"/>
                <w:szCs w:val="21"/>
                <w:lang w:bidi="ar"/>
              </w:rPr>
              <w:t>其他有机物</w:t>
            </w:r>
          </w:p>
        </w:tc>
        <w:tc>
          <w:tcPr>
            <w:tcW w:w="380" w:type="pct"/>
            <w:shd w:val="clear" w:color="auto" w:fill="auto"/>
            <w:vAlign w:val="center"/>
          </w:tcPr>
          <w:p w14:paraId="6A23D0F4">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0.033</w:t>
            </w:r>
          </w:p>
        </w:tc>
        <w:tc>
          <w:tcPr>
            <w:tcW w:w="445" w:type="pct"/>
            <w:shd w:val="clear" w:color="auto" w:fill="auto"/>
            <w:vAlign w:val="center"/>
          </w:tcPr>
          <w:p w14:paraId="28D20903">
            <w:pPr>
              <w:widowControl/>
              <w:jc w:val="center"/>
              <w:textAlignment w:val="center"/>
              <w:rPr>
                <w:rFonts w:ascii="Times New Roman" w:hAnsi="Times New Roman" w:eastAsia="仿宋_GB2312" w:cs="Times New Roman"/>
                <w:color w:val="auto"/>
                <w:kern w:val="0"/>
                <w:sz w:val="21"/>
                <w:szCs w:val="21"/>
                <w:lang w:val="en-US" w:eastAsia="zh-CN" w:bidi="ar"/>
              </w:rPr>
            </w:pPr>
            <w:r>
              <w:rPr>
                <w:rFonts w:eastAsia="仿宋_GB2312"/>
                <w:color w:val="auto"/>
                <w:kern w:val="0"/>
                <w:szCs w:val="21"/>
                <w:lang w:bidi="ar"/>
              </w:rPr>
              <w:t>0.035</w:t>
            </w:r>
          </w:p>
        </w:tc>
        <w:tc>
          <w:tcPr>
            <w:tcW w:w="630" w:type="pct"/>
            <w:vMerge w:val="continue"/>
            <w:vAlign w:val="center"/>
          </w:tcPr>
          <w:p w14:paraId="7D15C233">
            <w:pPr>
              <w:jc w:val="center"/>
              <w:rPr>
                <w:rFonts w:eastAsia="仿宋_GB2312"/>
                <w:color w:val="auto"/>
                <w:szCs w:val="21"/>
              </w:rPr>
            </w:pPr>
          </w:p>
        </w:tc>
        <w:tc>
          <w:tcPr>
            <w:tcW w:w="292" w:type="pct"/>
            <w:vMerge w:val="continue"/>
            <w:vAlign w:val="center"/>
          </w:tcPr>
          <w:p w14:paraId="4D76E969">
            <w:pPr>
              <w:jc w:val="center"/>
              <w:rPr>
                <w:rFonts w:eastAsia="仿宋_GB2312"/>
                <w:color w:val="auto"/>
                <w:szCs w:val="21"/>
              </w:rPr>
            </w:pPr>
          </w:p>
        </w:tc>
      </w:tr>
      <w:tr w14:paraId="197BD7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1068A9D2">
            <w:pPr>
              <w:jc w:val="center"/>
              <w:rPr>
                <w:rFonts w:eastAsia="仿宋_GB2312"/>
                <w:color w:val="auto"/>
                <w:szCs w:val="21"/>
              </w:rPr>
            </w:pPr>
          </w:p>
        </w:tc>
        <w:tc>
          <w:tcPr>
            <w:tcW w:w="358" w:type="pct"/>
            <w:vMerge w:val="continue"/>
            <w:vAlign w:val="center"/>
          </w:tcPr>
          <w:p w14:paraId="35C75D0B">
            <w:pPr>
              <w:jc w:val="center"/>
              <w:rPr>
                <w:rFonts w:eastAsia="仿宋_GB2312"/>
                <w:color w:val="auto"/>
                <w:szCs w:val="21"/>
              </w:rPr>
            </w:pPr>
          </w:p>
        </w:tc>
        <w:tc>
          <w:tcPr>
            <w:tcW w:w="418" w:type="pct"/>
            <w:vMerge w:val="restart"/>
            <w:vAlign w:val="center"/>
          </w:tcPr>
          <w:p w14:paraId="5842EB3B">
            <w:pPr>
              <w:jc w:val="center"/>
              <w:rPr>
                <w:rFonts w:eastAsia="仿宋_GB2312"/>
                <w:color w:val="auto"/>
                <w:szCs w:val="21"/>
              </w:rPr>
            </w:pPr>
            <w:r>
              <w:rPr>
                <w:rFonts w:eastAsia="仿宋_GB2312"/>
                <w:color w:val="auto"/>
                <w:kern w:val="0"/>
                <w:szCs w:val="21"/>
                <w:lang w:bidi="ar"/>
              </w:rPr>
              <w:t>G1-1-3</w:t>
            </w:r>
          </w:p>
        </w:tc>
        <w:tc>
          <w:tcPr>
            <w:tcW w:w="446" w:type="pct"/>
            <w:vMerge w:val="restart"/>
            <w:vAlign w:val="center"/>
          </w:tcPr>
          <w:p w14:paraId="47237F7F">
            <w:pPr>
              <w:jc w:val="center"/>
              <w:rPr>
                <w:rFonts w:eastAsia="仿宋_GB2312"/>
                <w:color w:val="auto"/>
                <w:szCs w:val="21"/>
              </w:rPr>
            </w:pPr>
            <w:r>
              <w:rPr>
                <w:rFonts w:eastAsia="仿宋_GB2312"/>
                <w:color w:val="auto"/>
                <w:kern w:val="0"/>
                <w:szCs w:val="21"/>
                <w:lang w:bidi="ar"/>
              </w:rPr>
              <w:t>洗涤尾气</w:t>
            </w:r>
          </w:p>
        </w:tc>
        <w:tc>
          <w:tcPr>
            <w:tcW w:w="361" w:type="pct"/>
            <w:vMerge w:val="restart"/>
            <w:vAlign w:val="center"/>
          </w:tcPr>
          <w:p w14:paraId="17B600E5">
            <w:pPr>
              <w:jc w:val="center"/>
              <w:rPr>
                <w:rFonts w:eastAsia="仿宋_GB2312"/>
                <w:color w:val="auto"/>
                <w:szCs w:val="21"/>
              </w:rPr>
            </w:pPr>
            <w:r>
              <w:rPr>
                <w:rFonts w:eastAsia="仿宋_GB2312"/>
                <w:color w:val="auto"/>
                <w:szCs w:val="21"/>
              </w:rPr>
              <w:t>360</w:t>
            </w:r>
          </w:p>
        </w:tc>
        <w:tc>
          <w:tcPr>
            <w:tcW w:w="498" w:type="pct"/>
            <w:vMerge w:val="restart"/>
            <w:vAlign w:val="center"/>
          </w:tcPr>
          <w:p w14:paraId="3FF187ED">
            <w:pPr>
              <w:keepNext w:val="0"/>
              <w:keepLines w:val="0"/>
              <w:widowControl/>
              <w:suppressLineNumbers w:val="0"/>
              <w:jc w:val="center"/>
              <w:textAlignment w:val="bottom"/>
              <w:rPr>
                <w:rFonts w:eastAsia="仿宋_GB2312"/>
                <w:color w:val="auto"/>
                <w:kern w:val="0"/>
                <w:szCs w:val="21"/>
                <w:lang w:bidi="ar"/>
              </w:rPr>
            </w:pPr>
            <w:r>
              <w:rPr>
                <w:rFonts w:hint="default" w:ascii="Times New Roman" w:hAnsi="Times New Roman" w:eastAsia="宋体" w:cs="Times New Roman"/>
                <w:i w:val="0"/>
                <w:iCs w:val="0"/>
                <w:color w:val="auto"/>
                <w:kern w:val="0"/>
                <w:sz w:val="21"/>
                <w:szCs w:val="21"/>
                <w:u w:val="none"/>
                <w:lang w:val="en-US" w:eastAsia="zh-CN" w:bidi="ar"/>
              </w:rPr>
              <w:t>2100</w:t>
            </w:r>
          </w:p>
        </w:tc>
        <w:tc>
          <w:tcPr>
            <w:tcW w:w="820" w:type="pct"/>
            <w:vAlign w:val="center"/>
          </w:tcPr>
          <w:p w14:paraId="0EB13BDA">
            <w:pPr>
              <w:jc w:val="center"/>
              <w:rPr>
                <w:rFonts w:eastAsia="仿宋_GB2312"/>
                <w:color w:val="auto"/>
                <w:szCs w:val="21"/>
              </w:rPr>
            </w:pPr>
            <w:r>
              <w:rPr>
                <w:rFonts w:eastAsia="仿宋_GB2312"/>
                <w:color w:val="auto"/>
                <w:kern w:val="0"/>
                <w:szCs w:val="21"/>
                <w:lang w:bidi="ar"/>
              </w:rPr>
              <w:t>NMP</w:t>
            </w:r>
          </w:p>
        </w:tc>
        <w:tc>
          <w:tcPr>
            <w:tcW w:w="380" w:type="pct"/>
            <w:shd w:val="clear" w:color="auto" w:fill="auto"/>
            <w:vAlign w:val="center"/>
          </w:tcPr>
          <w:p w14:paraId="35CD2F75">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5.879</w:t>
            </w:r>
          </w:p>
        </w:tc>
        <w:tc>
          <w:tcPr>
            <w:tcW w:w="445" w:type="pct"/>
            <w:shd w:val="clear" w:color="auto" w:fill="auto"/>
            <w:vAlign w:val="center"/>
          </w:tcPr>
          <w:p w14:paraId="4A232739">
            <w:pPr>
              <w:widowControl/>
              <w:jc w:val="center"/>
              <w:textAlignment w:val="center"/>
              <w:rPr>
                <w:rFonts w:ascii="Times New Roman" w:hAnsi="Times New Roman" w:eastAsia="仿宋_GB2312" w:cs="Times New Roman"/>
                <w:color w:val="auto"/>
                <w:kern w:val="0"/>
                <w:sz w:val="21"/>
                <w:szCs w:val="21"/>
                <w:lang w:val="en-US" w:eastAsia="zh-CN" w:bidi="ar"/>
              </w:rPr>
            </w:pPr>
            <w:r>
              <w:rPr>
                <w:rFonts w:eastAsia="仿宋_GB2312"/>
                <w:color w:val="auto"/>
                <w:kern w:val="0"/>
                <w:szCs w:val="21"/>
                <w:lang w:bidi="ar"/>
              </w:rPr>
              <w:t>12.3</w:t>
            </w:r>
            <w:r>
              <w:rPr>
                <w:rFonts w:hint="eastAsia" w:eastAsia="仿宋_GB2312"/>
                <w:color w:val="auto"/>
                <w:kern w:val="0"/>
                <w:szCs w:val="21"/>
                <w:lang w:bidi="ar"/>
              </w:rPr>
              <w:t>46</w:t>
            </w:r>
          </w:p>
        </w:tc>
        <w:tc>
          <w:tcPr>
            <w:tcW w:w="630" w:type="pct"/>
            <w:vMerge w:val="continue"/>
            <w:vAlign w:val="center"/>
          </w:tcPr>
          <w:p w14:paraId="7D4BE7CA">
            <w:pPr>
              <w:jc w:val="center"/>
              <w:rPr>
                <w:rFonts w:eastAsia="仿宋_GB2312"/>
                <w:color w:val="auto"/>
                <w:szCs w:val="21"/>
              </w:rPr>
            </w:pPr>
          </w:p>
        </w:tc>
        <w:tc>
          <w:tcPr>
            <w:tcW w:w="292" w:type="pct"/>
            <w:vMerge w:val="continue"/>
            <w:vAlign w:val="center"/>
          </w:tcPr>
          <w:p w14:paraId="5450E48B">
            <w:pPr>
              <w:jc w:val="center"/>
              <w:rPr>
                <w:rFonts w:eastAsia="仿宋_GB2312"/>
                <w:color w:val="auto"/>
                <w:szCs w:val="21"/>
              </w:rPr>
            </w:pPr>
          </w:p>
        </w:tc>
      </w:tr>
      <w:tr w14:paraId="0CBD69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545DC56A">
            <w:pPr>
              <w:jc w:val="center"/>
              <w:rPr>
                <w:rFonts w:eastAsia="仿宋_GB2312"/>
                <w:color w:val="auto"/>
                <w:szCs w:val="21"/>
              </w:rPr>
            </w:pPr>
          </w:p>
        </w:tc>
        <w:tc>
          <w:tcPr>
            <w:tcW w:w="358" w:type="pct"/>
            <w:vMerge w:val="continue"/>
            <w:vAlign w:val="center"/>
          </w:tcPr>
          <w:p w14:paraId="5E884580">
            <w:pPr>
              <w:jc w:val="center"/>
              <w:rPr>
                <w:rFonts w:eastAsia="仿宋_GB2312"/>
                <w:color w:val="auto"/>
                <w:szCs w:val="21"/>
              </w:rPr>
            </w:pPr>
          </w:p>
        </w:tc>
        <w:tc>
          <w:tcPr>
            <w:tcW w:w="418" w:type="pct"/>
            <w:vMerge w:val="continue"/>
            <w:vAlign w:val="center"/>
          </w:tcPr>
          <w:p w14:paraId="4EC54285">
            <w:pPr>
              <w:jc w:val="center"/>
              <w:rPr>
                <w:rFonts w:eastAsia="仿宋_GB2312"/>
                <w:color w:val="auto"/>
                <w:szCs w:val="21"/>
              </w:rPr>
            </w:pPr>
          </w:p>
        </w:tc>
        <w:tc>
          <w:tcPr>
            <w:tcW w:w="446" w:type="pct"/>
            <w:vMerge w:val="continue"/>
            <w:vAlign w:val="center"/>
          </w:tcPr>
          <w:p w14:paraId="7828F9E8">
            <w:pPr>
              <w:jc w:val="center"/>
              <w:rPr>
                <w:rFonts w:eastAsia="仿宋_GB2312"/>
                <w:color w:val="auto"/>
                <w:szCs w:val="21"/>
              </w:rPr>
            </w:pPr>
          </w:p>
        </w:tc>
        <w:tc>
          <w:tcPr>
            <w:tcW w:w="361" w:type="pct"/>
            <w:vMerge w:val="continue"/>
            <w:vAlign w:val="center"/>
          </w:tcPr>
          <w:p w14:paraId="53B97BE9">
            <w:pPr>
              <w:jc w:val="center"/>
              <w:rPr>
                <w:rFonts w:eastAsia="仿宋_GB2312"/>
                <w:color w:val="auto"/>
                <w:szCs w:val="21"/>
              </w:rPr>
            </w:pPr>
          </w:p>
        </w:tc>
        <w:tc>
          <w:tcPr>
            <w:tcW w:w="498" w:type="pct"/>
            <w:vMerge w:val="continue"/>
            <w:vAlign w:val="center"/>
          </w:tcPr>
          <w:p w14:paraId="66809AB6">
            <w:pPr>
              <w:keepNext w:val="0"/>
              <w:keepLines w:val="0"/>
              <w:widowControl/>
              <w:suppressLineNumbers w:val="0"/>
              <w:jc w:val="center"/>
              <w:textAlignment w:val="bottom"/>
              <w:rPr>
                <w:rFonts w:eastAsia="仿宋_GB2312"/>
                <w:color w:val="auto"/>
                <w:kern w:val="0"/>
                <w:szCs w:val="21"/>
                <w:lang w:bidi="ar"/>
              </w:rPr>
            </w:pPr>
          </w:p>
        </w:tc>
        <w:tc>
          <w:tcPr>
            <w:tcW w:w="820" w:type="pct"/>
            <w:vAlign w:val="center"/>
          </w:tcPr>
          <w:p w14:paraId="1354E440">
            <w:pPr>
              <w:jc w:val="center"/>
              <w:rPr>
                <w:rFonts w:eastAsia="仿宋_GB2312"/>
                <w:color w:val="auto"/>
                <w:szCs w:val="21"/>
              </w:rPr>
            </w:pPr>
            <w:r>
              <w:rPr>
                <w:rFonts w:eastAsia="仿宋_GB2312"/>
                <w:color w:val="auto"/>
                <w:kern w:val="0"/>
                <w:szCs w:val="21"/>
                <w:lang w:bidi="ar"/>
              </w:rPr>
              <w:t>其他有机物</w:t>
            </w:r>
          </w:p>
        </w:tc>
        <w:tc>
          <w:tcPr>
            <w:tcW w:w="380" w:type="pct"/>
            <w:shd w:val="clear" w:color="auto" w:fill="auto"/>
            <w:vAlign w:val="center"/>
          </w:tcPr>
          <w:p w14:paraId="59075123">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0.096</w:t>
            </w:r>
          </w:p>
        </w:tc>
        <w:tc>
          <w:tcPr>
            <w:tcW w:w="445" w:type="pct"/>
            <w:shd w:val="clear" w:color="auto" w:fill="auto"/>
            <w:vAlign w:val="center"/>
          </w:tcPr>
          <w:p w14:paraId="3D9FE1D3">
            <w:pPr>
              <w:widowControl/>
              <w:jc w:val="center"/>
              <w:textAlignment w:val="center"/>
              <w:rPr>
                <w:rFonts w:ascii="Times New Roman" w:hAnsi="Times New Roman" w:eastAsia="仿宋_GB2312" w:cs="Times New Roman"/>
                <w:color w:val="auto"/>
                <w:kern w:val="0"/>
                <w:sz w:val="21"/>
                <w:szCs w:val="21"/>
                <w:lang w:val="en-US" w:eastAsia="zh-CN" w:bidi="ar"/>
              </w:rPr>
            </w:pPr>
            <w:r>
              <w:rPr>
                <w:rFonts w:eastAsia="仿宋_GB2312"/>
                <w:color w:val="auto"/>
                <w:kern w:val="0"/>
                <w:szCs w:val="21"/>
                <w:lang w:bidi="ar"/>
              </w:rPr>
              <w:t>0.2</w:t>
            </w:r>
            <w:r>
              <w:rPr>
                <w:rFonts w:hint="eastAsia" w:eastAsia="仿宋_GB2312"/>
                <w:color w:val="auto"/>
                <w:kern w:val="0"/>
                <w:szCs w:val="21"/>
                <w:lang w:bidi="ar"/>
              </w:rPr>
              <w:t>02</w:t>
            </w:r>
          </w:p>
        </w:tc>
        <w:tc>
          <w:tcPr>
            <w:tcW w:w="630" w:type="pct"/>
            <w:vMerge w:val="continue"/>
            <w:vAlign w:val="center"/>
          </w:tcPr>
          <w:p w14:paraId="038350F7">
            <w:pPr>
              <w:jc w:val="center"/>
              <w:rPr>
                <w:rFonts w:eastAsia="仿宋_GB2312"/>
                <w:color w:val="auto"/>
                <w:szCs w:val="21"/>
              </w:rPr>
            </w:pPr>
          </w:p>
        </w:tc>
        <w:tc>
          <w:tcPr>
            <w:tcW w:w="292" w:type="pct"/>
            <w:vMerge w:val="continue"/>
            <w:vAlign w:val="center"/>
          </w:tcPr>
          <w:p w14:paraId="0399AD2A">
            <w:pPr>
              <w:jc w:val="center"/>
              <w:rPr>
                <w:rFonts w:eastAsia="仿宋_GB2312"/>
                <w:color w:val="auto"/>
                <w:szCs w:val="21"/>
              </w:rPr>
            </w:pPr>
          </w:p>
        </w:tc>
      </w:tr>
      <w:tr w14:paraId="5C9429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5C6B2835">
            <w:pPr>
              <w:jc w:val="center"/>
              <w:rPr>
                <w:rFonts w:eastAsia="仿宋_GB2312"/>
                <w:color w:val="auto"/>
                <w:szCs w:val="21"/>
              </w:rPr>
            </w:pPr>
          </w:p>
        </w:tc>
        <w:tc>
          <w:tcPr>
            <w:tcW w:w="358" w:type="pct"/>
            <w:vMerge w:val="continue"/>
            <w:vAlign w:val="center"/>
          </w:tcPr>
          <w:p w14:paraId="02020393">
            <w:pPr>
              <w:jc w:val="center"/>
              <w:rPr>
                <w:rFonts w:eastAsia="仿宋_GB2312"/>
                <w:color w:val="auto"/>
                <w:szCs w:val="21"/>
              </w:rPr>
            </w:pPr>
          </w:p>
        </w:tc>
        <w:tc>
          <w:tcPr>
            <w:tcW w:w="418" w:type="pct"/>
            <w:vMerge w:val="continue"/>
            <w:vAlign w:val="center"/>
          </w:tcPr>
          <w:p w14:paraId="70E65763">
            <w:pPr>
              <w:jc w:val="center"/>
              <w:rPr>
                <w:rFonts w:eastAsia="仿宋_GB2312"/>
                <w:color w:val="auto"/>
                <w:szCs w:val="21"/>
              </w:rPr>
            </w:pPr>
          </w:p>
        </w:tc>
        <w:tc>
          <w:tcPr>
            <w:tcW w:w="446" w:type="pct"/>
            <w:vMerge w:val="restart"/>
            <w:vAlign w:val="center"/>
          </w:tcPr>
          <w:p w14:paraId="4351EB46">
            <w:pPr>
              <w:jc w:val="center"/>
              <w:rPr>
                <w:rFonts w:eastAsia="仿宋_GB2312"/>
                <w:color w:val="auto"/>
                <w:szCs w:val="21"/>
              </w:rPr>
            </w:pPr>
            <w:r>
              <w:rPr>
                <w:rFonts w:eastAsia="仿宋_GB2312"/>
                <w:color w:val="auto"/>
                <w:szCs w:val="21"/>
              </w:rPr>
              <w:t>灌装废气</w:t>
            </w:r>
          </w:p>
        </w:tc>
        <w:tc>
          <w:tcPr>
            <w:tcW w:w="361" w:type="pct"/>
            <w:vMerge w:val="restart"/>
            <w:vAlign w:val="center"/>
          </w:tcPr>
          <w:p w14:paraId="56DEFC00">
            <w:pPr>
              <w:jc w:val="center"/>
              <w:rPr>
                <w:rFonts w:eastAsia="仿宋_GB2312"/>
                <w:color w:val="auto"/>
                <w:szCs w:val="21"/>
              </w:rPr>
            </w:pPr>
            <w:r>
              <w:rPr>
                <w:rFonts w:eastAsia="仿宋_GB2312"/>
                <w:color w:val="auto"/>
                <w:szCs w:val="21"/>
              </w:rPr>
              <w:t>2000</w:t>
            </w:r>
          </w:p>
        </w:tc>
        <w:tc>
          <w:tcPr>
            <w:tcW w:w="498" w:type="pct"/>
            <w:vMerge w:val="restart"/>
            <w:vAlign w:val="center"/>
          </w:tcPr>
          <w:p w14:paraId="02D36352">
            <w:pPr>
              <w:keepNext w:val="0"/>
              <w:keepLines w:val="0"/>
              <w:widowControl/>
              <w:suppressLineNumbers w:val="0"/>
              <w:jc w:val="center"/>
              <w:textAlignment w:val="bottom"/>
              <w:rPr>
                <w:rFonts w:eastAsia="仿宋_GB2312"/>
                <w:color w:val="auto"/>
                <w:kern w:val="0"/>
                <w:szCs w:val="21"/>
                <w:lang w:bidi="ar"/>
              </w:rPr>
            </w:pPr>
            <w:r>
              <w:rPr>
                <w:rFonts w:hint="default" w:ascii="Times New Roman" w:hAnsi="Times New Roman" w:eastAsia="宋体" w:cs="Times New Roman"/>
                <w:i w:val="0"/>
                <w:iCs w:val="0"/>
                <w:color w:val="auto"/>
                <w:kern w:val="0"/>
                <w:sz w:val="21"/>
                <w:szCs w:val="21"/>
                <w:u w:val="none"/>
                <w:lang w:val="en-US" w:eastAsia="zh-CN" w:bidi="ar"/>
              </w:rPr>
              <w:t>1050</w:t>
            </w:r>
          </w:p>
        </w:tc>
        <w:tc>
          <w:tcPr>
            <w:tcW w:w="820" w:type="pct"/>
            <w:vAlign w:val="center"/>
          </w:tcPr>
          <w:p w14:paraId="4B71EABA">
            <w:pPr>
              <w:jc w:val="center"/>
              <w:rPr>
                <w:rFonts w:eastAsia="仿宋_GB2312"/>
                <w:color w:val="auto"/>
                <w:kern w:val="0"/>
                <w:szCs w:val="21"/>
                <w:lang w:bidi="ar"/>
              </w:rPr>
            </w:pPr>
            <w:r>
              <w:rPr>
                <w:rFonts w:eastAsia="仿宋_GB2312"/>
                <w:color w:val="auto"/>
                <w:kern w:val="0"/>
                <w:szCs w:val="21"/>
                <w:lang w:bidi="ar"/>
              </w:rPr>
              <w:t>NMP</w:t>
            </w:r>
          </w:p>
        </w:tc>
        <w:tc>
          <w:tcPr>
            <w:tcW w:w="380" w:type="pct"/>
            <w:shd w:val="clear" w:color="auto" w:fill="auto"/>
            <w:vAlign w:val="center"/>
          </w:tcPr>
          <w:p w14:paraId="0475BDFC">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3.213</w:t>
            </w:r>
          </w:p>
        </w:tc>
        <w:tc>
          <w:tcPr>
            <w:tcW w:w="445" w:type="pct"/>
            <w:shd w:val="clear" w:color="auto" w:fill="auto"/>
            <w:vAlign w:val="center"/>
          </w:tcPr>
          <w:p w14:paraId="060E4643">
            <w:pPr>
              <w:jc w:val="center"/>
              <w:rPr>
                <w:rFonts w:hint="default"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3.374</w:t>
            </w:r>
          </w:p>
        </w:tc>
        <w:tc>
          <w:tcPr>
            <w:tcW w:w="630" w:type="pct"/>
            <w:vMerge w:val="restart"/>
            <w:shd w:val="clear" w:color="auto" w:fill="auto"/>
            <w:vAlign w:val="center"/>
          </w:tcPr>
          <w:p w14:paraId="4E9D51EA">
            <w:pPr>
              <w:jc w:val="center"/>
              <w:rPr>
                <w:rFonts w:eastAsia="仿宋_GB2312"/>
                <w:color w:val="auto"/>
                <w:szCs w:val="21"/>
              </w:rPr>
            </w:pPr>
            <w:r>
              <w:rPr>
                <w:rFonts w:hint="eastAsia" w:eastAsia="仿宋_GB2312"/>
                <w:color w:val="auto"/>
                <w:szCs w:val="21"/>
              </w:rPr>
              <w:t>冷凝+酸吸收+碱吸收+水洗+活性炭吸附/脱附</w:t>
            </w:r>
          </w:p>
        </w:tc>
        <w:tc>
          <w:tcPr>
            <w:tcW w:w="292" w:type="pct"/>
            <w:vMerge w:val="restart"/>
            <w:shd w:val="clear" w:color="auto" w:fill="auto"/>
            <w:vAlign w:val="center"/>
          </w:tcPr>
          <w:p w14:paraId="27F6D464">
            <w:pPr>
              <w:jc w:val="center"/>
              <w:rPr>
                <w:rFonts w:eastAsia="仿宋_GB2312"/>
                <w:color w:val="auto"/>
                <w:szCs w:val="21"/>
              </w:rPr>
            </w:pPr>
            <w:r>
              <w:rPr>
                <w:rFonts w:hint="eastAsia" w:eastAsia="仿宋_GB2312"/>
                <w:color w:val="auto"/>
              </w:rPr>
              <w:t>DA005</w:t>
            </w:r>
          </w:p>
        </w:tc>
      </w:tr>
      <w:tr w14:paraId="0344F4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77E65C43">
            <w:pPr>
              <w:jc w:val="center"/>
              <w:rPr>
                <w:rFonts w:eastAsia="仿宋_GB2312"/>
                <w:color w:val="auto"/>
                <w:szCs w:val="21"/>
              </w:rPr>
            </w:pPr>
          </w:p>
        </w:tc>
        <w:tc>
          <w:tcPr>
            <w:tcW w:w="358" w:type="pct"/>
            <w:vMerge w:val="continue"/>
            <w:vAlign w:val="center"/>
          </w:tcPr>
          <w:p w14:paraId="793CA796">
            <w:pPr>
              <w:jc w:val="center"/>
              <w:rPr>
                <w:rFonts w:eastAsia="仿宋_GB2312"/>
                <w:color w:val="auto"/>
                <w:szCs w:val="21"/>
              </w:rPr>
            </w:pPr>
          </w:p>
        </w:tc>
        <w:tc>
          <w:tcPr>
            <w:tcW w:w="418" w:type="pct"/>
            <w:vMerge w:val="continue"/>
            <w:vAlign w:val="center"/>
          </w:tcPr>
          <w:p w14:paraId="373ED3F0">
            <w:pPr>
              <w:jc w:val="center"/>
              <w:rPr>
                <w:rFonts w:eastAsia="仿宋_GB2312"/>
                <w:color w:val="auto"/>
                <w:szCs w:val="21"/>
              </w:rPr>
            </w:pPr>
          </w:p>
        </w:tc>
        <w:tc>
          <w:tcPr>
            <w:tcW w:w="446" w:type="pct"/>
            <w:vMerge w:val="continue"/>
            <w:vAlign w:val="center"/>
          </w:tcPr>
          <w:p w14:paraId="5675A541">
            <w:pPr>
              <w:jc w:val="center"/>
              <w:rPr>
                <w:rFonts w:eastAsia="仿宋_GB2312"/>
                <w:color w:val="auto"/>
                <w:szCs w:val="21"/>
              </w:rPr>
            </w:pPr>
          </w:p>
        </w:tc>
        <w:tc>
          <w:tcPr>
            <w:tcW w:w="361" w:type="pct"/>
            <w:vMerge w:val="continue"/>
            <w:vAlign w:val="center"/>
          </w:tcPr>
          <w:p w14:paraId="06314D4F">
            <w:pPr>
              <w:jc w:val="center"/>
              <w:rPr>
                <w:rFonts w:eastAsia="仿宋_GB2312"/>
                <w:color w:val="auto"/>
                <w:szCs w:val="21"/>
              </w:rPr>
            </w:pPr>
          </w:p>
        </w:tc>
        <w:tc>
          <w:tcPr>
            <w:tcW w:w="498" w:type="pct"/>
            <w:vMerge w:val="continue"/>
            <w:vAlign w:val="center"/>
          </w:tcPr>
          <w:p w14:paraId="74696C24">
            <w:pPr>
              <w:keepNext w:val="0"/>
              <w:keepLines w:val="0"/>
              <w:widowControl/>
              <w:suppressLineNumbers w:val="0"/>
              <w:jc w:val="center"/>
              <w:textAlignment w:val="bottom"/>
              <w:rPr>
                <w:rFonts w:eastAsia="仿宋_GB2312"/>
                <w:color w:val="auto"/>
                <w:kern w:val="0"/>
                <w:szCs w:val="21"/>
                <w:lang w:bidi="ar"/>
              </w:rPr>
            </w:pPr>
          </w:p>
        </w:tc>
        <w:tc>
          <w:tcPr>
            <w:tcW w:w="820" w:type="pct"/>
            <w:vAlign w:val="center"/>
          </w:tcPr>
          <w:p w14:paraId="2CA6A1F5">
            <w:pPr>
              <w:jc w:val="center"/>
              <w:rPr>
                <w:rFonts w:eastAsia="仿宋_GB2312"/>
                <w:color w:val="auto"/>
                <w:kern w:val="0"/>
                <w:szCs w:val="21"/>
                <w:lang w:bidi="ar"/>
              </w:rPr>
            </w:pPr>
            <w:r>
              <w:rPr>
                <w:rFonts w:eastAsia="仿宋_GB2312"/>
                <w:color w:val="auto"/>
                <w:kern w:val="0"/>
                <w:szCs w:val="21"/>
                <w:lang w:bidi="ar"/>
              </w:rPr>
              <w:t>其他有机物</w:t>
            </w:r>
          </w:p>
        </w:tc>
        <w:tc>
          <w:tcPr>
            <w:tcW w:w="380" w:type="pct"/>
            <w:shd w:val="clear" w:color="auto" w:fill="auto"/>
            <w:vAlign w:val="center"/>
          </w:tcPr>
          <w:p w14:paraId="264D1FAB">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0.023</w:t>
            </w:r>
          </w:p>
        </w:tc>
        <w:tc>
          <w:tcPr>
            <w:tcW w:w="445" w:type="pct"/>
            <w:shd w:val="clear" w:color="auto" w:fill="auto"/>
            <w:vAlign w:val="center"/>
          </w:tcPr>
          <w:p w14:paraId="60D46CC1">
            <w:pPr>
              <w:jc w:val="center"/>
              <w:rPr>
                <w:rFonts w:hint="default" w:ascii="Times New Roman" w:hAnsi="Times New Roman" w:eastAsia="仿宋_GB2312" w:cs="Times New Roman"/>
                <w:color w:val="auto"/>
                <w:kern w:val="0"/>
                <w:sz w:val="21"/>
                <w:szCs w:val="21"/>
                <w:lang w:val="en-US" w:eastAsia="zh-CN" w:bidi="ar"/>
              </w:rPr>
            </w:pPr>
            <w:r>
              <w:rPr>
                <w:rFonts w:eastAsia="仿宋_GB2312"/>
                <w:color w:val="auto"/>
                <w:kern w:val="0"/>
                <w:szCs w:val="21"/>
                <w:lang w:bidi="ar"/>
              </w:rPr>
              <w:t>0.0</w:t>
            </w:r>
            <w:r>
              <w:rPr>
                <w:rFonts w:hint="eastAsia" w:eastAsia="仿宋_GB2312"/>
                <w:color w:val="auto"/>
                <w:kern w:val="0"/>
                <w:szCs w:val="21"/>
                <w:lang w:val="en-US" w:eastAsia="zh-CN" w:bidi="ar"/>
              </w:rPr>
              <w:t>25</w:t>
            </w:r>
          </w:p>
        </w:tc>
        <w:tc>
          <w:tcPr>
            <w:tcW w:w="630" w:type="pct"/>
            <w:vMerge w:val="continue"/>
            <w:vAlign w:val="center"/>
          </w:tcPr>
          <w:p w14:paraId="19D10767">
            <w:pPr>
              <w:jc w:val="center"/>
              <w:rPr>
                <w:rFonts w:eastAsia="仿宋_GB2312"/>
                <w:color w:val="auto"/>
                <w:szCs w:val="21"/>
              </w:rPr>
            </w:pPr>
          </w:p>
        </w:tc>
        <w:tc>
          <w:tcPr>
            <w:tcW w:w="292" w:type="pct"/>
            <w:vMerge w:val="continue"/>
            <w:vAlign w:val="center"/>
          </w:tcPr>
          <w:p w14:paraId="02F5AB0F">
            <w:pPr>
              <w:jc w:val="center"/>
              <w:rPr>
                <w:rFonts w:eastAsia="仿宋_GB2312"/>
                <w:color w:val="auto"/>
                <w:szCs w:val="21"/>
              </w:rPr>
            </w:pPr>
          </w:p>
        </w:tc>
      </w:tr>
      <w:tr w14:paraId="1A4692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restart"/>
            <w:vAlign w:val="center"/>
          </w:tcPr>
          <w:p w14:paraId="58F30489">
            <w:pPr>
              <w:jc w:val="center"/>
              <w:rPr>
                <w:rFonts w:eastAsia="仿宋_GB2312"/>
                <w:color w:val="auto"/>
                <w:szCs w:val="21"/>
              </w:rPr>
            </w:pPr>
            <w:r>
              <w:rPr>
                <w:rFonts w:eastAsia="仿宋_GB2312"/>
                <w:color w:val="auto"/>
                <w:szCs w:val="21"/>
              </w:rPr>
              <w:t>B-7车间</w:t>
            </w:r>
          </w:p>
        </w:tc>
        <w:tc>
          <w:tcPr>
            <w:tcW w:w="358" w:type="pct"/>
            <w:vMerge w:val="restart"/>
            <w:vAlign w:val="center"/>
          </w:tcPr>
          <w:p w14:paraId="6CFFCDBA">
            <w:pPr>
              <w:jc w:val="center"/>
              <w:rPr>
                <w:rFonts w:eastAsia="仿宋_GB2312"/>
                <w:color w:val="auto"/>
                <w:szCs w:val="21"/>
              </w:rPr>
            </w:pPr>
            <w:r>
              <w:rPr>
                <w:rFonts w:eastAsia="仿宋_GB2312"/>
                <w:color w:val="auto"/>
                <w:szCs w:val="21"/>
              </w:rPr>
              <w:t>异丙醇</w:t>
            </w:r>
          </w:p>
        </w:tc>
        <w:tc>
          <w:tcPr>
            <w:tcW w:w="418" w:type="pct"/>
            <w:vMerge w:val="restart"/>
            <w:vAlign w:val="center"/>
          </w:tcPr>
          <w:p w14:paraId="3D0D84F5">
            <w:pPr>
              <w:jc w:val="center"/>
              <w:rPr>
                <w:rFonts w:eastAsia="仿宋_GB2312"/>
                <w:color w:val="auto"/>
                <w:szCs w:val="21"/>
              </w:rPr>
            </w:pPr>
            <w:r>
              <w:rPr>
                <w:rFonts w:eastAsia="仿宋_GB2312"/>
                <w:color w:val="auto"/>
                <w:kern w:val="0"/>
                <w:szCs w:val="21"/>
                <w:lang w:bidi="ar"/>
              </w:rPr>
              <w:t>G1-2-1</w:t>
            </w:r>
          </w:p>
        </w:tc>
        <w:tc>
          <w:tcPr>
            <w:tcW w:w="446" w:type="pct"/>
            <w:vMerge w:val="restart"/>
            <w:vAlign w:val="center"/>
          </w:tcPr>
          <w:p w14:paraId="0043E6A0">
            <w:pPr>
              <w:jc w:val="center"/>
              <w:rPr>
                <w:rFonts w:eastAsia="仿宋_GB2312"/>
                <w:color w:val="auto"/>
                <w:szCs w:val="21"/>
              </w:rPr>
            </w:pPr>
            <w:r>
              <w:rPr>
                <w:rFonts w:eastAsia="仿宋_GB2312"/>
                <w:color w:val="auto"/>
                <w:kern w:val="0"/>
                <w:szCs w:val="21"/>
                <w:lang w:bidi="ar"/>
              </w:rPr>
              <w:t>投料废气</w:t>
            </w:r>
          </w:p>
        </w:tc>
        <w:tc>
          <w:tcPr>
            <w:tcW w:w="361" w:type="pct"/>
            <w:vMerge w:val="restart"/>
            <w:vAlign w:val="center"/>
          </w:tcPr>
          <w:p w14:paraId="38D2DD4A">
            <w:pPr>
              <w:jc w:val="center"/>
              <w:rPr>
                <w:rFonts w:hint="default" w:eastAsia="仿宋_GB2312"/>
                <w:color w:val="auto"/>
                <w:szCs w:val="21"/>
                <w:lang w:val="en-US" w:eastAsia="zh-CN"/>
              </w:rPr>
            </w:pPr>
            <w:r>
              <w:rPr>
                <w:rFonts w:hint="eastAsia" w:eastAsia="仿宋_GB2312"/>
                <w:color w:val="auto"/>
                <w:szCs w:val="21"/>
                <w:lang w:val="en-US" w:eastAsia="zh-CN"/>
              </w:rPr>
              <w:t>2000</w:t>
            </w:r>
          </w:p>
        </w:tc>
        <w:tc>
          <w:tcPr>
            <w:tcW w:w="498" w:type="pct"/>
            <w:vMerge w:val="restart"/>
            <w:vAlign w:val="center"/>
          </w:tcPr>
          <w:p w14:paraId="177487F0">
            <w:pPr>
              <w:keepNext w:val="0"/>
              <w:keepLines w:val="0"/>
              <w:widowControl/>
              <w:suppressLineNumbers w:val="0"/>
              <w:jc w:val="center"/>
              <w:textAlignment w:val="bottom"/>
              <w:rPr>
                <w:rFonts w:eastAsia="仿宋_GB2312"/>
                <w:color w:val="auto"/>
                <w:kern w:val="0"/>
                <w:szCs w:val="21"/>
                <w:lang w:bidi="ar"/>
              </w:rPr>
            </w:pPr>
            <w:r>
              <w:rPr>
                <w:rFonts w:hint="default" w:ascii="Times New Roman" w:hAnsi="Times New Roman" w:eastAsia="宋体" w:cs="Times New Roman"/>
                <w:i w:val="0"/>
                <w:iCs w:val="0"/>
                <w:color w:val="auto"/>
                <w:kern w:val="0"/>
                <w:sz w:val="21"/>
                <w:szCs w:val="21"/>
                <w:u w:val="none"/>
                <w:lang w:val="en-US" w:eastAsia="zh-CN" w:bidi="ar"/>
              </w:rPr>
              <w:t>2895</w:t>
            </w:r>
          </w:p>
        </w:tc>
        <w:tc>
          <w:tcPr>
            <w:tcW w:w="820" w:type="pct"/>
            <w:vAlign w:val="center"/>
          </w:tcPr>
          <w:p w14:paraId="330B06EE">
            <w:pPr>
              <w:jc w:val="center"/>
              <w:rPr>
                <w:rFonts w:eastAsia="仿宋_GB2312"/>
                <w:color w:val="auto"/>
                <w:szCs w:val="21"/>
              </w:rPr>
            </w:pPr>
            <w:r>
              <w:rPr>
                <w:rFonts w:eastAsia="仿宋_GB2312"/>
                <w:color w:val="auto"/>
                <w:kern w:val="0"/>
                <w:szCs w:val="21"/>
                <w:lang w:bidi="ar"/>
              </w:rPr>
              <w:t>异丙醇</w:t>
            </w:r>
          </w:p>
        </w:tc>
        <w:tc>
          <w:tcPr>
            <w:tcW w:w="380" w:type="pct"/>
            <w:shd w:val="clear" w:color="auto" w:fill="auto"/>
            <w:vAlign w:val="center"/>
          </w:tcPr>
          <w:p w14:paraId="075B5148">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3.573</w:t>
            </w:r>
          </w:p>
        </w:tc>
        <w:tc>
          <w:tcPr>
            <w:tcW w:w="445" w:type="pct"/>
            <w:vAlign w:val="center"/>
          </w:tcPr>
          <w:p w14:paraId="3BDDA810">
            <w:pPr>
              <w:jc w:val="center"/>
              <w:rPr>
                <w:rFonts w:hint="default" w:eastAsia="仿宋_GB2312"/>
                <w:color w:val="auto"/>
                <w:szCs w:val="21"/>
                <w:lang w:val="en-US" w:eastAsia="zh-CN"/>
              </w:rPr>
            </w:pPr>
            <w:r>
              <w:rPr>
                <w:rFonts w:hint="eastAsia" w:eastAsia="仿宋_GB2312"/>
                <w:color w:val="auto"/>
                <w:kern w:val="0"/>
                <w:szCs w:val="21"/>
                <w:lang w:val="en-US" w:eastAsia="zh-CN" w:bidi="ar"/>
              </w:rPr>
              <w:t>10.346</w:t>
            </w:r>
          </w:p>
        </w:tc>
        <w:tc>
          <w:tcPr>
            <w:tcW w:w="630" w:type="pct"/>
            <w:vMerge w:val="continue"/>
            <w:vAlign w:val="center"/>
          </w:tcPr>
          <w:p w14:paraId="629840DC">
            <w:pPr>
              <w:jc w:val="center"/>
              <w:rPr>
                <w:rFonts w:eastAsia="仿宋_GB2312"/>
                <w:color w:val="auto"/>
                <w:szCs w:val="21"/>
              </w:rPr>
            </w:pPr>
          </w:p>
        </w:tc>
        <w:tc>
          <w:tcPr>
            <w:tcW w:w="292" w:type="pct"/>
            <w:vMerge w:val="continue"/>
            <w:vAlign w:val="center"/>
          </w:tcPr>
          <w:p w14:paraId="61729863">
            <w:pPr>
              <w:jc w:val="center"/>
              <w:rPr>
                <w:rFonts w:eastAsia="仿宋_GB2312"/>
                <w:color w:val="auto"/>
                <w:szCs w:val="21"/>
              </w:rPr>
            </w:pPr>
          </w:p>
        </w:tc>
      </w:tr>
      <w:tr w14:paraId="04E4DB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2B1B7E96">
            <w:pPr>
              <w:jc w:val="center"/>
              <w:rPr>
                <w:rFonts w:eastAsia="仿宋_GB2312"/>
                <w:color w:val="auto"/>
                <w:szCs w:val="21"/>
              </w:rPr>
            </w:pPr>
          </w:p>
        </w:tc>
        <w:tc>
          <w:tcPr>
            <w:tcW w:w="358" w:type="pct"/>
            <w:vMerge w:val="continue"/>
            <w:vAlign w:val="center"/>
          </w:tcPr>
          <w:p w14:paraId="3AB0F567">
            <w:pPr>
              <w:jc w:val="center"/>
              <w:rPr>
                <w:rFonts w:eastAsia="仿宋_GB2312"/>
                <w:color w:val="auto"/>
                <w:szCs w:val="21"/>
              </w:rPr>
            </w:pPr>
          </w:p>
        </w:tc>
        <w:tc>
          <w:tcPr>
            <w:tcW w:w="418" w:type="pct"/>
            <w:vMerge w:val="continue"/>
            <w:vAlign w:val="center"/>
          </w:tcPr>
          <w:p w14:paraId="199F87AC">
            <w:pPr>
              <w:jc w:val="center"/>
              <w:rPr>
                <w:rFonts w:eastAsia="仿宋_GB2312"/>
                <w:color w:val="auto"/>
                <w:szCs w:val="21"/>
              </w:rPr>
            </w:pPr>
          </w:p>
        </w:tc>
        <w:tc>
          <w:tcPr>
            <w:tcW w:w="446" w:type="pct"/>
            <w:vMerge w:val="continue"/>
            <w:vAlign w:val="center"/>
          </w:tcPr>
          <w:p w14:paraId="06C1C0FA">
            <w:pPr>
              <w:jc w:val="center"/>
              <w:rPr>
                <w:rFonts w:eastAsia="仿宋_GB2312"/>
                <w:color w:val="auto"/>
                <w:szCs w:val="21"/>
              </w:rPr>
            </w:pPr>
          </w:p>
        </w:tc>
        <w:tc>
          <w:tcPr>
            <w:tcW w:w="361" w:type="pct"/>
            <w:vMerge w:val="continue"/>
            <w:vAlign w:val="center"/>
          </w:tcPr>
          <w:p w14:paraId="680A5210">
            <w:pPr>
              <w:jc w:val="center"/>
              <w:rPr>
                <w:rFonts w:eastAsia="仿宋_GB2312"/>
                <w:color w:val="auto"/>
                <w:szCs w:val="21"/>
              </w:rPr>
            </w:pPr>
          </w:p>
        </w:tc>
        <w:tc>
          <w:tcPr>
            <w:tcW w:w="498" w:type="pct"/>
            <w:vMerge w:val="continue"/>
            <w:vAlign w:val="center"/>
          </w:tcPr>
          <w:p w14:paraId="32F12659">
            <w:pPr>
              <w:keepNext w:val="0"/>
              <w:keepLines w:val="0"/>
              <w:widowControl/>
              <w:suppressLineNumbers w:val="0"/>
              <w:jc w:val="center"/>
              <w:textAlignment w:val="bottom"/>
              <w:rPr>
                <w:rFonts w:eastAsia="仿宋_GB2312"/>
                <w:color w:val="auto"/>
                <w:kern w:val="0"/>
                <w:szCs w:val="21"/>
                <w:lang w:bidi="ar"/>
              </w:rPr>
            </w:pPr>
          </w:p>
        </w:tc>
        <w:tc>
          <w:tcPr>
            <w:tcW w:w="820" w:type="pct"/>
            <w:vAlign w:val="center"/>
          </w:tcPr>
          <w:p w14:paraId="1A4D8BDD">
            <w:pPr>
              <w:jc w:val="center"/>
              <w:rPr>
                <w:rFonts w:eastAsia="仿宋_GB2312"/>
                <w:color w:val="auto"/>
                <w:szCs w:val="21"/>
              </w:rPr>
            </w:pPr>
            <w:r>
              <w:rPr>
                <w:rFonts w:eastAsia="仿宋_GB2312"/>
                <w:color w:val="auto"/>
                <w:kern w:val="0"/>
                <w:szCs w:val="21"/>
                <w:lang w:bidi="ar"/>
              </w:rPr>
              <w:t>其他有机物</w:t>
            </w:r>
          </w:p>
        </w:tc>
        <w:tc>
          <w:tcPr>
            <w:tcW w:w="380" w:type="pct"/>
            <w:shd w:val="clear" w:color="auto" w:fill="auto"/>
            <w:vAlign w:val="center"/>
          </w:tcPr>
          <w:p w14:paraId="3432E46F">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0.048</w:t>
            </w:r>
          </w:p>
        </w:tc>
        <w:tc>
          <w:tcPr>
            <w:tcW w:w="445" w:type="pct"/>
            <w:vAlign w:val="center"/>
          </w:tcPr>
          <w:p w14:paraId="7AA789FF">
            <w:pPr>
              <w:jc w:val="center"/>
              <w:rPr>
                <w:rFonts w:hint="default" w:eastAsia="仿宋_GB2312"/>
                <w:color w:val="auto"/>
                <w:szCs w:val="21"/>
                <w:lang w:val="en-US" w:eastAsia="zh-CN"/>
              </w:rPr>
            </w:pPr>
            <w:r>
              <w:rPr>
                <w:rFonts w:hint="eastAsia" w:eastAsia="仿宋_GB2312"/>
                <w:color w:val="auto"/>
                <w:kern w:val="0"/>
                <w:szCs w:val="21"/>
                <w:lang w:val="en-US" w:eastAsia="zh-CN" w:bidi="ar"/>
              </w:rPr>
              <w:t>0.14</w:t>
            </w:r>
          </w:p>
        </w:tc>
        <w:tc>
          <w:tcPr>
            <w:tcW w:w="630" w:type="pct"/>
            <w:vMerge w:val="continue"/>
            <w:vAlign w:val="center"/>
          </w:tcPr>
          <w:p w14:paraId="4CCA682C">
            <w:pPr>
              <w:jc w:val="center"/>
              <w:rPr>
                <w:rFonts w:eastAsia="仿宋_GB2312"/>
                <w:color w:val="auto"/>
                <w:szCs w:val="21"/>
              </w:rPr>
            </w:pPr>
          </w:p>
        </w:tc>
        <w:tc>
          <w:tcPr>
            <w:tcW w:w="292" w:type="pct"/>
            <w:vMerge w:val="continue"/>
            <w:vAlign w:val="center"/>
          </w:tcPr>
          <w:p w14:paraId="1E03C0E9">
            <w:pPr>
              <w:jc w:val="center"/>
              <w:rPr>
                <w:rFonts w:eastAsia="仿宋_GB2312"/>
                <w:color w:val="auto"/>
                <w:szCs w:val="21"/>
              </w:rPr>
            </w:pPr>
          </w:p>
        </w:tc>
      </w:tr>
      <w:tr w14:paraId="1328C5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2F83137F">
            <w:pPr>
              <w:jc w:val="center"/>
              <w:rPr>
                <w:rFonts w:eastAsia="仿宋_GB2312"/>
                <w:color w:val="auto"/>
                <w:szCs w:val="21"/>
              </w:rPr>
            </w:pPr>
          </w:p>
        </w:tc>
        <w:tc>
          <w:tcPr>
            <w:tcW w:w="358" w:type="pct"/>
            <w:vMerge w:val="continue"/>
            <w:vAlign w:val="center"/>
          </w:tcPr>
          <w:p w14:paraId="6250D8C6">
            <w:pPr>
              <w:jc w:val="center"/>
              <w:rPr>
                <w:rFonts w:eastAsia="仿宋_GB2312"/>
                <w:color w:val="auto"/>
                <w:szCs w:val="21"/>
              </w:rPr>
            </w:pPr>
          </w:p>
        </w:tc>
        <w:tc>
          <w:tcPr>
            <w:tcW w:w="418" w:type="pct"/>
            <w:vMerge w:val="restart"/>
            <w:vAlign w:val="center"/>
          </w:tcPr>
          <w:p w14:paraId="45636E2B">
            <w:pPr>
              <w:jc w:val="center"/>
              <w:rPr>
                <w:rFonts w:eastAsia="仿宋_GB2312"/>
                <w:color w:val="auto"/>
                <w:szCs w:val="21"/>
              </w:rPr>
            </w:pPr>
            <w:r>
              <w:rPr>
                <w:rFonts w:eastAsia="仿宋_GB2312"/>
                <w:color w:val="auto"/>
                <w:kern w:val="0"/>
                <w:szCs w:val="21"/>
                <w:lang w:bidi="ar"/>
              </w:rPr>
              <w:t>G1-2-2</w:t>
            </w:r>
          </w:p>
        </w:tc>
        <w:tc>
          <w:tcPr>
            <w:tcW w:w="446" w:type="pct"/>
            <w:vMerge w:val="restart"/>
            <w:vAlign w:val="center"/>
          </w:tcPr>
          <w:p w14:paraId="5395792A">
            <w:pPr>
              <w:jc w:val="center"/>
              <w:rPr>
                <w:rFonts w:eastAsia="仿宋_GB2312"/>
                <w:color w:val="auto"/>
                <w:szCs w:val="21"/>
              </w:rPr>
            </w:pPr>
            <w:r>
              <w:rPr>
                <w:rFonts w:eastAsia="仿宋_GB2312"/>
                <w:color w:val="auto"/>
                <w:kern w:val="0"/>
                <w:szCs w:val="21"/>
                <w:lang w:bidi="ar"/>
              </w:rPr>
              <w:t>调节废气</w:t>
            </w:r>
          </w:p>
        </w:tc>
        <w:tc>
          <w:tcPr>
            <w:tcW w:w="361" w:type="pct"/>
            <w:vMerge w:val="restart"/>
            <w:vAlign w:val="center"/>
          </w:tcPr>
          <w:p w14:paraId="59F01445">
            <w:pPr>
              <w:jc w:val="center"/>
              <w:rPr>
                <w:rFonts w:eastAsia="仿宋_GB2312"/>
                <w:color w:val="auto"/>
                <w:szCs w:val="21"/>
              </w:rPr>
            </w:pPr>
            <w:r>
              <w:rPr>
                <w:rFonts w:eastAsia="仿宋_GB2312"/>
                <w:color w:val="auto"/>
                <w:szCs w:val="21"/>
              </w:rPr>
              <w:t>100</w:t>
            </w:r>
          </w:p>
        </w:tc>
        <w:tc>
          <w:tcPr>
            <w:tcW w:w="498" w:type="pct"/>
            <w:vMerge w:val="restart"/>
            <w:vAlign w:val="center"/>
          </w:tcPr>
          <w:p w14:paraId="54BFACA3">
            <w:pPr>
              <w:keepNext w:val="0"/>
              <w:keepLines w:val="0"/>
              <w:widowControl/>
              <w:suppressLineNumbers w:val="0"/>
              <w:jc w:val="center"/>
              <w:textAlignment w:val="bottom"/>
              <w:rPr>
                <w:rFonts w:eastAsia="仿宋_GB2312"/>
                <w:color w:val="auto"/>
                <w:kern w:val="0"/>
                <w:szCs w:val="21"/>
                <w:lang w:bidi="ar"/>
              </w:rPr>
            </w:pPr>
            <w:r>
              <w:rPr>
                <w:rFonts w:hint="default" w:ascii="Times New Roman" w:hAnsi="Times New Roman" w:eastAsia="宋体" w:cs="Times New Roman"/>
                <w:i w:val="0"/>
                <w:iCs w:val="0"/>
                <w:color w:val="auto"/>
                <w:kern w:val="0"/>
                <w:sz w:val="21"/>
                <w:szCs w:val="21"/>
                <w:u w:val="none"/>
                <w:lang w:val="en-US" w:eastAsia="zh-CN" w:bidi="ar"/>
              </w:rPr>
              <w:t>2895</w:t>
            </w:r>
          </w:p>
        </w:tc>
        <w:tc>
          <w:tcPr>
            <w:tcW w:w="820" w:type="pct"/>
            <w:vAlign w:val="center"/>
          </w:tcPr>
          <w:p w14:paraId="0A833AC7">
            <w:pPr>
              <w:jc w:val="center"/>
              <w:rPr>
                <w:rFonts w:eastAsia="仿宋_GB2312"/>
                <w:color w:val="auto"/>
                <w:szCs w:val="21"/>
              </w:rPr>
            </w:pPr>
            <w:r>
              <w:rPr>
                <w:rFonts w:eastAsia="仿宋_GB2312"/>
                <w:color w:val="auto"/>
                <w:kern w:val="0"/>
                <w:szCs w:val="21"/>
                <w:lang w:bidi="ar"/>
              </w:rPr>
              <w:t>异丙醇</w:t>
            </w:r>
          </w:p>
        </w:tc>
        <w:tc>
          <w:tcPr>
            <w:tcW w:w="380" w:type="pct"/>
            <w:shd w:val="clear" w:color="auto" w:fill="auto"/>
            <w:vAlign w:val="center"/>
          </w:tcPr>
          <w:p w14:paraId="67EC3204">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1.801</w:t>
            </w:r>
          </w:p>
        </w:tc>
        <w:tc>
          <w:tcPr>
            <w:tcW w:w="445" w:type="pct"/>
            <w:vAlign w:val="center"/>
          </w:tcPr>
          <w:p w14:paraId="5B3D4FAB">
            <w:pPr>
              <w:jc w:val="center"/>
              <w:rPr>
                <w:rFonts w:hint="default" w:eastAsia="仿宋_GB2312"/>
                <w:color w:val="auto"/>
                <w:szCs w:val="21"/>
                <w:lang w:val="en-US" w:eastAsia="zh-CN"/>
              </w:rPr>
            </w:pPr>
            <w:r>
              <w:rPr>
                <w:rFonts w:hint="eastAsia" w:eastAsia="仿宋_GB2312"/>
                <w:color w:val="auto"/>
                <w:kern w:val="0"/>
                <w:szCs w:val="21"/>
                <w:lang w:val="en-US" w:eastAsia="zh-CN" w:bidi="ar"/>
              </w:rPr>
              <w:t>5.216</w:t>
            </w:r>
          </w:p>
        </w:tc>
        <w:tc>
          <w:tcPr>
            <w:tcW w:w="630" w:type="pct"/>
            <w:vMerge w:val="restart"/>
            <w:vAlign w:val="center"/>
          </w:tcPr>
          <w:p w14:paraId="5809936E">
            <w:pPr>
              <w:widowControl/>
              <w:jc w:val="center"/>
              <w:textAlignment w:val="center"/>
              <w:rPr>
                <w:rFonts w:eastAsia="仿宋_GB2312"/>
                <w:color w:val="auto"/>
                <w:szCs w:val="21"/>
              </w:rPr>
            </w:pPr>
            <w:r>
              <w:rPr>
                <w:rFonts w:hint="eastAsia" w:eastAsia="仿宋_GB2312"/>
                <w:color w:val="auto"/>
                <w:szCs w:val="21"/>
              </w:rPr>
              <w:t>预处理（冷凝+稀酸吸收+碱吸收+水吸收+除雾）+</w:t>
            </w:r>
            <w:r>
              <w:rPr>
                <w:rFonts w:eastAsia="仿宋_GB2312"/>
                <w:color w:val="auto"/>
                <w:szCs w:val="21"/>
              </w:rPr>
              <w:t>焚烧</w:t>
            </w:r>
          </w:p>
        </w:tc>
        <w:tc>
          <w:tcPr>
            <w:tcW w:w="292" w:type="pct"/>
            <w:vMerge w:val="restart"/>
            <w:vAlign w:val="center"/>
          </w:tcPr>
          <w:p w14:paraId="4B27C8DA">
            <w:pPr>
              <w:widowControl/>
              <w:jc w:val="center"/>
              <w:textAlignment w:val="center"/>
              <w:rPr>
                <w:rFonts w:eastAsia="仿宋_GB2312"/>
                <w:color w:val="auto"/>
                <w:szCs w:val="21"/>
              </w:rPr>
            </w:pPr>
            <w:r>
              <w:rPr>
                <w:rFonts w:hint="eastAsia" w:eastAsia="仿宋_GB2312"/>
                <w:color w:val="auto"/>
                <w:kern w:val="0"/>
                <w:szCs w:val="21"/>
                <w:lang w:bidi="ar"/>
              </w:rPr>
              <w:t>DA002</w:t>
            </w:r>
          </w:p>
        </w:tc>
      </w:tr>
      <w:tr w14:paraId="3F79CB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3A1461EE">
            <w:pPr>
              <w:jc w:val="center"/>
              <w:rPr>
                <w:rFonts w:eastAsia="仿宋_GB2312"/>
                <w:color w:val="auto"/>
                <w:szCs w:val="21"/>
              </w:rPr>
            </w:pPr>
          </w:p>
        </w:tc>
        <w:tc>
          <w:tcPr>
            <w:tcW w:w="358" w:type="pct"/>
            <w:vMerge w:val="continue"/>
            <w:vAlign w:val="center"/>
          </w:tcPr>
          <w:p w14:paraId="605A4C45">
            <w:pPr>
              <w:jc w:val="center"/>
              <w:rPr>
                <w:rFonts w:eastAsia="仿宋_GB2312"/>
                <w:color w:val="auto"/>
                <w:szCs w:val="21"/>
              </w:rPr>
            </w:pPr>
          </w:p>
        </w:tc>
        <w:tc>
          <w:tcPr>
            <w:tcW w:w="418" w:type="pct"/>
            <w:vMerge w:val="continue"/>
            <w:vAlign w:val="center"/>
          </w:tcPr>
          <w:p w14:paraId="47C8B033">
            <w:pPr>
              <w:jc w:val="center"/>
              <w:rPr>
                <w:rFonts w:eastAsia="仿宋_GB2312"/>
                <w:color w:val="auto"/>
                <w:szCs w:val="21"/>
              </w:rPr>
            </w:pPr>
          </w:p>
        </w:tc>
        <w:tc>
          <w:tcPr>
            <w:tcW w:w="446" w:type="pct"/>
            <w:vMerge w:val="continue"/>
            <w:vAlign w:val="center"/>
          </w:tcPr>
          <w:p w14:paraId="1DEE8E78">
            <w:pPr>
              <w:jc w:val="center"/>
              <w:rPr>
                <w:rFonts w:eastAsia="仿宋_GB2312"/>
                <w:color w:val="auto"/>
                <w:szCs w:val="21"/>
              </w:rPr>
            </w:pPr>
          </w:p>
        </w:tc>
        <w:tc>
          <w:tcPr>
            <w:tcW w:w="361" w:type="pct"/>
            <w:vMerge w:val="continue"/>
            <w:vAlign w:val="center"/>
          </w:tcPr>
          <w:p w14:paraId="21B3B379">
            <w:pPr>
              <w:jc w:val="center"/>
              <w:rPr>
                <w:rFonts w:eastAsia="仿宋_GB2312"/>
                <w:color w:val="auto"/>
                <w:szCs w:val="21"/>
              </w:rPr>
            </w:pPr>
          </w:p>
        </w:tc>
        <w:tc>
          <w:tcPr>
            <w:tcW w:w="498" w:type="pct"/>
            <w:vMerge w:val="continue"/>
            <w:vAlign w:val="center"/>
          </w:tcPr>
          <w:p w14:paraId="7D562202">
            <w:pPr>
              <w:keepNext w:val="0"/>
              <w:keepLines w:val="0"/>
              <w:widowControl/>
              <w:suppressLineNumbers w:val="0"/>
              <w:jc w:val="center"/>
              <w:textAlignment w:val="bottom"/>
              <w:rPr>
                <w:rFonts w:eastAsia="仿宋_GB2312"/>
                <w:color w:val="auto"/>
                <w:kern w:val="0"/>
                <w:szCs w:val="21"/>
                <w:lang w:bidi="ar"/>
              </w:rPr>
            </w:pPr>
          </w:p>
        </w:tc>
        <w:tc>
          <w:tcPr>
            <w:tcW w:w="820" w:type="pct"/>
            <w:vAlign w:val="center"/>
          </w:tcPr>
          <w:p w14:paraId="69E5A18E">
            <w:pPr>
              <w:jc w:val="center"/>
              <w:rPr>
                <w:rFonts w:eastAsia="仿宋_GB2312"/>
                <w:color w:val="auto"/>
                <w:szCs w:val="21"/>
              </w:rPr>
            </w:pPr>
            <w:r>
              <w:rPr>
                <w:rFonts w:eastAsia="仿宋_GB2312"/>
                <w:color w:val="auto"/>
                <w:kern w:val="0"/>
                <w:szCs w:val="21"/>
                <w:lang w:bidi="ar"/>
              </w:rPr>
              <w:t>其他有机物</w:t>
            </w:r>
          </w:p>
        </w:tc>
        <w:tc>
          <w:tcPr>
            <w:tcW w:w="380" w:type="pct"/>
            <w:shd w:val="clear" w:color="auto" w:fill="auto"/>
            <w:vAlign w:val="center"/>
          </w:tcPr>
          <w:p w14:paraId="3058E84D">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0.024</w:t>
            </w:r>
          </w:p>
        </w:tc>
        <w:tc>
          <w:tcPr>
            <w:tcW w:w="445" w:type="pct"/>
            <w:vAlign w:val="center"/>
          </w:tcPr>
          <w:p w14:paraId="082C82B5">
            <w:pPr>
              <w:jc w:val="center"/>
              <w:rPr>
                <w:rFonts w:hint="default" w:eastAsia="仿宋_GB2312"/>
                <w:color w:val="auto"/>
                <w:szCs w:val="21"/>
                <w:lang w:val="en-US" w:eastAsia="zh-CN"/>
              </w:rPr>
            </w:pPr>
            <w:r>
              <w:rPr>
                <w:rFonts w:hint="eastAsia" w:eastAsia="仿宋_GB2312"/>
                <w:color w:val="auto"/>
                <w:kern w:val="0"/>
                <w:szCs w:val="21"/>
                <w:lang w:val="en-US" w:eastAsia="zh-CN" w:bidi="ar"/>
              </w:rPr>
              <w:t>0.07</w:t>
            </w:r>
          </w:p>
        </w:tc>
        <w:tc>
          <w:tcPr>
            <w:tcW w:w="630" w:type="pct"/>
            <w:vMerge w:val="continue"/>
            <w:vAlign w:val="center"/>
          </w:tcPr>
          <w:p w14:paraId="5DC9BA99">
            <w:pPr>
              <w:jc w:val="center"/>
              <w:rPr>
                <w:rFonts w:eastAsia="仿宋_GB2312"/>
                <w:color w:val="auto"/>
                <w:szCs w:val="21"/>
              </w:rPr>
            </w:pPr>
          </w:p>
        </w:tc>
        <w:tc>
          <w:tcPr>
            <w:tcW w:w="292" w:type="pct"/>
            <w:vMerge w:val="continue"/>
            <w:vAlign w:val="center"/>
          </w:tcPr>
          <w:p w14:paraId="74AD8AFF">
            <w:pPr>
              <w:jc w:val="center"/>
              <w:rPr>
                <w:rFonts w:eastAsia="仿宋_GB2312"/>
                <w:color w:val="auto"/>
                <w:szCs w:val="21"/>
              </w:rPr>
            </w:pPr>
          </w:p>
        </w:tc>
      </w:tr>
      <w:tr w14:paraId="4C61D2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083767F0">
            <w:pPr>
              <w:jc w:val="center"/>
              <w:rPr>
                <w:rFonts w:eastAsia="仿宋_GB2312"/>
                <w:color w:val="auto"/>
                <w:szCs w:val="21"/>
              </w:rPr>
            </w:pPr>
          </w:p>
        </w:tc>
        <w:tc>
          <w:tcPr>
            <w:tcW w:w="358" w:type="pct"/>
            <w:vMerge w:val="continue"/>
            <w:vAlign w:val="center"/>
          </w:tcPr>
          <w:p w14:paraId="48E94EC9">
            <w:pPr>
              <w:jc w:val="center"/>
              <w:rPr>
                <w:rFonts w:eastAsia="仿宋_GB2312"/>
                <w:color w:val="auto"/>
                <w:szCs w:val="21"/>
              </w:rPr>
            </w:pPr>
          </w:p>
        </w:tc>
        <w:tc>
          <w:tcPr>
            <w:tcW w:w="418" w:type="pct"/>
            <w:vMerge w:val="restart"/>
            <w:vAlign w:val="center"/>
          </w:tcPr>
          <w:p w14:paraId="7ACAF032">
            <w:pPr>
              <w:jc w:val="center"/>
              <w:rPr>
                <w:rFonts w:eastAsia="仿宋_GB2312"/>
                <w:color w:val="auto"/>
                <w:szCs w:val="21"/>
              </w:rPr>
            </w:pPr>
            <w:r>
              <w:rPr>
                <w:rFonts w:eastAsia="仿宋_GB2312"/>
                <w:color w:val="auto"/>
                <w:kern w:val="0"/>
                <w:szCs w:val="21"/>
                <w:lang w:bidi="ar"/>
              </w:rPr>
              <w:t>G1-2-3</w:t>
            </w:r>
          </w:p>
        </w:tc>
        <w:tc>
          <w:tcPr>
            <w:tcW w:w="446" w:type="pct"/>
            <w:vMerge w:val="restart"/>
            <w:vAlign w:val="center"/>
          </w:tcPr>
          <w:p w14:paraId="1D691D39">
            <w:pPr>
              <w:jc w:val="center"/>
              <w:rPr>
                <w:rFonts w:eastAsia="仿宋_GB2312"/>
                <w:color w:val="auto"/>
                <w:szCs w:val="21"/>
              </w:rPr>
            </w:pPr>
            <w:r>
              <w:rPr>
                <w:rFonts w:eastAsia="仿宋_GB2312"/>
                <w:color w:val="auto"/>
                <w:kern w:val="0"/>
                <w:szCs w:val="21"/>
                <w:lang w:bidi="ar"/>
              </w:rPr>
              <w:t>洗涤尾气</w:t>
            </w:r>
          </w:p>
        </w:tc>
        <w:tc>
          <w:tcPr>
            <w:tcW w:w="361" w:type="pct"/>
            <w:vMerge w:val="restart"/>
            <w:vAlign w:val="center"/>
          </w:tcPr>
          <w:p w14:paraId="248268D1">
            <w:pPr>
              <w:jc w:val="center"/>
              <w:rPr>
                <w:rFonts w:eastAsia="仿宋_GB2312"/>
                <w:color w:val="auto"/>
                <w:szCs w:val="21"/>
              </w:rPr>
            </w:pPr>
            <w:r>
              <w:rPr>
                <w:rFonts w:eastAsia="仿宋_GB2312"/>
                <w:color w:val="auto"/>
                <w:szCs w:val="21"/>
              </w:rPr>
              <w:t>360</w:t>
            </w:r>
          </w:p>
        </w:tc>
        <w:tc>
          <w:tcPr>
            <w:tcW w:w="498" w:type="pct"/>
            <w:vMerge w:val="restart"/>
            <w:vAlign w:val="center"/>
          </w:tcPr>
          <w:p w14:paraId="0A93E49D">
            <w:pPr>
              <w:keepNext w:val="0"/>
              <w:keepLines w:val="0"/>
              <w:widowControl/>
              <w:suppressLineNumbers w:val="0"/>
              <w:jc w:val="center"/>
              <w:textAlignment w:val="bottom"/>
              <w:rPr>
                <w:rFonts w:eastAsia="仿宋_GB2312"/>
                <w:color w:val="auto"/>
                <w:kern w:val="0"/>
                <w:szCs w:val="21"/>
                <w:lang w:bidi="ar"/>
              </w:rPr>
            </w:pPr>
            <w:r>
              <w:rPr>
                <w:rFonts w:hint="default" w:ascii="Times New Roman" w:hAnsi="Times New Roman" w:eastAsia="宋体" w:cs="Times New Roman"/>
                <w:i w:val="0"/>
                <w:iCs w:val="0"/>
                <w:color w:val="auto"/>
                <w:kern w:val="0"/>
                <w:sz w:val="21"/>
                <w:szCs w:val="21"/>
                <w:u w:val="none"/>
                <w:lang w:val="en-US" w:eastAsia="zh-CN" w:bidi="ar"/>
              </w:rPr>
              <w:t>5790</w:t>
            </w:r>
          </w:p>
        </w:tc>
        <w:tc>
          <w:tcPr>
            <w:tcW w:w="820" w:type="pct"/>
            <w:vAlign w:val="center"/>
          </w:tcPr>
          <w:p w14:paraId="396156A2">
            <w:pPr>
              <w:jc w:val="center"/>
              <w:rPr>
                <w:rFonts w:eastAsia="仿宋_GB2312"/>
                <w:color w:val="auto"/>
                <w:szCs w:val="21"/>
              </w:rPr>
            </w:pPr>
            <w:r>
              <w:rPr>
                <w:rFonts w:eastAsia="仿宋_GB2312"/>
                <w:color w:val="auto"/>
                <w:kern w:val="0"/>
                <w:szCs w:val="21"/>
                <w:lang w:bidi="ar"/>
              </w:rPr>
              <w:t>异丙醇</w:t>
            </w:r>
          </w:p>
        </w:tc>
        <w:tc>
          <w:tcPr>
            <w:tcW w:w="380" w:type="pct"/>
            <w:shd w:val="clear" w:color="auto" w:fill="auto"/>
            <w:vAlign w:val="center"/>
          </w:tcPr>
          <w:p w14:paraId="0A396BA2">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2.691</w:t>
            </w:r>
          </w:p>
        </w:tc>
        <w:tc>
          <w:tcPr>
            <w:tcW w:w="445" w:type="pct"/>
            <w:vAlign w:val="center"/>
          </w:tcPr>
          <w:p w14:paraId="12DD8F0C">
            <w:pPr>
              <w:jc w:val="center"/>
              <w:rPr>
                <w:rFonts w:hint="default" w:eastAsia="仿宋_GB2312"/>
                <w:color w:val="auto"/>
                <w:szCs w:val="21"/>
                <w:lang w:val="en-US" w:eastAsia="zh-CN"/>
              </w:rPr>
            </w:pPr>
            <w:r>
              <w:rPr>
                <w:rFonts w:hint="eastAsia" w:eastAsia="仿宋_GB2312"/>
                <w:color w:val="auto"/>
                <w:kern w:val="0"/>
                <w:szCs w:val="21"/>
                <w:lang w:val="en-US" w:eastAsia="zh-CN" w:bidi="ar"/>
              </w:rPr>
              <w:t>15.581</w:t>
            </w:r>
          </w:p>
        </w:tc>
        <w:tc>
          <w:tcPr>
            <w:tcW w:w="630" w:type="pct"/>
            <w:vMerge w:val="continue"/>
            <w:vAlign w:val="center"/>
          </w:tcPr>
          <w:p w14:paraId="1AC3BBAA">
            <w:pPr>
              <w:jc w:val="center"/>
              <w:rPr>
                <w:rFonts w:eastAsia="仿宋_GB2312"/>
                <w:color w:val="auto"/>
                <w:szCs w:val="21"/>
              </w:rPr>
            </w:pPr>
          </w:p>
        </w:tc>
        <w:tc>
          <w:tcPr>
            <w:tcW w:w="292" w:type="pct"/>
            <w:vMerge w:val="continue"/>
            <w:vAlign w:val="center"/>
          </w:tcPr>
          <w:p w14:paraId="04BAB9D8">
            <w:pPr>
              <w:jc w:val="center"/>
              <w:rPr>
                <w:rFonts w:eastAsia="仿宋_GB2312"/>
                <w:color w:val="auto"/>
                <w:szCs w:val="21"/>
              </w:rPr>
            </w:pPr>
          </w:p>
        </w:tc>
      </w:tr>
      <w:tr w14:paraId="0B73FE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4142E5F8">
            <w:pPr>
              <w:jc w:val="center"/>
              <w:rPr>
                <w:rFonts w:eastAsia="仿宋_GB2312"/>
                <w:color w:val="auto"/>
                <w:szCs w:val="21"/>
              </w:rPr>
            </w:pPr>
          </w:p>
        </w:tc>
        <w:tc>
          <w:tcPr>
            <w:tcW w:w="358" w:type="pct"/>
            <w:vMerge w:val="continue"/>
            <w:vAlign w:val="center"/>
          </w:tcPr>
          <w:p w14:paraId="4BDBE77C">
            <w:pPr>
              <w:jc w:val="center"/>
              <w:rPr>
                <w:rFonts w:eastAsia="仿宋_GB2312"/>
                <w:color w:val="auto"/>
                <w:szCs w:val="21"/>
              </w:rPr>
            </w:pPr>
          </w:p>
        </w:tc>
        <w:tc>
          <w:tcPr>
            <w:tcW w:w="418" w:type="pct"/>
            <w:vMerge w:val="continue"/>
            <w:vAlign w:val="center"/>
          </w:tcPr>
          <w:p w14:paraId="6037C10F">
            <w:pPr>
              <w:jc w:val="center"/>
              <w:rPr>
                <w:rFonts w:eastAsia="仿宋_GB2312"/>
                <w:color w:val="auto"/>
                <w:szCs w:val="21"/>
              </w:rPr>
            </w:pPr>
          </w:p>
        </w:tc>
        <w:tc>
          <w:tcPr>
            <w:tcW w:w="446" w:type="pct"/>
            <w:vMerge w:val="continue"/>
            <w:vAlign w:val="center"/>
          </w:tcPr>
          <w:p w14:paraId="28124B44">
            <w:pPr>
              <w:jc w:val="center"/>
              <w:rPr>
                <w:rFonts w:eastAsia="仿宋_GB2312"/>
                <w:color w:val="auto"/>
                <w:szCs w:val="21"/>
              </w:rPr>
            </w:pPr>
          </w:p>
        </w:tc>
        <w:tc>
          <w:tcPr>
            <w:tcW w:w="361" w:type="pct"/>
            <w:vMerge w:val="continue"/>
            <w:vAlign w:val="center"/>
          </w:tcPr>
          <w:p w14:paraId="14F0DD62">
            <w:pPr>
              <w:jc w:val="center"/>
              <w:rPr>
                <w:rFonts w:eastAsia="仿宋_GB2312"/>
                <w:color w:val="auto"/>
                <w:szCs w:val="21"/>
              </w:rPr>
            </w:pPr>
          </w:p>
        </w:tc>
        <w:tc>
          <w:tcPr>
            <w:tcW w:w="498" w:type="pct"/>
            <w:vMerge w:val="continue"/>
            <w:vAlign w:val="center"/>
          </w:tcPr>
          <w:p w14:paraId="4EC16FDA">
            <w:pPr>
              <w:keepNext w:val="0"/>
              <w:keepLines w:val="0"/>
              <w:widowControl/>
              <w:suppressLineNumbers w:val="0"/>
              <w:jc w:val="center"/>
              <w:textAlignment w:val="bottom"/>
              <w:rPr>
                <w:rFonts w:eastAsia="仿宋_GB2312"/>
                <w:color w:val="auto"/>
                <w:kern w:val="0"/>
                <w:szCs w:val="21"/>
                <w:lang w:bidi="ar"/>
              </w:rPr>
            </w:pPr>
          </w:p>
        </w:tc>
        <w:tc>
          <w:tcPr>
            <w:tcW w:w="820" w:type="pct"/>
            <w:vAlign w:val="center"/>
          </w:tcPr>
          <w:p w14:paraId="495A4294">
            <w:pPr>
              <w:jc w:val="center"/>
              <w:rPr>
                <w:rFonts w:eastAsia="仿宋_GB2312"/>
                <w:color w:val="auto"/>
                <w:szCs w:val="21"/>
              </w:rPr>
            </w:pPr>
            <w:r>
              <w:rPr>
                <w:rFonts w:eastAsia="仿宋_GB2312"/>
                <w:color w:val="auto"/>
                <w:kern w:val="0"/>
                <w:szCs w:val="21"/>
                <w:lang w:bidi="ar"/>
              </w:rPr>
              <w:t>其他有机物</w:t>
            </w:r>
          </w:p>
        </w:tc>
        <w:tc>
          <w:tcPr>
            <w:tcW w:w="380" w:type="pct"/>
            <w:shd w:val="clear" w:color="auto" w:fill="auto"/>
            <w:vAlign w:val="center"/>
          </w:tcPr>
          <w:p w14:paraId="2E844DF6">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0.109</w:t>
            </w:r>
          </w:p>
        </w:tc>
        <w:tc>
          <w:tcPr>
            <w:tcW w:w="445" w:type="pct"/>
            <w:vAlign w:val="center"/>
          </w:tcPr>
          <w:p w14:paraId="52286AAC">
            <w:pPr>
              <w:jc w:val="center"/>
              <w:rPr>
                <w:rFonts w:hint="default" w:eastAsia="仿宋_GB2312"/>
                <w:color w:val="auto"/>
                <w:szCs w:val="21"/>
                <w:lang w:val="en-US" w:eastAsia="zh-CN"/>
              </w:rPr>
            </w:pPr>
            <w:r>
              <w:rPr>
                <w:rFonts w:hint="eastAsia" w:eastAsia="仿宋_GB2312"/>
                <w:color w:val="auto"/>
                <w:kern w:val="0"/>
                <w:szCs w:val="21"/>
                <w:lang w:val="en-US" w:eastAsia="zh-CN" w:bidi="ar"/>
              </w:rPr>
              <w:t>0.635</w:t>
            </w:r>
          </w:p>
        </w:tc>
        <w:tc>
          <w:tcPr>
            <w:tcW w:w="630" w:type="pct"/>
            <w:vMerge w:val="continue"/>
            <w:vAlign w:val="center"/>
          </w:tcPr>
          <w:p w14:paraId="2D180356">
            <w:pPr>
              <w:jc w:val="center"/>
              <w:rPr>
                <w:rFonts w:eastAsia="仿宋_GB2312"/>
                <w:color w:val="auto"/>
                <w:szCs w:val="21"/>
              </w:rPr>
            </w:pPr>
          </w:p>
        </w:tc>
        <w:tc>
          <w:tcPr>
            <w:tcW w:w="292" w:type="pct"/>
            <w:vMerge w:val="continue"/>
            <w:vAlign w:val="center"/>
          </w:tcPr>
          <w:p w14:paraId="71EC519B">
            <w:pPr>
              <w:jc w:val="center"/>
              <w:rPr>
                <w:rFonts w:eastAsia="仿宋_GB2312"/>
                <w:color w:val="auto"/>
                <w:szCs w:val="21"/>
              </w:rPr>
            </w:pPr>
          </w:p>
        </w:tc>
      </w:tr>
      <w:tr w14:paraId="0B6540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32DEF175">
            <w:pPr>
              <w:jc w:val="center"/>
              <w:rPr>
                <w:rFonts w:eastAsia="仿宋_GB2312"/>
                <w:color w:val="auto"/>
                <w:szCs w:val="21"/>
              </w:rPr>
            </w:pPr>
          </w:p>
        </w:tc>
        <w:tc>
          <w:tcPr>
            <w:tcW w:w="358" w:type="pct"/>
            <w:vMerge w:val="continue"/>
            <w:vAlign w:val="center"/>
          </w:tcPr>
          <w:p w14:paraId="181DE840">
            <w:pPr>
              <w:jc w:val="center"/>
              <w:rPr>
                <w:rFonts w:eastAsia="仿宋_GB2312"/>
                <w:color w:val="auto"/>
                <w:szCs w:val="21"/>
              </w:rPr>
            </w:pPr>
          </w:p>
        </w:tc>
        <w:tc>
          <w:tcPr>
            <w:tcW w:w="418" w:type="pct"/>
            <w:vMerge w:val="restart"/>
            <w:vAlign w:val="center"/>
          </w:tcPr>
          <w:p w14:paraId="5A9ADCD1">
            <w:pPr>
              <w:jc w:val="center"/>
              <w:rPr>
                <w:rFonts w:eastAsia="仿宋_GB2312"/>
                <w:color w:val="auto"/>
                <w:szCs w:val="21"/>
              </w:rPr>
            </w:pPr>
            <w:r>
              <w:rPr>
                <w:rFonts w:eastAsia="仿宋_GB2312"/>
                <w:color w:val="auto"/>
                <w:kern w:val="0"/>
                <w:szCs w:val="21"/>
                <w:lang w:bidi="ar"/>
              </w:rPr>
              <w:t>G1-2-4</w:t>
            </w:r>
          </w:p>
        </w:tc>
        <w:tc>
          <w:tcPr>
            <w:tcW w:w="446" w:type="pct"/>
            <w:vMerge w:val="restart"/>
            <w:vAlign w:val="center"/>
          </w:tcPr>
          <w:p w14:paraId="2183FCCD">
            <w:pPr>
              <w:jc w:val="center"/>
              <w:rPr>
                <w:rFonts w:eastAsia="仿宋_GB2312"/>
                <w:color w:val="auto"/>
                <w:szCs w:val="21"/>
              </w:rPr>
            </w:pPr>
            <w:r>
              <w:rPr>
                <w:rFonts w:eastAsia="仿宋_GB2312"/>
                <w:color w:val="auto"/>
                <w:kern w:val="0"/>
                <w:szCs w:val="21"/>
                <w:lang w:bidi="ar"/>
              </w:rPr>
              <w:t>灌装废气</w:t>
            </w:r>
          </w:p>
        </w:tc>
        <w:tc>
          <w:tcPr>
            <w:tcW w:w="361" w:type="pct"/>
            <w:vMerge w:val="restart"/>
            <w:vAlign w:val="center"/>
          </w:tcPr>
          <w:p w14:paraId="2CF9A13B">
            <w:pPr>
              <w:jc w:val="center"/>
              <w:rPr>
                <w:rFonts w:hint="default" w:eastAsia="仿宋_GB2312"/>
                <w:color w:val="auto"/>
                <w:szCs w:val="21"/>
                <w:lang w:val="en-US" w:eastAsia="zh-CN"/>
              </w:rPr>
            </w:pPr>
            <w:r>
              <w:rPr>
                <w:rFonts w:hint="eastAsia" w:eastAsia="仿宋_GB2312"/>
                <w:color w:val="auto"/>
                <w:szCs w:val="21"/>
                <w:lang w:val="en-US" w:eastAsia="zh-CN"/>
              </w:rPr>
              <w:t>2000</w:t>
            </w:r>
          </w:p>
        </w:tc>
        <w:tc>
          <w:tcPr>
            <w:tcW w:w="498" w:type="pct"/>
            <w:vMerge w:val="restart"/>
            <w:vAlign w:val="center"/>
          </w:tcPr>
          <w:p w14:paraId="131F4753">
            <w:pPr>
              <w:keepNext w:val="0"/>
              <w:keepLines w:val="0"/>
              <w:widowControl/>
              <w:suppressLineNumbers w:val="0"/>
              <w:jc w:val="center"/>
              <w:textAlignment w:val="bottom"/>
              <w:rPr>
                <w:rFonts w:eastAsia="仿宋_GB2312"/>
                <w:color w:val="auto"/>
                <w:kern w:val="0"/>
                <w:szCs w:val="21"/>
                <w:lang w:bidi="ar"/>
              </w:rPr>
            </w:pPr>
            <w:r>
              <w:rPr>
                <w:rFonts w:hint="default" w:ascii="Times New Roman" w:hAnsi="Times New Roman" w:eastAsia="宋体" w:cs="Times New Roman"/>
                <w:i w:val="0"/>
                <w:iCs w:val="0"/>
                <w:color w:val="auto"/>
                <w:kern w:val="0"/>
                <w:sz w:val="21"/>
                <w:szCs w:val="21"/>
                <w:u w:val="none"/>
                <w:lang w:val="en-US" w:eastAsia="zh-CN" w:bidi="ar"/>
              </w:rPr>
              <w:t>2895</w:t>
            </w:r>
          </w:p>
        </w:tc>
        <w:tc>
          <w:tcPr>
            <w:tcW w:w="820" w:type="pct"/>
            <w:vAlign w:val="center"/>
          </w:tcPr>
          <w:p w14:paraId="283C80DD">
            <w:pPr>
              <w:jc w:val="center"/>
              <w:rPr>
                <w:rFonts w:eastAsia="仿宋_GB2312"/>
                <w:color w:val="auto"/>
                <w:szCs w:val="21"/>
              </w:rPr>
            </w:pPr>
            <w:r>
              <w:rPr>
                <w:rFonts w:eastAsia="仿宋_GB2312"/>
                <w:color w:val="auto"/>
                <w:kern w:val="0"/>
                <w:szCs w:val="21"/>
                <w:lang w:bidi="ar"/>
              </w:rPr>
              <w:t>异丙醇</w:t>
            </w:r>
          </w:p>
        </w:tc>
        <w:tc>
          <w:tcPr>
            <w:tcW w:w="380" w:type="pct"/>
            <w:shd w:val="clear" w:color="auto" w:fill="auto"/>
            <w:vAlign w:val="center"/>
          </w:tcPr>
          <w:p w14:paraId="02116084">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5.327</w:t>
            </w:r>
          </w:p>
        </w:tc>
        <w:tc>
          <w:tcPr>
            <w:tcW w:w="445" w:type="pct"/>
            <w:vAlign w:val="center"/>
          </w:tcPr>
          <w:p w14:paraId="1FF90078">
            <w:pPr>
              <w:jc w:val="center"/>
              <w:rPr>
                <w:rFonts w:hint="default" w:eastAsia="仿宋_GB2312"/>
                <w:color w:val="auto"/>
                <w:szCs w:val="21"/>
                <w:lang w:val="en-US" w:eastAsia="zh-CN"/>
              </w:rPr>
            </w:pPr>
            <w:r>
              <w:rPr>
                <w:rFonts w:hint="eastAsia" w:eastAsia="仿宋_GB2312"/>
                <w:color w:val="auto"/>
                <w:kern w:val="0"/>
                <w:szCs w:val="21"/>
                <w:lang w:val="en-US" w:eastAsia="zh-CN" w:bidi="ar"/>
              </w:rPr>
              <w:t>15.423</w:t>
            </w:r>
          </w:p>
        </w:tc>
        <w:tc>
          <w:tcPr>
            <w:tcW w:w="630" w:type="pct"/>
            <w:vMerge w:val="restart"/>
            <w:shd w:val="clear" w:color="auto" w:fill="auto"/>
            <w:vAlign w:val="center"/>
          </w:tcPr>
          <w:p w14:paraId="44286915">
            <w:pPr>
              <w:jc w:val="center"/>
              <w:rPr>
                <w:rFonts w:ascii="Times New Roman" w:hAnsi="Times New Roman" w:eastAsia="仿宋_GB2312" w:cs="Times New Roman"/>
                <w:bCs/>
                <w:color w:val="auto"/>
                <w:kern w:val="0"/>
                <w:sz w:val="21"/>
                <w:szCs w:val="21"/>
                <w:lang w:val="en-US" w:eastAsia="zh-CN" w:bidi="ar-SA"/>
              </w:rPr>
            </w:pPr>
            <w:r>
              <w:rPr>
                <w:rFonts w:hint="eastAsia" w:eastAsia="仿宋_GB2312"/>
                <w:color w:val="auto"/>
                <w:szCs w:val="21"/>
              </w:rPr>
              <w:t>冷凝+酸吸收+碱吸收+水洗+活性炭吸附/脱附</w:t>
            </w:r>
          </w:p>
        </w:tc>
        <w:tc>
          <w:tcPr>
            <w:tcW w:w="292" w:type="pct"/>
            <w:vMerge w:val="restart"/>
            <w:shd w:val="clear" w:color="auto" w:fill="auto"/>
            <w:vAlign w:val="center"/>
          </w:tcPr>
          <w:p w14:paraId="23B8EA0F">
            <w:pPr>
              <w:jc w:val="center"/>
              <w:rPr>
                <w:rFonts w:ascii="Times New Roman" w:hAnsi="Times New Roman" w:eastAsia="仿宋_GB2312" w:cs="Times New Roman"/>
                <w:bCs/>
                <w:color w:val="auto"/>
                <w:kern w:val="0"/>
                <w:sz w:val="21"/>
                <w:szCs w:val="21"/>
                <w:lang w:val="en-US" w:eastAsia="zh-CN" w:bidi="ar-SA"/>
              </w:rPr>
            </w:pPr>
            <w:r>
              <w:rPr>
                <w:rFonts w:hint="eastAsia" w:eastAsia="仿宋_GB2312"/>
                <w:color w:val="auto"/>
              </w:rPr>
              <w:t>DA005</w:t>
            </w:r>
          </w:p>
        </w:tc>
      </w:tr>
      <w:tr w14:paraId="03EE6A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blHeader/>
          <w:jc w:val="center"/>
        </w:trPr>
        <w:tc>
          <w:tcPr>
            <w:tcW w:w="348" w:type="pct"/>
            <w:vMerge w:val="continue"/>
            <w:vAlign w:val="center"/>
          </w:tcPr>
          <w:p w14:paraId="051B732A">
            <w:pPr>
              <w:jc w:val="center"/>
              <w:rPr>
                <w:rFonts w:eastAsia="仿宋_GB2312"/>
                <w:color w:val="auto"/>
                <w:szCs w:val="21"/>
              </w:rPr>
            </w:pPr>
          </w:p>
        </w:tc>
        <w:tc>
          <w:tcPr>
            <w:tcW w:w="358" w:type="pct"/>
            <w:vMerge w:val="continue"/>
            <w:vAlign w:val="center"/>
          </w:tcPr>
          <w:p w14:paraId="2DE9AA21">
            <w:pPr>
              <w:jc w:val="center"/>
              <w:rPr>
                <w:rFonts w:eastAsia="仿宋_GB2312"/>
                <w:color w:val="auto"/>
                <w:szCs w:val="21"/>
              </w:rPr>
            </w:pPr>
          </w:p>
        </w:tc>
        <w:tc>
          <w:tcPr>
            <w:tcW w:w="418" w:type="pct"/>
            <w:vMerge w:val="continue"/>
            <w:vAlign w:val="center"/>
          </w:tcPr>
          <w:p w14:paraId="698FA1EE">
            <w:pPr>
              <w:jc w:val="center"/>
              <w:rPr>
                <w:rFonts w:eastAsia="仿宋_GB2312"/>
                <w:color w:val="auto"/>
                <w:szCs w:val="21"/>
              </w:rPr>
            </w:pPr>
          </w:p>
        </w:tc>
        <w:tc>
          <w:tcPr>
            <w:tcW w:w="446" w:type="pct"/>
            <w:vMerge w:val="continue"/>
            <w:vAlign w:val="center"/>
          </w:tcPr>
          <w:p w14:paraId="6136B276">
            <w:pPr>
              <w:jc w:val="center"/>
              <w:rPr>
                <w:rFonts w:eastAsia="仿宋_GB2312"/>
                <w:color w:val="auto"/>
                <w:szCs w:val="21"/>
              </w:rPr>
            </w:pPr>
          </w:p>
        </w:tc>
        <w:tc>
          <w:tcPr>
            <w:tcW w:w="361" w:type="pct"/>
            <w:vMerge w:val="continue"/>
            <w:vAlign w:val="center"/>
          </w:tcPr>
          <w:p w14:paraId="4C6941E4">
            <w:pPr>
              <w:jc w:val="center"/>
              <w:rPr>
                <w:rFonts w:eastAsia="仿宋_GB2312"/>
                <w:color w:val="auto"/>
                <w:szCs w:val="21"/>
              </w:rPr>
            </w:pPr>
          </w:p>
        </w:tc>
        <w:tc>
          <w:tcPr>
            <w:tcW w:w="498" w:type="pct"/>
            <w:vMerge w:val="continue"/>
            <w:vAlign w:val="center"/>
          </w:tcPr>
          <w:p w14:paraId="79C06E34">
            <w:pPr>
              <w:keepNext w:val="0"/>
              <w:keepLines w:val="0"/>
              <w:widowControl/>
              <w:suppressLineNumbers w:val="0"/>
              <w:jc w:val="center"/>
              <w:textAlignment w:val="bottom"/>
              <w:rPr>
                <w:rFonts w:eastAsia="仿宋_GB2312"/>
                <w:color w:val="auto"/>
                <w:kern w:val="0"/>
                <w:szCs w:val="21"/>
                <w:lang w:bidi="ar"/>
              </w:rPr>
            </w:pPr>
          </w:p>
        </w:tc>
        <w:tc>
          <w:tcPr>
            <w:tcW w:w="820" w:type="pct"/>
            <w:vAlign w:val="center"/>
          </w:tcPr>
          <w:p w14:paraId="099A87E5">
            <w:pPr>
              <w:jc w:val="center"/>
              <w:rPr>
                <w:rFonts w:eastAsia="仿宋_GB2312"/>
                <w:color w:val="auto"/>
                <w:szCs w:val="21"/>
              </w:rPr>
            </w:pPr>
            <w:r>
              <w:rPr>
                <w:rFonts w:eastAsia="仿宋_GB2312"/>
                <w:color w:val="auto"/>
                <w:kern w:val="0"/>
                <w:szCs w:val="21"/>
                <w:lang w:bidi="ar"/>
              </w:rPr>
              <w:t>其他有机物</w:t>
            </w:r>
          </w:p>
        </w:tc>
        <w:tc>
          <w:tcPr>
            <w:tcW w:w="380" w:type="pct"/>
            <w:shd w:val="clear" w:color="auto" w:fill="auto"/>
            <w:vAlign w:val="center"/>
          </w:tcPr>
          <w:p w14:paraId="365DC4DE">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0.007</w:t>
            </w:r>
          </w:p>
        </w:tc>
        <w:tc>
          <w:tcPr>
            <w:tcW w:w="445" w:type="pct"/>
            <w:vAlign w:val="center"/>
          </w:tcPr>
          <w:p w14:paraId="15CAF4B8">
            <w:pPr>
              <w:jc w:val="center"/>
              <w:rPr>
                <w:rFonts w:hint="default" w:eastAsia="仿宋_GB2312"/>
                <w:color w:val="auto"/>
                <w:szCs w:val="21"/>
                <w:lang w:val="en-US" w:eastAsia="zh-CN"/>
              </w:rPr>
            </w:pPr>
            <w:r>
              <w:rPr>
                <w:rFonts w:hint="eastAsia" w:eastAsia="仿宋_GB2312"/>
                <w:color w:val="auto"/>
                <w:kern w:val="0"/>
                <w:szCs w:val="21"/>
                <w:lang w:val="en-US" w:eastAsia="zh-CN" w:bidi="ar"/>
              </w:rPr>
              <w:t>0.021</w:t>
            </w:r>
          </w:p>
        </w:tc>
        <w:tc>
          <w:tcPr>
            <w:tcW w:w="630" w:type="pct"/>
            <w:vMerge w:val="continue"/>
            <w:vAlign w:val="center"/>
          </w:tcPr>
          <w:p w14:paraId="0820B15E">
            <w:pPr>
              <w:jc w:val="center"/>
              <w:rPr>
                <w:rFonts w:eastAsia="仿宋_GB2312"/>
                <w:color w:val="auto"/>
                <w:szCs w:val="21"/>
              </w:rPr>
            </w:pPr>
          </w:p>
        </w:tc>
        <w:tc>
          <w:tcPr>
            <w:tcW w:w="292" w:type="pct"/>
            <w:vMerge w:val="continue"/>
            <w:vAlign w:val="center"/>
          </w:tcPr>
          <w:p w14:paraId="53673217">
            <w:pPr>
              <w:jc w:val="center"/>
              <w:rPr>
                <w:rFonts w:eastAsia="仿宋_GB2312"/>
                <w:color w:val="auto"/>
                <w:szCs w:val="21"/>
              </w:rPr>
            </w:pPr>
          </w:p>
        </w:tc>
      </w:tr>
      <w:tr w14:paraId="65F503C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restart"/>
            <w:vAlign w:val="center"/>
          </w:tcPr>
          <w:p w14:paraId="3076B105">
            <w:pPr>
              <w:jc w:val="center"/>
              <w:rPr>
                <w:rFonts w:eastAsia="仿宋_GB2312"/>
                <w:color w:val="auto"/>
                <w:szCs w:val="21"/>
              </w:rPr>
            </w:pPr>
            <w:r>
              <w:rPr>
                <w:rFonts w:eastAsia="仿宋_GB2312"/>
                <w:color w:val="auto"/>
                <w:szCs w:val="21"/>
              </w:rPr>
              <w:t>B-7车间</w:t>
            </w:r>
          </w:p>
        </w:tc>
        <w:tc>
          <w:tcPr>
            <w:tcW w:w="358" w:type="pct"/>
            <w:vMerge w:val="restart"/>
            <w:vAlign w:val="center"/>
          </w:tcPr>
          <w:p w14:paraId="4A9B9E6B">
            <w:pPr>
              <w:jc w:val="center"/>
              <w:rPr>
                <w:rFonts w:eastAsia="仿宋_GB2312"/>
                <w:color w:val="auto"/>
                <w:szCs w:val="21"/>
              </w:rPr>
            </w:pPr>
            <w:r>
              <w:rPr>
                <w:rFonts w:eastAsia="仿宋_GB2312"/>
                <w:color w:val="auto"/>
                <w:szCs w:val="21"/>
              </w:rPr>
              <w:t>二氯甲烷</w:t>
            </w:r>
          </w:p>
        </w:tc>
        <w:tc>
          <w:tcPr>
            <w:tcW w:w="418" w:type="pct"/>
            <w:vMerge w:val="restart"/>
            <w:vAlign w:val="center"/>
          </w:tcPr>
          <w:p w14:paraId="28B09DEA">
            <w:pPr>
              <w:jc w:val="center"/>
              <w:rPr>
                <w:rFonts w:eastAsia="仿宋_GB2312"/>
                <w:color w:val="auto"/>
                <w:szCs w:val="21"/>
              </w:rPr>
            </w:pPr>
            <w:r>
              <w:rPr>
                <w:rFonts w:eastAsia="仿宋_GB2312"/>
                <w:color w:val="auto"/>
                <w:kern w:val="0"/>
                <w:szCs w:val="21"/>
                <w:lang w:bidi="ar"/>
              </w:rPr>
              <w:t>G</w:t>
            </w:r>
            <w:r>
              <w:rPr>
                <w:rFonts w:hint="eastAsia" w:eastAsia="仿宋_GB2312"/>
                <w:color w:val="auto"/>
                <w:kern w:val="0"/>
                <w:szCs w:val="21"/>
                <w:lang w:val="en-US" w:eastAsia="zh-CN" w:bidi="ar"/>
              </w:rPr>
              <w:t>2</w:t>
            </w:r>
            <w:r>
              <w:rPr>
                <w:rFonts w:eastAsia="仿宋_GB2312"/>
                <w:color w:val="auto"/>
                <w:kern w:val="0"/>
                <w:szCs w:val="21"/>
                <w:lang w:bidi="ar"/>
              </w:rPr>
              <w:t>-</w:t>
            </w:r>
            <w:r>
              <w:rPr>
                <w:rFonts w:hint="eastAsia" w:eastAsia="仿宋_GB2312"/>
                <w:color w:val="auto"/>
                <w:kern w:val="0"/>
                <w:szCs w:val="21"/>
                <w:lang w:val="en-US" w:eastAsia="zh-CN" w:bidi="ar"/>
              </w:rPr>
              <w:t>1</w:t>
            </w:r>
            <w:r>
              <w:rPr>
                <w:rFonts w:eastAsia="仿宋_GB2312"/>
                <w:color w:val="auto"/>
                <w:kern w:val="0"/>
                <w:szCs w:val="21"/>
                <w:lang w:bidi="ar"/>
              </w:rPr>
              <w:t>-1</w:t>
            </w:r>
          </w:p>
        </w:tc>
        <w:tc>
          <w:tcPr>
            <w:tcW w:w="446" w:type="pct"/>
            <w:vMerge w:val="restart"/>
            <w:vAlign w:val="center"/>
          </w:tcPr>
          <w:p w14:paraId="49764956">
            <w:pPr>
              <w:jc w:val="center"/>
              <w:rPr>
                <w:rFonts w:eastAsia="仿宋_GB2312"/>
                <w:color w:val="auto"/>
                <w:szCs w:val="21"/>
              </w:rPr>
            </w:pPr>
            <w:r>
              <w:rPr>
                <w:rFonts w:eastAsia="仿宋_GB2312"/>
                <w:color w:val="auto"/>
                <w:kern w:val="0"/>
                <w:szCs w:val="21"/>
                <w:lang w:bidi="ar"/>
              </w:rPr>
              <w:t>投料废气</w:t>
            </w:r>
          </w:p>
        </w:tc>
        <w:tc>
          <w:tcPr>
            <w:tcW w:w="361" w:type="pct"/>
            <w:vMerge w:val="restart"/>
            <w:vAlign w:val="center"/>
          </w:tcPr>
          <w:p w14:paraId="089A3607">
            <w:pPr>
              <w:jc w:val="center"/>
              <w:rPr>
                <w:rFonts w:hint="default" w:eastAsia="仿宋_GB2312"/>
                <w:color w:val="auto"/>
                <w:szCs w:val="21"/>
                <w:lang w:val="en-US" w:eastAsia="zh-CN"/>
              </w:rPr>
            </w:pPr>
            <w:r>
              <w:rPr>
                <w:rFonts w:hint="eastAsia" w:eastAsia="仿宋_GB2312"/>
                <w:color w:val="auto"/>
                <w:szCs w:val="21"/>
                <w:lang w:val="en-US" w:eastAsia="zh-CN"/>
              </w:rPr>
              <w:t>2000</w:t>
            </w:r>
          </w:p>
        </w:tc>
        <w:tc>
          <w:tcPr>
            <w:tcW w:w="498" w:type="pct"/>
            <w:vMerge w:val="restart"/>
            <w:shd w:val="clear" w:color="auto" w:fill="auto"/>
            <w:vAlign w:val="center"/>
          </w:tcPr>
          <w:p w14:paraId="6D43C60C">
            <w:pPr>
              <w:keepNext w:val="0"/>
              <w:keepLines w:val="0"/>
              <w:widowControl/>
              <w:suppressLineNumbers w:val="0"/>
              <w:jc w:val="center"/>
              <w:textAlignment w:val="bottom"/>
              <w:rPr>
                <w:rFonts w:eastAsia="仿宋_GB2312"/>
                <w:color w:val="auto"/>
                <w:kern w:val="0"/>
                <w:szCs w:val="21"/>
                <w:lang w:bidi="ar"/>
              </w:rPr>
            </w:pPr>
            <w:r>
              <w:rPr>
                <w:rFonts w:hint="default" w:ascii="Times New Roman" w:hAnsi="Times New Roman" w:eastAsia="宋体" w:cs="Times New Roman"/>
                <w:i w:val="0"/>
                <w:iCs w:val="0"/>
                <w:color w:val="auto"/>
                <w:kern w:val="0"/>
                <w:sz w:val="21"/>
                <w:szCs w:val="21"/>
                <w:u w:val="none"/>
                <w:lang w:val="en-US" w:eastAsia="zh-CN" w:bidi="ar"/>
              </w:rPr>
              <w:t>612</w:t>
            </w:r>
          </w:p>
        </w:tc>
        <w:tc>
          <w:tcPr>
            <w:tcW w:w="820" w:type="pct"/>
            <w:shd w:val="clear" w:color="auto" w:fill="auto"/>
            <w:vAlign w:val="center"/>
          </w:tcPr>
          <w:p w14:paraId="1E8E5BFB">
            <w:pPr>
              <w:widowControl/>
              <w:jc w:val="center"/>
              <w:textAlignment w:val="center"/>
              <w:rPr>
                <w:rFonts w:ascii="Times New Roman" w:hAnsi="Times New Roman" w:eastAsia="仿宋_GB2312" w:cs="Times New Roman"/>
                <w:color w:val="auto"/>
                <w:kern w:val="0"/>
                <w:sz w:val="21"/>
                <w:szCs w:val="21"/>
                <w:lang w:val="en-US" w:eastAsia="zh-CN" w:bidi="ar"/>
              </w:rPr>
            </w:pPr>
            <w:r>
              <w:rPr>
                <w:rFonts w:eastAsia="仿宋_GB2312"/>
                <w:color w:val="auto"/>
                <w:kern w:val="0"/>
                <w:szCs w:val="21"/>
                <w:lang w:bidi="ar"/>
              </w:rPr>
              <w:t>二氯甲烷</w:t>
            </w:r>
          </w:p>
        </w:tc>
        <w:tc>
          <w:tcPr>
            <w:tcW w:w="380" w:type="pct"/>
            <w:shd w:val="clear" w:color="auto" w:fill="auto"/>
            <w:vAlign w:val="center"/>
          </w:tcPr>
          <w:p w14:paraId="0C3BB741">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4.072</w:t>
            </w:r>
          </w:p>
        </w:tc>
        <w:tc>
          <w:tcPr>
            <w:tcW w:w="445" w:type="pct"/>
            <w:shd w:val="clear" w:color="auto" w:fill="auto"/>
            <w:vAlign w:val="center"/>
          </w:tcPr>
          <w:p w14:paraId="5EAB1CD4">
            <w:pPr>
              <w:widowControl/>
              <w:jc w:val="center"/>
              <w:textAlignment w:val="center"/>
              <w:rPr>
                <w:rFonts w:ascii="Times New Roman" w:hAnsi="Times New Roman" w:eastAsia="仿宋_GB2312" w:cs="Times New Roman"/>
                <w:color w:val="auto"/>
                <w:kern w:val="0"/>
                <w:sz w:val="21"/>
                <w:szCs w:val="21"/>
                <w:lang w:val="en-US" w:eastAsia="zh-CN" w:bidi="ar"/>
              </w:rPr>
            </w:pPr>
            <w:r>
              <w:rPr>
                <w:rFonts w:hint="eastAsia" w:ascii="Times New Roman" w:hAnsi="Times New Roman" w:eastAsia="仿宋_GB2312" w:cs="Times New Roman"/>
                <w:color w:val="auto"/>
                <w:kern w:val="0"/>
                <w:szCs w:val="21"/>
                <w:lang w:val="en-US" w:eastAsia="zh-CN" w:bidi="ar"/>
              </w:rPr>
              <w:t>2.4926</w:t>
            </w:r>
          </w:p>
        </w:tc>
        <w:tc>
          <w:tcPr>
            <w:tcW w:w="630" w:type="pct"/>
            <w:vMerge w:val="restart"/>
            <w:shd w:val="clear" w:color="auto" w:fill="auto"/>
            <w:vAlign w:val="center"/>
          </w:tcPr>
          <w:p w14:paraId="6C4C94BA">
            <w:pPr>
              <w:jc w:val="center"/>
              <w:rPr>
                <w:rFonts w:ascii="Times New Roman" w:hAnsi="Times New Roman" w:eastAsia="仿宋_GB2312" w:cs="Times New Roman"/>
                <w:color w:val="auto"/>
                <w:kern w:val="2"/>
                <w:sz w:val="21"/>
                <w:szCs w:val="24"/>
                <w:lang w:val="en-US" w:eastAsia="zh-CN" w:bidi="ar-SA"/>
              </w:rPr>
            </w:pPr>
            <w:r>
              <w:rPr>
                <w:rFonts w:hint="eastAsia" w:eastAsia="仿宋_GB2312"/>
                <w:color w:val="auto"/>
                <w:szCs w:val="21"/>
              </w:rPr>
              <w:t>冷凝+酸吸收+碱吸收+水洗+活性炭吸附/脱附</w:t>
            </w:r>
          </w:p>
        </w:tc>
        <w:tc>
          <w:tcPr>
            <w:tcW w:w="292" w:type="pct"/>
            <w:vMerge w:val="restart"/>
            <w:shd w:val="clear" w:color="auto" w:fill="auto"/>
            <w:vAlign w:val="center"/>
          </w:tcPr>
          <w:p w14:paraId="5B71805E">
            <w:pPr>
              <w:jc w:val="center"/>
              <w:rPr>
                <w:rFonts w:ascii="Times New Roman" w:hAnsi="Times New Roman" w:eastAsia="仿宋_GB2312" w:cs="Times New Roman"/>
                <w:color w:val="auto"/>
                <w:kern w:val="2"/>
                <w:sz w:val="21"/>
                <w:szCs w:val="24"/>
                <w:lang w:val="en-US" w:eastAsia="zh-CN" w:bidi="ar-SA"/>
              </w:rPr>
            </w:pPr>
            <w:r>
              <w:rPr>
                <w:rFonts w:hint="eastAsia" w:eastAsia="仿宋_GB2312"/>
                <w:color w:val="auto"/>
              </w:rPr>
              <w:t>DA005</w:t>
            </w:r>
          </w:p>
        </w:tc>
      </w:tr>
      <w:tr w14:paraId="7CC881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258FD6DD">
            <w:pPr>
              <w:jc w:val="center"/>
              <w:rPr>
                <w:rFonts w:eastAsia="仿宋_GB2312"/>
                <w:color w:val="auto"/>
                <w:szCs w:val="21"/>
              </w:rPr>
            </w:pPr>
          </w:p>
        </w:tc>
        <w:tc>
          <w:tcPr>
            <w:tcW w:w="358" w:type="pct"/>
            <w:vMerge w:val="continue"/>
            <w:vAlign w:val="center"/>
          </w:tcPr>
          <w:p w14:paraId="02B6E9A7">
            <w:pPr>
              <w:jc w:val="center"/>
              <w:rPr>
                <w:rFonts w:eastAsia="仿宋_GB2312"/>
                <w:color w:val="auto"/>
                <w:szCs w:val="21"/>
              </w:rPr>
            </w:pPr>
          </w:p>
        </w:tc>
        <w:tc>
          <w:tcPr>
            <w:tcW w:w="418" w:type="pct"/>
            <w:vMerge w:val="continue"/>
            <w:vAlign w:val="center"/>
          </w:tcPr>
          <w:p w14:paraId="7CAF20D4">
            <w:pPr>
              <w:jc w:val="center"/>
              <w:rPr>
                <w:rFonts w:eastAsia="仿宋_GB2312"/>
                <w:color w:val="auto"/>
                <w:szCs w:val="21"/>
              </w:rPr>
            </w:pPr>
          </w:p>
        </w:tc>
        <w:tc>
          <w:tcPr>
            <w:tcW w:w="446" w:type="pct"/>
            <w:vMerge w:val="continue"/>
            <w:vAlign w:val="center"/>
          </w:tcPr>
          <w:p w14:paraId="1C92696B">
            <w:pPr>
              <w:jc w:val="center"/>
              <w:rPr>
                <w:rFonts w:eastAsia="仿宋_GB2312"/>
                <w:color w:val="auto"/>
                <w:szCs w:val="21"/>
              </w:rPr>
            </w:pPr>
          </w:p>
        </w:tc>
        <w:tc>
          <w:tcPr>
            <w:tcW w:w="361" w:type="pct"/>
            <w:vMerge w:val="continue"/>
            <w:vAlign w:val="center"/>
          </w:tcPr>
          <w:p w14:paraId="53968CB8">
            <w:pPr>
              <w:jc w:val="center"/>
              <w:rPr>
                <w:rFonts w:eastAsia="仿宋_GB2312"/>
                <w:color w:val="auto"/>
                <w:szCs w:val="21"/>
              </w:rPr>
            </w:pPr>
          </w:p>
        </w:tc>
        <w:tc>
          <w:tcPr>
            <w:tcW w:w="498" w:type="pct"/>
            <w:vMerge w:val="continue"/>
            <w:shd w:val="clear" w:color="auto" w:fill="auto"/>
            <w:vAlign w:val="center"/>
          </w:tcPr>
          <w:p w14:paraId="156ED280">
            <w:pPr>
              <w:keepNext w:val="0"/>
              <w:keepLines w:val="0"/>
              <w:widowControl/>
              <w:suppressLineNumbers w:val="0"/>
              <w:jc w:val="center"/>
              <w:textAlignment w:val="bottom"/>
              <w:rPr>
                <w:rFonts w:eastAsia="仿宋_GB2312"/>
                <w:color w:val="auto"/>
                <w:kern w:val="0"/>
                <w:szCs w:val="21"/>
                <w:lang w:bidi="ar"/>
              </w:rPr>
            </w:pPr>
          </w:p>
        </w:tc>
        <w:tc>
          <w:tcPr>
            <w:tcW w:w="820" w:type="pct"/>
            <w:shd w:val="clear" w:color="auto" w:fill="auto"/>
            <w:vAlign w:val="center"/>
          </w:tcPr>
          <w:p w14:paraId="7419A811">
            <w:pPr>
              <w:widowControl/>
              <w:jc w:val="center"/>
              <w:textAlignment w:val="center"/>
              <w:rPr>
                <w:rFonts w:ascii="Times New Roman" w:hAnsi="Times New Roman" w:eastAsia="仿宋_GB2312" w:cs="Times New Roman"/>
                <w:color w:val="auto"/>
                <w:kern w:val="0"/>
                <w:sz w:val="21"/>
                <w:szCs w:val="21"/>
                <w:lang w:val="en-US" w:eastAsia="zh-CN" w:bidi="ar"/>
              </w:rPr>
            </w:pPr>
            <w:r>
              <w:rPr>
                <w:rFonts w:eastAsia="仿宋_GB2312"/>
                <w:color w:val="auto"/>
                <w:kern w:val="0"/>
                <w:szCs w:val="21"/>
                <w:lang w:bidi="ar"/>
              </w:rPr>
              <w:t>乙酸乙酯</w:t>
            </w:r>
          </w:p>
        </w:tc>
        <w:tc>
          <w:tcPr>
            <w:tcW w:w="380" w:type="pct"/>
            <w:shd w:val="clear" w:color="auto" w:fill="auto"/>
            <w:vAlign w:val="center"/>
          </w:tcPr>
          <w:p w14:paraId="2992FA4C">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0.008</w:t>
            </w:r>
          </w:p>
        </w:tc>
        <w:tc>
          <w:tcPr>
            <w:tcW w:w="445" w:type="pct"/>
            <w:shd w:val="clear" w:color="auto" w:fill="auto"/>
            <w:vAlign w:val="center"/>
          </w:tcPr>
          <w:p w14:paraId="5C2B36EF">
            <w:pPr>
              <w:widowControl/>
              <w:jc w:val="center"/>
              <w:textAlignment w:val="center"/>
              <w:rPr>
                <w:rFonts w:ascii="Times New Roman" w:hAnsi="Times New Roman" w:eastAsia="仿宋_GB2312" w:cs="Times New Roman"/>
                <w:color w:val="auto"/>
                <w:kern w:val="0"/>
                <w:sz w:val="21"/>
                <w:szCs w:val="21"/>
                <w:lang w:val="en-US" w:eastAsia="zh-CN" w:bidi="ar"/>
              </w:rPr>
            </w:pPr>
            <w:r>
              <w:rPr>
                <w:rFonts w:hint="eastAsia" w:ascii="Times New Roman" w:hAnsi="Times New Roman" w:eastAsia="仿宋_GB2312" w:cs="Times New Roman"/>
                <w:color w:val="auto"/>
                <w:kern w:val="0"/>
                <w:szCs w:val="21"/>
                <w:lang w:val="en-US" w:eastAsia="zh-CN" w:bidi="ar"/>
              </w:rPr>
              <w:t>0.0055</w:t>
            </w:r>
          </w:p>
        </w:tc>
        <w:tc>
          <w:tcPr>
            <w:tcW w:w="630" w:type="pct"/>
            <w:vMerge w:val="continue"/>
            <w:vAlign w:val="center"/>
          </w:tcPr>
          <w:p w14:paraId="296F82C0">
            <w:pPr>
              <w:jc w:val="center"/>
              <w:rPr>
                <w:rFonts w:eastAsia="仿宋_GB2312"/>
                <w:color w:val="auto"/>
                <w:szCs w:val="21"/>
              </w:rPr>
            </w:pPr>
          </w:p>
        </w:tc>
        <w:tc>
          <w:tcPr>
            <w:tcW w:w="292" w:type="pct"/>
            <w:vMerge w:val="continue"/>
            <w:vAlign w:val="center"/>
          </w:tcPr>
          <w:p w14:paraId="06EDC324">
            <w:pPr>
              <w:jc w:val="center"/>
              <w:rPr>
                <w:rFonts w:eastAsia="仿宋_GB2312"/>
                <w:color w:val="auto"/>
                <w:szCs w:val="21"/>
              </w:rPr>
            </w:pPr>
          </w:p>
        </w:tc>
      </w:tr>
      <w:tr w14:paraId="2C8ED2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6F11683B">
            <w:pPr>
              <w:jc w:val="center"/>
              <w:rPr>
                <w:rFonts w:eastAsia="仿宋_GB2312"/>
                <w:color w:val="auto"/>
                <w:szCs w:val="21"/>
              </w:rPr>
            </w:pPr>
          </w:p>
        </w:tc>
        <w:tc>
          <w:tcPr>
            <w:tcW w:w="358" w:type="pct"/>
            <w:vMerge w:val="continue"/>
            <w:vAlign w:val="center"/>
          </w:tcPr>
          <w:p w14:paraId="217D459E">
            <w:pPr>
              <w:jc w:val="center"/>
              <w:rPr>
                <w:rFonts w:eastAsia="仿宋_GB2312"/>
                <w:color w:val="auto"/>
                <w:szCs w:val="21"/>
              </w:rPr>
            </w:pPr>
          </w:p>
        </w:tc>
        <w:tc>
          <w:tcPr>
            <w:tcW w:w="418" w:type="pct"/>
            <w:vMerge w:val="continue"/>
            <w:vAlign w:val="center"/>
          </w:tcPr>
          <w:p w14:paraId="38ADB14D">
            <w:pPr>
              <w:jc w:val="center"/>
              <w:rPr>
                <w:rFonts w:eastAsia="仿宋_GB2312"/>
                <w:color w:val="auto"/>
                <w:szCs w:val="21"/>
              </w:rPr>
            </w:pPr>
          </w:p>
        </w:tc>
        <w:tc>
          <w:tcPr>
            <w:tcW w:w="446" w:type="pct"/>
            <w:vMerge w:val="continue"/>
            <w:vAlign w:val="center"/>
          </w:tcPr>
          <w:p w14:paraId="093DE080">
            <w:pPr>
              <w:jc w:val="center"/>
              <w:rPr>
                <w:rFonts w:eastAsia="仿宋_GB2312"/>
                <w:color w:val="auto"/>
                <w:szCs w:val="21"/>
              </w:rPr>
            </w:pPr>
          </w:p>
        </w:tc>
        <w:tc>
          <w:tcPr>
            <w:tcW w:w="361" w:type="pct"/>
            <w:vMerge w:val="continue"/>
            <w:vAlign w:val="center"/>
          </w:tcPr>
          <w:p w14:paraId="6EF6F9DD">
            <w:pPr>
              <w:jc w:val="center"/>
              <w:rPr>
                <w:rFonts w:eastAsia="仿宋_GB2312"/>
                <w:color w:val="auto"/>
                <w:szCs w:val="21"/>
              </w:rPr>
            </w:pPr>
          </w:p>
        </w:tc>
        <w:tc>
          <w:tcPr>
            <w:tcW w:w="498" w:type="pct"/>
            <w:vMerge w:val="continue"/>
            <w:shd w:val="clear" w:color="auto" w:fill="auto"/>
            <w:vAlign w:val="center"/>
          </w:tcPr>
          <w:p w14:paraId="5167884C">
            <w:pPr>
              <w:keepNext w:val="0"/>
              <w:keepLines w:val="0"/>
              <w:widowControl/>
              <w:suppressLineNumbers w:val="0"/>
              <w:jc w:val="center"/>
              <w:textAlignment w:val="bottom"/>
              <w:rPr>
                <w:rFonts w:eastAsia="仿宋_GB2312"/>
                <w:color w:val="auto"/>
                <w:kern w:val="0"/>
                <w:szCs w:val="21"/>
                <w:lang w:bidi="ar"/>
              </w:rPr>
            </w:pPr>
          </w:p>
        </w:tc>
        <w:tc>
          <w:tcPr>
            <w:tcW w:w="820" w:type="pct"/>
            <w:shd w:val="clear" w:color="auto" w:fill="auto"/>
            <w:vAlign w:val="center"/>
          </w:tcPr>
          <w:p w14:paraId="4B8CE9B0">
            <w:pPr>
              <w:widowControl/>
              <w:jc w:val="center"/>
              <w:textAlignment w:val="center"/>
              <w:rPr>
                <w:rFonts w:ascii="Times New Roman" w:hAnsi="Times New Roman" w:eastAsia="仿宋_GB2312" w:cs="Times New Roman"/>
                <w:color w:val="auto"/>
                <w:kern w:val="0"/>
                <w:sz w:val="21"/>
                <w:szCs w:val="21"/>
                <w:lang w:val="en-US" w:eastAsia="zh-CN" w:bidi="ar"/>
              </w:rPr>
            </w:pPr>
            <w:r>
              <w:rPr>
                <w:rFonts w:eastAsia="仿宋_GB2312"/>
                <w:color w:val="auto"/>
                <w:kern w:val="0"/>
                <w:szCs w:val="21"/>
                <w:lang w:bidi="ar"/>
              </w:rPr>
              <w:t>甲苯</w:t>
            </w:r>
          </w:p>
        </w:tc>
        <w:tc>
          <w:tcPr>
            <w:tcW w:w="380" w:type="pct"/>
            <w:shd w:val="clear" w:color="auto" w:fill="auto"/>
            <w:vAlign w:val="center"/>
          </w:tcPr>
          <w:p w14:paraId="3B46E50F">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0.014</w:t>
            </w:r>
          </w:p>
        </w:tc>
        <w:tc>
          <w:tcPr>
            <w:tcW w:w="445" w:type="pct"/>
            <w:shd w:val="clear" w:color="auto" w:fill="auto"/>
            <w:vAlign w:val="center"/>
          </w:tcPr>
          <w:p w14:paraId="47C925C5">
            <w:pPr>
              <w:widowControl/>
              <w:jc w:val="center"/>
              <w:textAlignment w:val="center"/>
              <w:rPr>
                <w:rFonts w:ascii="Times New Roman" w:hAnsi="Times New Roman" w:eastAsia="仿宋_GB2312" w:cs="Times New Roman"/>
                <w:color w:val="auto"/>
                <w:kern w:val="0"/>
                <w:sz w:val="21"/>
                <w:szCs w:val="21"/>
                <w:lang w:val="en-US" w:eastAsia="zh-CN" w:bidi="ar"/>
              </w:rPr>
            </w:pPr>
            <w:r>
              <w:rPr>
                <w:rFonts w:hint="eastAsia" w:ascii="Times New Roman" w:hAnsi="Times New Roman" w:eastAsia="仿宋_GB2312" w:cs="Times New Roman"/>
                <w:color w:val="auto"/>
                <w:kern w:val="0"/>
                <w:szCs w:val="21"/>
                <w:lang w:val="en-US" w:eastAsia="zh-CN" w:bidi="ar"/>
              </w:rPr>
              <w:t>0.0088</w:t>
            </w:r>
          </w:p>
        </w:tc>
        <w:tc>
          <w:tcPr>
            <w:tcW w:w="630" w:type="pct"/>
            <w:vMerge w:val="continue"/>
            <w:vAlign w:val="center"/>
          </w:tcPr>
          <w:p w14:paraId="50CF0234">
            <w:pPr>
              <w:jc w:val="center"/>
              <w:rPr>
                <w:rFonts w:eastAsia="仿宋_GB2312"/>
                <w:color w:val="auto"/>
                <w:szCs w:val="21"/>
              </w:rPr>
            </w:pPr>
          </w:p>
        </w:tc>
        <w:tc>
          <w:tcPr>
            <w:tcW w:w="292" w:type="pct"/>
            <w:vMerge w:val="continue"/>
            <w:vAlign w:val="center"/>
          </w:tcPr>
          <w:p w14:paraId="29DB4EF2">
            <w:pPr>
              <w:jc w:val="center"/>
              <w:rPr>
                <w:rFonts w:eastAsia="仿宋_GB2312"/>
                <w:color w:val="auto"/>
                <w:szCs w:val="21"/>
              </w:rPr>
            </w:pPr>
          </w:p>
        </w:tc>
      </w:tr>
      <w:tr w14:paraId="2BE15F5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11879E89">
            <w:pPr>
              <w:jc w:val="center"/>
              <w:rPr>
                <w:rFonts w:eastAsia="仿宋_GB2312"/>
                <w:color w:val="auto"/>
                <w:szCs w:val="21"/>
              </w:rPr>
            </w:pPr>
          </w:p>
        </w:tc>
        <w:tc>
          <w:tcPr>
            <w:tcW w:w="358" w:type="pct"/>
            <w:vMerge w:val="continue"/>
            <w:vAlign w:val="center"/>
          </w:tcPr>
          <w:p w14:paraId="5AC4D43A">
            <w:pPr>
              <w:jc w:val="center"/>
              <w:rPr>
                <w:rFonts w:eastAsia="仿宋_GB2312"/>
                <w:color w:val="auto"/>
                <w:szCs w:val="21"/>
              </w:rPr>
            </w:pPr>
          </w:p>
        </w:tc>
        <w:tc>
          <w:tcPr>
            <w:tcW w:w="418" w:type="pct"/>
            <w:vMerge w:val="continue"/>
            <w:vAlign w:val="center"/>
          </w:tcPr>
          <w:p w14:paraId="27FF0C2F">
            <w:pPr>
              <w:jc w:val="center"/>
              <w:rPr>
                <w:rFonts w:eastAsia="仿宋_GB2312"/>
                <w:color w:val="auto"/>
                <w:szCs w:val="21"/>
              </w:rPr>
            </w:pPr>
          </w:p>
        </w:tc>
        <w:tc>
          <w:tcPr>
            <w:tcW w:w="446" w:type="pct"/>
            <w:vMerge w:val="continue"/>
            <w:vAlign w:val="center"/>
          </w:tcPr>
          <w:p w14:paraId="2E08F2D2">
            <w:pPr>
              <w:jc w:val="center"/>
              <w:rPr>
                <w:rFonts w:eastAsia="仿宋_GB2312"/>
                <w:color w:val="auto"/>
                <w:szCs w:val="21"/>
              </w:rPr>
            </w:pPr>
          </w:p>
        </w:tc>
        <w:tc>
          <w:tcPr>
            <w:tcW w:w="361" w:type="pct"/>
            <w:vMerge w:val="continue"/>
            <w:vAlign w:val="center"/>
          </w:tcPr>
          <w:p w14:paraId="2CFFA4CE">
            <w:pPr>
              <w:jc w:val="center"/>
              <w:rPr>
                <w:rFonts w:eastAsia="仿宋_GB2312"/>
                <w:color w:val="auto"/>
                <w:szCs w:val="21"/>
              </w:rPr>
            </w:pPr>
          </w:p>
        </w:tc>
        <w:tc>
          <w:tcPr>
            <w:tcW w:w="498" w:type="pct"/>
            <w:vMerge w:val="continue"/>
            <w:shd w:val="clear" w:color="auto" w:fill="auto"/>
            <w:vAlign w:val="center"/>
          </w:tcPr>
          <w:p w14:paraId="736FB8A6">
            <w:pPr>
              <w:keepNext w:val="0"/>
              <w:keepLines w:val="0"/>
              <w:widowControl/>
              <w:suppressLineNumbers w:val="0"/>
              <w:jc w:val="center"/>
              <w:textAlignment w:val="bottom"/>
              <w:rPr>
                <w:rFonts w:eastAsia="仿宋_GB2312"/>
                <w:color w:val="auto"/>
                <w:kern w:val="0"/>
                <w:szCs w:val="21"/>
                <w:lang w:bidi="ar"/>
              </w:rPr>
            </w:pPr>
          </w:p>
        </w:tc>
        <w:tc>
          <w:tcPr>
            <w:tcW w:w="820" w:type="pct"/>
            <w:shd w:val="clear" w:color="auto" w:fill="auto"/>
            <w:vAlign w:val="center"/>
          </w:tcPr>
          <w:p w14:paraId="0C10E2E1">
            <w:pPr>
              <w:widowControl/>
              <w:jc w:val="center"/>
              <w:textAlignment w:val="center"/>
              <w:rPr>
                <w:rFonts w:ascii="Times New Roman" w:hAnsi="Times New Roman" w:eastAsia="仿宋_GB2312" w:cs="Times New Roman"/>
                <w:color w:val="auto"/>
                <w:kern w:val="0"/>
                <w:sz w:val="21"/>
                <w:szCs w:val="21"/>
                <w:lang w:val="en-US" w:eastAsia="zh-CN" w:bidi="ar"/>
              </w:rPr>
            </w:pPr>
            <w:r>
              <w:rPr>
                <w:rFonts w:eastAsia="仿宋_GB2312"/>
                <w:color w:val="auto"/>
                <w:kern w:val="0"/>
                <w:szCs w:val="21"/>
                <w:lang w:bidi="ar"/>
              </w:rPr>
              <w:t>其他有机物</w:t>
            </w:r>
          </w:p>
        </w:tc>
        <w:tc>
          <w:tcPr>
            <w:tcW w:w="380" w:type="pct"/>
            <w:shd w:val="clear" w:color="auto" w:fill="auto"/>
            <w:vAlign w:val="center"/>
          </w:tcPr>
          <w:p w14:paraId="608ACFB9">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0.038</w:t>
            </w:r>
          </w:p>
        </w:tc>
        <w:tc>
          <w:tcPr>
            <w:tcW w:w="445" w:type="pct"/>
            <w:shd w:val="clear" w:color="auto" w:fill="auto"/>
            <w:vAlign w:val="center"/>
          </w:tcPr>
          <w:p w14:paraId="67D386D3">
            <w:pPr>
              <w:widowControl/>
              <w:jc w:val="center"/>
              <w:textAlignment w:val="center"/>
              <w:rPr>
                <w:rFonts w:ascii="Times New Roman" w:hAnsi="Times New Roman" w:eastAsia="仿宋_GB2312" w:cs="Times New Roman"/>
                <w:color w:val="auto"/>
                <w:kern w:val="0"/>
                <w:sz w:val="21"/>
                <w:szCs w:val="21"/>
                <w:lang w:val="en-US" w:eastAsia="zh-CN" w:bidi="ar"/>
              </w:rPr>
            </w:pPr>
            <w:r>
              <w:rPr>
                <w:rFonts w:hint="eastAsia" w:ascii="Times New Roman" w:hAnsi="Times New Roman" w:eastAsia="仿宋_GB2312" w:cs="Times New Roman"/>
                <w:color w:val="auto"/>
                <w:kern w:val="0"/>
                <w:szCs w:val="21"/>
                <w:lang w:val="en-US" w:eastAsia="zh-CN" w:bidi="ar"/>
              </w:rPr>
              <w:t>0.02376</w:t>
            </w:r>
          </w:p>
        </w:tc>
        <w:tc>
          <w:tcPr>
            <w:tcW w:w="630" w:type="pct"/>
            <w:vMerge w:val="continue"/>
            <w:vAlign w:val="center"/>
          </w:tcPr>
          <w:p w14:paraId="2E4369E5">
            <w:pPr>
              <w:jc w:val="center"/>
              <w:rPr>
                <w:rFonts w:eastAsia="仿宋_GB2312"/>
                <w:color w:val="auto"/>
                <w:szCs w:val="21"/>
              </w:rPr>
            </w:pPr>
          </w:p>
        </w:tc>
        <w:tc>
          <w:tcPr>
            <w:tcW w:w="292" w:type="pct"/>
            <w:vMerge w:val="continue"/>
            <w:vAlign w:val="center"/>
          </w:tcPr>
          <w:p w14:paraId="50F8E64B">
            <w:pPr>
              <w:jc w:val="center"/>
              <w:rPr>
                <w:rFonts w:eastAsia="仿宋_GB2312"/>
                <w:color w:val="auto"/>
                <w:szCs w:val="21"/>
              </w:rPr>
            </w:pPr>
          </w:p>
        </w:tc>
      </w:tr>
      <w:tr w14:paraId="46D818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1BD301D2">
            <w:pPr>
              <w:jc w:val="center"/>
              <w:rPr>
                <w:rFonts w:eastAsia="仿宋_GB2312"/>
                <w:color w:val="auto"/>
                <w:szCs w:val="21"/>
              </w:rPr>
            </w:pPr>
          </w:p>
        </w:tc>
        <w:tc>
          <w:tcPr>
            <w:tcW w:w="358" w:type="pct"/>
            <w:vMerge w:val="continue"/>
            <w:vAlign w:val="center"/>
          </w:tcPr>
          <w:p w14:paraId="7E89F823">
            <w:pPr>
              <w:jc w:val="center"/>
              <w:rPr>
                <w:rFonts w:eastAsia="仿宋_GB2312"/>
                <w:color w:val="auto"/>
                <w:szCs w:val="21"/>
              </w:rPr>
            </w:pPr>
          </w:p>
        </w:tc>
        <w:tc>
          <w:tcPr>
            <w:tcW w:w="418" w:type="pct"/>
            <w:vMerge w:val="restart"/>
            <w:vAlign w:val="center"/>
          </w:tcPr>
          <w:p w14:paraId="5E397C11">
            <w:pPr>
              <w:jc w:val="center"/>
              <w:rPr>
                <w:rFonts w:eastAsia="仿宋_GB2312"/>
                <w:color w:val="auto"/>
                <w:szCs w:val="21"/>
              </w:rPr>
            </w:pPr>
            <w:r>
              <w:rPr>
                <w:rFonts w:eastAsia="仿宋_GB2312"/>
                <w:color w:val="auto"/>
                <w:kern w:val="0"/>
                <w:szCs w:val="21"/>
                <w:lang w:bidi="ar"/>
              </w:rPr>
              <w:t>G</w:t>
            </w:r>
            <w:r>
              <w:rPr>
                <w:rFonts w:hint="eastAsia" w:eastAsia="仿宋_GB2312"/>
                <w:color w:val="auto"/>
                <w:kern w:val="0"/>
                <w:szCs w:val="21"/>
                <w:lang w:val="en-US" w:eastAsia="zh-CN" w:bidi="ar"/>
              </w:rPr>
              <w:t>2</w:t>
            </w:r>
            <w:r>
              <w:rPr>
                <w:rFonts w:eastAsia="仿宋_GB2312"/>
                <w:color w:val="auto"/>
                <w:kern w:val="0"/>
                <w:szCs w:val="21"/>
                <w:lang w:bidi="ar"/>
              </w:rPr>
              <w:t>-</w:t>
            </w:r>
            <w:r>
              <w:rPr>
                <w:rFonts w:hint="eastAsia" w:eastAsia="仿宋_GB2312"/>
                <w:color w:val="auto"/>
                <w:kern w:val="0"/>
                <w:szCs w:val="21"/>
                <w:lang w:val="en-US" w:eastAsia="zh-CN" w:bidi="ar"/>
              </w:rPr>
              <w:t>1</w:t>
            </w:r>
            <w:r>
              <w:rPr>
                <w:rFonts w:eastAsia="仿宋_GB2312"/>
                <w:color w:val="auto"/>
                <w:kern w:val="0"/>
                <w:szCs w:val="21"/>
                <w:lang w:bidi="ar"/>
              </w:rPr>
              <w:t>-2</w:t>
            </w:r>
          </w:p>
        </w:tc>
        <w:tc>
          <w:tcPr>
            <w:tcW w:w="446" w:type="pct"/>
            <w:vMerge w:val="restart"/>
            <w:vAlign w:val="center"/>
          </w:tcPr>
          <w:p w14:paraId="1C6F3977">
            <w:pPr>
              <w:jc w:val="center"/>
              <w:rPr>
                <w:rFonts w:eastAsia="仿宋_GB2312"/>
                <w:color w:val="auto"/>
                <w:szCs w:val="21"/>
              </w:rPr>
            </w:pPr>
            <w:r>
              <w:rPr>
                <w:rFonts w:eastAsia="仿宋_GB2312"/>
                <w:color w:val="auto"/>
                <w:kern w:val="0"/>
                <w:szCs w:val="21"/>
                <w:lang w:bidi="ar"/>
              </w:rPr>
              <w:t>调节废气</w:t>
            </w:r>
          </w:p>
        </w:tc>
        <w:tc>
          <w:tcPr>
            <w:tcW w:w="361" w:type="pct"/>
            <w:vMerge w:val="restart"/>
            <w:vAlign w:val="center"/>
          </w:tcPr>
          <w:p w14:paraId="1B5C448E">
            <w:pPr>
              <w:jc w:val="center"/>
              <w:rPr>
                <w:rFonts w:hint="default" w:eastAsia="仿宋_GB2312"/>
                <w:color w:val="auto"/>
                <w:szCs w:val="21"/>
                <w:lang w:val="en-US" w:eastAsia="zh-CN"/>
              </w:rPr>
            </w:pPr>
            <w:r>
              <w:rPr>
                <w:rFonts w:hint="eastAsia" w:eastAsia="仿宋_GB2312"/>
                <w:color w:val="auto"/>
                <w:szCs w:val="21"/>
                <w:lang w:val="en-US" w:eastAsia="zh-CN"/>
              </w:rPr>
              <w:t>100</w:t>
            </w:r>
          </w:p>
        </w:tc>
        <w:tc>
          <w:tcPr>
            <w:tcW w:w="498" w:type="pct"/>
            <w:vMerge w:val="restart"/>
            <w:shd w:val="clear" w:color="auto" w:fill="auto"/>
            <w:vAlign w:val="center"/>
          </w:tcPr>
          <w:p w14:paraId="25962C2F">
            <w:pPr>
              <w:keepNext w:val="0"/>
              <w:keepLines w:val="0"/>
              <w:widowControl/>
              <w:suppressLineNumbers w:val="0"/>
              <w:jc w:val="center"/>
              <w:textAlignment w:val="bottom"/>
              <w:rPr>
                <w:rFonts w:eastAsia="仿宋_GB2312"/>
                <w:color w:val="auto"/>
                <w:kern w:val="0"/>
                <w:szCs w:val="21"/>
                <w:lang w:bidi="ar"/>
              </w:rPr>
            </w:pPr>
            <w:r>
              <w:rPr>
                <w:rFonts w:hint="default" w:ascii="Times New Roman" w:hAnsi="Times New Roman" w:eastAsia="宋体" w:cs="Times New Roman"/>
                <w:i w:val="0"/>
                <w:iCs w:val="0"/>
                <w:color w:val="auto"/>
                <w:kern w:val="0"/>
                <w:sz w:val="21"/>
                <w:szCs w:val="21"/>
                <w:u w:val="none"/>
                <w:lang w:val="en-US" w:eastAsia="zh-CN" w:bidi="ar"/>
              </w:rPr>
              <w:t>612</w:t>
            </w:r>
          </w:p>
        </w:tc>
        <w:tc>
          <w:tcPr>
            <w:tcW w:w="820" w:type="pct"/>
            <w:shd w:val="clear" w:color="auto" w:fill="auto"/>
            <w:vAlign w:val="center"/>
          </w:tcPr>
          <w:p w14:paraId="4C285294">
            <w:pPr>
              <w:widowControl/>
              <w:jc w:val="center"/>
              <w:textAlignment w:val="center"/>
              <w:rPr>
                <w:rFonts w:ascii="Times New Roman" w:hAnsi="Times New Roman" w:eastAsia="仿宋_GB2312" w:cs="Times New Roman"/>
                <w:color w:val="auto"/>
                <w:kern w:val="0"/>
                <w:sz w:val="21"/>
                <w:szCs w:val="21"/>
                <w:lang w:val="en-US" w:eastAsia="zh-CN" w:bidi="ar"/>
              </w:rPr>
            </w:pPr>
            <w:r>
              <w:rPr>
                <w:rFonts w:eastAsia="仿宋_GB2312"/>
                <w:color w:val="auto"/>
                <w:kern w:val="0"/>
                <w:szCs w:val="21"/>
                <w:lang w:bidi="ar"/>
              </w:rPr>
              <w:t>二氯甲烷</w:t>
            </w:r>
          </w:p>
        </w:tc>
        <w:tc>
          <w:tcPr>
            <w:tcW w:w="380" w:type="pct"/>
            <w:shd w:val="clear" w:color="auto" w:fill="auto"/>
            <w:vAlign w:val="center"/>
          </w:tcPr>
          <w:p w14:paraId="719A3076">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2.05</w:t>
            </w:r>
          </w:p>
        </w:tc>
        <w:tc>
          <w:tcPr>
            <w:tcW w:w="445" w:type="pct"/>
            <w:shd w:val="clear" w:color="auto" w:fill="auto"/>
            <w:vAlign w:val="center"/>
          </w:tcPr>
          <w:p w14:paraId="2716BF14">
            <w:pPr>
              <w:widowControl/>
              <w:jc w:val="center"/>
              <w:textAlignment w:val="center"/>
              <w:rPr>
                <w:rFonts w:ascii="Times New Roman" w:hAnsi="Times New Roman" w:eastAsia="仿宋_GB2312" w:cs="Times New Roman"/>
                <w:color w:val="auto"/>
                <w:kern w:val="0"/>
                <w:sz w:val="21"/>
                <w:szCs w:val="21"/>
                <w:lang w:val="en-US" w:eastAsia="zh-CN" w:bidi="ar"/>
              </w:rPr>
            </w:pPr>
            <w:r>
              <w:rPr>
                <w:rFonts w:eastAsia="仿宋_GB2312"/>
                <w:color w:val="auto"/>
                <w:kern w:val="0"/>
                <w:szCs w:val="21"/>
                <w:lang w:bidi="ar"/>
              </w:rPr>
              <w:t>1.255</w:t>
            </w:r>
          </w:p>
        </w:tc>
        <w:tc>
          <w:tcPr>
            <w:tcW w:w="630" w:type="pct"/>
            <w:vMerge w:val="restart"/>
            <w:shd w:val="clear" w:color="auto" w:fill="auto"/>
            <w:vAlign w:val="center"/>
          </w:tcPr>
          <w:p w14:paraId="48595F37">
            <w:pPr>
              <w:widowControl/>
              <w:jc w:val="center"/>
              <w:textAlignment w:val="center"/>
              <w:rPr>
                <w:rFonts w:ascii="Times New Roman" w:hAnsi="Times New Roman" w:eastAsia="仿宋_GB2312" w:cs="Times New Roman"/>
                <w:color w:val="auto"/>
                <w:kern w:val="0"/>
                <w:sz w:val="21"/>
                <w:szCs w:val="21"/>
                <w:lang w:val="en-US" w:eastAsia="zh-CN" w:bidi="ar"/>
              </w:rPr>
            </w:pPr>
            <w:r>
              <w:rPr>
                <w:rFonts w:hint="eastAsia" w:eastAsia="仿宋_GB2312"/>
                <w:color w:val="auto"/>
                <w:szCs w:val="21"/>
              </w:rPr>
              <w:t>预处理（冷凝+稀酸吸收+碱吸收+水吸收+除雾）+</w:t>
            </w:r>
            <w:r>
              <w:rPr>
                <w:rFonts w:eastAsia="仿宋_GB2312"/>
                <w:color w:val="auto"/>
                <w:szCs w:val="21"/>
              </w:rPr>
              <w:t>焚烧</w:t>
            </w:r>
          </w:p>
        </w:tc>
        <w:tc>
          <w:tcPr>
            <w:tcW w:w="292" w:type="pct"/>
            <w:vMerge w:val="restart"/>
            <w:shd w:val="clear" w:color="auto" w:fill="auto"/>
            <w:vAlign w:val="center"/>
          </w:tcPr>
          <w:p w14:paraId="1707C84B">
            <w:pPr>
              <w:widowControl/>
              <w:jc w:val="center"/>
              <w:textAlignment w:val="center"/>
              <w:rPr>
                <w:rFonts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bidi="ar"/>
              </w:rPr>
              <w:t>DA002</w:t>
            </w:r>
          </w:p>
        </w:tc>
      </w:tr>
      <w:tr w14:paraId="4F0317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0E7C7C85">
            <w:pPr>
              <w:jc w:val="center"/>
              <w:rPr>
                <w:rFonts w:eastAsia="仿宋_GB2312"/>
                <w:color w:val="auto"/>
                <w:szCs w:val="21"/>
              </w:rPr>
            </w:pPr>
          </w:p>
        </w:tc>
        <w:tc>
          <w:tcPr>
            <w:tcW w:w="358" w:type="pct"/>
            <w:vMerge w:val="continue"/>
            <w:vAlign w:val="center"/>
          </w:tcPr>
          <w:p w14:paraId="13D0B7C0">
            <w:pPr>
              <w:jc w:val="center"/>
              <w:rPr>
                <w:rFonts w:eastAsia="仿宋_GB2312"/>
                <w:color w:val="auto"/>
                <w:szCs w:val="21"/>
              </w:rPr>
            </w:pPr>
          </w:p>
        </w:tc>
        <w:tc>
          <w:tcPr>
            <w:tcW w:w="418" w:type="pct"/>
            <w:vMerge w:val="continue"/>
            <w:vAlign w:val="center"/>
          </w:tcPr>
          <w:p w14:paraId="6A3FF778">
            <w:pPr>
              <w:jc w:val="center"/>
              <w:rPr>
                <w:rFonts w:eastAsia="仿宋_GB2312"/>
                <w:color w:val="auto"/>
                <w:szCs w:val="21"/>
              </w:rPr>
            </w:pPr>
          </w:p>
        </w:tc>
        <w:tc>
          <w:tcPr>
            <w:tcW w:w="446" w:type="pct"/>
            <w:vMerge w:val="continue"/>
            <w:vAlign w:val="center"/>
          </w:tcPr>
          <w:p w14:paraId="35D02BF8">
            <w:pPr>
              <w:jc w:val="center"/>
              <w:rPr>
                <w:rFonts w:eastAsia="仿宋_GB2312"/>
                <w:color w:val="auto"/>
                <w:szCs w:val="21"/>
              </w:rPr>
            </w:pPr>
          </w:p>
        </w:tc>
        <w:tc>
          <w:tcPr>
            <w:tcW w:w="361" w:type="pct"/>
            <w:vMerge w:val="continue"/>
            <w:vAlign w:val="center"/>
          </w:tcPr>
          <w:p w14:paraId="70516CAE">
            <w:pPr>
              <w:jc w:val="center"/>
              <w:rPr>
                <w:rFonts w:eastAsia="仿宋_GB2312"/>
                <w:color w:val="auto"/>
                <w:szCs w:val="21"/>
              </w:rPr>
            </w:pPr>
          </w:p>
        </w:tc>
        <w:tc>
          <w:tcPr>
            <w:tcW w:w="498" w:type="pct"/>
            <w:vMerge w:val="continue"/>
            <w:shd w:val="clear" w:color="auto" w:fill="auto"/>
            <w:vAlign w:val="center"/>
          </w:tcPr>
          <w:p w14:paraId="5C99F679">
            <w:pPr>
              <w:keepNext w:val="0"/>
              <w:keepLines w:val="0"/>
              <w:widowControl/>
              <w:suppressLineNumbers w:val="0"/>
              <w:jc w:val="center"/>
              <w:textAlignment w:val="bottom"/>
              <w:rPr>
                <w:rFonts w:eastAsia="仿宋_GB2312"/>
                <w:color w:val="auto"/>
                <w:kern w:val="0"/>
                <w:szCs w:val="21"/>
                <w:lang w:bidi="ar"/>
              </w:rPr>
            </w:pPr>
          </w:p>
        </w:tc>
        <w:tc>
          <w:tcPr>
            <w:tcW w:w="820" w:type="pct"/>
            <w:shd w:val="clear" w:color="auto" w:fill="auto"/>
            <w:vAlign w:val="center"/>
          </w:tcPr>
          <w:p w14:paraId="2F59D94F">
            <w:pPr>
              <w:widowControl/>
              <w:jc w:val="center"/>
              <w:textAlignment w:val="center"/>
              <w:rPr>
                <w:rFonts w:ascii="Times New Roman" w:hAnsi="Times New Roman" w:eastAsia="仿宋_GB2312" w:cs="Times New Roman"/>
                <w:color w:val="auto"/>
                <w:kern w:val="0"/>
                <w:sz w:val="21"/>
                <w:szCs w:val="21"/>
                <w:lang w:val="en-US" w:eastAsia="zh-CN" w:bidi="ar"/>
              </w:rPr>
            </w:pPr>
            <w:r>
              <w:rPr>
                <w:rFonts w:eastAsia="仿宋_GB2312"/>
                <w:color w:val="auto"/>
                <w:kern w:val="0"/>
                <w:szCs w:val="21"/>
                <w:lang w:bidi="ar"/>
              </w:rPr>
              <w:t>乙酸乙酯</w:t>
            </w:r>
          </w:p>
        </w:tc>
        <w:tc>
          <w:tcPr>
            <w:tcW w:w="380" w:type="pct"/>
            <w:shd w:val="clear" w:color="auto" w:fill="auto"/>
            <w:vAlign w:val="center"/>
          </w:tcPr>
          <w:p w14:paraId="230D07D5">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0.004</w:t>
            </w:r>
          </w:p>
        </w:tc>
        <w:tc>
          <w:tcPr>
            <w:tcW w:w="445" w:type="pct"/>
            <w:shd w:val="clear" w:color="auto" w:fill="auto"/>
            <w:vAlign w:val="center"/>
          </w:tcPr>
          <w:p w14:paraId="1D6B3D96">
            <w:pPr>
              <w:widowControl/>
              <w:jc w:val="center"/>
              <w:textAlignment w:val="center"/>
              <w:rPr>
                <w:rFonts w:ascii="Times New Roman" w:hAnsi="Times New Roman" w:eastAsia="仿宋_GB2312" w:cs="Times New Roman"/>
                <w:color w:val="auto"/>
                <w:kern w:val="0"/>
                <w:sz w:val="21"/>
                <w:szCs w:val="21"/>
                <w:lang w:val="en-US" w:eastAsia="zh-CN" w:bidi="ar"/>
              </w:rPr>
            </w:pPr>
            <w:r>
              <w:rPr>
                <w:rFonts w:eastAsia="仿宋_GB2312"/>
                <w:color w:val="auto"/>
                <w:kern w:val="0"/>
                <w:szCs w:val="21"/>
                <w:lang w:bidi="ar"/>
              </w:rPr>
              <w:t>0.003</w:t>
            </w:r>
          </w:p>
        </w:tc>
        <w:tc>
          <w:tcPr>
            <w:tcW w:w="630" w:type="pct"/>
            <w:vMerge w:val="continue"/>
            <w:vAlign w:val="center"/>
          </w:tcPr>
          <w:p w14:paraId="7899D121">
            <w:pPr>
              <w:jc w:val="center"/>
              <w:rPr>
                <w:rFonts w:eastAsia="仿宋_GB2312"/>
                <w:color w:val="auto"/>
                <w:szCs w:val="21"/>
              </w:rPr>
            </w:pPr>
          </w:p>
        </w:tc>
        <w:tc>
          <w:tcPr>
            <w:tcW w:w="292" w:type="pct"/>
            <w:vMerge w:val="continue"/>
            <w:vAlign w:val="center"/>
          </w:tcPr>
          <w:p w14:paraId="7E4D4950">
            <w:pPr>
              <w:jc w:val="center"/>
              <w:rPr>
                <w:rFonts w:eastAsia="仿宋_GB2312"/>
                <w:color w:val="auto"/>
                <w:szCs w:val="21"/>
              </w:rPr>
            </w:pPr>
          </w:p>
        </w:tc>
      </w:tr>
      <w:tr w14:paraId="6E18D2E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6E2E7E6C">
            <w:pPr>
              <w:jc w:val="center"/>
              <w:rPr>
                <w:rFonts w:eastAsia="仿宋_GB2312"/>
                <w:color w:val="auto"/>
                <w:szCs w:val="21"/>
              </w:rPr>
            </w:pPr>
          </w:p>
        </w:tc>
        <w:tc>
          <w:tcPr>
            <w:tcW w:w="358" w:type="pct"/>
            <w:vMerge w:val="continue"/>
            <w:vAlign w:val="center"/>
          </w:tcPr>
          <w:p w14:paraId="1FCAB6D6">
            <w:pPr>
              <w:jc w:val="center"/>
              <w:rPr>
                <w:rFonts w:eastAsia="仿宋_GB2312"/>
                <w:color w:val="auto"/>
                <w:szCs w:val="21"/>
              </w:rPr>
            </w:pPr>
          </w:p>
        </w:tc>
        <w:tc>
          <w:tcPr>
            <w:tcW w:w="418" w:type="pct"/>
            <w:vMerge w:val="continue"/>
            <w:vAlign w:val="center"/>
          </w:tcPr>
          <w:p w14:paraId="10FF7731">
            <w:pPr>
              <w:jc w:val="center"/>
              <w:rPr>
                <w:rFonts w:eastAsia="仿宋_GB2312"/>
                <w:color w:val="auto"/>
                <w:szCs w:val="21"/>
              </w:rPr>
            </w:pPr>
          </w:p>
        </w:tc>
        <w:tc>
          <w:tcPr>
            <w:tcW w:w="446" w:type="pct"/>
            <w:vMerge w:val="continue"/>
            <w:vAlign w:val="center"/>
          </w:tcPr>
          <w:p w14:paraId="43815B28">
            <w:pPr>
              <w:jc w:val="center"/>
              <w:rPr>
                <w:rFonts w:eastAsia="仿宋_GB2312"/>
                <w:color w:val="auto"/>
                <w:szCs w:val="21"/>
              </w:rPr>
            </w:pPr>
          </w:p>
        </w:tc>
        <w:tc>
          <w:tcPr>
            <w:tcW w:w="361" w:type="pct"/>
            <w:vMerge w:val="continue"/>
            <w:vAlign w:val="center"/>
          </w:tcPr>
          <w:p w14:paraId="54870587">
            <w:pPr>
              <w:jc w:val="center"/>
              <w:rPr>
                <w:rFonts w:eastAsia="仿宋_GB2312"/>
                <w:color w:val="auto"/>
                <w:szCs w:val="21"/>
              </w:rPr>
            </w:pPr>
          </w:p>
        </w:tc>
        <w:tc>
          <w:tcPr>
            <w:tcW w:w="498" w:type="pct"/>
            <w:vMerge w:val="continue"/>
            <w:shd w:val="clear" w:color="auto" w:fill="auto"/>
            <w:vAlign w:val="center"/>
          </w:tcPr>
          <w:p w14:paraId="2FD620EC">
            <w:pPr>
              <w:keepNext w:val="0"/>
              <w:keepLines w:val="0"/>
              <w:widowControl/>
              <w:suppressLineNumbers w:val="0"/>
              <w:jc w:val="center"/>
              <w:textAlignment w:val="bottom"/>
              <w:rPr>
                <w:rFonts w:eastAsia="仿宋_GB2312"/>
                <w:color w:val="auto"/>
                <w:kern w:val="0"/>
                <w:szCs w:val="21"/>
                <w:lang w:bidi="ar"/>
              </w:rPr>
            </w:pPr>
          </w:p>
        </w:tc>
        <w:tc>
          <w:tcPr>
            <w:tcW w:w="820" w:type="pct"/>
            <w:shd w:val="clear" w:color="auto" w:fill="auto"/>
            <w:vAlign w:val="center"/>
          </w:tcPr>
          <w:p w14:paraId="28EF9AE9">
            <w:pPr>
              <w:widowControl/>
              <w:jc w:val="center"/>
              <w:textAlignment w:val="center"/>
              <w:rPr>
                <w:rFonts w:ascii="Times New Roman" w:hAnsi="Times New Roman" w:eastAsia="仿宋_GB2312" w:cs="Times New Roman"/>
                <w:color w:val="auto"/>
                <w:kern w:val="0"/>
                <w:sz w:val="21"/>
                <w:szCs w:val="21"/>
                <w:lang w:val="en-US" w:eastAsia="zh-CN" w:bidi="ar"/>
              </w:rPr>
            </w:pPr>
            <w:r>
              <w:rPr>
                <w:rFonts w:eastAsia="仿宋_GB2312"/>
                <w:color w:val="auto"/>
                <w:kern w:val="0"/>
                <w:szCs w:val="21"/>
                <w:lang w:bidi="ar"/>
              </w:rPr>
              <w:t>甲苯</w:t>
            </w:r>
          </w:p>
        </w:tc>
        <w:tc>
          <w:tcPr>
            <w:tcW w:w="380" w:type="pct"/>
            <w:shd w:val="clear" w:color="auto" w:fill="auto"/>
            <w:vAlign w:val="center"/>
          </w:tcPr>
          <w:p w14:paraId="781865D5">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0.008</w:t>
            </w:r>
          </w:p>
        </w:tc>
        <w:tc>
          <w:tcPr>
            <w:tcW w:w="445" w:type="pct"/>
            <w:shd w:val="clear" w:color="auto" w:fill="auto"/>
            <w:vAlign w:val="center"/>
          </w:tcPr>
          <w:p w14:paraId="3DC0D91E">
            <w:pPr>
              <w:widowControl/>
              <w:jc w:val="center"/>
              <w:textAlignment w:val="center"/>
              <w:rPr>
                <w:rFonts w:ascii="Times New Roman" w:hAnsi="Times New Roman" w:eastAsia="仿宋_GB2312" w:cs="Times New Roman"/>
                <w:color w:val="auto"/>
                <w:kern w:val="0"/>
                <w:sz w:val="21"/>
                <w:szCs w:val="21"/>
                <w:lang w:val="en-US" w:eastAsia="zh-CN" w:bidi="ar"/>
              </w:rPr>
            </w:pPr>
            <w:r>
              <w:rPr>
                <w:rFonts w:eastAsia="仿宋_GB2312"/>
                <w:color w:val="auto"/>
                <w:kern w:val="0"/>
                <w:szCs w:val="21"/>
                <w:lang w:bidi="ar"/>
              </w:rPr>
              <w:t>0.005</w:t>
            </w:r>
          </w:p>
        </w:tc>
        <w:tc>
          <w:tcPr>
            <w:tcW w:w="630" w:type="pct"/>
            <w:vMerge w:val="continue"/>
            <w:vAlign w:val="center"/>
          </w:tcPr>
          <w:p w14:paraId="6D07111A">
            <w:pPr>
              <w:jc w:val="center"/>
              <w:rPr>
                <w:rFonts w:eastAsia="仿宋_GB2312"/>
                <w:color w:val="auto"/>
                <w:szCs w:val="21"/>
              </w:rPr>
            </w:pPr>
          </w:p>
        </w:tc>
        <w:tc>
          <w:tcPr>
            <w:tcW w:w="292" w:type="pct"/>
            <w:vMerge w:val="continue"/>
            <w:vAlign w:val="center"/>
          </w:tcPr>
          <w:p w14:paraId="729C81A0">
            <w:pPr>
              <w:jc w:val="center"/>
              <w:rPr>
                <w:rFonts w:eastAsia="仿宋_GB2312"/>
                <w:color w:val="auto"/>
                <w:szCs w:val="21"/>
              </w:rPr>
            </w:pPr>
          </w:p>
        </w:tc>
      </w:tr>
      <w:tr w14:paraId="5DEEE7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15E73AA3">
            <w:pPr>
              <w:jc w:val="center"/>
              <w:rPr>
                <w:rFonts w:eastAsia="仿宋_GB2312"/>
                <w:color w:val="auto"/>
                <w:szCs w:val="21"/>
              </w:rPr>
            </w:pPr>
          </w:p>
        </w:tc>
        <w:tc>
          <w:tcPr>
            <w:tcW w:w="358" w:type="pct"/>
            <w:vMerge w:val="continue"/>
            <w:vAlign w:val="center"/>
          </w:tcPr>
          <w:p w14:paraId="155828B0">
            <w:pPr>
              <w:jc w:val="center"/>
              <w:rPr>
                <w:rFonts w:eastAsia="仿宋_GB2312"/>
                <w:color w:val="auto"/>
                <w:szCs w:val="21"/>
              </w:rPr>
            </w:pPr>
          </w:p>
        </w:tc>
        <w:tc>
          <w:tcPr>
            <w:tcW w:w="418" w:type="pct"/>
            <w:vMerge w:val="continue"/>
            <w:vAlign w:val="center"/>
          </w:tcPr>
          <w:p w14:paraId="2E96BECC">
            <w:pPr>
              <w:jc w:val="center"/>
              <w:rPr>
                <w:rFonts w:eastAsia="仿宋_GB2312"/>
                <w:color w:val="auto"/>
                <w:szCs w:val="21"/>
              </w:rPr>
            </w:pPr>
          </w:p>
        </w:tc>
        <w:tc>
          <w:tcPr>
            <w:tcW w:w="446" w:type="pct"/>
            <w:vMerge w:val="continue"/>
            <w:vAlign w:val="center"/>
          </w:tcPr>
          <w:p w14:paraId="4EC892D6">
            <w:pPr>
              <w:jc w:val="center"/>
              <w:rPr>
                <w:rFonts w:eastAsia="仿宋_GB2312"/>
                <w:color w:val="auto"/>
                <w:szCs w:val="21"/>
              </w:rPr>
            </w:pPr>
          </w:p>
        </w:tc>
        <w:tc>
          <w:tcPr>
            <w:tcW w:w="361" w:type="pct"/>
            <w:vMerge w:val="continue"/>
            <w:vAlign w:val="center"/>
          </w:tcPr>
          <w:p w14:paraId="47CA06CF">
            <w:pPr>
              <w:jc w:val="center"/>
              <w:rPr>
                <w:rFonts w:eastAsia="仿宋_GB2312"/>
                <w:color w:val="auto"/>
                <w:szCs w:val="21"/>
              </w:rPr>
            </w:pPr>
          </w:p>
        </w:tc>
        <w:tc>
          <w:tcPr>
            <w:tcW w:w="498" w:type="pct"/>
            <w:vMerge w:val="continue"/>
            <w:shd w:val="clear" w:color="auto" w:fill="auto"/>
            <w:vAlign w:val="center"/>
          </w:tcPr>
          <w:p w14:paraId="4984C1E6">
            <w:pPr>
              <w:keepNext w:val="0"/>
              <w:keepLines w:val="0"/>
              <w:widowControl/>
              <w:suppressLineNumbers w:val="0"/>
              <w:jc w:val="center"/>
              <w:textAlignment w:val="bottom"/>
              <w:rPr>
                <w:rFonts w:eastAsia="仿宋_GB2312"/>
                <w:color w:val="auto"/>
                <w:kern w:val="0"/>
                <w:szCs w:val="21"/>
                <w:lang w:bidi="ar"/>
              </w:rPr>
            </w:pPr>
          </w:p>
        </w:tc>
        <w:tc>
          <w:tcPr>
            <w:tcW w:w="820" w:type="pct"/>
            <w:shd w:val="clear" w:color="auto" w:fill="auto"/>
            <w:vAlign w:val="center"/>
          </w:tcPr>
          <w:p w14:paraId="142F7774">
            <w:pPr>
              <w:widowControl/>
              <w:jc w:val="center"/>
              <w:textAlignment w:val="center"/>
              <w:rPr>
                <w:rFonts w:ascii="Times New Roman" w:hAnsi="Times New Roman" w:eastAsia="仿宋_GB2312" w:cs="Times New Roman"/>
                <w:color w:val="auto"/>
                <w:kern w:val="0"/>
                <w:sz w:val="21"/>
                <w:szCs w:val="21"/>
                <w:lang w:val="en-US" w:eastAsia="zh-CN" w:bidi="ar"/>
              </w:rPr>
            </w:pPr>
            <w:r>
              <w:rPr>
                <w:rFonts w:eastAsia="仿宋_GB2312"/>
                <w:color w:val="auto"/>
                <w:kern w:val="0"/>
                <w:szCs w:val="21"/>
                <w:lang w:bidi="ar"/>
              </w:rPr>
              <w:t>其他有机物</w:t>
            </w:r>
          </w:p>
        </w:tc>
        <w:tc>
          <w:tcPr>
            <w:tcW w:w="380" w:type="pct"/>
            <w:shd w:val="clear" w:color="auto" w:fill="auto"/>
            <w:vAlign w:val="center"/>
          </w:tcPr>
          <w:p w14:paraId="108C000C">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0.019</w:t>
            </w:r>
          </w:p>
        </w:tc>
        <w:tc>
          <w:tcPr>
            <w:tcW w:w="445" w:type="pct"/>
            <w:shd w:val="clear" w:color="auto" w:fill="auto"/>
            <w:vAlign w:val="center"/>
          </w:tcPr>
          <w:p w14:paraId="77A74A82">
            <w:pPr>
              <w:widowControl/>
              <w:jc w:val="center"/>
              <w:textAlignment w:val="center"/>
              <w:rPr>
                <w:rFonts w:ascii="Times New Roman" w:hAnsi="Times New Roman" w:eastAsia="仿宋_GB2312" w:cs="Times New Roman"/>
                <w:color w:val="auto"/>
                <w:kern w:val="0"/>
                <w:sz w:val="21"/>
                <w:szCs w:val="21"/>
                <w:lang w:val="en-US" w:eastAsia="zh-CN" w:bidi="ar"/>
              </w:rPr>
            </w:pPr>
            <w:r>
              <w:rPr>
                <w:rFonts w:eastAsia="仿宋_GB2312"/>
                <w:color w:val="auto"/>
                <w:kern w:val="0"/>
                <w:szCs w:val="21"/>
                <w:lang w:bidi="ar"/>
              </w:rPr>
              <w:t>0.012</w:t>
            </w:r>
          </w:p>
        </w:tc>
        <w:tc>
          <w:tcPr>
            <w:tcW w:w="630" w:type="pct"/>
            <w:vMerge w:val="continue"/>
            <w:vAlign w:val="center"/>
          </w:tcPr>
          <w:p w14:paraId="1A99616E">
            <w:pPr>
              <w:jc w:val="center"/>
              <w:rPr>
                <w:rFonts w:eastAsia="仿宋_GB2312"/>
                <w:color w:val="auto"/>
                <w:szCs w:val="21"/>
              </w:rPr>
            </w:pPr>
          </w:p>
        </w:tc>
        <w:tc>
          <w:tcPr>
            <w:tcW w:w="292" w:type="pct"/>
            <w:vMerge w:val="continue"/>
            <w:vAlign w:val="center"/>
          </w:tcPr>
          <w:p w14:paraId="19AE4138">
            <w:pPr>
              <w:jc w:val="center"/>
              <w:rPr>
                <w:rFonts w:eastAsia="仿宋_GB2312"/>
                <w:color w:val="auto"/>
                <w:szCs w:val="21"/>
              </w:rPr>
            </w:pPr>
          </w:p>
        </w:tc>
      </w:tr>
      <w:tr w14:paraId="361AA1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2D6D54B3">
            <w:pPr>
              <w:jc w:val="center"/>
              <w:rPr>
                <w:rFonts w:eastAsia="仿宋_GB2312"/>
                <w:color w:val="auto"/>
                <w:szCs w:val="21"/>
              </w:rPr>
            </w:pPr>
          </w:p>
        </w:tc>
        <w:tc>
          <w:tcPr>
            <w:tcW w:w="358" w:type="pct"/>
            <w:vMerge w:val="continue"/>
            <w:vAlign w:val="center"/>
          </w:tcPr>
          <w:p w14:paraId="18663FD2">
            <w:pPr>
              <w:jc w:val="center"/>
              <w:rPr>
                <w:rFonts w:eastAsia="仿宋_GB2312"/>
                <w:color w:val="auto"/>
                <w:szCs w:val="21"/>
              </w:rPr>
            </w:pPr>
          </w:p>
        </w:tc>
        <w:tc>
          <w:tcPr>
            <w:tcW w:w="418" w:type="pct"/>
            <w:vMerge w:val="restart"/>
            <w:vAlign w:val="center"/>
          </w:tcPr>
          <w:p w14:paraId="7BAF2412">
            <w:pPr>
              <w:jc w:val="center"/>
              <w:rPr>
                <w:rFonts w:eastAsia="仿宋_GB2312"/>
                <w:color w:val="auto"/>
                <w:szCs w:val="21"/>
              </w:rPr>
            </w:pPr>
            <w:r>
              <w:rPr>
                <w:rFonts w:eastAsia="仿宋_GB2312"/>
                <w:color w:val="auto"/>
                <w:kern w:val="0"/>
                <w:szCs w:val="21"/>
                <w:lang w:bidi="ar"/>
              </w:rPr>
              <w:t>G</w:t>
            </w:r>
            <w:r>
              <w:rPr>
                <w:rFonts w:hint="eastAsia" w:eastAsia="仿宋_GB2312"/>
                <w:color w:val="auto"/>
                <w:kern w:val="0"/>
                <w:szCs w:val="21"/>
                <w:lang w:val="en-US" w:eastAsia="zh-CN" w:bidi="ar"/>
              </w:rPr>
              <w:t>2</w:t>
            </w:r>
            <w:r>
              <w:rPr>
                <w:rFonts w:eastAsia="仿宋_GB2312"/>
                <w:color w:val="auto"/>
                <w:kern w:val="0"/>
                <w:szCs w:val="21"/>
                <w:lang w:bidi="ar"/>
              </w:rPr>
              <w:t>-</w:t>
            </w:r>
            <w:r>
              <w:rPr>
                <w:rFonts w:hint="eastAsia" w:eastAsia="仿宋_GB2312"/>
                <w:color w:val="auto"/>
                <w:kern w:val="0"/>
                <w:szCs w:val="21"/>
                <w:lang w:val="en-US" w:eastAsia="zh-CN" w:bidi="ar"/>
              </w:rPr>
              <w:t>1</w:t>
            </w:r>
            <w:r>
              <w:rPr>
                <w:rFonts w:eastAsia="仿宋_GB2312"/>
                <w:color w:val="auto"/>
                <w:kern w:val="0"/>
                <w:szCs w:val="21"/>
                <w:lang w:bidi="ar"/>
              </w:rPr>
              <w:t>-3</w:t>
            </w:r>
          </w:p>
        </w:tc>
        <w:tc>
          <w:tcPr>
            <w:tcW w:w="446" w:type="pct"/>
            <w:vMerge w:val="restart"/>
            <w:vAlign w:val="center"/>
          </w:tcPr>
          <w:p w14:paraId="495250A2">
            <w:pPr>
              <w:jc w:val="center"/>
              <w:rPr>
                <w:rFonts w:eastAsia="仿宋_GB2312"/>
                <w:color w:val="auto"/>
                <w:szCs w:val="21"/>
              </w:rPr>
            </w:pPr>
            <w:r>
              <w:rPr>
                <w:rFonts w:eastAsia="仿宋_GB2312"/>
                <w:color w:val="auto"/>
                <w:kern w:val="0"/>
                <w:szCs w:val="21"/>
                <w:lang w:bidi="ar"/>
              </w:rPr>
              <w:t>不凝气</w:t>
            </w:r>
          </w:p>
        </w:tc>
        <w:tc>
          <w:tcPr>
            <w:tcW w:w="361" w:type="pct"/>
            <w:vMerge w:val="restart"/>
            <w:vAlign w:val="center"/>
          </w:tcPr>
          <w:p w14:paraId="448AB164">
            <w:pPr>
              <w:jc w:val="center"/>
              <w:rPr>
                <w:rFonts w:eastAsia="仿宋_GB2312"/>
                <w:color w:val="auto"/>
                <w:szCs w:val="21"/>
              </w:rPr>
            </w:pPr>
            <w:r>
              <w:rPr>
                <w:rFonts w:eastAsia="仿宋_GB2312"/>
                <w:color w:val="auto"/>
                <w:szCs w:val="21"/>
              </w:rPr>
              <w:t>360</w:t>
            </w:r>
          </w:p>
        </w:tc>
        <w:tc>
          <w:tcPr>
            <w:tcW w:w="498" w:type="pct"/>
            <w:vMerge w:val="restart"/>
            <w:shd w:val="clear" w:color="auto" w:fill="auto"/>
            <w:vAlign w:val="center"/>
          </w:tcPr>
          <w:p w14:paraId="13E00CEE">
            <w:pPr>
              <w:keepNext w:val="0"/>
              <w:keepLines w:val="0"/>
              <w:widowControl/>
              <w:suppressLineNumbers w:val="0"/>
              <w:jc w:val="center"/>
              <w:textAlignment w:val="bottom"/>
              <w:rPr>
                <w:rFonts w:eastAsia="仿宋_GB2312"/>
                <w:color w:val="auto"/>
                <w:kern w:val="0"/>
                <w:szCs w:val="21"/>
                <w:lang w:bidi="ar"/>
              </w:rPr>
            </w:pPr>
            <w:r>
              <w:rPr>
                <w:rFonts w:hint="default" w:ascii="Times New Roman" w:hAnsi="Times New Roman" w:eastAsia="宋体" w:cs="Times New Roman"/>
                <w:i w:val="0"/>
                <w:iCs w:val="0"/>
                <w:color w:val="auto"/>
                <w:kern w:val="0"/>
                <w:sz w:val="21"/>
                <w:szCs w:val="21"/>
                <w:u w:val="none"/>
                <w:lang w:val="en-US" w:eastAsia="zh-CN" w:bidi="ar"/>
              </w:rPr>
              <w:t>1224</w:t>
            </w:r>
          </w:p>
        </w:tc>
        <w:tc>
          <w:tcPr>
            <w:tcW w:w="820" w:type="pct"/>
            <w:shd w:val="clear" w:color="auto" w:fill="auto"/>
            <w:vAlign w:val="center"/>
          </w:tcPr>
          <w:p w14:paraId="568455C8">
            <w:pPr>
              <w:widowControl/>
              <w:jc w:val="center"/>
              <w:textAlignment w:val="center"/>
              <w:rPr>
                <w:rFonts w:ascii="Times New Roman" w:hAnsi="Times New Roman" w:eastAsia="仿宋_GB2312" w:cs="Times New Roman"/>
                <w:color w:val="auto"/>
                <w:kern w:val="0"/>
                <w:sz w:val="21"/>
                <w:szCs w:val="21"/>
                <w:lang w:val="en-US" w:eastAsia="zh-CN" w:bidi="ar"/>
              </w:rPr>
            </w:pPr>
            <w:r>
              <w:rPr>
                <w:rFonts w:eastAsia="仿宋_GB2312"/>
                <w:color w:val="auto"/>
                <w:kern w:val="0"/>
                <w:szCs w:val="21"/>
                <w:lang w:bidi="ar"/>
              </w:rPr>
              <w:t>二氯甲烷</w:t>
            </w:r>
          </w:p>
        </w:tc>
        <w:tc>
          <w:tcPr>
            <w:tcW w:w="380" w:type="pct"/>
            <w:shd w:val="clear" w:color="auto" w:fill="auto"/>
            <w:vAlign w:val="center"/>
          </w:tcPr>
          <w:p w14:paraId="6E8EF6B1">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30.589</w:t>
            </w:r>
          </w:p>
        </w:tc>
        <w:tc>
          <w:tcPr>
            <w:tcW w:w="445" w:type="pct"/>
            <w:shd w:val="clear" w:color="auto" w:fill="auto"/>
            <w:vAlign w:val="center"/>
          </w:tcPr>
          <w:p w14:paraId="2D3F272B">
            <w:pPr>
              <w:widowControl/>
              <w:jc w:val="center"/>
              <w:textAlignment w:val="center"/>
              <w:rPr>
                <w:rFonts w:ascii="Times New Roman" w:hAnsi="Times New Roman" w:eastAsia="仿宋_GB2312" w:cs="Times New Roman"/>
                <w:color w:val="auto"/>
                <w:kern w:val="0"/>
                <w:sz w:val="21"/>
                <w:szCs w:val="21"/>
                <w:lang w:val="en-US" w:eastAsia="zh-CN" w:bidi="ar"/>
              </w:rPr>
            </w:pPr>
            <w:r>
              <w:rPr>
                <w:rFonts w:eastAsia="仿宋_GB2312"/>
                <w:color w:val="auto"/>
                <w:kern w:val="0"/>
                <w:szCs w:val="21"/>
                <w:lang w:bidi="ar"/>
              </w:rPr>
              <w:t>37.442</w:t>
            </w:r>
          </w:p>
        </w:tc>
        <w:tc>
          <w:tcPr>
            <w:tcW w:w="630" w:type="pct"/>
            <w:vMerge w:val="continue"/>
            <w:vAlign w:val="center"/>
          </w:tcPr>
          <w:p w14:paraId="28C28928">
            <w:pPr>
              <w:jc w:val="center"/>
              <w:rPr>
                <w:rFonts w:eastAsia="仿宋_GB2312"/>
                <w:color w:val="auto"/>
                <w:szCs w:val="21"/>
              </w:rPr>
            </w:pPr>
          </w:p>
        </w:tc>
        <w:tc>
          <w:tcPr>
            <w:tcW w:w="292" w:type="pct"/>
            <w:vMerge w:val="continue"/>
            <w:vAlign w:val="center"/>
          </w:tcPr>
          <w:p w14:paraId="0DD33B98">
            <w:pPr>
              <w:jc w:val="center"/>
              <w:rPr>
                <w:rFonts w:eastAsia="仿宋_GB2312"/>
                <w:color w:val="auto"/>
                <w:szCs w:val="21"/>
              </w:rPr>
            </w:pPr>
          </w:p>
        </w:tc>
      </w:tr>
      <w:tr w14:paraId="0E398A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6A8A1791">
            <w:pPr>
              <w:jc w:val="center"/>
              <w:rPr>
                <w:rFonts w:eastAsia="仿宋_GB2312"/>
                <w:color w:val="auto"/>
                <w:szCs w:val="21"/>
              </w:rPr>
            </w:pPr>
          </w:p>
        </w:tc>
        <w:tc>
          <w:tcPr>
            <w:tcW w:w="358" w:type="pct"/>
            <w:vMerge w:val="continue"/>
            <w:vAlign w:val="center"/>
          </w:tcPr>
          <w:p w14:paraId="55EE4708">
            <w:pPr>
              <w:jc w:val="center"/>
              <w:rPr>
                <w:rFonts w:eastAsia="仿宋_GB2312"/>
                <w:color w:val="auto"/>
                <w:szCs w:val="21"/>
              </w:rPr>
            </w:pPr>
          </w:p>
        </w:tc>
        <w:tc>
          <w:tcPr>
            <w:tcW w:w="418" w:type="pct"/>
            <w:vMerge w:val="continue"/>
            <w:vAlign w:val="center"/>
          </w:tcPr>
          <w:p w14:paraId="0239F589">
            <w:pPr>
              <w:jc w:val="center"/>
              <w:rPr>
                <w:rFonts w:eastAsia="仿宋_GB2312"/>
                <w:color w:val="auto"/>
                <w:szCs w:val="21"/>
              </w:rPr>
            </w:pPr>
          </w:p>
        </w:tc>
        <w:tc>
          <w:tcPr>
            <w:tcW w:w="446" w:type="pct"/>
            <w:vMerge w:val="continue"/>
            <w:vAlign w:val="center"/>
          </w:tcPr>
          <w:p w14:paraId="4A1BBE3C">
            <w:pPr>
              <w:jc w:val="center"/>
              <w:rPr>
                <w:rFonts w:eastAsia="仿宋_GB2312"/>
                <w:color w:val="auto"/>
                <w:szCs w:val="21"/>
              </w:rPr>
            </w:pPr>
          </w:p>
        </w:tc>
        <w:tc>
          <w:tcPr>
            <w:tcW w:w="361" w:type="pct"/>
            <w:vMerge w:val="continue"/>
            <w:vAlign w:val="center"/>
          </w:tcPr>
          <w:p w14:paraId="187D5B60">
            <w:pPr>
              <w:jc w:val="center"/>
              <w:rPr>
                <w:rFonts w:eastAsia="仿宋_GB2312"/>
                <w:color w:val="auto"/>
                <w:szCs w:val="21"/>
              </w:rPr>
            </w:pPr>
          </w:p>
        </w:tc>
        <w:tc>
          <w:tcPr>
            <w:tcW w:w="498" w:type="pct"/>
            <w:vMerge w:val="continue"/>
            <w:shd w:val="clear" w:color="auto" w:fill="auto"/>
            <w:vAlign w:val="center"/>
          </w:tcPr>
          <w:p w14:paraId="4B4CF22F">
            <w:pPr>
              <w:keepNext w:val="0"/>
              <w:keepLines w:val="0"/>
              <w:widowControl/>
              <w:suppressLineNumbers w:val="0"/>
              <w:jc w:val="center"/>
              <w:textAlignment w:val="bottom"/>
              <w:rPr>
                <w:rFonts w:eastAsia="仿宋_GB2312"/>
                <w:color w:val="auto"/>
                <w:kern w:val="0"/>
                <w:szCs w:val="21"/>
                <w:lang w:bidi="ar"/>
              </w:rPr>
            </w:pPr>
          </w:p>
        </w:tc>
        <w:tc>
          <w:tcPr>
            <w:tcW w:w="820" w:type="pct"/>
            <w:shd w:val="clear" w:color="auto" w:fill="auto"/>
            <w:vAlign w:val="center"/>
          </w:tcPr>
          <w:p w14:paraId="204A0ABA">
            <w:pPr>
              <w:widowControl/>
              <w:jc w:val="center"/>
              <w:textAlignment w:val="center"/>
              <w:rPr>
                <w:rFonts w:ascii="Times New Roman" w:hAnsi="Times New Roman" w:eastAsia="仿宋_GB2312" w:cs="Times New Roman"/>
                <w:color w:val="auto"/>
                <w:kern w:val="0"/>
                <w:sz w:val="21"/>
                <w:szCs w:val="21"/>
                <w:lang w:val="en-US" w:eastAsia="zh-CN" w:bidi="ar"/>
              </w:rPr>
            </w:pPr>
            <w:r>
              <w:rPr>
                <w:rFonts w:eastAsia="仿宋_GB2312"/>
                <w:color w:val="auto"/>
                <w:kern w:val="0"/>
                <w:szCs w:val="21"/>
                <w:lang w:bidi="ar"/>
              </w:rPr>
              <w:t>乙酸乙酯</w:t>
            </w:r>
          </w:p>
        </w:tc>
        <w:tc>
          <w:tcPr>
            <w:tcW w:w="380" w:type="pct"/>
            <w:shd w:val="clear" w:color="auto" w:fill="auto"/>
            <w:vAlign w:val="center"/>
          </w:tcPr>
          <w:p w14:paraId="1BDD58A9">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0.08</w:t>
            </w:r>
          </w:p>
        </w:tc>
        <w:tc>
          <w:tcPr>
            <w:tcW w:w="445" w:type="pct"/>
            <w:shd w:val="clear" w:color="auto" w:fill="auto"/>
            <w:vAlign w:val="center"/>
          </w:tcPr>
          <w:p w14:paraId="21F99E11">
            <w:pPr>
              <w:widowControl/>
              <w:jc w:val="center"/>
              <w:textAlignment w:val="center"/>
              <w:rPr>
                <w:rFonts w:ascii="Times New Roman" w:hAnsi="Times New Roman" w:eastAsia="仿宋_GB2312" w:cs="Times New Roman"/>
                <w:color w:val="auto"/>
                <w:kern w:val="0"/>
                <w:sz w:val="21"/>
                <w:szCs w:val="21"/>
                <w:lang w:val="en-US" w:eastAsia="zh-CN" w:bidi="ar"/>
              </w:rPr>
            </w:pPr>
            <w:r>
              <w:rPr>
                <w:rFonts w:eastAsia="仿宋_GB2312"/>
                <w:color w:val="auto"/>
                <w:kern w:val="0"/>
                <w:szCs w:val="21"/>
                <w:lang w:bidi="ar"/>
              </w:rPr>
              <w:t>0.098</w:t>
            </w:r>
          </w:p>
        </w:tc>
        <w:tc>
          <w:tcPr>
            <w:tcW w:w="630" w:type="pct"/>
            <w:vMerge w:val="continue"/>
            <w:vAlign w:val="center"/>
          </w:tcPr>
          <w:p w14:paraId="2B663DE0">
            <w:pPr>
              <w:jc w:val="center"/>
              <w:rPr>
                <w:rFonts w:eastAsia="仿宋_GB2312"/>
                <w:color w:val="auto"/>
                <w:szCs w:val="21"/>
              </w:rPr>
            </w:pPr>
          </w:p>
        </w:tc>
        <w:tc>
          <w:tcPr>
            <w:tcW w:w="292" w:type="pct"/>
            <w:vMerge w:val="continue"/>
            <w:vAlign w:val="center"/>
          </w:tcPr>
          <w:p w14:paraId="5CB41449">
            <w:pPr>
              <w:jc w:val="center"/>
              <w:rPr>
                <w:rFonts w:eastAsia="仿宋_GB2312"/>
                <w:color w:val="auto"/>
                <w:szCs w:val="21"/>
              </w:rPr>
            </w:pPr>
          </w:p>
        </w:tc>
      </w:tr>
      <w:tr w14:paraId="436DDE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4B8F08CB">
            <w:pPr>
              <w:jc w:val="center"/>
              <w:rPr>
                <w:rFonts w:eastAsia="仿宋_GB2312"/>
                <w:color w:val="auto"/>
                <w:szCs w:val="21"/>
              </w:rPr>
            </w:pPr>
          </w:p>
        </w:tc>
        <w:tc>
          <w:tcPr>
            <w:tcW w:w="358" w:type="pct"/>
            <w:vMerge w:val="continue"/>
            <w:vAlign w:val="center"/>
          </w:tcPr>
          <w:p w14:paraId="77C800B9">
            <w:pPr>
              <w:jc w:val="center"/>
              <w:rPr>
                <w:rFonts w:eastAsia="仿宋_GB2312"/>
                <w:color w:val="auto"/>
                <w:szCs w:val="21"/>
              </w:rPr>
            </w:pPr>
          </w:p>
        </w:tc>
        <w:tc>
          <w:tcPr>
            <w:tcW w:w="418" w:type="pct"/>
            <w:vMerge w:val="continue"/>
            <w:vAlign w:val="center"/>
          </w:tcPr>
          <w:p w14:paraId="6FBF197D">
            <w:pPr>
              <w:jc w:val="center"/>
              <w:rPr>
                <w:rFonts w:eastAsia="仿宋_GB2312"/>
                <w:color w:val="auto"/>
                <w:szCs w:val="21"/>
              </w:rPr>
            </w:pPr>
          </w:p>
        </w:tc>
        <w:tc>
          <w:tcPr>
            <w:tcW w:w="446" w:type="pct"/>
            <w:vMerge w:val="continue"/>
            <w:vAlign w:val="center"/>
          </w:tcPr>
          <w:p w14:paraId="15D47C5A">
            <w:pPr>
              <w:jc w:val="center"/>
              <w:rPr>
                <w:rFonts w:eastAsia="仿宋_GB2312"/>
                <w:color w:val="auto"/>
                <w:szCs w:val="21"/>
              </w:rPr>
            </w:pPr>
          </w:p>
        </w:tc>
        <w:tc>
          <w:tcPr>
            <w:tcW w:w="361" w:type="pct"/>
            <w:vMerge w:val="continue"/>
            <w:vAlign w:val="center"/>
          </w:tcPr>
          <w:p w14:paraId="64AFA239">
            <w:pPr>
              <w:jc w:val="center"/>
              <w:rPr>
                <w:rFonts w:eastAsia="仿宋_GB2312"/>
                <w:color w:val="auto"/>
                <w:szCs w:val="21"/>
              </w:rPr>
            </w:pPr>
          </w:p>
        </w:tc>
        <w:tc>
          <w:tcPr>
            <w:tcW w:w="498" w:type="pct"/>
            <w:vMerge w:val="continue"/>
            <w:shd w:val="clear" w:color="auto" w:fill="auto"/>
            <w:vAlign w:val="center"/>
          </w:tcPr>
          <w:p w14:paraId="23484E92">
            <w:pPr>
              <w:keepNext w:val="0"/>
              <w:keepLines w:val="0"/>
              <w:widowControl/>
              <w:suppressLineNumbers w:val="0"/>
              <w:jc w:val="center"/>
              <w:textAlignment w:val="bottom"/>
              <w:rPr>
                <w:rFonts w:eastAsia="仿宋_GB2312"/>
                <w:color w:val="auto"/>
                <w:kern w:val="0"/>
                <w:szCs w:val="21"/>
                <w:lang w:bidi="ar"/>
              </w:rPr>
            </w:pPr>
          </w:p>
        </w:tc>
        <w:tc>
          <w:tcPr>
            <w:tcW w:w="820" w:type="pct"/>
            <w:shd w:val="clear" w:color="auto" w:fill="auto"/>
            <w:vAlign w:val="center"/>
          </w:tcPr>
          <w:p w14:paraId="33D2A75F">
            <w:pPr>
              <w:widowControl/>
              <w:jc w:val="center"/>
              <w:textAlignment w:val="center"/>
              <w:rPr>
                <w:rFonts w:ascii="Times New Roman" w:hAnsi="Times New Roman" w:eastAsia="仿宋_GB2312" w:cs="Times New Roman"/>
                <w:color w:val="auto"/>
                <w:kern w:val="0"/>
                <w:sz w:val="21"/>
                <w:szCs w:val="21"/>
                <w:lang w:val="en-US" w:eastAsia="zh-CN" w:bidi="ar"/>
              </w:rPr>
            </w:pPr>
            <w:r>
              <w:rPr>
                <w:rFonts w:eastAsia="仿宋_GB2312"/>
                <w:color w:val="auto"/>
                <w:kern w:val="0"/>
                <w:szCs w:val="21"/>
                <w:lang w:bidi="ar"/>
              </w:rPr>
              <w:t>甲苯</w:t>
            </w:r>
          </w:p>
        </w:tc>
        <w:tc>
          <w:tcPr>
            <w:tcW w:w="380" w:type="pct"/>
            <w:shd w:val="clear" w:color="auto" w:fill="auto"/>
            <w:vAlign w:val="center"/>
          </w:tcPr>
          <w:p w14:paraId="755D77F1">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0.033</w:t>
            </w:r>
          </w:p>
        </w:tc>
        <w:tc>
          <w:tcPr>
            <w:tcW w:w="445" w:type="pct"/>
            <w:shd w:val="clear" w:color="auto" w:fill="auto"/>
            <w:vAlign w:val="center"/>
          </w:tcPr>
          <w:p w14:paraId="030D0C02">
            <w:pPr>
              <w:widowControl/>
              <w:jc w:val="center"/>
              <w:textAlignment w:val="center"/>
              <w:rPr>
                <w:rFonts w:ascii="Times New Roman" w:hAnsi="Times New Roman" w:eastAsia="仿宋_GB2312" w:cs="Times New Roman"/>
                <w:color w:val="auto"/>
                <w:kern w:val="0"/>
                <w:sz w:val="21"/>
                <w:szCs w:val="21"/>
                <w:lang w:val="en-US" w:eastAsia="zh-CN" w:bidi="ar"/>
              </w:rPr>
            </w:pPr>
            <w:r>
              <w:rPr>
                <w:rFonts w:eastAsia="仿宋_GB2312"/>
                <w:color w:val="auto"/>
                <w:kern w:val="0"/>
                <w:szCs w:val="21"/>
                <w:lang w:bidi="ar"/>
              </w:rPr>
              <w:t>0.041</w:t>
            </w:r>
          </w:p>
        </w:tc>
        <w:tc>
          <w:tcPr>
            <w:tcW w:w="630" w:type="pct"/>
            <w:vMerge w:val="continue"/>
            <w:vAlign w:val="center"/>
          </w:tcPr>
          <w:p w14:paraId="7A7D60B6">
            <w:pPr>
              <w:jc w:val="center"/>
              <w:rPr>
                <w:rFonts w:eastAsia="仿宋_GB2312"/>
                <w:color w:val="auto"/>
                <w:szCs w:val="21"/>
              </w:rPr>
            </w:pPr>
          </w:p>
        </w:tc>
        <w:tc>
          <w:tcPr>
            <w:tcW w:w="292" w:type="pct"/>
            <w:vMerge w:val="continue"/>
            <w:vAlign w:val="center"/>
          </w:tcPr>
          <w:p w14:paraId="0EDEC6F1">
            <w:pPr>
              <w:jc w:val="center"/>
              <w:rPr>
                <w:rFonts w:eastAsia="仿宋_GB2312"/>
                <w:color w:val="auto"/>
                <w:szCs w:val="21"/>
              </w:rPr>
            </w:pPr>
          </w:p>
        </w:tc>
      </w:tr>
      <w:tr w14:paraId="5739A9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1D4F5A97">
            <w:pPr>
              <w:jc w:val="center"/>
              <w:rPr>
                <w:rFonts w:eastAsia="仿宋_GB2312"/>
                <w:color w:val="auto"/>
                <w:szCs w:val="21"/>
              </w:rPr>
            </w:pPr>
          </w:p>
        </w:tc>
        <w:tc>
          <w:tcPr>
            <w:tcW w:w="358" w:type="pct"/>
            <w:vMerge w:val="continue"/>
            <w:vAlign w:val="center"/>
          </w:tcPr>
          <w:p w14:paraId="2E02813C">
            <w:pPr>
              <w:jc w:val="center"/>
              <w:rPr>
                <w:rFonts w:eastAsia="仿宋_GB2312"/>
                <w:color w:val="auto"/>
                <w:szCs w:val="21"/>
              </w:rPr>
            </w:pPr>
          </w:p>
        </w:tc>
        <w:tc>
          <w:tcPr>
            <w:tcW w:w="418" w:type="pct"/>
            <w:vMerge w:val="continue"/>
            <w:vAlign w:val="center"/>
          </w:tcPr>
          <w:p w14:paraId="534F66D9">
            <w:pPr>
              <w:jc w:val="center"/>
              <w:rPr>
                <w:rFonts w:eastAsia="仿宋_GB2312"/>
                <w:color w:val="auto"/>
                <w:szCs w:val="21"/>
              </w:rPr>
            </w:pPr>
          </w:p>
        </w:tc>
        <w:tc>
          <w:tcPr>
            <w:tcW w:w="446" w:type="pct"/>
            <w:vMerge w:val="continue"/>
            <w:vAlign w:val="center"/>
          </w:tcPr>
          <w:p w14:paraId="303A35D5">
            <w:pPr>
              <w:jc w:val="center"/>
              <w:rPr>
                <w:rFonts w:eastAsia="仿宋_GB2312"/>
                <w:color w:val="auto"/>
                <w:szCs w:val="21"/>
              </w:rPr>
            </w:pPr>
          </w:p>
        </w:tc>
        <w:tc>
          <w:tcPr>
            <w:tcW w:w="361" w:type="pct"/>
            <w:vMerge w:val="continue"/>
            <w:vAlign w:val="center"/>
          </w:tcPr>
          <w:p w14:paraId="716B4C3D">
            <w:pPr>
              <w:jc w:val="center"/>
              <w:rPr>
                <w:rFonts w:eastAsia="仿宋_GB2312"/>
                <w:color w:val="auto"/>
                <w:szCs w:val="21"/>
              </w:rPr>
            </w:pPr>
          </w:p>
        </w:tc>
        <w:tc>
          <w:tcPr>
            <w:tcW w:w="498" w:type="pct"/>
            <w:vMerge w:val="continue"/>
            <w:shd w:val="clear" w:color="auto" w:fill="auto"/>
            <w:vAlign w:val="center"/>
          </w:tcPr>
          <w:p w14:paraId="7F0664E7">
            <w:pPr>
              <w:keepNext w:val="0"/>
              <w:keepLines w:val="0"/>
              <w:widowControl/>
              <w:suppressLineNumbers w:val="0"/>
              <w:jc w:val="center"/>
              <w:textAlignment w:val="bottom"/>
              <w:rPr>
                <w:rFonts w:eastAsia="仿宋_GB2312"/>
                <w:color w:val="auto"/>
                <w:kern w:val="0"/>
                <w:szCs w:val="21"/>
                <w:lang w:bidi="ar"/>
              </w:rPr>
            </w:pPr>
          </w:p>
        </w:tc>
        <w:tc>
          <w:tcPr>
            <w:tcW w:w="820" w:type="pct"/>
            <w:shd w:val="clear" w:color="auto" w:fill="auto"/>
            <w:vAlign w:val="center"/>
          </w:tcPr>
          <w:p w14:paraId="7C0F88A5">
            <w:pPr>
              <w:widowControl/>
              <w:jc w:val="center"/>
              <w:textAlignment w:val="center"/>
              <w:rPr>
                <w:rFonts w:ascii="Times New Roman" w:hAnsi="Times New Roman" w:eastAsia="仿宋_GB2312" w:cs="Times New Roman"/>
                <w:color w:val="auto"/>
                <w:kern w:val="0"/>
                <w:sz w:val="21"/>
                <w:szCs w:val="21"/>
                <w:lang w:val="en-US" w:eastAsia="zh-CN" w:bidi="ar"/>
              </w:rPr>
            </w:pPr>
            <w:r>
              <w:rPr>
                <w:rFonts w:eastAsia="仿宋_GB2312"/>
                <w:color w:val="auto"/>
                <w:kern w:val="0"/>
                <w:szCs w:val="21"/>
                <w:lang w:bidi="ar"/>
              </w:rPr>
              <w:t>其他有机物</w:t>
            </w:r>
          </w:p>
        </w:tc>
        <w:tc>
          <w:tcPr>
            <w:tcW w:w="380" w:type="pct"/>
            <w:shd w:val="clear" w:color="auto" w:fill="auto"/>
            <w:vAlign w:val="center"/>
          </w:tcPr>
          <w:p w14:paraId="73CBD86B">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0.084</w:t>
            </w:r>
          </w:p>
        </w:tc>
        <w:tc>
          <w:tcPr>
            <w:tcW w:w="445" w:type="pct"/>
            <w:shd w:val="clear" w:color="auto" w:fill="auto"/>
            <w:vAlign w:val="center"/>
          </w:tcPr>
          <w:p w14:paraId="61292474">
            <w:pPr>
              <w:widowControl/>
              <w:jc w:val="center"/>
              <w:textAlignment w:val="center"/>
              <w:rPr>
                <w:rFonts w:ascii="Times New Roman" w:hAnsi="Times New Roman" w:eastAsia="仿宋_GB2312" w:cs="Times New Roman"/>
                <w:color w:val="auto"/>
                <w:kern w:val="0"/>
                <w:sz w:val="21"/>
                <w:szCs w:val="21"/>
                <w:lang w:val="en-US" w:eastAsia="zh-CN" w:bidi="ar"/>
              </w:rPr>
            </w:pPr>
            <w:r>
              <w:rPr>
                <w:rFonts w:eastAsia="仿宋_GB2312"/>
                <w:color w:val="auto"/>
                <w:kern w:val="0"/>
                <w:szCs w:val="21"/>
                <w:lang w:bidi="ar"/>
              </w:rPr>
              <w:t>0.103</w:t>
            </w:r>
          </w:p>
        </w:tc>
        <w:tc>
          <w:tcPr>
            <w:tcW w:w="630" w:type="pct"/>
            <w:vMerge w:val="continue"/>
            <w:vAlign w:val="center"/>
          </w:tcPr>
          <w:p w14:paraId="0F02D564">
            <w:pPr>
              <w:jc w:val="center"/>
              <w:rPr>
                <w:rFonts w:eastAsia="仿宋_GB2312"/>
                <w:color w:val="auto"/>
                <w:szCs w:val="21"/>
              </w:rPr>
            </w:pPr>
          </w:p>
        </w:tc>
        <w:tc>
          <w:tcPr>
            <w:tcW w:w="292" w:type="pct"/>
            <w:vMerge w:val="continue"/>
            <w:vAlign w:val="center"/>
          </w:tcPr>
          <w:p w14:paraId="1E357A4C">
            <w:pPr>
              <w:jc w:val="center"/>
              <w:rPr>
                <w:rFonts w:eastAsia="仿宋_GB2312"/>
                <w:color w:val="auto"/>
                <w:szCs w:val="21"/>
              </w:rPr>
            </w:pPr>
          </w:p>
        </w:tc>
      </w:tr>
      <w:tr w14:paraId="17C076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3DBE8430">
            <w:pPr>
              <w:jc w:val="center"/>
              <w:rPr>
                <w:rFonts w:eastAsia="仿宋_GB2312"/>
                <w:color w:val="auto"/>
                <w:szCs w:val="21"/>
              </w:rPr>
            </w:pPr>
          </w:p>
        </w:tc>
        <w:tc>
          <w:tcPr>
            <w:tcW w:w="358" w:type="pct"/>
            <w:vMerge w:val="continue"/>
            <w:vAlign w:val="center"/>
          </w:tcPr>
          <w:p w14:paraId="6745D1FF">
            <w:pPr>
              <w:jc w:val="center"/>
              <w:rPr>
                <w:rFonts w:eastAsia="仿宋_GB2312"/>
                <w:color w:val="auto"/>
                <w:szCs w:val="21"/>
              </w:rPr>
            </w:pPr>
          </w:p>
        </w:tc>
        <w:tc>
          <w:tcPr>
            <w:tcW w:w="418" w:type="pct"/>
            <w:vMerge w:val="restart"/>
            <w:vAlign w:val="center"/>
          </w:tcPr>
          <w:p w14:paraId="20486026">
            <w:pPr>
              <w:jc w:val="center"/>
              <w:rPr>
                <w:rFonts w:eastAsia="仿宋_GB2312"/>
                <w:color w:val="auto"/>
                <w:szCs w:val="21"/>
              </w:rPr>
            </w:pPr>
            <w:r>
              <w:rPr>
                <w:rFonts w:eastAsia="仿宋_GB2312"/>
                <w:color w:val="auto"/>
                <w:kern w:val="0"/>
                <w:szCs w:val="21"/>
                <w:lang w:bidi="ar"/>
              </w:rPr>
              <w:t>G</w:t>
            </w:r>
            <w:r>
              <w:rPr>
                <w:rFonts w:hint="eastAsia" w:eastAsia="仿宋_GB2312"/>
                <w:color w:val="auto"/>
                <w:kern w:val="0"/>
                <w:szCs w:val="21"/>
                <w:lang w:val="en-US" w:eastAsia="zh-CN" w:bidi="ar"/>
              </w:rPr>
              <w:t>2</w:t>
            </w:r>
            <w:r>
              <w:rPr>
                <w:rFonts w:eastAsia="仿宋_GB2312"/>
                <w:color w:val="auto"/>
                <w:kern w:val="0"/>
                <w:szCs w:val="21"/>
                <w:lang w:bidi="ar"/>
              </w:rPr>
              <w:t>-</w:t>
            </w:r>
            <w:r>
              <w:rPr>
                <w:rFonts w:hint="eastAsia" w:eastAsia="仿宋_GB2312"/>
                <w:color w:val="auto"/>
                <w:kern w:val="0"/>
                <w:szCs w:val="21"/>
                <w:lang w:val="en-US" w:eastAsia="zh-CN" w:bidi="ar"/>
              </w:rPr>
              <w:t>1</w:t>
            </w:r>
            <w:r>
              <w:rPr>
                <w:rFonts w:eastAsia="仿宋_GB2312"/>
                <w:color w:val="auto"/>
                <w:kern w:val="0"/>
                <w:szCs w:val="21"/>
                <w:lang w:bidi="ar"/>
              </w:rPr>
              <w:t>-4</w:t>
            </w:r>
          </w:p>
        </w:tc>
        <w:tc>
          <w:tcPr>
            <w:tcW w:w="446" w:type="pct"/>
            <w:vMerge w:val="restart"/>
            <w:vAlign w:val="center"/>
          </w:tcPr>
          <w:p w14:paraId="243341D5">
            <w:pPr>
              <w:jc w:val="center"/>
              <w:rPr>
                <w:rFonts w:eastAsia="仿宋_GB2312"/>
                <w:color w:val="auto"/>
                <w:szCs w:val="21"/>
              </w:rPr>
            </w:pPr>
            <w:r>
              <w:rPr>
                <w:rFonts w:eastAsia="仿宋_GB2312"/>
                <w:color w:val="auto"/>
                <w:kern w:val="0"/>
                <w:szCs w:val="21"/>
                <w:lang w:bidi="ar"/>
              </w:rPr>
              <w:t>不凝气</w:t>
            </w:r>
          </w:p>
        </w:tc>
        <w:tc>
          <w:tcPr>
            <w:tcW w:w="361" w:type="pct"/>
            <w:vMerge w:val="restart"/>
            <w:vAlign w:val="center"/>
          </w:tcPr>
          <w:p w14:paraId="35569885">
            <w:pPr>
              <w:jc w:val="center"/>
              <w:rPr>
                <w:rFonts w:eastAsia="仿宋_GB2312"/>
                <w:color w:val="auto"/>
                <w:szCs w:val="21"/>
              </w:rPr>
            </w:pPr>
            <w:r>
              <w:rPr>
                <w:rFonts w:eastAsia="仿宋_GB2312"/>
                <w:color w:val="auto"/>
                <w:szCs w:val="21"/>
              </w:rPr>
              <w:t>360</w:t>
            </w:r>
          </w:p>
        </w:tc>
        <w:tc>
          <w:tcPr>
            <w:tcW w:w="498" w:type="pct"/>
            <w:vMerge w:val="restart"/>
            <w:shd w:val="clear" w:color="auto" w:fill="auto"/>
            <w:vAlign w:val="center"/>
          </w:tcPr>
          <w:p w14:paraId="0CFDA5E5">
            <w:pPr>
              <w:keepNext w:val="0"/>
              <w:keepLines w:val="0"/>
              <w:widowControl/>
              <w:suppressLineNumbers w:val="0"/>
              <w:jc w:val="center"/>
              <w:textAlignment w:val="bottom"/>
              <w:rPr>
                <w:rFonts w:eastAsia="仿宋_GB2312"/>
                <w:color w:val="auto"/>
                <w:kern w:val="0"/>
                <w:szCs w:val="21"/>
                <w:lang w:bidi="ar"/>
              </w:rPr>
            </w:pPr>
            <w:r>
              <w:rPr>
                <w:rFonts w:hint="default" w:ascii="Times New Roman" w:hAnsi="Times New Roman" w:eastAsia="宋体" w:cs="Times New Roman"/>
                <w:i w:val="0"/>
                <w:iCs w:val="0"/>
                <w:color w:val="auto"/>
                <w:kern w:val="0"/>
                <w:sz w:val="21"/>
                <w:szCs w:val="21"/>
                <w:u w:val="none"/>
                <w:lang w:val="en-US" w:eastAsia="zh-CN" w:bidi="ar"/>
              </w:rPr>
              <w:t>1224</w:t>
            </w:r>
          </w:p>
        </w:tc>
        <w:tc>
          <w:tcPr>
            <w:tcW w:w="820" w:type="pct"/>
            <w:shd w:val="clear" w:color="auto" w:fill="auto"/>
            <w:vAlign w:val="center"/>
          </w:tcPr>
          <w:p w14:paraId="2B61342F">
            <w:pPr>
              <w:widowControl/>
              <w:jc w:val="center"/>
              <w:textAlignment w:val="center"/>
              <w:rPr>
                <w:rFonts w:ascii="Times New Roman" w:hAnsi="Times New Roman" w:eastAsia="仿宋_GB2312" w:cs="Times New Roman"/>
                <w:color w:val="auto"/>
                <w:kern w:val="0"/>
                <w:sz w:val="21"/>
                <w:szCs w:val="21"/>
                <w:lang w:val="en-US" w:eastAsia="zh-CN" w:bidi="ar"/>
              </w:rPr>
            </w:pPr>
            <w:r>
              <w:rPr>
                <w:rFonts w:eastAsia="仿宋_GB2312"/>
                <w:color w:val="auto"/>
                <w:kern w:val="0"/>
                <w:szCs w:val="21"/>
                <w:lang w:bidi="ar"/>
              </w:rPr>
              <w:t>二氯甲烷</w:t>
            </w:r>
          </w:p>
        </w:tc>
        <w:tc>
          <w:tcPr>
            <w:tcW w:w="380" w:type="pct"/>
            <w:shd w:val="clear" w:color="auto" w:fill="auto"/>
            <w:vAlign w:val="center"/>
          </w:tcPr>
          <w:p w14:paraId="5FE51C96">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0.512</w:t>
            </w:r>
          </w:p>
        </w:tc>
        <w:tc>
          <w:tcPr>
            <w:tcW w:w="445" w:type="pct"/>
            <w:shd w:val="clear" w:color="auto" w:fill="auto"/>
            <w:vAlign w:val="center"/>
          </w:tcPr>
          <w:p w14:paraId="19FA34CC">
            <w:pPr>
              <w:widowControl/>
              <w:jc w:val="center"/>
              <w:textAlignment w:val="center"/>
              <w:rPr>
                <w:rFonts w:ascii="Times New Roman" w:hAnsi="Times New Roman" w:eastAsia="仿宋_GB2312" w:cs="Times New Roman"/>
                <w:color w:val="auto"/>
                <w:kern w:val="0"/>
                <w:sz w:val="21"/>
                <w:szCs w:val="21"/>
                <w:lang w:val="en-US" w:eastAsia="zh-CN" w:bidi="ar"/>
              </w:rPr>
            </w:pPr>
            <w:r>
              <w:rPr>
                <w:rFonts w:eastAsia="仿宋_GB2312"/>
                <w:color w:val="auto"/>
                <w:kern w:val="0"/>
                <w:szCs w:val="21"/>
                <w:lang w:bidi="ar"/>
              </w:rPr>
              <w:t>0.627</w:t>
            </w:r>
          </w:p>
        </w:tc>
        <w:tc>
          <w:tcPr>
            <w:tcW w:w="630" w:type="pct"/>
            <w:vMerge w:val="continue"/>
            <w:vAlign w:val="center"/>
          </w:tcPr>
          <w:p w14:paraId="45B3426B">
            <w:pPr>
              <w:jc w:val="center"/>
              <w:rPr>
                <w:rFonts w:eastAsia="仿宋_GB2312"/>
                <w:color w:val="auto"/>
                <w:szCs w:val="21"/>
              </w:rPr>
            </w:pPr>
          </w:p>
        </w:tc>
        <w:tc>
          <w:tcPr>
            <w:tcW w:w="292" w:type="pct"/>
            <w:vMerge w:val="continue"/>
            <w:vAlign w:val="center"/>
          </w:tcPr>
          <w:p w14:paraId="165D6357">
            <w:pPr>
              <w:jc w:val="center"/>
              <w:rPr>
                <w:rFonts w:eastAsia="仿宋_GB2312"/>
                <w:color w:val="auto"/>
                <w:szCs w:val="21"/>
              </w:rPr>
            </w:pPr>
          </w:p>
        </w:tc>
      </w:tr>
      <w:tr w14:paraId="2552935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634A24DD">
            <w:pPr>
              <w:jc w:val="center"/>
              <w:rPr>
                <w:rFonts w:eastAsia="仿宋_GB2312"/>
                <w:color w:val="auto"/>
                <w:szCs w:val="21"/>
              </w:rPr>
            </w:pPr>
          </w:p>
        </w:tc>
        <w:tc>
          <w:tcPr>
            <w:tcW w:w="358" w:type="pct"/>
            <w:vMerge w:val="continue"/>
            <w:vAlign w:val="center"/>
          </w:tcPr>
          <w:p w14:paraId="70EA5681">
            <w:pPr>
              <w:jc w:val="center"/>
              <w:rPr>
                <w:rFonts w:eastAsia="仿宋_GB2312"/>
                <w:color w:val="auto"/>
                <w:szCs w:val="21"/>
              </w:rPr>
            </w:pPr>
          </w:p>
        </w:tc>
        <w:tc>
          <w:tcPr>
            <w:tcW w:w="418" w:type="pct"/>
            <w:vMerge w:val="continue"/>
            <w:vAlign w:val="center"/>
          </w:tcPr>
          <w:p w14:paraId="60408001">
            <w:pPr>
              <w:jc w:val="center"/>
              <w:rPr>
                <w:rFonts w:eastAsia="仿宋_GB2312"/>
                <w:color w:val="auto"/>
                <w:szCs w:val="21"/>
              </w:rPr>
            </w:pPr>
          </w:p>
        </w:tc>
        <w:tc>
          <w:tcPr>
            <w:tcW w:w="446" w:type="pct"/>
            <w:vMerge w:val="continue"/>
            <w:vAlign w:val="center"/>
          </w:tcPr>
          <w:p w14:paraId="7B42A801">
            <w:pPr>
              <w:jc w:val="center"/>
              <w:rPr>
                <w:rFonts w:eastAsia="仿宋_GB2312"/>
                <w:color w:val="auto"/>
                <w:szCs w:val="21"/>
              </w:rPr>
            </w:pPr>
          </w:p>
        </w:tc>
        <w:tc>
          <w:tcPr>
            <w:tcW w:w="361" w:type="pct"/>
            <w:vMerge w:val="continue"/>
            <w:vAlign w:val="center"/>
          </w:tcPr>
          <w:p w14:paraId="1BF37799">
            <w:pPr>
              <w:jc w:val="center"/>
              <w:rPr>
                <w:rFonts w:eastAsia="仿宋_GB2312"/>
                <w:color w:val="auto"/>
                <w:szCs w:val="21"/>
              </w:rPr>
            </w:pPr>
          </w:p>
        </w:tc>
        <w:tc>
          <w:tcPr>
            <w:tcW w:w="498" w:type="pct"/>
            <w:vMerge w:val="continue"/>
            <w:shd w:val="clear" w:color="auto" w:fill="auto"/>
            <w:vAlign w:val="center"/>
          </w:tcPr>
          <w:p w14:paraId="07AFB903">
            <w:pPr>
              <w:keepNext w:val="0"/>
              <w:keepLines w:val="0"/>
              <w:widowControl/>
              <w:suppressLineNumbers w:val="0"/>
              <w:jc w:val="center"/>
              <w:textAlignment w:val="bottom"/>
              <w:rPr>
                <w:rFonts w:eastAsia="仿宋_GB2312"/>
                <w:color w:val="auto"/>
                <w:kern w:val="0"/>
                <w:szCs w:val="21"/>
                <w:lang w:bidi="ar"/>
              </w:rPr>
            </w:pPr>
          </w:p>
        </w:tc>
        <w:tc>
          <w:tcPr>
            <w:tcW w:w="820" w:type="pct"/>
            <w:shd w:val="clear" w:color="auto" w:fill="auto"/>
            <w:vAlign w:val="center"/>
          </w:tcPr>
          <w:p w14:paraId="04F335B5">
            <w:pPr>
              <w:widowControl/>
              <w:jc w:val="center"/>
              <w:textAlignment w:val="center"/>
              <w:rPr>
                <w:rFonts w:ascii="Times New Roman" w:hAnsi="Times New Roman" w:eastAsia="仿宋_GB2312" w:cs="Times New Roman"/>
                <w:color w:val="auto"/>
                <w:kern w:val="0"/>
                <w:sz w:val="21"/>
                <w:szCs w:val="21"/>
                <w:lang w:val="en-US" w:eastAsia="zh-CN" w:bidi="ar"/>
              </w:rPr>
            </w:pPr>
            <w:r>
              <w:rPr>
                <w:rFonts w:eastAsia="仿宋_GB2312"/>
                <w:color w:val="auto"/>
                <w:kern w:val="0"/>
                <w:szCs w:val="21"/>
                <w:lang w:bidi="ar"/>
              </w:rPr>
              <w:t>乙酸乙酯</w:t>
            </w:r>
          </w:p>
        </w:tc>
        <w:tc>
          <w:tcPr>
            <w:tcW w:w="380" w:type="pct"/>
            <w:shd w:val="clear" w:color="auto" w:fill="auto"/>
            <w:vAlign w:val="center"/>
          </w:tcPr>
          <w:p w14:paraId="46A52052">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0.004</w:t>
            </w:r>
          </w:p>
        </w:tc>
        <w:tc>
          <w:tcPr>
            <w:tcW w:w="445" w:type="pct"/>
            <w:shd w:val="clear" w:color="auto" w:fill="auto"/>
            <w:vAlign w:val="center"/>
          </w:tcPr>
          <w:p w14:paraId="4E8B7A99">
            <w:pPr>
              <w:widowControl/>
              <w:jc w:val="center"/>
              <w:textAlignment w:val="center"/>
              <w:rPr>
                <w:rFonts w:ascii="Times New Roman" w:hAnsi="Times New Roman" w:eastAsia="仿宋_GB2312" w:cs="Times New Roman"/>
                <w:color w:val="auto"/>
                <w:kern w:val="0"/>
                <w:sz w:val="21"/>
                <w:szCs w:val="21"/>
                <w:lang w:val="en-US" w:eastAsia="zh-CN" w:bidi="ar"/>
              </w:rPr>
            </w:pPr>
            <w:r>
              <w:rPr>
                <w:rFonts w:eastAsia="仿宋_GB2312"/>
                <w:color w:val="auto"/>
                <w:kern w:val="0"/>
                <w:szCs w:val="21"/>
                <w:lang w:bidi="ar"/>
              </w:rPr>
              <w:t>0.005</w:t>
            </w:r>
          </w:p>
        </w:tc>
        <w:tc>
          <w:tcPr>
            <w:tcW w:w="630" w:type="pct"/>
            <w:vMerge w:val="continue"/>
            <w:vAlign w:val="center"/>
          </w:tcPr>
          <w:p w14:paraId="4C03CBAB">
            <w:pPr>
              <w:jc w:val="center"/>
              <w:rPr>
                <w:rFonts w:eastAsia="仿宋_GB2312"/>
                <w:color w:val="auto"/>
                <w:szCs w:val="21"/>
              </w:rPr>
            </w:pPr>
          </w:p>
        </w:tc>
        <w:tc>
          <w:tcPr>
            <w:tcW w:w="292" w:type="pct"/>
            <w:vMerge w:val="continue"/>
            <w:vAlign w:val="center"/>
          </w:tcPr>
          <w:p w14:paraId="2AABA4F5">
            <w:pPr>
              <w:jc w:val="center"/>
              <w:rPr>
                <w:rFonts w:eastAsia="仿宋_GB2312"/>
                <w:color w:val="auto"/>
                <w:szCs w:val="21"/>
              </w:rPr>
            </w:pPr>
          </w:p>
        </w:tc>
      </w:tr>
      <w:tr w14:paraId="200953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704DF0FA">
            <w:pPr>
              <w:jc w:val="center"/>
              <w:rPr>
                <w:rFonts w:eastAsia="仿宋_GB2312"/>
                <w:color w:val="auto"/>
                <w:szCs w:val="21"/>
              </w:rPr>
            </w:pPr>
          </w:p>
        </w:tc>
        <w:tc>
          <w:tcPr>
            <w:tcW w:w="358" w:type="pct"/>
            <w:vMerge w:val="continue"/>
            <w:vAlign w:val="center"/>
          </w:tcPr>
          <w:p w14:paraId="1F96E680">
            <w:pPr>
              <w:jc w:val="center"/>
              <w:rPr>
                <w:rFonts w:eastAsia="仿宋_GB2312"/>
                <w:color w:val="auto"/>
                <w:szCs w:val="21"/>
              </w:rPr>
            </w:pPr>
          </w:p>
        </w:tc>
        <w:tc>
          <w:tcPr>
            <w:tcW w:w="418" w:type="pct"/>
            <w:vMerge w:val="continue"/>
            <w:vAlign w:val="center"/>
          </w:tcPr>
          <w:p w14:paraId="2191C314">
            <w:pPr>
              <w:jc w:val="center"/>
              <w:rPr>
                <w:rFonts w:eastAsia="仿宋_GB2312"/>
                <w:color w:val="auto"/>
                <w:szCs w:val="21"/>
              </w:rPr>
            </w:pPr>
          </w:p>
        </w:tc>
        <w:tc>
          <w:tcPr>
            <w:tcW w:w="446" w:type="pct"/>
            <w:vMerge w:val="continue"/>
            <w:vAlign w:val="center"/>
          </w:tcPr>
          <w:p w14:paraId="78D43D1A">
            <w:pPr>
              <w:jc w:val="center"/>
              <w:rPr>
                <w:rFonts w:eastAsia="仿宋_GB2312"/>
                <w:color w:val="auto"/>
                <w:szCs w:val="21"/>
              </w:rPr>
            </w:pPr>
          </w:p>
        </w:tc>
        <w:tc>
          <w:tcPr>
            <w:tcW w:w="361" w:type="pct"/>
            <w:vMerge w:val="continue"/>
            <w:vAlign w:val="center"/>
          </w:tcPr>
          <w:p w14:paraId="68D6ED26">
            <w:pPr>
              <w:jc w:val="center"/>
              <w:rPr>
                <w:rFonts w:eastAsia="仿宋_GB2312"/>
                <w:color w:val="auto"/>
                <w:szCs w:val="21"/>
              </w:rPr>
            </w:pPr>
          </w:p>
        </w:tc>
        <w:tc>
          <w:tcPr>
            <w:tcW w:w="498" w:type="pct"/>
            <w:vMerge w:val="continue"/>
            <w:shd w:val="clear" w:color="auto" w:fill="auto"/>
            <w:vAlign w:val="center"/>
          </w:tcPr>
          <w:p w14:paraId="7CCE5204">
            <w:pPr>
              <w:keepNext w:val="0"/>
              <w:keepLines w:val="0"/>
              <w:widowControl/>
              <w:suppressLineNumbers w:val="0"/>
              <w:jc w:val="center"/>
              <w:textAlignment w:val="bottom"/>
              <w:rPr>
                <w:rFonts w:eastAsia="仿宋_GB2312"/>
                <w:color w:val="auto"/>
                <w:kern w:val="0"/>
                <w:szCs w:val="21"/>
                <w:lang w:bidi="ar"/>
              </w:rPr>
            </w:pPr>
          </w:p>
        </w:tc>
        <w:tc>
          <w:tcPr>
            <w:tcW w:w="820" w:type="pct"/>
            <w:shd w:val="clear" w:color="auto" w:fill="auto"/>
            <w:vAlign w:val="center"/>
          </w:tcPr>
          <w:p w14:paraId="4E7A9A28">
            <w:pPr>
              <w:widowControl/>
              <w:jc w:val="center"/>
              <w:textAlignment w:val="center"/>
              <w:rPr>
                <w:rFonts w:ascii="Times New Roman" w:hAnsi="Times New Roman" w:eastAsia="仿宋_GB2312" w:cs="Times New Roman"/>
                <w:color w:val="auto"/>
                <w:kern w:val="0"/>
                <w:sz w:val="21"/>
                <w:szCs w:val="21"/>
                <w:lang w:val="en-US" w:eastAsia="zh-CN" w:bidi="ar"/>
              </w:rPr>
            </w:pPr>
            <w:r>
              <w:rPr>
                <w:rFonts w:eastAsia="仿宋_GB2312"/>
                <w:color w:val="auto"/>
                <w:kern w:val="0"/>
                <w:szCs w:val="21"/>
                <w:lang w:bidi="ar"/>
              </w:rPr>
              <w:t>甲苯</w:t>
            </w:r>
          </w:p>
        </w:tc>
        <w:tc>
          <w:tcPr>
            <w:tcW w:w="380" w:type="pct"/>
            <w:shd w:val="clear" w:color="auto" w:fill="auto"/>
            <w:vAlign w:val="center"/>
          </w:tcPr>
          <w:p w14:paraId="128DB34B">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0.134</w:t>
            </w:r>
          </w:p>
        </w:tc>
        <w:tc>
          <w:tcPr>
            <w:tcW w:w="445" w:type="pct"/>
            <w:shd w:val="clear" w:color="auto" w:fill="auto"/>
            <w:vAlign w:val="center"/>
          </w:tcPr>
          <w:p w14:paraId="36CE0B82">
            <w:pPr>
              <w:widowControl/>
              <w:jc w:val="center"/>
              <w:textAlignment w:val="center"/>
              <w:rPr>
                <w:rFonts w:ascii="Times New Roman" w:hAnsi="Times New Roman" w:eastAsia="仿宋_GB2312" w:cs="Times New Roman"/>
                <w:color w:val="auto"/>
                <w:kern w:val="0"/>
                <w:sz w:val="21"/>
                <w:szCs w:val="21"/>
                <w:lang w:val="en-US" w:eastAsia="zh-CN" w:bidi="ar"/>
              </w:rPr>
            </w:pPr>
            <w:r>
              <w:rPr>
                <w:rFonts w:eastAsia="仿宋_GB2312"/>
                <w:color w:val="auto"/>
                <w:kern w:val="0"/>
                <w:szCs w:val="21"/>
                <w:lang w:bidi="ar"/>
              </w:rPr>
              <w:t>0.165</w:t>
            </w:r>
          </w:p>
        </w:tc>
        <w:tc>
          <w:tcPr>
            <w:tcW w:w="630" w:type="pct"/>
            <w:vMerge w:val="continue"/>
            <w:vAlign w:val="center"/>
          </w:tcPr>
          <w:p w14:paraId="079DF38B">
            <w:pPr>
              <w:jc w:val="center"/>
              <w:rPr>
                <w:rFonts w:eastAsia="仿宋_GB2312"/>
                <w:color w:val="auto"/>
                <w:szCs w:val="21"/>
              </w:rPr>
            </w:pPr>
          </w:p>
        </w:tc>
        <w:tc>
          <w:tcPr>
            <w:tcW w:w="292" w:type="pct"/>
            <w:vMerge w:val="continue"/>
            <w:vAlign w:val="center"/>
          </w:tcPr>
          <w:p w14:paraId="291F1428">
            <w:pPr>
              <w:jc w:val="center"/>
              <w:rPr>
                <w:rFonts w:eastAsia="仿宋_GB2312"/>
                <w:color w:val="auto"/>
                <w:szCs w:val="21"/>
              </w:rPr>
            </w:pPr>
          </w:p>
        </w:tc>
      </w:tr>
      <w:tr w14:paraId="7CCB7EB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36F6A522">
            <w:pPr>
              <w:jc w:val="center"/>
              <w:rPr>
                <w:rFonts w:eastAsia="仿宋_GB2312"/>
                <w:color w:val="auto"/>
                <w:szCs w:val="21"/>
              </w:rPr>
            </w:pPr>
          </w:p>
        </w:tc>
        <w:tc>
          <w:tcPr>
            <w:tcW w:w="358" w:type="pct"/>
            <w:vMerge w:val="continue"/>
            <w:vAlign w:val="center"/>
          </w:tcPr>
          <w:p w14:paraId="02BD9465">
            <w:pPr>
              <w:jc w:val="center"/>
              <w:rPr>
                <w:rFonts w:eastAsia="仿宋_GB2312"/>
                <w:color w:val="auto"/>
                <w:szCs w:val="21"/>
              </w:rPr>
            </w:pPr>
          </w:p>
        </w:tc>
        <w:tc>
          <w:tcPr>
            <w:tcW w:w="418" w:type="pct"/>
            <w:vMerge w:val="continue"/>
            <w:vAlign w:val="center"/>
          </w:tcPr>
          <w:p w14:paraId="02731B47">
            <w:pPr>
              <w:jc w:val="center"/>
              <w:rPr>
                <w:rFonts w:eastAsia="仿宋_GB2312"/>
                <w:color w:val="auto"/>
                <w:szCs w:val="21"/>
              </w:rPr>
            </w:pPr>
          </w:p>
        </w:tc>
        <w:tc>
          <w:tcPr>
            <w:tcW w:w="446" w:type="pct"/>
            <w:vMerge w:val="continue"/>
            <w:vAlign w:val="center"/>
          </w:tcPr>
          <w:p w14:paraId="5D7B6EFE">
            <w:pPr>
              <w:jc w:val="center"/>
              <w:rPr>
                <w:rFonts w:eastAsia="仿宋_GB2312"/>
                <w:color w:val="auto"/>
                <w:szCs w:val="21"/>
              </w:rPr>
            </w:pPr>
          </w:p>
        </w:tc>
        <w:tc>
          <w:tcPr>
            <w:tcW w:w="361" w:type="pct"/>
            <w:vMerge w:val="continue"/>
            <w:vAlign w:val="center"/>
          </w:tcPr>
          <w:p w14:paraId="040D694C">
            <w:pPr>
              <w:jc w:val="center"/>
              <w:rPr>
                <w:rFonts w:eastAsia="仿宋_GB2312"/>
                <w:color w:val="auto"/>
                <w:szCs w:val="21"/>
              </w:rPr>
            </w:pPr>
          </w:p>
        </w:tc>
        <w:tc>
          <w:tcPr>
            <w:tcW w:w="498" w:type="pct"/>
            <w:vMerge w:val="continue"/>
            <w:shd w:val="clear" w:color="auto" w:fill="auto"/>
            <w:vAlign w:val="center"/>
          </w:tcPr>
          <w:p w14:paraId="2906AE43">
            <w:pPr>
              <w:keepNext w:val="0"/>
              <w:keepLines w:val="0"/>
              <w:widowControl/>
              <w:suppressLineNumbers w:val="0"/>
              <w:jc w:val="center"/>
              <w:textAlignment w:val="bottom"/>
              <w:rPr>
                <w:rFonts w:eastAsia="仿宋_GB2312"/>
                <w:color w:val="auto"/>
                <w:kern w:val="0"/>
                <w:szCs w:val="21"/>
                <w:lang w:bidi="ar"/>
              </w:rPr>
            </w:pPr>
          </w:p>
        </w:tc>
        <w:tc>
          <w:tcPr>
            <w:tcW w:w="820" w:type="pct"/>
            <w:shd w:val="clear" w:color="auto" w:fill="auto"/>
            <w:vAlign w:val="center"/>
          </w:tcPr>
          <w:p w14:paraId="247388B5">
            <w:pPr>
              <w:widowControl/>
              <w:jc w:val="center"/>
              <w:textAlignment w:val="center"/>
              <w:rPr>
                <w:rFonts w:ascii="Times New Roman" w:hAnsi="Times New Roman" w:eastAsia="仿宋_GB2312" w:cs="Times New Roman"/>
                <w:color w:val="auto"/>
                <w:kern w:val="0"/>
                <w:sz w:val="21"/>
                <w:szCs w:val="21"/>
                <w:lang w:val="en-US" w:eastAsia="zh-CN" w:bidi="ar"/>
              </w:rPr>
            </w:pPr>
            <w:r>
              <w:rPr>
                <w:rFonts w:eastAsia="仿宋_GB2312"/>
                <w:color w:val="auto"/>
                <w:kern w:val="0"/>
                <w:szCs w:val="21"/>
                <w:lang w:bidi="ar"/>
              </w:rPr>
              <w:t>其他有机物</w:t>
            </w:r>
          </w:p>
        </w:tc>
        <w:tc>
          <w:tcPr>
            <w:tcW w:w="380" w:type="pct"/>
            <w:shd w:val="clear" w:color="auto" w:fill="auto"/>
            <w:vAlign w:val="center"/>
          </w:tcPr>
          <w:p w14:paraId="2BCB1F39">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0.336</w:t>
            </w:r>
          </w:p>
        </w:tc>
        <w:tc>
          <w:tcPr>
            <w:tcW w:w="445" w:type="pct"/>
            <w:shd w:val="clear" w:color="auto" w:fill="auto"/>
            <w:vAlign w:val="center"/>
          </w:tcPr>
          <w:p w14:paraId="099BBFF8">
            <w:pPr>
              <w:widowControl/>
              <w:jc w:val="center"/>
              <w:textAlignment w:val="center"/>
              <w:rPr>
                <w:rFonts w:ascii="Times New Roman" w:hAnsi="Times New Roman" w:eastAsia="仿宋_GB2312" w:cs="Times New Roman"/>
                <w:color w:val="auto"/>
                <w:kern w:val="0"/>
                <w:sz w:val="21"/>
                <w:szCs w:val="21"/>
                <w:lang w:val="en-US" w:eastAsia="zh-CN" w:bidi="ar"/>
              </w:rPr>
            </w:pPr>
            <w:r>
              <w:rPr>
                <w:rFonts w:eastAsia="仿宋_GB2312"/>
                <w:color w:val="auto"/>
                <w:kern w:val="0"/>
                <w:szCs w:val="21"/>
                <w:lang w:bidi="ar"/>
              </w:rPr>
              <w:t>0.412</w:t>
            </w:r>
          </w:p>
        </w:tc>
        <w:tc>
          <w:tcPr>
            <w:tcW w:w="630" w:type="pct"/>
            <w:vMerge w:val="continue"/>
            <w:vAlign w:val="center"/>
          </w:tcPr>
          <w:p w14:paraId="6964A3AB">
            <w:pPr>
              <w:jc w:val="center"/>
              <w:rPr>
                <w:rFonts w:eastAsia="仿宋_GB2312"/>
                <w:color w:val="auto"/>
                <w:szCs w:val="21"/>
              </w:rPr>
            </w:pPr>
          </w:p>
        </w:tc>
        <w:tc>
          <w:tcPr>
            <w:tcW w:w="292" w:type="pct"/>
            <w:vMerge w:val="continue"/>
            <w:vAlign w:val="center"/>
          </w:tcPr>
          <w:p w14:paraId="3B83B72B">
            <w:pPr>
              <w:jc w:val="center"/>
              <w:rPr>
                <w:rFonts w:eastAsia="仿宋_GB2312"/>
                <w:color w:val="auto"/>
                <w:szCs w:val="21"/>
              </w:rPr>
            </w:pPr>
          </w:p>
        </w:tc>
      </w:tr>
      <w:tr w14:paraId="495850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08B31EC6">
            <w:pPr>
              <w:jc w:val="center"/>
              <w:rPr>
                <w:rFonts w:eastAsia="仿宋_GB2312"/>
                <w:color w:val="auto"/>
                <w:szCs w:val="21"/>
              </w:rPr>
            </w:pPr>
          </w:p>
        </w:tc>
        <w:tc>
          <w:tcPr>
            <w:tcW w:w="358" w:type="pct"/>
            <w:vMerge w:val="continue"/>
            <w:vAlign w:val="center"/>
          </w:tcPr>
          <w:p w14:paraId="219952FA">
            <w:pPr>
              <w:jc w:val="center"/>
              <w:rPr>
                <w:rFonts w:eastAsia="仿宋_GB2312"/>
                <w:color w:val="auto"/>
                <w:szCs w:val="21"/>
              </w:rPr>
            </w:pPr>
          </w:p>
        </w:tc>
        <w:tc>
          <w:tcPr>
            <w:tcW w:w="418" w:type="pct"/>
            <w:vMerge w:val="restart"/>
            <w:vAlign w:val="center"/>
          </w:tcPr>
          <w:p w14:paraId="37DFAEC0">
            <w:pPr>
              <w:jc w:val="center"/>
              <w:rPr>
                <w:rFonts w:eastAsia="仿宋_GB2312"/>
                <w:color w:val="auto"/>
                <w:szCs w:val="21"/>
              </w:rPr>
            </w:pPr>
            <w:r>
              <w:rPr>
                <w:rFonts w:eastAsia="仿宋_GB2312"/>
                <w:color w:val="auto"/>
                <w:kern w:val="0"/>
                <w:szCs w:val="21"/>
                <w:lang w:bidi="ar"/>
              </w:rPr>
              <w:t>G</w:t>
            </w:r>
            <w:r>
              <w:rPr>
                <w:rFonts w:hint="eastAsia" w:eastAsia="仿宋_GB2312"/>
                <w:color w:val="auto"/>
                <w:kern w:val="0"/>
                <w:szCs w:val="21"/>
                <w:lang w:val="en-US" w:eastAsia="zh-CN" w:bidi="ar"/>
              </w:rPr>
              <w:t>2</w:t>
            </w:r>
            <w:r>
              <w:rPr>
                <w:rFonts w:eastAsia="仿宋_GB2312"/>
                <w:color w:val="auto"/>
                <w:kern w:val="0"/>
                <w:szCs w:val="21"/>
                <w:lang w:bidi="ar"/>
              </w:rPr>
              <w:t>-</w:t>
            </w:r>
            <w:r>
              <w:rPr>
                <w:rFonts w:hint="eastAsia" w:eastAsia="仿宋_GB2312"/>
                <w:color w:val="auto"/>
                <w:kern w:val="0"/>
                <w:szCs w:val="21"/>
                <w:lang w:val="en-US" w:eastAsia="zh-CN" w:bidi="ar"/>
              </w:rPr>
              <w:t>1</w:t>
            </w:r>
            <w:r>
              <w:rPr>
                <w:rFonts w:eastAsia="仿宋_GB2312"/>
                <w:color w:val="auto"/>
                <w:kern w:val="0"/>
                <w:szCs w:val="21"/>
                <w:lang w:bidi="ar"/>
              </w:rPr>
              <w:t>-5</w:t>
            </w:r>
          </w:p>
        </w:tc>
        <w:tc>
          <w:tcPr>
            <w:tcW w:w="446" w:type="pct"/>
            <w:vMerge w:val="restart"/>
            <w:vAlign w:val="center"/>
          </w:tcPr>
          <w:p w14:paraId="16CCDE95">
            <w:pPr>
              <w:jc w:val="center"/>
              <w:rPr>
                <w:rFonts w:eastAsia="仿宋_GB2312"/>
                <w:color w:val="auto"/>
                <w:szCs w:val="21"/>
              </w:rPr>
            </w:pPr>
            <w:r>
              <w:rPr>
                <w:rFonts w:eastAsia="仿宋_GB2312"/>
                <w:color w:val="auto"/>
                <w:kern w:val="0"/>
                <w:szCs w:val="21"/>
                <w:lang w:bidi="ar"/>
              </w:rPr>
              <w:t>灌装废气</w:t>
            </w:r>
          </w:p>
        </w:tc>
        <w:tc>
          <w:tcPr>
            <w:tcW w:w="361" w:type="pct"/>
            <w:vMerge w:val="restart"/>
            <w:vAlign w:val="center"/>
          </w:tcPr>
          <w:p w14:paraId="3AF2BE15">
            <w:pPr>
              <w:jc w:val="center"/>
              <w:rPr>
                <w:rFonts w:hint="default" w:eastAsia="仿宋_GB2312"/>
                <w:color w:val="auto"/>
                <w:szCs w:val="21"/>
                <w:lang w:val="en-US" w:eastAsia="zh-CN"/>
              </w:rPr>
            </w:pPr>
            <w:r>
              <w:rPr>
                <w:rFonts w:hint="eastAsia" w:eastAsia="仿宋_GB2312"/>
                <w:color w:val="auto"/>
                <w:szCs w:val="21"/>
                <w:lang w:val="en-US" w:eastAsia="zh-CN"/>
              </w:rPr>
              <w:t>2000</w:t>
            </w:r>
          </w:p>
        </w:tc>
        <w:tc>
          <w:tcPr>
            <w:tcW w:w="498" w:type="pct"/>
            <w:vMerge w:val="restart"/>
            <w:shd w:val="clear" w:color="auto" w:fill="auto"/>
            <w:vAlign w:val="center"/>
          </w:tcPr>
          <w:p w14:paraId="715FD54F">
            <w:pPr>
              <w:keepNext w:val="0"/>
              <w:keepLines w:val="0"/>
              <w:widowControl/>
              <w:suppressLineNumbers w:val="0"/>
              <w:jc w:val="center"/>
              <w:textAlignment w:val="bottom"/>
              <w:rPr>
                <w:rFonts w:eastAsia="仿宋_GB2312"/>
                <w:color w:val="auto"/>
                <w:kern w:val="0"/>
                <w:szCs w:val="21"/>
                <w:lang w:bidi="ar"/>
              </w:rPr>
            </w:pPr>
            <w:r>
              <w:rPr>
                <w:rFonts w:hint="default" w:ascii="Times New Roman" w:hAnsi="Times New Roman" w:eastAsia="宋体" w:cs="Times New Roman"/>
                <w:i w:val="0"/>
                <w:iCs w:val="0"/>
                <w:color w:val="auto"/>
                <w:kern w:val="0"/>
                <w:sz w:val="21"/>
                <w:szCs w:val="21"/>
                <w:u w:val="none"/>
                <w:lang w:val="en-US" w:eastAsia="zh-CN" w:bidi="ar"/>
              </w:rPr>
              <w:t>612</w:t>
            </w:r>
          </w:p>
        </w:tc>
        <w:tc>
          <w:tcPr>
            <w:tcW w:w="820" w:type="pct"/>
            <w:shd w:val="clear" w:color="auto" w:fill="auto"/>
            <w:vAlign w:val="center"/>
          </w:tcPr>
          <w:p w14:paraId="4AF7D1AA">
            <w:pPr>
              <w:widowControl/>
              <w:jc w:val="center"/>
              <w:textAlignment w:val="center"/>
              <w:rPr>
                <w:rFonts w:ascii="Times New Roman" w:hAnsi="Times New Roman" w:eastAsia="仿宋_GB2312" w:cs="Times New Roman"/>
                <w:color w:val="auto"/>
                <w:kern w:val="0"/>
                <w:sz w:val="21"/>
                <w:szCs w:val="21"/>
                <w:lang w:val="en-US" w:eastAsia="zh-CN" w:bidi="ar"/>
              </w:rPr>
            </w:pPr>
            <w:r>
              <w:rPr>
                <w:rFonts w:eastAsia="仿宋_GB2312"/>
                <w:color w:val="auto"/>
                <w:kern w:val="0"/>
                <w:szCs w:val="21"/>
                <w:lang w:bidi="ar"/>
              </w:rPr>
              <w:t>二氯甲烷</w:t>
            </w:r>
          </w:p>
        </w:tc>
        <w:tc>
          <w:tcPr>
            <w:tcW w:w="380" w:type="pct"/>
            <w:shd w:val="clear" w:color="auto" w:fill="auto"/>
            <w:vAlign w:val="center"/>
          </w:tcPr>
          <w:p w14:paraId="7032F043">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5.95</w:t>
            </w:r>
          </w:p>
        </w:tc>
        <w:tc>
          <w:tcPr>
            <w:tcW w:w="445" w:type="pct"/>
            <w:shd w:val="clear" w:color="auto" w:fill="auto"/>
            <w:vAlign w:val="center"/>
          </w:tcPr>
          <w:p w14:paraId="444BA2D3">
            <w:pPr>
              <w:widowControl/>
              <w:jc w:val="center"/>
              <w:textAlignment w:val="center"/>
              <w:rPr>
                <w:rFonts w:hint="eastAsia" w:ascii="Times New Roman" w:hAnsi="Times New Roman" w:eastAsia="仿宋_GB2312" w:cs="Times New Roman"/>
                <w:color w:val="auto"/>
                <w:kern w:val="0"/>
                <w:sz w:val="21"/>
                <w:szCs w:val="21"/>
                <w:lang w:val="en-US" w:eastAsia="zh-CN" w:bidi="ar"/>
              </w:rPr>
            </w:pPr>
            <w:r>
              <w:rPr>
                <w:rFonts w:hint="eastAsia" w:ascii="Times New Roman" w:hAnsi="Times New Roman" w:eastAsia="仿宋_GB2312" w:cs="Times New Roman"/>
                <w:color w:val="auto"/>
                <w:kern w:val="0"/>
                <w:szCs w:val="21"/>
                <w:lang w:val="en-US" w:eastAsia="zh-CN" w:bidi="ar"/>
              </w:rPr>
              <w:t>3.642</w:t>
            </w:r>
          </w:p>
        </w:tc>
        <w:tc>
          <w:tcPr>
            <w:tcW w:w="630" w:type="pct"/>
            <w:vMerge w:val="restart"/>
            <w:shd w:val="clear" w:color="auto" w:fill="auto"/>
            <w:vAlign w:val="center"/>
          </w:tcPr>
          <w:p w14:paraId="5C93BC81">
            <w:pPr>
              <w:jc w:val="center"/>
              <w:rPr>
                <w:rFonts w:ascii="Times New Roman" w:hAnsi="Times New Roman" w:eastAsia="仿宋_GB2312" w:cs="Times New Roman"/>
                <w:color w:val="auto"/>
                <w:kern w:val="2"/>
                <w:sz w:val="21"/>
                <w:szCs w:val="24"/>
                <w:lang w:val="en-US" w:eastAsia="zh-CN" w:bidi="ar-SA"/>
              </w:rPr>
            </w:pPr>
            <w:r>
              <w:rPr>
                <w:rFonts w:hint="eastAsia" w:eastAsia="仿宋_GB2312"/>
                <w:color w:val="auto"/>
                <w:szCs w:val="21"/>
              </w:rPr>
              <w:t>冷凝+酸吸收+碱吸收+水洗+活性炭吸附/脱附</w:t>
            </w:r>
          </w:p>
        </w:tc>
        <w:tc>
          <w:tcPr>
            <w:tcW w:w="292" w:type="pct"/>
            <w:vMerge w:val="restart"/>
            <w:shd w:val="clear" w:color="auto" w:fill="auto"/>
            <w:vAlign w:val="center"/>
          </w:tcPr>
          <w:p w14:paraId="0B86D86C">
            <w:pPr>
              <w:jc w:val="center"/>
              <w:rPr>
                <w:rFonts w:ascii="Times New Roman" w:hAnsi="Times New Roman" w:eastAsia="仿宋_GB2312" w:cs="Times New Roman"/>
                <w:color w:val="auto"/>
                <w:kern w:val="2"/>
                <w:sz w:val="21"/>
                <w:szCs w:val="24"/>
                <w:lang w:val="en-US" w:eastAsia="zh-CN" w:bidi="ar-SA"/>
              </w:rPr>
            </w:pPr>
            <w:r>
              <w:rPr>
                <w:rFonts w:hint="eastAsia" w:eastAsia="仿宋_GB2312"/>
                <w:color w:val="auto"/>
              </w:rPr>
              <w:t>DA005</w:t>
            </w:r>
          </w:p>
        </w:tc>
      </w:tr>
      <w:tr w14:paraId="39708F5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34AB044D">
            <w:pPr>
              <w:jc w:val="center"/>
              <w:rPr>
                <w:rFonts w:eastAsia="仿宋_GB2312"/>
                <w:color w:val="auto"/>
                <w:szCs w:val="21"/>
              </w:rPr>
            </w:pPr>
          </w:p>
        </w:tc>
        <w:tc>
          <w:tcPr>
            <w:tcW w:w="358" w:type="pct"/>
            <w:vMerge w:val="continue"/>
            <w:vAlign w:val="center"/>
          </w:tcPr>
          <w:p w14:paraId="7B4A7B92">
            <w:pPr>
              <w:jc w:val="center"/>
              <w:rPr>
                <w:rFonts w:eastAsia="仿宋_GB2312"/>
                <w:color w:val="auto"/>
                <w:szCs w:val="21"/>
              </w:rPr>
            </w:pPr>
          </w:p>
        </w:tc>
        <w:tc>
          <w:tcPr>
            <w:tcW w:w="418" w:type="pct"/>
            <w:vMerge w:val="continue"/>
            <w:vAlign w:val="center"/>
          </w:tcPr>
          <w:p w14:paraId="1414DD39">
            <w:pPr>
              <w:jc w:val="center"/>
              <w:rPr>
                <w:rFonts w:eastAsia="仿宋_GB2312"/>
                <w:color w:val="auto"/>
                <w:szCs w:val="21"/>
              </w:rPr>
            </w:pPr>
          </w:p>
        </w:tc>
        <w:tc>
          <w:tcPr>
            <w:tcW w:w="446" w:type="pct"/>
            <w:vMerge w:val="continue"/>
            <w:vAlign w:val="center"/>
          </w:tcPr>
          <w:p w14:paraId="59493AAF">
            <w:pPr>
              <w:jc w:val="center"/>
              <w:rPr>
                <w:rFonts w:eastAsia="仿宋_GB2312"/>
                <w:color w:val="auto"/>
                <w:szCs w:val="21"/>
              </w:rPr>
            </w:pPr>
          </w:p>
        </w:tc>
        <w:tc>
          <w:tcPr>
            <w:tcW w:w="361" w:type="pct"/>
            <w:vMerge w:val="continue"/>
            <w:vAlign w:val="center"/>
          </w:tcPr>
          <w:p w14:paraId="3DA667FC">
            <w:pPr>
              <w:jc w:val="center"/>
              <w:rPr>
                <w:rFonts w:eastAsia="仿宋_GB2312"/>
                <w:color w:val="auto"/>
                <w:szCs w:val="21"/>
              </w:rPr>
            </w:pPr>
          </w:p>
        </w:tc>
        <w:tc>
          <w:tcPr>
            <w:tcW w:w="498" w:type="pct"/>
            <w:vMerge w:val="continue"/>
            <w:shd w:val="clear" w:color="auto" w:fill="auto"/>
            <w:vAlign w:val="center"/>
          </w:tcPr>
          <w:p w14:paraId="000EA674">
            <w:pPr>
              <w:keepNext w:val="0"/>
              <w:keepLines w:val="0"/>
              <w:widowControl/>
              <w:suppressLineNumbers w:val="0"/>
              <w:jc w:val="center"/>
              <w:textAlignment w:val="bottom"/>
              <w:rPr>
                <w:rFonts w:eastAsia="仿宋_GB2312"/>
                <w:color w:val="auto"/>
                <w:kern w:val="0"/>
                <w:szCs w:val="21"/>
                <w:lang w:bidi="ar"/>
              </w:rPr>
            </w:pPr>
          </w:p>
        </w:tc>
        <w:tc>
          <w:tcPr>
            <w:tcW w:w="820" w:type="pct"/>
            <w:shd w:val="clear" w:color="auto" w:fill="auto"/>
            <w:vAlign w:val="center"/>
          </w:tcPr>
          <w:p w14:paraId="503ECA65">
            <w:pPr>
              <w:widowControl/>
              <w:jc w:val="center"/>
              <w:textAlignment w:val="center"/>
              <w:rPr>
                <w:rFonts w:ascii="Times New Roman" w:hAnsi="Times New Roman" w:eastAsia="仿宋_GB2312" w:cs="Times New Roman"/>
                <w:color w:val="auto"/>
                <w:kern w:val="0"/>
                <w:sz w:val="21"/>
                <w:szCs w:val="21"/>
                <w:lang w:val="en-US" w:eastAsia="zh-CN" w:bidi="ar"/>
              </w:rPr>
            </w:pPr>
            <w:r>
              <w:rPr>
                <w:rFonts w:eastAsia="仿宋_GB2312"/>
                <w:color w:val="auto"/>
                <w:kern w:val="0"/>
                <w:szCs w:val="21"/>
                <w:lang w:bidi="ar"/>
              </w:rPr>
              <w:t>乙酸乙酯</w:t>
            </w:r>
          </w:p>
        </w:tc>
        <w:tc>
          <w:tcPr>
            <w:tcW w:w="380" w:type="pct"/>
            <w:shd w:val="clear" w:color="auto" w:fill="auto"/>
            <w:vAlign w:val="center"/>
          </w:tcPr>
          <w:p w14:paraId="13FBF0F7">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0.003</w:t>
            </w:r>
          </w:p>
        </w:tc>
        <w:tc>
          <w:tcPr>
            <w:tcW w:w="445" w:type="pct"/>
            <w:shd w:val="clear" w:color="auto" w:fill="auto"/>
            <w:vAlign w:val="center"/>
          </w:tcPr>
          <w:p w14:paraId="730228BD">
            <w:pPr>
              <w:widowControl/>
              <w:jc w:val="center"/>
              <w:textAlignment w:val="center"/>
              <w:rPr>
                <w:rFonts w:hint="eastAsia" w:ascii="Times New Roman" w:hAnsi="Times New Roman" w:eastAsia="仿宋_GB2312" w:cs="Times New Roman"/>
                <w:color w:val="auto"/>
                <w:kern w:val="0"/>
                <w:sz w:val="21"/>
                <w:szCs w:val="21"/>
                <w:lang w:val="en-US" w:eastAsia="zh-CN" w:bidi="ar"/>
              </w:rPr>
            </w:pPr>
            <w:r>
              <w:rPr>
                <w:rFonts w:hint="eastAsia" w:ascii="Times New Roman" w:hAnsi="Times New Roman" w:eastAsia="仿宋_GB2312" w:cs="Times New Roman"/>
                <w:color w:val="auto"/>
                <w:kern w:val="0"/>
                <w:szCs w:val="21"/>
                <w:lang w:val="en-US" w:eastAsia="zh-CN" w:bidi="ar"/>
              </w:rPr>
              <w:t>0.00198</w:t>
            </w:r>
          </w:p>
        </w:tc>
        <w:tc>
          <w:tcPr>
            <w:tcW w:w="630" w:type="pct"/>
            <w:vMerge w:val="continue"/>
            <w:vAlign w:val="center"/>
          </w:tcPr>
          <w:p w14:paraId="460C7E96">
            <w:pPr>
              <w:jc w:val="center"/>
              <w:rPr>
                <w:rFonts w:eastAsia="仿宋_GB2312"/>
                <w:color w:val="auto"/>
                <w:szCs w:val="21"/>
              </w:rPr>
            </w:pPr>
          </w:p>
        </w:tc>
        <w:tc>
          <w:tcPr>
            <w:tcW w:w="292" w:type="pct"/>
            <w:vMerge w:val="continue"/>
            <w:vAlign w:val="center"/>
          </w:tcPr>
          <w:p w14:paraId="1A2B9B78">
            <w:pPr>
              <w:jc w:val="center"/>
              <w:rPr>
                <w:rFonts w:eastAsia="仿宋_GB2312"/>
                <w:color w:val="auto"/>
                <w:szCs w:val="21"/>
              </w:rPr>
            </w:pPr>
          </w:p>
        </w:tc>
      </w:tr>
      <w:tr w14:paraId="368506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6B079A10">
            <w:pPr>
              <w:jc w:val="center"/>
              <w:rPr>
                <w:rFonts w:eastAsia="仿宋_GB2312"/>
                <w:color w:val="auto"/>
                <w:szCs w:val="21"/>
              </w:rPr>
            </w:pPr>
          </w:p>
        </w:tc>
        <w:tc>
          <w:tcPr>
            <w:tcW w:w="358" w:type="pct"/>
            <w:vMerge w:val="continue"/>
            <w:vAlign w:val="center"/>
          </w:tcPr>
          <w:p w14:paraId="1C2023D4">
            <w:pPr>
              <w:jc w:val="center"/>
              <w:rPr>
                <w:rFonts w:eastAsia="仿宋_GB2312"/>
                <w:color w:val="auto"/>
                <w:szCs w:val="21"/>
              </w:rPr>
            </w:pPr>
          </w:p>
        </w:tc>
        <w:tc>
          <w:tcPr>
            <w:tcW w:w="418" w:type="pct"/>
            <w:vMerge w:val="continue"/>
            <w:vAlign w:val="center"/>
          </w:tcPr>
          <w:p w14:paraId="63D0608C">
            <w:pPr>
              <w:jc w:val="center"/>
              <w:rPr>
                <w:rFonts w:eastAsia="仿宋_GB2312"/>
                <w:color w:val="auto"/>
                <w:szCs w:val="21"/>
              </w:rPr>
            </w:pPr>
          </w:p>
        </w:tc>
        <w:tc>
          <w:tcPr>
            <w:tcW w:w="446" w:type="pct"/>
            <w:vMerge w:val="continue"/>
            <w:vAlign w:val="center"/>
          </w:tcPr>
          <w:p w14:paraId="197DC266">
            <w:pPr>
              <w:jc w:val="center"/>
              <w:rPr>
                <w:rFonts w:eastAsia="仿宋_GB2312"/>
                <w:color w:val="auto"/>
                <w:szCs w:val="21"/>
              </w:rPr>
            </w:pPr>
          </w:p>
        </w:tc>
        <w:tc>
          <w:tcPr>
            <w:tcW w:w="361" w:type="pct"/>
            <w:vMerge w:val="continue"/>
            <w:vAlign w:val="center"/>
          </w:tcPr>
          <w:p w14:paraId="483193B2">
            <w:pPr>
              <w:jc w:val="center"/>
              <w:rPr>
                <w:rFonts w:eastAsia="仿宋_GB2312"/>
                <w:color w:val="auto"/>
                <w:szCs w:val="21"/>
              </w:rPr>
            </w:pPr>
          </w:p>
        </w:tc>
        <w:tc>
          <w:tcPr>
            <w:tcW w:w="498" w:type="pct"/>
            <w:vMerge w:val="continue"/>
            <w:shd w:val="clear" w:color="auto" w:fill="auto"/>
            <w:vAlign w:val="center"/>
          </w:tcPr>
          <w:p w14:paraId="21065F10">
            <w:pPr>
              <w:keepNext w:val="0"/>
              <w:keepLines w:val="0"/>
              <w:widowControl/>
              <w:suppressLineNumbers w:val="0"/>
              <w:jc w:val="center"/>
              <w:textAlignment w:val="bottom"/>
              <w:rPr>
                <w:rFonts w:eastAsia="仿宋_GB2312"/>
                <w:color w:val="auto"/>
                <w:kern w:val="0"/>
                <w:szCs w:val="21"/>
                <w:lang w:bidi="ar"/>
              </w:rPr>
            </w:pPr>
          </w:p>
        </w:tc>
        <w:tc>
          <w:tcPr>
            <w:tcW w:w="820" w:type="pct"/>
            <w:shd w:val="clear" w:color="auto" w:fill="auto"/>
            <w:vAlign w:val="center"/>
          </w:tcPr>
          <w:p w14:paraId="125695D4">
            <w:pPr>
              <w:widowControl/>
              <w:jc w:val="center"/>
              <w:textAlignment w:val="center"/>
              <w:rPr>
                <w:rFonts w:ascii="Times New Roman" w:hAnsi="Times New Roman" w:eastAsia="仿宋_GB2312" w:cs="Times New Roman"/>
                <w:color w:val="auto"/>
                <w:kern w:val="0"/>
                <w:sz w:val="21"/>
                <w:szCs w:val="21"/>
                <w:lang w:val="en-US" w:eastAsia="zh-CN" w:bidi="ar"/>
              </w:rPr>
            </w:pPr>
            <w:r>
              <w:rPr>
                <w:rFonts w:eastAsia="仿宋_GB2312"/>
                <w:color w:val="auto"/>
                <w:kern w:val="0"/>
                <w:szCs w:val="21"/>
                <w:lang w:bidi="ar"/>
              </w:rPr>
              <w:t>甲苯</w:t>
            </w:r>
          </w:p>
        </w:tc>
        <w:tc>
          <w:tcPr>
            <w:tcW w:w="380" w:type="pct"/>
            <w:shd w:val="clear" w:color="auto" w:fill="auto"/>
            <w:vAlign w:val="center"/>
          </w:tcPr>
          <w:p w14:paraId="190C9321">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0.003</w:t>
            </w:r>
          </w:p>
        </w:tc>
        <w:tc>
          <w:tcPr>
            <w:tcW w:w="445" w:type="pct"/>
            <w:shd w:val="clear" w:color="auto" w:fill="auto"/>
            <w:vAlign w:val="center"/>
          </w:tcPr>
          <w:p w14:paraId="7A43A3BC">
            <w:pPr>
              <w:widowControl/>
              <w:jc w:val="center"/>
              <w:textAlignment w:val="center"/>
              <w:rPr>
                <w:rFonts w:hint="eastAsia" w:ascii="Times New Roman" w:hAnsi="Times New Roman" w:eastAsia="仿宋_GB2312" w:cs="Times New Roman"/>
                <w:color w:val="auto"/>
                <w:kern w:val="0"/>
                <w:sz w:val="21"/>
                <w:szCs w:val="21"/>
                <w:lang w:val="en-US" w:eastAsia="zh-CN" w:bidi="ar"/>
              </w:rPr>
            </w:pPr>
            <w:r>
              <w:rPr>
                <w:rFonts w:hint="eastAsia" w:ascii="Times New Roman" w:hAnsi="Times New Roman" w:eastAsia="仿宋_GB2312" w:cs="Times New Roman"/>
                <w:color w:val="auto"/>
                <w:kern w:val="0"/>
                <w:szCs w:val="21"/>
                <w:lang w:val="en-US" w:eastAsia="zh-CN" w:bidi="ar"/>
              </w:rPr>
              <w:t>0.00198</w:t>
            </w:r>
          </w:p>
        </w:tc>
        <w:tc>
          <w:tcPr>
            <w:tcW w:w="630" w:type="pct"/>
            <w:vMerge w:val="continue"/>
            <w:vAlign w:val="center"/>
          </w:tcPr>
          <w:p w14:paraId="13E98A14">
            <w:pPr>
              <w:jc w:val="center"/>
              <w:rPr>
                <w:rFonts w:eastAsia="仿宋_GB2312"/>
                <w:color w:val="auto"/>
                <w:szCs w:val="21"/>
              </w:rPr>
            </w:pPr>
          </w:p>
        </w:tc>
        <w:tc>
          <w:tcPr>
            <w:tcW w:w="292" w:type="pct"/>
            <w:vMerge w:val="continue"/>
            <w:vAlign w:val="center"/>
          </w:tcPr>
          <w:p w14:paraId="33E2951C">
            <w:pPr>
              <w:jc w:val="center"/>
              <w:rPr>
                <w:rFonts w:eastAsia="仿宋_GB2312"/>
                <w:color w:val="auto"/>
                <w:szCs w:val="21"/>
              </w:rPr>
            </w:pPr>
          </w:p>
        </w:tc>
      </w:tr>
      <w:tr w14:paraId="680ACE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restart"/>
            <w:vAlign w:val="center"/>
          </w:tcPr>
          <w:p w14:paraId="35C51D44">
            <w:pPr>
              <w:jc w:val="center"/>
              <w:rPr>
                <w:rFonts w:eastAsia="仿宋_GB2312"/>
                <w:color w:val="auto"/>
                <w:szCs w:val="21"/>
              </w:rPr>
            </w:pPr>
            <w:r>
              <w:rPr>
                <w:rFonts w:eastAsia="仿宋_GB2312"/>
                <w:color w:val="auto"/>
                <w:szCs w:val="21"/>
              </w:rPr>
              <w:t>B-7车间</w:t>
            </w:r>
          </w:p>
        </w:tc>
        <w:tc>
          <w:tcPr>
            <w:tcW w:w="358" w:type="pct"/>
            <w:vMerge w:val="restart"/>
            <w:vAlign w:val="center"/>
          </w:tcPr>
          <w:p w14:paraId="11E916EE">
            <w:pPr>
              <w:jc w:val="center"/>
              <w:rPr>
                <w:rFonts w:eastAsia="仿宋_GB2312"/>
                <w:color w:val="auto"/>
                <w:szCs w:val="21"/>
              </w:rPr>
            </w:pPr>
            <w:r>
              <w:rPr>
                <w:rFonts w:eastAsia="仿宋_GB2312"/>
                <w:color w:val="auto"/>
                <w:kern w:val="0"/>
                <w:szCs w:val="21"/>
                <w:lang w:bidi="ar"/>
              </w:rPr>
              <w:t>甲苯</w:t>
            </w:r>
          </w:p>
        </w:tc>
        <w:tc>
          <w:tcPr>
            <w:tcW w:w="418" w:type="pct"/>
            <w:vMerge w:val="restart"/>
            <w:vAlign w:val="center"/>
          </w:tcPr>
          <w:p w14:paraId="58E14FF0">
            <w:pPr>
              <w:jc w:val="center"/>
              <w:rPr>
                <w:rFonts w:eastAsia="仿宋_GB2312"/>
                <w:color w:val="auto"/>
                <w:szCs w:val="21"/>
              </w:rPr>
            </w:pPr>
            <w:r>
              <w:rPr>
                <w:rFonts w:eastAsia="仿宋_GB2312"/>
                <w:color w:val="auto"/>
                <w:kern w:val="0"/>
                <w:szCs w:val="21"/>
                <w:lang w:bidi="ar"/>
              </w:rPr>
              <w:t>G</w:t>
            </w:r>
            <w:r>
              <w:rPr>
                <w:rFonts w:hint="eastAsia" w:eastAsia="仿宋_GB2312"/>
                <w:color w:val="auto"/>
                <w:kern w:val="0"/>
                <w:szCs w:val="21"/>
                <w:lang w:val="en-US" w:eastAsia="zh-CN" w:bidi="ar"/>
              </w:rPr>
              <w:t>2</w:t>
            </w:r>
            <w:r>
              <w:rPr>
                <w:rFonts w:eastAsia="仿宋_GB2312"/>
                <w:color w:val="auto"/>
                <w:kern w:val="0"/>
                <w:szCs w:val="21"/>
                <w:lang w:bidi="ar"/>
              </w:rPr>
              <w:t>-</w:t>
            </w:r>
            <w:r>
              <w:rPr>
                <w:rFonts w:hint="eastAsia" w:eastAsia="仿宋_GB2312"/>
                <w:color w:val="auto"/>
                <w:kern w:val="0"/>
                <w:szCs w:val="21"/>
                <w:lang w:val="en-US" w:eastAsia="zh-CN" w:bidi="ar"/>
              </w:rPr>
              <w:t>2</w:t>
            </w:r>
            <w:r>
              <w:rPr>
                <w:rFonts w:eastAsia="仿宋_GB2312"/>
                <w:color w:val="auto"/>
                <w:kern w:val="0"/>
                <w:szCs w:val="21"/>
                <w:lang w:bidi="ar"/>
              </w:rPr>
              <w:t>-1</w:t>
            </w:r>
          </w:p>
        </w:tc>
        <w:tc>
          <w:tcPr>
            <w:tcW w:w="446" w:type="pct"/>
            <w:vMerge w:val="restart"/>
            <w:vAlign w:val="center"/>
          </w:tcPr>
          <w:p w14:paraId="55008DA4">
            <w:pPr>
              <w:jc w:val="center"/>
              <w:rPr>
                <w:rFonts w:eastAsia="仿宋_GB2312"/>
                <w:color w:val="auto"/>
                <w:szCs w:val="21"/>
              </w:rPr>
            </w:pPr>
            <w:r>
              <w:rPr>
                <w:rFonts w:eastAsia="仿宋_GB2312"/>
                <w:color w:val="auto"/>
                <w:kern w:val="0"/>
                <w:szCs w:val="21"/>
                <w:lang w:bidi="ar"/>
              </w:rPr>
              <w:t>投料废气</w:t>
            </w:r>
          </w:p>
        </w:tc>
        <w:tc>
          <w:tcPr>
            <w:tcW w:w="361" w:type="pct"/>
            <w:vMerge w:val="restart"/>
            <w:shd w:val="clear" w:color="auto" w:fill="auto"/>
            <w:vAlign w:val="center"/>
          </w:tcPr>
          <w:p w14:paraId="597CF804">
            <w:pPr>
              <w:jc w:val="center"/>
              <w:rPr>
                <w:rFonts w:eastAsia="仿宋_GB2312"/>
                <w:color w:val="auto"/>
                <w:szCs w:val="21"/>
              </w:rPr>
            </w:pPr>
            <w:r>
              <w:rPr>
                <w:rFonts w:hint="eastAsia" w:eastAsia="仿宋_GB2312"/>
                <w:color w:val="auto"/>
                <w:szCs w:val="21"/>
                <w:lang w:val="en-US" w:eastAsia="zh-CN"/>
              </w:rPr>
              <w:t>2000</w:t>
            </w:r>
          </w:p>
        </w:tc>
        <w:tc>
          <w:tcPr>
            <w:tcW w:w="498" w:type="pct"/>
            <w:vMerge w:val="restart"/>
            <w:shd w:val="clear" w:color="auto" w:fill="auto"/>
            <w:vAlign w:val="center"/>
          </w:tcPr>
          <w:p w14:paraId="57ACFD48">
            <w:pPr>
              <w:keepNext w:val="0"/>
              <w:keepLines w:val="0"/>
              <w:widowControl/>
              <w:suppressLineNumbers w:val="0"/>
              <w:jc w:val="center"/>
              <w:textAlignment w:val="bottom"/>
              <w:rPr>
                <w:rFonts w:eastAsia="仿宋_GB2312"/>
                <w:color w:val="auto"/>
                <w:kern w:val="0"/>
                <w:szCs w:val="21"/>
                <w:lang w:bidi="ar"/>
              </w:rPr>
            </w:pPr>
            <w:r>
              <w:rPr>
                <w:rFonts w:hint="default" w:ascii="Times New Roman" w:hAnsi="Times New Roman" w:eastAsia="宋体" w:cs="Times New Roman"/>
                <w:i w:val="0"/>
                <w:iCs w:val="0"/>
                <w:color w:val="auto"/>
                <w:kern w:val="0"/>
                <w:sz w:val="21"/>
                <w:szCs w:val="21"/>
                <w:u w:val="none"/>
                <w:lang w:val="en-US" w:eastAsia="zh-CN" w:bidi="ar"/>
              </w:rPr>
              <w:t>1564</w:t>
            </w:r>
          </w:p>
        </w:tc>
        <w:tc>
          <w:tcPr>
            <w:tcW w:w="820" w:type="pct"/>
            <w:shd w:val="clear" w:color="auto" w:fill="auto"/>
            <w:vAlign w:val="center"/>
          </w:tcPr>
          <w:p w14:paraId="423F46BA">
            <w:pPr>
              <w:widowControl/>
              <w:jc w:val="center"/>
              <w:textAlignment w:val="center"/>
              <w:rPr>
                <w:rFonts w:ascii="Times New Roman" w:hAnsi="Times New Roman" w:eastAsia="仿宋_GB2312" w:cs="Times New Roman"/>
                <w:b/>
                <w:bCs/>
                <w:color w:val="auto"/>
                <w:kern w:val="0"/>
                <w:sz w:val="21"/>
                <w:szCs w:val="21"/>
                <w:lang w:val="en-US" w:eastAsia="zh-CN" w:bidi="ar"/>
              </w:rPr>
            </w:pPr>
            <w:r>
              <w:rPr>
                <w:rFonts w:eastAsia="仿宋_GB2312"/>
                <w:color w:val="auto"/>
                <w:kern w:val="0"/>
                <w:szCs w:val="21"/>
                <w:lang w:bidi="ar"/>
              </w:rPr>
              <w:t>甲苯</w:t>
            </w:r>
          </w:p>
        </w:tc>
        <w:tc>
          <w:tcPr>
            <w:tcW w:w="380" w:type="pct"/>
            <w:shd w:val="clear" w:color="auto" w:fill="auto"/>
            <w:vAlign w:val="center"/>
          </w:tcPr>
          <w:p w14:paraId="50FC052F">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1.762</w:t>
            </w:r>
          </w:p>
        </w:tc>
        <w:tc>
          <w:tcPr>
            <w:tcW w:w="445" w:type="pct"/>
            <w:shd w:val="clear" w:color="auto" w:fill="auto"/>
            <w:vAlign w:val="center"/>
          </w:tcPr>
          <w:p w14:paraId="555729AF">
            <w:pPr>
              <w:widowControl/>
              <w:jc w:val="center"/>
              <w:textAlignment w:val="center"/>
              <w:rPr>
                <w:rFonts w:ascii="Times New Roman" w:hAnsi="Times New Roman" w:eastAsia="仿宋_GB2312" w:cs="Times New Roman"/>
                <w:color w:val="auto"/>
                <w:kern w:val="0"/>
                <w:sz w:val="21"/>
                <w:szCs w:val="21"/>
                <w:lang w:val="en-US" w:eastAsia="zh-CN" w:bidi="ar"/>
              </w:rPr>
            </w:pPr>
            <w:r>
              <w:rPr>
                <w:rFonts w:hint="eastAsia" w:ascii="Times New Roman" w:hAnsi="Times New Roman" w:eastAsia="仿宋_GB2312" w:cs="Times New Roman"/>
                <w:color w:val="auto"/>
                <w:kern w:val="0"/>
                <w:szCs w:val="21"/>
                <w:lang w:val="en-US" w:eastAsia="zh-CN" w:bidi="ar"/>
              </w:rPr>
              <w:t>2.7566</w:t>
            </w:r>
          </w:p>
        </w:tc>
        <w:tc>
          <w:tcPr>
            <w:tcW w:w="630" w:type="pct"/>
            <w:vMerge w:val="restart"/>
            <w:shd w:val="clear" w:color="auto" w:fill="auto"/>
            <w:vAlign w:val="center"/>
          </w:tcPr>
          <w:p w14:paraId="549FD800">
            <w:pPr>
              <w:jc w:val="center"/>
              <w:rPr>
                <w:color w:val="auto"/>
                <w:lang w:val="en-US" w:eastAsia="zh-CN"/>
              </w:rPr>
            </w:pPr>
            <w:r>
              <w:rPr>
                <w:rFonts w:hint="eastAsia" w:eastAsia="仿宋_GB2312"/>
                <w:color w:val="auto"/>
                <w:szCs w:val="21"/>
              </w:rPr>
              <w:t>冷凝+酸吸收+碱吸收+水洗+活性炭吸附/脱附</w:t>
            </w:r>
          </w:p>
        </w:tc>
        <w:tc>
          <w:tcPr>
            <w:tcW w:w="292" w:type="pct"/>
            <w:vMerge w:val="restart"/>
            <w:shd w:val="clear" w:color="auto" w:fill="auto"/>
            <w:vAlign w:val="center"/>
          </w:tcPr>
          <w:p w14:paraId="3B28AA77">
            <w:pPr>
              <w:jc w:val="center"/>
              <w:rPr>
                <w:rFonts w:ascii="Times New Roman" w:hAnsi="Times New Roman" w:eastAsia="仿宋_GB2312" w:cs="Times New Roman"/>
                <w:color w:val="auto"/>
                <w:kern w:val="2"/>
                <w:sz w:val="21"/>
                <w:szCs w:val="24"/>
                <w:lang w:val="en-US" w:eastAsia="zh-CN" w:bidi="ar-SA"/>
              </w:rPr>
            </w:pPr>
            <w:r>
              <w:rPr>
                <w:rFonts w:hint="eastAsia" w:eastAsia="仿宋_GB2312"/>
                <w:color w:val="auto"/>
              </w:rPr>
              <w:t>DA005</w:t>
            </w:r>
          </w:p>
        </w:tc>
      </w:tr>
      <w:tr w14:paraId="2CD0D2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7E1FBE95">
            <w:pPr>
              <w:jc w:val="center"/>
              <w:rPr>
                <w:rFonts w:eastAsia="仿宋_GB2312"/>
                <w:color w:val="auto"/>
                <w:szCs w:val="21"/>
              </w:rPr>
            </w:pPr>
          </w:p>
        </w:tc>
        <w:tc>
          <w:tcPr>
            <w:tcW w:w="358" w:type="pct"/>
            <w:vMerge w:val="continue"/>
            <w:vAlign w:val="center"/>
          </w:tcPr>
          <w:p w14:paraId="0AEDE106">
            <w:pPr>
              <w:jc w:val="center"/>
              <w:rPr>
                <w:rFonts w:eastAsia="仿宋_GB2312"/>
                <w:color w:val="auto"/>
                <w:szCs w:val="21"/>
              </w:rPr>
            </w:pPr>
          </w:p>
        </w:tc>
        <w:tc>
          <w:tcPr>
            <w:tcW w:w="418" w:type="pct"/>
            <w:vMerge w:val="continue"/>
            <w:vAlign w:val="center"/>
          </w:tcPr>
          <w:p w14:paraId="51E6069B">
            <w:pPr>
              <w:jc w:val="center"/>
              <w:rPr>
                <w:rFonts w:eastAsia="仿宋_GB2312"/>
                <w:color w:val="auto"/>
                <w:szCs w:val="21"/>
              </w:rPr>
            </w:pPr>
          </w:p>
        </w:tc>
        <w:tc>
          <w:tcPr>
            <w:tcW w:w="446" w:type="pct"/>
            <w:vMerge w:val="continue"/>
            <w:vAlign w:val="center"/>
          </w:tcPr>
          <w:p w14:paraId="387A56F8">
            <w:pPr>
              <w:jc w:val="center"/>
              <w:rPr>
                <w:rFonts w:eastAsia="仿宋_GB2312"/>
                <w:color w:val="auto"/>
                <w:szCs w:val="21"/>
              </w:rPr>
            </w:pPr>
          </w:p>
        </w:tc>
        <w:tc>
          <w:tcPr>
            <w:tcW w:w="361" w:type="pct"/>
            <w:vMerge w:val="continue"/>
            <w:vAlign w:val="center"/>
          </w:tcPr>
          <w:p w14:paraId="1B2E5F2B">
            <w:pPr>
              <w:jc w:val="center"/>
              <w:rPr>
                <w:rFonts w:eastAsia="仿宋_GB2312"/>
                <w:color w:val="auto"/>
                <w:szCs w:val="21"/>
              </w:rPr>
            </w:pPr>
          </w:p>
        </w:tc>
        <w:tc>
          <w:tcPr>
            <w:tcW w:w="498" w:type="pct"/>
            <w:vMerge w:val="continue"/>
            <w:shd w:val="clear" w:color="auto" w:fill="auto"/>
            <w:vAlign w:val="center"/>
          </w:tcPr>
          <w:p w14:paraId="753DC460">
            <w:pPr>
              <w:keepNext w:val="0"/>
              <w:keepLines w:val="0"/>
              <w:widowControl/>
              <w:suppressLineNumbers w:val="0"/>
              <w:jc w:val="center"/>
              <w:textAlignment w:val="bottom"/>
              <w:rPr>
                <w:rFonts w:eastAsia="仿宋_GB2312"/>
                <w:color w:val="auto"/>
                <w:kern w:val="0"/>
                <w:szCs w:val="21"/>
                <w:lang w:bidi="ar"/>
              </w:rPr>
            </w:pPr>
          </w:p>
        </w:tc>
        <w:tc>
          <w:tcPr>
            <w:tcW w:w="820" w:type="pct"/>
            <w:shd w:val="clear" w:color="auto" w:fill="auto"/>
            <w:vAlign w:val="center"/>
          </w:tcPr>
          <w:p w14:paraId="5AE147E0">
            <w:pPr>
              <w:widowControl/>
              <w:jc w:val="center"/>
              <w:textAlignment w:val="center"/>
              <w:rPr>
                <w:rFonts w:ascii="Times New Roman" w:hAnsi="Times New Roman" w:eastAsia="仿宋_GB2312" w:cs="Times New Roman"/>
                <w:color w:val="auto"/>
                <w:kern w:val="0"/>
                <w:sz w:val="21"/>
                <w:szCs w:val="21"/>
                <w:lang w:val="en-US" w:eastAsia="zh-CN" w:bidi="ar"/>
              </w:rPr>
            </w:pPr>
            <w:r>
              <w:rPr>
                <w:rFonts w:eastAsia="仿宋_GB2312"/>
                <w:color w:val="auto"/>
                <w:kern w:val="0"/>
                <w:szCs w:val="21"/>
                <w:lang w:bidi="ar"/>
              </w:rPr>
              <w:t>二甲苯</w:t>
            </w:r>
          </w:p>
        </w:tc>
        <w:tc>
          <w:tcPr>
            <w:tcW w:w="380" w:type="pct"/>
            <w:shd w:val="clear" w:color="auto" w:fill="auto"/>
            <w:vAlign w:val="center"/>
          </w:tcPr>
          <w:p w14:paraId="04F64F05">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0.019</w:t>
            </w:r>
          </w:p>
        </w:tc>
        <w:tc>
          <w:tcPr>
            <w:tcW w:w="445" w:type="pct"/>
            <w:shd w:val="clear" w:color="auto" w:fill="auto"/>
            <w:vAlign w:val="center"/>
          </w:tcPr>
          <w:p w14:paraId="48317810">
            <w:pPr>
              <w:widowControl/>
              <w:jc w:val="center"/>
              <w:textAlignment w:val="center"/>
              <w:rPr>
                <w:rFonts w:ascii="Times New Roman" w:hAnsi="Times New Roman" w:eastAsia="仿宋_GB2312" w:cs="Times New Roman"/>
                <w:color w:val="auto"/>
                <w:kern w:val="0"/>
                <w:sz w:val="21"/>
                <w:szCs w:val="21"/>
                <w:lang w:val="en-US" w:eastAsia="zh-CN" w:bidi="ar"/>
              </w:rPr>
            </w:pPr>
            <w:r>
              <w:rPr>
                <w:rFonts w:hint="eastAsia" w:ascii="Times New Roman" w:hAnsi="Times New Roman" w:eastAsia="仿宋_GB2312" w:cs="Times New Roman"/>
                <w:color w:val="auto"/>
                <w:kern w:val="0"/>
                <w:szCs w:val="21"/>
                <w:lang w:val="en-US" w:eastAsia="zh-CN" w:bidi="ar"/>
              </w:rPr>
              <w:t>0.0308</w:t>
            </w:r>
          </w:p>
        </w:tc>
        <w:tc>
          <w:tcPr>
            <w:tcW w:w="630" w:type="pct"/>
            <w:vMerge w:val="continue"/>
            <w:vAlign w:val="center"/>
          </w:tcPr>
          <w:p w14:paraId="07FC0D0D">
            <w:pPr>
              <w:jc w:val="center"/>
              <w:rPr>
                <w:rFonts w:eastAsia="仿宋_GB2312"/>
                <w:color w:val="auto"/>
                <w:szCs w:val="21"/>
              </w:rPr>
            </w:pPr>
          </w:p>
        </w:tc>
        <w:tc>
          <w:tcPr>
            <w:tcW w:w="292" w:type="pct"/>
            <w:vMerge w:val="continue"/>
            <w:vAlign w:val="center"/>
          </w:tcPr>
          <w:p w14:paraId="2862754D">
            <w:pPr>
              <w:jc w:val="center"/>
              <w:rPr>
                <w:rFonts w:eastAsia="仿宋_GB2312"/>
                <w:color w:val="auto"/>
                <w:szCs w:val="21"/>
              </w:rPr>
            </w:pPr>
          </w:p>
        </w:tc>
      </w:tr>
      <w:tr w14:paraId="5060845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4E2C5E3E">
            <w:pPr>
              <w:jc w:val="center"/>
              <w:rPr>
                <w:rFonts w:eastAsia="仿宋_GB2312"/>
                <w:color w:val="auto"/>
                <w:szCs w:val="21"/>
              </w:rPr>
            </w:pPr>
          </w:p>
        </w:tc>
        <w:tc>
          <w:tcPr>
            <w:tcW w:w="358" w:type="pct"/>
            <w:vMerge w:val="continue"/>
            <w:vAlign w:val="center"/>
          </w:tcPr>
          <w:p w14:paraId="4BA13132">
            <w:pPr>
              <w:jc w:val="center"/>
              <w:rPr>
                <w:rFonts w:eastAsia="仿宋_GB2312"/>
                <w:color w:val="auto"/>
                <w:szCs w:val="21"/>
              </w:rPr>
            </w:pPr>
          </w:p>
        </w:tc>
        <w:tc>
          <w:tcPr>
            <w:tcW w:w="418" w:type="pct"/>
            <w:vMerge w:val="continue"/>
            <w:vAlign w:val="center"/>
          </w:tcPr>
          <w:p w14:paraId="18364548">
            <w:pPr>
              <w:jc w:val="center"/>
              <w:rPr>
                <w:rFonts w:eastAsia="仿宋_GB2312"/>
                <w:color w:val="auto"/>
                <w:szCs w:val="21"/>
              </w:rPr>
            </w:pPr>
          </w:p>
        </w:tc>
        <w:tc>
          <w:tcPr>
            <w:tcW w:w="446" w:type="pct"/>
            <w:vMerge w:val="continue"/>
            <w:vAlign w:val="center"/>
          </w:tcPr>
          <w:p w14:paraId="3986AD5A">
            <w:pPr>
              <w:jc w:val="center"/>
              <w:rPr>
                <w:rFonts w:eastAsia="仿宋_GB2312"/>
                <w:color w:val="auto"/>
                <w:szCs w:val="21"/>
              </w:rPr>
            </w:pPr>
          </w:p>
        </w:tc>
        <w:tc>
          <w:tcPr>
            <w:tcW w:w="361" w:type="pct"/>
            <w:vMerge w:val="continue"/>
            <w:vAlign w:val="center"/>
          </w:tcPr>
          <w:p w14:paraId="262697A1">
            <w:pPr>
              <w:jc w:val="center"/>
              <w:rPr>
                <w:rFonts w:eastAsia="仿宋_GB2312"/>
                <w:color w:val="auto"/>
                <w:szCs w:val="21"/>
              </w:rPr>
            </w:pPr>
          </w:p>
        </w:tc>
        <w:tc>
          <w:tcPr>
            <w:tcW w:w="498" w:type="pct"/>
            <w:vMerge w:val="continue"/>
            <w:shd w:val="clear" w:color="auto" w:fill="auto"/>
            <w:vAlign w:val="center"/>
          </w:tcPr>
          <w:p w14:paraId="5F8AF5B4">
            <w:pPr>
              <w:keepNext w:val="0"/>
              <w:keepLines w:val="0"/>
              <w:widowControl/>
              <w:suppressLineNumbers w:val="0"/>
              <w:jc w:val="center"/>
              <w:textAlignment w:val="bottom"/>
              <w:rPr>
                <w:rFonts w:eastAsia="仿宋_GB2312"/>
                <w:color w:val="auto"/>
                <w:kern w:val="0"/>
                <w:szCs w:val="21"/>
                <w:lang w:bidi="ar"/>
              </w:rPr>
            </w:pPr>
          </w:p>
        </w:tc>
        <w:tc>
          <w:tcPr>
            <w:tcW w:w="820" w:type="pct"/>
            <w:shd w:val="clear" w:color="auto" w:fill="auto"/>
            <w:vAlign w:val="center"/>
          </w:tcPr>
          <w:p w14:paraId="7B23DED4">
            <w:pPr>
              <w:widowControl/>
              <w:jc w:val="center"/>
              <w:textAlignment w:val="center"/>
              <w:rPr>
                <w:rFonts w:ascii="Times New Roman" w:hAnsi="Times New Roman" w:eastAsia="仿宋_GB2312" w:cs="Times New Roman"/>
                <w:color w:val="auto"/>
                <w:kern w:val="0"/>
                <w:sz w:val="21"/>
                <w:szCs w:val="21"/>
                <w:lang w:val="en-US" w:eastAsia="zh-CN" w:bidi="ar"/>
              </w:rPr>
            </w:pPr>
            <w:r>
              <w:rPr>
                <w:rFonts w:eastAsia="仿宋_GB2312"/>
                <w:color w:val="auto"/>
                <w:kern w:val="0"/>
                <w:szCs w:val="21"/>
                <w:lang w:bidi="ar"/>
              </w:rPr>
              <w:t>环己酮</w:t>
            </w:r>
          </w:p>
        </w:tc>
        <w:tc>
          <w:tcPr>
            <w:tcW w:w="380" w:type="pct"/>
            <w:shd w:val="clear" w:color="auto" w:fill="auto"/>
            <w:vAlign w:val="center"/>
          </w:tcPr>
          <w:p w14:paraId="17789750">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0.019</w:t>
            </w:r>
          </w:p>
        </w:tc>
        <w:tc>
          <w:tcPr>
            <w:tcW w:w="445" w:type="pct"/>
            <w:shd w:val="clear" w:color="auto" w:fill="auto"/>
            <w:vAlign w:val="center"/>
          </w:tcPr>
          <w:p w14:paraId="5F7D22B1">
            <w:pPr>
              <w:widowControl/>
              <w:jc w:val="center"/>
              <w:textAlignment w:val="center"/>
              <w:rPr>
                <w:rFonts w:ascii="Times New Roman" w:hAnsi="Times New Roman" w:eastAsia="仿宋_GB2312" w:cs="Times New Roman"/>
                <w:color w:val="auto"/>
                <w:kern w:val="0"/>
                <w:sz w:val="21"/>
                <w:szCs w:val="21"/>
                <w:lang w:val="en-US" w:eastAsia="zh-CN" w:bidi="ar"/>
              </w:rPr>
            </w:pPr>
            <w:r>
              <w:rPr>
                <w:rFonts w:hint="eastAsia" w:ascii="Times New Roman" w:hAnsi="Times New Roman" w:eastAsia="仿宋_GB2312" w:cs="Times New Roman"/>
                <w:color w:val="auto"/>
                <w:kern w:val="0"/>
                <w:szCs w:val="21"/>
                <w:lang w:val="en-US" w:eastAsia="zh-CN" w:bidi="ar"/>
              </w:rPr>
              <w:t>0.0308</w:t>
            </w:r>
          </w:p>
        </w:tc>
        <w:tc>
          <w:tcPr>
            <w:tcW w:w="630" w:type="pct"/>
            <w:vMerge w:val="continue"/>
            <w:vAlign w:val="center"/>
          </w:tcPr>
          <w:p w14:paraId="18CDDE38">
            <w:pPr>
              <w:jc w:val="center"/>
              <w:rPr>
                <w:rFonts w:eastAsia="仿宋_GB2312"/>
                <w:color w:val="auto"/>
                <w:szCs w:val="21"/>
              </w:rPr>
            </w:pPr>
          </w:p>
        </w:tc>
        <w:tc>
          <w:tcPr>
            <w:tcW w:w="292" w:type="pct"/>
            <w:vMerge w:val="continue"/>
            <w:vAlign w:val="center"/>
          </w:tcPr>
          <w:p w14:paraId="0CF2D685">
            <w:pPr>
              <w:jc w:val="center"/>
              <w:rPr>
                <w:rFonts w:eastAsia="仿宋_GB2312"/>
                <w:color w:val="auto"/>
                <w:szCs w:val="21"/>
              </w:rPr>
            </w:pPr>
          </w:p>
        </w:tc>
      </w:tr>
      <w:tr w14:paraId="13DE0D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175CB28C">
            <w:pPr>
              <w:jc w:val="center"/>
              <w:rPr>
                <w:rFonts w:eastAsia="仿宋_GB2312"/>
                <w:color w:val="auto"/>
                <w:szCs w:val="21"/>
              </w:rPr>
            </w:pPr>
          </w:p>
        </w:tc>
        <w:tc>
          <w:tcPr>
            <w:tcW w:w="358" w:type="pct"/>
            <w:vMerge w:val="continue"/>
            <w:vAlign w:val="center"/>
          </w:tcPr>
          <w:p w14:paraId="08F59DEF">
            <w:pPr>
              <w:jc w:val="center"/>
              <w:rPr>
                <w:rFonts w:eastAsia="仿宋_GB2312"/>
                <w:color w:val="auto"/>
                <w:szCs w:val="21"/>
              </w:rPr>
            </w:pPr>
          </w:p>
        </w:tc>
        <w:tc>
          <w:tcPr>
            <w:tcW w:w="418" w:type="pct"/>
            <w:vMerge w:val="continue"/>
            <w:vAlign w:val="center"/>
          </w:tcPr>
          <w:p w14:paraId="648CE699">
            <w:pPr>
              <w:jc w:val="center"/>
              <w:rPr>
                <w:rFonts w:eastAsia="仿宋_GB2312"/>
                <w:color w:val="auto"/>
                <w:szCs w:val="21"/>
              </w:rPr>
            </w:pPr>
          </w:p>
        </w:tc>
        <w:tc>
          <w:tcPr>
            <w:tcW w:w="446" w:type="pct"/>
            <w:vMerge w:val="continue"/>
            <w:vAlign w:val="center"/>
          </w:tcPr>
          <w:p w14:paraId="60CECAD7">
            <w:pPr>
              <w:jc w:val="center"/>
              <w:rPr>
                <w:rFonts w:eastAsia="仿宋_GB2312"/>
                <w:color w:val="auto"/>
                <w:szCs w:val="21"/>
              </w:rPr>
            </w:pPr>
          </w:p>
        </w:tc>
        <w:tc>
          <w:tcPr>
            <w:tcW w:w="361" w:type="pct"/>
            <w:vMerge w:val="continue"/>
            <w:vAlign w:val="center"/>
          </w:tcPr>
          <w:p w14:paraId="69478739">
            <w:pPr>
              <w:jc w:val="center"/>
              <w:rPr>
                <w:rFonts w:eastAsia="仿宋_GB2312"/>
                <w:color w:val="auto"/>
                <w:szCs w:val="21"/>
              </w:rPr>
            </w:pPr>
          </w:p>
        </w:tc>
        <w:tc>
          <w:tcPr>
            <w:tcW w:w="498" w:type="pct"/>
            <w:vMerge w:val="continue"/>
            <w:shd w:val="clear" w:color="auto" w:fill="auto"/>
            <w:vAlign w:val="center"/>
          </w:tcPr>
          <w:p w14:paraId="05C3B71D">
            <w:pPr>
              <w:keepNext w:val="0"/>
              <w:keepLines w:val="0"/>
              <w:widowControl/>
              <w:suppressLineNumbers w:val="0"/>
              <w:jc w:val="center"/>
              <w:textAlignment w:val="bottom"/>
              <w:rPr>
                <w:rFonts w:eastAsia="仿宋_GB2312"/>
                <w:color w:val="auto"/>
                <w:kern w:val="0"/>
                <w:szCs w:val="21"/>
                <w:lang w:bidi="ar"/>
              </w:rPr>
            </w:pPr>
          </w:p>
        </w:tc>
        <w:tc>
          <w:tcPr>
            <w:tcW w:w="820" w:type="pct"/>
            <w:shd w:val="clear" w:color="auto" w:fill="auto"/>
            <w:vAlign w:val="center"/>
          </w:tcPr>
          <w:p w14:paraId="27520E73">
            <w:pPr>
              <w:widowControl/>
              <w:jc w:val="center"/>
              <w:textAlignment w:val="center"/>
              <w:rPr>
                <w:rFonts w:ascii="Times New Roman" w:hAnsi="Times New Roman" w:eastAsia="仿宋_GB2312" w:cs="Times New Roman"/>
                <w:b/>
                <w:bCs/>
                <w:color w:val="auto"/>
                <w:kern w:val="0"/>
                <w:sz w:val="21"/>
                <w:szCs w:val="21"/>
                <w:lang w:val="en-US" w:eastAsia="zh-CN" w:bidi="ar"/>
              </w:rPr>
            </w:pPr>
            <w:r>
              <w:rPr>
                <w:rFonts w:eastAsia="仿宋_GB2312"/>
                <w:color w:val="auto"/>
                <w:kern w:val="0"/>
                <w:szCs w:val="21"/>
                <w:lang w:bidi="ar"/>
              </w:rPr>
              <w:t>其他有机物</w:t>
            </w:r>
          </w:p>
        </w:tc>
        <w:tc>
          <w:tcPr>
            <w:tcW w:w="380" w:type="pct"/>
            <w:shd w:val="clear" w:color="auto" w:fill="auto"/>
            <w:vAlign w:val="center"/>
          </w:tcPr>
          <w:p w14:paraId="20A1A82C">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0.019</w:t>
            </w:r>
          </w:p>
        </w:tc>
        <w:tc>
          <w:tcPr>
            <w:tcW w:w="445" w:type="pct"/>
            <w:shd w:val="clear" w:color="auto" w:fill="auto"/>
            <w:vAlign w:val="center"/>
          </w:tcPr>
          <w:p w14:paraId="5F7C01C7">
            <w:pPr>
              <w:widowControl/>
              <w:jc w:val="center"/>
              <w:textAlignment w:val="center"/>
              <w:rPr>
                <w:rFonts w:ascii="Times New Roman" w:hAnsi="Times New Roman" w:eastAsia="仿宋_GB2312" w:cs="Times New Roman"/>
                <w:color w:val="auto"/>
                <w:kern w:val="0"/>
                <w:sz w:val="21"/>
                <w:szCs w:val="21"/>
                <w:lang w:val="en-US" w:eastAsia="zh-CN" w:bidi="ar"/>
              </w:rPr>
            </w:pPr>
            <w:r>
              <w:rPr>
                <w:rFonts w:hint="eastAsia" w:ascii="Times New Roman" w:hAnsi="Times New Roman" w:eastAsia="仿宋_GB2312" w:cs="Times New Roman"/>
                <w:color w:val="auto"/>
                <w:kern w:val="0"/>
                <w:szCs w:val="21"/>
                <w:lang w:val="en-US" w:eastAsia="zh-CN" w:bidi="ar"/>
              </w:rPr>
              <w:t>0.0308</w:t>
            </w:r>
          </w:p>
        </w:tc>
        <w:tc>
          <w:tcPr>
            <w:tcW w:w="630" w:type="pct"/>
            <w:vMerge w:val="continue"/>
            <w:vAlign w:val="center"/>
          </w:tcPr>
          <w:p w14:paraId="5CEEE84E">
            <w:pPr>
              <w:jc w:val="center"/>
              <w:rPr>
                <w:rFonts w:eastAsia="仿宋_GB2312"/>
                <w:color w:val="auto"/>
                <w:szCs w:val="21"/>
              </w:rPr>
            </w:pPr>
          </w:p>
        </w:tc>
        <w:tc>
          <w:tcPr>
            <w:tcW w:w="292" w:type="pct"/>
            <w:vMerge w:val="continue"/>
            <w:vAlign w:val="center"/>
          </w:tcPr>
          <w:p w14:paraId="11BBD05A">
            <w:pPr>
              <w:jc w:val="center"/>
              <w:rPr>
                <w:rFonts w:eastAsia="仿宋_GB2312"/>
                <w:color w:val="auto"/>
                <w:szCs w:val="21"/>
              </w:rPr>
            </w:pPr>
          </w:p>
        </w:tc>
      </w:tr>
      <w:tr w14:paraId="2637AD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068F99FF">
            <w:pPr>
              <w:jc w:val="center"/>
              <w:rPr>
                <w:rFonts w:eastAsia="仿宋_GB2312"/>
                <w:color w:val="auto"/>
                <w:szCs w:val="21"/>
              </w:rPr>
            </w:pPr>
          </w:p>
        </w:tc>
        <w:tc>
          <w:tcPr>
            <w:tcW w:w="358" w:type="pct"/>
            <w:vMerge w:val="continue"/>
            <w:vAlign w:val="center"/>
          </w:tcPr>
          <w:p w14:paraId="16D3C8B6">
            <w:pPr>
              <w:jc w:val="center"/>
              <w:rPr>
                <w:rFonts w:eastAsia="仿宋_GB2312"/>
                <w:color w:val="auto"/>
                <w:szCs w:val="21"/>
              </w:rPr>
            </w:pPr>
          </w:p>
        </w:tc>
        <w:tc>
          <w:tcPr>
            <w:tcW w:w="418" w:type="pct"/>
            <w:vMerge w:val="restart"/>
            <w:vAlign w:val="center"/>
          </w:tcPr>
          <w:p w14:paraId="0437474B">
            <w:pPr>
              <w:jc w:val="center"/>
              <w:rPr>
                <w:rFonts w:eastAsia="仿宋_GB2312"/>
                <w:color w:val="auto"/>
                <w:szCs w:val="21"/>
              </w:rPr>
            </w:pPr>
            <w:r>
              <w:rPr>
                <w:rFonts w:eastAsia="仿宋_GB2312"/>
                <w:color w:val="auto"/>
                <w:kern w:val="0"/>
                <w:szCs w:val="21"/>
                <w:lang w:bidi="ar"/>
              </w:rPr>
              <w:t>G</w:t>
            </w:r>
            <w:r>
              <w:rPr>
                <w:rFonts w:hint="eastAsia" w:eastAsia="仿宋_GB2312"/>
                <w:color w:val="auto"/>
                <w:kern w:val="0"/>
                <w:szCs w:val="21"/>
                <w:lang w:val="en-US" w:eastAsia="zh-CN" w:bidi="ar"/>
              </w:rPr>
              <w:t>2</w:t>
            </w:r>
            <w:r>
              <w:rPr>
                <w:rFonts w:eastAsia="仿宋_GB2312"/>
                <w:color w:val="auto"/>
                <w:kern w:val="0"/>
                <w:szCs w:val="21"/>
                <w:lang w:bidi="ar"/>
              </w:rPr>
              <w:t>-</w:t>
            </w:r>
            <w:r>
              <w:rPr>
                <w:rFonts w:hint="eastAsia" w:eastAsia="仿宋_GB2312"/>
                <w:color w:val="auto"/>
                <w:kern w:val="0"/>
                <w:szCs w:val="21"/>
                <w:lang w:val="en-US" w:eastAsia="zh-CN" w:bidi="ar"/>
              </w:rPr>
              <w:t>2</w:t>
            </w:r>
            <w:r>
              <w:rPr>
                <w:rFonts w:eastAsia="仿宋_GB2312"/>
                <w:color w:val="auto"/>
                <w:kern w:val="0"/>
                <w:szCs w:val="21"/>
                <w:lang w:bidi="ar"/>
              </w:rPr>
              <w:t>-2</w:t>
            </w:r>
          </w:p>
        </w:tc>
        <w:tc>
          <w:tcPr>
            <w:tcW w:w="446" w:type="pct"/>
            <w:vMerge w:val="restart"/>
            <w:vAlign w:val="center"/>
          </w:tcPr>
          <w:p w14:paraId="6BC201C0">
            <w:pPr>
              <w:jc w:val="center"/>
              <w:rPr>
                <w:rFonts w:eastAsia="仿宋_GB2312"/>
                <w:color w:val="auto"/>
                <w:szCs w:val="21"/>
              </w:rPr>
            </w:pPr>
            <w:r>
              <w:rPr>
                <w:rFonts w:eastAsia="仿宋_GB2312"/>
                <w:color w:val="auto"/>
                <w:kern w:val="0"/>
                <w:szCs w:val="21"/>
                <w:lang w:bidi="ar"/>
              </w:rPr>
              <w:t>调节废气</w:t>
            </w:r>
          </w:p>
        </w:tc>
        <w:tc>
          <w:tcPr>
            <w:tcW w:w="361" w:type="pct"/>
            <w:vMerge w:val="restart"/>
            <w:shd w:val="clear" w:color="auto" w:fill="auto"/>
            <w:vAlign w:val="center"/>
          </w:tcPr>
          <w:p w14:paraId="218594C6">
            <w:pPr>
              <w:jc w:val="center"/>
              <w:rPr>
                <w:rFonts w:hint="default" w:eastAsia="仿宋_GB2312"/>
                <w:color w:val="auto"/>
                <w:szCs w:val="21"/>
                <w:lang w:val="en-US" w:eastAsia="zh-CN"/>
              </w:rPr>
            </w:pPr>
            <w:r>
              <w:rPr>
                <w:rFonts w:hint="eastAsia" w:eastAsia="仿宋_GB2312"/>
                <w:color w:val="auto"/>
                <w:szCs w:val="21"/>
                <w:lang w:val="en-US" w:eastAsia="zh-CN"/>
              </w:rPr>
              <w:t>100</w:t>
            </w:r>
          </w:p>
        </w:tc>
        <w:tc>
          <w:tcPr>
            <w:tcW w:w="498" w:type="pct"/>
            <w:vMerge w:val="restart"/>
            <w:shd w:val="clear" w:color="auto" w:fill="auto"/>
            <w:vAlign w:val="center"/>
          </w:tcPr>
          <w:p w14:paraId="1E24085B">
            <w:pPr>
              <w:keepNext w:val="0"/>
              <w:keepLines w:val="0"/>
              <w:widowControl/>
              <w:suppressLineNumbers w:val="0"/>
              <w:jc w:val="center"/>
              <w:textAlignment w:val="bottom"/>
              <w:rPr>
                <w:rFonts w:eastAsia="仿宋_GB2312"/>
                <w:color w:val="auto"/>
                <w:kern w:val="0"/>
                <w:szCs w:val="21"/>
                <w:lang w:bidi="ar"/>
              </w:rPr>
            </w:pPr>
            <w:r>
              <w:rPr>
                <w:rFonts w:hint="default" w:ascii="Times New Roman" w:hAnsi="Times New Roman" w:eastAsia="宋体" w:cs="Times New Roman"/>
                <w:i w:val="0"/>
                <w:iCs w:val="0"/>
                <w:color w:val="auto"/>
                <w:kern w:val="0"/>
                <w:sz w:val="21"/>
                <w:szCs w:val="21"/>
                <w:u w:val="none"/>
                <w:lang w:val="en-US" w:eastAsia="zh-CN" w:bidi="ar"/>
              </w:rPr>
              <w:t>1564</w:t>
            </w:r>
          </w:p>
        </w:tc>
        <w:tc>
          <w:tcPr>
            <w:tcW w:w="820" w:type="pct"/>
            <w:shd w:val="clear" w:color="auto" w:fill="auto"/>
            <w:vAlign w:val="center"/>
          </w:tcPr>
          <w:p w14:paraId="4FF65565">
            <w:pPr>
              <w:widowControl/>
              <w:jc w:val="center"/>
              <w:textAlignment w:val="center"/>
              <w:rPr>
                <w:rFonts w:ascii="Times New Roman" w:hAnsi="Times New Roman" w:eastAsia="仿宋_GB2312" w:cs="Times New Roman"/>
                <w:b/>
                <w:bCs/>
                <w:color w:val="auto"/>
                <w:kern w:val="0"/>
                <w:sz w:val="21"/>
                <w:szCs w:val="21"/>
                <w:lang w:val="en-US" w:eastAsia="zh-CN" w:bidi="ar"/>
              </w:rPr>
            </w:pPr>
            <w:r>
              <w:rPr>
                <w:rFonts w:eastAsia="仿宋_GB2312"/>
                <w:color w:val="auto"/>
                <w:kern w:val="0"/>
                <w:szCs w:val="21"/>
                <w:lang w:bidi="ar"/>
              </w:rPr>
              <w:t>甲苯</w:t>
            </w:r>
          </w:p>
        </w:tc>
        <w:tc>
          <w:tcPr>
            <w:tcW w:w="380" w:type="pct"/>
            <w:shd w:val="clear" w:color="auto" w:fill="auto"/>
            <w:vAlign w:val="center"/>
          </w:tcPr>
          <w:p w14:paraId="2D0FFDAD">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0.887</w:t>
            </w:r>
          </w:p>
        </w:tc>
        <w:tc>
          <w:tcPr>
            <w:tcW w:w="445" w:type="pct"/>
            <w:shd w:val="clear" w:color="auto" w:fill="auto"/>
            <w:vAlign w:val="center"/>
          </w:tcPr>
          <w:p w14:paraId="61B37BDC">
            <w:pPr>
              <w:widowControl/>
              <w:jc w:val="center"/>
              <w:textAlignment w:val="center"/>
              <w:rPr>
                <w:rFonts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bidi="ar"/>
              </w:rPr>
              <w:t>1.388</w:t>
            </w:r>
          </w:p>
        </w:tc>
        <w:tc>
          <w:tcPr>
            <w:tcW w:w="630" w:type="pct"/>
            <w:vMerge w:val="restart"/>
            <w:shd w:val="clear" w:color="auto" w:fill="auto"/>
            <w:vAlign w:val="center"/>
          </w:tcPr>
          <w:p w14:paraId="51DCDB33">
            <w:pPr>
              <w:widowControl/>
              <w:jc w:val="center"/>
              <w:textAlignment w:val="center"/>
              <w:rPr>
                <w:rFonts w:ascii="Times New Roman" w:hAnsi="Times New Roman" w:eastAsia="仿宋_GB2312" w:cs="Times New Roman"/>
                <w:color w:val="auto"/>
                <w:kern w:val="0"/>
                <w:sz w:val="21"/>
                <w:szCs w:val="21"/>
                <w:lang w:val="en-US" w:eastAsia="zh-CN" w:bidi="ar"/>
              </w:rPr>
            </w:pPr>
            <w:r>
              <w:rPr>
                <w:rFonts w:hint="eastAsia" w:eastAsia="仿宋_GB2312"/>
                <w:color w:val="auto"/>
                <w:szCs w:val="21"/>
              </w:rPr>
              <w:t>预处理（冷凝+稀酸吸收+碱吸收+水吸收+除雾）+</w:t>
            </w:r>
            <w:r>
              <w:rPr>
                <w:rFonts w:eastAsia="仿宋_GB2312"/>
                <w:color w:val="auto"/>
                <w:szCs w:val="21"/>
              </w:rPr>
              <w:t>焚烧</w:t>
            </w:r>
          </w:p>
        </w:tc>
        <w:tc>
          <w:tcPr>
            <w:tcW w:w="292" w:type="pct"/>
            <w:vMerge w:val="restart"/>
            <w:shd w:val="clear" w:color="auto" w:fill="auto"/>
            <w:vAlign w:val="center"/>
          </w:tcPr>
          <w:p w14:paraId="5B670DBB">
            <w:pPr>
              <w:widowControl/>
              <w:jc w:val="center"/>
              <w:textAlignment w:val="center"/>
              <w:rPr>
                <w:rFonts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bidi="ar"/>
              </w:rPr>
              <w:t>DA002</w:t>
            </w:r>
          </w:p>
        </w:tc>
      </w:tr>
      <w:tr w14:paraId="5855671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7285CC62">
            <w:pPr>
              <w:jc w:val="center"/>
              <w:rPr>
                <w:rFonts w:eastAsia="仿宋_GB2312"/>
                <w:color w:val="auto"/>
                <w:szCs w:val="21"/>
              </w:rPr>
            </w:pPr>
          </w:p>
        </w:tc>
        <w:tc>
          <w:tcPr>
            <w:tcW w:w="358" w:type="pct"/>
            <w:vMerge w:val="continue"/>
            <w:vAlign w:val="center"/>
          </w:tcPr>
          <w:p w14:paraId="607DB0B2">
            <w:pPr>
              <w:jc w:val="center"/>
              <w:rPr>
                <w:rFonts w:eastAsia="仿宋_GB2312"/>
                <w:color w:val="auto"/>
                <w:szCs w:val="21"/>
              </w:rPr>
            </w:pPr>
          </w:p>
        </w:tc>
        <w:tc>
          <w:tcPr>
            <w:tcW w:w="418" w:type="pct"/>
            <w:vMerge w:val="continue"/>
            <w:vAlign w:val="center"/>
          </w:tcPr>
          <w:p w14:paraId="5DAAEACD">
            <w:pPr>
              <w:jc w:val="center"/>
              <w:rPr>
                <w:rFonts w:eastAsia="仿宋_GB2312"/>
                <w:color w:val="auto"/>
                <w:szCs w:val="21"/>
              </w:rPr>
            </w:pPr>
          </w:p>
        </w:tc>
        <w:tc>
          <w:tcPr>
            <w:tcW w:w="446" w:type="pct"/>
            <w:vMerge w:val="continue"/>
            <w:vAlign w:val="center"/>
          </w:tcPr>
          <w:p w14:paraId="66762E1A">
            <w:pPr>
              <w:jc w:val="center"/>
              <w:rPr>
                <w:rFonts w:eastAsia="仿宋_GB2312"/>
                <w:color w:val="auto"/>
                <w:szCs w:val="21"/>
              </w:rPr>
            </w:pPr>
          </w:p>
        </w:tc>
        <w:tc>
          <w:tcPr>
            <w:tcW w:w="361" w:type="pct"/>
            <w:vMerge w:val="continue"/>
            <w:vAlign w:val="center"/>
          </w:tcPr>
          <w:p w14:paraId="0323DEA6">
            <w:pPr>
              <w:jc w:val="center"/>
              <w:rPr>
                <w:rFonts w:eastAsia="仿宋_GB2312"/>
                <w:color w:val="auto"/>
                <w:szCs w:val="21"/>
              </w:rPr>
            </w:pPr>
          </w:p>
        </w:tc>
        <w:tc>
          <w:tcPr>
            <w:tcW w:w="498" w:type="pct"/>
            <w:vMerge w:val="continue"/>
            <w:shd w:val="clear" w:color="auto" w:fill="auto"/>
            <w:vAlign w:val="center"/>
          </w:tcPr>
          <w:p w14:paraId="1BB1D3D7">
            <w:pPr>
              <w:keepNext w:val="0"/>
              <w:keepLines w:val="0"/>
              <w:widowControl/>
              <w:suppressLineNumbers w:val="0"/>
              <w:jc w:val="center"/>
              <w:textAlignment w:val="bottom"/>
              <w:rPr>
                <w:rFonts w:eastAsia="仿宋_GB2312"/>
                <w:color w:val="auto"/>
                <w:kern w:val="0"/>
                <w:szCs w:val="21"/>
                <w:lang w:bidi="ar"/>
              </w:rPr>
            </w:pPr>
          </w:p>
        </w:tc>
        <w:tc>
          <w:tcPr>
            <w:tcW w:w="820" w:type="pct"/>
            <w:shd w:val="clear" w:color="auto" w:fill="auto"/>
            <w:vAlign w:val="center"/>
          </w:tcPr>
          <w:p w14:paraId="2C906013">
            <w:pPr>
              <w:jc w:val="center"/>
              <w:rPr>
                <w:rFonts w:ascii="Times New Roman" w:hAnsi="Times New Roman" w:eastAsia="仿宋_GB2312" w:cs="Times New Roman"/>
                <w:color w:val="auto"/>
                <w:kern w:val="0"/>
                <w:sz w:val="21"/>
                <w:szCs w:val="21"/>
                <w:lang w:val="en-US" w:eastAsia="zh-CN" w:bidi="ar"/>
              </w:rPr>
            </w:pPr>
            <w:r>
              <w:rPr>
                <w:rFonts w:eastAsia="仿宋_GB2312"/>
                <w:color w:val="auto"/>
                <w:kern w:val="0"/>
                <w:szCs w:val="21"/>
                <w:lang w:bidi="ar"/>
              </w:rPr>
              <w:t>二甲苯</w:t>
            </w:r>
          </w:p>
        </w:tc>
        <w:tc>
          <w:tcPr>
            <w:tcW w:w="380" w:type="pct"/>
            <w:shd w:val="clear" w:color="auto" w:fill="auto"/>
            <w:vAlign w:val="center"/>
          </w:tcPr>
          <w:p w14:paraId="51E2D7A5">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0.009</w:t>
            </w:r>
          </w:p>
        </w:tc>
        <w:tc>
          <w:tcPr>
            <w:tcW w:w="445" w:type="pct"/>
            <w:shd w:val="clear" w:color="auto" w:fill="auto"/>
            <w:vAlign w:val="center"/>
          </w:tcPr>
          <w:p w14:paraId="40910CB9">
            <w:pPr>
              <w:widowControl/>
              <w:jc w:val="center"/>
              <w:textAlignment w:val="center"/>
              <w:rPr>
                <w:rFonts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bidi="ar"/>
              </w:rPr>
              <w:t>0.015</w:t>
            </w:r>
          </w:p>
        </w:tc>
        <w:tc>
          <w:tcPr>
            <w:tcW w:w="630" w:type="pct"/>
            <w:vMerge w:val="continue"/>
            <w:vAlign w:val="center"/>
          </w:tcPr>
          <w:p w14:paraId="21B8C26B">
            <w:pPr>
              <w:jc w:val="center"/>
              <w:rPr>
                <w:rFonts w:eastAsia="仿宋_GB2312"/>
                <w:color w:val="auto"/>
                <w:szCs w:val="21"/>
              </w:rPr>
            </w:pPr>
          </w:p>
        </w:tc>
        <w:tc>
          <w:tcPr>
            <w:tcW w:w="292" w:type="pct"/>
            <w:vMerge w:val="continue"/>
            <w:vAlign w:val="center"/>
          </w:tcPr>
          <w:p w14:paraId="052CAA90">
            <w:pPr>
              <w:jc w:val="center"/>
              <w:rPr>
                <w:rFonts w:eastAsia="仿宋_GB2312"/>
                <w:color w:val="auto"/>
                <w:szCs w:val="21"/>
              </w:rPr>
            </w:pPr>
          </w:p>
        </w:tc>
      </w:tr>
      <w:tr w14:paraId="66918B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5606CCDA">
            <w:pPr>
              <w:jc w:val="center"/>
              <w:rPr>
                <w:rFonts w:eastAsia="仿宋_GB2312"/>
                <w:color w:val="auto"/>
                <w:szCs w:val="21"/>
              </w:rPr>
            </w:pPr>
          </w:p>
        </w:tc>
        <w:tc>
          <w:tcPr>
            <w:tcW w:w="358" w:type="pct"/>
            <w:vMerge w:val="continue"/>
            <w:vAlign w:val="center"/>
          </w:tcPr>
          <w:p w14:paraId="1D3068CD">
            <w:pPr>
              <w:jc w:val="center"/>
              <w:rPr>
                <w:rFonts w:eastAsia="仿宋_GB2312"/>
                <w:color w:val="auto"/>
                <w:szCs w:val="21"/>
              </w:rPr>
            </w:pPr>
          </w:p>
        </w:tc>
        <w:tc>
          <w:tcPr>
            <w:tcW w:w="418" w:type="pct"/>
            <w:vMerge w:val="continue"/>
            <w:vAlign w:val="center"/>
          </w:tcPr>
          <w:p w14:paraId="72BD9070">
            <w:pPr>
              <w:jc w:val="center"/>
              <w:rPr>
                <w:rFonts w:eastAsia="仿宋_GB2312"/>
                <w:color w:val="auto"/>
                <w:szCs w:val="21"/>
              </w:rPr>
            </w:pPr>
          </w:p>
        </w:tc>
        <w:tc>
          <w:tcPr>
            <w:tcW w:w="446" w:type="pct"/>
            <w:vMerge w:val="continue"/>
            <w:vAlign w:val="center"/>
          </w:tcPr>
          <w:p w14:paraId="1782A8DF">
            <w:pPr>
              <w:jc w:val="center"/>
              <w:rPr>
                <w:rFonts w:eastAsia="仿宋_GB2312"/>
                <w:color w:val="auto"/>
                <w:szCs w:val="21"/>
              </w:rPr>
            </w:pPr>
          </w:p>
        </w:tc>
        <w:tc>
          <w:tcPr>
            <w:tcW w:w="361" w:type="pct"/>
            <w:vMerge w:val="continue"/>
            <w:vAlign w:val="center"/>
          </w:tcPr>
          <w:p w14:paraId="1759119A">
            <w:pPr>
              <w:jc w:val="center"/>
              <w:rPr>
                <w:rFonts w:eastAsia="仿宋_GB2312"/>
                <w:color w:val="auto"/>
                <w:szCs w:val="21"/>
              </w:rPr>
            </w:pPr>
          </w:p>
        </w:tc>
        <w:tc>
          <w:tcPr>
            <w:tcW w:w="498" w:type="pct"/>
            <w:vMerge w:val="continue"/>
            <w:shd w:val="clear" w:color="auto" w:fill="auto"/>
            <w:vAlign w:val="center"/>
          </w:tcPr>
          <w:p w14:paraId="7F1452FD">
            <w:pPr>
              <w:keepNext w:val="0"/>
              <w:keepLines w:val="0"/>
              <w:widowControl/>
              <w:suppressLineNumbers w:val="0"/>
              <w:jc w:val="center"/>
              <w:textAlignment w:val="bottom"/>
              <w:rPr>
                <w:rFonts w:eastAsia="仿宋_GB2312"/>
                <w:color w:val="auto"/>
                <w:kern w:val="0"/>
                <w:szCs w:val="21"/>
                <w:lang w:bidi="ar"/>
              </w:rPr>
            </w:pPr>
          </w:p>
        </w:tc>
        <w:tc>
          <w:tcPr>
            <w:tcW w:w="820" w:type="pct"/>
            <w:shd w:val="clear" w:color="auto" w:fill="auto"/>
            <w:vAlign w:val="center"/>
          </w:tcPr>
          <w:p w14:paraId="7942FC05">
            <w:pPr>
              <w:widowControl/>
              <w:jc w:val="center"/>
              <w:textAlignment w:val="center"/>
              <w:rPr>
                <w:rFonts w:ascii="Times New Roman" w:hAnsi="Times New Roman" w:eastAsia="仿宋_GB2312" w:cs="Times New Roman"/>
                <w:color w:val="auto"/>
                <w:kern w:val="0"/>
                <w:sz w:val="21"/>
                <w:szCs w:val="21"/>
                <w:lang w:val="en-US" w:eastAsia="zh-CN" w:bidi="ar"/>
              </w:rPr>
            </w:pPr>
            <w:r>
              <w:rPr>
                <w:rFonts w:eastAsia="仿宋_GB2312"/>
                <w:color w:val="auto"/>
                <w:kern w:val="0"/>
                <w:szCs w:val="21"/>
                <w:lang w:bidi="ar"/>
              </w:rPr>
              <w:t>环己酮</w:t>
            </w:r>
          </w:p>
        </w:tc>
        <w:tc>
          <w:tcPr>
            <w:tcW w:w="380" w:type="pct"/>
            <w:shd w:val="clear" w:color="auto" w:fill="auto"/>
            <w:vAlign w:val="center"/>
          </w:tcPr>
          <w:p w14:paraId="2420215C">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0.009</w:t>
            </w:r>
          </w:p>
        </w:tc>
        <w:tc>
          <w:tcPr>
            <w:tcW w:w="445" w:type="pct"/>
            <w:shd w:val="clear" w:color="auto" w:fill="auto"/>
            <w:vAlign w:val="center"/>
          </w:tcPr>
          <w:p w14:paraId="73D3DE95">
            <w:pPr>
              <w:widowControl/>
              <w:jc w:val="center"/>
              <w:textAlignment w:val="center"/>
              <w:rPr>
                <w:rFonts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bidi="ar"/>
              </w:rPr>
              <w:t>0.015</w:t>
            </w:r>
          </w:p>
        </w:tc>
        <w:tc>
          <w:tcPr>
            <w:tcW w:w="630" w:type="pct"/>
            <w:vMerge w:val="continue"/>
            <w:vAlign w:val="center"/>
          </w:tcPr>
          <w:p w14:paraId="58D94C5C">
            <w:pPr>
              <w:jc w:val="center"/>
              <w:rPr>
                <w:rFonts w:eastAsia="仿宋_GB2312"/>
                <w:color w:val="auto"/>
                <w:szCs w:val="21"/>
              </w:rPr>
            </w:pPr>
          </w:p>
        </w:tc>
        <w:tc>
          <w:tcPr>
            <w:tcW w:w="292" w:type="pct"/>
            <w:vMerge w:val="continue"/>
            <w:vAlign w:val="center"/>
          </w:tcPr>
          <w:p w14:paraId="4CAFB542">
            <w:pPr>
              <w:jc w:val="center"/>
              <w:rPr>
                <w:rFonts w:eastAsia="仿宋_GB2312"/>
                <w:color w:val="auto"/>
                <w:szCs w:val="21"/>
              </w:rPr>
            </w:pPr>
          </w:p>
        </w:tc>
      </w:tr>
      <w:tr w14:paraId="5882ED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1D3BD05D">
            <w:pPr>
              <w:jc w:val="center"/>
              <w:rPr>
                <w:rFonts w:eastAsia="仿宋_GB2312"/>
                <w:color w:val="auto"/>
                <w:szCs w:val="21"/>
              </w:rPr>
            </w:pPr>
          </w:p>
        </w:tc>
        <w:tc>
          <w:tcPr>
            <w:tcW w:w="358" w:type="pct"/>
            <w:vMerge w:val="continue"/>
            <w:vAlign w:val="center"/>
          </w:tcPr>
          <w:p w14:paraId="1475C0D2">
            <w:pPr>
              <w:jc w:val="center"/>
              <w:rPr>
                <w:rFonts w:eastAsia="仿宋_GB2312"/>
                <w:color w:val="auto"/>
                <w:szCs w:val="21"/>
              </w:rPr>
            </w:pPr>
          </w:p>
        </w:tc>
        <w:tc>
          <w:tcPr>
            <w:tcW w:w="418" w:type="pct"/>
            <w:vMerge w:val="continue"/>
            <w:vAlign w:val="center"/>
          </w:tcPr>
          <w:p w14:paraId="4F41FF4E">
            <w:pPr>
              <w:jc w:val="center"/>
              <w:rPr>
                <w:rFonts w:eastAsia="仿宋_GB2312"/>
                <w:color w:val="auto"/>
                <w:szCs w:val="21"/>
              </w:rPr>
            </w:pPr>
          </w:p>
        </w:tc>
        <w:tc>
          <w:tcPr>
            <w:tcW w:w="446" w:type="pct"/>
            <w:vMerge w:val="continue"/>
            <w:vAlign w:val="center"/>
          </w:tcPr>
          <w:p w14:paraId="4D3B1192">
            <w:pPr>
              <w:jc w:val="center"/>
              <w:rPr>
                <w:rFonts w:eastAsia="仿宋_GB2312"/>
                <w:color w:val="auto"/>
                <w:szCs w:val="21"/>
              </w:rPr>
            </w:pPr>
          </w:p>
        </w:tc>
        <w:tc>
          <w:tcPr>
            <w:tcW w:w="361" w:type="pct"/>
            <w:vMerge w:val="continue"/>
            <w:vAlign w:val="center"/>
          </w:tcPr>
          <w:p w14:paraId="70F07F52">
            <w:pPr>
              <w:jc w:val="center"/>
              <w:rPr>
                <w:rFonts w:eastAsia="仿宋_GB2312"/>
                <w:color w:val="auto"/>
                <w:szCs w:val="21"/>
              </w:rPr>
            </w:pPr>
          </w:p>
        </w:tc>
        <w:tc>
          <w:tcPr>
            <w:tcW w:w="498" w:type="pct"/>
            <w:vMerge w:val="continue"/>
            <w:shd w:val="clear" w:color="auto" w:fill="auto"/>
            <w:vAlign w:val="center"/>
          </w:tcPr>
          <w:p w14:paraId="2F9F2A68">
            <w:pPr>
              <w:keepNext w:val="0"/>
              <w:keepLines w:val="0"/>
              <w:widowControl/>
              <w:suppressLineNumbers w:val="0"/>
              <w:jc w:val="center"/>
              <w:textAlignment w:val="bottom"/>
              <w:rPr>
                <w:rFonts w:eastAsia="仿宋_GB2312"/>
                <w:color w:val="auto"/>
                <w:kern w:val="0"/>
                <w:szCs w:val="21"/>
                <w:lang w:bidi="ar"/>
              </w:rPr>
            </w:pPr>
          </w:p>
        </w:tc>
        <w:tc>
          <w:tcPr>
            <w:tcW w:w="820" w:type="pct"/>
            <w:shd w:val="clear" w:color="auto" w:fill="auto"/>
            <w:vAlign w:val="center"/>
          </w:tcPr>
          <w:p w14:paraId="34EA8B03">
            <w:pPr>
              <w:widowControl/>
              <w:jc w:val="center"/>
              <w:textAlignment w:val="center"/>
              <w:rPr>
                <w:rFonts w:ascii="Times New Roman" w:hAnsi="Times New Roman" w:eastAsia="仿宋_GB2312" w:cs="Times New Roman"/>
                <w:b/>
                <w:bCs/>
                <w:color w:val="auto"/>
                <w:kern w:val="0"/>
                <w:sz w:val="21"/>
                <w:szCs w:val="21"/>
                <w:lang w:val="en-US" w:eastAsia="zh-CN" w:bidi="ar"/>
              </w:rPr>
            </w:pPr>
            <w:r>
              <w:rPr>
                <w:rFonts w:eastAsia="仿宋_GB2312"/>
                <w:color w:val="auto"/>
                <w:kern w:val="0"/>
                <w:szCs w:val="21"/>
                <w:lang w:bidi="ar"/>
              </w:rPr>
              <w:t>其他有机物</w:t>
            </w:r>
          </w:p>
        </w:tc>
        <w:tc>
          <w:tcPr>
            <w:tcW w:w="380" w:type="pct"/>
            <w:shd w:val="clear" w:color="auto" w:fill="auto"/>
            <w:vAlign w:val="center"/>
          </w:tcPr>
          <w:p w14:paraId="00FFF878">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0.009</w:t>
            </w:r>
          </w:p>
        </w:tc>
        <w:tc>
          <w:tcPr>
            <w:tcW w:w="445" w:type="pct"/>
            <w:shd w:val="clear" w:color="auto" w:fill="auto"/>
            <w:vAlign w:val="center"/>
          </w:tcPr>
          <w:p w14:paraId="1FCDE53A">
            <w:pPr>
              <w:widowControl/>
              <w:jc w:val="center"/>
              <w:textAlignment w:val="center"/>
              <w:rPr>
                <w:rFonts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bidi="ar"/>
              </w:rPr>
              <w:t>0.015</w:t>
            </w:r>
          </w:p>
        </w:tc>
        <w:tc>
          <w:tcPr>
            <w:tcW w:w="630" w:type="pct"/>
            <w:vMerge w:val="continue"/>
            <w:vAlign w:val="center"/>
          </w:tcPr>
          <w:p w14:paraId="6155A504">
            <w:pPr>
              <w:jc w:val="center"/>
              <w:rPr>
                <w:rFonts w:eastAsia="仿宋_GB2312"/>
                <w:color w:val="auto"/>
                <w:szCs w:val="21"/>
              </w:rPr>
            </w:pPr>
          </w:p>
        </w:tc>
        <w:tc>
          <w:tcPr>
            <w:tcW w:w="292" w:type="pct"/>
            <w:vMerge w:val="continue"/>
            <w:vAlign w:val="center"/>
          </w:tcPr>
          <w:p w14:paraId="04B5A1A3">
            <w:pPr>
              <w:jc w:val="center"/>
              <w:rPr>
                <w:rFonts w:eastAsia="仿宋_GB2312"/>
                <w:color w:val="auto"/>
                <w:szCs w:val="21"/>
              </w:rPr>
            </w:pPr>
          </w:p>
        </w:tc>
      </w:tr>
      <w:tr w14:paraId="6A0F43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1EB4ECB3">
            <w:pPr>
              <w:jc w:val="center"/>
              <w:rPr>
                <w:rFonts w:eastAsia="仿宋_GB2312"/>
                <w:color w:val="auto"/>
                <w:szCs w:val="21"/>
              </w:rPr>
            </w:pPr>
          </w:p>
        </w:tc>
        <w:tc>
          <w:tcPr>
            <w:tcW w:w="358" w:type="pct"/>
            <w:vMerge w:val="continue"/>
            <w:vAlign w:val="center"/>
          </w:tcPr>
          <w:p w14:paraId="4C924A6E">
            <w:pPr>
              <w:jc w:val="center"/>
              <w:rPr>
                <w:rFonts w:eastAsia="仿宋_GB2312"/>
                <w:color w:val="auto"/>
                <w:szCs w:val="21"/>
              </w:rPr>
            </w:pPr>
          </w:p>
        </w:tc>
        <w:tc>
          <w:tcPr>
            <w:tcW w:w="418" w:type="pct"/>
            <w:vMerge w:val="restart"/>
            <w:vAlign w:val="center"/>
          </w:tcPr>
          <w:p w14:paraId="19E33F72">
            <w:pPr>
              <w:jc w:val="center"/>
              <w:rPr>
                <w:rFonts w:eastAsia="仿宋_GB2312"/>
                <w:color w:val="auto"/>
                <w:szCs w:val="21"/>
              </w:rPr>
            </w:pPr>
            <w:r>
              <w:rPr>
                <w:rFonts w:eastAsia="仿宋_GB2312"/>
                <w:color w:val="auto"/>
                <w:kern w:val="0"/>
                <w:szCs w:val="21"/>
                <w:lang w:bidi="ar"/>
              </w:rPr>
              <w:t>G</w:t>
            </w:r>
            <w:r>
              <w:rPr>
                <w:rFonts w:hint="eastAsia" w:eastAsia="仿宋_GB2312"/>
                <w:color w:val="auto"/>
                <w:kern w:val="0"/>
                <w:szCs w:val="21"/>
                <w:lang w:val="en-US" w:eastAsia="zh-CN" w:bidi="ar"/>
              </w:rPr>
              <w:t>2</w:t>
            </w:r>
            <w:r>
              <w:rPr>
                <w:rFonts w:eastAsia="仿宋_GB2312"/>
                <w:color w:val="auto"/>
                <w:kern w:val="0"/>
                <w:szCs w:val="21"/>
                <w:lang w:bidi="ar"/>
              </w:rPr>
              <w:t>-</w:t>
            </w:r>
            <w:r>
              <w:rPr>
                <w:rFonts w:hint="eastAsia" w:eastAsia="仿宋_GB2312"/>
                <w:color w:val="auto"/>
                <w:kern w:val="0"/>
                <w:szCs w:val="21"/>
                <w:lang w:val="en-US" w:eastAsia="zh-CN" w:bidi="ar"/>
              </w:rPr>
              <w:t>2</w:t>
            </w:r>
            <w:r>
              <w:rPr>
                <w:rFonts w:eastAsia="仿宋_GB2312"/>
                <w:color w:val="auto"/>
                <w:kern w:val="0"/>
                <w:szCs w:val="21"/>
                <w:lang w:bidi="ar"/>
              </w:rPr>
              <w:t>-3</w:t>
            </w:r>
          </w:p>
        </w:tc>
        <w:tc>
          <w:tcPr>
            <w:tcW w:w="446" w:type="pct"/>
            <w:vMerge w:val="restart"/>
            <w:vAlign w:val="center"/>
          </w:tcPr>
          <w:p w14:paraId="089E0C17">
            <w:pPr>
              <w:jc w:val="center"/>
              <w:rPr>
                <w:rFonts w:eastAsia="仿宋_GB2312"/>
                <w:color w:val="auto"/>
                <w:szCs w:val="21"/>
              </w:rPr>
            </w:pPr>
            <w:r>
              <w:rPr>
                <w:rFonts w:eastAsia="仿宋_GB2312"/>
                <w:color w:val="auto"/>
                <w:kern w:val="0"/>
                <w:szCs w:val="21"/>
                <w:lang w:bidi="ar"/>
              </w:rPr>
              <w:t>不凝气</w:t>
            </w:r>
          </w:p>
        </w:tc>
        <w:tc>
          <w:tcPr>
            <w:tcW w:w="361" w:type="pct"/>
            <w:vMerge w:val="restart"/>
            <w:shd w:val="clear" w:color="auto" w:fill="auto"/>
            <w:vAlign w:val="center"/>
          </w:tcPr>
          <w:p w14:paraId="0B6AB281">
            <w:pPr>
              <w:jc w:val="center"/>
              <w:rPr>
                <w:rFonts w:eastAsia="仿宋_GB2312"/>
                <w:color w:val="auto"/>
                <w:szCs w:val="21"/>
              </w:rPr>
            </w:pPr>
            <w:r>
              <w:rPr>
                <w:rFonts w:eastAsia="仿宋_GB2312"/>
                <w:color w:val="auto"/>
                <w:szCs w:val="21"/>
              </w:rPr>
              <w:t>360</w:t>
            </w:r>
          </w:p>
        </w:tc>
        <w:tc>
          <w:tcPr>
            <w:tcW w:w="498" w:type="pct"/>
            <w:vMerge w:val="restart"/>
            <w:shd w:val="clear" w:color="auto" w:fill="auto"/>
            <w:vAlign w:val="center"/>
          </w:tcPr>
          <w:p w14:paraId="3A7A419B">
            <w:pPr>
              <w:keepNext w:val="0"/>
              <w:keepLines w:val="0"/>
              <w:widowControl/>
              <w:suppressLineNumbers w:val="0"/>
              <w:jc w:val="center"/>
              <w:textAlignment w:val="bottom"/>
              <w:rPr>
                <w:rFonts w:eastAsia="仿宋_GB2312"/>
                <w:color w:val="auto"/>
                <w:kern w:val="0"/>
                <w:szCs w:val="21"/>
                <w:lang w:bidi="ar"/>
              </w:rPr>
            </w:pPr>
            <w:r>
              <w:rPr>
                <w:rFonts w:hint="default" w:ascii="Times New Roman" w:hAnsi="Times New Roman" w:eastAsia="宋体" w:cs="Times New Roman"/>
                <w:i w:val="0"/>
                <w:iCs w:val="0"/>
                <w:color w:val="auto"/>
                <w:kern w:val="0"/>
                <w:sz w:val="21"/>
                <w:szCs w:val="21"/>
                <w:u w:val="none"/>
                <w:lang w:val="en-US" w:eastAsia="zh-CN" w:bidi="ar"/>
              </w:rPr>
              <w:t>3128</w:t>
            </w:r>
          </w:p>
        </w:tc>
        <w:tc>
          <w:tcPr>
            <w:tcW w:w="820" w:type="pct"/>
            <w:shd w:val="clear" w:color="auto" w:fill="auto"/>
            <w:vAlign w:val="center"/>
          </w:tcPr>
          <w:p w14:paraId="4FC56F63">
            <w:pPr>
              <w:widowControl/>
              <w:jc w:val="center"/>
              <w:textAlignment w:val="center"/>
              <w:rPr>
                <w:rFonts w:ascii="Times New Roman" w:hAnsi="Times New Roman" w:eastAsia="仿宋_GB2312" w:cs="Times New Roman"/>
                <w:b/>
                <w:bCs/>
                <w:color w:val="auto"/>
                <w:kern w:val="0"/>
                <w:sz w:val="21"/>
                <w:szCs w:val="21"/>
                <w:lang w:val="en-US" w:eastAsia="zh-CN" w:bidi="ar"/>
              </w:rPr>
            </w:pPr>
            <w:r>
              <w:rPr>
                <w:rFonts w:eastAsia="仿宋_GB2312"/>
                <w:color w:val="auto"/>
                <w:kern w:val="0"/>
                <w:szCs w:val="21"/>
                <w:lang w:bidi="ar"/>
              </w:rPr>
              <w:t>甲苯</w:t>
            </w:r>
          </w:p>
        </w:tc>
        <w:tc>
          <w:tcPr>
            <w:tcW w:w="380" w:type="pct"/>
            <w:shd w:val="clear" w:color="auto" w:fill="auto"/>
            <w:vAlign w:val="center"/>
          </w:tcPr>
          <w:p w14:paraId="116C223C">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14.892</w:t>
            </w:r>
          </w:p>
        </w:tc>
        <w:tc>
          <w:tcPr>
            <w:tcW w:w="445" w:type="pct"/>
            <w:shd w:val="clear" w:color="auto" w:fill="auto"/>
            <w:vAlign w:val="center"/>
          </w:tcPr>
          <w:p w14:paraId="309997C7">
            <w:pPr>
              <w:widowControl/>
              <w:jc w:val="center"/>
              <w:textAlignment w:val="center"/>
              <w:rPr>
                <w:rFonts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bidi="ar"/>
              </w:rPr>
              <w:t>46.585</w:t>
            </w:r>
          </w:p>
        </w:tc>
        <w:tc>
          <w:tcPr>
            <w:tcW w:w="630" w:type="pct"/>
            <w:vMerge w:val="continue"/>
            <w:shd w:val="clear" w:color="auto" w:fill="auto"/>
            <w:vAlign w:val="center"/>
          </w:tcPr>
          <w:p w14:paraId="39D5D232">
            <w:pPr>
              <w:widowControl/>
              <w:jc w:val="center"/>
              <w:textAlignment w:val="center"/>
              <w:rPr>
                <w:rFonts w:ascii="Times New Roman" w:hAnsi="Times New Roman" w:eastAsia="仿宋_GB2312" w:cs="Times New Roman"/>
                <w:color w:val="auto"/>
                <w:kern w:val="0"/>
                <w:sz w:val="21"/>
                <w:szCs w:val="21"/>
                <w:lang w:val="en-US" w:eastAsia="zh-CN" w:bidi="ar"/>
              </w:rPr>
            </w:pPr>
          </w:p>
        </w:tc>
        <w:tc>
          <w:tcPr>
            <w:tcW w:w="292" w:type="pct"/>
            <w:vMerge w:val="continue"/>
            <w:shd w:val="clear" w:color="auto" w:fill="auto"/>
            <w:vAlign w:val="center"/>
          </w:tcPr>
          <w:p w14:paraId="1989DA54">
            <w:pPr>
              <w:widowControl/>
              <w:jc w:val="center"/>
              <w:textAlignment w:val="center"/>
              <w:rPr>
                <w:rFonts w:ascii="Times New Roman" w:hAnsi="Times New Roman" w:eastAsia="仿宋_GB2312" w:cs="Times New Roman"/>
                <w:color w:val="auto"/>
                <w:kern w:val="0"/>
                <w:sz w:val="21"/>
                <w:szCs w:val="21"/>
                <w:lang w:val="en-US" w:eastAsia="zh-CN" w:bidi="ar"/>
              </w:rPr>
            </w:pPr>
          </w:p>
        </w:tc>
      </w:tr>
      <w:tr w14:paraId="789A3C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16C98597">
            <w:pPr>
              <w:jc w:val="center"/>
              <w:rPr>
                <w:rFonts w:eastAsia="仿宋_GB2312"/>
                <w:color w:val="auto"/>
                <w:szCs w:val="21"/>
              </w:rPr>
            </w:pPr>
          </w:p>
        </w:tc>
        <w:tc>
          <w:tcPr>
            <w:tcW w:w="358" w:type="pct"/>
            <w:vMerge w:val="continue"/>
            <w:vAlign w:val="center"/>
          </w:tcPr>
          <w:p w14:paraId="1979453F">
            <w:pPr>
              <w:jc w:val="center"/>
              <w:rPr>
                <w:rFonts w:eastAsia="仿宋_GB2312"/>
                <w:color w:val="auto"/>
                <w:szCs w:val="21"/>
              </w:rPr>
            </w:pPr>
          </w:p>
        </w:tc>
        <w:tc>
          <w:tcPr>
            <w:tcW w:w="418" w:type="pct"/>
            <w:vMerge w:val="continue"/>
            <w:vAlign w:val="center"/>
          </w:tcPr>
          <w:p w14:paraId="5486A81E">
            <w:pPr>
              <w:jc w:val="center"/>
              <w:rPr>
                <w:rFonts w:eastAsia="仿宋_GB2312"/>
                <w:color w:val="auto"/>
                <w:szCs w:val="21"/>
              </w:rPr>
            </w:pPr>
          </w:p>
        </w:tc>
        <w:tc>
          <w:tcPr>
            <w:tcW w:w="446" w:type="pct"/>
            <w:vMerge w:val="continue"/>
            <w:vAlign w:val="center"/>
          </w:tcPr>
          <w:p w14:paraId="2F169A26">
            <w:pPr>
              <w:jc w:val="center"/>
              <w:rPr>
                <w:rFonts w:eastAsia="仿宋_GB2312"/>
                <w:color w:val="auto"/>
                <w:szCs w:val="21"/>
              </w:rPr>
            </w:pPr>
          </w:p>
        </w:tc>
        <w:tc>
          <w:tcPr>
            <w:tcW w:w="361" w:type="pct"/>
            <w:vMerge w:val="continue"/>
            <w:vAlign w:val="center"/>
          </w:tcPr>
          <w:p w14:paraId="3500C46F">
            <w:pPr>
              <w:jc w:val="center"/>
              <w:rPr>
                <w:rFonts w:eastAsia="仿宋_GB2312"/>
                <w:color w:val="auto"/>
                <w:szCs w:val="21"/>
              </w:rPr>
            </w:pPr>
          </w:p>
        </w:tc>
        <w:tc>
          <w:tcPr>
            <w:tcW w:w="498" w:type="pct"/>
            <w:vMerge w:val="continue"/>
            <w:shd w:val="clear" w:color="auto" w:fill="auto"/>
            <w:vAlign w:val="center"/>
          </w:tcPr>
          <w:p w14:paraId="77D7686A">
            <w:pPr>
              <w:keepNext w:val="0"/>
              <w:keepLines w:val="0"/>
              <w:widowControl/>
              <w:suppressLineNumbers w:val="0"/>
              <w:jc w:val="center"/>
              <w:textAlignment w:val="bottom"/>
              <w:rPr>
                <w:rFonts w:eastAsia="仿宋_GB2312"/>
                <w:color w:val="auto"/>
                <w:kern w:val="0"/>
                <w:szCs w:val="21"/>
                <w:lang w:bidi="ar"/>
              </w:rPr>
            </w:pPr>
          </w:p>
        </w:tc>
        <w:tc>
          <w:tcPr>
            <w:tcW w:w="820" w:type="pct"/>
            <w:shd w:val="clear" w:color="auto" w:fill="auto"/>
            <w:vAlign w:val="center"/>
          </w:tcPr>
          <w:p w14:paraId="79906C55">
            <w:pPr>
              <w:widowControl/>
              <w:jc w:val="center"/>
              <w:textAlignment w:val="center"/>
              <w:rPr>
                <w:rFonts w:ascii="Times New Roman" w:hAnsi="Times New Roman" w:eastAsia="仿宋_GB2312" w:cs="Times New Roman"/>
                <w:color w:val="auto"/>
                <w:kern w:val="0"/>
                <w:sz w:val="21"/>
                <w:szCs w:val="21"/>
                <w:lang w:val="en-US" w:eastAsia="zh-CN" w:bidi="ar"/>
              </w:rPr>
            </w:pPr>
            <w:r>
              <w:rPr>
                <w:rFonts w:eastAsia="仿宋_GB2312"/>
                <w:color w:val="auto"/>
                <w:kern w:val="0"/>
                <w:szCs w:val="21"/>
                <w:lang w:bidi="ar"/>
              </w:rPr>
              <w:t>二甲苯</w:t>
            </w:r>
          </w:p>
        </w:tc>
        <w:tc>
          <w:tcPr>
            <w:tcW w:w="380" w:type="pct"/>
            <w:shd w:val="clear" w:color="auto" w:fill="auto"/>
            <w:vAlign w:val="center"/>
          </w:tcPr>
          <w:p w14:paraId="11A4D877">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0.106</w:t>
            </w:r>
          </w:p>
        </w:tc>
        <w:tc>
          <w:tcPr>
            <w:tcW w:w="445" w:type="pct"/>
            <w:shd w:val="clear" w:color="auto" w:fill="auto"/>
            <w:vAlign w:val="center"/>
          </w:tcPr>
          <w:p w14:paraId="4D8A3C52">
            <w:pPr>
              <w:widowControl/>
              <w:jc w:val="center"/>
              <w:textAlignment w:val="center"/>
              <w:rPr>
                <w:rFonts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bidi="ar"/>
              </w:rPr>
              <w:t>0.333</w:t>
            </w:r>
          </w:p>
        </w:tc>
        <w:tc>
          <w:tcPr>
            <w:tcW w:w="630" w:type="pct"/>
            <w:vMerge w:val="continue"/>
            <w:vAlign w:val="center"/>
          </w:tcPr>
          <w:p w14:paraId="20316FC5">
            <w:pPr>
              <w:jc w:val="center"/>
              <w:rPr>
                <w:rFonts w:eastAsia="仿宋_GB2312"/>
                <w:color w:val="auto"/>
                <w:szCs w:val="21"/>
              </w:rPr>
            </w:pPr>
          </w:p>
        </w:tc>
        <w:tc>
          <w:tcPr>
            <w:tcW w:w="292" w:type="pct"/>
            <w:vMerge w:val="continue"/>
            <w:vAlign w:val="center"/>
          </w:tcPr>
          <w:p w14:paraId="5894E903">
            <w:pPr>
              <w:jc w:val="center"/>
              <w:rPr>
                <w:rFonts w:eastAsia="仿宋_GB2312"/>
                <w:color w:val="auto"/>
                <w:szCs w:val="21"/>
              </w:rPr>
            </w:pPr>
          </w:p>
        </w:tc>
      </w:tr>
      <w:tr w14:paraId="43D765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1A90B29D">
            <w:pPr>
              <w:jc w:val="center"/>
              <w:rPr>
                <w:rFonts w:eastAsia="仿宋_GB2312"/>
                <w:color w:val="auto"/>
                <w:szCs w:val="21"/>
              </w:rPr>
            </w:pPr>
          </w:p>
        </w:tc>
        <w:tc>
          <w:tcPr>
            <w:tcW w:w="358" w:type="pct"/>
            <w:vMerge w:val="continue"/>
            <w:vAlign w:val="center"/>
          </w:tcPr>
          <w:p w14:paraId="4B2F1454">
            <w:pPr>
              <w:jc w:val="center"/>
              <w:rPr>
                <w:rFonts w:eastAsia="仿宋_GB2312"/>
                <w:color w:val="auto"/>
                <w:szCs w:val="21"/>
              </w:rPr>
            </w:pPr>
          </w:p>
        </w:tc>
        <w:tc>
          <w:tcPr>
            <w:tcW w:w="418" w:type="pct"/>
            <w:vMerge w:val="continue"/>
            <w:vAlign w:val="center"/>
          </w:tcPr>
          <w:p w14:paraId="130A6BDB">
            <w:pPr>
              <w:jc w:val="center"/>
              <w:rPr>
                <w:rFonts w:eastAsia="仿宋_GB2312"/>
                <w:color w:val="auto"/>
                <w:szCs w:val="21"/>
              </w:rPr>
            </w:pPr>
          </w:p>
        </w:tc>
        <w:tc>
          <w:tcPr>
            <w:tcW w:w="446" w:type="pct"/>
            <w:vMerge w:val="continue"/>
            <w:vAlign w:val="center"/>
          </w:tcPr>
          <w:p w14:paraId="62B223C4">
            <w:pPr>
              <w:jc w:val="center"/>
              <w:rPr>
                <w:rFonts w:eastAsia="仿宋_GB2312"/>
                <w:color w:val="auto"/>
                <w:szCs w:val="21"/>
              </w:rPr>
            </w:pPr>
          </w:p>
        </w:tc>
        <w:tc>
          <w:tcPr>
            <w:tcW w:w="361" w:type="pct"/>
            <w:vMerge w:val="continue"/>
            <w:vAlign w:val="center"/>
          </w:tcPr>
          <w:p w14:paraId="2D751507">
            <w:pPr>
              <w:jc w:val="center"/>
              <w:rPr>
                <w:rFonts w:eastAsia="仿宋_GB2312"/>
                <w:color w:val="auto"/>
                <w:szCs w:val="21"/>
              </w:rPr>
            </w:pPr>
          </w:p>
        </w:tc>
        <w:tc>
          <w:tcPr>
            <w:tcW w:w="498" w:type="pct"/>
            <w:vMerge w:val="continue"/>
            <w:shd w:val="clear" w:color="auto" w:fill="auto"/>
            <w:vAlign w:val="center"/>
          </w:tcPr>
          <w:p w14:paraId="24AAD7A3">
            <w:pPr>
              <w:keepNext w:val="0"/>
              <w:keepLines w:val="0"/>
              <w:widowControl/>
              <w:suppressLineNumbers w:val="0"/>
              <w:jc w:val="center"/>
              <w:textAlignment w:val="bottom"/>
              <w:rPr>
                <w:rFonts w:eastAsia="仿宋_GB2312"/>
                <w:color w:val="auto"/>
                <w:kern w:val="0"/>
                <w:szCs w:val="21"/>
                <w:lang w:bidi="ar"/>
              </w:rPr>
            </w:pPr>
          </w:p>
        </w:tc>
        <w:tc>
          <w:tcPr>
            <w:tcW w:w="820" w:type="pct"/>
            <w:shd w:val="clear" w:color="auto" w:fill="auto"/>
            <w:vAlign w:val="center"/>
          </w:tcPr>
          <w:p w14:paraId="4DA10A17">
            <w:pPr>
              <w:widowControl/>
              <w:jc w:val="center"/>
              <w:textAlignment w:val="center"/>
              <w:rPr>
                <w:rFonts w:ascii="Times New Roman" w:hAnsi="Times New Roman" w:eastAsia="仿宋_GB2312" w:cs="Times New Roman"/>
                <w:color w:val="auto"/>
                <w:kern w:val="0"/>
                <w:sz w:val="21"/>
                <w:szCs w:val="21"/>
                <w:lang w:val="en-US" w:eastAsia="zh-CN" w:bidi="ar"/>
              </w:rPr>
            </w:pPr>
            <w:r>
              <w:rPr>
                <w:rFonts w:eastAsia="仿宋_GB2312"/>
                <w:color w:val="auto"/>
                <w:kern w:val="0"/>
                <w:szCs w:val="21"/>
                <w:lang w:bidi="ar"/>
              </w:rPr>
              <w:t>环己酮</w:t>
            </w:r>
          </w:p>
        </w:tc>
        <w:tc>
          <w:tcPr>
            <w:tcW w:w="380" w:type="pct"/>
            <w:shd w:val="clear" w:color="auto" w:fill="auto"/>
            <w:vAlign w:val="center"/>
          </w:tcPr>
          <w:p w14:paraId="244ECCCA">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0.049</w:t>
            </w:r>
          </w:p>
        </w:tc>
        <w:tc>
          <w:tcPr>
            <w:tcW w:w="445" w:type="pct"/>
            <w:shd w:val="clear" w:color="auto" w:fill="auto"/>
            <w:vAlign w:val="center"/>
          </w:tcPr>
          <w:p w14:paraId="22136A82">
            <w:pPr>
              <w:widowControl/>
              <w:jc w:val="center"/>
              <w:textAlignment w:val="center"/>
              <w:rPr>
                <w:rFonts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bidi="ar"/>
              </w:rPr>
              <w:t>0.155</w:t>
            </w:r>
          </w:p>
        </w:tc>
        <w:tc>
          <w:tcPr>
            <w:tcW w:w="630" w:type="pct"/>
            <w:vMerge w:val="continue"/>
            <w:vAlign w:val="center"/>
          </w:tcPr>
          <w:p w14:paraId="70A9D35C">
            <w:pPr>
              <w:jc w:val="center"/>
              <w:rPr>
                <w:rFonts w:eastAsia="仿宋_GB2312"/>
                <w:color w:val="auto"/>
                <w:szCs w:val="21"/>
              </w:rPr>
            </w:pPr>
          </w:p>
        </w:tc>
        <w:tc>
          <w:tcPr>
            <w:tcW w:w="292" w:type="pct"/>
            <w:vMerge w:val="continue"/>
            <w:vAlign w:val="center"/>
          </w:tcPr>
          <w:p w14:paraId="608E23A1">
            <w:pPr>
              <w:jc w:val="center"/>
              <w:rPr>
                <w:rFonts w:eastAsia="仿宋_GB2312"/>
                <w:color w:val="auto"/>
                <w:szCs w:val="21"/>
              </w:rPr>
            </w:pPr>
          </w:p>
        </w:tc>
      </w:tr>
      <w:tr w14:paraId="5812DAE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031699E3">
            <w:pPr>
              <w:jc w:val="center"/>
              <w:rPr>
                <w:rFonts w:eastAsia="仿宋_GB2312"/>
                <w:color w:val="auto"/>
                <w:szCs w:val="21"/>
              </w:rPr>
            </w:pPr>
          </w:p>
        </w:tc>
        <w:tc>
          <w:tcPr>
            <w:tcW w:w="358" w:type="pct"/>
            <w:vMerge w:val="continue"/>
            <w:vAlign w:val="center"/>
          </w:tcPr>
          <w:p w14:paraId="5D2FBD7D">
            <w:pPr>
              <w:jc w:val="center"/>
              <w:rPr>
                <w:rFonts w:eastAsia="仿宋_GB2312"/>
                <w:color w:val="auto"/>
                <w:szCs w:val="21"/>
              </w:rPr>
            </w:pPr>
          </w:p>
        </w:tc>
        <w:tc>
          <w:tcPr>
            <w:tcW w:w="418" w:type="pct"/>
            <w:vMerge w:val="continue"/>
            <w:vAlign w:val="center"/>
          </w:tcPr>
          <w:p w14:paraId="42D0FC0E">
            <w:pPr>
              <w:jc w:val="center"/>
              <w:rPr>
                <w:rFonts w:eastAsia="仿宋_GB2312"/>
                <w:color w:val="auto"/>
                <w:szCs w:val="21"/>
              </w:rPr>
            </w:pPr>
          </w:p>
        </w:tc>
        <w:tc>
          <w:tcPr>
            <w:tcW w:w="446" w:type="pct"/>
            <w:vMerge w:val="continue"/>
            <w:vAlign w:val="center"/>
          </w:tcPr>
          <w:p w14:paraId="6F813694">
            <w:pPr>
              <w:jc w:val="center"/>
              <w:rPr>
                <w:rFonts w:eastAsia="仿宋_GB2312"/>
                <w:color w:val="auto"/>
                <w:szCs w:val="21"/>
              </w:rPr>
            </w:pPr>
          </w:p>
        </w:tc>
        <w:tc>
          <w:tcPr>
            <w:tcW w:w="361" w:type="pct"/>
            <w:vMerge w:val="continue"/>
            <w:vAlign w:val="center"/>
          </w:tcPr>
          <w:p w14:paraId="2BB10C01">
            <w:pPr>
              <w:jc w:val="center"/>
              <w:rPr>
                <w:rFonts w:eastAsia="仿宋_GB2312"/>
                <w:color w:val="auto"/>
                <w:szCs w:val="21"/>
              </w:rPr>
            </w:pPr>
          </w:p>
        </w:tc>
        <w:tc>
          <w:tcPr>
            <w:tcW w:w="498" w:type="pct"/>
            <w:vMerge w:val="continue"/>
            <w:shd w:val="clear" w:color="auto" w:fill="auto"/>
            <w:vAlign w:val="center"/>
          </w:tcPr>
          <w:p w14:paraId="60B747B3">
            <w:pPr>
              <w:keepNext w:val="0"/>
              <w:keepLines w:val="0"/>
              <w:widowControl/>
              <w:suppressLineNumbers w:val="0"/>
              <w:jc w:val="center"/>
              <w:textAlignment w:val="bottom"/>
              <w:rPr>
                <w:rFonts w:eastAsia="仿宋_GB2312"/>
                <w:color w:val="auto"/>
                <w:kern w:val="0"/>
                <w:szCs w:val="21"/>
                <w:lang w:bidi="ar"/>
              </w:rPr>
            </w:pPr>
          </w:p>
        </w:tc>
        <w:tc>
          <w:tcPr>
            <w:tcW w:w="820" w:type="pct"/>
            <w:shd w:val="clear" w:color="auto" w:fill="auto"/>
            <w:vAlign w:val="center"/>
          </w:tcPr>
          <w:p w14:paraId="778430D5">
            <w:pPr>
              <w:widowControl/>
              <w:jc w:val="center"/>
              <w:textAlignment w:val="center"/>
              <w:rPr>
                <w:rFonts w:ascii="Times New Roman" w:hAnsi="Times New Roman" w:eastAsia="仿宋_GB2312" w:cs="Times New Roman"/>
                <w:b/>
                <w:bCs/>
                <w:color w:val="auto"/>
                <w:kern w:val="0"/>
                <w:sz w:val="21"/>
                <w:szCs w:val="21"/>
                <w:lang w:val="en-US" w:eastAsia="zh-CN" w:bidi="ar"/>
              </w:rPr>
            </w:pPr>
            <w:r>
              <w:rPr>
                <w:rFonts w:eastAsia="仿宋_GB2312"/>
                <w:color w:val="auto"/>
                <w:kern w:val="0"/>
                <w:szCs w:val="21"/>
                <w:lang w:bidi="ar"/>
              </w:rPr>
              <w:t>其他有机物</w:t>
            </w:r>
          </w:p>
        </w:tc>
        <w:tc>
          <w:tcPr>
            <w:tcW w:w="380" w:type="pct"/>
            <w:shd w:val="clear" w:color="auto" w:fill="auto"/>
            <w:vAlign w:val="center"/>
          </w:tcPr>
          <w:p w14:paraId="12201CF8">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0.0166</w:t>
            </w:r>
          </w:p>
        </w:tc>
        <w:tc>
          <w:tcPr>
            <w:tcW w:w="445" w:type="pct"/>
            <w:shd w:val="clear" w:color="auto" w:fill="auto"/>
            <w:vAlign w:val="center"/>
          </w:tcPr>
          <w:p w14:paraId="2201CA76">
            <w:pPr>
              <w:widowControl/>
              <w:jc w:val="center"/>
              <w:textAlignment w:val="center"/>
              <w:rPr>
                <w:rFonts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bidi="ar"/>
              </w:rPr>
              <w:t>0.052</w:t>
            </w:r>
          </w:p>
        </w:tc>
        <w:tc>
          <w:tcPr>
            <w:tcW w:w="630" w:type="pct"/>
            <w:vMerge w:val="continue"/>
            <w:vAlign w:val="center"/>
          </w:tcPr>
          <w:p w14:paraId="3D0F0A67">
            <w:pPr>
              <w:jc w:val="center"/>
              <w:rPr>
                <w:rFonts w:eastAsia="仿宋_GB2312"/>
                <w:color w:val="auto"/>
                <w:szCs w:val="21"/>
              </w:rPr>
            </w:pPr>
          </w:p>
        </w:tc>
        <w:tc>
          <w:tcPr>
            <w:tcW w:w="292" w:type="pct"/>
            <w:vMerge w:val="continue"/>
            <w:vAlign w:val="center"/>
          </w:tcPr>
          <w:p w14:paraId="41D329B3">
            <w:pPr>
              <w:jc w:val="center"/>
              <w:rPr>
                <w:rFonts w:eastAsia="仿宋_GB2312"/>
                <w:color w:val="auto"/>
                <w:szCs w:val="21"/>
              </w:rPr>
            </w:pPr>
          </w:p>
        </w:tc>
      </w:tr>
      <w:tr w14:paraId="130768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07" w:hRule="atLeast"/>
          <w:tblHeader/>
          <w:jc w:val="center"/>
        </w:trPr>
        <w:tc>
          <w:tcPr>
            <w:tcW w:w="348" w:type="pct"/>
            <w:vMerge w:val="continue"/>
            <w:vAlign w:val="center"/>
          </w:tcPr>
          <w:p w14:paraId="12F4B38F">
            <w:pPr>
              <w:jc w:val="center"/>
              <w:rPr>
                <w:rFonts w:eastAsia="仿宋_GB2312"/>
                <w:color w:val="auto"/>
                <w:szCs w:val="21"/>
              </w:rPr>
            </w:pPr>
          </w:p>
        </w:tc>
        <w:tc>
          <w:tcPr>
            <w:tcW w:w="358" w:type="pct"/>
            <w:vMerge w:val="continue"/>
            <w:vAlign w:val="center"/>
          </w:tcPr>
          <w:p w14:paraId="1C131BFE">
            <w:pPr>
              <w:jc w:val="center"/>
              <w:rPr>
                <w:rFonts w:eastAsia="仿宋_GB2312"/>
                <w:color w:val="auto"/>
                <w:szCs w:val="21"/>
              </w:rPr>
            </w:pPr>
          </w:p>
        </w:tc>
        <w:tc>
          <w:tcPr>
            <w:tcW w:w="418" w:type="pct"/>
            <w:vMerge w:val="restart"/>
            <w:vAlign w:val="center"/>
          </w:tcPr>
          <w:p w14:paraId="7F34E2CD">
            <w:pPr>
              <w:jc w:val="center"/>
              <w:rPr>
                <w:rFonts w:eastAsia="仿宋_GB2312"/>
                <w:color w:val="auto"/>
                <w:szCs w:val="21"/>
              </w:rPr>
            </w:pPr>
            <w:r>
              <w:rPr>
                <w:rFonts w:eastAsia="仿宋_GB2312"/>
                <w:color w:val="auto"/>
                <w:kern w:val="0"/>
                <w:szCs w:val="21"/>
                <w:lang w:bidi="ar"/>
              </w:rPr>
              <w:t>G</w:t>
            </w:r>
            <w:r>
              <w:rPr>
                <w:rFonts w:hint="eastAsia" w:eastAsia="仿宋_GB2312"/>
                <w:color w:val="auto"/>
                <w:kern w:val="0"/>
                <w:szCs w:val="21"/>
                <w:lang w:val="en-US" w:eastAsia="zh-CN" w:bidi="ar"/>
              </w:rPr>
              <w:t>2</w:t>
            </w:r>
            <w:r>
              <w:rPr>
                <w:rFonts w:eastAsia="仿宋_GB2312"/>
                <w:color w:val="auto"/>
                <w:kern w:val="0"/>
                <w:szCs w:val="21"/>
                <w:lang w:bidi="ar"/>
              </w:rPr>
              <w:t>-</w:t>
            </w:r>
            <w:r>
              <w:rPr>
                <w:rFonts w:hint="eastAsia" w:eastAsia="仿宋_GB2312"/>
                <w:color w:val="auto"/>
                <w:kern w:val="0"/>
                <w:szCs w:val="21"/>
                <w:lang w:val="en-US" w:eastAsia="zh-CN" w:bidi="ar"/>
              </w:rPr>
              <w:t>2</w:t>
            </w:r>
            <w:r>
              <w:rPr>
                <w:rFonts w:eastAsia="仿宋_GB2312"/>
                <w:color w:val="auto"/>
                <w:kern w:val="0"/>
                <w:szCs w:val="21"/>
                <w:lang w:bidi="ar"/>
              </w:rPr>
              <w:t>-4</w:t>
            </w:r>
          </w:p>
        </w:tc>
        <w:tc>
          <w:tcPr>
            <w:tcW w:w="446" w:type="pct"/>
            <w:vMerge w:val="restart"/>
            <w:vAlign w:val="center"/>
          </w:tcPr>
          <w:p w14:paraId="2788BE68">
            <w:pPr>
              <w:jc w:val="center"/>
              <w:rPr>
                <w:rFonts w:eastAsia="仿宋_GB2312"/>
                <w:color w:val="auto"/>
                <w:szCs w:val="21"/>
              </w:rPr>
            </w:pPr>
            <w:r>
              <w:rPr>
                <w:rFonts w:eastAsia="仿宋_GB2312"/>
                <w:color w:val="auto"/>
                <w:kern w:val="0"/>
                <w:szCs w:val="21"/>
                <w:lang w:bidi="ar"/>
              </w:rPr>
              <w:t>不凝气</w:t>
            </w:r>
          </w:p>
        </w:tc>
        <w:tc>
          <w:tcPr>
            <w:tcW w:w="361" w:type="pct"/>
            <w:vMerge w:val="restart"/>
            <w:shd w:val="clear" w:color="auto" w:fill="auto"/>
            <w:vAlign w:val="center"/>
          </w:tcPr>
          <w:p w14:paraId="533F5324">
            <w:pPr>
              <w:jc w:val="center"/>
              <w:rPr>
                <w:rFonts w:eastAsia="仿宋_GB2312"/>
                <w:color w:val="auto"/>
                <w:szCs w:val="21"/>
              </w:rPr>
            </w:pPr>
            <w:r>
              <w:rPr>
                <w:rFonts w:eastAsia="仿宋_GB2312"/>
                <w:color w:val="auto"/>
                <w:szCs w:val="21"/>
              </w:rPr>
              <w:t>360</w:t>
            </w:r>
          </w:p>
        </w:tc>
        <w:tc>
          <w:tcPr>
            <w:tcW w:w="498" w:type="pct"/>
            <w:vMerge w:val="restart"/>
            <w:shd w:val="clear" w:color="auto" w:fill="auto"/>
            <w:vAlign w:val="center"/>
          </w:tcPr>
          <w:p w14:paraId="7EAEB3CE">
            <w:pPr>
              <w:keepNext w:val="0"/>
              <w:keepLines w:val="0"/>
              <w:widowControl/>
              <w:suppressLineNumbers w:val="0"/>
              <w:jc w:val="center"/>
              <w:textAlignment w:val="bottom"/>
              <w:rPr>
                <w:rFonts w:eastAsia="仿宋_GB2312"/>
                <w:color w:val="auto"/>
                <w:kern w:val="0"/>
                <w:szCs w:val="21"/>
                <w:lang w:bidi="ar"/>
              </w:rPr>
            </w:pPr>
            <w:r>
              <w:rPr>
                <w:rFonts w:hint="default" w:ascii="Times New Roman" w:hAnsi="Times New Roman" w:eastAsia="宋体" w:cs="Times New Roman"/>
                <w:i w:val="0"/>
                <w:iCs w:val="0"/>
                <w:color w:val="auto"/>
                <w:kern w:val="0"/>
                <w:sz w:val="21"/>
                <w:szCs w:val="21"/>
                <w:u w:val="none"/>
                <w:lang w:val="en-US" w:eastAsia="zh-CN" w:bidi="ar"/>
              </w:rPr>
              <w:t>3128</w:t>
            </w:r>
          </w:p>
        </w:tc>
        <w:tc>
          <w:tcPr>
            <w:tcW w:w="820" w:type="pct"/>
            <w:shd w:val="clear" w:color="auto" w:fill="auto"/>
            <w:vAlign w:val="center"/>
          </w:tcPr>
          <w:p w14:paraId="29853464">
            <w:pPr>
              <w:widowControl/>
              <w:jc w:val="center"/>
              <w:textAlignment w:val="center"/>
              <w:rPr>
                <w:rFonts w:ascii="Times New Roman" w:hAnsi="Times New Roman" w:eastAsia="仿宋_GB2312" w:cs="Times New Roman"/>
                <w:b/>
                <w:bCs/>
                <w:color w:val="auto"/>
                <w:kern w:val="0"/>
                <w:sz w:val="21"/>
                <w:szCs w:val="21"/>
                <w:lang w:val="en-US" w:eastAsia="zh-CN" w:bidi="ar"/>
              </w:rPr>
            </w:pPr>
            <w:r>
              <w:rPr>
                <w:rFonts w:eastAsia="仿宋_GB2312"/>
                <w:color w:val="auto"/>
                <w:kern w:val="0"/>
                <w:szCs w:val="21"/>
                <w:lang w:bidi="ar"/>
              </w:rPr>
              <w:t>甲苯</w:t>
            </w:r>
          </w:p>
        </w:tc>
        <w:tc>
          <w:tcPr>
            <w:tcW w:w="380" w:type="pct"/>
            <w:shd w:val="clear" w:color="auto" w:fill="auto"/>
            <w:vAlign w:val="center"/>
          </w:tcPr>
          <w:p w14:paraId="6523573A">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0.04</w:t>
            </w:r>
          </w:p>
        </w:tc>
        <w:tc>
          <w:tcPr>
            <w:tcW w:w="445" w:type="pct"/>
            <w:shd w:val="clear" w:color="auto" w:fill="auto"/>
            <w:vAlign w:val="center"/>
          </w:tcPr>
          <w:p w14:paraId="7FB403EE">
            <w:pPr>
              <w:widowControl/>
              <w:jc w:val="center"/>
              <w:textAlignment w:val="center"/>
              <w:rPr>
                <w:rFonts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bidi="ar"/>
              </w:rPr>
              <w:t>0.126</w:t>
            </w:r>
          </w:p>
        </w:tc>
        <w:tc>
          <w:tcPr>
            <w:tcW w:w="630" w:type="pct"/>
            <w:vMerge w:val="continue"/>
            <w:vAlign w:val="center"/>
          </w:tcPr>
          <w:p w14:paraId="5F09272C">
            <w:pPr>
              <w:jc w:val="center"/>
              <w:rPr>
                <w:rFonts w:eastAsia="仿宋_GB2312"/>
                <w:color w:val="auto"/>
                <w:szCs w:val="21"/>
              </w:rPr>
            </w:pPr>
          </w:p>
        </w:tc>
        <w:tc>
          <w:tcPr>
            <w:tcW w:w="292" w:type="pct"/>
            <w:vMerge w:val="continue"/>
            <w:vAlign w:val="center"/>
          </w:tcPr>
          <w:p w14:paraId="0F97E321">
            <w:pPr>
              <w:jc w:val="center"/>
              <w:rPr>
                <w:rFonts w:eastAsia="仿宋_GB2312"/>
                <w:color w:val="auto"/>
                <w:szCs w:val="21"/>
              </w:rPr>
            </w:pPr>
          </w:p>
        </w:tc>
      </w:tr>
      <w:tr w14:paraId="615DAC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55754E5D">
            <w:pPr>
              <w:jc w:val="center"/>
              <w:rPr>
                <w:rFonts w:eastAsia="仿宋_GB2312"/>
                <w:color w:val="auto"/>
                <w:szCs w:val="21"/>
              </w:rPr>
            </w:pPr>
          </w:p>
        </w:tc>
        <w:tc>
          <w:tcPr>
            <w:tcW w:w="358" w:type="pct"/>
            <w:vMerge w:val="continue"/>
            <w:vAlign w:val="center"/>
          </w:tcPr>
          <w:p w14:paraId="38692B83">
            <w:pPr>
              <w:jc w:val="center"/>
              <w:rPr>
                <w:rFonts w:eastAsia="仿宋_GB2312"/>
                <w:color w:val="auto"/>
                <w:szCs w:val="21"/>
              </w:rPr>
            </w:pPr>
          </w:p>
        </w:tc>
        <w:tc>
          <w:tcPr>
            <w:tcW w:w="418" w:type="pct"/>
            <w:vMerge w:val="continue"/>
            <w:vAlign w:val="center"/>
          </w:tcPr>
          <w:p w14:paraId="550C4F10">
            <w:pPr>
              <w:jc w:val="center"/>
              <w:rPr>
                <w:rFonts w:eastAsia="仿宋_GB2312"/>
                <w:color w:val="auto"/>
                <w:szCs w:val="21"/>
              </w:rPr>
            </w:pPr>
          </w:p>
        </w:tc>
        <w:tc>
          <w:tcPr>
            <w:tcW w:w="446" w:type="pct"/>
            <w:vMerge w:val="continue"/>
            <w:vAlign w:val="center"/>
          </w:tcPr>
          <w:p w14:paraId="41703977">
            <w:pPr>
              <w:jc w:val="center"/>
              <w:rPr>
                <w:rFonts w:eastAsia="仿宋_GB2312"/>
                <w:color w:val="auto"/>
                <w:szCs w:val="21"/>
              </w:rPr>
            </w:pPr>
          </w:p>
        </w:tc>
        <w:tc>
          <w:tcPr>
            <w:tcW w:w="361" w:type="pct"/>
            <w:vMerge w:val="continue"/>
            <w:vAlign w:val="center"/>
          </w:tcPr>
          <w:p w14:paraId="605B2516">
            <w:pPr>
              <w:jc w:val="center"/>
              <w:rPr>
                <w:rFonts w:eastAsia="仿宋_GB2312"/>
                <w:color w:val="auto"/>
                <w:szCs w:val="21"/>
              </w:rPr>
            </w:pPr>
          </w:p>
        </w:tc>
        <w:tc>
          <w:tcPr>
            <w:tcW w:w="498" w:type="pct"/>
            <w:vMerge w:val="continue"/>
            <w:shd w:val="clear" w:color="auto" w:fill="auto"/>
            <w:vAlign w:val="center"/>
          </w:tcPr>
          <w:p w14:paraId="0176C85E">
            <w:pPr>
              <w:keepNext w:val="0"/>
              <w:keepLines w:val="0"/>
              <w:widowControl/>
              <w:suppressLineNumbers w:val="0"/>
              <w:jc w:val="center"/>
              <w:textAlignment w:val="bottom"/>
              <w:rPr>
                <w:rFonts w:eastAsia="仿宋_GB2312"/>
                <w:color w:val="auto"/>
                <w:kern w:val="0"/>
                <w:szCs w:val="21"/>
                <w:lang w:bidi="ar"/>
              </w:rPr>
            </w:pPr>
          </w:p>
        </w:tc>
        <w:tc>
          <w:tcPr>
            <w:tcW w:w="820" w:type="pct"/>
            <w:shd w:val="clear" w:color="auto" w:fill="auto"/>
            <w:vAlign w:val="center"/>
          </w:tcPr>
          <w:p w14:paraId="52E051BD">
            <w:pPr>
              <w:widowControl/>
              <w:jc w:val="center"/>
              <w:textAlignment w:val="center"/>
              <w:rPr>
                <w:rFonts w:ascii="Times New Roman" w:hAnsi="Times New Roman" w:eastAsia="仿宋_GB2312" w:cs="Times New Roman"/>
                <w:color w:val="auto"/>
                <w:kern w:val="0"/>
                <w:sz w:val="21"/>
                <w:szCs w:val="21"/>
                <w:lang w:val="en-US" w:eastAsia="zh-CN" w:bidi="ar"/>
              </w:rPr>
            </w:pPr>
            <w:r>
              <w:rPr>
                <w:rFonts w:eastAsia="仿宋_GB2312"/>
                <w:color w:val="auto"/>
                <w:kern w:val="0"/>
                <w:szCs w:val="21"/>
                <w:lang w:bidi="ar"/>
              </w:rPr>
              <w:t>二甲苯</w:t>
            </w:r>
          </w:p>
        </w:tc>
        <w:tc>
          <w:tcPr>
            <w:tcW w:w="380" w:type="pct"/>
            <w:shd w:val="clear" w:color="auto" w:fill="auto"/>
            <w:vAlign w:val="center"/>
          </w:tcPr>
          <w:p w14:paraId="31D7B5DF">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0.05</w:t>
            </w:r>
            <w:r>
              <w:rPr>
                <w:rFonts w:hint="eastAsia" w:ascii="Times New Roman" w:hAnsi="Times New Roman" w:eastAsia="宋体" w:cs="Times New Roman"/>
                <w:i w:val="0"/>
                <w:iCs w:val="0"/>
                <w:color w:val="auto"/>
                <w:kern w:val="0"/>
                <w:sz w:val="21"/>
                <w:szCs w:val="21"/>
                <w:u w:val="none"/>
                <w:lang w:val="en-US" w:eastAsia="zh-CN" w:bidi="ar"/>
              </w:rPr>
              <w:t>6</w:t>
            </w:r>
          </w:p>
        </w:tc>
        <w:tc>
          <w:tcPr>
            <w:tcW w:w="445" w:type="pct"/>
            <w:shd w:val="clear" w:color="auto" w:fill="auto"/>
            <w:vAlign w:val="center"/>
          </w:tcPr>
          <w:p w14:paraId="33FAC87F">
            <w:pPr>
              <w:widowControl/>
              <w:jc w:val="center"/>
              <w:textAlignment w:val="center"/>
              <w:rPr>
                <w:rFonts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bidi="ar"/>
              </w:rPr>
              <w:t>0.175</w:t>
            </w:r>
          </w:p>
        </w:tc>
        <w:tc>
          <w:tcPr>
            <w:tcW w:w="630" w:type="pct"/>
            <w:vMerge w:val="continue"/>
            <w:vAlign w:val="center"/>
          </w:tcPr>
          <w:p w14:paraId="54FC3DE1">
            <w:pPr>
              <w:jc w:val="center"/>
              <w:rPr>
                <w:rFonts w:eastAsia="仿宋_GB2312"/>
                <w:color w:val="auto"/>
                <w:szCs w:val="21"/>
              </w:rPr>
            </w:pPr>
          </w:p>
        </w:tc>
        <w:tc>
          <w:tcPr>
            <w:tcW w:w="292" w:type="pct"/>
            <w:vMerge w:val="continue"/>
            <w:vAlign w:val="center"/>
          </w:tcPr>
          <w:p w14:paraId="2B17576D">
            <w:pPr>
              <w:jc w:val="center"/>
              <w:rPr>
                <w:rFonts w:eastAsia="仿宋_GB2312"/>
                <w:color w:val="auto"/>
                <w:szCs w:val="21"/>
              </w:rPr>
            </w:pPr>
          </w:p>
        </w:tc>
      </w:tr>
      <w:tr w14:paraId="1FB138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7E796418">
            <w:pPr>
              <w:jc w:val="center"/>
              <w:rPr>
                <w:rFonts w:eastAsia="仿宋_GB2312"/>
                <w:color w:val="auto"/>
                <w:szCs w:val="21"/>
              </w:rPr>
            </w:pPr>
          </w:p>
        </w:tc>
        <w:tc>
          <w:tcPr>
            <w:tcW w:w="358" w:type="pct"/>
            <w:vMerge w:val="continue"/>
            <w:vAlign w:val="center"/>
          </w:tcPr>
          <w:p w14:paraId="1D908FA6">
            <w:pPr>
              <w:jc w:val="center"/>
              <w:rPr>
                <w:rFonts w:eastAsia="仿宋_GB2312"/>
                <w:color w:val="auto"/>
                <w:szCs w:val="21"/>
              </w:rPr>
            </w:pPr>
          </w:p>
        </w:tc>
        <w:tc>
          <w:tcPr>
            <w:tcW w:w="418" w:type="pct"/>
            <w:vMerge w:val="continue"/>
            <w:vAlign w:val="center"/>
          </w:tcPr>
          <w:p w14:paraId="2825E0F5">
            <w:pPr>
              <w:jc w:val="center"/>
              <w:rPr>
                <w:rFonts w:eastAsia="仿宋_GB2312"/>
                <w:color w:val="auto"/>
                <w:szCs w:val="21"/>
              </w:rPr>
            </w:pPr>
          </w:p>
        </w:tc>
        <w:tc>
          <w:tcPr>
            <w:tcW w:w="446" w:type="pct"/>
            <w:vMerge w:val="continue"/>
            <w:vAlign w:val="center"/>
          </w:tcPr>
          <w:p w14:paraId="4CC55C23">
            <w:pPr>
              <w:jc w:val="center"/>
              <w:rPr>
                <w:rFonts w:eastAsia="仿宋_GB2312"/>
                <w:color w:val="auto"/>
                <w:szCs w:val="21"/>
              </w:rPr>
            </w:pPr>
          </w:p>
        </w:tc>
        <w:tc>
          <w:tcPr>
            <w:tcW w:w="361" w:type="pct"/>
            <w:vMerge w:val="continue"/>
            <w:vAlign w:val="center"/>
          </w:tcPr>
          <w:p w14:paraId="43D34479">
            <w:pPr>
              <w:jc w:val="center"/>
              <w:rPr>
                <w:rFonts w:eastAsia="仿宋_GB2312"/>
                <w:color w:val="auto"/>
                <w:szCs w:val="21"/>
              </w:rPr>
            </w:pPr>
          </w:p>
        </w:tc>
        <w:tc>
          <w:tcPr>
            <w:tcW w:w="498" w:type="pct"/>
            <w:vMerge w:val="continue"/>
            <w:shd w:val="clear" w:color="auto" w:fill="auto"/>
            <w:vAlign w:val="center"/>
          </w:tcPr>
          <w:p w14:paraId="2D2E5B7D">
            <w:pPr>
              <w:keepNext w:val="0"/>
              <w:keepLines w:val="0"/>
              <w:widowControl/>
              <w:suppressLineNumbers w:val="0"/>
              <w:jc w:val="center"/>
              <w:textAlignment w:val="bottom"/>
              <w:rPr>
                <w:rFonts w:eastAsia="仿宋_GB2312"/>
                <w:color w:val="auto"/>
                <w:kern w:val="0"/>
                <w:szCs w:val="21"/>
                <w:lang w:bidi="ar"/>
              </w:rPr>
            </w:pPr>
          </w:p>
        </w:tc>
        <w:tc>
          <w:tcPr>
            <w:tcW w:w="820" w:type="pct"/>
            <w:shd w:val="clear" w:color="auto" w:fill="auto"/>
            <w:vAlign w:val="center"/>
          </w:tcPr>
          <w:p w14:paraId="6E191739">
            <w:pPr>
              <w:widowControl/>
              <w:jc w:val="center"/>
              <w:textAlignment w:val="center"/>
              <w:rPr>
                <w:rFonts w:ascii="Times New Roman" w:hAnsi="Times New Roman" w:eastAsia="仿宋_GB2312" w:cs="Times New Roman"/>
                <w:color w:val="auto"/>
                <w:kern w:val="0"/>
                <w:sz w:val="21"/>
                <w:szCs w:val="21"/>
                <w:lang w:val="en-US" w:eastAsia="zh-CN" w:bidi="ar"/>
              </w:rPr>
            </w:pPr>
            <w:r>
              <w:rPr>
                <w:rFonts w:eastAsia="仿宋_GB2312"/>
                <w:color w:val="auto"/>
                <w:kern w:val="0"/>
                <w:szCs w:val="21"/>
                <w:lang w:bidi="ar"/>
              </w:rPr>
              <w:t>环己酮</w:t>
            </w:r>
          </w:p>
        </w:tc>
        <w:tc>
          <w:tcPr>
            <w:tcW w:w="380" w:type="pct"/>
            <w:shd w:val="clear" w:color="auto" w:fill="auto"/>
            <w:vAlign w:val="center"/>
          </w:tcPr>
          <w:p w14:paraId="52BDF6CC">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0.03</w:t>
            </w:r>
          </w:p>
        </w:tc>
        <w:tc>
          <w:tcPr>
            <w:tcW w:w="445" w:type="pct"/>
            <w:shd w:val="clear" w:color="auto" w:fill="auto"/>
            <w:vAlign w:val="center"/>
          </w:tcPr>
          <w:p w14:paraId="7AE9BF85">
            <w:pPr>
              <w:widowControl/>
              <w:jc w:val="center"/>
              <w:textAlignment w:val="center"/>
              <w:rPr>
                <w:rFonts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bidi="ar"/>
              </w:rPr>
              <w:t>0.095</w:t>
            </w:r>
          </w:p>
        </w:tc>
        <w:tc>
          <w:tcPr>
            <w:tcW w:w="630" w:type="pct"/>
            <w:vMerge w:val="continue"/>
            <w:vAlign w:val="center"/>
          </w:tcPr>
          <w:p w14:paraId="66C255F7">
            <w:pPr>
              <w:jc w:val="center"/>
              <w:rPr>
                <w:rFonts w:eastAsia="仿宋_GB2312"/>
                <w:color w:val="auto"/>
                <w:szCs w:val="21"/>
              </w:rPr>
            </w:pPr>
          </w:p>
        </w:tc>
        <w:tc>
          <w:tcPr>
            <w:tcW w:w="292" w:type="pct"/>
            <w:vMerge w:val="continue"/>
            <w:vAlign w:val="center"/>
          </w:tcPr>
          <w:p w14:paraId="0AA60019">
            <w:pPr>
              <w:jc w:val="center"/>
              <w:rPr>
                <w:rFonts w:eastAsia="仿宋_GB2312"/>
                <w:color w:val="auto"/>
                <w:szCs w:val="21"/>
              </w:rPr>
            </w:pPr>
          </w:p>
        </w:tc>
      </w:tr>
      <w:tr w14:paraId="7AF337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0312FE8A">
            <w:pPr>
              <w:jc w:val="center"/>
              <w:rPr>
                <w:rFonts w:eastAsia="仿宋_GB2312"/>
                <w:color w:val="auto"/>
                <w:szCs w:val="21"/>
              </w:rPr>
            </w:pPr>
          </w:p>
        </w:tc>
        <w:tc>
          <w:tcPr>
            <w:tcW w:w="358" w:type="pct"/>
            <w:vMerge w:val="continue"/>
            <w:vAlign w:val="center"/>
          </w:tcPr>
          <w:p w14:paraId="3EA0F957">
            <w:pPr>
              <w:jc w:val="center"/>
              <w:rPr>
                <w:rFonts w:eastAsia="仿宋_GB2312"/>
                <w:color w:val="auto"/>
                <w:szCs w:val="21"/>
              </w:rPr>
            </w:pPr>
          </w:p>
        </w:tc>
        <w:tc>
          <w:tcPr>
            <w:tcW w:w="418" w:type="pct"/>
            <w:vMerge w:val="continue"/>
            <w:vAlign w:val="center"/>
          </w:tcPr>
          <w:p w14:paraId="64F3F846">
            <w:pPr>
              <w:jc w:val="center"/>
              <w:rPr>
                <w:rFonts w:eastAsia="仿宋_GB2312"/>
                <w:color w:val="auto"/>
                <w:szCs w:val="21"/>
              </w:rPr>
            </w:pPr>
          </w:p>
        </w:tc>
        <w:tc>
          <w:tcPr>
            <w:tcW w:w="446" w:type="pct"/>
            <w:vMerge w:val="continue"/>
            <w:vAlign w:val="center"/>
          </w:tcPr>
          <w:p w14:paraId="6A49BA2A">
            <w:pPr>
              <w:jc w:val="center"/>
              <w:rPr>
                <w:rFonts w:eastAsia="仿宋_GB2312"/>
                <w:color w:val="auto"/>
                <w:szCs w:val="21"/>
              </w:rPr>
            </w:pPr>
          </w:p>
        </w:tc>
        <w:tc>
          <w:tcPr>
            <w:tcW w:w="361" w:type="pct"/>
            <w:vMerge w:val="continue"/>
            <w:vAlign w:val="center"/>
          </w:tcPr>
          <w:p w14:paraId="6595E332">
            <w:pPr>
              <w:jc w:val="center"/>
              <w:rPr>
                <w:rFonts w:eastAsia="仿宋_GB2312"/>
                <w:color w:val="auto"/>
                <w:szCs w:val="21"/>
              </w:rPr>
            </w:pPr>
          </w:p>
        </w:tc>
        <w:tc>
          <w:tcPr>
            <w:tcW w:w="498" w:type="pct"/>
            <w:vMerge w:val="continue"/>
            <w:shd w:val="clear" w:color="auto" w:fill="auto"/>
            <w:vAlign w:val="center"/>
          </w:tcPr>
          <w:p w14:paraId="06EBF874">
            <w:pPr>
              <w:keepNext w:val="0"/>
              <w:keepLines w:val="0"/>
              <w:widowControl/>
              <w:suppressLineNumbers w:val="0"/>
              <w:jc w:val="center"/>
              <w:textAlignment w:val="bottom"/>
              <w:rPr>
                <w:rFonts w:eastAsia="仿宋_GB2312"/>
                <w:color w:val="auto"/>
                <w:kern w:val="0"/>
                <w:szCs w:val="21"/>
                <w:lang w:bidi="ar"/>
              </w:rPr>
            </w:pPr>
          </w:p>
        </w:tc>
        <w:tc>
          <w:tcPr>
            <w:tcW w:w="820" w:type="pct"/>
            <w:shd w:val="clear" w:color="auto" w:fill="auto"/>
            <w:vAlign w:val="center"/>
          </w:tcPr>
          <w:p w14:paraId="299AFD8D">
            <w:pPr>
              <w:widowControl/>
              <w:jc w:val="center"/>
              <w:textAlignment w:val="center"/>
              <w:rPr>
                <w:rFonts w:ascii="Times New Roman" w:hAnsi="Times New Roman" w:eastAsia="仿宋_GB2312" w:cs="Times New Roman"/>
                <w:b/>
                <w:bCs/>
                <w:color w:val="auto"/>
                <w:kern w:val="0"/>
                <w:sz w:val="21"/>
                <w:szCs w:val="21"/>
                <w:lang w:val="en-US" w:eastAsia="zh-CN" w:bidi="ar"/>
              </w:rPr>
            </w:pPr>
            <w:r>
              <w:rPr>
                <w:rFonts w:eastAsia="仿宋_GB2312"/>
                <w:color w:val="auto"/>
                <w:kern w:val="0"/>
                <w:szCs w:val="21"/>
                <w:lang w:bidi="ar"/>
              </w:rPr>
              <w:t>其他有机物</w:t>
            </w:r>
          </w:p>
        </w:tc>
        <w:tc>
          <w:tcPr>
            <w:tcW w:w="380" w:type="pct"/>
            <w:shd w:val="clear" w:color="auto" w:fill="auto"/>
            <w:vAlign w:val="center"/>
          </w:tcPr>
          <w:p w14:paraId="1B575992">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0.062</w:t>
            </w:r>
          </w:p>
        </w:tc>
        <w:tc>
          <w:tcPr>
            <w:tcW w:w="445" w:type="pct"/>
            <w:shd w:val="clear" w:color="auto" w:fill="auto"/>
            <w:vAlign w:val="center"/>
          </w:tcPr>
          <w:p w14:paraId="2A1A9381">
            <w:pPr>
              <w:widowControl/>
              <w:jc w:val="center"/>
              <w:textAlignment w:val="center"/>
              <w:rPr>
                <w:rFonts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bidi="ar"/>
              </w:rPr>
              <w:t>0.197</w:t>
            </w:r>
          </w:p>
        </w:tc>
        <w:tc>
          <w:tcPr>
            <w:tcW w:w="630" w:type="pct"/>
            <w:vMerge w:val="continue"/>
            <w:vAlign w:val="center"/>
          </w:tcPr>
          <w:p w14:paraId="0A426046">
            <w:pPr>
              <w:jc w:val="center"/>
              <w:rPr>
                <w:rFonts w:eastAsia="仿宋_GB2312"/>
                <w:color w:val="auto"/>
                <w:szCs w:val="21"/>
              </w:rPr>
            </w:pPr>
          </w:p>
        </w:tc>
        <w:tc>
          <w:tcPr>
            <w:tcW w:w="292" w:type="pct"/>
            <w:vMerge w:val="continue"/>
            <w:vAlign w:val="center"/>
          </w:tcPr>
          <w:p w14:paraId="31167638">
            <w:pPr>
              <w:jc w:val="center"/>
              <w:rPr>
                <w:rFonts w:eastAsia="仿宋_GB2312"/>
                <w:color w:val="auto"/>
                <w:szCs w:val="21"/>
              </w:rPr>
            </w:pPr>
          </w:p>
        </w:tc>
      </w:tr>
      <w:tr w14:paraId="47E2F33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2EDEA133">
            <w:pPr>
              <w:jc w:val="center"/>
              <w:rPr>
                <w:rFonts w:eastAsia="仿宋_GB2312"/>
                <w:color w:val="auto"/>
                <w:szCs w:val="21"/>
              </w:rPr>
            </w:pPr>
          </w:p>
        </w:tc>
        <w:tc>
          <w:tcPr>
            <w:tcW w:w="358" w:type="pct"/>
            <w:vMerge w:val="continue"/>
            <w:vAlign w:val="center"/>
          </w:tcPr>
          <w:p w14:paraId="529B37BB">
            <w:pPr>
              <w:jc w:val="center"/>
              <w:rPr>
                <w:rFonts w:eastAsia="仿宋_GB2312"/>
                <w:color w:val="auto"/>
                <w:szCs w:val="21"/>
              </w:rPr>
            </w:pPr>
          </w:p>
        </w:tc>
        <w:tc>
          <w:tcPr>
            <w:tcW w:w="418" w:type="pct"/>
            <w:vMerge w:val="restart"/>
            <w:vAlign w:val="center"/>
          </w:tcPr>
          <w:p w14:paraId="43BC82A9">
            <w:pPr>
              <w:jc w:val="center"/>
              <w:rPr>
                <w:rFonts w:eastAsia="仿宋_GB2312"/>
                <w:color w:val="auto"/>
                <w:szCs w:val="21"/>
              </w:rPr>
            </w:pPr>
            <w:r>
              <w:rPr>
                <w:rFonts w:eastAsia="仿宋_GB2312"/>
                <w:color w:val="auto"/>
                <w:kern w:val="0"/>
                <w:szCs w:val="21"/>
                <w:lang w:bidi="ar"/>
              </w:rPr>
              <w:t>G</w:t>
            </w:r>
            <w:r>
              <w:rPr>
                <w:rFonts w:hint="eastAsia" w:eastAsia="仿宋_GB2312"/>
                <w:color w:val="auto"/>
                <w:kern w:val="0"/>
                <w:szCs w:val="21"/>
                <w:lang w:val="en-US" w:eastAsia="zh-CN" w:bidi="ar"/>
              </w:rPr>
              <w:t>2</w:t>
            </w:r>
            <w:r>
              <w:rPr>
                <w:rFonts w:eastAsia="仿宋_GB2312"/>
                <w:color w:val="auto"/>
                <w:kern w:val="0"/>
                <w:szCs w:val="21"/>
                <w:lang w:bidi="ar"/>
              </w:rPr>
              <w:t>-</w:t>
            </w:r>
            <w:r>
              <w:rPr>
                <w:rFonts w:hint="eastAsia" w:eastAsia="仿宋_GB2312"/>
                <w:color w:val="auto"/>
                <w:kern w:val="0"/>
                <w:szCs w:val="21"/>
                <w:lang w:val="en-US" w:eastAsia="zh-CN" w:bidi="ar"/>
              </w:rPr>
              <w:t>2</w:t>
            </w:r>
            <w:r>
              <w:rPr>
                <w:rFonts w:eastAsia="仿宋_GB2312"/>
                <w:color w:val="auto"/>
                <w:kern w:val="0"/>
                <w:szCs w:val="21"/>
                <w:lang w:bidi="ar"/>
              </w:rPr>
              <w:t>-5</w:t>
            </w:r>
          </w:p>
        </w:tc>
        <w:tc>
          <w:tcPr>
            <w:tcW w:w="446" w:type="pct"/>
            <w:vMerge w:val="restart"/>
            <w:vAlign w:val="center"/>
          </w:tcPr>
          <w:p w14:paraId="1E93F5AC">
            <w:pPr>
              <w:jc w:val="center"/>
              <w:rPr>
                <w:rFonts w:eastAsia="仿宋_GB2312"/>
                <w:color w:val="auto"/>
                <w:szCs w:val="21"/>
              </w:rPr>
            </w:pPr>
            <w:r>
              <w:rPr>
                <w:rFonts w:eastAsia="仿宋_GB2312"/>
                <w:color w:val="auto"/>
                <w:kern w:val="0"/>
                <w:szCs w:val="21"/>
                <w:lang w:bidi="ar"/>
              </w:rPr>
              <w:t>灌装废气</w:t>
            </w:r>
          </w:p>
        </w:tc>
        <w:tc>
          <w:tcPr>
            <w:tcW w:w="361" w:type="pct"/>
            <w:vMerge w:val="restart"/>
            <w:shd w:val="clear" w:color="auto" w:fill="auto"/>
            <w:vAlign w:val="center"/>
          </w:tcPr>
          <w:p w14:paraId="67D80C3C">
            <w:pPr>
              <w:jc w:val="center"/>
              <w:rPr>
                <w:rFonts w:hint="default" w:ascii="Times New Roman" w:hAnsi="Times New Roman" w:eastAsia="仿宋_GB2312" w:cs="Times New Roman"/>
                <w:color w:val="auto"/>
                <w:kern w:val="2"/>
                <w:sz w:val="21"/>
                <w:szCs w:val="21"/>
                <w:lang w:val="en-US" w:eastAsia="zh-CN" w:bidi="ar-SA"/>
              </w:rPr>
            </w:pPr>
            <w:r>
              <w:rPr>
                <w:rFonts w:hint="eastAsia" w:eastAsia="仿宋_GB2312"/>
                <w:color w:val="auto"/>
                <w:szCs w:val="21"/>
                <w:lang w:val="en-US" w:eastAsia="zh-CN"/>
              </w:rPr>
              <w:t>2000</w:t>
            </w:r>
          </w:p>
        </w:tc>
        <w:tc>
          <w:tcPr>
            <w:tcW w:w="498" w:type="pct"/>
            <w:vMerge w:val="restart"/>
            <w:shd w:val="clear" w:color="auto" w:fill="auto"/>
            <w:vAlign w:val="center"/>
          </w:tcPr>
          <w:p w14:paraId="6CBF6F34">
            <w:pPr>
              <w:keepNext w:val="0"/>
              <w:keepLines w:val="0"/>
              <w:widowControl/>
              <w:suppressLineNumbers w:val="0"/>
              <w:jc w:val="center"/>
              <w:textAlignment w:val="bottom"/>
              <w:rPr>
                <w:rFonts w:eastAsia="仿宋_GB2312"/>
                <w:color w:val="auto"/>
                <w:kern w:val="0"/>
                <w:szCs w:val="21"/>
                <w:lang w:bidi="ar"/>
              </w:rPr>
            </w:pPr>
            <w:r>
              <w:rPr>
                <w:rFonts w:hint="default" w:ascii="Times New Roman" w:hAnsi="Times New Roman" w:eastAsia="宋体" w:cs="Times New Roman"/>
                <w:i w:val="0"/>
                <w:iCs w:val="0"/>
                <w:color w:val="auto"/>
                <w:kern w:val="0"/>
                <w:sz w:val="21"/>
                <w:szCs w:val="21"/>
                <w:u w:val="none"/>
                <w:lang w:val="en-US" w:eastAsia="zh-CN" w:bidi="ar"/>
              </w:rPr>
              <w:t>1564</w:t>
            </w:r>
          </w:p>
        </w:tc>
        <w:tc>
          <w:tcPr>
            <w:tcW w:w="820" w:type="pct"/>
            <w:shd w:val="clear" w:color="auto" w:fill="auto"/>
            <w:vAlign w:val="center"/>
          </w:tcPr>
          <w:p w14:paraId="1903F4EC">
            <w:pPr>
              <w:widowControl/>
              <w:jc w:val="center"/>
              <w:textAlignment w:val="center"/>
              <w:rPr>
                <w:rFonts w:ascii="Times New Roman" w:hAnsi="Times New Roman" w:eastAsia="仿宋_GB2312" w:cs="Times New Roman"/>
                <w:b/>
                <w:bCs/>
                <w:color w:val="auto"/>
                <w:kern w:val="0"/>
                <w:sz w:val="21"/>
                <w:szCs w:val="21"/>
                <w:lang w:val="en-US" w:eastAsia="zh-CN" w:bidi="ar"/>
              </w:rPr>
            </w:pPr>
            <w:r>
              <w:rPr>
                <w:rFonts w:eastAsia="仿宋_GB2312"/>
                <w:color w:val="auto"/>
                <w:kern w:val="0"/>
                <w:szCs w:val="21"/>
                <w:lang w:bidi="ar"/>
              </w:rPr>
              <w:t>甲苯</w:t>
            </w:r>
          </w:p>
        </w:tc>
        <w:tc>
          <w:tcPr>
            <w:tcW w:w="380" w:type="pct"/>
            <w:shd w:val="clear" w:color="auto" w:fill="auto"/>
            <w:vAlign w:val="center"/>
          </w:tcPr>
          <w:p w14:paraId="7E3DD495">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2.572</w:t>
            </w:r>
          </w:p>
        </w:tc>
        <w:tc>
          <w:tcPr>
            <w:tcW w:w="445" w:type="pct"/>
            <w:shd w:val="clear" w:color="auto" w:fill="auto"/>
            <w:vAlign w:val="center"/>
          </w:tcPr>
          <w:p w14:paraId="61595469">
            <w:pPr>
              <w:widowControl/>
              <w:jc w:val="center"/>
              <w:textAlignment w:val="center"/>
              <w:rPr>
                <w:rFonts w:ascii="Times New Roman" w:hAnsi="Times New Roman" w:eastAsia="仿宋_GB2312" w:cs="Times New Roman"/>
                <w:color w:val="auto"/>
                <w:kern w:val="0"/>
                <w:sz w:val="21"/>
                <w:szCs w:val="21"/>
                <w:lang w:val="en-US" w:eastAsia="zh-CN" w:bidi="ar"/>
              </w:rPr>
            </w:pPr>
            <w:r>
              <w:rPr>
                <w:rFonts w:hint="eastAsia" w:ascii="Times New Roman" w:hAnsi="Times New Roman" w:eastAsia="仿宋_GB2312" w:cs="Times New Roman"/>
                <w:color w:val="auto"/>
                <w:kern w:val="0"/>
                <w:szCs w:val="21"/>
                <w:lang w:val="en-US" w:eastAsia="zh-CN" w:bidi="ar"/>
              </w:rPr>
              <w:t>4.024</w:t>
            </w:r>
          </w:p>
        </w:tc>
        <w:tc>
          <w:tcPr>
            <w:tcW w:w="630" w:type="pct"/>
            <w:vMerge w:val="restart"/>
            <w:shd w:val="clear" w:color="auto" w:fill="auto"/>
            <w:vAlign w:val="center"/>
          </w:tcPr>
          <w:p w14:paraId="2964F83C">
            <w:pPr>
              <w:jc w:val="center"/>
              <w:rPr>
                <w:rFonts w:ascii="Times New Roman" w:hAnsi="Times New Roman" w:eastAsia="仿宋_GB2312" w:cs="Times New Roman"/>
                <w:color w:val="auto"/>
                <w:kern w:val="2"/>
                <w:sz w:val="21"/>
                <w:szCs w:val="24"/>
                <w:lang w:val="en-US" w:eastAsia="zh-CN" w:bidi="ar-SA"/>
              </w:rPr>
            </w:pPr>
            <w:r>
              <w:rPr>
                <w:rFonts w:hint="eastAsia" w:eastAsia="仿宋_GB2312"/>
                <w:color w:val="auto"/>
                <w:szCs w:val="21"/>
              </w:rPr>
              <w:t>冷凝+酸吸收+碱吸收+水洗+活性炭吸附/脱附</w:t>
            </w:r>
          </w:p>
        </w:tc>
        <w:tc>
          <w:tcPr>
            <w:tcW w:w="292" w:type="pct"/>
            <w:vMerge w:val="restart"/>
            <w:shd w:val="clear" w:color="auto" w:fill="auto"/>
            <w:vAlign w:val="center"/>
          </w:tcPr>
          <w:p w14:paraId="0AD4EB90">
            <w:pPr>
              <w:jc w:val="center"/>
              <w:rPr>
                <w:rFonts w:ascii="Times New Roman" w:hAnsi="Times New Roman" w:eastAsia="仿宋_GB2312" w:cs="Times New Roman"/>
                <w:color w:val="auto"/>
                <w:kern w:val="2"/>
                <w:sz w:val="21"/>
                <w:szCs w:val="24"/>
                <w:lang w:val="en-US" w:eastAsia="zh-CN" w:bidi="ar-SA"/>
              </w:rPr>
            </w:pPr>
            <w:r>
              <w:rPr>
                <w:rFonts w:hint="eastAsia" w:eastAsia="仿宋_GB2312"/>
                <w:color w:val="auto"/>
              </w:rPr>
              <w:t>DA005</w:t>
            </w:r>
          </w:p>
        </w:tc>
      </w:tr>
      <w:tr w14:paraId="0CEFEF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0D61BA03">
            <w:pPr>
              <w:jc w:val="center"/>
              <w:rPr>
                <w:rFonts w:eastAsia="仿宋_GB2312"/>
                <w:color w:val="auto"/>
                <w:szCs w:val="21"/>
              </w:rPr>
            </w:pPr>
          </w:p>
        </w:tc>
        <w:tc>
          <w:tcPr>
            <w:tcW w:w="358" w:type="pct"/>
            <w:vMerge w:val="continue"/>
            <w:vAlign w:val="center"/>
          </w:tcPr>
          <w:p w14:paraId="2BEFFF7E">
            <w:pPr>
              <w:jc w:val="center"/>
              <w:rPr>
                <w:rFonts w:eastAsia="仿宋_GB2312"/>
                <w:color w:val="auto"/>
                <w:szCs w:val="21"/>
              </w:rPr>
            </w:pPr>
          </w:p>
        </w:tc>
        <w:tc>
          <w:tcPr>
            <w:tcW w:w="418" w:type="pct"/>
            <w:vMerge w:val="continue"/>
            <w:vAlign w:val="center"/>
          </w:tcPr>
          <w:p w14:paraId="62731AFE">
            <w:pPr>
              <w:jc w:val="center"/>
              <w:rPr>
                <w:rFonts w:eastAsia="仿宋_GB2312"/>
                <w:color w:val="auto"/>
                <w:szCs w:val="21"/>
              </w:rPr>
            </w:pPr>
          </w:p>
        </w:tc>
        <w:tc>
          <w:tcPr>
            <w:tcW w:w="446" w:type="pct"/>
            <w:vMerge w:val="continue"/>
            <w:vAlign w:val="center"/>
          </w:tcPr>
          <w:p w14:paraId="09DA216E">
            <w:pPr>
              <w:jc w:val="center"/>
              <w:rPr>
                <w:rFonts w:eastAsia="仿宋_GB2312"/>
                <w:color w:val="auto"/>
                <w:szCs w:val="21"/>
              </w:rPr>
            </w:pPr>
          </w:p>
        </w:tc>
        <w:tc>
          <w:tcPr>
            <w:tcW w:w="361" w:type="pct"/>
            <w:vMerge w:val="continue"/>
            <w:vAlign w:val="center"/>
          </w:tcPr>
          <w:p w14:paraId="547E91CD">
            <w:pPr>
              <w:jc w:val="center"/>
              <w:rPr>
                <w:rFonts w:eastAsia="仿宋_GB2312"/>
                <w:color w:val="auto"/>
                <w:szCs w:val="21"/>
              </w:rPr>
            </w:pPr>
          </w:p>
        </w:tc>
        <w:tc>
          <w:tcPr>
            <w:tcW w:w="498" w:type="pct"/>
            <w:vMerge w:val="continue"/>
            <w:shd w:val="clear" w:color="auto" w:fill="auto"/>
            <w:vAlign w:val="center"/>
          </w:tcPr>
          <w:p w14:paraId="1F4C7595">
            <w:pPr>
              <w:keepNext w:val="0"/>
              <w:keepLines w:val="0"/>
              <w:widowControl/>
              <w:suppressLineNumbers w:val="0"/>
              <w:jc w:val="center"/>
              <w:textAlignment w:val="bottom"/>
              <w:rPr>
                <w:rFonts w:eastAsia="仿宋_GB2312"/>
                <w:color w:val="auto"/>
                <w:kern w:val="0"/>
                <w:szCs w:val="21"/>
                <w:lang w:bidi="ar"/>
              </w:rPr>
            </w:pPr>
          </w:p>
        </w:tc>
        <w:tc>
          <w:tcPr>
            <w:tcW w:w="820" w:type="pct"/>
            <w:shd w:val="clear" w:color="auto" w:fill="auto"/>
            <w:vAlign w:val="center"/>
          </w:tcPr>
          <w:p w14:paraId="36698CBF">
            <w:pPr>
              <w:widowControl/>
              <w:jc w:val="center"/>
              <w:textAlignment w:val="center"/>
              <w:rPr>
                <w:rFonts w:ascii="Times New Roman" w:hAnsi="Times New Roman" w:eastAsia="仿宋_GB2312" w:cs="Times New Roman"/>
                <w:color w:val="auto"/>
                <w:kern w:val="0"/>
                <w:sz w:val="21"/>
                <w:szCs w:val="21"/>
                <w:lang w:val="en-US" w:eastAsia="zh-CN" w:bidi="ar"/>
              </w:rPr>
            </w:pPr>
            <w:r>
              <w:rPr>
                <w:rFonts w:eastAsia="仿宋_GB2312"/>
                <w:color w:val="auto"/>
                <w:kern w:val="0"/>
                <w:szCs w:val="21"/>
                <w:lang w:bidi="ar"/>
              </w:rPr>
              <w:t>二甲苯</w:t>
            </w:r>
          </w:p>
        </w:tc>
        <w:tc>
          <w:tcPr>
            <w:tcW w:w="380" w:type="pct"/>
            <w:shd w:val="clear" w:color="auto" w:fill="auto"/>
            <w:vAlign w:val="center"/>
          </w:tcPr>
          <w:p w14:paraId="01024973">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0.00</w:t>
            </w:r>
            <w:r>
              <w:rPr>
                <w:rFonts w:hint="eastAsia" w:ascii="Times New Roman" w:hAnsi="Times New Roman" w:eastAsia="宋体" w:cs="Times New Roman"/>
                <w:i w:val="0"/>
                <w:iCs w:val="0"/>
                <w:color w:val="auto"/>
                <w:kern w:val="0"/>
                <w:sz w:val="21"/>
                <w:szCs w:val="21"/>
                <w:u w:val="none"/>
                <w:lang w:val="en-US" w:eastAsia="zh-CN" w:bidi="ar"/>
              </w:rPr>
              <w:t>2</w:t>
            </w:r>
          </w:p>
        </w:tc>
        <w:tc>
          <w:tcPr>
            <w:tcW w:w="445" w:type="pct"/>
            <w:shd w:val="clear" w:color="auto" w:fill="auto"/>
            <w:vAlign w:val="center"/>
          </w:tcPr>
          <w:p w14:paraId="0FCF1405">
            <w:pPr>
              <w:widowControl/>
              <w:jc w:val="center"/>
              <w:textAlignment w:val="center"/>
              <w:rPr>
                <w:rFonts w:ascii="Times New Roman" w:hAnsi="Times New Roman" w:eastAsia="仿宋_GB2312" w:cs="Times New Roman"/>
                <w:color w:val="auto"/>
                <w:kern w:val="0"/>
                <w:sz w:val="21"/>
                <w:szCs w:val="21"/>
                <w:lang w:val="en-US" w:eastAsia="zh-CN" w:bidi="ar"/>
              </w:rPr>
            </w:pPr>
            <w:r>
              <w:rPr>
                <w:rFonts w:hint="eastAsia" w:ascii="Times New Roman" w:hAnsi="Times New Roman" w:eastAsia="仿宋_GB2312" w:cs="Times New Roman"/>
                <w:color w:val="auto"/>
                <w:kern w:val="0"/>
                <w:szCs w:val="21"/>
                <w:lang w:val="en-US" w:eastAsia="zh-CN" w:bidi="ar"/>
              </w:rPr>
              <w:t>0.00297</w:t>
            </w:r>
          </w:p>
        </w:tc>
        <w:tc>
          <w:tcPr>
            <w:tcW w:w="630" w:type="pct"/>
            <w:vMerge w:val="continue"/>
            <w:vAlign w:val="center"/>
          </w:tcPr>
          <w:p w14:paraId="37827104">
            <w:pPr>
              <w:jc w:val="center"/>
              <w:rPr>
                <w:rFonts w:eastAsia="仿宋_GB2312"/>
                <w:color w:val="auto"/>
                <w:szCs w:val="21"/>
              </w:rPr>
            </w:pPr>
          </w:p>
        </w:tc>
        <w:tc>
          <w:tcPr>
            <w:tcW w:w="292" w:type="pct"/>
            <w:vMerge w:val="continue"/>
            <w:vAlign w:val="center"/>
          </w:tcPr>
          <w:p w14:paraId="5BA42AF6">
            <w:pPr>
              <w:jc w:val="center"/>
              <w:rPr>
                <w:rFonts w:eastAsia="仿宋_GB2312"/>
                <w:color w:val="auto"/>
                <w:szCs w:val="21"/>
              </w:rPr>
            </w:pPr>
          </w:p>
        </w:tc>
      </w:tr>
      <w:tr w14:paraId="5C43AC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18E4C137">
            <w:pPr>
              <w:jc w:val="center"/>
              <w:rPr>
                <w:rFonts w:eastAsia="仿宋_GB2312"/>
                <w:color w:val="auto"/>
                <w:szCs w:val="21"/>
              </w:rPr>
            </w:pPr>
          </w:p>
        </w:tc>
        <w:tc>
          <w:tcPr>
            <w:tcW w:w="358" w:type="pct"/>
            <w:vMerge w:val="continue"/>
            <w:vAlign w:val="center"/>
          </w:tcPr>
          <w:p w14:paraId="413BD940">
            <w:pPr>
              <w:jc w:val="center"/>
              <w:rPr>
                <w:rFonts w:eastAsia="仿宋_GB2312"/>
                <w:color w:val="auto"/>
                <w:szCs w:val="21"/>
              </w:rPr>
            </w:pPr>
          </w:p>
        </w:tc>
        <w:tc>
          <w:tcPr>
            <w:tcW w:w="418" w:type="pct"/>
            <w:vMerge w:val="continue"/>
            <w:vAlign w:val="center"/>
          </w:tcPr>
          <w:p w14:paraId="3F59468A">
            <w:pPr>
              <w:jc w:val="center"/>
              <w:rPr>
                <w:rFonts w:eastAsia="仿宋_GB2312"/>
                <w:color w:val="auto"/>
                <w:szCs w:val="21"/>
              </w:rPr>
            </w:pPr>
          </w:p>
        </w:tc>
        <w:tc>
          <w:tcPr>
            <w:tcW w:w="446" w:type="pct"/>
            <w:vMerge w:val="continue"/>
            <w:vAlign w:val="center"/>
          </w:tcPr>
          <w:p w14:paraId="2D4B8293">
            <w:pPr>
              <w:jc w:val="center"/>
              <w:rPr>
                <w:rFonts w:eastAsia="仿宋_GB2312"/>
                <w:color w:val="auto"/>
                <w:szCs w:val="21"/>
              </w:rPr>
            </w:pPr>
          </w:p>
        </w:tc>
        <w:tc>
          <w:tcPr>
            <w:tcW w:w="361" w:type="pct"/>
            <w:vMerge w:val="continue"/>
            <w:vAlign w:val="center"/>
          </w:tcPr>
          <w:p w14:paraId="7489CC7A">
            <w:pPr>
              <w:jc w:val="center"/>
              <w:rPr>
                <w:rFonts w:eastAsia="仿宋_GB2312"/>
                <w:color w:val="auto"/>
                <w:szCs w:val="21"/>
              </w:rPr>
            </w:pPr>
          </w:p>
        </w:tc>
        <w:tc>
          <w:tcPr>
            <w:tcW w:w="498" w:type="pct"/>
            <w:vMerge w:val="continue"/>
            <w:shd w:val="clear" w:color="auto" w:fill="auto"/>
            <w:vAlign w:val="center"/>
          </w:tcPr>
          <w:p w14:paraId="34C66A55">
            <w:pPr>
              <w:keepNext w:val="0"/>
              <w:keepLines w:val="0"/>
              <w:widowControl/>
              <w:suppressLineNumbers w:val="0"/>
              <w:jc w:val="center"/>
              <w:textAlignment w:val="bottom"/>
              <w:rPr>
                <w:rFonts w:eastAsia="仿宋_GB2312"/>
                <w:color w:val="auto"/>
                <w:kern w:val="0"/>
                <w:szCs w:val="21"/>
                <w:lang w:bidi="ar"/>
              </w:rPr>
            </w:pPr>
          </w:p>
        </w:tc>
        <w:tc>
          <w:tcPr>
            <w:tcW w:w="820" w:type="pct"/>
            <w:shd w:val="clear" w:color="auto" w:fill="auto"/>
            <w:vAlign w:val="center"/>
          </w:tcPr>
          <w:p w14:paraId="1E34F41C">
            <w:pPr>
              <w:widowControl/>
              <w:jc w:val="center"/>
              <w:textAlignment w:val="center"/>
              <w:rPr>
                <w:rFonts w:ascii="Times New Roman" w:hAnsi="Times New Roman" w:eastAsia="仿宋_GB2312" w:cs="Times New Roman"/>
                <w:color w:val="auto"/>
                <w:kern w:val="0"/>
                <w:sz w:val="21"/>
                <w:szCs w:val="21"/>
                <w:lang w:val="en-US" w:eastAsia="zh-CN" w:bidi="ar"/>
              </w:rPr>
            </w:pPr>
            <w:r>
              <w:rPr>
                <w:rFonts w:eastAsia="仿宋_GB2312"/>
                <w:color w:val="auto"/>
                <w:kern w:val="0"/>
                <w:szCs w:val="21"/>
                <w:lang w:bidi="ar"/>
              </w:rPr>
              <w:t>环己酮</w:t>
            </w:r>
          </w:p>
        </w:tc>
        <w:tc>
          <w:tcPr>
            <w:tcW w:w="380" w:type="pct"/>
            <w:shd w:val="clear" w:color="auto" w:fill="auto"/>
            <w:vAlign w:val="center"/>
          </w:tcPr>
          <w:p w14:paraId="2EB81D7A">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0.00</w:t>
            </w:r>
            <w:r>
              <w:rPr>
                <w:rFonts w:hint="eastAsia" w:ascii="Times New Roman" w:hAnsi="Times New Roman" w:eastAsia="宋体" w:cs="Times New Roman"/>
                <w:i w:val="0"/>
                <w:iCs w:val="0"/>
                <w:color w:val="auto"/>
                <w:kern w:val="0"/>
                <w:sz w:val="21"/>
                <w:szCs w:val="21"/>
                <w:u w:val="none"/>
                <w:lang w:val="en-US" w:eastAsia="zh-CN" w:bidi="ar"/>
              </w:rPr>
              <w:t>2</w:t>
            </w:r>
          </w:p>
        </w:tc>
        <w:tc>
          <w:tcPr>
            <w:tcW w:w="445" w:type="pct"/>
            <w:shd w:val="clear" w:color="auto" w:fill="auto"/>
            <w:vAlign w:val="center"/>
          </w:tcPr>
          <w:p w14:paraId="72B27E80">
            <w:pPr>
              <w:widowControl/>
              <w:jc w:val="center"/>
              <w:textAlignment w:val="center"/>
              <w:rPr>
                <w:rFonts w:ascii="Times New Roman" w:hAnsi="Times New Roman" w:eastAsia="仿宋_GB2312" w:cs="Times New Roman"/>
                <w:color w:val="auto"/>
                <w:kern w:val="0"/>
                <w:sz w:val="21"/>
                <w:szCs w:val="21"/>
                <w:lang w:val="en-US" w:eastAsia="zh-CN" w:bidi="ar"/>
              </w:rPr>
            </w:pPr>
            <w:r>
              <w:rPr>
                <w:rFonts w:hint="eastAsia" w:ascii="Times New Roman" w:hAnsi="Times New Roman" w:eastAsia="仿宋_GB2312" w:cs="Times New Roman"/>
                <w:color w:val="auto"/>
                <w:kern w:val="0"/>
                <w:szCs w:val="21"/>
                <w:lang w:val="en-US" w:eastAsia="zh-CN" w:bidi="ar"/>
              </w:rPr>
              <w:t>0.00297</w:t>
            </w:r>
          </w:p>
        </w:tc>
        <w:tc>
          <w:tcPr>
            <w:tcW w:w="630" w:type="pct"/>
            <w:vMerge w:val="continue"/>
            <w:vAlign w:val="center"/>
          </w:tcPr>
          <w:p w14:paraId="7393E886">
            <w:pPr>
              <w:jc w:val="center"/>
              <w:rPr>
                <w:rFonts w:eastAsia="仿宋_GB2312"/>
                <w:color w:val="auto"/>
                <w:szCs w:val="21"/>
              </w:rPr>
            </w:pPr>
          </w:p>
        </w:tc>
        <w:tc>
          <w:tcPr>
            <w:tcW w:w="292" w:type="pct"/>
            <w:vMerge w:val="continue"/>
            <w:vAlign w:val="center"/>
          </w:tcPr>
          <w:p w14:paraId="1D4FCA6F">
            <w:pPr>
              <w:jc w:val="center"/>
              <w:rPr>
                <w:rFonts w:eastAsia="仿宋_GB2312"/>
                <w:color w:val="auto"/>
                <w:szCs w:val="21"/>
              </w:rPr>
            </w:pPr>
          </w:p>
        </w:tc>
      </w:tr>
      <w:tr w14:paraId="6E6607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41A9691B">
            <w:pPr>
              <w:jc w:val="center"/>
              <w:rPr>
                <w:rFonts w:eastAsia="仿宋_GB2312"/>
                <w:color w:val="auto"/>
                <w:szCs w:val="21"/>
              </w:rPr>
            </w:pPr>
          </w:p>
        </w:tc>
        <w:tc>
          <w:tcPr>
            <w:tcW w:w="358" w:type="pct"/>
            <w:vMerge w:val="continue"/>
            <w:vAlign w:val="center"/>
          </w:tcPr>
          <w:p w14:paraId="3EE848C3">
            <w:pPr>
              <w:jc w:val="center"/>
              <w:rPr>
                <w:rFonts w:eastAsia="仿宋_GB2312"/>
                <w:color w:val="auto"/>
                <w:szCs w:val="21"/>
              </w:rPr>
            </w:pPr>
          </w:p>
        </w:tc>
        <w:tc>
          <w:tcPr>
            <w:tcW w:w="418" w:type="pct"/>
            <w:vMerge w:val="continue"/>
            <w:vAlign w:val="center"/>
          </w:tcPr>
          <w:p w14:paraId="27E3931D">
            <w:pPr>
              <w:jc w:val="center"/>
              <w:rPr>
                <w:rFonts w:eastAsia="仿宋_GB2312"/>
                <w:color w:val="auto"/>
                <w:szCs w:val="21"/>
              </w:rPr>
            </w:pPr>
          </w:p>
        </w:tc>
        <w:tc>
          <w:tcPr>
            <w:tcW w:w="446" w:type="pct"/>
            <w:vMerge w:val="continue"/>
            <w:vAlign w:val="center"/>
          </w:tcPr>
          <w:p w14:paraId="5B576C37">
            <w:pPr>
              <w:jc w:val="center"/>
              <w:rPr>
                <w:rFonts w:eastAsia="仿宋_GB2312"/>
                <w:color w:val="auto"/>
                <w:szCs w:val="21"/>
              </w:rPr>
            </w:pPr>
          </w:p>
        </w:tc>
        <w:tc>
          <w:tcPr>
            <w:tcW w:w="361" w:type="pct"/>
            <w:vMerge w:val="continue"/>
            <w:vAlign w:val="center"/>
          </w:tcPr>
          <w:p w14:paraId="4E933339">
            <w:pPr>
              <w:jc w:val="center"/>
              <w:rPr>
                <w:rFonts w:eastAsia="仿宋_GB2312"/>
                <w:color w:val="auto"/>
                <w:szCs w:val="21"/>
              </w:rPr>
            </w:pPr>
          </w:p>
        </w:tc>
        <w:tc>
          <w:tcPr>
            <w:tcW w:w="498" w:type="pct"/>
            <w:vMerge w:val="continue"/>
            <w:shd w:val="clear" w:color="auto" w:fill="auto"/>
            <w:vAlign w:val="center"/>
          </w:tcPr>
          <w:p w14:paraId="6FF13D06">
            <w:pPr>
              <w:keepNext w:val="0"/>
              <w:keepLines w:val="0"/>
              <w:widowControl/>
              <w:suppressLineNumbers w:val="0"/>
              <w:jc w:val="center"/>
              <w:textAlignment w:val="bottom"/>
              <w:rPr>
                <w:rFonts w:eastAsia="仿宋_GB2312"/>
                <w:color w:val="auto"/>
                <w:kern w:val="0"/>
                <w:szCs w:val="21"/>
                <w:lang w:bidi="ar"/>
              </w:rPr>
            </w:pPr>
          </w:p>
        </w:tc>
        <w:tc>
          <w:tcPr>
            <w:tcW w:w="820" w:type="pct"/>
            <w:shd w:val="clear" w:color="auto" w:fill="auto"/>
            <w:vAlign w:val="center"/>
          </w:tcPr>
          <w:p w14:paraId="65DF4791">
            <w:pPr>
              <w:widowControl/>
              <w:jc w:val="center"/>
              <w:textAlignment w:val="center"/>
              <w:rPr>
                <w:rFonts w:ascii="Times New Roman" w:hAnsi="Times New Roman" w:eastAsia="仿宋_GB2312" w:cs="Times New Roman"/>
                <w:b/>
                <w:bCs/>
                <w:color w:val="auto"/>
                <w:kern w:val="0"/>
                <w:sz w:val="21"/>
                <w:szCs w:val="21"/>
                <w:lang w:val="en-US" w:eastAsia="zh-CN" w:bidi="ar"/>
              </w:rPr>
            </w:pPr>
            <w:r>
              <w:rPr>
                <w:rFonts w:eastAsia="仿宋_GB2312"/>
                <w:color w:val="auto"/>
                <w:kern w:val="0"/>
                <w:szCs w:val="21"/>
                <w:lang w:bidi="ar"/>
              </w:rPr>
              <w:t>其他有机物</w:t>
            </w:r>
          </w:p>
        </w:tc>
        <w:tc>
          <w:tcPr>
            <w:tcW w:w="380" w:type="pct"/>
            <w:shd w:val="clear" w:color="auto" w:fill="auto"/>
            <w:vAlign w:val="center"/>
          </w:tcPr>
          <w:p w14:paraId="7342F592">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0.001</w:t>
            </w:r>
          </w:p>
        </w:tc>
        <w:tc>
          <w:tcPr>
            <w:tcW w:w="445" w:type="pct"/>
            <w:shd w:val="clear" w:color="auto" w:fill="auto"/>
            <w:vAlign w:val="center"/>
          </w:tcPr>
          <w:p w14:paraId="4275C8ED">
            <w:pPr>
              <w:widowControl/>
              <w:jc w:val="center"/>
              <w:textAlignment w:val="center"/>
              <w:rPr>
                <w:rFonts w:ascii="Times New Roman" w:hAnsi="Times New Roman" w:eastAsia="仿宋_GB2312" w:cs="Times New Roman"/>
                <w:color w:val="auto"/>
                <w:kern w:val="0"/>
                <w:sz w:val="21"/>
                <w:szCs w:val="21"/>
                <w:lang w:val="en-US" w:eastAsia="zh-CN" w:bidi="ar"/>
              </w:rPr>
            </w:pPr>
            <w:r>
              <w:rPr>
                <w:rFonts w:hint="eastAsia" w:ascii="Times New Roman" w:hAnsi="Times New Roman" w:eastAsia="仿宋_GB2312" w:cs="Times New Roman"/>
                <w:color w:val="auto"/>
                <w:kern w:val="0"/>
                <w:szCs w:val="21"/>
                <w:lang w:val="en-US" w:eastAsia="zh-CN" w:bidi="ar"/>
              </w:rPr>
              <w:t>0.00198</w:t>
            </w:r>
          </w:p>
        </w:tc>
        <w:tc>
          <w:tcPr>
            <w:tcW w:w="630" w:type="pct"/>
            <w:vMerge w:val="continue"/>
            <w:vAlign w:val="center"/>
          </w:tcPr>
          <w:p w14:paraId="14C79C20">
            <w:pPr>
              <w:jc w:val="center"/>
              <w:rPr>
                <w:rFonts w:eastAsia="仿宋_GB2312"/>
                <w:color w:val="auto"/>
                <w:szCs w:val="21"/>
              </w:rPr>
            </w:pPr>
          </w:p>
        </w:tc>
        <w:tc>
          <w:tcPr>
            <w:tcW w:w="292" w:type="pct"/>
            <w:vMerge w:val="continue"/>
            <w:vAlign w:val="center"/>
          </w:tcPr>
          <w:p w14:paraId="500026BD">
            <w:pPr>
              <w:jc w:val="center"/>
              <w:rPr>
                <w:rFonts w:eastAsia="仿宋_GB2312"/>
                <w:color w:val="auto"/>
                <w:szCs w:val="21"/>
              </w:rPr>
            </w:pPr>
          </w:p>
        </w:tc>
      </w:tr>
      <w:tr w14:paraId="751B4E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restart"/>
            <w:vAlign w:val="center"/>
          </w:tcPr>
          <w:p w14:paraId="0A690B57">
            <w:pPr>
              <w:jc w:val="center"/>
              <w:rPr>
                <w:rFonts w:eastAsia="仿宋_GB2312"/>
                <w:color w:val="auto"/>
                <w:szCs w:val="21"/>
              </w:rPr>
            </w:pPr>
            <w:r>
              <w:rPr>
                <w:rFonts w:eastAsia="仿宋_GB2312"/>
                <w:color w:val="auto"/>
                <w:szCs w:val="21"/>
              </w:rPr>
              <w:t>B-7车间</w:t>
            </w:r>
          </w:p>
        </w:tc>
        <w:tc>
          <w:tcPr>
            <w:tcW w:w="358" w:type="pct"/>
            <w:vMerge w:val="restart"/>
            <w:vAlign w:val="center"/>
          </w:tcPr>
          <w:p w14:paraId="3471235A">
            <w:pPr>
              <w:jc w:val="center"/>
              <w:rPr>
                <w:rFonts w:hint="eastAsia" w:eastAsia="仿宋_GB2312"/>
                <w:color w:val="auto"/>
                <w:szCs w:val="21"/>
                <w:lang w:eastAsia="zh-CN"/>
              </w:rPr>
            </w:pPr>
            <w:r>
              <w:rPr>
                <w:rFonts w:hint="eastAsia" w:eastAsia="仿宋_GB2312"/>
                <w:color w:val="auto"/>
                <w:szCs w:val="21"/>
                <w:lang w:val="en-US" w:eastAsia="zh-CN"/>
              </w:rPr>
              <w:t>二甲苯</w:t>
            </w:r>
          </w:p>
        </w:tc>
        <w:tc>
          <w:tcPr>
            <w:tcW w:w="418" w:type="pct"/>
            <w:vMerge w:val="restart"/>
            <w:vAlign w:val="center"/>
          </w:tcPr>
          <w:p w14:paraId="10C13298">
            <w:pPr>
              <w:jc w:val="center"/>
              <w:rPr>
                <w:rFonts w:eastAsia="仿宋_GB2312"/>
                <w:color w:val="auto"/>
                <w:szCs w:val="21"/>
              </w:rPr>
            </w:pPr>
            <w:r>
              <w:rPr>
                <w:rFonts w:eastAsia="仿宋_GB2312"/>
                <w:color w:val="auto"/>
                <w:kern w:val="0"/>
                <w:szCs w:val="21"/>
                <w:lang w:bidi="ar"/>
              </w:rPr>
              <w:t>G</w:t>
            </w:r>
            <w:r>
              <w:rPr>
                <w:rFonts w:hint="eastAsia" w:eastAsia="仿宋_GB2312"/>
                <w:color w:val="auto"/>
                <w:kern w:val="0"/>
                <w:szCs w:val="21"/>
                <w:lang w:val="en-US" w:eastAsia="zh-CN" w:bidi="ar"/>
              </w:rPr>
              <w:t>2</w:t>
            </w:r>
            <w:r>
              <w:rPr>
                <w:rFonts w:eastAsia="仿宋_GB2312"/>
                <w:color w:val="auto"/>
                <w:kern w:val="0"/>
                <w:szCs w:val="21"/>
                <w:lang w:bidi="ar"/>
              </w:rPr>
              <w:t>-</w:t>
            </w:r>
            <w:r>
              <w:rPr>
                <w:rFonts w:hint="eastAsia" w:eastAsia="仿宋_GB2312"/>
                <w:color w:val="auto"/>
                <w:kern w:val="0"/>
                <w:szCs w:val="21"/>
                <w:lang w:val="en-US" w:eastAsia="zh-CN" w:bidi="ar"/>
              </w:rPr>
              <w:t>3</w:t>
            </w:r>
            <w:r>
              <w:rPr>
                <w:rFonts w:eastAsia="仿宋_GB2312"/>
                <w:color w:val="auto"/>
                <w:kern w:val="0"/>
                <w:szCs w:val="21"/>
                <w:lang w:bidi="ar"/>
              </w:rPr>
              <w:t>-1</w:t>
            </w:r>
          </w:p>
        </w:tc>
        <w:tc>
          <w:tcPr>
            <w:tcW w:w="446" w:type="pct"/>
            <w:vMerge w:val="restart"/>
            <w:vAlign w:val="center"/>
          </w:tcPr>
          <w:p w14:paraId="4B74475D">
            <w:pPr>
              <w:jc w:val="center"/>
              <w:rPr>
                <w:rFonts w:eastAsia="仿宋_GB2312"/>
                <w:color w:val="auto"/>
                <w:szCs w:val="21"/>
              </w:rPr>
            </w:pPr>
            <w:r>
              <w:rPr>
                <w:rFonts w:eastAsia="仿宋_GB2312"/>
                <w:color w:val="auto"/>
                <w:kern w:val="0"/>
                <w:szCs w:val="21"/>
                <w:lang w:bidi="ar"/>
              </w:rPr>
              <w:t>投料废气</w:t>
            </w:r>
          </w:p>
        </w:tc>
        <w:tc>
          <w:tcPr>
            <w:tcW w:w="361" w:type="pct"/>
            <w:vMerge w:val="restart"/>
            <w:shd w:val="clear" w:color="auto" w:fill="auto"/>
            <w:vAlign w:val="center"/>
          </w:tcPr>
          <w:p w14:paraId="76B37CC8">
            <w:pPr>
              <w:jc w:val="center"/>
              <w:rPr>
                <w:rFonts w:eastAsia="仿宋_GB2312"/>
                <w:color w:val="auto"/>
                <w:szCs w:val="21"/>
              </w:rPr>
            </w:pPr>
            <w:r>
              <w:rPr>
                <w:rFonts w:hint="eastAsia" w:eastAsia="仿宋_GB2312"/>
                <w:color w:val="auto"/>
                <w:szCs w:val="21"/>
                <w:lang w:val="en-US" w:eastAsia="zh-CN"/>
              </w:rPr>
              <w:t>2000</w:t>
            </w:r>
          </w:p>
        </w:tc>
        <w:tc>
          <w:tcPr>
            <w:tcW w:w="498" w:type="pct"/>
            <w:vMerge w:val="restart"/>
            <w:shd w:val="clear" w:color="auto" w:fill="auto"/>
            <w:vAlign w:val="center"/>
          </w:tcPr>
          <w:p w14:paraId="3498A71D">
            <w:pPr>
              <w:keepNext w:val="0"/>
              <w:keepLines w:val="0"/>
              <w:widowControl/>
              <w:suppressLineNumbers w:val="0"/>
              <w:jc w:val="center"/>
              <w:textAlignment w:val="bottom"/>
              <w:rPr>
                <w:rFonts w:eastAsia="仿宋_GB2312"/>
                <w:color w:val="auto"/>
                <w:kern w:val="0"/>
                <w:szCs w:val="21"/>
                <w:lang w:bidi="ar"/>
              </w:rPr>
            </w:pPr>
            <w:r>
              <w:rPr>
                <w:rFonts w:hint="default" w:ascii="Times New Roman" w:hAnsi="Times New Roman" w:eastAsia="宋体" w:cs="Times New Roman"/>
                <w:i w:val="0"/>
                <w:iCs w:val="0"/>
                <w:color w:val="auto"/>
                <w:kern w:val="0"/>
                <w:sz w:val="21"/>
                <w:szCs w:val="21"/>
                <w:u w:val="none"/>
                <w:lang w:val="en-US" w:eastAsia="zh-CN" w:bidi="ar"/>
              </w:rPr>
              <w:t>2690</w:t>
            </w:r>
          </w:p>
        </w:tc>
        <w:tc>
          <w:tcPr>
            <w:tcW w:w="820" w:type="pct"/>
            <w:shd w:val="clear" w:color="auto" w:fill="auto"/>
            <w:vAlign w:val="center"/>
          </w:tcPr>
          <w:p w14:paraId="35C713F8">
            <w:pPr>
              <w:widowControl/>
              <w:jc w:val="center"/>
              <w:textAlignment w:val="center"/>
              <w:rPr>
                <w:rFonts w:ascii="Times New Roman" w:hAnsi="Times New Roman" w:eastAsia="仿宋_GB2312" w:cs="Times New Roman"/>
                <w:b/>
                <w:bCs/>
                <w:color w:val="auto"/>
                <w:kern w:val="0"/>
                <w:sz w:val="21"/>
                <w:szCs w:val="21"/>
                <w:lang w:val="en-US" w:eastAsia="zh-CN" w:bidi="ar"/>
              </w:rPr>
            </w:pPr>
            <w:r>
              <w:rPr>
                <w:rFonts w:eastAsia="仿宋_GB2312"/>
                <w:color w:val="auto"/>
                <w:kern w:val="0"/>
                <w:szCs w:val="21"/>
                <w:lang w:bidi="ar"/>
              </w:rPr>
              <w:t>二甲苯</w:t>
            </w:r>
          </w:p>
        </w:tc>
        <w:tc>
          <w:tcPr>
            <w:tcW w:w="380" w:type="pct"/>
            <w:shd w:val="clear" w:color="auto" w:fill="auto"/>
            <w:vAlign w:val="center"/>
          </w:tcPr>
          <w:p w14:paraId="2BF96B16">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1.443</w:t>
            </w:r>
          </w:p>
        </w:tc>
        <w:tc>
          <w:tcPr>
            <w:tcW w:w="445" w:type="pct"/>
            <w:shd w:val="clear" w:color="auto" w:fill="auto"/>
            <w:vAlign w:val="center"/>
          </w:tcPr>
          <w:p w14:paraId="3FFEE3A7">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ascii="Times New Roman" w:hAnsi="Times New Roman" w:eastAsia="仿宋_GB2312" w:cs="Times New Roman"/>
                <w:color w:val="auto"/>
                <w:kern w:val="0"/>
                <w:szCs w:val="21"/>
                <w:lang w:val="en-US" w:eastAsia="zh-CN" w:bidi="ar"/>
              </w:rPr>
              <w:t>3.882</w:t>
            </w:r>
          </w:p>
        </w:tc>
        <w:tc>
          <w:tcPr>
            <w:tcW w:w="630" w:type="pct"/>
            <w:vMerge w:val="continue"/>
            <w:shd w:val="clear" w:color="auto" w:fill="auto"/>
            <w:vAlign w:val="center"/>
          </w:tcPr>
          <w:p w14:paraId="09C74BB7">
            <w:pPr>
              <w:jc w:val="center"/>
              <w:rPr>
                <w:rFonts w:ascii="Times New Roman" w:hAnsi="Times New Roman" w:eastAsia="宋体" w:cs="Times New Roman"/>
                <w:color w:val="auto"/>
                <w:kern w:val="2"/>
                <w:sz w:val="21"/>
                <w:szCs w:val="24"/>
                <w:lang w:val="en-US" w:eastAsia="zh-CN" w:bidi="ar-SA"/>
              </w:rPr>
            </w:pPr>
          </w:p>
        </w:tc>
        <w:tc>
          <w:tcPr>
            <w:tcW w:w="292" w:type="pct"/>
            <w:vMerge w:val="continue"/>
            <w:shd w:val="clear" w:color="auto" w:fill="auto"/>
            <w:vAlign w:val="center"/>
          </w:tcPr>
          <w:p w14:paraId="6001BD65">
            <w:pPr>
              <w:jc w:val="center"/>
              <w:rPr>
                <w:rFonts w:ascii="Times New Roman" w:hAnsi="Times New Roman" w:eastAsia="仿宋_GB2312" w:cs="Times New Roman"/>
                <w:color w:val="auto"/>
                <w:kern w:val="2"/>
                <w:sz w:val="21"/>
                <w:szCs w:val="24"/>
                <w:lang w:val="en-US" w:eastAsia="zh-CN" w:bidi="ar-SA"/>
              </w:rPr>
            </w:pPr>
          </w:p>
        </w:tc>
      </w:tr>
      <w:tr w14:paraId="14E02D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275CA5F5">
            <w:pPr>
              <w:jc w:val="center"/>
              <w:rPr>
                <w:rFonts w:eastAsia="仿宋_GB2312"/>
                <w:color w:val="auto"/>
                <w:szCs w:val="21"/>
              </w:rPr>
            </w:pPr>
          </w:p>
        </w:tc>
        <w:tc>
          <w:tcPr>
            <w:tcW w:w="358" w:type="pct"/>
            <w:vMerge w:val="continue"/>
            <w:vAlign w:val="center"/>
          </w:tcPr>
          <w:p w14:paraId="28EB1443">
            <w:pPr>
              <w:jc w:val="center"/>
              <w:rPr>
                <w:rFonts w:eastAsia="仿宋_GB2312"/>
                <w:color w:val="auto"/>
                <w:szCs w:val="21"/>
              </w:rPr>
            </w:pPr>
          </w:p>
        </w:tc>
        <w:tc>
          <w:tcPr>
            <w:tcW w:w="418" w:type="pct"/>
            <w:vMerge w:val="continue"/>
            <w:vAlign w:val="center"/>
          </w:tcPr>
          <w:p w14:paraId="1A7FC67C">
            <w:pPr>
              <w:jc w:val="center"/>
              <w:rPr>
                <w:rFonts w:eastAsia="仿宋_GB2312"/>
                <w:color w:val="auto"/>
                <w:szCs w:val="21"/>
              </w:rPr>
            </w:pPr>
          </w:p>
        </w:tc>
        <w:tc>
          <w:tcPr>
            <w:tcW w:w="446" w:type="pct"/>
            <w:vMerge w:val="continue"/>
            <w:vAlign w:val="center"/>
          </w:tcPr>
          <w:p w14:paraId="2FA16031">
            <w:pPr>
              <w:jc w:val="center"/>
              <w:rPr>
                <w:rFonts w:eastAsia="仿宋_GB2312"/>
                <w:color w:val="auto"/>
                <w:szCs w:val="21"/>
              </w:rPr>
            </w:pPr>
          </w:p>
        </w:tc>
        <w:tc>
          <w:tcPr>
            <w:tcW w:w="361" w:type="pct"/>
            <w:vMerge w:val="continue"/>
            <w:vAlign w:val="center"/>
          </w:tcPr>
          <w:p w14:paraId="22BD7B42">
            <w:pPr>
              <w:jc w:val="center"/>
              <w:rPr>
                <w:rFonts w:eastAsia="仿宋_GB2312"/>
                <w:color w:val="auto"/>
                <w:szCs w:val="21"/>
              </w:rPr>
            </w:pPr>
          </w:p>
        </w:tc>
        <w:tc>
          <w:tcPr>
            <w:tcW w:w="498" w:type="pct"/>
            <w:vMerge w:val="continue"/>
            <w:shd w:val="clear" w:color="auto" w:fill="auto"/>
            <w:vAlign w:val="center"/>
          </w:tcPr>
          <w:p w14:paraId="088DA158">
            <w:pPr>
              <w:keepNext w:val="0"/>
              <w:keepLines w:val="0"/>
              <w:widowControl/>
              <w:suppressLineNumbers w:val="0"/>
              <w:jc w:val="center"/>
              <w:textAlignment w:val="bottom"/>
              <w:rPr>
                <w:rFonts w:hint="eastAsia" w:eastAsia="仿宋_GB2312"/>
                <w:color w:val="auto"/>
                <w:kern w:val="0"/>
                <w:szCs w:val="21"/>
                <w:lang w:val="en-US" w:eastAsia="zh-CN" w:bidi="ar"/>
              </w:rPr>
            </w:pPr>
          </w:p>
        </w:tc>
        <w:tc>
          <w:tcPr>
            <w:tcW w:w="820" w:type="pct"/>
            <w:shd w:val="clear" w:color="auto" w:fill="auto"/>
            <w:vAlign w:val="center"/>
          </w:tcPr>
          <w:p w14:paraId="3470F28E">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乙基苯</w:t>
            </w:r>
          </w:p>
        </w:tc>
        <w:tc>
          <w:tcPr>
            <w:tcW w:w="380" w:type="pct"/>
            <w:shd w:val="clear" w:color="auto" w:fill="auto"/>
            <w:vAlign w:val="center"/>
          </w:tcPr>
          <w:p w14:paraId="6F16A8D3">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0.001</w:t>
            </w:r>
            <w:r>
              <w:rPr>
                <w:rFonts w:hint="eastAsia" w:ascii="Times New Roman" w:hAnsi="Times New Roman" w:eastAsia="宋体" w:cs="Times New Roman"/>
                <w:i w:val="0"/>
                <w:iCs w:val="0"/>
                <w:color w:val="auto"/>
                <w:kern w:val="0"/>
                <w:sz w:val="21"/>
                <w:szCs w:val="21"/>
                <w:u w:val="none"/>
                <w:lang w:val="en-US" w:eastAsia="zh-CN" w:bidi="ar"/>
              </w:rPr>
              <w:t>2</w:t>
            </w:r>
          </w:p>
        </w:tc>
        <w:tc>
          <w:tcPr>
            <w:tcW w:w="445" w:type="pct"/>
            <w:shd w:val="clear" w:color="auto" w:fill="auto"/>
            <w:vAlign w:val="center"/>
          </w:tcPr>
          <w:p w14:paraId="61956C0A">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ascii="Times New Roman" w:hAnsi="Times New Roman" w:eastAsia="仿宋_GB2312" w:cs="Times New Roman"/>
                <w:color w:val="auto"/>
                <w:kern w:val="0"/>
                <w:szCs w:val="21"/>
                <w:lang w:val="en-US" w:eastAsia="zh-CN" w:bidi="ar"/>
              </w:rPr>
              <w:t>0.00499</w:t>
            </w:r>
          </w:p>
        </w:tc>
        <w:tc>
          <w:tcPr>
            <w:tcW w:w="630" w:type="pct"/>
            <w:vMerge w:val="continue"/>
            <w:vAlign w:val="center"/>
          </w:tcPr>
          <w:p w14:paraId="3E63C390">
            <w:pPr>
              <w:jc w:val="center"/>
              <w:rPr>
                <w:rFonts w:eastAsia="仿宋_GB2312"/>
                <w:color w:val="auto"/>
                <w:szCs w:val="21"/>
              </w:rPr>
            </w:pPr>
          </w:p>
        </w:tc>
        <w:tc>
          <w:tcPr>
            <w:tcW w:w="292" w:type="pct"/>
            <w:vMerge w:val="continue"/>
            <w:vAlign w:val="center"/>
          </w:tcPr>
          <w:p w14:paraId="2435B61E">
            <w:pPr>
              <w:jc w:val="center"/>
              <w:rPr>
                <w:rFonts w:eastAsia="仿宋_GB2312"/>
                <w:color w:val="auto"/>
                <w:kern w:val="0"/>
                <w:szCs w:val="21"/>
                <w:lang w:bidi="ar"/>
              </w:rPr>
            </w:pPr>
          </w:p>
        </w:tc>
      </w:tr>
      <w:tr w14:paraId="4105B0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74BA7B7C">
            <w:pPr>
              <w:jc w:val="center"/>
              <w:rPr>
                <w:rFonts w:eastAsia="仿宋_GB2312"/>
                <w:color w:val="auto"/>
                <w:szCs w:val="21"/>
              </w:rPr>
            </w:pPr>
          </w:p>
        </w:tc>
        <w:tc>
          <w:tcPr>
            <w:tcW w:w="358" w:type="pct"/>
            <w:vMerge w:val="continue"/>
            <w:vAlign w:val="center"/>
          </w:tcPr>
          <w:p w14:paraId="1DB422F8">
            <w:pPr>
              <w:jc w:val="center"/>
              <w:rPr>
                <w:rFonts w:eastAsia="仿宋_GB2312"/>
                <w:color w:val="auto"/>
                <w:szCs w:val="21"/>
              </w:rPr>
            </w:pPr>
          </w:p>
        </w:tc>
        <w:tc>
          <w:tcPr>
            <w:tcW w:w="418" w:type="pct"/>
            <w:vMerge w:val="continue"/>
            <w:vAlign w:val="center"/>
          </w:tcPr>
          <w:p w14:paraId="5BB32AD1">
            <w:pPr>
              <w:jc w:val="center"/>
              <w:rPr>
                <w:rFonts w:eastAsia="仿宋_GB2312"/>
                <w:color w:val="auto"/>
                <w:szCs w:val="21"/>
              </w:rPr>
            </w:pPr>
          </w:p>
        </w:tc>
        <w:tc>
          <w:tcPr>
            <w:tcW w:w="446" w:type="pct"/>
            <w:vMerge w:val="continue"/>
            <w:vAlign w:val="center"/>
          </w:tcPr>
          <w:p w14:paraId="731A2DBC">
            <w:pPr>
              <w:jc w:val="center"/>
              <w:rPr>
                <w:rFonts w:eastAsia="仿宋_GB2312"/>
                <w:color w:val="auto"/>
                <w:szCs w:val="21"/>
              </w:rPr>
            </w:pPr>
          </w:p>
        </w:tc>
        <w:tc>
          <w:tcPr>
            <w:tcW w:w="361" w:type="pct"/>
            <w:vMerge w:val="continue"/>
            <w:vAlign w:val="center"/>
          </w:tcPr>
          <w:p w14:paraId="3AAADDD7">
            <w:pPr>
              <w:jc w:val="center"/>
              <w:rPr>
                <w:rFonts w:eastAsia="仿宋_GB2312"/>
                <w:color w:val="auto"/>
                <w:szCs w:val="21"/>
              </w:rPr>
            </w:pPr>
          </w:p>
        </w:tc>
        <w:tc>
          <w:tcPr>
            <w:tcW w:w="498" w:type="pct"/>
            <w:vMerge w:val="continue"/>
            <w:shd w:val="clear" w:color="auto" w:fill="auto"/>
            <w:vAlign w:val="center"/>
          </w:tcPr>
          <w:p w14:paraId="30F6DDD3">
            <w:pPr>
              <w:keepNext w:val="0"/>
              <w:keepLines w:val="0"/>
              <w:widowControl/>
              <w:suppressLineNumbers w:val="0"/>
              <w:jc w:val="center"/>
              <w:textAlignment w:val="bottom"/>
              <w:rPr>
                <w:rFonts w:eastAsia="仿宋_GB2312"/>
                <w:color w:val="auto"/>
                <w:kern w:val="0"/>
                <w:szCs w:val="21"/>
                <w:lang w:bidi="ar"/>
              </w:rPr>
            </w:pPr>
          </w:p>
        </w:tc>
        <w:tc>
          <w:tcPr>
            <w:tcW w:w="820" w:type="pct"/>
            <w:shd w:val="clear" w:color="auto" w:fill="auto"/>
            <w:vAlign w:val="center"/>
          </w:tcPr>
          <w:p w14:paraId="6891528F">
            <w:pPr>
              <w:widowControl/>
              <w:jc w:val="center"/>
              <w:textAlignment w:val="center"/>
              <w:rPr>
                <w:rFonts w:ascii="Times New Roman" w:hAnsi="Times New Roman" w:eastAsia="仿宋_GB2312" w:cs="Times New Roman"/>
                <w:color w:val="auto"/>
                <w:kern w:val="0"/>
                <w:sz w:val="21"/>
                <w:szCs w:val="21"/>
                <w:lang w:val="en-US" w:eastAsia="zh-CN" w:bidi="ar"/>
              </w:rPr>
            </w:pPr>
            <w:r>
              <w:rPr>
                <w:rFonts w:eastAsia="仿宋_GB2312"/>
                <w:color w:val="auto"/>
                <w:kern w:val="0"/>
                <w:szCs w:val="21"/>
                <w:lang w:bidi="ar"/>
              </w:rPr>
              <w:t>其他有机物</w:t>
            </w:r>
          </w:p>
        </w:tc>
        <w:tc>
          <w:tcPr>
            <w:tcW w:w="380" w:type="pct"/>
            <w:shd w:val="clear" w:color="auto" w:fill="auto"/>
            <w:vAlign w:val="center"/>
          </w:tcPr>
          <w:p w14:paraId="44A67B92">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0.022</w:t>
            </w:r>
          </w:p>
        </w:tc>
        <w:tc>
          <w:tcPr>
            <w:tcW w:w="445" w:type="pct"/>
            <w:shd w:val="clear" w:color="auto" w:fill="auto"/>
            <w:vAlign w:val="center"/>
          </w:tcPr>
          <w:p w14:paraId="78949CBE">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ascii="Times New Roman" w:hAnsi="Times New Roman" w:eastAsia="仿宋_GB2312" w:cs="Times New Roman"/>
                <w:color w:val="auto"/>
                <w:kern w:val="0"/>
                <w:szCs w:val="21"/>
                <w:lang w:val="en-US" w:eastAsia="zh-CN" w:bidi="ar"/>
              </w:rPr>
              <w:t>0.0599</w:t>
            </w:r>
          </w:p>
        </w:tc>
        <w:tc>
          <w:tcPr>
            <w:tcW w:w="630" w:type="pct"/>
            <w:vMerge w:val="continue"/>
            <w:vAlign w:val="center"/>
          </w:tcPr>
          <w:p w14:paraId="5A3AFA0E">
            <w:pPr>
              <w:jc w:val="center"/>
              <w:rPr>
                <w:rFonts w:eastAsia="仿宋_GB2312"/>
                <w:color w:val="auto"/>
                <w:szCs w:val="21"/>
              </w:rPr>
            </w:pPr>
          </w:p>
        </w:tc>
        <w:tc>
          <w:tcPr>
            <w:tcW w:w="292" w:type="pct"/>
            <w:vMerge w:val="continue"/>
            <w:vAlign w:val="center"/>
          </w:tcPr>
          <w:p w14:paraId="7B708118">
            <w:pPr>
              <w:jc w:val="center"/>
              <w:rPr>
                <w:rFonts w:eastAsia="仿宋_GB2312"/>
                <w:color w:val="auto"/>
                <w:kern w:val="0"/>
                <w:szCs w:val="21"/>
                <w:lang w:bidi="ar"/>
              </w:rPr>
            </w:pPr>
          </w:p>
        </w:tc>
      </w:tr>
      <w:tr w14:paraId="278BB9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3E944DCE">
            <w:pPr>
              <w:jc w:val="center"/>
              <w:rPr>
                <w:rFonts w:eastAsia="仿宋_GB2312"/>
                <w:color w:val="auto"/>
                <w:szCs w:val="21"/>
              </w:rPr>
            </w:pPr>
          </w:p>
        </w:tc>
        <w:tc>
          <w:tcPr>
            <w:tcW w:w="358" w:type="pct"/>
            <w:vMerge w:val="continue"/>
            <w:vAlign w:val="center"/>
          </w:tcPr>
          <w:p w14:paraId="6381CA1A">
            <w:pPr>
              <w:jc w:val="center"/>
              <w:rPr>
                <w:rFonts w:eastAsia="仿宋_GB2312"/>
                <w:color w:val="auto"/>
                <w:szCs w:val="21"/>
              </w:rPr>
            </w:pPr>
          </w:p>
        </w:tc>
        <w:tc>
          <w:tcPr>
            <w:tcW w:w="418" w:type="pct"/>
            <w:vMerge w:val="restart"/>
            <w:vAlign w:val="center"/>
          </w:tcPr>
          <w:p w14:paraId="5B3644CD">
            <w:pPr>
              <w:jc w:val="center"/>
              <w:rPr>
                <w:rFonts w:eastAsia="仿宋_GB2312"/>
                <w:color w:val="auto"/>
                <w:szCs w:val="21"/>
              </w:rPr>
            </w:pPr>
            <w:r>
              <w:rPr>
                <w:rFonts w:eastAsia="仿宋_GB2312"/>
                <w:color w:val="auto"/>
                <w:kern w:val="0"/>
                <w:szCs w:val="21"/>
                <w:lang w:bidi="ar"/>
              </w:rPr>
              <w:t>G</w:t>
            </w:r>
            <w:r>
              <w:rPr>
                <w:rFonts w:hint="eastAsia" w:eastAsia="仿宋_GB2312"/>
                <w:color w:val="auto"/>
                <w:kern w:val="0"/>
                <w:szCs w:val="21"/>
                <w:lang w:val="en-US" w:eastAsia="zh-CN" w:bidi="ar"/>
              </w:rPr>
              <w:t>2</w:t>
            </w:r>
            <w:r>
              <w:rPr>
                <w:rFonts w:eastAsia="仿宋_GB2312"/>
                <w:color w:val="auto"/>
                <w:kern w:val="0"/>
                <w:szCs w:val="21"/>
                <w:lang w:bidi="ar"/>
              </w:rPr>
              <w:t>-</w:t>
            </w:r>
            <w:r>
              <w:rPr>
                <w:rFonts w:hint="eastAsia" w:eastAsia="仿宋_GB2312"/>
                <w:color w:val="auto"/>
                <w:kern w:val="0"/>
                <w:szCs w:val="21"/>
                <w:lang w:val="en-US" w:eastAsia="zh-CN" w:bidi="ar"/>
              </w:rPr>
              <w:t>3</w:t>
            </w:r>
            <w:r>
              <w:rPr>
                <w:rFonts w:eastAsia="仿宋_GB2312"/>
                <w:color w:val="auto"/>
                <w:kern w:val="0"/>
                <w:szCs w:val="21"/>
                <w:lang w:bidi="ar"/>
              </w:rPr>
              <w:t>-2</w:t>
            </w:r>
          </w:p>
        </w:tc>
        <w:tc>
          <w:tcPr>
            <w:tcW w:w="446" w:type="pct"/>
            <w:vMerge w:val="restart"/>
            <w:vAlign w:val="center"/>
          </w:tcPr>
          <w:p w14:paraId="0794943B">
            <w:pPr>
              <w:jc w:val="center"/>
              <w:rPr>
                <w:rFonts w:eastAsia="仿宋_GB2312"/>
                <w:color w:val="auto"/>
                <w:szCs w:val="21"/>
              </w:rPr>
            </w:pPr>
            <w:r>
              <w:rPr>
                <w:rFonts w:eastAsia="仿宋_GB2312"/>
                <w:color w:val="auto"/>
                <w:kern w:val="0"/>
                <w:szCs w:val="21"/>
                <w:lang w:bidi="ar"/>
              </w:rPr>
              <w:t>调节废气</w:t>
            </w:r>
          </w:p>
        </w:tc>
        <w:tc>
          <w:tcPr>
            <w:tcW w:w="361" w:type="pct"/>
            <w:vMerge w:val="restart"/>
            <w:vAlign w:val="center"/>
          </w:tcPr>
          <w:p w14:paraId="4CB1E55D">
            <w:pPr>
              <w:jc w:val="center"/>
              <w:rPr>
                <w:rFonts w:hint="default" w:eastAsia="仿宋_GB2312"/>
                <w:color w:val="auto"/>
                <w:szCs w:val="21"/>
                <w:lang w:val="en-US" w:eastAsia="zh-CN"/>
              </w:rPr>
            </w:pPr>
            <w:r>
              <w:rPr>
                <w:rFonts w:hint="eastAsia" w:eastAsia="仿宋_GB2312"/>
                <w:color w:val="auto"/>
                <w:szCs w:val="21"/>
                <w:lang w:val="en-US" w:eastAsia="zh-CN"/>
              </w:rPr>
              <w:t>100</w:t>
            </w:r>
          </w:p>
        </w:tc>
        <w:tc>
          <w:tcPr>
            <w:tcW w:w="498" w:type="pct"/>
            <w:vMerge w:val="restart"/>
            <w:shd w:val="clear" w:color="auto" w:fill="auto"/>
            <w:vAlign w:val="center"/>
          </w:tcPr>
          <w:p w14:paraId="75C26818">
            <w:pPr>
              <w:keepNext w:val="0"/>
              <w:keepLines w:val="0"/>
              <w:widowControl/>
              <w:suppressLineNumbers w:val="0"/>
              <w:jc w:val="center"/>
              <w:textAlignment w:val="bottom"/>
              <w:rPr>
                <w:rFonts w:eastAsia="仿宋_GB2312"/>
                <w:color w:val="auto"/>
                <w:kern w:val="0"/>
                <w:szCs w:val="21"/>
                <w:lang w:bidi="ar"/>
              </w:rPr>
            </w:pPr>
            <w:r>
              <w:rPr>
                <w:rFonts w:hint="default" w:ascii="Times New Roman" w:hAnsi="Times New Roman" w:eastAsia="宋体" w:cs="Times New Roman"/>
                <w:i w:val="0"/>
                <w:iCs w:val="0"/>
                <w:color w:val="auto"/>
                <w:kern w:val="0"/>
                <w:sz w:val="21"/>
                <w:szCs w:val="21"/>
                <w:u w:val="none"/>
                <w:lang w:val="en-US" w:eastAsia="zh-CN" w:bidi="ar"/>
              </w:rPr>
              <w:t>2690</w:t>
            </w:r>
          </w:p>
        </w:tc>
        <w:tc>
          <w:tcPr>
            <w:tcW w:w="820" w:type="pct"/>
            <w:shd w:val="clear" w:color="auto" w:fill="auto"/>
            <w:vAlign w:val="center"/>
          </w:tcPr>
          <w:p w14:paraId="62960F3C">
            <w:pPr>
              <w:widowControl/>
              <w:jc w:val="center"/>
              <w:textAlignment w:val="center"/>
              <w:rPr>
                <w:rFonts w:ascii="Times New Roman" w:hAnsi="Times New Roman" w:eastAsia="仿宋_GB2312" w:cs="Times New Roman"/>
                <w:b/>
                <w:bCs/>
                <w:color w:val="auto"/>
                <w:kern w:val="0"/>
                <w:sz w:val="21"/>
                <w:szCs w:val="21"/>
                <w:lang w:val="en-US" w:eastAsia="zh-CN" w:bidi="ar"/>
              </w:rPr>
            </w:pPr>
            <w:r>
              <w:rPr>
                <w:rFonts w:eastAsia="仿宋_GB2312"/>
                <w:color w:val="auto"/>
                <w:kern w:val="0"/>
                <w:szCs w:val="21"/>
                <w:lang w:bidi="ar"/>
              </w:rPr>
              <w:t>二甲苯</w:t>
            </w:r>
          </w:p>
        </w:tc>
        <w:tc>
          <w:tcPr>
            <w:tcW w:w="380" w:type="pct"/>
            <w:shd w:val="clear" w:color="auto" w:fill="auto"/>
            <w:vAlign w:val="center"/>
          </w:tcPr>
          <w:p w14:paraId="3C33D77C">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0.706</w:t>
            </w:r>
          </w:p>
        </w:tc>
        <w:tc>
          <w:tcPr>
            <w:tcW w:w="445" w:type="pct"/>
            <w:shd w:val="clear" w:color="auto" w:fill="auto"/>
            <w:vAlign w:val="center"/>
          </w:tcPr>
          <w:p w14:paraId="476545C0">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1.9</w:t>
            </w:r>
          </w:p>
        </w:tc>
        <w:tc>
          <w:tcPr>
            <w:tcW w:w="630" w:type="pct"/>
            <w:vMerge w:val="restart"/>
            <w:vAlign w:val="center"/>
          </w:tcPr>
          <w:p w14:paraId="37B35BB1">
            <w:pPr>
              <w:widowControl/>
              <w:jc w:val="center"/>
              <w:textAlignment w:val="center"/>
              <w:rPr>
                <w:rFonts w:eastAsia="仿宋_GB2312"/>
                <w:color w:val="auto"/>
                <w:szCs w:val="21"/>
              </w:rPr>
            </w:pPr>
            <w:r>
              <w:rPr>
                <w:rFonts w:hint="eastAsia" w:eastAsia="仿宋_GB2312"/>
                <w:color w:val="auto"/>
                <w:szCs w:val="21"/>
              </w:rPr>
              <w:t>预处理（冷凝+稀酸吸收+碱吸收+水吸收+除雾）+</w:t>
            </w:r>
            <w:r>
              <w:rPr>
                <w:rFonts w:eastAsia="仿宋_GB2312"/>
                <w:color w:val="auto"/>
                <w:szCs w:val="21"/>
              </w:rPr>
              <w:t>焚烧</w:t>
            </w:r>
          </w:p>
        </w:tc>
        <w:tc>
          <w:tcPr>
            <w:tcW w:w="292" w:type="pct"/>
            <w:vMerge w:val="restart"/>
            <w:vAlign w:val="center"/>
          </w:tcPr>
          <w:p w14:paraId="3B900BDD">
            <w:pPr>
              <w:widowControl/>
              <w:jc w:val="center"/>
              <w:textAlignment w:val="center"/>
              <w:rPr>
                <w:rFonts w:eastAsia="仿宋_GB2312"/>
                <w:color w:val="auto"/>
                <w:szCs w:val="21"/>
              </w:rPr>
            </w:pPr>
            <w:r>
              <w:rPr>
                <w:rFonts w:hint="eastAsia" w:eastAsia="仿宋_GB2312"/>
                <w:color w:val="auto"/>
                <w:kern w:val="0"/>
                <w:szCs w:val="21"/>
                <w:lang w:bidi="ar"/>
              </w:rPr>
              <w:t>DA002</w:t>
            </w:r>
          </w:p>
        </w:tc>
      </w:tr>
      <w:tr w14:paraId="55CD5D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169C3C7E">
            <w:pPr>
              <w:jc w:val="center"/>
              <w:rPr>
                <w:rFonts w:eastAsia="仿宋_GB2312"/>
                <w:color w:val="auto"/>
                <w:szCs w:val="21"/>
              </w:rPr>
            </w:pPr>
          </w:p>
        </w:tc>
        <w:tc>
          <w:tcPr>
            <w:tcW w:w="358" w:type="pct"/>
            <w:vMerge w:val="continue"/>
            <w:vAlign w:val="center"/>
          </w:tcPr>
          <w:p w14:paraId="6BD31E8C">
            <w:pPr>
              <w:jc w:val="center"/>
              <w:rPr>
                <w:rFonts w:eastAsia="仿宋_GB2312"/>
                <w:color w:val="auto"/>
                <w:szCs w:val="21"/>
              </w:rPr>
            </w:pPr>
          </w:p>
        </w:tc>
        <w:tc>
          <w:tcPr>
            <w:tcW w:w="418" w:type="pct"/>
            <w:vMerge w:val="continue"/>
            <w:vAlign w:val="center"/>
          </w:tcPr>
          <w:p w14:paraId="0D190525">
            <w:pPr>
              <w:jc w:val="center"/>
              <w:rPr>
                <w:rFonts w:eastAsia="仿宋_GB2312"/>
                <w:color w:val="auto"/>
                <w:szCs w:val="21"/>
              </w:rPr>
            </w:pPr>
          </w:p>
        </w:tc>
        <w:tc>
          <w:tcPr>
            <w:tcW w:w="446" w:type="pct"/>
            <w:vMerge w:val="continue"/>
            <w:vAlign w:val="center"/>
          </w:tcPr>
          <w:p w14:paraId="0F0BA1AB">
            <w:pPr>
              <w:jc w:val="center"/>
              <w:rPr>
                <w:rFonts w:eastAsia="仿宋_GB2312"/>
                <w:color w:val="auto"/>
                <w:szCs w:val="21"/>
              </w:rPr>
            </w:pPr>
          </w:p>
        </w:tc>
        <w:tc>
          <w:tcPr>
            <w:tcW w:w="361" w:type="pct"/>
            <w:vMerge w:val="continue"/>
            <w:shd w:val="clear" w:color="auto" w:fill="auto"/>
            <w:vAlign w:val="center"/>
          </w:tcPr>
          <w:p w14:paraId="4DA18F68">
            <w:pPr>
              <w:jc w:val="center"/>
              <w:rPr>
                <w:rFonts w:eastAsia="仿宋_GB2312"/>
                <w:color w:val="auto"/>
                <w:szCs w:val="21"/>
              </w:rPr>
            </w:pPr>
          </w:p>
        </w:tc>
        <w:tc>
          <w:tcPr>
            <w:tcW w:w="498" w:type="pct"/>
            <w:vMerge w:val="continue"/>
            <w:shd w:val="clear" w:color="auto" w:fill="auto"/>
            <w:vAlign w:val="center"/>
          </w:tcPr>
          <w:p w14:paraId="25CB2342">
            <w:pPr>
              <w:keepNext w:val="0"/>
              <w:keepLines w:val="0"/>
              <w:widowControl/>
              <w:suppressLineNumbers w:val="0"/>
              <w:jc w:val="center"/>
              <w:textAlignment w:val="bottom"/>
              <w:rPr>
                <w:rFonts w:hint="eastAsia" w:eastAsia="仿宋_GB2312"/>
                <w:color w:val="auto"/>
                <w:kern w:val="0"/>
                <w:szCs w:val="21"/>
                <w:lang w:val="en-US" w:eastAsia="zh-CN" w:bidi="ar"/>
              </w:rPr>
            </w:pPr>
          </w:p>
        </w:tc>
        <w:tc>
          <w:tcPr>
            <w:tcW w:w="820" w:type="pct"/>
            <w:shd w:val="clear" w:color="auto" w:fill="auto"/>
            <w:vAlign w:val="center"/>
          </w:tcPr>
          <w:p w14:paraId="7C766644">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乙基苯</w:t>
            </w:r>
          </w:p>
        </w:tc>
        <w:tc>
          <w:tcPr>
            <w:tcW w:w="380" w:type="pct"/>
            <w:shd w:val="clear" w:color="auto" w:fill="auto"/>
            <w:vAlign w:val="center"/>
          </w:tcPr>
          <w:p w14:paraId="050EC3E8">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0.0007</w:t>
            </w:r>
          </w:p>
        </w:tc>
        <w:tc>
          <w:tcPr>
            <w:tcW w:w="445" w:type="pct"/>
            <w:shd w:val="clear" w:color="auto" w:fill="auto"/>
            <w:vAlign w:val="center"/>
          </w:tcPr>
          <w:p w14:paraId="632BECA9">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0.002</w:t>
            </w:r>
          </w:p>
        </w:tc>
        <w:tc>
          <w:tcPr>
            <w:tcW w:w="630" w:type="pct"/>
            <w:vMerge w:val="continue"/>
            <w:vAlign w:val="center"/>
          </w:tcPr>
          <w:p w14:paraId="7451E982">
            <w:pPr>
              <w:jc w:val="center"/>
              <w:rPr>
                <w:rFonts w:eastAsia="仿宋_GB2312"/>
                <w:color w:val="auto"/>
                <w:szCs w:val="21"/>
              </w:rPr>
            </w:pPr>
          </w:p>
        </w:tc>
        <w:tc>
          <w:tcPr>
            <w:tcW w:w="292" w:type="pct"/>
            <w:vMerge w:val="continue"/>
            <w:vAlign w:val="center"/>
          </w:tcPr>
          <w:p w14:paraId="2E691CD6">
            <w:pPr>
              <w:jc w:val="center"/>
              <w:rPr>
                <w:rFonts w:eastAsia="仿宋_GB2312"/>
                <w:color w:val="auto"/>
                <w:szCs w:val="21"/>
              </w:rPr>
            </w:pPr>
          </w:p>
        </w:tc>
      </w:tr>
      <w:tr w14:paraId="628A76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38BA5DC5">
            <w:pPr>
              <w:jc w:val="center"/>
              <w:rPr>
                <w:rFonts w:eastAsia="仿宋_GB2312"/>
                <w:color w:val="auto"/>
                <w:szCs w:val="21"/>
              </w:rPr>
            </w:pPr>
          </w:p>
        </w:tc>
        <w:tc>
          <w:tcPr>
            <w:tcW w:w="358" w:type="pct"/>
            <w:vMerge w:val="continue"/>
            <w:vAlign w:val="center"/>
          </w:tcPr>
          <w:p w14:paraId="6E4A5459">
            <w:pPr>
              <w:jc w:val="center"/>
              <w:rPr>
                <w:rFonts w:eastAsia="仿宋_GB2312"/>
                <w:color w:val="auto"/>
                <w:szCs w:val="21"/>
              </w:rPr>
            </w:pPr>
          </w:p>
        </w:tc>
        <w:tc>
          <w:tcPr>
            <w:tcW w:w="418" w:type="pct"/>
            <w:vMerge w:val="continue"/>
            <w:vAlign w:val="center"/>
          </w:tcPr>
          <w:p w14:paraId="23204AC3">
            <w:pPr>
              <w:jc w:val="center"/>
              <w:rPr>
                <w:rFonts w:eastAsia="仿宋_GB2312"/>
                <w:color w:val="auto"/>
                <w:szCs w:val="21"/>
              </w:rPr>
            </w:pPr>
          </w:p>
        </w:tc>
        <w:tc>
          <w:tcPr>
            <w:tcW w:w="446" w:type="pct"/>
            <w:vMerge w:val="continue"/>
            <w:vAlign w:val="center"/>
          </w:tcPr>
          <w:p w14:paraId="183E3975">
            <w:pPr>
              <w:jc w:val="center"/>
              <w:rPr>
                <w:rFonts w:eastAsia="仿宋_GB2312"/>
                <w:color w:val="auto"/>
                <w:szCs w:val="21"/>
              </w:rPr>
            </w:pPr>
          </w:p>
        </w:tc>
        <w:tc>
          <w:tcPr>
            <w:tcW w:w="361" w:type="pct"/>
            <w:vMerge w:val="continue"/>
            <w:vAlign w:val="center"/>
          </w:tcPr>
          <w:p w14:paraId="4B58DA73">
            <w:pPr>
              <w:jc w:val="center"/>
              <w:rPr>
                <w:rFonts w:eastAsia="仿宋_GB2312"/>
                <w:color w:val="auto"/>
                <w:szCs w:val="21"/>
              </w:rPr>
            </w:pPr>
          </w:p>
        </w:tc>
        <w:tc>
          <w:tcPr>
            <w:tcW w:w="498" w:type="pct"/>
            <w:vMerge w:val="continue"/>
            <w:shd w:val="clear" w:color="auto" w:fill="auto"/>
            <w:vAlign w:val="center"/>
          </w:tcPr>
          <w:p w14:paraId="5BC3AE1C">
            <w:pPr>
              <w:keepNext w:val="0"/>
              <w:keepLines w:val="0"/>
              <w:widowControl/>
              <w:suppressLineNumbers w:val="0"/>
              <w:jc w:val="center"/>
              <w:textAlignment w:val="bottom"/>
              <w:rPr>
                <w:rFonts w:eastAsia="仿宋_GB2312"/>
                <w:color w:val="auto"/>
                <w:kern w:val="0"/>
                <w:szCs w:val="21"/>
                <w:lang w:bidi="ar"/>
              </w:rPr>
            </w:pPr>
          </w:p>
        </w:tc>
        <w:tc>
          <w:tcPr>
            <w:tcW w:w="820" w:type="pct"/>
            <w:shd w:val="clear" w:color="auto" w:fill="auto"/>
            <w:vAlign w:val="center"/>
          </w:tcPr>
          <w:p w14:paraId="5E60B588">
            <w:pPr>
              <w:widowControl/>
              <w:jc w:val="center"/>
              <w:textAlignment w:val="center"/>
              <w:rPr>
                <w:rFonts w:ascii="Times New Roman" w:hAnsi="Times New Roman" w:eastAsia="仿宋_GB2312" w:cs="Times New Roman"/>
                <w:color w:val="auto"/>
                <w:kern w:val="0"/>
                <w:sz w:val="21"/>
                <w:szCs w:val="21"/>
                <w:lang w:val="en-US" w:eastAsia="zh-CN" w:bidi="ar"/>
              </w:rPr>
            </w:pPr>
            <w:r>
              <w:rPr>
                <w:rFonts w:eastAsia="仿宋_GB2312"/>
                <w:color w:val="auto"/>
                <w:kern w:val="0"/>
                <w:szCs w:val="21"/>
                <w:lang w:bidi="ar"/>
              </w:rPr>
              <w:t>其他有机物</w:t>
            </w:r>
          </w:p>
        </w:tc>
        <w:tc>
          <w:tcPr>
            <w:tcW w:w="380" w:type="pct"/>
            <w:shd w:val="clear" w:color="auto" w:fill="auto"/>
            <w:vAlign w:val="center"/>
          </w:tcPr>
          <w:p w14:paraId="7AEDCE52">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0.011</w:t>
            </w:r>
          </w:p>
        </w:tc>
        <w:tc>
          <w:tcPr>
            <w:tcW w:w="445" w:type="pct"/>
            <w:shd w:val="clear" w:color="auto" w:fill="auto"/>
            <w:vAlign w:val="center"/>
          </w:tcPr>
          <w:p w14:paraId="0C3D1692">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0.03</w:t>
            </w:r>
          </w:p>
        </w:tc>
        <w:tc>
          <w:tcPr>
            <w:tcW w:w="630" w:type="pct"/>
            <w:vMerge w:val="continue"/>
            <w:vAlign w:val="center"/>
          </w:tcPr>
          <w:p w14:paraId="6F21B674">
            <w:pPr>
              <w:jc w:val="center"/>
              <w:rPr>
                <w:rFonts w:eastAsia="仿宋_GB2312"/>
                <w:color w:val="auto"/>
                <w:szCs w:val="21"/>
              </w:rPr>
            </w:pPr>
          </w:p>
        </w:tc>
        <w:tc>
          <w:tcPr>
            <w:tcW w:w="292" w:type="pct"/>
            <w:vMerge w:val="continue"/>
            <w:vAlign w:val="center"/>
          </w:tcPr>
          <w:p w14:paraId="7A888F97">
            <w:pPr>
              <w:jc w:val="center"/>
              <w:rPr>
                <w:rFonts w:eastAsia="仿宋_GB2312"/>
                <w:color w:val="auto"/>
                <w:szCs w:val="21"/>
              </w:rPr>
            </w:pPr>
          </w:p>
        </w:tc>
      </w:tr>
      <w:tr w14:paraId="3AAF97D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35" w:hRule="atLeast"/>
          <w:tblHeader/>
          <w:jc w:val="center"/>
        </w:trPr>
        <w:tc>
          <w:tcPr>
            <w:tcW w:w="348" w:type="pct"/>
            <w:vMerge w:val="continue"/>
            <w:vAlign w:val="center"/>
          </w:tcPr>
          <w:p w14:paraId="085F3A77">
            <w:pPr>
              <w:jc w:val="center"/>
              <w:rPr>
                <w:rFonts w:eastAsia="仿宋_GB2312"/>
                <w:color w:val="auto"/>
                <w:szCs w:val="21"/>
              </w:rPr>
            </w:pPr>
          </w:p>
        </w:tc>
        <w:tc>
          <w:tcPr>
            <w:tcW w:w="358" w:type="pct"/>
            <w:vMerge w:val="continue"/>
            <w:vAlign w:val="center"/>
          </w:tcPr>
          <w:p w14:paraId="4C562051">
            <w:pPr>
              <w:jc w:val="center"/>
              <w:rPr>
                <w:rFonts w:eastAsia="仿宋_GB2312"/>
                <w:color w:val="auto"/>
                <w:szCs w:val="21"/>
              </w:rPr>
            </w:pPr>
          </w:p>
        </w:tc>
        <w:tc>
          <w:tcPr>
            <w:tcW w:w="418" w:type="pct"/>
            <w:vMerge w:val="restart"/>
            <w:vAlign w:val="center"/>
          </w:tcPr>
          <w:p w14:paraId="587531C2">
            <w:pPr>
              <w:jc w:val="center"/>
              <w:rPr>
                <w:rFonts w:eastAsia="仿宋_GB2312"/>
                <w:color w:val="auto"/>
                <w:szCs w:val="21"/>
              </w:rPr>
            </w:pPr>
            <w:r>
              <w:rPr>
                <w:rFonts w:eastAsia="仿宋_GB2312"/>
                <w:color w:val="auto"/>
                <w:kern w:val="0"/>
                <w:szCs w:val="21"/>
                <w:lang w:bidi="ar"/>
              </w:rPr>
              <w:t>G</w:t>
            </w:r>
            <w:r>
              <w:rPr>
                <w:rFonts w:hint="eastAsia" w:eastAsia="仿宋_GB2312"/>
                <w:color w:val="auto"/>
                <w:kern w:val="0"/>
                <w:szCs w:val="21"/>
                <w:lang w:val="en-US" w:eastAsia="zh-CN" w:bidi="ar"/>
              </w:rPr>
              <w:t>2</w:t>
            </w:r>
            <w:r>
              <w:rPr>
                <w:rFonts w:eastAsia="仿宋_GB2312"/>
                <w:color w:val="auto"/>
                <w:kern w:val="0"/>
                <w:szCs w:val="21"/>
                <w:lang w:bidi="ar"/>
              </w:rPr>
              <w:t>-</w:t>
            </w:r>
            <w:r>
              <w:rPr>
                <w:rFonts w:hint="eastAsia" w:eastAsia="仿宋_GB2312"/>
                <w:color w:val="auto"/>
                <w:kern w:val="0"/>
                <w:szCs w:val="21"/>
                <w:lang w:val="en-US" w:eastAsia="zh-CN" w:bidi="ar"/>
              </w:rPr>
              <w:t>3</w:t>
            </w:r>
            <w:r>
              <w:rPr>
                <w:rFonts w:eastAsia="仿宋_GB2312"/>
                <w:color w:val="auto"/>
                <w:kern w:val="0"/>
                <w:szCs w:val="21"/>
                <w:lang w:bidi="ar"/>
              </w:rPr>
              <w:t>-3</w:t>
            </w:r>
          </w:p>
        </w:tc>
        <w:tc>
          <w:tcPr>
            <w:tcW w:w="446" w:type="pct"/>
            <w:vMerge w:val="restart"/>
            <w:vAlign w:val="center"/>
          </w:tcPr>
          <w:p w14:paraId="2D280F80">
            <w:pPr>
              <w:jc w:val="center"/>
              <w:rPr>
                <w:rFonts w:eastAsia="仿宋_GB2312"/>
                <w:color w:val="auto"/>
                <w:szCs w:val="21"/>
              </w:rPr>
            </w:pPr>
            <w:r>
              <w:rPr>
                <w:rFonts w:eastAsia="仿宋_GB2312"/>
                <w:color w:val="auto"/>
                <w:kern w:val="0"/>
                <w:szCs w:val="21"/>
                <w:lang w:bidi="ar"/>
              </w:rPr>
              <w:t>不凝气</w:t>
            </w:r>
          </w:p>
        </w:tc>
        <w:tc>
          <w:tcPr>
            <w:tcW w:w="361" w:type="pct"/>
            <w:vMerge w:val="restart"/>
            <w:vAlign w:val="center"/>
          </w:tcPr>
          <w:p w14:paraId="5CF2B0A1">
            <w:pPr>
              <w:jc w:val="center"/>
              <w:rPr>
                <w:rFonts w:eastAsia="仿宋_GB2312"/>
                <w:color w:val="auto"/>
                <w:szCs w:val="21"/>
              </w:rPr>
            </w:pPr>
            <w:r>
              <w:rPr>
                <w:rFonts w:eastAsia="仿宋_GB2312"/>
                <w:color w:val="auto"/>
                <w:szCs w:val="21"/>
              </w:rPr>
              <w:t>360</w:t>
            </w:r>
          </w:p>
        </w:tc>
        <w:tc>
          <w:tcPr>
            <w:tcW w:w="498" w:type="pct"/>
            <w:vMerge w:val="restart"/>
            <w:shd w:val="clear" w:color="auto" w:fill="auto"/>
            <w:vAlign w:val="center"/>
          </w:tcPr>
          <w:p w14:paraId="368C1934">
            <w:pPr>
              <w:keepNext w:val="0"/>
              <w:keepLines w:val="0"/>
              <w:widowControl/>
              <w:suppressLineNumbers w:val="0"/>
              <w:jc w:val="center"/>
              <w:textAlignment w:val="bottom"/>
              <w:rPr>
                <w:rFonts w:eastAsia="仿宋_GB2312"/>
                <w:color w:val="auto"/>
                <w:kern w:val="0"/>
                <w:szCs w:val="21"/>
                <w:lang w:bidi="ar"/>
              </w:rPr>
            </w:pPr>
            <w:r>
              <w:rPr>
                <w:rFonts w:hint="default" w:ascii="Times New Roman" w:hAnsi="Times New Roman" w:eastAsia="宋体" w:cs="Times New Roman"/>
                <w:i w:val="0"/>
                <w:iCs w:val="0"/>
                <w:color w:val="auto"/>
                <w:kern w:val="0"/>
                <w:sz w:val="21"/>
                <w:szCs w:val="21"/>
                <w:u w:val="none"/>
                <w:lang w:val="en-US" w:eastAsia="zh-CN" w:bidi="ar"/>
              </w:rPr>
              <w:t>5380</w:t>
            </w:r>
          </w:p>
        </w:tc>
        <w:tc>
          <w:tcPr>
            <w:tcW w:w="820" w:type="pct"/>
            <w:shd w:val="clear" w:color="auto" w:fill="auto"/>
            <w:vAlign w:val="center"/>
          </w:tcPr>
          <w:p w14:paraId="6094FFE9">
            <w:pPr>
              <w:widowControl/>
              <w:jc w:val="center"/>
              <w:textAlignment w:val="center"/>
              <w:rPr>
                <w:rFonts w:ascii="Times New Roman" w:hAnsi="Times New Roman" w:eastAsia="仿宋_GB2312" w:cs="Times New Roman"/>
                <w:b/>
                <w:bCs/>
                <w:color w:val="auto"/>
                <w:kern w:val="0"/>
                <w:sz w:val="21"/>
                <w:szCs w:val="21"/>
                <w:lang w:val="en-US" w:eastAsia="zh-CN" w:bidi="ar"/>
              </w:rPr>
            </w:pPr>
            <w:r>
              <w:rPr>
                <w:rFonts w:eastAsia="仿宋_GB2312"/>
                <w:color w:val="auto"/>
                <w:kern w:val="0"/>
                <w:szCs w:val="21"/>
                <w:lang w:bidi="ar"/>
              </w:rPr>
              <w:t>二甲苯</w:t>
            </w:r>
          </w:p>
        </w:tc>
        <w:tc>
          <w:tcPr>
            <w:tcW w:w="380" w:type="pct"/>
            <w:shd w:val="clear" w:color="auto" w:fill="auto"/>
            <w:vAlign w:val="center"/>
          </w:tcPr>
          <w:p w14:paraId="3A6A142E">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7</w:t>
            </w:r>
          </w:p>
        </w:tc>
        <w:tc>
          <w:tcPr>
            <w:tcW w:w="445" w:type="pct"/>
            <w:shd w:val="clear" w:color="auto" w:fill="auto"/>
            <w:vAlign w:val="center"/>
          </w:tcPr>
          <w:p w14:paraId="4A701171">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37.66</w:t>
            </w:r>
          </w:p>
        </w:tc>
        <w:tc>
          <w:tcPr>
            <w:tcW w:w="630" w:type="pct"/>
            <w:vMerge w:val="continue"/>
            <w:vAlign w:val="center"/>
          </w:tcPr>
          <w:p w14:paraId="258B65E1">
            <w:pPr>
              <w:jc w:val="center"/>
              <w:rPr>
                <w:rFonts w:eastAsia="仿宋_GB2312"/>
                <w:color w:val="auto"/>
                <w:szCs w:val="21"/>
              </w:rPr>
            </w:pPr>
          </w:p>
        </w:tc>
        <w:tc>
          <w:tcPr>
            <w:tcW w:w="292" w:type="pct"/>
            <w:vMerge w:val="continue"/>
            <w:vAlign w:val="center"/>
          </w:tcPr>
          <w:p w14:paraId="484767B5">
            <w:pPr>
              <w:jc w:val="center"/>
              <w:rPr>
                <w:rFonts w:eastAsia="仿宋_GB2312"/>
                <w:color w:val="auto"/>
                <w:szCs w:val="21"/>
              </w:rPr>
            </w:pPr>
          </w:p>
        </w:tc>
      </w:tr>
      <w:tr w14:paraId="6AEEB4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7120687A">
            <w:pPr>
              <w:jc w:val="center"/>
              <w:rPr>
                <w:rFonts w:eastAsia="仿宋_GB2312"/>
                <w:color w:val="auto"/>
                <w:szCs w:val="21"/>
              </w:rPr>
            </w:pPr>
          </w:p>
        </w:tc>
        <w:tc>
          <w:tcPr>
            <w:tcW w:w="358" w:type="pct"/>
            <w:vMerge w:val="continue"/>
            <w:vAlign w:val="center"/>
          </w:tcPr>
          <w:p w14:paraId="45AC4625">
            <w:pPr>
              <w:jc w:val="center"/>
              <w:rPr>
                <w:rFonts w:eastAsia="仿宋_GB2312"/>
                <w:color w:val="auto"/>
                <w:szCs w:val="21"/>
              </w:rPr>
            </w:pPr>
          </w:p>
        </w:tc>
        <w:tc>
          <w:tcPr>
            <w:tcW w:w="418" w:type="pct"/>
            <w:vMerge w:val="continue"/>
            <w:vAlign w:val="center"/>
          </w:tcPr>
          <w:p w14:paraId="4CCC26EE">
            <w:pPr>
              <w:jc w:val="center"/>
              <w:rPr>
                <w:rFonts w:eastAsia="仿宋_GB2312"/>
                <w:color w:val="auto"/>
                <w:szCs w:val="21"/>
              </w:rPr>
            </w:pPr>
          </w:p>
        </w:tc>
        <w:tc>
          <w:tcPr>
            <w:tcW w:w="446" w:type="pct"/>
            <w:vMerge w:val="continue"/>
            <w:vAlign w:val="center"/>
          </w:tcPr>
          <w:p w14:paraId="6919A69A">
            <w:pPr>
              <w:jc w:val="center"/>
              <w:rPr>
                <w:rFonts w:eastAsia="仿宋_GB2312"/>
                <w:color w:val="auto"/>
                <w:szCs w:val="21"/>
              </w:rPr>
            </w:pPr>
          </w:p>
        </w:tc>
        <w:tc>
          <w:tcPr>
            <w:tcW w:w="361" w:type="pct"/>
            <w:vMerge w:val="continue"/>
            <w:vAlign w:val="center"/>
          </w:tcPr>
          <w:p w14:paraId="5E7F0FBD">
            <w:pPr>
              <w:jc w:val="center"/>
              <w:rPr>
                <w:rFonts w:eastAsia="仿宋_GB2312"/>
                <w:color w:val="auto"/>
                <w:szCs w:val="21"/>
              </w:rPr>
            </w:pPr>
          </w:p>
        </w:tc>
        <w:tc>
          <w:tcPr>
            <w:tcW w:w="498" w:type="pct"/>
            <w:vMerge w:val="continue"/>
            <w:shd w:val="clear" w:color="auto" w:fill="auto"/>
            <w:vAlign w:val="center"/>
          </w:tcPr>
          <w:p w14:paraId="68C469C5">
            <w:pPr>
              <w:keepNext w:val="0"/>
              <w:keepLines w:val="0"/>
              <w:widowControl/>
              <w:suppressLineNumbers w:val="0"/>
              <w:jc w:val="center"/>
              <w:textAlignment w:val="bottom"/>
              <w:rPr>
                <w:rFonts w:hint="eastAsia" w:eastAsia="仿宋_GB2312"/>
                <w:color w:val="auto"/>
                <w:kern w:val="0"/>
                <w:szCs w:val="21"/>
                <w:lang w:val="en-US" w:eastAsia="zh-CN" w:bidi="ar"/>
              </w:rPr>
            </w:pPr>
          </w:p>
        </w:tc>
        <w:tc>
          <w:tcPr>
            <w:tcW w:w="820" w:type="pct"/>
            <w:shd w:val="clear" w:color="auto" w:fill="auto"/>
            <w:vAlign w:val="center"/>
          </w:tcPr>
          <w:p w14:paraId="4DA36C18">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乙基苯</w:t>
            </w:r>
          </w:p>
        </w:tc>
        <w:tc>
          <w:tcPr>
            <w:tcW w:w="380" w:type="pct"/>
            <w:shd w:val="clear" w:color="auto" w:fill="auto"/>
            <w:vAlign w:val="center"/>
          </w:tcPr>
          <w:p w14:paraId="09007A62">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0.027</w:t>
            </w:r>
          </w:p>
        </w:tc>
        <w:tc>
          <w:tcPr>
            <w:tcW w:w="445" w:type="pct"/>
            <w:shd w:val="clear" w:color="auto" w:fill="auto"/>
            <w:vAlign w:val="center"/>
          </w:tcPr>
          <w:p w14:paraId="745DF2D0">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0.15</w:t>
            </w:r>
          </w:p>
        </w:tc>
        <w:tc>
          <w:tcPr>
            <w:tcW w:w="630" w:type="pct"/>
            <w:vMerge w:val="continue"/>
            <w:vAlign w:val="center"/>
          </w:tcPr>
          <w:p w14:paraId="266B7311">
            <w:pPr>
              <w:jc w:val="center"/>
              <w:rPr>
                <w:rFonts w:eastAsia="仿宋_GB2312"/>
                <w:color w:val="auto"/>
                <w:szCs w:val="21"/>
              </w:rPr>
            </w:pPr>
          </w:p>
        </w:tc>
        <w:tc>
          <w:tcPr>
            <w:tcW w:w="292" w:type="pct"/>
            <w:vMerge w:val="continue"/>
            <w:vAlign w:val="center"/>
          </w:tcPr>
          <w:p w14:paraId="5E92D9FD">
            <w:pPr>
              <w:jc w:val="center"/>
              <w:rPr>
                <w:rFonts w:eastAsia="仿宋_GB2312"/>
                <w:color w:val="auto"/>
                <w:szCs w:val="21"/>
              </w:rPr>
            </w:pPr>
          </w:p>
        </w:tc>
      </w:tr>
      <w:tr w14:paraId="28913E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38612EFC">
            <w:pPr>
              <w:jc w:val="center"/>
              <w:rPr>
                <w:rFonts w:eastAsia="仿宋_GB2312"/>
                <w:color w:val="auto"/>
                <w:szCs w:val="21"/>
              </w:rPr>
            </w:pPr>
          </w:p>
        </w:tc>
        <w:tc>
          <w:tcPr>
            <w:tcW w:w="358" w:type="pct"/>
            <w:vMerge w:val="continue"/>
            <w:vAlign w:val="center"/>
          </w:tcPr>
          <w:p w14:paraId="2C4B3C3E">
            <w:pPr>
              <w:jc w:val="center"/>
              <w:rPr>
                <w:rFonts w:eastAsia="仿宋_GB2312"/>
                <w:color w:val="auto"/>
                <w:szCs w:val="21"/>
              </w:rPr>
            </w:pPr>
          </w:p>
        </w:tc>
        <w:tc>
          <w:tcPr>
            <w:tcW w:w="418" w:type="pct"/>
            <w:vMerge w:val="continue"/>
            <w:vAlign w:val="center"/>
          </w:tcPr>
          <w:p w14:paraId="1FAF3D91">
            <w:pPr>
              <w:jc w:val="center"/>
              <w:rPr>
                <w:rFonts w:eastAsia="仿宋_GB2312"/>
                <w:color w:val="auto"/>
                <w:szCs w:val="21"/>
              </w:rPr>
            </w:pPr>
          </w:p>
        </w:tc>
        <w:tc>
          <w:tcPr>
            <w:tcW w:w="446" w:type="pct"/>
            <w:vMerge w:val="continue"/>
            <w:vAlign w:val="center"/>
          </w:tcPr>
          <w:p w14:paraId="7F1E324E">
            <w:pPr>
              <w:jc w:val="center"/>
              <w:rPr>
                <w:rFonts w:eastAsia="仿宋_GB2312"/>
                <w:color w:val="auto"/>
                <w:szCs w:val="21"/>
              </w:rPr>
            </w:pPr>
          </w:p>
        </w:tc>
        <w:tc>
          <w:tcPr>
            <w:tcW w:w="361" w:type="pct"/>
            <w:vMerge w:val="continue"/>
            <w:shd w:val="clear" w:color="auto" w:fill="auto"/>
            <w:vAlign w:val="center"/>
          </w:tcPr>
          <w:p w14:paraId="2EC31852">
            <w:pPr>
              <w:jc w:val="center"/>
              <w:rPr>
                <w:rFonts w:ascii="Times New Roman" w:hAnsi="Times New Roman" w:eastAsia="仿宋_GB2312" w:cs="Times New Roman"/>
                <w:color w:val="auto"/>
                <w:kern w:val="2"/>
                <w:sz w:val="21"/>
                <w:szCs w:val="21"/>
                <w:lang w:val="en-US" w:eastAsia="zh-CN" w:bidi="ar-SA"/>
              </w:rPr>
            </w:pPr>
          </w:p>
        </w:tc>
        <w:tc>
          <w:tcPr>
            <w:tcW w:w="498" w:type="pct"/>
            <w:vMerge w:val="continue"/>
            <w:shd w:val="clear" w:color="auto" w:fill="auto"/>
            <w:vAlign w:val="center"/>
          </w:tcPr>
          <w:p w14:paraId="24583373">
            <w:pPr>
              <w:keepNext w:val="0"/>
              <w:keepLines w:val="0"/>
              <w:widowControl/>
              <w:suppressLineNumbers w:val="0"/>
              <w:jc w:val="center"/>
              <w:textAlignment w:val="bottom"/>
              <w:rPr>
                <w:rFonts w:eastAsia="仿宋_GB2312"/>
                <w:color w:val="auto"/>
                <w:kern w:val="0"/>
                <w:szCs w:val="21"/>
                <w:lang w:bidi="ar"/>
              </w:rPr>
            </w:pPr>
          </w:p>
        </w:tc>
        <w:tc>
          <w:tcPr>
            <w:tcW w:w="820" w:type="pct"/>
            <w:shd w:val="clear" w:color="auto" w:fill="auto"/>
            <w:vAlign w:val="center"/>
          </w:tcPr>
          <w:p w14:paraId="36597485">
            <w:pPr>
              <w:widowControl/>
              <w:jc w:val="center"/>
              <w:textAlignment w:val="center"/>
              <w:rPr>
                <w:rFonts w:ascii="Times New Roman" w:hAnsi="Times New Roman" w:eastAsia="仿宋_GB2312" w:cs="Times New Roman"/>
                <w:color w:val="auto"/>
                <w:kern w:val="0"/>
                <w:sz w:val="21"/>
                <w:szCs w:val="21"/>
                <w:lang w:val="en-US" w:eastAsia="zh-CN" w:bidi="ar"/>
              </w:rPr>
            </w:pPr>
            <w:r>
              <w:rPr>
                <w:rFonts w:eastAsia="仿宋_GB2312"/>
                <w:color w:val="auto"/>
                <w:kern w:val="0"/>
                <w:szCs w:val="21"/>
                <w:lang w:bidi="ar"/>
              </w:rPr>
              <w:t>其他有机物</w:t>
            </w:r>
          </w:p>
        </w:tc>
        <w:tc>
          <w:tcPr>
            <w:tcW w:w="380" w:type="pct"/>
            <w:shd w:val="clear" w:color="auto" w:fill="auto"/>
            <w:vAlign w:val="center"/>
          </w:tcPr>
          <w:p w14:paraId="179D4F6E">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0.211</w:t>
            </w:r>
          </w:p>
        </w:tc>
        <w:tc>
          <w:tcPr>
            <w:tcW w:w="445" w:type="pct"/>
            <w:shd w:val="clear" w:color="auto" w:fill="auto"/>
            <w:vAlign w:val="center"/>
          </w:tcPr>
          <w:p w14:paraId="2F6085D3">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1.14</w:t>
            </w:r>
          </w:p>
        </w:tc>
        <w:tc>
          <w:tcPr>
            <w:tcW w:w="630" w:type="pct"/>
            <w:vMerge w:val="continue"/>
            <w:vAlign w:val="center"/>
          </w:tcPr>
          <w:p w14:paraId="43CB0C58">
            <w:pPr>
              <w:jc w:val="center"/>
              <w:rPr>
                <w:rFonts w:eastAsia="仿宋_GB2312"/>
                <w:color w:val="auto"/>
                <w:szCs w:val="21"/>
              </w:rPr>
            </w:pPr>
          </w:p>
        </w:tc>
        <w:tc>
          <w:tcPr>
            <w:tcW w:w="292" w:type="pct"/>
            <w:vMerge w:val="continue"/>
            <w:vAlign w:val="center"/>
          </w:tcPr>
          <w:p w14:paraId="32718C2F">
            <w:pPr>
              <w:jc w:val="center"/>
              <w:rPr>
                <w:rFonts w:eastAsia="仿宋_GB2312"/>
                <w:color w:val="auto"/>
                <w:szCs w:val="21"/>
              </w:rPr>
            </w:pPr>
          </w:p>
        </w:tc>
      </w:tr>
      <w:tr w14:paraId="31165A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33DEAE8C">
            <w:pPr>
              <w:jc w:val="center"/>
              <w:rPr>
                <w:rFonts w:eastAsia="仿宋_GB2312"/>
                <w:color w:val="auto"/>
                <w:szCs w:val="21"/>
              </w:rPr>
            </w:pPr>
          </w:p>
        </w:tc>
        <w:tc>
          <w:tcPr>
            <w:tcW w:w="358" w:type="pct"/>
            <w:vMerge w:val="continue"/>
            <w:vAlign w:val="center"/>
          </w:tcPr>
          <w:p w14:paraId="20B4F283">
            <w:pPr>
              <w:jc w:val="center"/>
              <w:rPr>
                <w:rFonts w:eastAsia="仿宋_GB2312"/>
                <w:color w:val="auto"/>
                <w:szCs w:val="21"/>
              </w:rPr>
            </w:pPr>
          </w:p>
        </w:tc>
        <w:tc>
          <w:tcPr>
            <w:tcW w:w="418" w:type="pct"/>
            <w:vMerge w:val="restart"/>
            <w:vAlign w:val="center"/>
          </w:tcPr>
          <w:p w14:paraId="1938E0C1">
            <w:pPr>
              <w:jc w:val="center"/>
              <w:rPr>
                <w:rFonts w:eastAsia="仿宋_GB2312"/>
                <w:color w:val="auto"/>
                <w:szCs w:val="21"/>
              </w:rPr>
            </w:pPr>
            <w:r>
              <w:rPr>
                <w:rFonts w:eastAsia="仿宋_GB2312"/>
                <w:color w:val="auto"/>
                <w:kern w:val="0"/>
                <w:szCs w:val="21"/>
                <w:lang w:bidi="ar"/>
              </w:rPr>
              <w:t>G</w:t>
            </w:r>
            <w:r>
              <w:rPr>
                <w:rFonts w:hint="eastAsia" w:eastAsia="仿宋_GB2312"/>
                <w:color w:val="auto"/>
                <w:kern w:val="0"/>
                <w:szCs w:val="21"/>
                <w:lang w:val="en-US" w:eastAsia="zh-CN" w:bidi="ar"/>
              </w:rPr>
              <w:t>2</w:t>
            </w:r>
            <w:r>
              <w:rPr>
                <w:rFonts w:eastAsia="仿宋_GB2312"/>
                <w:color w:val="auto"/>
                <w:kern w:val="0"/>
                <w:szCs w:val="21"/>
                <w:lang w:bidi="ar"/>
              </w:rPr>
              <w:t>-</w:t>
            </w:r>
            <w:r>
              <w:rPr>
                <w:rFonts w:hint="eastAsia" w:eastAsia="仿宋_GB2312"/>
                <w:color w:val="auto"/>
                <w:kern w:val="0"/>
                <w:szCs w:val="21"/>
                <w:lang w:val="en-US" w:eastAsia="zh-CN" w:bidi="ar"/>
              </w:rPr>
              <w:t>3</w:t>
            </w:r>
            <w:r>
              <w:rPr>
                <w:rFonts w:eastAsia="仿宋_GB2312"/>
                <w:color w:val="auto"/>
                <w:kern w:val="0"/>
                <w:szCs w:val="21"/>
                <w:lang w:bidi="ar"/>
              </w:rPr>
              <w:t>-4</w:t>
            </w:r>
          </w:p>
        </w:tc>
        <w:tc>
          <w:tcPr>
            <w:tcW w:w="446" w:type="pct"/>
            <w:vMerge w:val="restart"/>
            <w:vAlign w:val="center"/>
          </w:tcPr>
          <w:p w14:paraId="42732EA6">
            <w:pPr>
              <w:jc w:val="center"/>
              <w:rPr>
                <w:rFonts w:eastAsia="仿宋_GB2312"/>
                <w:color w:val="auto"/>
                <w:szCs w:val="21"/>
              </w:rPr>
            </w:pPr>
            <w:r>
              <w:rPr>
                <w:rFonts w:eastAsia="仿宋_GB2312"/>
                <w:color w:val="auto"/>
                <w:kern w:val="0"/>
                <w:szCs w:val="21"/>
                <w:lang w:bidi="ar"/>
              </w:rPr>
              <w:t>不凝气</w:t>
            </w:r>
          </w:p>
        </w:tc>
        <w:tc>
          <w:tcPr>
            <w:tcW w:w="361" w:type="pct"/>
            <w:vMerge w:val="restart"/>
            <w:vAlign w:val="center"/>
          </w:tcPr>
          <w:p w14:paraId="08D4B36D">
            <w:pPr>
              <w:jc w:val="center"/>
              <w:rPr>
                <w:rFonts w:eastAsia="仿宋_GB2312"/>
                <w:color w:val="auto"/>
                <w:szCs w:val="21"/>
              </w:rPr>
            </w:pPr>
            <w:r>
              <w:rPr>
                <w:rFonts w:eastAsia="仿宋_GB2312"/>
                <w:color w:val="auto"/>
                <w:szCs w:val="21"/>
              </w:rPr>
              <w:t>360</w:t>
            </w:r>
          </w:p>
        </w:tc>
        <w:tc>
          <w:tcPr>
            <w:tcW w:w="498" w:type="pct"/>
            <w:vMerge w:val="restart"/>
            <w:shd w:val="clear" w:color="auto" w:fill="auto"/>
            <w:vAlign w:val="center"/>
          </w:tcPr>
          <w:p w14:paraId="12ECE530">
            <w:pPr>
              <w:keepNext w:val="0"/>
              <w:keepLines w:val="0"/>
              <w:widowControl/>
              <w:suppressLineNumbers w:val="0"/>
              <w:jc w:val="center"/>
              <w:textAlignment w:val="bottom"/>
              <w:rPr>
                <w:rFonts w:eastAsia="仿宋_GB2312"/>
                <w:color w:val="auto"/>
                <w:kern w:val="0"/>
                <w:szCs w:val="21"/>
                <w:lang w:bidi="ar"/>
              </w:rPr>
            </w:pPr>
            <w:r>
              <w:rPr>
                <w:rFonts w:hint="default" w:ascii="Times New Roman" w:hAnsi="Times New Roman" w:eastAsia="宋体" w:cs="Times New Roman"/>
                <w:i w:val="0"/>
                <w:iCs w:val="0"/>
                <w:color w:val="auto"/>
                <w:kern w:val="0"/>
                <w:sz w:val="21"/>
                <w:szCs w:val="21"/>
                <w:u w:val="none"/>
                <w:lang w:val="en-US" w:eastAsia="zh-CN" w:bidi="ar"/>
              </w:rPr>
              <w:t>5380</w:t>
            </w:r>
          </w:p>
        </w:tc>
        <w:tc>
          <w:tcPr>
            <w:tcW w:w="820" w:type="pct"/>
            <w:shd w:val="clear" w:color="auto" w:fill="auto"/>
            <w:vAlign w:val="center"/>
          </w:tcPr>
          <w:p w14:paraId="50B0010B">
            <w:pPr>
              <w:widowControl/>
              <w:jc w:val="center"/>
              <w:textAlignment w:val="center"/>
              <w:rPr>
                <w:rFonts w:ascii="Times New Roman" w:hAnsi="Times New Roman" w:eastAsia="仿宋_GB2312" w:cs="Times New Roman"/>
                <w:b/>
                <w:bCs/>
                <w:color w:val="auto"/>
                <w:kern w:val="0"/>
                <w:sz w:val="21"/>
                <w:szCs w:val="21"/>
                <w:lang w:val="en-US" w:eastAsia="zh-CN" w:bidi="ar"/>
              </w:rPr>
            </w:pPr>
            <w:r>
              <w:rPr>
                <w:rFonts w:eastAsia="仿宋_GB2312"/>
                <w:color w:val="auto"/>
                <w:kern w:val="0"/>
                <w:szCs w:val="21"/>
                <w:lang w:bidi="ar"/>
              </w:rPr>
              <w:t>二甲苯</w:t>
            </w:r>
          </w:p>
        </w:tc>
        <w:tc>
          <w:tcPr>
            <w:tcW w:w="380" w:type="pct"/>
            <w:shd w:val="clear" w:color="auto" w:fill="auto"/>
            <w:vAlign w:val="center"/>
          </w:tcPr>
          <w:p w14:paraId="258CD9B7">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0.197</w:t>
            </w:r>
          </w:p>
        </w:tc>
        <w:tc>
          <w:tcPr>
            <w:tcW w:w="445" w:type="pct"/>
            <w:shd w:val="clear" w:color="auto" w:fill="auto"/>
            <w:vAlign w:val="center"/>
          </w:tcPr>
          <w:p w14:paraId="295A4F06">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1.06</w:t>
            </w:r>
          </w:p>
        </w:tc>
        <w:tc>
          <w:tcPr>
            <w:tcW w:w="630" w:type="pct"/>
            <w:vMerge w:val="continue"/>
            <w:vAlign w:val="center"/>
          </w:tcPr>
          <w:p w14:paraId="29114FA2">
            <w:pPr>
              <w:jc w:val="center"/>
              <w:rPr>
                <w:rFonts w:eastAsia="仿宋_GB2312"/>
                <w:color w:val="auto"/>
                <w:szCs w:val="21"/>
              </w:rPr>
            </w:pPr>
          </w:p>
        </w:tc>
        <w:tc>
          <w:tcPr>
            <w:tcW w:w="292" w:type="pct"/>
            <w:vMerge w:val="continue"/>
            <w:vAlign w:val="center"/>
          </w:tcPr>
          <w:p w14:paraId="2D86F223">
            <w:pPr>
              <w:jc w:val="center"/>
              <w:rPr>
                <w:rFonts w:eastAsia="仿宋_GB2312"/>
                <w:color w:val="auto"/>
                <w:szCs w:val="21"/>
              </w:rPr>
            </w:pPr>
          </w:p>
        </w:tc>
      </w:tr>
      <w:tr w14:paraId="40A029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02602AD6">
            <w:pPr>
              <w:jc w:val="center"/>
              <w:rPr>
                <w:rFonts w:eastAsia="仿宋_GB2312"/>
                <w:color w:val="auto"/>
                <w:szCs w:val="21"/>
              </w:rPr>
            </w:pPr>
          </w:p>
        </w:tc>
        <w:tc>
          <w:tcPr>
            <w:tcW w:w="358" w:type="pct"/>
            <w:vMerge w:val="continue"/>
            <w:vAlign w:val="center"/>
          </w:tcPr>
          <w:p w14:paraId="71CF8C54">
            <w:pPr>
              <w:jc w:val="center"/>
              <w:rPr>
                <w:rFonts w:eastAsia="仿宋_GB2312"/>
                <w:color w:val="auto"/>
                <w:szCs w:val="21"/>
              </w:rPr>
            </w:pPr>
          </w:p>
        </w:tc>
        <w:tc>
          <w:tcPr>
            <w:tcW w:w="418" w:type="pct"/>
            <w:vMerge w:val="continue"/>
            <w:vAlign w:val="center"/>
          </w:tcPr>
          <w:p w14:paraId="4BC9712C">
            <w:pPr>
              <w:jc w:val="center"/>
              <w:rPr>
                <w:rFonts w:eastAsia="仿宋_GB2312"/>
                <w:color w:val="auto"/>
                <w:szCs w:val="21"/>
              </w:rPr>
            </w:pPr>
          </w:p>
        </w:tc>
        <w:tc>
          <w:tcPr>
            <w:tcW w:w="446" w:type="pct"/>
            <w:vMerge w:val="continue"/>
            <w:vAlign w:val="center"/>
          </w:tcPr>
          <w:p w14:paraId="7B40AFCF">
            <w:pPr>
              <w:jc w:val="center"/>
              <w:rPr>
                <w:rFonts w:eastAsia="仿宋_GB2312"/>
                <w:color w:val="auto"/>
                <w:szCs w:val="21"/>
              </w:rPr>
            </w:pPr>
          </w:p>
        </w:tc>
        <w:tc>
          <w:tcPr>
            <w:tcW w:w="361" w:type="pct"/>
            <w:vMerge w:val="continue"/>
            <w:vAlign w:val="center"/>
          </w:tcPr>
          <w:p w14:paraId="1409708D">
            <w:pPr>
              <w:jc w:val="center"/>
              <w:rPr>
                <w:rFonts w:eastAsia="仿宋_GB2312"/>
                <w:color w:val="auto"/>
                <w:szCs w:val="21"/>
              </w:rPr>
            </w:pPr>
          </w:p>
        </w:tc>
        <w:tc>
          <w:tcPr>
            <w:tcW w:w="498" w:type="pct"/>
            <w:vMerge w:val="continue"/>
            <w:shd w:val="clear" w:color="auto" w:fill="auto"/>
            <w:vAlign w:val="center"/>
          </w:tcPr>
          <w:p w14:paraId="6ACBCB5B">
            <w:pPr>
              <w:keepNext w:val="0"/>
              <w:keepLines w:val="0"/>
              <w:widowControl/>
              <w:suppressLineNumbers w:val="0"/>
              <w:jc w:val="center"/>
              <w:textAlignment w:val="bottom"/>
              <w:rPr>
                <w:rFonts w:hint="eastAsia" w:eastAsia="仿宋_GB2312"/>
                <w:color w:val="auto"/>
                <w:kern w:val="0"/>
                <w:szCs w:val="21"/>
                <w:lang w:val="en-US" w:eastAsia="zh-CN" w:bidi="ar"/>
              </w:rPr>
            </w:pPr>
          </w:p>
        </w:tc>
        <w:tc>
          <w:tcPr>
            <w:tcW w:w="820" w:type="pct"/>
            <w:shd w:val="clear" w:color="auto" w:fill="auto"/>
            <w:vAlign w:val="center"/>
          </w:tcPr>
          <w:p w14:paraId="458E66F9">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乙基苯</w:t>
            </w:r>
          </w:p>
        </w:tc>
        <w:tc>
          <w:tcPr>
            <w:tcW w:w="380" w:type="pct"/>
            <w:shd w:val="clear" w:color="auto" w:fill="auto"/>
            <w:vAlign w:val="center"/>
          </w:tcPr>
          <w:p w14:paraId="1455FF7E">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eastAsia" w:ascii="Times New Roman" w:hAnsi="Times New Roman" w:eastAsia="宋体" w:cs="Times New Roman"/>
                <w:i w:val="0"/>
                <w:iCs w:val="0"/>
                <w:color w:val="auto"/>
                <w:kern w:val="0"/>
                <w:sz w:val="21"/>
                <w:szCs w:val="21"/>
                <w:u w:val="none"/>
                <w:lang w:val="en-US" w:eastAsia="zh-CN" w:bidi="ar"/>
              </w:rPr>
              <w:t>0.0001</w:t>
            </w:r>
          </w:p>
        </w:tc>
        <w:tc>
          <w:tcPr>
            <w:tcW w:w="445" w:type="pct"/>
            <w:shd w:val="clear" w:color="auto" w:fill="auto"/>
            <w:vAlign w:val="center"/>
          </w:tcPr>
          <w:p w14:paraId="01CBF52E">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0.0005</w:t>
            </w:r>
          </w:p>
        </w:tc>
        <w:tc>
          <w:tcPr>
            <w:tcW w:w="630" w:type="pct"/>
            <w:vMerge w:val="continue"/>
            <w:vAlign w:val="center"/>
          </w:tcPr>
          <w:p w14:paraId="0CA4DD8A">
            <w:pPr>
              <w:jc w:val="center"/>
              <w:rPr>
                <w:rFonts w:eastAsia="仿宋_GB2312"/>
                <w:color w:val="auto"/>
                <w:szCs w:val="21"/>
              </w:rPr>
            </w:pPr>
          </w:p>
        </w:tc>
        <w:tc>
          <w:tcPr>
            <w:tcW w:w="292" w:type="pct"/>
            <w:vMerge w:val="continue"/>
            <w:vAlign w:val="center"/>
          </w:tcPr>
          <w:p w14:paraId="14FE8B77">
            <w:pPr>
              <w:jc w:val="center"/>
              <w:rPr>
                <w:rFonts w:eastAsia="仿宋_GB2312"/>
                <w:color w:val="auto"/>
                <w:szCs w:val="21"/>
              </w:rPr>
            </w:pPr>
          </w:p>
        </w:tc>
      </w:tr>
      <w:tr w14:paraId="3ACB3C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4F7C6ED4">
            <w:pPr>
              <w:jc w:val="center"/>
              <w:rPr>
                <w:rFonts w:eastAsia="仿宋_GB2312"/>
                <w:color w:val="auto"/>
                <w:szCs w:val="21"/>
              </w:rPr>
            </w:pPr>
          </w:p>
        </w:tc>
        <w:tc>
          <w:tcPr>
            <w:tcW w:w="358" w:type="pct"/>
            <w:vMerge w:val="continue"/>
            <w:vAlign w:val="center"/>
          </w:tcPr>
          <w:p w14:paraId="7F21ED30">
            <w:pPr>
              <w:jc w:val="center"/>
              <w:rPr>
                <w:rFonts w:eastAsia="仿宋_GB2312"/>
                <w:color w:val="auto"/>
                <w:szCs w:val="21"/>
              </w:rPr>
            </w:pPr>
          </w:p>
        </w:tc>
        <w:tc>
          <w:tcPr>
            <w:tcW w:w="418" w:type="pct"/>
            <w:vMerge w:val="continue"/>
            <w:vAlign w:val="center"/>
          </w:tcPr>
          <w:p w14:paraId="3E73EC8D">
            <w:pPr>
              <w:jc w:val="center"/>
              <w:rPr>
                <w:rFonts w:eastAsia="仿宋_GB2312"/>
                <w:color w:val="auto"/>
                <w:szCs w:val="21"/>
              </w:rPr>
            </w:pPr>
          </w:p>
        </w:tc>
        <w:tc>
          <w:tcPr>
            <w:tcW w:w="446" w:type="pct"/>
            <w:vMerge w:val="continue"/>
            <w:vAlign w:val="center"/>
          </w:tcPr>
          <w:p w14:paraId="6DDEE2E9">
            <w:pPr>
              <w:jc w:val="center"/>
              <w:rPr>
                <w:rFonts w:eastAsia="仿宋_GB2312"/>
                <w:color w:val="auto"/>
                <w:szCs w:val="21"/>
              </w:rPr>
            </w:pPr>
          </w:p>
        </w:tc>
        <w:tc>
          <w:tcPr>
            <w:tcW w:w="361" w:type="pct"/>
            <w:vMerge w:val="continue"/>
            <w:vAlign w:val="center"/>
          </w:tcPr>
          <w:p w14:paraId="05956F1D">
            <w:pPr>
              <w:jc w:val="center"/>
              <w:rPr>
                <w:rFonts w:eastAsia="仿宋_GB2312"/>
                <w:color w:val="auto"/>
                <w:szCs w:val="21"/>
              </w:rPr>
            </w:pPr>
          </w:p>
        </w:tc>
        <w:tc>
          <w:tcPr>
            <w:tcW w:w="498" w:type="pct"/>
            <w:vMerge w:val="continue"/>
            <w:shd w:val="clear" w:color="auto" w:fill="auto"/>
            <w:vAlign w:val="center"/>
          </w:tcPr>
          <w:p w14:paraId="61FF0C6F">
            <w:pPr>
              <w:keepNext w:val="0"/>
              <w:keepLines w:val="0"/>
              <w:widowControl/>
              <w:suppressLineNumbers w:val="0"/>
              <w:jc w:val="center"/>
              <w:textAlignment w:val="bottom"/>
              <w:rPr>
                <w:rFonts w:eastAsia="仿宋_GB2312"/>
                <w:color w:val="auto"/>
                <w:kern w:val="0"/>
                <w:szCs w:val="21"/>
                <w:lang w:bidi="ar"/>
              </w:rPr>
            </w:pPr>
          </w:p>
        </w:tc>
        <w:tc>
          <w:tcPr>
            <w:tcW w:w="820" w:type="pct"/>
            <w:shd w:val="clear" w:color="auto" w:fill="auto"/>
            <w:vAlign w:val="center"/>
          </w:tcPr>
          <w:p w14:paraId="3A5223D8">
            <w:pPr>
              <w:widowControl/>
              <w:jc w:val="center"/>
              <w:textAlignment w:val="center"/>
              <w:rPr>
                <w:rFonts w:ascii="Times New Roman" w:hAnsi="Times New Roman" w:eastAsia="仿宋_GB2312" w:cs="Times New Roman"/>
                <w:color w:val="auto"/>
                <w:kern w:val="0"/>
                <w:sz w:val="21"/>
                <w:szCs w:val="21"/>
                <w:lang w:val="en-US" w:eastAsia="zh-CN" w:bidi="ar"/>
              </w:rPr>
            </w:pPr>
            <w:r>
              <w:rPr>
                <w:rFonts w:eastAsia="仿宋_GB2312"/>
                <w:color w:val="auto"/>
                <w:kern w:val="0"/>
                <w:szCs w:val="21"/>
                <w:lang w:bidi="ar"/>
              </w:rPr>
              <w:t>其他有机物</w:t>
            </w:r>
          </w:p>
        </w:tc>
        <w:tc>
          <w:tcPr>
            <w:tcW w:w="380" w:type="pct"/>
            <w:shd w:val="clear" w:color="auto" w:fill="auto"/>
            <w:vAlign w:val="center"/>
          </w:tcPr>
          <w:p w14:paraId="19963648">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0.003</w:t>
            </w:r>
          </w:p>
        </w:tc>
        <w:tc>
          <w:tcPr>
            <w:tcW w:w="445" w:type="pct"/>
            <w:shd w:val="clear" w:color="auto" w:fill="auto"/>
            <w:vAlign w:val="center"/>
          </w:tcPr>
          <w:p w14:paraId="6006B02C">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0.02</w:t>
            </w:r>
          </w:p>
        </w:tc>
        <w:tc>
          <w:tcPr>
            <w:tcW w:w="630" w:type="pct"/>
            <w:vMerge w:val="continue"/>
            <w:vAlign w:val="center"/>
          </w:tcPr>
          <w:p w14:paraId="3C1B0BAE">
            <w:pPr>
              <w:jc w:val="center"/>
              <w:rPr>
                <w:rFonts w:eastAsia="仿宋_GB2312"/>
                <w:color w:val="auto"/>
                <w:szCs w:val="21"/>
              </w:rPr>
            </w:pPr>
          </w:p>
        </w:tc>
        <w:tc>
          <w:tcPr>
            <w:tcW w:w="292" w:type="pct"/>
            <w:vMerge w:val="continue"/>
            <w:vAlign w:val="center"/>
          </w:tcPr>
          <w:p w14:paraId="5BE1C989">
            <w:pPr>
              <w:jc w:val="center"/>
              <w:rPr>
                <w:rFonts w:eastAsia="仿宋_GB2312"/>
                <w:color w:val="auto"/>
                <w:szCs w:val="21"/>
              </w:rPr>
            </w:pPr>
          </w:p>
        </w:tc>
      </w:tr>
      <w:tr w14:paraId="53D481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6C87F36C">
            <w:pPr>
              <w:jc w:val="center"/>
              <w:rPr>
                <w:rFonts w:eastAsia="仿宋_GB2312"/>
                <w:color w:val="auto"/>
                <w:szCs w:val="21"/>
              </w:rPr>
            </w:pPr>
          </w:p>
        </w:tc>
        <w:tc>
          <w:tcPr>
            <w:tcW w:w="358" w:type="pct"/>
            <w:vMerge w:val="continue"/>
            <w:vAlign w:val="center"/>
          </w:tcPr>
          <w:p w14:paraId="059C5ABF">
            <w:pPr>
              <w:jc w:val="center"/>
              <w:rPr>
                <w:rFonts w:eastAsia="仿宋_GB2312"/>
                <w:color w:val="auto"/>
                <w:szCs w:val="21"/>
              </w:rPr>
            </w:pPr>
          </w:p>
        </w:tc>
        <w:tc>
          <w:tcPr>
            <w:tcW w:w="418" w:type="pct"/>
            <w:vMerge w:val="restart"/>
            <w:vAlign w:val="center"/>
          </w:tcPr>
          <w:p w14:paraId="78D3DD52">
            <w:pPr>
              <w:jc w:val="center"/>
              <w:rPr>
                <w:rFonts w:eastAsia="仿宋_GB2312"/>
                <w:color w:val="auto"/>
                <w:szCs w:val="21"/>
              </w:rPr>
            </w:pPr>
            <w:r>
              <w:rPr>
                <w:rFonts w:eastAsia="仿宋_GB2312"/>
                <w:color w:val="auto"/>
                <w:kern w:val="0"/>
                <w:szCs w:val="21"/>
                <w:lang w:bidi="ar"/>
              </w:rPr>
              <w:t>G</w:t>
            </w:r>
            <w:r>
              <w:rPr>
                <w:rFonts w:hint="eastAsia" w:eastAsia="仿宋_GB2312"/>
                <w:color w:val="auto"/>
                <w:kern w:val="0"/>
                <w:szCs w:val="21"/>
                <w:lang w:val="en-US" w:eastAsia="zh-CN" w:bidi="ar"/>
              </w:rPr>
              <w:t>2</w:t>
            </w:r>
            <w:r>
              <w:rPr>
                <w:rFonts w:eastAsia="仿宋_GB2312"/>
                <w:color w:val="auto"/>
                <w:kern w:val="0"/>
                <w:szCs w:val="21"/>
                <w:lang w:bidi="ar"/>
              </w:rPr>
              <w:t>-</w:t>
            </w:r>
            <w:r>
              <w:rPr>
                <w:rFonts w:hint="eastAsia" w:eastAsia="仿宋_GB2312"/>
                <w:color w:val="auto"/>
                <w:kern w:val="0"/>
                <w:szCs w:val="21"/>
                <w:lang w:val="en-US" w:eastAsia="zh-CN" w:bidi="ar"/>
              </w:rPr>
              <w:t>3</w:t>
            </w:r>
            <w:r>
              <w:rPr>
                <w:rFonts w:eastAsia="仿宋_GB2312"/>
                <w:color w:val="auto"/>
                <w:kern w:val="0"/>
                <w:szCs w:val="21"/>
                <w:lang w:bidi="ar"/>
              </w:rPr>
              <w:t>-5</w:t>
            </w:r>
          </w:p>
        </w:tc>
        <w:tc>
          <w:tcPr>
            <w:tcW w:w="446" w:type="pct"/>
            <w:vMerge w:val="restart"/>
            <w:vAlign w:val="center"/>
          </w:tcPr>
          <w:p w14:paraId="6FC54465">
            <w:pPr>
              <w:jc w:val="center"/>
              <w:rPr>
                <w:rFonts w:eastAsia="仿宋_GB2312"/>
                <w:color w:val="auto"/>
                <w:szCs w:val="21"/>
              </w:rPr>
            </w:pPr>
            <w:r>
              <w:rPr>
                <w:rFonts w:eastAsia="仿宋_GB2312"/>
                <w:color w:val="auto"/>
                <w:kern w:val="0"/>
                <w:szCs w:val="21"/>
                <w:lang w:bidi="ar"/>
              </w:rPr>
              <w:t>灌装废气</w:t>
            </w:r>
          </w:p>
        </w:tc>
        <w:tc>
          <w:tcPr>
            <w:tcW w:w="361" w:type="pct"/>
            <w:vMerge w:val="restart"/>
            <w:shd w:val="clear" w:color="auto" w:fill="auto"/>
            <w:vAlign w:val="center"/>
          </w:tcPr>
          <w:p w14:paraId="753FCCF8">
            <w:pPr>
              <w:jc w:val="center"/>
              <w:rPr>
                <w:rFonts w:hint="default" w:eastAsia="仿宋_GB2312"/>
                <w:color w:val="auto"/>
                <w:szCs w:val="21"/>
                <w:lang w:val="en-US" w:eastAsia="zh-CN"/>
              </w:rPr>
            </w:pPr>
            <w:r>
              <w:rPr>
                <w:rFonts w:hint="eastAsia" w:eastAsia="仿宋_GB2312"/>
                <w:color w:val="auto"/>
                <w:szCs w:val="21"/>
                <w:lang w:val="en-US" w:eastAsia="zh-CN"/>
              </w:rPr>
              <w:t>2000</w:t>
            </w:r>
          </w:p>
        </w:tc>
        <w:tc>
          <w:tcPr>
            <w:tcW w:w="498" w:type="pct"/>
            <w:vMerge w:val="restart"/>
            <w:shd w:val="clear" w:color="auto" w:fill="auto"/>
            <w:vAlign w:val="center"/>
          </w:tcPr>
          <w:p w14:paraId="6E736DEA">
            <w:pPr>
              <w:keepNext w:val="0"/>
              <w:keepLines w:val="0"/>
              <w:widowControl/>
              <w:suppressLineNumbers w:val="0"/>
              <w:jc w:val="center"/>
              <w:textAlignment w:val="bottom"/>
              <w:rPr>
                <w:rFonts w:eastAsia="仿宋_GB2312"/>
                <w:color w:val="auto"/>
                <w:kern w:val="0"/>
                <w:szCs w:val="21"/>
                <w:lang w:bidi="ar"/>
              </w:rPr>
            </w:pPr>
            <w:r>
              <w:rPr>
                <w:rFonts w:hint="default" w:ascii="Times New Roman" w:hAnsi="Times New Roman" w:eastAsia="宋体" w:cs="Times New Roman"/>
                <w:i w:val="0"/>
                <w:iCs w:val="0"/>
                <w:color w:val="auto"/>
                <w:kern w:val="0"/>
                <w:sz w:val="21"/>
                <w:szCs w:val="21"/>
                <w:u w:val="none"/>
                <w:lang w:val="en-US" w:eastAsia="zh-CN" w:bidi="ar"/>
              </w:rPr>
              <w:t>2690</w:t>
            </w:r>
          </w:p>
        </w:tc>
        <w:tc>
          <w:tcPr>
            <w:tcW w:w="820" w:type="pct"/>
            <w:shd w:val="clear" w:color="auto" w:fill="auto"/>
            <w:vAlign w:val="center"/>
          </w:tcPr>
          <w:p w14:paraId="43D9BF8B">
            <w:pPr>
              <w:widowControl/>
              <w:jc w:val="center"/>
              <w:textAlignment w:val="center"/>
              <w:rPr>
                <w:rFonts w:ascii="Times New Roman" w:hAnsi="Times New Roman" w:eastAsia="仿宋_GB2312" w:cs="Times New Roman"/>
                <w:b/>
                <w:bCs/>
                <w:color w:val="auto"/>
                <w:kern w:val="0"/>
                <w:sz w:val="21"/>
                <w:szCs w:val="21"/>
                <w:lang w:val="en-US" w:eastAsia="zh-CN" w:bidi="ar"/>
              </w:rPr>
            </w:pPr>
            <w:r>
              <w:rPr>
                <w:rFonts w:eastAsia="仿宋_GB2312"/>
                <w:color w:val="auto"/>
                <w:kern w:val="0"/>
                <w:szCs w:val="21"/>
                <w:lang w:bidi="ar"/>
              </w:rPr>
              <w:t>二甲苯</w:t>
            </w:r>
          </w:p>
        </w:tc>
        <w:tc>
          <w:tcPr>
            <w:tcW w:w="380" w:type="pct"/>
            <w:shd w:val="clear" w:color="auto" w:fill="auto"/>
            <w:vAlign w:val="center"/>
          </w:tcPr>
          <w:p w14:paraId="759D22F8">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1.91</w:t>
            </w:r>
          </w:p>
        </w:tc>
        <w:tc>
          <w:tcPr>
            <w:tcW w:w="445" w:type="pct"/>
            <w:shd w:val="clear" w:color="auto" w:fill="auto"/>
            <w:vAlign w:val="center"/>
          </w:tcPr>
          <w:p w14:paraId="375C3541">
            <w:pPr>
              <w:jc w:val="center"/>
              <w:rPr>
                <w:rFonts w:hint="default" w:ascii="Times New Roman" w:hAnsi="Times New Roman" w:eastAsia="仿宋_GB2312" w:cs="Times New Roman"/>
                <w:color w:val="auto"/>
                <w:kern w:val="2"/>
                <w:sz w:val="21"/>
                <w:szCs w:val="24"/>
                <w:lang w:val="en-US" w:eastAsia="zh-CN" w:bidi="ar-SA"/>
              </w:rPr>
            </w:pPr>
            <w:r>
              <w:rPr>
                <w:rFonts w:hint="eastAsia" w:ascii="Times New Roman" w:hAnsi="Times New Roman" w:eastAsia="仿宋_GB2312" w:cs="Times New Roman"/>
                <w:color w:val="auto"/>
                <w:lang w:val="en-US" w:eastAsia="zh-CN"/>
              </w:rPr>
              <w:t>5.14</w:t>
            </w:r>
          </w:p>
        </w:tc>
        <w:tc>
          <w:tcPr>
            <w:tcW w:w="630" w:type="pct"/>
            <w:vMerge w:val="restart"/>
            <w:shd w:val="clear" w:color="auto" w:fill="auto"/>
            <w:vAlign w:val="center"/>
          </w:tcPr>
          <w:p w14:paraId="57667CE8">
            <w:pPr>
              <w:jc w:val="center"/>
              <w:rPr>
                <w:rFonts w:ascii="Times New Roman" w:hAnsi="Times New Roman" w:eastAsia="仿宋_GB2312" w:cs="Times New Roman"/>
                <w:color w:val="auto"/>
                <w:kern w:val="2"/>
                <w:sz w:val="21"/>
                <w:szCs w:val="24"/>
                <w:lang w:val="en-US" w:eastAsia="zh-CN" w:bidi="ar-SA"/>
              </w:rPr>
            </w:pPr>
            <w:r>
              <w:rPr>
                <w:rFonts w:hint="eastAsia" w:eastAsia="仿宋_GB2312"/>
                <w:color w:val="auto"/>
                <w:szCs w:val="21"/>
              </w:rPr>
              <w:t>冷凝+酸吸收+碱吸收+水洗+活性炭吸附/脱附</w:t>
            </w:r>
          </w:p>
        </w:tc>
        <w:tc>
          <w:tcPr>
            <w:tcW w:w="292" w:type="pct"/>
            <w:vMerge w:val="restart"/>
            <w:shd w:val="clear" w:color="auto" w:fill="auto"/>
            <w:vAlign w:val="center"/>
          </w:tcPr>
          <w:p w14:paraId="703CC77C">
            <w:pPr>
              <w:jc w:val="center"/>
              <w:rPr>
                <w:rFonts w:ascii="Times New Roman" w:hAnsi="Times New Roman" w:eastAsia="仿宋_GB2312" w:cs="Times New Roman"/>
                <w:color w:val="auto"/>
                <w:kern w:val="2"/>
                <w:sz w:val="21"/>
                <w:szCs w:val="24"/>
                <w:lang w:val="en-US" w:eastAsia="zh-CN" w:bidi="ar-SA"/>
              </w:rPr>
            </w:pPr>
            <w:r>
              <w:rPr>
                <w:rFonts w:hint="eastAsia" w:eastAsia="仿宋_GB2312"/>
                <w:color w:val="auto"/>
              </w:rPr>
              <w:t>DA005</w:t>
            </w:r>
          </w:p>
        </w:tc>
      </w:tr>
      <w:tr w14:paraId="574A92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1EB18518">
            <w:pPr>
              <w:jc w:val="center"/>
              <w:rPr>
                <w:rFonts w:eastAsia="仿宋_GB2312"/>
                <w:color w:val="auto"/>
                <w:szCs w:val="21"/>
              </w:rPr>
            </w:pPr>
          </w:p>
        </w:tc>
        <w:tc>
          <w:tcPr>
            <w:tcW w:w="358" w:type="pct"/>
            <w:vMerge w:val="continue"/>
            <w:vAlign w:val="center"/>
          </w:tcPr>
          <w:p w14:paraId="16554DD6">
            <w:pPr>
              <w:jc w:val="center"/>
              <w:rPr>
                <w:rFonts w:eastAsia="仿宋_GB2312"/>
                <w:color w:val="auto"/>
                <w:szCs w:val="21"/>
              </w:rPr>
            </w:pPr>
          </w:p>
        </w:tc>
        <w:tc>
          <w:tcPr>
            <w:tcW w:w="418" w:type="pct"/>
            <w:vMerge w:val="continue"/>
            <w:vAlign w:val="center"/>
          </w:tcPr>
          <w:p w14:paraId="75DBB65C">
            <w:pPr>
              <w:jc w:val="center"/>
              <w:rPr>
                <w:rFonts w:eastAsia="仿宋_GB2312"/>
                <w:color w:val="auto"/>
                <w:szCs w:val="21"/>
              </w:rPr>
            </w:pPr>
          </w:p>
        </w:tc>
        <w:tc>
          <w:tcPr>
            <w:tcW w:w="446" w:type="pct"/>
            <w:vMerge w:val="continue"/>
            <w:vAlign w:val="center"/>
          </w:tcPr>
          <w:p w14:paraId="5F00E59C">
            <w:pPr>
              <w:jc w:val="center"/>
              <w:rPr>
                <w:rFonts w:eastAsia="仿宋_GB2312"/>
                <w:color w:val="auto"/>
                <w:szCs w:val="21"/>
              </w:rPr>
            </w:pPr>
          </w:p>
        </w:tc>
        <w:tc>
          <w:tcPr>
            <w:tcW w:w="361" w:type="pct"/>
            <w:vMerge w:val="continue"/>
            <w:vAlign w:val="center"/>
          </w:tcPr>
          <w:p w14:paraId="17D3167B">
            <w:pPr>
              <w:jc w:val="center"/>
              <w:rPr>
                <w:rFonts w:eastAsia="仿宋_GB2312"/>
                <w:color w:val="auto"/>
                <w:szCs w:val="21"/>
              </w:rPr>
            </w:pPr>
          </w:p>
        </w:tc>
        <w:tc>
          <w:tcPr>
            <w:tcW w:w="498" w:type="pct"/>
            <w:vMerge w:val="continue"/>
            <w:shd w:val="clear" w:color="auto" w:fill="auto"/>
            <w:vAlign w:val="center"/>
          </w:tcPr>
          <w:p w14:paraId="2A685525">
            <w:pPr>
              <w:keepNext w:val="0"/>
              <w:keepLines w:val="0"/>
              <w:widowControl/>
              <w:suppressLineNumbers w:val="0"/>
              <w:jc w:val="center"/>
              <w:textAlignment w:val="bottom"/>
              <w:rPr>
                <w:rFonts w:hint="eastAsia" w:eastAsia="仿宋_GB2312"/>
                <w:color w:val="auto"/>
                <w:kern w:val="0"/>
                <w:szCs w:val="21"/>
                <w:lang w:val="en-US" w:eastAsia="zh-CN" w:bidi="ar"/>
              </w:rPr>
            </w:pPr>
          </w:p>
        </w:tc>
        <w:tc>
          <w:tcPr>
            <w:tcW w:w="820" w:type="pct"/>
            <w:shd w:val="clear" w:color="auto" w:fill="auto"/>
            <w:vAlign w:val="center"/>
          </w:tcPr>
          <w:p w14:paraId="2746927E">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乙基苯</w:t>
            </w:r>
          </w:p>
        </w:tc>
        <w:tc>
          <w:tcPr>
            <w:tcW w:w="380" w:type="pct"/>
            <w:shd w:val="clear" w:color="auto" w:fill="auto"/>
            <w:vAlign w:val="center"/>
          </w:tcPr>
          <w:p w14:paraId="03E445ED">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0.0003</w:t>
            </w:r>
          </w:p>
        </w:tc>
        <w:tc>
          <w:tcPr>
            <w:tcW w:w="445" w:type="pct"/>
            <w:shd w:val="clear" w:color="auto" w:fill="auto"/>
            <w:vAlign w:val="center"/>
          </w:tcPr>
          <w:p w14:paraId="3E653801">
            <w:pPr>
              <w:jc w:val="center"/>
              <w:rPr>
                <w:rFonts w:hint="default" w:ascii="Times New Roman" w:hAnsi="Times New Roman" w:eastAsia="仿宋_GB2312" w:cs="Times New Roman"/>
                <w:color w:val="auto"/>
                <w:kern w:val="2"/>
                <w:sz w:val="21"/>
                <w:szCs w:val="24"/>
                <w:lang w:val="en-US" w:eastAsia="zh-CN" w:bidi="ar-SA"/>
              </w:rPr>
            </w:pPr>
            <w:r>
              <w:rPr>
                <w:rFonts w:hint="eastAsia" w:ascii="Times New Roman" w:hAnsi="Times New Roman" w:eastAsia="仿宋_GB2312" w:cs="Times New Roman"/>
                <w:color w:val="auto"/>
                <w:lang w:val="en-US" w:eastAsia="zh-CN"/>
              </w:rPr>
              <w:t>0.00099</w:t>
            </w:r>
          </w:p>
        </w:tc>
        <w:tc>
          <w:tcPr>
            <w:tcW w:w="630" w:type="pct"/>
            <w:vMerge w:val="continue"/>
            <w:vAlign w:val="center"/>
          </w:tcPr>
          <w:p w14:paraId="1BD50F32">
            <w:pPr>
              <w:jc w:val="center"/>
              <w:rPr>
                <w:rFonts w:eastAsia="仿宋_GB2312"/>
                <w:color w:val="auto"/>
                <w:szCs w:val="21"/>
              </w:rPr>
            </w:pPr>
          </w:p>
        </w:tc>
        <w:tc>
          <w:tcPr>
            <w:tcW w:w="292" w:type="pct"/>
            <w:vMerge w:val="continue"/>
            <w:vAlign w:val="center"/>
          </w:tcPr>
          <w:p w14:paraId="4876FDBC">
            <w:pPr>
              <w:jc w:val="center"/>
              <w:rPr>
                <w:rFonts w:eastAsia="仿宋_GB2312"/>
                <w:color w:val="auto"/>
                <w:szCs w:val="21"/>
              </w:rPr>
            </w:pPr>
          </w:p>
        </w:tc>
      </w:tr>
      <w:tr w14:paraId="469BF5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4928ABAD">
            <w:pPr>
              <w:jc w:val="center"/>
              <w:rPr>
                <w:rFonts w:eastAsia="仿宋_GB2312"/>
                <w:color w:val="auto"/>
                <w:szCs w:val="21"/>
              </w:rPr>
            </w:pPr>
          </w:p>
        </w:tc>
        <w:tc>
          <w:tcPr>
            <w:tcW w:w="358" w:type="pct"/>
            <w:vMerge w:val="continue"/>
            <w:vAlign w:val="center"/>
          </w:tcPr>
          <w:p w14:paraId="4DC2776B">
            <w:pPr>
              <w:jc w:val="center"/>
              <w:rPr>
                <w:rFonts w:eastAsia="仿宋_GB2312"/>
                <w:color w:val="auto"/>
                <w:szCs w:val="21"/>
              </w:rPr>
            </w:pPr>
          </w:p>
        </w:tc>
        <w:tc>
          <w:tcPr>
            <w:tcW w:w="418" w:type="pct"/>
            <w:vMerge w:val="continue"/>
            <w:vAlign w:val="center"/>
          </w:tcPr>
          <w:p w14:paraId="050EF075">
            <w:pPr>
              <w:jc w:val="center"/>
              <w:rPr>
                <w:rFonts w:eastAsia="仿宋_GB2312"/>
                <w:color w:val="auto"/>
                <w:szCs w:val="21"/>
              </w:rPr>
            </w:pPr>
          </w:p>
        </w:tc>
        <w:tc>
          <w:tcPr>
            <w:tcW w:w="446" w:type="pct"/>
            <w:vMerge w:val="continue"/>
            <w:vAlign w:val="center"/>
          </w:tcPr>
          <w:p w14:paraId="4CC0067C">
            <w:pPr>
              <w:jc w:val="center"/>
              <w:rPr>
                <w:rFonts w:eastAsia="仿宋_GB2312"/>
                <w:color w:val="auto"/>
                <w:szCs w:val="21"/>
              </w:rPr>
            </w:pPr>
          </w:p>
        </w:tc>
        <w:tc>
          <w:tcPr>
            <w:tcW w:w="361" w:type="pct"/>
            <w:vMerge w:val="continue"/>
            <w:vAlign w:val="center"/>
          </w:tcPr>
          <w:p w14:paraId="1C8E52F4">
            <w:pPr>
              <w:jc w:val="center"/>
              <w:rPr>
                <w:rFonts w:eastAsia="仿宋_GB2312"/>
                <w:color w:val="auto"/>
                <w:szCs w:val="21"/>
              </w:rPr>
            </w:pPr>
          </w:p>
        </w:tc>
        <w:tc>
          <w:tcPr>
            <w:tcW w:w="498" w:type="pct"/>
            <w:vMerge w:val="continue"/>
            <w:shd w:val="clear" w:color="auto" w:fill="auto"/>
            <w:vAlign w:val="center"/>
          </w:tcPr>
          <w:p w14:paraId="1CF379D7">
            <w:pPr>
              <w:keepNext w:val="0"/>
              <w:keepLines w:val="0"/>
              <w:widowControl/>
              <w:suppressLineNumbers w:val="0"/>
              <w:jc w:val="center"/>
              <w:textAlignment w:val="bottom"/>
              <w:rPr>
                <w:rFonts w:eastAsia="仿宋_GB2312"/>
                <w:color w:val="auto"/>
                <w:kern w:val="0"/>
                <w:szCs w:val="21"/>
                <w:lang w:bidi="ar"/>
              </w:rPr>
            </w:pPr>
          </w:p>
        </w:tc>
        <w:tc>
          <w:tcPr>
            <w:tcW w:w="820" w:type="pct"/>
            <w:shd w:val="clear" w:color="auto" w:fill="auto"/>
            <w:vAlign w:val="center"/>
          </w:tcPr>
          <w:p w14:paraId="42ED6FA0">
            <w:pPr>
              <w:widowControl/>
              <w:jc w:val="center"/>
              <w:textAlignment w:val="center"/>
              <w:rPr>
                <w:rFonts w:ascii="Times New Roman" w:hAnsi="Times New Roman" w:eastAsia="仿宋_GB2312" w:cs="Times New Roman"/>
                <w:color w:val="auto"/>
                <w:kern w:val="0"/>
                <w:sz w:val="21"/>
                <w:szCs w:val="21"/>
                <w:lang w:val="en-US" w:eastAsia="zh-CN" w:bidi="ar"/>
              </w:rPr>
            </w:pPr>
            <w:r>
              <w:rPr>
                <w:rFonts w:eastAsia="仿宋_GB2312"/>
                <w:color w:val="auto"/>
                <w:kern w:val="0"/>
                <w:szCs w:val="21"/>
                <w:lang w:bidi="ar"/>
              </w:rPr>
              <w:t>其他有机物</w:t>
            </w:r>
          </w:p>
        </w:tc>
        <w:tc>
          <w:tcPr>
            <w:tcW w:w="380" w:type="pct"/>
            <w:shd w:val="clear" w:color="auto" w:fill="auto"/>
            <w:vAlign w:val="center"/>
          </w:tcPr>
          <w:p w14:paraId="06E46CEC">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0.0007</w:t>
            </w:r>
          </w:p>
        </w:tc>
        <w:tc>
          <w:tcPr>
            <w:tcW w:w="445" w:type="pct"/>
            <w:shd w:val="clear" w:color="auto" w:fill="auto"/>
            <w:vAlign w:val="center"/>
          </w:tcPr>
          <w:p w14:paraId="20570CEA">
            <w:pPr>
              <w:jc w:val="center"/>
              <w:rPr>
                <w:rFonts w:ascii="Times New Roman" w:hAnsi="Times New Roman" w:eastAsia="仿宋_GB2312" w:cs="Times New Roman"/>
                <w:color w:val="auto"/>
                <w:kern w:val="2"/>
                <w:sz w:val="21"/>
                <w:szCs w:val="24"/>
                <w:lang w:val="en-US" w:eastAsia="zh-CN" w:bidi="ar-SA"/>
              </w:rPr>
            </w:pPr>
            <w:r>
              <w:rPr>
                <w:rFonts w:hint="eastAsia" w:ascii="Times New Roman" w:hAnsi="Times New Roman" w:eastAsia="仿宋_GB2312" w:cs="Times New Roman"/>
                <w:color w:val="auto"/>
                <w:lang w:val="en-US" w:eastAsia="zh-CN"/>
              </w:rPr>
              <w:t>0.00199</w:t>
            </w:r>
          </w:p>
        </w:tc>
        <w:tc>
          <w:tcPr>
            <w:tcW w:w="630" w:type="pct"/>
            <w:vMerge w:val="continue"/>
            <w:vAlign w:val="center"/>
          </w:tcPr>
          <w:p w14:paraId="50960EAC">
            <w:pPr>
              <w:jc w:val="center"/>
              <w:rPr>
                <w:rFonts w:eastAsia="仿宋_GB2312"/>
                <w:color w:val="auto"/>
                <w:szCs w:val="21"/>
              </w:rPr>
            </w:pPr>
          </w:p>
        </w:tc>
        <w:tc>
          <w:tcPr>
            <w:tcW w:w="292" w:type="pct"/>
            <w:vMerge w:val="continue"/>
            <w:vAlign w:val="center"/>
          </w:tcPr>
          <w:p w14:paraId="33BD7E6E">
            <w:pPr>
              <w:jc w:val="center"/>
              <w:rPr>
                <w:rFonts w:eastAsia="仿宋_GB2312"/>
                <w:color w:val="auto"/>
                <w:szCs w:val="21"/>
              </w:rPr>
            </w:pPr>
          </w:p>
        </w:tc>
      </w:tr>
      <w:tr w14:paraId="321009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restart"/>
            <w:vAlign w:val="center"/>
          </w:tcPr>
          <w:p w14:paraId="5BF7DE49">
            <w:pPr>
              <w:jc w:val="center"/>
              <w:rPr>
                <w:rFonts w:eastAsia="仿宋_GB2312"/>
                <w:color w:val="auto"/>
                <w:szCs w:val="21"/>
              </w:rPr>
            </w:pPr>
            <w:r>
              <w:rPr>
                <w:rFonts w:eastAsia="仿宋_GB2312"/>
                <w:color w:val="auto"/>
                <w:szCs w:val="21"/>
              </w:rPr>
              <w:t>B-7车间</w:t>
            </w:r>
          </w:p>
        </w:tc>
        <w:tc>
          <w:tcPr>
            <w:tcW w:w="358" w:type="pct"/>
            <w:vMerge w:val="restart"/>
            <w:vAlign w:val="center"/>
          </w:tcPr>
          <w:p w14:paraId="35059459">
            <w:pPr>
              <w:jc w:val="center"/>
              <w:rPr>
                <w:rFonts w:eastAsia="仿宋_GB2312"/>
                <w:color w:val="auto"/>
                <w:szCs w:val="21"/>
              </w:rPr>
            </w:pPr>
            <w:r>
              <w:rPr>
                <w:rFonts w:hint="eastAsia" w:eastAsia="仿宋_GB2312"/>
                <w:color w:val="auto"/>
                <w:szCs w:val="21"/>
              </w:rPr>
              <w:t>精馏残液（含乙酸乙烯酯）</w:t>
            </w:r>
          </w:p>
        </w:tc>
        <w:tc>
          <w:tcPr>
            <w:tcW w:w="418" w:type="pct"/>
            <w:vMerge w:val="restart"/>
            <w:vAlign w:val="center"/>
          </w:tcPr>
          <w:p w14:paraId="440FF3BB">
            <w:pPr>
              <w:jc w:val="center"/>
              <w:rPr>
                <w:rFonts w:eastAsia="仿宋_GB2312"/>
                <w:color w:val="auto"/>
                <w:szCs w:val="21"/>
              </w:rPr>
            </w:pPr>
            <w:r>
              <w:rPr>
                <w:rFonts w:eastAsia="仿宋_GB2312"/>
                <w:color w:val="auto"/>
                <w:kern w:val="0"/>
                <w:szCs w:val="21"/>
                <w:lang w:bidi="ar"/>
              </w:rPr>
              <w:t>G</w:t>
            </w:r>
            <w:r>
              <w:rPr>
                <w:rFonts w:hint="eastAsia" w:eastAsia="仿宋_GB2312"/>
                <w:color w:val="auto"/>
                <w:kern w:val="0"/>
                <w:szCs w:val="21"/>
                <w:lang w:val="en-US" w:eastAsia="zh-CN" w:bidi="ar"/>
              </w:rPr>
              <w:t>2</w:t>
            </w:r>
            <w:r>
              <w:rPr>
                <w:rFonts w:eastAsia="仿宋_GB2312"/>
                <w:color w:val="auto"/>
                <w:kern w:val="0"/>
                <w:szCs w:val="21"/>
                <w:lang w:bidi="ar"/>
              </w:rPr>
              <w:t>-</w:t>
            </w:r>
            <w:r>
              <w:rPr>
                <w:rFonts w:hint="eastAsia" w:eastAsia="仿宋_GB2312"/>
                <w:color w:val="auto"/>
                <w:kern w:val="0"/>
                <w:szCs w:val="21"/>
                <w:lang w:val="en-US" w:eastAsia="zh-CN" w:bidi="ar"/>
              </w:rPr>
              <w:t>4</w:t>
            </w:r>
            <w:r>
              <w:rPr>
                <w:rFonts w:eastAsia="仿宋_GB2312"/>
                <w:color w:val="auto"/>
                <w:kern w:val="0"/>
                <w:szCs w:val="21"/>
                <w:lang w:bidi="ar"/>
              </w:rPr>
              <w:t>-1</w:t>
            </w:r>
          </w:p>
        </w:tc>
        <w:tc>
          <w:tcPr>
            <w:tcW w:w="446" w:type="pct"/>
            <w:vMerge w:val="restart"/>
            <w:vAlign w:val="center"/>
          </w:tcPr>
          <w:p w14:paraId="66278903">
            <w:pPr>
              <w:jc w:val="center"/>
              <w:rPr>
                <w:rFonts w:eastAsia="仿宋_GB2312"/>
                <w:color w:val="auto"/>
                <w:szCs w:val="21"/>
              </w:rPr>
            </w:pPr>
            <w:r>
              <w:rPr>
                <w:rFonts w:eastAsia="仿宋_GB2312"/>
                <w:color w:val="auto"/>
                <w:kern w:val="0"/>
                <w:szCs w:val="21"/>
                <w:lang w:bidi="ar"/>
              </w:rPr>
              <w:t>投料废气</w:t>
            </w:r>
          </w:p>
        </w:tc>
        <w:tc>
          <w:tcPr>
            <w:tcW w:w="361" w:type="pct"/>
            <w:vMerge w:val="restart"/>
            <w:vAlign w:val="center"/>
          </w:tcPr>
          <w:p w14:paraId="09377F35">
            <w:pPr>
              <w:jc w:val="center"/>
              <w:rPr>
                <w:rFonts w:hint="default" w:eastAsia="仿宋_GB2312"/>
                <w:color w:val="auto"/>
                <w:szCs w:val="21"/>
                <w:lang w:val="en-US" w:eastAsia="zh-CN"/>
              </w:rPr>
            </w:pPr>
            <w:r>
              <w:rPr>
                <w:rFonts w:hint="eastAsia" w:eastAsia="仿宋_GB2312"/>
                <w:color w:val="auto"/>
                <w:szCs w:val="21"/>
                <w:lang w:val="en-US" w:eastAsia="zh-CN"/>
              </w:rPr>
              <w:t>2000</w:t>
            </w:r>
          </w:p>
        </w:tc>
        <w:tc>
          <w:tcPr>
            <w:tcW w:w="498" w:type="pct"/>
            <w:vMerge w:val="restart"/>
            <w:vAlign w:val="center"/>
          </w:tcPr>
          <w:p w14:paraId="0596F663">
            <w:pPr>
              <w:keepNext w:val="0"/>
              <w:keepLines w:val="0"/>
              <w:widowControl/>
              <w:suppressLineNumbers w:val="0"/>
              <w:jc w:val="center"/>
              <w:textAlignment w:val="bottom"/>
              <w:rPr>
                <w:rFonts w:hint="eastAsia" w:eastAsia="仿宋_GB2312"/>
                <w:color w:val="auto"/>
                <w:kern w:val="0"/>
                <w:szCs w:val="21"/>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392</w:t>
            </w:r>
          </w:p>
        </w:tc>
        <w:tc>
          <w:tcPr>
            <w:tcW w:w="820" w:type="pct"/>
            <w:vAlign w:val="center"/>
          </w:tcPr>
          <w:p w14:paraId="0140222A">
            <w:pPr>
              <w:widowControl/>
              <w:jc w:val="center"/>
              <w:textAlignment w:val="center"/>
              <w:rPr>
                <w:rFonts w:eastAsia="仿宋_GB2312"/>
                <w:color w:val="auto"/>
                <w:kern w:val="0"/>
                <w:szCs w:val="21"/>
                <w:lang w:bidi="ar"/>
              </w:rPr>
            </w:pPr>
            <w:r>
              <w:rPr>
                <w:rFonts w:hint="eastAsia" w:eastAsia="仿宋_GB2312"/>
                <w:color w:val="auto"/>
                <w:kern w:val="0"/>
                <w:szCs w:val="21"/>
                <w:lang w:val="en-US" w:eastAsia="zh-CN" w:bidi="ar"/>
              </w:rPr>
              <w:t>乙酸乙烯酯</w:t>
            </w:r>
          </w:p>
        </w:tc>
        <w:tc>
          <w:tcPr>
            <w:tcW w:w="380" w:type="pct"/>
            <w:shd w:val="clear" w:color="auto" w:fill="auto"/>
            <w:vAlign w:val="center"/>
          </w:tcPr>
          <w:p w14:paraId="613B7563">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1.272</w:t>
            </w:r>
          </w:p>
        </w:tc>
        <w:tc>
          <w:tcPr>
            <w:tcW w:w="445" w:type="pct"/>
            <w:shd w:val="clear" w:color="auto" w:fill="auto"/>
            <w:vAlign w:val="center"/>
          </w:tcPr>
          <w:p w14:paraId="19854911">
            <w:pPr>
              <w:widowControl/>
              <w:jc w:val="center"/>
              <w:textAlignment w:val="center"/>
              <w:rPr>
                <w:rFonts w:eastAsia="仿宋_GB2312"/>
                <w:color w:val="auto"/>
                <w:kern w:val="0"/>
                <w:szCs w:val="21"/>
                <w:lang w:bidi="ar"/>
              </w:rPr>
            </w:pPr>
            <w:r>
              <w:rPr>
                <w:rFonts w:hint="eastAsia" w:ascii="Times New Roman" w:hAnsi="Times New Roman" w:eastAsia="仿宋_GB2312" w:cs="Times New Roman"/>
                <w:color w:val="auto"/>
                <w:kern w:val="0"/>
                <w:szCs w:val="21"/>
                <w:lang w:val="en-US" w:eastAsia="zh-CN" w:bidi="ar"/>
              </w:rPr>
              <w:t>0.499</w:t>
            </w:r>
          </w:p>
        </w:tc>
        <w:tc>
          <w:tcPr>
            <w:tcW w:w="630" w:type="pct"/>
            <w:vMerge w:val="continue"/>
            <w:shd w:val="clear" w:color="auto" w:fill="auto"/>
            <w:vAlign w:val="center"/>
          </w:tcPr>
          <w:p w14:paraId="6A388DE6">
            <w:pPr>
              <w:jc w:val="center"/>
              <w:rPr>
                <w:rFonts w:ascii="Times New Roman" w:hAnsi="Times New Roman" w:eastAsia="仿宋_GB2312" w:cs="Times New Roman"/>
                <w:color w:val="auto"/>
                <w:kern w:val="2"/>
                <w:sz w:val="21"/>
                <w:szCs w:val="24"/>
                <w:lang w:val="en-US" w:eastAsia="zh-CN" w:bidi="ar-SA"/>
              </w:rPr>
            </w:pPr>
          </w:p>
        </w:tc>
        <w:tc>
          <w:tcPr>
            <w:tcW w:w="292" w:type="pct"/>
            <w:vMerge w:val="continue"/>
            <w:shd w:val="clear" w:color="auto" w:fill="auto"/>
            <w:vAlign w:val="center"/>
          </w:tcPr>
          <w:p w14:paraId="5212E9CD">
            <w:pPr>
              <w:jc w:val="center"/>
              <w:rPr>
                <w:rFonts w:ascii="Times New Roman" w:hAnsi="Times New Roman" w:eastAsia="仿宋_GB2312" w:cs="Times New Roman"/>
                <w:color w:val="auto"/>
                <w:kern w:val="2"/>
                <w:sz w:val="21"/>
                <w:szCs w:val="24"/>
                <w:lang w:val="en-US" w:eastAsia="zh-CN" w:bidi="ar-SA"/>
              </w:rPr>
            </w:pPr>
          </w:p>
        </w:tc>
      </w:tr>
      <w:tr w14:paraId="6DE468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3B506B8A">
            <w:pPr>
              <w:jc w:val="center"/>
              <w:rPr>
                <w:rFonts w:eastAsia="仿宋_GB2312"/>
                <w:color w:val="auto"/>
                <w:szCs w:val="21"/>
              </w:rPr>
            </w:pPr>
          </w:p>
        </w:tc>
        <w:tc>
          <w:tcPr>
            <w:tcW w:w="358" w:type="pct"/>
            <w:vMerge w:val="continue"/>
            <w:vAlign w:val="center"/>
          </w:tcPr>
          <w:p w14:paraId="0324253C">
            <w:pPr>
              <w:jc w:val="center"/>
              <w:rPr>
                <w:rFonts w:eastAsia="仿宋_GB2312"/>
                <w:color w:val="auto"/>
                <w:szCs w:val="21"/>
              </w:rPr>
            </w:pPr>
          </w:p>
        </w:tc>
        <w:tc>
          <w:tcPr>
            <w:tcW w:w="418" w:type="pct"/>
            <w:vMerge w:val="continue"/>
            <w:vAlign w:val="center"/>
          </w:tcPr>
          <w:p w14:paraId="080226E5">
            <w:pPr>
              <w:jc w:val="center"/>
              <w:rPr>
                <w:rFonts w:eastAsia="仿宋_GB2312"/>
                <w:color w:val="auto"/>
                <w:szCs w:val="21"/>
              </w:rPr>
            </w:pPr>
          </w:p>
        </w:tc>
        <w:tc>
          <w:tcPr>
            <w:tcW w:w="446" w:type="pct"/>
            <w:vMerge w:val="continue"/>
            <w:vAlign w:val="center"/>
          </w:tcPr>
          <w:p w14:paraId="4D77BD7B">
            <w:pPr>
              <w:jc w:val="center"/>
              <w:rPr>
                <w:rFonts w:eastAsia="仿宋_GB2312"/>
                <w:color w:val="auto"/>
                <w:szCs w:val="21"/>
              </w:rPr>
            </w:pPr>
          </w:p>
        </w:tc>
        <w:tc>
          <w:tcPr>
            <w:tcW w:w="361" w:type="pct"/>
            <w:vMerge w:val="continue"/>
            <w:shd w:val="clear" w:color="auto" w:fill="auto"/>
            <w:vAlign w:val="center"/>
          </w:tcPr>
          <w:p w14:paraId="36EBD2A4">
            <w:pPr>
              <w:jc w:val="center"/>
              <w:rPr>
                <w:rFonts w:hint="default" w:ascii="Times New Roman" w:hAnsi="Times New Roman" w:eastAsia="仿宋_GB2312" w:cs="Times New Roman"/>
                <w:color w:val="auto"/>
                <w:kern w:val="2"/>
                <w:sz w:val="21"/>
                <w:szCs w:val="21"/>
                <w:lang w:val="en-US" w:eastAsia="zh-CN" w:bidi="ar-SA"/>
              </w:rPr>
            </w:pPr>
          </w:p>
        </w:tc>
        <w:tc>
          <w:tcPr>
            <w:tcW w:w="498" w:type="pct"/>
            <w:vMerge w:val="continue"/>
            <w:vAlign w:val="center"/>
          </w:tcPr>
          <w:p w14:paraId="0FCBC01F">
            <w:pPr>
              <w:keepNext w:val="0"/>
              <w:keepLines w:val="0"/>
              <w:widowControl/>
              <w:suppressLineNumbers w:val="0"/>
              <w:jc w:val="center"/>
              <w:textAlignment w:val="bottom"/>
              <w:rPr>
                <w:rFonts w:eastAsia="仿宋_GB2312"/>
                <w:color w:val="auto"/>
                <w:kern w:val="0"/>
                <w:szCs w:val="21"/>
                <w:lang w:bidi="ar"/>
              </w:rPr>
            </w:pPr>
          </w:p>
        </w:tc>
        <w:tc>
          <w:tcPr>
            <w:tcW w:w="820" w:type="pct"/>
            <w:vAlign w:val="center"/>
          </w:tcPr>
          <w:p w14:paraId="5CA6410B">
            <w:pPr>
              <w:widowControl/>
              <w:jc w:val="center"/>
              <w:textAlignment w:val="center"/>
              <w:rPr>
                <w:rFonts w:eastAsia="仿宋_GB2312"/>
                <w:color w:val="auto"/>
                <w:kern w:val="0"/>
                <w:szCs w:val="21"/>
                <w:lang w:bidi="ar"/>
              </w:rPr>
            </w:pPr>
            <w:r>
              <w:rPr>
                <w:rFonts w:eastAsia="仿宋_GB2312"/>
                <w:color w:val="auto"/>
                <w:kern w:val="0"/>
                <w:szCs w:val="21"/>
                <w:lang w:bidi="ar"/>
              </w:rPr>
              <w:t>其他有机物</w:t>
            </w:r>
          </w:p>
        </w:tc>
        <w:tc>
          <w:tcPr>
            <w:tcW w:w="380" w:type="pct"/>
            <w:shd w:val="clear" w:color="auto" w:fill="auto"/>
            <w:vAlign w:val="center"/>
          </w:tcPr>
          <w:p w14:paraId="4C9714B4">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0.025</w:t>
            </w:r>
          </w:p>
        </w:tc>
        <w:tc>
          <w:tcPr>
            <w:tcW w:w="445" w:type="pct"/>
            <w:shd w:val="clear" w:color="auto" w:fill="auto"/>
            <w:vAlign w:val="center"/>
          </w:tcPr>
          <w:p w14:paraId="25DF4347">
            <w:pPr>
              <w:widowControl/>
              <w:jc w:val="center"/>
              <w:textAlignment w:val="center"/>
              <w:rPr>
                <w:rFonts w:eastAsia="仿宋_GB2312"/>
                <w:color w:val="auto"/>
                <w:kern w:val="0"/>
                <w:szCs w:val="21"/>
                <w:lang w:bidi="ar"/>
              </w:rPr>
            </w:pPr>
            <w:r>
              <w:rPr>
                <w:rFonts w:hint="eastAsia" w:ascii="Times New Roman" w:hAnsi="Times New Roman" w:eastAsia="仿宋_GB2312" w:cs="Times New Roman"/>
                <w:color w:val="auto"/>
                <w:kern w:val="0"/>
                <w:szCs w:val="21"/>
                <w:lang w:val="en-US" w:eastAsia="zh-CN" w:bidi="ar"/>
              </w:rPr>
              <w:t>0.00998</w:t>
            </w:r>
          </w:p>
        </w:tc>
        <w:tc>
          <w:tcPr>
            <w:tcW w:w="630" w:type="pct"/>
            <w:vMerge w:val="continue"/>
            <w:vAlign w:val="center"/>
          </w:tcPr>
          <w:p w14:paraId="0A01F898">
            <w:pPr>
              <w:jc w:val="center"/>
              <w:rPr>
                <w:rFonts w:eastAsia="仿宋_GB2312"/>
                <w:color w:val="auto"/>
                <w:szCs w:val="21"/>
              </w:rPr>
            </w:pPr>
          </w:p>
        </w:tc>
        <w:tc>
          <w:tcPr>
            <w:tcW w:w="292" w:type="pct"/>
            <w:vMerge w:val="continue"/>
            <w:vAlign w:val="center"/>
          </w:tcPr>
          <w:p w14:paraId="1454C1DE">
            <w:pPr>
              <w:jc w:val="center"/>
              <w:rPr>
                <w:rFonts w:eastAsia="仿宋_GB2312"/>
                <w:color w:val="auto"/>
                <w:szCs w:val="21"/>
              </w:rPr>
            </w:pPr>
          </w:p>
        </w:tc>
      </w:tr>
      <w:tr w14:paraId="18C9FA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038ECF61">
            <w:pPr>
              <w:jc w:val="center"/>
              <w:rPr>
                <w:rFonts w:eastAsia="仿宋_GB2312"/>
                <w:color w:val="auto"/>
                <w:szCs w:val="21"/>
              </w:rPr>
            </w:pPr>
          </w:p>
        </w:tc>
        <w:tc>
          <w:tcPr>
            <w:tcW w:w="358" w:type="pct"/>
            <w:vMerge w:val="continue"/>
            <w:vAlign w:val="center"/>
          </w:tcPr>
          <w:p w14:paraId="6777C9BE">
            <w:pPr>
              <w:jc w:val="center"/>
              <w:rPr>
                <w:rFonts w:eastAsia="仿宋_GB2312"/>
                <w:color w:val="auto"/>
                <w:szCs w:val="21"/>
              </w:rPr>
            </w:pPr>
          </w:p>
        </w:tc>
        <w:tc>
          <w:tcPr>
            <w:tcW w:w="418" w:type="pct"/>
            <w:vMerge w:val="restart"/>
            <w:vAlign w:val="center"/>
          </w:tcPr>
          <w:p w14:paraId="63434687">
            <w:pPr>
              <w:jc w:val="center"/>
              <w:rPr>
                <w:rFonts w:eastAsia="仿宋_GB2312"/>
                <w:color w:val="auto"/>
                <w:szCs w:val="21"/>
              </w:rPr>
            </w:pPr>
            <w:r>
              <w:rPr>
                <w:rFonts w:eastAsia="仿宋_GB2312"/>
                <w:color w:val="auto"/>
                <w:kern w:val="0"/>
                <w:szCs w:val="21"/>
                <w:lang w:bidi="ar"/>
              </w:rPr>
              <w:t>G</w:t>
            </w:r>
            <w:r>
              <w:rPr>
                <w:rFonts w:hint="eastAsia" w:eastAsia="仿宋_GB2312"/>
                <w:color w:val="auto"/>
                <w:kern w:val="0"/>
                <w:szCs w:val="21"/>
                <w:lang w:val="en-US" w:eastAsia="zh-CN" w:bidi="ar"/>
              </w:rPr>
              <w:t>2</w:t>
            </w:r>
            <w:r>
              <w:rPr>
                <w:rFonts w:eastAsia="仿宋_GB2312"/>
                <w:color w:val="auto"/>
                <w:kern w:val="0"/>
                <w:szCs w:val="21"/>
                <w:lang w:bidi="ar"/>
              </w:rPr>
              <w:t>-</w:t>
            </w:r>
            <w:r>
              <w:rPr>
                <w:rFonts w:hint="eastAsia" w:eastAsia="仿宋_GB2312"/>
                <w:color w:val="auto"/>
                <w:kern w:val="0"/>
                <w:szCs w:val="21"/>
                <w:lang w:val="en-US" w:eastAsia="zh-CN" w:bidi="ar"/>
              </w:rPr>
              <w:t>4</w:t>
            </w:r>
            <w:r>
              <w:rPr>
                <w:rFonts w:eastAsia="仿宋_GB2312"/>
                <w:color w:val="auto"/>
                <w:kern w:val="0"/>
                <w:szCs w:val="21"/>
                <w:lang w:bidi="ar"/>
              </w:rPr>
              <w:t>-2</w:t>
            </w:r>
          </w:p>
        </w:tc>
        <w:tc>
          <w:tcPr>
            <w:tcW w:w="446" w:type="pct"/>
            <w:vMerge w:val="restart"/>
            <w:vAlign w:val="center"/>
          </w:tcPr>
          <w:p w14:paraId="70380C11">
            <w:pPr>
              <w:jc w:val="center"/>
              <w:rPr>
                <w:rFonts w:eastAsia="仿宋_GB2312"/>
                <w:color w:val="auto"/>
                <w:szCs w:val="21"/>
              </w:rPr>
            </w:pPr>
            <w:r>
              <w:rPr>
                <w:rFonts w:eastAsia="仿宋_GB2312"/>
                <w:color w:val="auto"/>
                <w:kern w:val="0"/>
                <w:szCs w:val="21"/>
                <w:lang w:bidi="ar"/>
              </w:rPr>
              <w:t>调节废气</w:t>
            </w:r>
          </w:p>
        </w:tc>
        <w:tc>
          <w:tcPr>
            <w:tcW w:w="361" w:type="pct"/>
            <w:vMerge w:val="restart"/>
            <w:vAlign w:val="center"/>
          </w:tcPr>
          <w:p w14:paraId="1653EC6E">
            <w:pPr>
              <w:jc w:val="center"/>
              <w:rPr>
                <w:rFonts w:hint="default" w:eastAsia="仿宋_GB2312"/>
                <w:color w:val="auto"/>
                <w:szCs w:val="21"/>
                <w:lang w:val="en-US" w:eastAsia="zh-CN"/>
              </w:rPr>
            </w:pPr>
            <w:r>
              <w:rPr>
                <w:rFonts w:hint="eastAsia" w:eastAsia="仿宋_GB2312"/>
                <w:color w:val="auto"/>
                <w:szCs w:val="21"/>
                <w:lang w:val="en-US" w:eastAsia="zh-CN"/>
              </w:rPr>
              <w:t>100</w:t>
            </w:r>
          </w:p>
        </w:tc>
        <w:tc>
          <w:tcPr>
            <w:tcW w:w="498" w:type="pct"/>
            <w:vMerge w:val="restart"/>
            <w:vAlign w:val="center"/>
          </w:tcPr>
          <w:p w14:paraId="59A101C5">
            <w:pPr>
              <w:keepNext w:val="0"/>
              <w:keepLines w:val="0"/>
              <w:widowControl/>
              <w:suppressLineNumbers w:val="0"/>
              <w:jc w:val="center"/>
              <w:textAlignment w:val="bottom"/>
              <w:rPr>
                <w:rFonts w:hint="eastAsia" w:eastAsia="仿宋_GB2312"/>
                <w:color w:val="auto"/>
                <w:kern w:val="0"/>
                <w:szCs w:val="21"/>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392</w:t>
            </w:r>
          </w:p>
        </w:tc>
        <w:tc>
          <w:tcPr>
            <w:tcW w:w="820" w:type="pct"/>
            <w:vAlign w:val="center"/>
          </w:tcPr>
          <w:p w14:paraId="667036E3">
            <w:pPr>
              <w:widowControl/>
              <w:jc w:val="center"/>
              <w:textAlignment w:val="center"/>
              <w:rPr>
                <w:rFonts w:eastAsia="仿宋_GB2312"/>
                <w:color w:val="auto"/>
                <w:kern w:val="0"/>
                <w:szCs w:val="21"/>
                <w:lang w:bidi="ar"/>
              </w:rPr>
            </w:pPr>
            <w:r>
              <w:rPr>
                <w:rFonts w:hint="eastAsia" w:eastAsia="仿宋_GB2312"/>
                <w:color w:val="auto"/>
                <w:kern w:val="0"/>
                <w:szCs w:val="21"/>
                <w:lang w:val="en-US" w:eastAsia="zh-CN" w:bidi="ar"/>
              </w:rPr>
              <w:t>乙酸乙烯酯</w:t>
            </w:r>
          </w:p>
        </w:tc>
        <w:tc>
          <w:tcPr>
            <w:tcW w:w="380" w:type="pct"/>
            <w:shd w:val="clear" w:color="auto" w:fill="auto"/>
            <w:vAlign w:val="center"/>
          </w:tcPr>
          <w:p w14:paraId="5A1A8B08">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0.51</w:t>
            </w:r>
          </w:p>
        </w:tc>
        <w:tc>
          <w:tcPr>
            <w:tcW w:w="445" w:type="pct"/>
            <w:shd w:val="clear" w:color="auto" w:fill="auto"/>
            <w:vAlign w:val="center"/>
          </w:tcPr>
          <w:p w14:paraId="3B19547E">
            <w:pPr>
              <w:widowControl/>
              <w:jc w:val="center"/>
              <w:textAlignment w:val="center"/>
              <w:rPr>
                <w:rFonts w:eastAsia="仿宋_GB2312"/>
                <w:color w:val="auto"/>
                <w:kern w:val="0"/>
                <w:szCs w:val="21"/>
                <w:lang w:bidi="ar"/>
              </w:rPr>
            </w:pPr>
            <w:r>
              <w:rPr>
                <w:rFonts w:hint="eastAsia" w:eastAsia="仿宋_GB2312"/>
                <w:color w:val="auto"/>
                <w:kern w:val="0"/>
                <w:szCs w:val="21"/>
                <w:lang w:val="en-US" w:eastAsia="zh-CN" w:bidi="ar"/>
              </w:rPr>
              <w:t>0.2</w:t>
            </w:r>
          </w:p>
        </w:tc>
        <w:tc>
          <w:tcPr>
            <w:tcW w:w="630" w:type="pct"/>
            <w:vMerge w:val="restart"/>
            <w:vAlign w:val="center"/>
          </w:tcPr>
          <w:p w14:paraId="09281979">
            <w:pPr>
              <w:widowControl/>
              <w:jc w:val="center"/>
              <w:textAlignment w:val="center"/>
              <w:rPr>
                <w:rFonts w:eastAsia="仿宋_GB2312"/>
                <w:color w:val="auto"/>
                <w:szCs w:val="21"/>
              </w:rPr>
            </w:pPr>
            <w:r>
              <w:rPr>
                <w:rFonts w:hint="eastAsia" w:eastAsia="仿宋_GB2312"/>
                <w:color w:val="auto"/>
                <w:szCs w:val="21"/>
              </w:rPr>
              <w:t>预处理（冷凝+稀酸吸收+碱吸收+水吸收+除雾）+</w:t>
            </w:r>
            <w:r>
              <w:rPr>
                <w:rFonts w:eastAsia="仿宋_GB2312"/>
                <w:color w:val="auto"/>
                <w:szCs w:val="21"/>
              </w:rPr>
              <w:t>焚烧</w:t>
            </w:r>
          </w:p>
        </w:tc>
        <w:tc>
          <w:tcPr>
            <w:tcW w:w="292" w:type="pct"/>
            <w:vMerge w:val="restart"/>
            <w:vAlign w:val="center"/>
          </w:tcPr>
          <w:p w14:paraId="0803B6D3">
            <w:pPr>
              <w:widowControl/>
              <w:jc w:val="center"/>
              <w:textAlignment w:val="center"/>
              <w:rPr>
                <w:rFonts w:eastAsia="仿宋_GB2312"/>
                <w:color w:val="auto"/>
                <w:szCs w:val="21"/>
              </w:rPr>
            </w:pPr>
            <w:r>
              <w:rPr>
                <w:rFonts w:hint="eastAsia" w:eastAsia="仿宋_GB2312"/>
                <w:color w:val="auto"/>
                <w:kern w:val="0"/>
                <w:szCs w:val="21"/>
                <w:lang w:bidi="ar"/>
              </w:rPr>
              <w:t>DA002</w:t>
            </w:r>
          </w:p>
        </w:tc>
      </w:tr>
      <w:tr w14:paraId="338EE2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207AAFE9">
            <w:pPr>
              <w:jc w:val="center"/>
              <w:rPr>
                <w:rFonts w:eastAsia="仿宋_GB2312"/>
                <w:color w:val="auto"/>
                <w:szCs w:val="21"/>
              </w:rPr>
            </w:pPr>
          </w:p>
        </w:tc>
        <w:tc>
          <w:tcPr>
            <w:tcW w:w="358" w:type="pct"/>
            <w:vMerge w:val="continue"/>
            <w:vAlign w:val="center"/>
          </w:tcPr>
          <w:p w14:paraId="572CEBE6">
            <w:pPr>
              <w:jc w:val="center"/>
              <w:rPr>
                <w:rFonts w:eastAsia="仿宋_GB2312"/>
                <w:color w:val="auto"/>
                <w:szCs w:val="21"/>
              </w:rPr>
            </w:pPr>
          </w:p>
        </w:tc>
        <w:tc>
          <w:tcPr>
            <w:tcW w:w="418" w:type="pct"/>
            <w:vMerge w:val="continue"/>
            <w:vAlign w:val="center"/>
          </w:tcPr>
          <w:p w14:paraId="4AC70F6D">
            <w:pPr>
              <w:jc w:val="center"/>
              <w:rPr>
                <w:rFonts w:eastAsia="仿宋_GB2312"/>
                <w:color w:val="auto"/>
                <w:szCs w:val="21"/>
              </w:rPr>
            </w:pPr>
          </w:p>
        </w:tc>
        <w:tc>
          <w:tcPr>
            <w:tcW w:w="446" w:type="pct"/>
            <w:vMerge w:val="continue"/>
            <w:vAlign w:val="center"/>
          </w:tcPr>
          <w:p w14:paraId="7660CA95">
            <w:pPr>
              <w:jc w:val="center"/>
              <w:rPr>
                <w:rFonts w:eastAsia="仿宋_GB2312"/>
                <w:color w:val="auto"/>
                <w:szCs w:val="21"/>
              </w:rPr>
            </w:pPr>
          </w:p>
        </w:tc>
        <w:tc>
          <w:tcPr>
            <w:tcW w:w="361" w:type="pct"/>
            <w:vMerge w:val="continue"/>
            <w:vAlign w:val="center"/>
          </w:tcPr>
          <w:p w14:paraId="65033A1F">
            <w:pPr>
              <w:jc w:val="center"/>
              <w:rPr>
                <w:rFonts w:eastAsia="仿宋_GB2312"/>
                <w:color w:val="auto"/>
                <w:szCs w:val="21"/>
              </w:rPr>
            </w:pPr>
          </w:p>
        </w:tc>
        <w:tc>
          <w:tcPr>
            <w:tcW w:w="498" w:type="pct"/>
            <w:vMerge w:val="continue"/>
            <w:vAlign w:val="center"/>
          </w:tcPr>
          <w:p w14:paraId="10F3110B">
            <w:pPr>
              <w:keepNext w:val="0"/>
              <w:keepLines w:val="0"/>
              <w:widowControl/>
              <w:suppressLineNumbers w:val="0"/>
              <w:jc w:val="center"/>
              <w:textAlignment w:val="bottom"/>
              <w:rPr>
                <w:rFonts w:eastAsia="仿宋_GB2312"/>
                <w:color w:val="auto"/>
                <w:kern w:val="0"/>
                <w:szCs w:val="21"/>
                <w:lang w:bidi="ar"/>
              </w:rPr>
            </w:pPr>
          </w:p>
        </w:tc>
        <w:tc>
          <w:tcPr>
            <w:tcW w:w="820" w:type="pct"/>
            <w:vAlign w:val="center"/>
          </w:tcPr>
          <w:p w14:paraId="4377943A">
            <w:pPr>
              <w:widowControl/>
              <w:jc w:val="center"/>
              <w:textAlignment w:val="center"/>
              <w:rPr>
                <w:rFonts w:eastAsia="仿宋_GB2312"/>
                <w:color w:val="auto"/>
                <w:kern w:val="0"/>
                <w:szCs w:val="21"/>
                <w:lang w:bidi="ar"/>
              </w:rPr>
            </w:pPr>
            <w:r>
              <w:rPr>
                <w:rFonts w:eastAsia="仿宋_GB2312"/>
                <w:color w:val="auto"/>
                <w:kern w:val="0"/>
                <w:szCs w:val="21"/>
                <w:lang w:bidi="ar"/>
              </w:rPr>
              <w:t>其他有机物</w:t>
            </w:r>
          </w:p>
        </w:tc>
        <w:tc>
          <w:tcPr>
            <w:tcW w:w="380" w:type="pct"/>
            <w:shd w:val="clear" w:color="auto" w:fill="auto"/>
            <w:vAlign w:val="center"/>
          </w:tcPr>
          <w:p w14:paraId="3683E3DB">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0.007</w:t>
            </w:r>
          </w:p>
        </w:tc>
        <w:tc>
          <w:tcPr>
            <w:tcW w:w="445" w:type="pct"/>
            <w:shd w:val="clear" w:color="auto" w:fill="auto"/>
            <w:vAlign w:val="center"/>
          </w:tcPr>
          <w:p w14:paraId="66E48C15">
            <w:pPr>
              <w:widowControl/>
              <w:jc w:val="center"/>
              <w:textAlignment w:val="center"/>
              <w:rPr>
                <w:rFonts w:eastAsia="仿宋_GB2312"/>
                <w:color w:val="auto"/>
                <w:kern w:val="0"/>
                <w:szCs w:val="21"/>
                <w:lang w:bidi="ar"/>
              </w:rPr>
            </w:pPr>
            <w:r>
              <w:rPr>
                <w:rFonts w:hint="eastAsia" w:eastAsia="仿宋_GB2312"/>
                <w:color w:val="auto"/>
                <w:kern w:val="0"/>
                <w:szCs w:val="21"/>
                <w:lang w:val="en-US" w:eastAsia="zh-CN" w:bidi="ar"/>
              </w:rPr>
              <w:t>0.003</w:t>
            </w:r>
          </w:p>
        </w:tc>
        <w:tc>
          <w:tcPr>
            <w:tcW w:w="630" w:type="pct"/>
            <w:vMerge w:val="continue"/>
            <w:vAlign w:val="center"/>
          </w:tcPr>
          <w:p w14:paraId="4E663BE3">
            <w:pPr>
              <w:jc w:val="center"/>
              <w:rPr>
                <w:rFonts w:eastAsia="仿宋_GB2312"/>
                <w:color w:val="auto"/>
                <w:szCs w:val="21"/>
              </w:rPr>
            </w:pPr>
          </w:p>
        </w:tc>
        <w:tc>
          <w:tcPr>
            <w:tcW w:w="292" w:type="pct"/>
            <w:vMerge w:val="continue"/>
            <w:vAlign w:val="center"/>
          </w:tcPr>
          <w:p w14:paraId="3DC43318">
            <w:pPr>
              <w:jc w:val="center"/>
              <w:rPr>
                <w:rFonts w:eastAsia="仿宋_GB2312"/>
                <w:color w:val="auto"/>
                <w:szCs w:val="21"/>
              </w:rPr>
            </w:pPr>
          </w:p>
        </w:tc>
      </w:tr>
      <w:tr w14:paraId="06BFFF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2D466FA1">
            <w:pPr>
              <w:jc w:val="center"/>
              <w:rPr>
                <w:rFonts w:eastAsia="仿宋_GB2312"/>
                <w:color w:val="auto"/>
                <w:szCs w:val="21"/>
              </w:rPr>
            </w:pPr>
          </w:p>
        </w:tc>
        <w:tc>
          <w:tcPr>
            <w:tcW w:w="358" w:type="pct"/>
            <w:vMerge w:val="continue"/>
            <w:vAlign w:val="center"/>
          </w:tcPr>
          <w:p w14:paraId="01DF174D">
            <w:pPr>
              <w:jc w:val="center"/>
              <w:rPr>
                <w:rFonts w:eastAsia="仿宋_GB2312"/>
                <w:color w:val="auto"/>
                <w:szCs w:val="21"/>
              </w:rPr>
            </w:pPr>
          </w:p>
        </w:tc>
        <w:tc>
          <w:tcPr>
            <w:tcW w:w="418" w:type="pct"/>
            <w:vMerge w:val="restart"/>
            <w:vAlign w:val="center"/>
          </w:tcPr>
          <w:p w14:paraId="53B10814">
            <w:pPr>
              <w:jc w:val="center"/>
              <w:rPr>
                <w:rFonts w:eastAsia="仿宋_GB2312"/>
                <w:color w:val="auto"/>
                <w:szCs w:val="21"/>
              </w:rPr>
            </w:pPr>
            <w:r>
              <w:rPr>
                <w:rFonts w:eastAsia="仿宋_GB2312"/>
                <w:color w:val="auto"/>
                <w:kern w:val="0"/>
                <w:szCs w:val="21"/>
                <w:lang w:bidi="ar"/>
              </w:rPr>
              <w:t>G</w:t>
            </w:r>
            <w:r>
              <w:rPr>
                <w:rFonts w:hint="eastAsia" w:eastAsia="仿宋_GB2312"/>
                <w:color w:val="auto"/>
                <w:kern w:val="0"/>
                <w:szCs w:val="21"/>
                <w:lang w:val="en-US" w:eastAsia="zh-CN" w:bidi="ar"/>
              </w:rPr>
              <w:t>2</w:t>
            </w:r>
            <w:r>
              <w:rPr>
                <w:rFonts w:eastAsia="仿宋_GB2312"/>
                <w:color w:val="auto"/>
                <w:kern w:val="0"/>
                <w:szCs w:val="21"/>
                <w:lang w:bidi="ar"/>
              </w:rPr>
              <w:t>-</w:t>
            </w:r>
            <w:r>
              <w:rPr>
                <w:rFonts w:hint="eastAsia" w:eastAsia="仿宋_GB2312"/>
                <w:color w:val="auto"/>
                <w:kern w:val="0"/>
                <w:szCs w:val="21"/>
                <w:lang w:val="en-US" w:eastAsia="zh-CN" w:bidi="ar"/>
              </w:rPr>
              <w:t>4</w:t>
            </w:r>
            <w:r>
              <w:rPr>
                <w:rFonts w:eastAsia="仿宋_GB2312"/>
                <w:color w:val="auto"/>
                <w:kern w:val="0"/>
                <w:szCs w:val="21"/>
                <w:lang w:bidi="ar"/>
              </w:rPr>
              <w:t>-3</w:t>
            </w:r>
          </w:p>
        </w:tc>
        <w:tc>
          <w:tcPr>
            <w:tcW w:w="446" w:type="pct"/>
            <w:vMerge w:val="restart"/>
            <w:vAlign w:val="center"/>
          </w:tcPr>
          <w:p w14:paraId="19635E69">
            <w:pPr>
              <w:jc w:val="center"/>
              <w:rPr>
                <w:rFonts w:eastAsia="仿宋_GB2312"/>
                <w:color w:val="auto"/>
                <w:szCs w:val="21"/>
              </w:rPr>
            </w:pPr>
            <w:r>
              <w:rPr>
                <w:rFonts w:eastAsia="仿宋_GB2312"/>
                <w:color w:val="auto"/>
                <w:kern w:val="0"/>
                <w:szCs w:val="21"/>
                <w:lang w:bidi="ar"/>
              </w:rPr>
              <w:t>不凝气</w:t>
            </w:r>
          </w:p>
        </w:tc>
        <w:tc>
          <w:tcPr>
            <w:tcW w:w="361" w:type="pct"/>
            <w:vMerge w:val="restart"/>
            <w:vAlign w:val="center"/>
          </w:tcPr>
          <w:p w14:paraId="6981B2B9">
            <w:pPr>
              <w:jc w:val="center"/>
              <w:rPr>
                <w:rFonts w:eastAsia="仿宋_GB2312"/>
                <w:color w:val="auto"/>
                <w:szCs w:val="21"/>
              </w:rPr>
            </w:pPr>
            <w:r>
              <w:rPr>
                <w:rFonts w:eastAsia="仿宋_GB2312"/>
                <w:color w:val="auto"/>
                <w:szCs w:val="21"/>
              </w:rPr>
              <w:t>360</w:t>
            </w:r>
          </w:p>
        </w:tc>
        <w:tc>
          <w:tcPr>
            <w:tcW w:w="498" w:type="pct"/>
            <w:vMerge w:val="restart"/>
            <w:vAlign w:val="center"/>
          </w:tcPr>
          <w:p w14:paraId="4594B990">
            <w:pPr>
              <w:keepNext w:val="0"/>
              <w:keepLines w:val="0"/>
              <w:widowControl/>
              <w:suppressLineNumbers w:val="0"/>
              <w:jc w:val="center"/>
              <w:textAlignment w:val="bottom"/>
              <w:rPr>
                <w:rFonts w:hint="eastAsia" w:eastAsia="仿宋_GB2312"/>
                <w:color w:val="auto"/>
                <w:kern w:val="0"/>
                <w:szCs w:val="21"/>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784</w:t>
            </w:r>
          </w:p>
        </w:tc>
        <w:tc>
          <w:tcPr>
            <w:tcW w:w="820" w:type="pct"/>
            <w:vAlign w:val="center"/>
          </w:tcPr>
          <w:p w14:paraId="4B9890A1">
            <w:pPr>
              <w:widowControl/>
              <w:jc w:val="center"/>
              <w:textAlignment w:val="center"/>
              <w:rPr>
                <w:rFonts w:eastAsia="仿宋_GB2312"/>
                <w:color w:val="auto"/>
                <w:kern w:val="0"/>
                <w:szCs w:val="21"/>
                <w:lang w:bidi="ar"/>
              </w:rPr>
            </w:pPr>
            <w:r>
              <w:rPr>
                <w:rFonts w:hint="eastAsia" w:eastAsia="仿宋_GB2312"/>
                <w:color w:val="auto"/>
                <w:kern w:val="0"/>
                <w:szCs w:val="21"/>
                <w:lang w:val="en-US" w:eastAsia="zh-CN" w:bidi="ar"/>
              </w:rPr>
              <w:t>乙酸乙烯酯</w:t>
            </w:r>
          </w:p>
        </w:tc>
        <w:tc>
          <w:tcPr>
            <w:tcW w:w="380" w:type="pct"/>
            <w:shd w:val="clear" w:color="auto" w:fill="auto"/>
            <w:vAlign w:val="center"/>
          </w:tcPr>
          <w:p w14:paraId="7FB85DF3">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12.997</w:t>
            </w:r>
          </w:p>
        </w:tc>
        <w:tc>
          <w:tcPr>
            <w:tcW w:w="445" w:type="pct"/>
            <w:shd w:val="clear" w:color="auto" w:fill="auto"/>
            <w:vAlign w:val="center"/>
          </w:tcPr>
          <w:p w14:paraId="4F9C0713">
            <w:pPr>
              <w:widowControl/>
              <w:jc w:val="center"/>
              <w:textAlignment w:val="center"/>
              <w:rPr>
                <w:rFonts w:eastAsia="仿宋_GB2312"/>
                <w:color w:val="auto"/>
                <w:kern w:val="0"/>
                <w:szCs w:val="21"/>
                <w:lang w:bidi="ar"/>
              </w:rPr>
            </w:pPr>
            <w:r>
              <w:rPr>
                <w:rFonts w:hint="eastAsia" w:eastAsia="仿宋_GB2312"/>
                <w:color w:val="auto"/>
                <w:kern w:val="0"/>
                <w:szCs w:val="21"/>
                <w:lang w:val="en-US" w:eastAsia="zh-CN" w:bidi="ar"/>
              </w:rPr>
              <w:t>10.19</w:t>
            </w:r>
          </w:p>
        </w:tc>
        <w:tc>
          <w:tcPr>
            <w:tcW w:w="630" w:type="pct"/>
            <w:vMerge w:val="continue"/>
            <w:vAlign w:val="center"/>
          </w:tcPr>
          <w:p w14:paraId="58F9B974">
            <w:pPr>
              <w:jc w:val="center"/>
              <w:rPr>
                <w:rFonts w:eastAsia="仿宋_GB2312"/>
                <w:color w:val="auto"/>
                <w:szCs w:val="21"/>
              </w:rPr>
            </w:pPr>
          </w:p>
        </w:tc>
        <w:tc>
          <w:tcPr>
            <w:tcW w:w="292" w:type="pct"/>
            <w:vMerge w:val="continue"/>
            <w:vAlign w:val="center"/>
          </w:tcPr>
          <w:p w14:paraId="6BCAD4D0">
            <w:pPr>
              <w:jc w:val="center"/>
              <w:rPr>
                <w:rFonts w:eastAsia="仿宋_GB2312"/>
                <w:color w:val="auto"/>
                <w:szCs w:val="21"/>
              </w:rPr>
            </w:pPr>
          </w:p>
        </w:tc>
      </w:tr>
      <w:tr w14:paraId="137C49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1F6AAA3A">
            <w:pPr>
              <w:jc w:val="center"/>
              <w:rPr>
                <w:rFonts w:eastAsia="仿宋_GB2312"/>
                <w:color w:val="auto"/>
                <w:szCs w:val="21"/>
              </w:rPr>
            </w:pPr>
          </w:p>
        </w:tc>
        <w:tc>
          <w:tcPr>
            <w:tcW w:w="358" w:type="pct"/>
            <w:vMerge w:val="continue"/>
            <w:vAlign w:val="center"/>
          </w:tcPr>
          <w:p w14:paraId="5654DE97">
            <w:pPr>
              <w:jc w:val="center"/>
              <w:rPr>
                <w:rFonts w:eastAsia="仿宋_GB2312"/>
                <w:color w:val="auto"/>
                <w:szCs w:val="21"/>
              </w:rPr>
            </w:pPr>
          </w:p>
        </w:tc>
        <w:tc>
          <w:tcPr>
            <w:tcW w:w="418" w:type="pct"/>
            <w:vMerge w:val="continue"/>
            <w:vAlign w:val="center"/>
          </w:tcPr>
          <w:p w14:paraId="21B17B55">
            <w:pPr>
              <w:jc w:val="center"/>
              <w:rPr>
                <w:rFonts w:eastAsia="仿宋_GB2312"/>
                <w:color w:val="auto"/>
                <w:szCs w:val="21"/>
              </w:rPr>
            </w:pPr>
          </w:p>
        </w:tc>
        <w:tc>
          <w:tcPr>
            <w:tcW w:w="446" w:type="pct"/>
            <w:vMerge w:val="continue"/>
            <w:vAlign w:val="center"/>
          </w:tcPr>
          <w:p w14:paraId="408ED225">
            <w:pPr>
              <w:jc w:val="center"/>
              <w:rPr>
                <w:rFonts w:eastAsia="仿宋_GB2312"/>
                <w:color w:val="auto"/>
                <w:szCs w:val="21"/>
              </w:rPr>
            </w:pPr>
          </w:p>
        </w:tc>
        <w:tc>
          <w:tcPr>
            <w:tcW w:w="361" w:type="pct"/>
            <w:vMerge w:val="continue"/>
            <w:vAlign w:val="center"/>
          </w:tcPr>
          <w:p w14:paraId="6B103203">
            <w:pPr>
              <w:jc w:val="center"/>
              <w:rPr>
                <w:rFonts w:eastAsia="仿宋_GB2312"/>
                <w:color w:val="auto"/>
                <w:szCs w:val="21"/>
              </w:rPr>
            </w:pPr>
          </w:p>
        </w:tc>
        <w:tc>
          <w:tcPr>
            <w:tcW w:w="498" w:type="pct"/>
            <w:vMerge w:val="continue"/>
            <w:vAlign w:val="center"/>
          </w:tcPr>
          <w:p w14:paraId="4C1728DD">
            <w:pPr>
              <w:keepNext w:val="0"/>
              <w:keepLines w:val="0"/>
              <w:widowControl/>
              <w:suppressLineNumbers w:val="0"/>
              <w:jc w:val="center"/>
              <w:textAlignment w:val="bottom"/>
              <w:rPr>
                <w:rFonts w:eastAsia="仿宋_GB2312"/>
                <w:color w:val="auto"/>
                <w:kern w:val="0"/>
                <w:szCs w:val="21"/>
                <w:lang w:bidi="ar"/>
              </w:rPr>
            </w:pPr>
          </w:p>
        </w:tc>
        <w:tc>
          <w:tcPr>
            <w:tcW w:w="820" w:type="pct"/>
            <w:vAlign w:val="center"/>
          </w:tcPr>
          <w:p w14:paraId="36F1047E">
            <w:pPr>
              <w:widowControl/>
              <w:jc w:val="center"/>
              <w:textAlignment w:val="center"/>
              <w:rPr>
                <w:rFonts w:eastAsia="仿宋_GB2312"/>
                <w:color w:val="auto"/>
                <w:kern w:val="0"/>
                <w:szCs w:val="21"/>
                <w:lang w:bidi="ar"/>
              </w:rPr>
            </w:pPr>
            <w:r>
              <w:rPr>
                <w:rFonts w:eastAsia="仿宋_GB2312"/>
                <w:color w:val="auto"/>
                <w:kern w:val="0"/>
                <w:szCs w:val="21"/>
                <w:lang w:bidi="ar"/>
              </w:rPr>
              <w:t>其他有机物</w:t>
            </w:r>
          </w:p>
        </w:tc>
        <w:tc>
          <w:tcPr>
            <w:tcW w:w="380" w:type="pct"/>
            <w:shd w:val="clear" w:color="auto" w:fill="auto"/>
            <w:vAlign w:val="center"/>
          </w:tcPr>
          <w:p w14:paraId="0DF3C61B">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0.127</w:t>
            </w:r>
          </w:p>
        </w:tc>
        <w:tc>
          <w:tcPr>
            <w:tcW w:w="445" w:type="pct"/>
            <w:shd w:val="clear" w:color="auto" w:fill="auto"/>
            <w:vAlign w:val="center"/>
          </w:tcPr>
          <w:p w14:paraId="6CD0F81C">
            <w:pPr>
              <w:widowControl/>
              <w:jc w:val="center"/>
              <w:textAlignment w:val="center"/>
              <w:rPr>
                <w:rFonts w:eastAsia="仿宋_GB2312"/>
                <w:color w:val="auto"/>
                <w:kern w:val="0"/>
                <w:szCs w:val="21"/>
                <w:lang w:bidi="ar"/>
              </w:rPr>
            </w:pPr>
            <w:r>
              <w:rPr>
                <w:rFonts w:hint="eastAsia" w:eastAsia="仿宋_GB2312"/>
                <w:color w:val="auto"/>
                <w:kern w:val="0"/>
                <w:szCs w:val="21"/>
                <w:lang w:val="en-US" w:eastAsia="zh-CN" w:bidi="ar"/>
              </w:rPr>
              <w:t>0.1</w:t>
            </w:r>
          </w:p>
        </w:tc>
        <w:tc>
          <w:tcPr>
            <w:tcW w:w="630" w:type="pct"/>
            <w:vMerge w:val="continue"/>
            <w:vAlign w:val="center"/>
          </w:tcPr>
          <w:p w14:paraId="359C0CDA">
            <w:pPr>
              <w:jc w:val="center"/>
              <w:rPr>
                <w:rFonts w:eastAsia="仿宋_GB2312"/>
                <w:color w:val="auto"/>
                <w:szCs w:val="21"/>
              </w:rPr>
            </w:pPr>
          </w:p>
        </w:tc>
        <w:tc>
          <w:tcPr>
            <w:tcW w:w="292" w:type="pct"/>
            <w:vMerge w:val="continue"/>
            <w:vAlign w:val="center"/>
          </w:tcPr>
          <w:p w14:paraId="44A76BAA">
            <w:pPr>
              <w:jc w:val="center"/>
              <w:rPr>
                <w:rFonts w:eastAsia="仿宋_GB2312"/>
                <w:color w:val="auto"/>
                <w:szCs w:val="21"/>
              </w:rPr>
            </w:pPr>
          </w:p>
        </w:tc>
      </w:tr>
      <w:tr w14:paraId="146F65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408E4DD6">
            <w:pPr>
              <w:jc w:val="center"/>
              <w:rPr>
                <w:rFonts w:eastAsia="仿宋_GB2312"/>
                <w:color w:val="auto"/>
                <w:szCs w:val="21"/>
              </w:rPr>
            </w:pPr>
          </w:p>
        </w:tc>
        <w:tc>
          <w:tcPr>
            <w:tcW w:w="358" w:type="pct"/>
            <w:vMerge w:val="continue"/>
            <w:vAlign w:val="center"/>
          </w:tcPr>
          <w:p w14:paraId="6D2052C7">
            <w:pPr>
              <w:jc w:val="center"/>
              <w:rPr>
                <w:rFonts w:eastAsia="仿宋_GB2312"/>
                <w:color w:val="auto"/>
                <w:szCs w:val="21"/>
              </w:rPr>
            </w:pPr>
          </w:p>
        </w:tc>
        <w:tc>
          <w:tcPr>
            <w:tcW w:w="418" w:type="pct"/>
            <w:vMerge w:val="restart"/>
            <w:vAlign w:val="center"/>
          </w:tcPr>
          <w:p w14:paraId="0B81F1C8">
            <w:pPr>
              <w:jc w:val="center"/>
              <w:rPr>
                <w:rFonts w:eastAsia="仿宋_GB2312"/>
                <w:color w:val="auto"/>
                <w:szCs w:val="21"/>
              </w:rPr>
            </w:pPr>
            <w:r>
              <w:rPr>
                <w:rFonts w:eastAsia="仿宋_GB2312"/>
                <w:color w:val="auto"/>
                <w:kern w:val="0"/>
                <w:szCs w:val="21"/>
                <w:lang w:bidi="ar"/>
              </w:rPr>
              <w:t>G</w:t>
            </w:r>
            <w:r>
              <w:rPr>
                <w:rFonts w:hint="eastAsia" w:eastAsia="仿宋_GB2312"/>
                <w:color w:val="auto"/>
                <w:kern w:val="0"/>
                <w:szCs w:val="21"/>
                <w:lang w:val="en-US" w:eastAsia="zh-CN" w:bidi="ar"/>
              </w:rPr>
              <w:t>2</w:t>
            </w:r>
            <w:r>
              <w:rPr>
                <w:rFonts w:eastAsia="仿宋_GB2312"/>
                <w:color w:val="auto"/>
                <w:kern w:val="0"/>
                <w:szCs w:val="21"/>
                <w:lang w:bidi="ar"/>
              </w:rPr>
              <w:t>-</w:t>
            </w:r>
            <w:r>
              <w:rPr>
                <w:rFonts w:hint="eastAsia" w:eastAsia="仿宋_GB2312"/>
                <w:color w:val="auto"/>
                <w:kern w:val="0"/>
                <w:szCs w:val="21"/>
                <w:lang w:val="en-US" w:eastAsia="zh-CN" w:bidi="ar"/>
              </w:rPr>
              <w:t>4</w:t>
            </w:r>
            <w:r>
              <w:rPr>
                <w:rFonts w:eastAsia="仿宋_GB2312"/>
                <w:color w:val="auto"/>
                <w:kern w:val="0"/>
                <w:szCs w:val="21"/>
                <w:lang w:bidi="ar"/>
              </w:rPr>
              <w:t>-4</w:t>
            </w:r>
          </w:p>
        </w:tc>
        <w:tc>
          <w:tcPr>
            <w:tcW w:w="446" w:type="pct"/>
            <w:vMerge w:val="restart"/>
            <w:vAlign w:val="center"/>
          </w:tcPr>
          <w:p w14:paraId="66B3EF89">
            <w:pPr>
              <w:jc w:val="center"/>
              <w:rPr>
                <w:rFonts w:eastAsia="仿宋_GB2312"/>
                <w:color w:val="auto"/>
                <w:szCs w:val="21"/>
              </w:rPr>
            </w:pPr>
            <w:r>
              <w:rPr>
                <w:rFonts w:eastAsia="仿宋_GB2312"/>
                <w:color w:val="auto"/>
                <w:kern w:val="0"/>
                <w:szCs w:val="21"/>
                <w:lang w:bidi="ar"/>
              </w:rPr>
              <w:t>不凝气</w:t>
            </w:r>
          </w:p>
        </w:tc>
        <w:tc>
          <w:tcPr>
            <w:tcW w:w="361" w:type="pct"/>
            <w:vMerge w:val="restart"/>
            <w:vAlign w:val="center"/>
          </w:tcPr>
          <w:p w14:paraId="4935F2F3">
            <w:pPr>
              <w:jc w:val="center"/>
              <w:rPr>
                <w:rFonts w:eastAsia="仿宋_GB2312"/>
                <w:color w:val="auto"/>
                <w:szCs w:val="21"/>
              </w:rPr>
            </w:pPr>
            <w:r>
              <w:rPr>
                <w:rFonts w:eastAsia="仿宋_GB2312"/>
                <w:color w:val="auto"/>
                <w:szCs w:val="21"/>
              </w:rPr>
              <w:t>360</w:t>
            </w:r>
          </w:p>
        </w:tc>
        <w:tc>
          <w:tcPr>
            <w:tcW w:w="498" w:type="pct"/>
            <w:vMerge w:val="restart"/>
            <w:vAlign w:val="center"/>
          </w:tcPr>
          <w:p w14:paraId="6C8F51F8">
            <w:pPr>
              <w:keepNext w:val="0"/>
              <w:keepLines w:val="0"/>
              <w:widowControl/>
              <w:suppressLineNumbers w:val="0"/>
              <w:jc w:val="center"/>
              <w:textAlignment w:val="bottom"/>
              <w:rPr>
                <w:rFonts w:hint="eastAsia" w:eastAsia="仿宋_GB2312"/>
                <w:color w:val="auto"/>
                <w:kern w:val="0"/>
                <w:szCs w:val="21"/>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784</w:t>
            </w:r>
          </w:p>
        </w:tc>
        <w:tc>
          <w:tcPr>
            <w:tcW w:w="820" w:type="pct"/>
            <w:vAlign w:val="center"/>
          </w:tcPr>
          <w:p w14:paraId="3FCBB946">
            <w:pPr>
              <w:widowControl/>
              <w:jc w:val="center"/>
              <w:textAlignment w:val="center"/>
              <w:rPr>
                <w:rFonts w:eastAsia="仿宋_GB2312"/>
                <w:color w:val="auto"/>
                <w:kern w:val="0"/>
                <w:szCs w:val="21"/>
                <w:lang w:bidi="ar"/>
              </w:rPr>
            </w:pPr>
            <w:r>
              <w:rPr>
                <w:rFonts w:hint="eastAsia" w:eastAsia="仿宋_GB2312"/>
                <w:color w:val="auto"/>
                <w:kern w:val="0"/>
                <w:szCs w:val="21"/>
                <w:lang w:val="en-US" w:eastAsia="zh-CN" w:bidi="ar"/>
              </w:rPr>
              <w:t>乙酸乙烯酯</w:t>
            </w:r>
          </w:p>
        </w:tc>
        <w:tc>
          <w:tcPr>
            <w:tcW w:w="380" w:type="pct"/>
            <w:shd w:val="clear" w:color="auto" w:fill="auto"/>
            <w:vAlign w:val="center"/>
          </w:tcPr>
          <w:p w14:paraId="75C44F6F">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0.025</w:t>
            </w:r>
          </w:p>
        </w:tc>
        <w:tc>
          <w:tcPr>
            <w:tcW w:w="445" w:type="pct"/>
            <w:shd w:val="clear" w:color="auto" w:fill="auto"/>
            <w:vAlign w:val="center"/>
          </w:tcPr>
          <w:p w14:paraId="7BA1D264">
            <w:pPr>
              <w:widowControl/>
              <w:jc w:val="center"/>
              <w:textAlignment w:val="center"/>
              <w:rPr>
                <w:rFonts w:eastAsia="仿宋_GB2312"/>
                <w:color w:val="auto"/>
                <w:kern w:val="0"/>
                <w:szCs w:val="21"/>
                <w:lang w:bidi="ar"/>
              </w:rPr>
            </w:pPr>
            <w:r>
              <w:rPr>
                <w:rFonts w:hint="eastAsia" w:eastAsia="仿宋_GB2312"/>
                <w:color w:val="auto"/>
                <w:kern w:val="0"/>
                <w:szCs w:val="21"/>
                <w:lang w:val="en-US" w:eastAsia="zh-CN" w:bidi="ar"/>
              </w:rPr>
              <w:t>0.02</w:t>
            </w:r>
          </w:p>
        </w:tc>
        <w:tc>
          <w:tcPr>
            <w:tcW w:w="630" w:type="pct"/>
            <w:vMerge w:val="continue"/>
            <w:vAlign w:val="center"/>
          </w:tcPr>
          <w:p w14:paraId="5ED6DCDF">
            <w:pPr>
              <w:jc w:val="center"/>
              <w:rPr>
                <w:rFonts w:eastAsia="仿宋_GB2312"/>
                <w:color w:val="auto"/>
                <w:szCs w:val="21"/>
              </w:rPr>
            </w:pPr>
          </w:p>
        </w:tc>
        <w:tc>
          <w:tcPr>
            <w:tcW w:w="292" w:type="pct"/>
            <w:vMerge w:val="continue"/>
            <w:vAlign w:val="center"/>
          </w:tcPr>
          <w:p w14:paraId="2F42D816">
            <w:pPr>
              <w:jc w:val="center"/>
              <w:rPr>
                <w:rFonts w:eastAsia="仿宋_GB2312"/>
                <w:color w:val="auto"/>
                <w:szCs w:val="21"/>
              </w:rPr>
            </w:pPr>
          </w:p>
        </w:tc>
      </w:tr>
      <w:tr w14:paraId="0BC2EC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2CF326B9">
            <w:pPr>
              <w:jc w:val="center"/>
              <w:rPr>
                <w:rFonts w:eastAsia="仿宋_GB2312"/>
                <w:color w:val="auto"/>
                <w:szCs w:val="21"/>
              </w:rPr>
            </w:pPr>
          </w:p>
        </w:tc>
        <w:tc>
          <w:tcPr>
            <w:tcW w:w="358" w:type="pct"/>
            <w:vMerge w:val="continue"/>
            <w:vAlign w:val="center"/>
          </w:tcPr>
          <w:p w14:paraId="54841CDC">
            <w:pPr>
              <w:jc w:val="center"/>
              <w:rPr>
                <w:rFonts w:eastAsia="仿宋_GB2312"/>
                <w:color w:val="auto"/>
                <w:szCs w:val="21"/>
              </w:rPr>
            </w:pPr>
          </w:p>
        </w:tc>
        <w:tc>
          <w:tcPr>
            <w:tcW w:w="418" w:type="pct"/>
            <w:vMerge w:val="continue"/>
            <w:vAlign w:val="center"/>
          </w:tcPr>
          <w:p w14:paraId="6842AB06">
            <w:pPr>
              <w:jc w:val="center"/>
              <w:rPr>
                <w:rFonts w:eastAsia="仿宋_GB2312"/>
                <w:color w:val="auto"/>
                <w:szCs w:val="21"/>
              </w:rPr>
            </w:pPr>
          </w:p>
        </w:tc>
        <w:tc>
          <w:tcPr>
            <w:tcW w:w="446" w:type="pct"/>
            <w:vMerge w:val="continue"/>
            <w:vAlign w:val="center"/>
          </w:tcPr>
          <w:p w14:paraId="25D476CE">
            <w:pPr>
              <w:jc w:val="center"/>
              <w:rPr>
                <w:rFonts w:eastAsia="仿宋_GB2312"/>
                <w:color w:val="auto"/>
                <w:szCs w:val="21"/>
              </w:rPr>
            </w:pPr>
          </w:p>
        </w:tc>
        <w:tc>
          <w:tcPr>
            <w:tcW w:w="361" w:type="pct"/>
            <w:vMerge w:val="continue"/>
            <w:vAlign w:val="center"/>
          </w:tcPr>
          <w:p w14:paraId="0BA4D63C">
            <w:pPr>
              <w:jc w:val="center"/>
              <w:rPr>
                <w:rFonts w:eastAsia="仿宋_GB2312"/>
                <w:color w:val="auto"/>
                <w:szCs w:val="21"/>
              </w:rPr>
            </w:pPr>
          </w:p>
        </w:tc>
        <w:tc>
          <w:tcPr>
            <w:tcW w:w="498" w:type="pct"/>
            <w:vMerge w:val="continue"/>
            <w:vAlign w:val="center"/>
          </w:tcPr>
          <w:p w14:paraId="11394B1A">
            <w:pPr>
              <w:keepNext w:val="0"/>
              <w:keepLines w:val="0"/>
              <w:widowControl/>
              <w:suppressLineNumbers w:val="0"/>
              <w:jc w:val="center"/>
              <w:textAlignment w:val="bottom"/>
              <w:rPr>
                <w:rFonts w:eastAsia="仿宋_GB2312"/>
                <w:color w:val="auto"/>
                <w:kern w:val="0"/>
                <w:szCs w:val="21"/>
                <w:lang w:bidi="ar"/>
              </w:rPr>
            </w:pPr>
          </w:p>
        </w:tc>
        <w:tc>
          <w:tcPr>
            <w:tcW w:w="820" w:type="pct"/>
            <w:vAlign w:val="center"/>
          </w:tcPr>
          <w:p w14:paraId="06F95F6C">
            <w:pPr>
              <w:widowControl/>
              <w:jc w:val="center"/>
              <w:textAlignment w:val="center"/>
              <w:rPr>
                <w:rFonts w:eastAsia="仿宋_GB2312"/>
                <w:color w:val="auto"/>
                <w:kern w:val="0"/>
                <w:szCs w:val="21"/>
                <w:lang w:bidi="ar"/>
              </w:rPr>
            </w:pPr>
            <w:r>
              <w:rPr>
                <w:rFonts w:eastAsia="仿宋_GB2312"/>
                <w:color w:val="auto"/>
                <w:kern w:val="0"/>
                <w:szCs w:val="21"/>
                <w:lang w:bidi="ar"/>
              </w:rPr>
              <w:t>其他有机物</w:t>
            </w:r>
          </w:p>
        </w:tc>
        <w:tc>
          <w:tcPr>
            <w:tcW w:w="380" w:type="pct"/>
            <w:shd w:val="clear" w:color="auto" w:fill="auto"/>
            <w:vAlign w:val="center"/>
          </w:tcPr>
          <w:p w14:paraId="659A0470">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0.00</w:t>
            </w:r>
            <w:r>
              <w:rPr>
                <w:rFonts w:hint="eastAsia" w:ascii="Times New Roman" w:hAnsi="Times New Roman" w:eastAsia="宋体" w:cs="Times New Roman"/>
                <w:i w:val="0"/>
                <w:iCs w:val="0"/>
                <w:color w:val="auto"/>
                <w:kern w:val="0"/>
                <w:sz w:val="21"/>
                <w:szCs w:val="21"/>
                <w:u w:val="none"/>
                <w:lang w:val="en-US" w:eastAsia="zh-CN" w:bidi="ar"/>
              </w:rPr>
              <w:t>4</w:t>
            </w:r>
          </w:p>
        </w:tc>
        <w:tc>
          <w:tcPr>
            <w:tcW w:w="445" w:type="pct"/>
            <w:shd w:val="clear" w:color="auto" w:fill="auto"/>
            <w:vAlign w:val="center"/>
          </w:tcPr>
          <w:p w14:paraId="06E03C61">
            <w:pPr>
              <w:widowControl/>
              <w:jc w:val="center"/>
              <w:textAlignment w:val="center"/>
              <w:rPr>
                <w:rFonts w:eastAsia="仿宋_GB2312"/>
                <w:color w:val="auto"/>
                <w:kern w:val="0"/>
                <w:szCs w:val="21"/>
                <w:lang w:bidi="ar"/>
              </w:rPr>
            </w:pPr>
            <w:r>
              <w:rPr>
                <w:rFonts w:hint="eastAsia" w:eastAsia="仿宋_GB2312"/>
                <w:color w:val="auto"/>
                <w:kern w:val="0"/>
                <w:szCs w:val="21"/>
                <w:lang w:val="en-US" w:eastAsia="zh-CN" w:bidi="ar"/>
              </w:rPr>
              <w:t>0.003</w:t>
            </w:r>
          </w:p>
        </w:tc>
        <w:tc>
          <w:tcPr>
            <w:tcW w:w="630" w:type="pct"/>
            <w:vMerge w:val="continue"/>
            <w:vAlign w:val="center"/>
          </w:tcPr>
          <w:p w14:paraId="1D3AACC4">
            <w:pPr>
              <w:jc w:val="center"/>
              <w:rPr>
                <w:rFonts w:eastAsia="仿宋_GB2312"/>
                <w:color w:val="auto"/>
                <w:szCs w:val="21"/>
              </w:rPr>
            </w:pPr>
          </w:p>
        </w:tc>
        <w:tc>
          <w:tcPr>
            <w:tcW w:w="292" w:type="pct"/>
            <w:vMerge w:val="continue"/>
            <w:vAlign w:val="center"/>
          </w:tcPr>
          <w:p w14:paraId="6A7C5436">
            <w:pPr>
              <w:jc w:val="center"/>
              <w:rPr>
                <w:rFonts w:eastAsia="仿宋_GB2312"/>
                <w:color w:val="auto"/>
                <w:szCs w:val="21"/>
              </w:rPr>
            </w:pPr>
          </w:p>
        </w:tc>
      </w:tr>
      <w:tr w14:paraId="336C035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7757E73B">
            <w:pPr>
              <w:jc w:val="center"/>
              <w:rPr>
                <w:rFonts w:eastAsia="仿宋_GB2312"/>
                <w:color w:val="auto"/>
                <w:szCs w:val="21"/>
              </w:rPr>
            </w:pPr>
          </w:p>
        </w:tc>
        <w:tc>
          <w:tcPr>
            <w:tcW w:w="358" w:type="pct"/>
            <w:vMerge w:val="continue"/>
            <w:vAlign w:val="center"/>
          </w:tcPr>
          <w:p w14:paraId="52546E07">
            <w:pPr>
              <w:jc w:val="center"/>
              <w:rPr>
                <w:rFonts w:eastAsia="仿宋_GB2312"/>
                <w:color w:val="auto"/>
                <w:szCs w:val="21"/>
              </w:rPr>
            </w:pPr>
          </w:p>
        </w:tc>
        <w:tc>
          <w:tcPr>
            <w:tcW w:w="418" w:type="pct"/>
            <w:vMerge w:val="restart"/>
            <w:vAlign w:val="center"/>
          </w:tcPr>
          <w:p w14:paraId="406370CC">
            <w:pPr>
              <w:jc w:val="center"/>
              <w:rPr>
                <w:rFonts w:eastAsia="仿宋_GB2312"/>
                <w:color w:val="auto"/>
                <w:szCs w:val="21"/>
              </w:rPr>
            </w:pPr>
            <w:r>
              <w:rPr>
                <w:rFonts w:eastAsia="仿宋_GB2312"/>
                <w:color w:val="auto"/>
                <w:kern w:val="0"/>
                <w:szCs w:val="21"/>
                <w:lang w:bidi="ar"/>
              </w:rPr>
              <w:t>G</w:t>
            </w:r>
            <w:r>
              <w:rPr>
                <w:rFonts w:hint="eastAsia" w:eastAsia="仿宋_GB2312"/>
                <w:color w:val="auto"/>
                <w:kern w:val="0"/>
                <w:szCs w:val="21"/>
                <w:lang w:val="en-US" w:eastAsia="zh-CN" w:bidi="ar"/>
              </w:rPr>
              <w:t>2</w:t>
            </w:r>
            <w:r>
              <w:rPr>
                <w:rFonts w:eastAsia="仿宋_GB2312"/>
                <w:color w:val="auto"/>
                <w:kern w:val="0"/>
                <w:szCs w:val="21"/>
                <w:lang w:bidi="ar"/>
              </w:rPr>
              <w:t>-</w:t>
            </w:r>
            <w:r>
              <w:rPr>
                <w:rFonts w:hint="eastAsia" w:eastAsia="仿宋_GB2312"/>
                <w:color w:val="auto"/>
                <w:kern w:val="0"/>
                <w:szCs w:val="21"/>
                <w:lang w:val="en-US" w:eastAsia="zh-CN" w:bidi="ar"/>
              </w:rPr>
              <w:t>4</w:t>
            </w:r>
            <w:r>
              <w:rPr>
                <w:rFonts w:eastAsia="仿宋_GB2312"/>
                <w:color w:val="auto"/>
                <w:kern w:val="0"/>
                <w:szCs w:val="21"/>
                <w:lang w:bidi="ar"/>
              </w:rPr>
              <w:t>-5</w:t>
            </w:r>
          </w:p>
        </w:tc>
        <w:tc>
          <w:tcPr>
            <w:tcW w:w="446" w:type="pct"/>
            <w:vMerge w:val="restart"/>
            <w:vAlign w:val="center"/>
          </w:tcPr>
          <w:p w14:paraId="1DBF1119">
            <w:pPr>
              <w:jc w:val="center"/>
              <w:rPr>
                <w:rFonts w:eastAsia="仿宋_GB2312"/>
                <w:color w:val="auto"/>
                <w:szCs w:val="21"/>
              </w:rPr>
            </w:pPr>
            <w:r>
              <w:rPr>
                <w:rFonts w:eastAsia="仿宋_GB2312"/>
                <w:color w:val="auto"/>
                <w:kern w:val="0"/>
                <w:szCs w:val="21"/>
                <w:lang w:bidi="ar"/>
              </w:rPr>
              <w:t>灌装废气</w:t>
            </w:r>
          </w:p>
        </w:tc>
        <w:tc>
          <w:tcPr>
            <w:tcW w:w="361" w:type="pct"/>
            <w:vMerge w:val="restart"/>
            <w:vAlign w:val="center"/>
          </w:tcPr>
          <w:p w14:paraId="1B2EBB07">
            <w:pPr>
              <w:jc w:val="center"/>
              <w:rPr>
                <w:rFonts w:hint="default" w:eastAsia="仿宋_GB2312"/>
                <w:color w:val="auto"/>
                <w:szCs w:val="21"/>
                <w:lang w:val="en-US" w:eastAsia="zh-CN"/>
              </w:rPr>
            </w:pPr>
            <w:r>
              <w:rPr>
                <w:rFonts w:hint="eastAsia" w:eastAsia="仿宋_GB2312"/>
                <w:color w:val="auto"/>
                <w:szCs w:val="21"/>
                <w:lang w:val="en-US" w:eastAsia="zh-CN"/>
              </w:rPr>
              <w:t>2000</w:t>
            </w:r>
          </w:p>
        </w:tc>
        <w:tc>
          <w:tcPr>
            <w:tcW w:w="498" w:type="pct"/>
            <w:vMerge w:val="restart"/>
            <w:vAlign w:val="center"/>
          </w:tcPr>
          <w:p w14:paraId="105845DF">
            <w:pPr>
              <w:keepNext w:val="0"/>
              <w:keepLines w:val="0"/>
              <w:widowControl/>
              <w:suppressLineNumbers w:val="0"/>
              <w:jc w:val="center"/>
              <w:textAlignment w:val="bottom"/>
              <w:rPr>
                <w:rFonts w:hint="eastAsia" w:eastAsia="仿宋_GB2312"/>
                <w:color w:val="auto"/>
                <w:kern w:val="0"/>
                <w:szCs w:val="21"/>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392</w:t>
            </w:r>
          </w:p>
        </w:tc>
        <w:tc>
          <w:tcPr>
            <w:tcW w:w="820" w:type="pct"/>
            <w:vAlign w:val="center"/>
          </w:tcPr>
          <w:p w14:paraId="6BF7A3C0">
            <w:pPr>
              <w:widowControl/>
              <w:jc w:val="center"/>
              <w:textAlignment w:val="center"/>
              <w:rPr>
                <w:rFonts w:eastAsia="仿宋_GB2312"/>
                <w:color w:val="auto"/>
                <w:kern w:val="0"/>
                <w:szCs w:val="21"/>
                <w:lang w:bidi="ar"/>
              </w:rPr>
            </w:pPr>
            <w:r>
              <w:rPr>
                <w:rFonts w:hint="eastAsia" w:eastAsia="仿宋_GB2312"/>
                <w:color w:val="auto"/>
                <w:kern w:val="0"/>
                <w:szCs w:val="21"/>
                <w:lang w:val="en-US" w:eastAsia="zh-CN" w:bidi="ar"/>
              </w:rPr>
              <w:t>乙酸乙烯酯</w:t>
            </w:r>
          </w:p>
        </w:tc>
        <w:tc>
          <w:tcPr>
            <w:tcW w:w="380" w:type="pct"/>
            <w:shd w:val="clear" w:color="auto" w:fill="auto"/>
            <w:vAlign w:val="center"/>
          </w:tcPr>
          <w:p w14:paraId="4F9E7685">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2.908</w:t>
            </w:r>
          </w:p>
        </w:tc>
        <w:tc>
          <w:tcPr>
            <w:tcW w:w="445" w:type="pct"/>
            <w:shd w:val="clear" w:color="auto" w:fill="auto"/>
            <w:vAlign w:val="center"/>
          </w:tcPr>
          <w:p w14:paraId="10A05038">
            <w:pPr>
              <w:widowControl/>
              <w:jc w:val="center"/>
              <w:textAlignment w:val="center"/>
              <w:rPr>
                <w:rFonts w:eastAsia="仿宋_GB2312"/>
                <w:color w:val="auto"/>
                <w:kern w:val="0"/>
                <w:szCs w:val="21"/>
                <w:lang w:bidi="ar"/>
              </w:rPr>
            </w:pPr>
            <w:r>
              <w:rPr>
                <w:rFonts w:hint="eastAsia" w:ascii="Times New Roman" w:hAnsi="Times New Roman" w:eastAsia="仿宋_GB2312" w:cs="Times New Roman"/>
                <w:color w:val="auto"/>
                <w:kern w:val="0"/>
                <w:szCs w:val="21"/>
                <w:lang w:val="en-US" w:eastAsia="zh-CN" w:bidi="ar"/>
              </w:rPr>
              <w:t>1.14</w:t>
            </w:r>
          </w:p>
        </w:tc>
        <w:tc>
          <w:tcPr>
            <w:tcW w:w="630" w:type="pct"/>
            <w:vMerge w:val="restart"/>
            <w:shd w:val="clear" w:color="auto" w:fill="auto"/>
            <w:vAlign w:val="center"/>
          </w:tcPr>
          <w:p w14:paraId="2ED1B0F3">
            <w:pPr>
              <w:jc w:val="center"/>
              <w:rPr>
                <w:rFonts w:ascii="Times New Roman" w:hAnsi="Times New Roman" w:eastAsia="仿宋_GB2312" w:cs="Times New Roman"/>
                <w:color w:val="auto"/>
                <w:kern w:val="2"/>
                <w:sz w:val="21"/>
                <w:szCs w:val="24"/>
                <w:lang w:val="en-US" w:eastAsia="zh-CN" w:bidi="ar-SA"/>
              </w:rPr>
            </w:pPr>
            <w:r>
              <w:rPr>
                <w:rFonts w:hint="eastAsia" w:eastAsia="仿宋_GB2312"/>
                <w:color w:val="auto"/>
                <w:szCs w:val="21"/>
              </w:rPr>
              <w:t>冷凝+酸吸收+碱吸收+水洗+活性炭吸附/脱附</w:t>
            </w:r>
          </w:p>
        </w:tc>
        <w:tc>
          <w:tcPr>
            <w:tcW w:w="292" w:type="pct"/>
            <w:vMerge w:val="restart"/>
            <w:shd w:val="clear" w:color="auto" w:fill="auto"/>
            <w:vAlign w:val="center"/>
          </w:tcPr>
          <w:p w14:paraId="7423E23C">
            <w:pPr>
              <w:jc w:val="center"/>
              <w:rPr>
                <w:rFonts w:ascii="Times New Roman" w:hAnsi="Times New Roman" w:eastAsia="仿宋_GB2312" w:cs="Times New Roman"/>
                <w:color w:val="auto"/>
                <w:kern w:val="2"/>
                <w:sz w:val="21"/>
                <w:szCs w:val="24"/>
                <w:lang w:val="en-US" w:eastAsia="zh-CN" w:bidi="ar-SA"/>
              </w:rPr>
            </w:pPr>
            <w:r>
              <w:rPr>
                <w:rFonts w:hint="eastAsia" w:eastAsia="仿宋_GB2312"/>
                <w:color w:val="auto"/>
              </w:rPr>
              <w:t>DA005</w:t>
            </w:r>
          </w:p>
        </w:tc>
      </w:tr>
      <w:tr w14:paraId="167085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66D9A6DA">
            <w:pPr>
              <w:jc w:val="center"/>
              <w:rPr>
                <w:rFonts w:eastAsia="仿宋_GB2312"/>
                <w:color w:val="auto"/>
                <w:szCs w:val="21"/>
              </w:rPr>
            </w:pPr>
          </w:p>
        </w:tc>
        <w:tc>
          <w:tcPr>
            <w:tcW w:w="358" w:type="pct"/>
            <w:vMerge w:val="continue"/>
            <w:vAlign w:val="center"/>
          </w:tcPr>
          <w:p w14:paraId="0C18FF4D">
            <w:pPr>
              <w:jc w:val="center"/>
              <w:rPr>
                <w:rFonts w:eastAsia="仿宋_GB2312"/>
                <w:color w:val="auto"/>
                <w:szCs w:val="21"/>
              </w:rPr>
            </w:pPr>
          </w:p>
        </w:tc>
        <w:tc>
          <w:tcPr>
            <w:tcW w:w="418" w:type="pct"/>
            <w:vMerge w:val="continue"/>
            <w:vAlign w:val="center"/>
          </w:tcPr>
          <w:p w14:paraId="0F6556ED">
            <w:pPr>
              <w:jc w:val="center"/>
              <w:rPr>
                <w:rFonts w:eastAsia="仿宋_GB2312"/>
                <w:color w:val="auto"/>
                <w:szCs w:val="21"/>
              </w:rPr>
            </w:pPr>
          </w:p>
        </w:tc>
        <w:tc>
          <w:tcPr>
            <w:tcW w:w="446" w:type="pct"/>
            <w:vMerge w:val="continue"/>
            <w:vAlign w:val="center"/>
          </w:tcPr>
          <w:p w14:paraId="29C864CE">
            <w:pPr>
              <w:jc w:val="center"/>
              <w:rPr>
                <w:rFonts w:eastAsia="仿宋_GB2312"/>
                <w:color w:val="auto"/>
                <w:szCs w:val="21"/>
              </w:rPr>
            </w:pPr>
          </w:p>
        </w:tc>
        <w:tc>
          <w:tcPr>
            <w:tcW w:w="361" w:type="pct"/>
            <w:vMerge w:val="continue"/>
            <w:vAlign w:val="center"/>
          </w:tcPr>
          <w:p w14:paraId="3B7B3AA1">
            <w:pPr>
              <w:jc w:val="center"/>
              <w:rPr>
                <w:rFonts w:eastAsia="仿宋_GB2312"/>
                <w:color w:val="auto"/>
                <w:szCs w:val="21"/>
              </w:rPr>
            </w:pPr>
          </w:p>
        </w:tc>
        <w:tc>
          <w:tcPr>
            <w:tcW w:w="498" w:type="pct"/>
            <w:vMerge w:val="continue"/>
            <w:vAlign w:val="center"/>
          </w:tcPr>
          <w:p w14:paraId="1C16FFCB">
            <w:pPr>
              <w:keepNext w:val="0"/>
              <w:keepLines w:val="0"/>
              <w:widowControl/>
              <w:suppressLineNumbers w:val="0"/>
              <w:jc w:val="center"/>
              <w:textAlignment w:val="bottom"/>
              <w:rPr>
                <w:rFonts w:eastAsia="仿宋_GB2312"/>
                <w:color w:val="auto"/>
                <w:kern w:val="0"/>
                <w:szCs w:val="21"/>
                <w:lang w:bidi="ar"/>
              </w:rPr>
            </w:pPr>
          </w:p>
        </w:tc>
        <w:tc>
          <w:tcPr>
            <w:tcW w:w="820" w:type="pct"/>
            <w:vAlign w:val="center"/>
          </w:tcPr>
          <w:p w14:paraId="78F926B8">
            <w:pPr>
              <w:widowControl/>
              <w:jc w:val="center"/>
              <w:textAlignment w:val="center"/>
              <w:rPr>
                <w:rFonts w:eastAsia="仿宋_GB2312"/>
                <w:color w:val="auto"/>
                <w:kern w:val="0"/>
                <w:szCs w:val="21"/>
                <w:lang w:bidi="ar"/>
              </w:rPr>
            </w:pPr>
            <w:r>
              <w:rPr>
                <w:rFonts w:eastAsia="仿宋_GB2312"/>
                <w:color w:val="auto"/>
                <w:kern w:val="0"/>
                <w:szCs w:val="21"/>
                <w:lang w:bidi="ar"/>
              </w:rPr>
              <w:t>其他有机物</w:t>
            </w:r>
          </w:p>
        </w:tc>
        <w:tc>
          <w:tcPr>
            <w:tcW w:w="380" w:type="pct"/>
            <w:shd w:val="clear" w:color="auto" w:fill="auto"/>
            <w:vAlign w:val="center"/>
          </w:tcPr>
          <w:p w14:paraId="29DE08D4">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0.01</w:t>
            </w:r>
          </w:p>
        </w:tc>
        <w:tc>
          <w:tcPr>
            <w:tcW w:w="445" w:type="pct"/>
            <w:shd w:val="clear" w:color="auto" w:fill="auto"/>
            <w:vAlign w:val="center"/>
          </w:tcPr>
          <w:p w14:paraId="737ABFAA">
            <w:pPr>
              <w:widowControl/>
              <w:jc w:val="center"/>
              <w:textAlignment w:val="center"/>
              <w:rPr>
                <w:rFonts w:eastAsia="仿宋_GB2312"/>
                <w:color w:val="auto"/>
                <w:kern w:val="0"/>
                <w:szCs w:val="21"/>
                <w:lang w:bidi="ar"/>
              </w:rPr>
            </w:pPr>
            <w:r>
              <w:rPr>
                <w:rFonts w:hint="eastAsia" w:ascii="Times New Roman" w:hAnsi="Times New Roman" w:eastAsia="仿宋_GB2312" w:cs="Times New Roman"/>
                <w:color w:val="auto"/>
                <w:kern w:val="0"/>
                <w:szCs w:val="21"/>
                <w:lang w:val="en-US" w:eastAsia="zh-CN" w:bidi="ar"/>
              </w:rPr>
              <w:t>0.00399</w:t>
            </w:r>
          </w:p>
        </w:tc>
        <w:tc>
          <w:tcPr>
            <w:tcW w:w="630" w:type="pct"/>
            <w:vMerge w:val="continue"/>
            <w:vAlign w:val="center"/>
          </w:tcPr>
          <w:p w14:paraId="6D142B22">
            <w:pPr>
              <w:jc w:val="center"/>
              <w:rPr>
                <w:rFonts w:eastAsia="仿宋_GB2312"/>
                <w:color w:val="auto"/>
                <w:szCs w:val="21"/>
              </w:rPr>
            </w:pPr>
          </w:p>
        </w:tc>
        <w:tc>
          <w:tcPr>
            <w:tcW w:w="292" w:type="pct"/>
            <w:vMerge w:val="continue"/>
            <w:vAlign w:val="center"/>
          </w:tcPr>
          <w:p w14:paraId="4D4194F1">
            <w:pPr>
              <w:jc w:val="center"/>
              <w:rPr>
                <w:rFonts w:eastAsia="仿宋_GB2312"/>
                <w:color w:val="auto"/>
                <w:szCs w:val="21"/>
              </w:rPr>
            </w:pPr>
          </w:p>
        </w:tc>
      </w:tr>
      <w:tr w14:paraId="2216EF3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restart"/>
            <w:vAlign w:val="center"/>
          </w:tcPr>
          <w:p w14:paraId="388AD929">
            <w:pPr>
              <w:jc w:val="center"/>
              <w:rPr>
                <w:rFonts w:eastAsia="仿宋_GB2312"/>
                <w:color w:val="auto"/>
                <w:szCs w:val="21"/>
              </w:rPr>
            </w:pPr>
            <w:r>
              <w:rPr>
                <w:rFonts w:eastAsia="仿宋_GB2312"/>
                <w:color w:val="auto"/>
                <w:szCs w:val="21"/>
              </w:rPr>
              <w:t>B-7车间</w:t>
            </w:r>
          </w:p>
        </w:tc>
        <w:tc>
          <w:tcPr>
            <w:tcW w:w="358" w:type="pct"/>
            <w:vMerge w:val="restart"/>
            <w:vAlign w:val="center"/>
          </w:tcPr>
          <w:p w14:paraId="4F04191C">
            <w:pPr>
              <w:jc w:val="center"/>
              <w:rPr>
                <w:rFonts w:eastAsia="仿宋_GB2312"/>
                <w:color w:val="auto"/>
                <w:szCs w:val="21"/>
              </w:rPr>
            </w:pPr>
            <w:r>
              <w:rPr>
                <w:rFonts w:eastAsia="仿宋_GB2312"/>
                <w:color w:val="auto"/>
                <w:szCs w:val="21"/>
                <w:lang w:val="zh-CN"/>
              </w:rPr>
              <w:t>二氯乙烷</w:t>
            </w:r>
          </w:p>
        </w:tc>
        <w:tc>
          <w:tcPr>
            <w:tcW w:w="418" w:type="pct"/>
            <w:vMerge w:val="restart"/>
            <w:vAlign w:val="center"/>
          </w:tcPr>
          <w:p w14:paraId="4FF32DA5">
            <w:pPr>
              <w:jc w:val="center"/>
              <w:rPr>
                <w:rFonts w:eastAsia="仿宋_GB2312"/>
                <w:color w:val="auto"/>
                <w:szCs w:val="21"/>
              </w:rPr>
            </w:pPr>
            <w:r>
              <w:rPr>
                <w:rFonts w:eastAsia="仿宋_GB2312"/>
                <w:color w:val="auto"/>
                <w:kern w:val="0"/>
                <w:szCs w:val="21"/>
                <w:lang w:bidi="ar"/>
              </w:rPr>
              <w:t>G</w:t>
            </w:r>
            <w:r>
              <w:rPr>
                <w:rFonts w:hint="eastAsia" w:eastAsia="仿宋_GB2312"/>
                <w:color w:val="auto"/>
                <w:kern w:val="0"/>
                <w:szCs w:val="21"/>
                <w:lang w:val="en-US" w:eastAsia="zh-CN" w:bidi="ar"/>
              </w:rPr>
              <w:t>2-5</w:t>
            </w:r>
            <w:r>
              <w:rPr>
                <w:rFonts w:eastAsia="仿宋_GB2312"/>
                <w:color w:val="auto"/>
                <w:kern w:val="0"/>
                <w:szCs w:val="21"/>
                <w:lang w:bidi="ar"/>
              </w:rPr>
              <w:t>-1</w:t>
            </w:r>
          </w:p>
        </w:tc>
        <w:tc>
          <w:tcPr>
            <w:tcW w:w="446" w:type="pct"/>
            <w:vMerge w:val="restart"/>
            <w:vAlign w:val="center"/>
          </w:tcPr>
          <w:p w14:paraId="4C11C1A8">
            <w:pPr>
              <w:jc w:val="center"/>
              <w:rPr>
                <w:rFonts w:eastAsia="仿宋_GB2312"/>
                <w:color w:val="auto"/>
                <w:szCs w:val="21"/>
              </w:rPr>
            </w:pPr>
            <w:r>
              <w:rPr>
                <w:rFonts w:eastAsia="仿宋_GB2312"/>
                <w:color w:val="auto"/>
                <w:kern w:val="0"/>
                <w:szCs w:val="21"/>
                <w:lang w:bidi="ar"/>
              </w:rPr>
              <w:t>投料废气</w:t>
            </w:r>
          </w:p>
        </w:tc>
        <w:tc>
          <w:tcPr>
            <w:tcW w:w="361" w:type="pct"/>
            <w:vMerge w:val="restart"/>
            <w:shd w:val="clear" w:color="auto" w:fill="auto"/>
            <w:vAlign w:val="center"/>
          </w:tcPr>
          <w:p w14:paraId="46B6C23E">
            <w:pPr>
              <w:jc w:val="center"/>
              <w:rPr>
                <w:rFonts w:hint="default" w:eastAsia="仿宋_GB2312"/>
                <w:color w:val="auto"/>
                <w:szCs w:val="21"/>
                <w:lang w:val="en-US" w:eastAsia="zh-CN"/>
              </w:rPr>
            </w:pPr>
            <w:r>
              <w:rPr>
                <w:rFonts w:hint="eastAsia" w:eastAsia="仿宋_GB2312"/>
                <w:color w:val="auto"/>
                <w:szCs w:val="21"/>
                <w:lang w:val="en-US" w:eastAsia="zh-CN"/>
              </w:rPr>
              <w:t>2000</w:t>
            </w:r>
          </w:p>
        </w:tc>
        <w:tc>
          <w:tcPr>
            <w:tcW w:w="498" w:type="pct"/>
            <w:vMerge w:val="restart"/>
            <w:shd w:val="clear" w:color="auto" w:fill="auto"/>
            <w:vAlign w:val="center"/>
          </w:tcPr>
          <w:p w14:paraId="04756315">
            <w:pPr>
              <w:keepNext w:val="0"/>
              <w:keepLines w:val="0"/>
              <w:widowControl/>
              <w:suppressLineNumbers w:val="0"/>
              <w:jc w:val="center"/>
              <w:textAlignment w:val="bottom"/>
              <w:rPr>
                <w:rFonts w:eastAsia="仿宋_GB2312"/>
                <w:color w:val="auto"/>
                <w:kern w:val="0"/>
                <w:szCs w:val="21"/>
                <w:lang w:val="zh-CN"/>
              </w:rPr>
            </w:pPr>
            <w:r>
              <w:rPr>
                <w:rFonts w:hint="default" w:ascii="Times New Roman" w:hAnsi="Times New Roman" w:eastAsia="宋体" w:cs="Times New Roman"/>
                <w:i w:val="0"/>
                <w:iCs w:val="0"/>
                <w:color w:val="auto"/>
                <w:kern w:val="0"/>
                <w:sz w:val="21"/>
                <w:szCs w:val="21"/>
                <w:u w:val="none"/>
                <w:lang w:val="en-US" w:eastAsia="zh-CN" w:bidi="ar"/>
              </w:rPr>
              <w:t>678</w:t>
            </w:r>
          </w:p>
        </w:tc>
        <w:tc>
          <w:tcPr>
            <w:tcW w:w="820" w:type="pct"/>
            <w:shd w:val="clear" w:color="auto" w:fill="auto"/>
            <w:vAlign w:val="center"/>
          </w:tcPr>
          <w:p w14:paraId="6C606527">
            <w:pPr>
              <w:widowControl/>
              <w:jc w:val="center"/>
              <w:textAlignment w:val="center"/>
              <w:rPr>
                <w:rFonts w:ascii="Times New Roman" w:hAnsi="Times New Roman" w:eastAsia="仿宋_GB2312" w:cs="Times New Roman"/>
                <w:b/>
                <w:bCs/>
                <w:color w:val="auto"/>
                <w:kern w:val="0"/>
                <w:sz w:val="21"/>
                <w:szCs w:val="21"/>
                <w:lang w:val="zh-CN" w:eastAsia="zh-CN" w:bidi="ar"/>
              </w:rPr>
            </w:pPr>
            <w:r>
              <w:rPr>
                <w:rFonts w:eastAsia="仿宋_GB2312"/>
                <w:color w:val="auto"/>
                <w:kern w:val="0"/>
                <w:szCs w:val="21"/>
                <w:lang w:val="zh-CN"/>
              </w:rPr>
              <w:t>二氯乙烷</w:t>
            </w:r>
          </w:p>
        </w:tc>
        <w:tc>
          <w:tcPr>
            <w:tcW w:w="380" w:type="pct"/>
            <w:shd w:val="clear" w:color="auto" w:fill="auto"/>
            <w:vAlign w:val="center"/>
          </w:tcPr>
          <w:p w14:paraId="75B842E4">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2.54</w:t>
            </w:r>
          </w:p>
        </w:tc>
        <w:tc>
          <w:tcPr>
            <w:tcW w:w="445" w:type="pct"/>
            <w:shd w:val="clear" w:color="auto" w:fill="auto"/>
            <w:vAlign w:val="center"/>
          </w:tcPr>
          <w:p w14:paraId="3A0BB2FA">
            <w:pPr>
              <w:widowControl/>
              <w:jc w:val="center"/>
              <w:textAlignment w:val="center"/>
              <w:rPr>
                <w:rFonts w:ascii="Times New Roman" w:hAnsi="Times New Roman" w:eastAsia="仿宋_GB2312" w:cs="Times New Roman"/>
                <w:color w:val="auto"/>
                <w:kern w:val="0"/>
                <w:sz w:val="21"/>
                <w:szCs w:val="21"/>
                <w:lang w:val="en-US" w:eastAsia="zh-CN" w:bidi="ar"/>
              </w:rPr>
            </w:pPr>
            <w:r>
              <w:rPr>
                <w:rFonts w:hint="eastAsia" w:ascii="Times New Roman" w:hAnsi="Times New Roman" w:eastAsia="仿宋_GB2312" w:cs="Times New Roman"/>
                <w:color w:val="auto"/>
                <w:kern w:val="0"/>
                <w:szCs w:val="21"/>
                <w:lang w:val="en-US" w:eastAsia="zh-CN" w:bidi="ar"/>
              </w:rPr>
              <w:t>1.7248</w:t>
            </w:r>
          </w:p>
        </w:tc>
        <w:tc>
          <w:tcPr>
            <w:tcW w:w="630" w:type="pct"/>
            <w:vMerge w:val="continue"/>
            <w:shd w:val="clear" w:color="auto" w:fill="auto"/>
            <w:vAlign w:val="center"/>
          </w:tcPr>
          <w:p w14:paraId="0E25A7DE">
            <w:pPr>
              <w:jc w:val="center"/>
              <w:rPr>
                <w:rFonts w:ascii="Times New Roman" w:hAnsi="Times New Roman" w:eastAsia="仿宋_GB2312" w:cs="Times New Roman"/>
                <w:color w:val="auto"/>
                <w:kern w:val="2"/>
                <w:sz w:val="21"/>
                <w:szCs w:val="24"/>
                <w:lang w:val="en-US" w:eastAsia="zh-CN" w:bidi="ar-SA"/>
              </w:rPr>
            </w:pPr>
          </w:p>
        </w:tc>
        <w:tc>
          <w:tcPr>
            <w:tcW w:w="292" w:type="pct"/>
            <w:vMerge w:val="continue"/>
            <w:shd w:val="clear" w:color="auto" w:fill="auto"/>
            <w:vAlign w:val="center"/>
          </w:tcPr>
          <w:p w14:paraId="36DD5153">
            <w:pPr>
              <w:jc w:val="center"/>
              <w:rPr>
                <w:rFonts w:ascii="Times New Roman" w:hAnsi="Times New Roman" w:eastAsia="仿宋_GB2312" w:cs="Times New Roman"/>
                <w:color w:val="auto"/>
                <w:kern w:val="2"/>
                <w:sz w:val="21"/>
                <w:szCs w:val="24"/>
                <w:lang w:val="en-US" w:eastAsia="zh-CN" w:bidi="ar-SA"/>
              </w:rPr>
            </w:pPr>
          </w:p>
        </w:tc>
      </w:tr>
      <w:tr w14:paraId="097E2F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190307E5">
            <w:pPr>
              <w:jc w:val="center"/>
              <w:rPr>
                <w:rFonts w:eastAsia="仿宋_GB2312"/>
                <w:color w:val="auto"/>
                <w:szCs w:val="21"/>
              </w:rPr>
            </w:pPr>
          </w:p>
        </w:tc>
        <w:tc>
          <w:tcPr>
            <w:tcW w:w="358" w:type="pct"/>
            <w:vMerge w:val="continue"/>
            <w:vAlign w:val="center"/>
          </w:tcPr>
          <w:p w14:paraId="2A8F203D">
            <w:pPr>
              <w:jc w:val="center"/>
              <w:rPr>
                <w:rFonts w:eastAsia="仿宋_GB2312"/>
                <w:color w:val="auto"/>
                <w:szCs w:val="21"/>
              </w:rPr>
            </w:pPr>
          </w:p>
        </w:tc>
        <w:tc>
          <w:tcPr>
            <w:tcW w:w="418" w:type="pct"/>
            <w:vMerge w:val="continue"/>
            <w:vAlign w:val="center"/>
          </w:tcPr>
          <w:p w14:paraId="3D7784F5">
            <w:pPr>
              <w:jc w:val="center"/>
              <w:rPr>
                <w:rFonts w:eastAsia="仿宋_GB2312"/>
                <w:color w:val="auto"/>
                <w:szCs w:val="21"/>
              </w:rPr>
            </w:pPr>
          </w:p>
        </w:tc>
        <w:tc>
          <w:tcPr>
            <w:tcW w:w="446" w:type="pct"/>
            <w:vMerge w:val="continue"/>
            <w:vAlign w:val="center"/>
          </w:tcPr>
          <w:p w14:paraId="4A078B04">
            <w:pPr>
              <w:jc w:val="center"/>
              <w:rPr>
                <w:rFonts w:eastAsia="仿宋_GB2312"/>
                <w:color w:val="auto"/>
                <w:szCs w:val="21"/>
              </w:rPr>
            </w:pPr>
          </w:p>
        </w:tc>
        <w:tc>
          <w:tcPr>
            <w:tcW w:w="361" w:type="pct"/>
            <w:vMerge w:val="continue"/>
            <w:vAlign w:val="center"/>
          </w:tcPr>
          <w:p w14:paraId="79B4FBBA">
            <w:pPr>
              <w:jc w:val="center"/>
              <w:rPr>
                <w:rFonts w:eastAsia="仿宋_GB2312"/>
                <w:color w:val="auto"/>
                <w:szCs w:val="21"/>
              </w:rPr>
            </w:pPr>
          </w:p>
        </w:tc>
        <w:tc>
          <w:tcPr>
            <w:tcW w:w="498" w:type="pct"/>
            <w:vMerge w:val="continue"/>
            <w:shd w:val="clear" w:color="auto" w:fill="auto"/>
            <w:vAlign w:val="center"/>
          </w:tcPr>
          <w:p w14:paraId="145651B8">
            <w:pPr>
              <w:keepNext w:val="0"/>
              <w:keepLines w:val="0"/>
              <w:widowControl/>
              <w:suppressLineNumbers w:val="0"/>
              <w:jc w:val="center"/>
              <w:textAlignment w:val="bottom"/>
              <w:rPr>
                <w:rFonts w:eastAsia="仿宋_GB2312"/>
                <w:color w:val="auto"/>
                <w:kern w:val="0"/>
                <w:szCs w:val="21"/>
                <w:lang w:bidi="ar"/>
              </w:rPr>
            </w:pPr>
          </w:p>
        </w:tc>
        <w:tc>
          <w:tcPr>
            <w:tcW w:w="820" w:type="pct"/>
            <w:shd w:val="clear" w:color="auto" w:fill="auto"/>
            <w:vAlign w:val="center"/>
          </w:tcPr>
          <w:p w14:paraId="091321D1">
            <w:pPr>
              <w:widowControl/>
              <w:jc w:val="center"/>
              <w:textAlignment w:val="center"/>
              <w:rPr>
                <w:rFonts w:ascii="Times New Roman" w:hAnsi="Times New Roman" w:eastAsia="仿宋_GB2312" w:cs="Times New Roman"/>
                <w:color w:val="auto"/>
                <w:kern w:val="0"/>
                <w:sz w:val="21"/>
                <w:szCs w:val="21"/>
                <w:lang w:val="zh-CN" w:eastAsia="zh-CN" w:bidi="ar"/>
              </w:rPr>
            </w:pPr>
            <w:r>
              <w:rPr>
                <w:rFonts w:eastAsia="仿宋_GB2312"/>
                <w:color w:val="auto"/>
                <w:kern w:val="0"/>
                <w:szCs w:val="21"/>
                <w:lang w:bidi="ar"/>
              </w:rPr>
              <w:t>环己酮</w:t>
            </w:r>
          </w:p>
        </w:tc>
        <w:tc>
          <w:tcPr>
            <w:tcW w:w="380" w:type="pct"/>
            <w:shd w:val="clear" w:color="auto" w:fill="auto"/>
            <w:vAlign w:val="center"/>
          </w:tcPr>
          <w:p w14:paraId="0FC66196">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0.049</w:t>
            </w:r>
          </w:p>
        </w:tc>
        <w:tc>
          <w:tcPr>
            <w:tcW w:w="445" w:type="pct"/>
            <w:shd w:val="clear" w:color="auto" w:fill="auto"/>
            <w:vAlign w:val="center"/>
          </w:tcPr>
          <w:p w14:paraId="3293B11D">
            <w:pPr>
              <w:widowControl/>
              <w:jc w:val="center"/>
              <w:textAlignment w:val="center"/>
              <w:rPr>
                <w:rFonts w:ascii="Times New Roman" w:hAnsi="Times New Roman" w:eastAsia="仿宋_GB2312" w:cs="Times New Roman"/>
                <w:color w:val="auto"/>
                <w:kern w:val="0"/>
                <w:sz w:val="21"/>
                <w:szCs w:val="21"/>
                <w:lang w:val="en-US" w:eastAsia="zh-CN" w:bidi="ar"/>
              </w:rPr>
            </w:pPr>
            <w:r>
              <w:rPr>
                <w:rFonts w:hint="eastAsia" w:ascii="Times New Roman" w:hAnsi="Times New Roman" w:eastAsia="仿宋_GB2312" w:cs="Times New Roman"/>
                <w:color w:val="auto"/>
                <w:kern w:val="0"/>
                <w:szCs w:val="21"/>
                <w:lang w:val="en-US" w:eastAsia="zh-CN" w:bidi="ar"/>
              </w:rPr>
              <w:t>0.0337</w:t>
            </w:r>
          </w:p>
        </w:tc>
        <w:tc>
          <w:tcPr>
            <w:tcW w:w="630" w:type="pct"/>
            <w:vMerge w:val="continue"/>
            <w:vAlign w:val="center"/>
          </w:tcPr>
          <w:p w14:paraId="47E93A09">
            <w:pPr>
              <w:jc w:val="center"/>
              <w:rPr>
                <w:rFonts w:eastAsia="仿宋_GB2312"/>
                <w:color w:val="auto"/>
                <w:szCs w:val="21"/>
              </w:rPr>
            </w:pPr>
          </w:p>
        </w:tc>
        <w:tc>
          <w:tcPr>
            <w:tcW w:w="292" w:type="pct"/>
            <w:vMerge w:val="continue"/>
            <w:vAlign w:val="center"/>
          </w:tcPr>
          <w:p w14:paraId="7029CEAB">
            <w:pPr>
              <w:jc w:val="center"/>
              <w:rPr>
                <w:rFonts w:eastAsia="仿宋_GB2312"/>
                <w:color w:val="auto"/>
                <w:szCs w:val="21"/>
              </w:rPr>
            </w:pPr>
          </w:p>
        </w:tc>
      </w:tr>
      <w:tr w14:paraId="4D50636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43BA0185">
            <w:pPr>
              <w:jc w:val="center"/>
              <w:rPr>
                <w:rFonts w:eastAsia="仿宋_GB2312"/>
                <w:color w:val="auto"/>
                <w:szCs w:val="21"/>
              </w:rPr>
            </w:pPr>
          </w:p>
        </w:tc>
        <w:tc>
          <w:tcPr>
            <w:tcW w:w="358" w:type="pct"/>
            <w:vMerge w:val="continue"/>
            <w:vAlign w:val="center"/>
          </w:tcPr>
          <w:p w14:paraId="1A406D2B">
            <w:pPr>
              <w:jc w:val="center"/>
              <w:rPr>
                <w:rFonts w:eastAsia="仿宋_GB2312"/>
                <w:color w:val="auto"/>
                <w:szCs w:val="21"/>
              </w:rPr>
            </w:pPr>
          </w:p>
        </w:tc>
        <w:tc>
          <w:tcPr>
            <w:tcW w:w="418" w:type="pct"/>
            <w:vMerge w:val="continue"/>
            <w:vAlign w:val="center"/>
          </w:tcPr>
          <w:p w14:paraId="7CAC0D31">
            <w:pPr>
              <w:jc w:val="center"/>
              <w:rPr>
                <w:rFonts w:eastAsia="仿宋_GB2312"/>
                <w:color w:val="auto"/>
                <w:szCs w:val="21"/>
              </w:rPr>
            </w:pPr>
          </w:p>
        </w:tc>
        <w:tc>
          <w:tcPr>
            <w:tcW w:w="446" w:type="pct"/>
            <w:vMerge w:val="continue"/>
            <w:vAlign w:val="center"/>
          </w:tcPr>
          <w:p w14:paraId="35494304">
            <w:pPr>
              <w:jc w:val="center"/>
              <w:rPr>
                <w:rFonts w:eastAsia="仿宋_GB2312"/>
                <w:color w:val="auto"/>
                <w:szCs w:val="21"/>
              </w:rPr>
            </w:pPr>
          </w:p>
        </w:tc>
        <w:tc>
          <w:tcPr>
            <w:tcW w:w="361" w:type="pct"/>
            <w:vMerge w:val="continue"/>
            <w:shd w:val="clear" w:color="auto" w:fill="auto"/>
            <w:vAlign w:val="center"/>
          </w:tcPr>
          <w:p w14:paraId="44C1C927">
            <w:pPr>
              <w:jc w:val="center"/>
              <w:rPr>
                <w:rFonts w:hint="default" w:ascii="Times New Roman" w:hAnsi="Times New Roman" w:eastAsia="仿宋_GB2312" w:cs="Times New Roman"/>
                <w:color w:val="auto"/>
                <w:kern w:val="2"/>
                <w:sz w:val="21"/>
                <w:szCs w:val="21"/>
                <w:lang w:val="en-US" w:eastAsia="zh-CN" w:bidi="ar-SA"/>
              </w:rPr>
            </w:pPr>
          </w:p>
        </w:tc>
        <w:tc>
          <w:tcPr>
            <w:tcW w:w="498" w:type="pct"/>
            <w:vMerge w:val="continue"/>
            <w:shd w:val="clear" w:color="auto" w:fill="auto"/>
            <w:vAlign w:val="center"/>
          </w:tcPr>
          <w:p w14:paraId="2BB275B8">
            <w:pPr>
              <w:keepNext w:val="0"/>
              <w:keepLines w:val="0"/>
              <w:widowControl/>
              <w:suppressLineNumbers w:val="0"/>
              <w:jc w:val="center"/>
              <w:textAlignment w:val="bottom"/>
              <w:rPr>
                <w:rFonts w:eastAsia="仿宋_GB2312"/>
                <w:color w:val="auto"/>
                <w:kern w:val="0"/>
                <w:szCs w:val="21"/>
                <w:lang w:bidi="ar"/>
              </w:rPr>
            </w:pPr>
          </w:p>
        </w:tc>
        <w:tc>
          <w:tcPr>
            <w:tcW w:w="820" w:type="pct"/>
            <w:shd w:val="clear" w:color="auto" w:fill="auto"/>
            <w:vAlign w:val="center"/>
          </w:tcPr>
          <w:p w14:paraId="5208514B">
            <w:pPr>
              <w:widowControl/>
              <w:jc w:val="center"/>
              <w:textAlignment w:val="center"/>
              <w:rPr>
                <w:rFonts w:ascii="Times New Roman" w:hAnsi="Times New Roman" w:eastAsia="仿宋_GB2312" w:cs="Times New Roman"/>
                <w:b/>
                <w:bCs/>
                <w:color w:val="auto"/>
                <w:kern w:val="0"/>
                <w:sz w:val="21"/>
                <w:szCs w:val="21"/>
                <w:lang w:val="en-US" w:eastAsia="zh-CN" w:bidi="ar"/>
              </w:rPr>
            </w:pPr>
            <w:r>
              <w:rPr>
                <w:rFonts w:eastAsia="仿宋_GB2312"/>
                <w:color w:val="auto"/>
                <w:kern w:val="0"/>
                <w:szCs w:val="21"/>
                <w:lang w:bidi="ar"/>
              </w:rPr>
              <w:t>其他有机物</w:t>
            </w:r>
          </w:p>
        </w:tc>
        <w:tc>
          <w:tcPr>
            <w:tcW w:w="380" w:type="pct"/>
            <w:shd w:val="clear" w:color="auto" w:fill="auto"/>
            <w:vAlign w:val="center"/>
          </w:tcPr>
          <w:p w14:paraId="2C618CAB">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0.048</w:t>
            </w:r>
          </w:p>
        </w:tc>
        <w:tc>
          <w:tcPr>
            <w:tcW w:w="445" w:type="pct"/>
            <w:shd w:val="clear" w:color="auto" w:fill="auto"/>
            <w:vAlign w:val="center"/>
          </w:tcPr>
          <w:p w14:paraId="137D450E">
            <w:pPr>
              <w:widowControl/>
              <w:jc w:val="center"/>
              <w:textAlignment w:val="center"/>
              <w:rPr>
                <w:rFonts w:ascii="Times New Roman" w:hAnsi="Times New Roman" w:eastAsia="仿宋_GB2312" w:cs="Times New Roman"/>
                <w:color w:val="auto"/>
                <w:kern w:val="0"/>
                <w:sz w:val="21"/>
                <w:szCs w:val="21"/>
                <w:lang w:val="en-US" w:eastAsia="zh-CN" w:bidi="ar"/>
              </w:rPr>
            </w:pPr>
            <w:r>
              <w:rPr>
                <w:rFonts w:hint="eastAsia" w:ascii="Times New Roman" w:hAnsi="Times New Roman" w:eastAsia="仿宋_GB2312" w:cs="Times New Roman"/>
                <w:color w:val="auto"/>
                <w:kern w:val="0"/>
                <w:szCs w:val="21"/>
                <w:lang w:val="en-US" w:eastAsia="zh-CN" w:bidi="ar"/>
              </w:rPr>
              <w:t>0.0327</w:t>
            </w:r>
          </w:p>
        </w:tc>
        <w:tc>
          <w:tcPr>
            <w:tcW w:w="630" w:type="pct"/>
            <w:vMerge w:val="continue"/>
            <w:vAlign w:val="center"/>
          </w:tcPr>
          <w:p w14:paraId="446938FF">
            <w:pPr>
              <w:jc w:val="center"/>
              <w:rPr>
                <w:rFonts w:eastAsia="仿宋_GB2312"/>
                <w:color w:val="auto"/>
                <w:szCs w:val="21"/>
              </w:rPr>
            </w:pPr>
          </w:p>
        </w:tc>
        <w:tc>
          <w:tcPr>
            <w:tcW w:w="292" w:type="pct"/>
            <w:vMerge w:val="continue"/>
            <w:vAlign w:val="center"/>
          </w:tcPr>
          <w:p w14:paraId="1BA5B9A9">
            <w:pPr>
              <w:jc w:val="center"/>
              <w:rPr>
                <w:rFonts w:eastAsia="仿宋_GB2312"/>
                <w:color w:val="auto"/>
                <w:szCs w:val="21"/>
              </w:rPr>
            </w:pPr>
          </w:p>
        </w:tc>
      </w:tr>
      <w:tr w14:paraId="5658C8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7360CFBE">
            <w:pPr>
              <w:jc w:val="center"/>
              <w:rPr>
                <w:rFonts w:eastAsia="仿宋_GB2312"/>
                <w:color w:val="auto"/>
                <w:szCs w:val="21"/>
              </w:rPr>
            </w:pPr>
          </w:p>
        </w:tc>
        <w:tc>
          <w:tcPr>
            <w:tcW w:w="358" w:type="pct"/>
            <w:vMerge w:val="continue"/>
            <w:vAlign w:val="center"/>
          </w:tcPr>
          <w:p w14:paraId="54E65B0A">
            <w:pPr>
              <w:jc w:val="center"/>
              <w:rPr>
                <w:rFonts w:eastAsia="仿宋_GB2312"/>
                <w:color w:val="auto"/>
                <w:szCs w:val="21"/>
              </w:rPr>
            </w:pPr>
          </w:p>
        </w:tc>
        <w:tc>
          <w:tcPr>
            <w:tcW w:w="418" w:type="pct"/>
            <w:vMerge w:val="restart"/>
            <w:vAlign w:val="center"/>
          </w:tcPr>
          <w:p w14:paraId="79DDE4BF">
            <w:pPr>
              <w:jc w:val="center"/>
              <w:rPr>
                <w:rFonts w:eastAsia="仿宋_GB2312"/>
                <w:color w:val="auto"/>
                <w:szCs w:val="21"/>
              </w:rPr>
            </w:pPr>
            <w:r>
              <w:rPr>
                <w:rFonts w:eastAsia="仿宋_GB2312"/>
                <w:color w:val="auto"/>
                <w:kern w:val="0"/>
                <w:szCs w:val="21"/>
                <w:lang w:bidi="ar"/>
              </w:rPr>
              <w:t>G</w:t>
            </w:r>
            <w:r>
              <w:rPr>
                <w:rFonts w:hint="eastAsia" w:eastAsia="仿宋_GB2312"/>
                <w:color w:val="auto"/>
                <w:kern w:val="0"/>
                <w:szCs w:val="21"/>
                <w:lang w:val="en-US" w:eastAsia="zh-CN" w:bidi="ar"/>
              </w:rPr>
              <w:t>2</w:t>
            </w:r>
            <w:r>
              <w:rPr>
                <w:rFonts w:eastAsia="仿宋_GB2312"/>
                <w:color w:val="auto"/>
                <w:kern w:val="0"/>
                <w:szCs w:val="21"/>
                <w:lang w:bidi="ar"/>
              </w:rPr>
              <w:t>-</w:t>
            </w:r>
            <w:r>
              <w:rPr>
                <w:rFonts w:hint="eastAsia" w:eastAsia="仿宋_GB2312"/>
                <w:color w:val="auto"/>
                <w:kern w:val="0"/>
                <w:szCs w:val="21"/>
                <w:lang w:val="en-US" w:eastAsia="zh-CN" w:bidi="ar"/>
              </w:rPr>
              <w:t>5</w:t>
            </w:r>
            <w:r>
              <w:rPr>
                <w:rFonts w:eastAsia="仿宋_GB2312"/>
                <w:color w:val="auto"/>
                <w:kern w:val="0"/>
                <w:szCs w:val="21"/>
                <w:lang w:bidi="ar"/>
              </w:rPr>
              <w:t>-2</w:t>
            </w:r>
          </w:p>
        </w:tc>
        <w:tc>
          <w:tcPr>
            <w:tcW w:w="446" w:type="pct"/>
            <w:vMerge w:val="restart"/>
            <w:vAlign w:val="center"/>
          </w:tcPr>
          <w:p w14:paraId="7ACAF279">
            <w:pPr>
              <w:jc w:val="center"/>
              <w:rPr>
                <w:rFonts w:eastAsia="仿宋_GB2312"/>
                <w:color w:val="auto"/>
                <w:szCs w:val="21"/>
              </w:rPr>
            </w:pPr>
            <w:r>
              <w:rPr>
                <w:rFonts w:eastAsia="仿宋_GB2312"/>
                <w:color w:val="auto"/>
                <w:kern w:val="0"/>
                <w:szCs w:val="21"/>
                <w:lang w:bidi="ar"/>
              </w:rPr>
              <w:t>调节废气</w:t>
            </w:r>
          </w:p>
        </w:tc>
        <w:tc>
          <w:tcPr>
            <w:tcW w:w="361" w:type="pct"/>
            <w:vMerge w:val="restart"/>
            <w:vAlign w:val="center"/>
          </w:tcPr>
          <w:p w14:paraId="31360488">
            <w:pPr>
              <w:jc w:val="center"/>
              <w:rPr>
                <w:rFonts w:hint="default" w:eastAsia="仿宋_GB2312"/>
                <w:color w:val="auto"/>
                <w:szCs w:val="21"/>
                <w:lang w:val="en-US" w:eastAsia="zh-CN"/>
              </w:rPr>
            </w:pPr>
            <w:r>
              <w:rPr>
                <w:rFonts w:hint="eastAsia" w:eastAsia="仿宋_GB2312"/>
                <w:color w:val="auto"/>
                <w:szCs w:val="21"/>
                <w:lang w:val="en-US" w:eastAsia="zh-CN"/>
              </w:rPr>
              <w:t>100</w:t>
            </w:r>
          </w:p>
        </w:tc>
        <w:tc>
          <w:tcPr>
            <w:tcW w:w="498" w:type="pct"/>
            <w:vMerge w:val="restart"/>
            <w:shd w:val="clear" w:color="auto" w:fill="auto"/>
            <w:vAlign w:val="center"/>
          </w:tcPr>
          <w:p w14:paraId="1C6B6869">
            <w:pPr>
              <w:keepNext w:val="0"/>
              <w:keepLines w:val="0"/>
              <w:widowControl/>
              <w:suppressLineNumbers w:val="0"/>
              <w:jc w:val="center"/>
              <w:textAlignment w:val="bottom"/>
              <w:rPr>
                <w:rFonts w:eastAsia="仿宋_GB2312"/>
                <w:color w:val="auto"/>
                <w:kern w:val="0"/>
                <w:szCs w:val="21"/>
                <w:lang w:val="zh-CN"/>
              </w:rPr>
            </w:pPr>
            <w:r>
              <w:rPr>
                <w:rFonts w:hint="default" w:ascii="Times New Roman" w:hAnsi="Times New Roman" w:eastAsia="宋体" w:cs="Times New Roman"/>
                <w:i w:val="0"/>
                <w:iCs w:val="0"/>
                <w:color w:val="auto"/>
                <w:kern w:val="0"/>
                <w:sz w:val="21"/>
                <w:szCs w:val="21"/>
                <w:u w:val="none"/>
                <w:lang w:val="en-US" w:eastAsia="zh-CN" w:bidi="ar"/>
              </w:rPr>
              <w:t>678</w:t>
            </w:r>
          </w:p>
        </w:tc>
        <w:tc>
          <w:tcPr>
            <w:tcW w:w="820" w:type="pct"/>
            <w:shd w:val="clear" w:color="auto" w:fill="auto"/>
            <w:vAlign w:val="center"/>
          </w:tcPr>
          <w:p w14:paraId="05E70619">
            <w:pPr>
              <w:widowControl/>
              <w:jc w:val="center"/>
              <w:textAlignment w:val="center"/>
              <w:rPr>
                <w:rFonts w:ascii="Times New Roman" w:hAnsi="Times New Roman" w:eastAsia="仿宋_GB2312" w:cs="Times New Roman"/>
                <w:b/>
                <w:bCs/>
                <w:color w:val="auto"/>
                <w:kern w:val="0"/>
                <w:sz w:val="21"/>
                <w:szCs w:val="21"/>
                <w:lang w:val="zh-CN" w:eastAsia="zh-CN" w:bidi="ar"/>
              </w:rPr>
            </w:pPr>
            <w:r>
              <w:rPr>
                <w:rFonts w:eastAsia="仿宋_GB2312"/>
                <w:color w:val="auto"/>
                <w:kern w:val="0"/>
                <w:szCs w:val="21"/>
                <w:lang w:val="zh-CN"/>
              </w:rPr>
              <w:t>二氯乙烷</w:t>
            </w:r>
          </w:p>
        </w:tc>
        <w:tc>
          <w:tcPr>
            <w:tcW w:w="380" w:type="pct"/>
            <w:shd w:val="clear" w:color="auto" w:fill="auto"/>
            <w:vAlign w:val="center"/>
          </w:tcPr>
          <w:p w14:paraId="488D6CF4">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1.281</w:t>
            </w:r>
          </w:p>
        </w:tc>
        <w:tc>
          <w:tcPr>
            <w:tcW w:w="445" w:type="pct"/>
            <w:shd w:val="clear" w:color="auto" w:fill="auto"/>
            <w:vAlign w:val="center"/>
          </w:tcPr>
          <w:p w14:paraId="6947D227">
            <w:pPr>
              <w:jc w:val="center"/>
              <w:rPr>
                <w:rFonts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bidi="ar"/>
              </w:rPr>
              <w:t>0.869</w:t>
            </w:r>
          </w:p>
        </w:tc>
        <w:tc>
          <w:tcPr>
            <w:tcW w:w="630" w:type="pct"/>
            <w:vMerge w:val="restart"/>
            <w:shd w:val="clear" w:color="auto" w:fill="auto"/>
            <w:vAlign w:val="center"/>
          </w:tcPr>
          <w:p w14:paraId="412FC40B">
            <w:pPr>
              <w:widowControl/>
              <w:jc w:val="center"/>
              <w:textAlignment w:val="center"/>
              <w:rPr>
                <w:rFonts w:ascii="Times New Roman" w:hAnsi="Times New Roman" w:eastAsia="仿宋_GB2312" w:cs="Times New Roman"/>
                <w:color w:val="auto"/>
                <w:kern w:val="2"/>
                <w:sz w:val="21"/>
                <w:szCs w:val="21"/>
                <w:lang w:val="en-US" w:eastAsia="zh-CN" w:bidi="ar-SA"/>
              </w:rPr>
            </w:pPr>
            <w:r>
              <w:rPr>
                <w:rFonts w:hint="eastAsia" w:eastAsia="仿宋_GB2312"/>
                <w:color w:val="auto"/>
                <w:szCs w:val="21"/>
              </w:rPr>
              <w:t>预处理（冷凝+稀酸吸收+碱吸收+水吸收+除雾）+</w:t>
            </w:r>
            <w:r>
              <w:rPr>
                <w:rFonts w:eastAsia="仿宋_GB2312"/>
                <w:color w:val="auto"/>
                <w:szCs w:val="21"/>
              </w:rPr>
              <w:t>焚烧</w:t>
            </w:r>
          </w:p>
        </w:tc>
        <w:tc>
          <w:tcPr>
            <w:tcW w:w="292" w:type="pct"/>
            <w:vMerge w:val="restart"/>
            <w:shd w:val="clear" w:color="auto" w:fill="auto"/>
            <w:vAlign w:val="center"/>
          </w:tcPr>
          <w:p w14:paraId="0FF9458F">
            <w:pPr>
              <w:widowControl/>
              <w:jc w:val="center"/>
              <w:textAlignment w:val="center"/>
              <w:rPr>
                <w:rFonts w:ascii="Times New Roman" w:hAnsi="Times New Roman" w:eastAsia="仿宋_GB2312" w:cs="Times New Roman"/>
                <w:color w:val="auto"/>
                <w:kern w:val="2"/>
                <w:sz w:val="21"/>
                <w:szCs w:val="21"/>
                <w:lang w:val="en-US" w:eastAsia="zh-CN" w:bidi="ar-SA"/>
              </w:rPr>
            </w:pPr>
            <w:r>
              <w:rPr>
                <w:rFonts w:hint="eastAsia" w:eastAsia="仿宋_GB2312"/>
                <w:color w:val="auto"/>
                <w:kern w:val="0"/>
                <w:szCs w:val="21"/>
                <w:lang w:bidi="ar"/>
              </w:rPr>
              <w:t>DA002</w:t>
            </w:r>
          </w:p>
        </w:tc>
      </w:tr>
      <w:tr w14:paraId="5E9D127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2DDC24BF">
            <w:pPr>
              <w:jc w:val="center"/>
              <w:rPr>
                <w:rFonts w:eastAsia="仿宋_GB2312"/>
                <w:color w:val="auto"/>
                <w:szCs w:val="21"/>
              </w:rPr>
            </w:pPr>
          </w:p>
        </w:tc>
        <w:tc>
          <w:tcPr>
            <w:tcW w:w="358" w:type="pct"/>
            <w:vMerge w:val="continue"/>
            <w:vAlign w:val="center"/>
          </w:tcPr>
          <w:p w14:paraId="19D579B8">
            <w:pPr>
              <w:jc w:val="center"/>
              <w:rPr>
                <w:rFonts w:eastAsia="仿宋_GB2312"/>
                <w:color w:val="auto"/>
                <w:szCs w:val="21"/>
              </w:rPr>
            </w:pPr>
          </w:p>
        </w:tc>
        <w:tc>
          <w:tcPr>
            <w:tcW w:w="418" w:type="pct"/>
            <w:vMerge w:val="continue"/>
            <w:vAlign w:val="center"/>
          </w:tcPr>
          <w:p w14:paraId="0C8E4094">
            <w:pPr>
              <w:jc w:val="center"/>
              <w:rPr>
                <w:rFonts w:eastAsia="仿宋_GB2312"/>
                <w:color w:val="auto"/>
                <w:szCs w:val="21"/>
              </w:rPr>
            </w:pPr>
          </w:p>
        </w:tc>
        <w:tc>
          <w:tcPr>
            <w:tcW w:w="446" w:type="pct"/>
            <w:vMerge w:val="continue"/>
            <w:vAlign w:val="center"/>
          </w:tcPr>
          <w:p w14:paraId="511F735C">
            <w:pPr>
              <w:jc w:val="center"/>
              <w:rPr>
                <w:rFonts w:eastAsia="仿宋_GB2312"/>
                <w:color w:val="auto"/>
                <w:szCs w:val="21"/>
              </w:rPr>
            </w:pPr>
          </w:p>
        </w:tc>
        <w:tc>
          <w:tcPr>
            <w:tcW w:w="361" w:type="pct"/>
            <w:vMerge w:val="continue"/>
            <w:shd w:val="clear" w:color="auto" w:fill="auto"/>
            <w:vAlign w:val="center"/>
          </w:tcPr>
          <w:p w14:paraId="1055BD16">
            <w:pPr>
              <w:jc w:val="center"/>
              <w:rPr>
                <w:rFonts w:eastAsia="仿宋_GB2312"/>
                <w:color w:val="auto"/>
                <w:szCs w:val="21"/>
              </w:rPr>
            </w:pPr>
          </w:p>
        </w:tc>
        <w:tc>
          <w:tcPr>
            <w:tcW w:w="498" w:type="pct"/>
            <w:vMerge w:val="continue"/>
            <w:shd w:val="clear" w:color="auto" w:fill="auto"/>
            <w:vAlign w:val="center"/>
          </w:tcPr>
          <w:p w14:paraId="38707888">
            <w:pPr>
              <w:keepNext w:val="0"/>
              <w:keepLines w:val="0"/>
              <w:widowControl/>
              <w:suppressLineNumbers w:val="0"/>
              <w:jc w:val="center"/>
              <w:textAlignment w:val="bottom"/>
              <w:rPr>
                <w:rFonts w:eastAsia="仿宋_GB2312"/>
                <w:color w:val="auto"/>
                <w:kern w:val="0"/>
                <w:szCs w:val="21"/>
                <w:lang w:bidi="ar"/>
              </w:rPr>
            </w:pPr>
          </w:p>
        </w:tc>
        <w:tc>
          <w:tcPr>
            <w:tcW w:w="820" w:type="pct"/>
            <w:shd w:val="clear" w:color="auto" w:fill="auto"/>
            <w:vAlign w:val="center"/>
          </w:tcPr>
          <w:p w14:paraId="5CDD9B08">
            <w:pPr>
              <w:widowControl/>
              <w:jc w:val="center"/>
              <w:textAlignment w:val="center"/>
              <w:rPr>
                <w:rFonts w:ascii="Times New Roman" w:hAnsi="Times New Roman" w:eastAsia="仿宋_GB2312" w:cs="Times New Roman"/>
                <w:color w:val="auto"/>
                <w:kern w:val="0"/>
                <w:sz w:val="21"/>
                <w:szCs w:val="21"/>
                <w:lang w:val="zh-CN" w:eastAsia="zh-CN" w:bidi="ar"/>
              </w:rPr>
            </w:pPr>
            <w:r>
              <w:rPr>
                <w:rFonts w:eastAsia="仿宋_GB2312"/>
                <w:color w:val="auto"/>
                <w:kern w:val="0"/>
                <w:szCs w:val="21"/>
                <w:lang w:bidi="ar"/>
              </w:rPr>
              <w:t>环己酮</w:t>
            </w:r>
          </w:p>
        </w:tc>
        <w:tc>
          <w:tcPr>
            <w:tcW w:w="380" w:type="pct"/>
            <w:shd w:val="clear" w:color="auto" w:fill="auto"/>
            <w:vAlign w:val="center"/>
          </w:tcPr>
          <w:p w14:paraId="6F049B15">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0.025</w:t>
            </w:r>
          </w:p>
        </w:tc>
        <w:tc>
          <w:tcPr>
            <w:tcW w:w="445" w:type="pct"/>
            <w:shd w:val="clear" w:color="auto" w:fill="auto"/>
            <w:vAlign w:val="center"/>
          </w:tcPr>
          <w:p w14:paraId="6287557E">
            <w:pPr>
              <w:jc w:val="center"/>
              <w:rPr>
                <w:rFonts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bidi="ar"/>
              </w:rPr>
              <w:t>0.017</w:t>
            </w:r>
          </w:p>
        </w:tc>
        <w:tc>
          <w:tcPr>
            <w:tcW w:w="630" w:type="pct"/>
            <w:vMerge w:val="continue"/>
            <w:vAlign w:val="center"/>
          </w:tcPr>
          <w:p w14:paraId="342BA849">
            <w:pPr>
              <w:jc w:val="center"/>
              <w:rPr>
                <w:rFonts w:eastAsia="仿宋_GB2312"/>
                <w:color w:val="auto"/>
                <w:szCs w:val="21"/>
              </w:rPr>
            </w:pPr>
          </w:p>
        </w:tc>
        <w:tc>
          <w:tcPr>
            <w:tcW w:w="292" w:type="pct"/>
            <w:vMerge w:val="continue"/>
            <w:vAlign w:val="center"/>
          </w:tcPr>
          <w:p w14:paraId="36ECD402">
            <w:pPr>
              <w:jc w:val="center"/>
              <w:rPr>
                <w:rFonts w:eastAsia="仿宋_GB2312"/>
                <w:color w:val="auto"/>
                <w:szCs w:val="21"/>
              </w:rPr>
            </w:pPr>
          </w:p>
        </w:tc>
      </w:tr>
      <w:tr w14:paraId="12F729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74ECB303">
            <w:pPr>
              <w:jc w:val="center"/>
              <w:rPr>
                <w:rFonts w:eastAsia="仿宋_GB2312"/>
                <w:color w:val="auto"/>
                <w:szCs w:val="21"/>
              </w:rPr>
            </w:pPr>
          </w:p>
        </w:tc>
        <w:tc>
          <w:tcPr>
            <w:tcW w:w="358" w:type="pct"/>
            <w:vMerge w:val="continue"/>
            <w:vAlign w:val="center"/>
          </w:tcPr>
          <w:p w14:paraId="7A3B4266">
            <w:pPr>
              <w:jc w:val="center"/>
              <w:rPr>
                <w:rFonts w:eastAsia="仿宋_GB2312"/>
                <w:color w:val="auto"/>
                <w:szCs w:val="21"/>
              </w:rPr>
            </w:pPr>
          </w:p>
        </w:tc>
        <w:tc>
          <w:tcPr>
            <w:tcW w:w="418" w:type="pct"/>
            <w:vMerge w:val="continue"/>
            <w:vAlign w:val="center"/>
          </w:tcPr>
          <w:p w14:paraId="5B9D2CD4">
            <w:pPr>
              <w:jc w:val="center"/>
              <w:rPr>
                <w:rFonts w:eastAsia="仿宋_GB2312"/>
                <w:color w:val="auto"/>
                <w:szCs w:val="21"/>
              </w:rPr>
            </w:pPr>
          </w:p>
        </w:tc>
        <w:tc>
          <w:tcPr>
            <w:tcW w:w="446" w:type="pct"/>
            <w:vMerge w:val="continue"/>
            <w:vAlign w:val="center"/>
          </w:tcPr>
          <w:p w14:paraId="1A3CECFF">
            <w:pPr>
              <w:jc w:val="center"/>
              <w:rPr>
                <w:rFonts w:eastAsia="仿宋_GB2312"/>
                <w:color w:val="auto"/>
                <w:szCs w:val="21"/>
              </w:rPr>
            </w:pPr>
          </w:p>
        </w:tc>
        <w:tc>
          <w:tcPr>
            <w:tcW w:w="361" w:type="pct"/>
            <w:vMerge w:val="continue"/>
            <w:vAlign w:val="center"/>
          </w:tcPr>
          <w:p w14:paraId="1E809635">
            <w:pPr>
              <w:jc w:val="center"/>
              <w:rPr>
                <w:rFonts w:eastAsia="仿宋_GB2312"/>
                <w:color w:val="auto"/>
                <w:szCs w:val="21"/>
              </w:rPr>
            </w:pPr>
          </w:p>
        </w:tc>
        <w:tc>
          <w:tcPr>
            <w:tcW w:w="498" w:type="pct"/>
            <w:vMerge w:val="continue"/>
            <w:shd w:val="clear" w:color="auto" w:fill="auto"/>
            <w:vAlign w:val="center"/>
          </w:tcPr>
          <w:p w14:paraId="7AABBCBE">
            <w:pPr>
              <w:keepNext w:val="0"/>
              <w:keepLines w:val="0"/>
              <w:widowControl/>
              <w:suppressLineNumbers w:val="0"/>
              <w:jc w:val="center"/>
              <w:textAlignment w:val="bottom"/>
              <w:rPr>
                <w:rFonts w:eastAsia="仿宋_GB2312"/>
                <w:color w:val="auto"/>
                <w:kern w:val="0"/>
                <w:szCs w:val="21"/>
                <w:lang w:bidi="ar"/>
              </w:rPr>
            </w:pPr>
          </w:p>
        </w:tc>
        <w:tc>
          <w:tcPr>
            <w:tcW w:w="820" w:type="pct"/>
            <w:shd w:val="clear" w:color="auto" w:fill="auto"/>
            <w:vAlign w:val="center"/>
          </w:tcPr>
          <w:p w14:paraId="5192D094">
            <w:pPr>
              <w:widowControl/>
              <w:jc w:val="center"/>
              <w:textAlignment w:val="center"/>
              <w:rPr>
                <w:rFonts w:ascii="Times New Roman" w:hAnsi="Times New Roman" w:eastAsia="仿宋_GB2312" w:cs="Times New Roman"/>
                <w:b/>
                <w:bCs/>
                <w:color w:val="auto"/>
                <w:kern w:val="0"/>
                <w:sz w:val="21"/>
                <w:szCs w:val="21"/>
                <w:lang w:val="en-US" w:eastAsia="zh-CN" w:bidi="ar"/>
              </w:rPr>
            </w:pPr>
            <w:r>
              <w:rPr>
                <w:rFonts w:eastAsia="仿宋_GB2312"/>
                <w:color w:val="auto"/>
                <w:kern w:val="0"/>
                <w:szCs w:val="21"/>
                <w:lang w:bidi="ar"/>
              </w:rPr>
              <w:t>其他有机物</w:t>
            </w:r>
          </w:p>
        </w:tc>
        <w:tc>
          <w:tcPr>
            <w:tcW w:w="380" w:type="pct"/>
            <w:shd w:val="clear" w:color="auto" w:fill="auto"/>
            <w:vAlign w:val="center"/>
          </w:tcPr>
          <w:p w14:paraId="09E7D45A">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0.025</w:t>
            </w:r>
          </w:p>
        </w:tc>
        <w:tc>
          <w:tcPr>
            <w:tcW w:w="445" w:type="pct"/>
            <w:shd w:val="clear" w:color="auto" w:fill="auto"/>
            <w:vAlign w:val="center"/>
          </w:tcPr>
          <w:p w14:paraId="4C01788B">
            <w:pPr>
              <w:widowControl/>
              <w:jc w:val="center"/>
              <w:textAlignment w:val="center"/>
              <w:rPr>
                <w:rFonts w:ascii="Times New Roman" w:hAnsi="Times New Roman" w:eastAsia="仿宋_GB2312" w:cs="Times New Roman"/>
                <w:color w:val="auto"/>
                <w:kern w:val="0"/>
                <w:sz w:val="21"/>
                <w:szCs w:val="21"/>
                <w:lang w:val="en-US" w:eastAsia="zh-CN" w:bidi="ar"/>
              </w:rPr>
            </w:pPr>
            <w:r>
              <w:rPr>
                <w:rFonts w:eastAsia="仿宋_GB2312"/>
                <w:color w:val="auto"/>
                <w:kern w:val="0"/>
                <w:szCs w:val="21"/>
                <w:lang w:bidi="ar"/>
              </w:rPr>
              <w:t>0.01</w:t>
            </w:r>
            <w:r>
              <w:rPr>
                <w:rFonts w:hint="eastAsia" w:eastAsia="仿宋_GB2312"/>
                <w:color w:val="auto"/>
                <w:kern w:val="0"/>
                <w:szCs w:val="21"/>
                <w:lang w:bidi="ar"/>
              </w:rPr>
              <w:t>7</w:t>
            </w:r>
          </w:p>
        </w:tc>
        <w:tc>
          <w:tcPr>
            <w:tcW w:w="630" w:type="pct"/>
            <w:vMerge w:val="continue"/>
            <w:vAlign w:val="center"/>
          </w:tcPr>
          <w:p w14:paraId="12A6D2B2">
            <w:pPr>
              <w:jc w:val="center"/>
              <w:rPr>
                <w:rFonts w:eastAsia="仿宋_GB2312"/>
                <w:color w:val="auto"/>
                <w:szCs w:val="21"/>
              </w:rPr>
            </w:pPr>
          </w:p>
        </w:tc>
        <w:tc>
          <w:tcPr>
            <w:tcW w:w="292" w:type="pct"/>
            <w:vMerge w:val="continue"/>
            <w:vAlign w:val="center"/>
          </w:tcPr>
          <w:p w14:paraId="3C709AC4">
            <w:pPr>
              <w:jc w:val="center"/>
              <w:rPr>
                <w:rFonts w:eastAsia="仿宋_GB2312"/>
                <w:color w:val="auto"/>
                <w:szCs w:val="21"/>
              </w:rPr>
            </w:pPr>
          </w:p>
        </w:tc>
      </w:tr>
      <w:tr w14:paraId="4944E7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792687EC">
            <w:pPr>
              <w:jc w:val="center"/>
              <w:rPr>
                <w:rFonts w:eastAsia="仿宋_GB2312"/>
                <w:color w:val="auto"/>
                <w:szCs w:val="21"/>
              </w:rPr>
            </w:pPr>
          </w:p>
        </w:tc>
        <w:tc>
          <w:tcPr>
            <w:tcW w:w="358" w:type="pct"/>
            <w:vMerge w:val="continue"/>
            <w:vAlign w:val="center"/>
          </w:tcPr>
          <w:p w14:paraId="21BD9401">
            <w:pPr>
              <w:jc w:val="center"/>
              <w:rPr>
                <w:rFonts w:eastAsia="仿宋_GB2312"/>
                <w:color w:val="auto"/>
                <w:szCs w:val="21"/>
              </w:rPr>
            </w:pPr>
          </w:p>
        </w:tc>
        <w:tc>
          <w:tcPr>
            <w:tcW w:w="418" w:type="pct"/>
            <w:vMerge w:val="restart"/>
            <w:vAlign w:val="center"/>
          </w:tcPr>
          <w:p w14:paraId="5BE5B1D2">
            <w:pPr>
              <w:jc w:val="center"/>
              <w:rPr>
                <w:rFonts w:eastAsia="仿宋_GB2312"/>
                <w:color w:val="auto"/>
                <w:szCs w:val="21"/>
              </w:rPr>
            </w:pPr>
            <w:r>
              <w:rPr>
                <w:rFonts w:eastAsia="仿宋_GB2312"/>
                <w:color w:val="auto"/>
                <w:kern w:val="0"/>
                <w:szCs w:val="21"/>
                <w:lang w:bidi="ar"/>
              </w:rPr>
              <w:t>G</w:t>
            </w:r>
            <w:r>
              <w:rPr>
                <w:rFonts w:hint="eastAsia" w:eastAsia="仿宋_GB2312"/>
                <w:color w:val="auto"/>
                <w:kern w:val="0"/>
                <w:szCs w:val="21"/>
                <w:lang w:val="en-US" w:eastAsia="zh-CN" w:bidi="ar"/>
              </w:rPr>
              <w:t>2</w:t>
            </w:r>
            <w:r>
              <w:rPr>
                <w:rFonts w:eastAsia="仿宋_GB2312"/>
                <w:color w:val="auto"/>
                <w:kern w:val="0"/>
                <w:szCs w:val="21"/>
                <w:lang w:bidi="ar"/>
              </w:rPr>
              <w:t>-</w:t>
            </w:r>
            <w:r>
              <w:rPr>
                <w:rFonts w:hint="eastAsia" w:eastAsia="仿宋_GB2312"/>
                <w:color w:val="auto"/>
                <w:kern w:val="0"/>
                <w:szCs w:val="21"/>
                <w:lang w:val="en-US" w:eastAsia="zh-CN" w:bidi="ar"/>
              </w:rPr>
              <w:t>5</w:t>
            </w:r>
            <w:r>
              <w:rPr>
                <w:rFonts w:eastAsia="仿宋_GB2312"/>
                <w:color w:val="auto"/>
                <w:kern w:val="0"/>
                <w:szCs w:val="21"/>
                <w:lang w:bidi="ar"/>
              </w:rPr>
              <w:t>-3</w:t>
            </w:r>
          </w:p>
        </w:tc>
        <w:tc>
          <w:tcPr>
            <w:tcW w:w="446" w:type="pct"/>
            <w:vMerge w:val="restart"/>
            <w:vAlign w:val="center"/>
          </w:tcPr>
          <w:p w14:paraId="48FA61EA">
            <w:pPr>
              <w:jc w:val="center"/>
              <w:rPr>
                <w:rFonts w:eastAsia="仿宋_GB2312"/>
                <w:color w:val="auto"/>
                <w:szCs w:val="21"/>
              </w:rPr>
            </w:pPr>
            <w:r>
              <w:rPr>
                <w:rFonts w:eastAsia="仿宋_GB2312"/>
                <w:color w:val="auto"/>
                <w:kern w:val="0"/>
                <w:szCs w:val="21"/>
                <w:lang w:bidi="ar"/>
              </w:rPr>
              <w:t>不凝气</w:t>
            </w:r>
          </w:p>
        </w:tc>
        <w:tc>
          <w:tcPr>
            <w:tcW w:w="361" w:type="pct"/>
            <w:vMerge w:val="restart"/>
            <w:shd w:val="clear" w:color="auto" w:fill="auto"/>
            <w:vAlign w:val="center"/>
          </w:tcPr>
          <w:p w14:paraId="0FE9F2F8">
            <w:pPr>
              <w:jc w:val="center"/>
              <w:rPr>
                <w:rFonts w:hint="default" w:eastAsia="仿宋_GB2312"/>
                <w:color w:val="auto"/>
                <w:szCs w:val="21"/>
                <w:lang w:val="en-US" w:eastAsia="zh-CN"/>
              </w:rPr>
            </w:pPr>
            <w:r>
              <w:rPr>
                <w:rFonts w:hint="eastAsia" w:eastAsia="仿宋_GB2312"/>
                <w:color w:val="auto"/>
                <w:szCs w:val="21"/>
                <w:lang w:val="en-US" w:eastAsia="zh-CN"/>
              </w:rPr>
              <w:t>360</w:t>
            </w:r>
          </w:p>
        </w:tc>
        <w:tc>
          <w:tcPr>
            <w:tcW w:w="498" w:type="pct"/>
            <w:vMerge w:val="restart"/>
            <w:shd w:val="clear" w:color="auto" w:fill="auto"/>
            <w:vAlign w:val="center"/>
          </w:tcPr>
          <w:p w14:paraId="69EDA729">
            <w:pPr>
              <w:keepNext w:val="0"/>
              <w:keepLines w:val="0"/>
              <w:widowControl/>
              <w:suppressLineNumbers w:val="0"/>
              <w:jc w:val="center"/>
              <w:textAlignment w:val="bottom"/>
              <w:rPr>
                <w:rFonts w:eastAsia="仿宋_GB2312"/>
                <w:color w:val="auto"/>
                <w:kern w:val="0"/>
                <w:szCs w:val="21"/>
                <w:lang w:val="zh-CN"/>
              </w:rPr>
            </w:pPr>
            <w:r>
              <w:rPr>
                <w:rFonts w:hint="default" w:ascii="Times New Roman" w:hAnsi="Times New Roman" w:eastAsia="宋体" w:cs="Times New Roman"/>
                <w:i w:val="0"/>
                <w:iCs w:val="0"/>
                <w:color w:val="auto"/>
                <w:kern w:val="0"/>
                <w:sz w:val="21"/>
                <w:szCs w:val="21"/>
                <w:u w:val="none"/>
                <w:lang w:val="en-US" w:eastAsia="zh-CN" w:bidi="ar"/>
              </w:rPr>
              <w:t>1356</w:t>
            </w:r>
          </w:p>
        </w:tc>
        <w:tc>
          <w:tcPr>
            <w:tcW w:w="820" w:type="pct"/>
            <w:shd w:val="clear" w:color="auto" w:fill="auto"/>
            <w:vAlign w:val="center"/>
          </w:tcPr>
          <w:p w14:paraId="5B6AD33C">
            <w:pPr>
              <w:widowControl/>
              <w:jc w:val="center"/>
              <w:textAlignment w:val="center"/>
              <w:rPr>
                <w:rFonts w:ascii="Times New Roman" w:hAnsi="Times New Roman" w:eastAsia="仿宋_GB2312" w:cs="Times New Roman"/>
                <w:b/>
                <w:bCs/>
                <w:color w:val="auto"/>
                <w:kern w:val="0"/>
                <w:sz w:val="21"/>
                <w:szCs w:val="21"/>
                <w:lang w:val="zh-CN" w:eastAsia="zh-CN" w:bidi="ar"/>
              </w:rPr>
            </w:pPr>
            <w:r>
              <w:rPr>
                <w:rFonts w:eastAsia="仿宋_GB2312"/>
                <w:color w:val="auto"/>
                <w:kern w:val="0"/>
                <w:szCs w:val="21"/>
                <w:lang w:val="zh-CN"/>
              </w:rPr>
              <w:t>二氯乙烷</w:t>
            </w:r>
          </w:p>
        </w:tc>
        <w:tc>
          <w:tcPr>
            <w:tcW w:w="380" w:type="pct"/>
            <w:shd w:val="clear" w:color="auto" w:fill="auto"/>
            <w:vAlign w:val="center"/>
          </w:tcPr>
          <w:p w14:paraId="28EC383E">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23.729</w:t>
            </w:r>
          </w:p>
        </w:tc>
        <w:tc>
          <w:tcPr>
            <w:tcW w:w="445" w:type="pct"/>
            <w:shd w:val="clear" w:color="auto" w:fill="auto"/>
            <w:vAlign w:val="center"/>
          </w:tcPr>
          <w:p w14:paraId="075FE8AA">
            <w:pPr>
              <w:jc w:val="center"/>
              <w:rPr>
                <w:rFonts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bidi="ar"/>
              </w:rPr>
              <w:t>32.177</w:t>
            </w:r>
          </w:p>
        </w:tc>
        <w:tc>
          <w:tcPr>
            <w:tcW w:w="630" w:type="pct"/>
            <w:vMerge w:val="continue"/>
            <w:vAlign w:val="center"/>
          </w:tcPr>
          <w:p w14:paraId="73FE2899">
            <w:pPr>
              <w:jc w:val="center"/>
              <w:rPr>
                <w:rFonts w:eastAsia="仿宋_GB2312"/>
                <w:color w:val="auto"/>
                <w:szCs w:val="21"/>
              </w:rPr>
            </w:pPr>
          </w:p>
        </w:tc>
        <w:tc>
          <w:tcPr>
            <w:tcW w:w="292" w:type="pct"/>
            <w:vMerge w:val="continue"/>
            <w:vAlign w:val="center"/>
          </w:tcPr>
          <w:p w14:paraId="716DB882">
            <w:pPr>
              <w:jc w:val="center"/>
              <w:rPr>
                <w:rFonts w:eastAsia="仿宋_GB2312"/>
                <w:color w:val="auto"/>
                <w:szCs w:val="21"/>
              </w:rPr>
            </w:pPr>
          </w:p>
        </w:tc>
      </w:tr>
      <w:tr w14:paraId="1A0B4B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3016D63F">
            <w:pPr>
              <w:jc w:val="center"/>
              <w:rPr>
                <w:rFonts w:eastAsia="仿宋_GB2312"/>
                <w:color w:val="auto"/>
                <w:szCs w:val="21"/>
              </w:rPr>
            </w:pPr>
          </w:p>
        </w:tc>
        <w:tc>
          <w:tcPr>
            <w:tcW w:w="358" w:type="pct"/>
            <w:vMerge w:val="continue"/>
            <w:vAlign w:val="center"/>
          </w:tcPr>
          <w:p w14:paraId="673D0703">
            <w:pPr>
              <w:jc w:val="center"/>
              <w:rPr>
                <w:rFonts w:eastAsia="仿宋_GB2312"/>
                <w:color w:val="auto"/>
                <w:szCs w:val="21"/>
              </w:rPr>
            </w:pPr>
          </w:p>
        </w:tc>
        <w:tc>
          <w:tcPr>
            <w:tcW w:w="418" w:type="pct"/>
            <w:vMerge w:val="continue"/>
            <w:vAlign w:val="center"/>
          </w:tcPr>
          <w:p w14:paraId="415A5832">
            <w:pPr>
              <w:jc w:val="center"/>
              <w:rPr>
                <w:rFonts w:eastAsia="仿宋_GB2312"/>
                <w:color w:val="auto"/>
                <w:szCs w:val="21"/>
              </w:rPr>
            </w:pPr>
          </w:p>
        </w:tc>
        <w:tc>
          <w:tcPr>
            <w:tcW w:w="446" w:type="pct"/>
            <w:vMerge w:val="continue"/>
            <w:vAlign w:val="center"/>
          </w:tcPr>
          <w:p w14:paraId="18595EEC">
            <w:pPr>
              <w:jc w:val="center"/>
              <w:rPr>
                <w:rFonts w:eastAsia="仿宋_GB2312"/>
                <w:color w:val="auto"/>
                <w:szCs w:val="21"/>
              </w:rPr>
            </w:pPr>
          </w:p>
        </w:tc>
        <w:tc>
          <w:tcPr>
            <w:tcW w:w="361" w:type="pct"/>
            <w:vMerge w:val="continue"/>
            <w:vAlign w:val="center"/>
          </w:tcPr>
          <w:p w14:paraId="1D95CF61">
            <w:pPr>
              <w:jc w:val="center"/>
              <w:rPr>
                <w:rFonts w:eastAsia="仿宋_GB2312"/>
                <w:color w:val="auto"/>
                <w:szCs w:val="21"/>
              </w:rPr>
            </w:pPr>
          </w:p>
        </w:tc>
        <w:tc>
          <w:tcPr>
            <w:tcW w:w="498" w:type="pct"/>
            <w:vMerge w:val="continue"/>
            <w:shd w:val="clear" w:color="auto" w:fill="auto"/>
            <w:vAlign w:val="center"/>
          </w:tcPr>
          <w:p w14:paraId="55ECC8F4">
            <w:pPr>
              <w:keepNext w:val="0"/>
              <w:keepLines w:val="0"/>
              <w:widowControl/>
              <w:suppressLineNumbers w:val="0"/>
              <w:jc w:val="center"/>
              <w:textAlignment w:val="bottom"/>
              <w:rPr>
                <w:rFonts w:eastAsia="仿宋_GB2312"/>
                <w:color w:val="auto"/>
                <w:kern w:val="0"/>
                <w:szCs w:val="21"/>
                <w:lang w:bidi="ar"/>
              </w:rPr>
            </w:pPr>
          </w:p>
        </w:tc>
        <w:tc>
          <w:tcPr>
            <w:tcW w:w="820" w:type="pct"/>
            <w:shd w:val="clear" w:color="auto" w:fill="auto"/>
            <w:vAlign w:val="center"/>
          </w:tcPr>
          <w:p w14:paraId="5E1EE8C2">
            <w:pPr>
              <w:widowControl/>
              <w:jc w:val="center"/>
              <w:textAlignment w:val="center"/>
              <w:rPr>
                <w:rFonts w:ascii="Times New Roman" w:hAnsi="Times New Roman" w:eastAsia="仿宋_GB2312" w:cs="Times New Roman"/>
                <w:color w:val="auto"/>
                <w:kern w:val="0"/>
                <w:sz w:val="21"/>
                <w:szCs w:val="21"/>
                <w:lang w:val="zh-CN" w:eastAsia="zh-CN" w:bidi="ar"/>
              </w:rPr>
            </w:pPr>
            <w:r>
              <w:rPr>
                <w:rFonts w:eastAsia="仿宋_GB2312"/>
                <w:color w:val="auto"/>
                <w:kern w:val="0"/>
                <w:szCs w:val="21"/>
                <w:lang w:bidi="ar"/>
              </w:rPr>
              <w:t>环己酮</w:t>
            </w:r>
          </w:p>
        </w:tc>
        <w:tc>
          <w:tcPr>
            <w:tcW w:w="380" w:type="pct"/>
            <w:shd w:val="clear" w:color="auto" w:fill="auto"/>
            <w:vAlign w:val="center"/>
          </w:tcPr>
          <w:p w14:paraId="53D82AEF">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0.072</w:t>
            </w:r>
          </w:p>
        </w:tc>
        <w:tc>
          <w:tcPr>
            <w:tcW w:w="445" w:type="pct"/>
            <w:shd w:val="clear" w:color="auto" w:fill="auto"/>
            <w:vAlign w:val="center"/>
          </w:tcPr>
          <w:p w14:paraId="0C5AAB2D">
            <w:pPr>
              <w:jc w:val="center"/>
              <w:rPr>
                <w:rFonts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bidi="ar"/>
              </w:rPr>
              <w:t>0.098</w:t>
            </w:r>
          </w:p>
        </w:tc>
        <w:tc>
          <w:tcPr>
            <w:tcW w:w="630" w:type="pct"/>
            <w:vMerge w:val="continue"/>
            <w:vAlign w:val="center"/>
          </w:tcPr>
          <w:p w14:paraId="44A32FF5">
            <w:pPr>
              <w:jc w:val="center"/>
              <w:rPr>
                <w:rFonts w:eastAsia="仿宋_GB2312"/>
                <w:color w:val="auto"/>
                <w:szCs w:val="21"/>
              </w:rPr>
            </w:pPr>
          </w:p>
        </w:tc>
        <w:tc>
          <w:tcPr>
            <w:tcW w:w="292" w:type="pct"/>
            <w:vMerge w:val="continue"/>
            <w:vAlign w:val="center"/>
          </w:tcPr>
          <w:p w14:paraId="1B2EDEDF">
            <w:pPr>
              <w:jc w:val="center"/>
              <w:rPr>
                <w:rFonts w:eastAsia="仿宋_GB2312"/>
                <w:color w:val="auto"/>
                <w:szCs w:val="21"/>
              </w:rPr>
            </w:pPr>
          </w:p>
        </w:tc>
      </w:tr>
      <w:tr w14:paraId="27B41F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14D1F90F">
            <w:pPr>
              <w:jc w:val="center"/>
              <w:rPr>
                <w:rFonts w:eastAsia="仿宋_GB2312"/>
                <w:color w:val="auto"/>
                <w:szCs w:val="21"/>
              </w:rPr>
            </w:pPr>
          </w:p>
        </w:tc>
        <w:tc>
          <w:tcPr>
            <w:tcW w:w="358" w:type="pct"/>
            <w:vMerge w:val="continue"/>
            <w:vAlign w:val="center"/>
          </w:tcPr>
          <w:p w14:paraId="5A9E33A7">
            <w:pPr>
              <w:jc w:val="center"/>
              <w:rPr>
                <w:rFonts w:eastAsia="仿宋_GB2312"/>
                <w:color w:val="auto"/>
                <w:szCs w:val="21"/>
              </w:rPr>
            </w:pPr>
          </w:p>
        </w:tc>
        <w:tc>
          <w:tcPr>
            <w:tcW w:w="418" w:type="pct"/>
            <w:vMerge w:val="continue"/>
            <w:vAlign w:val="center"/>
          </w:tcPr>
          <w:p w14:paraId="77867D28">
            <w:pPr>
              <w:jc w:val="center"/>
              <w:rPr>
                <w:rFonts w:eastAsia="仿宋_GB2312"/>
                <w:color w:val="auto"/>
                <w:szCs w:val="21"/>
              </w:rPr>
            </w:pPr>
          </w:p>
        </w:tc>
        <w:tc>
          <w:tcPr>
            <w:tcW w:w="446" w:type="pct"/>
            <w:vMerge w:val="continue"/>
            <w:vAlign w:val="center"/>
          </w:tcPr>
          <w:p w14:paraId="4DC0F861">
            <w:pPr>
              <w:jc w:val="center"/>
              <w:rPr>
                <w:rFonts w:eastAsia="仿宋_GB2312"/>
                <w:color w:val="auto"/>
                <w:szCs w:val="21"/>
              </w:rPr>
            </w:pPr>
          </w:p>
        </w:tc>
        <w:tc>
          <w:tcPr>
            <w:tcW w:w="361" w:type="pct"/>
            <w:vMerge w:val="continue"/>
            <w:shd w:val="clear" w:color="auto" w:fill="auto"/>
            <w:vAlign w:val="center"/>
          </w:tcPr>
          <w:p w14:paraId="3E76F708">
            <w:pPr>
              <w:jc w:val="center"/>
              <w:rPr>
                <w:rFonts w:hint="default" w:ascii="Times New Roman" w:hAnsi="Times New Roman" w:eastAsia="仿宋_GB2312" w:cs="Times New Roman"/>
                <w:color w:val="auto"/>
                <w:kern w:val="2"/>
                <w:sz w:val="21"/>
                <w:szCs w:val="21"/>
                <w:lang w:val="en-US" w:eastAsia="zh-CN" w:bidi="ar-SA"/>
              </w:rPr>
            </w:pPr>
          </w:p>
        </w:tc>
        <w:tc>
          <w:tcPr>
            <w:tcW w:w="498" w:type="pct"/>
            <w:vMerge w:val="continue"/>
            <w:shd w:val="clear" w:color="auto" w:fill="auto"/>
            <w:vAlign w:val="center"/>
          </w:tcPr>
          <w:p w14:paraId="39B74059">
            <w:pPr>
              <w:keepNext w:val="0"/>
              <w:keepLines w:val="0"/>
              <w:widowControl/>
              <w:suppressLineNumbers w:val="0"/>
              <w:jc w:val="center"/>
              <w:textAlignment w:val="bottom"/>
              <w:rPr>
                <w:rFonts w:eastAsia="仿宋_GB2312"/>
                <w:color w:val="auto"/>
                <w:kern w:val="0"/>
                <w:szCs w:val="21"/>
                <w:lang w:bidi="ar"/>
              </w:rPr>
            </w:pPr>
          </w:p>
        </w:tc>
        <w:tc>
          <w:tcPr>
            <w:tcW w:w="820" w:type="pct"/>
            <w:shd w:val="clear" w:color="auto" w:fill="auto"/>
            <w:vAlign w:val="center"/>
          </w:tcPr>
          <w:p w14:paraId="7D2E0C22">
            <w:pPr>
              <w:widowControl/>
              <w:jc w:val="center"/>
              <w:textAlignment w:val="center"/>
              <w:rPr>
                <w:rFonts w:ascii="Times New Roman" w:hAnsi="Times New Roman" w:eastAsia="仿宋_GB2312" w:cs="Times New Roman"/>
                <w:b/>
                <w:bCs/>
                <w:color w:val="auto"/>
                <w:kern w:val="0"/>
                <w:sz w:val="21"/>
                <w:szCs w:val="21"/>
                <w:lang w:val="en-US" w:eastAsia="zh-CN" w:bidi="ar"/>
              </w:rPr>
            </w:pPr>
            <w:r>
              <w:rPr>
                <w:rFonts w:eastAsia="仿宋_GB2312"/>
                <w:color w:val="auto"/>
                <w:kern w:val="0"/>
                <w:szCs w:val="21"/>
                <w:lang w:bidi="ar"/>
              </w:rPr>
              <w:t>其他有机物</w:t>
            </w:r>
          </w:p>
        </w:tc>
        <w:tc>
          <w:tcPr>
            <w:tcW w:w="380" w:type="pct"/>
            <w:shd w:val="clear" w:color="auto" w:fill="auto"/>
            <w:vAlign w:val="center"/>
          </w:tcPr>
          <w:p w14:paraId="28F81E28">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w:t>
            </w:r>
            <w:r>
              <w:rPr>
                <w:rFonts w:hint="eastAsia" w:ascii="Times New Roman" w:hAnsi="Times New Roman" w:eastAsia="宋体" w:cs="Times New Roman"/>
                <w:i w:val="0"/>
                <w:iCs w:val="0"/>
                <w:color w:val="auto"/>
                <w:kern w:val="0"/>
                <w:sz w:val="21"/>
                <w:szCs w:val="21"/>
                <w:u w:val="none"/>
                <w:lang w:val="en-US" w:eastAsia="zh-CN" w:bidi="ar"/>
              </w:rPr>
              <w:t>9</w:t>
            </w:r>
          </w:p>
        </w:tc>
        <w:tc>
          <w:tcPr>
            <w:tcW w:w="445" w:type="pct"/>
            <w:shd w:val="clear" w:color="auto" w:fill="auto"/>
            <w:vAlign w:val="center"/>
          </w:tcPr>
          <w:p w14:paraId="6F61B3C2">
            <w:pPr>
              <w:jc w:val="center"/>
              <w:rPr>
                <w:rFonts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bidi="ar"/>
              </w:rPr>
              <w:t>0.122</w:t>
            </w:r>
          </w:p>
        </w:tc>
        <w:tc>
          <w:tcPr>
            <w:tcW w:w="630" w:type="pct"/>
            <w:vMerge w:val="continue"/>
            <w:vAlign w:val="center"/>
          </w:tcPr>
          <w:p w14:paraId="643F553F">
            <w:pPr>
              <w:jc w:val="center"/>
              <w:rPr>
                <w:rFonts w:eastAsia="仿宋_GB2312"/>
                <w:color w:val="auto"/>
                <w:szCs w:val="21"/>
              </w:rPr>
            </w:pPr>
          </w:p>
        </w:tc>
        <w:tc>
          <w:tcPr>
            <w:tcW w:w="292" w:type="pct"/>
            <w:vMerge w:val="continue"/>
            <w:vAlign w:val="center"/>
          </w:tcPr>
          <w:p w14:paraId="423FACF5">
            <w:pPr>
              <w:jc w:val="center"/>
              <w:rPr>
                <w:rFonts w:eastAsia="仿宋_GB2312"/>
                <w:color w:val="auto"/>
                <w:szCs w:val="21"/>
              </w:rPr>
            </w:pPr>
          </w:p>
        </w:tc>
      </w:tr>
      <w:tr w14:paraId="76A39E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652766ED">
            <w:pPr>
              <w:jc w:val="center"/>
              <w:rPr>
                <w:rFonts w:eastAsia="仿宋_GB2312"/>
                <w:color w:val="auto"/>
                <w:szCs w:val="21"/>
              </w:rPr>
            </w:pPr>
          </w:p>
        </w:tc>
        <w:tc>
          <w:tcPr>
            <w:tcW w:w="358" w:type="pct"/>
            <w:vMerge w:val="continue"/>
            <w:vAlign w:val="center"/>
          </w:tcPr>
          <w:p w14:paraId="3EDF21D4">
            <w:pPr>
              <w:jc w:val="center"/>
              <w:rPr>
                <w:rFonts w:eastAsia="仿宋_GB2312"/>
                <w:color w:val="auto"/>
                <w:szCs w:val="21"/>
              </w:rPr>
            </w:pPr>
          </w:p>
        </w:tc>
        <w:tc>
          <w:tcPr>
            <w:tcW w:w="418" w:type="pct"/>
            <w:vMerge w:val="restart"/>
            <w:vAlign w:val="center"/>
          </w:tcPr>
          <w:p w14:paraId="216B9C5F">
            <w:pPr>
              <w:jc w:val="center"/>
              <w:rPr>
                <w:rFonts w:eastAsia="仿宋_GB2312"/>
                <w:color w:val="auto"/>
                <w:szCs w:val="21"/>
              </w:rPr>
            </w:pPr>
            <w:r>
              <w:rPr>
                <w:rFonts w:eastAsia="仿宋_GB2312"/>
                <w:color w:val="auto"/>
                <w:kern w:val="0"/>
                <w:szCs w:val="21"/>
                <w:lang w:bidi="ar"/>
              </w:rPr>
              <w:t>G</w:t>
            </w:r>
            <w:r>
              <w:rPr>
                <w:rFonts w:hint="eastAsia" w:eastAsia="仿宋_GB2312"/>
                <w:color w:val="auto"/>
                <w:kern w:val="0"/>
                <w:szCs w:val="21"/>
                <w:lang w:val="en-US" w:eastAsia="zh-CN" w:bidi="ar"/>
              </w:rPr>
              <w:t>2</w:t>
            </w:r>
            <w:r>
              <w:rPr>
                <w:rFonts w:eastAsia="仿宋_GB2312"/>
                <w:color w:val="auto"/>
                <w:kern w:val="0"/>
                <w:szCs w:val="21"/>
                <w:lang w:bidi="ar"/>
              </w:rPr>
              <w:t>-</w:t>
            </w:r>
            <w:r>
              <w:rPr>
                <w:rFonts w:hint="eastAsia" w:eastAsia="仿宋_GB2312"/>
                <w:color w:val="auto"/>
                <w:kern w:val="0"/>
                <w:szCs w:val="21"/>
                <w:lang w:val="en-US" w:eastAsia="zh-CN" w:bidi="ar"/>
              </w:rPr>
              <w:t>5</w:t>
            </w:r>
            <w:r>
              <w:rPr>
                <w:rFonts w:eastAsia="仿宋_GB2312"/>
                <w:color w:val="auto"/>
                <w:kern w:val="0"/>
                <w:szCs w:val="21"/>
                <w:lang w:bidi="ar"/>
              </w:rPr>
              <w:t>-4</w:t>
            </w:r>
          </w:p>
        </w:tc>
        <w:tc>
          <w:tcPr>
            <w:tcW w:w="446" w:type="pct"/>
            <w:vMerge w:val="restart"/>
            <w:vAlign w:val="center"/>
          </w:tcPr>
          <w:p w14:paraId="1ECCB120">
            <w:pPr>
              <w:jc w:val="center"/>
              <w:rPr>
                <w:rFonts w:eastAsia="仿宋_GB2312"/>
                <w:color w:val="auto"/>
                <w:szCs w:val="21"/>
              </w:rPr>
            </w:pPr>
            <w:r>
              <w:rPr>
                <w:rFonts w:eastAsia="仿宋_GB2312"/>
                <w:color w:val="auto"/>
                <w:kern w:val="0"/>
                <w:szCs w:val="21"/>
                <w:lang w:bidi="ar"/>
              </w:rPr>
              <w:t>不凝气</w:t>
            </w:r>
          </w:p>
        </w:tc>
        <w:tc>
          <w:tcPr>
            <w:tcW w:w="361" w:type="pct"/>
            <w:vMerge w:val="restart"/>
            <w:vAlign w:val="center"/>
          </w:tcPr>
          <w:p w14:paraId="6D3CFC9A">
            <w:pPr>
              <w:jc w:val="center"/>
              <w:rPr>
                <w:rFonts w:hint="default" w:eastAsia="仿宋_GB2312"/>
                <w:color w:val="auto"/>
                <w:szCs w:val="21"/>
                <w:lang w:val="en-US" w:eastAsia="zh-CN"/>
              </w:rPr>
            </w:pPr>
            <w:r>
              <w:rPr>
                <w:rFonts w:hint="eastAsia" w:eastAsia="仿宋_GB2312"/>
                <w:color w:val="auto"/>
                <w:szCs w:val="21"/>
                <w:lang w:val="en-US" w:eastAsia="zh-CN"/>
              </w:rPr>
              <w:t>360</w:t>
            </w:r>
          </w:p>
        </w:tc>
        <w:tc>
          <w:tcPr>
            <w:tcW w:w="498" w:type="pct"/>
            <w:vMerge w:val="restart"/>
            <w:shd w:val="clear" w:color="auto" w:fill="auto"/>
            <w:vAlign w:val="center"/>
          </w:tcPr>
          <w:p w14:paraId="1E2C8221">
            <w:pPr>
              <w:keepNext w:val="0"/>
              <w:keepLines w:val="0"/>
              <w:widowControl/>
              <w:suppressLineNumbers w:val="0"/>
              <w:jc w:val="center"/>
              <w:textAlignment w:val="bottom"/>
              <w:rPr>
                <w:rFonts w:eastAsia="仿宋_GB2312"/>
                <w:color w:val="auto"/>
                <w:kern w:val="0"/>
                <w:szCs w:val="21"/>
                <w:lang w:val="zh-CN"/>
              </w:rPr>
            </w:pPr>
            <w:r>
              <w:rPr>
                <w:rFonts w:hint="default" w:ascii="Times New Roman" w:hAnsi="Times New Roman" w:eastAsia="宋体" w:cs="Times New Roman"/>
                <w:i w:val="0"/>
                <w:iCs w:val="0"/>
                <w:color w:val="auto"/>
                <w:kern w:val="0"/>
                <w:sz w:val="21"/>
                <w:szCs w:val="21"/>
                <w:u w:val="none"/>
                <w:lang w:val="en-US" w:eastAsia="zh-CN" w:bidi="ar"/>
              </w:rPr>
              <w:t>1356</w:t>
            </w:r>
          </w:p>
        </w:tc>
        <w:tc>
          <w:tcPr>
            <w:tcW w:w="820" w:type="pct"/>
            <w:shd w:val="clear" w:color="auto" w:fill="auto"/>
            <w:vAlign w:val="center"/>
          </w:tcPr>
          <w:p w14:paraId="4244379D">
            <w:pPr>
              <w:widowControl/>
              <w:jc w:val="center"/>
              <w:textAlignment w:val="center"/>
              <w:rPr>
                <w:rFonts w:ascii="Times New Roman" w:hAnsi="Times New Roman" w:eastAsia="仿宋_GB2312" w:cs="Times New Roman"/>
                <w:b/>
                <w:bCs/>
                <w:color w:val="auto"/>
                <w:kern w:val="0"/>
                <w:sz w:val="21"/>
                <w:szCs w:val="21"/>
                <w:lang w:val="zh-CN" w:eastAsia="zh-CN" w:bidi="ar"/>
              </w:rPr>
            </w:pPr>
            <w:r>
              <w:rPr>
                <w:rFonts w:eastAsia="仿宋_GB2312"/>
                <w:color w:val="auto"/>
                <w:kern w:val="0"/>
                <w:szCs w:val="21"/>
                <w:lang w:val="zh-CN"/>
              </w:rPr>
              <w:t>二氯乙烷</w:t>
            </w:r>
          </w:p>
        </w:tc>
        <w:tc>
          <w:tcPr>
            <w:tcW w:w="380" w:type="pct"/>
            <w:shd w:val="clear" w:color="auto" w:fill="auto"/>
            <w:vAlign w:val="center"/>
          </w:tcPr>
          <w:p w14:paraId="381C46C2">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0.036</w:t>
            </w:r>
          </w:p>
        </w:tc>
        <w:tc>
          <w:tcPr>
            <w:tcW w:w="445" w:type="pct"/>
            <w:shd w:val="clear" w:color="auto" w:fill="auto"/>
            <w:vAlign w:val="center"/>
          </w:tcPr>
          <w:p w14:paraId="7F60EF01">
            <w:pPr>
              <w:jc w:val="center"/>
              <w:rPr>
                <w:rFonts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bidi="ar"/>
              </w:rPr>
              <w:t>0.049</w:t>
            </w:r>
          </w:p>
        </w:tc>
        <w:tc>
          <w:tcPr>
            <w:tcW w:w="630" w:type="pct"/>
            <w:vMerge w:val="continue"/>
            <w:vAlign w:val="center"/>
          </w:tcPr>
          <w:p w14:paraId="1A220359">
            <w:pPr>
              <w:jc w:val="center"/>
              <w:rPr>
                <w:rFonts w:eastAsia="仿宋_GB2312"/>
                <w:color w:val="auto"/>
                <w:szCs w:val="21"/>
              </w:rPr>
            </w:pPr>
          </w:p>
        </w:tc>
        <w:tc>
          <w:tcPr>
            <w:tcW w:w="292" w:type="pct"/>
            <w:vMerge w:val="continue"/>
            <w:vAlign w:val="center"/>
          </w:tcPr>
          <w:p w14:paraId="6A17AF95">
            <w:pPr>
              <w:jc w:val="center"/>
              <w:rPr>
                <w:rFonts w:eastAsia="仿宋_GB2312"/>
                <w:color w:val="auto"/>
                <w:szCs w:val="21"/>
              </w:rPr>
            </w:pPr>
          </w:p>
        </w:tc>
      </w:tr>
      <w:tr w14:paraId="3390F9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399B3DB7">
            <w:pPr>
              <w:jc w:val="center"/>
              <w:rPr>
                <w:rFonts w:eastAsia="仿宋_GB2312"/>
                <w:color w:val="auto"/>
                <w:szCs w:val="21"/>
              </w:rPr>
            </w:pPr>
          </w:p>
        </w:tc>
        <w:tc>
          <w:tcPr>
            <w:tcW w:w="358" w:type="pct"/>
            <w:vMerge w:val="continue"/>
            <w:vAlign w:val="center"/>
          </w:tcPr>
          <w:p w14:paraId="35708650">
            <w:pPr>
              <w:jc w:val="center"/>
              <w:rPr>
                <w:rFonts w:eastAsia="仿宋_GB2312"/>
                <w:color w:val="auto"/>
                <w:szCs w:val="21"/>
              </w:rPr>
            </w:pPr>
          </w:p>
        </w:tc>
        <w:tc>
          <w:tcPr>
            <w:tcW w:w="418" w:type="pct"/>
            <w:vMerge w:val="continue"/>
            <w:vAlign w:val="center"/>
          </w:tcPr>
          <w:p w14:paraId="645B80AD">
            <w:pPr>
              <w:jc w:val="center"/>
              <w:rPr>
                <w:rFonts w:eastAsia="仿宋_GB2312"/>
                <w:color w:val="auto"/>
                <w:szCs w:val="21"/>
              </w:rPr>
            </w:pPr>
          </w:p>
        </w:tc>
        <w:tc>
          <w:tcPr>
            <w:tcW w:w="446" w:type="pct"/>
            <w:vMerge w:val="continue"/>
            <w:vAlign w:val="center"/>
          </w:tcPr>
          <w:p w14:paraId="3FD801FC">
            <w:pPr>
              <w:jc w:val="center"/>
              <w:rPr>
                <w:rFonts w:eastAsia="仿宋_GB2312"/>
                <w:color w:val="auto"/>
                <w:szCs w:val="21"/>
              </w:rPr>
            </w:pPr>
          </w:p>
        </w:tc>
        <w:tc>
          <w:tcPr>
            <w:tcW w:w="361" w:type="pct"/>
            <w:vMerge w:val="continue"/>
            <w:vAlign w:val="center"/>
          </w:tcPr>
          <w:p w14:paraId="57DFEAEF">
            <w:pPr>
              <w:jc w:val="center"/>
              <w:rPr>
                <w:rFonts w:eastAsia="仿宋_GB2312"/>
                <w:color w:val="auto"/>
                <w:szCs w:val="21"/>
              </w:rPr>
            </w:pPr>
          </w:p>
        </w:tc>
        <w:tc>
          <w:tcPr>
            <w:tcW w:w="498" w:type="pct"/>
            <w:vMerge w:val="continue"/>
            <w:shd w:val="clear" w:color="auto" w:fill="auto"/>
            <w:vAlign w:val="center"/>
          </w:tcPr>
          <w:p w14:paraId="036A5B7F">
            <w:pPr>
              <w:keepNext w:val="0"/>
              <w:keepLines w:val="0"/>
              <w:widowControl/>
              <w:suppressLineNumbers w:val="0"/>
              <w:jc w:val="center"/>
              <w:textAlignment w:val="bottom"/>
              <w:rPr>
                <w:rFonts w:eastAsia="仿宋_GB2312"/>
                <w:color w:val="auto"/>
                <w:kern w:val="0"/>
                <w:szCs w:val="21"/>
                <w:lang w:bidi="ar"/>
              </w:rPr>
            </w:pPr>
          </w:p>
        </w:tc>
        <w:tc>
          <w:tcPr>
            <w:tcW w:w="820" w:type="pct"/>
            <w:shd w:val="clear" w:color="auto" w:fill="auto"/>
            <w:vAlign w:val="center"/>
          </w:tcPr>
          <w:p w14:paraId="0C993660">
            <w:pPr>
              <w:widowControl/>
              <w:jc w:val="center"/>
              <w:textAlignment w:val="center"/>
              <w:rPr>
                <w:rFonts w:ascii="Times New Roman" w:hAnsi="Times New Roman" w:eastAsia="仿宋_GB2312" w:cs="Times New Roman"/>
                <w:color w:val="auto"/>
                <w:kern w:val="0"/>
                <w:sz w:val="21"/>
                <w:szCs w:val="21"/>
                <w:lang w:val="zh-CN" w:eastAsia="zh-CN" w:bidi="ar"/>
              </w:rPr>
            </w:pPr>
            <w:r>
              <w:rPr>
                <w:rFonts w:eastAsia="仿宋_GB2312"/>
                <w:color w:val="auto"/>
                <w:kern w:val="0"/>
                <w:szCs w:val="21"/>
                <w:lang w:bidi="ar"/>
              </w:rPr>
              <w:t>环己酮</w:t>
            </w:r>
          </w:p>
        </w:tc>
        <w:tc>
          <w:tcPr>
            <w:tcW w:w="380" w:type="pct"/>
            <w:shd w:val="clear" w:color="auto" w:fill="auto"/>
            <w:vAlign w:val="center"/>
          </w:tcPr>
          <w:p w14:paraId="79ACD82D">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0.541</w:t>
            </w:r>
          </w:p>
        </w:tc>
        <w:tc>
          <w:tcPr>
            <w:tcW w:w="445" w:type="pct"/>
            <w:shd w:val="clear" w:color="auto" w:fill="auto"/>
            <w:vAlign w:val="center"/>
          </w:tcPr>
          <w:p w14:paraId="4AE44C77">
            <w:pPr>
              <w:jc w:val="center"/>
              <w:rPr>
                <w:rFonts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bidi="ar"/>
              </w:rPr>
              <w:t>0.734</w:t>
            </w:r>
          </w:p>
        </w:tc>
        <w:tc>
          <w:tcPr>
            <w:tcW w:w="630" w:type="pct"/>
            <w:vMerge w:val="continue"/>
            <w:vAlign w:val="center"/>
          </w:tcPr>
          <w:p w14:paraId="0D173E2F">
            <w:pPr>
              <w:jc w:val="center"/>
              <w:rPr>
                <w:rFonts w:eastAsia="仿宋_GB2312"/>
                <w:color w:val="auto"/>
                <w:szCs w:val="21"/>
              </w:rPr>
            </w:pPr>
          </w:p>
        </w:tc>
        <w:tc>
          <w:tcPr>
            <w:tcW w:w="292" w:type="pct"/>
            <w:vMerge w:val="continue"/>
            <w:vAlign w:val="center"/>
          </w:tcPr>
          <w:p w14:paraId="0AE8002B">
            <w:pPr>
              <w:jc w:val="center"/>
              <w:rPr>
                <w:rFonts w:eastAsia="仿宋_GB2312"/>
                <w:color w:val="auto"/>
                <w:szCs w:val="21"/>
              </w:rPr>
            </w:pPr>
          </w:p>
        </w:tc>
      </w:tr>
      <w:tr w14:paraId="5BFCF8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31B5C4DE">
            <w:pPr>
              <w:jc w:val="center"/>
              <w:rPr>
                <w:rFonts w:eastAsia="仿宋_GB2312"/>
                <w:color w:val="auto"/>
                <w:szCs w:val="21"/>
              </w:rPr>
            </w:pPr>
          </w:p>
        </w:tc>
        <w:tc>
          <w:tcPr>
            <w:tcW w:w="358" w:type="pct"/>
            <w:vMerge w:val="continue"/>
            <w:vAlign w:val="center"/>
          </w:tcPr>
          <w:p w14:paraId="44F05AAB">
            <w:pPr>
              <w:jc w:val="center"/>
              <w:rPr>
                <w:rFonts w:eastAsia="仿宋_GB2312"/>
                <w:color w:val="auto"/>
                <w:szCs w:val="21"/>
              </w:rPr>
            </w:pPr>
          </w:p>
        </w:tc>
        <w:tc>
          <w:tcPr>
            <w:tcW w:w="418" w:type="pct"/>
            <w:vMerge w:val="continue"/>
            <w:vAlign w:val="center"/>
          </w:tcPr>
          <w:p w14:paraId="11CA212B">
            <w:pPr>
              <w:jc w:val="center"/>
              <w:rPr>
                <w:rFonts w:eastAsia="仿宋_GB2312"/>
                <w:color w:val="auto"/>
                <w:szCs w:val="21"/>
              </w:rPr>
            </w:pPr>
          </w:p>
        </w:tc>
        <w:tc>
          <w:tcPr>
            <w:tcW w:w="446" w:type="pct"/>
            <w:vMerge w:val="continue"/>
            <w:vAlign w:val="center"/>
          </w:tcPr>
          <w:p w14:paraId="72A13C25">
            <w:pPr>
              <w:jc w:val="center"/>
              <w:rPr>
                <w:rFonts w:eastAsia="仿宋_GB2312"/>
                <w:color w:val="auto"/>
                <w:szCs w:val="21"/>
              </w:rPr>
            </w:pPr>
          </w:p>
        </w:tc>
        <w:tc>
          <w:tcPr>
            <w:tcW w:w="361" w:type="pct"/>
            <w:vMerge w:val="continue"/>
            <w:vAlign w:val="center"/>
          </w:tcPr>
          <w:p w14:paraId="6A40BB2A">
            <w:pPr>
              <w:jc w:val="center"/>
              <w:rPr>
                <w:rFonts w:eastAsia="仿宋_GB2312"/>
                <w:color w:val="auto"/>
                <w:szCs w:val="21"/>
              </w:rPr>
            </w:pPr>
          </w:p>
        </w:tc>
        <w:tc>
          <w:tcPr>
            <w:tcW w:w="498" w:type="pct"/>
            <w:vMerge w:val="continue"/>
            <w:shd w:val="clear" w:color="auto" w:fill="auto"/>
            <w:vAlign w:val="center"/>
          </w:tcPr>
          <w:p w14:paraId="77C51282">
            <w:pPr>
              <w:keepNext w:val="0"/>
              <w:keepLines w:val="0"/>
              <w:widowControl/>
              <w:suppressLineNumbers w:val="0"/>
              <w:jc w:val="center"/>
              <w:textAlignment w:val="bottom"/>
              <w:rPr>
                <w:rFonts w:eastAsia="仿宋_GB2312"/>
                <w:color w:val="auto"/>
                <w:kern w:val="0"/>
                <w:szCs w:val="21"/>
                <w:lang w:bidi="ar"/>
              </w:rPr>
            </w:pPr>
          </w:p>
        </w:tc>
        <w:tc>
          <w:tcPr>
            <w:tcW w:w="820" w:type="pct"/>
            <w:shd w:val="clear" w:color="auto" w:fill="auto"/>
            <w:vAlign w:val="center"/>
          </w:tcPr>
          <w:p w14:paraId="6D5CB81B">
            <w:pPr>
              <w:widowControl/>
              <w:jc w:val="center"/>
              <w:textAlignment w:val="center"/>
              <w:rPr>
                <w:rFonts w:ascii="Times New Roman" w:hAnsi="Times New Roman" w:eastAsia="仿宋_GB2312" w:cs="Times New Roman"/>
                <w:b/>
                <w:bCs/>
                <w:color w:val="auto"/>
                <w:kern w:val="0"/>
                <w:sz w:val="21"/>
                <w:szCs w:val="21"/>
                <w:lang w:val="en-US" w:eastAsia="zh-CN" w:bidi="ar"/>
              </w:rPr>
            </w:pPr>
            <w:r>
              <w:rPr>
                <w:rFonts w:eastAsia="仿宋_GB2312"/>
                <w:color w:val="auto"/>
                <w:kern w:val="0"/>
                <w:szCs w:val="21"/>
                <w:lang w:bidi="ar"/>
              </w:rPr>
              <w:t>其他有机物</w:t>
            </w:r>
          </w:p>
        </w:tc>
        <w:tc>
          <w:tcPr>
            <w:tcW w:w="380" w:type="pct"/>
            <w:shd w:val="clear" w:color="auto" w:fill="auto"/>
            <w:vAlign w:val="center"/>
          </w:tcPr>
          <w:p w14:paraId="608F2F53">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0.225</w:t>
            </w:r>
          </w:p>
        </w:tc>
        <w:tc>
          <w:tcPr>
            <w:tcW w:w="445" w:type="pct"/>
            <w:shd w:val="clear" w:color="auto" w:fill="auto"/>
            <w:vAlign w:val="center"/>
          </w:tcPr>
          <w:p w14:paraId="551E7A1F">
            <w:pPr>
              <w:jc w:val="center"/>
              <w:rPr>
                <w:rFonts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bidi="ar"/>
              </w:rPr>
              <w:t>0.306</w:t>
            </w:r>
          </w:p>
        </w:tc>
        <w:tc>
          <w:tcPr>
            <w:tcW w:w="630" w:type="pct"/>
            <w:vMerge w:val="continue"/>
            <w:vAlign w:val="center"/>
          </w:tcPr>
          <w:p w14:paraId="1F2B3A23">
            <w:pPr>
              <w:jc w:val="center"/>
              <w:rPr>
                <w:rFonts w:eastAsia="仿宋_GB2312"/>
                <w:color w:val="auto"/>
                <w:szCs w:val="21"/>
              </w:rPr>
            </w:pPr>
          </w:p>
        </w:tc>
        <w:tc>
          <w:tcPr>
            <w:tcW w:w="292" w:type="pct"/>
            <w:vMerge w:val="continue"/>
            <w:vAlign w:val="center"/>
          </w:tcPr>
          <w:p w14:paraId="5A0B34AC">
            <w:pPr>
              <w:jc w:val="center"/>
              <w:rPr>
                <w:rFonts w:eastAsia="仿宋_GB2312"/>
                <w:color w:val="auto"/>
                <w:szCs w:val="21"/>
              </w:rPr>
            </w:pPr>
          </w:p>
        </w:tc>
      </w:tr>
      <w:tr w14:paraId="3A4F27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6FE058D0">
            <w:pPr>
              <w:jc w:val="center"/>
              <w:rPr>
                <w:rFonts w:eastAsia="仿宋_GB2312"/>
                <w:color w:val="auto"/>
                <w:szCs w:val="21"/>
              </w:rPr>
            </w:pPr>
          </w:p>
        </w:tc>
        <w:tc>
          <w:tcPr>
            <w:tcW w:w="358" w:type="pct"/>
            <w:vMerge w:val="continue"/>
            <w:vAlign w:val="center"/>
          </w:tcPr>
          <w:p w14:paraId="7BD66B59">
            <w:pPr>
              <w:jc w:val="center"/>
              <w:rPr>
                <w:rFonts w:eastAsia="仿宋_GB2312"/>
                <w:color w:val="auto"/>
                <w:szCs w:val="21"/>
              </w:rPr>
            </w:pPr>
          </w:p>
        </w:tc>
        <w:tc>
          <w:tcPr>
            <w:tcW w:w="418" w:type="pct"/>
            <w:vMerge w:val="restart"/>
            <w:vAlign w:val="center"/>
          </w:tcPr>
          <w:p w14:paraId="77EFE986">
            <w:pPr>
              <w:jc w:val="center"/>
              <w:rPr>
                <w:rFonts w:eastAsia="仿宋_GB2312"/>
                <w:color w:val="auto"/>
                <w:szCs w:val="21"/>
              </w:rPr>
            </w:pPr>
            <w:r>
              <w:rPr>
                <w:rFonts w:eastAsia="仿宋_GB2312"/>
                <w:color w:val="auto"/>
                <w:kern w:val="0"/>
                <w:szCs w:val="21"/>
                <w:lang w:bidi="ar"/>
              </w:rPr>
              <w:t>G</w:t>
            </w:r>
            <w:r>
              <w:rPr>
                <w:rFonts w:hint="eastAsia" w:eastAsia="仿宋_GB2312"/>
                <w:color w:val="auto"/>
                <w:kern w:val="0"/>
                <w:szCs w:val="21"/>
                <w:lang w:val="en-US" w:eastAsia="zh-CN" w:bidi="ar"/>
              </w:rPr>
              <w:t>2</w:t>
            </w:r>
            <w:r>
              <w:rPr>
                <w:rFonts w:eastAsia="仿宋_GB2312"/>
                <w:color w:val="auto"/>
                <w:kern w:val="0"/>
                <w:szCs w:val="21"/>
                <w:lang w:bidi="ar"/>
              </w:rPr>
              <w:t>-</w:t>
            </w:r>
            <w:r>
              <w:rPr>
                <w:rFonts w:hint="eastAsia" w:eastAsia="仿宋_GB2312"/>
                <w:color w:val="auto"/>
                <w:kern w:val="0"/>
                <w:szCs w:val="21"/>
                <w:lang w:val="en-US" w:eastAsia="zh-CN" w:bidi="ar"/>
              </w:rPr>
              <w:t>5</w:t>
            </w:r>
            <w:r>
              <w:rPr>
                <w:rFonts w:eastAsia="仿宋_GB2312"/>
                <w:color w:val="auto"/>
                <w:kern w:val="0"/>
                <w:szCs w:val="21"/>
                <w:lang w:bidi="ar"/>
              </w:rPr>
              <w:t>-5</w:t>
            </w:r>
          </w:p>
        </w:tc>
        <w:tc>
          <w:tcPr>
            <w:tcW w:w="446" w:type="pct"/>
            <w:vMerge w:val="restart"/>
            <w:vAlign w:val="center"/>
          </w:tcPr>
          <w:p w14:paraId="6E5A3F21">
            <w:pPr>
              <w:jc w:val="center"/>
              <w:rPr>
                <w:rFonts w:eastAsia="仿宋_GB2312"/>
                <w:color w:val="auto"/>
                <w:szCs w:val="21"/>
              </w:rPr>
            </w:pPr>
            <w:r>
              <w:rPr>
                <w:rFonts w:eastAsia="仿宋_GB2312"/>
                <w:color w:val="auto"/>
                <w:kern w:val="0"/>
                <w:szCs w:val="21"/>
                <w:lang w:bidi="ar"/>
              </w:rPr>
              <w:t>灌装废气</w:t>
            </w:r>
          </w:p>
        </w:tc>
        <w:tc>
          <w:tcPr>
            <w:tcW w:w="361" w:type="pct"/>
            <w:vMerge w:val="restart"/>
            <w:vAlign w:val="center"/>
          </w:tcPr>
          <w:p w14:paraId="42E06A59">
            <w:pPr>
              <w:jc w:val="center"/>
              <w:rPr>
                <w:rFonts w:hint="default" w:eastAsia="仿宋_GB2312"/>
                <w:color w:val="auto"/>
                <w:szCs w:val="21"/>
                <w:lang w:val="en-US" w:eastAsia="zh-CN"/>
              </w:rPr>
            </w:pPr>
            <w:r>
              <w:rPr>
                <w:rFonts w:hint="eastAsia" w:eastAsia="仿宋_GB2312"/>
                <w:color w:val="auto"/>
                <w:szCs w:val="21"/>
                <w:lang w:val="en-US" w:eastAsia="zh-CN"/>
              </w:rPr>
              <w:t>2000</w:t>
            </w:r>
          </w:p>
        </w:tc>
        <w:tc>
          <w:tcPr>
            <w:tcW w:w="498" w:type="pct"/>
            <w:vMerge w:val="restart"/>
            <w:shd w:val="clear" w:color="auto" w:fill="auto"/>
            <w:vAlign w:val="center"/>
          </w:tcPr>
          <w:p w14:paraId="24B9EF35">
            <w:pPr>
              <w:keepNext w:val="0"/>
              <w:keepLines w:val="0"/>
              <w:widowControl/>
              <w:suppressLineNumbers w:val="0"/>
              <w:jc w:val="center"/>
              <w:textAlignment w:val="bottom"/>
              <w:rPr>
                <w:rFonts w:eastAsia="仿宋_GB2312"/>
                <w:color w:val="auto"/>
                <w:kern w:val="0"/>
                <w:szCs w:val="21"/>
                <w:lang w:val="zh-CN"/>
              </w:rPr>
            </w:pPr>
            <w:r>
              <w:rPr>
                <w:rFonts w:hint="default" w:ascii="Times New Roman" w:hAnsi="Times New Roman" w:eastAsia="宋体" w:cs="Times New Roman"/>
                <w:i w:val="0"/>
                <w:iCs w:val="0"/>
                <w:color w:val="auto"/>
                <w:kern w:val="0"/>
                <w:sz w:val="21"/>
                <w:szCs w:val="21"/>
                <w:u w:val="none"/>
                <w:lang w:val="en-US" w:eastAsia="zh-CN" w:bidi="ar"/>
              </w:rPr>
              <w:t>678</w:t>
            </w:r>
          </w:p>
        </w:tc>
        <w:tc>
          <w:tcPr>
            <w:tcW w:w="820" w:type="pct"/>
            <w:shd w:val="clear" w:color="auto" w:fill="auto"/>
            <w:vAlign w:val="center"/>
          </w:tcPr>
          <w:p w14:paraId="662968AC">
            <w:pPr>
              <w:widowControl/>
              <w:jc w:val="center"/>
              <w:textAlignment w:val="center"/>
              <w:rPr>
                <w:rFonts w:ascii="Times New Roman" w:hAnsi="Times New Roman" w:eastAsia="仿宋_GB2312" w:cs="Times New Roman"/>
                <w:b/>
                <w:bCs/>
                <w:color w:val="auto"/>
                <w:kern w:val="0"/>
                <w:sz w:val="21"/>
                <w:szCs w:val="21"/>
                <w:lang w:val="zh-CN" w:eastAsia="zh-CN" w:bidi="ar"/>
              </w:rPr>
            </w:pPr>
            <w:r>
              <w:rPr>
                <w:rFonts w:eastAsia="仿宋_GB2312"/>
                <w:color w:val="auto"/>
                <w:kern w:val="0"/>
                <w:szCs w:val="21"/>
                <w:lang w:val="zh-CN"/>
              </w:rPr>
              <w:t>二氯乙烷</w:t>
            </w:r>
          </w:p>
        </w:tc>
        <w:tc>
          <w:tcPr>
            <w:tcW w:w="380" w:type="pct"/>
            <w:shd w:val="clear" w:color="auto" w:fill="auto"/>
            <w:vAlign w:val="center"/>
          </w:tcPr>
          <w:p w14:paraId="160618D3">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3.716</w:t>
            </w:r>
          </w:p>
        </w:tc>
        <w:tc>
          <w:tcPr>
            <w:tcW w:w="445" w:type="pct"/>
            <w:shd w:val="clear" w:color="auto" w:fill="auto"/>
            <w:vAlign w:val="center"/>
          </w:tcPr>
          <w:p w14:paraId="5EC06B14">
            <w:pPr>
              <w:widowControl/>
              <w:jc w:val="center"/>
              <w:textAlignment w:val="center"/>
              <w:rPr>
                <w:rFonts w:ascii="Times New Roman" w:hAnsi="Times New Roman" w:eastAsia="仿宋_GB2312" w:cs="Times New Roman"/>
                <w:color w:val="auto"/>
                <w:kern w:val="0"/>
                <w:sz w:val="21"/>
                <w:szCs w:val="21"/>
                <w:lang w:val="en-US" w:eastAsia="zh-CN" w:bidi="ar"/>
              </w:rPr>
            </w:pPr>
            <w:r>
              <w:rPr>
                <w:rFonts w:hint="eastAsia" w:ascii="Times New Roman" w:hAnsi="Times New Roman" w:eastAsia="仿宋_GB2312" w:cs="Times New Roman"/>
                <w:color w:val="auto"/>
                <w:kern w:val="0"/>
                <w:szCs w:val="21"/>
                <w:lang w:val="en-US" w:eastAsia="zh-CN" w:bidi="ar"/>
              </w:rPr>
              <w:t>2.5196</w:t>
            </w:r>
          </w:p>
        </w:tc>
        <w:tc>
          <w:tcPr>
            <w:tcW w:w="630" w:type="pct"/>
            <w:vMerge w:val="restart"/>
            <w:shd w:val="clear" w:color="auto" w:fill="auto"/>
            <w:vAlign w:val="center"/>
          </w:tcPr>
          <w:p w14:paraId="75B45D44">
            <w:pPr>
              <w:jc w:val="center"/>
              <w:rPr>
                <w:rFonts w:ascii="Times New Roman" w:hAnsi="Times New Roman" w:eastAsia="仿宋_GB2312" w:cs="Times New Roman"/>
                <w:color w:val="auto"/>
                <w:kern w:val="2"/>
                <w:sz w:val="21"/>
                <w:szCs w:val="24"/>
                <w:lang w:val="en-US" w:eastAsia="zh-CN" w:bidi="ar-SA"/>
              </w:rPr>
            </w:pPr>
            <w:r>
              <w:rPr>
                <w:rFonts w:hint="eastAsia" w:eastAsia="仿宋_GB2312"/>
                <w:color w:val="auto"/>
                <w:szCs w:val="21"/>
              </w:rPr>
              <w:t>冷凝+酸吸收+碱吸收+水洗+活性炭吸附/脱附</w:t>
            </w:r>
          </w:p>
        </w:tc>
        <w:tc>
          <w:tcPr>
            <w:tcW w:w="292" w:type="pct"/>
            <w:vMerge w:val="restart"/>
            <w:shd w:val="clear" w:color="auto" w:fill="auto"/>
            <w:vAlign w:val="center"/>
          </w:tcPr>
          <w:p w14:paraId="7A963328">
            <w:pPr>
              <w:jc w:val="center"/>
              <w:rPr>
                <w:rFonts w:ascii="Times New Roman" w:hAnsi="Times New Roman" w:eastAsia="仿宋_GB2312" w:cs="Times New Roman"/>
                <w:color w:val="auto"/>
                <w:kern w:val="2"/>
                <w:sz w:val="21"/>
                <w:szCs w:val="24"/>
                <w:lang w:val="en-US" w:eastAsia="zh-CN" w:bidi="ar-SA"/>
              </w:rPr>
            </w:pPr>
            <w:r>
              <w:rPr>
                <w:rFonts w:hint="eastAsia" w:eastAsia="仿宋_GB2312"/>
                <w:color w:val="auto"/>
              </w:rPr>
              <w:t>DA005</w:t>
            </w:r>
          </w:p>
        </w:tc>
      </w:tr>
      <w:tr w14:paraId="5C8D51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419B14A4">
            <w:pPr>
              <w:jc w:val="center"/>
              <w:rPr>
                <w:rFonts w:eastAsia="仿宋_GB2312"/>
                <w:color w:val="auto"/>
                <w:szCs w:val="21"/>
              </w:rPr>
            </w:pPr>
          </w:p>
        </w:tc>
        <w:tc>
          <w:tcPr>
            <w:tcW w:w="358" w:type="pct"/>
            <w:vMerge w:val="continue"/>
            <w:vAlign w:val="center"/>
          </w:tcPr>
          <w:p w14:paraId="07593DDB">
            <w:pPr>
              <w:jc w:val="center"/>
              <w:rPr>
                <w:rFonts w:eastAsia="仿宋_GB2312"/>
                <w:color w:val="auto"/>
                <w:szCs w:val="21"/>
              </w:rPr>
            </w:pPr>
          </w:p>
        </w:tc>
        <w:tc>
          <w:tcPr>
            <w:tcW w:w="418" w:type="pct"/>
            <w:vMerge w:val="continue"/>
            <w:vAlign w:val="center"/>
          </w:tcPr>
          <w:p w14:paraId="1139C13A">
            <w:pPr>
              <w:jc w:val="center"/>
              <w:rPr>
                <w:rFonts w:eastAsia="仿宋_GB2312"/>
                <w:color w:val="auto"/>
                <w:szCs w:val="21"/>
              </w:rPr>
            </w:pPr>
          </w:p>
        </w:tc>
        <w:tc>
          <w:tcPr>
            <w:tcW w:w="446" w:type="pct"/>
            <w:vMerge w:val="continue"/>
            <w:vAlign w:val="center"/>
          </w:tcPr>
          <w:p w14:paraId="03A400C9">
            <w:pPr>
              <w:jc w:val="center"/>
              <w:rPr>
                <w:rFonts w:eastAsia="仿宋_GB2312"/>
                <w:color w:val="auto"/>
                <w:szCs w:val="21"/>
              </w:rPr>
            </w:pPr>
          </w:p>
        </w:tc>
        <w:tc>
          <w:tcPr>
            <w:tcW w:w="361" w:type="pct"/>
            <w:vMerge w:val="continue"/>
            <w:vAlign w:val="center"/>
          </w:tcPr>
          <w:p w14:paraId="056CA7CF">
            <w:pPr>
              <w:jc w:val="center"/>
              <w:rPr>
                <w:rFonts w:eastAsia="仿宋_GB2312"/>
                <w:color w:val="auto"/>
                <w:szCs w:val="21"/>
              </w:rPr>
            </w:pPr>
          </w:p>
        </w:tc>
        <w:tc>
          <w:tcPr>
            <w:tcW w:w="498" w:type="pct"/>
            <w:vMerge w:val="continue"/>
            <w:shd w:val="clear" w:color="auto" w:fill="auto"/>
            <w:vAlign w:val="center"/>
          </w:tcPr>
          <w:p w14:paraId="0B71B432">
            <w:pPr>
              <w:keepNext w:val="0"/>
              <w:keepLines w:val="0"/>
              <w:widowControl/>
              <w:suppressLineNumbers w:val="0"/>
              <w:jc w:val="center"/>
              <w:textAlignment w:val="bottom"/>
              <w:rPr>
                <w:rFonts w:eastAsia="仿宋_GB2312"/>
                <w:color w:val="auto"/>
                <w:kern w:val="0"/>
                <w:szCs w:val="21"/>
                <w:lang w:bidi="ar"/>
              </w:rPr>
            </w:pPr>
          </w:p>
        </w:tc>
        <w:tc>
          <w:tcPr>
            <w:tcW w:w="820" w:type="pct"/>
            <w:shd w:val="clear" w:color="auto" w:fill="auto"/>
            <w:vAlign w:val="center"/>
          </w:tcPr>
          <w:p w14:paraId="661B0807">
            <w:pPr>
              <w:widowControl/>
              <w:jc w:val="center"/>
              <w:textAlignment w:val="center"/>
              <w:rPr>
                <w:rFonts w:ascii="Times New Roman" w:hAnsi="Times New Roman" w:eastAsia="仿宋_GB2312" w:cs="Times New Roman"/>
                <w:color w:val="auto"/>
                <w:kern w:val="0"/>
                <w:sz w:val="21"/>
                <w:szCs w:val="21"/>
                <w:lang w:val="zh-CN" w:eastAsia="zh-CN" w:bidi="ar"/>
              </w:rPr>
            </w:pPr>
            <w:r>
              <w:rPr>
                <w:rFonts w:eastAsia="仿宋_GB2312"/>
                <w:color w:val="auto"/>
                <w:kern w:val="0"/>
                <w:szCs w:val="21"/>
                <w:lang w:bidi="ar"/>
              </w:rPr>
              <w:t>环己酮</w:t>
            </w:r>
          </w:p>
        </w:tc>
        <w:tc>
          <w:tcPr>
            <w:tcW w:w="380" w:type="pct"/>
            <w:shd w:val="clear" w:color="auto" w:fill="auto"/>
            <w:vAlign w:val="center"/>
          </w:tcPr>
          <w:p w14:paraId="09C534FE">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0.0014</w:t>
            </w:r>
          </w:p>
        </w:tc>
        <w:tc>
          <w:tcPr>
            <w:tcW w:w="445" w:type="pct"/>
            <w:shd w:val="clear" w:color="auto" w:fill="auto"/>
            <w:vAlign w:val="center"/>
          </w:tcPr>
          <w:p w14:paraId="174D1C4F">
            <w:pPr>
              <w:widowControl/>
              <w:jc w:val="center"/>
              <w:textAlignment w:val="center"/>
              <w:rPr>
                <w:rFonts w:ascii="Times New Roman" w:hAnsi="Times New Roman" w:eastAsia="仿宋_GB2312" w:cs="Times New Roman"/>
                <w:color w:val="auto"/>
                <w:kern w:val="0"/>
                <w:sz w:val="21"/>
                <w:szCs w:val="21"/>
                <w:lang w:val="en-US" w:eastAsia="zh-CN" w:bidi="ar"/>
              </w:rPr>
            </w:pPr>
            <w:r>
              <w:rPr>
                <w:rFonts w:hint="eastAsia" w:ascii="Times New Roman" w:hAnsi="Times New Roman" w:eastAsia="仿宋_GB2312" w:cs="Times New Roman"/>
                <w:color w:val="auto"/>
                <w:kern w:val="0"/>
                <w:szCs w:val="21"/>
                <w:lang w:val="en-US" w:eastAsia="zh-CN" w:bidi="ar"/>
              </w:rPr>
              <w:t>0.00099</w:t>
            </w:r>
          </w:p>
        </w:tc>
        <w:tc>
          <w:tcPr>
            <w:tcW w:w="630" w:type="pct"/>
            <w:vMerge w:val="continue"/>
            <w:vAlign w:val="center"/>
          </w:tcPr>
          <w:p w14:paraId="1F4283F1">
            <w:pPr>
              <w:jc w:val="center"/>
              <w:rPr>
                <w:rFonts w:eastAsia="仿宋_GB2312"/>
                <w:color w:val="auto"/>
                <w:szCs w:val="21"/>
              </w:rPr>
            </w:pPr>
          </w:p>
        </w:tc>
        <w:tc>
          <w:tcPr>
            <w:tcW w:w="292" w:type="pct"/>
            <w:vMerge w:val="continue"/>
            <w:vAlign w:val="center"/>
          </w:tcPr>
          <w:p w14:paraId="25396EA6">
            <w:pPr>
              <w:jc w:val="center"/>
              <w:rPr>
                <w:rFonts w:eastAsia="仿宋_GB2312"/>
                <w:color w:val="auto"/>
                <w:szCs w:val="21"/>
              </w:rPr>
            </w:pPr>
          </w:p>
        </w:tc>
      </w:tr>
      <w:tr w14:paraId="278729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4FBF1C70">
            <w:pPr>
              <w:jc w:val="center"/>
              <w:rPr>
                <w:rFonts w:eastAsia="仿宋_GB2312"/>
                <w:color w:val="auto"/>
                <w:szCs w:val="21"/>
              </w:rPr>
            </w:pPr>
          </w:p>
        </w:tc>
        <w:tc>
          <w:tcPr>
            <w:tcW w:w="358" w:type="pct"/>
            <w:vMerge w:val="continue"/>
            <w:vAlign w:val="center"/>
          </w:tcPr>
          <w:p w14:paraId="09563B47">
            <w:pPr>
              <w:jc w:val="center"/>
              <w:rPr>
                <w:rFonts w:eastAsia="仿宋_GB2312"/>
                <w:color w:val="auto"/>
                <w:szCs w:val="21"/>
              </w:rPr>
            </w:pPr>
          </w:p>
        </w:tc>
        <w:tc>
          <w:tcPr>
            <w:tcW w:w="418" w:type="pct"/>
            <w:vMerge w:val="continue"/>
            <w:vAlign w:val="center"/>
          </w:tcPr>
          <w:p w14:paraId="5424867B">
            <w:pPr>
              <w:jc w:val="center"/>
              <w:rPr>
                <w:rFonts w:eastAsia="仿宋_GB2312"/>
                <w:color w:val="auto"/>
                <w:szCs w:val="21"/>
              </w:rPr>
            </w:pPr>
          </w:p>
        </w:tc>
        <w:tc>
          <w:tcPr>
            <w:tcW w:w="446" w:type="pct"/>
            <w:vMerge w:val="continue"/>
            <w:vAlign w:val="center"/>
          </w:tcPr>
          <w:p w14:paraId="225041AF">
            <w:pPr>
              <w:jc w:val="center"/>
              <w:rPr>
                <w:rFonts w:eastAsia="仿宋_GB2312"/>
                <w:color w:val="auto"/>
                <w:szCs w:val="21"/>
              </w:rPr>
            </w:pPr>
          </w:p>
        </w:tc>
        <w:tc>
          <w:tcPr>
            <w:tcW w:w="361" w:type="pct"/>
            <w:vMerge w:val="continue"/>
            <w:vAlign w:val="center"/>
          </w:tcPr>
          <w:p w14:paraId="35BF9C65">
            <w:pPr>
              <w:jc w:val="center"/>
              <w:rPr>
                <w:rFonts w:eastAsia="仿宋_GB2312"/>
                <w:color w:val="auto"/>
                <w:szCs w:val="21"/>
              </w:rPr>
            </w:pPr>
          </w:p>
        </w:tc>
        <w:tc>
          <w:tcPr>
            <w:tcW w:w="498" w:type="pct"/>
            <w:vMerge w:val="continue"/>
            <w:shd w:val="clear" w:color="auto" w:fill="auto"/>
            <w:vAlign w:val="center"/>
          </w:tcPr>
          <w:p w14:paraId="6E68E5E8">
            <w:pPr>
              <w:keepNext w:val="0"/>
              <w:keepLines w:val="0"/>
              <w:widowControl/>
              <w:suppressLineNumbers w:val="0"/>
              <w:jc w:val="center"/>
              <w:textAlignment w:val="bottom"/>
              <w:rPr>
                <w:rFonts w:eastAsia="仿宋_GB2312"/>
                <w:color w:val="auto"/>
                <w:kern w:val="0"/>
                <w:szCs w:val="21"/>
                <w:lang w:bidi="ar"/>
              </w:rPr>
            </w:pPr>
          </w:p>
        </w:tc>
        <w:tc>
          <w:tcPr>
            <w:tcW w:w="820" w:type="pct"/>
            <w:shd w:val="clear" w:color="auto" w:fill="auto"/>
            <w:vAlign w:val="center"/>
          </w:tcPr>
          <w:p w14:paraId="33A51AAF">
            <w:pPr>
              <w:widowControl/>
              <w:jc w:val="center"/>
              <w:textAlignment w:val="center"/>
              <w:rPr>
                <w:rFonts w:ascii="Times New Roman" w:hAnsi="Times New Roman" w:eastAsia="仿宋_GB2312" w:cs="Times New Roman"/>
                <w:b/>
                <w:bCs/>
                <w:color w:val="auto"/>
                <w:kern w:val="0"/>
                <w:sz w:val="21"/>
                <w:szCs w:val="21"/>
                <w:lang w:val="en-US" w:eastAsia="zh-CN" w:bidi="ar"/>
              </w:rPr>
            </w:pPr>
            <w:r>
              <w:rPr>
                <w:rFonts w:eastAsia="仿宋_GB2312"/>
                <w:color w:val="auto"/>
                <w:kern w:val="0"/>
                <w:szCs w:val="21"/>
                <w:lang w:bidi="ar"/>
              </w:rPr>
              <w:t>其他有机物</w:t>
            </w:r>
          </w:p>
        </w:tc>
        <w:tc>
          <w:tcPr>
            <w:tcW w:w="380" w:type="pct"/>
            <w:shd w:val="clear" w:color="auto" w:fill="auto"/>
            <w:vAlign w:val="center"/>
          </w:tcPr>
          <w:p w14:paraId="75D01836">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0.016</w:t>
            </w:r>
          </w:p>
        </w:tc>
        <w:tc>
          <w:tcPr>
            <w:tcW w:w="445" w:type="pct"/>
            <w:shd w:val="clear" w:color="auto" w:fill="auto"/>
            <w:vAlign w:val="center"/>
          </w:tcPr>
          <w:p w14:paraId="4EE3348C">
            <w:pPr>
              <w:widowControl/>
              <w:jc w:val="center"/>
              <w:textAlignment w:val="center"/>
              <w:rPr>
                <w:rFonts w:ascii="Times New Roman" w:hAnsi="Times New Roman" w:eastAsia="仿宋_GB2312" w:cs="Times New Roman"/>
                <w:color w:val="auto"/>
                <w:kern w:val="0"/>
                <w:sz w:val="21"/>
                <w:szCs w:val="21"/>
                <w:lang w:val="en-US" w:eastAsia="zh-CN" w:bidi="ar"/>
              </w:rPr>
            </w:pPr>
            <w:r>
              <w:rPr>
                <w:rFonts w:hint="eastAsia" w:ascii="Times New Roman" w:hAnsi="Times New Roman" w:eastAsia="仿宋_GB2312" w:cs="Times New Roman"/>
                <w:color w:val="auto"/>
                <w:kern w:val="0"/>
                <w:szCs w:val="21"/>
                <w:lang w:val="en-US" w:eastAsia="zh-CN" w:bidi="ar"/>
              </w:rPr>
              <w:t>0.01089</w:t>
            </w:r>
          </w:p>
        </w:tc>
        <w:tc>
          <w:tcPr>
            <w:tcW w:w="630" w:type="pct"/>
            <w:vMerge w:val="continue"/>
            <w:vAlign w:val="center"/>
          </w:tcPr>
          <w:p w14:paraId="4954AD7D">
            <w:pPr>
              <w:jc w:val="center"/>
              <w:rPr>
                <w:rFonts w:eastAsia="仿宋_GB2312"/>
                <w:color w:val="auto"/>
                <w:szCs w:val="21"/>
              </w:rPr>
            </w:pPr>
          </w:p>
        </w:tc>
        <w:tc>
          <w:tcPr>
            <w:tcW w:w="292" w:type="pct"/>
            <w:vMerge w:val="continue"/>
            <w:vAlign w:val="center"/>
          </w:tcPr>
          <w:p w14:paraId="2E8746D5">
            <w:pPr>
              <w:jc w:val="center"/>
              <w:rPr>
                <w:rFonts w:eastAsia="仿宋_GB2312"/>
                <w:color w:val="auto"/>
                <w:szCs w:val="21"/>
              </w:rPr>
            </w:pPr>
          </w:p>
        </w:tc>
      </w:tr>
      <w:tr w14:paraId="35B084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restart"/>
            <w:vAlign w:val="center"/>
          </w:tcPr>
          <w:p w14:paraId="459474B9">
            <w:pPr>
              <w:jc w:val="center"/>
              <w:rPr>
                <w:rFonts w:eastAsia="仿宋_GB2312"/>
                <w:color w:val="auto"/>
                <w:szCs w:val="21"/>
              </w:rPr>
            </w:pPr>
            <w:r>
              <w:rPr>
                <w:rFonts w:eastAsia="仿宋_GB2312"/>
                <w:color w:val="auto"/>
                <w:szCs w:val="21"/>
              </w:rPr>
              <w:t>B-7车间</w:t>
            </w:r>
          </w:p>
        </w:tc>
        <w:tc>
          <w:tcPr>
            <w:tcW w:w="358" w:type="pct"/>
            <w:vMerge w:val="restart"/>
            <w:vAlign w:val="center"/>
          </w:tcPr>
          <w:p w14:paraId="3E64D676">
            <w:pPr>
              <w:jc w:val="center"/>
              <w:rPr>
                <w:rFonts w:eastAsia="仿宋_GB2312"/>
                <w:color w:val="auto"/>
                <w:szCs w:val="21"/>
              </w:rPr>
            </w:pPr>
            <w:r>
              <w:rPr>
                <w:rFonts w:eastAsia="仿宋_GB2312"/>
                <w:color w:val="auto"/>
                <w:szCs w:val="21"/>
              </w:rPr>
              <w:t>二甲基亚砜</w:t>
            </w:r>
          </w:p>
        </w:tc>
        <w:tc>
          <w:tcPr>
            <w:tcW w:w="418" w:type="pct"/>
            <w:vMerge w:val="restart"/>
            <w:vAlign w:val="center"/>
          </w:tcPr>
          <w:p w14:paraId="5FB73769">
            <w:pPr>
              <w:jc w:val="center"/>
              <w:rPr>
                <w:rFonts w:eastAsia="仿宋_GB2312"/>
                <w:color w:val="auto"/>
                <w:szCs w:val="21"/>
              </w:rPr>
            </w:pPr>
            <w:r>
              <w:rPr>
                <w:rFonts w:eastAsia="仿宋_GB2312"/>
                <w:color w:val="auto"/>
                <w:kern w:val="0"/>
                <w:szCs w:val="21"/>
                <w:lang w:bidi="ar"/>
              </w:rPr>
              <w:t>G</w:t>
            </w:r>
            <w:r>
              <w:rPr>
                <w:rFonts w:hint="eastAsia" w:eastAsia="仿宋_GB2312"/>
                <w:color w:val="auto"/>
                <w:kern w:val="0"/>
                <w:szCs w:val="21"/>
                <w:lang w:val="en-US" w:eastAsia="zh-CN" w:bidi="ar"/>
              </w:rPr>
              <w:t>2</w:t>
            </w:r>
            <w:r>
              <w:rPr>
                <w:rFonts w:eastAsia="仿宋_GB2312"/>
                <w:color w:val="auto"/>
                <w:kern w:val="0"/>
                <w:szCs w:val="21"/>
                <w:lang w:bidi="ar"/>
              </w:rPr>
              <w:t>-</w:t>
            </w:r>
            <w:r>
              <w:rPr>
                <w:rFonts w:hint="eastAsia" w:eastAsia="仿宋_GB2312"/>
                <w:color w:val="auto"/>
                <w:kern w:val="0"/>
                <w:szCs w:val="21"/>
                <w:lang w:val="en-US" w:eastAsia="zh-CN" w:bidi="ar"/>
              </w:rPr>
              <w:t>6</w:t>
            </w:r>
            <w:r>
              <w:rPr>
                <w:rFonts w:eastAsia="仿宋_GB2312"/>
                <w:color w:val="auto"/>
                <w:kern w:val="0"/>
                <w:szCs w:val="21"/>
                <w:lang w:bidi="ar"/>
              </w:rPr>
              <w:t>-1</w:t>
            </w:r>
          </w:p>
        </w:tc>
        <w:tc>
          <w:tcPr>
            <w:tcW w:w="446" w:type="pct"/>
            <w:vMerge w:val="restart"/>
            <w:vAlign w:val="center"/>
          </w:tcPr>
          <w:p w14:paraId="16E249A7">
            <w:pPr>
              <w:jc w:val="center"/>
              <w:rPr>
                <w:rFonts w:eastAsia="仿宋_GB2312"/>
                <w:color w:val="auto"/>
                <w:szCs w:val="21"/>
              </w:rPr>
            </w:pPr>
            <w:r>
              <w:rPr>
                <w:rFonts w:eastAsia="仿宋_GB2312"/>
                <w:color w:val="auto"/>
                <w:kern w:val="0"/>
                <w:szCs w:val="21"/>
                <w:lang w:bidi="ar"/>
              </w:rPr>
              <w:t>投料废气</w:t>
            </w:r>
          </w:p>
        </w:tc>
        <w:tc>
          <w:tcPr>
            <w:tcW w:w="361" w:type="pct"/>
            <w:vMerge w:val="restart"/>
            <w:vAlign w:val="center"/>
          </w:tcPr>
          <w:p w14:paraId="53E6B35A">
            <w:pPr>
              <w:jc w:val="center"/>
              <w:rPr>
                <w:rFonts w:hint="default" w:eastAsia="仿宋_GB2312"/>
                <w:color w:val="auto"/>
                <w:szCs w:val="21"/>
                <w:lang w:val="en-US" w:eastAsia="zh-CN"/>
              </w:rPr>
            </w:pPr>
            <w:r>
              <w:rPr>
                <w:rFonts w:hint="eastAsia" w:eastAsia="仿宋_GB2312"/>
                <w:color w:val="auto"/>
                <w:szCs w:val="21"/>
                <w:lang w:val="en-US" w:eastAsia="zh-CN"/>
              </w:rPr>
              <w:t>2000</w:t>
            </w:r>
          </w:p>
        </w:tc>
        <w:tc>
          <w:tcPr>
            <w:tcW w:w="498" w:type="pct"/>
            <w:vMerge w:val="restart"/>
            <w:vAlign w:val="center"/>
          </w:tcPr>
          <w:p w14:paraId="1057CED0">
            <w:pPr>
              <w:keepNext w:val="0"/>
              <w:keepLines w:val="0"/>
              <w:widowControl/>
              <w:suppressLineNumbers w:val="0"/>
              <w:jc w:val="center"/>
              <w:textAlignment w:val="bottom"/>
              <w:rPr>
                <w:rFonts w:eastAsia="仿宋_GB2312"/>
                <w:color w:val="auto"/>
                <w:kern w:val="0"/>
                <w:szCs w:val="21"/>
                <w:lang w:bidi="ar"/>
              </w:rPr>
            </w:pPr>
            <w:r>
              <w:rPr>
                <w:rFonts w:hint="default" w:ascii="Times New Roman" w:hAnsi="Times New Roman" w:eastAsia="宋体" w:cs="Times New Roman"/>
                <w:i w:val="0"/>
                <w:iCs w:val="0"/>
                <w:color w:val="auto"/>
                <w:kern w:val="0"/>
                <w:sz w:val="21"/>
                <w:szCs w:val="21"/>
                <w:u w:val="none"/>
                <w:lang w:val="en-US" w:eastAsia="zh-CN" w:bidi="ar"/>
              </w:rPr>
              <w:t>2852</w:t>
            </w:r>
          </w:p>
        </w:tc>
        <w:tc>
          <w:tcPr>
            <w:tcW w:w="820" w:type="pct"/>
            <w:vAlign w:val="center"/>
          </w:tcPr>
          <w:p w14:paraId="1095588F">
            <w:pPr>
              <w:widowControl/>
              <w:jc w:val="center"/>
              <w:textAlignment w:val="center"/>
              <w:rPr>
                <w:rFonts w:eastAsia="仿宋_GB2312"/>
                <w:color w:val="auto"/>
                <w:kern w:val="0"/>
                <w:szCs w:val="21"/>
                <w:lang w:bidi="ar"/>
              </w:rPr>
            </w:pPr>
            <w:r>
              <w:rPr>
                <w:rFonts w:eastAsia="仿宋_GB2312"/>
                <w:color w:val="auto"/>
                <w:kern w:val="0"/>
                <w:szCs w:val="21"/>
                <w:lang w:bidi="ar"/>
              </w:rPr>
              <w:t>DMSO</w:t>
            </w:r>
          </w:p>
        </w:tc>
        <w:tc>
          <w:tcPr>
            <w:tcW w:w="380" w:type="pct"/>
            <w:shd w:val="clear" w:color="auto" w:fill="auto"/>
            <w:vAlign w:val="center"/>
          </w:tcPr>
          <w:p w14:paraId="387344D5">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3.005</w:t>
            </w:r>
          </w:p>
        </w:tc>
        <w:tc>
          <w:tcPr>
            <w:tcW w:w="445" w:type="pct"/>
            <w:vAlign w:val="center"/>
          </w:tcPr>
          <w:p w14:paraId="3004EB11">
            <w:pPr>
              <w:widowControl/>
              <w:jc w:val="center"/>
              <w:textAlignment w:val="center"/>
              <w:rPr>
                <w:rFonts w:eastAsia="仿宋_GB2312"/>
                <w:color w:val="auto"/>
                <w:kern w:val="0"/>
                <w:szCs w:val="21"/>
                <w:lang w:bidi="ar"/>
              </w:rPr>
            </w:pPr>
            <w:r>
              <w:rPr>
                <w:rFonts w:hint="eastAsia" w:ascii="Times New Roman" w:hAnsi="Times New Roman" w:eastAsia="仿宋_GB2312" w:cs="Times New Roman"/>
                <w:color w:val="auto"/>
                <w:kern w:val="0"/>
                <w:szCs w:val="21"/>
                <w:lang w:val="en-US" w:eastAsia="zh-CN" w:bidi="ar"/>
              </w:rPr>
              <w:t>8.571</w:t>
            </w:r>
          </w:p>
        </w:tc>
        <w:tc>
          <w:tcPr>
            <w:tcW w:w="630" w:type="pct"/>
            <w:vMerge w:val="restart"/>
            <w:vAlign w:val="center"/>
          </w:tcPr>
          <w:p w14:paraId="1C23CA23">
            <w:pPr>
              <w:jc w:val="center"/>
              <w:rPr>
                <w:rFonts w:eastAsia="仿宋_GB2312"/>
                <w:color w:val="auto"/>
                <w:szCs w:val="21"/>
              </w:rPr>
            </w:pPr>
            <w:r>
              <w:rPr>
                <w:rFonts w:hint="eastAsia" w:eastAsia="仿宋_GB2312"/>
                <w:color w:val="auto"/>
                <w:szCs w:val="21"/>
              </w:rPr>
              <w:t>冷凝+酸吸收+碱吸收+水洗+活性炭吸附/脱附</w:t>
            </w:r>
          </w:p>
        </w:tc>
        <w:tc>
          <w:tcPr>
            <w:tcW w:w="292" w:type="pct"/>
            <w:vMerge w:val="restart"/>
            <w:vAlign w:val="center"/>
          </w:tcPr>
          <w:p w14:paraId="6BE8A91D">
            <w:pPr>
              <w:jc w:val="center"/>
              <w:rPr>
                <w:rFonts w:eastAsia="仿宋_GB2312"/>
                <w:color w:val="auto"/>
                <w:szCs w:val="21"/>
              </w:rPr>
            </w:pPr>
            <w:r>
              <w:rPr>
                <w:rFonts w:hint="eastAsia" w:eastAsia="仿宋_GB2312"/>
                <w:color w:val="auto"/>
              </w:rPr>
              <w:t>DA005</w:t>
            </w:r>
          </w:p>
        </w:tc>
      </w:tr>
      <w:tr w14:paraId="051C59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66831E4F">
            <w:pPr>
              <w:jc w:val="center"/>
              <w:rPr>
                <w:rFonts w:eastAsia="仿宋_GB2312"/>
                <w:color w:val="auto"/>
                <w:szCs w:val="21"/>
              </w:rPr>
            </w:pPr>
          </w:p>
        </w:tc>
        <w:tc>
          <w:tcPr>
            <w:tcW w:w="358" w:type="pct"/>
            <w:vMerge w:val="continue"/>
            <w:vAlign w:val="center"/>
          </w:tcPr>
          <w:p w14:paraId="62C0AC25">
            <w:pPr>
              <w:jc w:val="center"/>
              <w:rPr>
                <w:rFonts w:eastAsia="仿宋_GB2312"/>
                <w:color w:val="auto"/>
                <w:szCs w:val="21"/>
              </w:rPr>
            </w:pPr>
          </w:p>
        </w:tc>
        <w:tc>
          <w:tcPr>
            <w:tcW w:w="418" w:type="pct"/>
            <w:vMerge w:val="continue"/>
            <w:vAlign w:val="center"/>
          </w:tcPr>
          <w:p w14:paraId="26B24883">
            <w:pPr>
              <w:jc w:val="center"/>
              <w:rPr>
                <w:rFonts w:eastAsia="仿宋_GB2312"/>
                <w:color w:val="auto"/>
                <w:szCs w:val="21"/>
              </w:rPr>
            </w:pPr>
          </w:p>
        </w:tc>
        <w:tc>
          <w:tcPr>
            <w:tcW w:w="446" w:type="pct"/>
            <w:vMerge w:val="continue"/>
            <w:vAlign w:val="center"/>
          </w:tcPr>
          <w:p w14:paraId="63D8E434">
            <w:pPr>
              <w:jc w:val="center"/>
              <w:rPr>
                <w:rFonts w:eastAsia="仿宋_GB2312"/>
                <w:color w:val="auto"/>
                <w:szCs w:val="21"/>
              </w:rPr>
            </w:pPr>
          </w:p>
        </w:tc>
        <w:tc>
          <w:tcPr>
            <w:tcW w:w="361" w:type="pct"/>
            <w:vMerge w:val="continue"/>
            <w:vAlign w:val="center"/>
          </w:tcPr>
          <w:p w14:paraId="14299CEA">
            <w:pPr>
              <w:jc w:val="center"/>
              <w:rPr>
                <w:rFonts w:eastAsia="仿宋_GB2312"/>
                <w:color w:val="auto"/>
                <w:szCs w:val="21"/>
              </w:rPr>
            </w:pPr>
          </w:p>
        </w:tc>
        <w:tc>
          <w:tcPr>
            <w:tcW w:w="498" w:type="pct"/>
            <w:vMerge w:val="continue"/>
            <w:vAlign w:val="center"/>
          </w:tcPr>
          <w:p w14:paraId="0C31AE7B">
            <w:pPr>
              <w:keepNext w:val="0"/>
              <w:keepLines w:val="0"/>
              <w:widowControl/>
              <w:suppressLineNumbers w:val="0"/>
              <w:jc w:val="center"/>
              <w:textAlignment w:val="bottom"/>
              <w:rPr>
                <w:rFonts w:eastAsia="仿宋_GB2312"/>
                <w:color w:val="auto"/>
                <w:kern w:val="0"/>
                <w:szCs w:val="21"/>
                <w:lang w:bidi="ar"/>
              </w:rPr>
            </w:pPr>
          </w:p>
        </w:tc>
        <w:tc>
          <w:tcPr>
            <w:tcW w:w="820" w:type="pct"/>
            <w:vAlign w:val="center"/>
          </w:tcPr>
          <w:p w14:paraId="2729939B">
            <w:pPr>
              <w:widowControl/>
              <w:jc w:val="center"/>
              <w:textAlignment w:val="center"/>
              <w:rPr>
                <w:rFonts w:eastAsia="仿宋_GB2312"/>
                <w:color w:val="auto"/>
                <w:kern w:val="0"/>
                <w:szCs w:val="21"/>
                <w:lang w:bidi="ar"/>
              </w:rPr>
            </w:pPr>
            <w:r>
              <w:rPr>
                <w:rFonts w:eastAsia="仿宋_GB2312"/>
                <w:color w:val="auto"/>
                <w:kern w:val="0"/>
                <w:szCs w:val="21"/>
                <w:lang w:bidi="ar"/>
              </w:rPr>
              <w:t>其他有机物</w:t>
            </w:r>
          </w:p>
        </w:tc>
        <w:tc>
          <w:tcPr>
            <w:tcW w:w="380" w:type="pct"/>
            <w:shd w:val="clear" w:color="auto" w:fill="auto"/>
            <w:vAlign w:val="center"/>
          </w:tcPr>
          <w:p w14:paraId="11E58BFF">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0.042</w:t>
            </w:r>
          </w:p>
        </w:tc>
        <w:tc>
          <w:tcPr>
            <w:tcW w:w="445" w:type="pct"/>
            <w:vAlign w:val="center"/>
          </w:tcPr>
          <w:p w14:paraId="30A5F477">
            <w:pPr>
              <w:widowControl/>
              <w:jc w:val="center"/>
              <w:textAlignment w:val="center"/>
              <w:rPr>
                <w:rFonts w:eastAsia="仿宋_GB2312"/>
                <w:color w:val="auto"/>
                <w:kern w:val="0"/>
                <w:szCs w:val="21"/>
                <w:lang w:bidi="ar"/>
              </w:rPr>
            </w:pPr>
            <w:r>
              <w:rPr>
                <w:rFonts w:hint="eastAsia" w:ascii="Times New Roman" w:hAnsi="Times New Roman" w:eastAsia="仿宋_GB2312" w:cs="Times New Roman"/>
                <w:color w:val="auto"/>
                <w:kern w:val="0"/>
                <w:szCs w:val="21"/>
                <w:lang w:val="en-US" w:eastAsia="zh-CN" w:bidi="ar"/>
              </w:rPr>
              <w:t>0.1198</w:t>
            </w:r>
          </w:p>
        </w:tc>
        <w:tc>
          <w:tcPr>
            <w:tcW w:w="630" w:type="pct"/>
            <w:vMerge w:val="continue"/>
            <w:vAlign w:val="center"/>
          </w:tcPr>
          <w:p w14:paraId="7CF44BFE">
            <w:pPr>
              <w:jc w:val="center"/>
              <w:rPr>
                <w:rFonts w:eastAsia="仿宋_GB2312"/>
                <w:color w:val="auto"/>
                <w:szCs w:val="21"/>
              </w:rPr>
            </w:pPr>
          </w:p>
        </w:tc>
        <w:tc>
          <w:tcPr>
            <w:tcW w:w="292" w:type="pct"/>
            <w:vMerge w:val="continue"/>
            <w:vAlign w:val="center"/>
          </w:tcPr>
          <w:p w14:paraId="739F0B9E">
            <w:pPr>
              <w:jc w:val="center"/>
              <w:rPr>
                <w:rFonts w:eastAsia="仿宋_GB2312"/>
                <w:color w:val="auto"/>
                <w:szCs w:val="21"/>
              </w:rPr>
            </w:pPr>
          </w:p>
        </w:tc>
      </w:tr>
      <w:tr w14:paraId="1FDCDA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32A1BC62">
            <w:pPr>
              <w:jc w:val="center"/>
              <w:rPr>
                <w:rFonts w:eastAsia="仿宋_GB2312"/>
                <w:color w:val="auto"/>
                <w:szCs w:val="21"/>
              </w:rPr>
            </w:pPr>
          </w:p>
        </w:tc>
        <w:tc>
          <w:tcPr>
            <w:tcW w:w="358" w:type="pct"/>
            <w:vMerge w:val="continue"/>
            <w:vAlign w:val="center"/>
          </w:tcPr>
          <w:p w14:paraId="3E583EE5">
            <w:pPr>
              <w:jc w:val="center"/>
              <w:rPr>
                <w:rFonts w:eastAsia="仿宋_GB2312"/>
                <w:color w:val="auto"/>
                <w:szCs w:val="21"/>
              </w:rPr>
            </w:pPr>
          </w:p>
        </w:tc>
        <w:tc>
          <w:tcPr>
            <w:tcW w:w="418" w:type="pct"/>
            <w:vMerge w:val="restart"/>
            <w:vAlign w:val="center"/>
          </w:tcPr>
          <w:p w14:paraId="7D17ED0D">
            <w:pPr>
              <w:jc w:val="center"/>
              <w:rPr>
                <w:rFonts w:eastAsia="仿宋_GB2312"/>
                <w:color w:val="auto"/>
                <w:szCs w:val="21"/>
              </w:rPr>
            </w:pPr>
            <w:r>
              <w:rPr>
                <w:rFonts w:eastAsia="仿宋_GB2312"/>
                <w:color w:val="auto"/>
                <w:kern w:val="0"/>
                <w:szCs w:val="21"/>
                <w:lang w:bidi="ar"/>
              </w:rPr>
              <w:t>G</w:t>
            </w:r>
            <w:r>
              <w:rPr>
                <w:rFonts w:hint="eastAsia" w:eastAsia="仿宋_GB2312"/>
                <w:color w:val="auto"/>
                <w:kern w:val="0"/>
                <w:szCs w:val="21"/>
                <w:lang w:val="en-US" w:eastAsia="zh-CN" w:bidi="ar"/>
              </w:rPr>
              <w:t>2</w:t>
            </w:r>
            <w:r>
              <w:rPr>
                <w:rFonts w:eastAsia="仿宋_GB2312"/>
                <w:color w:val="auto"/>
                <w:kern w:val="0"/>
                <w:szCs w:val="21"/>
                <w:lang w:bidi="ar"/>
              </w:rPr>
              <w:t>-</w:t>
            </w:r>
            <w:r>
              <w:rPr>
                <w:rFonts w:hint="eastAsia" w:eastAsia="仿宋_GB2312"/>
                <w:color w:val="auto"/>
                <w:kern w:val="0"/>
                <w:szCs w:val="21"/>
                <w:lang w:val="en-US" w:eastAsia="zh-CN" w:bidi="ar"/>
              </w:rPr>
              <w:t>6</w:t>
            </w:r>
            <w:r>
              <w:rPr>
                <w:rFonts w:eastAsia="仿宋_GB2312"/>
                <w:color w:val="auto"/>
                <w:kern w:val="0"/>
                <w:szCs w:val="21"/>
                <w:lang w:bidi="ar"/>
              </w:rPr>
              <w:t>-2</w:t>
            </w:r>
          </w:p>
        </w:tc>
        <w:tc>
          <w:tcPr>
            <w:tcW w:w="446" w:type="pct"/>
            <w:vMerge w:val="restart"/>
            <w:vAlign w:val="center"/>
          </w:tcPr>
          <w:p w14:paraId="0F3AE7D7">
            <w:pPr>
              <w:jc w:val="center"/>
              <w:rPr>
                <w:rFonts w:eastAsia="仿宋_GB2312"/>
                <w:color w:val="auto"/>
                <w:szCs w:val="21"/>
              </w:rPr>
            </w:pPr>
            <w:r>
              <w:rPr>
                <w:rFonts w:eastAsia="仿宋_GB2312"/>
                <w:color w:val="auto"/>
                <w:kern w:val="0"/>
                <w:szCs w:val="21"/>
                <w:lang w:bidi="ar"/>
              </w:rPr>
              <w:t>调节废气</w:t>
            </w:r>
          </w:p>
        </w:tc>
        <w:tc>
          <w:tcPr>
            <w:tcW w:w="361" w:type="pct"/>
            <w:vMerge w:val="restart"/>
            <w:vAlign w:val="center"/>
          </w:tcPr>
          <w:p w14:paraId="2773689D">
            <w:pPr>
              <w:jc w:val="center"/>
              <w:rPr>
                <w:rFonts w:hint="default" w:eastAsia="仿宋_GB2312"/>
                <w:color w:val="auto"/>
                <w:szCs w:val="21"/>
                <w:lang w:val="en-US" w:eastAsia="zh-CN"/>
              </w:rPr>
            </w:pPr>
            <w:r>
              <w:rPr>
                <w:rFonts w:hint="eastAsia" w:eastAsia="仿宋_GB2312"/>
                <w:color w:val="auto"/>
                <w:szCs w:val="21"/>
                <w:lang w:val="en-US" w:eastAsia="zh-CN"/>
              </w:rPr>
              <w:t>100</w:t>
            </w:r>
          </w:p>
        </w:tc>
        <w:tc>
          <w:tcPr>
            <w:tcW w:w="498" w:type="pct"/>
            <w:vMerge w:val="restart"/>
            <w:vAlign w:val="center"/>
          </w:tcPr>
          <w:p w14:paraId="7C7314DB">
            <w:pPr>
              <w:keepNext w:val="0"/>
              <w:keepLines w:val="0"/>
              <w:widowControl/>
              <w:suppressLineNumbers w:val="0"/>
              <w:jc w:val="center"/>
              <w:textAlignment w:val="bottom"/>
              <w:rPr>
                <w:rFonts w:eastAsia="仿宋_GB2312"/>
                <w:color w:val="auto"/>
                <w:kern w:val="0"/>
                <w:szCs w:val="21"/>
                <w:lang w:bidi="ar"/>
              </w:rPr>
            </w:pPr>
            <w:r>
              <w:rPr>
                <w:rFonts w:hint="default" w:ascii="Times New Roman" w:hAnsi="Times New Roman" w:eastAsia="宋体" w:cs="Times New Roman"/>
                <w:i w:val="0"/>
                <w:iCs w:val="0"/>
                <w:color w:val="auto"/>
                <w:kern w:val="0"/>
                <w:sz w:val="21"/>
                <w:szCs w:val="21"/>
                <w:u w:val="none"/>
                <w:lang w:val="en-US" w:eastAsia="zh-CN" w:bidi="ar"/>
              </w:rPr>
              <w:t>2852</w:t>
            </w:r>
          </w:p>
        </w:tc>
        <w:tc>
          <w:tcPr>
            <w:tcW w:w="820" w:type="pct"/>
            <w:vAlign w:val="center"/>
          </w:tcPr>
          <w:p w14:paraId="42F6DF0E">
            <w:pPr>
              <w:widowControl/>
              <w:jc w:val="center"/>
              <w:textAlignment w:val="center"/>
              <w:rPr>
                <w:rFonts w:eastAsia="仿宋_GB2312"/>
                <w:color w:val="auto"/>
                <w:kern w:val="0"/>
                <w:szCs w:val="21"/>
                <w:lang w:bidi="ar"/>
              </w:rPr>
            </w:pPr>
            <w:r>
              <w:rPr>
                <w:rFonts w:eastAsia="仿宋_GB2312"/>
                <w:color w:val="auto"/>
                <w:kern w:val="0"/>
                <w:szCs w:val="21"/>
                <w:lang w:bidi="ar"/>
              </w:rPr>
              <w:t>DMSO</w:t>
            </w:r>
          </w:p>
        </w:tc>
        <w:tc>
          <w:tcPr>
            <w:tcW w:w="380" w:type="pct"/>
            <w:shd w:val="clear" w:color="auto" w:fill="auto"/>
            <w:vAlign w:val="center"/>
          </w:tcPr>
          <w:p w14:paraId="5B143F02">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1.504</w:t>
            </w:r>
          </w:p>
        </w:tc>
        <w:tc>
          <w:tcPr>
            <w:tcW w:w="445" w:type="pct"/>
            <w:vAlign w:val="center"/>
          </w:tcPr>
          <w:p w14:paraId="5DF05644">
            <w:pPr>
              <w:widowControl/>
              <w:jc w:val="center"/>
              <w:textAlignment w:val="center"/>
              <w:rPr>
                <w:rFonts w:eastAsia="仿宋_GB2312"/>
                <w:color w:val="auto"/>
                <w:kern w:val="0"/>
                <w:szCs w:val="21"/>
                <w:lang w:bidi="ar"/>
              </w:rPr>
            </w:pPr>
            <w:r>
              <w:rPr>
                <w:rFonts w:hint="eastAsia" w:eastAsia="仿宋_GB2312"/>
                <w:color w:val="auto"/>
                <w:kern w:val="0"/>
                <w:szCs w:val="21"/>
                <w:lang w:val="en-US" w:eastAsia="zh-CN"/>
              </w:rPr>
              <w:t>4.292</w:t>
            </w:r>
          </w:p>
        </w:tc>
        <w:tc>
          <w:tcPr>
            <w:tcW w:w="630" w:type="pct"/>
            <w:vMerge w:val="restart"/>
            <w:shd w:val="clear" w:color="auto" w:fill="auto"/>
            <w:vAlign w:val="center"/>
          </w:tcPr>
          <w:p w14:paraId="53D49251">
            <w:pPr>
              <w:widowControl/>
              <w:jc w:val="center"/>
              <w:textAlignment w:val="center"/>
              <w:rPr>
                <w:rFonts w:ascii="Times New Roman" w:hAnsi="Times New Roman" w:eastAsia="仿宋_GB2312" w:cs="Times New Roman"/>
                <w:color w:val="auto"/>
                <w:kern w:val="2"/>
                <w:sz w:val="21"/>
                <w:szCs w:val="21"/>
                <w:lang w:val="en-US" w:eastAsia="zh-CN" w:bidi="ar-SA"/>
              </w:rPr>
            </w:pPr>
            <w:r>
              <w:rPr>
                <w:rFonts w:hint="eastAsia" w:eastAsia="仿宋_GB2312"/>
                <w:color w:val="auto"/>
                <w:szCs w:val="21"/>
              </w:rPr>
              <w:t>预处理（冷凝+稀酸吸收+碱吸收+水吸收+除雾）+</w:t>
            </w:r>
            <w:r>
              <w:rPr>
                <w:rFonts w:eastAsia="仿宋_GB2312"/>
                <w:color w:val="auto"/>
                <w:szCs w:val="21"/>
              </w:rPr>
              <w:t>焚烧</w:t>
            </w:r>
          </w:p>
        </w:tc>
        <w:tc>
          <w:tcPr>
            <w:tcW w:w="292" w:type="pct"/>
            <w:vMerge w:val="restart"/>
            <w:shd w:val="clear" w:color="auto" w:fill="auto"/>
            <w:vAlign w:val="center"/>
          </w:tcPr>
          <w:p w14:paraId="53466270">
            <w:pPr>
              <w:widowControl/>
              <w:jc w:val="center"/>
              <w:textAlignment w:val="center"/>
              <w:rPr>
                <w:rFonts w:ascii="Times New Roman" w:hAnsi="Times New Roman" w:eastAsia="仿宋_GB2312" w:cs="Times New Roman"/>
                <w:color w:val="auto"/>
                <w:kern w:val="2"/>
                <w:sz w:val="21"/>
                <w:szCs w:val="21"/>
                <w:lang w:val="en-US" w:eastAsia="zh-CN" w:bidi="ar-SA"/>
              </w:rPr>
            </w:pPr>
            <w:r>
              <w:rPr>
                <w:rFonts w:hint="eastAsia" w:eastAsia="仿宋_GB2312"/>
                <w:color w:val="auto"/>
                <w:kern w:val="0"/>
                <w:szCs w:val="21"/>
                <w:lang w:bidi="ar"/>
              </w:rPr>
              <w:t>DA002</w:t>
            </w:r>
          </w:p>
        </w:tc>
      </w:tr>
      <w:tr w14:paraId="520B59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09363FDC">
            <w:pPr>
              <w:jc w:val="center"/>
              <w:rPr>
                <w:rFonts w:eastAsia="仿宋_GB2312"/>
                <w:color w:val="auto"/>
                <w:szCs w:val="21"/>
              </w:rPr>
            </w:pPr>
          </w:p>
        </w:tc>
        <w:tc>
          <w:tcPr>
            <w:tcW w:w="358" w:type="pct"/>
            <w:vMerge w:val="continue"/>
            <w:vAlign w:val="center"/>
          </w:tcPr>
          <w:p w14:paraId="4DFCBEEE">
            <w:pPr>
              <w:jc w:val="center"/>
              <w:rPr>
                <w:rFonts w:eastAsia="仿宋_GB2312"/>
                <w:color w:val="auto"/>
                <w:szCs w:val="21"/>
              </w:rPr>
            </w:pPr>
          </w:p>
        </w:tc>
        <w:tc>
          <w:tcPr>
            <w:tcW w:w="418" w:type="pct"/>
            <w:vMerge w:val="continue"/>
            <w:vAlign w:val="center"/>
          </w:tcPr>
          <w:p w14:paraId="63E10280">
            <w:pPr>
              <w:jc w:val="center"/>
              <w:rPr>
                <w:rFonts w:eastAsia="仿宋_GB2312"/>
                <w:color w:val="auto"/>
                <w:szCs w:val="21"/>
              </w:rPr>
            </w:pPr>
          </w:p>
        </w:tc>
        <w:tc>
          <w:tcPr>
            <w:tcW w:w="446" w:type="pct"/>
            <w:vMerge w:val="continue"/>
            <w:vAlign w:val="center"/>
          </w:tcPr>
          <w:p w14:paraId="317CD957">
            <w:pPr>
              <w:jc w:val="center"/>
              <w:rPr>
                <w:rFonts w:eastAsia="仿宋_GB2312"/>
                <w:color w:val="auto"/>
                <w:szCs w:val="21"/>
              </w:rPr>
            </w:pPr>
          </w:p>
        </w:tc>
        <w:tc>
          <w:tcPr>
            <w:tcW w:w="361" w:type="pct"/>
            <w:vMerge w:val="continue"/>
            <w:vAlign w:val="center"/>
          </w:tcPr>
          <w:p w14:paraId="2E564A95">
            <w:pPr>
              <w:jc w:val="center"/>
              <w:rPr>
                <w:rFonts w:eastAsia="仿宋_GB2312"/>
                <w:color w:val="auto"/>
                <w:szCs w:val="21"/>
              </w:rPr>
            </w:pPr>
          </w:p>
        </w:tc>
        <w:tc>
          <w:tcPr>
            <w:tcW w:w="498" w:type="pct"/>
            <w:vMerge w:val="continue"/>
            <w:vAlign w:val="center"/>
          </w:tcPr>
          <w:p w14:paraId="040F02B8">
            <w:pPr>
              <w:keepNext w:val="0"/>
              <w:keepLines w:val="0"/>
              <w:widowControl/>
              <w:suppressLineNumbers w:val="0"/>
              <w:jc w:val="center"/>
              <w:textAlignment w:val="bottom"/>
              <w:rPr>
                <w:rFonts w:eastAsia="仿宋_GB2312"/>
                <w:color w:val="auto"/>
                <w:kern w:val="0"/>
                <w:szCs w:val="21"/>
                <w:lang w:bidi="ar"/>
              </w:rPr>
            </w:pPr>
          </w:p>
        </w:tc>
        <w:tc>
          <w:tcPr>
            <w:tcW w:w="820" w:type="pct"/>
            <w:vAlign w:val="center"/>
          </w:tcPr>
          <w:p w14:paraId="728FB495">
            <w:pPr>
              <w:widowControl/>
              <w:jc w:val="center"/>
              <w:textAlignment w:val="center"/>
              <w:rPr>
                <w:rFonts w:eastAsia="仿宋_GB2312"/>
                <w:color w:val="auto"/>
                <w:kern w:val="0"/>
                <w:szCs w:val="21"/>
                <w:lang w:bidi="ar"/>
              </w:rPr>
            </w:pPr>
            <w:r>
              <w:rPr>
                <w:rFonts w:eastAsia="仿宋_GB2312"/>
                <w:color w:val="auto"/>
                <w:kern w:val="0"/>
                <w:szCs w:val="21"/>
                <w:lang w:bidi="ar"/>
              </w:rPr>
              <w:t>其他有机物</w:t>
            </w:r>
          </w:p>
        </w:tc>
        <w:tc>
          <w:tcPr>
            <w:tcW w:w="380" w:type="pct"/>
            <w:shd w:val="clear" w:color="auto" w:fill="auto"/>
            <w:vAlign w:val="center"/>
          </w:tcPr>
          <w:p w14:paraId="1A06905E">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0.021</w:t>
            </w:r>
          </w:p>
        </w:tc>
        <w:tc>
          <w:tcPr>
            <w:tcW w:w="445" w:type="pct"/>
            <w:vAlign w:val="center"/>
          </w:tcPr>
          <w:p w14:paraId="6C66129D">
            <w:pPr>
              <w:widowControl/>
              <w:jc w:val="center"/>
              <w:textAlignment w:val="center"/>
              <w:rPr>
                <w:rFonts w:eastAsia="仿宋_GB2312"/>
                <w:color w:val="auto"/>
                <w:kern w:val="0"/>
                <w:szCs w:val="21"/>
                <w:lang w:bidi="ar"/>
              </w:rPr>
            </w:pPr>
            <w:r>
              <w:rPr>
                <w:rFonts w:hint="eastAsia" w:eastAsia="仿宋_GB2312"/>
                <w:color w:val="auto"/>
                <w:kern w:val="0"/>
                <w:szCs w:val="21"/>
                <w:lang w:val="en-US" w:eastAsia="zh-CN"/>
              </w:rPr>
              <w:t>0.062</w:t>
            </w:r>
          </w:p>
        </w:tc>
        <w:tc>
          <w:tcPr>
            <w:tcW w:w="630" w:type="pct"/>
            <w:vMerge w:val="continue"/>
            <w:vAlign w:val="center"/>
          </w:tcPr>
          <w:p w14:paraId="3C21CFD7">
            <w:pPr>
              <w:jc w:val="center"/>
              <w:rPr>
                <w:rFonts w:eastAsia="仿宋_GB2312"/>
                <w:color w:val="auto"/>
                <w:szCs w:val="21"/>
              </w:rPr>
            </w:pPr>
          </w:p>
        </w:tc>
        <w:tc>
          <w:tcPr>
            <w:tcW w:w="292" w:type="pct"/>
            <w:vMerge w:val="continue"/>
            <w:vAlign w:val="center"/>
          </w:tcPr>
          <w:p w14:paraId="6E6EEA75">
            <w:pPr>
              <w:jc w:val="center"/>
              <w:rPr>
                <w:rFonts w:eastAsia="仿宋_GB2312"/>
                <w:color w:val="auto"/>
                <w:szCs w:val="21"/>
              </w:rPr>
            </w:pPr>
          </w:p>
        </w:tc>
      </w:tr>
      <w:tr w14:paraId="5CEDB0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006E1F24">
            <w:pPr>
              <w:jc w:val="center"/>
              <w:rPr>
                <w:rFonts w:eastAsia="仿宋_GB2312"/>
                <w:color w:val="auto"/>
                <w:szCs w:val="21"/>
              </w:rPr>
            </w:pPr>
          </w:p>
        </w:tc>
        <w:tc>
          <w:tcPr>
            <w:tcW w:w="358" w:type="pct"/>
            <w:vMerge w:val="continue"/>
            <w:vAlign w:val="center"/>
          </w:tcPr>
          <w:p w14:paraId="5799497E">
            <w:pPr>
              <w:jc w:val="center"/>
              <w:rPr>
                <w:rFonts w:eastAsia="仿宋_GB2312"/>
                <w:color w:val="auto"/>
                <w:szCs w:val="21"/>
              </w:rPr>
            </w:pPr>
          </w:p>
        </w:tc>
        <w:tc>
          <w:tcPr>
            <w:tcW w:w="418" w:type="pct"/>
            <w:vMerge w:val="restart"/>
            <w:vAlign w:val="center"/>
          </w:tcPr>
          <w:p w14:paraId="4E38EAC5">
            <w:pPr>
              <w:jc w:val="center"/>
              <w:rPr>
                <w:rFonts w:eastAsia="仿宋_GB2312"/>
                <w:color w:val="auto"/>
                <w:szCs w:val="21"/>
              </w:rPr>
            </w:pPr>
            <w:r>
              <w:rPr>
                <w:rFonts w:eastAsia="仿宋_GB2312"/>
                <w:color w:val="auto"/>
                <w:kern w:val="0"/>
                <w:szCs w:val="21"/>
                <w:lang w:bidi="ar"/>
              </w:rPr>
              <w:t>G</w:t>
            </w:r>
            <w:r>
              <w:rPr>
                <w:rFonts w:hint="eastAsia" w:eastAsia="仿宋_GB2312"/>
                <w:color w:val="auto"/>
                <w:kern w:val="0"/>
                <w:szCs w:val="21"/>
                <w:lang w:val="en-US" w:eastAsia="zh-CN" w:bidi="ar"/>
              </w:rPr>
              <w:t>2</w:t>
            </w:r>
            <w:r>
              <w:rPr>
                <w:rFonts w:eastAsia="仿宋_GB2312"/>
                <w:color w:val="auto"/>
                <w:kern w:val="0"/>
                <w:szCs w:val="21"/>
                <w:lang w:bidi="ar"/>
              </w:rPr>
              <w:t>-</w:t>
            </w:r>
            <w:r>
              <w:rPr>
                <w:rFonts w:hint="eastAsia" w:eastAsia="仿宋_GB2312"/>
                <w:color w:val="auto"/>
                <w:kern w:val="0"/>
                <w:szCs w:val="21"/>
                <w:lang w:val="en-US" w:eastAsia="zh-CN" w:bidi="ar"/>
              </w:rPr>
              <w:t>6</w:t>
            </w:r>
            <w:r>
              <w:rPr>
                <w:rFonts w:eastAsia="仿宋_GB2312"/>
                <w:color w:val="auto"/>
                <w:kern w:val="0"/>
                <w:szCs w:val="21"/>
                <w:lang w:bidi="ar"/>
              </w:rPr>
              <w:t>-3</w:t>
            </w:r>
          </w:p>
        </w:tc>
        <w:tc>
          <w:tcPr>
            <w:tcW w:w="446" w:type="pct"/>
            <w:vMerge w:val="restart"/>
            <w:vAlign w:val="center"/>
          </w:tcPr>
          <w:p w14:paraId="5E0E7BB8">
            <w:pPr>
              <w:jc w:val="center"/>
              <w:rPr>
                <w:rFonts w:eastAsia="仿宋_GB2312"/>
                <w:color w:val="auto"/>
                <w:szCs w:val="21"/>
              </w:rPr>
            </w:pPr>
            <w:r>
              <w:rPr>
                <w:rFonts w:eastAsia="仿宋_GB2312"/>
                <w:color w:val="auto"/>
                <w:kern w:val="0"/>
                <w:szCs w:val="21"/>
                <w:lang w:bidi="ar"/>
              </w:rPr>
              <w:t>不凝气</w:t>
            </w:r>
          </w:p>
        </w:tc>
        <w:tc>
          <w:tcPr>
            <w:tcW w:w="361" w:type="pct"/>
            <w:vMerge w:val="restart"/>
            <w:vAlign w:val="center"/>
          </w:tcPr>
          <w:p w14:paraId="643893F4">
            <w:pPr>
              <w:jc w:val="center"/>
              <w:rPr>
                <w:rFonts w:eastAsia="仿宋_GB2312"/>
                <w:color w:val="auto"/>
                <w:szCs w:val="21"/>
              </w:rPr>
            </w:pPr>
            <w:r>
              <w:rPr>
                <w:rFonts w:eastAsia="仿宋_GB2312"/>
                <w:color w:val="auto"/>
                <w:szCs w:val="21"/>
              </w:rPr>
              <w:t>360</w:t>
            </w:r>
          </w:p>
        </w:tc>
        <w:tc>
          <w:tcPr>
            <w:tcW w:w="498" w:type="pct"/>
            <w:vMerge w:val="restart"/>
            <w:vAlign w:val="center"/>
          </w:tcPr>
          <w:p w14:paraId="45CEF09A">
            <w:pPr>
              <w:keepNext w:val="0"/>
              <w:keepLines w:val="0"/>
              <w:widowControl/>
              <w:suppressLineNumbers w:val="0"/>
              <w:jc w:val="center"/>
              <w:textAlignment w:val="bottom"/>
              <w:rPr>
                <w:rFonts w:eastAsia="仿宋_GB2312"/>
                <w:color w:val="auto"/>
                <w:kern w:val="0"/>
                <w:szCs w:val="21"/>
                <w:lang w:bidi="ar"/>
              </w:rPr>
            </w:pPr>
            <w:r>
              <w:rPr>
                <w:rFonts w:hint="default" w:ascii="Times New Roman" w:hAnsi="Times New Roman" w:eastAsia="宋体" w:cs="Times New Roman"/>
                <w:i w:val="0"/>
                <w:iCs w:val="0"/>
                <w:color w:val="auto"/>
                <w:kern w:val="0"/>
                <w:sz w:val="21"/>
                <w:szCs w:val="21"/>
                <w:u w:val="none"/>
                <w:lang w:val="en-US" w:eastAsia="zh-CN" w:bidi="ar"/>
              </w:rPr>
              <w:t>5704</w:t>
            </w:r>
          </w:p>
        </w:tc>
        <w:tc>
          <w:tcPr>
            <w:tcW w:w="820" w:type="pct"/>
            <w:vAlign w:val="center"/>
          </w:tcPr>
          <w:p w14:paraId="4D067428">
            <w:pPr>
              <w:widowControl/>
              <w:jc w:val="center"/>
              <w:textAlignment w:val="center"/>
              <w:rPr>
                <w:rFonts w:eastAsia="仿宋_GB2312"/>
                <w:color w:val="auto"/>
                <w:kern w:val="0"/>
                <w:szCs w:val="21"/>
                <w:lang w:bidi="ar"/>
              </w:rPr>
            </w:pPr>
            <w:r>
              <w:rPr>
                <w:rFonts w:eastAsia="仿宋_GB2312"/>
                <w:color w:val="auto"/>
                <w:kern w:val="0"/>
                <w:szCs w:val="21"/>
                <w:lang w:bidi="ar"/>
              </w:rPr>
              <w:t>DMSO</w:t>
            </w:r>
          </w:p>
        </w:tc>
        <w:tc>
          <w:tcPr>
            <w:tcW w:w="380" w:type="pct"/>
            <w:shd w:val="clear" w:color="auto" w:fill="auto"/>
            <w:vAlign w:val="center"/>
          </w:tcPr>
          <w:p w14:paraId="5009158B">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18.243</w:t>
            </w:r>
          </w:p>
        </w:tc>
        <w:tc>
          <w:tcPr>
            <w:tcW w:w="445" w:type="pct"/>
            <w:vAlign w:val="center"/>
          </w:tcPr>
          <w:p w14:paraId="3823B89C">
            <w:pPr>
              <w:widowControl/>
              <w:jc w:val="center"/>
              <w:textAlignment w:val="center"/>
              <w:rPr>
                <w:rFonts w:eastAsia="仿宋_GB2312"/>
                <w:color w:val="auto"/>
                <w:kern w:val="0"/>
                <w:szCs w:val="21"/>
                <w:lang w:bidi="ar"/>
              </w:rPr>
            </w:pPr>
            <w:r>
              <w:rPr>
                <w:rFonts w:hint="eastAsia" w:eastAsia="仿宋_GB2312"/>
                <w:color w:val="auto"/>
                <w:kern w:val="0"/>
                <w:szCs w:val="21"/>
                <w:lang w:val="en-US" w:eastAsia="zh-CN"/>
              </w:rPr>
              <w:t>104.06</w:t>
            </w:r>
          </w:p>
        </w:tc>
        <w:tc>
          <w:tcPr>
            <w:tcW w:w="630" w:type="pct"/>
            <w:vMerge w:val="continue"/>
            <w:vAlign w:val="center"/>
          </w:tcPr>
          <w:p w14:paraId="426D68D7">
            <w:pPr>
              <w:jc w:val="center"/>
              <w:rPr>
                <w:rFonts w:eastAsia="仿宋_GB2312"/>
                <w:color w:val="auto"/>
                <w:szCs w:val="21"/>
              </w:rPr>
            </w:pPr>
          </w:p>
        </w:tc>
        <w:tc>
          <w:tcPr>
            <w:tcW w:w="292" w:type="pct"/>
            <w:vMerge w:val="continue"/>
            <w:vAlign w:val="center"/>
          </w:tcPr>
          <w:p w14:paraId="51C02A57">
            <w:pPr>
              <w:jc w:val="center"/>
              <w:rPr>
                <w:rFonts w:eastAsia="仿宋_GB2312"/>
                <w:color w:val="auto"/>
                <w:szCs w:val="21"/>
              </w:rPr>
            </w:pPr>
          </w:p>
        </w:tc>
      </w:tr>
      <w:tr w14:paraId="5D8B211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04B349E1">
            <w:pPr>
              <w:jc w:val="center"/>
              <w:rPr>
                <w:rFonts w:eastAsia="仿宋_GB2312"/>
                <w:color w:val="auto"/>
                <w:szCs w:val="21"/>
              </w:rPr>
            </w:pPr>
          </w:p>
        </w:tc>
        <w:tc>
          <w:tcPr>
            <w:tcW w:w="358" w:type="pct"/>
            <w:vMerge w:val="continue"/>
            <w:vAlign w:val="center"/>
          </w:tcPr>
          <w:p w14:paraId="010CD320">
            <w:pPr>
              <w:jc w:val="center"/>
              <w:rPr>
                <w:rFonts w:eastAsia="仿宋_GB2312"/>
                <w:color w:val="auto"/>
                <w:szCs w:val="21"/>
              </w:rPr>
            </w:pPr>
          </w:p>
        </w:tc>
        <w:tc>
          <w:tcPr>
            <w:tcW w:w="418" w:type="pct"/>
            <w:vMerge w:val="continue"/>
            <w:vAlign w:val="center"/>
          </w:tcPr>
          <w:p w14:paraId="663DF6FE">
            <w:pPr>
              <w:jc w:val="center"/>
              <w:rPr>
                <w:rFonts w:eastAsia="仿宋_GB2312"/>
                <w:color w:val="auto"/>
                <w:szCs w:val="21"/>
              </w:rPr>
            </w:pPr>
          </w:p>
        </w:tc>
        <w:tc>
          <w:tcPr>
            <w:tcW w:w="446" w:type="pct"/>
            <w:vMerge w:val="continue"/>
            <w:vAlign w:val="center"/>
          </w:tcPr>
          <w:p w14:paraId="1824424C">
            <w:pPr>
              <w:jc w:val="center"/>
              <w:rPr>
                <w:rFonts w:eastAsia="仿宋_GB2312"/>
                <w:color w:val="auto"/>
                <w:szCs w:val="21"/>
              </w:rPr>
            </w:pPr>
          </w:p>
        </w:tc>
        <w:tc>
          <w:tcPr>
            <w:tcW w:w="361" w:type="pct"/>
            <w:vMerge w:val="continue"/>
            <w:vAlign w:val="center"/>
          </w:tcPr>
          <w:p w14:paraId="1250F039">
            <w:pPr>
              <w:jc w:val="center"/>
              <w:rPr>
                <w:rFonts w:eastAsia="仿宋_GB2312"/>
                <w:color w:val="auto"/>
                <w:szCs w:val="21"/>
              </w:rPr>
            </w:pPr>
          </w:p>
        </w:tc>
        <w:tc>
          <w:tcPr>
            <w:tcW w:w="498" w:type="pct"/>
            <w:vMerge w:val="continue"/>
            <w:vAlign w:val="center"/>
          </w:tcPr>
          <w:p w14:paraId="6E46FBB5">
            <w:pPr>
              <w:keepNext w:val="0"/>
              <w:keepLines w:val="0"/>
              <w:widowControl/>
              <w:suppressLineNumbers w:val="0"/>
              <w:jc w:val="center"/>
              <w:textAlignment w:val="bottom"/>
              <w:rPr>
                <w:rFonts w:eastAsia="仿宋_GB2312"/>
                <w:color w:val="auto"/>
                <w:kern w:val="0"/>
                <w:szCs w:val="21"/>
                <w:lang w:bidi="ar"/>
              </w:rPr>
            </w:pPr>
          </w:p>
        </w:tc>
        <w:tc>
          <w:tcPr>
            <w:tcW w:w="820" w:type="pct"/>
            <w:vAlign w:val="center"/>
          </w:tcPr>
          <w:p w14:paraId="11468DFB">
            <w:pPr>
              <w:widowControl/>
              <w:jc w:val="center"/>
              <w:textAlignment w:val="center"/>
              <w:rPr>
                <w:rFonts w:eastAsia="仿宋_GB2312"/>
                <w:color w:val="auto"/>
                <w:kern w:val="0"/>
                <w:szCs w:val="21"/>
                <w:lang w:bidi="ar"/>
              </w:rPr>
            </w:pPr>
            <w:r>
              <w:rPr>
                <w:rFonts w:eastAsia="仿宋_GB2312"/>
                <w:color w:val="auto"/>
                <w:kern w:val="0"/>
                <w:szCs w:val="21"/>
                <w:lang w:bidi="ar"/>
              </w:rPr>
              <w:t>其他有机物</w:t>
            </w:r>
          </w:p>
        </w:tc>
        <w:tc>
          <w:tcPr>
            <w:tcW w:w="380" w:type="pct"/>
            <w:shd w:val="clear" w:color="auto" w:fill="auto"/>
            <w:vAlign w:val="center"/>
          </w:tcPr>
          <w:p w14:paraId="0743C87F">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0.39</w:t>
            </w:r>
          </w:p>
        </w:tc>
        <w:tc>
          <w:tcPr>
            <w:tcW w:w="445" w:type="pct"/>
            <w:vAlign w:val="center"/>
          </w:tcPr>
          <w:p w14:paraId="37F0DAC8">
            <w:pPr>
              <w:widowControl/>
              <w:jc w:val="center"/>
              <w:textAlignment w:val="center"/>
              <w:rPr>
                <w:rFonts w:eastAsia="仿宋_GB2312"/>
                <w:color w:val="auto"/>
                <w:kern w:val="0"/>
                <w:szCs w:val="21"/>
                <w:lang w:bidi="ar"/>
              </w:rPr>
            </w:pPr>
            <w:r>
              <w:rPr>
                <w:rFonts w:hint="eastAsia" w:eastAsia="仿宋_GB2312"/>
                <w:color w:val="auto"/>
                <w:kern w:val="0"/>
                <w:szCs w:val="21"/>
                <w:lang w:val="en-US" w:eastAsia="zh-CN"/>
              </w:rPr>
              <w:t>2.23</w:t>
            </w:r>
          </w:p>
        </w:tc>
        <w:tc>
          <w:tcPr>
            <w:tcW w:w="630" w:type="pct"/>
            <w:vMerge w:val="continue"/>
            <w:vAlign w:val="center"/>
          </w:tcPr>
          <w:p w14:paraId="40BDAA38">
            <w:pPr>
              <w:jc w:val="center"/>
              <w:rPr>
                <w:rFonts w:eastAsia="仿宋_GB2312"/>
                <w:color w:val="auto"/>
                <w:szCs w:val="21"/>
              </w:rPr>
            </w:pPr>
          </w:p>
        </w:tc>
        <w:tc>
          <w:tcPr>
            <w:tcW w:w="292" w:type="pct"/>
            <w:vMerge w:val="continue"/>
            <w:vAlign w:val="center"/>
          </w:tcPr>
          <w:p w14:paraId="1C43150D">
            <w:pPr>
              <w:jc w:val="center"/>
              <w:rPr>
                <w:rFonts w:eastAsia="仿宋_GB2312"/>
                <w:color w:val="auto"/>
                <w:szCs w:val="21"/>
              </w:rPr>
            </w:pPr>
          </w:p>
        </w:tc>
      </w:tr>
      <w:tr w14:paraId="2089FB1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5FCD6057">
            <w:pPr>
              <w:jc w:val="center"/>
              <w:rPr>
                <w:rFonts w:eastAsia="仿宋_GB2312"/>
                <w:color w:val="auto"/>
                <w:szCs w:val="21"/>
              </w:rPr>
            </w:pPr>
          </w:p>
        </w:tc>
        <w:tc>
          <w:tcPr>
            <w:tcW w:w="358" w:type="pct"/>
            <w:vMerge w:val="continue"/>
            <w:vAlign w:val="center"/>
          </w:tcPr>
          <w:p w14:paraId="1085A549">
            <w:pPr>
              <w:jc w:val="center"/>
              <w:rPr>
                <w:rFonts w:eastAsia="仿宋_GB2312"/>
                <w:color w:val="auto"/>
                <w:szCs w:val="21"/>
              </w:rPr>
            </w:pPr>
          </w:p>
        </w:tc>
        <w:tc>
          <w:tcPr>
            <w:tcW w:w="418" w:type="pct"/>
            <w:vMerge w:val="restart"/>
            <w:vAlign w:val="center"/>
          </w:tcPr>
          <w:p w14:paraId="3642F408">
            <w:pPr>
              <w:jc w:val="center"/>
              <w:rPr>
                <w:rFonts w:eastAsia="仿宋_GB2312"/>
                <w:color w:val="auto"/>
                <w:szCs w:val="21"/>
              </w:rPr>
            </w:pPr>
            <w:r>
              <w:rPr>
                <w:rFonts w:eastAsia="仿宋_GB2312"/>
                <w:color w:val="auto"/>
                <w:kern w:val="0"/>
                <w:szCs w:val="21"/>
                <w:lang w:bidi="ar"/>
              </w:rPr>
              <w:t>G</w:t>
            </w:r>
            <w:r>
              <w:rPr>
                <w:rFonts w:hint="eastAsia" w:eastAsia="仿宋_GB2312"/>
                <w:color w:val="auto"/>
                <w:kern w:val="0"/>
                <w:szCs w:val="21"/>
                <w:lang w:val="en-US" w:eastAsia="zh-CN" w:bidi="ar"/>
              </w:rPr>
              <w:t>2</w:t>
            </w:r>
            <w:r>
              <w:rPr>
                <w:rFonts w:eastAsia="仿宋_GB2312"/>
                <w:color w:val="auto"/>
                <w:kern w:val="0"/>
                <w:szCs w:val="21"/>
                <w:lang w:bidi="ar"/>
              </w:rPr>
              <w:t>-</w:t>
            </w:r>
            <w:r>
              <w:rPr>
                <w:rFonts w:hint="eastAsia" w:eastAsia="仿宋_GB2312"/>
                <w:color w:val="auto"/>
                <w:kern w:val="0"/>
                <w:szCs w:val="21"/>
                <w:lang w:val="en-US" w:eastAsia="zh-CN" w:bidi="ar"/>
              </w:rPr>
              <w:t>6</w:t>
            </w:r>
            <w:r>
              <w:rPr>
                <w:rFonts w:eastAsia="仿宋_GB2312"/>
                <w:color w:val="auto"/>
                <w:kern w:val="0"/>
                <w:szCs w:val="21"/>
                <w:lang w:bidi="ar"/>
              </w:rPr>
              <w:t>-4</w:t>
            </w:r>
          </w:p>
        </w:tc>
        <w:tc>
          <w:tcPr>
            <w:tcW w:w="446" w:type="pct"/>
            <w:vMerge w:val="restart"/>
            <w:vAlign w:val="center"/>
          </w:tcPr>
          <w:p w14:paraId="5A895A3A">
            <w:pPr>
              <w:jc w:val="center"/>
              <w:rPr>
                <w:rFonts w:eastAsia="仿宋_GB2312"/>
                <w:color w:val="auto"/>
                <w:szCs w:val="21"/>
              </w:rPr>
            </w:pPr>
            <w:r>
              <w:rPr>
                <w:rFonts w:eastAsia="仿宋_GB2312"/>
                <w:color w:val="auto"/>
                <w:kern w:val="0"/>
                <w:szCs w:val="21"/>
                <w:lang w:bidi="ar"/>
              </w:rPr>
              <w:t>不凝气</w:t>
            </w:r>
          </w:p>
        </w:tc>
        <w:tc>
          <w:tcPr>
            <w:tcW w:w="361" w:type="pct"/>
            <w:vMerge w:val="restart"/>
            <w:vAlign w:val="center"/>
          </w:tcPr>
          <w:p w14:paraId="3C61D1B4">
            <w:pPr>
              <w:jc w:val="center"/>
              <w:rPr>
                <w:rFonts w:eastAsia="仿宋_GB2312"/>
                <w:color w:val="auto"/>
                <w:szCs w:val="21"/>
              </w:rPr>
            </w:pPr>
            <w:r>
              <w:rPr>
                <w:rFonts w:eastAsia="仿宋_GB2312"/>
                <w:color w:val="auto"/>
                <w:szCs w:val="21"/>
              </w:rPr>
              <w:t>360</w:t>
            </w:r>
          </w:p>
        </w:tc>
        <w:tc>
          <w:tcPr>
            <w:tcW w:w="498" w:type="pct"/>
            <w:vMerge w:val="restart"/>
            <w:vAlign w:val="center"/>
          </w:tcPr>
          <w:p w14:paraId="5DCBD610">
            <w:pPr>
              <w:keepNext w:val="0"/>
              <w:keepLines w:val="0"/>
              <w:widowControl/>
              <w:suppressLineNumbers w:val="0"/>
              <w:jc w:val="center"/>
              <w:textAlignment w:val="bottom"/>
              <w:rPr>
                <w:rFonts w:eastAsia="仿宋_GB2312"/>
                <w:color w:val="auto"/>
                <w:kern w:val="0"/>
                <w:szCs w:val="21"/>
                <w:lang w:bidi="ar"/>
              </w:rPr>
            </w:pPr>
            <w:r>
              <w:rPr>
                <w:rFonts w:hint="default" w:ascii="Times New Roman" w:hAnsi="Times New Roman" w:eastAsia="宋体" w:cs="Times New Roman"/>
                <w:i w:val="0"/>
                <w:iCs w:val="0"/>
                <w:color w:val="auto"/>
                <w:kern w:val="0"/>
                <w:sz w:val="21"/>
                <w:szCs w:val="21"/>
                <w:u w:val="none"/>
                <w:lang w:val="en-US" w:eastAsia="zh-CN" w:bidi="ar"/>
              </w:rPr>
              <w:t>5704</w:t>
            </w:r>
          </w:p>
        </w:tc>
        <w:tc>
          <w:tcPr>
            <w:tcW w:w="820" w:type="pct"/>
            <w:vAlign w:val="center"/>
          </w:tcPr>
          <w:p w14:paraId="7AB9CF32">
            <w:pPr>
              <w:widowControl/>
              <w:jc w:val="center"/>
              <w:textAlignment w:val="center"/>
              <w:rPr>
                <w:rFonts w:eastAsia="仿宋_GB2312"/>
                <w:color w:val="auto"/>
                <w:kern w:val="0"/>
                <w:szCs w:val="21"/>
                <w:lang w:bidi="ar"/>
              </w:rPr>
            </w:pPr>
            <w:r>
              <w:rPr>
                <w:rFonts w:eastAsia="仿宋_GB2312"/>
                <w:color w:val="auto"/>
                <w:kern w:val="0"/>
                <w:szCs w:val="21"/>
                <w:lang w:bidi="ar"/>
              </w:rPr>
              <w:t>DMSO</w:t>
            </w:r>
          </w:p>
        </w:tc>
        <w:tc>
          <w:tcPr>
            <w:tcW w:w="380" w:type="pct"/>
            <w:shd w:val="clear" w:color="auto" w:fill="auto"/>
            <w:vAlign w:val="center"/>
          </w:tcPr>
          <w:p w14:paraId="0B914F30">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0.169</w:t>
            </w:r>
          </w:p>
        </w:tc>
        <w:tc>
          <w:tcPr>
            <w:tcW w:w="445" w:type="pct"/>
            <w:vAlign w:val="center"/>
          </w:tcPr>
          <w:p w14:paraId="1A12BE78">
            <w:pPr>
              <w:widowControl/>
              <w:jc w:val="center"/>
              <w:textAlignment w:val="center"/>
              <w:rPr>
                <w:rFonts w:eastAsia="仿宋_GB2312"/>
                <w:color w:val="auto"/>
                <w:kern w:val="0"/>
                <w:szCs w:val="21"/>
                <w:lang w:bidi="ar"/>
              </w:rPr>
            </w:pPr>
            <w:r>
              <w:rPr>
                <w:rFonts w:hint="eastAsia" w:eastAsia="仿宋_GB2312"/>
                <w:color w:val="auto"/>
                <w:kern w:val="0"/>
                <w:szCs w:val="21"/>
                <w:lang w:val="en-US" w:eastAsia="zh-CN"/>
              </w:rPr>
              <w:t>0.966</w:t>
            </w:r>
          </w:p>
        </w:tc>
        <w:tc>
          <w:tcPr>
            <w:tcW w:w="630" w:type="pct"/>
            <w:vMerge w:val="continue"/>
            <w:vAlign w:val="center"/>
          </w:tcPr>
          <w:p w14:paraId="721AE2B8">
            <w:pPr>
              <w:jc w:val="center"/>
              <w:rPr>
                <w:rFonts w:eastAsia="仿宋_GB2312"/>
                <w:color w:val="auto"/>
                <w:szCs w:val="21"/>
              </w:rPr>
            </w:pPr>
          </w:p>
        </w:tc>
        <w:tc>
          <w:tcPr>
            <w:tcW w:w="292" w:type="pct"/>
            <w:vMerge w:val="continue"/>
            <w:vAlign w:val="center"/>
          </w:tcPr>
          <w:p w14:paraId="5E098AA2">
            <w:pPr>
              <w:jc w:val="center"/>
              <w:rPr>
                <w:rFonts w:eastAsia="仿宋_GB2312"/>
                <w:color w:val="auto"/>
                <w:szCs w:val="21"/>
              </w:rPr>
            </w:pPr>
          </w:p>
        </w:tc>
      </w:tr>
      <w:tr w14:paraId="40A666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71EBE776">
            <w:pPr>
              <w:jc w:val="center"/>
              <w:rPr>
                <w:rFonts w:eastAsia="仿宋_GB2312"/>
                <w:color w:val="auto"/>
                <w:szCs w:val="21"/>
              </w:rPr>
            </w:pPr>
          </w:p>
        </w:tc>
        <w:tc>
          <w:tcPr>
            <w:tcW w:w="358" w:type="pct"/>
            <w:vMerge w:val="continue"/>
            <w:vAlign w:val="center"/>
          </w:tcPr>
          <w:p w14:paraId="798EBE07">
            <w:pPr>
              <w:jc w:val="center"/>
              <w:rPr>
                <w:rFonts w:eastAsia="仿宋_GB2312"/>
                <w:color w:val="auto"/>
                <w:szCs w:val="21"/>
              </w:rPr>
            </w:pPr>
          </w:p>
        </w:tc>
        <w:tc>
          <w:tcPr>
            <w:tcW w:w="418" w:type="pct"/>
            <w:vMerge w:val="continue"/>
            <w:vAlign w:val="center"/>
          </w:tcPr>
          <w:p w14:paraId="6E462D7F">
            <w:pPr>
              <w:jc w:val="center"/>
              <w:rPr>
                <w:rFonts w:eastAsia="仿宋_GB2312"/>
                <w:color w:val="auto"/>
                <w:szCs w:val="21"/>
              </w:rPr>
            </w:pPr>
          </w:p>
        </w:tc>
        <w:tc>
          <w:tcPr>
            <w:tcW w:w="446" w:type="pct"/>
            <w:vMerge w:val="continue"/>
            <w:vAlign w:val="center"/>
          </w:tcPr>
          <w:p w14:paraId="5606C1F3">
            <w:pPr>
              <w:jc w:val="center"/>
              <w:rPr>
                <w:rFonts w:eastAsia="仿宋_GB2312"/>
                <w:color w:val="auto"/>
                <w:szCs w:val="21"/>
              </w:rPr>
            </w:pPr>
          </w:p>
        </w:tc>
        <w:tc>
          <w:tcPr>
            <w:tcW w:w="361" w:type="pct"/>
            <w:vMerge w:val="continue"/>
            <w:vAlign w:val="center"/>
          </w:tcPr>
          <w:p w14:paraId="2BAEE798">
            <w:pPr>
              <w:jc w:val="center"/>
              <w:rPr>
                <w:rFonts w:eastAsia="仿宋_GB2312"/>
                <w:color w:val="auto"/>
                <w:szCs w:val="21"/>
              </w:rPr>
            </w:pPr>
          </w:p>
        </w:tc>
        <w:tc>
          <w:tcPr>
            <w:tcW w:w="498" w:type="pct"/>
            <w:vMerge w:val="continue"/>
            <w:vAlign w:val="center"/>
          </w:tcPr>
          <w:p w14:paraId="4F2A5E01">
            <w:pPr>
              <w:keepNext w:val="0"/>
              <w:keepLines w:val="0"/>
              <w:widowControl/>
              <w:suppressLineNumbers w:val="0"/>
              <w:jc w:val="center"/>
              <w:textAlignment w:val="bottom"/>
              <w:rPr>
                <w:rFonts w:eastAsia="仿宋_GB2312"/>
                <w:color w:val="auto"/>
                <w:kern w:val="0"/>
                <w:szCs w:val="21"/>
                <w:lang w:bidi="ar"/>
              </w:rPr>
            </w:pPr>
          </w:p>
        </w:tc>
        <w:tc>
          <w:tcPr>
            <w:tcW w:w="820" w:type="pct"/>
            <w:vAlign w:val="center"/>
          </w:tcPr>
          <w:p w14:paraId="672F30D2">
            <w:pPr>
              <w:widowControl/>
              <w:jc w:val="center"/>
              <w:textAlignment w:val="center"/>
              <w:rPr>
                <w:rFonts w:eastAsia="仿宋_GB2312"/>
                <w:color w:val="auto"/>
                <w:kern w:val="0"/>
                <w:szCs w:val="21"/>
                <w:lang w:bidi="ar"/>
              </w:rPr>
            </w:pPr>
            <w:r>
              <w:rPr>
                <w:rFonts w:eastAsia="仿宋_GB2312"/>
                <w:color w:val="auto"/>
                <w:kern w:val="0"/>
                <w:szCs w:val="21"/>
                <w:lang w:bidi="ar"/>
              </w:rPr>
              <w:t>其他有机物</w:t>
            </w:r>
          </w:p>
        </w:tc>
        <w:tc>
          <w:tcPr>
            <w:tcW w:w="380" w:type="pct"/>
            <w:shd w:val="clear" w:color="auto" w:fill="auto"/>
            <w:vAlign w:val="center"/>
          </w:tcPr>
          <w:p w14:paraId="33856829">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0.008</w:t>
            </w:r>
          </w:p>
        </w:tc>
        <w:tc>
          <w:tcPr>
            <w:tcW w:w="445" w:type="pct"/>
            <w:vAlign w:val="center"/>
          </w:tcPr>
          <w:p w14:paraId="0D60812E">
            <w:pPr>
              <w:widowControl/>
              <w:jc w:val="center"/>
              <w:textAlignment w:val="center"/>
              <w:rPr>
                <w:rFonts w:eastAsia="仿宋_GB2312"/>
                <w:color w:val="auto"/>
                <w:kern w:val="0"/>
                <w:szCs w:val="21"/>
                <w:lang w:bidi="ar"/>
              </w:rPr>
            </w:pPr>
            <w:r>
              <w:rPr>
                <w:rFonts w:hint="eastAsia" w:eastAsia="仿宋_GB2312"/>
                <w:color w:val="auto"/>
                <w:kern w:val="0"/>
                <w:szCs w:val="21"/>
                <w:lang w:val="en-US" w:eastAsia="zh-CN"/>
              </w:rPr>
              <w:t>0.048</w:t>
            </w:r>
          </w:p>
        </w:tc>
        <w:tc>
          <w:tcPr>
            <w:tcW w:w="630" w:type="pct"/>
            <w:vMerge w:val="continue"/>
            <w:vAlign w:val="center"/>
          </w:tcPr>
          <w:p w14:paraId="07DDE0C0">
            <w:pPr>
              <w:jc w:val="center"/>
              <w:rPr>
                <w:rFonts w:eastAsia="仿宋_GB2312"/>
                <w:color w:val="auto"/>
                <w:szCs w:val="21"/>
              </w:rPr>
            </w:pPr>
          </w:p>
        </w:tc>
        <w:tc>
          <w:tcPr>
            <w:tcW w:w="292" w:type="pct"/>
            <w:vMerge w:val="continue"/>
            <w:vAlign w:val="center"/>
          </w:tcPr>
          <w:p w14:paraId="183CBC33">
            <w:pPr>
              <w:jc w:val="center"/>
              <w:rPr>
                <w:rFonts w:eastAsia="仿宋_GB2312"/>
                <w:color w:val="auto"/>
                <w:szCs w:val="21"/>
              </w:rPr>
            </w:pPr>
          </w:p>
        </w:tc>
      </w:tr>
      <w:tr w14:paraId="4BB498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52F34A26">
            <w:pPr>
              <w:jc w:val="center"/>
              <w:rPr>
                <w:rFonts w:eastAsia="仿宋_GB2312"/>
                <w:color w:val="auto"/>
                <w:szCs w:val="21"/>
              </w:rPr>
            </w:pPr>
          </w:p>
        </w:tc>
        <w:tc>
          <w:tcPr>
            <w:tcW w:w="358" w:type="pct"/>
            <w:vMerge w:val="continue"/>
            <w:vAlign w:val="center"/>
          </w:tcPr>
          <w:p w14:paraId="3A77517A">
            <w:pPr>
              <w:jc w:val="center"/>
              <w:rPr>
                <w:rFonts w:eastAsia="仿宋_GB2312"/>
                <w:color w:val="auto"/>
                <w:szCs w:val="21"/>
              </w:rPr>
            </w:pPr>
          </w:p>
        </w:tc>
        <w:tc>
          <w:tcPr>
            <w:tcW w:w="418" w:type="pct"/>
            <w:vMerge w:val="restart"/>
            <w:vAlign w:val="center"/>
          </w:tcPr>
          <w:p w14:paraId="49E452BA">
            <w:pPr>
              <w:jc w:val="center"/>
              <w:rPr>
                <w:rFonts w:eastAsia="仿宋_GB2312"/>
                <w:color w:val="auto"/>
                <w:szCs w:val="21"/>
              </w:rPr>
            </w:pPr>
            <w:r>
              <w:rPr>
                <w:rFonts w:eastAsia="仿宋_GB2312"/>
                <w:color w:val="auto"/>
                <w:kern w:val="0"/>
                <w:szCs w:val="21"/>
                <w:lang w:bidi="ar"/>
              </w:rPr>
              <w:t>G</w:t>
            </w:r>
            <w:r>
              <w:rPr>
                <w:rFonts w:hint="eastAsia" w:eastAsia="仿宋_GB2312"/>
                <w:color w:val="auto"/>
                <w:kern w:val="0"/>
                <w:szCs w:val="21"/>
                <w:lang w:val="en-US" w:eastAsia="zh-CN" w:bidi="ar"/>
              </w:rPr>
              <w:t>2</w:t>
            </w:r>
            <w:r>
              <w:rPr>
                <w:rFonts w:eastAsia="仿宋_GB2312"/>
                <w:color w:val="auto"/>
                <w:kern w:val="0"/>
                <w:szCs w:val="21"/>
                <w:lang w:bidi="ar"/>
              </w:rPr>
              <w:t>-</w:t>
            </w:r>
            <w:r>
              <w:rPr>
                <w:rFonts w:hint="eastAsia" w:eastAsia="仿宋_GB2312"/>
                <w:color w:val="auto"/>
                <w:kern w:val="0"/>
                <w:szCs w:val="21"/>
                <w:lang w:val="en-US" w:eastAsia="zh-CN" w:bidi="ar"/>
              </w:rPr>
              <w:t>6</w:t>
            </w:r>
            <w:r>
              <w:rPr>
                <w:rFonts w:eastAsia="仿宋_GB2312"/>
                <w:color w:val="auto"/>
                <w:kern w:val="0"/>
                <w:szCs w:val="21"/>
                <w:lang w:bidi="ar"/>
              </w:rPr>
              <w:t>-5</w:t>
            </w:r>
          </w:p>
        </w:tc>
        <w:tc>
          <w:tcPr>
            <w:tcW w:w="446" w:type="pct"/>
            <w:vMerge w:val="restart"/>
            <w:vAlign w:val="center"/>
          </w:tcPr>
          <w:p w14:paraId="44071519">
            <w:pPr>
              <w:jc w:val="center"/>
              <w:rPr>
                <w:rFonts w:eastAsia="仿宋_GB2312"/>
                <w:color w:val="auto"/>
                <w:szCs w:val="21"/>
              </w:rPr>
            </w:pPr>
            <w:r>
              <w:rPr>
                <w:rFonts w:eastAsia="仿宋_GB2312"/>
                <w:color w:val="auto"/>
                <w:kern w:val="0"/>
                <w:szCs w:val="21"/>
                <w:lang w:bidi="ar"/>
              </w:rPr>
              <w:t>灌装废气</w:t>
            </w:r>
          </w:p>
        </w:tc>
        <w:tc>
          <w:tcPr>
            <w:tcW w:w="361" w:type="pct"/>
            <w:vMerge w:val="restart"/>
            <w:vAlign w:val="center"/>
          </w:tcPr>
          <w:p w14:paraId="1178265F">
            <w:pPr>
              <w:jc w:val="center"/>
              <w:rPr>
                <w:rFonts w:hint="default" w:eastAsia="仿宋_GB2312"/>
                <w:color w:val="auto"/>
                <w:szCs w:val="21"/>
                <w:lang w:val="en-US" w:eastAsia="zh-CN"/>
              </w:rPr>
            </w:pPr>
            <w:r>
              <w:rPr>
                <w:rFonts w:hint="eastAsia" w:eastAsia="仿宋_GB2312"/>
                <w:color w:val="auto"/>
                <w:szCs w:val="21"/>
                <w:lang w:val="en-US" w:eastAsia="zh-CN"/>
              </w:rPr>
              <w:t>2000</w:t>
            </w:r>
          </w:p>
        </w:tc>
        <w:tc>
          <w:tcPr>
            <w:tcW w:w="498" w:type="pct"/>
            <w:vMerge w:val="restart"/>
            <w:vAlign w:val="center"/>
          </w:tcPr>
          <w:p w14:paraId="4B0F7F36">
            <w:pPr>
              <w:keepNext w:val="0"/>
              <w:keepLines w:val="0"/>
              <w:widowControl/>
              <w:suppressLineNumbers w:val="0"/>
              <w:jc w:val="center"/>
              <w:textAlignment w:val="bottom"/>
              <w:rPr>
                <w:rFonts w:eastAsia="仿宋_GB2312"/>
                <w:color w:val="auto"/>
                <w:kern w:val="0"/>
                <w:szCs w:val="21"/>
                <w:lang w:bidi="ar"/>
              </w:rPr>
            </w:pPr>
            <w:r>
              <w:rPr>
                <w:rFonts w:hint="default" w:ascii="Times New Roman" w:hAnsi="Times New Roman" w:eastAsia="宋体" w:cs="Times New Roman"/>
                <w:i w:val="0"/>
                <w:iCs w:val="0"/>
                <w:color w:val="auto"/>
                <w:kern w:val="0"/>
                <w:sz w:val="21"/>
                <w:szCs w:val="21"/>
                <w:u w:val="none"/>
                <w:lang w:val="en-US" w:eastAsia="zh-CN" w:bidi="ar"/>
              </w:rPr>
              <w:t>2852</w:t>
            </w:r>
          </w:p>
        </w:tc>
        <w:tc>
          <w:tcPr>
            <w:tcW w:w="820" w:type="pct"/>
            <w:vAlign w:val="center"/>
          </w:tcPr>
          <w:p w14:paraId="33BA86CE">
            <w:pPr>
              <w:widowControl/>
              <w:jc w:val="center"/>
              <w:textAlignment w:val="center"/>
              <w:rPr>
                <w:rFonts w:eastAsia="仿宋_GB2312"/>
                <w:color w:val="auto"/>
                <w:kern w:val="0"/>
                <w:szCs w:val="21"/>
                <w:lang w:bidi="ar"/>
              </w:rPr>
            </w:pPr>
            <w:r>
              <w:rPr>
                <w:rFonts w:eastAsia="仿宋_GB2312"/>
                <w:color w:val="auto"/>
                <w:kern w:val="0"/>
                <w:szCs w:val="21"/>
                <w:lang w:bidi="ar"/>
              </w:rPr>
              <w:t>DMSO</w:t>
            </w:r>
          </w:p>
        </w:tc>
        <w:tc>
          <w:tcPr>
            <w:tcW w:w="380" w:type="pct"/>
            <w:shd w:val="clear" w:color="auto" w:fill="auto"/>
            <w:vAlign w:val="center"/>
          </w:tcPr>
          <w:p w14:paraId="632BEDBD">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4.63</w:t>
            </w:r>
            <w:r>
              <w:rPr>
                <w:rFonts w:hint="eastAsia" w:ascii="Times New Roman" w:hAnsi="Times New Roman" w:eastAsia="宋体" w:cs="Times New Roman"/>
                <w:i w:val="0"/>
                <w:iCs w:val="0"/>
                <w:color w:val="auto"/>
                <w:kern w:val="0"/>
                <w:sz w:val="21"/>
                <w:szCs w:val="21"/>
                <w:u w:val="none"/>
                <w:lang w:val="en-US" w:eastAsia="zh-CN" w:bidi="ar"/>
              </w:rPr>
              <w:t>5</w:t>
            </w:r>
          </w:p>
        </w:tc>
        <w:tc>
          <w:tcPr>
            <w:tcW w:w="445" w:type="pct"/>
            <w:vAlign w:val="center"/>
          </w:tcPr>
          <w:p w14:paraId="28B68F30">
            <w:pPr>
              <w:widowControl/>
              <w:jc w:val="center"/>
              <w:textAlignment w:val="center"/>
              <w:rPr>
                <w:rFonts w:eastAsia="仿宋_GB2312"/>
                <w:color w:val="auto"/>
                <w:kern w:val="0"/>
                <w:szCs w:val="21"/>
                <w:lang w:bidi="ar"/>
              </w:rPr>
            </w:pPr>
            <w:r>
              <w:rPr>
                <w:rFonts w:hint="eastAsia" w:ascii="Times New Roman" w:hAnsi="Times New Roman" w:eastAsia="仿宋_GB2312" w:cs="Times New Roman"/>
                <w:color w:val="auto"/>
                <w:kern w:val="0"/>
                <w:szCs w:val="21"/>
                <w:lang w:val="en-US" w:eastAsia="zh-CN" w:bidi="ar"/>
              </w:rPr>
              <w:t>13.219</w:t>
            </w:r>
          </w:p>
        </w:tc>
        <w:tc>
          <w:tcPr>
            <w:tcW w:w="630" w:type="pct"/>
            <w:vMerge w:val="restart"/>
            <w:shd w:val="clear" w:color="auto" w:fill="auto"/>
            <w:vAlign w:val="center"/>
          </w:tcPr>
          <w:p w14:paraId="4005E6A2">
            <w:pPr>
              <w:jc w:val="center"/>
              <w:rPr>
                <w:rFonts w:ascii="Times New Roman" w:hAnsi="Times New Roman" w:eastAsia="仿宋_GB2312" w:cs="Times New Roman"/>
                <w:color w:val="auto"/>
                <w:kern w:val="2"/>
                <w:sz w:val="21"/>
                <w:szCs w:val="21"/>
                <w:lang w:val="en-US" w:eastAsia="zh-CN" w:bidi="ar-SA"/>
              </w:rPr>
            </w:pPr>
            <w:r>
              <w:rPr>
                <w:rFonts w:hint="eastAsia" w:eastAsia="仿宋_GB2312"/>
                <w:color w:val="auto"/>
                <w:szCs w:val="21"/>
              </w:rPr>
              <w:t>冷凝+酸吸收+碱吸收+水洗+活性炭吸附/脱附</w:t>
            </w:r>
          </w:p>
        </w:tc>
        <w:tc>
          <w:tcPr>
            <w:tcW w:w="292" w:type="pct"/>
            <w:vMerge w:val="restart"/>
            <w:shd w:val="clear" w:color="auto" w:fill="auto"/>
            <w:vAlign w:val="center"/>
          </w:tcPr>
          <w:p w14:paraId="40637C49">
            <w:pPr>
              <w:jc w:val="center"/>
              <w:rPr>
                <w:rFonts w:ascii="Times New Roman" w:hAnsi="Times New Roman" w:eastAsia="仿宋_GB2312" w:cs="Times New Roman"/>
                <w:color w:val="auto"/>
                <w:kern w:val="2"/>
                <w:sz w:val="21"/>
                <w:szCs w:val="21"/>
                <w:lang w:val="en-US" w:eastAsia="zh-CN" w:bidi="ar-SA"/>
              </w:rPr>
            </w:pPr>
            <w:r>
              <w:rPr>
                <w:rFonts w:hint="eastAsia" w:eastAsia="仿宋_GB2312"/>
                <w:color w:val="auto"/>
              </w:rPr>
              <w:t>DA005</w:t>
            </w:r>
          </w:p>
        </w:tc>
      </w:tr>
      <w:tr w14:paraId="22317F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05D35D5A">
            <w:pPr>
              <w:jc w:val="center"/>
              <w:rPr>
                <w:rFonts w:eastAsia="仿宋_GB2312"/>
                <w:color w:val="auto"/>
                <w:szCs w:val="21"/>
              </w:rPr>
            </w:pPr>
          </w:p>
        </w:tc>
        <w:tc>
          <w:tcPr>
            <w:tcW w:w="358" w:type="pct"/>
            <w:vMerge w:val="continue"/>
            <w:vAlign w:val="center"/>
          </w:tcPr>
          <w:p w14:paraId="3985148D">
            <w:pPr>
              <w:jc w:val="center"/>
              <w:rPr>
                <w:rFonts w:eastAsia="仿宋_GB2312"/>
                <w:color w:val="auto"/>
                <w:szCs w:val="21"/>
              </w:rPr>
            </w:pPr>
          </w:p>
        </w:tc>
        <w:tc>
          <w:tcPr>
            <w:tcW w:w="418" w:type="pct"/>
            <w:vMerge w:val="continue"/>
            <w:vAlign w:val="center"/>
          </w:tcPr>
          <w:p w14:paraId="7C2A099F">
            <w:pPr>
              <w:jc w:val="center"/>
              <w:rPr>
                <w:rFonts w:eastAsia="仿宋_GB2312"/>
                <w:color w:val="auto"/>
                <w:szCs w:val="21"/>
              </w:rPr>
            </w:pPr>
          </w:p>
        </w:tc>
        <w:tc>
          <w:tcPr>
            <w:tcW w:w="446" w:type="pct"/>
            <w:vMerge w:val="continue"/>
            <w:vAlign w:val="center"/>
          </w:tcPr>
          <w:p w14:paraId="1701CDC1">
            <w:pPr>
              <w:jc w:val="center"/>
              <w:rPr>
                <w:rFonts w:eastAsia="仿宋_GB2312"/>
                <w:color w:val="auto"/>
                <w:szCs w:val="21"/>
              </w:rPr>
            </w:pPr>
          </w:p>
        </w:tc>
        <w:tc>
          <w:tcPr>
            <w:tcW w:w="361" w:type="pct"/>
            <w:vMerge w:val="continue"/>
            <w:vAlign w:val="center"/>
          </w:tcPr>
          <w:p w14:paraId="6E41DEAE">
            <w:pPr>
              <w:jc w:val="center"/>
              <w:rPr>
                <w:rFonts w:eastAsia="仿宋_GB2312"/>
                <w:color w:val="auto"/>
                <w:szCs w:val="21"/>
              </w:rPr>
            </w:pPr>
          </w:p>
        </w:tc>
        <w:tc>
          <w:tcPr>
            <w:tcW w:w="498" w:type="pct"/>
            <w:vMerge w:val="continue"/>
            <w:vAlign w:val="center"/>
          </w:tcPr>
          <w:p w14:paraId="30D10D25">
            <w:pPr>
              <w:keepNext w:val="0"/>
              <w:keepLines w:val="0"/>
              <w:widowControl/>
              <w:suppressLineNumbers w:val="0"/>
              <w:jc w:val="center"/>
              <w:textAlignment w:val="bottom"/>
              <w:rPr>
                <w:rFonts w:eastAsia="仿宋_GB2312"/>
                <w:color w:val="auto"/>
                <w:kern w:val="0"/>
                <w:szCs w:val="21"/>
                <w:lang w:bidi="ar"/>
              </w:rPr>
            </w:pPr>
          </w:p>
        </w:tc>
        <w:tc>
          <w:tcPr>
            <w:tcW w:w="820" w:type="pct"/>
            <w:vAlign w:val="center"/>
          </w:tcPr>
          <w:p w14:paraId="11214519">
            <w:pPr>
              <w:widowControl/>
              <w:jc w:val="center"/>
              <w:textAlignment w:val="center"/>
              <w:rPr>
                <w:rFonts w:eastAsia="仿宋_GB2312"/>
                <w:color w:val="auto"/>
                <w:kern w:val="0"/>
                <w:szCs w:val="21"/>
                <w:lang w:bidi="ar"/>
              </w:rPr>
            </w:pPr>
            <w:r>
              <w:rPr>
                <w:rFonts w:eastAsia="仿宋_GB2312"/>
                <w:color w:val="auto"/>
                <w:kern w:val="0"/>
                <w:szCs w:val="21"/>
                <w:lang w:bidi="ar"/>
              </w:rPr>
              <w:t>其他有机物</w:t>
            </w:r>
          </w:p>
        </w:tc>
        <w:tc>
          <w:tcPr>
            <w:tcW w:w="380" w:type="pct"/>
            <w:shd w:val="clear" w:color="auto" w:fill="auto"/>
            <w:vAlign w:val="center"/>
          </w:tcPr>
          <w:p w14:paraId="226755C1">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0.034</w:t>
            </w:r>
          </w:p>
        </w:tc>
        <w:tc>
          <w:tcPr>
            <w:tcW w:w="445" w:type="pct"/>
            <w:vAlign w:val="center"/>
          </w:tcPr>
          <w:p w14:paraId="104CCEE1">
            <w:pPr>
              <w:widowControl/>
              <w:jc w:val="center"/>
              <w:textAlignment w:val="center"/>
              <w:rPr>
                <w:rFonts w:eastAsia="仿宋_GB2312"/>
                <w:color w:val="auto"/>
                <w:kern w:val="0"/>
                <w:szCs w:val="21"/>
                <w:lang w:bidi="ar"/>
              </w:rPr>
            </w:pPr>
            <w:r>
              <w:rPr>
                <w:rFonts w:hint="eastAsia" w:ascii="Times New Roman" w:hAnsi="Times New Roman" w:eastAsia="仿宋_GB2312" w:cs="Times New Roman"/>
                <w:color w:val="auto"/>
                <w:kern w:val="0"/>
                <w:szCs w:val="21"/>
                <w:lang w:val="en-US" w:eastAsia="zh-CN" w:bidi="ar"/>
              </w:rPr>
              <w:t>0.0978</w:t>
            </w:r>
          </w:p>
        </w:tc>
        <w:tc>
          <w:tcPr>
            <w:tcW w:w="630" w:type="pct"/>
            <w:vMerge w:val="continue"/>
            <w:vAlign w:val="center"/>
          </w:tcPr>
          <w:p w14:paraId="312C8BFA">
            <w:pPr>
              <w:jc w:val="center"/>
              <w:rPr>
                <w:rFonts w:eastAsia="仿宋_GB2312"/>
                <w:color w:val="auto"/>
                <w:szCs w:val="21"/>
              </w:rPr>
            </w:pPr>
          </w:p>
        </w:tc>
        <w:tc>
          <w:tcPr>
            <w:tcW w:w="292" w:type="pct"/>
            <w:vMerge w:val="continue"/>
            <w:vAlign w:val="center"/>
          </w:tcPr>
          <w:p w14:paraId="4200C733">
            <w:pPr>
              <w:jc w:val="center"/>
              <w:rPr>
                <w:rFonts w:eastAsia="仿宋_GB2312"/>
                <w:color w:val="auto"/>
                <w:szCs w:val="21"/>
              </w:rPr>
            </w:pPr>
          </w:p>
        </w:tc>
      </w:tr>
      <w:tr w14:paraId="0A0EAF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restart"/>
            <w:vAlign w:val="center"/>
          </w:tcPr>
          <w:p w14:paraId="405C0583">
            <w:pPr>
              <w:jc w:val="center"/>
              <w:rPr>
                <w:rFonts w:eastAsia="仿宋_GB2312"/>
                <w:color w:val="auto"/>
                <w:szCs w:val="21"/>
              </w:rPr>
            </w:pPr>
            <w:r>
              <w:rPr>
                <w:rFonts w:eastAsia="仿宋_GB2312"/>
                <w:color w:val="auto"/>
                <w:szCs w:val="21"/>
              </w:rPr>
              <w:t>B-7车间</w:t>
            </w:r>
          </w:p>
        </w:tc>
        <w:tc>
          <w:tcPr>
            <w:tcW w:w="358" w:type="pct"/>
            <w:vMerge w:val="restart"/>
            <w:vAlign w:val="center"/>
          </w:tcPr>
          <w:p w14:paraId="442195AF">
            <w:pPr>
              <w:jc w:val="center"/>
              <w:rPr>
                <w:rFonts w:eastAsia="仿宋_GB2312"/>
                <w:color w:val="auto"/>
                <w:szCs w:val="21"/>
              </w:rPr>
            </w:pPr>
            <w:r>
              <w:rPr>
                <w:rFonts w:eastAsia="仿宋_GB2312"/>
                <w:color w:val="auto"/>
                <w:szCs w:val="21"/>
              </w:rPr>
              <w:t>废辛醇、丁醇轻重组分废液</w:t>
            </w:r>
          </w:p>
        </w:tc>
        <w:tc>
          <w:tcPr>
            <w:tcW w:w="418" w:type="pct"/>
            <w:vMerge w:val="restart"/>
            <w:vAlign w:val="center"/>
          </w:tcPr>
          <w:p w14:paraId="6DEFA121">
            <w:pPr>
              <w:jc w:val="center"/>
              <w:rPr>
                <w:rFonts w:eastAsia="仿宋_GB2312"/>
                <w:color w:val="auto"/>
                <w:szCs w:val="21"/>
              </w:rPr>
            </w:pPr>
            <w:r>
              <w:rPr>
                <w:rFonts w:eastAsia="仿宋_GB2312"/>
                <w:color w:val="auto"/>
                <w:kern w:val="0"/>
                <w:szCs w:val="21"/>
                <w:lang w:bidi="ar"/>
              </w:rPr>
              <w:t>G</w:t>
            </w:r>
            <w:r>
              <w:rPr>
                <w:rFonts w:hint="eastAsia" w:eastAsia="仿宋_GB2312"/>
                <w:color w:val="auto"/>
                <w:kern w:val="0"/>
                <w:szCs w:val="21"/>
                <w:lang w:val="en-US" w:eastAsia="zh-CN" w:bidi="ar"/>
              </w:rPr>
              <w:t>2</w:t>
            </w:r>
            <w:r>
              <w:rPr>
                <w:rFonts w:eastAsia="仿宋_GB2312"/>
                <w:color w:val="auto"/>
                <w:kern w:val="0"/>
                <w:szCs w:val="21"/>
                <w:lang w:bidi="ar"/>
              </w:rPr>
              <w:t>-</w:t>
            </w:r>
            <w:r>
              <w:rPr>
                <w:rFonts w:hint="eastAsia" w:eastAsia="仿宋_GB2312"/>
                <w:color w:val="auto"/>
                <w:kern w:val="0"/>
                <w:szCs w:val="21"/>
                <w:lang w:val="en-US" w:eastAsia="zh-CN" w:bidi="ar"/>
              </w:rPr>
              <w:t>7</w:t>
            </w:r>
            <w:r>
              <w:rPr>
                <w:rFonts w:eastAsia="仿宋_GB2312"/>
                <w:color w:val="auto"/>
                <w:kern w:val="0"/>
                <w:szCs w:val="21"/>
                <w:lang w:bidi="ar"/>
              </w:rPr>
              <w:t>-1</w:t>
            </w:r>
          </w:p>
        </w:tc>
        <w:tc>
          <w:tcPr>
            <w:tcW w:w="446" w:type="pct"/>
            <w:vMerge w:val="restart"/>
            <w:vAlign w:val="center"/>
          </w:tcPr>
          <w:p w14:paraId="7F1222C5">
            <w:pPr>
              <w:jc w:val="center"/>
              <w:rPr>
                <w:rFonts w:eastAsia="仿宋_GB2312"/>
                <w:color w:val="auto"/>
                <w:szCs w:val="21"/>
              </w:rPr>
            </w:pPr>
            <w:r>
              <w:rPr>
                <w:rFonts w:eastAsia="仿宋_GB2312"/>
                <w:color w:val="auto"/>
                <w:kern w:val="0"/>
                <w:szCs w:val="21"/>
                <w:lang w:bidi="ar"/>
              </w:rPr>
              <w:t>投料废气</w:t>
            </w:r>
          </w:p>
        </w:tc>
        <w:tc>
          <w:tcPr>
            <w:tcW w:w="361" w:type="pct"/>
            <w:vMerge w:val="restart"/>
            <w:vAlign w:val="center"/>
          </w:tcPr>
          <w:p w14:paraId="1763DBA6">
            <w:pPr>
              <w:jc w:val="center"/>
              <w:rPr>
                <w:rFonts w:hint="default" w:eastAsia="仿宋_GB2312"/>
                <w:color w:val="auto"/>
                <w:szCs w:val="21"/>
                <w:lang w:val="en-US" w:eastAsia="zh-CN"/>
              </w:rPr>
            </w:pPr>
            <w:r>
              <w:rPr>
                <w:rFonts w:hint="eastAsia" w:eastAsia="仿宋_GB2312"/>
                <w:color w:val="auto"/>
                <w:szCs w:val="21"/>
                <w:lang w:val="en-US" w:eastAsia="zh-CN"/>
              </w:rPr>
              <w:t>2000</w:t>
            </w:r>
          </w:p>
        </w:tc>
        <w:tc>
          <w:tcPr>
            <w:tcW w:w="498" w:type="pct"/>
            <w:vMerge w:val="restart"/>
            <w:shd w:val="clear" w:color="auto" w:fill="auto"/>
            <w:vAlign w:val="center"/>
          </w:tcPr>
          <w:p w14:paraId="4C193586">
            <w:pPr>
              <w:keepNext w:val="0"/>
              <w:keepLines w:val="0"/>
              <w:widowControl/>
              <w:suppressLineNumbers w:val="0"/>
              <w:jc w:val="center"/>
              <w:textAlignment w:val="bottom"/>
              <w:rPr>
                <w:rFonts w:eastAsia="仿宋_GB2312"/>
                <w:color w:val="auto"/>
                <w:kern w:val="0"/>
                <w:szCs w:val="21"/>
                <w:lang w:bidi="ar"/>
              </w:rPr>
            </w:pPr>
            <w:r>
              <w:rPr>
                <w:rFonts w:hint="default" w:ascii="Times New Roman" w:hAnsi="Times New Roman" w:eastAsia="宋体" w:cs="Times New Roman"/>
                <w:i w:val="0"/>
                <w:iCs w:val="0"/>
                <w:color w:val="auto"/>
                <w:kern w:val="0"/>
                <w:sz w:val="21"/>
                <w:szCs w:val="21"/>
                <w:u w:val="none"/>
                <w:lang w:val="en-US" w:eastAsia="zh-CN" w:bidi="ar"/>
              </w:rPr>
              <w:t>264</w:t>
            </w:r>
          </w:p>
        </w:tc>
        <w:tc>
          <w:tcPr>
            <w:tcW w:w="820" w:type="pct"/>
            <w:shd w:val="clear" w:color="auto" w:fill="auto"/>
            <w:vAlign w:val="center"/>
          </w:tcPr>
          <w:p w14:paraId="442507F4">
            <w:pPr>
              <w:widowControl/>
              <w:jc w:val="center"/>
              <w:textAlignment w:val="center"/>
              <w:rPr>
                <w:rFonts w:ascii="Times New Roman" w:hAnsi="Times New Roman" w:eastAsia="仿宋_GB2312" w:cs="Times New Roman"/>
                <w:b/>
                <w:bCs/>
                <w:color w:val="auto"/>
                <w:kern w:val="0"/>
                <w:sz w:val="21"/>
                <w:szCs w:val="21"/>
                <w:lang w:val="en-US" w:eastAsia="zh-CN" w:bidi="ar"/>
              </w:rPr>
            </w:pPr>
            <w:r>
              <w:rPr>
                <w:rFonts w:eastAsia="仿宋_GB2312"/>
                <w:color w:val="auto"/>
                <w:kern w:val="0"/>
                <w:szCs w:val="21"/>
                <w:lang w:bidi="ar"/>
              </w:rPr>
              <w:t>丁醇</w:t>
            </w:r>
          </w:p>
        </w:tc>
        <w:tc>
          <w:tcPr>
            <w:tcW w:w="380" w:type="pct"/>
            <w:shd w:val="clear" w:color="auto" w:fill="auto"/>
            <w:vAlign w:val="center"/>
          </w:tcPr>
          <w:p w14:paraId="1BBCE018">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0.937</w:t>
            </w:r>
          </w:p>
        </w:tc>
        <w:tc>
          <w:tcPr>
            <w:tcW w:w="445" w:type="pct"/>
            <w:vAlign w:val="center"/>
          </w:tcPr>
          <w:p w14:paraId="4367F0C9">
            <w:pPr>
              <w:widowControl/>
              <w:jc w:val="center"/>
              <w:textAlignment w:val="center"/>
              <w:rPr>
                <w:rFonts w:eastAsia="仿宋_GB2312"/>
                <w:color w:val="auto"/>
                <w:kern w:val="0"/>
                <w:szCs w:val="21"/>
                <w:lang w:bidi="ar"/>
              </w:rPr>
            </w:pPr>
            <w:r>
              <w:rPr>
                <w:rFonts w:hint="eastAsia" w:ascii="Times New Roman" w:hAnsi="Times New Roman" w:eastAsia="仿宋_GB2312" w:cs="Times New Roman"/>
                <w:color w:val="auto"/>
                <w:kern w:val="0"/>
                <w:szCs w:val="21"/>
                <w:lang w:val="en-US" w:eastAsia="zh-CN" w:bidi="ar"/>
              </w:rPr>
              <w:t>0.2475</w:t>
            </w:r>
          </w:p>
        </w:tc>
        <w:tc>
          <w:tcPr>
            <w:tcW w:w="630" w:type="pct"/>
            <w:vMerge w:val="continue"/>
            <w:vAlign w:val="center"/>
          </w:tcPr>
          <w:p w14:paraId="78F94841">
            <w:pPr>
              <w:jc w:val="center"/>
              <w:rPr>
                <w:rFonts w:eastAsia="仿宋_GB2312"/>
                <w:color w:val="auto"/>
                <w:szCs w:val="21"/>
              </w:rPr>
            </w:pPr>
          </w:p>
        </w:tc>
        <w:tc>
          <w:tcPr>
            <w:tcW w:w="292" w:type="pct"/>
            <w:vMerge w:val="continue"/>
            <w:vAlign w:val="center"/>
          </w:tcPr>
          <w:p w14:paraId="687D7E5E">
            <w:pPr>
              <w:jc w:val="center"/>
              <w:rPr>
                <w:rFonts w:eastAsia="仿宋_GB2312"/>
                <w:color w:val="auto"/>
                <w:szCs w:val="21"/>
              </w:rPr>
            </w:pPr>
          </w:p>
        </w:tc>
      </w:tr>
      <w:tr w14:paraId="5A991E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35305404">
            <w:pPr>
              <w:jc w:val="center"/>
              <w:rPr>
                <w:rFonts w:eastAsia="仿宋_GB2312"/>
                <w:color w:val="auto"/>
                <w:szCs w:val="21"/>
              </w:rPr>
            </w:pPr>
          </w:p>
        </w:tc>
        <w:tc>
          <w:tcPr>
            <w:tcW w:w="358" w:type="pct"/>
            <w:vMerge w:val="continue"/>
            <w:vAlign w:val="center"/>
          </w:tcPr>
          <w:p w14:paraId="6F0CFF76">
            <w:pPr>
              <w:jc w:val="center"/>
              <w:rPr>
                <w:rFonts w:eastAsia="仿宋_GB2312"/>
                <w:color w:val="auto"/>
                <w:szCs w:val="21"/>
              </w:rPr>
            </w:pPr>
          </w:p>
        </w:tc>
        <w:tc>
          <w:tcPr>
            <w:tcW w:w="418" w:type="pct"/>
            <w:vMerge w:val="continue"/>
            <w:vAlign w:val="center"/>
          </w:tcPr>
          <w:p w14:paraId="2E05B33D">
            <w:pPr>
              <w:jc w:val="center"/>
              <w:rPr>
                <w:rFonts w:eastAsia="仿宋_GB2312"/>
                <w:color w:val="auto"/>
                <w:kern w:val="0"/>
                <w:szCs w:val="21"/>
                <w:lang w:bidi="ar"/>
              </w:rPr>
            </w:pPr>
          </w:p>
        </w:tc>
        <w:tc>
          <w:tcPr>
            <w:tcW w:w="446" w:type="pct"/>
            <w:vMerge w:val="continue"/>
            <w:vAlign w:val="center"/>
          </w:tcPr>
          <w:p w14:paraId="2E38056D">
            <w:pPr>
              <w:jc w:val="center"/>
              <w:rPr>
                <w:rFonts w:eastAsia="仿宋_GB2312"/>
                <w:color w:val="auto"/>
                <w:kern w:val="0"/>
                <w:szCs w:val="21"/>
                <w:lang w:bidi="ar"/>
              </w:rPr>
            </w:pPr>
          </w:p>
        </w:tc>
        <w:tc>
          <w:tcPr>
            <w:tcW w:w="361" w:type="pct"/>
            <w:vMerge w:val="continue"/>
            <w:vAlign w:val="center"/>
          </w:tcPr>
          <w:p w14:paraId="7F8AA9E1">
            <w:pPr>
              <w:jc w:val="center"/>
              <w:rPr>
                <w:rFonts w:eastAsia="仿宋_GB2312"/>
                <w:color w:val="auto"/>
                <w:szCs w:val="21"/>
              </w:rPr>
            </w:pPr>
          </w:p>
        </w:tc>
        <w:tc>
          <w:tcPr>
            <w:tcW w:w="498" w:type="pct"/>
            <w:vMerge w:val="continue"/>
            <w:shd w:val="clear" w:color="auto" w:fill="auto"/>
            <w:vAlign w:val="center"/>
          </w:tcPr>
          <w:p w14:paraId="22433044">
            <w:pPr>
              <w:keepNext w:val="0"/>
              <w:keepLines w:val="0"/>
              <w:widowControl/>
              <w:suppressLineNumbers w:val="0"/>
              <w:jc w:val="center"/>
              <w:textAlignment w:val="bottom"/>
              <w:rPr>
                <w:rFonts w:eastAsia="仿宋_GB2312"/>
                <w:color w:val="auto"/>
                <w:kern w:val="0"/>
                <w:szCs w:val="21"/>
                <w:lang w:bidi="ar"/>
              </w:rPr>
            </w:pPr>
          </w:p>
        </w:tc>
        <w:tc>
          <w:tcPr>
            <w:tcW w:w="820" w:type="pct"/>
            <w:shd w:val="clear" w:color="auto" w:fill="auto"/>
            <w:vAlign w:val="center"/>
          </w:tcPr>
          <w:p w14:paraId="127E2261">
            <w:pPr>
              <w:widowControl/>
              <w:jc w:val="center"/>
              <w:textAlignment w:val="center"/>
              <w:rPr>
                <w:rFonts w:ascii="Times New Roman" w:hAnsi="Times New Roman" w:eastAsia="仿宋_GB2312" w:cs="Times New Roman"/>
                <w:color w:val="auto"/>
                <w:kern w:val="0"/>
                <w:sz w:val="21"/>
                <w:szCs w:val="21"/>
                <w:lang w:val="en-US" w:eastAsia="zh-CN" w:bidi="ar"/>
              </w:rPr>
            </w:pPr>
            <w:r>
              <w:rPr>
                <w:rFonts w:eastAsia="仿宋_GB2312"/>
                <w:color w:val="auto"/>
                <w:kern w:val="0"/>
                <w:szCs w:val="21"/>
                <w:lang w:bidi="ar"/>
              </w:rPr>
              <w:t>辛醇</w:t>
            </w:r>
          </w:p>
        </w:tc>
        <w:tc>
          <w:tcPr>
            <w:tcW w:w="380" w:type="pct"/>
            <w:shd w:val="clear" w:color="auto" w:fill="auto"/>
            <w:vAlign w:val="center"/>
          </w:tcPr>
          <w:p w14:paraId="5457D133">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0.3</w:t>
            </w:r>
          </w:p>
        </w:tc>
        <w:tc>
          <w:tcPr>
            <w:tcW w:w="445" w:type="pct"/>
            <w:vAlign w:val="center"/>
          </w:tcPr>
          <w:p w14:paraId="31F56B35">
            <w:pPr>
              <w:widowControl/>
              <w:jc w:val="center"/>
              <w:textAlignment w:val="center"/>
              <w:rPr>
                <w:rFonts w:eastAsia="仿宋_GB2312"/>
                <w:color w:val="auto"/>
                <w:kern w:val="0"/>
                <w:szCs w:val="21"/>
                <w:lang w:bidi="ar"/>
              </w:rPr>
            </w:pPr>
            <w:r>
              <w:rPr>
                <w:rFonts w:hint="eastAsia" w:ascii="Times New Roman" w:hAnsi="Times New Roman" w:eastAsia="仿宋_GB2312" w:cs="Times New Roman"/>
                <w:color w:val="auto"/>
                <w:kern w:val="0"/>
                <w:szCs w:val="21"/>
                <w:lang w:val="en-US" w:eastAsia="zh-CN" w:bidi="ar"/>
              </w:rPr>
              <w:t>0.0792</w:t>
            </w:r>
          </w:p>
        </w:tc>
        <w:tc>
          <w:tcPr>
            <w:tcW w:w="630" w:type="pct"/>
            <w:vMerge w:val="continue"/>
            <w:vAlign w:val="center"/>
          </w:tcPr>
          <w:p w14:paraId="5AA950D7">
            <w:pPr>
              <w:jc w:val="center"/>
              <w:rPr>
                <w:rFonts w:eastAsia="仿宋_GB2312"/>
                <w:color w:val="auto"/>
                <w:kern w:val="0"/>
                <w:szCs w:val="21"/>
                <w:lang w:bidi="ar"/>
              </w:rPr>
            </w:pPr>
          </w:p>
        </w:tc>
        <w:tc>
          <w:tcPr>
            <w:tcW w:w="292" w:type="pct"/>
            <w:vMerge w:val="continue"/>
            <w:vAlign w:val="center"/>
          </w:tcPr>
          <w:p w14:paraId="14F3E97F">
            <w:pPr>
              <w:jc w:val="center"/>
              <w:rPr>
                <w:rFonts w:eastAsia="仿宋_GB2312"/>
                <w:color w:val="auto"/>
                <w:kern w:val="0"/>
                <w:szCs w:val="21"/>
                <w:lang w:bidi="ar"/>
              </w:rPr>
            </w:pPr>
          </w:p>
        </w:tc>
      </w:tr>
      <w:tr w14:paraId="611E0A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7888B84A">
            <w:pPr>
              <w:jc w:val="center"/>
              <w:rPr>
                <w:rFonts w:eastAsia="仿宋_GB2312"/>
                <w:color w:val="auto"/>
                <w:szCs w:val="21"/>
              </w:rPr>
            </w:pPr>
          </w:p>
        </w:tc>
        <w:tc>
          <w:tcPr>
            <w:tcW w:w="358" w:type="pct"/>
            <w:vMerge w:val="continue"/>
            <w:vAlign w:val="center"/>
          </w:tcPr>
          <w:p w14:paraId="0538CF8A">
            <w:pPr>
              <w:jc w:val="center"/>
              <w:rPr>
                <w:rFonts w:eastAsia="仿宋_GB2312"/>
                <w:color w:val="auto"/>
                <w:szCs w:val="21"/>
              </w:rPr>
            </w:pPr>
          </w:p>
        </w:tc>
        <w:tc>
          <w:tcPr>
            <w:tcW w:w="418" w:type="pct"/>
            <w:vMerge w:val="continue"/>
            <w:vAlign w:val="center"/>
          </w:tcPr>
          <w:p w14:paraId="68A35207">
            <w:pPr>
              <w:jc w:val="center"/>
              <w:rPr>
                <w:rFonts w:eastAsia="仿宋_GB2312"/>
                <w:color w:val="auto"/>
                <w:szCs w:val="21"/>
              </w:rPr>
            </w:pPr>
          </w:p>
        </w:tc>
        <w:tc>
          <w:tcPr>
            <w:tcW w:w="446" w:type="pct"/>
            <w:vMerge w:val="continue"/>
            <w:vAlign w:val="center"/>
          </w:tcPr>
          <w:p w14:paraId="15AEAAB0">
            <w:pPr>
              <w:jc w:val="center"/>
              <w:rPr>
                <w:rFonts w:eastAsia="仿宋_GB2312"/>
                <w:color w:val="auto"/>
                <w:szCs w:val="21"/>
              </w:rPr>
            </w:pPr>
          </w:p>
        </w:tc>
        <w:tc>
          <w:tcPr>
            <w:tcW w:w="361" w:type="pct"/>
            <w:vMerge w:val="continue"/>
            <w:vAlign w:val="center"/>
          </w:tcPr>
          <w:p w14:paraId="2F1D9D18">
            <w:pPr>
              <w:jc w:val="center"/>
              <w:rPr>
                <w:rFonts w:eastAsia="仿宋_GB2312"/>
                <w:color w:val="auto"/>
                <w:szCs w:val="21"/>
              </w:rPr>
            </w:pPr>
          </w:p>
        </w:tc>
        <w:tc>
          <w:tcPr>
            <w:tcW w:w="498" w:type="pct"/>
            <w:vMerge w:val="continue"/>
            <w:shd w:val="clear" w:color="auto" w:fill="auto"/>
            <w:vAlign w:val="center"/>
          </w:tcPr>
          <w:p w14:paraId="1FEEAB51">
            <w:pPr>
              <w:keepNext w:val="0"/>
              <w:keepLines w:val="0"/>
              <w:widowControl/>
              <w:suppressLineNumbers w:val="0"/>
              <w:jc w:val="center"/>
              <w:textAlignment w:val="bottom"/>
              <w:rPr>
                <w:rFonts w:eastAsia="仿宋_GB2312"/>
                <w:color w:val="auto"/>
                <w:kern w:val="0"/>
                <w:szCs w:val="21"/>
                <w:lang w:bidi="ar"/>
              </w:rPr>
            </w:pPr>
          </w:p>
        </w:tc>
        <w:tc>
          <w:tcPr>
            <w:tcW w:w="820" w:type="pct"/>
            <w:shd w:val="clear" w:color="auto" w:fill="auto"/>
            <w:vAlign w:val="center"/>
          </w:tcPr>
          <w:p w14:paraId="040C3F86">
            <w:pPr>
              <w:widowControl/>
              <w:jc w:val="center"/>
              <w:textAlignment w:val="center"/>
              <w:rPr>
                <w:rFonts w:ascii="Times New Roman" w:hAnsi="Times New Roman" w:eastAsia="仿宋_GB2312" w:cs="Times New Roman"/>
                <w:color w:val="auto"/>
                <w:kern w:val="0"/>
                <w:sz w:val="21"/>
                <w:szCs w:val="21"/>
                <w:lang w:val="en-US" w:eastAsia="zh-CN" w:bidi="ar"/>
              </w:rPr>
            </w:pPr>
            <w:r>
              <w:rPr>
                <w:rFonts w:eastAsia="仿宋_GB2312"/>
                <w:color w:val="auto"/>
                <w:kern w:val="0"/>
                <w:szCs w:val="21"/>
                <w:lang w:bidi="ar"/>
              </w:rPr>
              <w:t>2,4-二甲基己烷</w:t>
            </w:r>
          </w:p>
        </w:tc>
        <w:tc>
          <w:tcPr>
            <w:tcW w:w="380" w:type="pct"/>
            <w:shd w:val="clear" w:color="auto" w:fill="auto"/>
            <w:vAlign w:val="center"/>
          </w:tcPr>
          <w:p w14:paraId="2BA034B7">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0.129</w:t>
            </w:r>
          </w:p>
        </w:tc>
        <w:tc>
          <w:tcPr>
            <w:tcW w:w="445" w:type="pct"/>
            <w:vAlign w:val="center"/>
          </w:tcPr>
          <w:p w14:paraId="07EA4375">
            <w:pPr>
              <w:widowControl/>
              <w:jc w:val="center"/>
              <w:textAlignment w:val="center"/>
              <w:rPr>
                <w:rFonts w:eastAsia="仿宋_GB2312"/>
                <w:color w:val="auto"/>
                <w:kern w:val="0"/>
                <w:szCs w:val="21"/>
                <w:lang w:bidi="ar"/>
              </w:rPr>
            </w:pPr>
            <w:r>
              <w:rPr>
                <w:rFonts w:hint="eastAsia" w:ascii="Times New Roman" w:hAnsi="Times New Roman" w:eastAsia="仿宋_GB2312" w:cs="Times New Roman"/>
                <w:color w:val="auto"/>
                <w:kern w:val="0"/>
                <w:szCs w:val="21"/>
                <w:lang w:val="en-US" w:eastAsia="zh-CN" w:bidi="ar"/>
              </w:rPr>
              <w:t>0.0342</w:t>
            </w:r>
          </w:p>
        </w:tc>
        <w:tc>
          <w:tcPr>
            <w:tcW w:w="630" w:type="pct"/>
            <w:vMerge w:val="continue"/>
            <w:vAlign w:val="center"/>
          </w:tcPr>
          <w:p w14:paraId="4B08AB9D">
            <w:pPr>
              <w:jc w:val="center"/>
              <w:rPr>
                <w:rFonts w:eastAsia="仿宋_GB2312"/>
                <w:color w:val="auto"/>
                <w:szCs w:val="21"/>
              </w:rPr>
            </w:pPr>
          </w:p>
        </w:tc>
        <w:tc>
          <w:tcPr>
            <w:tcW w:w="292" w:type="pct"/>
            <w:vMerge w:val="continue"/>
            <w:vAlign w:val="center"/>
          </w:tcPr>
          <w:p w14:paraId="4A9F01BC">
            <w:pPr>
              <w:jc w:val="center"/>
              <w:rPr>
                <w:rFonts w:eastAsia="仿宋_GB2312"/>
                <w:color w:val="auto"/>
                <w:szCs w:val="21"/>
              </w:rPr>
            </w:pPr>
          </w:p>
        </w:tc>
      </w:tr>
      <w:tr w14:paraId="5D61F7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4DF948BE">
            <w:pPr>
              <w:jc w:val="center"/>
              <w:rPr>
                <w:rFonts w:eastAsia="仿宋_GB2312"/>
                <w:color w:val="auto"/>
                <w:szCs w:val="21"/>
              </w:rPr>
            </w:pPr>
          </w:p>
        </w:tc>
        <w:tc>
          <w:tcPr>
            <w:tcW w:w="358" w:type="pct"/>
            <w:vMerge w:val="continue"/>
            <w:vAlign w:val="center"/>
          </w:tcPr>
          <w:p w14:paraId="6C4A3410">
            <w:pPr>
              <w:jc w:val="center"/>
              <w:rPr>
                <w:rFonts w:eastAsia="仿宋_GB2312"/>
                <w:color w:val="auto"/>
                <w:szCs w:val="21"/>
              </w:rPr>
            </w:pPr>
          </w:p>
        </w:tc>
        <w:tc>
          <w:tcPr>
            <w:tcW w:w="418" w:type="pct"/>
            <w:vMerge w:val="continue"/>
            <w:vAlign w:val="center"/>
          </w:tcPr>
          <w:p w14:paraId="6ABCFFA0">
            <w:pPr>
              <w:jc w:val="center"/>
              <w:rPr>
                <w:rFonts w:eastAsia="仿宋_GB2312"/>
                <w:color w:val="auto"/>
                <w:szCs w:val="21"/>
              </w:rPr>
            </w:pPr>
          </w:p>
        </w:tc>
        <w:tc>
          <w:tcPr>
            <w:tcW w:w="446" w:type="pct"/>
            <w:vMerge w:val="continue"/>
            <w:vAlign w:val="center"/>
          </w:tcPr>
          <w:p w14:paraId="4B281392">
            <w:pPr>
              <w:jc w:val="center"/>
              <w:rPr>
                <w:rFonts w:eastAsia="仿宋_GB2312"/>
                <w:color w:val="auto"/>
                <w:szCs w:val="21"/>
              </w:rPr>
            </w:pPr>
          </w:p>
        </w:tc>
        <w:tc>
          <w:tcPr>
            <w:tcW w:w="361" w:type="pct"/>
            <w:vMerge w:val="continue"/>
            <w:vAlign w:val="center"/>
          </w:tcPr>
          <w:p w14:paraId="611914A3">
            <w:pPr>
              <w:jc w:val="center"/>
              <w:rPr>
                <w:rFonts w:eastAsia="仿宋_GB2312"/>
                <w:color w:val="auto"/>
                <w:szCs w:val="21"/>
              </w:rPr>
            </w:pPr>
          </w:p>
        </w:tc>
        <w:tc>
          <w:tcPr>
            <w:tcW w:w="498" w:type="pct"/>
            <w:vMerge w:val="continue"/>
            <w:shd w:val="clear" w:color="auto" w:fill="auto"/>
            <w:vAlign w:val="center"/>
          </w:tcPr>
          <w:p w14:paraId="6C428955">
            <w:pPr>
              <w:keepNext w:val="0"/>
              <w:keepLines w:val="0"/>
              <w:widowControl/>
              <w:suppressLineNumbers w:val="0"/>
              <w:jc w:val="center"/>
              <w:textAlignment w:val="bottom"/>
              <w:rPr>
                <w:rFonts w:eastAsia="仿宋_GB2312"/>
                <w:color w:val="auto"/>
                <w:kern w:val="0"/>
                <w:szCs w:val="21"/>
                <w:lang w:bidi="ar"/>
              </w:rPr>
            </w:pPr>
          </w:p>
        </w:tc>
        <w:tc>
          <w:tcPr>
            <w:tcW w:w="820" w:type="pct"/>
            <w:shd w:val="clear" w:color="auto" w:fill="auto"/>
            <w:vAlign w:val="center"/>
          </w:tcPr>
          <w:p w14:paraId="04E6F647">
            <w:pPr>
              <w:widowControl/>
              <w:jc w:val="center"/>
              <w:textAlignment w:val="center"/>
              <w:rPr>
                <w:rFonts w:ascii="Times New Roman" w:hAnsi="Times New Roman" w:eastAsia="仿宋_GB2312" w:cs="Times New Roman"/>
                <w:b/>
                <w:bCs/>
                <w:color w:val="auto"/>
                <w:kern w:val="0"/>
                <w:sz w:val="21"/>
                <w:szCs w:val="21"/>
                <w:lang w:val="en-US" w:eastAsia="zh-CN" w:bidi="ar"/>
              </w:rPr>
            </w:pPr>
            <w:r>
              <w:rPr>
                <w:rFonts w:eastAsia="仿宋_GB2312"/>
                <w:color w:val="auto"/>
                <w:kern w:val="0"/>
                <w:szCs w:val="21"/>
                <w:lang w:bidi="ar"/>
              </w:rPr>
              <w:t>其他有机物</w:t>
            </w:r>
          </w:p>
        </w:tc>
        <w:tc>
          <w:tcPr>
            <w:tcW w:w="380" w:type="pct"/>
            <w:shd w:val="clear" w:color="auto" w:fill="auto"/>
            <w:vAlign w:val="center"/>
          </w:tcPr>
          <w:p w14:paraId="106DEEFB">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w:t>
            </w:r>
            <w:r>
              <w:rPr>
                <w:rFonts w:hint="eastAsia" w:ascii="Times New Roman" w:hAnsi="Times New Roman" w:eastAsia="宋体" w:cs="Times New Roman"/>
                <w:i w:val="0"/>
                <w:iCs w:val="0"/>
                <w:color w:val="auto"/>
                <w:kern w:val="0"/>
                <w:sz w:val="21"/>
                <w:szCs w:val="21"/>
                <w:u w:val="none"/>
                <w:lang w:val="en-US" w:eastAsia="zh-CN" w:bidi="ar"/>
              </w:rPr>
              <w:t>3</w:t>
            </w:r>
          </w:p>
        </w:tc>
        <w:tc>
          <w:tcPr>
            <w:tcW w:w="445" w:type="pct"/>
            <w:vAlign w:val="center"/>
          </w:tcPr>
          <w:p w14:paraId="45643558">
            <w:pPr>
              <w:widowControl/>
              <w:jc w:val="center"/>
              <w:textAlignment w:val="center"/>
              <w:rPr>
                <w:rFonts w:eastAsia="仿宋_GB2312"/>
                <w:color w:val="auto"/>
                <w:kern w:val="0"/>
                <w:szCs w:val="21"/>
                <w:lang w:bidi="ar"/>
              </w:rPr>
            </w:pPr>
            <w:r>
              <w:rPr>
                <w:rFonts w:hint="eastAsia" w:ascii="Times New Roman" w:hAnsi="Times New Roman" w:eastAsia="仿宋_GB2312" w:cs="Times New Roman"/>
                <w:color w:val="auto"/>
                <w:kern w:val="0"/>
                <w:szCs w:val="21"/>
                <w:lang w:val="en-US" w:eastAsia="zh-CN" w:bidi="ar"/>
              </w:rPr>
              <w:t>0.0079</w:t>
            </w:r>
          </w:p>
        </w:tc>
        <w:tc>
          <w:tcPr>
            <w:tcW w:w="630" w:type="pct"/>
            <w:vMerge w:val="continue"/>
            <w:vAlign w:val="center"/>
          </w:tcPr>
          <w:p w14:paraId="6BF372DE">
            <w:pPr>
              <w:jc w:val="center"/>
              <w:rPr>
                <w:rFonts w:eastAsia="仿宋_GB2312"/>
                <w:color w:val="auto"/>
                <w:szCs w:val="21"/>
              </w:rPr>
            </w:pPr>
          </w:p>
        </w:tc>
        <w:tc>
          <w:tcPr>
            <w:tcW w:w="292" w:type="pct"/>
            <w:vMerge w:val="continue"/>
            <w:vAlign w:val="center"/>
          </w:tcPr>
          <w:p w14:paraId="7D0ADD9A">
            <w:pPr>
              <w:jc w:val="center"/>
              <w:rPr>
                <w:rFonts w:eastAsia="仿宋_GB2312"/>
                <w:color w:val="auto"/>
                <w:szCs w:val="21"/>
              </w:rPr>
            </w:pPr>
          </w:p>
        </w:tc>
      </w:tr>
      <w:tr w14:paraId="1EF59A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18978BF4">
            <w:pPr>
              <w:jc w:val="center"/>
              <w:rPr>
                <w:rFonts w:eastAsia="仿宋_GB2312"/>
                <w:color w:val="auto"/>
                <w:szCs w:val="21"/>
              </w:rPr>
            </w:pPr>
          </w:p>
        </w:tc>
        <w:tc>
          <w:tcPr>
            <w:tcW w:w="358" w:type="pct"/>
            <w:vMerge w:val="continue"/>
            <w:vAlign w:val="center"/>
          </w:tcPr>
          <w:p w14:paraId="52621603">
            <w:pPr>
              <w:jc w:val="center"/>
              <w:rPr>
                <w:rFonts w:eastAsia="仿宋_GB2312"/>
                <w:color w:val="auto"/>
                <w:szCs w:val="21"/>
              </w:rPr>
            </w:pPr>
          </w:p>
        </w:tc>
        <w:tc>
          <w:tcPr>
            <w:tcW w:w="418" w:type="pct"/>
            <w:vMerge w:val="restart"/>
            <w:vAlign w:val="center"/>
          </w:tcPr>
          <w:p w14:paraId="7E51EFE2">
            <w:pPr>
              <w:jc w:val="center"/>
              <w:rPr>
                <w:rFonts w:eastAsia="仿宋_GB2312"/>
                <w:color w:val="auto"/>
                <w:szCs w:val="21"/>
              </w:rPr>
            </w:pPr>
            <w:r>
              <w:rPr>
                <w:rFonts w:eastAsia="仿宋_GB2312"/>
                <w:color w:val="auto"/>
                <w:kern w:val="0"/>
                <w:szCs w:val="21"/>
                <w:lang w:bidi="ar"/>
              </w:rPr>
              <w:t>G</w:t>
            </w:r>
            <w:r>
              <w:rPr>
                <w:rFonts w:hint="eastAsia" w:eastAsia="仿宋_GB2312"/>
                <w:color w:val="auto"/>
                <w:kern w:val="0"/>
                <w:szCs w:val="21"/>
                <w:lang w:val="en-US" w:eastAsia="zh-CN" w:bidi="ar"/>
              </w:rPr>
              <w:t>2</w:t>
            </w:r>
            <w:r>
              <w:rPr>
                <w:rFonts w:eastAsia="仿宋_GB2312"/>
                <w:color w:val="auto"/>
                <w:kern w:val="0"/>
                <w:szCs w:val="21"/>
                <w:lang w:bidi="ar"/>
              </w:rPr>
              <w:t>-</w:t>
            </w:r>
            <w:r>
              <w:rPr>
                <w:rFonts w:hint="eastAsia" w:eastAsia="仿宋_GB2312"/>
                <w:color w:val="auto"/>
                <w:kern w:val="0"/>
                <w:szCs w:val="21"/>
                <w:lang w:val="en-US" w:eastAsia="zh-CN" w:bidi="ar"/>
              </w:rPr>
              <w:t>7</w:t>
            </w:r>
            <w:r>
              <w:rPr>
                <w:rFonts w:eastAsia="仿宋_GB2312"/>
                <w:color w:val="auto"/>
                <w:kern w:val="0"/>
                <w:szCs w:val="21"/>
                <w:lang w:bidi="ar"/>
              </w:rPr>
              <w:t>-2</w:t>
            </w:r>
          </w:p>
        </w:tc>
        <w:tc>
          <w:tcPr>
            <w:tcW w:w="446" w:type="pct"/>
            <w:vMerge w:val="restart"/>
            <w:vAlign w:val="center"/>
          </w:tcPr>
          <w:p w14:paraId="6C112202">
            <w:pPr>
              <w:jc w:val="center"/>
              <w:rPr>
                <w:rFonts w:eastAsia="仿宋_GB2312"/>
                <w:color w:val="auto"/>
                <w:szCs w:val="21"/>
              </w:rPr>
            </w:pPr>
            <w:r>
              <w:rPr>
                <w:rFonts w:eastAsia="仿宋_GB2312"/>
                <w:color w:val="auto"/>
                <w:kern w:val="0"/>
                <w:szCs w:val="21"/>
                <w:lang w:bidi="ar"/>
              </w:rPr>
              <w:t>调节废气</w:t>
            </w:r>
          </w:p>
        </w:tc>
        <w:tc>
          <w:tcPr>
            <w:tcW w:w="361" w:type="pct"/>
            <w:vMerge w:val="restart"/>
            <w:vAlign w:val="center"/>
          </w:tcPr>
          <w:p w14:paraId="17E512A6">
            <w:pPr>
              <w:jc w:val="center"/>
              <w:rPr>
                <w:rFonts w:eastAsia="仿宋_GB2312"/>
                <w:color w:val="auto"/>
                <w:szCs w:val="21"/>
              </w:rPr>
            </w:pPr>
            <w:r>
              <w:rPr>
                <w:rFonts w:hint="eastAsia" w:eastAsia="仿宋_GB2312"/>
                <w:color w:val="auto"/>
                <w:szCs w:val="21"/>
                <w:lang w:val="en-US" w:eastAsia="zh-CN"/>
              </w:rPr>
              <w:t>1</w:t>
            </w:r>
            <w:r>
              <w:rPr>
                <w:rFonts w:eastAsia="仿宋_GB2312"/>
                <w:color w:val="auto"/>
                <w:szCs w:val="21"/>
              </w:rPr>
              <w:t>00</w:t>
            </w:r>
          </w:p>
        </w:tc>
        <w:tc>
          <w:tcPr>
            <w:tcW w:w="498" w:type="pct"/>
            <w:vMerge w:val="restart"/>
            <w:shd w:val="clear" w:color="auto" w:fill="auto"/>
            <w:vAlign w:val="center"/>
          </w:tcPr>
          <w:p w14:paraId="531D7E08">
            <w:pPr>
              <w:keepNext w:val="0"/>
              <w:keepLines w:val="0"/>
              <w:widowControl/>
              <w:suppressLineNumbers w:val="0"/>
              <w:jc w:val="center"/>
              <w:textAlignment w:val="bottom"/>
              <w:rPr>
                <w:rFonts w:eastAsia="仿宋_GB2312"/>
                <w:color w:val="auto"/>
                <w:kern w:val="0"/>
                <w:szCs w:val="21"/>
                <w:lang w:bidi="ar"/>
              </w:rPr>
            </w:pPr>
            <w:r>
              <w:rPr>
                <w:rFonts w:hint="default" w:ascii="Times New Roman" w:hAnsi="Times New Roman" w:eastAsia="宋体" w:cs="Times New Roman"/>
                <w:i w:val="0"/>
                <w:iCs w:val="0"/>
                <w:color w:val="auto"/>
                <w:kern w:val="0"/>
                <w:sz w:val="21"/>
                <w:szCs w:val="21"/>
                <w:u w:val="none"/>
                <w:lang w:val="en-US" w:eastAsia="zh-CN" w:bidi="ar"/>
              </w:rPr>
              <w:t>264</w:t>
            </w:r>
          </w:p>
        </w:tc>
        <w:tc>
          <w:tcPr>
            <w:tcW w:w="820" w:type="pct"/>
            <w:shd w:val="clear" w:color="auto" w:fill="auto"/>
            <w:vAlign w:val="center"/>
          </w:tcPr>
          <w:p w14:paraId="101CCE3F">
            <w:pPr>
              <w:widowControl/>
              <w:jc w:val="center"/>
              <w:textAlignment w:val="center"/>
              <w:rPr>
                <w:rFonts w:ascii="Times New Roman" w:hAnsi="Times New Roman" w:eastAsia="仿宋_GB2312" w:cs="Times New Roman"/>
                <w:b/>
                <w:bCs/>
                <w:color w:val="auto"/>
                <w:kern w:val="0"/>
                <w:sz w:val="21"/>
                <w:szCs w:val="21"/>
                <w:lang w:val="en-US" w:eastAsia="zh-CN" w:bidi="ar"/>
              </w:rPr>
            </w:pPr>
            <w:r>
              <w:rPr>
                <w:rFonts w:eastAsia="仿宋_GB2312"/>
                <w:color w:val="auto"/>
                <w:kern w:val="0"/>
                <w:szCs w:val="21"/>
                <w:lang w:bidi="ar"/>
              </w:rPr>
              <w:t>丁醇</w:t>
            </w:r>
          </w:p>
        </w:tc>
        <w:tc>
          <w:tcPr>
            <w:tcW w:w="380" w:type="pct"/>
            <w:shd w:val="clear" w:color="auto" w:fill="auto"/>
            <w:vAlign w:val="center"/>
          </w:tcPr>
          <w:p w14:paraId="5E14D4E9">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0.473</w:t>
            </w:r>
          </w:p>
        </w:tc>
        <w:tc>
          <w:tcPr>
            <w:tcW w:w="445" w:type="pct"/>
            <w:vAlign w:val="center"/>
          </w:tcPr>
          <w:p w14:paraId="446937B8">
            <w:pPr>
              <w:widowControl/>
              <w:jc w:val="center"/>
              <w:textAlignment w:val="center"/>
              <w:rPr>
                <w:rFonts w:eastAsia="仿宋_GB2312"/>
                <w:color w:val="auto"/>
                <w:kern w:val="0"/>
                <w:szCs w:val="21"/>
                <w:lang w:bidi="ar"/>
              </w:rPr>
            </w:pPr>
            <w:r>
              <w:rPr>
                <w:rFonts w:hint="eastAsia" w:eastAsia="仿宋_GB2312"/>
                <w:color w:val="auto"/>
                <w:kern w:val="0"/>
                <w:szCs w:val="21"/>
                <w:lang w:val="en-US" w:eastAsia="zh-CN" w:bidi="ar"/>
              </w:rPr>
              <w:t>0.125</w:t>
            </w:r>
          </w:p>
        </w:tc>
        <w:tc>
          <w:tcPr>
            <w:tcW w:w="630" w:type="pct"/>
            <w:vMerge w:val="restart"/>
            <w:shd w:val="clear" w:color="auto" w:fill="auto"/>
            <w:vAlign w:val="center"/>
          </w:tcPr>
          <w:p w14:paraId="09490028">
            <w:pPr>
              <w:widowControl/>
              <w:jc w:val="center"/>
              <w:textAlignment w:val="center"/>
              <w:rPr>
                <w:rFonts w:ascii="Times New Roman" w:hAnsi="Times New Roman" w:eastAsia="仿宋_GB2312" w:cs="Times New Roman"/>
                <w:color w:val="auto"/>
                <w:kern w:val="2"/>
                <w:sz w:val="21"/>
                <w:szCs w:val="21"/>
                <w:lang w:val="en-US" w:eastAsia="zh-CN" w:bidi="ar-SA"/>
              </w:rPr>
            </w:pPr>
            <w:r>
              <w:rPr>
                <w:rFonts w:hint="eastAsia" w:eastAsia="仿宋_GB2312"/>
                <w:color w:val="auto"/>
                <w:szCs w:val="21"/>
              </w:rPr>
              <w:t>预处理（冷凝+稀酸吸收+碱吸收+水吸收+除雾）+</w:t>
            </w:r>
            <w:r>
              <w:rPr>
                <w:rFonts w:eastAsia="仿宋_GB2312"/>
                <w:color w:val="auto"/>
                <w:szCs w:val="21"/>
              </w:rPr>
              <w:t>焚烧</w:t>
            </w:r>
          </w:p>
        </w:tc>
        <w:tc>
          <w:tcPr>
            <w:tcW w:w="292" w:type="pct"/>
            <w:vMerge w:val="restart"/>
            <w:shd w:val="clear" w:color="auto" w:fill="auto"/>
            <w:vAlign w:val="center"/>
          </w:tcPr>
          <w:p w14:paraId="02AC50DE">
            <w:pPr>
              <w:widowControl/>
              <w:jc w:val="center"/>
              <w:textAlignment w:val="center"/>
              <w:rPr>
                <w:rFonts w:ascii="Times New Roman" w:hAnsi="Times New Roman" w:eastAsia="仿宋_GB2312" w:cs="Times New Roman"/>
                <w:color w:val="auto"/>
                <w:kern w:val="2"/>
                <w:sz w:val="21"/>
                <w:szCs w:val="21"/>
                <w:lang w:val="en-US" w:eastAsia="zh-CN" w:bidi="ar-SA"/>
              </w:rPr>
            </w:pPr>
            <w:r>
              <w:rPr>
                <w:rFonts w:hint="eastAsia" w:eastAsia="仿宋_GB2312"/>
                <w:color w:val="auto"/>
                <w:kern w:val="0"/>
                <w:szCs w:val="21"/>
                <w:lang w:bidi="ar"/>
              </w:rPr>
              <w:t>DA002</w:t>
            </w:r>
          </w:p>
        </w:tc>
      </w:tr>
      <w:tr w14:paraId="4DAC7D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46E3DFB5">
            <w:pPr>
              <w:jc w:val="center"/>
              <w:rPr>
                <w:rFonts w:eastAsia="仿宋_GB2312"/>
                <w:color w:val="auto"/>
                <w:szCs w:val="21"/>
              </w:rPr>
            </w:pPr>
          </w:p>
        </w:tc>
        <w:tc>
          <w:tcPr>
            <w:tcW w:w="358" w:type="pct"/>
            <w:vMerge w:val="continue"/>
            <w:vAlign w:val="center"/>
          </w:tcPr>
          <w:p w14:paraId="32A1A47B">
            <w:pPr>
              <w:jc w:val="center"/>
              <w:rPr>
                <w:rFonts w:eastAsia="仿宋_GB2312"/>
                <w:color w:val="auto"/>
                <w:szCs w:val="21"/>
              </w:rPr>
            </w:pPr>
          </w:p>
        </w:tc>
        <w:tc>
          <w:tcPr>
            <w:tcW w:w="418" w:type="pct"/>
            <w:vMerge w:val="continue"/>
            <w:vAlign w:val="center"/>
          </w:tcPr>
          <w:p w14:paraId="642757A5">
            <w:pPr>
              <w:jc w:val="center"/>
              <w:rPr>
                <w:rFonts w:eastAsia="仿宋_GB2312"/>
                <w:color w:val="auto"/>
                <w:kern w:val="0"/>
                <w:szCs w:val="21"/>
                <w:lang w:bidi="ar"/>
              </w:rPr>
            </w:pPr>
          </w:p>
        </w:tc>
        <w:tc>
          <w:tcPr>
            <w:tcW w:w="446" w:type="pct"/>
            <w:vMerge w:val="continue"/>
            <w:vAlign w:val="center"/>
          </w:tcPr>
          <w:p w14:paraId="5A90E443">
            <w:pPr>
              <w:jc w:val="center"/>
              <w:rPr>
                <w:rFonts w:eastAsia="仿宋_GB2312"/>
                <w:color w:val="auto"/>
                <w:kern w:val="0"/>
                <w:szCs w:val="21"/>
                <w:lang w:bidi="ar"/>
              </w:rPr>
            </w:pPr>
          </w:p>
        </w:tc>
        <w:tc>
          <w:tcPr>
            <w:tcW w:w="361" w:type="pct"/>
            <w:vMerge w:val="continue"/>
            <w:vAlign w:val="center"/>
          </w:tcPr>
          <w:p w14:paraId="1973A71B">
            <w:pPr>
              <w:jc w:val="center"/>
              <w:rPr>
                <w:rFonts w:eastAsia="仿宋_GB2312"/>
                <w:color w:val="auto"/>
                <w:szCs w:val="21"/>
              </w:rPr>
            </w:pPr>
          </w:p>
        </w:tc>
        <w:tc>
          <w:tcPr>
            <w:tcW w:w="498" w:type="pct"/>
            <w:vMerge w:val="continue"/>
            <w:shd w:val="clear" w:color="auto" w:fill="auto"/>
            <w:vAlign w:val="center"/>
          </w:tcPr>
          <w:p w14:paraId="78841494">
            <w:pPr>
              <w:keepNext w:val="0"/>
              <w:keepLines w:val="0"/>
              <w:widowControl/>
              <w:suppressLineNumbers w:val="0"/>
              <w:jc w:val="center"/>
              <w:textAlignment w:val="bottom"/>
              <w:rPr>
                <w:rFonts w:eastAsia="仿宋_GB2312"/>
                <w:color w:val="auto"/>
                <w:kern w:val="0"/>
                <w:szCs w:val="21"/>
                <w:lang w:bidi="ar"/>
              </w:rPr>
            </w:pPr>
          </w:p>
        </w:tc>
        <w:tc>
          <w:tcPr>
            <w:tcW w:w="820" w:type="pct"/>
            <w:shd w:val="clear" w:color="auto" w:fill="auto"/>
            <w:vAlign w:val="center"/>
          </w:tcPr>
          <w:p w14:paraId="2D068C73">
            <w:pPr>
              <w:widowControl/>
              <w:jc w:val="center"/>
              <w:textAlignment w:val="center"/>
              <w:rPr>
                <w:rFonts w:ascii="Times New Roman" w:hAnsi="Times New Roman" w:eastAsia="仿宋_GB2312" w:cs="Times New Roman"/>
                <w:color w:val="auto"/>
                <w:kern w:val="0"/>
                <w:sz w:val="21"/>
                <w:szCs w:val="21"/>
                <w:lang w:val="en-US" w:eastAsia="zh-CN" w:bidi="ar"/>
              </w:rPr>
            </w:pPr>
            <w:r>
              <w:rPr>
                <w:rFonts w:eastAsia="仿宋_GB2312"/>
                <w:color w:val="auto"/>
                <w:kern w:val="0"/>
                <w:szCs w:val="21"/>
                <w:lang w:bidi="ar"/>
              </w:rPr>
              <w:t>辛醇</w:t>
            </w:r>
          </w:p>
        </w:tc>
        <w:tc>
          <w:tcPr>
            <w:tcW w:w="380" w:type="pct"/>
            <w:shd w:val="clear" w:color="auto" w:fill="auto"/>
            <w:vAlign w:val="center"/>
          </w:tcPr>
          <w:p w14:paraId="53070274">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0.151</w:t>
            </w:r>
          </w:p>
        </w:tc>
        <w:tc>
          <w:tcPr>
            <w:tcW w:w="445" w:type="pct"/>
            <w:vAlign w:val="center"/>
          </w:tcPr>
          <w:p w14:paraId="7E14F676">
            <w:pPr>
              <w:widowControl/>
              <w:jc w:val="center"/>
              <w:textAlignment w:val="center"/>
              <w:rPr>
                <w:rFonts w:eastAsia="仿宋_GB2312"/>
                <w:color w:val="auto"/>
                <w:kern w:val="0"/>
                <w:szCs w:val="21"/>
                <w:lang w:bidi="ar"/>
              </w:rPr>
            </w:pPr>
            <w:r>
              <w:rPr>
                <w:rFonts w:hint="eastAsia" w:eastAsia="仿宋_GB2312"/>
                <w:color w:val="auto"/>
                <w:kern w:val="0"/>
                <w:szCs w:val="21"/>
                <w:lang w:val="en-US" w:eastAsia="zh-CN" w:bidi="ar"/>
              </w:rPr>
              <w:t>0.04</w:t>
            </w:r>
          </w:p>
        </w:tc>
        <w:tc>
          <w:tcPr>
            <w:tcW w:w="630" w:type="pct"/>
            <w:vMerge w:val="continue"/>
            <w:vAlign w:val="center"/>
          </w:tcPr>
          <w:p w14:paraId="2624042B">
            <w:pPr>
              <w:jc w:val="center"/>
              <w:rPr>
                <w:rFonts w:eastAsia="仿宋_GB2312"/>
                <w:color w:val="auto"/>
                <w:kern w:val="0"/>
                <w:szCs w:val="21"/>
                <w:lang w:bidi="ar"/>
              </w:rPr>
            </w:pPr>
          </w:p>
        </w:tc>
        <w:tc>
          <w:tcPr>
            <w:tcW w:w="292" w:type="pct"/>
            <w:vMerge w:val="continue"/>
            <w:vAlign w:val="center"/>
          </w:tcPr>
          <w:p w14:paraId="5B11643E">
            <w:pPr>
              <w:jc w:val="center"/>
              <w:rPr>
                <w:rFonts w:eastAsia="仿宋_GB2312"/>
                <w:color w:val="auto"/>
                <w:kern w:val="0"/>
                <w:szCs w:val="21"/>
                <w:lang w:bidi="ar"/>
              </w:rPr>
            </w:pPr>
          </w:p>
        </w:tc>
      </w:tr>
      <w:tr w14:paraId="1B68E0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1FF23BB8">
            <w:pPr>
              <w:jc w:val="center"/>
              <w:rPr>
                <w:rFonts w:eastAsia="仿宋_GB2312"/>
                <w:color w:val="auto"/>
                <w:szCs w:val="21"/>
              </w:rPr>
            </w:pPr>
          </w:p>
        </w:tc>
        <w:tc>
          <w:tcPr>
            <w:tcW w:w="358" w:type="pct"/>
            <w:vMerge w:val="continue"/>
            <w:vAlign w:val="center"/>
          </w:tcPr>
          <w:p w14:paraId="3930B3CF">
            <w:pPr>
              <w:jc w:val="center"/>
              <w:rPr>
                <w:rFonts w:eastAsia="仿宋_GB2312"/>
                <w:color w:val="auto"/>
                <w:szCs w:val="21"/>
              </w:rPr>
            </w:pPr>
          </w:p>
        </w:tc>
        <w:tc>
          <w:tcPr>
            <w:tcW w:w="418" w:type="pct"/>
            <w:vMerge w:val="continue"/>
            <w:vAlign w:val="center"/>
          </w:tcPr>
          <w:p w14:paraId="09905B04">
            <w:pPr>
              <w:jc w:val="center"/>
              <w:rPr>
                <w:rFonts w:eastAsia="仿宋_GB2312"/>
                <w:color w:val="auto"/>
                <w:szCs w:val="21"/>
              </w:rPr>
            </w:pPr>
          </w:p>
        </w:tc>
        <w:tc>
          <w:tcPr>
            <w:tcW w:w="446" w:type="pct"/>
            <w:vMerge w:val="continue"/>
            <w:vAlign w:val="center"/>
          </w:tcPr>
          <w:p w14:paraId="63628C4E">
            <w:pPr>
              <w:jc w:val="center"/>
              <w:rPr>
                <w:rFonts w:eastAsia="仿宋_GB2312"/>
                <w:color w:val="auto"/>
                <w:szCs w:val="21"/>
              </w:rPr>
            </w:pPr>
          </w:p>
        </w:tc>
        <w:tc>
          <w:tcPr>
            <w:tcW w:w="361" w:type="pct"/>
            <w:vMerge w:val="continue"/>
            <w:vAlign w:val="center"/>
          </w:tcPr>
          <w:p w14:paraId="43CBD0E5">
            <w:pPr>
              <w:jc w:val="center"/>
              <w:rPr>
                <w:rFonts w:eastAsia="仿宋_GB2312"/>
                <w:color w:val="auto"/>
                <w:szCs w:val="21"/>
              </w:rPr>
            </w:pPr>
          </w:p>
        </w:tc>
        <w:tc>
          <w:tcPr>
            <w:tcW w:w="498" w:type="pct"/>
            <w:vMerge w:val="continue"/>
            <w:shd w:val="clear" w:color="auto" w:fill="auto"/>
            <w:vAlign w:val="center"/>
          </w:tcPr>
          <w:p w14:paraId="3F0EB845">
            <w:pPr>
              <w:keepNext w:val="0"/>
              <w:keepLines w:val="0"/>
              <w:widowControl/>
              <w:suppressLineNumbers w:val="0"/>
              <w:jc w:val="center"/>
              <w:textAlignment w:val="bottom"/>
              <w:rPr>
                <w:rFonts w:eastAsia="仿宋_GB2312"/>
                <w:color w:val="auto"/>
                <w:kern w:val="0"/>
                <w:szCs w:val="21"/>
                <w:lang w:bidi="ar"/>
              </w:rPr>
            </w:pPr>
          </w:p>
        </w:tc>
        <w:tc>
          <w:tcPr>
            <w:tcW w:w="820" w:type="pct"/>
            <w:shd w:val="clear" w:color="auto" w:fill="auto"/>
            <w:vAlign w:val="center"/>
          </w:tcPr>
          <w:p w14:paraId="0F24EC84">
            <w:pPr>
              <w:widowControl/>
              <w:jc w:val="center"/>
              <w:textAlignment w:val="center"/>
              <w:rPr>
                <w:rFonts w:ascii="Times New Roman" w:hAnsi="Times New Roman" w:eastAsia="仿宋_GB2312" w:cs="Times New Roman"/>
                <w:color w:val="auto"/>
                <w:kern w:val="0"/>
                <w:sz w:val="21"/>
                <w:szCs w:val="21"/>
                <w:lang w:val="en-US" w:eastAsia="zh-CN" w:bidi="ar"/>
              </w:rPr>
            </w:pPr>
            <w:r>
              <w:rPr>
                <w:rFonts w:eastAsia="仿宋_GB2312"/>
                <w:color w:val="auto"/>
                <w:kern w:val="0"/>
                <w:szCs w:val="21"/>
                <w:lang w:bidi="ar"/>
              </w:rPr>
              <w:t>2,4-二甲基己烷</w:t>
            </w:r>
          </w:p>
        </w:tc>
        <w:tc>
          <w:tcPr>
            <w:tcW w:w="380" w:type="pct"/>
            <w:shd w:val="clear" w:color="auto" w:fill="auto"/>
            <w:vAlign w:val="center"/>
          </w:tcPr>
          <w:p w14:paraId="23BC100C">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0.064</w:t>
            </w:r>
          </w:p>
        </w:tc>
        <w:tc>
          <w:tcPr>
            <w:tcW w:w="445" w:type="pct"/>
            <w:vAlign w:val="center"/>
          </w:tcPr>
          <w:p w14:paraId="6CA2C7BF">
            <w:pPr>
              <w:widowControl/>
              <w:jc w:val="center"/>
              <w:textAlignment w:val="center"/>
              <w:rPr>
                <w:rFonts w:eastAsia="仿宋_GB2312"/>
                <w:color w:val="auto"/>
                <w:kern w:val="0"/>
                <w:szCs w:val="21"/>
                <w:lang w:bidi="ar"/>
              </w:rPr>
            </w:pPr>
            <w:r>
              <w:rPr>
                <w:rFonts w:hint="eastAsia" w:eastAsia="仿宋_GB2312"/>
                <w:color w:val="auto"/>
                <w:kern w:val="0"/>
                <w:szCs w:val="21"/>
                <w:lang w:val="en-US" w:eastAsia="zh-CN" w:bidi="ar"/>
              </w:rPr>
              <w:t>0.017</w:t>
            </w:r>
          </w:p>
        </w:tc>
        <w:tc>
          <w:tcPr>
            <w:tcW w:w="630" w:type="pct"/>
            <w:vMerge w:val="continue"/>
            <w:vAlign w:val="center"/>
          </w:tcPr>
          <w:p w14:paraId="0F347D6C">
            <w:pPr>
              <w:jc w:val="center"/>
              <w:rPr>
                <w:rFonts w:eastAsia="仿宋_GB2312"/>
                <w:color w:val="auto"/>
                <w:szCs w:val="21"/>
              </w:rPr>
            </w:pPr>
          </w:p>
        </w:tc>
        <w:tc>
          <w:tcPr>
            <w:tcW w:w="292" w:type="pct"/>
            <w:vMerge w:val="continue"/>
            <w:vAlign w:val="center"/>
          </w:tcPr>
          <w:p w14:paraId="1291EF58">
            <w:pPr>
              <w:jc w:val="center"/>
              <w:rPr>
                <w:rFonts w:eastAsia="仿宋_GB2312"/>
                <w:color w:val="auto"/>
                <w:szCs w:val="21"/>
              </w:rPr>
            </w:pPr>
          </w:p>
        </w:tc>
      </w:tr>
      <w:tr w14:paraId="689ADC5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62ADC0D0">
            <w:pPr>
              <w:jc w:val="center"/>
              <w:rPr>
                <w:rFonts w:eastAsia="仿宋_GB2312"/>
                <w:color w:val="auto"/>
                <w:szCs w:val="21"/>
              </w:rPr>
            </w:pPr>
          </w:p>
        </w:tc>
        <w:tc>
          <w:tcPr>
            <w:tcW w:w="358" w:type="pct"/>
            <w:vMerge w:val="continue"/>
            <w:vAlign w:val="center"/>
          </w:tcPr>
          <w:p w14:paraId="55223B88">
            <w:pPr>
              <w:jc w:val="center"/>
              <w:rPr>
                <w:rFonts w:eastAsia="仿宋_GB2312"/>
                <w:color w:val="auto"/>
                <w:szCs w:val="21"/>
              </w:rPr>
            </w:pPr>
          </w:p>
        </w:tc>
        <w:tc>
          <w:tcPr>
            <w:tcW w:w="418" w:type="pct"/>
            <w:vMerge w:val="continue"/>
            <w:vAlign w:val="center"/>
          </w:tcPr>
          <w:p w14:paraId="2038E9DF">
            <w:pPr>
              <w:jc w:val="center"/>
              <w:rPr>
                <w:rFonts w:eastAsia="仿宋_GB2312"/>
                <w:color w:val="auto"/>
                <w:szCs w:val="21"/>
              </w:rPr>
            </w:pPr>
          </w:p>
        </w:tc>
        <w:tc>
          <w:tcPr>
            <w:tcW w:w="446" w:type="pct"/>
            <w:vMerge w:val="continue"/>
            <w:vAlign w:val="center"/>
          </w:tcPr>
          <w:p w14:paraId="21DA9133">
            <w:pPr>
              <w:jc w:val="center"/>
              <w:rPr>
                <w:rFonts w:eastAsia="仿宋_GB2312"/>
                <w:color w:val="auto"/>
                <w:szCs w:val="21"/>
              </w:rPr>
            </w:pPr>
          </w:p>
        </w:tc>
        <w:tc>
          <w:tcPr>
            <w:tcW w:w="361" w:type="pct"/>
            <w:vMerge w:val="continue"/>
            <w:vAlign w:val="center"/>
          </w:tcPr>
          <w:p w14:paraId="574762DD">
            <w:pPr>
              <w:jc w:val="center"/>
              <w:rPr>
                <w:rFonts w:eastAsia="仿宋_GB2312"/>
                <w:color w:val="auto"/>
                <w:szCs w:val="21"/>
              </w:rPr>
            </w:pPr>
          </w:p>
        </w:tc>
        <w:tc>
          <w:tcPr>
            <w:tcW w:w="498" w:type="pct"/>
            <w:vMerge w:val="continue"/>
            <w:shd w:val="clear" w:color="auto" w:fill="auto"/>
            <w:vAlign w:val="center"/>
          </w:tcPr>
          <w:p w14:paraId="0FE4C799">
            <w:pPr>
              <w:keepNext w:val="0"/>
              <w:keepLines w:val="0"/>
              <w:widowControl/>
              <w:suppressLineNumbers w:val="0"/>
              <w:jc w:val="center"/>
              <w:textAlignment w:val="bottom"/>
              <w:rPr>
                <w:rFonts w:eastAsia="仿宋_GB2312"/>
                <w:color w:val="auto"/>
                <w:kern w:val="0"/>
                <w:szCs w:val="21"/>
                <w:lang w:bidi="ar"/>
              </w:rPr>
            </w:pPr>
          </w:p>
        </w:tc>
        <w:tc>
          <w:tcPr>
            <w:tcW w:w="820" w:type="pct"/>
            <w:shd w:val="clear" w:color="auto" w:fill="auto"/>
            <w:vAlign w:val="center"/>
          </w:tcPr>
          <w:p w14:paraId="62D2C43D">
            <w:pPr>
              <w:widowControl/>
              <w:jc w:val="center"/>
              <w:textAlignment w:val="center"/>
              <w:rPr>
                <w:rFonts w:ascii="Times New Roman" w:hAnsi="Times New Roman" w:eastAsia="仿宋_GB2312" w:cs="Times New Roman"/>
                <w:b/>
                <w:bCs/>
                <w:color w:val="auto"/>
                <w:kern w:val="0"/>
                <w:sz w:val="21"/>
                <w:szCs w:val="21"/>
                <w:lang w:val="en-US" w:eastAsia="zh-CN" w:bidi="ar"/>
              </w:rPr>
            </w:pPr>
            <w:r>
              <w:rPr>
                <w:rFonts w:eastAsia="仿宋_GB2312"/>
                <w:color w:val="auto"/>
                <w:kern w:val="0"/>
                <w:szCs w:val="21"/>
                <w:lang w:bidi="ar"/>
              </w:rPr>
              <w:t>其他有机物</w:t>
            </w:r>
          </w:p>
        </w:tc>
        <w:tc>
          <w:tcPr>
            <w:tcW w:w="380" w:type="pct"/>
            <w:shd w:val="clear" w:color="auto" w:fill="auto"/>
            <w:vAlign w:val="center"/>
          </w:tcPr>
          <w:p w14:paraId="41ADA06C">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0.015</w:t>
            </w:r>
          </w:p>
        </w:tc>
        <w:tc>
          <w:tcPr>
            <w:tcW w:w="445" w:type="pct"/>
            <w:vAlign w:val="center"/>
          </w:tcPr>
          <w:p w14:paraId="3E13797E">
            <w:pPr>
              <w:widowControl/>
              <w:jc w:val="center"/>
              <w:textAlignment w:val="center"/>
              <w:rPr>
                <w:rFonts w:eastAsia="仿宋_GB2312"/>
                <w:color w:val="auto"/>
                <w:kern w:val="0"/>
                <w:szCs w:val="21"/>
                <w:lang w:bidi="ar"/>
              </w:rPr>
            </w:pPr>
            <w:r>
              <w:rPr>
                <w:rFonts w:hint="eastAsia" w:eastAsia="仿宋_GB2312"/>
                <w:color w:val="auto"/>
                <w:kern w:val="0"/>
                <w:szCs w:val="21"/>
                <w:lang w:val="en-US" w:eastAsia="zh-CN" w:bidi="ar"/>
              </w:rPr>
              <w:t>0.004</w:t>
            </w:r>
          </w:p>
        </w:tc>
        <w:tc>
          <w:tcPr>
            <w:tcW w:w="630" w:type="pct"/>
            <w:vMerge w:val="continue"/>
            <w:vAlign w:val="center"/>
          </w:tcPr>
          <w:p w14:paraId="73A7FC34">
            <w:pPr>
              <w:jc w:val="center"/>
              <w:rPr>
                <w:rFonts w:eastAsia="仿宋_GB2312"/>
                <w:color w:val="auto"/>
                <w:szCs w:val="21"/>
              </w:rPr>
            </w:pPr>
          </w:p>
        </w:tc>
        <w:tc>
          <w:tcPr>
            <w:tcW w:w="292" w:type="pct"/>
            <w:vMerge w:val="continue"/>
            <w:vAlign w:val="center"/>
          </w:tcPr>
          <w:p w14:paraId="51532385">
            <w:pPr>
              <w:jc w:val="center"/>
              <w:rPr>
                <w:rFonts w:eastAsia="仿宋_GB2312"/>
                <w:color w:val="auto"/>
                <w:szCs w:val="21"/>
              </w:rPr>
            </w:pPr>
          </w:p>
        </w:tc>
      </w:tr>
      <w:tr w14:paraId="5C9F5E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2FA58D18">
            <w:pPr>
              <w:jc w:val="center"/>
              <w:rPr>
                <w:rFonts w:eastAsia="仿宋_GB2312"/>
                <w:color w:val="auto"/>
                <w:szCs w:val="21"/>
              </w:rPr>
            </w:pPr>
          </w:p>
        </w:tc>
        <w:tc>
          <w:tcPr>
            <w:tcW w:w="358" w:type="pct"/>
            <w:vMerge w:val="continue"/>
            <w:vAlign w:val="center"/>
          </w:tcPr>
          <w:p w14:paraId="681FC406">
            <w:pPr>
              <w:jc w:val="center"/>
              <w:rPr>
                <w:rFonts w:eastAsia="仿宋_GB2312"/>
                <w:color w:val="auto"/>
                <w:szCs w:val="21"/>
              </w:rPr>
            </w:pPr>
          </w:p>
        </w:tc>
        <w:tc>
          <w:tcPr>
            <w:tcW w:w="418" w:type="pct"/>
            <w:vMerge w:val="restart"/>
            <w:vAlign w:val="center"/>
          </w:tcPr>
          <w:p w14:paraId="006F05D0">
            <w:pPr>
              <w:jc w:val="center"/>
              <w:rPr>
                <w:rFonts w:eastAsia="仿宋_GB2312"/>
                <w:color w:val="auto"/>
                <w:szCs w:val="21"/>
              </w:rPr>
            </w:pPr>
            <w:r>
              <w:rPr>
                <w:rFonts w:eastAsia="仿宋_GB2312"/>
                <w:color w:val="auto"/>
                <w:kern w:val="0"/>
                <w:szCs w:val="21"/>
                <w:lang w:bidi="ar"/>
              </w:rPr>
              <w:t>G</w:t>
            </w:r>
            <w:r>
              <w:rPr>
                <w:rFonts w:hint="eastAsia" w:eastAsia="仿宋_GB2312"/>
                <w:color w:val="auto"/>
                <w:kern w:val="0"/>
                <w:szCs w:val="21"/>
                <w:lang w:val="en-US" w:eastAsia="zh-CN" w:bidi="ar"/>
              </w:rPr>
              <w:t>2</w:t>
            </w:r>
            <w:r>
              <w:rPr>
                <w:rFonts w:eastAsia="仿宋_GB2312"/>
                <w:color w:val="auto"/>
                <w:kern w:val="0"/>
                <w:szCs w:val="21"/>
                <w:lang w:bidi="ar"/>
              </w:rPr>
              <w:t>-</w:t>
            </w:r>
            <w:r>
              <w:rPr>
                <w:rFonts w:hint="eastAsia" w:eastAsia="仿宋_GB2312"/>
                <w:color w:val="auto"/>
                <w:kern w:val="0"/>
                <w:szCs w:val="21"/>
                <w:lang w:val="en-US" w:eastAsia="zh-CN" w:bidi="ar"/>
              </w:rPr>
              <w:t>7</w:t>
            </w:r>
            <w:r>
              <w:rPr>
                <w:rFonts w:eastAsia="仿宋_GB2312"/>
                <w:color w:val="auto"/>
                <w:kern w:val="0"/>
                <w:szCs w:val="21"/>
                <w:lang w:bidi="ar"/>
              </w:rPr>
              <w:t>-3</w:t>
            </w:r>
          </w:p>
        </w:tc>
        <w:tc>
          <w:tcPr>
            <w:tcW w:w="446" w:type="pct"/>
            <w:vMerge w:val="restart"/>
            <w:vAlign w:val="center"/>
          </w:tcPr>
          <w:p w14:paraId="6BC8690B">
            <w:pPr>
              <w:jc w:val="center"/>
              <w:rPr>
                <w:rFonts w:eastAsia="仿宋_GB2312"/>
                <w:color w:val="auto"/>
                <w:szCs w:val="21"/>
              </w:rPr>
            </w:pPr>
            <w:r>
              <w:rPr>
                <w:rFonts w:eastAsia="仿宋_GB2312"/>
                <w:color w:val="auto"/>
                <w:kern w:val="0"/>
                <w:szCs w:val="21"/>
                <w:lang w:bidi="ar"/>
              </w:rPr>
              <w:t>不凝气</w:t>
            </w:r>
          </w:p>
        </w:tc>
        <w:tc>
          <w:tcPr>
            <w:tcW w:w="361" w:type="pct"/>
            <w:vMerge w:val="restart"/>
            <w:vAlign w:val="center"/>
          </w:tcPr>
          <w:p w14:paraId="5A6A8F9C">
            <w:pPr>
              <w:jc w:val="center"/>
              <w:rPr>
                <w:rFonts w:eastAsia="仿宋_GB2312"/>
                <w:color w:val="auto"/>
                <w:szCs w:val="21"/>
              </w:rPr>
            </w:pPr>
            <w:r>
              <w:rPr>
                <w:rFonts w:eastAsia="仿宋_GB2312"/>
                <w:color w:val="auto"/>
                <w:szCs w:val="21"/>
              </w:rPr>
              <w:t>360</w:t>
            </w:r>
          </w:p>
        </w:tc>
        <w:tc>
          <w:tcPr>
            <w:tcW w:w="498" w:type="pct"/>
            <w:vMerge w:val="restart"/>
            <w:shd w:val="clear" w:color="auto" w:fill="auto"/>
            <w:vAlign w:val="center"/>
          </w:tcPr>
          <w:p w14:paraId="5E134C67">
            <w:pPr>
              <w:keepNext w:val="0"/>
              <w:keepLines w:val="0"/>
              <w:widowControl/>
              <w:suppressLineNumbers w:val="0"/>
              <w:jc w:val="center"/>
              <w:textAlignment w:val="bottom"/>
              <w:rPr>
                <w:rFonts w:eastAsia="仿宋_GB2312"/>
                <w:color w:val="auto"/>
                <w:kern w:val="0"/>
                <w:szCs w:val="21"/>
                <w:lang w:bidi="ar"/>
              </w:rPr>
            </w:pPr>
            <w:r>
              <w:rPr>
                <w:rFonts w:hint="default" w:ascii="Times New Roman" w:hAnsi="Times New Roman" w:eastAsia="宋体" w:cs="Times New Roman"/>
                <w:i w:val="0"/>
                <w:iCs w:val="0"/>
                <w:color w:val="auto"/>
                <w:kern w:val="0"/>
                <w:sz w:val="21"/>
                <w:szCs w:val="21"/>
                <w:u w:val="none"/>
                <w:lang w:val="en-US" w:eastAsia="zh-CN" w:bidi="ar"/>
              </w:rPr>
              <w:t>528</w:t>
            </w:r>
          </w:p>
        </w:tc>
        <w:tc>
          <w:tcPr>
            <w:tcW w:w="820" w:type="pct"/>
            <w:shd w:val="clear" w:color="auto" w:fill="auto"/>
            <w:vAlign w:val="center"/>
          </w:tcPr>
          <w:p w14:paraId="21987B96">
            <w:pPr>
              <w:widowControl/>
              <w:jc w:val="center"/>
              <w:textAlignment w:val="center"/>
              <w:rPr>
                <w:rFonts w:ascii="Times New Roman" w:hAnsi="Times New Roman" w:eastAsia="仿宋_GB2312" w:cs="Times New Roman"/>
                <w:b/>
                <w:bCs/>
                <w:color w:val="auto"/>
                <w:kern w:val="0"/>
                <w:sz w:val="21"/>
                <w:szCs w:val="21"/>
                <w:lang w:val="en-US" w:eastAsia="zh-CN" w:bidi="ar"/>
              </w:rPr>
            </w:pPr>
            <w:r>
              <w:rPr>
                <w:rFonts w:eastAsia="仿宋_GB2312"/>
                <w:color w:val="auto"/>
                <w:kern w:val="0"/>
                <w:szCs w:val="21"/>
                <w:lang w:bidi="ar"/>
              </w:rPr>
              <w:t>丁醇</w:t>
            </w:r>
          </w:p>
        </w:tc>
        <w:tc>
          <w:tcPr>
            <w:tcW w:w="380" w:type="pct"/>
            <w:shd w:val="clear" w:color="auto" w:fill="auto"/>
            <w:vAlign w:val="center"/>
          </w:tcPr>
          <w:p w14:paraId="497320E2">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4.721</w:t>
            </w:r>
          </w:p>
        </w:tc>
        <w:tc>
          <w:tcPr>
            <w:tcW w:w="445" w:type="pct"/>
            <w:vAlign w:val="center"/>
          </w:tcPr>
          <w:p w14:paraId="01EC16C8">
            <w:pPr>
              <w:widowControl/>
              <w:jc w:val="center"/>
              <w:textAlignment w:val="center"/>
              <w:rPr>
                <w:rFonts w:eastAsia="仿宋_GB2312"/>
                <w:color w:val="auto"/>
                <w:kern w:val="0"/>
                <w:szCs w:val="21"/>
                <w:lang w:bidi="ar"/>
              </w:rPr>
            </w:pPr>
            <w:r>
              <w:rPr>
                <w:rFonts w:hint="eastAsia" w:eastAsia="仿宋_GB2312"/>
                <w:color w:val="auto"/>
                <w:kern w:val="0"/>
                <w:szCs w:val="21"/>
                <w:lang w:val="en-US" w:eastAsia="zh-CN" w:bidi="ar"/>
              </w:rPr>
              <w:t>2.493</w:t>
            </w:r>
          </w:p>
        </w:tc>
        <w:tc>
          <w:tcPr>
            <w:tcW w:w="630" w:type="pct"/>
            <w:vMerge w:val="continue"/>
            <w:vAlign w:val="center"/>
          </w:tcPr>
          <w:p w14:paraId="0B83E048">
            <w:pPr>
              <w:jc w:val="center"/>
              <w:rPr>
                <w:rFonts w:eastAsia="仿宋_GB2312"/>
                <w:color w:val="auto"/>
                <w:szCs w:val="21"/>
              </w:rPr>
            </w:pPr>
          </w:p>
        </w:tc>
        <w:tc>
          <w:tcPr>
            <w:tcW w:w="292" w:type="pct"/>
            <w:vMerge w:val="continue"/>
            <w:vAlign w:val="center"/>
          </w:tcPr>
          <w:p w14:paraId="37B54BA2">
            <w:pPr>
              <w:jc w:val="center"/>
              <w:rPr>
                <w:rFonts w:eastAsia="仿宋_GB2312"/>
                <w:color w:val="auto"/>
                <w:szCs w:val="21"/>
              </w:rPr>
            </w:pPr>
          </w:p>
        </w:tc>
      </w:tr>
      <w:tr w14:paraId="3CE094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2E993433">
            <w:pPr>
              <w:jc w:val="center"/>
              <w:rPr>
                <w:rFonts w:eastAsia="仿宋_GB2312"/>
                <w:color w:val="auto"/>
                <w:szCs w:val="21"/>
              </w:rPr>
            </w:pPr>
          </w:p>
        </w:tc>
        <w:tc>
          <w:tcPr>
            <w:tcW w:w="358" w:type="pct"/>
            <w:vMerge w:val="continue"/>
            <w:vAlign w:val="center"/>
          </w:tcPr>
          <w:p w14:paraId="6C9F83F2">
            <w:pPr>
              <w:jc w:val="center"/>
              <w:rPr>
                <w:rFonts w:eastAsia="仿宋_GB2312"/>
                <w:color w:val="auto"/>
                <w:szCs w:val="21"/>
              </w:rPr>
            </w:pPr>
          </w:p>
        </w:tc>
        <w:tc>
          <w:tcPr>
            <w:tcW w:w="418" w:type="pct"/>
            <w:vMerge w:val="continue"/>
            <w:vAlign w:val="center"/>
          </w:tcPr>
          <w:p w14:paraId="02A91BC9">
            <w:pPr>
              <w:jc w:val="center"/>
              <w:rPr>
                <w:rFonts w:eastAsia="仿宋_GB2312"/>
                <w:color w:val="auto"/>
                <w:kern w:val="0"/>
                <w:szCs w:val="21"/>
                <w:lang w:bidi="ar"/>
              </w:rPr>
            </w:pPr>
          </w:p>
        </w:tc>
        <w:tc>
          <w:tcPr>
            <w:tcW w:w="446" w:type="pct"/>
            <w:vMerge w:val="continue"/>
            <w:vAlign w:val="center"/>
          </w:tcPr>
          <w:p w14:paraId="2F2D3EC7">
            <w:pPr>
              <w:jc w:val="center"/>
              <w:rPr>
                <w:rFonts w:eastAsia="仿宋_GB2312"/>
                <w:color w:val="auto"/>
                <w:kern w:val="0"/>
                <w:szCs w:val="21"/>
                <w:lang w:bidi="ar"/>
              </w:rPr>
            </w:pPr>
          </w:p>
        </w:tc>
        <w:tc>
          <w:tcPr>
            <w:tcW w:w="361" w:type="pct"/>
            <w:vMerge w:val="continue"/>
            <w:vAlign w:val="center"/>
          </w:tcPr>
          <w:p w14:paraId="31161E5E">
            <w:pPr>
              <w:jc w:val="center"/>
              <w:rPr>
                <w:rFonts w:eastAsia="仿宋_GB2312"/>
                <w:color w:val="auto"/>
                <w:szCs w:val="21"/>
              </w:rPr>
            </w:pPr>
          </w:p>
        </w:tc>
        <w:tc>
          <w:tcPr>
            <w:tcW w:w="498" w:type="pct"/>
            <w:vMerge w:val="continue"/>
            <w:shd w:val="clear" w:color="auto" w:fill="auto"/>
            <w:vAlign w:val="center"/>
          </w:tcPr>
          <w:p w14:paraId="05CC5B6C">
            <w:pPr>
              <w:keepNext w:val="0"/>
              <w:keepLines w:val="0"/>
              <w:widowControl/>
              <w:suppressLineNumbers w:val="0"/>
              <w:jc w:val="center"/>
              <w:textAlignment w:val="bottom"/>
              <w:rPr>
                <w:rFonts w:eastAsia="仿宋_GB2312"/>
                <w:color w:val="auto"/>
                <w:kern w:val="0"/>
                <w:szCs w:val="21"/>
                <w:lang w:bidi="ar"/>
              </w:rPr>
            </w:pPr>
          </w:p>
        </w:tc>
        <w:tc>
          <w:tcPr>
            <w:tcW w:w="820" w:type="pct"/>
            <w:shd w:val="clear" w:color="auto" w:fill="auto"/>
            <w:vAlign w:val="center"/>
          </w:tcPr>
          <w:p w14:paraId="3C37262C">
            <w:pPr>
              <w:widowControl/>
              <w:jc w:val="center"/>
              <w:textAlignment w:val="center"/>
              <w:rPr>
                <w:rFonts w:ascii="Times New Roman" w:hAnsi="Times New Roman" w:eastAsia="仿宋_GB2312" w:cs="Times New Roman"/>
                <w:color w:val="auto"/>
                <w:kern w:val="0"/>
                <w:sz w:val="21"/>
                <w:szCs w:val="21"/>
                <w:lang w:val="en-US" w:eastAsia="zh-CN" w:bidi="ar"/>
              </w:rPr>
            </w:pPr>
            <w:r>
              <w:rPr>
                <w:rFonts w:eastAsia="仿宋_GB2312"/>
                <w:color w:val="auto"/>
                <w:kern w:val="0"/>
                <w:szCs w:val="21"/>
                <w:lang w:bidi="ar"/>
              </w:rPr>
              <w:t>辛醇</w:t>
            </w:r>
          </w:p>
        </w:tc>
        <w:tc>
          <w:tcPr>
            <w:tcW w:w="380" w:type="pct"/>
            <w:shd w:val="clear" w:color="auto" w:fill="auto"/>
            <w:vAlign w:val="center"/>
          </w:tcPr>
          <w:p w14:paraId="1F5382CA">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5.583</w:t>
            </w:r>
          </w:p>
        </w:tc>
        <w:tc>
          <w:tcPr>
            <w:tcW w:w="445" w:type="pct"/>
            <w:vAlign w:val="center"/>
          </w:tcPr>
          <w:p w14:paraId="3B4E4648">
            <w:pPr>
              <w:widowControl/>
              <w:jc w:val="center"/>
              <w:textAlignment w:val="center"/>
              <w:rPr>
                <w:rFonts w:eastAsia="仿宋_GB2312"/>
                <w:color w:val="auto"/>
                <w:kern w:val="0"/>
                <w:szCs w:val="21"/>
                <w:lang w:bidi="ar"/>
              </w:rPr>
            </w:pPr>
            <w:r>
              <w:rPr>
                <w:rFonts w:hint="eastAsia" w:eastAsia="仿宋_GB2312"/>
                <w:color w:val="auto"/>
                <w:kern w:val="0"/>
                <w:szCs w:val="21"/>
                <w:lang w:val="en-US" w:eastAsia="zh-CN" w:bidi="ar"/>
              </w:rPr>
              <w:t>2.948</w:t>
            </w:r>
          </w:p>
        </w:tc>
        <w:tc>
          <w:tcPr>
            <w:tcW w:w="630" w:type="pct"/>
            <w:vMerge w:val="continue"/>
            <w:vAlign w:val="center"/>
          </w:tcPr>
          <w:p w14:paraId="27F37906">
            <w:pPr>
              <w:jc w:val="center"/>
              <w:rPr>
                <w:rFonts w:eastAsia="仿宋_GB2312"/>
                <w:color w:val="auto"/>
                <w:szCs w:val="21"/>
              </w:rPr>
            </w:pPr>
          </w:p>
        </w:tc>
        <w:tc>
          <w:tcPr>
            <w:tcW w:w="292" w:type="pct"/>
            <w:vMerge w:val="continue"/>
            <w:vAlign w:val="center"/>
          </w:tcPr>
          <w:p w14:paraId="096B9A87">
            <w:pPr>
              <w:jc w:val="center"/>
              <w:rPr>
                <w:rFonts w:eastAsia="仿宋_GB2312"/>
                <w:color w:val="auto"/>
                <w:szCs w:val="21"/>
              </w:rPr>
            </w:pPr>
          </w:p>
        </w:tc>
      </w:tr>
      <w:tr w14:paraId="7913BA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021BD34A">
            <w:pPr>
              <w:jc w:val="center"/>
              <w:rPr>
                <w:rFonts w:eastAsia="仿宋_GB2312"/>
                <w:color w:val="auto"/>
                <w:szCs w:val="21"/>
              </w:rPr>
            </w:pPr>
          </w:p>
        </w:tc>
        <w:tc>
          <w:tcPr>
            <w:tcW w:w="358" w:type="pct"/>
            <w:vMerge w:val="continue"/>
            <w:vAlign w:val="center"/>
          </w:tcPr>
          <w:p w14:paraId="005920BD">
            <w:pPr>
              <w:jc w:val="center"/>
              <w:rPr>
                <w:rFonts w:eastAsia="仿宋_GB2312"/>
                <w:color w:val="auto"/>
                <w:szCs w:val="21"/>
              </w:rPr>
            </w:pPr>
          </w:p>
        </w:tc>
        <w:tc>
          <w:tcPr>
            <w:tcW w:w="418" w:type="pct"/>
            <w:vMerge w:val="continue"/>
            <w:vAlign w:val="center"/>
          </w:tcPr>
          <w:p w14:paraId="4601D98E">
            <w:pPr>
              <w:jc w:val="center"/>
              <w:rPr>
                <w:rFonts w:eastAsia="仿宋_GB2312"/>
                <w:color w:val="auto"/>
                <w:szCs w:val="21"/>
              </w:rPr>
            </w:pPr>
          </w:p>
        </w:tc>
        <w:tc>
          <w:tcPr>
            <w:tcW w:w="446" w:type="pct"/>
            <w:vMerge w:val="continue"/>
            <w:vAlign w:val="center"/>
          </w:tcPr>
          <w:p w14:paraId="0092CDD1">
            <w:pPr>
              <w:jc w:val="center"/>
              <w:rPr>
                <w:rFonts w:eastAsia="仿宋_GB2312"/>
                <w:color w:val="auto"/>
                <w:szCs w:val="21"/>
              </w:rPr>
            </w:pPr>
          </w:p>
        </w:tc>
        <w:tc>
          <w:tcPr>
            <w:tcW w:w="361" w:type="pct"/>
            <w:vMerge w:val="continue"/>
            <w:vAlign w:val="center"/>
          </w:tcPr>
          <w:p w14:paraId="7506FB30">
            <w:pPr>
              <w:jc w:val="center"/>
              <w:rPr>
                <w:rFonts w:eastAsia="仿宋_GB2312"/>
                <w:color w:val="auto"/>
                <w:szCs w:val="21"/>
              </w:rPr>
            </w:pPr>
          </w:p>
        </w:tc>
        <w:tc>
          <w:tcPr>
            <w:tcW w:w="498" w:type="pct"/>
            <w:vMerge w:val="continue"/>
            <w:shd w:val="clear" w:color="auto" w:fill="auto"/>
            <w:vAlign w:val="center"/>
          </w:tcPr>
          <w:p w14:paraId="5640F672">
            <w:pPr>
              <w:keepNext w:val="0"/>
              <w:keepLines w:val="0"/>
              <w:widowControl/>
              <w:suppressLineNumbers w:val="0"/>
              <w:jc w:val="center"/>
              <w:textAlignment w:val="bottom"/>
              <w:rPr>
                <w:rFonts w:eastAsia="仿宋_GB2312"/>
                <w:color w:val="auto"/>
                <w:kern w:val="0"/>
                <w:szCs w:val="21"/>
                <w:lang w:bidi="ar"/>
              </w:rPr>
            </w:pPr>
          </w:p>
        </w:tc>
        <w:tc>
          <w:tcPr>
            <w:tcW w:w="820" w:type="pct"/>
            <w:shd w:val="clear" w:color="auto" w:fill="auto"/>
            <w:vAlign w:val="center"/>
          </w:tcPr>
          <w:p w14:paraId="539C9793">
            <w:pPr>
              <w:widowControl/>
              <w:jc w:val="center"/>
              <w:textAlignment w:val="center"/>
              <w:rPr>
                <w:rFonts w:ascii="Times New Roman" w:hAnsi="Times New Roman" w:eastAsia="仿宋_GB2312" w:cs="Times New Roman"/>
                <w:color w:val="auto"/>
                <w:kern w:val="0"/>
                <w:sz w:val="21"/>
                <w:szCs w:val="21"/>
                <w:lang w:val="en-US" w:eastAsia="zh-CN" w:bidi="ar"/>
              </w:rPr>
            </w:pPr>
            <w:r>
              <w:rPr>
                <w:rFonts w:eastAsia="仿宋_GB2312"/>
                <w:color w:val="auto"/>
                <w:kern w:val="0"/>
                <w:szCs w:val="21"/>
                <w:lang w:bidi="ar"/>
              </w:rPr>
              <w:t>2,4-二甲基己烷</w:t>
            </w:r>
          </w:p>
        </w:tc>
        <w:tc>
          <w:tcPr>
            <w:tcW w:w="380" w:type="pct"/>
            <w:shd w:val="clear" w:color="auto" w:fill="auto"/>
            <w:vAlign w:val="center"/>
          </w:tcPr>
          <w:p w14:paraId="4EBBBEFA">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1.95</w:t>
            </w:r>
          </w:p>
        </w:tc>
        <w:tc>
          <w:tcPr>
            <w:tcW w:w="445" w:type="pct"/>
            <w:vAlign w:val="center"/>
          </w:tcPr>
          <w:p w14:paraId="51FE2E98">
            <w:pPr>
              <w:widowControl/>
              <w:jc w:val="center"/>
              <w:textAlignment w:val="center"/>
              <w:rPr>
                <w:rFonts w:eastAsia="仿宋_GB2312"/>
                <w:color w:val="auto"/>
                <w:kern w:val="0"/>
                <w:szCs w:val="21"/>
                <w:lang w:bidi="ar"/>
              </w:rPr>
            </w:pPr>
            <w:r>
              <w:rPr>
                <w:rFonts w:hint="eastAsia" w:eastAsia="仿宋_GB2312"/>
                <w:color w:val="auto"/>
                <w:kern w:val="0"/>
                <w:szCs w:val="21"/>
                <w:lang w:val="en-US" w:eastAsia="zh-CN" w:bidi="ar"/>
              </w:rPr>
              <w:t>1.03</w:t>
            </w:r>
          </w:p>
        </w:tc>
        <w:tc>
          <w:tcPr>
            <w:tcW w:w="630" w:type="pct"/>
            <w:vMerge w:val="continue"/>
            <w:vAlign w:val="center"/>
          </w:tcPr>
          <w:p w14:paraId="214DFF69">
            <w:pPr>
              <w:jc w:val="center"/>
              <w:rPr>
                <w:rFonts w:eastAsia="仿宋_GB2312"/>
                <w:color w:val="auto"/>
                <w:szCs w:val="21"/>
              </w:rPr>
            </w:pPr>
          </w:p>
        </w:tc>
        <w:tc>
          <w:tcPr>
            <w:tcW w:w="292" w:type="pct"/>
            <w:vMerge w:val="continue"/>
            <w:vAlign w:val="center"/>
          </w:tcPr>
          <w:p w14:paraId="7867AF25">
            <w:pPr>
              <w:jc w:val="center"/>
              <w:rPr>
                <w:rFonts w:eastAsia="仿宋_GB2312"/>
                <w:color w:val="auto"/>
                <w:szCs w:val="21"/>
              </w:rPr>
            </w:pPr>
          </w:p>
        </w:tc>
      </w:tr>
      <w:tr w14:paraId="0AFAB30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438C9720">
            <w:pPr>
              <w:jc w:val="center"/>
              <w:rPr>
                <w:rFonts w:eastAsia="仿宋_GB2312"/>
                <w:color w:val="auto"/>
                <w:szCs w:val="21"/>
              </w:rPr>
            </w:pPr>
          </w:p>
        </w:tc>
        <w:tc>
          <w:tcPr>
            <w:tcW w:w="358" w:type="pct"/>
            <w:vMerge w:val="continue"/>
            <w:vAlign w:val="center"/>
          </w:tcPr>
          <w:p w14:paraId="60EAC5D5">
            <w:pPr>
              <w:jc w:val="center"/>
              <w:rPr>
                <w:rFonts w:eastAsia="仿宋_GB2312"/>
                <w:color w:val="auto"/>
                <w:szCs w:val="21"/>
              </w:rPr>
            </w:pPr>
          </w:p>
        </w:tc>
        <w:tc>
          <w:tcPr>
            <w:tcW w:w="418" w:type="pct"/>
            <w:vMerge w:val="continue"/>
            <w:vAlign w:val="center"/>
          </w:tcPr>
          <w:p w14:paraId="49775541">
            <w:pPr>
              <w:jc w:val="center"/>
              <w:rPr>
                <w:rFonts w:eastAsia="仿宋_GB2312"/>
                <w:color w:val="auto"/>
                <w:szCs w:val="21"/>
              </w:rPr>
            </w:pPr>
          </w:p>
        </w:tc>
        <w:tc>
          <w:tcPr>
            <w:tcW w:w="446" w:type="pct"/>
            <w:vMerge w:val="continue"/>
            <w:vAlign w:val="center"/>
          </w:tcPr>
          <w:p w14:paraId="01695759">
            <w:pPr>
              <w:jc w:val="center"/>
              <w:rPr>
                <w:rFonts w:eastAsia="仿宋_GB2312"/>
                <w:color w:val="auto"/>
                <w:szCs w:val="21"/>
              </w:rPr>
            </w:pPr>
          </w:p>
        </w:tc>
        <w:tc>
          <w:tcPr>
            <w:tcW w:w="361" w:type="pct"/>
            <w:vMerge w:val="continue"/>
            <w:vAlign w:val="center"/>
          </w:tcPr>
          <w:p w14:paraId="1374FC7D">
            <w:pPr>
              <w:jc w:val="center"/>
              <w:rPr>
                <w:rFonts w:eastAsia="仿宋_GB2312"/>
                <w:color w:val="auto"/>
                <w:szCs w:val="21"/>
              </w:rPr>
            </w:pPr>
          </w:p>
        </w:tc>
        <w:tc>
          <w:tcPr>
            <w:tcW w:w="498" w:type="pct"/>
            <w:vMerge w:val="continue"/>
            <w:shd w:val="clear" w:color="auto" w:fill="auto"/>
            <w:vAlign w:val="center"/>
          </w:tcPr>
          <w:p w14:paraId="7FA2BBDF">
            <w:pPr>
              <w:keepNext w:val="0"/>
              <w:keepLines w:val="0"/>
              <w:widowControl/>
              <w:suppressLineNumbers w:val="0"/>
              <w:jc w:val="center"/>
              <w:textAlignment w:val="bottom"/>
              <w:rPr>
                <w:rFonts w:eastAsia="仿宋_GB2312"/>
                <w:color w:val="auto"/>
                <w:kern w:val="0"/>
                <w:szCs w:val="21"/>
                <w:lang w:bidi="ar"/>
              </w:rPr>
            </w:pPr>
          </w:p>
        </w:tc>
        <w:tc>
          <w:tcPr>
            <w:tcW w:w="820" w:type="pct"/>
            <w:shd w:val="clear" w:color="auto" w:fill="auto"/>
            <w:vAlign w:val="center"/>
          </w:tcPr>
          <w:p w14:paraId="1CB60CBC">
            <w:pPr>
              <w:widowControl/>
              <w:jc w:val="center"/>
              <w:textAlignment w:val="center"/>
              <w:rPr>
                <w:rFonts w:ascii="Times New Roman" w:hAnsi="Times New Roman" w:eastAsia="仿宋_GB2312" w:cs="Times New Roman"/>
                <w:b/>
                <w:bCs/>
                <w:color w:val="auto"/>
                <w:kern w:val="0"/>
                <w:sz w:val="21"/>
                <w:szCs w:val="21"/>
                <w:lang w:val="en-US" w:eastAsia="zh-CN" w:bidi="ar"/>
              </w:rPr>
            </w:pPr>
            <w:r>
              <w:rPr>
                <w:rFonts w:eastAsia="仿宋_GB2312"/>
                <w:color w:val="auto"/>
                <w:kern w:val="0"/>
                <w:szCs w:val="21"/>
                <w:lang w:bidi="ar"/>
              </w:rPr>
              <w:t>其他有机物</w:t>
            </w:r>
          </w:p>
        </w:tc>
        <w:tc>
          <w:tcPr>
            <w:tcW w:w="380" w:type="pct"/>
            <w:shd w:val="clear" w:color="auto" w:fill="auto"/>
            <w:vAlign w:val="center"/>
          </w:tcPr>
          <w:p w14:paraId="4790FE3D">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0.098</w:t>
            </w:r>
          </w:p>
        </w:tc>
        <w:tc>
          <w:tcPr>
            <w:tcW w:w="445" w:type="pct"/>
            <w:vAlign w:val="center"/>
          </w:tcPr>
          <w:p w14:paraId="187C2ACB">
            <w:pPr>
              <w:widowControl/>
              <w:jc w:val="center"/>
              <w:textAlignment w:val="center"/>
              <w:rPr>
                <w:rFonts w:eastAsia="仿宋_GB2312"/>
                <w:color w:val="auto"/>
                <w:kern w:val="0"/>
                <w:szCs w:val="21"/>
                <w:lang w:bidi="ar"/>
              </w:rPr>
            </w:pPr>
            <w:r>
              <w:rPr>
                <w:rFonts w:hint="eastAsia" w:eastAsia="仿宋_GB2312"/>
                <w:color w:val="auto"/>
                <w:kern w:val="0"/>
                <w:szCs w:val="21"/>
                <w:lang w:val="en-US" w:eastAsia="zh-CN" w:bidi="ar"/>
              </w:rPr>
              <w:t>0.052</w:t>
            </w:r>
          </w:p>
        </w:tc>
        <w:tc>
          <w:tcPr>
            <w:tcW w:w="630" w:type="pct"/>
            <w:vMerge w:val="continue"/>
            <w:vAlign w:val="center"/>
          </w:tcPr>
          <w:p w14:paraId="40EDF9BB">
            <w:pPr>
              <w:jc w:val="center"/>
              <w:rPr>
                <w:rFonts w:eastAsia="仿宋_GB2312"/>
                <w:color w:val="auto"/>
                <w:szCs w:val="21"/>
              </w:rPr>
            </w:pPr>
          </w:p>
        </w:tc>
        <w:tc>
          <w:tcPr>
            <w:tcW w:w="292" w:type="pct"/>
            <w:vMerge w:val="continue"/>
            <w:vAlign w:val="center"/>
          </w:tcPr>
          <w:p w14:paraId="713BB512">
            <w:pPr>
              <w:jc w:val="center"/>
              <w:rPr>
                <w:rFonts w:eastAsia="仿宋_GB2312"/>
                <w:color w:val="auto"/>
                <w:szCs w:val="21"/>
              </w:rPr>
            </w:pPr>
          </w:p>
        </w:tc>
      </w:tr>
      <w:tr w14:paraId="1E7E24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71489258">
            <w:pPr>
              <w:jc w:val="center"/>
              <w:rPr>
                <w:rFonts w:eastAsia="仿宋_GB2312"/>
                <w:color w:val="auto"/>
                <w:szCs w:val="21"/>
              </w:rPr>
            </w:pPr>
          </w:p>
        </w:tc>
        <w:tc>
          <w:tcPr>
            <w:tcW w:w="358" w:type="pct"/>
            <w:vMerge w:val="continue"/>
            <w:vAlign w:val="center"/>
          </w:tcPr>
          <w:p w14:paraId="7AB9D4F3">
            <w:pPr>
              <w:jc w:val="center"/>
              <w:rPr>
                <w:rFonts w:eastAsia="仿宋_GB2312"/>
                <w:color w:val="auto"/>
                <w:szCs w:val="21"/>
              </w:rPr>
            </w:pPr>
          </w:p>
        </w:tc>
        <w:tc>
          <w:tcPr>
            <w:tcW w:w="418" w:type="pct"/>
            <w:vMerge w:val="restart"/>
            <w:vAlign w:val="center"/>
          </w:tcPr>
          <w:p w14:paraId="10E0FE3C">
            <w:pPr>
              <w:jc w:val="center"/>
              <w:rPr>
                <w:rFonts w:eastAsia="仿宋_GB2312"/>
                <w:color w:val="auto"/>
                <w:szCs w:val="21"/>
              </w:rPr>
            </w:pPr>
            <w:r>
              <w:rPr>
                <w:rFonts w:eastAsia="仿宋_GB2312"/>
                <w:color w:val="auto"/>
                <w:kern w:val="0"/>
                <w:szCs w:val="21"/>
                <w:lang w:bidi="ar"/>
              </w:rPr>
              <w:t>G</w:t>
            </w:r>
            <w:r>
              <w:rPr>
                <w:rFonts w:hint="eastAsia" w:eastAsia="仿宋_GB2312"/>
                <w:color w:val="auto"/>
                <w:kern w:val="0"/>
                <w:szCs w:val="21"/>
                <w:lang w:val="en-US" w:eastAsia="zh-CN" w:bidi="ar"/>
              </w:rPr>
              <w:t>2</w:t>
            </w:r>
            <w:r>
              <w:rPr>
                <w:rFonts w:eastAsia="仿宋_GB2312"/>
                <w:color w:val="auto"/>
                <w:kern w:val="0"/>
                <w:szCs w:val="21"/>
                <w:lang w:bidi="ar"/>
              </w:rPr>
              <w:t>-</w:t>
            </w:r>
            <w:r>
              <w:rPr>
                <w:rFonts w:hint="eastAsia" w:eastAsia="仿宋_GB2312"/>
                <w:color w:val="auto"/>
                <w:kern w:val="0"/>
                <w:szCs w:val="21"/>
                <w:lang w:val="en-US" w:eastAsia="zh-CN" w:bidi="ar"/>
              </w:rPr>
              <w:t>7</w:t>
            </w:r>
            <w:r>
              <w:rPr>
                <w:rFonts w:eastAsia="仿宋_GB2312"/>
                <w:color w:val="auto"/>
                <w:kern w:val="0"/>
                <w:szCs w:val="21"/>
                <w:lang w:bidi="ar"/>
              </w:rPr>
              <w:t>-4</w:t>
            </w:r>
          </w:p>
        </w:tc>
        <w:tc>
          <w:tcPr>
            <w:tcW w:w="446" w:type="pct"/>
            <w:vMerge w:val="restart"/>
            <w:vAlign w:val="center"/>
          </w:tcPr>
          <w:p w14:paraId="0AB9733B">
            <w:pPr>
              <w:jc w:val="center"/>
              <w:rPr>
                <w:rFonts w:eastAsia="仿宋_GB2312"/>
                <w:color w:val="auto"/>
                <w:szCs w:val="21"/>
              </w:rPr>
            </w:pPr>
            <w:r>
              <w:rPr>
                <w:rFonts w:eastAsia="仿宋_GB2312"/>
                <w:color w:val="auto"/>
                <w:kern w:val="0"/>
                <w:szCs w:val="21"/>
                <w:lang w:bidi="ar"/>
              </w:rPr>
              <w:t>不凝气</w:t>
            </w:r>
          </w:p>
        </w:tc>
        <w:tc>
          <w:tcPr>
            <w:tcW w:w="361" w:type="pct"/>
            <w:vMerge w:val="restart"/>
            <w:vAlign w:val="center"/>
          </w:tcPr>
          <w:p w14:paraId="7B7922F7">
            <w:pPr>
              <w:jc w:val="center"/>
              <w:rPr>
                <w:rFonts w:eastAsia="仿宋_GB2312"/>
                <w:color w:val="auto"/>
                <w:szCs w:val="21"/>
              </w:rPr>
            </w:pPr>
            <w:r>
              <w:rPr>
                <w:rFonts w:eastAsia="仿宋_GB2312"/>
                <w:color w:val="auto"/>
                <w:szCs w:val="21"/>
              </w:rPr>
              <w:t>360</w:t>
            </w:r>
          </w:p>
        </w:tc>
        <w:tc>
          <w:tcPr>
            <w:tcW w:w="498" w:type="pct"/>
            <w:vMerge w:val="restart"/>
            <w:shd w:val="clear" w:color="auto" w:fill="auto"/>
            <w:vAlign w:val="center"/>
          </w:tcPr>
          <w:p w14:paraId="11C9E191">
            <w:pPr>
              <w:keepNext w:val="0"/>
              <w:keepLines w:val="0"/>
              <w:widowControl/>
              <w:suppressLineNumbers w:val="0"/>
              <w:jc w:val="center"/>
              <w:textAlignment w:val="bottom"/>
              <w:rPr>
                <w:rFonts w:eastAsia="仿宋_GB2312"/>
                <w:color w:val="auto"/>
                <w:kern w:val="0"/>
                <w:szCs w:val="21"/>
                <w:lang w:bidi="ar"/>
              </w:rPr>
            </w:pPr>
            <w:r>
              <w:rPr>
                <w:rFonts w:hint="default" w:ascii="Times New Roman" w:hAnsi="Times New Roman" w:eastAsia="宋体" w:cs="Times New Roman"/>
                <w:i w:val="0"/>
                <w:iCs w:val="0"/>
                <w:color w:val="auto"/>
                <w:kern w:val="0"/>
                <w:sz w:val="21"/>
                <w:szCs w:val="21"/>
                <w:u w:val="none"/>
                <w:lang w:val="en-US" w:eastAsia="zh-CN" w:bidi="ar"/>
              </w:rPr>
              <w:t>528</w:t>
            </w:r>
          </w:p>
        </w:tc>
        <w:tc>
          <w:tcPr>
            <w:tcW w:w="820" w:type="pct"/>
            <w:shd w:val="clear" w:color="auto" w:fill="auto"/>
            <w:vAlign w:val="center"/>
          </w:tcPr>
          <w:p w14:paraId="5602326A">
            <w:pPr>
              <w:widowControl/>
              <w:jc w:val="center"/>
              <w:textAlignment w:val="center"/>
              <w:rPr>
                <w:rFonts w:ascii="Times New Roman" w:hAnsi="Times New Roman" w:eastAsia="仿宋_GB2312" w:cs="Times New Roman"/>
                <w:b/>
                <w:bCs/>
                <w:color w:val="auto"/>
                <w:kern w:val="0"/>
                <w:sz w:val="21"/>
                <w:szCs w:val="21"/>
                <w:lang w:val="en-US" w:eastAsia="zh-CN" w:bidi="ar"/>
              </w:rPr>
            </w:pPr>
            <w:r>
              <w:rPr>
                <w:rFonts w:eastAsia="仿宋_GB2312"/>
                <w:color w:val="auto"/>
                <w:kern w:val="0"/>
                <w:szCs w:val="21"/>
                <w:lang w:bidi="ar"/>
              </w:rPr>
              <w:t>丁醇</w:t>
            </w:r>
          </w:p>
        </w:tc>
        <w:tc>
          <w:tcPr>
            <w:tcW w:w="380" w:type="pct"/>
            <w:shd w:val="clear" w:color="auto" w:fill="auto"/>
            <w:vAlign w:val="center"/>
          </w:tcPr>
          <w:p w14:paraId="21E1BA9C">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0.068</w:t>
            </w:r>
          </w:p>
        </w:tc>
        <w:tc>
          <w:tcPr>
            <w:tcW w:w="445" w:type="pct"/>
            <w:vAlign w:val="center"/>
          </w:tcPr>
          <w:p w14:paraId="58C457C1">
            <w:pPr>
              <w:widowControl/>
              <w:jc w:val="center"/>
              <w:textAlignment w:val="center"/>
              <w:rPr>
                <w:rFonts w:eastAsia="仿宋_GB2312"/>
                <w:color w:val="auto"/>
                <w:kern w:val="0"/>
                <w:szCs w:val="21"/>
                <w:lang w:bidi="ar"/>
              </w:rPr>
            </w:pPr>
            <w:r>
              <w:rPr>
                <w:rFonts w:hint="eastAsia" w:eastAsia="仿宋_GB2312"/>
                <w:color w:val="auto"/>
                <w:kern w:val="0"/>
                <w:szCs w:val="21"/>
                <w:lang w:val="en-US" w:eastAsia="zh-CN" w:bidi="ar"/>
              </w:rPr>
              <w:t>0.036</w:t>
            </w:r>
          </w:p>
        </w:tc>
        <w:tc>
          <w:tcPr>
            <w:tcW w:w="630" w:type="pct"/>
            <w:vMerge w:val="continue"/>
            <w:vAlign w:val="center"/>
          </w:tcPr>
          <w:p w14:paraId="0713F490">
            <w:pPr>
              <w:jc w:val="center"/>
              <w:rPr>
                <w:rFonts w:eastAsia="仿宋_GB2312"/>
                <w:color w:val="auto"/>
                <w:szCs w:val="21"/>
              </w:rPr>
            </w:pPr>
          </w:p>
        </w:tc>
        <w:tc>
          <w:tcPr>
            <w:tcW w:w="292" w:type="pct"/>
            <w:vMerge w:val="continue"/>
            <w:vAlign w:val="center"/>
          </w:tcPr>
          <w:p w14:paraId="0B4F3822">
            <w:pPr>
              <w:jc w:val="center"/>
              <w:rPr>
                <w:rFonts w:eastAsia="仿宋_GB2312"/>
                <w:color w:val="auto"/>
                <w:szCs w:val="21"/>
              </w:rPr>
            </w:pPr>
          </w:p>
        </w:tc>
      </w:tr>
      <w:tr w14:paraId="16B49C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4649D3A2">
            <w:pPr>
              <w:jc w:val="center"/>
              <w:rPr>
                <w:rFonts w:eastAsia="仿宋_GB2312"/>
                <w:color w:val="auto"/>
                <w:szCs w:val="21"/>
              </w:rPr>
            </w:pPr>
          </w:p>
        </w:tc>
        <w:tc>
          <w:tcPr>
            <w:tcW w:w="358" w:type="pct"/>
            <w:vMerge w:val="continue"/>
            <w:vAlign w:val="center"/>
          </w:tcPr>
          <w:p w14:paraId="15233C73">
            <w:pPr>
              <w:jc w:val="center"/>
              <w:rPr>
                <w:rFonts w:eastAsia="仿宋_GB2312"/>
                <w:color w:val="auto"/>
                <w:szCs w:val="21"/>
              </w:rPr>
            </w:pPr>
          </w:p>
        </w:tc>
        <w:tc>
          <w:tcPr>
            <w:tcW w:w="418" w:type="pct"/>
            <w:vMerge w:val="continue"/>
            <w:vAlign w:val="center"/>
          </w:tcPr>
          <w:p w14:paraId="13BFE952">
            <w:pPr>
              <w:jc w:val="center"/>
              <w:rPr>
                <w:rFonts w:eastAsia="仿宋_GB2312"/>
                <w:color w:val="auto"/>
                <w:kern w:val="0"/>
                <w:szCs w:val="21"/>
                <w:lang w:bidi="ar"/>
              </w:rPr>
            </w:pPr>
          </w:p>
        </w:tc>
        <w:tc>
          <w:tcPr>
            <w:tcW w:w="446" w:type="pct"/>
            <w:vMerge w:val="continue"/>
            <w:vAlign w:val="center"/>
          </w:tcPr>
          <w:p w14:paraId="33590512">
            <w:pPr>
              <w:jc w:val="center"/>
              <w:rPr>
                <w:rFonts w:eastAsia="仿宋_GB2312"/>
                <w:color w:val="auto"/>
                <w:kern w:val="0"/>
                <w:szCs w:val="21"/>
                <w:lang w:bidi="ar"/>
              </w:rPr>
            </w:pPr>
          </w:p>
        </w:tc>
        <w:tc>
          <w:tcPr>
            <w:tcW w:w="361" w:type="pct"/>
            <w:vMerge w:val="continue"/>
            <w:vAlign w:val="center"/>
          </w:tcPr>
          <w:p w14:paraId="7BBF0CC1">
            <w:pPr>
              <w:jc w:val="center"/>
              <w:rPr>
                <w:rFonts w:eastAsia="仿宋_GB2312"/>
                <w:color w:val="auto"/>
                <w:szCs w:val="21"/>
              </w:rPr>
            </w:pPr>
          </w:p>
        </w:tc>
        <w:tc>
          <w:tcPr>
            <w:tcW w:w="498" w:type="pct"/>
            <w:vMerge w:val="continue"/>
            <w:shd w:val="clear" w:color="auto" w:fill="auto"/>
            <w:vAlign w:val="center"/>
          </w:tcPr>
          <w:p w14:paraId="52844B69">
            <w:pPr>
              <w:keepNext w:val="0"/>
              <w:keepLines w:val="0"/>
              <w:widowControl/>
              <w:suppressLineNumbers w:val="0"/>
              <w:jc w:val="center"/>
              <w:textAlignment w:val="bottom"/>
              <w:rPr>
                <w:rFonts w:eastAsia="仿宋_GB2312"/>
                <w:color w:val="auto"/>
                <w:kern w:val="0"/>
                <w:szCs w:val="21"/>
                <w:lang w:bidi="ar"/>
              </w:rPr>
            </w:pPr>
          </w:p>
        </w:tc>
        <w:tc>
          <w:tcPr>
            <w:tcW w:w="820" w:type="pct"/>
            <w:shd w:val="clear" w:color="auto" w:fill="auto"/>
            <w:vAlign w:val="center"/>
          </w:tcPr>
          <w:p w14:paraId="59635824">
            <w:pPr>
              <w:widowControl/>
              <w:jc w:val="center"/>
              <w:textAlignment w:val="center"/>
              <w:rPr>
                <w:rFonts w:ascii="Times New Roman" w:hAnsi="Times New Roman" w:eastAsia="仿宋_GB2312" w:cs="Times New Roman"/>
                <w:color w:val="auto"/>
                <w:kern w:val="0"/>
                <w:sz w:val="21"/>
                <w:szCs w:val="21"/>
                <w:lang w:val="en-US" w:eastAsia="zh-CN" w:bidi="ar"/>
              </w:rPr>
            </w:pPr>
            <w:r>
              <w:rPr>
                <w:rFonts w:eastAsia="仿宋_GB2312"/>
                <w:color w:val="auto"/>
                <w:kern w:val="0"/>
                <w:szCs w:val="21"/>
                <w:lang w:bidi="ar"/>
              </w:rPr>
              <w:t>辛醇</w:t>
            </w:r>
          </w:p>
        </w:tc>
        <w:tc>
          <w:tcPr>
            <w:tcW w:w="380" w:type="pct"/>
            <w:shd w:val="clear" w:color="auto" w:fill="auto"/>
            <w:vAlign w:val="center"/>
          </w:tcPr>
          <w:p w14:paraId="70917B26">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0.049</w:t>
            </w:r>
          </w:p>
        </w:tc>
        <w:tc>
          <w:tcPr>
            <w:tcW w:w="445" w:type="pct"/>
            <w:vAlign w:val="center"/>
          </w:tcPr>
          <w:p w14:paraId="527BFD44">
            <w:pPr>
              <w:widowControl/>
              <w:jc w:val="center"/>
              <w:textAlignment w:val="center"/>
              <w:rPr>
                <w:rFonts w:eastAsia="仿宋_GB2312"/>
                <w:color w:val="auto"/>
                <w:kern w:val="0"/>
                <w:szCs w:val="21"/>
                <w:lang w:bidi="ar"/>
              </w:rPr>
            </w:pPr>
            <w:r>
              <w:rPr>
                <w:rFonts w:hint="eastAsia" w:eastAsia="仿宋_GB2312"/>
                <w:color w:val="auto"/>
                <w:kern w:val="0"/>
                <w:szCs w:val="21"/>
                <w:lang w:val="en-US" w:eastAsia="zh-CN" w:bidi="ar"/>
              </w:rPr>
              <w:t>0.026</w:t>
            </w:r>
          </w:p>
        </w:tc>
        <w:tc>
          <w:tcPr>
            <w:tcW w:w="630" w:type="pct"/>
            <w:vMerge w:val="continue"/>
            <w:vAlign w:val="center"/>
          </w:tcPr>
          <w:p w14:paraId="3CEB66B4">
            <w:pPr>
              <w:jc w:val="center"/>
              <w:rPr>
                <w:rFonts w:eastAsia="仿宋_GB2312"/>
                <w:color w:val="auto"/>
                <w:szCs w:val="21"/>
              </w:rPr>
            </w:pPr>
          </w:p>
        </w:tc>
        <w:tc>
          <w:tcPr>
            <w:tcW w:w="292" w:type="pct"/>
            <w:vMerge w:val="continue"/>
            <w:vAlign w:val="center"/>
          </w:tcPr>
          <w:p w14:paraId="6F096A05">
            <w:pPr>
              <w:jc w:val="center"/>
              <w:rPr>
                <w:rFonts w:eastAsia="仿宋_GB2312"/>
                <w:color w:val="auto"/>
                <w:szCs w:val="21"/>
              </w:rPr>
            </w:pPr>
          </w:p>
        </w:tc>
      </w:tr>
      <w:tr w14:paraId="3871B0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07C1349D">
            <w:pPr>
              <w:jc w:val="center"/>
              <w:rPr>
                <w:rFonts w:eastAsia="仿宋_GB2312"/>
                <w:color w:val="auto"/>
                <w:szCs w:val="21"/>
              </w:rPr>
            </w:pPr>
          </w:p>
        </w:tc>
        <w:tc>
          <w:tcPr>
            <w:tcW w:w="358" w:type="pct"/>
            <w:vMerge w:val="continue"/>
            <w:vAlign w:val="center"/>
          </w:tcPr>
          <w:p w14:paraId="70B2584D">
            <w:pPr>
              <w:jc w:val="center"/>
              <w:rPr>
                <w:rFonts w:eastAsia="仿宋_GB2312"/>
                <w:color w:val="auto"/>
                <w:szCs w:val="21"/>
              </w:rPr>
            </w:pPr>
          </w:p>
        </w:tc>
        <w:tc>
          <w:tcPr>
            <w:tcW w:w="418" w:type="pct"/>
            <w:vMerge w:val="continue"/>
            <w:vAlign w:val="center"/>
          </w:tcPr>
          <w:p w14:paraId="6BB5A824">
            <w:pPr>
              <w:jc w:val="center"/>
              <w:rPr>
                <w:rFonts w:eastAsia="仿宋_GB2312"/>
                <w:color w:val="auto"/>
                <w:szCs w:val="21"/>
              </w:rPr>
            </w:pPr>
          </w:p>
        </w:tc>
        <w:tc>
          <w:tcPr>
            <w:tcW w:w="446" w:type="pct"/>
            <w:vMerge w:val="continue"/>
            <w:vAlign w:val="center"/>
          </w:tcPr>
          <w:p w14:paraId="229587D7">
            <w:pPr>
              <w:jc w:val="center"/>
              <w:rPr>
                <w:rFonts w:eastAsia="仿宋_GB2312"/>
                <w:color w:val="auto"/>
                <w:szCs w:val="21"/>
              </w:rPr>
            </w:pPr>
          </w:p>
        </w:tc>
        <w:tc>
          <w:tcPr>
            <w:tcW w:w="361" w:type="pct"/>
            <w:vMerge w:val="continue"/>
            <w:vAlign w:val="center"/>
          </w:tcPr>
          <w:p w14:paraId="0AB4435E">
            <w:pPr>
              <w:jc w:val="center"/>
              <w:rPr>
                <w:rFonts w:eastAsia="仿宋_GB2312"/>
                <w:color w:val="auto"/>
                <w:szCs w:val="21"/>
              </w:rPr>
            </w:pPr>
          </w:p>
        </w:tc>
        <w:tc>
          <w:tcPr>
            <w:tcW w:w="498" w:type="pct"/>
            <w:vMerge w:val="continue"/>
            <w:shd w:val="clear" w:color="auto" w:fill="auto"/>
            <w:vAlign w:val="center"/>
          </w:tcPr>
          <w:p w14:paraId="158C2210">
            <w:pPr>
              <w:keepNext w:val="0"/>
              <w:keepLines w:val="0"/>
              <w:widowControl/>
              <w:suppressLineNumbers w:val="0"/>
              <w:jc w:val="center"/>
              <w:textAlignment w:val="bottom"/>
              <w:rPr>
                <w:rFonts w:eastAsia="仿宋_GB2312"/>
                <w:color w:val="auto"/>
                <w:kern w:val="0"/>
                <w:szCs w:val="21"/>
                <w:lang w:bidi="ar"/>
              </w:rPr>
            </w:pPr>
          </w:p>
        </w:tc>
        <w:tc>
          <w:tcPr>
            <w:tcW w:w="820" w:type="pct"/>
            <w:shd w:val="clear" w:color="auto" w:fill="auto"/>
            <w:vAlign w:val="center"/>
          </w:tcPr>
          <w:p w14:paraId="4ED22109">
            <w:pPr>
              <w:widowControl/>
              <w:jc w:val="center"/>
              <w:textAlignment w:val="center"/>
              <w:rPr>
                <w:rFonts w:ascii="Times New Roman" w:hAnsi="Times New Roman" w:eastAsia="仿宋_GB2312" w:cs="Times New Roman"/>
                <w:color w:val="auto"/>
                <w:kern w:val="0"/>
                <w:sz w:val="21"/>
                <w:szCs w:val="21"/>
                <w:lang w:val="en-US" w:eastAsia="zh-CN" w:bidi="ar"/>
              </w:rPr>
            </w:pPr>
            <w:r>
              <w:rPr>
                <w:rFonts w:eastAsia="仿宋_GB2312"/>
                <w:color w:val="auto"/>
                <w:kern w:val="0"/>
                <w:szCs w:val="21"/>
                <w:lang w:bidi="ar"/>
              </w:rPr>
              <w:t>2,4-二甲基己烷</w:t>
            </w:r>
          </w:p>
        </w:tc>
        <w:tc>
          <w:tcPr>
            <w:tcW w:w="380" w:type="pct"/>
            <w:shd w:val="clear" w:color="auto" w:fill="auto"/>
            <w:vAlign w:val="center"/>
          </w:tcPr>
          <w:p w14:paraId="2F13E912">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0.058</w:t>
            </w:r>
          </w:p>
        </w:tc>
        <w:tc>
          <w:tcPr>
            <w:tcW w:w="445" w:type="pct"/>
            <w:vAlign w:val="center"/>
          </w:tcPr>
          <w:p w14:paraId="5068D2C6">
            <w:pPr>
              <w:widowControl/>
              <w:jc w:val="center"/>
              <w:textAlignment w:val="center"/>
              <w:rPr>
                <w:rFonts w:eastAsia="仿宋_GB2312"/>
                <w:color w:val="auto"/>
                <w:kern w:val="0"/>
                <w:szCs w:val="21"/>
                <w:lang w:bidi="ar"/>
              </w:rPr>
            </w:pPr>
            <w:r>
              <w:rPr>
                <w:rFonts w:hint="eastAsia" w:eastAsia="仿宋_GB2312"/>
                <w:color w:val="auto"/>
                <w:kern w:val="0"/>
                <w:szCs w:val="21"/>
                <w:lang w:val="en-US" w:eastAsia="zh-CN" w:bidi="ar"/>
              </w:rPr>
              <w:t>0.031</w:t>
            </w:r>
          </w:p>
        </w:tc>
        <w:tc>
          <w:tcPr>
            <w:tcW w:w="630" w:type="pct"/>
            <w:vMerge w:val="continue"/>
            <w:vAlign w:val="center"/>
          </w:tcPr>
          <w:p w14:paraId="34FB305B">
            <w:pPr>
              <w:jc w:val="center"/>
              <w:rPr>
                <w:rFonts w:eastAsia="仿宋_GB2312"/>
                <w:color w:val="auto"/>
                <w:szCs w:val="21"/>
              </w:rPr>
            </w:pPr>
          </w:p>
        </w:tc>
        <w:tc>
          <w:tcPr>
            <w:tcW w:w="292" w:type="pct"/>
            <w:vMerge w:val="continue"/>
            <w:vAlign w:val="center"/>
          </w:tcPr>
          <w:p w14:paraId="191603C9">
            <w:pPr>
              <w:jc w:val="center"/>
              <w:rPr>
                <w:rFonts w:eastAsia="仿宋_GB2312"/>
                <w:color w:val="auto"/>
                <w:szCs w:val="21"/>
              </w:rPr>
            </w:pPr>
          </w:p>
        </w:tc>
      </w:tr>
      <w:tr w14:paraId="679C183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12371FAB">
            <w:pPr>
              <w:jc w:val="center"/>
              <w:rPr>
                <w:rFonts w:eastAsia="仿宋_GB2312"/>
                <w:color w:val="auto"/>
                <w:szCs w:val="21"/>
              </w:rPr>
            </w:pPr>
          </w:p>
        </w:tc>
        <w:tc>
          <w:tcPr>
            <w:tcW w:w="358" w:type="pct"/>
            <w:vMerge w:val="continue"/>
            <w:vAlign w:val="center"/>
          </w:tcPr>
          <w:p w14:paraId="0D235877">
            <w:pPr>
              <w:jc w:val="center"/>
              <w:rPr>
                <w:rFonts w:eastAsia="仿宋_GB2312"/>
                <w:color w:val="auto"/>
                <w:szCs w:val="21"/>
              </w:rPr>
            </w:pPr>
          </w:p>
        </w:tc>
        <w:tc>
          <w:tcPr>
            <w:tcW w:w="418" w:type="pct"/>
            <w:vMerge w:val="continue"/>
            <w:vAlign w:val="center"/>
          </w:tcPr>
          <w:p w14:paraId="0C8904CD">
            <w:pPr>
              <w:jc w:val="center"/>
              <w:rPr>
                <w:rFonts w:eastAsia="仿宋_GB2312"/>
                <w:color w:val="auto"/>
                <w:szCs w:val="21"/>
              </w:rPr>
            </w:pPr>
          </w:p>
        </w:tc>
        <w:tc>
          <w:tcPr>
            <w:tcW w:w="446" w:type="pct"/>
            <w:vMerge w:val="continue"/>
            <w:vAlign w:val="center"/>
          </w:tcPr>
          <w:p w14:paraId="644B331F">
            <w:pPr>
              <w:jc w:val="center"/>
              <w:rPr>
                <w:rFonts w:eastAsia="仿宋_GB2312"/>
                <w:color w:val="auto"/>
                <w:szCs w:val="21"/>
              </w:rPr>
            </w:pPr>
          </w:p>
        </w:tc>
        <w:tc>
          <w:tcPr>
            <w:tcW w:w="361" w:type="pct"/>
            <w:vMerge w:val="continue"/>
            <w:vAlign w:val="center"/>
          </w:tcPr>
          <w:p w14:paraId="27C0DF22">
            <w:pPr>
              <w:jc w:val="center"/>
              <w:rPr>
                <w:rFonts w:eastAsia="仿宋_GB2312"/>
                <w:color w:val="auto"/>
                <w:szCs w:val="21"/>
              </w:rPr>
            </w:pPr>
          </w:p>
        </w:tc>
        <w:tc>
          <w:tcPr>
            <w:tcW w:w="498" w:type="pct"/>
            <w:vMerge w:val="continue"/>
            <w:shd w:val="clear" w:color="auto" w:fill="auto"/>
            <w:vAlign w:val="center"/>
          </w:tcPr>
          <w:p w14:paraId="174A4F2C">
            <w:pPr>
              <w:keepNext w:val="0"/>
              <w:keepLines w:val="0"/>
              <w:widowControl/>
              <w:suppressLineNumbers w:val="0"/>
              <w:jc w:val="center"/>
              <w:textAlignment w:val="bottom"/>
              <w:rPr>
                <w:rFonts w:eastAsia="仿宋_GB2312"/>
                <w:color w:val="auto"/>
                <w:kern w:val="0"/>
                <w:szCs w:val="21"/>
                <w:lang w:bidi="ar"/>
              </w:rPr>
            </w:pPr>
          </w:p>
        </w:tc>
        <w:tc>
          <w:tcPr>
            <w:tcW w:w="820" w:type="pct"/>
            <w:shd w:val="clear" w:color="auto" w:fill="auto"/>
            <w:vAlign w:val="center"/>
          </w:tcPr>
          <w:p w14:paraId="4A16254D">
            <w:pPr>
              <w:widowControl/>
              <w:jc w:val="center"/>
              <w:textAlignment w:val="center"/>
              <w:rPr>
                <w:rFonts w:ascii="Times New Roman" w:hAnsi="Times New Roman" w:eastAsia="仿宋_GB2312" w:cs="Times New Roman"/>
                <w:b/>
                <w:bCs/>
                <w:color w:val="auto"/>
                <w:kern w:val="0"/>
                <w:sz w:val="21"/>
                <w:szCs w:val="21"/>
                <w:lang w:val="en-US" w:eastAsia="zh-CN" w:bidi="ar"/>
              </w:rPr>
            </w:pPr>
            <w:r>
              <w:rPr>
                <w:rFonts w:eastAsia="仿宋_GB2312"/>
                <w:color w:val="auto"/>
                <w:kern w:val="0"/>
                <w:szCs w:val="21"/>
                <w:lang w:bidi="ar"/>
              </w:rPr>
              <w:t>其他有机物</w:t>
            </w:r>
          </w:p>
        </w:tc>
        <w:tc>
          <w:tcPr>
            <w:tcW w:w="380" w:type="pct"/>
            <w:shd w:val="clear" w:color="auto" w:fill="auto"/>
            <w:vAlign w:val="center"/>
          </w:tcPr>
          <w:p w14:paraId="0BA47C3B">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0.087</w:t>
            </w:r>
          </w:p>
        </w:tc>
        <w:tc>
          <w:tcPr>
            <w:tcW w:w="445" w:type="pct"/>
            <w:vAlign w:val="center"/>
          </w:tcPr>
          <w:p w14:paraId="4BE1D23F">
            <w:pPr>
              <w:widowControl/>
              <w:jc w:val="center"/>
              <w:textAlignment w:val="center"/>
              <w:rPr>
                <w:rFonts w:eastAsia="仿宋_GB2312"/>
                <w:color w:val="auto"/>
                <w:kern w:val="0"/>
                <w:szCs w:val="21"/>
                <w:lang w:bidi="ar"/>
              </w:rPr>
            </w:pPr>
            <w:r>
              <w:rPr>
                <w:rFonts w:hint="eastAsia" w:eastAsia="仿宋_GB2312"/>
                <w:color w:val="auto"/>
                <w:kern w:val="0"/>
                <w:szCs w:val="21"/>
                <w:lang w:val="en-US" w:eastAsia="zh-CN" w:bidi="ar"/>
              </w:rPr>
              <w:t>0.046</w:t>
            </w:r>
          </w:p>
        </w:tc>
        <w:tc>
          <w:tcPr>
            <w:tcW w:w="630" w:type="pct"/>
            <w:vMerge w:val="continue"/>
            <w:vAlign w:val="center"/>
          </w:tcPr>
          <w:p w14:paraId="16A6D386">
            <w:pPr>
              <w:jc w:val="center"/>
              <w:rPr>
                <w:rFonts w:eastAsia="仿宋_GB2312"/>
                <w:color w:val="auto"/>
                <w:szCs w:val="21"/>
              </w:rPr>
            </w:pPr>
          </w:p>
        </w:tc>
        <w:tc>
          <w:tcPr>
            <w:tcW w:w="292" w:type="pct"/>
            <w:vMerge w:val="continue"/>
            <w:vAlign w:val="center"/>
          </w:tcPr>
          <w:p w14:paraId="1734A974">
            <w:pPr>
              <w:jc w:val="center"/>
              <w:rPr>
                <w:rFonts w:eastAsia="仿宋_GB2312"/>
                <w:color w:val="auto"/>
                <w:szCs w:val="21"/>
              </w:rPr>
            </w:pPr>
          </w:p>
        </w:tc>
      </w:tr>
      <w:tr w14:paraId="6EB8A7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042374B5">
            <w:pPr>
              <w:jc w:val="center"/>
              <w:rPr>
                <w:rFonts w:eastAsia="仿宋_GB2312"/>
                <w:color w:val="auto"/>
                <w:szCs w:val="21"/>
              </w:rPr>
            </w:pPr>
          </w:p>
        </w:tc>
        <w:tc>
          <w:tcPr>
            <w:tcW w:w="358" w:type="pct"/>
            <w:vMerge w:val="continue"/>
            <w:vAlign w:val="center"/>
          </w:tcPr>
          <w:p w14:paraId="2A938EB4">
            <w:pPr>
              <w:jc w:val="center"/>
              <w:rPr>
                <w:rFonts w:eastAsia="仿宋_GB2312"/>
                <w:color w:val="auto"/>
                <w:szCs w:val="21"/>
              </w:rPr>
            </w:pPr>
          </w:p>
        </w:tc>
        <w:tc>
          <w:tcPr>
            <w:tcW w:w="418" w:type="pct"/>
            <w:vMerge w:val="restart"/>
            <w:vAlign w:val="center"/>
          </w:tcPr>
          <w:p w14:paraId="337B7A17">
            <w:pPr>
              <w:jc w:val="center"/>
              <w:rPr>
                <w:rFonts w:eastAsia="仿宋_GB2312"/>
                <w:color w:val="auto"/>
                <w:szCs w:val="21"/>
              </w:rPr>
            </w:pPr>
            <w:r>
              <w:rPr>
                <w:rFonts w:eastAsia="仿宋_GB2312"/>
                <w:color w:val="auto"/>
                <w:kern w:val="0"/>
                <w:szCs w:val="21"/>
                <w:lang w:bidi="ar"/>
              </w:rPr>
              <w:t>G</w:t>
            </w:r>
            <w:r>
              <w:rPr>
                <w:rFonts w:hint="eastAsia" w:eastAsia="仿宋_GB2312"/>
                <w:color w:val="auto"/>
                <w:kern w:val="0"/>
                <w:szCs w:val="21"/>
                <w:lang w:val="en-US" w:eastAsia="zh-CN" w:bidi="ar"/>
              </w:rPr>
              <w:t>2</w:t>
            </w:r>
            <w:r>
              <w:rPr>
                <w:rFonts w:eastAsia="仿宋_GB2312"/>
                <w:color w:val="auto"/>
                <w:kern w:val="0"/>
                <w:szCs w:val="21"/>
                <w:lang w:bidi="ar"/>
              </w:rPr>
              <w:t>-</w:t>
            </w:r>
            <w:r>
              <w:rPr>
                <w:rFonts w:hint="eastAsia" w:eastAsia="仿宋_GB2312"/>
                <w:color w:val="auto"/>
                <w:kern w:val="0"/>
                <w:szCs w:val="21"/>
                <w:lang w:val="en-US" w:eastAsia="zh-CN" w:bidi="ar"/>
              </w:rPr>
              <w:t>7</w:t>
            </w:r>
            <w:r>
              <w:rPr>
                <w:rFonts w:eastAsia="仿宋_GB2312"/>
                <w:color w:val="auto"/>
                <w:kern w:val="0"/>
                <w:szCs w:val="21"/>
                <w:lang w:bidi="ar"/>
              </w:rPr>
              <w:t>-5</w:t>
            </w:r>
          </w:p>
        </w:tc>
        <w:tc>
          <w:tcPr>
            <w:tcW w:w="446" w:type="pct"/>
            <w:vMerge w:val="restart"/>
            <w:vAlign w:val="center"/>
          </w:tcPr>
          <w:p w14:paraId="6F120B35">
            <w:pPr>
              <w:jc w:val="center"/>
              <w:rPr>
                <w:rFonts w:eastAsia="仿宋_GB2312"/>
                <w:color w:val="auto"/>
                <w:szCs w:val="21"/>
              </w:rPr>
            </w:pPr>
            <w:r>
              <w:rPr>
                <w:rFonts w:eastAsia="仿宋_GB2312"/>
                <w:color w:val="auto"/>
                <w:kern w:val="0"/>
                <w:szCs w:val="21"/>
                <w:lang w:bidi="ar"/>
              </w:rPr>
              <w:t>灌装废气</w:t>
            </w:r>
          </w:p>
        </w:tc>
        <w:tc>
          <w:tcPr>
            <w:tcW w:w="361" w:type="pct"/>
            <w:vMerge w:val="restart"/>
            <w:vAlign w:val="center"/>
          </w:tcPr>
          <w:p w14:paraId="027DDCD6">
            <w:pPr>
              <w:jc w:val="center"/>
              <w:rPr>
                <w:rFonts w:hint="default" w:eastAsia="仿宋_GB2312"/>
                <w:color w:val="auto"/>
                <w:szCs w:val="21"/>
                <w:lang w:val="en-US" w:eastAsia="zh-CN"/>
              </w:rPr>
            </w:pPr>
            <w:r>
              <w:rPr>
                <w:rFonts w:hint="eastAsia" w:eastAsia="仿宋_GB2312"/>
                <w:color w:val="auto"/>
                <w:szCs w:val="21"/>
                <w:lang w:val="en-US" w:eastAsia="zh-CN"/>
              </w:rPr>
              <w:t>2000</w:t>
            </w:r>
          </w:p>
        </w:tc>
        <w:tc>
          <w:tcPr>
            <w:tcW w:w="498" w:type="pct"/>
            <w:vMerge w:val="restart"/>
            <w:shd w:val="clear" w:color="auto" w:fill="auto"/>
            <w:vAlign w:val="center"/>
          </w:tcPr>
          <w:p w14:paraId="1E01B5A7">
            <w:pPr>
              <w:keepNext w:val="0"/>
              <w:keepLines w:val="0"/>
              <w:widowControl/>
              <w:suppressLineNumbers w:val="0"/>
              <w:jc w:val="center"/>
              <w:textAlignment w:val="bottom"/>
              <w:rPr>
                <w:rFonts w:eastAsia="仿宋_GB2312"/>
                <w:color w:val="auto"/>
                <w:kern w:val="0"/>
                <w:szCs w:val="21"/>
                <w:lang w:bidi="ar"/>
              </w:rPr>
            </w:pPr>
            <w:r>
              <w:rPr>
                <w:rFonts w:hint="default" w:ascii="Times New Roman" w:hAnsi="Times New Roman" w:eastAsia="宋体" w:cs="Times New Roman"/>
                <w:i w:val="0"/>
                <w:iCs w:val="0"/>
                <w:color w:val="auto"/>
                <w:kern w:val="0"/>
                <w:sz w:val="21"/>
                <w:szCs w:val="21"/>
                <w:u w:val="none"/>
                <w:lang w:val="en-US" w:eastAsia="zh-CN" w:bidi="ar"/>
              </w:rPr>
              <w:t>264</w:t>
            </w:r>
          </w:p>
        </w:tc>
        <w:tc>
          <w:tcPr>
            <w:tcW w:w="820" w:type="pct"/>
            <w:shd w:val="clear" w:color="auto" w:fill="auto"/>
            <w:vAlign w:val="center"/>
          </w:tcPr>
          <w:p w14:paraId="63E1E6CD">
            <w:pPr>
              <w:widowControl/>
              <w:jc w:val="center"/>
              <w:textAlignment w:val="center"/>
              <w:rPr>
                <w:rFonts w:ascii="Times New Roman" w:hAnsi="Times New Roman" w:eastAsia="仿宋_GB2312" w:cs="Times New Roman"/>
                <w:b/>
                <w:bCs/>
                <w:color w:val="auto"/>
                <w:kern w:val="0"/>
                <w:sz w:val="21"/>
                <w:szCs w:val="21"/>
                <w:lang w:val="en-US" w:eastAsia="zh-CN" w:bidi="ar"/>
              </w:rPr>
            </w:pPr>
            <w:r>
              <w:rPr>
                <w:rFonts w:eastAsia="仿宋_GB2312"/>
                <w:color w:val="auto"/>
                <w:kern w:val="0"/>
                <w:szCs w:val="21"/>
                <w:lang w:bidi="ar"/>
              </w:rPr>
              <w:t>丁醇</w:t>
            </w:r>
          </w:p>
        </w:tc>
        <w:tc>
          <w:tcPr>
            <w:tcW w:w="380" w:type="pct"/>
            <w:shd w:val="clear" w:color="auto" w:fill="auto"/>
            <w:vAlign w:val="center"/>
          </w:tcPr>
          <w:p w14:paraId="53077D46">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1.333</w:t>
            </w:r>
          </w:p>
        </w:tc>
        <w:tc>
          <w:tcPr>
            <w:tcW w:w="445" w:type="pct"/>
            <w:vAlign w:val="center"/>
          </w:tcPr>
          <w:p w14:paraId="117DF8ED">
            <w:pPr>
              <w:widowControl/>
              <w:jc w:val="center"/>
              <w:textAlignment w:val="center"/>
              <w:rPr>
                <w:rFonts w:eastAsia="仿宋_GB2312"/>
                <w:color w:val="auto"/>
                <w:kern w:val="0"/>
                <w:szCs w:val="21"/>
                <w:lang w:bidi="ar"/>
              </w:rPr>
            </w:pPr>
            <w:r>
              <w:rPr>
                <w:rFonts w:hint="eastAsia" w:ascii="Times New Roman" w:hAnsi="Times New Roman" w:eastAsia="仿宋_GB2312" w:cs="Times New Roman"/>
                <w:color w:val="auto"/>
                <w:kern w:val="0"/>
                <w:szCs w:val="21"/>
                <w:lang w:val="en-US" w:eastAsia="zh-CN" w:bidi="ar"/>
              </w:rPr>
              <w:t>0.352</w:t>
            </w:r>
          </w:p>
        </w:tc>
        <w:tc>
          <w:tcPr>
            <w:tcW w:w="630" w:type="pct"/>
            <w:vMerge w:val="restart"/>
            <w:shd w:val="clear" w:color="auto" w:fill="auto"/>
            <w:vAlign w:val="center"/>
          </w:tcPr>
          <w:p w14:paraId="21F02258">
            <w:pPr>
              <w:jc w:val="center"/>
              <w:rPr>
                <w:rFonts w:ascii="Times New Roman" w:hAnsi="Times New Roman" w:eastAsia="仿宋_GB2312" w:cs="Times New Roman"/>
                <w:color w:val="auto"/>
                <w:kern w:val="2"/>
                <w:sz w:val="21"/>
                <w:szCs w:val="21"/>
                <w:lang w:val="en-US" w:eastAsia="zh-CN" w:bidi="ar-SA"/>
              </w:rPr>
            </w:pPr>
            <w:r>
              <w:rPr>
                <w:rFonts w:hint="eastAsia" w:eastAsia="仿宋_GB2312"/>
                <w:color w:val="auto"/>
                <w:szCs w:val="21"/>
              </w:rPr>
              <w:t>冷凝+酸吸收+碱吸收+水洗+活性炭吸附/脱附</w:t>
            </w:r>
          </w:p>
        </w:tc>
        <w:tc>
          <w:tcPr>
            <w:tcW w:w="292" w:type="pct"/>
            <w:vMerge w:val="restart"/>
            <w:shd w:val="clear" w:color="auto" w:fill="auto"/>
            <w:vAlign w:val="center"/>
          </w:tcPr>
          <w:p w14:paraId="5F061306">
            <w:pPr>
              <w:jc w:val="center"/>
              <w:rPr>
                <w:rFonts w:ascii="Times New Roman" w:hAnsi="Times New Roman" w:eastAsia="仿宋_GB2312" w:cs="Times New Roman"/>
                <w:color w:val="auto"/>
                <w:kern w:val="2"/>
                <w:sz w:val="21"/>
                <w:szCs w:val="21"/>
                <w:lang w:val="en-US" w:eastAsia="zh-CN" w:bidi="ar-SA"/>
              </w:rPr>
            </w:pPr>
            <w:r>
              <w:rPr>
                <w:rFonts w:hint="eastAsia" w:eastAsia="仿宋_GB2312"/>
                <w:color w:val="auto"/>
              </w:rPr>
              <w:t>DA005</w:t>
            </w:r>
          </w:p>
        </w:tc>
      </w:tr>
      <w:tr w14:paraId="3573D1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390E7D58">
            <w:pPr>
              <w:jc w:val="center"/>
              <w:rPr>
                <w:rFonts w:eastAsia="仿宋_GB2312"/>
                <w:color w:val="auto"/>
                <w:szCs w:val="21"/>
              </w:rPr>
            </w:pPr>
          </w:p>
        </w:tc>
        <w:tc>
          <w:tcPr>
            <w:tcW w:w="358" w:type="pct"/>
            <w:vMerge w:val="continue"/>
            <w:vAlign w:val="center"/>
          </w:tcPr>
          <w:p w14:paraId="321994F9">
            <w:pPr>
              <w:jc w:val="center"/>
              <w:rPr>
                <w:rFonts w:eastAsia="仿宋_GB2312"/>
                <w:color w:val="auto"/>
                <w:szCs w:val="21"/>
              </w:rPr>
            </w:pPr>
          </w:p>
        </w:tc>
        <w:tc>
          <w:tcPr>
            <w:tcW w:w="418" w:type="pct"/>
            <w:vMerge w:val="continue"/>
            <w:vAlign w:val="center"/>
          </w:tcPr>
          <w:p w14:paraId="08A20EC5">
            <w:pPr>
              <w:jc w:val="center"/>
              <w:rPr>
                <w:rFonts w:eastAsia="仿宋_GB2312"/>
                <w:color w:val="auto"/>
                <w:kern w:val="0"/>
                <w:szCs w:val="21"/>
                <w:lang w:bidi="ar"/>
              </w:rPr>
            </w:pPr>
          </w:p>
        </w:tc>
        <w:tc>
          <w:tcPr>
            <w:tcW w:w="446" w:type="pct"/>
            <w:vMerge w:val="continue"/>
            <w:vAlign w:val="center"/>
          </w:tcPr>
          <w:p w14:paraId="332D2DCD">
            <w:pPr>
              <w:jc w:val="center"/>
              <w:rPr>
                <w:rFonts w:eastAsia="仿宋_GB2312"/>
                <w:color w:val="auto"/>
                <w:kern w:val="0"/>
                <w:szCs w:val="21"/>
                <w:lang w:bidi="ar"/>
              </w:rPr>
            </w:pPr>
          </w:p>
        </w:tc>
        <w:tc>
          <w:tcPr>
            <w:tcW w:w="361" w:type="pct"/>
            <w:vMerge w:val="continue"/>
            <w:vAlign w:val="center"/>
          </w:tcPr>
          <w:p w14:paraId="1A4E0C9D">
            <w:pPr>
              <w:jc w:val="center"/>
              <w:rPr>
                <w:rFonts w:eastAsia="仿宋_GB2312"/>
                <w:color w:val="auto"/>
                <w:szCs w:val="21"/>
              </w:rPr>
            </w:pPr>
          </w:p>
        </w:tc>
        <w:tc>
          <w:tcPr>
            <w:tcW w:w="498" w:type="pct"/>
            <w:vMerge w:val="continue"/>
            <w:shd w:val="clear" w:color="auto" w:fill="auto"/>
            <w:vAlign w:val="center"/>
          </w:tcPr>
          <w:p w14:paraId="421B293B">
            <w:pPr>
              <w:keepNext w:val="0"/>
              <w:keepLines w:val="0"/>
              <w:widowControl/>
              <w:suppressLineNumbers w:val="0"/>
              <w:jc w:val="center"/>
              <w:textAlignment w:val="bottom"/>
              <w:rPr>
                <w:rFonts w:eastAsia="仿宋_GB2312"/>
                <w:color w:val="auto"/>
                <w:kern w:val="0"/>
                <w:szCs w:val="21"/>
                <w:lang w:bidi="ar"/>
              </w:rPr>
            </w:pPr>
          </w:p>
        </w:tc>
        <w:tc>
          <w:tcPr>
            <w:tcW w:w="820" w:type="pct"/>
            <w:shd w:val="clear" w:color="auto" w:fill="auto"/>
            <w:vAlign w:val="center"/>
          </w:tcPr>
          <w:p w14:paraId="242FF75A">
            <w:pPr>
              <w:widowControl/>
              <w:jc w:val="center"/>
              <w:textAlignment w:val="center"/>
              <w:rPr>
                <w:rFonts w:ascii="Times New Roman" w:hAnsi="Times New Roman" w:eastAsia="仿宋_GB2312" w:cs="Times New Roman"/>
                <w:color w:val="auto"/>
                <w:kern w:val="0"/>
                <w:sz w:val="21"/>
                <w:szCs w:val="21"/>
                <w:lang w:val="en-US" w:eastAsia="zh-CN" w:bidi="ar"/>
              </w:rPr>
            </w:pPr>
            <w:r>
              <w:rPr>
                <w:rFonts w:eastAsia="仿宋_GB2312"/>
                <w:color w:val="auto"/>
                <w:kern w:val="0"/>
                <w:szCs w:val="21"/>
                <w:lang w:bidi="ar"/>
              </w:rPr>
              <w:t>辛醇</w:t>
            </w:r>
          </w:p>
        </w:tc>
        <w:tc>
          <w:tcPr>
            <w:tcW w:w="380" w:type="pct"/>
            <w:shd w:val="clear" w:color="auto" w:fill="auto"/>
            <w:vAlign w:val="center"/>
          </w:tcPr>
          <w:p w14:paraId="6CDCF2E5">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0.42</w:t>
            </w:r>
          </w:p>
        </w:tc>
        <w:tc>
          <w:tcPr>
            <w:tcW w:w="445" w:type="pct"/>
            <w:vAlign w:val="center"/>
          </w:tcPr>
          <w:p w14:paraId="167F1F1F">
            <w:pPr>
              <w:widowControl/>
              <w:jc w:val="center"/>
              <w:textAlignment w:val="center"/>
              <w:rPr>
                <w:rFonts w:eastAsia="仿宋_GB2312"/>
                <w:color w:val="auto"/>
                <w:kern w:val="0"/>
                <w:szCs w:val="21"/>
                <w:lang w:bidi="ar"/>
              </w:rPr>
            </w:pPr>
            <w:r>
              <w:rPr>
                <w:rFonts w:hint="eastAsia" w:ascii="Times New Roman" w:hAnsi="Times New Roman" w:eastAsia="仿宋_GB2312" w:cs="Times New Roman"/>
                <w:color w:val="auto"/>
                <w:kern w:val="0"/>
                <w:szCs w:val="21"/>
                <w:lang w:val="en-US" w:eastAsia="zh-CN" w:bidi="ar"/>
              </w:rPr>
              <w:t>0.11088</w:t>
            </w:r>
          </w:p>
        </w:tc>
        <w:tc>
          <w:tcPr>
            <w:tcW w:w="630" w:type="pct"/>
            <w:vMerge w:val="continue"/>
            <w:vAlign w:val="center"/>
          </w:tcPr>
          <w:p w14:paraId="57E240E7">
            <w:pPr>
              <w:jc w:val="center"/>
              <w:rPr>
                <w:rFonts w:eastAsia="仿宋_GB2312"/>
                <w:color w:val="auto"/>
                <w:szCs w:val="21"/>
              </w:rPr>
            </w:pPr>
          </w:p>
        </w:tc>
        <w:tc>
          <w:tcPr>
            <w:tcW w:w="292" w:type="pct"/>
            <w:vMerge w:val="continue"/>
            <w:vAlign w:val="center"/>
          </w:tcPr>
          <w:p w14:paraId="20163010">
            <w:pPr>
              <w:jc w:val="center"/>
              <w:rPr>
                <w:rFonts w:eastAsia="仿宋_GB2312"/>
                <w:color w:val="auto"/>
                <w:szCs w:val="21"/>
              </w:rPr>
            </w:pPr>
          </w:p>
        </w:tc>
      </w:tr>
      <w:tr w14:paraId="355062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48BEB3EB">
            <w:pPr>
              <w:jc w:val="center"/>
              <w:rPr>
                <w:rFonts w:eastAsia="仿宋_GB2312"/>
                <w:color w:val="auto"/>
                <w:szCs w:val="21"/>
              </w:rPr>
            </w:pPr>
          </w:p>
        </w:tc>
        <w:tc>
          <w:tcPr>
            <w:tcW w:w="358" w:type="pct"/>
            <w:vMerge w:val="continue"/>
            <w:vAlign w:val="center"/>
          </w:tcPr>
          <w:p w14:paraId="0DD29B7E">
            <w:pPr>
              <w:jc w:val="center"/>
              <w:rPr>
                <w:rFonts w:eastAsia="仿宋_GB2312"/>
                <w:color w:val="auto"/>
                <w:szCs w:val="21"/>
              </w:rPr>
            </w:pPr>
          </w:p>
        </w:tc>
        <w:tc>
          <w:tcPr>
            <w:tcW w:w="418" w:type="pct"/>
            <w:vMerge w:val="continue"/>
            <w:vAlign w:val="center"/>
          </w:tcPr>
          <w:p w14:paraId="1CA1359F">
            <w:pPr>
              <w:jc w:val="center"/>
              <w:rPr>
                <w:rFonts w:eastAsia="仿宋_GB2312"/>
                <w:color w:val="auto"/>
                <w:szCs w:val="21"/>
              </w:rPr>
            </w:pPr>
          </w:p>
        </w:tc>
        <w:tc>
          <w:tcPr>
            <w:tcW w:w="446" w:type="pct"/>
            <w:vMerge w:val="continue"/>
            <w:vAlign w:val="center"/>
          </w:tcPr>
          <w:p w14:paraId="67B6B947">
            <w:pPr>
              <w:jc w:val="center"/>
              <w:rPr>
                <w:rFonts w:eastAsia="仿宋_GB2312"/>
                <w:color w:val="auto"/>
                <w:szCs w:val="21"/>
              </w:rPr>
            </w:pPr>
          </w:p>
        </w:tc>
        <w:tc>
          <w:tcPr>
            <w:tcW w:w="361" w:type="pct"/>
            <w:vMerge w:val="continue"/>
            <w:vAlign w:val="center"/>
          </w:tcPr>
          <w:p w14:paraId="47DD1915">
            <w:pPr>
              <w:jc w:val="center"/>
              <w:rPr>
                <w:rFonts w:eastAsia="仿宋_GB2312"/>
                <w:color w:val="auto"/>
                <w:szCs w:val="21"/>
              </w:rPr>
            </w:pPr>
          </w:p>
        </w:tc>
        <w:tc>
          <w:tcPr>
            <w:tcW w:w="498" w:type="pct"/>
            <w:vMerge w:val="continue"/>
            <w:shd w:val="clear" w:color="auto" w:fill="auto"/>
            <w:vAlign w:val="center"/>
          </w:tcPr>
          <w:p w14:paraId="0E8F85AA">
            <w:pPr>
              <w:keepNext w:val="0"/>
              <w:keepLines w:val="0"/>
              <w:widowControl/>
              <w:suppressLineNumbers w:val="0"/>
              <w:jc w:val="center"/>
              <w:textAlignment w:val="bottom"/>
              <w:rPr>
                <w:rFonts w:eastAsia="仿宋_GB2312"/>
                <w:color w:val="auto"/>
                <w:kern w:val="0"/>
                <w:szCs w:val="21"/>
                <w:lang w:bidi="ar"/>
              </w:rPr>
            </w:pPr>
          </w:p>
        </w:tc>
        <w:tc>
          <w:tcPr>
            <w:tcW w:w="820" w:type="pct"/>
            <w:shd w:val="clear" w:color="auto" w:fill="auto"/>
            <w:vAlign w:val="center"/>
          </w:tcPr>
          <w:p w14:paraId="44CC56E6">
            <w:pPr>
              <w:widowControl/>
              <w:jc w:val="center"/>
              <w:textAlignment w:val="center"/>
              <w:rPr>
                <w:rFonts w:ascii="Times New Roman" w:hAnsi="Times New Roman" w:eastAsia="仿宋_GB2312" w:cs="Times New Roman"/>
                <w:color w:val="auto"/>
                <w:kern w:val="0"/>
                <w:sz w:val="21"/>
                <w:szCs w:val="21"/>
                <w:lang w:val="en-US" w:eastAsia="zh-CN" w:bidi="ar"/>
              </w:rPr>
            </w:pPr>
            <w:r>
              <w:rPr>
                <w:rFonts w:eastAsia="仿宋_GB2312"/>
                <w:color w:val="auto"/>
                <w:kern w:val="0"/>
                <w:szCs w:val="21"/>
                <w:lang w:bidi="ar"/>
              </w:rPr>
              <w:t>2,4-二甲基己烷</w:t>
            </w:r>
          </w:p>
        </w:tc>
        <w:tc>
          <w:tcPr>
            <w:tcW w:w="380" w:type="pct"/>
            <w:shd w:val="clear" w:color="auto" w:fill="auto"/>
            <w:vAlign w:val="center"/>
          </w:tcPr>
          <w:p w14:paraId="10947120">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0.003</w:t>
            </w:r>
          </w:p>
        </w:tc>
        <w:tc>
          <w:tcPr>
            <w:tcW w:w="445" w:type="pct"/>
            <w:vAlign w:val="center"/>
          </w:tcPr>
          <w:p w14:paraId="0B01EDA7">
            <w:pPr>
              <w:widowControl/>
              <w:jc w:val="center"/>
              <w:textAlignment w:val="center"/>
              <w:rPr>
                <w:rFonts w:eastAsia="仿宋_GB2312"/>
                <w:color w:val="auto"/>
                <w:kern w:val="0"/>
                <w:szCs w:val="21"/>
                <w:lang w:bidi="ar"/>
              </w:rPr>
            </w:pPr>
            <w:r>
              <w:rPr>
                <w:rFonts w:hint="eastAsia" w:ascii="Times New Roman" w:hAnsi="Times New Roman" w:eastAsia="仿宋_GB2312" w:cs="Times New Roman"/>
                <w:color w:val="auto"/>
                <w:kern w:val="0"/>
                <w:szCs w:val="21"/>
                <w:lang w:val="en-US" w:eastAsia="zh-CN" w:bidi="ar"/>
              </w:rPr>
              <w:t>0.00099</w:t>
            </w:r>
          </w:p>
        </w:tc>
        <w:tc>
          <w:tcPr>
            <w:tcW w:w="630" w:type="pct"/>
            <w:vMerge w:val="continue"/>
            <w:vAlign w:val="center"/>
          </w:tcPr>
          <w:p w14:paraId="26B30F34">
            <w:pPr>
              <w:jc w:val="center"/>
              <w:rPr>
                <w:rFonts w:eastAsia="仿宋_GB2312"/>
                <w:color w:val="auto"/>
                <w:szCs w:val="21"/>
              </w:rPr>
            </w:pPr>
          </w:p>
        </w:tc>
        <w:tc>
          <w:tcPr>
            <w:tcW w:w="292" w:type="pct"/>
            <w:vMerge w:val="continue"/>
            <w:vAlign w:val="center"/>
          </w:tcPr>
          <w:p w14:paraId="78696C5C">
            <w:pPr>
              <w:jc w:val="center"/>
              <w:rPr>
                <w:rFonts w:eastAsia="仿宋_GB2312"/>
                <w:color w:val="auto"/>
                <w:szCs w:val="21"/>
              </w:rPr>
            </w:pPr>
          </w:p>
        </w:tc>
      </w:tr>
      <w:tr w14:paraId="2FBE91A9">
        <w:tblPrEx>
          <w:tblCellMar>
            <w:top w:w="0" w:type="dxa"/>
            <w:left w:w="108" w:type="dxa"/>
            <w:bottom w:w="0" w:type="dxa"/>
            <w:right w:w="108" w:type="dxa"/>
          </w:tblCellMar>
        </w:tblPrEx>
        <w:trPr>
          <w:trHeight w:val="312" w:hRule="atLeast"/>
          <w:tblHeader/>
          <w:jc w:val="center"/>
        </w:trPr>
        <w:tc>
          <w:tcPr>
            <w:tcW w:w="348" w:type="pct"/>
            <w:vMerge w:val="continue"/>
            <w:vAlign w:val="center"/>
          </w:tcPr>
          <w:p w14:paraId="7721DDD1">
            <w:pPr>
              <w:jc w:val="center"/>
              <w:rPr>
                <w:rFonts w:eastAsia="仿宋_GB2312"/>
                <w:color w:val="auto"/>
                <w:szCs w:val="21"/>
              </w:rPr>
            </w:pPr>
          </w:p>
        </w:tc>
        <w:tc>
          <w:tcPr>
            <w:tcW w:w="358" w:type="pct"/>
            <w:vMerge w:val="continue"/>
            <w:vAlign w:val="center"/>
          </w:tcPr>
          <w:p w14:paraId="61006500">
            <w:pPr>
              <w:jc w:val="center"/>
              <w:rPr>
                <w:rFonts w:eastAsia="仿宋_GB2312"/>
                <w:color w:val="auto"/>
                <w:szCs w:val="21"/>
              </w:rPr>
            </w:pPr>
          </w:p>
        </w:tc>
        <w:tc>
          <w:tcPr>
            <w:tcW w:w="418" w:type="pct"/>
            <w:vMerge w:val="continue"/>
            <w:vAlign w:val="center"/>
          </w:tcPr>
          <w:p w14:paraId="588D978E">
            <w:pPr>
              <w:jc w:val="center"/>
              <w:rPr>
                <w:rFonts w:eastAsia="仿宋_GB2312"/>
                <w:color w:val="auto"/>
                <w:szCs w:val="21"/>
              </w:rPr>
            </w:pPr>
          </w:p>
        </w:tc>
        <w:tc>
          <w:tcPr>
            <w:tcW w:w="446" w:type="pct"/>
            <w:vMerge w:val="continue"/>
            <w:vAlign w:val="center"/>
          </w:tcPr>
          <w:p w14:paraId="5B9AEADA">
            <w:pPr>
              <w:jc w:val="center"/>
              <w:rPr>
                <w:rFonts w:eastAsia="仿宋_GB2312"/>
                <w:color w:val="auto"/>
                <w:szCs w:val="21"/>
              </w:rPr>
            </w:pPr>
          </w:p>
        </w:tc>
        <w:tc>
          <w:tcPr>
            <w:tcW w:w="361" w:type="pct"/>
            <w:vMerge w:val="continue"/>
            <w:vAlign w:val="center"/>
          </w:tcPr>
          <w:p w14:paraId="68EEFB6C">
            <w:pPr>
              <w:jc w:val="center"/>
              <w:rPr>
                <w:rFonts w:eastAsia="仿宋_GB2312"/>
                <w:color w:val="auto"/>
                <w:szCs w:val="21"/>
              </w:rPr>
            </w:pPr>
          </w:p>
        </w:tc>
        <w:tc>
          <w:tcPr>
            <w:tcW w:w="498" w:type="pct"/>
            <w:vMerge w:val="continue"/>
            <w:shd w:val="clear" w:color="auto" w:fill="auto"/>
            <w:vAlign w:val="center"/>
          </w:tcPr>
          <w:p w14:paraId="7B8F640A">
            <w:pPr>
              <w:keepNext w:val="0"/>
              <w:keepLines w:val="0"/>
              <w:widowControl/>
              <w:suppressLineNumbers w:val="0"/>
              <w:jc w:val="center"/>
              <w:textAlignment w:val="bottom"/>
              <w:rPr>
                <w:rFonts w:eastAsia="仿宋_GB2312"/>
                <w:color w:val="auto"/>
                <w:kern w:val="0"/>
                <w:szCs w:val="21"/>
                <w:lang w:bidi="ar"/>
              </w:rPr>
            </w:pPr>
          </w:p>
        </w:tc>
        <w:tc>
          <w:tcPr>
            <w:tcW w:w="820" w:type="pct"/>
            <w:shd w:val="clear" w:color="auto" w:fill="auto"/>
            <w:vAlign w:val="center"/>
          </w:tcPr>
          <w:p w14:paraId="66AD3C4C">
            <w:pPr>
              <w:widowControl/>
              <w:jc w:val="center"/>
              <w:textAlignment w:val="center"/>
              <w:rPr>
                <w:rFonts w:ascii="Times New Roman" w:hAnsi="Times New Roman" w:eastAsia="仿宋_GB2312" w:cs="Times New Roman"/>
                <w:b/>
                <w:bCs/>
                <w:color w:val="auto"/>
                <w:kern w:val="0"/>
                <w:sz w:val="21"/>
                <w:szCs w:val="21"/>
                <w:lang w:val="en-US" w:eastAsia="zh-CN" w:bidi="ar"/>
              </w:rPr>
            </w:pPr>
            <w:r>
              <w:rPr>
                <w:rFonts w:eastAsia="仿宋_GB2312"/>
                <w:color w:val="auto"/>
                <w:kern w:val="0"/>
                <w:szCs w:val="21"/>
                <w:lang w:bidi="ar"/>
              </w:rPr>
              <w:t>其他有机物</w:t>
            </w:r>
          </w:p>
        </w:tc>
        <w:tc>
          <w:tcPr>
            <w:tcW w:w="380" w:type="pct"/>
            <w:shd w:val="clear" w:color="auto" w:fill="auto"/>
            <w:vAlign w:val="center"/>
          </w:tcPr>
          <w:p w14:paraId="05B1FCC5">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0.003</w:t>
            </w:r>
          </w:p>
        </w:tc>
        <w:tc>
          <w:tcPr>
            <w:tcW w:w="445" w:type="pct"/>
            <w:vAlign w:val="center"/>
          </w:tcPr>
          <w:p w14:paraId="1A48FFDD">
            <w:pPr>
              <w:widowControl/>
              <w:jc w:val="center"/>
              <w:textAlignment w:val="center"/>
              <w:rPr>
                <w:rFonts w:eastAsia="仿宋_GB2312"/>
                <w:color w:val="auto"/>
                <w:kern w:val="0"/>
                <w:szCs w:val="21"/>
                <w:lang w:bidi="ar"/>
              </w:rPr>
            </w:pPr>
            <w:r>
              <w:rPr>
                <w:rFonts w:hint="eastAsia" w:ascii="Times New Roman" w:hAnsi="Times New Roman" w:eastAsia="仿宋_GB2312" w:cs="Times New Roman"/>
                <w:color w:val="auto"/>
                <w:kern w:val="0"/>
                <w:szCs w:val="21"/>
                <w:lang w:val="en-US" w:eastAsia="zh-CN" w:bidi="ar"/>
              </w:rPr>
              <w:t>0.00099</w:t>
            </w:r>
          </w:p>
        </w:tc>
        <w:tc>
          <w:tcPr>
            <w:tcW w:w="630" w:type="pct"/>
            <w:vMerge w:val="continue"/>
            <w:vAlign w:val="center"/>
          </w:tcPr>
          <w:p w14:paraId="66C35695">
            <w:pPr>
              <w:jc w:val="center"/>
              <w:rPr>
                <w:rFonts w:eastAsia="仿宋_GB2312"/>
                <w:color w:val="auto"/>
                <w:szCs w:val="21"/>
              </w:rPr>
            </w:pPr>
          </w:p>
        </w:tc>
        <w:tc>
          <w:tcPr>
            <w:tcW w:w="292" w:type="pct"/>
            <w:vMerge w:val="continue"/>
            <w:vAlign w:val="center"/>
          </w:tcPr>
          <w:p w14:paraId="706F5B8E">
            <w:pPr>
              <w:jc w:val="center"/>
              <w:rPr>
                <w:rFonts w:eastAsia="仿宋_GB2312"/>
                <w:color w:val="auto"/>
                <w:szCs w:val="21"/>
              </w:rPr>
            </w:pPr>
          </w:p>
        </w:tc>
      </w:tr>
      <w:tr w14:paraId="41FC42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restart"/>
            <w:vAlign w:val="center"/>
          </w:tcPr>
          <w:p w14:paraId="7DD5604A">
            <w:pPr>
              <w:jc w:val="center"/>
              <w:rPr>
                <w:rFonts w:eastAsia="仿宋_GB2312"/>
                <w:color w:val="auto"/>
                <w:szCs w:val="21"/>
              </w:rPr>
            </w:pPr>
            <w:r>
              <w:rPr>
                <w:rFonts w:eastAsia="仿宋_GB2312"/>
                <w:color w:val="auto"/>
                <w:szCs w:val="21"/>
              </w:rPr>
              <w:t>B-7车间</w:t>
            </w:r>
          </w:p>
        </w:tc>
        <w:tc>
          <w:tcPr>
            <w:tcW w:w="358" w:type="pct"/>
            <w:vMerge w:val="restart"/>
            <w:vAlign w:val="center"/>
          </w:tcPr>
          <w:p w14:paraId="6C519B3A">
            <w:pPr>
              <w:jc w:val="center"/>
              <w:rPr>
                <w:rFonts w:eastAsia="仿宋_GB2312"/>
                <w:color w:val="auto"/>
                <w:szCs w:val="21"/>
              </w:rPr>
            </w:pPr>
            <w:r>
              <w:rPr>
                <w:rFonts w:eastAsia="仿宋_GB2312"/>
                <w:color w:val="auto"/>
                <w:szCs w:val="21"/>
              </w:rPr>
              <w:t>精馏残液</w:t>
            </w:r>
            <w:r>
              <w:rPr>
                <w:rFonts w:hint="eastAsia" w:eastAsia="仿宋_GB2312"/>
                <w:color w:val="auto"/>
                <w:szCs w:val="21"/>
                <w:lang w:eastAsia="zh-CN"/>
              </w:rPr>
              <w:t>（</w:t>
            </w:r>
            <w:r>
              <w:rPr>
                <w:rFonts w:hint="eastAsia" w:eastAsia="仿宋_GB2312"/>
                <w:color w:val="auto"/>
                <w:szCs w:val="21"/>
                <w:lang w:val="en-US" w:eastAsia="zh-CN"/>
              </w:rPr>
              <w:t>含碳九、苯乙烯</w:t>
            </w:r>
            <w:r>
              <w:rPr>
                <w:rFonts w:hint="eastAsia" w:eastAsia="仿宋_GB2312"/>
                <w:color w:val="auto"/>
                <w:szCs w:val="21"/>
                <w:lang w:eastAsia="zh-CN"/>
              </w:rPr>
              <w:t>）</w:t>
            </w:r>
          </w:p>
        </w:tc>
        <w:tc>
          <w:tcPr>
            <w:tcW w:w="418" w:type="pct"/>
            <w:vMerge w:val="restart"/>
            <w:vAlign w:val="center"/>
          </w:tcPr>
          <w:p w14:paraId="6F156404">
            <w:pPr>
              <w:jc w:val="center"/>
              <w:rPr>
                <w:rFonts w:eastAsia="仿宋_GB2312"/>
                <w:color w:val="auto"/>
                <w:szCs w:val="21"/>
              </w:rPr>
            </w:pPr>
            <w:r>
              <w:rPr>
                <w:rFonts w:eastAsia="仿宋_GB2312"/>
                <w:color w:val="auto"/>
                <w:kern w:val="0"/>
                <w:szCs w:val="21"/>
                <w:lang w:bidi="ar"/>
              </w:rPr>
              <w:t>G</w:t>
            </w:r>
            <w:r>
              <w:rPr>
                <w:rFonts w:hint="eastAsia" w:eastAsia="仿宋_GB2312"/>
                <w:color w:val="auto"/>
                <w:kern w:val="0"/>
                <w:szCs w:val="21"/>
                <w:lang w:val="en-US" w:eastAsia="zh-CN" w:bidi="ar"/>
              </w:rPr>
              <w:t>2</w:t>
            </w:r>
            <w:r>
              <w:rPr>
                <w:rFonts w:eastAsia="仿宋_GB2312"/>
                <w:color w:val="auto"/>
                <w:kern w:val="0"/>
                <w:szCs w:val="21"/>
                <w:lang w:bidi="ar"/>
              </w:rPr>
              <w:t>-</w:t>
            </w:r>
            <w:r>
              <w:rPr>
                <w:rFonts w:hint="eastAsia" w:eastAsia="仿宋_GB2312"/>
                <w:color w:val="auto"/>
                <w:kern w:val="0"/>
                <w:szCs w:val="21"/>
                <w:lang w:val="en-US" w:eastAsia="zh-CN" w:bidi="ar"/>
              </w:rPr>
              <w:t>8</w:t>
            </w:r>
            <w:r>
              <w:rPr>
                <w:rFonts w:eastAsia="仿宋_GB2312"/>
                <w:color w:val="auto"/>
                <w:kern w:val="0"/>
                <w:szCs w:val="21"/>
                <w:lang w:bidi="ar"/>
              </w:rPr>
              <w:t>-1</w:t>
            </w:r>
          </w:p>
        </w:tc>
        <w:tc>
          <w:tcPr>
            <w:tcW w:w="446" w:type="pct"/>
            <w:vMerge w:val="restart"/>
            <w:vAlign w:val="center"/>
          </w:tcPr>
          <w:p w14:paraId="1E165712">
            <w:pPr>
              <w:jc w:val="center"/>
              <w:rPr>
                <w:rFonts w:eastAsia="仿宋_GB2312"/>
                <w:color w:val="auto"/>
                <w:szCs w:val="21"/>
              </w:rPr>
            </w:pPr>
            <w:r>
              <w:rPr>
                <w:rFonts w:eastAsia="仿宋_GB2312"/>
                <w:color w:val="auto"/>
                <w:kern w:val="0"/>
                <w:szCs w:val="21"/>
                <w:lang w:bidi="ar"/>
              </w:rPr>
              <w:t>投料废气</w:t>
            </w:r>
          </w:p>
        </w:tc>
        <w:tc>
          <w:tcPr>
            <w:tcW w:w="361" w:type="pct"/>
            <w:vMerge w:val="restart"/>
            <w:vAlign w:val="center"/>
          </w:tcPr>
          <w:p w14:paraId="5D9AEE19">
            <w:pPr>
              <w:jc w:val="center"/>
              <w:rPr>
                <w:rFonts w:hint="default" w:eastAsia="仿宋_GB2312"/>
                <w:color w:val="auto"/>
                <w:szCs w:val="21"/>
                <w:lang w:val="en-US" w:eastAsia="zh-CN"/>
              </w:rPr>
            </w:pPr>
            <w:r>
              <w:rPr>
                <w:rFonts w:hint="eastAsia" w:eastAsia="仿宋_GB2312"/>
                <w:color w:val="auto"/>
                <w:szCs w:val="21"/>
                <w:lang w:val="en-US" w:eastAsia="zh-CN"/>
              </w:rPr>
              <w:t>2000</w:t>
            </w:r>
          </w:p>
        </w:tc>
        <w:tc>
          <w:tcPr>
            <w:tcW w:w="498" w:type="pct"/>
            <w:vMerge w:val="restart"/>
            <w:shd w:val="clear" w:color="auto" w:fill="auto"/>
            <w:vAlign w:val="center"/>
          </w:tcPr>
          <w:p w14:paraId="097A3CB7">
            <w:pPr>
              <w:keepNext w:val="0"/>
              <w:keepLines w:val="0"/>
              <w:widowControl/>
              <w:suppressLineNumbers w:val="0"/>
              <w:jc w:val="center"/>
              <w:textAlignment w:val="bottom"/>
              <w:rPr>
                <w:rFonts w:eastAsia="仿宋_GB2312"/>
                <w:color w:val="auto"/>
                <w:kern w:val="0"/>
                <w:szCs w:val="21"/>
                <w:lang w:bidi="ar"/>
              </w:rPr>
            </w:pPr>
            <w:r>
              <w:rPr>
                <w:rFonts w:hint="default" w:ascii="Times New Roman" w:hAnsi="Times New Roman" w:eastAsia="宋体" w:cs="Times New Roman"/>
                <w:i w:val="0"/>
                <w:iCs w:val="0"/>
                <w:color w:val="auto"/>
                <w:kern w:val="0"/>
                <w:sz w:val="21"/>
                <w:szCs w:val="21"/>
                <w:u w:val="none"/>
                <w:lang w:val="en-US" w:eastAsia="zh-CN" w:bidi="ar"/>
              </w:rPr>
              <w:t>234</w:t>
            </w:r>
          </w:p>
        </w:tc>
        <w:tc>
          <w:tcPr>
            <w:tcW w:w="820" w:type="pct"/>
            <w:shd w:val="clear" w:color="auto" w:fill="auto"/>
            <w:vAlign w:val="center"/>
          </w:tcPr>
          <w:p w14:paraId="174A8E72">
            <w:pPr>
              <w:widowControl/>
              <w:jc w:val="center"/>
              <w:textAlignment w:val="center"/>
              <w:rPr>
                <w:rFonts w:ascii="Times New Roman" w:hAnsi="Times New Roman" w:eastAsia="仿宋_GB2312" w:cs="Times New Roman"/>
                <w:b/>
                <w:bCs/>
                <w:color w:val="auto"/>
                <w:kern w:val="0"/>
                <w:sz w:val="21"/>
                <w:szCs w:val="21"/>
                <w:lang w:val="en-US" w:eastAsia="zh-CN" w:bidi="ar"/>
              </w:rPr>
            </w:pPr>
            <w:r>
              <w:rPr>
                <w:rFonts w:eastAsia="仿宋_GB2312"/>
                <w:color w:val="auto"/>
                <w:kern w:val="0"/>
                <w:szCs w:val="21"/>
                <w:lang w:bidi="ar"/>
              </w:rPr>
              <w:t>碳九</w:t>
            </w:r>
          </w:p>
        </w:tc>
        <w:tc>
          <w:tcPr>
            <w:tcW w:w="380" w:type="pct"/>
            <w:shd w:val="clear" w:color="auto" w:fill="auto"/>
            <w:vAlign w:val="center"/>
          </w:tcPr>
          <w:p w14:paraId="3C48789C">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1.1</w:t>
            </w:r>
          </w:p>
        </w:tc>
        <w:tc>
          <w:tcPr>
            <w:tcW w:w="445" w:type="pct"/>
            <w:shd w:val="clear" w:color="auto" w:fill="auto"/>
            <w:vAlign w:val="center"/>
          </w:tcPr>
          <w:p w14:paraId="52F14DBA">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ascii="Times New Roman" w:hAnsi="Times New Roman" w:eastAsia="仿宋_GB2312" w:cs="Times New Roman"/>
                <w:color w:val="auto"/>
                <w:kern w:val="0"/>
                <w:szCs w:val="21"/>
                <w:lang w:val="en-US" w:eastAsia="zh-CN" w:bidi="ar"/>
              </w:rPr>
              <w:t>0.2574</w:t>
            </w:r>
          </w:p>
        </w:tc>
        <w:tc>
          <w:tcPr>
            <w:tcW w:w="630" w:type="pct"/>
            <w:vMerge w:val="restart"/>
            <w:vAlign w:val="center"/>
          </w:tcPr>
          <w:p w14:paraId="04C4B770">
            <w:pPr>
              <w:jc w:val="center"/>
              <w:rPr>
                <w:rFonts w:eastAsia="仿宋_GB2312"/>
                <w:color w:val="auto"/>
                <w:szCs w:val="21"/>
              </w:rPr>
            </w:pPr>
            <w:r>
              <w:rPr>
                <w:rFonts w:hint="eastAsia" w:eastAsia="仿宋_GB2312"/>
                <w:color w:val="auto"/>
                <w:szCs w:val="21"/>
              </w:rPr>
              <w:t>冷凝+酸吸收+碱吸收+水洗+活性炭吸附/脱附</w:t>
            </w:r>
          </w:p>
        </w:tc>
        <w:tc>
          <w:tcPr>
            <w:tcW w:w="292" w:type="pct"/>
            <w:vMerge w:val="restart"/>
            <w:vAlign w:val="center"/>
          </w:tcPr>
          <w:p w14:paraId="2A4F40A1">
            <w:pPr>
              <w:jc w:val="center"/>
              <w:rPr>
                <w:rFonts w:eastAsia="仿宋_GB2312"/>
                <w:color w:val="auto"/>
                <w:szCs w:val="21"/>
              </w:rPr>
            </w:pPr>
            <w:r>
              <w:rPr>
                <w:rFonts w:hint="eastAsia" w:eastAsia="仿宋_GB2312"/>
                <w:color w:val="auto"/>
              </w:rPr>
              <w:t>DA005</w:t>
            </w:r>
          </w:p>
        </w:tc>
      </w:tr>
      <w:tr w14:paraId="3D8D2D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43D76B5B">
            <w:pPr>
              <w:jc w:val="center"/>
              <w:rPr>
                <w:rFonts w:eastAsia="仿宋_GB2312"/>
                <w:color w:val="auto"/>
                <w:szCs w:val="21"/>
              </w:rPr>
            </w:pPr>
          </w:p>
        </w:tc>
        <w:tc>
          <w:tcPr>
            <w:tcW w:w="358" w:type="pct"/>
            <w:vMerge w:val="continue"/>
            <w:vAlign w:val="center"/>
          </w:tcPr>
          <w:p w14:paraId="7766CB66">
            <w:pPr>
              <w:jc w:val="center"/>
              <w:rPr>
                <w:rFonts w:eastAsia="仿宋_GB2312"/>
                <w:color w:val="auto"/>
                <w:szCs w:val="21"/>
              </w:rPr>
            </w:pPr>
          </w:p>
        </w:tc>
        <w:tc>
          <w:tcPr>
            <w:tcW w:w="418" w:type="pct"/>
            <w:vMerge w:val="continue"/>
            <w:vAlign w:val="center"/>
          </w:tcPr>
          <w:p w14:paraId="707C015C">
            <w:pPr>
              <w:jc w:val="center"/>
              <w:rPr>
                <w:rFonts w:eastAsia="仿宋_GB2312"/>
                <w:color w:val="auto"/>
                <w:kern w:val="0"/>
                <w:szCs w:val="21"/>
                <w:lang w:bidi="ar"/>
              </w:rPr>
            </w:pPr>
          </w:p>
        </w:tc>
        <w:tc>
          <w:tcPr>
            <w:tcW w:w="446" w:type="pct"/>
            <w:vMerge w:val="continue"/>
            <w:vAlign w:val="center"/>
          </w:tcPr>
          <w:p w14:paraId="0F6938A4">
            <w:pPr>
              <w:jc w:val="center"/>
              <w:rPr>
                <w:rFonts w:eastAsia="仿宋_GB2312"/>
                <w:color w:val="auto"/>
                <w:kern w:val="0"/>
                <w:szCs w:val="21"/>
                <w:lang w:bidi="ar"/>
              </w:rPr>
            </w:pPr>
          </w:p>
        </w:tc>
        <w:tc>
          <w:tcPr>
            <w:tcW w:w="361" w:type="pct"/>
            <w:vMerge w:val="continue"/>
            <w:vAlign w:val="center"/>
          </w:tcPr>
          <w:p w14:paraId="6E42BBD8">
            <w:pPr>
              <w:jc w:val="center"/>
              <w:rPr>
                <w:rFonts w:eastAsia="仿宋_GB2312"/>
                <w:color w:val="auto"/>
                <w:szCs w:val="21"/>
              </w:rPr>
            </w:pPr>
          </w:p>
        </w:tc>
        <w:tc>
          <w:tcPr>
            <w:tcW w:w="498" w:type="pct"/>
            <w:vMerge w:val="continue"/>
            <w:shd w:val="clear" w:color="auto" w:fill="auto"/>
            <w:vAlign w:val="center"/>
          </w:tcPr>
          <w:p w14:paraId="5E05C1C0">
            <w:pPr>
              <w:keepNext w:val="0"/>
              <w:keepLines w:val="0"/>
              <w:widowControl/>
              <w:suppressLineNumbers w:val="0"/>
              <w:jc w:val="center"/>
              <w:textAlignment w:val="bottom"/>
              <w:rPr>
                <w:rFonts w:eastAsia="仿宋_GB2312"/>
                <w:color w:val="auto"/>
                <w:kern w:val="0"/>
                <w:szCs w:val="21"/>
                <w:lang w:bidi="ar"/>
              </w:rPr>
            </w:pPr>
          </w:p>
        </w:tc>
        <w:tc>
          <w:tcPr>
            <w:tcW w:w="820" w:type="pct"/>
            <w:shd w:val="clear" w:color="auto" w:fill="auto"/>
            <w:vAlign w:val="center"/>
          </w:tcPr>
          <w:p w14:paraId="45B48A6C">
            <w:pPr>
              <w:widowControl/>
              <w:jc w:val="center"/>
              <w:textAlignment w:val="center"/>
              <w:rPr>
                <w:rFonts w:ascii="Times New Roman" w:hAnsi="Times New Roman" w:eastAsia="仿宋_GB2312" w:cs="Times New Roman"/>
                <w:color w:val="auto"/>
                <w:kern w:val="0"/>
                <w:sz w:val="21"/>
                <w:szCs w:val="21"/>
                <w:lang w:val="en-US" w:eastAsia="zh-CN" w:bidi="ar"/>
              </w:rPr>
            </w:pPr>
            <w:r>
              <w:rPr>
                <w:rFonts w:eastAsia="仿宋_GB2312"/>
                <w:color w:val="auto"/>
                <w:kern w:val="0"/>
                <w:szCs w:val="21"/>
                <w:lang w:bidi="ar"/>
              </w:rPr>
              <w:t>苯乙烯</w:t>
            </w:r>
          </w:p>
        </w:tc>
        <w:tc>
          <w:tcPr>
            <w:tcW w:w="380" w:type="pct"/>
            <w:shd w:val="clear" w:color="auto" w:fill="auto"/>
            <w:vAlign w:val="center"/>
          </w:tcPr>
          <w:p w14:paraId="257F4C77">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0.211</w:t>
            </w:r>
          </w:p>
        </w:tc>
        <w:tc>
          <w:tcPr>
            <w:tcW w:w="445" w:type="pct"/>
            <w:shd w:val="clear" w:color="auto" w:fill="auto"/>
            <w:vAlign w:val="center"/>
          </w:tcPr>
          <w:p w14:paraId="746292A8">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ascii="Times New Roman" w:hAnsi="Times New Roman" w:eastAsia="仿宋_GB2312" w:cs="Times New Roman"/>
                <w:color w:val="auto"/>
                <w:kern w:val="0"/>
                <w:szCs w:val="21"/>
                <w:lang w:val="en-US" w:eastAsia="zh-CN" w:bidi="ar"/>
              </w:rPr>
              <w:t>0.0495</w:t>
            </w:r>
          </w:p>
        </w:tc>
        <w:tc>
          <w:tcPr>
            <w:tcW w:w="630" w:type="pct"/>
            <w:vMerge w:val="continue"/>
            <w:vAlign w:val="center"/>
          </w:tcPr>
          <w:p w14:paraId="4F9FD464">
            <w:pPr>
              <w:jc w:val="center"/>
              <w:rPr>
                <w:rFonts w:eastAsia="仿宋_GB2312"/>
                <w:color w:val="auto"/>
                <w:kern w:val="0"/>
                <w:szCs w:val="21"/>
                <w:lang w:bidi="ar"/>
              </w:rPr>
            </w:pPr>
          </w:p>
        </w:tc>
        <w:tc>
          <w:tcPr>
            <w:tcW w:w="292" w:type="pct"/>
            <w:vMerge w:val="continue"/>
            <w:vAlign w:val="center"/>
          </w:tcPr>
          <w:p w14:paraId="2156AC6D">
            <w:pPr>
              <w:jc w:val="center"/>
              <w:rPr>
                <w:rFonts w:eastAsia="仿宋_GB2312"/>
                <w:color w:val="auto"/>
                <w:kern w:val="0"/>
                <w:szCs w:val="21"/>
                <w:lang w:bidi="ar"/>
              </w:rPr>
            </w:pPr>
          </w:p>
        </w:tc>
      </w:tr>
      <w:tr w14:paraId="6C815A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02AA010A">
            <w:pPr>
              <w:jc w:val="center"/>
              <w:rPr>
                <w:rFonts w:eastAsia="仿宋_GB2312"/>
                <w:color w:val="auto"/>
                <w:szCs w:val="21"/>
              </w:rPr>
            </w:pPr>
          </w:p>
        </w:tc>
        <w:tc>
          <w:tcPr>
            <w:tcW w:w="358" w:type="pct"/>
            <w:vMerge w:val="continue"/>
            <w:vAlign w:val="center"/>
          </w:tcPr>
          <w:p w14:paraId="6ADDA309">
            <w:pPr>
              <w:jc w:val="center"/>
              <w:rPr>
                <w:rFonts w:eastAsia="仿宋_GB2312"/>
                <w:color w:val="auto"/>
                <w:szCs w:val="21"/>
              </w:rPr>
            </w:pPr>
          </w:p>
        </w:tc>
        <w:tc>
          <w:tcPr>
            <w:tcW w:w="418" w:type="pct"/>
            <w:vMerge w:val="continue"/>
            <w:vAlign w:val="center"/>
          </w:tcPr>
          <w:p w14:paraId="7BF78DE5">
            <w:pPr>
              <w:jc w:val="center"/>
              <w:rPr>
                <w:rFonts w:eastAsia="仿宋_GB2312"/>
                <w:color w:val="auto"/>
                <w:szCs w:val="21"/>
              </w:rPr>
            </w:pPr>
          </w:p>
        </w:tc>
        <w:tc>
          <w:tcPr>
            <w:tcW w:w="446" w:type="pct"/>
            <w:vMerge w:val="continue"/>
            <w:vAlign w:val="center"/>
          </w:tcPr>
          <w:p w14:paraId="5D6AA21C">
            <w:pPr>
              <w:jc w:val="center"/>
              <w:rPr>
                <w:rFonts w:eastAsia="仿宋_GB2312"/>
                <w:color w:val="auto"/>
                <w:szCs w:val="21"/>
              </w:rPr>
            </w:pPr>
          </w:p>
        </w:tc>
        <w:tc>
          <w:tcPr>
            <w:tcW w:w="361" w:type="pct"/>
            <w:vMerge w:val="continue"/>
            <w:vAlign w:val="center"/>
          </w:tcPr>
          <w:p w14:paraId="0523C1C3">
            <w:pPr>
              <w:jc w:val="center"/>
              <w:rPr>
                <w:rFonts w:eastAsia="仿宋_GB2312"/>
                <w:color w:val="auto"/>
                <w:szCs w:val="21"/>
              </w:rPr>
            </w:pPr>
          </w:p>
        </w:tc>
        <w:tc>
          <w:tcPr>
            <w:tcW w:w="498" w:type="pct"/>
            <w:vMerge w:val="continue"/>
            <w:shd w:val="clear" w:color="auto" w:fill="auto"/>
            <w:vAlign w:val="center"/>
          </w:tcPr>
          <w:p w14:paraId="4906E5AE">
            <w:pPr>
              <w:keepNext w:val="0"/>
              <w:keepLines w:val="0"/>
              <w:widowControl/>
              <w:suppressLineNumbers w:val="0"/>
              <w:jc w:val="center"/>
              <w:textAlignment w:val="bottom"/>
              <w:rPr>
                <w:rFonts w:eastAsia="仿宋_GB2312"/>
                <w:color w:val="auto"/>
                <w:kern w:val="0"/>
                <w:szCs w:val="21"/>
                <w:lang w:val="zh-CN"/>
              </w:rPr>
            </w:pPr>
          </w:p>
        </w:tc>
        <w:tc>
          <w:tcPr>
            <w:tcW w:w="820" w:type="pct"/>
            <w:shd w:val="clear" w:color="auto" w:fill="auto"/>
            <w:vAlign w:val="center"/>
          </w:tcPr>
          <w:p w14:paraId="3AF09534">
            <w:pPr>
              <w:widowControl/>
              <w:jc w:val="center"/>
              <w:textAlignment w:val="center"/>
              <w:rPr>
                <w:rFonts w:ascii="Times New Roman" w:hAnsi="Times New Roman" w:eastAsia="仿宋_GB2312" w:cs="Times New Roman"/>
                <w:color w:val="auto"/>
                <w:kern w:val="0"/>
                <w:sz w:val="21"/>
                <w:szCs w:val="21"/>
                <w:lang w:val="en-US" w:eastAsia="zh-CN" w:bidi="ar"/>
              </w:rPr>
            </w:pPr>
            <w:r>
              <w:rPr>
                <w:rFonts w:eastAsia="仿宋_GB2312"/>
                <w:color w:val="auto"/>
                <w:kern w:val="0"/>
                <w:szCs w:val="21"/>
                <w:lang w:val="zh-CN"/>
              </w:rPr>
              <w:t>2-异丙基-1-甲氧基-4-甲基苯</w:t>
            </w:r>
          </w:p>
        </w:tc>
        <w:tc>
          <w:tcPr>
            <w:tcW w:w="380" w:type="pct"/>
            <w:shd w:val="clear" w:color="auto" w:fill="auto"/>
            <w:vAlign w:val="center"/>
          </w:tcPr>
          <w:p w14:paraId="7BFAC078">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0.01</w:t>
            </w:r>
            <w:r>
              <w:rPr>
                <w:rFonts w:hint="eastAsia" w:ascii="Times New Roman" w:hAnsi="Times New Roman" w:eastAsia="宋体" w:cs="Times New Roman"/>
                <w:i w:val="0"/>
                <w:iCs w:val="0"/>
                <w:color w:val="auto"/>
                <w:kern w:val="0"/>
                <w:sz w:val="21"/>
                <w:szCs w:val="21"/>
                <w:u w:val="none"/>
                <w:lang w:val="en-US" w:eastAsia="zh-CN" w:bidi="ar"/>
              </w:rPr>
              <w:t>7</w:t>
            </w:r>
          </w:p>
        </w:tc>
        <w:tc>
          <w:tcPr>
            <w:tcW w:w="445" w:type="pct"/>
            <w:shd w:val="clear" w:color="auto" w:fill="auto"/>
            <w:vAlign w:val="center"/>
          </w:tcPr>
          <w:p w14:paraId="3EAC3406">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ascii="Times New Roman" w:hAnsi="Times New Roman" w:eastAsia="仿宋_GB2312" w:cs="Times New Roman"/>
                <w:color w:val="auto"/>
                <w:kern w:val="0"/>
                <w:szCs w:val="21"/>
                <w:lang w:val="en-US" w:eastAsia="zh-CN" w:bidi="ar"/>
              </w:rPr>
              <w:t>0.00396</w:t>
            </w:r>
          </w:p>
        </w:tc>
        <w:tc>
          <w:tcPr>
            <w:tcW w:w="630" w:type="pct"/>
            <w:vMerge w:val="continue"/>
            <w:vAlign w:val="center"/>
          </w:tcPr>
          <w:p w14:paraId="2B67F116">
            <w:pPr>
              <w:jc w:val="center"/>
              <w:rPr>
                <w:rFonts w:eastAsia="仿宋_GB2312"/>
                <w:color w:val="auto"/>
                <w:szCs w:val="21"/>
              </w:rPr>
            </w:pPr>
          </w:p>
        </w:tc>
        <w:tc>
          <w:tcPr>
            <w:tcW w:w="292" w:type="pct"/>
            <w:vMerge w:val="continue"/>
            <w:vAlign w:val="center"/>
          </w:tcPr>
          <w:p w14:paraId="0998EB45">
            <w:pPr>
              <w:jc w:val="center"/>
              <w:rPr>
                <w:rFonts w:eastAsia="仿宋_GB2312"/>
                <w:color w:val="auto"/>
                <w:szCs w:val="21"/>
              </w:rPr>
            </w:pPr>
          </w:p>
        </w:tc>
      </w:tr>
      <w:tr w14:paraId="1E05B9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346672EB">
            <w:pPr>
              <w:jc w:val="center"/>
              <w:rPr>
                <w:rFonts w:eastAsia="仿宋_GB2312"/>
                <w:color w:val="auto"/>
                <w:szCs w:val="21"/>
              </w:rPr>
            </w:pPr>
          </w:p>
        </w:tc>
        <w:tc>
          <w:tcPr>
            <w:tcW w:w="358" w:type="pct"/>
            <w:vMerge w:val="continue"/>
            <w:vAlign w:val="center"/>
          </w:tcPr>
          <w:p w14:paraId="1F573EC8">
            <w:pPr>
              <w:jc w:val="center"/>
              <w:rPr>
                <w:rFonts w:eastAsia="仿宋_GB2312"/>
                <w:color w:val="auto"/>
                <w:szCs w:val="21"/>
              </w:rPr>
            </w:pPr>
          </w:p>
        </w:tc>
        <w:tc>
          <w:tcPr>
            <w:tcW w:w="418" w:type="pct"/>
            <w:vMerge w:val="continue"/>
            <w:vAlign w:val="center"/>
          </w:tcPr>
          <w:p w14:paraId="3EAC4ACD">
            <w:pPr>
              <w:jc w:val="center"/>
              <w:rPr>
                <w:rFonts w:eastAsia="仿宋_GB2312"/>
                <w:color w:val="auto"/>
                <w:szCs w:val="21"/>
              </w:rPr>
            </w:pPr>
          </w:p>
        </w:tc>
        <w:tc>
          <w:tcPr>
            <w:tcW w:w="446" w:type="pct"/>
            <w:vMerge w:val="continue"/>
            <w:vAlign w:val="center"/>
          </w:tcPr>
          <w:p w14:paraId="6B030437">
            <w:pPr>
              <w:jc w:val="center"/>
              <w:rPr>
                <w:rFonts w:eastAsia="仿宋_GB2312"/>
                <w:color w:val="auto"/>
                <w:szCs w:val="21"/>
              </w:rPr>
            </w:pPr>
          </w:p>
        </w:tc>
        <w:tc>
          <w:tcPr>
            <w:tcW w:w="361" w:type="pct"/>
            <w:vMerge w:val="continue"/>
            <w:vAlign w:val="center"/>
          </w:tcPr>
          <w:p w14:paraId="0300B7E3">
            <w:pPr>
              <w:jc w:val="center"/>
              <w:rPr>
                <w:rFonts w:eastAsia="仿宋_GB2312"/>
                <w:color w:val="auto"/>
                <w:szCs w:val="21"/>
              </w:rPr>
            </w:pPr>
          </w:p>
        </w:tc>
        <w:tc>
          <w:tcPr>
            <w:tcW w:w="498" w:type="pct"/>
            <w:vMerge w:val="continue"/>
            <w:shd w:val="clear" w:color="auto" w:fill="auto"/>
            <w:vAlign w:val="center"/>
          </w:tcPr>
          <w:p w14:paraId="14656A4D">
            <w:pPr>
              <w:keepNext w:val="0"/>
              <w:keepLines w:val="0"/>
              <w:widowControl/>
              <w:suppressLineNumbers w:val="0"/>
              <w:jc w:val="center"/>
              <w:textAlignment w:val="bottom"/>
              <w:rPr>
                <w:rFonts w:eastAsia="仿宋_GB2312"/>
                <w:color w:val="auto"/>
                <w:kern w:val="0"/>
                <w:szCs w:val="21"/>
                <w:lang w:bidi="ar"/>
              </w:rPr>
            </w:pPr>
          </w:p>
        </w:tc>
        <w:tc>
          <w:tcPr>
            <w:tcW w:w="820" w:type="pct"/>
            <w:shd w:val="clear" w:color="auto" w:fill="auto"/>
            <w:vAlign w:val="center"/>
          </w:tcPr>
          <w:p w14:paraId="6EA1451F">
            <w:pPr>
              <w:widowControl/>
              <w:jc w:val="center"/>
              <w:textAlignment w:val="center"/>
              <w:rPr>
                <w:rFonts w:ascii="Times New Roman" w:hAnsi="Times New Roman" w:eastAsia="仿宋_GB2312" w:cs="Times New Roman"/>
                <w:b/>
                <w:bCs/>
                <w:color w:val="auto"/>
                <w:kern w:val="0"/>
                <w:sz w:val="21"/>
                <w:szCs w:val="21"/>
                <w:lang w:val="en-US" w:eastAsia="zh-CN" w:bidi="ar"/>
              </w:rPr>
            </w:pPr>
            <w:r>
              <w:rPr>
                <w:rFonts w:eastAsia="仿宋_GB2312"/>
                <w:color w:val="auto"/>
                <w:kern w:val="0"/>
                <w:szCs w:val="21"/>
                <w:lang w:bidi="ar"/>
              </w:rPr>
              <w:t>其他有机物</w:t>
            </w:r>
          </w:p>
        </w:tc>
        <w:tc>
          <w:tcPr>
            <w:tcW w:w="380" w:type="pct"/>
            <w:shd w:val="clear" w:color="auto" w:fill="auto"/>
            <w:vAlign w:val="center"/>
          </w:tcPr>
          <w:p w14:paraId="1298CC9C">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0.03</w:t>
            </w:r>
            <w:r>
              <w:rPr>
                <w:rFonts w:hint="eastAsia" w:ascii="Times New Roman" w:hAnsi="Times New Roman" w:eastAsia="宋体" w:cs="Times New Roman"/>
                <w:i w:val="0"/>
                <w:iCs w:val="0"/>
                <w:color w:val="auto"/>
                <w:kern w:val="0"/>
                <w:sz w:val="21"/>
                <w:szCs w:val="21"/>
                <w:u w:val="none"/>
                <w:lang w:val="en-US" w:eastAsia="zh-CN" w:bidi="ar"/>
              </w:rPr>
              <w:t>1</w:t>
            </w:r>
          </w:p>
        </w:tc>
        <w:tc>
          <w:tcPr>
            <w:tcW w:w="445" w:type="pct"/>
            <w:shd w:val="clear" w:color="auto" w:fill="auto"/>
            <w:vAlign w:val="center"/>
          </w:tcPr>
          <w:p w14:paraId="174DBAF4">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ascii="Times New Roman" w:hAnsi="Times New Roman" w:eastAsia="仿宋_GB2312" w:cs="Times New Roman"/>
                <w:color w:val="auto"/>
                <w:kern w:val="0"/>
                <w:szCs w:val="21"/>
                <w:lang w:val="en-US" w:eastAsia="zh-CN" w:bidi="ar"/>
              </w:rPr>
              <w:t>0.00724</w:t>
            </w:r>
          </w:p>
        </w:tc>
        <w:tc>
          <w:tcPr>
            <w:tcW w:w="630" w:type="pct"/>
            <w:vMerge w:val="continue"/>
            <w:vAlign w:val="center"/>
          </w:tcPr>
          <w:p w14:paraId="6FF3DDFE">
            <w:pPr>
              <w:jc w:val="center"/>
              <w:rPr>
                <w:rFonts w:eastAsia="仿宋_GB2312"/>
                <w:color w:val="auto"/>
                <w:szCs w:val="21"/>
              </w:rPr>
            </w:pPr>
          </w:p>
        </w:tc>
        <w:tc>
          <w:tcPr>
            <w:tcW w:w="292" w:type="pct"/>
            <w:vMerge w:val="continue"/>
            <w:vAlign w:val="center"/>
          </w:tcPr>
          <w:p w14:paraId="7AF6B1D7">
            <w:pPr>
              <w:jc w:val="center"/>
              <w:rPr>
                <w:rFonts w:eastAsia="仿宋_GB2312"/>
                <w:color w:val="auto"/>
                <w:szCs w:val="21"/>
              </w:rPr>
            </w:pPr>
          </w:p>
        </w:tc>
      </w:tr>
      <w:tr w14:paraId="1D185B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315DF21C">
            <w:pPr>
              <w:jc w:val="center"/>
              <w:rPr>
                <w:rFonts w:eastAsia="仿宋_GB2312"/>
                <w:color w:val="auto"/>
                <w:szCs w:val="21"/>
              </w:rPr>
            </w:pPr>
          </w:p>
        </w:tc>
        <w:tc>
          <w:tcPr>
            <w:tcW w:w="358" w:type="pct"/>
            <w:vMerge w:val="continue"/>
            <w:vAlign w:val="center"/>
          </w:tcPr>
          <w:p w14:paraId="01B37D8B">
            <w:pPr>
              <w:jc w:val="center"/>
              <w:rPr>
                <w:rFonts w:eastAsia="仿宋_GB2312"/>
                <w:color w:val="auto"/>
                <w:szCs w:val="21"/>
              </w:rPr>
            </w:pPr>
          </w:p>
        </w:tc>
        <w:tc>
          <w:tcPr>
            <w:tcW w:w="418" w:type="pct"/>
            <w:vMerge w:val="restart"/>
            <w:vAlign w:val="center"/>
          </w:tcPr>
          <w:p w14:paraId="00AF5928">
            <w:pPr>
              <w:jc w:val="center"/>
              <w:rPr>
                <w:rFonts w:eastAsia="仿宋_GB2312"/>
                <w:color w:val="auto"/>
                <w:szCs w:val="21"/>
              </w:rPr>
            </w:pPr>
            <w:r>
              <w:rPr>
                <w:rFonts w:eastAsia="仿宋_GB2312"/>
                <w:color w:val="auto"/>
                <w:kern w:val="0"/>
                <w:szCs w:val="21"/>
                <w:lang w:bidi="ar"/>
              </w:rPr>
              <w:t>G</w:t>
            </w:r>
            <w:r>
              <w:rPr>
                <w:rFonts w:hint="eastAsia" w:eastAsia="仿宋_GB2312"/>
                <w:color w:val="auto"/>
                <w:kern w:val="0"/>
                <w:szCs w:val="21"/>
                <w:lang w:val="en-US" w:eastAsia="zh-CN" w:bidi="ar"/>
              </w:rPr>
              <w:t>2</w:t>
            </w:r>
            <w:r>
              <w:rPr>
                <w:rFonts w:eastAsia="仿宋_GB2312"/>
                <w:color w:val="auto"/>
                <w:kern w:val="0"/>
                <w:szCs w:val="21"/>
                <w:lang w:bidi="ar"/>
              </w:rPr>
              <w:t>-</w:t>
            </w:r>
            <w:r>
              <w:rPr>
                <w:rFonts w:hint="eastAsia" w:eastAsia="仿宋_GB2312"/>
                <w:color w:val="auto"/>
                <w:kern w:val="0"/>
                <w:szCs w:val="21"/>
                <w:lang w:val="en-US" w:eastAsia="zh-CN" w:bidi="ar"/>
              </w:rPr>
              <w:t>8</w:t>
            </w:r>
            <w:r>
              <w:rPr>
                <w:rFonts w:eastAsia="仿宋_GB2312"/>
                <w:color w:val="auto"/>
                <w:kern w:val="0"/>
                <w:szCs w:val="21"/>
                <w:lang w:bidi="ar"/>
              </w:rPr>
              <w:t>-2</w:t>
            </w:r>
          </w:p>
        </w:tc>
        <w:tc>
          <w:tcPr>
            <w:tcW w:w="446" w:type="pct"/>
            <w:vMerge w:val="restart"/>
            <w:vAlign w:val="center"/>
          </w:tcPr>
          <w:p w14:paraId="2CBF23C6">
            <w:pPr>
              <w:jc w:val="center"/>
              <w:rPr>
                <w:rFonts w:eastAsia="仿宋_GB2312"/>
                <w:color w:val="auto"/>
                <w:szCs w:val="21"/>
              </w:rPr>
            </w:pPr>
            <w:r>
              <w:rPr>
                <w:rFonts w:eastAsia="仿宋_GB2312"/>
                <w:color w:val="auto"/>
                <w:kern w:val="0"/>
                <w:szCs w:val="21"/>
                <w:lang w:bidi="ar"/>
              </w:rPr>
              <w:t>调节废气</w:t>
            </w:r>
          </w:p>
        </w:tc>
        <w:tc>
          <w:tcPr>
            <w:tcW w:w="361" w:type="pct"/>
            <w:vMerge w:val="restart"/>
            <w:vAlign w:val="center"/>
          </w:tcPr>
          <w:p w14:paraId="3C811652">
            <w:pPr>
              <w:jc w:val="center"/>
              <w:rPr>
                <w:rFonts w:eastAsia="仿宋_GB2312"/>
                <w:color w:val="auto"/>
                <w:szCs w:val="21"/>
              </w:rPr>
            </w:pPr>
            <w:r>
              <w:rPr>
                <w:rFonts w:hint="eastAsia" w:eastAsia="仿宋_GB2312"/>
                <w:color w:val="auto"/>
                <w:szCs w:val="21"/>
                <w:lang w:val="en-US" w:eastAsia="zh-CN"/>
              </w:rPr>
              <w:t>1</w:t>
            </w:r>
            <w:r>
              <w:rPr>
                <w:rFonts w:eastAsia="仿宋_GB2312"/>
                <w:color w:val="auto"/>
                <w:szCs w:val="21"/>
              </w:rPr>
              <w:t>00</w:t>
            </w:r>
          </w:p>
        </w:tc>
        <w:tc>
          <w:tcPr>
            <w:tcW w:w="498" w:type="pct"/>
            <w:vMerge w:val="restart"/>
            <w:shd w:val="clear" w:color="auto" w:fill="auto"/>
            <w:vAlign w:val="center"/>
          </w:tcPr>
          <w:p w14:paraId="602CCACC">
            <w:pPr>
              <w:keepNext w:val="0"/>
              <w:keepLines w:val="0"/>
              <w:widowControl/>
              <w:suppressLineNumbers w:val="0"/>
              <w:jc w:val="center"/>
              <w:textAlignment w:val="bottom"/>
              <w:rPr>
                <w:rFonts w:eastAsia="仿宋_GB2312"/>
                <w:color w:val="auto"/>
                <w:kern w:val="0"/>
                <w:szCs w:val="21"/>
                <w:lang w:bidi="ar"/>
              </w:rPr>
            </w:pPr>
            <w:r>
              <w:rPr>
                <w:rFonts w:hint="default" w:ascii="Times New Roman" w:hAnsi="Times New Roman" w:eastAsia="宋体" w:cs="Times New Roman"/>
                <w:i w:val="0"/>
                <w:iCs w:val="0"/>
                <w:color w:val="auto"/>
                <w:kern w:val="0"/>
                <w:sz w:val="21"/>
                <w:szCs w:val="21"/>
                <w:u w:val="none"/>
                <w:lang w:val="en-US" w:eastAsia="zh-CN" w:bidi="ar"/>
              </w:rPr>
              <w:t>234</w:t>
            </w:r>
          </w:p>
        </w:tc>
        <w:tc>
          <w:tcPr>
            <w:tcW w:w="820" w:type="pct"/>
            <w:shd w:val="clear" w:color="auto" w:fill="auto"/>
            <w:vAlign w:val="center"/>
          </w:tcPr>
          <w:p w14:paraId="0A837F43">
            <w:pPr>
              <w:widowControl/>
              <w:jc w:val="center"/>
              <w:textAlignment w:val="center"/>
              <w:rPr>
                <w:rFonts w:ascii="Times New Roman" w:hAnsi="Times New Roman" w:eastAsia="仿宋_GB2312" w:cs="Times New Roman"/>
                <w:b/>
                <w:bCs/>
                <w:color w:val="auto"/>
                <w:kern w:val="0"/>
                <w:sz w:val="21"/>
                <w:szCs w:val="21"/>
                <w:lang w:val="en-US" w:eastAsia="zh-CN" w:bidi="ar"/>
              </w:rPr>
            </w:pPr>
            <w:r>
              <w:rPr>
                <w:rFonts w:eastAsia="仿宋_GB2312"/>
                <w:color w:val="auto"/>
                <w:kern w:val="0"/>
                <w:szCs w:val="21"/>
                <w:lang w:bidi="ar"/>
              </w:rPr>
              <w:t>碳九</w:t>
            </w:r>
          </w:p>
        </w:tc>
        <w:tc>
          <w:tcPr>
            <w:tcW w:w="380" w:type="pct"/>
            <w:shd w:val="clear" w:color="auto" w:fill="auto"/>
            <w:vAlign w:val="center"/>
          </w:tcPr>
          <w:p w14:paraId="64565AFC">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0.555</w:t>
            </w:r>
          </w:p>
        </w:tc>
        <w:tc>
          <w:tcPr>
            <w:tcW w:w="445" w:type="pct"/>
            <w:shd w:val="clear" w:color="auto" w:fill="auto"/>
            <w:vAlign w:val="center"/>
          </w:tcPr>
          <w:p w14:paraId="2D1EF0A4">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0.13</w:t>
            </w:r>
          </w:p>
        </w:tc>
        <w:tc>
          <w:tcPr>
            <w:tcW w:w="630" w:type="pct"/>
            <w:vMerge w:val="restart"/>
            <w:shd w:val="clear" w:color="auto" w:fill="auto"/>
            <w:vAlign w:val="center"/>
          </w:tcPr>
          <w:p w14:paraId="24B1A2C9">
            <w:pPr>
              <w:widowControl/>
              <w:jc w:val="center"/>
              <w:textAlignment w:val="center"/>
              <w:rPr>
                <w:rFonts w:ascii="Times New Roman" w:hAnsi="Times New Roman" w:eastAsia="仿宋_GB2312" w:cs="Times New Roman"/>
                <w:color w:val="auto"/>
                <w:kern w:val="2"/>
                <w:sz w:val="21"/>
                <w:szCs w:val="21"/>
                <w:lang w:val="en-US" w:eastAsia="zh-CN" w:bidi="ar-SA"/>
              </w:rPr>
            </w:pPr>
            <w:r>
              <w:rPr>
                <w:rFonts w:hint="eastAsia" w:eastAsia="仿宋_GB2312"/>
                <w:color w:val="auto"/>
                <w:szCs w:val="21"/>
              </w:rPr>
              <w:t>预处理（冷凝+稀酸吸收+碱吸收+水吸收+除雾）+</w:t>
            </w:r>
            <w:r>
              <w:rPr>
                <w:rFonts w:eastAsia="仿宋_GB2312"/>
                <w:color w:val="auto"/>
                <w:szCs w:val="21"/>
              </w:rPr>
              <w:t>焚烧</w:t>
            </w:r>
          </w:p>
        </w:tc>
        <w:tc>
          <w:tcPr>
            <w:tcW w:w="292" w:type="pct"/>
            <w:vMerge w:val="restart"/>
            <w:shd w:val="clear" w:color="auto" w:fill="auto"/>
            <w:vAlign w:val="center"/>
          </w:tcPr>
          <w:p w14:paraId="612EE457">
            <w:pPr>
              <w:widowControl/>
              <w:jc w:val="center"/>
              <w:textAlignment w:val="center"/>
              <w:rPr>
                <w:rFonts w:ascii="Times New Roman" w:hAnsi="Times New Roman" w:eastAsia="仿宋_GB2312" w:cs="Times New Roman"/>
                <w:color w:val="auto"/>
                <w:kern w:val="2"/>
                <w:sz w:val="21"/>
                <w:szCs w:val="21"/>
                <w:lang w:val="en-US" w:eastAsia="zh-CN" w:bidi="ar-SA"/>
              </w:rPr>
            </w:pPr>
            <w:r>
              <w:rPr>
                <w:rFonts w:hint="eastAsia" w:eastAsia="仿宋_GB2312"/>
                <w:color w:val="auto"/>
                <w:kern w:val="0"/>
                <w:szCs w:val="21"/>
                <w:lang w:bidi="ar"/>
              </w:rPr>
              <w:t>DA002</w:t>
            </w:r>
          </w:p>
        </w:tc>
      </w:tr>
      <w:tr w14:paraId="606B59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78DCC6EF">
            <w:pPr>
              <w:jc w:val="center"/>
              <w:rPr>
                <w:rFonts w:eastAsia="仿宋_GB2312"/>
                <w:color w:val="auto"/>
                <w:szCs w:val="21"/>
              </w:rPr>
            </w:pPr>
          </w:p>
        </w:tc>
        <w:tc>
          <w:tcPr>
            <w:tcW w:w="358" w:type="pct"/>
            <w:vMerge w:val="continue"/>
            <w:vAlign w:val="center"/>
          </w:tcPr>
          <w:p w14:paraId="3EF3E61A">
            <w:pPr>
              <w:jc w:val="center"/>
              <w:rPr>
                <w:rFonts w:eastAsia="仿宋_GB2312"/>
                <w:color w:val="auto"/>
                <w:szCs w:val="21"/>
              </w:rPr>
            </w:pPr>
          </w:p>
        </w:tc>
        <w:tc>
          <w:tcPr>
            <w:tcW w:w="418" w:type="pct"/>
            <w:vMerge w:val="continue"/>
            <w:vAlign w:val="center"/>
          </w:tcPr>
          <w:p w14:paraId="1ED04F6E">
            <w:pPr>
              <w:jc w:val="center"/>
              <w:rPr>
                <w:rFonts w:eastAsia="仿宋_GB2312"/>
                <w:color w:val="auto"/>
                <w:kern w:val="0"/>
                <w:szCs w:val="21"/>
                <w:lang w:bidi="ar"/>
              </w:rPr>
            </w:pPr>
          </w:p>
        </w:tc>
        <w:tc>
          <w:tcPr>
            <w:tcW w:w="446" w:type="pct"/>
            <w:vMerge w:val="continue"/>
            <w:vAlign w:val="center"/>
          </w:tcPr>
          <w:p w14:paraId="320957CF">
            <w:pPr>
              <w:jc w:val="center"/>
              <w:rPr>
                <w:rFonts w:eastAsia="仿宋_GB2312"/>
                <w:color w:val="auto"/>
                <w:kern w:val="0"/>
                <w:szCs w:val="21"/>
                <w:lang w:bidi="ar"/>
              </w:rPr>
            </w:pPr>
          </w:p>
        </w:tc>
        <w:tc>
          <w:tcPr>
            <w:tcW w:w="361" w:type="pct"/>
            <w:vMerge w:val="continue"/>
            <w:vAlign w:val="center"/>
          </w:tcPr>
          <w:p w14:paraId="4995509E">
            <w:pPr>
              <w:jc w:val="center"/>
              <w:rPr>
                <w:rFonts w:eastAsia="仿宋_GB2312"/>
                <w:color w:val="auto"/>
                <w:szCs w:val="21"/>
              </w:rPr>
            </w:pPr>
          </w:p>
        </w:tc>
        <w:tc>
          <w:tcPr>
            <w:tcW w:w="498" w:type="pct"/>
            <w:vMerge w:val="continue"/>
            <w:shd w:val="clear" w:color="auto" w:fill="auto"/>
            <w:vAlign w:val="center"/>
          </w:tcPr>
          <w:p w14:paraId="1C935F30">
            <w:pPr>
              <w:keepNext w:val="0"/>
              <w:keepLines w:val="0"/>
              <w:widowControl/>
              <w:suppressLineNumbers w:val="0"/>
              <w:jc w:val="center"/>
              <w:textAlignment w:val="bottom"/>
              <w:rPr>
                <w:rFonts w:eastAsia="仿宋_GB2312"/>
                <w:color w:val="auto"/>
                <w:kern w:val="0"/>
                <w:szCs w:val="21"/>
                <w:lang w:bidi="ar"/>
              </w:rPr>
            </w:pPr>
          </w:p>
        </w:tc>
        <w:tc>
          <w:tcPr>
            <w:tcW w:w="820" w:type="pct"/>
            <w:shd w:val="clear" w:color="auto" w:fill="auto"/>
            <w:vAlign w:val="center"/>
          </w:tcPr>
          <w:p w14:paraId="28CDBD6C">
            <w:pPr>
              <w:widowControl/>
              <w:jc w:val="center"/>
              <w:textAlignment w:val="center"/>
              <w:rPr>
                <w:rFonts w:ascii="Times New Roman" w:hAnsi="Times New Roman" w:eastAsia="仿宋_GB2312" w:cs="Times New Roman"/>
                <w:color w:val="auto"/>
                <w:kern w:val="0"/>
                <w:sz w:val="21"/>
                <w:szCs w:val="21"/>
                <w:lang w:val="en-US" w:eastAsia="zh-CN" w:bidi="ar"/>
              </w:rPr>
            </w:pPr>
            <w:r>
              <w:rPr>
                <w:rFonts w:eastAsia="仿宋_GB2312"/>
                <w:color w:val="auto"/>
                <w:kern w:val="0"/>
                <w:szCs w:val="21"/>
                <w:lang w:bidi="ar"/>
              </w:rPr>
              <w:t>苯乙烯</w:t>
            </w:r>
          </w:p>
        </w:tc>
        <w:tc>
          <w:tcPr>
            <w:tcW w:w="380" w:type="pct"/>
            <w:shd w:val="clear" w:color="auto" w:fill="auto"/>
            <w:vAlign w:val="center"/>
          </w:tcPr>
          <w:p w14:paraId="166D590E">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0.10</w:t>
            </w:r>
            <w:r>
              <w:rPr>
                <w:rFonts w:hint="eastAsia" w:ascii="Times New Roman" w:hAnsi="Times New Roman" w:eastAsia="宋体" w:cs="Times New Roman"/>
                <w:i w:val="0"/>
                <w:iCs w:val="0"/>
                <w:color w:val="auto"/>
                <w:kern w:val="0"/>
                <w:sz w:val="21"/>
                <w:szCs w:val="21"/>
                <w:u w:val="none"/>
                <w:lang w:val="en-US" w:eastAsia="zh-CN" w:bidi="ar"/>
              </w:rPr>
              <w:t>7</w:t>
            </w:r>
          </w:p>
        </w:tc>
        <w:tc>
          <w:tcPr>
            <w:tcW w:w="445" w:type="pct"/>
            <w:shd w:val="clear" w:color="auto" w:fill="auto"/>
            <w:vAlign w:val="center"/>
          </w:tcPr>
          <w:p w14:paraId="37AA404D">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0.025</w:t>
            </w:r>
          </w:p>
        </w:tc>
        <w:tc>
          <w:tcPr>
            <w:tcW w:w="630" w:type="pct"/>
            <w:vMerge w:val="continue"/>
            <w:vAlign w:val="center"/>
          </w:tcPr>
          <w:p w14:paraId="5F9B2061">
            <w:pPr>
              <w:jc w:val="center"/>
              <w:rPr>
                <w:rFonts w:eastAsia="仿宋_GB2312"/>
                <w:color w:val="auto"/>
                <w:kern w:val="0"/>
                <w:szCs w:val="21"/>
                <w:lang w:bidi="ar"/>
              </w:rPr>
            </w:pPr>
          </w:p>
        </w:tc>
        <w:tc>
          <w:tcPr>
            <w:tcW w:w="292" w:type="pct"/>
            <w:vMerge w:val="continue"/>
            <w:vAlign w:val="center"/>
          </w:tcPr>
          <w:p w14:paraId="323C9771">
            <w:pPr>
              <w:jc w:val="center"/>
              <w:rPr>
                <w:rFonts w:eastAsia="仿宋_GB2312"/>
                <w:color w:val="auto"/>
                <w:kern w:val="0"/>
                <w:szCs w:val="21"/>
                <w:lang w:bidi="ar"/>
              </w:rPr>
            </w:pPr>
          </w:p>
        </w:tc>
      </w:tr>
      <w:tr w14:paraId="1E7058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50FCAA11">
            <w:pPr>
              <w:jc w:val="center"/>
              <w:rPr>
                <w:rFonts w:eastAsia="仿宋_GB2312"/>
                <w:color w:val="auto"/>
                <w:szCs w:val="21"/>
              </w:rPr>
            </w:pPr>
          </w:p>
        </w:tc>
        <w:tc>
          <w:tcPr>
            <w:tcW w:w="358" w:type="pct"/>
            <w:vMerge w:val="continue"/>
            <w:vAlign w:val="center"/>
          </w:tcPr>
          <w:p w14:paraId="77A3A0F8">
            <w:pPr>
              <w:jc w:val="center"/>
              <w:rPr>
                <w:rFonts w:eastAsia="仿宋_GB2312"/>
                <w:color w:val="auto"/>
                <w:szCs w:val="21"/>
              </w:rPr>
            </w:pPr>
          </w:p>
        </w:tc>
        <w:tc>
          <w:tcPr>
            <w:tcW w:w="418" w:type="pct"/>
            <w:vMerge w:val="continue"/>
            <w:vAlign w:val="center"/>
          </w:tcPr>
          <w:p w14:paraId="35113E55">
            <w:pPr>
              <w:jc w:val="center"/>
              <w:rPr>
                <w:rFonts w:eastAsia="仿宋_GB2312"/>
                <w:color w:val="auto"/>
                <w:szCs w:val="21"/>
              </w:rPr>
            </w:pPr>
          </w:p>
        </w:tc>
        <w:tc>
          <w:tcPr>
            <w:tcW w:w="446" w:type="pct"/>
            <w:vMerge w:val="continue"/>
            <w:vAlign w:val="center"/>
          </w:tcPr>
          <w:p w14:paraId="0CFD95F2">
            <w:pPr>
              <w:jc w:val="center"/>
              <w:rPr>
                <w:rFonts w:eastAsia="仿宋_GB2312"/>
                <w:color w:val="auto"/>
                <w:szCs w:val="21"/>
              </w:rPr>
            </w:pPr>
          </w:p>
        </w:tc>
        <w:tc>
          <w:tcPr>
            <w:tcW w:w="361" w:type="pct"/>
            <w:vMerge w:val="continue"/>
            <w:vAlign w:val="center"/>
          </w:tcPr>
          <w:p w14:paraId="2562D87C">
            <w:pPr>
              <w:jc w:val="center"/>
              <w:rPr>
                <w:rFonts w:eastAsia="仿宋_GB2312"/>
                <w:color w:val="auto"/>
                <w:szCs w:val="21"/>
              </w:rPr>
            </w:pPr>
          </w:p>
        </w:tc>
        <w:tc>
          <w:tcPr>
            <w:tcW w:w="498" w:type="pct"/>
            <w:vMerge w:val="continue"/>
            <w:shd w:val="clear" w:color="auto" w:fill="auto"/>
            <w:vAlign w:val="center"/>
          </w:tcPr>
          <w:p w14:paraId="7A4163A3">
            <w:pPr>
              <w:keepNext w:val="0"/>
              <w:keepLines w:val="0"/>
              <w:widowControl/>
              <w:suppressLineNumbers w:val="0"/>
              <w:jc w:val="center"/>
              <w:textAlignment w:val="bottom"/>
              <w:rPr>
                <w:rFonts w:eastAsia="仿宋_GB2312"/>
                <w:color w:val="auto"/>
                <w:kern w:val="0"/>
                <w:szCs w:val="21"/>
                <w:lang w:val="zh-CN"/>
              </w:rPr>
            </w:pPr>
          </w:p>
        </w:tc>
        <w:tc>
          <w:tcPr>
            <w:tcW w:w="820" w:type="pct"/>
            <w:shd w:val="clear" w:color="auto" w:fill="auto"/>
            <w:vAlign w:val="center"/>
          </w:tcPr>
          <w:p w14:paraId="11A11BAD">
            <w:pPr>
              <w:widowControl/>
              <w:jc w:val="center"/>
              <w:textAlignment w:val="center"/>
              <w:rPr>
                <w:rFonts w:ascii="Times New Roman" w:hAnsi="Times New Roman" w:eastAsia="仿宋_GB2312" w:cs="Times New Roman"/>
                <w:color w:val="auto"/>
                <w:kern w:val="0"/>
                <w:sz w:val="21"/>
                <w:szCs w:val="21"/>
                <w:lang w:val="en-US" w:eastAsia="zh-CN" w:bidi="ar"/>
              </w:rPr>
            </w:pPr>
            <w:r>
              <w:rPr>
                <w:rFonts w:eastAsia="仿宋_GB2312"/>
                <w:color w:val="auto"/>
                <w:kern w:val="0"/>
                <w:szCs w:val="21"/>
                <w:lang w:val="zh-CN"/>
              </w:rPr>
              <w:t>2-异丙基-1-甲氧基-4-甲基苯</w:t>
            </w:r>
          </w:p>
        </w:tc>
        <w:tc>
          <w:tcPr>
            <w:tcW w:w="380" w:type="pct"/>
            <w:shd w:val="clear" w:color="auto" w:fill="auto"/>
            <w:vAlign w:val="center"/>
          </w:tcPr>
          <w:p w14:paraId="6EEF8BAC">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0.008</w:t>
            </w:r>
          </w:p>
        </w:tc>
        <w:tc>
          <w:tcPr>
            <w:tcW w:w="445" w:type="pct"/>
            <w:shd w:val="clear" w:color="auto" w:fill="auto"/>
            <w:vAlign w:val="center"/>
          </w:tcPr>
          <w:p w14:paraId="52BF2645">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0.002</w:t>
            </w:r>
          </w:p>
        </w:tc>
        <w:tc>
          <w:tcPr>
            <w:tcW w:w="630" w:type="pct"/>
            <w:vMerge w:val="continue"/>
            <w:vAlign w:val="center"/>
          </w:tcPr>
          <w:p w14:paraId="0933C872">
            <w:pPr>
              <w:jc w:val="center"/>
              <w:rPr>
                <w:rFonts w:eastAsia="仿宋_GB2312"/>
                <w:color w:val="auto"/>
                <w:szCs w:val="21"/>
              </w:rPr>
            </w:pPr>
          </w:p>
        </w:tc>
        <w:tc>
          <w:tcPr>
            <w:tcW w:w="292" w:type="pct"/>
            <w:vMerge w:val="continue"/>
            <w:vAlign w:val="center"/>
          </w:tcPr>
          <w:p w14:paraId="3B2962FE">
            <w:pPr>
              <w:jc w:val="center"/>
              <w:rPr>
                <w:rFonts w:eastAsia="仿宋_GB2312"/>
                <w:color w:val="auto"/>
                <w:szCs w:val="21"/>
              </w:rPr>
            </w:pPr>
          </w:p>
        </w:tc>
      </w:tr>
      <w:tr w14:paraId="66FEAC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2C00A61C">
            <w:pPr>
              <w:jc w:val="center"/>
              <w:rPr>
                <w:rFonts w:eastAsia="仿宋_GB2312"/>
                <w:color w:val="auto"/>
                <w:szCs w:val="21"/>
              </w:rPr>
            </w:pPr>
          </w:p>
        </w:tc>
        <w:tc>
          <w:tcPr>
            <w:tcW w:w="358" w:type="pct"/>
            <w:vMerge w:val="continue"/>
            <w:vAlign w:val="center"/>
          </w:tcPr>
          <w:p w14:paraId="2B3B3222">
            <w:pPr>
              <w:jc w:val="center"/>
              <w:rPr>
                <w:rFonts w:eastAsia="仿宋_GB2312"/>
                <w:color w:val="auto"/>
                <w:szCs w:val="21"/>
              </w:rPr>
            </w:pPr>
          </w:p>
        </w:tc>
        <w:tc>
          <w:tcPr>
            <w:tcW w:w="418" w:type="pct"/>
            <w:vMerge w:val="continue"/>
            <w:vAlign w:val="center"/>
          </w:tcPr>
          <w:p w14:paraId="7AD933AF">
            <w:pPr>
              <w:jc w:val="center"/>
              <w:rPr>
                <w:rFonts w:eastAsia="仿宋_GB2312"/>
                <w:color w:val="auto"/>
                <w:szCs w:val="21"/>
              </w:rPr>
            </w:pPr>
          </w:p>
        </w:tc>
        <w:tc>
          <w:tcPr>
            <w:tcW w:w="446" w:type="pct"/>
            <w:vMerge w:val="continue"/>
            <w:vAlign w:val="center"/>
          </w:tcPr>
          <w:p w14:paraId="798AB75A">
            <w:pPr>
              <w:jc w:val="center"/>
              <w:rPr>
                <w:rFonts w:eastAsia="仿宋_GB2312"/>
                <w:color w:val="auto"/>
                <w:szCs w:val="21"/>
              </w:rPr>
            </w:pPr>
          </w:p>
        </w:tc>
        <w:tc>
          <w:tcPr>
            <w:tcW w:w="361" w:type="pct"/>
            <w:vMerge w:val="continue"/>
            <w:vAlign w:val="center"/>
          </w:tcPr>
          <w:p w14:paraId="6ECA6E50">
            <w:pPr>
              <w:jc w:val="center"/>
              <w:rPr>
                <w:rFonts w:eastAsia="仿宋_GB2312"/>
                <w:color w:val="auto"/>
                <w:szCs w:val="21"/>
              </w:rPr>
            </w:pPr>
          </w:p>
        </w:tc>
        <w:tc>
          <w:tcPr>
            <w:tcW w:w="498" w:type="pct"/>
            <w:vMerge w:val="continue"/>
            <w:shd w:val="clear" w:color="auto" w:fill="auto"/>
            <w:vAlign w:val="center"/>
          </w:tcPr>
          <w:p w14:paraId="2008AC01">
            <w:pPr>
              <w:keepNext w:val="0"/>
              <w:keepLines w:val="0"/>
              <w:widowControl/>
              <w:suppressLineNumbers w:val="0"/>
              <w:jc w:val="center"/>
              <w:textAlignment w:val="bottom"/>
              <w:rPr>
                <w:rFonts w:eastAsia="仿宋_GB2312"/>
                <w:color w:val="auto"/>
                <w:kern w:val="0"/>
                <w:szCs w:val="21"/>
                <w:lang w:bidi="ar"/>
              </w:rPr>
            </w:pPr>
          </w:p>
        </w:tc>
        <w:tc>
          <w:tcPr>
            <w:tcW w:w="820" w:type="pct"/>
            <w:shd w:val="clear" w:color="auto" w:fill="auto"/>
            <w:vAlign w:val="center"/>
          </w:tcPr>
          <w:p w14:paraId="2AE4CF39">
            <w:pPr>
              <w:widowControl/>
              <w:jc w:val="center"/>
              <w:textAlignment w:val="center"/>
              <w:rPr>
                <w:rFonts w:ascii="Times New Roman" w:hAnsi="Times New Roman" w:eastAsia="仿宋_GB2312" w:cs="Times New Roman"/>
                <w:b/>
                <w:bCs/>
                <w:color w:val="auto"/>
                <w:kern w:val="0"/>
                <w:sz w:val="21"/>
                <w:szCs w:val="21"/>
                <w:lang w:val="en-US" w:eastAsia="zh-CN" w:bidi="ar"/>
              </w:rPr>
            </w:pPr>
            <w:r>
              <w:rPr>
                <w:rFonts w:eastAsia="仿宋_GB2312"/>
                <w:color w:val="auto"/>
                <w:kern w:val="0"/>
                <w:szCs w:val="21"/>
                <w:lang w:bidi="ar"/>
              </w:rPr>
              <w:t>其他有机物</w:t>
            </w:r>
          </w:p>
        </w:tc>
        <w:tc>
          <w:tcPr>
            <w:tcW w:w="380" w:type="pct"/>
            <w:shd w:val="clear" w:color="auto" w:fill="auto"/>
            <w:vAlign w:val="center"/>
          </w:tcPr>
          <w:p w14:paraId="009AFEC3">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0.017</w:t>
            </w:r>
          </w:p>
        </w:tc>
        <w:tc>
          <w:tcPr>
            <w:tcW w:w="445" w:type="pct"/>
            <w:shd w:val="clear" w:color="auto" w:fill="auto"/>
            <w:vAlign w:val="center"/>
          </w:tcPr>
          <w:p w14:paraId="05344A40">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0.004</w:t>
            </w:r>
          </w:p>
        </w:tc>
        <w:tc>
          <w:tcPr>
            <w:tcW w:w="630" w:type="pct"/>
            <w:vMerge w:val="continue"/>
            <w:vAlign w:val="center"/>
          </w:tcPr>
          <w:p w14:paraId="4A2A2321">
            <w:pPr>
              <w:jc w:val="center"/>
              <w:rPr>
                <w:rFonts w:eastAsia="仿宋_GB2312"/>
                <w:color w:val="auto"/>
                <w:szCs w:val="21"/>
              </w:rPr>
            </w:pPr>
          </w:p>
        </w:tc>
        <w:tc>
          <w:tcPr>
            <w:tcW w:w="292" w:type="pct"/>
            <w:vMerge w:val="continue"/>
            <w:vAlign w:val="center"/>
          </w:tcPr>
          <w:p w14:paraId="405347CF">
            <w:pPr>
              <w:jc w:val="center"/>
              <w:rPr>
                <w:rFonts w:eastAsia="仿宋_GB2312"/>
                <w:color w:val="auto"/>
                <w:szCs w:val="21"/>
              </w:rPr>
            </w:pPr>
          </w:p>
        </w:tc>
      </w:tr>
      <w:tr w14:paraId="0DAEF4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2DFDF411">
            <w:pPr>
              <w:jc w:val="center"/>
              <w:rPr>
                <w:rFonts w:eastAsia="仿宋_GB2312"/>
                <w:color w:val="auto"/>
                <w:szCs w:val="21"/>
              </w:rPr>
            </w:pPr>
          </w:p>
        </w:tc>
        <w:tc>
          <w:tcPr>
            <w:tcW w:w="358" w:type="pct"/>
            <w:vMerge w:val="continue"/>
            <w:vAlign w:val="center"/>
          </w:tcPr>
          <w:p w14:paraId="10299559">
            <w:pPr>
              <w:jc w:val="center"/>
              <w:rPr>
                <w:rFonts w:eastAsia="仿宋_GB2312"/>
                <w:color w:val="auto"/>
                <w:szCs w:val="21"/>
              </w:rPr>
            </w:pPr>
          </w:p>
        </w:tc>
        <w:tc>
          <w:tcPr>
            <w:tcW w:w="418" w:type="pct"/>
            <w:vMerge w:val="restart"/>
            <w:vAlign w:val="center"/>
          </w:tcPr>
          <w:p w14:paraId="5BB026EC">
            <w:pPr>
              <w:jc w:val="center"/>
              <w:rPr>
                <w:rFonts w:eastAsia="仿宋_GB2312"/>
                <w:color w:val="auto"/>
                <w:szCs w:val="21"/>
              </w:rPr>
            </w:pPr>
            <w:r>
              <w:rPr>
                <w:rFonts w:eastAsia="仿宋_GB2312"/>
                <w:color w:val="auto"/>
                <w:kern w:val="0"/>
                <w:szCs w:val="21"/>
                <w:lang w:bidi="ar"/>
              </w:rPr>
              <w:t>G</w:t>
            </w:r>
            <w:r>
              <w:rPr>
                <w:rFonts w:hint="eastAsia" w:eastAsia="仿宋_GB2312"/>
                <w:color w:val="auto"/>
                <w:kern w:val="0"/>
                <w:szCs w:val="21"/>
                <w:lang w:val="en-US" w:eastAsia="zh-CN" w:bidi="ar"/>
              </w:rPr>
              <w:t>2</w:t>
            </w:r>
            <w:r>
              <w:rPr>
                <w:rFonts w:eastAsia="仿宋_GB2312"/>
                <w:color w:val="auto"/>
                <w:kern w:val="0"/>
                <w:szCs w:val="21"/>
                <w:lang w:bidi="ar"/>
              </w:rPr>
              <w:t>-</w:t>
            </w:r>
            <w:r>
              <w:rPr>
                <w:rFonts w:hint="eastAsia" w:eastAsia="仿宋_GB2312"/>
                <w:color w:val="auto"/>
                <w:kern w:val="0"/>
                <w:szCs w:val="21"/>
                <w:lang w:val="en-US" w:eastAsia="zh-CN" w:bidi="ar"/>
              </w:rPr>
              <w:t>8</w:t>
            </w:r>
            <w:r>
              <w:rPr>
                <w:rFonts w:eastAsia="仿宋_GB2312"/>
                <w:color w:val="auto"/>
                <w:kern w:val="0"/>
                <w:szCs w:val="21"/>
                <w:lang w:bidi="ar"/>
              </w:rPr>
              <w:t>-3</w:t>
            </w:r>
          </w:p>
        </w:tc>
        <w:tc>
          <w:tcPr>
            <w:tcW w:w="446" w:type="pct"/>
            <w:vMerge w:val="restart"/>
            <w:vAlign w:val="center"/>
          </w:tcPr>
          <w:p w14:paraId="39C6EE63">
            <w:pPr>
              <w:jc w:val="center"/>
              <w:rPr>
                <w:rFonts w:eastAsia="仿宋_GB2312"/>
                <w:color w:val="auto"/>
                <w:szCs w:val="21"/>
              </w:rPr>
            </w:pPr>
            <w:r>
              <w:rPr>
                <w:rFonts w:eastAsia="仿宋_GB2312"/>
                <w:color w:val="auto"/>
                <w:kern w:val="0"/>
                <w:szCs w:val="21"/>
                <w:lang w:bidi="ar"/>
              </w:rPr>
              <w:t>不凝气</w:t>
            </w:r>
          </w:p>
        </w:tc>
        <w:tc>
          <w:tcPr>
            <w:tcW w:w="361" w:type="pct"/>
            <w:vMerge w:val="restart"/>
            <w:vAlign w:val="center"/>
          </w:tcPr>
          <w:p w14:paraId="3AE5AA3A">
            <w:pPr>
              <w:jc w:val="center"/>
              <w:rPr>
                <w:rFonts w:eastAsia="仿宋_GB2312"/>
                <w:color w:val="auto"/>
                <w:szCs w:val="21"/>
              </w:rPr>
            </w:pPr>
            <w:r>
              <w:rPr>
                <w:rFonts w:eastAsia="仿宋_GB2312"/>
                <w:color w:val="auto"/>
                <w:szCs w:val="21"/>
              </w:rPr>
              <w:t>360</w:t>
            </w:r>
          </w:p>
        </w:tc>
        <w:tc>
          <w:tcPr>
            <w:tcW w:w="498" w:type="pct"/>
            <w:vMerge w:val="restart"/>
            <w:shd w:val="clear" w:color="auto" w:fill="auto"/>
            <w:vAlign w:val="center"/>
          </w:tcPr>
          <w:p w14:paraId="6E7686D2">
            <w:pPr>
              <w:keepNext w:val="0"/>
              <w:keepLines w:val="0"/>
              <w:widowControl/>
              <w:suppressLineNumbers w:val="0"/>
              <w:jc w:val="center"/>
              <w:textAlignment w:val="bottom"/>
              <w:rPr>
                <w:rFonts w:eastAsia="仿宋_GB2312"/>
                <w:color w:val="auto"/>
                <w:kern w:val="0"/>
                <w:szCs w:val="21"/>
                <w:lang w:bidi="ar"/>
              </w:rPr>
            </w:pPr>
            <w:r>
              <w:rPr>
                <w:rFonts w:hint="default" w:ascii="Times New Roman" w:hAnsi="Times New Roman" w:eastAsia="宋体" w:cs="Times New Roman"/>
                <w:i w:val="0"/>
                <w:iCs w:val="0"/>
                <w:color w:val="auto"/>
                <w:kern w:val="0"/>
                <w:sz w:val="21"/>
                <w:szCs w:val="21"/>
                <w:u w:val="none"/>
                <w:lang w:val="en-US" w:eastAsia="zh-CN" w:bidi="ar"/>
              </w:rPr>
              <w:t>468</w:t>
            </w:r>
          </w:p>
        </w:tc>
        <w:tc>
          <w:tcPr>
            <w:tcW w:w="820" w:type="pct"/>
            <w:shd w:val="clear" w:color="auto" w:fill="auto"/>
            <w:vAlign w:val="center"/>
          </w:tcPr>
          <w:p w14:paraId="0E2F1EE9">
            <w:pPr>
              <w:widowControl/>
              <w:jc w:val="center"/>
              <w:textAlignment w:val="center"/>
              <w:rPr>
                <w:rFonts w:ascii="Times New Roman" w:hAnsi="Times New Roman" w:eastAsia="仿宋_GB2312" w:cs="Times New Roman"/>
                <w:b/>
                <w:bCs/>
                <w:color w:val="auto"/>
                <w:kern w:val="0"/>
                <w:sz w:val="21"/>
                <w:szCs w:val="21"/>
                <w:lang w:val="en-US" w:eastAsia="zh-CN" w:bidi="ar"/>
              </w:rPr>
            </w:pPr>
            <w:r>
              <w:rPr>
                <w:rFonts w:eastAsia="仿宋_GB2312"/>
                <w:color w:val="auto"/>
                <w:kern w:val="0"/>
                <w:szCs w:val="21"/>
                <w:lang w:bidi="ar"/>
              </w:rPr>
              <w:t>碳九</w:t>
            </w:r>
          </w:p>
        </w:tc>
        <w:tc>
          <w:tcPr>
            <w:tcW w:w="380" w:type="pct"/>
            <w:shd w:val="clear" w:color="auto" w:fill="auto"/>
            <w:vAlign w:val="center"/>
          </w:tcPr>
          <w:p w14:paraId="6B8F9BFE">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6.925</w:t>
            </w:r>
          </w:p>
        </w:tc>
        <w:tc>
          <w:tcPr>
            <w:tcW w:w="445" w:type="pct"/>
            <w:shd w:val="clear" w:color="auto" w:fill="auto"/>
            <w:vAlign w:val="center"/>
          </w:tcPr>
          <w:p w14:paraId="133CFEFA">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3.241</w:t>
            </w:r>
          </w:p>
        </w:tc>
        <w:tc>
          <w:tcPr>
            <w:tcW w:w="630" w:type="pct"/>
            <w:vMerge w:val="continue"/>
            <w:vAlign w:val="center"/>
          </w:tcPr>
          <w:p w14:paraId="27FE5772">
            <w:pPr>
              <w:jc w:val="center"/>
              <w:rPr>
                <w:rFonts w:eastAsia="仿宋_GB2312"/>
                <w:color w:val="auto"/>
                <w:szCs w:val="21"/>
              </w:rPr>
            </w:pPr>
          </w:p>
        </w:tc>
        <w:tc>
          <w:tcPr>
            <w:tcW w:w="292" w:type="pct"/>
            <w:vMerge w:val="continue"/>
            <w:vAlign w:val="center"/>
          </w:tcPr>
          <w:p w14:paraId="6FE70268">
            <w:pPr>
              <w:jc w:val="center"/>
              <w:rPr>
                <w:rFonts w:eastAsia="仿宋_GB2312"/>
                <w:color w:val="auto"/>
                <w:szCs w:val="21"/>
              </w:rPr>
            </w:pPr>
          </w:p>
        </w:tc>
      </w:tr>
      <w:tr w14:paraId="2DC450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5914472C">
            <w:pPr>
              <w:jc w:val="center"/>
              <w:rPr>
                <w:rFonts w:eastAsia="仿宋_GB2312"/>
                <w:color w:val="auto"/>
                <w:szCs w:val="21"/>
              </w:rPr>
            </w:pPr>
          </w:p>
        </w:tc>
        <w:tc>
          <w:tcPr>
            <w:tcW w:w="358" w:type="pct"/>
            <w:vMerge w:val="continue"/>
            <w:vAlign w:val="center"/>
          </w:tcPr>
          <w:p w14:paraId="70580C53">
            <w:pPr>
              <w:jc w:val="center"/>
              <w:rPr>
                <w:rFonts w:eastAsia="仿宋_GB2312"/>
                <w:color w:val="auto"/>
                <w:szCs w:val="21"/>
              </w:rPr>
            </w:pPr>
          </w:p>
        </w:tc>
        <w:tc>
          <w:tcPr>
            <w:tcW w:w="418" w:type="pct"/>
            <w:vMerge w:val="continue"/>
            <w:vAlign w:val="center"/>
          </w:tcPr>
          <w:p w14:paraId="213D1D4E">
            <w:pPr>
              <w:jc w:val="center"/>
              <w:rPr>
                <w:rFonts w:eastAsia="仿宋_GB2312"/>
                <w:color w:val="auto"/>
                <w:kern w:val="0"/>
                <w:szCs w:val="21"/>
                <w:lang w:bidi="ar"/>
              </w:rPr>
            </w:pPr>
          </w:p>
        </w:tc>
        <w:tc>
          <w:tcPr>
            <w:tcW w:w="446" w:type="pct"/>
            <w:vMerge w:val="continue"/>
            <w:vAlign w:val="center"/>
          </w:tcPr>
          <w:p w14:paraId="5562E737">
            <w:pPr>
              <w:jc w:val="center"/>
              <w:rPr>
                <w:rFonts w:eastAsia="仿宋_GB2312"/>
                <w:color w:val="auto"/>
                <w:kern w:val="0"/>
                <w:szCs w:val="21"/>
                <w:lang w:bidi="ar"/>
              </w:rPr>
            </w:pPr>
          </w:p>
        </w:tc>
        <w:tc>
          <w:tcPr>
            <w:tcW w:w="361" w:type="pct"/>
            <w:vMerge w:val="continue"/>
            <w:vAlign w:val="center"/>
          </w:tcPr>
          <w:p w14:paraId="38A7D56F">
            <w:pPr>
              <w:jc w:val="center"/>
              <w:rPr>
                <w:rFonts w:eastAsia="仿宋_GB2312"/>
                <w:color w:val="auto"/>
                <w:szCs w:val="21"/>
              </w:rPr>
            </w:pPr>
          </w:p>
        </w:tc>
        <w:tc>
          <w:tcPr>
            <w:tcW w:w="498" w:type="pct"/>
            <w:vMerge w:val="continue"/>
            <w:shd w:val="clear" w:color="auto" w:fill="auto"/>
            <w:vAlign w:val="center"/>
          </w:tcPr>
          <w:p w14:paraId="24EF1965">
            <w:pPr>
              <w:keepNext w:val="0"/>
              <w:keepLines w:val="0"/>
              <w:widowControl/>
              <w:suppressLineNumbers w:val="0"/>
              <w:jc w:val="center"/>
              <w:textAlignment w:val="bottom"/>
              <w:rPr>
                <w:rFonts w:eastAsia="仿宋_GB2312"/>
                <w:color w:val="auto"/>
                <w:kern w:val="0"/>
                <w:szCs w:val="21"/>
                <w:lang w:bidi="ar"/>
              </w:rPr>
            </w:pPr>
          </w:p>
        </w:tc>
        <w:tc>
          <w:tcPr>
            <w:tcW w:w="820" w:type="pct"/>
            <w:shd w:val="clear" w:color="auto" w:fill="auto"/>
            <w:vAlign w:val="center"/>
          </w:tcPr>
          <w:p w14:paraId="733E02B0">
            <w:pPr>
              <w:widowControl/>
              <w:jc w:val="center"/>
              <w:textAlignment w:val="center"/>
              <w:rPr>
                <w:rFonts w:ascii="Times New Roman" w:hAnsi="Times New Roman" w:eastAsia="仿宋_GB2312" w:cs="Times New Roman"/>
                <w:color w:val="auto"/>
                <w:kern w:val="0"/>
                <w:sz w:val="21"/>
                <w:szCs w:val="21"/>
                <w:lang w:val="en-US" w:eastAsia="zh-CN" w:bidi="ar"/>
              </w:rPr>
            </w:pPr>
            <w:r>
              <w:rPr>
                <w:rFonts w:eastAsia="仿宋_GB2312"/>
                <w:color w:val="auto"/>
                <w:kern w:val="0"/>
                <w:szCs w:val="21"/>
                <w:lang w:bidi="ar"/>
              </w:rPr>
              <w:t>苯乙烯</w:t>
            </w:r>
          </w:p>
        </w:tc>
        <w:tc>
          <w:tcPr>
            <w:tcW w:w="380" w:type="pct"/>
            <w:shd w:val="clear" w:color="auto" w:fill="auto"/>
            <w:vAlign w:val="center"/>
          </w:tcPr>
          <w:p w14:paraId="07D12A76">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2.111</w:t>
            </w:r>
          </w:p>
        </w:tc>
        <w:tc>
          <w:tcPr>
            <w:tcW w:w="445" w:type="pct"/>
            <w:shd w:val="clear" w:color="auto" w:fill="auto"/>
            <w:vAlign w:val="center"/>
          </w:tcPr>
          <w:p w14:paraId="02899CC7">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0.988</w:t>
            </w:r>
          </w:p>
        </w:tc>
        <w:tc>
          <w:tcPr>
            <w:tcW w:w="630" w:type="pct"/>
            <w:vMerge w:val="continue"/>
            <w:vAlign w:val="center"/>
          </w:tcPr>
          <w:p w14:paraId="14FF322F">
            <w:pPr>
              <w:jc w:val="center"/>
              <w:rPr>
                <w:rFonts w:eastAsia="仿宋_GB2312"/>
                <w:color w:val="auto"/>
                <w:szCs w:val="21"/>
              </w:rPr>
            </w:pPr>
          </w:p>
        </w:tc>
        <w:tc>
          <w:tcPr>
            <w:tcW w:w="292" w:type="pct"/>
            <w:vMerge w:val="continue"/>
            <w:vAlign w:val="center"/>
          </w:tcPr>
          <w:p w14:paraId="427628F0">
            <w:pPr>
              <w:jc w:val="center"/>
              <w:rPr>
                <w:rFonts w:eastAsia="仿宋_GB2312"/>
                <w:color w:val="auto"/>
                <w:szCs w:val="21"/>
              </w:rPr>
            </w:pPr>
          </w:p>
        </w:tc>
      </w:tr>
      <w:tr w14:paraId="7FAD94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24B77743">
            <w:pPr>
              <w:jc w:val="center"/>
              <w:rPr>
                <w:rFonts w:eastAsia="仿宋_GB2312"/>
                <w:color w:val="auto"/>
                <w:szCs w:val="21"/>
              </w:rPr>
            </w:pPr>
          </w:p>
        </w:tc>
        <w:tc>
          <w:tcPr>
            <w:tcW w:w="358" w:type="pct"/>
            <w:vMerge w:val="continue"/>
            <w:vAlign w:val="center"/>
          </w:tcPr>
          <w:p w14:paraId="34EAC7EF">
            <w:pPr>
              <w:jc w:val="center"/>
              <w:rPr>
                <w:rFonts w:eastAsia="仿宋_GB2312"/>
                <w:color w:val="auto"/>
                <w:szCs w:val="21"/>
              </w:rPr>
            </w:pPr>
          </w:p>
        </w:tc>
        <w:tc>
          <w:tcPr>
            <w:tcW w:w="418" w:type="pct"/>
            <w:vMerge w:val="continue"/>
            <w:vAlign w:val="center"/>
          </w:tcPr>
          <w:p w14:paraId="5C587211">
            <w:pPr>
              <w:jc w:val="center"/>
              <w:rPr>
                <w:rFonts w:eastAsia="仿宋_GB2312"/>
                <w:color w:val="auto"/>
                <w:szCs w:val="21"/>
              </w:rPr>
            </w:pPr>
          </w:p>
        </w:tc>
        <w:tc>
          <w:tcPr>
            <w:tcW w:w="446" w:type="pct"/>
            <w:vMerge w:val="continue"/>
            <w:vAlign w:val="center"/>
          </w:tcPr>
          <w:p w14:paraId="7C09E264">
            <w:pPr>
              <w:jc w:val="center"/>
              <w:rPr>
                <w:rFonts w:eastAsia="仿宋_GB2312"/>
                <w:color w:val="auto"/>
                <w:szCs w:val="21"/>
              </w:rPr>
            </w:pPr>
          </w:p>
        </w:tc>
        <w:tc>
          <w:tcPr>
            <w:tcW w:w="361" w:type="pct"/>
            <w:vMerge w:val="continue"/>
            <w:vAlign w:val="center"/>
          </w:tcPr>
          <w:p w14:paraId="4F86FACA">
            <w:pPr>
              <w:jc w:val="center"/>
              <w:rPr>
                <w:rFonts w:eastAsia="仿宋_GB2312"/>
                <w:color w:val="auto"/>
                <w:szCs w:val="21"/>
              </w:rPr>
            </w:pPr>
          </w:p>
        </w:tc>
        <w:tc>
          <w:tcPr>
            <w:tcW w:w="498" w:type="pct"/>
            <w:vMerge w:val="continue"/>
            <w:shd w:val="clear" w:color="auto" w:fill="auto"/>
            <w:vAlign w:val="center"/>
          </w:tcPr>
          <w:p w14:paraId="3D03BBAB">
            <w:pPr>
              <w:keepNext w:val="0"/>
              <w:keepLines w:val="0"/>
              <w:widowControl/>
              <w:suppressLineNumbers w:val="0"/>
              <w:jc w:val="center"/>
              <w:textAlignment w:val="bottom"/>
              <w:rPr>
                <w:rFonts w:eastAsia="仿宋_GB2312"/>
                <w:color w:val="auto"/>
                <w:kern w:val="0"/>
                <w:szCs w:val="21"/>
                <w:lang w:val="zh-CN"/>
              </w:rPr>
            </w:pPr>
          </w:p>
        </w:tc>
        <w:tc>
          <w:tcPr>
            <w:tcW w:w="820" w:type="pct"/>
            <w:shd w:val="clear" w:color="auto" w:fill="auto"/>
            <w:vAlign w:val="center"/>
          </w:tcPr>
          <w:p w14:paraId="193DA871">
            <w:pPr>
              <w:widowControl/>
              <w:jc w:val="center"/>
              <w:textAlignment w:val="center"/>
              <w:rPr>
                <w:rFonts w:ascii="Times New Roman" w:hAnsi="Times New Roman" w:eastAsia="仿宋_GB2312" w:cs="Times New Roman"/>
                <w:color w:val="auto"/>
                <w:kern w:val="0"/>
                <w:sz w:val="21"/>
                <w:szCs w:val="21"/>
                <w:lang w:val="en-US" w:eastAsia="zh-CN" w:bidi="ar"/>
              </w:rPr>
            </w:pPr>
            <w:r>
              <w:rPr>
                <w:rFonts w:eastAsia="仿宋_GB2312"/>
                <w:color w:val="auto"/>
                <w:kern w:val="0"/>
                <w:szCs w:val="21"/>
                <w:lang w:val="zh-CN"/>
              </w:rPr>
              <w:t>2-异丙基-1-甲氧基-4-甲基苯</w:t>
            </w:r>
          </w:p>
        </w:tc>
        <w:tc>
          <w:tcPr>
            <w:tcW w:w="380" w:type="pct"/>
            <w:shd w:val="clear" w:color="auto" w:fill="auto"/>
            <w:vAlign w:val="center"/>
          </w:tcPr>
          <w:p w14:paraId="7BEC8845">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0.004</w:t>
            </w:r>
          </w:p>
        </w:tc>
        <w:tc>
          <w:tcPr>
            <w:tcW w:w="445" w:type="pct"/>
            <w:shd w:val="clear" w:color="auto" w:fill="auto"/>
            <w:vAlign w:val="center"/>
          </w:tcPr>
          <w:p w14:paraId="3CD8C8BD">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bidi="ar"/>
              </w:rPr>
              <w:t>0.0</w:t>
            </w:r>
            <w:r>
              <w:rPr>
                <w:rFonts w:hint="eastAsia" w:eastAsia="仿宋_GB2312"/>
                <w:color w:val="auto"/>
                <w:kern w:val="0"/>
                <w:szCs w:val="21"/>
                <w:lang w:val="en-US" w:eastAsia="zh-CN" w:bidi="ar"/>
              </w:rPr>
              <w:t>02</w:t>
            </w:r>
          </w:p>
        </w:tc>
        <w:tc>
          <w:tcPr>
            <w:tcW w:w="630" w:type="pct"/>
            <w:vMerge w:val="continue"/>
            <w:vAlign w:val="center"/>
          </w:tcPr>
          <w:p w14:paraId="599DC64C">
            <w:pPr>
              <w:jc w:val="center"/>
              <w:rPr>
                <w:rFonts w:eastAsia="仿宋_GB2312"/>
                <w:color w:val="auto"/>
                <w:szCs w:val="21"/>
              </w:rPr>
            </w:pPr>
          </w:p>
        </w:tc>
        <w:tc>
          <w:tcPr>
            <w:tcW w:w="292" w:type="pct"/>
            <w:vMerge w:val="continue"/>
            <w:vAlign w:val="center"/>
          </w:tcPr>
          <w:p w14:paraId="570159BE">
            <w:pPr>
              <w:jc w:val="center"/>
              <w:rPr>
                <w:rFonts w:eastAsia="仿宋_GB2312"/>
                <w:color w:val="auto"/>
                <w:szCs w:val="21"/>
              </w:rPr>
            </w:pPr>
          </w:p>
        </w:tc>
      </w:tr>
      <w:tr w14:paraId="14568C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0CD247EF">
            <w:pPr>
              <w:jc w:val="center"/>
              <w:rPr>
                <w:rFonts w:eastAsia="仿宋_GB2312"/>
                <w:color w:val="auto"/>
                <w:szCs w:val="21"/>
              </w:rPr>
            </w:pPr>
          </w:p>
        </w:tc>
        <w:tc>
          <w:tcPr>
            <w:tcW w:w="358" w:type="pct"/>
            <w:vMerge w:val="continue"/>
            <w:vAlign w:val="center"/>
          </w:tcPr>
          <w:p w14:paraId="26B2A227">
            <w:pPr>
              <w:jc w:val="center"/>
              <w:rPr>
                <w:rFonts w:eastAsia="仿宋_GB2312"/>
                <w:color w:val="auto"/>
                <w:szCs w:val="21"/>
              </w:rPr>
            </w:pPr>
          </w:p>
        </w:tc>
        <w:tc>
          <w:tcPr>
            <w:tcW w:w="418" w:type="pct"/>
            <w:vMerge w:val="continue"/>
            <w:vAlign w:val="center"/>
          </w:tcPr>
          <w:p w14:paraId="0D4AEB8D">
            <w:pPr>
              <w:jc w:val="center"/>
              <w:rPr>
                <w:rFonts w:eastAsia="仿宋_GB2312"/>
                <w:color w:val="auto"/>
                <w:szCs w:val="21"/>
              </w:rPr>
            </w:pPr>
          </w:p>
        </w:tc>
        <w:tc>
          <w:tcPr>
            <w:tcW w:w="446" w:type="pct"/>
            <w:vMerge w:val="continue"/>
            <w:vAlign w:val="center"/>
          </w:tcPr>
          <w:p w14:paraId="44A8AB3A">
            <w:pPr>
              <w:jc w:val="center"/>
              <w:rPr>
                <w:rFonts w:eastAsia="仿宋_GB2312"/>
                <w:color w:val="auto"/>
                <w:szCs w:val="21"/>
              </w:rPr>
            </w:pPr>
          </w:p>
        </w:tc>
        <w:tc>
          <w:tcPr>
            <w:tcW w:w="361" w:type="pct"/>
            <w:vMerge w:val="continue"/>
            <w:vAlign w:val="center"/>
          </w:tcPr>
          <w:p w14:paraId="13ACA805">
            <w:pPr>
              <w:jc w:val="center"/>
              <w:rPr>
                <w:rFonts w:eastAsia="仿宋_GB2312"/>
                <w:color w:val="auto"/>
                <w:szCs w:val="21"/>
              </w:rPr>
            </w:pPr>
          </w:p>
        </w:tc>
        <w:tc>
          <w:tcPr>
            <w:tcW w:w="498" w:type="pct"/>
            <w:vMerge w:val="continue"/>
            <w:shd w:val="clear" w:color="auto" w:fill="auto"/>
            <w:vAlign w:val="center"/>
          </w:tcPr>
          <w:p w14:paraId="6D8E6702">
            <w:pPr>
              <w:keepNext w:val="0"/>
              <w:keepLines w:val="0"/>
              <w:widowControl/>
              <w:suppressLineNumbers w:val="0"/>
              <w:jc w:val="center"/>
              <w:textAlignment w:val="bottom"/>
              <w:rPr>
                <w:rFonts w:eastAsia="仿宋_GB2312"/>
                <w:color w:val="auto"/>
                <w:kern w:val="0"/>
                <w:szCs w:val="21"/>
                <w:lang w:bidi="ar"/>
              </w:rPr>
            </w:pPr>
          </w:p>
        </w:tc>
        <w:tc>
          <w:tcPr>
            <w:tcW w:w="820" w:type="pct"/>
            <w:shd w:val="clear" w:color="auto" w:fill="auto"/>
            <w:vAlign w:val="center"/>
          </w:tcPr>
          <w:p w14:paraId="58A370D0">
            <w:pPr>
              <w:widowControl/>
              <w:jc w:val="center"/>
              <w:textAlignment w:val="center"/>
              <w:rPr>
                <w:rFonts w:ascii="Times New Roman" w:hAnsi="Times New Roman" w:eastAsia="仿宋_GB2312" w:cs="Times New Roman"/>
                <w:b/>
                <w:bCs/>
                <w:color w:val="auto"/>
                <w:kern w:val="0"/>
                <w:sz w:val="21"/>
                <w:szCs w:val="21"/>
                <w:lang w:val="en-US" w:eastAsia="zh-CN" w:bidi="ar"/>
              </w:rPr>
            </w:pPr>
            <w:r>
              <w:rPr>
                <w:rFonts w:eastAsia="仿宋_GB2312"/>
                <w:color w:val="auto"/>
                <w:kern w:val="0"/>
                <w:szCs w:val="21"/>
                <w:lang w:bidi="ar"/>
              </w:rPr>
              <w:t>其他有机物</w:t>
            </w:r>
          </w:p>
        </w:tc>
        <w:tc>
          <w:tcPr>
            <w:tcW w:w="380" w:type="pct"/>
            <w:shd w:val="clear" w:color="auto" w:fill="auto"/>
            <w:vAlign w:val="center"/>
          </w:tcPr>
          <w:p w14:paraId="5E463B5B">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0.177</w:t>
            </w:r>
          </w:p>
        </w:tc>
        <w:tc>
          <w:tcPr>
            <w:tcW w:w="445" w:type="pct"/>
            <w:shd w:val="clear" w:color="auto" w:fill="auto"/>
            <w:vAlign w:val="center"/>
          </w:tcPr>
          <w:p w14:paraId="1A54DC35">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0.083</w:t>
            </w:r>
          </w:p>
        </w:tc>
        <w:tc>
          <w:tcPr>
            <w:tcW w:w="630" w:type="pct"/>
            <w:vMerge w:val="continue"/>
            <w:vAlign w:val="center"/>
          </w:tcPr>
          <w:p w14:paraId="634FBC57">
            <w:pPr>
              <w:jc w:val="center"/>
              <w:rPr>
                <w:rFonts w:eastAsia="仿宋_GB2312"/>
                <w:color w:val="auto"/>
                <w:szCs w:val="21"/>
              </w:rPr>
            </w:pPr>
          </w:p>
        </w:tc>
        <w:tc>
          <w:tcPr>
            <w:tcW w:w="292" w:type="pct"/>
            <w:vMerge w:val="continue"/>
            <w:vAlign w:val="center"/>
          </w:tcPr>
          <w:p w14:paraId="6F3D329C">
            <w:pPr>
              <w:jc w:val="center"/>
              <w:rPr>
                <w:rFonts w:eastAsia="仿宋_GB2312"/>
                <w:color w:val="auto"/>
                <w:szCs w:val="21"/>
              </w:rPr>
            </w:pPr>
          </w:p>
        </w:tc>
      </w:tr>
      <w:tr w14:paraId="725188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7756A8D8">
            <w:pPr>
              <w:jc w:val="center"/>
              <w:rPr>
                <w:rFonts w:eastAsia="仿宋_GB2312"/>
                <w:color w:val="auto"/>
                <w:szCs w:val="21"/>
              </w:rPr>
            </w:pPr>
          </w:p>
        </w:tc>
        <w:tc>
          <w:tcPr>
            <w:tcW w:w="358" w:type="pct"/>
            <w:vMerge w:val="continue"/>
            <w:vAlign w:val="center"/>
          </w:tcPr>
          <w:p w14:paraId="448B32C2">
            <w:pPr>
              <w:jc w:val="center"/>
              <w:rPr>
                <w:rFonts w:eastAsia="仿宋_GB2312"/>
                <w:color w:val="auto"/>
                <w:szCs w:val="21"/>
              </w:rPr>
            </w:pPr>
          </w:p>
        </w:tc>
        <w:tc>
          <w:tcPr>
            <w:tcW w:w="418" w:type="pct"/>
            <w:vMerge w:val="restart"/>
            <w:vAlign w:val="center"/>
          </w:tcPr>
          <w:p w14:paraId="7C97083F">
            <w:pPr>
              <w:jc w:val="center"/>
              <w:rPr>
                <w:rFonts w:eastAsia="仿宋_GB2312"/>
                <w:color w:val="auto"/>
                <w:szCs w:val="21"/>
              </w:rPr>
            </w:pPr>
            <w:r>
              <w:rPr>
                <w:rFonts w:eastAsia="仿宋_GB2312"/>
                <w:color w:val="auto"/>
                <w:kern w:val="0"/>
                <w:szCs w:val="21"/>
                <w:lang w:bidi="ar"/>
              </w:rPr>
              <w:t>G</w:t>
            </w:r>
            <w:r>
              <w:rPr>
                <w:rFonts w:hint="eastAsia" w:eastAsia="仿宋_GB2312"/>
                <w:color w:val="auto"/>
                <w:kern w:val="0"/>
                <w:szCs w:val="21"/>
                <w:lang w:val="en-US" w:eastAsia="zh-CN" w:bidi="ar"/>
              </w:rPr>
              <w:t>2</w:t>
            </w:r>
            <w:r>
              <w:rPr>
                <w:rFonts w:eastAsia="仿宋_GB2312"/>
                <w:color w:val="auto"/>
                <w:kern w:val="0"/>
                <w:szCs w:val="21"/>
                <w:lang w:bidi="ar"/>
              </w:rPr>
              <w:t>-</w:t>
            </w:r>
            <w:r>
              <w:rPr>
                <w:rFonts w:hint="eastAsia" w:eastAsia="仿宋_GB2312"/>
                <w:color w:val="auto"/>
                <w:kern w:val="0"/>
                <w:szCs w:val="21"/>
                <w:lang w:val="en-US" w:eastAsia="zh-CN" w:bidi="ar"/>
              </w:rPr>
              <w:t>8</w:t>
            </w:r>
            <w:r>
              <w:rPr>
                <w:rFonts w:eastAsia="仿宋_GB2312"/>
                <w:color w:val="auto"/>
                <w:kern w:val="0"/>
                <w:szCs w:val="21"/>
                <w:lang w:bidi="ar"/>
              </w:rPr>
              <w:t>-4</w:t>
            </w:r>
          </w:p>
        </w:tc>
        <w:tc>
          <w:tcPr>
            <w:tcW w:w="446" w:type="pct"/>
            <w:vMerge w:val="restart"/>
            <w:vAlign w:val="center"/>
          </w:tcPr>
          <w:p w14:paraId="1EB782E9">
            <w:pPr>
              <w:jc w:val="center"/>
              <w:rPr>
                <w:rFonts w:eastAsia="仿宋_GB2312"/>
                <w:color w:val="auto"/>
                <w:szCs w:val="21"/>
              </w:rPr>
            </w:pPr>
            <w:r>
              <w:rPr>
                <w:rFonts w:eastAsia="仿宋_GB2312"/>
                <w:color w:val="auto"/>
                <w:kern w:val="0"/>
                <w:szCs w:val="21"/>
                <w:lang w:bidi="ar"/>
              </w:rPr>
              <w:t>不凝气</w:t>
            </w:r>
          </w:p>
        </w:tc>
        <w:tc>
          <w:tcPr>
            <w:tcW w:w="361" w:type="pct"/>
            <w:vMerge w:val="restart"/>
            <w:vAlign w:val="center"/>
          </w:tcPr>
          <w:p w14:paraId="4419B156">
            <w:pPr>
              <w:jc w:val="center"/>
              <w:rPr>
                <w:rFonts w:eastAsia="仿宋_GB2312"/>
                <w:color w:val="auto"/>
                <w:szCs w:val="21"/>
              </w:rPr>
            </w:pPr>
            <w:r>
              <w:rPr>
                <w:rFonts w:eastAsia="仿宋_GB2312"/>
                <w:color w:val="auto"/>
                <w:szCs w:val="21"/>
              </w:rPr>
              <w:t>360</w:t>
            </w:r>
          </w:p>
        </w:tc>
        <w:tc>
          <w:tcPr>
            <w:tcW w:w="498" w:type="pct"/>
            <w:vMerge w:val="restart"/>
            <w:shd w:val="clear" w:color="auto" w:fill="auto"/>
            <w:vAlign w:val="center"/>
          </w:tcPr>
          <w:p w14:paraId="1979F4A4">
            <w:pPr>
              <w:keepNext w:val="0"/>
              <w:keepLines w:val="0"/>
              <w:widowControl/>
              <w:suppressLineNumbers w:val="0"/>
              <w:jc w:val="center"/>
              <w:textAlignment w:val="bottom"/>
              <w:rPr>
                <w:rFonts w:eastAsia="仿宋_GB2312"/>
                <w:color w:val="auto"/>
                <w:kern w:val="0"/>
                <w:szCs w:val="21"/>
                <w:lang w:bidi="ar"/>
              </w:rPr>
            </w:pPr>
            <w:r>
              <w:rPr>
                <w:rFonts w:hint="default" w:ascii="Times New Roman" w:hAnsi="Times New Roman" w:eastAsia="宋体" w:cs="Times New Roman"/>
                <w:i w:val="0"/>
                <w:iCs w:val="0"/>
                <w:color w:val="auto"/>
                <w:kern w:val="0"/>
                <w:sz w:val="21"/>
                <w:szCs w:val="21"/>
                <w:u w:val="none"/>
                <w:lang w:val="en-US" w:eastAsia="zh-CN" w:bidi="ar"/>
              </w:rPr>
              <w:t>468</w:t>
            </w:r>
          </w:p>
        </w:tc>
        <w:tc>
          <w:tcPr>
            <w:tcW w:w="820" w:type="pct"/>
            <w:shd w:val="clear" w:color="auto" w:fill="auto"/>
            <w:vAlign w:val="center"/>
          </w:tcPr>
          <w:p w14:paraId="766C1A54">
            <w:pPr>
              <w:widowControl/>
              <w:jc w:val="center"/>
              <w:textAlignment w:val="center"/>
              <w:rPr>
                <w:rFonts w:ascii="Times New Roman" w:hAnsi="Times New Roman" w:eastAsia="仿宋_GB2312" w:cs="Times New Roman"/>
                <w:b/>
                <w:bCs/>
                <w:color w:val="auto"/>
                <w:kern w:val="0"/>
                <w:sz w:val="21"/>
                <w:szCs w:val="21"/>
                <w:lang w:val="en-US" w:eastAsia="zh-CN" w:bidi="ar"/>
              </w:rPr>
            </w:pPr>
            <w:r>
              <w:rPr>
                <w:rFonts w:eastAsia="仿宋_GB2312"/>
                <w:color w:val="auto"/>
                <w:kern w:val="0"/>
                <w:szCs w:val="21"/>
                <w:lang w:bidi="ar"/>
              </w:rPr>
              <w:t>碳九</w:t>
            </w:r>
          </w:p>
        </w:tc>
        <w:tc>
          <w:tcPr>
            <w:tcW w:w="380" w:type="pct"/>
            <w:shd w:val="clear" w:color="auto" w:fill="auto"/>
            <w:vAlign w:val="center"/>
          </w:tcPr>
          <w:p w14:paraId="02395479">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0.032</w:t>
            </w:r>
          </w:p>
        </w:tc>
        <w:tc>
          <w:tcPr>
            <w:tcW w:w="445" w:type="pct"/>
            <w:shd w:val="clear" w:color="auto" w:fill="auto"/>
            <w:vAlign w:val="center"/>
          </w:tcPr>
          <w:p w14:paraId="6DEB672F">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0.015</w:t>
            </w:r>
          </w:p>
        </w:tc>
        <w:tc>
          <w:tcPr>
            <w:tcW w:w="630" w:type="pct"/>
            <w:vMerge w:val="continue"/>
            <w:vAlign w:val="center"/>
          </w:tcPr>
          <w:p w14:paraId="2624D124">
            <w:pPr>
              <w:jc w:val="center"/>
              <w:rPr>
                <w:rFonts w:eastAsia="仿宋_GB2312"/>
                <w:color w:val="auto"/>
                <w:szCs w:val="21"/>
              </w:rPr>
            </w:pPr>
          </w:p>
        </w:tc>
        <w:tc>
          <w:tcPr>
            <w:tcW w:w="292" w:type="pct"/>
            <w:vMerge w:val="continue"/>
            <w:vAlign w:val="center"/>
          </w:tcPr>
          <w:p w14:paraId="4DFEFFCF">
            <w:pPr>
              <w:jc w:val="center"/>
              <w:rPr>
                <w:rFonts w:eastAsia="仿宋_GB2312"/>
                <w:color w:val="auto"/>
                <w:szCs w:val="21"/>
              </w:rPr>
            </w:pPr>
          </w:p>
        </w:tc>
      </w:tr>
      <w:tr w14:paraId="3D8275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2E475742">
            <w:pPr>
              <w:jc w:val="center"/>
              <w:rPr>
                <w:rFonts w:eastAsia="仿宋_GB2312"/>
                <w:color w:val="auto"/>
                <w:szCs w:val="21"/>
              </w:rPr>
            </w:pPr>
          </w:p>
        </w:tc>
        <w:tc>
          <w:tcPr>
            <w:tcW w:w="358" w:type="pct"/>
            <w:vMerge w:val="continue"/>
            <w:vAlign w:val="center"/>
          </w:tcPr>
          <w:p w14:paraId="2ED464C0">
            <w:pPr>
              <w:jc w:val="center"/>
              <w:rPr>
                <w:rFonts w:eastAsia="仿宋_GB2312"/>
                <w:color w:val="auto"/>
                <w:szCs w:val="21"/>
              </w:rPr>
            </w:pPr>
          </w:p>
        </w:tc>
        <w:tc>
          <w:tcPr>
            <w:tcW w:w="418" w:type="pct"/>
            <w:vMerge w:val="continue"/>
            <w:vAlign w:val="center"/>
          </w:tcPr>
          <w:p w14:paraId="1CFB95D7">
            <w:pPr>
              <w:jc w:val="center"/>
              <w:rPr>
                <w:rFonts w:eastAsia="仿宋_GB2312"/>
                <w:color w:val="auto"/>
                <w:kern w:val="0"/>
                <w:szCs w:val="21"/>
                <w:lang w:bidi="ar"/>
              </w:rPr>
            </w:pPr>
          </w:p>
        </w:tc>
        <w:tc>
          <w:tcPr>
            <w:tcW w:w="446" w:type="pct"/>
            <w:vMerge w:val="continue"/>
            <w:vAlign w:val="center"/>
          </w:tcPr>
          <w:p w14:paraId="1683E981">
            <w:pPr>
              <w:jc w:val="center"/>
              <w:rPr>
                <w:rFonts w:eastAsia="仿宋_GB2312"/>
                <w:color w:val="auto"/>
                <w:kern w:val="0"/>
                <w:szCs w:val="21"/>
                <w:lang w:bidi="ar"/>
              </w:rPr>
            </w:pPr>
          </w:p>
        </w:tc>
        <w:tc>
          <w:tcPr>
            <w:tcW w:w="361" w:type="pct"/>
            <w:vMerge w:val="continue"/>
            <w:vAlign w:val="center"/>
          </w:tcPr>
          <w:p w14:paraId="623C3CBC">
            <w:pPr>
              <w:jc w:val="center"/>
              <w:rPr>
                <w:rFonts w:eastAsia="仿宋_GB2312"/>
                <w:color w:val="auto"/>
                <w:szCs w:val="21"/>
              </w:rPr>
            </w:pPr>
          </w:p>
        </w:tc>
        <w:tc>
          <w:tcPr>
            <w:tcW w:w="498" w:type="pct"/>
            <w:vMerge w:val="continue"/>
            <w:shd w:val="clear" w:color="auto" w:fill="auto"/>
            <w:vAlign w:val="center"/>
          </w:tcPr>
          <w:p w14:paraId="53257B3E">
            <w:pPr>
              <w:keepNext w:val="0"/>
              <w:keepLines w:val="0"/>
              <w:widowControl/>
              <w:suppressLineNumbers w:val="0"/>
              <w:jc w:val="center"/>
              <w:textAlignment w:val="bottom"/>
              <w:rPr>
                <w:rFonts w:eastAsia="仿宋_GB2312"/>
                <w:color w:val="auto"/>
                <w:kern w:val="0"/>
                <w:szCs w:val="21"/>
                <w:lang w:bidi="ar"/>
              </w:rPr>
            </w:pPr>
          </w:p>
        </w:tc>
        <w:tc>
          <w:tcPr>
            <w:tcW w:w="820" w:type="pct"/>
            <w:shd w:val="clear" w:color="auto" w:fill="auto"/>
            <w:vAlign w:val="center"/>
          </w:tcPr>
          <w:p w14:paraId="064D5A26">
            <w:pPr>
              <w:widowControl/>
              <w:jc w:val="center"/>
              <w:textAlignment w:val="center"/>
              <w:rPr>
                <w:rFonts w:ascii="Times New Roman" w:hAnsi="Times New Roman" w:eastAsia="仿宋_GB2312" w:cs="Times New Roman"/>
                <w:color w:val="auto"/>
                <w:kern w:val="0"/>
                <w:sz w:val="21"/>
                <w:szCs w:val="21"/>
                <w:lang w:val="en-US" w:eastAsia="zh-CN" w:bidi="ar"/>
              </w:rPr>
            </w:pPr>
            <w:r>
              <w:rPr>
                <w:rFonts w:eastAsia="仿宋_GB2312"/>
                <w:color w:val="auto"/>
                <w:kern w:val="0"/>
                <w:szCs w:val="21"/>
                <w:lang w:bidi="ar"/>
              </w:rPr>
              <w:t>苯乙烯</w:t>
            </w:r>
          </w:p>
        </w:tc>
        <w:tc>
          <w:tcPr>
            <w:tcW w:w="380" w:type="pct"/>
            <w:shd w:val="clear" w:color="auto" w:fill="auto"/>
            <w:vAlign w:val="center"/>
          </w:tcPr>
          <w:p w14:paraId="524D8ED0">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0.038</w:t>
            </w:r>
          </w:p>
        </w:tc>
        <w:tc>
          <w:tcPr>
            <w:tcW w:w="445" w:type="pct"/>
            <w:shd w:val="clear" w:color="auto" w:fill="auto"/>
            <w:vAlign w:val="center"/>
          </w:tcPr>
          <w:p w14:paraId="44603DCD">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0.018</w:t>
            </w:r>
          </w:p>
        </w:tc>
        <w:tc>
          <w:tcPr>
            <w:tcW w:w="630" w:type="pct"/>
            <w:vMerge w:val="continue"/>
            <w:vAlign w:val="center"/>
          </w:tcPr>
          <w:p w14:paraId="2BF28A7F">
            <w:pPr>
              <w:jc w:val="center"/>
              <w:rPr>
                <w:rFonts w:eastAsia="仿宋_GB2312"/>
                <w:color w:val="auto"/>
                <w:szCs w:val="21"/>
              </w:rPr>
            </w:pPr>
          </w:p>
        </w:tc>
        <w:tc>
          <w:tcPr>
            <w:tcW w:w="292" w:type="pct"/>
            <w:vMerge w:val="continue"/>
            <w:vAlign w:val="center"/>
          </w:tcPr>
          <w:p w14:paraId="77441515">
            <w:pPr>
              <w:jc w:val="center"/>
              <w:rPr>
                <w:rFonts w:eastAsia="仿宋_GB2312"/>
                <w:color w:val="auto"/>
                <w:szCs w:val="21"/>
              </w:rPr>
            </w:pPr>
          </w:p>
        </w:tc>
      </w:tr>
      <w:tr w14:paraId="53FB08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74D0873D">
            <w:pPr>
              <w:jc w:val="center"/>
              <w:rPr>
                <w:rFonts w:eastAsia="仿宋_GB2312"/>
                <w:color w:val="auto"/>
                <w:szCs w:val="21"/>
              </w:rPr>
            </w:pPr>
          </w:p>
        </w:tc>
        <w:tc>
          <w:tcPr>
            <w:tcW w:w="358" w:type="pct"/>
            <w:vMerge w:val="continue"/>
            <w:vAlign w:val="center"/>
          </w:tcPr>
          <w:p w14:paraId="3A986389">
            <w:pPr>
              <w:jc w:val="center"/>
              <w:rPr>
                <w:rFonts w:eastAsia="仿宋_GB2312"/>
                <w:color w:val="auto"/>
                <w:szCs w:val="21"/>
              </w:rPr>
            </w:pPr>
          </w:p>
        </w:tc>
        <w:tc>
          <w:tcPr>
            <w:tcW w:w="418" w:type="pct"/>
            <w:vMerge w:val="continue"/>
            <w:vAlign w:val="center"/>
          </w:tcPr>
          <w:p w14:paraId="222B1114">
            <w:pPr>
              <w:jc w:val="center"/>
              <w:rPr>
                <w:rFonts w:eastAsia="仿宋_GB2312"/>
                <w:color w:val="auto"/>
                <w:szCs w:val="21"/>
              </w:rPr>
            </w:pPr>
          </w:p>
        </w:tc>
        <w:tc>
          <w:tcPr>
            <w:tcW w:w="446" w:type="pct"/>
            <w:vMerge w:val="continue"/>
            <w:vAlign w:val="center"/>
          </w:tcPr>
          <w:p w14:paraId="7E3BCAA0">
            <w:pPr>
              <w:jc w:val="center"/>
              <w:rPr>
                <w:rFonts w:eastAsia="仿宋_GB2312"/>
                <w:color w:val="auto"/>
                <w:szCs w:val="21"/>
              </w:rPr>
            </w:pPr>
          </w:p>
        </w:tc>
        <w:tc>
          <w:tcPr>
            <w:tcW w:w="361" w:type="pct"/>
            <w:vMerge w:val="continue"/>
            <w:vAlign w:val="center"/>
          </w:tcPr>
          <w:p w14:paraId="7BD5ABCC">
            <w:pPr>
              <w:jc w:val="center"/>
              <w:rPr>
                <w:rFonts w:eastAsia="仿宋_GB2312"/>
                <w:color w:val="auto"/>
                <w:szCs w:val="21"/>
              </w:rPr>
            </w:pPr>
          </w:p>
        </w:tc>
        <w:tc>
          <w:tcPr>
            <w:tcW w:w="498" w:type="pct"/>
            <w:vMerge w:val="continue"/>
            <w:shd w:val="clear" w:color="auto" w:fill="auto"/>
            <w:vAlign w:val="center"/>
          </w:tcPr>
          <w:p w14:paraId="58FDB9B8">
            <w:pPr>
              <w:keepNext w:val="0"/>
              <w:keepLines w:val="0"/>
              <w:widowControl/>
              <w:suppressLineNumbers w:val="0"/>
              <w:jc w:val="center"/>
              <w:textAlignment w:val="bottom"/>
              <w:rPr>
                <w:rFonts w:eastAsia="仿宋_GB2312"/>
                <w:color w:val="auto"/>
                <w:kern w:val="0"/>
                <w:szCs w:val="21"/>
                <w:lang w:val="zh-CN"/>
              </w:rPr>
            </w:pPr>
          </w:p>
        </w:tc>
        <w:tc>
          <w:tcPr>
            <w:tcW w:w="820" w:type="pct"/>
            <w:shd w:val="clear" w:color="auto" w:fill="auto"/>
            <w:vAlign w:val="center"/>
          </w:tcPr>
          <w:p w14:paraId="71AFB0F6">
            <w:pPr>
              <w:widowControl/>
              <w:jc w:val="center"/>
              <w:textAlignment w:val="center"/>
              <w:rPr>
                <w:rFonts w:ascii="Times New Roman" w:hAnsi="Times New Roman" w:eastAsia="仿宋_GB2312" w:cs="Times New Roman"/>
                <w:color w:val="auto"/>
                <w:kern w:val="0"/>
                <w:sz w:val="21"/>
                <w:szCs w:val="21"/>
                <w:lang w:val="en-US" w:eastAsia="zh-CN" w:bidi="ar"/>
              </w:rPr>
            </w:pPr>
            <w:r>
              <w:rPr>
                <w:rFonts w:eastAsia="仿宋_GB2312"/>
                <w:color w:val="auto"/>
                <w:kern w:val="0"/>
                <w:szCs w:val="21"/>
                <w:lang w:val="zh-CN"/>
              </w:rPr>
              <w:t>2-异丙基-1-甲氧基-4-甲基苯</w:t>
            </w:r>
          </w:p>
        </w:tc>
        <w:tc>
          <w:tcPr>
            <w:tcW w:w="380" w:type="pct"/>
            <w:shd w:val="clear" w:color="auto" w:fill="auto"/>
            <w:vAlign w:val="center"/>
          </w:tcPr>
          <w:p w14:paraId="2F9C0F36">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0.091</w:t>
            </w:r>
          </w:p>
        </w:tc>
        <w:tc>
          <w:tcPr>
            <w:tcW w:w="445" w:type="pct"/>
            <w:shd w:val="clear" w:color="auto" w:fill="auto"/>
            <w:vAlign w:val="center"/>
          </w:tcPr>
          <w:p w14:paraId="195AEC98">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0.043</w:t>
            </w:r>
          </w:p>
        </w:tc>
        <w:tc>
          <w:tcPr>
            <w:tcW w:w="630" w:type="pct"/>
            <w:vMerge w:val="continue"/>
            <w:vAlign w:val="center"/>
          </w:tcPr>
          <w:p w14:paraId="3FE678CD">
            <w:pPr>
              <w:jc w:val="center"/>
              <w:rPr>
                <w:rFonts w:eastAsia="仿宋_GB2312"/>
                <w:color w:val="auto"/>
                <w:szCs w:val="21"/>
              </w:rPr>
            </w:pPr>
          </w:p>
        </w:tc>
        <w:tc>
          <w:tcPr>
            <w:tcW w:w="292" w:type="pct"/>
            <w:vMerge w:val="continue"/>
            <w:vAlign w:val="center"/>
          </w:tcPr>
          <w:p w14:paraId="2E4C89F2">
            <w:pPr>
              <w:jc w:val="center"/>
              <w:rPr>
                <w:rFonts w:eastAsia="仿宋_GB2312"/>
                <w:color w:val="auto"/>
                <w:szCs w:val="21"/>
              </w:rPr>
            </w:pPr>
          </w:p>
        </w:tc>
      </w:tr>
      <w:tr w14:paraId="2BC9A3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01918D9F">
            <w:pPr>
              <w:jc w:val="center"/>
              <w:rPr>
                <w:rFonts w:eastAsia="仿宋_GB2312"/>
                <w:color w:val="auto"/>
                <w:szCs w:val="21"/>
              </w:rPr>
            </w:pPr>
          </w:p>
        </w:tc>
        <w:tc>
          <w:tcPr>
            <w:tcW w:w="358" w:type="pct"/>
            <w:vMerge w:val="continue"/>
            <w:vAlign w:val="center"/>
          </w:tcPr>
          <w:p w14:paraId="62106765">
            <w:pPr>
              <w:jc w:val="center"/>
              <w:rPr>
                <w:rFonts w:eastAsia="仿宋_GB2312"/>
                <w:color w:val="auto"/>
                <w:szCs w:val="21"/>
              </w:rPr>
            </w:pPr>
          </w:p>
        </w:tc>
        <w:tc>
          <w:tcPr>
            <w:tcW w:w="418" w:type="pct"/>
            <w:vMerge w:val="continue"/>
            <w:vAlign w:val="center"/>
          </w:tcPr>
          <w:p w14:paraId="233DD7B2">
            <w:pPr>
              <w:jc w:val="center"/>
              <w:rPr>
                <w:rFonts w:eastAsia="仿宋_GB2312"/>
                <w:color w:val="auto"/>
                <w:szCs w:val="21"/>
              </w:rPr>
            </w:pPr>
          </w:p>
        </w:tc>
        <w:tc>
          <w:tcPr>
            <w:tcW w:w="446" w:type="pct"/>
            <w:vMerge w:val="continue"/>
            <w:vAlign w:val="center"/>
          </w:tcPr>
          <w:p w14:paraId="70833D05">
            <w:pPr>
              <w:jc w:val="center"/>
              <w:rPr>
                <w:rFonts w:eastAsia="仿宋_GB2312"/>
                <w:color w:val="auto"/>
                <w:szCs w:val="21"/>
              </w:rPr>
            </w:pPr>
          </w:p>
        </w:tc>
        <w:tc>
          <w:tcPr>
            <w:tcW w:w="361" w:type="pct"/>
            <w:vMerge w:val="continue"/>
            <w:vAlign w:val="center"/>
          </w:tcPr>
          <w:p w14:paraId="0088EA20">
            <w:pPr>
              <w:jc w:val="center"/>
              <w:rPr>
                <w:rFonts w:eastAsia="仿宋_GB2312"/>
                <w:color w:val="auto"/>
                <w:szCs w:val="21"/>
              </w:rPr>
            </w:pPr>
          </w:p>
        </w:tc>
        <w:tc>
          <w:tcPr>
            <w:tcW w:w="498" w:type="pct"/>
            <w:vMerge w:val="continue"/>
            <w:shd w:val="clear" w:color="auto" w:fill="auto"/>
            <w:vAlign w:val="center"/>
          </w:tcPr>
          <w:p w14:paraId="25753789">
            <w:pPr>
              <w:keepNext w:val="0"/>
              <w:keepLines w:val="0"/>
              <w:widowControl/>
              <w:suppressLineNumbers w:val="0"/>
              <w:jc w:val="center"/>
              <w:textAlignment w:val="bottom"/>
              <w:rPr>
                <w:rFonts w:eastAsia="仿宋_GB2312"/>
                <w:color w:val="auto"/>
                <w:kern w:val="0"/>
                <w:szCs w:val="21"/>
                <w:lang w:bidi="ar"/>
              </w:rPr>
            </w:pPr>
          </w:p>
        </w:tc>
        <w:tc>
          <w:tcPr>
            <w:tcW w:w="820" w:type="pct"/>
            <w:shd w:val="clear" w:color="auto" w:fill="auto"/>
            <w:vAlign w:val="center"/>
          </w:tcPr>
          <w:p w14:paraId="1D9B5B4A">
            <w:pPr>
              <w:widowControl/>
              <w:jc w:val="center"/>
              <w:textAlignment w:val="center"/>
              <w:rPr>
                <w:rFonts w:ascii="Times New Roman" w:hAnsi="Times New Roman" w:eastAsia="仿宋_GB2312" w:cs="Times New Roman"/>
                <w:b/>
                <w:bCs/>
                <w:color w:val="auto"/>
                <w:kern w:val="0"/>
                <w:sz w:val="21"/>
                <w:szCs w:val="21"/>
                <w:lang w:val="en-US" w:eastAsia="zh-CN" w:bidi="ar"/>
              </w:rPr>
            </w:pPr>
            <w:r>
              <w:rPr>
                <w:rFonts w:eastAsia="仿宋_GB2312"/>
                <w:color w:val="auto"/>
                <w:kern w:val="0"/>
                <w:szCs w:val="21"/>
                <w:lang w:bidi="ar"/>
              </w:rPr>
              <w:t>其他有机物</w:t>
            </w:r>
          </w:p>
        </w:tc>
        <w:tc>
          <w:tcPr>
            <w:tcW w:w="380" w:type="pct"/>
            <w:shd w:val="clear" w:color="auto" w:fill="auto"/>
            <w:vAlign w:val="center"/>
          </w:tcPr>
          <w:p w14:paraId="738B1BEA">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0.237</w:t>
            </w:r>
          </w:p>
        </w:tc>
        <w:tc>
          <w:tcPr>
            <w:tcW w:w="445" w:type="pct"/>
            <w:shd w:val="clear" w:color="auto" w:fill="auto"/>
            <w:vAlign w:val="center"/>
          </w:tcPr>
          <w:p w14:paraId="67D0483B">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0.111</w:t>
            </w:r>
          </w:p>
        </w:tc>
        <w:tc>
          <w:tcPr>
            <w:tcW w:w="630" w:type="pct"/>
            <w:vMerge w:val="continue"/>
            <w:vAlign w:val="center"/>
          </w:tcPr>
          <w:p w14:paraId="02D08012">
            <w:pPr>
              <w:jc w:val="center"/>
              <w:rPr>
                <w:rFonts w:eastAsia="仿宋_GB2312"/>
                <w:color w:val="auto"/>
                <w:szCs w:val="21"/>
              </w:rPr>
            </w:pPr>
          </w:p>
        </w:tc>
        <w:tc>
          <w:tcPr>
            <w:tcW w:w="292" w:type="pct"/>
            <w:vMerge w:val="continue"/>
            <w:vAlign w:val="center"/>
          </w:tcPr>
          <w:p w14:paraId="304DFF3C">
            <w:pPr>
              <w:jc w:val="center"/>
              <w:rPr>
                <w:rFonts w:eastAsia="仿宋_GB2312"/>
                <w:color w:val="auto"/>
                <w:szCs w:val="21"/>
              </w:rPr>
            </w:pPr>
          </w:p>
        </w:tc>
      </w:tr>
      <w:tr w14:paraId="72A3B1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35" w:hRule="atLeast"/>
          <w:tblHeader/>
          <w:jc w:val="center"/>
        </w:trPr>
        <w:tc>
          <w:tcPr>
            <w:tcW w:w="348" w:type="pct"/>
            <w:vMerge w:val="continue"/>
            <w:vAlign w:val="center"/>
          </w:tcPr>
          <w:p w14:paraId="721E00D6">
            <w:pPr>
              <w:jc w:val="center"/>
              <w:rPr>
                <w:rFonts w:eastAsia="仿宋_GB2312"/>
                <w:color w:val="auto"/>
                <w:szCs w:val="21"/>
              </w:rPr>
            </w:pPr>
          </w:p>
        </w:tc>
        <w:tc>
          <w:tcPr>
            <w:tcW w:w="358" w:type="pct"/>
            <w:vMerge w:val="continue"/>
            <w:vAlign w:val="center"/>
          </w:tcPr>
          <w:p w14:paraId="05190079">
            <w:pPr>
              <w:jc w:val="center"/>
              <w:rPr>
                <w:rFonts w:eastAsia="仿宋_GB2312"/>
                <w:color w:val="auto"/>
                <w:szCs w:val="21"/>
              </w:rPr>
            </w:pPr>
          </w:p>
        </w:tc>
        <w:tc>
          <w:tcPr>
            <w:tcW w:w="418" w:type="pct"/>
            <w:vMerge w:val="restart"/>
            <w:vAlign w:val="center"/>
          </w:tcPr>
          <w:p w14:paraId="1D44E010">
            <w:pPr>
              <w:jc w:val="center"/>
              <w:rPr>
                <w:rFonts w:eastAsia="仿宋_GB2312"/>
                <w:color w:val="auto"/>
                <w:szCs w:val="21"/>
              </w:rPr>
            </w:pPr>
            <w:r>
              <w:rPr>
                <w:rFonts w:eastAsia="仿宋_GB2312"/>
                <w:color w:val="auto"/>
                <w:kern w:val="0"/>
                <w:szCs w:val="21"/>
                <w:lang w:bidi="ar"/>
              </w:rPr>
              <w:t>G</w:t>
            </w:r>
            <w:r>
              <w:rPr>
                <w:rFonts w:hint="eastAsia" w:eastAsia="仿宋_GB2312"/>
                <w:color w:val="auto"/>
                <w:kern w:val="0"/>
                <w:szCs w:val="21"/>
                <w:lang w:val="en-US" w:eastAsia="zh-CN" w:bidi="ar"/>
              </w:rPr>
              <w:t>2</w:t>
            </w:r>
            <w:r>
              <w:rPr>
                <w:rFonts w:eastAsia="仿宋_GB2312"/>
                <w:color w:val="auto"/>
                <w:kern w:val="0"/>
                <w:szCs w:val="21"/>
                <w:lang w:bidi="ar"/>
              </w:rPr>
              <w:t>-</w:t>
            </w:r>
            <w:r>
              <w:rPr>
                <w:rFonts w:hint="eastAsia" w:eastAsia="仿宋_GB2312"/>
                <w:color w:val="auto"/>
                <w:kern w:val="0"/>
                <w:szCs w:val="21"/>
                <w:lang w:val="en-US" w:eastAsia="zh-CN" w:bidi="ar"/>
              </w:rPr>
              <w:t>8</w:t>
            </w:r>
            <w:r>
              <w:rPr>
                <w:rFonts w:eastAsia="仿宋_GB2312"/>
                <w:color w:val="auto"/>
                <w:kern w:val="0"/>
                <w:szCs w:val="21"/>
                <w:lang w:bidi="ar"/>
              </w:rPr>
              <w:t>-5</w:t>
            </w:r>
          </w:p>
        </w:tc>
        <w:tc>
          <w:tcPr>
            <w:tcW w:w="446" w:type="pct"/>
            <w:vMerge w:val="restart"/>
            <w:vAlign w:val="center"/>
          </w:tcPr>
          <w:p w14:paraId="17540491">
            <w:pPr>
              <w:jc w:val="center"/>
              <w:rPr>
                <w:rFonts w:eastAsia="仿宋_GB2312"/>
                <w:color w:val="auto"/>
                <w:szCs w:val="21"/>
              </w:rPr>
            </w:pPr>
            <w:r>
              <w:rPr>
                <w:rFonts w:eastAsia="仿宋_GB2312"/>
                <w:color w:val="auto"/>
                <w:kern w:val="0"/>
                <w:szCs w:val="21"/>
                <w:lang w:bidi="ar"/>
              </w:rPr>
              <w:t>灌装废气</w:t>
            </w:r>
          </w:p>
        </w:tc>
        <w:tc>
          <w:tcPr>
            <w:tcW w:w="361" w:type="pct"/>
            <w:vMerge w:val="restart"/>
            <w:vAlign w:val="center"/>
          </w:tcPr>
          <w:p w14:paraId="31CE6A93">
            <w:pPr>
              <w:jc w:val="center"/>
              <w:rPr>
                <w:rFonts w:hint="default" w:eastAsia="仿宋_GB2312"/>
                <w:color w:val="auto"/>
                <w:szCs w:val="21"/>
                <w:lang w:val="en-US" w:eastAsia="zh-CN"/>
              </w:rPr>
            </w:pPr>
            <w:r>
              <w:rPr>
                <w:rFonts w:hint="eastAsia" w:eastAsia="仿宋_GB2312"/>
                <w:color w:val="auto"/>
                <w:szCs w:val="21"/>
                <w:lang w:val="en-US" w:eastAsia="zh-CN"/>
              </w:rPr>
              <w:t>2000</w:t>
            </w:r>
          </w:p>
        </w:tc>
        <w:tc>
          <w:tcPr>
            <w:tcW w:w="498" w:type="pct"/>
            <w:vMerge w:val="restart"/>
            <w:shd w:val="clear" w:color="auto" w:fill="auto"/>
            <w:vAlign w:val="center"/>
          </w:tcPr>
          <w:p w14:paraId="43340004">
            <w:pPr>
              <w:keepNext w:val="0"/>
              <w:keepLines w:val="0"/>
              <w:widowControl/>
              <w:suppressLineNumbers w:val="0"/>
              <w:jc w:val="center"/>
              <w:textAlignment w:val="bottom"/>
              <w:rPr>
                <w:rFonts w:eastAsia="仿宋_GB2312"/>
                <w:color w:val="auto"/>
                <w:kern w:val="0"/>
                <w:szCs w:val="21"/>
                <w:lang w:bidi="ar"/>
              </w:rPr>
            </w:pPr>
            <w:r>
              <w:rPr>
                <w:rFonts w:hint="default" w:ascii="Times New Roman" w:hAnsi="Times New Roman" w:eastAsia="宋体" w:cs="Times New Roman"/>
                <w:i w:val="0"/>
                <w:iCs w:val="0"/>
                <w:color w:val="auto"/>
                <w:kern w:val="0"/>
                <w:sz w:val="21"/>
                <w:szCs w:val="21"/>
                <w:u w:val="none"/>
                <w:lang w:val="en-US" w:eastAsia="zh-CN" w:bidi="ar"/>
              </w:rPr>
              <w:t>234</w:t>
            </w:r>
          </w:p>
        </w:tc>
        <w:tc>
          <w:tcPr>
            <w:tcW w:w="820" w:type="pct"/>
            <w:shd w:val="clear" w:color="auto" w:fill="auto"/>
            <w:vAlign w:val="center"/>
          </w:tcPr>
          <w:p w14:paraId="521D8E8E">
            <w:pPr>
              <w:widowControl/>
              <w:jc w:val="center"/>
              <w:textAlignment w:val="center"/>
              <w:rPr>
                <w:rFonts w:ascii="Times New Roman" w:hAnsi="Times New Roman" w:eastAsia="仿宋_GB2312" w:cs="Times New Roman"/>
                <w:b/>
                <w:bCs/>
                <w:color w:val="auto"/>
                <w:kern w:val="0"/>
                <w:sz w:val="21"/>
                <w:szCs w:val="21"/>
                <w:lang w:val="en-US" w:eastAsia="zh-CN" w:bidi="ar"/>
              </w:rPr>
            </w:pPr>
            <w:r>
              <w:rPr>
                <w:rFonts w:eastAsia="仿宋_GB2312"/>
                <w:color w:val="auto"/>
                <w:kern w:val="0"/>
                <w:szCs w:val="21"/>
                <w:lang w:bidi="ar"/>
              </w:rPr>
              <w:t>碳九</w:t>
            </w:r>
          </w:p>
        </w:tc>
        <w:tc>
          <w:tcPr>
            <w:tcW w:w="380" w:type="pct"/>
            <w:shd w:val="clear" w:color="auto" w:fill="auto"/>
            <w:vAlign w:val="center"/>
          </w:tcPr>
          <w:p w14:paraId="2EFE7BD4">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1.606</w:t>
            </w:r>
          </w:p>
        </w:tc>
        <w:tc>
          <w:tcPr>
            <w:tcW w:w="445" w:type="pct"/>
            <w:shd w:val="clear" w:color="auto" w:fill="auto"/>
            <w:vAlign w:val="center"/>
          </w:tcPr>
          <w:p w14:paraId="43D70E57">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ascii="Times New Roman" w:hAnsi="Times New Roman" w:eastAsia="仿宋_GB2312" w:cs="Times New Roman"/>
                <w:color w:val="auto"/>
                <w:kern w:val="0"/>
                <w:szCs w:val="21"/>
                <w:lang w:val="en-US" w:eastAsia="zh-CN" w:bidi="ar"/>
              </w:rPr>
              <w:t>0.376</w:t>
            </w:r>
          </w:p>
        </w:tc>
        <w:tc>
          <w:tcPr>
            <w:tcW w:w="630" w:type="pct"/>
            <w:vMerge w:val="restart"/>
            <w:shd w:val="clear" w:color="auto" w:fill="auto"/>
            <w:vAlign w:val="center"/>
          </w:tcPr>
          <w:p w14:paraId="6BF6FF8C">
            <w:pPr>
              <w:jc w:val="center"/>
              <w:rPr>
                <w:rFonts w:ascii="Times New Roman" w:hAnsi="Times New Roman" w:eastAsia="仿宋_GB2312" w:cs="Times New Roman"/>
                <w:color w:val="auto"/>
                <w:kern w:val="2"/>
                <w:sz w:val="21"/>
                <w:szCs w:val="21"/>
                <w:lang w:val="en-US" w:eastAsia="zh-CN" w:bidi="ar-SA"/>
              </w:rPr>
            </w:pPr>
            <w:r>
              <w:rPr>
                <w:rFonts w:hint="eastAsia" w:eastAsia="仿宋_GB2312"/>
                <w:color w:val="auto"/>
                <w:szCs w:val="21"/>
              </w:rPr>
              <w:t>冷凝+酸吸收+碱吸收+水洗+活性炭吸附/脱附</w:t>
            </w:r>
          </w:p>
        </w:tc>
        <w:tc>
          <w:tcPr>
            <w:tcW w:w="292" w:type="pct"/>
            <w:vMerge w:val="restart"/>
            <w:shd w:val="clear" w:color="auto" w:fill="auto"/>
            <w:vAlign w:val="center"/>
          </w:tcPr>
          <w:p w14:paraId="176EA09C">
            <w:pPr>
              <w:jc w:val="center"/>
              <w:rPr>
                <w:rFonts w:ascii="Times New Roman" w:hAnsi="Times New Roman" w:eastAsia="仿宋_GB2312" w:cs="Times New Roman"/>
                <w:color w:val="auto"/>
                <w:kern w:val="2"/>
                <w:sz w:val="21"/>
                <w:szCs w:val="21"/>
                <w:lang w:val="en-US" w:eastAsia="zh-CN" w:bidi="ar-SA"/>
              </w:rPr>
            </w:pPr>
            <w:r>
              <w:rPr>
                <w:rFonts w:hint="eastAsia" w:eastAsia="仿宋_GB2312"/>
                <w:color w:val="auto"/>
              </w:rPr>
              <w:t>DA005</w:t>
            </w:r>
          </w:p>
        </w:tc>
      </w:tr>
      <w:tr w14:paraId="509A637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1A1F6DEB">
            <w:pPr>
              <w:jc w:val="center"/>
              <w:rPr>
                <w:rFonts w:eastAsia="仿宋_GB2312"/>
                <w:color w:val="auto"/>
                <w:szCs w:val="21"/>
              </w:rPr>
            </w:pPr>
          </w:p>
        </w:tc>
        <w:tc>
          <w:tcPr>
            <w:tcW w:w="358" w:type="pct"/>
            <w:vMerge w:val="continue"/>
            <w:vAlign w:val="center"/>
          </w:tcPr>
          <w:p w14:paraId="38000574">
            <w:pPr>
              <w:jc w:val="center"/>
              <w:rPr>
                <w:rFonts w:eastAsia="仿宋_GB2312"/>
                <w:color w:val="auto"/>
                <w:szCs w:val="21"/>
              </w:rPr>
            </w:pPr>
          </w:p>
        </w:tc>
        <w:tc>
          <w:tcPr>
            <w:tcW w:w="418" w:type="pct"/>
            <w:vMerge w:val="continue"/>
            <w:vAlign w:val="center"/>
          </w:tcPr>
          <w:p w14:paraId="78E64EA1">
            <w:pPr>
              <w:jc w:val="center"/>
              <w:rPr>
                <w:rFonts w:eastAsia="仿宋_GB2312"/>
                <w:color w:val="auto"/>
                <w:kern w:val="0"/>
                <w:szCs w:val="21"/>
                <w:lang w:bidi="ar"/>
              </w:rPr>
            </w:pPr>
          </w:p>
        </w:tc>
        <w:tc>
          <w:tcPr>
            <w:tcW w:w="446" w:type="pct"/>
            <w:vMerge w:val="continue"/>
            <w:vAlign w:val="center"/>
          </w:tcPr>
          <w:p w14:paraId="4D0CD8CF">
            <w:pPr>
              <w:jc w:val="center"/>
              <w:rPr>
                <w:rFonts w:eastAsia="仿宋_GB2312"/>
                <w:color w:val="auto"/>
                <w:kern w:val="0"/>
                <w:szCs w:val="21"/>
                <w:lang w:bidi="ar"/>
              </w:rPr>
            </w:pPr>
          </w:p>
        </w:tc>
        <w:tc>
          <w:tcPr>
            <w:tcW w:w="361" w:type="pct"/>
            <w:vMerge w:val="continue"/>
            <w:vAlign w:val="center"/>
          </w:tcPr>
          <w:p w14:paraId="3C462933">
            <w:pPr>
              <w:jc w:val="center"/>
              <w:rPr>
                <w:rFonts w:eastAsia="仿宋_GB2312"/>
                <w:color w:val="auto"/>
                <w:szCs w:val="21"/>
              </w:rPr>
            </w:pPr>
          </w:p>
        </w:tc>
        <w:tc>
          <w:tcPr>
            <w:tcW w:w="498" w:type="pct"/>
            <w:vMerge w:val="continue"/>
            <w:shd w:val="clear" w:color="auto" w:fill="auto"/>
            <w:vAlign w:val="center"/>
          </w:tcPr>
          <w:p w14:paraId="05D6903B">
            <w:pPr>
              <w:keepNext w:val="0"/>
              <w:keepLines w:val="0"/>
              <w:widowControl/>
              <w:suppressLineNumbers w:val="0"/>
              <w:jc w:val="center"/>
              <w:textAlignment w:val="bottom"/>
              <w:rPr>
                <w:rFonts w:eastAsia="仿宋_GB2312"/>
                <w:color w:val="auto"/>
                <w:kern w:val="0"/>
                <w:szCs w:val="21"/>
                <w:lang w:bidi="ar"/>
              </w:rPr>
            </w:pPr>
          </w:p>
        </w:tc>
        <w:tc>
          <w:tcPr>
            <w:tcW w:w="820" w:type="pct"/>
            <w:shd w:val="clear" w:color="auto" w:fill="auto"/>
            <w:vAlign w:val="center"/>
          </w:tcPr>
          <w:p w14:paraId="69B5C688">
            <w:pPr>
              <w:widowControl/>
              <w:jc w:val="center"/>
              <w:textAlignment w:val="center"/>
              <w:rPr>
                <w:rFonts w:ascii="Times New Roman" w:hAnsi="Times New Roman" w:eastAsia="仿宋_GB2312" w:cs="Times New Roman"/>
                <w:color w:val="auto"/>
                <w:kern w:val="0"/>
                <w:sz w:val="21"/>
                <w:szCs w:val="21"/>
                <w:lang w:val="en-US" w:eastAsia="zh-CN" w:bidi="ar"/>
              </w:rPr>
            </w:pPr>
            <w:r>
              <w:rPr>
                <w:rFonts w:eastAsia="仿宋_GB2312"/>
                <w:color w:val="auto"/>
                <w:kern w:val="0"/>
                <w:szCs w:val="21"/>
                <w:lang w:bidi="ar"/>
              </w:rPr>
              <w:t>苯乙烯</w:t>
            </w:r>
          </w:p>
        </w:tc>
        <w:tc>
          <w:tcPr>
            <w:tcW w:w="380" w:type="pct"/>
            <w:shd w:val="clear" w:color="auto" w:fill="auto"/>
            <w:vAlign w:val="center"/>
          </w:tcPr>
          <w:p w14:paraId="3E016D0D">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0.29</w:t>
            </w:r>
            <w:r>
              <w:rPr>
                <w:rFonts w:hint="eastAsia" w:ascii="Times New Roman" w:hAnsi="Times New Roman" w:eastAsia="宋体" w:cs="Times New Roman"/>
                <w:i w:val="0"/>
                <w:iCs w:val="0"/>
                <w:color w:val="auto"/>
                <w:kern w:val="0"/>
                <w:sz w:val="21"/>
                <w:szCs w:val="21"/>
                <w:u w:val="none"/>
                <w:lang w:val="en-US" w:eastAsia="zh-CN" w:bidi="ar"/>
              </w:rPr>
              <w:t>4</w:t>
            </w:r>
          </w:p>
        </w:tc>
        <w:tc>
          <w:tcPr>
            <w:tcW w:w="445" w:type="pct"/>
            <w:shd w:val="clear" w:color="auto" w:fill="auto"/>
            <w:vAlign w:val="center"/>
          </w:tcPr>
          <w:p w14:paraId="4FC6BC93">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ascii="Times New Roman" w:hAnsi="Times New Roman" w:eastAsia="仿宋_GB2312" w:cs="Times New Roman"/>
                <w:color w:val="auto"/>
                <w:kern w:val="0"/>
                <w:szCs w:val="21"/>
                <w:lang w:val="en-US" w:eastAsia="zh-CN" w:bidi="ar"/>
              </w:rPr>
              <w:t>0.069</w:t>
            </w:r>
          </w:p>
        </w:tc>
        <w:tc>
          <w:tcPr>
            <w:tcW w:w="630" w:type="pct"/>
            <w:vMerge w:val="continue"/>
            <w:vAlign w:val="center"/>
          </w:tcPr>
          <w:p w14:paraId="1C62528E">
            <w:pPr>
              <w:jc w:val="center"/>
              <w:rPr>
                <w:rFonts w:eastAsia="仿宋_GB2312"/>
                <w:color w:val="auto"/>
                <w:szCs w:val="21"/>
              </w:rPr>
            </w:pPr>
          </w:p>
        </w:tc>
        <w:tc>
          <w:tcPr>
            <w:tcW w:w="292" w:type="pct"/>
            <w:vMerge w:val="continue"/>
            <w:vAlign w:val="center"/>
          </w:tcPr>
          <w:p w14:paraId="642AEF20">
            <w:pPr>
              <w:jc w:val="center"/>
              <w:rPr>
                <w:rFonts w:eastAsia="仿宋_GB2312"/>
                <w:color w:val="auto"/>
                <w:szCs w:val="21"/>
              </w:rPr>
            </w:pPr>
          </w:p>
        </w:tc>
      </w:tr>
      <w:tr w14:paraId="4986E7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50BEEFDE">
            <w:pPr>
              <w:jc w:val="center"/>
              <w:rPr>
                <w:rFonts w:eastAsia="仿宋_GB2312"/>
                <w:color w:val="auto"/>
                <w:szCs w:val="21"/>
              </w:rPr>
            </w:pPr>
          </w:p>
        </w:tc>
        <w:tc>
          <w:tcPr>
            <w:tcW w:w="358" w:type="pct"/>
            <w:vMerge w:val="continue"/>
            <w:vAlign w:val="center"/>
          </w:tcPr>
          <w:p w14:paraId="250CBA68">
            <w:pPr>
              <w:jc w:val="center"/>
              <w:rPr>
                <w:rFonts w:eastAsia="仿宋_GB2312"/>
                <w:color w:val="auto"/>
                <w:szCs w:val="21"/>
              </w:rPr>
            </w:pPr>
          </w:p>
        </w:tc>
        <w:tc>
          <w:tcPr>
            <w:tcW w:w="418" w:type="pct"/>
            <w:vMerge w:val="continue"/>
            <w:vAlign w:val="center"/>
          </w:tcPr>
          <w:p w14:paraId="63250C23">
            <w:pPr>
              <w:jc w:val="center"/>
              <w:rPr>
                <w:rFonts w:eastAsia="仿宋_GB2312"/>
                <w:color w:val="auto"/>
                <w:szCs w:val="21"/>
              </w:rPr>
            </w:pPr>
          </w:p>
        </w:tc>
        <w:tc>
          <w:tcPr>
            <w:tcW w:w="446" w:type="pct"/>
            <w:vMerge w:val="continue"/>
            <w:vAlign w:val="center"/>
          </w:tcPr>
          <w:p w14:paraId="113FFE4F">
            <w:pPr>
              <w:jc w:val="center"/>
              <w:rPr>
                <w:rFonts w:eastAsia="仿宋_GB2312"/>
                <w:color w:val="auto"/>
                <w:szCs w:val="21"/>
              </w:rPr>
            </w:pPr>
          </w:p>
        </w:tc>
        <w:tc>
          <w:tcPr>
            <w:tcW w:w="361" w:type="pct"/>
            <w:vMerge w:val="continue"/>
            <w:vAlign w:val="center"/>
          </w:tcPr>
          <w:p w14:paraId="7E3243EA">
            <w:pPr>
              <w:jc w:val="center"/>
              <w:rPr>
                <w:rFonts w:eastAsia="仿宋_GB2312"/>
                <w:color w:val="auto"/>
                <w:szCs w:val="21"/>
              </w:rPr>
            </w:pPr>
          </w:p>
        </w:tc>
        <w:tc>
          <w:tcPr>
            <w:tcW w:w="498" w:type="pct"/>
            <w:vMerge w:val="continue"/>
            <w:shd w:val="clear" w:color="auto" w:fill="auto"/>
            <w:vAlign w:val="center"/>
          </w:tcPr>
          <w:p w14:paraId="180F3850">
            <w:pPr>
              <w:keepNext w:val="0"/>
              <w:keepLines w:val="0"/>
              <w:widowControl/>
              <w:suppressLineNumbers w:val="0"/>
              <w:jc w:val="center"/>
              <w:textAlignment w:val="bottom"/>
              <w:rPr>
                <w:rFonts w:eastAsia="仿宋_GB2312"/>
                <w:color w:val="auto"/>
                <w:kern w:val="0"/>
                <w:szCs w:val="21"/>
                <w:lang w:val="zh-CN"/>
              </w:rPr>
            </w:pPr>
          </w:p>
        </w:tc>
        <w:tc>
          <w:tcPr>
            <w:tcW w:w="820" w:type="pct"/>
            <w:shd w:val="clear" w:color="auto" w:fill="auto"/>
            <w:vAlign w:val="center"/>
          </w:tcPr>
          <w:p w14:paraId="40BA78A7">
            <w:pPr>
              <w:widowControl/>
              <w:jc w:val="center"/>
              <w:textAlignment w:val="center"/>
              <w:rPr>
                <w:rFonts w:ascii="Times New Roman" w:hAnsi="Times New Roman" w:eastAsia="仿宋_GB2312" w:cs="Times New Roman"/>
                <w:color w:val="auto"/>
                <w:kern w:val="0"/>
                <w:sz w:val="21"/>
                <w:szCs w:val="21"/>
                <w:lang w:val="en-US" w:eastAsia="zh-CN" w:bidi="ar"/>
              </w:rPr>
            </w:pPr>
            <w:r>
              <w:rPr>
                <w:rFonts w:eastAsia="仿宋_GB2312"/>
                <w:color w:val="auto"/>
                <w:kern w:val="0"/>
                <w:szCs w:val="21"/>
                <w:lang w:val="zh-CN"/>
              </w:rPr>
              <w:t>2-异丙基-1-甲氧基-4-甲基苯</w:t>
            </w:r>
          </w:p>
        </w:tc>
        <w:tc>
          <w:tcPr>
            <w:tcW w:w="380" w:type="pct"/>
            <w:shd w:val="clear" w:color="auto" w:fill="auto"/>
            <w:vAlign w:val="center"/>
          </w:tcPr>
          <w:p w14:paraId="24C4CFBE">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0.004</w:t>
            </w:r>
          </w:p>
        </w:tc>
        <w:tc>
          <w:tcPr>
            <w:tcW w:w="445" w:type="pct"/>
            <w:shd w:val="clear" w:color="auto" w:fill="auto"/>
            <w:vAlign w:val="center"/>
          </w:tcPr>
          <w:p w14:paraId="07AEB9CE">
            <w:pPr>
              <w:widowControl/>
              <w:jc w:val="center"/>
              <w:textAlignment w:val="center"/>
              <w:rPr>
                <w:rFonts w:hint="eastAsia" w:ascii="Times New Roman" w:hAnsi="Times New Roman" w:eastAsia="仿宋_GB2312" w:cs="Times New Roman"/>
                <w:color w:val="auto"/>
                <w:kern w:val="0"/>
                <w:sz w:val="21"/>
                <w:szCs w:val="21"/>
                <w:lang w:val="en-US" w:eastAsia="zh-CN" w:bidi="ar"/>
              </w:rPr>
            </w:pPr>
            <w:r>
              <w:rPr>
                <w:rFonts w:hint="eastAsia" w:ascii="Times New Roman" w:hAnsi="Times New Roman" w:eastAsia="仿宋_GB2312" w:cs="Times New Roman"/>
                <w:color w:val="auto"/>
                <w:kern w:val="0"/>
                <w:szCs w:val="21"/>
                <w:lang w:val="en-US" w:eastAsia="zh-CN" w:bidi="ar"/>
              </w:rPr>
              <w:t>0.00099</w:t>
            </w:r>
          </w:p>
        </w:tc>
        <w:tc>
          <w:tcPr>
            <w:tcW w:w="630" w:type="pct"/>
            <w:vMerge w:val="continue"/>
            <w:vAlign w:val="center"/>
          </w:tcPr>
          <w:p w14:paraId="45B475A5">
            <w:pPr>
              <w:jc w:val="center"/>
              <w:rPr>
                <w:rFonts w:eastAsia="仿宋_GB2312"/>
                <w:color w:val="auto"/>
                <w:szCs w:val="21"/>
              </w:rPr>
            </w:pPr>
          </w:p>
        </w:tc>
        <w:tc>
          <w:tcPr>
            <w:tcW w:w="292" w:type="pct"/>
            <w:vMerge w:val="continue"/>
            <w:vAlign w:val="center"/>
          </w:tcPr>
          <w:p w14:paraId="23EC7E9A">
            <w:pPr>
              <w:jc w:val="center"/>
              <w:rPr>
                <w:rFonts w:eastAsia="仿宋_GB2312"/>
                <w:color w:val="auto"/>
                <w:szCs w:val="21"/>
              </w:rPr>
            </w:pPr>
          </w:p>
        </w:tc>
      </w:tr>
      <w:tr w14:paraId="1B7B24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45DC2F07">
            <w:pPr>
              <w:jc w:val="center"/>
              <w:rPr>
                <w:rFonts w:eastAsia="仿宋_GB2312"/>
                <w:color w:val="auto"/>
                <w:szCs w:val="21"/>
              </w:rPr>
            </w:pPr>
          </w:p>
        </w:tc>
        <w:tc>
          <w:tcPr>
            <w:tcW w:w="358" w:type="pct"/>
            <w:vMerge w:val="continue"/>
            <w:vAlign w:val="center"/>
          </w:tcPr>
          <w:p w14:paraId="5B408627">
            <w:pPr>
              <w:jc w:val="center"/>
              <w:rPr>
                <w:rFonts w:eastAsia="仿宋_GB2312"/>
                <w:color w:val="auto"/>
                <w:szCs w:val="21"/>
              </w:rPr>
            </w:pPr>
          </w:p>
        </w:tc>
        <w:tc>
          <w:tcPr>
            <w:tcW w:w="418" w:type="pct"/>
            <w:vMerge w:val="continue"/>
            <w:vAlign w:val="center"/>
          </w:tcPr>
          <w:p w14:paraId="06121120">
            <w:pPr>
              <w:jc w:val="center"/>
              <w:rPr>
                <w:rFonts w:eastAsia="仿宋_GB2312"/>
                <w:color w:val="auto"/>
                <w:szCs w:val="21"/>
              </w:rPr>
            </w:pPr>
          </w:p>
        </w:tc>
        <w:tc>
          <w:tcPr>
            <w:tcW w:w="446" w:type="pct"/>
            <w:vMerge w:val="continue"/>
            <w:vAlign w:val="center"/>
          </w:tcPr>
          <w:p w14:paraId="5C2080A2">
            <w:pPr>
              <w:jc w:val="center"/>
              <w:rPr>
                <w:rFonts w:eastAsia="仿宋_GB2312"/>
                <w:color w:val="auto"/>
                <w:szCs w:val="21"/>
              </w:rPr>
            </w:pPr>
          </w:p>
        </w:tc>
        <w:tc>
          <w:tcPr>
            <w:tcW w:w="361" w:type="pct"/>
            <w:vMerge w:val="continue"/>
            <w:vAlign w:val="center"/>
          </w:tcPr>
          <w:p w14:paraId="2367D39A">
            <w:pPr>
              <w:jc w:val="center"/>
              <w:rPr>
                <w:rFonts w:eastAsia="仿宋_GB2312"/>
                <w:color w:val="auto"/>
                <w:szCs w:val="21"/>
              </w:rPr>
            </w:pPr>
          </w:p>
        </w:tc>
        <w:tc>
          <w:tcPr>
            <w:tcW w:w="498" w:type="pct"/>
            <w:vMerge w:val="continue"/>
            <w:shd w:val="clear" w:color="auto" w:fill="auto"/>
            <w:vAlign w:val="center"/>
          </w:tcPr>
          <w:p w14:paraId="0042F2CC">
            <w:pPr>
              <w:keepNext w:val="0"/>
              <w:keepLines w:val="0"/>
              <w:widowControl/>
              <w:suppressLineNumbers w:val="0"/>
              <w:jc w:val="center"/>
              <w:textAlignment w:val="bottom"/>
              <w:rPr>
                <w:rFonts w:eastAsia="仿宋_GB2312"/>
                <w:color w:val="auto"/>
                <w:kern w:val="0"/>
                <w:szCs w:val="21"/>
                <w:lang w:bidi="ar"/>
              </w:rPr>
            </w:pPr>
          </w:p>
        </w:tc>
        <w:tc>
          <w:tcPr>
            <w:tcW w:w="820" w:type="pct"/>
            <w:shd w:val="clear" w:color="auto" w:fill="auto"/>
            <w:vAlign w:val="center"/>
          </w:tcPr>
          <w:p w14:paraId="016805DC">
            <w:pPr>
              <w:widowControl/>
              <w:jc w:val="center"/>
              <w:textAlignment w:val="center"/>
              <w:rPr>
                <w:rFonts w:ascii="Times New Roman" w:hAnsi="Times New Roman" w:eastAsia="仿宋_GB2312" w:cs="Times New Roman"/>
                <w:b/>
                <w:bCs/>
                <w:color w:val="auto"/>
                <w:kern w:val="0"/>
                <w:sz w:val="21"/>
                <w:szCs w:val="21"/>
                <w:lang w:val="en-US" w:eastAsia="zh-CN" w:bidi="ar"/>
              </w:rPr>
            </w:pPr>
            <w:r>
              <w:rPr>
                <w:rFonts w:eastAsia="仿宋_GB2312"/>
                <w:color w:val="auto"/>
                <w:kern w:val="0"/>
                <w:szCs w:val="21"/>
                <w:lang w:bidi="ar"/>
              </w:rPr>
              <w:t>其他有机物</w:t>
            </w:r>
          </w:p>
        </w:tc>
        <w:tc>
          <w:tcPr>
            <w:tcW w:w="380" w:type="pct"/>
            <w:shd w:val="clear" w:color="auto" w:fill="auto"/>
            <w:vAlign w:val="center"/>
          </w:tcPr>
          <w:p w14:paraId="40927D8E">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0.004</w:t>
            </w:r>
          </w:p>
        </w:tc>
        <w:tc>
          <w:tcPr>
            <w:tcW w:w="445" w:type="pct"/>
            <w:shd w:val="clear" w:color="auto" w:fill="auto"/>
            <w:vAlign w:val="center"/>
          </w:tcPr>
          <w:p w14:paraId="4EE540F1">
            <w:pPr>
              <w:widowControl/>
              <w:jc w:val="center"/>
              <w:textAlignment w:val="center"/>
              <w:rPr>
                <w:rFonts w:hint="eastAsia" w:ascii="Times New Roman" w:hAnsi="Times New Roman" w:eastAsia="仿宋_GB2312" w:cs="Times New Roman"/>
                <w:color w:val="auto"/>
                <w:kern w:val="0"/>
                <w:sz w:val="21"/>
                <w:szCs w:val="21"/>
                <w:lang w:val="en-US" w:eastAsia="zh-CN" w:bidi="ar"/>
              </w:rPr>
            </w:pPr>
            <w:r>
              <w:rPr>
                <w:rFonts w:hint="eastAsia" w:ascii="Times New Roman" w:hAnsi="Times New Roman" w:eastAsia="仿宋_GB2312" w:cs="Times New Roman"/>
                <w:color w:val="auto"/>
                <w:kern w:val="0"/>
                <w:szCs w:val="21"/>
                <w:lang w:val="en-US" w:eastAsia="zh-CN" w:bidi="ar"/>
              </w:rPr>
              <w:t>0.00099</w:t>
            </w:r>
          </w:p>
        </w:tc>
        <w:tc>
          <w:tcPr>
            <w:tcW w:w="630" w:type="pct"/>
            <w:vMerge w:val="continue"/>
            <w:vAlign w:val="center"/>
          </w:tcPr>
          <w:p w14:paraId="2272486B">
            <w:pPr>
              <w:jc w:val="center"/>
              <w:rPr>
                <w:rFonts w:eastAsia="仿宋_GB2312"/>
                <w:color w:val="auto"/>
                <w:szCs w:val="21"/>
              </w:rPr>
            </w:pPr>
          </w:p>
        </w:tc>
        <w:tc>
          <w:tcPr>
            <w:tcW w:w="292" w:type="pct"/>
            <w:vMerge w:val="continue"/>
            <w:vAlign w:val="center"/>
          </w:tcPr>
          <w:p w14:paraId="4B1E4CFF">
            <w:pPr>
              <w:jc w:val="center"/>
              <w:rPr>
                <w:rFonts w:eastAsia="仿宋_GB2312"/>
                <w:color w:val="auto"/>
                <w:szCs w:val="21"/>
              </w:rPr>
            </w:pPr>
          </w:p>
        </w:tc>
      </w:tr>
      <w:tr w14:paraId="24D934C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restart"/>
            <w:vAlign w:val="center"/>
          </w:tcPr>
          <w:p w14:paraId="77B06A99">
            <w:pPr>
              <w:jc w:val="center"/>
              <w:rPr>
                <w:rFonts w:eastAsia="仿宋_GB2312"/>
                <w:color w:val="auto"/>
                <w:szCs w:val="21"/>
              </w:rPr>
            </w:pPr>
            <w:r>
              <w:rPr>
                <w:rFonts w:eastAsia="仿宋_GB2312"/>
                <w:color w:val="auto"/>
                <w:szCs w:val="21"/>
              </w:rPr>
              <w:t>B-7车间</w:t>
            </w:r>
          </w:p>
        </w:tc>
        <w:tc>
          <w:tcPr>
            <w:tcW w:w="358" w:type="pct"/>
            <w:vMerge w:val="restart"/>
            <w:vAlign w:val="center"/>
          </w:tcPr>
          <w:p w14:paraId="378552B6">
            <w:pPr>
              <w:jc w:val="center"/>
              <w:rPr>
                <w:rFonts w:hint="eastAsia" w:eastAsia="仿宋_GB2312"/>
                <w:color w:val="auto"/>
                <w:szCs w:val="21"/>
                <w:lang w:eastAsia="zh-CN"/>
              </w:rPr>
            </w:pPr>
            <w:r>
              <w:rPr>
                <w:rFonts w:hint="eastAsia" w:eastAsia="仿宋_GB2312"/>
                <w:color w:val="auto"/>
                <w:szCs w:val="21"/>
                <w:lang w:val="en-US" w:eastAsia="zh-CN"/>
              </w:rPr>
              <w:t>多元醇</w:t>
            </w:r>
          </w:p>
        </w:tc>
        <w:tc>
          <w:tcPr>
            <w:tcW w:w="418" w:type="pct"/>
            <w:vMerge w:val="restart"/>
            <w:vAlign w:val="center"/>
          </w:tcPr>
          <w:p w14:paraId="26C878A4">
            <w:pPr>
              <w:jc w:val="center"/>
              <w:rPr>
                <w:rFonts w:eastAsia="仿宋_GB2312"/>
                <w:color w:val="auto"/>
                <w:szCs w:val="21"/>
              </w:rPr>
            </w:pPr>
            <w:r>
              <w:rPr>
                <w:rFonts w:eastAsia="仿宋_GB2312"/>
                <w:color w:val="auto"/>
                <w:kern w:val="0"/>
                <w:szCs w:val="21"/>
                <w:lang w:bidi="ar"/>
              </w:rPr>
              <w:t>G</w:t>
            </w:r>
            <w:r>
              <w:rPr>
                <w:rFonts w:hint="eastAsia" w:eastAsia="仿宋_GB2312"/>
                <w:color w:val="auto"/>
                <w:kern w:val="0"/>
                <w:szCs w:val="21"/>
                <w:lang w:val="en-US" w:eastAsia="zh-CN" w:bidi="ar"/>
              </w:rPr>
              <w:t>2</w:t>
            </w:r>
            <w:r>
              <w:rPr>
                <w:rFonts w:eastAsia="仿宋_GB2312"/>
                <w:color w:val="auto"/>
                <w:kern w:val="0"/>
                <w:szCs w:val="21"/>
                <w:lang w:bidi="ar"/>
              </w:rPr>
              <w:t>-</w:t>
            </w:r>
            <w:r>
              <w:rPr>
                <w:rFonts w:hint="eastAsia" w:eastAsia="仿宋_GB2312"/>
                <w:color w:val="auto"/>
                <w:kern w:val="0"/>
                <w:szCs w:val="21"/>
                <w:lang w:val="en-US" w:eastAsia="zh-CN" w:bidi="ar"/>
              </w:rPr>
              <w:t>9</w:t>
            </w:r>
            <w:r>
              <w:rPr>
                <w:rFonts w:eastAsia="仿宋_GB2312"/>
                <w:color w:val="auto"/>
                <w:kern w:val="0"/>
                <w:szCs w:val="21"/>
                <w:lang w:bidi="ar"/>
              </w:rPr>
              <w:t>-1</w:t>
            </w:r>
          </w:p>
        </w:tc>
        <w:tc>
          <w:tcPr>
            <w:tcW w:w="446" w:type="pct"/>
            <w:vMerge w:val="restart"/>
            <w:vAlign w:val="center"/>
          </w:tcPr>
          <w:p w14:paraId="17F0CB76">
            <w:pPr>
              <w:jc w:val="center"/>
              <w:rPr>
                <w:rFonts w:eastAsia="仿宋_GB2312"/>
                <w:color w:val="auto"/>
                <w:szCs w:val="21"/>
              </w:rPr>
            </w:pPr>
            <w:r>
              <w:rPr>
                <w:rFonts w:eastAsia="仿宋_GB2312"/>
                <w:color w:val="auto"/>
                <w:kern w:val="0"/>
                <w:szCs w:val="21"/>
                <w:lang w:bidi="ar"/>
              </w:rPr>
              <w:t>投料废气</w:t>
            </w:r>
          </w:p>
        </w:tc>
        <w:tc>
          <w:tcPr>
            <w:tcW w:w="361" w:type="pct"/>
            <w:vMerge w:val="restart"/>
            <w:vAlign w:val="center"/>
          </w:tcPr>
          <w:p w14:paraId="394C97D6">
            <w:pPr>
              <w:jc w:val="center"/>
              <w:rPr>
                <w:rFonts w:hint="default" w:eastAsia="仿宋_GB2312"/>
                <w:color w:val="auto"/>
                <w:szCs w:val="21"/>
                <w:lang w:val="en-US" w:eastAsia="zh-CN"/>
              </w:rPr>
            </w:pPr>
            <w:r>
              <w:rPr>
                <w:rFonts w:hint="eastAsia" w:eastAsia="仿宋_GB2312"/>
                <w:color w:val="auto"/>
                <w:szCs w:val="21"/>
                <w:lang w:val="en-US" w:eastAsia="zh-CN"/>
              </w:rPr>
              <w:t>2000</w:t>
            </w:r>
          </w:p>
        </w:tc>
        <w:tc>
          <w:tcPr>
            <w:tcW w:w="498" w:type="pct"/>
            <w:vMerge w:val="restart"/>
            <w:shd w:val="clear" w:color="auto" w:fill="auto"/>
            <w:vAlign w:val="center"/>
          </w:tcPr>
          <w:p w14:paraId="1B616B49">
            <w:pPr>
              <w:keepNext w:val="0"/>
              <w:keepLines w:val="0"/>
              <w:widowControl/>
              <w:suppressLineNumbers w:val="0"/>
              <w:jc w:val="center"/>
              <w:textAlignment w:val="bottom"/>
              <w:rPr>
                <w:rFonts w:eastAsia="仿宋_GB2312"/>
                <w:color w:val="auto"/>
                <w:kern w:val="0"/>
                <w:szCs w:val="21"/>
                <w:highlight w:val="none"/>
                <w:lang w:bidi="ar"/>
              </w:rPr>
            </w:pPr>
            <w:r>
              <w:rPr>
                <w:rFonts w:hint="default" w:ascii="Times New Roman" w:hAnsi="Times New Roman" w:eastAsia="宋体" w:cs="Times New Roman"/>
                <w:i w:val="0"/>
                <w:iCs w:val="0"/>
                <w:color w:val="auto"/>
                <w:kern w:val="0"/>
                <w:sz w:val="21"/>
                <w:szCs w:val="21"/>
                <w:u w:val="none"/>
                <w:lang w:val="en-US" w:eastAsia="zh-CN" w:bidi="ar"/>
              </w:rPr>
              <w:t>242</w:t>
            </w:r>
          </w:p>
        </w:tc>
        <w:tc>
          <w:tcPr>
            <w:tcW w:w="820" w:type="pct"/>
            <w:shd w:val="clear" w:color="auto" w:fill="auto"/>
            <w:vAlign w:val="center"/>
          </w:tcPr>
          <w:p w14:paraId="425F2F43">
            <w:pPr>
              <w:widowControl/>
              <w:jc w:val="center"/>
              <w:textAlignment w:val="center"/>
              <w:rPr>
                <w:rFonts w:ascii="Times New Roman" w:hAnsi="Times New Roman" w:eastAsia="仿宋_GB2312" w:cs="Times New Roman"/>
                <w:b/>
                <w:bCs/>
                <w:color w:val="auto"/>
                <w:kern w:val="0"/>
                <w:sz w:val="21"/>
                <w:szCs w:val="21"/>
                <w:highlight w:val="none"/>
                <w:lang w:val="en-US" w:eastAsia="zh-CN" w:bidi="ar"/>
              </w:rPr>
            </w:pPr>
            <w:r>
              <w:rPr>
                <w:rFonts w:eastAsia="仿宋_GB2312"/>
                <w:color w:val="auto"/>
                <w:kern w:val="0"/>
                <w:szCs w:val="21"/>
                <w:highlight w:val="none"/>
                <w:lang w:bidi="ar"/>
              </w:rPr>
              <w:t>二乙二醇</w:t>
            </w:r>
          </w:p>
        </w:tc>
        <w:tc>
          <w:tcPr>
            <w:tcW w:w="380" w:type="pct"/>
            <w:shd w:val="clear" w:color="auto" w:fill="auto"/>
            <w:vAlign w:val="center"/>
          </w:tcPr>
          <w:p w14:paraId="1FEB51A9">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0.62</w:t>
            </w:r>
            <w:r>
              <w:rPr>
                <w:rFonts w:hint="eastAsia" w:ascii="Times New Roman" w:hAnsi="Times New Roman" w:eastAsia="宋体" w:cs="Times New Roman"/>
                <w:i w:val="0"/>
                <w:iCs w:val="0"/>
                <w:color w:val="auto"/>
                <w:kern w:val="0"/>
                <w:sz w:val="21"/>
                <w:szCs w:val="21"/>
                <w:u w:val="none"/>
                <w:lang w:val="en-US" w:eastAsia="zh-CN" w:bidi="ar"/>
              </w:rPr>
              <w:t>4</w:t>
            </w:r>
          </w:p>
        </w:tc>
        <w:tc>
          <w:tcPr>
            <w:tcW w:w="445" w:type="pct"/>
            <w:vAlign w:val="center"/>
          </w:tcPr>
          <w:p w14:paraId="642B14A7">
            <w:pPr>
              <w:widowControl/>
              <w:jc w:val="center"/>
              <w:textAlignment w:val="center"/>
              <w:rPr>
                <w:rFonts w:eastAsia="仿宋_GB2312"/>
                <w:color w:val="auto"/>
                <w:kern w:val="0"/>
                <w:szCs w:val="21"/>
                <w:lang w:bidi="ar"/>
              </w:rPr>
            </w:pPr>
            <w:r>
              <w:rPr>
                <w:rFonts w:hint="eastAsia" w:ascii="Times New Roman" w:hAnsi="Times New Roman" w:eastAsia="仿宋_GB2312" w:cs="Times New Roman"/>
                <w:color w:val="auto"/>
                <w:kern w:val="0"/>
                <w:szCs w:val="21"/>
                <w:lang w:val="en-US" w:eastAsia="zh-CN" w:bidi="ar"/>
              </w:rPr>
              <w:t>0.151</w:t>
            </w:r>
          </w:p>
        </w:tc>
        <w:tc>
          <w:tcPr>
            <w:tcW w:w="630" w:type="pct"/>
            <w:vMerge w:val="restart"/>
            <w:shd w:val="clear" w:color="auto" w:fill="auto"/>
            <w:vAlign w:val="center"/>
          </w:tcPr>
          <w:p w14:paraId="10DAE1FB">
            <w:pPr>
              <w:jc w:val="center"/>
              <w:rPr>
                <w:rFonts w:ascii="Times New Roman" w:hAnsi="Times New Roman" w:eastAsia="仿宋_GB2312" w:cs="Times New Roman"/>
                <w:color w:val="auto"/>
                <w:kern w:val="2"/>
                <w:sz w:val="21"/>
                <w:szCs w:val="21"/>
                <w:lang w:val="en-US" w:eastAsia="zh-CN" w:bidi="ar-SA"/>
              </w:rPr>
            </w:pPr>
            <w:r>
              <w:rPr>
                <w:rFonts w:hint="eastAsia" w:eastAsia="仿宋_GB2312"/>
                <w:color w:val="auto"/>
                <w:szCs w:val="21"/>
              </w:rPr>
              <w:t>冷凝+酸吸收+碱吸收+水洗+活性炭吸附/脱附</w:t>
            </w:r>
          </w:p>
        </w:tc>
        <w:tc>
          <w:tcPr>
            <w:tcW w:w="292" w:type="pct"/>
            <w:vMerge w:val="restart"/>
            <w:shd w:val="clear" w:color="auto" w:fill="auto"/>
            <w:vAlign w:val="center"/>
          </w:tcPr>
          <w:p w14:paraId="77D182D2">
            <w:pPr>
              <w:jc w:val="center"/>
              <w:rPr>
                <w:rFonts w:ascii="Times New Roman" w:hAnsi="Times New Roman" w:eastAsia="仿宋_GB2312" w:cs="Times New Roman"/>
                <w:color w:val="auto"/>
                <w:kern w:val="2"/>
                <w:sz w:val="21"/>
                <w:szCs w:val="21"/>
                <w:lang w:val="en-US" w:eastAsia="zh-CN" w:bidi="ar-SA"/>
              </w:rPr>
            </w:pPr>
            <w:r>
              <w:rPr>
                <w:rFonts w:hint="eastAsia" w:eastAsia="仿宋_GB2312"/>
                <w:color w:val="auto"/>
              </w:rPr>
              <w:t>DA005</w:t>
            </w:r>
          </w:p>
        </w:tc>
      </w:tr>
      <w:tr w14:paraId="67487A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0345A42A">
            <w:pPr>
              <w:jc w:val="center"/>
              <w:rPr>
                <w:rFonts w:eastAsia="仿宋_GB2312"/>
                <w:color w:val="auto"/>
                <w:szCs w:val="21"/>
              </w:rPr>
            </w:pPr>
          </w:p>
        </w:tc>
        <w:tc>
          <w:tcPr>
            <w:tcW w:w="358" w:type="pct"/>
            <w:vMerge w:val="continue"/>
            <w:vAlign w:val="center"/>
          </w:tcPr>
          <w:p w14:paraId="1A781869">
            <w:pPr>
              <w:jc w:val="center"/>
              <w:rPr>
                <w:rFonts w:hint="eastAsia" w:eastAsia="仿宋_GB2312"/>
                <w:color w:val="auto"/>
                <w:szCs w:val="21"/>
                <w:lang w:val="en-US" w:eastAsia="zh-CN"/>
              </w:rPr>
            </w:pPr>
          </w:p>
        </w:tc>
        <w:tc>
          <w:tcPr>
            <w:tcW w:w="418" w:type="pct"/>
            <w:vMerge w:val="continue"/>
            <w:vAlign w:val="center"/>
          </w:tcPr>
          <w:p w14:paraId="0387B41F">
            <w:pPr>
              <w:jc w:val="center"/>
              <w:rPr>
                <w:rFonts w:eastAsia="仿宋_GB2312"/>
                <w:color w:val="auto"/>
                <w:kern w:val="0"/>
                <w:szCs w:val="21"/>
                <w:lang w:bidi="ar"/>
              </w:rPr>
            </w:pPr>
          </w:p>
        </w:tc>
        <w:tc>
          <w:tcPr>
            <w:tcW w:w="446" w:type="pct"/>
            <w:vMerge w:val="continue"/>
            <w:vAlign w:val="center"/>
          </w:tcPr>
          <w:p w14:paraId="0F55AA79">
            <w:pPr>
              <w:jc w:val="center"/>
              <w:rPr>
                <w:rFonts w:eastAsia="仿宋_GB2312"/>
                <w:color w:val="auto"/>
                <w:kern w:val="0"/>
                <w:szCs w:val="21"/>
                <w:lang w:bidi="ar"/>
              </w:rPr>
            </w:pPr>
          </w:p>
        </w:tc>
        <w:tc>
          <w:tcPr>
            <w:tcW w:w="361" w:type="pct"/>
            <w:vMerge w:val="continue"/>
            <w:vAlign w:val="center"/>
          </w:tcPr>
          <w:p w14:paraId="65223C68">
            <w:pPr>
              <w:jc w:val="center"/>
              <w:rPr>
                <w:rFonts w:eastAsia="仿宋_GB2312"/>
                <w:color w:val="auto"/>
                <w:szCs w:val="21"/>
              </w:rPr>
            </w:pPr>
          </w:p>
        </w:tc>
        <w:tc>
          <w:tcPr>
            <w:tcW w:w="498" w:type="pct"/>
            <w:vMerge w:val="continue"/>
            <w:shd w:val="clear" w:color="auto" w:fill="auto"/>
            <w:vAlign w:val="center"/>
          </w:tcPr>
          <w:p w14:paraId="1999AA88">
            <w:pPr>
              <w:keepNext w:val="0"/>
              <w:keepLines w:val="0"/>
              <w:widowControl/>
              <w:suppressLineNumbers w:val="0"/>
              <w:jc w:val="center"/>
              <w:textAlignment w:val="bottom"/>
              <w:rPr>
                <w:rFonts w:hint="eastAsia" w:eastAsia="仿宋_GB2312"/>
                <w:color w:val="auto"/>
                <w:kern w:val="0"/>
                <w:szCs w:val="21"/>
                <w:lang w:val="en-US" w:eastAsia="zh-CN" w:bidi="ar"/>
              </w:rPr>
            </w:pPr>
          </w:p>
        </w:tc>
        <w:tc>
          <w:tcPr>
            <w:tcW w:w="820" w:type="pct"/>
            <w:shd w:val="clear" w:color="auto" w:fill="auto"/>
            <w:vAlign w:val="center"/>
          </w:tcPr>
          <w:p w14:paraId="6A220B0C">
            <w:pPr>
              <w:widowControl/>
              <w:jc w:val="center"/>
              <w:textAlignment w:val="center"/>
              <w:rPr>
                <w:rFonts w:ascii="Times New Roman" w:hAnsi="Times New Roman" w:eastAsia="仿宋_GB2312" w:cs="Times New Roman"/>
                <w:b/>
                <w:bCs/>
                <w:color w:val="auto"/>
                <w:kern w:val="0"/>
                <w:sz w:val="21"/>
                <w:szCs w:val="21"/>
                <w:lang w:val="en-US" w:eastAsia="zh-CN" w:bidi="ar"/>
              </w:rPr>
            </w:pPr>
            <w:r>
              <w:rPr>
                <w:rFonts w:hint="eastAsia" w:eastAsia="仿宋_GB2312"/>
                <w:color w:val="auto"/>
                <w:kern w:val="0"/>
                <w:szCs w:val="21"/>
                <w:lang w:val="en-US" w:eastAsia="zh-CN" w:bidi="ar"/>
              </w:rPr>
              <w:t>乙二醇</w:t>
            </w:r>
          </w:p>
        </w:tc>
        <w:tc>
          <w:tcPr>
            <w:tcW w:w="380" w:type="pct"/>
            <w:shd w:val="clear" w:color="auto" w:fill="auto"/>
            <w:vAlign w:val="center"/>
          </w:tcPr>
          <w:p w14:paraId="654D8F2C">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0.002</w:t>
            </w:r>
          </w:p>
        </w:tc>
        <w:tc>
          <w:tcPr>
            <w:tcW w:w="445" w:type="pct"/>
            <w:vAlign w:val="center"/>
          </w:tcPr>
          <w:p w14:paraId="1E83A915">
            <w:pPr>
              <w:widowControl/>
              <w:jc w:val="center"/>
              <w:textAlignment w:val="center"/>
              <w:rPr>
                <w:rFonts w:eastAsia="仿宋_GB2312"/>
                <w:color w:val="auto"/>
                <w:kern w:val="0"/>
                <w:szCs w:val="21"/>
                <w:lang w:bidi="ar"/>
              </w:rPr>
            </w:pPr>
            <w:r>
              <w:rPr>
                <w:rFonts w:hint="eastAsia" w:ascii="Times New Roman" w:hAnsi="Times New Roman" w:eastAsia="仿宋_GB2312" w:cs="Times New Roman"/>
                <w:color w:val="auto"/>
                <w:kern w:val="0"/>
                <w:szCs w:val="21"/>
                <w:lang w:val="en-US" w:eastAsia="zh-CN" w:bidi="ar"/>
              </w:rPr>
              <w:t>0.0005</w:t>
            </w:r>
          </w:p>
        </w:tc>
        <w:tc>
          <w:tcPr>
            <w:tcW w:w="630" w:type="pct"/>
            <w:vMerge w:val="continue"/>
            <w:vAlign w:val="center"/>
          </w:tcPr>
          <w:p w14:paraId="3A10DC25">
            <w:pPr>
              <w:jc w:val="center"/>
              <w:rPr>
                <w:rFonts w:eastAsia="仿宋_GB2312"/>
                <w:color w:val="auto"/>
                <w:kern w:val="0"/>
                <w:szCs w:val="21"/>
                <w:lang w:bidi="ar"/>
              </w:rPr>
            </w:pPr>
          </w:p>
        </w:tc>
        <w:tc>
          <w:tcPr>
            <w:tcW w:w="292" w:type="pct"/>
            <w:vMerge w:val="continue"/>
            <w:vAlign w:val="center"/>
          </w:tcPr>
          <w:p w14:paraId="68545DC4">
            <w:pPr>
              <w:jc w:val="center"/>
              <w:rPr>
                <w:rFonts w:eastAsia="仿宋_GB2312"/>
                <w:color w:val="auto"/>
                <w:kern w:val="0"/>
                <w:szCs w:val="21"/>
                <w:lang w:bidi="ar"/>
              </w:rPr>
            </w:pPr>
          </w:p>
        </w:tc>
      </w:tr>
      <w:tr w14:paraId="7C668A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598BD9E3">
            <w:pPr>
              <w:jc w:val="center"/>
              <w:rPr>
                <w:rFonts w:eastAsia="仿宋_GB2312"/>
                <w:color w:val="auto"/>
                <w:szCs w:val="21"/>
              </w:rPr>
            </w:pPr>
          </w:p>
        </w:tc>
        <w:tc>
          <w:tcPr>
            <w:tcW w:w="358" w:type="pct"/>
            <w:vMerge w:val="continue"/>
            <w:vAlign w:val="center"/>
          </w:tcPr>
          <w:p w14:paraId="4B34BC52">
            <w:pPr>
              <w:jc w:val="center"/>
              <w:rPr>
                <w:rFonts w:hint="eastAsia" w:eastAsia="仿宋_GB2312"/>
                <w:color w:val="auto"/>
                <w:szCs w:val="21"/>
                <w:lang w:val="en-US" w:eastAsia="zh-CN"/>
              </w:rPr>
            </w:pPr>
          </w:p>
        </w:tc>
        <w:tc>
          <w:tcPr>
            <w:tcW w:w="418" w:type="pct"/>
            <w:vMerge w:val="continue"/>
            <w:vAlign w:val="center"/>
          </w:tcPr>
          <w:p w14:paraId="05F3F7C9">
            <w:pPr>
              <w:jc w:val="center"/>
              <w:rPr>
                <w:rFonts w:eastAsia="仿宋_GB2312"/>
                <w:color w:val="auto"/>
                <w:kern w:val="0"/>
                <w:szCs w:val="21"/>
                <w:lang w:bidi="ar"/>
              </w:rPr>
            </w:pPr>
          </w:p>
        </w:tc>
        <w:tc>
          <w:tcPr>
            <w:tcW w:w="446" w:type="pct"/>
            <w:vMerge w:val="continue"/>
            <w:vAlign w:val="center"/>
          </w:tcPr>
          <w:p w14:paraId="7661256F">
            <w:pPr>
              <w:jc w:val="center"/>
              <w:rPr>
                <w:rFonts w:eastAsia="仿宋_GB2312"/>
                <w:color w:val="auto"/>
                <w:kern w:val="0"/>
                <w:szCs w:val="21"/>
                <w:lang w:bidi="ar"/>
              </w:rPr>
            </w:pPr>
          </w:p>
        </w:tc>
        <w:tc>
          <w:tcPr>
            <w:tcW w:w="361" w:type="pct"/>
            <w:vMerge w:val="continue"/>
            <w:vAlign w:val="center"/>
          </w:tcPr>
          <w:p w14:paraId="409A8022">
            <w:pPr>
              <w:jc w:val="center"/>
              <w:rPr>
                <w:rFonts w:eastAsia="仿宋_GB2312"/>
                <w:color w:val="auto"/>
                <w:szCs w:val="21"/>
              </w:rPr>
            </w:pPr>
          </w:p>
        </w:tc>
        <w:tc>
          <w:tcPr>
            <w:tcW w:w="498" w:type="pct"/>
            <w:vMerge w:val="continue"/>
            <w:shd w:val="clear" w:color="auto" w:fill="auto"/>
            <w:vAlign w:val="center"/>
          </w:tcPr>
          <w:p w14:paraId="25F7B266">
            <w:pPr>
              <w:keepNext w:val="0"/>
              <w:keepLines w:val="0"/>
              <w:widowControl/>
              <w:suppressLineNumbers w:val="0"/>
              <w:jc w:val="center"/>
              <w:textAlignment w:val="bottom"/>
              <w:rPr>
                <w:rFonts w:hint="eastAsia" w:eastAsia="仿宋_GB2312"/>
                <w:color w:val="auto"/>
                <w:kern w:val="0"/>
                <w:szCs w:val="21"/>
                <w:lang w:val="en-US" w:eastAsia="zh-CN" w:bidi="ar"/>
              </w:rPr>
            </w:pPr>
          </w:p>
        </w:tc>
        <w:tc>
          <w:tcPr>
            <w:tcW w:w="820" w:type="pct"/>
            <w:shd w:val="clear" w:color="auto" w:fill="auto"/>
            <w:vAlign w:val="center"/>
          </w:tcPr>
          <w:p w14:paraId="09B6E838">
            <w:pPr>
              <w:widowControl/>
              <w:jc w:val="center"/>
              <w:textAlignment w:val="center"/>
              <w:rPr>
                <w:rFonts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三乙二醇</w:t>
            </w:r>
          </w:p>
        </w:tc>
        <w:tc>
          <w:tcPr>
            <w:tcW w:w="380" w:type="pct"/>
            <w:shd w:val="clear" w:color="auto" w:fill="auto"/>
            <w:vAlign w:val="center"/>
          </w:tcPr>
          <w:p w14:paraId="05C01B0C">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0.0008</w:t>
            </w:r>
          </w:p>
        </w:tc>
        <w:tc>
          <w:tcPr>
            <w:tcW w:w="445" w:type="pct"/>
            <w:vAlign w:val="center"/>
          </w:tcPr>
          <w:p w14:paraId="6D5D6018">
            <w:pPr>
              <w:widowControl/>
              <w:jc w:val="center"/>
              <w:textAlignment w:val="center"/>
              <w:rPr>
                <w:rFonts w:eastAsia="仿宋_GB2312"/>
                <w:color w:val="auto"/>
                <w:kern w:val="0"/>
                <w:szCs w:val="21"/>
                <w:lang w:bidi="ar"/>
              </w:rPr>
            </w:pPr>
            <w:r>
              <w:rPr>
                <w:rFonts w:hint="eastAsia" w:ascii="Times New Roman" w:hAnsi="Times New Roman" w:eastAsia="仿宋_GB2312" w:cs="Times New Roman"/>
                <w:color w:val="auto"/>
                <w:kern w:val="0"/>
                <w:szCs w:val="21"/>
                <w:lang w:val="en-US" w:eastAsia="zh-CN" w:bidi="ar"/>
              </w:rPr>
              <w:t>0.0002</w:t>
            </w:r>
          </w:p>
        </w:tc>
        <w:tc>
          <w:tcPr>
            <w:tcW w:w="630" w:type="pct"/>
            <w:vMerge w:val="continue"/>
            <w:vAlign w:val="center"/>
          </w:tcPr>
          <w:p w14:paraId="37A97321">
            <w:pPr>
              <w:jc w:val="center"/>
              <w:rPr>
                <w:rFonts w:eastAsia="仿宋_GB2312"/>
                <w:color w:val="auto"/>
                <w:kern w:val="0"/>
                <w:szCs w:val="21"/>
                <w:lang w:bidi="ar"/>
              </w:rPr>
            </w:pPr>
          </w:p>
        </w:tc>
        <w:tc>
          <w:tcPr>
            <w:tcW w:w="292" w:type="pct"/>
            <w:vMerge w:val="continue"/>
            <w:vAlign w:val="center"/>
          </w:tcPr>
          <w:p w14:paraId="1F8D372A">
            <w:pPr>
              <w:jc w:val="center"/>
              <w:rPr>
                <w:rFonts w:eastAsia="仿宋_GB2312"/>
                <w:color w:val="auto"/>
                <w:kern w:val="0"/>
                <w:szCs w:val="21"/>
                <w:lang w:bidi="ar"/>
              </w:rPr>
            </w:pPr>
          </w:p>
        </w:tc>
      </w:tr>
      <w:tr w14:paraId="55454DB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667E018E">
            <w:pPr>
              <w:jc w:val="center"/>
              <w:rPr>
                <w:rFonts w:eastAsia="仿宋_GB2312"/>
                <w:color w:val="auto"/>
                <w:szCs w:val="21"/>
              </w:rPr>
            </w:pPr>
          </w:p>
        </w:tc>
        <w:tc>
          <w:tcPr>
            <w:tcW w:w="358" w:type="pct"/>
            <w:vMerge w:val="continue"/>
            <w:vAlign w:val="center"/>
          </w:tcPr>
          <w:p w14:paraId="3753F7A0">
            <w:pPr>
              <w:jc w:val="center"/>
              <w:rPr>
                <w:rFonts w:eastAsia="仿宋_GB2312"/>
                <w:color w:val="auto"/>
                <w:szCs w:val="21"/>
              </w:rPr>
            </w:pPr>
          </w:p>
        </w:tc>
        <w:tc>
          <w:tcPr>
            <w:tcW w:w="418" w:type="pct"/>
            <w:vMerge w:val="continue"/>
            <w:vAlign w:val="center"/>
          </w:tcPr>
          <w:p w14:paraId="49B73C77">
            <w:pPr>
              <w:jc w:val="center"/>
              <w:rPr>
                <w:rFonts w:eastAsia="仿宋_GB2312"/>
                <w:color w:val="auto"/>
                <w:szCs w:val="21"/>
              </w:rPr>
            </w:pPr>
          </w:p>
        </w:tc>
        <w:tc>
          <w:tcPr>
            <w:tcW w:w="446" w:type="pct"/>
            <w:vMerge w:val="continue"/>
            <w:vAlign w:val="center"/>
          </w:tcPr>
          <w:p w14:paraId="2459FB9F">
            <w:pPr>
              <w:jc w:val="center"/>
              <w:rPr>
                <w:rFonts w:eastAsia="仿宋_GB2312"/>
                <w:color w:val="auto"/>
                <w:szCs w:val="21"/>
              </w:rPr>
            </w:pPr>
          </w:p>
        </w:tc>
        <w:tc>
          <w:tcPr>
            <w:tcW w:w="361" w:type="pct"/>
            <w:vMerge w:val="continue"/>
            <w:vAlign w:val="center"/>
          </w:tcPr>
          <w:p w14:paraId="06FE85AE">
            <w:pPr>
              <w:jc w:val="center"/>
              <w:rPr>
                <w:rFonts w:eastAsia="仿宋_GB2312"/>
                <w:color w:val="auto"/>
                <w:szCs w:val="21"/>
              </w:rPr>
            </w:pPr>
          </w:p>
        </w:tc>
        <w:tc>
          <w:tcPr>
            <w:tcW w:w="498" w:type="pct"/>
            <w:vMerge w:val="continue"/>
            <w:shd w:val="clear" w:color="auto" w:fill="auto"/>
            <w:vAlign w:val="center"/>
          </w:tcPr>
          <w:p w14:paraId="24B04D82">
            <w:pPr>
              <w:keepNext w:val="0"/>
              <w:keepLines w:val="0"/>
              <w:widowControl/>
              <w:suppressLineNumbers w:val="0"/>
              <w:jc w:val="center"/>
              <w:textAlignment w:val="bottom"/>
              <w:rPr>
                <w:rFonts w:hint="eastAsia" w:eastAsia="仿宋_GB2312"/>
                <w:color w:val="auto"/>
                <w:kern w:val="0"/>
                <w:szCs w:val="21"/>
                <w:lang w:val="en-US" w:eastAsia="zh-CN" w:bidi="ar"/>
              </w:rPr>
            </w:pPr>
          </w:p>
        </w:tc>
        <w:tc>
          <w:tcPr>
            <w:tcW w:w="820" w:type="pct"/>
            <w:shd w:val="clear" w:color="auto" w:fill="auto"/>
            <w:vAlign w:val="center"/>
          </w:tcPr>
          <w:p w14:paraId="65FAD6C6">
            <w:pPr>
              <w:widowControl/>
              <w:jc w:val="center"/>
              <w:textAlignment w:val="center"/>
              <w:rPr>
                <w:rFonts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其他有机物</w:t>
            </w:r>
          </w:p>
        </w:tc>
        <w:tc>
          <w:tcPr>
            <w:tcW w:w="380" w:type="pct"/>
            <w:shd w:val="clear" w:color="auto" w:fill="auto"/>
            <w:vAlign w:val="center"/>
          </w:tcPr>
          <w:p w14:paraId="6715476A">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0.021</w:t>
            </w:r>
          </w:p>
        </w:tc>
        <w:tc>
          <w:tcPr>
            <w:tcW w:w="445" w:type="pct"/>
            <w:vAlign w:val="center"/>
          </w:tcPr>
          <w:p w14:paraId="47B16334">
            <w:pPr>
              <w:widowControl/>
              <w:jc w:val="center"/>
              <w:textAlignment w:val="center"/>
              <w:rPr>
                <w:rFonts w:eastAsia="仿宋_GB2312"/>
                <w:color w:val="auto"/>
                <w:kern w:val="0"/>
                <w:szCs w:val="21"/>
                <w:lang w:bidi="ar"/>
              </w:rPr>
            </w:pPr>
            <w:r>
              <w:rPr>
                <w:rFonts w:hint="eastAsia" w:ascii="Times New Roman" w:hAnsi="Times New Roman" w:eastAsia="仿宋_GB2312" w:cs="Times New Roman"/>
                <w:color w:val="auto"/>
                <w:kern w:val="0"/>
                <w:szCs w:val="21"/>
                <w:lang w:val="en-US" w:eastAsia="zh-CN" w:bidi="ar"/>
              </w:rPr>
              <w:t>0.0051</w:t>
            </w:r>
          </w:p>
        </w:tc>
        <w:tc>
          <w:tcPr>
            <w:tcW w:w="630" w:type="pct"/>
            <w:vMerge w:val="continue"/>
            <w:vAlign w:val="center"/>
          </w:tcPr>
          <w:p w14:paraId="453C8080">
            <w:pPr>
              <w:jc w:val="center"/>
              <w:rPr>
                <w:rFonts w:eastAsia="仿宋_GB2312"/>
                <w:color w:val="auto"/>
                <w:szCs w:val="21"/>
              </w:rPr>
            </w:pPr>
          </w:p>
        </w:tc>
        <w:tc>
          <w:tcPr>
            <w:tcW w:w="292" w:type="pct"/>
            <w:vMerge w:val="continue"/>
            <w:vAlign w:val="center"/>
          </w:tcPr>
          <w:p w14:paraId="59EDCE56">
            <w:pPr>
              <w:jc w:val="center"/>
              <w:rPr>
                <w:rFonts w:eastAsia="仿宋_GB2312"/>
                <w:color w:val="auto"/>
                <w:szCs w:val="21"/>
              </w:rPr>
            </w:pPr>
          </w:p>
        </w:tc>
      </w:tr>
      <w:tr w14:paraId="559EAD7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40A3CBC1">
            <w:pPr>
              <w:jc w:val="center"/>
              <w:rPr>
                <w:rFonts w:eastAsia="仿宋_GB2312"/>
                <w:color w:val="auto"/>
                <w:szCs w:val="21"/>
              </w:rPr>
            </w:pPr>
          </w:p>
        </w:tc>
        <w:tc>
          <w:tcPr>
            <w:tcW w:w="358" w:type="pct"/>
            <w:vMerge w:val="continue"/>
            <w:vAlign w:val="center"/>
          </w:tcPr>
          <w:p w14:paraId="6DA76E6A">
            <w:pPr>
              <w:jc w:val="center"/>
              <w:rPr>
                <w:rFonts w:eastAsia="仿宋_GB2312"/>
                <w:color w:val="auto"/>
                <w:szCs w:val="21"/>
              </w:rPr>
            </w:pPr>
          </w:p>
        </w:tc>
        <w:tc>
          <w:tcPr>
            <w:tcW w:w="418" w:type="pct"/>
            <w:vMerge w:val="restart"/>
            <w:vAlign w:val="center"/>
          </w:tcPr>
          <w:p w14:paraId="459642B6">
            <w:pPr>
              <w:jc w:val="center"/>
              <w:rPr>
                <w:rFonts w:eastAsia="仿宋_GB2312"/>
                <w:color w:val="auto"/>
                <w:szCs w:val="21"/>
              </w:rPr>
            </w:pPr>
            <w:r>
              <w:rPr>
                <w:rFonts w:eastAsia="仿宋_GB2312"/>
                <w:color w:val="auto"/>
                <w:kern w:val="0"/>
                <w:szCs w:val="21"/>
                <w:lang w:bidi="ar"/>
              </w:rPr>
              <w:t>G</w:t>
            </w:r>
            <w:r>
              <w:rPr>
                <w:rFonts w:hint="eastAsia" w:eastAsia="仿宋_GB2312"/>
                <w:color w:val="auto"/>
                <w:kern w:val="0"/>
                <w:szCs w:val="21"/>
                <w:lang w:val="en-US" w:eastAsia="zh-CN" w:bidi="ar"/>
              </w:rPr>
              <w:t>2</w:t>
            </w:r>
            <w:r>
              <w:rPr>
                <w:rFonts w:eastAsia="仿宋_GB2312"/>
                <w:color w:val="auto"/>
                <w:kern w:val="0"/>
                <w:szCs w:val="21"/>
                <w:lang w:bidi="ar"/>
              </w:rPr>
              <w:t>-</w:t>
            </w:r>
            <w:r>
              <w:rPr>
                <w:rFonts w:hint="eastAsia" w:eastAsia="仿宋_GB2312"/>
                <w:color w:val="auto"/>
                <w:kern w:val="0"/>
                <w:szCs w:val="21"/>
                <w:lang w:val="en-US" w:eastAsia="zh-CN" w:bidi="ar"/>
              </w:rPr>
              <w:t>9</w:t>
            </w:r>
            <w:r>
              <w:rPr>
                <w:rFonts w:eastAsia="仿宋_GB2312"/>
                <w:color w:val="auto"/>
                <w:kern w:val="0"/>
                <w:szCs w:val="21"/>
                <w:lang w:bidi="ar"/>
              </w:rPr>
              <w:t>-2</w:t>
            </w:r>
          </w:p>
        </w:tc>
        <w:tc>
          <w:tcPr>
            <w:tcW w:w="446" w:type="pct"/>
            <w:vMerge w:val="restart"/>
            <w:vAlign w:val="center"/>
          </w:tcPr>
          <w:p w14:paraId="24DB4468">
            <w:pPr>
              <w:jc w:val="center"/>
              <w:rPr>
                <w:rFonts w:eastAsia="仿宋_GB2312"/>
                <w:color w:val="auto"/>
                <w:szCs w:val="21"/>
              </w:rPr>
            </w:pPr>
            <w:r>
              <w:rPr>
                <w:rFonts w:eastAsia="仿宋_GB2312"/>
                <w:color w:val="auto"/>
                <w:kern w:val="0"/>
                <w:szCs w:val="21"/>
                <w:lang w:bidi="ar"/>
              </w:rPr>
              <w:t>调节废气</w:t>
            </w:r>
          </w:p>
        </w:tc>
        <w:tc>
          <w:tcPr>
            <w:tcW w:w="361" w:type="pct"/>
            <w:vMerge w:val="restart"/>
            <w:vAlign w:val="center"/>
          </w:tcPr>
          <w:p w14:paraId="58628848">
            <w:pPr>
              <w:jc w:val="center"/>
              <w:rPr>
                <w:rFonts w:eastAsia="仿宋_GB2312"/>
                <w:color w:val="auto"/>
                <w:szCs w:val="21"/>
              </w:rPr>
            </w:pPr>
            <w:r>
              <w:rPr>
                <w:rFonts w:hint="eastAsia" w:eastAsia="仿宋_GB2312"/>
                <w:color w:val="auto"/>
                <w:szCs w:val="21"/>
                <w:lang w:val="en-US" w:eastAsia="zh-CN"/>
              </w:rPr>
              <w:t>1</w:t>
            </w:r>
            <w:r>
              <w:rPr>
                <w:rFonts w:eastAsia="仿宋_GB2312"/>
                <w:color w:val="auto"/>
                <w:szCs w:val="21"/>
              </w:rPr>
              <w:t>00</w:t>
            </w:r>
          </w:p>
        </w:tc>
        <w:tc>
          <w:tcPr>
            <w:tcW w:w="498" w:type="pct"/>
            <w:vMerge w:val="restart"/>
            <w:shd w:val="clear" w:color="auto" w:fill="auto"/>
            <w:vAlign w:val="center"/>
          </w:tcPr>
          <w:p w14:paraId="21D1C933">
            <w:pPr>
              <w:keepNext w:val="0"/>
              <w:keepLines w:val="0"/>
              <w:widowControl/>
              <w:suppressLineNumbers w:val="0"/>
              <w:jc w:val="center"/>
              <w:textAlignment w:val="bottom"/>
              <w:rPr>
                <w:rFonts w:eastAsia="仿宋_GB2312"/>
                <w:color w:val="auto"/>
                <w:kern w:val="0"/>
                <w:szCs w:val="21"/>
                <w:highlight w:val="none"/>
                <w:lang w:bidi="ar"/>
              </w:rPr>
            </w:pPr>
            <w:r>
              <w:rPr>
                <w:rFonts w:hint="default" w:ascii="Times New Roman" w:hAnsi="Times New Roman" w:eastAsia="宋体" w:cs="Times New Roman"/>
                <w:i w:val="0"/>
                <w:iCs w:val="0"/>
                <w:color w:val="auto"/>
                <w:kern w:val="0"/>
                <w:sz w:val="21"/>
                <w:szCs w:val="21"/>
                <w:u w:val="none"/>
                <w:lang w:val="en-US" w:eastAsia="zh-CN" w:bidi="ar"/>
              </w:rPr>
              <w:t>242</w:t>
            </w:r>
          </w:p>
        </w:tc>
        <w:tc>
          <w:tcPr>
            <w:tcW w:w="820" w:type="pct"/>
            <w:shd w:val="clear" w:color="auto" w:fill="auto"/>
            <w:vAlign w:val="center"/>
          </w:tcPr>
          <w:p w14:paraId="1388D242">
            <w:pPr>
              <w:widowControl/>
              <w:jc w:val="center"/>
              <w:textAlignment w:val="center"/>
              <w:rPr>
                <w:rFonts w:ascii="Times New Roman" w:hAnsi="Times New Roman" w:eastAsia="仿宋_GB2312" w:cs="Times New Roman"/>
                <w:b/>
                <w:bCs/>
                <w:color w:val="auto"/>
                <w:kern w:val="0"/>
                <w:sz w:val="21"/>
                <w:szCs w:val="21"/>
                <w:highlight w:val="none"/>
                <w:lang w:val="en-US" w:eastAsia="zh-CN" w:bidi="ar"/>
              </w:rPr>
            </w:pPr>
            <w:r>
              <w:rPr>
                <w:rFonts w:eastAsia="仿宋_GB2312"/>
                <w:color w:val="auto"/>
                <w:kern w:val="0"/>
                <w:szCs w:val="21"/>
                <w:highlight w:val="none"/>
                <w:lang w:bidi="ar"/>
              </w:rPr>
              <w:t>二乙二醇</w:t>
            </w:r>
          </w:p>
        </w:tc>
        <w:tc>
          <w:tcPr>
            <w:tcW w:w="380" w:type="pct"/>
            <w:shd w:val="clear" w:color="auto" w:fill="auto"/>
            <w:vAlign w:val="center"/>
          </w:tcPr>
          <w:p w14:paraId="5C0BCEAF">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0.271</w:t>
            </w:r>
          </w:p>
        </w:tc>
        <w:tc>
          <w:tcPr>
            <w:tcW w:w="445" w:type="pct"/>
            <w:vAlign w:val="center"/>
          </w:tcPr>
          <w:p w14:paraId="2B83DB05">
            <w:pPr>
              <w:widowControl/>
              <w:jc w:val="center"/>
              <w:textAlignment w:val="center"/>
              <w:rPr>
                <w:rFonts w:eastAsia="仿宋_GB2312"/>
                <w:color w:val="auto"/>
                <w:kern w:val="0"/>
                <w:szCs w:val="21"/>
                <w:lang w:bidi="ar"/>
              </w:rPr>
            </w:pPr>
            <w:r>
              <w:rPr>
                <w:rFonts w:hint="eastAsia" w:eastAsia="仿宋_GB2312"/>
                <w:color w:val="auto"/>
                <w:kern w:val="0"/>
                <w:szCs w:val="21"/>
                <w:highlight w:val="none"/>
                <w:lang w:val="en-US" w:eastAsia="zh-CN" w:bidi="ar"/>
              </w:rPr>
              <w:t>0.0657</w:t>
            </w:r>
          </w:p>
        </w:tc>
        <w:tc>
          <w:tcPr>
            <w:tcW w:w="630" w:type="pct"/>
            <w:vMerge w:val="restart"/>
            <w:shd w:val="clear" w:color="auto" w:fill="auto"/>
            <w:vAlign w:val="center"/>
          </w:tcPr>
          <w:p w14:paraId="73FFF1C2">
            <w:pPr>
              <w:widowControl/>
              <w:jc w:val="center"/>
              <w:textAlignment w:val="center"/>
              <w:rPr>
                <w:rFonts w:ascii="Times New Roman" w:hAnsi="Times New Roman" w:eastAsia="仿宋_GB2312" w:cs="Times New Roman"/>
                <w:color w:val="auto"/>
                <w:kern w:val="2"/>
                <w:sz w:val="21"/>
                <w:szCs w:val="21"/>
                <w:lang w:val="en-US" w:eastAsia="zh-CN" w:bidi="ar-SA"/>
              </w:rPr>
            </w:pPr>
            <w:r>
              <w:rPr>
                <w:rFonts w:hint="eastAsia" w:eastAsia="仿宋_GB2312"/>
                <w:color w:val="auto"/>
                <w:szCs w:val="21"/>
              </w:rPr>
              <w:t>预处理（冷凝+稀酸吸收+碱吸收+水吸收+除雾）+</w:t>
            </w:r>
            <w:r>
              <w:rPr>
                <w:rFonts w:eastAsia="仿宋_GB2312"/>
                <w:color w:val="auto"/>
                <w:szCs w:val="21"/>
              </w:rPr>
              <w:t>焚烧</w:t>
            </w:r>
          </w:p>
        </w:tc>
        <w:tc>
          <w:tcPr>
            <w:tcW w:w="292" w:type="pct"/>
            <w:vMerge w:val="restart"/>
            <w:shd w:val="clear" w:color="auto" w:fill="auto"/>
            <w:vAlign w:val="center"/>
          </w:tcPr>
          <w:p w14:paraId="3FA4B225">
            <w:pPr>
              <w:widowControl/>
              <w:jc w:val="center"/>
              <w:textAlignment w:val="center"/>
              <w:rPr>
                <w:rFonts w:ascii="Times New Roman" w:hAnsi="Times New Roman" w:eastAsia="仿宋_GB2312" w:cs="Times New Roman"/>
                <w:color w:val="auto"/>
                <w:kern w:val="2"/>
                <w:sz w:val="21"/>
                <w:szCs w:val="21"/>
                <w:lang w:val="en-US" w:eastAsia="zh-CN" w:bidi="ar-SA"/>
              </w:rPr>
            </w:pPr>
            <w:r>
              <w:rPr>
                <w:rFonts w:hint="eastAsia" w:eastAsia="仿宋_GB2312"/>
                <w:color w:val="auto"/>
                <w:kern w:val="0"/>
                <w:szCs w:val="21"/>
                <w:lang w:bidi="ar"/>
              </w:rPr>
              <w:t>DA002</w:t>
            </w:r>
          </w:p>
        </w:tc>
      </w:tr>
      <w:tr w14:paraId="153870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481578AF">
            <w:pPr>
              <w:jc w:val="center"/>
              <w:rPr>
                <w:rFonts w:eastAsia="仿宋_GB2312"/>
                <w:color w:val="auto"/>
                <w:szCs w:val="21"/>
              </w:rPr>
            </w:pPr>
          </w:p>
        </w:tc>
        <w:tc>
          <w:tcPr>
            <w:tcW w:w="358" w:type="pct"/>
            <w:vMerge w:val="continue"/>
            <w:vAlign w:val="center"/>
          </w:tcPr>
          <w:p w14:paraId="2B2926D3">
            <w:pPr>
              <w:jc w:val="center"/>
              <w:rPr>
                <w:rFonts w:eastAsia="仿宋_GB2312"/>
                <w:color w:val="auto"/>
                <w:szCs w:val="21"/>
              </w:rPr>
            </w:pPr>
          </w:p>
        </w:tc>
        <w:tc>
          <w:tcPr>
            <w:tcW w:w="418" w:type="pct"/>
            <w:vMerge w:val="continue"/>
            <w:vAlign w:val="center"/>
          </w:tcPr>
          <w:p w14:paraId="7452A289">
            <w:pPr>
              <w:jc w:val="center"/>
              <w:rPr>
                <w:rFonts w:eastAsia="仿宋_GB2312"/>
                <w:color w:val="auto"/>
                <w:kern w:val="0"/>
                <w:szCs w:val="21"/>
                <w:lang w:bidi="ar"/>
              </w:rPr>
            </w:pPr>
          </w:p>
        </w:tc>
        <w:tc>
          <w:tcPr>
            <w:tcW w:w="446" w:type="pct"/>
            <w:vMerge w:val="continue"/>
            <w:vAlign w:val="center"/>
          </w:tcPr>
          <w:p w14:paraId="180A0565">
            <w:pPr>
              <w:jc w:val="center"/>
              <w:rPr>
                <w:rFonts w:eastAsia="仿宋_GB2312"/>
                <w:color w:val="auto"/>
                <w:kern w:val="0"/>
                <w:szCs w:val="21"/>
                <w:lang w:bidi="ar"/>
              </w:rPr>
            </w:pPr>
          </w:p>
        </w:tc>
        <w:tc>
          <w:tcPr>
            <w:tcW w:w="361" w:type="pct"/>
            <w:vMerge w:val="continue"/>
            <w:vAlign w:val="center"/>
          </w:tcPr>
          <w:p w14:paraId="573CE4DC">
            <w:pPr>
              <w:jc w:val="center"/>
              <w:rPr>
                <w:rFonts w:eastAsia="仿宋_GB2312"/>
                <w:color w:val="auto"/>
                <w:szCs w:val="21"/>
              </w:rPr>
            </w:pPr>
          </w:p>
        </w:tc>
        <w:tc>
          <w:tcPr>
            <w:tcW w:w="498" w:type="pct"/>
            <w:vMerge w:val="continue"/>
            <w:shd w:val="clear" w:color="auto" w:fill="auto"/>
            <w:vAlign w:val="center"/>
          </w:tcPr>
          <w:p w14:paraId="2DC32B72">
            <w:pPr>
              <w:keepNext w:val="0"/>
              <w:keepLines w:val="0"/>
              <w:widowControl/>
              <w:suppressLineNumbers w:val="0"/>
              <w:jc w:val="center"/>
              <w:textAlignment w:val="bottom"/>
              <w:rPr>
                <w:rFonts w:hint="eastAsia" w:eastAsia="仿宋_GB2312"/>
                <w:color w:val="auto"/>
                <w:kern w:val="0"/>
                <w:szCs w:val="21"/>
                <w:lang w:val="en-US" w:eastAsia="zh-CN" w:bidi="ar"/>
              </w:rPr>
            </w:pPr>
          </w:p>
        </w:tc>
        <w:tc>
          <w:tcPr>
            <w:tcW w:w="820" w:type="pct"/>
            <w:shd w:val="clear" w:color="auto" w:fill="auto"/>
            <w:vAlign w:val="center"/>
          </w:tcPr>
          <w:p w14:paraId="3DEA38E0">
            <w:pPr>
              <w:widowControl/>
              <w:jc w:val="center"/>
              <w:textAlignment w:val="center"/>
              <w:rPr>
                <w:rFonts w:ascii="Times New Roman" w:hAnsi="Times New Roman" w:eastAsia="仿宋_GB2312" w:cs="Times New Roman"/>
                <w:b/>
                <w:bCs/>
                <w:color w:val="auto"/>
                <w:kern w:val="0"/>
                <w:sz w:val="21"/>
                <w:szCs w:val="21"/>
                <w:lang w:val="en-US" w:eastAsia="zh-CN" w:bidi="ar"/>
              </w:rPr>
            </w:pPr>
            <w:r>
              <w:rPr>
                <w:rFonts w:hint="eastAsia" w:eastAsia="仿宋_GB2312"/>
                <w:color w:val="auto"/>
                <w:kern w:val="0"/>
                <w:szCs w:val="21"/>
                <w:lang w:val="en-US" w:eastAsia="zh-CN" w:bidi="ar"/>
              </w:rPr>
              <w:t>乙二醇</w:t>
            </w:r>
          </w:p>
        </w:tc>
        <w:tc>
          <w:tcPr>
            <w:tcW w:w="380" w:type="pct"/>
            <w:shd w:val="clear" w:color="auto" w:fill="auto"/>
            <w:vAlign w:val="center"/>
          </w:tcPr>
          <w:p w14:paraId="4E67CD89">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0.001</w:t>
            </w:r>
          </w:p>
        </w:tc>
        <w:tc>
          <w:tcPr>
            <w:tcW w:w="445" w:type="pct"/>
            <w:vAlign w:val="center"/>
          </w:tcPr>
          <w:p w14:paraId="29D2B374">
            <w:pPr>
              <w:widowControl/>
              <w:jc w:val="center"/>
              <w:textAlignment w:val="center"/>
              <w:rPr>
                <w:rFonts w:eastAsia="仿宋_GB2312"/>
                <w:color w:val="auto"/>
                <w:kern w:val="0"/>
                <w:szCs w:val="21"/>
                <w:lang w:bidi="ar"/>
              </w:rPr>
            </w:pPr>
            <w:r>
              <w:rPr>
                <w:rFonts w:hint="eastAsia" w:eastAsia="仿宋_GB2312"/>
                <w:b w:val="0"/>
                <w:bCs w:val="0"/>
                <w:color w:val="auto"/>
                <w:kern w:val="0"/>
                <w:szCs w:val="21"/>
                <w:lang w:val="en-US" w:eastAsia="zh-CN" w:bidi="ar"/>
              </w:rPr>
              <w:t>0.0004</w:t>
            </w:r>
          </w:p>
        </w:tc>
        <w:tc>
          <w:tcPr>
            <w:tcW w:w="630" w:type="pct"/>
            <w:vMerge w:val="continue"/>
            <w:vAlign w:val="center"/>
          </w:tcPr>
          <w:p w14:paraId="7B567EAC">
            <w:pPr>
              <w:jc w:val="center"/>
              <w:rPr>
                <w:rFonts w:eastAsia="仿宋_GB2312"/>
                <w:color w:val="auto"/>
                <w:kern w:val="0"/>
                <w:szCs w:val="21"/>
                <w:lang w:bidi="ar"/>
              </w:rPr>
            </w:pPr>
          </w:p>
        </w:tc>
        <w:tc>
          <w:tcPr>
            <w:tcW w:w="292" w:type="pct"/>
            <w:vMerge w:val="continue"/>
            <w:vAlign w:val="center"/>
          </w:tcPr>
          <w:p w14:paraId="6832F746">
            <w:pPr>
              <w:jc w:val="center"/>
              <w:rPr>
                <w:rFonts w:eastAsia="仿宋_GB2312"/>
                <w:color w:val="auto"/>
                <w:kern w:val="0"/>
                <w:szCs w:val="21"/>
                <w:lang w:bidi="ar"/>
              </w:rPr>
            </w:pPr>
          </w:p>
        </w:tc>
      </w:tr>
      <w:tr w14:paraId="5DA491B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4BB4D349">
            <w:pPr>
              <w:jc w:val="center"/>
              <w:rPr>
                <w:rFonts w:eastAsia="仿宋_GB2312"/>
                <w:color w:val="auto"/>
                <w:szCs w:val="21"/>
              </w:rPr>
            </w:pPr>
          </w:p>
        </w:tc>
        <w:tc>
          <w:tcPr>
            <w:tcW w:w="358" w:type="pct"/>
            <w:vMerge w:val="continue"/>
            <w:vAlign w:val="center"/>
          </w:tcPr>
          <w:p w14:paraId="1361B702">
            <w:pPr>
              <w:jc w:val="center"/>
              <w:rPr>
                <w:rFonts w:eastAsia="仿宋_GB2312"/>
                <w:color w:val="auto"/>
                <w:szCs w:val="21"/>
              </w:rPr>
            </w:pPr>
          </w:p>
        </w:tc>
        <w:tc>
          <w:tcPr>
            <w:tcW w:w="418" w:type="pct"/>
            <w:vMerge w:val="continue"/>
            <w:vAlign w:val="center"/>
          </w:tcPr>
          <w:p w14:paraId="32C6CB18">
            <w:pPr>
              <w:jc w:val="center"/>
              <w:rPr>
                <w:rFonts w:eastAsia="仿宋_GB2312"/>
                <w:color w:val="auto"/>
                <w:kern w:val="0"/>
                <w:szCs w:val="21"/>
                <w:lang w:bidi="ar"/>
              </w:rPr>
            </w:pPr>
          </w:p>
        </w:tc>
        <w:tc>
          <w:tcPr>
            <w:tcW w:w="446" w:type="pct"/>
            <w:vMerge w:val="continue"/>
            <w:vAlign w:val="center"/>
          </w:tcPr>
          <w:p w14:paraId="2B7F74AB">
            <w:pPr>
              <w:jc w:val="center"/>
              <w:rPr>
                <w:rFonts w:eastAsia="仿宋_GB2312"/>
                <w:color w:val="auto"/>
                <w:kern w:val="0"/>
                <w:szCs w:val="21"/>
                <w:lang w:bidi="ar"/>
              </w:rPr>
            </w:pPr>
          </w:p>
        </w:tc>
        <w:tc>
          <w:tcPr>
            <w:tcW w:w="361" w:type="pct"/>
            <w:vMerge w:val="continue"/>
            <w:vAlign w:val="center"/>
          </w:tcPr>
          <w:p w14:paraId="489A086F">
            <w:pPr>
              <w:jc w:val="center"/>
              <w:rPr>
                <w:rFonts w:eastAsia="仿宋_GB2312"/>
                <w:color w:val="auto"/>
                <w:szCs w:val="21"/>
              </w:rPr>
            </w:pPr>
          </w:p>
        </w:tc>
        <w:tc>
          <w:tcPr>
            <w:tcW w:w="498" w:type="pct"/>
            <w:vMerge w:val="continue"/>
            <w:shd w:val="clear" w:color="auto" w:fill="auto"/>
            <w:vAlign w:val="center"/>
          </w:tcPr>
          <w:p w14:paraId="2ABC220A">
            <w:pPr>
              <w:keepNext w:val="0"/>
              <w:keepLines w:val="0"/>
              <w:widowControl/>
              <w:suppressLineNumbers w:val="0"/>
              <w:jc w:val="center"/>
              <w:textAlignment w:val="bottom"/>
              <w:rPr>
                <w:rFonts w:hint="eastAsia" w:eastAsia="仿宋_GB2312"/>
                <w:color w:val="auto"/>
                <w:kern w:val="0"/>
                <w:szCs w:val="21"/>
                <w:lang w:val="en-US" w:eastAsia="zh-CN" w:bidi="ar"/>
              </w:rPr>
            </w:pPr>
          </w:p>
        </w:tc>
        <w:tc>
          <w:tcPr>
            <w:tcW w:w="820" w:type="pct"/>
            <w:shd w:val="clear" w:color="auto" w:fill="auto"/>
            <w:vAlign w:val="center"/>
          </w:tcPr>
          <w:p w14:paraId="036147D6">
            <w:pPr>
              <w:widowControl/>
              <w:jc w:val="center"/>
              <w:textAlignment w:val="center"/>
              <w:rPr>
                <w:rFonts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三乙二醇</w:t>
            </w:r>
          </w:p>
        </w:tc>
        <w:tc>
          <w:tcPr>
            <w:tcW w:w="380" w:type="pct"/>
            <w:shd w:val="clear" w:color="auto" w:fill="auto"/>
            <w:vAlign w:val="center"/>
          </w:tcPr>
          <w:p w14:paraId="07D9AC27">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0.0004</w:t>
            </w:r>
          </w:p>
        </w:tc>
        <w:tc>
          <w:tcPr>
            <w:tcW w:w="445" w:type="pct"/>
            <w:vAlign w:val="center"/>
          </w:tcPr>
          <w:p w14:paraId="4A4725E5">
            <w:pPr>
              <w:widowControl/>
              <w:jc w:val="center"/>
              <w:textAlignment w:val="center"/>
              <w:rPr>
                <w:rFonts w:eastAsia="仿宋_GB2312"/>
                <w:color w:val="auto"/>
                <w:kern w:val="0"/>
                <w:szCs w:val="21"/>
                <w:lang w:bidi="ar"/>
              </w:rPr>
            </w:pPr>
            <w:r>
              <w:rPr>
                <w:rFonts w:hint="eastAsia" w:eastAsia="仿宋_GB2312"/>
                <w:b w:val="0"/>
                <w:bCs w:val="0"/>
                <w:color w:val="auto"/>
                <w:kern w:val="0"/>
                <w:szCs w:val="21"/>
                <w:lang w:val="en-US" w:eastAsia="zh-CN" w:bidi="ar"/>
              </w:rPr>
              <w:t>0.0001</w:t>
            </w:r>
          </w:p>
        </w:tc>
        <w:tc>
          <w:tcPr>
            <w:tcW w:w="630" w:type="pct"/>
            <w:vMerge w:val="continue"/>
            <w:vAlign w:val="center"/>
          </w:tcPr>
          <w:p w14:paraId="3FA859BB">
            <w:pPr>
              <w:jc w:val="center"/>
              <w:rPr>
                <w:rFonts w:eastAsia="仿宋_GB2312"/>
                <w:color w:val="auto"/>
                <w:kern w:val="0"/>
                <w:szCs w:val="21"/>
                <w:lang w:bidi="ar"/>
              </w:rPr>
            </w:pPr>
          </w:p>
        </w:tc>
        <w:tc>
          <w:tcPr>
            <w:tcW w:w="292" w:type="pct"/>
            <w:vMerge w:val="continue"/>
            <w:vAlign w:val="center"/>
          </w:tcPr>
          <w:p w14:paraId="367083B4">
            <w:pPr>
              <w:jc w:val="center"/>
              <w:rPr>
                <w:rFonts w:eastAsia="仿宋_GB2312"/>
                <w:color w:val="auto"/>
                <w:kern w:val="0"/>
                <w:szCs w:val="21"/>
                <w:lang w:bidi="ar"/>
              </w:rPr>
            </w:pPr>
          </w:p>
        </w:tc>
      </w:tr>
      <w:tr w14:paraId="7D038B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12BD275A">
            <w:pPr>
              <w:jc w:val="center"/>
              <w:rPr>
                <w:rFonts w:eastAsia="仿宋_GB2312"/>
                <w:color w:val="auto"/>
                <w:szCs w:val="21"/>
              </w:rPr>
            </w:pPr>
          </w:p>
        </w:tc>
        <w:tc>
          <w:tcPr>
            <w:tcW w:w="358" w:type="pct"/>
            <w:vMerge w:val="continue"/>
            <w:vAlign w:val="center"/>
          </w:tcPr>
          <w:p w14:paraId="4F0B75BA">
            <w:pPr>
              <w:jc w:val="center"/>
              <w:rPr>
                <w:rFonts w:eastAsia="仿宋_GB2312"/>
                <w:color w:val="auto"/>
                <w:szCs w:val="21"/>
              </w:rPr>
            </w:pPr>
          </w:p>
        </w:tc>
        <w:tc>
          <w:tcPr>
            <w:tcW w:w="418" w:type="pct"/>
            <w:vMerge w:val="continue"/>
            <w:vAlign w:val="center"/>
          </w:tcPr>
          <w:p w14:paraId="7202122B">
            <w:pPr>
              <w:jc w:val="center"/>
              <w:rPr>
                <w:rFonts w:eastAsia="仿宋_GB2312"/>
                <w:color w:val="auto"/>
                <w:szCs w:val="21"/>
              </w:rPr>
            </w:pPr>
          </w:p>
        </w:tc>
        <w:tc>
          <w:tcPr>
            <w:tcW w:w="446" w:type="pct"/>
            <w:vMerge w:val="continue"/>
            <w:vAlign w:val="center"/>
          </w:tcPr>
          <w:p w14:paraId="73859FF5">
            <w:pPr>
              <w:jc w:val="center"/>
              <w:rPr>
                <w:rFonts w:eastAsia="仿宋_GB2312"/>
                <w:color w:val="auto"/>
                <w:szCs w:val="21"/>
              </w:rPr>
            </w:pPr>
          </w:p>
        </w:tc>
        <w:tc>
          <w:tcPr>
            <w:tcW w:w="361" w:type="pct"/>
            <w:vMerge w:val="continue"/>
            <w:vAlign w:val="center"/>
          </w:tcPr>
          <w:p w14:paraId="6795835A">
            <w:pPr>
              <w:jc w:val="center"/>
              <w:rPr>
                <w:rFonts w:eastAsia="仿宋_GB2312"/>
                <w:color w:val="auto"/>
                <w:szCs w:val="21"/>
              </w:rPr>
            </w:pPr>
          </w:p>
        </w:tc>
        <w:tc>
          <w:tcPr>
            <w:tcW w:w="498" w:type="pct"/>
            <w:vMerge w:val="continue"/>
            <w:shd w:val="clear" w:color="auto" w:fill="auto"/>
            <w:vAlign w:val="center"/>
          </w:tcPr>
          <w:p w14:paraId="5E1DB700">
            <w:pPr>
              <w:keepNext w:val="0"/>
              <w:keepLines w:val="0"/>
              <w:widowControl/>
              <w:suppressLineNumbers w:val="0"/>
              <w:jc w:val="center"/>
              <w:textAlignment w:val="bottom"/>
              <w:rPr>
                <w:rFonts w:hint="eastAsia" w:eastAsia="仿宋_GB2312"/>
                <w:color w:val="auto"/>
                <w:kern w:val="0"/>
                <w:szCs w:val="21"/>
                <w:lang w:val="en-US" w:eastAsia="zh-CN" w:bidi="ar"/>
              </w:rPr>
            </w:pPr>
          </w:p>
        </w:tc>
        <w:tc>
          <w:tcPr>
            <w:tcW w:w="820" w:type="pct"/>
            <w:shd w:val="clear" w:color="auto" w:fill="auto"/>
            <w:vAlign w:val="center"/>
          </w:tcPr>
          <w:p w14:paraId="3D474B32">
            <w:pPr>
              <w:widowControl/>
              <w:jc w:val="center"/>
              <w:textAlignment w:val="center"/>
              <w:rPr>
                <w:rFonts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其他有机物</w:t>
            </w:r>
          </w:p>
        </w:tc>
        <w:tc>
          <w:tcPr>
            <w:tcW w:w="380" w:type="pct"/>
            <w:shd w:val="clear" w:color="auto" w:fill="auto"/>
            <w:vAlign w:val="center"/>
          </w:tcPr>
          <w:p w14:paraId="36EDB1F2">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0.01</w:t>
            </w:r>
          </w:p>
        </w:tc>
        <w:tc>
          <w:tcPr>
            <w:tcW w:w="445" w:type="pct"/>
            <w:vAlign w:val="center"/>
          </w:tcPr>
          <w:p w14:paraId="31E8610B">
            <w:pPr>
              <w:widowControl/>
              <w:jc w:val="center"/>
              <w:textAlignment w:val="center"/>
              <w:rPr>
                <w:rFonts w:eastAsia="仿宋_GB2312"/>
                <w:color w:val="auto"/>
                <w:kern w:val="0"/>
                <w:szCs w:val="21"/>
                <w:lang w:bidi="ar"/>
              </w:rPr>
            </w:pPr>
            <w:r>
              <w:rPr>
                <w:rFonts w:hint="eastAsia" w:eastAsia="仿宋_GB2312"/>
                <w:b w:val="0"/>
                <w:bCs w:val="0"/>
                <w:color w:val="auto"/>
                <w:kern w:val="0"/>
                <w:szCs w:val="21"/>
                <w:lang w:val="en-US" w:eastAsia="zh-CN" w:bidi="ar"/>
              </w:rPr>
              <w:t>0.0025</w:t>
            </w:r>
          </w:p>
        </w:tc>
        <w:tc>
          <w:tcPr>
            <w:tcW w:w="630" w:type="pct"/>
            <w:vMerge w:val="continue"/>
            <w:vAlign w:val="center"/>
          </w:tcPr>
          <w:p w14:paraId="170A379F">
            <w:pPr>
              <w:jc w:val="center"/>
              <w:rPr>
                <w:rFonts w:eastAsia="仿宋_GB2312"/>
                <w:color w:val="auto"/>
                <w:szCs w:val="21"/>
              </w:rPr>
            </w:pPr>
          </w:p>
        </w:tc>
        <w:tc>
          <w:tcPr>
            <w:tcW w:w="292" w:type="pct"/>
            <w:vMerge w:val="continue"/>
            <w:vAlign w:val="center"/>
          </w:tcPr>
          <w:p w14:paraId="12EFD3C3">
            <w:pPr>
              <w:jc w:val="center"/>
              <w:rPr>
                <w:rFonts w:eastAsia="仿宋_GB2312"/>
                <w:color w:val="auto"/>
                <w:szCs w:val="21"/>
              </w:rPr>
            </w:pPr>
          </w:p>
        </w:tc>
      </w:tr>
      <w:tr w14:paraId="69DC77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4888CD45">
            <w:pPr>
              <w:jc w:val="center"/>
              <w:rPr>
                <w:rFonts w:eastAsia="仿宋_GB2312"/>
                <w:color w:val="auto"/>
                <w:szCs w:val="21"/>
              </w:rPr>
            </w:pPr>
          </w:p>
        </w:tc>
        <w:tc>
          <w:tcPr>
            <w:tcW w:w="358" w:type="pct"/>
            <w:vMerge w:val="continue"/>
            <w:vAlign w:val="center"/>
          </w:tcPr>
          <w:p w14:paraId="5DA06A24">
            <w:pPr>
              <w:jc w:val="center"/>
              <w:rPr>
                <w:rFonts w:eastAsia="仿宋_GB2312"/>
                <w:color w:val="auto"/>
                <w:szCs w:val="21"/>
              </w:rPr>
            </w:pPr>
          </w:p>
        </w:tc>
        <w:tc>
          <w:tcPr>
            <w:tcW w:w="418" w:type="pct"/>
            <w:vMerge w:val="restart"/>
            <w:vAlign w:val="center"/>
          </w:tcPr>
          <w:p w14:paraId="29D2338D">
            <w:pPr>
              <w:jc w:val="center"/>
              <w:rPr>
                <w:rFonts w:eastAsia="仿宋_GB2312"/>
                <w:color w:val="auto"/>
                <w:szCs w:val="21"/>
              </w:rPr>
            </w:pPr>
            <w:r>
              <w:rPr>
                <w:rFonts w:eastAsia="仿宋_GB2312"/>
                <w:color w:val="auto"/>
                <w:kern w:val="0"/>
                <w:szCs w:val="21"/>
                <w:lang w:bidi="ar"/>
              </w:rPr>
              <w:t>G</w:t>
            </w:r>
            <w:r>
              <w:rPr>
                <w:rFonts w:hint="eastAsia" w:eastAsia="仿宋_GB2312"/>
                <w:color w:val="auto"/>
                <w:kern w:val="0"/>
                <w:szCs w:val="21"/>
                <w:lang w:val="en-US" w:eastAsia="zh-CN" w:bidi="ar"/>
              </w:rPr>
              <w:t>2</w:t>
            </w:r>
            <w:r>
              <w:rPr>
                <w:rFonts w:eastAsia="仿宋_GB2312"/>
                <w:color w:val="auto"/>
                <w:kern w:val="0"/>
                <w:szCs w:val="21"/>
                <w:lang w:bidi="ar"/>
              </w:rPr>
              <w:t>-</w:t>
            </w:r>
            <w:r>
              <w:rPr>
                <w:rFonts w:hint="eastAsia" w:eastAsia="仿宋_GB2312"/>
                <w:color w:val="auto"/>
                <w:kern w:val="0"/>
                <w:szCs w:val="21"/>
                <w:lang w:val="en-US" w:eastAsia="zh-CN" w:bidi="ar"/>
              </w:rPr>
              <w:t>9</w:t>
            </w:r>
            <w:r>
              <w:rPr>
                <w:rFonts w:eastAsia="仿宋_GB2312"/>
                <w:color w:val="auto"/>
                <w:kern w:val="0"/>
                <w:szCs w:val="21"/>
                <w:lang w:bidi="ar"/>
              </w:rPr>
              <w:t>-3</w:t>
            </w:r>
          </w:p>
        </w:tc>
        <w:tc>
          <w:tcPr>
            <w:tcW w:w="446" w:type="pct"/>
            <w:vMerge w:val="restart"/>
            <w:vAlign w:val="center"/>
          </w:tcPr>
          <w:p w14:paraId="7CCA4475">
            <w:pPr>
              <w:jc w:val="center"/>
              <w:rPr>
                <w:rFonts w:eastAsia="仿宋_GB2312"/>
                <w:color w:val="auto"/>
                <w:szCs w:val="21"/>
              </w:rPr>
            </w:pPr>
            <w:r>
              <w:rPr>
                <w:rFonts w:eastAsia="仿宋_GB2312"/>
                <w:color w:val="auto"/>
                <w:kern w:val="0"/>
                <w:szCs w:val="21"/>
                <w:lang w:bidi="ar"/>
              </w:rPr>
              <w:t>不凝气</w:t>
            </w:r>
          </w:p>
        </w:tc>
        <w:tc>
          <w:tcPr>
            <w:tcW w:w="361" w:type="pct"/>
            <w:vMerge w:val="restart"/>
            <w:vAlign w:val="center"/>
          </w:tcPr>
          <w:p w14:paraId="615EBAE1">
            <w:pPr>
              <w:jc w:val="center"/>
              <w:rPr>
                <w:rFonts w:eastAsia="仿宋_GB2312"/>
                <w:color w:val="auto"/>
                <w:szCs w:val="21"/>
              </w:rPr>
            </w:pPr>
            <w:r>
              <w:rPr>
                <w:rFonts w:eastAsia="仿宋_GB2312"/>
                <w:color w:val="auto"/>
                <w:szCs w:val="21"/>
              </w:rPr>
              <w:t>360</w:t>
            </w:r>
          </w:p>
        </w:tc>
        <w:tc>
          <w:tcPr>
            <w:tcW w:w="498" w:type="pct"/>
            <w:vMerge w:val="restart"/>
            <w:shd w:val="clear" w:color="auto" w:fill="auto"/>
            <w:vAlign w:val="center"/>
          </w:tcPr>
          <w:p w14:paraId="3FFC2170">
            <w:pPr>
              <w:keepNext w:val="0"/>
              <w:keepLines w:val="0"/>
              <w:widowControl/>
              <w:suppressLineNumbers w:val="0"/>
              <w:jc w:val="center"/>
              <w:textAlignment w:val="bottom"/>
              <w:rPr>
                <w:rFonts w:eastAsia="仿宋_GB2312"/>
                <w:color w:val="auto"/>
                <w:kern w:val="0"/>
                <w:szCs w:val="21"/>
                <w:highlight w:val="none"/>
                <w:lang w:bidi="ar"/>
              </w:rPr>
            </w:pPr>
            <w:r>
              <w:rPr>
                <w:rFonts w:hint="default" w:ascii="Times New Roman" w:hAnsi="Times New Roman" w:eastAsia="宋体" w:cs="Times New Roman"/>
                <w:i w:val="0"/>
                <w:iCs w:val="0"/>
                <w:color w:val="auto"/>
                <w:kern w:val="0"/>
                <w:sz w:val="21"/>
                <w:szCs w:val="21"/>
                <w:u w:val="none"/>
                <w:lang w:val="en-US" w:eastAsia="zh-CN" w:bidi="ar"/>
              </w:rPr>
              <w:t>484</w:t>
            </w:r>
          </w:p>
        </w:tc>
        <w:tc>
          <w:tcPr>
            <w:tcW w:w="820" w:type="pct"/>
            <w:shd w:val="clear" w:color="auto" w:fill="auto"/>
            <w:vAlign w:val="center"/>
          </w:tcPr>
          <w:p w14:paraId="5E2557D7">
            <w:pPr>
              <w:widowControl/>
              <w:jc w:val="center"/>
              <w:textAlignment w:val="center"/>
              <w:rPr>
                <w:rFonts w:ascii="Times New Roman" w:hAnsi="Times New Roman" w:eastAsia="仿宋_GB2312" w:cs="Times New Roman"/>
                <w:b/>
                <w:bCs/>
                <w:color w:val="auto"/>
                <w:kern w:val="0"/>
                <w:sz w:val="21"/>
                <w:szCs w:val="21"/>
                <w:highlight w:val="none"/>
                <w:lang w:val="en-US" w:eastAsia="zh-CN" w:bidi="ar"/>
              </w:rPr>
            </w:pPr>
            <w:r>
              <w:rPr>
                <w:rFonts w:eastAsia="仿宋_GB2312"/>
                <w:color w:val="auto"/>
                <w:kern w:val="0"/>
                <w:szCs w:val="21"/>
                <w:highlight w:val="none"/>
                <w:lang w:bidi="ar"/>
              </w:rPr>
              <w:t>二乙二醇</w:t>
            </w:r>
          </w:p>
        </w:tc>
        <w:tc>
          <w:tcPr>
            <w:tcW w:w="380" w:type="pct"/>
            <w:shd w:val="clear" w:color="auto" w:fill="auto"/>
            <w:vAlign w:val="center"/>
          </w:tcPr>
          <w:p w14:paraId="05C9BAA0">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6.714</w:t>
            </w:r>
          </w:p>
        </w:tc>
        <w:tc>
          <w:tcPr>
            <w:tcW w:w="445" w:type="pct"/>
            <w:vAlign w:val="center"/>
          </w:tcPr>
          <w:p w14:paraId="23C03580">
            <w:pPr>
              <w:widowControl/>
              <w:jc w:val="center"/>
              <w:textAlignment w:val="center"/>
              <w:rPr>
                <w:rFonts w:eastAsia="仿宋_GB2312"/>
                <w:color w:val="auto"/>
                <w:kern w:val="0"/>
                <w:szCs w:val="21"/>
                <w:lang w:bidi="ar"/>
              </w:rPr>
            </w:pPr>
            <w:r>
              <w:rPr>
                <w:rFonts w:hint="eastAsia" w:eastAsia="仿宋_GB2312"/>
                <w:color w:val="auto"/>
                <w:kern w:val="0"/>
                <w:szCs w:val="21"/>
                <w:highlight w:val="none"/>
                <w:lang w:val="en-US" w:eastAsia="zh-CN" w:bidi="ar"/>
              </w:rPr>
              <w:t>3.25</w:t>
            </w:r>
          </w:p>
        </w:tc>
        <w:tc>
          <w:tcPr>
            <w:tcW w:w="630" w:type="pct"/>
            <w:vMerge w:val="continue"/>
            <w:vAlign w:val="center"/>
          </w:tcPr>
          <w:p w14:paraId="509D23F5">
            <w:pPr>
              <w:jc w:val="center"/>
              <w:rPr>
                <w:rFonts w:eastAsia="仿宋_GB2312"/>
                <w:color w:val="auto"/>
                <w:szCs w:val="21"/>
              </w:rPr>
            </w:pPr>
          </w:p>
        </w:tc>
        <w:tc>
          <w:tcPr>
            <w:tcW w:w="292" w:type="pct"/>
            <w:vMerge w:val="continue"/>
            <w:vAlign w:val="center"/>
          </w:tcPr>
          <w:p w14:paraId="5969A555">
            <w:pPr>
              <w:jc w:val="center"/>
              <w:rPr>
                <w:rFonts w:eastAsia="仿宋_GB2312"/>
                <w:color w:val="auto"/>
                <w:szCs w:val="21"/>
              </w:rPr>
            </w:pPr>
          </w:p>
        </w:tc>
      </w:tr>
      <w:tr w14:paraId="721ADB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1B502591">
            <w:pPr>
              <w:jc w:val="center"/>
              <w:rPr>
                <w:rFonts w:eastAsia="仿宋_GB2312"/>
                <w:color w:val="auto"/>
                <w:szCs w:val="21"/>
              </w:rPr>
            </w:pPr>
          </w:p>
        </w:tc>
        <w:tc>
          <w:tcPr>
            <w:tcW w:w="358" w:type="pct"/>
            <w:vMerge w:val="continue"/>
            <w:vAlign w:val="center"/>
          </w:tcPr>
          <w:p w14:paraId="3AFCEC1D">
            <w:pPr>
              <w:jc w:val="center"/>
              <w:rPr>
                <w:rFonts w:eastAsia="仿宋_GB2312"/>
                <w:color w:val="auto"/>
                <w:szCs w:val="21"/>
              </w:rPr>
            </w:pPr>
          </w:p>
        </w:tc>
        <w:tc>
          <w:tcPr>
            <w:tcW w:w="418" w:type="pct"/>
            <w:vMerge w:val="continue"/>
            <w:vAlign w:val="center"/>
          </w:tcPr>
          <w:p w14:paraId="75CC732C">
            <w:pPr>
              <w:jc w:val="center"/>
              <w:rPr>
                <w:rFonts w:eastAsia="仿宋_GB2312"/>
                <w:color w:val="auto"/>
                <w:kern w:val="0"/>
                <w:szCs w:val="21"/>
                <w:lang w:bidi="ar"/>
              </w:rPr>
            </w:pPr>
          </w:p>
        </w:tc>
        <w:tc>
          <w:tcPr>
            <w:tcW w:w="446" w:type="pct"/>
            <w:vMerge w:val="continue"/>
            <w:vAlign w:val="center"/>
          </w:tcPr>
          <w:p w14:paraId="537A2B81">
            <w:pPr>
              <w:jc w:val="center"/>
              <w:rPr>
                <w:rFonts w:eastAsia="仿宋_GB2312"/>
                <w:color w:val="auto"/>
                <w:kern w:val="0"/>
                <w:szCs w:val="21"/>
                <w:lang w:bidi="ar"/>
              </w:rPr>
            </w:pPr>
          </w:p>
        </w:tc>
        <w:tc>
          <w:tcPr>
            <w:tcW w:w="361" w:type="pct"/>
            <w:vMerge w:val="continue"/>
            <w:vAlign w:val="center"/>
          </w:tcPr>
          <w:p w14:paraId="2C8157C1">
            <w:pPr>
              <w:jc w:val="center"/>
              <w:rPr>
                <w:rFonts w:eastAsia="仿宋_GB2312"/>
                <w:color w:val="auto"/>
                <w:szCs w:val="21"/>
              </w:rPr>
            </w:pPr>
          </w:p>
        </w:tc>
        <w:tc>
          <w:tcPr>
            <w:tcW w:w="498" w:type="pct"/>
            <w:vMerge w:val="continue"/>
            <w:shd w:val="clear" w:color="auto" w:fill="auto"/>
            <w:vAlign w:val="center"/>
          </w:tcPr>
          <w:p w14:paraId="66E126FB">
            <w:pPr>
              <w:keepNext w:val="0"/>
              <w:keepLines w:val="0"/>
              <w:widowControl/>
              <w:suppressLineNumbers w:val="0"/>
              <w:jc w:val="center"/>
              <w:textAlignment w:val="bottom"/>
              <w:rPr>
                <w:rFonts w:hint="eastAsia" w:eastAsia="仿宋_GB2312"/>
                <w:color w:val="auto"/>
                <w:kern w:val="0"/>
                <w:szCs w:val="21"/>
                <w:lang w:val="en-US" w:eastAsia="zh-CN" w:bidi="ar"/>
              </w:rPr>
            </w:pPr>
          </w:p>
        </w:tc>
        <w:tc>
          <w:tcPr>
            <w:tcW w:w="820" w:type="pct"/>
            <w:shd w:val="clear" w:color="auto" w:fill="auto"/>
            <w:vAlign w:val="center"/>
          </w:tcPr>
          <w:p w14:paraId="0CE82382">
            <w:pPr>
              <w:widowControl/>
              <w:jc w:val="center"/>
              <w:textAlignment w:val="center"/>
              <w:rPr>
                <w:rFonts w:ascii="Times New Roman" w:hAnsi="Times New Roman" w:eastAsia="仿宋_GB2312" w:cs="Times New Roman"/>
                <w:b/>
                <w:bCs/>
                <w:color w:val="auto"/>
                <w:kern w:val="0"/>
                <w:sz w:val="21"/>
                <w:szCs w:val="21"/>
                <w:lang w:val="en-US" w:eastAsia="zh-CN" w:bidi="ar"/>
              </w:rPr>
            </w:pPr>
            <w:r>
              <w:rPr>
                <w:rFonts w:hint="eastAsia" w:eastAsia="仿宋_GB2312"/>
                <w:color w:val="auto"/>
                <w:kern w:val="0"/>
                <w:szCs w:val="21"/>
                <w:lang w:val="en-US" w:eastAsia="zh-CN" w:bidi="ar"/>
              </w:rPr>
              <w:t>乙二醇</w:t>
            </w:r>
          </w:p>
        </w:tc>
        <w:tc>
          <w:tcPr>
            <w:tcW w:w="380" w:type="pct"/>
            <w:shd w:val="clear" w:color="auto" w:fill="auto"/>
            <w:vAlign w:val="center"/>
          </w:tcPr>
          <w:p w14:paraId="2E3728DD">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0.017</w:t>
            </w:r>
          </w:p>
        </w:tc>
        <w:tc>
          <w:tcPr>
            <w:tcW w:w="445" w:type="pct"/>
            <w:vAlign w:val="center"/>
          </w:tcPr>
          <w:p w14:paraId="7660364B">
            <w:pPr>
              <w:widowControl/>
              <w:jc w:val="center"/>
              <w:textAlignment w:val="center"/>
              <w:rPr>
                <w:rFonts w:eastAsia="仿宋_GB2312"/>
                <w:color w:val="auto"/>
                <w:kern w:val="0"/>
                <w:szCs w:val="21"/>
                <w:lang w:bidi="ar"/>
              </w:rPr>
            </w:pPr>
            <w:r>
              <w:rPr>
                <w:rFonts w:hint="eastAsia" w:eastAsia="仿宋_GB2312"/>
                <w:color w:val="auto"/>
                <w:kern w:val="0"/>
                <w:szCs w:val="21"/>
                <w:highlight w:val="none"/>
                <w:lang w:val="en-US" w:eastAsia="zh-CN" w:bidi="ar"/>
              </w:rPr>
              <w:t>0.0086</w:t>
            </w:r>
          </w:p>
        </w:tc>
        <w:tc>
          <w:tcPr>
            <w:tcW w:w="630" w:type="pct"/>
            <w:vMerge w:val="continue"/>
            <w:vAlign w:val="center"/>
          </w:tcPr>
          <w:p w14:paraId="00EBBBB7">
            <w:pPr>
              <w:jc w:val="center"/>
              <w:rPr>
                <w:rFonts w:eastAsia="仿宋_GB2312"/>
                <w:color w:val="auto"/>
                <w:szCs w:val="21"/>
              </w:rPr>
            </w:pPr>
          </w:p>
        </w:tc>
        <w:tc>
          <w:tcPr>
            <w:tcW w:w="292" w:type="pct"/>
            <w:vMerge w:val="continue"/>
            <w:vAlign w:val="center"/>
          </w:tcPr>
          <w:p w14:paraId="1876343F">
            <w:pPr>
              <w:jc w:val="center"/>
              <w:rPr>
                <w:rFonts w:eastAsia="仿宋_GB2312"/>
                <w:color w:val="auto"/>
                <w:szCs w:val="21"/>
              </w:rPr>
            </w:pPr>
          </w:p>
        </w:tc>
      </w:tr>
      <w:tr w14:paraId="1600DE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3D56B6F2">
            <w:pPr>
              <w:jc w:val="center"/>
              <w:rPr>
                <w:rFonts w:eastAsia="仿宋_GB2312"/>
                <w:color w:val="auto"/>
                <w:szCs w:val="21"/>
              </w:rPr>
            </w:pPr>
          </w:p>
        </w:tc>
        <w:tc>
          <w:tcPr>
            <w:tcW w:w="358" w:type="pct"/>
            <w:vMerge w:val="continue"/>
            <w:vAlign w:val="center"/>
          </w:tcPr>
          <w:p w14:paraId="7B881A0B">
            <w:pPr>
              <w:jc w:val="center"/>
              <w:rPr>
                <w:rFonts w:eastAsia="仿宋_GB2312"/>
                <w:color w:val="auto"/>
                <w:szCs w:val="21"/>
              </w:rPr>
            </w:pPr>
          </w:p>
        </w:tc>
        <w:tc>
          <w:tcPr>
            <w:tcW w:w="418" w:type="pct"/>
            <w:vMerge w:val="continue"/>
            <w:vAlign w:val="center"/>
          </w:tcPr>
          <w:p w14:paraId="4C062001">
            <w:pPr>
              <w:jc w:val="center"/>
              <w:rPr>
                <w:rFonts w:eastAsia="仿宋_GB2312"/>
                <w:color w:val="auto"/>
                <w:kern w:val="0"/>
                <w:szCs w:val="21"/>
                <w:lang w:bidi="ar"/>
              </w:rPr>
            </w:pPr>
          </w:p>
        </w:tc>
        <w:tc>
          <w:tcPr>
            <w:tcW w:w="446" w:type="pct"/>
            <w:vMerge w:val="continue"/>
            <w:vAlign w:val="center"/>
          </w:tcPr>
          <w:p w14:paraId="476148F3">
            <w:pPr>
              <w:jc w:val="center"/>
              <w:rPr>
                <w:rFonts w:eastAsia="仿宋_GB2312"/>
                <w:color w:val="auto"/>
                <w:kern w:val="0"/>
                <w:szCs w:val="21"/>
                <w:lang w:bidi="ar"/>
              </w:rPr>
            </w:pPr>
          </w:p>
        </w:tc>
        <w:tc>
          <w:tcPr>
            <w:tcW w:w="361" w:type="pct"/>
            <w:vMerge w:val="continue"/>
            <w:vAlign w:val="center"/>
          </w:tcPr>
          <w:p w14:paraId="03F339C2">
            <w:pPr>
              <w:jc w:val="center"/>
              <w:rPr>
                <w:rFonts w:eastAsia="仿宋_GB2312"/>
                <w:color w:val="auto"/>
                <w:szCs w:val="21"/>
              </w:rPr>
            </w:pPr>
          </w:p>
        </w:tc>
        <w:tc>
          <w:tcPr>
            <w:tcW w:w="498" w:type="pct"/>
            <w:vMerge w:val="continue"/>
            <w:shd w:val="clear" w:color="auto" w:fill="auto"/>
            <w:vAlign w:val="center"/>
          </w:tcPr>
          <w:p w14:paraId="11E80DDD">
            <w:pPr>
              <w:keepNext w:val="0"/>
              <w:keepLines w:val="0"/>
              <w:widowControl/>
              <w:suppressLineNumbers w:val="0"/>
              <w:jc w:val="center"/>
              <w:textAlignment w:val="bottom"/>
              <w:rPr>
                <w:rFonts w:hint="eastAsia" w:eastAsia="仿宋_GB2312"/>
                <w:color w:val="auto"/>
                <w:kern w:val="0"/>
                <w:szCs w:val="21"/>
                <w:lang w:val="en-US" w:eastAsia="zh-CN" w:bidi="ar"/>
              </w:rPr>
            </w:pPr>
          </w:p>
        </w:tc>
        <w:tc>
          <w:tcPr>
            <w:tcW w:w="820" w:type="pct"/>
            <w:shd w:val="clear" w:color="auto" w:fill="auto"/>
            <w:vAlign w:val="center"/>
          </w:tcPr>
          <w:p w14:paraId="6781C36B">
            <w:pPr>
              <w:widowControl/>
              <w:jc w:val="center"/>
              <w:textAlignment w:val="center"/>
              <w:rPr>
                <w:rFonts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三乙二醇</w:t>
            </w:r>
          </w:p>
        </w:tc>
        <w:tc>
          <w:tcPr>
            <w:tcW w:w="380" w:type="pct"/>
            <w:shd w:val="clear" w:color="auto" w:fill="auto"/>
            <w:vAlign w:val="center"/>
          </w:tcPr>
          <w:p w14:paraId="7DB5CB03">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0.002</w:t>
            </w:r>
          </w:p>
        </w:tc>
        <w:tc>
          <w:tcPr>
            <w:tcW w:w="445" w:type="pct"/>
            <w:vAlign w:val="center"/>
          </w:tcPr>
          <w:p w14:paraId="0F8AE535">
            <w:pPr>
              <w:widowControl/>
              <w:jc w:val="center"/>
              <w:textAlignment w:val="center"/>
              <w:rPr>
                <w:rFonts w:eastAsia="仿宋_GB2312"/>
                <w:color w:val="auto"/>
                <w:kern w:val="0"/>
                <w:szCs w:val="21"/>
                <w:lang w:bidi="ar"/>
              </w:rPr>
            </w:pPr>
            <w:r>
              <w:rPr>
                <w:rFonts w:hint="eastAsia" w:eastAsia="仿宋_GB2312"/>
                <w:color w:val="auto"/>
                <w:kern w:val="0"/>
                <w:szCs w:val="21"/>
                <w:highlight w:val="none"/>
                <w:lang w:val="en-US" w:eastAsia="zh-CN" w:bidi="ar"/>
              </w:rPr>
              <w:t>0.001</w:t>
            </w:r>
          </w:p>
        </w:tc>
        <w:tc>
          <w:tcPr>
            <w:tcW w:w="630" w:type="pct"/>
            <w:vMerge w:val="continue"/>
            <w:vAlign w:val="center"/>
          </w:tcPr>
          <w:p w14:paraId="292C3BF2">
            <w:pPr>
              <w:jc w:val="center"/>
              <w:rPr>
                <w:rFonts w:eastAsia="仿宋_GB2312"/>
                <w:color w:val="auto"/>
                <w:szCs w:val="21"/>
              </w:rPr>
            </w:pPr>
          </w:p>
        </w:tc>
        <w:tc>
          <w:tcPr>
            <w:tcW w:w="292" w:type="pct"/>
            <w:vMerge w:val="continue"/>
            <w:vAlign w:val="center"/>
          </w:tcPr>
          <w:p w14:paraId="2E2560B1">
            <w:pPr>
              <w:jc w:val="center"/>
              <w:rPr>
                <w:rFonts w:eastAsia="仿宋_GB2312"/>
                <w:color w:val="auto"/>
                <w:szCs w:val="21"/>
              </w:rPr>
            </w:pPr>
          </w:p>
        </w:tc>
      </w:tr>
      <w:tr w14:paraId="0D23CC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3B0A087D">
            <w:pPr>
              <w:jc w:val="center"/>
              <w:rPr>
                <w:rFonts w:eastAsia="仿宋_GB2312"/>
                <w:color w:val="auto"/>
                <w:szCs w:val="21"/>
              </w:rPr>
            </w:pPr>
          </w:p>
        </w:tc>
        <w:tc>
          <w:tcPr>
            <w:tcW w:w="358" w:type="pct"/>
            <w:vMerge w:val="continue"/>
            <w:vAlign w:val="center"/>
          </w:tcPr>
          <w:p w14:paraId="3B7483F8">
            <w:pPr>
              <w:jc w:val="center"/>
              <w:rPr>
                <w:rFonts w:eastAsia="仿宋_GB2312"/>
                <w:color w:val="auto"/>
                <w:szCs w:val="21"/>
              </w:rPr>
            </w:pPr>
          </w:p>
        </w:tc>
        <w:tc>
          <w:tcPr>
            <w:tcW w:w="418" w:type="pct"/>
            <w:vMerge w:val="continue"/>
            <w:vAlign w:val="center"/>
          </w:tcPr>
          <w:p w14:paraId="1C4ECC96">
            <w:pPr>
              <w:jc w:val="center"/>
              <w:rPr>
                <w:rFonts w:eastAsia="仿宋_GB2312"/>
                <w:color w:val="auto"/>
                <w:szCs w:val="21"/>
              </w:rPr>
            </w:pPr>
          </w:p>
        </w:tc>
        <w:tc>
          <w:tcPr>
            <w:tcW w:w="446" w:type="pct"/>
            <w:vMerge w:val="continue"/>
            <w:vAlign w:val="center"/>
          </w:tcPr>
          <w:p w14:paraId="6BF47DD7">
            <w:pPr>
              <w:jc w:val="center"/>
              <w:rPr>
                <w:rFonts w:eastAsia="仿宋_GB2312"/>
                <w:color w:val="auto"/>
                <w:szCs w:val="21"/>
              </w:rPr>
            </w:pPr>
          </w:p>
        </w:tc>
        <w:tc>
          <w:tcPr>
            <w:tcW w:w="361" w:type="pct"/>
            <w:vMerge w:val="continue"/>
            <w:vAlign w:val="center"/>
          </w:tcPr>
          <w:p w14:paraId="78056744">
            <w:pPr>
              <w:jc w:val="center"/>
              <w:rPr>
                <w:rFonts w:eastAsia="仿宋_GB2312"/>
                <w:color w:val="auto"/>
                <w:szCs w:val="21"/>
              </w:rPr>
            </w:pPr>
          </w:p>
        </w:tc>
        <w:tc>
          <w:tcPr>
            <w:tcW w:w="498" w:type="pct"/>
            <w:vMerge w:val="continue"/>
            <w:shd w:val="clear" w:color="auto" w:fill="auto"/>
            <w:vAlign w:val="center"/>
          </w:tcPr>
          <w:p w14:paraId="17E78EFC">
            <w:pPr>
              <w:keepNext w:val="0"/>
              <w:keepLines w:val="0"/>
              <w:widowControl/>
              <w:suppressLineNumbers w:val="0"/>
              <w:jc w:val="center"/>
              <w:textAlignment w:val="bottom"/>
              <w:rPr>
                <w:rFonts w:hint="eastAsia" w:eastAsia="仿宋_GB2312"/>
                <w:color w:val="auto"/>
                <w:kern w:val="0"/>
                <w:szCs w:val="21"/>
                <w:lang w:val="en-US" w:eastAsia="zh-CN" w:bidi="ar"/>
              </w:rPr>
            </w:pPr>
          </w:p>
        </w:tc>
        <w:tc>
          <w:tcPr>
            <w:tcW w:w="820" w:type="pct"/>
            <w:shd w:val="clear" w:color="auto" w:fill="auto"/>
            <w:vAlign w:val="center"/>
          </w:tcPr>
          <w:p w14:paraId="6AED776D">
            <w:pPr>
              <w:widowControl/>
              <w:jc w:val="center"/>
              <w:textAlignment w:val="center"/>
              <w:rPr>
                <w:rFonts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其他有机物</w:t>
            </w:r>
          </w:p>
        </w:tc>
        <w:tc>
          <w:tcPr>
            <w:tcW w:w="380" w:type="pct"/>
            <w:shd w:val="clear" w:color="auto" w:fill="auto"/>
            <w:vAlign w:val="center"/>
          </w:tcPr>
          <w:p w14:paraId="3BDB29EF">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0.157</w:t>
            </w:r>
          </w:p>
        </w:tc>
        <w:tc>
          <w:tcPr>
            <w:tcW w:w="445" w:type="pct"/>
            <w:vAlign w:val="center"/>
          </w:tcPr>
          <w:p w14:paraId="0D2E3F63">
            <w:pPr>
              <w:widowControl/>
              <w:jc w:val="center"/>
              <w:textAlignment w:val="center"/>
              <w:rPr>
                <w:rFonts w:eastAsia="仿宋_GB2312"/>
                <w:color w:val="auto"/>
                <w:kern w:val="0"/>
                <w:szCs w:val="21"/>
                <w:lang w:bidi="ar"/>
              </w:rPr>
            </w:pPr>
            <w:r>
              <w:rPr>
                <w:rFonts w:hint="eastAsia" w:eastAsia="仿宋_GB2312"/>
                <w:color w:val="auto"/>
                <w:kern w:val="0"/>
                <w:szCs w:val="21"/>
                <w:highlight w:val="none"/>
                <w:lang w:val="en-US" w:eastAsia="zh-CN" w:bidi="ar"/>
              </w:rPr>
              <w:t>0.0763</w:t>
            </w:r>
          </w:p>
        </w:tc>
        <w:tc>
          <w:tcPr>
            <w:tcW w:w="630" w:type="pct"/>
            <w:vMerge w:val="continue"/>
            <w:vAlign w:val="center"/>
          </w:tcPr>
          <w:p w14:paraId="5E0CE9ED">
            <w:pPr>
              <w:jc w:val="center"/>
              <w:rPr>
                <w:rFonts w:eastAsia="仿宋_GB2312"/>
                <w:color w:val="auto"/>
                <w:szCs w:val="21"/>
              </w:rPr>
            </w:pPr>
          </w:p>
        </w:tc>
        <w:tc>
          <w:tcPr>
            <w:tcW w:w="292" w:type="pct"/>
            <w:vMerge w:val="continue"/>
            <w:vAlign w:val="center"/>
          </w:tcPr>
          <w:p w14:paraId="49DD3674">
            <w:pPr>
              <w:jc w:val="center"/>
              <w:rPr>
                <w:rFonts w:eastAsia="仿宋_GB2312"/>
                <w:color w:val="auto"/>
                <w:szCs w:val="21"/>
              </w:rPr>
            </w:pPr>
          </w:p>
        </w:tc>
      </w:tr>
      <w:tr w14:paraId="5DABFA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20147635">
            <w:pPr>
              <w:jc w:val="center"/>
              <w:rPr>
                <w:rFonts w:eastAsia="仿宋_GB2312"/>
                <w:color w:val="auto"/>
                <w:szCs w:val="21"/>
              </w:rPr>
            </w:pPr>
          </w:p>
        </w:tc>
        <w:tc>
          <w:tcPr>
            <w:tcW w:w="358" w:type="pct"/>
            <w:vMerge w:val="continue"/>
            <w:vAlign w:val="center"/>
          </w:tcPr>
          <w:p w14:paraId="61AE3D18">
            <w:pPr>
              <w:jc w:val="center"/>
              <w:rPr>
                <w:rFonts w:eastAsia="仿宋_GB2312"/>
                <w:color w:val="auto"/>
                <w:szCs w:val="21"/>
              </w:rPr>
            </w:pPr>
          </w:p>
        </w:tc>
        <w:tc>
          <w:tcPr>
            <w:tcW w:w="418" w:type="pct"/>
            <w:vMerge w:val="restart"/>
            <w:vAlign w:val="center"/>
          </w:tcPr>
          <w:p w14:paraId="1CE78629">
            <w:pPr>
              <w:jc w:val="center"/>
              <w:rPr>
                <w:rFonts w:eastAsia="仿宋_GB2312"/>
                <w:color w:val="auto"/>
                <w:szCs w:val="21"/>
              </w:rPr>
            </w:pPr>
            <w:r>
              <w:rPr>
                <w:rFonts w:eastAsia="仿宋_GB2312"/>
                <w:color w:val="auto"/>
                <w:kern w:val="0"/>
                <w:szCs w:val="21"/>
                <w:lang w:bidi="ar"/>
              </w:rPr>
              <w:t>G</w:t>
            </w:r>
            <w:r>
              <w:rPr>
                <w:rFonts w:hint="eastAsia" w:eastAsia="仿宋_GB2312"/>
                <w:color w:val="auto"/>
                <w:kern w:val="0"/>
                <w:szCs w:val="21"/>
                <w:lang w:val="en-US" w:eastAsia="zh-CN" w:bidi="ar"/>
              </w:rPr>
              <w:t>2</w:t>
            </w:r>
            <w:r>
              <w:rPr>
                <w:rFonts w:eastAsia="仿宋_GB2312"/>
                <w:color w:val="auto"/>
                <w:kern w:val="0"/>
                <w:szCs w:val="21"/>
                <w:lang w:bidi="ar"/>
              </w:rPr>
              <w:t>-</w:t>
            </w:r>
            <w:r>
              <w:rPr>
                <w:rFonts w:hint="eastAsia" w:eastAsia="仿宋_GB2312"/>
                <w:color w:val="auto"/>
                <w:kern w:val="0"/>
                <w:szCs w:val="21"/>
                <w:lang w:val="en-US" w:eastAsia="zh-CN" w:bidi="ar"/>
              </w:rPr>
              <w:t>9</w:t>
            </w:r>
            <w:r>
              <w:rPr>
                <w:rFonts w:eastAsia="仿宋_GB2312"/>
                <w:color w:val="auto"/>
                <w:kern w:val="0"/>
                <w:szCs w:val="21"/>
                <w:lang w:bidi="ar"/>
              </w:rPr>
              <w:t>-4</w:t>
            </w:r>
          </w:p>
        </w:tc>
        <w:tc>
          <w:tcPr>
            <w:tcW w:w="446" w:type="pct"/>
            <w:vMerge w:val="restart"/>
            <w:vAlign w:val="center"/>
          </w:tcPr>
          <w:p w14:paraId="12A6DDCC">
            <w:pPr>
              <w:jc w:val="center"/>
              <w:rPr>
                <w:rFonts w:eastAsia="仿宋_GB2312"/>
                <w:color w:val="auto"/>
                <w:szCs w:val="21"/>
              </w:rPr>
            </w:pPr>
            <w:r>
              <w:rPr>
                <w:rFonts w:eastAsia="仿宋_GB2312"/>
                <w:color w:val="auto"/>
                <w:kern w:val="0"/>
                <w:szCs w:val="21"/>
                <w:lang w:bidi="ar"/>
              </w:rPr>
              <w:t>不凝气</w:t>
            </w:r>
          </w:p>
        </w:tc>
        <w:tc>
          <w:tcPr>
            <w:tcW w:w="361" w:type="pct"/>
            <w:vMerge w:val="restart"/>
            <w:vAlign w:val="center"/>
          </w:tcPr>
          <w:p w14:paraId="0124DD2E">
            <w:pPr>
              <w:jc w:val="center"/>
              <w:rPr>
                <w:rFonts w:eastAsia="仿宋_GB2312"/>
                <w:color w:val="auto"/>
                <w:szCs w:val="21"/>
              </w:rPr>
            </w:pPr>
            <w:r>
              <w:rPr>
                <w:rFonts w:eastAsia="仿宋_GB2312"/>
                <w:color w:val="auto"/>
                <w:szCs w:val="21"/>
              </w:rPr>
              <w:t>360</w:t>
            </w:r>
          </w:p>
        </w:tc>
        <w:tc>
          <w:tcPr>
            <w:tcW w:w="498" w:type="pct"/>
            <w:vMerge w:val="restart"/>
            <w:shd w:val="clear" w:color="auto" w:fill="auto"/>
            <w:vAlign w:val="center"/>
          </w:tcPr>
          <w:p w14:paraId="1D1ED180">
            <w:pPr>
              <w:keepNext w:val="0"/>
              <w:keepLines w:val="0"/>
              <w:widowControl/>
              <w:suppressLineNumbers w:val="0"/>
              <w:jc w:val="center"/>
              <w:textAlignment w:val="bottom"/>
              <w:rPr>
                <w:rFonts w:eastAsia="仿宋_GB2312"/>
                <w:color w:val="auto"/>
                <w:kern w:val="0"/>
                <w:szCs w:val="21"/>
                <w:highlight w:val="none"/>
                <w:lang w:bidi="ar"/>
              </w:rPr>
            </w:pPr>
            <w:r>
              <w:rPr>
                <w:rFonts w:hint="default" w:ascii="Times New Roman" w:hAnsi="Times New Roman" w:eastAsia="宋体" w:cs="Times New Roman"/>
                <w:i w:val="0"/>
                <w:iCs w:val="0"/>
                <w:color w:val="auto"/>
                <w:kern w:val="0"/>
                <w:sz w:val="21"/>
                <w:szCs w:val="21"/>
                <w:u w:val="none"/>
                <w:lang w:val="en-US" w:eastAsia="zh-CN" w:bidi="ar"/>
              </w:rPr>
              <w:t>484</w:t>
            </w:r>
          </w:p>
        </w:tc>
        <w:tc>
          <w:tcPr>
            <w:tcW w:w="820" w:type="pct"/>
            <w:shd w:val="clear" w:color="auto" w:fill="auto"/>
            <w:vAlign w:val="center"/>
          </w:tcPr>
          <w:p w14:paraId="61A728F3">
            <w:pPr>
              <w:widowControl/>
              <w:jc w:val="center"/>
              <w:textAlignment w:val="center"/>
              <w:rPr>
                <w:rFonts w:hint="eastAsia" w:ascii="Times New Roman" w:hAnsi="Times New Roman" w:eastAsia="仿宋_GB2312" w:cs="Times New Roman"/>
                <w:color w:val="auto"/>
                <w:kern w:val="0"/>
                <w:sz w:val="21"/>
                <w:szCs w:val="21"/>
                <w:lang w:val="en-US" w:eastAsia="zh-CN" w:bidi="ar"/>
              </w:rPr>
            </w:pPr>
            <w:r>
              <w:rPr>
                <w:rFonts w:eastAsia="仿宋_GB2312"/>
                <w:color w:val="auto"/>
                <w:kern w:val="0"/>
                <w:szCs w:val="21"/>
                <w:highlight w:val="none"/>
                <w:lang w:bidi="ar"/>
              </w:rPr>
              <w:t>二乙二醇</w:t>
            </w:r>
          </w:p>
        </w:tc>
        <w:tc>
          <w:tcPr>
            <w:tcW w:w="380" w:type="pct"/>
            <w:shd w:val="clear" w:color="auto" w:fill="auto"/>
            <w:vAlign w:val="center"/>
          </w:tcPr>
          <w:p w14:paraId="08DB63A4">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0.202</w:t>
            </w:r>
          </w:p>
        </w:tc>
        <w:tc>
          <w:tcPr>
            <w:tcW w:w="445" w:type="pct"/>
            <w:vAlign w:val="center"/>
          </w:tcPr>
          <w:p w14:paraId="6E5C9B22">
            <w:pPr>
              <w:widowControl/>
              <w:jc w:val="center"/>
              <w:textAlignment w:val="center"/>
              <w:rPr>
                <w:rFonts w:eastAsia="仿宋_GB2312"/>
                <w:color w:val="auto"/>
                <w:kern w:val="0"/>
                <w:szCs w:val="21"/>
                <w:lang w:bidi="ar"/>
              </w:rPr>
            </w:pPr>
            <w:r>
              <w:rPr>
                <w:rFonts w:hint="eastAsia" w:eastAsia="仿宋_GB2312"/>
                <w:b w:val="0"/>
                <w:bCs w:val="0"/>
                <w:color w:val="auto"/>
                <w:kern w:val="0"/>
                <w:szCs w:val="21"/>
                <w:lang w:val="en-US" w:eastAsia="zh-CN" w:bidi="ar"/>
              </w:rPr>
              <w:t>0.098</w:t>
            </w:r>
          </w:p>
        </w:tc>
        <w:tc>
          <w:tcPr>
            <w:tcW w:w="630" w:type="pct"/>
            <w:vMerge w:val="continue"/>
            <w:vAlign w:val="center"/>
          </w:tcPr>
          <w:p w14:paraId="31179CD5">
            <w:pPr>
              <w:jc w:val="center"/>
              <w:rPr>
                <w:rFonts w:eastAsia="仿宋_GB2312"/>
                <w:color w:val="auto"/>
                <w:szCs w:val="21"/>
              </w:rPr>
            </w:pPr>
          </w:p>
        </w:tc>
        <w:tc>
          <w:tcPr>
            <w:tcW w:w="292" w:type="pct"/>
            <w:vMerge w:val="continue"/>
            <w:vAlign w:val="center"/>
          </w:tcPr>
          <w:p w14:paraId="03D9F8B4">
            <w:pPr>
              <w:jc w:val="center"/>
              <w:rPr>
                <w:rFonts w:eastAsia="仿宋_GB2312"/>
                <w:color w:val="auto"/>
                <w:szCs w:val="21"/>
              </w:rPr>
            </w:pPr>
          </w:p>
        </w:tc>
      </w:tr>
      <w:tr w14:paraId="05C6251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2734E83D">
            <w:pPr>
              <w:jc w:val="center"/>
              <w:rPr>
                <w:rFonts w:eastAsia="仿宋_GB2312"/>
                <w:color w:val="auto"/>
                <w:szCs w:val="21"/>
              </w:rPr>
            </w:pPr>
          </w:p>
        </w:tc>
        <w:tc>
          <w:tcPr>
            <w:tcW w:w="358" w:type="pct"/>
            <w:vMerge w:val="continue"/>
            <w:vAlign w:val="center"/>
          </w:tcPr>
          <w:p w14:paraId="316C9107">
            <w:pPr>
              <w:jc w:val="center"/>
              <w:rPr>
                <w:rFonts w:eastAsia="仿宋_GB2312"/>
                <w:color w:val="auto"/>
                <w:szCs w:val="21"/>
              </w:rPr>
            </w:pPr>
          </w:p>
        </w:tc>
        <w:tc>
          <w:tcPr>
            <w:tcW w:w="418" w:type="pct"/>
            <w:vMerge w:val="continue"/>
            <w:vAlign w:val="center"/>
          </w:tcPr>
          <w:p w14:paraId="33A9C535">
            <w:pPr>
              <w:jc w:val="center"/>
              <w:rPr>
                <w:rFonts w:eastAsia="仿宋_GB2312"/>
                <w:color w:val="auto"/>
                <w:kern w:val="0"/>
                <w:szCs w:val="21"/>
                <w:lang w:bidi="ar"/>
              </w:rPr>
            </w:pPr>
          </w:p>
        </w:tc>
        <w:tc>
          <w:tcPr>
            <w:tcW w:w="446" w:type="pct"/>
            <w:vMerge w:val="continue"/>
            <w:vAlign w:val="center"/>
          </w:tcPr>
          <w:p w14:paraId="291AF535">
            <w:pPr>
              <w:jc w:val="center"/>
              <w:rPr>
                <w:rFonts w:eastAsia="仿宋_GB2312"/>
                <w:color w:val="auto"/>
                <w:kern w:val="0"/>
                <w:szCs w:val="21"/>
                <w:lang w:bidi="ar"/>
              </w:rPr>
            </w:pPr>
          </w:p>
        </w:tc>
        <w:tc>
          <w:tcPr>
            <w:tcW w:w="361" w:type="pct"/>
            <w:vMerge w:val="continue"/>
            <w:vAlign w:val="center"/>
          </w:tcPr>
          <w:p w14:paraId="4B8CC5F1">
            <w:pPr>
              <w:jc w:val="center"/>
              <w:rPr>
                <w:rFonts w:eastAsia="仿宋_GB2312"/>
                <w:color w:val="auto"/>
                <w:szCs w:val="21"/>
              </w:rPr>
            </w:pPr>
          </w:p>
        </w:tc>
        <w:tc>
          <w:tcPr>
            <w:tcW w:w="498" w:type="pct"/>
            <w:vMerge w:val="continue"/>
            <w:shd w:val="clear" w:color="auto" w:fill="auto"/>
            <w:vAlign w:val="center"/>
          </w:tcPr>
          <w:p w14:paraId="48CEC275">
            <w:pPr>
              <w:keepNext w:val="0"/>
              <w:keepLines w:val="0"/>
              <w:widowControl/>
              <w:suppressLineNumbers w:val="0"/>
              <w:jc w:val="center"/>
              <w:textAlignment w:val="bottom"/>
              <w:rPr>
                <w:rFonts w:hint="eastAsia" w:eastAsia="仿宋_GB2312"/>
                <w:color w:val="auto"/>
                <w:kern w:val="0"/>
                <w:szCs w:val="21"/>
                <w:lang w:val="en-US" w:eastAsia="zh-CN" w:bidi="ar"/>
              </w:rPr>
            </w:pPr>
          </w:p>
        </w:tc>
        <w:tc>
          <w:tcPr>
            <w:tcW w:w="820" w:type="pct"/>
            <w:shd w:val="clear" w:color="auto" w:fill="auto"/>
            <w:vAlign w:val="center"/>
          </w:tcPr>
          <w:p w14:paraId="24590EF8">
            <w:pPr>
              <w:widowControl/>
              <w:jc w:val="center"/>
              <w:textAlignment w:val="center"/>
              <w:rPr>
                <w:rFonts w:hint="eastAsia"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乙二醇</w:t>
            </w:r>
          </w:p>
        </w:tc>
        <w:tc>
          <w:tcPr>
            <w:tcW w:w="380" w:type="pct"/>
            <w:shd w:val="clear" w:color="auto" w:fill="auto"/>
            <w:vAlign w:val="center"/>
          </w:tcPr>
          <w:p w14:paraId="317840EE">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0.0004</w:t>
            </w:r>
          </w:p>
        </w:tc>
        <w:tc>
          <w:tcPr>
            <w:tcW w:w="445" w:type="pct"/>
            <w:vAlign w:val="center"/>
          </w:tcPr>
          <w:p w14:paraId="1F6C2D69">
            <w:pPr>
              <w:widowControl/>
              <w:jc w:val="center"/>
              <w:textAlignment w:val="center"/>
              <w:rPr>
                <w:rFonts w:eastAsia="仿宋_GB2312"/>
                <w:color w:val="auto"/>
                <w:kern w:val="0"/>
                <w:szCs w:val="21"/>
                <w:lang w:bidi="ar"/>
              </w:rPr>
            </w:pPr>
            <w:r>
              <w:rPr>
                <w:rFonts w:hint="eastAsia" w:eastAsia="仿宋_GB2312"/>
                <w:b w:val="0"/>
                <w:bCs w:val="0"/>
                <w:color w:val="auto"/>
                <w:kern w:val="0"/>
                <w:szCs w:val="21"/>
                <w:lang w:val="en-US" w:eastAsia="zh-CN" w:bidi="ar"/>
              </w:rPr>
              <w:t>0.0002</w:t>
            </w:r>
          </w:p>
        </w:tc>
        <w:tc>
          <w:tcPr>
            <w:tcW w:w="630" w:type="pct"/>
            <w:vMerge w:val="continue"/>
            <w:vAlign w:val="center"/>
          </w:tcPr>
          <w:p w14:paraId="112BE023">
            <w:pPr>
              <w:jc w:val="center"/>
              <w:rPr>
                <w:rFonts w:eastAsia="仿宋_GB2312"/>
                <w:color w:val="auto"/>
                <w:szCs w:val="21"/>
              </w:rPr>
            </w:pPr>
          </w:p>
        </w:tc>
        <w:tc>
          <w:tcPr>
            <w:tcW w:w="292" w:type="pct"/>
            <w:vMerge w:val="continue"/>
            <w:vAlign w:val="center"/>
          </w:tcPr>
          <w:p w14:paraId="000CA83F">
            <w:pPr>
              <w:jc w:val="center"/>
              <w:rPr>
                <w:rFonts w:eastAsia="仿宋_GB2312"/>
                <w:color w:val="auto"/>
                <w:szCs w:val="21"/>
              </w:rPr>
            </w:pPr>
          </w:p>
        </w:tc>
      </w:tr>
      <w:tr w14:paraId="69E05C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06EAC8A3">
            <w:pPr>
              <w:jc w:val="center"/>
              <w:rPr>
                <w:rFonts w:eastAsia="仿宋_GB2312"/>
                <w:color w:val="auto"/>
                <w:szCs w:val="21"/>
              </w:rPr>
            </w:pPr>
          </w:p>
        </w:tc>
        <w:tc>
          <w:tcPr>
            <w:tcW w:w="358" w:type="pct"/>
            <w:vMerge w:val="continue"/>
            <w:vAlign w:val="center"/>
          </w:tcPr>
          <w:p w14:paraId="41BCBA01">
            <w:pPr>
              <w:jc w:val="center"/>
              <w:rPr>
                <w:rFonts w:eastAsia="仿宋_GB2312"/>
                <w:color w:val="auto"/>
                <w:szCs w:val="21"/>
              </w:rPr>
            </w:pPr>
          </w:p>
        </w:tc>
        <w:tc>
          <w:tcPr>
            <w:tcW w:w="418" w:type="pct"/>
            <w:vMerge w:val="continue"/>
            <w:vAlign w:val="center"/>
          </w:tcPr>
          <w:p w14:paraId="70BFDFFF">
            <w:pPr>
              <w:jc w:val="center"/>
              <w:rPr>
                <w:rFonts w:eastAsia="仿宋_GB2312"/>
                <w:color w:val="auto"/>
                <w:kern w:val="0"/>
                <w:szCs w:val="21"/>
                <w:lang w:bidi="ar"/>
              </w:rPr>
            </w:pPr>
          </w:p>
        </w:tc>
        <w:tc>
          <w:tcPr>
            <w:tcW w:w="446" w:type="pct"/>
            <w:vMerge w:val="continue"/>
            <w:vAlign w:val="center"/>
          </w:tcPr>
          <w:p w14:paraId="7051C07A">
            <w:pPr>
              <w:jc w:val="center"/>
              <w:rPr>
                <w:rFonts w:eastAsia="仿宋_GB2312"/>
                <w:color w:val="auto"/>
                <w:kern w:val="0"/>
                <w:szCs w:val="21"/>
                <w:lang w:bidi="ar"/>
              </w:rPr>
            </w:pPr>
          </w:p>
        </w:tc>
        <w:tc>
          <w:tcPr>
            <w:tcW w:w="361" w:type="pct"/>
            <w:vMerge w:val="continue"/>
            <w:vAlign w:val="center"/>
          </w:tcPr>
          <w:p w14:paraId="6D6DC91A">
            <w:pPr>
              <w:jc w:val="center"/>
              <w:rPr>
                <w:rFonts w:eastAsia="仿宋_GB2312"/>
                <w:color w:val="auto"/>
                <w:szCs w:val="21"/>
              </w:rPr>
            </w:pPr>
          </w:p>
        </w:tc>
        <w:tc>
          <w:tcPr>
            <w:tcW w:w="498" w:type="pct"/>
            <w:vMerge w:val="continue"/>
            <w:shd w:val="clear" w:color="auto" w:fill="auto"/>
            <w:vAlign w:val="center"/>
          </w:tcPr>
          <w:p w14:paraId="164A5B27">
            <w:pPr>
              <w:keepNext w:val="0"/>
              <w:keepLines w:val="0"/>
              <w:widowControl/>
              <w:suppressLineNumbers w:val="0"/>
              <w:jc w:val="center"/>
              <w:textAlignment w:val="bottom"/>
              <w:rPr>
                <w:rFonts w:hint="eastAsia" w:eastAsia="仿宋_GB2312"/>
                <w:color w:val="auto"/>
                <w:kern w:val="0"/>
                <w:szCs w:val="21"/>
                <w:lang w:val="en-US" w:eastAsia="zh-CN" w:bidi="ar"/>
              </w:rPr>
            </w:pPr>
          </w:p>
        </w:tc>
        <w:tc>
          <w:tcPr>
            <w:tcW w:w="820" w:type="pct"/>
            <w:shd w:val="clear" w:color="auto" w:fill="auto"/>
            <w:vAlign w:val="center"/>
          </w:tcPr>
          <w:p w14:paraId="2EFCBF76">
            <w:pPr>
              <w:widowControl/>
              <w:jc w:val="center"/>
              <w:textAlignment w:val="center"/>
              <w:rPr>
                <w:rFonts w:hint="eastAsia"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三乙二醇</w:t>
            </w:r>
          </w:p>
        </w:tc>
        <w:tc>
          <w:tcPr>
            <w:tcW w:w="380" w:type="pct"/>
            <w:shd w:val="clear" w:color="auto" w:fill="auto"/>
            <w:vAlign w:val="center"/>
          </w:tcPr>
          <w:p w14:paraId="53421CFE">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0.0051</w:t>
            </w:r>
          </w:p>
        </w:tc>
        <w:tc>
          <w:tcPr>
            <w:tcW w:w="445" w:type="pct"/>
            <w:vAlign w:val="center"/>
          </w:tcPr>
          <w:p w14:paraId="7FB6E4C2">
            <w:pPr>
              <w:widowControl/>
              <w:jc w:val="center"/>
              <w:textAlignment w:val="center"/>
              <w:rPr>
                <w:rFonts w:eastAsia="仿宋_GB2312"/>
                <w:color w:val="auto"/>
                <w:kern w:val="0"/>
                <w:szCs w:val="21"/>
                <w:lang w:bidi="ar"/>
              </w:rPr>
            </w:pPr>
            <w:r>
              <w:rPr>
                <w:rFonts w:hint="eastAsia" w:eastAsia="仿宋_GB2312"/>
                <w:b w:val="0"/>
                <w:bCs w:val="0"/>
                <w:color w:val="auto"/>
                <w:kern w:val="0"/>
                <w:szCs w:val="21"/>
                <w:lang w:val="en-US" w:eastAsia="zh-CN" w:bidi="ar"/>
              </w:rPr>
              <w:t>0.0025</w:t>
            </w:r>
          </w:p>
        </w:tc>
        <w:tc>
          <w:tcPr>
            <w:tcW w:w="630" w:type="pct"/>
            <w:vMerge w:val="continue"/>
            <w:vAlign w:val="center"/>
          </w:tcPr>
          <w:p w14:paraId="0E85630A">
            <w:pPr>
              <w:jc w:val="center"/>
              <w:rPr>
                <w:rFonts w:eastAsia="仿宋_GB2312"/>
                <w:color w:val="auto"/>
                <w:szCs w:val="21"/>
              </w:rPr>
            </w:pPr>
          </w:p>
        </w:tc>
        <w:tc>
          <w:tcPr>
            <w:tcW w:w="292" w:type="pct"/>
            <w:vMerge w:val="continue"/>
            <w:vAlign w:val="center"/>
          </w:tcPr>
          <w:p w14:paraId="30EF6E98">
            <w:pPr>
              <w:jc w:val="center"/>
              <w:rPr>
                <w:rFonts w:eastAsia="仿宋_GB2312"/>
                <w:color w:val="auto"/>
                <w:szCs w:val="21"/>
              </w:rPr>
            </w:pPr>
          </w:p>
        </w:tc>
      </w:tr>
      <w:tr w14:paraId="68DBAC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684E872C">
            <w:pPr>
              <w:jc w:val="center"/>
              <w:rPr>
                <w:rFonts w:eastAsia="仿宋_GB2312"/>
                <w:color w:val="auto"/>
                <w:szCs w:val="21"/>
              </w:rPr>
            </w:pPr>
          </w:p>
        </w:tc>
        <w:tc>
          <w:tcPr>
            <w:tcW w:w="358" w:type="pct"/>
            <w:vMerge w:val="continue"/>
            <w:vAlign w:val="center"/>
          </w:tcPr>
          <w:p w14:paraId="349A9E4A">
            <w:pPr>
              <w:jc w:val="center"/>
              <w:rPr>
                <w:rFonts w:eastAsia="仿宋_GB2312"/>
                <w:color w:val="auto"/>
                <w:szCs w:val="21"/>
              </w:rPr>
            </w:pPr>
          </w:p>
        </w:tc>
        <w:tc>
          <w:tcPr>
            <w:tcW w:w="418" w:type="pct"/>
            <w:vMerge w:val="continue"/>
            <w:vAlign w:val="center"/>
          </w:tcPr>
          <w:p w14:paraId="0AB227CC">
            <w:pPr>
              <w:jc w:val="center"/>
              <w:rPr>
                <w:rFonts w:eastAsia="仿宋_GB2312"/>
                <w:color w:val="auto"/>
                <w:szCs w:val="21"/>
              </w:rPr>
            </w:pPr>
          </w:p>
        </w:tc>
        <w:tc>
          <w:tcPr>
            <w:tcW w:w="446" w:type="pct"/>
            <w:vMerge w:val="continue"/>
            <w:vAlign w:val="center"/>
          </w:tcPr>
          <w:p w14:paraId="76DD1126">
            <w:pPr>
              <w:jc w:val="center"/>
              <w:rPr>
                <w:rFonts w:eastAsia="仿宋_GB2312"/>
                <w:color w:val="auto"/>
                <w:szCs w:val="21"/>
              </w:rPr>
            </w:pPr>
          </w:p>
        </w:tc>
        <w:tc>
          <w:tcPr>
            <w:tcW w:w="361" w:type="pct"/>
            <w:vMerge w:val="continue"/>
            <w:vAlign w:val="center"/>
          </w:tcPr>
          <w:p w14:paraId="60ECFC84">
            <w:pPr>
              <w:jc w:val="center"/>
              <w:rPr>
                <w:rFonts w:eastAsia="仿宋_GB2312"/>
                <w:color w:val="auto"/>
                <w:szCs w:val="21"/>
              </w:rPr>
            </w:pPr>
          </w:p>
        </w:tc>
        <w:tc>
          <w:tcPr>
            <w:tcW w:w="498" w:type="pct"/>
            <w:vMerge w:val="continue"/>
            <w:shd w:val="clear" w:color="auto" w:fill="auto"/>
            <w:vAlign w:val="center"/>
          </w:tcPr>
          <w:p w14:paraId="3FE5B302">
            <w:pPr>
              <w:keepNext w:val="0"/>
              <w:keepLines w:val="0"/>
              <w:widowControl/>
              <w:suppressLineNumbers w:val="0"/>
              <w:jc w:val="center"/>
              <w:textAlignment w:val="bottom"/>
              <w:rPr>
                <w:rFonts w:hint="eastAsia" w:eastAsia="仿宋_GB2312"/>
                <w:color w:val="auto"/>
                <w:kern w:val="0"/>
                <w:szCs w:val="21"/>
                <w:lang w:val="en-US" w:eastAsia="zh-CN" w:bidi="ar"/>
              </w:rPr>
            </w:pPr>
          </w:p>
        </w:tc>
        <w:tc>
          <w:tcPr>
            <w:tcW w:w="820" w:type="pct"/>
            <w:shd w:val="clear" w:color="auto" w:fill="auto"/>
            <w:vAlign w:val="center"/>
          </w:tcPr>
          <w:p w14:paraId="5A4BC6AF">
            <w:pPr>
              <w:widowControl/>
              <w:jc w:val="center"/>
              <w:textAlignment w:val="center"/>
              <w:rPr>
                <w:rFonts w:hint="eastAsia"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其他有机物</w:t>
            </w:r>
          </w:p>
        </w:tc>
        <w:tc>
          <w:tcPr>
            <w:tcW w:w="380" w:type="pct"/>
            <w:shd w:val="clear" w:color="auto" w:fill="auto"/>
            <w:vAlign w:val="center"/>
          </w:tcPr>
          <w:p w14:paraId="28644AC1">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0.015</w:t>
            </w:r>
          </w:p>
        </w:tc>
        <w:tc>
          <w:tcPr>
            <w:tcW w:w="445" w:type="pct"/>
            <w:vAlign w:val="center"/>
          </w:tcPr>
          <w:p w14:paraId="65841F49">
            <w:pPr>
              <w:widowControl/>
              <w:jc w:val="center"/>
              <w:textAlignment w:val="center"/>
              <w:rPr>
                <w:rFonts w:eastAsia="仿宋_GB2312"/>
                <w:color w:val="auto"/>
                <w:kern w:val="0"/>
                <w:szCs w:val="21"/>
                <w:lang w:bidi="ar"/>
              </w:rPr>
            </w:pPr>
            <w:r>
              <w:rPr>
                <w:rFonts w:hint="eastAsia" w:eastAsia="仿宋_GB2312"/>
                <w:b w:val="0"/>
                <w:bCs w:val="0"/>
                <w:color w:val="auto"/>
                <w:kern w:val="0"/>
                <w:szCs w:val="21"/>
                <w:lang w:val="en-US" w:eastAsia="zh-CN" w:bidi="ar"/>
              </w:rPr>
              <w:t>0.0076</w:t>
            </w:r>
          </w:p>
        </w:tc>
        <w:tc>
          <w:tcPr>
            <w:tcW w:w="630" w:type="pct"/>
            <w:vMerge w:val="continue"/>
            <w:vAlign w:val="center"/>
          </w:tcPr>
          <w:p w14:paraId="70BB5C9A">
            <w:pPr>
              <w:jc w:val="center"/>
              <w:rPr>
                <w:rFonts w:eastAsia="仿宋_GB2312"/>
                <w:color w:val="auto"/>
                <w:szCs w:val="21"/>
              </w:rPr>
            </w:pPr>
          </w:p>
        </w:tc>
        <w:tc>
          <w:tcPr>
            <w:tcW w:w="292" w:type="pct"/>
            <w:vMerge w:val="continue"/>
            <w:vAlign w:val="center"/>
          </w:tcPr>
          <w:p w14:paraId="03529A66">
            <w:pPr>
              <w:jc w:val="center"/>
              <w:rPr>
                <w:rFonts w:eastAsia="仿宋_GB2312"/>
                <w:color w:val="auto"/>
                <w:szCs w:val="21"/>
              </w:rPr>
            </w:pPr>
          </w:p>
        </w:tc>
      </w:tr>
      <w:tr w14:paraId="4E3F75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26629E41">
            <w:pPr>
              <w:jc w:val="center"/>
              <w:rPr>
                <w:rFonts w:eastAsia="仿宋_GB2312"/>
                <w:color w:val="auto"/>
                <w:szCs w:val="21"/>
              </w:rPr>
            </w:pPr>
          </w:p>
        </w:tc>
        <w:tc>
          <w:tcPr>
            <w:tcW w:w="358" w:type="pct"/>
            <w:vMerge w:val="continue"/>
            <w:vAlign w:val="center"/>
          </w:tcPr>
          <w:p w14:paraId="485DC517">
            <w:pPr>
              <w:jc w:val="center"/>
              <w:rPr>
                <w:rFonts w:eastAsia="仿宋_GB2312"/>
                <w:color w:val="auto"/>
                <w:szCs w:val="21"/>
              </w:rPr>
            </w:pPr>
          </w:p>
        </w:tc>
        <w:tc>
          <w:tcPr>
            <w:tcW w:w="418" w:type="pct"/>
            <w:vMerge w:val="restart"/>
            <w:vAlign w:val="center"/>
          </w:tcPr>
          <w:p w14:paraId="697B2389">
            <w:pPr>
              <w:jc w:val="center"/>
              <w:rPr>
                <w:rFonts w:eastAsia="仿宋_GB2312"/>
                <w:color w:val="auto"/>
                <w:szCs w:val="21"/>
              </w:rPr>
            </w:pPr>
            <w:r>
              <w:rPr>
                <w:rFonts w:eastAsia="仿宋_GB2312"/>
                <w:color w:val="auto"/>
                <w:kern w:val="0"/>
                <w:szCs w:val="21"/>
                <w:lang w:bidi="ar"/>
              </w:rPr>
              <w:t>G</w:t>
            </w:r>
            <w:r>
              <w:rPr>
                <w:rFonts w:hint="eastAsia" w:eastAsia="仿宋_GB2312"/>
                <w:color w:val="auto"/>
                <w:kern w:val="0"/>
                <w:szCs w:val="21"/>
                <w:lang w:val="en-US" w:eastAsia="zh-CN" w:bidi="ar"/>
              </w:rPr>
              <w:t>2</w:t>
            </w:r>
            <w:r>
              <w:rPr>
                <w:rFonts w:eastAsia="仿宋_GB2312"/>
                <w:color w:val="auto"/>
                <w:kern w:val="0"/>
                <w:szCs w:val="21"/>
                <w:lang w:bidi="ar"/>
              </w:rPr>
              <w:t>-</w:t>
            </w:r>
            <w:r>
              <w:rPr>
                <w:rFonts w:hint="eastAsia" w:eastAsia="仿宋_GB2312"/>
                <w:color w:val="auto"/>
                <w:kern w:val="0"/>
                <w:szCs w:val="21"/>
                <w:lang w:val="en-US" w:eastAsia="zh-CN" w:bidi="ar"/>
              </w:rPr>
              <w:t>9</w:t>
            </w:r>
            <w:r>
              <w:rPr>
                <w:rFonts w:eastAsia="仿宋_GB2312"/>
                <w:color w:val="auto"/>
                <w:kern w:val="0"/>
                <w:szCs w:val="21"/>
                <w:lang w:bidi="ar"/>
              </w:rPr>
              <w:t>-5</w:t>
            </w:r>
          </w:p>
        </w:tc>
        <w:tc>
          <w:tcPr>
            <w:tcW w:w="446" w:type="pct"/>
            <w:vMerge w:val="restart"/>
            <w:vAlign w:val="center"/>
          </w:tcPr>
          <w:p w14:paraId="2435BB27">
            <w:pPr>
              <w:jc w:val="center"/>
              <w:rPr>
                <w:rFonts w:eastAsia="仿宋_GB2312"/>
                <w:color w:val="auto"/>
                <w:szCs w:val="21"/>
              </w:rPr>
            </w:pPr>
            <w:r>
              <w:rPr>
                <w:rFonts w:eastAsia="仿宋_GB2312"/>
                <w:color w:val="auto"/>
                <w:kern w:val="0"/>
                <w:szCs w:val="21"/>
                <w:lang w:bidi="ar"/>
              </w:rPr>
              <w:t>灌装废气</w:t>
            </w:r>
          </w:p>
        </w:tc>
        <w:tc>
          <w:tcPr>
            <w:tcW w:w="361" w:type="pct"/>
            <w:vMerge w:val="restart"/>
            <w:vAlign w:val="center"/>
          </w:tcPr>
          <w:p w14:paraId="10B10FB9">
            <w:pPr>
              <w:jc w:val="center"/>
              <w:rPr>
                <w:rFonts w:hint="default" w:eastAsia="仿宋_GB2312"/>
                <w:color w:val="auto"/>
                <w:szCs w:val="21"/>
                <w:lang w:val="en-US" w:eastAsia="zh-CN"/>
              </w:rPr>
            </w:pPr>
            <w:r>
              <w:rPr>
                <w:rFonts w:hint="eastAsia" w:eastAsia="仿宋_GB2312"/>
                <w:color w:val="auto"/>
                <w:szCs w:val="21"/>
                <w:lang w:val="en-US" w:eastAsia="zh-CN"/>
              </w:rPr>
              <w:t>2000</w:t>
            </w:r>
          </w:p>
        </w:tc>
        <w:tc>
          <w:tcPr>
            <w:tcW w:w="498" w:type="pct"/>
            <w:vMerge w:val="restart"/>
            <w:shd w:val="clear" w:color="auto" w:fill="auto"/>
            <w:vAlign w:val="center"/>
          </w:tcPr>
          <w:p w14:paraId="0565032C">
            <w:pPr>
              <w:keepNext w:val="0"/>
              <w:keepLines w:val="0"/>
              <w:widowControl/>
              <w:suppressLineNumbers w:val="0"/>
              <w:jc w:val="center"/>
              <w:textAlignment w:val="bottom"/>
              <w:rPr>
                <w:rFonts w:eastAsia="仿宋_GB2312"/>
                <w:color w:val="auto"/>
                <w:kern w:val="0"/>
                <w:szCs w:val="21"/>
                <w:highlight w:val="none"/>
                <w:lang w:bidi="ar"/>
              </w:rPr>
            </w:pPr>
            <w:r>
              <w:rPr>
                <w:rFonts w:hint="default" w:ascii="Times New Roman" w:hAnsi="Times New Roman" w:eastAsia="宋体" w:cs="Times New Roman"/>
                <w:i w:val="0"/>
                <w:iCs w:val="0"/>
                <w:color w:val="auto"/>
                <w:kern w:val="0"/>
                <w:sz w:val="21"/>
                <w:szCs w:val="21"/>
                <w:u w:val="none"/>
                <w:lang w:val="en-US" w:eastAsia="zh-CN" w:bidi="ar"/>
              </w:rPr>
              <w:t>242</w:t>
            </w:r>
          </w:p>
        </w:tc>
        <w:tc>
          <w:tcPr>
            <w:tcW w:w="820" w:type="pct"/>
            <w:shd w:val="clear" w:color="auto" w:fill="auto"/>
            <w:vAlign w:val="center"/>
          </w:tcPr>
          <w:p w14:paraId="0C906CAF">
            <w:pPr>
              <w:widowControl/>
              <w:jc w:val="center"/>
              <w:textAlignment w:val="center"/>
              <w:rPr>
                <w:rFonts w:ascii="Times New Roman" w:hAnsi="Times New Roman" w:eastAsia="仿宋_GB2312" w:cs="Times New Roman"/>
                <w:color w:val="auto"/>
                <w:kern w:val="0"/>
                <w:sz w:val="21"/>
                <w:szCs w:val="21"/>
                <w:highlight w:val="none"/>
                <w:lang w:val="en-US" w:eastAsia="zh-CN" w:bidi="ar"/>
              </w:rPr>
            </w:pPr>
            <w:r>
              <w:rPr>
                <w:rFonts w:eastAsia="仿宋_GB2312"/>
                <w:color w:val="auto"/>
                <w:kern w:val="0"/>
                <w:szCs w:val="21"/>
                <w:highlight w:val="none"/>
                <w:lang w:bidi="ar"/>
              </w:rPr>
              <w:t>二乙二醇</w:t>
            </w:r>
          </w:p>
        </w:tc>
        <w:tc>
          <w:tcPr>
            <w:tcW w:w="380" w:type="pct"/>
            <w:shd w:val="clear" w:color="auto" w:fill="auto"/>
            <w:vAlign w:val="center"/>
          </w:tcPr>
          <w:p w14:paraId="2899EA5F">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0.824</w:t>
            </w:r>
          </w:p>
        </w:tc>
        <w:tc>
          <w:tcPr>
            <w:tcW w:w="445" w:type="pct"/>
            <w:vAlign w:val="center"/>
          </w:tcPr>
          <w:p w14:paraId="5BBACB8D">
            <w:pPr>
              <w:widowControl/>
              <w:jc w:val="center"/>
              <w:textAlignment w:val="center"/>
              <w:rPr>
                <w:rFonts w:eastAsia="仿宋_GB2312"/>
                <w:color w:val="auto"/>
                <w:kern w:val="0"/>
                <w:szCs w:val="21"/>
                <w:lang w:bidi="ar"/>
              </w:rPr>
            </w:pPr>
            <w:r>
              <w:rPr>
                <w:rFonts w:hint="eastAsia" w:ascii="Times New Roman" w:hAnsi="Times New Roman" w:eastAsia="仿宋_GB2312" w:cs="Times New Roman"/>
                <w:color w:val="auto"/>
                <w:kern w:val="0"/>
                <w:szCs w:val="21"/>
                <w:highlight w:val="none"/>
                <w:lang w:val="en-US" w:eastAsia="zh-CN" w:bidi="ar"/>
              </w:rPr>
              <w:t>0.1996</w:t>
            </w:r>
          </w:p>
        </w:tc>
        <w:tc>
          <w:tcPr>
            <w:tcW w:w="630" w:type="pct"/>
            <w:vMerge w:val="restart"/>
            <w:shd w:val="clear" w:color="auto" w:fill="auto"/>
            <w:vAlign w:val="center"/>
          </w:tcPr>
          <w:p w14:paraId="5979258F">
            <w:pPr>
              <w:jc w:val="center"/>
              <w:rPr>
                <w:rFonts w:ascii="Times New Roman" w:hAnsi="Times New Roman" w:eastAsia="仿宋_GB2312" w:cs="Times New Roman"/>
                <w:color w:val="auto"/>
                <w:kern w:val="2"/>
                <w:sz w:val="21"/>
                <w:szCs w:val="21"/>
                <w:lang w:val="en-US" w:eastAsia="zh-CN" w:bidi="ar-SA"/>
              </w:rPr>
            </w:pPr>
            <w:r>
              <w:rPr>
                <w:rFonts w:hint="eastAsia" w:eastAsia="仿宋_GB2312"/>
                <w:color w:val="auto"/>
                <w:szCs w:val="21"/>
              </w:rPr>
              <w:t>冷凝+酸吸收+碱吸收+水洗+活性炭吸附/脱附</w:t>
            </w:r>
          </w:p>
        </w:tc>
        <w:tc>
          <w:tcPr>
            <w:tcW w:w="292" w:type="pct"/>
            <w:vMerge w:val="restart"/>
            <w:shd w:val="clear" w:color="auto" w:fill="auto"/>
            <w:vAlign w:val="center"/>
          </w:tcPr>
          <w:p w14:paraId="0F24A6F7">
            <w:pPr>
              <w:jc w:val="center"/>
              <w:rPr>
                <w:rFonts w:ascii="Times New Roman" w:hAnsi="Times New Roman" w:eastAsia="仿宋_GB2312" w:cs="Times New Roman"/>
                <w:color w:val="auto"/>
                <w:kern w:val="2"/>
                <w:sz w:val="21"/>
                <w:szCs w:val="21"/>
                <w:lang w:val="en-US" w:eastAsia="zh-CN" w:bidi="ar-SA"/>
              </w:rPr>
            </w:pPr>
            <w:r>
              <w:rPr>
                <w:rFonts w:hint="eastAsia" w:eastAsia="仿宋_GB2312"/>
                <w:color w:val="auto"/>
              </w:rPr>
              <w:t>DA005</w:t>
            </w:r>
          </w:p>
        </w:tc>
      </w:tr>
      <w:tr w14:paraId="35C7F1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0A7D1AA4">
            <w:pPr>
              <w:jc w:val="center"/>
              <w:rPr>
                <w:rFonts w:eastAsia="仿宋_GB2312"/>
                <w:color w:val="auto"/>
                <w:szCs w:val="21"/>
              </w:rPr>
            </w:pPr>
          </w:p>
        </w:tc>
        <w:tc>
          <w:tcPr>
            <w:tcW w:w="358" w:type="pct"/>
            <w:vMerge w:val="continue"/>
            <w:vAlign w:val="center"/>
          </w:tcPr>
          <w:p w14:paraId="68E2F059">
            <w:pPr>
              <w:jc w:val="center"/>
              <w:rPr>
                <w:rFonts w:eastAsia="仿宋_GB2312"/>
                <w:color w:val="auto"/>
                <w:szCs w:val="21"/>
              </w:rPr>
            </w:pPr>
          </w:p>
        </w:tc>
        <w:tc>
          <w:tcPr>
            <w:tcW w:w="418" w:type="pct"/>
            <w:vMerge w:val="continue"/>
            <w:vAlign w:val="center"/>
          </w:tcPr>
          <w:p w14:paraId="0A7CA5A9">
            <w:pPr>
              <w:jc w:val="center"/>
              <w:rPr>
                <w:rFonts w:eastAsia="仿宋_GB2312"/>
                <w:color w:val="auto"/>
                <w:kern w:val="0"/>
                <w:szCs w:val="21"/>
                <w:lang w:bidi="ar"/>
              </w:rPr>
            </w:pPr>
          </w:p>
        </w:tc>
        <w:tc>
          <w:tcPr>
            <w:tcW w:w="446" w:type="pct"/>
            <w:vMerge w:val="continue"/>
            <w:vAlign w:val="center"/>
          </w:tcPr>
          <w:p w14:paraId="48C43E66">
            <w:pPr>
              <w:jc w:val="center"/>
              <w:rPr>
                <w:rFonts w:eastAsia="仿宋_GB2312"/>
                <w:color w:val="auto"/>
                <w:kern w:val="0"/>
                <w:szCs w:val="21"/>
                <w:lang w:bidi="ar"/>
              </w:rPr>
            </w:pPr>
          </w:p>
        </w:tc>
        <w:tc>
          <w:tcPr>
            <w:tcW w:w="361" w:type="pct"/>
            <w:vMerge w:val="continue"/>
            <w:vAlign w:val="center"/>
          </w:tcPr>
          <w:p w14:paraId="6021BC05">
            <w:pPr>
              <w:jc w:val="center"/>
              <w:rPr>
                <w:rFonts w:eastAsia="仿宋_GB2312"/>
                <w:color w:val="auto"/>
                <w:szCs w:val="21"/>
              </w:rPr>
            </w:pPr>
          </w:p>
        </w:tc>
        <w:tc>
          <w:tcPr>
            <w:tcW w:w="498" w:type="pct"/>
            <w:vMerge w:val="continue"/>
            <w:shd w:val="clear" w:color="auto" w:fill="auto"/>
            <w:vAlign w:val="center"/>
          </w:tcPr>
          <w:p w14:paraId="5C8E2F25">
            <w:pPr>
              <w:keepNext w:val="0"/>
              <w:keepLines w:val="0"/>
              <w:widowControl/>
              <w:suppressLineNumbers w:val="0"/>
              <w:jc w:val="center"/>
              <w:textAlignment w:val="bottom"/>
              <w:rPr>
                <w:rFonts w:hint="eastAsia" w:eastAsia="仿宋_GB2312"/>
                <w:color w:val="auto"/>
                <w:kern w:val="0"/>
                <w:szCs w:val="21"/>
                <w:highlight w:val="none"/>
                <w:lang w:val="en-US" w:eastAsia="zh-CN" w:bidi="ar"/>
              </w:rPr>
            </w:pPr>
          </w:p>
        </w:tc>
        <w:tc>
          <w:tcPr>
            <w:tcW w:w="820" w:type="pct"/>
            <w:shd w:val="clear" w:color="auto" w:fill="auto"/>
            <w:vAlign w:val="center"/>
          </w:tcPr>
          <w:p w14:paraId="4AB02BC4">
            <w:pPr>
              <w:widowControl/>
              <w:jc w:val="center"/>
              <w:textAlignment w:val="center"/>
              <w:rPr>
                <w:rFonts w:ascii="Times New Roman" w:hAnsi="Times New Roman" w:eastAsia="仿宋_GB2312" w:cs="Times New Roman"/>
                <w:color w:val="auto"/>
                <w:kern w:val="0"/>
                <w:sz w:val="21"/>
                <w:szCs w:val="21"/>
                <w:highlight w:val="none"/>
                <w:lang w:val="en-US" w:eastAsia="zh-CN" w:bidi="ar"/>
              </w:rPr>
            </w:pPr>
            <w:r>
              <w:rPr>
                <w:rFonts w:hint="eastAsia" w:eastAsia="仿宋_GB2312"/>
                <w:color w:val="auto"/>
                <w:kern w:val="0"/>
                <w:szCs w:val="21"/>
                <w:highlight w:val="none"/>
                <w:lang w:val="en-US" w:eastAsia="zh-CN" w:bidi="ar"/>
              </w:rPr>
              <w:t>三乙二醇</w:t>
            </w:r>
          </w:p>
        </w:tc>
        <w:tc>
          <w:tcPr>
            <w:tcW w:w="380" w:type="pct"/>
            <w:shd w:val="clear" w:color="auto" w:fill="auto"/>
            <w:vAlign w:val="center"/>
          </w:tcPr>
          <w:p w14:paraId="743004B7">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0.0004</w:t>
            </w:r>
          </w:p>
        </w:tc>
        <w:tc>
          <w:tcPr>
            <w:tcW w:w="445" w:type="pct"/>
            <w:vAlign w:val="center"/>
          </w:tcPr>
          <w:p w14:paraId="05D9CFBA">
            <w:pPr>
              <w:widowControl/>
              <w:jc w:val="center"/>
              <w:textAlignment w:val="center"/>
              <w:rPr>
                <w:rFonts w:eastAsia="仿宋_GB2312"/>
                <w:color w:val="auto"/>
                <w:kern w:val="0"/>
                <w:szCs w:val="21"/>
                <w:lang w:bidi="ar"/>
              </w:rPr>
            </w:pPr>
            <w:r>
              <w:rPr>
                <w:rFonts w:hint="eastAsia" w:ascii="Times New Roman" w:hAnsi="Times New Roman" w:eastAsia="仿宋_GB2312" w:cs="Times New Roman"/>
                <w:color w:val="auto"/>
                <w:kern w:val="0"/>
                <w:szCs w:val="21"/>
                <w:highlight w:val="none"/>
                <w:lang w:val="en-US" w:eastAsia="zh-CN" w:bidi="ar"/>
              </w:rPr>
              <w:t>0.0001</w:t>
            </w:r>
          </w:p>
        </w:tc>
        <w:tc>
          <w:tcPr>
            <w:tcW w:w="630" w:type="pct"/>
            <w:vMerge w:val="continue"/>
            <w:vAlign w:val="center"/>
          </w:tcPr>
          <w:p w14:paraId="1014BF06">
            <w:pPr>
              <w:jc w:val="center"/>
              <w:rPr>
                <w:rFonts w:eastAsia="仿宋_GB2312"/>
                <w:color w:val="auto"/>
                <w:szCs w:val="21"/>
              </w:rPr>
            </w:pPr>
          </w:p>
        </w:tc>
        <w:tc>
          <w:tcPr>
            <w:tcW w:w="292" w:type="pct"/>
            <w:vMerge w:val="continue"/>
            <w:vAlign w:val="center"/>
          </w:tcPr>
          <w:p w14:paraId="05A8B57C">
            <w:pPr>
              <w:jc w:val="center"/>
              <w:rPr>
                <w:rFonts w:eastAsia="仿宋_GB2312"/>
                <w:color w:val="auto"/>
                <w:szCs w:val="21"/>
              </w:rPr>
            </w:pPr>
          </w:p>
        </w:tc>
      </w:tr>
      <w:tr w14:paraId="045397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5BD965DD">
            <w:pPr>
              <w:jc w:val="center"/>
              <w:rPr>
                <w:rFonts w:eastAsia="仿宋_GB2312"/>
                <w:color w:val="auto"/>
                <w:szCs w:val="21"/>
              </w:rPr>
            </w:pPr>
          </w:p>
        </w:tc>
        <w:tc>
          <w:tcPr>
            <w:tcW w:w="358" w:type="pct"/>
            <w:vMerge w:val="continue"/>
            <w:vAlign w:val="center"/>
          </w:tcPr>
          <w:p w14:paraId="20D650B7">
            <w:pPr>
              <w:jc w:val="center"/>
              <w:rPr>
                <w:rFonts w:eastAsia="仿宋_GB2312"/>
                <w:color w:val="auto"/>
                <w:szCs w:val="21"/>
              </w:rPr>
            </w:pPr>
          </w:p>
        </w:tc>
        <w:tc>
          <w:tcPr>
            <w:tcW w:w="418" w:type="pct"/>
            <w:vMerge w:val="continue"/>
            <w:vAlign w:val="center"/>
          </w:tcPr>
          <w:p w14:paraId="1836293D">
            <w:pPr>
              <w:jc w:val="center"/>
              <w:rPr>
                <w:rFonts w:eastAsia="仿宋_GB2312"/>
                <w:color w:val="auto"/>
                <w:kern w:val="0"/>
                <w:szCs w:val="21"/>
                <w:lang w:bidi="ar"/>
              </w:rPr>
            </w:pPr>
          </w:p>
        </w:tc>
        <w:tc>
          <w:tcPr>
            <w:tcW w:w="446" w:type="pct"/>
            <w:vMerge w:val="continue"/>
            <w:vAlign w:val="center"/>
          </w:tcPr>
          <w:p w14:paraId="78B99983">
            <w:pPr>
              <w:jc w:val="center"/>
              <w:rPr>
                <w:rFonts w:eastAsia="仿宋_GB2312"/>
                <w:color w:val="auto"/>
                <w:kern w:val="0"/>
                <w:szCs w:val="21"/>
                <w:lang w:bidi="ar"/>
              </w:rPr>
            </w:pPr>
          </w:p>
        </w:tc>
        <w:tc>
          <w:tcPr>
            <w:tcW w:w="361" w:type="pct"/>
            <w:vMerge w:val="continue"/>
            <w:vAlign w:val="center"/>
          </w:tcPr>
          <w:p w14:paraId="7C4C4BF5">
            <w:pPr>
              <w:jc w:val="center"/>
              <w:rPr>
                <w:rFonts w:eastAsia="仿宋_GB2312"/>
                <w:color w:val="auto"/>
                <w:szCs w:val="21"/>
              </w:rPr>
            </w:pPr>
          </w:p>
        </w:tc>
        <w:tc>
          <w:tcPr>
            <w:tcW w:w="498" w:type="pct"/>
            <w:vMerge w:val="continue"/>
            <w:shd w:val="clear" w:color="auto" w:fill="auto"/>
            <w:vAlign w:val="center"/>
          </w:tcPr>
          <w:p w14:paraId="2E43290D">
            <w:pPr>
              <w:keepNext w:val="0"/>
              <w:keepLines w:val="0"/>
              <w:widowControl/>
              <w:suppressLineNumbers w:val="0"/>
              <w:jc w:val="center"/>
              <w:textAlignment w:val="bottom"/>
              <w:rPr>
                <w:rFonts w:hint="eastAsia" w:eastAsia="仿宋_GB2312"/>
                <w:color w:val="auto"/>
                <w:kern w:val="0"/>
                <w:szCs w:val="21"/>
                <w:highlight w:val="none"/>
                <w:lang w:val="en-US" w:eastAsia="zh-CN" w:bidi="ar"/>
              </w:rPr>
            </w:pPr>
          </w:p>
        </w:tc>
        <w:tc>
          <w:tcPr>
            <w:tcW w:w="820" w:type="pct"/>
            <w:shd w:val="clear" w:color="auto" w:fill="auto"/>
            <w:vAlign w:val="center"/>
          </w:tcPr>
          <w:p w14:paraId="3B11026C">
            <w:pPr>
              <w:widowControl/>
              <w:jc w:val="center"/>
              <w:textAlignment w:val="center"/>
              <w:rPr>
                <w:rFonts w:ascii="Times New Roman" w:hAnsi="Times New Roman" w:eastAsia="仿宋_GB2312" w:cs="Times New Roman"/>
                <w:color w:val="auto"/>
                <w:kern w:val="0"/>
                <w:sz w:val="21"/>
                <w:szCs w:val="21"/>
                <w:highlight w:val="none"/>
                <w:lang w:val="en-US" w:eastAsia="zh-CN" w:bidi="ar"/>
              </w:rPr>
            </w:pPr>
            <w:r>
              <w:rPr>
                <w:rFonts w:hint="eastAsia" w:eastAsia="仿宋_GB2312"/>
                <w:color w:val="auto"/>
                <w:kern w:val="0"/>
                <w:szCs w:val="21"/>
                <w:highlight w:val="none"/>
                <w:lang w:val="en-US" w:eastAsia="zh-CN" w:bidi="ar"/>
              </w:rPr>
              <w:t>其他有机物</w:t>
            </w:r>
          </w:p>
        </w:tc>
        <w:tc>
          <w:tcPr>
            <w:tcW w:w="380" w:type="pct"/>
            <w:shd w:val="clear" w:color="auto" w:fill="auto"/>
            <w:vAlign w:val="center"/>
          </w:tcPr>
          <w:p w14:paraId="615429BD">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0.001</w:t>
            </w:r>
          </w:p>
        </w:tc>
        <w:tc>
          <w:tcPr>
            <w:tcW w:w="445" w:type="pct"/>
            <w:vAlign w:val="center"/>
          </w:tcPr>
          <w:p w14:paraId="64F5A80E">
            <w:pPr>
              <w:widowControl/>
              <w:jc w:val="center"/>
              <w:textAlignment w:val="center"/>
              <w:rPr>
                <w:rFonts w:eastAsia="仿宋_GB2312"/>
                <w:color w:val="auto"/>
                <w:kern w:val="0"/>
                <w:szCs w:val="21"/>
                <w:lang w:bidi="ar"/>
              </w:rPr>
            </w:pPr>
            <w:r>
              <w:rPr>
                <w:rFonts w:hint="eastAsia" w:ascii="Times New Roman" w:hAnsi="Times New Roman" w:eastAsia="仿宋_GB2312" w:cs="Times New Roman"/>
                <w:color w:val="auto"/>
                <w:kern w:val="0"/>
                <w:szCs w:val="21"/>
                <w:highlight w:val="none"/>
                <w:lang w:val="en-US" w:eastAsia="zh-CN" w:bidi="ar"/>
              </w:rPr>
              <w:t>0.0003</w:t>
            </w:r>
          </w:p>
        </w:tc>
        <w:tc>
          <w:tcPr>
            <w:tcW w:w="630" w:type="pct"/>
            <w:vMerge w:val="continue"/>
            <w:vAlign w:val="center"/>
          </w:tcPr>
          <w:p w14:paraId="29BE2457">
            <w:pPr>
              <w:jc w:val="center"/>
              <w:rPr>
                <w:rFonts w:eastAsia="仿宋_GB2312"/>
                <w:color w:val="auto"/>
                <w:szCs w:val="21"/>
              </w:rPr>
            </w:pPr>
          </w:p>
        </w:tc>
        <w:tc>
          <w:tcPr>
            <w:tcW w:w="292" w:type="pct"/>
            <w:vMerge w:val="continue"/>
            <w:vAlign w:val="center"/>
          </w:tcPr>
          <w:p w14:paraId="38059024">
            <w:pPr>
              <w:jc w:val="center"/>
              <w:rPr>
                <w:rFonts w:eastAsia="仿宋_GB2312"/>
                <w:color w:val="auto"/>
                <w:szCs w:val="21"/>
              </w:rPr>
            </w:pPr>
          </w:p>
        </w:tc>
      </w:tr>
      <w:tr w14:paraId="51F63E9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restart"/>
            <w:vAlign w:val="center"/>
          </w:tcPr>
          <w:p w14:paraId="2B95B429">
            <w:pPr>
              <w:jc w:val="center"/>
              <w:rPr>
                <w:rFonts w:eastAsia="仿宋_GB2312"/>
                <w:color w:val="auto"/>
                <w:szCs w:val="21"/>
              </w:rPr>
            </w:pPr>
            <w:r>
              <w:rPr>
                <w:rFonts w:eastAsia="仿宋_GB2312"/>
                <w:color w:val="auto"/>
                <w:szCs w:val="21"/>
              </w:rPr>
              <w:t>B-7车间</w:t>
            </w:r>
          </w:p>
        </w:tc>
        <w:tc>
          <w:tcPr>
            <w:tcW w:w="358" w:type="pct"/>
            <w:vMerge w:val="restart"/>
            <w:vAlign w:val="center"/>
          </w:tcPr>
          <w:p w14:paraId="0C83FF88">
            <w:pPr>
              <w:jc w:val="center"/>
              <w:rPr>
                <w:rFonts w:hint="eastAsia" w:eastAsia="仿宋_GB2312"/>
                <w:color w:val="auto"/>
                <w:szCs w:val="21"/>
                <w:lang w:eastAsia="zh-CN"/>
              </w:rPr>
            </w:pPr>
            <w:r>
              <w:rPr>
                <w:rFonts w:hint="eastAsia" w:eastAsia="仿宋_GB2312"/>
                <w:color w:val="auto"/>
                <w:szCs w:val="21"/>
                <w:lang w:val="en-US" w:eastAsia="zh-CN"/>
              </w:rPr>
              <w:t>环己烷</w:t>
            </w:r>
          </w:p>
        </w:tc>
        <w:tc>
          <w:tcPr>
            <w:tcW w:w="418" w:type="pct"/>
            <w:vMerge w:val="restart"/>
            <w:vAlign w:val="center"/>
          </w:tcPr>
          <w:p w14:paraId="7EE43D87">
            <w:pPr>
              <w:jc w:val="center"/>
              <w:rPr>
                <w:rFonts w:eastAsia="仿宋_GB2312"/>
                <w:color w:val="auto"/>
                <w:szCs w:val="21"/>
              </w:rPr>
            </w:pPr>
            <w:r>
              <w:rPr>
                <w:rFonts w:eastAsia="仿宋_GB2312"/>
                <w:color w:val="auto"/>
                <w:kern w:val="0"/>
                <w:szCs w:val="21"/>
                <w:lang w:bidi="ar"/>
              </w:rPr>
              <w:t>G</w:t>
            </w:r>
            <w:r>
              <w:rPr>
                <w:rFonts w:hint="eastAsia" w:eastAsia="仿宋_GB2312"/>
                <w:color w:val="auto"/>
                <w:kern w:val="0"/>
                <w:szCs w:val="21"/>
                <w:lang w:val="en-US" w:eastAsia="zh-CN" w:bidi="ar"/>
              </w:rPr>
              <w:t>2</w:t>
            </w:r>
            <w:r>
              <w:rPr>
                <w:rFonts w:eastAsia="仿宋_GB2312"/>
                <w:color w:val="auto"/>
                <w:kern w:val="0"/>
                <w:szCs w:val="21"/>
                <w:lang w:bidi="ar"/>
              </w:rPr>
              <w:t>-</w:t>
            </w:r>
            <w:r>
              <w:rPr>
                <w:rFonts w:hint="eastAsia" w:eastAsia="仿宋_GB2312"/>
                <w:color w:val="auto"/>
                <w:kern w:val="0"/>
                <w:szCs w:val="21"/>
                <w:lang w:val="en-US" w:eastAsia="zh-CN" w:bidi="ar"/>
              </w:rPr>
              <w:t>10</w:t>
            </w:r>
            <w:r>
              <w:rPr>
                <w:rFonts w:eastAsia="仿宋_GB2312"/>
                <w:color w:val="auto"/>
                <w:kern w:val="0"/>
                <w:szCs w:val="21"/>
                <w:lang w:bidi="ar"/>
              </w:rPr>
              <w:t>-1</w:t>
            </w:r>
          </w:p>
        </w:tc>
        <w:tc>
          <w:tcPr>
            <w:tcW w:w="446" w:type="pct"/>
            <w:vMerge w:val="restart"/>
            <w:vAlign w:val="center"/>
          </w:tcPr>
          <w:p w14:paraId="01BC9853">
            <w:pPr>
              <w:jc w:val="center"/>
              <w:rPr>
                <w:rFonts w:eastAsia="仿宋_GB2312"/>
                <w:color w:val="auto"/>
                <w:szCs w:val="21"/>
              </w:rPr>
            </w:pPr>
            <w:r>
              <w:rPr>
                <w:rFonts w:eastAsia="仿宋_GB2312"/>
                <w:color w:val="auto"/>
                <w:kern w:val="0"/>
                <w:szCs w:val="21"/>
                <w:lang w:bidi="ar"/>
              </w:rPr>
              <w:t>投料废气</w:t>
            </w:r>
          </w:p>
        </w:tc>
        <w:tc>
          <w:tcPr>
            <w:tcW w:w="361" w:type="pct"/>
            <w:vMerge w:val="restart"/>
            <w:vAlign w:val="center"/>
          </w:tcPr>
          <w:p w14:paraId="35FA223C">
            <w:pPr>
              <w:jc w:val="center"/>
              <w:rPr>
                <w:rFonts w:hint="default" w:eastAsia="仿宋_GB2312"/>
                <w:color w:val="auto"/>
                <w:szCs w:val="21"/>
                <w:lang w:val="en-US" w:eastAsia="zh-CN"/>
              </w:rPr>
            </w:pPr>
            <w:r>
              <w:rPr>
                <w:rFonts w:hint="eastAsia" w:eastAsia="仿宋_GB2312"/>
                <w:color w:val="auto"/>
                <w:szCs w:val="21"/>
                <w:lang w:val="en-US" w:eastAsia="zh-CN"/>
              </w:rPr>
              <w:t>2000</w:t>
            </w:r>
          </w:p>
        </w:tc>
        <w:tc>
          <w:tcPr>
            <w:tcW w:w="498" w:type="pct"/>
            <w:vMerge w:val="restart"/>
            <w:vAlign w:val="center"/>
          </w:tcPr>
          <w:p w14:paraId="403B2F65">
            <w:pPr>
              <w:keepNext w:val="0"/>
              <w:keepLines w:val="0"/>
              <w:widowControl/>
              <w:suppressLineNumbers w:val="0"/>
              <w:jc w:val="center"/>
              <w:textAlignment w:val="bottom"/>
              <w:rPr>
                <w:rFonts w:eastAsia="仿宋_GB2312"/>
                <w:color w:val="auto"/>
                <w:kern w:val="0"/>
                <w:szCs w:val="21"/>
                <w:lang w:bidi="ar"/>
              </w:rPr>
            </w:pPr>
            <w:r>
              <w:rPr>
                <w:rFonts w:hint="default" w:ascii="Times New Roman" w:hAnsi="Times New Roman" w:eastAsia="宋体" w:cs="Times New Roman"/>
                <w:i w:val="0"/>
                <w:iCs w:val="0"/>
                <w:color w:val="auto"/>
                <w:kern w:val="0"/>
                <w:sz w:val="21"/>
                <w:szCs w:val="21"/>
                <w:u w:val="none"/>
                <w:lang w:val="en-US" w:eastAsia="zh-CN" w:bidi="ar"/>
              </w:rPr>
              <w:t>750</w:t>
            </w:r>
          </w:p>
        </w:tc>
        <w:tc>
          <w:tcPr>
            <w:tcW w:w="820" w:type="pct"/>
            <w:vAlign w:val="center"/>
          </w:tcPr>
          <w:p w14:paraId="17BF581F">
            <w:pPr>
              <w:widowControl/>
              <w:jc w:val="center"/>
              <w:textAlignment w:val="center"/>
              <w:rPr>
                <w:rFonts w:eastAsia="仿宋_GB2312"/>
                <w:color w:val="auto"/>
                <w:kern w:val="0"/>
                <w:szCs w:val="21"/>
                <w:lang w:bidi="ar"/>
              </w:rPr>
            </w:pPr>
            <w:r>
              <w:rPr>
                <w:rFonts w:eastAsia="仿宋_GB2312"/>
                <w:color w:val="auto"/>
                <w:kern w:val="0"/>
                <w:szCs w:val="21"/>
                <w:lang w:bidi="ar"/>
              </w:rPr>
              <w:t>环己烷</w:t>
            </w:r>
          </w:p>
        </w:tc>
        <w:tc>
          <w:tcPr>
            <w:tcW w:w="380" w:type="pct"/>
            <w:shd w:val="clear" w:color="auto" w:fill="auto"/>
            <w:vAlign w:val="center"/>
          </w:tcPr>
          <w:p w14:paraId="08378661">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1.534</w:t>
            </w:r>
          </w:p>
        </w:tc>
        <w:tc>
          <w:tcPr>
            <w:tcW w:w="445" w:type="pct"/>
            <w:shd w:val="clear" w:color="auto" w:fill="auto"/>
            <w:vAlign w:val="center"/>
          </w:tcPr>
          <w:p w14:paraId="692E8814">
            <w:pPr>
              <w:widowControl/>
              <w:jc w:val="center"/>
              <w:textAlignment w:val="center"/>
              <w:rPr>
                <w:rFonts w:eastAsia="仿宋_GB2312"/>
                <w:color w:val="auto"/>
                <w:kern w:val="0"/>
                <w:szCs w:val="21"/>
                <w:lang w:bidi="ar"/>
              </w:rPr>
            </w:pPr>
            <w:r>
              <w:rPr>
                <w:rFonts w:hint="eastAsia" w:ascii="Times New Roman" w:hAnsi="Times New Roman" w:eastAsia="仿宋_GB2312" w:cs="Times New Roman"/>
                <w:color w:val="auto"/>
                <w:kern w:val="0"/>
                <w:szCs w:val="21"/>
                <w:lang w:val="en-US" w:eastAsia="zh-CN" w:bidi="ar"/>
              </w:rPr>
              <w:t>1.1506</w:t>
            </w:r>
          </w:p>
        </w:tc>
        <w:tc>
          <w:tcPr>
            <w:tcW w:w="630" w:type="pct"/>
            <w:vMerge w:val="continue"/>
            <w:vAlign w:val="center"/>
          </w:tcPr>
          <w:p w14:paraId="58684AD1">
            <w:pPr>
              <w:jc w:val="center"/>
              <w:rPr>
                <w:rFonts w:eastAsia="仿宋_GB2312"/>
                <w:color w:val="auto"/>
                <w:szCs w:val="21"/>
              </w:rPr>
            </w:pPr>
          </w:p>
        </w:tc>
        <w:tc>
          <w:tcPr>
            <w:tcW w:w="292" w:type="pct"/>
            <w:vMerge w:val="continue"/>
            <w:vAlign w:val="center"/>
          </w:tcPr>
          <w:p w14:paraId="7E0C83FE">
            <w:pPr>
              <w:jc w:val="center"/>
              <w:rPr>
                <w:rFonts w:eastAsia="仿宋_GB2312"/>
                <w:color w:val="auto"/>
                <w:szCs w:val="21"/>
              </w:rPr>
            </w:pPr>
          </w:p>
        </w:tc>
      </w:tr>
      <w:tr w14:paraId="77DB32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6EA97FDF">
            <w:pPr>
              <w:jc w:val="center"/>
              <w:rPr>
                <w:rFonts w:eastAsia="仿宋_GB2312"/>
                <w:color w:val="auto"/>
                <w:szCs w:val="21"/>
              </w:rPr>
            </w:pPr>
          </w:p>
        </w:tc>
        <w:tc>
          <w:tcPr>
            <w:tcW w:w="358" w:type="pct"/>
            <w:vMerge w:val="continue"/>
            <w:vAlign w:val="center"/>
          </w:tcPr>
          <w:p w14:paraId="624FED3C">
            <w:pPr>
              <w:jc w:val="center"/>
              <w:rPr>
                <w:rFonts w:eastAsia="仿宋_GB2312"/>
                <w:color w:val="auto"/>
                <w:szCs w:val="21"/>
              </w:rPr>
            </w:pPr>
          </w:p>
        </w:tc>
        <w:tc>
          <w:tcPr>
            <w:tcW w:w="418" w:type="pct"/>
            <w:vMerge w:val="continue"/>
            <w:vAlign w:val="center"/>
          </w:tcPr>
          <w:p w14:paraId="208CC2D1">
            <w:pPr>
              <w:jc w:val="center"/>
              <w:rPr>
                <w:rFonts w:eastAsia="仿宋_GB2312"/>
                <w:color w:val="auto"/>
                <w:szCs w:val="21"/>
              </w:rPr>
            </w:pPr>
          </w:p>
        </w:tc>
        <w:tc>
          <w:tcPr>
            <w:tcW w:w="446" w:type="pct"/>
            <w:vMerge w:val="continue"/>
            <w:vAlign w:val="center"/>
          </w:tcPr>
          <w:p w14:paraId="1FFA1629">
            <w:pPr>
              <w:jc w:val="center"/>
              <w:rPr>
                <w:rFonts w:eastAsia="仿宋_GB2312"/>
                <w:color w:val="auto"/>
                <w:szCs w:val="21"/>
              </w:rPr>
            </w:pPr>
          </w:p>
        </w:tc>
        <w:tc>
          <w:tcPr>
            <w:tcW w:w="361" w:type="pct"/>
            <w:vMerge w:val="continue"/>
            <w:vAlign w:val="center"/>
          </w:tcPr>
          <w:p w14:paraId="0DEB4CAA">
            <w:pPr>
              <w:jc w:val="center"/>
              <w:rPr>
                <w:rFonts w:eastAsia="仿宋_GB2312"/>
                <w:color w:val="auto"/>
                <w:szCs w:val="21"/>
              </w:rPr>
            </w:pPr>
          </w:p>
        </w:tc>
        <w:tc>
          <w:tcPr>
            <w:tcW w:w="498" w:type="pct"/>
            <w:vMerge w:val="continue"/>
            <w:vAlign w:val="center"/>
          </w:tcPr>
          <w:p w14:paraId="5A8A3286">
            <w:pPr>
              <w:keepNext w:val="0"/>
              <w:keepLines w:val="0"/>
              <w:widowControl/>
              <w:suppressLineNumbers w:val="0"/>
              <w:jc w:val="center"/>
              <w:textAlignment w:val="bottom"/>
              <w:rPr>
                <w:rFonts w:eastAsia="仿宋_GB2312"/>
                <w:color w:val="auto"/>
                <w:kern w:val="0"/>
                <w:szCs w:val="21"/>
                <w:lang w:bidi="ar"/>
              </w:rPr>
            </w:pPr>
          </w:p>
        </w:tc>
        <w:tc>
          <w:tcPr>
            <w:tcW w:w="820" w:type="pct"/>
            <w:vAlign w:val="center"/>
          </w:tcPr>
          <w:p w14:paraId="62CEF48F">
            <w:pPr>
              <w:widowControl/>
              <w:jc w:val="center"/>
              <w:textAlignment w:val="center"/>
              <w:rPr>
                <w:rFonts w:eastAsia="仿宋_GB2312"/>
                <w:color w:val="auto"/>
                <w:kern w:val="0"/>
                <w:szCs w:val="21"/>
                <w:lang w:bidi="ar"/>
              </w:rPr>
            </w:pPr>
            <w:r>
              <w:rPr>
                <w:rFonts w:eastAsia="仿宋_GB2312"/>
                <w:color w:val="auto"/>
                <w:kern w:val="0"/>
                <w:szCs w:val="21"/>
                <w:lang w:bidi="ar"/>
              </w:rPr>
              <w:t>乙醇</w:t>
            </w:r>
          </w:p>
        </w:tc>
        <w:tc>
          <w:tcPr>
            <w:tcW w:w="380" w:type="pct"/>
            <w:shd w:val="clear" w:color="auto" w:fill="auto"/>
            <w:vAlign w:val="center"/>
          </w:tcPr>
          <w:p w14:paraId="62C0C7EB">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0.036</w:t>
            </w:r>
          </w:p>
        </w:tc>
        <w:tc>
          <w:tcPr>
            <w:tcW w:w="445" w:type="pct"/>
            <w:shd w:val="clear" w:color="auto" w:fill="auto"/>
            <w:vAlign w:val="center"/>
          </w:tcPr>
          <w:p w14:paraId="616E5173">
            <w:pPr>
              <w:widowControl/>
              <w:jc w:val="center"/>
              <w:textAlignment w:val="center"/>
              <w:rPr>
                <w:rFonts w:eastAsia="仿宋_GB2312"/>
                <w:color w:val="auto"/>
                <w:kern w:val="0"/>
                <w:szCs w:val="21"/>
                <w:lang w:bidi="ar"/>
              </w:rPr>
            </w:pPr>
            <w:r>
              <w:rPr>
                <w:rFonts w:hint="eastAsia" w:ascii="Times New Roman" w:hAnsi="Times New Roman" w:eastAsia="仿宋_GB2312" w:cs="Times New Roman"/>
                <w:color w:val="auto"/>
                <w:kern w:val="0"/>
                <w:szCs w:val="21"/>
                <w:lang w:val="en-US" w:eastAsia="zh-CN" w:bidi="ar"/>
              </w:rPr>
              <w:t>0.0277</w:t>
            </w:r>
          </w:p>
        </w:tc>
        <w:tc>
          <w:tcPr>
            <w:tcW w:w="630" w:type="pct"/>
            <w:vMerge w:val="continue"/>
            <w:vAlign w:val="center"/>
          </w:tcPr>
          <w:p w14:paraId="4A71817F">
            <w:pPr>
              <w:jc w:val="center"/>
              <w:rPr>
                <w:rFonts w:eastAsia="仿宋_GB2312"/>
                <w:color w:val="auto"/>
                <w:szCs w:val="21"/>
              </w:rPr>
            </w:pPr>
          </w:p>
        </w:tc>
        <w:tc>
          <w:tcPr>
            <w:tcW w:w="292" w:type="pct"/>
            <w:vMerge w:val="continue"/>
            <w:vAlign w:val="center"/>
          </w:tcPr>
          <w:p w14:paraId="7C11D539">
            <w:pPr>
              <w:jc w:val="center"/>
              <w:rPr>
                <w:rFonts w:eastAsia="仿宋_GB2312"/>
                <w:color w:val="auto"/>
                <w:szCs w:val="21"/>
              </w:rPr>
            </w:pPr>
          </w:p>
        </w:tc>
      </w:tr>
      <w:tr w14:paraId="7117C7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5691FFC0">
            <w:pPr>
              <w:jc w:val="center"/>
              <w:rPr>
                <w:rFonts w:eastAsia="仿宋_GB2312"/>
                <w:color w:val="auto"/>
                <w:szCs w:val="21"/>
              </w:rPr>
            </w:pPr>
          </w:p>
        </w:tc>
        <w:tc>
          <w:tcPr>
            <w:tcW w:w="358" w:type="pct"/>
            <w:vMerge w:val="continue"/>
            <w:vAlign w:val="center"/>
          </w:tcPr>
          <w:p w14:paraId="5D6AE193">
            <w:pPr>
              <w:jc w:val="center"/>
              <w:rPr>
                <w:rFonts w:eastAsia="仿宋_GB2312"/>
                <w:color w:val="auto"/>
                <w:szCs w:val="21"/>
              </w:rPr>
            </w:pPr>
          </w:p>
        </w:tc>
        <w:tc>
          <w:tcPr>
            <w:tcW w:w="418" w:type="pct"/>
            <w:vMerge w:val="continue"/>
            <w:vAlign w:val="center"/>
          </w:tcPr>
          <w:p w14:paraId="38E5EAFA">
            <w:pPr>
              <w:jc w:val="center"/>
              <w:rPr>
                <w:rFonts w:eastAsia="仿宋_GB2312"/>
                <w:color w:val="auto"/>
                <w:szCs w:val="21"/>
              </w:rPr>
            </w:pPr>
          </w:p>
        </w:tc>
        <w:tc>
          <w:tcPr>
            <w:tcW w:w="446" w:type="pct"/>
            <w:vMerge w:val="continue"/>
            <w:vAlign w:val="center"/>
          </w:tcPr>
          <w:p w14:paraId="6B6EDA7D">
            <w:pPr>
              <w:jc w:val="center"/>
              <w:rPr>
                <w:rFonts w:eastAsia="仿宋_GB2312"/>
                <w:color w:val="auto"/>
                <w:szCs w:val="21"/>
              </w:rPr>
            </w:pPr>
          </w:p>
        </w:tc>
        <w:tc>
          <w:tcPr>
            <w:tcW w:w="361" w:type="pct"/>
            <w:vMerge w:val="continue"/>
            <w:vAlign w:val="center"/>
          </w:tcPr>
          <w:p w14:paraId="3F440387">
            <w:pPr>
              <w:jc w:val="center"/>
              <w:rPr>
                <w:rFonts w:eastAsia="仿宋_GB2312"/>
                <w:color w:val="auto"/>
                <w:szCs w:val="21"/>
              </w:rPr>
            </w:pPr>
          </w:p>
        </w:tc>
        <w:tc>
          <w:tcPr>
            <w:tcW w:w="498" w:type="pct"/>
            <w:vMerge w:val="continue"/>
            <w:vAlign w:val="center"/>
          </w:tcPr>
          <w:p w14:paraId="4A99DB90">
            <w:pPr>
              <w:keepNext w:val="0"/>
              <w:keepLines w:val="0"/>
              <w:widowControl/>
              <w:suppressLineNumbers w:val="0"/>
              <w:jc w:val="center"/>
              <w:textAlignment w:val="bottom"/>
              <w:rPr>
                <w:rFonts w:eastAsia="仿宋_GB2312"/>
                <w:color w:val="auto"/>
                <w:kern w:val="0"/>
                <w:szCs w:val="21"/>
                <w:lang w:bidi="ar"/>
              </w:rPr>
            </w:pPr>
          </w:p>
        </w:tc>
        <w:tc>
          <w:tcPr>
            <w:tcW w:w="820" w:type="pct"/>
            <w:vAlign w:val="center"/>
          </w:tcPr>
          <w:p w14:paraId="319AAEE5">
            <w:pPr>
              <w:widowControl/>
              <w:jc w:val="center"/>
              <w:textAlignment w:val="center"/>
              <w:rPr>
                <w:rFonts w:eastAsia="仿宋_GB2312"/>
                <w:color w:val="auto"/>
                <w:kern w:val="0"/>
                <w:szCs w:val="21"/>
                <w:lang w:bidi="ar"/>
              </w:rPr>
            </w:pPr>
            <w:r>
              <w:rPr>
                <w:rFonts w:eastAsia="仿宋_GB2312"/>
                <w:color w:val="auto"/>
                <w:kern w:val="0"/>
                <w:szCs w:val="21"/>
                <w:lang w:bidi="ar"/>
              </w:rPr>
              <w:t>其他有机物</w:t>
            </w:r>
          </w:p>
        </w:tc>
        <w:tc>
          <w:tcPr>
            <w:tcW w:w="380" w:type="pct"/>
            <w:shd w:val="clear" w:color="auto" w:fill="auto"/>
            <w:vAlign w:val="center"/>
          </w:tcPr>
          <w:p w14:paraId="35E940DB">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0.079</w:t>
            </w:r>
          </w:p>
        </w:tc>
        <w:tc>
          <w:tcPr>
            <w:tcW w:w="445" w:type="pct"/>
            <w:shd w:val="clear" w:color="auto" w:fill="auto"/>
            <w:vAlign w:val="center"/>
          </w:tcPr>
          <w:p w14:paraId="06DDF31E">
            <w:pPr>
              <w:widowControl/>
              <w:jc w:val="center"/>
              <w:textAlignment w:val="center"/>
              <w:rPr>
                <w:rFonts w:eastAsia="仿宋_GB2312"/>
                <w:color w:val="auto"/>
                <w:kern w:val="0"/>
                <w:szCs w:val="21"/>
                <w:lang w:bidi="ar"/>
              </w:rPr>
            </w:pPr>
            <w:r>
              <w:rPr>
                <w:rFonts w:hint="eastAsia" w:ascii="Times New Roman" w:hAnsi="Times New Roman" w:eastAsia="仿宋_GB2312" w:cs="Times New Roman"/>
                <w:color w:val="auto"/>
                <w:kern w:val="0"/>
                <w:szCs w:val="21"/>
                <w:lang w:val="en-US" w:eastAsia="zh-CN" w:bidi="ar"/>
              </w:rPr>
              <w:t>0.0594</w:t>
            </w:r>
          </w:p>
        </w:tc>
        <w:tc>
          <w:tcPr>
            <w:tcW w:w="630" w:type="pct"/>
            <w:vMerge w:val="continue"/>
            <w:vAlign w:val="center"/>
          </w:tcPr>
          <w:p w14:paraId="4CE9AEBE">
            <w:pPr>
              <w:jc w:val="center"/>
              <w:rPr>
                <w:rFonts w:eastAsia="仿宋_GB2312"/>
                <w:color w:val="auto"/>
                <w:szCs w:val="21"/>
              </w:rPr>
            </w:pPr>
          </w:p>
        </w:tc>
        <w:tc>
          <w:tcPr>
            <w:tcW w:w="292" w:type="pct"/>
            <w:vMerge w:val="continue"/>
            <w:vAlign w:val="center"/>
          </w:tcPr>
          <w:p w14:paraId="2FBB51F9">
            <w:pPr>
              <w:jc w:val="center"/>
              <w:rPr>
                <w:rFonts w:eastAsia="仿宋_GB2312"/>
                <w:color w:val="auto"/>
                <w:szCs w:val="21"/>
              </w:rPr>
            </w:pPr>
          </w:p>
        </w:tc>
      </w:tr>
      <w:tr w14:paraId="5B78FF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0EF85D77">
            <w:pPr>
              <w:jc w:val="center"/>
              <w:rPr>
                <w:rFonts w:eastAsia="仿宋_GB2312"/>
                <w:color w:val="auto"/>
                <w:szCs w:val="21"/>
              </w:rPr>
            </w:pPr>
          </w:p>
        </w:tc>
        <w:tc>
          <w:tcPr>
            <w:tcW w:w="358" w:type="pct"/>
            <w:vMerge w:val="continue"/>
            <w:vAlign w:val="center"/>
          </w:tcPr>
          <w:p w14:paraId="09A33F95">
            <w:pPr>
              <w:jc w:val="center"/>
              <w:rPr>
                <w:rFonts w:eastAsia="仿宋_GB2312"/>
                <w:color w:val="auto"/>
                <w:szCs w:val="21"/>
              </w:rPr>
            </w:pPr>
          </w:p>
        </w:tc>
        <w:tc>
          <w:tcPr>
            <w:tcW w:w="418" w:type="pct"/>
            <w:vMerge w:val="restart"/>
            <w:vAlign w:val="center"/>
          </w:tcPr>
          <w:p w14:paraId="6B85D6C0">
            <w:pPr>
              <w:jc w:val="center"/>
              <w:rPr>
                <w:rFonts w:eastAsia="仿宋_GB2312"/>
                <w:color w:val="auto"/>
                <w:szCs w:val="21"/>
              </w:rPr>
            </w:pPr>
            <w:r>
              <w:rPr>
                <w:rFonts w:eastAsia="仿宋_GB2312"/>
                <w:color w:val="auto"/>
                <w:kern w:val="0"/>
                <w:szCs w:val="21"/>
                <w:lang w:bidi="ar"/>
              </w:rPr>
              <w:t>G</w:t>
            </w:r>
            <w:r>
              <w:rPr>
                <w:rFonts w:hint="eastAsia" w:eastAsia="仿宋_GB2312"/>
                <w:color w:val="auto"/>
                <w:kern w:val="0"/>
                <w:szCs w:val="21"/>
                <w:lang w:val="en-US" w:eastAsia="zh-CN" w:bidi="ar"/>
              </w:rPr>
              <w:t>2</w:t>
            </w:r>
            <w:r>
              <w:rPr>
                <w:rFonts w:eastAsia="仿宋_GB2312"/>
                <w:color w:val="auto"/>
                <w:kern w:val="0"/>
                <w:szCs w:val="21"/>
                <w:lang w:bidi="ar"/>
              </w:rPr>
              <w:t>-1</w:t>
            </w:r>
            <w:r>
              <w:rPr>
                <w:rFonts w:hint="eastAsia" w:eastAsia="仿宋_GB2312"/>
                <w:color w:val="auto"/>
                <w:kern w:val="0"/>
                <w:szCs w:val="21"/>
                <w:lang w:val="en-US" w:eastAsia="zh-CN" w:bidi="ar"/>
              </w:rPr>
              <w:t>0</w:t>
            </w:r>
            <w:r>
              <w:rPr>
                <w:rFonts w:eastAsia="仿宋_GB2312"/>
                <w:color w:val="auto"/>
                <w:kern w:val="0"/>
                <w:szCs w:val="21"/>
                <w:lang w:bidi="ar"/>
              </w:rPr>
              <w:t>-2</w:t>
            </w:r>
          </w:p>
        </w:tc>
        <w:tc>
          <w:tcPr>
            <w:tcW w:w="446" w:type="pct"/>
            <w:vMerge w:val="restart"/>
            <w:vAlign w:val="center"/>
          </w:tcPr>
          <w:p w14:paraId="581ACC2F">
            <w:pPr>
              <w:jc w:val="center"/>
              <w:rPr>
                <w:rFonts w:eastAsia="仿宋_GB2312"/>
                <w:color w:val="auto"/>
                <w:szCs w:val="21"/>
              </w:rPr>
            </w:pPr>
            <w:r>
              <w:rPr>
                <w:rFonts w:eastAsia="仿宋_GB2312"/>
                <w:color w:val="auto"/>
                <w:kern w:val="0"/>
                <w:szCs w:val="21"/>
                <w:lang w:bidi="ar"/>
              </w:rPr>
              <w:t>调节废气</w:t>
            </w:r>
          </w:p>
        </w:tc>
        <w:tc>
          <w:tcPr>
            <w:tcW w:w="361" w:type="pct"/>
            <w:vMerge w:val="restart"/>
            <w:vAlign w:val="center"/>
          </w:tcPr>
          <w:p w14:paraId="0937EF78">
            <w:pPr>
              <w:jc w:val="center"/>
              <w:rPr>
                <w:rFonts w:hint="default" w:eastAsia="仿宋_GB2312"/>
                <w:color w:val="auto"/>
                <w:szCs w:val="21"/>
                <w:lang w:val="en-US" w:eastAsia="zh-CN"/>
              </w:rPr>
            </w:pPr>
            <w:r>
              <w:rPr>
                <w:rFonts w:hint="eastAsia" w:eastAsia="仿宋_GB2312"/>
                <w:color w:val="auto"/>
                <w:szCs w:val="21"/>
                <w:lang w:val="en-US" w:eastAsia="zh-CN"/>
              </w:rPr>
              <w:t>100</w:t>
            </w:r>
          </w:p>
        </w:tc>
        <w:tc>
          <w:tcPr>
            <w:tcW w:w="498" w:type="pct"/>
            <w:vMerge w:val="restart"/>
            <w:vAlign w:val="center"/>
          </w:tcPr>
          <w:p w14:paraId="501F565C">
            <w:pPr>
              <w:keepNext w:val="0"/>
              <w:keepLines w:val="0"/>
              <w:widowControl/>
              <w:suppressLineNumbers w:val="0"/>
              <w:jc w:val="center"/>
              <w:textAlignment w:val="bottom"/>
              <w:rPr>
                <w:rFonts w:eastAsia="仿宋_GB2312"/>
                <w:color w:val="auto"/>
                <w:kern w:val="0"/>
                <w:szCs w:val="21"/>
                <w:lang w:bidi="ar"/>
              </w:rPr>
            </w:pPr>
            <w:r>
              <w:rPr>
                <w:rFonts w:hint="default" w:ascii="Times New Roman" w:hAnsi="Times New Roman" w:eastAsia="宋体" w:cs="Times New Roman"/>
                <w:i w:val="0"/>
                <w:iCs w:val="0"/>
                <w:color w:val="auto"/>
                <w:kern w:val="0"/>
                <w:sz w:val="21"/>
                <w:szCs w:val="21"/>
                <w:u w:val="none"/>
                <w:lang w:val="en-US" w:eastAsia="zh-CN" w:bidi="ar"/>
              </w:rPr>
              <w:t>750</w:t>
            </w:r>
          </w:p>
        </w:tc>
        <w:tc>
          <w:tcPr>
            <w:tcW w:w="820" w:type="pct"/>
            <w:vAlign w:val="center"/>
          </w:tcPr>
          <w:p w14:paraId="1459DBF8">
            <w:pPr>
              <w:widowControl/>
              <w:jc w:val="center"/>
              <w:textAlignment w:val="center"/>
              <w:rPr>
                <w:rFonts w:eastAsia="仿宋_GB2312"/>
                <w:color w:val="auto"/>
                <w:kern w:val="0"/>
                <w:szCs w:val="21"/>
                <w:lang w:bidi="ar"/>
              </w:rPr>
            </w:pPr>
            <w:r>
              <w:rPr>
                <w:rFonts w:eastAsia="仿宋_GB2312"/>
                <w:color w:val="auto"/>
                <w:kern w:val="0"/>
                <w:szCs w:val="21"/>
                <w:lang w:bidi="ar"/>
              </w:rPr>
              <w:t>环己烷</w:t>
            </w:r>
          </w:p>
        </w:tc>
        <w:tc>
          <w:tcPr>
            <w:tcW w:w="380" w:type="pct"/>
            <w:shd w:val="clear" w:color="auto" w:fill="auto"/>
            <w:vAlign w:val="center"/>
          </w:tcPr>
          <w:p w14:paraId="10DDDC0B">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0.772</w:t>
            </w:r>
          </w:p>
        </w:tc>
        <w:tc>
          <w:tcPr>
            <w:tcW w:w="445" w:type="pct"/>
            <w:shd w:val="clear" w:color="auto" w:fill="auto"/>
            <w:vAlign w:val="center"/>
          </w:tcPr>
          <w:p w14:paraId="11E18121">
            <w:pPr>
              <w:widowControl/>
              <w:jc w:val="center"/>
              <w:textAlignment w:val="center"/>
              <w:rPr>
                <w:rFonts w:eastAsia="仿宋_GB2312"/>
                <w:color w:val="auto"/>
                <w:kern w:val="0"/>
                <w:szCs w:val="21"/>
                <w:lang w:bidi="ar"/>
              </w:rPr>
            </w:pPr>
            <w:r>
              <w:rPr>
                <w:rFonts w:hint="eastAsia" w:eastAsia="仿宋_GB2312"/>
                <w:color w:val="auto"/>
                <w:kern w:val="0"/>
                <w:szCs w:val="21"/>
                <w:lang w:val="en-US" w:eastAsia="zh-CN" w:bidi="ar"/>
              </w:rPr>
              <w:t>0.579</w:t>
            </w:r>
          </w:p>
        </w:tc>
        <w:tc>
          <w:tcPr>
            <w:tcW w:w="630" w:type="pct"/>
            <w:vMerge w:val="restart"/>
            <w:shd w:val="clear" w:color="auto" w:fill="auto"/>
            <w:vAlign w:val="center"/>
          </w:tcPr>
          <w:p w14:paraId="39365A5E">
            <w:pPr>
              <w:widowControl/>
              <w:jc w:val="center"/>
              <w:textAlignment w:val="center"/>
              <w:rPr>
                <w:rFonts w:ascii="Times New Roman" w:hAnsi="Times New Roman" w:eastAsia="仿宋_GB2312" w:cs="Times New Roman"/>
                <w:color w:val="auto"/>
                <w:kern w:val="2"/>
                <w:sz w:val="21"/>
                <w:szCs w:val="21"/>
                <w:lang w:val="en-US" w:eastAsia="zh-CN" w:bidi="ar-SA"/>
              </w:rPr>
            </w:pPr>
            <w:r>
              <w:rPr>
                <w:rFonts w:hint="eastAsia" w:eastAsia="仿宋_GB2312"/>
                <w:color w:val="auto"/>
                <w:szCs w:val="21"/>
              </w:rPr>
              <w:t>预处理（冷凝+稀酸吸收+碱吸收+水吸收+除雾）+</w:t>
            </w:r>
            <w:r>
              <w:rPr>
                <w:rFonts w:eastAsia="仿宋_GB2312"/>
                <w:color w:val="auto"/>
                <w:szCs w:val="21"/>
              </w:rPr>
              <w:t>焚烧</w:t>
            </w:r>
          </w:p>
        </w:tc>
        <w:tc>
          <w:tcPr>
            <w:tcW w:w="292" w:type="pct"/>
            <w:vMerge w:val="restart"/>
            <w:shd w:val="clear" w:color="auto" w:fill="auto"/>
            <w:vAlign w:val="center"/>
          </w:tcPr>
          <w:p w14:paraId="2D3D6846">
            <w:pPr>
              <w:widowControl/>
              <w:jc w:val="center"/>
              <w:textAlignment w:val="center"/>
              <w:rPr>
                <w:rFonts w:ascii="Times New Roman" w:hAnsi="Times New Roman" w:eastAsia="仿宋_GB2312" w:cs="Times New Roman"/>
                <w:color w:val="auto"/>
                <w:kern w:val="2"/>
                <w:sz w:val="21"/>
                <w:szCs w:val="21"/>
                <w:lang w:val="en-US" w:eastAsia="zh-CN" w:bidi="ar-SA"/>
              </w:rPr>
            </w:pPr>
            <w:r>
              <w:rPr>
                <w:rFonts w:hint="eastAsia" w:eastAsia="仿宋_GB2312"/>
                <w:color w:val="auto"/>
                <w:kern w:val="0"/>
                <w:szCs w:val="21"/>
                <w:lang w:bidi="ar"/>
              </w:rPr>
              <w:t>DA002</w:t>
            </w:r>
          </w:p>
        </w:tc>
      </w:tr>
      <w:tr w14:paraId="2663BB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0EB05ACF">
            <w:pPr>
              <w:jc w:val="center"/>
              <w:rPr>
                <w:rFonts w:eastAsia="仿宋_GB2312"/>
                <w:color w:val="auto"/>
                <w:szCs w:val="21"/>
              </w:rPr>
            </w:pPr>
          </w:p>
        </w:tc>
        <w:tc>
          <w:tcPr>
            <w:tcW w:w="358" w:type="pct"/>
            <w:vMerge w:val="continue"/>
            <w:vAlign w:val="center"/>
          </w:tcPr>
          <w:p w14:paraId="5DA2E512">
            <w:pPr>
              <w:jc w:val="center"/>
              <w:rPr>
                <w:rFonts w:eastAsia="仿宋_GB2312"/>
                <w:color w:val="auto"/>
                <w:szCs w:val="21"/>
              </w:rPr>
            </w:pPr>
          </w:p>
        </w:tc>
        <w:tc>
          <w:tcPr>
            <w:tcW w:w="418" w:type="pct"/>
            <w:vMerge w:val="continue"/>
            <w:vAlign w:val="center"/>
          </w:tcPr>
          <w:p w14:paraId="7EB09FF4">
            <w:pPr>
              <w:jc w:val="center"/>
              <w:rPr>
                <w:rFonts w:eastAsia="仿宋_GB2312"/>
                <w:color w:val="auto"/>
                <w:szCs w:val="21"/>
              </w:rPr>
            </w:pPr>
          </w:p>
        </w:tc>
        <w:tc>
          <w:tcPr>
            <w:tcW w:w="446" w:type="pct"/>
            <w:vMerge w:val="continue"/>
            <w:vAlign w:val="center"/>
          </w:tcPr>
          <w:p w14:paraId="317FD141">
            <w:pPr>
              <w:jc w:val="center"/>
              <w:rPr>
                <w:rFonts w:eastAsia="仿宋_GB2312"/>
                <w:color w:val="auto"/>
                <w:szCs w:val="21"/>
              </w:rPr>
            </w:pPr>
          </w:p>
        </w:tc>
        <w:tc>
          <w:tcPr>
            <w:tcW w:w="361" w:type="pct"/>
            <w:vMerge w:val="continue"/>
            <w:vAlign w:val="center"/>
          </w:tcPr>
          <w:p w14:paraId="40CDBFD7">
            <w:pPr>
              <w:jc w:val="center"/>
              <w:rPr>
                <w:rFonts w:eastAsia="仿宋_GB2312"/>
                <w:color w:val="auto"/>
                <w:szCs w:val="21"/>
              </w:rPr>
            </w:pPr>
          </w:p>
        </w:tc>
        <w:tc>
          <w:tcPr>
            <w:tcW w:w="498" w:type="pct"/>
            <w:vMerge w:val="continue"/>
            <w:vAlign w:val="center"/>
          </w:tcPr>
          <w:p w14:paraId="2DB81E7B">
            <w:pPr>
              <w:keepNext w:val="0"/>
              <w:keepLines w:val="0"/>
              <w:widowControl/>
              <w:suppressLineNumbers w:val="0"/>
              <w:jc w:val="center"/>
              <w:textAlignment w:val="bottom"/>
              <w:rPr>
                <w:rFonts w:eastAsia="仿宋_GB2312"/>
                <w:color w:val="auto"/>
                <w:kern w:val="0"/>
                <w:szCs w:val="21"/>
                <w:lang w:bidi="ar"/>
              </w:rPr>
            </w:pPr>
          </w:p>
        </w:tc>
        <w:tc>
          <w:tcPr>
            <w:tcW w:w="820" w:type="pct"/>
            <w:vAlign w:val="center"/>
          </w:tcPr>
          <w:p w14:paraId="6FD5EF0D">
            <w:pPr>
              <w:widowControl/>
              <w:jc w:val="center"/>
              <w:textAlignment w:val="center"/>
              <w:rPr>
                <w:rFonts w:eastAsia="仿宋_GB2312"/>
                <w:color w:val="auto"/>
                <w:kern w:val="0"/>
                <w:szCs w:val="21"/>
                <w:lang w:bidi="ar"/>
              </w:rPr>
            </w:pPr>
            <w:r>
              <w:rPr>
                <w:rFonts w:eastAsia="仿宋_GB2312"/>
                <w:color w:val="auto"/>
                <w:kern w:val="0"/>
                <w:szCs w:val="21"/>
                <w:lang w:bidi="ar"/>
              </w:rPr>
              <w:t>乙醇</w:t>
            </w:r>
          </w:p>
        </w:tc>
        <w:tc>
          <w:tcPr>
            <w:tcW w:w="380" w:type="pct"/>
            <w:shd w:val="clear" w:color="auto" w:fill="auto"/>
            <w:vAlign w:val="center"/>
          </w:tcPr>
          <w:p w14:paraId="6683451D">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0.018</w:t>
            </w:r>
          </w:p>
        </w:tc>
        <w:tc>
          <w:tcPr>
            <w:tcW w:w="445" w:type="pct"/>
            <w:shd w:val="clear" w:color="auto" w:fill="auto"/>
            <w:vAlign w:val="center"/>
          </w:tcPr>
          <w:p w14:paraId="3E0F498E">
            <w:pPr>
              <w:widowControl/>
              <w:jc w:val="center"/>
              <w:textAlignment w:val="center"/>
              <w:rPr>
                <w:rFonts w:eastAsia="仿宋_GB2312"/>
                <w:color w:val="auto"/>
                <w:kern w:val="0"/>
                <w:szCs w:val="21"/>
                <w:lang w:bidi="ar"/>
              </w:rPr>
            </w:pPr>
            <w:r>
              <w:rPr>
                <w:rFonts w:hint="eastAsia" w:eastAsia="仿宋_GB2312"/>
                <w:color w:val="auto"/>
                <w:kern w:val="0"/>
                <w:szCs w:val="21"/>
                <w:lang w:val="en-US" w:eastAsia="zh-CN" w:bidi="ar"/>
              </w:rPr>
              <w:t>0.014</w:t>
            </w:r>
          </w:p>
        </w:tc>
        <w:tc>
          <w:tcPr>
            <w:tcW w:w="630" w:type="pct"/>
            <w:vMerge w:val="continue"/>
            <w:vAlign w:val="center"/>
          </w:tcPr>
          <w:p w14:paraId="10C32318">
            <w:pPr>
              <w:jc w:val="center"/>
              <w:rPr>
                <w:rFonts w:eastAsia="仿宋_GB2312"/>
                <w:color w:val="auto"/>
                <w:szCs w:val="21"/>
              </w:rPr>
            </w:pPr>
          </w:p>
        </w:tc>
        <w:tc>
          <w:tcPr>
            <w:tcW w:w="292" w:type="pct"/>
            <w:vMerge w:val="continue"/>
            <w:vAlign w:val="center"/>
          </w:tcPr>
          <w:p w14:paraId="47E4A53C">
            <w:pPr>
              <w:jc w:val="center"/>
              <w:rPr>
                <w:rFonts w:eastAsia="仿宋_GB2312"/>
                <w:color w:val="auto"/>
                <w:szCs w:val="21"/>
              </w:rPr>
            </w:pPr>
          </w:p>
        </w:tc>
      </w:tr>
      <w:tr w14:paraId="5247C9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blHeader/>
          <w:jc w:val="center"/>
        </w:trPr>
        <w:tc>
          <w:tcPr>
            <w:tcW w:w="348" w:type="pct"/>
            <w:vMerge w:val="continue"/>
            <w:vAlign w:val="center"/>
          </w:tcPr>
          <w:p w14:paraId="3807669F">
            <w:pPr>
              <w:jc w:val="center"/>
              <w:rPr>
                <w:rFonts w:eastAsia="仿宋_GB2312"/>
                <w:color w:val="auto"/>
                <w:szCs w:val="21"/>
              </w:rPr>
            </w:pPr>
          </w:p>
        </w:tc>
        <w:tc>
          <w:tcPr>
            <w:tcW w:w="358" w:type="pct"/>
            <w:vMerge w:val="continue"/>
            <w:vAlign w:val="center"/>
          </w:tcPr>
          <w:p w14:paraId="4DD2F17E">
            <w:pPr>
              <w:jc w:val="center"/>
              <w:rPr>
                <w:rFonts w:eastAsia="仿宋_GB2312"/>
                <w:color w:val="auto"/>
                <w:szCs w:val="21"/>
              </w:rPr>
            </w:pPr>
          </w:p>
        </w:tc>
        <w:tc>
          <w:tcPr>
            <w:tcW w:w="418" w:type="pct"/>
            <w:vMerge w:val="continue"/>
            <w:vAlign w:val="center"/>
          </w:tcPr>
          <w:p w14:paraId="30E9CE9C">
            <w:pPr>
              <w:jc w:val="center"/>
              <w:rPr>
                <w:rFonts w:eastAsia="仿宋_GB2312"/>
                <w:color w:val="auto"/>
                <w:szCs w:val="21"/>
              </w:rPr>
            </w:pPr>
          </w:p>
        </w:tc>
        <w:tc>
          <w:tcPr>
            <w:tcW w:w="446" w:type="pct"/>
            <w:vMerge w:val="continue"/>
            <w:vAlign w:val="center"/>
          </w:tcPr>
          <w:p w14:paraId="27F56A96">
            <w:pPr>
              <w:jc w:val="center"/>
              <w:rPr>
                <w:rFonts w:eastAsia="仿宋_GB2312"/>
                <w:color w:val="auto"/>
                <w:szCs w:val="21"/>
              </w:rPr>
            </w:pPr>
          </w:p>
        </w:tc>
        <w:tc>
          <w:tcPr>
            <w:tcW w:w="361" w:type="pct"/>
            <w:vMerge w:val="continue"/>
            <w:vAlign w:val="center"/>
          </w:tcPr>
          <w:p w14:paraId="4BC79C67">
            <w:pPr>
              <w:jc w:val="center"/>
              <w:rPr>
                <w:rFonts w:eastAsia="仿宋_GB2312"/>
                <w:color w:val="auto"/>
                <w:szCs w:val="21"/>
              </w:rPr>
            </w:pPr>
          </w:p>
        </w:tc>
        <w:tc>
          <w:tcPr>
            <w:tcW w:w="498" w:type="pct"/>
            <w:vMerge w:val="continue"/>
            <w:vAlign w:val="center"/>
          </w:tcPr>
          <w:p w14:paraId="112A8812">
            <w:pPr>
              <w:keepNext w:val="0"/>
              <w:keepLines w:val="0"/>
              <w:widowControl/>
              <w:suppressLineNumbers w:val="0"/>
              <w:jc w:val="center"/>
              <w:textAlignment w:val="bottom"/>
              <w:rPr>
                <w:rFonts w:eastAsia="仿宋_GB2312"/>
                <w:color w:val="auto"/>
                <w:kern w:val="0"/>
                <w:szCs w:val="21"/>
                <w:lang w:bidi="ar"/>
              </w:rPr>
            </w:pPr>
          </w:p>
        </w:tc>
        <w:tc>
          <w:tcPr>
            <w:tcW w:w="820" w:type="pct"/>
            <w:vAlign w:val="center"/>
          </w:tcPr>
          <w:p w14:paraId="18C8D8AC">
            <w:pPr>
              <w:widowControl/>
              <w:jc w:val="center"/>
              <w:textAlignment w:val="center"/>
              <w:rPr>
                <w:rFonts w:eastAsia="仿宋_GB2312"/>
                <w:color w:val="auto"/>
                <w:kern w:val="0"/>
                <w:szCs w:val="21"/>
                <w:lang w:bidi="ar"/>
              </w:rPr>
            </w:pPr>
            <w:r>
              <w:rPr>
                <w:rFonts w:eastAsia="仿宋_GB2312"/>
                <w:color w:val="auto"/>
                <w:kern w:val="0"/>
                <w:szCs w:val="21"/>
                <w:lang w:bidi="ar"/>
              </w:rPr>
              <w:t>其他有机物</w:t>
            </w:r>
          </w:p>
        </w:tc>
        <w:tc>
          <w:tcPr>
            <w:tcW w:w="380" w:type="pct"/>
            <w:shd w:val="clear" w:color="auto" w:fill="auto"/>
            <w:vAlign w:val="center"/>
          </w:tcPr>
          <w:p w14:paraId="0D1CF3FF">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0.04</w:t>
            </w:r>
          </w:p>
        </w:tc>
        <w:tc>
          <w:tcPr>
            <w:tcW w:w="445" w:type="pct"/>
            <w:shd w:val="clear" w:color="auto" w:fill="auto"/>
            <w:vAlign w:val="center"/>
          </w:tcPr>
          <w:p w14:paraId="7D8723E1">
            <w:pPr>
              <w:widowControl/>
              <w:jc w:val="center"/>
              <w:textAlignment w:val="center"/>
              <w:rPr>
                <w:rFonts w:eastAsia="仿宋_GB2312"/>
                <w:color w:val="auto"/>
                <w:kern w:val="0"/>
                <w:szCs w:val="21"/>
                <w:lang w:bidi="ar"/>
              </w:rPr>
            </w:pPr>
            <w:r>
              <w:rPr>
                <w:rFonts w:hint="eastAsia" w:eastAsia="仿宋_GB2312"/>
                <w:color w:val="auto"/>
                <w:kern w:val="0"/>
                <w:szCs w:val="21"/>
                <w:lang w:val="en-US" w:eastAsia="zh-CN" w:bidi="ar"/>
              </w:rPr>
              <w:t>0.03</w:t>
            </w:r>
          </w:p>
        </w:tc>
        <w:tc>
          <w:tcPr>
            <w:tcW w:w="630" w:type="pct"/>
            <w:vMerge w:val="continue"/>
            <w:vAlign w:val="center"/>
          </w:tcPr>
          <w:p w14:paraId="72529AC7">
            <w:pPr>
              <w:jc w:val="center"/>
              <w:rPr>
                <w:rFonts w:eastAsia="仿宋_GB2312"/>
                <w:color w:val="auto"/>
                <w:szCs w:val="21"/>
              </w:rPr>
            </w:pPr>
          </w:p>
        </w:tc>
        <w:tc>
          <w:tcPr>
            <w:tcW w:w="292" w:type="pct"/>
            <w:vMerge w:val="continue"/>
            <w:vAlign w:val="center"/>
          </w:tcPr>
          <w:p w14:paraId="20CE3F5D">
            <w:pPr>
              <w:jc w:val="center"/>
              <w:rPr>
                <w:rFonts w:eastAsia="仿宋_GB2312"/>
                <w:color w:val="auto"/>
                <w:szCs w:val="21"/>
              </w:rPr>
            </w:pPr>
          </w:p>
        </w:tc>
      </w:tr>
      <w:tr w14:paraId="44817B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15843055">
            <w:pPr>
              <w:jc w:val="center"/>
              <w:rPr>
                <w:rFonts w:eastAsia="仿宋_GB2312"/>
                <w:color w:val="auto"/>
                <w:szCs w:val="21"/>
              </w:rPr>
            </w:pPr>
          </w:p>
        </w:tc>
        <w:tc>
          <w:tcPr>
            <w:tcW w:w="358" w:type="pct"/>
            <w:vMerge w:val="continue"/>
            <w:vAlign w:val="center"/>
          </w:tcPr>
          <w:p w14:paraId="4AD9CBB8">
            <w:pPr>
              <w:jc w:val="center"/>
              <w:rPr>
                <w:rFonts w:eastAsia="仿宋_GB2312"/>
                <w:color w:val="auto"/>
                <w:szCs w:val="21"/>
              </w:rPr>
            </w:pPr>
          </w:p>
        </w:tc>
        <w:tc>
          <w:tcPr>
            <w:tcW w:w="418" w:type="pct"/>
            <w:vMerge w:val="restart"/>
            <w:vAlign w:val="center"/>
          </w:tcPr>
          <w:p w14:paraId="667A67A3">
            <w:pPr>
              <w:jc w:val="center"/>
              <w:rPr>
                <w:rFonts w:eastAsia="仿宋_GB2312"/>
                <w:color w:val="auto"/>
                <w:szCs w:val="21"/>
              </w:rPr>
            </w:pPr>
            <w:r>
              <w:rPr>
                <w:rFonts w:eastAsia="仿宋_GB2312"/>
                <w:color w:val="auto"/>
                <w:kern w:val="0"/>
                <w:szCs w:val="21"/>
                <w:lang w:bidi="ar"/>
              </w:rPr>
              <w:t>G</w:t>
            </w:r>
            <w:r>
              <w:rPr>
                <w:rFonts w:hint="eastAsia" w:eastAsia="仿宋_GB2312"/>
                <w:color w:val="auto"/>
                <w:kern w:val="0"/>
                <w:szCs w:val="21"/>
                <w:lang w:val="en-US" w:eastAsia="zh-CN" w:bidi="ar"/>
              </w:rPr>
              <w:t>2</w:t>
            </w:r>
            <w:r>
              <w:rPr>
                <w:rFonts w:eastAsia="仿宋_GB2312"/>
                <w:color w:val="auto"/>
                <w:kern w:val="0"/>
                <w:szCs w:val="21"/>
                <w:lang w:bidi="ar"/>
              </w:rPr>
              <w:t>-</w:t>
            </w:r>
            <w:r>
              <w:rPr>
                <w:rFonts w:hint="eastAsia" w:eastAsia="仿宋_GB2312"/>
                <w:color w:val="auto"/>
                <w:kern w:val="0"/>
                <w:szCs w:val="21"/>
                <w:lang w:val="en-US" w:eastAsia="zh-CN" w:bidi="ar"/>
              </w:rPr>
              <w:t>10</w:t>
            </w:r>
            <w:r>
              <w:rPr>
                <w:rFonts w:eastAsia="仿宋_GB2312"/>
                <w:color w:val="auto"/>
                <w:kern w:val="0"/>
                <w:szCs w:val="21"/>
                <w:lang w:bidi="ar"/>
              </w:rPr>
              <w:t>-3</w:t>
            </w:r>
          </w:p>
        </w:tc>
        <w:tc>
          <w:tcPr>
            <w:tcW w:w="446" w:type="pct"/>
            <w:vMerge w:val="restart"/>
            <w:vAlign w:val="center"/>
          </w:tcPr>
          <w:p w14:paraId="577A62DF">
            <w:pPr>
              <w:jc w:val="center"/>
              <w:rPr>
                <w:rFonts w:eastAsia="仿宋_GB2312"/>
                <w:color w:val="auto"/>
                <w:szCs w:val="21"/>
              </w:rPr>
            </w:pPr>
            <w:r>
              <w:rPr>
                <w:rFonts w:eastAsia="仿宋_GB2312"/>
                <w:color w:val="auto"/>
                <w:kern w:val="0"/>
                <w:szCs w:val="21"/>
                <w:lang w:bidi="ar"/>
              </w:rPr>
              <w:t>不凝气</w:t>
            </w:r>
          </w:p>
        </w:tc>
        <w:tc>
          <w:tcPr>
            <w:tcW w:w="361" w:type="pct"/>
            <w:vMerge w:val="restart"/>
            <w:vAlign w:val="center"/>
          </w:tcPr>
          <w:p w14:paraId="23E681D2">
            <w:pPr>
              <w:jc w:val="center"/>
              <w:rPr>
                <w:rFonts w:eastAsia="仿宋_GB2312"/>
                <w:color w:val="auto"/>
                <w:szCs w:val="21"/>
              </w:rPr>
            </w:pPr>
            <w:r>
              <w:rPr>
                <w:rFonts w:eastAsia="仿宋_GB2312"/>
                <w:color w:val="auto"/>
                <w:szCs w:val="21"/>
              </w:rPr>
              <w:t>360</w:t>
            </w:r>
          </w:p>
        </w:tc>
        <w:tc>
          <w:tcPr>
            <w:tcW w:w="498" w:type="pct"/>
            <w:vMerge w:val="restart"/>
            <w:vAlign w:val="center"/>
          </w:tcPr>
          <w:p w14:paraId="30E54F2A">
            <w:pPr>
              <w:keepNext w:val="0"/>
              <w:keepLines w:val="0"/>
              <w:widowControl/>
              <w:suppressLineNumbers w:val="0"/>
              <w:jc w:val="center"/>
              <w:textAlignment w:val="bottom"/>
              <w:rPr>
                <w:rFonts w:eastAsia="仿宋_GB2312"/>
                <w:color w:val="auto"/>
                <w:kern w:val="0"/>
                <w:szCs w:val="21"/>
                <w:lang w:bidi="ar"/>
              </w:rPr>
            </w:pPr>
            <w:r>
              <w:rPr>
                <w:rFonts w:hint="default" w:ascii="Times New Roman" w:hAnsi="Times New Roman" w:eastAsia="宋体" w:cs="Times New Roman"/>
                <w:i w:val="0"/>
                <w:iCs w:val="0"/>
                <w:color w:val="auto"/>
                <w:kern w:val="0"/>
                <w:sz w:val="21"/>
                <w:szCs w:val="21"/>
                <w:u w:val="none"/>
                <w:lang w:val="en-US" w:eastAsia="zh-CN" w:bidi="ar"/>
              </w:rPr>
              <w:t>1500</w:t>
            </w:r>
          </w:p>
        </w:tc>
        <w:tc>
          <w:tcPr>
            <w:tcW w:w="820" w:type="pct"/>
            <w:vAlign w:val="center"/>
          </w:tcPr>
          <w:p w14:paraId="5327A16C">
            <w:pPr>
              <w:widowControl/>
              <w:jc w:val="center"/>
              <w:textAlignment w:val="center"/>
              <w:rPr>
                <w:rFonts w:eastAsia="仿宋_GB2312"/>
                <w:color w:val="auto"/>
                <w:kern w:val="0"/>
                <w:szCs w:val="21"/>
                <w:lang w:bidi="ar"/>
              </w:rPr>
            </w:pPr>
            <w:r>
              <w:rPr>
                <w:rFonts w:eastAsia="仿宋_GB2312"/>
                <w:color w:val="auto"/>
                <w:kern w:val="0"/>
                <w:szCs w:val="21"/>
                <w:lang w:bidi="ar"/>
              </w:rPr>
              <w:t>环己烷</w:t>
            </w:r>
          </w:p>
        </w:tc>
        <w:tc>
          <w:tcPr>
            <w:tcW w:w="380" w:type="pct"/>
            <w:shd w:val="clear" w:color="auto" w:fill="auto"/>
            <w:vAlign w:val="center"/>
          </w:tcPr>
          <w:p w14:paraId="4C015C94">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13.57</w:t>
            </w:r>
          </w:p>
        </w:tc>
        <w:tc>
          <w:tcPr>
            <w:tcW w:w="445" w:type="pct"/>
            <w:shd w:val="clear" w:color="auto" w:fill="auto"/>
            <w:vAlign w:val="center"/>
          </w:tcPr>
          <w:p w14:paraId="3A4E3877">
            <w:pPr>
              <w:widowControl/>
              <w:jc w:val="center"/>
              <w:textAlignment w:val="center"/>
              <w:rPr>
                <w:rFonts w:eastAsia="仿宋_GB2312"/>
                <w:color w:val="auto"/>
                <w:kern w:val="0"/>
                <w:szCs w:val="21"/>
                <w:lang w:bidi="ar"/>
              </w:rPr>
            </w:pPr>
            <w:r>
              <w:rPr>
                <w:rFonts w:hint="eastAsia" w:eastAsia="仿宋_GB2312"/>
                <w:color w:val="auto"/>
                <w:kern w:val="0"/>
                <w:szCs w:val="21"/>
                <w:lang w:val="en-US" w:eastAsia="zh-CN" w:bidi="ar"/>
              </w:rPr>
              <w:t>20.357</w:t>
            </w:r>
          </w:p>
        </w:tc>
        <w:tc>
          <w:tcPr>
            <w:tcW w:w="630" w:type="pct"/>
            <w:vMerge w:val="continue"/>
            <w:vAlign w:val="center"/>
          </w:tcPr>
          <w:p w14:paraId="06CB4A95">
            <w:pPr>
              <w:jc w:val="center"/>
              <w:rPr>
                <w:rFonts w:eastAsia="仿宋_GB2312"/>
                <w:color w:val="auto"/>
                <w:szCs w:val="21"/>
              </w:rPr>
            </w:pPr>
          </w:p>
        </w:tc>
        <w:tc>
          <w:tcPr>
            <w:tcW w:w="292" w:type="pct"/>
            <w:vMerge w:val="continue"/>
            <w:vAlign w:val="center"/>
          </w:tcPr>
          <w:p w14:paraId="5D49D23C">
            <w:pPr>
              <w:jc w:val="center"/>
              <w:rPr>
                <w:rFonts w:eastAsia="仿宋_GB2312"/>
                <w:color w:val="auto"/>
                <w:szCs w:val="21"/>
              </w:rPr>
            </w:pPr>
          </w:p>
        </w:tc>
      </w:tr>
      <w:tr w14:paraId="668A6C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462254AD">
            <w:pPr>
              <w:jc w:val="center"/>
              <w:rPr>
                <w:rFonts w:eastAsia="仿宋_GB2312"/>
                <w:color w:val="auto"/>
                <w:szCs w:val="21"/>
              </w:rPr>
            </w:pPr>
          </w:p>
        </w:tc>
        <w:tc>
          <w:tcPr>
            <w:tcW w:w="358" w:type="pct"/>
            <w:vMerge w:val="continue"/>
            <w:vAlign w:val="center"/>
          </w:tcPr>
          <w:p w14:paraId="00A63560">
            <w:pPr>
              <w:jc w:val="center"/>
              <w:rPr>
                <w:rFonts w:eastAsia="仿宋_GB2312"/>
                <w:color w:val="auto"/>
                <w:szCs w:val="21"/>
              </w:rPr>
            </w:pPr>
          </w:p>
        </w:tc>
        <w:tc>
          <w:tcPr>
            <w:tcW w:w="418" w:type="pct"/>
            <w:vMerge w:val="continue"/>
            <w:vAlign w:val="center"/>
          </w:tcPr>
          <w:p w14:paraId="4B74B562">
            <w:pPr>
              <w:jc w:val="center"/>
              <w:rPr>
                <w:rFonts w:eastAsia="仿宋_GB2312"/>
                <w:color w:val="auto"/>
                <w:szCs w:val="21"/>
              </w:rPr>
            </w:pPr>
          </w:p>
        </w:tc>
        <w:tc>
          <w:tcPr>
            <w:tcW w:w="446" w:type="pct"/>
            <w:vMerge w:val="continue"/>
            <w:vAlign w:val="center"/>
          </w:tcPr>
          <w:p w14:paraId="4E0DFC6E">
            <w:pPr>
              <w:jc w:val="center"/>
              <w:rPr>
                <w:rFonts w:eastAsia="仿宋_GB2312"/>
                <w:color w:val="auto"/>
                <w:szCs w:val="21"/>
              </w:rPr>
            </w:pPr>
          </w:p>
        </w:tc>
        <w:tc>
          <w:tcPr>
            <w:tcW w:w="361" w:type="pct"/>
            <w:vMerge w:val="continue"/>
            <w:vAlign w:val="center"/>
          </w:tcPr>
          <w:p w14:paraId="76CCCA19">
            <w:pPr>
              <w:jc w:val="center"/>
              <w:rPr>
                <w:rFonts w:eastAsia="仿宋_GB2312"/>
                <w:color w:val="auto"/>
                <w:szCs w:val="21"/>
              </w:rPr>
            </w:pPr>
          </w:p>
        </w:tc>
        <w:tc>
          <w:tcPr>
            <w:tcW w:w="498" w:type="pct"/>
            <w:vMerge w:val="continue"/>
            <w:vAlign w:val="center"/>
          </w:tcPr>
          <w:p w14:paraId="239389B5">
            <w:pPr>
              <w:keepNext w:val="0"/>
              <w:keepLines w:val="0"/>
              <w:widowControl/>
              <w:suppressLineNumbers w:val="0"/>
              <w:jc w:val="center"/>
              <w:textAlignment w:val="bottom"/>
              <w:rPr>
                <w:rFonts w:eastAsia="仿宋_GB2312"/>
                <w:color w:val="auto"/>
                <w:kern w:val="0"/>
                <w:szCs w:val="21"/>
                <w:lang w:bidi="ar"/>
              </w:rPr>
            </w:pPr>
          </w:p>
        </w:tc>
        <w:tc>
          <w:tcPr>
            <w:tcW w:w="820" w:type="pct"/>
            <w:vAlign w:val="center"/>
          </w:tcPr>
          <w:p w14:paraId="0FD3C00A">
            <w:pPr>
              <w:widowControl/>
              <w:jc w:val="center"/>
              <w:textAlignment w:val="center"/>
              <w:rPr>
                <w:rFonts w:eastAsia="仿宋_GB2312"/>
                <w:color w:val="auto"/>
                <w:kern w:val="0"/>
                <w:szCs w:val="21"/>
                <w:lang w:bidi="ar"/>
              </w:rPr>
            </w:pPr>
            <w:r>
              <w:rPr>
                <w:rFonts w:eastAsia="仿宋_GB2312"/>
                <w:color w:val="auto"/>
                <w:kern w:val="0"/>
                <w:szCs w:val="21"/>
                <w:lang w:bidi="ar"/>
              </w:rPr>
              <w:t>乙醇</w:t>
            </w:r>
          </w:p>
        </w:tc>
        <w:tc>
          <w:tcPr>
            <w:tcW w:w="380" w:type="pct"/>
            <w:shd w:val="clear" w:color="auto" w:fill="auto"/>
            <w:vAlign w:val="center"/>
          </w:tcPr>
          <w:p w14:paraId="6752A9C3">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0.524</w:t>
            </w:r>
          </w:p>
        </w:tc>
        <w:tc>
          <w:tcPr>
            <w:tcW w:w="445" w:type="pct"/>
            <w:shd w:val="clear" w:color="auto" w:fill="auto"/>
            <w:vAlign w:val="center"/>
          </w:tcPr>
          <w:p w14:paraId="4212C0F2">
            <w:pPr>
              <w:widowControl/>
              <w:jc w:val="center"/>
              <w:textAlignment w:val="center"/>
              <w:rPr>
                <w:rFonts w:eastAsia="仿宋_GB2312"/>
                <w:color w:val="auto"/>
                <w:kern w:val="0"/>
                <w:szCs w:val="21"/>
                <w:lang w:bidi="ar"/>
              </w:rPr>
            </w:pPr>
            <w:r>
              <w:rPr>
                <w:rFonts w:hint="eastAsia" w:eastAsia="仿宋_GB2312"/>
                <w:color w:val="auto"/>
                <w:kern w:val="0"/>
                <w:szCs w:val="21"/>
                <w:lang w:val="en-US" w:eastAsia="zh-CN" w:bidi="ar"/>
              </w:rPr>
              <w:t>0.786</w:t>
            </w:r>
          </w:p>
        </w:tc>
        <w:tc>
          <w:tcPr>
            <w:tcW w:w="630" w:type="pct"/>
            <w:vMerge w:val="continue"/>
            <w:vAlign w:val="center"/>
          </w:tcPr>
          <w:p w14:paraId="43628B49">
            <w:pPr>
              <w:jc w:val="center"/>
              <w:rPr>
                <w:rFonts w:eastAsia="仿宋_GB2312"/>
                <w:color w:val="auto"/>
                <w:szCs w:val="21"/>
              </w:rPr>
            </w:pPr>
          </w:p>
        </w:tc>
        <w:tc>
          <w:tcPr>
            <w:tcW w:w="292" w:type="pct"/>
            <w:vMerge w:val="continue"/>
            <w:vAlign w:val="center"/>
          </w:tcPr>
          <w:p w14:paraId="1B2B3203">
            <w:pPr>
              <w:jc w:val="center"/>
              <w:rPr>
                <w:rFonts w:eastAsia="仿宋_GB2312"/>
                <w:color w:val="auto"/>
                <w:szCs w:val="21"/>
              </w:rPr>
            </w:pPr>
          </w:p>
        </w:tc>
      </w:tr>
      <w:tr w14:paraId="657E60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45B170B1">
            <w:pPr>
              <w:jc w:val="center"/>
              <w:rPr>
                <w:rFonts w:eastAsia="仿宋_GB2312"/>
                <w:color w:val="auto"/>
                <w:szCs w:val="21"/>
              </w:rPr>
            </w:pPr>
          </w:p>
        </w:tc>
        <w:tc>
          <w:tcPr>
            <w:tcW w:w="358" w:type="pct"/>
            <w:vMerge w:val="continue"/>
            <w:vAlign w:val="center"/>
          </w:tcPr>
          <w:p w14:paraId="27C9DAC2">
            <w:pPr>
              <w:jc w:val="center"/>
              <w:rPr>
                <w:rFonts w:eastAsia="仿宋_GB2312"/>
                <w:color w:val="auto"/>
                <w:szCs w:val="21"/>
              </w:rPr>
            </w:pPr>
          </w:p>
        </w:tc>
        <w:tc>
          <w:tcPr>
            <w:tcW w:w="418" w:type="pct"/>
            <w:vMerge w:val="continue"/>
            <w:vAlign w:val="center"/>
          </w:tcPr>
          <w:p w14:paraId="060F8DDC">
            <w:pPr>
              <w:jc w:val="center"/>
              <w:rPr>
                <w:rFonts w:eastAsia="仿宋_GB2312"/>
                <w:color w:val="auto"/>
                <w:szCs w:val="21"/>
              </w:rPr>
            </w:pPr>
          </w:p>
        </w:tc>
        <w:tc>
          <w:tcPr>
            <w:tcW w:w="446" w:type="pct"/>
            <w:vMerge w:val="continue"/>
            <w:vAlign w:val="center"/>
          </w:tcPr>
          <w:p w14:paraId="43FA2937">
            <w:pPr>
              <w:jc w:val="center"/>
              <w:rPr>
                <w:rFonts w:eastAsia="仿宋_GB2312"/>
                <w:color w:val="auto"/>
                <w:szCs w:val="21"/>
              </w:rPr>
            </w:pPr>
          </w:p>
        </w:tc>
        <w:tc>
          <w:tcPr>
            <w:tcW w:w="361" w:type="pct"/>
            <w:vMerge w:val="continue"/>
            <w:vAlign w:val="center"/>
          </w:tcPr>
          <w:p w14:paraId="4E9CEB2E">
            <w:pPr>
              <w:jc w:val="center"/>
              <w:rPr>
                <w:rFonts w:eastAsia="仿宋_GB2312"/>
                <w:color w:val="auto"/>
                <w:szCs w:val="21"/>
              </w:rPr>
            </w:pPr>
          </w:p>
        </w:tc>
        <w:tc>
          <w:tcPr>
            <w:tcW w:w="498" w:type="pct"/>
            <w:vMerge w:val="continue"/>
            <w:vAlign w:val="center"/>
          </w:tcPr>
          <w:p w14:paraId="32DC8479">
            <w:pPr>
              <w:keepNext w:val="0"/>
              <w:keepLines w:val="0"/>
              <w:widowControl/>
              <w:suppressLineNumbers w:val="0"/>
              <w:jc w:val="center"/>
              <w:textAlignment w:val="bottom"/>
              <w:rPr>
                <w:rFonts w:eastAsia="仿宋_GB2312"/>
                <w:color w:val="auto"/>
                <w:kern w:val="0"/>
                <w:szCs w:val="21"/>
                <w:lang w:bidi="ar"/>
              </w:rPr>
            </w:pPr>
          </w:p>
        </w:tc>
        <w:tc>
          <w:tcPr>
            <w:tcW w:w="820" w:type="pct"/>
            <w:vAlign w:val="center"/>
          </w:tcPr>
          <w:p w14:paraId="2B15607D">
            <w:pPr>
              <w:widowControl/>
              <w:jc w:val="center"/>
              <w:textAlignment w:val="center"/>
              <w:rPr>
                <w:rFonts w:eastAsia="仿宋_GB2312"/>
                <w:color w:val="auto"/>
                <w:kern w:val="0"/>
                <w:szCs w:val="21"/>
                <w:lang w:bidi="ar"/>
              </w:rPr>
            </w:pPr>
            <w:r>
              <w:rPr>
                <w:rFonts w:eastAsia="仿宋_GB2312"/>
                <w:color w:val="auto"/>
                <w:kern w:val="0"/>
                <w:szCs w:val="21"/>
                <w:lang w:bidi="ar"/>
              </w:rPr>
              <w:t>其他有机物</w:t>
            </w:r>
          </w:p>
        </w:tc>
        <w:tc>
          <w:tcPr>
            <w:tcW w:w="380" w:type="pct"/>
            <w:shd w:val="clear" w:color="auto" w:fill="auto"/>
            <w:vAlign w:val="center"/>
          </w:tcPr>
          <w:p w14:paraId="526AB027">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0.188</w:t>
            </w:r>
          </w:p>
        </w:tc>
        <w:tc>
          <w:tcPr>
            <w:tcW w:w="445" w:type="pct"/>
            <w:shd w:val="clear" w:color="auto" w:fill="auto"/>
            <w:vAlign w:val="center"/>
          </w:tcPr>
          <w:p w14:paraId="12CC38AE">
            <w:pPr>
              <w:widowControl/>
              <w:jc w:val="center"/>
              <w:textAlignment w:val="center"/>
              <w:rPr>
                <w:rFonts w:eastAsia="仿宋_GB2312"/>
                <w:color w:val="auto"/>
                <w:kern w:val="0"/>
                <w:szCs w:val="21"/>
                <w:lang w:bidi="ar"/>
              </w:rPr>
            </w:pPr>
            <w:r>
              <w:rPr>
                <w:rFonts w:hint="eastAsia" w:eastAsia="仿宋_GB2312"/>
                <w:color w:val="auto"/>
                <w:kern w:val="0"/>
                <w:szCs w:val="21"/>
                <w:lang w:val="en-US" w:eastAsia="zh-CN" w:bidi="ar"/>
              </w:rPr>
              <w:t>0.283</w:t>
            </w:r>
          </w:p>
        </w:tc>
        <w:tc>
          <w:tcPr>
            <w:tcW w:w="630" w:type="pct"/>
            <w:vMerge w:val="continue"/>
            <w:vAlign w:val="center"/>
          </w:tcPr>
          <w:p w14:paraId="4F64B51E">
            <w:pPr>
              <w:jc w:val="center"/>
              <w:rPr>
                <w:rFonts w:eastAsia="仿宋_GB2312"/>
                <w:color w:val="auto"/>
                <w:szCs w:val="21"/>
              </w:rPr>
            </w:pPr>
          </w:p>
        </w:tc>
        <w:tc>
          <w:tcPr>
            <w:tcW w:w="292" w:type="pct"/>
            <w:vMerge w:val="continue"/>
            <w:vAlign w:val="center"/>
          </w:tcPr>
          <w:p w14:paraId="158DE426">
            <w:pPr>
              <w:jc w:val="center"/>
              <w:rPr>
                <w:rFonts w:eastAsia="仿宋_GB2312"/>
                <w:color w:val="auto"/>
                <w:szCs w:val="21"/>
              </w:rPr>
            </w:pPr>
          </w:p>
        </w:tc>
      </w:tr>
      <w:tr w14:paraId="620E9C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6F5DB97C">
            <w:pPr>
              <w:jc w:val="center"/>
              <w:rPr>
                <w:rFonts w:eastAsia="仿宋_GB2312"/>
                <w:color w:val="auto"/>
                <w:szCs w:val="21"/>
              </w:rPr>
            </w:pPr>
          </w:p>
        </w:tc>
        <w:tc>
          <w:tcPr>
            <w:tcW w:w="358" w:type="pct"/>
            <w:vMerge w:val="continue"/>
            <w:vAlign w:val="center"/>
          </w:tcPr>
          <w:p w14:paraId="694D922C">
            <w:pPr>
              <w:jc w:val="center"/>
              <w:rPr>
                <w:rFonts w:eastAsia="仿宋_GB2312"/>
                <w:color w:val="auto"/>
                <w:szCs w:val="21"/>
              </w:rPr>
            </w:pPr>
          </w:p>
        </w:tc>
        <w:tc>
          <w:tcPr>
            <w:tcW w:w="418" w:type="pct"/>
            <w:vMerge w:val="restart"/>
            <w:vAlign w:val="center"/>
          </w:tcPr>
          <w:p w14:paraId="1912020C">
            <w:pPr>
              <w:jc w:val="center"/>
              <w:rPr>
                <w:rFonts w:eastAsia="仿宋_GB2312"/>
                <w:color w:val="auto"/>
                <w:szCs w:val="21"/>
              </w:rPr>
            </w:pPr>
            <w:r>
              <w:rPr>
                <w:rFonts w:eastAsia="仿宋_GB2312"/>
                <w:color w:val="auto"/>
                <w:kern w:val="0"/>
                <w:szCs w:val="21"/>
                <w:lang w:bidi="ar"/>
              </w:rPr>
              <w:t>G</w:t>
            </w:r>
            <w:r>
              <w:rPr>
                <w:rFonts w:hint="eastAsia" w:eastAsia="仿宋_GB2312"/>
                <w:color w:val="auto"/>
                <w:kern w:val="0"/>
                <w:szCs w:val="21"/>
                <w:lang w:val="en-US" w:eastAsia="zh-CN" w:bidi="ar"/>
              </w:rPr>
              <w:t>2</w:t>
            </w:r>
            <w:r>
              <w:rPr>
                <w:rFonts w:eastAsia="仿宋_GB2312"/>
                <w:color w:val="auto"/>
                <w:kern w:val="0"/>
                <w:szCs w:val="21"/>
                <w:lang w:bidi="ar"/>
              </w:rPr>
              <w:t>-</w:t>
            </w:r>
            <w:r>
              <w:rPr>
                <w:rFonts w:hint="eastAsia" w:eastAsia="仿宋_GB2312"/>
                <w:color w:val="auto"/>
                <w:kern w:val="0"/>
                <w:szCs w:val="21"/>
                <w:lang w:val="en-US" w:eastAsia="zh-CN" w:bidi="ar"/>
              </w:rPr>
              <w:t>10</w:t>
            </w:r>
            <w:r>
              <w:rPr>
                <w:rFonts w:eastAsia="仿宋_GB2312"/>
                <w:color w:val="auto"/>
                <w:kern w:val="0"/>
                <w:szCs w:val="21"/>
                <w:lang w:bidi="ar"/>
              </w:rPr>
              <w:t>-4</w:t>
            </w:r>
          </w:p>
        </w:tc>
        <w:tc>
          <w:tcPr>
            <w:tcW w:w="446" w:type="pct"/>
            <w:vMerge w:val="restart"/>
            <w:vAlign w:val="center"/>
          </w:tcPr>
          <w:p w14:paraId="204B2A26">
            <w:pPr>
              <w:jc w:val="center"/>
              <w:rPr>
                <w:rFonts w:eastAsia="仿宋_GB2312"/>
                <w:color w:val="auto"/>
                <w:szCs w:val="21"/>
              </w:rPr>
            </w:pPr>
            <w:r>
              <w:rPr>
                <w:rFonts w:eastAsia="仿宋_GB2312"/>
                <w:color w:val="auto"/>
                <w:kern w:val="0"/>
                <w:szCs w:val="21"/>
                <w:lang w:bidi="ar"/>
              </w:rPr>
              <w:t>不凝气</w:t>
            </w:r>
          </w:p>
        </w:tc>
        <w:tc>
          <w:tcPr>
            <w:tcW w:w="361" w:type="pct"/>
            <w:vMerge w:val="restart"/>
            <w:vAlign w:val="center"/>
          </w:tcPr>
          <w:p w14:paraId="4BF6F7C2">
            <w:pPr>
              <w:jc w:val="center"/>
              <w:rPr>
                <w:rFonts w:eastAsia="仿宋_GB2312"/>
                <w:color w:val="auto"/>
                <w:szCs w:val="21"/>
              </w:rPr>
            </w:pPr>
            <w:r>
              <w:rPr>
                <w:rFonts w:eastAsia="仿宋_GB2312"/>
                <w:color w:val="auto"/>
                <w:szCs w:val="21"/>
              </w:rPr>
              <w:t>360</w:t>
            </w:r>
          </w:p>
        </w:tc>
        <w:tc>
          <w:tcPr>
            <w:tcW w:w="498" w:type="pct"/>
            <w:vMerge w:val="restart"/>
            <w:vAlign w:val="center"/>
          </w:tcPr>
          <w:p w14:paraId="7AF2704E">
            <w:pPr>
              <w:keepNext w:val="0"/>
              <w:keepLines w:val="0"/>
              <w:widowControl/>
              <w:suppressLineNumbers w:val="0"/>
              <w:jc w:val="center"/>
              <w:textAlignment w:val="bottom"/>
              <w:rPr>
                <w:rFonts w:eastAsia="仿宋_GB2312"/>
                <w:color w:val="auto"/>
                <w:kern w:val="0"/>
                <w:szCs w:val="21"/>
                <w:lang w:bidi="ar"/>
              </w:rPr>
            </w:pPr>
            <w:r>
              <w:rPr>
                <w:rFonts w:hint="default" w:ascii="Times New Roman" w:hAnsi="Times New Roman" w:eastAsia="宋体" w:cs="Times New Roman"/>
                <w:i w:val="0"/>
                <w:iCs w:val="0"/>
                <w:color w:val="auto"/>
                <w:kern w:val="0"/>
                <w:sz w:val="21"/>
                <w:szCs w:val="21"/>
                <w:u w:val="none"/>
                <w:lang w:val="en-US" w:eastAsia="zh-CN" w:bidi="ar"/>
              </w:rPr>
              <w:t>1500</w:t>
            </w:r>
          </w:p>
        </w:tc>
        <w:tc>
          <w:tcPr>
            <w:tcW w:w="820" w:type="pct"/>
            <w:vAlign w:val="center"/>
          </w:tcPr>
          <w:p w14:paraId="3457BB26">
            <w:pPr>
              <w:widowControl/>
              <w:jc w:val="center"/>
              <w:textAlignment w:val="center"/>
              <w:rPr>
                <w:rFonts w:eastAsia="仿宋_GB2312"/>
                <w:color w:val="auto"/>
                <w:kern w:val="0"/>
                <w:szCs w:val="21"/>
                <w:lang w:bidi="ar"/>
              </w:rPr>
            </w:pPr>
            <w:r>
              <w:rPr>
                <w:rFonts w:eastAsia="仿宋_GB2312"/>
                <w:color w:val="auto"/>
                <w:kern w:val="0"/>
                <w:szCs w:val="21"/>
                <w:lang w:bidi="ar"/>
              </w:rPr>
              <w:t>环己烷</w:t>
            </w:r>
          </w:p>
        </w:tc>
        <w:tc>
          <w:tcPr>
            <w:tcW w:w="380" w:type="pct"/>
            <w:shd w:val="clear" w:color="auto" w:fill="auto"/>
            <w:vAlign w:val="center"/>
          </w:tcPr>
          <w:p w14:paraId="65A65E6D">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0.019</w:t>
            </w:r>
          </w:p>
        </w:tc>
        <w:tc>
          <w:tcPr>
            <w:tcW w:w="445" w:type="pct"/>
            <w:shd w:val="clear" w:color="auto" w:fill="auto"/>
            <w:vAlign w:val="center"/>
          </w:tcPr>
          <w:p w14:paraId="5859DF11">
            <w:pPr>
              <w:widowControl/>
              <w:jc w:val="center"/>
              <w:textAlignment w:val="center"/>
              <w:rPr>
                <w:rFonts w:eastAsia="仿宋_GB2312"/>
                <w:color w:val="auto"/>
                <w:kern w:val="0"/>
                <w:szCs w:val="21"/>
                <w:lang w:bidi="ar"/>
              </w:rPr>
            </w:pPr>
            <w:r>
              <w:rPr>
                <w:rFonts w:hint="eastAsia" w:eastAsia="仿宋_GB2312"/>
                <w:color w:val="auto"/>
                <w:kern w:val="0"/>
                <w:szCs w:val="21"/>
                <w:lang w:val="en-US" w:eastAsia="zh-CN" w:bidi="ar"/>
              </w:rPr>
              <w:t>0.029</w:t>
            </w:r>
          </w:p>
        </w:tc>
        <w:tc>
          <w:tcPr>
            <w:tcW w:w="630" w:type="pct"/>
            <w:vMerge w:val="continue"/>
            <w:vAlign w:val="center"/>
          </w:tcPr>
          <w:p w14:paraId="0FCAD0BF">
            <w:pPr>
              <w:jc w:val="center"/>
              <w:rPr>
                <w:rFonts w:eastAsia="仿宋_GB2312"/>
                <w:color w:val="auto"/>
                <w:szCs w:val="21"/>
              </w:rPr>
            </w:pPr>
          </w:p>
        </w:tc>
        <w:tc>
          <w:tcPr>
            <w:tcW w:w="292" w:type="pct"/>
            <w:vMerge w:val="continue"/>
            <w:vAlign w:val="center"/>
          </w:tcPr>
          <w:p w14:paraId="0C81B667">
            <w:pPr>
              <w:jc w:val="center"/>
              <w:rPr>
                <w:rFonts w:eastAsia="仿宋_GB2312"/>
                <w:color w:val="auto"/>
                <w:szCs w:val="21"/>
              </w:rPr>
            </w:pPr>
          </w:p>
        </w:tc>
      </w:tr>
      <w:tr w14:paraId="27F435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022068C5">
            <w:pPr>
              <w:jc w:val="center"/>
              <w:rPr>
                <w:rFonts w:eastAsia="仿宋_GB2312"/>
                <w:color w:val="auto"/>
                <w:szCs w:val="21"/>
              </w:rPr>
            </w:pPr>
          </w:p>
        </w:tc>
        <w:tc>
          <w:tcPr>
            <w:tcW w:w="358" w:type="pct"/>
            <w:vMerge w:val="continue"/>
            <w:vAlign w:val="center"/>
          </w:tcPr>
          <w:p w14:paraId="282D5BA1">
            <w:pPr>
              <w:jc w:val="center"/>
              <w:rPr>
                <w:rFonts w:eastAsia="仿宋_GB2312"/>
                <w:color w:val="auto"/>
                <w:szCs w:val="21"/>
              </w:rPr>
            </w:pPr>
          </w:p>
        </w:tc>
        <w:tc>
          <w:tcPr>
            <w:tcW w:w="418" w:type="pct"/>
            <w:vMerge w:val="continue"/>
            <w:vAlign w:val="center"/>
          </w:tcPr>
          <w:p w14:paraId="5FDCF38E">
            <w:pPr>
              <w:jc w:val="center"/>
              <w:rPr>
                <w:rFonts w:eastAsia="仿宋_GB2312"/>
                <w:color w:val="auto"/>
                <w:szCs w:val="21"/>
              </w:rPr>
            </w:pPr>
          </w:p>
        </w:tc>
        <w:tc>
          <w:tcPr>
            <w:tcW w:w="446" w:type="pct"/>
            <w:vMerge w:val="continue"/>
            <w:vAlign w:val="center"/>
          </w:tcPr>
          <w:p w14:paraId="7E2F275D">
            <w:pPr>
              <w:jc w:val="center"/>
              <w:rPr>
                <w:rFonts w:eastAsia="仿宋_GB2312"/>
                <w:color w:val="auto"/>
                <w:szCs w:val="21"/>
              </w:rPr>
            </w:pPr>
          </w:p>
        </w:tc>
        <w:tc>
          <w:tcPr>
            <w:tcW w:w="361" w:type="pct"/>
            <w:vMerge w:val="continue"/>
            <w:vAlign w:val="center"/>
          </w:tcPr>
          <w:p w14:paraId="2F83A404">
            <w:pPr>
              <w:jc w:val="center"/>
              <w:rPr>
                <w:rFonts w:eastAsia="仿宋_GB2312"/>
                <w:color w:val="auto"/>
                <w:szCs w:val="21"/>
              </w:rPr>
            </w:pPr>
          </w:p>
        </w:tc>
        <w:tc>
          <w:tcPr>
            <w:tcW w:w="498" w:type="pct"/>
            <w:vMerge w:val="continue"/>
            <w:vAlign w:val="center"/>
          </w:tcPr>
          <w:p w14:paraId="0134D408">
            <w:pPr>
              <w:keepNext w:val="0"/>
              <w:keepLines w:val="0"/>
              <w:widowControl/>
              <w:suppressLineNumbers w:val="0"/>
              <w:jc w:val="center"/>
              <w:textAlignment w:val="bottom"/>
              <w:rPr>
                <w:rFonts w:eastAsia="仿宋_GB2312"/>
                <w:color w:val="auto"/>
                <w:kern w:val="0"/>
                <w:szCs w:val="21"/>
                <w:lang w:bidi="ar"/>
              </w:rPr>
            </w:pPr>
          </w:p>
        </w:tc>
        <w:tc>
          <w:tcPr>
            <w:tcW w:w="820" w:type="pct"/>
            <w:vAlign w:val="center"/>
          </w:tcPr>
          <w:p w14:paraId="2CB29711">
            <w:pPr>
              <w:widowControl/>
              <w:jc w:val="center"/>
              <w:textAlignment w:val="center"/>
              <w:rPr>
                <w:rFonts w:eastAsia="仿宋_GB2312"/>
                <w:color w:val="auto"/>
                <w:kern w:val="0"/>
                <w:szCs w:val="21"/>
                <w:lang w:bidi="ar"/>
              </w:rPr>
            </w:pPr>
            <w:r>
              <w:rPr>
                <w:rFonts w:eastAsia="仿宋_GB2312"/>
                <w:color w:val="auto"/>
                <w:kern w:val="0"/>
                <w:szCs w:val="21"/>
                <w:lang w:bidi="ar"/>
              </w:rPr>
              <w:t>乙醇</w:t>
            </w:r>
          </w:p>
        </w:tc>
        <w:tc>
          <w:tcPr>
            <w:tcW w:w="380" w:type="pct"/>
            <w:shd w:val="clear" w:color="auto" w:fill="auto"/>
            <w:vAlign w:val="center"/>
          </w:tcPr>
          <w:p w14:paraId="5281B41B">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0.019</w:t>
            </w:r>
          </w:p>
        </w:tc>
        <w:tc>
          <w:tcPr>
            <w:tcW w:w="445" w:type="pct"/>
            <w:shd w:val="clear" w:color="auto" w:fill="auto"/>
            <w:vAlign w:val="center"/>
          </w:tcPr>
          <w:p w14:paraId="7DBF9F95">
            <w:pPr>
              <w:widowControl/>
              <w:jc w:val="center"/>
              <w:textAlignment w:val="center"/>
              <w:rPr>
                <w:rFonts w:eastAsia="仿宋_GB2312"/>
                <w:color w:val="auto"/>
                <w:kern w:val="0"/>
                <w:szCs w:val="21"/>
                <w:lang w:bidi="ar"/>
              </w:rPr>
            </w:pPr>
            <w:r>
              <w:rPr>
                <w:rFonts w:hint="eastAsia" w:eastAsia="仿宋_GB2312"/>
                <w:color w:val="auto"/>
                <w:kern w:val="0"/>
                <w:szCs w:val="21"/>
                <w:lang w:val="en-US" w:eastAsia="zh-CN" w:bidi="ar"/>
              </w:rPr>
              <w:t>0.029</w:t>
            </w:r>
          </w:p>
        </w:tc>
        <w:tc>
          <w:tcPr>
            <w:tcW w:w="630" w:type="pct"/>
            <w:vMerge w:val="continue"/>
            <w:vAlign w:val="center"/>
          </w:tcPr>
          <w:p w14:paraId="16924B60">
            <w:pPr>
              <w:jc w:val="center"/>
              <w:rPr>
                <w:rFonts w:eastAsia="仿宋_GB2312"/>
                <w:color w:val="auto"/>
                <w:szCs w:val="21"/>
              </w:rPr>
            </w:pPr>
          </w:p>
        </w:tc>
        <w:tc>
          <w:tcPr>
            <w:tcW w:w="292" w:type="pct"/>
            <w:vMerge w:val="continue"/>
            <w:vAlign w:val="center"/>
          </w:tcPr>
          <w:p w14:paraId="3DE203A6">
            <w:pPr>
              <w:jc w:val="center"/>
              <w:rPr>
                <w:rFonts w:eastAsia="仿宋_GB2312"/>
                <w:color w:val="auto"/>
                <w:szCs w:val="21"/>
              </w:rPr>
            </w:pPr>
          </w:p>
        </w:tc>
      </w:tr>
      <w:tr w14:paraId="72D23A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5630A024">
            <w:pPr>
              <w:jc w:val="center"/>
              <w:rPr>
                <w:rFonts w:eastAsia="仿宋_GB2312"/>
                <w:color w:val="auto"/>
                <w:szCs w:val="21"/>
              </w:rPr>
            </w:pPr>
          </w:p>
        </w:tc>
        <w:tc>
          <w:tcPr>
            <w:tcW w:w="358" w:type="pct"/>
            <w:vMerge w:val="continue"/>
            <w:vAlign w:val="center"/>
          </w:tcPr>
          <w:p w14:paraId="28277B97">
            <w:pPr>
              <w:jc w:val="center"/>
              <w:rPr>
                <w:rFonts w:eastAsia="仿宋_GB2312"/>
                <w:color w:val="auto"/>
                <w:szCs w:val="21"/>
              </w:rPr>
            </w:pPr>
          </w:p>
        </w:tc>
        <w:tc>
          <w:tcPr>
            <w:tcW w:w="418" w:type="pct"/>
            <w:vMerge w:val="continue"/>
            <w:vAlign w:val="center"/>
          </w:tcPr>
          <w:p w14:paraId="2DC7E929">
            <w:pPr>
              <w:jc w:val="center"/>
              <w:rPr>
                <w:rFonts w:eastAsia="仿宋_GB2312"/>
                <w:color w:val="auto"/>
                <w:szCs w:val="21"/>
              </w:rPr>
            </w:pPr>
          </w:p>
        </w:tc>
        <w:tc>
          <w:tcPr>
            <w:tcW w:w="446" w:type="pct"/>
            <w:vMerge w:val="continue"/>
            <w:vAlign w:val="center"/>
          </w:tcPr>
          <w:p w14:paraId="5032FEDA">
            <w:pPr>
              <w:jc w:val="center"/>
              <w:rPr>
                <w:rFonts w:eastAsia="仿宋_GB2312"/>
                <w:color w:val="auto"/>
                <w:szCs w:val="21"/>
              </w:rPr>
            </w:pPr>
          </w:p>
        </w:tc>
        <w:tc>
          <w:tcPr>
            <w:tcW w:w="361" w:type="pct"/>
            <w:vMerge w:val="continue"/>
            <w:vAlign w:val="center"/>
          </w:tcPr>
          <w:p w14:paraId="42E8A134">
            <w:pPr>
              <w:jc w:val="center"/>
              <w:rPr>
                <w:rFonts w:eastAsia="仿宋_GB2312"/>
                <w:color w:val="auto"/>
                <w:szCs w:val="21"/>
              </w:rPr>
            </w:pPr>
          </w:p>
        </w:tc>
        <w:tc>
          <w:tcPr>
            <w:tcW w:w="498" w:type="pct"/>
            <w:vMerge w:val="continue"/>
            <w:vAlign w:val="center"/>
          </w:tcPr>
          <w:p w14:paraId="0C8599FA">
            <w:pPr>
              <w:keepNext w:val="0"/>
              <w:keepLines w:val="0"/>
              <w:widowControl/>
              <w:suppressLineNumbers w:val="0"/>
              <w:jc w:val="center"/>
              <w:textAlignment w:val="bottom"/>
              <w:rPr>
                <w:rFonts w:eastAsia="仿宋_GB2312"/>
                <w:color w:val="auto"/>
                <w:kern w:val="0"/>
                <w:szCs w:val="21"/>
                <w:lang w:bidi="ar"/>
              </w:rPr>
            </w:pPr>
          </w:p>
        </w:tc>
        <w:tc>
          <w:tcPr>
            <w:tcW w:w="820" w:type="pct"/>
            <w:vAlign w:val="center"/>
          </w:tcPr>
          <w:p w14:paraId="14F18858">
            <w:pPr>
              <w:widowControl/>
              <w:jc w:val="center"/>
              <w:textAlignment w:val="center"/>
              <w:rPr>
                <w:rFonts w:eastAsia="仿宋_GB2312"/>
                <w:color w:val="auto"/>
                <w:kern w:val="0"/>
                <w:szCs w:val="21"/>
                <w:lang w:bidi="ar"/>
              </w:rPr>
            </w:pPr>
            <w:r>
              <w:rPr>
                <w:rFonts w:eastAsia="仿宋_GB2312"/>
                <w:color w:val="auto"/>
                <w:kern w:val="0"/>
                <w:szCs w:val="21"/>
                <w:lang w:bidi="ar"/>
              </w:rPr>
              <w:t>其他有机物</w:t>
            </w:r>
          </w:p>
        </w:tc>
        <w:tc>
          <w:tcPr>
            <w:tcW w:w="380" w:type="pct"/>
            <w:shd w:val="clear" w:color="auto" w:fill="auto"/>
            <w:vAlign w:val="center"/>
          </w:tcPr>
          <w:p w14:paraId="60B5231F">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0.433</w:t>
            </w:r>
          </w:p>
        </w:tc>
        <w:tc>
          <w:tcPr>
            <w:tcW w:w="445" w:type="pct"/>
            <w:shd w:val="clear" w:color="auto" w:fill="auto"/>
            <w:vAlign w:val="center"/>
          </w:tcPr>
          <w:p w14:paraId="7809F2AB">
            <w:pPr>
              <w:widowControl/>
              <w:jc w:val="center"/>
              <w:textAlignment w:val="center"/>
              <w:rPr>
                <w:rFonts w:eastAsia="仿宋_GB2312"/>
                <w:color w:val="auto"/>
                <w:kern w:val="0"/>
                <w:szCs w:val="21"/>
                <w:lang w:bidi="ar"/>
              </w:rPr>
            </w:pPr>
            <w:r>
              <w:rPr>
                <w:rFonts w:hint="eastAsia" w:eastAsia="仿宋_GB2312"/>
                <w:color w:val="auto"/>
                <w:kern w:val="0"/>
                <w:szCs w:val="21"/>
                <w:lang w:val="en-US" w:eastAsia="zh-CN" w:bidi="ar"/>
              </w:rPr>
              <w:t>0.65</w:t>
            </w:r>
          </w:p>
        </w:tc>
        <w:tc>
          <w:tcPr>
            <w:tcW w:w="630" w:type="pct"/>
            <w:vMerge w:val="continue"/>
            <w:vAlign w:val="center"/>
          </w:tcPr>
          <w:p w14:paraId="7DDA494C">
            <w:pPr>
              <w:jc w:val="center"/>
              <w:rPr>
                <w:rFonts w:eastAsia="仿宋_GB2312"/>
                <w:color w:val="auto"/>
                <w:szCs w:val="21"/>
              </w:rPr>
            </w:pPr>
          </w:p>
        </w:tc>
        <w:tc>
          <w:tcPr>
            <w:tcW w:w="292" w:type="pct"/>
            <w:vMerge w:val="continue"/>
            <w:vAlign w:val="center"/>
          </w:tcPr>
          <w:p w14:paraId="7196BA98">
            <w:pPr>
              <w:jc w:val="center"/>
              <w:rPr>
                <w:rFonts w:eastAsia="仿宋_GB2312"/>
                <w:color w:val="auto"/>
                <w:szCs w:val="21"/>
              </w:rPr>
            </w:pPr>
          </w:p>
        </w:tc>
      </w:tr>
      <w:tr w14:paraId="284179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31431116">
            <w:pPr>
              <w:jc w:val="center"/>
              <w:rPr>
                <w:rFonts w:eastAsia="仿宋_GB2312"/>
                <w:color w:val="auto"/>
                <w:szCs w:val="21"/>
              </w:rPr>
            </w:pPr>
          </w:p>
        </w:tc>
        <w:tc>
          <w:tcPr>
            <w:tcW w:w="358" w:type="pct"/>
            <w:vMerge w:val="continue"/>
            <w:vAlign w:val="center"/>
          </w:tcPr>
          <w:p w14:paraId="232291F6">
            <w:pPr>
              <w:jc w:val="center"/>
              <w:rPr>
                <w:rFonts w:eastAsia="仿宋_GB2312"/>
                <w:color w:val="auto"/>
                <w:szCs w:val="21"/>
              </w:rPr>
            </w:pPr>
          </w:p>
        </w:tc>
        <w:tc>
          <w:tcPr>
            <w:tcW w:w="418" w:type="pct"/>
            <w:vMerge w:val="restart"/>
            <w:vAlign w:val="center"/>
          </w:tcPr>
          <w:p w14:paraId="100372A2">
            <w:pPr>
              <w:jc w:val="center"/>
              <w:rPr>
                <w:rFonts w:eastAsia="仿宋_GB2312"/>
                <w:color w:val="auto"/>
                <w:szCs w:val="21"/>
              </w:rPr>
            </w:pPr>
            <w:r>
              <w:rPr>
                <w:rFonts w:eastAsia="仿宋_GB2312"/>
                <w:color w:val="auto"/>
                <w:kern w:val="0"/>
                <w:szCs w:val="21"/>
                <w:lang w:bidi="ar"/>
              </w:rPr>
              <w:t>G</w:t>
            </w:r>
            <w:r>
              <w:rPr>
                <w:rFonts w:hint="eastAsia" w:eastAsia="仿宋_GB2312"/>
                <w:color w:val="auto"/>
                <w:kern w:val="0"/>
                <w:szCs w:val="21"/>
                <w:lang w:val="en-US" w:eastAsia="zh-CN" w:bidi="ar"/>
              </w:rPr>
              <w:t>2</w:t>
            </w:r>
            <w:r>
              <w:rPr>
                <w:rFonts w:eastAsia="仿宋_GB2312"/>
                <w:color w:val="auto"/>
                <w:kern w:val="0"/>
                <w:szCs w:val="21"/>
                <w:lang w:bidi="ar"/>
              </w:rPr>
              <w:t>-</w:t>
            </w:r>
            <w:r>
              <w:rPr>
                <w:rFonts w:hint="eastAsia" w:eastAsia="仿宋_GB2312"/>
                <w:color w:val="auto"/>
                <w:kern w:val="0"/>
                <w:szCs w:val="21"/>
                <w:lang w:val="en-US" w:eastAsia="zh-CN" w:bidi="ar"/>
              </w:rPr>
              <w:t>10</w:t>
            </w:r>
            <w:r>
              <w:rPr>
                <w:rFonts w:eastAsia="仿宋_GB2312"/>
                <w:color w:val="auto"/>
                <w:kern w:val="0"/>
                <w:szCs w:val="21"/>
                <w:lang w:bidi="ar"/>
              </w:rPr>
              <w:t>-5</w:t>
            </w:r>
          </w:p>
        </w:tc>
        <w:tc>
          <w:tcPr>
            <w:tcW w:w="446" w:type="pct"/>
            <w:vMerge w:val="restart"/>
            <w:vAlign w:val="center"/>
          </w:tcPr>
          <w:p w14:paraId="653C944B">
            <w:pPr>
              <w:jc w:val="center"/>
              <w:rPr>
                <w:rFonts w:eastAsia="仿宋_GB2312"/>
                <w:color w:val="auto"/>
                <w:szCs w:val="21"/>
              </w:rPr>
            </w:pPr>
            <w:r>
              <w:rPr>
                <w:rFonts w:eastAsia="仿宋_GB2312"/>
                <w:color w:val="auto"/>
                <w:kern w:val="0"/>
                <w:szCs w:val="21"/>
                <w:lang w:bidi="ar"/>
              </w:rPr>
              <w:t>灌装废气</w:t>
            </w:r>
          </w:p>
        </w:tc>
        <w:tc>
          <w:tcPr>
            <w:tcW w:w="361" w:type="pct"/>
            <w:vMerge w:val="restart"/>
            <w:vAlign w:val="center"/>
          </w:tcPr>
          <w:p w14:paraId="63A4A5A0">
            <w:pPr>
              <w:jc w:val="center"/>
              <w:rPr>
                <w:rFonts w:hint="default" w:eastAsia="仿宋_GB2312"/>
                <w:color w:val="auto"/>
                <w:szCs w:val="21"/>
                <w:lang w:val="en-US" w:eastAsia="zh-CN"/>
              </w:rPr>
            </w:pPr>
            <w:r>
              <w:rPr>
                <w:rFonts w:hint="eastAsia" w:eastAsia="仿宋_GB2312"/>
                <w:color w:val="auto"/>
                <w:szCs w:val="21"/>
                <w:lang w:val="en-US" w:eastAsia="zh-CN"/>
              </w:rPr>
              <w:t>2000</w:t>
            </w:r>
          </w:p>
        </w:tc>
        <w:tc>
          <w:tcPr>
            <w:tcW w:w="498" w:type="pct"/>
            <w:vMerge w:val="restart"/>
            <w:vAlign w:val="center"/>
          </w:tcPr>
          <w:p w14:paraId="1E282156">
            <w:pPr>
              <w:keepNext w:val="0"/>
              <w:keepLines w:val="0"/>
              <w:widowControl/>
              <w:suppressLineNumbers w:val="0"/>
              <w:jc w:val="center"/>
              <w:textAlignment w:val="bottom"/>
              <w:rPr>
                <w:rFonts w:eastAsia="仿宋_GB2312"/>
                <w:color w:val="auto"/>
                <w:kern w:val="0"/>
                <w:szCs w:val="21"/>
                <w:lang w:bidi="ar"/>
              </w:rPr>
            </w:pPr>
            <w:r>
              <w:rPr>
                <w:rFonts w:hint="default" w:ascii="Times New Roman" w:hAnsi="Times New Roman" w:eastAsia="宋体" w:cs="Times New Roman"/>
                <w:i w:val="0"/>
                <w:iCs w:val="0"/>
                <w:color w:val="auto"/>
                <w:kern w:val="0"/>
                <w:sz w:val="21"/>
                <w:szCs w:val="21"/>
                <w:u w:val="none"/>
                <w:lang w:val="en-US" w:eastAsia="zh-CN" w:bidi="ar"/>
              </w:rPr>
              <w:t>750</w:t>
            </w:r>
          </w:p>
        </w:tc>
        <w:tc>
          <w:tcPr>
            <w:tcW w:w="820" w:type="pct"/>
            <w:vAlign w:val="center"/>
          </w:tcPr>
          <w:p w14:paraId="693FC929">
            <w:pPr>
              <w:widowControl/>
              <w:jc w:val="center"/>
              <w:textAlignment w:val="center"/>
              <w:rPr>
                <w:rFonts w:eastAsia="仿宋_GB2312"/>
                <w:color w:val="auto"/>
                <w:kern w:val="0"/>
                <w:szCs w:val="21"/>
                <w:lang w:bidi="ar"/>
              </w:rPr>
            </w:pPr>
            <w:r>
              <w:rPr>
                <w:rFonts w:eastAsia="仿宋_GB2312"/>
                <w:color w:val="auto"/>
                <w:kern w:val="0"/>
                <w:szCs w:val="21"/>
                <w:lang w:bidi="ar"/>
              </w:rPr>
              <w:t>环己烷</w:t>
            </w:r>
          </w:p>
        </w:tc>
        <w:tc>
          <w:tcPr>
            <w:tcW w:w="380" w:type="pct"/>
            <w:shd w:val="clear" w:color="auto" w:fill="auto"/>
            <w:vAlign w:val="center"/>
          </w:tcPr>
          <w:p w14:paraId="48D8640C">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2.209</w:t>
            </w:r>
          </w:p>
        </w:tc>
        <w:tc>
          <w:tcPr>
            <w:tcW w:w="445" w:type="pct"/>
            <w:shd w:val="clear" w:color="auto" w:fill="auto"/>
            <w:vAlign w:val="center"/>
          </w:tcPr>
          <w:p w14:paraId="21BC80A4">
            <w:pPr>
              <w:widowControl/>
              <w:jc w:val="center"/>
              <w:textAlignment w:val="center"/>
              <w:rPr>
                <w:rFonts w:eastAsia="仿宋_GB2312"/>
                <w:color w:val="auto"/>
                <w:kern w:val="0"/>
                <w:szCs w:val="21"/>
                <w:lang w:bidi="ar"/>
              </w:rPr>
            </w:pPr>
            <w:r>
              <w:rPr>
                <w:rFonts w:hint="eastAsia" w:ascii="Times New Roman" w:hAnsi="Times New Roman" w:eastAsia="仿宋_GB2312" w:cs="Times New Roman"/>
                <w:color w:val="auto"/>
                <w:kern w:val="0"/>
                <w:szCs w:val="21"/>
                <w:lang w:val="en-US" w:eastAsia="zh-CN" w:bidi="ar"/>
              </w:rPr>
              <w:t>1.657</w:t>
            </w:r>
          </w:p>
        </w:tc>
        <w:tc>
          <w:tcPr>
            <w:tcW w:w="630" w:type="pct"/>
            <w:vMerge w:val="restart"/>
            <w:shd w:val="clear" w:color="auto" w:fill="auto"/>
            <w:vAlign w:val="center"/>
          </w:tcPr>
          <w:p w14:paraId="5E9DFE73">
            <w:pPr>
              <w:jc w:val="center"/>
              <w:rPr>
                <w:rFonts w:ascii="Times New Roman" w:hAnsi="Times New Roman" w:eastAsia="仿宋_GB2312" w:cs="Times New Roman"/>
                <w:color w:val="auto"/>
                <w:kern w:val="2"/>
                <w:sz w:val="21"/>
                <w:szCs w:val="21"/>
                <w:lang w:val="en-US" w:eastAsia="zh-CN" w:bidi="ar-SA"/>
              </w:rPr>
            </w:pPr>
            <w:r>
              <w:rPr>
                <w:rFonts w:hint="eastAsia" w:eastAsia="仿宋_GB2312"/>
                <w:color w:val="auto"/>
                <w:szCs w:val="21"/>
              </w:rPr>
              <w:t>冷凝+酸吸收+碱吸收+水洗+活性炭吸附/脱附</w:t>
            </w:r>
          </w:p>
        </w:tc>
        <w:tc>
          <w:tcPr>
            <w:tcW w:w="292" w:type="pct"/>
            <w:vMerge w:val="restart"/>
            <w:shd w:val="clear" w:color="auto" w:fill="auto"/>
            <w:vAlign w:val="center"/>
          </w:tcPr>
          <w:p w14:paraId="10D4B6AE">
            <w:pPr>
              <w:jc w:val="center"/>
              <w:rPr>
                <w:rFonts w:ascii="Times New Roman" w:hAnsi="Times New Roman" w:eastAsia="仿宋_GB2312" w:cs="Times New Roman"/>
                <w:color w:val="auto"/>
                <w:kern w:val="2"/>
                <w:sz w:val="21"/>
                <w:szCs w:val="21"/>
                <w:lang w:val="en-US" w:eastAsia="zh-CN" w:bidi="ar-SA"/>
              </w:rPr>
            </w:pPr>
            <w:r>
              <w:rPr>
                <w:rFonts w:hint="eastAsia" w:eastAsia="仿宋_GB2312"/>
                <w:color w:val="auto"/>
              </w:rPr>
              <w:t>DA005</w:t>
            </w:r>
          </w:p>
        </w:tc>
      </w:tr>
      <w:tr w14:paraId="0E56AC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0A3C1131">
            <w:pPr>
              <w:jc w:val="center"/>
              <w:rPr>
                <w:rFonts w:eastAsia="仿宋_GB2312"/>
                <w:color w:val="auto"/>
                <w:szCs w:val="21"/>
              </w:rPr>
            </w:pPr>
          </w:p>
        </w:tc>
        <w:tc>
          <w:tcPr>
            <w:tcW w:w="358" w:type="pct"/>
            <w:vMerge w:val="continue"/>
            <w:vAlign w:val="center"/>
          </w:tcPr>
          <w:p w14:paraId="0E8E4FF2">
            <w:pPr>
              <w:jc w:val="center"/>
              <w:rPr>
                <w:rFonts w:eastAsia="仿宋_GB2312"/>
                <w:color w:val="auto"/>
                <w:szCs w:val="21"/>
              </w:rPr>
            </w:pPr>
          </w:p>
        </w:tc>
        <w:tc>
          <w:tcPr>
            <w:tcW w:w="418" w:type="pct"/>
            <w:vMerge w:val="continue"/>
            <w:vAlign w:val="center"/>
          </w:tcPr>
          <w:p w14:paraId="0E5376D8">
            <w:pPr>
              <w:jc w:val="center"/>
              <w:rPr>
                <w:rFonts w:eastAsia="仿宋_GB2312"/>
                <w:color w:val="auto"/>
                <w:szCs w:val="21"/>
              </w:rPr>
            </w:pPr>
          </w:p>
        </w:tc>
        <w:tc>
          <w:tcPr>
            <w:tcW w:w="446" w:type="pct"/>
            <w:vMerge w:val="continue"/>
            <w:vAlign w:val="center"/>
          </w:tcPr>
          <w:p w14:paraId="1E888F38">
            <w:pPr>
              <w:jc w:val="center"/>
              <w:rPr>
                <w:rFonts w:eastAsia="仿宋_GB2312"/>
                <w:color w:val="auto"/>
                <w:szCs w:val="21"/>
              </w:rPr>
            </w:pPr>
          </w:p>
        </w:tc>
        <w:tc>
          <w:tcPr>
            <w:tcW w:w="361" w:type="pct"/>
            <w:vMerge w:val="continue"/>
            <w:vAlign w:val="center"/>
          </w:tcPr>
          <w:p w14:paraId="46AFC432">
            <w:pPr>
              <w:jc w:val="center"/>
              <w:rPr>
                <w:rFonts w:eastAsia="仿宋_GB2312"/>
                <w:color w:val="auto"/>
                <w:szCs w:val="21"/>
              </w:rPr>
            </w:pPr>
          </w:p>
        </w:tc>
        <w:tc>
          <w:tcPr>
            <w:tcW w:w="498" w:type="pct"/>
            <w:vMerge w:val="continue"/>
            <w:vAlign w:val="center"/>
          </w:tcPr>
          <w:p w14:paraId="61CB0CBE">
            <w:pPr>
              <w:keepNext w:val="0"/>
              <w:keepLines w:val="0"/>
              <w:widowControl/>
              <w:suppressLineNumbers w:val="0"/>
              <w:jc w:val="center"/>
              <w:textAlignment w:val="bottom"/>
              <w:rPr>
                <w:rFonts w:eastAsia="仿宋_GB2312"/>
                <w:color w:val="auto"/>
                <w:kern w:val="0"/>
                <w:szCs w:val="21"/>
                <w:lang w:bidi="ar"/>
              </w:rPr>
            </w:pPr>
          </w:p>
        </w:tc>
        <w:tc>
          <w:tcPr>
            <w:tcW w:w="820" w:type="pct"/>
            <w:vAlign w:val="center"/>
          </w:tcPr>
          <w:p w14:paraId="565F39C1">
            <w:pPr>
              <w:widowControl/>
              <w:jc w:val="center"/>
              <w:textAlignment w:val="center"/>
              <w:rPr>
                <w:rFonts w:eastAsia="仿宋_GB2312"/>
                <w:color w:val="auto"/>
                <w:kern w:val="0"/>
                <w:szCs w:val="21"/>
                <w:lang w:bidi="ar"/>
              </w:rPr>
            </w:pPr>
            <w:r>
              <w:rPr>
                <w:rFonts w:eastAsia="仿宋_GB2312"/>
                <w:color w:val="auto"/>
                <w:kern w:val="0"/>
                <w:szCs w:val="21"/>
                <w:lang w:bidi="ar"/>
              </w:rPr>
              <w:t>乙醇</w:t>
            </w:r>
          </w:p>
        </w:tc>
        <w:tc>
          <w:tcPr>
            <w:tcW w:w="380" w:type="pct"/>
            <w:shd w:val="clear" w:color="auto" w:fill="auto"/>
            <w:vAlign w:val="center"/>
          </w:tcPr>
          <w:p w14:paraId="13E4817C">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0.000</w:t>
            </w:r>
            <w:r>
              <w:rPr>
                <w:rFonts w:hint="eastAsia" w:ascii="Times New Roman" w:hAnsi="Times New Roman" w:eastAsia="宋体" w:cs="Times New Roman"/>
                <w:i w:val="0"/>
                <w:iCs w:val="0"/>
                <w:color w:val="auto"/>
                <w:kern w:val="0"/>
                <w:sz w:val="21"/>
                <w:szCs w:val="21"/>
                <w:u w:val="none"/>
                <w:lang w:val="en-US" w:eastAsia="zh-CN" w:bidi="ar"/>
              </w:rPr>
              <w:t>4</w:t>
            </w:r>
          </w:p>
        </w:tc>
        <w:tc>
          <w:tcPr>
            <w:tcW w:w="445" w:type="pct"/>
            <w:shd w:val="clear" w:color="auto" w:fill="auto"/>
            <w:vAlign w:val="center"/>
          </w:tcPr>
          <w:p w14:paraId="168A2FEE">
            <w:pPr>
              <w:widowControl/>
              <w:jc w:val="center"/>
              <w:textAlignment w:val="center"/>
              <w:rPr>
                <w:rFonts w:eastAsia="仿宋_GB2312"/>
                <w:color w:val="auto"/>
                <w:kern w:val="0"/>
                <w:szCs w:val="21"/>
                <w:lang w:bidi="ar"/>
              </w:rPr>
            </w:pPr>
            <w:r>
              <w:rPr>
                <w:rFonts w:hint="eastAsia" w:ascii="Times New Roman" w:hAnsi="Times New Roman" w:eastAsia="仿宋_GB2312" w:cs="Times New Roman"/>
                <w:color w:val="auto"/>
                <w:kern w:val="0"/>
                <w:szCs w:val="21"/>
                <w:lang w:val="en-US" w:eastAsia="zh-CN" w:bidi="ar"/>
              </w:rPr>
              <w:t>0.00029</w:t>
            </w:r>
          </w:p>
        </w:tc>
        <w:tc>
          <w:tcPr>
            <w:tcW w:w="630" w:type="pct"/>
            <w:vMerge w:val="continue"/>
            <w:vAlign w:val="center"/>
          </w:tcPr>
          <w:p w14:paraId="16BE14CA">
            <w:pPr>
              <w:jc w:val="center"/>
              <w:rPr>
                <w:rFonts w:eastAsia="仿宋_GB2312"/>
                <w:color w:val="auto"/>
                <w:szCs w:val="21"/>
              </w:rPr>
            </w:pPr>
          </w:p>
        </w:tc>
        <w:tc>
          <w:tcPr>
            <w:tcW w:w="292" w:type="pct"/>
            <w:vMerge w:val="continue"/>
            <w:vAlign w:val="center"/>
          </w:tcPr>
          <w:p w14:paraId="60978F19">
            <w:pPr>
              <w:jc w:val="center"/>
              <w:rPr>
                <w:rFonts w:eastAsia="仿宋_GB2312"/>
                <w:color w:val="auto"/>
                <w:szCs w:val="21"/>
              </w:rPr>
            </w:pPr>
          </w:p>
        </w:tc>
      </w:tr>
      <w:tr w14:paraId="07F477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4ABDEDF0">
            <w:pPr>
              <w:jc w:val="center"/>
              <w:rPr>
                <w:rFonts w:eastAsia="仿宋_GB2312"/>
                <w:color w:val="auto"/>
                <w:szCs w:val="21"/>
              </w:rPr>
            </w:pPr>
          </w:p>
        </w:tc>
        <w:tc>
          <w:tcPr>
            <w:tcW w:w="358" w:type="pct"/>
            <w:vMerge w:val="continue"/>
            <w:vAlign w:val="center"/>
          </w:tcPr>
          <w:p w14:paraId="0AC0B702">
            <w:pPr>
              <w:jc w:val="center"/>
              <w:rPr>
                <w:rFonts w:eastAsia="仿宋_GB2312"/>
                <w:color w:val="auto"/>
                <w:szCs w:val="21"/>
              </w:rPr>
            </w:pPr>
          </w:p>
        </w:tc>
        <w:tc>
          <w:tcPr>
            <w:tcW w:w="418" w:type="pct"/>
            <w:vMerge w:val="continue"/>
            <w:vAlign w:val="center"/>
          </w:tcPr>
          <w:p w14:paraId="15B70681">
            <w:pPr>
              <w:jc w:val="center"/>
              <w:rPr>
                <w:rFonts w:eastAsia="仿宋_GB2312"/>
                <w:color w:val="auto"/>
                <w:szCs w:val="21"/>
              </w:rPr>
            </w:pPr>
          </w:p>
        </w:tc>
        <w:tc>
          <w:tcPr>
            <w:tcW w:w="446" w:type="pct"/>
            <w:vMerge w:val="continue"/>
            <w:vAlign w:val="center"/>
          </w:tcPr>
          <w:p w14:paraId="65037407">
            <w:pPr>
              <w:jc w:val="center"/>
              <w:rPr>
                <w:rFonts w:eastAsia="仿宋_GB2312"/>
                <w:color w:val="auto"/>
                <w:szCs w:val="21"/>
              </w:rPr>
            </w:pPr>
          </w:p>
        </w:tc>
        <w:tc>
          <w:tcPr>
            <w:tcW w:w="361" w:type="pct"/>
            <w:vMerge w:val="continue"/>
            <w:vAlign w:val="center"/>
          </w:tcPr>
          <w:p w14:paraId="1D48290B">
            <w:pPr>
              <w:jc w:val="center"/>
              <w:rPr>
                <w:rFonts w:eastAsia="仿宋_GB2312"/>
                <w:color w:val="auto"/>
                <w:szCs w:val="21"/>
              </w:rPr>
            </w:pPr>
          </w:p>
        </w:tc>
        <w:tc>
          <w:tcPr>
            <w:tcW w:w="498" w:type="pct"/>
            <w:vMerge w:val="continue"/>
            <w:vAlign w:val="center"/>
          </w:tcPr>
          <w:p w14:paraId="3530D2C5">
            <w:pPr>
              <w:keepNext w:val="0"/>
              <w:keepLines w:val="0"/>
              <w:widowControl/>
              <w:suppressLineNumbers w:val="0"/>
              <w:jc w:val="center"/>
              <w:textAlignment w:val="bottom"/>
              <w:rPr>
                <w:rFonts w:eastAsia="仿宋_GB2312"/>
                <w:color w:val="auto"/>
                <w:kern w:val="0"/>
                <w:szCs w:val="21"/>
                <w:lang w:bidi="ar"/>
              </w:rPr>
            </w:pPr>
          </w:p>
        </w:tc>
        <w:tc>
          <w:tcPr>
            <w:tcW w:w="820" w:type="pct"/>
            <w:vAlign w:val="center"/>
          </w:tcPr>
          <w:p w14:paraId="0EFE203E">
            <w:pPr>
              <w:widowControl/>
              <w:jc w:val="center"/>
              <w:textAlignment w:val="center"/>
              <w:rPr>
                <w:rFonts w:eastAsia="仿宋_GB2312"/>
                <w:color w:val="auto"/>
                <w:kern w:val="0"/>
                <w:szCs w:val="21"/>
                <w:lang w:bidi="ar"/>
              </w:rPr>
            </w:pPr>
            <w:r>
              <w:rPr>
                <w:rFonts w:eastAsia="仿宋_GB2312"/>
                <w:color w:val="auto"/>
                <w:kern w:val="0"/>
                <w:szCs w:val="21"/>
                <w:lang w:bidi="ar"/>
              </w:rPr>
              <w:t>其他有机物</w:t>
            </w:r>
          </w:p>
        </w:tc>
        <w:tc>
          <w:tcPr>
            <w:tcW w:w="380" w:type="pct"/>
            <w:shd w:val="clear" w:color="auto" w:fill="auto"/>
            <w:vAlign w:val="center"/>
          </w:tcPr>
          <w:p w14:paraId="5E86B47F">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0.0066</w:t>
            </w:r>
          </w:p>
        </w:tc>
        <w:tc>
          <w:tcPr>
            <w:tcW w:w="445" w:type="pct"/>
            <w:shd w:val="clear" w:color="auto" w:fill="auto"/>
            <w:vAlign w:val="center"/>
          </w:tcPr>
          <w:p w14:paraId="10A70A37">
            <w:pPr>
              <w:widowControl/>
              <w:jc w:val="center"/>
              <w:textAlignment w:val="center"/>
              <w:rPr>
                <w:rFonts w:eastAsia="仿宋_GB2312"/>
                <w:color w:val="auto"/>
                <w:kern w:val="0"/>
                <w:szCs w:val="21"/>
                <w:lang w:bidi="ar"/>
              </w:rPr>
            </w:pPr>
            <w:r>
              <w:rPr>
                <w:rFonts w:hint="eastAsia" w:ascii="Times New Roman" w:hAnsi="Times New Roman" w:eastAsia="仿宋_GB2312" w:cs="Times New Roman"/>
                <w:color w:val="auto"/>
                <w:kern w:val="0"/>
                <w:szCs w:val="21"/>
                <w:lang w:val="en-US" w:eastAsia="zh-CN" w:bidi="ar"/>
              </w:rPr>
              <w:t>0.00495</w:t>
            </w:r>
          </w:p>
        </w:tc>
        <w:tc>
          <w:tcPr>
            <w:tcW w:w="630" w:type="pct"/>
            <w:vMerge w:val="continue"/>
            <w:vAlign w:val="center"/>
          </w:tcPr>
          <w:p w14:paraId="35F38438">
            <w:pPr>
              <w:jc w:val="center"/>
              <w:rPr>
                <w:rFonts w:eastAsia="仿宋_GB2312"/>
                <w:color w:val="auto"/>
                <w:szCs w:val="21"/>
              </w:rPr>
            </w:pPr>
          </w:p>
        </w:tc>
        <w:tc>
          <w:tcPr>
            <w:tcW w:w="292" w:type="pct"/>
            <w:vMerge w:val="continue"/>
            <w:vAlign w:val="center"/>
          </w:tcPr>
          <w:p w14:paraId="65E33689">
            <w:pPr>
              <w:jc w:val="center"/>
              <w:rPr>
                <w:rFonts w:eastAsia="仿宋_GB2312"/>
                <w:color w:val="auto"/>
                <w:szCs w:val="21"/>
              </w:rPr>
            </w:pPr>
          </w:p>
        </w:tc>
      </w:tr>
      <w:tr w14:paraId="12D1A4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restart"/>
            <w:vAlign w:val="center"/>
          </w:tcPr>
          <w:p w14:paraId="3508F905">
            <w:pPr>
              <w:jc w:val="center"/>
              <w:rPr>
                <w:rFonts w:eastAsia="仿宋_GB2312"/>
                <w:color w:val="auto"/>
                <w:szCs w:val="21"/>
              </w:rPr>
            </w:pPr>
            <w:r>
              <w:rPr>
                <w:rFonts w:eastAsia="仿宋_GB2312"/>
                <w:color w:val="auto"/>
                <w:szCs w:val="21"/>
              </w:rPr>
              <w:t>B-7车间</w:t>
            </w:r>
          </w:p>
        </w:tc>
        <w:tc>
          <w:tcPr>
            <w:tcW w:w="358" w:type="pct"/>
            <w:vMerge w:val="restart"/>
            <w:vAlign w:val="center"/>
          </w:tcPr>
          <w:p w14:paraId="5A45A641">
            <w:pPr>
              <w:jc w:val="center"/>
              <w:rPr>
                <w:rFonts w:eastAsia="仿宋_GB2312"/>
                <w:color w:val="auto"/>
                <w:szCs w:val="21"/>
              </w:rPr>
            </w:pPr>
            <w:r>
              <w:rPr>
                <w:rFonts w:eastAsia="仿宋_GB2312"/>
                <w:color w:val="auto"/>
                <w:szCs w:val="21"/>
              </w:rPr>
              <w:t>己烷</w:t>
            </w:r>
          </w:p>
        </w:tc>
        <w:tc>
          <w:tcPr>
            <w:tcW w:w="418" w:type="pct"/>
            <w:vMerge w:val="restart"/>
            <w:vAlign w:val="center"/>
          </w:tcPr>
          <w:p w14:paraId="6DB99A02">
            <w:pPr>
              <w:jc w:val="center"/>
              <w:rPr>
                <w:rFonts w:eastAsia="仿宋_GB2312"/>
                <w:color w:val="auto"/>
                <w:szCs w:val="21"/>
              </w:rPr>
            </w:pPr>
            <w:r>
              <w:rPr>
                <w:rFonts w:eastAsia="仿宋_GB2312"/>
                <w:color w:val="auto"/>
                <w:kern w:val="0"/>
                <w:szCs w:val="21"/>
                <w:lang w:bidi="ar"/>
              </w:rPr>
              <w:t>G</w:t>
            </w:r>
            <w:r>
              <w:rPr>
                <w:rFonts w:hint="eastAsia" w:eastAsia="仿宋_GB2312"/>
                <w:color w:val="auto"/>
                <w:kern w:val="0"/>
                <w:szCs w:val="21"/>
                <w:lang w:val="en-US" w:eastAsia="zh-CN" w:bidi="ar"/>
              </w:rPr>
              <w:t>2</w:t>
            </w:r>
            <w:r>
              <w:rPr>
                <w:rFonts w:eastAsia="仿宋_GB2312"/>
                <w:color w:val="auto"/>
                <w:kern w:val="0"/>
                <w:szCs w:val="21"/>
                <w:lang w:bidi="ar"/>
              </w:rPr>
              <w:t>-1</w:t>
            </w:r>
            <w:r>
              <w:rPr>
                <w:rFonts w:hint="eastAsia" w:eastAsia="仿宋_GB2312"/>
                <w:color w:val="auto"/>
                <w:kern w:val="0"/>
                <w:szCs w:val="21"/>
                <w:lang w:val="en-US" w:eastAsia="zh-CN" w:bidi="ar"/>
              </w:rPr>
              <w:t>1</w:t>
            </w:r>
            <w:r>
              <w:rPr>
                <w:rFonts w:eastAsia="仿宋_GB2312"/>
                <w:color w:val="auto"/>
                <w:kern w:val="0"/>
                <w:szCs w:val="21"/>
                <w:lang w:bidi="ar"/>
              </w:rPr>
              <w:t>-1</w:t>
            </w:r>
          </w:p>
        </w:tc>
        <w:tc>
          <w:tcPr>
            <w:tcW w:w="446" w:type="pct"/>
            <w:vMerge w:val="restart"/>
            <w:vAlign w:val="center"/>
          </w:tcPr>
          <w:p w14:paraId="33439915">
            <w:pPr>
              <w:jc w:val="center"/>
              <w:rPr>
                <w:rFonts w:eastAsia="仿宋_GB2312"/>
                <w:color w:val="auto"/>
                <w:szCs w:val="21"/>
              </w:rPr>
            </w:pPr>
            <w:r>
              <w:rPr>
                <w:rFonts w:eastAsia="仿宋_GB2312"/>
                <w:color w:val="auto"/>
                <w:kern w:val="0"/>
                <w:szCs w:val="21"/>
                <w:lang w:bidi="ar"/>
              </w:rPr>
              <w:t>投料废气</w:t>
            </w:r>
          </w:p>
        </w:tc>
        <w:tc>
          <w:tcPr>
            <w:tcW w:w="361" w:type="pct"/>
            <w:vMerge w:val="restart"/>
            <w:vAlign w:val="center"/>
          </w:tcPr>
          <w:p w14:paraId="33AA0097">
            <w:pPr>
              <w:jc w:val="center"/>
              <w:rPr>
                <w:rFonts w:hint="default" w:eastAsia="仿宋_GB2312"/>
                <w:color w:val="auto"/>
                <w:szCs w:val="21"/>
                <w:lang w:val="en-US" w:eastAsia="zh-CN"/>
              </w:rPr>
            </w:pPr>
            <w:r>
              <w:rPr>
                <w:rFonts w:hint="eastAsia" w:eastAsia="仿宋_GB2312"/>
                <w:color w:val="auto"/>
                <w:szCs w:val="21"/>
                <w:lang w:val="en-US" w:eastAsia="zh-CN"/>
              </w:rPr>
              <w:t>2000</w:t>
            </w:r>
          </w:p>
        </w:tc>
        <w:tc>
          <w:tcPr>
            <w:tcW w:w="498" w:type="pct"/>
            <w:vMerge w:val="restart"/>
            <w:vAlign w:val="center"/>
          </w:tcPr>
          <w:p w14:paraId="5278FFFC">
            <w:pPr>
              <w:keepNext w:val="0"/>
              <w:keepLines w:val="0"/>
              <w:widowControl/>
              <w:suppressLineNumbers w:val="0"/>
              <w:jc w:val="center"/>
              <w:textAlignment w:val="bottom"/>
              <w:rPr>
                <w:rFonts w:hint="eastAsia" w:eastAsia="仿宋_GB2312"/>
                <w:color w:val="auto"/>
                <w:kern w:val="0"/>
                <w:szCs w:val="21"/>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892</w:t>
            </w:r>
          </w:p>
        </w:tc>
        <w:tc>
          <w:tcPr>
            <w:tcW w:w="820" w:type="pct"/>
            <w:vAlign w:val="center"/>
          </w:tcPr>
          <w:p w14:paraId="455692BD">
            <w:pPr>
              <w:widowControl/>
              <w:jc w:val="center"/>
              <w:textAlignment w:val="center"/>
              <w:rPr>
                <w:rFonts w:eastAsia="仿宋_GB2312"/>
                <w:color w:val="auto"/>
                <w:kern w:val="0"/>
                <w:szCs w:val="21"/>
                <w:lang w:bidi="ar"/>
              </w:rPr>
            </w:pPr>
            <w:r>
              <w:rPr>
                <w:rFonts w:hint="eastAsia" w:eastAsia="仿宋_GB2312"/>
                <w:color w:val="auto"/>
                <w:kern w:val="0"/>
                <w:szCs w:val="21"/>
                <w:lang w:val="en-US" w:eastAsia="zh-CN" w:bidi="ar"/>
              </w:rPr>
              <w:t>己烷</w:t>
            </w:r>
          </w:p>
        </w:tc>
        <w:tc>
          <w:tcPr>
            <w:tcW w:w="380" w:type="pct"/>
            <w:shd w:val="clear" w:color="auto" w:fill="auto"/>
            <w:vAlign w:val="center"/>
          </w:tcPr>
          <w:p w14:paraId="7783805B">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2.461</w:t>
            </w:r>
          </w:p>
        </w:tc>
        <w:tc>
          <w:tcPr>
            <w:tcW w:w="445" w:type="pct"/>
            <w:shd w:val="clear" w:color="auto" w:fill="auto"/>
            <w:vAlign w:val="center"/>
          </w:tcPr>
          <w:p w14:paraId="53DE4B42">
            <w:pPr>
              <w:widowControl/>
              <w:jc w:val="center"/>
              <w:textAlignment w:val="center"/>
              <w:rPr>
                <w:rFonts w:eastAsia="仿宋_GB2312"/>
                <w:color w:val="auto"/>
                <w:kern w:val="0"/>
                <w:szCs w:val="21"/>
                <w:lang w:bidi="ar"/>
              </w:rPr>
            </w:pPr>
            <w:r>
              <w:rPr>
                <w:rFonts w:hint="eastAsia" w:ascii="Times New Roman" w:hAnsi="Times New Roman" w:eastAsia="仿宋_GB2312" w:cs="Times New Roman"/>
                <w:color w:val="auto"/>
                <w:kern w:val="0"/>
                <w:szCs w:val="21"/>
                <w:lang w:val="en-US" w:eastAsia="zh-CN" w:bidi="ar"/>
              </w:rPr>
              <w:t>2.196</w:t>
            </w:r>
          </w:p>
        </w:tc>
        <w:tc>
          <w:tcPr>
            <w:tcW w:w="630" w:type="pct"/>
            <w:vMerge w:val="continue"/>
            <w:vAlign w:val="center"/>
          </w:tcPr>
          <w:p w14:paraId="53E06D30">
            <w:pPr>
              <w:jc w:val="center"/>
              <w:rPr>
                <w:rFonts w:eastAsia="仿宋_GB2312"/>
                <w:color w:val="auto"/>
                <w:szCs w:val="21"/>
              </w:rPr>
            </w:pPr>
          </w:p>
        </w:tc>
        <w:tc>
          <w:tcPr>
            <w:tcW w:w="292" w:type="pct"/>
            <w:vMerge w:val="continue"/>
            <w:vAlign w:val="center"/>
          </w:tcPr>
          <w:p w14:paraId="017C3238">
            <w:pPr>
              <w:jc w:val="center"/>
              <w:rPr>
                <w:rFonts w:eastAsia="仿宋_GB2312"/>
                <w:color w:val="auto"/>
                <w:szCs w:val="21"/>
              </w:rPr>
            </w:pPr>
          </w:p>
        </w:tc>
      </w:tr>
      <w:tr w14:paraId="49C4EDB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5295C3E5">
            <w:pPr>
              <w:jc w:val="center"/>
              <w:rPr>
                <w:rFonts w:eastAsia="仿宋_GB2312"/>
                <w:color w:val="auto"/>
                <w:szCs w:val="21"/>
              </w:rPr>
            </w:pPr>
          </w:p>
        </w:tc>
        <w:tc>
          <w:tcPr>
            <w:tcW w:w="358" w:type="pct"/>
            <w:vMerge w:val="continue"/>
            <w:vAlign w:val="center"/>
          </w:tcPr>
          <w:p w14:paraId="6DB0C576">
            <w:pPr>
              <w:jc w:val="center"/>
              <w:rPr>
                <w:rFonts w:eastAsia="仿宋_GB2312"/>
                <w:color w:val="auto"/>
                <w:szCs w:val="21"/>
              </w:rPr>
            </w:pPr>
          </w:p>
        </w:tc>
        <w:tc>
          <w:tcPr>
            <w:tcW w:w="418" w:type="pct"/>
            <w:vMerge w:val="continue"/>
            <w:vAlign w:val="center"/>
          </w:tcPr>
          <w:p w14:paraId="141418FE">
            <w:pPr>
              <w:jc w:val="center"/>
              <w:rPr>
                <w:rFonts w:eastAsia="仿宋_GB2312"/>
                <w:color w:val="auto"/>
                <w:szCs w:val="21"/>
              </w:rPr>
            </w:pPr>
          </w:p>
        </w:tc>
        <w:tc>
          <w:tcPr>
            <w:tcW w:w="446" w:type="pct"/>
            <w:vMerge w:val="continue"/>
            <w:vAlign w:val="center"/>
          </w:tcPr>
          <w:p w14:paraId="3B241981">
            <w:pPr>
              <w:jc w:val="center"/>
              <w:rPr>
                <w:rFonts w:eastAsia="仿宋_GB2312"/>
                <w:color w:val="auto"/>
                <w:szCs w:val="21"/>
              </w:rPr>
            </w:pPr>
          </w:p>
        </w:tc>
        <w:tc>
          <w:tcPr>
            <w:tcW w:w="361" w:type="pct"/>
            <w:vMerge w:val="continue"/>
            <w:vAlign w:val="center"/>
          </w:tcPr>
          <w:p w14:paraId="2E6EF39D">
            <w:pPr>
              <w:jc w:val="center"/>
              <w:rPr>
                <w:rFonts w:eastAsia="仿宋_GB2312"/>
                <w:color w:val="auto"/>
                <w:szCs w:val="21"/>
              </w:rPr>
            </w:pPr>
          </w:p>
        </w:tc>
        <w:tc>
          <w:tcPr>
            <w:tcW w:w="498" w:type="pct"/>
            <w:vMerge w:val="continue"/>
            <w:vAlign w:val="center"/>
          </w:tcPr>
          <w:p w14:paraId="4B4D4ECB">
            <w:pPr>
              <w:keepNext w:val="0"/>
              <w:keepLines w:val="0"/>
              <w:widowControl/>
              <w:suppressLineNumbers w:val="0"/>
              <w:jc w:val="center"/>
              <w:textAlignment w:val="bottom"/>
              <w:rPr>
                <w:rFonts w:eastAsia="仿宋_GB2312"/>
                <w:color w:val="auto"/>
                <w:kern w:val="0"/>
                <w:szCs w:val="21"/>
                <w:lang w:bidi="ar"/>
              </w:rPr>
            </w:pPr>
          </w:p>
        </w:tc>
        <w:tc>
          <w:tcPr>
            <w:tcW w:w="820" w:type="pct"/>
            <w:vAlign w:val="center"/>
          </w:tcPr>
          <w:p w14:paraId="349BA8DF">
            <w:pPr>
              <w:widowControl/>
              <w:jc w:val="center"/>
              <w:textAlignment w:val="center"/>
              <w:rPr>
                <w:rFonts w:eastAsia="仿宋_GB2312"/>
                <w:color w:val="auto"/>
                <w:kern w:val="0"/>
                <w:szCs w:val="21"/>
                <w:lang w:bidi="ar"/>
              </w:rPr>
            </w:pPr>
            <w:r>
              <w:rPr>
                <w:rFonts w:eastAsia="仿宋_GB2312"/>
                <w:color w:val="auto"/>
                <w:kern w:val="0"/>
                <w:szCs w:val="21"/>
                <w:lang w:bidi="ar"/>
              </w:rPr>
              <w:t>其他有机物</w:t>
            </w:r>
          </w:p>
        </w:tc>
        <w:tc>
          <w:tcPr>
            <w:tcW w:w="380" w:type="pct"/>
            <w:shd w:val="clear" w:color="auto" w:fill="auto"/>
            <w:vAlign w:val="center"/>
          </w:tcPr>
          <w:p w14:paraId="17179D34">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0.022</w:t>
            </w:r>
          </w:p>
        </w:tc>
        <w:tc>
          <w:tcPr>
            <w:tcW w:w="445" w:type="pct"/>
            <w:shd w:val="clear" w:color="auto" w:fill="auto"/>
            <w:vAlign w:val="center"/>
          </w:tcPr>
          <w:p w14:paraId="225C1302">
            <w:pPr>
              <w:widowControl/>
              <w:jc w:val="center"/>
              <w:textAlignment w:val="center"/>
              <w:rPr>
                <w:rFonts w:eastAsia="仿宋_GB2312"/>
                <w:color w:val="auto"/>
                <w:kern w:val="0"/>
                <w:szCs w:val="21"/>
                <w:lang w:bidi="ar"/>
              </w:rPr>
            </w:pPr>
            <w:r>
              <w:rPr>
                <w:rFonts w:hint="eastAsia" w:ascii="Times New Roman" w:hAnsi="Times New Roman" w:eastAsia="仿宋_GB2312" w:cs="Times New Roman"/>
                <w:color w:val="auto"/>
                <w:kern w:val="0"/>
                <w:szCs w:val="21"/>
                <w:lang w:val="en-US" w:eastAsia="zh-CN" w:bidi="ar"/>
              </w:rPr>
              <w:t>0.01996</w:t>
            </w:r>
          </w:p>
        </w:tc>
        <w:tc>
          <w:tcPr>
            <w:tcW w:w="630" w:type="pct"/>
            <w:vMerge w:val="continue"/>
            <w:vAlign w:val="center"/>
          </w:tcPr>
          <w:p w14:paraId="34D7915B">
            <w:pPr>
              <w:jc w:val="center"/>
              <w:rPr>
                <w:rFonts w:eastAsia="仿宋_GB2312"/>
                <w:color w:val="auto"/>
                <w:szCs w:val="21"/>
              </w:rPr>
            </w:pPr>
          </w:p>
        </w:tc>
        <w:tc>
          <w:tcPr>
            <w:tcW w:w="292" w:type="pct"/>
            <w:vMerge w:val="continue"/>
            <w:vAlign w:val="center"/>
          </w:tcPr>
          <w:p w14:paraId="68E9EE84">
            <w:pPr>
              <w:jc w:val="center"/>
              <w:rPr>
                <w:rFonts w:eastAsia="仿宋_GB2312"/>
                <w:color w:val="auto"/>
                <w:szCs w:val="21"/>
              </w:rPr>
            </w:pPr>
          </w:p>
        </w:tc>
      </w:tr>
      <w:tr w14:paraId="5C90BD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733ED22B">
            <w:pPr>
              <w:jc w:val="center"/>
              <w:rPr>
                <w:rFonts w:eastAsia="仿宋_GB2312"/>
                <w:color w:val="auto"/>
                <w:szCs w:val="21"/>
              </w:rPr>
            </w:pPr>
          </w:p>
        </w:tc>
        <w:tc>
          <w:tcPr>
            <w:tcW w:w="358" w:type="pct"/>
            <w:vMerge w:val="continue"/>
            <w:vAlign w:val="center"/>
          </w:tcPr>
          <w:p w14:paraId="3A5AE373">
            <w:pPr>
              <w:jc w:val="center"/>
              <w:rPr>
                <w:rFonts w:eastAsia="仿宋_GB2312"/>
                <w:color w:val="auto"/>
                <w:szCs w:val="21"/>
              </w:rPr>
            </w:pPr>
          </w:p>
        </w:tc>
        <w:tc>
          <w:tcPr>
            <w:tcW w:w="418" w:type="pct"/>
            <w:vMerge w:val="restart"/>
            <w:vAlign w:val="center"/>
          </w:tcPr>
          <w:p w14:paraId="6B51B088">
            <w:pPr>
              <w:jc w:val="center"/>
              <w:rPr>
                <w:rFonts w:eastAsia="仿宋_GB2312"/>
                <w:color w:val="auto"/>
                <w:szCs w:val="21"/>
              </w:rPr>
            </w:pPr>
            <w:r>
              <w:rPr>
                <w:rFonts w:eastAsia="仿宋_GB2312"/>
                <w:color w:val="auto"/>
                <w:kern w:val="0"/>
                <w:szCs w:val="21"/>
                <w:lang w:bidi="ar"/>
              </w:rPr>
              <w:t>G</w:t>
            </w:r>
            <w:r>
              <w:rPr>
                <w:rFonts w:hint="eastAsia" w:eastAsia="仿宋_GB2312"/>
                <w:color w:val="auto"/>
                <w:kern w:val="0"/>
                <w:szCs w:val="21"/>
                <w:lang w:val="en-US" w:eastAsia="zh-CN" w:bidi="ar"/>
              </w:rPr>
              <w:t>2</w:t>
            </w:r>
            <w:r>
              <w:rPr>
                <w:rFonts w:eastAsia="仿宋_GB2312"/>
                <w:color w:val="auto"/>
                <w:kern w:val="0"/>
                <w:szCs w:val="21"/>
                <w:lang w:bidi="ar"/>
              </w:rPr>
              <w:t>-1</w:t>
            </w:r>
            <w:r>
              <w:rPr>
                <w:rFonts w:hint="eastAsia" w:eastAsia="仿宋_GB2312"/>
                <w:color w:val="auto"/>
                <w:kern w:val="0"/>
                <w:szCs w:val="21"/>
                <w:lang w:val="en-US" w:eastAsia="zh-CN" w:bidi="ar"/>
              </w:rPr>
              <w:t>1</w:t>
            </w:r>
            <w:r>
              <w:rPr>
                <w:rFonts w:eastAsia="仿宋_GB2312"/>
                <w:color w:val="auto"/>
                <w:kern w:val="0"/>
                <w:szCs w:val="21"/>
                <w:lang w:bidi="ar"/>
              </w:rPr>
              <w:t>-2</w:t>
            </w:r>
          </w:p>
        </w:tc>
        <w:tc>
          <w:tcPr>
            <w:tcW w:w="446" w:type="pct"/>
            <w:vMerge w:val="restart"/>
            <w:vAlign w:val="center"/>
          </w:tcPr>
          <w:p w14:paraId="27E9833B">
            <w:pPr>
              <w:jc w:val="center"/>
              <w:rPr>
                <w:rFonts w:eastAsia="仿宋_GB2312"/>
                <w:color w:val="auto"/>
                <w:szCs w:val="21"/>
              </w:rPr>
            </w:pPr>
            <w:r>
              <w:rPr>
                <w:rFonts w:eastAsia="仿宋_GB2312"/>
                <w:color w:val="auto"/>
                <w:kern w:val="0"/>
                <w:szCs w:val="21"/>
                <w:lang w:bidi="ar"/>
              </w:rPr>
              <w:t>调节废气</w:t>
            </w:r>
          </w:p>
        </w:tc>
        <w:tc>
          <w:tcPr>
            <w:tcW w:w="361" w:type="pct"/>
            <w:vMerge w:val="restart"/>
            <w:vAlign w:val="center"/>
          </w:tcPr>
          <w:p w14:paraId="7B2AA4AA">
            <w:pPr>
              <w:jc w:val="center"/>
              <w:rPr>
                <w:rFonts w:eastAsia="仿宋_GB2312"/>
                <w:color w:val="auto"/>
                <w:szCs w:val="21"/>
              </w:rPr>
            </w:pPr>
            <w:r>
              <w:rPr>
                <w:rFonts w:hint="eastAsia" w:eastAsia="仿宋_GB2312"/>
                <w:color w:val="auto"/>
                <w:szCs w:val="21"/>
                <w:lang w:val="en-US" w:eastAsia="zh-CN"/>
              </w:rPr>
              <w:t>1</w:t>
            </w:r>
            <w:r>
              <w:rPr>
                <w:rFonts w:eastAsia="仿宋_GB2312"/>
                <w:color w:val="auto"/>
                <w:szCs w:val="21"/>
              </w:rPr>
              <w:t>00</w:t>
            </w:r>
          </w:p>
        </w:tc>
        <w:tc>
          <w:tcPr>
            <w:tcW w:w="498" w:type="pct"/>
            <w:vMerge w:val="restart"/>
            <w:vAlign w:val="center"/>
          </w:tcPr>
          <w:p w14:paraId="3ED1613F">
            <w:pPr>
              <w:keepNext w:val="0"/>
              <w:keepLines w:val="0"/>
              <w:widowControl/>
              <w:suppressLineNumbers w:val="0"/>
              <w:jc w:val="center"/>
              <w:textAlignment w:val="bottom"/>
              <w:rPr>
                <w:rFonts w:eastAsia="仿宋_GB2312"/>
                <w:color w:val="auto"/>
                <w:kern w:val="0"/>
                <w:szCs w:val="21"/>
                <w:lang w:bidi="ar"/>
              </w:rPr>
            </w:pPr>
            <w:r>
              <w:rPr>
                <w:rFonts w:hint="default" w:ascii="Times New Roman" w:hAnsi="Times New Roman" w:eastAsia="宋体" w:cs="Times New Roman"/>
                <w:i w:val="0"/>
                <w:iCs w:val="0"/>
                <w:color w:val="auto"/>
                <w:kern w:val="0"/>
                <w:sz w:val="21"/>
                <w:szCs w:val="21"/>
                <w:u w:val="none"/>
                <w:lang w:val="en-US" w:eastAsia="zh-CN" w:bidi="ar"/>
              </w:rPr>
              <w:t>892</w:t>
            </w:r>
          </w:p>
        </w:tc>
        <w:tc>
          <w:tcPr>
            <w:tcW w:w="820" w:type="pct"/>
            <w:vAlign w:val="center"/>
          </w:tcPr>
          <w:p w14:paraId="21A812D4">
            <w:pPr>
              <w:widowControl/>
              <w:jc w:val="center"/>
              <w:textAlignment w:val="center"/>
              <w:rPr>
                <w:rFonts w:eastAsia="仿宋_GB2312"/>
                <w:color w:val="auto"/>
                <w:kern w:val="0"/>
                <w:szCs w:val="21"/>
                <w:lang w:bidi="ar"/>
              </w:rPr>
            </w:pPr>
            <w:r>
              <w:rPr>
                <w:rFonts w:hint="eastAsia" w:eastAsia="仿宋_GB2312"/>
                <w:color w:val="auto"/>
                <w:kern w:val="0"/>
                <w:szCs w:val="21"/>
                <w:lang w:val="en-US" w:eastAsia="zh-CN" w:bidi="ar"/>
              </w:rPr>
              <w:t>己烷</w:t>
            </w:r>
          </w:p>
        </w:tc>
        <w:tc>
          <w:tcPr>
            <w:tcW w:w="380" w:type="pct"/>
            <w:shd w:val="clear" w:color="auto" w:fill="auto"/>
            <w:vAlign w:val="center"/>
          </w:tcPr>
          <w:p w14:paraId="38CF479D">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1.233</w:t>
            </w:r>
          </w:p>
        </w:tc>
        <w:tc>
          <w:tcPr>
            <w:tcW w:w="445" w:type="pct"/>
            <w:shd w:val="clear" w:color="auto" w:fill="auto"/>
            <w:vAlign w:val="center"/>
          </w:tcPr>
          <w:p w14:paraId="0BAA7E27">
            <w:pPr>
              <w:widowControl/>
              <w:jc w:val="center"/>
              <w:textAlignment w:val="center"/>
              <w:rPr>
                <w:rFonts w:eastAsia="仿宋_GB2312"/>
                <w:color w:val="auto"/>
                <w:kern w:val="0"/>
                <w:szCs w:val="21"/>
                <w:lang w:bidi="ar"/>
              </w:rPr>
            </w:pPr>
            <w:r>
              <w:rPr>
                <w:rFonts w:hint="eastAsia" w:eastAsia="仿宋_GB2312"/>
                <w:color w:val="auto"/>
                <w:kern w:val="0"/>
                <w:szCs w:val="21"/>
                <w:lang w:val="en-US" w:eastAsia="zh-CN" w:bidi="ar"/>
              </w:rPr>
              <w:t>1.1</w:t>
            </w:r>
          </w:p>
        </w:tc>
        <w:tc>
          <w:tcPr>
            <w:tcW w:w="630" w:type="pct"/>
            <w:vMerge w:val="restart"/>
            <w:shd w:val="clear" w:color="auto" w:fill="auto"/>
            <w:vAlign w:val="center"/>
          </w:tcPr>
          <w:p w14:paraId="0B577EBF">
            <w:pPr>
              <w:widowControl/>
              <w:jc w:val="center"/>
              <w:textAlignment w:val="center"/>
              <w:rPr>
                <w:rFonts w:ascii="Times New Roman" w:hAnsi="Times New Roman" w:eastAsia="仿宋_GB2312" w:cs="Times New Roman"/>
                <w:color w:val="auto"/>
                <w:kern w:val="2"/>
                <w:sz w:val="21"/>
                <w:szCs w:val="21"/>
                <w:lang w:val="en-US" w:eastAsia="zh-CN" w:bidi="ar-SA"/>
              </w:rPr>
            </w:pPr>
            <w:r>
              <w:rPr>
                <w:rFonts w:hint="eastAsia" w:eastAsia="仿宋_GB2312"/>
                <w:color w:val="auto"/>
                <w:szCs w:val="21"/>
              </w:rPr>
              <w:t>预处理（冷凝+稀酸吸收+碱吸收+水吸收+除雾）+</w:t>
            </w:r>
            <w:r>
              <w:rPr>
                <w:rFonts w:eastAsia="仿宋_GB2312"/>
                <w:color w:val="auto"/>
                <w:szCs w:val="21"/>
              </w:rPr>
              <w:t>焚烧</w:t>
            </w:r>
          </w:p>
        </w:tc>
        <w:tc>
          <w:tcPr>
            <w:tcW w:w="292" w:type="pct"/>
            <w:vMerge w:val="restart"/>
            <w:shd w:val="clear" w:color="auto" w:fill="auto"/>
            <w:vAlign w:val="center"/>
          </w:tcPr>
          <w:p w14:paraId="28D01C3D">
            <w:pPr>
              <w:widowControl/>
              <w:jc w:val="center"/>
              <w:textAlignment w:val="center"/>
              <w:rPr>
                <w:rFonts w:ascii="Times New Roman" w:hAnsi="Times New Roman" w:eastAsia="仿宋_GB2312" w:cs="Times New Roman"/>
                <w:color w:val="auto"/>
                <w:kern w:val="2"/>
                <w:sz w:val="21"/>
                <w:szCs w:val="21"/>
                <w:lang w:val="en-US" w:eastAsia="zh-CN" w:bidi="ar-SA"/>
              </w:rPr>
            </w:pPr>
            <w:r>
              <w:rPr>
                <w:rFonts w:hint="eastAsia" w:eastAsia="仿宋_GB2312"/>
                <w:color w:val="auto"/>
                <w:kern w:val="0"/>
                <w:szCs w:val="21"/>
                <w:lang w:bidi="ar"/>
              </w:rPr>
              <w:t>DA002</w:t>
            </w:r>
          </w:p>
        </w:tc>
      </w:tr>
      <w:tr w14:paraId="601710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5E420D64">
            <w:pPr>
              <w:jc w:val="center"/>
              <w:rPr>
                <w:rFonts w:eastAsia="仿宋_GB2312"/>
                <w:color w:val="auto"/>
                <w:szCs w:val="21"/>
              </w:rPr>
            </w:pPr>
          </w:p>
        </w:tc>
        <w:tc>
          <w:tcPr>
            <w:tcW w:w="358" w:type="pct"/>
            <w:vMerge w:val="continue"/>
            <w:vAlign w:val="center"/>
          </w:tcPr>
          <w:p w14:paraId="60B3662D">
            <w:pPr>
              <w:jc w:val="center"/>
              <w:rPr>
                <w:rFonts w:eastAsia="仿宋_GB2312"/>
                <w:color w:val="auto"/>
                <w:szCs w:val="21"/>
              </w:rPr>
            </w:pPr>
          </w:p>
        </w:tc>
        <w:tc>
          <w:tcPr>
            <w:tcW w:w="418" w:type="pct"/>
            <w:vMerge w:val="continue"/>
            <w:vAlign w:val="center"/>
          </w:tcPr>
          <w:p w14:paraId="53F917B0">
            <w:pPr>
              <w:jc w:val="center"/>
              <w:rPr>
                <w:rFonts w:eastAsia="仿宋_GB2312"/>
                <w:color w:val="auto"/>
                <w:szCs w:val="21"/>
              </w:rPr>
            </w:pPr>
          </w:p>
        </w:tc>
        <w:tc>
          <w:tcPr>
            <w:tcW w:w="446" w:type="pct"/>
            <w:vMerge w:val="continue"/>
            <w:vAlign w:val="center"/>
          </w:tcPr>
          <w:p w14:paraId="2E2F7D2A">
            <w:pPr>
              <w:jc w:val="center"/>
              <w:rPr>
                <w:rFonts w:eastAsia="仿宋_GB2312"/>
                <w:color w:val="auto"/>
                <w:szCs w:val="21"/>
              </w:rPr>
            </w:pPr>
          </w:p>
        </w:tc>
        <w:tc>
          <w:tcPr>
            <w:tcW w:w="361" w:type="pct"/>
            <w:vMerge w:val="continue"/>
            <w:vAlign w:val="center"/>
          </w:tcPr>
          <w:p w14:paraId="74FBD11B">
            <w:pPr>
              <w:jc w:val="center"/>
              <w:rPr>
                <w:rFonts w:eastAsia="仿宋_GB2312"/>
                <w:color w:val="auto"/>
                <w:szCs w:val="21"/>
              </w:rPr>
            </w:pPr>
          </w:p>
        </w:tc>
        <w:tc>
          <w:tcPr>
            <w:tcW w:w="498" w:type="pct"/>
            <w:vMerge w:val="continue"/>
            <w:vAlign w:val="center"/>
          </w:tcPr>
          <w:p w14:paraId="786AA577">
            <w:pPr>
              <w:keepNext w:val="0"/>
              <w:keepLines w:val="0"/>
              <w:widowControl/>
              <w:suppressLineNumbers w:val="0"/>
              <w:jc w:val="center"/>
              <w:textAlignment w:val="bottom"/>
              <w:rPr>
                <w:rFonts w:eastAsia="仿宋_GB2312"/>
                <w:color w:val="auto"/>
                <w:kern w:val="0"/>
                <w:szCs w:val="21"/>
                <w:lang w:bidi="ar"/>
              </w:rPr>
            </w:pPr>
          </w:p>
        </w:tc>
        <w:tc>
          <w:tcPr>
            <w:tcW w:w="820" w:type="pct"/>
            <w:vAlign w:val="center"/>
          </w:tcPr>
          <w:p w14:paraId="010D049A">
            <w:pPr>
              <w:widowControl/>
              <w:jc w:val="center"/>
              <w:textAlignment w:val="center"/>
              <w:rPr>
                <w:rFonts w:eastAsia="仿宋_GB2312"/>
                <w:color w:val="auto"/>
                <w:kern w:val="0"/>
                <w:szCs w:val="21"/>
                <w:lang w:bidi="ar"/>
              </w:rPr>
            </w:pPr>
            <w:r>
              <w:rPr>
                <w:rFonts w:eastAsia="仿宋_GB2312"/>
                <w:color w:val="auto"/>
                <w:kern w:val="0"/>
                <w:szCs w:val="21"/>
                <w:lang w:bidi="ar"/>
              </w:rPr>
              <w:t>其他有机物</w:t>
            </w:r>
          </w:p>
        </w:tc>
        <w:tc>
          <w:tcPr>
            <w:tcW w:w="380" w:type="pct"/>
            <w:shd w:val="clear" w:color="auto" w:fill="auto"/>
            <w:vAlign w:val="center"/>
          </w:tcPr>
          <w:p w14:paraId="6CD5A4BD">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0.01</w:t>
            </w:r>
          </w:p>
        </w:tc>
        <w:tc>
          <w:tcPr>
            <w:tcW w:w="445" w:type="pct"/>
            <w:shd w:val="clear" w:color="auto" w:fill="auto"/>
            <w:vAlign w:val="center"/>
          </w:tcPr>
          <w:p w14:paraId="635433E2">
            <w:pPr>
              <w:widowControl/>
              <w:jc w:val="center"/>
              <w:textAlignment w:val="center"/>
              <w:rPr>
                <w:rFonts w:eastAsia="仿宋_GB2312"/>
                <w:color w:val="auto"/>
                <w:kern w:val="0"/>
                <w:szCs w:val="21"/>
                <w:lang w:bidi="ar"/>
              </w:rPr>
            </w:pPr>
            <w:r>
              <w:rPr>
                <w:rFonts w:hint="eastAsia" w:eastAsia="仿宋_GB2312"/>
                <w:color w:val="auto"/>
                <w:kern w:val="0"/>
                <w:szCs w:val="21"/>
                <w:lang w:val="en-US" w:eastAsia="zh-CN" w:bidi="ar"/>
              </w:rPr>
              <w:t>0.009</w:t>
            </w:r>
          </w:p>
        </w:tc>
        <w:tc>
          <w:tcPr>
            <w:tcW w:w="630" w:type="pct"/>
            <w:vMerge w:val="continue"/>
            <w:vAlign w:val="center"/>
          </w:tcPr>
          <w:p w14:paraId="47FE1BF8">
            <w:pPr>
              <w:jc w:val="center"/>
              <w:rPr>
                <w:rFonts w:eastAsia="仿宋_GB2312"/>
                <w:color w:val="auto"/>
                <w:szCs w:val="21"/>
              </w:rPr>
            </w:pPr>
          </w:p>
        </w:tc>
        <w:tc>
          <w:tcPr>
            <w:tcW w:w="292" w:type="pct"/>
            <w:vMerge w:val="continue"/>
            <w:vAlign w:val="center"/>
          </w:tcPr>
          <w:p w14:paraId="132EA462">
            <w:pPr>
              <w:jc w:val="center"/>
              <w:rPr>
                <w:rFonts w:eastAsia="仿宋_GB2312"/>
                <w:color w:val="auto"/>
                <w:szCs w:val="21"/>
              </w:rPr>
            </w:pPr>
          </w:p>
        </w:tc>
      </w:tr>
      <w:tr w14:paraId="07A62E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6901B831">
            <w:pPr>
              <w:jc w:val="center"/>
              <w:rPr>
                <w:rFonts w:eastAsia="仿宋_GB2312"/>
                <w:color w:val="auto"/>
                <w:szCs w:val="21"/>
              </w:rPr>
            </w:pPr>
          </w:p>
        </w:tc>
        <w:tc>
          <w:tcPr>
            <w:tcW w:w="358" w:type="pct"/>
            <w:vMerge w:val="continue"/>
            <w:vAlign w:val="center"/>
          </w:tcPr>
          <w:p w14:paraId="442FADED">
            <w:pPr>
              <w:jc w:val="center"/>
              <w:rPr>
                <w:rFonts w:eastAsia="仿宋_GB2312"/>
                <w:color w:val="auto"/>
                <w:szCs w:val="21"/>
              </w:rPr>
            </w:pPr>
          </w:p>
        </w:tc>
        <w:tc>
          <w:tcPr>
            <w:tcW w:w="418" w:type="pct"/>
            <w:vMerge w:val="restart"/>
            <w:vAlign w:val="center"/>
          </w:tcPr>
          <w:p w14:paraId="2F6930F7">
            <w:pPr>
              <w:jc w:val="center"/>
              <w:rPr>
                <w:rFonts w:eastAsia="仿宋_GB2312"/>
                <w:color w:val="auto"/>
                <w:szCs w:val="21"/>
              </w:rPr>
            </w:pPr>
            <w:r>
              <w:rPr>
                <w:rFonts w:eastAsia="仿宋_GB2312"/>
                <w:color w:val="auto"/>
                <w:kern w:val="0"/>
                <w:szCs w:val="21"/>
                <w:lang w:bidi="ar"/>
              </w:rPr>
              <w:t>G</w:t>
            </w:r>
            <w:r>
              <w:rPr>
                <w:rFonts w:hint="eastAsia" w:eastAsia="仿宋_GB2312"/>
                <w:color w:val="auto"/>
                <w:kern w:val="0"/>
                <w:szCs w:val="21"/>
                <w:lang w:val="en-US" w:eastAsia="zh-CN" w:bidi="ar"/>
              </w:rPr>
              <w:t>2</w:t>
            </w:r>
            <w:r>
              <w:rPr>
                <w:rFonts w:eastAsia="仿宋_GB2312"/>
                <w:color w:val="auto"/>
                <w:kern w:val="0"/>
                <w:szCs w:val="21"/>
                <w:lang w:bidi="ar"/>
              </w:rPr>
              <w:t>-1</w:t>
            </w:r>
            <w:r>
              <w:rPr>
                <w:rFonts w:hint="eastAsia" w:eastAsia="仿宋_GB2312"/>
                <w:color w:val="auto"/>
                <w:kern w:val="0"/>
                <w:szCs w:val="21"/>
                <w:lang w:val="en-US" w:eastAsia="zh-CN" w:bidi="ar"/>
              </w:rPr>
              <w:t>1</w:t>
            </w:r>
            <w:r>
              <w:rPr>
                <w:rFonts w:eastAsia="仿宋_GB2312"/>
                <w:color w:val="auto"/>
                <w:kern w:val="0"/>
                <w:szCs w:val="21"/>
                <w:lang w:bidi="ar"/>
              </w:rPr>
              <w:t>-3</w:t>
            </w:r>
          </w:p>
        </w:tc>
        <w:tc>
          <w:tcPr>
            <w:tcW w:w="446" w:type="pct"/>
            <w:vMerge w:val="restart"/>
            <w:vAlign w:val="center"/>
          </w:tcPr>
          <w:p w14:paraId="0ECB35D7">
            <w:pPr>
              <w:jc w:val="center"/>
              <w:rPr>
                <w:rFonts w:eastAsia="仿宋_GB2312"/>
                <w:color w:val="auto"/>
                <w:szCs w:val="21"/>
              </w:rPr>
            </w:pPr>
            <w:r>
              <w:rPr>
                <w:rFonts w:eastAsia="仿宋_GB2312"/>
                <w:color w:val="auto"/>
                <w:kern w:val="0"/>
                <w:szCs w:val="21"/>
                <w:lang w:bidi="ar"/>
              </w:rPr>
              <w:t>不凝气</w:t>
            </w:r>
          </w:p>
        </w:tc>
        <w:tc>
          <w:tcPr>
            <w:tcW w:w="361" w:type="pct"/>
            <w:vMerge w:val="restart"/>
            <w:vAlign w:val="center"/>
          </w:tcPr>
          <w:p w14:paraId="3A871764">
            <w:pPr>
              <w:jc w:val="center"/>
              <w:rPr>
                <w:rFonts w:eastAsia="仿宋_GB2312"/>
                <w:color w:val="auto"/>
                <w:szCs w:val="21"/>
              </w:rPr>
            </w:pPr>
            <w:r>
              <w:rPr>
                <w:rFonts w:eastAsia="仿宋_GB2312"/>
                <w:color w:val="auto"/>
                <w:szCs w:val="21"/>
              </w:rPr>
              <w:t>360</w:t>
            </w:r>
          </w:p>
        </w:tc>
        <w:tc>
          <w:tcPr>
            <w:tcW w:w="498" w:type="pct"/>
            <w:vMerge w:val="restart"/>
            <w:vAlign w:val="center"/>
          </w:tcPr>
          <w:p w14:paraId="377A5A8F">
            <w:pPr>
              <w:keepNext w:val="0"/>
              <w:keepLines w:val="0"/>
              <w:widowControl/>
              <w:suppressLineNumbers w:val="0"/>
              <w:jc w:val="center"/>
              <w:textAlignment w:val="bottom"/>
              <w:rPr>
                <w:rFonts w:hint="eastAsia" w:eastAsia="仿宋_GB2312"/>
                <w:color w:val="auto"/>
                <w:kern w:val="0"/>
                <w:szCs w:val="21"/>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1784</w:t>
            </w:r>
          </w:p>
        </w:tc>
        <w:tc>
          <w:tcPr>
            <w:tcW w:w="820" w:type="pct"/>
            <w:vAlign w:val="center"/>
          </w:tcPr>
          <w:p w14:paraId="2A105A6E">
            <w:pPr>
              <w:widowControl/>
              <w:jc w:val="center"/>
              <w:textAlignment w:val="center"/>
              <w:rPr>
                <w:rFonts w:eastAsia="仿宋_GB2312"/>
                <w:color w:val="auto"/>
                <w:kern w:val="0"/>
                <w:szCs w:val="21"/>
                <w:lang w:bidi="ar"/>
              </w:rPr>
            </w:pPr>
            <w:r>
              <w:rPr>
                <w:rFonts w:hint="eastAsia" w:eastAsia="仿宋_GB2312"/>
                <w:color w:val="auto"/>
                <w:kern w:val="0"/>
                <w:szCs w:val="21"/>
                <w:lang w:val="en-US" w:eastAsia="zh-CN" w:bidi="ar"/>
              </w:rPr>
              <w:t>己烷</w:t>
            </w:r>
          </w:p>
        </w:tc>
        <w:tc>
          <w:tcPr>
            <w:tcW w:w="380" w:type="pct"/>
            <w:shd w:val="clear" w:color="auto" w:fill="auto"/>
            <w:vAlign w:val="center"/>
          </w:tcPr>
          <w:p w14:paraId="40E5F089">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7.556</w:t>
            </w:r>
          </w:p>
        </w:tc>
        <w:tc>
          <w:tcPr>
            <w:tcW w:w="445" w:type="pct"/>
            <w:shd w:val="clear" w:color="auto" w:fill="auto"/>
            <w:vAlign w:val="center"/>
          </w:tcPr>
          <w:p w14:paraId="47F1C9BC">
            <w:pPr>
              <w:widowControl/>
              <w:jc w:val="center"/>
              <w:textAlignment w:val="center"/>
              <w:rPr>
                <w:rFonts w:eastAsia="仿宋_GB2312"/>
                <w:color w:val="auto"/>
                <w:kern w:val="0"/>
                <w:szCs w:val="21"/>
                <w:lang w:bidi="ar"/>
              </w:rPr>
            </w:pPr>
            <w:r>
              <w:rPr>
                <w:rFonts w:hint="eastAsia" w:eastAsia="仿宋_GB2312"/>
                <w:color w:val="auto"/>
                <w:kern w:val="0"/>
                <w:szCs w:val="21"/>
                <w:lang w:val="en-US" w:eastAsia="zh-CN" w:bidi="ar"/>
              </w:rPr>
              <w:t>13.48</w:t>
            </w:r>
          </w:p>
        </w:tc>
        <w:tc>
          <w:tcPr>
            <w:tcW w:w="630" w:type="pct"/>
            <w:vMerge w:val="continue"/>
            <w:vAlign w:val="center"/>
          </w:tcPr>
          <w:p w14:paraId="4B03AEEC">
            <w:pPr>
              <w:jc w:val="center"/>
              <w:rPr>
                <w:rFonts w:eastAsia="仿宋_GB2312"/>
                <w:color w:val="auto"/>
                <w:szCs w:val="21"/>
              </w:rPr>
            </w:pPr>
          </w:p>
        </w:tc>
        <w:tc>
          <w:tcPr>
            <w:tcW w:w="292" w:type="pct"/>
            <w:vMerge w:val="continue"/>
            <w:vAlign w:val="center"/>
          </w:tcPr>
          <w:p w14:paraId="5BEA8CCE">
            <w:pPr>
              <w:jc w:val="center"/>
              <w:rPr>
                <w:rFonts w:eastAsia="仿宋_GB2312"/>
                <w:color w:val="auto"/>
                <w:szCs w:val="21"/>
              </w:rPr>
            </w:pPr>
          </w:p>
        </w:tc>
      </w:tr>
      <w:tr w14:paraId="51FC3A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7C27FC9D">
            <w:pPr>
              <w:jc w:val="center"/>
              <w:rPr>
                <w:rFonts w:eastAsia="仿宋_GB2312"/>
                <w:color w:val="auto"/>
                <w:szCs w:val="21"/>
              </w:rPr>
            </w:pPr>
          </w:p>
        </w:tc>
        <w:tc>
          <w:tcPr>
            <w:tcW w:w="358" w:type="pct"/>
            <w:vMerge w:val="continue"/>
            <w:vAlign w:val="center"/>
          </w:tcPr>
          <w:p w14:paraId="085B8B34">
            <w:pPr>
              <w:jc w:val="center"/>
              <w:rPr>
                <w:rFonts w:eastAsia="仿宋_GB2312"/>
                <w:color w:val="auto"/>
                <w:szCs w:val="21"/>
              </w:rPr>
            </w:pPr>
          </w:p>
        </w:tc>
        <w:tc>
          <w:tcPr>
            <w:tcW w:w="418" w:type="pct"/>
            <w:vMerge w:val="continue"/>
            <w:vAlign w:val="center"/>
          </w:tcPr>
          <w:p w14:paraId="6578159A">
            <w:pPr>
              <w:jc w:val="center"/>
              <w:rPr>
                <w:rFonts w:eastAsia="仿宋_GB2312"/>
                <w:color w:val="auto"/>
                <w:szCs w:val="21"/>
              </w:rPr>
            </w:pPr>
          </w:p>
        </w:tc>
        <w:tc>
          <w:tcPr>
            <w:tcW w:w="446" w:type="pct"/>
            <w:vMerge w:val="continue"/>
            <w:vAlign w:val="center"/>
          </w:tcPr>
          <w:p w14:paraId="221AECFB">
            <w:pPr>
              <w:jc w:val="center"/>
              <w:rPr>
                <w:rFonts w:eastAsia="仿宋_GB2312"/>
                <w:color w:val="auto"/>
                <w:szCs w:val="21"/>
              </w:rPr>
            </w:pPr>
          </w:p>
        </w:tc>
        <w:tc>
          <w:tcPr>
            <w:tcW w:w="361" w:type="pct"/>
            <w:vMerge w:val="continue"/>
            <w:vAlign w:val="center"/>
          </w:tcPr>
          <w:p w14:paraId="1E000BD3">
            <w:pPr>
              <w:jc w:val="center"/>
              <w:rPr>
                <w:rFonts w:eastAsia="仿宋_GB2312"/>
                <w:color w:val="auto"/>
                <w:szCs w:val="21"/>
              </w:rPr>
            </w:pPr>
          </w:p>
        </w:tc>
        <w:tc>
          <w:tcPr>
            <w:tcW w:w="498" w:type="pct"/>
            <w:vMerge w:val="continue"/>
            <w:vAlign w:val="center"/>
          </w:tcPr>
          <w:p w14:paraId="66DFB372">
            <w:pPr>
              <w:keepNext w:val="0"/>
              <w:keepLines w:val="0"/>
              <w:widowControl/>
              <w:suppressLineNumbers w:val="0"/>
              <w:jc w:val="center"/>
              <w:textAlignment w:val="bottom"/>
              <w:rPr>
                <w:rFonts w:eastAsia="仿宋_GB2312"/>
                <w:color w:val="auto"/>
                <w:kern w:val="0"/>
                <w:szCs w:val="21"/>
                <w:lang w:bidi="ar"/>
              </w:rPr>
            </w:pPr>
          </w:p>
        </w:tc>
        <w:tc>
          <w:tcPr>
            <w:tcW w:w="820" w:type="pct"/>
            <w:vAlign w:val="center"/>
          </w:tcPr>
          <w:p w14:paraId="4954C4CE">
            <w:pPr>
              <w:widowControl/>
              <w:jc w:val="center"/>
              <w:textAlignment w:val="center"/>
              <w:rPr>
                <w:rFonts w:eastAsia="仿宋_GB2312"/>
                <w:color w:val="auto"/>
                <w:kern w:val="0"/>
                <w:szCs w:val="21"/>
                <w:lang w:bidi="ar"/>
              </w:rPr>
            </w:pPr>
            <w:r>
              <w:rPr>
                <w:rFonts w:eastAsia="仿宋_GB2312"/>
                <w:color w:val="auto"/>
                <w:kern w:val="0"/>
                <w:szCs w:val="21"/>
                <w:lang w:bidi="ar"/>
              </w:rPr>
              <w:t>其他有机物</w:t>
            </w:r>
          </w:p>
        </w:tc>
        <w:tc>
          <w:tcPr>
            <w:tcW w:w="380" w:type="pct"/>
            <w:shd w:val="clear" w:color="auto" w:fill="auto"/>
            <w:vAlign w:val="center"/>
          </w:tcPr>
          <w:p w14:paraId="5BF49E8E">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0.19</w:t>
            </w:r>
          </w:p>
        </w:tc>
        <w:tc>
          <w:tcPr>
            <w:tcW w:w="445" w:type="pct"/>
            <w:shd w:val="clear" w:color="auto" w:fill="auto"/>
            <w:vAlign w:val="center"/>
          </w:tcPr>
          <w:p w14:paraId="1DCAD356">
            <w:pPr>
              <w:widowControl/>
              <w:jc w:val="center"/>
              <w:textAlignment w:val="center"/>
              <w:rPr>
                <w:rFonts w:eastAsia="仿宋_GB2312"/>
                <w:color w:val="auto"/>
                <w:kern w:val="0"/>
                <w:szCs w:val="21"/>
                <w:lang w:bidi="ar"/>
              </w:rPr>
            </w:pPr>
            <w:r>
              <w:rPr>
                <w:rFonts w:hint="eastAsia" w:eastAsia="仿宋_GB2312"/>
                <w:color w:val="auto"/>
                <w:kern w:val="0"/>
                <w:szCs w:val="21"/>
                <w:lang w:val="en-US" w:eastAsia="zh-CN" w:bidi="ar"/>
              </w:rPr>
              <w:t>0.34</w:t>
            </w:r>
          </w:p>
        </w:tc>
        <w:tc>
          <w:tcPr>
            <w:tcW w:w="630" w:type="pct"/>
            <w:vMerge w:val="continue"/>
            <w:vAlign w:val="center"/>
          </w:tcPr>
          <w:p w14:paraId="18173F66">
            <w:pPr>
              <w:jc w:val="center"/>
              <w:rPr>
                <w:rFonts w:eastAsia="仿宋_GB2312"/>
                <w:color w:val="auto"/>
                <w:szCs w:val="21"/>
              </w:rPr>
            </w:pPr>
          </w:p>
        </w:tc>
        <w:tc>
          <w:tcPr>
            <w:tcW w:w="292" w:type="pct"/>
            <w:vMerge w:val="continue"/>
            <w:vAlign w:val="center"/>
          </w:tcPr>
          <w:p w14:paraId="5A83B2ED">
            <w:pPr>
              <w:jc w:val="center"/>
              <w:rPr>
                <w:rFonts w:eastAsia="仿宋_GB2312"/>
                <w:color w:val="auto"/>
                <w:szCs w:val="21"/>
              </w:rPr>
            </w:pPr>
          </w:p>
        </w:tc>
      </w:tr>
      <w:tr w14:paraId="284DA7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76F9E46B">
            <w:pPr>
              <w:jc w:val="center"/>
              <w:rPr>
                <w:rFonts w:eastAsia="仿宋_GB2312"/>
                <w:color w:val="auto"/>
                <w:szCs w:val="21"/>
              </w:rPr>
            </w:pPr>
          </w:p>
        </w:tc>
        <w:tc>
          <w:tcPr>
            <w:tcW w:w="358" w:type="pct"/>
            <w:vMerge w:val="continue"/>
            <w:vAlign w:val="center"/>
          </w:tcPr>
          <w:p w14:paraId="74AF4FCE">
            <w:pPr>
              <w:jc w:val="center"/>
              <w:rPr>
                <w:rFonts w:eastAsia="仿宋_GB2312"/>
                <w:color w:val="auto"/>
                <w:szCs w:val="21"/>
              </w:rPr>
            </w:pPr>
          </w:p>
        </w:tc>
        <w:tc>
          <w:tcPr>
            <w:tcW w:w="418" w:type="pct"/>
            <w:vMerge w:val="restart"/>
            <w:vAlign w:val="center"/>
          </w:tcPr>
          <w:p w14:paraId="16939609">
            <w:pPr>
              <w:jc w:val="center"/>
              <w:rPr>
                <w:rFonts w:eastAsia="仿宋_GB2312"/>
                <w:color w:val="auto"/>
                <w:szCs w:val="21"/>
              </w:rPr>
            </w:pPr>
            <w:r>
              <w:rPr>
                <w:rFonts w:eastAsia="仿宋_GB2312"/>
                <w:color w:val="auto"/>
                <w:kern w:val="0"/>
                <w:szCs w:val="21"/>
                <w:lang w:bidi="ar"/>
              </w:rPr>
              <w:t>G</w:t>
            </w:r>
            <w:r>
              <w:rPr>
                <w:rFonts w:hint="eastAsia" w:eastAsia="仿宋_GB2312"/>
                <w:color w:val="auto"/>
                <w:kern w:val="0"/>
                <w:szCs w:val="21"/>
                <w:lang w:val="en-US" w:eastAsia="zh-CN" w:bidi="ar"/>
              </w:rPr>
              <w:t>2</w:t>
            </w:r>
            <w:r>
              <w:rPr>
                <w:rFonts w:eastAsia="仿宋_GB2312"/>
                <w:color w:val="auto"/>
                <w:kern w:val="0"/>
                <w:szCs w:val="21"/>
                <w:lang w:bidi="ar"/>
              </w:rPr>
              <w:t>-1</w:t>
            </w:r>
            <w:r>
              <w:rPr>
                <w:rFonts w:hint="eastAsia" w:eastAsia="仿宋_GB2312"/>
                <w:color w:val="auto"/>
                <w:kern w:val="0"/>
                <w:szCs w:val="21"/>
                <w:lang w:val="en-US" w:eastAsia="zh-CN" w:bidi="ar"/>
              </w:rPr>
              <w:t>1</w:t>
            </w:r>
            <w:r>
              <w:rPr>
                <w:rFonts w:eastAsia="仿宋_GB2312"/>
                <w:color w:val="auto"/>
                <w:kern w:val="0"/>
                <w:szCs w:val="21"/>
                <w:lang w:bidi="ar"/>
              </w:rPr>
              <w:t>-4</w:t>
            </w:r>
          </w:p>
        </w:tc>
        <w:tc>
          <w:tcPr>
            <w:tcW w:w="446" w:type="pct"/>
            <w:vMerge w:val="restart"/>
            <w:vAlign w:val="center"/>
          </w:tcPr>
          <w:p w14:paraId="0C7AFBA9">
            <w:pPr>
              <w:jc w:val="center"/>
              <w:rPr>
                <w:rFonts w:eastAsia="仿宋_GB2312"/>
                <w:color w:val="auto"/>
                <w:szCs w:val="21"/>
              </w:rPr>
            </w:pPr>
            <w:r>
              <w:rPr>
                <w:rFonts w:eastAsia="仿宋_GB2312"/>
                <w:color w:val="auto"/>
                <w:kern w:val="0"/>
                <w:szCs w:val="21"/>
                <w:lang w:bidi="ar"/>
              </w:rPr>
              <w:t>不凝气</w:t>
            </w:r>
          </w:p>
        </w:tc>
        <w:tc>
          <w:tcPr>
            <w:tcW w:w="361" w:type="pct"/>
            <w:vMerge w:val="restart"/>
            <w:vAlign w:val="center"/>
          </w:tcPr>
          <w:p w14:paraId="652E5000">
            <w:pPr>
              <w:jc w:val="center"/>
              <w:rPr>
                <w:rFonts w:eastAsia="仿宋_GB2312"/>
                <w:color w:val="auto"/>
                <w:szCs w:val="21"/>
              </w:rPr>
            </w:pPr>
            <w:r>
              <w:rPr>
                <w:rFonts w:eastAsia="仿宋_GB2312"/>
                <w:color w:val="auto"/>
                <w:szCs w:val="21"/>
              </w:rPr>
              <w:t>360</w:t>
            </w:r>
          </w:p>
        </w:tc>
        <w:tc>
          <w:tcPr>
            <w:tcW w:w="498" w:type="pct"/>
            <w:vMerge w:val="restart"/>
            <w:vAlign w:val="center"/>
          </w:tcPr>
          <w:p w14:paraId="65CA6BAB">
            <w:pPr>
              <w:keepNext w:val="0"/>
              <w:keepLines w:val="0"/>
              <w:widowControl/>
              <w:suppressLineNumbers w:val="0"/>
              <w:jc w:val="center"/>
              <w:textAlignment w:val="bottom"/>
              <w:rPr>
                <w:rFonts w:hint="eastAsia" w:eastAsia="仿宋_GB2312"/>
                <w:color w:val="auto"/>
                <w:kern w:val="0"/>
                <w:szCs w:val="21"/>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1784</w:t>
            </w:r>
          </w:p>
        </w:tc>
        <w:tc>
          <w:tcPr>
            <w:tcW w:w="820" w:type="pct"/>
            <w:vAlign w:val="center"/>
          </w:tcPr>
          <w:p w14:paraId="6ABEABDF">
            <w:pPr>
              <w:widowControl/>
              <w:jc w:val="center"/>
              <w:textAlignment w:val="center"/>
              <w:rPr>
                <w:rFonts w:eastAsia="仿宋_GB2312"/>
                <w:color w:val="auto"/>
                <w:kern w:val="0"/>
                <w:szCs w:val="21"/>
                <w:lang w:bidi="ar"/>
              </w:rPr>
            </w:pPr>
            <w:r>
              <w:rPr>
                <w:rFonts w:hint="eastAsia" w:eastAsia="仿宋_GB2312"/>
                <w:color w:val="auto"/>
                <w:kern w:val="0"/>
                <w:szCs w:val="21"/>
                <w:lang w:val="en-US" w:eastAsia="zh-CN" w:bidi="ar"/>
              </w:rPr>
              <w:t>己烷</w:t>
            </w:r>
          </w:p>
        </w:tc>
        <w:tc>
          <w:tcPr>
            <w:tcW w:w="380" w:type="pct"/>
            <w:shd w:val="clear" w:color="auto" w:fill="auto"/>
            <w:vAlign w:val="center"/>
          </w:tcPr>
          <w:p w14:paraId="5C22E34F">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0.128</w:t>
            </w:r>
          </w:p>
        </w:tc>
        <w:tc>
          <w:tcPr>
            <w:tcW w:w="445" w:type="pct"/>
            <w:shd w:val="clear" w:color="auto" w:fill="auto"/>
            <w:vAlign w:val="center"/>
          </w:tcPr>
          <w:p w14:paraId="63E4A229">
            <w:pPr>
              <w:widowControl/>
              <w:jc w:val="center"/>
              <w:textAlignment w:val="center"/>
              <w:rPr>
                <w:rFonts w:eastAsia="仿宋_GB2312"/>
                <w:color w:val="auto"/>
                <w:kern w:val="0"/>
                <w:szCs w:val="21"/>
                <w:lang w:bidi="ar"/>
              </w:rPr>
            </w:pPr>
            <w:r>
              <w:rPr>
                <w:rFonts w:hint="eastAsia" w:eastAsia="仿宋_GB2312"/>
                <w:color w:val="auto"/>
                <w:kern w:val="0"/>
                <w:szCs w:val="21"/>
                <w:lang w:val="en-US" w:eastAsia="zh-CN" w:bidi="ar"/>
              </w:rPr>
              <w:t>0.23</w:t>
            </w:r>
          </w:p>
        </w:tc>
        <w:tc>
          <w:tcPr>
            <w:tcW w:w="630" w:type="pct"/>
            <w:vMerge w:val="continue"/>
            <w:vAlign w:val="center"/>
          </w:tcPr>
          <w:p w14:paraId="1EB111FD">
            <w:pPr>
              <w:jc w:val="center"/>
              <w:rPr>
                <w:rFonts w:eastAsia="仿宋_GB2312"/>
                <w:color w:val="auto"/>
                <w:szCs w:val="21"/>
              </w:rPr>
            </w:pPr>
          </w:p>
        </w:tc>
        <w:tc>
          <w:tcPr>
            <w:tcW w:w="292" w:type="pct"/>
            <w:vMerge w:val="continue"/>
            <w:vAlign w:val="center"/>
          </w:tcPr>
          <w:p w14:paraId="0824495D">
            <w:pPr>
              <w:jc w:val="center"/>
              <w:rPr>
                <w:rFonts w:eastAsia="仿宋_GB2312"/>
                <w:color w:val="auto"/>
                <w:szCs w:val="21"/>
              </w:rPr>
            </w:pPr>
          </w:p>
        </w:tc>
      </w:tr>
      <w:tr w14:paraId="6B9574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2792229E">
            <w:pPr>
              <w:jc w:val="center"/>
              <w:rPr>
                <w:rFonts w:eastAsia="仿宋_GB2312"/>
                <w:color w:val="auto"/>
                <w:szCs w:val="21"/>
              </w:rPr>
            </w:pPr>
          </w:p>
        </w:tc>
        <w:tc>
          <w:tcPr>
            <w:tcW w:w="358" w:type="pct"/>
            <w:vMerge w:val="continue"/>
            <w:vAlign w:val="center"/>
          </w:tcPr>
          <w:p w14:paraId="33CA7A18">
            <w:pPr>
              <w:jc w:val="center"/>
              <w:rPr>
                <w:rFonts w:eastAsia="仿宋_GB2312"/>
                <w:color w:val="auto"/>
                <w:szCs w:val="21"/>
              </w:rPr>
            </w:pPr>
          </w:p>
        </w:tc>
        <w:tc>
          <w:tcPr>
            <w:tcW w:w="418" w:type="pct"/>
            <w:vMerge w:val="continue"/>
            <w:vAlign w:val="center"/>
          </w:tcPr>
          <w:p w14:paraId="0A7722D2">
            <w:pPr>
              <w:jc w:val="center"/>
              <w:rPr>
                <w:rFonts w:eastAsia="仿宋_GB2312"/>
                <w:color w:val="auto"/>
                <w:szCs w:val="21"/>
              </w:rPr>
            </w:pPr>
          </w:p>
        </w:tc>
        <w:tc>
          <w:tcPr>
            <w:tcW w:w="446" w:type="pct"/>
            <w:vMerge w:val="continue"/>
            <w:vAlign w:val="center"/>
          </w:tcPr>
          <w:p w14:paraId="7D283FFE">
            <w:pPr>
              <w:jc w:val="center"/>
              <w:rPr>
                <w:rFonts w:eastAsia="仿宋_GB2312"/>
                <w:color w:val="auto"/>
                <w:szCs w:val="21"/>
              </w:rPr>
            </w:pPr>
          </w:p>
        </w:tc>
        <w:tc>
          <w:tcPr>
            <w:tcW w:w="361" w:type="pct"/>
            <w:vMerge w:val="continue"/>
            <w:vAlign w:val="center"/>
          </w:tcPr>
          <w:p w14:paraId="73E56278">
            <w:pPr>
              <w:jc w:val="center"/>
              <w:rPr>
                <w:rFonts w:eastAsia="仿宋_GB2312"/>
                <w:color w:val="auto"/>
                <w:szCs w:val="21"/>
              </w:rPr>
            </w:pPr>
          </w:p>
        </w:tc>
        <w:tc>
          <w:tcPr>
            <w:tcW w:w="498" w:type="pct"/>
            <w:vMerge w:val="continue"/>
            <w:vAlign w:val="center"/>
          </w:tcPr>
          <w:p w14:paraId="592905BB">
            <w:pPr>
              <w:keepNext w:val="0"/>
              <w:keepLines w:val="0"/>
              <w:widowControl/>
              <w:suppressLineNumbers w:val="0"/>
              <w:jc w:val="center"/>
              <w:textAlignment w:val="bottom"/>
              <w:rPr>
                <w:rFonts w:eastAsia="仿宋_GB2312"/>
                <w:color w:val="auto"/>
                <w:kern w:val="0"/>
                <w:szCs w:val="21"/>
                <w:lang w:bidi="ar"/>
              </w:rPr>
            </w:pPr>
          </w:p>
        </w:tc>
        <w:tc>
          <w:tcPr>
            <w:tcW w:w="820" w:type="pct"/>
            <w:vAlign w:val="center"/>
          </w:tcPr>
          <w:p w14:paraId="50BE47B5">
            <w:pPr>
              <w:widowControl/>
              <w:jc w:val="center"/>
              <w:textAlignment w:val="center"/>
              <w:rPr>
                <w:rFonts w:eastAsia="仿宋_GB2312"/>
                <w:color w:val="auto"/>
                <w:kern w:val="0"/>
                <w:szCs w:val="21"/>
                <w:lang w:bidi="ar"/>
              </w:rPr>
            </w:pPr>
            <w:r>
              <w:rPr>
                <w:rFonts w:eastAsia="仿宋_GB2312"/>
                <w:color w:val="auto"/>
                <w:kern w:val="0"/>
                <w:szCs w:val="21"/>
                <w:lang w:bidi="ar"/>
              </w:rPr>
              <w:t>其他有机物</w:t>
            </w:r>
          </w:p>
        </w:tc>
        <w:tc>
          <w:tcPr>
            <w:tcW w:w="380" w:type="pct"/>
            <w:shd w:val="clear" w:color="auto" w:fill="auto"/>
            <w:vAlign w:val="center"/>
          </w:tcPr>
          <w:p w14:paraId="18021006">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0.000</w:t>
            </w:r>
            <w:r>
              <w:rPr>
                <w:rFonts w:hint="eastAsia" w:ascii="Times New Roman" w:hAnsi="Times New Roman" w:eastAsia="宋体" w:cs="Times New Roman"/>
                <w:i w:val="0"/>
                <w:iCs w:val="0"/>
                <w:color w:val="auto"/>
                <w:kern w:val="0"/>
                <w:sz w:val="21"/>
                <w:szCs w:val="21"/>
                <w:u w:val="none"/>
                <w:lang w:val="en-US" w:eastAsia="zh-CN" w:bidi="ar"/>
              </w:rPr>
              <w:t>4</w:t>
            </w:r>
          </w:p>
        </w:tc>
        <w:tc>
          <w:tcPr>
            <w:tcW w:w="445" w:type="pct"/>
            <w:shd w:val="clear" w:color="auto" w:fill="auto"/>
            <w:vAlign w:val="center"/>
          </w:tcPr>
          <w:p w14:paraId="0E045C92">
            <w:pPr>
              <w:widowControl/>
              <w:jc w:val="center"/>
              <w:textAlignment w:val="center"/>
              <w:rPr>
                <w:rFonts w:eastAsia="仿宋_GB2312"/>
                <w:color w:val="auto"/>
                <w:kern w:val="0"/>
                <w:szCs w:val="21"/>
                <w:lang w:bidi="ar"/>
              </w:rPr>
            </w:pPr>
            <w:r>
              <w:rPr>
                <w:rFonts w:hint="eastAsia" w:eastAsia="仿宋_GB2312"/>
                <w:color w:val="auto"/>
                <w:kern w:val="0"/>
                <w:szCs w:val="21"/>
                <w:lang w:val="en-US" w:eastAsia="zh-CN" w:bidi="ar"/>
              </w:rPr>
              <w:t>0.0007</w:t>
            </w:r>
          </w:p>
        </w:tc>
        <w:tc>
          <w:tcPr>
            <w:tcW w:w="630" w:type="pct"/>
            <w:vMerge w:val="continue"/>
            <w:vAlign w:val="center"/>
          </w:tcPr>
          <w:p w14:paraId="2844F3C4">
            <w:pPr>
              <w:jc w:val="center"/>
              <w:rPr>
                <w:rFonts w:eastAsia="仿宋_GB2312"/>
                <w:color w:val="auto"/>
                <w:szCs w:val="21"/>
              </w:rPr>
            </w:pPr>
          </w:p>
        </w:tc>
        <w:tc>
          <w:tcPr>
            <w:tcW w:w="292" w:type="pct"/>
            <w:vMerge w:val="continue"/>
            <w:vAlign w:val="center"/>
          </w:tcPr>
          <w:p w14:paraId="39AC8AFF">
            <w:pPr>
              <w:jc w:val="center"/>
              <w:rPr>
                <w:rFonts w:eastAsia="仿宋_GB2312"/>
                <w:color w:val="auto"/>
                <w:szCs w:val="21"/>
              </w:rPr>
            </w:pPr>
          </w:p>
        </w:tc>
      </w:tr>
      <w:tr w14:paraId="79A3E0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3B4D3CAD">
            <w:pPr>
              <w:jc w:val="center"/>
              <w:rPr>
                <w:rFonts w:eastAsia="仿宋_GB2312"/>
                <w:color w:val="auto"/>
                <w:szCs w:val="21"/>
              </w:rPr>
            </w:pPr>
          </w:p>
        </w:tc>
        <w:tc>
          <w:tcPr>
            <w:tcW w:w="358" w:type="pct"/>
            <w:vMerge w:val="continue"/>
            <w:vAlign w:val="center"/>
          </w:tcPr>
          <w:p w14:paraId="2202FF1C">
            <w:pPr>
              <w:jc w:val="center"/>
              <w:rPr>
                <w:rFonts w:eastAsia="仿宋_GB2312"/>
                <w:color w:val="auto"/>
                <w:szCs w:val="21"/>
              </w:rPr>
            </w:pPr>
          </w:p>
        </w:tc>
        <w:tc>
          <w:tcPr>
            <w:tcW w:w="418" w:type="pct"/>
            <w:vMerge w:val="restart"/>
            <w:vAlign w:val="center"/>
          </w:tcPr>
          <w:p w14:paraId="37ACDC81">
            <w:pPr>
              <w:jc w:val="center"/>
              <w:rPr>
                <w:rFonts w:eastAsia="仿宋_GB2312"/>
                <w:color w:val="auto"/>
                <w:szCs w:val="21"/>
              </w:rPr>
            </w:pPr>
            <w:r>
              <w:rPr>
                <w:rFonts w:eastAsia="仿宋_GB2312"/>
                <w:color w:val="auto"/>
                <w:kern w:val="0"/>
                <w:szCs w:val="21"/>
                <w:lang w:bidi="ar"/>
              </w:rPr>
              <w:t>G</w:t>
            </w:r>
            <w:r>
              <w:rPr>
                <w:rFonts w:hint="eastAsia" w:eastAsia="仿宋_GB2312"/>
                <w:color w:val="auto"/>
                <w:kern w:val="0"/>
                <w:szCs w:val="21"/>
                <w:lang w:val="en-US" w:eastAsia="zh-CN" w:bidi="ar"/>
              </w:rPr>
              <w:t>2</w:t>
            </w:r>
            <w:r>
              <w:rPr>
                <w:rFonts w:eastAsia="仿宋_GB2312"/>
                <w:color w:val="auto"/>
                <w:kern w:val="0"/>
                <w:szCs w:val="21"/>
                <w:lang w:bidi="ar"/>
              </w:rPr>
              <w:t>-1</w:t>
            </w:r>
            <w:r>
              <w:rPr>
                <w:rFonts w:hint="eastAsia" w:eastAsia="仿宋_GB2312"/>
                <w:color w:val="auto"/>
                <w:kern w:val="0"/>
                <w:szCs w:val="21"/>
                <w:lang w:val="en-US" w:eastAsia="zh-CN" w:bidi="ar"/>
              </w:rPr>
              <w:t>1</w:t>
            </w:r>
            <w:r>
              <w:rPr>
                <w:rFonts w:eastAsia="仿宋_GB2312"/>
                <w:color w:val="auto"/>
                <w:kern w:val="0"/>
                <w:szCs w:val="21"/>
                <w:lang w:bidi="ar"/>
              </w:rPr>
              <w:t>-5</w:t>
            </w:r>
          </w:p>
        </w:tc>
        <w:tc>
          <w:tcPr>
            <w:tcW w:w="446" w:type="pct"/>
            <w:vMerge w:val="restart"/>
            <w:vAlign w:val="center"/>
          </w:tcPr>
          <w:p w14:paraId="54F07F09">
            <w:pPr>
              <w:jc w:val="center"/>
              <w:rPr>
                <w:rFonts w:eastAsia="仿宋_GB2312"/>
                <w:color w:val="auto"/>
                <w:szCs w:val="21"/>
              </w:rPr>
            </w:pPr>
            <w:r>
              <w:rPr>
                <w:rFonts w:eastAsia="仿宋_GB2312"/>
                <w:color w:val="auto"/>
                <w:kern w:val="0"/>
                <w:szCs w:val="21"/>
                <w:lang w:bidi="ar"/>
              </w:rPr>
              <w:t>灌装废气</w:t>
            </w:r>
          </w:p>
        </w:tc>
        <w:tc>
          <w:tcPr>
            <w:tcW w:w="361" w:type="pct"/>
            <w:vMerge w:val="restart"/>
            <w:vAlign w:val="center"/>
          </w:tcPr>
          <w:p w14:paraId="60831FE2">
            <w:pPr>
              <w:jc w:val="center"/>
              <w:rPr>
                <w:rFonts w:hint="default" w:eastAsia="仿宋_GB2312"/>
                <w:color w:val="auto"/>
                <w:szCs w:val="21"/>
                <w:lang w:val="en-US" w:eastAsia="zh-CN"/>
              </w:rPr>
            </w:pPr>
            <w:r>
              <w:rPr>
                <w:rFonts w:hint="eastAsia" w:eastAsia="仿宋_GB2312"/>
                <w:color w:val="auto"/>
                <w:szCs w:val="21"/>
                <w:lang w:val="en-US" w:eastAsia="zh-CN"/>
              </w:rPr>
              <w:t>2000</w:t>
            </w:r>
          </w:p>
        </w:tc>
        <w:tc>
          <w:tcPr>
            <w:tcW w:w="498" w:type="pct"/>
            <w:vMerge w:val="restart"/>
            <w:vAlign w:val="center"/>
          </w:tcPr>
          <w:p w14:paraId="06634E3D">
            <w:pPr>
              <w:keepNext w:val="0"/>
              <w:keepLines w:val="0"/>
              <w:widowControl/>
              <w:suppressLineNumbers w:val="0"/>
              <w:jc w:val="center"/>
              <w:textAlignment w:val="bottom"/>
              <w:rPr>
                <w:rFonts w:hint="eastAsia" w:eastAsia="仿宋_GB2312"/>
                <w:color w:val="auto"/>
                <w:kern w:val="0"/>
                <w:szCs w:val="21"/>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892</w:t>
            </w:r>
          </w:p>
        </w:tc>
        <w:tc>
          <w:tcPr>
            <w:tcW w:w="820" w:type="pct"/>
            <w:vAlign w:val="center"/>
          </w:tcPr>
          <w:p w14:paraId="125F8977">
            <w:pPr>
              <w:widowControl/>
              <w:jc w:val="center"/>
              <w:textAlignment w:val="center"/>
              <w:rPr>
                <w:rFonts w:eastAsia="仿宋_GB2312"/>
                <w:color w:val="auto"/>
                <w:kern w:val="0"/>
                <w:szCs w:val="21"/>
                <w:lang w:bidi="ar"/>
              </w:rPr>
            </w:pPr>
            <w:r>
              <w:rPr>
                <w:rFonts w:hint="eastAsia" w:eastAsia="仿宋_GB2312"/>
                <w:color w:val="auto"/>
                <w:kern w:val="0"/>
                <w:szCs w:val="21"/>
                <w:lang w:val="en-US" w:eastAsia="zh-CN" w:bidi="ar"/>
              </w:rPr>
              <w:t>己烷</w:t>
            </w:r>
          </w:p>
        </w:tc>
        <w:tc>
          <w:tcPr>
            <w:tcW w:w="380" w:type="pct"/>
            <w:shd w:val="clear" w:color="auto" w:fill="auto"/>
            <w:vAlign w:val="center"/>
          </w:tcPr>
          <w:p w14:paraId="1ACB30F2">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3.993</w:t>
            </w:r>
          </w:p>
        </w:tc>
        <w:tc>
          <w:tcPr>
            <w:tcW w:w="445" w:type="pct"/>
            <w:shd w:val="clear" w:color="auto" w:fill="auto"/>
            <w:vAlign w:val="center"/>
          </w:tcPr>
          <w:p w14:paraId="49998043">
            <w:pPr>
              <w:jc w:val="center"/>
              <w:rPr>
                <w:rFonts w:eastAsia="仿宋_GB2312"/>
                <w:color w:val="auto"/>
                <w:kern w:val="0"/>
                <w:szCs w:val="21"/>
                <w:lang w:bidi="ar"/>
              </w:rPr>
            </w:pPr>
            <w:r>
              <w:rPr>
                <w:rFonts w:hint="eastAsia" w:ascii="Times New Roman" w:hAnsi="Times New Roman" w:eastAsia="仿宋_GB2312" w:cs="Times New Roman"/>
                <w:color w:val="auto"/>
                <w:lang w:val="en-US" w:eastAsia="zh-CN"/>
              </w:rPr>
              <w:t>3.562</w:t>
            </w:r>
          </w:p>
        </w:tc>
        <w:tc>
          <w:tcPr>
            <w:tcW w:w="630" w:type="pct"/>
            <w:vMerge w:val="restart"/>
            <w:shd w:val="clear" w:color="auto" w:fill="auto"/>
            <w:vAlign w:val="center"/>
          </w:tcPr>
          <w:p w14:paraId="5781826F">
            <w:pPr>
              <w:jc w:val="center"/>
              <w:rPr>
                <w:rFonts w:ascii="Times New Roman" w:hAnsi="Times New Roman" w:eastAsia="仿宋_GB2312" w:cs="Times New Roman"/>
                <w:color w:val="auto"/>
                <w:kern w:val="2"/>
                <w:sz w:val="21"/>
                <w:szCs w:val="21"/>
                <w:lang w:val="en-US" w:eastAsia="zh-CN" w:bidi="ar-SA"/>
              </w:rPr>
            </w:pPr>
            <w:r>
              <w:rPr>
                <w:rFonts w:hint="eastAsia" w:eastAsia="仿宋_GB2312"/>
                <w:color w:val="auto"/>
                <w:szCs w:val="21"/>
              </w:rPr>
              <w:t>冷凝+酸吸收+碱吸收+水洗+活性炭吸附/脱附</w:t>
            </w:r>
          </w:p>
        </w:tc>
        <w:tc>
          <w:tcPr>
            <w:tcW w:w="292" w:type="pct"/>
            <w:vMerge w:val="restart"/>
            <w:shd w:val="clear" w:color="auto" w:fill="auto"/>
            <w:vAlign w:val="center"/>
          </w:tcPr>
          <w:p w14:paraId="2F02FCE1">
            <w:pPr>
              <w:jc w:val="center"/>
              <w:rPr>
                <w:rFonts w:ascii="Times New Roman" w:hAnsi="Times New Roman" w:eastAsia="仿宋_GB2312" w:cs="Times New Roman"/>
                <w:color w:val="auto"/>
                <w:kern w:val="2"/>
                <w:sz w:val="21"/>
                <w:szCs w:val="21"/>
                <w:lang w:val="en-US" w:eastAsia="zh-CN" w:bidi="ar-SA"/>
              </w:rPr>
            </w:pPr>
            <w:r>
              <w:rPr>
                <w:rFonts w:hint="eastAsia" w:eastAsia="仿宋_GB2312"/>
                <w:color w:val="auto"/>
              </w:rPr>
              <w:t>DA005</w:t>
            </w:r>
          </w:p>
        </w:tc>
      </w:tr>
      <w:tr w14:paraId="4A0564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6D7269C4">
            <w:pPr>
              <w:jc w:val="center"/>
              <w:rPr>
                <w:rFonts w:eastAsia="仿宋_GB2312"/>
                <w:color w:val="auto"/>
                <w:szCs w:val="21"/>
              </w:rPr>
            </w:pPr>
          </w:p>
        </w:tc>
        <w:tc>
          <w:tcPr>
            <w:tcW w:w="358" w:type="pct"/>
            <w:vMerge w:val="continue"/>
            <w:vAlign w:val="center"/>
          </w:tcPr>
          <w:p w14:paraId="57971149">
            <w:pPr>
              <w:jc w:val="center"/>
              <w:rPr>
                <w:rFonts w:eastAsia="仿宋_GB2312"/>
                <w:color w:val="auto"/>
                <w:szCs w:val="21"/>
              </w:rPr>
            </w:pPr>
          </w:p>
        </w:tc>
        <w:tc>
          <w:tcPr>
            <w:tcW w:w="418" w:type="pct"/>
            <w:vMerge w:val="continue"/>
            <w:vAlign w:val="center"/>
          </w:tcPr>
          <w:p w14:paraId="1B3B7B63">
            <w:pPr>
              <w:jc w:val="center"/>
              <w:rPr>
                <w:rFonts w:eastAsia="仿宋_GB2312"/>
                <w:color w:val="auto"/>
                <w:szCs w:val="21"/>
              </w:rPr>
            </w:pPr>
          </w:p>
        </w:tc>
        <w:tc>
          <w:tcPr>
            <w:tcW w:w="446" w:type="pct"/>
            <w:vMerge w:val="continue"/>
            <w:vAlign w:val="center"/>
          </w:tcPr>
          <w:p w14:paraId="34DAA03F">
            <w:pPr>
              <w:jc w:val="center"/>
              <w:rPr>
                <w:rFonts w:eastAsia="仿宋_GB2312"/>
                <w:color w:val="auto"/>
                <w:szCs w:val="21"/>
              </w:rPr>
            </w:pPr>
          </w:p>
        </w:tc>
        <w:tc>
          <w:tcPr>
            <w:tcW w:w="361" w:type="pct"/>
            <w:vMerge w:val="continue"/>
            <w:vAlign w:val="center"/>
          </w:tcPr>
          <w:p w14:paraId="14951361">
            <w:pPr>
              <w:jc w:val="center"/>
              <w:rPr>
                <w:rFonts w:eastAsia="仿宋_GB2312"/>
                <w:color w:val="auto"/>
                <w:szCs w:val="21"/>
              </w:rPr>
            </w:pPr>
          </w:p>
        </w:tc>
        <w:tc>
          <w:tcPr>
            <w:tcW w:w="498" w:type="pct"/>
            <w:vMerge w:val="continue"/>
            <w:vAlign w:val="center"/>
          </w:tcPr>
          <w:p w14:paraId="4907A6B3">
            <w:pPr>
              <w:keepNext w:val="0"/>
              <w:keepLines w:val="0"/>
              <w:widowControl/>
              <w:suppressLineNumbers w:val="0"/>
              <w:jc w:val="center"/>
              <w:textAlignment w:val="bottom"/>
              <w:rPr>
                <w:rFonts w:eastAsia="仿宋_GB2312"/>
                <w:color w:val="auto"/>
                <w:kern w:val="0"/>
                <w:szCs w:val="21"/>
                <w:lang w:bidi="ar"/>
              </w:rPr>
            </w:pPr>
          </w:p>
        </w:tc>
        <w:tc>
          <w:tcPr>
            <w:tcW w:w="820" w:type="pct"/>
            <w:vAlign w:val="center"/>
          </w:tcPr>
          <w:p w14:paraId="5057FAAF">
            <w:pPr>
              <w:widowControl/>
              <w:jc w:val="center"/>
              <w:textAlignment w:val="center"/>
              <w:rPr>
                <w:rFonts w:eastAsia="仿宋_GB2312"/>
                <w:color w:val="auto"/>
                <w:kern w:val="0"/>
                <w:szCs w:val="21"/>
                <w:lang w:bidi="ar"/>
              </w:rPr>
            </w:pPr>
            <w:r>
              <w:rPr>
                <w:rFonts w:eastAsia="仿宋_GB2312"/>
                <w:color w:val="auto"/>
                <w:kern w:val="0"/>
                <w:szCs w:val="21"/>
                <w:lang w:bidi="ar"/>
              </w:rPr>
              <w:t>其他有机物</w:t>
            </w:r>
          </w:p>
        </w:tc>
        <w:tc>
          <w:tcPr>
            <w:tcW w:w="380" w:type="pct"/>
            <w:shd w:val="clear" w:color="auto" w:fill="auto"/>
            <w:vAlign w:val="center"/>
          </w:tcPr>
          <w:p w14:paraId="052375E2">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0.016</w:t>
            </w:r>
          </w:p>
        </w:tc>
        <w:tc>
          <w:tcPr>
            <w:tcW w:w="445" w:type="pct"/>
            <w:shd w:val="clear" w:color="auto" w:fill="auto"/>
            <w:vAlign w:val="center"/>
          </w:tcPr>
          <w:p w14:paraId="0B03B44C">
            <w:pPr>
              <w:jc w:val="center"/>
              <w:rPr>
                <w:rFonts w:eastAsia="仿宋_GB2312"/>
                <w:color w:val="auto"/>
                <w:kern w:val="0"/>
                <w:szCs w:val="21"/>
                <w:lang w:bidi="ar"/>
              </w:rPr>
            </w:pPr>
            <w:r>
              <w:rPr>
                <w:rFonts w:hint="eastAsia" w:ascii="Times New Roman" w:hAnsi="Times New Roman" w:eastAsia="仿宋_GB2312" w:cs="Times New Roman"/>
                <w:color w:val="auto"/>
                <w:lang w:val="en-US" w:eastAsia="zh-CN"/>
              </w:rPr>
              <w:t>0.01497</w:t>
            </w:r>
          </w:p>
        </w:tc>
        <w:tc>
          <w:tcPr>
            <w:tcW w:w="630" w:type="pct"/>
            <w:vMerge w:val="continue"/>
            <w:vAlign w:val="center"/>
          </w:tcPr>
          <w:p w14:paraId="53D125F3">
            <w:pPr>
              <w:jc w:val="center"/>
              <w:rPr>
                <w:rFonts w:eastAsia="仿宋_GB2312"/>
                <w:color w:val="auto"/>
                <w:szCs w:val="21"/>
              </w:rPr>
            </w:pPr>
          </w:p>
        </w:tc>
        <w:tc>
          <w:tcPr>
            <w:tcW w:w="292" w:type="pct"/>
            <w:vMerge w:val="continue"/>
            <w:vAlign w:val="center"/>
          </w:tcPr>
          <w:p w14:paraId="355BB641">
            <w:pPr>
              <w:jc w:val="center"/>
              <w:rPr>
                <w:rFonts w:eastAsia="仿宋_GB2312"/>
                <w:color w:val="auto"/>
                <w:szCs w:val="21"/>
              </w:rPr>
            </w:pPr>
          </w:p>
        </w:tc>
      </w:tr>
      <w:tr w14:paraId="645A7D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restart"/>
            <w:vAlign w:val="center"/>
          </w:tcPr>
          <w:p w14:paraId="3D8D0BB5">
            <w:pPr>
              <w:jc w:val="center"/>
              <w:rPr>
                <w:rFonts w:eastAsia="仿宋_GB2312"/>
                <w:color w:val="auto"/>
                <w:szCs w:val="21"/>
              </w:rPr>
            </w:pPr>
            <w:r>
              <w:rPr>
                <w:rFonts w:eastAsia="仿宋_GB2312"/>
                <w:color w:val="auto"/>
                <w:szCs w:val="21"/>
              </w:rPr>
              <w:t>B-7车间</w:t>
            </w:r>
          </w:p>
        </w:tc>
        <w:tc>
          <w:tcPr>
            <w:tcW w:w="358" w:type="pct"/>
            <w:vMerge w:val="restart"/>
            <w:vAlign w:val="center"/>
          </w:tcPr>
          <w:p w14:paraId="3FC5A719">
            <w:pPr>
              <w:jc w:val="center"/>
              <w:rPr>
                <w:rFonts w:eastAsia="仿宋_GB2312"/>
                <w:color w:val="auto"/>
                <w:szCs w:val="21"/>
              </w:rPr>
            </w:pPr>
            <w:r>
              <w:rPr>
                <w:rFonts w:eastAsia="仿宋_GB2312"/>
                <w:color w:val="auto"/>
                <w:szCs w:val="21"/>
              </w:rPr>
              <w:t>精馏残液</w:t>
            </w:r>
            <w:r>
              <w:rPr>
                <w:rFonts w:hint="eastAsia" w:eastAsia="仿宋_GB2312"/>
                <w:color w:val="auto"/>
                <w:szCs w:val="21"/>
                <w:lang w:eastAsia="zh-CN"/>
              </w:rPr>
              <w:t>（</w:t>
            </w:r>
            <w:r>
              <w:rPr>
                <w:rFonts w:hint="eastAsia" w:eastAsia="仿宋_GB2312"/>
                <w:color w:val="auto"/>
                <w:szCs w:val="21"/>
                <w:lang w:val="en-US" w:eastAsia="zh-CN"/>
              </w:rPr>
              <w:t>含异丙苯</w:t>
            </w:r>
            <w:r>
              <w:rPr>
                <w:rFonts w:hint="eastAsia" w:eastAsia="仿宋_GB2312"/>
                <w:color w:val="auto"/>
                <w:szCs w:val="21"/>
                <w:lang w:eastAsia="zh-CN"/>
              </w:rPr>
              <w:t>）</w:t>
            </w:r>
          </w:p>
        </w:tc>
        <w:tc>
          <w:tcPr>
            <w:tcW w:w="418" w:type="pct"/>
            <w:vMerge w:val="restart"/>
            <w:vAlign w:val="center"/>
          </w:tcPr>
          <w:p w14:paraId="1F81EBE6">
            <w:pPr>
              <w:jc w:val="center"/>
              <w:rPr>
                <w:rFonts w:eastAsia="仿宋_GB2312"/>
                <w:color w:val="auto"/>
                <w:szCs w:val="21"/>
              </w:rPr>
            </w:pPr>
            <w:r>
              <w:rPr>
                <w:rFonts w:eastAsia="仿宋_GB2312"/>
                <w:color w:val="auto"/>
                <w:kern w:val="0"/>
                <w:szCs w:val="21"/>
                <w:lang w:bidi="ar"/>
              </w:rPr>
              <w:t>G</w:t>
            </w:r>
            <w:r>
              <w:rPr>
                <w:rFonts w:hint="eastAsia" w:eastAsia="仿宋_GB2312"/>
                <w:color w:val="auto"/>
                <w:kern w:val="0"/>
                <w:szCs w:val="21"/>
                <w:lang w:val="en-US" w:eastAsia="zh-CN" w:bidi="ar"/>
              </w:rPr>
              <w:t>2</w:t>
            </w:r>
            <w:r>
              <w:rPr>
                <w:rFonts w:eastAsia="仿宋_GB2312"/>
                <w:color w:val="auto"/>
                <w:kern w:val="0"/>
                <w:szCs w:val="21"/>
                <w:lang w:bidi="ar"/>
              </w:rPr>
              <w:t>-1</w:t>
            </w:r>
            <w:r>
              <w:rPr>
                <w:rFonts w:hint="eastAsia" w:eastAsia="仿宋_GB2312"/>
                <w:color w:val="auto"/>
                <w:kern w:val="0"/>
                <w:szCs w:val="21"/>
                <w:lang w:val="en-US" w:eastAsia="zh-CN" w:bidi="ar"/>
              </w:rPr>
              <w:t>2</w:t>
            </w:r>
            <w:r>
              <w:rPr>
                <w:rFonts w:eastAsia="仿宋_GB2312"/>
                <w:color w:val="auto"/>
                <w:kern w:val="0"/>
                <w:szCs w:val="21"/>
                <w:lang w:bidi="ar"/>
              </w:rPr>
              <w:t>-1</w:t>
            </w:r>
          </w:p>
        </w:tc>
        <w:tc>
          <w:tcPr>
            <w:tcW w:w="446" w:type="pct"/>
            <w:vMerge w:val="restart"/>
            <w:vAlign w:val="center"/>
          </w:tcPr>
          <w:p w14:paraId="42EB9FF2">
            <w:pPr>
              <w:jc w:val="center"/>
              <w:rPr>
                <w:rFonts w:eastAsia="仿宋_GB2312"/>
                <w:color w:val="auto"/>
                <w:szCs w:val="21"/>
              </w:rPr>
            </w:pPr>
            <w:r>
              <w:rPr>
                <w:rFonts w:eastAsia="仿宋_GB2312"/>
                <w:color w:val="auto"/>
                <w:kern w:val="0"/>
                <w:szCs w:val="21"/>
                <w:lang w:bidi="ar"/>
              </w:rPr>
              <w:t>投料废气</w:t>
            </w:r>
          </w:p>
        </w:tc>
        <w:tc>
          <w:tcPr>
            <w:tcW w:w="361" w:type="pct"/>
            <w:vMerge w:val="restart"/>
            <w:vAlign w:val="center"/>
          </w:tcPr>
          <w:p w14:paraId="4A77CAB2">
            <w:pPr>
              <w:jc w:val="center"/>
              <w:rPr>
                <w:rFonts w:hint="default" w:eastAsia="仿宋_GB2312"/>
                <w:color w:val="auto"/>
                <w:szCs w:val="21"/>
                <w:lang w:val="en-US" w:eastAsia="zh-CN"/>
              </w:rPr>
            </w:pPr>
            <w:r>
              <w:rPr>
                <w:rFonts w:hint="eastAsia" w:eastAsia="仿宋_GB2312"/>
                <w:color w:val="auto"/>
                <w:szCs w:val="21"/>
                <w:lang w:val="en-US" w:eastAsia="zh-CN"/>
              </w:rPr>
              <w:t>2000</w:t>
            </w:r>
          </w:p>
        </w:tc>
        <w:tc>
          <w:tcPr>
            <w:tcW w:w="498" w:type="pct"/>
            <w:vMerge w:val="restart"/>
            <w:shd w:val="clear" w:color="auto" w:fill="auto"/>
            <w:vAlign w:val="center"/>
          </w:tcPr>
          <w:p w14:paraId="305037E0">
            <w:pPr>
              <w:keepNext w:val="0"/>
              <w:keepLines w:val="0"/>
              <w:widowControl/>
              <w:suppressLineNumbers w:val="0"/>
              <w:jc w:val="center"/>
              <w:textAlignment w:val="bottom"/>
              <w:rPr>
                <w:rFonts w:hint="eastAsia" w:eastAsia="仿宋_GB2312"/>
                <w:color w:val="auto"/>
                <w:kern w:val="0"/>
                <w:szCs w:val="21"/>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296</w:t>
            </w:r>
          </w:p>
        </w:tc>
        <w:tc>
          <w:tcPr>
            <w:tcW w:w="820" w:type="pct"/>
            <w:shd w:val="clear" w:color="auto" w:fill="auto"/>
            <w:vAlign w:val="center"/>
          </w:tcPr>
          <w:p w14:paraId="64EDF6A8">
            <w:pPr>
              <w:widowControl/>
              <w:jc w:val="center"/>
              <w:textAlignment w:val="center"/>
              <w:rPr>
                <w:rFonts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异丙苯</w:t>
            </w:r>
          </w:p>
        </w:tc>
        <w:tc>
          <w:tcPr>
            <w:tcW w:w="380" w:type="pct"/>
            <w:shd w:val="clear" w:color="auto" w:fill="auto"/>
            <w:vAlign w:val="center"/>
          </w:tcPr>
          <w:p w14:paraId="410188A9">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1.247</w:t>
            </w:r>
          </w:p>
        </w:tc>
        <w:tc>
          <w:tcPr>
            <w:tcW w:w="445" w:type="pct"/>
            <w:shd w:val="clear" w:color="auto" w:fill="auto"/>
            <w:vAlign w:val="center"/>
          </w:tcPr>
          <w:p w14:paraId="62324A99">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ascii="Times New Roman" w:hAnsi="Times New Roman" w:eastAsia="仿宋_GB2312" w:cs="Times New Roman"/>
                <w:color w:val="auto"/>
                <w:kern w:val="0"/>
                <w:szCs w:val="21"/>
                <w:lang w:val="en-US" w:eastAsia="zh-CN" w:bidi="ar"/>
              </w:rPr>
              <w:t>0.36926</w:t>
            </w:r>
          </w:p>
        </w:tc>
        <w:tc>
          <w:tcPr>
            <w:tcW w:w="630" w:type="pct"/>
            <w:vMerge w:val="continue"/>
            <w:shd w:val="clear" w:color="auto" w:fill="auto"/>
            <w:vAlign w:val="center"/>
          </w:tcPr>
          <w:p w14:paraId="2FC6427D">
            <w:pPr>
              <w:jc w:val="center"/>
              <w:rPr>
                <w:rFonts w:ascii="Times New Roman" w:hAnsi="Times New Roman" w:eastAsia="仿宋_GB2312" w:cs="Times New Roman"/>
                <w:color w:val="auto"/>
                <w:kern w:val="2"/>
                <w:sz w:val="21"/>
                <w:szCs w:val="21"/>
                <w:lang w:val="en-US" w:eastAsia="zh-CN" w:bidi="ar-SA"/>
              </w:rPr>
            </w:pPr>
          </w:p>
        </w:tc>
        <w:tc>
          <w:tcPr>
            <w:tcW w:w="292" w:type="pct"/>
            <w:vMerge w:val="continue"/>
            <w:shd w:val="clear" w:color="auto" w:fill="auto"/>
            <w:vAlign w:val="center"/>
          </w:tcPr>
          <w:p w14:paraId="0EF30C6C">
            <w:pPr>
              <w:jc w:val="center"/>
              <w:rPr>
                <w:rFonts w:ascii="Times New Roman" w:hAnsi="Times New Roman" w:eastAsia="仿宋_GB2312" w:cs="Times New Roman"/>
                <w:color w:val="auto"/>
                <w:kern w:val="2"/>
                <w:sz w:val="21"/>
                <w:szCs w:val="21"/>
                <w:lang w:val="en-US" w:eastAsia="zh-CN" w:bidi="ar-SA"/>
              </w:rPr>
            </w:pPr>
          </w:p>
        </w:tc>
      </w:tr>
      <w:tr w14:paraId="14C1DE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44D19BB3">
            <w:pPr>
              <w:jc w:val="center"/>
              <w:rPr>
                <w:rFonts w:eastAsia="仿宋_GB2312"/>
                <w:color w:val="auto"/>
                <w:szCs w:val="21"/>
              </w:rPr>
            </w:pPr>
          </w:p>
        </w:tc>
        <w:tc>
          <w:tcPr>
            <w:tcW w:w="358" w:type="pct"/>
            <w:vMerge w:val="continue"/>
            <w:vAlign w:val="center"/>
          </w:tcPr>
          <w:p w14:paraId="7A44EDC1">
            <w:pPr>
              <w:jc w:val="center"/>
              <w:rPr>
                <w:rFonts w:eastAsia="仿宋_GB2312"/>
                <w:color w:val="auto"/>
                <w:szCs w:val="21"/>
              </w:rPr>
            </w:pPr>
          </w:p>
        </w:tc>
        <w:tc>
          <w:tcPr>
            <w:tcW w:w="418" w:type="pct"/>
            <w:vMerge w:val="continue"/>
            <w:vAlign w:val="center"/>
          </w:tcPr>
          <w:p w14:paraId="340E9550">
            <w:pPr>
              <w:jc w:val="center"/>
              <w:rPr>
                <w:rFonts w:eastAsia="仿宋_GB2312"/>
                <w:color w:val="auto"/>
                <w:szCs w:val="21"/>
              </w:rPr>
            </w:pPr>
          </w:p>
        </w:tc>
        <w:tc>
          <w:tcPr>
            <w:tcW w:w="446" w:type="pct"/>
            <w:vMerge w:val="continue"/>
            <w:vAlign w:val="center"/>
          </w:tcPr>
          <w:p w14:paraId="4D9F6782">
            <w:pPr>
              <w:jc w:val="center"/>
              <w:rPr>
                <w:rFonts w:eastAsia="仿宋_GB2312"/>
                <w:color w:val="auto"/>
                <w:szCs w:val="21"/>
              </w:rPr>
            </w:pPr>
          </w:p>
        </w:tc>
        <w:tc>
          <w:tcPr>
            <w:tcW w:w="361" w:type="pct"/>
            <w:vMerge w:val="continue"/>
            <w:vAlign w:val="center"/>
          </w:tcPr>
          <w:p w14:paraId="7A1A8435">
            <w:pPr>
              <w:jc w:val="center"/>
              <w:rPr>
                <w:rFonts w:eastAsia="仿宋_GB2312"/>
                <w:color w:val="auto"/>
                <w:szCs w:val="21"/>
              </w:rPr>
            </w:pPr>
          </w:p>
        </w:tc>
        <w:tc>
          <w:tcPr>
            <w:tcW w:w="498" w:type="pct"/>
            <w:vMerge w:val="continue"/>
            <w:shd w:val="clear" w:color="auto" w:fill="auto"/>
            <w:vAlign w:val="center"/>
          </w:tcPr>
          <w:p w14:paraId="0519E25C">
            <w:pPr>
              <w:keepNext w:val="0"/>
              <w:keepLines w:val="0"/>
              <w:widowControl/>
              <w:suppressLineNumbers w:val="0"/>
              <w:jc w:val="center"/>
              <w:textAlignment w:val="bottom"/>
              <w:rPr>
                <w:rFonts w:hint="eastAsia" w:eastAsia="仿宋_GB2312"/>
                <w:color w:val="auto"/>
                <w:kern w:val="0"/>
                <w:szCs w:val="21"/>
                <w:lang w:val="en-US" w:eastAsia="zh-CN" w:bidi="ar"/>
              </w:rPr>
            </w:pPr>
          </w:p>
        </w:tc>
        <w:tc>
          <w:tcPr>
            <w:tcW w:w="820" w:type="pct"/>
            <w:shd w:val="clear" w:color="auto" w:fill="auto"/>
            <w:vAlign w:val="center"/>
          </w:tcPr>
          <w:p w14:paraId="48715E74">
            <w:pPr>
              <w:widowControl/>
              <w:jc w:val="center"/>
              <w:textAlignment w:val="center"/>
              <w:rPr>
                <w:rFonts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二异丙苯</w:t>
            </w:r>
          </w:p>
        </w:tc>
        <w:tc>
          <w:tcPr>
            <w:tcW w:w="380" w:type="pct"/>
            <w:shd w:val="clear" w:color="auto" w:fill="auto"/>
            <w:vAlign w:val="center"/>
          </w:tcPr>
          <w:p w14:paraId="5B339A0F">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0.003</w:t>
            </w:r>
          </w:p>
        </w:tc>
        <w:tc>
          <w:tcPr>
            <w:tcW w:w="445" w:type="pct"/>
            <w:shd w:val="clear" w:color="auto" w:fill="auto"/>
            <w:vAlign w:val="center"/>
          </w:tcPr>
          <w:p w14:paraId="31F17A43">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ascii="Times New Roman" w:hAnsi="Times New Roman" w:eastAsia="仿宋_GB2312" w:cs="Times New Roman"/>
                <w:color w:val="auto"/>
                <w:kern w:val="0"/>
                <w:szCs w:val="21"/>
                <w:lang w:val="en-US" w:eastAsia="zh-CN" w:bidi="ar"/>
              </w:rPr>
              <w:t>0.00099</w:t>
            </w:r>
          </w:p>
        </w:tc>
        <w:tc>
          <w:tcPr>
            <w:tcW w:w="630" w:type="pct"/>
            <w:vMerge w:val="continue"/>
            <w:vAlign w:val="center"/>
          </w:tcPr>
          <w:p w14:paraId="235F4148">
            <w:pPr>
              <w:jc w:val="center"/>
              <w:rPr>
                <w:rFonts w:eastAsia="仿宋_GB2312"/>
                <w:color w:val="auto"/>
                <w:szCs w:val="21"/>
              </w:rPr>
            </w:pPr>
          </w:p>
        </w:tc>
        <w:tc>
          <w:tcPr>
            <w:tcW w:w="292" w:type="pct"/>
            <w:vMerge w:val="continue"/>
            <w:vAlign w:val="center"/>
          </w:tcPr>
          <w:p w14:paraId="2AAE7A3E">
            <w:pPr>
              <w:jc w:val="center"/>
              <w:rPr>
                <w:rFonts w:eastAsia="仿宋_GB2312"/>
                <w:color w:val="auto"/>
                <w:szCs w:val="21"/>
              </w:rPr>
            </w:pPr>
          </w:p>
        </w:tc>
      </w:tr>
      <w:tr w14:paraId="7121D9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282D5079">
            <w:pPr>
              <w:jc w:val="center"/>
              <w:rPr>
                <w:rFonts w:eastAsia="仿宋_GB2312"/>
                <w:color w:val="auto"/>
                <w:szCs w:val="21"/>
              </w:rPr>
            </w:pPr>
          </w:p>
        </w:tc>
        <w:tc>
          <w:tcPr>
            <w:tcW w:w="358" w:type="pct"/>
            <w:vMerge w:val="continue"/>
            <w:vAlign w:val="center"/>
          </w:tcPr>
          <w:p w14:paraId="02D8BB82">
            <w:pPr>
              <w:jc w:val="center"/>
              <w:rPr>
                <w:rFonts w:eastAsia="仿宋_GB2312"/>
                <w:color w:val="auto"/>
                <w:szCs w:val="21"/>
              </w:rPr>
            </w:pPr>
          </w:p>
        </w:tc>
        <w:tc>
          <w:tcPr>
            <w:tcW w:w="418" w:type="pct"/>
            <w:vMerge w:val="continue"/>
            <w:vAlign w:val="center"/>
          </w:tcPr>
          <w:p w14:paraId="46F14157">
            <w:pPr>
              <w:jc w:val="center"/>
              <w:rPr>
                <w:rFonts w:eastAsia="仿宋_GB2312"/>
                <w:color w:val="auto"/>
                <w:szCs w:val="21"/>
              </w:rPr>
            </w:pPr>
          </w:p>
        </w:tc>
        <w:tc>
          <w:tcPr>
            <w:tcW w:w="446" w:type="pct"/>
            <w:vMerge w:val="continue"/>
            <w:vAlign w:val="center"/>
          </w:tcPr>
          <w:p w14:paraId="7669BBEA">
            <w:pPr>
              <w:jc w:val="center"/>
              <w:rPr>
                <w:rFonts w:eastAsia="仿宋_GB2312"/>
                <w:color w:val="auto"/>
                <w:szCs w:val="21"/>
              </w:rPr>
            </w:pPr>
          </w:p>
        </w:tc>
        <w:tc>
          <w:tcPr>
            <w:tcW w:w="361" w:type="pct"/>
            <w:vMerge w:val="continue"/>
            <w:vAlign w:val="center"/>
          </w:tcPr>
          <w:p w14:paraId="7F586EFA">
            <w:pPr>
              <w:jc w:val="center"/>
              <w:rPr>
                <w:rFonts w:eastAsia="仿宋_GB2312"/>
                <w:color w:val="auto"/>
                <w:szCs w:val="21"/>
              </w:rPr>
            </w:pPr>
          </w:p>
        </w:tc>
        <w:tc>
          <w:tcPr>
            <w:tcW w:w="498" w:type="pct"/>
            <w:vMerge w:val="continue"/>
            <w:shd w:val="clear" w:color="auto" w:fill="auto"/>
            <w:vAlign w:val="center"/>
          </w:tcPr>
          <w:p w14:paraId="060A5529">
            <w:pPr>
              <w:keepNext w:val="0"/>
              <w:keepLines w:val="0"/>
              <w:widowControl/>
              <w:suppressLineNumbers w:val="0"/>
              <w:jc w:val="center"/>
              <w:textAlignment w:val="bottom"/>
              <w:rPr>
                <w:rFonts w:hint="eastAsia" w:eastAsia="仿宋_GB2312"/>
                <w:color w:val="auto"/>
                <w:kern w:val="0"/>
                <w:szCs w:val="21"/>
                <w:lang w:val="en-US" w:eastAsia="zh-CN" w:bidi="ar"/>
              </w:rPr>
            </w:pPr>
          </w:p>
        </w:tc>
        <w:tc>
          <w:tcPr>
            <w:tcW w:w="820" w:type="pct"/>
            <w:shd w:val="clear" w:color="auto" w:fill="auto"/>
            <w:vAlign w:val="center"/>
          </w:tcPr>
          <w:p w14:paraId="5B46D1C4">
            <w:pPr>
              <w:widowControl/>
              <w:jc w:val="center"/>
              <w:textAlignment w:val="center"/>
              <w:rPr>
                <w:rFonts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乙苯</w:t>
            </w:r>
          </w:p>
        </w:tc>
        <w:tc>
          <w:tcPr>
            <w:tcW w:w="380" w:type="pct"/>
            <w:shd w:val="clear" w:color="auto" w:fill="auto"/>
            <w:vAlign w:val="center"/>
          </w:tcPr>
          <w:p w14:paraId="5914426F">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0.003</w:t>
            </w:r>
          </w:p>
        </w:tc>
        <w:tc>
          <w:tcPr>
            <w:tcW w:w="445" w:type="pct"/>
            <w:shd w:val="clear" w:color="auto" w:fill="auto"/>
            <w:vAlign w:val="center"/>
          </w:tcPr>
          <w:p w14:paraId="3E8E36CB">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ascii="Times New Roman" w:hAnsi="Times New Roman" w:eastAsia="仿宋_GB2312" w:cs="Times New Roman"/>
                <w:color w:val="auto"/>
                <w:kern w:val="0"/>
                <w:szCs w:val="21"/>
                <w:lang w:val="en-US" w:eastAsia="zh-CN" w:bidi="ar"/>
              </w:rPr>
              <w:t>0.00099</w:t>
            </w:r>
          </w:p>
        </w:tc>
        <w:tc>
          <w:tcPr>
            <w:tcW w:w="630" w:type="pct"/>
            <w:vMerge w:val="continue"/>
            <w:vAlign w:val="center"/>
          </w:tcPr>
          <w:p w14:paraId="22D90132">
            <w:pPr>
              <w:jc w:val="center"/>
              <w:rPr>
                <w:rFonts w:eastAsia="仿宋_GB2312"/>
                <w:color w:val="auto"/>
                <w:szCs w:val="21"/>
              </w:rPr>
            </w:pPr>
          </w:p>
        </w:tc>
        <w:tc>
          <w:tcPr>
            <w:tcW w:w="292" w:type="pct"/>
            <w:vMerge w:val="continue"/>
            <w:vAlign w:val="center"/>
          </w:tcPr>
          <w:p w14:paraId="0080ECDD">
            <w:pPr>
              <w:jc w:val="center"/>
              <w:rPr>
                <w:rFonts w:eastAsia="仿宋_GB2312"/>
                <w:color w:val="auto"/>
                <w:szCs w:val="21"/>
              </w:rPr>
            </w:pPr>
          </w:p>
        </w:tc>
      </w:tr>
      <w:tr w14:paraId="19DDDD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502D8928">
            <w:pPr>
              <w:jc w:val="center"/>
              <w:rPr>
                <w:rFonts w:eastAsia="仿宋_GB2312"/>
                <w:color w:val="auto"/>
                <w:szCs w:val="21"/>
              </w:rPr>
            </w:pPr>
          </w:p>
        </w:tc>
        <w:tc>
          <w:tcPr>
            <w:tcW w:w="358" w:type="pct"/>
            <w:vMerge w:val="continue"/>
            <w:vAlign w:val="center"/>
          </w:tcPr>
          <w:p w14:paraId="74F3C216">
            <w:pPr>
              <w:jc w:val="center"/>
              <w:rPr>
                <w:rFonts w:eastAsia="仿宋_GB2312"/>
                <w:color w:val="auto"/>
                <w:szCs w:val="21"/>
              </w:rPr>
            </w:pPr>
          </w:p>
        </w:tc>
        <w:tc>
          <w:tcPr>
            <w:tcW w:w="418" w:type="pct"/>
            <w:vMerge w:val="continue"/>
            <w:vAlign w:val="center"/>
          </w:tcPr>
          <w:p w14:paraId="7F2FDA68">
            <w:pPr>
              <w:jc w:val="center"/>
              <w:rPr>
                <w:rFonts w:eastAsia="仿宋_GB2312"/>
                <w:color w:val="auto"/>
                <w:szCs w:val="21"/>
              </w:rPr>
            </w:pPr>
          </w:p>
        </w:tc>
        <w:tc>
          <w:tcPr>
            <w:tcW w:w="446" w:type="pct"/>
            <w:vMerge w:val="continue"/>
            <w:vAlign w:val="center"/>
          </w:tcPr>
          <w:p w14:paraId="1F9F5C57">
            <w:pPr>
              <w:jc w:val="center"/>
              <w:rPr>
                <w:rFonts w:eastAsia="仿宋_GB2312"/>
                <w:color w:val="auto"/>
                <w:szCs w:val="21"/>
              </w:rPr>
            </w:pPr>
          </w:p>
        </w:tc>
        <w:tc>
          <w:tcPr>
            <w:tcW w:w="361" w:type="pct"/>
            <w:vMerge w:val="continue"/>
            <w:vAlign w:val="center"/>
          </w:tcPr>
          <w:p w14:paraId="2BE9293E">
            <w:pPr>
              <w:jc w:val="center"/>
              <w:rPr>
                <w:rFonts w:eastAsia="仿宋_GB2312"/>
                <w:color w:val="auto"/>
                <w:szCs w:val="21"/>
              </w:rPr>
            </w:pPr>
          </w:p>
        </w:tc>
        <w:tc>
          <w:tcPr>
            <w:tcW w:w="498" w:type="pct"/>
            <w:vMerge w:val="continue"/>
            <w:shd w:val="clear" w:color="auto" w:fill="auto"/>
            <w:vAlign w:val="center"/>
          </w:tcPr>
          <w:p w14:paraId="1EAD0514">
            <w:pPr>
              <w:keepNext w:val="0"/>
              <w:keepLines w:val="0"/>
              <w:widowControl/>
              <w:suppressLineNumbers w:val="0"/>
              <w:jc w:val="center"/>
              <w:textAlignment w:val="bottom"/>
              <w:rPr>
                <w:rFonts w:hint="eastAsia" w:eastAsia="仿宋_GB2312"/>
                <w:color w:val="auto"/>
                <w:kern w:val="0"/>
                <w:szCs w:val="21"/>
                <w:lang w:val="en-US" w:eastAsia="zh-CN" w:bidi="ar"/>
              </w:rPr>
            </w:pPr>
          </w:p>
        </w:tc>
        <w:tc>
          <w:tcPr>
            <w:tcW w:w="820" w:type="pct"/>
            <w:shd w:val="clear" w:color="auto" w:fill="auto"/>
            <w:vAlign w:val="center"/>
          </w:tcPr>
          <w:p w14:paraId="08E768F6">
            <w:pPr>
              <w:widowControl/>
              <w:jc w:val="center"/>
              <w:textAlignment w:val="center"/>
              <w:rPr>
                <w:rFonts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正丙苯</w:t>
            </w:r>
          </w:p>
        </w:tc>
        <w:tc>
          <w:tcPr>
            <w:tcW w:w="380" w:type="pct"/>
            <w:shd w:val="clear" w:color="auto" w:fill="auto"/>
            <w:vAlign w:val="center"/>
          </w:tcPr>
          <w:p w14:paraId="37096699">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0.003</w:t>
            </w:r>
          </w:p>
        </w:tc>
        <w:tc>
          <w:tcPr>
            <w:tcW w:w="445" w:type="pct"/>
            <w:shd w:val="clear" w:color="auto" w:fill="auto"/>
            <w:vAlign w:val="center"/>
          </w:tcPr>
          <w:p w14:paraId="39CB997E">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ascii="Times New Roman" w:hAnsi="Times New Roman" w:eastAsia="仿宋_GB2312" w:cs="Times New Roman"/>
                <w:color w:val="auto"/>
                <w:kern w:val="0"/>
                <w:szCs w:val="21"/>
                <w:lang w:val="en-US" w:eastAsia="zh-CN" w:bidi="ar"/>
              </w:rPr>
              <w:t>0.00099</w:t>
            </w:r>
          </w:p>
        </w:tc>
        <w:tc>
          <w:tcPr>
            <w:tcW w:w="630" w:type="pct"/>
            <w:vMerge w:val="continue"/>
            <w:vAlign w:val="center"/>
          </w:tcPr>
          <w:p w14:paraId="3A2ECC03">
            <w:pPr>
              <w:jc w:val="center"/>
              <w:rPr>
                <w:rFonts w:eastAsia="仿宋_GB2312"/>
                <w:color w:val="auto"/>
                <w:szCs w:val="21"/>
              </w:rPr>
            </w:pPr>
          </w:p>
        </w:tc>
        <w:tc>
          <w:tcPr>
            <w:tcW w:w="292" w:type="pct"/>
            <w:vMerge w:val="continue"/>
            <w:vAlign w:val="center"/>
          </w:tcPr>
          <w:p w14:paraId="22910DBF">
            <w:pPr>
              <w:jc w:val="center"/>
              <w:rPr>
                <w:rFonts w:eastAsia="仿宋_GB2312"/>
                <w:color w:val="auto"/>
                <w:szCs w:val="21"/>
              </w:rPr>
            </w:pPr>
          </w:p>
        </w:tc>
      </w:tr>
      <w:tr w14:paraId="0B4A87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6ADF0FC6">
            <w:pPr>
              <w:jc w:val="center"/>
              <w:rPr>
                <w:rFonts w:eastAsia="仿宋_GB2312"/>
                <w:color w:val="auto"/>
                <w:szCs w:val="21"/>
              </w:rPr>
            </w:pPr>
          </w:p>
        </w:tc>
        <w:tc>
          <w:tcPr>
            <w:tcW w:w="358" w:type="pct"/>
            <w:vMerge w:val="continue"/>
            <w:vAlign w:val="center"/>
          </w:tcPr>
          <w:p w14:paraId="464BDCCA">
            <w:pPr>
              <w:jc w:val="center"/>
              <w:rPr>
                <w:rFonts w:eastAsia="仿宋_GB2312"/>
                <w:color w:val="auto"/>
                <w:szCs w:val="21"/>
              </w:rPr>
            </w:pPr>
          </w:p>
        </w:tc>
        <w:tc>
          <w:tcPr>
            <w:tcW w:w="418" w:type="pct"/>
            <w:vMerge w:val="continue"/>
            <w:vAlign w:val="center"/>
          </w:tcPr>
          <w:p w14:paraId="0432C75A">
            <w:pPr>
              <w:jc w:val="center"/>
              <w:rPr>
                <w:rFonts w:eastAsia="仿宋_GB2312"/>
                <w:color w:val="auto"/>
                <w:szCs w:val="21"/>
              </w:rPr>
            </w:pPr>
          </w:p>
        </w:tc>
        <w:tc>
          <w:tcPr>
            <w:tcW w:w="446" w:type="pct"/>
            <w:vMerge w:val="continue"/>
            <w:vAlign w:val="center"/>
          </w:tcPr>
          <w:p w14:paraId="15FDFB2F">
            <w:pPr>
              <w:jc w:val="center"/>
              <w:rPr>
                <w:rFonts w:eastAsia="仿宋_GB2312"/>
                <w:color w:val="auto"/>
                <w:szCs w:val="21"/>
              </w:rPr>
            </w:pPr>
          </w:p>
        </w:tc>
        <w:tc>
          <w:tcPr>
            <w:tcW w:w="361" w:type="pct"/>
            <w:vMerge w:val="continue"/>
            <w:vAlign w:val="center"/>
          </w:tcPr>
          <w:p w14:paraId="124CB997">
            <w:pPr>
              <w:jc w:val="center"/>
              <w:rPr>
                <w:rFonts w:eastAsia="仿宋_GB2312"/>
                <w:color w:val="auto"/>
                <w:szCs w:val="21"/>
              </w:rPr>
            </w:pPr>
          </w:p>
        </w:tc>
        <w:tc>
          <w:tcPr>
            <w:tcW w:w="498" w:type="pct"/>
            <w:vMerge w:val="continue"/>
            <w:shd w:val="clear" w:color="auto" w:fill="auto"/>
            <w:vAlign w:val="center"/>
          </w:tcPr>
          <w:p w14:paraId="1CD9B2B8">
            <w:pPr>
              <w:keepNext w:val="0"/>
              <w:keepLines w:val="0"/>
              <w:widowControl/>
              <w:suppressLineNumbers w:val="0"/>
              <w:jc w:val="center"/>
              <w:textAlignment w:val="bottom"/>
              <w:rPr>
                <w:rFonts w:eastAsia="仿宋_GB2312"/>
                <w:color w:val="auto"/>
                <w:kern w:val="0"/>
                <w:szCs w:val="21"/>
                <w:lang w:bidi="ar"/>
              </w:rPr>
            </w:pPr>
          </w:p>
        </w:tc>
        <w:tc>
          <w:tcPr>
            <w:tcW w:w="820" w:type="pct"/>
            <w:shd w:val="clear" w:color="auto" w:fill="auto"/>
            <w:vAlign w:val="center"/>
          </w:tcPr>
          <w:p w14:paraId="5D2B40FA">
            <w:pPr>
              <w:widowControl/>
              <w:jc w:val="center"/>
              <w:textAlignment w:val="center"/>
              <w:rPr>
                <w:rFonts w:ascii="Times New Roman" w:hAnsi="Times New Roman" w:eastAsia="仿宋_GB2312" w:cs="Times New Roman"/>
                <w:color w:val="auto"/>
                <w:kern w:val="0"/>
                <w:sz w:val="21"/>
                <w:szCs w:val="21"/>
                <w:lang w:val="en-US" w:eastAsia="zh-CN" w:bidi="ar"/>
              </w:rPr>
            </w:pPr>
            <w:r>
              <w:rPr>
                <w:rFonts w:eastAsia="仿宋_GB2312"/>
                <w:color w:val="auto"/>
                <w:kern w:val="0"/>
                <w:szCs w:val="21"/>
                <w:lang w:bidi="ar"/>
              </w:rPr>
              <w:t>其他有机物</w:t>
            </w:r>
          </w:p>
        </w:tc>
        <w:tc>
          <w:tcPr>
            <w:tcW w:w="380" w:type="pct"/>
            <w:shd w:val="clear" w:color="auto" w:fill="auto"/>
            <w:vAlign w:val="center"/>
          </w:tcPr>
          <w:p w14:paraId="3AA25AF5">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0.02</w:t>
            </w:r>
          </w:p>
        </w:tc>
        <w:tc>
          <w:tcPr>
            <w:tcW w:w="445" w:type="pct"/>
            <w:shd w:val="clear" w:color="auto" w:fill="auto"/>
            <w:vAlign w:val="center"/>
          </w:tcPr>
          <w:p w14:paraId="69B28E7E">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ascii="Times New Roman" w:hAnsi="Times New Roman" w:eastAsia="仿宋_GB2312" w:cs="Times New Roman"/>
                <w:color w:val="auto"/>
                <w:kern w:val="0"/>
                <w:szCs w:val="21"/>
                <w:lang w:val="en-US" w:eastAsia="zh-CN" w:bidi="ar"/>
              </w:rPr>
              <w:t>0.00599</w:t>
            </w:r>
          </w:p>
        </w:tc>
        <w:tc>
          <w:tcPr>
            <w:tcW w:w="630" w:type="pct"/>
            <w:vMerge w:val="continue"/>
            <w:vAlign w:val="center"/>
          </w:tcPr>
          <w:p w14:paraId="61283957">
            <w:pPr>
              <w:jc w:val="center"/>
              <w:rPr>
                <w:rFonts w:eastAsia="仿宋_GB2312"/>
                <w:color w:val="auto"/>
                <w:szCs w:val="21"/>
              </w:rPr>
            </w:pPr>
          </w:p>
        </w:tc>
        <w:tc>
          <w:tcPr>
            <w:tcW w:w="292" w:type="pct"/>
            <w:vMerge w:val="continue"/>
            <w:vAlign w:val="center"/>
          </w:tcPr>
          <w:p w14:paraId="1DF691D2">
            <w:pPr>
              <w:jc w:val="center"/>
              <w:rPr>
                <w:rFonts w:eastAsia="仿宋_GB2312"/>
                <w:color w:val="auto"/>
                <w:szCs w:val="21"/>
              </w:rPr>
            </w:pPr>
          </w:p>
        </w:tc>
      </w:tr>
      <w:tr w14:paraId="1F9D54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1B73EF28">
            <w:pPr>
              <w:jc w:val="center"/>
              <w:rPr>
                <w:rFonts w:eastAsia="仿宋_GB2312"/>
                <w:color w:val="auto"/>
                <w:szCs w:val="21"/>
              </w:rPr>
            </w:pPr>
          </w:p>
        </w:tc>
        <w:tc>
          <w:tcPr>
            <w:tcW w:w="358" w:type="pct"/>
            <w:vMerge w:val="continue"/>
            <w:vAlign w:val="center"/>
          </w:tcPr>
          <w:p w14:paraId="0B37C34F">
            <w:pPr>
              <w:jc w:val="center"/>
              <w:rPr>
                <w:rFonts w:eastAsia="仿宋_GB2312"/>
                <w:color w:val="auto"/>
                <w:szCs w:val="21"/>
              </w:rPr>
            </w:pPr>
          </w:p>
        </w:tc>
        <w:tc>
          <w:tcPr>
            <w:tcW w:w="418" w:type="pct"/>
            <w:vMerge w:val="restart"/>
            <w:vAlign w:val="center"/>
          </w:tcPr>
          <w:p w14:paraId="2036B76A">
            <w:pPr>
              <w:jc w:val="center"/>
              <w:rPr>
                <w:rFonts w:eastAsia="仿宋_GB2312"/>
                <w:color w:val="auto"/>
                <w:szCs w:val="21"/>
              </w:rPr>
            </w:pPr>
            <w:r>
              <w:rPr>
                <w:rFonts w:eastAsia="仿宋_GB2312"/>
                <w:color w:val="auto"/>
                <w:kern w:val="0"/>
                <w:szCs w:val="21"/>
                <w:lang w:bidi="ar"/>
              </w:rPr>
              <w:t>G</w:t>
            </w:r>
            <w:r>
              <w:rPr>
                <w:rFonts w:hint="eastAsia" w:eastAsia="仿宋_GB2312"/>
                <w:color w:val="auto"/>
                <w:kern w:val="0"/>
                <w:szCs w:val="21"/>
                <w:lang w:val="en-US" w:eastAsia="zh-CN" w:bidi="ar"/>
              </w:rPr>
              <w:t>2</w:t>
            </w:r>
            <w:r>
              <w:rPr>
                <w:rFonts w:eastAsia="仿宋_GB2312"/>
                <w:color w:val="auto"/>
                <w:kern w:val="0"/>
                <w:szCs w:val="21"/>
                <w:lang w:bidi="ar"/>
              </w:rPr>
              <w:t>-1</w:t>
            </w:r>
            <w:r>
              <w:rPr>
                <w:rFonts w:hint="eastAsia" w:eastAsia="仿宋_GB2312"/>
                <w:color w:val="auto"/>
                <w:kern w:val="0"/>
                <w:szCs w:val="21"/>
                <w:lang w:val="en-US" w:eastAsia="zh-CN" w:bidi="ar"/>
              </w:rPr>
              <w:t>2</w:t>
            </w:r>
            <w:r>
              <w:rPr>
                <w:rFonts w:eastAsia="仿宋_GB2312"/>
                <w:color w:val="auto"/>
                <w:kern w:val="0"/>
                <w:szCs w:val="21"/>
                <w:lang w:bidi="ar"/>
              </w:rPr>
              <w:t>-2</w:t>
            </w:r>
          </w:p>
        </w:tc>
        <w:tc>
          <w:tcPr>
            <w:tcW w:w="446" w:type="pct"/>
            <w:vMerge w:val="restart"/>
            <w:vAlign w:val="center"/>
          </w:tcPr>
          <w:p w14:paraId="01B2956F">
            <w:pPr>
              <w:jc w:val="center"/>
              <w:rPr>
                <w:rFonts w:eastAsia="仿宋_GB2312"/>
                <w:color w:val="auto"/>
                <w:szCs w:val="21"/>
              </w:rPr>
            </w:pPr>
            <w:r>
              <w:rPr>
                <w:rFonts w:eastAsia="仿宋_GB2312"/>
                <w:color w:val="auto"/>
                <w:kern w:val="0"/>
                <w:szCs w:val="21"/>
                <w:lang w:bidi="ar"/>
              </w:rPr>
              <w:t>调节废气</w:t>
            </w:r>
          </w:p>
        </w:tc>
        <w:tc>
          <w:tcPr>
            <w:tcW w:w="361" w:type="pct"/>
            <w:vMerge w:val="restart"/>
            <w:vAlign w:val="center"/>
          </w:tcPr>
          <w:p w14:paraId="5169BAF4">
            <w:pPr>
              <w:jc w:val="center"/>
              <w:rPr>
                <w:rFonts w:eastAsia="仿宋_GB2312"/>
                <w:color w:val="auto"/>
                <w:szCs w:val="21"/>
              </w:rPr>
            </w:pPr>
            <w:r>
              <w:rPr>
                <w:rFonts w:hint="eastAsia" w:eastAsia="仿宋_GB2312"/>
                <w:color w:val="auto"/>
                <w:szCs w:val="21"/>
                <w:lang w:val="en-US" w:eastAsia="zh-CN"/>
              </w:rPr>
              <w:t>1</w:t>
            </w:r>
            <w:r>
              <w:rPr>
                <w:rFonts w:eastAsia="仿宋_GB2312"/>
                <w:color w:val="auto"/>
                <w:szCs w:val="21"/>
              </w:rPr>
              <w:t>00</w:t>
            </w:r>
          </w:p>
        </w:tc>
        <w:tc>
          <w:tcPr>
            <w:tcW w:w="498" w:type="pct"/>
            <w:vMerge w:val="restart"/>
            <w:shd w:val="clear" w:color="auto" w:fill="auto"/>
            <w:vAlign w:val="center"/>
          </w:tcPr>
          <w:p w14:paraId="3022C4B8">
            <w:pPr>
              <w:keepNext w:val="0"/>
              <w:keepLines w:val="0"/>
              <w:widowControl/>
              <w:suppressLineNumbers w:val="0"/>
              <w:jc w:val="center"/>
              <w:textAlignment w:val="bottom"/>
              <w:rPr>
                <w:rFonts w:hint="eastAsia" w:eastAsia="仿宋_GB2312"/>
                <w:color w:val="auto"/>
                <w:kern w:val="0"/>
                <w:szCs w:val="21"/>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296</w:t>
            </w:r>
          </w:p>
        </w:tc>
        <w:tc>
          <w:tcPr>
            <w:tcW w:w="820" w:type="pct"/>
            <w:shd w:val="clear" w:color="auto" w:fill="auto"/>
            <w:vAlign w:val="center"/>
          </w:tcPr>
          <w:p w14:paraId="5A22A283">
            <w:pPr>
              <w:widowControl/>
              <w:jc w:val="center"/>
              <w:textAlignment w:val="center"/>
              <w:rPr>
                <w:rFonts w:ascii="Times New Roman" w:hAnsi="Times New Roman" w:eastAsia="仿宋_GB2312" w:cs="Times New Roman"/>
                <w:b/>
                <w:bCs/>
                <w:color w:val="auto"/>
                <w:kern w:val="0"/>
                <w:sz w:val="21"/>
                <w:szCs w:val="21"/>
                <w:highlight w:val="yellow"/>
                <w:lang w:val="en-US" w:eastAsia="zh-CN" w:bidi="ar"/>
              </w:rPr>
            </w:pPr>
            <w:r>
              <w:rPr>
                <w:rFonts w:hint="eastAsia" w:eastAsia="仿宋_GB2312"/>
                <w:color w:val="auto"/>
                <w:kern w:val="0"/>
                <w:szCs w:val="21"/>
                <w:lang w:val="en-US" w:eastAsia="zh-CN" w:bidi="ar"/>
              </w:rPr>
              <w:t>异丙苯</w:t>
            </w:r>
          </w:p>
        </w:tc>
        <w:tc>
          <w:tcPr>
            <w:tcW w:w="380" w:type="pct"/>
            <w:shd w:val="clear" w:color="auto" w:fill="auto"/>
            <w:vAlign w:val="center"/>
          </w:tcPr>
          <w:p w14:paraId="2C1F3D50">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0.675</w:t>
            </w:r>
          </w:p>
        </w:tc>
        <w:tc>
          <w:tcPr>
            <w:tcW w:w="445" w:type="pct"/>
            <w:shd w:val="clear" w:color="auto" w:fill="auto"/>
            <w:vAlign w:val="center"/>
          </w:tcPr>
          <w:p w14:paraId="10F546E7">
            <w:pPr>
              <w:jc w:val="center"/>
              <w:rPr>
                <w:rFonts w:hint="eastAsia"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0.2</w:t>
            </w:r>
          </w:p>
        </w:tc>
        <w:tc>
          <w:tcPr>
            <w:tcW w:w="630" w:type="pct"/>
            <w:vMerge w:val="restart"/>
            <w:shd w:val="clear" w:color="auto" w:fill="auto"/>
            <w:vAlign w:val="center"/>
          </w:tcPr>
          <w:p w14:paraId="51BEB874">
            <w:pPr>
              <w:widowControl/>
              <w:jc w:val="center"/>
              <w:textAlignment w:val="center"/>
              <w:rPr>
                <w:rFonts w:ascii="Times New Roman" w:hAnsi="Times New Roman" w:eastAsia="仿宋_GB2312" w:cs="Times New Roman"/>
                <w:color w:val="auto"/>
                <w:kern w:val="2"/>
                <w:sz w:val="21"/>
                <w:szCs w:val="21"/>
                <w:lang w:val="en-US" w:eastAsia="zh-CN" w:bidi="ar-SA"/>
              </w:rPr>
            </w:pPr>
            <w:r>
              <w:rPr>
                <w:rFonts w:hint="eastAsia" w:eastAsia="仿宋_GB2312"/>
                <w:color w:val="auto"/>
                <w:szCs w:val="21"/>
              </w:rPr>
              <w:t>预处理（冷凝+稀酸吸收+碱吸收+水吸收+除雾）+</w:t>
            </w:r>
            <w:r>
              <w:rPr>
                <w:rFonts w:eastAsia="仿宋_GB2312"/>
                <w:color w:val="auto"/>
                <w:szCs w:val="21"/>
              </w:rPr>
              <w:t>焚烧</w:t>
            </w:r>
          </w:p>
        </w:tc>
        <w:tc>
          <w:tcPr>
            <w:tcW w:w="292" w:type="pct"/>
            <w:vMerge w:val="restart"/>
            <w:shd w:val="clear" w:color="auto" w:fill="auto"/>
            <w:vAlign w:val="center"/>
          </w:tcPr>
          <w:p w14:paraId="198CFA72">
            <w:pPr>
              <w:widowControl/>
              <w:jc w:val="center"/>
              <w:textAlignment w:val="center"/>
              <w:rPr>
                <w:rFonts w:ascii="Times New Roman" w:hAnsi="Times New Roman" w:eastAsia="仿宋_GB2312" w:cs="Times New Roman"/>
                <w:color w:val="auto"/>
                <w:kern w:val="2"/>
                <w:sz w:val="21"/>
                <w:szCs w:val="21"/>
                <w:lang w:val="en-US" w:eastAsia="zh-CN" w:bidi="ar-SA"/>
              </w:rPr>
            </w:pPr>
            <w:r>
              <w:rPr>
                <w:rFonts w:hint="eastAsia" w:eastAsia="仿宋_GB2312"/>
                <w:color w:val="auto"/>
                <w:kern w:val="0"/>
                <w:szCs w:val="21"/>
                <w:lang w:bidi="ar"/>
              </w:rPr>
              <w:t>DA002</w:t>
            </w:r>
          </w:p>
        </w:tc>
      </w:tr>
      <w:tr w14:paraId="17C005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6CC02CF3">
            <w:pPr>
              <w:jc w:val="center"/>
              <w:rPr>
                <w:rFonts w:eastAsia="仿宋_GB2312"/>
                <w:color w:val="auto"/>
                <w:szCs w:val="21"/>
              </w:rPr>
            </w:pPr>
          </w:p>
        </w:tc>
        <w:tc>
          <w:tcPr>
            <w:tcW w:w="358" w:type="pct"/>
            <w:vMerge w:val="continue"/>
            <w:vAlign w:val="center"/>
          </w:tcPr>
          <w:p w14:paraId="6FC3B5A2">
            <w:pPr>
              <w:jc w:val="center"/>
              <w:rPr>
                <w:rFonts w:eastAsia="仿宋_GB2312"/>
                <w:color w:val="auto"/>
                <w:szCs w:val="21"/>
              </w:rPr>
            </w:pPr>
          </w:p>
        </w:tc>
        <w:tc>
          <w:tcPr>
            <w:tcW w:w="418" w:type="pct"/>
            <w:vMerge w:val="continue"/>
            <w:vAlign w:val="center"/>
          </w:tcPr>
          <w:p w14:paraId="0F9125CD">
            <w:pPr>
              <w:jc w:val="center"/>
              <w:rPr>
                <w:rFonts w:eastAsia="仿宋_GB2312"/>
                <w:color w:val="auto"/>
                <w:szCs w:val="21"/>
              </w:rPr>
            </w:pPr>
          </w:p>
        </w:tc>
        <w:tc>
          <w:tcPr>
            <w:tcW w:w="446" w:type="pct"/>
            <w:vMerge w:val="continue"/>
            <w:vAlign w:val="center"/>
          </w:tcPr>
          <w:p w14:paraId="2315738D">
            <w:pPr>
              <w:jc w:val="center"/>
              <w:rPr>
                <w:rFonts w:eastAsia="仿宋_GB2312"/>
                <w:color w:val="auto"/>
                <w:szCs w:val="21"/>
              </w:rPr>
            </w:pPr>
          </w:p>
        </w:tc>
        <w:tc>
          <w:tcPr>
            <w:tcW w:w="361" w:type="pct"/>
            <w:vMerge w:val="continue"/>
            <w:vAlign w:val="center"/>
          </w:tcPr>
          <w:p w14:paraId="2E7D0D6D">
            <w:pPr>
              <w:jc w:val="center"/>
              <w:rPr>
                <w:rFonts w:eastAsia="仿宋_GB2312"/>
                <w:color w:val="auto"/>
                <w:szCs w:val="21"/>
              </w:rPr>
            </w:pPr>
          </w:p>
        </w:tc>
        <w:tc>
          <w:tcPr>
            <w:tcW w:w="498" w:type="pct"/>
            <w:vMerge w:val="continue"/>
            <w:shd w:val="clear" w:color="auto" w:fill="auto"/>
            <w:vAlign w:val="center"/>
          </w:tcPr>
          <w:p w14:paraId="6645473D">
            <w:pPr>
              <w:keepNext w:val="0"/>
              <w:keepLines w:val="0"/>
              <w:widowControl/>
              <w:suppressLineNumbers w:val="0"/>
              <w:jc w:val="center"/>
              <w:textAlignment w:val="bottom"/>
              <w:rPr>
                <w:rFonts w:hint="eastAsia" w:eastAsia="仿宋_GB2312"/>
                <w:color w:val="auto"/>
                <w:kern w:val="0"/>
                <w:szCs w:val="21"/>
                <w:lang w:val="en-US" w:eastAsia="zh-CN" w:bidi="ar"/>
              </w:rPr>
            </w:pPr>
          </w:p>
        </w:tc>
        <w:tc>
          <w:tcPr>
            <w:tcW w:w="820" w:type="pct"/>
            <w:shd w:val="clear" w:color="auto" w:fill="auto"/>
            <w:vAlign w:val="center"/>
          </w:tcPr>
          <w:p w14:paraId="46D194C3">
            <w:pPr>
              <w:widowControl/>
              <w:jc w:val="center"/>
              <w:textAlignment w:val="center"/>
              <w:rPr>
                <w:rFonts w:ascii="Times New Roman" w:hAnsi="Times New Roman" w:eastAsia="仿宋_GB2312" w:cs="Times New Roman"/>
                <w:color w:val="auto"/>
                <w:kern w:val="0"/>
                <w:sz w:val="21"/>
                <w:szCs w:val="21"/>
                <w:highlight w:val="yellow"/>
                <w:lang w:val="en-US" w:eastAsia="zh-CN" w:bidi="ar"/>
              </w:rPr>
            </w:pPr>
            <w:r>
              <w:rPr>
                <w:rFonts w:hint="eastAsia" w:eastAsia="仿宋_GB2312"/>
                <w:color w:val="auto"/>
                <w:kern w:val="0"/>
                <w:szCs w:val="21"/>
                <w:lang w:val="en-US" w:eastAsia="zh-CN" w:bidi="ar"/>
              </w:rPr>
              <w:t>二异丙苯</w:t>
            </w:r>
          </w:p>
        </w:tc>
        <w:tc>
          <w:tcPr>
            <w:tcW w:w="380" w:type="pct"/>
            <w:shd w:val="clear" w:color="auto" w:fill="auto"/>
            <w:vAlign w:val="center"/>
          </w:tcPr>
          <w:p w14:paraId="26BB65F3">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0.003</w:t>
            </w:r>
          </w:p>
        </w:tc>
        <w:tc>
          <w:tcPr>
            <w:tcW w:w="445" w:type="pct"/>
            <w:shd w:val="clear" w:color="auto" w:fill="auto"/>
            <w:vAlign w:val="center"/>
          </w:tcPr>
          <w:p w14:paraId="65E7AADE">
            <w:pPr>
              <w:jc w:val="center"/>
              <w:rPr>
                <w:rFonts w:hint="eastAsia"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0.001</w:t>
            </w:r>
          </w:p>
        </w:tc>
        <w:tc>
          <w:tcPr>
            <w:tcW w:w="630" w:type="pct"/>
            <w:vMerge w:val="continue"/>
            <w:vAlign w:val="center"/>
          </w:tcPr>
          <w:p w14:paraId="51406A17">
            <w:pPr>
              <w:jc w:val="center"/>
              <w:rPr>
                <w:rFonts w:eastAsia="仿宋_GB2312"/>
                <w:color w:val="auto"/>
                <w:szCs w:val="21"/>
              </w:rPr>
            </w:pPr>
          </w:p>
        </w:tc>
        <w:tc>
          <w:tcPr>
            <w:tcW w:w="292" w:type="pct"/>
            <w:vMerge w:val="continue"/>
            <w:vAlign w:val="center"/>
          </w:tcPr>
          <w:p w14:paraId="2901D905">
            <w:pPr>
              <w:jc w:val="center"/>
              <w:rPr>
                <w:rFonts w:eastAsia="仿宋_GB2312"/>
                <w:color w:val="auto"/>
                <w:szCs w:val="21"/>
              </w:rPr>
            </w:pPr>
          </w:p>
        </w:tc>
      </w:tr>
      <w:tr w14:paraId="78CA44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25CD5F26">
            <w:pPr>
              <w:jc w:val="center"/>
              <w:rPr>
                <w:rFonts w:eastAsia="仿宋_GB2312"/>
                <w:color w:val="auto"/>
                <w:szCs w:val="21"/>
              </w:rPr>
            </w:pPr>
          </w:p>
        </w:tc>
        <w:tc>
          <w:tcPr>
            <w:tcW w:w="358" w:type="pct"/>
            <w:vMerge w:val="continue"/>
            <w:vAlign w:val="center"/>
          </w:tcPr>
          <w:p w14:paraId="7B6B6109">
            <w:pPr>
              <w:jc w:val="center"/>
              <w:rPr>
                <w:rFonts w:eastAsia="仿宋_GB2312"/>
                <w:color w:val="auto"/>
                <w:szCs w:val="21"/>
              </w:rPr>
            </w:pPr>
          </w:p>
        </w:tc>
        <w:tc>
          <w:tcPr>
            <w:tcW w:w="418" w:type="pct"/>
            <w:vMerge w:val="continue"/>
            <w:vAlign w:val="center"/>
          </w:tcPr>
          <w:p w14:paraId="4E561E5E">
            <w:pPr>
              <w:jc w:val="center"/>
              <w:rPr>
                <w:rFonts w:eastAsia="仿宋_GB2312"/>
                <w:color w:val="auto"/>
                <w:szCs w:val="21"/>
              </w:rPr>
            </w:pPr>
          </w:p>
        </w:tc>
        <w:tc>
          <w:tcPr>
            <w:tcW w:w="446" w:type="pct"/>
            <w:vMerge w:val="continue"/>
            <w:vAlign w:val="center"/>
          </w:tcPr>
          <w:p w14:paraId="7C4222E9">
            <w:pPr>
              <w:jc w:val="center"/>
              <w:rPr>
                <w:rFonts w:eastAsia="仿宋_GB2312"/>
                <w:color w:val="auto"/>
                <w:szCs w:val="21"/>
              </w:rPr>
            </w:pPr>
          </w:p>
        </w:tc>
        <w:tc>
          <w:tcPr>
            <w:tcW w:w="361" w:type="pct"/>
            <w:vMerge w:val="continue"/>
            <w:vAlign w:val="center"/>
          </w:tcPr>
          <w:p w14:paraId="73D56669">
            <w:pPr>
              <w:jc w:val="center"/>
              <w:rPr>
                <w:rFonts w:eastAsia="仿宋_GB2312"/>
                <w:color w:val="auto"/>
                <w:szCs w:val="21"/>
              </w:rPr>
            </w:pPr>
          </w:p>
        </w:tc>
        <w:tc>
          <w:tcPr>
            <w:tcW w:w="498" w:type="pct"/>
            <w:vMerge w:val="continue"/>
            <w:shd w:val="clear" w:color="auto" w:fill="auto"/>
            <w:vAlign w:val="center"/>
          </w:tcPr>
          <w:p w14:paraId="0AF15CD2">
            <w:pPr>
              <w:keepNext w:val="0"/>
              <w:keepLines w:val="0"/>
              <w:widowControl/>
              <w:suppressLineNumbers w:val="0"/>
              <w:jc w:val="center"/>
              <w:textAlignment w:val="bottom"/>
              <w:rPr>
                <w:rFonts w:hint="eastAsia" w:eastAsia="仿宋_GB2312"/>
                <w:color w:val="auto"/>
                <w:kern w:val="0"/>
                <w:szCs w:val="21"/>
                <w:lang w:val="en-US" w:eastAsia="zh-CN" w:bidi="ar"/>
              </w:rPr>
            </w:pPr>
          </w:p>
        </w:tc>
        <w:tc>
          <w:tcPr>
            <w:tcW w:w="820" w:type="pct"/>
            <w:shd w:val="clear" w:color="auto" w:fill="auto"/>
            <w:vAlign w:val="center"/>
          </w:tcPr>
          <w:p w14:paraId="278F68BC">
            <w:pPr>
              <w:widowControl/>
              <w:jc w:val="center"/>
              <w:textAlignment w:val="center"/>
              <w:rPr>
                <w:rFonts w:ascii="Times New Roman" w:hAnsi="Times New Roman" w:eastAsia="仿宋_GB2312" w:cs="Times New Roman"/>
                <w:color w:val="auto"/>
                <w:kern w:val="0"/>
                <w:sz w:val="21"/>
                <w:szCs w:val="21"/>
                <w:highlight w:val="yellow"/>
                <w:lang w:val="en-US" w:eastAsia="zh-CN" w:bidi="ar"/>
              </w:rPr>
            </w:pPr>
            <w:r>
              <w:rPr>
                <w:rFonts w:hint="eastAsia" w:eastAsia="仿宋_GB2312"/>
                <w:color w:val="auto"/>
                <w:kern w:val="0"/>
                <w:szCs w:val="21"/>
                <w:lang w:val="en-US" w:eastAsia="zh-CN" w:bidi="ar"/>
              </w:rPr>
              <w:t>乙苯</w:t>
            </w:r>
          </w:p>
        </w:tc>
        <w:tc>
          <w:tcPr>
            <w:tcW w:w="380" w:type="pct"/>
            <w:shd w:val="clear" w:color="auto" w:fill="auto"/>
            <w:vAlign w:val="center"/>
          </w:tcPr>
          <w:p w14:paraId="288A89D2">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0.003</w:t>
            </w:r>
          </w:p>
        </w:tc>
        <w:tc>
          <w:tcPr>
            <w:tcW w:w="445" w:type="pct"/>
            <w:shd w:val="clear" w:color="auto" w:fill="auto"/>
            <w:vAlign w:val="center"/>
          </w:tcPr>
          <w:p w14:paraId="0F446F51">
            <w:pPr>
              <w:jc w:val="center"/>
              <w:rPr>
                <w:rFonts w:hint="eastAsia"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0.001</w:t>
            </w:r>
          </w:p>
        </w:tc>
        <w:tc>
          <w:tcPr>
            <w:tcW w:w="630" w:type="pct"/>
            <w:vMerge w:val="continue"/>
            <w:vAlign w:val="center"/>
          </w:tcPr>
          <w:p w14:paraId="28A3ACF1">
            <w:pPr>
              <w:jc w:val="center"/>
              <w:rPr>
                <w:rFonts w:eastAsia="仿宋_GB2312"/>
                <w:color w:val="auto"/>
                <w:szCs w:val="21"/>
              </w:rPr>
            </w:pPr>
          </w:p>
        </w:tc>
        <w:tc>
          <w:tcPr>
            <w:tcW w:w="292" w:type="pct"/>
            <w:vMerge w:val="continue"/>
            <w:vAlign w:val="center"/>
          </w:tcPr>
          <w:p w14:paraId="61A87674">
            <w:pPr>
              <w:jc w:val="center"/>
              <w:rPr>
                <w:rFonts w:eastAsia="仿宋_GB2312"/>
                <w:color w:val="auto"/>
                <w:szCs w:val="21"/>
              </w:rPr>
            </w:pPr>
          </w:p>
        </w:tc>
      </w:tr>
      <w:tr w14:paraId="25B5B2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495C5454">
            <w:pPr>
              <w:jc w:val="center"/>
              <w:rPr>
                <w:rFonts w:eastAsia="仿宋_GB2312"/>
                <w:color w:val="auto"/>
                <w:szCs w:val="21"/>
              </w:rPr>
            </w:pPr>
          </w:p>
        </w:tc>
        <w:tc>
          <w:tcPr>
            <w:tcW w:w="358" w:type="pct"/>
            <w:vMerge w:val="continue"/>
            <w:vAlign w:val="center"/>
          </w:tcPr>
          <w:p w14:paraId="10991277">
            <w:pPr>
              <w:jc w:val="center"/>
              <w:rPr>
                <w:rFonts w:eastAsia="仿宋_GB2312"/>
                <w:color w:val="auto"/>
                <w:szCs w:val="21"/>
              </w:rPr>
            </w:pPr>
          </w:p>
        </w:tc>
        <w:tc>
          <w:tcPr>
            <w:tcW w:w="418" w:type="pct"/>
            <w:vMerge w:val="continue"/>
            <w:vAlign w:val="center"/>
          </w:tcPr>
          <w:p w14:paraId="6F9B9AF6">
            <w:pPr>
              <w:jc w:val="center"/>
              <w:rPr>
                <w:rFonts w:eastAsia="仿宋_GB2312"/>
                <w:color w:val="auto"/>
                <w:szCs w:val="21"/>
              </w:rPr>
            </w:pPr>
          </w:p>
        </w:tc>
        <w:tc>
          <w:tcPr>
            <w:tcW w:w="446" w:type="pct"/>
            <w:vMerge w:val="continue"/>
            <w:vAlign w:val="center"/>
          </w:tcPr>
          <w:p w14:paraId="05FE2BB5">
            <w:pPr>
              <w:jc w:val="center"/>
              <w:rPr>
                <w:rFonts w:eastAsia="仿宋_GB2312"/>
                <w:color w:val="auto"/>
                <w:szCs w:val="21"/>
              </w:rPr>
            </w:pPr>
          </w:p>
        </w:tc>
        <w:tc>
          <w:tcPr>
            <w:tcW w:w="361" w:type="pct"/>
            <w:vMerge w:val="continue"/>
            <w:vAlign w:val="center"/>
          </w:tcPr>
          <w:p w14:paraId="5628AAAB">
            <w:pPr>
              <w:jc w:val="center"/>
              <w:rPr>
                <w:rFonts w:eastAsia="仿宋_GB2312"/>
                <w:color w:val="auto"/>
                <w:szCs w:val="21"/>
              </w:rPr>
            </w:pPr>
          </w:p>
        </w:tc>
        <w:tc>
          <w:tcPr>
            <w:tcW w:w="498" w:type="pct"/>
            <w:vMerge w:val="continue"/>
            <w:shd w:val="clear" w:color="auto" w:fill="auto"/>
            <w:vAlign w:val="center"/>
          </w:tcPr>
          <w:p w14:paraId="436594C1">
            <w:pPr>
              <w:keepNext w:val="0"/>
              <w:keepLines w:val="0"/>
              <w:widowControl/>
              <w:suppressLineNumbers w:val="0"/>
              <w:jc w:val="center"/>
              <w:textAlignment w:val="bottom"/>
              <w:rPr>
                <w:rFonts w:hint="eastAsia" w:eastAsia="仿宋_GB2312"/>
                <w:color w:val="auto"/>
                <w:kern w:val="0"/>
                <w:szCs w:val="21"/>
                <w:lang w:val="en-US" w:eastAsia="zh-CN" w:bidi="ar"/>
              </w:rPr>
            </w:pPr>
          </w:p>
        </w:tc>
        <w:tc>
          <w:tcPr>
            <w:tcW w:w="820" w:type="pct"/>
            <w:shd w:val="clear" w:color="auto" w:fill="auto"/>
            <w:vAlign w:val="center"/>
          </w:tcPr>
          <w:p w14:paraId="57905576">
            <w:pPr>
              <w:widowControl/>
              <w:jc w:val="center"/>
              <w:textAlignment w:val="center"/>
              <w:rPr>
                <w:rFonts w:ascii="Times New Roman" w:hAnsi="Times New Roman" w:eastAsia="仿宋_GB2312" w:cs="Times New Roman"/>
                <w:b/>
                <w:bCs/>
                <w:color w:val="auto"/>
                <w:kern w:val="0"/>
                <w:sz w:val="21"/>
                <w:szCs w:val="21"/>
                <w:highlight w:val="yellow"/>
                <w:lang w:val="en-US" w:eastAsia="zh-CN" w:bidi="ar"/>
              </w:rPr>
            </w:pPr>
            <w:r>
              <w:rPr>
                <w:rFonts w:hint="eastAsia" w:eastAsia="仿宋_GB2312"/>
                <w:color w:val="auto"/>
                <w:kern w:val="0"/>
                <w:szCs w:val="21"/>
                <w:lang w:val="en-US" w:eastAsia="zh-CN" w:bidi="ar"/>
              </w:rPr>
              <w:t>正丙苯</w:t>
            </w:r>
          </w:p>
        </w:tc>
        <w:tc>
          <w:tcPr>
            <w:tcW w:w="380" w:type="pct"/>
            <w:shd w:val="clear" w:color="auto" w:fill="auto"/>
            <w:vAlign w:val="center"/>
          </w:tcPr>
          <w:p w14:paraId="70D68D93">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0.003</w:t>
            </w:r>
          </w:p>
        </w:tc>
        <w:tc>
          <w:tcPr>
            <w:tcW w:w="445" w:type="pct"/>
            <w:shd w:val="clear" w:color="auto" w:fill="auto"/>
            <w:vAlign w:val="center"/>
          </w:tcPr>
          <w:p w14:paraId="30242713">
            <w:pPr>
              <w:jc w:val="center"/>
              <w:rPr>
                <w:rFonts w:hint="eastAsia"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0.001</w:t>
            </w:r>
          </w:p>
        </w:tc>
        <w:tc>
          <w:tcPr>
            <w:tcW w:w="630" w:type="pct"/>
            <w:vMerge w:val="continue"/>
            <w:vAlign w:val="center"/>
          </w:tcPr>
          <w:p w14:paraId="333F8355">
            <w:pPr>
              <w:jc w:val="center"/>
              <w:rPr>
                <w:rFonts w:eastAsia="仿宋_GB2312"/>
                <w:color w:val="auto"/>
                <w:szCs w:val="21"/>
              </w:rPr>
            </w:pPr>
          </w:p>
        </w:tc>
        <w:tc>
          <w:tcPr>
            <w:tcW w:w="292" w:type="pct"/>
            <w:vMerge w:val="continue"/>
            <w:vAlign w:val="center"/>
          </w:tcPr>
          <w:p w14:paraId="2D9F05AB">
            <w:pPr>
              <w:jc w:val="center"/>
              <w:rPr>
                <w:rFonts w:eastAsia="仿宋_GB2312"/>
                <w:color w:val="auto"/>
                <w:szCs w:val="21"/>
              </w:rPr>
            </w:pPr>
          </w:p>
        </w:tc>
      </w:tr>
      <w:tr w14:paraId="0AFB57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1F187193">
            <w:pPr>
              <w:jc w:val="center"/>
              <w:rPr>
                <w:rFonts w:eastAsia="仿宋_GB2312"/>
                <w:color w:val="auto"/>
                <w:szCs w:val="21"/>
              </w:rPr>
            </w:pPr>
          </w:p>
        </w:tc>
        <w:tc>
          <w:tcPr>
            <w:tcW w:w="358" w:type="pct"/>
            <w:vMerge w:val="continue"/>
            <w:vAlign w:val="center"/>
          </w:tcPr>
          <w:p w14:paraId="34CAAE88">
            <w:pPr>
              <w:jc w:val="center"/>
              <w:rPr>
                <w:rFonts w:eastAsia="仿宋_GB2312"/>
                <w:color w:val="auto"/>
                <w:szCs w:val="21"/>
              </w:rPr>
            </w:pPr>
          </w:p>
        </w:tc>
        <w:tc>
          <w:tcPr>
            <w:tcW w:w="418" w:type="pct"/>
            <w:vMerge w:val="continue"/>
            <w:vAlign w:val="center"/>
          </w:tcPr>
          <w:p w14:paraId="626FC508">
            <w:pPr>
              <w:jc w:val="center"/>
              <w:rPr>
                <w:rFonts w:eastAsia="仿宋_GB2312"/>
                <w:color w:val="auto"/>
                <w:szCs w:val="21"/>
              </w:rPr>
            </w:pPr>
          </w:p>
        </w:tc>
        <w:tc>
          <w:tcPr>
            <w:tcW w:w="446" w:type="pct"/>
            <w:vMerge w:val="continue"/>
            <w:vAlign w:val="center"/>
          </w:tcPr>
          <w:p w14:paraId="0050C6D2">
            <w:pPr>
              <w:jc w:val="center"/>
              <w:rPr>
                <w:rFonts w:eastAsia="仿宋_GB2312"/>
                <w:color w:val="auto"/>
                <w:szCs w:val="21"/>
              </w:rPr>
            </w:pPr>
          </w:p>
        </w:tc>
        <w:tc>
          <w:tcPr>
            <w:tcW w:w="361" w:type="pct"/>
            <w:vMerge w:val="continue"/>
            <w:vAlign w:val="center"/>
          </w:tcPr>
          <w:p w14:paraId="4EBC3AA5">
            <w:pPr>
              <w:jc w:val="center"/>
              <w:rPr>
                <w:rFonts w:eastAsia="仿宋_GB2312"/>
                <w:color w:val="auto"/>
                <w:szCs w:val="21"/>
              </w:rPr>
            </w:pPr>
          </w:p>
        </w:tc>
        <w:tc>
          <w:tcPr>
            <w:tcW w:w="498" w:type="pct"/>
            <w:vMerge w:val="continue"/>
            <w:shd w:val="clear" w:color="auto" w:fill="auto"/>
            <w:vAlign w:val="center"/>
          </w:tcPr>
          <w:p w14:paraId="34B30D32">
            <w:pPr>
              <w:keepNext w:val="0"/>
              <w:keepLines w:val="0"/>
              <w:widowControl/>
              <w:suppressLineNumbers w:val="0"/>
              <w:jc w:val="center"/>
              <w:textAlignment w:val="bottom"/>
              <w:rPr>
                <w:rFonts w:eastAsia="仿宋_GB2312"/>
                <w:color w:val="auto"/>
                <w:kern w:val="0"/>
                <w:szCs w:val="21"/>
                <w:lang w:bidi="ar"/>
              </w:rPr>
            </w:pPr>
          </w:p>
        </w:tc>
        <w:tc>
          <w:tcPr>
            <w:tcW w:w="820" w:type="pct"/>
            <w:shd w:val="clear" w:color="auto" w:fill="auto"/>
            <w:vAlign w:val="center"/>
          </w:tcPr>
          <w:p w14:paraId="764923DE">
            <w:pPr>
              <w:widowControl/>
              <w:jc w:val="center"/>
              <w:textAlignment w:val="center"/>
              <w:rPr>
                <w:rFonts w:ascii="Times New Roman" w:hAnsi="Times New Roman" w:eastAsia="仿宋_GB2312" w:cs="Times New Roman"/>
                <w:color w:val="auto"/>
                <w:kern w:val="0"/>
                <w:sz w:val="21"/>
                <w:szCs w:val="21"/>
                <w:lang w:val="en-US" w:eastAsia="zh-CN" w:bidi="ar"/>
              </w:rPr>
            </w:pPr>
            <w:r>
              <w:rPr>
                <w:rFonts w:eastAsia="仿宋_GB2312"/>
                <w:color w:val="auto"/>
                <w:kern w:val="0"/>
                <w:szCs w:val="21"/>
                <w:lang w:bidi="ar"/>
              </w:rPr>
              <w:t>其他有机物</w:t>
            </w:r>
          </w:p>
        </w:tc>
        <w:tc>
          <w:tcPr>
            <w:tcW w:w="380" w:type="pct"/>
            <w:shd w:val="clear" w:color="auto" w:fill="auto"/>
            <w:vAlign w:val="center"/>
          </w:tcPr>
          <w:p w14:paraId="53626D10">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0.01</w:t>
            </w:r>
          </w:p>
        </w:tc>
        <w:tc>
          <w:tcPr>
            <w:tcW w:w="445" w:type="pct"/>
            <w:shd w:val="clear" w:color="auto" w:fill="auto"/>
            <w:vAlign w:val="center"/>
          </w:tcPr>
          <w:p w14:paraId="2F165B14">
            <w:pPr>
              <w:jc w:val="center"/>
              <w:rPr>
                <w:rFonts w:hint="eastAsia"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0.003</w:t>
            </w:r>
          </w:p>
        </w:tc>
        <w:tc>
          <w:tcPr>
            <w:tcW w:w="630" w:type="pct"/>
            <w:vMerge w:val="continue"/>
            <w:vAlign w:val="center"/>
          </w:tcPr>
          <w:p w14:paraId="5A009CB5">
            <w:pPr>
              <w:jc w:val="center"/>
              <w:rPr>
                <w:rFonts w:eastAsia="仿宋_GB2312"/>
                <w:color w:val="auto"/>
                <w:szCs w:val="21"/>
              </w:rPr>
            </w:pPr>
          </w:p>
        </w:tc>
        <w:tc>
          <w:tcPr>
            <w:tcW w:w="292" w:type="pct"/>
            <w:vMerge w:val="continue"/>
            <w:vAlign w:val="center"/>
          </w:tcPr>
          <w:p w14:paraId="77ECF5F0">
            <w:pPr>
              <w:jc w:val="center"/>
              <w:rPr>
                <w:rFonts w:eastAsia="仿宋_GB2312"/>
                <w:color w:val="auto"/>
                <w:szCs w:val="21"/>
              </w:rPr>
            </w:pPr>
          </w:p>
        </w:tc>
      </w:tr>
      <w:tr w14:paraId="4C728D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127009C8">
            <w:pPr>
              <w:jc w:val="center"/>
              <w:rPr>
                <w:rFonts w:eastAsia="仿宋_GB2312"/>
                <w:color w:val="auto"/>
                <w:szCs w:val="21"/>
              </w:rPr>
            </w:pPr>
          </w:p>
        </w:tc>
        <w:tc>
          <w:tcPr>
            <w:tcW w:w="358" w:type="pct"/>
            <w:vMerge w:val="continue"/>
            <w:vAlign w:val="center"/>
          </w:tcPr>
          <w:p w14:paraId="38BDA0B2">
            <w:pPr>
              <w:jc w:val="center"/>
              <w:rPr>
                <w:rFonts w:eastAsia="仿宋_GB2312"/>
                <w:color w:val="auto"/>
                <w:szCs w:val="21"/>
              </w:rPr>
            </w:pPr>
          </w:p>
        </w:tc>
        <w:tc>
          <w:tcPr>
            <w:tcW w:w="418" w:type="pct"/>
            <w:vMerge w:val="restart"/>
            <w:vAlign w:val="center"/>
          </w:tcPr>
          <w:p w14:paraId="0186FDFD">
            <w:pPr>
              <w:jc w:val="center"/>
              <w:rPr>
                <w:rFonts w:eastAsia="仿宋_GB2312"/>
                <w:color w:val="auto"/>
                <w:szCs w:val="21"/>
              </w:rPr>
            </w:pPr>
            <w:r>
              <w:rPr>
                <w:rFonts w:eastAsia="仿宋_GB2312"/>
                <w:color w:val="auto"/>
                <w:kern w:val="0"/>
                <w:szCs w:val="21"/>
                <w:lang w:bidi="ar"/>
              </w:rPr>
              <w:t>G</w:t>
            </w:r>
            <w:r>
              <w:rPr>
                <w:rFonts w:hint="eastAsia" w:eastAsia="仿宋_GB2312"/>
                <w:color w:val="auto"/>
                <w:kern w:val="0"/>
                <w:szCs w:val="21"/>
                <w:lang w:val="en-US" w:eastAsia="zh-CN" w:bidi="ar"/>
              </w:rPr>
              <w:t>2</w:t>
            </w:r>
            <w:r>
              <w:rPr>
                <w:rFonts w:eastAsia="仿宋_GB2312"/>
                <w:color w:val="auto"/>
                <w:kern w:val="0"/>
                <w:szCs w:val="21"/>
                <w:lang w:bidi="ar"/>
              </w:rPr>
              <w:t>-1</w:t>
            </w:r>
            <w:r>
              <w:rPr>
                <w:rFonts w:hint="eastAsia" w:eastAsia="仿宋_GB2312"/>
                <w:color w:val="auto"/>
                <w:kern w:val="0"/>
                <w:szCs w:val="21"/>
                <w:lang w:val="en-US" w:eastAsia="zh-CN" w:bidi="ar"/>
              </w:rPr>
              <w:t>2</w:t>
            </w:r>
            <w:r>
              <w:rPr>
                <w:rFonts w:eastAsia="仿宋_GB2312"/>
                <w:color w:val="auto"/>
                <w:kern w:val="0"/>
                <w:szCs w:val="21"/>
                <w:lang w:bidi="ar"/>
              </w:rPr>
              <w:t>-3</w:t>
            </w:r>
          </w:p>
        </w:tc>
        <w:tc>
          <w:tcPr>
            <w:tcW w:w="446" w:type="pct"/>
            <w:vMerge w:val="restart"/>
            <w:vAlign w:val="center"/>
          </w:tcPr>
          <w:p w14:paraId="2DCEA248">
            <w:pPr>
              <w:jc w:val="center"/>
              <w:rPr>
                <w:rFonts w:eastAsia="仿宋_GB2312"/>
                <w:color w:val="auto"/>
                <w:szCs w:val="21"/>
              </w:rPr>
            </w:pPr>
            <w:r>
              <w:rPr>
                <w:rFonts w:eastAsia="仿宋_GB2312"/>
                <w:color w:val="auto"/>
                <w:kern w:val="0"/>
                <w:szCs w:val="21"/>
                <w:lang w:bidi="ar"/>
              </w:rPr>
              <w:t>不凝气</w:t>
            </w:r>
          </w:p>
        </w:tc>
        <w:tc>
          <w:tcPr>
            <w:tcW w:w="361" w:type="pct"/>
            <w:vMerge w:val="restart"/>
            <w:vAlign w:val="center"/>
          </w:tcPr>
          <w:p w14:paraId="7DF922DF">
            <w:pPr>
              <w:jc w:val="center"/>
              <w:rPr>
                <w:rFonts w:eastAsia="仿宋_GB2312"/>
                <w:color w:val="auto"/>
                <w:szCs w:val="21"/>
              </w:rPr>
            </w:pPr>
            <w:r>
              <w:rPr>
                <w:rFonts w:eastAsia="仿宋_GB2312"/>
                <w:color w:val="auto"/>
                <w:szCs w:val="21"/>
              </w:rPr>
              <w:t>360</w:t>
            </w:r>
          </w:p>
        </w:tc>
        <w:tc>
          <w:tcPr>
            <w:tcW w:w="498" w:type="pct"/>
            <w:vMerge w:val="restart"/>
            <w:shd w:val="clear" w:color="auto" w:fill="auto"/>
            <w:vAlign w:val="center"/>
          </w:tcPr>
          <w:p w14:paraId="09B6B7FE">
            <w:pPr>
              <w:keepNext w:val="0"/>
              <w:keepLines w:val="0"/>
              <w:widowControl/>
              <w:suppressLineNumbers w:val="0"/>
              <w:jc w:val="center"/>
              <w:textAlignment w:val="bottom"/>
              <w:rPr>
                <w:rFonts w:hint="eastAsia" w:eastAsia="仿宋_GB2312"/>
                <w:color w:val="auto"/>
                <w:kern w:val="0"/>
                <w:szCs w:val="21"/>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592</w:t>
            </w:r>
          </w:p>
        </w:tc>
        <w:tc>
          <w:tcPr>
            <w:tcW w:w="820" w:type="pct"/>
            <w:shd w:val="clear" w:color="auto" w:fill="auto"/>
            <w:vAlign w:val="center"/>
          </w:tcPr>
          <w:p w14:paraId="5DE57B52">
            <w:pPr>
              <w:widowControl/>
              <w:jc w:val="center"/>
              <w:textAlignment w:val="center"/>
              <w:rPr>
                <w:rFonts w:ascii="Times New Roman" w:hAnsi="Times New Roman" w:eastAsia="仿宋_GB2312" w:cs="Times New Roman"/>
                <w:b/>
                <w:bCs/>
                <w:color w:val="auto"/>
                <w:kern w:val="0"/>
                <w:sz w:val="21"/>
                <w:szCs w:val="21"/>
                <w:highlight w:val="yellow"/>
                <w:lang w:val="en-US" w:eastAsia="zh-CN" w:bidi="ar"/>
              </w:rPr>
            </w:pPr>
            <w:r>
              <w:rPr>
                <w:rFonts w:hint="eastAsia" w:eastAsia="仿宋_GB2312"/>
                <w:color w:val="auto"/>
                <w:kern w:val="0"/>
                <w:szCs w:val="21"/>
                <w:lang w:val="en-US" w:eastAsia="zh-CN" w:bidi="ar"/>
              </w:rPr>
              <w:t>异丙苯</w:t>
            </w:r>
          </w:p>
        </w:tc>
        <w:tc>
          <w:tcPr>
            <w:tcW w:w="380" w:type="pct"/>
            <w:shd w:val="clear" w:color="auto" w:fill="auto"/>
            <w:vAlign w:val="center"/>
          </w:tcPr>
          <w:p w14:paraId="707CE5E4">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7.567</w:t>
            </w:r>
          </w:p>
        </w:tc>
        <w:tc>
          <w:tcPr>
            <w:tcW w:w="445" w:type="pct"/>
            <w:shd w:val="clear" w:color="auto" w:fill="auto"/>
            <w:vAlign w:val="center"/>
          </w:tcPr>
          <w:p w14:paraId="406A4155">
            <w:pPr>
              <w:jc w:val="center"/>
              <w:rPr>
                <w:rFonts w:hint="eastAsia"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4.48</w:t>
            </w:r>
          </w:p>
        </w:tc>
        <w:tc>
          <w:tcPr>
            <w:tcW w:w="630" w:type="pct"/>
            <w:vMerge w:val="continue"/>
            <w:vAlign w:val="center"/>
          </w:tcPr>
          <w:p w14:paraId="3CEEB64E">
            <w:pPr>
              <w:jc w:val="center"/>
              <w:rPr>
                <w:rFonts w:eastAsia="仿宋_GB2312"/>
                <w:color w:val="auto"/>
                <w:szCs w:val="21"/>
              </w:rPr>
            </w:pPr>
          </w:p>
        </w:tc>
        <w:tc>
          <w:tcPr>
            <w:tcW w:w="292" w:type="pct"/>
            <w:vMerge w:val="continue"/>
            <w:vAlign w:val="center"/>
          </w:tcPr>
          <w:p w14:paraId="3AA2FBD9">
            <w:pPr>
              <w:jc w:val="center"/>
              <w:rPr>
                <w:rFonts w:eastAsia="仿宋_GB2312"/>
                <w:color w:val="auto"/>
                <w:szCs w:val="21"/>
              </w:rPr>
            </w:pPr>
          </w:p>
        </w:tc>
      </w:tr>
      <w:tr w14:paraId="1F0359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3CCA5111">
            <w:pPr>
              <w:jc w:val="center"/>
              <w:rPr>
                <w:rFonts w:eastAsia="仿宋_GB2312"/>
                <w:color w:val="auto"/>
                <w:szCs w:val="21"/>
              </w:rPr>
            </w:pPr>
          </w:p>
        </w:tc>
        <w:tc>
          <w:tcPr>
            <w:tcW w:w="358" w:type="pct"/>
            <w:vMerge w:val="continue"/>
            <w:vAlign w:val="center"/>
          </w:tcPr>
          <w:p w14:paraId="67257225">
            <w:pPr>
              <w:jc w:val="center"/>
              <w:rPr>
                <w:rFonts w:eastAsia="仿宋_GB2312"/>
                <w:color w:val="auto"/>
                <w:szCs w:val="21"/>
              </w:rPr>
            </w:pPr>
          </w:p>
        </w:tc>
        <w:tc>
          <w:tcPr>
            <w:tcW w:w="418" w:type="pct"/>
            <w:vMerge w:val="continue"/>
            <w:vAlign w:val="center"/>
          </w:tcPr>
          <w:p w14:paraId="54402D5D">
            <w:pPr>
              <w:jc w:val="center"/>
              <w:rPr>
                <w:rFonts w:eastAsia="仿宋_GB2312"/>
                <w:color w:val="auto"/>
                <w:kern w:val="0"/>
                <w:szCs w:val="21"/>
                <w:lang w:bidi="ar"/>
              </w:rPr>
            </w:pPr>
          </w:p>
        </w:tc>
        <w:tc>
          <w:tcPr>
            <w:tcW w:w="446" w:type="pct"/>
            <w:vMerge w:val="continue"/>
            <w:vAlign w:val="center"/>
          </w:tcPr>
          <w:p w14:paraId="186FD65F">
            <w:pPr>
              <w:jc w:val="center"/>
              <w:rPr>
                <w:rFonts w:eastAsia="仿宋_GB2312"/>
                <w:color w:val="auto"/>
                <w:kern w:val="0"/>
                <w:szCs w:val="21"/>
                <w:lang w:bidi="ar"/>
              </w:rPr>
            </w:pPr>
          </w:p>
        </w:tc>
        <w:tc>
          <w:tcPr>
            <w:tcW w:w="361" w:type="pct"/>
            <w:vMerge w:val="continue"/>
            <w:vAlign w:val="center"/>
          </w:tcPr>
          <w:p w14:paraId="1B8F74F2">
            <w:pPr>
              <w:jc w:val="center"/>
              <w:rPr>
                <w:rFonts w:eastAsia="仿宋_GB2312"/>
                <w:color w:val="auto"/>
                <w:szCs w:val="21"/>
              </w:rPr>
            </w:pPr>
          </w:p>
        </w:tc>
        <w:tc>
          <w:tcPr>
            <w:tcW w:w="498" w:type="pct"/>
            <w:vMerge w:val="continue"/>
            <w:shd w:val="clear" w:color="auto" w:fill="auto"/>
            <w:vAlign w:val="center"/>
          </w:tcPr>
          <w:p w14:paraId="5CAADE38">
            <w:pPr>
              <w:keepNext w:val="0"/>
              <w:keepLines w:val="0"/>
              <w:widowControl/>
              <w:suppressLineNumbers w:val="0"/>
              <w:jc w:val="center"/>
              <w:textAlignment w:val="bottom"/>
              <w:rPr>
                <w:rFonts w:hint="eastAsia" w:eastAsia="仿宋_GB2312"/>
                <w:color w:val="auto"/>
                <w:kern w:val="0"/>
                <w:szCs w:val="21"/>
                <w:lang w:val="en-US" w:eastAsia="zh-CN" w:bidi="ar"/>
              </w:rPr>
            </w:pPr>
          </w:p>
        </w:tc>
        <w:tc>
          <w:tcPr>
            <w:tcW w:w="820" w:type="pct"/>
            <w:shd w:val="clear" w:color="auto" w:fill="auto"/>
            <w:vAlign w:val="center"/>
          </w:tcPr>
          <w:p w14:paraId="0EECDA4D">
            <w:pPr>
              <w:widowControl/>
              <w:jc w:val="center"/>
              <w:textAlignment w:val="center"/>
              <w:rPr>
                <w:rFonts w:ascii="Times New Roman" w:hAnsi="Times New Roman" w:eastAsia="仿宋_GB2312" w:cs="Times New Roman"/>
                <w:color w:val="auto"/>
                <w:kern w:val="0"/>
                <w:sz w:val="21"/>
                <w:szCs w:val="21"/>
                <w:highlight w:val="yellow"/>
                <w:lang w:val="en-US" w:eastAsia="zh-CN" w:bidi="ar"/>
              </w:rPr>
            </w:pPr>
            <w:r>
              <w:rPr>
                <w:rFonts w:hint="eastAsia" w:eastAsia="仿宋_GB2312"/>
                <w:color w:val="auto"/>
                <w:kern w:val="0"/>
                <w:szCs w:val="21"/>
                <w:lang w:val="en-US" w:eastAsia="zh-CN" w:bidi="ar"/>
              </w:rPr>
              <w:t>二异丙苯</w:t>
            </w:r>
          </w:p>
        </w:tc>
        <w:tc>
          <w:tcPr>
            <w:tcW w:w="380" w:type="pct"/>
            <w:shd w:val="clear" w:color="auto" w:fill="auto"/>
            <w:vAlign w:val="center"/>
          </w:tcPr>
          <w:p w14:paraId="3B712544">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0.016</w:t>
            </w:r>
          </w:p>
        </w:tc>
        <w:tc>
          <w:tcPr>
            <w:tcW w:w="445" w:type="pct"/>
            <w:shd w:val="clear" w:color="auto" w:fill="auto"/>
            <w:vAlign w:val="center"/>
          </w:tcPr>
          <w:p w14:paraId="71F241D9">
            <w:pPr>
              <w:jc w:val="center"/>
              <w:rPr>
                <w:rFonts w:hint="eastAsia"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0.01</w:t>
            </w:r>
          </w:p>
        </w:tc>
        <w:tc>
          <w:tcPr>
            <w:tcW w:w="630" w:type="pct"/>
            <w:vMerge w:val="continue"/>
            <w:vAlign w:val="center"/>
          </w:tcPr>
          <w:p w14:paraId="0424449F">
            <w:pPr>
              <w:jc w:val="center"/>
              <w:rPr>
                <w:rFonts w:eastAsia="仿宋_GB2312"/>
                <w:color w:val="auto"/>
                <w:szCs w:val="21"/>
              </w:rPr>
            </w:pPr>
          </w:p>
        </w:tc>
        <w:tc>
          <w:tcPr>
            <w:tcW w:w="292" w:type="pct"/>
            <w:vMerge w:val="continue"/>
            <w:vAlign w:val="center"/>
          </w:tcPr>
          <w:p w14:paraId="3E05C8F1">
            <w:pPr>
              <w:jc w:val="center"/>
              <w:rPr>
                <w:rFonts w:eastAsia="仿宋_GB2312"/>
                <w:color w:val="auto"/>
                <w:szCs w:val="21"/>
              </w:rPr>
            </w:pPr>
          </w:p>
        </w:tc>
      </w:tr>
      <w:tr w14:paraId="331BEE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1D9B4349">
            <w:pPr>
              <w:jc w:val="center"/>
              <w:rPr>
                <w:rFonts w:eastAsia="仿宋_GB2312"/>
                <w:color w:val="auto"/>
                <w:szCs w:val="21"/>
              </w:rPr>
            </w:pPr>
          </w:p>
        </w:tc>
        <w:tc>
          <w:tcPr>
            <w:tcW w:w="358" w:type="pct"/>
            <w:vMerge w:val="continue"/>
            <w:vAlign w:val="center"/>
          </w:tcPr>
          <w:p w14:paraId="7A7E034D">
            <w:pPr>
              <w:jc w:val="center"/>
              <w:rPr>
                <w:rFonts w:eastAsia="仿宋_GB2312"/>
                <w:color w:val="auto"/>
                <w:szCs w:val="21"/>
              </w:rPr>
            </w:pPr>
          </w:p>
        </w:tc>
        <w:tc>
          <w:tcPr>
            <w:tcW w:w="418" w:type="pct"/>
            <w:vMerge w:val="continue"/>
            <w:vAlign w:val="center"/>
          </w:tcPr>
          <w:p w14:paraId="75AC1E27">
            <w:pPr>
              <w:jc w:val="center"/>
              <w:rPr>
                <w:rFonts w:eastAsia="仿宋_GB2312"/>
                <w:color w:val="auto"/>
                <w:szCs w:val="21"/>
              </w:rPr>
            </w:pPr>
          </w:p>
        </w:tc>
        <w:tc>
          <w:tcPr>
            <w:tcW w:w="446" w:type="pct"/>
            <w:vMerge w:val="continue"/>
            <w:vAlign w:val="center"/>
          </w:tcPr>
          <w:p w14:paraId="0FFB214F">
            <w:pPr>
              <w:jc w:val="center"/>
              <w:rPr>
                <w:rFonts w:eastAsia="仿宋_GB2312"/>
                <w:color w:val="auto"/>
                <w:szCs w:val="21"/>
              </w:rPr>
            </w:pPr>
          </w:p>
        </w:tc>
        <w:tc>
          <w:tcPr>
            <w:tcW w:w="361" w:type="pct"/>
            <w:vMerge w:val="continue"/>
            <w:vAlign w:val="center"/>
          </w:tcPr>
          <w:p w14:paraId="5A5201F7">
            <w:pPr>
              <w:jc w:val="center"/>
              <w:rPr>
                <w:rFonts w:eastAsia="仿宋_GB2312"/>
                <w:color w:val="auto"/>
                <w:szCs w:val="21"/>
              </w:rPr>
            </w:pPr>
          </w:p>
        </w:tc>
        <w:tc>
          <w:tcPr>
            <w:tcW w:w="498" w:type="pct"/>
            <w:vMerge w:val="continue"/>
            <w:shd w:val="clear" w:color="auto" w:fill="auto"/>
            <w:vAlign w:val="center"/>
          </w:tcPr>
          <w:p w14:paraId="1D7856AA">
            <w:pPr>
              <w:keepNext w:val="0"/>
              <w:keepLines w:val="0"/>
              <w:widowControl/>
              <w:suppressLineNumbers w:val="0"/>
              <w:jc w:val="center"/>
              <w:textAlignment w:val="bottom"/>
              <w:rPr>
                <w:rFonts w:hint="eastAsia" w:eastAsia="仿宋_GB2312"/>
                <w:color w:val="auto"/>
                <w:kern w:val="0"/>
                <w:szCs w:val="21"/>
                <w:lang w:val="en-US" w:eastAsia="zh-CN" w:bidi="ar"/>
              </w:rPr>
            </w:pPr>
          </w:p>
        </w:tc>
        <w:tc>
          <w:tcPr>
            <w:tcW w:w="820" w:type="pct"/>
            <w:shd w:val="clear" w:color="auto" w:fill="auto"/>
            <w:vAlign w:val="center"/>
          </w:tcPr>
          <w:p w14:paraId="2D1C8C13">
            <w:pPr>
              <w:widowControl/>
              <w:jc w:val="center"/>
              <w:textAlignment w:val="center"/>
              <w:rPr>
                <w:rFonts w:ascii="Times New Roman" w:hAnsi="Times New Roman" w:eastAsia="仿宋_GB2312" w:cs="Times New Roman"/>
                <w:color w:val="auto"/>
                <w:kern w:val="0"/>
                <w:sz w:val="21"/>
                <w:szCs w:val="21"/>
                <w:highlight w:val="yellow"/>
                <w:lang w:val="en-US" w:eastAsia="zh-CN" w:bidi="ar"/>
              </w:rPr>
            </w:pPr>
            <w:r>
              <w:rPr>
                <w:rFonts w:hint="eastAsia" w:eastAsia="仿宋_GB2312"/>
                <w:color w:val="auto"/>
                <w:kern w:val="0"/>
                <w:szCs w:val="21"/>
                <w:lang w:val="en-US" w:eastAsia="zh-CN" w:bidi="ar"/>
              </w:rPr>
              <w:t>乙苯</w:t>
            </w:r>
          </w:p>
        </w:tc>
        <w:tc>
          <w:tcPr>
            <w:tcW w:w="380" w:type="pct"/>
            <w:shd w:val="clear" w:color="auto" w:fill="auto"/>
            <w:vAlign w:val="center"/>
          </w:tcPr>
          <w:p w14:paraId="757C9EAD">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0.016</w:t>
            </w:r>
          </w:p>
        </w:tc>
        <w:tc>
          <w:tcPr>
            <w:tcW w:w="445" w:type="pct"/>
            <w:shd w:val="clear" w:color="auto" w:fill="auto"/>
            <w:vAlign w:val="center"/>
          </w:tcPr>
          <w:p w14:paraId="4A6544FF">
            <w:pPr>
              <w:jc w:val="center"/>
              <w:rPr>
                <w:rFonts w:hint="eastAsia"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0.01</w:t>
            </w:r>
          </w:p>
        </w:tc>
        <w:tc>
          <w:tcPr>
            <w:tcW w:w="630" w:type="pct"/>
            <w:vMerge w:val="continue"/>
            <w:vAlign w:val="center"/>
          </w:tcPr>
          <w:p w14:paraId="3946BD86">
            <w:pPr>
              <w:jc w:val="center"/>
              <w:rPr>
                <w:rFonts w:eastAsia="仿宋_GB2312"/>
                <w:color w:val="auto"/>
                <w:szCs w:val="21"/>
              </w:rPr>
            </w:pPr>
          </w:p>
        </w:tc>
        <w:tc>
          <w:tcPr>
            <w:tcW w:w="292" w:type="pct"/>
            <w:vMerge w:val="continue"/>
            <w:vAlign w:val="center"/>
          </w:tcPr>
          <w:p w14:paraId="3C4D8D62">
            <w:pPr>
              <w:jc w:val="center"/>
              <w:rPr>
                <w:rFonts w:eastAsia="仿宋_GB2312"/>
                <w:color w:val="auto"/>
                <w:szCs w:val="21"/>
              </w:rPr>
            </w:pPr>
          </w:p>
        </w:tc>
      </w:tr>
      <w:tr w14:paraId="2B0F2E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010D59FF">
            <w:pPr>
              <w:jc w:val="center"/>
              <w:rPr>
                <w:rFonts w:eastAsia="仿宋_GB2312"/>
                <w:color w:val="auto"/>
                <w:szCs w:val="21"/>
              </w:rPr>
            </w:pPr>
          </w:p>
        </w:tc>
        <w:tc>
          <w:tcPr>
            <w:tcW w:w="358" w:type="pct"/>
            <w:vMerge w:val="continue"/>
            <w:vAlign w:val="center"/>
          </w:tcPr>
          <w:p w14:paraId="0B3D7554">
            <w:pPr>
              <w:jc w:val="center"/>
              <w:rPr>
                <w:rFonts w:eastAsia="仿宋_GB2312"/>
                <w:color w:val="auto"/>
                <w:szCs w:val="21"/>
              </w:rPr>
            </w:pPr>
          </w:p>
        </w:tc>
        <w:tc>
          <w:tcPr>
            <w:tcW w:w="418" w:type="pct"/>
            <w:vMerge w:val="continue"/>
            <w:vAlign w:val="center"/>
          </w:tcPr>
          <w:p w14:paraId="0C583F8E">
            <w:pPr>
              <w:jc w:val="center"/>
              <w:rPr>
                <w:rFonts w:eastAsia="仿宋_GB2312"/>
                <w:color w:val="auto"/>
                <w:szCs w:val="21"/>
              </w:rPr>
            </w:pPr>
          </w:p>
        </w:tc>
        <w:tc>
          <w:tcPr>
            <w:tcW w:w="446" w:type="pct"/>
            <w:vMerge w:val="continue"/>
            <w:vAlign w:val="center"/>
          </w:tcPr>
          <w:p w14:paraId="6BF4ACDD">
            <w:pPr>
              <w:jc w:val="center"/>
              <w:rPr>
                <w:rFonts w:eastAsia="仿宋_GB2312"/>
                <w:color w:val="auto"/>
                <w:szCs w:val="21"/>
              </w:rPr>
            </w:pPr>
          </w:p>
        </w:tc>
        <w:tc>
          <w:tcPr>
            <w:tcW w:w="361" w:type="pct"/>
            <w:vMerge w:val="continue"/>
            <w:vAlign w:val="center"/>
          </w:tcPr>
          <w:p w14:paraId="5BDB0688">
            <w:pPr>
              <w:jc w:val="center"/>
              <w:rPr>
                <w:rFonts w:eastAsia="仿宋_GB2312"/>
                <w:color w:val="auto"/>
                <w:szCs w:val="21"/>
              </w:rPr>
            </w:pPr>
          </w:p>
        </w:tc>
        <w:tc>
          <w:tcPr>
            <w:tcW w:w="498" w:type="pct"/>
            <w:vMerge w:val="continue"/>
            <w:shd w:val="clear" w:color="auto" w:fill="auto"/>
            <w:vAlign w:val="center"/>
          </w:tcPr>
          <w:p w14:paraId="697FF7F7">
            <w:pPr>
              <w:keepNext w:val="0"/>
              <w:keepLines w:val="0"/>
              <w:widowControl/>
              <w:suppressLineNumbers w:val="0"/>
              <w:jc w:val="center"/>
              <w:textAlignment w:val="bottom"/>
              <w:rPr>
                <w:rFonts w:hint="eastAsia" w:eastAsia="仿宋_GB2312"/>
                <w:color w:val="auto"/>
                <w:kern w:val="0"/>
                <w:szCs w:val="21"/>
                <w:lang w:val="en-US" w:eastAsia="zh-CN" w:bidi="ar"/>
              </w:rPr>
            </w:pPr>
          </w:p>
        </w:tc>
        <w:tc>
          <w:tcPr>
            <w:tcW w:w="820" w:type="pct"/>
            <w:shd w:val="clear" w:color="auto" w:fill="auto"/>
            <w:vAlign w:val="center"/>
          </w:tcPr>
          <w:p w14:paraId="5F72C13E">
            <w:pPr>
              <w:widowControl/>
              <w:jc w:val="center"/>
              <w:textAlignment w:val="center"/>
              <w:rPr>
                <w:rFonts w:ascii="Times New Roman" w:hAnsi="Times New Roman" w:eastAsia="仿宋_GB2312" w:cs="Times New Roman"/>
                <w:b/>
                <w:bCs/>
                <w:color w:val="auto"/>
                <w:kern w:val="0"/>
                <w:sz w:val="21"/>
                <w:szCs w:val="21"/>
                <w:highlight w:val="yellow"/>
                <w:lang w:val="en-US" w:eastAsia="zh-CN" w:bidi="ar"/>
              </w:rPr>
            </w:pPr>
            <w:r>
              <w:rPr>
                <w:rFonts w:hint="eastAsia" w:eastAsia="仿宋_GB2312"/>
                <w:color w:val="auto"/>
                <w:kern w:val="0"/>
                <w:szCs w:val="21"/>
                <w:lang w:val="en-US" w:eastAsia="zh-CN" w:bidi="ar"/>
              </w:rPr>
              <w:t>正丙苯</w:t>
            </w:r>
          </w:p>
        </w:tc>
        <w:tc>
          <w:tcPr>
            <w:tcW w:w="380" w:type="pct"/>
            <w:shd w:val="clear" w:color="auto" w:fill="auto"/>
            <w:vAlign w:val="center"/>
          </w:tcPr>
          <w:p w14:paraId="57F19328">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0.008</w:t>
            </w:r>
          </w:p>
        </w:tc>
        <w:tc>
          <w:tcPr>
            <w:tcW w:w="445" w:type="pct"/>
            <w:shd w:val="clear" w:color="auto" w:fill="auto"/>
            <w:vAlign w:val="center"/>
          </w:tcPr>
          <w:p w14:paraId="0D547A8C">
            <w:pPr>
              <w:jc w:val="center"/>
              <w:rPr>
                <w:rFonts w:hint="eastAsia"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0.005</w:t>
            </w:r>
          </w:p>
        </w:tc>
        <w:tc>
          <w:tcPr>
            <w:tcW w:w="630" w:type="pct"/>
            <w:vMerge w:val="continue"/>
            <w:vAlign w:val="center"/>
          </w:tcPr>
          <w:p w14:paraId="2F99D65F">
            <w:pPr>
              <w:jc w:val="center"/>
              <w:rPr>
                <w:rFonts w:eastAsia="仿宋_GB2312"/>
                <w:color w:val="auto"/>
                <w:szCs w:val="21"/>
              </w:rPr>
            </w:pPr>
          </w:p>
        </w:tc>
        <w:tc>
          <w:tcPr>
            <w:tcW w:w="292" w:type="pct"/>
            <w:vMerge w:val="continue"/>
            <w:vAlign w:val="center"/>
          </w:tcPr>
          <w:p w14:paraId="7D227196">
            <w:pPr>
              <w:jc w:val="center"/>
              <w:rPr>
                <w:rFonts w:eastAsia="仿宋_GB2312"/>
                <w:color w:val="auto"/>
                <w:szCs w:val="21"/>
              </w:rPr>
            </w:pPr>
          </w:p>
        </w:tc>
      </w:tr>
      <w:tr w14:paraId="3C0709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547E4B2F">
            <w:pPr>
              <w:jc w:val="center"/>
              <w:rPr>
                <w:rFonts w:eastAsia="仿宋_GB2312"/>
                <w:color w:val="auto"/>
                <w:szCs w:val="21"/>
              </w:rPr>
            </w:pPr>
          </w:p>
        </w:tc>
        <w:tc>
          <w:tcPr>
            <w:tcW w:w="358" w:type="pct"/>
            <w:vMerge w:val="continue"/>
            <w:vAlign w:val="center"/>
          </w:tcPr>
          <w:p w14:paraId="11B5845B">
            <w:pPr>
              <w:jc w:val="center"/>
              <w:rPr>
                <w:rFonts w:eastAsia="仿宋_GB2312"/>
                <w:color w:val="auto"/>
                <w:szCs w:val="21"/>
              </w:rPr>
            </w:pPr>
          </w:p>
        </w:tc>
        <w:tc>
          <w:tcPr>
            <w:tcW w:w="418" w:type="pct"/>
            <w:vMerge w:val="continue"/>
            <w:vAlign w:val="center"/>
          </w:tcPr>
          <w:p w14:paraId="47F5C402">
            <w:pPr>
              <w:jc w:val="center"/>
              <w:rPr>
                <w:rFonts w:eastAsia="仿宋_GB2312"/>
                <w:color w:val="auto"/>
                <w:szCs w:val="21"/>
              </w:rPr>
            </w:pPr>
          </w:p>
        </w:tc>
        <w:tc>
          <w:tcPr>
            <w:tcW w:w="446" w:type="pct"/>
            <w:vMerge w:val="continue"/>
            <w:vAlign w:val="center"/>
          </w:tcPr>
          <w:p w14:paraId="4592F27F">
            <w:pPr>
              <w:jc w:val="center"/>
              <w:rPr>
                <w:rFonts w:eastAsia="仿宋_GB2312"/>
                <w:color w:val="auto"/>
                <w:szCs w:val="21"/>
              </w:rPr>
            </w:pPr>
          </w:p>
        </w:tc>
        <w:tc>
          <w:tcPr>
            <w:tcW w:w="361" w:type="pct"/>
            <w:vMerge w:val="continue"/>
            <w:vAlign w:val="center"/>
          </w:tcPr>
          <w:p w14:paraId="763093C0">
            <w:pPr>
              <w:jc w:val="center"/>
              <w:rPr>
                <w:rFonts w:eastAsia="仿宋_GB2312"/>
                <w:color w:val="auto"/>
                <w:szCs w:val="21"/>
              </w:rPr>
            </w:pPr>
          </w:p>
        </w:tc>
        <w:tc>
          <w:tcPr>
            <w:tcW w:w="498" w:type="pct"/>
            <w:vMerge w:val="continue"/>
            <w:shd w:val="clear" w:color="auto" w:fill="auto"/>
            <w:vAlign w:val="center"/>
          </w:tcPr>
          <w:p w14:paraId="66F0E2FC">
            <w:pPr>
              <w:keepNext w:val="0"/>
              <w:keepLines w:val="0"/>
              <w:widowControl/>
              <w:suppressLineNumbers w:val="0"/>
              <w:jc w:val="center"/>
              <w:textAlignment w:val="bottom"/>
              <w:rPr>
                <w:rFonts w:eastAsia="仿宋_GB2312"/>
                <w:color w:val="auto"/>
                <w:kern w:val="0"/>
                <w:szCs w:val="21"/>
                <w:lang w:bidi="ar"/>
              </w:rPr>
            </w:pPr>
          </w:p>
        </w:tc>
        <w:tc>
          <w:tcPr>
            <w:tcW w:w="820" w:type="pct"/>
            <w:shd w:val="clear" w:color="auto" w:fill="auto"/>
            <w:vAlign w:val="center"/>
          </w:tcPr>
          <w:p w14:paraId="23AE55A3">
            <w:pPr>
              <w:widowControl/>
              <w:jc w:val="center"/>
              <w:textAlignment w:val="center"/>
              <w:rPr>
                <w:rFonts w:ascii="Times New Roman" w:hAnsi="Times New Roman" w:eastAsia="仿宋_GB2312" w:cs="Times New Roman"/>
                <w:color w:val="auto"/>
                <w:kern w:val="0"/>
                <w:sz w:val="21"/>
                <w:szCs w:val="21"/>
                <w:lang w:val="en-US" w:eastAsia="zh-CN" w:bidi="ar"/>
              </w:rPr>
            </w:pPr>
            <w:r>
              <w:rPr>
                <w:rFonts w:eastAsia="仿宋_GB2312"/>
                <w:color w:val="auto"/>
                <w:kern w:val="0"/>
                <w:szCs w:val="21"/>
                <w:lang w:bidi="ar"/>
              </w:rPr>
              <w:t>其他有机物</w:t>
            </w:r>
          </w:p>
        </w:tc>
        <w:tc>
          <w:tcPr>
            <w:tcW w:w="380" w:type="pct"/>
            <w:shd w:val="clear" w:color="auto" w:fill="auto"/>
            <w:vAlign w:val="center"/>
          </w:tcPr>
          <w:p w14:paraId="70BF7CB5">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0.219</w:t>
            </w:r>
          </w:p>
        </w:tc>
        <w:tc>
          <w:tcPr>
            <w:tcW w:w="445" w:type="pct"/>
            <w:shd w:val="clear" w:color="auto" w:fill="auto"/>
            <w:vAlign w:val="center"/>
          </w:tcPr>
          <w:p w14:paraId="18560B5D">
            <w:pPr>
              <w:jc w:val="center"/>
              <w:rPr>
                <w:rFonts w:hint="eastAsia"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0.13</w:t>
            </w:r>
          </w:p>
        </w:tc>
        <w:tc>
          <w:tcPr>
            <w:tcW w:w="630" w:type="pct"/>
            <w:vMerge w:val="continue"/>
            <w:vAlign w:val="center"/>
          </w:tcPr>
          <w:p w14:paraId="57B4E988">
            <w:pPr>
              <w:jc w:val="center"/>
              <w:rPr>
                <w:rFonts w:eastAsia="仿宋_GB2312"/>
                <w:color w:val="auto"/>
                <w:szCs w:val="21"/>
              </w:rPr>
            </w:pPr>
          </w:p>
        </w:tc>
        <w:tc>
          <w:tcPr>
            <w:tcW w:w="292" w:type="pct"/>
            <w:vMerge w:val="continue"/>
            <w:vAlign w:val="center"/>
          </w:tcPr>
          <w:p w14:paraId="66C94ABB">
            <w:pPr>
              <w:jc w:val="center"/>
              <w:rPr>
                <w:rFonts w:eastAsia="仿宋_GB2312"/>
                <w:color w:val="auto"/>
                <w:szCs w:val="21"/>
              </w:rPr>
            </w:pPr>
          </w:p>
        </w:tc>
      </w:tr>
      <w:tr w14:paraId="18CA66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2CC87489">
            <w:pPr>
              <w:jc w:val="center"/>
              <w:rPr>
                <w:rFonts w:eastAsia="仿宋_GB2312"/>
                <w:color w:val="auto"/>
                <w:szCs w:val="21"/>
              </w:rPr>
            </w:pPr>
          </w:p>
        </w:tc>
        <w:tc>
          <w:tcPr>
            <w:tcW w:w="358" w:type="pct"/>
            <w:vMerge w:val="continue"/>
            <w:vAlign w:val="center"/>
          </w:tcPr>
          <w:p w14:paraId="4D6CC916">
            <w:pPr>
              <w:jc w:val="center"/>
              <w:rPr>
                <w:rFonts w:eastAsia="仿宋_GB2312"/>
                <w:color w:val="auto"/>
                <w:szCs w:val="21"/>
              </w:rPr>
            </w:pPr>
          </w:p>
        </w:tc>
        <w:tc>
          <w:tcPr>
            <w:tcW w:w="418" w:type="pct"/>
            <w:vMerge w:val="restart"/>
            <w:vAlign w:val="center"/>
          </w:tcPr>
          <w:p w14:paraId="49FD4CBB">
            <w:pPr>
              <w:jc w:val="center"/>
              <w:rPr>
                <w:rFonts w:eastAsia="仿宋_GB2312"/>
                <w:color w:val="auto"/>
                <w:szCs w:val="21"/>
              </w:rPr>
            </w:pPr>
            <w:r>
              <w:rPr>
                <w:rFonts w:eastAsia="仿宋_GB2312"/>
                <w:color w:val="auto"/>
                <w:kern w:val="0"/>
                <w:szCs w:val="21"/>
                <w:lang w:bidi="ar"/>
              </w:rPr>
              <w:t>G</w:t>
            </w:r>
            <w:r>
              <w:rPr>
                <w:rFonts w:hint="eastAsia" w:eastAsia="仿宋_GB2312"/>
                <w:color w:val="auto"/>
                <w:kern w:val="0"/>
                <w:szCs w:val="21"/>
                <w:lang w:val="en-US" w:eastAsia="zh-CN" w:bidi="ar"/>
              </w:rPr>
              <w:t>2</w:t>
            </w:r>
            <w:r>
              <w:rPr>
                <w:rFonts w:eastAsia="仿宋_GB2312"/>
                <w:color w:val="auto"/>
                <w:kern w:val="0"/>
                <w:szCs w:val="21"/>
                <w:lang w:bidi="ar"/>
              </w:rPr>
              <w:t>-1</w:t>
            </w:r>
            <w:r>
              <w:rPr>
                <w:rFonts w:hint="eastAsia" w:eastAsia="仿宋_GB2312"/>
                <w:color w:val="auto"/>
                <w:kern w:val="0"/>
                <w:szCs w:val="21"/>
                <w:lang w:val="en-US" w:eastAsia="zh-CN" w:bidi="ar"/>
              </w:rPr>
              <w:t>2</w:t>
            </w:r>
            <w:r>
              <w:rPr>
                <w:rFonts w:eastAsia="仿宋_GB2312"/>
                <w:color w:val="auto"/>
                <w:kern w:val="0"/>
                <w:szCs w:val="21"/>
                <w:lang w:bidi="ar"/>
              </w:rPr>
              <w:t>-4</w:t>
            </w:r>
          </w:p>
        </w:tc>
        <w:tc>
          <w:tcPr>
            <w:tcW w:w="446" w:type="pct"/>
            <w:vMerge w:val="restart"/>
            <w:vAlign w:val="center"/>
          </w:tcPr>
          <w:p w14:paraId="3703D0A9">
            <w:pPr>
              <w:jc w:val="center"/>
              <w:rPr>
                <w:rFonts w:eastAsia="仿宋_GB2312"/>
                <w:color w:val="auto"/>
                <w:szCs w:val="21"/>
              </w:rPr>
            </w:pPr>
            <w:r>
              <w:rPr>
                <w:rFonts w:eastAsia="仿宋_GB2312"/>
                <w:color w:val="auto"/>
                <w:kern w:val="0"/>
                <w:szCs w:val="21"/>
                <w:lang w:bidi="ar"/>
              </w:rPr>
              <w:t>不凝气</w:t>
            </w:r>
          </w:p>
        </w:tc>
        <w:tc>
          <w:tcPr>
            <w:tcW w:w="361" w:type="pct"/>
            <w:vMerge w:val="restart"/>
            <w:vAlign w:val="center"/>
          </w:tcPr>
          <w:p w14:paraId="5042B07D">
            <w:pPr>
              <w:jc w:val="center"/>
              <w:rPr>
                <w:rFonts w:eastAsia="仿宋_GB2312"/>
                <w:color w:val="auto"/>
                <w:szCs w:val="21"/>
              </w:rPr>
            </w:pPr>
            <w:r>
              <w:rPr>
                <w:rFonts w:eastAsia="仿宋_GB2312"/>
                <w:color w:val="auto"/>
                <w:szCs w:val="21"/>
              </w:rPr>
              <w:t>360</w:t>
            </w:r>
          </w:p>
        </w:tc>
        <w:tc>
          <w:tcPr>
            <w:tcW w:w="498" w:type="pct"/>
            <w:vMerge w:val="restart"/>
            <w:shd w:val="clear" w:color="auto" w:fill="auto"/>
            <w:vAlign w:val="center"/>
          </w:tcPr>
          <w:p w14:paraId="72E84684">
            <w:pPr>
              <w:keepNext w:val="0"/>
              <w:keepLines w:val="0"/>
              <w:widowControl/>
              <w:suppressLineNumbers w:val="0"/>
              <w:jc w:val="center"/>
              <w:textAlignment w:val="bottom"/>
              <w:rPr>
                <w:rFonts w:hint="eastAsia" w:eastAsia="仿宋_GB2312"/>
                <w:color w:val="auto"/>
                <w:kern w:val="0"/>
                <w:szCs w:val="21"/>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592</w:t>
            </w:r>
          </w:p>
        </w:tc>
        <w:tc>
          <w:tcPr>
            <w:tcW w:w="820" w:type="pct"/>
            <w:shd w:val="clear" w:color="auto" w:fill="auto"/>
            <w:vAlign w:val="center"/>
          </w:tcPr>
          <w:p w14:paraId="0ECFFA90">
            <w:pPr>
              <w:widowControl/>
              <w:jc w:val="center"/>
              <w:textAlignment w:val="center"/>
              <w:rPr>
                <w:rFonts w:ascii="Times New Roman" w:hAnsi="Times New Roman" w:eastAsia="仿宋_GB2312" w:cs="Times New Roman"/>
                <w:b/>
                <w:bCs/>
                <w:color w:val="auto"/>
                <w:kern w:val="0"/>
                <w:sz w:val="21"/>
                <w:szCs w:val="21"/>
                <w:highlight w:val="yellow"/>
                <w:lang w:val="en-US" w:eastAsia="zh-CN" w:bidi="ar"/>
              </w:rPr>
            </w:pPr>
            <w:r>
              <w:rPr>
                <w:rFonts w:hint="eastAsia" w:eastAsia="仿宋_GB2312"/>
                <w:color w:val="auto"/>
                <w:kern w:val="0"/>
                <w:szCs w:val="21"/>
                <w:lang w:val="en-US" w:eastAsia="zh-CN" w:bidi="ar"/>
              </w:rPr>
              <w:t>异丙苯</w:t>
            </w:r>
          </w:p>
        </w:tc>
        <w:tc>
          <w:tcPr>
            <w:tcW w:w="380" w:type="pct"/>
            <w:shd w:val="clear" w:color="auto" w:fill="auto"/>
            <w:vAlign w:val="center"/>
          </w:tcPr>
          <w:p w14:paraId="3ACD5D3F">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0.212</w:t>
            </w:r>
          </w:p>
        </w:tc>
        <w:tc>
          <w:tcPr>
            <w:tcW w:w="445" w:type="pct"/>
            <w:shd w:val="clear" w:color="auto" w:fill="auto"/>
            <w:vAlign w:val="center"/>
          </w:tcPr>
          <w:p w14:paraId="7909D4BE">
            <w:pPr>
              <w:jc w:val="center"/>
              <w:rPr>
                <w:rFonts w:hint="eastAsia"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0.126</w:t>
            </w:r>
          </w:p>
        </w:tc>
        <w:tc>
          <w:tcPr>
            <w:tcW w:w="630" w:type="pct"/>
            <w:vMerge w:val="continue"/>
            <w:vAlign w:val="center"/>
          </w:tcPr>
          <w:p w14:paraId="79D53D49">
            <w:pPr>
              <w:jc w:val="center"/>
              <w:rPr>
                <w:rFonts w:eastAsia="仿宋_GB2312"/>
                <w:color w:val="auto"/>
                <w:szCs w:val="21"/>
              </w:rPr>
            </w:pPr>
          </w:p>
        </w:tc>
        <w:tc>
          <w:tcPr>
            <w:tcW w:w="292" w:type="pct"/>
            <w:vMerge w:val="continue"/>
            <w:vAlign w:val="center"/>
          </w:tcPr>
          <w:p w14:paraId="2A4117F4">
            <w:pPr>
              <w:jc w:val="center"/>
              <w:rPr>
                <w:rFonts w:eastAsia="仿宋_GB2312"/>
                <w:color w:val="auto"/>
                <w:szCs w:val="21"/>
              </w:rPr>
            </w:pPr>
          </w:p>
        </w:tc>
      </w:tr>
      <w:tr w14:paraId="28F7EC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0411BCE2">
            <w:pPr>
              <w:jc w:val="center"/>
              <w:rPr>
                <w:rFonts w:eastAsia="仿宋_GB2312"/>
                <w:color w:val="auto"/>
                <w:szCs w:val="21"/>
              </w:rPr>
            </w:pPr>
          </w:p>
        </w:tc>
        <w:tc>
          <w:tcPr>
            <w:tcW w:w="358" w:type="pct"/>
            <w:vMerge w:val="continue"/>
            <w:vAlign w:val="center"/>
          </w:tcPr>
          <w:p w14:paraId="0146D04B">
            <w:pPr>
              <w:jc w:val="center"/>
              <w:rPr>
                <w:rFonts w:eastAsia="仿宋_GB2312"/>
                <w:color w:val="auto"/>
                <w:szCs w:val="21"/>
              </w:rPr>
            </w:pPr>
          </w:p>
        </w:tc>
        <w:tc>
          <w:tcPr>
            <w:tcW w:w="418" w:type="pct"/>
            <w:vMerge w:val="continue"/>
            <w:vAlign w:val="center"/>
          </w:tcPr>
          <w:p w14:paraId="1201CD2B">
            <w:pPr>
              <w:jc w:val="center"/>
              <w:rPr>
                <w:rFonts w:eastAsia="仿宋_GB2312"/>
                <w:color w:val="auto"/>
                <w:kern w:val="0"/>
                <w:szCs w:val="21"/>
                <w:lang w:bidi="ar"/>
              </w:rPr>
            </w:pPr>
          </w:p>
        </w:tc>
        <w:tc>
          <w:tcPr>
            <w:tcW w:w="446" w:type="pct"/>
            <w:vMerge w:val="continue"/>
            <w:vAlign w:val="center"/>
          </w:tcPr>
          <w:p w14:paraId="59E62C80">
            <w:pPr>
              <w:jc w:val="center"/>
              <w:rPr>
                <w:rFonts w:eastAsia="仿宋_GB2312"/>
                <w:color w:val="auto"/>
                <w:kern w:val="0"/>
                <w:szCs w:val="21"/>
                <w:lang w:bidi="ar"/>
              </w:rPr>
            </w:pPr>
          </w:p>
        </w:tc>
        <w:tc>
          <w:tcPr>
            <w:tcW w:w="361" w:type="pct"/>
            <w:vMerge w:val="continue"/>
            <w:vAlign w:val="center"/>
          </w:tcPr>
          <w:p w14:paraId="398C55E3">
            <w:pPr>
              <w:jc w:val="center"/>
              <w:rPr>
                <w:rFonts w:eastAsia="仿宋_GB2312"/>
                <w:color w:val="auto"/>
                <w:szCs w:val="21"/>
              </w:rPr>
            </w:pPr>
          </w:p>
        </w:tc>
        <w:tc>
          <w:tcPr>
            <w:tcW w:w="498" w:type="pct"/>
            <w:vMerge w:val="continue"/>
            <w:shd w:val="clear" w:color="auto" w:fill="auto"/>
            <w:vAlign w:val="center"/>
          </w:tcPr>
          <w:p w14:paraId="5F9DEBBC">
            <w:pPr>
              <w:keepNext w:val="0"/>
              <w:keepLines w:val="0"/>
              <w:widowControl/>
              <w:suppressLineNumbers w:val="0"/>
              <w:jc w:val="center"/>
              <w:textAlignment w:val="bottom"/>
              <w:rPr>
                <w:rFonts w:hint="eastAsia" w:eastAsia="仿宋_GB2312"/>
                <w:color w:val="auto"/>
                <w:kern w:val="0"/>
                <w:szCs w:val="21"/>
                <w:lang w:val="en-US" w:eastAsia="zh-CN" w:bidi="ar"/>
              </w:rPr>
            </w:pPr>
          </w:p>
        </w:tc>
        <w:tc>
          <w:tcPr>
            <w:tcW w:w="820" w:type="pct"/>
            <w:shd w:val="clear" w:color="auto" w:fill="auto"/>
            <w:vAlign w:val="center"/>
          </w:tcPr>
          <w:p w14:paraId="14DFBBB5">
            <w:pPr>
              <w:widowControl/>
              <w:jc w:val="center"/>
              <w:textAlignment w:val="center"/>
              <w:rPr>
                <w:rFonts w:ascii="Times New Roman" w:hAnsi="Times New Roman" w:eastAsia="仿宋_GB2312" w:cs="Times New Roman"/>
                <w:color w:val="auto"/>
                <w:kern w:val="0"/>
                <w:sz w:val="21"/>
                <w:szCs w:val="21"/>
                <w:highlight w:val="yellow"/>
                <w:lang w:val="en-US" w:eastAsia="zh-CN" w:bidi="ar"/>
              </w:rPr>
            </w:pPr>
            <w:r>
              <w:rPr>
                <w:rFonts w:hint="eastAsia" w:eastAsia="仿宋_GB2312"/>
                <w:color w:val="auto"/>
                <w:kern w:val="0"/>
                <w:szCs w:val="21"/>
                <w:lang w:val="en-US" w:eastAsia="zh-CN" w:bidi="ar"/>
              </w:rPr>
              <w:t>二异丙苯</w:t>
            </w:r>
          </w:p>
        </w:tc>
        <w:tc>
          <w:tcPr>
            <w:tcW w:w="380" w:type="pct"/>
            <w:shd w:val="clear" w:color="auto" w:fill="auto"/>
            <w:vAlign w:val="center"/>
          </w:tcPr>
          <w:p w14:paraId="23ABA8F4">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0.000</w:t>
            </w:r>
            <w:r>
              <w:rPr>
                <w:rFonts w:hint="eastAsia" w:ascii="Times New Roman" w:hAnsi="Times New Roman" w:eastAsia="宋体" w:cs="Times New Roman"/>
                <w:i w:val="0"/>
                <w:iCs w:val="0"/>
                <w:color w:val="auto"/>
                <w:kern w:val="0"/>
                <w:sz w:val="21"/>
                <w:szCs w:val="21"/>
                <w:u w:val="none"/>
                <w:lang w:val="en-US" w:eastAsia="zh-CN" w:bidi="ar"/>
              </w:rPr>
              <w:t>2</w:t>
            </w:r>
          </w:p>
        </w:tc>
        <w:tc>
          <w:tcPr>
            <w:tcW w:w="445" w:type="pct"/>
            <w:shd w:val="clear" w:color="auto" w:fill="auto"/>
            <w:vAlign w:val="center"/>
          </w:tcPr>
          <w:p w14:paraId="58F8F703">
            <w:pPr>
              <w:jc w:val="center"/>
              <w:rPr>
                <w:rFonts w:hint="eastAsia"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0.0001</w:t>
            </w:r>
          </w:p>
        </w:tc>
        <w:tc>
          <w:tcPr>
            <w:tcW w:w="630" w:type="pct"/>
            <w:vMerge w:val="continue"/>
            <w:vAlign w:val="center"/>
          </w:tcPr>
          <w:p w14:paraId="595AB67F">
            <w:pPr>
              <w:jc w:val="center"/>
              <w:rPr>
                <w:rFonts w:eastAsia="仿宋_GB2312"/>
                <w:color w:val="auto"/>
                <w:szCs w:val="21"/>
              </w:rPr>
            </w:pPr>
          </w:p>
        </w:tc>
        <w:tc>
          <w:tcPr>
            <w:tcW w:w="292" w:type="pct"/>
            <w:vMerge w:val="continue"/>
            <w:vAlign w:val="center"/>
          </w:tcPr>
          <w:p w14:paraId="1FD9A4C6">
            <w:pPr>
              <w:jc w:val="center"/>
              <w:rPr>
                <w:rFonts w:eastAsia="仿宋_GB2312"/>
                <w:color w:val="auto"/>
                <w:szCs w:val="21"/>
              </w:rPr>
            </w:pPr>
          </w:p>
        </w:tc>
      </w:tr>
      <w:tr w14:paraId="67A3553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30343F24">
            <w:pPr>
              <w:jc w:val="center"/>
              <w:rPr>
                <w:rFonts w:eastAsia="仿宋_GB2312"/>
                <w:color w:val="auto"/>
                <w:szCs w:val="21"/>
              </w:rPr>
            </w:pPr>
          </w:p>
        </w:tc>
        <w:tc>
          <w:tcPr>
            <w:tcW w:w="358" w:type="pct"/>
            <w:vMerge w:val="continue"/>
            <w:vAlign w:val="center"/>
          </w:tcPr>
          <w:p w14:paraId="3FB4C550">
            <w:pPr>
              <w:jc w:val="center"/>
              <w:rPr>
                <w:rFonts w:eastAsia="仿宋_GB2312"/>
                <w:color w:val="auto"/>
                <w:szCs w:val="21"/>
              </w:rPr>
            </w:pPr>
          </w:p>
        </w:tc>
        <w:tc>
          <w:tcPr>
            <w:tcW w:w="418" w:type="pct"/>
            <w:vMerge w:val="continue"/>
            <w:vAlign w:val="center"/>
          </w:tcPr>
          <w:p w14:paraId="6C227917">
            <w:pPr>
              <w:jc w:val="center"/>
              <w:rPr>
                <w:rFonts w:eastAsia="仿宋_GB2312"/>
                <w:color w:val="auto"/>
                <w:szCs w:val="21"/>
              </w:rPr>
            </w:pPr>
          </w:p>
        </w:tc>
        <w:tc>
          <w:tcPr>
            <w:tcW w:w="446" w:type="pct"/>
            <w:vMerge w:val="continue"/>
            <w:vAlign w:val="center"/>
          </w:tcPr>
          <w:p w14:paraId="38B039ED">
            <w:pPr>
              <w:jc w:val="center"/>
              <w:rPr>
                <w:rFonts w:eastAsia="仿宋_GB2312"/>
                <w:color w:val="auto"/>
                <w:szCs w:val="21"/>
              </w:rPr>
            </w:pPr>
          </w:p>
        </w:tc>
        <w:tc>
          <w:tcPr>
            <w:tcW w:w="361" w:type="pct"/>
            <w:vMerge w:val="continue"/>
            <w:vAlign w:val="center"/>
          </w:tcPr>
          <w:p w14:paraId="0E504217">
            <w:pPr>
              <w:jc w:val="center"/>
              <w:rPr>
                <w:rFonts w:eastAsia="仿宋_GB2312"/>
                <w:color w:val="auto"/>
                <w:szCs w:val="21"/>
              </w:rPr>
            </w:pPr>
          </w:p>
        </w:tc>
        <w:tc>
          <w:tcPr>
            <w:tcW w:w="498" w:type="pct"/>
            <w:vMerge w:val="continue"/>
            <w:shd w:val="clear" w:color="auto" w:fill="auto"/>
            <w:vAlign w:val="center"/>
          </w:tcPr>
          <w:p w14:paraId="0B2F3EED">
            <w:pPr>
              <w:keepNext w:val="0"/>
              <w:keepLines w:val="0"/>
              <w:widowControl/>
              <w:suppressLineNumbers w:val="0"/>
              <w:jc w:val="center"/>
              <w:textAlignment w:val="bottom"/>
              <w:rPr>
                <w:rFonts w:hint="eastAsia" w:eastAsia="仿宋_GB2312"/>
                <w:color w:val="auto"/>
                <w:kern w:val="0"/>
                <w:szCs w:val="21"/>
                <w:lang w:val="en-US" w:eastAsia="zh-CN" w:bidi="ar"/>
              </w:rPr>
            </w:pPr>
          </w:p>
        </w:tc>
        <w:tc>
          <w:tcPr>
            <w:tcW w:w="820" w:type="pct"/>
            <w:shd w:val="clear" w:color="auto" w:fill="auto"/>
            <w:vAlign w:val="center"/>
          </w:tcPr>
          <w:p w14:paraId="7C7388D5">
            <w:pPr>
              <w:widowControl/>
              <w:jc w:val="center"/>
              <w:textAlignment w:val="center"/>
              <w:rPr>
                <w:rFonts w:ascii="Times New Roman" w:hAnsi="Times New Roman" w:eastAsia="仿宋_GB2312" w:cs="Times New Roman"/>
                <w:color w:val="auto"/>
                <w:kern w:val="0"/>
                <w:sz w:val="21"/>
                <w:szCs w:val="21"/>
                <w:highlight w:val="yellow"/>
                <w:lang w:val="en-US" w:eastAsia="zh-CN" w:bidi="ar"/>
              </w:rPr>
            </w:pPr>
            <w:r>
              <w:rPr>
                <w:rFonts w:hint="eastAsia" w:eastAsia="仿宋_GB2312"/>
                <w:color w:val="auto"/>
                <w:kern w:val="0"/>
                <w:szCs w:val="21"/>
                <w:lang w:val="en-US" w:eastAsia="zh-CN" w:bidi="ar"/>
              </w:rPr>
              <w:t>乙苯</w:t>
            </w:r>
          </w:p>
        </w:tc>
        <w:tc>
          <w:tcPr>
            <w:tcW w:w="380" w:type="pct"/>
            <w:shd w:val="clear" w:color="auto" w:fill="auto"/>
            <w:vAlign w:val="center"/>
          </w:tcPr>
          <w:p w14:paraId="3C3715F1">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0.000</w:t>
            </w:r>
            <w:r>
              <w:rPr>
                <w:rFonts w:hint="eastAsia" w:ascii="Times New Roman" w:hAnsi="Times New Roman" w:eastAsia="宋体" w:cs="Times New Roman"/>
                <w:i w:val="0"/>
                <w:iCs w:val="0"/>
                <w:color w:val="auto"/>
                <w:kern w:val="0"/>
                <w:sz w:val="21"/>
                <w:szCs w:val="21"/>
                <w:u w:val="none"/>
                <w:lang w:val="en-US" w:eastAsia="zh-CN" w:bidi="ar"/>
              </w:rPr>
              <w:t>2</w:t>
            </w:r>
          </w:p>
        </w:tc>
        <w:tc>
          <w:tcPr>
            <w:tcW w:w="445" w:type="pct"/>
            <w:shd w:val="clear" w:color="auto" w:fill="auto"/>
            <w:vAlign w:val="center"/>
          </w:tcPr>
          <w:p w14:paraId="371545AE">
            <w:pPr>
              <w:jc w:val="center"/>
              <w:rPr>
                <w:rFonts w:hint="eastAsia"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0.0001</w:t>
            </w:r>
          </w:p>
        </w:tc>
        <w:tc>
          <w:tcPr>
            <w:tcW w:w="630" w:type="pct"/>
            <w:vMerge w:val="continue"/>
            <w:vAlign w:val="center"/>
          </w:tcPr>
          <w:p w14:paraId="5A7E90F4">
            <w:pPr>
              <w:jc w:val="center"/>
              <w:rPr>
                <w:rFonts w:eastAsia="仿宋_GB2312"/>
                <w:color w:val="auto"/>
                <w:szCs w:val="21"/>
              </w:rPr>
            </w:pPr>
          </w:p>
        </w:tc>
        <w:tc>
          <w:tcPr>
            <w:tcW w:w="292" w:type="pct"/>
            <w:vMerge w:val="continue"/>
            <w:vAlign w:val="center"/>
          </w:tcPr>
          <w:p w14:paraId="161F4670">
            <w:pPr>
              <w:jc w:val="center"/>
              <w:rPr>
                <w:rFonts w:eastAsia="仿宋_GB2312"/>
                <w:color w:val="auto"/>
                <w:szCs w:val="21"/>
              </w:rPr>
            </w:pPr>
          </w:p>
        </w:tc>
      </w:tr>
      <w:tr w14:paraId="03221A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2296FF02">
            <w:pPr>
              <w:jc w:val="center"/>
              <w:rPr>
                <w:rFonts w:eastAsia="仿宋_GB2312"/>
                <w:color w:val="auto"/>
                <w:szCs w:val="21"/>
              </w:rPr>
            </w:pPr>
          </w:p>
        </w:tc>
        <w:tc>
          <w:tcPr>
            <w:tcW w:w="358" w:type="pct"/>
            <w:vMerge w:val="continue"/>
            <w:vAlign w:val="center"/>
          </w:tcPr>
          <w:p w14:paraId="5B610B5F">
            <w:pPr>
              <w:jc w:val="center"/>
              <w:rPr>
                <w:rFonts w:eastAsia="仿宋_GB2312"/>
                <w:color w:val="auto"/>
                <w:szCs w:val="21"/>
              </w:rPr>
            </w:pPr>
          </w:p>
        </w:tc>
        <w:tc>
          <w:tcPr>
            <w:tcW w:w="418" w:type="pct"/>
            <w:vMerge w:val="continue"/>
            <w:vAlign w:val="center"/>
          </w:tcPr>
          <w:p w14:paraId="7DE71C18">
            <w:pPr>
              <w:jc w:val="center"/>
              <w:rPr>
                <w:rFonts w:eastAsia="仿宋_GB2312"/>
                <w:color w:val="auto"/>
                <w:szCs w:val="21"/>
              </w:rPr>
            </w:pPr>
          </w:p>
        </w:tc>
        <w:tc>
          <w:tcPr>
            <w:tcW w:w="446" w:type="pct"/>
            <w:vMerge w:val="continue"/>
            <w:vAlign w:val="center"/>
          </w:tcPr>
          <w:p w14:paraId="70066C71">
            <w:pPr>
              <w:jc w:val="center"/>
              <w:rPr>
                <w:rFonts w:eastAsia="仿宋_GB2312"/>
                <w:color w:val="auto"/>
                <w:szCs w:val="21"/>
              </w:rPr>
            </w:pPr>
          </w:p>
        </w:tc>
        <w:tc>
          <w:tcPr>
            <w:tcW w:w="361" w:type="pct"/>
            <w:vMerge w:val="continue"/>
            <w:vAlign w:val="center"/>
          </w:tcPr>
          <w:p w14:paraId="46648CF1">
            <w:pPr>
              <w:jc w:val="center"/>
              <w:rPr>
                <w:rFonts w:eastAsia="仿宋_GB2312"/>
                <w:color w:val="auto"/>
                <w:szCs w:val="21"/>
              </w:rPr>
            </w:pPr>
          </w:p>
        </w:tc>
        <w:tc>
          <w:tcPr>
            <w:tcW w:w="498" w:type="pct"/>
            <w:vMerge w:val="continue"/>
            <w:shd w:val="clear" w:color="auto" w:fill="auto"/>
            <w:vAlign w:val="center"/>
          </w:tcPr>
          <w:p w14:paraId="11CF9A89">
            <w:pPr>
              <w:keepNext w:val="0"/>
              <w:keepLines w:val="0"/>
              <w:widowControl/>
              <w:suppressLineNumbers w:val="0"/>
              <w:jc w:val="center"/>
              <w:textAlignment w:val="bottom"/>
              <w:rPr>
                <w:rFonts w:hint="eastAsia" w:eastAsia="仿宋_GB2312"/>
                <w:color w:val="auto"/>
                <w:kern w:val="0"/>
                <w:szCs w:val="21"/>
                <w:lang w:val="en-US" w:eastAsia="zh-CN" w:bidi="ar"/>
              </w:rPr>
            </w:pPr>
          </w:p>
        </w:tc>
        <w:tc>
          <w:tcPr>
            <w:tcW w:w="820" w:type="pct"/>
            <w:shd w:val="clear" w:color="auto" w:fill="auto"/>
            <w:vAlign w:val="center"/>
          </w:tcPr>
          <w:p w14:paraId="284C2E9A">
            <w:pPr>
              <w:widowControl/>
              <w:jc w:val="center"/>
              <w:textAlignment w:val="center"/>
              <w:rPr>
                <w:rFonts w:ascii="Times New Roman" w:hAnsi="Times New Roman" w:eastAsia="仿宋_GB2312" w:cs="Times New Roman"/>
                <w:b/>
                <w:bCs/>
                <w:color w:val="auto"/>
                <w:kern w:val="0"/>
                <w:sz w:val="21"/>
                <w:szCs w:val="21"/>
                <w:highlight w:val="yellow"/>
                <w:lang w:val="en-US" w:eastAsia="zh-CN" w:bidi="ar"/>
              </w:rPr>
            </w:pPr>
            <w:r>
              <w:rPr>
                <w:rFonts w:hint="eastAsia" w:eastAsia="仿宋_GB2312"/>
                <w:color w:val="auto"/>
                <w:kern w:val="0"/>
                <w:szCs w:val="21"/>
                <w:lang w:val="en-US" w:eastAsia="zh-CN" w:bidi="ar"/>
              </w:rPr>
              <w:t>正丙苯</w:t>
            </w:r>
          </w:p>
        </w:tc>
        <w:tc>
          <w:tcPr>
            <w:tcW w:w="380" w:type="pct"/>
            <w:shd w:val="clear" w:color="auto" w:fill="auto"/>
            <w:vAlign w:val="center"/>
          </w:tcPr>
          <w:p w14:paraId="3D9F97B8">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0.000</w:t>
            </w:r>
            <w:r>
              <w:rPr>
                <w:rFonts w:hint="eastAsia" w:ascii="Times New Roman" w:hAnsi="Times New Roman" w:eastAsia="宋体" w:cs="Times New Roman"/>
                <w:i w:val="0"/>
                <w:iCs w:val="0"/>
                <w:color w:val="auto"/>
                <w:kern w:val="0"/>
                <w:sz w:val="21"/>
                <w:szCs w:val="21"/>
                <w:u w:val="none"/>
                <w:lang w:val="en-US" w:eastAsia="zh-CN" w:bidi="ar"/>
              </w:rPr>
              <w:t>2</w:t>
            </w:r>
          </w:p>
        </w:tc>
        <w:tc>
          <w:tcPr>
            <w:tcW w:w="445" w:type="pct"/>
            <w:shd w:val="clear" w:color="auto" w:fill="auto"/>
            <w:vAlign w:val="center"/>
          </w:tcPr>
          <w:p w14:paraId="45A42CF9">
            <w:pPr>
              <w:jc w:val="center"/>
              <w:rPr>
                <w:rFonts w:hint="eastAsia"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0.0001</w:t>
            </w:r>
          </w:p>
        </w:tc>
        <w:tc>
          <w:tcPr>
            <w:tcW w:w="630" w:type="pct"/>
            <w:vMerge w:val="continue"/>
            <w:vAlign w:val="center"/>
          </w:tcPr>
          <w:p w14:paraId="798C6345">
            <w:pPr>
              <w:jc w:val="center"/>
              <w:rPr>
                <w:rFonts w:eastAsia="仿宋_GB2312"/>
                <w:color w:val="auto"/>
                <w:szCs w:val="21"/>
              </w:rPr>
            </w:pPr>
          </w:p>
        </w:tc>
        <w:tc>
          <w:tcPr>
            <w:tcW w:w="292" w:type="pct"/>
            <w:vMerge w:val="continue"/>
            <w:vAlign w:val="center"/>
          </w:tcPr>
          <w:p w14:paraId="602087F3">
            <w:pPr>
              <w:jc w:val="center"/>
              <w:rPr>
                <w:rFonts w:eastAsia="仿宋_GB2312"/>
                <w:color w:val="auto"/>
                <w:szCs w:val="21"/>
              </w:rPr>
            </w:pPr>
          </w:p>
        </w:tc>
      </w:tr>
      <w:tr w14:paraId="6E9ECB5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7FF7AB05">
            <w:pPr>
              <w:jc w:val="center"/>
              <w:rPr>
                <w:rFonts w:eastAsia="仿宋_GB2312"/>
                <w:color w:val="auto"/>
                <w:szCs w:val="21"/>
              </w:rPr>
            </w:pPr>
          </w:p>
        </w:tc>
        <w:tc>
          <w:tcPr>
            <w:tcW w:w="358" w:type="pct"/>
            <w:vMerge w:val="continue"/>
            <w:vAlign w:val="center"/>
          </w:tcPr>
          <w:p w14:paraId="2BCE22CA">
            <w:pPr>
              <w:jc w:val="center"/>
              <w:rPr>
                <w:rFonts w:eastAsia="仿宋_GB2312"/>
                <w:color w:val="auto"/>
                <w:szCs w:val="21"/>
              </w:rPr>
            </w:pPr>
          </w:p>
        </w:tc>
        <w:tc>
          <w:tcPr>
            <w:tcW w:w="418" w:type="pct"/>
            <w:vMerge w:val="continue"/>
            <w:vAlign w:val="center"/>
          </w:tcPr>
          <w:p w14:paraId="78ADB709">
            <w:pPr>
              <w:jc w:val="center"/>
              <w:rPr>
                <w:rFonts w:eastAsia="仿宋_GB2312"/>
                <w:color w:val="auto"/>
                <w:szCs w:val="21"/>
              </w:rPr>
            </w:pPr>
          </w:p>
        </w:tc>
        <w:tc>
          <w:tcPr>
            <w:tcW w:w="446" w:type="pct"/>
            <w:vMerge w:val="continue"/>
            <w:vAlign w:val="center"/>
          </w:tcPr>
          <w:p w14:paraId="78050F21">
            <w:pPr>
              <w:jc w:val="center"/>
              <w:rPr>
                <w:rFonts w:eastAsia="仿宋_GB2312"/>
                <w:color w:val="auto"/>
                <w:szCs w:val="21"/>
              </w:rPr>
            </w:pPr>
          </w:p>
        </w:tc>
        <w:tc>
          <w:tcPr>
            <w:tcW w:w="361" w:type="pct"/>
            <w:vMerge w:val="continue"/>
            <w:vAlign w:val="center"/>
          </w:tcPr>
          <w:p w14:paraId="4C01E71A">
            <w:pPr>
              <w:jc w:val="center"/>
              <w:rPr>
                <w:rFonts w:eastAsia="仿宋_GB2312"/>
                <w:color w:val="auto"/>
                <w:szCs w:val="21"/>
              </w:rPr>
            </w:pPr>
          </w:p>
        </w:tc>
        <w:tc>
          <w:tcPr>
            <w:tcW w:w="498" w:type="pct"/>
            <w:vMerge w:val="continue"/>
            <w:shd w:val="clear" w:color="auto" w:fill="auto"/>
            <w:vAlign w:val="center"/>
          </w:tcPr>
          <w:p w14:paraId="7B78A725">
            <w:pPr>
              <w:keepNext w:val="0"/>
              <w:keepLines w:val="0"/>
              <w:widowControl/>
              <w:suppressLineNumbers w:val="0"/>
              <w:jc w:val="center"/>
              <w:textAlignment w:val="bottom"/>
              <w:rPr>
                <w:rFonts w:eastAsia="仿宋_GB2312"/>
                <w:color w:val="auto"/>
                <w:kern w:val="0"/>
                <w:szCs w:val="21"/>
                <w:lang w:bidi="ar"/>
              </w:rPr>
            </w:pPr>
          </w:p>
        </w:tc>
        <w:tc>
          <w:tcPr>
            <w:tcW w:w="820" w:type="pct"/>
            <w:shd w:val="clear" w:color="auto" w:fill="auto"/>
            <w:vAlign w:val="center"/>
          </w:tcPr>
          <w:p w14:paraId="32B2DDB3">
            <w:pPr>
              <w:widowControl/>
              <w:jc w:val="center"/>
              <w:textAlignment w:val="center"/>
              <w:rPr>
                <w:rFonts w:ascii="Times New Roman" w:hAnsi="Times New Roman" w:eastAsia="仿宋_GB2312" w:cs="Times New Roman"/>
                <w:color w:val="auto"/>
                <w:kern w:val="0"/>
                <w:sz w:val="21"/>
                <w:szCs w:val="21"/>
                <w:lang w:val="en-US" w:eastAsia="zh-CN" w:bidi="ar"/>
              </w:rPr>
            </w:pPr>
            <w:r>
              <w:rPr>
                <w:rFonts w:eastAsia="仿宋_GB2312"/>
                <w:color w:val="auto"/>
                <w:kern w:val="0"/>
                <w:szCs w:val="21"/>
                <w:lang w:bidi="ar"/>
              </w:rPr>
              <w:t>其他有机物</w:t>
            </w:r>
          </w:p>
        </w:tc>
        <w:tc>
          <w:tcPr>
            <w:tcW w:w="380" w:type="pct"/>
            <w:shd w:val="clear" w:color="auto" w:fill="auto"/>
            <w:vAlign w:val="center"/>
          </w:tcPr>
          <w:p w14:paraId="32660101">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0.003</w:t>
            </w:r>
          </w:p>
        </w:tc>
        <w:tc>
          <w:tcPr>
            <w:tcW w:w="445" w:type="pct"/>
            <w:shd w:val="clear" w:color="auto" w:fill="auto"/>
            <w:vAlign w:val="center"/>
          </w:tcPr>
          <w:p w14:paraId="212F60F8">
            <w:pPr>
              <w:jc w:val="center"/>
              <w:rPr>
                <w:rFonts w:hint="eastAsia"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0.002</w:t>
            </w:r>
          </w:p>
        </w:tc>
        <w:tc>
          <w:tcPr>
            <w:tcW w:w="630" w:type="pct"/>
            <w:vMerge w:val="continue"/>
            <w:vAlign w:val="center"/>
          </w:tcPr>
          <w:p w14:paraId="3B0E719D">
            <w:pPr>
              <w:jc w:val="center"/>
              <w:rPr>
                <w:rFonts w:eastAsia="仿宋_GB2312"/>
                <w:color w:val="auto"/>
                <w:szCs w:val="21"/>
              </w:rPr>
            </w:pPr>
          </w:p>
        </w:tc>
        <w:tc>
          <w:tcPr>
            <w:tcW w:w="292" w:type="pct"/>
            <w:vMerge w:val="continue"/>
            <w:vAlign w:val="center"/>
          </w:tcPr>
          <w:p w14:paraId="7C5FB5E3">
            <w:pPr>
              <w:jc w:val="center"/>
              <w:rPr>
                <w:rFonts w:eastAsia="仿宋_GB2312"/>
                <w:color w:val="auto"/>
                <w:szCs w:val="21"/>
              </w:rPr>
            </w:pPr>
          </w:p>
        </w:tc>
      </w:tr>
      <w:tr w14:paraId="2E4AD2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64D8C4AC">
            <w:pPr>
              <w:jc w:val="center"/>
              <w:rPr>
                <w:rFonts w:eastAsia="仿宋_GB2312"/>
                <w:color w:val="auto"/>
                <w:szCs w:val="21"/>
              </w:rPr>
            </w:pPr>
          </w:p>
        </w:tc>
        <w:tc>
          <w:tcPr>
            <w:tcW w:w="358" w:type="pct"/>
            <w:vMerge w:val="continue"/>
            <w:vAlign w:val="center"/>
          </w:tcPr>
          <w:p w14:paraId="5EEAB516">
            <w:pPr>
              <w:jc w:val="center"/>
              <w:rPr>
                <w:rFonts w:eastAsia="仿宋_GB2312"/>
                <w:color w:val="auto"/>
                <w:szCs w:val="21"/>
              </w:rPr>
            </w:pPr>
          </w:p>
        </w:tc>
        <w:tc>
          <w:tcPr>
            <w:tcW w:w="418" w:type="pct"/>
            <w:vMerge w:val="restart"/>
            <w:vAlign w:val="center"/>
          </w:tcPr>
          <w:p w14:paraId="79F26FAE">
            <w:pPr>
              <w:jc w:val="center"/>
              <w:rPr>
                <w:rFonts w:eastAsia="仿宋_GB2312"/>
                <w:color w:val="auto"/>
                <w:szCs w:val="21"/>
              </w:rPr>
            </w:pPr>
            <w:r>
              <w:rPr>
                <w:rFonts w:eastAsia="仿宋_GB2312"/>
                <w:color w:val="auto"/>
                <w:kern w:val="0"/>
                <w:szCs w:val="21"/>
                <w:lang w:bidi="ar"/>
              </w:rPr>
              <w:t>G</w:t>
            </w:r>
            <w:r>
              <w:rPr>
                <w:rFonts w:hint="eastAsia" w:eastAsia="仿宋_GB2312"/>
                <w:color w:val="auto"/>
                <w:kern w:val="0"/>
                <w:szCs w:val="21"/>
                <w:lang w:val="en-US" w:eastAsia="zh-CN" w:bidi="ar"/>
              </w:rPr>
              <w:t>2</w:t>
            </w:r>
            <w:r>
              <w:rPr>
                <w:rFonts w:eastAsia="仿宋_GB2312"/>
                <w:color w:val="auto"/>
                <w:kern w:val="0"/>
                <w:szCs w:val="21"/>
                <w:lang w:bidi="ar"/>
              </w:rPr>
              <w:t>-1</w:t>
            </w:r>
            <w:r>
              <w:rPr>
                <w:rFonts w:hint="eastAsia" w:eastAsia="仿宋_GB2312"/>
                <w:color w:val="auto"/>
                <w:kern w:val="0"/>
                <w:szCs w:val="21"/>
                <w:lang w:val="en-US" w:eastAsia="zh-CN" w:bidi="ar"/>
              </w:rPr>
              <w:t>2</w:t>
            </w:r>
            <w:r>
              <w:rPr>
                <w:rFonts w:eastAsia="仿宋_GB2312"/>
                <w:color w:val="auto"/>
                <w:kern w:val="0"/>
                <w:szCs w:val="21"/>
                <w:lang w:bidi="ar"/>
              </w:rPr>
              <w:t>-5</w:t>
            </w:r>
          </w:p>
        </w:tc>
        <w:tc>
          <w:tcPr>
            <w:tcW w:w="446" w:type="pct"/>
            <w:vMerge w:val="restart"/>
            <w:vAlign w:val="center"/>
          </w:tcPr>
          <w:p w14:paraId="5F49E95B">
            <w:pPr>
              <w:jc w:val="center"/>
              <w:rPr>
                <w:rFonts w:eastAsia="仿宋_GB2312"/>
                <w:color w:val="auto"/>
                <w:szCs w:val="21"/>
              </w:rPr>
            </w:pPr>
            <w:r>
              <w:rPr>
                <w:rFonts w:eastAsia="仿宋_GB2312"/>
                <w:color w:val="auto"/>
                <w:kern w:val="0"/>
                <w:szCs w:val="21"/>
                <w:lang w:bidi="ar"/>
              </w:rPr>
              <w:t>灌装废气</w:t>
            </w:r>
          </w:p>
        </w:tc>
        <w:tc>
          <w:tcPr>
            <w:tcW w:w="361" w:type="pct"/>
            <w:vMerge w:val="restart"/>
            <w:vAlign w:val="center"/>
          </w:tcPr>
          <w:p w14:paraId="565F7ADB">
            <w:pPr>
              <w:jc w:val="center"/>
              <w:rPr>
                <w:rFonts w:hint="default" w:eastAsia="仿宋_GB2312"/>
                <w:color w:val="auto"/>
                <w:szCs w:val="21"/>
                <w:lang w:val="en-US" w:eastAsia="zh-CN"/>
              </w:rPr>
            </w:pPr>
            <w:r>
              <w:rPr>
                <w:rFonts w:hint="eastAsia" w:eastAsia="仿宋_GB2312"/>
                <w:color w:val="auto"/>
                <w:szCs w:val="21"/>
                <w:lang w:val="en-US" w:eastAsia="zh-CN"/>
              </w:rPr>
              <w:t>2000</w:t>
            </w:r>
          </w:p>
        </w:tc>
        <w:tc>
          <w:tcPr>
            <w:tcW w:w="498" w:type="pct"/>
            <w:vMerge w:val="restart"/>
            <w:shd w:val="clear" w:color="auto" w:fill="auto"/>
            <w:vAlign w:val="center"/>
          </w:tcPr>
          <w:p w14:paraId="11FB9199">
            <w:pPr>
              <w:keepNext w:val="0"/>
              <w:keepLines w:val="0"/>
              <w:widowControl/>
              <w:suppressLineNumbers w:val="0"/>
              <w:jc w:val="center"/>
              <w:textAlignment w:val="bottom"/>
              <w:rPr>
                <w:rFonts w:hint="eastAsia" w:eastAsia="仿宋_GB2312"/>
                <w:color w:val="auto"/>
                <w:kern w:val="0"/>
                <w:szCs w:val="21"/>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296</w:t>
            </w:r>
          </w:p>
        </w:tc>
        <w:tc>
          <w:tcPr>
            <w:tcW w:w="820" w:type="pct"/>
            <w:shd w:val="clear" w:color="auto" w:fill="auto"/>
            <w:vAlign w:val="center"/>
          </w:tcPr>
          <w:p w14:paraId="666C61C5">
            <w:pPr>
              <w:widowControl/>
              <w:jc w:val="center"/>
              <w:textAlignment w:val="center"/>
              <w:rPr>
                <w:rFonts w:ascii="Times New Roman" w:hAnsi="Times New Roman" w:eastAsia="仿宋_GB2312" w:cs="Times New Roman"/>
                <w:b/>
                <w:bCs/>
                <w:color w:val="auto"/>
                <w:kern w:val="0"/>
                <w:sz w:val="21"/>
                <w:szCs w:val="21"/>
                <w:highlight w:val="yellow"/>
                <w:lang w:val="en-US" w:eastAsia="zh-CN" w:bidi="ar"/>
              </w:rPr>
            </w:pPr>
            <w:r>
              <w:rPr>
                <w:rFonts w:hint="eastAsia" w:eastAsia="仿宋_GB2312"/>
                <w:color w:val="auto"/>
                <w:kern w:val="0"/>
                <w:szCs w:val="21"/>
                <w:lang w:val="en-US" w:eastAsia="zh-CN" w:bidi="ar"/>
              </w:rPr>
              <w:t>异丙苯</w:t>
            </w:r>
          </w:p>
        </w:tc>
        <w:tc>
          <w:tcPr>
            <w:tcW w:w="380" w:type="pct"/>
            <w:shd w:val="clear" w:color="auto" w:fill="auto"/>
            <w:vAlign w:val="center"/>
          </w:tcPr>
          <w:p w14:paraId="709CFB55">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eastAsia" w:cs="Times New Roman"/>
                <w:i w:val="0"/>
                <w:iCs w:val="0"/>
                <w:color w:val="auto"/>
                <w:kern w:val="0"/>
                <w:sz w:val="21"/>
                <w:szCs w:val="21"/>
                <w:u w:val="none"/>
                <w:lang w:val="en-US" w:eastAsia="zh-CN" w:bidi="ar"/>
              </w:rPr>
              <w:t>1.469</w:t>
            </w:r>
          </w:p>
        </w:tc>
        <w:tc>
          <w:tcPr>
            <w:tcW w:w="445" w:type="pct"/>
            <w:shd w:val="clear" w:color="auto" w:fill="auto"/>
            <w:vAlign w:val="center"/>
          </w:tcPr>
          <w:p w14:paraId="445DE0E4">
            <w:pPr>
              <w:widowControl/>
              <w:jc w:val="center"/>
              <w:textAlignment w:val="center"/>
              <w:rPr>
                <w:rFonts w:hint="eastAsia" w:ascii="Times New Roman" w:hAnsi="Times New Roman" w:eastAsia="仿宋_GB2312" w:cs="Times New Roman"/>
                <w:color w:val="auto"/>
                <w:kern w:val="0"/>
                <w:sz w:val="21"/>
                <w:szCs w:val="21"/>
                <w:lang w:val="en-US" w:eastAsia="zh-CN" w:bidi="ar"/>
              </w:rPr>
            </w:pPr>
            <w:r>
              <w:rPr>
                <w:rFonts w:hint="eastAsia" w:eastAsia="仿宋_GB2312" w:cs="Times New Roman"/>
                <w:color w:val="auto"/>
                <w:kern w:val="0"/>
                <w:szCs w:val="21"/>
                <w:lang w:val="en-US" w:eastAsia="zh-CN" w:bidi="ar"/>
              </w:rPr>
              <w:t>0</w:t>
            </w:r>
            <w:r>
              <w:rPr>
                <w:rFonts w:hint="eastAsia" w:ascii="Times New Roman" w:hAnsi="Times New Roman" w:eastAsia="仿宋_GB2312" w:cs="Times New Roman"/>
                <w:color w:val="auto"/>
                <w:kern w:val="0"/>
                <w:szCs w:val="21"/>
                <w:lang w:val="en-US" w:eastAsia="zh-CN" w:bidi="ar"/>
              </w:rPr>
              <w:t>.435</w:t>
            </w:r>
          </w:p>
        </w:tc>
        <w:tc>
          <w:tcPr>
            <w:tcW w:w="630" w:type="pct"/>
            <w:vMerge w:val="restart"/>
            <w:shd w:val="clear" w:color="auto" w:fill="auto"/>
            <w:vAlign w:val="center"/>
          </w:tcPr>
          <w:p w14:paraId="0729EEDD">
            <w:pPr>
              <w:jc w:val="center"/>
              <w:rPr>
                <w:rFonts w:ascii="Times New Roman" w:hAnsi="Times New Roman" w:eastAsia="仿宋_GB2312" w:cs="Times New Roman"/>
                <w:color w:val="auto"/>
                <w:kern w:val="2"/>
                <w:sz w:val="21"/>
                <w:szCs w:val="21"/>
                <w:lang w:val="en-US" w:eastAsia="zh-CN" w:bidi="ar-SA"/>
              </w:rPr>
            </w:pPr>
            <w:r>
              <w:rPr>
                <w:rFonts w:hint="eastAsia" w:eastAsia="仿宋_GB2312"/>
                <w:color w:val="auto"/>
                <w:szCs w:val="21"/>
              </w:rPr>
              <w:t>冷凝+酸吸收+碱吸收+水洗+活性炭吸附/脱附</w:t>
            </w:r>
          </w:p>
        </w:tc>
        <w:tc>
          <w:tcPr>
            <w:tcW w:w="292" w:type="pct"/>
            <w:vMerge w:val="restart"/>
            <w:shd w:val="clear" w:color="auto" w:fill="auto"/>
            <w:vAlign w:val="center"/>
          </w:tcPr>
          <w:p w14:paraId="10772612">
            <w:pPr>
              <w:jc w:val="center"/>
              <w:rPr>
                <w:rFonts w:ascii="Times New Roman" w:hAnsi="Times New Roman" w:eastAsia="仿宋_GB2312" w:cs="Times New Roman"/>
                <w:color w:val="auto"/>
                <w:kern w:val="2"/>
                <w:sz w:val="21"/>
                <w:szCs w:val="21"/>
                <w:lang w:val="en-US" w:eastAsia="zh-CN" w:bidi="ar-SA"/>
              </w:rPr>
            </w:pPr>
            <w:r>
              <w:rPr>
                <w:rFonts w:hint="eastAsia" w:eastAsia="仿宋_GB2312"/>
                <w:color w:val="auto"/>
              </w:rPr>
              <w:t>DA005</w:t>
            </w:r>
          </w:p>
        </w:tc>
      </w:tr>
      <w:tr w14:paraId="365B52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0FD68631">
            <w:pPr>
              <w:jc w:val="center"/>
              <w:rPr>
                <w:rFonts w:eastAsia="仿宋_GB2312"/>
                <w:color w:val="auto"/>
                <w:szCs w:val="21"/>
              </w:rPr>
            </w:pPr>
          </w:p>
        </w:tc>
        <w:tc>
          <w:tcPr>
            <w:tcW w:w="358" w:type="pct"/>
            <w:vMerge w:val="continue"/>
            <w:vAlign w:val="center"/>
          </w:tcPr>
          <w:p w14:paraId="67B2288A">
            <w:pPr>
              <w:jc w:val="center"/>
              <w:rPr>
                <w:rFonts w:eastAsia="仿宋_GB2312"/>
                <w:color w:val="auto"/>
                <w:szCs w:val="21"/>
              </w:rPr>
            </w:pPr>
          </w:p>
        </w:tc>
        <w:tc>
          <w:tcPr>
            <w:tcW w:w="418" w:type="pct"/>
            <w:vMerge w:val="continue"/>
            <w:vAlign w:val="center"/>
          </w:tcPr>
          <w:p w14:paraId="40A817CA">
            <w:pPr>
              <w:jc w:val="center"/>
              <w:rPr>
                <w:rFonts w:eastAsia="仿宋_GB2312"/>
                <w:color w:val="auto"/>
                <w:kern w:val="0"/>
                <w:szCs w:val="21"/>
                <w:lang w:bidi="ar"/>
              </w:rPr>
            </w:pPr>
          </w:p>
        </w:tc>
        <w:tc>
          <w:tcPr>
            <w:tcW w:w="446" w:type="pct"/>
            <w:vMerge w:val="continue"/>
            <w:vAlign w:val="center"/>
          </w:tcPr>
          <w:p w14:paraId="03D39FAD">
            <w:pPr>
              <w:jc w:val="center"/>
              <w:rPr>
                <w:rFonts w:eastAsia="仿宋_GB2312"/>
                <w:color w:val="auto"/>
                <w:kern w:val="0"/>
                <w:szCs w:val="21"/>
                <w:lang w:bidi="ar"/>
              </w:rPr>
            </w:pPr>
          </w:p>
        </w:tc>
        <w:tc>
          <w:tcPr>
            <w:tcW w:w="361" w:type="pct"/>
            <w:vMerge w:val="continue"/>
            <w:vAlign w:val="center"/>
          </w:tcPr>
          <w:p w14:paraId="530514C0">
            <w:pPr>
              <w:jc w:val="center"/>
              <w:rPr>
                <w:rFonts w:eastAsia="仿宋_GB2312"/>
                <w:color w:val="auto"/>
                <w:szCs w:val="21"/>
              </w:rPr>
            </w:pPr>
          </w:p>
        </w:tc>
        <w:tc>
          <w:tcPr>
            <w:tcW w:w="498" w:type="pct"/>
            <w:vMerge w:val="continue"/>
            <w:shd w:val="clear" w:color="auto" w:fill="auto"/>
            <w:vAlign w:val="center"/>
          </w:tcPr>
          <w:p w14:paraId="0F382954">
            <w:pPr>
              <w:keepNext w:val="0"/>
              <w:keepLines w:val="0"/>
              <w:widowControl/>
              <w:suppressLineNumbers w:val="0"/>
              <w:jc w:val="center"/>
              <w:textAlignment w:val="bottom"/>
              <w:rPr>
                <w:rFonts w:hint="eastAsia" w:eastAsia="仿宋_GB2312"/>
                <w:color w:val="auto"/>
                <w:kern w:val="0"/>
                <w:szCs w:val="21"/>
                <w:lang w:val="en-US" w:eastAsia="zh-CN" w:bidi="ar"/>
              </w:rPr>
            </w:pPr>
          </w:p>
        </w:tc>
        <w:tc>
          <w:tcPr>
            <w:tcW w:w="820" w:type="pct"/>
            <w:shd w:val="clear" w:color="auto" w:fill="auto"/>
            <w:vAlign w:val="center"/>
          </w:tcPr>
          <w:p w14:paraId="441B531A">
            <w:pPr>
              <w:widowControl/>
              <w:jc w:val="center"/>
              <w:textAlignment w:val="center"/>
              <w:rPr>
                <w:rFonts w:ascii="Times New Roman" w:hAnsi="Times New Roman" w:eastAsia="仿宋_GB2312" w:cs="Times New Roman"/>
                <w:color w:val="auto"/>
                <w:kern w:val="0"/>
                <w:sz w:val="21"/>
                <w:szCs w:val="21"/>
                <w:highlight w:val="yellow"/>
                <w:lang w:val="en-US" w:eastAsia="zh-CN" w:bidi="ar"/>
              </w:rPr>
            </w:pPr>
            <w:r>
              <w:rPr>
                <w:rFonts w:hint="eastAsia" w:eastAsia="仿宋_GB2312"/>
                <w:color w:val="auto"/>
                <w:kern w:val="0"/>
                <w:szCs w:val="21"/>
                <w:lang w:val="en-US" w:eastAsia="zh-CN" w:bidi="ar"/>
              </w:rPr>
              <w:t>二异丙苯</w:t>
            </w:r>
          </w:p>
        </w:tc>
        <w:tc>
          <w:tcPr>
            <w:tcW w:w="380" w:type="pct"/>
            <w:shd w:val="clear" w:color="auto" w:fill="auto"/>
            <w:vAlign w:val="center"/>
          </w:tcPr>
          <w:p w14:paraId="38E7975B">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0.0003</w:t>
            </w:r>
          </w:p>
        </w:tc>
        <w:tc>
          <w:tcPr>
            <w:tcW w:w="445" w:type="pct"/>
            <w:shd w:val="clear" w:color="auto" w:fill="auto"/>
            <w:vAlign w:val="center"/>
          </w:tcPr>
          <w:p w14:paraId="288AAB2A">
            <w:pPr>
              <w:widowControl/>
              <w:jc w:val="center"/>
              <w:textAlignment w:val="center"/>
              <w:rPr>
                <w:rFonts w:hint="eastAsia" w:ascii="Times New Roman" w:hAnsi="Times New Roman" w:eastAsia="仿宋_GB2312" w:cs="Times New Roman"/>
                <w:color w:val="auto"/>
                <w:kern w:val="0"/>
                <w:sz w:val="21"/>
                <w:szCs w:val="21"/>
                <w:lang w:val="en-US" w:eastAsia="zh-CN" w:bidi="ar"/>
              </w:rPr>
            </w:pPr>
            <w:r>
              <w:rPr>
                <w:rFonts w:hint="eastAsia" w:ascii="Times New Roman" w:hAnsi="Times New Roman" w:eastAsia="仿宋_GB2312" w:cs="Times New Roman"/>
                <w:color w:val="auto"/>
                <w:kern w:val="0"/>
                <w:szCs w:val="21"/>
                <w:lang w:val="en-US" w:eastAsia="zh-CN" w:bidi="ar"/>
              </w:rPr>
              <w:t>0.000099</w:t>
            </w:r>
          </w:p>
        </w:tc>
        <w:tc>
          <w:tcPr>
            <w:tcW w:w="630" w:type="pct"/>
            <w:vMerge w:val="continue"/>
            <w:vAlign w:val="center"/>
          </w:tcPr>
          <w:p w14:paraId="5CB18EB1">
            <w:pPr>
              <w:jc w:val="center"/>
              <w:rPr>
                <w:rFonts w:eastAsia="仿宋_GB2312"/>
                <w:color w:val="auto"/>
                <w:szCs w:val="21"/>
              </w:rPr>
            </w:pPr>
          </w:p>
        </w:tc>
        <w:tc>
          <w:tcPr>
            <w:tcW w:w="292" w:type="pct"/>
            <w:vMerge w:val="continue"/>
            <w:vAlign w:val="center"/>
          </w:tcPr>
          <w:p w14:paraId="423A614D">
            <w:pPr>
              <w:jc w:val="center"/>
              <w:rPr>
                <w:rFonts w:eastAsia="仿宋_GB2312"/>
                <w:color w:val="auto"/>
                <w:szCs w:val="21"/>
              </w:rPr>
            </w:pPr>
          </w:p>
        </w:tc>
      </w:tr>
      <w:tr w14:paraId="140AA75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6BE3394E">
            <w:pPr>
              <w:jc w:val="center"/>
              <w:rPr>
                <w:rFonts w:eastAsia="仿宋_GB2312"/>
                <w:color w:val="auto"/>
                <w:szCs w:val="21"/>
              </w:rPr>
            </w:pPr>
          </w:p>
        </w:tc>
        <w:tc>
          <w:tcPr>
            <w:tcW w:w="358" w:type="pct"/>
            <w:vMerge w:val="continue"/>
            <w:vAlign w:val="center"/>
          </w:tcPr>
          <w:p w14:paraId="571659C5">
            <w:pPr>
              <w:jc w:val="center"/>
              <w:rPr>
                <w:rFonts w:eastAsia="仿宋_GB2312"/>
                <w:color w:val="auto"/>
                <w:szCs w:val="21"/>
              </w:rPr>
            </w:pPr>
          </w:p>
        </w:tc>
        <w:tc>
          <w:tcPr>
            <w:tcW w:w="418" w:type="pct"/>
            <w:vMerge w:val="continue"/>
            <w:vAlign w:val="center"/>
          </w:tcPr>
          <w:p w14:paraId="4A8E8D45">
            <w:pPr>
              <w:jc w:val="center"/>
              <w:rPr>
                <w:rFonts w:eastAsia="仿宋_GB2312"/>
                <w:color w:val="auto"/>
                <w:szCs w:val="21"/>
              </w:rPr>
            </w:pPr>
          </w:p>
        </w:tc>
        <w:tc>
          <w:tcPr>
            <w:tcW w:w="446" w:type="pct"/>
            <w:vMerge w:val="continue"/>
            <w:vAlign w:val="center"/>
          </w:tcPr>
          <w:p w14:paraId="6E576FDE">
            <w:pPr>
              <w:jc w:val="center"/>
              <w:rPr>
                <w:rFonts w:eastAsia="仿宋_GB2312"/>
                <w:color w:val="auto"/>
                <w:szCs w:val="21"/>
              </w:rPr>
            </w:pPr>
          </w:p>
        </w:tc>
        <w:tc>
          <w:tcPr>
            <w:tcW w:w="361" w:type="pct"/>
            <w:vMerge w:val="continue"/>
            <w:vAlign w:val="center"/>
          </w:tcPr>
          <w:p w14:paraId="7D20A80C">
            <w:pPr>
              <w:jc w:val="center"/>
              <w:rPr>
                <w:rFonts w:eastAsia="仿宋_GB2312"/>
                <w:color w:val="auto"/>
                <w:szCs w:val="21"/>
              </w:rPr>
            </w:pPr>
          </w:p>
        </w:tc>
        <w:tc>
          <w:tcPr>
            <w:tcW w:w="498" w:type="pct"/>
            <w:vMerge w:val="continue"/>
            <w:shd w:val="clear" w:color="auto" w:fill="auto"/>
            <w:vAlign w:val="center"/>
          </w:tcPr>
          <w:p w14:paraId="2237707B">
            <w:pPr>
              <w:keepNext w:val="0"/>
              <w:keepLines w:val="0"/>
              <w:widowControl/>
              <w:suppressLineNumbers w:val="0"/>
              <w:jc w:val="center"/>
              <w:textAlignment w:val="bottom"/>
              <w:rPr>
                <w:rFonts w:hint="eastAsia" w:eastAsia="仿宋_GB2312"/>
                <w:color w:val="auto"/>
                <w:kern w:val="0"/>
                <w:szCs w:val="21"/>
                <w:lang w:val="en-US" w:eastAsia="zh-CN" w:bidi="ar"/>
              </w:rPr>
            </w:pPr>
          </w:p>
        </w:tc>
        <w:tc>
          <w:tcPr>
            <w:tcW w:w="820" w:type="pct"/>
            <w:shd w:val="clear" w:color="auto" w:fill="auto"/>
            <w:vAlign w:val="center"/>
          </w:tcPr>
          <w:p w14:paraId="7AB55CCD">
            <w:pPr>
              <w:widowControl/>
              <w:jc w:val="center"/>
              <w:textAlignment w:val="center"/>
              <w:rPr>
                <w:rFonts w:ascii="Times New Roman" w:hAnsi="Times New Roman" w:eastAsia="仿宋_GB2312" w:cs="Times New Roman"/>
                <w:color w:val="auto"/>
                <w:kern w:val="0"/>
                <w:sz w:val="21"/>
                <w:szCs w:val="21"/>
                <w:highlight w:val="yellow"/>
                <w:lang w:val="en-US" w:eastAsia="zh-CN" w:bidi="ar"/>
              </w:rPr>
            </w:pPr>
            <w:r>
              <w:rPr>
                <w:rFonts w:hint="eastAsia" w:eastAsia="仿宋_GB2312"/>
                <w:color w:val="auto"/>
                <w:kern w:val="0"/>
                <w:szCs w:val="21"/>
                <w:lang w:val="en-US" w:eastAsia="zh-CN" w:bidi="ar"/>
              </w:rPr>
              <w:t>乙苯</w:t>
            </w:r>
          </w:p>
        </w:tc>
        <w:tc>
          <w:tcPr>
            <w:tcW w:w="380" w:type="pct"/>
            <w:shd w:val="clear" w:color="auto" w:fill="auto"/>
            <w:vAlign w:val="center"/>
          </w:tcPr>
          <w:p w14:paraId="4D7B7059">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0.0003</w:t>
            </w:r>
          </w:p>
        </w:tc>
        <w:tc>
          <w:tcPr>
            <w:tcW w:w="445" w:type="pct"/>
            <w:shd w:val="clear" w:color="auto" w:fill="auto"/>
            <w:vAlign w:val="center"/>
          </w:tcPr>
          <w:p w14:paraId="5464328E">
            <w:pPr>
              <w:widowControl/>
              <w:jc w:val="center"/>
              <w:textAlignment w:val="center"/>
              <w:rPr>
                <w:rFonts w:hint="eastAsia" w:ascii="Times New Roman" w:hAnsi="Times New Roman" w:eastAsia="仿宋_GB2312" w:cs="Times New Roman"/>
                <w:color w:val="auto"/>
                <w:kern w:val="0"/>
                <w:sz w:val="21"/>
                <w:szCs w:val="21"/>
                <w:lang w:val="en-US" w:eastAsia="zh-CN" w:bidi="ar"/>
              </w:rPr>
            </w:pPr>
            <w:r>
              <w:rPr>
                <w:rFonts w:hint="eastAsia" w:ascii="Times New Roman" w:hAnsi="Times New Roman" w:eastAsia="仿宋_GB2312" w:cs="Times New Roman"/>
                <w:color w:val="auto"/>
                <w:kern w:val="0"/>
                <w:szCs w:val="21"/>
                <w:lang w:val="en-US" w:eastAsia="zh-CN" w:bidi="ar"/>
              </w:rPr>
              <w:t>0.000099</w:t>
            </w:r>
          </w:p>
        </w:tc>
        <w:tc>
          <w:tcPr>
            <w:tcW w:w="630" w:type="pct"/>
            <w:vMerge w:val="continue"/>
            <w:vAlign w:val="center"/>
          </w:tcPr>
          <w:p w14:paraId="0EBB7175">
            <w:pPr>
              <w:jc w:val="center"/>
              <w:rPr>
                <w:rFonts w:eastAsia="仿宋_GB2312"/>
                <w:color w:val="auto"/>
                <w:szCs w:val="21"/>
              </w:rPr>
            </w:pPr>
          </w:p>
        </w:tc>
        <w:tc>
          <w:tcPr>
            <w:tcW w:w="292" w:type="pct"/>
            <w:vMerge w:val="continue"/>
            <w:vAlign w:val="center"/>
          </w:tcPr>
          <w:p w14:paraId="6798C34D">
            <w:pPr>
              <w:jc w:val="center"/>
              <w:rPr>
                <w:rFonts w:eastAsia="仿宋_GB2312"/>
                <w:color w:val="auto"/>
                <w:szCs w:val="21"/>
              </w:rPr>
            </w:pPr>
          </w:p>
        </w:tc>
      </w:tr>
      <w:tr w14:paraId="036AEA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6CDAEC78">
            <w:pPr>
              <w:jc w:val="center"/>
              <w:rPr>
                <w:rFonts w:eastAsia="仿宋_GB2312"/>
                <w:color w:val="auto"/>
                <w:szCs w:val="21"/>
              </w:rPr>
            </w:pPr>
          </w:p>
        </w:tc>
        <w:tc>
          <w:tcPr>
            <w:tcW w:w="358" w:type="pct"/>
            <w:vMerge w:val="continue"/>
            <w:vAlign w:val="center"/>
          </w:tcPr>
          <w:p w14:paraId="6662B195">
            <w:pPr>
              <w:jc w:val="center"/>
              <w:rPr>
                <w:rFonts w:eastAsia="仿宋_GB2312"/>
                <w:color w:val="auto"/>
                <w:szCs w:val="21"/>
              </w:rPr>
            </w:pPr>
          </w:p>
        </w:tc>
        <w:tc>
          <w:tcPr>
            <w:tcW w:w="418" w:type="pct"/>
            <w:vMerge w:val="continue"/>
            <w:vAlign w:val="center"/>
          </w:tcPr>
          <w:p w14:paraId="688FC09D">
            <w:pPr>
              <w:jc w:val="center"/>
              <w:rPr>
                <w:rFonts w:eastAsia="仿宋_GB2312"/>
                <w:color w:val="auto"/>
                <w:szCs w:val="21"/>
              </w:rPr>
            </w:pPr>
          </w:p>
        </w:tc>
        <w:tc>
          <w:tcPr>
            <w:tcW w:w="446" w:type="pct"/>
            <w:vMerge w:val="continue"/>
            <w:vAlign w:val="center"/>
          </w:tcPr>
          <w:p w14:paraId="798D084B">
            <w:pPr>
              <w:jc w:val="center"/>
              <w:rPr>
                <w:rFonts w:eastAsia="仿宋_GB2312"/>
                <w:color w:val="auto"/>
                <w:szCs w:val="21"/>
              </w:rPr>
            </w:pPr>
          </w:p>
        </w:tc>
        <w:tc>
          <w:tcPr>
            <w:tcW w:w="361" w:type="pct"/>
            <w:vMerge w:val="continue"/>
            <w:vAlign w:val="center"/>
          </w:tcPr>
          <w:p w14:paraId="4DFCFFB9">
            <w:pPr>
              <w:jc w:val="center"/>
              <w:rPr>
                <w:rFonts w:eastAsia="仿宋_GB2312"/>
                <w:color w:val="auto"/>
                <w:szCs w:val="21"/>
              </w:rPr>
            </w:pPr>
          </w:p>
        </w:tc>
        <w:tc>
          <w:tcPr>
            <w:tcW w:w="498" w:type="pct"/>
            <w:vMerge w:val="continue"/>
            <w:shd w:val="clear" w:color="auto" w:fill="auto"/>
            <w:vAlign w:val="center"/>
          </w:tcPr>
          <w:p w14:paraId="61B3EE26">
            <w:pPr>
              <w:keepNext w:val="0"/>
              <w:keepLines w:val="0"/>
              <w:widowControl/>
              <w:suppressLineNumbers w:val="0"/>
              <w:jc w:val="center"/>
              <w:textAlignment w:val="bottom"/>
              <w:rPr>
                <w:rFonts w:hint="eastAsia" w:eastAsia="仿宋_GB2312"/>
                <w:color w:val="auto"/>
                <w:kern w:val="0"/>
                <w:szCs w:val="21"/>
                <w:lang w:val="en-US" w:eastAsia="zh-CN" w:bidi="ar"/>
              </w:rPr>
            </w:pPr>
          </w:p>
        </w:tc>
        <w:tc>
          <w:tcPr>
            <w:tcW w:w="820" w:type="pct"/>
            <w:shd w:val="clear" w:color="auto" w:fill="auto"/>
            <w:vAlign w:val="center"/>
          </w:tcPr>
          <w:p w14:paraId="211DEA8A">
            <w:pPr>
              <w:widowControl/>
              <w:jc w:val="center"/>
              <w:textAlignment w:val="center"/>
              <w:rPr>
                <w:rFonts w:ascii="Times New Roman" w:hAnsi="Times New Roman" w:eastAsia="仿宋_GB2312" w:cs="Times New Roman"/>
                <w:b/>
                <w:bCs/>
                <w:color w:val="auto"/>
                <w:kern w:val="0"/>
                <w:sz w:val="21"/>
                <w:szCs w:val="21"/>
                <w:highlight w:val="yellow"/>
                <w:lang w:val="en-US" w:eastAsia="zh-CN" w:bidi="ar"/>
              </w:rPr>
            </w:pPr>
            <w:r>
              <w:rPr>
                <w:rFonts w:hint="eastAsia" w:eastAsia="仿宋_GB2312"/>
                <w:color w:val="auto"/>
                <w:kern w:val="0"/>
                <w:szCs w:val="21"/>
                <w:lang w:val="en-US" w:eastAsia="zh-CN" w:bidi="ar"/>
              </w:rPr>
              <w:t>正丙苯</w:t>
            </w:r>
          </w:p>
        </w:tc>
        <w:tc>
          <w:tcPr>
            <w:tcW w:w="380" w:type="pct"/>
            <w:shd w:val="clear" w:color="auto" w:fill="auto"/>
            <w:vAlign w:val="center"/>
          </w:tcPr>
          <w:p w14:paraId="3E879C9A">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0.0003</w:t>
            </w:r>
          </w:p>
        </w:tc>
        <w:tc>
          <w:tcPr>
            <w:tcW w:w="445" w:type="pct"/>
            <w:shd w:val="clear" w:color="auto" w:fill="auto"/>
            <w:vAlign w:val="center"/>
          </w:tcPr>
          <w:p w14:paraId="0DA845B1">
            <w:pPr>
              <w:widowControl/>
              <w:jc w:val="center"/>
              <w:textAlignment w:val="center"/>
              <w:rPr>
                <w:rFonts w:hint="eastAsia" w:ascii="Times New Roman" w:hAnsi="Times New Roman" w:eastAsia="仿宋_GB2312" w:cs="Times New Roman"/>
                <w:color w:val="auto"/>
                <w:kern w:val="0"/>
                <w:sz w:val="21"/>
                <w:szCs w:val="21"/>
                <w:lang w:val="en-US" w:eastAsia="zh-CN" w:bidi="ar"/>
              </w:rPr>
            </w:pPr>
            <w:r>
              <w:rPr>
                <w:rFonts w:hint="eastAsia" w:ascii="Times New Roman" w:hAnsi="Times New Roman" w:eastAsia="仿宋_GB2312" w:cs="Times New Roman"/>
                <w:color w:val="auto"/>
                <w:kern w:val="0"/>
                <w:szCs w:val="21"/>
                <w:lang w:val="en-US" w:eastAsia="zh-CN" w:bidi="ar"/>
              </w:rPr>
              <w:t>0.000099</w:t>
            </w:r>
          </w:p>
        </w:tc>
        <w:tc>
          <w:tcPr>
            <w:tcW w:w="630" w:type="pct"/>
            <w:vMerge w:val="continue"/>
            <w:vAlign w:val="center"/>
          </w:tcPr>
          <w:p w14:paraId="73E6B63A">
            <w:pPr>
              <w:jc w:val="center"/>
              <w:rPr>
                <w:rFonts w:eastAsia="仿宋_GB2312"/>
                <w:color w:val="auto"/>
                <w:szCs w:val="21"/>
              </w:rPr>
            </w:pPr>
          </w:p>
        </w:tc>
        <w:tc>
          <w:tcPr>
            <w:tcW w:w="292" w:type="pct"/>
            <w:vMerge w:val="continue"/>
            <w:vAlign w:val="center"/>
          </w:tcPr>
          <w:p w14:paraId="4F3D40B5">
            <w:pPr>
              <w:jc w:val="center"/>
              <w:rPr>
                <w:rFonts w:eastAsia="仿宋_GB2312"/>
                <w:color w:val="auto"/>
                <w:szCs w:val="21"/>
              </w:rPr>
            </w:pPr>
          </w:p>
        </w:tc>
      </w:tr>
      <w:tr w14:paraId="54521F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2F878709">
            <w:pPr>
              <w:jc w:val="center"/>
              <w:rPr>
                <w:rFonts w:eastAsia="仿宋_GB2312"/>
                <w:color w:val="auto"/>
                <w:szCs w:val="21"/>
              </w:rPr>
            </w:pPr>
          </w:p>
        </w:tc>
        <w:tc>
          <w:tcPr>
            <w:tcW w:w="358" w:type="pct"/>
            <w:vMerge w:val="continue"/>
            <w:vAlign w:val="center"/>
          </w:tcPr>
          <w:p w14:paraId="24677CCD">
            <w:pPr>
              <w:jc w:val="center"/>
              <w:rPr>
                <w:rFonts w:eastAsia="仿宋_GB2312"/>
                <w:color w:val="auto"/>
                <w:szCs w:val="21"/>
              </w:rPr>
            </w:pPr>
          </w:p>
        </w:tc>
        <w:tc>
          <w:tcPr>
            <w:tcW w:w="418" w:type="pct"/>
            <w:vMerge w:val="continue"/>
            <w:vAlign w:val="center"/>
          </w:tcPr>
          <w:p w14:paraId="3A06F204">
            <w:pPr>
              <w:jc w:val="center"/>
              <w:rPr>
                <w:rFonts w:eastAsia="仿宋_GB2312"/>
                <w:color w:val="auto"/>
                <w:szCs w:val="21"/>
              </w:rPr>
            </w:pPr>
          </w:p>
        </w:tc>
        <w:tc>
          <w:tcPr>
            <w:tcW w:w="446" w:type="pct"/>
            <w:vMerge w:val="continue"/>
            <w:vAlign w:val="center"/>
          </w:tcPr>
          <w:p w14:paraId="6D78EB8D">
            <w:pPr>
              <w:jc w:val="center"/>
              <w:rPr>
                <w:rFonts w:eastAsia="仿宋_GB2312"/>
                <w:color w:val="auto"/>
                <w:szCs w:val="21"/>
              </w:rPr>
            </w:pPr>
          </w:p>
        </w:tc>
        <w:tc>
          <w:tcPr>
            <w:tcW w:w="361" w:type="pct"/>
            <w:vMerge w:val="continue"/>
            <w:vAlign w:val="center"/>
          </w:tcPr>
          <w:p w14:paraId="6FC90A28">
            <w:pPr>
              <w:jc w:val="center"/>
              <w:rPr>
                <w:rFonts w:eastAsia="仿宋_GB2312"/>
                <w:color w:val="auto"/>
                <w:szCs w:val="21"/>
              </w:rPr>
            </w:pPr>
          </w:p>
        </w:tc>
        <w:tc>
          <w:tcPr>
            <w:tcW w:w="498" w:type="pct"/>
            <w:vMerge w:val="continue"/>
            <w:shd w:val="clear" w:color="auto" w:fill="auto"/>
            <w:vAlign w:val="center"/>
          </w:tcPr>
          <w:p w14:paraId="0044260D">
            <w:pPr>
              <w:keepNext w:val="0"/>
              <w:keepLines w:val="0"/>
              <w:widowControl/>
              <w:suppressLineNumbers w:val="0"/>
              <w:jc w:val="center"/>
              <w:textAlignment w:val="bottom"/>
              <w:rPr>
                <w:rFonts w:eastAsia="仿宋_GB2312"/>
                <w:color w:val="auto"/>
                <w:kern w:val="0"/>
                <w:szCs w:val="21"/>
                <w:lang w:bidi="ar"/>
              </w:rPr>
            </w:pPr>
          </w:p>
        </w:tc>
        <w:tc>
          <w:tcPr>
            <w:tcW w:w="820" w:type="pct"/>
            <w:shd w:val="clear" w:color="auto" w:fill="auto"/>
            <w:vAlign w:val="center"/>
          </w:tcPr>
          <w:p w14:paraId="1EECAC0B">
            <w:pPr>
              <w:widowControl/>
              <w:jc w:val="center"/>
              <w:textAlignment w:val="center"/>
              <w:rPr>
                <w:rFonts w:ascii="Times New Roman" w:hAnsi="Times New Roman" w:eastAsia="仿宋_GB2312" w:cs="Times New Roman"/>
                <w:color w:val="auto"/>
                <w:kern w:val="0"/>
                <w:sz w:val="21"/>
                <w:szCs w:val="21"/>
                <w:lang w:val="en-US" w:eastAsia="zh-CN" w:bidi="ar"/>
              </w:rPr>
            </w:pPr>
            <w:r>
              <w:rPr>
                <w:rFonts w:eastAsia="仿宋_GB2312"/>
                <w:color w:val="auto"/>
                <w:kern w:val="0"/>
                <w:szCs w:val="21"/>
                <w:lang w:bidi="ar"/>
              </w:rPr>
              <w:t>其他有机物</w:t>
            </w:r>
          </w:p>
        </w:tc>
        <w:tc>
          <w:tcPr>
            <w:tcW w:w="380" w:type="pct"/>
            <w:shd w:val="clear" w:color="auto" w:fill="auto"/>
            <w:vAlign w:val="center"/>
          </w:tcPr>
          <w:p w14:paraId="4C745BE7">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0.000</w:t>
            </w:r>
            <w:r>
              <w:rPr>
                <w:rFonts w:hint="eastAsia" w:ascii="Times New Roman" w:hAnsi="Times New Roman" w:eastAsia="宋体" w:cs="Times New Roman"/>
                <w:i w:val="0"/>
                <w:iCs w:val="0"/>
                <w:color w:val="auto"/>
                <w:kern w:val="0"/>
                <w:sz w:val="21"/>
                <w:szCs w:val="21"/>
                <w:u w:val="none"/>
                <w:lang w:val="en-US" w:eastAsia="zh-CN" w:bidi="ar"/>
              </w:rPr>
              <w:t>7</w:t>
            </w:r>
          </w:p>
        </w:tc>
        <w:tc>
          <w:tcPr>
            <w:tcW w:w="445" w:type="pct"/>
            <w:shd w:val="clear" w:color="auto" w:fill="auto"/>
            <w:vAlign w:val="center"/>
          </w:tcPr>
          <w:p w14:paraId="6A26D79B">
            <w:pPr>
              <w:widowControl/>
              <w:jc w:val="center"/>
              <w:textAlignment w:val="center"/>
              <w:rPr>
                <w:rFonts w:hint="eastAsia" w:ascii="Times New Roman" w:hAnsi="Times New Roman" w:eastAsia="仿宋_GB2312" w:cs="Times New Roman"/>
                <w:color w:val="auto"/>
                <w:kern w:val="0"/>
                <w:sz w:val="21"/>
                <w:szCs w:val="21"/>
                <w:lang w:val="en-US" w:eastAsia="zh-CN" w:bidi="ar"/>
              </w:rPr>
            </w:pPr>
            <w:r>
              <w:rPr>
                <w:rFonts w:hint="eastAsia" w:ascii="Times New Roman" w:hAnsi="Times New Roman" w:eastAsia="仿宋_GB2312" w:cs="Times New Roman"/>
                <w:color w:val="auto"/>
                <w:kern w:val="0"/>
                <w:szCs w:val="21"/>
                <w:lang w:val="en-US" w:eastAsia="zh-CN" w:bidi="ar"/>
              </w:rPr>
              <w:t>0.000199</w:t>
            </w:r>
          </w:p>
        </w:tc>
        <w:tc>
          <w:tcPr>
            <w:tcW w:w="630" w:type="pct"/>
            <w:vMerge w:val="continue"/>
            <w:vAlign w:val="center"/>
          </w:tcPr>
          <w:p w14:paraId="2391ADAD">
            <w:pPr>
              <w:jc w:val="center"/>
              <w:rPr>
                <w:rFonts w:eastAsia="仿宋_GB2312"/>
                <w:color w:val="auto"/>
                <w:szCs w:val="21"/>
              </w:rPr>
            </w:pPr>
          </w:p>
        </w:tc>
        <w:tc>
          <w:tcPr>
            <w:tcW w:w="292" w:type="pct"/>
            <w:vMerge w:val="continue"/>
            <w:vAlign w:val="center"/>
          </w:tcPr>
          <w:p w14:paraId="1A946CB2">
            <w:pPr>
              <w:jc w:val="center"/>
              <w:rPr>
                <w:rFonts w:eastAsia="仿宋_GB2312"/>
                <w:color w:val="auto"/>
                <w:szCs w:val="21"/>
              </w:rPr>
            </w:pPr>
          </w:p>
        </w:tc>
      </w:tr>
      <w:tr w14:paraId="5ABB03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restart"/>
            <w:vAlign w:val="center"/>
          </w:tcPr>
          <w:p w14:paraId="05620989">
            <w:pPr>
              <w:jc w:val="center"/>
              <w:rPr>
                <w:rFonts w:eastAsia="仿宋_GB2312"/>
                <w:color w:val="auto"/>
                <w:szCs w:val="21"/>
              </w:rPr>
            </w:pPr>
            <w:r>
              <w:rPr>
                <w:rFonts w:eastAsia="仿宋_GB2312"/>
                <w:color w:val="auto"/>
                <w:szCs w:val="21"/>
              </w:rPr>
              <w:t>B-7车间</w:t>
            </w:r>
          </w:p>
        </w:tc>
        <w:tc>
          <w:tcPr>
            <w:tcW w:w="358" w:type="pct"/>
            <w:vMerge w:val="restart"/>
            <w:vAlign w:val="center"/>
          </w:tcPr>
          <w:p w14:paraId="70077BEE">
            <w:pPr>
              <w:jc w:val="center"/>
              <w:rPr>
                <w:rFonts w:eastAsia="仿宋_GB2312"/>
                <w:color w:val="auto"/>
                <w:szCs w:val="21"/>
              </w:rPr>
            </w:pPr>
            <w:r>
              <w:rPr>
                <w:rFonts w:eastAsia="仿宋_GB2312"/>
                <w:color w:val="auto"/>
                <w:szCs w:val="21"/>
              </w:rPr>
              <w:t>精馏残液</w:t>
            </w:r>
            <w:r>
              <w:rPr>
                <w:rFonts w:hint="eastAsia" w:eastAsia="仿宋_GB2312"/>
                <w:color w:val="auto"/>
                <w:szCs w:val="21"/>
                <w:lang w:eastAsia="zh-CN"/>
              </w:rPr>
              <w:t>（</w:t>
            </w:r>
            <w:r>
              <w:rPr>
                <w:rFonts w:hint="eastAsia" w:eastAsia="仿宋_GB2312"/>
                <w:color w:val="auto"/>
                <w:szCs w:val="21"/>
                <w:lang w:val="en-US" w:eastAsia="zh-CN"/>
              </w:rPr>
              <w:t>含苯酚</w:t>
            </w:r>
            <w:r>
              <w:rPr>
                <w:rFonts w:hint="eastAsia" w:eastAsia="仿宋_GB2312"/>
                <w:color w:val="auto"/>
                <w:szCs w:val="21"/>
                <w:lang w:eastAsia="zh-CN"/>
              </w:rPr>
              <w:t>）</w:t>
            </w:r>
          </w:p>
        </w:tc>
        <w:tc>
          <w:tcPr>
            <w:tcW w:w="418" w:type="pct"/>
            <w:vMerge w:val="restart"/>
            <w:vAlign w:val="center"/>
          </w:tcPr>
          <w:p w14:paraId="598193BE">
            <w:pPr>
              <w:jc w:val="center"/>
              <w:rPr>
                <w:rFonts w:eastAsia="仿宋_GB2312"/>
                <w:color w:val="auto"/>
                <w:szCs w:val="21"/>
              </w:rPr>
            </w:pPr>
            <w:r>
              <w:rPr>
                <w:rFonts w:eastAsia="仿宋_GB2312"/>
                <w:color w:val="auto"/>
                <w:kern w:val="0"/>
                <w:szCs w:val="21"/>
                <w:lang w:bidi="ar"/>
              </w:rPr>
              <w:t>G</w:t>
            </w:r>
            <w:r>
              <w:rPr>
                <w:rFonts w:hint="eastAsia" w:eastAsia="仿宋_GB2312"/>
                <w:color w:val="auto"/>
                <w:kern w:val="0"/>
                <w:szCs w:val="21"/>
                <w:lang w:val="en-US" w:eastAsia="zh-CN" w:bidi="ar"/>
              </w:rPr>
              <w:t>2</w:t>
            </w:r>
            <w:r>
              <w:rPr>
                <w:rFonts w:eastAsia="仿宋_GB2312"/>
                <w:color w:val="auto"/>
                <w:kern w:val="0"/>
                <w:szCs w:val="21"/>
                <w:lang w:bidi="ar"/>
              </w:rPr>
              <w:t>-1</w:t>
            </w:r>
            <w:r>
              <w:rPr>
                <w:rFonts w:hint="eastAsia" w:eastAsia="仿宋_GB2312"/>
                <w:color w:val="auto"/>
                <w:kern w:val="0"/>
                <w:szCs w:val="21"/>
                <w:lang w:val="en-US" w:eastAsia="zh-CN" w:bidi="ar"/>
              </w:rPr>
              <w:t>3</w:t>
            </w:r>
            <w:r>
              <w:rPr>
                <w:rFonts w:eastAsia="仿宋_GB2312"/>
                <w:color w:val="auto"/>
                <w:kern w:val="0"/>
                <w:szCs w:val="21"/>
                <w:lang w:bidi="ar"/>
              </w:rPr>
              <w:t>-1</w:t>
            </w:r>
          </w:p>
        </w:tc>
        <w:tc>
          <w:tcPr>
            <w:tcW w:w="446" w:type="pct"/>
            <w:vMerge w:val="restart"/>
            <w:vAlign w:val="center"/>
          </w:tcPr>
          <w:p w14:paraId="4BD97B7B">
            <w:pPr>
              <w:jc w:val="center"/>
              <w:rPr>
                <w:rFonts w:eastAsia="仿宋_GB2312"/>
                <w:color w:val="auto"/>
                <w:szCs w:val="21"/>
              </w:rPr>
            </w:pPr>
            <w:r>
              <w:rPr>
                <w:rFonts w:eastAsia="仿宋_GB2312"/>
                <w:color w:val="auto"/>
                <w:kern w:val="0"/>
                <w:szCs w:val="21"/>
                <w:lang w:bidi="ar"/>
              </w:rPr>
              <w:t>投料废气</w:t>
            </w:r>
          </w:p>
        </w:tc>
        <w:tc>
          <w:tcPr>
            <w:tcW w:w="361" w:type="pct"/>
            <w:vMerge w:val="restart"/>
            <w:vAlign w:val="center"/>
          </w:tcPr>
          <w:p w14:paraId="3DA18510">
            <w:pPr>
              <w:jc w:val="center"/>
              <w:rPr>
                <w:rFonts w:hint="default" w:eastAsia="仿宋_GB2312"/>
                <w:color w:val="auto"/>
                <w:szCs w:val="21"/>
                <w:lang w:val="en-US" w:eastAsia="zh-CN"/>
              </w:rPr>
            </w:pPr>
            <w:r>
              <w:rPr>
                <w:rFonts w:hint="eastAsia" w:eastAsia="仿宋_GB2312"/>
                <w:color w:val="auto"/>
                <w:szCs w:val="21"/>
                <w:lang w:val="en-US" w:eastAsia="zh-CN"/>
              </w:rPr>
              <w:t>2000</w:t>
            </w:r>
          </w:p>
        </w:tc>
        <w:tc>
          <w:tcPr>
            <w:tcW w:w="498" w:type="pct"/>
            <w:vMerge w:val="restart"/>
            <w:vAlign w:val="center"/>
          </w:tcPr>
          <w:p w14:paraId="5201684D">
            <w:pPr>
              <w:keepNext w:val="0"/>
              <w:keepLines w:val="0"/>
              <w:widowControl/>
              <w:suppressLineNumbers w:val="0"/>
              <w:jc w:val="center"/>
              <w:textAlignment w:val="bottom"/>
              <w:rPr>
                <w:rFonts w:hint="eastAsia" w:eastAsia="仿宋_GB2312"/>
                <w:color w:val="auto"/>
                <w:kern w:val="0"/>
                <w:szCs w:val="21"/>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1128</w:t>
            </w:r>
          </w:p>
        </w:tc>
        <w:tc>
          <w:tcPr>
            <w:tcW w:w="820" w:type="pct"/>
            <w:vAlign w:val="center"/>
          </w:tcPr>
          <w:p w14:paraId="0D2784FE">
            <w:pPr>
              <w:widowControl/>
              <w:jc w:val="center"/>
              <w:textAlignment w:val="center"/>
              <w:rPr>
                <w:rFonts w:eastAsia="仿宋_GB2312"/>
                <w:color w:val="auto"/>
                <w:kern w:val="0"/>
                <w:szCs w:val="21"/>
                <w:lang w:bidi="ar"/>
              </w:rPr>
            </w:pPr>
            <w:r>
              <w:rPr>
                <w:rFonts w:hint="eastAsia" w:eastAsia="仿宋_GB2312"/>
                <w:color w:val="auto"/>
                <w:kern w:val="0"/>
                <w:szCs w:val="21"/>
                <w:lang w:val="en-US" w:eastAsia="zh-CN" w:bidi="ar"/>
              </w:rPr>
              <w:t>苯酚</w:t>
            </w:r>
          </w:p>
        </w:tc>
        <w:tc>
          <w:tcPr>
            <w:tcW w:w="380" w:type="pct"/>
            <w:shd w:val="clear" w:color="auto" w:fill="auto"/>
            <w:vAlign w:val="center"/>
          </w:tcPr>
          <w:p w14:paraId="7222EC2C">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0.243</w:t>
            </w:r>
          </w:p>
        </w:tc>
        <w:tc>
          <w:tcPr>
            <w:tcW w:w="445" w:type="pct"/>
            <w:shd w:val="clear" w:color="auto" w:fill="auto"/>
            <w:vAlign w:val="center"/>
          </w:tcPr>
          <w:p w14:paraId="745826DD">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ascii="Times New Roman" w:hAnsi="Times New Roman" w:eastAsia="仿宋_GB2312" w:cs="Times New Roman"/>
                <w:color w:val="auto"/>
                <w:kern w:val="0"/>
                <w:szCs w:val="21"/>
                <w:lang w:val="en-US" w:eastAsia="zh-CN" w:bidi="ar"/>
              </w:rPr>
              <w:t>0.2744</w:t>
            </w:r>
          </w:p>
        </w:tc>
        <w:tc>
          <w:tcPr>
            <w:tcW w:w="630" w:type="pct"/>
            <w:vMerge w:val="continue"/>
            <w:shd w:val="clear" w:color="auto" w:fill="auto"/>
            <w:vAlign w:val="center"/>
          </w:tcPr>
          <w:p w14:paraId="2BF71246">
            <w:pPr>
              <w:jc w:val="center"/>
              <w:rPr>
                <w:rFonts w:ascii="Times New Roman" w:hAnsi="Times New Roman" w:eastAsia="仿宋_GB2312" w:cs="Times New Roman"/>
                <w:color w:val="auto"/>
                <w:kern w:val="2"/>
                <w:sz w:val="21"/>
                <w:szCs w:val="21"/>
                <w:lang w:val="en-US" w:eastAsia="zh-CN" w:bidi="ar-SA"/>
              </w:rPr>
            </w:pPr>
          </w:p>
        </w:tc>
        <w:tc>
          <w:tcPr>
            <w:tcW w:w="292" w:type="pct"/>
            <w:vMerge w:val="continue"/>
            <w:shd w:val="clear" w:color="auto" w:fill="auto"/>
            <w:vAlign w:val="center"/>
          </w:tcPr>
          <w:p w14:paraId="364208E2">
            <w:pPr>
              <w:jc w:val="center"/>
              <w:rPr>
                <w:rFonts w:ascii="Times New Roman" w:hAnsi="Times New Roman" w:eastAsia="仿宋_GB2312" w:cs="Times New Roman"/>
                <w:color w:val="auto"/>
                <w:kern w:val="2"/>
                <w:sz w:val="21"/>
                <w:szCs w:val="21"/>
                <w:lang w:val="en-US" w:eastAsia="zh-CN" w:bidi="ar-SA"/>
              </w:rPr>
            </w:pPr>
          </w:p>
        </w:tc>
      </w:tr>
      <w:tr w14:paraId="49E447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3350E8AE">
            <w:pPr>
              <w:jc w:val="center"/>
              <w:rPr>
                <w:rFonts w:eastAsia="仿宋_GB2312"/>
                <w:color w:val="auto"/>
                <w:szCs w:val="21"/>
              </w:rPr>
            </w:pPr>
          </w:p>
        </w:tc>
        <w:tc>
          <w:tcPr>
            <w:tcW w:w="358" w:type="pct"/>
            <w:vMerge w:val="continue"/>
            <w:vAlign w:val="center"/>
          </w:tcPr>
          <w:p w14:paraId="3B368180">
            <w:pPr>
              <w:jc w:val="center"/>
              <w:rPr>
                <w:rFonts w:eastAsia="仿宋_GB2312"/>
                <w:color w:val="auto"/>
                <w:szCs w:val="21"/>
              </w:rPr>
            </w:pPr>
          </w:p>
        </w:tc>
        <w:tc>
          <w:tcPr>
            <w:tcW w:w="418" w:type="pct"/>
            <w:vMerge w:val="continue"/>
            <w:vAlign w:val="center"/>
          </w:tcPr>
          <w:p w14:paraId="1C94AC9E">
            <w:pPr>
              <w:jc w:val="center"/>
              <w:rPr>
                <w:rFonts w:eastAsia="仿宋_GB2312"/>
                <w:color w:val="auto"/>
                <w:szCs w:val="21"/>
              </w:rPr>
            </w:pPr>
          </w:p>
        </w:tc>
        <w:tc>
          <w:tcPr>
            <w:tcW w:w="446" w:type="pct"/>
            <w:vMerge w:val="continue"/>
            <w:vAlign w:val="center"/>
          </w:tcPr>
          <w:p w14:paraId="73B49D90">
            <w:pPr>
              <w:jc w:val="center"/>
              <w:rPr>
                <w:rFonts w:eastAsia="仿宋_GB2312"/>
                <w:color w:val="auto"/>
                <w:szCs w:val="21"/>
              </w:rPr>
            </w:pPr>
          </w:p>
        </w:tc>
        <w:tc>
          <w:tcPr>
            <w:tcW w:w="361" w:type="pct"/>
            <w:vMerge w:val="continue"/>
            <w:vAlign w:val="center"/>
          </w:tcPr>
          <w:p w14:paraId="23B41F6A">
            <w:pPr>
              <w:jc w:val="center"/>
              <w:rPr>
                <w:rFonts w:eastAsia="仿宋_GB2312"/>
                <w:color w:val="auto"/>
                <w:szCs w:val="21"/>
              </w:rPr>
            </w:pPr>
          </w:p>
        </w:tc>
        <w:tc>
          <w:tcPr>
            <w:tcW w:w="498" w:type="pct"/>
            <w:vMerge w:val="continue"/>
            <w:vAlign w:val="center"/>
          </w:tcPr>
          <w:p w14:paraId="64C399D8">
            <w:pPr>
              <w:keepNext w:val="0"/>
              <w:keepLines w:val="0"/>
              <w:widowControl/>
              <w:suppressLineNumbers w:val="0"/>
              <w:jc w:val="center"/>
              <w:textAlignment w:val="bottom"/>
              <w:rPr>
                <w:rFonts w:eastAsia="仿宋_GB2312"/>
                <w:color w:val="auto"/>
                <w:kern w:val="0"/>
                <w:szCs w:val="21"/>
                <w:lang w:bidi="ar"/>
              </w:rPr>
            </w:pPr>
          </w:p>
        </w:tc>
        <w:tc>
          <w:tcPr>
            <w:tcW w:w="820" w:type="pct"/>
            <w:vAlign w:val="center"/>
          </w:tcPr>
          <w:p w14:paraId="5B21A7C2">
            <w:pPr>
              <w:widowControl/>
              <w:jc w:val="center"/>
              <w:textAlignment w:val="center"/>
              <w:rPr>
                <w:rFonts w:eastAsia="仿宋_GB2312"/>
                <w:color w:val="auto"/>
                <w:kern w:val="0"/>
                <w:szCs w:val="21"/>
                <w:lang w:bidi="ar"/>
              </w:rPr>
            </w:pPr>
            <w:r>
              <w:rPr>
                <w:rFonts w:eastAsia="仿宋_GB2312"/>
                <w:color w:val="auto"/>
                <w:kern w:val="0"/>
                <w:szCs w:val="21"/>
                <w:lang w:bidi="ar"/>
              </w:rPr>
              <w:t>其他有机物</w:t>
            </w:r>
          </w:p>
        </w:tc>
        <w:tc>
          <w:tcPr>
            <w:tcW w:w="380" w:type="pct"/>
            <w:shd w:val="clear" w:color="auto" w:fill="auto"/>
            <w:vAlign w:val="center"/>
          </w:tcPr>
          <w:p w14:paraId="24EABBA2">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0.00</w:t>
            </w:r>
            <w:r>
              <w:rPr>
                <w:rFonts w:hint="eastAsia" w:ascii="Times New Roman" w:hAnsi="Times New Roman" w:eastAsia="宋体" w:cs="Times New Roman"/>
                <w:i w:val="0"/>
                <w:iCs w:val="0"/>
                <w:color w:val="auto"/>
                <w:kern w:val="0"/>
                <w:sz w:val="21"/>
                <w:szCs w:val="21"/>
                <w:u w:val="none"/>
                <w:lang w:val="en-US" w:eastAsia="zh-CN" w:bidi="ar"/>
              </w:rPr>
              <w:t>9</w:t>
            </w:r>
          </w:p>
        </w:tc>
        <w:tc>
          <w:tcPr>
            <w:tcW w:w="445" w:type="pct"/>
            <w:shd w:val="clear" w:color="auto" w:fill="auto"/>
            <w:vAlign w:val="center"/>
          </w:tcPr>
          <w:p w14:paraId="2FC53E14">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ascii="Times New Roman" w:hAnsi="Times New Roman" w:eastAsia="仿宋_GB2312" w:cs="Times New Roman"/>
                <w:color w:val="auto"/>
                <w:kern w:val="0"/>
                <w:szCs w:val="21"/>
                <w:lang w:val="en-US" w:eastAsia="zh-CN" w:bidi="ar"/>
              </w:rPr>
              <w:t>0.00998</w:t>
            </w:r>
          </w:p>
        </w:tc>
        <w:tc>
          <w:tcPr>
            <w:tcW w:w="630" w:type="pct"/>
            <w:vMerge w:val="continue"/>
            <w:vAlign w:val="center"/>
          </w:tcPr>
          <w:p w14:paraId="73EE2B9F">
            <w:pPr>
              <w:jc w:val="center"/>
              <w:rPr>
                <w:rFonts w:eastAsia="仿宋_GB2312"/>
                <w:color w:val="auto"/>
                <w:szCs w:val="21"/>
              </w:rPr>
            </w:pPr>
          </w:p>
        </w:tc>
        <w:tc>
          <w:tcPr>
            <w:tcW w:w="292" w:type="pct"/>
            <w:vMerge w:val="continue"/>
            <w:vAlign w:val="center"/>
          </w:tcPr>
          <w:p w14:paraId="1136C624">
            <w:pPr>
              <w:jc w:val="center"/>
              <w:rPr>
                <w:rFonts w:eastAsia="仿宋_GB2312"/>
                <w:color w:val="auto"/>
                <w:szCs w:val="21"/>
              </w:rPr>
            </w:pPr>
          </w:p>
        </w:tc>
      </w:tr>
      <w:tr w14:paraId="40C0B9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50B436CF">
            <w:pPr>
              <w:jc w:val="center"/>
              <w:rPr>
                <w:rFonts w:eastAsia="仿宋_GB2312"/>
                <w:color w:val="auto"/>
                <w:szCs w:val="21"/>
              </w:rPr>
            </w:pPr>
          </w:p>
        </w:tc>
        <w:tc>
          <w:tcPr>
            <w:tcW w:w="358" w:type="pct"/>
            <w:vMerge w:val="continue"/>
            <w:vAlign w:val="center"/>
          </w:tcPr>
          <w:p w14:paraId="6DC931AA">
            <w:pPr>
              <w:jc w:val="center"/>
              <w:rPr>
                <w:rFonts w:eastAsia="仿宋_GB2312"/>
                <w:color w:val="auto"/>
                <w:szCs w:val="21"/>
              </w:rPr>
            </w:pPr>
          </w:p>
        </w:tc>
        <w:tc>
          <w:tcPr>
            <w:tcW w:w="418" w:type="pct"/>
            <w:vMerge w:val="restart"/>
            <w:vAlign w:val="center"/>
          </w:tcPr>
          <w:p w14:paraId="14F8E1E1">
            <w:pPr>
              <w:jc w:val="center"/>
              <w:rPr>
                <w:rFonts w:eastAsia="仿宋_GB2312"/>
                <w:color w:val="auto"/>
                <w:szCs w:val="21"/>
              </w:rPr>
            </w:pPr>
            <w:r>
              <w:rPr>
                <w:rFonts w:eastAsia="仿宋_GB2312"/>
                <w:color w:val="auto"/>
                <w:kern w:val="0"/>
                <w:szCs w:val="21"/>
                <w:lang w:bidi="ar"/>
              </w:rPr>
              <w:t>G</w:t>
            </w:r>
            <w:r>
              <w:rPr>
                <w:rFonts w:hint="eastAsia" w:eastAsia="仿宋_GB2312"/>
                <w:color w:val="auto"/>
                <w:kern w:val="0"/>
                <w:szCs w:val="21"/>
                <w:lang w:val="en-US" w:eastAsia="zh-CN" w:bidi="ar"/>
              </w:rPr>
              <w:t>2</w:t>
            </w:r>
            <w:r>
              <w:rPr>
                <w:rFonts w:eastAsia="仿宋_GB2312"/>
                <w:color w:val="auto"/>
                <w:kern w:val="0"/>
                <w:szCs w:val="21"/>
                <w:lang w:bidi="ar"/>
              </w:rPr>
              <w:t>-1</w:t>
            </w:r>
            <w:r>
              <w:rPr>
                <w:rFonts w:hint="eastAsia" w:eastAsia="仿宋_GB2312"/>
                <w:color w:val="auto"/>
                <w:kern w:val="0"/>
                <w:szCs w:val="21"/>
                <w:lang w:val="en-US" w:eastAsia="zh-CN" w:bidi="ar"/>
              </w:rPr>
              <w:t>3</w:t>
            </w:r>
            <w:r>
              <w:rPr>
                <w:rFonts w:eastAsia="仿宋_GB2312"/>
                <w:color w:val="auto"/>
                <w:kern w:val="0"/>
                <w:szCs w:val="21"/>
                <w:lang w:bidi="ar"/>
              </w:rPr>
              <w:t>-2</w:t>
            </w:r>
          </w:p>
        </w:tc>
        <w:tc>
          <w:tcPr>
            <w:tcW w:w="446" w:type="pct"/>
            <w:vMerge w:val="restart"/>
            <w:vAlign w:val="center"/>
          </w:tcPr>
          <w:p w14:paraId="04B17988">
            <w:pPr>
              <w:jc w:val="center"/>
              <w:rPr>
                <w:rFonts w:eastAsia="仿宋_GB2312"/>
                <w:color w:val="auto"/>
                <w:szCs w:val="21"/>
              </w:rPr>
            </w:pPr>
            <w:r>
              <w:rPr>
                <w:rFonts w:eastAsia="仿宋_GB2312"/>
                <w:color w:val="auto"/>
                <w:kern w:val="0"/>
                <w:szCs w:val="21"/>
                <w:lang w:bidi="ar"/>
              </w:rPr>
              <w:t>调节废气</w:t>
            </w:r>
          </w:p>
        </w:tc>
        <w:tc>
          <w:tcPr>
            <w:tcW w:w="361" w:type="pct"/>
            <w:vMerge w:val="restart"/>
            <w:vAlign w:val="center"/>
          </w:tcPr>
          <w:p w14:paraId="5BA179E3">
            <w:pPr>
              <w:jc w:val="center"/>
              <w:rPr>
                <w:rFonts w:eastAsia="仿宋_GB2312"/>
                <w:color w:val="auto"/>
                <w:szCs w:val="21"/>
              </w:rPr>
            </w:pPr>
            <w:r>
              <w:rPr>
                <w:rFonts w:hint="eastAsia" w:eastAsia="仿宋_GB2312"/>
                <w:color w:val="auto"/>
                <w:szCs w:val="21"/>
                <w:lang w:val="en-US" w:eastAsia="zh-CN"/>
              </w:rPr>
              <w:t>1</w:t>
            </w:r>
            <w:r>
              <w:rPr>
                <w:rFonts w:eastAsia="仿宋_GB2312"/>
                <w:color w:val="auto"/>
                <w:szCs w:val="21"/>
              </w:rPr>
              <w:t>00</w:t>
            </w:r>
          </w:p>
        </w:tc>
        <w:tc>
          <w:tcPr>
            <w:tcW w:w="498" w:type="pct"/>
            <w:vMerge w:val="restart"/>
            <w:vAlign w:val="center"/>
          </w:tcPr>
          <w:p w14:paraId="71C6834F">
            <w:pPr>
              <w:keepNext w:val="0"/>
              <w:keepLines w:val="0"/>
              <w:widowControl/>
              <w:suppressLineNumbers w:val="0"/>
              <w:jc w:val="center"/>
              <w:textAlignment w:val="bottom"/>
              <w:rPr>
                <w:rFonts w:hint="eastAsia" w:eastAsia="仿宋_GB2312"/>
                <w:color w:val="auto"/>
                <w:kern w:val="0"/>
                <w:szCs w:val="21"/>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1128</w:t>
            </w:r>
          </w:p>
        </w:tc>
        <w:tc>
          <w:tcPr>
            <w:tcW w:w="820" w:type="pct"/>
            <w:vAlign w:val="center"/>
          </w:tcPr>
          <w:p w14:paraId="52089E95">
            <w:pPr>
              <w:widowControl/>
              <w:jc w:val="center"/>
              <w:textAlignment w:val="center"/>
              <w:rPr>
                <w:rFonts w:eastAsia="仿宋_GB2312"/>
                <w:color w:val="auto"/>
                <w:kern w:val="0"/>
                <w:szCs w:val="21"/>
                <w:lang w:bidi="ar"/>
              </w:rPr>
            </w:pPr>
            <w:r>
              <w:rPr>
                <w:rFonts w:hint="eastAsia" w:eastAsia="仿宋_GB2312"/>
                <w:color w:val="auto"/>
                <w:kern w:val="0"/>
                <w:szCs w:val="21"/>
                <w:lang w:val="en-US" w:eastAsia="zh-CN" w:bidi="ar"/>
              </w:rPr>
              <w:t>苯酚</w:t>
            </w:r>
          </w:p>
        </w:tc>
        <w:tc>
          <w:tcPr>
            <w:tcW w:w="380" w:type="pct"/>
            <w:shd w:val="clear" w:color="auto" w:fill="auto"/>
            <w:vAlign w:val="center"/>
          </w:tcPr>
          <w:p w14:paraId="401D1DE1">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0.121</w:t>
            </w:r>
          </w:p>
        </w:tc>
        <w:tc>
          <w:tcPr>
            <w:tcW w:w="445" w:type="pct"/>
            <w:shd w:val="clear" w:color="auto" w:fill="auto"/>
            <w:vAlign w:val="center"/>
          </w:tcPr>
          <w:p w14:paraId="360CF994">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0.137</w:t>
            </w:r>
          </w:p>
        </w:tc>
        <w:tc>
          <w:tcPr>
            <w:tcW w:w="630" w:type="pct"/>
            <w:vMerge w:val="restart"/>
            <w:shd w:val="clear" w:color="auto" w:fill="auto"/>
            <w:vAlign w:val="center"/>
          </w:tcPr>
          <w:p w14:paraId="6FD30EFC">
            <w:pPr>
              <w:widowControl/>
              <w:jc w:val="center"/>
              <w:textAlignment w:val="center"/>
              <w:rPr>
                <w:rFonts w:ascii="Times New Roman" w:hAnsi="Times New Roman" w:eastAsia="仿宋_GB2312" w:cs="Times New Roman"/>
                <w:color w:val="auto"/>
                <w:kern w:val="2"/>
                <w:sz w:val="21"/>
                <w:szCs w:val="21"/>
                <w:lang w:val="en-US" w:eastAsia="zh-CN" w:bidi="ar-SA"/>
              </w:rPr>
            </w:pPr>
            <w:r>
              <w:rPr>
                <w:rFonts w:hint="eastAsia" w:eastAsia="仿宋_GB2312"/>
                <w:color w:val="auto"/>
                <w:szCs w:val="21"/>
              </w:rPr>
              <w:t>预处理（冷凝+稀酸吸收+碱吸收+水吸收+除雾）+</w:t>
            </w:r>
            <w:r>
              <w:rPr>
                <w:rFonts w:eastAsia="仿宋_GB2312"/>
                <w:color w:val="auto"/>
                <w:szCs w:val="21"/>
              </w:rPr>
              <w:t>焚烧</w:t>
            </w:r>
          </w:p>
        </w:tc>
        <w:tc>
          <w:tcPr>
            <w:tcW w:w="292" w:type="pct"/>
            <w:vMerge w:val="restart"/>
            <w:shd w:val="clear" w:color="auto" w:fill="auto"/>
            <w:vAlign w:val="center"/>
          </w:tcPr>
          <w:p w14:paraId="65EBF83F">
            <w:pPr>
              <w:widowControl/>
              <w:jc w:val="center"/>
              <w:textAlignment w:val="center"/>
              <w:rPr>
                <w:rFonts w:ascii="Times New Roman" w:hAnsi="Times New Roman" w:eastAsia="仿宋_GB2312" w:cs="Times New Roman"/>
                <w:color w:val="auto"/>
                <w:kern w:val="2"/>
                <w:sz w:val="21"/>
                <w:szCs w:val="21"/>
                <w:lang w:val="en-US" w:eastAsia="zh-CN" w:bidi="ar-SA"/>
              </w:rPr>
            </w:pPr>
            <w:r>
              <w:rPr>
                <w:rFonts w:hint="eastAsia" w:eastAsia="仿宋_GB2312"/>
                <w:color w:val="auto"/>
                <w:kern w:val="0"/>
                <w:szCs w:val="21"/>
                <w:lang w:bidi="ar"/>
              </w:rPr>
              <w:t>DA002</w:t>
            </w:r>
          </w:p>
        </w:tc>
      </w:tr>
      <w:tr w14:paraId="0C65DB5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384A11D4">
            <w:pPr>
              <w:jc w:val="center"/>
              <w:rPr>
                <w:rFonts w:eastAsia="仿宋_GB2312"/>
                <w:color w:val="auto"/>
                <w:szCs w:val="21"/>
              </w:rPr>
            </w:pPr>
          </w:p>
        </w:tc>
        <w:tc>
          <w:tcPr>
            <w:tcW w:w="358" w:type="pct"/>
            <w:vMerge w:val="continue"/>
            <w:vAlign w:val="center"/>
          </w:tcPr>
          <w:p w14:paraId="159B6060">
            <w:pPr>
              <w:jc w:val="center"/>
              <w:rPr>
                <w:rFonts w:eastAsia="仿宋_GB2312"/>
                <w:color w:val="auto"/>
                <w:szCs w:val="21"/>
              </w:rPr>
            </w:pPr>
          </w:p>
        </w:tc>
        <w:tc>
          <w:tcPr>
            <w:tcW w:w="418" w:type="pct"/>
            <w:vMerge w:val="continue"/>
            <w:vAlign w:val="center"/>
          </w:tcPr>
          <w:p w14:paraId="237FF3D2">
            <w:pPr>
              <w:jc w:val="center"/>
              <w:rPr>
                <w:rFonts w:eastAsia="仿宋_GB2312"/>
                <w:color w:val="auto"/>
                <w:szCs w:val="21"/>
              </w:rPr>
            </w:pPr>
          </w:p>
        </w:tc>
        <w:tc>
          <w:tcPr>
            <w:tcW w:w="446" w:type="pct"/>
            <w:vMerge w:val="continue"/>
            <w:vAlign w:val="center"/>
          </w:tcPr>
          <w:p w14:paraId="72F41288">
            <w:pPr>
              <w:jc w:val="center"/>
              <w:rPr>
                <w:rFonts w:eastAsia="仿宋_GB2312"/>
                <w:color w:val="auto"/>
                <w:szCs w:val="21"/>
              </w:rPr>
            </w:pPr>
          </w:p>
        </w:tc>
        <w:tc>
          <w:tcPr>
            <w:tcW w:w="361" w:type="pct"/>
            <w:vMerge w:val="continue"/>
            <w:vAlign w:val="center"/>
          </w:tcPr>
          <w:p w14:paraId="375800E0">
            <w:pPr>
              <w:jc w:val="center"/>
              <w:rPr>
                <w:rFonts w:eastAsia="仿宋_GB2312"/>
                <w:color w:val="auto"/>
                <w:szCs w:val="21"/>
              </w:rPr>
            </w:pPr>
          </w:p>
        </w:tc>
        <w:tc>
          <w:tcPr>
            <w:tcW w:w="498" w:type="pct"/>
            <w:vMerge w:val="continue"/>
            <w:vAlign w:val="center"/>
          </w:tcPr>
          <w:p w14:paraId="22FB179F">
            <w:pPr>
              <w:keepNext w:val="0"/>
              <w:keepLines w:val="0"/>
              <w:widowControl/>
              <w:suppressLineNumbers w:val="0"/>
              <w:jc w:val="center"/>
              <w:textAlignment w:val="bottom"/>
              <w:rPr>
                <w:rFonts w:eastAsia="仿宋_GB2312"/>
                <w:color w:val="auto"/>
                <w:kern w:val="0"/>
                <w:szCs w:val="21"/>
                <w:lang w:bidi="ar"/>
              </w:rPr>
            </w:pPr>
          </w:p>
        </w:tc>
        <w:tc>
          <w:tcPr>
            <w:tcW w:w="820" w:type="pct"/>
            <w:vAlign w:val="center"/>
          </w:tcPr>
          <w:p w14:paraId="0055491E">
            <w:pPr>
              <w:widowControl/>
              <w:jc w:val="center"/>
              <w:textAlignment w:val="center"/>
              <w:rPr>
                <w:rFonts w:eastAsia="仿宋_GB2312"/>
                <w:color w:val="auto"/>
                <w:kern w:val="0"/>
                <w:szCs w:val="21"/>
                <w:lang w:bidi="ar"/>
              </w:rPr>
            </w:pPr>
            <w:r>
              <w:rPr>
                <w:rFonts w:eastAsia="仿宋_GB2312"/>
                <w:color w:val="auto"/>
                <w:kern w:val="0"/>
                <w:szCs w:val="21"/>
                <w:lang w:bidi="ar"/>
              </w:rPr>
              <w:t>其他有机物</w:t>
            </w:r>
          </w:p>
        </w:tc>
        <w:tc>
          <w:tcPr>
            <w:tcW w:w="380" w:type="pct"/>
            <w:shd w:val="clear" w:color="auto" w:fill="auto"/>
            <w:vAlign w:val="center"/>
          </w:tcPr>
          <w:p w14:paraId="0C832911">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0.003</w:t>
            </w:r>
          </w:p>
        </w:tc>
        <w:tc>
          <w:tcPr>
            <w:tcW w:w="445" w:type="pct"/>
            <w:shd w:val="clear" w:color="auto" w:fill="auto"/>
            <w:vAlign w:val="center"/>
          </w:tcPr>
          <w:p w14:paraId="3A6FD163">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0.004</w:t>
            </w:r>
          </w:p>
        </w:tc>
        <w:tc>
          <w:tcPr>
            <w:tcW w:w="630" w:type="pct"/>
            <w:vMerge w:val="continue"/>
            <w:vAlign w:val="center"/>
          </w:tcPr>
          <w:p w14:paraId="7648CFBD">
            <w:pPr>
              <w:jc w:val="center"/>
              <w:rPr>
                <w:rFonts w:eastAsia="仿宋_GB2312"/>
                <w:color w:val="auto"/>
                <w:szCs w:val="21"/>
              </w:rPr>
            </w:pPr>
          </w:p>
        </w:tc>
        <w:tc>
          <w:tcPr>
            <w:tcW w:w="292" w:type="pct"/>
            <w:vMerge w:val="continue"/>
            <w:vAlign w:val="center"/>
          </w:tcPr>
          <w:p w14:paraId="444B889D">
            <w:pPr>
              <w:jc w:val="center"/>
              <w:rPr>
                <w:rFonts w:eastAsia="仿宋_GB2312"/>
                <w:color w:val="auto"/>
                <w:szCs w:val="21"/>
              </w:rPr>
            </w:pPr>
          </w:p>
        </w:tc>
      </w:tr>
      <w:tr w14:paraId="0BAAF4E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4CC6CCA5">
            <w:pPr>
              <w:jc w:val="center"/>
              <w:rPr>
                <w:rFonts w:eastAsia="仿宋_GB2312"/>
                <w:color w:val="auto"/>
                <w:szCs w:val="21"/>
              </w:rPr>
            </w:pPr>
          </w:p>
        </w:tc>
        <w:tc>
          <w:tcPr>
            <w:tcW w:w="358" w:type="pct"/>
            <w:vMerge w:val="continue"/>
            <w:vAlign w:val="center"/>
          </w:tcPr>
          <w:p w14:paraId="005D7C7F">
            <w:pPr>
              <w:jc w:val="center"/>
              <w:rPr>
                <w:rFonts w:eastAsia="仿宋_GB2312"/>
                <w:color w:val="auto"/>
                <w:szCs w:val="21"/>
              </w:rPr>
            </w:pPr>
          </w:p>
        </w:tc>
        <w:tc>
          <w:tcPr>
            <w:tcW w:w="418" w:type="pct"/>
            <w:vMerge w:val="restart"/>
            <w:vAlign w:val="center"/>
          </w:tcPr>
          <w:p w14:paraId="02CC9777">
            <w:pPr>
              <w:jc w:val="center"/>
              <w:rPr>
                <w:rFonts w:eastAsia="仿宋_GB2312"/>
                <w:color w:val="auto"/>
                <w:szCs w:val="21"/>
              </w:rPr>
            </w:pPr>
            <w:r>
              <w:rPr>
                <w:rFonts w:eastAsia="仿宋_GB2312"/>
                <w:color w:val="auto"/>
                <w:kern w:val="0"/>
                <w:szCs w:val="21"/>
                <w:lang w:bidi="ar"/>
              </w:rPr>
              <w:t>G</w:t>
            </w:r>
            <w:r>
              <w:rPr>
                <w:rFonts w:hint="eastAsia" w:eastAsia="仿宋_GB2312"/>
                <w:color w:val="auto"/>
                <w:kern w:val="0"/>
                <w:szCs w:val="21"/>
                <w:lang w:val="en-US" w:eastAsia="zh-CN" w:bidi="ar"/>
              </w:rPr>
              <w:t>2</w:t>
            </w:r>
            <w:r>
              <w:rPr>
                <w:rFonts w:eastAsia="仿宋_GB2312"/>
                <w:color w:val="auto"/>
                <w:kern w:val="0"/>
                <w:szCs w:val="21"/>
                <w:lang w:bidi="ar"/>
              </w:rPr>
              <w:t>-1</w:t>
            </w:r>
            <w:r>
              <w:rPr>
                <w:rFonts w:hint="eastAsia" w:eastAsia="仿宋_GB2312"/>
                <w:color w:val="auto"/>
                <w:kern w:val="0"/>
                <w:szCs w:val="21"/>
                <w:lang w:val="en-US" w:eastAsia="zh-CN" w:bidi="ar"/>
              </w:rPr>
              <w:t>3</w:t>
            </w:r>
            <w:r>
              <w:rPr>
                <w:rFonts w:eastAsia="仿宋_GB2312"/>
                <w:color w:val="auto"/>
                <w:kern w:val="0"/>
                <w:szCs w:val="21"/>
                <w:lang w:bidi="ar"/>
              </w:rPr>
              <w:t>-3</w:t>
            </w:r>
          </w:p>
        </w:tc>
        <w:tc>
          <w:tcPr>
            <w:tcW w:w="446" w:type="pct"/>
            <w:vMerge w:val="restart"/>
            <w:vAlign w:val="center"/>
          </w:tcPr>
          <w:p w14:paraId="73FF69AA">
            <w:pPr>
              <w:jc w:val="center"/>
              <w:rPr>
                <w:rFonts w:eastAsia="仿宋_GB2312"/>
                <w:color w:val="auto"/>
                <w:szCs w:val="21"/>
              </w:rPr>
            </w:pPr>
            <w:r>
              <w:rPr>
                <w:rFonts w:eastAsia="仿宋_GB2312"/>
                <w:color w:val="auto"/>
                <w:kern w:val="0"/>
                <w:szCs w:val="21"/>
                <w:lang w:bidi="ar"/>
              </w:rPr>
              <w:t>不凝气</w:t>
            </w:r>
          </w:p>
        </w:tc>
        <w:tc>
          <w:tcPr>
            <w:tcW w:w="361" w:type="pct"/>
            <w:vMerge w:val="restart"/>
            <w:vAlign w:val="center"/>
          </w:tcPr>
          <w:p w14:paraId="5ED646BE">
            <w:pPr>
              <w:jc w:val="center"/>
              <w:rPr>
                <w:rFonts w:eastAsia="仿宋_GB2312"/>
                <w:color w:val="auto"/>
                <w:szCs w:val="21"/>
              </w:rPr>
            </w:pPr>
            <w:r>
              <w:rPr>
                <w:rFonts w:eastAsia="仿宋_GB2312"/>
                <w:color w:val="auto"/>
                <w:szCs w:val="21"/>
              </w:rPr>
              <w:t>360</w:t>
            </w:r>
          </w:p>
        </w:tc>
        <w:tc>
          <w:tcPr>
            <w:tcW w:w="498" w:type="pct"/>
            <w:vMerge w:val="restart"/>
            <w:vAlign w:val="center"/>
          </w:tcPr>
          <w:p w14:paraId="50DECA3B">
            <w:pPr>
              <w:keepNext w:val="0"/>
              <w:keepLines w:val="0"/>
              <w:widowControl/>
              <w:suppressLineNumbers w:val="0"/>
              <w:jc w:val="center"/>
              <w:textAlignment w:val="bottom"/>
              <w:rPr>
                <w:rFonts w:hint="eastAsia" w:eastAsia="仿宋_GB2312"/>
                <w:color w:val="auto"/>
                <w:kern w:val="0"/>
                <w:szCs w:val="21"/>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2256</w:t>
            </w:r>
          </w:p>
        </w:tc>
        <w:tc>
          <w:tcPr>
            <w:tcW w:w="820" w:type="pct"/>
            <w:vAlign w:val="center"/>
          </w:tcPr>
          <w:p w14:paraId="02EBD5E8">
            <w:pPr>
              <w:widowControl/>
              <w:jc w:val="center"/>
              <w:textAlignment w:val="center"/>
              <w:rPr>
                <w:rFonts w:eastAsia="仿宋_GB2312"/>
                <w:color w:val="auto"/>
                <w:kern w:val="0"/>
                <w:szCs w:val="21"/>
                <w:lang w:bidi="ar"/>
              </w:rPr>
            </w:pPr>
            <w:r>
              <w:rPr>
                <w:rFonts w:hint="eastAsia" w:eastAsia="仿宋_GB2312"/>
                <w:color w:val="auto"/>
                <w:kern w:val="0"/>
                <w:szCs w:val="21"/>
                <w:lang w:val="en-US" w:eastAsia="zh-CN" w:bidi="ar"/>
              </w:rPr>
              <w:t>苯酚</w:t>
            </w:r>
          </w:p>
        </w:tc>
        <w:tc>
          <w:tcPr>
            <w:tcW w:w="380" w:type="pct"/>
            <w:shd w:val="clear" w:color="auto" w:fill="auto"/>
            <w:vAlign w:val="center"/>
          </w:tcPr>
          <w:p w14:paraId="6E2040E9">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1.476</w:t>
            </w:r>
          </w:p>
        </w:tc>
        <w:tc>
          <w:tcPr>
            <w:tcW w:w="445" w:type="pct"/>
            <w:shd w:val="clear" w:color="auto" w:fill="auto"/>
            <w:vAlign w:val="center"/>
          </w:tcPr>
          <w:p w14:paraId="499B0FEC">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3.33</w:t>
            </w:r>
          </w:p>
        </w:tc>
        <w:tc>
          <w:tcPr>
            <w:tcW w:w="630" w:type="pct"/>
            <w:vMerge w:val="continue"/>
            <w:vAlign w:val="center"/>
          </w:tcPr>
          <w:p w14:paraId="05A95FD6">
            <w:pPr>
              <w:jc w:val="center"/>
              <w:rPr>
                <w:rFonts w:eastAsia="仿宋_GB2312"/>
                <w:color w:val="auto"/>
                <w:szCs w:val="21"/>
              </w:rPr>
            </w:pPr>
          </w:p>
        </w:tc>
        <w:tc>
          <w:tcPr>
            <w:tcW w:w="292" w:type="pct"/>
            <w:vMerge w:val="continue"/>
            <w:vAlign w:val="center"/>
          </w:tcPr>
          <w:p w14:paraId="048D9D95">
            <w:pPr>
              <w:jc w:val="center"/>
              <w:rPr>
                <w:rFonts w:eastAsia="仿宋_GB2312"/>
                <w:color w:val="auto"/>
                <w:szCs w:val="21"/>
              </w:rPr>
            </w:pPr>
          </w:p>
        </w:tc>
      </w:tr>
      <w:tr w14:paraId="470249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2BEA853D">
            <w:pPr>
              <w:jc w:val="center"/>
              <w:rPr>
                <w:rFonts w:eastAsia="仿宋_GB2312"/>
                <w:color w:val="auto"/>
                <w:szCs w:val="21"/>
              </w:rPr>
            </w:pPr>
          </w:p>
        </w:tc>
        <w:tc>
          <w:tcPr>
            <w:tcW w:w="358" w:type="pct"/>
            <w:vMerge w:val="continue"/>
            <w:vAlign w:val="center"/>
          </w:tcPr>
          <w:p w14:paraId="6A3DE4F9">
            <w:pPr>
              <w:jc w:val="center"/>
              <w:rPr>
                <w:rFonts w:eastAsia="仿宋_GB2312"/>
                <w:color w:val="auto"/>
                <w:szCs w:val="21"/>
              </w:rPr>
            </w:pPr>
          </w:p>
        </w:tc>
        <w:tc>
          <w:tcPr>
            <w:tcW w:w="418" w:type="pct"/>
            <w:vMerge w:val="continue"/>
            <w:vAlign w:val="center"/>
          </w:tcPr>
          <w:p w14:paraId="65E38F3D">
            <w:pPr>
              <w:jc w:val="center"/>
              <w:rPr>
                <w:rFonts w:eastAsia="仿宋_GB2312"/>
                <w:color w:val="auto"/>
                <w:szCs w:val="21"/>
              </w:rPr>
            </w:pPr>
          </w:p>
        </w:tc>
        <w:tc>
          <w:tcPr>
            <w:tcW w:w="446" w:type="pct"/>
            <w:vMerge w:val="continue"/>
            <w:vAlign w:val="center"/>
          </w:tcPr>
          <w:p w14:paraId="5DECB974">
            <w:pPr>
              <w:jc w:val="center"/>
              <w:rPr>
                <w:rFonts w:eastAsia="仿宋_GB2312"/>
                <w:color w:val="auto"/>
                <w:szCs w:val="21"/>
              </w:rPr>
            </w:pPr>
          </w:p>
        </w:tc>
        <w:tc>
          <w:tcPr>
            <w:tcW w:w="361" w:type="pct"/>
            <w:vMerge w:val="continue"/>
            <w:vAlign w:val="center"/>
          </w:tcPr>
          <w:p w14:paraId="3D3E3420">
            <w:pPr>
              <w:jc w:val="center"/>
              <w:rPr>
                <w:rFonts w:eastAsia="仿宋_GB2312"/>
                <w:color w:val="auto"/>
                <w:szCs w:val="21"/>
              </w:rPr>
            </w:pPr>
          </w:p>
        </w:tc>
        <w:tc>
          <w:tcPr>
            <w:tcW w:w="498" w:type="pct"/>
            <w:vMerge w:val="continue"/>
            <w:vAlign w:val="center"/>
          </w:tcPr>
          <w:p w14:paraId="4BF76F74">
            <w:pPr>
              <w:keepNext w:val="0"/>
              <w:keepLines w:val="0"/>
              <w:widowControl/>
              <w:suppressLineNumbers w:val="0"/>
              <w:jc w:val="center"/>
              <w:textAlignment w:val="bottom"/>
              <w:rPr>
                <w:rFonts w:eastAsia="仿宋_GB2312"/>
                <w:color w:val="auto"/>
                <w:kern w:val="0"/>
                <w:szCs w:val="21"/>
                <w:lang w:bidi="ar"/>
              </w:rPr>
            </w:pPr>
          </w:p>
        </w:tc>
        <w:tc>
          <w:tcPr>
            <w:tcW w:w="820" w:type="pct"/>
            <w:vAlign w:val="center"/>
          </w:tcPr>
          <w:p w14:paraId="2F052232">
            <w:pPr>
              <w:widowControl/>
              <w:jc w:val="center"/>
              <w:textAlignment w:val="center"/>
              <w:rPr>
                <w:rFonts w:eastAsia="仿宋_GB2312"/>
                <w:color w:val="auto"/>
                <w:kern w:val="0"/>
                <w:szCs w:val="21"/>
                <w:lang w:bidi="ar"/>
              </w:rPr>
            </w:pPr>
            <w:r>
              <w:rPr>
                <w:rFonts w:eastAsia="仿宋_GB2312"/>
                <w:color w:val="auto"/>
                <w:kern w:val="0"/>
                <w:szCs w:val="21"/>
                <w:lang w:bidi="ar"/>
              </w:rPr>
              <w:t>其他有机物</w:t>
            </w:r>
          </w:p>
        </w:tc>
        <w:tc>
          <w:tcPr>
            <w:tcW w:w="380" w:type="pct"/>
            <w:shd w:val="clear" w:color="auto" w:fill="auto"/>
            <w:vAlign w:val="center"/>
          </w:tcPr>
          <w:p w14:paraId="03E50288">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0.066</w:t>
            </w:r>
          </w:p>
        </w:tc>
        <w:tc>
          <w:tcPr>
            <w:tcW w:w="445" w:type="pct"/>
            <w:shd w:val="clear" w:color="auto" w:fill="auto"/>
            <w:vAlign w:val="center"/>
          </w:tcPr>
          <w:p w14:paraId="009232C4">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0.15</w:t>
            </w:r>
          </w:p>
        </w:tc>
        <w:tc>
          <w:tcPr>
            <w:tcW w:w="630" w:type="pct"/>
            <w:vMerge w:val="continue"/>
            <w:vAlign w:val="center"/>
          </w:tcPr>
          <w:p w14:paraId="5297C1E6">
            <w:pPr>
              <w:jc w:val="center"/>
              <w:rPr>
                <w:rFonts w:eastAsia="仿宋_GB2312"/>
                <w:color w:val="auto"/>
                <w:szCs w:val="21"/>
              </w:rPr>
            </w:pPr>
          </w:p>
        </w:tc>
        <w:tc>
          <w:tcPr>
            <w:tcW w:w="292" w:type="pct"/>
            <w:vMerge w:val="continue"/>
            <w:vAlign w:val="center"/>
          </w:tcPr>
          <w:p w14:paraId="35F707E5">
            <w:pPr>
              <w:jc w:val="center"/>
              <w:rPr>
                <w:rFonts w:eastAsia="仿宋_GB2312"/>
                <w:color w:val="auto"/>
                <w:szCs w:val="21"/>
              </w:rPr>
            </w:pPr>
          </w:p>
        </w:tc>
      </w:tr>
      <w:tr w14:paraId="652A52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6D89103D">
            <w:pPr>
              <w:jc w:val="center"/>
              <w:rPr>
                <w:rFonts w:eastAsia="仿宋_GB2312"/>
                <w:color w:val="auto"/>
                <w:szCs w:val="21"/>
              </w:rPr>
            </w:pPr>
          </w:p>
        </w:tc>
        <w:tc>
          <w:tcPr>
            <w:tcW w:w="358" w:type="pct"/>
            <w:vMerge w:val="continue"/>
            <w:vAlign w:val="center"/>
          </w:tcPr>
          <w:p w14:paraId="6767E6CF">
            <w:pPr>
              <w:jc w:val="center"/>
              <w:rPr>
                <w:rFonts w:eastAsia="仿宋_GB2312"/>
                <w:color w:val="auto"/>
                <w:szCs w:val="21"/>
              </w:rPr>
            </w:pPr>
          </w:p>
        </w:tc>
        <w:tc>
          <w:tcPr>
            <w:tcW w:w="418" w:type="pct"/>
            <w:vMerge w:val="restart"/>
            <w:vAlign w:val="center"/>
          </w:tcPr>
          <w:p w14:paraId="3893A56B">
            <w:pPr>
              <w:jc w:val="center"/>
              <w:rPr>
                <w:rFonts w:eastAsia="仿宋_GB2312"/>
                <w:color w:val="auto"/>
                <w:szCs w:val="21"/>
              </w:rPr>
            </w:pPr>
            <w:r>
              <w:rPr>
                <w:rFonts w:eastAsia="仿宋_GB2312"/>
                <w:color w:val="auto"/>
                <w:kern w:val="0"/>
                <w:szCs w:val="21"/>
                <w:lang w:bidi="ar"/>
              </w:rPr>
              <w:t>G</w:t>
            </w:r>
            <w:r>
              <w:rPr>
                <w:rFonts w:hint="eastAsia" w:eastAsia="仿宋_GB2312"/>
                <w:color w:val="auto"/>
                <w:kern w:val="0"/>
                <w:szCs w:val="21"/>
                <w:lang w:val="en-US" w:eastAsia="zh-CN" w:bidi="ar"/>
              </w:rPr>
              <w:t>2</w:t>
            </w:r>
            <w:r>
              <w:rPr>
                <w:rFonts w:eastAsia="仿宋_GB2312"/>
                <w:color w:val="auto"/>
                <w:kern w:val="0"/>
                <w:szCs w:val="21"/>
                <w:lang w:bidi="ar"/>
              </w:rPr>
              <w:t>-1</w:t>
            </w:r>
            <w:r>
              <w:rPr>
                <w:rFonts w:hint="eastAsia" w:eastAsia="仿宋_GB2312"/>
                <w:color w:val="auto"/>
                <w:kern w:val="0"/>
                <w:szCs w:val="21"/>
                <w:lang w:val="en-US" w:eastAsia="zh-CN" w:bidi="ar"/>
              </w:rPr>
              <w:t>3</w:t>
            </w:r>
            <w:r>
              <w:rPr>
                <w:rFonts w:eastAsia="仿宋_GB2312"/>
                <w:color w:val="auto"/>
                <w:kern w:val="0"/>
                <w:szCs w:val="21"/>
                <w:lang w:bidi="ar"/>
              </w:rPr>
              <w:t>-4</w:t>
            </w:r>
          </w:p>
        </w:tc>
        <w:tc>
          <w:tcPr>
            <w:tcW w:w="446" w:type="pct"/>
            <w:vMerge w:val="restart"/>
            <w:vAlign w:val="center"/>
          </w:tcPr>
          <w:p w14:paraId="43A1CF84">
            <w:pPr>
              <w:jc w:val="center"/>
              <w:rPr>
                <w:rFonts w:eastAsia="仿宋_GB2312"/>
                <w:color w:val="auto"/>
                <w:szCs w:val="21"/>
              </w:rPr>
            </w:pPr>
            <w:r>
              <w:rPr>
                <w:rFonts w:eastAsia="仿宋_GB2312"/>
                <w:color w:val="auto"/>
                <w:kern w:val="0"/>
                <w:szCs w:val="21"/>
                <w:lang w:bidi="ar"/>
              </w:rPr>
              <w:t>不凝气</w:t>
            </w:r>
          </w:p>
        </w:tc>
        <w:tc>
          <w:tcPr>
            <w:tcW w:w="361" w:type="pct"/>
            <w:vMerge w:val="restart"/>
            <w:vAlign w:val="center"/>
          </w:tcPr>
          <w:p w14:paraId="331A9E40">
            <w:pPr>
              <w:jc w:val="center"/>
              <w:rPr>
                <w:rFonts w:eastAsia="仿宋_GB2312"/>
                <w:color w:val="auto"/>
                <w:szCs w:val="21"/>
              </w:rPr>
            </w:pPr>
            <w:r>
              <w:rPr>
                <w:rFonts w:eastAsia="仿宋_GB2312"/>
                <w:color w:val="auto"/>
                <w:szCs w:val="21"/>
              </w:rPr>
              <w:t>360</w:t>
            </w:r>
          </w:p>
        </w:tc>
        <w:tc>
          <w:tcPr>
            <w:tcW w:w="498" w:type="pct"/>
            <w:vMerge w:val="restart"/>
            <w:vAlign w:val="center"/>
          </w:tcPr>
          <w:p w14:paraId="288B69BF">
            <w:pPr>
              <w:keepNext w:val="0"/>
              <w:keepLines w:val="0"/>
              <w:widowControl/>
              <w:suppressLineNumbers w:val="0"/>
              <w:jc w:val="center"/>
              <w:textAlignment w:val="bottom"/>
              <w:rPr>
                <w:rFonts w:hint="eastAsia" w:eastAsia="仿宋_GB2312"/>
                <w:color w:val="auto"/>
                <w:kern w:val="0"/>
                <w:szCs w:val="21"/>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2256</w:t>
            </w:r>
          </w:p>
        </w:tc>
        <w:tc>
          <w:tcPr>
            <w:tcW w:w="820" w:type="pct"/>
            <w:vAlign w:val="center"/>
          </w:tcPr>
          <w:p w14:paraId="53B698A0">
            <w:pPr>
              <w:widowControl/>
              <w:jc w:val="center"/>
              <w:textAlignment w:val="center"/>
              <w:rPr>
                <w:rFonts w:eastAsia="仿宋_GB2312"/>
                <w:color w:val="auto"/>
                <w:kern w:val="0"/>
                <w:szCs w:val="21"/>
                <w:lang w:bidi="ar"/>
              </w:rPr>
            </w:pPr>
            <w:r>
              <w:rPr>
                <w:rFonts w:hint="eastAsia" w:eastAsia="仿宋_GB2312"/>
                <w:color w:val="auto"/>
                <w:kern w:val="0"/>
                <w:szCs w:val="21"/>
                <w:lang w:val="en-US" w:eastAsia="zh-CN" w:bidi="ar"/>
              </w:rPr>
              <w:t>苯酚</w:t>
            </w:r>
          </w:p>
        </w:tc>
        <w:tc>
          <w:tcPr>
            <w:tcW w:w="380" w:type="pct"/>
            <w:shd w:val="clear" w:color="auto" w:fill="auto"/>
            <w:vAlign w:val="center"/>
          </w:tcPr>
          <w:p w14:paraId="4009A60E">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0.013</w:t>
            </w:r>
          </w:p>
        </w:tc>
        <w:tc>
          <w:tcPr>
            <w:tcW w:w="445" w:type="pct"/>
            <w:shd w:val="clear" w:color="auto" w:fill="auto"/>
            <w:vAlign w:val="center"/>
          </w:tcPr>
          <w:p w14:paraId="25661675">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0.0309</w:t>
            </w:r>
          </w:p>
        </w:tc>
        <w:tc>
          <w:tcPr>
            <w:tcW w:w="630" w:type="pct"/>
            <w:vMerge w:val="continue"/>
            <w:vAlign w:val="center"/>
          </w:tcPr>
          <w:p w14:paraId="6FD03950">
            <w:pPr>
              <w:jc w:val="center"/>
              <w:rPr>
                <w:rFonts w:eastAsia="仿宋_GB2312"/>
                <w:color w:val="auto"/>
                <w:szCs w:val="21"/>
              </w:rPr>
            </w:pPr>
          </w:p>
        </w:tc>
        <w:tc>
          <w:tcPr>
            <w:tcW w:w="292" w:type="pct"/>
            <w:vMerge w:val="continue"/>
            <w:vAlign w:val="center"/>
          </w:tcPr>
          <w:p w14:paraId="5D6372E7">
            <w:pPr>
              <w:jc w:val="center"/>
              <w:rPr>
                <w:rFonts w:eastAsia="仿宋_GB2312"/>
                <w:color w:val="auto"/>
                <w:szCs w:val="21"/>
              </w:rPr>
            </w:pPr>
          </w:p>
        </w:tc>
      </w:tr>
      <w:tr w14:paraId="62F1AD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32861BA9">
            <w:pPr>
              <w:jc w:val="center"/>
              <w:rPr>
                <w:rFonts w:eastAsia="仿宋_GB2312"/>
                <w:color w:val="auto"/>
                <w:szCs w:val="21"/>
              </w:rPr>
            </w:pPr>
          </w:p>
        </w:tc>
        <w:tc>
          <w:tcPr>
            <w:tcW w:w="358" w:type="pct"/>
            <w:vMerge w:val="continue"/>
            <w:vAlign w:val="center"/>
          </w:tcPr>
          <w:p w14:paraId="213A6DED">
            <w:pPr>
              <w:jc w:val="center"/>
              <w:rPr>
                <w:rFonts w:eastAsia="仿宋_GB2312"/>
                <w:color w:val="auto"/>
                <w:szCs w:val="21"/>
              </w:rPr>
            </w:pPr>
          </w:p>
        </w:tc>
        <w:tc>
          <w:tcPr>
            <w:tcW w:w="418" w:type="pct"/>
            <w:vMerge w:val="continue"/>
            <w:vAlign w:val="center"/>
          </w:tcPr>
          <w:p w14:paraId="3A9D886C">
            <w:pPr>
              <w:jc w:val="center"/>
              <w:rPr>
                <w:rFonts w:eastAsia="仿宋_GB2312"/>
                <w:color w:val="auto"/>
                <w:szCs w:val="21"/>
              </w:rPr>
            </w:pPr>
          </w:p>
        </w:tc>
        <w:tc>
          <w:tcPr>
            <w:tcW w:w="446" w:type="pct"/>
            <w:vMerge w:val="continue"/>
            <w:vAlign w:val="center"/>
          </w:tcPr>
          <w:p w14:paraId="305045D7">
            <w:pPr>
              <w:jc w:val="center"/>
              <w:rPr>
                <w:rFonts w:eastAsia="仿宋_GB2312"/>
                <w:color w:val="auto"/>
                <w:szCs w:val="21"/>
              </w:rPr>
            </w:pPr>
          </w:p>
        </w:tc>
        <w:tc>
          <w:tcPr>
            <w:tcW w:w="361" w:type="pct"/>
            <w:vMerge w:val="continue"/>
            <w:vAlign w:val="center"/>
          </w:tcPr>
          <w:p w14:paraId="2F6BC5EB">
            <w:pPr>
              <w:jc w:val="center"/>
              <w:rPr>
                <w:rFonts w:eastAsia="仿宋_GB2312"/>
                <w:color w:val="auto"/>
                <w:szCs w:val="21"/>
              </w:rPr>
            </w:pPr>
          </w:p>
        </w:tc>
        <w:tc>
          <w:tcPr>
            <w:tcW w:w="498" w:type="pct"/>
            <w:vMerge w:val="continue"/>
            <w:vAlign w:val="center"/>
          </w:tcPr>
          <w:p w14:paraId="597DA6B3">
            <w:pPr>
              <w:keepNext w:val="0"/>
              <w:keepLines w:val="0"/>
              <w:widowControl/>
              <w:suppressLineNumbers w:val="0"/>
              <w:jc w:val="center"/>
              <w:textAlignment w:val="bottom"/>
              <w:rPr>
                <w:rFonts w:eastAsia="仿宋_GB2312"/>
                <w:color w:val="auto"/>
                <w:kern w:val="0"/>
                <w:szCs w:val="21"/>
                <w:lang w:bidi="ar"/>
              </w:rPr>
            </w:pPr>
          </w:p>
        </w:tc>
        <w:tc>
          <w:tcPr>
            <w:tcW w:w="820" w:type="pct"/>
            <w:vAlign w:val="center"/>
          </w:tcPr>
          <w:p w14:paraId="4EA10025">
            <w:pPr>
              <w:widowControl/>
              <w:jc w:val="center"/>
              <w:textAlignment w:val="center"/>
              <w:rPr>
                <w:rFonts w:eastAsia="仿宋_GB2312"/>
                <w:color w:val="auto"/>
                <w:kern w:val="0"/>
                <w:szCs w:val="21"/>
                <w:lang w:bidi="ar"/>
              </w:rPr>
            </w:pPr>
            <w:r>
              <w:rPr>
                <w:rFonts w:eastAsia="仿宋_GB2312"/>
                <w:color w:val="auto"/>
                <w:kern w:val="0"/>
                <w:szCs w:val="21"/>
                <w:lang w:bidi="ar"/>
              </w:rPr>
              <w:t>其他有机物</w:t>
            </w:r>
          </w:p>
        </w:tc>
        <w:tc>
          <w:tcPr>
            <w:tcW w:w="380" w:type="pct"/>
            <w:shd w:val="clear" w:color="auto" w:fill="auto"/>
            <w:vAlign w:val="center"/>
          </w:tcPr>
          <w:p w14:paraId="73F6F976">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0.001</w:t>
            </w:r>
          </w:p>
        </w:tc>
        <w:tc>
          <w:tcPr>
            <w:tcW w:w="445" w:type="pct"/>
            <w:shd w:val="clear" w:color="auto" w:fill="auto"/>
            <w:vAlign w:val="center"/>
          </w:tcPr>
          <w:p w14:paraId="13800C0E">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0.003</w:t>
            </w:r>
          </w:p>
        </w:tc>
        <w:tc>
          <w:tcPr>
            <w:tcW w:w="630" w:type="pct"/>
            <w:vMerge w:val="continue"/>
            <w:vAlign w:val="center"/>
          </w:tcPr>
          <w:p w14:paraId="593202A2">
            <w:pPr>
              <w:jc w:val="center"/>
              <w:rPr>
                <w:rFonts w:eastAsia="仿宋_GB2312"/>
                <w:color w:val="auto"/>
                <w:szCs w:val="21"/>
              </w:rPr>
            </w:pPr>
          </w:p>
        </w:tc>
        <w:tc>
          <w:tcPr>
            <w:tcW w:w="292" w:type="pct"/>
            <w:vMerge w:val="continue"/>
            <w:vAlign w:val="center"/>
          </w:tcPr>
          <w:p w14:paraId="612690C0">
            <w:pPr>
              <w:jc w:val="center"/>
              <w:rPr>
                <w:rFonts w:eastAsia="仿宋_GB2312"/>
                <w:color w:val="auto"/>
                <w:szCs w:val="21"/>
              </w:rPr>
            </w:pPr>
          </w:p>
        </w:tc>
      </w:tr>
      <w:tr w14:paraId="1FEBD3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5FE8BA7D">
            <w:pPr>
              <w:jc w:val="center"/>
              <w:rPr>
                <w:rFonts w:eastAsia="仿宋_GB2312"/>
                <w:color w:val="auto"/>
                <w:szCs w:val="21"/>
              </w:rPr>
            </w:pPr>
          </w:p>
        </w:tc>
        <w:tc>
          <w:tcPr>
            <w:tcW w:w="358" w:type="pct"/>
            <w:vMerge w:val="continue"/>
            <w:vAlign w:val="center"/>
          </w:tcPr>
          <w:p w14:paraId="428EA65D">
            <w:pPr>
              <w:jc w:val="center"/>
              <w:rPr>
                <w:rFonts w:eastAsia="仿宋_GB2312"/>
                <w:color w:val="auto"/>
                <w:szCs w:val="21"/>
              </w:rPr>
            </w:pPr>
          </w:p>
        </w:tc>
        <w:tc>
          <w:tcPr>
            <w:tcW w:w="418" w:type="pct"/>
            <w:vMerge w:val="restart"/>
            <w:vAlign w:val="center"/>
          </w:tcPr>
          <w:p w14:paraId="68120860">
            <w:pPr>
              <w:jc w:val="center"/>
              <w:rPr>
                <w:rFonts w:eastAsia="仿宋_GB2312"/>
                <w:color w:val="auto"/>
                <w:szCs w:val="21"/>
              </w:rPr>
            </w:pPr>
            <w:r>
              <w:rPr>
                <w:rFonts w:eastAsia="仿宋_GB2312"/>
                <w:color w:val="auto"/>
                <w:kern w:val="0"/>
                <w:szCs w:val="21"/>
                <w:lang w:bidi="ar"/>
              </w:rPr>
              <w:t>G</w:t>
            </w:r>
            <w:r>
              <w:rPr>
                <w:rFonts w:hint="eastAsia" w:eastAsia="仿宋_GB2312"/>
                <w:color w:val="auto"/>
                <w:kern w:val="0"/>
                <w:szCs w:val="21"/>
                <w:lang w:val="en-US" w:eastAsia="zh-CN" w:bidi="ar"/>
              </w:rPr>
              <w:t>2</w:t>
            </w:r>
            <w:r>
              <w:rPr>
                <w:rFonts w:eastAsia="仿宋_GB2312"/>
                <w:color w:val="auto"/>
                <w:kern w:val="0"/>
                <w:szCs w:val="21"/>
                <w:lang w:bidi="ar"/>
              </w:rPr>
              <w:t>-1</w:t>
            </w:r>
            <w:r>
              <w:rPr>
                <w:rFonts w:hint="eastAsia" w:eastAsia="仿宋_GB2312"/>
                <w:color w:val="auto"/>
                <w:kern w:val="0"/>
                <w:szCs w:val="21"/>
                <w:lang w:val="en-US" w:eastAsia="zh-CN" w:bidi="ar"/>
              </w:rPr>
              <w:t>3</w:t>
            </w:r>
            <w:r>
              <w:rPr>
                <w:rFonts w:eastAsia="仿宋_GB2312"/>
                <w:color w:val="auto"/>
                <w:kern w:val="0"/>
                <w:szCs w:val="21"/>
                <w:lang w:bidi="ar"/>
              </w:rPr>
              <w:t>-5</w:t>
            </w:r>
          </w:p>
        </w:tc>
        <w:tc>
          <w:tcPr>
            <w:tcW w:w="446" w:type="pct"/>
            <w:vMerge w:val="restart"/>
            <w:vAlign w:val="center"/>
          </w:tcPr>
          <w:p w14:paraId="4871B1D7">
            <w:pPr>
              <w:jc w:val="center"/>
              <w:rPr>
                <w:rFonts w:eastAsia="仿宋_GB2312"/>
                <w:color w:val="auto"/>
                <w:szCs w:val="21"/>
              </w:rPr>
            </w:pPr>
            <w:r>
              <w:rPr>
                <w:rFonts w:eastAsia="仿宋_GB2312"/>
                <w:color w:val="auto"/>
                <w:kern w:val="0"/>
                <w:szCs w:val="21"/>
                <w:lang w:bidi="ar"/>
              </w:rPr>
              <w:t>灌装废气</w:t>
            </w:r>
          </w:p>
        </w:tc>
        <w:tc>
          <w:tcPr>
            <w:tcW w:w="361" w:type="pct"/>
            <w:vMerge w:val="restart"/>
            <w:vAlign w:val="center"/>
          </w:tcPr>
          <w:p w14:paraId="4267A16D">
            <w:pPr>
              <w:jc w:val="center"/>
              <w:rPr>
                <w:rFonts w:hint="default" w:eastAsia="仿宋_GB2312"/>
                <w:color w:val="auto"/>
                <w:szCs w:val="21"/>
                <w:lang w:val="en-US" w:eastAsia="zh-CN"/>
              </w:rPr>
            </w:pPr>
            <w:r>
              <w:rPr>
                <w:rFonts w:hint="eastAsia" w:eastAsia="仿宋_GB2312"/>
                <w:color w:val="auto"/>
                <w:szCs w:val="21"/>
                <w:lang w:val="en-US" w:eastAsia="zh-CN"/>
              </w:rPr>
              <w:t>2000</w:t>
            </w:r>
          </w:p>
        </w:tc>
        <w:tc>
          <w:tcPr>
            <w:tcW w:w="498" w:type="pct"/>
            <w:vMerge w:val="restart"/>
            <w:vAlign w:val="center"/>
          </w:tcPr>
          <w:p w14:paraId="3A015A4F">
            <w:pPr>
              <w:keepNext w:val="0"/>
              <w:keepLines w:val="0"/>
              <w:widowControl/>
              <w:suppressLineNumbers w:val="0"/>
              <w:jc w:val="center"/>
              <w:textAlignment w:val="bottom"/>
              <w:rPr>
                <w:rFonts w:hint="eastAsia" w:eastAsia="仿宋_GB2312"/>
                <w:color w:val="auto"/>
                <w:kern w:val="0"/>
                <w:szCs w:val="21"/>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1128</w:t>
            </w:r>
          </w:p>
        </w:tc>
        <w:tc>
          <w:tcPr>
            <w:tcW w:w="820" w:type="pct"/>
            <w:vAlign w:val="center"/>
          </w:tcPr>
          <w:p w14:paraId="03431F8B">
            <w:pPr>
              <w:widowControl/>
              <w:jc w:val="center"/>
              <w:textAlignment w:val="center"/>
              <w:rPr>
                <w:rFonts w:eastAsia="仿宋_GB2312"/>
                <w:color w:val="auto"/>
                <w:kern w:val="0"/>
                <w:szCs w:val="21"/>
                <w:lang w:bidi="ar"/>
              </w:rPr>
            </w:pPr>
            <w:r>
              <w:rPr>
                <w:rFonts w:hint="eastAsia" w:eastAsia="仿宋_GB2312"/>
                <w:color w:val="auto"/>
                <w:kern w:val="0"/>
                <w:szCs w:val="21"/>
                <w:lang w:val="en-US" w:eastAsia="zh-CN" w:bidi="ar"/>
              </w:rPr>
              <w:t>苯酚</w:t>
            </w:r>
          </w:p>
        </w:tc>
        <w:tc>
          <w:tcPr>
            <w:tcW w:w="380" w:type="pct"/>
            <w:shd w:val="clear" w:color="auto" w:fill="auto"/>
            <w:vAlign w:val="center"/>
          </w:tcPr>
          <w:p w14:paraId="6058BDA8">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1.18</w:t>
            </w:r>
          </w:p>
        </w:tc>
        <w:tc>
          <w:tcPr>
            <w:tcW w:w="445" w:type="pct"/>
            <w:shd w:val="clear" w:color="auto" w:fill="auto"/>
            <w:vAlign w:val="center"/>
          </w:tcPr>
          <w:p w14:paraId="0F0DA53B">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ascii="Times New Roman" w:hAnsi="Times New Roman" w:eastAsia="仿宋_GB2312" w:cs="Times New Roman"/>
                <w:color w:val="auto"/>
                <w:kern w:val="0"/>
                <w:szCs w:val="21"/>
                <w:lang w:val="en-US" w:eastAsia="zh-CN" w:bidi="ar"/>
              </w:rPr>
              <w:t>0.4116</w:t>
            </w:r>
          </w:p>
        </w:tc>
        <w:tc>
          <w:tcPr>
            <w:tcW w:w="630" w:type="pct"/>
            <w:vMerge w:val="restart"/>
            <w:shd w:val="clear" w:color="auto" w:fill="auto"/>
            <w:vAlign w:val="center"/>
          </w:tcPr>
          <w:p w14:paraId="5942DD02">
            <w:pPr>
              <w:jc w:val="center"/>
              <w:rPr>
                <w:rFonts w:ascii="Times New Roman" w:hAnsi="Times New Roman" w:eastAsia="仿宋_GB2312" w:cs="Times New Roman"/>
                <w:color w:val="auto"/>
                <w:kern w:val="2"/>
                <w:sz w:val="21"/>
                <w:szCs w:val="21"/>
                <w:lang w:val="en-US" w:eastAsia="zh-CN" w:bidi="ar-SA"/>
              </w:rPr>
            </w:pPr>
            <w:r>
              <w:rPr>
                <w:rFonts w:hint="eastAsia" w:eastAsia="仿宋_GB2312"/>
                <w:color w:val="auto"/>
                <w:szCs w:val="21"/>
              </w:rPr>
              <w:t>冷凝+酸吸收+碱吸收+水洗+活性炭吸附/脱附</w:t>
            </w:r>
          </w:p>
        </w:tc>
        <w:tc>
          <w:tcPr>
            <w:tcW w:w="292" w:type="pct"/>
            <w:vMerge w:val="restart"/>
            <w:shd w:val="clear" w:color="auto" w:fill="auto"/>
            <w:vAlign w:val="center"/>
          </w:tcPr>
          <w:p w14:paraId="1859799D">
            <w:pPr>
              <w:jc w:val="center"/>
              <w:rPr>
                <w:rFonts w:ascii="Times New Roman" w:hAnsi="Times New Roman" w:eastAsia="仿宋_GB2312" w:cs="Times New Roman"/>
                <w:color w:val="auto"/>
                <w:kern w:val="2"/>
                <w:sz w:val="21"/>
                <w:szCs w:val="21"/>
                <w:lang w:val="en-US" w:eastAsia="zh-CN" w:bidi="ar-SA"/>
              </w:rPr>
            </w:pPr>
            <w:r>
              <w:rPr>
                <w:rFonts w:hint="eastAsia" w:eastAsia="仿宋_GB2312"/>
                <w:color w:val="auto"/>
              </w:rPr>
              <w:t>DA005</w:t>
            </w:r>
          </w:p>
        </w:tc>
      </w:tr>
      <w:tr w14:paraId="0053DB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52CE7C2B">
            <w:pPr>
              <w:jc w:val="center"/>
              <w:rPr>
                <w:rFonts w:eastAsia="仿宋_GB2312"/>
                <w:color w:val="auto"/>
                <w:szCs w:val="21"/>
              </w:rPr>
            </w:pPr>
          </w:p>
        </w:tc>
        <w:tc>
          <w:tcPr>
            <w:tcW w:w="358" w:type="pct"/>
            <w:vMerge w:val="continue"/>
            <w:vAlign w:val="center"/>
          </w:tcPr>
          <w:p w14:paraId="0A57C1CA">
            <w:pPr>
              <w:jc w:val="center"/>
              <w:rPr>
                <w:rFonts w:eastAsia="仿宋_GB2312"/>
                <w:color w:val="auto"/>
                <w:szCs w:val="21"/>
              </w:rPr>
            </w:pPr>
          </w:p>
        </w:tc>
        <w:tc>
          <w:tcPr>
            <w:tcW w:w="418" w:type="pct"/>
            <w:vMerge w:val="continue"/>
            <w:vAlign w:val="center"/>
          </w:tcPr>
          <w:p w14:paraId="5E2BC973">
            <w:pPr>
              <w:jc w:val="center"/>
              <w:rPr>
                <w:rFonts w:eastAsia="仿宋_GB2312"/>
                <w:color w:val="auto"/>
                <w:szCs w:val="21"/>
              </w:rPr>
            </w:pPr>
          </w:p>
        </w:tc>
        <w:tc>
          <w:tcPr>
            <w:tcW w:w="446" w:type="pct"/>
            <w:vMerge w:val="continue"/>
            <w:vAlign w:val="center"/>
          </w:tcPr>
          <w:p w14:paraId="03C4636D">
            <w:pPr>
              <w:jc w:val="center"/>
              <w:rPr>
                <w:rFonts w:eastAsia="仿宋_GB2312"/>
                <w:color w:val="auto"/>
                <w:szCs w:val="21"/>
              </w:rPr>
            </w:pPr>
          </w:p>
        </w:tc>
        <w:tc>
          <w:tcPr>
            <w:tcW w:w="361" w:type="pct"/>
            <w:vMerge w:val="continue"/>
            <w:vAlign w:val="center"/>
          </w:tcPr>
          <w:p w14:paraId="2373B4E4">
            <w:pPr>
              <w:jc w:val="center"/>
              <w:rPr>
                <w:rFonts w:eastAsia="仿宋_GB2312"/>
                <w:color w:val="auto"/>
                <w:szCs w:val="21"/>
              </w:rPr>
            </w:pPr>
          </w:p>
        </w:tc>
        <w:tc>
          <w:tcPr>
            <w:tcW w:w="498" w:type="pct"/>
            <w:vMerge w:val="continue"/>
            <w:vAlign w:val="center"/>
          </w:tcPr>
          <w:p w14:paraId="54B275EF">
            <w:pPr>
              <w:keepNext w:val="0"/>
              <w:keepLines w:val="0"/>
              <w:widowControl/>
              <w:suppressLineNumbers w:val="0"/>
              <w:jc w:val="center"/>
              <w:textAlignment w:val="bottom"/>
              <w:rPr>
                <w:rFonts w:eastAsia="仿宋_GB2312"/>
                <w:color w:val="auto"/>
                <w:kern w:val="0"/>
                <w:szCs w:val="21"/>
                <w:lang w:bidi="ar"/>
              </w:rPr>
            </w:pPr>
          </w:p>
        </w:tc>
        <w:tc>
          <w:tcPr>
            <w:tcW w:w="820" w:type="pct"/>
            <w:vAlign w:val="center"/>
          </w:tcPr>
          <w:p w14:paraId="504129D3">
            <w:pPr>
              <w:widowControl/>
              <w:jc w:val="center"/>
              <w:textAlignment w:val="center"/>
              <w:rPr>
                <w:rFonts w:eastAsia="仿宋_GB2312"/>
                <w:color w:val="auto"/>
                <w:kern w:val="0"/>
                <w:szCs w:val="21"/>
                <w:lang w:bidi="ar"/>
              </w:rPr>
            </w:pPr>
            <w:r>
              <w:rPr>
                <w:rFonts w:eastAsia="仿宋_GB2312"/>
                <w:color w:val="auto"/>
                <w:kern w:val="0"/>
                <w:szCs w:val="21"/>
                <w:lang w:bidi="ar"/>
              </w:rPr>
              <w:t>其他有机物</w:t>
            </w:r>
          </w:p>
        </w:tc>
        <w:tc>
          <w:tcPr>
            <w:tcW w:w="380" w:type="pct"/>
            <w:shd w:val="clear" w:color="auto" w:fill="auto"/>
            <w:vAlign w:val="center"/>
          </w:tcPr>
          <w:p w14:paraId="6C33CE50">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0.006</w:t>
            </w:r>
            <w:r>
              <w:rPr>
                <w:rFonts w:hint="eastAsia" w:ascii="Times New Roman" w:hAnsi="Times New Roman" w:eastAsia="宋体" w:cs="Times New Roman"/>
                <w:i w:val="0"/>
                <w:iCs w:val="0"/>
                <w:color w:val="auto"/>
                <w:kern w:val="0"/>
                <w:sz w:val="21"/>
                <w:szCs w:val="21"/>
                <w:u w:val="none"/>
                <w:lang w:val="en-US" w:eastAsia="zh-CN" w:bidi="ar"/>
              </w:rPr>
              <w:t>2</w:t>
            </w:r>
          </w:p>
        </w:tc>
        <w:tc>
          <w:tcPr>
            <w:tcW w:w="445" w:type="pct"/>
            <w:shd w:val="clear" w:color="auto" w:fill="auto"/>
            <w:vAlign w:val="center"/>
          </w:tcPr>
          <w:p w14:paraId="27639298">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ascii="Times New Roman" w:hAnsi="Times New Roman" w:eastAsia="仿宋_GB2312" w:cs="Times New Roman"/>
                <w:color w:val="auto"/>
                <w:kern w:val="0"/>
                <w:szCs w:val="21"/>
                <w:lang w:val="en-US" w:eastAsia="zh-CN" w:bidi="ar"/>
              </w:rPr>
              <w:t>0.00699</w:t>
            </w:r>
          </w:p>
        </w:tc>
        <w:tc>
          <w:tcPr>
            <w:tcW w:w="630" w:type="pct"/>
            <w:vMerge w:val="continue"/>
            <w:vAlign w:val="center"/>
          </w:tcPr>
          <w:p w14:paraId="711602B4">
            <w:pPr>
              <w:jc w:val="center"/>
              <w:rPr>
                <w:rFonts w:eastAsia="仿宋_GB2312"/>
                <w:color w:val="auto"/>
                <w:szCs w:val="21"/>
              </w:rPr>
            </w:pPr>
          </w:p>
        </w:tc>
        <w:tc>
          <w:tcPr>
            <w:tcW w:w="292" w:type="pct"/>
            <w:vMerge w:val="continue"/>
            <w:vAlign w:val="center"/>
          </w:tcPr>
          <w:p w14:paraId="22F849F4">
            <w:pPr>
              <w:jc w:val="center"/>
              <w:rPr>
                <w:rFonts w:eastAsia="仿宋_GB2312"/>
                <w:color w:val="auto"/>
                <w:szCs w:val="21"/>
              </w:rPr>
            </w:pPr>
          </w:p>
        </w:tc>
      </w:tr>
      <w:tr w14:paraId="5FBD74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restart"/>
            <w:vAlign w:val="center"/>
          </w:tcPr>
          <w:p w14:paraId="3848817D">
            <w:pPr>
              <w:jc w:val="center"/>
              <w:rPr>
                <w:rFonts w:eastAsia="仿宋_GB2312"/>
                <w:color w:val="auto"/>
                <w:szCs w:val="21"/>
              </w:rPr>
            </w:pPr>
            <w:r>
              <w:rPr>
                <w:rFonts w:eastAsia="仿宋_GB2312"/>
                <w:color w:val="auto"/>
                <w:szCs w:val="21"/>
              </w:rPr>
              <w:t>B-7车间</w:t>
            </w:r>
          </w:p>
        </w:tc>
        <w:tc>
          <w:tcPr>
            <w:tcW w:w="358" w:type="pct"/>
            <w:vMerge w:val="restart"/>
            <w:vAlign w:val="center"/>
          </w:tcPr>
          <w:p w14:paraId="460E3ED4">
            <w:pPr>
              <w:jc w:val="center"/>
              <w:rPr>
                <w:rFonts w:eastAsia="仿宋_GB2312"/>
                <w:color w:val="auto"/>
                <w:szCs w:val="21"/>
              </w:rPr>
            </w:pPr>
            <w:r>
              <w:rPr>
                <w:rFonts w:eastAsia="仿宋_GB2312"/>
                <w:color w:val="auto"/>
                <w:szCs w:val="21"/>
              </w:rPr>
              <w:t>丁酮</w:t>
            </w:r>
          </w:p>
        </w:tc>
        <w:tc>
          <w:tcPr>
            <w:tcW w:w="418" w:type="pct"/>
            <w:vMerge w:val="restart"/>
            <w:vAlign w:val="center"/>
          </w:tcPr>
          <w:p w14:paraId="05D79A71">
            <w:pPr>
              <w:jc w:val="center"/>
              <w:rPr>
                <w:rFonts w:eastAsia="仿宋_GB2312"/>
                <w:color w:val="auto"/>
                <w:szCs w:val="21"/>
              </w:rPr>
            </w:pPr>
            <w:r>
              <w:rPr>
                <w:rFonts w:eastAsia="仿宋_GB2312"/>
                <w:color w:val="auto"/>
                <w:kern w:val="0"/>
                <w:szCs w:val="21"/>
                <w:lang w:bidi="ar"/>
              </w:rPr>
              <w:t>G</w:t>
            </w:r>
            <w:r>
              <w:rPr>
                <w:rFonts w:hint="eastAsia" w:eastAsia="仿宋_GB2312"/>
                <w:color w:val="auto"/>
                <w:kern w:val="0"/>
                <w:szCs w:val="21"/>
                <w:lang w:val="en-US" w:eastAsia="zh-CN" w:bidi="ar"/>
              </w:rPr>
              <w:t>3</w:t>
            </w:r>
            <w:r>
              <w:rPr>
                <w:rFonts w:eastAsia="仿宋_GB2312"/>
                <w:color w:val="auto"/>
                <w:kern w:val="0"/>
                <w:szCs w:val="21"/>
                <w:lang w:bidi="ar"/>
              </w:rPr>
              <w:t>-</w:t>
            </w:r>
            <w:r>
              <w:rPr>
                <w:rFonts w:hint="eastAsia" w:eastAsia="仿宋_GB2312"/>
                <w:color w:val="auto"/>
                <w:kern w:val="0"/>
                <w:szCs w:val="21"/>
                <w:lang w:val="en-US" w:eastAsia="zh-CN" w:bidi="ar"/>
              </w:rPr>
              <w:t>1</w:t>
            </w:r>
            <w:r>
              <w:rPr>
                <w:rFonts w:eastAsia="仿宋_GB2312"/>
                <w:color w:val="auto"/>
                <w:kern w:val="0"/>
                <w:szCs w:val="21"/>
                <w:lang w:bidi="ar"/>
              </w:rPr>
              <w:t>-1</w:t>
            </w:r>
          </w:p>
        </w:tc>
        <w:tc>
          <w:tcPr>
            <w:tcW w:w="446" w:type="pct"/>
            <w:vMerge w:val="restart"/>
            <w:vAlign w:val="center"/>
          </w:tcPr>
          <w:p w14:paraId="6E1440AD">
            <w:pPr>
              <w:jc w:val="center"/>
              <w:rPr>
                <w:rFonts w:eastAsia="仿宋_GB2312"/>
                <w:color w:val="auto"/>
                <w:szCs w:val="21"/>
              </w:rPr>
            </w:pPr>
            <w:r>
              <w:rPr>
                <w:rFonts w:eastAsia="仿宋_GB2312"/>
                <w:color w:val="auto"/>
                <w:kern w:val="0"/>
                <w:szCs w:val="21"/>
                <w:lang w:bidi="ar"/>
              </w:rPr>
              <w:t>投料废气</w:t>
            </w:r>
          </w:p>
        </w:tc>
        <w:tc>
          <w:tcPr>
            <w:tcW w:w="361" w:type="pct"/>
            <w:vMerge w:val="restart"/>
            <w:vAlign w:val="center"/>
          </w:tcPr>
          <w:p w14:paraId="3D555A82">
            <w:pPr>
              <w:jc w:val="center"/>
              <w:rPr>
                <w:rFonts w:hint="default" w:eastAsia="仿宋_GB2312"/>
                <w:color w:val="auto"/>
                <w:szCs w:val="21"/>
                <w:lang w:val="en-US" w:eastAsia="zh-CN"/>
              </w:rPr>
            </w:pPr>
            <w:r>
              <w:rPr>
                <w:rFonts w:hint="eastAsia" w:eastAsia="仿宋_GB2312"/>
                <w:color w:val="auto"/>
                <w:szCs w:val="21"/>
                <w:lang w:val="en-US" w:eastAsia="zh-CN"/>
              </w:rPr>
              <w:t>2000</w:t>
            </w:r>
          </w:p>
        </w:tc>
        <w:tc>
          <w:tcPr>
            <w:tcW w:w="498" w:type="pct"/>
            <w:vMerge w:val="restart"/>
            <w:shd w:val="clear" w:color="auto" w:fill="auto"/>
            <w:vAlign w:val="center"/>
          </w:tcPr>
          <w:p w14:paraId="2E044F52">
            <w:pPr>
              <w:keepNext w:val="0"/>
              <w:keepLines w:val="0"/>
              <w:widowControl/>
              <w:suppressLineNumbers w:val="0"/>
              <w:jc w:val="center"/>
              <w:textAlignment w:val="bottom"/>
              <w:rPr>
                <w:rFonts w:eastAsia="仿宋_GB2312"/>
                <w:color w:val="auto"/>
                <w:kern w:val="0"/>
                <w:szCs w:val="21"/>
                <w:lang w:bidi="ar"/>
              </w:rPr>
            </w:pPr>
            <w:r>
              <w:rPr>
                <w:rFonts w:hint="default" w:ascii="Times New Roman" w:hAnsi="Times New Roman" w:eastAsia="宋体" w:cs="Times New Roman"/>
                <w:i w:val="0"/>
                <w:iCs w:val="0"/>
                <w:color w:val="auto"/>
                <w:kern w:val="0"/>
                <w:sz w:val="21"/>
                <w:szCs w:val="21"/>
                <w:u w:val="none"/>
                <w:lang w:val="en-US" w:eastAsia="zh-CN" w:bidi="ar"/>
              </w:rPr>
              <w:t>96</w:t>
            </w:r>
          </w:p>
        </w:tc>
        <w:tc>
          <w:tcPr>
            <w:tcW w:w="820" w:type="pct"/>
            <w:shd w:val="clear" w:color="auto" w:fill="auto"/>
            <w:vAlign w:val="center"/>
          </w:tcPr>
          <w:p w14:paraId="2D9DC5EB">
            <w:pPr>
              <w:widowControl/>
              <w:jc w:val="center"/>
              <w:textAlignment w:val="center"/>
              <w:rPr>
                <w:rFonts w:ascii="Times New Roman" w:hAnsi="Times New Roman" w:eastAsia="仿宋_GB2312" w:cs="Times New Roman"/>
                <w:b/>
                <w:bCs/>
                <w:color w:val="auto"/>
                <w:kern w:val="0"/>
                <w:sz w:val="21"/>
                <w:szCs w:val="21"/>
                <w:lang w:val="en-US" w:eastAsia="zh-CN" w:bidi="ar"/>
              </w:rPr>
            </w:pPr>
            <w:r>
              <w:rPr>
                <w:rFonts w:eastAsia="仿宋_GB2312"/>
                <w:color w:val="auto"/>
                <w:kern w:val="0"/>
                <w:szCs w:val="21"/>
                <w:lang w:bidi="ar"/>
              </w:rPr>
              <w:t>丁酮</w:t>
            </w:r>
          </w:p>
        </w:tc>
        <w:tc>
          <w:tcPr>
            <w:tcW w:w="380" w:type="pct"/>
            <w:shd w:val="clear" w:color="auto" w:fill="auto"/>
            <w:vAlign w:val="center"/>
          </w:tcPr>
          <w:p w14:paraId="4B4C19B5">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3.656</w:t>
            </w:r>
          </w:p>
        </w:tc>
        <w:tc>
          <w:tcPr>
            <w:tcW w:w="445" w:type="pct"/>
            <w:shd w:val="clear" w:color="auto" w:fill="auto"/>
            <w:vAlign w:val="center"/>
          </w:tcPr>
          <w:p w14:paraId="462092D3">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ascii="Times New Roman" w:hAnsi="Times New Roman" w:eastAsia="仿宋_GB2312" w:cs="Times New Roman"/>
                <w:color w:val="auto"/>
                <w:kern w:val="0"/>
                <w:szCs w:val="21"/>
                <w:lang w:val="en-US" w:eastAsia="zh-CN" w:bidi="ar"/>
              </w:rPr>
              <w:t>0.351</w:t>
            </w:r>
          </w:p>
        </w:tc>
        <w:tc>
          <w:tcPr>
            <w:tcW w:w="630" w:type="pct"/>
            <w:vMerge w:val="continue"/>
            <w:shd w:val="clear" w:color="auto" w:fill="auto"/>
            <w:vAlign w:val="center"/>
          </w:tcPr>
          <w:p w14:paraId="1C0C298C">
            <w:pPr>
              <w:jc w:val="center"/>
              <w:rPr>
                <w:rFonts w:ascii="Times New Roman" w:hAnsi="Times New Roman" w:eastAsia="仿宋_GB2312" w:cs="Times New Roman"/>
                <w:color w:val="auto"/>
                <w:kern w:val="2"/>
                <w:sz w:val="21"/>
                <w:szCs w:val="21"/>
                <w:lang w:val="en-US" w:eastAsia="zh-CN" w:bidi="ar-SA"/>
              </w:rPr>
            </w:pPr>
          </w:p>
        </w:tc>
        <w:tc>
          <w:tcPr>
            <w:tcW w:w="292" w:type="pct"/>
            <w:vMerge w:val="continue"/>
            <w:shd w:val="clear" w:color="auto" w:fill="auto"/>
            <w:vAlign w:val="center"/>
          </w:tcPr>
          <w:p w14:paraId="7D2ED816">
            <w:pPr>
              <w:jc w:val="center"/>
              <w:rPr>
                <w:rFonts w:ascii="Times New Roman" w:hAnsi="Times New Roman" w:eastAsia="仿宋_GB2312" w:cs="Times New Roman"/>
                <w:color w:val="auto"/>
                <w:kern w:val="2"/>
                <w:sz w:val="21"/>
                <w:szCs w:val="21"/>
                <w:lang w:val="en-US" w:eastAsia="zh-CN" w:bidi="ar-SA"/>
              </w:rPr>
            </w:pPr>
          </w:p>
        </w:tc>
      </w:tr>
      <w:tr w14:paraId="4CB39D1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727723F8">
            <w:pPr>
              <w:jc w:val="center"/>
              <w:rPr>
                <w:rFonts w:eastAsia="仿宋_GB2312"/>
                <w:color w:val="auto"/>
                <w:szCs w:val="21"/>
              </w:rPr>
            </w:pPr>
          </w:p>
        </w:tc>
        <w:tc>
          <w:tcPr>
            <w:tcW w:w="358" w:type="pct"/>
            <w:vMerge w:val="continue"/>
            <w:vAlign w:val="center"/>
          </w:tcPr>
          <w:p w14:paraId="2C55B15C">
            <w:pPr>
              <w:jc w:val="center"/>
              <w:rPr>
                <w:rFonts w:eastAsia="仿宋_GB2312"/>
                <w:color w:val="auto"/>
                <w:szCs w:val="21"/>
              </w:rPr>
            </w:pPr>
          </w:p>
        </w:tc>
        <w:tc>
          <w:tcPr>
            <w:tcW w:w="418" w:type="pct"/>
            <w:vMerge w:val="continue"/>
            <w:vAlign w:val="center"/>
          </w:tcPr>
          <w:p w14:paraId="095DB7F4">
            <w:pPr>
              <w:jc w:val="center"/>
              <w:rPr>
                <w:rFonts w:eastAsia="仿宋_GB2312"/>
                <w:color w:val="auto"/>
                <w:szCs w:val="21"/>
              </w:rPr>
            </w:pPr>
          </w:p>
        </w:tc>
        <w:tc>
          <w:tcPr>
            <w:tcW w:w="446" w:type="pct"/>
            <w:vMerge w:val="continue"/>
            <w:vAlign w:val="center"/>
          </w:tcPr>
          <w:p w14:paraId="6E1FB619">
            <w:pPr>
              <w:jc w:val="center"/>
              <w:rPr>
                <w:rFonts w:eastAsia="仿宋_GB2312"/>
                <w:color w:val="auto"/>
                <w:szCs w:val="21"/>
              </w:rPr>
            </w:pPr>
          </w:p>
        </w:tc>
        <w:tc>
          <w:tcPr>
            <w:tcW w:w="361" w:type="pct"/>
            <w:vMerge w:val="continue"/>
            <w:vAlign w:val="center"/>
          </w:tcPr>
          <w:p w14:paraId="7C5F0404">
            <w:pPr>
              <w:jc w:val="center"/>
              <w:rPr>
                <w:rFonts w:eastAsia="仿宋_GB2312"/>
                <w:color w:val="auto"/>
                <w:szCs w:val="21"/>
              </w:rPr>
            </w:pPr>
          </w:p>
        </w:tc>
        <w:tc>
          <w:tcPr>
            <w:tcW w:w="498" w:type="pct"/>
            <w:vMerge w:val="continue"/>
            <w:shd w:val="clear" w:color="auto" w:fill="auto"/>
            <w:vAlign w:val="center"/>
          </w:tcPr>
          <w:p w14:paraId="6A9483C5">
            <w:pPr>
              <w:keepNext w:val="0"/>
              <w:keepLines w:val="0"/>
              <w:widowControl/>
              <w:suppressLineNumbers w:val="0"/>
              <w:jc w:val="center"/>
              <w:textAlignment w:val="bottom"/>
              <w:rPr>
                <w:rFonts w:hint="eastAsia" w:eastAsia="仿宋_GB2312"/>
                <w:color w:val="auto"/>
                <w:kern w:val="0"/>
                <w:szCs w:val="21"/>
                <w:lang w:val="en-US" w:eastAsia="zh-CN" w:bidi="ar"/>
              </w:rPr>
            </w:pPr>
          </w:p>
        </w:tc>
        <w:tc>
          <w:tcPr>
            <w:tcW w:w="820" w:type="pct"/>
            <w:shd w:val="clear" w:color="auto" w:fill="auto"/>
            <w:vAlign w:val="center"/>
          </w:tcPr>
          <w:p w14:paraId="73B9BD32">
            <w:pPr>
              <w:widowControl/>
              <w:jc w:val="center"/>
              <w:textAlignment w:val="center"/>
              <w:rPr>
                <w:rFonts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丁</w:t>
            </w:r>
            <w:r>
              <w:rPr>
                <w:rFonts w:eastAsia="仿宋_GB2312"/>
                <w:color w:val="auto"/>
                <w:kern w:val="0"/>
                <w:szCs w:val="21"/>
                <w:lang w:bidi="ar"/>
              </w:rPr>
              <w:t>醇</w:t>
            </w:r>
          </w:p>
        </w:tc>
        <w:tc>
          <w:tcPr>
            <w:tcW w:w="380" w:type="pct"/>
            <w:shd w:val="clear" w:color="auto" w:fill="auto"/>
            <w:vAlign w:val="center"/>
          </w:tcPr>
          <w:p w14:paraId="746DA140">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0.00</w:t>
            </w:r>
            <w:r>
              <w:rPr>
                <w:rFonts w:hint="eastAsia" w:ascii="Times New Roman" w:hAnsi="Times New Roman" w:eastAsia="宋体" w:cs="Times New Roman"/>
                <w:i w:val="0"/>
                <w:iCs w:val="0"/>
                <w:color w:val="auto"/>
                <w:kern w:val="0"/>
                <w:sz w:val="21"/>
                <w:szCs w:val="21"/>
                <w:u w:val="none"/>
                <w:lang w:val="en-US" w:eastAsia="zh-CN" w:bidi="ar"/>
              </w:rPr>
              <w:t>2</w:t>
            </w:r>
          </w:p>
        </w:tc>
        <w:tc>
          <w:tcPr>
            <w:tcW w:w="445" w:type="pct"/>
            <w:shd w:val="clear" w:color="auto" w:fill="auto"/>
            <w:vAlign w:val="center"/>
          </w:tcPr>
          <w:p w14:paraId="05458C14">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ascii="Times New Roman" w:hAnsi="Times New Roman" w:eastAsia="仿宋_GB2312" w:cs="Times New Roman"/>
                <w:color w:val="auto"/>
                <w:kern w:val="0"/>
                <w:szCs w:val="21"/>
                <w:lang w:val="en-US" w:eastAsia="zh-CN" w:bidi="ar"/>
              </w:rPr>
              <w:t>0.00018</w:t>
            </w:r>
          </w:p>
        </w:tc>
        <w:tc>
          <w:tcPr>
            <w:tcW w:w="630" w:type="pct"/>
            <w:vMerge w:val="continue"/>
            <w:vAlign w:val="center"/>
          </w:tcPr>
          <w:p w14:paraId="51DC1BF5">
            <w:pPr>
              <w:jc w:val="center"/>
              <w:rPr>
                <w:rFonts w:eastAsia="仿宋_GB2312"/>
                <w:color w:val="auto"/>
                <w:szCs w:val="21"/>
              </w:rPr>
            </w:pPr>
          </w:p>
        </w:tc>
        <w:tc>
          <w:tcPr>
            <w:tcW w:w="292" w:type="pct"/>
            <w:vMerge w:val="continue"/>
            <w:vAlign w:val="center"/>
          </w:tcPr>
          <w:p w14:paraId="1E81CFC7">
            <w:pPr>
              <w:jc w:val="center"/>
              <w:rPr>
                <w:rFonts w:eastAsia="仿宋_GB2312"/>
                <w:color w:val="auto"/>
                <w:szCs w:val="21"/>
              </w:rPr>
            </w:pPr>
          </w:p>
        </w:tc>
      </w:tr>
      <w:tr w14:paraId="74A940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1809EAD6">
            <w:pPr>
              <w:jc w:val="center"/>
              <w:rPr>
                <w:rFonts w:eastAsia="仿宋_GB2312"/>
                <w:color w:val="auto"/>
                <w:szCs w:val="21"/>
              </w:rPr>
            </w:pPr>
          </w:p>
        </w:tc>
        <w:tc>
          <w:tcPr>
            <w:tcW w:w="358" w:type="pct"/>
            <w:vMerge w:val="continue"/>
            <w:vAlign w:val="center"/>
          </w:tcPr>
          <w:p w14:paraId="3BA222AD">
            <w:pPr>
              <w:jc w:val="center"/>
              <w:rPr>
                <w:rFonts w:eastAsia="仿宋_GB2312"/>
                <w:color w:val="auto"/>
                <w:szCs w:val="21"/>
              </w:rPr>
            </w:pPr>
          </w:p>
        </w:tc>
        <w:tc>
          <w:tcPr>
            <w:tcW w:w="418" w:type="pct"/>
            <w:vMerge w:val="continue"/>
            <w:vAlign w:val="center"/>
          </w:tcPr>
          <w:p w14:paraId="6C523DEE">
            <w:pPr>
              <w:jc w:val="center"/>
              <w:rPr>
                <w:rFonts w:eastAsia="仿宋_GB2312"/>
                <w:color w:val="auto"/>
                <w:szCs w:val="21"/>
              </w:rPr>
            </w:pPr>
          </w:p>
        </w:tc>
        <w:tc>
          <w:tcPr>
            <w:tcW w:w="446" w:type="pct"/>
            <w:vMerge w:val="continue"/>
            <w:vAlign w:val="center"/>
          </w:tcPr>
          <w:p w14:paraId="4B04FB25">
            <w:pPr>
              <w:jc w:val="center"/>
              <w:rPr>
                <w:rFonts w:eastAsia="仿宋_GB2312"/>
                <w:color w:val="auto"/>
                <w:szCs w:val="21"/>
              </w:rPr>
            </w:pPr>
          </w:p>
        </w:tc>
        <w:tc>
          <w:tcPr>
            <w:tcW w:w="361" w:type="pct"/>
            <w:vMerge w:val="continue"/>
            <w:vAlign w:val="center"/>
          </w:tcPr>
          <w:p w14:paraId="2C65C60A">
            <w:pPr>
              <w:jc w:val="center"/>
              <w:rPr>
                <w:rFonts w:eastAsia="仿宋_GB2312"/>
                <w:color w:val="auto"/>
                <w:szCs w:val="21"/>
              </w:rPr>
            </w:pPr>
          </w:p>
        </w:tc>
        <w:tc>
          <w:tcPr>
            <w:tcW w:w="498" w:type="pct"/>
            <w:vMerge w:val="continue"/>
            <w:shd w:val="clear" w:color="auto" w:fill="auto"/>
            <w:vAlign w:val="center"/>
          </w:tcPr>
          <w:p w14:paraId="60CCB1C9">
            <w:pPr>
              <w:keepNext w:val="0"/>
              <w:keepLines w:val="0"/>
              <w:widowControl/>
              <w:suppressLineNumbers w:val="0"/>
              <w:jc w:val="center"/>
              <w:textAlignment w:val="bottom"/>
              <w:rPr>
                <w:rFonts w:eastAsia="仿宋_GB2312"/>
                <w:color w:val="auto"/>
                <w:kern w:val="0"/>
                <w:szCs w:val="21"/>
                <w:lang w:bidi="ar"/>
              </w:rPr>
            </w:pPr>
          </w:p>
        </w:tc>
        <w:tc>
          <w:tcPr>
            <w:tcW w:w="820" w:type="pct"/>
            <w:shd w:val="clear" w:color="auto" w:fill="auto"/>
            <w:vAlign w:val="center"/>
          </w:tcPr>
          <w:p w14:paraId="0FD630C9">
            <w:pPr>
              <w:widowControl/>
              <w:jc w:val="center"/>
              <w:textAlignment w:val="center"/>
              <w:rPr>
                <w:rFonts w:ascii="Times New Roman" w:hAnsi="Times New Roman" w:eastAsia="仿宋_GB2312" w:cs="Times New Roman"/>
                <w:b/>
                <w:bCs/>
                <w:color w:val="auto"/>
                <w:kern w:val="0"/>
                <w:sz w:val="21"/>
                <w:szCs w:val="21"/>
                <w:lang w:val="en-US" w:eastAsia="zh-CN" w:bidi="ar"/>
              </w:rPr>
            </w:pPr>
            <w:r>
              <w:rPr>
                <w:rFonts w:eastAsia="仿宋_GB2312"/>
                <w:color w:val="auto"/>
                <w:kern w:val="0"/>
                <w:szCs w:val="21"/>
                <w:lang w:bidi="ar"/>
              </w:rPr>
              <w:t>其他有机物</w:t>
            </w:r>
          </w:p>
        </w:tc>
        <w:tc>
          <w:tcPr>
            <w:tcW w:w="380" w:type="pct"/>
            <w:shd w:val="clear" w:color="auto" w:fill="auto"/>
            <w:vAlign w:val="center"/>
          </w:tcPr>
          <w:p w14:paraId="2E07EC1A">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0.041</w:t>
            </w:r>
          </w:p>
        </w:tc>
        <w:tc>
          <w:tcPr>
            <w:tcW w:w="445" w:type="pct"/>
            <w:shd w:val="clear" w:color="auto" w:fill="auto"/>
            <w:vAlign w:val="center"/>
          </w:tcPr>
          <w:p w14:paraId="78062BAC">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ascii="Times New Roman" w:hAnsi="Times New Roman" w:eastAsia="仿宋_GB2312" w:cs="Times New Roman"/>
                <w:color w:val="auto"/>
                <w:kern w:val="0"/>
                <w:szCs w:val="21"/>
                <w:lang w:val="en-US" w:eastAsia="zh-CN" w:bidi="ar"/>
              </w:rPr>
              <w:t>0.00396</w:t>
            </w:r>
          </w:p>
        </w:tc>
        <w:tc>
          <w:tcPr>
            <w:tcW w:w="630" w:type="pct"/>
            <w:vMerge w:val="continue"/>
            <w:vAlign w:val="center"/>
          </w:tcPr>
          <w:p w14:paraId="171934AA">
            <w:pPr>
              <w:jc w:val="center"/>
              <w:rPr>
                <w:rFonts w:eastAsia="仿宋_GB2312"/>
                <w:color w:val="auto"/>
                <w:szCs w:val="21"/>
              </w:rPr>
            </w:pPr>
          </w:p>
        </w:tc>
        <w:tc>
          <w:tcPr>
            <w:tcW w:w="292" w:type="pct"/>
            <w:vMerge w:val="continue"/>
            <w:vAlign w:val="center"/>
          </w:tcPr>
          <w:p w14:paraId="606648D1">
            <w:pPr>
              <w:jc w:val="center"/>
              <w:rPr>
                <w:rFonts w:eastAsia="仿宋_GB2312"/>
                <w:color w:val="auto"/>
                <w:szCs w:val="21"/>
              </w:rPr>
            </w:pPr>
          </w:p>
        </w:tc>
      </w:tr>
      <w:tr w14:paraId="63F660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0318D659">
            <w:pPr>
              <w:jc w:val="center"/>
              <w:rPr>
                <w:rFonts w:eastAsia="仿宋_GB2312"/>
                <w:color w:val="auto"/>
                <w:szCs w:val="21"/>
              </w:rPr>
            </w:pPr>
          </w:p>
        </w:tc>
        <w:tc>
          <w:tcPr>
            <w:tcW w:w="358" w:type="pct"/>
            <w:vMerge w:val="continue"/>
            <w:vAlign w:val="center"/>
          </w:tcPr>
          <w:p w14:paraId="44895FE3">
            <w:pPr>
              <w:jc w:val="center"/>
              <w:rPr>
                <w:rFonts w:eastAsia="仿宋_GB2312"/>
                <w:color w:val="auto"/>
                <w:szCs w:val="21"/>
              </w:rPr>
            </w:pPr>
          </w:p>
        </w:tc>
        <w:tc>
          <w:tcPr>
            <w:tcW w:w="418" w:type="pct"/>
            <w:vMerge w:val="restart"/>
            <w:vAlign w:val="center"/>
          </w:tcPr>
          <w:p w14:paraId="10E38C10">
            <w:pPr>
              <w:jc w:val="center"/>
              <w:rPr>
                <w:rFonts w:eastAsia="仿宋_GB2312"/>
                <w:color w:val="auto"/>
                <w:szCs w:val="21"/>
              </w:rPr>
            </w:pPr>
            <w:r>
              <w:rPr>
                <w:rFonts w:eastAsia="仿宋_GB2312"/>
                <w:color w:val="auto"/>
                <w:kern w:val="0"/>
                <w:szCs w:val="21"/>
                <w:lang w:bidi="ar"/>
              </w:rPr>
              <w:t>G</w:t>
            </w:r>
            <w:r>
              <w:rPr>
                <w:rFonts w:hint="eastAsia" w:eastAsia="仿宋_GB2312"/>
                <w:color w:val="auto"/>
                <w:kern w:val="0"/>
                <w:szCs w:val="21"/>
                <w:lang w:val="en-US" w:eastAsia="zh-CN" w:bidi="ar"/>
              </w:rPr>
              <w:t>3</w:t>
            </w:r>
            <w:r>
              <w:rPr>
                <w:rFonts w:eastAsia="仿宋_GB2312"/>
                <w:color w:val="auto"/>
                <w:kern w:val="0"/>
                <w:szCs w:val="21"/>
                <w:lang w:bidi="ar"/>
              </w:rPr>
              <w:t>-</w:t>
            </w:r>
            <w:r>
              <w:rPr>
                <w:rFonts w:hint="eastAsia" w:eastAsia="仿宋_GB2312"/>
                <w:color w:val="auto"/>
                <w:kern w:val="0"/>
                <w:szCs w:val="21"/>
                <w:lang w:val="en-US" w:eastAsia="zh-CN" w:bidi="ar"/>
              </w:rPr>
              <w:t>1</w:t>
            </w:r>
            <w:r>
              <w:rPr>
                <w:rFonts w:eastAsia="仿宋_GB2312"/>
                <w:color w:val="auto"/>
                <w:kern w:val="0"/>
                <w:szCs w:val="21"/>
                <w:lang w:bidi="ar"/>
              </w:rPr>
              <w:t>-2</w:t>
            </w:r>
          </w:p>
        </w:tc>
        <w:tc>
          <w:tcPr>
            <w:tcW w:w="446" w:type="pct"/>
            <w:vMerge w:val="restart"/>
            <w:vAlign w:val="center"/>
          </w:tcPr>
          <w:p w14:paraId="41419012">
            <w:pPr>
              <w:jc w:val="center"/>
              <w:rPr>
                <w:rFonts w:eastAsia="仿宋_GB2312"/>
                <w:color w:val="auto"/>
                <w:szCs w:val="21"/>
              </w:rPr>
            </w:pPr>
            <w:r>
              <w:rPr>
                <w:rFonts w:eastAsia="仿宋_GB2312"/>
                <w:color w:val="auto"/>
                <w:kern w:val="0"/>
                <w:szCs w:val="21"/>
                <w:lang w:bidi="ar"/>
              </w:rPr>
              <w:t>调节废气</w:t>
            </w:r>
          </w:p>
        </w:tc>
        <w:tc>
          <w:tcPr>
            <w:tcW w:w="361" w:type="pct"/>
            <w:vMerge w:val="restart"/>
            <w:vAlign w:val="center"/>
          </w:tcPr>
          <w:p w14:paraId="099A8839">
            <w:pPr>
              <w:jc w:val="center"/>
              <w:rPr>
                <w:rFonts w:eastAsia="仿宋_GB2312"/>
                <w:color w:val="auto"/>
                <w:szCs w:val="21"/>
              </w:rPr>
            </w:pPr>
            <w:r>
              <w:rPr>
                <w:rFonts w:hint="eastAsia" w:eastAsia="仿宋_GB2312"/>
                <w:color w:val="auto"/>
                <w:szCs w:val="21"/>
                <w:lang w:val="en-US" w:eastAsia="zh-CN"/>
              </w:rPr>
              <w:t>1</w:t>
            </w:r>
            <w:r>
              <w:rPr>
                <w:rFonts w:eastAsia="仿宋_GB2312"/>
                <w:color w:val="auto"/>
                <w:szCs w:val="21"/>
              </w:rPr>
              <w:t>00</w:t>
            </w:r>
          </w:p>
        </w:tc>
        <w:tc>
          <w:tcPr>
            <w:tcW w:w="498" w:type="pct"/>
            <w:vMerge w:val="restart"/>
            <w:shd w:val="clear" w:color="auto" w:fill="auto"/>
            <w:vAlign w:val="center"/>
          </w:tcPr>
          <w:p w14:paraId="6091FE8B">
            <w:pPr>
              <w:keepNext w:val="0"/>
              <w:keepLines w:val="0"/>
              <w:widowControl/>
              <w:suppressLineNumbers w:val="0"/>
              <w:jc w:val="center"/>
              <w:textAlignment w:val="bottom"/>
              <w:rPr>
                <w:rFonts w:eastAsia="仿宋_GB2312"/>
                <w:color w:val="auto"/>
                <w:kern w:val="0"/>
                <w:szCs w:val="21"/>
                <w:lang w:bidi="ar"/>
              </w:rPr>
            </w:pPr>
            <w:r>
              <w:rPr>
                <w:rFonts w:hint="default" w:ascii="Times New Roman" w:hAnsi="Times New Roman" w:eastAsia="宋体" w:cs="Times New Roman"/>
                <w:i w:val="0"/>
                <w:iCs w:val="0"/>
                <w:color w:val="auto"/>
                <w:kern w:val="0"/>
                <w:sz w:val="21"/>
                <w:szCs w:val="21"/>
                <w:u w:val="none"/>
                <w:lang w:val="en-US" w:eastAsia="zh-CN" w:bidi="ar"/>
              </w:rPr>
              <w:t>96</w:t>
            </w:r>
          </w:p>
        </w:tc>
        <w:tc>
          <w:tcPr>
            <w:tcW w:w="820" w:type="pct"/>
            <w:shd w:val="clear" w:color="auto" w:fill="auto"/>
            <w:vAlign w:val="center"/>
          </w:tcPr>
          <w:p w14:paraId="0366C6AD">
            <w:pPr>
              <w:widowControl/>
              <w:jc w:val="center"/>
              <w:textAlignment w:val="center"/>
              <w:rPr>
                <w:rFonts w:ascii="Times New Roman" w:hAnsi="Times New Roman" w:eastAsia="仿宋_GB2312" w:cs="Times New Roman"/>
                <w:b/>
                <w:bCs/>
                <w:color w:val="auto"/>
                <w:kern w:val="0"/>
                <w:sz w:val="21"/>
                <w:szCs w:val="21"/>
                <w:lang w:val="en-US" w:eastAsia="zh-CN" w:bidi="ar"/>
              </w:rPr>
            </w:pPr>
            <w:r>
              <w:rPr>
                <w:rFonts w:eastAsia="仿宋_GB2312"/>
                <w:color w:val="auto"/>
                <w:kern w:val="0"/>
                <w:szCs w:val="21"/>
                <w:lang w:bidi="ar"/>
              </w:rPr>
              <w:t>丁酮</w:t>
            </w:r>
          </w:p>
        </w:tc>
        <w:tc>
          <w:tcPr>
            <w:tcW w:w="380" w:type="pct"/>
            <w:shd w:val="clear" w:color="auto" w:fill="auto"/>
            <w:vAlign w:val="center"/>
          </w:tcPr>
          <w:p w14:paraId="7C201D65">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1.843</w:t>
            </w:r>
          </w:p>
        </w:tc>
        <w:tc>
          <w:tcPr>
            <w:tcW w:w="445" w:type="pct"/>
            <w:shd w:val="clear" w:color="auto" w:fill="auto"/>
            <w:vAlign w:val="center"/>
          </w:tcPr>
          <w:p w14:paraId="7BE285CC">
            <w:pPr>
              <w:widowControl/>
              <w:jc w:val="center"/>
              <w:textAlignment w:val="center"/>
              <w:rPr>
                <w:rFonts w:hint="default" w:ascii="Times New Roman" w:hAnsi="Times New Roman" w:eastAsia="仿宋_GB2312" w:cs="Times New Roman"/>
                <w:color w:val="auto"/>
                <w:kern w:val="0"/>
                <w:sz w:val="21"/>
                <w:szCs w:val="21"/>
                <w:highlight w:val="none"/>
                <w:lang w:val="en-US" w:eastAsia="zh-CN" w:bidi="ar"/>
              </w:rPr>
            </w:pPr>
            <w:r>
              <w:rPr>
                <w:rFonts w:hint="eastAsia" w:eastAsia="仿宋_GB2312"/>
                <w:color w:val="auto"/>
                <w:kern w:val="0"/>
                <w:szCs w:val="21"/>
                <w:highlight w:val="none"/>
                <w:lang w:val="en-US" w:eastAsia="zh-CN" w:bidi="ar"/>
              </w:rPr>
              <w:t>0.177</w:t>
            </w:r>
          </w:p>
        </w:tc>
        <w:tc>
          <w:tcPr>
            <w:tcW w:w="630" w:type="pct"/>
            <w:vMerge w:val="restart"/>
            <w:shd w:val="clear" w:color="auto" w:fill="auto"/>
            <w:vAlign w:val="center"/>
          </w:tcPr>
          <w:p w14:paraId="5C54C149">
            <w:pPr>
              <w:widowControl/>
              <w:jc w:val="center"/>
              <w:textAlignment w:val="center"/>
              <w:rPr>
                <w:rFonts w:ascii="Times New Roman" w:hAnsi="Times New Roman" w:eastAsia="仿宋_GB2312" w:cs="Times New Roman"/>
                <w:color w:val="auto"/>
                <w:kern w:val="2"/>
                <w:sz w:val="21"/>
                <w:szCs w:val="21"/>
                <w:lang w:val="en-US" w:eastAsia="zh-CN" w:bidi="ar-SA"/>
              </w:rPr>
            </w:pPr>
            <w:r>
              <w:rPr>
                <w:rFonts w:hint="eastAsia" w:eastAsia="仿宋_GB2312"/>
                <w:color w:val="auto"/>
                <w:szCs w:val="21"/>
              </w:rPr>
              <w:t>预处理（冷凝+稀酸吸收+碱吸收+水吸收+除雾）+</w:t>
            </w:r>
            <w:r>
              <w:rPr>
                <w:rFonts w:eastAsia="仿宋_GB2312"/>
                <w:color w:val="auto"/>
                <w:szCs w:val="21"/>
              </w:rPr>
              <w:t>焚烧</w:t>
            </w:r>
          </w:p>
        </w:tc>
        <w:tc>
          <w:tcPr>
            <w:tcW w:w="292" w:type="pct"/>
            <w:vMerge w:val="restart"/>
            <w:shd w:val="clear" w:color="auto" w:fill="auto"/>
            <w:vAlign w:val="center"/>
          </w:tcPr>
          <w:p w14:paraId="11AB4AA9">
            <w:pPr>
              <w:widowControl/>
              <w:jc w:val="center"/>
              <w:textAlignment w:val="center"/>
              <w:rPr>
                <w:rFonts w:ascii="Times New Roman" w:hAnsi="Times New Roman" w:eastAsia="仿宋_GB2312" w:cs="Times New Roman"/>
                <w:color w:val="auto"/>
                <w:kern w:val="2"/>
                <w:sz w:val="21"/>
                <w:szCs w:val="21"/>
                <w:lang w:val="en-US" w:eastAsia="zh-CN" w:bidi="ar-SA"/>
              </w:rPr>
            </w:pPr>
            <w:r>
              <w:rPr>
                <w:rFonts w:hint="eastAsia" w:eastAsia="仿宋_GB2312"/>
                <w:color w:val="auto"/>
                <w:kern w:val="0"/>
                <w:szCs w:val="21"/>
                <w:lang w:bidi="ar"/>
              </w:rPr>
              <w:t>DA002</w:t>
            </w:r>
          </w:p>
        </w:tc>
      </w:tr>
      <w:tr w14:paraId="47851F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1219E574">
            <w:pPr>
              <w:jc w:val="center"/>
              <w:rPr>
                <w:rFonts w:eastAsia="仿宋_GB2312"/>
                <w:color w:val="auto"/>
                <w:szCs w:val="21"/>
              </w:rPr>
            </w:pPr>
          </w:p>
        </w:tc>
        <w:tc>
          <w:tcPr>
            <w:tcW w:w="358" w:type="pct"/>
            <w:vMerge w:val="continue"/>
            <w:vAlign w:val="center"/>
          </w:tcPr>
          <w:p w14:paraId="4621D38F">
            <w:pPr>
              <w:jc w:val="center"/>
              <w:rPr>
                <w:rFonts w:eastAsia="仿宋_GB2312"/>
                <w:color w:val="auto"/>
                <w:szCs w:val="21"/>
              </w:rPr>
            </w:pPr>
          </w:p>
        </w:tc>
        <w:tc>
          <w:tcPr>
            <w:tcW w:w="418" w:type="pct"/>
            <w:vMerge w:val="continue"/>
            <w:vAlign w:val="center"/>
          </w:tcPr>
          <w:p w14:paraId="2AF5596C">
            <w:pPr>
              <w:jc w:val="center"/>
              <w:rPr>
                <w:rFonts w:eastAsia="仿宋_GB2312"/>
                <w:color w:val="auto"/>
                <w:szCs w:val="21"/>
              </w:rPr>
            </w:pPr>
          </w:p>
        </w:tc>
        <w:tc>
          <w:tcPr>
            <w:tcW w:w="446" w:type="pct"/>
            <w:vMerge w:val="continue"/>
            <w:vAlign w:val="center"/>
          </w:tcPr>
          <w:p w14:paraId="6ACAC119">
            <w:pPr>
              <w:jc w:val="center"/>
              <w:rPr>
                <w:rFonts w:eastAsia="仿宋_GB2312"/>
                <w:color w:val="auto"/>
                <w:szCs w:val="21"/>
              </w:rPr>
            </w:pPr>
          </w:p>
        </w:tc>
        <w:tc>
          <w:tcPr>
            <w:tcW w:w="361" w:type="pct"/>
            <w:vMerge w:val="continue"/>
            <w:vAlign w:val="center"/>
          </w:tcPr>
          <w:p w14:paraId="4B117F86">
            <w:pPr>
              <w:jc w:val="center"/>
              <w:rPr>
                <w:rFonts w:eastAsia="仿宋_GB2312"/>
                <w:color w:val="auto"/>
                <w:szCs w:val="21"/>
              </w:rPr>
            </w:pPr>
          </w:p>
        </w:tc>
        <w:tc>
          <w:tcPr>
            <w:tcW w:w="498" w:type="pct"/>
            <w:vMerge w:val="continue"/>
            <w:shd w:val="clear" w:color="auto" w:fill="auto"/>
            <w:vAlign w:val="center"/>
          </w:tcPr>
          <w:p w14:paraId="76FF1F0D">
            <w:pPr>
              <w:keepNext w:val="0"/>
              <w:keepLines w:val="0"/>
              <w:widowControl/>
              <w:suppressLineNumbers w:val="0"/>
              <w:jc w:val="center"/>
              <w:textAlignment w:val="bottom"/>
              <w:rPr>
                <w:rFonts w:hint="eastAsia" w:eastAsia="仿宋_GB2312"/>
                <w:color w:val="auto"/>
                <w:kern w:val="0"/>
                <w:szCs w:val="21"/>
                <w:lang w:val="en-US" w:eastAsia="zh-CN" w:bidi="ar"/>
              </w:rPr>
            </w:pPr>
          </w:p>
        </w:tc>
        <w:tc>
          <w:tcPr>
            <w:tcW w:w="820" w:type="pct"/>
            <w:shd w:val="clear" w:color="auto" w:fill="auto"/>
            <w:vAlign w:val="center"/>
          </w:tcPr>
          <w:p w14:paraId="60776A51">
            <w:pPr>
              <w:widowControl/>
              <w:jc w:val="center"/>
              <w:textAlignment w:val="center"/>
              <w:rPr>
                <w:rFonts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丁</w:t>
            </w:r>
            <w:r>
              <w:rPr>
                <w:rFonts w:eastAsia="仿宋_GB2312"/>
                <w:color w:val="auto"/>
                <w:kern w:val="0"/>
                <w:szCs w:val="21"/>
                <w:lang w:bidi="ar"/>
              </w:rPr>
              <w:t>醇</w:t>
            </w:r>
          </w:p>
        </w:tc>
        <w:tc>
          <w:tcPr>
            <w:tcW w:w="380" w:type="pct"/>
            <w:shd w:val="clear" w:color="auto" w:fill="auto"/>
            <w:vAlign w:val="center"/>
          </w:tcPr>
          <w:p w14:paraId="1001EC38">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0.01</w:t>
            </w:r>
          </w:p>
        </w:tc>
        <w:tc>
          <w:tcPr>
            <w:tcW w:w="445" w:type="pct"/>
            <w:shd w:val="clear" w:color="auto" w:fill="auto"/>
            <w:vAlign w:val="center"/>
          </w:tcPr>
          <w:p w14:paraId="61AAC27E">
            <w:pPr>
              <w:widowControl/>
              <w:jc w:val="center"/>
              <w:textAlignment w:val="center"/>
              <w:rPr>
                <w:rFonts w:hint="eastAsia" w:ascii="Times New Roman" w:hAnsi="Times New Roman" w:eastAsia="仿宋_GB2312" w:cs="Times New Roman"/>
                <w:color w:val="auto"/>
                <w:kern w:val="0"/>
                <w:sz w:val="21"/>
                <w:szCs w:val="21"/>
                <w:highlight w:val="none"/>
                <w:lang w:val="en-US" w:eastAsia="zh-CN" w:bidi="ar"/>
              </w:rPr>
            </w:pPr>
            <w:r>
              <w:rPr>
                <w:rFonts w:eastAsia="仿宋_GB2312"/>
                <w:color w:val="auto"/>
                <w:kern w:val="0"/>
                <w:szCs w:val="21"/>
                <w:highlight w:val="none"/>
                <w:lang w:bidi="ar"/>
              </w:rPr>
              <w:t>0.00</w:t>
            </w:r>
            <w:r>
              <w:rPr>
                <w:rFonts w:hint="eastAsia" w:eastAsia="仿宋_GB2312"/>
                <w:color w:val="auto"/>
                <w:kern w:val="0"/>
                <w:szCs w:val="21"/>
                <w:highlight w:val="none"/>
                <w:lang w:val="en-US" w:eastAsia="zh-CN" w:bidi="ar"/>
              </w:rPr>
              <w:t>1</w:t>
            </w:r>
          </w:p>
        </w:tc>
        <w:tc>
          <w:tcPr>
            <w:tcW w:w="630" w:type="pct"/>
            <w:vMerge w:val="continue"/>
            <w:vAlign w:val="center"/>
          </w:tcPr>
          <w:p w14:paraId="4606B814">
            <w:pPr>
              <w:jc w:val="center"/>
              <w:rPr>
                <w:rFonts w:eastAsia="仿宋_GB2312"/>
                <w:color w:val="auto"/>
                <w:szCs w:val="21"/>
              </w:rPr>
            </w:pPr>
          </w:p>
        </w:tc>
        <w:tc>
          <w:tcPr>
            <w:tcW w:w="292" w:type="pct"/>
            <w:vMerge w:val="continue"/>
            <w:vAlign w:val="center"/>
          </w:tcPr>
          <w:p w14:paraId="4295073E">
            <w:pPr>
              <w:jc w:val="center"/>
              <w:rPr>
                <w:rFonts w:eastAsia="仿宋_GB2312"/>
                <w:color w:val="auto"/>
                <w:szCs w:val="21"/>
              </w:rPr>
            </w:pPr>
          </w:p>
        </w:tc>
      </w:tr>
      <w:tr w14:paraId="26D061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6E5CD50B">
            <w:pPr>
              <w:jc w:val="center"/>
              <w:rPr>
                <w:rFonts w:eastAsia="仿宋_GB2312"/>
                <w:color w:val="auto"/>
                <w:szCs w:val="21"/>
              </w:rPr>
            </w:pPr>
          </w:p>
        </w:tc>
        <w:tc>
          <w:tcPr>
            <w:tcW w:w="358" w:type="pct"/>
            <w:vMerge w:val="continue"/>
            <w:vAlign w:val="center"/>
          </w:tcPr>
          <w:p w14:paraId="7ADD5589">
            <w:pPr>
              <w:jc w:val="center"/>
              <w:rPr>
                <w:rFonts w:eastAsia="仿宋_GB2312"/>
                <w:color w:val="auto"/>
                <w:szCs w:val="21"/>
              </w:rPr>
            </w:pPr>
          </w:p>
        </w:tc>
        <w:tc>
          <w:tcPr>
            <w:tcW w:w="418" w:type="pct"/>
            <w:vMerge w:val="continue"/>
            <w:vAlign w:val="center"/>
          </w:tcPr>
          <w:p w14:paraId="46B7F219">
            <w:pPr>
              <w:jc w:val="center"/>
              <w:rPr>
                <w:rFonts w:eastAsia="仿宋_GB2312"/>
                <w:color w:val="auto"/>
                <w:szCs w:val="21"/>
              </w:rPr>
            </w:pPr>
          </w:p>
        </w:tc>
        <w:tc>
          <w:tcPr>
            <w:tcW w:w="446" w:type="pct"/>
            <w:vMerge w:val="continue"/>
            <w:vAlign w:val="center"/>
          </w:tcPr>
          <w:p w14:paraId="2B7EC497">
            <w:pPr>
              <w:jc w:val="center"/>
              <w:rPr>
                <w:rFonts w:eastAsia="仿宋_GB2312"/>
                <w:color w:val="auto"/>
                <w:szCs w:val="21"/>
              </w:rPr>
            </w:pPr>
          </w:p>
        </w:tc>
        <w:tc>
          <w:tcPr>
            <w:tcW w:w="361" w:type="pct"/>
            <w:vMerge w:val="continue"/>
            <w:vAlign w:val="center"/>
          </w:tcPr>
          <w:p w14:paraId="267F167A">
            <w:pPr>
              <w:jc w:val="center"/>
              <w:rPr>
                <w:rFonts w:eastAsia="仿宋_GB2312"/>
                <w:color w:val="auto"/>
                <w:szCs w:val="21"/>
              </w:rPr>
            </w:pPr>
          </w:p>
        </w:tc>
        <w:tc>
          <w:tcPr>
            <w:tcW w:w="498" w:type="pct"/>
            <w:vMerge w:val="continue"/>
            <w:shd w:val="clear" w:color="auto" w:fill="auto"/>
            <w:vAlign w:val="center"/>
          </w:tcPr>
          <w:p w14:paraId="660BAB3B">
            <w:pPr>
              <w:keepNext w:val="0"/>
              <w:keepLines w:val="0"/>
              <w:widowControl/>
              <w:suppressLineNumbers w:val="0"/>
              <w:jc w:val="center"/>
              <w:textAlignment w:val="bottom"/>
              <w:rPr>
                <w:rFonts w:eastAsia="仿宋_GB2312"/>
                <w:color w:val="auto"/>
                <w:kern w:val="0"/>
                <w:szCs w:val="21"/>
                <w:lang w:bidi="ar"/>
              </w:rPr>
            </w:pPr>
          </w:p>
        </w:tc>
        <w:tc>
          <w:tcPr>
            <w:tcW w:w="820" w:type="pct"/>
            <w:shd w:val="clear" w:color="auto" w:fill="auto"/>
            <w:vAlign w:val="center"/>
          </w:tcPr>
          <w:p w14:paraId="25F850D5">
            <w:pPr>
              <w:widowControl/>
              <w:jc w:val="center"/>
              <w:textAlignment w:val="center"/>
              <w:rPr>
                <w:rFonts w:ascii="Times New Roman" w:hAnsi="Times New Roman" w:eastAsia="仿宋_GB2312" w:cs="Times New Roman"/>
                <w:b/>
                <w:bCs/>
                <w:color w:val="auto"/>
                <w:kern w:val="0"/>
                <w:sz w:val="21"/>
                <w:szCs w:val="21"/>
                <w:lang w:val="en-US" w:eastAsia="zh-CN" w:bidi="ar"/>
              </w:rPr>
            </w:pPr>
            <w:r>
              <w:rPr>
                <w:rFonts w:eastAsia="仿宋_GB2312"/>
                <w:color w:val="auto"/>
                <w:kern w:val="0"/>
                <w:szCs w:val="21"/>
                <w:lang w:bidi="ar"/>
              </w:rPr>
              <w:t>其他有机物</w:t>
            </w:r>
          </w:p>
        </w:tc>
        <w:tc>
          <w:tcPr>
            <w:tcW w:w="380" w:type="pct"/>
            <w:shd w:val="clear" w:color="auto" w:fill="auto"/>
            <w:vAlign w:val="center"/>
          </w:tcPr>
          <w:p w14:paraId="175C464C">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0.02</w:t>
            </w:r>
            <w:r>
              <w:rPr>
                <w:rFonts w:hint="eastAsia" w:ascii="Times New Roman" w:hAnsi="Times New Roman" w:eastAsia="宋体" w:cs="Times New Roman"/>
                <w:i w:val="0"/>
                <w:iCs w:val="0"/>
                <w:color w:val="auto"/>
                <w:kern w:val="0"/>
                <w:sz w:val="21"/>
                <w:szCs w:val="21"/>
                <w:u w:val="none"/>
                <w:lang w:val="en-US" w:eastAsia="zh-CN" w:bidi="ar"/>
              </w:rPr>
              <w:t>1</w:t>
            </w:r>
          </w:p>
        </w:tc>
        <w:tc>
          <w:tcPr>
            <w:tcW w:w="445" w:type="pct"/>
            <w:shd w:val="clear" w:color="auto" w:fill="auto"/>
            <w:vAlign w:val="center"/>
          </w:tcPr>
          <w:p w14:paraId="49077DDE">
            <w:pPr>
              <w:widowControl/>
              <w:jc w:val="center"/>
              <w:textAlignment w:val="center"/>
              <w:rPr>
                <w:rFonts w:hint="eastAsia" w:ascii="Times New Roman" w:hAnsi="Times New Roman" w:eastAsia="仿宋_GB2312" w:cs="Times New Roman"/>
                <w:color w:val="auto"/>
                <w:kern w:val="0"/>
                <w:sz w:val="21"/>
                <w:szCs w:val="21"/>
                <w:highlight w:val="none"/>
                <w:lang w:val="en-US" w:eastAsia="zh-CN" w:bidi="ar"/>
              </w:rPr>
            </w:pPr>
            <w:r>
              <w:rPr>
                <w:rFonts w:eastAsia="仿宋_GB2312"/>
                <w:color w:val="auto"/>
                <w:kern w:val="0"/>
                <w:szCs w:val="21"/>
                <w:highlight w:val="none"/>
                <w:lang w:bidi="ar"/>
              </w:rPr>
              <w:t>0.00</w:t>
            </w:r>
            <w:r>
              <w:rPr>
                <w:rFonts w:hint="eastAsia" w:eastAsia="仿宋_GB2312"/>
                <w:color w:val="auto"/>
                <w:kern w:val="0"/>
                <w:szCs w:val="21"/>
                <w:highlight w:val="none"/>
                <w:lang w:val="en-US" w:eastAsia="zh-CN" w:bidi="ar"/>
              </w:rPr>
              <w:t>2</w:t>
            </w:r>
          </w:p>
        </w:tc>
        <w:tc>
          <w:tcPr>
            <w:tcW w:w="630" w:type="pct"/>
            <w:vMerge w:val="continue"/>
            <w:vAlign w:val="center"/>
          </w:tcPr>
          <w:p w14:paraId="408EAB62">
            <w:pPr>
              <w:jc w:val="center"/>
              <w:rPr>
                <w:rFonts w:eastAsia="仿宋_GB2312"/>
                <w:color w:val="auto"/>
                <w:szCs w:val="21"/>
              </w:rPr>
            </w:pPr>
          </w:p>
        </w:tc>
        <w:tc>
          <w:tcPr>
            <w:tcW w:w="292" w:type="pct"/>
            <w:vMerge w:val="continue"/>
            <w:vAlign w:val="center"/>
          </w:tcPr>
          <w:p w14:paraId="25A46754">
            <w:pPr>
              <w:jc w:val="center"/>
              <w:rPr>
                <w:rFonts w:eastAsia="仿宋_GB2312"/>
                <w:color w:val="auto"/>
                <w:szCs w:val="21"/>
              </w:rPr>
            </w:pPr>
          </w:p>
        </w:tc>
      </w:tr>
      <w:tr w14:paraId="28C2EB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664D1DAF">
            <w:pPr>
              <w:jc w:val="center"/>
              <w:rPr>
                <w:rFonts w:eastAsia="仿宋_GB2312"/>
                <w:color w:val="auto"/>
                <w:szCs w:val="21"/>
              </w:rPr>
            </w:pPr>
          </w:p>
        </w:tc>
        <w:tc>
          <w:tcPr>
            <w:tcW w:w="358" w:type="pct"/>
            <w:vMerge w:val="continue"/>
            <w:vAlign w:val="center"/>
          </w:tcPr>
          <w:p w14:paraId="0AF864BA">
            <w:pPr>
              <w:jc w:val="center"/>
              <w:rPr>
                <w:rFonts w:eastAsia="仿宋_GB2312"/>
                <w:color w:val="auto"/>
                <w:szCs w:val="21"/>
              </w:rPr>
            </w:pPr>
          </w:p>
        </w:tc>
        <w:tc>
          <w:tcPr>
            <w:tcW w:w="418" w:type="pct"/>
            <w:vMerge w:val="restart"/>
            <w:vAlign w:val="center"/>
          </w:tcPr>
          <w:p w14:paraId="0B289647">
            <w:pPr>
              <w:jc w:val="center"/>
              <w:rPr>
                <w:rFonts w:eastAsia="仿宋_GB2312"/>
                <w:color w:val="auto"/>
                <w:szCs w:val="21"/>
              </w:rPr>
            </w:pPr>
            <w:r>
              <w:rPr>
                <w:rFonts w:eastAsia="仿宋_GB2312"/>
                <w:color w:val="auto"/>
                <w:kern w:val="0"/>
                <w:szCs w:val="21"/>
                <w:lang w:bidi="ar"/>
              </w:rPr>
              <w:t>G</w:t>
            </w:r>
            <w:r>
              <w:rPr>
                <w:rFonts w:hint="eastAsia" w:eastAsia="仿宋_GB2312"/>
                <w:color w:val="auto"/>
                <w:kern w:val="0"/>
                <w:szCs w:val="21"/>
                <w:lang w:val="en-US" w:eastAsia="zh-CN" w:bidi="ar"/>
              </w:rPr>
              <w:t>3</w:t>
            </w:r>
            <w:r>
              <w:rPr>
                <w:rFonts w:eastAsia="仿宋_GB2312"/>
                <w:color w:val="auto"/>
                <w:kern w:val="0"/>
                <w:szCs w:val="21"/>
                <w:lang w:bidi="ar"/>
              </w:rPr>
              <w:t>-</w:t>
            </w:r>
            <w:r>
              <w:rPr>
                <w:rFonts w:hint="eastAsia" w:eastAsia="仿宋_GB2312"/>
                <w:color w:val="auto"/>
                <w:kern w:val="0"/>
                <w:szCs w:val="21"/>
                <w:lang w:val="en-US" w:eastAsia="zh-CN" w:bidi="ar"/>
              </w:rPr>
              <w:t>1</w:t>
            </w:r>
            <w:r>
              <w:rPr>
                <w:rFonts w:eastAsia="仿宋_GB2312"/>
                <w:color w:val="auto"/>
                <w:kern w:val="0"/>
                <w:szCs w:val="21"/>
                <w:lang w:bidi="ar"/>
              </w:rPr>
              <w:t>-3</w:t>
            </w:r>
          </w:p>
        </w:tc>
        <w:tc>
          <w:tcPr>
            <w:tcW w:w="446" w:type="pct"/>
            <w:vMerge w:val="restart"/>
            <w:vAlign w:val="center"/>
          </w:tcPr>
          <w:p w14:paraId="5654D068">
            <w:pPr>
              <w:jc w:val="center"/>
              <w:rPr>
                <w:rFonts w:eastAsia="仿宋_GB2312"/>
                <w:color w:val="auto"/>
                <w:szCs w:val="21"/>
              </w:rPr>
            </w:pPr>
            <w:r>
              <w:rPr>
                <w:rFonts w:eastAsia="仿宋_GB2312"/>
                <w:color w:val="auto"/>
                <w:kern w:val="0"/>
                <w:szCs w:val="21"/>
                <w:lang w:bidi="ar"/>
              </w:rPr>
              <w:t>不凝气</w:t>
            </w:r>
          </w:p>
        </w:tc>
        <w:tc>
          <w:tcPr>
            <w:tcW w:w="361" w:type="pct"/>
            <w:vMerge w:val="restart"/>
            <w:vAlign w:val="center"/>
          </w:tcPr>
          <w:p w14:paraId="6A629158">
            <w:pPr>
              <w:jc w:val="center"/>
              <w:rPr>
                <w:rFonts w:eastAsia="仿宋_GB2312"/>
                <w:color w:val="auto"/>
                <w:szCs w:val="21"/>
              </w:rPr>
            </w:pPr>
            <w:r>
              <w:rPr>
                <w:rFonts w:eastAsia="仿宋_GB2312"/>
                <w:color w:val="auto"/>
                <w:szCs w:val="21"/>
              </w:rPr>
              <w:t>360</w:t>
            </w:r>
          </w:p>
        </w:tc>
        <w:tc>
          <w:tcPr>
            <w:tcW w:w="498" w:type="pct"/>
            <w:vMerge w:val="restart"/>
            <w:shd w:val="clear" w:color="auto" w:fill="auto"/>
            <w:vAlign w:val="center"/>
          </w:tcPr>
          <w:p w14:paraId="220BF4F5">
            <w:pPr>
              <w:keepNext w:val="0"/>
              <w:keepLines w:val="0"/>
              <w:widowControl/>
              <w:suppressLineNumbers w:val="0"/>
              <w:jc w:val="center"/>
              <w:textAlignment w:val="bottom"/>
              <w:rPr>
                <w:rFonts w:eastAsia="仿宋_GB2312"/>
                <w:color w:val="auto"/>
                <w:kern w:val="0"/>
                <w:szCs w:val="21"/>
                <w:lang w:bidi="ar"/>
              </w:rPr>
            </w:pPr>
            <w:r>
              <w:rPr>
                <w:rFonts w:hint="default" w:ascii="Times New Roman" w:hAnsi="Times New Roman" w:eastAsia="宋体" w:cs="Times New Roman"/>
                <w:i w:val="0"/>
                <w:iCs w:val="0"/>
                <w:color w:val="auto"/>
                <w:kern w:val="0"/>
                <w:sz w:val="21"/>
                <w:szCs w:val="21"/>
                <w:u w:val="none"/>
                <w:lang w:val="en-US" w:eastAsia="zh-CN" w:bidi="ar"/>
              </w:rPr>
              <w:t>96</w:t>
            </w:r>
          </w:p>
        </w:tc>
        <w:tc>
          <w:tcPr>
            <w:tcW w:w="820" w:type="pct"/>
            <w:shd w:val="clear" w:color="auto" w:fill="auto"/>
            <w:vAlign w:val="center"/>
          </w:tcPr>
          <w:p w14:paraId="7016AECC">
            <w:pPr>
              <w:widowControl/>
              <w:jc w:val="center"/>
              <w:textAlignment w:val="center"/>
              <w:rPr>
                <w:rFonts w:ascii="Times New Roman" w:hAnsi="Times New Roman" w:eastAsia="仿宋_GB2312" w:cs="Times New Roman"/>
                <w:b/>
                <w:bCs/>
                <w:color w:val="auto"/>
                <w:kern w:val="0"/>
                <w:sz w:val="21"/>
                <w:szCs w:val="21"/>
                <w:lang w:val="en-US" w:eastAsia="zh-CN" w:bidi="ar"/>
              </w:rPr>
            </w:pPr>
            <w:r>
              <w:rPr>
                <w:rFonts w:eastAsia="仿宋_GB2312"/>
                <w:color w:val="auto"/>
                <w:kern w:val="0"/>
                <w:szCs w:val="21"/>
                <w:lang w:bidi="ar"/>
              </w:rPr>
              <w:t>丁酮</w:t>
            </w:r>
          </w:p>
        </w:tc>
        <w:tc>
          <w:tcPr>
            <w:tcW w:w="380" w:type="pct"/>
            <w:shd w:val="clear" w:color="auto" w:fill="auto"/>
            <w:vAlign w:val="center"/>
          </w:tcPr>
          <w:p w14:paraId="1B7E8076">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0.07</w:t>
            </w:r>
            <w:r>
              <w:rPr>
                <w:rFonts w:hint="eastAsia" w:ascii="Times New Roman" w:hAnsi="Times New Roman" w:eastAsia="宋体" w:cs="Times New Roman"/>
                <w:i w:val="0"/>
                <w:iCs w:val="0"/>
                <w:color w:val="auto"/>
                <w:kern w:val="0"/>
                <w:sz w:val="21"/>
                <w:szCs w:val="21"/>
                <w:u w:val="none"/>
                <w:lang w:val="en-US" w:eastAsia="zh-CN" w:bidi="ar"/>
              </w:rPr>
              <w:t>3</w:t>
            </w:r>
          </w:p>
        </w:tc>
        <w:tc>
          <w:tcPr>
            <w:tcW w:w="445" w:type="pct"/>
            <w:shd w:val="clear" w:color="auto" w:fill="auto"/>
            <w:vAlign w:val="center"/>
          </w:tcPr>
          <w:p w14:paraId="68CE3B60">
            <w:pPr>
              <w:widowControl/>
              <w:jc w:val="center"/>
              <w:textAlignment w:val="center"/>
              <w:rPr>
                <w:rFonts w:hint="default" w:ascii="Times New Roman" w:hAnsi="Times New Roman" w:eastAsia="仿宋_GB2312" w:cs="Times New Roman"/>
                <w:color w:val="auto"/>
                <w:kern w:val="0"/>
                <w:sz w:val="21"/>
                <w:szCs w:val="21"/>
                <w:highlight w:val="none"/>
                <w:lang w:val="en-US" w:eastAsia="zh-CN" w:bidi="ar"/>
              </w:rPr>
            </w:pPr>
            <w:r>
              <w:rPr>
                <w:rFonts w:hint="eastAsia" w:eastAsia="仿宋_GB2312"/>
                <w:color w:val="auto"/>
                <w:kern w:val="0"/>
                <w:szCs w:val="21"/>
                <w:highlight w:val="none"/>
                <w:lang w:val="en-US" w:eastAsia="zh-CN" w:bidi="ar"/>
              </w:rPr>
              <w:t>0.007</w:t>
            </w:r>
          </w:p>
        </w:tc>
        <w:tc>
          <w:tcPr>
            <w:tcW w:w="630" w:type="pct"/>
            <w:vMerge w:val="continue"/>
            <w:vAlign w:val="center"/>
          </w:tcPr>
          <w:p w14:paraId="3CFA547C">
            <w:pPr>
              <w:jc w:val="center"/>
              <w:rPr>
                <w:rFonts w:eastAsia="仿宋_GB2312"/>
                <w:color w:val="auto"/>
                <w:szCs w:val="21"/>
              </w:rPr>
            </w:pPr>
          </w:p>
        </w:tc>
        <w:tc>
          <w:tcPr>
            <w:tcW w:w="292" w:type="pct"/>
            <w:vMerge w:val="continue"/>
            <w:vAlign w:val="center"/>
          </w:tcPr>
          <w:p w14:paraId="7B3CA9F0">
            <w:pPr>
              <w:jc w:val="center"/>
              <w:rPr>
                <w:rFonts w:eastAsia="仿宋_GB2312"/>
                <w:color w:val="auto"/>
                <w:szCs w:val="21"/>
              </w:rPr>
            </w:pPr>
          </w:p>
        </w:tc>
      </w:tr>
      <w:tr w14:paraId="5E63BB7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22BAE908">
            <w:pPr>
              <w:jc w:val="center"/>
              <w:rPr>
                <w:rFonts w:eastAsia="仿宋_GB2312"/>
                <w:color w:val="auto"/>
                <w:szCs w:val="21"/>
              </w:rPr>
            </w:pPr>
          </w:p>
        </w:tc>
        <w:tc>
          <w:tcPr>
            <w:tcW w:w="358" w:type="pct"/>
            <w:vMerge w:val="continue"/>
            <w:vAlign w:val="center"/>
          </w:tcPr>
          <w:p w14:paraId="63BB6BCD">
            <w:pPr>
              <w:jc w:val="center"/>
              <w:rPr>
                <w:rFonts w:eastAsia="仿宋_GB2312"/>
                <w:color w:val="auto"/>
                <w:szCs w:val="21"/>
              </w:rPr>
            </w:pPr>
          </w:p>
        </w:tc>
        <w:tc>
          <w:tcPr>
            <w:tcW w:w="418" w:type="pct"/>
            <w:vMerge w:val="continue"/>
            <w:vAlign w:val="center"/>
          </w:tcPr>
          <w:p w14:paraId="427C7A01">
            <w:pPr>
              <w:jc w:val="center"/>
              <w:rPr>
                <w:rFonts w:eastAsia="仿宋_GB2312"/>
                <w:color w:val="auto"/>
                <w:szCs w:val="21"/>
              </w:rPr>
            </w:pPr>
          </w:p>
        </w:tc>
        <w:tc>
          <w:tcPr>
            <w:tcW w:w="446" w:type="pct"/>
            <w:vMerge w:val="continue"/>
            <w:vAlign w:val="center"/>
          </w:tcPr>
          <w:p w14:paraId="5DBF2ACF">
            <w:pPr>
              <w:jc w:val="center"/>
              <w:rPr>
                <w:rFonts w:eastAsia="仿宋_GB2312"/>
                <w:color w:val="auto"/>
                <w:szCs w:val="21"/>
              </w:rPr>
            </w:pPr>
          </w:p>
        </w:tc>
        <w:tc>
          <w:tcPr>
            <w:tcW w:w="361" w:type="pct"/>
            <w:vMerge w:val="continue"/>
            <w:vAlign w:val="center"/>
          </w:tcPr>
          <w:p w14:paraId="4F65F9DF">
            <w:pPr>
              <w:jc w:val="center"/>
              <w:rPr>
                <w:rFonts w:eastAsia="仿宋_GB2312"/>
                <w:color w:val="auto"/>
                <w:szCs w:val="21"/>
              </w:rPr>
            </w:pPr>
          </w:p>
        </w:tc>
        <w:tc>
          <w:tcPr>
            <w:tcW w:w="498" w:type="pct"/>
            <w:vMerge w:val="continue"/>
            <w:shd w:val="clear" w:color="auto" w:fill="auto"/>
            <w:vAlign w:val="center"/>
          </w:tcPr>
          <w:p w14:paraId="19AC9BA4">
            <w:pPr>
              <w:keepNext w:val="0"/>
              <w:keepLines w:val="0"/>
              <w:widowControl/>
              <w:suppressLineNumbers w:val="0"/>
              <w:jc w:val="center"/>
              <w:textAlignment w:val="bottom"/>
              <w:rPr>
                <w:rFonts w:hint="eastAsia" w:eastAsia="仿宋_GB2312"/>
                <w:color w:val="auto"/>
                <w:kern w:val="0"/>
                <w:szCs w:val="21"/>
                <w:lang w:val="en-US" w:eastAsia="zh-CN" w:bidi="ar"/>
              </w:rPr>
            </w:pPr>
          </w:p>
        </w:tc>
        <w:tc>
          <w:tcPr>
            <w:tcW w:w="820" w:type="pct"/>
            <w:shd w:val="clear" w:color="auto" w:fill="auto"/>
            <w:vAlign w:val="center"/>
          </w:tcPr>
          <w:p w14:paraId="794171EB">
            <w:pPr>
              <w:widowControl/>
              <w:jc w:val="center"/>
              <w:textAlignment w:val="center"/>
              <w:rPr>
                <w:rFonts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丁</w:t>
            </w:r>
            <w:r>
              <w:rPr>
                <w:rFonts w:eastAsia="仿宋_GB2312"/>
                <w:color w:val="auto"/>
                <w:kern w:val="0"/>
                <w:szCs w:val="21"/>
                <w:lang w:bidi="ar"/>
              </w:rPr>
              <w:t>醇</w:t>
            </w:r>
          </w:p>
        </w:tc>
        <w:tc>
          <w:tcPr>
            <w:tcW w:w="380" w:type="pct"/>
            <w:shd w:val="clear" w:color="auto" w:fill="auto"/>
            <w:vAlign w:val="center"/>
          </w:tcPr>
          <w:p w14:paraId="6486465E">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0.01</w:t>
            </w:r>
          </w:p>
        </w:tc>
        <w:tc>
          <w:tcPr>
            <w:tcW w:w="445" w:type="pct"/>
            <w:shd w:val="clear" w:color="auto" w:fill="auto"/>
            <w:vAlign w:val="center"/>
          </w:tcPr>
          <w:p w14:paraId="7A1DFC6D">
            <w:pPr>
              <w:widowControl/>
              <w:jc w:val="center"/>
              <w:textAlignment w:val="center"/>
              <w:rPr>
                <w:rFonts w:hint="default" w:ascii="Times New Roman" w:hAnsi="Times New Roman" w:eastAsia="仿宋_GB2312" w:cs="Times New Roman"/>
                <w:color w:val="auto"/>
                <w:kern w:val="0"/>
                <w:sz w:val="21"/>
                <w:szCs w:val="21"/>
                <w:highlight w:val="none"/>
                <w:lang w:val="en-US" w:eastAsia="zh-CN" w:bidi="ar"/>
              </w:rPr>
            </w:pPr>
            <w:r>
              <w:rPr>
                <w:rFonts w:eastAsia="仿宋_GB2312"/>
                <w:color w:val="auto"/>
                <w:kern w:val="0"/>
                <w:szCs w:val="21"/>
                <w:highlight w:val="none"/>
                <w:lang w:bidi="ar"/>
              </w:rPr>
              <w:t>0</w:t>
            </w:r>
            <w:r>
              <w:rPr>
                <w:rFonts w:hint="eastAsia" w:eastAsia="仿宋_GB2312"/>
                <w:color w:val="auto"/>
                <w:kern w:val="0"/>
                <w:szCs w:val="21"/>
                <w:highlight w:val="none"/>
                <w:lang w:val="en-US" w:eastAsia="zh-CN" w:bidi="ar"/>
              </w:rPr>
              <w:t>.001</w:t>
            </w:r>
          </w:p>
        </w:tc>
        <w:tc>
          <w:tcPr>
            <w:tcW w:w="630" w:type="pct"/>
            <w:vMerge w:val="continue"/>
            <w:vAlign w:val="center"/>
          </w:tcPr>
          <w:p w14:paraId="278675DB">
            <w:pPr>
              <w:jc w:val="center"/>
              <w:rPr>
                <w:rFonts w:eastAsia="仿宋_GB2312"/>
                <w:color w:val="auto"/>
                <w:szCs w:val="21"/>
              </w:rPr>
            </w:pPr>
          </w:p>
        </w:tc>
        <w:tc>
          <w:tcPr>
            <w:tcW w:w="292" w:type="pct"/>
            <w:vMerge w:val="continue"/>
            <w:vAlign w:val="center"/>
          </w:tcPr>
          <w:p w14:paraId="1CB52B7D">
            <w:pPr>
              <w:jc w:val="center"/>
              <w:rPr>
                <w:rFonts w:eastAsia="仿宋_GB2312"/>
                <w:color w:val="auto"/>
                <w:szCs w:val="21"/>
              </w:rPr>
            </w:pPr>
          </w:p>
        </w:tc>
      </w:tr>
      <w:tr w14:paraId="78D8DD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690E1D8A">
            <w:pPr>
              <w:jc w:val="center"/>
              <w:rPr>
                <w:rFonts w:eastAsia="仿宋_GB2312"/>
                <w:color w:val="auto"/>
                <w:szCs w:val="21"/>
              </w:rPr>
            </w:pPr>
          </w:p>
        </w:tc>
        <w:tc>
          <w:tcPr>
            <w:tcW w:w="358" w:type="pct"/>
            <w:vMerge w:val="continue"/>
            <w:vAlign w:val="center"/>
          </w:tcPr>
          <w:p w14:paraId="21C4C7C9">
            <w:pPr>
              <w:jc w:val="center"/>
              <w:rPr>
                <w:rFonts w:eastAsia="仿宋_GB2312"/>
                <w:color w:val="auto"/>
                <w:szCs w:val="21"/>
              </w:rPr>
            </w:pPr>
          </w:p>
        </w:tc>
        <w:tc>
          <w:tcPr>
            <w:tcW w:w="418" w:type="pct"/>
            <w:vMerge w:val="continue"/>
            <w:vAlign w:val="center"/>
          </w:tcPr>
          <w:p w14:paraId="4C291A39">
            <w:pPr>
              <w:jc w:val="center"/>
              <w:rPr>
                <w:rFonts w:eastAsia="仿宋_GB2312"/>
                <w:color w:val="auto"/>
                <w:szCs w:val="21"/>
              </w:rPr>
            </w:pPr>
          </w:p>
        </w:tc>
        <w:tc>
          <w:tcPr>
            <w:tcW w:w="446" w:type="pct"/>
            <w:vMerge w:val="continue"/>
            <w:vAlign w:val="center"/>
          </w:tcPr>
          <w:p w14:paraId="2E3953B8">
            <w:pPr>
              <w:jc w:val="center"/>
              <w:rPr>
                <w:rFonts w:eastAsia="仿宋_GB2312"/>
                <w:color w:val="auto"/>
                <w:szCs w:val="21"/>
              </w:rPr>
            </w:pPr>
          </w:p>
        </w:tc>
        <w:tc>
          <w:tcPr>
            <w:tcW w:w="361" w:type="pct"/>
            <w:vMerge w:val="continue"/>
            <w:vAlign w:val="center"/>
          </w:tcPr>
          <w:p w14:paraId="5CF50DD1">
            <w:pPr>
              <w:jc w:val="center"/>
              <w:rPr>
                <w:rFonts w:eastAsia="仿宋_GB2312"/>
                <w:color w:val="auto"/>
                <w:szCs w:val="21"/>
              </w:rPr>
            </w:pPr>
          </w:p>
        </w:tc>
        <w:tc>
          <w:tcPr>
            <w:tcW w:w="498" w:type="pct"/>
            <w:vMerge w:val="continue"/>
            <w:shd w:val="clear" w:color="auto" w:fill="auto"/>
            <w:vAlign w:val="center"/>
          </w:tcPr>
          <w:p w14:paraId="643D0554">
            <w:pPr>
              <w:keepNext w:val="0"/>
              <w:keepLines w:val="0"/>
              <w:widowControl/>
              <w:suppressLineNumbers w:val="0"/>
              <w:jc w:val="center"/>
              <w:textAlignment w:val="bottom"/>
              <w:rPr>
                <w:rFonts w:eastAsia="仿宋_GB2312"/>
                <w:color w:val="auto"/>
                <w:kern w:val="0"/>
                <w:szCs w:val="21"/>
                <w:lang w:bidi="ar"/>
              </w:rPr>
            </w:pPr>
          </w:p>
        </w:tc>
        <w:tc>
          <w:tcPr>
            <w:tcW w:w="820" w:type="pct"/>
            <w:shd w:val="clear" w:color="auto" w:fill="auto"/>
            <w:vAlign w:val="center"/>
          </w:tcPr>
          <w:p w14:paraId="5151DE39">
            <w:pPr>
              <w:widowControl/>
              <w:jc w:val="center"/>
              <w:textAlignment w:val="center"/>
              <w:rPr>
                <w:rFonts w:ascii="Times New Roman" w:hAnsi="Times New Roman" w:eastAsia="仿宋_GB2312" w:cs="Times New Roman"/>
                <w:b/>
                <w:bCs/>
                <w:color w:val="auto"/>
                <w:kern w:val="0"/>
                <w:sz w:val="21"/>
                <w:szCs w:val="21"/>
                <w:lang w:val="en-US" w:eastAsia="zh-CN" w:bidi="ar"/>
              </w:rPr>
            </w:pPr>
            <w:r>
              <w:rPr>
                <w:rFonts w:eastAsia="仿宋_GB2312"/>
                <w:color w:val="auto"/>
                <w:kern w:val="0"/>
                <w:szCs w:val="21"/>
                <w:lang w:bidi="ar"/>
              </w:rPr>
              <w:t>其他有机物</w:t>
            </w:r>
          </w:p>
        </w:tc>
        <w:tc>
          <w:tcPr>
            <w:tcW w:w="380" w:type="pct"/>
            <w:shd w:val="clear" w:color="auto" w:fill="auto"/>
            <w:vAlign w:val="center"/>
          </w:tcPr>
          <w:p w14:paraId="18620FC2">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0.02</w:t>
            </w:r>
            <w:r>
              <w:rPr>
                <w:rFonts w:hint="eastAsia" w:ascii="Times New Roman" w:hAnsi="Times New Roman" w:eastAsia="宋体" w:cs="Times New Roman"/>
                <w:i w:val="0"/>
                <w:iCs w:val="0"/>
                <w:color w:val="auto"/>
                <w:kern w:val="0"/>
                <w:sz w:val="21"/>
                <w:szCs w:val="21"/>
                <w:u w:val="none"/>
                <w:lang w:val="en-US" w:eastAsia="zh-CN" w:bidi="ar"/>
              </w:rPr>
              <w:t>1</w:t>
            </w:r>
          </w:p>
        </w:tc>
        <w:tc>
          <w:tcPr>
            <w:tcW w:w="445" w:type="pct"/>
            <w:shd w:val="clear" w:color="auto" w:fill="auto"/>
            <w:vAlign w:val="center"/>
          </w:tcPr>
          <w:p w14:paraId="2C33BF04">
            <w:pPr>
              <w:widowControl/>
              <w:jc w:val="center"/>
              <w:textAlignment w:val="center"/>
              <w:rPr>
                <w:rFonts w:hint="default" w:ascii="Times New Roman" w:hAnsi="Times New Roman" w:eastAsia="仿宋_GB2312" w:cs="Times New Roman"/>
                <w:color w:val="auto"/>
                <w:kern w:val="0"/>
                <w:sz w:val="21"/>
                <w:szCs w:val="21"/>
                <w:highlight w:val="none"/>
                <w:lang w:val="en-US" w:eastAsia="zh-CN" w:bidi="ar"/>
              </w:rPr>
            </w:pPr>
            <w:r>
              <w:rPr>
                <w:rFonts w:eastAsia="仿宋_GB2312"/>
                <w:color w:val="auto"/>
                <w:kern w:val="0"/>
                <w:szCs w:val="21"/>
                <w:highlight w:val="none"/>
                <w:lang w:bidi="ar"/>
              </w:rPr>
              <w:t>0.</w:t>
            </w:r>
            <w:r>
              <w:rPr>
                <w:rFonts w:hint="eastAsia" w:eastAsia="仿宋_GB2312"/>
                <w:color w:val="auto"/>
                <w:kern w:val="0"/>
                <w:szCs w:val="21"/>
                <w:highlight w:val="none"/>
                <w:lang w:val="en-US" w:eastAsia="zh-CN" w:bidi="ar"/>
              </w:rPr>
              <w:t>002</w:t>
            </w:r>
          </w:p>
        </w:tc>
        <w:tc>
          <w:tcPr>
            <w:tcW w:w="630" w:type="pct"/>
            <w:vMerge w:val="continue"/>
            <w:vAlign w:val="center"/>
          </w:tcPr>
          <w:p w14:paraId="0D4CD0EB">
            <w:pPr>
              <w:jc w:val="center"/>
              <w:rPr>
                <w:rFonts w:eastAsia="仿宋_GB2312"/>
                <w:color w:val="auto"/>
                <w:szCs w:val="21"/>
              </w:rPr>
            </w:pPr>
          </w:p>
        </w:tc>
        <w:tc>
          <w:tcPr>
            <w:tcW w:w="292" w:type="pct"/>
            <w:vMerge w:val="continue"/>
            <w:vAlign w:val="center"/>
          </w:tcPr>
          <w:p w14:paraId="09252691">
            <w:pPr>
              <w:jc w:val="center"/>
              <w:rPr>
                <w:rFonts w:eastAsia="仿宋_GB2312"/>
                <w:color w:val="auto"/>
                <w:szCs w:val="21"/>
              </w:rPr>
            </w:pPr>
          </w:p>
        </w:tc>
      </w:tr>
      <w:tr w14:paraId="778C41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20EA07F0">
            <w:pPr>
              <w:jc w:val="center"/>
              <w:rPr>
                <w:rFonts w:eastAsia="仿宋_GB2312"/>
                <w:color w:val="auto"/>
                <w:szCs w:val="21"/>
              </w:rPr>
            </w:pPr>
          </w:p>
        </w:tc>
        <w:tc>
          <w:tcPr>
            <w:tcW w:w="358" w:type="pct"/>
            <w:vMerge w:val="continue"/>
            <w:vAlign w:val="center"/>
          </w:tcPr>
          <w:p w14:paraId="362416B8">
            <w:pPr>
              <w:jc w:val="center"/>
              <w:rPr>
                <w:rFonts w:eastAsia="仿宋_GB2312"/>
                <w:color w:val="auto"/>
                <w:szCs w:val="21"/>
              </w:rPr>
            </w:pPr>
          </w:p>
        </w:tc>
        <w:tc>
          <w:tcPr>
            <w:tcW w:w="418" w:type="pct"/>
            <w:vMerge w:val="restart"/>
            <w:vAlign w:val="center"/>
          </w:tcPr>
          <w:p w14:paraId="3013C238">
            <w:pPr>
              <w:jc w:val="center"/>
              <w:rPr>
                <w:rFonts w:eastAsia="仿宋_GB2312"/>
                <w:color w:val="auto"/>
                <w:szCs w:val="21"/>
              </w:rPr>
            </w:pPr>
            <w:r>
              <w:rPr>
                <w:rFonts w:eastAsia="仿宋_GB2312"/>
                <w:color w:val="auto"/>
                <w:kern w:val="0"/>
                <w:szCs w:val="21"/>
                <w:lang w:bidi="ar"/>
              </w:rPr>
              <w:t>G</w:t>
            </w:r>
            <w:r>
              <w:rPr>
                <w:rFonts w:hint="eastAsia" w:eastAsia="仿宋_GB2312"/>
                <w:color w:val="auto"/>
                <w:kern w:val="0"/>
                <w:szCs w:val="21"/>
                <w:lang w:val="en-US" w:eastAsia="zh-CN" w:bidi="ar"/>
              </w:rPr>
              <w:t>3</w:t>
            </w:r>
            <w:r>
              <w:rPr>
                <w:rFonts w:eastAsia="仿宋_GB2312"/>
                <w:color w:val="auto"/>
                <w:kern w:val="0"/>
                <w:szCs w:val="21"/>
                <w:lang w:bidi="ar"/>
              </w:rPr>
              <w:t>-</w:t>
            </w:r>
            <w:r>
              <w:rPr>
                <w:rFonts w:hint="eastAsia" w:eastAsia="仿宋_GB2312"/>
                <w:color w:val="auto"/>
                <w:kern w:val="0"/>
                <w:szCs w:val="21"/>
                <w:lang w:val="en-US" w:eastAsia="zh-CN" w:bidi="ar"/>
              </w:rPr>
              <w:t>1</w:t>
            </w:r>
            <w:r>
              <w:rPr>
                <w:rFonts w:eastAsia="仿宋_GB2312"/>
                <w:color w:val="auto"/>
                <w:kern w:val="0"/>
                <w:szCs w:val="21"/>
                <w:lang w:bidi="ar"/>
              </w:rPr>
              <w:t>-4</w:t>
            </w:r>
          </w:p>
        </w:tc>
        <w:tc>
          <w:tcPr>
            <w:tcW w:w="446" w:type="pct"/>
            <w:vMerge w:val="restart"/>
            <w:vAlign w:val="center"/>
          </w:tcPr>
          <w:p w14:paraId="5EC66D94">
            <w:pPr>
              <w:jc w:val="center"/>
              <w:rPr>
                <w:rFonts w:eastAsia="仿宋_GB2312"/>
                <w:color w:val="auto"/>
                <w:szCs w:val="21"/>
              </w:rPr>
            </w:pPr>
            <w:r>
              <w:rPr>
                <w:rFonts w:eastAsia="仿宋_GB2312"/>
                <w:color w:val="auto"/>
                <w:kern w:val="0"/>
                <w:szCs w:val="21"/>
                <w:lang w:bidi="ar"/>
              </w:rPr>
              <w:t>不凝气</w:t>
            </w:r>
          </w:p>
        </w:tc>
        <w:tc>
          <w:tcPr>
            <w:tcW w:w="361" w:type="pct"/>
            <w:vMerge w:val="restart"/>
            <w:vAlign w:val="center"/>
          </w:tcPr>
          <w:p w14:paraId="2358964C">
            <w:pPr>
              <w:jc w:val="center"/>
              <w:rPr>
                <w:rFonts w:eastAsia="仿宋_GB2312"/>
                <w:color w:val="auto"/>
                <w:szCs w:val="21"/>
              </w:rPr>
            </w:pPr>
            <w:r>
              <w:rPr>
                <w:rFonts w:eastAsia="仿宋_GB2312"/>
                <w:color w:val="auto"/>
                <w:szCs w:val="21"/>
              </w:rPr>
              <w:t>360</w:t>
            </w:r>
          </w:p>
        </w:tc>
        <w:tc>
          <w:tcPr>
            <w:tcW w:w="498" w:type="pct"/>
            <w:vMerge w:val="restart"/>
            <w:shd w:val="clear" w:color="auto" w:fill="auto"/>
            <w:vAlign w:val="center"/>
          </w:tcPr>
          <w:p w14:paraId="79EB1931">
            <w:pPr>
              <w:keepNext w:val="0"/>
              <w:keepLines w:val="0"/>
              <w:widowControl/>
              <w:suppressLineNumbers w:val="0"/>
              <w:jc w:val="center"/>
              <w:textAlignment w:val="bottom"/>
              <w:rPr>
                <w:rFonts w:eastAsia="仿宋_GB2312"/>
                <w:color w:val="auto"/>
                <w:kern w:val="0"/>
                <w:szCs w:val="21"/>
                <w:lang w:bidi="ar"/>
              </w:rPr>
            </w:pPr>
            <w:r>
              <w:rPr>
                <w:rFonts w:hint="default" w:ascii="Times New Roman" w:hAnsi="Times New Roman" w:eastAsia="宋体" w:cs="Times New Roman"/>
                <w:i w:val="0"/>
                <w:iCs w:val="0"/>
                <w:color w:val="auto"/>
                <w:kern w:val="0"/>
                <w:sz w:val="21"/>
                <w:szCs w:val="21"/>
                <w:u w:val="none"/>
                <w:lang w:val="en-US" w:eastAsia="zh-CN" w:bidi="ar"/>
              </w:rPr>
              <w:t>96</w:t>
            </w:r>
          </w:p>
        </w:tc>
        <w:tc>
          <w:tcPr>
            <w:tcW w:w="820" w:type="pct"/>
            <w:shd w:val="clear" w:color="auto" w:fill="auto"/>
            <w:vAlign w:val="center"/>
          </w:tcPr>
          <w:p w14:paraId="0F6AA785">
            <w:pPr>
              <w:widowControl/>
              <w:jc w:val="center"/>
              <w:textAlignment w:val="center"/>
              <w:rPr>
                <w:rFonts w:ascii="Times New Roman" w:hAnsi="Times New Roman" w:eastAsia="仿宋_GB2312" w:cs="Times New Roman"/>
                <w:b/>
                <w:bCs/>
                <w:color w:val="auto"/>
                <w:kern w:val="0"/>
                <w:sz w:val="21"/>
                <w:szCs w:val="21"/>
                <w:lang w:val="en-US" w:eastAsia="zh-CN" w:bidi="ar"/>
              </w:rPr>
            </w:pPr>
            <w:r>
              <w:rPr>
                <w:rFonts w:eastAsia="仿宋_GB2312"/>
                <w:color w:val="auto"/>
                <w:kern w:val="0"/>
                <w:szCs w:val="21"/>
                <w:lang w:bidi="ar"/>
              </w:rPr>
              <w:t>丁酮</w:t>
            </w:r>
          </w:p>
        </w:tc>
        <w:tc>
          <w:tcPr>
            <w:tcW w:w="380" w:type="pct"/>
            <w:shd w:val="clear" w:color="auto" w:fill="auto"/>
            <w:vAlign w:val="center"/>
          </w:tcPr>
          <w:p w14:paraId="4DB2D317">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78.4</w:t>
            </w:r>
            <w:r>
              <w:rPr>
                <w:rFonts w:hint="eastAsia" w:ascii="Times New Roman" w:hAnsi="Times New Roman" w:eastAsia="宋体" w:cs="Times New Roman"/>
                <w:i w:val="0"/>
                <w:iCs w:val="0"/>
                <w:color w:val="auto"/>
                <w:kern w:val="0"/>
                <w:sz w:val="21"/>
                <w:szCs w:val="21"/>
                <w:u w:val="none"/>
                <w:lang w:val="en-US" w:eastAsia="zh-CN" w:bidi="ar"/>
              </w:rPr>
              <w:t>1</w:t>
            </w:r>
          </w:p>
        </w:tc>
        <w:tc>
          <w:tcPr>
            <w:tcW w:w="445" w:type="pct"/>
            <w:shd w:val="clear" w:color="auto" w:fill="auto"/>
            <w:vAlign w:val="center"/>
          </w:tcPr>
          <w:p w14:paraId="3860B101">
            <w:pPr>
              <w:widowControl/>
              <w:jc w:val="center"/>
              <w:textAlignment w:val="center"/>
              <w:rPr>
                <w:rFonts w:hint="default" w:ascii="Times New Roman" w:hAnsi="Times New Roman" w:eastAsia="仿宋_GB2312" w:cs="Times New Roman"/>
                <w:color w:val="auto"/>
                <w:kern w:val="0"/>
                <w:sz w:val="21"/>
                <w:szCs w:val="21"/>
                <w:highlight w:val="none"/>
                <w:lang w:val="en-US" w:eastAsia="zh-CN" w:bidi="ar"/>
              </w:rPr>
            </w:pPr>
            <w:r>
              <w:rPr>
                <w:rFonts w:hint="eastAsia" w:eastAsia="仿宋_GB2312"/>
                <w:color w:val="auto"/>
                <w:kern w:val="0"/>
                <w:szCs w:val="21"/>
                <w:highlight w:val="none"/>
                <w:lang w:val="en-US" w:eastAsia="zh-CN" w:bidi="ar"/>
              </w:rPr>
              <w:t>7.527</w:t>
            </w:r>
          </w:p>
        </w:tc>
        <w:tc>
          <w:tcPr>
            <w:tcW w:w="630" w:type="pct"/>
            <w:vMerge w:val="continue"/>
            <w:vAlign w:val="center"/>
          </w:tcPr>
          <w:p w14:paraId="620776AD">
            <w:pPr>
              <w:jc w:val="center"/>
              <w:rPr>
                <w:rFonts w:eastAsia="仿宋_GB2312"/>
                <w:color w:val="auto"/>
                <w:szCs w:val="21"/>
              </w:rPr>
            </w:pPr>
          </w:p>
        </w:tc>
        <w:tc>
          <w:tcPr>
            <w:tcW w:w="292" w:type="pct"/>
            <w:vMerge w:val="continue"/>
            <w:vAlign w:val="center"/>
          </w:tcPr>
          <w:p w14:paraId="693E702F">
            <w:pPr>
              <w:jc w:val="center"/>
              <w:rPr>
                <w:rFonts w:eastAsia="仿宋_GB2312"/>
                <w:color w:val="auto"/>
                <w:szCs w:val="21"/>
              </w:rPr>
            </w:pPr>
          </w:p>
        </w:tc>
      </w:tr>
      <w:tr w14:paraId="7BCFAC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6692D59C">
            <w:pPr>
              <w:jc w:val="center"/>
              <w:rPr>
                <w:rFonts w:eastAsia="仿宋_GB2312"/>
                <w:color w:val="auto"/>
                <w:szCs w:val="21"/>
              </w:rPr>
            </w:pPr>
          </w:p>
        </w:tc>
        <w:tc>
          <w:tcPr>
            <w:tcW w:w="358" w:type="pct"/>
            <w:vMerge w:val="continue"/>
            <w:vAlign w:val="center"/>
          </w:tcPr>
          <w:p w14:paraId="12338118">
            <w:pPr>
              <w:jc w:val="center"/>
              <w:rPr>
                <w:rFonts w:eastAsia="仿宋_GB2312"/>
                <w:color w:val="auto"/>
                <w:szCs w:val="21"/>
              </w:rPr>
            </w:pPr>
          </w:p>
        </w:tc>
        <w:tc>
          <w:tcPr>
            <w:tcW w:w="418" w:type="pct"/>
            <w:vMerge w:val="continue"/>
            <w:vAlign w:val="center"/>
          </w:tcPr>
          <w:p w14:paraId="22981A1E">
            <w:pPr>
              <w:jc w:val="center"/>
              <w:rPr>
                <w:rFonts w:eastAsia="仿宋_GB2312"/>
                <w:color w:val="auto"/>
                <w:szCs w:val="21"/>
              </w:rPr>
            </w:pPr>
          </w:p>
        </w:tc>
        <w:tc>
          <w:tcPr>
            <w:tcW w:w="446" w:type="pct"/>
            <w:vMerge w:val="continue"/>
            <w:vAlign w:val="center"/>
          </w:tcPr>
          <w:p w14:paraId="37E31AFD">
            <w:pPr>
              <w:jc w:val="center"/>
              <w:rPr>
                <w:rFonts w:eastAsia="仿宋_GB2312"/>
                <w:color w:val="auto"/>
                <w:szCs w:val="21"/>
              </w:rPr>
            </w:pPr>
          </w:p>
        </w:tc>
        <w:tc>
          <w:tcPr>
            <w:tcW w:w="361" w:type="pct"/>
            <w:vMerge w:val="continue"/>
            <w:vAlign w:val="center"/>
          </w:tcPr>
          <w:p w14:paraId="35812C49">
            <w:pPr>
              <w:jc w:val="center"/>
              <w:rPr>
                <w:rFonts w:eastAsia="仿宋_GB2312"/>
                <w:color w:val="auto"/>
                <w:szCs w:val="21"/>
              </w:rPr>
            </w:pPr>
          </w:p>
        </w:tc>
        <w:tc>
          <w:tcPr>
            <w:tcW w:w="498" w:type="pct"/>
            <w:vMerge w:val="continue"/>
            <w:shd w:val="clear" w:color="auto" w:fill="auto"/>
            <w:vAlign w:val="center"/>
          </w:tcPr>
          <w:p w14:paraId="334AAD16">
            <w:pPr>
              <w:keepNext w:val="0"/>
              <w:keepLines w:val="0"/>
              <w:widowControl/>
              <w:suppressLineNumbers w:val="0"/>
              <w:jc w:val="center"/>
              <w:textAlignment w:val="bottom"/>
              <w:rPr>
                <w:rFonts w:hint="eastAsia" w:eastAsia="仿宋_GB2312"/>
                <w:color w:val="auto"/>
                <w:kern w:val="0"/>
                <w:szCs w:val="21"/>
                <w:lang w:val="en-US" w:eastAsia="zh-CN" w:bidi="ar"/>
              </w:rPr>
            </w:pPr>
          </w:p>
        </w:tc>
        <w:tc>
          <w:tcPr>
            <w:tcW w:w="820" w:type="pct"/>
            <w:shd w:val="clear" w:color="auto" w:fill="auto"/>
            <w:vAlign w:val="center"/>
          </w:tcPr>
          <w:p w14:paraId="35F31070">
            <w:pPr>
              <w:widowControl/>
              <w:jc w:val="center"/>
              <w:textAlignment w:val="center"/>
              <w:rPr>
                <w:rFonts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丁</w:t>
            </w:r>
            <w:r>
              <w:rPr>
                <w:rFonts w:eastAsia="仿宋_GB2312"/>
                <w:color w:val="auto"/>
                <w:kern w:val="0"/>
                <w:szCs w:val="21"/>
                <w:lang w:bidi="ar"/>
              </w:rPr>
              <w:t>醇</w:t>
            </w:r>
          </w:p>
        </w:tc>
        <w:tc>
          <w:tcPr>
            <w:tcW w:w="380" w:type="pct"/>
            <w:shd w:val="clear" w:color="auto" w:fill="auto"/>
            <w:vAlign w:val="center"/>
          </w:tcPr>
          <w:p w14:paraId="38EB80A0">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0.07</w:t>
            </w:r>
            <w:r>
              <w:rPr>
                <w:rFonts w:hint="eastAsia" w:ascii="Times New Roman" w:hAnsi="Times New Roman" w:eastAsia="宋体" w:cs="Times New Roman"/>
                <w:i w:val="0"/>
                <w:iCs w:val="0"/>
                <w:color w:val="auto"/>
                <w:kern w:val="0"/>
                <w:sz w:val="21"/>
                <w:szCs w:val="21"/>
                <w:u w:val="none"/>
                <w:lang w:val="en-US" w:eastAsia="zh-CN" w:bidi="ar"/>
              </w:rPr>
              <w:t>3</w:t>
            </w:r>
          </w:p>
        </w:tc>
        <w:tc>
          <w:tcPr>
            <w:tcW w:w="445" w:type="pct"/>
            <w:shd w:val="clear" w:color="auto" w:fill="auto"/>
            <w:vAlign w:val="center"/>
          </w:tcPr>
          <w:p w14:paraId="2B9D3101">
            <w:pPr>
              <w:widowControl/>
              <w:jc w:val="center"/>
              <w:textAlignment w:val="center"/>
              <w:rPr>
                <w:rFonts w:hint="default" w:ascii="Times New Roman" w:hAnsi="Times New Roman" w:eastAsia="仿宋_GB2312" w:cs="Times New Roman"/>
                <w:color w:val="auto"/>
                <w:kern w:val="0"/>
                <w:sz w:val="21"/>
                <w:szCs w:val="21"/>
                <w:highlight w:val="none"/>
                <w:lang w:val="en-US" w:eastAsia="zh-CN" w:bidi="ar"/>
              </w:rPr>
            </w:pPr>
            <w:r>
              <w:rPr>
                <w:rFonts w:hint="eastAsia" w:eastAsia="仿宋_GB2312"/>
                <w:color w:val="auto"/>
                <w:kern w:val="0"/>
                <w:szCs w:val="21"/>
                <w:highlight w:val="none"/>
                <w:lang w:val="en-US" w:eastAsia="zh-CN" w:bidi="ar"/>
              </w:rPr>
              <w:t>0.007</w:t>
            </w:r>
          </w:p>
        </w:tc>
        <w:tc>
          <w:tcPr>
            <w:tcW w:w="630" w:type="pct"/>
            <w:vMerge w:val="continue"/>
            <w:vAlign w:val="center"/>
          </w:tcPr>
          <w:p w14:paraId="24B7090E">
            <w:pPr>
              <w:jc w:val="center"/>
              <w:rPr>
                <w:rFonts w:eastAsia="仿宋_GB2312"/>
                <w:color w:val="auto"/>
                <w:szCs w:val="21"/>
              </w:rPr>
            </w:pPr>
          </w:p>
        </w:tc>
        <w:tc>
          <w:tcPr>
            <w:tcW w:w="292" w:type="pct"/>
            <w:vMerge w:val="continue"/>
            <w:vAlign w:val="center"/>
          </w:tcPr>
          <w:p w14:paraId="669811DF">
            <w:pPr>
              <w:jc w:val="center"/>
              <w:rPr>
                <w:rFonts w:eastAsia="仿宋_GB2312"/>
                <w:color w:val="auto"/>
                <w:szCs w:val="21"/>
              </w:rPr>
            </w:pPr>
          </w:p>
        </w:tc>
      </w:tr>
      <w:tr w14:paraId="3672AF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7531F24A">
            <w:pPr>
              <w:jc w:val="center"/>
              <w:rPr>
                <w:rFonts w:eastAsia="仿宋_GB2312"/>
                <w:color w:val="auto"/>
                <w:szCs w:val="21"/>
              </w:rPr>
            </w:pPr>
          </w:p>
        </w:tc>
        <w:tc>
          <w:tcPr>
            <w:tcW w:w="358" w:type="pct"/>
            <w:vMerge w:val="continue"/>
            <w:vAlign w:val="center"/>
          </w:tcPr>
          <w:p w14:paraId="39F59CDF">
            <w:pPr>
              <w:jc w:val="center"/>
              <w:rPr>
                <w:rFonts w:eastAsia="仿宋_GB2312"/>
                <w:color w:val="auto"/>
                <w:szCs w:val="21"/>
              </w:rPr>
            </w:pPr>
          </w:p>
        </w:tc>
        <w:tc>
          <w:tcPr>
            <w:tcW w:w="418" w:type="pct"/>
            <w:vMerge w:val="continue"/>
            <w:vAlign w:val="center"/>
          </w:tcPr>
          <w:p w14:paraId="30C5DCD2">
            <w:pPr>
              <w:jc w:val="center"/>
              <w:rPr>
                <w:rFonts w:eastAsia="仿宋_GB2312"/>
                <w:color w:val="auto"/>
                <w:szCs w:val="21"/>
              </w:rPr>
            </w:pPr>
          </w:p>
        </w:tc>
        <w:tc>
          <w:tcPr>
            <w:tcW w:w="446" w:type="pct"/>
            <w:vMerge w:val="continue"/>
            <w:vAlign w:val="center"/>
          </w:tcPr>
          <w:p w14:paraId="75BE3252">
            <w:pPr>
              <w:jc w:val="center"/>
              <w:rPr>
                <w:rFonts w:eastAsia="仿宋_GB2312"/>
                <w:color w:val="auto"/>
                <w:szCs w:val="21"/>
              </w:rPr>
            </w:pPr>
          </w:p>
        </w:tc>
        <w:tc>
          <w:tcPr>
            <w:tcW w:w="361" w:type="pct"/>
            <w:vMerge w:val="continue"/>
            <w:vAlign w:val="center"/>
          </w:tcPr>
          <w:p w14:paraId="5E5EA36F">
            <w:pPr>
              <w:jc w:val="center"/>
              <w:rPr>
                <w:rFonts w:eastAsia="仿宋_GB2312"/>
                <w:color w:val="auto"/>
                <w:szCs w:val="21"/>
              </w:rPr>
            </w:pPr>
          </w:p>
        </w:tc>
        <w:tc>
          <w:tcPr>
            <w:tcW w:w="498" w:type="pct"/>
            <w:vMerge w:val="continue"/>
            <w:shd w:val="clear" w:color="auto" w:fill="auto"/>
            <w:vAlign w:val="center"/>
          </w:tcPr>
          <w:p w14:paraId="794E2B64">
            <w:pPr>
              <w:keepNext w:val="0"/>
              <w:keepLines w:val="0"/>
              <w:widowControl/>
              <w:suppressLineNumbers w:val="0"/>
              <w:jc w:val="center"/>
              <w:textAlignment w:val="bottom"/>
              <w:rPr>
                <w:rFonts w:eastAsia="仿宋_GB2312"/>
                <w:color w:val="auto"/>
                <w:kern w:val="0"/>
                <w:szCs w:val="21"/>
                <w:lang w:bidi="ar"/>
              </w:rPr>
            </w:pPr>
          </w:p>
        </w:tc>
        <w:tc>
          <w:tcPr>
            <w:tcW w:w="820" w:type="pct"/>
            <w:shd w:val="clear" w:color="auto" w:fill="auto"/>
            <w:vAlign w:val="center"/>
          </w:tcPr>
          <w:p w14:paraId="0430CA90">
            <w:pPr>
              <w:widowControl/>
              <w:jc w:val="center"/>
              <w:textAlignment w:val="center"/>
              <w:rPr>
                <w:rFonts w:ascii="Times New Roman" w:hAnsi="Times New Roman" w:eastAsia="仿宋_GB2312" w:cs="Times New Roman"/>
                <w:b/>
                <w:bCs/>
                <w:color w:val="auto"/>
                <w:kern w:val="0"/>
                <w:sz w:val="21"/>
                <w:szCs w:val="21"/>
                <w:lang w:val="en-US" w:eastAsia="zh-CN" w:bidi="ar"/>
              </w:rPr>
            </w:pPr>
            <w:r>
              <w:rPr>
                <w:rFonts w:eastAsia="仿宋_GB2312"/>
                <w:color w:val="auto"/>
                <w:kern w:val="0"/>
                <w:szCs w:val="21"/>
                <w:lang w:bidi="ar"/>
              </w:rPr>
              <w:t>其他有机物</w:t>
            </w:r>
          </w:p>
        </w:tc>
        <w:tc>
          <w:tcPr>
            <w:tcW w:w="380" w:type="pct"/>
            <w:shd w:val="clear" w:color="auto" w:fill="auto"/>
            <w:vAlign w:val="center"/>
          </w:tcPr>
          <w:p w14:paraId="0A1DC10F">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0.208</w:t>
            </w:r>
          </w:p>
        </w:tc>
        <w:tc>
          <w:tcPr>
            <w:tcW w:w="445" w:type="pct"/>
            <w:shd w:val="clear" w:color="auto" w:fill="auto"/>
            <w:vAlign w:val="center"/>
          </w:tcPr>
          <w:p w14:paraId="2B5B9A6B">
            <w:pPr>
              <w:widowControl/>
              <w:jc w:val="center"/>
              <w:textAlignment w:val="center"/>
              <w:rPr>
                <w:rFonts w:hint="default" w:ascii="Times New Roman" w:hAnsi="Times New Roman" w:eastAsia="仿宋_GB2312" w:cs="Times New Roman"/>
                <w:color w:val="auto"/>
                <w:kern w:val="0"/>
                <w:sz w:val="21"/>
                <w:szCs w:val="21"/>
                <w:highlight w:val="none"/>
                <w:lang w:val="en-US" w:eastAsia="zh-CN" w:bidi="ar"/>
              </w:rPr>
            </w:pPr>
            <w:r>
              <w:rPr>
                <w:rFonts w:hint="eastAsia" w:eastAsia="仿宋_GB2312"/>
                <w:color w:val="auto"/>
                <w:kern w:val="0"/>
                <w:szCs w:val="21"/>
                <w:highlight w:val="none"/>
                <w:lang w:val="en-US" w:eastAsia="zh-CN" w:bidi="ar"/>
              </w:rPr>
              <w:t>0.02</w:t>
            </w:r>
          </w:p>
        </w:tc>
        <w:tc>
          <w:tcPr>
            <w:tcW w:w="630" w:type="pct"/>
            <w:vMerge w:val="continue"/>
            <w:vAlign w:val="center"/>
          </w:tcPr>
          <w:p w14:paraId="35979A89">
            <w:pPr>
              <w:jc w:val="center"/>
              <w:rPr>
                <w:rFonts w:eastAsia="仿宋_GB2312"/>
                <w:color w:val="auto"/>
                <w:szCs w:val="21"/>
              </w:rPr>
            </w:pPr>
          </w:p>
        </w:tc>
        <w:tc>
          <w:tcPr>
            <w:tcW w:w="292" w:type="pct"/>
            <w:vMerge w:val="continue"/>
            <w:vAlign w:val="center"/>
          </w:tcPr>
          <w:p w14:paraId="54DA2AEF">
            <w:pPr>
              <w:jc w:val="center"/>
              <w:rPr>
                <w:rFonts w:eastAsia="仿宋_GB2312"/>
                <w:color w:val="auto"/>
                <w:szCs w:val="21"/>
              </w:rPr>
            </w:pPr>
          </w:p>
        </w:tc>
      </w:tr>
      <w:tr w14:paraId="31CB1F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07A2CA87">
            <w:pPr>
              <w:jc w:val="center"/>
              <w:rPr>
                <w:rFonts w:eastAsia="仿宋_GB2312"/>
                <w:color w:val="auto"/>
                <w:szCs w:val="21"/>
              </w:rPr>
            </w:pPr>
          </w:p>
        </w:tc>
        <w:tc>
          <w:tcPr>
            <w:tcW w:w="358" w:type="pct"/>
            <w:vMerge w:val="continue"/>
            <w:vAlign w:val="center"/>
          </w:tcPr>
          <w:p w14:paraId="1CA60E8A">
            <w:pPr>
              <w:jc w:val="center"/>
              <w:rPr>
                <w:rFonts w:eastAsia="仿宋_GB2312"/>
                <w:color w:val="auto"/>
                <w:szCs w:val="21"/>
              </w:rPr>
            </w:pPr>
          </w:p>
        </w:tc>
        <w:tc>
          <w:tcPr>
            <w:tcW w:w="418" w:type="pct"/>
            <w:vMerge w:val="restart"/>
            <w:vAlign w:val="center"/>
          </w:tcPr>
          <w:p w14:paraId="4EAE4E51">
            <w:pPr>
              <w:jc w:val="center"/>
              <w:rPr>
                <w:rFonts w:eastAsia="仿宋_GB2312"/>
                <w:color w:val="auto"/>
                <w:szCs w:val="21"/>
              </w:rPr>
            </w:pPr>
            <w:r>
              <w:rPr>
                <w:rFonts w:eastAsia="仿宋_GB2312"/>
                <w:color w:val="auto"/>
                <w:kern w:val="0"/>
                <w:szCs w:val="21"/>
                <w:lang w:bidi="ar"/>
              </w:rPr>
              <w:t>G</w:t>
            </w:r>
            <w:r>
              <w:rPr>
                <w:rFonts w:hint="eastAsia" w:eastAsia="仿宋_GB2312"/>
                <w:color w:val="auto"/>
                <w:kern w:val="0"/>
                <w:szCs w:val="21"/>
                <w:lang w:val="en-US" w:eastAsia="zh-CN" w:bidi="ar"/>
              </w:rPr>
              <w:t>3</w:t>
            </w:r>
            <w:r>
              <w:rPr>
                <w:rFonts w:eastAsia="仿宋_GB2312"/>
                <w:color w:val="auto"/>
                <w:kern w:val="0"/>
                <w:szCs w:val="21"/>
                <w:lang w:bidi="ar"/>
              </w:rPr>
              <w:t>-</w:t>
            </w:r>
            <w:r>
              <w:rPr>
                <w:rFonts w:hint="eastAsia" w:eastAsia="仿宋_GB2312"/>
                <w:color w:val="auto"/>
                <w:kern w:val="0"/>
                <w:szCs w:val="21"/>
                <w:lang w:val="en-US" w:eastAsia="zh-CN" w:bidi="ar"/>
              </w:rPr>
              <w:t>1</w:t>
            </w:r>
            <w:r>
              <w:rPr>
                <w:rFonts w:eastAsia="仿宋_GB2312"/>
                <w:color w:val="auto"/>
                <w:kern w:val="0"/>
                <w:szCs w:val="21"/>
                <w:lang w:bidi="ar"/>
              </w:rPr>
              <w:t>-5</w:t>
            </w:r>
          </w:p>
        </w:tc>
        <w:tc>
          <w:tcPr>
            <w:tcW w:w="446" w:type="pct"/>
            <w:vMerge w:val="restart"/>
            <w:vAlign w:val="center"/>
          </w:tcPr>
          <w:p w14:paraId="35A111E8">
            <w:pPr>
              <w:jc w:val="center"/>
              <w:rPr>
                <w:rFonts w:eastAsia="仿宋_GB2312"/>
                <w:color w:val="auto"/>
                <w:szCs w:val="21"/>
              </w:rPr>
            </w:pPr>
            <w:r>
              <w:rPr>
                <w:rFonts w:eastAsia="仿宋_GB2312"/>
                <w:color w:val="auto"/>
                <w:kern w:val="0"/>
                <w:szCs w:val="21"/>
                <w:lang w:bidi="ar"/>
              </w:rPr>
              <w:t>灌装废气</w:t>
            </w:r>
          </w:p>
        </w:tc>
        <w:tc>
          <w:tcPr>
            <w:tcW w:w="361" w:type="pct"/>
            <w:vMerge w:val="restart"/>
            <w:vAlign w:val="center"/>
          </w:tcPr>
          <w:p w14:paraId="45099E58">
            <w:pPr>
              <w:jc w:val="center"/>
              <w:rPr>
                <w:rFonts w:hint="default" w:eastAsia="仿宋_GB2312"/>
                <w:color w:val="auto"/>
                <w:szCs w:val="21"/>
                <w:lang w:val="en-US" w:eastAsia="zh-CN"/>
              </w:rPr>
            </w:pPr>
            <w:r>
              <w:rPr>
                <w:rFonts w:hint="eastAsia" w:eastAsia="仿宋_GB2312"/>
                <w:color w:val="auto"/>
                <w:szCs w:val="21"/>
                <w:lang w:val="en-US" w:eastAsia="zh-CN"/>
              </w:rPr>
              <w:t>2000</w:t>
            </w:r>
          </w:p>
        </w:tc>
        <w:tc>
          <w:tcPr>
            <w:tcW w:w="498" w:type="pct"/>
            <w:vMerge w:val="restart"/>
            <w:shd w:val="clear" w:color="auto" w:fill="auto"/>
            <w:vAlign w:val="center"/>
          </w:tcPr>
          <w:p w14:paraId="78011AA3">
            <w:pPr>
              <w:keepNext w:val="0"/>
              <w:keepLines w:val="0"/>
              <w:widowControl/>
              <w:suppressLineNumbers w:val="0"/>
              <w:jc w:val="center"/>
              <w:textAlignment w:val="bottom"/>
              <w:rPr>
                <w:rFonts w:eastAsia="仿宋_GB2312"/>
                <w:color w:val="auto"/>
                <w:kern w:val="0"/>
                <w:szCs w:val="21"/>
                <w:lang w:bidi="ar"/>
              </w:rPr>
            </w:pPr>
            <w:r>
              <w:rPr>
                <w:rFonts w:hint="default" w:ascii="Times New Roman" w:hAnsi="Times New Roman" w:eastAsia="宋体" w:cs="Times New Roman"/>
                <w:i w:val="0"/>
                <w:iCs w:val="0"/>
                <w:color w:val="auto"/>
                <w:kern w:val="0"/>
                <w:sz w:val="21"/>
                <w:szCs w:val="21"/>
                <w:u w:val="none"/>
                <w:lang w:val="en-US" w:eastAsia="zh-CN" w:bidi="ar"/>
              </w:rPr>
              <w:t>96</w:t>
            </w:r>
          </w:p>
        </w:tc>
        <w:tc>
          <w:tcPr>
            <w:tcW w:w="820" w:type="pct"/>
            <w:shd w:val="clear" w:color="auto" w:fill="auto"/>
            <w:vAlign w:val="center"/>
          </w:tcPr>
          <w:p w14:paraId="04F3E98B">
            <w:pPr>
              <w:widowControl/>
              <w:jc w:val="center"/>
              <w:textAlignment w:val="center"/>
              <w:rPr>
                <w:rFonts w:ascii="Times New Roman" w:hAnsi="Times New Roman" w:eastAsia="仿宋_GB2312" w:cs="Times New Roman"/>
                <w:b/>
                <w:bCs/>
                <w:color w:val="auto"/>
                <w:kern w:val="0"/>
                <w:sz w:val="21"/>
                <w:szCs w:val="21"/>
                <w:lang w:val="en-US" w:eastAsia="zh-CN" w:bidi="ar"/>
              </w:rPr>
            </w:pPr>
            <w:r>
              <w:rPr>
                <w:rFonts w:eastAsia="仿宋_GB2312"/>
                <w:color w:val="auto"/>
                <w:kern w:val="0"/>
                <w:szCs w:val="21"/>
                <w:lang w:bidi="ar"/>
              </w:rPr>
              <w:t>丁酮</w:t>
            </w:r>
          </w:p>
        </w:tc>
        <w:tc>
          <w:tcPr>
            <w:tcW w:w="380" w:type="pct"/>
            <w:shd w:val="clear" w:color="auto" w:fill="auto"/>
            <w:vAlign w:val="center"/>
          </w:tcPr>
          <w:p w14:paraId="4C394BA8">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5.364</w:t>
            </w:r>
          </w:p>
        </w:tc>
        <w:tc>
          <w:tcPr>
            <w:tcW w:w="445" w:type="pct"/>
            <w:shd w:val="clear" w:color="auto" w:fill="auto"/>
            <w:vAlign w:val="center"/>
          </w:tcPr>
          <w:p w14:paraId="401F18A8">
            <w:pPr>
              <w:widowControl/>
              <w:jc w:val="center"/>
              <w:textAlignment w:val="center"/>
              <w:rPr>
                <w:rFonts w:hint="default" w:ascii="Times New Roman" w:hAnsi="Times New Roman" w:eastAsia="仿宋_GB2312" w:cs="Times New Roman"/>
                <w:color w:val="auto"/>
                <w:kern w:val="0"/>
                <w:sz w:val="21"/>
                <w:szCs w:val="21"/>
                <w:highlight w:val="none"/>
                <w:lang w:val="en-US" w:eastAsia="zh-CN" w:bidi="ar"/>
              </w:rPr>
            </w:pPr>
            <w:r>
              <w:rPr>
                <w:rFonts w:hint="eastAsia" w:ascii="Times New Roman" w:hAnsi="Times New Roman" w:eastAsia="仿宋_GB2312" w:cs="Times New Roman"/>
                <w:color w:val="auto"/>
                <w:kern w:val="0"/>
                <w:szCs w:val="21"/>
                <w:highlight w:val="none"/>
                <w:lang w:val="en-US" w:eastAsia="zh-CN" w:bidi="ar"/>
              </w:rPr>
              <w:t>0.515</w:t>
            </w:r>
          </w:p>
        </w:tc>
        <w:tc>
          <w:tcPr>
            <w:tcW w:w="630" w:type="pct"/>
            <w:vMerge w:val="restart"/>
            <w:shd w:val="clear" w:color="auto" w:fill="auto"/>
            <w:vAlign w:val="center"/>
          </w:tcPr>
          <w:p w14:paraId="4C74ED07">
            <w:pPr>
              <w:jc w:val="center"/>
              <w:rPr>
                <w:rFonts w:ascii="Times New Roman" w:hAnsi="Times New Roman" w:eastAsia="仿宋_GB2312" w:cs="Times New Roman"/>
                <w:color w:val="auto"/>
                <w:kern w:val="2"/>
                <w:sz w:val="21"/>
                <w:szCs w:val="21"/>
                <w:lang w:val="en-US" w:eastAsia="zh-CN" w:bidi="ar-SA"/>
              </w:rPr>
            </w:pPr>
            <w:r>
              <w:rPr>
                <w:rFonts w:hint="eastAsia" w:eastAsia="仿宋_GB2312"/>
                <w:color w:val="auto"/>
                <w:szCs w:val="21"/>
              </w:rPr>
              <w:t>冷凝+酸吸收+碱吸收+水洗+活性炭吸附/脱附</w:t>
            </w:r>
          </w:p>
        </w:tc>
        <w:tc>
          <w:tcPr>
            <w:tcW w:w="292" w:type="pct"/>
            <w:vMerge w:val="restart"/>
            <w:shd w:val="clear" w:color="auto" w:fill="auto"/>
            <w:vAlign w:val="center"/>
          </w:tcPr>
          <w:p w14:paraId="6B6B1389">
            <w:pPr>
              <w:jc w:val="center"/>
              <w:rPr>
                <w:rFonts w:ascii="Times New Roman" w:hAnsi="Times New Roman" w:eastAsia="仿宋_GB2312" w:cs="Times New Roman"/>
                <w:color w:val="auto"/>
                <w:kern w:val="2"/>
                <w:sz w:val="21"/>
                <w:szCs w:val="21"/>
                <w:lang w:val="en-US" w:eastAsia="zh-CN" w:bidi="ar-SA"/>
              </w:rPr>
            </w:pPr>
            <w:r>
              <w:rPr>
                <w:rFonts w:hint="eastAsia" w:eastAsia="仿宋_GB2312"/>
                <w:color w:val="auto"/>
              </w:rPr>
              <w:t>DA005</w:t>
            </w:r>
          </w:p>
        </w:tc>
      </w:tr>
      <w:tr w14:paraId="1EB035A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4F9DAE5D">
            <w:pPr>
              <w:jc w:val="center"/>
              <w:rPr>
                <w:rFonts w:eastAsia="仿宋_GB2312"/>
                <w:color w:val="auto"/>
                <w:szCs w:val="21"/>
              </w:rPr>
            </w:pPr>
          </w:p>
        </w:tc>
        <w:tc>
          <w:tcPr>
            <w:tcW w:w="358" w:type="pct"/>
            <w:vMerge w:val="continue"/>
            <w:vAlign w:val="center"/>
          </w:tcPr>
          <w:p w14:paraId="7AE233EC">
            <w:pPr>
              <w:jc w:val="center"/>
              <w:rPr>
                <w:rFonts w:eastAsia="仿宋_GB2312"/>
                <w:color w:val="auto"/>
                <w:szCs w:val="21"/>
              </w:rPr>
            </w:pPr>
          </w:p>
        </w:tc>
        <w:tc>
          <w:tcPr>
            <w:tcW w:w="418" w:type="pct"/>
            <w:vMerge w:val="continue"/>
            <w:vAlign w:val="center"/>
          </w:tcPr>
          <w:p w14:paraId="0F69B02F">
            <w:pPr>
              <w:jc w:val="center"/>
              <w:rPr>
                <w:rFonts w:eastAsia="仿宋_GB2312"/>
                <w:color w:val="auto"/>
                <w:szCs w:val="21"/>
              </w:rPr>
            </w:pPr>
          </w:p>
        </w:tc>
        <w:tc>
          <w:tcPr>
            <w:tcW w:w="446" w:type="pct"/>
            <w:vMerge w:val="continue"/>
            <w:vAlign w:val="center"/>
          </w:tcPr>
          <w:p w14:paraId="2C58D3FD">
            <w:pPr>
              <w:jc w:val="center"/>
              <w:rPr>
                <w:rFonts w:eastAsia="仿宋_GB2312"/>
                <w:color w:val="auto"/>
                <w:szCs w:val="21"/>
              </w:rPr>
            </w:pPr>
          </w:p>
        </w:tc>
        <w:tc>
          <w:tcPr>
            <w:tcW w:w="361" w:type="pct"/>
            <w:vMerge w:val="continue"/>
            <w:vAlign w:val="center"/>
          </w:tcPr>
          <w:p w14:paraId="0B8077F0">
            <w:pPr>
              <w:jc w:val="center"/>
              <w:rPr>
                <w:rFonts w:eastAsia="仿宋_GB2312"/>
                <w:color w:val="auto"/>
                <w:szCs w:val="21"/>
              </w:rPr>
            </w:pPr>
          </w:p>
        </w:tc>
        <w:tc>
          <w:tcPr>
            <w:tcW w:w="498" w:type="pct"/>
            <w:vMerge w:val="continue"/>
            <w:shd w:val="clear" w:color="auto" w:fill="auto"/>
            <w:vAlign w:val="center"/>
          </w:tcPr>
          <w:p w14:paraId="6CCDAF7F">
            <w:pPr>
              <w:keepNext w:val="0"/>
              <w:keepLines w:val="0"/>
              <w:widowControl/>
              <w:suppressLineNumbers w:val="0"/>
              <w:jc w:val="center"/>
              <w:textAlignment w:val="bottom"/>
              <w:rPr>
                <w:rFonts w:hint="eastAsia" w:eastAsia="仿宋_GB2312"/>
                <w:color w:val="auto"/>
                <w:kern w:val="0"/>
                <w:szCs w:val="21"/>
                <w:lang w:val="en-US" w:eastAsia="zh-CN" w:bidi="ar"/>
              </w:rPr>
            </w:pPr>
          </w:p>
        </w:tc>
        <w:tc>
          <w:tcPr>
            <w:tcW w:w="820" w:type="pct"/>
            <w:shd w:val="clear" w:color="auto" w:fill="auto"/>
            <w:vAlign w:val="center"/>
          </w:tcPr>
          <w:p w14:paraId="78C70DD1">
            <w:pPr>
              <w:widowControl/>
              <w:jc w:val="center"/>
              <w:textAlignment w:val="center"/>
              <w:rPr>
                <w:rFonts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丁</w:t>
            </w:r>
            <w:r>
              <w:rPr>
                <w:rFonts w:eastAsia="仿宋_GB2312"/>
                <w:color w:val="auto"/>
                <w:kern w:val="0"/>
                <w:szCs w:val="21"/>
                <w:lang w:bidi="ar"/>
              </w:rPr>
              <w:t>醇</w:t>
            </w:r>
          </w:p>
        </w:tc>
        <w:tc>
          <w:tcPr>
            <w:tcW w:w="380" w:type="pct"/>
            <w:shd w:val="clear" w:color="auto" w:fill="auto"/>
            <w:vAlign w:val="center"/>
          </w:tcPr>
          <w:p w14:paraId="518FE01A">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0.01</w:t>
            </w:r>
          </w:p>
        </w:tc>
        <w:tc>
          <w:tcPr>
            <w:tcW w:w="445" w:type="pct"/>
            <w:shd w:val="clear" w:color="auto" w:fill="auto"/>
            <w:vAlign w:val="center"/>
          </w:tcPr>
          <w:p w14:paraId="18A20E09">
            <w:pPr>
              <w:widowControl/>
              <w:jc w:val="center"/>
              <w:textAlignment w:val="center"/>
              <w:rPr>
                <w:rFonts w:hint="default" w:ascii="Times New Roman" w:hAnsi="Times New Roman" w:eastAsia="仿宋_GB2312" w:cs="Times New Roman"/>
                <w:color w:val="auto"/>
                <w:kern w:val="0"/>
                <w:sz w:val="21"/>
                <w:szCs w:val="21"/>
                <w:highlight w:val="none"/>
                <w:lang w:val="en-US" w:eastAsia="zh-CN" w:bidi="ar"/>
              </w:rPr>
            </w:pPr>
            <w:r>
              <w:rPr>
                <w:rFonts w:hint="eastAsia" w:ascii="Times New Roman" w:hAnsi="Times New Roman" w:eastAsia="仿宋_GB2312" w:cs="Times New Roman"/>
                <w:color w:val="auto"/>
                <w:kern w:val="0"/>
                <w:szCs w:val="21"/>
                <w:highlight w:val="none"/>
                <w:lang w:val="en-US" w:eastAsia="zh-CN" w:bidi="ar"/>
              </w:rPr>
              <w:t>0.00099</w:t>
            </w:r>
          </w:p>
        </w:tc>
        <w:tc>
          <w:tcPr>
            <w:tcW w:w="630" w:type="pct"/>
            <w:vMerge w:val="continue"/>
            <w:vAlign w:val="center"/>
          </w:tcPr>
          <w:p w14:paraId="33A024C8">
            <w:pPr>
              <w:jc w:val="center"/>
              <w:rPr>
                <w:rFonts w:eastAsia="仿宋_GB2312"/>
                <w:color w:val="auto"/>
                <w:szCs w:val="21"/>
              </w:rPr>
            </w:pPr>
          </w:p>
        </w:tc>
        <w:tc>
          <w:tcPr>
            <w:tcW w:w="292" w:type="pct"/>
            <w:vMerge w:val="continue"/>
            <w:vAlign w:val="center"/>
          </w:tcPr>
          <w:p w14:paraId="70253C56">
            <w:pPr>
              <w:jc w:val="center"/>
              <w:rPr>
                <w:rFonts w:eastAsia="仿宋_GB2312"/>
                <w:color w:val="auto"/>
                <w:szCs w:val="21"/>
              </w:rPr>
            </w:pPr>
          </w:p>
        </w:tc>
      </w:tr>
      <w:tr w14:paraId="58FBF0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restart"/>
            <w:vAlign w:val="center"/>
          </w:tcPr>
          <w:p w14:paraId="098FEB0A">
            <w:pPr>
              <w:jc w:val="center"/>
              <w:rPr>
                <w:rFonts w:eastAsia="仿宋_GB2312"/>
                <w:color w:val="auto"/>
                <w:szCs w:val="21"/>
              </w:rPr>
            </w:pPr>
            <w:r>
              <w:rPr>
                <w:rFonts w:eastAsia="仿宋_GB2312"/>
                <w:color w:val="auto"/>
                <w:szCs w:val="21"/>
              </w:rPr>
              <w:t>B-7车间</w:t>
            </w:r>
          </w:p>
        </w:tc>
        <w:tc>
          <w:tcPr>
            <w:tcW w:w="358" w:type="pct"/>
            <w:vMerge w:val="restart"/>
            <w:vAlign w:val="center"/>
          </w:tcPr>
          <w:p w14:paraId="477B7567">
            <w:pPr>
              <w:jc w:val="center"/>
              <w:rPr>
                <w:rFonts w:eastAsia="仿宋_GB2312"/>
                <w:color w:val="auto"/>
                <w:szCs w:val="21"/>
              </w:rPr>
            </w:pPr>
            <w:r>
              <w:rPr>
                <w:rFonts w:eastAsia="仿宋_GB2312"/>
                <w:color w:val="auto"/>
                <w:szCs w:val="21"/>
              </w:rPr>
              <w:t>四氢呋喃</w:t>
            </w:r>
          </w:p>
        </w:tc>
        <w:tc>
          <w:tcPr>
            <w:tcW w:w="418" w:type="pct"/>
            <w:vMerge w:val="restart"/>
            <w:vAlign w:val="center"/>
          </w:tcPr>
          <w:p w14:paraId="73568E7F">
            <w:pPr>
              <w:jc w:val="center"/>
              <w:rPr>
                <w:rFonts w:eastAsia="仿宋_GB2312"/>
                <w:color w:val="auto"/>
                <w:szCs w:val="21"/>
              </w:rPr>
            </w:pPr>
            <w:r>
              <w:rPr>
                <w:rFonts w:eastAsia="仿宋_GB2312"/>
                <w:color w:val="auto"/>
                <w:kern w:val="0"/>
                <w:szCs w:val="21"/>
                <w:lang w:bidi="ar"/>
              </w:rPr>
              <w:t>G</w:t>
            </w:r>
            <w:r>
              <w:rPr>
                <w:rFonts w:hint="eastAsia" w:eastAsia="仿宋_GB2312"/>
                <w:color w:val="auto"/>
                <w:kern w:val="0"/>
                <w:szCs w:val="21"/>
                <w:lang w:val="en-US" w:eastAsia="zh-CN" w:bidi="ar"/>
              </w:rPr>
              <w:t>3</w:t>
            </w:r>
            <w:r>
              <w:rPr>
                <w:rFonts w:eastAsia="仿宋_GB2312"/>
                <w:color w:val="auto"/>
                <w:kern w:val="0"/>
                <w:szCs w:val="21"/>
                <w:lang w:bidi="ar"/>
              </w:rPr>
              <w:t>-</w:t>
            </w:r>
            <w:r>
              <w:rPr>
                <w:rFonts w:hint="eastAsia" w:eastAsia="仿宋_GB2312"/>
                <w:color w:val="auto"/>
                <w:kern w:val="0"/>
                <w:szCs w:val="21"/>
                <w:lang w:val="en-US" w:eastAsia="zh-CN" w:bidi="ar"/>
              </w:rPr>
              <w:t>2</w:t>
            </w:r>
            <w:r>
              <w:rPr>
                <w:rFonts w:eastAsia="仿宋_GB2312"/>
                <w:color w:val="auto"/>
                <w:kern w:val="0"/>
                <w:szCs w:val="21"/>
                <w:lang w:bidi="ar"/>
              </w:rPr>
              <w:t>-1</w:t>
            </w:r>
          </w:p>
        </w:tc>
        <w:tc>
          <w:tcPr>
            <w:tcW w:w="446" w:type="pct"/>
            <w:vMerge w:val="restart"/>
            <w:vAlign w:val="center"/>
          </w:tcPr>
          <w:p w14:paraId="24F17B6B">
            <w:pPr>
              <w:jc w:val="center"/>
              <w:rPr>
                <w:rFonts w:eastAsia="仿宋_GB2312"/>
                <w:color w:val="auto"/>
                <w:szCs w:val="21"/>
              </w:rPr>
            </w:pPr>
            <w:r>
              <w:rPr>
                <w:rFonts w:eastAsia="仿宋_GB2312"/>
                <w:color w:val="auto"/>
                <w:kern w:val="0"/>
                <w:szCs w:val="21"/>
                <w:lang w:bidi="ar"/>
              </w:rPr>
              <w:t>投料废气</w:t>
            </w:r>
          </w:p>
        </w:tc>
        <w:tc>
          <w:tcPr>
            <w:tcW w:w="361" w:type="pct"/>
            <w:vMerge w:val="restart"/>
            <w:vAlign w:val="center"/>
          </w:tcPr>
          <w:p w14:paraId="71E82AC4">
            <w:pPr>
              <w:jc w:val="center"/>
              <w:rPr>
                <w:rFonts w:hint="default" w:eastAsia="仿宋_GB2312"/>
                <w:color w:val="auto"/>
                <w:szCs w:val="21"/>
                <w:lang w:val="en-US" w:eastAsia="zh-CN"/>
              </w:rPr>
            </w:pPr>
            <w:r>
              <w:rPr>
                <w:rFonts w:hint="eastAsia" w:eastAsia="仿宋_GB2312"/>
                <w:color w:val="auto"/>
                <w:szCs w:val="21"/>
                <w:lang w:val="en-US" w:eastAsia="zh-CN"/>
              </w:rPr>
              <w:t>2000</w:t>
            </w:r>
          </w:p>
        </w:tc>
        <w:tc>
          <w:tcPr>
            <w:tcW w:w="498" w:type="pct"/>
            <w:vMerge w:val="restart"/>
            <w:shd w:val="clear" w:color="auto" w:fill="auto"/>
            <w:vAlign w:val="center"/>
          </w:tcPr>
          <w:p w14:paraId="29F6B0FF">
            <w:pPr>
              <w:keepNext w:val="0"/>
              <w:keepLines w:val="0"/>
              <w:widowControl/>
              <w:suppressLineNumbers w:val="0"/>
              <w:jc w:val="center"/>
              <w:textAlignment w:val="bottom"/>
              <w:rPr>
                <w:rFonts w:eastAsia="仿宋_GB2312"/>
                <w:color w:val="auto"/>
                <w:kern w:val="0"/>
                <w:szCs w:val="21"/>
                <w:lang w:bidi="ar"/>
              </w:rPr>
            </w:pPr>
            <w:r>
              <w:rPr>
                <w:rFonts w:hint="default" w:ascii="Times New Roman" w:hAnsi="Times New Roman" w:eastAsia="宋体" w:cs="Times New Roman"/>
                <w:i w:val="0"/>
                <w:iCs w:val="0"/>
                <w:color w:val="auto"/>
                <w:kern w:val="0"/>
                <w:sz w:val="21"/>
                <w:szCs w:val="21"/>
                <w:u w:val="none"/>
                <w:lang w:val="en-US" w:eastAsia="zh-CN" w:bidi="ar"/>
              </w:rPr>
              <w:t>1294</w:t>
            </w:r>
          </w:p>
        </w:tc>
        <w:tc>
          <w:tcPr>
            <w:tcW w:w="820" w:type="pct"/>
            <w:shd w:val="clear" w:color="auto" w:fill="auto"/>
            <w:vAlign w:val="center"/>
          </w:tcPr>
          <w:p w14:paraId="1DC528C5">
            <w:pPr>
              <w:widowControl/>
              <w:jc w:val="center"/>
              <w:textAlignment w:val="center"/>
              <w:rPr>
                <w:rFonts w:ascii="Times New Roman" w:hAnsi="Times New Roman" w:eastAsia="仿宋_GB2312" w:cs="Times New Roman"/>
                <w:b/>
                <w:bCs/>
                <w:color w:val="auto"/>
                <w:kern w:val="0"/>
                <w:sz w:val="21"/>
                <w:szCs w:val="21"/>
                <w:lang w:val="en-US" w:eastAsia="zh-CN" w:bidi="ar"/>
              </w:rPr>
            </w:pPr>
            <w:r>
              <w:rPr>
                <w:rFonts w:eastAsia="仿宋_GB2312"/>
                <w:color w:val="auto"/>
                <w:kern w:val="0"/>
                <w:szCs w:val="21"/>
                <w:lang w:bidi="ar"/>
              </w:rPr>
              <w:t>四氢呋喃</w:t>
            </w:r>
          </w:p>
        </w:tc>
        <w:tc>
          <w:tcPr>
            <w:tcW w:w="380" w:type="pct"/>
            <w:shd w:val="clear" w:color="auto" w:fill="auto"/>
            <w:vAlign w:val="center"/>
          </w:tcPr>
          <w:p w14:paraId="17122587">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4.99</w:t>
            </w:r>
          </w:p>
        </w:tc>
        <w:tc>
          <w:tcPr>
            <w:tcW w:w="445" w:type="pct"/>
            <w:shd w:val="clear" w:color="auto" w:fill="auto"/>
            <w:vAlign w:val="center"/>
          </w:tcPr>
          <w:p w14:paraId="380F9E51">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ascii="Times New Roman" w:hAnsi="Times New Roman" w:eastAsia="仿宋_GB2312" w:cs="Times New Roman"/>
                <w:color w:val="auto"/>
                <w:kern w:val="0"/>
                <w:szCs w:val="21"/>
                <w:lang w:val="en-US" w:eastAsia="zh-CN" w:bidi="ar"/>
              </w:rPr>
              <w:t>6.459</w:t>
            </w:r>
          </w:p>
        </w:tc>
        <w:tc>
          <w:tcPr>
            <w:tcW w:w="630" w:type="pct"/>
            <w:vMerge w:val="continue"/>
            <w:shd w:val="clear" w:color="auto" w:fill="auto"/>
            <w:vAlign w:val="center"/>
          </w:tcPr>
          <w:p w14:paraId="77F5F3DC">
            <w:pPr>
              <w:jc w:val="center"/>
              <w:rPr>
                <w:rFonts w:ascii="Times New Roman" w:hAnsi="Times New Roman" w:eastAsia="仿宋_GB2312" w:cs="Times New Roman"/>
                <w:color w:val="auto"/>
                <w:kern w:val="2"/>
                <w:sz w:val="21"/>
                <w:szCs w:val="21"/>
                <w:lang w:val="en-US" w:eastAsia="zh-CN" w:bidi="ar-SA"/>
              </w:rPr>
            </w:pPr>
          </w:p>
        </w:tc>
        <w:tc>
          <w:tcPr>
            <w:tcW w:w="292" w:type="pct"/>
            <w:vMerge w:val="continue"/>
            <w:shd w:val="clear" w:color="auto" w:fill="auto"/>
            <w:vAlign w:val="center"/>
          </w:tcPr>
          <w:p w14:paraId="10B6822F">
            <w:pPr>
              <w:jc w:val="center"/>
              <w:rPr>
                <w:rFonts w:ascii="Times New Roman" w:hAnsi="Times New Roman" w:eastAsia="仿宋_GB2312" w:cs="Times New Roman"/>
                <w:color w:val="auto"/>
                <w:kern w:val="2"/>
                <w:sz w:val="21"/>
                <w:szCs w:val="21"/>
                <w:lang w:val="en-US" w:eastAsia="zh-CN" w:bidi="ar-SA"/>
              </w:rPr>
            </w:pPr>
          </w:p>
        </w:tc>
      </w:tr>
      <w:tr w14:paraId="6079CB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10BD949A">
            <w:pPr>
              <w:jc w:val="center"/>
              <w:rPr>
                <w:rFonts w:eastAsia="仿宋_GB2312"/>
                <w:color w:val="auto"/>
                <w:szCs w:val="21"/>
              </w:rPr>
            </w:pPr>
          </w:p>
        </w:tc>
        <w:tc>
          <w:tcPr>
            <w:tcW w:w="358" w:type="pct"/>
            <w:vMerge w:val="continue"/>
            <w:vAlign w:val="center"/>
          </w:tcPr>
          <w:p w14:paraId="67AF8D29">
            <w:pPr>
              <w:jc w:val="center"/>
              <w:rPr>
                <w:rFonts w:eastAsia="仿宋_GB2312"/>
                <w:color w:val="auto"/>
                <w:szCs w:val="21"/>
              </w:rPr>
            </w:pPr>
          </w:p>
        </w:tc>
        <w:tc>
          <w:tcPr>
            <w:tcW w:w="418" w:type="pct"/>
            <w:vMerge w:val="continue"/>
            <w:vAlign w:val="center"/>
          </w:tcPr>
          <w:p w14:paraId="740A9E31">
            <w:pPr>
              <w:jc w:val="center"/>
              <w:rPr>
                <w:rFonts w:eastAsia="仿宋_GB2312"/>
                <w:color w:val="auto"/>
                <w:szCs w:val="21"/>
              </w:rPr>
            </w:pPr>
          </w:p>
        </w:tc>
        <w:tc>
          <w:tcPr>
            <w:tcW w:w="446" w:type="pct"/>
            <w:vMerge w:val="continue"/>
            <w:vAlign w:val="center"/>
          </w:tcPr>
          <w:p w14:paraId="4673185A">
            <w:pPr>
              <w:jc w:val="center"/>
              <w:rPr>
                <w:rFonts w:eastAsia="仿宋_GB2312"/>
                <w:color w:val="auto"/>
                <w:szCs w:val="21"/>
              </w:rPr>
            </w:pPr>
          </w:p>
        </w:tc>
        <w:tc>
          <w:tcPr>
            <w:tcW w:w="361" w:type="pct"/>
            <w:vMerge w:val="continue"/>
            <w:vAlign w:val="center"/>
          </w:tcPr>
          <w:p w14:paraId="1EB14C96">
            <w:pPr>
              <w:jc w:val="center"/>
              <w:rPr>
                <w:rFonts w:eastAsia="仿宋_GB2312"/>
                <w:color w:val="auto"/>
                <w:szCs w:val="21"/>
              </w:rPr>
            </w:pPr>
          </w:p>
        </w:tc>
        <w:tc>
          <w:tcPr>
            <w:tcW w:w="498" w:type="pct"/>
            <w:vMerge w:val="continue"/>
            <w:shd w:val="clear" w:color="auto" w:fill="auto"/>
            <w:vAlign w:val="center"/>
          </w:tcPr>
          <w:p w14:paraId="5C9E6452">
            <w:pPr>
              <w:keepNext w:val="0"/>
              <w:keepLines w:val="0"/>
              <w:widowControl/>
              <w:suppressLineNumbers w:val="0"/>
              <w:jc w:val="center"/>
              <w:textAlignment w:val="bottom"/>
              <w:rPr>
                <w:rFonts w:eastAsia="仿宋_GB2312"/>
                <w:color w:val="auto"/>
                <w:kern w:val="0"/>
                <w:szCs w:val="21"/>
                <w:lang w:bidi="ar"/>
              </w:rPr>
            </w:pPr>
          </w:p>
        </w:tc>
        <w:tc>
          <w:tcPr>
            <w:tcW w:w="820" w:type="pct"/>
            <w:shd w:val="clear" w:color="auto" w:fill="auto"/>
            <w:vAlign w:val="center"/>
          </w:tcPr>
          <w:p w14:paraId="7BB14668">
            <w:pPr>
              <w:widowControl/>
              <w:jc w:val="center"/>
              <w:textAlignment w:val="center"/>
              <w:rPr>
                <w:rFonts w:ascii="Times New Roman" w:hAnsi="Times New Roman" w:eastAsia="仿宋_GB2312" w:cs="Times New Roman"/>
                <w:b/>
                <w:bCs/>
                <w:color w:val="auto"/>
                <w:kern w:val="0"/>
                <w:sz w:val="21"/>
                <w:szCs w:val="21"/>
                <w:lang w:val="en-US" w:eastAsia="zh-CN" w:bidi="ar"/>
              </w:rPr>
            </w:pPr>
            <w:r>
              <w:rPr>
                <w:rFonts w:eastAsia="仿宋_GB2312"/>
                <w:color w:val="auto"/>
                <w:kern w:val="0"/>
                <w:szCs w:val="21"/>
                <w:lang w:bidi="ar"/>
              </w:rPr>
              <w:t>其他有机物</w:t>
            </w:r>
          </w:p>
        </w:tc>
        <w:tc>
          <w:tcPr>
            <w:tcW w:w="380" w:type="pct"/>
            <w:shd w:val="clear" w:color="auto" w:fill="auto"/>
            <w:vAlign w:val="center"/>
          </w:tcPr>
          <w:p w14:paraId="1F01A7DE">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0.049</w:t>
            </w:r>
          </w:p>
        </w:tc>
        <w:tc>
          <w:tcPr>
            <w:tcW w:w="445" w:type="pct"/>
            <w:shd w:val="clear" w:color="auto" w:fill="auto"/>
            <w:vAlign w:val="center"/>
          </w:tcPr>
          <w:p w14:paraId="1E7EE9E9">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ascii="Times New Roman" w:hAnsi="Times New Roman" w:eastAsia="仿宋_GB2312" w:cs="Times New Roman"/>
                <w:color w:val="auto"/>
                <w:kern w:val="0"/>
                <w:szCs w:val="21"/>
                <w:lang w:val="en-US" w:eastAsia="zh-CN" w:bidi="ar"/>
              </w:rPr>
              <w:t>0.064</w:t>
            </w:r>
          </w:p>
        </w:tc>
        <w:tc>
          <w:tcPr>
            <w:tcW w:w="630" w:type="pct"/>
            <w:vMerge w:val="continue"/>
            <w:vAlign w:val="center"/>
          </w:tcPr>
          <w:p w14:paraId="171A8820">
            <w:pPr>
              <w:jc w:val="center"/>
              <w:rPr>
                <w:rFonts w:eastAsia="仿宋_GB2312"/>
                <w:color w:val="auto"/>
                <w:szCs w:val="21"/>
              </w:rPr>
            </w:pPr>
          </w:p>
        </w:tc>
        <w:tc>
          <w:tcPr>
            <w:tcW w:w="292" w:type="pct"/>
            <w:vMerge w:val="continue"/>
            <w:vAlign w:val="center"/>
          </w:tcPr>
          <w:p w14:paraId="4F65A7E4">
            <w:pPr>
              <w:jc w:val="center"/>
              <w:rPr>
                <w:rFonts w:eastAsia="仿宋_GB2312"/>
                <w:color w:val="auto"/>
                <w:szCs w:val="21"/>
              </w:rPr>
            </w:pPr>
          </w:p>
        </w:tc>
      </w:tr>
      <w:tr w14:paraId="10D793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32F719FC">
            <w:pPr>
              <w:jc w:val="center"/>
              <w:rPr>
                <w:rFonts w:eastAsia="仿宋_GB2312"/>
                <w:color w:val="auto"/>
                <w:szCs w:val="21"/>
              </w:rPr>
            </w:pPr>
          </w:p>
        </w:tc>
        <w:tc>
          <w:tcPr>
            <w:tcW w:w="358" w:type="pct"/>
            <w:vMerge w:val="continue"/>
            <w:vAlign w:val="center"/>
          </w:tcPr>
          <w:p w14:paraId="02EC6C08">
            <w:pPr>
              <w:jc w:val="center"/>
              <w:rPr>
                <w:rFonts w:eastAsia="仿宋_GB2312"/>
                <w:color w:val="auto"/>
                <w:szCs w:val="21"/>
              </w:rPr>
            </w:pPr>
          </w:p>
        </w:tc>
        <w:tc>
          <w:tcPr>
            <w:tcW w:w="418" w:type="pct"/>
            <w:vMerge w:val="restart"/>
            <w:vAlign w:val="center"/>
          </w:tcPr>
          <w:p w14:paraId="3B38FF42">
            <w:pPr>
              <w:jc w:val="center"/>
              <w:rPr>
                <w:rFonts w:eastAsia="仿宋_GB2312"/>
                <w:color w:val="auto"/>
                <w:szCs w:val="21"/>
              </w:rPr>
            </w:pPr>
            <w:r>
              <w:rPr>
                <w:rFonts w:eastAsia="仿宋_GB2312"/>
                <w:color w:val="auto"/>
                <w:kern w:val="0"/>
                <w:szCs w:val="21"/>
                <w:lang w:bidi="ar"/>
              </w:rPr>
              <w:t>G</w:t>
            </w:r>
            <w:r>
              <w:rPr>
                <w:rFonts w:hint="eastAsia" w:eastAsia="仿宋_GB2312"/>
                <w:color w:val="auto"/>
                <w:kern w:val="0"/>
                <w:szCs w:val="21"/>
                <w:lang w:val="en-US" w:eastAsia="zh-CN" w:bidi="ar"/>
              </w:rPr>
              <w:t>3</w:t>
            </w:r>
            <w:r>
              <w:rPr>
                <w:rFonts w:eastAsia="仿宋_GB2312"/>
                <w:color w:val="auto"/>
                <w:kern w:val="0"/>
                <w:szCs w:val="21"/>
                <w:lang w:bidi="ar"/>
              </w:rPr>
              <w:t>-</w:t>
            </w:r>
            <w:r>
              <w:rPr>
                <w:rFonts w:hint="eastAsia" w:eastAsia="仿宋_GB2312"/>
                <w:color w:val="auto"/>
                <w:kern w:val="0"/>
                <w:szCs w:val="21"/>
                <w:lang w:val="en-US" w:eastAsia="zh-CN" w:bidi="ar"/>
              </w:rPr>
              <w:t>2</w:t>
            </w:r>
            <w:r>
              <w:rPr>
                <w:rFonts w:eastAsia="仿宋_GB2312"/>
                <w:color w:val="auto"/>
                <w:kern w:val="0"/>
                <w:szCs w:val="21"/>
                <w:lang w:bidi="ar"/>
              </w:rPr>
              <w:t>-2</w:t>
            </w:r>
          </w:p>
        </w:tc>
        <w:tc>
          <w:tcPr>
            <w:tcW w:w="446" w:type="pct"/>
            <w:vMerge w:val="restart"/>
            <w:vAlign w:val="center"/>
          </w:tcPr>
          <w:p w14:paraId="57C58ADC">
            <w:pPr>
              <w:jc w:val="center"/>
              <w:rPr>
                <w:rFonts w:eastAsia="仿宋_GB2312"/>
                <w:color w:val="auto"/>
                <w:szCs w:val="21"/>
              </w:rPr>
            </w:pPr>
            <w:r>
              <w:rPr>
                <w:rFonts w:eastAsia="仿宋_GB2312"/>
                <w:color w:val="auto"/>
                <w:kern w:val="0"/>
                <w:szCs w:val="21"/>
                <w:lang w:bidi="ar"/>
              </w:rPr>
              <w:t>调节废气</w:t>
            </w:r>
          </w:p>
        </w:tc>
        <w:tc>
          <w:tcPr>
            <w:tcW w:w="361" w:type="pct"/>
            <w:vMerge w:val="restart"/>
            <w:vAlign w:val="center"/>
          </w:tcPr>
          <w:p w14:paraId="1F1FA858">
            <w:pPr>
              <w:jc w:val="center"/>
              <w:rPr>
                <w:rFonts w:eastAsia="仿宋_GB2312"/>
                <w:color w:val="auto"/>
                <w:szCs w:val="21"/>
              </w:rPr>
            </w:pPr>
            <w:r>
              <w:rPr>
                <w:rFonts w:hint="eastAsia" w:eastAsia="仿宋_GB2312"/>
                <w:color w:val="auto"/>
                <w:szCs w:val="21"/>
                <w:lang w:val="en-US" w:eastAsia="zh-CN"/>
              </w:rPr>
              <w:t>1</w:t>
            </w:r>
            <w:r>
              <w:rPr>
                <w:rFonts w:eastAsia="仿宋_GB2312"/>
                <w:color w:val="auto"/>
                <w:szCs w:val="21"/>
              </w:rPr>
              <w:t>00</w:t>
            </w:r>
          </w:p>
        </w:tc>
        <w:tc>
          <w:tcPr>
            <w:tcW w:w="498" w:type="pct"/>
            <w:vMerge w:val="restart"/>
            <w:shd w:val="clear" w:color="auto" w:fill="auto"/>
            <w:vAlign w:val="center"/>
          </w:tcPr>
          <w:p w14:paraId="615980A2">
            <w:pPr>
              <w:keepNext w:val="0"/>
              <w:keepLines w:val="0"/>
              <w:widowControl/>
              <w:suppressLineNumbers w:val="0"/>
              <w:jc w:val="center"/>
              <w:textAlignment w:val="bottom"/>
              <w:rPr>
                <w:rFonts w:eastAsia="仿宋_GB2312"/>
                <w:color w:val="auto"/>
                <w:kern w:val="0"/>
                <w:szCs w:val="21"/>
                <w:lang w:bidi="ar"/>
              </w:rPr>
            </w:pPr>
            <w:r>
              <w:rPr>
                <w:rFonts w:hint="default" w:ascii="Times New Roman" w:hAnsi="Times New Roman" w:eastAsia="宋体" w:cs="Times New Roman"/>
                <w:i w:val="0"/>
                <w:iCs w:val="0"/>
                <w:color w:val="auto"/>
                <w:kern w:val="0"/>
                <w:sz w:val="21"/>
                <w:szCs w:val="21"/>
                <w:u w:val="none"/>
                <w:lang w:val="en-US" w:eastAsia="zh-CN" w:bidi="ar"/>
              </w:rPr>
              <w:t>1294</w:t>
            </w:r>
          </w:p>
        </w:tc>
        <w:tc>
          <w:tcPr>
            <w:tcW w:w="820" w:type="pct"/>
            <w:shd w:val="clear" w:color="auto" w:fill="auto"/>
            <w:vAlign w:val="center"/>
          </w:tcPr>
          <w:p w14:paraId="521C93F0">
            <w:pPr>
              <w:widowControl/>
              <w:jc w:val="center"/>
              <w:textAlignment w:val="center"/>
              <w:rPr>
                <w:rFonts w:ascii="Times New Roman" w:hAnsi="Times New Roman" w:eastAsia="仿宋_GB2312" w:cs="Times New Roman"/>
                <w:b/>
                <w:bCs/>
                <w:color w:val="auto"/>
                <w:kern w:val="0"/>
                <w:sz w:val="21"/>
                <w:szCs w:val="21"/>
                <w:lang w:val="en-US" w:eastAsia="zh-CN" w:bidi="ar"/>
              </w:rPr>
            </w:pPr>
            <w:r>
              <w:rPr>
                <w:rFonts w:eastAsia="仿宋_GB2312"/>
                <w:color w:val="auto"/>
                <w:kern w:val="0"/>
                <w:szCs w:val="21"/>
                <w:lang w:bidi="ar"/>
              </w:rPr>
              <w:t>四氢呋喃</w:t>
            </w:r>
          </w:p>
        </w:tc>
        <w:tc>
          <w:tcPr>
            <w:tcW w:w="380" w:type="pct"/>
            <w:shd w:val="clear" w:color="auto" w:fill="auto"/>
            <w:vAlign w:val="center"/>
          </w:tcPr>
          <w:p w14:paraId="09304EA6">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2.52</w:t>
            </w:r>
          </w:p>
        </w:tc>
        <w:tc>
          <w:tcPr>
            <w:tcW w:w="445" w:type="pct"/>
            <w:shd w:val="clear" w:color="auto" w:fill="auto"/>
            <w:vAlign w:val="center"/>
          </w:tcPr>
          <w:p w14:paraId="180DC826">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3.262</w:t>
            </w:r>
          </w:p>
        </w:tc>
        <w:tc>
          <w:tcPr>
            <w:tcW w:w="630" w:type="pct"/>
            <w:vMerge w:val="restart"/>
            <w:shd w:val="clear" w:color="auto" w:fill="auto"/>
            <w:vAlign w:val="center"/>
          </w:tcPr>
          <w:p w14:paraId="6C995387">
            <w:pPr>
              <w:widowControl/>
              <w:jc w:val="center"/>
              <w:textAlignment w:val="center"/>
              <w:rPr>
                <w:rFonts w:ascii="Times New Roman" w:hAnsi="Times New Roman" w:eastAsia="仿宋_GB2312" w:cs="Times New Roman"/>
                <w:color w:val="auto"/>
                <w:kern w:val="2"/>
                <w:sz w:val="21"/>
                <w:szCs w:val="21"/>
                <w:lang w:val="en-US" w:eastAsia="zh-CN" w:bidi="ar-SA"/>
              </w:rPr>
            </w:pPr>
            <w:r>
              <w:rPr>
                <w:rFonts w:hint="eastAsia" w:eastAsia="仿宋_GB2312"/>
                <w:color w:val="auto"/>
                <w:szCs w:val="21"/>
              </w:rPr>
              <w:t>预处理（冷凝+稀酸吸收+碱吸收+水吸收+除雾）+</w:t>
            </w:r>
            <w:r>
              <w:rPr>
                <w:rFonts w:eastAsia="仿宋_GB2312"/>
                <w:color w:val="auto"/>
                <w:szCs w:val="21"/>
              </w:rPr>
              <w:t>焚烧</w:t>
            </w:r>
          </w:p>
        </w:tc>
        <w:tc>
          <w:tcPr>
            <w:tcW w:w="292" w:type="pct"/>
            <w:vMerge w:val="restart"/>
            <w:shd w:val="clear" w:color="auto" w:fill="auto"/>
            <w:vAlign w:val="center"/>
          </w:tcPr>
          <w:p w14:paraId="42494C25">
            <w:pPr>
              <w:widowControl/>
              <w:jc w:val="center"/>
              <w:textAlignment w:val="center"/>
              <w:rPr>
                <w:rFonts w:ascii="Times New Roman" w:hAnsi="Times New Roman" w:eastAsia="仿宋_GB2312" w:cs="Times New Roman"/>
                <w:color w:val="auto"/>
                <w:kern w:val="2"/>
                <w:sz w:val="21"/>
                <w:szCs w:val="21"/>
                <w:lang w:val="en-US" w:eastAsia="zh-CN" w:bidi="ar-SA"/>
              </w:rPr>
            </w:pPr>
            <w:r>
              <w:rPr>
                <w:rFonts w:hint="eastAsia" w:eastAsia="仿宋_GB2312"/>
                <w:color w:val="auto"/>
                <w:kern w:val="0"/>
                <w:szCs w:val="21"/>
                <w:lang w:bidi="ar"/>
              </w:rPr>
              <w:t>DA002</w:t>
            </w:r>
          </w:p>
        </w:tc>
      </w:tr>
      <w:tr w14:paraId="70CACD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63A2DAE6">
            <w:pPr>
              <w:jc w:val="center"/>
              <w:rPr>
                <w:rFonts w:eastAsia="仿宋_GB2312"/>
                <w:color w:val="auto"/>
                <w:szCs w:val="21"/>
              </w:rPr>
            </w:pPr>
          </w:p>
        </w:tc>
        <w:tc>
          <w:tcPr>
            <w:tcW w:w="358" w:type="pct"/>
            <w:vMerge w:val="continue"/>
            <w:vAlign w:val="center"/>
          </w:tcPr>
          <w:p w14:paraId="1AD9BCBB">
            <w:pPr>
              <w:jc w:val="center"/>
              <w:rPr>
                <w:rFonts w:eastAsia="仿宋_GB2312"/>
                <w:color w:val="auto"/>
                <w:szCs w:val="21"/>
              </w:rPr>
            </w:pPr>
          </w:p>
        </w:tc>
        <w:tc>
          <w:tcPr>
            <w:tcW w:w="418" w:type="pct"/>
            <w:vMerge w:val="continue"/>
            <w:vAlign w:val="center"/>
          </w:tcPr>
          <w:p w14:paraId="002E543A">
            <w:pPr>
              <w:jc w:val="center"/>
              <w:rPr>
                <w:rFonts w:eastAsia="仿宋_GB2312"/>
                <w:color w:val="auto"/>
                <w:szCs w:val="21"/>
              </w:rPr>
            </w:pPr>
          </w:p>
        </w:tc>
        <w:tc>
          <w:tcPr>
            <w:tcW w:w="446" w:type="pct"/>
            <w:vMerge w:val="continue"/>
            <w:vAlign w:val="center"/>
          </w:tcPr>
          <w:p w14:paraId="67AC468E">
            <w:pPr>
              <w:jc w:val="center"/>
              <w:rPr>
                <w:rFonts w:eastAsia="仿宋_GB2312"/>
                <w:color w:val="auto"/>
                <w:szCs w:val="21"/>
              </w:rPr>
            </w:pPr>
          </w:p>
        </w:tc>
        <w:tc>
          <w:tcPr>
            <w:tcW w:w="361" w:type="pct"/>
            <w:vMerge w:val="continue"/>
            <w:vAlign w:val="center"/>
          </w:tcPr>
          <w:p w14:paraId="7AF4CEDA">
            <w:pPr>
              <w:jc w:val="center"/>
              <w:rPr>
                <w:rFonts w:eastAsia="仿宋_GB2312"/>
                <w:color w:val="auto"/>
                <w:szCs w:val="21"/>
              </w:rPr>
            </w:pPr>
          </w:p>
        </w:tc>
        <w:tc>
          <w:tcPr>
            <w:tcW w:w="498" w:type="pct"/>
            <w:vMerge w:val="continue"/>
            <w:shd w:val="clear" w:color="auto" w:fill="auto"/>
            <w:vAlign w:val="center"/>
          </w:tcPr>
          <w:p w14:paraId="252AFC29">
            <w:pPr>
              <w:keepNext w:val="0"/>
              <w:keepLines w:val="0"/>
              <w:widowControl/>
              <w:suppressLineNumbers w:val="0"/>
              <w:jc w:val="center"/>
              <w:textAlignment w:val="bottom"/>
              <w:rPr>
                <w:rFonts w:eastAsia="仿宋_GB2312"/>
                <w:color w:val="auto"/>
                <w:kern w:val="0"/>
                <w:szCs w:val="21"/>
                <w:lang w:bidi="ar"/>
              </w:rPr>
            </w:pPr>
          </w:p>
        </w:tc>
        <w:tc>
          <w:tcPr>
            <w:tcW w:w="820" w:type="pct"/>
            <w:shd w:val="clear" w:color="auto" w:fill="auto"/>
            <w:vAlign w:val="center"/>
          </w:tcPr>
          <w:p w14:paraId="1A858673">
            <w:pPr>
              <w:widowControl/>
              <w:jc w:val="center"/>
              <w:textAlignment w:val="center"/>
              <w:rPr>
                <w:rFonts w:ascii="Times New Roman" w:hAnsi="Times New Roman" w:eastAsia="仿宋_GB2312" w:cs="Times New Roman"/>
                <w:b/>
                <w:bCs/>
                <w:color w:val="auto"/>
                <w:kern w:val="0"/>
                <w:sz w:val="21"/>
                <w:szCs w:val="21"/>
                <w:lang w:val="en-US" w:eastAsia="zh-CN" w:bidi="ar"/>
              </w:rPr>
            </w:pPr>
            <w:r>
              <w:rPr>
                <w:rFonts w:eastAsia="仿宋_GB2312"/>
                <w:color w:val="auto"/>
                <w:kern w:val="0"/>
                <w:szCs w:val="21"/>
                <w:lang w:bidi="ar"/>
              </w:rPr>
              <w:t>其他有机物</w:t>
            </w:r>
          </w:p>
        </w:tc>
        <w:tc>
          <w:tcPr>
            <w:tcW w:w="380" w:type="pct"/>
            <w:shd w:val="clear" w:color="auto" w:fill="auto"/>
            <w:vAlign w:val="center"/>
          </w:tcPr>
          <w:p w14:paraId="15999981">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0.025</w:t>
            </w:r>
          </w:p>
        </w:tc>
        <w:tc>
          <w:tcPr>
            <w:tcW w:w="445" w:type="pct"/>
            <w:shd w:val="clear" w:color="auto" w:fill="auto"/>
            <w:vAlign w:val="center"/>
          </w:tcPr>
          <w:p w14:paraId="295179FF">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0.033</w:t>
            </w:r>
          </w:p>
        </w:tc>
        <w:tc>
          <w:tcPr>
            <w:tcW w:w="630" w:type="pct"/>
            <w:vMerge w:val="continue"/>
            <w:vAlign w:val="center"/>
          </w:tcPr>
          <w:p w14:paraId="511E8D77">
            <w:pPr>
              <w:jc w:val="center"/>
              <w:rPr>
                <w:rFonts w:eastAsia="仿宋_GB2312"/>
                <w:color w:val="auto"/>
                <w:szCs w:val="21"/>
              </w:rPr>
            </w:pPr>
          </w:p>
        </w:tc>
        <w:tc>
          <w:tcPr>
            <w:tcW w:w="292" w:type="pct"/>
            <w:vMerge w:val="continue"/>
            <w:vAlign w:val="center"/>
          </w:tcPr>
          <w:p w14:paraId="1D72EF89">
            <w:pPr>
              <w:jc w:val="center"/>
              <w:rPr>
                <w:rFonts w:eastAsia="仿宋_GB2312"/>
                <w:color w:val="auto"/>
                <w:szCs w:val="21"/>
              </w:rPr>
            </w:pPr>
          </w:p>
        </w:tc>
      </w:tr>
      <w:tr w14:paraId="42F3AD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63C007A2">
            <w:pPr>
              <w:jc w:val="center"/>
              <w:rPr>
                <w:rFonts w:eastAsia="仿宋_GB2312"/>
                <w:color w:val="auto"/>
                <w:szCs w:val="21"/>
              </w:rPr>
            </w:pPr>
          </w:p>
        </w:tc>
        <w:tc>
          <w:tcPr>
            <w:tcW w:w="358" w:type="pct"/>
            <w:vMerge w:val="continue"/>
            <w:vAlign w:val="center"/>
          </w:tcPr>
          <w:p w14:paraId="022C2DED">
            <w:pPr>
              <w:jc w:val="center"/>
              <w:rPr>
                <w:rFonts w:eastAsia="仿宋_GB2312"/>
                <w:color w:val="auto"/>
                <w:szCs w:val="21"/>
              </w:rPr>
            </w:pPr>
          </w:p>
        </w:tc>
        <w:tc>
          <w:tcPr>
            <w:tcW w:w="418" w:type="pct"/>
            <w:vMerge w:val="restart"/>
            <w:vAlign w:val="center"/>
          </w:tcPr>
          <w:p w14:paraId="302E6AEB">
            <w:pPr>
              <w:jc w:val="center"/>
              <w:rPr>
                <w:rFonts w:eastAsia="仿宋_GB2312"/>
                <w:color w:val="auto"/>
                <w:szCs w:val="21"/>
              </w:rPr>
            </w:pPr>
            <w:r>
              <w:rPr>
                <w:rFonts w:eastAsia="仿宋_GB2312"/>
                <w:color w:val="auto"/>
                <w:kern w:val="0"/>
                <w:szCs w:val="21"/>
                <w:lang w:bidi="ar"/>
              </w:rPr>
              <w:t>G</w:t>
            </w:r>
            <w:r>
              <w:rPr>
                <w:rFonts w:hint="eastAsia" w:eastAsia="仿宋_GB2312"/>
                <w:color w:val="auto"/>
                <w:kern w:val="0"/>
                <w:szCs w:val="21"/>
                <w:lang w:val="en-US" w:eastAsia="zh-CN" w:bidi="ar"/>
              </w:rPr>
              <w:t>3</w:t>
            </w:r>
            <w:r>
              <w:rPr>
                <w:rFonts w:eastAsia="仿宋_GB2312"/>
                <w:color w:val="auto"/>
                <w:kern w:val="0"/>
                <w:szCs w:val="21"/>
                <w:lang w:bidi="ar"/>
              </w:rPr>
              <w:t>-</w:t>
            </w:r>
            <w:r>
              <w:rPr>
                <w:rFonts w:hint="eastAsia" w:eastAsia="仿宋_GB2312"/>
                <w:color w:val="auto"/>
                <w:kern w:val="0"/>
                <w:szCs w:val="21"/>
                <w:lang w:val="en-US" w:eastAsia="zh-CN" w:bidi="ar"/>
              </w:rPr>
              <w:t>2</w:t>
            </w:r>
            <w:r>
              <w:rPr>
                <w:rFonts w:eastAsia="仿宋_GB2312"/>
                <w:color w:val="auto"/>
                <w:kern w:val="0"/>
                <w:szCs w:val="21"/>
                <w:lang w:bidi="ar"/>
              </w:rPr>
              <w:t>-3</w:t>
            </w:r>
          </w:p>
        </w:tc>
        <w:tc>
          <w:tcPr>
            <w:tcW w:w="446" w:type="pct"/>
            <w:vMerge w:val="restart"/>
            <w:vAlign w:val="center"/>
          </w:tcPr>
          <w:p w14:paraId="10557A40">
            <w:pPr>
              <w:jc w:val="center"/>
              <w:rPr>
                <w:rFonts w:eastAsia="仿宋_GB2312"/>
                <w:color w:val="auto"/>
                <w:szCs w:val="21"/>
              </w:rPr>
            </w:pPr>
            <w:r>
              <w:rPr>
                <w:rFonts w:eastAsia="仿宋_GB2312"/>
                <w:color w:val="auto"/>
                <w:kern w:val="0"/>
                <w:szCs w:val="21"/>
                <w:lang w:bidi="ar"/>
              </w:rPr>
              <w:t>不凝气</w:t>
            </w:r>
          </w:p>
        </w:tc>
        <w:tc>
          <w:tcPr>
            <w:tcW w:w="361" w:type="pct"/>
            <w:vMerge w:val="restart"/>
            <w:vAlign w:val="center"/>
          </w:tcPr>
          <w:p w14:paraId="40244C9A">
            <w:pPr>
              <w:jc w:val="center"/>
              <w:rPr>
                <w:rFonts w:eastAsia="仿宋_GB2312"/>
                <w:color w:val="auto"/>
                <w:szCs w:val="21"/>
              </w:rPr>
            </w:pPr>
            <w:r>
              <w:rPr>
                <w:rFonts w:eastAsia="仿宋_GB2312"/>
                <w:color w:val="auto"/>
                <w:szCs w:val="21"/>
              </w:rPr>
              <w:t>360</w:t>
            </w:r>
          </w:p>
        </w:tc>
        <w:tc>
          <w:tcPr>
            <w:tcW w:w="498" w:type="pct"/>
            <w:vMerge w:val="restart"/>
            <w:shd w:val="clear" w:color="auto" w:fill="auto"/>
            <w:vAlign w:val="center"/>
          </w:tcPr>
          <w:p w14:paraId="178BA75B">
            <w:pPr>
              <w:keepNext w:val="0"/>
              <w:keepLines w:val="0"/>
              <w:widowControl/>
              <w:suppressLineNumbers w:val="0"/>
              <w:jc w:val="center"/>
              <w:textAlignment w:val="bottom"/>
              <w:rPr>
                <w:rFonts w:eastAsia="仿宋_GB2312"/>
                <w:color w:val="auto"/>
                <w:kern w:val="0"/>
                <w:szCs w:val="21"/>
                <w:lang w:bidi="ar"/>
              </w:rPr>
            </w:pPr>
            <w:r>
              <w:rPr>
                <w:rFonts w:hint="default" w:ascii="Times New Roman" w:hAnsi="Times New Roman" w:eastAsia="宋体" w:cs="Times New Roman"/>
                <w:i w:val="0"/>
                <w:iCs w:val="0"/>
                <w:color w:val="auto"/>
                <w:kern w:val="0"/>
                <w:sz w:val="21"/>
                <w:szCs w:val="21"/>
                <w:u w:val="none"/>
                <w:lang w:val="en-US" w:eastAsia="zh-CN" w:bidi="ar"/>
              </w:rPr>
              <w:t>1294</w:t>
            </w:r>
          </w:p>
        </w:tc>
        <w:tc>
          <w:tcPr>
            <w:tcW w:w="820" w:type="pct"/>
            <w:shd w:val="clear" w:color="auto" w:fill="auto"/>
            <w:vAlign w:val="center"/>
          </w:tcPr>
          <w:p w14:paraId="18AA231F">
            <w:pPr>
              <w:widowControl/>
              <w:jc w:val="center"/>
              <w:textAlignment w:val="center"/>
              <w:rPr>
                <w:rFonts w:ascii="Times New Roman" w:hAnsi="Times New Roman" w:eastAsia="仿宋_GB2312" w:cs="Times New Roman"/>
                <w:b/>
                <w:bCs/>
                <w:color w:val="auto"/>
                <w:kern w:val="0"/>
                <w:sz w:val="21"/>
                <w:szCs w:val="21"/>
                <w:lang w:val="en-US" w:eastAsia="zh-CN" w:bidi="ar"/>
              </w:rPr>
            </w:pPr>
            <w:r>
              <w:rPr>
                <w:rFonts w:eastAsia="仿宋_GB2312"/>
                <w:color w:val="auto"/>
                <w:kern w:val="0"/>
                <w:szCs w:val="21"/>
                <w:lang w:bidi="ar"/>
              </w:rPr>
              <w:t>四氢呋喃</w:t>
            </w:r>
          </w:p>
        </w:tc>
        <w:tc>
          <w:tcPr>
            <w:tcW w:w="380" w:type="pct"/>
            <w:shd w:val="clear" w:color="auto" w:fill="auto"/>
            <w:vAlign w:val="center"/>
          </w:tcPr>
          <w:p w14:paraId="6F788942">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0.49</w:t>
            </w:r>
            <w:r>
              <w:rPr>
                <w:rFonts w:hint="eastAsia" w:ascii="Times New Roman" w:hAnsi="Times New Roman" w:eastAsia="宋体" w:cs="Times New Roman"/>
                <w:i w:val="0"/>
                <w:iCs w:val="0"/>
                <w:color w:val="auto"/>
                <w:kern w:val="0"/>
                <w:sz w:val="21"/>
                <w:szCs w:val="21"/>
                <w:u w:val="none"/>
                <w:lang w:val="en-US" w:eastAsia="zh-CN" w:bidi="ar"/>
              </w:rPr>
              <w:t>7</w:t>
            </w:r>
          </w:p>
        </w:tc>
        <w:tc>
          <w:tcPr>
            <w:tcW w:w="445" w:type="pct"/>
            <w:shd w:val="clear" w:color="auto" w:fill="auto"/>
            <w:vAlign w:val="center"/>
          </w:tcPr>
          <w:p w14:paraId="616E4501">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0.643</w:t>
            </w:r>
          </w:p>
        </w:tc>
        <w:tc>
          <w:tcPr>
            <w:tcW w:w="630" w:type="pct"/>
            <w:vMerge w:val="continue"/>
            <w:vAlign w:val="center"/>
          </w:tcPr>
          <w:p w14:paraId="42544058">
            <w:pPr>
              <w:jc w:val="center"/>
              <w:rPr>
                <w:rFonts w:eastAsia="仿宋_GB2312"/>
                <w:color w:val="auto"/>
                <w:szCs w:val="21"/>
              </w:rPr>
            </w:pPr>
          </w:p>
        </w:tc>
        <w:tc>
          <w:tcPr>
            <w:tcW w:w="292" w:type="pct"/>
            <w:vMerge w:val="continue"/>
            <w:vAlign w:val="center"/>
          </w:tcPr>
          <w:p w14:paraId="689EF7EF">
            <w:pPr>
              <w:jc w:val="center"/>
              <w:rPr>
                <w:rFonts w:eastAsia="仿宋_GB2312"/>
                <w:color w:val="auto"/>
                <w:szCs w:val="21"/>
              </w:rPr>
            </w:pPr>
          </w:p>
        </w:tc>
      </w:tr>
      <w:tr w14:paraId="2A50C2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5E706FCC">
            <w:pPr>
              <w:jc w:val="center"/>
              <w:rPr>
                <w:rFonts w:eastAsia="仿宋_GB2312"/>
                <w:color w:val="auto"/>
                <w:szCs w:val="21"/>
              </w:rPr>
            </w:pPr>
          </w:p>
        </w:tc>
        <w:tc>
          <w:tcPr>
            <w:tcW w:w="358" w:type="pct"/>
            <w:vMerge w:val="continue"/>
            <w:vAlign w:val="center"/>
          </w:tcPr>
          <w:p w14:paraId="7B33A1E4">
            <w:pPr>
              <w:jc w:val="center"/>
              <w:rPr>
                <w:rFonts w:eastAsia="仿宋_GB2312"/>
                <w:color w:val="auto"/>
                <w:szCs w:val="21"/>
              </w:rPr>
            </w:pPr>
          </w:p>
        </w:tc>
        <w:tc>
          <w:tcPr>
            <w:tcW w:w="418" w:type="pct"/>
            <w:vMerge w:val="continue"/>
            <w:vAlign w:val="center"/>
          </w:tcPr>
          <w:p w14:paraId="04AF903A">
            <w:pPr>
              <w:jc w:val="center"/>
              <w:rPr>
                <w:rFonts w:eastAsia="仿宋_GB2312"/>
                <w:color w:val="auto"/>
                <w:szCs w:val="21"/>
              </w:rPr>
            </w:pPr>
          </w:p>
        </w:tc>
        <w:tc>
          <w:tcPr>
            <w:tcW w:w="446" w:type="pct"/>
            <w:vMerge w:val="continue"/>
            <w:vAlign w:val="center"/>
          </w:tcPr>
          <w:p w14:paraId="7CC29A87">
            <w:pPr>
              <w:jc w:val="center"/>
              <w:rPr>
                <w:rFonts w:eastAsia="仿宋_GB2312"/>
                <w:color w:val="auto"/>
                <w:szCs w:val="21"/>
              </w:rPr>
            </w:pPr>
          </w:p>
        </w:tc>
        <w:tc>
          <w:tcPr>
            <w:tcW w:w="361" w:type="pct"/>
            <w:vMerge w:val="continue"/>
            <w:vAlign w:val="center"/>
          </w:tcPr>
          <w:p w14:paraId="6BB52232">
            <w:pPr>
              <w:jc w:val="center"/>
              <w:rPr>
                <w:rFonts w:eastAsia="仿宋_GB2312"/>
                <w:color w:val="auto"/>
                <w:szCs w:val="21"/>
              </w:rPr>
            </w:pPr>
          </w:p>
        </w:tc>
        <w:tc>
          <w:tcPr>
            <w:tcW w:w="498" w:type="pct"/>
            <w:vMerge w:val="continue"/>
            <w:shd w:val="clear" w:color="auto" w:fill="auto"/>
            <w:vAlign w:val="center"/>
          </w:tcPr>
          <w:p w14:paraId="4D803728">
            <w:pPr>
              <w:keepNext w:val="0"/>
              <w:keepLines w:val="0"/>
              <w:widowControl/>
              <w:suppressLineNumbers w:val="0"/>
              <w:jc w:val="center"/>
              <w:textAlignment w:val="bottom"/>
              <w:rPr>
                <w:rFonts w:eastAsia="仿宋_GB2312"/>
                <w:color w:val="auto"/>
                <w:kern w:val="0"/>
                <w:szCs w:val="21"/>
                <w:lang w:bidi="ar"/>
              </w:rPr>
            </w:pPr>
          </w:p>
        </w:tc>
        <w:tc>
          <w:tcPr>
            <w:tcW w:w="820" w:type="pct"/>
            <w:shd w:val="clear" w:color="auto" w:fill="auto"/>
            <w:vAlign w:val="center"/>
          </w:tcPr>
          <w:p w14:paraId="598ADD55">
            <w:pPr>
              <w:widowControl/>
              <w:jc w:val="center"/>
              <w:textAlignment w:val="center"/>
              <w:rPr>
                <w:rFonts w:ascii="Times New Roman" w:hAnsi="Times New Roman" w:eastAsia="仿宋_GB2312" w:cs="Times New Roman"/>
                <w:b/>
                <w:bCs/>
                <w:color w:val="auto"/>
                <w:kern w:val="0"/>
                <w:sz w:val="21"/>
                <w:szCs w:val="21"/>
                <w:lang w:val="en-US" w:eastAsia="zh-CN" w:bidi="ar"/>
              </w:rPr>
            </w:pPr>
            <w:r>
              <w:rPr>
                <w:rFonts w:eastAsia="仿宋_GB2312"/>
                <w:color w:val="auto"/>
                <w:kern w:val="0"/>
                <w:szCs w:val="21"/>
                <w:lang w:bidi="ar"/>
              </w:rPr>
              <w:t>其他有机物</w:t>
            </w:r>
          </w:p>
        </w:tc>
        <w:tc>
          <w:tcPr>
            <w:tcW w:w="380" w:type="pct"/>
            <w:shd w:val="clear" w:color="auto" w:fill="auto"/>
            <w:vAlign w:val="center"/>
          </w:tcPr>
          <w:p w14:paraId="51F6286E">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0.02</w:t>
            </w:r>
            <w:r>
              <w:rPr>
                <w:rFonts w:hint="eastAsia" w:ascii="Times New Roman" w:hAnsi="Times New Roman" w:eastAsia="宋体" w:cs="Times New Roman"/>
                <w:i w:val="0"/>
                <w:iCs w:val="0"/>
                <w:color w:val="auto"/>
                <w:kern w:val="0"/>
                <w:sz w:val="21"/>
                <w:szCs w:val="21"/>
                <w:u w:val="none"/>
                <w:lang w:val="en-US" w:eastAsia="zh-CN" w:bidi="ar"/>
              </w:rPr>
              <w:t>4</w:t>
            </w:r>
          </w:p>
        </w:tc>
        <w:tc>
          <w:tcPr>
            <w:tcW w:w="445" w:type="pct"/>
            <w:shd w:val="clear" w:color="auto" w:fill="auto"/>
            <w:vAlign w:val="center"/>
          </w:tcPr>
          <w:p w14:paraId="0293892E">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0.031</w:t>
            </w:r>
          </w:p>
        </w:tc>
        <w:tc>
          <w:tcPr>
            <w:tcW w:w="630" w:type="pct"/>
            <w:vMerge w:val="continue"/>
            <w:vAlign w:val="center"/>
          </w:tcPr>
          <w:p w14:paraId="1D770ED7">
            <w:pPr>
              <w:jc w:val="center"/>
              <w:rPr>
                <w:rFonts w:eastAsia="仿宋_GB2312"/>
                <w:color w:val="auto"/>
                <w:szCs w:val="21"/>
              </w:rPr>
            </w:pPr>
          </w:p>
        </w:tc>
        <w:tc>
          <w:tcPr>
            <w:tcW w:w="292" w:type="pct"/>
            <w:vMerge w:val="continue"/>
            <w:vAlign w:val="center"/>
          </w:tcPr>
          <w:p w14:paraId="5A0A69FA">
            <w:pPr>
              <w:jc w:val="center"/>
              <w:rPr>
                <w:rFonts w:eastAsia="仿宋_GB2312"/>
                <w:color w:val="auto"/>
                <w:szCs w:val="21"/>
              </w:rPr>
            </w:pPr>
          </w:p>
        </w:tc>
      </w:tr>
      <w:tr w14:paraId="3358D4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1B70ABAB">
            <w:pPr>
              <w:jc w:val="center"/>
              <w:rPr>
                <w:rFonts w:eastAsia="仿宋_GB2312"/>
                <w:color w:val="auto"/>
                <w:szCs w:val="21"/>
              </w:rPr>
            </w:pPr>
          </w:p>
        </w:tc>
        <w:tc>
          <w:tcPr>
            <w:tcW w:w="358" w:type="pct"/>
            <w:vMerge w:val="continue"/>
            <w:vAlign w:val="center"/>
          </w:tcPr>
          <w:p w14:paraId="6050F28A">
            <w:pPr>
              <w:jc w:val="center"/>
              <w:rPr>
                <w:rFonts w:eastAsia="仿宋_GB2312"/>
                <w:color w:val="auto"/>
                <w:szCs w:val="21"/>
              </w:rPr>
            </w:pPr>
          </w:p>
        </w:tc>
        <w:tc>
          <w:tcPr>
            <w:tcW w:w="418" w:type="pct"/>
            <w:vMerge w:val="restart"/>
            <w:vAlign w:val="center"/>
          </w:tcPr>
          <w:p w14:paraId="54B2A588">
            <w:pPr>
              <w:jc w:val="center"/>
              <w:rPr>
                <w:rFonts w:eastAsia="仿宋_GB2312"/>
                <w:color w:val="auto"/>
                <w:szCs w:val="21"/>
              </w:rPr>
            </w:pPr>
            <w:r>
              <w:rPr>
                <w:rFonts w:eastAsia="仿宋_GB2312"/>
                <w:color w:val="auto"/>
                <w:kern w:val="0"/>
                <w:szCs w:val="21"/>
                <w:lang w:bidi="ar"/>
              </w:rPr>
              <w:t>G</w:t>
            </w:r>
            <w:r>
              <w:rPr>
                <w:rFonts w:hint="eastAsia" w:eastAsia="仿宋_GB2312"/>
                <w:color w:val="auto"/>
                <w:kern w:val="0"/>
                <w:szCs w:val="21"/>
                <w:lang w:val="en-US" w:eastAsia="zh-CN" w:bidi="ar"/>
              </w:rPr>
              <w:t>3</w:t>
            </w:r>
            <w:r>
              <w:rPr>
                <w:rFonts w:eastAsia="仿宋_GB2312"/>
                <w:color w:val="auto"/>
                <w:kern w:val="0"/>
                <w:szCs w:val="21"/>
                <w:lang w:bidi="ar"/>
              </w:rPr>
              <w:t>-</w:t>
            </w:r>
            <w:r>
              <w:rPr>
                <w:rFonts w:hint="eastAsia" w:eastAsia="仿宋_GB2312"/>
                <w:color w:val="auto"/>
                <w:kern w:val="0"/>
                <w:szCs w:val="21"/>
                <w:lang w:val="en-US" w:eastAsia="zh-CN" w:bidi="ar"/>
              </w:rPr>
              <w:t>2</w:t>
            </w:r>
            <w:r>
              <w:rPr>
                <w:rFonts w:eastAsia="仿宋_GB2312"/>
                <w:color w:val="auto"/>
                <w:kern w:val="0"/>
                <w:szCs w:val="21"/>
                <w:lang w:bidi="ar"/>
              </w:rPr>
              <w:t>-4</w:t>
            </w:r>
          </w:p>
        </w:tc>
        <w:tc>
          <w:tcPr>
            <w:tcW w:w="446" w:type="pct"/>
            <w:vMerge w:val="restart"/>
            <w:vAlign w:val="center"/>
          </w:tcPr>
          <w:p w14:paraId="79C3DCCF">
            <w:pPr>
              <w:jc w:val="center"/>
              <w:rPr>
                <w:rFonts w:eastAsia="仿宋_GB2312"/>
                <w:color w:val="auto"/>
                <w:szCs w:val="21"/>
              </w:rPr>
            </w:pPr>
            <w:r>
              <w:rPr>
                <w:rFonts w:eastAsia="仿宋_GB2312"/>
                <w:color w:val="auto"/>
                <w:kern w:val="0"/>
                <w:szCs w:val="21"/>
                <w:lang w:bidi="ar"/>
              </w:rPr>
              <w:t>不凝气</w:t>
            </w:r>
          </w:p>
        </w:tc>
        <w:tc>
          <w:tcPr>
            <w:tcW w:w="361" w:type="pct"/>
            <w:vMerge w:val="restart"/>
            <w:vAlign w:val="center"/>
          </w:tcPr>
          <w:p w14:paraId="36C104FC">
            <w:pPr>
              <w:jc w:val="center"/>
              <w:rPr>
                <w:rFonts w:eastAsia="仿宋_GB2312"/>
                <w:color w:val="auto"/>
                <w:szCs w:val="21"/>
              </w:rPr>
            </w:pPr>
            <w:r>
              <w:rPr>
                <w:rFonts w:eastAsia="仿宋_GB2312"/>
                <w:color w:val="auto"/>
                <w:szCs w:val="21"/>
              </w:rPr>
              <w:t>360</w:t>
            </w:r>
          </w:p>
        </w:tc>
        <w:tc>
          <w:tcPr>
            <w:tcW w:w="498" w:type="pct"/>
            <w:vMerge w:val="restart"/>
            <w:shd w:val="clear" w:color="auto" w:fill="auto"/>
            <w:vAlign w:val="center"/>
          </w:tcPr>
          <w:p w14:paraId="7582D564">
            <w:pPr>
              <w:keepNext w:val="0"/>
              <w:keepLines w:val="0"/>
              <w:widowControl/>
              <w:suppressLineNumbers w:val="0"/>
              <w:jc w:val="center"/>
              <w:textAlignment w:val="bottom"/>
              <w:rPr>
                <w:rFonts w:eastAsia="仿宋_GB2312"/>
                <w:color w:val="auto"/>
                <w:kern w:val="0"/>
                <w:szCs w:val="21"/>
                <w:lang w:bidi="ar"/>
              </w:rPr>
            </w:pPr>
            <w:r>
              <w:rPr>
                <w:rFonts w:hint="default" w:ascii="Times New Roman" w:hAnsi="Times New Roman" w:eastAsia="宋体" w:cs="Times New Roman"/>
                <w:i w:val="0"/>
                <w:iCs w:val="0"/>
                <w:color w:val="auto"/>
                <w:kern w:val="0"/>
                <w:sz w:val="21"/>
                <w:szCs w:val="21"/>
                <w:u w:val="none"/>
                <w:lang w:val="en-US" w:eastAsia="zh-CN" w:bidi="ar"/>
              </w:rPr>
              <w:t>1294</w:t>
            </w:r>
          </w:p>
        </w:tc>
        <w:tc>
          <w:tcPr>
            <w:tcW w:w="820" w:type="pct"/>
            <w:shd w:val="clear" w:color="auto" w:fill="auto"/>
            <w:vAlign w:val="center"/>
          </w:tcPr>
          <w:p w14:paraId="46F3B091">
            <w:pPr>
              <w:widowControl/>
              <w:jc w:val="center"/>
              <w:textAlignment w:val="center"/>
              <w:rPr>
                <w:rFonts w:ascii="Times New Roman" w:hAnsi="Times New Roman" w:eastAsia="仿宋_GB2312" w:cs="Times New Roman"/>
                <w:b/>
                <w:bCs/>
                <w:color w:val="auto"/>
                <w:kern w:val="0"/>
                <w:sz w:val="21"/>
                <w:szCs w:val="21"/>
                <w:lang w:val="en-US" w:eastAsia="zh-CN" w:bidi="ar"/>
              </w:rPr>
            </w:pPr>
            <w:r>
              <w:rPr>
                <w:rFonts w:eastAsia="仿宋_GB2312"/>
                <w:color w:val="auto"/>
                <w:kern w:val="0"/>
                <w:szCs w:val="21"/>
                <w:lang w:bidi="ar"/>
              </w:rPr>
              <w:t>四氢呋喃</w:t>
            </w:r>
          </w:p>
        </w:tc>
        <w:tc>
          <w:tcPr>
            <w:tcW w:w="380" w:type="pct"/>
            <w:shd w:val="clear" w:color="auto" w:fill="auto"/>
            <w:vAlign w:val="center"/>
          </w:tcPr>
          <w:p w14:paraId="320C4E3B">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93.36</w:t>
            </w:r>
          </w:p>
        </w:tc>
        <w:tc>
          <w:tcPr>
            <w:tcW w:w="445" w:type="pct"/>
            <w:shd w:val="clear" w:color="auto" w:fill="auto"/>
            <w:vAlign w:val="center"/>
          </w:tcPr>
          <w:p w14:paraId="51B19320">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120.814</w:t>
            </w:r>
          </w:p>
        </w:tc>
        <w:tc>
          <w:tcPr>
            <w:tcW w:w="630" w:type="pct"/>
            <w:vMerge w:val="continue"/>
            <w:vAlign w:val="center"/>
          </w:tcPr>
          <w:p w14:paraId="1C6D7429">
            <w:pPr>
              <w:jc w:val="center"/>
              <w:rPr>
                <w:rFonts w:eastAsia="仿宋_GB2312"/>
                <w:color w:val="auto"/>
                <w:szCs w:val="21"/>
              </w:rPr>
            </w:pPr>
          </w:p>
        </w:tc>
        <w:tc>
          <w:tcPr>
            <w:tcW w:w="292" w:type="pct"/>
            <w:vMerge w:val="continue"/>
            <w:vAlign w:val="center"/>
          </w:tcPr>
          <w:p w14:paraId="42D1CB90">
            <w:pPr>
              <w:jc w:val="center"/>
              <w:rPr>
                <w:rFonts w:eastAsia="仿宋_GB2312"/>
                <w:color w:val="auto"/>
                <w:szCs w:val="21"/>
              </w:rPr>
            </w:pPr>
          </w:p>
        </w:tc>
      </w:tr>
      <w:tr w14:paraId="5B0016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487ADBD9">
            <w:pPr>
              <w:jc w:val="center"/>
              <w:rPr>
                <w:rFonts w:eastAsia="仿宋_GB2312"/>
                <w:color w:val="auto"/>
                <w:szCs w:val="21"/>
              </w:rPr>
            </w:pPr>
          </w:p>
        </w:tc>
        <w:tc>
          <w:tcPr>
            <w:tcW w:w="358" w:type="pct"/>
            <w:vMerge w:val="continue"/>
            <w:vAlign w:val="center"/>
          </w:tcPr>
          <w:p w14:paraId="751BF0F6">
            <w:pPr>
              <w:jc w:val="center"/>
              <w:rPr>
                <w:rFonts w:eastAsia="仿宋_GB2312"/>
                <w:color w:val="auto"/>
                <w:szCs w:val="21"/>
              </w:rPr>
            </w:pPr>
          </w:p>
        </w:tc>
        <w:tc>
          <w:tcPr>
            <w:tcW w:w="418" w:type="pct"/>
            <w:vMerge w:val="continue"/>
            <w:vAlign w:val="center"/>
          </w:tcPr>
          <w:p w14:paraId="02326C6A">
            <w:pPr>
              <w:jc w:val="center"/>
              <w:rPr>
                <w:rFonts w:eastAsia="仿宋_GB2312"/>
                <w:color w:val="auto"/>
                <w:szCs w:val="21"/>
              </w:rPr>
            </w:pPr>
          </w:p>
        </w:tc>
        <w:tc>
          <w:tcPr>
            <w:tcW w:w="446" w:type="pct"/>
            <w:vMerge w:val="continue"/>
            <w:vAlign w:val="center"/>
          </w:tcPr>
          <w:p w14:paraId="5EE5A6B0">
            <w:pPr>
              <w:jc w:val="center"/>
              <w:rPr>
                <w:rFonts w:eastAsia="仿宋_GB2312"/>
                <w:color w:val="auto"/>
                <w:szCs w:val="21"/>
              </w:rPr>
            </w:pPr>
          </w:p>
        </w:tc>
        <w:tc>
          <w:tcPr>
            <w:tcW w:w="361" w:type="pct"/>
            <w:vMerge w:val="continue"/>
            <w:vAlign w:val="center"/>
          </w:tcPr>
          <w:p w14:paraId="7E8EE523">
            <w:pPr>
              <w:jc w:val="center"/>
              <w:rPr>
                <w:rFonts w:eastAsia="仿宋_GB2312"/>
                <w:color w:val="auto"/>
                <w:szCs w:val="21"/>
              </w:rPr>
            </w:pPr>
          </w:p>
        </w:tc>
        <w:tc>
          <w:tcPr>
            <w:tcW w:w="498" w:type="pct"/>
            <w:vMerge w:val="continue"/>
            <w:shd w:val="clear" w:color="auto" w:fill="auto"/>
            <w:vAlign w:val="center"/>
          </w:tcPr>
          <w:p w14:paraId="10083F97">
            <w:pPr>
              <w:keepNext w:val="0"/>
              <w:keepLines w:val="0"/>
              <w:widowControl/>
              <w:suppressLineNumbers w:val="0"/>
              <w:jc w:val="center"/>
              <w:textAlignment w:val="bottom"/>
              <w:rPr>
                <w:rFonts w:eastAsia="仿宋_GB2312"/>
                <w:color w:val="auto"/>
                <w:kern w:val="0"/>
                <w:szCs w:val="21"/>
                <w:lang w:bidi="ar"/>
              </w:rPr>
            </w:pPr>
          </w:p>
        </w:tc>
        <w:tc>
          <w:tcPr>
            <w:tcW w:w="820" w:type="pct"/>
            <w:shd w:val="clear" w:color="auto" w:fill="auto"/>
            <w:vAlign w:val="center"/>
          </w:tcPr>
          <w:p w14:paraId="037DC3CB">
            <w:pPr>
              <w:widowControl/>
              <w:jc w:val="center"/>
              <w:textAlignment w:val="center"/>
              <w:rPr>
                <w:rFonts w:ascii="Times New Roman" w:hAnsi="Times New Roman" w:eastAsia="仿宋_GB2312" w:cs="Times New Roman"/>
                <w:b/>
                <w:bCs/>
                <w:color w:val="auto"/>
                <w:kern w:val="0"/>
                <w:sz w:val="21"/>
                <w:szCs w:val="21"/>
                <w:lang w:val="en-US" w:eastAsia="zh-CN" w:bidi="ar"/>
              </w:rPr>
            </w:pPr>
            <w:r>
              <w:rPr>
                <w:rFonts w:eastAsia="仿宋_GB2312"/>
                <w:color w:val="auto"/>
                <w:kern w:val="0"/>
                <w:szCs w:val="21"/>
                <w:lang w:bidi="ar"/>
              </w:rPr>
              <w:t>其他有机物</w:t>
            </w:r>
          </w:p>
        </w:tc>
        <w:tc>
          <w:tcPr>
            <w:tcW w:w="380" w:type="pct"/>
            <w:shd w:val="clear" w:color="auto" w:fill="auto"/>
            <w:vAlign w:val="center"/>
          </w:tcPr>
          <w:p w14:paraId="0927B62E">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0.177</w:t>
            </w:r>
          </w:p>
        </w:tc>
        <w:tc>
          <w:tcPr>
            <w:tcW w:w="445" w:type="pct"/>
            <w:shd w:val="clear" w:color="auto" w:fill="auto"/>
            <w:vAlign w:val="center"/>
          </w:tcPr>
          <w:p w14:paraId="779A56C5">
            <w:pPr>
              <w:widowControl/>
              <w:jc w:val="center"/>
              <w:textAlignment w:val="center"/>
              <w:rPr>
                <w:rFonts w:ascii="Times New Roman" w:hAnsi="Times New Roman" w:eastAsia="仿宋_GB2312" w:cs="Times New Roman"/>
                <w:color w:val="auto"/>
                <w:kern w:val="0"/>
                <w:sz w:val="21"/>
                <w:szCs w:val="21"/>
                <w:lang w:val="en-US" w:eastAsia="zh-CN" w:bidi="ar"/>
              </w:rPr>
            </w:pPr>
            <w:r>
              <w:rPr>
                <w:rFonts w:eastAsia="仿宋_GB2312"/>
                <w:color w:val="auto"/>
                <w:kern w:val="0"/>
                <w:szCs w:val="21"/>
                <w:lang w:bidi="ar"/>
              </w:rPr>
              <w:t>0.23</w:t>
            </w:r>
          </w:p>
        </w:tc>
        <w:tc>
          <w:tcPr>
            <w:tcW w:w="630" w:type="pct"/>
            <w:vMerge w:val="continue"/>
            <w:vAlign w:val="center"/>
          </w:tcPr>
          <w:p w14:paraId="02719C8D">
            <w:pPr>
              <w:jc w:val="center"/>
              <w:rPr>
                <w:rFonts w:eastAsia="仿宋_GB2312"/>
                <w:color w:val="auto"/>
                <w:szCs w:val="21"/>
              </w:rPr>
            </w:pPr>
          </w:p>
        </w:tc>
        <w:tc>
          <w:tcPr>
            <w:tcW w:w="292" w:type="pct"/>
            <w:vMerge w:val="continue"/>
            <w:vAlign w:val="center"/>
          </w:tcPr>
          <w:p w14:paraId="20206057">
            <w:pPr>
              <w:jc w:val="center"/>
              <w:rPr>
                <w:rFonts w:eastAsia="仿宋_GB2312"/>
                <w:color w:val="auto"/>
                <w:szCs w:val="21"/>
              </w:rPr>
            </w:pPr>
          </w:p>
        </w:tc>
      </w:tr>
      <w:tr w14:paraId="05D58D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3DEB833E">
            <w:pPr>
              <w:jc w:val="center"/>
              <w:rPr>
                <w:rFonts w:eastAsia="仿宋_GB2312"/>
                <w:color w:val="auto"/>
                <w:szCs w:val="21"/>
              </w:rPr>
            </w:pPr>
          </w:p>
        </w:tc>
        <w:tc>
          <w:tcPr>
            <w:tcW w:w="358" w:type="pct"/>
            <w:vMerge w:val="continue"/>
            <w:vAlign w:val="center"/>
          </w:tcPr>
          <w:p w14:paraId="096EB7F2">
            <w:pPr>
              <w:jc w:val="center"/>
              <w:rPr>
                <w:rFonts w:eastAsia="仿宋_GB2312"/>
                <w:color w:val="auto"/>
                <w:szCs w:val="21"/>
              </w:rPr>
            </w:pPr>
          </w:p>
        </w:tc>
        <w:tc>
          <w:tcPr>
            <w:tcW w:w="418" w:type="pct"/>
            <w:vAlign w:val="center"/>
          </w:tcPr>
          <w:p w14:paraId="609149B6">
            <w:pPr>
              <w:jc w:val="center"/>
              <w:rPr>
                <w:rFonts w:eastAsia="仿宋_GB2312"/>
                <w:color w:val="auto"/>
                <w:szCs w:val="21"/>
              </w:rPr>
            </w:pPr>
            <w:r>
              <w:rPr>
                <w:rFonts w:eastAsia="仿宋_GB2312"/>
                <w:color w:val="auto"/>
                <w:kern w:val="0"/>
                <w:szCs w:val="21"/>
                <w:lang w:bidi="ar"/>
              </w:rPr>
              <w:t>G</w:t>
            </w:r>
            <w:r>
              <w:rPr>
                <w:rFonts w:hint="eastAsia" w:eastAsia="仿宋_GB2312"/>
                <w:color w:val="auto"/>
                <w:kern w:val="0"/>
                <w:szCs w:val="21"/>
                <w:lang w:val="en-US" w:eastAsia="zh-CN" w:bidi="ar"/>
              </w:rPr>
              <w:t>3</w:t>
            </w:r>
            <w:r>
              <w:rPr>
                <w:rFonts w:eastAsia="仿宋_GB2312"/>
                <w:color w:val="auto"/>
                <w:kern w:val="0"/>
                <w:szCs w:val="21"/>
                <w:lang w:bidi="ar"/>
              </w:rPr>
              <w:t>-</w:t>
            </w:r>
            <w:r>
              <w:rPr>
                <w:rFonts w:hint="eastAsia" w:eastAsia="仿宋_GB2312"/>
                <w:color w:val="auto"/>
                <w:kern w:val="0"/>
                <w:szCs w:val="21"/>
                <w:lang w:val="en-US" w:eastAsia="zh-CN" w:bidi="ar"/>
              </w:rPr>
              <w:t>2</w:t>
            </w:r>
            <w:r>
              <w:rPr>
                <w:rFonts w:eastAsia="仿宋_GB2312"/>
                <w:color w:val="auto"/>
                <w:kern w:val="0"/>
                <w:szCs w:val="21"/>
                <w:lang w:bidi="ar"/>
              </w:rPr>
              <w:t>-5</w:t>
            </w:r>
          </w:p>
        </w:tc>
        <w:tc>
          <w:tcPr>
            <w:tcW w:w="446" w:type="pct"/>
            <w:vAlign w:val="center"/>
          </w:tcPr>
          <w:p w14:paraId="04E98FC6">
            <w:pPr>
              <w:jc w:val="center"/>
              <w:rPr>
                <w:rFonts w:eastAsia="仿宋_GB2312"/>
                <w:color w:val="auto"/>
                <w:szCs w:val="21"/>
              </w:rPr>
            </w:pPr>
            <w:r>
              <w:rPr>
                <w:rFonts w:eastAsia="仿宋_GB2312"/>
                <w:color w:val="auto"/>
                <w:kern w:val="0"/>
                <w:szCs w:val="21"/>
                <w:lang w:bidi="ar"/>
              </w:rPr>
              <w:t>灌装废气</w:t>
            </w:r>
          </w:p>
        </w:tc>
        <w:tc>
          <w:tcPr>
            <w:tcW w:w="361" w:type="pct"/>
            <w:vAlign w:val="center"/>
          </w:tcPr>
          <w:p w14:paraId="31F53C79">
            <w:pPr>
              <w:jc w:val="center"/>
              <w:rPr>
                <w:rFonts w:hint="default" w:eastAsia="仿宋_GB2312"/>
                <w:color w:val="auto"/>
                <w:szCs w:val="21"/>
                <w:lang w:val="en-US" w:eastAsia="zh-CN"/>
              </w:rPr>
            </w:pPr>
            <w:r>
              <w:rPr>
                <w:rFonts w:hint="eastAsia" w:eastAsia="仿宋_GB2312"/>
                <w:color w:val="auto"/>
                <w:szCs w:val="21"/>
                <w:lang w:val="en-US" w:eastAsia="zh-CN"/>
              </w:rPr>
              <w:t>2000</w:t>
            </w:r>
          </w:p>
        </w:tc>
        <w:tc>
          <w:tcPr>
            <w:tcW w:w="498" w:type="pct"/>
            <w:shd w:val="clear" w:color="auto" w:fill="auto"/>
            <w:vAlign w:val="center"/>
          </w:tcPr>
          <w:p w14:paraId="7D30E725">
            <w:pPr>
              <w:keepNext w:val="0"/>
              <w:keepLines w:val="0"/>
              <w:widowControl/>
              <w:suppressLineNumbers w:val="0"/>
              <w:jc w:val="center"/>
              <w:textAlignment w:val="bottom"/>
              <w:rPr>
                <w:rFonts w:eastAsia="仿宋_GB2312"/>
                <w:color w:val="auto"/>
                <w:kern w:val="0"/>
                <w:szCs w:val="21"/>
                <w:lang w:bidi="ar"/>
              </w:rPr>
            </w:pPr>
            <w:r>
              <w:rPr>
                <w:rFonts w:hint="default" w:ascii="Times New Roman" w:hAnsi="Times New Roman" w:eastAsia="宋体" w:cs="Times New Roman"/>
                <w:i w:val="0"/>
                <w:iCs w:val="0"/>
                <w:color w:val="auto"/>
                <w:kern w:val="0"/>
                <w:sz w:val="21"/>
                <w:szCs w:val="21"/>
                <w:u w:val="none"/>
                <w:lang w:val="en-US" w:eastAsia="zh-CN" w:bidi="ar"/>
              </w:rPr>
              <w:t>1294</w:t>
            </w:r>
          </w:p>
        </w:tc>
        <w:tc>
          <w:tcPr>
            <w:tcW w:w="820" w:type="pct"/>
            <w:shd w:val="clear" w:color="auto" w:fill="auto"/>
            <w:vAlign w:val="center"/>
          </w:tcPr>
          <w:p w14:paraId="63809BCA">
            <w:pPr>
              <w:widowControl/>
              <w:jc w:val="center"/>
              <w:textAlignment w:val="center"/>
              <w:rPr>
                <w:rFonts w:ascii="Times New Roman" w:hAnsi="Times New Roman" w:eastAsia="仿宋_GB2312" w:cs="Times New Roman"/>
                <w:b/>
                <w:bCs/>
                <w:color w:val="auto"/>
                <w:kern w:val="0"/>
                <w:sz w:val="21"/>
                <w:szCs w:val="21"/>
                <w:lang w:val="en-US" w:eastAsia="zh-CN" w:bidi="ar"/>
              </w:rPr>
            </w:pPr>
            <w:r>
              <w:rPr>
                <w:rFonts w:eastAsia="仿宋_GB2312"/>
                <w:color w:val="auto"/>
                <w:kern w:val="0"/>
                <w:szCs w:val="21"/>
                <w:lang w:bidi="ar"/>
              </w:rPr>
              <w:t>四氢呋喃</w:t>
            </w:r>
          </w:p>
        </w:tc>
        <w:tc>
          <w:tcPr>
            <w:tcW w:w="380" w:type="pct"/>
            <w:shd w:val="clear" w:color="auto" w:fill="auto"/>
            <w:vAlign w:val="center"/>
          </w:tcPr>
          <w:p w14:paraId="2DE3BE80">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6.371</w:t>
            </w:r>
          </w:p>
        </w:tc>
        <w:tc>
          <w:tcPr>
            <w:tcW w:w="445" w:type="pct"/>
            <w:shd w:val="clear" w:color="auto" w:fill="auto"/>
            <w:vAlign w:val="center"/>
          </w:tcPr>
          <w:p w14:paraId="6C96FD88">
            <w:pPr>
              <w:jc w:val="center"/>
              <w:rPr>
                <w:rFonts w:hint="default"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8.245</w:t>
            </w:r>
          </w:p>
        </w:tc>
        <w:tc>
          <w:tcPr>
            <w:tcW w:w="630" w:type="pct"/>
            <w:vMerge w:val="restart"/>
            <w:shd w:val="clear" w:color="auto" w:fill="auto"/>
            <w:vAlign w:val="center"/>
          </w:tcPr>
          <w:p w14:paraId="6D4179B6">
            <w:pPr>
              <w:jc w:val="center"/>
              <w:rPr>
                <w:rFonts w:ascii="Times New Roman" w:hAnsi="Times New Roman" w:eastAsia="仿宋_GB2312" w:cs="Times New Roman"/>
                <w:color w:val="auto"/>
                <w:kern w:val="2"/>
                <w:sz w:val="21"/>
                <w:szCs w:val="21"/>
                <w:lang w:val="en-US" w:eastAsia="zh-CN" w:bidi="ar-SA"/>
              </w:rPr>
            </w:pPr>
            <w:r>
              <w:rPr>
                <w:rFonts w:hint="eastAsia" w:eastAsia="仿宋_GB2312"/>
                <w:color w:val="auto"/>
                <w:szCs w:val="21"/>
              </w:rPr>
              <w:t>冷凝+酸吸收+碱吸收+水洗+活性炭吸附/脱附</w:t>
            </w:r>
          </w:p>
        </w:tc>
        <w:tc>
          <w:tcPr>
            <w:tcW w:w="292" w:type="pct"/>
            <w:vMerge w:val="restart"/>
            <w:shd w:val="clear" w:color="auto" w:fill="auto"/>
            <w:vAlign w:val="center"/>
          </w:tcPr>
          <w:p w14:paraId="6D18AF46">
            <w:pPr>
              <w:jc w:val="center"/>
              <w:rPr>
                <w:rFonts w:ascii="Times New Roman" w:hAnsi="Times New Roman" w:eastAsia="仿宋_GB2312" w:cs="Times New Roman"/>
                <w:color w:val="auto"/>
                <w:kern w:val="2"/>
                <w:sz w:val="21"/>
                <w:szCs w:val="21"/>
                <w:lang w:val="en-US" w:eastAsia="zh-CN" w:bidi="ar-SA"/>
              </w:rPr>
            </w:pPr>
            <w:r>
              <w:rPr>
                <w:rFonts w:hint="eastAsia" w:eastAsia="仿宋_GB2312"/>
                <w:color w:val="auto"/>
              </w:rPr>
              <w:t>DA005</w:t>
            </w:r>
          </w:p>
        </w:tc>
      </w:tr>
      <w:tr w14:paraId="61F300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restart"/>
            <w:vAlign w:val="center"/>
          </w:tcPr>
          <w:p w14:paraId="1B9F8F38">
            <w:pPr>
              <w:jc w:val="center"/>
              <w:rPr>
                <w:rFonts w:eastAsia="仿宋_GB2312"/>
                <w:color w:val="auto"/>
                <w:szCs w:val="21"/>
              </w:rPr>
            </w:pPr>
            <w:r>
              <w:rPr>
                <w:rFonts w:eastAsia="仿宋_GB2312"/>
                <w:color w:val="auto"/>
                <w:szCs w:val="21"/>
              </w:rPr>
              <w:t>B-7车间</w:t>
            </w:r>
          </w:p>
        </w:tc>
        <w:tc>
          <w:tcPr>
            <w:tcW w:w="358" w:type="pct"/>
            <w:vMerge w:val="restart"/>
            <w:vAlign w:val="center"/>
          </w:tcPr>
          <w:p w14:paraId="0F8F33B3">
            <w:pPr>
              <w:jc w:val="center"/>
              <w:rPr>
                <w:rFonts w:eastAsia="仿宋_GB2312"/>
                <w:color w:val="auto"/>
                <w:szCs w:val="21"/>
              </w:rPr>
            </w:pPr>
            <w:r>
              <w:rPr>
                <w:rFonts w:hint="eastAsia" w:eastAsia="仿宋_GB2312"/>
                <w:color w:val="auto"/>
                <w:szCs w:val="21"/>
                <w:lang w:val="en-US" w:eastAsia="zh-CN"/>
              </w:rPr>
              <w:t>乙酸乙酯</w:t>
            </w:r>
          </w:p>
        </w:tc>
        <w:tc>
          <w:tcPr>
            <w:tcW w:w="418" w:type="pct"/>
            <w:vMerge w:val="restart"/>
            <w:vAlign w:val="center"/>
          </w:tcPr>
          <w:p w14:paraId="5E0331EB">
            <w:pPr>
              <w:jc w:val="center"/>
              <w:rPr>
                <w:rFonts w:eastAsia="仿宋_GB2312"/>
                <w:color w:val="auto"/>
                <w:szCs w:val="21"/>
              </w:rPr>
            </w:pPr>
            <w:r>
              <w:rPr>
                <w:rFonts w:eastAsia="仿宋_GB2312"/>
                <w:color w:val="auto"/>
                <w:kern w:val="0"/>
                <w:szCs w:val="21"/>
                <w:lang w:bidi="ar"/>
              </w:rPr>
              <w:t>G</w:t>
            </w:r>
            <w:r>
              <w:rPr>
                <w:rFonts w:hint="eastAsia" w:eastAsia="仿宋_GB2312"/>
                <w:color w:val="auto"/>
                <w:kern w:val="0"/>
                <w:szCs w:val="21"/>
                <w:lang w:val="en-US" w:eastAsia="zh-CN" w:bidi="ar"/>
              </w:rPr>
              <w:t>3</w:t>
            </w:r>
            <w:r>
              <w:rPr>
                <w:rFonts w:eastAsia="仿宋_GB2312"/>
                <w:color w:val="auto"/>
                <w:kern w:val="0"/>
                <w:szCs w:val="21"/>
                <w:lang w:bidi="ar"/>
              </w:rPr>
              <w:t>-</w:t>
            </w:r>
            <w:r>
              <w:rPr>
                <w:rFonts w:hint="eastAsia" w:eastAsia="仿宋_GB2312"/>
                <w:color w:val="auto"/>
                <w:kern w:val="0"/>
                <w:szCs w:val="21"/>
                <w:lang w:val="en-US" w:eastAsia="zh-CN" w:bidi="ar"/>
              </w:rPr>
              <w:t>3</w:t>
            </w:r>
            <w:r>
              <w:rPr>
                <w:rFonts w:eastAsia="仿宋_GB2312"/>
                <w:color w:val="auto"/>
                <w:kern w:val="0"/>
                <w:szCs w:val="21"/>
                <w:lang w:bidi="ar"/>
              </w:rPr>
              <w:t>-1</w:t>
            </w:r>
          </w:p>
        </w:tc>
        <w:tc>
          <w:tcPr>
            <w:tcW w:w="446" w:type="pct"/>
            <w:vMerge w:val="restart"/>
            <w:vAlign w:val="center"/>
          </w:tcPr>
          <w:p w14:paraId="4ABBAB57">
            <w:pPr>
              <w:jc w:val="center"/>
              <w:rPr>
                <w:rFonts w:eastAsia="仿宋_GB2312"/>
                <w:color w:val="auto"/>
                <w:szCs w:val="21"/>
              </w:rPr>
            </w:pPr>
            <w:r>
              <w:rPr>
                <w:rFonts w:eastAsia="仿宋_GB2312"/>
                <w:color w:val="auto"/>
                <w:kern w:val="0"/>
                <w:szCs w:val="21"/>
                <w:lang w:bidi="ar"/>
              </w:rPr>
              <w:t>投料废气</w:t>
            </w:r>
          </w:p>
        </w:tc>
        <w:tc>
          <w:tcPr>
            <w:tcW w:w="361" w:type="pct"/>
            <w:vMerge w:val="restart"/>
            <w:vAlign w:val="center"/>
          </w:tcPr>
          <w:p w14:paraId="5476BC59">
            <w:pPr>
              <w:jc w:val="center"/>
              <w:rPr>
                <w:rFonts w:hint="default" w:eastAsia="仿宋_GB2312"/>
                <w:color w:val="auto"/>
                <w:szCs w:val="21"/>
                <w:lang w:val="en-US" w:eastAsia="zh-CN"/>
              </w:rPr>
            </w:pPr>
            <w:r>
              <w:rPr>
                <w:rFonts w:hint="eastAsia" w:eastAsia="仿宋_GB2312"/>
                <w:color w:val="auto"/>
                <w:szCs w:val="21"/>
                <w:lang w:val="en-US" w:eastAsia="zh-CN"/>
              </w:rPr>
              <w:t>2000</w:t>
            </w:r>
          </w:p>
        </w:tc>
        <w:tc>
          <w:tcPr>
            <w:tcW w:w="498" w:type="pct"/>
            <w:vMerge w:val="restart"/>
            <w:shd w:val="clear" w:color="auto" w:fill="auto"/>
            <w:vAlign w:val="center"/>
          </w:tcPr>
          <w:p w14:paraId="5EB55033">
            <w:pPr>
              <w:keepNext w:val="0"/>
              <w:keepLines w:val="0"/>
              <w:widowControl/>
              <w:suppressLineNumbers w:val="0"/>
              <w:jc w:val="center"/>
              <w:textAlignment w:val="bottom"/>
              <w:rPr>
                <w:rFonts w:hint="eastAsia" w:eastAsia="仿宋_GB2312"/>
                <w:color w:val="auto"/>
                <w:kern w:val="0"/>
                <w:szCs w:val="21"/>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604</w:t>
            </w:r>
          </w:p>
        </w:tc>
        <w:tc>
          <w:tcPr>
            <w:tcW w:w="820" w:type="pct"/>
            <w:shd w:val="clear" w:color="auto" w:fill="auto"/>
            <w:vAlign w:val="center"/>
          </w:tcPr>
          <w:p w14:paraId="1B75F48B">
            <w:pPr>
              <w:widowControl/>
              <w:jc w:val="center"/>
              <w:textAlignment w:val="center"/>
              <w:rPr>
                <w:rFonts w:hint="eastAsia" w:ascii="Times New Roman" w:hAnsi="Times New Roman" w:eastAsia="仿宋_GB2312" w:cs="Times New Roman"/>
                <w:b/>
                <w:bCs/>
                <w:color w:val="auto"/>
                <w:kern w:val="0"/>
                <w:sz w:val="21"/>
                <w:szCs w:val="21"/>
                <w:lang w:val="en-US" w:eastAsia="zh-CN" w:bidi="ar"/>
              </w:rPr>
            </w:pPr>
            <w:r>
              <w:rPr>
                <w:rFonts w:hint="eastAsia" w:eastAsia="仿宋_GB2312"/>
                <w:color w:val="auto"/>
                <w:kern w:val="0"/>
                <w:szCs w:val="21"/>
                <w:lang w:val="en-US" w:eastAsia="zh-CN" w:bidi="ar"/>
              </w:rPr>
              <w:t>乙酸乙酯</w:t>
            </w:r>
          </w:p>
        </w:tc>
        <w:tc>
          <w:tcPr>
            <w:tcW w:w="380" w:type="pct"/>
            <w:shd w:val="clear" w:color="auto" w:fill="auto"/>
            <w:vAlign w:val="center"/>
          </w:tcPr>
          <w:p w14:paraId="732A8D13">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5.5</w:t>
            </w:r>
            <w:r>
              <w:rPr>
                <w:rFonts w:hint="eastAsia" w:ascii="Times New Roman" w:hAnsi="Times New Roman" w:eastAsia="宋体" w:cs="Times New Roman"/>
                <w:i w:val="0"/>
                <w:iCs w:val="0"/>
                <w:color w:val="auto"/>
                <w:kern w:val="0"/>
                <w:sz w:val="21"/>
                <w:szCs w:val="21"/>
                <w:u w:val="none"/>
                <w:lang w:val="en-US" w:eastAsia="zh-CN" w:bidi="ar"/>
              </w:rPr>
              <w:t>1</w:t>
            </w:r>
          </w:p>
        </w:tc>
        <w:tc>
          <w:tcPr>
            <w:tcW w:w="445" w:type="pct"/>
            <w:shd w:val="clear" w:color="auto" w:fill="auto"/>
            <w:vAlign w:val="center"/>
          </w:tcPr>
          <w:p w14:paraId="1C20A5A6">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ascii="Times New Roman" w:hAnsi="Times New Roman" w:eastAsia="仿宋_GB2312" w:cs="Times New Roman"/>
                <w:color w:val="auto"/>
                <w:kern w:val="0"/>
                <w:szCs w:val="21"/>
                <w:lang w:val="en-US" w:eastAsia="zh-CN" w:bidi="ar"/>
              </w:rPr>
              <w:t>3.328</w:t>
            </w:r>
          </w:p>
        </w:tc>
        <w:tc>
          <w:tcPr>
            <w:tcW w:w="630" w:type="pct"/>
            <w:vMerge w:val="continue"/>
            <w:shd w:val="clear" w:color="auto" w:fill="auto"/>
            <w:vAlign w:val="center"/>
          </w:tcPr>
          <w:p w14:paraId="582B315A">
            <w:pPr>
              <w:jc w:val="center"/>
              <w:rPr>
                <w:rFonts w:ascii="Times New Roman" w:hAnsi="Times New Roman" w:eastAsia="仿宋_GB2312" w:cs="Times New Roman"/>
                <w:color w:val="auto"/>
                <w:kern w:val="2"/>
                <w:sz w:val="21"/>
                <w:szCs w:val="21"/>
                <w:lang w:val="en-US" w:eastAsia="zh-CN" w:bidi="ar-SA"/>
              </w:rPr>
            </w:pPr>
          </w:p>
        </w:tc>
        <w:tc>
          <w:tcPr>
            <w:tcW w:w="292" w:type="pct"/>
            <w:vMerge w:val="continue"/>
            <w:shd w:val="clear" w:color="auto" w:fill="auto"/>
            <w:vAlign w:val="center"/>
          </w:tcPr>
          <w:p w14:paraId="135F936F">
            <w:pPr>
              <w:jc w:val="center"/>
              <w:rPr>
                <w:rFonts w:ascii="Times New Roman" w:hAnsi="Times New Roman" w:eastAsia="仿宋_GB2312" w:cs="Times New Roman"/>
                <w:color w:val="auto"/>
                <w:kern w:val="2"/>
                <w:sz w:val="21"/>
                <w:szCs w:val="21"/>
                <w:lang w:val="en-US" w:eastAsia="zh-CN" w:bidi="ar-SA"/>
              </w:rPr>
            </w:pPr>
          </w:p>
        </w:tc>
      </w:tr>
      <w:tr w14:paraId="3B16D5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7D6A173D">
            <w:pPr>
              <w:jc w:val="center"/>
              <w:rPr>
                <w:rFonts w:eastAsia="仿宋_GB2312"/>
                <w:color w:val="auto"/>
                <w:szCs w:val="21"/>
              </w:rPr>
            </w:pPr>
          </w:p>
        </w:tc>
        <w:tc>
          <w:tcPr>
            <w:tcW w:w="358" w:type="pct"/>
            <w:vMerge w:val="continue"/>
            <w:vAlign w:val="center"/>
          </w:tcPr>
          <w:p w14:paraId="7289CA5A">
            <w:pPr>
              <w:jc w:val="center"/>
              <w:rPr>
                <w:rFonts w:eastAsia="仿宋_GB2312"/>
                <w:color w:val="auto"/>
                <w:szCs w:val="21"/>
              </w:rPr>
            </w:pPr>
          </w:p>
        </w:tc>
        <w:tc>
          <w:tcPr>
            <w:tcW w:w="418" w:type="pct"/>
            <w:vMerge w:val="continue"/>
            <w:vAlign w:val="center"/>
          </w:tcPr>
          <w:p w14:paraId="04E910B3">
            <w:pPr>
              <w:jc w:val="center"/>
              <w:rPr>
                <w:rFonts w:eastAsia="仿宋_GB2312"/>
                <w:color w:val="auto"/>
                <w:szCs w:val="21"/>
              </w:rPr>
            </w:pPr>
          </w:p>
        </w:tc>
        <w:tc>
          <w:tcPr>
            <w:tcW w:w="446" w:type="pct"/>
            <w:vMerge w:val="continue"/>
            <w:vAlign w:val="center"/>
          </w:tcPr>
          <w:p w14:paraId="33BFEE27">
            <w:pPr>
              <w:jc w:val="center"/>
              <w:rPr>
                <w:rFonts w:eastAsia="仿宋_GB2312"/>
                <w:color w:val="auto"/>
                <w:szCs w:val="21"/>
              </w:rPr>
            </w:pPr>
          </w:p>
        </w:tc>
        <w:tc>
          <w:tcPr>
            <w:tcW w:w="361" w:type="pct"/>
            <w:vMerge w:val="continue"/>
            <w:vAlign w:val="center"/>
          </w:tcPr>
          <w:p w14:paraId="446AF588">
            <w:pPr>
              <w:jc w:val="center"/>
              <w:rPr>
                <w:rFonts w:eastAsia="仿宋_GB2312"/>
                <w:color w:val="auto"/>
                <w:szCs w:val="21"/>
              </w:rPr>
            </w:pPr>
          </w:p>
        </w:tc>
        <w:tc>
          <w:tcPr>
            <w:tcW w:w="498" w:type="pct"/>
            <w:vMerge w:val="continue"/>
            <w:shd w:val="clear" w:color="auto" w:fill="auto"/>
            <w:vAlign w:val="center"/>
          </w:tcPr>
          <w:p w14:paraId="2F482FBE">
            <w:pPr>
              <w:keepNext w:val="0"/>
              <w:keepLines w:val="0"/>
              <w:widowControl/>
              <w:suppressLineNumbers w:val="0"/>
              <w:jc w:val="center"/>
              <w:textAlignment w:val="bottom"/>
              <w:rPr>
                <w:rFonts w:hint="eastAsia" w:eastAsia="仿宋_GB2312"/>
                <w:color w:val="auto"/>
                <w:kern w:val="0"/>
                <w:szCs w:val="21"/>
                <w:lang w:val="en-US" w:eastAsia="zh-CN" w:bidi="ar"/>
              </w:rPr>
            </w:pPr>
          </w:p>
        </w:tc>
        <w:tc>
          <w:tcPr>
            <w:tcW w:w="820" w:type="pct"/>
            <w:shd w:val="clear" w:color="auto" w:fill="auto"/>
            <w:vAlign w:val="center"/>
          </w:tcPr>
          <w:p w14:paraId="1103F81F">
            <w:pPr>
              <w:widowControl/>
              <w:jc w:val="center"/>
              <w:textAlignment w:val="center"/>
              <w:rPr>
                <w:rFonts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乙醇</w:t>
            </w:r>
          </w:p>
        </w:tc>
        <w:tc>
          <w:tcPr>
            <w:tcW w:w="380" w:type="pct"/>
            <w:shd w:val="clear" w:color="auto" w:fill="auto"/>
            <w:vAlign w:val="center"/>
          </w:tcPr>
          <w:p w14:paraId="39FC507A">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0.003</w:t>
            </w:r>
          </w:p>
        </w:tc>
        <w:tc>
          <w:tcPr>
            <w:tcW w:w="445" w:type="pct"/>
            <w:shd w:val="clear" w:color="auto" w:fill="auto"/>
            <w:vAlign w:val="center"/>
          </w:tcPr>
          <w:p w14:paraId="10C3D6D1">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ascii="Times New Roman" w:hAnsi="Times New Roman" w:eastAsia="仿宋_GB2312" w:cs="Times New Roman"/>
                <w:color w:val="auto"/>
                <w:kern w:val="0"/>
                <w:szCs w:val="21"/>
                <w:lang w:val="en-US" w:eastAsia="zh-CN" w:bidi="ar"/>
              </w:rPr>
              <w:t>0.00198</w:t>
            </w:r>
          </w:p>
        </w:tc>
        <w:tc>
          <w:tcPr>
            <w:tcW w:w="630" w:type="pct"/>
            <w:vMerge w:val="continue"/>
            <w:vAlign w:val="center"/>
          </w:tcPr>
          <w:p w14:paraId="24A70227">
            <w:pPr>
              <w:jc w:val="center"/>
              <w:rPr>
                <w:rFonts w:eastAsia="仿宋_GB2312"/>
                <w:color w:val="auto"/>
                <w:szCs w:val="21"/>
              </w:rPr>
            </w:pPr>
          </w:p>
        </w:tc>
        <w:tc>
          <w:tcPr>
            <w:tcW w:w="292" w:type="pct"/>
            <w:vMerge w:val="continue"/>
            <w:vAlign w:val="center"/>
          </w:tcPr>
          <w:p w14:paraId="40C8630D">
            <w:pPr>
              <w:jc w:val="center"/>
              <w:rPr>
                <w:rFonts w:eastAsia="仿宋_GB2312"/>
                <w:color w:val="auto"/>
                <w:szCs w:val="21"/>
              </w:rPr>
            </w:pPr>
          </w:p>
        </w:tc>
      </w:tr>
      <w:tr w14:paraId="3196BA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481CD4D9">
            <w:pPr>
              <w:jc w:val="center"/>
              <w:rPr>
                <w:rFonts w:eastAsia="仿宋_GB2312"/>
                <w:color w:val="auto"/>
                <w:szCs w:val="21"/>
              </w:rPr>
            </w:pPr>
          </w:p>
        </w:tc>
        <w:tc>
          <w:tcPr>
            <w:tcW w:w="358" w:type="pct"/>
            <w:vMerge w:val="continue"/>
            <w:vAlign w:val="center"/>
          </w:tcPr>
          <w:p w14:paraId="6C400B4B">
            <w:pPr>
              <w:jc w:val="center"/>
              <w:rPr>
                <w:rFonts w:eastAsia="仿宋_GB2312"/>
                <w:color w:val="auto"/>
                <w:szCs w:val="21"/>
              </w:rPr>
            </w:pPr>
          </w:p>
        </w:tc>
        <w:tc>
          <w:tcPr>
            <w:tcW w:w="418" w:type="pct"/>
            <w:vMerge w:val="continue"/>
            <w:vAlign w:val="center"/>
          </w:tcPr>
          <w:p w14:paraId="131FF4D0">
            <w:pPr>
              <w:jc w:val="center"/>
              <w:rPr>
                <w:rFonts w:eastAsia="仿宋_GB2312"/>
                <w:color w:val="auto"/>
                <w:szCs w:val="21"/>
              </w:rPr>
            </w:pPr>
          </w:p>
        </w:tc>
        <w:tc>
          <w:tcPr>
            <w:tcW w:w="446" w:type="pct"/>
            <w:vMerge w:val="continue"/>
            <w:vAlign w:val="center"/>
          </w:tcPr>
          <w:p w14:paraId="230A2812">
            <w:pPr>
              <w:jc w:val="center"/>
              <w:rPr>
                <w:rFonts w:eastAsia="仿宋_GB2312"/>
                <w:color w:val="auto"/>
                <w:szCs w:val="21"/>
              </w:rPr>
            </w:pPr>
          </w:p>
        </w:tc>
        <w:tc>
          <w:tcPr>
            <w:tcW w:w="361" w:type="pct"/>
            <w:vMerge w:val="continue"/>
            <w:vAlign w:val="center"/>
          </w:tcPr>
          <w:p w14:paraId="3BEF24EE">
            <w:pPr>
              <w:jc w:val="center"/>
              <w:rPr>
                <w:rFonts w:eastAsia="仿宋_GB2312"/>
                <w:color w:val="auto"/>
                <w:szCs w:val="21"/>
              </w:rPr>
            </w:pPr>
          </w:p>
        </w:tc>
        <w:tc>
          <w:tcPr>
            <w:tcW w:w="498" w:type="pct"/>
            <w:vMerge w:val="continue"/>
            <w:shd w:val="clear" w:color="auto" w:fill="auto"/>
            <w:vAlign w:val="center"/>
          </w:tcPr>
          <w:p w14:paraId="2B42A872">
            <w:pPr>
              <w:keepNext w:val="0"/>
              <w:keepLines w:val="0"/>
              <w:widowControl/>
              <w:suppressLineNumbers w:val="0"/>
              <w:jc w:val="center"/>
              <w:textAlignment w:val="bottom"/>
              <w:rPr>
                <w:rFonts w:eastAsia="仿宋_GB2312"/>
                <w:color w:val="auto"/>
                <w:kern w:val="0"/>
                <w:szCs w:val="21"/>
                <w:lang w:bidi="ar"/>
              </w:rPr>
            </w:pPr>
          </w:p>
        </w:tc>
        <w:tc>
          <w:tcPr>
            <w:tcW w:w="820" w:type="pct"/>
            <w:shd w:val="clear" w:color="auto" w:fill="auto"/>
            <w:vAlign w:val="center"/>
          </w:tcPr>
          <w:p w14:paraId="50B69FF1">
            <w:pPr>
              <w:widowControl/>
              <w:jc w:val="center"/>
              <w:textAlignment w:val="center"/>
              <w:rPr>
                <w:rFonts w:ascii="Times New Roman" w:hAnsi="Times New Roman" w:eastAsia="仿宋_GB2312" w:cs="Times New Roman"/>
                <w:b/>
                <w:bCs/>
                <w:color w:val="auto"/>
                <w:kern w:val="0"/>
                <w:sz w:val="21"/>
                <w:szCs w:val="21"/>
                <w:lang w:val="en-US" w:eastAsia="zh-CN" w:bidi="ar"/>
              </w:rPr>
            </w:pPr>
            <w:r>
              <w:rPr>
                <w:rFonts w:eastAsia="仿宋_GB2312"/>
                <w:color w:val="auto"/>
                <w:kern w:val="0"/>
                <w:szCs w:val="21"/>
                <w:lang w:bidi="ar"/>
              </w:rPr>
              <w:t>其他有机物</w:t>
            </w:r>
          </w:p>
        </w:tc>
        <w:tc>
          <w:tcPr>
            <w:tcW w:w="380" w:type="pct"/>
            <w:shd w:val="clear" w:color="auto" w:fill="auto"/>
            <w:vAlign w:val="center"/>
          </w:tcPr>
          <w:p w14:paraId="5B4FF9C4">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0.06</w:t>
            </w:r>
          </w:p>
        </w:tc>
        <w:tc>
          <w:tcPr>
            <w:tcW w:w="445" w:type="pct"/>
            <w:shd w:val="clear" w:color="auto" w:fill="auto"/>
            <w:vAlign w:val="center"/>
          </w:tcPr>
          <w:p w14:paraId="7A668238">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ascii="Times New Roman" w:hAnsi="Times New Roman" w:eastAsia="仿宋_GB2312" w:cs="Times New Roman"/>
                <w:color w:val="auto"/>
                <w:kern w:val="0"/>
                <w:szCs w:val="21"/>
                <w:lang w:val="en-US" w:eastAsia="zh-CN" w:bidi="ar"/>
              </w:rPr>
              <w:t>0.0406</w:t>
            </w:r>
          </w:p>
        </w:tc>
        <w:tc>
          <w:tcPr>
            <w:tcW w:w="630" w:type="pct"/>
            <w:vMerge w:val="continue"/>
            <w:vAlign w:val="center"/>
          </w:tcPr>
          <w:p w14:paraId="59C2855F">
            <w:pPr>
              <w:jc w:val="center"/>
              <w:rPr>
                <w:rFonts w:eastAsia="仿宋_GB2312"/>
                <w:color w:val="auto"/>
                <w:szCs w:val="21"/>
              </w:rPr>
            </w:pPr>
          </w:p>
        </w:tc>
        <w:tc>
          <w:tcPr>
            <w:tcW w:w="292" w:type="pct"/>
            <w:vMerge w:val="continue"/>
            <w:vAlign w:val="center"/>
          </w:tcPr>
          <w:p w14:paraId="2EAA3165">
            <w:pPr>
              <w:jc w:val="center"/>
              <w:rPr>
                <w:rFonts w:eastAsia="仿宋_GB2312"/>
                <w:color w:val="auto"/>
                <w:szCs w:val="21"/>
              </w:rPr>
            </w:pPr>
          </w:p>
        </w:tc>
      </w:tr>
      <w:tr w14:paraId="74BCDC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551CDDAD">
            <w:pPr>
              <w:jc w:val="center"/>
              <w:rPr>
                <w:rFonts w:eastAsia="仿宋_GB2312"/>
                <w:color w:val="auto"/>
                <w:szCs w:val="21"/>
              </w:rPr>
            </w:pPr>
          </w:p>
        </w:tc>
        <w:tc>
          <w:tcPr>
            <w:tcW w:w="358" w:type="pct"/>
            <w:vMerge w:val="continue"/>
            <w:vAlign w:val="center"/>
          </w:tcPr>
          <w:p w14:paraId="530E5370">
            <w:pPr>
              <w:jc w:val="center"/>
              <w:rPr>
                <w:rFonts w:eastAsia="仿宋_GB2312"/>
                <w:color w:val="auto"/>
                <w:szCs w:val="21"/>
              </w:rPr>
            </w:pPr>
          </w:p>
        </w:tc>
        <w:tc>
          <w:tcPr>
            <w:tcW w:w="418" w:type="pct"/>
            <w:vMerge w:val="restart"/>
            <w:vAlign w:val="center"/>
          </w:tcPr>
          <w:p w14:paraId="657772A8">
            <w:pPr>
              <w:jc w:val="center"/>
              <w:rPr>
                <w:rFonts w:eastAsia="仿宋_GB2312"/>
                <w:color w:val="auto"/>
                <w:szCs w:val="21"/>
              </w:rPr>
            </w:pPr>
            <w:r>
              <w:rPr>
                <w:rFonts w:eastAsia="仿宋_GB2312"/>
                <w:color w:val="auto"/>
                <w:kern w:val="0"/>
                <w:szCs w:val="21"/>
                <w:lang w:bidi="ar"/>
              </w:rPr>
              <w:t>G</w:t>
            </w:r>
            <w:r>
              <w:rPr>
                <w:rFonts w:hint="eastAsia" w:eastAsia="仿宋_GB2312"/>
                <w:color w:val="auto"/>
                <w:kern w:val="0"/>
                <w:szCs w:val="21"/>
                <w:lang w:val="en-US" w:eastAsia="zh-CN" w:bidi="ar"/>
              </w:rPr>
              <w:t>3</w:t>
            </w:r>
            <w:r>
              <w:rPr>
                <w:rFonts w:eastAsia="仿宋_GB2312"/>
                <w:color w:val="auto"/>
                <w:kern w:val="0"/>
                <w:szCs w:val="21"/>
                <w:lang w:bidi="ar"/>
              </w:rPr>
              <w:t>-</w:t>
            </w:r>
            <w:r>
              <w:rPr>
                <w:rFonts w:hint="eastAsia" w:eastAsia="仿宋_GB2312"/>
                <w:color w:val="auto"/>
                <w:kern w:val="0"/>
                <w:szCs w:val="21"/>
                <w:lang w:val="en-US" w:eastAsia="zh-CN" w:bidi="ar"/>
              </w:rPr>
              <w:t>3</w:t>
            </w:r>
            <w:r>
              <w:rPr>
                <w:rFonts w:eastAsia="仿宋_GB2312"/>
                <w:color w:val="auto"/>
                <w:kern w:val="0"/>
                <w:szCs w:val="21"/>
                <w:lang w:bidi="ar"/>
              </w:rPr>
              <w:t>-2</w:t>
            </w:r>
          </w:p>
        </w:tc>
        <w:tc>
          <w:tcPr>
            <w:tcW w:w="446" w:type="pct"/>
            <w:vMerge w:val="restart"/>
            <w:vAlign w:val="center"/>
          </w:tcPr>
          <w:p w14:paraId="619C1985">
            <w:pPr>
              <w:jc w:val="center"/>
              <w:rPr>
                <w:rFonts w:eastAsia="仿宋_GB2312"/>
                <w:color w:val="auto"/>
                <w:szCs w:val="21"/>
              </w:rPr>
            </w:pPr>
            <w:r>
              <w:rPr>
                <w:rFonts w:eastAsia="仿宋_GB2312"/>
                <w:color w:val="auto"/>
                <w:kern w:val="0"/>
                <w:szCs w:val="21"/>
                <w:lang w:bidi="ar"/>
              </w:rPr>
              <w:t>调节废气</w:t>
            </w:r>
          </w:p>
        </w:tc>
        <w:tc>
          <w:tcPr>
            <w:tcW w:w="361" w:type="pct"/>
            <w:vMerge w:val="restart"/>
            <w:vAlign w:val="center"/>
          </w:tcPr>
          <w:p w14:paraId="2D2A91D4">
            <w:pPr>
              <w:jc w:val="center"/>
              <w:rPr>
                <w:rFonts w:eastAsia="仿宋_GB2312"/>
                <w:color w:val="auto"/>
                <w:szCs w:val="21"/>
              </w:rPr>
            </w:pPr>
            <w:r>
              <w:rPr>
                <w:rFonts w:hint="eastAsia" w:eastAsia="仿宋_GB2312"/>
                <w:color w:val="auto"/>
                <w:szCs w:val="21"/>
                <w:lang w:val="en-US" w:eastAsia="zh-CN"/>
              </w:rPr>
              <w:t>1</w:t>
            </w:r>
            <w:r>
              <w:rPr>
                <w:rFonts w:eastAsia="仿宋_GB2312"/>
                <w:color w:val="auto"/>
                <w:szCs w:val="21"/>
              </w:rPr>
              <w:t>00</w:t>
            </w:r>
          </w:p>
        </w:tc>
        <w:tc>
          <w:tcPr>
            <w:tcW w:w="498" w:type="pct"/>
            <w:vMerge w:val="restart"/>
            <w:shd w:val="clear" w:color="auto" w:fill="auto"/>
            <w:vAlign w:val="center"/>
          </w:tcPr>
          <w:p w14:paraId="3D8A4A66">
            <w:pPr>
              <w:keepNext w:val="0"/>
              <w:keepLines w:val="0"/>
              <w:widowControl/>
              <w:suppressLineNumbers w:val="0"/>
              <w:jc w:val="center"/>
              <w:textAlignment w:val="bottom"/>
              <w:rPr>
                <w:rFonts w:hint="eastAsia" w:eastAsia="仿宋_GB2312"/>
                <w:color w:val="auto"/>
                <w:kern w:val="0"/>
                <w:szCs w:val="21"/>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604</w:t>
            </w:r>
          </w:p>
        </w:tc>
        <w:tc>
          <w:tcPr>
            <w:tcW w:w="820" w:type="pct"/>
            <w:shd w:val="clear" w:color="auto" w:fill="auto"/>
            <w:vAlign w:val="center"/>
          </w:tcPr>
          <w:p w14:paraId="202BA78B">
            <w:pPr>
              <w:widowControl/>
              <w:jc w:val="center"/>
              <w:textAlignment w:val="center"/>
              <w:rPr>
                <w:rFonts w:hint="eastAsia" w:ascii="Times New Roman" w:hAnsi="Times New Roman" w:eastAsia="仿宋_GB2312" w:cs="Times New Roman"/>
                <w:b/>
                <w:bCs/>
                <w:color w:val="auto"/>
                <w:kern w:val="0"/>
                <w:sz w:val="21"/>
                <w:szCs w:val="21"/>
                <w:lang w:val="en-US" w:eastAsia="zh-CN" w:bidi="ar"/>
              </w:rPr>
            </w:pPr>
            <w:r>
              <w:rPr>
                <w:rFonts w:hint="eastAsia" w:eastAsia="仿宋_GB2312"/>
                <w:color w:val="auto"/>
                <w:kern w:val="0"/>
                <w:szCs w:val="21"/>
                <w:lang w:val="en-US" w:eastAsia="zh-CN" w:bidi="ar"/>
              </w:rPr>
              <w:t>乙酸乙酯</w:t>
            </w:r>
          </w:p>
        </w:tc>
        <w:tc>
          <w:tcPr>
            <w:tcW w:w="380" w:type="pct"/>
            <w:shd w:val="clear" w:color="auto" w:fill="auto"/>
            <w:vAlign w:val="center"/>
          </w:tcPr>
          <w:p w14:paraId="474278FE">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2.78</w:t>
            </w:r>
          </w:p>
        </w:tc>
        <w:tc>
          <w:tcPr>
            <w:tcW w:w="445" w:type="pct"/>
            <w:shd w:val="clear" w:color="auto" w:fill="auto"/>
            <w:vAlign w:val="center"/>
          </w:tcPr>
          <w:p w14:paraId="31D9E5E5">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1.681</w:t>
            </w:r>
          </w:p>
        </w:tc>
        <w:tc>
          <w:tcPr>
            <w:tcW w:w="630" w:type="pct"/>
            <w:vMerge w:val="restart"/>
            <w:shd w:val="clear" w:color="auto" w:fill="auto"/>
            <w:vAlign w:val="center"/>
          </w:tcPr>
          <w:p w14:paraId="31D17FE8">
            <w:pPr>
              <w:widowControl/>
              <w:jc w:val="center"/>
              <w:textAlignment w:val="center"/>
              <w:rPr>
                <w:rFonts w:ascii="Times New Roman" w:hAnsi="Times New Roman" w:eastAsia="仿宋_GB2312" w:cs="Times New Roman"/>
                <w:color w:val="auto"/>
                <w:kern w:val="2"/>
                <w:sz w:val="21"/>
                <w:szCs w:val="21"/>
                <w:lang w:val="en-US" w:eastAsia="zh-CN" w:bidi="ar-SA"/>
              </w:rPr>
            </w:pPr>
            <w:r>
              <w:rPr>
                <w:rFonts w:hint="eastAsia" w:eastAsia="仿宋_GB2312"/>
                <w:color w:val="auto"/>
                <w:szCs w:val="21"/>
              </w:rPr>
              <w:t>预处理（冷凝+稀酸吸收+碱吸收+水吸收+除雾）+</w:t>
            </w:r>
            <w:r>
              <w:rPr>
                <w:rFonts w:eastAsia="仿宋_GB2312"/>
                <w:color w:val="auto"/>
                <w:szCs w:val="21"/>
              </w:rPr>
              <w:t>焚烧</w:t>
            </w:r>
          </w:p>
        </w:tc>
        <w:tc>
          <w:tcPr>
            <w:tcW w:w="292" w:type="pct"/>
            <w:vMerge w:val="restart"/>
            <w:shd w:val="clear" w:color="auto" w:fill="auto"/>
            <w:vAlign w:val="center"/>
          </w:tcPr>
          <w:p w14:paraId="43DD9A14">
            <w:pPr>
              <w:widowControl/>
              <w:jc w:val="center"/>
              <w:textAlignment w:val="center"/>
              <w:rPr>
                <w:rFonts w:ascii="Times New Roman" w:hAnsi="Times New Roman" w:eastAsia="仿宋_GB2312" w:cs="Times New Roman"/>
                <w:color w:val="auto"/>
                <w:kern w:val="2"/>
                <w:sz w:val="21"/>
                <w:szCs w:val="21"/>
                <w:lang w:val="en-US" w:eastAsia="zh-CN" w:bidi="ar-SA"/>
              </w:rPr>
            </w:pPr>
            <w:r>
              <w:rPr>
                <w:rFonts w:hint="eastAsia" w:eastAsia="仿宋_GB2312"/>
                <w:color w:val="auto"/>
                <w:kern w:val="0"/>
                <w:szCs w:val="21"/>
                <w:lang w:bidi="ar"/>
              </w:rPr>
              <w:t>DA002</w:t>
            </w:r>
          </w:p>
        </w:tc>
      </w:tr>
      <w:tr w14:paraId="377232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6FA01214">
            <w:pPr>
              <w:jc w:val="center"/>
              <w:rPr>
                <w:rFonts w:eastAsia="仿宋_GB2312"/>
                <w:color w:val="auto"/>
                <w:szCs w:val="21"/>
              </w:rPr>
            </w:pPr>
          </w:p>
        </w:tc>
        <w:tc>
          <w:tcPr>
            <w:tcW w:w="358" w:type="pct"/>
            <w:vMerge w:val="continue"/>
            <w:vAlign w:val="center"/>
          </w:tcPr>
          <w:p w14:paraId="04D081A4">
            <w:pPr>
              <w:jc w:val="center"/>
              <w:rPr>
                <w:rFonts w:eastAsia="仿宋_GB2312"/>
                <w:color w:val="auto"/>
                <w:szCs w:val="21"/>
              </w:rPr>
            </w:pPr>
          </w:p>
        </w:tc>
        <w:tc>
          <w:tcPr>
            <w:tcW w:w="418" w:type="pct"/>
            <w:vMerge w:val="continue"/>
            <w:vAlign w:val="center"/>
          </w:tcPr>
          <w:p w14:paraId="08636DEE">
            <w:pPr>
              <w:jc w:val="center"/>
              <w:rPr>
                <w:rFonts w:eastAsia="仿宋_GB2312"/>
                <w:color w:val="auto"/>
                <w:szCs w:val="21"/>
              </w:rPr>
            </w:pPr>
          </w:p>
        </w:tc>
        <w:tc>
          <w:tcPr>
            <w:tcW w:w="446" w:type="pct"/>
            <w:vMerge w:val="continue"/>
            <w:vAlign w:val="center"/>
          </w:tcPr>
          <w:p w14:paraId="1147D9CB">
            <w:pPr>
              <w:jc w:val="center"/>
              <w:rPr>
                <w:rFonts w:eastAsia="仿宋_GB2312"/>
                <w:color w:val="auto"/>
                <w:szCs w:val="21"/>
              </w:rPr>
            </w:pPr>
          </w:p>
        </w:tc>
        <w:tc>
          <w:tcPr>
            <w:tcW w:w="361" w:type="pct"/>
            <w:vMerge w:val="continue"/>
            <w:vAlign w:val="center"/>
          </w:tcPr>
          <w:p w14:paraId="45E0DE53">
            <w:pPr>
              <w:jc w:val="center"/>
              <w:rPr>
                <w:rFonts w:eastAsia="仿宋_GB2312"/>
                <w:color w:val="auto"/>
                <w:szCs w:val="21"/>
              </w:rPr>
            </w:pPr>
          </w:p>
        </w:tc>
        <w:tc>
          <w:tcPr>
            <w:tcW w:w="498" w:type="pct"/>
            <w:vMerge w:val="continue"/>
            <w:shd w:val="clear" w:color="auto" w:fill="auto"/>
            <w:vAlign w:val="center"/>
          </w:tcPr>
          <w:p w14:paraId="7DAF4DD2">
            <w:pPr>
              <w:keepNext w:val="0"/>
              <w:keepLines w:val="0"/>
              <w:widowControl/>
              <w:suppressLineNumbers w:val="0"/>
              <w:jc w:val="center"/>
              <w:textAlignment w:val="bottom"/>
              <w:rPr>
                <w:rFonts w:hint="eastAsia" w:eastAsia="仿宋_GB2312"/>
                <w:color w:val="auto"/>
                <w:kern w:val="0"/>
                <w:szCs w:val="21"/>
                <w:lang w:val="en-US" w:eastAsia="zh-CN" w:bidi="ar"/>
              </w:rPr>
            </w:pPr>
          </w:p>
        </w:tc>
        <w:tc>
          <w:tcPr>
            <w:tcW w:w="820" w:type="pct"/>
            <w:shd w:val="clear" w:color="auto" w:fill="auto"/>
            <w:vAlign w:val="center"/>
          </w:tcPr>
          <w:p w14:paraId="4A9120AD">
            <w:pPr>
              <w:widowControl/>
              <w:jc w:val="center"/>
              <w:textAlignment w:val="center"/>
              <w:rPr>
                <w:rFonts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乙醇</w:t>
            </w:r>
          </w:p>
        </w:tc>
        <w:tc>
          <w:tcPr>
            <w:tcW w:w="380" w:type="pct"/>
            <w:shd w:val="clear" w:color="auto" w:fill="auto"/>
            <w:vAlign w:val="center"/>
          </w:tcPr>
          <w:p w14:paraId="1A3C1C06">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0.001</w:t>
            </w:r>
          </w:p>
        </w:tc>
        <w:tc>
          <w:tcPr>
            <w:tcW w:w="445" w:type="pct"/>
            <w:shd w:val="clear" w:color="auto" w:fill="auto"/>
            <w:vAlign w:val="center"/>
          </w:tcPr>
          <w:p w14:paraId="6A5FDC34">
            <w:pPr>
              <w:widowControl/>
              <w:jc w:val="center"/>
              <w:textAlignment w:val="center"/>
              <w:rPr>
                <w:rFonts w:hint="eastAsia" w:ascii="Times New Roman" w:hAnsi="Times New Roman" w:eastAsia="仿宋_GB2312" w:cs="Times New Roman"/>
                <w:color w:val="auto"/>
                <w:kern w:val="0"/>
                <w:sz w:val="21"/>
                <w:szCs w:val="21"/>
                <w:lang w:val="en-US" w:eastAsia="zh-CN" w:bidi="ar"/>
              </w:rPr>
            </w:pPr>
            <w:r>
              <w:rPr>
                <w:rFonts w:eastAsia="仿宋_GB2312"/>
                <w:color w:val="auto"/>
                <w:kern w:val="0"/>
                <w:szCs w:val="21"/>
                <w:lang w:bidi="ar"/>
              </w:rPr>
              <w:t>0.00</w:t>
            </w:r>
            <w:r>
              <w:rPr>
                <w:rFonts w:hint="eastAsia" w:eastAsia="仿宋_GB2312"/>
                <w:color w:val="auto"/>
                <w:kern w:val="0"/>
                <w:szCs w:val="21"/>
                <w:lang w:val="en-US" w:eastAsia="zh-CN" w:bidi="ar"/>
              </w:rPr>
              <w:t>1</w:t>
            </w:r>
          </w:p>
        </w:tc>
        <w:tc>
          <w:tcPr>
            <w:tcW w:w="630" w:type="pct"/>
            <w:vMerge w:val="continue"/>
            <w:vAlign w:val="center"/>
          </w:tcPr>
          <w:p w14:paraId="1F95D827">
            <w:pPr>
              <w:jc w:val="center"/>
              <w:rPr>
                <w:rFonts w:eastAsia="仿宋_GB2312"/>
                <w:color w:val="auto"/>
                <w:szCs w:val="21"/>
              </w:rPr>
            </w:pPr>
          </w:p>
        </w:tc>
        <w:tc>
          <w:tcPr>
            <w:tcW w:w="292" w:type="pct"/>
            <w:vMerge w:val="continue"/>
            <w:vAlign w:val="center"/>
          </w:tcPr>
          <w:p w14:paraId="267503B2">
            <w:pPr>
              <w:jc w:val="center"/>
              <w:rPr>
                <w:rFonts w:eastAsia="仿宋_GB2312"/>
                <w:color w:val="auto"/>
                <w:szCs w:val="21"/>
              </w:rPr>
            </w:pPr>
          </w:p>
        </w:tc>
      </w:tr>
      <w:tr w14:paraId="50F23C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024C04B5">
            <w:pPr>
              <w:jc w:val="center"/>
              <w:rPr>
                <w:rFonts w:eastAsia="仿宋_GB2312"/>
                <w:color w:val="auto"/>
                <w:szCs w:val="21"/>
              </w:rPr>
            </w:pPr>
          </w:p>
        </w:tc>
        <w:tc>
          <w:tcPr>
            <w:tcW w:w="358" w:type="pct"/>
            <w:vMerge w:val="continue"/>
            <w:vAlign w:val="center"/>
          </w:tcPr>
          <w:p w14:paraId="27346BDB">
            <w:pPr>
              <w:jc w:val="center"/>
              <w:rPr>
                <w:rFonts w:eastAsia="仿宋_GB2312"/>
                <w:color w:val="auto"/>
                <w:szCs w:val="21"/>
              </w:rPr>
            </w:pPr>
          </w:p>
        </w:tc>
        <w:tc>
          <w:tcPr>
            <w:tcW w:w="418" w:type="pct"/>
            <w:vMerge w:val="continue"/>
            <w:vAlign w:val="center"/>
          </w:tcPr>
          <w:p w14:paraId="651C6396">
            <w:pPr>
              <w:jc w:val="center"/>
              <w:rPr>
                <w:rFonts w:eastAsia="仿宋_GB2312"/>
                <w:color w:val="auto"/>
                <w:szCs w:val="21"/>
              </w:rPr>
            </w:pPr>
          </w:p>
        </w:tc>
        <w:tc>
          <w:tcPr>
            <w:tcW w:w="446" w:type="pct"/>
            <w:vMerge w:val="continue"/>
            <w:vAlign w:val="center"/>
          </w:tcPr>
          <w:p w14:paraId="3F670BEE">
            <w:pPr>
              <w:jc w:val="center"/>
              <w:rPr>
                <w:rFonts w:eastAsia="仿宋_GB2312"/>
                <w:color w:val="auto"/>
                <w:szCs w:val="21"/>
              </w:rPr>
            </w:pPr>
          </w:p>
        </w:tc>
        <w:tc>
          <w:tcPr>
            <w:tcW w:w="361" w:type="pct"/>
            <w:vMerge w:val="continue"/>
            <w:vAlign w:val="center"/>
          </w:tcPr>
          <w:p w14:paraId="2D9BA1CF">
            <w:pPr>
              <w:jc w:val="center"/>
              <w:rPr>
                <w:rFonts w:eastAsia="仿宋_GB2312"/>
                <w:color w:val="auto"/>
                <w:szCs w:val="21"/>
              </w:rPr>
            </w:pPr>
          </w:p>
        </w:tc>
        <w:tc>
          <w:tcPr>
            <w:tcW w:w="498" w:type="pct"/>
            <w:vMerge w:val="continue"/>
            <w:shd w:val="clear" w:color="auto" w:fill="auto"/>
            <w:vAlign w:val="center"/>
          </w:tcPr>
          <w:p w14:paraId="1957D474">
            <w:pPr>
              <w:keepNext w:val="0"/>
              <w:keepLines w:val="0"/>
              <w:widowControl/>
              <w:suppressLineNumbers w:val="0"/>
              <w:jc w:val="center"/>
              <w:textAlignment w:val="bottom"/>
              <w:rPr>
                <w:rFonts w:eastAsia="仿宋_GB2312"/>
                <w:color w:val="auto"/>
                <w:kern w:val="0"/>
                <w:szCs w:val="21"/>
                <w:lang w:bidi="ar"/>
              </w:rPr>
            </w:pPr>
          </w:p>
        </w:tc>
        <w:tc>
          <w:tcPr>
            <w:tcW w:w="820" w:type="pct"/>
            <w:shd w:val="clear" w:color="auto" w:fill="auto"/>
            <w:vAlign w:val="center"/>
          </w:tcPr>
          <w:p w14:paraId="46F53A4C">
            <w:pPr>
              <w:widowControl/>
              <w:jc w:val="center"/>
              <w:textAlignment w:val="center"/>
              <w:rPr>
                <w:rFonts w:ascii="Times New Roman" w:hAnsi="Times New Roman" w:eastAsia="仿宋_GB2312" w:cs="Times New Roman"/>
                <w:b/>
                <w:bCs/>
                <w:color w:val="auto"/>
                <w:kern w:val="0"/>
                <w:sz w:val="21"/>
                <w:szCs w:val="21"/>
                <w:lang w:val="en-US" w:eastAsia="zh-CN" w:bidi="ar"/>
              </w:rPr>
            </w:pPr>
            <w:r>
              <w:rPr>
                <w:rFonts w:eastAsia="仿宋_GB2312"/>
                <w:color w:val="auto"/>
                <w:kern w:val="0"/>
                <w:szCs w:val="21"/>
                <w:lang w:bidi="ar"/>
              </w:rPr>
              <w:t>其他有机物</w:t>
            </w:r>
          </w:p>
        </w:tc>
        <w:tc>
          <w:tcPr>
            <w:tcW w:w="380" w:type="pct"/>
            <w:shd w:val="clear" w:color="auto" w:fill="auto"/>
            <w:vAlign w:val="center"/>
          </w:tcPr>
          <w:p w14:paraId="64BC939A">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0.034</w:t>
            </w:r>
          </w:p>
        </w:tc>
        <w:tc>
          <w:tcPr>
            <w:tcW w:w="445" w:type="pct"/>
            <w:shd w:val="clear" w:color="auto" w:fill="auto"/>
            <w:vAlign w:val="center"/>
          </w:tcPr>
          <w:p w14:paraId="2688CA3B">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eastAsia="仿宋_GB2312"/>
                <w:color w:val="auto"/>
                <w:kern w:val="0"/>
                <w:szCs w:val="21"/>
                <w:lang w:bidi="ar"/>
              </w:rPr>
              <w:t>0.0</w:t>
            </w:r>
            <w:r>
              <w:rPr>
                <w:rFonts w:hint="eastAsia" w:eastAsia="仿宋_GB2312"/>
                <w:color w:val="auto"/>
                <w:kern w:val="0"/>
                <w:szCs w:val="21"/>
                <w:lang w:val="en-US" w:eastAsia="zh-CN" w:bidi="ar"/>
              </w:rPr>
              <w:t>21</w:t>
            </w:r>
          </w:p>
        </w:tc>
        <w:tc>
          <w:tcPr>
            <w:tcW w:w="630" w:type="pct"/>
            <w:vMerge w:val="continue"/>
            <w:vAlign w:val="center"/>
          </w:tcPr>
          <w:p w14:paraId="58DB068D">
            <w:pPr>
              <w:jc w:val="center"/>
              <w:rPr>
                <w:rFonts w:eastAsia="仿宋_GB2312"/>
                <w:color w:val="auto"/>
                <w:szCs w:val="21"/>
              </w:rPr>
            </w:pPr>
          </w:p>
        </w:tc>
        <w:tc>
          <w:tcPr>
            <w:tcW w:w="292" w:type="pct"/>
            <w:vMerge w:val="continue"/>
            <w:vAlign w:val="center"/>
          </w:tcPr>
          <w:p w14:paraId="21CE2844">
            <w:pPr>
              <w:jc w:val="center"/>
              <w:rPr>
                <w:rFonts w:eastAsia="仿宋_GB2312"/>
                <w:color w:val="auto"/>
                <w:szCs w:val="21"/>
              </w:rPr>
            </w:pPr>
          </w:p>
        </w:tc>
      </w:tr>
      <w:tr w14:paraId="1D55A70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3B094DA8">
            <w:pPr>
              <w:jc w:val="center"/>
              <w:rPr>
                <w:rFonts w:eastAsia="仿宋_GB2312"/>
                <w:color w:val="auto"/>
                <w:szCs w:val="21"/>
              </w:rPr>
            </w:pPr>
          </w:p>
        </w:tc>
        <w:tc>
          <w:tcPr>
            <w:tcW w:w="358" w:type="pct"/>
            <w:vMerge w:val="continue"/>
            <w:vAlign w:val="center"/>
          </w:tcPr>
          <w:p w14:paraId="361ACD09">
            <w:pPr>
              <w:jc w:val="center"/>
              <w:rPr>
                <w:rFonts w:eastAsia="仿宋_GB2312"/>
                <w:color w:val="auto"/>
                <w:szCs w:val="21"/>
              </w:rPr>
            </w:pPr>
          </w:p>
        </w:tc>
        <w:tc>
          <w:tcPr>
            <w:tcW w:w="418" w:type="pct"/>
            <w:vMerge w:val="restart"/>
            <w:vAlign w:val="center"/>
          </w:tcPr>
          <w:p w14:paraId="56A1CDFF">
            <w:pPr>
              <w:jc w:val="center"/>
              <w:rPr>
                <w:rFonts w:eastAsia="仿宋_GB2312"/>
                <w:color w:val="auto"/>
                <w:szCs w:val="21"/>
              </w:rPr>
            </w:pPr>
            <w:r>
              <w:rPr>
                <w:rFonts w:eastAsia="仿宋_GB2312"/>
                <w:color w:val="auto"/>
                <w:kern w:val="0"/>
                <w:szCs w:val="21"/>
                <w:lang w:bidi="ar"/>
              </w:rPr>
              <w:t>G</w:t>
            </w:r>
            <w:r>
              <w:rPr>
                <w:rFonts w:hint="eastAsia" w:eastAsia="仿宋_GB2312"/>
                <w:color w:val="auto"/>
                <w:kern w:val="0"/>
                <w:szCs w:val="21"/>
                <w:lang w:val="en-US" w:eastAsia="zh-CN" w:bidi="ar"/>
              </w:rPr>
              <w:t>3</w:t>
            </w:r>
            <w:r>
              <w:rPr>
                <w:rFonts w:eastAsia="仿宋_GB2312"/>
                <w:color w:val="auto"/>
                <w:kern w:val="0"/>
                <w:szCs w:val="21"/>
                <w:lang w:bidi="ar"/>
              </w:rPr>
              <w:t>-</w:t>
            </w:r>
            <w:r>
              <w:rPr>
                <w:rFonts w:hint="eastAsia" w:eastAsia="仿宋_GB2312"/>
                <w:color w:val="auto"/>
                <w:kern w:val="0"/>
                <w:szCs w:val="21"/>
                <w:lang w:val="en-US" w:eastAsia="zh-CN" w:bidi="ar"/>
              </w:rPr>
              <w:t>3</w:t>
            </w:r>
            <w:r>
              <w:rPr>
                <w:rFonts w:eastAsia="仿宋_GB2312"/>
                <w:color w:val="auto"/>
                <w:kern w:val="0"/>
                <w:szCs w:val="21"/>
                <w:lang w:bidi="ar"/>
              </w:rPr>
              <w:t>-3</w:t>
            </w:r>
          </w:p>
        </w:tc>
        <w:tc>
          <w:tcPr>
            <w:tcW w:w="446" w:type="pct"/>
            <w:vMerge w:val="restart"/>
            <w:vAlign w:val="center"/>
          </w:tcPr>
          <w:p w14:paraId="4CB064B8">
            <w:pPr>
              <w:jc w:val="center"/>
              <w:rPr>
                <w:rFonts w:eastAsia="仿宋_GB2312"/>
                <w:color w:val="auto"/>
                <w:szCs w:val="21"/>
              </w:rPr>
            </w:pPr>
            <w:r>
              <w:rPr>
                <w:rFonts w:eastAsia="仿宋_GB2312"/>
                <w:color w:val="auto"/>
                <w:kern w:val="0"/>
                <w:szCs w:val="21"/>
                <w:lang w:bidi="ar"/>
              </w:rPr>
              <w:t>不凝气</w:t>
            </w:r>
          </w:p>
        </w:tc>
        <w:tc>
          <w:tcPr>
            <w:tcW w:w="361" w:type="pct"/>
            <w:vMerge w:val="restart"/>
            <w:vAlign w:val="center"/>
          </w:tcPr>
          <w:p w14:paraId="622F623C">
            <w:pPr>
              <w:jc w:val="center"/>
              <w:rPr>
                <w:rFonts w:eastAsia="仿宋_GB2312"/>
                <w:color w:val="auto"/>
                <w:szCs w:val="21"/>
              </w:rPr>
            </w:pPr>
            <w:r>
              <w:rPr>
                <w:rFonts w:eastAsia="仿宋_GB2312"/>
                <w:color w:val="auto"/>
                <w:szCs w:val="21"/>
              </w:rPr>
              <w:t>360</w:t>
            </w:r>
          </w:p>
        </w:tc>
        <w:tc>
          <w:tcPr>
            <w:tcW w:w="498" w:type="pct"/>
            <w:vMerge w:val="restart"/>
            <w:shd w:val="clear" w:color="auto" w:fill="auto"/>
            <w:vAlign w:val="center"/>
          </w:tcPr>
          <w:p w14:paraId="34CF9CE9">
            <w:pPr>
              <w:keepNext w:val="0"/>
              <w:keepLines w:val="0"/>
              <w:widowControl/>
              <w:suppressLineNumbers w:val="0"/>
              <w:jc w:val="center"/>
              <w:textAlignment w:val="bottom"/>
              <w:rPr>
                <w:rFonts w:hint="eastAsia" w:eastAsia="仿宋_GB2312"/>
                <w:color w:val="auto"/>
                <w:kern w:val="0"/>
                <w:szCs w:val="21"/>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604</w:t>
            </w:r>
          </w:p>
        </w:tc>
        <w:tc>
          <w:tcPr>
            <w:tcW w:w="820" w:type="pct"/>
            <w:shd w:val="clear" w:color="auto" w:fill="auto"/>
            <w:vAlign w:val="center"/>
          </w:tcPr>
          <w:p w14:paraId="5A2AC690">
            <w:pPr>
              <w:widowControl/>
              <w:jc w:val="center"/>
              <w:textAlignment w:val="center"/>
              <w:rPr>
                <w:rFonts w:hint="eastAsia" w:ascii="Times New Roman" w:hAnsi="Times New Roman" w:eastAsia="仿宋_GB2312" w:cs="Times New Roman"/>
                <w:b/>
                <w:bCs/>
                <w:color w:val="auto"/>
                <w:kern w:val="0"/>
                <w:sz w:val="21"/>
                <w:szCs w:val="21"/>
                <w:lang w:val="en-US" w:eastAsia="zh-CN" w:bidi="ar"/>
              </w:rPr>
            </w:pPr>
            <w:r>
              <w:rPr>
                <w:rFonts w:hint="eastAsia" w:eastAsia="仿宋_GB2312"/>
                <w:color w:val="auto"/>
                <w:kern w:val="0"/>
                <w:szCs w:val="21"/>
                <w:lang w:val="en-US" w:eastAsia="zh-CN" w:bidi="ar"/>
              </w:rPr>
              <w:t>乙酸乙酯</w:t>
            </w:r>
          </w:p>
        </w:tc>
        <w:tc>
          <w:tcPr>
            <w:tcW w:w="380" w:type="pct"/>
            <w:shd w:val="clear" w:color="auto" w:fill="auto"/>
            <w:vAlign w:val="center"/>
          </w:tcPr>
          <w:p w14:paraId="4F14C0F4">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0.22</w:t>
            </w:r>
            <w:r>
              <w:rPr>
                <w:rFonts w:hint="eastAsia" w:ascii="Times New Roman" w:hAnsi="Times New Roman" w:eastAsia="宋体" w:cs="Times New Roman"/>
                <w:i w:val="0"/>
                <w:iCs w:val="0"/>
                <w:color w:val="auto"/>
                <w:kern w:val="0"/>
                <w:sz w:val="21"/>
                <w:szCs w:val="21"/>
                <w:u w:val="none"/>
                <w:lang w:val="en-US" w:eastAsia="zh-CN" w:bidi="ar"/>
              </w:rPr>
              <w:t>7</w:t>
            </w:r>
          </w:p>
        </w:tc>
        <w:tc>
          <w:tcPr>
            <w:tcW w:w="445" w:type="pct"/>
            <w:shd w:val="clear" w:color="auto" w:fill="auto"/>
            <w:vAlign w:val="center"/>
          </w:tcPr>
          <w:p w14:paraId="438EECAB">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0.137</w:t>
            </w:r>
          </w:p>
        </w:tc>
        <w:tc>
          <w:tcPr>
            <w:tcW w:w="630" w:type="pct"/>
            <w:vMerge w:val="continue"/>
            <w:vAlign w:val="center"/>
          </w:tcPr>
          <w:p w14:paraId="7F2ABB19">
            <w:pPr>
              <w:jc w:val="center"/>
              <w:rPr>
                <w:rFonts w:eastAsia="仿宋_GB2312"/>
                <w:color w:val="auto"/>
                <w:szCs w:val="21"/>
              </w:rPr>
            </w:pPr>
          </w:p>
        </w:tc>
        <w:tc>
          <w:tcPr>
            <w:tcW w:w="292" w:type="pct"/>
            <w:vMerge w:val="continue"/>
            <w:vAlign w:val="center"/>
          </w:tcPr>
          <w:p w14:paraId="09881861">
            <w:pPr>
              <w:jc w:val="center"/>
              <w:rPr>
                <w:rFonts w:eastAsia="仿宋_GB2312"/>
                <w:color w:val="auto"/>
                <w:szCs w:val="21"/>
              </w:rPr>
            </w:pPr>
          </w:p>
        </w:tc>
      </w:tr>
      <w:tr w14:paraId="6E2C54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69BA0439">
            <w:pPr>
              <w:jc w:val="center"/>
              <w:rPr>
                <w:rFonts w:eastAsia="仿宋_GB2312"/>
                <w:color w:val="auto"/>
                <w:szCs w:val="21"/>
              </w:rPr>
            </w:pPr>
          </w:p>
        </w:tc>
        <w:tc>
          <w:tcPr>
            <w:tcW w:w="358" w:type="pct"/>
            <w:vMerge w:val="continue"/>
            <w:vAlign w:val="center"/>
          </w:tcPr>
          <w:p w14:paraId="34A0E89E">
            <w:pPr>
              <w:jc w:val="center"/>
              <w:rPr>
                <w:rFonts w:eastAsia="仿宋_GB2312"/>
                <w:color w:val="auto"/>
                <w:szCs w:val="21"/>
              </w:rPr>
            </w:pPr>
          </w:p>
        </w:tc>
        <w:tc>
          <w:tcPr>
            <w:tcW w:w="418" w:type="pct"/>
            <w:vMerge w:val="continue"/>
            <w:vAlign w:val="center"/>
          </w:tcPr>
          <w:p w14:paraId="7AD82C0E">
            <w:pPr>
              <w:jc w:val="center"/>
              <w:rPr>
                <w:rFonts w:eastAsia="仿宋_GB2312"/>
                <w:color w:val="auto"/>
                <w:szCs w:val="21"/>
              </w:rPr>
            </w:pPr>
          </w:p>
        </w:tc>
        <w:tc>
          <w:tcPr>
            <w:tcW w:w="446" w:type="pct"/>
            <w:vMerge w:val="continue"/>
            <w:vAlign w:val="center"/>
          </w:tcPr>
          <w:p w14:paraId="57D018E0">
            <w:pPr>
              <w:jc w:val="center"/>
              <w:rPr>
                <w:rFonts w:eastAsia="仿宋_GB2312"/>
                <w:color w:val="auto"/>
                <w:szCs w:val="21"/>
              </w:rPr>
            </w:pPr>
          </w:p>
        </w:tc>
        <w:tc>
          <w:tcPr>
            <w:tcW w:w="361" w:type="pct"/>
            <w:vMerge w:val="continue"/>
            <w:vAlign w:val="center"/>
          </w:tcPr>
          <w:p w14:paraId="1FE9BD75">
            <w:pPr>
              <w:jc w:val="center"/>
              <w:rPr>
                <w:rFonts w:eastAsia="仿宋_GB2312"/>
                <w:color w:val="auto"/>
                <w:szCs w:val="21"/>
              </w:rPr>
            </w:pPr>
          </w:p>
        </w:tc>
        <w:tc>
          <w:tcPr>
            <w:tcW w:w="498" w:type="pct"/>
            <w:vMerge w:val="continue"/>
            <w:shd w:val="clear" w:color="auto" w:fill="auto"/>
            <w:vAlign w:val="center"/>
          </w:tcPr>
          <w:p w14:paraId="2451A520">
            <w:pPr>
              <w:keepNext w:val="0"/>
              <w:keepLines w:val="0"/>
              <w:widowControl/>
              <w:suppressLineNumbers w:val="0"/>
              <w:jc w:val="center"/>
              <w:textAlignment w:val="bottom"/>
              <w:rPr>
                <w:rFonts w:hint="eastAsia" w:eastAsia="仿宋_GB2312"/>
                <w:color w:val="auto"/>
                <w:kern w:val="0"/>
                <w:szCs w:val="21"/>
                <w:lang w:val="en-US" w:eastAsia="zh-CN" w:bidi="ar"/>
              </w:rPr>
            </w:pPr>
          </w:p>
        </w:tc>
        <w:tc>
          <w:tcPr>
            <w:tcW w:w="820" w:type="pct"/>
            <w:shd w:val="clear" w:color="auto" w:fill="auto"/>
            <w:vAlign w:val="center"/>
          </w:tcPr>
          <w:p w14:paraId="7D6B066E">
            <w:pPr>
              <w:widowControl/>
              <w:jc w:val="center"/>
              <w:textAlignment w:val="center"/>
              <w:rPr>
                <w:rFonts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乙醇</w:t>
            </w:r>
          </w:p>
        </w:tc>
        <w:tc>
          <w:tcPr>
            <w:tcW w:w="380" w:type="pct"/>
            <w:shd w:val="clear" w:color="auto" w:fill="auto"/>
            <w:vAlign w:val="center"/>
          </w:tcPr>
          <w:p w14:paraId="1F4A513D">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0.003</w:t>
            </w:r>
          </w:p>
        </w:tc>
        <w:tc>
          <w:tcPr>
            <w:tcW w:w="445" w:type="pct"/>
            <w:shd w:val="clear" w:color="auto" w:fill="auto"/>
            <w:vAlign w:val="center"/>
          </w:tcPr>
          <w:p w14:paraId="54429202">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0.002</w:t>
            </w:r>
          </w:p>
        </w:tc>
        <w:tc>
          <w:tcPr>
            <w:tcW w:w="630" w:type="pct"/>
            <w:vMerge w:val="continue"/>
            <w:vAlign w:val="center"/>
          </w:tcPr>
          <w:p w14:paraId="67934F26">
            <w:pPr>
              <w:jc w:val="center"/>
              <w:rPr>
                <w:rFonts w:eastAsia="仿宋_GB2312"/>
                <w:color w:val="auto"/>
                <w:szCs w:val="21"/>
              </w:rPr>
            </w:pPr>
          </w:p>
        </w:tc>
        <w:tc>
          <w:tcPr>
            <w:tcW w:w="292" w:type="pct"/>
            <w:vMerge w:val="continue"/>
            <w:vAlign w:val="center"/>
          </w:tcPr>
          <w:p w14:paraId="47A373D9">
            <w:pPr>
              <w:jc w:val="center"/>
              <w:rPr>
                <w:rFonts w:eastAsia="仿宋_GB2312"/>
                <w:color w:val="auto"/>
                <w:szCs w:val="21"/>
              </w:rPr>
            </w:pPr>
          </w:p>
        </w:tc>
      </w:tr>
      <w:tr w14:paraId="7A9CF4E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3DF1A2FA">
            <w:pPr>
              <w:jc w:val="center"/>
              <w:rPr>
                <w:rFonts w:eastAsia="仿宋_GB2312"/>
                <w:color w:val="auto"/>
                <w:szCs w:val="21"/>
              </w:rPr>
            </w:pPr>
          </w:p>
        </w:tc>
        <w:tc>
          <w:tcPr>
            <w:tcW w:w="358" w:type="pct"/>
            <w:vMerge w:val="continue"/>
            <w:vAlign w:val="center"/>
          </w:tcPr>
          <w:p w14:paraId="3AB6091A">
            <w:pPr>
              <w:jc w:val="center"/>
              <w:rPr>
                <w:rFonts w:eastAsia="仿宋_GB2312"/>
                <w:color w:val="auto"/>
                <w:szCs w:val="21"/>
              </w:rPr>
            </w:pPr>
          </w:p>
        </w:tc>
        <w:tc>
          <w:tcPr>
            <w:tcW w:w="418" w:type="pct"/>
            <w:vMerge w:val="continue"/>
            <w:vAlign w:val="center"/>
          </w:tcPr>
          <w:p w14:paraId="6CD122AF">
            <w:pPr>
              <w:jc w:val="center"/>
              <w:rPr>
                <w:rFonts w:eastAsia="仿宋_GB2312"/>
                <w:color w:val="auto"/>
                <w:szCs w:val="21"/>
              </w:rPr>
            </w:pPr>
          </w:p>
        </w:tc>
        <w:tc>
          <w:tcPr>
            <w:tcW w:w="446" w:type="pct"/>
            <w:vMerge w:val="continue"/>
            <w:vAlign w:val="center"/>
          </w:tcPr>
          <w:p w14:paraId="0BCE864E">
            <w:pPr>
              <w:jc w:val="center"/>
              <w:rPr>
                <w:rFonts w:eastAsia="仿宋_GB2312"/>
                <w:color w:val="auto"/>
                <w:szCs w:val="21"/>
              </w:rPr>
            </w:pPr>
          </w:p>
        </w:tc>
        <w:tc>
          <w:tcPr>
            <w:tcW w:w="361" w:type="pct"/>
            <w:vMerge w:val="continue"/>
            <w:vAlign w:val="center"/>
          </w:tcPr>
          <w:p w14:paraId="08BAC0AA">
            <w:pPr>
              <w:jc w:val="center"/>
              <w:rPr>
                <w:rFonts w:eastAsia="仿宋_GB2312"/>
                <w:color w:val="auto"/>
                <w:szCs w:val="21"/>
              </w:rPr>
            </w:pPr>
          </w:p>
        </w:tc>
        <w:tc>
          <w:tcPr>
            <w:tcW w:w="498" w:type="pct"/>
            <w:vMerge w:val="continue"/>
            <w:shd w:val="clear" w:color="auto" w:fill="auto"/>
            <w:vAlign w:val="center"/>
          </w:tcPr>
          <w:p w14:paraId="36501137">
            <w:pPr>
              <w:keepNext w:val="0"/>
              <w:keepLines w:val="0"/>
              <w:widowControl/>
              <w:suppressLineNumbers w:val="0"/>
              <w:jc w:val="center"/>
              <w:textAlignment w:val="bottom"/>
              <w:rPr>
                <w:rFonts w:eastAsia="仿宋_GB2312"/>
                <w:color w:val="auto"/>
                <w:kern w:val="0"/>
                <w:szCs w:val="21"/>
                <w:lang w:bidi="ar"/>
              </w:rPr>
            </w:pPr>
          </w:p>
        </w:tc>
        <w:tc>
          <w:tcPr>
            <w:tcW w:w="820" w:type="pct"/>
            <w:shd w:val="clear" w:color="auto" w:fill="auto"/>
            <w:vAlign w:val="center"/>
          </w:tcPr>
          <w:p w14:paraId="72334CEC">
            <w:pPr>
              <w:widowControl/>
              <w:jc w:val="center"/>
              <w:textAlignment w:val="center"/>
              <w:rPr>
                <w:rFonts w:ascii="Times New Roman" w:hAnsi="Times New Roman" w:eastAsia="仿宋_GB2312" w:cs="Times New Roman"/>
                <w:b/>
                <w:bCs/>
                <w:color w:val="auto"/>
                <w:kern w:val="0"/>
                <w:sz w:val="21"/>
                <w:szCs w:val="21"/>
                <w:lang w:val="en-US" w:eastAsia="zh-CN" w:bidi="ar"/>
              </w:rPr>
            </w:pPr>
            <w:r>
              <w:rPr>
                <w:rFonts w:eastAsia="仿宋_GB2312"/>
                <w:color w:val="auto"/>
                <w:kern w:val="0"/>
                <w:szCs w:val="21"/>
                <w:lang w:bidi="ar"/>
              </w:rPr>
              <w:t>其他有机物</w:t>
            </w:r>
          </w:p>
        </w:tc>
        <w:tc>
          <w:tcPr>
            <w:tcW w:w="380" w:type="pct"/>
            <w:shd w:val="clear" w:color="auto" w:fill="auto"/>
            <w:vAlign w:val="center"/>
          </w:tcPr>
          <w:p w14:paraId="3BC63045">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0.01</w:t>
            </w:r>
            <w:r>
              <w:rPr>
                <w:rFonts w:hint="eastAsia" w:ascii="Times New Roman" w:hAnsi="Times New Roman" w:eastAsia="宋体" w:cs="Times New Roman"/>
                <w:i w:val="0"/>
                <w:iCs w:val="0"/>
                <w:color w:val="auto"/>
                <w:kern w:val="0"/>
                <w:sz w:val="21"/>
                <w:szCs w:val="21"/>
                <w:u w:val="none"/>
                <w:lang w:val="en-US" w:eastAsia="zh-CN" w:bidi="ar"/>
              </w:rPr>
              <w:t>5</w:t>
            </w:r>
          </w:p>
        </w:tc>
        <w:tc>
          <w:tcPr>
            <w:tcW w:w="445" w:type="pct"/>
            <w:shd w:val="clear" w:color="auto" w:fill="auto"/>
            <w:vAlign w:val="center"/>
          </w:tcPr>
          <w:p w14:paraId="44C5A14F">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0.009</w:t>
            </w:r>
          </w:p>
        </w:tc>
        <w:tc>
          <w:tcPr>
            <w:tcW w:w="630" w:type="pct"/>
            <w:vMerge w:val="continue"/>
            <w:vAlign w:val="center"/>
          </w:tcPr>
          <w:p w14:paraId="1D668C27">
            <w:pPr>
              <w:jc w:val="center"/>
              <w:rPr>
                <w:rFonts w:eastAsia="仿宋_GB2312"/>
                <w:color w:val="auto"/>
                <w:szCs w:val="21"/>
              </w:rPr>
            </w:pPr>
          </w:p>
        </w:tc>
        <w:tc>
          <w:tcPr>
            <w:tcW w:w="292" w:type="pct"/>
            <w:vMerge w:val="continue"/>
            <w:vAlign w:val="center"/>
          </w:tcPr>
          <w:p w14:paraId="5F25F175">
            <w:pPr>
              <w:jc w:val="center"/>
              <w:rPr>
                <w:rFonts w:eastAsia="仿宋_GB2312"/>
                <w:color w:val="auto"/>
                <w:szCs w:val="21"/>
              </w:rPr>
            </w:pPr>
          </w:p>
        </w:tc>
      </w:tr>
      <w:tr w14:paraId="1B1D5D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39C3F859">
            <w:pPr>
              <w:jc w:val="center"/>
              <w:rPr>
                <w:rFonts w:eastAsia="仿宋_GB2312"/>
                <w:color w:val="auto"/>
                <w:szCs w:val="21"/>
              </w:rPr>
            </w:pPr>
          </w:p>
        </w:tc>
        <w:tc>
          <w:tcPr>
            <w:tcW w:w="358" w:type="pct"/>
            <w:vMerge w:val="continue"/>
            <w:vAlign w:val="center"/>
          </w:tcPr>
          <w:p w14:paraId="4995C441">
            <w:pPr>
              <w:jc w:val="center"/>
              <w:rPr>
                <w:rFonts w:eastAsia="仿宋_GB2312"/>
                <w:color w:val="auto"/>
                <w:szCs w:val="21"/>
              </w:rPr>
            </w:pPr>
          </w:p>
        </w:tc>
        <w:tc>
          <w:tcPr>
            <w:tcW w:w="418" w:type="pct"/>
            <w:vMerge w:val="restart"/>
            <w:vAlign w:val="center"/>
          </w:tcPr>
          <w:p w14:paraId="67FF8916">
            <w:pPr>
              <w:jc w:val="center"/>
              <w:rPr>
                <w:rFonts w:eastAsia="仿宋_GB2312"/>
                <w:color w:val="auto"/>
                <w:szCs w:val="21"/>
              </w:rPr>
            </w:pPr>
            <w:r>
              <w:rPr>
                <w:rFonts w:eastAsia="仿宋_GB2312"/>
                <w:color w:val="auto"/>
                <w:kern w:val="0"/>
                <w:szCs w:val="21"/>
                <w:lang w:bidi="ar"/>
              </w:rPr>
              <w:t>G</w:t>
            </w:r>
            <w:r>
              <w:rPr>
                <w:rFonts w:hint="eastAsia" w:eastAsia="仿宋_GB2312"/>
                <w:color w:val="auto"/>
                <w:kern w:val="0"/>
                <w:szCs w:val="21"/>
                <w:lang w:val="en-US" w:eastAsia="zh-CN" w:bidi="ar"/>
              </w:rPr>
              <w:t>3</w:t>
            </w:r>
            <w:r>
              <w:rPr>
                <w:rFonts w:eastAsia="仿宋_GB2312"/>
                <w:color w:val="auto"/>
                <w:kern w:val="0"/>
                <w:szCs w:val="21"/>
                <w:lang w:bidi="ar"/>
              </w:rPr>
              <w:t>-</w:t>
            </w:r>
            <w:r>
              <w:rPr>
                <w:rFonts w:hint="eastAsia" w:eastAsia="仿宋_GB2312"/>
                <w:color w:val="auto"/>
                <w:kern w:val="0"/>
                <w:szCs w:val="21"/>
                <w:lang w:val="en-US" w:eastAsia="zh-CN" w:bidi="ar"/>
              </w:rPr>
              <w:t>3</w:t>
            </w:r>
            <w:r>
              <w:rPr>
                <w:rFonts w:eastAsia="仿宋_GB2312"/>
                <w:color w:val="auto"/>
                <w:kern w:val="0"/>
                <w:szCs w:val="21"/>
                <w:lang w:bidi="ar"/>
              </w:rPr>
              <w:t>-4</w:t>
            </w:r>
          </w:p>
        </w:tc>
        <w:tc>
          <w:tcPr>
            <w:tcW w:w="446" w:type="pct"/>
            <w:vMerge w:val="restart"/>
            <w:vAlign w:val="center"/>
          </w:tcPr>
          <w:p w14:paraId="026F43B1">
            <w:pPr>
              <w:jc w:val="center"/>
              <w:rPr>
                <w:rFonts w:eastAsia="仿宋_GB2312"/>
                <w:color w:val="auto"/>
                <w:szCs w:val="21"/>
              </w:rPr>
            </w:pPr>
            <w:r>
              <w:rPr>
                <w:rFonts w:eastAsia="仿宋_GB2312"/>
                <w:color w:val="auto"/>
                <w:kern w:val="0"/>
                <w:szCs w:val="21"/>
                <w:lang w:bidi="ar"/>
              </w:rPr>
              <w:t>不凝气</w:t>
            </w:r>
          </w:p>
        </w:tc>
        <w:tc>
          <w:tcPr>
            <w:tcW w:w="361" w:type="pct"/>
            <w:vMerge w:val="restart"/>
            <w:vAlign w:val="center"/>
          </w:tcPr>
          <w:p w14:paraId="2F0AC414">
            <w:pPr>
              <w:jc w:val="center"/>
              <w:rPr>
                <w:rFonts w:eastAsia="仿宋_GB2312"/>
                <w:color w:val="auto"/>
                <w:szCs w:val="21"/>
              </w:rPr>
            </w:pPr>
            <w:r>
              <w:rPr>
                <w:rFonts w:eastAsia="仿宋_GB2312"/>
                <w:color w:val="auto"/>
                <w:szCs w:val="21"/>
              </w:rPr>
              <w:t>360</w:t>
            </w:r>
          </w:p>
        </w:tc>
        <w:tc>
          <w:tcPr>
            <w:tcW w:w="498" w:type="pct"/>
            <w:vMerge w:val="restart"/>
            <w:shd w:val="clear" w:color="auto" w:fill="auto"/>
            <w:vAlign w:val="center"/>
          </w:tcPr>
          <w:p w14:paraId="05B52F90">
            <w:pPr>
              <w:keepNext w:val="0"/>
              <w:keepLines w:val="0"/>
              <w:widowControl/>
              <w:suppressLineNumbers w:val="0"/>
              <w:jc w:val="center"/>
              <w:textAlignment w:val="bottom"/>
              <w:rPr>
                <w:rFonts w:hint="eastAsia" w:eastAsia="仿宋_GB2312"/>
                <w:color w:val="auto"/>
                <w:kern w:val="0"/>
                <w:szCs w:val="21"/>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604</w:t>
            </w:r>
          </w:p>
        </w:tc>
        <w:tc>
          <w:tcPr>
            <w:tcW w:w="820" w:type="pct"/>
            <w:shd w:val="clear" w:color="auto" w:fill="auto"/>
            <w:vAlign w:val="center"/>
          </w:tcPr>
          <w:p w14:paraId="535EAB77">
            <w:pPr>
              <w:widowControl/>
              <w:jc w:val="center"/>
              <w:textAlignment w:val="center"/>
              <w:rPr>
                <w:rFonts w:hint="eastAsia" w:ascii="Times New Roman" w:hAnsi="Times New Roman" w:eastAsia="仿宋_GB2312" w:cs="Times New Roman"/>
                <w:b/>
                <w:bCs/>
                <w:color w:val="auto"/>
                <w:kern w:val="0"/>
                <w:sz w:val="21"/>
                <w:szCs w:val="21"/>
                <w:lang w:val="en-US" w:eastAsia="zh-CN" w:bidi="ar"/>
              </w:rPr>
            </w:pPr>
            <w:r>
              <w:rPr>
                <w:rFonts w:hint="eastAsia" w:eastAsia="仿宋_GB2312"/>
                <w:color w:val="auto"/>
                <w:kern w:val="0"/>
                <w:szCs w:val="21"/>
                <w:lang w:val="en-US" w:eastAsia="zh-CN" w:bidi="ar"/>
              </w:rPr>
              <w:t>乙酸乙酯</w:t>
            </w:r>
          </w:p>
        </w:tc>
        <w:tc>
          <w:tcPr>
            <w:tcW w:w="380" w:type="pct"/>
            <w:shd w:val="clear" w:color="auto" w:fill="auto"/>
            <w:vAlign w:val="center"/>
          </w:tcPr>
          <w:p w14:paraId="17C21DDA">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118.31</w:t>
            </w:r>
          </w:p>
        </w:tc>
        <w:tc>
          <w:tcPr>
            <w:tcW w:w="445" w:type="pct"/>
            <w:shd w:val="clear" w:color="auto" w:fill="auto"/>
            <w:vAlign w:val="center"/>
          </w:tcPr>
          <w:p w14:paraId="6DA1943D">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71.465</w:t>
            </w:r>
          </w:p>
        </w:tc>
        <w:tc>
          <w:tcPr>
            <w:tcW w:w="630" w:type="pct"/>
            <w:vMerge w:val="continue"/>
            <w:vAlign w:val="center"/>
          </w:tcPr>
          <w:p w14:paraId="682B3A12">
            <w:pPr>
              <w:jc w:val="center"/>
              <w:rPr>
                <w:rFonts w:eastAsia="仿宋_GB2312"/>
                <w:color w:val="auto"/>
                <w:szCs w:val="21"/>
              </w:rPr>
            </w:pPr>
          </w:p>
        </w:tc>
        <w:tc>
          <w:tcPr>
            <w:tcW w:w="292" w:type="pct"/>
            <w:vMerge w:val="continue"/>
            <w:vAlign w:val="center"/>
          </w:tcPr>
          <w:p w14:paraId="4974EF69">
            <w:pPr>
              <w:jc w:val="center"/>
              <w:rPr>
                <w:rFonts w:eastAsia="仿宋_GB2312"/>
                <w:color w:val="auto"/>
                <w:szCs w:val="21"/>
              </w:rPr>
            </w:pPr>
          </w:p>
        </w:tc>
      </w:tr>
      <w:tr w14:paraId="1A58F9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6FD652D5">
            <w:pPr>
              <w:jc w:val="center"/>
              <w:rPr>
                <w:rFonts w:eastAsia="仿宋_GB2312"/>
                <w:color w:val="auto"/>
                <w:szCs w:val="21"/>
              </w:rPr>
            </w:pPr>
          </w:p>
        </w:tc>
        <w:tc>
          <w:tcPr>
            <w:tcW w:w="358" w:type="pct"/>
            <w:vMerge w:val="continue"/>
            <w:vAlign w:val="center"/>
          </w:tcPr>
          <w:p w14:paraId="409E2794">
            <w:pPr>
              <w:jc w:val="center"/>
              <w:rPr>
                <w:rFonts w:eastAsia="仿宋_GB2312"/>
                <w:color w:val="auto"/>
                <w:szCs w:val="21"/>
              </w:rPr>
            </w:pPr>
          </w:p>
        </w:tc>
        <w:tc>
          <w:tcPr>
            <w:tcW w:w="418" w:type="pct"/>
            <w:vMerge w:val="continue"/>
            <w:vAlign w:val="center"/>
          </w:tcPr>
          <w:p w14:paraId="66A974DA">
            <w:pPr>
              <w:jc w:val="center"/>
              <w:rPr>
                <w:rFonts w:eastAsia="仿宋_GB2312"/>
                <w:color w:val="auto"/>
                <w:szCs w:val="21"/>
              </w:rPr>
            </w:pPr>
          </w:p>
        </w:tc>
        <w:tc>
          <w:tcPr>
            <w:tcW w:w="446" w:type="pct"/>
            <w:vMerge w:val="continue"/>
            <w:vAlign w:val="center"/>
          </w:tcPr>
          <w:p w14:paraId="51BE84D9">
            <w:pPr>
              <w:jc w:val="center"/>
              <w:rPr>
                <w:rFonts w:eastAsia="仿宋_GB2312"/>
                <w:color w:val="auto"/>
                <w:szCs w:val="21"/>
              </w:rPr>
            </w:pPr>
          </w:p>
        </w:tc>
        <w:tc>
          <w:tcPr>
            <w:tcW w:w="361" w:type="pct"/>
            <w:vMerge w:val="continue"/>
            <w:vAlign w:val="center"/>
          </w:tcPr>
          <w:p w14:paraId="6D3D3221">
            <w:pPr>
              <w:jc w:val="center"/>
              <w:rPr>
                <w:rFonts w:eastAsia="仿宋_GB2312"/>
                <w:color w:val="auto"/>
                <w:szCs w:val="21"/>
              </w:rPr>
            </w:pPr>
          </w:p>
        </w:tc>
        <w:tc>
          <w:tcPr>
            <w:tcW w:w="498" w:type="pct"/>
            <w:vMerge w:val="continue"/>
            <w:shd w:val="clear" w:color="auto" w:fill="auto"/>
            <w:vAlign w:val="center"/>
          </w:tcPr>
          <w:p w14:paraId="2FD7D4C8">
            <w:pPr>
              <w:keepNext w:val="0"/>
              <w:keepLines w:val="0"/>
              <w:widowControl/>
              <w:suppressLineNumbers w:val="0"/>
              <w:jc w:val="center"/>
              <w:textAlignment w:val="bottom"/>
              <w:rPr>
                <w:rFonts w:hint="eastAsia" w:eastAsia="仿宋_GB2312"/>
                <w:color w:val="auto"/>
                <w:kern w:val="0"/>
                <w:szCs w:val="21"/>
                <w:lang w:val="en-US" w:eastAsia="zh-CN" w:bidi="ar"/>
              </w:rPr>
            </w:pPr>
          </w:p>
        </w:tc>
        <w:tc>
          <w:tcPr>
            <w:tcW w:w="820" w:type="pct"/>
            <w:shd w:val="clear" w:color="auto" w:fill="auto"/>
            <w:vAlign w:val="center"/>
          </w:tcPr>
          <w:p w14:paraId="4AF5F39C">
            <w:pPr>
              <w:widowControl/>
              <w:jc w:val="center"/>
              <w:textAlignment w:val="center"/>
              <w:rPr>
                <w:rFonts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乙醇</w:t>
            </w:r>
          </w:p>
        </w:tc>
        <w:tc>
          <w:tcPr>
            <w:tcW w:w="380" w:type="pct"/>
            <w:shd w:val="clear" w:color="auto" w:fill="auto"/>
            <w:vAlign w:val="center"/>
          </w:tcPr>
          <w:p w14:paraId="06596BD5">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0.029</w:t>
            </w:r>
          </w:p>
        </w:tc>
        <w:tc>
          <w:tcPr>
            <w:tcW w:w="445" w:type="pct"/>
            <w:shd w:val="clear" w:color="auto" w:fill="auto"/>
            <w:vAlign w:val="center"/>
          </w:tcPr>
          <w:p w14:paraId="3F114A70">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0.018</w:t>
            </w:r>
          </w:p>
        </w:tc>
        <w:tc>
          <w:tcPr>
            <w:tcW w:w="630" w:type="pct"/>
            <w:vMerge w:val="continue"/>
            <w:vAlign w:val="center"/>
          </w:tcPr>
          <w:p w14:paraId="1F685CA6">
            <w:pPr>
              <w:jc w:val="center"/>
              <w:rPr>
                <w:rFonts w:eastAsia="仿宋_GB2312"/>
                <w:color w:val="auto"/>
                <w:szCs w:val="21"/>
              </w:rPr>
            </w:pPr>
          </w:p>
        </w:tc>
        <w:tc>
          <w:tcPr>
            <w:tcW w:w="292" w:type="pct"/>
            <w:vMerge w:val="continue"/>
            <w:vAlign w:val="center"/>
          </w:tcPr>
          <w:p w14:paraId="025ADECB">
            <w:pPr>
              <w:jc w:val="center"/>
              <w:rPr>
                <w:rFonts w:eastAsia="仿宋_GB2312"/>
                <w:color w:val="auto"/>
                <w:szCs w:val="21"/>
              </w:rPr>
            </w:pPr>
          </w:p>
        </w:tc>
      </w:tr>
      <w:tr w14:paraId="2F5425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66B94370">
            <w:pPr>
              <w:jc w:val="center"/>
              <w:rPr>
                <w:rFonts w:eastAsia="仿宋_GB2312"/>
                <w:color w:val="auto"/>
                <w:szCs w:val="21"/>
              </w:rPr>
            </w:pPr>
          </w:p>
        </w:tc>
        <w:tc>
          <w:tcPr>
            <w:tcW w:w="358" w:type="pct"/>
            <w:vMerge w:val="continue"/>
            <w:vAlign w:val="center"/>
          </w:tcPr>
          <w:p w14:paraId="0532D33B">
            <w:pPr>
              <w:jc w:val="center"/>
              <w:rPr>
                <w:rFonts w:eastAsia="仿宋_GB2312"/>
                <w:color w:val="auto"/>
                <w:szCs w:val="21"/>
              </w:rPr>
            </w:pPr>
          </w:p>
        </w:tc>
        <w:tc>
          <w:tcPr>
            <w:tcW w:w="418" w:type="pct"/>
            <w:vMerge w:val="continue"/>
            <w:vAlign w:val="center"/>
          </w:tcPr>
          <w:p w14:paraId="645D7D21">
            <w:pPr>
              <w:jc w:val="center"/>
              <w:rPr>
                <w:rFonts w:eastAsia="仿宋_GB2312"/>
                <w:color w:val="auto"/>
                <w:szCs w:val="21"/>
              </w:rPr>
            </w:pPr>
          </w:p>
        </w:tc>
        <w:tc>
          <w:tcPr>
            <w:tcW w:w="446" w:type="pct"/>
            <w:vMerge w:val="continue"/>
            <w:vAlign w:val="center"/>
          </w:tcPr>
          <w:p w14:paraId="5EC575E8">
            <w:pPr>
              <w:jc w:val="center"/>
              <w:rPr>
                <w:rFonts w:eastAsia="仿宋_GB2312"/>
                <w:color w:val="auto"/>
                <w:szCs w:val="21"/>
              </w:rPr>
            </w:pPr>
          </w:p>
        </w:tc>
        <w:tc>
          <w:tcPr>
            <w:tcW w:w="361" w:type="pct"/>
            <w:vMerge w:val="continue"/>
            <w:vAlign w:val="center"/>
          </w:tcPr>
          <w:p w14:paraId="3022D7BC">
            <w:pPr>
              <w:jc w:val="center"/>
              <w:rPr>
                <w:rFonts w:eastAsia="仿宋_GB2312"/>
                <w:color w:val="auto"/>
                <w:szCs w:val="21"/>
              </w:rPr>
            </w:pPr>
          </w:p>
        </w:tc>
        <w:tc>
          <w:tcPr>
            <w:tcW w:w="498" w:type="pct"/>
            <w:vMerge w:val="continue"/>
            <w:shd w:val="clear" w:color="auto" w:fill="auto"/>
            <w:vAlign w:val="center"/>
          </w:tcPr>
          <w:p w14:paraId="6B15AA93">
            <w:pPr>
              <w:keepNext w:val="0"/>
              <w:keepLines w:val="0"/>
              <w:widowControl/>
              <w:suppressLineNumbers w:val="0"/>
              <w:jc w:val="center"/>
              <w:textAlignment w:val="bottom"/>
              <w:rPr>
                <w:rFonts w:eastAsia="仿宋_GB2312"/>
                <w:color w:val="auto"/>
                <w:kern w:val="0"/>
                <w:szCs w:val="21"/>
                <w:lang w:bidi="ar"/>
              </w:rPr>
            </w:pPr>
          </w:p>
        </w:tc>
        <w:tc>
          <w:tcPr>
            <w:tcW w:w="820" w:type="pct"/>
            <w:shd w:val="clear" w:color="auto" w:fill="auto"/>
            <w:vAlign w:val="center"/>
          </w:tcPr>
          <w:p w14:paraId="51FE8444">
            <w:pPr>
              <w:widowControl/>
              <w:jc w:val="center"/>
              <w:textAlignment w:val="center"/>
              <w:rPr>
                <w:rFonts w:ascii="Times New Roman" w:hAnsi="Times New Roman" w:eastAsia="仿宋_GB2312" w:cs="Times New Roman"/>
                <w:b/>
                <w:bCs/>
                <w:color w:val="auto"/>
                <w:kern w:val="0"/>
                <w:sz w:val="21"/>
                <w:szCs w:val="21"/>
                <w:lang w:val="en-US" w:eastAsia="zh-CN" w:bidi="ar"/>
              </w:rPr>
            </w:pPr>
            <w:r>
              <w:rPr>
                <w:rFonts w:eastAsia="仿宋_GB2312"/>
                <w:color w:val="auto"/>
                <w:kern w:val="0"/>
                <w:szCs w:val="21"/>
                <w:lang w:bidi="ar"/>
              </w:rPr>
              <w:t>其他有机物</w:t>
            </w:r>
          </w:p>
        </w:tc>
        <w:tc>
          <w:tcPr>
            <w:tcW w:w="380" w:type="pct"/>
            <w:shd w:val="clear" w:color="auto" w:fill="auto"/>
            <w:vAlign w:val="center"/>
          </w:tcPr>
          <w:p w14:paraId="70D32729">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0.562</w:t>
            </w:r>
          </w:p>
        </w:tc>
        <w:tc>
          <w:tcPr>
            <w:tcW w:w="445" w:type="pct"/>
            <w:shd w:val="clear" w:color="auto" w:fill="auto"/>
            <w:vAlign w:val="center"/>
          </w:tcPr>
          <w:p w14:paraId="2E34E172">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0.34</w:t>
            </w:r>
          </w:p>
        </w:tc>
        <w:tc>
          <w:tcPr>
            <w:tcW w:w="630" w:type="pct"/>
            <w:vMerge w:val="continue"/>
            <w:vAlign w:val="center"/>
          </w:tcPr>
          <w:p w14:paraId="02430F6B">
            <w:pPr>
              <w:jc w:val="center"/>
              <w:rPr>
                <w:rFonts w:eastAsia="仿宋_GB2312"/>
                <w:color w:val="auto"/>
                <w:szCs w:val="21"/>
              </w:rPr>
            </w:pPr>
          </w:p>
        </w:tc>
        <w:tc>
          <w:tcPr>
            <w:tcW w:w="292" w:type="pct"/>
            <w:vMerge w:val="continue"/>
            <w:vAlign w:val="center"/>
          </w:tcPr>
          <w:p w14:paraId="2CE59E22">
            <w:pPr>
              <w:jc w:val="center"/>
              <w:rPr>
                <w:rFonts w:eastAsia="仿宋_GB2312"/>
                <w:color w:val="auto"/>
                <w:szCs w:val="21"/>
              </w:rPr>
            </w:pPr>
          </w:p>
        </w:tc>
      </w:tr>
      <w:tr w14:paraId="6A5984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062FC5D6">
            <w:pPr>
              <w:jc w:val="center"/>
              <w:rPr>
                <w:rFonts w:eastAsia="仿宋_GB2312"/>
                <w:color w:val="auto"/>
                <w:szCs w:val="21"/>
              </w:rPr>
            </w:pPr>
          </w:p>
        </w:tc>
        <w:tc>
          <w:tcPr>
            <w:tcW w:w="358" w:type="pct"/>
            <w:vMerge w:val="continue"/>
            <w:vAlign w:val="center"/>
          </w:tcPr>
          <w:p w14:paraId="43294F31">
            <w:pPr>
              <w:jc w:val="center"/>
              <w:rPr>
                <w:rFonts w:eastAsia="仿宋_GB2312"/>
                <w:color w:val="auto"/>
                <w:szCs w:val="21"/>
              </w:rPr>
            </w:pPr>
          </w:p>
        </w:tc>
        <w:tc>
          <w:tcPr>
            <w:tcW w:w="418" w:type="pct"/>
            <w:vMerge w:val="restart"/>
            <w:vAlign w:val="center"/>
          </w:tcPr>
          <w:p w14:paraId="03D68011">
            <w:pPr>
              <w:jc w:val="center"/>
              <w:rPr>
                <w:rFonts w:eastAsia="仿宋_GB2312"/>
                <w:color w:val="auto"/>
                <w:szCs w:val="21"/>
              </w:rPr>
            </w:pPr>
            <w:r>
              <w:rPr>
                <w:rFonts w:eastAsia="仿宋_GB2312"/>
                <w:color w:val="auto"/>
                <w:kern w:val="0"/>
                <w:szCs w:val="21"/>
                <w:lang w:bidi="ar"/>
              </w:rPr>
              <w:t>G</w:t>
            </w:r>
            <w:r>
              <w:rPr>
                <w:rFonts w:hint="eastAsia" w:eastAsia="仿宋_GB2312"/>
                <w:color w:val="auto"/>
                <w:kern w:val="0"/>
                <w:szCs w:val="21"/>
                <w:lang w:val="en-US" w:eastAsia="zh-CN" w:bidi="ar"/>
              </w:rPr>
              <w:t>3</w:t>
            </w:r>
            <w:r>
              <w:rPr>
                <w:rFonts w:eastAsia="仿宋_GB2312"/>
                <w:color w:val="auto"/>
                <w:kern w:val="0"/>
                <w:szCs w:val="21"/>
                <w:lang w:bidi="ar"/>
              </w:rPr>
              <w:t>-</w:t>
            </w:r>
            <w:r>
              <w:rPr>
                <w:rFonts w:hint="eastAsia" w:eastAsia="仿宋_GB2312"/>
                <w:color w:val="auto"/>
                <w:kern w:val="0"/>
                <w:szCs w:val="21"/>
                <w:lang w:val="en-US" w:eastAsia="zh-CN" w:bidi="ar"/>
              </w:rPr>
              <w:t>3</w:t>
            </w:r>
            <w:r>
              <w:rPr>
                <w:rFonts w:eastAsia="仿宋_GB2312"/>
                <w:color w:val="auto"/>
                <w:kern w:val="0"/>
                <w:szCs w:val="21"/>
                <w:lang w:bidi="ar"/>
              </w:rPr>
              <w:t>-5</w:t>
            </w:r>
          </w:p>
        </w:tc>
        <w:tc>
          <w:tcPr>
            <w:tcW w:w="446" w:type="pct"/>
            <w:vMerge w:val="restart"/>
            <w:vAlign w:val="center"/>
          </w:tcPr>
          <w:p w14:paraId="5E3890A9">
            <w:pPr>
              <w:jc w:val="center"/>
              <w:rPr>
                <w:rFonts w:eastAsia="仿宋_GB2312"/>
                <w:color w:val="auto"/>
                <w:szCs w:val="21"/>
              </w:rPr>
            </w:pPr>
            <w:r>
              <w:rPr>
                <w:rFonts w:eastAsia="仿宋_GB2312"/>
                <w:color w:val="auto"/>
                <w:kern w:val="0"/>
                <w:szCs w:val="21"/>
                <w:lang w:bidi="ar"/>
              </w:rPr>
              <w:t>灌装废气</w:t>
            </w:r>
          </w:p>
        </w:tc>
        <w:tc>
          <w:tcPr>
            <w:tcW w:w="361" w:type="pct"/>
            <w:vMerge w:val="restart"/>
            <w:vAlign w:val="center"/>
          </w:tcPr>
          <w:p w14:paraId="1A1FFA03">
            <w:pPr>
              <w:jc w:val="center"/>
              <w:rPr>
                <w:rFonts w:hint="default" w:eastAsia="仿宋_GB2312"/>
                <w:color w:val="auto"/>
                <w:szCs w:val="21"/>
                <w:lang w:val="en-US" w:eastAsia="zh-CN"/>
              </w:rPr>
            </w:pPr>
            <w:r>
              <w:rPr>
                <w:rFonts w:hint="eastAsia" w:eastAsia="仿宋_GB2312"/>
                <w:color w:val="auto"/>
                <w:szCs w:val="21"/>
                <w:lang w:val="en-US" w:eastAsia="zh-CN"/>
              </w:rPr>
              <w:t>2000</w:t>
            </w:r>
          </w:p>
        </w:tc>
        <w:tc>
          <w:tcPr>
            <w:tcW w:w="498" w:type="pct"/>
            <w:vMerge w:val="restart"/>
            <w:shd w:val="clear" w:color="auto" w:fill="auto"/>
            <w:vAlign w:val="center"/>
          </w:tcPr>
          <w:p w14:paraId="0E782927">
            <w:pPr>
              <w:keepNext w:val="0"/>
              <w:keepLines w:val="0"/>
              <w:widowControl/>
              <w:suppressLineNumbers w:val="0"/>
              <w:jc w:val="center"/>
              <w:textAlignment w:val="bottom"/>
              <w:rPr>
                <w:rFonts w:hint="eastAsia" w:eastAsia="仿宋_GB2312"/>
                <w:color w:val="auto"/>
                <w:kern w:val="0"/>
                <w:szCs w:val="21"/>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604</w:t>
            </w:r>
          </w:p>
        </w:tc>
        <w:tc>
          <w:tcPr>
            <w:tcW w:w="820" w:type="pct"/>
            <w:shd w:val="clear" w:color="auto" w:fill="auto"/>
            <w:vAlign w:val="center"/>
          </w:tcPr>
          <w:p w14:paraId="085E32CB">
            <w:pPr>
              <w:widowControl/>
              <w:jc w:val="center"/>
              <w:textAlignment w:val="center"/>
              <w:rPr>
                <w:rFonts w:hint="eastAsia" w:ascii="Times New Roman" w:hAnsi="Times New Roman" w:eastAsia="仿宋_GB2312" w:cs="Times New Roman"/>
                <w:b/>
                <w:bCs/>
                <w:color w:val="auto"/>
                <w:kern w:val="0"/>
                <w:sz w:val="21"/>
                <w:szCs w:val="21"/>
                <w:lang w:val="en-US" w:eastAsia="zh-CN" w:bidi="ar"/>
              </w:rPr>
            </w:pPr>
            <w:r>
              <w:rPr>
                <w:rFonts w:hint="eastAsia" w:eastAsia="仿宋_GB2312"/>
                <w:color w:val="auto"/>
                <w:kern w:val="0"/>
                <w:szCs w:val="21"/>
                <w:lang w:val="en-US" w:eastAsia="zh-CN" w:bidi="ar"/>
              </w:rPr>
              <w:t>乙酸乙酯</w:t>
            </w:r>
          </w:p>
        </w:tc>
        <w:tc>
          <w:tcPr>
            <w:tcW w:w="380" w:type="pct"/>
            <w:shd w:val="clear" w:color="auto" w:fill="auto"/>
            <w:vAlign w:val="center"/>
          </w:tcPr>
          <w:p w14:paraId="66AD0DC5">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8.071</w:t>
            </w:r>
          </w:p>
        </w:tc>
        <w:tc>
          <w:tcPr>
            <w:tcW w:w="445" w:type="pct"/>
            <w:shd w:val="clear" w:color="auto" w:fill="auto"/>
            <w:vAlign w:val="center"/>
          </w:tcPr>
          <w:p w14:paraId="120387DE">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ascii="Times New Roman" w:hAnsi="Times New Roman" w:eastAsia="仿宋_GB2312" w:cs="Times New Roman"/>
                <w:color w:val="auto"/>
                <w:kern w:val="0"/>
                <w:szCs w:val="21"/>
                <w:lang w:val="en-US" w:eastAsia="zh-CN" w:bidi="ar"/>
              </w:rPr>
              <w:t>4.875</w:t>
            </w:r>
          </w:p>
        </w:tc>
        <w:tc>
          <w:tcPr>
            <w:tcW w:w="630" w:type="pct"/>
            <w:vMerge w:val="restart"/>
            <w:shd w:val="clear" w:color="auto" w:fill="auto"/>
            <w:vAlign w:val="center"/>
          </w:tcPr>
          <w:p w14:paraId="6A11C0F5">
            <w:pPr>
              <w:jc w:val="center"/>
              <w:rPr>
                <w:rFonts w:ascii="Times New Roman" w:hAnsi="Times New Roman" w:eastAsia="仿宋_GB2312" w:cs="Times New Roman"/>
                <w:color w:val="auto"/>
                <w:kern w:val="2"/>
                <w:sz w:val="21"/>
                <w:szCs w:val="21"/>
                <w:lang w:val="en-US" w:eastAsia="zh-CN" w:bidi="ar-SA"/>
              </w:rPr>
            </w:pPr>
            <w:r>
              <w:rPr>
                <w:rFonts w:hint="eastAsia" w:eastAsia="仿宋_GB2312"/>
                <w:color w:val="auto"/>
                <w:szCs w:val="21"/>
              </w:rPr>
              <w:t>冷凝+酸吸收+碱吸收+水洗+活性炭吸附/脱附</w:t>
            </w:r>
          </w:p>
        </w:tc>
        <w:tc>
          <w:tcPr>
            <w:tcW w:w="292" w:type="pct"/>
            <w:vMerge w:val="restart"/>
            <w:shd w:val="clear" w:color="auto" w:fill="auto"/>
            <w:vAlign w:val="center"/>
          </w:tcPr>
          <w:p w14:paraId="46DB2BB5">
            <w:pPr>
              <w:jc w:val="center"/>
              <w:rPr>
                <w:rFonts w:ascii="Times New Roman" w:hAnsi="Times New Roman" w:eastAsia="仿宋_GB2312" w:cs="Times New Roman"/>
                <w:color w:val="auto"/>
                <w:kern w:val="2"/>
                <w:sz w:val="21"/>
                <w:szCs w:val="21"/>
                <w:lang w:val="en-US" w:eastAsia="zh-CN" w:bidi="ar-SA"/>
              </w:rPr>
            </w:pPr>
            <w:r>
              <w:rPr>
                <w:rFonts w:hint="eastAsia" w:eastAsia="仿宋_GB2312"/>
                <w:color w:val="auto"/>
              </w:rPr>
              <w:t>DA005</w:t>
            </w:r>
          </w:p>
        </w:tc>
      </w:tr>
      <w:tr w14:paraId="1CB7A0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46375CF8">
            <w:pPr>
              <w:jc w:val="center"/>
              <w:rPr>
                <w:rFonts w:eastAsia="仿宋_GB2312"/>
                <w:color w:val="auto"/>
                <w:szCs w:val="21"/>
              </w:rPr>
            </w:pPr>
          </w:p>
        </w:tc>
        <w:tc>
          <w:tcPr>
            <w:tcW w:w="358" w:type="pct"/>
            <w:vMerge w:val="continue"/>
            <w:vAlign w:val="center"/>
          </w:tcPr>
          <w:p w14:paraId="209E8B6D">
            <w:pPr>
              <w:jc w:val="center"/>
              <w:rPr>
                <w:rFonts w:eastAsia="仿宋_GB2312"/>
                <w:color w:val="auto"/>
                <w:szCs w:val="21"/>
              </w:rPr>
            </w:pPr>
          </w:p>
        </w:tc>
        <w:tc>
          <w:tcPr>
            <w:tcW w:w="418" w:type="pct"/>
            <w:vMerge w:val="continue"/>
            <w:vAlign w:val="center"/>
          </w:tcPr>
          <w:p w14:paraId="6C3D01CD">
            <w:pPr>
              <w:jc w:val="center"/>
              <w:rPr>
                <w:rFonts w:eastAsia="仿宋_GB2312"/>
                <w:color w:val="auto"/>
                <w:szCs w:val="21"/>
              </w:rPr>
            </w:pPr>
          </w:p>
        </w:tc>
        <w:tc>
          <w:tcPr>
            <w:tcW w:w="446" w:type="pct"/>
            <w:vMerge w:val="continue"/>
            <w:vAlign w:val="center"/>
          </w:tcPr>
          <w:p w14:paraId="456064E7">
            <w:pPr>
              <w:jc w:val="center"/>
              <w:rPr>
                <w:rFonts w:eastAsia="仿宋_GB2312"/>
                <w:color w:val="auto"/>
                <w:szCs w:val="21"/>
              </w:rPr>
            </w:pPr>
          </w:p>
        </w:tc>
        <w:tc>
          <w:tcPr>
            <w:tcW w:w="361" w:type="pct"/>
            <w:vMerge w:val="continue"/>
            <w:vAlign w:val="center"/>
          </w:tcPr>
          <w:p w14:paraId="4D560915">
            <w:pPr>
              <w:jc w:val="center"/>
              <w:rPr>
                <w:rFonts w:eastAsia="仿宋_GB2312"/>
                <w:color w:val="auto"/>
                <w:szCs w:val="21"/>
              </w:rPr>
            </w:pPr>
          </w:p>
        </w:tc>
        <w:tc>
          <w:tcPr>
            <w:tcW w:w="498" w:type="pct"/>
            <w:vMerge w:val="continue"/>
            <w:shd w:val="clear" w:color="auto" w:fill="auto"/>
            <w:vAlign w:val="center"/>
          </w:tcPr>
          <w:p w14:paraId="65FB036F">
            <w:pPr>
              <w:keepNext w:val="0"/>
              <w:keepLines w:val="0"/>
              <w:widowControl/>
              <w:suppressLineNumbers w:val="0"/>
              <w:jc w:val="center"/>
              <w:textAlignment w:val="bottom"/>
              <w:rPr>
                <w:rFonts w:hint="eastAsia" w:eastAsia="仿宋_GB2312"/>
                <w:color w:val="auto"/>
                <w:kern w:val="0"/>
                <w:szCs w:val="21"/>
                <w:lang w:val="en-US" w:eastAsia="zh-CN" w:bidi="ar"/>
              </w:rPr>
            </w:pPr>
          </w:p>
        </w:tc>
        <w:tc>
          <w:tcPr>
            <w:tcW w:w="820" w:type="pct"/>
            <w:shd w:val="clear" w:color="auto" w:fill="auto"/>
            <w:vAlign w:val="center"/>
          </w:tcPr>
          <w:p w14:paraId="60B6A254">
            <w:pPr>
              <w:widowControl/>
              <w:jc w:val="center"/>
              <w:textAlignment w:val="center"/>
              <w:rPr>
                <w:rFonts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乙醇</w:t>
            </w:r>
          </w:p>
        </w:tc>
        <w:tc>
          <w:tcPr>
            <w:tcW w:w="380" w:type="pct"/>
            <w:shd w:val="clear" w:color="auto" w:fill="auto"/>
            <w:vAlign w:val="center"/>
          </w:tcPr>
          <w:p w14:paraId="4D4B842D">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0.003</w:t>
            </w:r>
          </w:p>
        </w:tc>
        <w:tc>
          <w:tcPr>
            <w:tcW w:w="445" w:type="pct"/>
            <w:shd w:val="clear" w:color="auto" w:fill="auto"/>
            <w:vAlign w:val="center"/>
          </w:tcPr>
          <w:p w14:paraId="68D2C46C">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ascii="Times New Roman" w:hAnsi="Times New Roman" w:eastAsia="仿宋_GB2312" w:cs="Times New Roman"/>
                <w:color w:val="auto"/>
                <w:kern w:val="0"/>
                <w:szCs w:val="21"/>
                <w:lang w:val="en-US" w:eastAsia="zh-CN" w:bidi="ar"/>
              </w:rPr>
              <w:t>0.00198</w:t>
            </w:r>
          </w:p>
        </w:tc>
        <w:tc>
          <w:tcPr>
            <w:tcW w:w="630" w:type="pct"/>
            <w:vMerge w:val="continue"/>
            <w:vAlign w:val="center"/>
          </w:tcPr>
          <w:p w14:paraId="76627021">
            <w:pPr>
              <w:jc w:val="center"/>
              <w:rPr>
                <w:rFonts w:eastAsia="仿宋_GB2312"/>
                <w:color w:val="auto"/>
                <w:szCs w:val="21"/>
              </w:rPr>
            </w:pPr>
          </w:p>
        </w:tc>
        <w:tc>
          <w:tcPr>
            <w:tcW w:w="292" w:type="pct"/>
            <w:vMerge w:val="continue"/>
            <w:vAlign w:val="center"/>
          </w:tcPr>
          <w:p w14:paraId="674B9C9B">
            <w:pPr>
              <w:jc w:val="center"/>
              <w:rPr>
                <w:rFonts w:eastAsia="仿宋_GB2312"/>
                <w:color w:val="auto"/>
                <w:szCs w:val="21"/>
              </w:rPr>
            </w:pPr>
          </w:p>
        </w:tc>
      </w:tr>
      <w:tr w14:paraId="64911C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restart"/>
            <w:vAlign w:val="center"/>
          </w:tcPr>
          <w:p w14:paraId="0601EC1D">
            <w:pPr>
              <w:jc w:val="center"/>
              <w:rPr>
                <w:rFonts w:eastAsia="仿宋_GB2312"/>
                <w:color w:val="auto"/>
                <w:szCs w:val="21"/>
              </w:rPr>
            </w:pPr>
            <w:r>
              <w:rPr>
                <w:rFonts w:eastAsia="仿宋_GB2312"/>
                <w:color w:val="auto"/>
                <w:szCs w:val="21"/>
              </w:rPr>
              <w:t>B-7车间</w:t>
            </w:r>
          </w:p>
        </w:tc>
        <w:tc>
          <w:tcPr>
            <w:tcW w:w="358" w:type="pct"/>
            <w:vMerge w:val="restart"/>
            <w:vAlign w:val="center"/>
          </w:tcPr>
          <w:p w14:paraId="64C570DE">
            <w:pPr>
              <w:jc w:val="center"/>
              <w:rPr>
                <w:rFonts w:eastAsia="仿宋_GB2312"/>
                <w:color w:val="auto"/>
                <w:szCs w:val="21"/>
              </w:rPr>
            </w:pPr>
            <w:r>
              <w:rPr>
                <w:rFonts w:hint="eastAsia" w:eastAsia="仿宋_GB2312"/>
                <w:color w:val="auto"/>
                <w:szCs w:val="21"/>
                <w:lang w:val="en-US" w:eastAsia="zh-CN"/>
              </w:rPr>
              <w:t>乙酸丁酯</w:t>
            </w:r>
          </w:p>
        </w:tc>
        <w:tc>
          <w:tcPr>
            <w:tcW w:w="418" w:type="pct"/>
            <w:vMerge w:val="restart"/>
            <w:vAlign w:val="center"/>
          </w:tcPr>
          <w:p w14:paraId="26A61A5C">
            <w:pPr>
              <w:jc w:val="center"/>
              <w:rPr>
                <w:rFonts w:eastAsia="仿宋_GB2312"/>
                <w:color w:val="auto"/>
                <w:szCs w:val="21"/>
              </w:rPr>
            </w:pPr>
            <w:r>
              <w:rPr>
                <w:rFonts w:eastAsia="仿宋_GB2312"/>
                <w:color w:val="auto"/>
                <w:kern w:val="0"/>
                <w:szCs w:val="21"/>
                <w:lang w:bidi="ar"/>
              </w:rPr>
              <w:t>G</w:t>
            </w:r>
            <w:r>
              <w:rPr>
                <w:rFonts w:hint="eastAsia" w:eastAsia="仿宋_GB2312"/>
                <w:color w:val="auto"/>
                <w:kern w:val="0"/>
                <w:szCs w:val="21"/>
                <w:lang w:val="en-US" w:eastAsia="zh-CN" w:bidi="ar"/>
              </w:rPr>
              <w:t>3</w:t>
            </w:r>
            <w:r>
              <w:rPr>
                <w:rFonts w:eastAsia="仿宋_GB2312"/>
                <w:color w:val="auto"/>
                <w:kern w:val="0"/>
                <w:szCs w:val="21"/>
                <w:lang w:bidi="ar"/>
              </w:rPr>
              <w:t>-</w:t>
            </w:r>
            <w:r>
              <w:rPr>
                <w:rFonts w:hint="eastAsia" w:eastAsia="仿宋_GB2312"/>
                <w:color w:val="auto"/>
                <w:kern w:val="0"/>
                <w:szCs w:val="21"/>
                <w:lang w:val="en-US" w:eastAsia="zh-CN" w:bidi="ar"/>
              </w:rPr>
              <w:t>4</w:t>
            </w:r>
            <w:r>
              <w:rPr>
                <w:rFonts w:eastAsia="仿宋_GB2312"/>
                <w:color w:val="auto"/>
                <w:kern w:val="0"/>
                <w:szCs w:val="21"/>
                <w:lang w:bidi="ar"/>
              </w:rPr>
              <w:t>-1</w:t>
            </w:r>
          </w:p>
        </w:tc>
        <w:tc>
          <w:tcPr>
            <w:tcW w:w="446" w:type="pct"/>
            <w:vMerge w:val="restart"/>
            <w:vAlign w:val="center"/>
          </w:tcPr>
          <w:p w14:paraId="40735998">
            <w:pPr>
              <w:jc w:val="center"/>
              <w:rPr>
                <w:rFonts w:eastAsia="仿宋_GB2312"/>
                <w:color w:val="auto"/>
                <w:szCs w:val="21"/>
              </w:rPr>
            </w:pPr>
            <w:r>
              <w:rPr>
                <w:rFonts w:eastAsia="仿宋_GB2312"/>
                <w:color w:val="auto"/>
                <w:kern w:val="0"/>
                <w:szCs w:val="21"/>
                <w:lang w:bidi="ar"/>
              </w:rPr>
              <w:t>投料废气</w:t>
            </w:r>
          </w:p>
        </w:tc>
        <w:tc>
          <w:tcPr>
            <w:tcW w:w="361" w:type="pct"/>
            <w:vMerge w:val="restart"/>
            <w:vAlign w:val="center"/>
          </w:tcPr>
          <w:p w14:paraId="51BD524B">
            <w:pPr>
              <w:jc w:val="center"/>
              <w:rPr>
                <w:rFonts w:hint="default" w:eastAsia="仿宋_GB2312"/>
                <w:color w:val="auto"/>
                <w:szCs w:val="21"/>
                <w:lang w:val="en-US" w:eastAsia="zh-CN"/>
              </w:rPr>
            </w:pPr>
            <w:r>
              <w:rPr>
                <w:rFonts w:hint="eastAsia" w:eastAsia="仿宋_GB2312"/>
                <w:color w:val="auto"/>
                <w:szCs w:val="21"/>
                <w:lang w:val="en-US" w:eastAsia="zh-CN"/>
              </w:rPr>
              <w:t>2000</w:t>
            </w:r>
          </w:p>
        </w:tc>
        <w:tc>
          <w:tcPr>
            <w:tcW w:w="498" w:type="pct"/>
            <w:vMerge w:val="restart"/>
            <w:shd w:val="clear" w:color="auto" w:fill="auto"/>
            <w:vAlign w:val="center"/>
          </w:tcPr>
          <w:p w14:paraId="2C1A2EA6">
            <w:pPr>
              <w:keepNext w:val="0"/>
              <w:keepLines w:val="0"/>
              <w:widowControl/>
              <w:suppressLineNumbers w:val="0"/>
              <w:jc w:val="center"/>
              <w:textAlignment w:val="bottom"/>
              <w:rPr>
                <w:rFonts w:hint="eastAsia" w:eastAsia="仿宋_GB2312"/>
                <w:color w:val="auto"/>
                <w:kern w:val="0"/>
                <w:szCs w:val="21"/>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922</w:t>
            </w:r>
          </w:p>
        </w:tc>
        <w:tc>
          <w:tcPr>
            <w:tcW w:w="820" w:type="pct"/>
            <w:shd w:val="clear" w:color="auto" w:fill="auto"/>
            <w:vAlign w:val="center"/>
          </w:tcPr>
          <w:p w14:paraId="74F91509">
            <w:pPr>
              <w:widowControl/>
              <w:jc w:val="center"/>
              <w:textAlignment w:val="center"/>
              <w:rPr>
                <w:rFonts w:hint="eastAsia" w:ascii="Times New Roman" w:hAnsi="Times New Roman" w:eastAsia="仿宋_GB2312" w:cs="Times New Roman"/>
                <w:b/>
                <w:bCs/>
                <w:color w:val="auto"/>
                <w:kern w:val="0"/>
                <w:sz w:val="21"/>
                <w:szCs w:val="21"/>
                <w:lang w:val="en-US" w:eastAsia="zh-CN" w:bidi="ar"/>
              </w:rPr>
            </w:pPr>
            <w:r>
              <w:rPr>
                <w:rFonts w:hint="eastAsia" w:eastAsia="仿宋_GB2312"/>
                <w:color w:val="auto"/>
                <w:kern w:val="0"/>
                <w:szCs w:val="21"/>
                <w:lang w:val="en-US" w:eastAsia="zh-CN" w:bidi="ar"/>
              </w:rPr>
              <w:t>乙酸丁酯</w:t>
            </w:r>
          </w:p>
        </w:tc>
        <w:tc>
          <w:tcPr>
            <w:tcW w:w="380" w:type="pct"/>
            <w:shd w:val="clear" w:color="auto" w:fill="auto"/>
            <w:vAlign w:val="center"/>
          </w:tcPr>
          <w:p w14:paraId="464B1364">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3.853</w:t>
            </w:r>
          </w:p>
        </w:tc>
        <w:tc>
          <w:tcPr>
            <w:tcW w:w="445" w:type="pct"/>
            <w:shd w:val="clear" w:color="auto" w:fill="auto"/>
            <w:vAlign w:val="center"/>
          </w:tcPr>
          <w:p w14:paraId="77CFA573">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ascii="Times New Roman" w:hAnsi="Times New Roman" w:eastAsia="仿宋_GB2312" w:cs="Times New Roman"/>
                <w:color w:val="auto"/>
                <w:kern w:val="0"/>
                <w:szCs w:val="21"/>
                <w:lang w:val="en-US" w:eastAsia="zh-CN" w:bidi="ar"/>
              </w:rPr>
              <w:t>3.553</w:t>
            </w:r>
          </w:p>
        </w:tc>
        <w:tc>
          <w:tcPr>
            <w:tcW w:w="630" w:type="pct"/>
            <w:vMerge w:val="continue"/>
            <w:shd w:val="clear" w:color="auto" w:fill="auto"/>
            <w:vAlign w:val="center"/>
          </w:tcPr>
          <w:p w14:paraId="2CD3FF05">
            <w:pPr>
              <w:jc w:val="center"/>
              <w:rPr>
                <w:rFonts w:ascii="Times New Roman" w:hAnsi="Times New Roman" w:eastAsia="仿宋_GB2312" w:cs="Times New Roman"/>
                <w:color w:val="auto"/>
                <w:kern w:val="2"/>
                <w:sz w:val="21"/>
                <w:szCs w:val="21"/>
                <w:lang w:val="en-US" w:eastAsia="zh-CN" w:bidi="ar-SA"/>
              </w:rPr>
            </w:pPr>
          </w:p>
        </w:tc>
        <w:tc>
          <w:tcPr>
            <w:tcW w:w="292" w:type="pct"/>
            <w:vMerge w:val="continue"/>
            <w:shd w:val="clear" w:color="auto" w:fill="auto"/>
            <w:vAlign w:val="center"/>
          </w:tcPr>
          <w:p w14:paraId="608BB7E9">
            <w:pPr>
              <w:jc w:val="center"/>
              <w:rPr>
                <w:rFonts w:ascii="Times New Roman" w:hAnsi="Times New Roman" w:eastAsia="仿宋_GB2312" w:cs="Times New Roman"/>
                <w:color w:val="auto"/>
                <w:kern w:val="2"/>
                <w:sz w:val="21"/>
                <w:szCs w:val="21"/>
                <w:lang w:val="en-US" w:eastAsia="zh-CN" w:bidi="ar-SA"/>
              </w:rPr>
            </w:pPr>
          </w:p>
        </w:tc>
      </w:tr>
      <w:tr w14:paraId="3DF189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242D44D8">
            <w:pPr>
              <w:jc w:val="center"/>
              <w:rPr>
                <w:rFonts w:eastAsia="仿宋_GB2312"/>
                <w:color w:val="auto"/>
                <w:szCs w:val="21"/>
              </w:rPr>
            </w:pPr>
          </w:p>
        </w:tc>
        <w:tc>
          <w:tcPr>
            <w:tcW w:w="358" w:type="pct"/>
            <w:vMerge w:val="continue"/>
            <w:vAlign w:val="center"/>
          </w:tcPr>
          <w:p w14:paraId="52057F27">
            <w:pPr>
              <w:jc w:val="center"/>
              <w:rPr>
                <w:rFonts w:hint="eastAsia" w:eastAsia="仿宋_GB2312"/>
                <w:color w:val="auto"/>
                <w:szCs w:val="21"/>
                <w:lang w:val="en-US" w:eastAsia="zh-CN"/>
              </w:rPr>
            </w:pPr>
          </w:p>
        </w:tc>
        <w:tc>
          <w:tcPr>
            <w:tcW w:w="418" w:type="pct"/>
            <w:vMerge w:val="continue"/>
            <w:vAlign w:val="center"/>
          </w:tcPr>
          <w:p w14:paraId="1A22ADE0">
            <w:pPr>
              <w:jc w:val="center"/>
              <w:rPr>
                <w:rFonts w:eastAsia="仿宋_GB2312"/>
                <w:color w:val="auto"/>
                <w:kern w:val="0"/>
                <w:szCs w:val="21"/>
                <w:lang w:bidi="ar"/>
              </w:rPr>
            </w:pPr>
          </w:p>
        </w:tc>
        <w:tc>
          <w:tcPr>
            <w:tcW w:w="446" w:type="pct"/>
            <w:vMerge w:val="continue"/>
            <w:vAlign w:val="center"/>
          </w:tcPr>
          <w:p w14:paraId="1198934C">
            <w:pPr>
              <w:jc w:val="center"/>
              <w:rPr>
                <w:rFonts w:eastAsia="仿宋_GB2312"/>
                <w:color w:val="auto"/>
                <w:kern w:val="0"/>
                <w:szCs w:val="21"/>
                <w:lang w:bidi="ar"/>
              </w:rPr>
            </w:pPr>
          </w:p>
        </w:tc>
        <w:tc>
          <w:tcPr>
            <w:tcW w:w="361" w:type="pct"/>
            <w:vMerge w:val="continue"/>
            <w:vAlign w:val="center"/>
          </w:tcPr>
          <w:p w14:paraId="075C556C">
            <w:pPr>
              <w:jc w:val="center"/>
              <w:rPr>
                <w:rFonts w:eastAsia="仿宋_GB2312"/>
                <w:color w:val="auto"/>
                <w:szCs w:val="21"/>
              </w:rPr>
            </w:pPr>
          </w:p>
        </w:tc>
        <w:tc>
          <w:tcPr>
            <w:tcW w:w="498" w:type="pct"/>
            <w:vMerge w:val="continue"/>
            <w:shd w:val="clear" w:color="auto" w:fill="auto"/>
            <w:vAlign w:val="center"/>
          </w:tcPr>
          <w:p w14:paraId="399DC13A">
            <w:pPr>
              <w:keepNext w:val="0"/>
              <w:keepLines w:val="0"/>
              <w:widowControl/>
              <w:suppressLineNumbers w:val="0"/>
              <w:jc w:val="center"/>
              <w:textAlignment w:val="bottom"/>
              <w:rPr>
                <w:rFonts w:hint="eastAsia" w:eastAsia="仿宋_GB2312"/>
                <w:color w:val="auto"/>
                <w:kern w:val="0"/>
                <w:szCs w:val="21"/>
                <w:lang w:val="en-US" w:eastAsia="zh-CN" w:bidi="ar"/>
              </w:rPr>
            </w:pPr>
          </w:p>
        </w:tc>
        <w:tc>
          <w:tcPr>
            <w:tcW w:w="820" w:type="pct"/>
            <w:shd w:val="clear" w:color="auto" w:fill="auto"/>
            <w:vAlign w:val="center"/>
          </w:tcPr>
          <w:p w14:paraId="7254EBA8">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正丁醇</w:t>
            </w:r>
          </w:p>
        </w:tc>
        <w:tc>
          <w:tcPr>
            <w:tcW w:w="380" w:type="pct"/>
            <w:shd w:val="clear" w:color="auto" w:fill="auto"/>
            <w:vAlign w:val="center"/>
          </w:tcPr>
          <w:p w14:paraId="48DC790D">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0.017</w:t>
            </w:r>
          </w:p>
        </w:tc>
        <w:tc>
          <w:tcPr>
            <w:tcW w:w="445" w:type="pct"/>
            <w:shd w:val="clear" w:color="auto" w:fill="auto"/>
            <w:vAlign w:val="center"/>
          </w:tcPr>
          <w:p w14:paraId="6168E700">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ascii="Times New Roman" w:hAnsi="Times New Roman" w:eastAsia="仿宋_GB2312" w:cs="Times New Roman"/>
                <w:color w:val="auto"/>
                <w:kern w:val="0"/>
                <w:szCs w:val="21"/>
                <w:lang w:val="en-US" w:eastAsia="zh-CN" w:bidi="ar"/>
              </w:rPr>
              <w:t>0.0158</w:t>
            </w:r>
          </w:p>
        </w:tc>
        <w:tc>
          <w:tcPr>
            <w:tcW w:w="630" w:type="pct"/>
            <w:vMerge w:val="continue"/>
            <w:vAlign w:val="center"/>
          </w:tcPr>
          <w:p w14:paraId="3ED4FAEA">
            <w:pPr>
              <w:jc w:val="center"/>
              <w:rPr>
                <w:rFonts w:eastAsia="仿宋_GB2312"/>
                <w:color w:val="auto"/>
                <w:kern w:val="0"/>
                <w:szCs w:val="21"/>
                <w:lang w:bidi="ar"/>
              </w:rPr>
            </w:pPr>
          </w:p>
        </w:tc>
        <w:tc>
          <w:tcPr>
            <w:tcW w:w="292" w:type="pct"/>
            <w:vMerge w:val="continue"/>
            <w:vAlign w:val="center"/>
          </w:tcPr>
          <w:p w14:paraId="6C391EA3">
            <w:pPr>
              <w:jc w:val="center"/>
              <w:rPr>
                <w:rFonts w:eastAsia="仿宋_GB2312"/>
                <w:color w:val="auto"/>
                <w:kern w:val="0"/>
                <w:szCs w:val="21"/>
                <w:lang w:bidi="ar"/>
              </w:rPr>
            </w:pPr>
          </w:p>
        </w:tc>
      </w:tr>
      <w:tr w14:paraId="51DAA78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007DFA69">
            <w:pPr>
              <w:jc w:val="center"/>
              <w:rPr>
                <w:rFonts w:eastAsia="仿宋_GB2312"/>
                <w:color w:val="auto"/>
                <w:szCs w:val="21"/>
              </w:rPr>
            </w:pPr>
          </w:p>
        </w:tc>
        <w:tc>
          <w:tcPr>
            <w:tcW w:w="358" w:type="pct"/>
            <w:vMerge w:val="continue"/>
            <w:vAlign w:val="center"/>
          </w:tcPr>
          <w:p w14:paraId="4A765A92">
            <w:pPr>
              <w:jc w:val="center"/>
              <w:rPr>
                <w:rFonts w:eastAsia="仿宋_GB2312"/>
                <w:color w:val="auto"/>
                <w:szCs w:val="21"/>
              </w:rPr>
            </w:pPr>
          </w:p>
        </w:tc>
        <w:tc>
          <w:tcPr>
            <w:tcW w:w="418" w:type="pct"/>
            <w:vMerge w:val="continue"/>
            <w:vAlign w:val="center"/>
          </w:tcPr>
          <w:p w14:paraId="28008C50">
            <w:pPr>
              <w:jc w:val="center"/>
              <w:rPr>
                <w:rFonts w:eastAsia="仿宋_GB2312"/>
                <w:color w:val="auto"/>
                <w:szCs w:val="21"/>
              </w:rPr>
            </w:pPr>
          </w:p>
        </w:tc>
        <w:tc>
          <w:tcPr>
            <w:tcW w:w="446" w:type="pct"/>
            <w:vMerge w:val="continue"/>
            <w:vAlign w:val="center"/>
          </w:tcPr>
          <w:p w14:paraId="73D827CB">
            <w:pPr>
              <w:jc w:val="center"/>
              <w:rPr>
                <w:rFonts w:eastAsia="仿宋_GB2312"/>
                <w:color w:val="auto"/>
                <w:szCs w:val="21"/>
              </w:rPr>
            </w:pPr>
          </w:p>
        </w:tc>
        <w:tc>
          <w:tcPr>
            <w:tcW w:w="361" w:type="pct"/>
            <w:vMerge w:val="continue"/>
            <w:vAlign w:val="center"/>
          </w:tcPr>
          <w:p w14:paraId="2FBBFDB0">
            <w:pPr>
              <w:jc w:val="center"/>
              <w:rPr>
                <w:rFonts w:eastAsia="仿宋_GB2312"/>
                <w:color w:val="auto"/>
                <w:szCs w:val="21"/>
              </w:rPr>
            </w:pPr>
          </w:p>
        </w:tc>
        <w:tc>
          <w:tcPr>
            <w:tcW w:w="498" w:type="pct"/>
            <w:vMerge w:val="continue"/>
            <w:shd w:val="clear" w:color="auto" w:fill="auto"/>
            <w:vAlign w:val="center"/>
          </w:tcPr>
          <w:p w14:paraId="03743AA1">
            <w:pPr>
              <w:keepNext w:val="0"/>
              <w:keepLines w:val="0"/>
              <w:widowControl/>
              <w:suppressLineNumbers w:val="0"/>
              <w:jc w:val="center"/>
              <w:textAlignment w:val="bottom"/>
              <w:rPr>
                <w:rFonts w:eastAsia="仿宋_GB2312"/>
                <w:color w:val="auto"/>
                <w:kern w:val="0"/>
                <w:szCs w:val="21"/>
                <w:lang w:bidi="ar"/>
              </w:rPr>
            </w:pPr>
          </w:p>
        </w:tc>
        <w:tc>
          <w:tcPr>
            <w:tcW w:w="820" w:type="pct"/>
            <w:shd w:val="clear" w:color="auto" w:fill="auto"/>
            <w:vAlign w:val="center"/>
          </w:tcPr>
          <w:p w14:paraId="09F197CD">
            <w:pPr>
              <w:widowControl/>
              <w:jc w:val="center"/>
              <w:textAlignment w:val="center"/>
              <w:rPr>
                <w:rFonts w:ascii="Times New Roman" w:hAnsi="Times New Roman" w:eastAsia="仿宋_GB2312" w:cs="Times New Roman"/>
                <w:b/>
                <w:bCs/>
                <w:color w:val="auto"/>
                <w:kern w:val="0"/>
                <w:sz w:val="21"/>
                <w:szCs w:val="21"/>
                <w:lang w:val="en-US" w:eastAsia="zh-CN" w:bidi="ar"/>
              </w:rPr>
            </w:pPr>
            <w:r>
              <w:rPr>
                <w:rFonts w:eastAsia="仿宋_GB2312"/>
                <w:color w:val="auto"/>
                <w:kern w:val="0"/>
                <w:szCs w:val="21"/>
                <w:lang w:bidi="ar"/>
              </w:rPr>
              <w:t>其他有机物</w:t>
            </w:r>
          </w:p>
        </w:tc>
        <w:tc>
          <w:tcPr>
            <w:tcW w:w="380" w:type="pct"/>
            <w:shd w:val="clear" w:color="auto" w:fill="auto"/>
            <w:vAlign w:val="center"/>
          </w:tcPr>
          <w:p w14:paraId="7AEF6C5D">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0.06</w:t>
            </w:r>
          </w:p>
        </w:tc>
        <w:tc>
          <w:tcPr>
            <w:tcW w:w="445" w:type="pct"/>
            <w:shd w:val="clear" w:color="auto" w:fill="auto"/>
            <w:vAlign w:val="center"/>
          </w:tcPr>
          <w:p w14:paraId="77D5C81E">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ascii="Times New Roman" w:hAnsi="Times New Roman" w:eastAsia="仿宋_GB2312" w:cs="Times New Roman"/>
                <w:color w:val="auto"/>
                <w:kern w:val="0"/>
                <w:szCs w:val="21"/>
                <w:lang w:val="en-US" w:eastAsia="zh-CN" w:bidi="ar"/>
              </w:rPr>
              <w:t>0.0554</w:t>
            </w:r>
          </w:p>
        </w:tc>
        <w:tc>
          <w:tcPr>
            <w:tcW w:w="630" w:type="pct"/>
            <w:vMerge w:val="continue"/>
            <w:vAlign w:val="center"/>
          </w:tcPr>
          <w:p w14:paraId="10BA9B51">
            <w:pPr>
              <w:jc w:val="center"/>
              <w:rPr>
                <w:rFonts w:eastAsia="仿宋_GB2312"/>
                <w:color w:val="auto"/>
                <w:szCs w:val="21"/>
              </w:rPr>
            </w:pPr>
          </w:p>
        </w:tc>
        <w:tc>
          <w:tcPr>
            <w:tcW w:w="292" w:type="pct"/>
            <w:vMerge w:val="continue"/>
            <w:vAlign w:val="center"/>
          </w:tcPr>
          <w:p w14:paraId="3A71B511">
            <w:pPr>
              <w:jc w:val="center"/>
              <w:rPr>
                <w:rFonts w:eastAsia="仿宋_GB2312"/>
                <w:color w:val="auto"/>
                <w:szCs w:val="21"/>
              </w:rPr>
            </w:pPr>
          </w:p>
        </w:tc>
      </w:tr>
      <w:tr w14:paraId="00F59B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376998D3">
            <w:pPr>
              <w:jc w:val="center"/>
              <w:rPr>
                <w:rFonts w:eastAsia="仿宋_GB2312"/>
                <w:color w:val="auto"/>
                <w:szCs w:val="21"/>
              </w:rPr>
            </w:pPr>
          </w:p>
        </w:tc>
        <w:tc>
          <w:tcPr>
            <w:tcW w:w="358" w:type="pct"/>
            <w:vMerge w:val="continue"/>
            <w:vAlign w:val="center"/>
          </w:tcPr>
          <w:p w14:paraId="60AB3312">
            <w:pPr>
              <w:jc w:val="center"/>
              <w:rPr>
                <w:rFonts w:eastAsia="仿宋_GB2312"/>
                <w:color w:val="auto"/>
                <w:szCs w:val="21"/>
              </w:rPr>
            </w:pPr>
          </w:p>
        </w:tc>
        <w:tc>
          <w:tcPr>
            <w:tcW w:w="418" w:type="pct"/>
            <w:vMerge w:val="restart"/>
            <w:vAlign w:val="center"/>
          </w:tcPr>
          <w:p w14:paraId="405840E4">
            <w:pPr>
              <w:jc w:val="center"/>
              <w:rPr>
                <w:rFonts w:eastAsia="仿宋_GB2312"/>
                <w:color w:val="auto"/>
                <w:szCs w:val="21"/>
              </w:rPr>
            </w:pPr>
            <w:r>
              <w:rPr>
                <w:rFonts w:eastAsia="仿宋_GB2312"/>
                <w:color w:val="auto"/>
                <w:kern w:val="0"/>
                <w:szCs w:val="21"/>
                <w:lang w:bidi="ar"/>
              </w:rPr>
              <w:t>G</w:t>
            </w:r>
            <w:r>
              <w:rPr>
                <w:rFonts w:hint="eastAsia" w:eastAsia="仿宋_GB2312"/>
                <w:color w:val="auto"/>
                <w:kern w:val="0"/>
                <w:szCs w:val="21"/>
                <w:lang w:val="en-US" w:eastAsia="zh-CN" w:bidi="ar"/>
              </w:rPr>
              <w:t>3</w:t>
            </w:r>
            <w:r>
              <w:rPr>
                <w:rFonts w:eastAsia="仿宋_GB2312"/>
                <w:color w:val="auto"/>
                <w:kern w:val="0"/>
                <w:szCs w:val="21"/>
                <w:lang w:bidi="ar"/>
              </w:rPr>
              <w:t>-</w:t>
            </w:r>
            <w:r>
              <w:rPr>
                <w:rFonts w:hint="eastAsia" w:eastAsia="仿宋_GB2312"/>
                <w:color w:val="auto"/>
                <w:kern w:val="0"/>
                <w:szCs w:val="21"/>
                <w:lang w:val="en-US" w:eastAsia="zh-CN" w:bidi="ar"/>
              </w:rPr>
              <w:t>4</w:t>
            </w:r>
            <w:r>
              <w:rPr>
                <w:rFonts w:eastAsia="仿宋_GB2312"/>
                <w:color w:val="auto"/>
                <w:kern w:val="0"/>
                <w:szCs w:val="21"/>
                <w:lang w:bidi="ar"/>
              </w:rPr>
              <w:t>-2</w:t>
            </w:r>
          </w:p>
        </w:tc>
        <w:tc>
          <w:tcPr>
            <w:tcW w:w="446" w:type="pct"/>
            <w:vMerge w:val="restart"/>
            <w:vAlign w:val="center"/>
          </w:tcPr>
          <w:p w14:paraId="7FE5C841">
            <w:pPr>
              <w:jc w:val="center"/>
              <w:rPr>
                <w:rFonts w:eastAsia="仿宋_GB2312"/>
                <w:color w:val="auto"/>
                <w:szCs w:val="21"/>
              </w:rPr>
            </w:pPr>
            <w:r>
              <w:rPr>
                <w:rFonts w:eastAsia="仿宋_GB2312"/>
                <w:color w:val="auto"/>
                <w:kern w:val="0"/>
                <w:szCs w:val="21"/>
                <w:lang w:bidi="ar"/>
              </w:rPr>
              <w:t>调节废气</w:t>
            </w:r>
          </w:p>
        </w:tc>
        <w:tc>
          <w:tcPr>
            <w:tcW w:w="361" w:type="pct"/>
            <w:vMerge w:val="restart"/>
            <w:vAlign w:val="center"/>
          </w:tcPr>
          <w:p w14:paraId="169AB906">
            <w:pPr>
              <w:jc w:val="center"/>
              <w:rPr>
                <w:rFonts w:eastAsia="仿宋_GB2312"/>
                <w:color w:val="auto"/>
                <w:szCs w:val="21"/>
              </w:rPr>
            </w:pPr>
            <w:r>
              <w:rPr>
                <w:rFonts w:hint="eastAsia" w:eastAsia="仿宋_GB2312"/>
                <w:color w:val="auto"/>
                <w:szCs w:val="21"/>
                <w:lang w:val="en-US" w:eastAsia="zh-CN"/>
              </w:rPr>
              <w:t>1</w:t>
            </w:r>
            <w:r>
              <w:rPr>
                <w:rFonts w:eastAsia="仿宋_GB2312"/>
                <w:color w:val="auto"/>
                <w:szCs w:val="21"/>
              </w:rPr>
              <w:t>00</w:t>
            </w:r>
          </w:p>
        </w:tc>
        <w:tc>
          <w:tcPr>
            <w:tcW w:w="498" w:type="pct"/>
            <w:vMerge w:val="restart"/>
            <w:shd w:val="clear" w:color="auto" w:fill="auto"/>
            <w:vAlign w:val="center"/>
          </w:tcPr>
          <w:p w14:paraId="0C952382">
            <w:pPr>
              <w:keepNext w:val="0"/>
              <w:keepLines w:val="0"/>
              <w:widowControl/>
              <w:suppressLineNumbers w:val="0"/>
              <w:jc w:val="center"/>
              <w:textAlignment w:val="bottom"/>
              <w:rPr>
                <w:rFonts w:hint="eastAsia" w:eastAsia="仿宋_GB2312"/>
                <w:color w:val="auto"/>
                <w:kern w:val="0"/>
                <w:szCs w:val="21"/>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922</w:t>
            </w:r>
          </w:p>
        </w:tc>
        <w:tc>
          <w:tcPr>
            <w:tcW w:w="820" w:type="pct"/>
            <w:shd w:val="clear" w:color="auto" w:fill="auto"/>
            <w:vAlign w:val="center"/>
          </w:tcPr>
          <w:p w14:paraId="06AA5262">
            <w:pPr>
              <w:widowControl/>
              <w:jc w:val="center"/>
              <w:textAlignment w:val="center"/>
              <w:rPr>
                <w:rFonts w:hint="eastAsia" w:ascii="Times New Roman" w:hAnsi="Times New Roman" w:eastAsia="仿宋_GB2312" w:cs="Times New Roman"/>
                <w:b/>
                <w:bCs/>
                <w:color w:val="auto"/>
                <w:kern w:val="0"/>
                <w:sz w:val="21"/>
                <w:szCs w:val="21"/>
                <w:lang w:val="en-US" w:eastAsia="zh-CN" w:bidi="ar"/>
              </w:rPr>
            </w:pPr>
            <w:r>
              <w:rPr>
                <w:rFonts w:hint="eastAsia" w:eastAsia="仿宋_GB2312"/>
                <w:color w:val="auto"/>
                <w:kern w:val="0"/>
                <w:szCs w:val="21"/>
                <w:lang w:val="en-US" w:eastAsia="zh-CN" w:bidi="ar"/>
              </w:rPr>
              <w:t>乙酸丁酯</w:t>
            </w:r>
          </w:p>
        </w:tc>
        <w:tc>
          <w:tcPr>
            <w:tcW w:w="380" w:type="pct"/>
            <w:shd w:val="clear" w:color="auto" w:fill="auto"/>
            <w:vAlign w:val="center"/>
          </w:tcPr>
          <w:p w14:paraId="6EDAB406">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1.946</w:t>
            </w:r>
          </w:p>
        </w:tc>
        <w:tc>
          <w:tcPr>
            <w:tcW w:w="445" w:type="pct"/>
            <w:shd w:val="clear" w:color="auto" w:fill="auto"/>
            <w:vAlign w:val="center"/>
          </w:tcPr>
          <w:p w14:paraId="2FA9EED0">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bidi="ar"/>
              </w:rPr>
              <w:t>1.795</w:t>
            </w:r>
          </w:p>
        </w:tc>
        <w:tc>
          <w:tcPr>
            <w:tcW w:w="630" w:type="pct"/>
            <w:vMerge w:val="restart"/>
            <w:shd w:val="clear" w:color="auto" w:fill="auto"/>
            <w:vAlign w:val="center"/>
          </w:tcPr>
          <w:p w14:paraId="1DBE9134">
            <w:pPr>
              <w:widowControl/>
              <w:jc w:val="center"/>
              <w:textAlignment w:val="center"/>
              <w:rPr>
                <w:rFonts w:ascii="Times New Roman" w:hAnsi="Times New Roman" w:eastAsia="仿宋_GB2312" w:cs="Times New Roman"/>
                <w:color w:val="auto"/>
                <w:kern w:val="2"/>
                <w:sz w:val="21"/>
                <w:szCs w:val="21"/>
                <w:lang w:val="en-US" w:eastAsia="zh-CN" w:bidi="ar-SA"/>
              </w:rPr>
            </w:pPr>
            <w:r>
              <w:rPr>
                <w:rFonts w:hint="eastAsia" w:eastAsia="仿宋_GB2312"/>
                <w:color w:val="auto"/>
                <w:szCs w:val="21"/>
              </w:rPr>
              <w:t>预处理（冷凝+稀酸吸收+碱吸收+水吸收+除雾）+</w:t>
            </w:r>
            <w:r>
              <w:rPr>
                <w:rFonts w:eastAsia="仿宋_GB2312"/>
                <w:color w:val="auto"/>
                <w:szCs w:val="21"/>
              </w:rPr>
              <w:t>焚烧</w:t>
            </w:r>
          </w:p>
        </w:tc>
        <w:tc>
          <w:tcPr>
            <w:tcW w:w="292" w:type="pct"/>
            <w:vMerge w:val="restart"/>
            <w:shd w:val="clear" w:color="auto" w:fill="auto"/>
            <w:vAlign w:val="center"/>
          </w:tcPr>
          <w:p w14:paraId="3F49A546">
            <w:pPr>
              <w:widowControl/>
              <w:jc w:val="center"/>
              <w:textAlignment w:val="center"/>
              <w:rPr>
                <w:rFonts w:ascii="Times New Roman" w:hAnsi="Times New Roman" w:eastAsia="仿宋_GB2312" w:cs="Times New Roman"/>
                <w:color w:val="auto"/>
                <w:kern w:val="2"/>
                <w:sz w:val="21"/>
                <w:szCs w:val="21"/>
                <w:lang w:val="en-US" w:eastAsia="zh-CN" w:bidi="ar-SA"/>
              </w:rPr>
            </w:pPr>
            <w:r>
              <w:rPr>
                <w:rFonts w:hint="eastAsia" w:eastAsia="仿宋_GB2312"/>
                <w:color w:val="auto"/>
                <w:kern w:val="0"/>
                <w:szCs w:val="21"/>
                <w:lang w:bidi="ar"/>
              </w:rPr>
              <w:t>DA002</w:t>
            </w:r>
          </w:p>
        </w:tc>
      </w:tr>
      <w:tr w14:paraId="2167E0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06DD4629">
            <w:pPr>
              <w:jc w:val="center"/>
              <w:rPr>
                <w:rFonts w:eastAsia="仿宋_GB2312"/>
                <w:color w:val="auto"/>
                <w:szCs w:val="21"/>
              </w:rPr>
            </w:pPr>
          </w:p>
        </w:tc>
        <w:tc>
          <w:tcPr>
            <w:tcW w:w="358" w:type="pct"/>
            <w:vMerge w:val="continue"/>
            <w:vAlign w:val="center"/>
          </w:tcPr>
          <w:p w14:paraId="0D67FB9F">
            <w:pPr>
              <w:jc w:val="center"/>
              <w:rPr>
                <w:rFonts w:eastAsia="仿宋_GB2312"/>
                <w:color w:val="auto"/>
                <w:szCs w:val="21"/>
              </w:rPr>
            </w:pPr>
          </w:p>
        </w:tc>
        <w:tc>
          <w:tcPr>
            <w:tcW w:w="418" w:type="pct"/>
            <w:vMerge w:val="continue"/>
            <w:vAlign w:val="center"/>
          </w:tcPr>
          <w:p w14:paraId="19107F85">
            <w:pPr>
              <w:jc w:val="center"/>
              <w:rPr>
                <w:rFonts w:eastAsia="仿宋_GB2312"/>
                <w:color w:val="auto"/>
                <w:kern w:val="0"/>
                <w:szCs w:val="21"/>
                <w:lang w:bidi="ar"/>
              </w:rPr>
            </w:pPr>
          </w:p>
        </w:tc>
        <w:tc>
          <w:tcPr>
            <w:tcW w:w="446" w:type="pct"/>
            <w:vMerge w:val="continue"/>
            <w:vAlign w:val="center"/>
          </w:tcPr>
          <w:p w14:paraId="654CC703">
            <w:pPr>
              <w:jc w:val="center"/>
              <w:rPr>
                <w:rFonts w:eastAsia="仿宋_GB2312"/>
                <w:color w:val="auto"/>
                <w:kern w:val="0"/>
                <w:szCs w:val="21"/>
                <w:lang w:bidi="ar"/>
              </w:rPr>
            </w:pPr>
          </w:p>
        </w:tc>
        <w:tc>
          <w:tcPr>
            <w:tcW w:w="361" w:type="pct"/>
            <w:vMerge w:val="continue"/>
            <w:vAlign w:val="center"/>
          </w:tcPr>
          <w:p w14:paraId="12EBCF58">
            <w:pPr>
              <w:jc w:val="center"/>
              <w:rPr>
                <w:rFonts w:eastAsia="仿宋_GB2312"/>
                <w:color w:val="auto"/>
                <w:szCs w:val="21"/>
              </w:rPr>
            </w:pPr>
          </w:p>
        </w:tc>
        <w:tc>
          <w:tcPr>
            <w:tcW w:w="498" w:type="pct"/>
            <w:vMerge w:val="continue"/>
            <w:shd w:val="clear" w:color="auto" w:fill="auto"/>
            <w:vAlign w:val="center"/>
          </w:tcPr>
          <w:p w14:paraId="6DAE159F">
            <w:pPr>
              <w:keepNext w:val="0"/>
              <w:keepLines w:val="0"/>
              <w:widowControl/>
              <w:suppressLineNumbers w:val="0"/>
              <w:jc w:val="center"/>
              <w:textAlignment w:val="bottom"/>
              <w:rPr>
                <w:rFonts w:hint="eastAsia" w:eastAsia="仿宋_GB2312"/>
                <w:color w:val="auto"/>
                <w:kern w:val="0"/>
                <w:szCs w:val="21"/>
                <w:lang w:val="en-US" w:eastAsia="zh-CN" w:bidi="ar"/>
              </w:rPr>
            </w:pPr>
          </w:p>
        </w:tc>
        <w:tc>
          <w:tcPr>
            <w:tcW w:w="820" w:type="pct"/>
            <w:shd w:val="clear" w:color="auto" w:fill="auto"/>
            <w:vAlign w:val="center"/>
          </w:tcPr>
          <w:p w14:paraId="50AFBB81">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正丁醇</w:t>
            </w:r>
          </w:p>
        </w:tc>
        <w:tc>
          <w:tcPr>
            <w:tcW w:w="380" w:type="pct"/>
            <w:shd w:val="clear" w:color="auto" w:fill="auto"/>
            <w:vAlign w:val="center"/>
          </w:tcPr>
          <w:p w14:paraId="78A05578">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0.008</w:t>
            </w:r>
          </w:p>
        </w:tc>
        <w:tc>
          <w:tcPr>
            <w:tcW w:w="445" w:type="pct"/>
            <w:shd w:val="clear" w:color="auto" w:fill="auto"/>
            <w:vAlign w:val="center"/>
          </w:tcPr>
          <w:p w14:paraId="1DAD7DE9">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bidi="ar"/>
              </w:rPr>
              <w:t>0.008</w:t>
            </w:r>
          </w:p>
        </w:tc>
        <w:tc>
          <w:tcPr>
            <w:tcW w:w="630" w:type="pct"/>
            <w:vMerge w:val="continue"/>
            <w:vAlign w:val="center"/>
          </w:tcPr>
          <w:p w14:paraId="4B9D4958">
            <w:pPr>
              <w:jc w:val="center"/>
              <w:rPr>
                <w:rFonts w:eastAsia="仿宋_GB2312"/>
                <w:color w:val="auto"/>
                <w:kern w:val="0"/>
                <w:szCs w:val="21"/>
                <w:lang w:bidi="ar"/>
              </w:rPr>
            </w:pPr>
          </w:p>
        </w:tc>
        <w:tc>
          <w:tcPr>
            <w:tcW w:w="292" w:type="pct"/>
            <w:vMerge w:val="continue"/>
            <w:vAlign w:val="center"/>
          </w:tcPr>
          <w:p w14:paraId="6BBD6748">
            <w:pPr>
              <w:jc w:val="center"/>
              <w:rPr>
                <w:rFonts w:eastAsia="仿宋_GB2312"/>
                <w:color w:val="auto"/>
                <w:kern w:val="0"/>
                <w:szCs w:val="21"/>
                <w:lang w:bidi="ar"/>
              </w:rPr>
            </w:pPr>
          </w:p>
        </w:tc>
      </w:tr>
      <w:tr w14:paraId="536AD2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47A86CE0">
            <w:pPr>
              <w:jc w:val="center"/>
              <w:rPr>
                <w:rFonts w:eastAsia="仿宋_GB2312"/>
                <w:color w:val="auto"/>
                <w:szCs w:val="21"/>
              </w:rPr>
            </w:pPr>
          </w:p>
        </w:tc>
        <w:tc>
          <w:tcPr>
            <w:tcW w:w="358" w:type="pct"/>
            <w:vMerge w:val="continue"/>
            <w:vAlign w:val="center"/>
          </w:tcPr>
          <w:p w14:paraId="31E38807">
            <w:pPr>
              <w:jc w:val="center"/>
              <w:rPr>
                <w:rFonts w:eastAsia="仿宋_GB2312"/>
                <w:color w:val="auto"/>
                <w:szCs w:val="21"/>
              </w:rPr>
            </w:pPr>
          </w:p>
        </w:tc>
        <w:tc>
          <w:tcPr>
            <w:tcW w:w="418" w:type="pct"/>
            <w:vMerge w:val="continue"/>
            <w:vAlign w:val="center"/>
          </w:tcPr>
          <w:p w14:paraId="6EC8BFD0">
            <w:pPr>
              <w:jc w:val="center"/>
              <w:rPr>
                <w:rFonts w:eastAsia="仿宋_GB2312"/>
                <w:color w:val="auto"/>
                <w:szCs w:val="21"/>
              </w:rPr>
            </w:pPr>
          </w:p>
        </w:tc>
        <w:tc>
          <w:tcPr>
            <w:tcW w:w="446" w:type="pct"/>
            <w:vMerge w:val="continue"/>
            <w:vAlign w:val="center"/>
          </w:tcPr>
          <w:p w14:paraId="7B411055">
            <w:pPr>
              <w:jc w:val="center"/>
              <w:rPr>
                <w:rFonts w:eastAsia="仿宋_GB2312"/>
                <w:color w:val="auto"/>
                <w:szCs w:val="21"/>
              </w:rPr>
            </w:pPr>
          </w:p>
        </w:tc>
        <w:tc>
          <w:tcPr>
            <w:tcW w:w="361" w:type="pct"/>
            <w:vMerge w:val="continue"/>
            <w:vAlign w:val="center"/>
          </w:tcPr>
          <w:p w14:paraId="4090BA6B">
            <w:pPr>
              <w:jc w:val="center"/>
              <w:rPr>
                <w:rFonts w:eastAsia="仿宋_GB2312"/>
                <w:color w:val="auto"/>
                <w:szCs w:val="21"/>
              </w:rPr>
            </w:pPr>
          </w:p>
        </w:tc>
        <w:tc>
          <w:tcPr>
            <w:tcW w:w="498" w:type="pct"/>
            <w:vMerge w:val="continue"/>
            <w:shd w:val="clear" w:color="auto" w:fill="auto"/>
            <w:vAlign w:val="center"/>
          </w:tcPr>
          <w:p w14:paraId="1B522001">
            <w:pPr>
              <w:keepNext w:val="0"/>
              <w:keepLines w:val="0"/>
              <w:widowControl/>
              <w:suppressLineNumbers w:val="0"/>
              <w:jc w:val="center"/>
              <w:textAlignment w:val="bottom"/>
              <w:rPr>
                <w:rFonts w:eastAsia="仿宋_GB2312"/>
                <w:color w:val="auto"/>
                <w:kern w:val="0"/>
                <w:szCs w:val="21"/>
                <w:lang w:bidi="ar"/>
              </w:rPr>
            </w:pPr>
          </w:p>
        </w:tc>
        <w:tc>
          <w:tcPr>
            <w:tcW w:w="820" w:type="pct"/>
            <w:shd w:val="clear" w:color="auto" w:fill="auto"/>
            <w:vAlign w:val="center"/>
          </w:tcPr>
          <w:p w14:paraId="7B1EB668">
            <w:pPr>
              <w:widowControl/>
              <w:jc w:val="center"/>
              <w:textAlignment w:val="center"/>
              <w:rPr>
                <w:rFonts w:ascii="Times New Roman" w:hAnsi="Times New Roman" w:eastAsia="仿宋_GB2312" w:cs="Times New Roman"/>
                <w:b/>
                <w:bCs/>
                <w:color w:val="auto"/>
                <w:kern w:val="0"/>
                <w:sz w:val="21"/>
                <w:szCs w:val="21"/>
                <w:lang w:val="en-US" w:eastAsia="zh-CN" w:bidi="ar"/>
              </w:rPr>
            </w:pPr>
            <w:r>
              <w:rPr>
                <w:rFonts w:eastAsia="仿宋_GB2312"/>
                <w:color w:val="auto"/>
                <w:kern w:val="0"/>
                <w:szCs w:val="21"/>
                <w:lang w:bidi="ar"/>
              </w:rPr>
              <w:t>其他有机物</w:t>
            </w:r>
          </w:p>
        </w:tc>
        <w:tc>
          <w:tcPr>
            <w:tcW w:w="380" w:type="pct"/>
            <w:shd w:val="clear" w:color="auto" w:fill="auto"/>
            <w:vAlign w:val="center"/>
          </w:tcPr>
          <w:p w14:paraId="467E7D87">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0.03</w:t>
            </w:r>
          </w:p>
        </w:tc>
        <w:tc>
          <w:tcPr>
            <w:tcW w:w="445" w:type="pct"/>
            <w:shd w:val="clear" w:color="auto" w:fill="auto"/>
            <w:vAlign w:val="center"/>
          </w:tcPr>
          <w:p w14:paraId="3B0D37D5">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bidi="ar"/>
              </w:rPr>
              <w:t>0.028</w:t>
            </w:r>
          </w:p>
        </w:tc>
        <w:tc>
          <w:tcPr>
            <w:tcW w:w="630" w:type="pct"/>
            <w:vMerge w:val="continue"/>
            <w:vAlign w:val="center"/>
          </w:tcPr>
          <w:p w14:paraId="45DA6CDE">
            <w:pPr>
              <w:jc w:val="center"/>
              <w:rPr>
                <w:rFonts w:eastAsia="仿宋_GB2312"/>
                <w:color w:val="auto"/>
                <w:szCs w:val="21"/>
              </w:rPr>
            </w:pPr>
          </w:p>
        </w:tc>
        <w:tc>
          <w:tcPr>
            <w:tcW w:w="292" w:type="pct"/>
            <w:vMerge w:val="continue"/>
            <w:vAlign w:val="center"/>
          </w:tcPr>
          <w:p w14:paraId="6A525BF4">
            <w:pPr>
              <w:jc w:val="center"/>
              <w:rPr>
                <w:rFonts w:eastAsia="仿宋_GB2312"/>
                <w:color w:val="auto"/>
                <w:szCs w:val="21"/>
              </w:rPr>
            </w:pPr>
          </w:p>
        </w:tc>
      </w:tr>
      <w:tr w14:paraId="177DEF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19A4369A">
            <w:pPr>
              <w:jc w:val="center"/>
              <w:rPr>
                <w:rFonts w:eastAsia="仿宋_GB2312"/>
                <w:color w:val="auto"/>
                <w:szCs w:val="21"/>
              </w:rPr>
            </w:pPr>
          </w:p>
        </w:tc>
        <w:tc>
          <w:tcPr>
            <w:tcW w:w="358" w:type="pct"/>
            <w:vMerge w:val="continue"/>
            <w:vAlign w:val="center"/>
          </w:tcPr>
          <w:p w14:paraId="7AAED9AA">
            <w:pPr>
              <w:jc w:val="center"/>
              <w:rPr>
                <w:rFonts w:eastAsia="仿宋_GB2312"/>
                <w:color w:val="auto"/>
                <w:szCs w:val="21"/>
              </w:rPr>
            </w:pPr>
          </w:p>
        </w:tc>
        <w:tc>
          <w:tcPr>
            <w:tcW w:w="418" w:type="pct"/>
            <w:vMerge w:val="restart"/>
            <w:vAlign w:val="center"/>
          </w:tcPr>
          <w:p w14:paraId="65B14B73">
            <w:pPr>
              <w:jc w:val="center"/>
              <w:rPr>
                <w:rFonts w:eastAsia="仿宋_GB2312"/>
                <w:color w:val="auto"/>
                <w:szCs w:val="21"/>
              </w:rPr>
            </w:pPr>
            <w:r>
              <w:rPr>
                <w:rFonts w:eastAsia="仿宋_GB2312"/>
                <w:color w:val="auto"/>
                <w:kern w:val="0"/>
                <w:szCs w:val="21"/>
                <w:lang w:bidi="ar"/>
              </w:rPr>
              <w:t>G</w:t>
            </w:r>
            <w:r>
              <w:rPr>
                <w:rFonts w:hint="eastAsia" w:eastAsia="仿宋_GB2312"/>
                <w:color w:val="auto"/>
                <w:kern w:val="0"/>
                <w:szCs w:val="21"/>
                <w:lang w:val="en-US" w:eastAsia="zh-CN" w:bidi="ar"/>
              </w:rPr>
              <w:t>3</w:t>
            </w:r>
            <w:r>
              <w:rPr>
                <w:rFonts w:eastAsia="仿宋_GB2312"/>
                <w:color w:val="auto"/>
                <w:kern w:val="0"/>
                <w:szCs w:val="21"/>
                <w:lang w:bidi="ar"/>
              </w:rPr>
              <w:t>-</w:t>
            </w:r>
            <w:r>
              <w:rPr>
                <w:rFonts w:hint="eastAsia" w:eastAsia="仿宋_GB2312"/>
                <w:color w:val="auto"/>
                <w:kern w:val="0"/>
                <w:szCs w:val="21"/>
                <w:lang w:val="en-US" w:eastAsia="zh-CN" w:bidi="ar"/>
              </w:rPr>
              <w:t>4-</w:t>
            </w:r>
            <w:r>
              <w:rPr>
                <w:rFonts w:eastAsia="仿宋_GB2312"/>
                <w:color w:val="auto"/>
                <w:kern w:val="0"/>
                <w:szCs w:val="21"/>
                <w:lang w:bidi="ar"/>
              </w:rPr>
              <w:t>3</w:t>
            </w:r>
          </w:p>
        </w:tc>
        <w:tc>
          <w:tcPr>
            <w:tcW w:w="446" w:type="pct"/>
            <w:vMerge w:val="restart"/>
            <w:vAlign w:val="center"/>
          </w:tcPr>
          <w:p w14:paraId="3986DA5D">
            <w:pPr>
              <w:jc w:val="center"/>
              <w:rPr>
                <w:rFonts w:eastAsia="仿宋_GB2312"/>
                <w:color w:val="auto"/>
                <w:szCs w:val="21"/>
              </w:rPr>
            </w:pPr>
            <w:r>
              <w:rPr>
                <w:rFonts w:eastAsia="仿宋_GB2312"/>
                <w:color w:val="auto"/>
                <w:kern w:val="0"/>
                <w:szCs w:val="21"/>
                <w:lang w:bidi="ar"/>
              </w:rPr>
              <w:t>不凝气</w:t>
            </w:r>
          </w:p>
        </w:tc>
        <w:tc>
          <w:tcPr>
            <w:tcW w:w="361" w:type="pct"/>
            <w:vMerge w:val="restart"/>
            <w:vAlign w:val="center"/>
          </w:tcPr>
          <w:p w14:paraId="6ADAAD3B">
            <w:pPr>
              <w:jc w:val="center"/>
              <w:rPr>
                <w:rFonts w:eastAsia="仿宋_GB2312"/>
                <w:color w:val="auto"/>
                <w:szCs w:val="21"/>
              </w:rPr>
            </w:pPr>
            <w:r>
              <w:rPr>
                <w:rFonts w:eastAsia="仿宋_GB2312"/>
                <w:color w:val="auto"/>
                <w:szCs w:val="21"/>
              </w:rPr>
              <w:t>360</w:t>
            </w:r>
          </w:p>
        </w:tc>
        <w:tc>
          <w:tcPr>
            <w:tcW w:w="498" w:type="pct"/>
            <w:vMerge w:val="restart"/>
            <w:shd w:val="clear" w:color="auto" w:fill="auto"/>
            <w:vAlign w:val="center"/>
          </w:tcPr>
          <w:p w14:paraId="63D0D7EA">
            <w:pPr>
              <w:keepNext w:val="0"/>
              <w:keepLines w:val="0"/>
              <w:widowControl/>
              <w:suppressLineNumbers w:val="0"/>
              <w:jc w:val="center"/>
              <w:textAlignment w:val="bottom"/>
              <w:rPr>
                <w:rFonts w:hint="eastAsia" w:eastAsia="仿宋_GB2312"/>
                <w:color w:val="auto"/>
                <w:kern w:val="0"/>
                <w:szCs w:val="21"/>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922</w:t>
            </w:r>
          </w:p>
        </w:tc>
        <w:tc>
          <w:tcPr>
            <w:tcW w:w="820" w:type="pct"/>
            <w:shd w:val="clear" w:color="auto" w:fill="auto"/>
            <w:vAlign w:val="center"/>
          </w:tcPr>
          <w:p w14:paraId="0CD0C975">
            <w:pPr>
              <w:widowControl/>
              <w:jc w:val="center"/>
              <w:textAlignment w:val="center"/>
              <w:rPr>
                <w:rFonts w:hint="eastAsia" w:ascii="Times New Roman" w:hAnsi="Times New Roman" w:eastAsia="仿宋_GB2312" w:cs="Times New Roman"/>
                <w:b/>
                <w:bCs/>
                <w:color w:val="auto"/>
                <w:kern w:val="0"/>
                <w:sz w:val="21"/>
                <w:szCs w:val="21"/>
                <w:lang w:val="en-US" w:eastAsia="zh-CN" w:bidi="ar"/>
              </w:rPr>
            </w:pPr>
            <w:r>
              <w:rPr>
                <w:rFonts w:hint="eastAsia" w:eastAsia="仿宋_GB2312"/>
                <w:color w:val="auto"/>
                <w:kern w:val="0"/>
                <w:szCs w:val="21"/>
                <w:lang w:val="en-US" w:eastAsia="zh-CN" w:bidi="ar"/>
              </w:rPr>
              <w:t>乙酸丁酯</w:t>
            </w:r>
          </w:p>
        </w:tc>
        <w:tc>
          <w:tcPr>
            <w:tcW w:w="380" w:type="pct"/>
            <w:shd w:val="clear" w:color="auto" w:fill="auto"/>
            <w:vAlign w:val="center"/>
          </w:tcPr>
          <w:p w14:paraId="20FA46AB">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0.029</w:t>
            </w:r>
          </w:p>
        </w:tc>
        <w:tc>
          <w:tcPr>
            <w:tcW w:w="445" w:type="pct"/>
            <w:shd w:val="clear" w:color="auto" w:fill="auto"/>
            <w:vAlign w:val="center"/>
          </w:tcPr>
          <w:p w14:paraId="040EF5D7">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bidi="ar"/>
              </w:rPr>
              <w:t>0.027</w:t>
            </w:r>
          </w:p>
        </w:tc>
        <w:tc>
          <w:tcPr>
            <w:tcW w:w="630" w:type="pct"/>
            <w:vMerge w:val="continue"/>
            <w:vAlign w:val="center"/>
          </w:tcPr>
          <w:p w14:paraId="6CC8C7EA">
            <w:pPr>
              <w:jc w:val="center"/>
              <w:rPr>
                <w:rFonts w:eastAsia="仿宋_GB2312"/>
                <w:color w:val="auto"/>
                <w:szCs w:val="21"/>
              </w:rPr>
            </w:pPr>
          </w:p>
        </w:tc>
        <w:tc>
          <w:tcPr>
            <w:tcW w:w="292" w:type="pct"/>
            <w:vMerge w:val="continue"/>
            <w:vAlign w:val="center"/>
          </w:tcPr>
          <w:p w14:paraId="46D0DBAD">
            <w:pPr>
              <w:jc w:val="center"/>
              <w:rPr>
                <w:rFonts w:eastAsia="仿宋_GB2312"/>
                <w:color w:val="auto"/>
                <w:szCs w:val="21"/>
              </w:rPr>
            </w:pPr>
          </w:p>
        </w:tc>
      </w:tr>
      <w:tr w14:paraId="099F53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658B38FC">
            <w:pPr>
              <w:jc w:val="center"/>
              <w:rPr>
                <w:rFonts w:eastAsia="仿宋_GB2312"/>
                <w:color w:val="auto"/>
                <w:szCs w:val="21"/>
              </w:rPr>
            </w:pPr>
          </w:p>
        </w:tc>
        <w:tc>
          <w:tcPr>
            <w:tcW w:w="358" w:type="pct"/>
            <w:vMerge w:val="continue"/>
            <w:vAlign w:val="center"/>
          </w:tcPr>
          <w:p w14:paraId="5C50B8B6">
            <w:pPr>
              <w:jc w:val="center"/>
              <w:rPr>
                <w:rFonts w:eastAsia="仿宋_GB2312"/>
                <w:color w:val="auto"/>
                <w:szCs w:val="21"/>
              </w:rPr>
            </w:pPr>
          </w:p>
        </w:tc>
        <w:tc>
          <w:tcPr>
            <w:tcW w:w="418" w:type="pct"/>
            <w:vMerge w:val="continue"/>
            <w:vAlign w:val="center"/>
          </w:tcPr>
          <w:p w14:paraId="273EAB60">
            <w:pPr>
              <w:jc w:val="center"/>
              <w:rPr>
                <w:rFonts w:eastAsia="仿宋_GB2312"/>
                <w:color w:val="auto"/>
                <w:kern w:val="0"/>
                <w:szCs w:val="21"/>
                <w:lang w:bidi="ar"/>
              </w:rPr>
            </w:pPr>
          </w:p>
        </w:tc>
        <w:tc>
          <w:tcPr>
            <w:tcW w:w="446" w:type="pct"/>
            <w:vMerge w:val="continue"/>
            <w:vAlign w:val="center"/>
          </w:tcPr>
          <w:p w14:paraId="122F2D07">
            <w:pPr>
              <w:jc w:val="center"/>
              <w:rPr>
                <w:rFonts w:eastAsia="仿宋_GB2312"/>
                <w:color w:val="auto"/>
                <w:kern w:val="0"/>
                <w:szCs w:val="21"/>
                <w:lang w:bidi="ar"/>
              </w:rPr>
            </w:pPr>
          </w:p>
        </w:tc>
        <w:tc>
          <w:tcPr>
            <w:tcW w:w="361" w:type="pct"/>
            <w:vMerge w:val="continue"/>
            <w:vAlign w:val="center"/>
          </w:tcPr>
          <w:p w14:paraId="5D81B7DE">
            <w:pPr>
              <w:jc w:val="center"/>
              <w:rPr>
                <w:rFonts w:eastAsia="仿宋_GB2312"/>
                <w:color w:val="auto"/>
                <w:szCs w:val="21"/>
              </w:rPr>
            </w:pPr>
          </w:p>
        </w:tc>
        <w:tc>
          <w:tcPr>
            <w:tcW w:w="498" w:type="pct"/>
            <w:vMerge w:val="continue"/>
            <w:shd w:val="clear" w:color="auto" w:fill="auto"/>
            <w:vAlign w:val="center"/>
          </w:tcPr>
          <w:p w14:paraId="3DC2FC10">
            <w:pPr>
              <w:keepNext w:val="0"/>
              <w:keepLines w:val="0"/>
              <w:widowControl/>
              <w:suppressLineNumbers w:val="0"/>
              <w:jc w:val="center"/>
              <w:textAlignment w:val="bottom"/>
              <w:rPr>
                <w:rFonts w:hint="eastAsia" w:eastAsia="仿宋_GB2312"/>
                <w:color w:val="auto"/>
                <w:kern w:val="0"/>
                <w:szCs w:val="21"/>
                <w:lang w:val="en-US" w:eastAsia="zh-CN" w:bidi="ar"/>
              </w:rPr>
            </w:pPr>
          </w:p>
        </w:tc>
        <w:tc>
          <w:tcPr>
            <w:tcW w:w="820" w:type="pct"/>
            <w:shd w:val="clear" w:color="auto" w:fill="auto"/>
            <w:vAlign w:val="center"/>
          </w:tcPr>
          <w:p w14:paraId="0CF6D10C">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正丁醇</w:t>
            </w:r>
          </w:p>
        </w:tc>
        <w:tc>
          <w:tcPr>
            <w:tcW w:w="380" w:type="pct"/>
            <w:shd w:val="clear" w:color="auto" w:fill="auto"/>
            <w:vAlign w:val="center"/>
          </w:tcPr>
          <w:p w14:paraId="6AA4A5B3">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0.001</w:t>
            </w:r>
          </w:p>
        </w:tc>
        <w:tc>
          <w:tcPr>
            <w:tcW w:w="445" w:type="pct"/>
            <w:shd w:val="clear" w:color="auto" w:fill="auto"/>
            <w:vAlign w:val="center"/>
          </w:tcPr>
          <w:p w14:paraId="3A2A6136">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bidi="ar"/>
              </w:rPr>
              <w:t>0.001</w:t>
            </w:r>
          </w:p>
        </w:tc>
        <w:tc>
          <w:tcPr>
            <w:tcW w:w="630" w:type="pct"/>
            <w:vMerge w:val="continue"/>
            <w:vAlign w:val="center"/>
          </w:tcPr>
          <w:p w14:paraId="5ADAEAC2">
            <w:pPr>
              <w:jc w:val="center"/>
              <w:rPr>
                <w:rFonts w:eastAsia="仿宋_GB2312"/>
                <w:color w:val="auto"/>
                <w:szCs w:val="21"/>
              </w:rPr>
            </w:pPr>
          </w:p>
        </w:tc>
        <w:tc>
          <w:tcPr>
            <w:tcW w:w="292" w:type="pct"/>
            <w:vMerge w:val="continue"/>
            <w:vAlign w:val="center"/>
          </w:tcPr>
          <w:p w14:paraId="4183C3C1">
            <w:pPr>
              <w:jc w:val="center"/>
              <w:rPr>
                <w:rFonts w:eastAsia="仿宋_GB2312"/>
                <w:color w:val="auto"/>
                <w:szCs w:val="21"/>
              </w:rPr>
            </w:pPr>
          </w:p>
        </w:tc>
      </w:tr>
      <w:tr w14:paraId="4CB03B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525E14B2">
            <w:pPr>
              <w:jc w:val="center"/>
              <w:rPr>
                <w:rFonts w:eastAsia="仿宋_GB2312"/>
                <w:color w:val="auto"/>
                <w:szCs w:val="21"/>
              </w:rPr>
            </w:pPr>
          </w:p>
        </w:tc>
        <w:tc>
          <w:tcPr>
            <w:tcW w:w="358" w:type="pct"/>
            <w:vMerge w:val="continue"/>
            <w:vAlign w:val="center"/>
          </w:tcPr>
          <w:p w14:paraId="6E055362">
            <w:pPr>
              <w:jc w:val="center"/>
              <w:rPr>
                <w:rFonts w:eastAsia="仿宋_GB2312"/>
                <w:color w:val="auto"/>
                <w:szCs w:val="21"/>
              </w:rPr>
            </w:pPr>
          </w:p>
        </w:tc>
        <w:tc>
          <w:tcPr>
            <w:tcW w:w="418" w:type="pct"/>
            <w:vMerge w:val="continue"/>
            <w:vAlign w:val="center"/>
          </w:tcPr>
          <w:p w14:paraId="1F8BAF13">
            <w:pPr>
              <w:jc w:val="center"/>
              <w:rPr>
                <w:rFonts w:eastAsia="仿宋_GB2312"/>
                <w:color w:val="auto"/>
                <w:szCs w:val="21"/>
              </w:rPr>
            </w:pPr>
          </w:p>
        </w:tc>
        <w:tc>
          <w:tcPr>
            <w:tcW w:w="446" w:type="pct"/>
            <w:vMerge w:val="continue"/>
            <w:vAlign w:val="center"/>
          </w:tcPr>
          <w:p w14:paraId="0E19DE35">
            <w:pPr>
              <w:jc w:val="center"/>
              <w:rPr>
                <w:rFonts w:eastAsia="仿宋_GB2312"/>
                <w:color w:val="auto"/>
                <w:szCs w:val="21"/>
              </w:rPr>
            </w:pPr>
          </w:p>
        </w:tc>
        <w:tc>
          <w:tcPr>
            <w:tcW w:w="361" w:type="pct"/>
            <w:vMerge w:val="continue"/>
            <w:vAlign w:val="center"/>
          </w:tcPr>
          <w:p w14:paraId="5E2758DA">
            <w:pPr>
              <w:jc w:val="center"/>
              <w:rPr>
                <w:rFonts w:eastAsia="仿宋_GB2312"/>
                <w:color w:val="auto"/>
                <w:szCs w:val="21"/>
              </w:rPr>
            </w:pPr>
          </w:p>
        </w:tc>
        <w:tc>
          <w:tcPr>
            <w:tcW w:w="498" w:type="pct"/>
            <w:vMerge w:val="continue"/>
            <w:shd w:val="clear" w:color="auto" w:fill="auto"/>
            <w:vAlign w:val="center"/>
          </w:tcPr>
          <w:p w14:paraId="4A58ED1B">
            <w:pPr>
              <w:keepNext w:val="0"/>
              <w:keepLines w:val="0"/>
              <w:widowControl/>
              <w:suppressLineNumbers w:val="0"/>
              <w:jc w:val="center"/>
              <w:textAlignment w:val="bottom"/>
              <w:rPr>
                <w:rFonts w:eastAsia="仿宋_GB2312"/>
                <w:color w:val="auto"/>
                <w:kern w:val="0"/>
                <w:szCs w:val="21"/>
                <w:lang w:bidi="ar"/>
              </w:rPr>
            </w:pPr>
          </w:p>
        </w:tc>
        <w:tc>
          <w:tcPr>
            <w:tcW w:w="820" w:type="pct"/>
            <w:shd w:val="clear" w:color="auto" w:fill="auto"/>
            <w:vAlign w:val="center"/>
          </w:tcPr>
          <w:p w14:paraId="1556A644">
            <w:pPr>
              <w:widowControl/>
              <w:jc w:val="center"/>
              <w:textAlignment w:val="center"/>
              <w:rPr>
                <w:rFonts w:ascii="Times New Roman" w:hAnsi="Times New Roman" w:eastAsia="仿宋_GB2312" w:cs="Times New Roman"/>
                <w:b/>
                <w:bCs/>
                <w:color w:val="auto"/>
                <w:kern w:val="0"/>
                <w:sz w:val="21"/>
                <w:szCs w:val="21"/>
                <w:lang w:val="en-US" w:eastAsia="zh-CN" w:bidi="ar"/>
              </w:rPr>
            </w:pPr>
            <w:r>
              <w:rPr>
                <w:rFonts w:eastAsia="仿宋_GB2312"/>
                <w:color w:val="auto"/>
                <w:kern w:val="0"/>
                <w:szCs w:val="21"/>
                <w:lang w:bidi="ar"/>
              </w:rPr>
              <w:t>其他有机物</w:t>
            </w:r>
          </w:p>
        </w:tc>
        <w:tc>
          <w:tcPr>
            <w:tcW w:w="380" w:type="pct"/>
            <w:shd w:val="clear" w:color="auto" w:fill="auto"/>
            <w:vAlign w:val="center"/>
          </w:tcPr>
          <w:p w14:paraId="473A075D">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0.001</w:t>
            </w:r>
          </w:p>
        </w:tc>
        <w:tc>
          <w:tcPr>
            <w:tcW w:w="445" w:type="pct"/>
            <w:shd w:val="clear" w:color="auto" w:fill="auto"/>
            <w:vAlign w:val="center"/>
          </w:tcPr>
          <w:p w14:paraId="00A60D31">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bidi="ar"/>
              </w:rPr>
              <w:t>0.001</w:t>
            </w:r>
          </w:p>
        </w:tc>
        <w:tc>
          <w:tcPr>
            <w:tcW w:w="630" w:type="pct"/>
            <w:vMerge w:val="continue"/>
            <w:vAlign w:val="center"/>
          </w:tcPr>
          <w:p w14:paraId="37BB337E">
            <w:pPr>
              <w:jc w:val="center"/>
              <w:rPr>
                <w:rFonts w:eastAsia="仿宋_GB2312"/>
                <w:color w:val="auto"/>
                <w:szCs w:val="21"/>
              </w:rPr>
            </w:pPr>
          </w:p>
        </w:tc>
        <w:tc>
          <w:tcPr>
            <w:tcW w:w="292" w:type="pct"/>
            <w:vMerge w:val="continue"/>
            <w:vAlign w:val="center"/>
          </w:tcPr>
          <w:p w14:paraId="7D037D2D">
            <w:pPr>
              <w:jc w:val="center"/>
              <w:rPr>
                <w:rFonts w:eastAsia="仿宋_GB2312"/>
                <w:color w:val="auto"/>
                <w:szCs w:val="21"/>
              </w:rPr>
            </w:pPr>
          </w:p>
        </w:tc>
      </w:tr>
      <w:tr w14:paraId="0C2B68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630E83D1">
            <w:pPr>
              <w:jc w:val="center"/>
              <w:rPr>
                <w:rFonts w:eastAsia="仿宋_GB2312"/>
                <w:color w:val="auto"/>
                <w:szCs w:val="21"/>
              </w:rPr>
            </w:pPr>
          </w:p>
        </w:tc>
        <w:tc>
          <w:tcPr>
            <w:tcW w:w="358" w:type="pct"/>
            <w:vMerge w:val="continue"/>
            <w:vAlign w:val="center"/>
          </w:tcPr>
          <w:p w14:paraId="73F3988F">
            <w:pPr>
              <w:jc w:val="center"/>
              <w:rPr>
                <w:rFonts w:eastAsia="仿宋_GB2312"/>
                <w:color w:val="auto"/>
                <w:szCs w:val="21"/>
              </w:rPr>
            </w:pPr>
          </w:p>
        </w:tc>
        <w:tc>
          <w:tcPr>
            <w:tcW w:w="418" w:type="pct"/>
            <w:vMerge w:val="restart"/>
            <w:vAlign w:val="center"/>
          </w:tcPr>
          <w:p w14:paraId="3E3158A4">
            <w:pPr>
              <w:jc w:val="center"/>
              <w:rPr>
                <w:rFonts w:hint="eastAsia" w:eastAsia="仿宋_GB2312"/>
                <w:color w:val="auto"/>
                <w:szCs w:val="21"/>
                <w:lang w:eastAsia="zh-CN"/>
              </w:rPr>
            </w:pPr>
            <w:r>
              <w:rPr>
                <w:rFonts w:eastAsia="仿宋_GB2312"/>
                <w:color w:val="auto"/>
                <w:kern w:val="0"/>
                <w:szCs w:val="21"/>
                <w:lang w:bidi="ar"/>
              </w:rPr>
              <w:t>G</w:t>
            </w:r>
            <w:r>
              <w:rPr>
                <w:rFonts w:hint="eastAsia" w:eastAsia="仿宋_GB2312"/>
                <w:color w:val="auto"/>
                <w:kern w:val="0"/>
                <w:szCs w:val="21"/>
                <w:lang w:val="en-US" w:eastAsia="zh-CN" w:bidi="ar"/>
              </w:rPr>
              <w:t>3</w:t>
            </w:r>
            <w:r>
              <w:rPr>
                <w:rFonts w:eastAsia="仿宋_GB2312"/>
                <w:color w:val="auto"/>
                <w:kern w:val="0"/>
                <w:szCs w:val="21"/>
                <w:lang w:bidi="ar"/>
              </w:rPr>
              <w:t>-</w:t>
            </w:r>
            <w:r>
              <w:rPr>
                <w:rFonts w:hint="eastAsia" w:eastAsia="仿宋_GB2312"/>
                <w:color w:val="auto"/>
                <w:kern w:val="0"/>
                <w:szCs w:val="21"/>
                <w:lang w:val="en-US" w:eastAsia="zh-CN" w:bidi="ar"/>
              </w:rPr>
              <w:t>4-4</w:t>
            </w:r>
          </w:p>
        </w:tc>
        <w:tc>
          <w:tcPr>
            <w:tcW w:w="446" w:type="pct"/>
            <w:vMerge w:val="restart"/>
            <w:vAlign w:val="center"/>
          </w:tcPr>
          <w:p w14:paraId="36F89978">
            <w:pPr>
              <w:jc w:val="center"/>
              <w:rPr>
                <w:rFonts w:eastAsia="仿宋_GB2312"/>
                <w:color w:val="auto"/>
                <w:szCs w:val="21"/>
              </w:rPr>
            </w:pPr>
            <w:r>
              <w:rPr>
                <w:rFonts w:eastAsia="仿宋_GB2312"/>
                <w:color w:val="auto"/>
                <w:kern w:val="0"/>
                <w:szCs w:val="21"/>
                <w:lang w:bidi="ar"/>
              </w:rPr>
              <w:t>不凝气</w:t>
            </w:r>
          </w:p>
        </w:tc>
        <w:tc>
          <w:tcPr>
            <w:tcW w:w="361" w:type="pct"/>
            <w:vMerge w:val="restart"/>
            <w:vAlign w:val="center"/>
          </w:tcPr>
          <w:p w14:paraId="2C26DDF4">
            <w:pPr>
              <w:jc w:val="center"/>
              <w:rPr>
                <w:rFonts w:hint="default" w:eastAsia="仿宋_GB2312"/>
                <w:color w:val="auto"/>
                <w:szCs w:val="21"/>
                <w:lang w:val="en-US" w:eastAsia="zh-CN"/>
              </w:rPr>
            </w:pPr>
            <w:r>
              <w:rPr>
                <w:rFonts w:hint="eastAsia" w:eastAsia="仿宋_GB2312"/>
                <w:color w:val="auto"/>
                <w:szCs w:val="21"/>
                <w:lang w:val="en-US" w:eastAsia="zh-CN"/>
              </w:rPr>
              <w:t>360</w:t>
            </w:r>
          </w:p>
        </w:tc>
        <w:tc>
          <w:tcPr>
            <w:tcW w:w="498" w:type="pct"/>
            <w:vMerge w:val="restart"/>
            <w:shd w:val="clear" w:color="auto" w:fill="auto"/>
            <w:vAlign w:val="center"/>
          </w:tcPr>
          <w:p w14:paraId="70EA6598">
            <w:pPr>
              <w:keepNext w:val="0"/>
              <w:keepLines w:val="0"/>
              <w:widowControl/>
              <w:suppressLineNumbers w:val="0"/>
              <w:jc w:val="center"/>
              <w:textAlignment w:val="bottom"/>
              <w:rPr>
                <w:rFonts w:hint="eastAsia" w:eastAsia="仿宋_GB2312"/>
                <w:color w:val="auto"/>
                <w:kern w:val="0"/>
                <w:szCs w:val="21"/>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922</w:t>
            </w:r>
          </w:p>
        </w:tc>
        <w:tc>
          <w:tcPr>
            <w:tcW w:w="820" w:type="pct"/>
            <w:shd w:val="clear" w:color="auto" w:fill="auto"/>
            <w:vAlign w:val="center"/>
          </w:tcPr>
          <w:p w14:paraId="1B0EA2FE">
            <w:pPr>
              <w:widowControl/>
              <w:jc w:val="center"/>
              <w:textAlignment w:val="center"/>
              <w:rPr>
                <w:rFonts w:hint="eastAsia" w:ascii="Times New Roman" w:hAnsi="Times New Roman" w:eastAsia="仿宋_GB2312" w:cs="Times New Roman"/>
                <w:b/>
                <w:bCs/>
                <w:color w:val="auto"/>
                <w:kern w:val="0"/>
                <w:sz w:val="21"/>
                <w:szCs w:val="21"/>
                <w:lang w:val="en-US" w:eastAsia="zh-CN" w:bidi="ar"/>
              </w:rPr>
            </w:pPr>
            <w:r>
              <w:rPr>
                <w:rFonts w:hint="eastAsia" w:eastAsia="仿宋_GB2312"/>
                <w:color w:val="auto"/>
                <w:kern w:val="0"/>
                <w:szCs w:val="21"/>
                <w:lang w:val="en-US" w:eastAsia="zh-CN" w:bidi="ar"/>
              </w:rPr>
              <w:t>乙酸丁酯</w:t>
            </w:r>
          </w:p>
        </w:tc>
        <w:tc>
          <w:tcPr>
            <w:tcW w:w="380" w:type="pct"/>
            <w:shd w:val="clear" w:color="auto" w:fill="auto"/>
            <w:vAlign w:val="center"/>
          </w:tcPr>
          <w:p w14:paraId="45D5B5FE">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77.3</w:t>
            </w:r>
          </w:p>
        </w:tc>
        <w:tc>
          <w:tcPr>
            <w:tcW w:w="445" w:type="pct"/>
            <w:shd w:val="clear" w:color="auto" w:fill="auto"/>
            <w:vAlign w:val="center"/>
          </w:tcPr>
          <w:p w14:paraId="381BA0A7">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bidi="ar"/>
              </w:rPr>
              <w:t>71.271</w:t>
            </w:r>
          </w:p>
        </w:tc>
        <w:tc>
          <w:tcPr>
            <w:tcW w:w="630" w:type="pct"/>
            <w:vMerge w:val="continue"/>
            <w:vAlign w:val="center"/>
          </w:tcPr>
          <w:p w14:paraId="26D151D6">
            <w:pPr>
              <w:jc w:val="center"/>
              <w:rPr>
                <w:rFonts w:eastAsia="仿宋_GB2312"/>
                <w:color w:val="auto"/>
                <w:szCs w:val="21"/>
              </w:rPr>
            </w:pPr>
          </w:p>
        </w:tc>
        <w:tc>
          <w:tcPr>
            <w:tcW w:w="292" w:type="pct"/>
            <w:vMerge w:val="continue"/>
            <w:vAlign w:val="center"/>
          </w:tcPr>
          <w:p w14:paraId="2167365E">
            <w:pPr>
              <w:jc w:val="center"/>
              <w:rPr>
                <w:rFonts w:eastAsia="仿宋_GB2312"/>
                <w:color w:val="auto"/>
                <w:szCs w:val="21"/>
              </w:rPr>
            </w:pPr>
          </w:p>
        </w:tc>
      </w:tr>
      <w:tr w14:paraId="332312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30AFC8F1">
            <w:pPr>
              <w:jc w:val="center"/>
              <w:rPr>
                <w:rFonts w:eastAsia="仿宋_GB2312"/>
                <w:color w:val="auto"/>
                <w:szCs w:val="21"/>
              </w:rPr>
            </w:pPr>
          </w:p>
        </w:tc>
        <w:tc>
          <w:tcPr>
            <w:tcW w:w="358" w:type="pct"/>
            <w:vMerge w:val="continue"/>
            <w:vAlign w:val="center"/>
          </w:tcPr>
          <w:p w14:paraId="55FA3A86">
            <w:pPr>
              <w:jc w:val="center"/>
              <w:rPr>
                <w:rFonts w:eastAsia="仿宋_GB2312"/>
                <w:color w:val="auto"/>
                <w:szCs w:val="21"/>
              </w:rPr>
            </w:pPr>
          </w:p>
        </w:tc>
        <w:tc>
          <w:tcPr>
            <w:tcW w:w="418" w:type="pct"/>
            <w:vMerge w:val="continue"/>
            <w:vAlign w:val="center"/>
          </w:tcPr>
          <w:p w14:paraId="1FA846E0">
            <w:pPr>
              <w:jc w:val="center"/>
              <w:rPr>
                <w:rFonts w:eastAsia="仿宋_GB2312"/>
                <w:color w:val="auto"/>
                <w:szCs w:val="21"/>
              </w:rPr>
            </w:pPr>
          </w:p>
        </w:tc>
        <w:tc>
          <w:tcPr>
            <w:tcW w:w="446" w:type="pct"/>
            <w:vMerge w:val="continue"/>
            <w:vAlign w:val="center"/>
          </w:tcPr>
          <w:p w14:paraId="3F68C8EC">
            <w:pPr>
              <w:jc w:val="center"/>
              <w:rPr>
                <w:rFonts w:eastAsia="仿宋_GB2312"/>
                <w:color w:val="auto"/>
                <w:szCs w:val="21"/>
              </w:rPr>
            </w:pPr>
          </w:p>
        </w:tc>
        <w:tc>
          <w:tcPr>
            <w:tcW w:w="361" w:type="pct"/>
            <w:vMerge w:val="continue"/>
            <w:vAlign w:val="center"/>
          </w:tcPr>
          <w:p w14:paraId="10C6640A">
            <w:pPr>
              <w:jc w:val="center"/>
              <w:rPr>
                <w:rFonts w:eastAsia="仿宋_GB2312"/>
                <w:color w:val="auto"/>
                <w:szCs w:val="21"/>
              </w:rPr>
            </w:pPr>
          </w:p>
        </w:tc>
        <w:tc>
          <w:tcPr>
            <w:tcW w:w="498" w:type="pct"/>
            <w:vMerge w:val="continue"/>
            <w:shd w:val="clear" w:color="auto" w:fill="auto"/>
            <w:vAlign w:val="center"/>
          </w:tcPr>
          <w:p w14:paraId="29157DF3">
            <w:pPr>
              <w:keepNext w:val="0"/>
              <w:keepLines w:val="0"/>
              <w:widowControl/>
              <w:suppressLineNumbers w:val="0"/>
              <w:jc w:val="center"/>
              <w:textAlignment w:val="bottom"/>
              <w:rPr>
                <w:rFonts w:hint="eastAsia" w:eastAsia="仿宋_GB2312"/>
                <w:color w:val="auto"/>
                <w:kern w:val="0"/>
                <w:szCs w:val="21"/>
                <w:lang w:val="en-US" w:eastAsia="zh-CN" w:bidi="ar"/>
              </w:rPr>
            </w:pPr>
          </w:p>
        </w:tc>
        <w:tc>
          <w:tcPr>
            <w:tcW w:w="820" w:type="pct"/>
            <w:shd w:val="clear" w:color="auto" w:fill="auto"/>
            <w:vAlign w:val="center"/>
          </w:tcPr>
          <w:p w14:paraId="37C3982C">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正丁醇</w:t>
            </w:r>
          </w:p>
        </w:tc>
        <w:tc>
          <w:tcPr>
            <w:tcW w:w="380" w:type="pct"/>
            <w:shd w:val="clear" w:color="auto" w:fill="auto"/>
            <w:vAlign w:val="center"/>
          </w:tcPr>
          <w:p w14:paraId="2B6C9B81">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0.281</w:t>
            </w:r>
          </w:p>
        </w:tc>
        <w:tc>
          <w:tcPr>
            <w:tcW w:w="445" w:type="pct"/>
            <w:shd w:val="clear" w:color="auto" w:fill="auto"/>
            <w:vAlign w:val="center"/>
          </w:tcPr>
          <w:p w14:paraId="7BFDE7F9">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bidi="ar"/>
              </w:rPr>
              <w:t>0.26</w:t>
            </w:r>
          </w:p>
        </w:tc>
        <w:tc>
          <w:tcPr>
            <w:tcW w:w="630" w:type="pct"/>
            <w:vMerge w:val="continue"/>
            <w:vAlign w:val="center"/>
          </w:tcPr>
          <w:p w14:paraId="0FDA478D">
            <w:pPr>
              <w:jc w:val="center"/>
              <w:rPr>
                <w:rFonts w:eastAsia="仿宋_GB2312"/>
                <w:color w:val="auto"/>
                <w:szCs w:val="21"/>
              </w:rPr>
            </w:pPr>
          </w:p>
        </w:tc>
        <w:tc>
          <w:tcPr>
            <w:tcW w:w="292" w:type="pct"/>
            <w:vMerge w:val="continue"/>
            <w:vAlign w:val="center"/>
          </w:tcPr>
          <w:p w14:paraId="359E248D">
            <w:pPr>
              <w:jc w:val="center"/>
              <w:rPr>
                <w:rFonts w:eastAsia="仿宋_GB2312"/>
                <w:color w:val="auto"/>
                <w:szCs w:val="21"/>
              </w:rPr>
            </w:pPr>
          </w:p>
        </w:tc>
      </w:tr>
      <w:tr w14:paraId="276936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52FEE5B9">
            <w:pPr>
              <w:jc w:val="center"/>
              <w:rPr>
                <w:rFonts w:eastAsia="仿宋_GB2312"/>
                <w:color w:val="auto"/>
                <w:szCs w:val="21"/>
              </w:rPr>
            </w:pPr>
          </w:p>
        </w:tc>
        <w:tc>
          <w:tcPr>
            <w:tcW w:w="358" w:type="pct"/>
            <w:vMerge w:val="continue"/>
            <w:vAlign w:val="center"/>
          </w:tcPr>
          <w:p w14:paraId="2AA6377F">
            <w:pPr>
              <w:jc w:val="center"/>
              <w:rPr>
                <w:rFonts w:eastAsia="仿宋_GB2312"/>
                <w:color w:val="auto"/>
                <w:szCs w:val="21"/>
              </w:rPr>
            </w:pPr>
          </w:p>
        </w:tc>
        <w:tc>
          <w:tcPr>
            <w:tcW w:w="418" w:type="pct"/>
            <w:vMerge w:val="continue"/>
            <w:vAlign w:val="center"/>
          </w:tcPr>
          <w:p w14:paraId="100BB8FF">
            <w:pPr>
              <w:jc w:val="center"/>
              <w:rPr>
                <w:rFonts w:eastAsia="仿宋_GB2312"/>
                <w:color w:val="auto"/>
                <w:szCs w:val="21"/>
              </w:rPr>
            </w:pPr>
          </w:p>
        </w:tc>
        <w:tc>
          <w:tcPr>
            <w:tcW w:w="446" w:type="pct"/>
            <w:vMerge w:val="continue"/>
            <w:vAlign w:val="center"/>
          </w:tcPr>
          <w:p w14:paraId="698EFA21">
            <w:pPr>
              <w:jc w:val="center"/>
              <w:rPr>
                <w:rFonts w:eastAsia="仿宋_GB2312"/>
                <w:color w:val="auto"/>
                <w:szCs w:val="21"/>
              </w:rPr>
            </w:pPr>
          </w:p>
        </w:tc>
        <w:tc>
          <w:tcPr>
            <w:tcW w:w="361" w:type="pct"/>
            <w:vMerge w:val="continue"/>
            <w:vAlign w:val="center"/>
          </w:tcPr>
          <w:p w14:paraId="564293DC">
            <w:pPr>
              <w:jc w:val="center"/>
              <w:rPr>
                <w:rFonts w:eastAsia="仿宋_GB2312"/>
                <w:color w:val="auto"/>
                <w:szCs w:val="21"/>
              </w:rPr>
            </w:pPr>
          </w:p>
        </w:tc>
        <w:tc>
          <w:tcPr>
            <w:tcW w:w="498" w:type="pct"/>
            <w:vMerge w:val="continue"/>
            <w:shd w:val="clear" w:color="auto" w:fill="auto"/>
            <w:vAlign w:val="center"/>
          </w:tcPr>
          <w:p w14:paraId="54309613">
            <w:pPr>
              <w:keepNext w:val="0"/>
              <w:keepLines w:val="0"/>
              <w:widowControl/>
              <w:suppressLineNumbers w:val="0"/>
              <w:jc w:val="center"/>
              <w:textAlignment w:val="bottom"/>
              <w:rPr>
                <w:rFonts w:eastAsia="仿宋_GB2312"/>
                <w:color w:val="auto"/>
                <w:kern w:val="0"/>
                <w:szCs w:val="21"/>
                <w:lang w:bidi="ar"/>
              </w:rPr>
            </w:pPr>
          </w:p>
        </w:tc>
        <w:tc>
          <w:tcPr>
            <w:tcW w:w="820" w:type="pct"/>
            <w:shd w:val="clear" w:color="auto" w:fill="auto"/>
            <w:vAlign w:val="center"/>
          </w:tcPr>
          <w:p w14:paraId="16A4FDED">
            <w:pPr>
              <w:widowControl/>
              <w:jc w:val="center"/>
              <w:textAlignment w:val="center"/>
              <w:rPr>
                <w:rFonts w:ascii="Times New Roman" w:hAnsi="Times New Roman" w:eastAsia="仿宋_GB2312" w:cs="Times New Roman"/>
                <w:b/>
                <w:bCs/>
                <w:color w:val="auto"/>
                <w:kern w:val="0"/>
                <w:sz w:val="21"/>
                <w:szCs w:val="21"/>
                <w:lang w:val="en-US" w:eastAsia="zh-CN" w:bidi="ar"/>
              </w:rPr>
            </w:pPr>
            <w:r>
              <w:rPr>
                <w:rFonts w:eastAsia="仿宋_GB2312"/>
                <w:color w:val="auto"/>
                <w:kern w:val="0"/>
                <w:szCs w:val="21"/>
                <w:lang w:bidi="ar"/>
              </w:rPr>
              <w:t>其他有机物</w:t>
            </w:r>
          </w:p>
        </w:tc>
        <w:tc>
          <w:tcPr>
            <w:tcW w:w="380" w:type="pct"/>
            <w:shd w:val="clear" w:color="auto" w:fill="auto"/>
            <w:vAlign w:val="center"/>
          </w:tcPr>
          <w:p w14:paraId="7998C768">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0.386</w:t>
            </w:r>
          </w:p>
        </w:tc>
        <w:tc>
          <w:tcPr>
            <w:tcW w:w="445" w:type="pct"/>
            <w:shd w:val="clear" w:color="auto" w:fill="auto"/>
            <w:vAlign w:val="center"/>
          </w:tcPr>
          <w:p w14:paraId="6F7F9AC5">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bidi="ar"/>
              </w:rPr>
              <w:t>0.356</w:t>
            </w:r>
          </w:p>
        </w:tc>
        <w:tc>
          <w:tcPr>
            <w:tcW w:w="630" w:type="pct"/>
            <w:vMerge w:val="continue"/>
            <w:vAlign w:val="center"/>
          </w:tcPr>
          <w:p w14:paraId="1C4280DA">
            <w:pPr>
              <w:jc w:val="center"/>
              <w:rPr>
                <w:rFonts w:eastAsia="仿宋_GB2312"/>
                <w:color w:val="auto"/>
                <w:szCs w:val="21"/>
              </w:rPr>
            </w:pPr>
          </w:p>
        </w:tc>
        <w:tc>
          <w:tcPr>
            <w:tcW w:w="292" w:type="pct"/>
            <w:vMerge w:val="continue"/>
            <w:vAlign w:val="center"/>
          </w:tcPr>
          <w:p w14:paraId="720E477F">
            <w:pPr>
              <w:jc w:val="center"/>
              <w:rPr>
                <w:rFonts w:eastAsia="仿宋_GB2312"/>
                <w:color w:val="auto"/>
                <w:szCs w:val="21"/>
              </w:rPr>
            </w:pPr>
          </w:p>
        </w:tc>
      </w:tr>
      <w:tr w14:paraId="69D511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6DF921A2">
            <w:pPr>
              <w:jc w:val="center"/>
              <w:rPr>
                <w:rFonts w:eastAsia="仿宋_GB2312"/>
                <w:color w:val="auto"/>
                <w:szCs w:val="21"/>
              </w:rPr>
            </w:pPr>
          </w:p>
        </w:tc>
        <w:tc>
          <w:tcPr>
            <w:tcW w:w="358" w:type="pct"/>
            <w:vMerge w:val="continue"/>
            <w:vAlign w:val="center"/>
          </w:tcPr>
          <w:p w14:paraId="568F8D69">
            <w:pPr>
              <w:jc w:val="center"/>
              <w:rPr>
                <w:rFonts w:eastAsia="仿宋_GB2312"/>
                <w:color w:val="auto"/>
                <w:szCs w:val="21"/>
              </w:rPr>
            </w:pPr>
          </w:p>
        </w:tc>
        <w:tc>
          <w:tcPr>
            <w:tcW w:w="418" w:type="pct"/>
            <w:vMerge w:val="restart"/>
            <w:vAlign w:val="center"/>
          </w:tcPr>
          <w:p w14:paraId="08844CA3">
            <w:pPr>
              <w:jc w:val="center"/>
              <w:rPr>
                <w:rFonts w:hint="default" w:eastAsia="仿宋_GB2312"/>
                <w:color w:val="auto"/>
                <w:szCs w:val="21"/>
                <w:lang w:val="en-US"/>
              </w:rPr>
            </w:pPr>
            <w:r>
              <w:rPr>
                <w:rFonts w:eastAsia="仿宋_GB2312"/>
                <w:color w:val="auto"/>
                <w:kern w:val="0"/>
                <w:szCs w:val="21"/>
                <w:lang w:bidi="ar"/>
              </w:rPr>
              <w:t>G</w:t>
            </w:r>
            <w:r>
              <w:rPr>
                <w:rFonts w:hint="eastAsia" w:eastAsia="仿宋_GB2312"/>
                <w:color w:val="auto"/>
                <w:kern w:val="0"/>
                <w:szCs w:val="21"/>
                <w:lang w:val="en-US" w:eastAsia="zh-CN" w:bidi="ar"/>
              </w:rPr>
              <w:t>3</w:t>
            </w:r>
            <w:r>
              <w:rPr>
                <w:rFonts w:eastAsia="仿宋_GB2312"/>
                <w:color w:val="auto"/>
                <w:kern w:val="0"/>
                <w:szCs w:val="21"/>
                <w:lang w:bidi="ar"/>
              </w:rPr>
              <w:t>-</w:t>
            </w:r>
            <w:r>
              <w:rPr>
                <w:rFonts w:hint="eastAsia" w:eastAsia="仿宋_GB2312"/>
                <w:color w:val="auto"/>
                <w:kern w:val="0"/>
                <w:szCs w:val="21"/>
                <w:lang w:val="en-US" w:eastAsia="zh-CN" w:bidi="ar"/>
              </w:rPr>
              <w:t>4-5</w:t>
            </w:r>
          </w:p>
        </w:tc>
        <w:tc>
          <w:tcPr>
            <w:tcW w:w="446" w:type="pct"/>
            <w:vMerge w:val="restart"/>
            <w:vAlign w:val="center"/>
          </w:tcPr>
          <w:p w14:paraId="44E82CC6">
            <w:pPr>
              <w:jc w:val="center"/>
              <w:rPr>
                <w:rFonts w:eastAsia="仿宋_GB2312"/>
                <w:color w:val="auto"/>
                <w:szCs w:val="21"/>
              </w:rPr>
            </w:pPr>
            <w:r>
              <w:rPr>
                <w:rFonts w:eastAsia="仿宋_GB2312"/>
                <w:color w:val="auto"/>
                <w:kern w:val="0"/>
                <w:szCs w:val="21"/>
                <w:lang w:bidi="ar"/>
              </w:rPr>
              <w:t>灌装废气</w:t>
            </w:r>
          </w:p>
        </w:tc>
        <w:tc>
          <w:tcPr>
            <w:tcW w:w="361" w:type="pct"/>
            <w:vMerge w:val="restart"/>
            <w:vAlign w:val="center"/>
          </w:tcPr>
          <w:p w14:paraId="3157ADA8">
            <w:pPr>
              <w:jc w:val="center"/>
              <w:rPr>
                <w:rFonts w:hint="default" w:eastAsia="仿宋_GB2312"/>
                <w:color w:val="auto"/>
                <w:szCs w:val="21"/>
                <w:lang w:val="en-US" w:eastAsia="zh-CN"/>
              </w:rPr>
            </w:pPr>
            <w:r>
              <w:rPr>
                <w:rFonts w:hint="eastAsia" w:eastAsia="仿宋_GB2312"/>
                <w:color w:val="auto"/>
                <w:szCs w:val="21"/>
                <w:lang w:val="en-US" w:eastAsia="zh-CN"/>
              </w:rPr>
              <w:t>2000</w:t>
            </w:r>
          </w:p>
        </w:tc>
        <w:tc>
          <w:tcPr>
            <w:tcW w:w="498" w:type="pct"/>
            <w:vMerge w:val="restart"/>
            <w:shd w:val="clear" w:color="auto" w:fill="auto"/>
            <w:vAlign w:val="center"/>
          </w:tcPr>
          <w:p w14:paraId="10147AC0">
            <w:pPr>
              <w:keepNext w:val="0"/>
              <w:keepLines w:val="0"/>
              <w:widowControl/>
              <w:suppressLineNumbers w:val="0"/>
              <w:jc w:val="center"/>
              <w:textAlignment w:val="bottom"/>
              <w:rPr>
                <w:rFonts w:hint="eastAsia" w:eastAsia="仿宋_GB2312"/>
                <w:color w:val="auto"/>
                <w:kern w:val="0"/>
                <w:szCs w:val="21"/>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922</w:t>
            </w:r>
          </w:p>
        </w:tc>
        <w:tc>
          <w:tcPr>
            <w:tcW w:w="820" w:type="pct"/>
            <w:shd w:val="clear" w:color="auto" w:fill="auto"/>
            <w:vAlign w:val="center"/>
          </w:tcPr>
          <w:p w14:paraId="796B906A">
            <w:pPr>
              <w:widowControl/>
              <w:jc w:val="center"/>
              <w:textAlignment w:val="center"/>
              <w:rPr>
                <w:rFonts w:hint="eastAsia" w:ascii="Times New Roman" w:hAnsi="Times New Roman" w:eastAsia="仿宋_GB2312" w:cs="Times New Roman"/>
                <w:b/>
                <w:bCs/>
                <w:color w:val="auto"/>
                <w:kern w:val="0"/>
                <w:sz w:val="21"/>
                <w:szCs w:val="21"/>
                <w:lang w:val="en-US" w:eastAsia="zh-CN" w:bidi="ar"/>
              </w:rPr>
            </w:pPr>
            <w:r>
              <w:rPr>
                <w:rFonts w:hint="eastAsia" w:eastAsia="仿宋_GB2312"/>
                <w:color w:val="auto"/>
                <w:kern w:val="0"/>
                <w:szCs w:val="21"/>
                <w:lang w:val="en-US" w:eastAsia="zh-CN" w:bidi="ar"/>
              </w:rPr>
              <w:t>乙酸丁酯</w:t>
            </w:r>
          </w:p>
        </w:tc>
        <w:tc>
          <w:tcPr>
            <w:tcW w:w="380" w:type="pct"/>
            <w:shd w:val="clear" w:color="auto" w:fill="auto"/>
            <w:vAlign w:val="center"/>
          </w:tcPr>
          <w:p w14:paraId="1880E6C8">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5.67</w:t>
            </w:r>
          </w:p>
        </w:tc>
        <w:tc>
          <w:tcPr>
            <w:tcW w:w="445" w:type="pct"/>
            <w:shd w:val="clear" w:color="auto" w:fill="auto"/>
            <w:vAlign w:val="center"/>
          </w:tcPr>
          <w:p w14:paraId="7625DDB1">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ascii="Times New Roman" w:hAnsi="Times New Roman" w:eastAsia="仿宋_GB2312" w:cs="Times New Roman"/>
                <w:color w:val="auto"/>
                <w:kern w:val="0"/>
                <w:szCs w:val="21"/>
                <w:lang w:val="en-US" w:eastAsia="zh-CN" w:bidi="ar"/>
              </w:rPr>
              <w:t>5.236</w:t>
            </w:r>
          </w:p>
        </w:tc>
        <w:tc>
          <w:tcPr>
            <w:tcW w:w="630" w:type="pct"/>
            <w:vMerge w:val="restart"/>
            <w:shd w:val="clear" w:color="auto" w:fill="auto"/>
            <w:vAlign w:val="center"/>
          </w:tcPr>
          <w:p w14:paraId="3727D7B8">
            <w:pPr>
              <w:jc w:val="center"/>
              <w:rPr>
                <w:rFonts w:ascii="Times New Roman" w:hAnsi="Times New Roman" w:eastAsia="仿宋_GB2312" w:cs="Times New Roman"/>
                <w:color w:val="auto"/>
                <w:kern w:val="2"/>
                <w:sz w:val="21"/>
                <w:szCs w:val="21"/>
                <w:lang w:val="en-US" w:eastAsia="zh-CN" w:bidi="ar-SA"/>
              </w:rPr>
            </w:pPr>
            <w:r>
              <w:rPr>
                <w:rFonts w:hint="eastAsia" w:eastAsia="仿宋_GB2312"/>
                <w:color w:val="auto"/>
                <w:szCs w:val="21"/>
              </w:rPr>
              <w:t>冷凝+酸吸收+碱吸收+水洗+活性炭吸附/脱附</w:t>
            </w:r>
          </w:p>
        </w:tc>
        <w:tc>
          <w:tcPr>
            <w:tcW w:w="292" w:type="pct"/>
            <w:vMerge w:val="restart"/>
            <w:shd w:val="clear" w:color="auto" w:fill="auto"/>
            <w:vAlign w:val="center"/>
          </w:tcPr>
          <w:p w14:paraId="1E91BD1E">
            <w:pPr>
              <w:jc w:val="center"/>
              <w:rPr>
                <w:rFonts w:ascii="Times New Roman" w:hAnsi="Times New Roman" w:eastAsia="仿宋_GB2312" w:cs="Times New Roman"/>
                <w:color w:val="auto"/>
                <w:kern w:val="2"/>
                <w:sz w:val="21"/>
                <w:szCs w:val="21"/>
                <w:lang w:val="en-US" w:eastAsia="zh-CN" w:bidi="ar-SA"/>
              </w:rPr>
            </w:pPr>
            <w:r>
              <w:rPr>
                <w:rFonts w:hint="eastAsia" w:eastAsia="仿宋_GB2312"/>
                <w:color w:val="auto"/>
              </w:rPr>
              <w:t>DA005</w:t>
            </w:r>
          </w:p>
        </w:tc>
      </w:tr>
      <w:tr w14:paraId="645BED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0568B3AD">
            <w:pPr>
              <w:jc w:val="center"/>
              <w:rPr>
                <w:rFonts w:eastAsia="仿宋_GB2312"/>
                <w:color w:val="auto"/>
                <w:szCs w:val="21"/>
              </w:rPr>
            </w:pPr>
          </w:p>
        </w:tc>
        <w:tc>
          <w:tcPr>
            <w:tcW w:w="358" w:type="pct"/>
            <w:vMerge w:val="continue"/>
            <w:vAlign w:val="center"/>
          </w:tcPr>
          <w:p w14:paraId="3088C7F5">
            <w:pPr>
              <w:jc w:val="center"/>
              <w:rPr>
                <w:rFonts w:eastAsia="仿宋_GB2312"/>
                <w:color w:val="auto"/>
                <w:szCs w:val="21"/>
              </w:rPr>
            </w:pPr>
          </w:p>
        </w:tc>
        <w:tc>
          <w:tcPr>
            <w:tcW w:w="418" w:type="pct"/>
            <w:vMerge w:val="continue"/>
            <w:vAlign w:val="center"/>
          </w:tcPr>
          <w:p w14:paraId="379AE618">
            <w:pPr>
              <w:jc w:val="center"/>
              <w:rPr>
                <w:rFonts w:eastAsia="仿宋_GB2312"/>
                <w:color w:val="auto"/>
                <w:szCs w:val="21"/>
              </w:rPr>
            </w:pPr>
          </w:p>
        </w:tc>
        <w:tc>
          <w:tcPr>
            <w:tcW w:w="446" w:type="pct"/>
            <w:vMerge w:val="continue"/>
            <w:vAlign w:val="center"/>
          </w:tcPr>
          <w:p w14:paraId="341E855C">
            <w:pPr>
              <w:jc w:val="center"/>
              <w:rPr>
                <w:rFonts w:eastAsia="仿宋_GB2312"/>
                <w:color w:val="auto"/>
                <w:szCs w:val="21"/>
              </w:rPr>
            </w:pPr>
          </w:p>
        </w:tc>
        <w:tc>
          <w:tcPr>
            <w:tcW w:w="361" w:type="pct"/>
            <w:vMerge w:val="continue"/>
            <w:vAlign w:val="center"/>
          </w:tcPr>
          <w:p w14:paraId="610B1C10">
            <w:pPr>
              <w:jc w:val="center"/>
              <w:rPr>
                <w:rFonts w:eastAsia="仿宋_GB2312"/>
                <w:color w:val="auto"/>
                <w:szCs w:val="21"/>
              </w:rPr>
            </w:pPr>
          </w:p>
        </w:tc>
        <w:tc>
          <w:tcPr>
            <w:tcW w:w="498" w:type="pct"/>
            <w:vMerge w:val="continue"/>
            <w:shd w:val="clear" w:color="auto" w:fill="auto"/>
            <w:vAlign w:val="center"/>
          </w:tcPr>
          <w:p w14:paraId="46A9A64B">
            <w:pPr>
              <w:keepNext w:val="0"/>
              <w:keepLines w:val="0"/>
              <w:widowControl/>
              <w:suppressLineNumbers w:val="0"/>
              <w:jc w:val="center"/>
              <w:textAlignment w:val="bottom"/>
              <w:rPr>
                <w:rFonts w:hint="eastAsia" w:eastAsia="仿宋_GB2312"/>
                <w:color w:val="auto"/>
                <w:kern w:val="0"/>
                <w:szCs w:val="21"/>
                <w:lang w:val="en-US" w:eastAsia="zh-CN" w:bidi="ar"/>
              </w:rPr>
            </w:pPr>
          </w:p>
        </w:tc>
        <w:tc>
          <w:tcPr>
            <w:tcW w:w="820" w:type="pct"/>
            <w:shd w:val="clear" w:color="auto" w:fill="auto"/>
            <w:vAlign w:val="center"/>
          </w:tcPr>
          <w:p w14:paraId="27A4F46B">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正丁醇</w:t>
            </w:r>
          </w:p>
        </w:tc>
        <w:tc>
          <w:tcPr>
            <w:tcW w:w="380" w:type="pct"/>
            <w:shd w:val="clear" w:color="auto" w:fill="auto"/>
            <w:vAlign w:val="center"/>
          </w:tcPr>
          <w:p w14:paraId="02F55E89">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0.02</w:t>
            </w:r>
          </w:p>
        </w:tc>
        <w:tc>
          <w:tcPr>
            <w:tcW w:w="445" w:type="pct"/>
            <w:shd w:val="clear" w:color="auto" w:fill="auto"/>
            <w:vAlign w:val="center"/>
          </w:tcPr>
          <w:p w14:paraId="4EE2A386">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ascii="Times New Roman" w:hAnsi="Times New Roman" w:eastAsia="仿宋_GB2312" w:cs="Times New Roman"/>
                <w:color w:val="auto"/>
                <w:kern w:val="0"/>
                <w:szCs w:val="21"/>
                <w:lang w:val="en-US" w:eastAsia="zh-CN" w:bidi="ar"/>
              </w:rPr>
              <w:t>0.0228</w:t>
            </w:r>
          </w:p>
        </w:tc>
        <w:tc>
          <w:tcPr>
            <w:tcW w:w="630" w:type="pct"/>
            <w:vMerge w:val="continue"/>
            <w:vAlign w:val="center"/>
          </w:tcPr>
          <w:p w14:paraId="322AEC9E">
            <w:pPr>
              <w:jc w:val="center"/>
              <w:rPr>
                <w:rFonts w:eastAsia="仿宋_GB2312"/>
                <w:color w:val="auto"/>
                <w:szCs w:val="21"/>
              </w:rPr>
            </w:pPr>
          </w:p>
        </w:tc>
        <w:tc>
          <w:tcPr>
            <w:tcW w:w="292" w:type="pct"/>
            <w:vMerge w:val="continue"/>
            <w:vAlign w:val="center"/>
          </w:tcPr>
          <w:p w14:paraId="5387327B">
            <w:pPr>
              <w:jc w:val="center"/>
              <w:rPr>
                <w:rFonts w:eastAsia="仿宋_GB2312"/>
                <w:color w:val="auto"/>
                <w:szCs w:val="21"/>
              </w:rPr>
            </w:pPr>
          </w:p>
        </w:tc>
      </w:tr>
      <w:tr w14:paraId="20F908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restart"/>
            <w:vAlign w:val="center"/>
          </w:tcPr>
          <w:p w14:paraId="5A3C78EE">
            <w:pPr>
              <w:jc w:val="center"/>
              <w:rPr>
                <w:rFonts w:eastAsia="仿宋_GB2312"/>
                <w:color w:val="auto"/>
                <w:szCs w:val="21"/>
              </w:rPr>
            </w:pPr>
            <w:r>
              <w:rPr>
                <w:rFonts w:eastAsia="仿宋_GB2312"/>
                <w:color w:val="auto"/>
                <w:szCs w:val="21"/>
              </w:rPr>
              <w:t>B-7车间</w:t>
            </w:r>
          </w:p>
        </w:tc>
        <w:tc>
          <w:tcPr>
            <w:tcW w:w="358" w:type="pct"/>
            <w:vMerge w:val="restart"/>
            <w:vAlign w:val="center"/>
          </w:tcPr>
          <w:p w14:paraId="6EE4611B">
            <w:pPr>
              <w:jc w:val="center"/>
              <w:rPr>
                <w:rFonts w:eastAsia="仿宋_GB2312"/>
                <w:color w:val="auto"/>
                <w:szCs w:val="21"/>
              </w:rPr>
            </w:pPr>
            <w:r>
              <w:rPr>
                <w:rFonts w:hint="eastAsia" w:eastAsia="仿宋_GB2312"/>
                <w:color w:val="auto"/>
                <w:szCs w:val="21"/>
                <w:lang w:val="en-US" w:eastAsia="zh-CN"/>
              </w:rPr>
              <w:t>乙醇</w:t>
            </w:r>
          </w:p>
        </w:tc>
        <w:tc>
          <w:tcPr>
            <w:tcW w:w="418" w:type="pct"/>
            <w:vMerge w:val="restart"/>
            <w:vAlign w:val="center"/>
          </w:tcPr>
          <w:p w14:paraId="51427A63">
            <w:pPr>
              <w:jc w:val="center"/>
              <w:rPr>
                <w:rFonts w:eastAsia="仿宋_GB2312"/>
                <w:color w:val="auto"/>
                <w:szCs w:val="21"/>
              </w:rPr>
            </w:pPr>
            <w:r>
              <w:rPr>
                <w:rFonts w:eastAsia="仿宋_GB2312"/>
                <w:color w:val="auto"/>
                <w:kern w:val="0"/>
                <w:szCs w:val="21"/>
                <w:lang w:bidi="ar"/>
              </w:rPr>
              <w:t>G</w:t>
            </w:r>
            <w:r>
              <w:rPr>
                <w:rFonts w:hint="eastAsia" w:eastAsia="仿宋_GB2312"/>
                <w:color w:val="auto"/>
                <w:kern w:val="0"/>
                <w:szCs w:val="21"/>
                <w:lang w:val="en-US" w:eastAsia="zh-CN" w:bidi="ar"/>
              </w:rPr>
              <w:t>3</w:t>
            </w:r>
            <w:r>
              <w:rPr>
                <w:rFonts w:eastAsia="仿宋_GB2312"/>
                <w:color w:val="auto"/>
                <w:kern w:val="0"/>
                <w:szCs w:val="21"/>
                <w:lang w:bidi="ar"/>
              </w:rPr>
              <w:t>-</w:t>
            </w:r>
            <w:r>
              <w:rPr>
                <w:rFonts w:hint="eastAsia" w:eastAsia="仿宋_GB2312"/>
                <w:color w:val="auto"/>
                <w:kern w:val="0"/>
                <w:szCs w:val="21"/>
                <w:lang w:val="en-US" w:eastAsia="zh-CN" w:bidi="ar"/>
              </w:rPr>
              <w:t>5</w:t>
            </w:r>
            <w:r>
              <w:rPr>
                <w:rFonts w:eastAsia="仿宋_GB2312"/>
                <w:color w:val="auto"/>
                <w:kern w:val="0"/>
                <w:szCs w:val="21"/>
                <w:lang w:bidi="ar"/>
              </w:rPr>
              <w:t>-1</w:t>
            </w:r>
          </w:p>
        </w:tc>
        <w:tc>
          <w:tcPr>
            <w:tcW w:w="446" w:type="pct"/>
            <w:vMerge w:val="restart"/>
            <w:vAlign w:val="center"/>
          </w:tcPr>
          <w:p w14:paraId="48489690">
            <w:pPr>
              <w:jc w:val="center"/>
              <w:rPr>
                <w:rFonts w:eastAsia="仿宋_GB2312"/>
                <w:color w:val="auto"/>
                <w:szCs w:val="21"/>
              </w:rPr>
            </w:pPr>
            <w:r>
              <w:rPr>
                <w:rFonts w:eastAsia="仿宋_GB2312"/>
                <w:color w:val="auto"/>
                <w:kern w:val="0"/>
                <w:szCs w:val="21"/>
                <w:lang w:bidi="ar"/>
              </w:rPr>
              <w:t>投料废气</w:t>
            </w:r>
          </w:p>
        </w:tc>
        <w:tc>
          <w:tcPr>
            <w:tcW w:w="361" w:type="pct"/>
            <w:vMerge w:val="restart"/>
            <w:vAlign w:val="center"/>
          </w:tcPr>
          <w:p w14:paraId="504050C7">
            <w:pPr>
              <w:jc w:val="center"/>
              <w:rPr>
                <w:rFonts w:hint="default" w:eastAsia="仿宋_GB2312"/>
                <w:color w:val="auto"/>
                <w:szCs w:val="21"/>
                <w:lang w:val="en-US" w:eastAsia="zh-CN"/>
              </w:rPr>
            </w:pPr>
            <w:r>
              <w:rPr>
                <w:rFonts w:hint="eastAsia" w:eastAsia="仿宋_GB2312"/>
                <w:color w:val="auto"/>
                <w:szCs w:val="21"/>
                <w:lang w:val="en-US" w:eastAsia="zh-CN"/>
              </w:rPr>
              <w:t>2000</w:t>
            </w:r>
          </w:p>
        </w:tc>
        <w:tc>
          <w:tcPr>
            <w:tcW w:w="498" w:type="pct"/>
            <w:vMerge w:val="restart"/>
            <w:shd w:val="clear" w:color="auto" w:fill="auto"/>
            <w:vAlign w:val="center"/>
          </w:tcPr>
          <w:p w14:paraId="5782209E">
            <w:pPr>
              <w:keepNext w:val="0"/>
              <w:keepLines w:val="0"/>
              <w:widowControl/>
              <w:suppressLineNumbers w:val="0"/>
              <w:jc w:val="center"/>
              <w:textAlignment w:val="bottom"/>
              <w:rPr>
                <w:rFonts w:hint="eastAsia" w:eastAsia="仿宋_GB2312"/>
                <w:color w:val="auto"/>
                <w:kern w:val="0"/>
                <w:szCs w:val="21"/>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2610</w:t>
            </w:r>
          </w:p>
        </w:tc>
        <w:tc>
          <w:tcPr>
            <w:tcW w:w="820" w:type="pct"/>
            <w:shd w:val="clear" w:color="auto" w:fill="auto"/>
            <w:vAlign w:val="center"/>
          </w:tcPr>
          <w:p w14:paraId="0A1AAB45">
            <w:pPr>
              <w:widowControl/>
              <w:jc w:val="center"/>
              <w:textAlignment w:val="center"/>
              <w:rPr>
                <w:rFonts w:hint="default" w:ascii="Times New Roman" w:hAnsi="Times New Roman" w:eastAsia="仿宋_GB2312" w:cs="Times New Roman"/>
                <w:b/>
                <w:bCs/>
                <w:color w:val="auto"/>
                <w:kern w:val="0"/>
                <w:sz w:val="21"/>
                <w:szCs w:val="21"/>
                <w:lang w:val="en-US" w:eastAsia="zh-CN" w:bidi="ar"/>
              </w:rPr>
            </w:pPr>
            <w:r>
              <w:rPr>
                <w:rFonts w:hint="eastAsia" w:eastAsia="仿宋_GB2312"/>
                <w:color w:val="auto"/>
                <w:kern w:val="0"/>
                <w:szCs w:val="21"/>
                <w:lang w:val="en-US" w:eastAsia="zh-CN" w:bidi="ar"/>
              </w:rPr>
              <w:t>乙醇</w:t>
            </w:r>
          </w:p>
        </w:tc>
        <w:tc>
          <w:tcPr>
            <w:tcW w:w="380" w:type="pct"/>
            <w:shd w:val="clear" w:color="auto" w:fill="auto"/>
            <w:vAlign w:val="center"/>
          </w:tcPr>
          <w:p w14:paraId="7E86DBE7">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3.73</w:t>
            </w:r>
          </w:p>
        </w:tc>
        <w:tc>
          <w:tcPr>
            <w:tcW w:w="445" w:type="pct"/>
            <w:shd w:val="clear" w:color="auto" w:fill="auto"/>
            <w:vAlign w:val="center"/>
          </w:tcPr>
          <w:p w14:paraId="65963D7C">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ascii="Times New Roman" w:hAnsi="Times New Roman" w:eastAsia="仿宋_GB2312" w:cs="Times New Roman"/>
                <w:color w:val="auto"/>
                <w:kern w:val="0"/>
                <w:szCs w:val="21"/>
                <w:lang w:val="en-US" w:eastAsia="zh-CN" w:bidi="ar"/>
              </w:rPr>
              <w:t>9.749</w:t>
            </w:r>
          </w:p>
        </w:tc>
        <w:tc>
          <w:tcPr>
            <w:tcW w:w="630" w:type="pct"/>
            <w:vMerge w:val="continue"/>
            <w:vAlign w:val="center"/>
          </w:tcPr>
          <w:p w14:paraId="53915B95">
            <w:pPr>
              <w:jc w:val="center"/>
              <w:rPr>
                <w:rFonts w:eastAsia="仿宋_GB2312"/>
                <w:color w:val="auto"/>
                <w:szCs w:val="21"/>
              </w:rPr>
            </w:pPr>
          </w:p>
        </w:tc>
        <w:tc>
          <w:tcPr>
            <w:tcW w:w="292" w:type="pct"/>
            <w:vMerge w:val="continue"/>
            <w:vAlign w:val="center"/>
          </w:tcPr>
          <w:p w14:paraId="20E3348D">
            <w:pPr>
              <w:jc w:val="center"/>
              <w:rPr>
                <w:rFonts w:eastAsia="仿宋_GB2312"/>
                <w:color w:val="auto"/>
                <w:szCs w:val="21"/>
              </w:rPr>
            </w:pPr>
          </w:p>
        </w:tc>
      </w:tr>
      <w:tr w14:paraId="2D00B9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1E7802D0">
            <w:pPr>
              <w:jc w:val="center"/>
              <w:rPr>
                <w:rFonts w:eastAsia="仿宋_GB2312"/>
                <w:color w:val="auto"/>
                <w:szCs w:val="21"/>
              </w:rPr>
            </w:pPr>
          </w:p>
        </w:tc>
        <w:tc>
          <w:tcPr>
            <w:tcW w:w="358" w:type="pct"/>
            <w:vMerge w:val="continue"/>
            <w:vAlign w:val="center"/>
          </w:tcPr>
          <w:p w14:paraId="05EA1AAB">
            <w:pPr>
              <w:jc w:val="center"/>
              <w:rPr>
                <w:rFonts w:eastAsia="仿宋_GB2312"/>
                <w:color w:val="auto"/>
                <w:szCs w:val="21"/>
              </w:rPr>
            </w:pPr>
          </w:p>
        </w:tc>
        <w:tc>
          <w:tcPr>
            <w:tcW w:w="418" w:type="pct"/>
            <w:vMerge w:val="continue"/>
            <w:vAlign w:val="center"/>
          </w:tcPr>
          <w:p w14:paraId="3BA8C628">
            <w:pPr>
              <w:jc w:val="center"/>
              <w:rPr>
                <w:rFonts w:eastAsia="仿宋_GB2312"/>
                <w:color w:val="auto"/>
                <w:szCs w:val="21"/>
              </w:rPr>
            </w:pPr>
          </w:p>
        </w:tc>
        <w:tc>
          <w:tcPr>
            <w:tcW w:w="446" w:type="pct"/>
            <w:vMerge w:val="continue"/>
            <w:vAlign w:val="center"/>
          </w:tcPr>
          <w:p w14:paraId="5AC27EEC">
            <w:pPr>
              <w:jc w:val="center"/>
              <w:rPr>
                <w:rFonts w:eastAsia="仿宋_GB2312"/>
                <w:color w:val="auto"/>
                <w:szCs w:val="21"/>
              </w:rPr>
            </w:pPr>
          </w:p>
        </w:tc>
        <w:tc>
          <w:tcPr>
            <w:tcW w:w="361" w:type="pct"/>
            <w:vMerge w:val="continue"/>
            <w:vAlign w:val="center"/>
          </w:tcPr>
          <w:p w14:paraId="375FDF3C">
            <w:pPr>
              <w:jc w:val="center"/>
              <w:rPr>
                <w:rFonts w:eastAsia="仿宋_GB2312"/>
                <w:color w:val="auto"/>
                <w:szCs w:val="21"/>
              </w:rPr>
            </w:pPr>
          </w:p>
        </w:tc>
        <w:tc>
          <w:tcPr>
            <w:tcW w:w="498" w:type="pct"/>
            <w:vMerge w:val="continue"/>
            <w:shd w:val="clear" w:color="auto" w:fill="auto"/>
            <w:vAlign w:val="center"/>
          </w:tcPr>
          <w:p w14:paraId="2B91BFB3">
            <w:pPr>
              <w:keepNext w:val="0"/>
              <w:keepLines w:val="0"/>
              <w:widowControl/>
              <w:suppressLineNumbers w:val="0"/>
              <w:jc w:val="center"/>
              <w:textAlignment w:val="bottom"/>
              <w:rPr>
                <w:rFonts w:hint="eastAsia" w:eastAsia="仿宋_GB2312"/>
                <w:color w:val="auto"/>
                <w:kern w:val="0"/>
                <w:szCs w:val="21"/>
                <w:lang w:val="en-US" w:eastAsia="zh-CN" w:bidi="ar"/>
              </w:rPr>
            </w:pPr>
          </w:p>
        </w:tc>
        <w:tc>
          <w:tcPr>
            <w:tcW w:w="820" w:type="pct"/>
            <w:shd w:val="clear" w:color="auto" w:fill="auto"/>
            <w:vAlign w:val="center"/>
          </w:tcPr>
          <w:p w14:paraId="6DE2D370">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甲醇</w:t>
            </w:r>
          </w:p>
        </w:tc>
        <w:tc>
          <w:tcPr>
            <w:tcW w:w="380" w:type="pct"/>
            <w:shd w:val="clear" w:color="auto" w:fill="auto"/>
            <w:vAlign w:val="center"/>
          </w:tcPr>
          <w:p w14:paraId="3170F66D">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0.0007</w:t>
            </w:r>
          </w:p>
        </w:tc>
        <w:tc>
          <w:tcPr>
            <w:tcW w:w="445" w:type="pct"/>
            <w:shd w:val="clear" w:color="auto" w:fill="auto"/>
            <w:vAlign w:val="center"/>
          </w:tcPr>
          <w:p w14:paraId="463BE103">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ascii="Times New Roman" w:hAnsi="Times New Roman" w:eastAsia="仿宋_GB2312" w:cs="Times New Roman"/>
                <w:color w:val="auto"/>
                <w:kern w:val="0"/>
                <w:szCs w:val="21"/>
                <w:lang w:val="en-US" w:eastAsia="zh-CN" w:bidi="ar"/>
              </w:rPr>
              <w:t>0.00198</w:t>
            </w:r>
          </w:p>
        </w:tc>
        <w:tc>
          <w:tcPr>
            <w:tcW w:w="630" w:type="pct"/>
            <w:vMerge w:val="continue"/>
            <w:vAlign w:val="center"/>
          </w:tcPr>
          <w:p w14:paraId="6FD6BF39">
            <w:pPr>
              <w:jc w:val="center"/>
              <w:rPr>
                <w:rFonts w:eastAsia="仿宋_GB2312"/>
                <w:color w:val="auto"/>
                <w:szCs w:val="21"/>
              </w:rPr>
            </w:pPr>
          </w:p>
        </w:tc>
        <w:tc>
          <w:tcPr>
            <w:tcW w:w="292" w:type="pct"/>
            <w:vMerge w:val="continue"/>
            <w:vAlign w:val="center"/>
          </w:tcPr>
          <w:p w14:paraId="31F8A7E3">
            <w:pPr>
              <w:jc w:val="center"/>
              <w:rPr>
                <w:rFonts w:eastAsia="仿宋_GB2312"/>
                <w:color w:val="auto"/>
                <w:szCs w:val="21"/>
              </w:rPr>
            </w:pPr>
          </w:p>
        </w:tc>
      </w:tr>
      <w:tr w14:paraId="48C92E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3E85A853">
            <w:pPr>
              <w:jc w:val="center"/>
              <w:rPr>
                <w:rFonts w:eastAsia="仿宋_GB2312"/>
                <w:color w:val="auto"/>
                <w:szCs w:val="21"/>
              </w:rPr>
            </w:pPr>
          </w:p>
        </w:tc>
        <w:tc>
          <w:tcPr>
            <w:tcW w:w="358" w:type="pct"/>
            <w:vMerge w:val="continue"/>
            <w:vAlign w:val="center"/>
          </w:tcPr>
          <w:p w14:paraId="299C6BA7">
            <w:pPr>
              <w:jc w:val="center"/>
              <w:rPr>
                <w:rFonts w:eastAsia="仿宋_GB2312"/>
                <w:color w:val="auto"/>
                <w:szCs w:val="21"/>
              </w:rPr>
            </w:pPr>
          </w:p>
        </w:tc>
        <w:tc>
          <w:tcPr>
            <w:tcW w:w="418" w:type="pct"/>
            <w:vMerge w:val="continue"/>
            <w:vAlign w:val="center"/>
          </w:tcPr>
          <w:p w14:paraId="36FE586A">
            <w:pPr>
              <w:jc w:val="center"/>
              <w:rPr>
                <w:rFonts w:eastAsia="仿宋_GB2312"/>
                <w:color w:val="auto"/>
                <w:szCs w:val="21"/>
              </w:rPr>
            </w:pPr>
          </w:p>
        </w:tc>
        <w:tc>
          <w:tcPr>
            <w:tcW w:w="446" w:type="pct"/>
            <w:vMerge w:val="continue"/>
            <w:vAlign w:val="center"/>
          </w:tcPr>
          <w:p w14:paraId="56FD6989">
            <w:pPr>
              <w:jc w:val="center"/>
              <w:rPr>
                <w:rFonts w:eastAsia="仿宋_GB2312"/>
                <w:color w:val="auto"/>
                <w:szCs w:val="21"/>
              </w:rPr>
            </w:pPr>
          </w:p>
        </w:tc>
        <w:tc>
          <w:tcPr>
            <w:tcW w:w="361" w:type="pct"/>
            <w:vMerge w:val="continue"/>
            <w:vAlign w:val="center"/>
          </w:tcPr>
          <w:p w14:paraId="6FF74913">
            <w:pPr>
              <w:jc w:val="center"/>
              <w:rPr>
                <w:rFonts w:eastAsia="仿宋_GB2312"/>
                <w:color w:val="auto"/>
                <w:szCs w:val="21"/>
              </w:rPr>
            </w:pPr>
          </w:p>
        </w:tc>
        <w:tc>
          <w:tcPr>
            <w:tcW w:w="498" w:type="pct"/>
            <w:vMerge w:val="continue"/>
            <w:shd w:val="clear" w:color="auto" w:fill="auto"/>
            <w:vAlign w:val="center"/>
          </w:tcPr>
          <w:p w14:paraId="791427DD">
            <w:pPr>
              <w:keepNext w:val="0"/>
              <w:keepLines w:val="0"/>
              <w:widowControl/>
              <w:suppressLineNumbers w:val="0"/>
              <w:jc w:val="center"/>
              <w:textAlignment w:val="bottom"/>
              <w:rPr>
                <w:rFonts w:eastAsia="仿宋_GB2312"/>
                <w:color w:val="auto"/>
                <w:kern w:val="0"/>
                <w:szCs w:val="21"/>
                <w:lang w:bidi="ar"/>
              </w:rPr>
            </w:pPr>
          </w:p>
        </w:tc>
        <w:tc>
          <w:tcPr>
            <w:tcW w:w="820" w:type="pct"/>
            <w:shd w:val="clear" w:color="auto" w:fill="auto"/>
            <w:vAlign w:val="center"/>
          </w:tcPr>
          <w:p w14:paraId="56FA6227">
            <w:pPr>
              <w:widowControl/>
              <w:jc w:val="center"/>
              <w:textAlignment w:val="center"/>
              <w:rPr>
                <w:rFonts w:ascii="Times New Roman" w:hAnsi="Times New Roman" w:eastAsia="仿宋_GB2312" w:cs="Times New Roman"/>
                <w:b/>
                <w:bCs/>
                <w:color w:val="auto"/>
                <w:kern w:val="0"/>
                <w:sz w:val="21"/>
                <w:szCs w:val="21"/>
                <w:lang w:val="en-US" w:eastAsia="zh-CN" w:bidi="ar"/>
              </w:rPr>
            </w:pPr>
            <w:r>
              <w:rPr>
                <w:rFonts w:eastAsia="仿宋_GB2312"/>
                <w:color w:val="auto"/>
                <w:kern w:val="0"/>
                <w:szCs w:val="21"/>
                <w:lang w:bidi="ar"/>
              </w:rPr>
              <w:t>其他有机物</w:t>
            </w:r>
          </w:p>
        </w:tc>
        <w:tc>
          <w:tcPr>
            <w:tcW w:w="380" w:type="pct"/>
            <w:shd w:val="clear" w:color="auto" w:fill="auto"/>
            <w:vAlign w:val="center"/>
          </w:tcPr>
          <w:p w14:paraId="351FE527">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0.067</w:t>
            </w:r>
          </w:p>
        </w:tc>
        <w:tc>
          <w:tcPr>
            <w:tcW w:w="445" w:type="pct"/>
            <w:shd w:val="clear" w:color="auto" w:fill="auto"/>
            <w:vAlign w:val="center"/>
          </w:tcPr>
          <w:p w14:paraId="0F037E26">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ascii="Times New Roman" w:hAnsi="Times New Roman" w:eastAsia="仿宋_GB2312" w:cs="Times New Roman"/>
                <w:color w:val="auto"/>
                <w:kern w:val="0"/>
                <w:szCs w:val="21"/>
                <w:lang w:val="en-US" w:eastAsia="zh-CN" w:bidi="ar"/>
              </w:rPr>
              <w:t>0.177</w:t>
            </w:r>
          </w:p>
        </w:tc>
        <w:tc>
          <w:tcPr>
            <w:tcW w:w="630" w:type="pct"/>
            <w:vMerge w:val="continue"/>
            <w:vAlign w:val="center"/>
          </w:tcPr>
          <w:p w14:paraId="3EF7F770">
            <w:pPr>
              <w:jc w:val="center"/>
              <w:rPr>
                <w:rFonts w:eastAsia="仿宋_GB2312"/>
                <w:color w:val="auto"/>
                <w:szCs w:val="21"/>
              </w:rPr>
            </w:pPr>
          </w:p>
        </w:tc>
        <w:tc>
          <w:tcPr>
            <w:tcW w:w="292" w:type="pct"/>
            <w:vMerge w:val="continue"/>
            <w:vAlign w:val="center"/>
          </w:tcPr>
          <w:p w14:paraId="224D0432">
            <w:pPr>
              <w:jc w:val="center"/>
              <w:rPr>
                <w:rFonts w:eastAsia="仿宋_GB2312"/>
                <w:color w:val="auto"/>
                <w:szCs w:val="21"/>
              </w:rPr>
            </w:pPr>
          </w:p>
        </w:tc>
      </w:tr>
      <w:tr w14:paraId="69CC99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6BBEE8EB">
            <w:pPr>
              <w:jc w:val="center"/>
              <w:rPr>
                <w:rFonts w:eastAsia="仿宋_GB2312"/>
                <w:color w:val="auto"/>
                <w:szCs w:val="21"/>
              </w:rPr>
            </w:pPr>
          </w:p>
        </w:tc>
        <w:tc>
          <w:tcPr>
            <w:tcW w:w="358" w:type="pct"/>
            <w:vMerge w:val="continue"/>
            <w:vAlign w:val="center"/>
          </w:tcPr>
          <w:p w14:paraId="520600BC">
            <w:pPr>
              <w:jc w:val="center"/>
              <w:rPr>
                <w:rFonts w:eastAsia="仿宋_GB2312"/>
                <w:color w:val="auto"/>
                <w:szCs w:val="21"/>
              </w:rPr>
            </w:pPr>
          </w:p>
        </w:tc>
        <w:tc>
          <w:tcPr>
            <w:tcW w:w="418" w:type="pct"/>
            <w:vMerge w:val="restart"/>
            <w:vAlign w:val="center"/>
          </w:tcPr>
          <w:p w14:paraId="314FD229">
            <w:pPr>
              <w:jc w:val="center"/>
              <w:rPr>
                <w:rFonts w:eastAsia="仿宋_GB2312"/>
                <w:color w:val="auto"/>
                <w:szCs w:val="21"/>
              </w:rPr>
            </w:pPr>
            <w:r>
              <w:rPr>
                <w:rFonts w:eastAsia="仿宋_GB2312"/>
                <w:color w:val="auto"/>
                <w:kern w:val="0"/>
                <w:szCs w:val="21"/>
                <w:lang w:bidi="ar"/>
              </w:rPr>
              <w:t>G</w:t>
            </w:r>
            <w:r>
              <w:rPr>
                <w:rFonts w:hint="eastAsia" w:eastAsia="仿宋_GB2312"/>
                <w:color w:val="auto"/>
                <w:kern w:val="0"/>
                <w:szCs w:val="21"/>
                <w:lang w:val="en-US" w:eastAsia="zh-CN" w:bidi="ar"/>
              </w:rPr>
              <w:t>3</w:t>
            </w:r>
            <w:r>
              <w:rPr>
                <w:rFonts w:eastAsia="仿宋_GB2312"/>
                <w:color w:val="auto"/>
                <w:kern w:val="0"/>
                <w:szCs w:val="21"/>
                <w:lang w:bidi="ar"/>
              </w:rPr>
              <w:t>-</w:t>
            </w:r>
            <w:r>
              <w:rPr>
                <w:rFonts w:hint="eastAsia" w:eastAsia="仿宋_GB2312"/>
                <w:color w:val="auto"/>
                <w:kern w:val="0"/>
                <w:szCs w:val="21"/>
                <w:lang w:val="en-US" w:eastAsia="zh-CN" w:bidi="ar"/>
              </w:rPr>
              <w:t>5</w:t>
            </w:r>
            <w:r>
              <w:rPr>
                <w:rFonts w:eastAsia="仿宋_GB2312"/>
                <w:color w:val="auto"/>
                <w:kern w:val="0"/>
                <w:szCs w:val="21"/>
                <w:lang w:bidi="ar"/>
              </w:rPr>
              <w:t>-2</w:t>
            </w:r>
          </w:p>
        </w:tc>
        <w:tc>
          <w:tcPr>
            <w:tcW w:w="446" w:type="pct"/>
            <w:vMerge w:val="restart"/>
            <w:vAlign w:val="center"/>
          </w:tcPr>
          <w:p w14:paraId="561440B1">
            <w:pPr>
              <w:jc w:val="center"/>
              <w:rPr>
                <w:rFonts w:eastAsia="仿宋_GB2312"/>
                <w:color w:val="auto"/>
                <w:szCs w:val="21"/>
              </w:rPr>
            </w:pPr>
            <w:r>
              <w:rPr>
                <w:rFonts w:eastAsia="仿宋_GB2312"/>
                <w:color w:val="auto"/>
                <w:kern w:val="0"/>
                <w:szCs w:val="21"/>
                <w:lang w:bidi="ar"/>
              </w:rPr>
              <w:t>调节废气</w:t>
            </w:r>
          </w:p>
        </w:tc>
        <w:tc>
          <w:tcPr>
            <w:tcW w:w="361" w:type="pct"/>
            <w:vMerge w:val="restart"/>
            <w:vAlign w:val="center"/>
          </w:tcPr>
          <w:p w14:paraId="2B1B1265">
            <w:pPr>
              <w:jc w:val="center"/>
              <w:rPr>
                <w:rFonts w:eastAsia="仿宋_GB2312"/>
                <w:color w:val="auto"/>
                <w:szCs w:val="21"/>
              </w:rPr>
            </w:pPr>
            <w:r>
              <w:rPr>
                <w:rFonts w:hint="eastAsia" w:eastAsia="仿宋_GB2312"/>
                <w:color w:val="auto"/>
                <w:szCs w:val="21"/>
                <w:lang w:val="en-US" w:eastAsia="zh-CN"/>
              </w:rPr>
              <w:t>1</w:t>
            </w:r>
            <w:r>
              <w:rPr>
                <w:rFonts w:eastAsia="仿宋_GB2312"/>
                <w:color w:val="auto"/>
                <w:szCs w:val="21"/>
              </w:rPr>
              <w:t>00</w:t>
            </w:r>
          </w:p>
        </w:tc>
        <w:tc>
          <w:tcPr>
            <w:tcW w:w="498" w:type="pct"/>
            <w:vMerge w:val="restart"/>
            <w:shd w:val="clear" w:color="auto" w:fill="auto"/>
            <w:vAlign w:val="center"/>
          </w:tcPr>
          <w:p w14:paraId="554BCDFF">
            <w:pPr>
              <w:keepNext w:val="0"/>
              <w:keepLines w:val="0"/>
              <w:widowControl/>
              <w:suppressLineNumbers w:val="0"/>
              <w:jc w:val="center"/>
              <w:textAlignment w:val="bottom"/>
              <w:rPr>
                <w:rFonts w:hint="eastAsia" w:eastAsia="仿宋_GB2312"/>
                <w:color w:val="auto"/>
                <w:kern w:val="0"/>
                <w:szCs w:val="21"/>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2610</w:t>
            </w:r>
          </w:p>
        </w:tc>
        <w:tc>
          <w:tcPr>
            <w:tcW w:w="820" w:type="pct"/>
            <w:shd w:val="clear" w:color="auto" w:fill="auto"/>
            <w:vAlign w:val="center"/>
          </w:tcPr>
          <w:p w14:paraId="419581A7">
            <w:pPr>
              <w:widowControl/>
              <w:jc w:val="center"/>
              <w:textAlignment w:val="center"/>
              <w:rPr>
                <w:rFonts w:hint="eastAsia" w:ascii="Times New Roman" w:hAnsi="Times New Roman" w:eastAsia="仿宋_GB2312" w:cs="Times New Roman"/>
                <w:b/>
                <w:bCs/>
                <w:color w:val="auto"/>
                <w:kern w:val="0"/>
                <w:sz w:val="21"/>
                <w:szCs w:val="21"/>
                <w:lang w:val="en-US" w:eastAsia="zh-CN" w:bidi="ar"/>
              </w:rPr>
            </w:pPr>
            <w:r>
              <w:rPr>
                <w:rFonts w:hint="eastAsia" w:eastAsia="仿宋_GB2312"/>
                <w:color w:val="auto"/>
                <w:kern w:val="0"/>
                <w:szCs w:val="21"/>
                <w:lang w:val="en-US" w:eastAsia="zh-CN" w:bidi="ar"/>
              </w:rPr>
              <w:t>乙醇</w:t>
            </w:r>
          </w:p>
        </w:tc>
        <w:tc>
          <w:tcPr>
            <w:tcW w:w="380" w:type="pct"/>
            <w:shd w:val="clear" w:color="auto" w:fill="auto"/>
            <w:vAlign w:val="center"/>
          </w:tcPr>
          <w:p w14:paraId="684FB366">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1.88</w:t>
            </w:r>
          </w:p>
        </w:tc>
        <w:tc>
          <w:tcPr>
            <w:tcW w:w="445" w:type="pct"/>
            <w:shd w:val="clear" w:color="auto" w:fill="auto"/>
            <w:vAlign w:val="center"/>
          </w:tcPr>
          <w:p w14:paraId="1F8E44C1">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bidi="ar"/>
              </w:rPr>
              <w:t>4.924</w:t>
            </w:r>
          </w:p>
        </w:tc>
        <w:tc>
          <w:tcPr>
            <w:tcW w:w="630" w:type="pct"/>
            <w:vMerge w:val="restart"/>
            <w:shd w:val="clear" w:color="auto" w:fill="auto"/>
            <w:vAlign w:val="center"/>
          </w:tcPr>
          <w:p w14:paraId="19EAD777">
            <w:pPr>
              <w:widowControl/>
              <w:jc w:val="center"/>
              <w:textAlignment w:val="center"/>
              <w:rPr>
                <w:rFonts w:ascii="Times New Roman" w:hAnsi="Times New Roman" w:eastAsia="仿宋_GB2312" w:cs="Times New Roman"/>
                <w:color w:val="auto"/>
                <w:kern w:val="2"/>
                <w:sz w:val="21"/>
                <w:szCs w:val="21"/>
                <w:lang w:val="en-US" w:eastAsia="zh-CN" w:bidi="ar-SA"/>
              </w:rPr>
            </w:pPr>
            <w:r>
              <w:rPr>
                <w:rFonts w:hint="eastAsia" w:eastAsia="仿宋_GB2312"/>
                <w:color w:val="auto"/>
                <w:szCs w:val="21"/>
              </w:rPr>
              <w:t>预处理（冷凝+稀酸吸收+碱吸收+水吸收+除雾）+</w:t>
            </w:r>
            <w:r>
              <w:rPr>
                <w:rFonts w:eastAsia="仿宋_GB2312"/>
                <w:color w:val="auto"/>
                <w:szCs w:val="21"/>
              </w:rPr>
              <w:t>焚烧</w:t>
            </w:r>
          </w:p>
        </w:tc>
        <w:tc>
          <w:tcPr>
            <w:tcW w:w="292" w:type="pct"/>
            <w:vMerge w:val="restart"/>
            <w:shd w:val="clear" w:color="auto" w:fill="auto"/>
            <w:vAlign w:val="center"/>
          </w:tcPr>
          <w:p w14:paraId="26204EE2">
            <w:pPr>
              <w:widowControl/>
              <w:jc w:val="center"/>
              <w:textAlignment w:val="center"/>
              <w:rPr>
                <w:rFonts w:ascii="Times New Roman" w:hAnsi="Times New Roman" w:eastAsia="仿宋_GB2312" w:cs="Times New Roman"/>
                <w:color w:val="auto"/>
                <w:kern w:val="2"/>
                <w:sz w:val="21"/>
                <w:szCs w:val="21"/>
                <w:lang w:val="en-US" w:eastAsia="zh-CN" w:bidi="ar-SA"/>
              </w:rPr>
            </w:pPr>
            <w:r>
              <w:rPr>
                <w:rFonts w:hint="eastAsia" w:eastAsia="仿宋_GB2312"/>
                <w:color w:val="auto"/>
                <w:kern w:val="0"/>
                <w:szCs w:val="21"/>
                <w:lang w:bidi="ar"/>
              </w:rPr>
              <w:t>DA002</w:t>
            </w:r>
          </w:p>
        </w:tc>
      </w:tr>
      <w:tr w14:paraId="63210C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04FF9F3E">
            <w:pPr>
              <w:jc w:val="center"/>
              <w:rPr>
                <w:rFonts w:eastAsia="仿宋_GB2312"/>
                <w:color w:val="auto"/>
                <w:szCs w:val="21"/>
              </w:rPr>
            </w:pPr>
          </w:p>
        </w:tc>
        <w:tc>
          <w:tcPr>
            <w:tcW w:w="358" w:type="pct"/>
            <w:vMerge w:val="continue"/>
            <w:vAlign w:val="center"/>
          </w:tcPr>
          <w:p w14:paraId="3691D915">
            <w:pPr>
              <w:jc w:val="center"/>
              <w:rPr>
                <w:rFonts w:eastAsia="仿宋_GB2312"/>
                <w:color w:val="auto"/>
                <w:szCs w:val="21"/>
              </w:rPr>
            </w:pPr>
          </w:p>
        </w:tc>
        <w:tc>
          <w:tcPr>
            <w:tcW w:w="418" w:type="pct"/>
            <w:vMerge w:val="continue"/>
            <w:vAlign w:val="center"/>
          </w:tcPr>
          <w:p w14:paraId="6534E670">
            <w:pPr>
              <w:jc w:val="center"/>
              <w:rPr>
                <w:rFonts w:eastAsia="仿宋_GB2312"/>
                <w:color w:val="auto"/>
                <w:szCs w:val="21"/>
              </w:rPr>
            </w:pPr>
          </w:p>
        </w:tc>
        <w:tc>
          <w:tcPr>
            <w:tcW w:w="446" w:type="pct"/>
            <w:vMerge w:val="continue"/>
            <w:vAlign w:val="center"/>
          </w:tcPr>
          <w:p w14:paraId="32BA2A11">
            <w:pPr>
              <w:jc w:val="center"/>
              <w:rPr>
                <w:rFonts w:eastAsia="仿宋_GB2312"/>
                <w:color w:val="auto"/>
                <w:szCs w:val="21"/>
              </w:rPr>
            </w:pPr>
          </w:p>
        </w:tc>
        <w:tc>
          <w:tcPr>
            <w:tcW w:w="361" w:type="pct"/>
            <w:vMerge w:val="continue"/>
            <w:vAlign w:val="center"/>
          </w:tcPr>
          <w:p w14:paraId="1580E904">
            <w:pPr>
              <w:jc w:val="center"/>
              <w:rPr>
                <w:rFonts w:eastAsia="仿宋_GB2312"/>
                <w:color w:val="auto"/>
                <w:szCs w:val="21"/>
              </w:rPr>
            </w:pPr>
          </w:p>
        </w:tc>
        <w:tc>
          <w:tcPr>
            <w:tcW w:w="498" w:type="pct"/>
            <w:vMerge w:val="continue"/>
            <w:shd w:val="clear" w:color="auto" w:fill="auto"/>
            <w:vAlign w:val="center"/>
          </w:tcPr>
          <w:p w14:paraId="0525CE88">
            <w:pPr>
              <w:keepNext w:val="0"/>
              <w:keepLines w:val="0"/>
              <w:widowControl/>
              <w:suppressLineNumbers w:val="0"/>
              <w:jc w:val="center"/>
              <w:textAlignment w:val="bottom"/>
              <w:rPr>
                <w:rFonts w:hint="eastAsia" w:eastAsia="仿宋_GB2312"/>
                <w:color w:val="auto"/>
                <w:kern w:val="0"/>
                <w:szCs w:val="21"/>
                <w:lang w:val="en-US" w:eastAsia="zh-CN" w:bidi="ar"/>
              </w:rPr>
            </w:pPr>
          </w:p>
        </w:tc>
        <w:tc>
          <w:tcPr>
            <w:tcW w:w="820" w:type="pct"/>
            <w:shd w:val="clear" w:color="auto" w:fill="auto"/>
            <w:vAlign w:val="center"/>
          </w:tcPr>
          <w:p w14:paraId="0F305A2D">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甲醇</w:t>
            </w:r>
          </w:p>
        </w:tc>
        <w:tc>
          <w:tcPr>
            <w:tcW w:w="380" w:type="pct"/>
            <w:shd w:val="clear" w:color="auto" w:fill="auto"/>
            <w:vAlign w:val="center"/>
          </w:tcPr>
          <w:p w14:paraId="0FDAE837">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0.000</w:t>
            </w:r>
            <w:r>
              <w:rPr>
                <w:rFonts w:hint="eastAsia" w:ascii="Times New Roman" w:hAnsi="Times New Roman" w:eastAsia="宋体" w:cs="Times New Roman"/>
                <w:i w:val="0"/>
                <w:iCs w:val="0"/>
                <w:color w:val="auto"/>
                <w:kern w:val="0"/>
                <w:sz w:val="21"/>
                <w:szCs w:val="21"/>
                <w:u w:val="none"/>
                <w:lang w:val="en-US" w:eastAsia="zh-CN" w:bidi="ar"/>
              </w:rPr>
              <w:t>4</w:t>
            </w:r>
          </w:p>
        </w:tc>
        <w:tc>
          <w:tcPr>
            <w:tcW w:w="445" w:type="pct"/>
            <w:shd w:val="clear" w:color="auto" w:fill="auto"/>
            <w:vAlign w:val="center"/>
          </w:tcPr>
          <w:p w14:paraId="545FC17E">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bidi="ar"/>
              </w:rPr>
              <w:t>0.001</w:t>
            </w:r>
          </w:p>
        </w:tc>
        <w:tc>
          <w:tcPr>
            <w:tcW w:w="630" w:type="pct"/>
            <w:vMerge w:val="continue"/>
            <w:vAlign w:val="center"/>
          </w:tcPr>
          <w:p w14:paraId="266A4EEF">
            <w:pPr>
              <w:jc w:val="center"/>
              <w:rPr>
                <w:rFonts w:eastAsia="仿宋_GB2312"/>
                <w:color w:val="auto"/>
                <w:szCs w:val="21"/>
              </w:rPr>
            </w:pPr>
          </w:p>
        </w:tc>
        <w:tc>
          <w:tcPr>
            <w:tcW w:w="292" w:type="pct"/>
            <w:vMerge w:val="continue"/>
            <w:vAlign w:val="center"/>
          </w:tcPr>
          <w:p w14:paraId="7C8603C1">
            <w:pPr>
              <w:jc w:val="center"/>
              <w:rPr>
                <w:rFonts w:eastAsia="仿宋_GB2312"/>
                <w:color w:val="auto"/>
                <w:szCs w:val="21"/>
              </w:rPr>
            </w:pPr>
          </w:p>
        </w:tc>
      </w:tr>
      <w:tr w14:paraId="02C789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6B442C86">
            <w:pPr>
              <w:jc w:val="center"/>
              <w:rPr>
                <w:rFonts w:eastAsia="仿宋_GB2312"/>
                <w:color w:val="auto"/>
                <w:szCs w:val="21"/>
              </w:rPr>
            </w:pPr>
          </w:p>
        </w:tc>
        <w:tc>
          <w:tcPr>
            <w:tcW w:w="358" w:type="pct"/>
            <w:vMerge w:val="continue"/>
            <w:vAlign w:val="center"/>
          </w:tcPr>
          <w:p w14:paraId="47AF689F">
            <w:pPr>
              <w:jc w:val="center"/>
              <w:rPr>
                <w:rFonts w:eastAsia="仿宋_GB2312"/>
                <w:color w:val="auto"/>
                <w:szCs w:val="21"/>
              </w:rPr>
            </w:pPr>
          </w:p>
        </w:tc>
        <w:tc>
          <w:tcPr>
            <w:tcW w:w="418" w:type="pct"/>
            <w:vMerge w:val="continue"/>
            <w:vAlign w:val="center"/>
          </w:tcPr>
          <w:p w14:paraId="3040EA09">
            <w:pPr>
              <w:jc w:val="center"/>
              <w:rPr>
                <w:rFonts w:eastAsia="仿宋_GB2312"/>
                <w:color w:val="auto"/>
                <w:szCs w:val="21"/>
              </w:rPr>
            </w:pPr>
          </w:p>
        </w:tc>
        <w:tc>
          <w:tcPr>
            <w:tcW w:w="446" w:type="pct"/>
            <w:vMerge w:val="continue"/>
            <w:vAlign w:val="center"/>
          </w:tcPr>
          <w:p w14:paraId="6B971D5A">
            <w:pPr>
              <w:jc w:val="center"/>
              <w:rPr>
                <w:rFonts w:eastAsia="仿宋_GB2312"/>
                <w:color w:val="auto"/>
                <w:szCs w:val="21"/>
              </w:rPr>
            </w:pPr>
          </w:p>
        </w:tc>
        <w:tc>
          <w:tcPr>
            <w:tcW w:w="361" w:type="pct"/>
            <w:vMerge w:val="continue"/>
            <w:vAlign w:val="center"/>
          </w:tcPr>
          <w:p w14:paraId="58EF9FC5">
            <w:pPr>
              <w:jc w:val="center"/>
              <w:rPr>
                <w:rFonts w:eastAsia="仿宋_GB2312"/>
                <w:color w:val="auto"/>
                <w:szCs w:val="21"/>
              </w:rPr>
            </w:pPr>
          </w:p>
        </w:tc>
        <w:tc>
          <w:tcPr>
            <w:tcW w:w="498" w:type="pct"/>
            <w:vMerge w:val="continue"/>
            <w:shd w:val="clear" w:color="auto" w:fill="auto"/>
            <w:vAlign w:val="center"/>
          </w:tcPr>
          <w:p w14:paraId="09109A7C">
            <w:pPr>
              <w:keepNext w:val="0"/>
              <w:keepLines w:val="0"/>
              <w:widowControl/>
              <w:suppressLineNumbers w:val="0"/>
              <w:jc w:val="center"/>
              <w:textAlignment w:val="bottom"/>
              <w:rPr>
                <w:rFonts w:eastAsia="仿宋_GB2312"/>
                <w:color w:val="auto"/>
                <w:kern w:val="0"/>
                <w:szCs w:val="21"/>
                <w:lang w:bidi="ar"/>
              </w:rPr>
            </w:pPr>
          </w:p>
        </w:tc>
        <w:tc>
          <w:tcPr>
            <w:tcW w:w="820" w:type="pct"/>
            <w:shd w:val="clear" w:color="auto" w:fill="auto"/>
            <w:vAlign w:val="center"/>
          </w:tcPr>
          <w:p w14:paraId="5994F4E1">
            <w:pPr>
              <w:widowControl/>
              <w:jc w:val="center"/>
              <w:textAlignment w:val="center"/>
              <w:rPr>
                <w:rFonts w:ascii="Times New Roman" w:hAnsi="Times New Roman" w:eastAsia="仿宋_GB2312" w:cs="Times New Roman"/>
                <w:b/>
                <w:bCs/>
                <w:color w:val="auto"/>
                <w:kern w:val="0"/>
                <w:sz w:val="21"/>
                <w:szCs w:val="21"/>
                <w:lang w:val="en-US" w:eastAsia="zh-CN" w:bidi="ar"/>
              </w:rPr>
            </w:pPr>
            <w:r>
              <w:rPr>
                <w:rFonts w:eastAsia="仿宋_GB2312"/>
                <w:color w:val="auto"/>
                <w:kern w:val="0"/>
                <w:szCs w:val="21"/>
                <w:lang w:bidi="ar"/>
              </w:rPr>
              <w:t>其他有机物</w:t>
            </w:r>
          </w:p>
        </w:tc>
        <w:tc>
          <w:tcPr>
            <w:tcW w:w="380" w:type="pct"/>
            <w:shd w:val="clear" w:color="auto" w:fill="auto"/>
            <w:vAlign w:val="center"/>
          </w:tcPr>
          <w:p w14:paraId="4425E27D">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0.034</w:t>
            </w:r>
          </w:p>
        </w:tc>
        <w:tc>
          <w:tcPr>
            <w:tcW w:w="445" w:type="pct"/>
            <w:shd w:val="clear" w:color="auto" w:fill="auto"/>
            <w:vAlign w:val="center"/>
          </w:tcPr>
          <w:p w14:paraId="2FD459D7">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bidi="ar"/>
              </w:rPr>
              <w:t>0.09</w:t>
            </w:r>
          </w:p>
        </w:tc>
        <w:tc>
          <w:tcPr>
            <w:tcW w:w="630" w:type="pct"/>
            <w:vMerge w:val="continue"/>
            <w:vAlign w:val="center"/>
          </w:tcPr>
          <w:p w14:paraId="6EA21889">
            <w:pPr>
              <w:jc w:val="center"/>
              <w:rPr>
                <w:rFonts w:eastAsia="仿宋_GB2312"/>
                <w:color w:val="auto"/>
                <w:szCs w:val="21"/>
              </w:rPr>
            </w:pPr>
          </w:p>
        </w:tc>
        <w:tc>
          <w:tcPr>
            <w:tcW w:w="292" w:type="pct"/>
            <w:vMerge w:val="continue"/>
            <w:vAlign w:val="center"/>
          </w:tcPr>
          <w:p w14:paraId="2B386B78">
            <w:pPr>
              <w:jc w:val="center"/>
              <w:rPr>
                <w:rFonts w:eastAsia="仿宋_GB2312"/>
                <w:color w:val="auto"/>
                <w:szCs w:val="21"/>
              </w:rPr>
            </w:pPr>
          </w:p>
        </w:tc>
      </w:tr>
      <w:tr w14:paraId="6E0801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3BB35844">
            <w:pPr>
              <w:jc w:val="center"/>
              <w:rPr>
                <w:rFonts w:eastAsia="仿宋_GB2312"/>
                <w:color w:val="auto"/>
                <w:szCs w:val="21"/>
              </w:rPr>
            </w:pPr>
          </w:p>
        </w:tc>
        <w:tc>
          <w:tcPr>
            <w:tcW w:w="358" w:type="pct"/>
            <w:vMerge w:val="continue"/>
            <w:vAlign w:val="center"/>
          </w:tcPr>
          <w:p w14:paraId="5C544D2B">
            <w:pPr>
              <w:jc w:val="center"/>
              <w:rPr>
                <w:rFonts w:eastAsia="仿宋_GB2312"/>
                <w:color w:val="auto"/>
                <w:szCs w:val="21"/>
              </w:rPr>
            </w:pPr>
          </w:p>
        </w:tc>
        <w:tc>
          <w:tcPr>
            <w:tcW w:w="418" w:type="pct"/>
            <w:vMerge w:val="restart"/>
            <w:vAlign w:val="center"/>
          </w:tcPr>
          <w:p w14:paraId="16E3D900">
            <w:pPr>
              <w:jc w:val="center"/>
              <w:rPr>
                <w:rFonts w:eastAsia="仿宋_GB2312"/>
                <w:color w:val="auto"/>
                <w:szCs w:val="21"/>
              </w:rPr>
            </w:pPr>
            <w:r>
              <w:rPr>
                <w:rFonts w:eastAsia="仿宋_GB2312"/>
                <w:color w:val="auto"/>
                <w:kern w:val="0"/>
                <w:szCs w:val="21"/>
                <w:lang w:bidi="ar"/>
              </w:rPr>
              <w:t>G</w:t>
            </w:r>
            <w:r>
              <w:rPr>
                <w:rFonts w:hint="eastAsia" w:eastAsia="仿宋_GB2312"/>
                <w:color w:val="auto"/>
                <w:kern w:val="0"/>
                <w:szCs w:val="21"/>
                <w:lang w:val="en-US" w:eastAsia="zh-CN" w:bidi="ar"/>
              </w:rPr>
              <w:t>3</w:t>
            </w:r>
            <w:r>
              <w:rPr>
                <w:rFonts w:eastAsia="仿宋_GB2312"/>
                <w:color w:val="auto"/>
                <w:kern w:val="0"/>
                <w:szCs w:val="21"/>
                <w:lang w:bidi="ar"/>
              </w:rPr>
              <w:t>-</w:t>
            </w:r>
            <w:r>
              <w:rPr>
                <w:rFonts w:hint="eastAsia" w:eastAsia="仿宋_GB2312"/>
                <w:color w:val="auto"/>
                <w:kern w:val="0"/>
                <w:szCs w:val="21"/>
                <w:lang w:val="en-US" w:eastAsia="zh-CN" w:bidi="ar"/>
              </w:rPr>
              <w:t>5</w:t>
            </w:r>
            <w:r>
              <w:rPr>
                <w:rFonts w:eastAsia="仿宋_GB2312"/>
                <w:color w:val="auto"/>
                <w:kern w:val="0"/>
                <w:szCs w:val="21"/>
                <w:lang w:bidi="ar"/>
              </w:rPr>
              <w:t>-3</w:t>
            </w:r>
          </w:p>
        </w:tc>
        <w:tc>
          <w:tcPr>
            <w:tcW w:w="446" w:type="pct"/>
            <w:vMerge w:val="restart"/>
            <w:vAlign w:val="center"/>
          </w:tcPr>
          <w:p w14:paraId="0732584F">
            <w:pPr>
              <w:jc w:val="center"/>
              <w:rPr>
                <w:rFonts w:eastAsia="仿宋_GB2312"/>
                <w:color w:val="auto"/>
                <w:szCs w:val="21"/>
              </w:rPr>
            </w:pPr>
            <w:r>
              <w:rPr>
                <w:rFonts w:eastAsia="仿宋_GB2312"/>
                <w:color w:val="auto"/>
                <w:kern w:val="0"/>
                <w:szCs w:val="21"/>
                <w:lang w:bidi="ar"/>
              </w:rPr>
              <w:t>不凝气</w:t>
            </w:r>
          </w:p>
        </w:tc>
        <w:tc>
          <w:tcPr>
            <w:tcW w:w="361" w:type="pct"/>
            <w:vMerge w:val="restart"/>
            <w:vAlign w:val="center"/>
          </w:tcPr>
          <w:p w14:paraId="66021A5B">
            <w:pPr>
              <w:jc w:val="center"/>
              <w:rPr>
                <w:rFonts w:eastAsia="仿宋_GB2312"/>
                <w:color w:val="auto"/>
                <w:szCs w:val="21"/>
              </w:rPr>
            </w:pPr>
            <w:r>
              <w:rPr>
                <w:rFonts w:eastAsia="仿宋_GB2312"/>
                <w:color w:val="auto"/>
                <w:szCs w:val="21"/>
              </w:rPr>
              <w:t>360</w:t>
            </w:r>
          </w:p>
        </w:tc>
        <w:tc>
          <w:tcPr>
            <w:tcW w:w="498" w:type="pct"/>
            <w:vMerge w:val="restart"/>
            <w:shd w:val="clear" w:color="auto" w:fill="auto"/>
            <w:vAlign w:val="center"/>
          </w:tcPr>
          <w:p w14:paraId="3D91BE0E">
            <w:pPr>
              <w:keepNext w:val="0"/>
              <w:keepLines w:val="0"/>
              <w:widowControl/>
              <w:suppressLineNumbers w:val="0"/>
              <w:jc w:val="center"/>
              <w:textAlignment w:val="bottom"/>
              <w:rPr>
                <w:rFonts w:hint="eastAsia" w:eastAsia="仿宋_GB2312"/>
                <w:color w:val="auto"/>
                <w:kern w:val="0"/>
                <w:szCs w:val="21"/>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2610</w:t>
            </w:r>
          </w:p>
        </w:tc>
        <w:tc>
          <w:tcPr>
            <w:tcW w:w="820" w:type="pct"/>
            <w:shd w:val="clear" w:color="auto" w:fill="auto"/>
            <w:vAlign w:val="center"/>
          </w:tcPr>
          <w:p w14:paraId="2954CA89">
            <w:pPr>
              <w:widowControl/>
              <w:jc w:val="center"/>
              <w:textAlignment w:val="center"/>
              <w:rPr>
                <w:rFonts w:hint="eastAsia" w:ascii="Times New Roman" w:hAnsi="Times New Roman" w:eastAsia="仿宋_GB2312" w:cs="Times New Roman"/>
                <w:b/>
                <w:bCs/>
                <w:color w:val="auto"/>
                <w:kern w:val="0"/>
                <w:sz w:val="21"/>
                <w:szCs w:val="21"/>
                <w:lang w:val="en-US" w:eastAsia="zh-CN" w:bidi="ar"/>
              </w:rPr>
            </w:pPr>
            <w:r>
              <w:rPr>
                <w:rFonts w:hint="eastAsia" w:eastAsia="仿宋_GB2312"/>
                <w:color w:val="auto"/>
                <w:kern w:val="0"/>
                <w:szCs w:val="21"/>
                <w:lang w:val="en-US" w:eastAsia="zh-CN" w:bidi="ar"/>
              </w:rPr>
              <w:t>乙醇</w:t>
            </w:r>
          </w:p>
        </w:tc>
        <w:tc>
          <w:tcPr>
            <w:tcW w:w="380" w:type="pct"/>
            <w:shd w:val="clear" w:color="auto" w:fill="auto"/>
            <w:vAlign w:val="center"/>
          </w:tcPr>
          <w:p w14:paraId="57AB2728">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0.536</w:t>
            </w:r>
          </w:p>
        </w:tc>
        <w:tc>
          <w:tcPr>
            <w:tcW w:w="445" w:type="pct"/>
            <w:shd w:val="clear" w:color="auto" w:fill="auto"/>
            <w:vAlign w:val="center"/>
          </w:tcPr>
          <w:p w14:paraId="35041092">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bidi="ar"/>
              </w:rPr>
              <w:t>1.4</w:t>
            </w:r>
          </w:p>
        </w:tc>
        <w:tc>
          <w:tcPr>
            <w:tcW w:w="630" w:type="pct"/>
            <w:vMerge w:val="continue"/>
            <w:vAlign w:val="center"/>
          </w:tcPr>
          <w:p w14:paraId="7D8C7E15">
            <w:pPr>
              <w:jc w:val="center"/>
              <w:rPr>
                <w:rFonts w:eastAsia="仿宋_GB2312"/>
                <w:color w:val="auto"/>
                <w:szCs w:val="21"/>
              </w:rPr>
            </w:pPr>
          </w:p>
        </w:tc>
        <w:tc>
          <w:tcPr>
            <w:tcW w:w="292" w:type="pct"/>
            <w:vMerge w:val="continue"/>
            <w:vAlign w:val="center"/>
          </w:tcPr>
          <w:p w14:paraId="004FBCA6">
            <w:pPr>
              <w:jc w:val="center"/>
              <w:rPr>
                <w:rFonts w:eastAsia="仿宋_GB2312"/>
                <w:color w:val="auto"/>
                <w:szCs w:val="21"/>
              </w:rPr>
            </w:pPr>
          </w:p>
        </w:tc>
      </w:tr>
      <w:tr w14:paraId="6453CC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2C02A196">
            <w:pPr>
              <w:jc w:val="center"/>
              <w:rPr>
                <w:rFonts w:eastAsia="仿宋_GB2312"/>
                <w:color w:val="auto"/>
                <w:szCs w:val="21"/>
              </w:rPr>
            </w:pPr>
          </w:p>
        </w:tc>
        <w:tc>
          <w:tcPr>
            <w:tcW w:w="358" w:type="pct"/>
            <w:vMerge w:val="continue"/>
            <w:vAlign w:val="center"/>
          </w:tcPr>
          <w:p w14:paraId="0D2F1384">
            <w:pPr>
              <w:jc w:val="center"/>
              <w:rPr>
                <w:rFonts w:eastAsia="仿宋_GB2312"/>
                <w:color w:val="auto"/>
                <w:szCs w:val="21"/>
              </w:rPr>
            </w:pPr>
          </w:p>
        </w:tc>
        <w:tc>
          <w:tcPr>
            <w:tcW w:w="418" w:type="pct"/>
            <w:vMerge w:val="continue"/>
            <w:vAlign w:val="center"/>
          </w:tcPr>
          <w:p w14:paraId="56DE4CEE">
            <w:pPr>
              <w:jc w:val="center"/>
              <w:rPr>
                <w:rFonts w:eastAsia="仿宋_GB2312"/>
                <w:color w:val="auto"/>
                <w:szCs w:val="21"/>
              </w:rPr>
            </w:pPr>
          </w:p>
        </w:tc>
        <w:tc>
          <w:tcPr>
            <w:tcW w:w="446" w:type="pct"/>
            <w:vMerge w:val="continue"/>
            <w:vAlign w:val="center"/>
          </w:tcPr>
          <w:p w14:paraId="62D5B02B">
            <w:pPr>
              <w:jc w:val="center"/>
              <w:rPr>
                <w:rFonts w:eastAsia="仿宋_GB2312"/>
                <w:color w:val="auto"/>
                <w:szCs w:val="21"/>
              </w:rPr>
            </w:pPr>
          </w:p>
        </w:tc>
        <w:tc>
          <w:tcPr>
            <w:tcW w:w="361" w:type="pct"/>
            <w:vMerge w:val="continue"/>
            <w:vAlign w:val="center"/>
          </w:tcPr>
          <w:p w14:paraId="09EFA61A">
            <w:pPr>
              <w:jc w:val="center"/>
              <w:rPr>
                <w:rFonts w:eastAsia="仿宋_GB2312"/>
                <w:color w:val="auto"/>
                <w:szCs w:val="21"/>
              </w:rPr>
            </w:pPr>
          </w:p>
        </w:tc>
        <w:tc>
          <w:tcPr>
            <w:tcW w:w="498" w:type="pct"/>
            <w:vMerge w:val="continue"/>
            <w:shd w:val="clear" w:color="auto" w:fill="auto"/>
            <w:vAlign w:val="center"/>
          </w:tcPr>
          <w:p w14:paraId="6482073B">
            <w:pPr>
              <w:keepNext w:val="0"/>
              <w:keepLines w:val="0"/>
              <w:widowControl/>
              <w:suppressLineNumbers w:val="0"/>
              <w:jc w:val="center"/>
              <w:textAlignment w:val="bottom"/>
              <w:rPr>
                <w:rFonts w:hint="eastAsia" w:eastAsia="仿宋_GB2312"/>
                <w:color w:val="auto"/>
                <w:kern w:val="0"/>
                <w:szCs w:val="21"/>
                <w:lang w:val="en-US" w:eastAsia="zh-CN" w:bidi="ar"/>
              </w:rPr>
            </w:pPr>
          </w:p>
        </w:tc>
        <w:tc>
          <w:tcPr>
            <w:tcW w:w="820" w:type="pct"/>
            <w:shd w:val="clear" w:color="auto" w:fill="auto"/>
            <w:vAlign w:val="center"/>
          </w:tcPr>
          <w:p w14:paraId="3C6B66F4">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甲醇</w:t>
            </w:r>
          </w:p>
        </w:tc>
        <w:tc>
          <w:tcPr>
            <w:tcW w:w="380" w:type="pct"/>
            <w:shd w:val="clear" w:color="auto" w:fill="auto"/>
            <w:vAlign w:val="center"/>
          </w:tcPr>
          <w:p w14:paraId="53037776">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0.000</w:t>
            </w:r>
            <w:r>
              <w:rPr>
                <w:rFonts w:hint="eastAsia" w:ascii="Times New Roman" w:hAnsi="Times New Roman" w:eastAsia="宋体" w:cs="Times New Roman"/>
                <w:i w:val="0"/>
                <w:iCs w:val="0"/>
                <w:color w:val="auto"/>
                <w:kern w:val="0"/>
                <w:sz w:val="21"/>
                <w:szCs w:val="21"/>
                <w:u w:val="none"/>
                <w:lang w:val="en-US" w:eastAsia="zh-CN" w:bidi="ar"/>
              </w:rPr>
              <w:t>4</w:t>
            </w:r>
          </w:p>
        </w:tc>
        <w:tc>
          <w:tcPr>
            <w:tcW w:w="445" w:type="pct"/>
            <w:shd w:val="clear" w:color="auto" w:fill="auto"/>
            <w:vAlign w:val="center"/>
          </w:tcPr>
          <w:p w14:paraId="2FC3B5FD">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bidi="ar"/>
              </w:rPr>
              <w:t>0.001</w:t>
            </w:r>
          </w:p>
        </w:tc>
        <w:tc>
          <w:tcPr>
            <w:tcW w:w="630" w:type="pct"/>
            <w:vMerge w:val="continue"/>
            <w:vAlign w:val="center"/>
          </w:tcPr>
          <w:p w14:paraId="2221A0ED">
            <w:pPr>
              <w:jc w:val="center"/>
              <w:rPr>
                <w:rFonts w:eastAsia="仿宋_GB2312"/>
                <w:color w:val="auto"/>
                <w:szCs w:val="21"/>
              </w:rPr>
            </w:pPr>
          </w:p>
        </w:tc>
        <w:tc>
          <w:tcPr>
            <w:tcW w:w="292" w:type="pct"/>
            <w:vMerge w:val="continue"/>
            <w:vAlign w:val="center"/>
          </w:tcPr>
          <w:p w14:paraId="484FD850">
            <w:pPr>
              <w:jc w:val="center"/>
              <w:rPr>
                <w:rFonts w:eastAsia="仿宋_GB2312"/>
                <w:color w:val="auto"/>
                <w:szCs w:val="21"/>
              </w:rPr>
            </w:pPr>
          </w:p>
        </w:tc>
      </w:tr>
      <w:tr w14:paraId="4120DD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7D8D01F1">
            <w:pPr>
              <w:jc w:val="center"/>
              <w:rPr>
                <w:rFonts w:eastAsia="仿宋_GB2312"/>
                <w:color w:val="auto"/>
                <w:szCs w:val="21"/>
              </w:rPr>
            </w:pPr>
          </w:p>
        </w:tc>
        <w:tc>
          <w:tcPr>
            <w:tcW w:w="358" w:type="pct"/>
            <w:vMerge w:val="continue"/>
            <w:vAlign w:val="center"/>
          </w:tcPr>
          <w:p w14:paraId="659E7DED">
            <w:pPr>
              <w:jc w:val="center"/>
              <w:rPr>
                <w:rFonts w:eastAsia="仿宋_GB2312"/>
                <w:color w:val="auto"/>
                <w:szCs w:val="21"/>
              </w:rPr>
            </w:pPr>
          </w:p>
        </w:tc>
        <w:tc>
          <w:tcPr>
            <w:tcW w:w="418" w:type="pct"/>
            <w:vMerge w:val="continue"/>
            <w:vAlign w:val="center"/>
          </w:tcPr>
          <w:p w14:paraId="27BAC81E">
            <w:pPr>
              <w:jc w:val="center"/>
              <w:rPr>
                <w:rFonts w:eastAsia="仿宋_GB2312"/>
                <w:color w:val="auto"/>
                <w:szCs w:val="21"/>
              </w:rPr>
            </w:pPr>
          </w:p>
        </w:tc>
        <w:tc>
          <w:tcPr>
            <w:tcW w:w="446" w:type="pct"/>
            <w:vMerge w:val="continue"/>
            <w:vAlign w:val="center"/>
          </w:tcPr>
          <w:p w14:paraId="3B99C0E0">
            <w:pPr>
              <w:jc w:val="center"/>
              <w:rPr>
                <w:rFonts w:eastAsia="仿宋_GB2312"/>
                <w:color w:val="auto"/>
                <w:szCs w:val="21"/>
              </w:rPr>
            </w:pPr>
          </w:p>
        </w:tc>
        <w:tc>
          <w:tcPr>
            <w:tcW w:w="361" w:type="pct"/>
            <w:vMerge w:val="continue"/>
            <w:vAlign w:val="center"/>
          </w:tcPr>
          <w:p w14:paraId="3DD44621">
            <w:pPr>
              <w:jc w:val="center"/>
              <w:rPr>
                <w:rFonts w:eastAsia="仿宋_GB2312"/>
                <w:color w:val="auto"/>
                <w:szCs w:val="21"/>
              </w:rPr>
            </w:pPr>
          </w:p>
        </w:tc>
        <w:tc>
          <w:tcPr>
            <w:tcW w:w="498" w:type="pct"/>
            <w:vMerge w:val="continue"/>
            <w:shd w:val="clear" w:color="auto" w:fill="auto"/>
            <w:vAlign w:val="center"/>
          </w:tcPr>
          <w:p w14:paraId="558450A3">
            <w:pPr>
              <w:keepNext w:val="0"/>
              <w:keepLines w:val="0"/>
              <w:widowControl/>
              <w:suppressLineNumbers w:val="0"/>
              <w:jc w:val="center"/>
              <w:textAlignment w:val="bottom"/>
              <w:rPr>
                <w:rFonts w:eastAsia="仿宋_GB2312"/>
                <w:color w:val="auto"/>
                <w:kern w:val="0"/>
                <w:szCs w:val="21"/>
                <w:lang w:bidi="ar"/>
              </w:rPr>
            </w:pPr>
          </w:p>
        </w:tc>
        <w:tc>
          <w:tcPr>
            <w:tcW w:w="820" w:type="pct"/>
            <w:shd w:val="clear" w:color="auto" w:fill="auto"/>
            <w:vAlign w:val="center"/>
          </w:tcPr>
          <w:p w14:paraId="29731747">
            <w:pPr>
              <w:widowControl/>
              <w:jc w:val="center"/>
              <w:textAlignment w:val="center"/>
              <w:rPr>
                <w:rFonts w:ascii="Times New Roman" w:hAnsi="Times New Roman" w:eastAsia="仿宋_GB2312" w:cs="Times New Roman"/>
                <w:b/>
                <w:bCs/>
                <w:color w:val="auto"/>
                <w:kern w:val="0"/>
                <w:sz w:val="21"/>
                <w:szCs w:val="21"/>
                <w:lang w:val="en-US" w:eastAsia="zh-CN" w:bidi="ar"/>
              </w:rPr>
            </w:pPr>
            <w:r>
              <w:rPr>
                <w:rFonts w:eastAsia="仿宋_GB2312"/>
                <w:color w:val="auto"/>
                <w:kern w:val="0"/>
                <w:szCs w:val="21"/>
                <w:lang w:bidi="ar"/>
              </w:rPr>
              <w:t>其他有机物</w:t>
            </w:r>
          </w:p>
        </w:tc>
        <w:tc>
          <w:tcPr>
            <w:tcW w:w="380" w:type="pct"/>
            <w:shd w:val="clear" w:color="auto" w:fill="auto"/>
            <w:vAlign w:val="center"/>
          </w:tcPr>
          <w:p w14:paraId="794F0227">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0.007</w:t>
            </w:r>
          </w:p>
        </w:tc>
        <w:tc>
          <w:tcPr>
            <w:tcW w:w="445" w:type="pct"/>
            <w:shd w:val="clear" w:color="auto" w:fill="auto"/>
            <w:vAlign w:val="center"/>
          </w:tcPr>
          <w:p w14:paraId="07108E6B">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bidi="ar"/>
              </w:rPr>
              <w:t>0.019</w:t>
            </w:r>
          </w:p>
        </w:tc>
        <w:tc>
          <w:tcPr>
            <w:tcW w:w="630" w:type="pct"/>
            <w:vMerge w:val="continue"/>
            <w:vAlign w:val="center"/>
          </w:tcPr>
          <w:p w14:paraId="061B54F2">
            <w:pPr>
              <w:jc w:val="center"/>
              <w:rPr>
                <w:rFonts w:eastAsia="仿宋_GB2312"/>
                <w:color w:val="auto"/>
                <w:szCs w:val="21"/>
              </w:rPr>
            </w:pPr>
          </w:p>
        </w:tc>
        <w:tc>
          <w:tcPr>
            <w:tcW w:w="292" w:type="pct"/>
            <w:vMerge w:val="continue"/>
            <w:vAlign w:val="center"/>
          </w:tcPr>
          <w:p w14:paraId="310D9B63">
            <w:pPr>
              <w:jc w:val="center"/>
              <w:rPr>
                <w:rFonts w:eastAsia="仿宋_GB2312"/>
                <w:color w:val="auto"/>
                <w:szCs w:val="21"/>
              </w:rPr>
            </w:pPr>
          </w:p>
        </w:tc>
      </w:tr>
      <w:tr w14:paraId="193D05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3D3298C1">
            <w:pPr>
              <w:jc w:val="center"/>
              <w:rPr>
                <w:rFonts w:eastAsia="仿宋_GB2312"/>
                <w:color w:val="auto"/>
                <w:szCs w:val="21"/>
              </w:rPr>
            </w:pPr>
          </w:p>
        </w:tc>
        <w:tc>
          <w:tcPr>
            <w:tcW w:w="358" w:type="pct"/>
            <w:vMerge w:val="continue"/>
            <w:vAlign w:val="center"/>
          </w:tcPr>
          <w:p w14:paraId="3F985F14">
            <w:pPr>
              <w:jc w:val="center"/>
              <w:rPr>
                <w:rFonts w:eastAsia="仿宋_GB2312"/>
                <w:color w:val="auto"/>
                <w:szCs w:val="21"/>
              </w:rPr>
            </w:pPr>
          </w:p>
        </w:tc>
        <w:tc>
          <w:tcPr>
            <w:tcW w:w="418" w:type="pct"/>
            <w:vMerge w:val="restart"/>
            <w:vAlign w:val="center"/>
          </w:tcPr>
          <w:p w14:paraId="7143D93C">
            <w:pPr>
              <w:jc w:val="center"/>
              <w:rPr>
                <w:rFonts w:eastAsia="仿宋_GB2312"/>
                <w:color w:val="auto"/>
                <w:szCs w:val="21"/>
              </w:rPr>
            </w:pPr>
            <w:r>
              <w:rPr>
                <w:rFonts w:eastAsia="仿宋_GB2312"/>
                <w:color w:val="auto"/>
                <w:kern w:val="0"/>
                <w:szCs w:val="21"/>
                <w:lang w:bidi="ar"/>
              </w:rPr>
              <w:t>G</w:t>
            </w:r>
            <w:r>
              <w:rPr>
                <w:rFonts w:hint="eastAsia" w:eastAsia="仿宋_GB2312"/>
                <w:color w:val="auto"/>
                <w:kern w:val="0"/>
                <w:szCs w:val="21"/>
                <w:lang w:val="en-US" w:eastAsia="zh-CN" w:bidi="ar"/>
              </w:rPr>
              <w:t>3</w:t>
            </w:r>
            <w:r>
              <w:rPr>
                <w:rFonts w:eastAsia="仿宋_GB2312"/>
                <w:color w:val="auto"/>
                <w:kern w:val="0"/>
                <w:szCs w:val="21"/>
                <w:lang w:bidi="ar"/>
              </w:rPr>
              <w:t>-</w:t>
            </w:r>
            <w:r>
              <w:rPr>
                <w:rFonts w:hint="eastAsia" w:eastAsia="仿宋_GB2312"/>
                <w:color w:val="auto"/>
                <w:kern w:val="0"/>
                <w:szCs w:val="21"/>
                <w:lang w:val="en-US" w:eastAsia="zh-CN" w:bidi="ar"/>
              </w:rPr>
              <w:t>5</w:t>
            </w:r>
            <w:r>
              <w:rPr>
                <w:rFonts w:eastAsia="仿宋_GB2312"/>
                <w:color w:val="auto"/>
                <w:kern w:val="0"/>
                <w:szCs w:val="21"/>
                <w:lang w:bidi="ar"/>
              </w:rPr>
              <w:t>-4</w:t>
            </w:r>
          </w:p>
        </w:tc>
        <w:tc>
          <w:tcPr>
            <w:tcW w:w="446" w:type="pct"/>
            <w:vMerge w:val="restart"/>
            <w:vAlign w:val="center"/>
          </w:tcPr>
          <w:p w14:paraId="6968944A">
            <w:pPr>
              <w:jc w:val="center"/>
              <w:rPr>
                <w:rFonts w:eastAsia="仿宋_GB2312"/>
                <w:color w:val="auto"/>
                <w:szCs w:val="21"/>
              </w:rPr>
            </w:pPr>
            <w:r>
              <w:rPr>
                <w:rFonts w:eastAsia="仿宋_GB2312"/>
                <w:color w:val="auto"/>
                <w:kern w:val="0"/>
                <w:szCs w:val="21"/>
                <w:lang w:bidi="ar"/>
              </w:rPr>
              <w:t>不凝气</w:t>
            </w:r>
          </w:p>
        </w:tc>
        <w:tc>
          <w:tcPr>
            <w:tcW w:w="361" w:type="pct"/>
            <w:vMerge w:val="restart"/>
            <w:vAlign w:val="center"/>
          </w:tcPr>
          <w:p w14:paraId="1E417D17">
            <w:pPr>
              <w:jc w:val="center"/>
              <w:rPr>
                <w:rFonts w:eastAsia="仿宋_GB2312"/>
                <w:color w:val="auto"/>
                <w:szCs w:val="21"/>
              </w:rPr>
            </w:pPr>
            <w:r>
              <w:rPr>
                <w:rFonts w:eastAsia="仿宋_GB2312"/>
                <w:color w:val="auto"/>
                <w:szCs w:val="21"/>
              </w:rPr>
              <w:t>360</w:t>
            </w:r>
          </w:p>
        </w:tc>
        <w:tc>
          <w:tcPr>
            <w:tcW w:w="498" w:type="pct"/>
            <w:vMerge w:val="restart"/>
            <w:shd w:val="clear" w:color="auto" w:fill="auto"/>
            <w:vAlign w:val="center"/>
          </w:tcPr>
          <w:p w14:paraId="6A8DE7B2">
            <w:pPr>
              <w:keepNext w:val="0"/>
              <w:keepLines w:val="0"/>
              <w:widowControl/>
              <w:suppressLineNumbers w:val="0"/>
              <w:jc w:val="center"/>
              <w:textAlignment w:val="bottom"/>
              <w:rPr>
                <w:rFonts w:hint="eastAsia" w:eastAsia="仿宋_GB2312"/>
                <w:color w:val="auto"/>
                <w:kern w:val="0"/>
                <w:szCs w:val="21"/>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2610</w:t>
            </w:r>
          </w:p>
        </w:tc>
        <w:tc>
          <w:tcPr>
            <w:tcW w:w="820" w:type="pct"/>
            <w:shd w:val="clear" w:color="auto" w:fill="auto"/>
            <w:vAlign w:val="center"/>
          </w:tcPr>
          <w:p w14:paraId="5D8DD2A8">
            <w:pPr>
              <w:widowControl/>
              <w:jc w:val="center"/>
              <w:textAlignment w:val="center"/>
              <w:rPr>
                <w:rFonts w:hint="eastAsia" w:ascii="Times New Roman" w:hAnsi="Times New Roman" w:eastAsia="仿宋_GB2312" w:cs="Times New Roman"/>
                <w:b/>
                <w:bCs/>
                <w:color w:val="auto"/>
                <w:kern w:val="0"/>
                <w:sz w:val="21"/>
                <w:szCs w:val="21"/>
                <w:lang w:val="en-US" w:eastAsia="zh-CN" w:bidi="ar"/>
              </w:rPr>
            </w:pPr>
            <w:r>
              <w:rPr>
                <w:rFonts w:hint="eastAsia" w:eastAsia="仿宋_GB2312"/>
                <w:color w:val="auto"/>
                <w:kern w:val="0"/>
                <w:szCs w:val="21"/>
                <w:lang w:val="en-US" w:eastAsia="zh-CN" w:bidi="ar"/>
              </w:rPr>
              <w:t>乙醇</w:t>
            </w:r>
          </w:p>
        </w:tc>
        <w:tc>
          <w:tcPr>
            <w:tcW w:w="380" w:type="pct"/>
            <w:shd w:val="clear" w:color="auto" w:fill="auto"/>
            <w:vAlign w:val="center"/>
          </w:tcPr>
          <w:p w14:paraId="28679DBB">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79.577</w:t>
            </w:r>
          </w:p>
        </w:tc>
        <w:tc>
          <w:tcPr>
            <w:tcW w:w="445" w:type="pct"/>
            <w:shd w:val="clear" w:color="auto" w:fill="auto"/>
            <w:vAlign w:val="center"/>
          </w:tcPr>
          <w:p w14:paraId="4C34C230">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bidi="ar"/>
              </w:rPr>
              <w:t>207.697</w:t>
            </w:r>
          </w:p>
        </w:tc>
        <w:tc>
          <w:tcPr>
            <w:tcW w:w="630" w:type="pct"/>
            <w:vMerge w:val="continue"/>
            <w:vAlign w:val="center"/>
          </w:tcPr>
          <w:p w14:paraId="6606C3B3">
            <w:pPr>
              <w:jc w:val="center"/>
              <w:rPr>
                <w:rFonts w:eastAsia="仿宋_GB2312"/>
                <w:color w:val="auto"/>
                <w:szCs w:val="21"/>
              </w:rPr>
            </w:pPr>
          </w:p>
        </w:tc>
        <w:tc>
          <w:tcPr>
            <w:tcW w:w="292" w:type="pct"/>
            <w:vMerge w:val="continue"/>
            <w:vAlign w:val="center"/>
          </w:tcPr>
          <w:p w14:paraId="12FB7CAF">
            <w:pPr>
              <w:jc w:val="center"/>
              <w:rPr>
                <w:rFonts w:eastAsia="仿宋_GB2312"/>
                <w:color w:val="auto"/>
                <w:szCs w:val="21"/>
              </w:rPr>
            </w:pPr>
          </w:p>
        </w:tc>
      </w:tr>
      <w:tr w14:paraId="7DA3B1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46749EAB">
            <w:pPr>
              <w:jc w:val="center"/>
              <w:rPr>
                <w:rFonts w:eastAsia="仿宋_GB2312"/>
                <w:color w:val="auto"/>
                <w:szCs w:val="21"/>
              </w:rPr>
            </w:pPr>
          </w:p>
        </w:tc>
        <w:tc>
          <w:tcPr>
            <w:tcW w:w="358" w:type="pct"/>
            <w:vMerge w:val="continue"/>
            <w:vAlign w:val="center"/>
          </w:tcPr>
          <w:p w14:paraId="1C26C195">
            <w:pPr>
              <w:jc w:val="center"/>
              <w:rPr>
                <w:rFonts w:eastAsia="仿宋_GB2312"/>
                <w:color w:val="auto"/>
                <w:szCs w:val="21"/>
              </w:rPr>
            </w:pPr>
          </w:p>
        </w:tc>
        <w:tc>
          <w:tcPr>
            <w:tcW w:w="418" w:type="pct"/>
            <w:vMerge w:val="continue"/>
            <w:vAlign w:val="center"/>
          </w:tcPr>
          <w:p w14:paraId="7EE7D8A4">
            <w:pPr>
              <w:jc w:val="center"/>
              <w:rPr>
                <w:rFonts w:eastAsia="仿宋_GB2312"/>
                <w:color w:val="auto"/>
                <w:szCs w:val="21"/>
              </w:rPr>
            </w:pPr>
          </w:p>
        </w:tc>
        <w:tc>
          <w:tcPr>
            <w:tcW w:w="446" w:type="pct"/>
            <w:vMerge w:val="continue"/>
            <w:vAlign w:val="center"/>
          </w:tcPr>
          <w:p w14:paraId="75D071D8">
            <w:pPr>
              <w:jc w:val="center"/>
              <w:rPr>
                <w:rFonts w:eastAsia="仿宋_GB2312"/>
                <w:color w:val="auto"/>
                <w:szCs w:val="21"/>
              </w:rPr>
            </w:pPr>
          </w:p>
        </w:tc>
        <w:tc>
          <w:tcPr>
            <w:tcW w:w="361" w:type="pct"/>
            <w:vMerge w:val="continue"/>
            <w:vAlign w:val="center"/>
          </w:tcPr>
          <w:p w14:paraId="11AB74F4">
            <w:pPr>
              <w:jc w:val="center"/>
              <w:rPr>
                <w:rFonts w:eastAsia="仿宋_GB2312"/>
                <w:color w:val="auto"/>
                <w:szCs w:val="21"/>
              </w:rPr>
            </w:pPr>
          </w:p>
        </w:tc>
        <w:tc>
          <w:tcPr>
            <w:tcW w:w="498" w:type="pct"/>
            <w:vMerge w:val="continue"/>
            <w:shd w:val="clear" w:color="auto" w:fill="auto"/>
            <w:vAlign w:val="center"/>
          </w:tcPr>
          <w:p w14:paraId="6F3C9491">
            <w:pPr>
              <w:keepNext w:val="0"/>
              <w:keepLines w:val="0"/>
              <w:widowControl/>
              <w:suppressLineNumbers w:val="0"/>
              <w:jc w:val="center"/>
              <w:textAlignment w:val="bottom"/>
              <w:rPr>
                <w:rFonts w:hint="eastAsia" w:eastAsia="仿宋_GB2312"/>
                <w:color w:val="auto"/>
                <w:kern w:val="0"/>
                <w:szCs w:val="21"/>
                <w:lang w:val="en-US" w:eastAsia="zh-CN" w:bidi="ar"/>
              </w:rPr>
            </w:pPr>
          </w:p>
        </w:tc>
        <w:tc>
          <w:tcPr>
            <w:tcW w:w="820" w:type="pct"/>
            <w:shd w:val="clear" w:color="auto" w:fill="auto"/>
            <w:vAlign w:val="center"/>
          </w:tcPr>
          <w:p w14:paraId="18C7D34E">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甲醇</w:t>
            </w:r>
          </w:p>
        </w:tc>
        <w:tc>
          <w:tcPr>
            <w:tcW w:w="380" w:type="pct"/>
            <w:shd w:val="clear" w:color="auto" w:fill="auto"/>
            <w:vAlign w:val="center"/>
          </w:tcPr>
          <w:p w14:paraId="2BFB6BC6">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0.012</w:t>
            </w:r>
          </w:p>
        </w:tc>
        <w:tc>
          <w:tcPr>
            <w:tcW w:w="445" w:type="pct"/>
            <w:shd w:val="clear" w:color="auto" w:fill="auto"/>
            <w:vAlign w:val="center"/>
          </w:tcPr>
          <w:p w14:paraId="34928FB5">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bidi="ar"/>
              </w:rPr>
              <w:t>0.032</w:t>
            </w:r>
          </w:p>
        </w:tc>
        <w:tc>
          <w:tcPr>
            <w:tcW w:w="630" w:type="pct"/>
            <w:vMerge w:val="continue"/>
            <w:vAlign w:val="center"/>
          </w:tcPr>
          <w:p w14:paraId="4A4DCFB5">
            <w:pPr>
              <w:jc w:val="center"/>
              <w:rPr>
                <w:rFonts w:eastAsia="仿宋_GB2312"/>
                <w:color w:val="auto"/>
                <w:szCs w:val="21"/>
              </w:rPr>
            </w:pPr>
          </w:p>
        </w:tc>
        <w:tc>
          <w:tcPr>
            <w:tcW w:w="292" w:type="pct"/>
            <w:vMerge w:val="continue"/>
            <w:vAlign w:val="center"/>
          </w:tcPr>
          <w:p w14:paraId="4B7FD12B">
            <w:pPr>
              <w:jc w:val="center"/>
              <w:rPr>
                <w:rFonts w:eastAsia="仿宋_GB2312"/>
                <w:color w:val="auto"/>
                <w:szCs w:val="21"/>
              </w:rPr>
            </w:pPr>
          </w:p>
        </w:tc>
      </w:tr>
      <w:tr w14:paraId="14EFD8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608B9AD1">
            <w:pPr>
              <w:jc w:val="center"/>
              <w:rPr>
                <w:rFonts w:eastAsia="仿宋_GB2312"/>
                <w:color w:val="auto"/>
                <w:szCs w:val="21"/>
              </w:rPr>
            </w:pPr>
          </w:p>
        </w:tc>
        <w:tc>
          <w:tcPr>
            <w:tcW w:w="358" w:type="pct"/>
            <w:vMerge w:val="continue"/>
            <w:vAlign w:val="center"/>
          </w:tcPr>
          <w:p w14:paraId="68A96603">
            <w:pPr>
              <w:jc w:val="center"/>
              <w:rPr>
                <w:rFonts w:eastAsia="仿宋_GB2312"/>
                <w:color w:val="auto"/>
                <w:szCs w:val="21"/>
              </w:rPr>
            </w:pPr>
          </w:p>
        </w:tc>
        <w:tc>
          <w:tcPr>
            <w:tcW w:w="418" w:type="pct"/>
            <w:vMerge w:val="continue"/>
            <w:vAlign w:val="center"/>
          </w:tcPr>
          <w:p w14:paraId="3C7E9410">
            <w:pPr>
              <w:jc w:val="center"/>
              <w:rPr>
                <w:rFonts w:eastAsia="仿宋_GB2312"/>
                <w:color w:val="auto"/>
                <w:szCs w:val="21"/>
              </w:rPr>
            </w:pPr>
          </w:p>
        </w:tc>
        <w:tc>
          <w:tcPr>
            <w:tcW w:w="446" w:type="pct"/>
            <w:vMerge w:val="continue"/>
            <w:vAlign w:val="center"/>
          </w:tcPr>
          <w:p w14:paraId="091E03AC">
            <w:pPr>
              <w:jc w:val="center"/>
              <w:rPr>
                <w:rFonts w:eastAsia="仿宋_GB2312"/>
                <w:color w:val="auto"/>
                <w:szCs w:val="21"/>
              </w:rPr>
            </w:pPr>
          </w:p>
        </w:tc>
        <w:tc>
          <w:tcPr>
            <w:tcW w:w="361" w:type="pct"/>
            <w:vMerge w:val="continue"/>
            <w:vAlign w:val="center"/>
          </w:tcPr>
          <w:p w14:paraId="5E7F4DE2">
            <w:pPr>
              <w:jc w:val="center"/>
              <w:rPr>
                <w:rFonts w:eastAsia="仿宋_GB2312"/>
                <w:color w:val="auto"/>
                <w:szCs w:val="21"/>
              </w:rPr>
            </w:pPr>
          </w:p>
        </w:tc>
        <w:tc>
          <w:tcPr>
            <w:tcW w:w="498" w:type="pct"/>
            <w:vMerge w:val="continue"/>
            <w:shd w:val="clear" w:color="auto" w:fill="auto"/>
            <w:vAlign w:val="center"/>
          </w:tcPr>
          <w:p w14:paraId="5D05F6FA">
            <w:pPr>
              <w:keepNext w:val="0"/>
              <w:keepLines w:val="0"/>
              <w:widowControl/>
              <w:suppressLineNumbers w:val="0"/>
              <w:jc w:val="center"/>
              <w:textAlignment w:val="bottom"/>
              <w:rPr>
                <w:rFonts w:eastAsia="仿宋_GB2312"/>
                <w:color w:val="auto"/>
                <w:kern w:val="0"/>
                <w:szCs w:val="21"/>
                <w:lang w:bidi="ar"/>
              </w:rPr>
            </w:pPr>
          </w:p>
        </w:tc>
        <w:tc>
          <w:tcPr>
            <w:tcW w:w="820" w:type="pct"/>
            <w:shd w:val="clear" w:color="auto" w:fill="auto"/>
            <w:vAlign w:val="center"/>
          </w:tcPr>
          <w:p w14:paraId="2E636207">
            <w:pPr>
              <w:widowControl/>
              <w:jc w:val="center"/>
              <w:textAlignment w:val="center"/>
              <w:rPr>
                <w:rFonts w:ascii="Times New Roman" w:hAnsi="Times New Roman" w:eastAsia="仿宋_GB2312" w:cs="Times New Roman"/>
                <w:b/>
                <w:bCs/>
                <w:color w:val="auto"/>
                <w:kern w:val="0"/>
                <w:sz w:val="21"/>
                <w:szCs w:val="21"/>
                <w:lang w:val="en-US" w:eastAsia="zh-CN" w:bidi="ar"/>
              </w:rPr>
            </w:pPr>
            <w:r>
              <w:rPr>
                <w:rFonts w:eastAsia="仿宋_GB2312"/>
                <w:color w:val="auto"/>
                <w:kern w:val="0"/>
                <w:szCs w:val="21"/>
                <w:lang w:bidi="ar"/>
              </w:rPr>
              <w:t>其他有机物</w:t>
            </w:r>
          </w:p>
        </w:tc>
        <w:tc>
          <w:tcPr>
            <w:tcW w:w="380" w:type="pct"/>
            <w:shd w:val="clear" w:color="auto" w:fill="auto"/>
            <w:vAlign w:val="center"/>
          </w:tcPr>
          <w:p w14:paraId="253B5176">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0.557</w:t>
            </w:r>
          </w:p>
        </w:tc>
        <w:tc>
          <w:tcPr>
            <w:tcW w:w="445" w:type="pct"/>
            <w:shd w:val="clear" w:color="auto" w:fill="auto"/>
            <w:vAlign w:val="center"/>
          </w:tcPr>
          <w:p w14:paraId="25F38D17">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bidi="ar"/>
              </w:rPr>
              <w:t>1.455</w:t>
            </w:r>
          </w:p>
        </w:tc>
        <w:tc>
          <w:tcPr>
            <w:tcW w:w="630" w:type="pct"/>
            <w:vMerge w:val="continue"/>
            <w:vAlign w:val="center"/>
          </w:tcPr>
          <w:p w14:paraId="5A46A9F0">
            <w:pPr>
              <w:jc w:val="center"/>
              <w:rPr>
                <w:rFonts w:eastAsia="仿宋_GB2312"/>
                <w:color w:val="auto"/>
                <w:szCs w:val="21"/>
              </w:rPr>
            </w:pPr>
          </w:p>
        </w:tc>
        <w:tc>
          <w:tcPr>
            <w:tcW w:w="292" w:type="pct"/>
            <w:vMerge w:val="continue"/>
            <w:vAlign w:val="center"/>
          </w:tcPr>
          <w:p w14:paraId="04532686">
            <w:pPr>
              <w:jc w:val="center"/>
              <w:rPr>
                <w:rFonts w:eastAsia="仿宋_GB2312"/>
                <w:color w:val="auto"/>
                <w:szCs w:val="21"/>
              </w:rPr>
            </w:pPr>
          </w:p>
        </w:tc>
      </w:tr>
      <w:tr w14:paraId="6552DA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54E36BB4">
            <w:pPr>
              <w:jc w:val="center"/>
              <w:rPr>
                <w:rFonts w:eastAsia="仿宋_GB2312"/>
                <w:color w:val="auto"/>
                <w:szCs w:val="21"/>
              </w:rPr>
            </w:pPr>
          </w:p>
        </w:tc>
        <w:tc>
          <w:tcPr>
            <w:tcW w:w="358" w:type="pct"/>
            <w:vMerge w:val="continue"/>
            <w:vAlign w:val="center"/>
          </w:tcPr>
          <w:p w14:paraId="4CCD8310">
            <w:pPr>
              <w:jc w:val="center"/>
              <w:rPr>
                <w:rFonts w:eastAsia="仿宋_GB2312"/>
                <w:color w:val="auto"/>
                <w:szCs w:val="21"/>
              </w:rPr>
            </w:pPr>
          </w:p>
        </w:tc>
        <w:tc>
          <w:tcPr>
            <w:tcW w:w="418" w:type="pct"/>
            <w:vMerge w:val="restart"/>
            <w:vAlign w:val="center"/>
          </w:tcPr>
          <w:p w14:paraId="4BC5B114">
            <w:pPr>
              <w:jc w:val="center"/>
              <w:rPr>
                <w:rFonts w:eastAsia="仿宋_GB2312"/>
                <w:color w:val="auto"/>
                <w:szCs w:val="21"/>
              </w:rPr>
            </w:pPr>
            <w:r>
              <w:rPr>
                <w:rFonts w:eastAsia="仿宋_GB2312"/>
                <w:color w:val="auto"/>
                <w:kern w:val="0"/>
                <w:szCs w:val="21"/>
                <w:lang w:bidi="ar"/>
              </w:rPr>
              <w:t>G</w:t>
            </w:r>
            <w:r>
              <w:rPr>
                <w:rFonts w:hint="eastAsia" w:eastAsia="仿宋_GB2312"/>
                <w:color w:val="auto"/>
                <w:kern w:val="0"/>
                <w:szCs w:val="21"/>
                <w:lang w:val="en-US" w:eastAsia="zh-CN" w:bidi="ar"/>
              </w:rPr>
              <w:t>3</w:t>
            </w:r>
            <w:r>
              <w:rPr>
                <w:rFonts w:eastAsia="仿宋_GB2312"/>
                <w:color w:val="auto"/>
                <w:kern w:val="0"/>
                <w:szCs w:val="21"/>
                <w:lang w:bidi="ar"/>
              </w:rPr>
              <w:t>-</w:t>
            </w:r>
            <w:r>
              <w:rPr>
                <w:rFonts w:hint="eastAsia" w:eastAsia="仿宋_GB2312"/>
                <w:color w:val="auto"/>
                <w:kern w:val="0"/>
                <w:szCs w:val="21"/>
                <w:lang w:val="en-US" w:eastAsia="zh-CN" w:bidi="ar"/>
              </w:rPr>
              <w:t>5</w:t>
            </w:r>
            <w:r>
              <w:rPr>
                <w:rFonts w:eastAsia="仿宋_GB2312"/>
                <w:color w:val="auto"/>
                <w:kern w:val="0"/>
                <w:szCs w:val="21"/>
                <w:lang w:bidi="ar"/>
              </w:rPr>
              <w:t>-5</w:t>
            </w:r>
          </w:p>
        </w:tc>
        <w:tc>
          <w:tcPr>
            <w:tcW w:w="446" w:type="pct"/>
            <w:vMerge w:val="restart"/>
            <w:vAlign w:val="center"/>
          </w:tcPr>
          <w:p w14:paraId="0D073339">
            <w:pPr>
              <w:jc w:val="center"/>
              <w:rPr>
                <w:rFonts w:eastAsia="仿宋_GB2312"/>
                <w:color w:val="auto"/>
                <w:szCs w:val="21"/>
              </w:rPr>
            </w:pPr>
            <w:r>
              <w:rPr>
                <w:rFonts w:eastAsia="仿宋_GB2312"/>
                <w:color w:val="auto"/>
                <w:kern w:val="0"/>
                <w:szCs w:val="21"/>
                <w:lang w:bidi="ar"/>
              </w:rPr>
              <w:t>灌装废气</w:t>
            </w:r>
          </w:p>
        </w:tc>
        <w:tc>
          <w:tcPr>
            <w:tcW w:w="361" w:type="pct"/>
            <w:vMerge w:val="restart"/>
            <w:vAlign w:val="center"/>
          </w:tcPr>
          <w:p w14:paraId="6C99DFEA">
            <w:pPr>
              <w:jc w:val="center"/>
              <w:rPr>
                <w:rFonts w:hint="default" w:eastAsia="仿宋_GB2312"/>
                <w:color w:val="auto"/>
                <w:szCs w:val="21"/>
                <w:lang w:val="en-US" w:eastAsia="zh-CN"/>
              </w:rPr>
            </w:pPr>
            <w:r>
              <w:rPr>
                <w:rFonts w:hint="eastAsia" w:eastAsia="仿宋_GB2312"/>
                <w:color w:val="auto"/>
                <w:szCs w:val="21"/>
                <w:lang w:val="en-US" w:eastAsia="zh-CN"/>
              </w:rPr>
              <w:t>2000</w:t>
            </w:r>
          </w:p>
        </w:tc>
        <w:tc>
          <w:tcPr>
            <w:tcW w:w="498" w:type="pct"/>
            <w:vMerge w:val="restart"/>
            <w:shd w:val="clear" w:color="auto" w:fill="auto"/>
            <w:vAlign w:val="center"/>
          </w:tcPr>
          <w:p w14:paraId="4BE04F5B">
            <w:pPr>
              <w:keepNext w:val="0"/>
              <w:keepLines w:val="0"/>
              <w:widowControl/>
              <w:suppressLineNumbers w:val="0"/>
              <w:jc w:val="center"/>
              <w:textAlignment w:val="bottom"/>
              <w:rPr>
                <w:rFonts w:hint="eastAsia" w:eastAsia="仿宋_GB2312"/>
                <w:color w:val="auto"/>
                <w:kern w:val="0"/>
                <w:szCs w:val="21"/>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2610</w:t>
            </w:r>
          </w:p>
        </w:tc>
        <w:tc>
          <w:tcPr>
            <w:tcW w:w="820" w:type="pct"/>
            <w:shd w:val="clear" w:color="auto" w:fill="auto"/>
            <w:vAlign w:val="center"/>
          </w:tcPr>
          <w:p w14:paraId="09AEC219">
            <w:pPr>
              <w:widowControl/>
              <w:jc w:val="center"/>
              <w:textAlignment w:val="center"/>
              <w:rPr>
                <w:rFonts w:hint="eastAsia" w:ascii="Times New Roman" w:hAnsi="Times New Roman" w:eastAsia="仿宋_GB2312" w:cs="Times New Roman"/>
                <w:b/>
                <w:bCs/>
                <w:color w:val="auto"/>
                <w:kern w:val="0"/>
                <w:sz w:val="21"/>
                <w:szCs w:val="21"/>
                <w:lang w:val="en-US" w:eastAsia="zh-CN" w:bidi="ar"/>
              </w:rPr>
            </w:pPr>
            <w:r>
              <w:rPr>
                <w:rFonts w:hint="eastAsia" w:eastAsia="仿宋_GB2312"/>
                <w:color w:val="auto"/>
                <w:kern w:val="0"/>
                <w:szCs w:val="21"/>
                <w:lang w:val="en-US" w:eastAsia="zh-CN" w:bidi="ar"/>
              </w:rPr>
              <w:t>乙醇</w:t>
            </w:r>
          </w:p>
        </w:tc>
        <w:tc>
          <w:tcPr>
            <w:tcW w:w="380" w:type="pct"/>
            <w:shd w:val="clear" w:color="auto" w:fill="auto"/>
            <w:vAlign w:val="center"/>
          </w:tcPr>
          <w:p w14:paraId="01607470">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5.426</w:t>
            </w:r>
          </w:p>
        </w:tc>
        <w:tc>
          <w:tcPr>
            <w:tcW w:w="445" w:type="pct"/>
            <w:shd w:val="clear" w:color="auto" w:fill="auto"/>
            <w:vAlign w:val="center"/>
          </w:tcPr>
          <w:p w14:paraId="202A8B62">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ascii="Times New Roman" w:hAnsi="Times New Roman" w:eastAsia="仿宋_GB2312" w:cs="Times New Roman"/>
                <w:color w:val="auto"/>
                <w:kern w:val="0"/>
                <w:szCs w:val="21"/>
                <w:lang w:val="en-US" w:eastAsia="zh-CN" w:bidi="ar"/>
              </w:rPr>
              <w:t>14.163</w:t>
            </w:r>
          </w:p>
        </w:tc>
        <w:tc>
          <w:tcPr>
            <w:tcW w:w="630" w:type="pct"/>
            <w:vMerge w:val="restart"/>
            <w:shd w:val="clear" w:color="auto" w:fill="auto"/>
            <w:vAlign w:val="center"/>
          </w:tcPr>
          <w:p w14:paraId="2EF52B12">
            <w:pPr>
              <w:jc w:val="center"/>
              <w:rPr>
                <w:rFonts w:ascii="Times New Roman" w:hAnsi="Times New Roman" w:eastAsia="仿宋_GB2312" w:cs="Times New Roman"/>
                <w:color w:val="auto"/>
                <w:kern w:val="2"/>
                <w:sz w:val="21"/>
                <w:szCs w:val="21"/>
                <w:lang w:val="en-US" w:eastAsia="zh-CN" w:bidi="ar-SA"/>
              </w:rPr>
            </w:pPr>
            <w:r>
              <w:rPr>
                <w:rFonts w:hint="eastAsia" w:eastAsia="仿宋_GB2312"/>
                <w:color w:val="auto"/>
                <w:szCs w:val="21"/>
              </w:rPr>
              <w:t>冷凝+酸吸收+碱吸收+水洗+活性炭吸附/脱附</w:t>
            </w:r>
          </w:p>
        </w:tc>
        <w:tc>
          <w:tcPr>
            <w:tcW w:w="292" w:type="pct"/>
            <w:vMerge w:val="restart"/>
            <w:shd w:val="clear" w:color="auto" w:fill="auto"/>
            <w:vAlign w:val="center"/>
          </w:tcPr>
          <w:p w14:paraId="5B4D6F83">
            <w:pPr>
              <w:jc w:val="center"/>
              <w:rPr>
                <w:rFonts w:ascii="Times New Roman" w:hAnsi="Times New Roman" w:eastAsia="仿宋_GB2312" w:cs="Times New Roman"/>
                <w:color w:val="auto"/>
                <w:kern w:val="2"/>
                <w:sz w:val="21"/>
                <w:szCs w:val="21"/>
                <w:lang w:val="en-US" w:eastAsia="zh-CN" w:bidi="ar-SA"/>
              </w:rPr>
            </w:pPr>
            <w:r>
              <w:rPr>
                <w:rFonts w:hint="eastAsia" w:eastAsia="仿宋_GB2312"/>
                <w:color w:val="auto"/>
              </w:rPr>
              <w:t>DA005</w:t>
            </w:r>
          </w:p>
        </w:tc>
      </w:tr>
      <w:tr w14:paraId="528CFE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0FF48956">
            <w:pPr>
              <w:jc w:val="center"/>
              <w:rPr>
                <w:rFonts w:eastAsia="仿宋_GB2312"/>
                <w:color w:val="auto"/>
                <w:szCs w:val="21"/>
              </w:rPr>
            </w:pPr>
          </w:p>
        </w:tc>
        <w:tc>
          <w:tcPr>
            <w:tcW w:w="358" w:type="pct"/>
            <w:vMerge w:val="continue"/>
            <w:vAlign w:val="center"/>
          </w:tcPr>
          <w:p w14:paraId="76221C92">
            <w:pPr>
              <w:jc w:val="center"/>
              <w:rPr>
                <w:rFonts w:eastAsia="仿宋_GB2312"/>
                <w:color w:val="auto"/>
                <w:szCs w:val="21"/>
              </w:rPr>
            </w:pPr>
          </w:p>
        </w:tc>
        <w:tc>
          <w:tcPr>
            <w:tcW w:w="418" w:type="pct"/>
            <w:vMerge w:val="continue"/>
            <w:vAlign w:val="center"/>
          </w:tcPr>
          <w:p w14:paraId="4CC77542">
            <w:pPr>
              <w:jc w:val="center"/>
              <w:rPr>
                <w:rFonts w:eastAsia="仿宋_GB2312"/>
                <w:color w:val="auto"/>
                <w:szCs w:val="21"/>
              </w:rPr>
            </w:pPr>
          </w:p>
        </w:tc>
        <w:tc>
          <w:tcPr>
            <w:tcW w:w="446" w:type="pct"/>
            <w:vMerge w:val="continue"/>
            <w:vAlign w:val="center"/>
          </w:tcPr>
          <w:p w14:paraId="7E1E98CA">
            <w:pPr>
              <w:jc w:val="center"/>
              <w:rPr>
                <w:rFonts w:eastAsia="仿宋_GB2312"/>
                <w:color w:val="auto"/>
                <w:szCs w:val="21"/>
              </w:rPr>
            </w:pPr>
          </w:p>
        </w:tc>
        <w:tc>
          <w:tcPr>
            <w:tcW w:w="361" w:type="pct"/>
            <w:vMerge w:val="continue"/>
            <w:vAlign w:val="center"/>
          </w:tcPr>
          <w:p w14:paraId="6AC3DC29">
            <w:pPr>
              <w:jc w:val="center"/>
              <w:rPr>
                <w:rFonts w:eastAsia="仿宋_GB2312"/>
                <w:color w:val="auto"/>
                <w:szCs w:val="21"/>
              </w:rPr>
            </w:pPr>
          </w:p>
        </w:tc>
        <w:tc>
          <w:tcPr>
            <w:tcW w:w="498" w:type="pct"/>
            <w:vMerge w:val="continue"/>
            <w:shd w:val="clear" w:color="auto" w:fill="auto"/>
            <w:vAlign w:val="center"/>
          </w:tcPr>
          <w:p w14:paraId="64022F20">
            <w:pPr>
              <w:keepNext w:val="0"/>
              <w:keepLines w:val="0"/>
              <w:widowControl/>
              <w:suppressLineNumbers w:val="0"/>
              <w:jc w:val="center"/>
              <w:textAlignment w:val="bottom"/>
              <w:rPr>
                <w:rFonts w:hint="eastAsia" w:eastAsia="仿宋_GB2312"/>
                <w:color w:val="auto"/>
                <w:kern w:val="0"/>
                <w:szCs w:val="21"/>
                <w:lang w:val="en-US" w:eastAsia="zh-CN" w:bidi="ar"/>
              </w:rPr>
            </w:pPr>
          </w:p>
        </w:tc>
        <w:tc>
          <w:tcPr>
            <w:tcW w:w="820" w:type="pct"/>
            <w:shd w:val="clear" w:color="auto" w:fill="auto"/>
            <w:vAlign w:val="center"/>
          </w:tcPr>
          <w:p w14:paraId="5806A077">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甲醇</w:t>
            </w:r>
          </w:p>
        </w:tc>
        <w:tc>
          <w:tcPr>
            <w:tcW w:w="380" w:type="pct"/>
            <w:shd w:val="clear" w:color="auto" w:fill="auto"/>
            <w:vAlign w:val="center"/>
          </w:tcPr>
          <w:p w14:paraId="5573AC7B">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0.000</w:t>
            </w:r>
            <w:r>
              <w:rPr>
                <w:rFonts w:hint="eastAsia" w:ascii="Times New Roman" w:hAnsi="Times New Roman" w:eastAsia="宋体" w:cs="Times New Roman"/>
                <w:i w:val="0"/>
                <w:iCs w:val="0"/>
                <w:color w:val="auto"/>
                <w:kern w:val="0"/>
                <w:sz w:val="21"/>
                <w:szCs w:val="21"/>
                <w:u w:val="none"/>
                <w:lang w:val="en-US" w:eastAsia="zh-CN" w:bidi="ar"/>
              </w:rPr>
              <w:t>8</w:t>
            </w:r>
          </w:p>
        </w:tc>
        <w:tc>
          <w:tcPr>
            <w:tcW w:w="445" w:type="pct"/>
            <w:shd w:val="clear" w:color="auto" w:fill="auto"/>
            <w:vAlign w:val="center"/>
          </w:tcPr>
          <w:p w14:paraId="224D11DC">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ascii="Times New Roman" w:hAnsi="Times New Roman" w:eastAsia="仿宋_GB2312" w:cs="Times New Roman"/>
                <w:color w:val="auto"/>
                <w:kern w:val="0"/>
                <w:szCs w:val="21"/>
                <w:lang w:val="en-US" w:eastAsia="zh-CN" w:bidi="ar"/>
              </w:rPr>
              <w:t>0.00198</w:t>
            </w:r>
          </w:p>
        </w:tc>
        <w:tc>
          <w:tcPr>
            <w:tcW w:w="630" w:type="pct"/>
            <w:vMerge w:val="continue"/>
            <w:vAlign w:val="center"/>
          </w:tcPr>
          <w:p w14:paraId="1162F056">
            <w:pPr>
              <w:jc w:val="center"/>
              <w:rPr>
                <w:rFonts w:eastAsia="仿宋_GB2312"/>
                <w:color w:val="auto"/>
                <w:szCs w:val="21"/>
              </w:rPr>
            </w:pPr>
          </w:p>
        </w:tc>
        <w:tc>
          <w:tcPr>
            <w:tcW w:w="292" w:type="pct"/>
            <w:vMerge w:val="continue"/>
            <w:vAlign w:val="center"/>
          </w:tcPr>
          <w:p w14:paraId="6E91ED1F">
            <w:pPr>
              <w:jc w:val="center"/>
              <w:rPr>
                <w:rFonts w:eastAsia="仿宋_GB2312"/>
                <w:color w:val="auto"/>
                <w:szCs w:val="21"/>
              </w:rPr>
            </w:pPr>
          </w:p>
        </w:tc>
      </w:tr>
      <w:tr w14:paraId="4D95E3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restart"/>
            <w:vAlign w:val="center"/>
          </w:tcPr>
          <w:p w14:paraId="3B03676C">
            <w:pPr>
              <w:jc w:val="center"/>
              <w:rPr>
                <w:rFonts w:eastAsia="仿宋_GB2312"/>
                <w:color w:val="auto"/>
                <w:szCs w:val="21"/>
              </w:rPr>
            </w:pPr>
            <w:r>
              <w:rPr>
                <w:rFonts w:eastAsia="仿宋_GB2312"/>
                <w:color w:val="auto"/>
                <w:szCs w:val="21"/>
              </w:rPr>
              <w:t>B-7车间</w:t>
            </w:r>
          </w:p>
        </w:tc>
        <w:tc>
          <w:tcPr>
            <w:tcW w:w="358" w:type="pct"/>
            <w:vMerge w:val="restart"/>
            <w:vAlign w:val="center"/>
          </w:tcPr>
          <w:p w14:paraId="36269981">
            <w:pPr>
              <w:jc w:val="center"/>
              <w:rPr>
                <w:rFonts w:eastAsia="仿宋_GB2312"/>
                <w:color w:val="auto"/>
                <w:szCs w:val="21"/>
              </w:rPr>
            </w:pPr>
            <w:r>
              <w:rPr>
                <w:rFonts w:eastAsia="仿宋_GB2312"/>
                <w:color w:val="auto"/>
                <w:szCs w:val="21"/>
              </w:rPr>
              <w:t>丙二醇单甲醚</w:t>
            </w:r>
          </w:p>
        </w:tc>
        <w:tc>
          <w:tcPr>
            <w:tcW w:w="418" w:type="pct"/>
            <w:vMerge w:val="restart"/>
            <w:vAlign w:val="center"/>
          </w:tcPr>
          <w:p w14:paraId="28A394F2">
            <w:pPr>
              <w:jc w:val="center"/>
              <w:rPr>
                <w:rFonts w:eastAsia="仿宋_GB2312"/>
                <w:color w:val="auto"/>
                <w:szCs w:val="21"/>
              </w:rPr>
            </w:pPr>
            <w:r>
              <w:rPr>
                <w:rFonts w:eastAsia="仿宋_GB2312"/>
                <w:color w:val="auto"/>
                <w:kern w:val="0"/>
                <w:szCs w:val="21"/>
                <w:lang w:bidi="ar"/>
              </w:rPr>
              <w:t>G</w:t>
            </w:r>
            <w:r>
              <w:rPr>
                <w:rFonts w:hint="eastAsia" w:eastAsia="仿宋_GB2312"/>
                <w:color w:val="auto"/>
                <w:kern w:val="0"/>
                <w:szCs w:val="21"/>
                <w:lang w:val="en-US" w:eastAsia="zh-CN" w:bidi="ar"/>
              </w:rPr>
              <w:t>3</w:t>
            </w:r>
            <w:r>
              <w:rPr>
                <w:rFonts w:eastAsia="仿宋_GB2312"/>
                <w:color w:val="auto"/>
                <w:kern w:val="0"/>
                <w:szCs w:val="21"/>
                <w:lang w:bidi="ar"/>
              </w:rPr>
              <w:t>-</w:t>
            </w:r>
            <w:r>
              <w:rPr>
                <w:rFonts w:hint="eastAsia" w:eastAsia="仿宋_GB2312"/>
                <w:color w:val="auto"/>
                <w:kern w:val="0"/>
                <w:szCs w:val="21"/>
                <w:lang w:val="en-US" w:eastAsia="zh-CN" w:bidi="ar"/>
              </w:rPr>
              <w:t>6</w:t>
            </w:r>
            <w:r>
              <w:rPr>
                <w:rFonts w:eastAsia="仿宋_GB2312"/>
                <w:color w:val="auto"/>
                <w:kern w:val="0"/>
                <w:szCs w:val="21"/>
                <w:lang w:bidi="ar"/>
              </w:rPr>
              <w:t>-1</w:t>
            </w:r>
          </w:p>
        </w:tc>
        <w:tc>
          <w:tcPr>
            <w:tcW w:w="446" w:type="pct"/>
            <w:vMerge w:val="restart"/>
            <w:vAlign w:val="center"/>
          </w:tcPr>
          <w:p w14:paraId="4530EEC8">
            <w:pPr>
              <w:jc w:val="center"/>
              <w:rPr>
                <w:rFonts w:eastAsia="仿宋_GB2312"/>
                <w:color w:val="auto"/>
                <w:szCs w:val="21"/>
              </w:rPr>
            </w:pPr>
            <w:r>
              <w:rPr>
                <w:rFonts w:eastAsia="仿宋_GB2312"/>
                <w:color w:val="auto"/>
                <w:kern w:val="0"/>
                <w:szCs w:val="21"/>
                <w:lang w:bidi="ar"/>
              </w:rPr>
              <w:t>投料废气</w:t>
            </w:r>
          </w:p>
        </w:tc>
        <w:tc>
          <w:tcPr>
            <w:tcW w:w="361" w:type="pct"/>
            <w:vMerge w:val="restart"/>
            <w:vAlign w:val="center"/>
          </w:tcPr>
          <w:p w14:paraId="4A3770B0">
            <w:pPr>
              <w:jc w:val="center"/>
              <w:rPr>
                <w:rFonts w:hint="default" w:eastAsia="仿宋_GB2312"/>
                <w:color w:val="auto"/>
                <w:szCs w:val="21"/>
                <w:lang w:val="en-US" w:eastAsia="zh-CN"/>
              </w:rPr>
            </w:pPr>
            <w:r>
              <w:rPr>
                <w:rFonts w:hint="eastAsia" w:eastAsia="仿宋_GB2312"/>
                <w:color w:val="auto"/>
                <w:szCs w:val="21"/>
                <w:lang w:val="en-US" w:eastAsia="zh-CN"/>
              </w:rPr>
              <w:t>2000</w:t>
            </w:r>
          </w:p>
        </w:tc>
        <w:tc>
          <w:tcPr>
            <w:tcW w:w="498" w:type="pct"/>
            <w:vMerge w:val="restart"/>
            <w:vAlign w:val="center"/>
          </w:tcPr>
          <w:p w14:paraId="081523C8">
            <w:pPr>
              <w:keepNext w:val="0"/>
              <w:keepLines w:val="0"/>
              <w:widowControl/>
              <w:suppressLineNumbers w:val="0"/>
              <w:jc w:val="center"/>
              <w:textAlignment w:val="bottom"/>
              <w:rPr>
                <w:rFonts w:hint="default" w:eastAsia="仿宋_GB2312"/>
                <w:color w:val="auto"/>
                <w:kern w:val="0"/>
                <w:szCs w:val="21"/>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336</w:t>
            </w:r>
          </w:p>
        </w:tc>
        <w:tc>
          <w:tcPr>
            <w:tcW w:w="820" w:type="pct"/>
            <w:vAlign w:val="center"/>
          </w:tcPr>
          <w:p w14:paraId="3AAD1329">
            <w:pPr>
              <w:widowControl/>
              <w:jc w:val="center"/>
              <w:textAlignment w:val="center"/>
              <w:rPr>
                <w:rFonts w:eastAsia="仿宋_GB2312"/>
                <w:color w:val="auto"/>
                <w:kern w:val="0"/>
                <w:szCs w:val="21"/>
                <w:lang w:bidi="ar"/>
              </w:rPr>
            </w:pPr>
            <w:r>
              <w:rPr>
                <w:rFonts w:hint="default" w:eastAsia="仿宋_GB2312"/>
                <w:color w:val="auto"/>
                <w:kern w:val="0"/>
                <w:szCs w:val="21"/>
                <w:lang w:val="en-US" w:eastAsia="zh-CN" w:bidi="ar"/>
              </w:rPr>
              <w:t>丙二醇单甲醚</w:t>
            </w:r>
          </w:p>
        </w:tc>
        <w:tc>
          <w:tcPr>
            <w:tcW w:w="380" w:type="pct"/>
            <w:shd w:val="clear" w:color="auto" w:fill="auto"/>
            <w:vAlign w:val="center"/>
          </w:tcPr>
          <w:p w14:paraId="7ED003A2">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3.172</w:t>
            </w:r>
          </w:p>
        </w:tc>
        <w:tc>
          <w:tcPr>
            <w:tcW w:w="445" w:type="pct"/>
            <w:shd w:val="clear" w:color="auto" w:fill="auto"/>
            <w:vAlign w:val="center"/>
          </w:tcPr>
          <w:p w14:paraId="16E1ABCF">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ascii="Times New Roman" w:hAnsi="Times New Roman" w:eastAsia="仿宋_GB2312" w:cs="Times New Roman"/>
                <w:color w:val="auto"/>
                <w:kern w:val="0"/>
                <w:szCs w:val="21"/>
                <w:lang w:val="en-US" w:eastAsia="zh-CN" w:bidi="ar"/>
              </w:rPr>
              <w:t>1.066</w:t>
            </w:r>
          </w:p>
        </w:tc>
        <w:tc>
          <w:tcPr>
            <w:tcW w:w="630" w:type="pct"/>
            <w:vMerge w:val="continue"/>
            <w:shd w:val="clear" w:color="auto" w:fill="auto"/>
            <w:vAlign w:val="center"/>
          </w:tcPr>
          <w:p w14:paraId="7A8131F1">
            <w:pPr>
              <w:jc w:val="center"/>
              <w:rPr>
                <w:rFonts w:ascii="Times New Roman" w:hAnsi="Times New Roman" w:eastAsia="仿宋_GB2312" w:cs="Times New Roman"/>
                <w:color w:val="auto"/>
                <w:kern w:val="2"/>
                <w:sz w:val="21"/>
                <w:szCs w:val="21"/>
                <w:lang w:val="en-US" w:eastAsia="zh-CN" w:bidi="ar-SA"/>
              </w:rPr>
            </w:pPr>
          </w:p>
        </w:tc>
        <w:tc>
          <w:tcPr>
            <w:tcW w:w="292" w:type="pct"/>
            <w:vMerge w:val="continue"/>
            <w:shd w:val="clear" w:color="auto" w:fill="auto"/>
            <w:vAlign w:val="center"/>
          </w:tcPr>
          <w:p w14:paraId="14AA11A4">
            <w:pPr>
              <w:jc w:val="center"/>
              <w:rPr>
                <w:rFonts w:ascii="Times New Roman" w:hAnsi="Times New Roman" w:eastAsia="仿宋_GB2312" w:cs="Times New Roman"/>
                <w:color w:val="auto"/>
                <w:kern w:val="2"/>
                <w:sz w:val="21"/>
                <w:szCs w:val="21"/>
                <w:lang w:val="en-US" w:eastAsia="zh-CN" w:bidi="ar-SA"/>
              </w:rPr>
            </w:pPr>
          </w:p>
        </w:tc>
      </w:tr>
      <w:tr w14:paraId="176731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32FBE38F">
            <w:pPr>
              <w:jc w:val="center"/>
              <w:rPr>
                <w:rFonts w:eastAsia="仿宋_GB2312"/>
                <w:color w:val="auto"/>
                <w:szCs w:val="21"/>
              </w:rPr>
            </w:pPr>
          </w:p>
        </w:tc>
        <w:tc>
          <w:tcPr>
            <w:tcW w:w="358" w:type="pct"/>
            <w:vMerge w:val="continue"/>
            <w:vAlign w:val="center"/>
          </w:tcPr>
          <w:p w14:paraId="67F0ED5F">
            <w:pPr>
              <w:jc w:val="center"/>
              <w:rPr>
                <w:rFonts w:eastAsia="仿宋_GB2312"/>
                <w:color w:val="auto"/>
                <w:szCs w:val="21"/>
              </w:rPr>
            </w:pPr>
          </w:p>
        </w:tc>
        <w:tc>
          <w:tcPr>
            <w:tcW w:w="418" w:type="pct"/>
            <w:vMerge w:val="continue"/>
            <w:vAlign w:val="center"/>
          </w:tcPr>
          <w:p w14:paraId="6592494D">
            <w:pPr>
              <w:jc w:val="center"/>
              <w:rPr>
                <w:rFonts w:eastAsia="仿宋_GB2312"/>
                <w:color w:val="auto"/>
                <w:szCs w:val="21"/>
              </w:rPr>
            </w:pPr>
          </w:p>
        </w:tc>
        <w:tc>
          <w:tcPr>
            <w:tcW w:w="446" w:type="pct"/>
            <w:vMerge w:val="continue"/>
            <w:vAlign w:val="center"/>
          </w:tcPr>
          <w:p w14:paraId="2FAA5297">
            <w:pPr>
              <w:jc w:val="center"/>
              <w:rPr>
                <w:rFonts w:eastAsia="仿宋_GB2312"/>
                <w:color w:val="auto"/>
                <w:szCs w:val="21"/>
              </w:rPr>
            </w:pPr>
          </w:p>
        </w:tc>
        <w:tc>
          <w:tcPr>
            <w:tcW w:w="361" w:type="pct"/>
            <w:vMerge w:val="continue"/>
            <w:vAlign w:val="center"/>
          </w:tcPr>
          <w:p w14:paraId="008D0428">
            <w:pPr>
              <w:jc w:val="center"/>
              <w:rPr>
                <w:rFonts w:eastAsia="仿宋_GB2312"/>
                <w:color w:val="auto"/>
                <w:szCs w:val="21"/>
              </w:rPr>
            </w:pPr>
          </w:p>
        </w:tc>
        <w:tc>
          <w:tcPr>
            <w:tcW w:w="498" w:type="pct"/>
            <w:vMerge w:val="continue"/>
            <w:vAlign w:val="center"/>
          </w:tcPr>
          <w:p w14:paraId="2E302859">
            <w:pPr>
              <w:keepNext w:val="0"/>
              <w:keepLines w:val="0"/>
              <w:widowControl/>
              <w:suppressLineNumbers w:val="0"/>
              <w:jc w:val="center"/>
              <w:textAlignment w:val="bottom"/>
              <w:rPr>
                <w:rFonts w:hint="eastAsia" w:eastAsia="仿宋_GB2312"/>
                <w:color w:val="auto"/>
                <w:kern w:val="0"/>
                <w:szCs w:val="21"/>
                <w:lang w:val="en-US" w:eastAsia="zh-CN" w:bidi="ar"/>
              </w:rPr>
            </w:pPr>
          </w:p>
        </w:tc>
        <w:tc>
          <w:tcPr>
            <w:tcW w:w="820" w:type="pct"/>
            <w:vAlign w:val="center"/>
          </w:tcPr>
          <w:p w14:paraId="628D775A">
            <w:pPr>
              <w:widowControl/>
              <w:jc w:val="center"/>
              <w:textAlignment w:val="center"/>
              <w:rPr>
                <w:rFonts w:eastAsia="仿宋_GB2312"/>
                <w:color w:val="auto"/>
                <w:kern w:val="0"/>
                <w:szCs w:val="21"/>
                <w:lang w:bidi="ar"/>
              </w:rPr>
            </w:pPr>
            <w:r>
              <w:rPr>
                <w:rFonts w:hint="eastAsia" w:eastAsia="仿宋_GB2312"/>
                <w:color w:val="auto"/>
                <w:kern w:val="0"/>
                <w:szCs w:val="21"/>
                <w:lang w:val="en-US" w:eastAsia="zh-CN" w:bidi="ar"/>
              </w:rPr>
              <w:t>2-甲氧基-1-丙醇</w:t>
            </w:r>
          </w:p>
        </w:tc>
        <w:tc>
          <w:tcPr>
            <w:tcW w:w="380" w:type="pct"/>
            <w:shd w:val="clear" w:color="auto" w:fill="auto"/>
            <w:vAlign w:val="center"/>
          </w:tcPr>
          <w:p w14:paraId="3B895AFF">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0.008</w:t>
            </w:r>
          </w:p>
        </w:tc>
        <w:tc>
          <w:tcPr>
            <w:tcW w:w="445" w:type="pct"/>
            <w:shd w:val="clear" w:color="auto" w:fill="auto"/>
            <w:vAlign w:val="center"/>
          </w:tcPr>
          <w:p w14:paraId="6D51FEA9">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ascii="Times New Roman" w:hAnsi="Times New Roman" w:eastAsia="仿宋_GB2312" w:cs="Times New Roman"/>
                <w:color w:val="auto"/>
                <w:kern w:val="0"/>
                <w:szCs w:val="21"/>
                <w:lang w:val="en-US" w:eastAsia="zh-CN" w:bidi="ar"/>
              </w:rPr>
              <w:t>0.0029</w:t>
            </w:r>
          </w:p>
        </w:tc>
        <w:tc>
          <w:tcPr>
            <w:tcW w:w="630" w:type="pct"/>
            <w:vMerge w:val="continue"/>
            <w:vAlign w:val="center"/>
          </w:tcPr>
          <w:p w14:paraId="2F091F9A">
            <w:pPr>
              <w:jc w:val="center"/>
              <w:rPr>
                <w:rFonts w:eastAsia="仿宋_GB2312"/>
                <w:color w:val="auto"/>
                <w:szCs w:val="21"/>
              </w:rPr>
            </w:pPr>
          </w:p>
        </w:tc>
        <w:tc>
          <w:tcPr>
            <w:tcW w:w="292" w:type="pct"/>
            <w:vMerge w:val="continue"/>
            <w:vAlign w:val="center"/>
          </w:tcPr>
          <w:p w14:paraId="12973D34">
            <w:pPr>
              <w:jc w:val="center"/>
              <w:rPr>
                <w:rFonts w:eastAsia="仿宋_GB2312"/>
                <w:color w:val="auto"/>
                <w:szCs w:val="21"/>
              </w:rPr>
            </w:pPr>
          </w:p>
        </w:tc>
      </w:tr>
      <w:tr w14:paraId="7188A18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54A93659">
            <w:pPr>
              <w:jc w:val="center"/>
              <w:rPr>
                <w:rFonts w:eastAsia="仿宋_GB2312"/>
                <w:color w:val="auto"/>
                <w:szCs w:val="21"/>
              </w:rPr>
            </w:pPr>
          </w:p>
        </w:tc>
        <w:tc>
          <w:tcPr>
            <w:tcW w:w="358" w:type="pct"/>
            <w:vMerge w:val="continue"/>
            <w:vAlign w:val="center"/>
          </w:tcPr>
          <w:p w14:paraId="3B6E1542">
            <w:pPr>
              <w:jc w:val="center"/>
              <w:rPr>
                <w:rFonts w:eastAsia="仿宋_GB2312"/>
                <w:color w:val="auto"/>
                <w:szCs w:val="21"/>
              </w:rPr>
            </w:pPr>
          </w:p>
        </w:tc>
        <w:tc>
          <w:tcPr>
            <w:tcW w:w="418" w:type="pct"/>
            <w:vMerge w:val="continue"/>
            <w:vAlign w:val="center"/>
          </w:tcPr>
          <w:p w14:paraId="2896FE07">
            <w:pPr>
              <w:jc w:val="center"/>
              <w:rPr>
                <w:rFonts w:eastAsia="仿宋_GB2312"/>
                <w:color w:val="auto"/>
                <w:szCs w:val="21"/>
              </w:rPr>
            </w:pPr>
          </w:p>
        </w:tc>
        <w:tc>
          <w:tcPr>
            <w:tcW w:w="446" w:type="pct"/>
            <w:vMerge w:val="continue"/>
            <w:vAlign w:val="center"/>
          </w:tcPr>
          <w:p w14:paraId="4A71A3D2">
            <w:pPr>
              <w:jc w:val="center"/>
              <w:rPr>
                <w:rFonts w:eastAsia="仿宋_GB2312"/>
                <w:color w:val="auto"/>
                <w:szCs w:val="21"/>
              </w:rPr>
            </w:pPr>
          </w:p>
        </w:tc>
        <w:tc>
          <w:tcPr>
            <w:tcW w:w="361" w:type="pct"/>
            <w:vMerge w:val="continue"/>
            <w:vAlign w:val="center"/>
          </w:tcPr>
          <w:p w14:paraId="7FF10391">
            <w:pPr>
              <w:jc w:val="center"/>
              <w:rPr>
                <w:rFonts w:eastAsia="仿宋_GB2312"/>
                <w:color w:val="auto"/>
                <w:szCs w:val="21"/>
              </w:rPr>
            </w:pPr>
          </w:p>
        </w:tc>
        <w:tc>
          <w:tcPr>
            <w:tcW w:w="498" w:type="pct"/>
            <w:vMerge w:val="continue"/>
            <w:vAlign w:val="center"/>
          </w:tcPr>
          <w:p w14:paraId="3C654C42">
            <w:pPr>
              <w:keepNext w:val="0"/>
              <w:keepLines w:val="0"/>
              <w:widowControl/>
              <w:suppressLineNumbers w:val="0"/>
              <w:jc w:val="center"/>
              <w:textAlignment w:val="bottom"/>
              <w:rPr>
                <w:rFonts w:eastAsia="仿宋_GB2312"/>
                <w:color w:val="auto"/>
                <w:kern w:val="0"/>
                <w:szCs w:val="21"/>
                <w:lang w:bidi="ar"/>
              </w:rPr>
            </w:pPr>
          </w:p>
        </w:tc>
        <w:tc>
          <w:tcPr>
            <w:tcW w:w="820" w:type="pct"/>
            <w:vAlign w:val="center"/>
          </w:tcPr>
          <w:p w14:paraId="1E62D3FE">
            <w:pPr>
              <w:widowControl/>
              <w:jc w:val="center"/>
              <w:textAlignment w:val="center"/>
              <w:rPr>
                <w:rFonts w:eastAsia="仿宋_GB2312"/>
                <w:color w:val="auto"/>
                <w:kern w:val="0"/>
                <w:szCs w:val="21"/>
                <w:lang w:bidi="ar"/>
              </w:rPr>
            </w:pPr>
            <w:r>
              <w:rPr>
                <w:rFonts w:eastAsia="仿宋_GB2312"/>
                <w:color w:val="auto"/>
                <w:kern w:val="0"/>
                <w:szCs w:val="21"/>
                <w:lang w:bidi="ar"/>
              </w:rPr>
              <w:t>其他有机物</w:t>
            </w:r>
          </w:p>
        </w:tc>
        <w:tc>
          <w:tcPr>
            <w:tcW w:w="380" w:type="pct"/>
            <w:shd w:val="clear" w:color="auto" w:fill="auto"/>
            <w:vAlign w:val="center"/>
          </w:tcPr>
          <w:p w14:paraId="0512F55E">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0.044</w:t>
            </w:r>
          </w:p>
        </w:tc>
        <w:tc>
          <w:tcPr>
            <w:tcW w:w="445" w:type="pct"/>
            <w:shd w:val="clear" w:color="auto" w:fill="auto"/>
            <w:vAlign w:val="center"/>
          </w:tcPr>
          <w:p w14:paraId="6470AEE9">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ascii="Times New Roman" w:hAnsi="Times New Roman" w:eastAsia="仿宋_GB2312" w:cs="Times New Roman"/>
                <w:color w:val="auto"/>
                <w:kern w:val="0"/>
                <w:szCs w:val="21"/>
                <w:lang w:val="en-US" w:eastAsia="zh-CN" w:bidi="ar"/>
              </w:rPr>
              <w:t>0.0149</w:t>
            </w:r>
          </w:p>
        </w:tc>
        <w:tc>
          <w:tcPr>
            <w:tcW w:w="630" w:type="pct"/>
            <w:vMerge w:val="continue"/>
            <w:vAlign w:val="center"/>
          </w:tcPr>
          <w:p w14:paraId="037AAD96">
            <w:pPr>
              <w:jc w:val="center"/>
              <w:rPr>
                <w:rFonts w:eastAsia="仿宋_GB2312"/>
                <w:color w:val="auto"/>
                <w:szCs w:val="21"/>
              </w:rPr>
            </w:pPr>
          </w:p>
        </w:tc>
        <w:tc>
          <w:tcPr>
            <w:tcW w:w="292" w:type="pct"/>
            <w:vMerge w:val="continue"/>
            <w:vAlign w:val="center"/>
          </w:tcPr>
          <w:p w14:paraId="6BE6C55A">
            <w:pPr>
              <w:jc w:val="center"/>
              <w:rPr>
                <w:rFonts w:eastAsia="仿宋_GB2312"/>
                <w:color w:val="auto"/>
                <w:szCs w:val="21"/>
              </w:rPr>
            </w:pPr>
          </w:p>
        </w:tc>
      </w:tr>
      <w:tr w14:paraId="1B1DD3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2BEAE8C5">
            <w:pPr>
              <w:jc w:val="center"/>
              <w:rPr>
                <w:rFonts w:eastAsia="仿宋_GB2312"/>
                <w:color w:val="auto"/>
                <w:szCs w:val="21"/>
              </w:rPr>
            </w:pPr>
          </w:p>
        </w:tc>
        <w:tc>
          <w:tcPr>
            <w:tcW w:w="358" w:type="pct"/>
            <w:vMerge w:val="continue"/>
            <w:vAlign w:val="center"/>
          </w:tcPr>
          <w:p w14:paraId="2BD3622B">
            <w:pPr>
              <w:jc w:val="center"/>
              <w:rPr>
                <w:rFonts w:eastAsia="仿宋_GB2312"/>
                <w:color w:val="auto"/>
                <w:szCs w:val="21"/>
              </w:rPr>
            </w:pPr>
          </w:p>
        </w:tc>
        <w:tc>
          <w:tcPr>
            <w:tcW w:w="418" w:type="pct"/>
            <w:vMerge w:val="restart"/>
            <w:vAlign w:val="center"/>
          </w:tcPr>
          <w:p w14:paraId="701503AF">
            <w:pPr>
              <w:jc w:val="center"/>
              <w:rPr>
                <w:rFonts w:eastAsia="仿宋_GB2312"/>
                <w:color w:val="auto"/>
                <w:szCs w:val="21"/>
              </w:rPr>
            </w:pPr>
            <w:r>
              <w:rPr>
                <w:rFonts w:eastAsia="仿宋_GB2312"/>
                <w:color w:val="auto"/>
                <w:kern w:val="0"/>
                <w:szCs w:val="21"/>
                <w:lang w:bidi="ar"/>
              </w:rPr>
              <w:t>G</w:t>
            </w:r>
            <w:r>
              <w:rPr>
                <w:rFonts w:hint="eastAsia" w:eastAsia="仿宋_GB2312"/>
                <w:color w:val="auto"/>
                <w:kern w:val="0"/>
                <w:szCs w:val="21"/>
                <w:lang w:val="en-US" w:eastAsia="zh-CN" w:bidi="ar"/>
              </w:rPr>
              <w:t>3</w:t>
            </w:r>
            <w:r>
              <w:rPr>
                <w:rFonts w:eastAsia="仿宋_GB2312"/>
                <w:color w:val="auto"/>
                <w:kern w:val="0"/>
                <w:szCs w:val="21"/>
                <w:lang w:bidi="ar"/>
              </w:rPr>
              <w:t>-</w:t>
            </w:r>
            <w:r>
              <w:rPr>
                <w:rFonts w:hint="eastAsia" w:eastAsia="仿宋_GB2312"/>
                <w:color w:val="auto"/>
                <w:kern w:val="0"/>
                <w:szCs w:val="21"/>
                <w:lang w:val="en-US" w:eastAsia="zh-CN" w:bidi="ar"/>
              </w:rPr>
              <w:t>6</w:t>
            </w:r>
            <w:r>
              <w:rPr>
                <w:rFonts w:eastAsia="仿宋_GB2312"/>
                <w:color w:val="auto"/>
                <w:kern w:val="0"/>
                <w:szCs w:val="21"/>
                <w:lang w:bidi="ar"/>
              </w:rPr>
              <w:t>-2</w:t>
            </w:r>
          </w:p>
        </w:tc>
        <w:tc>
          <w:tcPr>
            <w:tcW w:w="446" w:type="pct"/>
            <w:vMerge w:val="restart"/>
            <w:vAlign w:val="center"/>
          </w:tcPr>
          <w:p w14:paraId="23A46F21">
            <w:pPr>
              <w:jc w:val="center"/>
              <w:rPr>
                <w:rFonts w:eastAsia="仿宋_GB2312"/>
                <w:color w:val="auto"/>
                <w:szCs w:val="21"/>
              </w:rPr>
            </w:pPr>
            <w:r>
              <w:rPr>
                <w:rFonts w:eastAsia="仿宋_GB2312"/>
                <w:color w:val="auto"/>
                <w:kern w:val="0"/>
                <w:szCs w:val="21"/>
                <w:lang w:bidi="ar"/>
              </w:rPr>
              <w:t>调节废气</w:t>
            </w:r>
          </w:p>
        </w:tc>
        <w:tc>
          <w:tcPr>
            <w:tcW w:w="361" w:type="pct"/>
            <w:vMerge w:val="restart"/>
            <w:vAlign w:val="center"/>
          </w:tcPr>
          <w:p w14:paraId="3F79A25C">
            <w:pPr>
              <w:jc w:val="center"/>
              <w:rPr>
                <w:rFonts w:eastAsia="仿宋_GB2312"/>
                <w:color w:val="auto"/>
                <w:szCs w:val="21"/>
              </w:rPr>
            </w:pPr>
            <w:r>
              <w:rPr>
                <w:rFonts w:hint="eastAsia" w:eastAsia="仿宋_GB2312"/>
                <w:color w:val="auto"/>
                <w:szCs w:val="21"/>
                <w:lang w:val="en-US" w:eastAsia="zh-CN"/>
              </w:rPr>
              <w:t>1</w:t>
            </w:r>
            <w:r>
              <w:rPr>
                <w:rFonts w:eastAsia="仿宋_GB2312"/>
                <w:color w:val="auto"/>
                <w:szCs w:val="21"/>
              </w:rPr>
              <w:t>00</w:t>
            </w:r>
          </w:p>
        </w:tc>
        <w:tc>
          <w:tcPr>
            <w:tcW w:w="498" w:type="pct"/>
            <w:vMerge w:val="restart"/>
            <w:vAlign w:val="center"/>
          </w:tcPr>
          <w:p w14:paraId="69BE768B">
            <w:pPr>
              <w:keepNext w:val="0"/>
              <w:keepLines w:val="0"/>
              <w:widowControl/>
              <w:suppressLineNumbers w:val="0"/>
              <w:jc w:val="center"/>
              <w:textAlignment w:val="bottom"/>
              <w:rPr>
                <w:rFonts w:hint="default" w:eastAsia="仿宋_GB2312"/>
                <w:color w:val="auto"/>
                <w:kern w:val="0"/>
                <w:szCs w:val="21"/>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336</w:t>
            </w:r>
          </w:p>
        </w:tc>
        <w:tc>
          <w:tcPr>
            <w:tcW w:w="820" w:type="pct"/>
            <w:vAlign w:val="center"/>
          </w:tcPr>
          <w:p w14:paraId="662FF9D6">
            <w:pPr>
              <w:widowControl/>
              <w:jc w:val="center"/>
              <w:textAlignment w:val="center"/>
              <w:rPr>
                <w:rFonts w:eastAsia="仿宋_GB2312"/>
                <w:color w:val="auto"/>
                <w:kern w:val="0"/>
                <w:szCs w:val="21"/>
                <w:lang w:bidi="ar"/>
              </w:rPr>
            </w:pPr>
            <w:r>
              <w:rPr>
                <w:rFonts w:hint="default" w:eastAsia="仿宋_GB2312"/>
                <w:color w:val="auto"/>
                <w:kern w:val="0"/>
                <w:szCs w:val="21"/>
                <w:lang w:val="en-US" w:eastAsia="zh-CN" w:bidi="ar"/>
              </w:rPr>
              <w:t>丙二醇单甲醚</w:t>
            </w:r>
          </w:p>
        </w:tc>
        <w:tc>
          <w:tcPr>
            <w:tcW w:w="380" w:type="pct"/>
            <w:shd w:val="clear" w:color="auto" w:fill="auto"/>
            <w:vAlign w:val="center"/>
          </w:tcPr>
          <w:p w14:paraId="44C3F0F9">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1.604</w:t>
            </w:r>
          </w:p>
        </w:tc>
        <w:tc>
          <w:tcPr>
            <w:tcW w:w="445" w:type="pct"/>
            <w:shd w:val="clear" w:color="auto" w:fill="auto"/>
            <w:vAlign w:val="center"/>
          </w:tcPr>
          <w:p w14:paraId="485AF2D9">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0.539</w:t>
            </w:r>
          </w:p>
        </w:tc>
        <w:tc>
          <w:tcPr>
            <w:tcW w:w="630" w:type="pct"/>
            <w:vMerge w:val="restart"/>
            <w:shd w:val="clear" w:color="auto" w:fill="auto"/>
            <w:vAlign w:val="center"/>
          </w:tcPr>
          <w:p w14:paraId="4EF54817">
            <w:pPr>
              <w:widowControl/>
              <w:jc w:val="center"/>
              <w:textAlignment w:val="center"/>
              <w:rPr>
                <w:rFonts w:ascii="Times New Roman" w:hAnsi="Times New Roman" w:eastAsia="仿宋_GB2312" w:cs="Times New Roman"/>
                <w:color w:val="auto"/>
                <w:kern w:val="2"/>
                <w:sz w:val="21"/>
                <w:szCs w:val="21"/>
                <w:lang w:val="en-US" w:eastAsia="zh-CN" w:bidi="ar-SA"/>
              </w:rPr>
            </w:pPr>
            <w:r>
              <w:rPr>
                <w:rFonts w:hint="eastAsia" w:eastAsia="仿宋_GB2312"/>
                <w:color w:val="auto"/>
                <w:szCs w:val="21"/>
              </w:rPr>
              <w:t>预处理（冷凝+稀酸吸收+碱吸收+水吸收+除雾）+</w:t>
            </w:r>
            <w:r>
              <w:rPr>
                <w:rFonts w:eastAsia="仿宋_GB2312"/>
                <w:color w:val="auto"/>
                <w:szCs w:val="21"/>
              </w:rPr>
              <w:t>焚烧</w:t>
            </w:r>
          </w:p>
        </w:tc>
        <w:tc>
          <w:tcPr>
            <w:tcW w:w="292" w:type="pct"/>
            <w:vMerge w:val="restart"/>
            <w:shd w:val="clear" w:color="auto" w:fill="auto"/>
            <w:vAlign w:val="center"/>
          </w:tcPr>
          <w:p w14:paraId="35B68210">
            <w:pPr>
              <w:widowControl/>
              <w:jc w:val="center"/>
              <w:textAlignment w:val="center"/>
              <w:rPr>
                <w:rFonts w:ascii="Times New Roman" w:hAnsi="Times New Roman" w:eastAsia="仿宋_GB2312" w:cs="Times New Roman"/>
                <w:color w:val="auto"/>
                <w:kern w:val="2"/>
                <w:sz w:val="21"/>
                <w:szCs w:val="21"/>
                <w:lang w:val="en-US" w:eastAsia="zh-CN" w:bidi="ar-SA"/>
              </w:rPr>
            </w:pPr>
            <w:r>
              <w:rPr>
                <w:rFonts w:hint="eastAsia" w:eastAsia="仿宋_GB2312"/>
                <w:color w:val="auto"/>
                <w:kern w:val="0"/>
                <w:szCs w:val="21"/>
                <w:lang w:bidi="ar"/>
              </w:rPr>
              <w:t>DA002</w:t>
            </w:r>
          </w:p>
        </w:tc>
      </w:tr>
      <w:tr w14:paraId="4DAE16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58BD9DEB">
            <w:pPr>
              <w:jc w:val="center"/>
              <w:rPr>
                <w:rFonts w:eastAsia="仿宋_GB2312"/>
                <w:color w:val="auto"/>
                <w:szCs w:val="21"/>
              </w:rPr>
            </w:pPr>
          </w:p>
        </w:tc>
        <w:tc>
          <w:tcPr>
            <w:tcW w:w="358" w:type="pct"/>
            <w:vMerge w:val="continue"/>
            <w:vAlign w:val="center"/>
          </w:tcPr>
          <w:p w14:paraId="78275A93">
            <w:pPr>
              <w:jc w:val="center"/>
              <w:rPr>
                <w:rFonts w:eastAsia="仿宋_GB2312"/>
                <w:color w:val="auto"/>
                <w:szCs w:val="21"/>
              </w:rPr>
            </w:pPr>
          </w:p>
        </w:tc>
        <w:tc>
          <w:tcPr>
            <w:tcW w:w="418" w:type="pct"/>
            <w:vMerge w:val="continue"/>
            <w:vAlign w:val="center"/>
          </w:tcPr>
          <w:p w14:paraId="4B7DABB7">
            <w:pPr>
              <w:jc w:val="center"/>
              <w:rPr>
                <w:rFonts w:eastAsia="仿宋_GB2312"/>
                <w:color w:val="auto"/>
                <w:szCs w:val="21"/>
              </w:rPr>
            </w:pPr>
          </w:p>
        </w:tc>
        <w:tc>
          <w:tcPr>
            <w:tcW w:w="446" w:type="pct"/>
            <w:vMerge w:val="continue"/>
            <w:vAlign w:val="center"/>
          </w:tcPr>
          <w:p w14:paraId="024AB120">
            <w:pPr>
              <w:jc w:val="center"/>
              <w:rPr>
                <w:rFonts w:eastAsia="仿宋_GB2312"/>
                <w:color w:val="auto"/>
                <w:szCs w:val="21"/>
              </w:rPr>
            </w:pPr>
          </w:p>
        </w:tc>
        <w:tc>
          <w:tcPr>
            <w:tcW w:w="361" w:type="pct"/>
            <w:vMerge w:val="continue"/>
            <w:vAlign w:val="center"/>
          </w:tcPr>
          <w:p w14:paraId="46C16CF4">
            <w:pPr>
              <w:jc w:val="center"/>
              <w:rPr>
                <w:rFonts w:eastAsia="仿宋_GB2312"/>
                <w:color w:val="auto"/>
                <w:szCs w:val="21"/>
              </w:rPr>
            </w:pPr>
          </w:p>
        </w:tc>
        <w:tc>
          <w:tcPr>
            <w:tcW w:w="498" w:type="pct"/>
            <w:vMerge w:val="continue"/>
            <w:vAlign w:val="center"/>
          </w:tcPr>
          <w:p w14:paraId="2CB095EC">
            <w:pPr>
              <w:keepNext w:val="0"/>
              <w:keepLines w:val="0"/>
              <w:widowControl/>
              <w:suppressLineNumbers w:val="0"/>
              <w:jc w:val="center"/>
              <w:textAlignment w:val="bottom"/>
              <w:rPr>
                <w:rFonts w:hint="eastAsia" w:eastAsia="仿宋_GB2312"/>
                <w:color w:val="auto"/>
                <w:kern w:val="0"/>
                <w:szCs w:val="21"/>
                <w:lang w:val="en-US" w:eastAsia="zh-CN" w:bidi="ar"/>
              </w:rPr>
            </w:pPr>
          </w:p>
        </w:tc>
        <w:tc>
          <w:tcPr>
            <w:tcW w:w="820" w:type="pct"/>
            <w:vAlign w:val="center"/>
          </w:tcPr>
          <w:p w14:paraId="4446C401">
            <w:pPr>
              <w:widowControl/>
              <w:jc w:val="center"/>
              <w:textAlignment w:val="center"/>
              <w:rPr>
                <w:rFonts w:eastAsia="仿宋_GB2312"/>
                <w:color w:val="auto"/>
                <w:kern w:val="0"/>
                <w:szCs w:val="21"/>
                <w:lang w:bidi="ar"/>
              </w:rPr>
            </w:pPr>
            <w:r>
              <w:rPr>
                <w:rFonts w:hint="eastAsia" w:eastAsia="仿宋_GB2312"/>
                <w:color w:val="auto"/>
                <w:kern w:val="0"/>
                <w:szCs w:val="21"/>
                <w:lang w:val="en-US" w:eastAsia="zh-CN" w:bidi="ar"/>
              </w:rPr>
              <w:t>2-甲氧基-1-丙醇</w:t>
            </w:r>
          </w:p>
        </w:tc>
        <w:tc>
          <w:tcPr>
            <w:tcW w:w="380" w:type="pct"/>
            <w:shd w:val="clear" w:color="auto" w:fill="auto"/>
            <w:vAlign w:val="center"/>
          </w:tcPr>
          <w:p w14:paraId="1C4BAA66">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0.00</w:t>
            </w:r>
            <w:r>
              <w:rPr>
                <w:rFonts w:hint="eastAsia" w:ascii="Times New Roman" w:hAnsi="Times New Roman" w:eastAsia="宋体" w:cs="Times New Roman"/>
                <w:i w:val="0"/>
                <w:iCs w:val="0"/>
                <w:color w:val="auto"/>
                <w:kern w:val="0"/>
                <w:sz w:val="21"/>
                <w:szCs w:val="21"/>
                <w:u w:val="none"/>
                <w:lang w:val="en-US" w:eastAsia="zh-CN" w:bidi="ar"/>
              </w:rPr>
              <w:t>6</w:t>
            </w:r>
          </w:p>
        </w:tc>
        <w:tc>
          <w:tcPr>
            <w:tcW w:w="445" w:type="pct"/>
            <w:shd w:val="clear" w:color="auto" w:fill="auto"/>
            <w:vAlign w:val="center"/>
          </w:tcPr>
          <w:p w14:paraId="292F7D6C">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0.002</w:t>
            </w:r>
          </w:p>
        </w:tc>
        <w:tc>
          <w:tcPr>
            <w:tcW w:w="630" w:type="pct"/>
            <w:vMerge w:val="continue"/>
            <w:vAlign w:val="center"/>
          </w:tcPr>
          <w:p w14:paraId="6F14CBA1">
            <w:pPr>
              <w:jc w:val="center"/>
              <w:rPr>
                <w:rFonts w:eastAsia="仿宋_GB2312"/>
                <w:color w:val="auto"/>
                <w:szCs w:val="21"/>
              </w:rPr>
            </w:pPr>
          </w:p>
        </w:tc>
        <w:tc>
          <w:tcPr>
            <w:tcW w:w="292" w:type="pct"/>
            <w:vMerge w:val="continue"/>
            <w:vAlign w:val="center"/>
          </w:tcPr>
          <w:p w14:paraId="37F182C5">
            <w:pPr>
              <w:jc w:val="center"/>
              <w:rPr>
                <w:rFonts w:eastAsia="仿宋_GB2312"/>
                <w:color w:val="auto"/>
                <w:szCs w:val="21"/>
              </w:rPr>
            </w:pPr>
          </w:p>
        </w:tc>
      </w:tr>
      <w:tr w14:paraId="507297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01B44A65">
            <w:pPr>
              <w:jc w:val="center"/>
              <w:rPr>
                <w:rFonts w:eastAsia="仿宋_GB2312"/>
                <w:color w:val="auto"/>
                <w:szCs w:val="21"/>
              </w:rPr>
            </w:pPr>
          </w:p>
        </w:tc>
        <w:tc>
          <w:tcPr>
            <w:tcW w:w="358" w:type="pct"/>
            <w:vMerge w:val="continue"/>
            <w:vAlign w:val="center"/>
          </w:tcPr>
          <w:p w14:paraId="5B4EB2CE">
            <w:pPr>
              <w:jc w:val="center"/>
              <w:rPr>
                <w:rFonts w:eastAsia="仿宋_GB2312"/>
                <w:color w:val="auto"/>
                <w:szCs w:val="21"/>
              </w:rPr>
            </w:pPr>
          </w:p>
        </w:tc>
        <w:tc>
          <w:tcPr>
            <w:tcW w:w="418" w:type="pct"/>
            <w:vMerge w:val="continue"/>
            <w:vAlign w:val="center"/>
          </w:tcPr>
          <w:p w14:paraId="25BEC8BB">
            <w:pPr>
              <w:jc w:val="center"/>
              <w:rPr>
                <w:rFonts w:eastAsia="仿宋_GB2312"/>
                <w:color w:val="auto"/>
                <w:szCs w:val="21"/>
              </w:rPr>
            </w:pPr>
          </w:p>
        </w:tc>
        <w:tc>
          <w:tcPr>
            <w:tcW w:w="446" w:type="pct"/>
            <w:vMerge w:val="continue"/>
            <w:vAlign w:val="center"/>
          </w:tcPr>
          <w:p w14:paraId="18937AD3">
            <w:pPr>
              <w:jc w:val="center"/>
              <w:rPr>
                <w:rFonts w:eastAsia="仿宋_GB2312"/>
                <w:color w:val="auto"/>
                <w:szCs w:val="21"/>
              </w:rPr>
            </w:pPr>
          </w:p>
        </w:tc>
        <w:tc>
          <w:tcPr>
            <w:tcW w:w="361" w:type="pct"/>
            <w:vMerge w:val="continue"/>
            <w:vAlign w:val="center"/>
          </w:tcPr>
          <w:p w14:paraId="1C46EF95">
            <w:pPr>
              <w:jc w:val="center"/>
              <w:rPr>
                <w:rFonts w:eastAsia="仿宋_GB2312"/>
                <w:color w:val="auto"/>
                <w:szCs w:val="21"/>
              </w:rPr>
            </w:pPr>
          </w:p>
        </w:tc>
        <w:tc>
          <w:tcPr>
            <w:tcW w:w="498" w:type="pct"/>
            <w:vMerge w:val="continue"/>
            <w:vAlign w:val="center"/>
          </w:tcPr>
          <w:p w14:paraId="421A08A4">
            <w:pPr>
              <w:keepNext w:val="0"/>
              <w:keepLines w:val="0"/>
              <w:widowControl/>
              <w:suppressLineNumbers w:val="0"/>
              <w:jc w:val="center"/>
              <w:textAlignment w:val="bottom"/>
              <w:rPr>
                <w:rFonts w:eastAsia="仿宋_GB2312"/>
                <w:color w:val="auto"/>
                <w:kern w:val="0"/>
                <w:szCs w:val="21"/>
                <w:lang w:bidi="ar"/>
              </w:rPr>
            </w:pPr>
          </w:p>
        </w:tc>
        <w:tc>
          <w:tcPr>
            <w:tcW w:w="820" w:type="pct"/>
            <w:vAlign w:val="center"/>
          </w:tcPr>
          <w:p w14:paraId="36F00C3A">
            <w:pPr>
              <w:widowControl/>
              <w:jc w:val="center"/>
              <w:textAlignment w:val="center"/>
              <w:rPr>
                <w:rFonts w:eastAsia="仿宋_GB2312"/>
                <w:color w:val="auto"/>
                <w:kern w:val="0"/>
                <w:szCs w:val="21"/>
                <w:lang w:bidi="ar"/>
              </w:rPr>
            </w:pPr>
            <w:r>
              <w:rPr>
                <w:rFonts w:eastAsia="仿宋_GB2312"/>
                <w:color w:val="auto"/>
                <w:kern w:val="0"/>
                <w:szCs w:val="21"/>
                <w:lang w:bidi="ar"/>
              </w:rPr>
              <w:t>其他有机物</w:t>
            </w:r>
          </w:p>
        </w:tc>
        <w:tc>
          <w:tcPr>
            <w:tcW w:w="380" w:type="pct"/>
            <w:shd w:val="clear" w:color="auto" w:fill="auto"/>
            <w:vAlign w:val="center"/>
          </w:tcPr>
          <w:p w14:paraId="5B72702B">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0.023</w:t>
            </w:r>
          </w:p>
        </w:tc>
        <w:tc>
          <w:tcPr>
            <w:tcW w:w="445" w:type="pct"/>
            <w:shd w:val="clear" w:color="auto" w:fill="auto"/>
            <w:vAlign w:val="center"/>
          </w:tcPr>
          <w:p w14:paraId="36C1C20B">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0.008</w:t>
            </w:r>
          </w:p>
        </w:tc>
        <w:tc>
          <w:tcPr>
            <w:tcW w:w="630" w:type="pct"/>
            <w:vMerge w:val="continue"/>
            <w:vAlign w:val="center"/>
          </w:tcPr>
          <w:p w14:paraId="7A07321F">
            <w:pPr>
              <w:jc w:val="center"/>
              <w:rPr>
                <w:rFonts w:eastAsia="仿宋_GB2312"/>
                <w:color w:val="auto"/>
                <w:szCs w:val="21"/>
              </w:rPr>
            </w:pPr>
          </w:p>
        </w:tc>
        <w:tc>
          <w:tcPr>
            <w:tcW w:w="292" w:type="pct"/>
            <w:vMerge w:val="continue"/>
            <w:vAlign w:val="center"/>
          </w:tcPr>
          <w:p w14:paraId="75601A30">
            <w:pPr>
              <w:jc w:val="center"/>
              <w:rPr>
                <w:rFonts w:eastAsia="仿宋_GB2312"/>
                <w:color w:val="auto"/>
                <w:szCs w:val="21"/>
              </w:rPr>
            </w:pPr>
          </w:p>
        </w:tc>
      </w:tr>
      <w:tr w14:paraId="2E8597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0506F1D8">
            <w:pPr>
              <w:jc w:val="center"/>
              <w:rPr>
                <w:rFonts w:eastAsia="仿宋_GB2312"/>
                <w:color w:val="auto"/>
                <w:szCs w:val="21"/>
              </w:rPr>
            </w:pPr>
          </w:p>
        </w:tc>
        <w:tc>
          <w:tcPr>
            <w:tcW w:w="358" w:type="pct"/>
            <w:vMerge w:val="continue"/>
            <w:vAlign w:val="center"/>
          </w:tcPr>
          <w:p w14:paraId="58E8A0F2">
            <w:pPr>
              <w:jc w:val="center"/>
              <w:rPr>
                <w:rFonts w:eastAsia="仿宋_GB2312"/>
                <w:color w:val="auto"/>
                <w:szCs w:val="21"/>
              </w:rPr>
            </w:pPr>
          </w:p>
        </w:tc>
        <w:tc>
          <w:tcPr>
            <w:tcW w:w="418" w:type="pct"/>
            <w:vMerge w:val="restart"/>
            <w:vAlign w:val="center"/>
          </w:tcPr>
          <w:p w14:paraId="48B446BF">
            <w:pPr>
              <w:jc w:val="center"/>
              <w:rPr>
                <w:rFonts w:eastAsia="仿宋_GB2312"/>
                <w:color w:val="auto"/>
                <w:szCs w:val="21"/>
              </w:rPr>
            </w:pPr>
            <w:r>
              <w:rPr>
                <w:rFonts w:eastAsia="仿宋_GB2312"/>
                <w:color w:val="auto"/>
                <w:kern w:val="0"/>
                <w:szCs w:val="21"/>
                <w:lang w:bidi="ar"/>
              </w:rPr>
              <w:t>G</w:t>
            </w:r>
            <w:r>
              <w:rPr>
                <w:rFonts w:hint="eastAsia" w:eastAsia="仿宋_GB2312"/>
                <w:color w:val="auto"/>
                <w:kern w:val="0"/>
                <w:szCs w:val="21"/>
                <w:lang w:val="en-US" w:eastAsia="zh-CN" w:bidi="ar"/>
              </w:rPr>
              <w:t>3</w:t>
            </w:r>
            <w:r>
              <w:rPr>
                <w:rFonts w:eastAsia="仿宋_GB2312"/>
                <w:color w:val="auto"/>
                <w:kern w:val="0"/>
                <w:szCs w:val="21"/>
                <w:lang w:bidi="ar"/>
              </w:rPr>
              <w:t>-</w:t>
            </w:r>
            <w:r>
              <w:rPr>
                <w:rFonts w:hint="eastAsia" w:eastAsia="仿宋_GB2312"/>
                <w:color w:val="auto"/>
                <w:kern w:val="0"/>
                <w:szCs w:val="21"/>
                <w:lang w:val="en-US" w:eastAsia="zh-CN" w:bidi="ar"/>
              </w:rPr>
              <w:t>6</w:t>
            </w:r>
            <w:r>
              <w:rPr>
                <w:rFonts w:eastAsia="仿宋_GB2312"/>
                <w:color w:val="auto"/>
                <w:kern w:val="0"/>
                <w:szCs w:val="21"/>
                <w:lang w:bidi="ar"/>
              </w:rPr>
              <w:t>-3</w:t>
            </w:r>
          </w:p>
        </w:tc>
        <w:tc>
          <w:tcPr>
            <w:tcW w:w="446" w:type="pct"/>
            <w:vMerge w:val="restart"/>
            <w:vAlign w:val="center"/>
          </w:tcPr>
          <w:p w14:paraId="4292CF5A">
            <w:pPr>
              <w:jc w:val="center"/>
              <w:rPr>
                <w:rFonts w:eastAsia="仿宋_GB2312"/>
                <w:color w:val="auto"/>
                <w:szCs w:val="21"/>
              </w:rPr>
            </w:pPr>
            <w:r>
              <w:rPr>
                <w:rFonts w:eastAsia="仿宋_GB2312"/>
                <w:color w:val="auto"/>
                <w:kern w:val="0"/>
                <w:szCs w:val="21"/>
                <w:lang w:bidi="ar"/>
              </w:rPr>
              <w:t>不凝气</w:t>
            </w:r>
          </w:p>
        </w:tc>
        <w:tc>
          <w:tcPr>
            <w:tcW w:w="361" w:type="pct"/>
            <w:vMerge w:val="restart"/>
            <w:vAlign w:val="center"/>
          </w:tcPr>
          <w:p w14:paraId="6E591545">
            <w:pPr>
              <w:jc w:val="center"/>
              <w:rPr>
                <w:rFonts w:eastAsia="仿宋_GB2312"/>
                <w:color w:val="auto"/>
                <w:szCs w:val="21"/>
              </w:rPr>
            </w:pPr>
            <w:r>
              <w:rPr>
                <w:rFonts w:eastAsia="仿宋_GB2312"/>
                <w:color w:val="auto"/>
                <w:szCs w:val="21"/>
              </w:rPr>
              <w:t>360</w:t>
            </w:r>
          </w:p>
        </w:tc>
        <w:tc>
          <w:tcPr>
            <w:tcW w:w="498" w:type="pct"/>
            <w:vMerge w:val="restart"/>
            <w:vAlign w:val="center"/>
          </w:tcPr>
          <w:p w14:paraId="3B9DCD5B">
            <w:pPr>
              <w:keepNext w:val="0"/>
              <w:keepLines w:val="0"/>
              <w:widowControl/>
              <w:suppressLineNumbers w:val="0"/>
              <w:jc w:val="center"/>
              <w:textAlignment w:val="bottom"/>
              <w:rPr>
                <w:rFonts w:hint="default" w:eastAsia="仿宋_GB2312"/>
                <w:color w:val="auto"/>
                <w:kern w:val="0"/>
                <w:szCs w:val="21"/>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336</w:t>
            </w:r>
          </w:p>
        </w:tc>
        <w:tc>
          <w:tcPr>
            <w:tcW w:w="820" w:type="pct"/>
            <w:vAlign w:val="center"/>
          </w:tcPr>
          <w:p w14:paraId="71A5EF93">
            <w:pPr>
              <w:widowControl/>
              <w:jc w:val="center"/>
              <w:textAlignment w:val="center"/>
              <w:rPr>
                <w:rFonts w:eastAsia="仿宋_GB2312"/>
                <w:color w:val="auto"/>
                <w:kern w:val="0"/>
                <w:szCs w:val="21"/>
                <w:lang w:bidi="ar"/>
              </w:rPr>
            </w:pPr>
            <w:r>
              <w:rPr>
                <w:rFonts w:hint="default" w:eastAsia="仿宋_GB2312"/>
                <w:color w:val="auto"/>
                <w:kern w:val="0"/>
                <w:szCs w:val="21"/>
                <w:lang w:val="en-US" w:eastAsia="zh-CN" w:bidi="ar"/>
              </w:rPr>
              <w:t>丙二醇单甲醚</w:t>
            </w:r>
          </w:p>
        </w:tc>
        <w:tc>
          <w:tcPr>
            <w:tcW w:w="380" w:type="pct"/>
            <w:shd w:val="clear" w:color="auto" w:fill="auto"/>
            <w:vAlign w:val="center"/>
          </w:tcPr>
          <w:p w14:paraId="2E80EACA">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0.36</w:t>
            </w:r>
          </w:p>
        </w:tc>
        <w:tc>
          <w:tcPr>
            <w:tcW w:w="445" w:type="pct"/>
            <w:shd w:val="clear" w:color="auto" w:fill="auto"/>
            <w:vAlign w:val="center"/>
          </w:tcPr>
          <w:p w14:paraId="159B41FD">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0.122</w:t>
            </w:r>
          </w:p>
        </w:tc>
        <w:tc>
          <w:tcPr>
            <w:tcW w:w="630" w:type="pct"/>
            <w:vMerge w:val="continue"/>
            <w:vAlign w:val="center"/>
          </w:tcPr>
          <w:p w14:paraId="4A3DFBB0">
            <w:pPr>
              <w:jc w:val="center"/>
              <w:rPr>
                <w:rFonts w:eastAsia="仿宋_GB2312"/>
                <w:color w:val="auto"/>
                <w:szCs w:val="21"/>
              </w:rPr>
            </w:pPr>
          </w:p>
        </w:tc>
        <w:tc>
          <w:tcPr>
            <w:tcW w:w="292" w:type="pct"/>
            <w:vMerge w:val="continue"/>
            <w:vAlign w:val="center"/>
          </w:tcPr>
          <w:p w14:paraId="49E80D9F">
            <w:pPr>
              <w:jc w:val="center"/>
              <w:rPr>
                <w:rFonts w:eastAsia="仿宋_GB2312"/>
                <w:color w:val="auto"/>
                <w:szCs w:val="21"/>
              </w:rPr>
            </w:pPr>
          </w:p>
        </w:tc>
      </w:tr>
      <w:tr w14:paraId="46B45B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6507673D">
            <w:pPr>
              <w:jc w:val="center"/>
              <w:rPr>
                <w:rFonts w:eastAsia="仿宋_GB2312"/>
                <w:color w:val="auto"/>
                <w:szCs w:val="21"/>
              </w:rPr>
            </w:pPr>
          </w:p>
        </w:tc>
        <w:tc>
          <w:tcPr>
            <w:tcW w:w="358" w:type="pct"/>
            <w:vMerge w:val="continue"/>
            <w:vAlign w:val="center"/>
          </w:tcPr>
          <w:p w14:paraId="60D63441">
            <w:pPr>
              <w:jc w:val="center"/>
              <w:rPr>
                <w:rFonts w:eastAsia="仿宋_GB2312"/>
                <w:color w:val="auto"/>
                <w:szCs w:val="21"/>
              </w:rPr>
            </w:pPr>
          </w:p>
        </w:tc>
        <w:tc>
          <w:tcPr>
            <w:tcW w:w="418" w:type="pct"/>
            <w:vMerge w:val="continue"/>
            <w:vAlign w:val="center"/>
          </w:tcPr>
          <w:p w14:paraId="56EFB80C">
            <w:pPr>
              <w:jc w:val="center"/>
              <w:rPr>
                <w:rFonts w:eastAsia="仿宋_GB2312"/>
                <w:color w:val="auto"/>
                <w:szCs w:val="21"/>
              </w:rPr>
            </w:pPr>
          </w:p>
        </w:tc>
        <w:tc>
          <w:tcPr>
            <w:tcW w:w="446" w:type="pct"/>
            <w:vMerge w:val="continue"/>
            <w:vAlign w:val="center"/>
          </w:tcPr>
          <w:p w14:paraId="1232F82B">
            <w:pPr>
              <w:jc w:val="center"/>
              <w:rPr>
                <w:rFonts w:eastAsia="仿宋_GB2312"/>
                <w:color w:val="auto"/>
                <w:szCs w:val="21"/>
              </w:rPr>
            </w:pPr>
          </w:p>
        </w:tc>
        <w:tc>
          <w:tcPr>
            <w:tcW w:w="361" w:type="pct"/>
            <w:vMerge w:val="continue"/>
            <w:vAlign w:val="center"/>
          </w:tcPr>
          <w:p w14:paraId="7F93FC97">
            <w:pPr>
              <w:jc w:val="center"/>
              <w:rPr>
                <w:rFonts w:eastAsia="仿宋_GB2312"/>
                <w:color w:val="auto"/>
                <w:szCs w:val="21"/>
              </w:rPr>
            </w:pPr>
          </w:p>
        </w:tc>
        <w:tc>
          <w:tcPr>
            <w:tcW w:w="498" w:type="pct"/>
            <w:vMerge w:val="continue"/>
            <w:vAlign w:val="center"/>
          </w:tcPr>
          <w:p w14:paraId="1F80F6EF">
            <w:pPr>
              <w:keepNext w:val="0"/>
              <w:keepLines w:val="0"/>
              <w:widowControl/>
              <w:suppressLineNumbers w:val="0"/>
              <w:jc w:val="center"/>
              <w:textAlignment w:val="bottom"/>
              <w:rPr>
                <w:rFonts w:hint="eastAsia" w:eastAsia="仿宋_GB2312"/>
                <w:color w:val="auto"/>
                <w:kern w:val="0"/>
                <w:szCs w:val="21"/>
                <w:lang w:val="en-US" w:eastAsia="zh-CN" w:bidi="ar"/>
              </w:rPr>
            </w:pPr>
          </w:p>
        </w:tc>
        <w:tc>
          <w:tcPr>
            <w:tcW w:w="820" w:type="pct"/>
            <w:vAlign w:val="center"/>
          </w:tcPr>
          <w:p w14:paraId="47DBEF1B">
            <w:pPr>
              <w:widowControl/>
              <w:jc w:val="center"/>
              <w:textAlignment w:val="center"/>
              <w:rPr>
                <w:rFonts w:eastAsia="仿宋_GB2312"/>
                <w:color w:val="auto"/>
                <w:kern w:val="0"/>
                <w:szCs w:val="21"/>
                <w:lang w:bidi="ar"/>
              </w:rPr>
            </w:pPr>
            <w:r>
              <w:rPr>
                <w:rFonts w:hint="eastAsia" w:eastAsia="仿宋_GB2312"/>
                <w:color w:val="auto"/>
                <w:kern w:val="0"/>
                <w:szCs w:val="21"/>
                <w:lang w:val="en-US" w:eastAsia="zh-CN" w:bidi="ar"/>
              </w:rPr>
              <w:t>2-甲氧基-1-丙醇</w:t>
            </w:r>
          </w:p>
        </w:tc>
        <w:tc>
          <w:tcPr>
            <w:tcW w:w="380" w:type="pct"/>
            <w:shd w:val="clear" w:color="auto" w:fill="auto"/>
            <w:vAlign w:val="center"/>
          </w:tcPr>
          <w:p w14:paraId="7423A3F7">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0.002</w:t>
            </w:r>
          </w:p>
        </w:tc>
        <w:tc>
          <w:tcPr>
            <w:tcW w:w="445" w:type="pct"/>
            <w:shd w:val="clear" w:color="auto" w:fill="auto"/>
            <w:vAlign w:val="center"/>
          </w:tcPr>
          <w:p w14:paraId="2AE18AF4">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0.001</w:t>
            </w:r>
          </w:p>
        </w:tc>
        <w:tc>
          <w:tcPr>
            <w:tcW w:w="630" w:type="pct"/>
            <w:vMerge w:val="continue"/>
            <w:vAlign w:val="center"/>
          </w:tcPr>
          <w:p w14:paraId="0EB5F624">
            <w:pPr>
              <w:jc w:val="center"/>
              <w:rPr>
                <w:rFonts w:eastAsia="仿宋_GB2312"/>
                <w:color w:val="auto"/>
                <w:szCs w:val="21"/>
              </w:rPr>
            </w:pPr>
          </w:p>
        </w:tc>
        <w:tc>
          <w:tcPr>
            <w:tcW w:w="292" w:type="pct"/>
            <w:vMerge w:val="continue"/>
            <w:vAlign w:val="center"/>
          </w:tcPr>
          <w:p w14:paraId="7D3A4CDA">
            <w:pPr>
              <w:jc w:val="center"/>
              <w:rPr>
                <w:rFonts w:eastAsia="仿宋_GB2312"/>
                <w:color w:val="auto"/>
                <w:szCs w:val="21"/>
              </w:rPr>
            </w:pPr>
          </w:p>
        </w:tc>
      </w:tr>
      <w:tr w14:paraId="1389F8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52FEAD66">
            <w:pPr>
              <w:jc w:val="center"/>
              <w:rPr>
                <w:rFonts w:eastAsia="仿宋_GB2312"/>
                <w:color w:val="auto"/>
                <w:szCs w:val="21"/>
              </w:rPr>
            </w:pPr>
          </w:p>
        </w:tc>
        <w:tc>
          <w:tcPr>
            <w:tcW w:w="358" w:type="pct"/>
            <w:vMerge w:val="continue"/>
            <w:vAlign w:val="center"/>
          </w:tcPr>
          <w:p w14:paraId="4DAF4B60">
            <w:pPr>
              <w:jc w:val="center"/>
              <w:rPr>
                <w:rFonts w:eastAsia="仿宋_GB2312"/>
                <w:color w:val="auto"/>
                <w:szCs w:val="21"/>
              </w:rPr>
            </w:pPr>
          </w:p>
        </w:tc>
        <w:tc>
          <w:tcPr>
            <w:tcW w:w="418" w:type="pct"/>
            <w:vMerge w:val="continue"/>
            <w:vAlign w:val="center"/>
          </w:tcPr>
          <w:p w14:paraId="482D292F">
            <w:pPr>
              <w:jc w:val="center"/>
              <w:rPr>
                <w:rFonts w:eastAsia="仿宋_GB2312"/>
                <w:color w:val="auto"/>
                <w:szCs w:val="21"/>
              </w:rPr>
            </w:pPr>
          </w:p>
        </w:tc>
        <w:tc>
          <w:tcPr>
            <w:tcW w:w="446" w:type="pct"/>
            <w:vMerge w:val="continue"/>
            <w:vAlign w:val="center"/>
          </w:tcPr>
          <w:p w14:paraId="236E2EDC">
            <w:pPr>
              <w:jc w:val="center"/>
              <w:rPr>
                <w:rFonts w:eastAsia="仿宋_GB2312"/>
                <w:color w:val="auto"/>
                <w:szCs w:val="21"/>
              </w:rPr>
            </w:pPr>
          </w:p>
        </w:tc>
        <w:tc>
          <w:tcPr>
            <w:tcW w:w="361" w:type="pct"/>
            <w:vMerge w:val="continue"/>
            <w:vAlign w:val="center"/>
          </w:tcPr>
          <w:p w14:paraId="2A973FC5">
            <w:pPr>
              <w:jc w:val="center"/>
              <w:rPr>
                <w:rFonts w:eastAsia="仿宋_GB2312"/>
                <w:color w:val="auto"/>
                <w:szCs w:val="21"/>
              </w:rPr>
            </w:pPr>
          </w:p>
        </w:tc>
        <w:tc>
          <w:tcPr>
            <w:tcW w:w="498" w:type="pct"/>
            <w:vMerge w:val="continue"/>
            <w:vAlign w:val="center"/>
          </w:tcPr>
          <w:p w14:paraId="65F0B06F">
            <w:pPr>
              <w:keepNext w:val="0"/>
              <w:keepLines w:val="0"/>
              <w:widowControl/>
              <w:suppressLineNumbers w:val="0"/>
              <w:jc w:val="center"/>
              <w:textAlignment w:val="bottom"/>
              <w:rPr>
                <w:rFonts w:eastAsia="仿宋_GB2312"/>
                <w:color w:val="auto"/>
                <w:kern w:val="0"/>
                <w:szCs w:val="21"/>
                <w:lang w:bidi="ar"/>
              </w:rPr>
            </w:pPr>
          </w:p>
        </w:tc>
        <w:tc>
          <w:tcPr>
            <w:tcW w:w="820" w:type="pct"/>
            <w:vAlign w:val="center"/>
          </w:tcPr>
          <w:p w14:paraId="3F2C53E1">
            <w:pPr>
              <w:widowControl/>
              <w:jc w:val="center"/>
              <w:textAlignment w:val="center"/>
              <w:rPr>
                <w:rFonts w:eastAsia="仿宋_GB2312"/>
                <w:color w:val="auto"/>
                <w:kern w:val="0"/>
                <w:szCs w:val="21"/>
                <w:lang w:bidi="ar"/>
              </w:rPr>
            </w:pPr>
            <w:r>
              <w:rPr>
                <w:rFonts w:eastAsia="仿宋_GB2312"/>
                <w:color w:val="auto"/>
                <w:kern w:val="0"/>
                <w:szCs w:val="21"/>
                <w:lang w:bidi="ar"/>
              </w:rPr>
              <w:t>其他有机物</w:t>
            </w:r>
          </w:p>
        </w:tc>
        <w:tc>
          <w:tcPr>
            <w:tcW w:w="380" w:type="pct"/>
            <w:shd w:val="clear" w:color="auto" w:fill="auto"/>
            <w:vAlign w:val="center"/>
          </w:tcPr>
          <w:p w14:paraId="0701D213">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0.008</w:t>
            </w:r>
          </w:p>
        </w:tc>
        <w:tc>
          <w:tcPr>
            <w:tcW w:w="445" w:type="pct"/>
            <w:shd w:val="clear" w:color="auto" w:fill="auto"/>
            <w:vAlign w:val="center"/>
          </w:tcPr>
          <w:p w14:paraId="5C5BC46B">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0.003</w:t>
            </w:r>
          </w:p>
        </w:tc>
        <w:tc>
          <w:tcPr>
            <w:tcW w:w="630" w:type="pct"/>
            <w:vMerge w:val="continue"/>
            <w:vAlign w:val="center"/>
          </w:tcPr>
          <w:p w14:paraId="4B1E1B9B">
            <w:pPr>
              <w:jc w:val="center"/>
              <w:rPr>
                <w:rFonts w:eastAsia="仿宋_GB2312"/>
                <w:color w:val="auto"/>
                <w:szCs w:val="21"/>
              </w:rPr>
            </w:pPr>
          </w:p>
        </w:tc>
        <w:tc>
          <w:tcPr>
            <w:tcW w:w="292" w:type="pct"/>
            <w:vMerge w:val="continue"/>
            <w:vAlign w:val="center"/>
          </w:tcPr>
          <w:p w14:paraId="6BAAFDBF">
            <w:pPr>
              <w:jc w:val="center"/>
              <w:rPr>
                <w:rFonts w:eastAsia="仿宋_GB2312"/>
                <w:color w:val="auto"/>
                <w:szCs w:val="21"/>
              </w:rPr>
            </w:pPr>
          </w:p>
        </w:tc>
      </w:tr>
      <w:tr w14:paraId="732967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647502E6">
            <w:pPr>
              <w:jc w:val="center"/>
              <w:rPr>
                <w:rFonts w:eastAsia="仿宋_GB2312"/>
                <w:color w:val="auto"/>
                <w:szCs w:val="21"/>
              </w:rPr>
            </w:pPr>
          </w:p>
        </w:tc>
        <w:tc>
          <w:tcPr>
            <w:tcW w:w="358" w:type="pct"/>
            <w:vMerge w:val="continue"/>
            <w:vAlign w:val="center"/>
          </w:tcPr>
          <w:p w14:paraId="2C234D3A">
            <w:pPr>
              <w:jc w:val="center"/>
              <w:rPr>
                <w:rFonts w:eastAsia="仿宋_GB2312"/>
                <w:color w:val="auto"/>
                <w:szCs w:val="21"/>
              </w:rPr>
            </w:pPr>
          </w:p>
        </w:tc>
        <w:tc>
          <w:tcPr>
            <w:tcW w:w="418" w:type="pct"/>
            <w:vMerge w:val="restart"/>
            <w:vAlign w:val="center"/>
          </w:tcPr>
          <w:p w14:paraId="61B9DF0B">
            <w:pPr>
              <w:jc w:val="center"/>
              <w:rPr>
                <w:rFonts w:eastAsia="仿宋_GB2312"/>
                <w:color w:val="auto"/>
                <w:szCs w:val="21"/>
              </w:rPr>
            </w:pPr>
            <w:r>
              <w:rPr>
                <w:rFonts w:eastAsia="仿宋_GB2312"/>
                <w:color w:val="auto"/>
                <w:kern w:val="0"/>
                <w:szCs w:val="21"/>
                <w:lang w:bidi="ar"/>
              </w:rPr>
              <w:t>G</w:t>
            </w:r>
            <w:r>
              <w:rPr>
                <w:rFonts w:hint="eastAsia" w:eastAsia="仿宋_GB2312"/>
                <w:color w:val="auto"/>
                <w:kern w:val="0"/>
                <w:szCs w:val="21"/>
                <w:lang w:val="en-US" w:eastAsia="zh-CN" w:bidi="ar"/>
              </w:rPr>
              <w:t>3</w:t>
            </w:r>
            <w:r>
              <w:rPr>
                <w:rFonts w:eastAsia="仿宋_GB2312"/>
                <w:color w:val="auto"/>
                <w:kern w:val="0"/>
                <w:szCs w:val="21"/>
                <w:lang w:bidi="ar"/>
              </w:rPr>
              <w:t>-</w:t>
            </w:r>
            <w:r>
              <w:rPr>
                <w:rFonts w:hint="eastAsia" w:eastAsia="仿宋_GB2312"/>
                <w:color w:val="auto"/>
                <w:kern w:val="0"/>
                <w:szCs w:val="21"/>
                <w:lang w:val="en-US" w:eastAsia="zh-CN" w:bidi="ar"/>
              </w:rPr>
              <w:t>6</w:t>
            </w:r>
            <w:r>
              <w:rPr>
                <w:rFonts w:eastAsia="仿宋_GB2312"/>
                <w:color w:val="auto"/>
                <w:kern w:val="0"/>
                <w:szCs w:val="21"/>
                <w:lang w:bidi="ar"/>
              </w:rPr>
              <w:t>-4</w:t>
            </w:r>
          </w:p>
        </w:tc>
        <w:tc>
          <w:tcPr>
            <w:tcW w:w="446" w:type="pct"/>
            <w:vMerge w:val="restart"/>
            <w:vAlign w:val="center"/>
          </w:tcPr>
          <w:p w14:paraId="68038B51">
            <w:pPr>
              <w:jc w:val="center"/>
              <w:rPr>
                <w:rFonts w:eastAsia="仿宋_GB2312"/>
                <w:color w:val="auto"/>
                <w:szCs w:val="21"/>
              </w:rPr>
            </w:pPr>
            <w:r>
              <w:rPr>
                <w:rFonts w:eastAsia="仿宋_GB2312"/>
                <w:color w:val="auto"/>
                <w:kern w:val="0"/>
                <w:szCs w:val="21"/>
                <w:lang w:bidi="ar"/>
              </w:rPr>
              <w:t>不凝气</w:t>
            </w:r>
          </w:p>
        </w:tc>
        <w:tc>
          <w:tcPr>
            <w:tcW w:w="361" w:type="pct"/>
            <w:vMerge w:val="restart"/>
            <w:vAlign w:val="center"/>
          </w:tcPr>
          <w:p w14:paraId="45A17091">
            <w:pPr>
              <w:jc w:val="center"/>
              <w:rPr>
                <w:rFonts w:eastAsia="仿宋_GB2312"/>
                <w:color w:val="auto"/>
                <w:szCs w:val="21"/>
              </w:rPr>
            </w:pPr>
            <w:r>
              <w:rPr>
                <w:rFonts w:eastAsia="仿宋_GB2312"/>
                <w:color w:val="auto"/>
                <w:szCs w:val="21"/>
              </w:rPr>
              <w:t>360</w:t>
            </w:r>
          </w:p>
        </w:tc>
        <w:tc>
          <w:tcPr>
            <w:tcW w:w="498" w:type="pct"/>
            <w:vMerge w:val="restart"/>
            <w:vAlign w:val="center"/>
          </w:tcPr>
          <w:p w14:paraId="276D8BA2">
            <w:pPr>
              <w:keepNext w:val="0"/>
              <w:keepLines w:val="0"/>
              <w:widowControl/>
              <w:suppressLineNumbers w:val="0"/>
              <w:jc w:val="center"/>
              <w:textAlignment w:val="bottom"/>
              <w:rPr>
                <w:rFonts w:hint="default" w:eastAsia="仿宋_GB2312"/>
                <w:color w:val="auto"/>
                <w:kern w:val="0"/>
                <w:szCs w:val="21"/>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336</w:t>
            </w:r>
          </w:p>
        </w:tc>
        <w:tc>
          <w:tcPr>
            <w:tcW w:w="820" w:type="pct"/>
            <w:vAlign w:val="center"/>
          </w:tcPr>
          <w:p w14:paraId="438C1472">
            <w:pPr>
              <w:widowControl/>
              <w:jc w:val="center"/>
              <w:textAlignment w:val="center"/>
              <w:rPr>
                <w:rFonts w:eastAsia="仿宋_GB2312"/>
                <w:color w:val="auto"/>
                <w:kern w:val="0"/>
                <w:szCs w:val="21"/>
                <w:lang w:bidi="ar"/>
              </w:rPr>
            </w:pPr>
            <w:r>
              <w:rPr>
                <w:rFonts w:hint="default" w:eastAsia="仿宋_GB2312"/>
                <w:color w:val="auto"/>
                <w:kern w:val="0"/>
                <w:szCs w:val="21"/>
                <w:lang w:val="en-US" w:eastAsia="zh-CN" w:bidi="ar"/>
              </w:rPr>
              <w:t>丙二醇单甲醚</w:t>
            </w:r>
          </w:p>
        </w:tc>
        <w:tc>
          <w:tcPr>
            <w:tcW w:w="380" w:type="pct"/>
            <w:shd w:val="clear" w:color="auto" w:fill="auto"/>
            <w:vAlign w:val="center"/>
          </w:tcPr>
          <w:p w14:paraId="125068F8">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52.52</w:t>
            </w:r>
          </w:p>
        </w:tc>
        <w:tc>
          <w:tcPr>
            <w:tcW w:w="445" w:type="pct"/>
            <w:shd w:val="clear" w:color="auto" w:fill="auto"/>
            <w:vAlign w:val="center"/>
          </w:tcPr>
          <w:p w14:paraId="2BD3D16F">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17.649</w:t>
            </w:r>
          </w:p>
        </w:tc>
        <w:tc>
          <w:tcPr>
            <w:tcW w:w="630" w:type="pct"/>
            <w:vMerge w:val="continue"/>
            <w:vAlign w:val="center"/>
          </w:tcPr>
          <w:p w14:paraId="1CABD8EF">
            <w:pPr>
              <w:jc w:val="center"/>
              <w:rPr>
                <w:rFonts w:eastAsia="仿宋_GB2312"/>
                <w:color w:val="auto"/>
                <w:szCs w:val="21"/>
              </w:rPr>
            </w:pPr>
          </w:p>
        </w:tc>
        <w:tc>
          <w:tcPr>
            <w:tcW w:w="292" w:type="pct"/>
            <w:vMerge w:val="continue"/>
            <w:vAlign w:val="center"/>
          </w:tcPr>
          <w:p w14:paraId="344C675B">
            <w:pPr>
              <w:jc w:val="center"/>
              <w:rPr>
                <w:rFonts w:eastAsia="仿宋_GB2312"/>
                <w:color w:val="auto"/>
                <w:szCs w:val="21"/>
              </w:rPr>
            </w:pPr>
          </w:p>
        </w:tc>
      </w:tr>
      <w:tr w14:paraId="1CF5FA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08F87DAE">
            <w:pPr>
              <w:jc w:val="center"/>
              <w:rPr>
                <w:rFonts w:eastAsia="仿宋_GB2312"/>
                <w:color w:val="auto"/>
                <w:szCs w:val="21"/>
              </w:rPr>
            </w:pPr>
          </w:p>
        </w:tc>
        <w:tc>
          <w:tcPr>
            <w:tcW w:w="358" w:type="pct"/>
            <w:vMerge w:val="continue"/>
            <w:vAlign w:val="center"/>
          </w:tcPr>
          <w:p w14:paraId="65673A97">
            <w:pPr>
              <w:jc w:val="center"/>
              <w:rPr>
                <w:rFonts w:eastAsia="仿宋_GB2312"/>
                <w:color w:val="auto"/>
                <w:szCs w:val="21"/>
              </w:rPr>
            </w:pPr>
          </w:p>
        </w:tc>
        <w:tc>
          <w:tcPr>
            <w:tcW w:w="418" w:type="pct"/>
            <w:vMerge w:val="continue"/>
            <w:vAlign w:val="center"/>
          </w:tcPr>
          <w:p w14:paraId="4C99885F">
            <w:pPr>
              <w:jc w:val="center"/>
              <w:rPr>
                <w:rFonts w:eastAsia="仿宋_GB2312"/>
                <w:color w:val="auto"/>
                <w:szCs w:val="21"/>
              </w:rPr>
            </w:pPr>
          </w:p>
        </w:tc>
        <w:tc>
          <w:tcPr>
            <w:tcW w:w="446" w:type="pct"/>
            <w:vMerge w:val="continue"/>
            <w:vAlign w:val="center"/>
          </w:tcPr>
          <w:p w14:paraId="0DCD97B2">
            <w:pPr>
              <w:jc w:val="center"/>
              <w:rPr>
                <w:rFonts w:eastAsia="仿宋_GB2312"/>
                <w:color w:val="auto"/>
                <w:szCs w:val="21"/>
              </w:rPr>
            </w:pPr>
          </w:p>
        </w:tc>
        <w:tc>
          <w:tcPr>
            <w:tcW w:w="361" w:type="pct"/>
            <w:vMerge w:val="continue"/>
            <w:vAlign w:val="center"/>
          </w:tcPr>
          <w:p w14:paraId="4679F4A9">
            <w:pPr>
              <w:jc w:val="center"/>
              <w:rPr>
                <w:rFonts w:eastAsia="仿宋_GB2312"/>
                <w:color w:val="auto"/>
                <w:szCs w:val="21"/>
              </w:rPr>
            </w:pPr>
          </w:p>
        </w:tc>
        <w:tc>
          <w:tcPr>
            <w:tcW w:w="498" w:type="pct"/>
            <w:vMerge w:val="continue"/>
            <w:vAlign w:val="center"/>
          </w:tcPr>
          <w:p w14:paraId="0C2493F0">
            <w:pPr>
              <w:keepNext w:val="0"/>
              <w:keepLines w:val="0"/>
              <w:widowControl/>
              <w:suppressLineNumbers w:val="0"/>
              <w:jc w:val="center"/>
              <w:textAlignment w:val="bottom"/>
              <w:rPr>
                <w:rFonts w:hint="eastAsia" w:eastAsia="仿宋_GB2312"/>
                <w:color w:val="auto"/>
                <w:kern w:val="0"/>
                <w:szCs w:val="21"/>
                <w:lang w:val="en-US" w:eastAsia="zh-CN" w:bidi="ar"/>
              </w:rPr>
            </w:pPr>
          </w:p>
        </w:tc>
        <w:tc>
          <w:tcPr>
            <w:tcW w:w="820" w:type="pct"/>
            <w:vAlign w:val="center"/>
          </w:tcPr>
          <w:p w14:paraId="7C063C83">
            <w:pPr>
              <w:widowControl/>
              <w:jc w:val="center"/>
              <w:textAlignment w:val="center"/>
              <w:rPr>
                <w:rFonts w:eastAsia="仿宋_GB2312"/>
                <w:color w:val="auto"/>
                <w:kern w:val="0"/>
                <w:szCs w:val="21"/>
                <w:lang w:bidi="ar"/>
              </w:rPr>
            </w:pPr>
            <w:r>
              <w:rPr>
                <w:rFonts w:hint="eastAsia" w:eastAsia="仿宋_GB2312"/>
                <w:color w:val="auto"/>
                <w:kern w:val="0"/>
                <w:szCs w:val="21"/>
                <w:lang w:val="en-US" w:eastAsia="zh-CN" w:bidi="ar"/>
              </w:rPr>
              <w:t>2-甲氧基-1-丙醇</w:t>
            </w:r>
          </w:p>
        </w:tc>
        <w:tc>
          <w:tcPr>
            <w:tcW w:w="380" w:type="pct"/>
            <w:shd w:val="clear" w:color="auto" w:fill="auto"/>
            <w:vAlign w:val="center"/>
          </w:tcPr>
          <w:p w14:paraId="4430DA4A">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0.196</w:t>
            </w:r>
          </w:p>
        </w:tc>
        <w:tc>
          <w:tcPr>
            <w:tcW w:w="445" w:type="pct"/>
            <w:shd w:val="clear" w:color="auto" w:fill="auto"/>
            <w:vAlign w:val="center"/>
          </w:tcPr>
          <w:p w14:paraId="44045480">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0.066</w:t>
            </w:r>
          </w:p>
        </w:tc>
        <w:tc>
          <w:tcPr>
            <w:tcW w:w="630" w:type="pct"/>
            <w:vMerge w:val="continue"/>
            <w:vAlign w:val="center"/>
          </w:tcPr>
          <w:p w14:paraId="68475CAC">
            <w:pPr>
              <w:jc w:val="center"/>
              <w:rPr>
                <w:rFonts w:eastAsia="仿宋_GB2312"/>
                <w:color w:val="auto"/>
                <w:szCs w:val="21"/>
              </w:rPr>
            </w:pPr>
          </w:p>
        </w:tc>
        <w:tc>
          <w:tcPr>
            <w:tcW w:w="292" w:type="pct"/>
            <w:vMerge w:val="continue"/>
            <w:vAlign w:val="center"/>
          </w:tcPr>
          <w:p w14:paraId="1AB289A4">
            <w:pPr>
              <w:jc w:val="center"/>
              <w:rPr>
                <w:rFonts w:eastAsia="仿宋_GB2312"/>
                <w:color w:val="auto"/>
                <w:szCs w:val="21"/>
              </w:rPr>
            </w:pPr>
          </w:p>
        </w:tc>
      </w:tr>
      <w:tr w14:paraId="324877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5D7735DE">
            <w:pPr>
              <w:jc w:val="center"/>
              <w:rPr>
                <w:rFonts w:eastAsia="仿宋_GB2312"/>
                <w:color w:val="auto"/>
                <w:szCs w:val="21"/>
              </w:rPr>
            </w:pPr>
          </w:p>
        </w:tc>
        <w:tc>
          <w:tcPr>
            <w:tcW w:w="358" w:type="pct"/>
            <w:vMerge w:val="continue"/>
            <w:vAlign w:val="center"/>
          </w:tcPr>
          <w:p w14:paraId="339E4B65">
            <w:pPr>
              <w:jc w:val="center"/>
              <w:rPr>
                <w:rFonts w:eastAsia="仿宋_GB2312"/>
                <w:color w:val="auto"/>
                <w:szCs w:val="21"/>
              </w:rPr>
            </w:pPr>
          </w:p>
        </w:tc>
        <w:tc>
          <w:tcPr>
            <w:tcW w:w="418" w:type="pct"/>
            <w:vMerge w:val="continue"/>
            <w:vAlign w:val="center"/>
          </w:tcPr>
          <w:p w14:paraId="3FD98D72">
            <w:pPr>
              <w:jc w:val="center"/>
              <w:rPr>
                <w:rFonts w:eastAsia="仿宋_GB2312"/>
                <w:color w:val="auto"/>
                <w:szCs w:val="21"/>
              </w:rPr>
            </w:pPr>
          </w:p>
        </w:tc>
        <w:tc>
          <w:tcPr>
            <w:tcW w:w="446" w:type="pct"/>
            <w:vMerge w:val="continue"/>
            <w:vAlign w:val="center"/>
          </w:tcPr>
          <w:p w14:paraId="1CD41CFD">
            <w:pPr>
              <w:jc w:val="center"/>
              <w:rPr>
                <w:rFonts w:eastAsia="仿宋_GB2312"/>
                <w:color w:val="auto"/>
                <w:szCs w:val="21"/>
              </w:rPr>
            </w:pPr>
          </w:p>
        </w:tc>
        <w:tc>
          <w:tcPr>
            <w:tcW w:w="361" w:type="pct"/>
            <w:vMerge w:val="continue"/>
            <w:vAlign w:val="center"/>
          </w:tcPr>
          <w:p w14:paraId="0A35E10C">
            <w:pPr>
              <w:jc w:val="center"/>
              <w:rPr>
                <w:rFonts w:eastAsia="仿宋_GB2312"/>
                <w:color w:val="auto"/>
                <w:szCs w:val="21"/>
              </w:rPr>
            </w:pPr>
          </w:p>
        </w:tc>
        <w:tc>
          <w:tcPr>
            <w:tcW w:w="498" w:type="pct"/>
            <w:vMerge w:val="continue"/>
            <w:vAlign w:val="center"/>
          </w:tcPr>
          <w:p w14:paraId="21797E5B">
            <w:pPr>
              <w:keepNext w:val="0"/>
              <w:keepLines w:val="0"/>
              <w:widowControl/>
              <w:suppressLineNumbers w:val="0"/>
              <w:jc w:val="center"/>
              <w:textAlignment w:val="bottom"/>
              <w:rPr>
                <w:rFonts w:eastAsia="仿宋_GB2312"/>
                <w:color w:val="auto"/>
                <w:kern w:val="0"/>
                <w:szCs w:val="21"/>
                <w:lang w:bidi="ar"/>
              </w:rPr>
            </w:pPr>
          </w:p>
        </w:tc>
        <w:tc>
          <w:tcPr>
            <w:tcW w:w="820" w:type="pct"/>
            <w:vAlign w:val="center"/>
          </w:tcPr>
          <w:p w14:paraId="6AF7ABD5">
            <w:pPr>
              <w:widowControl/>
              <w:jc w:val="center"/>
              <w:textAlignment w:val="center"/>
              <w:rPr>
                <w:rFonts w:eastAsia="仿宋_GB2312"/>
                <w:color w:val="auto"/>
                <w:kern w:val="0"/>
                <w:szCs w:val="21"/>
                <w:lang w:bidi="ar"/>
              </w:rPr>
            </w:pPr>
            <w:r>
              <w:rPr>
                <w:rFonts w:eastAsia="仿宋_GB2312"/>
                <w:color w:val="auto"/>
                <w:kern w:val="0"/>
                <w:szCs w:val="21"/>
                <w:lang w:bidi="ar"/>
              </w:rPr>
              <w:t>其他有机物</w:t>
            </w:r>
          </w:p>
        </w:tc>
        <w:tc>
          <w:tcPr>
            <w:tcW w:w="380" w:type="pct"/>
            <w:shd w:val="clear" w:color="auto" w:fill="auto"/>
            <w:vAlign w:val="center"/>
          </w:tcPr>
          <w:p w14:paraId="451DF6A7">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0.33</w:t>
            </w:r>
          </w:p>
        </w:tc>
        <w:tc>
          <w:tcPr>
            <w:tcW w:w="445" w:type="pct"/>
            <w:shd w:val="clear" w:color="auto" w:fill="auto"/>
            <w:vAlign w:val="center"/>
          </w:tcPr>
          <w:p w14:paraId="71E7B06E">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0.113</w:t>
            </w:r>
          </w:p>
        </w:tc>
        <w:tc>
          <w:tcPr>
            <w:tcW w:w="630" w:type="pct"/>
            <w:vMerge w:val="continue"/>
            <w:vAlign w:val="center"/>
          </w:tcPr>
          <w:p w14:paraId="5DD1E280">
            <w:pPr>
              <w:jc w:val="center"/>
              <w:rPr>
                <w:rFonts w:eastAsia="仿宋_GB2312"/>
                <w:color w:val="auto"/>
                <w:szCs w:val="21"/>
              </w:rPr>
            </w:pPr>
          </w:p>
        </w:tc>
        <w:tc>
          <w:tcPr>
            <w:tcW w:w="292" w:type="pct"/>
            <w:vMerge w:val="continue"/>
            <w:vAlign w:val="center"/>
          </w:tcPr>
          <w:p w14:paraId="0E54C840">
            <w:pPr>
              <w:jc w:val="center"/>
              <w:rPr>
                <w:rFonts w:eastAsia="仿宋_GB2312"/>
                <w:color w:val="auto"/>
                <w:szCs w:val="21"/>
              </w:rPr>
            </w:pPr>
          </w:p>
        </w:tc>
      </w:tr>
      <w:tr w14:paraId="20AE9E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173AB9A1">
            <w:pPr>
              <w:jc w:val="center"/>
              <w:rPr>
                <w:rFonts w:eastAsia="仿宋_GB2312"/>
                <w:color w:val="auto"/>
                <w:szCs w:val="21"/>
              </w:rPr>
            </w:pPr>
          </w:p>
        </w:tc>
        <w:tc>
          <w:tcPr>
            <w:tcW w:w="358" w:type="pct"/>
            <w:vMerge w:val="continue"/>
            <w:vAlign w:val="center"/>
          </w:tcPr>
          <w:p w14:paraId="2A4F6152">
            <w:pPr>
              <w:jc w:val="center"/>
              <w:rPr>
                <w:rFonts w:eastAsia="仿宋_GB2312"/>
                <w:color w:val="auto"/>
                <w:szCs w:val="21"/>
              </w:rPr>
            </w:pPr>
          </w:p>
        </w:tc>
        <w:tc>
          <w:tcPr>
            <w:tcW w:w="418" w:type="pct"/>
            <w:vMerge w:val="restart"/>
            <w:vAlign w:val="center"/>
          </w:tcPr>
          <w:p w14:paraId="1098110F">
            <w:pPr>
              <w:jc w:val="center"/>
              <w:rPr>
                <w:rFonts w:eastAsia="仿宋_GB2312"/>
                <w:color w:val="auto"/>
                <w:szCs w:val="21"/>
              </w:rPr>
            </w:pPr>
            <w:r>
              <w:rPr>
                <w:rFonts w:eastAsia="仿宋_GB2312"/>
                <w:color w:val="auto"/>
                <w:kern w:val="0"/>
                <w:szCs w:val="21"/>
                <w:lang w:bidi="ar"/>
              </w:rPr>
              <w:t>G</w:t>
            </w:r>
            <w:r>
              <w:rPr>
                <w:rFonts w:hint="eastAsia" w:eastAsia="仿宋_GB2312"/>
                <w:color w:val="auto"/>
                <w:kern w:val="0"/>
                <w:szCs w:val="21"/>
                <w:lang w:val="en-US" w:eastAsia="zh-CN" w:bidi="ar"/>
              </w:rPr>
              <w:t>3</w:t>
            </w:r>
            <w:r>
              <w:rPr>
                <w:rFonts w:eastAsia="仿宋_GB2312"/>
                <w:color w:val="auto"/>
                <w:kern w:val="0"/>
                <w:szCs w:val="21"/>
                <w:lang w:bidi="ar"/>
              </w:rPr>
              <w:t>-</w:t>
            </w:r>
            <w:r>
              <w:rPr>
                <w:rFonts w:hint="eastAsia" w:eastAsia="仿宋_GB2312"/>
                <w:color w:val="auto"/>
                <w:kern w:val="0"/>
                <w:szCs w:val="21"/>
                <w:lang w:val="en-US" w:eastAsia="zh-CN" w:bidi="ar"/>
              </w:rPr>
              <w:t>6</w:t>
            </w:r>
            <w:r>
              <w:rPr>
                <w:rFonts w:eastAsia="仿宋_GB2312"/>
                <w:color w:val="auto"/>
                <w:kern w:val="0"/>
                <w:szCs w:val="21"/>
                <w:lang w:bidi="ar"/>
              </w:rPr>
              <w:t>-5</w:t>
            </w:r>
          </w:p>
        </w:tc>
        <w:tc>
          <w:tcPr>
            <w:tcW w:w="446" w:type="pct"/>
            <w:vMerge w:val="restart"/>
            <w:vAlign w:val="center"/>
          </w:tcPr>
          <w:p w14:paraId="57FEF1F4">
            <w:pPr>
              <w:jc w:val="center"/>
              <w:rPr>
                <w:rFonts w:eastAsia="仿宋_GB2312"/>
                <w:color w:val="auto"/>
                <w:szCs w:val="21"/>
              </w:rPr>
            </w:pPr>
            <w:r>
              <w:rPr>
                <w:rFonts w:eastAsia="仿宋_GB2312"/>
                <w:color w:val="auto"/>
                <w:kern w:val="0"/>
                <w:szCs w:val="21"/>
                <w:lang w:bidi="ar"/>
              </w:rPr>
              <w:t>灌装废气</w:t>
            </w:r>
          </w:p>
        </w:tc>
        <w:tc>
          <w:tcPr>
            <w:tcW w:w="361" w:type="pct"/>
            <w:vMerge w:val="restart"/>
            <w:vAlign w:val="center"/>
          </w:tcPr>
          <w:p w14:paraId="4F5788BF">
            <w:pPr>
              <w:jc w:val="center"/>
              <w:rPr>
                <w:rFonts w:hint="default" w:eastAsia="仿宋_GB2312"/>
                <w:color w:val="auto"/>
                <w:szCs w:val="21"/>
                <w:lang w:val="en-US" w:eastAsia="zh-CN"/>
              </w:rPr>
            </w:pPr>
            <w:r>
              <w:rPr>
                <w:rFonts w:hint="eastAsia" w:eastAsia="仿宋_GB2312"/>
                <w:color w:val="auto"/>
                <w:szCs w:val="21"/>
                <w:lang w:val="en-US" w:eastAsia="zh-CN"/>
              </w:rPr>
              <w:t>2000</w:t>
            </w:r>
          </w:p>
        </w:tc>
        <w:tc>
          <w:tcPr>
            <w:tcW w:w="498" w:type="pct"/>
            <w:vMerge w:val="restart"/>
            <w:vAlign w:val="center"/>
          </w:tcPr>
          <w:p w14:paraId="1AB0069C">
            <w:pPr>
              <w:keepNext w:val="0"/>
              <w:keepLines w:val="0"/>
              <w:widowControl/>
              <w:suppressLineNumbers w:val="0"/>
              <w:jc w:val="center"/>
              <w:textAlignment w:val="bottom"/>
              <w:rPr>
                <w:rFonts w:hint="default" w:eastAsia="仿宋_GB2312"/>
                <w:color w:val="auto"/>
                <w:kern w:val="0"/>
                <w:szCs w:val="21"/>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336</w:t>
            </w:r>
          </w:p>
        </w:tc>
        <w:tc>
          <w:tcPr>
            <w:tcW w:w="820" w:type="pct"/>
            <w:vAlign w:val="center"/>
          </w:tcPr>
          <w:p w14:paraId="618454E3">
            <w:pPr>
              <w:widowControl/>
              <w:jc w:val="center"/>
              <w:textAlignment w:val="center"/>
              <w:rPr>
                <w:rFonts w:eastAsia="仿宋_GB2312"/>
                <w:color w:val="auto"/>
                <w:kern w:val="0"/>
                <w:szCs w:val="21"/>
                <w:lang w:bidi="ar"/>
              </w:rPr>
            </w:pPr>
            <w:r>
              <w:rPr>
                <w:rFonts w:hint="default" w:eastAsia="仿宋_GB2312"/>
                <w:color w:val="auto"/>
                <w:kern w:val="0"/>
                <w:szCs w:val="21"/>
                <w:lang w:val="en-US" w:eastAsia="zh-CN" w:bidi="ar"/>
              </w:rPr>
              <w:t>丙二醇单甲醚</w:t>
            </w:r>
          </w:p>
        </w:tc>
        <w:tc>
          <w:tcPr>
            <w:tcW w:w="380" w:type="pct"/>
            <w:shd w:val="clear" w:color="auto" w:fill="auto"/>
            <w:vAlign w:val="center"/>
          </w:tcPr>
          <w:p w14:paraId="24AD4575">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5.40</w:t>
            </w:r>
          </w:p>
        </w:tc>
        <w:tc>
          <w:tcPr>
            <w:tcW w:w="445" w:type="pct"/>
            <w:shd w:val="clear" w:color="auto" w:fill="auto"/>
            <w:vAlign w:val="center"/>
          </w:tcPr>
          <w:p w14:paraId="5F706F70">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ascii="Times New Roman" w:hAnsi="Times New Roman" w:eastAsia="仿宋_GB2312" w:cs="Times New Roman"/>
                <w:color w:val="auto"/>
                <w:kern w:val="0"/>
                <w:szCs w:val="21"/>
                <w:lang w:val="en-US" w:eastAsia="zh-CN" w:bidi="ar"/>
              </w:rPr>
              <w:t>1.815</w:t>
            </w:r>
          </w:p>
        </w:tc>
        <w:tc>
          <w:tcPr>
            <w:tcW w:w="630" w:type="pct"/>
            <w:vMerge w:val="restart"/>
            <w:shd w:val="clear" w:color="auto" w:fill="auto"/>
            <w:vAlign w:val="center"/>
          </w:tcPr>
          <w:p w14:paraId="2685F6E1">
            <w:pPr>
              <w:jc w:val="center"/>
              <w:rPr>
                <w:rFonts w:ascii="Times New Roman" w:hAnsi="Times New Roman" w:eastAsia="仿宋_GB2312" w:cs="Times New Roman"/>
                <w:color w:val="auto"/>
                <w:kern w:val="2"/>
                <w:sz w:val="21"/>
                <w:szCs w:val="21"/>
                <w:lang w:val="en-US" w:eastAsia="zh-CN" w:bidi="ar-SA"/>
              </w:rPr>
            </w:pPr>
            <w:r>
              <w:rPr>
                <w:rFonts w:hint="eastAsia" w:eastAsia="仿宋_GB2312"/>
                <w:color w:val="auto"/>
                <w:szCs w:val="21"/>
              </w:rPr>
              <w:t>冷凝+酸吸收+碱吸收+水洗+活性炭吸附/脱附</w:t>
            </w:r>
          </w:p>
        </w:tc>
        <w:tc>
          <w:tcPr>
            <w:tcW w:w="292" w:type="pct"/>
            <w:vMerge w:val="restart"/>
            <w:shd w:val="clear" w:color="auto" w:fill="auto"/>
            <w:vAlign w:val="center"/>
          </w:tcPr>
          <w:p w14:paraId="7439F8E1">
            <w:pPr>
              <w:jc w:val="center"/>
              <w:rPr>
                <w:rFonts w:ascii="Times New Roman" w:hAnsi="Times New Roman" w:eastAsia="仿宋_GB2312" w:cs="Times New Roman"/>
                <w:color w:val="auto"/>
                <w:kern w:val="2"/>
                <w:sz w:val="21"/>
                <w:szCs w:val="21"/>
                <w:lang w:val="en-US" w:eastAsia="zh-CN" w:bidi="ar-SA"/>
              </w:rPr>
            </w:pPr>
            <w:r>
              <w:rPr>
                <w:rFonts w:hint="eastAsia" w:eastAsia="仿宋_GB2312"/>
                <w:color w:val="auto"/>
              </w:rPr>
              <w:t>DA005</w:t>
            </w:r>
          </w:p>
        </w:tc>
      </w:tr>
      <w:tr w14:paraId="7E77C75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5EB16E49">
            <w:pPr>
              <w:jc w:val="center"/>
              <w:rPr>
                <w:rFonts w:eastAsia="仿宋_GB2312"/>
                <w:color w:val="auto"/>
                <w:szCs w:val="21"/>
              </w:rPr>
            </w:pPr>
          </w:p>
        </w:tc>
        <w:tc>
          <w:tcPr>
            <w:tcW w:w="358" w:type="pct"/>
            <w:vMerge w:val="continue"/>
            <w:vAlign w:val="center"/>
          </w:tcPr>
          <w:p w14:paraId="63FC36E2">
            <w:pPr>
              <w:jc w:val="center"/>
              <w:rPr>
                <w:rFonts w:eastAsia="仿宋_GB2312"/>
                <w:color w:val="auto"/>
                <w:szCs w:val="21"/>
              </w:rPr>
            </w:pPr>
          </w:p>
        </w:tc>
        <w:tc>
          <w:tcPr>
            <w:tcW w:w="418" w:type="pct"/>
            <w:vMerge w:val="continue"/>
            <w:vAlign w:val="center"/>
          </w:tcPr>
          <w:p w14:paraId="20990AC8">
            <w:pPr>
              <w:jc w:val="center"/>
              <w:rPr>
                <w:rFonts w:eastAsia="仿宋_GB2312"/>
                <w:color w:val="auto"/>
                <w:szCs w:val="21"/>
              </w:rPr>
            </w:pPr>
          </w:p>
        </w:tc>
        <w:tc>
          <w:tcPr>
            <w:tcW w:w="446" w:type="pct"/>
            <w:vMerge w:val="continue"/>
            <w:vAlign w:val="center"/>
          </w:tcPr>
          <w:p w14:paraId="416C784E">
            <w:pPr>
              <w:jc w:val="center"/>
              <w:rPr>
                <w:rFonts w:eastAsia="仿宋_GB2312"/>
                <w:color w:val="auto"/>
                <w:szCs w:val="21"/>
              </w:rPr>
            </w:pPr>
          </w:p>
        </w:tc>
        <w:tc>
          <w:tcPr>
            <w:tcW w:w="361" w:type="pct"/>
            <w:vMerge w:val="continue"/>
            <w:vAlign w:val="center"/>
          </w:tcPr>
          <w:p w14:paraId="08C26E24">
            <w:pPr>
              <w:jc w:val="center"/>
              <w:rPr>
                <w:rFonts w:eastAsia="仿宋_GB2312"/>
                <w:color w:val="auto"/>
                <w:szCs w:val="21"/>
              </w:rPr>
            </w:pPr>
          </w:p>
        </w:tc>
        <w:tc>
          <w:tcPr>
            <w:tcW w:w="498" w:type="pct"/>
            <w:vMerge w:val="continue"/>
            <w:vAlign w:val="center"/>
          </w:tcPr>
          <w:p w14:paraId="1DBE0840">
            <w:pPr>
              <w:keepNext w:val="0"/>
              <w:keepLines w:val="0"/>
              <w:widowControl/>
              <w:suppressLineNumbers w:val="0"/>
              <w:jc w:val="center"/>
              <w:textAlignment w:val="bottom"/>
              <w:rPr>
                <w:rFonts w:hint="eastAsia" w:eastAsia="仿宋_GB2312"/>
                <w:color w:val="auto"/>
                <w:kern w:val="0"/>
                <w:szCs w:val="21"/>
                <w:lang w:val="en-US" w:eastAsia="zh-CN" w:bidi="ar"/>
              </w:rPr>
            </w:pPr>
          </w:p>
        </w:tc>
        <w:tc>
          <w:tcPr>
            <w:tcW w:w="820" w:type="pct"/>
            <w:vAlign w:val="center"/>
          </w:tcPr>
          <w:p w14:paraId="683DC3EE">
            <w:pPr>
              <w:widowControl/>
              <w:jc w:val="center"/>
              <w:textAlignment w:val="center"/>
              <w:rPr>
                <w:rFonts w:eastAsia="仿宋_GB2312"/>
                <w:color w:val="auto"/>
                <w:kern w:val="0"/>
                <w:szCs w:val="21"/>
                <w:lang w:bidi="ar"/>
              </w:rPr>
            </w:pPr>
            <w:r>
              <w:rPr>
                <w:rFonts w:hint="eastAsia" w:eastAsia="仿宋_GB2312"/>
                <w:color w:val="auto"/>
                <w:kern w:val="0"/>
                <w:szCs w:val="21"/>
                <w:lang w:val="en-US" w:eastAsia="zh-CN" w:bidi="ar"/>
              </w:rPr>
              <w:t>2-甲氧基-1-丙醇</w:t>
            </w:r>
          </w:p>
        </w:tc>
        <w:tc>
          <w:tcPr>
            <w:tcW w:w="380" w:type="pct"/>
            <w:shd w:val="clear" w:color="auto" w:fill="auto"/>
            <w:vAlign w:val="center"/>
          </w:tcPr>
          <w:p w14:paraId="3CDD8F9D">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0.023</w:t>
            </w:r>
          </w:p>
        </w:tc>
        <w:tc>
          <w:tcPr>
            <w:tcW w:w="445" w:type="pct"/>
            <w:shd w:val="clear" w:color="auto" w:fill="auto"/>
            <w:vAlign w:val="center"/>
          </w:tcPr>
          <w:p w14:paraId="616B7A07">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ascii="Times New Roman" w:hAnsi="Times New Roman" w:eastAsia="仿宋_GB2312" w:cs="Times New Roman"/>
                <w:color w:val="auto"/>
                <w:kern w:val="0"/>
                <w:szCs w:val="21"/>
                <w:lang w:val="en-US" w:eastAsia="zh-CN" w:bidi="ar"/>
              </w:rPr>
              <w:t>0.0079</w:t>
            </w:r>
          </w:p>
        </w:tc>
        <w:tc>
          <w:tcPr>
            <w:tcW w:w="630" w:type="pct"/>
            <w:vMerge w:val="continue"/>
            <w:vAlign w:val="center"/>
          </w:tcPr>
          <w:p w14:paraId="7A00FB22">
            <w:pPr>
              <w:jc w:val="center"/>
              <w:rPr>
                <w:rFonts w:eastAsia="仿宋_GB2312"/>
                <w:color w:val="auto"/>
                <w:szCs w:val="21"/>
              </w:rPr>
            </w:pPr>
          </w:p>
        </w:tc>
        <w:tc>
          <w:tcPr>
            <w:tcW w:w="292" w:type="pct"/>
            <w:vMerge w:val="continue"/>
            <w:vAlign w:val="center"/>
          </w:tcPr>
          <w:p w14:paraId="5BCE4D31">
            <w:pPr>
              <w:jc w:val="center"/>
              <w:rPr>
                <w:rFonts w:eastAsia="仿宋_GB2312"/>
                <w:color w:val="auto"/>
                <w:szCs w:val="21"/>
              </w:rPr>
            </w:pPr>
          </w:p>
        </w:tc>
      </w:tr>
      <w:tr w14:paraId="120CCE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restart"/>
            <w:vAlign w:val="center"/>
          </w:tcPr>
          <w:p w14:paraId="6D2BEBD4">
            <w:pPr>
              <w:jc w:val="center"/>
              <w:rPr>
                <w:rFonts w:eastAsia="仿宋_GB2312"/>
                <w:color w:val="auto"/>
                <w:szCs w:val="21"/>
              </w:rPr>
            </w:pPr>
            <w:r>
              <w:rPr>
                <w:rFonts w:eastAsia="仿宋_GB2312"/>
                <w:color w:val="auto"/>
                <w:szCs w:val="21"/>
              </w:rPr>
              <w:t>B-7车间</w:t>
            </w:r>
          </w:p>
        </w:tc>
        <w:tc>
          <w:tcPr>
            <w:tcW w:w="358" w:type="pct"/>
            <w:vMerge w:val="restart"/>
            <w:vAlign w:val="center"/>
          </w:tcPr>
          <w:p w14:paraId="6AF855FD">
            <w:pPr>
              <w:jc w:val="center"/>
              <w:rPr>
                <w:rFonts w:eastAsia="仿宋_GB2312"/>
                <w:color w:val="auto"/>
                <w:szCs w:val="21"/>
              </w:rPr>
            </w:pPr>
            <w:r>
              <w:rPr>
                <w:rFonts w:eastAsia="仿宋_GB2312"/>
                <w:color w:val="auto"/>
                <w:szCs w:val="21"/>
              </w:rPr>
              <w:t>甲醇</w:t>
            </w:r>
          </w:p>
        </w:tc>
        <w:tc>
          <w:tcPr>
            <w:tcW w:w="418" w:type="pct"/>
            <w:vMerge w:val="restart"/>
            <w:vAlign w:val="center"/>
          </w:tcPr>
          <w:p w14:paraId="2AFEE1AB">
            <w:pPr>
              <w:jc w:val="center"/>
              <w:rPr>
                <w:rFonts w:eastAsia="仿宋_GB2312"/>
                <w:color w:val="auto"/>
                <w:szCs w:val="21"/>
              </w:rPr>
            </w:pPr>
            <w:r>
              <w:rPr>
                <w:rFonts w:eastAsia="仿宋_GB2312"/>
                <w:color w:val="auto"/>
                <w:kern w:val="0"/>
                <w:szCs w:val="21"/>
                <w:lang w:bidi="ar"/>
              </w:rPr>
              <w:t>G</w:t>
            </w:r>
            <w:r>
              <w:rPr>
                <w:rFonts w:hint="eastAsia" w:eastAsia="仿宋_GB2312"/>
                <w:color w:val="auto"/>
                <w:kern w:val="0"/>
                <w:szCs w:val="21"/>
                <w:lang w:val="en-US" w:eastAsia="zh-CN" w:bidi="ar"/>
              </w:rPr>
              <w:t>3</w:t>
            </w:r>
            <w:r>
              <w:rPr>
                <w:rFonts w:eastAsia="仿宋_GB2312"/>
                <w:color w:val="auto"/>
                <w:kern w:val="0"/>
                <w:szCs w:val="21"/>
                <w:lang w:bidi="ar"/>
              </w:rPr>
              <w:t>-</w:t>
            </w:r>
            <w:r>
              <w:rPr>
                <w:rFonts w:hint="eastAsia" w:eastAsia="仿宋_GB2312"/>
                <w:color w:val="auto"/>
                <w:kern w:val="0"/>
                <w:szCs w:val="21"/>
                <w:lang w:val="en-US" w:eastAsia="zh-CN" w:bidi="ar"/>
              </w:rPr>
              <w:t>7</w:t>
            </w:r>
            <w:r>
              <w:rPr>
                <w:rFonts w:eastAsia="仿宋_GB2312"/>
                <w:color w:val="auto"/>
                <w:kern w:val="0"/>
                <w:szCs w:val="21"/>
                <w:lang w:bidi="ar"/>
              </w:rPr>
              <w:t>-1</w:t>
            </w:r>
          </w:p>
        </w:tc>
        <w:tc>
          <w:tcPr>
            <w:tcW w:w="446" w:type="pct"/>
            <w:vMerge w:val="restart"/>
            <w:vAlign w:val="center"/>
          </w:tcPr>
          <w:p w14:paraId="193F4D82">
            <w:pPr>
              <w:jc w:val="center"/>
              <w:rPr>
                <w:rFonts w:eastAsia="仿宋_GB2312"/>
                <w:color w:val="auto"/>
                <w:szCs w:val="21"/>
              </w:rPr>
            </w:pPr>
            <w:r>
              <w:rPr>
                <w:rFonts w:eastAsia="仿宋_GB2312"/>
                <w:color w:val="auto"/>
                <w:kern w:val="0"/>
                <w:szCs w:val="21"/>
                <w:lang w:bidi="ar"/>
              </w:rPr>
              <w:t>投料废气</w:t>
            </w:r>
          </w:p>
        </w:tc>
        <w:tc>
          <w:tcPr>
            <w:tcW w:w="361" w:type="pct"/>
            <w:vMerge w:val="restart"/>
            <w:vAlign w:val="center"/>
          </w:tcPr>
          <w:p w14:paraId="451A4512">
            <w:pPr>
              <w:jc w:val="center"/>
              <w:rPr>
                <w:rFonts w:hint="default" w:eastAsia="仿宋_GB2312"/>
                <w:color w:val="auto"/>
                <w:szCs w:val="21"/>
                <w:lang w:val="en-US" w:eastAsia="zh-CN"/>
              </w:rPr>
            </w:pPr>
            <w:r>
              <w:rPr>
                <w:rFonts w:hint="eastAsia" w:eastAsia="仿宋_GB2312"/>
                <w:color w:val="auto"/>
                <w:szCs w:val="21"/>
                <w:lang w:val="en-US" w:eastAsia="zh-CN"/>
              </w:rPr>
              <w:t>2000</w:t>
            </w:r>
          </w:p>
        </w:tc>
        <w:tc>
          <w:tcPr>
            <w:tcW w:w="498" w:type="pct"/>
            <w:vMerge w:val="restart"/>
            <w:shd w:val="clear" w:color="auto" w:fill="auto"/>
            <w:vAlign w:val="center"/>
          </w:tcPr>
          <w:p w14:paraId="5D8202F9">
            <w:pPr>
              <w:keepNext w:val="0"/>
              <w:keepLines w:val="0"/>
              <w:widowControl/>
              <w:suppressLineNumbers w:val="0"/>
              <w:jc w:val="center"/>
              <w:textAlignment w:val="bottom"/>
              <w:rPr>
                <w:rFonts w:eastAsia="仿宋_GB2312"/>
                <w:color w:val="auto"/>
                <w:kern w:val="0"/>
                <w:szCs w:val="21"/>
                <w:lang w:bidi="ar"/>
              </w:rPr>
            </w:pPr>
            <w:r>
              <w:rPr>
                <w:rFonts w:hint="default" w:ascii="Times New Roman" w:hAnsi="Times New Roman" w:eastAsia="宋体" w:cs="Times New Roman"/>
                <w:i w:val="0"/>
                <w:iCs w:val="0"/>
                <w:color w:val="auto"/>
                <w:kern w:val="0"/>
                <w:sz w:val="21"/>
                <w:szCs w:val="21"/>
                <w:u w:val="none"/>
                <w:lang w:val="en-US" w:eastAsia="zh-CN" w:bidi="ar"/>
              </w:rPr>
              <w:t>3570</w:t>
            </w:r>
          </w:p>
        </w:tc>
        <w:tc>
          <w:tcPr>
            <w:tcW w:w="820" w:type="pct"/>
            <w:shd w:val="clear" w:color="auto" w:fill="auto"/>
            <w:vAlign w:val="center"/>
          </w:tcPr>
          <w:p w14:paraId="6AA8878D">
            <w:pPr>
              <w:widowControl/>
              <w:jc w:val="center"/>
              <w:textAlignment w:val="center"/>
              <w:rPr>
                <w:rFonts w:hint="eastAsia" w:ascii="Times New Roman" w:hAnsi="Times New Roman" w:eastAsia="仿宋_GB2312" w:cs="Times New Roman"/>
                <w:b/>
                <w:bCs/>
                <w:color w:val="auto"/>
                <w:kern w:val="0"/>
                <w:sz w:val="21"/>
                <w:szCs w:val="21"/>
                <w:lang w:val="en-US" w:eastAsia="zh-CN" w:bidi="ar"/>
              </w:rPr>
            </w:pPr>
            <w:r>
              <w:rPr>
                <w:rFonts w:hint="eastAsia" w:eastAsia="仿宋_GB2312"/>
                <w:color w:val="auto"/>
                <w:kern w:val="0"/>
                <w:szCs w:val="21"/>
                <w:lang w:val="en-US" w:eastAsia="zh-CN" w:bidi="ar"/>
              </w:rPr>
              <w:t>甲醇</w:t>
            </w:r>
          </w:p>
        </w:tc>
        <w:tc>
          <w:tcPr>
            <w:tcW w:w="380" w:type="pct"/>
            <w:shd w:val="clear" w:color="auto" w:fill="auto"/>
            <w:vAlign w:val="center"/>
          </w:tcPr>
          <w:p w14:paraId="1563CA78">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5.05</w:t>
            </w:r>
          </w:p>
        </w:tc>
        <w:tc>
          <w:tcPr>
            <w:tcW w:w="445" w:type="pct"/>
            <w:shd w:val="clear" w:color="auto" w:fill="auto"/>
            <w:vAlign w:val="center"/>
          </w:tcPr>
          <w:p w14:paraId="29222DA9">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ascii="Times New Roman" w:hAnsi="Times New Roman" w:eastAsia="仿宋_GB2312" w:cs="Times New Roman"/>
                <w:color w:val="auto"/>
                <w:kern w:val="0"/>
                <w:szCs w:val="21"/>
                <w:lang w:val="en-US" w:eastAsia="zh-CN" w:bidi="ar"/>
              </w:rPr>
              <w:t>18.031</w:t>
            </w:r>
          </w:p>
        </w:tc>
        <w:tc>
          <w:tcPr>
            <w:tcW w:w="630" w:type="pct"/>
            <w:vMerge w:val="continue"/>
            <w:shd w:val="clear" w:color="auto" w:fill="auto"/>
            <w:vAlign w:val="center"/>
          </w:tcPr>
          <w:p w14:paraId="08667320">
            <w:pPr>
              <w:jc w:val="center"/>
              <w:rPr>
                <w:rFonts w:ascii="Times New Roman" w:hAnsi="Times New Roman" w:eastAsia="仿宋_GB2312" w:cs="Times New Roman"/>
                <w:color w:val="auto"/>
                <w:kern w:val="2"/>
                <w:sz w:val="21"/>
                <w:szCs w:val="21"/>
                <w:lang w:val="en-US" w:eastAsia="zh-CN" w:bidi="ar-SA"/>
              </w:rPr>
            </w:pPr>
          </w:p>
        </w:tc>
        <w:tc>
          <w:tcPr>
            <w:tcW w:w="292" w:type="pct"/>
            <w:vMerge w:val="continue"/>
            <w:shd w:val="clear" w:color="auto" w:fill="auto"/>
            <w:vAlign w:val="center"/>
          </w:tcPr>
          <w:p w14:paraId="39FD0754">
            <w:pPr>
              <w:jc w:val="center"/>
              <w:rPr>
                <w:rFonts w:ascii="Times New Roman" w:hAnsi="Times New Roman" w:eastAsia="仿宋_GB2312" w:cs="Times New Roman"/>
                <w:color w:val="auto"/>
                <w:kern w:val="2"/>
                <w:sz w:val="21"/>
                <w:szCs w:val="21"/>
                <w:lang w:val="en-US" w:eastAsia="zh-CN" w:bidi="ar-SA"/>
              </w:rPr>
            </w:pPr>
          </w:p>
        </w:tc>
      </w:tr>
      <w:tr w14:paraId="4FD4DE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22A69D2C">
            <w:pPr>
              <w:jc w:val="center"/>
              <w:rPr>
                <w:rFonts w:eastAsia="仿宋_GB2312"/>
                <w:color w:val="auto"/>
                <w:szCs w:val="21"/>
              </w:rPr>
            </w:pPr>
          </w:p>
        </w:tc>
        <w:tc>
          <w:tcPr>
            <w:tcW w:w="358" w:type="pct"/>
            <w:vMerge w:val="continue"/>
            <w:vAlign w:val="center"/>
          </w:tcPr>
          <w:p w14:paraId="6B0F1F73">
            <w:pPr>
              <w:jc w:val="center"/>
              <w:rPr>
                <w:rFonts w:eastAsia="仿宋_GB2312"/>
                <w:color w:val="auto"/>
                <w:szCs w:val="21"/>
              </w:rPr>
            </w:pPr>
          </w:p>
        </w:tc>
        <w:tc>
          <w:tcPr>
            <w:tcW w:w="418" w:type="pct"/>
            <w:vMerge w:val="continue"/>
            <w:vAlign w:val="center"/>
          </w:tcPr>
          <w:p w14:paraId="3A8F37D7">
            <w:pPr>
              <w:jc w:val="center"/>
              <w:rPr>
                <w:rFonts w:eastAsia="仿宋_GB2312"/>
                <w:color w:val="auto"/>
                <w:szCs w:val="21"/>
              </w:rPr>
            </w:pPr>
          </w:p>
        </w:tc>
        <w:tc>
          <w:tcPr>
            <w:tcW w:w="446" w:type="pct"/>
            <w:vMerge w:val="continue"/>
            <w:vAlign w:val="center"/>
          </w:tcPr>
          <w:p w14:paraId="6FD2E1F0">
            <w:pPr>
              <w:jc w:val="center"/>
              <w:rPr>
                <w:rFonts w:eastAsia="仿宋_GB2312"/>
                <w:color w:val="auto"/>
                <w:szCs w:val="21"/>
              </w:rPr>
            </w:pPr>
          </w:p>
        </w:tc>
        <w:tc>
          <w:tcPr>
            <w:tcW w:w="361" w:type="pct"/>
            <w:vMerge w:val="continue"/>
            <w:vAlign w:val="center"/>
          </w:tcPr>
          <w:p w14:paraId="38CD2D4F">
            <w:pPr>
              <w:jc w:val="center"/>
              <w:rPr>
                <w:rFonts w:eastAsia="仿宋_GB2312"/>
                <w:color w:val="auto"/>
                <w:szCs w:val="21"/>
              </w:rPr>
            </w:pPr>
          </w:p>
        </w:tc>
        <w:tc>
          <w:tcPr>
            <w:tcW w:w="498" w:type="pct"/>
            <w:vMerge w:val="continue"/>
            <w:shd w:val="clear" w:color="auto" w:fill="auto"/>
            <w:vAlign w:val="center"/>
          </w:tcPr>
          <w:p w14:paraId="6497AE95">
            <w:pPr>
              <w:keepNext w:val="0"/>
              <w:keepLines w:val="0"/>
              <w:widowControl/>
              <w:suppressLineNumbers w:val="0"/>
              <w:jc w:val="center"/>
              <w:textAlignment w:val="bottom"/>
              <w:rPr>
                <w:rFonts w:eastAsia="仿宋_GB2312"/>
                <w:color w:val="auto"/>
                <w:kern w:val="0"/>
                <w:szCs w:val="21"/>
                <w:lang w:bidi="ar"/>
              </w:rPr>
            </w:pPr>
          </w:p>
        </w:tc>
        <w:tc>
          <w:tcPr>
            <w:tcW w:w="820" w:type="pct"/>
            <w:shd w:val="clear" w:color="auto" w:fill="auto"/>
            <w:vAlign w:val="center"/>
          </w:tcPr>
          <w:p w14:paraId="707DD29B">
            <w:pPr>
              <w:widowControl/>
              <w:jc w:val="center"/>
              <w:textAlignment w:val="center"/>
              <w:rPr>
                <w:rFonts w:ascii="Times New Roman" w:hAnsi="Times New Roman" w:eastAsia="仿宋_GB2312" w:cs="Times New Roman"/>
                <w:b/>
                <w:bCs/>
                <w:color w:val="auto"/>
                <w:kern w:val="0"/>
                <w:sz w:val="21"/>
                <w:szCs w:val="21"/>
                <w:lang w:val="en-US" w:eastAsia="zh-CN" w:bidi="ar"/>
              </w:rPr>
            </w:pPr>
            <w:r>
              <w:rPr>
                <w:rFonts w:eastAsia="仿宋_GB2312"/>
                <w:color w:val="auto"/>
                <w:kern w:val="0"/>
                <w:szCs w:val="21"/>
                <w:lang w:bidi="ar"/>
              </w:rPr>
              <w:t>其他有机物</w:t>
            </w:r>
          </w:p>
        </w:tc>
        <w:tc>
          <w:tcPr>
            <w:tcW w:w="380" w:type="pct"/>
            <w:shd w:val="clear" w:color="auto" w:fill="auto"/>
            <w:vAlign w:val="center"/>
          </w:tcPr>
          <w:p w14:paraId="787B1298">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0.067</w:t>
            </w:r>
          </w:p>
        </w:tc>
        <w:tc>
          <w:tcPr>
            <w:tcW w:w="445" w:type="pct"/>
            <w:shd w:val="clear" w:color="auto" w:fill="auto"/>
            <w:vAlign w:val="center"/>
          </w:tcPr>
          <w:p w14:paraId="2C47A98B">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ascii="Times New Roman" w:hAnsi="Times New Roman" w:eastAsia="仿宋_GB2312" w:cs="Times New Roman"/>
                <w:color w:val="auto"/>
                <w:kern w:val="0"/>
                <w:szCs w:val="21"/>
                <w:lang w:val="en-US" w:eastAsia="zh-CN" w:bidi="ar"/>
              </w:rPr>
              <w:t>0.241</w:t>
            </w:r>
          </w:p>
        </w:tc>
        <w:tc>
          <w:tcPr>
            <w:tcW w:w="630" w:type="pct"/>
            <w:vMerge w:val="continue"/>
            <w:vAlign w:val="center"/>
          </w:tcPr>
          <w:p w14:paraId="78E8AF1A">
            <w:pPr>
              <w:jc w:val="center"/>
              <w:rPr>
                <w:rFonts w:eastAsia="仿宋_GB2312"/>
                <w:color w:val="auto"/>
                <w:szCs w:val="21"/>
              </w:rPr>
            </w:pPr>
          </w:p>
        </w:tc>
        <w:tc>
          <w:tcPr>
            <w:tcW w:w="292" w:type="pct"/>
            <w:vMerge w:val="continue"/>
            <w:vAlign w:val="center"/>
          </w:tcPr>
          <w:p w14:paraId="6BBF2332">
            <w:pPr>
              <w:jc w:val="center"/>
              <w:rPr>
                <w:rFonts w:eastAsia="仿宋_GB2312"/>
                <w:color w:val="auto"/>
                <w:szCs w:val="21"/>
              </w:rPr>
            </w:pPr>
          </w:p>
        </w:tc>
      </w:tr>
      <w:tr w14:paraId="639583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5179FED4">
            <w:pPr>
              <w:jc w:val="center"/>
              <w:rPr>
                <w:rFonts w:eastAsia="仿宋_GB2312"/>
                <w:color w:val="auto"/>
                <w:szCs w:val="21"/>
              </w:rPr>
            </w:pPr>
          </w:p>
        </w:tc>
        <w:tc>
          <w:tcPr>
            <w:tcW w:w="358" w:type="pct"/>
            <w:vMerge w:val="continue"/>
            <w:vAlign w:val="center"/>
          </w:tcPr>
          <w:p w14:paraId="289C3DE2">
            <w:pPr>
              <w:jc w:val="center"/>
              <w:rPr>
                <w:rFonts w:eastAsia="仿宋_GB2312"/>
                <w:color w:val="auto"/>
                <w:szCs w:val="21"/>
              </w:rPr>
            </w:pPr>
          </w:p>
        </w:tc>
        <w:tc>
          <w:tcPr>
            <w:tcW w:w="418" w:type="pct"/>
            <w:vMerge w:val="restart"/>
            <w:vAlign w:val="center"/>
          </w:tcPr>
          <w:p w14:paraId="63F8DE5B">
            <w:pPr>
              <w:jc w:val="center"/>
              <w:rPr>
                <w:rFonts w:eastAsia="仿宋_GB2312"/>
                <w:color w:val="auto"/>
                <w:szCs w:val="21"/>
              </w:rPr>
            </w:pPr>
            <w:r>
              <w:rPr>
                <w:rFonts w:eastAsia="仿宋_GB2312"/>
                <w:color w:val="auto"/>
                <w:kern w:val="0"/>
                <w:szCs w:val="21"/>
                <w:lang w:bidi="ar"/>
              </w:rPr>
              <w:t>G</w:t>
            </w:r>
            <w:r>
              <w:rPr>
                <w:rFonts w:hint="eastAsia" w:eastAsia="仿宋_GB2312"/>
                <w:color w:val="auto"/>
                <w:kern w:val="0"/>
                <w:szCs w:val="21"/>
                <w:lang w:val="en-US" w:eastAsia="zh-CN" w:bidi="ar"/>
              </w:rPr>
              <w:t>3</w:t>
            </w:r>
            <w:r>
              <w:rPr>
                <w:rFonts w:eastAsia="仿宋_GB2312"/>
                <w:color w:val="auto"/>
                <w:kern w:val="0"/>
                <w:szCs w:val="21"/>
                <w:lang w:bidi="ar"/>
              </w:rPr>
              <w:t>-</w:t>
            </w:r>
            <w:r>
              <w:rPr>
                <w:rFonts w:hint="eastAsia" w:eastAsia="仿宋_GB2312"/>
                <w:color w:val="auto"/>
                <w:kern w:val="0"/>
                <w:szCs w:val="21"/>
                <w:lang w:val="en-US" w:eastAsia="zh-CN" w:bidi="ar"/>
              </w:rPr>
              <w:t>7</w:t>
            </w:r>
            <w:r>
              <w:rPr>
                <w:rFonts w:eastAsia="仿宋_GB2312"/>
                <w:color w:val="auto"/>
                <w:kern w:val="0"/>
                <w:szCs w:val="21"/>
                <w:lang w:bidi="ar"/>
              </w:rPr>
              <w:t>-2</w:t>
            </w:r>
          </w:p>
        </w:tc>
        <w:tc>
          <w:tcPr>
            <w:tcW w:w="446" w:type="pct"/>
            <w:vMerge w:val="restart"/>
            <w:vAlign w:val="center"/>
          </w:tcPr>
          <w:p w14:paraId="5D8FE5B6">
            <w:pPr>
              <w:jc w:val="center"/>
              <w:rPr>
                <w:rFonts w:eastAsia="仿宋_GB2312"/>
                <w:color w:val="auto"/>
                <w:szCs w:val="21"/>
              </w:rPr>
            </w:pPr>
            <w:r>
              <w:rPr>
                <w:rFonts w:eastAsia="仿宋_GB2312"/>
                <w:color w:val="auto"/>
                <w:kern w:val="0"/>
                <w:szCs w:val="21"/>
                <w:lang w:bidi="ar"/>
              </w:rPr>
              <w:t>调节废气</w:t>
            </w:r>
          </w:p>
        </w:tc>
        <w:tc>
          <w:tcPr>
            <w:tcW w:w="361" w:type="pct"/>
            <w:vMerge w:val="restart"/>
            <w:vAlign w:val="center"/>
          </w:tcPr>
          <w:p w14:paraId="3CEBA677">
            <w:pPr>
              <w:jc w:val="center"/>
              <w:rPr>
                <w:rFonts w:eastAsia="仿宋_GB2312"/>
                <w:color w:val="auto"/>
                <w:szCs w:val="21"/>
              </w:rPr>
            </w:pPr>
            <w:r>
              <w:rPr>
                <w:rFonts w:hint="eastAsia" w:eastAsia="仿宋_GB2312"/>
                <w:color w:val="auto"/>
                <w:szCs w:val="21"/>
                <w:lang w:val="en-US" w:eastAsia="zh-CN"/>
              </w:rPr>
              <w:t>1</w:t>
            </w:r>
            <w:r>
              <w:rPr>
                <w:rFonts w:eastAsia="仿宋_GB2312"/>
                <w:color w:val="auto"/>
                <w:szCs w:val="21"/>
              </w:rPr>
              <w:t>00</w:t>
            </w:r>
          </w:p>
        </w:tc>
        <w:tc>
          <w:tcPr>
            <w:tcW w:w="498" w:type="pct"/>
            <w:vMerge w:val="restart"/>
            <w:shd w:val="clear" w:color="auto" w:fill="auto"/>
            <w:vAlign w:val="center"/>
          </w:tcPr>
          <w:p w14:paraId="3DAC0C3D">
            <w:pPr>
              <w:keepNext w:val="0"/>
              <w:keepLines w:val="0"/>
              <w:widowControl/>
              <w:suppressLineNumbers w:val="0"/>
              <w:jc w:val="center"/>
              <w:textAlignment w:val="bottom"/>
              <w:rPr>
                <w:rFonts w:eastAsia="仿宋_GB2312"/>
                <w:color w:val="auto"/>
                <w:kern w:val="0"/>
                <w:szCs w:val="21"/>
                <w:lang w:bidi="ar"/>
              </w:rPr>
            </w:pPr>
            <w:r>
              <w:rPr>
                <w:rFonts w:hint="default" w:ascii="Times New Roman" w:hAnsi="Times New Roman" w:eastAsia="宋体" w:cs="Times New Roman"/>
                <w:i w:val="0"/>
                <w:iCs w:val="0"/>
                <w:color w:val="auto"/>
                <w:kern w:val="0"/>
                <w:sz w:val="21"/>
                <w:szCs w:val="21"/>
                <w:u w:val="none"/>
                <w:lang w:val="en-US" w:eastAsia="zh-CN" w:bidi="ar"/>
              </w:rPr>
              <w:t>3570</w:t>
            </w:r>
          </w:p>
        </w:tc>
        <w:tc>
          <w:tcPr>
            <w:tcW w:w="820" w:type="pct"/>
            <w:shd w:val="clear" w:color="auto" w:fill="auto"/>
            <w:vAlign w:val="center"/>
          </w:tcPr>
          <w:p w14:paraId="05847C0C">
            <w:pPr>
              <w:widowControl/>
              <w:jc w:val="center"/>
              <w:textAlignment w:val="center"/>
              <w:rPr>
                <w:rFonts w:ascii="Times New Roman" w:hAnsi="Times New Roman" w:eastAsia="仿宋_GB2312" w:cs="Times New Roman"/>
                <w:b/>
                <w:bCs/>
                <w:color w:val="auto"/>
                <w:kern w:val="0"/>
                <w:sz w:val="21"/>
                <w:szCs w:val="21"/>
                <w:lang w:val="en-US" w:eastAsia="zh-CN" w:bidi="ar"/>
              </w:rPr>
            </w:pPr>
            <w:r>
              <w:rPr>
                <w:rFonts w:hint="eastAsia" w:eastAsia="仿宋_GB2312"/>
                <w:color w:val="auto"/>
                <w:kern w:val="0"/>
                <w:szCs w:val="21"/>
                <w:lang w:val="en-US" w:eastAsia="zh-CN" w:bidi="ar"/>
              </w:rPr>
              <w:t>甲醇</w:t>
            </w:r>
          </w:p>
        </w:tc>
        <w:tc>
          <w:tcPr>
            <w:tcW w:w="380" w:type="pct"/>
            <w:shd w:val="clear" w:color="auto" w:fill="auto"/>
            <w:vAlign w:val="center"/>
          </w:tcPr>
          <w:p w14:paraId="7C2DCD60">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2.55</w:t>
            </w:r>
          </w:p>
        </w:tc>
        <w:tc>
          <w:tcPr>
            <w:tcW w:w="445" w:type="pct"/>
            <w:shd w:val="clear" w:color="auto" w:fill="auto"/>
            <w:vAlign w:val="center"/>
          </w:tcPr>
          <w:p w14:paraId="0BCA09D7">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9.107</w:t>
            </w:r>
          </w:p>
        </w:tc>
        <w:tc>
          <w:tcPr>
            <w:tcW w:w="630" w:type="pct"/>
            <w:vMerge w:val="restart"/>
            <w:shd w:val="clear" w:color="auto" w:fill="auto"/>
            <w:vAlign w:val="center"/>
          </w:tcPr>
          <w:p w14:paraId="0DACE401">
            <w:pPr>
              <w:widowControl/>
              <w:jc w:val="center"/>
              <w:textAlignment w:val="center"/>
              <w:rPr>
                <w:rFonts w:ascii="Times New Roman" w:hAnsi="Times New Roman" w:eastAsia="仿宋_GB2312" w:cs="Times New Roman"/>
                <w:color w:val="auto"/>
                <w:kern w:val="2"/>
                <w:sz w:val="21"/>
                <w:szCs w:val="21"/>
                <w:lang w:val="en-US" w:eastAsia="zh-CN" w:bidi="ar-SA"/>
              </w:rPr>
            </w:pPr>
            <w:r>
              <w:rPr>
                <w:rFonts w:hint="eastAsia" w:eastAsia="仿宋_GB2312"/>
                <w:color w:val="auto"/>
                <w:szCs w:val="21"/>
              </w:rPr>
              <w:t>预处理（冷凝+稀酸吸收+碱吸收+水吸收+除雾）+</w:t>
            </w:r>
            <w:r>
              <w:rPr>
                <w:rFonts w:eastAsia="仿宋_GB2312"/>
                <w:color w:val="auto"/>
                <w:szCs w:val="21"/>
              </w:rPr>
              <w:t>焚烧</w:t>
            </w:r>
          </w:p>
        </w:tc>
        <w:tc>
          <w:tcPr>
            <w:tcW w:w="292" w:type="pct"/>
            <w:vMerge w:val="restart"/>
            <w:shd w:val="clear" w:color="auto" w:fill="auto"/>
            <w:vAlign w:val="center"/>
          </w:tcPr>
          <w:p w14:paraId="355810AE">
            <w:pPr>
              <w:widowControl/>
              <w:jc w:val="center"/>
              <w:textAlignment w:val="center"/>
              <w:rPr>
                <w:rFonts w:ascii="Times New Roman" w:hAnsi="Times New Roman" w:eastAsia="仿宋_GB2312" w:cs="Times New Roman"/>
                <w:color w:val="auto"/>
                <w:kern w:val="2"/>
                <w:sz w:val="21"/>
                <w:szCs w:val="21"/>
                <w:lang w:val="en-US" w:eastAsia="zh-CN" w:bidi="ar-SA"/>
              </w:rPr>
            </w:pPr>
            <w:r>
              <w:rPr>
                <w:rFonts w:hint="eastAsia" w:eastAsia="仿宋_GB2312"/>
                <w:color w:val="auto"/>
                <w:kern w:val="0"/>
                <w:szCs w:val="21"/>
                <w:lang w:bidi="ar"/>
              </w:rPr>
              <w:t>DA002</w:t>
            </w:r>
          </w:p>
        </w:tc>
      </w:tr>
      <w:tr w14:paraId="1C9637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2E09F2AF">
            <w:pPr>
              <w:jc w:val="center"/>
              <w:rPr>
                <w:rFonts w:eastAsia="仿宋_GB2312"/>
                <w:color w:val="auto"/>
                <w:szCs w:val="21"/>
              </w:rPr>
            </w:pPr>
          </w:p>
        </w:tc>
        <w:tc>
          <w:tcPr>
            <w:tcW w:w="358" w:type="pct"/>
            <w:vMerge w:val="continue"/>
            <w:vAlign w:val="center"/>
          </w:tcPr>
          <w:p w14:paraId="1B7108E5">
            <w:pPr>
              <w:jc w:val="center"/>
              <w:rPr>
                <w:rFonts w:eastAsia="仿宋_GB2312"/>
                <w:color w:val="auto"/>
                <w:szCs w:val="21"/>
              </w:rPr>
            </w:pPr>
          </w:p>
        </w:tc>
        <w:tc>
          <w:tcPr>
            <w:tcW w:w="418" w:type="pct"/>
            <w:vMerge w:val="continue"/>
            <w:vAlign w:val="center"/>
          </w:tcPr>
          <w:p w14:paraId="73242BD1">
            <w:pPr>
              <w:jc w:val="center"/>
              <w:rPr>
                <w:rFonts w:eastAsia="仿宋_GB2312"/>
                <w:color w:val="auto"/>
                <w:szCs w:val="21"/>
              </w:rPr>
            </w:pPr>
          </w:p>
        </w:tc>
        <w:tc>
          <w:tcPr>
            <w:tcW w:w="446" w:type="pct"/>
            <w:vMerge w:val="continue"/>
            <w:vAlign w:val="center"/>
          </w:tcPr>
          <w:p w14:paraId="23D10690">
            <w:pPr>
              <w:jc w:val="center"/>
              <w:rPr>
                <w:rFonts w:eastAsia="仿宋_GB2312"/>
                <w:color w:val="auto"/>
                <w:szCs w:val="21"/>
              </w:rPr>
            </w:pPr>
          </w:p>
        </w:tc>
        <w:tc>
          <w:tcPr>
            <w:tcW w:w="361" w:type="pct"/>
            <w:vMerge w:val="continue"/>
            <w:vAlign w:val="center"/>
          </w:tcPr>
          <w:p w14:paraId="7FF2A7B9">
            <w:pPr>
              <w:jc w:val="center"/>
              <w:rPr>
                <w:rFonts w:eastAsia="仿宋_GB2312"/>
                <w:color w:val="auto"/>
                <w:szCs w:val="21"/>
              </w:rPr>
            </w:pPr>
          </w:p>
        </w:tc>
        <w:tc>
          <w:tcPr>
            <w:tcW w:w="498" w:type="pct"/>
            <w:vMerge w:val="continue"/>
            <w:shd w:val="clear" w:color="auto" w:fill="auto"/>
            <w:vAlign w:val="center"/>
          </w:tcPr>
          <w:p w14:paraId="43348A43">
            <w:pPr>
              <w:keepNext w:val="0"/>
              <w:keepLines w:val="0"/>
              <w:widowControl/>
              <w:suppressLineNumbers w:val="0"/>
              <w:jc w:val="center"/>
              <w:textAlignment w:val="bottom"/>
              <w:rPr>
                <w:rFonts w:eastAsia="仿宋_GB2312"/>
                <w:color w:val="auto"/>
                <w:kern w:val="0"/>
                <w:szCs w:val="21"/>
                <w:lang w:bidi="ar"/>
              </w:rPr>
            </w:pPr>
          </w:p>
        </w:tc>
        <w:tc>
          <w:tcPr>
            <w:tcW w:w="820" w:type="pct"/>
            <w:shd w:val="clear" w:color="auto" w:fill="auto"/>
            <w:vAlign w:val="center"/>
          </w:tcPr>
          <w:p w14:paraId="545F604E">
            <w:pPr>
              <w:widowControl/>
              <w:jc w:val="center"/>
              <w:textAlignment w:val="center"/>
              <w:rPr>
                <w:rFonts w:ascii="Times New Roman" w:hAnsi="Times New Roman" w:eastAsia="仿宋_GB2312" w:cs="Times New Roman"/>
                <w:b/>
                <w:bCs/>
                <w:color w:val="auto"/>
                <w:kern w:val="0"/>
                <w:sz w:val="21"/>
                <w:szCs w:val="21"/>
                <w:lang w:val="en-US" w:eastAsia="zh-CN" w:bidi="ar"/>
              </w:rPr>
            </w:pPr>
            <w:r>
              <w:rPr>
                <w:rFonts w:eastAsia="仿宋_GB2312"/>
                <w:color w:val="auto"/>
                <w:kern w:val="0"/>
                <w:szCs w:val="21"/>
                <w:lang w:bidi="ar"/>
              </w:rPr>
              <w:t>其他有机物</w:t>
            </w:r>
          </w:p>
        </w:tc>
        <w:tc>
          <w:tcPr>
            <w:tcW w:w="380" w:type="pct"/>
            <w:shd w:val="clear" w:color="auto" w:fill="auto"/>
            <w:vAlign w:val="center"/>
          </w:tcPr>
          <w:p w14:paraId="7A096E37">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0.034</w:t>
            </w:r>
          </w:p>
        </w:tc>
        <w:tc>
          <w:tcPr>
            <w:tcW w:w="445" w:type="pct"/>
            <w:shd w:val="clear" w:color="auto" w:fill="auto"/>
            <w:vAlign w:val="center"/>
          </w:tcPr>
          <w:p w14:paraId="1B7B42E9">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bidi="ar"/>
              </w:rPr>
              <w:t>0.122</w:t>
            </w:r>
          </w:p>
        </w:tc>
        <w:tc>
          <w:tcPr>
            <w:tcW w:w="630" w:type="pct"/>
            <w:vMerge w:val="continue"/>
            <w:vAlign w:val="center"/>
          </w:tcPr>
          <w:p w14:paraId="55410F06">
            <w:pPr>
              <w:jc w:val="center"/>
              <w:rPr>
                <w:rFonts w:eastAsia="仿宋_GB2312"/>
                <w:color w:val="auto"/>
                <w:szCs w:val="21"/>
              </w:rPr>
            </w:pPr>
          </w:p>
        </w:tc>
        <w:tc>
          <w:tcPr>
            <w:tcW w:w="292" w:type="pct"/>
            <w:vMerge w:val="continue"/>
            <w:vAlign w:val="center"/>
          </w:tcPr>
          <w:p w14:paraId="32EAB0CC">
            <w:pPr>
              <w:jc w:val="center"/>
              <w:rPr>
                <w:rFonts w:eastAsia="仿宋_GB2312"/>
                <w:color w:val="auto"/>
                <w:szCs w:val="21"/>
              </w:rPr>
            </w:pPr>
          </w:p>
        </w:tc>
      </w:tr>
      <w:tr w14:paraId="4B5F67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3A1C9A70">
            <w:pPr>
              <w:jc w:val="center"/>
              <w:rPr>
                <w:rFonts w:eastAsia="仿宋_GB2312"/>
                <w:color w:val="auto"/>
                <w:szCs w:val="21"/>
              </w:rPr>
            </w:pPr>
          </w:p>
        </w:tc>
        <w:tc>
          <w:tcPr>
            <w:tcW w:w="358" w:type="pct"/>
            <w:vMerge w:val="continue"/>
            <w:vAlign w:val="center"/>
          </w:tcPr>
          <w:p w14:paraId="64B39ABD">
            <w:pPr>
              <w:jc w:val="center"/>
              <w:rPr>
                <w:rFonts w:eastAsia="仿宋_GB2312"/>
                <w:color w:val="auto"/>
                <w:szCs w:val="21"/>
              </w:rPr>
            </w:pPr>
          </w:p>
        </w:tc>
        <w:tc>
          <w:tcPr>
            <w:tcW w:w="418" w:type="pct"/>
            <w:vMerge w:val="restart"/>
            <w:vAlign w:val="center"/>
          </w:tcPr>
          <w:p w14:paraId="291F0612">
            <w:pPr>
              <w:jc w:val="center"/>
              <w:rPr>
                <w:rFonts w:eastAsia="仿宋_GB2312"/>
                <w:color w:val="auto"/>
                <w:szCs w:val="21"/>
              </w:rPr>
            </w:pPr>
            <w:r>
              <w:rPr>
                <w:rFonts w:eastAsia="仿宋_GB2312"/>
                <w:color w:val="auto"/>
                <w:kern w:val="0"/>
                <w:szCs w:val="21"/>
                <w:lang w:bidi="ar"/>
              </w:rPr>
              <w:t>G</w:t>
            </w:r>
            <w:r>
              <w:rPr>
                <w:rFonts w:hint="eastAsia" w:eastAsia="仿宋_GB2312"/>
                <w:color w:val="auto"/>
                <w:kern w:val="0"/>
                <w:szCs w:val="21"/>
                <w:lang w:val="en-US" w:eastAsia="zh-CN" w:bidi="ar"/>
              </w:rPr>
              <w:t>3</w:t>
            </w:r>
            <w:r>
              <w:rPr>
                <w:rFonts w:eastAsia="仿宋_GB2312"/>
                <w:color w:val="auto"/>
                <w:kern w:val="0"/>
                <w:szCs w:val="21"/>
                <w:lang w:bidi="ar"/>
              </w:rPr>
              <w:t>-</w:t>
            </w:r>
            <w:r>
              <w:rPr>
                <w:rFonts w:hint="eastAsia" w:eastAsia="仿宋_GB2312"/>
                <w:color w:val="auto"/>
                <w:kern w:val="0"/>
                <w:szCs w:val="21"/>
                <w:lang w:val="en-US" w:eastAsia="zh-CN" w:bidi="ar"/>
              </w:rPr>
              <w:t>7</w:t>
            </w:r>
            <w:r>
              <w:rPr>
                <w:rFonts w:eastAsia="仿宋_GB2312"/>
                <w:color w:val="auto"/>
                <w:kern w:val="0"/>
                <w:szCs w:val="21"/>
                <w:lang w:bidi="ar"/>
              </w:rPr>
              <w:t>-3</w:t>
            </w:r>
          </w:p>
        </w:tc>
        <w:tc>
          <w:tcPr>
            <w:tcW w:w="446" w:type="pct"/>
            <w:vMerge w:val="restart"/>
            <w:vAlign w:val="center"/>
          </w:tcPr>
          <w:p w14:paraId="71550592">
            <w:pPr>
              <w:jc w:val="center"/>
              <w:rPr>
                <w:rFonts w:eastAsia="仿宋_GB2312"/>
                <w:color w:val="auto"/>
                <w:szCs w:val="21"/>
              </w:rPr>
            </w:pPr>
            <w:r>
              <w:rPr>
                <w:rFonts w:eastAsia="仿宋_GB2312"/>
                <w:color w:val="auto"/>
                <w:kern w:val="0"/>
                <w:szCs w:val="21"/>
                <w:lang w:bidi="ar"/>
              </w:rPr>
              <w:t>不凝气</w:t>
            </w:r>
          </w:p>
        </w:tc>
        <w:tc>
          <w:tcPr>
            <w:tcW w:w="361" w:type="pct"/>
            <w:vMerge w:val="restart"/>
            <w:vAlign w:val="center"/>
          </w:tcPr>
          <w:p w14:paraId="5CAC6D9A">
            <w:pPr>
              <w:jc w:val="center"/>
              <w:rPr>
                <w:rFonts w:eastAsia="仿宋_GB2312"/>
                <w:color w:val="auto"/>
                <w:szCs w:val="21"/>
              </w:rPr>
            </w:pPr>
            <w:r>
              <w:rPr>
                <w:rFonts w:eastAsia="仿宋_GB2312"/>
                <w:color w:val="auto"/>
                <w:szCs w:val="21"/>
              </w:rPr>
              <w:t>360</w:t>
            </w:r>
          </w:p>
        </w:tc>
        <w:tc>
          <w:tcPr>
            <w:tcW w:w="498" w:type="pct"/>
            <w:vMerge w:val="restart"/>
            <w:shd w:val="clear" w:color="auto" w:fill="auto"/>
            <w:vAlign w:val="center"/>
          </w:tcPr>
          <w:p w14:paraId="37F4D9E2">
            <w:pPr>
              <w:keepNext w:val="0"/>
              <w:keepLines w:val="0"/>
              <w:widowControl/>
              <w:suppressLineNumbers w:val="0"/>
              <w:jc w:val="center"/>
              <w:textAlignment w:val="bottom"/>
              <w:rPr>
                <w:rFonts w:hint="eastAsia" w:eastAsia="仿宋_GB2312"/>
                <w:color w:val="auto"/>
                <w:kern w:val="0"/>
                <w:szCs w:val="21"/>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3570</w:t>
            </w:r>
          </w:p>
        </w:tc>
        <w:tc>
          <w:tcPr>
            <w:tcW w:w="820" w:type="pct"/>
            <w:shd w:val="clear" w:color="auto" w:fill="auto"/>
            <w:vAlign w:val="center"/>
          </w:tcPr>
          <w:p w14:paraId="34B76FE9">
            <w:pPr>
              <w:widowControl/>
              <w:jc w:val="center"/>
              <w:textAlignment w:val="center"/>
              <w:rPr>
                <w:rFonts w:ascii="Times New Roman" w:hAnsi="Times New Roman" w:eastAsia="仿宋_GB2312" w:cs="Times New Roman"/>
                <w:b/>
                <w:bCs/>
                <w:color w:val="auto"/>
                <w:kern w:val="0"/>
                <w:sz w:val="21"/>
                <w:szCs w:val="21"/>
                <w:lang w:val="en-US" w:eastAsia="zh-CN" w:bidi="ar"/>
              </w:rPr>
            </w:pPr>
            <w:r>
              <w:rPr>
                <w:rFonts w:hint="eastAsia" w:eastAsia="仿宋_GB2312"/>
                <w:color w:val="auto"/>
                <w:kern w:val="0"/>
                <w:szCs w:val="21"/>
                <w:lang w:val="en-US" w:eastAsia="zh-CN" w:bidi="ar"/>
              </w:rPr>
              <w:t>甲醇</w:t>
            </w:r>
          </w:p>
        </w:tc>
        <w:tc>
          <w:tcPr>
            <w:tcW w:w="380" w:type="pct"/>
            <w:shd w:val="clear" w:color="auto" w:fill="auto"/>
            <w:vAlign w:val="center"/>
          </w:tcPr>
          <w:p w14:paraId="447985A3">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0.419</w:t>
            </w:r>
          </w:p>
        </w:tc>
        <w:tc>
          <w:tcPr>
            <w:tcW w:w="445" w:type="pct"/>
            <w:shd w:val="clear" w:color="auto" w:fill="auto"/>
            <w:vAlign w:val="center"/>
          </w:tcPr>
          <w:p w14:paraId="53E4C496">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bidi="ar"/>
              </w:rPr>
              <w:t>1.49</w:t>
            </w:r>
            <w:r>
              <w:rPr>
                <w:rFonts w:hint="eastAsia" w:eastAsia="仿宋_GB2312"/>
                <w:color w:val="auto"/>
                <w:kern w:val="0"/>
                <w:szCs w:val="21"/>
                <w:lang w:val="en-US" w:eastAsia="zh-CN" w:bidi="ar"/>
              </w:rPr>
              <w:t>7</w:t>
            </w:r>
          </w:p>
        </w:tc>
        <w:tc>
          <w:tcPr>
            <w:tcW w:w="630" w:type="pct"/>
            <w:vMerge w:val="continue"/>
            <w:vAlign w:val="center"/>
          </w:tcPr>
          <w:p w14:paraId="18540A4A">
            <w:pPr>
              <w:jc w:val="center"/>
              <w:rPr>
                <w:rFonts w:eastAsia="仿宋_GB2312"/>
                <w:color w:val="auto"/>
                <w:szCs w:val="21"/>
              </w:rPr>
            </w:pPr>
          </w:p>
        </w:tc>
        <w:tc>
          <w:tcPr>
            <w:tcW w:w="292" w:type="pct"/>
            <w:vMerge w:val="continue"/>
            <w:vAlign w:val="center"/>
          </w:tcPr>
          <w:p w14:paraId="7943D34F">
            <w:pPr>
              <w:jc w:val="center"/>
              <w:rPr>
                <w:rFonts w:eastAsia="仿宋_GB2312"/>
                <w:color w:val="auto"/>
                <w:szCs w:val="21"/>
              </w:rPr>
            </w:pPr>
          </w:p>
        </w:tc>
      </w:tr>
      <w:tr w14:paraId="708159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7D53BA72">
            <w:pPr>
              <w:jc w:val="center"/>
              <w:rPr>
                <w:rFonts w:eastAsia="仿宋_GB2312"/>
                <w:color w:val="auto"/>
                <w:szCs w:val="21"/>
              </w:rPr>
            </w:pPr>
          </w:p>
        </w:tc>
        <w:tc>
          <w:tcPr>
            <w:tcW w:w="358" w:type="pct"/>
            <w:vMerge w:val="continue"/>
            <w:vAlign w:val="center"/>
          </w:tcPr>
          <w:p w14:paraId="1E22FA40">
            <w:pPr>
              <w:jc w:val="center"/>
              <w:rPr>
                <w:rFonts w:eastAsia="仿宋_GB2312"/>
                <w:color w:val="auto"/>
                <w:szCs w:val="21"/>
              </w:rPr>
            </w:pPr>
          </w:p>
        </w:tc>
        <w:tc>
          <w:tcPr>
            <w:tcW w:w="418" w:type="pct"/>
            <w:vMerge w:val="continue"/>
            <w:vAlign w:val="center"/>
          </w:tcPr>
          <w:p w14:paraId="3EFDFAD2">
            <w:pPr>
              <w:jc w:val="center"/>
              <w:rPr>
                <w:rFonts w:eastAsia="仿宋_GB2312"/>
                <w:color w:val="auto"/>
                <w:szCs w:val="21"/>
              </w:rPr>
            </w:pPr>
          </w:p>
        </w:tc>
        <w:tc>
          <w:tcPr>
            <w:tcW w:w="446" w:type="pct"/>
            <w:vMerge w:val="continue"/>
            <w:vAlign w:val="center"/>
          </w:tcPr>
          <w:p w14:paraId="6CFD6DD0">
            <w:pPr>
              <w:jc w:val="center"/>
              <w:rPr>
                <w:rFonts w:eastAsia="仿宋_GB2312"/>
                <w:color w:val="auto"/>
                <w:szCs w:val="21"/>
              </w:rPr>
            </w:pPr>
          </w:p>
        </w:tc>
        <w:tc>
          <w:tcPr>
            <w:tcW w:w="361" w:type="pct"/>
            <w:vMerge w:val="continue"/>
            <w:vAlign w:val="center"/>
          </w:tcPr>
          <w:p w14:paraId="33923D3C">
            <w:pPr>
              <w:jc w:val="center"/>
              <w:rPr>
                <w:rFonts w:eastAsia="仿宋_GB2312"/>
                <w:color w:val="auto"/>
                <w:szCs w:val="21"/>
              </w:rPr>
            </w:pPr>
          </w:p>
        </w:tc>
        <w:tc>
          <w:tcPr>
            <w:tcW w:w="498" w:type="pct"/>
            <w:vMerge w:val="continue"/>
            <w:shd w:val="clear" w:color="auto" w:fill="auto"/>
            <w:vAlign w:val="center"/>
          </w:tcPr>
          <w:p w14:paraId="59CE3B27">
            <w:pPr>
              <w:keepNext w:val="0"/>
              <w:keepLines w:val="0"/>
              <w:widowControl/>
              <w:suppressLineNumbers w:val="0"/>
              <w:jc w:val="center"/>
              <w:textAlignment w:val="bottom"/>
              <w:rPr>
                <w:rFonts w:eastAsia="仿宋_GB2312"/>
                <w:color w:val="auto"/>
                <w:kern w:val="0"/>
                <w:szCs w:val="21"/>
                <w:lang w:bidi="ar"/>
              </w:rPr>
            </w:pPr>
          </w:p>
        </w:tc>
        <w:tc>
          <w:tcPr>
            <w:tcW w:w="820" w:type="pct"/>
            <w:shd w:val="clear" w:color="auto" w:fill="auto"/>
            <w:vAlign w:val="center"/>
          </w:tcPr>
          <w:p w14:paraId="522F0F80">
            <w:pPr>
              <w:widowControl/>
              <w:jc w:val="center"/>
              <w:textAlignment w:val="center"/>
              <w:rPr>
                <w:rFonts w:ascii="Times New Roman" w:hAnsi="Times New Roman" w:eastAsia="仿宋_GB2312" w:cs="Times New Roman"/>
                <w:b/>
                <w:bCs/>
                <w:color w:val="auto"/>
                <w:kern w:val="0"/>
                <w:sz w:val="21"/>
                <w:szCs w:val="21"/>
                <w:lang w:val="en-US" w:eastAsia="zh-CN" w:bidi="ar"/>
              </w:rPr>
            </w:pPr>
            <w:r>
              <w:rPr>
                <w:rFonts w:eastAsia="仿宋_GB2312"/>
                <w:color w:val="auto"/>
                <w:kern w:val="0"/>
                <w:szCs w:val="21"/>
                <w:lang w:bidi="ar"/>
              </w:rPr>
              <w:t>其他有机物</w:t>
            </w:r>
          </w:p>
        </w:tc>
        <w:tc>
          <w:tcPr>
            <w:tcW w:w="380" w:type="pct"/>
            <w:shd w:val="clear" w:color="auto" w:fill="auto"/>
            <w:vAlign w:val="center"/>
          </w:tcPr>
          <w:p w14:paraId="6EC9E1CF">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0.005</w:t>
            </w:r>
          </w:p>
        </w:tc>
        <w:tc>
          <w:tcPr>
            <w:tcW w:w="445" w:type="pct"/>
            <w:shd w:val="clear" w:color="auto" w:fill="auto"/>
            <w:vAlign w:val="center"/>
          </w:tcPr>
          <w:p w14:paraId="5C5FDD22">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bidi="ar"/>
              </w:rPr>
              <w:t>0.02</w:t>
            </w:r>
          </w:p>
        </w:tc>
        <w:tc>
          <w:tcPr>
            <w:tcW w:w="630" w:type="pct"/>
            <w:vMerge w:val="continue"/>
            <w:vAlign w:val="center"/>
          </w:tcPr>
          <w:p w14:paraId="11534695">
            <w:pPr>
              <w:jc w:val="center"/>
              <w:rPr>
                <w:rFonts w:eastAsia="仿宋_GB2312"/>
                <w:color w:val="auto"/>
                <w:szCs w:val="21"/>
              </w:rPr>
            </w:pPr>
          </w:p>
        </w:tc>
        <w:tc>
          <w:tcPr>
            <w:tcW w:w="292" w:type="pct"/>
            <w:vMerge w:val="continue"/>
            <w:vAlign w:val="center"/>
          </w:tcPr>
          <w:p w14:paraId="1CD4EC20">
            <w:pPr>
              <w:jc w:val="center"/>
              <w:rPr>
                <w:rFonts w:eastAsia="仿宋_GB2312"/>
                <w:color w:val="auto"/>
                <w:szCs w:val="21"/>
              </w:rPr>
            </w:pPr>
          </w:p>
        </w:tc>
      </w:tr>
      <w:tr w14:paraId="1102D2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61D31DC5">
            <w:pPr>
              <w:jc w:val="center"/>
              <w:rPr>
                <w:rFonts w:eastAsia="仿宋_GB2312"/>
                <w:color w:val="auto"/>
                <w:szCs w:val="21"/>
              </w:rPr>
            </w:pPr>
          </w:p>
        </w:tc>
        <w:tc>
          <w:tcPr>
            <w:tcW w:w="358" w:type="pct"/>
            <w:vMerge w:val="continue"/>
            <w:vAlign w:val="center"/>
          </w:tcPr>
          <w:p w14:paraId="1C17EAB3">
            <w:pPr>
              <w:jc w:val="center"/>
              <w:rPr>
                <w:rFonts w:eastAsia="仿宋_GB2312"/>
                <w:color w:val="auto"/>
                <w:szCs w:val="21"/>
              </w:rPr>
            </w:pPr>
          </w:p>
        </w:tc>
        <w:tc>
          <w:tcPr>
            <w:tcW w:w="418" w:type="pct"/>
            <w:vMerge w:val="restart"/>
            <w:vAlign w:val="center"/>
          </w:tcPr>
          <w:p w14:paraId="0B42401F">
            <w:pPr>
              <w:jc w:val="center"/>
              <w:rPr>
                <w:rFonts w:eastAsia="仿宋_GB2312"/>
                <w:color w:val="auto"/>
                <w:szCs w:val="21"/>
              </w:rPr>
            </w:pPr>
            <w:r>
              <w:rPr>
                <w:rFonts w:eastAsia="仿宋_GB2312"/>
                <w:color w:val="auto"/>
                <w:kern w:val="0"/>
                <w:szCs w:val="21"/>
                <w:lang w:bidi="ar"/>
              </w:rPr>
              <w:t>G</w:t>
            </w:r>
            <w:r>
              <w:rPr>
                <w:rFonts w:hint="eastAsia" w:eastAsia="仿宋_GB2312"/>
                <w:color w:val="auto"/>
                <w:kern w:val="0"/>
                <w:szCs w:val="21"/>
                <w:lang w:val="en-US" w:eastAsia="zh-CN" w:bidi="ar"/>
              </w:rPr>
              <w:t>3</w:t>
            </w:r>
            <w:r>
              <w:rPr>
                <w:rFonts w:eastAsia="仿宋_GB2312"/>
                <w:color w:val="auto"/>
                <w:kern w:val="0"/>
                <w:szCs w:val="21"/>
                <w:lang w:bidi="ar"/>
              </w:rPr>
              <w:t>-</w:t>
            </w:r>
            <w:r>
              <w:rPr>
                <w:rFonts w:hint="eastAsia" w:eastAsia="仿宋_GB2312"/>
                <w:color w:val="auto"/>
                <w:kern w:val="0"/>
                <w:szCs w:val="21"/>
                <w:lang w:val="en-US" w:eastAsia="zh-CN" w:bidi="ar"/>
              </w:rPr>
              <w:t>7</w:t>
            </w:r>
            <w:r>
              <w:rPr>
                <w:rFonts w:eastAsia="仿宋_GB2312"/>
                <w:color w:val="auto"/>
                <w:kern w:val="0"/>
                <w:szCs w:val="21"/>
                <w:lang w:bidi="ar"/>
              </w:rPr>
              <w:t>-4</w:t>
            </w:r>
          </w:p>
        </w:tc>
        <w:tc>
          <w:tcPr>
            <w:tcW w:w="446" w:type="pct"/>
            <w:vMerge w:val="restart"/>
            <w:vAlign w:val="center"/>
          </w:tcPr>
          <w:p w14:paraId="51FBC9C7">
            <w:pPr>
              <w:jc w:val="center"/>
              <w:rPr>
                <w:rFonts w:eastAsia="仿宋_GB2312"/>
                <w:color w:val="auto"/>
                <w:szCs w:val="21"/>
              </w:rPr>
            </w:pPr>
            <w:r>
              <w:rPr>
                <w:rFonts w:eastAsia="仿宋_GB2312"/>
                <w:color w:val="auto"/>
                <w:kern w:val="0"/>
                <w:szCs w:val="21"/>
                <w:lang w:bidi="ar"/>
              </w:rPr>
              <w:t>不凝气</w:t>
            </w:r>
          </w:p>
        </w:tc>
        <w:tc>
          <w:tcPr>
            <w:tcW w:w="361" w:type="pct"/>
            <w:vMerge w:val="restart"/>
            <w:vAlign w:val="center"/>
          </w:tcPr>
          <w:p w14:paraId="3FB8C97B">
            <w:pPr>
              <w:jc w:val="center"/>
              <w:rPr>
                <w:rFonts w:eastAsia="仿宋_GB2312"/>
                <w:color w:val="auto"/>
                <w:szCs w:val="21"/>
              </w:rPr>
            </w:pPr>
            <w:r>
              <w:rPr>
                <w:rFonts w:eastAsia="仿宋_GB2312"/>
                <w:color w:val="auto"/>
                <w:szCs w:val="21"/>
              </w:rPr>
              <w:t>360</w:t>
            </w:r>
          </w:p>
        </w:tc>
        <w:tc>
          <w:tcPr>
            <w:tcW w:w="498" w:type="pct"/>
            <w:vMerge w:val="restart"/>
            <w:shd w:val="clear" w:color="auto" w:fill="auto"/>
            <w:vAlign w:val="center"/>
          </w:tcPr>
          <w:p w14:paraId="2F173835">
            <w:pPr>
              <w:keepNext w:val="0"/>
              <w:keepLines w:val="0"/>
              <w:widowControl/>
              <w:suppressLineNumbers w:val="0"/>
              <w:jc w:val="center"/>
              <w:textAlignment w:val="bottom"/>
              <w:rPr>
                <w:rFonts w:hint="eastAsia" w:eastAsia="仿宋_GB2312"/>
                <w:color w:val="auto"/>
                <w:kern w:val="0"/>
                <w:szCs w:val="21"/>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3570</w:t>
            </w:r>
          </w:p>
        </w:tc>
        <w:tc>
          <w:tcPr>
            <w:tcW w:w="820" w:type="pct"/>
            <w:shd w:val="clear" w:color="auto" w:fill="auto"/>
            <w:vAlign w:val="center"/>
          </w:tcPr>
          <w:p w14:paraId="61421045">
            <w:pPr>
              <w:widowControl/>
              <w:jc w:val="center"/>
              <w:textAlignment w:val="center"/>
              <w:rPr>
                <w:rFonts w:ascii="Times New Roman" w:hAnsi="Times New Roman" w:eastAsia="仿宋_GB2312" w:cs="Times New Roman"/>
                <w:b/>
                <w:bCs/>
                <w:color w:val="auto"/>
                <w:kern w:val="0"/>
                <w:sz w:val="21"/>
                <w:szCs w:val="21"/>
                <w:lang w:val="en-US" w:eastAsia="zh-CN" w:bidi="ar"/>
              </w:rPr>
            </w:pPr>
            <w:r>
              <w:rPr>
                <w:rFonts w:hint="eastAsia" w:eastAsia="仿宋_GB2312"/>
                <w:color w:val="auto"/>
                <w:kern w:val="0"/>
                <w:szCs w:val="21"/>
                <w:lang w:val="en-US" w:eastAsia="zh-CN" w:bidi="ar"/>
              </w:rPr>
              <w:t>甲醇</w:t>
            </w:r>
          </w:p>
        </w:tc>
        <w:tc>
          <w:tcPr>
            <w:tcW w:w="380" w:type="pct"/>
            <w:shd w:val="clear" w:color="auto" w:fill="auto"/>
            <w:vAlign w:val="center"/>
          </w:tcPr>
          <w:p w14:paraId="2E8D52E9">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94.8</w:t>
            </w:r>
          </w:p>
        </w:tc>
        <w:tc>
          <w:tcPr>
            <w:tcW w:w="445" w:type="pct"/>
            <w:shd w:val="clear" w:color="auto" w:fill="auto"/>
            <w:vAlign w:val="center"/>
          </w:tcPr>
          <w:p w14:paraId="5BCA848B">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338.439</w:t>
            </w:r>
          </w:p>
        </w:tc>
        <w:tc>
          <w:tcPr>
            <w:tcW w:w="630" w:type="pct"/>
            <w:vMerge w:val="continue"/>
            <w:vAlign w:val="center"/>
          </w:tcPr>
          <w:p w14:paraId="6DD401A7">
            <w:pPr>
              <w:jc w:val="center"/>
              <w:rPr>
                <w:rFonts w:eastAsia="仿宋_GB2312"/>
                <w:color w:val="auto"/>
                <w:szCs w:val="21"/>
              </w:rPr>
            </w:pPr>
          </w:p>
        </w:tc>
        <w:tc>
          <w:tcPr>
            <w:tcW w:w="292" w:type="pct"/>
            <w:vMerge w:val="continue"/>
            <w:vAlign w:val="center"/>
          </w:tcPr>
          <w:p w14:paraId="7BC3A294">
            <w:pPr>
              <w:jc w:val="center"/>
              <w:rPr>
                <w:rFonts w:eastAsia="仿宋_GB2312"/>
                <w:color w:val="auto"/>
                <w:szCs w:val="21"/>
              </w:rPr>
            </w:pPr>
          </w:p>
        </w:tc>
      </w:tr>
      <w:tr w14:paraId="27C9E52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3F626C47">
            <w:pPr>
              <w:jc w:val="center"/>
              <w:rPr>
                <w:rFonts w:eastAsia="仿宋_GB2312"/>
                <w:color w:val="auto"/>
                <w:szCs w:val="21"/>
              </w:rPr>
            </w:pPr>
          </w:p>
        </w:tc>
        <w:tc>
          <w:tcPr>
            <w:tcW w:w="358" w:type="pct"/>
            <w:vMerge w:val="continue"/>
            <w:vAlign w:val="center"/>
          </w:tcPr>
          <w:p w14:paraId="715A0FA4">
            <w:pPr>
              <w:jc w:val="center"/>
              <w:rPr>
                <w:rFonts w:eastAsia="仿宋_GB2312"/>
                <w:color w:val="auto"/>
                <w:szCs w:val="21"/>
              </w:rPr>
            </w:pPr>
          </w:p>
        </w:tc>
        <w:tc>
          <w:tcPr>
            <w:tcW w:w="418" w:type="pct"/>
            <w:vMerge w:val="continue"/>
            <w:vAlign w:val="center"/>
          </w:tcPr>
          <w:p w14:paraId="4B181C80">
            <w:pPr>
              <w:jc w:val="center"/>
              <w:rPr>
                <w:rFonts w:eastAsia="仿宋_GB2312"/>
                <w:color w:val="auto"/>
                <w:szCs w:val="21"/>
              </w:rPr>
            </w:pPr>
          </w:p>
        </w:tc>
        <w:tc>
          <w:tcPr>
            <w:tcW w:w="446" w:type="pct"/>
            <w:vMerge w:val="continue"/>
            <w:vAlign w:val="center"/>
          </w:tcPr>
          <w:p w14:paraId="5C125B83">
            <w:pPr>
              <w:jc w:val="center"/>
              <w:rPr>
                <w:rFonts w:eastAsia="仿宋_GB2312"/>
                <w:color w:val="auto"/>
                <w:szCs w:val="21"/>
              </w:rPr>
            </w:pPr>
          </w:p>
        </w:tc>
        <w:tc>
          <w:tcPr>
            <w:tcW w:w="361" w:type="pct"/>
            <w:vMerge w:val="continue"/>
            <w:vAlign w:val="center"/>
          </w:tcPr>
          <w:p w14:paraId="3FABDB91">
            <w:pPr>
              <w:jc w:val="center"/>
              <w:rPr>
                <w:rFonts w:eastAsia="仿宋_GB2312"/>
                <w:color w:val="auto"/>
                <w:szCs w:val="21"/>
              </w:rPr>
            </w:pPr>
          </w:p>
        </w:tc>
        <w:tc>
          <w:tcPr>
            <w:tcW w:w="498" w:type="pct"/>
            <w:vMerge w:val="continue"/>
            <w:shd w:val="clear" w:color="auto" w:fill="auto"/>
            <w:vAlign w:val="center"/>
          </w:tcPr>
          <w:p w14:paraId="6F9B773C">
            <w:pPr>
              <w:keepNext w:val="0"/>
              <w:keepLines w:val="0"/>
              <w:widowControl/>
              <w:suppressLineNumbers w:val="0"/>
              <w:jc w:val="center"/>
              <w:textAlignment w:val="bottom"/>
              <w:rPr>
                <w:rFonts w:eastAsia="仿宋_GB2312"/>
                <w:color w:val="auto"/>
                <w:kern w:val="0"/>
                <w:szCs w:val="21"/>
                <w:lang w:bidi="ar"/>
              </w:rPr>
            </w:pPr>
          </w:p>
        </w:tc>
        <w:tc>
          <w:tcPr>
            <w:tcW w:w="820" w:type="pct"/>
            <w:shd w:val="clear" w:color="auto" w:fill="auto"/>
            <w:vAlign w:val="center"/>
          </w:tcPr>
          <w:p w14:paraId="6805EC0B">
            <w:pPr>
              <w:widowControl/>
              <w:jc w:val="center"/>
              <w:textAlignment w:val="center"/>
              <w:rPr>
                <w:rFonts w:ascii="Times New Roman" w:hAnsi="Times New Roman" w:eastAsia="仿宋_GB2312" w:cs="Times New Roman"/>
                <w:b/>
                <w:bCs/>
                <w:color w:val="auto"/>
                <w:kern w:val="0"/>
                <w:sz w:val="21"/>
                <w:szCs w:val="21"/>
                <w:lang w:val="en-US" w:eastAsia="zh-CN" w:bidi="ar"/>
              </w:rPr>
            </w:pPr>
            <w:r>
              <w:rPr>
                <w:rFonts w:eastAsia="仿宋_GB2312"/>
                <w:color w:val="auto"/>
                <w:kern w:val="0"/>
                <w:szCs w:val="21"/>
                <w:lang w:bidi="ar"/>
              </w:rPr>
              <w:t>其他有机物</w:t>
            </w:r>
          </w:p>
        </w:tc>
        <w:tc>
          <w:tcPr>
            <w:tcW w:w="380" w:type="pct"/>
            <w:shd w:val="clear" w:color="auto" w:fill="auto"/>
            <w:vAlign w:val="center"/>
          </w:tcPr>
          <w:p w14:paraId="03EC7EAB">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0.453</w:t>
            </w:r>
          </w:p>
        </w:tc>
        <w:tc>
          <w:tcPr>
            <w:tcW w:w="445" w:type="pct"/>
            <w:shd w:val="clear" w:color="auto" w:fill="auto"/>
            <w:vAlign w:val="center"/>
          </w:tcPr>
          <w:p w14:paraId="5D697F8E">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1.618</w:t>
            </w:r>
          </w:p>
        </w:tc>
        <w:tc>
          <w:tcPr>
            <w:tcW w:w="630" w:type="pct"/>
            <w:vMerge w:val="continue"/>
            <w:vAlign w:val="center"/>
          </w:tcPr>
          <w:p w14:paraId="0EC4665A">
            <w:pPr>
              <w:jc w:val="center"/>
              <w:rPr>
                <w:rFonts w:eastAsia="仿宋_GB2312"/>
                <w:color w:val="auto"/>
                <w:szCs w:val="21"/>
              </w:rPr>
            </w:pPr>
          </w:p>
        </w:tc>
        <w:tc>
          <w:tcPr>
            <w:tcW w:w="292" w:type="pct"/>
            <w:vMerge w:val="continue"/>
            <w:vAlign w:val="center"/>
          </w:tcPr>
          <w:p w14:paraId="76D696C9">
            <w:pPr>
              <w:jc w:val="center"/>
              <w:rPr>
                <w:rFonts w:eastAsia="仿宋_GB2312"/>
                <w:color w:val="auto"/>
                <w:szCs w:val="21"/>
              </w:rPr>
            </w:pPr>
          </w:p>
        </w:tc>
      </w:tr>
      <w:tr w14:paraId="14DD15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17775FC9">
            <w:pPr>
              <w:jc w:val="center"/>
              <w:rPr>
                <w:rFonts w:eastAsia="仿宋_GB2312"/>
                <w:color w:val="auto"/>
                <w:szCs w:val="21"/>
              </w:rPr>
            </w:pPr>
          </w:p>
        </w:tc>
        <w:tc>
          <w:tcPr>
            <w:tcW w:w="358" w:type="pct"/>
            <w:vMerge w:val="continue"/>
            <w:vAlign w:val="center"/>
          </w:tcPr>
          <w:p w14:paraId="49DCB91F">
            <w:pPr>
              <w:jc w:val="center"/>
              <w:rPr>
                <w:rFonts w:eastAsia="仿宋_GB2312"/>
                <w:color w:val="auto"/>
                <w:szCs w:val="21"/>
              </w:rPr>
            </w:pPr>
          </w:p>
        </w:tc>
        <w:tc>
          <w:tcPr>
            <w:tcW w:w="418" w:type="pct"/>
            <w:vAlign w:val="center"/>
          </w:tcPr>
          <w:p w14:paraId="407357D7">
            <w:pPr>
              <w:jc w:val="center"/>
              <w:rPr>
                <w:rFonts w:eastAsia="仿宋_GB2312"/>
                <w:color w:val="auto"/>
                <w:szCs w:val="21"/>
              </w:rPr>
            </w:pPr>
            <w:r>
              <w:rPr>
                <w:rFonts w:eastAsia="仿宋_GB2312"/>
                <w:color w:val="auto"/>
                <w:kern w:val="0"/>
                <w:szCs w:val="21"/>
                <w:lang w:bidi="ar"/>
              </w:rPr>
              <w:t>G</w:t>
            </w:r>
            <w:r>
              <w:rPr>
                <w:rFonts w:hint="eastAsia" w:eastAsia="仿宋_GB2312"/>
                <w:color w:val="auto"/>
                <w:kern w:val="0"/>
                <w:szCs w:val="21"/>
                <w:lang w:val="en-US" w:eastAsia="zh-CN" w:bidi="ar"/>
              </w:rPr>
              <w:t>3</w:t>
            </w:r>
            <w:r>
              <w:rPr>
                <w:rFonts w:eastAsia="仿宋_GB2312"/>
                <w:color w:val="auto"/>
                <w:kern w:val="0"/>
                <w:szCs w:val="21"/>
                <w:lang w:bidi="ar"/>
              </w:rPr>
              <w:t>-</w:t>
            </w:r>
            <w:r>
              <w:rPr>
                <w:rFonts w:hint="eastAsia" w:eastAsia="仿宋_GB2312"/>
                <w:color w:val="auto"/>
                <w:kern w:val="0"/>
                <w:szCs w:val="21"/>
                <w:lang w:val="en-US" w:eastAsia="zh-CN" w:bidi="ar"/>
              </w:rPr>
              <w:t>7</w:t>
            </w:r>
            <w:r>
              <w:rPr>
                <w:rFonts w:eastAsia="仿宋_GB2312"/>
                <w:color w:val="auto"/>
                <w:kern w:val="0"/>
                <w:szCs w:val="21"/>
                <w:lang w:bidi="ar"/>
              </w:rPr>
              <w:t>-5</w:t>
            </w:r>
          </w:p>
        </w:tc>
        <w:tc>
          <w:tcPr>
            <w:tcW w:w="446" w:type="pct"/>
            <w:vAlign w:val="center"/>
          </w:tcPr>
          <w:p w14:paraId="4BFF13D2">
            <w:pPr>
              <w:jc w:val="center"/>
              <w:rPr>
                <w:rFonts w:eastAsia="仿宋_GB2312"/>
                <w:color w:val="auto"/>
                <w:szCs w:val="21"/>
              </w:rPr>
            </w:pPr>
            <w:r>
              <w:rPr>
                <w:rFonts w:eastAsia="仿宋_GB2312"/>
                <w:color w:val="auto"/>
                <w:kern w:val="0"/>
                <w:szCs w:val="21"/>
                <w:lang w:bidi="ar"/>
              </w:rPr>
              <w:t>灌装废气</w:t>
            </w:r>
          </w:p>
        </w:tc>
        <w:tc>
          <w:tcPr>
            <w:tcW w:w="361" w:type="pct"/>
            <w:vAlign w:val="center"/>
          </w:tcPr>
          <w:p w14:paraId="63559505">
            <w:pPr>
              <w:jc w:val="center"/>
              <w:rPr>
                <w:rFonts w:hint="default" w:eastAsia="仿宋_GB2312"/>
                <w:color w:val="auto"/>
                <w:szCs w:val="21"/>
                <w:lang w:val="en-US" w:eastAsia="zh-CN"/>
              </w:rPr>
            </w:pPr>
            <w:r>
              <w:rPr>
                <w:rFonts w:hint="eastAsia" w:eastAsia="仿宋_GB2312"/>
                <w:color w:val="auto"/>
                <w:szCs w:val="21"/>
                <w:lang w:val="en-US" w:eastAsia="zh-CN"/>
              </w:rPr>
              <w:t>2000</w:t>
            </w:r>
          </w:p>
        </w:tc>
        <w:tc>
          <w:tcPr>
            <w:tcW w:w="498" w:type="pct"/>
            <w:shd w:val="clear" w:color="auto" w:fill="auto"/>
            <w:vAlign w:val="center"/>
          </w:tcPr>
          <w:p w14:paraId="5443D7BA">
            <w:pPr>
              <w:keepNext w:val="0"/>
              <w:keepLines w:val="0"/>
              <w:widowControl/>
              <w:suppressLineNumbers w:val="0"/>
              <w:jc w:val="center"/>
              <w:textAlignment w:val="bottom"/>
              <w:rPr>
                <w:rFonts w:hint="eastAsia" w:eastAsia="仿宋_GB2312"/>
                <w:color w:val="auto"/>
                <w:kern w:val="0"/>
                <w:szCs w:val="21"/>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3570</w:t>
            </w:r>
          </w:p>
        </w:tc>
        <w:tc>
          <w:tcPr>
            <w:tcW w:w="820" w:type="pct"/>
            <w:shd w:val="clear" w:color="auto" w:fill="auto"/>
            <w:vAlign w:val="center"/>
          </w:tcPr>
          <w:p w14:paraId="151A15BB">
            <w:pPr>
              <w:widowControl/>
              <w:jc w:val="center"/>
              <w:textAlignment w:val="center"/>
              <w:rPr>
                <w:rFonts w:ascii="Times New Roman" w:hAnsi="Times New Roman" w:eastAsia="仿宋_GB2312" w:cs="Times New Roman"/>
                <w:b/>
                <w:bCs/>
                <w:color w:val="auto"/>
                <w:kern w:val="0"/>
                <w:sz w:val="21"/>
                <w:szCs w:val="21"/>
                <w:lang w:val="en-US" w:eastAsia="zh-CN" w:bidi="ar"/>
              </w:rPr>
            </w:pPr>
            <w:r>
              <w:rPr>
                <w:rFonts w:hint="eastAsia" w:eastAsia="仿宋_GB2312"/>
                <w:color w:val="auto"/>
                <w:kern w:val="0"/>
                <w:szCs w:val="21"/>
                <w:lang w:val="en-US" w:eastAsia="zh-CN" w:bidi="ar"/>
              </w:rPr>
              <w:t>甲醇</w:t>
            </w:r>
          </w:p>
        </w:tc>
        <w:tc>
          <w:tcPr>
            <w:tcW w:w="380" w:type="pct"/>
            <w:shd w:val="clear" w:color="auto" w:fill="auto"/>
            <w:vAlign w:val="center"/>
          </w:tcPr>
          <w:p w14:paraId="5FD0ABF3">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7.39</w:t>
            </w:r>
          </w:p>
        </w:tc>
        <w:tc>
          <w:tcPr>
            <w:tcW w:w="445" w:type="pct"/>
            <w:shd w:val="clear" w:color="auto" w:fill="auto"/>
            <w:vAlign w:val="center"/>
          </w:tcPr>
          <w:p w14:paraId="532C3D47">
            <w:pPr>
              <w:jc w:val="center"/>
              <w:rPr>
                <w:rFonts w:hint="default"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26.384</w:t>
            </w:r>
          </w:p>
        </w:tc>
        <w:tc>
          <w:tcPr>
            <w:tcW w:w="630" w:type="pct"/>
            <w:vMerge w:val="restart"/>
            <w:shd w:val="clear" w:color="auto" w:fill="auto"/>
            <w:vAlign w:val="center"/>
          </w:tcPr>
          <w:p w14:paraId="794C62EA">
            <w:pPr>
              <w:jc w:val="center"/>
              <w:rPr>
                <w:rFonts w:ascii="Times New Roman" w:hAnsi="Times New Roman" w:eastAsia="仿宋_GB2312" w:cs="Times New Roman"/>
                <w:color w:val="auto"/>
                <w:kern w:val="2"/>
                <w:sz w:val="21"/>
                <w:szCs w:val="21"/>
                <w:lang w:val="en-US" w:eastAsia="zh-CN" w:bidi="ar-SA"/>
              </w:rPr>
            </w:pPr>
            <w:r>
              <w:rPr>
                <w:rFonts w:hint="eastAsia" w:eastAsia="仿宋_GB2312"/>
                <w:color w:val="auto"/>
                <w:szCs w:val="21"/>
              </w:rPr>
              <w:t>冷凝+酸吸收+碱吸收+水洗+活性炭吸附/脱附</w:t>
            </w:r>
          </w:p>
        </w:tc>
        <w:tc>
          <w:tcPr>
            <w:tcW w:w="292" w:type="pct"/>
            <w:vMerge w:val="restart"/>
            <w:shd w:val="clear" w:color="auto" w:fill="auto"/>
            <w:vAlign w:val="center"/>
          </w:tcPr>
          <w:p w14:paraId="11842771">
            <w:pPr>
              <w:jc w:val="center"/>
              <w:rPr>
                <w:rFonts w:ascii="Times New Roman" w:hAnsi="Times New Roman" w:eastAsia="仿宋_GB2312" w:cs="Times New Roman"/>
                <w:color w:val="auto"/>
                <w:kern w:val="2"/>
                <w:sz w:val="21"/>
                <w:szCs w:val="21"/>
                <w:lang w:val="en-US" w:eastAsia="zh-CN" w:bidi="ar-SA"/>
              </w:rPr>
            </w:pPr>
            <w:r>
              <w:rPr>
                <w:rFonts w:hint="eastAsia" w:eastAsia="仿宋_GB2312"/>
                <w:color w:val="auto"/>
              </w:rPr>
              <w:t>DA005</w:t>
            </w:r>
          </w:p>
        </w:tc>
      </w:tr>
      <w:tr w14:paraId="26040A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restart"/>
            <w:vAlign w:val="center"/>
          </w:tcPr>
          <w:p w14:paraId="241FA016">
            <w:pPr>
              <w:jc w:val="center"/>
              <w:rPr>
                <w:rFonts w:eastAsia="仿宋_GB2312"/>
                <w:color w:val="auto"/>
                <w:szCs w:val="21"/>
              </w:rPr>
            </w:pPr>
            <w:r>
              <w:rPr>
                <w:rFonts w:eastAsia="仿宋_GB2312"/>
                <w:color w:val="auto"/>
                <w:szCs w:val="21"/>
              </w:rPr>
              <w:t>B-7车间</w:t>
            </w:r>
          </w:p>
        </w:tc>
        <w:tc>
          <w:tcPr>
            <w:tcW w:w="358" w:type="pct"/>
            <w:vMerge w:val="restart"/>
            <w:vAlign w:val="center"/>
          </w:tcPr>
          <w:p w14:paraId="2C874068">
            <w:pPr>
              <w:jc w:val="center"/>
              <w:rPr>
                <w:rFonts w:eastAsia="仿宋_GB2312"/>
                <w:color w:val="auto"/>
                <w:szCs w:val="21"/>
              </w:rPr>
            </w:pPr>
            <w:r>
              <w:rPr>
                <w:rFonts w:eastAsia="仿宋_GB2312"/>
                <w:color w:val="auto"/>
                <w:szCs w:val="21"/>
              </w:rPr>
              <w:t>乙腈</w:t>
            </w:r>
          </w:p>
        </w:tc>
        <w:tc>
          <w:tcPr>
            <w:tcW w:w="418" w:type="pct"/>
            <w:vMerge w:val="restart"/>
            <w:vAlign w:val="center"/>
          </w:tcPr>
          <w:p w14:paraId="4E1F0E4E">
            <w:pPr>
              <w:jc w:val="center"/>
              <w:rPr>
                <w:rFonts w:eastAsia="仿宋_GB2312"/>
                <w:color w:val="auto"/>
                <w:szCs w:val="21"/>
              </w:rPr>
            </w:pPr>
            <w:r>
              <w:rPr>
                <w:rFonts w:eastAsia="仿宋_GB2312"/>
                <w:color w:val="auto"/>
                <w:kern w:val="0"/>
                <w:szCs w:val="21"/>
                <w:lang w:bidi="ar"/>
              </w:rPr>
              <w:t>G</w:t>
            </w:r>
            <w:r>
              <w:rPr>
                <w:rFonts w:hint="eastAsia" w:eastAsia="仿宋_GB2312"/>
                <w:color w:val="auto"/>
                <w:kern w:val="0"/>
                <w:szCs w:val="21"/>
                <w:lang w:val="en-US" w:eastAsia="zh-CN" w:bidi="ar"/>
              </w:rPr>
              <w:t>3</w:t>
            </w:r>
            <w:r>
              <w:rPr>
                <w:rFonts w:eastAsia="仿宋_GB2312"/>
                <w:color w:val="auto"/>
                <w:kern w:val="0"/>
                <w:szCs w:val="21"/>
                <w:lang w:bidi="ar"/>
              </w:rPr>
              <w:t>-</w:t>
            </w:r>
            <w:r>
              <w:rPr>
                <w:rFonts w:hint="eastAsia" w:eastAsia="仿宋_GB2312"/>
                <w:color w:val="auto"/>
                <w:kern w:val="0"/>
                <w:szCs w:val="21"/>
                <w:lang w:val="en-US" w:eastAsia="zh-CN" w:bidi="ar"/>
              </w:rPr>
              <w:t>8</w:t>
            </w:r>
            <w:r>
              <w:rPr>
                <w:rFonts w:eastAsia="仿宋_GB2312"/>
                <w:color w:val="auto"/>
                <w:kern w:val="0"/>
                <w:szCs w:val="21"/>
                <w:lang w:bidi="ar"/>
              </w:rPr>
              <w:t>-1</w:t>
            </w:r>
          </w:p>
        </w:tc>
        <w:tc>
          <w:tcPr>
            <w:tcW w:w="446" w:type="pct"/>
            <w:vMerge w:val="restart"/>
            <w:vAlign w:val="center"/>
          </w:tcPr>
          <w:p w14:paraId="34893E34">
            <w:pPr>
              <w:jc w:val="center"/>
              <w:rPr>
                <w:rFonts w:eastAsia="仿宋_GB2312"/>
                <w:color w:val="auto"/>
                <w:szCs w:val="21"/>
              </w:rPr>
            </w:pPr>
            <w:r>
              <w:rPr>
                <w:rFonts w:eastAsia="仿宋_GB2312"/>
                <w:color w:val="auto"/>
                <w:kern w:val="0"/>
                <w:szCs w:val="21"/>
                <w:lang w:bidi="ar"/>
              </w:rPr>
              <w:t>投料废气</w:t>
            </w:r>
          </w:p>
        </w:tc>
        <w:tc>
          <w:tcPr>
            <w:tcW w:w="361" w:type="pct"/>
            <w:vMerge w:val="restart"/>
            <w:vAlign w:val="center"/>
          </w:tcPr>
          <w:p w14:paraId="78C42308">
            <w:pPr>
              <w:jc w:val="center"/>
              <w:rPr>
                <w:rFonts w:hint="default" w:eastAsia="仿宋_GB2312"/>
                <w:color w:val="auto"/>
                <w:szCs w:val="21"/>
                <w:lang w:val="en-US" w:eastAsia="zh-CN"/>
              </w:rPr>
            </w:pPr>
            <w:r>
              <w:rPr>
                <w:rFonts w:hint="eastAsia" w:eastAsia="仿宋_GB2312"/>
                <w:color w:val="auto"/>
                <w:szCs w:val="21"/>
                <w:lang w:val="en-US" w:eastAsia="zh-CN"/>
              </w:rPr>
              <w:t>2000</w:t>
            </w:r>
          </w:p>
        </w:tc>
        <w:tc>
          <w:tcPr>
            <w:tcW w:w="498" w:type="pct"/>
            <w:vMerge w:val="restart"/>
            <w:shd w:val="clear" w:color="auto" w:fill="auto"/>
            <w:vAlign w:val="center"/>
          </w:tcPr>
          <w:p w14:paraId="1F3F72DF">
            <w:pPr>
              <w:keepNext w:val="0"/>
              <w:keepLines w:val="0"/>
              <w:widowControl/>
              <w:suppressLineNumbers w:val="0"/>
              <w:jc w:val="center"/>
              <w:textAlignment w:val="bottom"/>
              <w:rPr>
                <w:rFonts w:hint="eastAsia" w:eastAsia="仿宋_GB2312"/>
                <w:color w:val="auto"/>
                <w:kern w:val="0"/>
                <w:szCs w:val="21"/>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4462</w:t>
            </w:r>
          </w:p>
        </w:tc>
        <w:tc>
          <w:tcPr>
            <w:tcW w:w="820" w:type="pct"/>
            <w:shd w:val="clear" w:color="auto" w:fill="auto"/>
            <w:vAlign w:val="center"/>
          </w:tcPr>
          <w:p w14:paraId="3CEEE88D">
            <w:pPr>
              <w:widowControl/>
              <w:jc w:val="center"/>
              <w:textAlignment w:val="center"/>
              <w:rPr>
                <w:rFonts w:hint="default" w:ascii="Times New Roman" w:hAnsi="Times New Roman" w:eastAsia="仿宋_GB2312" w:cs="Times New Roman"/>
                <w:b/>
                <w:bCs/>
                <w:color w:val="auto"/>
                <w:kern w:val="0"/>
                <w:sz w:val="21"/>
                <w:szCs w:val="21"/>
                <w:lang w:val="en-US" w:eastAsia="zh-CN" w:bidi="ar"/>
              </w:rPr>
            </w:pPr>
            <w:r>
              <w:rPr>
                <w:rFonts w:hint="eastAsia" w:eastAsia="仿宋_GB2312"/>
                <w:color w:val="auto"/>
                <w:kern w:val="0"/>
                <w:szCs w:val="21"/>
                <w:lang w:val="en-US" w:eastAsia="zh-CN" w:bidi="ar"/>
              </w:rPr>
              <w:t>乙腈</w:t>
            </w:r>
          </w:p>
        </w:tc>
        <w:tc>
          <w:tcPr>
            <w:tcW w:w="380" w:type="pct"/>
            <w:shd w:val="clear" w:color="auto" w:fill="auto"/>
            <w:vAlign w:val="center"/>
          </w:tcPr>
          <w:p w14:paraId="38641152">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4.03</w:t>
            </w:r>
          </w:p>
        </w:tc>
        <w:tc>
          <w:tcPr>
            <w:tcW w:w="445" w:type="pct"/>
            <w:shd w:val="clear" w:color="auto" w:fill="auto"/>
            <w:vAlign w:val="center"/>
          </w:tcPr>
          <w:p w14:paraId="56E5CEEB">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ascii="Times New Roman" w:hAnsi="Times New Roman" w:eastAsia="仿宋_GB2312" w:cs="Times New Roman"/>
                <w:color w:val="auto"/>
                <w:kern w:val="0"/>
                <w:szCs w:val="21"/>
                <w:lang w:val="en-US" w:eastAsia="zh-CN" w:bidi="ar"/>
              </w:rPr>
              <w:t>17.983</w:t>
            </w:r>
          </w:p>
        </w:tc>
        <w:tc>
          <w:tcPr>
            <w:tcW w:w="630" w:type="pct"/>
            <w:vMerge w:val="continue"/>
            <w:shd w:val="clear" w:color="auto" w:fill="auto"/>
            <w:vAlign w:val="center"/>
          </w:tcPr>
          <w:p w14:paraId="79A7A0CF">
            <w:pPr>
              <w:jc w:val="center"/>
              <w:rPr>
                <w:rFonts w:ascii="Times New Roman" w:hAnsi="Times New Roman" w:eastAsia="仿宋_GB2312" w:cs="Times New Roman"/>
                <w:color w:val="auto"/>
                <w:kern w:val="2"/>
                <w:sz w:val="21"/>
                <w:szCs w:val="21"/>
                <w:lang w:val="en-US" w:eastAsia="zh-CN" w:bidi="ar-SA"/>
              </w:rPr>
            </w:pPr>
          </w:p>
        </w:tc>
        <w:tc>
          <w:tcPr>
            <w:tcW w:w="292" w:type="pct"/>
            <w:vMerge w:val="continue"/>
            <w:shd w:val="clear" w:color="auto" w:fill="auto"/>
            <w:vAlign w:val="center"/>
          </w:tcPr>
          <w:p w14:paraId="32C72186">
            <w:pPr>
              <w:jc w:val="center"/>
              <w:rPr>
                <w:rFonts w:ascii="Times New Roman" w:hAnsi="Times New Roman" w:eastAsia="仿宋_GB2312" w:cs="Times New Roman"/>
                <w:color w:val="auto"/>
                <w:kern w:val="2"/>
                <w:sz w:val="21"/>
                <w:szCs w:val="21"/>
                <w:lang w:val="en-US" w:eastAsia="zh-CN" w:bidi="ar-SA"/>
              </w:rPr>
            </w:pPr>
          </w:p>
        </w:tc>
      </w:tr>
      <w:tr w14:paraId="368963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6FB18505">
            <w:pPr>
              <w:jc w:val="center"/>
              <w:rPr>
                <w:rFonts w:eastAsia="仿宋_GB2312"/>
                <w:color w:val="auto"/>
                <w:szCs w:val="21"/>
              </w:rPr>
            </w:pPr>
          </w:p>
        </w:tc>
        <w:tc>
          <w:tcPr>
            <w:tcW w:w="358" w:type="pct"/>
            <w:vMerge w:val="continue"/>
            <w:vAlign w:val="center"/>
          </w:tcPr>
          <w:p w14:paraId="47CA5C2A">
            <w:pPr>
              <w:jc w:val="center"/>
              <w:rPr>
                <w:rFonts w:eastAsia="仿宋_GB2312"/>
                <w:color w:val="auto"/>
                <w:szCs w:val="21"/>
              </w:rPr>
            </w:pPr>
          </w:p>
        </w:tc>
        <w:tc>
          <w:tcPr>
            <w:tcW w:w="418" w:type="pct"/>
            <w:vMerge w:val="continue"/>
            <w:vAlign w:val="center"/>
          </w:tcPr>
          <w:p w14:paraId="61469306">
            <w:pPr>
              <w:jc w:val="center"/>
              <w:rPr>
                <w:rFonts w:eastAsia="仿宋_GB2312"/>
                <w:color w:val="auto"/>
                <w:szCs w:val="21"/>
              </w:rPr>
            </w:pPr>
          </w:p>
        </w:tc>
        <w:tc>
          <w:tcPr>
            <w:tcW w:w="446" w:type="pct"/>
            <w:vMerge w:val="continue"/>
            <w:vAlign w:val="center"/>
          </w:tcPr>
          <w:p w14:paraId="5E7782BF">
            <w:pPr>
              <w:jc w:val="center"/>
              <w:rPr>
                <w:rFonts w:eastAsia="仿宋_GB2312"/>
                <w:color w:val="auto"/>
                <w:szCs w:val="21"/>
              </w:rPr>
            </w:pPr>
          </w:p>
        </w:tc>
        <w:tc>
          <w:tcPr>
            <w:tcW w:w="361" w:type="pct"/>
            <w:vMerge w:val="continue"/>
            <w:vAlign w:val="center"/>
          </w:tcPr>
          <w:p w14:paraId="33C8FECD">
            <w:pPr>
              <w:jc w:val="center"/>
              <w:rPr>
                <w:rFonts w:eastAsia="仿宋_GB2312"/>
                <w:color w:val="auto"/>
                <w:szCs w:val="21"/>
              </w:rPr>
            </w:pPr>
          </w:p>
        </w:tc>
        <w:tc>
          <w:tcPr>
            <w:tcW w:w="498" w:type="pct"/>
            <w:vMerge w:val="continue"/>
            <w:shd w:val="clear" w:color="auto" w:fill="auto"/>
            <w:vAlign w:val="center"/>
          </w:tcPr>
          <w:p w14:paraId="3BF3E73E">
            <w:pPr>
              <w:keepNext w:val="0"/>
              <w:keepLines w:val="0"/>
              <w:widowControl/>
              <w:suppressLineNumbers w:val="0"/>
              <w:jc w:val="center"/>
              <w:textAlignment w:val="bottom"/>
              <w:rPr>
                <w:rFonts w:hint="eastAsia" w:eastAsia="仿宋_GB2312"/>
                <w:color w:val="auto"/>
                <w:kern w:val="0"/>
                <w:szCs w:val="21"/>
                <w:lang w:val="en-US" w:eastAsia="zh-CN" w:bidi="ar"/>
              </w:rPr>
            </w:pPr>
          </w:p>
        </w:tc>
        <w:tc>
          <w:tcPr>
            <w:tcW w:w="820" w:type="pct"/>
            <w:shd w:val="clear" w:color="auto" w:fill="auto"/>
            <w:vAlign w:val="center"/>
          </w:tcPr>
          <w:p w14:paraId="375C14A3">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丙腈</w:t>
            </w:r>
          </w:p>
        </w:tc>
        <w:tc>
          <w:tcPr>
            <w:tcW w:w="380" w:type="pct"/>
            <w:shd w:val="clear" w:color="auto" w:fill="auto"/>
            <w:vAlign w:val="center"/>
          </w:tcPr>
          <w:p w14:paraId="141951BF">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0.003</w:t>
            </w:r>
          </w:p>
        </w:tc>
        <w:tc>
          <w:tcPr>
            <w:tcW w:w="445" w:type="pct"/>
            <w:shd w:val="clear" w:color="auto" w:fill="auto"/>
            <w:vAlign w:val="center"/>
          </w:tcPr>
          <w:p w14:paraId="41375DFA">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ascii="Times New Roman" w:hAnsi="Times New Roman" w:eastAsia="仿宋_GB2312" w:cs="Times New Roman"/>
                <w:color w:val="auto"/>
                <w:kern w:val="0"/>
                <w:szCs w:val="21"/>
                <w:lang w:val="en-US" w:eastAsia="zh-CN" w:bidi="ar"/>
              </w:rPr>
              <w:t>0.0158</w:t>
            </w:r>
          </w:p>
        </w:tc>
        <w:tc>
          <w:tcPr>
            <w:tcW w:w="630" w:type="pct"/>
            <w:vMerge w:val="continue"/>
            <w:vAlign w:val="center"/>
          </w:tcPr>
          <w:p w14:paraId="631E18E9">
            <w:pPr>
              <w:jc w:val="center"/>
              <w:rPr>
                <w:rFonts w:eastAsia="仿宋_GB2312"/>
                <w:color w:val="auto"/>
                <w:szCs w:val="21"/>
              </w:rPr>
            </w:pPr>
          </w:p>
        </w:tc>
        <w:tc>
          <w:tcPr>
            <w:tcW w:w="292" w:type="pct"/>
            <w:vMerge w:val="continue"/>
            <w:vAlign w:val="center"/>
          </w:tcPr>
          <w:p w14:paraId="54E22F6E">
            <w:pPr>
              <w:jc w:val="center"/>
              <w:rPr>
                <w:rFonts w:eastAsia="仿宋_GB2312"/>
                <w:color w:val="auto"/>
                <w:szCs w:val="21"/>
              </w:rPr>
            </w:pPr>
          </w:p>
        </w:tc>
      </w:tr>
      <w:tr w14:paraId="4E6287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0B098C56">
            <w:pPr>
              <w:jc w:val="center"/>
              <w:rPr>
                <w:rFonts w:eastAsia="仿宋_GB2312"/>
                <w:color w:val="auto"/>
                <w:szCs w:val="21"/>
              </w:rPr>
            </w:pPr>
          </w:p>
        </w:tc>
        <w:tc>
          <w:tcPr>
            <w:tcW w:w="358" w:type="pct"/>
            <w:vMerge w:val="continue"/>
            <w:vAlign w:val="center"/>
          </w:tcPr>
          <w:p w14:paraId="1AC53EE3">
            <w:pPr>
              <w:jc w:val="center"/>
              <w:rPr>
                <w:rFonts w:eastAsia="仿宋_GB2312"/>
                <w:color w:val="auto"/>
                <w:szCs w:val="21"/>
              </w:rPr>
            </w:pPr>
          </w:p>
        </w:tc>
        <w:tc>
          <w:tcPr>
            <w:tcW w:w="418" w:type="pct"/>
            <w:vMerge w:val="continue"/>
            <w:vAlign w:val="center"/>
          </w:tcPr>
          <w:p w14:paraId="78AEC622">
            <w:pPr>
              <w:jc w:val="center"/>
              <w:rPr>
                <w:rFonts w:eastAsia="仿宋_GB2312"/>
                <w:color w:val="auto"/>
                <w:szCs w:val="21"/>
              </w:rPr>
            </w:pPr>
          </w:p>
        </w:tc>
        <w:tc>
          <w:tcPr>
            <w:tcW w:w="446" w:type="pct"/>
            <w:vMerge w:val="continue"/>
            <w:vAlign w:val="center"/>
          </w:tcPr>
          <w:p w14:paraId="14D178D9">
            <w:pPr>
              <w:jc w:val="center"/>
              <w:rPr>
                <w:rFonts w:eastAsia="仿宋_GB2312"/>
                <w:color w:val="auto"/>
                <w:szCs w:val="21"/>
              </w:rPr>
            </w:pPr>
          </w:p>
        </w:tc>
        <w:tc>
          <w:tcPr>
            <w:tcW w:w="361" w:type="pct"/>
            <w:vMerge w:val="continue"/>
            <w:vAlign w:val="center"/>
          </w:tcPr>
          <w:p w14:paraId="59BEAFCA">
            <w:pPr>
              <w:jc w:val="center"/>
              <w:rPr>
                <w:rFonts w:eastAsia="仿宋_GB2312"/>
                <w:color w:val="auto"/>
                <w:szCs w:val="21"/>
              </w:rPr>
            </w:pPr>
          </w:p>
        </w:tc>
        <w:tc>
          <w:tcPr>
            <w:tcW w:w="498" w:type="pct"/>
            <w:vMerge w:val="continue"/>
            <w:shd w:val="clear" w:color="auto" w:fill="auto"/>
            <w:vAlign w:val="center"/>
          </w:tcPr>
          <w:p w14:paraId="2B76E45F">
            <w:pPr>
              <w:keepNext w:val="0"/>
              <w:keepLines w:val="0"/>
              <w:widowControl/>
              <w:suppressLineNumbers w:val="0"/>
              <w:jc w:val="center"/>
              <w:textAlignment w:val="bottom"/>
              <w:rPr>
                <w:rFonts w:eastAsia="仿宋_GB2312"/>
                <w:color w:val="auto"/>
                <w:kern w:val="0"/>
                <w:szCs w:val="21"/>
                <w:lang w:bidi="ar"/>
              </w:rPr>
            </w:pPr>
          </w:p>
        </w:tc>
        <w:tc>
          <w:tcPr>
            <w:tcW w:w="820" w:type="pct"/>
            <w:shd w:val="clear" w:color="auto" w:fill="auto"/>
            <w:vAlign w:val="center"/>
          </w:tcPr>
          <w:p w14:paraId="10B1487A">
            <w:pPr>
              <w:widowControl/>
              <w:jc w:val="center"/>
              <w:textAlignment w:val="center"/>
              <w:rPr>
                <w:rFonts w:ascii="Times New Roman" w:hAnsi="Times New Roman" w:eastAsia="仿宋_GB2312" w:cs="Times New Roman"/>
                <w:b/>
                <w:bCs/>
                <w:color w:val="auto"/>
                <w:kern w:val="0"/>
                <w:sz w:val="21"/>
                <w:szCs w:val="21"/>
                <w:lang w:val="en-US" w:eastAsia="zh-CN" w:bidi="ar"/>
              </w:rPr>
            </w:pPr>
            <w:r>
              <w:rPr>
                <w:rFonts w:eastAsia="仿宋_GB2312"/>
                <w:color w:val="auto"/>
                <w:kern w:val="0"/>
                <w:szCs w:val="21"/>
                <w:lang w:bidi="ar"/>
              </w:rPr>
              <w:t>其他有机物</w:t>
            </w:r>
          </w:p>
        </w:tc>
        <w:tc>
          <w:tcPr>
            <w:tcW w:w="380" w:type="pct"/>
            <w:shd w:val="clear" w:color="auto" w:fill="auto"/>
            <w:vAlign w:val="center"/>
          </w:tcPr>
          <w:p w14:paraId="17135FDC">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0.07</w:t>
            </w:r>
          </w:p>
        </w:tc>
        <w:tc>
          <w:tcPr>
            <w:tcW w:w="445" w:type="pct"/>
            <w:shd w:val="clear" w:color="auto" w:fill="auto"/>
            <w:vAlign w:val="center"/>
          </w:tcPr>
          <w:p w14:paraId="6D5A7A62">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ascii="Times New Roman" w:hAnsi="Times New Roman" w:eastAsia="仿宋_GB2312" w:cs="Times New Roman"/>
                <w:color w:val="auto"/>
                <w:kern w:val="0"/>
                <w:szCs w:val="21"/>
                <w:lang w:val="en-US" w:eastAsia="zh-CN" w:bidi="ar"/>
              </w:rPr>
              <w:t>0.314</w:t>
            </w:r>
          </w:p>
        </w:tc>
        <w:tc>
          <w:tcPr>
            <w:tcW w:w="630" w:type="pct"/>
            <w:vMerge w:val="continue"/>
            <w:vAlign w:val="center"/>
          </w:tcPr>
          <w:p w14:paraId="65926914">
            <w:pPr>
              <w:jc w:val="center"/>
              <w:rPr>
                <w:rFonts w:eastAsia="仿宋_GB2312"/>
                <w:color w:val="auto"/>
                <w:szCs w:val="21"/>
              </w:rPr>
            </w:pPr>
          </w:p>
        </w:tc>
        <w:tc>
          <w:tcPr>
            <w:tcW w:w="292" w:type="pct"/>
            <w:vMerge w:val="continue"/>
            <w:vAlign w:val="center"/>
          </w:tcPr>
          <w:p w14:paraId="35317D37">
            <w:pPr>
              <w:jc w:val="center"/>
              <w:rPr>
                <w:rFonts w:eastAsia="仿宋_GB2312"/>
                <w:color w:val="auto"/>
                <w:szCs w:val="21"/>
              </w:rPr>
            </w:pPr>
          </w:p>
        </w:tc>
      </w:tr>
      <w:tr w14:paraId="1E11ED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4BE624BD">
            <w:pPr>
              <w:jc w:val="center"/>
              <w:rPr>
                <w:rFonts w:eastAsia="仿宋_GB2312"/>
                <w:color w:val="auto"/>
                <w:szCs w:val="21"/>
              </w:rPr>
            </w:pPr>
          </w:p>
        </w:tc>
        <w:tc>
          <w:tcPr>
            <w:tcW w:w="358" w:type="pct"/>
            <w:vMerge w:val="continue"/>
            <w:vAlign w:val="center"/>
          </w:tcPr>
          <w:p w14:paraId="1265A283">
            <w:pPr>
              <w:jc w:val="center"/>
              <w:rPr>
                <w:rFonts w:eastAsia="仿宋_GB2312"/>
                <w:color w:val="auto"/>
                <w:szCs w:val="21"/>
              </w:rPr>
            </w:pPr>
          </w:p>
        </w:tc>
        <w:tc>
          <w:tcPr>
            <w:tcW w:w="418" w:type="pct"/>
            <w:vMerge w:val="restart"/>
            <w:vAlign w:val="center"/>
          </w:tcPr>
          <w:p w14:paraId="55580E86">
            <w:pPr>
              <w:jc w:val="center"/>
              <w:rPr>
                <w:rFonts w:eastAsia="仿宋_GB2312"/>
                <w:color w:val="auto"/>
                <w:szCs w:val="21"/>
              </w:rPr>
            </w:pPr>
            <w:r>
              <w:rPr>
                <w:rFonts w:eastAsia="仿宋_GB2312"/>
                <w:color w:val="auto"/>
                <w:kern w:val="0"/>
                <w:szCs w:val="21"/>
                <w:lang w:bidi="ar"/>
              </w:rPr>
              <w:t>G</w:t>
            </w:r>
            <w:r>
              <w:rPr>
                <w:rFonts w:hint="eastAsia" w:eastAsia="仿宋_GB2312"/>
                <w:color w:val="auto"/>
                <w:kern w:val="0"/>
                <w:szCs w:val="21"/>
                <w:lang w:val="en-US" w:eastAsia="zh-CN" w:bidi="ar"/>
              </w:rPr>
              <w:t>3</w:t>
            </w:r>
            <w:r>
              <w:rPr>
                <w:rFonts w:eastAsia="仿宋_GB2312"/>
                <w:color w:val="auto"/>
                <w:kern w:val="0"/>
                <w:szCs w:val="21"/>
                <w:lang w:bidi="ar"/>
              </w:rPr>
              <w:t>-</w:t>
            </w:r>
            <w:r>
              <w:rPr>
                <w:rFonts w:hint="eastAsia" w:eastAsia="仿宋_GB2312"/>
                <w:color w:val="auto"/>
                <w:kern w:val="0"/>
                <w:szCs w:val="21"/>
                <w:lang w:val="en-US" w:eastAsia="zh-CN" w:bidi="ar"/>
              </w:rPr>
              <w:t>8</w:t>
            </w:r>
            <w:r>
              <w:rPr>
                <w:rFonts w:eastAsia="仿宋_GB2312"/>
                <w:color w:val="auto"/>
                <w:kern w:val="0"/>
                <w:szCs w:val="21"/>
                <w:lang w:bidi="ar"/>
              </w:rPr>
              <w:t>-2</w:t>
            </w:r>
          </w:p>
        </w:tc>
        <w:tc>
          <w:tcPr>
            <w:tcW w:w="446" w:type="pct"/>
            <w:vMerge w:val="restart"/>
            <w:vAlign w:val="center"/>
          </w:tcPr>
          <w:p w14:paraId="64162011">
            <w:pPr>
              <w:jc w:val="center"/>
              <w:rPr>
                <w:rFonts w:eastAsia="仿宋_GB2312"/>
                <w:color w:val="auto"/>
                <w:szCs w:val="21"/>
              </w:rPr>
            </w:pPr>
            <w:r>
              <w:rPr>
                <w:rFonts w:eastAsia="仿宋_GB2312"/>
                <w:color w:val="auto"/>
                <w:kern w:val="0"/>
                <w:szCs w:val="21"/>
                <w:lang w:bidi="ar"/>
              </w:rPr>
              <w:t>调节废气</w:t>
            </w:r>
          </w:p>
        </w:tc>
        <w:tc>
          <w:tcPr>
            <w:tcW w:w="361" w:type="pct"/>
            <w:vMerge w:val="restart"/>
            <w:vAlign w:val="center"/>
          </w:tcPr>
          <w:p w14:paraId="11467316">
            <w:pPr>
              <w:jc w:val="center"/>
              <w:rPr>
                <w:rFonts w:eastAsia="仿宋_GB2312"/>
                <w:color w:val="auto"/>
                <w:szCs w:val="21"/>
              </w:rPr>
            </w:pPr>
            <w:r>
              <w:rPr>
                <w:rFonts w:hint="eastAsia" w:eastAsia="仿宋_GB2312"/>
                <w:color w:val="auto"/>
                <w:szCs w:val="21"/>
                <w:lang w:val="en-US" w:eastAsia="zh-CN"/>
              </w:rPr>
              <w:t>1</w:t>
            </w:r>
            <w:r>
              <w:rPr>
                <w:rFonts w:eastAsia="仿宋_GB2312"/>
                <w:color w:val="auto"/>
                <w:szCs w:val="21"/>
              </w:rPr>
              <w:t>00</w:t>
            </w:r>
          </w:p>
        </w:tc>
        <w:tc>
          <w:tcPr>
            <w:tcW w:w="498" w:type="pct"/>
            <w:vMerge w:val="restart"/>
            <w:shd w:val="clear" w:color="auto" w:fill="auto"/>
            <w:vAlign w:val="center"/>
          </w:tcPr>
          <w:p w14:paraId="113FB296">
            <w:pPr>
              <w:keepNext w:val="0"/>
              <w:keepLines w:val="0"/>
              <w:widowControl/>
              <w:suppressLineNumbers w:val="0"/>
              <w:jc w:val="center"/>
              <w:textAlignment w:val="bottom"/>
              <w:rPr>
                <w:rFonts w:hint="eastAsia" w:eastAsia="仿宋_GB2312"/>
                <w:color w:val="auto"/>
                <w:kern w:val="0"/>
                <w:szCs w:val="21"/>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4462</w:t>
            </w:r>
          </w:p>
        </w:tc>
        <w:tc>
          <w:tcPr>
            <w:tcW w:w="820" w:type="pct"/>
            <w:shd w:val="clear" w:color="auto" w:fill="auto"/>
            <w:vAlign w:val="center"/>
          </w:tcPr>
          <w:p w14:paraId="70BA371E">
            <w:pPr>
              <w:widowControl/>
              <w:jc w:val="center"/>
              <w:textAlignment w:val="center"/>
              <w:rPr>
                <w:rFonts w:hint="eastAsia" w:ascii="Times New Roman" w:hAnsi="Times New Roman" w:eastAsia="仿宋_GB2312" w:cs="Times New Roman"/>
                <w:b/>
                <w:bCs/>
                <w:color w:val="auto"/>
                <w:kern w:val="0"/>
                <w:sz w:val="21"/>
                <w:szCs w:val="21"/>
                <w:lang w:val="en-US" w:eastAsia="zh-CN" w:bidi="ar"/>
              </w:rPr>
            </w:pPr>
            <w:r>
              <w:rPr>
                <w:rFonts w:hint="eastAsia" w:eastAsia="仿宋_GB2312"/>
                <w:color w:val="auto"/>
                <w:kern w:val="0"/>
                <w:szCs w:val="21"/>
                <w:lang w:val="en-US" w:eastAsia="zh-CN" w:bidi="ar"/>
              </w:rPr>
              <w:t>乙腈</w:t>
            </w:r>
          </w:p>
        </w:tc>
        <w:tc>
          <w:tcPr>
            <w:tcW w:w="380" w:type="pct"/>
            <w:shd w:val="clear" w:color="auto" w:fill="auto"/>
            <w:vAlign w:val="center"/>
          </w:tcPr>
          <w:p w14:paraId="6BB37021">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2.035</w:t>
            </w:r>
          </w:p>
        </w:tc>
        <w:tc>
          <w:tcPr>
            <w:tcW w:w="445" w:type="pct"/>
            <w:shd w:val="clear" w:color="auto" w:fill="auto"/>
            <w:vAlign w:val="center"/>
          </w:tcPr>
          <w:p w14:paraId="41C5D3AC">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9.083</w:t>
            </w:r>
          </w:p>
        </w:tc>
        <w:tc>
          <w:tcPr>
            <w:tcW w:w="630" w:type="pct"/>
            <w:vMerge w:val="restart"/>
            <w:shd w:val="clear" w:color="auto" w:fill="auto"/>
            <w:vAlign w:val="center"/>
          </w:tcPr>
          <w:p w14:paraId="3199ECD3">
            <w:pPr>
              <w:widowControl/>
              <w:jc w:val="center"/>
              <w:textAlignment w:val="center"/>
              <w:rPr>
                <w:rFonts w:ascii="Times New Roman" w:hAnsi="Times New Roman" w:eastAsia="仿宋_GB2312" w:cs="Times New Roman"/>
                <w:color w:val="auto"/>
                <w:kern w:val="2"/>
                <w:sz w:val="21"/>
                <w:szCs w:val="21"/>
                <w:lang w:val="en-US" w:eastAsia="zh-CN" w:bidi="ar-SA"/>
              </w:rPr>
            </w:pPr>
            <w:r>
              <w:rPr>
                <w:rFonts w:hint="eastAsia" w:eastAsia="仿宋_GB2312"/>
                <w:color w:val="auto"/>
                <w:szCs w:val="21"/>
              </w:rPr>
              <w:t>预处理（冷凝+稀酸吸收+碱吸收+水吸收+除雾）+</w:t>
            </w:r>
            <w:r>
              <w:rPr>
                <w:rFonts w:eastAsia="仿宋_GB2312"/>
                <w:color w:val="auto"/>
                <w:szCs w:val="21"/>
              </w:rPr>
              <w:t>焚烧</w:t>
            </w:r>
          </w:p>
        </w:tc>
        <w:tc>
          <w:tcPr>
            <w:tcW w:w="292" w:type="pct"/>
            <w:vMerge w:val="restart"/>
            <w:shd w:val="clear" w:color="auto" w:fill="auto"/>
            <w:vAlign w:val="center"/>
          </w:tcPr>
          <w:p w14:paraId="2D2E5C9F">
            <w:pPr>
              <w:widowControl/>
              <w:jc w:val="center"/>
              <w:textAlignment w:val="center"/>
              <w:rPr>
                <w:rFonts w:ascii="Times New Roman" w:hAnsi="Times New Roman" w:eastAsia="仿宋_GB2312" w:cs="Times New Roman"/>
                <w:color w:val="auto"/>
                <w:kern w:val="2"/>
                <w:sz w:val="21"/>
                <w:szCs w:val="21"/>
                <w:lang w:val="en-US" w:eastAsia="zh-CN" w:bidi="ar-SA"/>
              </w:rPr>
            </w:pPr>
            <w:r>
              <w:rPr>
                <w:rFonts w:hint="eastAsia" w:eastAsia="仿宋_GB2312"/>
                <w:color w:val="auto"/>
                <w:kern w:val="0"/>
                <w:szCs w:val="21"/>
                <w:lang w:bidi="ar"/>
              </w:rPr>
              <w:t>DA002</w:t>
            </w:r>
          </w:p>
        </w:tc>
      </w:tr>
      <w:tr w14:paraId="52FF72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2EAB784F">
            <w:pPr>
              <w:jc w:val="center"/>
              <w:rPr>
                <w:rFonts w:eastAsia="仿宋_GB2312"/>
                <w:color w:val="auto"/>
                <w:szCs w:val="21"/>
              </w:rPr>
            </w:pPr>
          </w:p>
        </w:tc>
        <w:tc>
          <w:tcPr>
            <w:tcW w:w="358" w:type="pct"/>
            <w:vMerge w:val="continue"/>
            <w:vAlign w:val="center"/>
          </w:tcPr>
          <w:p w14:paraId="05F4088A">
            <w:pPr>
              <w:jc w:val="center"/>
              <w:rPr>
                <w:rFonts w:eastAsia="仿宋_GB2312"/>
                <w:color w:val="auto"/>
                <w:szCs w:val="21"/>
              </w:rPr>
            </w:pPr>
          </w:p>
        </w:tc>
        <w:tc>
          <w:tcPr>
            <w:tcW w:w="418" w:type="pct"/>
            <w:vMerge w:val="continue"/>
            <w:vAlign w:val="center"/>
          </w:tcPr>
          <w:p w14:paraId="774A5C4C">
            <w:pPr>
              <w:jc w:val="center"/>
              <w:rPr>
                <w:rFonts w:eastAsia="仿宋_GB2312"/>
                <w:color w:val="auto"/>
                <w:szCs w:val="21"/>
              </w:rPr>
            </w:pPr>
          </w:p>
        </w:tc>
        <w:tc>
          <w:tcPr>
            <w:tcW w:w="446" w:type="pct"/>
            <w:vMerge w:val="continue"/>
            <w:vAlign w:val="center"/>
          </w:tcPr>
          <w:p w14:paraId="0DFCF3F4">
            <w:pPr>
              <w:jc w:val="center"/>
              <w:rPr>
                <w:rFonts w:eastAsia="仿宋_GB2312"/>
                <w:color w:val="auto"/>
                <w:szCs w:val="21"/>
              </w:rPr>
            </w:pPr>
          </w:p>
        </w:tc>
        <w:tc>
          <w:tcPr>
            <w:tcW w:w="361" w:type="pct"/>
            <w:vMerge w:val="continue"/>
            <w:vAlign w:val="center"/>
          </w:tcPr>
          <w:p w14:paraId="50AC238E">
            <w:pPr>
              <w:jc w:val="center"/>
              <w:rPr>
                <w:rFonts w:eastAsia="仿宋_GB2312"/>
                <w:color w:val="auto"/>
                <w:szCs w:val="21"/>
              </w:rPr>
            </w:pPr>
          </w:p>
        </w:tc>
        <w:tc>
          <w:tcPr>
            <w:tcW w:w="498" w:type="pct"/>
            <w:vMerge w:val="continue"/>
            <w:shd w:val="clear" w:color="auto" w:fill="auto"/>
            <w:vAlign w:val="center"/>
          </w:tcPr>
          <w:p w14:paraId="18E677B4">
            <w:pPr>
              <w:keepNext w:val="0"/>
              <w:keepLines w:val="0"/>
              <w:widowControl/>
              <w:suppressLineNumbers w:val="0"/>
              <w:jc w:val="center"/>
              <w:textAlignment w:val="bottom"/>
              <w:rPr>
                <w:rFonts w:hint="eastAsia" w:eastAsia="仿宋_GB2312"/>
                <w:color w:val="auto"/>
                <w:kern w:val="0"/>
                <w:szCs w:val="21"/>
                <w:lang w:val="en-US" w:eastAsia="zh-CN" w:bidi="ar"/>
              </w:rPr>
            </w:pPr>
          </w:p>
        </w:tc>
        <w:tc>
          <w:tcPr>
            <w:tcW w:w="820" w:type="pct"/>
            <w:shd w:val="clear" w:color="auto" w:fill="auto"/>
            <w:vAlign w:val="center"/>
          </w:tcPr>
          <w:p w14:paraId="3D91B703">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丙腈</w:t>
            </w:r>
          </w:p>
        </w:tc>
        <w:tc>
          <w:tcPr>
            <w:tcW w:w="380" w:type="pct"/>
            <w:shd w:val="clear" w:color="auto" w:fill="auto"/>
            <w:vAlign w:val="center"/>
          </w:tcPr>
          <w:p w14:paraId="41BFD620">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0.001</w:t>
            </w:r>
            <w:r>
              <w:rPr>
                <w:rFonts w:hint="eastAsia" w:ascii="Times New Roman" w:hAnsi="Times New Roman" w:eastAsia="宋体" w:cs="Times New Roman"/>
                <w:i w:val="0"/>
                <w:iCs w:val="0"/>
                <w:color w:val="auto"/>
                <w:kern w:val="0"/>
                <w:sz w:val="21"/>
                <w:szCs w:val="21"/>
                <w:u w:val="none"/>
                <w:lang w:val="en-US" w:eastAsia="zh-CN" w:bidi="ar"/>
              </w:rPr>
              <w:t>8</w:t>
            </w:r>
          </w:p>
        </w:tc>
        <w:tc>
          <w:tcPr>
            <w:tcW w:w="445" w:type="pct"/>
            <w:shd w:val="clear" w:color="auto" w:fill="auto"/>
            <w:vAlign w:val="center"/>
          </w:tcPr>
          <w:p w14:paraId="658172B3">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bidi="ar"/>
              </w:rPr>
              <w:t>0.008</w:t>
            </w:r>
          </w:p>
        </w:tc>
        <w:tc>
          <w:tcPr>
            <w:tcW w:w="630" w:type="pct"/>
            <w:vMerge w:val="continue"/>
            <w:vAlign w:val="center"/>
          </w:tcPr>
          <w:p w14:paraId="474F21CF">
            <w:pPr>
              <w:jc w:val="center"/>
              <w:rPr>
                <w:rFonts w:eastAsia="仿宋_GB2312"/>
                <w:color w:val="auto"/>
                <w:szCs w:val="21"/>
              </w:rPr>
            </w:pPr>
          </w:p>
        </w:tc>
        <w:tc>
          <w:tcPr>
            <w:tcW w:w="292" w:type="pct"/>
            <w:vMerge w:val="continue"/>
            <w:vAlign w:val="center"/>
          </w:tcPr>
          <w:p w14:paraId="179A0222">
            <w:pPr>
              <w:jc w:val="center"/>
              <w:rPr>
                <w:rFonts w:eastAsia="仿宋_GB2312"/>
                <w:color w:val="auto"/>
                <w:szCs w:val="21"/>
              </w:rPr>
            </w:pPr>
          </w:p>
        </w:tc>
      </w:tr>
      <w:tr w14:paraId="62F061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61CC0D7D">
            <w:pPr>
              <w:jc w:val="center"/>
              <w:rPr>
                <w:rFonts w:eastAsia="仿宋_GB2312"/>
                <w:color w:val="auto"/>
                <w:szCs w:val="21"/>
              </w:rPr>
            </w:pPr>
          </w:p>
        </w:tc>
        <w:tc>
          <w:tcPr>
            <w:tcW w:w="358" w:type="pct"/>
            <w:vMerge w:val="continue"/>
            <w:vAlign w:val="center"/>
          </w:tcPr>
          <w:p w14:paraId="5606AFA1">
            <w:pPr>
              <w:jc w:val="center"/>
              <w:rPr>
                <w:rFonts w:eastAsia="仿宋_GB2312"/>
                <w:color w:val="auto"/>
                <w:szCs w:val="21"/>
              </w:rPr>
            </w:pPr>
          </w:p>
        </w:tc>
        <w:tc>
          <w:tcPr>
            <w:tcW w:w="418" w:type="pct"/>
            <w:vMerge w:val="continue"/>
            <w:vAlign w:val="center"/>
          </w:tcPr>
          <w:p w14:paraId="189936BA">
            <w:pPr>
              <w:jc w:val="center"/>
              <w:rPr>
                <w:rFonts w:eastAsia="仿宋_GB2312"/>
                <w:color w:val="auto"/>
                <w:szCs w:val="21"/>
              </w:rPr>
            </w:pPr>
          </w:p>
        </w:tc>
        <w:tc>
          <w:tcPr>
            <w:tcW w:w="446" w:type="pct"/>
            <w:vMerge w:val="continue"/>
            <w:vAlign w:val="center"/>
          </w:tcPr>
          <w:p w14:paraId="5360D339">
            <w:pPr>
              <w:jc w:val="center"/>
              <w:rPr>
                <w:rFonts w:eastAsia="仿宋_GB2312"/>
                <w:color w:val="auto"/>
                <w:szCs w:val="21"/>
              </w:rPr>
            </w:pPr>
          </w:p>
        </w:tc>
        <w:tc>
          <w:tcPr>
            <w:tcW w:w="361" w:type="pct"/>
            <w:vMerge w:val="continue"/>
            <w:vAlign w:val="center"/>
          </w:tcPr>
          <w:p w14:paraId="3593DEEB">
            <w:pPr>
              <w:jc w:val="center"/>
              <w:rPr>
                <w:rFonts w:eastAsia="仿宋_GB2312"/>
                <w:color w:val="auto"/>
                <w:szCs w:val="21"/>
              </w:rPr>
            </w:pPr>
          </w:p>
        </w:tc>
        <w:tc>
          <w:tcPr>
            <w:tcW w:w="498" w:type="pct"/>
            <w:vMerge w:val="continue"/>
            <w:shd w:val="clear" w:color="auto" w:fill="auto"/>
            <w:vAlign w:val="center"/>
          </w:tcPr>
          <w:p w14:paraId="4529E246">
            <w:pPr>
              <w:keepNext w:val="0"/>
              <w:keepLines w:val="0"/>
              <w:widowControl/>
              <w:suppressLineNumbers w:val="0"/>
              <w:jc w:val="center"/>
              <w:textAlignment w:val="bottom"/>
              <w:rPr>
                <w:rFonts w:eastAsia="仿宋_GB2312"/>
                <w:color w:val="auto"/>
                <w:kern w:val="0"/>
                <w:szCs w:val="21"/>
                <w:lang w:bidi="ar"/>
              </w:rPr>
            </w:pPr>
          </w:p>
        </w:tc>
        <w:tc>
          <w:tcPr>
            <w:tcW w:w="820" w:type="pct"/>
            <w:shd w:val="clear" w:color="auto" w:fill="auto"/>
            <w:vAlign w:val="center"/>
          </w:tcPr>
          <w:p w14:paraId="5CF7D049">
            <w:pPr>
              <w:widowControl/>
              <w:jc w:val="center"/>
              <w:textAlignment w:val="center"/>
              <w:rPr>
                <w:rFonts w:ascii="Times New Roman" w:hAnsi="Times New Roman" w:eastAsia="仿宋_GB2312" w:cs="Times New Roman"/>
                <w:b/>
                <w:bCs/>
                <w:color w:val="auto"/>
                <w:kern w:val="0"/>
                <w:sz w:val="21"/>
                <w:szCs w:val="21"/>
                <w:lang w:val="en-US" w:eastAsia="zh-CN" w:bidi="ar"/>
              </w:rPr>
            </w:pPr>
            <w:r>
              <w:rPr>
                <w:rFonts w:eastAsia="仿宋_GB2312"/>
                <w:color w:val="auto"/>
                <w:kern w:val="0"/>
                <w:szCs w:val="21"/>
                <w:lang w:bidi="ar"/>
              </w:rPr>
              <w:t>其他有机物</w:t>
            </w:r>
          </w:p>
        </w:tc>
        <w:tc>
          <w:tcPr>
            <w:tcW w:w="380" w:type="pct"/>
            <w:shd w:val="clear" w:color="auto" w:fill="auto"/>
            <w:vAlign w:val="center"/>
          </w:tcPr>
          <w:p w14:paraId="5B4F33A7">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0.03</w:t>
            </w:r>
          </w:p>
        </w:tc>
        <w:tc>
          <w:tcPr>
            <w:tcW w:w="445" w:type="pct"/>
            <w:shd w:val="clear" w:color="auto" w:fill="auto"/>
            <w:vAlign w:val="center"/>
          </w:tcPr>
          <w:p w14:paraId="5208D183">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bidi="ar"/>
              </w:rPr>
              <w:t>0.159</w:t>
            </w:r>
          </w:p>
        </w:tc>
        <w:tc>
          <w:tcPr>
            <w:tcW w:w="630" w:type="pct"/>
            <w:vMerge w:val="continue"/>
            <w:vAlign w:val="center"/>
          </w:tcPr>
          <w:p w14:paraId="2F0D2840">
            <w:pPr>
              <w:jc w:val="center"/>
              <w:rPr>
                <w:rFonts w:eastAsia="仿宋_GB2312"/>
                <w:color w:val="auto"/>
                <w:szCs w:val="21"/>
              </w:rPr>
            </w:pPr>
          </w:p>
        </w:tc>
        <w:tc>
          <w:tcPr>
            <w:tcW w:w="292" w:type="pct"/>
            <w:vMerge w:val="continue"/>
            <w:vAlign w:val="center"/>
          </w:tcPr>
          <w:p w14:paraId="2A28118E">
            <w:pPr>
              <w:jc w:val="center"/>
              <w:rPr>
                <w:rFonts w:eastAsia="仿宋_GB2312"/>
                <w:color w:val="auto"/>
                <w:szCs w:val="21"/>
              </w:rPr>
            </w:pPr>
          </w:p>
        </w:tc>
      </w:tr>
      <w:tr w14:paraId="4C053E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466A3054">
            <w:pPr>
              <w:jc w:val="center"/>
              <w:rPr>
                <w:rFonts w:eastAsia="仿宋_GB2312"/>
                <w:color w:val="auto"/>
                <w:szCs w:val="21"/>
              </w:rPr>
            </w:pPr>
          </w:p>
        </w:tc>
        <w:tc>
          <w:tcPr>
            <w:tcW w:w="358" w:type="pct"/>
            <w:vMerge w:val="continue"/>
            <w:vAlign w:val="center"/>
          </w:tcPr>
          <w:p w14:paraId="1F2FAFFE">
            <w:pPr>
              <w:jc w:val="center"/>
              <w:rPr>
                <w:rFonts w:eastAsia="仿宋_GB2312"/>
                <w:color w:val="auto"/>
                <w:szCs w:val="21"/>
              </w:rPr>
            </w:pPr>
          </w:p>
        </w:tc>
        <w:tc>
          <w:tcPr>
            <w:tcW w:w="418" w:type="pct"/>
            <w:vMerge w:val="restart"/>
            <w:vAlign w:val="center"/>
          </w:tcPr>
          <w:p w14:paraId="6E45E8FE">
            <w:pPr>
              <w:jc w:val="center"/>
              <w:rPr>
                <w:rFonts w:eastAsia="仿宋_GB2312"/>
                <w:color w:val="auto"/>
                <w:szCs w:val="21"/>
              </w:rPr>
            </w:pPr>
            <w:r>
              <w:rPr>
                <w:rFonts w:eastAsia="仿宋_GB2312"/>
                <w:color w:val="auto"/>
                <w:kern w:val="0"/>
                <w:szCs w:val="21"/>
                <w:lang w:bidi="ar"/>
              </w:rPr>
              <w:t>G</w:t>
            </w:r>
            <w:r>
              <w:rPr>
                <w:rFonts w:hint="eastAsia" w:eastAsia="仿宋_GB2312"/>
                <w:color w:val="auto"/>
                <w:kern w:val="0"/>
                <w:szCs w:val="21"/>
                <w:lang w:val="en-US" w:eastAsia="zh-CN" w:bidi="ar"/>
              </w:rPr>
              <w:t>3</w:t>
            </w:r>
            <w:r>
              <w:rPr>
                <w:rFonts w:eastAsia="仿宋_GB2312"/>
                <w:color w:val="auto"/>
                <w:kern w:val="0"/>
                <w:szCs w:val="21"/>
                <w:lang w:bidi="ar"/>
              </w:rPr>
              <w:t>-</w:t>
            </w:r>
            <w:r>
              <w:rPr>
                <w:rFonts w:hint="eastAsia" w:eastAsia="仿宋_GB2312"/>
                <w:color w:val="auto"/>
                <w:kern w:val="0"/>
                <w:szCs w:val="21"/>
                <w:lang w:val="en-US" w:eastAsia="zh-CN" w:bidi="ar"/>
              </w:rPr>
              <w:t>8</w:t>
            </w:r>
            <w:r>
              <w:rPr>
                <w:rFonts w:eastAsia="仿宋_GB2312"/>
                <w:color w:val="auto"/>
                <w:kern w:val="0"/>
                <w:szCs w:val="21"/>
                <w:lang w:bidi="ar"/>
              </w:rPr>
              <w:t>-3</w:t>
            </w:r>
          </w:p>
        </w:tc>
        <w:tc>
          <w:tcPr>
            <w:tcW w:w="446" w:type="pct"/>
            <w:vMerge w:val="restart"/>
            <w:vAlign w:val="center"/>
          </w:tcPr>
          <w:p w14:paraId="6644E5D6">
            <w:pPr>
              <w:jc w:val="center"/>
              <w:rPr>
                <w:rFonts w:eastAsia="仿宋_GB2312"/>
                <w:color w:val="auto"/>
                <w:szCs w:val="21"/>
              </w:rPr>
            </w:pPr>
            <w:r>
              <w:rPr>
                <w:rFonts w:eastAsia="仿宋_GB2312"/>
                <w:color w:val="auto"/>
                <w:kern w:val="0"/>
                <w:szCs w:val="21"/>
                <w:lang w:bidi="ar"/>
              </w:rPr>
              <w:t>不凝气</w:t>
            </w:r>
          </w:p>
        </w:tc>
        <w:tc>
          <w:tcPr>
            <w:tcW w:w="361" w:type="pct"/>
            <w:vMerge w:val="restart"/>
            <w:vAlign w:val="center"/>
          </w:tcPr>
          <w:p w14:paraId="0F27C773">
            <w:pPr>
              <w:jc w:val="center"/>
              <w:rPr>
                <w:rFonts w:eastAsia="仿宋_GB2312"/>
                <w:color w:val="auto"/>
                <w:szCs w:val="21"/>
              </w:rPr>
            </w:pPr>
            <w:r>
              <w:rPr>
                <w:rFonts w:eastAsia="仿宋_GB2312"/>
                <w:color w:val="auto"/>
                <w:szCs w:val="21"/>
              </w:rPr>
              <w:t>360</w:t>
            </w:r>
          </w:p>
        </w:tc>
        <w:tc>
          <w:tcPr>
            <w:tcW w:w="498" w:type="pct"/>
            <w:vMerge w:val="restart"/>
            <w:shd w:val="clear" w:color="auto" w:fill="auto"/>
            <w:vAlign w:val="center"/>
          </w:tcPr>
          <w:p w14:paraId="3F663D76">
            <w:pPr>
              <w:keepNext w:val="0"/>
              <w:keepLines w:val="0"/>
              <w:widowControl/>
              <w:suppressLineNumbers w:val="0"/>
              <w:jc w:val="center"/>
              <w:textAlignment w:val="bottom"/>
              <w:rPr>
                <w:rFonts w:hint="eastAsia" w:eastAsia="仿宋_GB2312"/>
                <w:color w:val="auto"/>
                <w:kern w:val="0"/>
                <w:szCs w:val="21"/>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4462</w:t>
            </w:r>
          </w:p>
        </w:tc>
        <w:tc>
          <w:tcPr>
            <w:tcW w:w="820" w:type="pct"/>
            <w:shd w:val="clear" w:color="auto" w:fill="auto"/>
            <w:vAlign w:val="center"/>
          </w:tcPr>
          <w:p w14:paraId="3050A600">
            <w:pPr>
              <w:widowControl/>
              <w:jc w:val="center"/>
              <w:textAlignment w:val="center"/>
              <w:rPr>
                <w:rFonts w:hint="eastAsia" w:ascii="Times New Roman" w:hAnsi="Times New Roman" w:eastAsia="仿宋_GB2312" w:cs="Times New Roman"/>
                <w:b/>
                <w:bCs/>
                <w:color w:val="auto"/>
                <w:kern w:val="0"/>
                <w:sz w:val="21"/>
                <w:szCs w:val="21"/>
                <w:lang w:val="en-US" w:eastAsia="zh-CN" w:bidi="ar"/>
              </w:rPr>
            </w:pPr>
            <w:r>
              <w:rPr>
                <w:rFonts w:hint="eastAsia" w:eastAsia="仿宋_GB2312"/>
                <w:color w:val="auto"/>
                <w:kern w:val="0"/>
                <w:szCs w:val="21"/>
                <w:lang w:val="en-US" w:eastAsia="zh-CN" w:bidi="ar"/>
              </w:rPr>
              <w:t>乙腈</w:t>
            </w:r>
          </w:p>
        </w:tc>
        <w:tc>
          <w:tcPr>
            <w:tcW w:w="380" w:type="pct"/>
            <w:shd w:val="clear" w:color="auto" w:fill="auto"/>
            <w:vAlign w:val="center"/>
          </w:tcPr>
          <w:p w14:paraId="06FB14C4">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0.53</w:t>
            </w:r>
          </w:p>
        </w:tc>
        <w:tc>
          <w:tcPr>
            <w:tcW w:w="445" w:type="pct"/>
            <w:shd w:val="clear" w:color="auto" w:fill="auto"/>
            <w:vAlign w:val="center"/>
          </w:tcPr>
          <w:p w14:paraId="190046F7">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bidi="ar"/>
              </w:rPr>
              <w:t>2.36</w:t>
            </w:r>
            <w:r>
              <w:rPr>
                <w:rFonts w:hint="eastAsia" w:eastAsia="仿宋_GB2312"/>
                <w:color w:val="auto"/>
                <w:kern w:val="0"/>
                <w:szCs w:val="21"/>
                <w:lang w:val="en-US" w:eastAsia="zh-CN" w:bidi="ar"/>
              </w:rPr>
              <w:t>8</w:t>
            </w:r>
          </w:p>
        </w:tc>
        <w:tc>
          <w:tcPr>
            <w:tcW w:w="630" w:type="pct"/>
            <w:vMerge w:val="continue"/>
            <w:vAlign w:val="center"/>
          </w:tcPr>
          <w:p w14:paraId="2C8A5958">
            <w:pPr>
              <w:jc w:val="center"/>
              <w:rPr>
                <w:rFonts w:eastAsia="仿宋_GB2312"/>
                <w:color w:val="auto"/>
                <w:szCs w:val="21"/>
              </w:rPr>
            </w:pPr>
          </w:p>
        </w:tc>
        <w:tc>
          <w:tcPr>
            <w:tcW w:w="292" w:type="pct"/>
            <w:vMerge w:val="continue"/>
            <w:vAlign w:val="center"/>
          </w:tcPr>
          <w:p w14:paraId="324CB8B9">
            <w:pPr>
              <w:jc w:val="center"/>
              <w:rPr>
                <w:rFonts w:eastAsia="仿宋_GB2312"/>
                <w:color w:val="auto"/>
                <w:szCs w:val="21"/>
              </w:rPr>
            </w:pPr>
          </w:p>
        </w:tc>
      </w:tr>
      <w:tr w14:paraId="4C776D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2AEAF9A7">
            <w:pPr>
              <w:jc w:val="center"/>
              <w:rPr>
                <w:rFonts w:eastAsia="仿宋_GB2312"/>
                <w:color w:val="auto"/>
                <w:szCs w:val="21"/>
              </w:rPr>
            </w:pPr>
          </w:p>
        </w:tc>
        <w:tc>
          <w:tcPr>
            <w:tcW w:w="358" w:type="pct"/>
            <w:vMerge w:val="continue"/>
            <w:vAlign w:val="center"/>
          </w:tcPr>
          <w:p w14:paraId="3B91A056">
            <w:pPr>
              <w:jc w:val="center"/>
              <w:rPr>
                <w:rFonts w:eastAsia="仿宋_GB2312"/>
                <w:color w:val="auto"/>
                <w:szCs w:val="21"/>
              </w:rPr>
            </w:pPr>
          </w:p>
        </w:tc>
        <w:tc>
          <w:tcPr>
            <w:tcW w:w="418" w:type="pct"/>
            <w:vMerge w:val="continue"/>
            <w:vAlign w:val="center"/>
          </w:tcPr>
          <w:p w14:paraId="45A60E8C">
            <w:pPr>
              <w:jc w:val="center"/>
              <w:rPr>
                <w:rFonts w:eastAsia="仿宋_GB2312"/>
                <w:color w:val="auto"/>
                <w:szCs w:val="21"/>
              </w:rPr>
            </w:pPr>
          </w:p>
        </w:tc>
        <w:tc>
          <w:tcPr>
            <w:tcW w:w="446" w:type="pct"/>
            <w:vMerge w:val="continue"/>
            <w:vAlign w:val="center"/>
          </w:tcPr>
          <w:p w14:paraId="7069D99E">
            <w:pPr>
              <w:jc w:val="center"/>
              <w:rPr>
                <w:rFonts w:eastAsia="仿宋_GB2312"/>
                <w:color w:val="auto"/>
                <w:szCs w:val="21"/>
              </w:rPr>
            </w:pPr>
          </w:p>
        </w:tc>
        <w:tc>
          <w:tcPr>
            <w:tcW w:w="361" w:type="pct"/>
            <w:vMerge w:val="continue"/>
            <w:vAlign w:val="center"/>
          </w:tcPr>
          <w:p w14:paraId="735F7601">
            <w:pPr>
              <w:jc w:val="center"/>
              <w:rPr>
                <w:rFonts w:eastAsia="仿宋_GB2312"/>
                <w:color w:val="auto"/>
                <w:szCs w:val="21"/>
              </w:rPr>
            </w:pPr>
          </w:p>
        </w:tc>
        <w:tc>
          <w:tcPr>
            <w:tcW w:w="498" w:type="pct"/>
            <w:vMerge w:val="continue"/>
            <w:shd w:val="clear" w:color="auto" w:fill="auto"/>
            <w:vAlign w:val="center"/>
          </w:tcPr>
          <w:p w14:paraId="2D4C3123">
            <w:pPr>
              <w:keepNext w:val="0"/>
              <w:keepLines w:val="0"/>
              <w:widowControl/>
              <w:suppressLineNumbers w:val="0"/>
              <w:jc w:val="center"/>
              <w:textAlignment w:val="bottom"/>
              <w:rPr>
                <w:rFonts w:hint="eastAsia" w:eastAsia="仿宋_GB2312"/>
                <w:color w:val="auto"/>
                <w:kern w:val="0"/>
                <w:szCs w:val="21"/>
                <w:lang w:val="en-US" w:eastAsia="zh-CN" w:bidi="ar"/>
              </w:rPr>
            </w:pPr>
          </w:p>
        </w:tc>
        <w:tc>
          <w:tcPr>
            <w:tcW w:w="820" w:type="pct"/>
            <w:shd w:val="clear" w:color="auto" w:fill="auto"/>
            <w:vAlign w:val="center"/>
          </w:tcPr>
          <w:p w14:paraId="35A35B44">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丙腈</w:t>
            </w:r>
          </w:p>
        </w:tc>
        <w:tc>
          <w:tcPr>
            <w:tcW w:w="380" w:type="pct"/>
            <w:shd w:val="clear" w:color="auto" w:fill="auto"/>
            <w:vAlign w:val="center"/>
          </w:tcPr>
          <w:p w14:paraId="32DBDF41">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0.0004</w:t>
            </w:r>
          </w:p>
        </w:tc>
        <w:tc>
          <w:tcPr>
            <w:tcW w:w="445" w:type="pct"/>
            <w:shd w:val="clear" w:color="auto" w:fill="auto"/>
            <w:vAlign w:val="center"/>
          </w:tcPr>
          <w:p w14:paraId="7252F7B4">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bidi="ar"/>
              </w:rPr>
              <w:t>0.002</w:t>
            </w:r>
          </w:p>
        </w:tc>
        <w:tc>
          <w:tcPr>
            <w:tcW w:w="630" w:type="pct"/>
            <w:vMerge w:val="continue"/>
            <w:vAlign w:val="center"/>
          </w:tcPr>
          <w:p w14:paraId="6AC0D85A">
            <w:pPr>
              <w:jc w:val="center"/>
              <w:rPr>
                <w:rFonts w:eastAsia="仿宋_GB2312"/>
                <w:color w:val="auto"/>
                <w:szCs w:val="21"/>
              </w:rPr>
            </w:pPr>
          </w:p>
        </w:tc>
        <w:tc>
          <w:tcPr>
            <w:tcW w:w="292" w:type="pct"/>
            <w:vMerge w:val="continue"/>
            <w:vAlign w:val="center"/>
          </w:tcPr>
          <w:p w14:paraId="5C43CD37">
            <w:pPr>
              <w:jc w:val="center"/>
              <w:rPr>
                <w:rFonts w:eastAsia="仿宋_GB2312"/>
                <w:color w:val="auto"/>
                <w:szCs w:val="21"/>
              </w:rPr>
            </w:pPr>
          </w:p>
        </w:tc>
      </w:tr>
      <w:tr w14:paraId="54EC92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2D6A3F8F">
            <w:pPr>
              <w:jc w:val="center"/>
              <w:rPr>
                <w:rFonts w:eastAsia="仿宋_GB2312"/>
                <w:color w:val="auto"/>
                <w:szCs w:val="21"/>
              </w:rPr>
            </w:pPr>
          </w:p>
        </w:tc>
        <w:tc>
          <w:tcPr>
            <w:tcW w:w="358" w:type="pct"/>
            <w:vMerge w:val="continue"/>
            <w:vAlign w:val="center"/>
          </w:tcPr>
          <w:p w14:paraId="54298132">
            <w:pPr>
              <w:jc w:val="center"/>
              <w:rPr>
                <w:rFonts w:eastAsia="仿宋_GB2312"/>
                <w:color w:val="auto"/>
                <w:szCs w:val="21"/>
              </w:rPr>
            </w:pPr>
          </w:p>
        </w:tc>
        <w:tc>
          <w:tcPr>
            <w:tcW w:w="418" w:type="pct"/>
            <w:vMerge w:val="continue"/>
            <w:vAlign w:val="center"/>
          </w:tcPr>
          <w:p w14:paraId="24B32C81">
            <w:pPr>
              <w:jc w:val="center"/>
              <w:rPr>
                <w:rFonts w:eastAsia="仿宋_GB2312"/>
                <w:color w:val="auto"/>
                <w:szCs w:val="21"/>
              </w:rPr>
            </w:pPr>
          </w:p>
        </w:tc>
        <w:tc>
          <w:tcPr>
            <w:tcW w:w="446" w:type="pct"/>
            <w:vMerge w:val="continue"/>
            <w:vAlign w:val="center"/>
          </w:tcPr>
          <w:p w14:paraId="4DB4FA24">
            <w:pPr>
              <w:jc w:val="center"/>
              <w:rPr>
                <w:rFonts w:eastAsia="仿宋_GB2312"/>
                <w:color w:val="auto"/>
                <w:szCs w:val="21"/>
              </w:rPr>
            </w:pPr>
          </w:p>
        </w:tc>
        <w:tc>
          <w:tcPr>
            <w:tcW w:w="361" w:type="pct"/>
            <w:vMerge w:val="continue"/>
            <w:vAlign w:val="center"/>
          </w:tcPr>
          <w:p w14:paraId="3D90CB67">
            <w:pPr>
              <w:jc w:val="center"/>
              <w:rPr>
                <w:rFonts w:eastAsia="仿宋_GB2312"/>
                <w:color w:val="auto"/>
                <w:szCs w:val="21"/>
              </w:rPr>
            </w:pPr>
          </w:p>
        </w:tc>
        <w:tc>
          <w:tcPr>
            <w:tcW w:w="498" w:type="pct"/>
            <w:vMerge w:val="continue"/>
            <w:shd w:val="clear" w:color="auto" w:fill="auto"/>
            <w:vAlign w:val="center"/>
          </w:tcPr>
          <w:p w14:paraId="1C835CBD">
            <w:pPr>
              <w:keepNext w:val="0"/>
              <w:keepLines w:val="0"/>
              <w:widowControl/>
              <w:suppressLineNumbers w:val="0"/>
              <w:jc w:val="center"/>
              <w:textAlignment w:val="bottom"/>
              <w:rPr>
                <w:rFonts w:eastAsia="仿宋_GB2312"/>
                <w:color w:val="auto"/>
                <w:kern w:val="0"/>
                <w:szCs w:val="21"/>
                <w:lang w:bidi="ar"/>
              </w:rPr>
            </w:pPr>
          </w:p>
        </w:tc>
        <w:tc>
          <w:tcPr>
            <w:tcW w:w="820" w:type="pct"/>
            <w:shd w:val="clear" w:color="auto" w:fill="auto"/>
            <w:vAlign w:val="center"/>
          </w:tcPr>
          <w:p w14:paraId="4F4C9540">
            <w:pPr>
              <w:widowControl/>
              <w:jc w:val="center"/>
              <w:textAlignment w:val="center"/>
              <w:rPr>
                <w:rFonts w:ascii="Times New Roman" w:hAnsi="Times New Roman" w:eastAsia="仿宋_GB2312" w:cs="Times New Roman"/>
                <w:b/>
                <w:bCs/>
                <w:color w:val="auto"/>
                <w:kern w:val="0"/>
                <w:sz w:val="21"/>
                <w:szCs w:val="21"/>
                <w:lang w:val="en-US" w:eastAsia="zh-CN" w:bidi="ar"/>
              </w:rPr>
            </w:pPr>
            <w:r>
              <w:rPr>
                <w:rFonts w:eastAsia="仿宋_GB2312"/>
                <w:color w:val="auto"/>
                <w:kern w:val="0"/>
                <w:szCs w:val="21"/>
                <w:lang w:bidi="ar"/>
              </w:rPr>
              <w:t>其他有机物</w:t>
            </w:r>
          </w:p>
        </w:tc>
        <w:tc>
          <w:tcPr>
            <w:tcW w:w="380" w:type="pct"/>
            <w:shd w:val="clear" w:color="auto" w:fill="auto"/>
            <w:vAlign w:val="center"/>
          </w:tcPr>
          <w:p w14:paraId="64E2B879">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0.007</w:t>
            </w:r>
          </w:p>
        </w:tc>
        <w:tc>
          <w:tcPr>
            <w:tcW w:w="445" w:type="pct"/>
            <w:shd w:val="clear" w:color="auto" w:fill="auto"/>
            <w:vAlign w:val="center"/>
          </w:tcPr>
          <w:p w14:paraId="2B300B96">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bidi="ar"/>
              </w:rPr>
              <w:t>0.032</w:t>
            </w:r>
          </w:p>
        </w:tc>
        <w:tc>
          <w:tcPr>
            <w:tcW w:w="630" w:type="pct"/>
            <w:vMerge w:val="continue"/>
            <w:vAlign w:val="center"/>
          </w:tcPr>
          <w:p w14:paraId="0DF02A16">
            <w:pPr>
              <w:jc w:val="center"/>
              <w:rPr>
                <w:rFonts w:eastAsia="仿宋_GB2312"/>
                <w:color w:val="auto"/>
                <w:szCs w:val="21"/>
              </w:rPr>
            </w:pPr>
          </w:p>
        </w:tc>
        <w:tc>
          <w:tcPr>
            <w:tcW w:w="292" w:type="pct"/>
            <w:vMerge w:val="continue"/>
            <w:vAlign w:val="center"/>
          </w:tcPr>
          <w:p w14:paraId="21A0F66D">
            <w:pPr>
              <w:jc w:val="center"/>
              <w:rPr>
                <w:rFonts w:eastAsia="仿宋_GB2312"/>
                <w:color w:val="auto"/>
                <w:szCs w:val="21"/>
              </w:rPr>
            </w:pPr>
          </w:p>
        </w:tc>
      </w:tr>
      <w:tr w14:paraId="14ADA9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5FB1A279">
            <w:pPr>
              <w:jc w:val="center"/>
              <w:rPr>
                <w:rFonts w:eastAsia="仿宋_GB2312"/>
                <w:color w:val="auto"/>
                <w:szCs w:val="21"/>
              </w:rPr>
            </w:pPr>
          </w:p>
        </w:tc>
        <w:tc>
          <w:tcPr>
            <w:tcW w:w="358" w:type="pct"/>
            <w:vMerge w:val="continue"/>
            <w:vAlign w:val="center"/>
          </w:tcPr>
          <w:p w14:paraId="5610C13A">
            <w:pPr>
              <w:jc w:val="center"/>
              <w:rPr>
                <w:rFonts w:eastAsia="仿宋_GB2312"/>
                <w:color w:val="auto"/>
                <w:szCs w:val="21"/>
              </w:rPr>
            </w:pPr>
          </w:p>
        </w:tc>
        <w:tc>
          <w:tcPr>
            <w:tcW w:w="418" w:type="pct"/>
            <w:vMerge w:val="restart"/>
            <w:vAlign w:val="center"/>
          </w:tcPr>
          <w:p w14:paraId="67A1EE17">
            <w:pPr>
              <w:jc w:val="center"/>
              <w:rPr>
                <w:rFonts w:eastAsia="仿宋_GB2312"/>
                <w:color w:val="auto"/>
                <w:szCs w:val="21"/>
              </w:rPr>
            </w:pPr>
            <w:r>
              <w:rPr>
                <w:rFonts w:eastAsia="仿宋_GB2312"/>
                <w:color w:val="auto"/>
                <w:kern w:val="0"/>
                <w:szCs w:val="21"/>
                <w:lang w:bidi="ar"/>
              </w:rPr>
              <w:t>G</w:t>
            </w:r>
            <w:r>
              <w:rPr>
                <w:rFonts w:hint="eastAsia" w:eastAsia="仿宋_GB2312"/>
                <w:color w:val="auto"/>
                <w:kern w:val="0"/>
                <w:szCs w:val="21"/>
                <w:lang w:val="en-US" w:eastAsia="zh-CN" w:bidi="ar"/>
              </w:rPr>
              <w:t>3</w:t>
            </w:r>
            <w:r>
              <w:rPr>
                <w:rFonts w:eastAsia="仿宋_GB2312"/>
                <w:color w:val="auto"/>
                <w:kern w:val="0"/>
                <w:szCs w:val="21"/>
                <w:lang w:bidi="ar"/>
              </w:rPr>
              <w:t>-</w:t>
            </w:r>
            <w:r>
              <w:rPr>
                <w:rFonts w:hint="eastAsia" w:eastAsia="仿宋_GB2312"/>
                <w:color w:val="auto"/>
                <w:kern w:val="0"/>
                <w:szCs w:val="21"/>
                <w:lang w:val="en-US" w:eastAsia="zh-CN" w:bidi="ar"/>
              </w:rPr>
              <w:t>8</w:t>
            </w:r>
            <w:r>
              <w:rPr>
                <w:rFonts w:eastAsia="仿宋_GB2312"/>
                <w:color w:val="auto"/>
                <w:kern w:val="0"/>
                <w:szCs w:val="21"/>
                <w:lang w:bidi="ar"/>
              </w:rPr>
              <w:t>-4</w:t>
            </w:r>
          </w:p>
        </w:tc>
        <w:tc>
          <w:tcPr>
            <w:tcW w:w="446" w:type="pct"/>
            <w:vMerge w:val="restart"/>
            <w:vAlign w:val="center"/>
          </w:tcPr>
          <w:p w14:paraId="1F40B745">
            <w:pPr>
              <w:jc w:val="center"/>
              <w:rPr>
                <w:rFonts w:eastAsia="仿宋_GB2312"/>
                <w:color w:val="auto"/>
                <w:szCs w:val="21"/>
              </w:rPr>
            </w:pPr>
            <w:r>
              <w:rPr>
                <w:rFonts w:eastAsia="仿宋_GB2312"/>
                <w:color w:val="auto"/>
                <w:kern w:val="0"/>
                <w:szCs w:val="21"/>
                <w:lang w:bidi="ar"/>
              </w:rPr>
              <w:t>不凝气</w:t>
            </w:r>
          </w:p>
        </w:tc>
        <w:tc>
          <w:tcPr>
            <w:tcW w:w="361" w:type="pct"/>
            <w:vMerge w:val="restart"/>
            <w:vAlign w:val="center"/>
          </w:tcPr>
          <w:p w14:paraId="17B5C11D">
            <w:pPr>
              <w:jc w:val="center"/>
              <w:rPr>
                <w:rFonts w:eastAsia="仿宋_GB2312"/>
                <w:color w:val="auto"/>
                <w:szCs w:val="21"/>
              </w:rPr>
            </w:pPr>
            <w:r>
              <w:rPr>
                <w:rFonts w:eastAsia="仿宋_GB2312"/>
                <w:color w:val="auto"/>
                <w:szCs w:val="21"/>
              </w:rPr>
              <w:t>360</w:t>
            </w:r>
          </w:p>
        </w:tc>
        <w:tc>
          <w:tcPr>
            <w:tcW w:w="498" w:type="pct"/>
            <w:vMerge w:val="restart"/>
            <w:shd w:val="clear" w:color="auto" w:fill="auto"/>
            <w:vAlign w:val="center"/>
          </w:tcPr>
          <w:p w14:paraId="5520BC41">
            <w:pPr>
              <w:keepNext w:val="0"/>
              <w:keepLines w:val="0"/>
              <w:widowControl/>
              <w:suppressLineNumbers w:val="0"/>
              <w:jc w:val="center"/>
              <w:textAlignment w:val="bottom"/>
              <w:rPr>
                <w:rFonts w:hint="eastAsia" w:eastAsia="仿宋_GB2312"/>
                <w:color w:val="auto"/>
                <w:kern w:val="0"/>
                <w:szCs w:val="21"/>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4462</w:t>
            </w:r>
          </w:p>
        </w:tc>
        <w:tc>
          <w:tcPr>
            <w:tcW w:w="820" w:type="pct"/>
            <w:shd w:val="clear" w:color="auto" w:fill="auto"/>
            <w:vAlign w:val="center"/>
          </w:tcPr>
          <w:p w14:paraId="52098B84">
            <w:pPr>
              <w:widowControl/>
              <w:jc w:val="center"/>
              <w:textAlignment w:val="center"/>
              <w:rPr>
                <w:rFonts w:hint="eastAsia" w:ascii="Times New Roman" w:hAnsi="Times New Roman" w:eastAsia="仿宋_GB2312" w:cs="Times New Roman"/>
                <w:b/>
                <w:bCs/>
                <w:color w:val="auto"/>
                <w:kern w:val="0"/>
                <w:sz w:val="21"/>
                <w:szCs w:val="21"/>
                <w:lang w:val="en-US" w:eastAsia="zh-CN" w:bidi="ar"/>
              </w:rPr>
            </w:pPr>
            <w:r>
              <w:rPr>
                <w:rFonts w:hint="eastAsia" w:eastAsia="仿宋_GB2312"/>
                <w:color w:val="auto"/>
                <w:kern w:val="0"/>
                <w:szCs w:val="21"/>
                <w:lang w:val="en-US" w:eastAsia="zh-CN" w:bidi="ar"/>
              </w:rPr>
              <w:t>乙腈</w:t>
            </w:r>
          </w:p>
        </w:tc>
        <w:tc>
          <w:tcPr>
            <w:tcW w:w="380" w:type="pct"/>
            <w:shd w:val="clear" w:color="auto" w:fill="auto"/>
            <w:vAlign w:val="center"/>
          </w:tcPr>
          <w:p w14:paraId="44ADCB7E">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86.29</w:t>
            </w:r>
          </w:p>
        </w:tc>
        <w:tc>
          <w:tcPr>
            <w:tcW w:w="445" w:type="pct"/>
            <w:shd w:val="clear" w:color="auto" w:fill="auto"/>
            <w:vAlign w:val="center"/>
          </w:tcPr>
          <w:p w14:paraId="4BBAA9F4">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385.053</w:t>
            </w:r>
          </w:p>
        </w:tc>
        <w:tc>
          <w:tcPr>
            <w:tcW w:w="630" w:type="pct"/>
            <w:vMerge w:val="continue"/>
            <w:vAlign w:val="center"/>
          </w:tcPr>
          <w:p w14:paraId="2DFCD0C9">
            <w:pPr>
              <w:jc w:val="center"/>
              <w:rPr>
                <w:rFonts w:eastAsia="仿宋_GB2312"/>
                <w:color w:val="auto"/>
                <w:szCs w:val="21"/>
              </w:rPr>
            </w:pPr>
          </w:p>
        </w:tc>
        <w:tc>
          <w:tcPr>
            <w:tcW w:w="292" w:type="pct"/>
            <w:vMerge w:val="continue"/>
            <w:vAlign w:val="center"/>
          </w:tcPr>
          <w:p w14:paraId="5328821D">
            <w:pPr>
              <w:jc w:val="center"/>
              <w:rPr>
                <w:rFonts w:eastAsia="仿宋_GB2312"/>
                <w:color w:val="auto"/>
                <w:szCs w:val="21"/>
              </w:rPr>
            </w:pPr>
          </w:p>
        </w:tc>
      </w:tr>
      <w:tr w14:paraId="7A2014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1ABF0154">
            <w:pPr>
              <w:jc w:val="center"/>
              <w:rPr>
                <w:rFonts w:eastAsia="仿宋_GB2312"/>
                <w:color w:val="auto"/>
                <w:szCs w:val="21"/>
              </w:rPr>
            </w:pPr>
          </w:p>
        </w:tc>
        <w:tc>
          <w:tcPr>
            <w:tcW w:w="358" w:type="pct"/>
            <w:vMerge w:val="continue"/>
            <w:vAlign w:val="center"/>
          </w:tcPr>
          <w:p w14:paraId="505F6092">
            <w:pPr>
              <w:jc w:val="center"/>
              <w:rPr>
                <w:rFonts w:eastAsia="仿宋_GB2312"/>
                <w:color w:val="auto"/>
                <w:szCs w:val="21"/>
              </w:rPr>
            </w:pPr>
          </w:p>
        </w:tc>
        <w:tc>
          <w:tcPr>
            <w:tcW w:w="418" w:type="pct"/>
            <w:vMerge w:val="continue"/>
            <w:vAlign w:val="center"/>
          </w:tcPr>
          <w:p w14:paraId="0FFFB3C4">
            <w:pPr>
              <w:jc w:val="center"/>
              <w:rPr>
                <w:rFonts w:eastAsia="仿宋_GB2312"/>
                <w:color w:val="auto"/>
                <w:szCs w:val="21"/>
              </w:rPr>
            </w:pPr>
          </w:p>
        </w:tc>
        <w:tc>
          <w:tcPr>
            <w:tcW w:w="446" w:type="pct"/>
            <w:vMerge w:val="continue"/>
            <w:vAlign w:val="center"/>
          </w:tcPr>
          <w:p w14:paraId="7006CEB1">
            <w:pPr>
              <w:jc w:val="center"/>
              <w:rPr>
                <w:rFonts w:eastAsia="仿宋_GB2312"/>
                <w:color w:val="auto"/>
                <w:szCs w:val="21"/>
              </w:rPr>
            </w:pPr>
          </w:p>
        </w:tc>
        <w:tc>
          <w:tcPr>
            <w:tcW w:w="361" w:type="pct"/>
            <w:vMerge w:val="continue"/>
            <w:vAlign w:val="center"/>
          </w:tcPr>
          <w:p w14:paraId="5BD98751">
            <w:pPr>
              <w:jc w:val="center"/>
              <w:rPr>
                <w:rFonts w:eastAsia="仿宋_GB2312"/>
                <w:color w:val="auto"/>
                <w:szCs w:val="21"/>
              </w:rPr>
            </w:pPr>
          </w:p>
        </w:tc>
        <w:tc>
          <w:tcPr>
            <w:tcW w:w="498" w:type="pct"/>
            <w:vMerge w:val="continue"/>
            <w:shd w:val="clear" w:color="auto" w:fill="auto"/>
            <w:vAlign w:val="center"/>
          </w:tcPr>
          <w:p w14:paraId="7C935FF6">
            <w:pPr>
              <w:keepNext w:val="0"/>
              <w:keepLines w:val="0"/>
              <w:widowControl/>
              <w:suppressLineNumbers w:val="0"/>
              <w:jc w:val="center"/>
              <w:textAlignment w:val="bottom"/>
              <w:rPr>
                <w:rFonts w:hint="eastAsia" w:eastAsia="仿宋_GB2312"/>
                <w:color w:val="auto"/>
                <w:kern w:val="0"/>
                <w:szCs w:val="21"/>
                <w:lang w:val="en-US" w:eastAsia="zh-CN" w:bidi="ar"/>
              </w:rPr>
            </w:pPr>
          </w:p>
        </w:tc>
        <w:tc>
          <w:tcPr>
            <w:tcW w:w="820" w:type="pct"/>
            <w:shd w:val="clear" w:color="auto" w:fill="auto"/>
            <w:vAlign w:val="center"/>
          </w:tcPr>
          <w:p w14:paraId="01894805">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丙腈</w:t>
            </w:r>
          </w:p>
        </w:tc>
        <w:tc>
          <w:tcPr>
            <w:tcW w:w="380" w:type="pct"/>
            <w:shd w:val="clear" w:color="auto" w:fill="auto"/>
            <w:vAlign w:val="center"/>
          </w:tcPr>
          <w:p w14:paraId="0390413C">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0.083</w:t>
            </w:r>
          </w:p>
        </w:tc>
        <w:tc>
          <w:tcPr>
            <w:tcW w:w="445" w:type="pct"/>
            <w:shd w:val="clear" w:color="auto" w:fill="auto"/>
            <w:vAlign w:val="center"/>
          </w:tcPr>
          <w:p w14:paraId="76EE36B8">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bidi="ar"/>
              </w:rPr>
              <w:t>0.3</w:t>
            </w:r>
            <w:r>
              <w:rPr>
                <w:rFonts w:hint="eastAsia" w:eastAsia="仿宋_GB2312"/>
                <w:color w:val="auto"/>
                <w:kern w:val="0"/>
                <w:szCs w:val="21"/>
                <w:lang w:val="en-US" w:eastAsia="zh-CN" w:bidi="ar"/>
              </w:rPr>
              <w:t>74</w:t>
            </w:r>
          </w:p>
        </w:tc>
        <w:tc>
          <w:tcPr>
            <w:tcW w:w="630" w:type="pct"/>
            <w:vMerge w:val="continue"/>
            <w:vAlign w:val="center"/>
          </w:tcPr>
          <w:p w14:paraId="5145A870">
            <w:pPr>
              <w:jc w:val="center"/>
              <w:rPr>
                <w:rFonts w:eastAsia="仿宋_GB2312"/>
                <w:color w:val="auto"/>
                <w:szCs w:val="21"/>
              </w:rPr>
            </w:pPr>
          </w:p>
        </w:tc>
        <w:tc>
          <w:tcPr>
            <w:tcW w:w="292" w:type="pct"/>
            <w:vMerge w:val="continue"/>
            <w:vAlign w:val="center"/>
          </w:tcPr>
          <w:p w14:paraId="79E55D47">
            <w:pPr>
              <w:jc w:val="center"/>
              <w:rPr>
                <w:rFonts w:eastAsia="仿宋_GB2312"/>
                <w:color w:val="auto"/>
                <w:szCs w:val="21"/>
              </w:rPr>
            </w:pPr>
          </w:p>
        </w:tc>
      </w:tr>
      <w:tr w14:paraId="621807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0B31BE00">
            <w:pPr>
              <w:jc w:val="center"/>
              <w:rPr>
                <w:rFonts w:eastAsia="仿宋_GB2312"/>
                <w:color w:val="auto"/>
                <w:szCs w:val="21"/>
              </w:rPr>
            </w:pPr>
          </w:p>
        </w:tc>
        <w:tc>
          <w:tcPr>
            <w:tcW w:w="358" w:type="pct"/>
            <w:vMerge w:val="continue"/>
            <w:vAlign w:val="center"/>
          </w:tcPr>
          <w:p w14:paraId="23E2D2F8">
            <w:pPr>
              <w:jc w:val="center"/>
              <w:rPr>
                <w:rFonts w:eastAsia="仿宋_GB2312"/>
                <w:color w:val="auto"/>
                <w:szCs w:val="21"/>
              </w:rPr>
            </w:pPr>
          </w:p>
        </w:tc>
        <w:tc>
          <w:tcPr>
            <w:tcW w:w="418" w:type="pct"/>
            <w:vMerge w:val="continue"/>
            <w:vAlign w:val="center"/>
          </w:tcPr>
          <w:p w14:paraId="79808E8A">
            <w:pPr>
              <w:jc w:val="center"/>
              <w:rPr>
                <w:rFonts w:eastAsia="仿宋_GB2312"/>
                <w:color w:val="auto"/>
                <w:szCs w:val="21"/>
              </w:rPr>
            </w:pPr>
          </w:p>
        </w:tc>
        <w:tc>
          <w:tcPr>
            <w:tcW w:w="446" w:type="pct"/>
            <w:vMerge w:val="continue"/>
            <w:vAlign w:val="center"/>
          </w:tcPr>
          <w:p w14:paraId="79644715">
            <w:pPr>
              <w:jc w:val="center"/>
              <w:rPr>
                <w:rFonts w:eastAsia="仿宋_GB2312"/>
                <w:color w:val="auto"/>
                <w:szCs w:val="21"/>
              </w:rPr>
            </w:pPr>
          </w:p>
        </w:tc>
        <w:tc>
          <w:tcPr>
            <w:tcW w:w="361" w:type="pct"/>
            <w:vMerge w:val="continue"/>
            <w:vAlign w:val="center"/>
          </w:tcPr>
          <w:p w14:paraId="14B3C327">
            <w:pPr>
              <w:jc w:val="center"/>
              <w:rPr>
                <w:rFonts w:eastAsia="仿宋_GB2312"/>
                <w:color w:val="auto"/>
                <w:szCs w:val="21"/>
              </w:rPr>
            </w:pPr>
          </w:p>
        </w:tc>
        <w:tc>
          <w:tcPr>
            <w:tcW w:w="498" w:type="pct"/>
            <w:vMerge w:val="continue"/>
            <w:shd w:val="clear" w:color="auto" w:fill="auto"/>
            <w:vAlign w:val="center"/>
          </w:tcPr>
          <w:p w14:paraId="1EA54E76">
            <w:pPr>
              <w:keepNext w:val="0"/>
              <w:keepLines w:val="0"/>
              <w:widowControl/>
              <w:suppressLineNumbers w:val="0"/>
              <w:jc w:val="center"/>
              <w:textAlignment w:val="bottom"/>
              <w:rPr>
                <w:rFonts w:eastAsia="仿宋_GB2312"/>
                <w:color w:val="auto"/>
                <w:kern w:val="0"/>
                <w:szCs w:val="21"/>
                <w:lang w:bidi="ar"/>
              </w:rPr>
            </w:pPr>
          </w:p>
        </w:tc>
        <w:tc>
          <w:tcPr>
            <w:tcW w:w="820" w:type="pct"/>
            <w:shd w:val="clear" w:color="auto" w:fill="auto"/>
            <w:vAlign w:val="center"/>
          </w:tcPr>
          <w:p w14:paraId="6E1E88E0">
            <w:pPr>
              <w:widowControl/>
              <w:jc w:val="center"/>
              <w:textAlignment w:val="center"/>
              <w:rPr>
                <w:rFonts w:ascii="Times New Roman" w:hAnsi="Times New Roman" w:eastAsia="仿宋_GB2312" w:cs="Times New Roman"/>
                <w:b/>
                <w:bCs/>
                <w:color w:val="auto"/>
                <w:kern w:val="0"/>
                <w:sz w:val="21"/>
                <w:szCs w:val="21"/>
                <w:lang w:val="en-US" w:eastAsia="zh-CN" w:bidi="ar"/>
              </w:rPr>
            </w:pPr>
            <w:r>
              <w:rPr>
                <w:rFonts w:eastAsia="仿宋_GB2312"/>
                <w:color w:val="auto"/>
                <w:kern w:val="0"/>
                <w:szCs w:val="21"/>
                <w:lang w:bidi="ar"/>
              </w:rPr>
              <w:t>其他有机物</w:t>
            </w:r>
          </w:p>
        </w:tc>
        <w:tc>
          <w:tcPr>
            <w:tcW w:w="380" w:type="pct"/>
            <w:shd w:val="clear" w:color="auto" w:fill="auto"/>
            <w:vAlign w:val="center"/>
          </w:tcPr>
          <w:p w14:paraId="39F569AD">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0.618</w:t>
            </w:r>
          </w:p>
        </w:tc>
        <w:tc>
          <w:tcPr>
            <w:tcW w:w="445" w:type="pct"/>
            <w:shd w:val="clear" w:color="auto" w:fill="auto"/>
            <w:vAlign w:val="center"/>
          </w:tcPr>
          <w:p w14:paraId="0332610C">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2.758</w:t>
            </w:r>
          </w:p>
        </w:tc>
        <w:tc>
          <w:tcPr>
            <w:tcW w:w="630" w:type="pct"/>
            <w:vMerge w:val="continue"/>
            <w:vAlign w:val="center"/>
          </w:tcPr>
          <w:p w14:paraId="35919691">
            <w:pPr>
              <w:jc w:val="center"/>
              <w:rPr>
                <w:rFonts w:eastAsia="仿宋_GB2312"/>
                <w:color w:val="auto"/>
                <w:szCs w:val="21"/>
              </w:rPr>
            </w:pPr>
          </w:p>
        </w:tc>
        <w:tc>
          <w:tcPr>
            <w:tcW w:w="292" w:type="pct"/>
            <w:vMerge w:val="continue"/>
            <w:vAlign w:val="center"/>
          </w:tcPr>
          <w:p w14:paraId="4FA67794">
            <w:pPr>
              <w:jc w:val="center"/>
              <w:rPr>
                <w:rFonts w:eastAsia="仿宋_GB2312"/>
                <w:color w:val="auto"/>
                <w:szCs w:val="21"/>
              </w:rPr>
            </w:pPr>
          </w:p>
        </w:tc>
      </w:tr>
      <w:tr w14:paraId="768F6E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3158A267">
            <w:pPr>
              <w:jc w:val="center"/>
              <w:rPr>
                <w:rFonts w:eastAsia="仿宋_GB2312"/>
                <w:color w:val="auto"/>
                <w:szCs w:val="21"/>
              </w:rPr>
            </w:pPr>
          </w:p>
        </w:tc>
        <w:tc>
          <w:tcPr>
            <w:tcW w:w="358" w:type="pct"/>
            <w:vMerge w:val="continue"/>
            <w:vAlign w:val="center"/>
          </w:tcPr>
          <w:p w14:paraId="4C743F03">
            <w:pPr>
              <w:jc w:val="center"/>
              <w:rPr>
                <w:rFonts w:eastAsia="仿宋_GB2312"/>
                <w:color w:val="auto"/>
                <w:szCs w:val="21"/>
              </w:rPr>
            </w:pPr>
          </w:p>
        </w:tc>
        <w:tc>
          <w:tcPr>
            <w:tcW w:w="418" w:type="pct"/>
            <w:vMerge w:val="restart"/>
            <w:vAlign w:val="center"/>
          </w:tcPr>
          <w:p w14:paraId="034FE65D">
            <w:pPr>
              <w:jc w:val="center"/>
              <w:rPr>
                <w:rFonts w:eastAsia="仿宋_GB2312"/>
                <w:color w:val="auto"/>
                <w:szCs w:val="21"/>
              </w:rPr>
            </w:pPr>
            <w:r>
              <w:rPr>
                <w:rFonts w:eastAsia="仿宋_GB2312"/>
                <w:color w:val="auto"/>
                <w:kern w:val="0"/>
                <w:szCs w:val="21"/>
                <w:lang w:bidi="ar"/>
              </w:rPr>
              <w:t>G</w:t>
            </w:r>
            <w:r>
              <w:rPr>
                <w:rFonts w:hint="eastAsia" w:eastAsia="仿宋_GB2312"/>
                <w:color w:val="auto"/>
                <w:kern w:val="0"/>
                <w:szCs w:val="21"/>
                <w:lang w:val="en-US" w:eastAsia="zh-CN" w:bidi="ar"/>
              </w:rPr>
              <w:t>3</w:t>
            </w:r>
            <w:r>
              <w:rPr>
                <w:rFonts w:eastAsia="仿宋_GB2312"/>
                <w:color w:val="auto"/>
                <w:kern w:val="0"/>
                <w:szCs w:val="21"/>
                <w:lang w:bidi="ar"/>
              </w:rPr>
              <w:t>-</w:t>
            </w:r>
            <w:r>
              <w:rPr>
                <w:rFonts w:hint="eastAsia" w:eastAsia="仿宋_GB2312"/>
                <w:color w:val="auto"/>
                <w:kern w:val="0"/>
                <w:szCs w:val="21"/>
                <w:lang w:val="en-US" w:eastAsia="zh-CN" w:bidi="ar"/>
              </w:rPr>
              <w:t>8</w:t>
            </w:r>
            <w:r>
              <w:rPr>
                <w:rFonts w:eastAsia="仿宋_GB2312"/>
                <w:color w:val="auto"/>
                <w:kern w:val="0"/>
                <w:szCs w:val="21"/>
                <w:lang w:bidi="ar"/>
              </w:rPr>
              <w:t>-5</w:t>
            </w:r>
          </w:p>
        </w:tc>
        <w:tc>
          <w:tcPr>
            <w:tcW w:w="446" w:type="pct"/>
            <w:vMerge w:val="restart"/>
            <w:vAlign w:val="center"/>
          </w:tcPr>
          <w:p w14:paraId="34BCB117">
            <w:pPr>
              <w:jc w:val="center"/>
              <w:rPr>
                <w:rFonts w:eastAsia="仿宋_GB2312"/>
                <w:color w:val="auto"/>
                <w:szCs w:val="21"/>
              </w:rPr>
            </w:pPr>
            <w:r>
              <w:rPr>
                <w:rFonts w:eastAsia="仿宋_GB2312"/>
                <w:color w:val="auto"/>
                <w:kern w:val="0"/>
                <w:szCs w:val="21"/>
                <w:lang w:bidi="ar"/>
              </w:rPr>
              <w:t>灌装废气</w:t>
            </w:r>
          </w:p>
        </w:tc>
        <w:tc>
          <w:tcPr>
            <w:tcW w:w="361" w:type="pct"/>
            <w:vMerge w:val="restart"/>
            <w:vAlign w:val="center"/>
          </w:tcPr>
          <w:p w14:paraId="1EEA1807">
            <w:pPr>
              <w:jc w:val="center"/>
              <w:rPr>
                <w:rFonts w:hint="default" w:eastAsia="仿宋_GB2312"/>
                <w:color w:val="auto"/>
                <w:szCs w:val="21"/>
                <w:lang w:val="en-US" w:eastAsia="zh-CN"/>
              </w:rPr>
            </w:pPr>
            <w:r>
              <w:rPr>
                <w:rFonts w:hint="eastAsia" w:eastAsia="仿宋_GB2312"/>
                <w:color w:val="auto"/>
                <w:szCs w:val="21"/>
                <w:lang w:val="en-US" w:eastAsia="zh-CN"/>
              </w:rPr>
              <w:t>2000</w:t>
            </w:r>
          </w:p>
        </w:tc>
        <w:tc>
          <w:tcPr>
            <w:tcW w:w="498" w:type="pct"/>
            <w:vMerge w:val="restart"/>
            <w:shd w:val="clear" w:color="auto" w:fill="auto"/>
            <w:vAlign w:val="center"/>
          </w:tcPr>
          <w:p w14:paraId="537E2155">
            <w:pPr>
              <w:keepNext w:val="0"/>
              <w:keepLines w:val="0"/>
              <w:widowControl/>
              <w:suppressLineNumbers w:val="0"/>
              <w:jc w:val="center"/>
              <w:textAlignment w:val="bottom"/>
              <w:rPr>
                <w:rFonts w:hint="eastAsia" w:eastAsia="仿宋_GB2312"/>
                <w:color w:val="auto"/>
                <w:kern w:val="0"/>
                <w:szCs w:val="21"/>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4462</w:t>
            </w:r>
          </w:p>
        </w:tc>
        <w:tc>
          <w:tcPr>
            <w:tcW w:w="820" w:type="pct"/>
            <w:shd w:val="clear" w:color="auto" w:fill="auto"/>
            <w:vAlign w:val="center"/>
          </w:tcPr>
          <w:p w14:paraId="19024ED6">
            <w:pPr>
              <w:widowControl/>
              <w:jc w:val="center"/>
              <w:textAlignment w:val="center"/>
              <w:rPr>
                <w:rFonts w:hint="eastAsia" w:ascii="Times New Roman" w:hAnsi="Times New Roman" w:eastAsia="仿宋_GB2312" w:cs="Times New Roman"/>
                <w:b/>
                <w:bCs/>
                <w:color w:val="auto"/>
                <w:kern w:val="0"/>
                <w:sz w:val="21"/>
                <w:szCs w:val="21"/>
                <w:lang w:val="en-US" w:eastAsia="zh-CN" w:bidi="ar"/>
              </w:rPr>
            </w:pPr>
            <w:r>
              <w:rPr>
                <w:rFonts w:hint="eastAsia" w:eastAsia="仿宋_GB2312"/>
                <w:color w:val="auto"/>
                <w:kern w:val="0"/>
                <w:szCs w:val="21"/>
                <w:lang w:val="en-US" w:eastAsia="zh-CN" w:bidi="ar"/>
              </w:rPr>
              <w:t>乙腈</w:t>
            </w:r>
          </w:p>
        </w:tc>
        <w:tc>
          <w:tcPr>
            <w:tcW w:w="380" w:type="pct"/>
            <w:shd w:val="clear" w:color="auto" w:fill="auto"/>
            <w:vAlign w:val="center"/>
          </w:tcPr>
          <w:p w14:paraId="7B48B50A">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5.884</w:t>
            </w:r>
          </w:p>
        </w:tc>
        <w:tc>
          <w:tcPr>
            <w:tcW w:w="445" w:type="pct"/>
            <w:shd w:val="clear" w:color="auto" w:fill="auto"/>
            <w:vAlign w:val="center"/>
          </w:tcPr>
          <w:p w14:paraId="78287FC2">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ascii="Times New Roman" w:hAnsi="Times New Roman" w:eastAsia="仿宋_GB2312" w:cs="Times New Roman"/>
                <w:color w:val="auto"/>
                <w:kern w:val="0"/>
                <w:szCs w:val="21"/>
                <w:lang w:val="en-US" w:eastAsia="zh-CN" w:bidi="ar"/>
              </w:rPr>
              <w:t>26.256</w:t>
            </w:r>
          </w:p>
        </w:tc>
        <w:tc>
          <w:tcPr>
            <w:tcW w:w="630" w:type="pct"/>
            <w:vMerge w:val="restart"/>
            <w:shd w:val="clear" w:color="auto" w:fill="auto"/>
            <w:vAlign w:val="center"/>
          </w:tcPr>
          <w:p w14:paraId="3E54D064">
            <w:pPr>
              <w:jc w:val="center"/>
              <w:rPr>
                <w:rFonts w:ascii="Times New Roman" w:hAnsi="Times New Roman" w:eastAsia="仿宋_GB2312" w:cs="Times New Roman"/>
                <w:color w:val="auto"/>
                <w:kern w:val="2"/>
                <w:sz w:val="21"/>
                <w:szCs w:val="21"/>
                <w:lang w:val="en-US" w:eastAsia="zh-CN" w:bidi="ar-SA"/>
              </w:rPr>
            </w:pPr>
            <w:r>
              <w:rPr>
                <w:rFonts w:hint="eastAsia" w:eastAsia="仿宋_GB2312"/>
                <w:color w:val="auto"/>
                <w:szCs w:val="21"/>
              </w:rPr>
              <w:t>冷凝+酸吸收+碱吸收+水洗+活性炭吸附/脱附</w:t>
            </w:r>
          </w:p>
        </w:tc>
        <w:tc>
          <w:tcPr>
            <w:tcW w:w="292" w:type="pct"/>
            <w:vMerge w:val="restart"/>
            <w:shd w:val="clear" w:color="auto" w:fill="auto"/>
            <w:vAlign w:val="center"/>
          </w:tcPr>
          <w:p w14:paraId="49828B5C">
            <w:pPr>
              <w:jc w:val="center"/>
              <w:rPr>
                <w:rFonts w:ascii="Times New Roman" w:hAnsi="Times New Roman" w:eastAsia="仿宋_GB2312" w:cs="Times New Roman"/>
                <w:color w:val="auto"/>
                <w:kern w:val="2"/>
                <w:sz w:val="21"/>
                <w:szCs w:val="21"/>
                <w:lang w:val="en-US" w:eastAsia="zh-CN" w:bidi="ar-SA"/>
              </w:rPr>
            </w:pPr>
            <w:r>
              <w:rPr>
                <w:rFonts w:hint="eastAsia" w:eastAsia="仿宋_GB2312"/>
                <w:color w:val="auto"/>
              </w:rPr>
              <w:t>DA005</w:t>
            </w:r>
          </w:p>
        </w:tc>
      </w:tr>
      <w:tr w14:paraId="2A3D7C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25C8B179">
            <w:pPr>
              <w:jc w:val="center"/>
              <w:rPr>
                <w:rFonts w:eastAsia="仿宋_GB2312"/>
                <w:color w:val="auto"/>
                <w:szCs w:val="21"/>
              </w:rPr>
            </w:pPr>
          </w:p>
        </w:tc>
        <w:tc>
          <w:tcPr>
            <w:tcW w:w="358" w:type="pct"/>
            <w:vMerge w:val="continue"/>
            <w:vAlign w:val="center"/>
          </w:tcPr>
          <w:p w14:paraId="3E72F125">
            <w:pPr>
              <w:jc w:val="center"/>
              <w:rPr>
                <w:rFonts w:eastAsia="仿宋_GB2312"/>
                <w:color w:val="auto"/>
                <w:szCs w:val="21"/>
              </w:rPr>
            </w:pPr>
          </w:p>
        </w:tc>
        <w:tc>
          <w:tcPr>
            <w:tcW w:w="418" w:type="pct"/>
            <w:vMerge w:val="continue"/>
            <w:vAlign w:val="center"/>
          </w:tcPr>
          <w:p w14:paraId="3B474674">
            <w:pPr>
              <w:jc w:val="center"/>
              <w:rPr>
                <w:rFonts w:eastAsia="仿宋_GB2312"/>
                <w:color w:val="auto"/>
                <w:szCs w:val="21"/>
              </w:rPr>
            </w:pPr>
          </w:p>
        </w:tc>
        <w:tc>
          <w:tcPr>
            <w:tcW w:w="446" w:type="pct"/>
            <w:vMerge w:val="continue"/>
            <w:vAlign w:val="center"/>
          </w:tcPr>
          <w:p w14:paraId="19EB929A">
            <w:pPr>
              <w:jc w:val="center"/>
              <w:rPr>
                <w:rFonts w:eastAsia="仿宋_GB2312"/>
                <w:color w:val="auto"/>
                <w:szCs w:val="21"/>
              </w:rPr>
            </w:pPr>
          </w:p>
        </w:tc>
        <w:tc>
          <w:tcPr>
            <w:tcW w:w="361" w:type="pct"/>
            <w:vMerge w:val="continue"/>
            <w:vAlign w:val="center"/>
          </w:tcPr>
          <w:p w14:paraId="7FB51FE8">
            <w:pPr>
              <w:jc w:val="center"/>
              <w:rPr>
                <w:rFonts w:eastAsia="仿宋_GB2312"/>
                <w:color w:val="auto"/>
                <w:szCs w:val="21"/>
              </w:rPr>
            </w:pPr>
          </w:p>
        </w:tc>
        <w:tc>
          <w:tcPr>
            <w:tcW w:w="498" w:type="pct"/>
            <w:vMerge w:val="continue"/>
            <w:shd w:val="clear" w:color="auto" w:fill="auto"/>
            <w:vAlign w:val="center"/>
          </w:tcPr>
          <w:p w14:paraId="00F31CE3">
            <w:pPr>
              <w:keepNext w:val="0"/>
              <w:keepLines w:val="0"/>
              <w:widowControl/>
              <w:suppressLineNumbers w:val="0"/>
              <w:jc w:val="center"/>
              <w:textAlignment w:val="bottom"/>
              <w:rPr>
                <w:rFonts w:hint="eastAsia" w:eastAsia="仿宋_GB2312"/>
                <w:color w:val="auto"/>
                <w:kern w:val="0"/>
                <w:szCs w:val="21"/>
                <w:lang w:val="en-US" w:eastAsia="zh-CN" w:bidi="ar"/>
              </w:rPr>
            </w:pPr>
          </w:p>
        </w:tc>
        <w:tc>
          <w:tcPr>
            <w:tcW w:w="820" w:type="pct"/>
            <w:shd w:val="clear" w:color="auto" w:fill="auto"/>
            <w:vAlign w:val="center"/>
          </w:tcPr>
          <w:p w14:paraId="2FA7ED88">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丙腈</w:t>
            </w:r>
          </w:p>
        </w:tc>
        <w:tc>
          <w:tcPr>
            <w:tcW w:w="380" w:type="pct"/>
            <w:shd w:val="clear" w:color="auto" w:fill="auto"/>
            <w:vAlign w:val="center"/>
          </w:tcPr>
          <w:p w14:paraId="6DEFF2D3">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0.00</w:t>
            </w:r>
            <w:r>
              <w:rPr>
                <w:rFonts w:hint="eastAsia" w:ascii="Times New Roman" w:hAnsi="Times New Roman" w:eastAsia="宋体" w:cs="Times New Roman"/>
                <w:i w:val="0"/>
                <w:iCs w:val="0"/>
                <w:color w:val="auto"/>
                <w:kern w:val="0"/>
                <w:sz w:val="21"/>
                <w:szCs w:val="21"/>
                <w:u w:val="none"/>
                <w:lang w:val="en-US" w:eastAsia="zh-CN" w:bidi="ar"/>
              </w:rPr>
              <w:t>5</w:t>
            </w:r>
          </w:p>
        </w:tc>
        <w:tc>
          <w:tcPr>
            <w:tcW w:w="445" w:type="pct"/>
            <w:shd w:val="clear" w:color="auto" w:fill="auto"/>
            <w:vAlign w:val="center"/>
          </w:tcPr>
          <w:p w14:paraId="3BD0F29C">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ascii="Times New Roman" w:hAnsi="Times New Roman" w:eastAsia="仿宋_GB2312" w:cs="Times New Roman"/>
                <w:color w:val="auto"/>
                <w:kern w:val="0"/>
                <w:szCs w:val="21"/>
                <w:lang w:val="en-US" w:eastAsia="zh-CN" w:bidi="ar"/>
              </w:rPr>
              <w:t>0.0218</w:t>
            </w:r>
          </w:p>
        </w:tc>
        <w:tc>
          <w:tcPr>
            <w:tcW w:w="630" w:type="pct"/>
            <w:vMerge w:val="continue"/>
            <w:vAlign w:val="center"/>
          </w:tcPr>
          <w:p w14:paraId="485707B6">
            <w:pPr>
              <w:jc w:val="center"/>
              <w:rPr>
                <w:rFonts w:eastAsia="仿宋_GB2312"/>
                <w:color w:val="auto"/>
                <w:szCs w:val="21"/>
              </w:rPr>
            </w:pPr>
          </w:p>
        </w:tc>
        <w:tc>
          <w:tcPr>
            <w:tcW w:w="292" w:type="pct"/>
            <w:vMerge w:val="continue"/>
            <w:vAlign w:val="center"/>
          </w:tcPr>
          <w:p w14:paraId="25CB29BF">
            <w:pPr>
              <w:jc w:val="center"/>
              <w:rPr>
                <w:rFonts w:eastAsia="仿宋_GB2312"/>
                <w:color w:val="auto"/>
                <w:szCs w:val="21"/>
              </w:rPr>
            </w:pPr>
          </w:p>
        </w:tc>
      </w:tr>
      <w:tr w14:paraId="5F2AF0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restart"/>
            <w:vAlign w:val="center"/>
          </w:tcPr>
          <w:p w14:paraId="0015FBEF">
            <w:pPr>
              <w:jc w:val="center"/>
              <w:rPr>
                <w:rFonts w:eastAsia="仿宋_GB2312"/>
                <w:color w:val="auto"/>
                <w:szCs w:val="21"/>
              </w:rPr>
            </w:pPr>
            <w:r>
              <w:rPr>
                <w:rFonts w:eastAsia="仿宋_GB2312"/>
                <w:color w:val="auto"/>
                <w:szCs w:val="21"/>
              </w:rPr>
              <w:t>B-7车间</w:t>
            </w:r>
          </w:p>
        </w:tc>
        <w:tc>
          <w:tcPr>
            <w:tcW w:w="358" w:type="pct"/>
            <w:vMerge w:val="restart"/>
            <w:vAlign w:val="center"/>
          </w:tcPr>
          <w:p w14:paraId="690F46AB">
            <w:pPr>
              <w:jc w:val="center"/>
              <w:rPr>
                <w:rFonts w:hint="default" w:eastAsia="仿宋_GB2312"/>
                <w:color w:val="auto"/>
                <w:szCs w:val="21"/>
                <w:lang w:val="en-US" w:eastAsia="zh-CN"/>
              </w:rPr>
            </w:pPr>
            <w:r>
              <w:rPr>
                <w:rFonts w:hint="eastAsia" w:eastAsia="仿宋_GB2312"/>
                <w:color w:val="auto"/>
                <w:szCs w:val="21"/>
                <w:lang w:val="en-US" w:eastAsia="zh-CN"/>
              </w:rPr>
              <w:t>DMF</w:t>
            </w:r>
          </w:p>
        </w:tc>
        <w:tc>
          <w:tcPr>
            <w:tcW w:w="418" w:type="pct"/>
            <w:vMerge w:val="restart"/>
            <w:vAlign w:val="center"/>
          </w:tcPr>
          <w:p w14:paraId="01CD9566">
            <w:pPr>
              <w:jc w:val="center"/>
              <w:rPr>
                <w:rFonts w:eastAsia="仿宋_GB2312"/>
                <w:color w:val="auto"/>
                <w:szCs w:val="21"/>
              </w:rPr>
            </w:pPr>
            <w:r>
              <w:rPr>
                <w:rFonts w:eastAsia="仿宋_GB2312"/>
                <w:color w:val="auto"/>
                <w:kern w:val="0"/>
                <w:szCs w:val="21"/>
                <w:lang w:bidi="ar"/>
              </w:rPr>
              <w:t>G</w:t>
            </w:r>
            <w:r>
              <w:rPr>
                <w:rFonts w:hint="eastAsia" w:eastAsia="仿宋_GB2312"/>
                <w:color w:val="auto"/>
                <w:kern w:val="0"/>
                <w:szCs w:val="21"/>
                <w:lang w:val="en-US" w:eastAsia="zh-CN" w:bidi="ar"/>
              </w:rPr>
              <w:t>3</w:t>
            </w:r>
            <w:r>
              <w:rPr>
                <w:rFonts w:eastAsia="仿宋_GB2312"/>
                <w:color w:val="auto"/>
                <w:kern w:val="0"/>
                <w:szCs w:val="21"/>
                <w:lang w:bidi="ar"/>
              </w:rPr>
              <w:t>-</w:t>
            </w:r>
            <w:r>
              <w:rPr>
                <w:rFonts w:hint="eastAsia" w:eastAsia="仿宋_GB2312"/>
                <w:color w:val="auto"/>
                <w:kern w:val="0"/>
                <w:szCs w:val="21"/>
                <w:lang w:val="en-US" w:eastAsia="zh-CN" w:bidi="ar"/>
              </w:rPr>
              <w:t>9</w:t>
            </w:r>
            <w:r>
              <w:rPr>
                <w:rFonts w:eastAsia="仿宋_GB2312"/>
                <w:color w:val="auto"/>
                <w:kern w:val="0"/>
                <w:szCs w:val="21"/>
                <w:lang w:bidi="ar"/>
              </w:rPr>
              <w:t>-1</w:t>
            </w:r>
          </w:p>
        </w:tc>
        <w:tc>
          <w:tcPr>
            <w:tcW w:w="446" w:type="pct"/>
            <w:vMerge w:val="restart"/>
            <w:vAlign w:val="center"/>
          </w:tcPr>
          <w:p w14:paraId="24172094">
            <w:pPr>
              <w:jc w:val="center"/>
              <w:rPr>
                <w:rFonts w:eastAsia="仿宋_GB2312"/>
                <w:color w:val="auto"/>
                <w:szCs w:val="21"/>
              </w:rPr>
            </w:pPr>
            <w:r>
              <w:rPr>
                <w:rFonts w:eastAsia="仿宋_GB2312"/>
                <w:color w:val="auto"/>
                <w:kern w:val="0"/>
                <w:szCs w:val="21"/>
                <w:lang w:bidi="ar"/>
              </w:rPr>
              <w:t>投料废气</w:t>
            </w:r>
          </w:p>
        </w:tc>
        <w:tc>
          <w:tcPr>
            <w:tcW w:w="361" w:type="pct"/>
            <w:vMerge w:val="restart"/>
            <w:vAlign w:val="center"/>
          </w:tcPr>
          <w:p w14:paraId="5927208D">
            <w:pPr>
              <w:jc w:val="center"/>
              <w:rPr>
                <w:rFonts w:hint="default" w:eastAsia="仿宋_GB2312"/>
                <w:color w:val="auto"/>
                <w:szCs w:val="21"/>
                <w:lang w:val="en-US" w:eastAsia="zh-CN"/>
              </w:rPr>
            </w:pPr>
            <w:r>
              <w:rPr>
                <w:rFonts w:hint="eastAsia" w:eastAsia="仿宋_GB2312"/>
                <w:color w:val="auto"/>
                <w:szCs w:val="21"/>
                <w:lang w:val="en-US" w:eastAsia="zh-CN"/>
              </w:rPr>
              <w:t>2000</w:t>
            </w:r>
          </w:p>
        </w:tc>
        <w:tc>
          <w:tcPr>
            <w:tcW w:w="498" w:type="pct"/>
            <w:vMerge w:val="restart"/>
            <w:shd w:val="clear" w:color="auto" w:fill="auto"/>
            <w:vAlign w:val="center"/>
          </w:tcPr>
          <w:p w14:paraId="63F15F76">
            <w:pPr>
              <w:keepNext w:val="0"/>
              <w:keepLines w:val="0"/>
              <w:widowControl/>
              <w:suppressLineNumbers w:val="0"/>
              <w:jc w:val="center"/>
              <w:textAlignment w:val="bottom"/>
              <w:rPr>
                <w:rFonts w:hint="eastAsia" w:eastAsia="仿宋_GB2312"/>
                <w:color w:val="auto"/>
                <w:kern w:val="0"/>
                <w:szCs w:val="21"/>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944</w:t>
            </w:r>
          </w:p>
        </w:tc>
        <w:tc>
          <w:tcPr>
            <w:tcW w:w="820" w:type="pct"/>
            <w:shd w:val="clear" w:color="auto" w:fill="auto"/>
            <w:vAlign w:val="center"/>
          </w:tcPr>
          <w:p w14:paraId="53B0BD2D">
            <w:pPr>
              <w:widowControl/>
              <w:jc w:val="center"/>
              <w:textAlignment w:val="center"/>
              <w:rPr>
                <w:rFonts w:hint="default" w:ascii="Times New Roman" w:hAnsi="Times New Roman" w:eastAsia="仿宋_GB2312" w:cs="Times New Roman"/>
                <w:b/>
                <w:bCs/>
                <w:color w:val="auto"/>
                <w:kern w:val="0"/>
                <w:sz w:val="21"/>
                <w:szCs w:val="21"/>
                <w:lang w:val="en-US" w:eastAsia="zh-CN" w:bidi="ar"/>
              </w:rPr>
            </w:pPr>
            <w:r>
              <w:rPr>
                <w:rFonts w:hint="eastAsia" w:eastAsia="仿宋_GB2312"/>
                <w:color w:val="auto"/>
                <w:kern w:val="0"/>
                <w:szCs w:val="21"/>
                <w:lang w:val="en-US" w:eastAsia="zh-CN" w:bidi="ar"/>
              </w:rPr>
              <w:t>DMF</w:t>
            </w:r>
          </w:p>
        </w:tc>
        <w:tc>
          <w:tcPr>
            <w:tcW w:w="380" w:type="pct"/>
            <w:shd w:val="clear" w:color="auto" w:fill="auto"/>
            <w:vAlign w:val="center"/>
          </w:tcPr>
          <w:p w14:paraId="62FFF75F">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2.279</w:t>
            </w:r>
          </w:p>
        </w:tc>
        <w:tc>
          <w:tcPr>
            <w:tcW w:w="445" w:type="pct"/>
            <w:shd w:val="clear" w:color="auto" w:fill="auto"/>
            <w:vAlign w:val="center"/>
          </w:tcPr>
          <w:p w14:paraId="58A9BB3E">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ascii="Times New Roman" w:hAnsi="Times New Roman" w:eastAsia="仿宋_GB2312" w:cs="Times New Roman"/>
                <w:color w:val="auto"/>
                <w:kern w:val="0"/>
                <w:szCs w:val="21"/>
                <w:lang w:val="en-US" w:eastAsia="zh-CN" w:bidi="ar"/>
              </w:rPr>
              <w:t>2.152</w:t>
            </w:r>
          </w:p>
        </w:tc>
        <w:tc>
          <w:tcPr>
            <w:tcW w:w="630" w:type="pct"/>
            <w:vMerge w:val="continue"/>
            <w:shd w:val="clear" w:color="auto" w:fill="auto"/>
            <w:vAlign w:val="center"/>
          </w:tcPr>
          <w:p w14:paraId="511EB5E4">
            <w:pPr>
              <w:jc w:val="center"/>
              <w:rPr>
                <w:rFonts w:ascii="Times New Roman" w:hAnsi="Times New Roman" w:eastAsia="仿宋_GB2312" w:cs="Times New Roman"/>
                <w:color w:val="auto"/>
                <w:kern w:val="2"/>
                <w:sz w:val="21"/>
                <w:szCs w:val="21"/>
                <w:lang w:val="en-US" w:eastAsia="zh-CN" w:bidi="ar-SA"/>
              </w:rPr>
            </w:pPr>
          </w:p>
        </w:tc>
        <w:tc>
          <w:tcPr>
            <w:tcW w:w="292" w:type="pct"/>
            <w:vMerge w:val="continue"/>
            <w:shd w:val="clear" w:color="auto" w:fill="auto"/>
            <w:vAlign w:val="center"/>
          </w:tcPr>
          <w:p w14:paraId="6FA460AB">
            <w:pPr>
              <w:jc w:val="center"/>
              <w:rPr>
                <w:rFonts w:ascii="Times New Roman" w:hAnsi="Times New Roman" w:eastAsia="仿宋_GB2312" w:cs="Times New Roman"/>
                <w:color w:val="auto"/>
                <w:kern w:val="2"/>
                <w:sz w:val="21"/>
                <w:szCs w:val="21"/>
                <w:lang w:val="en-US" w:eastAsia="zh-CN" w:bidi="ar-SA"/>
              </w:rPr>
            </w:pPr>
          </w:p>
        </w:tc>
      </w:tr>
      <w:tr w14:paraId="2EF9C6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618D5FB3">
            <w:pPr>
              <w:jc w:val="center"/>
              <w:rPr>
                <w:rFonts w:eastAsia="仿宋_GB2312"/>
                <w:color w:val="auto"/>
                <w:szCs w:val="21"/>
              </w:rPr>
            </w:pPr>
          </w:p>
        </w:tc>
        <w:tc>
          <w:tcPr>
            <w:tcW w:w="358" w:type="pct"/>
            <w:vMerge w:val="continue"/>
            <w:vAlign w:val="center"/>
          </w:tcPr>
          <w:p w14:paraId="5BC9C973">
            <w:pPr>
              <w:jc w:val="center"/>
              <w:rPr>
                <w:rFonts w:eastAsia="仿宋_GB2312"/>
                <w:color w:val="auto"/>
                <w:szCs w:val="21"/>
              </w:rPr>
            </w:pPr>
          </w:p>
        </w:tc>
        <w:tc>
          <w:tcPr>
            <w:tcW w:w="418" w:type="pct"/>
            <w:vMerge w:val="continue"/>
            <w:vAlign w:val="center"/>
          </w:tcPr>
          <w:p w14:paraId="09B8FEB6">
            <w:pPr>
              <w:jc w:val="center"/>
              <w:rPr>
                <w:rFonts w:eastAsia="仿宋_GB2312"/>
                <w:color w:val="auto"/>
                <w:szCs w:val="21"/>
              </w:rPr>
            </w:pPr>
          </w:p>
        </w:tc>
        <w:tc>
          <w:tcPr>
            <w:tcW w:w="446" w:type="pct"/>
            <w:vMerge w:val="continue"/>
            <w:vAlign w:val="center"/>
          </w:tcPr>
          <w:p w14:paraId="68342609">
            <w:pPr>
              <w:jc w:val="center"/>
              <w:rPr>
                <w:rFonts w:eastAsia="仿宋_GB2312"/>
                <w:color w:val="auto"/>
                <w:szCs w:val="21"/>
              </w:rPr>
            </w:pPr>
          </w:p>
        </w:tc>
        <w:tc>
          <w:tcPr>
            <w:tcW w:w="361" w:type="pct"/>
            <w:vMerge w:val="continue"/>
            <w:vAlign w:val="center"/>
          </w:tcPr>
          <w:p w14:paraId="3BED4CF4">
            <w:pPr>
              <w:jc w:val="center"/>
              <w:rPr>
                <w:rFonts w:eastAsia="仿宋_GB2312"/>
                <w:color w:val="auto"/>
                <w:szCs w:val="21"/>
              </w:rPr>
            </w:pPr>
          </w:p>
        </w:tc>
        <w:tc>
          <w:tcPr>
            <w:tcW w:w="498" w:type="pct"/>
            <w:vMerge w:val="continue"/>
            <w:shd w:val="clear" w:color="auto" w:fill="auto"/>
            <w:vAlign w:val="center"/>
          </w:tcPr>
          <w:p w14:paraId="38F989FF">
            <w:pPr>
              <w:keepNext w:val="0"/>
              <w:keepLines w:val="0"/>
              <w:widowControl/>
              <w:suppressLineNumbers w:val="0"/>
              <w:jc w:val="center"/>
              <w:textAlignment w:val="bottom"/>
              <w:rPr>
                <w:rFonts w:eastAsia="仿宋_GB2312"/>
                <w:color w:val="auto"/>
                <w:kern w:val="0"/>
                <w:szCs w:val="21"/>
                <w:lang w:bidi="ar"/>
              </w:rPr>
            </w:pPr>
          </w:p>
        </w:tc>
        <w:tc>
          <w:tcPr>
            <w:tcW w:w="820" w:type="pct"/>
            <w:shd w:val="clear" w:color="auto" w:fill="auto"/>
            <w:vAlign w:val="center"/>
          </w:tcPr>
          <w:p w14:paraId="049D482D">
            <w:pPr>
              <w:widowControl/>
              <w:jc w:val="center"/>
              <w:textAlignment w:val="center"/>
              <w:rPr>
                <w:rFonts w:ascii="Times New Roman" w:hAnsi="Times New Roman" w:eastAsia="仿宋_GB2312" w:cs="Times New Roman"/>
                <w:b/>
                <w:bCs/>
                <w:color w:val="auto"/>
                <w:kern w:val="0"/>
                <w:sz w:val="21"/>
                <w:szCs w:val="21"/>
                <w:lang w:val="en-US" w:eastAsia="zh-CN" w:bidi="ar"/>
              </w:rPr>
            </w:pPr>
            <w:r>
              <w:rPr>
                <w:rFonts w:eastAsia="仿宋_GB2312"/>
                <w:color w:val="auto"/>
                <w:kern w:val="0"/>
                <w:szCs w:val="21"/>
                <w:lang w:bidi="ar"/>
              </w:rPr>
              <w:t>其他有机物</w:t>
            </w:r>
          </w:p>
        </w:tc>
        <w:tc>
          <w:tcPr>
            <w:tcW w:w="380" w:type="pct"/>
            <w:shd w:val="clear" w:color="auto" w:fill="auto"/>
            <w:vAlign w:val="center"/>
          </w:tcPr>
          <w:p w14:paraId="19998049">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0.03</w:t>
            </w:r>
          </w:p>
        </w:tc>
        <w:tc>
          <w:tcPr>
            <w:tcW w:w="445" w:type="pct"/>
            <w:shd w:val="clear" w:color="auto" w:fill="auto"/>
            <w:vAlign w:val="center"/>
          </w:tcPr>
          <w:p w14:paraId="7ADCFC68">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ascii="Times New Roman" w:hAnsi="Times New Roman" w:eastAsia="仿宋_GB2312" w:cs="Times New Roman"/>
                <w:color w:val="auto"/>
                <w:kern w:val="0"/>
                <w:szCs w:val="21"/>
                <w:lang w:val="en-US" w:eastAsia="zh-CN" w:bidi="ar"/>
              </w:rPr>
              <w:t>0.0287</w:t>
            </w:r>
          </w:p>
        </w:tc>
        <w:tc>
          <w:tcPr>
            <w:tcW w:w="630" w:type="pct"/>
            <w:vMerge w:val="continue"/>
            <w:vAlign w:val="center"/>
          </w:tcPr>
          <w:p w14:paraId="3DFC3DED">
            <w:pPr>
              <w:jc w:val="center"/>
              <w:rPr>
                <w:rFonts w:eastAsia="仿宋_GB2312"/>
                <w:color w:val="auto"/>
                <w:szCs w:val="21"/>
              </w:rPr>
            </w:pPr>
          </w:p>
        </w:tc>
        <w:tc>
          <w:tcPr>
            <w:tcW w:w="292" w:type="pct"/>
            <w:vMerge w:val="continue"/>
            <w:vAlign w:val="center"/>
          </w:tcPr>
          <w:p w14:paraId="0296788D">
            <w:pPr>
              <w:jc w:val="center"/>
              <w:rPr>
                <w:rFonts w:eastAsia="仿宋_GB2312"/>
                <w:color w:val="auto"/>
                <w:szCs w:val="21"/>
              </w:rPr>
            </w:pPr>
          </w:p>
        </w:tc>
      </w:tr>
      <w:tr w14:paraId="2276CA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63E17FE3">
            <w:pPr>
              <w:jc w:val="center"/>
              <w:rPr>
                <w:rFonts w:eastAsia="仿宋_GB2312"/>
                <w:color w:val="auto"/>
                <w:szCs w:val="21"/>
              </w:rPr>
            </w:pPr>
          </w:p>
        </w:tc>
        <w:tc>
          <w:tcPr>
            <w:tcW w:w="358" w:type="pct"/>
            <w:vMerge w:val="continue"/>
            <w:vAlign w:val="center"/>
          </w:tcPr>
          <w:p w14:paraId="1ECFD877">
            <w:pPr>
              <w:jc w:val="center"/>
              <w:rPr>
                <w:rFonts w:eastAsia="仿宋_GB2312"/>
                <w:color w:val="auto"/>
                <w:szCs w:val="21"/>
              </w:rPr>
            </w:pPr>
          </w:p>
        </w:tc>
        <w:tc>
          <w:tcPr>
            <w:tcW w:w="418" w:type="pct"/>
            <w:vMerge w:val="restart"/>
            <w:vAlign w:val="center"/>
          </w:tcPr>
          <w:p w14:paraId="237C3F1F">
            <w:pPr>
              <w:jc w:val="center"/>
              <w:rPr>
                <w:rFonts w:eastAsia="仿宋_GB2312"/>
                <w:color w:val="auto"/>
                <w:szCs w:val="21"/>
              </w:rPr>
            </w:pPr>
            <w:r>
              <w:rPr>
                <w:rFonts w:eastAsia="仿宋_GB2312"/>
                <w:color w:val="auto"/>
                <w:kern w:val="0"/>
                <w:szCs w:val="21"/>
                <w:lang w:bidi="ar"/>
              </w:rPr>
              <w:t>G</w:t>
            </w:r>
            <w:r>
              <w:rPr>
                <w:rFonts w:hint="eastAsia" w:eastAsia="仿宋_GB2312"/>
                <w:color w:val="auto"/>
                <w:kern w:val="0"/>
                <w:szCs w:val="21"/>
                <w:lang w:val="en-US" w:eastAsia="zh-CN" w:bidi="ar"/>
              </w:rPr>
              <w:t>3</w:t>
            </w:r>
            <w:r>
              <w:rPr>
                <w:rFonts w:eastAsia="仿宋_GB2312"/>
                <w:color w:val="auto"/>
                <w:kern w:val="0"/>
                <w:szCs w:val="21"/>
                <w:lang w:bidi="ar"/>
              </w:rPr>
              <w:t>-</w:t>
            </w:r>
            <w:r>
              <w:rPr>
                <w:rFonts w:hint="eastAsia" w:eastAsia="仿宋_GB2312"/>
                <w:color w:val="auto"/>
                <w:kern w:val="0"/>
                <w:szCs w:val="21"/>
                <w:lang w:val="en-US" w:eastAsia="zh-CN" w:bidi="ar"/>
              </w:rPr>
              <w:t>9</w:t>
            </w:r>
            <w:r>
              <w:rPr>
                <w:rFonts w:eastAsia="仿宋_GB2312"/>
                <w:color w:val="auto"/>
                <w:kern w:val="0"/>
                <w:szCs w:val="21"/>
                <w:lang w:bidi="ar"/>
              </w:rPr>
              <w:t>-2</w:t>
            </w:r>
          </w:p>
        </w:tc>
        <w:tc>
          <w:tcPr>
            <w:tcW w:w="446" w:type="pct"/>
            <w:vMerge w:val="restart"/>
            <w:vAlign w:val="center"/>
          </w:tcPr>
          <w:p w14:paraId="66BBACA7">
            <w:pPr>
              <w:jc w:val="center"/>
              <w:rPr>
                <w:rFonts w:eastAsia="仿宋_GB2312"/>
                <w:color w:val="auto"/>
                <w:szCs w:val="21"/>
              </w:rPr>
            </w:pPr>
            <w:r>
              <w:rPr>
                <w:rFonts w:eastAsia="仿宋_GB2312"/>
                <w:color w:val="auto"/>
                <w:kern w:val="0"/>
                <w:szCs w:val="21"/>
                <w:lang w:bidi="ar"/>
              </w:rPr>
              <w:t>调节废气</w:t>
            </w:r>
          </w:p>
        </w:tc>
        <w:tc>
          <w:tcPr>
            <w:tcW w:w="361" w:type="pct"/>
            <w:vMerge w:val="restart"/>
            <w:vAlign w:val="center"/>
          </w:tcPr>
          <w:p w14:paraId="2345CFC4">
            <w:pPr>
              <w:jc w:val="center"/>
              <w:rPr>
                <w:rFonts w:eastAsia="仿宋_GB2312"/>
                <w:color w:val="auto"/>
                <w:szCs w:val="21"/>
              </w:rPr>
            </w:pPr>
            <w:r>
              <w:rPr>
                <w:rFonts w:hint="eastAsia" w:eastAsia="仿宋_GB2312"/>
                <w:color w:val="auto"/>
                <w:szCs w:val="21"/>
                <w:lang w:val="en-US" w:eastAsia="zh-CN"/>
              </w:rPr>
              <w:t>1</w:t>
            </w:r>
            <w:r>
              <w:rPr>
                <w:rFonts w:eastAsia="仿宋_GB2312"/>
                <w:color w:val="auto"/>
                <w:szCs w:val="21"/>
              </w:rPr>
              <w:t>00</w:t>
            </w:r>
          </w:p>
        </w:tc>
        <w:tc>
          <w:tcPr>
            <w:tcW w:w="498" w:type="pct"/>
            <w:vMerge w:val="restart"/>
            <w:shd w:val="clear" w:color="auto" w:fill="auto"/>
            <w:vAlign w:val="center"/>
          </w:tcPr>
          <w:p w14:paraId="0DDB18EB">
            <w:pPr>
              <w:keepNext w:val="0"/>
              <w:keepLines w:val="0"/>
              <w:widowControl/>
              <w:suppressLineNumbers w:val="0"/>
              <w:jc w:val="center"/>
              <w:textAlignment w:val="bottom"/>
              <w:rPr>
                <w:rFonts w:hint="eastAsia" w:eastAsia="仿宋_GB2312"/>
                <w:color w:val="auto"/>
                <w:kern w:val="0"/>
                <w:szCs w:val="21"/>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944</w:t>
            </w:r>
          </w:p>
        </w:tc>
        <w:tc>
          <w:tcPr>
            <w:tcW w:w="820" w:type="pct"/>
            <w:shd w:val="clear" w:color="auto" w:fill="auto"/>
            <w:vAlign w:val="center"/>
          </w:tcPr>
          <w:p w14:paraId="44A38C00">
            <w:pPr>
              <w:widowControl/>
              <w:jc w:val="center"/>
              <w:textAlignment w:val="center"/>
              <w:rPr>
                <w:rFonts w:ascii="Times New Roman" w:hAnsi="Times New Roman" w:eastAsia="仿宋_GB2312" w:cs="Times New Roman"/>
                <w:b/>
                <w:bCs/>
                <w:color w:val="auto"/>
                <w:kern w:val="0"/>
                <w:sz w:val="21"/>
                <w:szCs w:val="21"/>
                <w:lang w:val="en-US" w:eastAsia="zh-CN" w:bidi="ar"/>
              </w:rPr>
            </w:pPr>
            <w:r>
              <w:rPr>
                <w:rFonts w:hint="eastAsia" w:eastAsia="仿宋_GB2312"/>
                <w:color w:val="auto"/>
                <w:kern w:val="0"/>
                <w:szCs w:val="21"/>
                <w:lang w:val="en-US" w:eastAsia="zh-CN" w:bidi="ar"/>
              </w:rPr>
              <w:t>DMF</w:t>
            </w:r>
          </w:p>
        </w:tc>
        <w:tc>
          <w:tcPr>
            <w:tcW w:w="380" w:type="pct"/>
            <w:shd w:val="clear" w:color="auto" w:fill="auto"/>
            <w:vAlign w:val="center"/>
          </w:tcPr>
          <w:p w14:paraId="122E5134">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1.15</w:t>
            </w:r>
          </w:p>
        </w:tc>
        <w:tc>
          <w:tcPr>
            <w:tcW w:w="445" w:type="pct"/>
            <w:shd w:val="clear" w:color="auto" w:fill="auto"/>
            <w:vAlign w:val="center"/>
          </w:tcPr>
          <w:p w14:paraId="6D61FE35">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bidi="ar"/>
              </w:rPr>
              <w:t>1.087</w:t>
            </w:r>
          </w:p>
        </w:tc>
        <w:tc>
          <w:tcPr>
            <w:tcW w:w="630" w:type="pct"/>
            <w:vMerge w:val="restart"/>
            <w:shd w:val="clear" w:color="auto" w:fill="auto"/>
            <w:vAlign w:val="center"/>
          </w:tcPr>
          <w:p w14:paraId="57511B85">
            <w:pPr>
              <w:widowControl/>
              <w:jc w:val="center"/>
              <w:textAlignment w:val="center"/>
              <w:rPr>
                <w:rFonts w:ascii="Times New Roman" w:hAnsi="Times New Roman" w:eastAsia="仿宋_GB2312" w:cs="Times New Roman"/>
                <w:color w:val="auto"/>
                <w:kern w:val="2"/>
                <w:sz w:val="21"/>
                <w:szCs w:val="21"/>
                <w:lang w:val="en-US" w:eastAsia="zh-CN" w:bidi="ar-SA"/>
              </w:rPr>
            </w:pPr>
            <w:r>
              <w:rPr>
                <w:rFonts w:hint="eastAsia" w:eastAsia="仿宋_GB2312"/>
                <w:color w:val="auto"/>
                <w:szCs w:val="21"/>
              </w:rPr>
              <w:t>预处理（冷凝+稀酸吸收+碱吸收+水吸收+除雾）+</w:t>
            </w:r>
            <w:r>
              <w:rPr>
                <w:rFonts w:eastAsia="仿宋_GB2312"/>
                <w:color w:val="auto"/>
                <w:szCs w:val="21"/>
              </w:rPr>
              <w:t>焚烧</w:t>
            </w:r>
          </w:p>
        </w:tc>
        <w:tc>
          <w:tcPr>
            <w:tcW w:w="292" w:type="pct"/>
            <w:vMerge w:val="restart"/>
            <w:shd w:val="clear" w:color="auto" w:fill="auto"/>
            <w:vAlign w:val="center"/>
          </w:tcPr>
          <w:p w14:paraId="218E951C">
            <w:pPr>
              <w:widowControl/>
              <w:jc w:val="center"/>
              <w:textAlignment w:val="center"/>
              <w:rPr>
                <w:rFonts w:ascii="Times New Roman" w:hAnsi="Times New Roman" w:eastAsia="仿宋_GB2312" w:cs="Times New Roman"/>
                <w:color w:val="auto"/>
                <w:kern w:val="2"/>
                <w:sz w:val="21"/>
                <w:szCs w:val="21"/>
                <w:lang w:val="en-US" w:eastAsia="zh-CN" w:bidi="ar-SA"/>
              </w:rPr>
            </w:pPr>
            <w:r>
              <w:rPr>
                <w:rFonts w:hint="eastAsia" w:eastAsia="仿宋_GB2312"/>
                <w:color w:val="auto"/>
                <w:kern w:val="0"/>
                <w:szCs w:val="21"/>
                <w:lang w:bidi="ar"/>
              </w:rPr>
              <w:t>DA002</w:t>
            </w:r>
          </w:p>
        </w:tc>
      </w:tr>
      <w:tr w14:paraId="641A04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41181A3C">
            <w:pPr>
              <w:jc w:val="center"/>
              <w:rPr>
                <w:rFonts w:eastAsia="仿宋_GB2312"/>
                <w:color w:val="auto"/>
                <w:szCs w:val="21"/>
              </w:rPr>
            </w:pPr>
          </w:p>
        </w:tc>
        <w:tc>
          <w:tcPr>
            <w:tcW w:w="358" w:type="pct"/>
            <w:vMerge w:val="continue"/>
            <w:vAlign w:val="center"/>
          </w:tcPr>
          <w:p w14:paraId="71EFFA00">
            <w:pPr>
              <w:jc w:val="center"/>
              <w:rPr>
                <w:rFonts w:eastAsia="仿宋_GB2312"/>
                <w:color w:val="auto"/>
                <w:szCs w:val="21"/>
              </w:rPr>
            </w:pPr>
          </w:p>
        </w:tc>
        <w:tc>
          <w:tcPr>
            <w:tcW w:w="418" w:type="pct"/>
            <w:vMerge w:val="continue"/>
            <w:vAlign w:val="center"/>
          </w:tcPr>
          <w:p w14:paraId="045ED009">
            <w:pPr>
              <w:jc w:val="center"/>
              <w:rPr>
                <w:rFonts w:eastAsia="仿宋_GB2312"/>
                <w:color w:val="auto"/>
                <w:szCs w:val="21"/>
              </w:rPr>
            </w:pPr>
          </w:p>
        </w:tc>
        <w:tc>
          <w:tcPr>
            <w:tcW w:w="446" w:type="pct"/>
            <w:vMerge w:val="continue"/>
            <w:vAlign w:val="center"/>
          </w:tcPr>
          <w:p w14:paraId="06D8B34A">
            <w:pPr>
              <w:jc w:val="center"/>
              <w:rPr>
                <w:rFonts w:eastAsia="仿宋_GB2312"/>
                <w:color w:val="auto"/>
                <w:szCs w:val="21"/>
              </w:rPr>
            </w:pPr>
          </w:p>
        </w:tc>
        <w:tc>
          <w:tcPr>
            <w:tcW w:w="361" w:type="pct"/>
            <w:vMerge w:val="continue"/>
            <w:vAlign w:val="center"/>
          </w:tcPr>
          <w:p w14:paraId="67F0C3A7">
            <w:pPr>
              <w:jc w:val="center"/>
              <w:rPr>
                <w:rFonts w:eastAsia="仿宋_GB2312"/>
                <w:color w:val="auto"/>
                <w:szCs w:val="21"/>
              </w:rPr>
            </w:pPr>
          </w:p>
        </w:tc>
        <w:tc>
          <w:tcPr>
            <w:tcW w:w="498" w:type="pct"/>
            <w:vMerge w:val="continue"/>
            <w:shd w:val="clear" w:color="auto" w:fill="auto"/>
            <w:vAlign w:val="center"/>
          </w:tcPr>
          <w:p w14:paraId="0DDC3461">
            <w:pPr>
              <w:keepNext w:val="0"/>
              <w:keepLines w:val="0"/>
              <w:widowControl/>
              <w:suppressLineNumbers w:val="0"/>
              <w:jc w:val="center"/>
              <w:textAlignment w:val="bottom"/>
              <w:rPr>
                <w:rFonts w:eastAsia="仿宋_GB2312"/>
                <w:color w:val="auto"/>
                <w:kern w:val="0"/>
                <w:szCs w:val="21"/>
                <w:lang w:bidi="ar"/>
              </w:rPr>
            </w:pPr>
          </w:p>
        </w:tc>
        <w:tc>
          <w:tcPr>
            <w:tcW w:w="820" w:type="pct"/>
            <w:shd w:val="clear" w:color="auto" w:fill="auto"/>
            <w:vAlign w:val="center"/>
          </w:tcPr>
          <w:p w14:paraId="30C05A37">
            <w:pPr>
              <w:widowControl/>
              <w:jc w:val="center"/>
              <w:textAlignment w:val="center"/>
              <w:rPr>
                <w:rFonts w:ascii="Times New Roman" w:hAnsi="Times New Roman" w:eastAsia="仿宋_GB2312" w:cs="Times New Roman"/>
                <w:b/>
                <w:bCs/>
                <w:color w:val="auto"/>
                <w:kern w:val="0"/>
                <w:sz w:val="21"/>
                <w:szCs w:val="21"/>
                <w:lang w:val="en-US" w:eastAsia="zh-CN" w:bidi="ar"/>
              </w:rPr>
            </w:pPr>
            <w:r>
              <w:rPr>
                <w:rFonts w:eastAsia="仿宋_GB2312"/>
                <w:color w:val="auto"/>
                <w:kern w:val="0"/>
                <w:szCs w:val="21"/>
                <w:lang w:bidi="ar"/>
              </w:rPr>
              <w:t>其他有机物</w:t>
            </w:r>
          </w:p>
        </w:tc>
        <w:tc>
          <w:tcPr>
            <w:tcW w:w="380" w:type="pct"/>
            <w:shd w:val="clear" w:color="auto" w:fill="auto"/>
            <w:vAlign w:val="center"/>
          </w:tcPr>
          <w:p w14:paraId="4FF7AA78">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0.015</w:t>
            </w:r>
          </w:p>
        </w:tc>
        <w:tc>
          <w:tcPr>
            <w:tcW w:w="445" w:type="pct"/>
            <w:shd w:val="clear" w:color="auto" w:fill="auto"/>
            <w:vAlign w:val="center"/>
          </w:tcPr>
          <w:p w14:paraId="2E7A7C89">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bidi="ar"/>
              </w:rPr>
              <w:t>0.015</w:t>
            </w:r>
          </w:p>
        </w:tc>
        <w:tc>
          <w:tcPr>
            <w:tcW w:w="630" w:type="pct"/>
            <w:vMerge w:val="continue"/>
            <w:vAlign w:val="center"/>
          </w:tcPr>
          <w:p w14:paraId="2AE62E37">
            <w:pPr>
              <w:jc w:val="center"/>
              <w:rPr>
                <w:rFonts w:eastAsia="仿宋_GB2312"/>
                <w:color w:val="auto"/>
                <w:szCs w:val="21"/>
              </w:rPr>
            </w:pPr>
          </w:p>
        </w:tc>
        <w:tc>
          <w:tcPr>
            <w:tcW w:w="292" w:type="pct"/>
            <w:vMerge w:val="continue"/>
            <w:vAlign w:val="center"/>
          </w:tcPr>
          <w:p w14:paraId="3F816B92">
            <w:pPr>
              <w:jc w:val="center"/>
              <w:rPr>
                <w:rFonts w:eastAsia="仿宋_GB2312"/>
                <w:color w:val="auto"/>
                <w:szCs w:val="21"/>
              </w:rPr>
            </w:pPr>
          </w:p>
        </w:tc>
      </w:tr>
      <w:tr w14:paraId="6438A4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5A902406">
            <w:pPr>
              <w:jc w:val="center"/>
              <w:rPr>
                <w:rFonts w:eastAsia="仿宋_GB2312"/>
                <w:color w:val="auto"/>
                <w:szCs w:val="21"/>
              </w:rPr>
            </w:pPr>
          </w:p>
        </w:tc>
        <w:tc>
          <w:tcPr>
            <w:tcW w:w="358" w:type="pct"/>
            <w:vMerge w:val="continue"/>
            <w:vAlign w:val="center"/>
          </w:tcPr>
          <w:p w14:paraId="036CDED9">
            <w:pPr>
              <w:jc w:val="center"/>
              <w:rPr>
                <w:rFonts w:eastAsia="仿宋_GB2312"/>
                <w:color w:val="auto"/>
                <w:szCs w:val="21"/>
              </w:rPr>
            </w:pPr>
          </w:p>
        </w:tc>
        <w:tc>
          <w:tcPr>
            <w:tcW w:w="418" w:type="pct"/>
            <w:vMerge w:val="restart"/>
            <w:vAlign w:val="center"/>
          </w:tcPr>
          <w:p w14:paraId="5A71A4DF">
            <w:pPr>
              <w:jc w:val="center"/>
              <w:rPr>
                <w:rFonts w:eastAsia="仿宋_GB2312"/>
                <w:color w:val="auto"/>
                <w:szCs w:val="21"/>
              </w:rPr>
            </w:pPr>
            <w:r>
              <w:rPr>
                <w:rFonts w:eastAsia="仿宋_GB2312"/>
                <w:color w:val="auto"/>
                <w:kern w:val="0"/>
                <w:szCs w:val="21"/>
                <w:lang w:bidi="ar"/>
              </w:rPr>
              <w:t>G</w:t>
            </w:r>
            <w:r>
              <w:rPr>
                <w:rFonts w:hint="eastAsia" w:eastAsia="仿宋_GB2312"/>
                <w:color w:val="auto"/>
                <w:kern w:val="0"/>
                <w:szCs w:val="21"/>
                <w:lang w:val="en-US" w:eastAsia="zh-CN" w:bidi="ar"/>
              </w:rPr>
              <w:t>3</w:t>
            </w:r>
            <w:r>
              <w:rPr>
                <w:rFonts w:eastAsia="仿宋_GB2312"/>
                <w:color w:val="auto"/>
                <w:kern w:val="0"/>
                <w:szCs w:val="21"/>
                <w:lang w:bidi="ar"/>
              </w:rPr>
              <w:t>-</w:t>
            </w:r>
            <w:r>
              <w:rPr>
                <w:rFonts w:hint="eastAsia" w:eastAsia="仿宋_GB2312"/>
                <w:color w:val="auto"/>
                <w:kern w:val="0"/>
                <w:szCs w:val="21"/>
                <w:lang w:val="en-US" w:eastAsia="zh-CN" w:bidi="ar"/>
              </w:rPr>
              <w:t>9</w:t>
            </w:r>
            <w:r>
              <w:rPr>
                <w:rFonts w:eastAsia="仿宋_GB2312"/>
                <w:color w:val="auto"/>
                <w:kern w:val="0"/>
                <w:szCs w:val="21"/>
                <w:lang w:bidi="ar"/>
              </w:rPr>
              <w:t>-3</w:t>
            </w:r>
          </w:p>
        </w:tc>
        <w:tc>
          <w:tcPr>
            <w:tcW w:w="446" w:type="pct"/>
            <w:vMerge w:val="restart"/>
            <w:vAlign w:val="center"/>
          </w:tcPr>
          <w:p w14:paraId="36C7F51D">
            <w:pPr>
              <w:jc w:val="center"/>
              <w:rPr>
                <w:rFonts w:eastAsia="仿宋_GB2312"/>
                <w:color w:val="auto"/>
                <w:szCs w:val="21"/>
              </w:rPr>
            </w:pPr>
            <w:r>
              <w:rPr>
                <w:rFonts w:eastAsia="仿宋_GB2312"/>
                <w:color w:val="auto"/>
                <w:kern w:val="0"/>
                <w:szCs w:val="21"/>
                <w:lang w:bidi="ar"/>
              </w:rPr>
              <w:t>不凝气</w:t>
            </w:r>
          </w:p>
        </w:tc>
        <w:tc>
          <w:tcPr>
            <w:tcW w:w="361" w:type="pct"/>
            <w:vMerge w:val="restart"/>
            <w:vAlign w:val="center"/>
          </w:tcPr>
          <w:p w14:paraId="311F2D8F">
            <w:pPr>
              <w:jc w:val="center"/>
              <w:rPr>
                <w:rFonts w:eastAsia="仿宋_GB2312"/>
                <w:color w:val="auto"/>
                <w:szCs w:val="21"/>
              </w:rPr>
            </w:pPr>
            <w:r>
              <w:rPr>
                <w:rFonts w:eastAsia="仿宋_GB2312"/>
                <w:color w:val="auto"/>
                <w:szCs w:val="21"/>
              </w:rPr>
              <w:t>360</w:t>
            </w:r>
          </w:p>
        </w:tc>
        <w:tc>
          <w:tcPr>
            <w:tcW w:w="498" w:type="pct"/>
            <w:vMerge w:val="restart"/>
            <w:shd w:val="clear" w:color="auto" w:fill="auto"/>
            <w:vAlign w:val="center"/>
          </w:tcPr>
          <w:p w14:paraId="679D8FB6">
            <w:pPr>
              <w:keepNext w:val="0"/>
              <w:keepLines w:val="0"/>
              <w:widowControl/>
              <w:suppressLineNumbers w:val="0"/>
              <w:jc w:val="center"/>
              <w:textAlignment w:val="bottom"/>
              <w:rPr>
                <w:rFonts w:hint="eastAsia" w:eastAsia="仿宋_GB2312"/>
                <w:color w:val="auto"/>
                <w:kern w:val="0"/>
                <w:szCs w:val="21"/>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944</w:t>
            </w:r>
          </w:p>
        </w:tc>
        <w:tc>
          <w:tcPr>
            <w:tcW w:w="820" w:type="pct"/>
            <w:shd w:val="clear" w:color="auto" w:fill="auto"/>
            <w:vAlign w:val="center"/>
          </w:tcPr>
          <w:p w14:paraId="6A00D4DE">
            <w:pPr>
              <w:widowControl/>
              <w:jc w:val="center"/>
              <w:textAlignment w:val="center"/>
              <w:rPr>
                <w:rFonts w:ascii="Times New Roman" w:hAnsi="Times New Roman" w:eastAsia="仿宋_GB2312" w:cs="Times New Roman"/>
                <w:b/>
                <w:bCs/>
                <w:color w:val="auto"/>
                <w:kern w:val="0"/>
                <w:sz w:val="21"/>
                <w:szCs w:val="21"/>
                <w:lang w:val="en-US" w:eastAsia="zh-CN" w:bidi="ar"/>
              </w:rPr>
            </w:pPr>
            <w:r>
              <w:rPr>
                <w:rFonts w:hint="eastAsia" w:eastAsia="仿宋_GB2312"/>
                <w:color w:val="auto"/>
                <w:kern w:val="0"/>
                <w:szCs w:val="21"/>
                <w:lang w:val="en-US" w:eastAsia="zh-CN" w:bidi="ar"/>
              </w:rPr>
              <w:t>DMF</w:t>
            </w:r>
          </w:p>
        </w:tc>
        <w:tc>
          <w:tcPr>
            <w:tcW w:w="380" w:type="pct"/>
            <w:shd w:val="clear" w:color="auto" w:fill="auto"/>
            <w:vAlign w:val="center"/>
          </w:tcPr>
          <w:p w14:paraId="298F5EAF">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0.029</w:t>
            </w:r>
          </w:p>
        </w:tc>
        <w:tc>
          <w:tcPr>
            <w:tcW w:w="445" w:type="pct"/>
            <w:shd w:val="clear" w:color="auto" w:fill="auto"/>
            <w:vAlign w:val="center"/>
          </w:tcPr>
          <w:p w14:paraId="5F9A65BA">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bidi="ar"/>
              </w:rPr>
              <w:t>0.028</w:t>
            </w:r>
          </w:p>
        </w:tc>
        <w:tc>
          <w:tcPr>
            <w:tcW w:w="630" w:type="pct"/>
            <w:vMerge w:val="continue"/>
            <w:vAlign w:val="center"/>
          </w:tcPr>
          <w:p w14:paraId="1B3E8F7C">
            <w:pPr>
              <w:jc w:val="center"/>
              <w:rPr>
                <w:rFonts w:eastAsia="仿宋_GB2312"/>
                <w:color w:val="auto"/>
                <w:szCs w:val="21"/>
              </w:rPr>
            </w:pPr>
          </w:p>
        </w:tc>
        <w:tc>
          <w:tcPr>
            <w:tcW w:w="292" w:type="pct"/>
            <w:vMerge w:val="continue"/>
            <w:vAlign w:val="center"/>
          </w:tcPr>
          <w:p w14:paraId="044E7860">
            <w:pPr>
              <w:jc w:val="center"/>
              <w:rPr>
                <w:rFonts w:eastAsia="仿宋_GB2312"/>
                <w:color w:val="auto"/>
                <w:szCs w:val="21"/>
              </w:rPr>
            </w:pPr>
          </w:p>
        </w:tc>
      </w:tr>
      <w:tr w14:paraId="20E5B6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2EAC0EF9">
            <w:pPr>
              <w:jc w:val="center"/>
              <w:rPr>
                <w:rFonts w:eastAsia="仿宋_GB2312"/>
                <w:color w:val="auto"/>
                <w:szCs w:val="21"/>
              </w:rPr>
            </w:pPr>
          </w:p>
        </w:tc>
        <w:tc>
          <w:tcPr>
            <w:tcW w:w="358" w:type="pct"/>
            <w:vMerge w:val="continue"/>
            <w:vAlign w:val="center"/>
          </w:tcPr>
          <w:p w14:paraId="20B931B6">
            <w:pPr>
              <w:jc w:val="center"/>
              <w:rPr>
                <w:rFonts w:eastAsia="仿宋_GB2312"/>
                <w:color w:val="auto"/>
                <w:szCs w:val="21"/>
              </w:rPr>
            </w:pPr>
          </w:p>
        </w:tc>
        <w:tc>
          <w:tcPr>
            <w:tcW w:w="418" w:type="pct"/>
            <w:vMerge w:val="continue"/>
            <w:vAlign w:val="center"/>
          </w:tcPr>
          <w:p w14:paraId="5C950384">
            <w:pPr>
              <w:jc w:val="center"/>
              <w:rPr>
                <w:rFonts w:eastAsia="仿宋_GB2312"/>
                <w:color w:val="auto"/>
                <w:szCs w:val="21"/>
              </w:rPr>
            </w:pPr>
          </w:p>
        </w:tc>
        <w:tc>
          <w:tcPr>
            <w:tcW w:w="446" w:type="pct"/>
            <w:vMerge w:val="continue"/>
            <w:vAlign w:val="center"/>
          </w:tcPr>
          <w:p w14:paraId="52CC4426">
            <w:pPr>
              <w:jc w:val="center"/>
              <w:rPr>
                <w:rFonts w:eastAsia="仿宋_GB2312"/>
                <w:color w:val="auto"/>
                <w:szCs w:val="21"/>
              </w:rPr>
            </w:pPr>
          </w:p>
        </w:tc>
        <w:tc>
          <w:tcPr>
            <w:tcW w:w="361" w:type="pct"/>
            <w:vMerge w:val="continue"/>
            <w:vAlign w:val="center"/>
          </w:tcPr>
          <w:p w14:paraId="6428A3BA">
            <w:pPr>
              <w:jc w:val="center"/>
              <w:rPr>
                <w:rFonts w:eastAsia="仿宋_GB2312"/>
                <w:color w:val="auto"/>
                <w:szCs w:val="21"/>
              </w:rPr>
            </w:pPr>
          </w:p>
        </w:tc>
        <w:tc>
          <w:tcPr>
            <w:tcW w:w="498" w:type="pct"/>
            <w:vMerge w:val="continue"/>
            <w:shd w:val="clear" w:color="auto" w:fill="auto"/>
            <w:vAlign w:val="center"/>
          </w:tcPr>
          <w:p w14:paraId="18CD366C">
            <w:pPr>
              <w:keepNext w:val="0"/>
              <w:keepLines w:val="0"/>
              <w:widowControl/>
              <w:suppressLineNumbers w:val="0"/>
              <w:jc w:val="center"/>
              <w:textAlignment w:val="bottom"/>
              <w:rPr>
                <w:rFonts w:eastAsia="仿宋_GB2312"/>
                <w:color w:val="auto"/>
                <w:kern w:val="0"/>
                <w:szCs w:val="21"/>
                <w:lang w:bidi="ar"/>
              </w:rPr>
            </w:pPr>
          </w:p>
        </w:tc>
        <w:tc>
          <w:tcPr>
            <w:tcW w:w="820" w:type="pct"/>
            <w:shd w:val="clear" w:color="auto" w:fill="auto"/>
            <w:vAlign w:val="center"/>
          </w:tcPr>
          <w:p w14:paraId="6F97D0E9">
            <w:pPr>
              <w:widowControl/>
              <w:jc w:val="center"/>
              <w:textAlignment w:val="center"/>
              <w:rPr>
                <w:rFonts w:ascii="Times New Roman" w:hAnsi="Times New Roman" w:eastAsia="仿宋_GB2312" w:cs="Times New Roman"/>
                <w:b/>
                <w:bCs/>
                <w:color w:val="auto"/>
                <w:kern w:val="0"/>
                <w:sz w:val="21"/>
                <w:szCs w:val="21"/>
                <w:lang w:val="en-US" w:eastAsia="zh-CN" w:bidi="ar"/>
              </w:rPr>
            </w:pPr>
            <w:r>
              <w:rPr>
                <w:rFonts w:eastAsia="仿宋_GB2312"/>
                <w:color w:val="auto"/>
                <w:kern w:val="0"/>
                <w:szCs w:val="21"/>
                <w:lang w:bidi="ar"/>
              </w:rPr>
              <w:t>其他有机物</w:t>
            </w:r>
          </w:p>
        </w:tc>
        <w:tc>
          <w:tcPr>
            <w:tcW w:w="380" w:type="pct"/>
            <w:shd w:val="clear" w:color="auto" w:fill="auto"/>
            <w:vAlign w:val="center"/>
          </w:tcPr>
          <w:p w14:paraId="5FEC53D2">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0.006</w:t>
            </w:r>
          </w:p>
        </w:tc>
        <w:tc>
          <w:tcPr>
            <w:tcW w:w="445" w:type="pct"/>
            <w:shd w:val="clear" w:color="auto" w:fill="auto"/>
            <w:vAlign w:val="center"/>
          </w:tcPr>
          <w:p w14:paraId="4D26EC33">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bidi="ar"/>
              </w:rPr>
              <w:t>0.006</w:t>
            </w:r>
          </w:p>
        </w:tc>
        <w:tc>
          <w:tcPr>
            <w:tcW w:w="630" w:type="pct"/>
            <w:vMerge w:val="continue"/>
            <w:vAlign w:val="center"/>
          </w:tcPr>
          <w:p w14:paraId="4796D4F2">
            <w:pPr>
              <w:jc w:val="center"/>
              <w:rPr>
                <w:rFonts w:eastAsia="仿宋_GB2312"/>
                <w:color w:val="auto"/>
                <w:szCs w:val="21"/>
              </w:rPr>
            </w:pPr>
          </w:p>
        </w:tc>
        <w:tc>
          <w:tcPr>
            <w:tcW w:w="292" w:type="pct"/>
            <w:vMerge w:val="continue"/>
            <w:vAlign w:val="center"/>
          </w:tcPr>
          <w:p w14:paraId="56F83B35">
            <w:pPr>
              <w:jc w:val="center"/>
              <w:rPr>
                <w:rFonts w:eastAsia="仿宋_GB2312"/>
                <w:color w:val="auto"/>
                <w:szCs w:val="21"/>
              </w:rPr>
            </w:pPr>
          </w:p>
        </w:tc>
      </w:tr>
      <w:tr w14:paraId="3345D0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139252B6">
            <w:pPr>
              <w:jc w:val="center"/>
              <w:rPr>
                <w:rFonts w:eastAsia="仿宋_GB2312"/>
                <w:color w:val="auto"/>
                <w:szCs w:val="21"/>
              </w:rPr>
            </w:pPr>
          </w:p>
        </w:tc>
        <w:tc>
          <w:tcPr>
            <w:tcW w:w="358" w:type="pct"/>
            <w:vMerge w:val="continue"/>
            <w:vAlign w:val="center"/>
          </w:tcPr>
          <w:p w14:paraId="3997977B">
            <w:pPr>
              <w:jc w:val="center"/>
              <w:rPr>
                <w:rFonts w:eastAsia="仿宋_GB2312"/>
                <w:color w:val="auto"/>
                <w:szCs w:val="21"/>
              </w:rPr>
            </w:pPr>
          </w:p>
        </w:tc>
        <w:tc>
          <w:tcPr>
            <w:tcW w:w="418" w:type="pct"/>
            <w:vMerge w:val="restart"/>
            <w:vAlign w:val="center"/>
          </w:tcPr>
          <w:p w14:paraId="18681F4A">
            <w:pPr>
              <w:jc w:val="center"/>
              <w:rPr>
                <w:rFonts w:eastAsia="仿宋_GB2312"/>
                <w:color w:val="auto"/>
                <w:szCs w:val="21"/>
              </w:rPr>
            </w:pPr>
            <w:r>
              <w:rPr>
                <w:rFonts w:eastAsia="仿宋_GB2312"/>
                <w:color w:val="auto"/>
                <w:kern w:val="0"/>
                <w:szCs w:val="21"/>
                <w:lang w:bidi="ar"/>
              </w:rPr>
              <w:t>G</w:t>
            </w:r>
            <w:r>
              <w:rPr>
                <w:rFonts w:hint="eastAsia" w:eastAsia="仿宋_GB2312"/>
                <w:color w:val="auto"/>
                <w:kern w:val="0"/>
                <w:szCs w:val="21"/>
                <w:lang w:val="en-US" w:eastAsia="zh-CN" w:bidi="ar"/>
              </w:rPr>
              <w:t>3</w:t>
            </w:r>
            <w:r>
              <w:rPr>
                <w:rFonts w:eastAsia="仿宋_GB2312"/>
                <w:color w:val="auto"/>
                <w:kern w:val="0"/>
                <w:szCs w:val="21"/>
                <w:lang w:bidi="ar"/>
              </w:rPr>
              <w:t>-</w:t>
            </w:r>
            <w:r>
              <w:rPr>
                <w:rFonts w:hint="eastAsia" w:eastAsia="仿宋_GB2312"/>
                <w:color w:val="auto"/>
                <w:kern w:val="0"/>
                <w:szCs w:val="21"/>
                <w:lang w:val="en-US" w:eastAsia="zh-CN" w:bidi="ar"/>
              </w:rPr>
              <w:t>9</w:t>
            </w:r>
            <w:r>
              <w:rPr>
                <w:rFonts w:eastAsia="仿宋_GB2312"/>
                <w:color w:val="auto"/>
                <w:kern w:val="0"/>
                <w:szCs w:val="21"/>
                <w:lang w:bidi="ar"/>
              </w:rPr>
              <w:t>-4</w:t>
            </w:r>
          </w:p>
        </w:tc>
        <w:tc>
          <w:tcPr>
            <w:tcW w:w="446" w:type="pct"/>
            <w:vMerge w:val="restart"/>
            <w:vAlign w:val="center"/>
          </w:tcPr>
          <w:p w14:paraId="422FB838">
            <w:pPr>
              <w:jc w:val="center"/>
              <w:rPr>
                <w:rFonts w:eastAsia="仿宋_GB2312"/>
                <w:color w:val="auto"/>
                <w:szCs w:val="21"/>
              </w:rPr>
            </w:pPr>
            <w:r>
              <w:rPr>
                <w:rFonts w:eastAsia="仿宋_GB2312"/>
                <w:color w:val="auto"/>
                <w:kern w:val="0"/>
                <w:szCs w:val="21"/>
                <w:lang w:bidi="ar"/>
              </w:rPr>
              <w:t>不凝气</w:t>
            </w:r>
          </w:p>
        </w:tc>
        <w:tc>
          <w:tcPr>
            <w:tcW w:w="361" w:type="pct"/>
            <w:vMerge w:val="restart"/>
            <w:vAlign w:val="center"/>
          </w:tcPr>
          <w:p w14:paraId="162F3A04">
            <w:pPr>
              <w:jc w:val="center"/>
              <w:rPr>
                <w:rFonts w:eastAsia="仿宋_GB2312"/>
                <w:color w:val="auto"/>
                <w:szCs w:val="21"/>
              </w:rPr>
            </w:pPr>
            <w:r>
              <w:rPr>
                <w:rFonts w:eastAsia="仿宋_GB2312"/>
                <w:color w:val="auto"/>
                <w:szCs w:val="21"/>
              </w:rPr>
              <w:t>360</w:t>
            </w:r>
          </w:p>
        </w:tc>
        <w:tc>
          <w:tcPr>
            <w:tcW w:w="498" w:type="pct"/>
            <w:vMerge w:val="restart"/>
            <w:shd w:val="clear" w:color="auto" w:fill="auto"/>
            <w:vAlign w:val="center"/>
          </w:tcPr>
          <w:p w14:paraId="2FAA131B">
            <w:pPr>
              <w:keepNext w:val="0"/>
              <w:keepLines w:val="0"/>
              <w:widowControl/>
              <w:suppressLineNumbers w:val="0"/>
              <w:jc w:val="center"/>
              <w:textAlignment w:val="bottom"/>
              <w:rPr>
                <w:rFonts w:hint="eastAsia" w:eastAsia="仿宋_GB2312"/>
                <w:color w:val="auto"/>
                <w:kern w:val="0"/>
                <w:szCs w:val="21"/>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944</w:t>
            </w:r>
          </w:p>
        </w:tc>
        <w:tc>
          <w:tcPr>
            <w:tcW w:w="820" w:type="pct"/>
            <w:shd w:val="clear" w:color="auto" w:fill="auto"/>
            <w:vAlign w:val="center"/>
          </w:tcPr>
          <w:p w14:paraId="5D46654E">
            <w:pPr>
              <w:widowControl/>
              <w:jc w:val="center"/>
              <w:textAlignment w:val="center"/>
              <w:rPr>
                <w:rFonts w:ascii="Times New Roman" w:hAnsi="Times New Roman" w:eastAsia="仿宋_GB2312" w:cs="Times New Roman"/>
                <w:b/>
                <w:bCs/>
                <w:color w:val="auto"/>
                <w:kern w:val="0"/>
                <w:sz w:val="21"/>
                <w:szCs w:val="21"/>
                <w:lang w:val="en-US" w:eastAsia="zh-CN" w:bidi="ar"/>
              </w:rPr>
            </w:pPr>
            <w:r>
              <w:rPr>
                <w:rFonts w:hint="eastAsia" w:eastAsia="仿宋_GB2312"/>
                <w:color w:val="auto"/>
                <w:kern w:val="0"/>
                <w:szCs w:val="21"/>
                <w:lang w:val="en-US" w:eastAsia="zh-CN" w:bidi="ar"/>
              </w:rPr>
              <w:t>DMF</w:t>
            </w:r>
          </w:p>
        </w:tc>
        <w:tc>
          <w:tcPr>
            <w:tcW w:w="380" w:type="pct"/>
            <w:shd w:val="clear" w:color="auto" w:fill="auto"/>
            <w:vAlign w:val="center"/>
          </w:tcPr>
          <w:p w14:paraId="5D556E1C">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85.86</w:t>
            </w:r>
          </w:p>
        </w:tc>
        <w:tc>
          <w:tcPr>
            <w:tcW w:w="445" w:type="pct"/>
            <w:shd w:val="clear" w:color="auto" w:fill="auto"/>
            <w:vAlign w:val="center"/>
          </w:tcPr>
          <w:p w14:paraId="1A05A01F">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bidi="ar"/>
              </w:rPr>
              <w:t>81.052</w:t>
            </w:r>
          </w:p>
        </w:tc>
        <w:tc>
          <w:tcPr>
            <w:tcW w:w="630" w:type="pct"/>
            <w:vMerge w:val="continue"/>
            <w:vAlign w:val="center"/>
          </w:tcPr>
          <w:p w14:paraId="1ADAC348">
            <w:pPr>
              <w:jc w:val="center"/>
              <w:rPr>
                <w:rFonts w:eastAsia="仿宋_GB2312"/>
                <w:color w:val="auto"/>
                <w:szCs w:val="21"/>
              </w:rPr>
            </w:pPr>
          </w:p>
        </w:tc>
        <w:tc>
          <w:tcPr>
            <w:tcW w:w="292" w:type="pct"/>
            <w:vMerge w:val="continue"/>
            <w:vAlign w:val="center"/>
          </w:tcPr>
          <w:p w14:paraId="07320D54">
            <w:pPr>
              <w:jc w:val="center"/>
              <w:rPr>
                <w:rFonts w:eastAsia="仿宋_GB2312"/>
                <w:color w:val="auto"/>
                <w:szCs w:val="21"/>
              </w:rPr>
            </w:pPr>
          </w:p>
        </w:tc>
      </w:tr>
      <w:tr w14:paraId="3FCC8B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67700C73">
            <w:pPr>
              <w:jc w:val="center"/>
              <w:rPr>
                <w:rFonts w:eastAsia="仿宋_GB2312"/>
                <w:color w:val="auto"/>
                <w:szCs w:val="21"/>
              </w:rPr>
            </w:pPr>
          </w:p>
        </w:tc>
        <w:tc>
          <w:tcPr>
            <w:tcW w:w="358" w:type="pct"/>
            <w:vMerge w:val="continue"/>
            <w:vAlign w:val="center"/>
          </w:tcPr>
          <w:p w14:paraId="7E2411B8">
            <w:pPr>
              <w:jc w:val="center"/>
              <w:rPr>
                <w:rFonts w:eastAsia="仿宋_GB2312"/>
                <w:color w:val="auto"/>
                <w:szCs w:val="21"/>
              </w:rPr>
            </w:pPr>
          </w:p>
        </w:tc>
        <w:tc>
          <w:tcPr>
            <w:tcW w:w="418" w:type="pct"/>
            <w:vMerge w:val="continue"/>
            <w:vAlign w:val="center"/>
          </w:tcPr>
          <w:p w14:paraId="668ED64A">
            <w:pPr>
              <w:jc w:val="center"/>
              <w:rPr>
                <w:rFonts w:eastAsia="仿宋_GB2312"/>
                <w:color w:val="auto"/>
                <w:szCs w:val="21"/>
              </w:rPr>
            </w:pPr>
          </w:p>
        </w:tc>
        <w:tc>
          <w:tcPr>
            <w:tcW w:w="446" w:type="pct"/>
            <w:vMerge w:val="continue"/>
            <w:vAlign w:val="center"/>
          </w:tcPr>
          <w:p w14:paraId="0F908CC6">
            <w:pPr>
              <w:jc w:val="center"/>
              <w:rPr>
                <w:rFonts w:eastAsia="仿宋_GB2312"/>
                <w:color w:val="auto"/>
                <w:szCs w:val="21"/>
              </w:rPr>
            </w:pPr>
          </w:p>
        </w:tc>
        <w:tc>
          <w:tcPr>
            <w:tcW w:w="361" w:type="pct"/>
            <w:vMerge w:val="continue"/>
            <w:vAlign w:val="center"/>
          </w:tcPr>
          <w:p w14:paraId="6C199EBA">
            <w:pPr>
              <w:jc w:val="center"/>
              <w:rPr>
                <w:rFonts w:eastAsia="仿宋_GB2312"/>
                <w:color w:val="auto"/>
                <w:szCs w:val="21"/>
              </w:rPr>
            </w:pPr>
          </w:p>
        </w:tc>
        <w:tc>
          <w:tcPr>
            <w:tcW w:w="498" w:type="pct"/>
            <w:vMerge w:val="continue"/>
            <w:shd w:val="clear" w:color="auto" w:fill="auto"/>
            <w:vAlign w:val="center"/>
          </w:tcPr>
          <w:p w14:paraId="69F66111">
            <w:pPr>
              <w:keepNext w:val="0"/>
              <w:keepLines w:val="0"/>
              <w:widowControl/>
              <w:suppressLineNumbers w:val="0"/>
              <w:jc w:val="center"/>
              <w:textAlignment w:val="bottom"/>
              <w:rPr>
                <w:rFonts w:eastAsia="仿宋_GB2312"/>
                <w:color w:val="auto"/>
                <w:kern w:val="0"/>
                <w:szCs w:val="21"/>
                <w:lang w:bidi="ar"/>
              </w:rPr>
            </w:pPr>
          </w:p>
        </w:tc>
        <w:tc>
          <w:tcPr>
            <w:tcW w:w="820" w:type="pct"/>
            <w:shd w:val="clear" w:color="auto" w:fill="auto"/>
            <w:vAlign w:val="center"/>
          </w:tcPr>
          <w:p w14:paraId="285FDA2E">
            <w:pPr>
              <w:widowControl/>
              <w:jc w:val="center"/>
              <w:textAlignment w:val="center"/>
              <w:rPr>
                <w:rFonts w:ascii="Times New Roman" w:hAnsi="Times New Roman" w:eastAsia="仿宋_GB2312" w:cs="Times New Roman"/>
                <w:b/>
                <w:bCs/>
                <w:color w:val="auto"/>
                <w:kern w:val="0"/>
                <w:sz w:val="21"/>
                <w:szCs w:val="21"/>
                <w:lang w:val="en-US" w:eastAsia="zh-CN" w:bidi="ar"/>
              </w:rPr>
            </w:pPr>
            <w:r>
              <w:rPr>
                <w:rFonts w:eastAsia="仿宋_GB2312"/>
                <w:color w:val="auto"/>
                <w:kern w:val="0"/>
                <w:szCs w:val="21"/>
                <w:lang w:bidi="ar"/>
              </w:rPr>
              <w:t>其他有机物</w:t>
            </w:r>
          </w:p>
        </w:tc>
        <w:tc>
          <w:tcPr>
            <w:tcW w:w="380" w:type="pct"/>
            <w:shd w:val="clear" w:color="auto" w:fill="auto"/>
            <w:vAlign w:val="center"/>
          </w:tcPr>
          <w:p w14:paraId="2E77B40C">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0.294</w:t>
            </w:r>
          </w:p>
        </w:tc>
        <w:tc>
          <w:tcPr>
            <w:tcW w:w="445" w:type="pct"/>
            <w:shd w:val="clear" w:color="auto" w:fill="auto"/>
            <w:vAlign w:val="center"/>
          </w:tcPr>
          <w:p w14:paraId="38ECA9E6">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bidi="ar"/>
              </w:rPr>
              <w:t>0.278</w:t>
            </w:r>
          </w:p>
        </w:tc>
        <w:tc>
          <w:tcPr>
            <w:tcW w:w="630" w:type="pct"/>
            <w:vMerge w:val="continue"/>
            <w:vAlign w:val="center"/>
          </w:tcPr>
          <w:p w14:paraId="16B19089">
            <w:pPr>
              <w:jc w:val="center"/>
              <w:rPr>
                <w:rFonts w:eastAsia="仿宋_GB2312"/>
                <w:color w:val="auto"/>
                <w:szCs w:val="21"/>
              </w:rPr>
            </w:pPr>
          </w:p>
        </w:tc>
        <w:tc>
          <w:tcPr>
            <w:tcW w:w="292" w:type="pct"/>
            <w:vMerge w:val="continue"/>
            <w:vAlign w:val="center"/>
          </w:tcPr>
          <w:p w14:paraId="631C0E64">
            <w:pPr>
              <w:jc w:val="center"/>
              <w:rPr>
                <w:rFonts w:eastAsia="仿宋_GB2312"/>
                <w:color w:val="auto"/>
                <w:szCs w:val="21"/>
              </w:rPr>
            </w:pPr>
          </w:p>
        </w:tc>
      </w:tr>
      <w:tr w14:paraId="390B46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58FEC502">
            <w:pPr>
              <w:jc w:val="center"/>
              <w:rPr>
                <w:rFonts w:eastAsia="仿宋_GB2312"/>
                <w:color w:val="auto"/>
                <w:szCs w:val="21"/>
              </w:rPr>
            </w:pPr>
          </w:p>
        </w:tc>
        <w:tc>
          <w:tcPr>
            <w:tcW w:w="358" w:type="pct"/>
            <w:vMerge w:val="continue"/>
            <w:vAlign w:val="center"/>
          </w:tcPr>
          <w:p w14:paraId="23C727A9">
            <w:pPr>
              <w:jc w:val="center"/>
              <w:rPr>
                <w:rFonts w:eastAsia="仿宋_GB2312"/>
                <w:color w:val="auto"/>
                <w:szCs w:val="21"/>
              </w:rPr>
            </w:pPr>
          </w:p>
        </w:tc>
        <w:tc>
          <w:tcPr>
            <w:tcW w:w="418" w:type="pct"/>
            <w:vAlign w:val="center"/>
          </w:tcPr>
          <w:p w14:paraId="713598F2">
            <w:pPr>
              <w:jc w:val="center"/>
              <w:rPr>
                <w:rFonts w:eastAsia="仿宋_GB2312"/>
                <w:color w:val="auto"/>
                <w:szCs w:val="21"/>
              </w:rPr>
            </w:pPr>
            <w:r>
              <w:rPr>
                <w:rFonts w:eastAsia="仿宋_GB2312"/>
                <w:color w:val="auto"/>
                <w:kern w:val="0"/>
                <w:szCs w:val="21"/>
                <w:lang w:bidi="ar"/>
              </w:rPr>
              <w:t>G</w:t>
            </w:r>
            <w:r>
              <w:rPr>
                <w:rFonts w:hint="eastAsia" w:eastAsia="仿宋_GB2312"/>
                <w:color w:val="auto"/>
                <w:kern w:val="0"/>
                <w:szCs w:val="21"/>
                <w:lang w:val="en-US" w:eastAsia="zh-CN" w:bidi="ar"/>
              </w:rPr>
              <w:t>3</w:t>
            </w:r>
            <w:r>
              <w:rPr>
                <w:rFonts w:eastAsia="仿宋_GB2312"/>
                <w:color w:val="auto"/>
                <w:kern w:val="0"/>
                <w:szCs w:val="21"/>
                <w:lang w:bidi="ar"/>
              </w:rPr>
              <w:t>-</w:t>
            </w:r>
            <w:r>
              <w:rPr>
                <w:rFonts w:hint="eastAsia" w:eastAsia="仿宋_GB2312"/>
                <w:color w:val="auto"/>
                <w:kern w:val="0"/>
                <w:szCs w:val="21"/>
                <w:lang w:val="en-US" w:eastAsia="zh-CN" w:bidi="ar"/>
              </w:rPr>
              <w:t>9</w:t>
            </w:r>
            <w:r>
              <w:rPr>
                <w:rFonts w:eastAsia="仿宋_GB2312"/>
                <w:color w:val="auto"/>
                <w:kern w:val="0"/>
                <w:szCs w:val="21"/>
                <w:lang w:bidi="ar"/>
              </w:rPr>
              <w:t>-5</w:t>
            </w:r>
          </w:p>
        </w:tc>
        <w:tc>
          <w:tcPr>
            <w:tcW w:w="446" w:type="pct"/>
            <w:vAlign w:val="center"/>
          </w:tcPr>
          <w:p w14:paraId="45BB5664">
            <w:pPr>
              <w:jc w:val="center"/>
              <w:rPr>
                <w:rFonts w:eastAsia="仿宋_GB2312"/>
                <w:color w:val="auto"/>
                <w:szCs w:val="21"/>
              </w:rPr>
            </w:pPr>
            <w:r>
              <w:rPr>
                <w:rFonts w:eastAsia="仿宋_GB2312"/>
                <w:color w:val="auto"/>
                <w:kern w:val="0"/>
                <w:szCs w:val="21"/>
                <w:lang w:bidi="ar"/>
              </w:rPr>
              <w:t>灌装废气</w:t>
            </w:r>
          </w:p>
        </w:tc>
        <w:tc>
          <w:tcPr>
            <w:tcW w:w="361" w:type="pct"/>
            <w:vAlign w:val="center"/>
          </w:tcPr>
          <w:p w14:paraId="2D98D4EF">
            <w:pPr>
              <w:jc w:val="center"/>
              <w:rPr>
                <w:rFonts w:hint="default" w:eastAsia="仿宋_GB2312"/>
                <w:color w:val="auto"/>
                <w:szCs w:val="21"/>
                <w:lang w:val="en-US" w:eastAsia="zh-CN"/>
              </w:rPr>
            </w:pPr>
            <w:r>
              <w:rPr>
                <w:rFonts w:hint="eastAsia" w:eastAsia="仿宋_GB2312"/>
                <w:color w:val="auto"/>
                <w:szCs w:val="21"/>
                <w:lang w:val="en-US" w:eastAsia="zh-CN"/>
              </w:rPr>
              <w:t>2000</w:t>
            </w:r>
          </w:p>
        </w:tc>
        <w:tc>
          <w:tcPr>
            <w:tcW w:w="498" w:type="pct"/>
            <w:shd w:val="clear" w:color="auto" w:fill="auto"/>
            <w:vAlign w:val="center"/>
          </w:tcPr>
          <w:p w14:paraId="50EB6F8C">
            <w:pPr>
              <w:keepNext w:val="0"/>
              <w:keepLines w:val="0"/>
              <w:widowControl/>
              <w:suppressLineNumbers w:val="0"/>
              <w:jc w:val="center"/>
              <w:textAlignment w:val="bottom"/>
              <w:rPr>
                <w:rFonts w:hint="eastAsia" w:eastAsia="仿宋_GB2312"/>
                <w:color w:val="auto"/>
                <w:kern w:val="0"/>
                <w:szCs w:val="21"/>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944</w:t>
            </w:r>
          </w:p>
        </w:tc>
        <w:tc>
          <w:tcPr>
            <w:tcW w:w="820" w:type="pct"/>
            <w:shd w:val="clear" w:color="auto" w:fill="auto"/>
            <w:vAlign w:val="center"/>
          </w:tcPr>
          <w:p w14:paraId="70D92909">
            <w:pPr>
              <w:widowControl/>
              <w:jc w:val="center"/>
              <w:textAlignment w:val="center"/>
              <w:rPr>
                <w:rFonts w:ascii="Times New Roman" w:hAnsi="Times New Roman" w:eastAsia="仿宋_GB2312" w:cs="Times New Roman"/>
                <w:b/>
                <w:bCs/>
                <w:color w:val="auto"/>
                <w:kern w:val="0"/>
                <w:sz w:val="21"/>
                <w:szCs w:val="21"/>
                <w:lang w:val="en-US" w:eastAsia="zh-CN" w:bidi="ar"/>
              </w:rPr>
            </w:pPr>
            <w:r>
              <w:rPr>
                <w:rFonts w:hint="eastAsia" w:eastAsia="仿宋_GB2312"/>
                <w:color w:val="auto"/>
                <w:kern w:val="0"/>
                <w:szCs w:val="21"/>
                <w:lang w:val="en-US" w:eastAsia="zh-CN" w:bidi="ar"/>
              </w:rPr>
              <w:t>DMF</w:t>
            </w:r>
          </w:p>
        </w:tc>
        <w:tc>
          <w:tcPr>
            <w:tcW w:w="380" w:type="pct"/>
            <w:shd w:val="clear" w:color="auto" w:fill="auto"/>
            <w:vAlign w:val="center"/>
          </w:tcPr>
          <w:p w14:paraId="32A13022">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3.347</w:t>
            </w:r>
          </w:p>
        </w:tc>
        <w:tc>
          <w:tcPr>
            <w:tcW w:w="445" w:type="pct"/>
            <w:shd w:val="clear" w:color="auto" w:fill="auto"/>
            <w:vAlign w:val="center"/>
          </w:tcPr>
          <w:p w14:paraId="5B34E740">
            <w:pPr>
              <w:jc w:val="center"/>
              <w:rPr>
                <w:rFonts w:hint="default"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3.16</w:t>
            </w:r>
          </w:p>
        </w:tc>
        <w:tc>
          <w:tcPr>
            <w:tcW w:w="630" w:type="pct"/>
            <w:vMerge w:val="restart"/>
            <w:shd w:val="clear" w:color="auto" w:fill="auto"/>
            <w:vAlign w:val="center"/>
          </w:tcPr>
          <w:p w14:paraId="13696B07">
            <w:pPr>
              <w:jc w:val="center"/>
              <w:rPr>
                <w:rFonts w:ascii="Times New Roman" w:hAnsi="Times New Roman" w:eastAsia="仿宋_GB2312" w:cs="Times New Roman"/>
                <w:color w:val="auto"/>
                <w:kern w:val="2"/>
                <w:sz w:val="21"/>
                <w:szCs w:val="21"/>
                <w:lang w:val="en-US" w:eastAsia="zh-CN" w:bidi="ar-SA"/>
              </w:rPr>
            </w:pPr>
            <w:r>
              <w:rPr>
                <w:rFonts w:hint="eastAsia" w:eastAsia="仿宋_GB2312"/>
                <w:color w:val="auto"/>
                <w:szCs w:val="21"/>
              </w:rPr>
              <w:t>冷凝+酸吸收+碱吸收+水洗+活性炭吸附/脱附</w:t>
            </w:r>
          </w:p>
        </w:tc>
        <w:tc>
          <w:tcPr>
            <w:tcW w:w="292" w:type="pct"/>
            <w:vMerge w:val="restart"/>
            <w:shd w:val="clear" w:color="auto" w:fill="auto"/>
            <w:vAlign w:val="center"/>
          </w:tcPr>
          <w:p w14:paraId="64EF5BF1">
            <w:pPr>
              <w:jc w:val="center"/>
              <w:rPr>
                <w:rFonts w:ascii="Times New Roman" w:hAnsi="Times New Roman" w:eastAsia="仿宋_GB2312" w:cs="Times New Roman"/>
                <w:color w:val="auto"/>
                <w:kern w:val="2"/>
                <w:sz w:val="21"/>
                <w:szCs w:val="21"/>
                <w:lang w:val="en-US" w:eastAsia="zh-CN" w:bidi="ar-SA"/>
              </w:rPr>
            </w:pPr>
            <w:r>
              <w:rPr>
                <w:rFonts w:hint="eastAsia" w:eastAsia="仿宋_GB2312"/>
                <w:color w:val="auto"/>
              </w:rPr>
              <w:t>DA005</w:t>
            </w:r>
          </w:p>
        </w:tc>
      </w:tr>
      <w:tr w14:paraId="1741E4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restart"/>
            <w:vAlign w:val="center"/>
          </w:tcPr>
          <w:p w14:paraId="3881DD32">
            <w:pPr>
              <w:jc w:val="center"/>
              <w:rPr>
                <w:rFonts w:eastAsia="仿宋_GB2312"/>
                <w:color w:val="auto"/>
                <w:szCs w:val="21"/>
              </w:rPr>
            </w:pPr>
            <w:r>
              <w:rPr>
                <w:rFonts w:eastAsia="仿宋_GB2312"/>
                <w:color w:val="auto"/>
                <w:szCs w:val="21"/>
              </w:rPr>
              <w:t>B-7车间</w:t>
            </w:r>
          </w:p>
        </w:tc>
        <w:tc>
          <w:tcPr>
            <w:tcW w:w="358" w:type="pct"/>
            <w:vMerge w:val="restart"/>
            <w:vAlign w:val="center"/>
          </w:tcPr>
          <w:p w14:paraId="6AA7F749">
            <w:pPr>
              <w:jc w:val="center"/>
              <w:rPr>
                <w:rFonts w:hint="eastAsia" w:eastAsia="仿宋_GB2312"/>
                <w:color w:val="auto"/>
                <w:szCs w:val="21"/>
                <w:lang w:eastAsia="zh-CN"/>
              </w:rPr>
            </w:pPr>
            <w:r>
              <w:rPr>
                <w:rFonts w:hint="eastAsia" w:eastAsia="仿宋_GB2312"/>
                <w:color w:val="auto"/>
                <w:szCs w:val="21"/>
                <w:lang w:val="en-US" w:eastAsia="zh-CN"/>
              </w:rPr>
              <w:t>环己酮</w:t>
            </w:r>
          </w:p>
        </w:tc>
        <w:tc>
          <w:tcPr>
            <w:tcW w:w="418" w:type="pct"/>
            <w:vMerge w:val="restart"/>
            <w:vAlign w:val="center"/>
          </w:tcPr>
          <w:p w14:paraId="039871C3">
            <w:pPr>
              <w:jc w:val="center"/>
              <w:rPr>
                <w:rFonts w:eastAsia="仿宋_GB2312"/>
                <w:color w:val="auto"/>
                <w:szCs w:val="21"/>
              </w:rPr>
            </w:pPr>
            <w:r>
              <w:rPr>
                <w:rFonts w:eastAsia="仿宋_GB2312"/>
                <w:color w:val="auto"/>
                <w:kern w:val="0"/>
                <w:szCs w:val="21"/>
                <w:lang w:bidi="ar"/>
              </w:rPr>
              <w:t>G</w:t>
            </w:r>
            <w:r>
              <w:rPr>
                <w:rFonts w:hint="eastAsia" w:eastAsia="仿宋_GB2312"/>
                <w:color w:val="auto"/>
                <w:kern w:val="0"/>
                <w:szCs w:val="21"/>
                <w:lang w:val="en-US" w:eastAsia="zh-CN" w:bidi="ar"/>
              </w:rPr>
              <w:t>3</w:t>
            </w:r>
            <w:r>
              <w:rPr>
                <w:rFonts w:eastAsia="仿宋_GB2312"/>
                <w:color w:val="auto"/>
                <w:kern w:val="0"/>
                <w:szCs w:val="21"/>
                <w:lang w:bidi="ar"/>
              </w:rPr>
              <w:t>-</w:t>
            </w:r>
            <w:r>
              <w:rPr>
                <w:rFonts w:hint="eastAsia" w:eastAsia="仿宋_GB2312"/>
                <w:color w:val="auto"/>
                <w:kern w:val="0"/>
                <w:szCs w:val="21"/>
                <w:lang w:val="en-US" w:eastAsia="zh-CN" w:bidi="ar"/>
              </w:rPr>
              <w:t>10</w:t>
            </w:r>
            <w:r>
              <w:rPr>
                <w:rFonts w:eastAsia="仿宋_GB2312"/>
                <w:color w:val="auto"/>
                <w:kern w:val="0"/>
                <w:szCs w:val="21"/>
                <w:lang w:bidi="ar"/>
              </w:rPr>
              <w:t>-1</w:t>
            </w:r>
          </w:p>
        </w:tc>
        <w:tc>
          <w:tcPr>
            <w:tcW w:w="446" w:type="pct"/>
            <w:vMerge w:val="restart"/>
            <w:vAlign w:val="center"/>
          </w:tcPr>
          <w:p w14:paraId="691768D7">
            <w:pPr>
              <w:jc w:val="center"/>
              <w:rPr>
                <w:rFonts w:eastAsia="仿宋_GB2312"/>
                <w:color w:val="auto"/>
                <w:szCs w:val="21"/>
              </w:rPr>
            </w:pPr>
            <w:r>
              <w:rPr>
                <w:rFonts w:eastAsia="仿宋_GB2312"/>
                <w:color w:val="auto"/>
                <w:kern w:val="0"/>
                <w:szCs w:val="21"/>
                <w:lang w:bidi="ar"/>
              </w:rPr>
              <w:t>投料废气</w:t>
            </w:r>
          </w:p>
        </w:tc>
        <w:tc>
          <w:tcPr>
            <w:tcW w:w="361" w:type="pct"/>
            <w:vMerge w:val="restart"/>
            <w:vAlign w:val="center"/>
          </w:tcPr>
          <w:p w14:paraId="03FD1FE1">
            <w:pPr>
              <w:jc w:val="center"/>
              <w:rPr>
                <w:rFonts w:hint="default" w:eastAsia="仿宋_GB2312"/>
                <w:color w:val="auto"/>
                <w:szCs w:val="21"/>
                <w:lang w:val="en-US" w:eastAsia="zh-CN"/>
              </w:rPr>
            </w:pPr>
            <w:r>
              <w:rPr>
                <w:rFonts w:hint="eastAsia" w:eastAsia="仿宋_GB2312"/>
                <w:color w:val="auto"/>
                <w:szCs w:val="21"/>
                <w:lang w:val="en-US" w:eastAsia="zh-CN"/>
              </w:rPr>
              <w:t>2000</w:t>
            </w:r>
          </w:p>
        </w:tc>
        <w:tc>
          <w:tcPr>
            <w:tcW w:w="498" w:type="pct"/>
            <w:vMerge w:val="restart"/>
            <w:shd w:val="clear" w:color="auto" w:fill="auto"/>
            <w:vAlign w:val="center"/>
          </w:tcPr>
          <w:p w14:paraId="626A4D29">
            <w:pPr>
              <w:keepNext w:val="0"/>
              <w:keepLines w:val="0"/>
              <w:widowControl/>
              <w:suppressLineNumbers w:val="0"/>
              <w:jc w:val="center"/>
              <w:textAlignment w:val="bottom"/>
              <w:rPr>
                <w:rFonts w:hint="eastAsia" w:eastAsia="仿宋_GB2312"/>
                <w:color w:val="auto"/>
                <w:kern w:val="0"/>
                <w:szCs w:val="21"/>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84</w:t>
            </w:r>
          </w:p>
        </w:tc>
        <w:tc>
          <w:tcPr>
            <w:tcW w:w="820" w:type="pct"/>
            <w:shd w:val="clear" w:color="auto" w:fill="auto"/>
            <w:vAlign w:val="center"/>
          </w:tcPr>
          <w:p w14:paraId="31B6B71B">
            <w:pPr>
              <w:widowControl/>
              <w:jc w:val="center"/>
              <w:textAlignment w:val="center"/>
              <w:rPr>
                <w:rFonts w:hint="default" w:ascii="Times New Roman" w:hAnsi="Times New Roman" w:eastAsia="仿宋_GB2312" w:cs="Times New Roman"/>
                <w:b/>
                <w:bCs/>
                <w:color w:val="auto"/>
                <w:kern w:val="0"/>
                <w:sz w:val="21"/>
                <w:szCs w:val="21"/>
                <w:lang w:val="en-US" w:eastAsia="zh-CN" w:bidi="ar"/>
              </w:rPr>
            </w:pPr>
            <w:r>
              <w:rPr>
                <w:rFonts w:hint="eastAsia" w:eastAsia="仿宋_GB2312"/>
                <w:color w:val="auto"/>
                <w:kern w:val="0"/>
                <w:szCs w:val="21"/>
                <w:lang w:val="en-US" w:eastAsia="zh-CN" w:bidi="ar"/>
              </w:rPr>
              <w:t>环己酮</w:t>
            </w:r>
          </w:p>
        </w:tc>
        <w:tc>
          <w:tcPr>
            <w:tcW w:w="380" w:type="pct"/>
            <w:shd w:val="clear" w:color="auto" w:fill="auto"/>
            <w:vAlign w:val="center"/>
          </w:tcPr>
          <w:p w14:paraId="7CF57D09">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1.761</w:t>
            </w:r>
          </w:p>
        </w:tc>
        <w:tc>
          <w:tcPr>
            <w:tcW w:w="445" w:type="pct"/>
            <w:vAlign w:val="center"/>
          </w:tcPr>
          <w:p w14:paraId="26B2FF92">
            <w:pPr>
              <w:widowControl/>
              <w:jc w:val="center"/>
              <w:textAlignment w:val="center"/>
              <w:rPr>
                <w:rFonts w:eastAsia="仿宋_GB2312"/>
                <w:color w:val="auto"/>
                <w:kern w:val="0"/>
                <w:szCs w:val="21"/>
                <w:lang w:bidi="ar"/>
              </w:rPr>
            </w:pPr>
            <w:r>
              <w:rPr>
                <w:rFonts w:hint="eastAsia" w:ascii="Times New Roman" w:hAnsi="Times New Roman" w:eastAsia="仿宋_GB2312" w:cs="Times New Roman"/>
                <w:color w:val="auto"/>
                <w:kern w:val="0"/>
                <w:szCs w:val="21"/>
                <w:lang w:val="en-US" w:eastAsia="zh-CN" w:bidi="ar"/>
              </w:rPr>
              <w:t>0.148</w:t>
            </w:r>
          </w:p>
        </w:tc>
        <w:tc>
          <w:tcPr>
            <w:tcW w:w="630" w:type="pct"/>
            <w:vMerge w:val="continue"/>
            <w:shd w:val="clear" w:color="auto" w:fill="auto"/>
            <w:vAlign w:val="center"/>
          </w:tcPr>
          <w:p w14:paraId="0DB4CE8A">
            <w:pPr>
              <w:jc w:val="center"/>
              <w:rPr>
                <w:rFonts w:ascii="Times New Roman" w:hAnsi="Times New Roman" w:eastAsia="仿宋_GB2312" w:cs="Times New Roman"/>
                <w:color w:val="auto"/>
                <w:kern w:val="2"/>
                <w:sz w:val="21"/>
                <w:szCs w:val="21"/>
                <w:lang w:val="en-US" w:eastAsia="zh-CN" w:bidi="ar-SA"/>
              </w:rPr>
            </w:pPr>
          </w:p>
        </w:tc>
        <w:tc>
          <w:tcPr>
            <w:tcW w:w="292" w:type="pct"/>
            <w:vMerge w:val="continue"/>
            <w:shd w:val="clear" w:color="auto" w:fill="auto"/>
            <w:vAlign w:val="center"/>
          </w:tcPr>
          <w:p w14:paraId="4F78910A">
            <w:pPr>
              <w:jc w:val="center"/>
              <w:rPr>
                <w:rFonts w:ascii="Times New Roman" w:hAnsi="Times New Roman" w:eastAsia="仿宋_GB2312" w:cs="Times New Roman"/>
                <w:color w:val="auto"/>
                <w:kern w:val="2"/>
                <w:sz w:val="21"/>
                <w:szCs w:val="21"/>
                <w:lang w:val="en-US" w:eastAsia="zh-CN" w:bidi="ar-SA"/>
              </w:rPr>
            </w:pPr>
          </w:p>
        </w:tc>
      </w:tr>
      <w:tr w14:paraId="735C5F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065E8B0A">
            <w:pPr>
              <w:jc w:val="center"/>
              <w:rPr>
                <w:rFonts w:eastAsia="仿宋_GB2312"/>
                <w:color w:val="auto"/>
                <w:szCs w:val="21"/>
              </w:rPr>
            </w:pPr>
          </w:p>
        </w:tc>
        <w:tc>
          <w:tcPr>
            <w:tcW w:w="358" w:type="pct"/>
            <w:vMerge w:val="continue"/>
            <w:vAlign w:val="center"/>
          </w:tcPr>
          <w:p w14:paraId="6ABF0C49">
            <w:pPr>
              <w:jc w:val="center"/>
              <w:rPr>
                <w:rFonts w:eastAsia="仿宋_GB2312"/>
                <w:color w:val="auto"/>
                <w:szCs w:val="21"/>
              </w:rPr>
            </w:pPr>
          </w:p>
        </w:tc>
        <w:tc>
          <w:tcPr>
            <w:tcW w:w="418" w:type="pct"/>
            <w:vMerge w:val="continue"/>
            <w:vAlign w:val="center"/>
          </w:tcPr>
          <w:p w14:paraId="4F88B284">
            <w:pPr>
              <w:jc w:val="center"/>
              <w:rPr>
                <w:rFonts w:eastAsia="仿宋_GB2312"/>
                <w:color w:val="auto"/>
                <w:szCs w:val="21"/>
              </w:rPr>
            </w:pPr>
          </w:p>
        </w:tc>
        <w:tc>
          <w:tcPr>
            <w:tcW w:w="446" w:type="pct"/>
            <w:vMerge w:val="continue"/>
            <w:vAlign w:val="center"/>
          </w:tcPr>
          <w:p w14:paraId="53D442C9">
            <w:pPr>
              <w:jc w:val="center"/>
              <w:rPr>
                <w:rFonts w:eastAsia="仿宋_GB2312"/>
                <w:color w:val="auto"/>
                <w:szCs w:val="21"/>
              </w:rPr>
            </w:pPr>
          </w:p>
        </w:tc>
        <w:tc>
          <w:tcPr>
            <w:tcW w:w="361" w:type="pct"/>
            <w:vMerge w:val="continue"/>
            <w:vAlign w:val="center"/>
          </w:tcPr>
          <w:p w14:paraId="521AB2E5">
            <w:pPr>
              <w:jc w:val="center"/>
              <w:rPr>
                <w:rFonts w:eastAsia="仿宋_GB2312"/>
                <w:color w:val="auto"/>
                <w:szCs w:val="21"/>
              </w:rPr>
            </w:pPr>
          </w:p>
        </w:tc>
        <w:tc>
          <w:tcPr>
            <w:tcW w:w="498" w:type="pct"/>
            <w:vMerge w:val="continue"/>
            <w:shd w:val="clear" w:color="auto" w:fill="auto"/>
            <w:vAlign w:val="center"/>
          </w:tcPr>
          <w:p w14:paraId="4400B1BD">
            <w:pPr>
              <w:keepNext w:val="0"/>
              <w:keepLines w:val="0"/>
              <w:widowControl/>
              <w:suppressLineNumbers w:val="0"/>
              <w:jc w:val="center"/>
              <w:textAlignment w:val="bottom"/>
              <w:rPr>
                <w:rFonts w:eastAsia="仿宋_GB2312"/>
                <w:color w:val="auto"/>
                <w:kern w:val="0"/>
                <w:szCs w:val="21"/>
                <w:lang w:bidi="ar"/>
              </w:rPr>
            </w:pPr>
          </w:p>
        </w:tc>
        <w:tc>
          <w:tcPr>
            <w:tcW w:w="820" w:type="pct"/>
            <w:shd w:val="clear" w:color="auto" w:fill="auto"/>
            <w:vAlign w:val="center"/>
          </w:tcPr>
          <w:p w14:paraId="3824B55B">
            <w:pPr>
              <w:widowControl/>
              <w:jc w:val="center"/>
              <w:textAlignment w:val="center"/>
              <w:rPr>
                <w:rFonts w:ascii="Times New Roman" w:hAnsi="Times New Roman" w:eastAsia="仿宋_GB2312" w:cs="Times New Roman"/>
                <w:b/>
                <w:bCs/>
                <w:color w:val="auto"/>
                <w:kern w:val="0"/>
                <w:sz w:val="21"/>
                <w:szCs w:val="21"/>
                <w:lang w:val="en-US" w:eastAsia="zh-CN" w:bidi="ar"/>
              </w:rPr>
            </w:pPr>
            <w:r>
              <w:rPr>
                <w:rFonts w:eastAsia="仿宋_GB2312"/>
                <w:color w:val="auto"/>
                <w:kern w:val="0"/>
                <w:szCs w:val="21"/>
                <w:lang w:bidi="ar"/>
              </w:rPr>
              <w:t>其他有机物</w:t>
            </w:r>
          </w:p>
        </w:tc>
        <w:tc>
          <w:tcPr>
            <w:tcW w:w="380" w:type="pct"/>
            <w:shd w:val="clear" w:color="auto" w:fill="auto"/>
            <w:vAlign w:val="center"/>
          </w:tcPr>
          <w:p w14:paraId="05CBD204">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0.034</w:t>
            </w:r>
          </w:p>
        </w:tc>
        <w:tc>
          <w:tcPr>
            <w:tcW w:w="445" w:type="pct"/>
            <w:vAlign w:val="center"/>
          </w:tcPr>
          <w:p w14:paraId="58D25611">
            <w:pPr>
              <w:widowControl/>
              <w:jc w:val="center"/>
              <w:textAlignment w:val="center"/>
              <w:rPr>
                <w:rFonts w:eastAsia="仿宋_GB2312"/>
                <w:color w:val="auto"/>
                <w:kern w:val="0"/>
                <w:szCs w:val="21"/>
                <w:lang w:bidi="ar"/>
              </w:rPr>
            </w:pPr>
            <w:r>
              <w:rPr>
                <w:rFonts w:hint="eastAsia" w:ascii="Times New Roman" w:hAnsi="Times New Roman" w:eastAsia="仿宋_GB2312" w:cs="Times New Roman"/>
                <w:color w:val="auto"/>
                <w:kern w:val="0"/>
                <w:szCs w:val="21"/>
                <w:lang w:val="en-US" w:eastAsia="zh-CN" w:bidi="ar"/>
              </w:rPr>
              <w:t>0.0029</w:t>
            </w:r>
          </w:p>
        </w:tc>
        <w:tc>
          <w:tcPr>
            <w:tcW w:w="630" w:type="pct"/>
            <w:vMerge w:val="continue"/>
            <w:vAlign w:val="center"/>
          </w:tcPr>
          <w:p w14:paraId="3667E9BD">
            <w:pPr>
              <w:jc w:val="center"/>
              <w:rPr>
                <w:rFonts w:eastAsia="仿宋_GB2312"/>
                <w:color w:val="auto"/>
                <w:szCs w:val="21"/>
              </w:rPr>
            </w:pPr>
          </w:p>
        </w:tc>
        <w:tc>
          <w:tcPr>
            <w:tcW w:w="292" w:type="pct"/>
            <w:vMerge w:val="continue"/>
            <w:vAlign w:val="center"/>
          </w:tcPr>
          <w:p w14:paraId="11B3E596">
            <w:pPr>
              <w:jc w:val="center"/>
              <w:rPr>
                <w:rFonts w:eastAsia="仿宋_GB2312"/>
                <w:color w:val="auto"/>
                <w:szCs w:val="21"/>
              </w:rPr>
            </w:pPr>
          </w:p>
        </w:tc>
      </w:tr>
      <w:tr w14:paraId="38B6B6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6D7F1C79">
            <w:pPr>
              <w:jc w:val="center"/>
              <w:rPr>
                <w:rFonts w:eastAsia="仿宋_GB2312"/>
                <w:color w:val="auto"/>
                <w:szCs w:val="21"/>
              </w:rPr>
            </w:pPr>
          </w:p>
        </w:tc>
        <w:tc>
          <w:tcPr>
            <w:tcW w:w="358" w:type="pct"/>
            <w:vMerge w:val="continue"/>
            <w:vAlign w:val="center"/>
          </w:tcPr>
          <w:p w14:paraId="3F85E92B">
            <w:pPr>
              <w:jc w:val="center"/>
              <w:rPr>
                <w:rFonts w:eastAsia="仿宋_GB2312"/>
                <w:color w:val="auto"/>
                <w:szCs w:val="21"/>
              </w:rPr>
            </w:pPr>
          </w:p>
        </w:tc>
        <w:tc>
          <w:tcPr>
            <w:tcW w:w="418" w:type="pct"/>
            <w:vMerge w:val="restart"/>
            <w:vAlign w:val="center"/>
          </w:tcPr>
          <w:p w14:paraId="37B82569">
            <w:pPr>
              <w:jc w:val="center"/>
              <w:rPr>
                <w:rFonts w:eastAsia="仿宋_GB2312"/>
                <w:color w:val="auto"/>
                <w:szCs w:val="21"/>
              </w:rPr>
            </w:pPr>
            <w:r>
              <w:rPr>
                <w:rFonts w:eastAsia="仿宋_GB2312"/>
                <w:color w:val="auto"/>
                <w:kern w:val="0"/>
                <w:szCs w:val="21"/>
                <w:lang w:bidi="ar"/>
              </w:rPr>
              <w:t>G</w:t>
            </w:r>
            <w:r>
              <w:rPr>
                <w:rFonts w:hint="eastAsia" w:eastAsia="仿宋_GB2312"/>
                <w:color w:val="auto"/>
                <w:kern w:val="0"/>
                <w:szCs w:val="21"/>
                <w:lang w:val="en-US" w:eastAsia="zh-CN" w:bidi="ar"/>
              </w:rPr>
              <w:t>3</w:t>
            </w:r>
            <w:r>
              <w:rPr>
                <w:rFonts w:eastAsia="仿宋_GB2312"/>
                <w:color w:val="auto"/>
                <w:kern w:val="0"/>
                <w:szCs w:val="21"/>
                <w:lang w:bidi="ar"/>
              </w:rPr>
              <w:t>-</w:t>
            </w:r>
            <w:r>
              <w:rPr>
                <w:rFonts w:hint="eastAsia" w:eastAsia="仿宋_GB2312"/>
                <w:color w:val="auto"/>
                <w:kern w:val="0"/>
                <w:szCs w:val="21"/>
                <w:lang w:val="en-US" w:eastAsia="zh-CN" w:bidi="ar"/>
              </w:rPr>
              <w:t>10</w:t>
            </w:r>
            <w:r>
              <w:rPr>
                <w:rFonts w:eastAsia="仿宋_GB2312"/>
                <w:color w:val="auto"/>
                <w:kern w:val="0"/>
                <w:szCs w:val="21"/>
                <w:lang w:bidi="ar"/>
              </w:rPr>
              <w:t>-2</w:t>
            </w:r>
          </w:p>
        </w:tc>
        <w:tc>
          <w:tcPr>
            <w:tcW w:w="446" w:type="pct"/>
            <w:vMerge w:val="restart"/>
            <w:vAlign w:val="center"/>
          </w:tcPr>
          <w:p w14:paraId="6CE7C8C3">
            <w:pPr>
              <w:jc w:val="center"/>
              <w:rPr>
                <w:rFonts w:eastAsia="仿宋_GB2312"/>
                <w:color w:val="auto"/>
                <w:szCs w:val="21"/>
              </w:rPr>
            </w:pPr>
            <w:r>
              <w:rPr>
                <w:rFonts w:eastAsia="仿宋_GB2312"/>
                <w:color w:val="auto"/>
                <w:kern w:val="0"/>
                <w:szCs w:val="21"/>
                <w:lang w:bidi="ar"/>
              </w:rPr>
              <w:t>调节废气</w:t>
            </w:r>
          </w:p>
        </w:tc>
        <w:tc>
          <w:tcPr>
            <w:tcW w:w="361" w:type="pct"/>
            <w:vMerge w:val="restart"/>
            <w:vAlign w:val="center"/>
          </w:tcPr>
          <w:p w14:paraId="1FBEF48C">
            <w:pPr>
              <w:jc w:val="center"/>
              <w:rPr>
                <w:rFonts w:eastAsia="仿宋_GB2312"/>
                <w:color w:val="auto"/>
                <w:szCs w:val="21"/>
              </w:rPr>
            </w:pPr>
            <w:r>
              <w:rPr>
                <w:rFonts w:hint="eastAsia" w:eastAsia="仿宋_GB2312"/>
                <w:color w:val="auto"/>
                <w:szCs w:val="21"/>
                <w:lang w:val="en-US" w:eastAsia="zh-CN"/>
              </w:rPr>
              <w:t>1</w:t>
            </w:r>
            <w:r>
              <w:rPr>
                <w:rFonts w:eastAsia="仿宋_GB2312"/>
                <w:color w:val="auto"/>
                <w:szCs w:val="21"/>
              </w:rPr>
              <w:t>00</w:t>
            </w:r>
          </w:p>
        </w:tc>
        <w:tc>
          <w:tcPr>
            <w:tcW w:w="498" w:type="pct"/>
            <w:vMerge w:val="restart"/>
            <w:shd w:val="clear" w:color="auto" w:fill="auto"/>
            <w:vAlign w:val="center"/>
          </w:tcPr>
          <w:p w14:paraId="0552EDD4">
            <w:pPr>
              <w:keepNext w:val="0"/>
              <w:keepLines w:val="0"/>
              <w:widowControl/>
              <w:suppressLineNumbers w:val="0"/>
              <w:jc w:val="center"/>
              <w:textAlignment w:val="bottom"/>
              <w:rPr>
                <w:rFonts w:hint="eastAsia" w:eastAsia="仿宋_GB2312"/>
                <w:color w:val="auto"/>
                <w:kern w:val="0"/>
                <w:szCs w:val="21"/>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84</w:t>
            </w:r>
          </w:p>
        </w:tc>
        <w:tc>
          <w:tcPr>
            <w:tcW w:w="820" w:type="pct"/>
            <w:shd w:val="clear" w:color="auto" w:fill="auto"/>
            <w:vAlign w:val="center"/>
          </w:tcPr>
          <w:p w14:paraId="59A4ED4B">
            <w:pPr>
              <w:widowControl/>
              <w:jc w:val="center"/>
              <w:textAlignment w:val="center"/>
              <w:rPr>
                <w:rFonts w:ascii="Times New Roman" w:hAnsi="Times New Roman" w:eastAsia="仿宋_GB2312" w:cs="Times New Roman"/>
                <w:b/>
                <w:bCs/>
                <w:color w:val="auto"/>
                <w:kern w:val="0"/>
                <w:sz w:val="21"/>
                <w:szCs w:val="21"/>
                <w:lang w:val="en-US" w:eastAsia="zh-CN" w:bidi="ar"/>
              </w:rPr>
            </w:pPr>
            <w:r>
              <w:rPr>
                <w:rFonts w:hint="eastAsia" w:eastAsia="仿宋_GB2312"/>
                <w:color w:val="auto"/>
                <w:kern w:val="0"/>
                <w:szCs w:val="21"/>
                <w:lang w:val="en-US" w:eastAsia="zh-CN" w:bidi="ar"/>
              </w:rPr>
              <w:t>环己酮</w:t>
            </w:r>
          </w:p>
        </w:tc>
        <w:tc>
          <w:tcPr>
            <w:tcW w:w="380" w:type="pct"/>
            <w:shd w:val="clear" w:color="auto" w:fill="auto"/>
            <w:vAlign w:val="center"/>
          </w:tcPr>
          <w:p w14:paraId="2D539302">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0.892</w:t>
            </w:r>
          </w:p>
        </w:tc>
        <w:tc>
          <w:tcPr>
            <w:tcW w:w="445" w:type="pct"/>
            <w:vAlign w:val="center"/>
          </w:tcPr>
          <w:p w14:paraId="5A20EE73">
            <w:pPr>
              <w:widowControl/>
              <w:jc w:val="center"/>
              <w:textAlignment w:val="center"/>
              <w:rPr>
                <w:rFonts w:eastAsia="仿宋_GB2312"/>
                <w:color w:val="auto"/>
                <w:kern w:val="0"/>
                <w:szCs w:val="21"/>
                <w:lang w:bidi="ar"/>
              </w:rPr>
            </w:pPr>
            <w:r>
              <w:rPr>
                <w:rFonts w:hint="eastAsia" w:eastAsia="仿宋_GB2312"/>
                <w:color w:val="auto"/>
                <w:kern w:val="0"/>
                <w:szCs w:val="21"/>
                <w:lang w:val="en-US" w:eastAsia="zh-CN" w:bidi="ar"/>
              </w:rPr>
              <w:t>0.075</w:t>
            </w:r>
          </w:p>
        </w:tc>
        <w:tc>
          <w:tcPr>
            <w:tcW w:w="630" w:type="pct"/>
            <w:vMerge w:val="restart"/>
            <w:shd w:val="clear" w:color="auto" w:fill="auto"/>
            <w:vAlign w:val="center"/>
          </w:tcPr>
          <w:p w14:paraId="48A14569">
            <w:pPr>
              <w:widowControl/>
              <w:jc w:val="center"/>
              <w:textAlignment w:val="center"/>
              <w:rPr>
                <w:rFonts w:ascii="Times New Roman" w:hAnsi="Times New Roman" w:eastAsia="仿宋_GB2312" w:cs="Times New Roman"/>
                <w:color w:val="auto"/>
                <w:kern w:val="2"/>
                <w:sz w:val="21"/>
                <w:szCs w:val="21"/>
                <w:lang w:val="en-US" w:eastAsia="zh-CN" w:bidi="ar-SA"/>
              </w:rPr>
            </w:pPr>
            <w:r>
              <w:rPr>
                <w:rFonts w:hint="eastAsia" w:eastAsia="仿宋_GB2312"/>
                <w:color w:val="auto"/>
                <w:szCs w:val="21"/>
              </w:rPr>
              <w:t>预处理（冷凝+稀酸吸收+碱吸收+水吸收+除雾）+</w:t>
            </w:r>
            <w:r>
              <w:rPr>
                <w:rFonts w:eastAsia="仿宋_GB2312"/>
                <w:color w:val="auto"/>
                <w:szCs w:val="21"/>
              </w:rPr>
              <w:t>焚烧</w:t>
            </w:r>
          </w:p>
        </w:tc>
        <w:tc>
          <w:tcPr>
            <w:tcW w:w="292" w:type="pct"/>
            <w:vMerge w:val="restart"/>
            <w:shd w:val="clear" w:color="auto" w:fill="auto"/>
            <w:vAlign w:val="center"/>
          </w:tcPr>
          <w:p w14:paraId="0E6BE078">
            <w:pPr>
              <w:widowControl/>
              <w:jc w:val="center"/>
              <w:textAlignment w:val="center"/>
              <w:rPr>
                <w:rFonts w:ascii="Times New Roman" w:hAnsi="Times New Roman" w:eastAsia="仿宋_GB2312" w:cs="Times New Roman"/>
                <w:color w:val="auto"/>
                <w:kern w:val="2"/>
                <w:sz w:val="21"/>
                <w:szCs w:val="21"/>
                <w:lang w:val="en-US" w:eastAsia="zh-CN" w:bidi="ar-SA"/>
              </w:rPr>
            </w:pPr>
            <w:r>
              <w:rPr>
                <w:rFonts w:hint="eastAsia" w:eastAsia="仿宋_GB2312"/>
                <w:color w:val="auto"/>
                <w:kern w:val="0"/>
                <w:szCs w:val="21"/>
                <w:lang w:bidi="ar"/>
              </w:rPr>
              <w:t>DA002</w:t>
            </w:r>
          </w:p>
        </w:tc>
      </w:tr>
      <w:tr w14:paraId="7E1E03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406814B3">
            <w:pPr>
              <w:jc w:val="center"/>
              <w:rPr>
                <w:rFonts w:eastAsia="仿宋_GB2312"/>
                <w:color w:val="auto"/>
                <w:szCs w:val="21"/>
              </w:rPr>
            </w:pPr>
          </w:p>
        </w:tc>
        <w:tc>
          <w:tcPr>
            <w:tcW w:w="358" w:type="pct"/>
            <w:vMerge w:val="continue"/>
            <w:vAlign w:val="center"/>
          </w:tcPr>
          <w:p w14:paraId="1ECC3404">
            <w:pPr>
              <w:jc w:val="center"/>
              <w:rPr>
                <w:rFonts w:eastAsia="仿宋_GB2312"/>
                <w:color w:val="auto"/>
                <w:szCs w:val="21"/>
              </w:rPr>
            </w:pPr>
          </w:p>
        </w:tc>
        <w:tc>
          <w:tcPr>
            <w:tcW w:w="418" w:type="pct"/>
            <w:vMerge w:val="continue"/>
            <w:vAlign w:val="center"/>
          </w:tcPr>
          <w:p w14:paraId="17FFFD73">
            <w:pPr>
              <w:jc w:val="center"/>
              <w:rPr>
                <w:rFonts w:eastAsia="仿宋_GB2312"/>
                <w:color w:val="auto"/>
                <w:szCs w:val="21"/>
              </w:rPr>
            </w:pPr>
          </w:p>
        </w:tc>
        <w:tc>
          <w:tcPr>
            <w:tcW w:w="446" w:type="pct"/>
            <w:vMerge w:val="continue"/>
            <w:vAlign w:val="center"/>
          </w:tcPr>
          <w:p w14:paraId="7B7958AF">
            <w:pPr>
              <w:jc w:val="center"/>
              <w:rPr>
                <w:rFonts w:eastAsia="仿宋_GB2312"/>
                <w:color w:val="auto"/>
                <w:szCs w:val="21"/>
              </w:rPr>
            </w:pPr>
          </w:p>
        </w:tc>
        <w:tc>
          <w:tcPr>
            <w:tcW w:w="361" w:type="pct"/>
            <w:vMerge w:val="continue"/>
            <w:vAlign w:val="center"/>
          </w:tcPr>
          <w:p w14:paraId="10FC6577">
            <w:pPr>
              <w:jc w:val="center"/>
              <w:rPr>
                <w:rFonts w:eastAsia="仿宋_GB2312"/>
                <w:color w:val="auto"/>
                <w:szCs w:val="21"/>
              </w:rPr>
            </w:pPr>
          </w:p>
        </w:tc>
        <w:tc>
          <w:tcPr>
            <w:tcW w:w="498" w:type="pct"/>
            <w:vMerge w:val="continue"/>
            <w:shd w:val="clear" w:color="auto" w:fill="auto"/>
            <w:vAlign w:val="center"/>
          </w:tcPr>
          <w:p w14:paraId="5671E09D">
            <w:pPr>
              <w:keepNext w:val="0"/>
              <w:keepLines w:val="0"/>
              <w:widowControl/>
              <w:suppressLineNumbers w:val="0"/>
              <w:jc w:val="center"/>
              <w:textAlignment w:val="bottom"/>
              <w:rPr>
                <w:rFonts w:eastAsia="仿宋_GB2312"/>
                <w:color w:val="auto"/>
                <w:kern w:val="0"/>
                <w:szCs w:val="21"/>
                <w:lang w:bidi="ar"/>
              </w:rPr>
            </w:pPr>
          </w:p>
        </w:tc>
        <w:tc>
          <w:tcPr>
            <w:tcW w:w="820" w:type="pct"/>
            <w:shd w:val="clear" w:color="auto" w:fill="auto"/>
            <w:vAlign w:val="center"/>
          </w:tcPr>
          <w:p w14:paraId="5E9DCC77">
            <w:pPr>
              <w:widowControl/>
              <w:jc w:val="center"/>
              <w:textAlignment w:val="center"/>
              <w:rPr>
                <w:rFonts w:ascii="Times New Roman" w:hAnsi="Times New Roman" w:eastAsia="仿宋_GB2312" w:cs="Times New Roman"/>
                <w:b/>
                <w:bCs/>
                <w:color w:val="auto"/>
                <w:kern w:val="0"/>
                <w:sz w:val="21"/>
                <w:szCs w:val="21"/>
                <w:lang w:val="en-US" w:eastAsia="zh-CN" w:bidi="ar"/>
              </w:rPr>
            </w:pPr>
            <w:r>
              <w:rPr>
                <w:rFonts w:eastAsia="仿宋_GB2312"/>
                <w:color w:val="auto"/>
                <w:kern w:val="0"/>
                <w:szCs w:val="21"/>
                <w:lang w:bidi="ar"/>
              </w:rPr>
              <w:t>其他有机物</w:t>
            </w:r>
          </w:p>
        </w:tc>
        <w:tc>
          <w:tcPr>
            <w:tcW w:w="380" w:type="pct"/>
            <w:shd w:val="clear" w:color="auto" w:fill="auto"/>
            <w:vAlign w:val="center"/>
          </w:tcPr>
          <w:p w14:paraId="5EB23545">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0.023</w:t>
            </w:r>
          </w:p>
        </w:tc>
        <w:tc>
          <w:tcPr>
            <w:tcW w:w="445" w:type="pct"/>
            <w:vAlign w:val="center"/>
          </w:tcPr>
          <w:p w14:paraId="41A95D4F">
            <w:pPr>
              <w:widowControl/>
              <w:jc w:val="center"/>
              <w:textAlignment w:val="center"/>
              <w:rPr>
                <w:rFonts w:eastAsia="仿宋_GB2312"/>
                <w:color w:val="auto"/>
                <w:kern w:val="0"/>
                <w:szCs w:val="21"/>
                <w:lang w:bidi="ar"/>
              </w:rPr>
            </w:pPr>
            <w:r>
              <w:rPr>
                <w:rFonts w:hint="eastAsia" w:eastAsia="仿宋_GB2312"/>
                <w:color w:val="auto"/>
                <w:kern w:val="0"/>
                <w:szCs w:val="21"/>
                <w:lang w:val="en-US" w:eastAsia="zh-CN" w:bidi="ar"/>
              </w:rPr>
              <w:t>0.002</w:t>
            </w:r>
          </w:p>
        </w:tc>
        <w:tc>
          <w:tcPr>
            <w:tcW w:w="630" w:type="pct"/>
            <w:vMerge w:val="continue"/>
            <w:vAlign w:val="center"/>
          </w:tcPr>
          <w:p w14:paraId="12FDD939">
            <w:pPr>
              <w:jc w:val="center"/>
              <w:rPr>
                <w:rFonts w:eastAsia="仿宋_GB2312"/>
                <w:color w:val="auto"/>
                <w:szCs w:val="21"/>
              </w:rPr>
            </w:pPr>
          </w:p>
        </w:tc>
        <w:tc>
          <w:tcPr>
            <w:tcW w:w="292" w:type="pct"/>
            <w:vMerge w:val="continue"/>
            <w:vAlign w:val="center"/>
          </w:tcPr>
          <w:p w14:paraId="71BCFADA">
            <w:pPr>
              <w:jc w:val="center"/>
              <w:rPr>
                <w:rFonts w:eastAsia="仿宋_GB2312"/>
                <w:color w:val="auto"/>
                <w:szCs w:val="21"/>
              </w:rPr>
            </w:pPr>
          </w:p>
        </w:tc>
      </w:tr>
      <w:tr w14:paraId="1B5439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51F37AA4">
            <w:pPr>
              <w:jc w:val="center"/>
              <w:rPr>
                <w:rFonts w:eastAsia="仿宋_GB2312"/>
                <w:color w:val="auto"/>
                <w:szCs w:val="21"/>
              </w:rPr>
            </w:pPr>
          </w:p>
        </w:tc>
        <w:tc>
          <w:tcPr>
            <w:tcW w:w="358" w:type="pct"/>
            <w:vMerge w:val="continue"/>
            <w:vAlign w:val="center"/>
          </w:tcPr>
          <w:p w14:paraId="39EA4F1A">
            <w:pPr>
              <w:jc w:val="center"/>
              <w:rPr>
                <w:rFonts w:eastAsia="仿宋_GB2312"/>
                <w:color w:val="auto"/>
                <w:szCs w:val="21"/>
              </w:rPr>
            </w:pPr>
          </w:p>
        </w:tc>
        <w:tc>
          <w:tcPr>
            <w:tcW w:w="418" w:type="pct"/>
            <w:vMerge w:val="restart"/>
            <w:vAlign w:val="center"/>
          </w:tcPr>
          <w:p w14:paraId="7C32EE7F">
            <w:pPr>
              <w:jc w:val="center"/>
              <w:rPr>
                <w:rFonts w:eastAsia="仿宋_GB2312"/>
                <w:color w:val="auto"/>
                <w:szCs w:val="21"/>
              </w:rPr>
            </w:pPr>
            <w:r>
              <w:rPr>
                <w:rFonts w:eastAsia="仿宋_GB2312"/>
                <w:color w:val="auto"/>
                <w:kern w:val="0"/>
                <w:szCs w:val="21"/>
                <w:lang w:bidi="ar"/>
              </w:rPr>
              <w:t>G</w:t>
            </w:r>
            <w:r>
              <w:rPr>
                <w:rFonts w:hint="eastAsia" w:eastAsia="仿宋_GB2312"/>
                <w:color w:val="auto"/>
                <w:kern w:val="0"/>
                <w:szCs w:val="21"/>
                <w:lang w:val="en-US" w:eastAsia="zh-CN" w:bidi="ar"/>
              </w:rPr>
              <w:t>3</w:t>
            </w:r>
            <w:r>
              <w:rPr>
                <w:rFonts w:eastAsia="仿宋_GB2312"/>
                <w:color w:val="auto"/>
                <w:kern w:val="0"/>
                <w:szCs w:val="21"/>
                <w:lang w:bidi="ar"/>
              </w:rPr>
              <w:t>-</w:t>
            </w:r>
            <w:r>
              <w:rPr>
                <w:rFonts w:hint="eastAsia" w:eastAsia="仿宋_GB2312"/>
                <w:color w:val="auto"/>
                <w:kern w:val="0"/>
                <w:szCs w:val="21"/>
                <w:lang w:val="en-US" w:eastAsia="zh-CN" w:bidi="ar"/>
              </w:rPr>
              <w:t>10</w:t>
            </w:r>
            <w:r>
              <w:rPr>
                <w:rFonts w:eastAsia="仿宋_GB2312"/>
                <w:color w:val="auto"/>
                <w:kern w:val="0"/>
                <w:szCs w:val="21"/>
                <w:lang w:bidi="ar"/>
              </w:rPr>
              <w:t>-3</w:t>
            </w:r>
          </w:p>
        </w:tc>
        <w:tc>
          <w:tcPr>
            <w:tcW w:w="446" w:type="pct"/>
            <w:vMerge w:val="restart"/>
            <w:vAlign w:val="center"/>
          </w:tcPr>
          <w:p w14:paraId="7968A62B">
            <w:pPr>
              <w:jc w:val="center"/>
              <w:rPr>
                <w:rFonts w:eastAsia="仿宋_GB2312"/>
                <w:color w:val="auto"/>
                <w:szCs w:val="21"/>
              </w:rPr>
            </w:pPr>
            <w:r>
              <w:rPr>
                <w:rFonts w:eastAsia="仿宋_GB2312"/>
                <w:color w:val="auto"/>
                <w:kern w:val="0"/>
                <w:szCs w:val="21"/>
                <w:lang w:bidi="ar"/>
              </w:rPr>
              <w:t>不凝气</w:t>
            </w:r>
          </w:p>
        </w:tc>
        <w:tc>
          <w:tcPr>
            <w:tcW w:w="361" w:type="pct"/>
            <w:vMerge w:val="restart"/>
            <w:vAlign w:val="center"/>
          </w:tcPr>
          <w:p w14:paraId="0714CF64">
            <w:pPr>
              <w:jc w:val="center"/>
              <w:rPr>
                <w:rFonts w:eastAsia="仿宋_GB2312"/>
                <w:color w:val="auto"/>
                <w:szCs w:val="21"/>
              </w:rPr>
            </w:pPr>
            <w:r>
              <w:rPr>
                <w:rFonts w:eastAsia="仿宋_GB2312"/>
                <w:color w:val="auto"/>
                <w:szCs w:val="21"/>
              </w:rPr>
              <w:t>360</w:t>
            </w:r>
          </w:p>
        </w:tc>
        <w:tc>
          <w:tcPr>
            <w:tcW w:w="498" w:type="pct"/>
            <w:vMerge w:val="restart"/>
            <w:shd w:val="clear" w:color="auto" w:fill="auto"/>
            <w:vAlign w:val="center"/>
          </w:tcPr>
          <w:p w14:paraId="5D2F1EFA">
            <w:pPr>
              <w:keepNext w:val="0"/>
              <w:keepLines w:val="0"/>
              <w:widowControl/>
              <w:suppressLineNumbers w:val="0"/>
              <w:jc w:val="center"/>
              <w:textAlignment w:val="bottom"/>
              <w:rPr>
                <w:rFonts w:hint="eastAsia" w:eastAsia="仿宋_GB2312"/>
                <w:color w:val="auto"/>
                <w:kern w:val="0"/>
                <w:szCs w:val="21"/>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84</w:t>
            </w:r>
          </w:p>
        </w:tc>
        <w:tc>
          <w:tcPr>
            <w:tcW w:w="820" w:type="pct"/>
            <w:shd w:val="clear" w:color="auto" w:fill="auto"/>
            <w:vAlign w:val="center"/>
          </w:tcPr>
          <w:p w14:paraId="06557E58">
            <w:pPr>
              <w:widowControl/>
              <w:jc w:val="center"/>
              <w:textAlignment w:val="center"/>
              <w:rPr>
                <w:rFonts w:ascii="Times New Roman" w:hAnsi="Times New Roman" w:eastAsia="仿宋_GB2312" w:cs="Times New Roman"/>
                <w:b/>
                <w:bCs/>
                <w:color w:val="auto"/>
                <w:kern w:val="0"/>
                <w:sz w:val="21"/>
                <w:szCs w:val="21"/>
                <w:lang w:val="en-US" w:eastAsia="zh-CN" w:bidi="ar"/>
              </w:rPr>
            </w:pPr>
            <w:r>
              <w:rPr>
                <w:rFonts w:hint="eastAsia" w:eastAsia="仿宋_GB2312"/>
                <w:color w:val="auto"/>
                <w:kern w:val="0"/>
                <w:szCs w:val="21"/>
                <w:lang w:val="en-US" w:eastAsia="zh-CN" w:bidi="ar"/>
              </w:rPr>
              <w:t>环己酮</w:t>
            </w:r>
          </w:p>
        </w:tc>
        <w:tc>
          <w:tcPr>
            <w:tcW w:w="380" w:type="pct"/>
            <w:shd w:val="clear" w:color="auto" w:fill="auto"/>
            <w:vAlign w:val="center"/>
          </w:tcPr>
          <w:p w14:paraId="45447191">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0.095</w:t>
            </w:r>
          </w:p>
        </w:tc>
        <w:tc>
          <w:tcPr>
            <w:tcW w:w="445" w:type="pct"/>
            <w:vAlign w:val="center"/>
          </w:tcPr>
          <w:p w14:paraId="49EB2C2E">
            <w:pPr>
              <w:widowControl/>
              <w:jc w:val="center"/>
              <w:textAlignment w:val="center"/>
              <w:rPr>
                <w:rFonts w:eastAsia="仿宋_GB2312"/>
                <w:color w:val="auto"/>
                <w:kern w:val="0"/>
                <w:szCs w:val="21"/>
                <w:lang w:bidi="ar"/>
              </w:rPr>
            </w:pPr>
            <w:r>
              <w:rPr>
                <w:rFonts w:hint="eastAsia" w:eastAsia="仿宋_GB2312"/>
                <w:color w:val="auto"/>
                <w:kern w:val="0"/>
                <w:szCs w:val="21"/>
                <w:lang w:val="en-US" w:eastAsia="zh-CN" w:bidi="ar"/>
              </w:rPr>
              <w:t>0.008</w:t>
            </w:r>
          </w:p>
        </w:tc>
        <w:tc>
          <w:tcPr>
            <w:tcW w:w="630" w:type="pct"/>
            <w:vMerge w:val="continue"/>
            <w:vAlign w:val="center"/>
          </w:tcPr>
          <w:p w14:paraId="436E18A9">
            <w:pPr>
              <w:jc w:val="center"/>
              <w:rPr>
                <w:rFonts w:eastAsia="仿宋_GB2312"/>
                <w:color w:val="auto"/>
                <w:szCs w:val="21"/>
              </w:rPr>
            </w:pPr>
          </w:p>
        </w:tc>
        <w:tc>
          <w:tcPr>
            <w:tcW w:w="292" w:type="pct"/>
            <w:vMerge w:val="continue"/>
            <w:vAlign w:val="center"/>
          </w:tcPr>
          <w:p w14:paraId="62DB801E">
            <w:pPr>
              <w:jc w:val="center"/>
              <w:rPr>
                <w:rFonts w:eastAsia="仿宋_GB2312"/>
                <w:color w:val="auto"/>
                <w:szCs w:val="21"/>
              </w:rPr>
            </w:pPr>
          </w:p>
        </w:tc>
      </w:tr>
      <w:tr w14:paraId="3935D0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5162ACC1">
            <w:pPr>
              <w:jc w:val="center"/>
              <w:rPr>
                <w:rFonts w:eastAsia="仿宋_GB2312"/>
                <w:color w:val="auto"/>
                <w:szCs w:val="21"/>
              </w:rPr>
            </w:pPr>
          </w:p>
        </w:tc>
        <w:tc>
          <w:tcPr>
            <w:tcW w:w="358" w:type="pct"/>
            <w:vMerge w:val="continue"/>
            <w:vAlign w:val="center"/>
          </w:tcPr>
          <w:p w14:paraId="15709B22">
            <w:pPr>
              <w:jc w:val="center"/>
              <w:rPr>
                <w:rFonts w:eastAsia="仿宋_GB2312"/>
                <w:color w:val="auto"/>
                <w:szCs w:val="21"/>
              </w:rPr>
            </w:pPr>
          </w:p>
        </w:tc>
        <w:tc>
          <w:tcPr>
            <w:tcW w:w="418" w:type="pct"/>
            <w:vMerge w:val="continue"/>
            <w:vAlign w:val="center"/>
          </w:tcPr>
          <w:p w14:paraId="0DD8F98C">
            <w:pPr>
              <w:jc w:val="center"/>
              <w:rPr>
                <w:rFonts w:eastAsia="仿宋_GB2312"/>
                <w:color w:val="auto"/>
                <w:szCs w:val="21"/>
              </w:rPr>
            </w:pPr>
          </w:p>
        </w:tc>
        <w:tc>
          <w:tcPr>
            <w:tcW w:w="446" w:type="pct"/>
            <w:vMerge w:val="continue"/>
            <w:vAlign w:val="center"/>
          </w:tcPr>
          <w:p w14:paraId="04B0EFAD">
            <w:pPr>
              <w:jc w:val="center"/>
              <w:rPr>
                <w:rFonts w:eastAsia="仿宋_GB2312"/>
                <w:color w:val="auto"/>
                <w:szCs w:val="21"/>
              </w:rPr>
            </w:pPr>
          </w:p>
        </w:tc>
        <w:tc>
          <w:tcPr>
            <w:tcW w:w="361" w:type="pct"/>
            <w:vMerge w:val="continue"/>
            <w:vAlign w:val="center"/>
          </w:tcPr>
          <w:p w14:paraId="7AC0FFD1">
            <w:pPr>
              <w:jc w:val="center"/>
              <w:rPr>
                <w:rFonts w:eastAsia="仿宋_GB2312"/>
                <w:color w:val="auto"/>
                <w:szCs w:val="21"/>
              </w:rPr>
            </w:pPr>
          </w:p>
        </w:tc>
        <w:tc>
          <w:tcPr>
            <w:tcW w:w="498" w:type="pct"/>
            <w:vMerge w:val="continue"/>
            <w:shd w:val="clear" w:color="auto" w:fill="auto"/>
            <w:vAlign w:val="center"/>
          </w:tcPr>
          <w:p w14:paraId="135A173D">
            <w:pPr>
              <w:keepNext w:val="0"/>
              <w:keepLines w:val="0"/>
              <w:widowControl/>
              <w:suppressLineNumbers w:val="0"/>
              <w:jc w:val="center"/>
              <w:textAlignment w:val="bottom"/>
              <w:rPr>
                <w:rFonts w:eastAsia="仿宋_GB2312"/>
                <w:color w:val="auto"/>
                <w:kern w:val="0"/>
                <w:szCs w:val="21"/>
                <w:lang w:bidi="ar"/>
              </w:rPr>
            </w:pPr>
          </w:p>
        </w:tc>
        <w:tc>
          <w:tcPr>
            <w:tcW w:w="820" w:type="pct"/>
            <w:shd w:val="clear" w:color="auto" w:fill="auto"/>
            <w:vAlign w:val="center"/>
          </w:tcPr>
          <w:p w14:paraId="5C608B7B">
            <w:pPr>
              <w:widowControl/>
              <w:jc w:val="center"/>
              <w:textAlignment w:val="center"/>
              <w:rPr>
                <w:rFonts w:ascii="Times New Roman" w:hAnsi="Times New Roman" w:eastAsia="仿宋_GB2312" w:cs="Times New Roman"/>
                <w:b/>
                <w:bCs/>
                <w:color w:val="auto"/>
                <w:kern w:val="0"/>
                <w:sz w:val="21"/>
                <w:szCs w:val="21"/>
                <w:lang w:val="en-US" w:eastAsia="zh-CN" w:bidi="ar"/>
              </w:rPr>
            </w:pPr>
            <w:r>
              <w:rPr>
                <w:rFonts w:eastAsia="仿宋_GB2312"/>
                <w:color w:val="auto"/>
                <w:kern w:val="0"/>
                <w:szCs w:val="21"/>
                <w:lang w:bidi="ar"/>
              </w:rPr>
              <w:t>其他有机物</w:t>
            </w:r>
          </w:p>
        </w:tc>
        <w:tc>
          <w:tcPr>
            <w:tcW w:w="380" w:type="pct"/>
            <w:shd w:val="clear" w:color="auto" w:fill="auto"/>
            <w:vAlign w:val="center"/>
          </w:tcPr>
          <w:p w14:paraId="35686795">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0.011</w:t>
            </w:r>
          </w:p>
        </w:tc>
        <w:tc>
          <w:tcPr>
            <w:tcW w:w="445" w:type="pct"/>
            <w:vAlign w:val="center"/>
          </w:tcPr>
          <w:p w14:paraId="64EE6E1F">
            <w:pPr>
              <w:widowControl/>
              <w:jc w:val="center"/>
              <w:textAlignment w:val="center"/>
              <w:rPr>
                <w:rFonts w:eastAsia="仿宋_GB2312"/>
                <w:color w:val="auto"/>
                <w:kern w:val="0"/>
                <w:szCs w:val="21"/>
                <w:lang w:bidi="ar"/>
              </w:rPr>
            </w:pPr>
            <w:r>
              <w:rPr>
                <w:rFonts w:hint="eastAsia" w:eastAsia="仿宋_GB2312"/>
                <w:color w:val="auto"/>
                <w:kern w:val="0"/>
                <w:szCs w:val="21"/>
                <w:lang w:val="en-US" w:eastAsia="zh-CN" w:bidi="ar"/>
              </w:rPr>
              <w:t>0.001</w:t>
            </w:r>
          </w:p>
        </w:tc>
        <w:tc>
          <w:tcPr>
            <w:tcW w:w="630" w:type="pct"/>
            <w:vMerge w:val="continue"/>
            <w:vAlign w:val="center"/>
          </w:tcPr>
          <w:p w14:paraId="05CE2B5E">
            <w:pPr>
              <w:jc w:val="center"/>
              <w:rPr>
                <w:rFonts w:eastAsia="仿宋_GB2312"/>
                <w:color w:val="auto"/>
                <w:szCs w:val="21"/>
              </w:rPr>
            </w:pPr>
          </w:p>
        </w:tc>
        <w:tc>
          <w:tcPr>
            <w:tcW w:w="292" w:type="pct"/>
            <w:vMerge w:val="continue"/>
            <w:vAlign w:val="center"/>
          </w:tcPr>
          <w:p w14:paraId="2BCE6F4F">
            <w:pPr>
              <w:jc w:val="center"/>
              <w:rPr>
                <w:rFonts w:eastAsia="仿宋_GB2312"/>
                <w:color w:val="auto"/>
                <w:szCs w:val="21"/>
              </w:rPr>
            </w:pPr>
          </w:p>
        </w:tc>
      </w:tr>
      <w:tr w14:paraId="1681FF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360790CA">
            <w:pPr>
              <w:jc w:val="center"/>
              <w:rPr>
                <w:rFonts w:eastAsia="仿宋_GB2312"/>
                <w:color w:val="auto"/>
                <w:szCs w:val="21"/>
              </w:rPr>
            </w:pPr>
          </w:p>
        </w:tc>
        <w:tc>
          <w:tcPr>
            <w:tcW w:w="358" w:type="pct"/>
            <w:vMerge w:val="continue"/>
            <w:vAlign w:val="center"/>
          </w:tcPr>
          <w:p w14:paraId="7976CA7D">
            <w:pPr>
              <w:jc w:val="center"/>
              <w:rPr>
                <w:rFonts w:eastAsia="仿宋_GB2312"/>
                <w:color w:val="auto"/>
                <w:szCs w:val="21"/>
              </w:rPr>
            </w:pPr>
          </w:p>
        </w:tc>
        <w:tc>
          <w:tcPr>
            <w:tcW w:w="418" w:type="pct"/>
            <w:vMerge w:val="restart"/>
            <w:vAlign w:val="center"/>
          </w:tcPr>
          <w:p w14:paraId="6CA3DCDF">
            <w:pPr>
              <w:jc w:val="center"/>
              <w:rPr>
                <w:rFonts w:eastAsia="仿宋_GB2312"/>
                <w:color w:val="auto"/>
                <w:szCs w:val="21"/>
              </w:rPr>
            </w:pPr>
            <w:r>
              <w:rPr>
                <w:rFonts w:eastAsia="仿宋_GB2312"/>
                <w:color w:val="auto"/>
                <w:kern w:val="0"/>
                <w:szCs w:val="21"/>
                <w:lang w:bidi="ar"/>
              </w:rPr>
              <w:t>G</w:t>
            </w:r>
            <w:r>
              <w:rPr>
                <w:rFonts w:hint="eastAsia" w:eastAsia="仿宋_GB2312"/>
                <w:color w:val="auto"/>
                <w:kern w:val="0"/>
                <w:szCs w:val="21"/>
                <w:lang w:val="en-US" w:eastAsia="zh-CN" w:bidi="ar"/>
              </w:rPr>
              <w:t>3</w:t>
            </w:r>
            <w:r>
              <w:rPr>
                <w:rFonts w:eastAsia="仿宋_GB2312"/>
                <w:color w:val="auto"/>
                <w:kern w:val="0"/>
                <w:szCs w:val="21"/>
                <w:lang w:bidi="ar"/>
              </w:rPr>
              <w:t>-</w:t>
            </w:r>
            <w:r>
              <w:rPr>
                <w:rFonts w:hint="eastAsia" w:eastAsia="仿宋_GB2312"/>
                <w:color w:val="auto"/>
                <w:kern w:val="0"/>
                <w:szCs w:val="21"/>
                <w:lang w:val="en-US" w:eastAsia="zh-CN" w:bidi="ar"/>
              </w:rPr>
              <w:t>10</w:t>
            </w:r>
            <w:r>
              <w:rPr>
                <w:rFonts w:eastAsia="仿宋_GB2312"/>
                <w:color w:val="auto"/>
                <w:kern w:val="0"/>
                <w:szCs w:val="21"/>
                <w:lang w:bidi="ar"/>
              </w:rPr>
              <w:t>-4</w:t>
            </w:r>
          </w:p>
        </w:tc>
        <w:tc>
          <w:tcPr>
            <w:tcW w:w="446" w:type="pct"/>
            <w:vMerge w:val="restart"/>
            <w:vAlign w:val="center"/>
          </w:tcPr>
          <w:p w14:paraId="1B39403F">
            <w:pPr>
              <w:jc w:val="center"/>
              <w:rPr>
                <w:rFonts w:eastAsia="仿宋_GB2312"/>
                <w:color w:val="auto"/>
                <w:szCs w:val="21"/>
              </w:rPr>
            </w:pPr>
            <w:r>
              <w:rPr>
                <w:rFonts w:eastAsia="仿宋_GB2312"/>
                <w:color w:val="auto"/>
                <w:kern w:val="0"/>
                <w:szCs w:val="21"/>
                <w:lang w:bidi="ar"/>
              </w:rPr>
              <w:t>不凝气</w:t>
            </w:r>
          </w:p>
        </w:tc>
        <w:tc>
          <w:tcPr>
            <w:tcW w:w="361" w:type="pct"/>
            <w:vMerge w:val="restart"/>
            <w:vAlign w:val="center"/>
          </w:tcPr>
          <w:p w14:paraId="60E6467F">
            <w:pPr>
              <w:jc w:val="center"/>
              <w:rPr>
                <w:rFonts w:eastAsia="仿宋_GB2312"/>
                <w:color w:val="auto"/>
                <w:szCs w:val="21"/>
              </w:rPr>
            </w:pPr>
            <w:r>
              <w:rPr>
                <w:rFonts w:eastAsia="仿宋_GB2312"/>
                <w:color w:val="auto"/>
                <w:szCs w:val="21"/>
              </w:rPr>
              <w:t>360</w:t>
            </w:r>
          </w:p>
        </w:tc>
        <w:tc>
          <w:tcPr>
            <w:tcW w:w="498" w:type="pct"/>
            <w:vMerge w:val="restart"/>
            <w:shd w:val="clear" w:color="auto" w:fill="auto"/>
            <w:vAlign w:val="center"/>
          </w:tcPr>
          <w:p w14:paraId="2871C630">
            <w:pPr>
              <w:keepNext w:val="0"/>
              <w:keepLines w:val="0"/>
              <w:widowControl/>
              <w:suppressLineNumbers w:val="0"/>
              <w:jc w:val="center"/>
              <w:textAlignment w:val="bottom"/>
              <w:rPr>
                <w:rFonts w:hint="eastAsia" w:eastAsia="仿宋_GB2312"/>
                <w:color w:val="auto"/>
                <w:kern w:val="0"/>
                <w:szCs w:val="21"/>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84</w:t>
            </w:r>
          </w:p>
        </w:tc>
        <w:tc>
          <w:tcPr>
            <w:tcW w:w="820" w:type="pct"/>
            <w:shd w:val="clear" w:color="auto" w:fill="auto"/>
            <w:vAlign w:val="center"/>
          </w:tcPr>
          <w:p w14:paraId="03B32B45">
            <w:pPr>
              <w:widowControl/>
              <w:jc w:val="center"/>
              <w:textAlignment w:val="center"/>
              <w:rPr>
                <w:rFonts w:ascii="Times New Roman" w:hAnsi="Times New Roman" w:eastAsia="仿宋_GB2312" w:cs="Times New Roman"/>
                <w:b/>
                <w:bCs/>
                <w:color w:val="auto"/>
                <w:kern w:val="0"/>
                <w:sz w:val="21"/>
                <w:szCs w:val="21"/>
                <w:lang w:val="en-US" w:eastAsia="zh-CN" w:bidi="ar"/>
              </w:rPr>
            </w:pPr>
            <w:r>
              <w:rPr>
                <w:rFonts w:hint="eastAsia" w:eastAsia="仿宋_GB2312"/>
                <w:color w:val="auto"/>
                <w:kern w:val="0"/>
                <w:szCs w:val="21"/>
                <w:lang w:val="en-US" w:eastAsia="zh-CN" w:bidi="ar"/>
              </w:rPr>
              <w:t>环己酮</w:t>
            </w:r>
          </w:p>
        </w:tc>
        <w:tc>
          <w:tcPr>
            <w:tcW w:w="380" w:type="pct"/>
            <w:shd w:val="clear" w:color="auto" w:fill="auto"/>
            <w:vAlign w:val="center"/>
          </w:tcPr>
          <w:p w14:paraId="4DF49A84">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21.809</w:t>
            </w:r>
          </w:p>
        </w:tc>
        <w:tc>
          <w:tcPr>
            <w:tcW w:w="445" w:type="pct"/>
            <w:vAlign w:val="center"/>
          </w:tcPr>
          <w:p w14:paraId="02D3AB6B">
            <w:pPr>
              <w:widowControl/>
              <w:jc w:val="center"/>
              <w:textAlignment w:val="center"/>
              <w:rPr>
                <w:rFonts w:eastAsia="仿宋_GB2312"/>
                <w:color w:val="auto"/>
                <w:kern w:val="0"/>
                <w:szCs w:val="21"/>
                <w:lang w:bidi="ar"/>
              </w:rPr>
            </w:pPr>
            <w:r>
              <w:rPr>
                <w:rFonts w:hint="eastAsia" w:eastAsia="仿宋_GB2312"/>
                <w:color w:val="auto"/>
                <w:kern w:val="0"/>
                <w:szCs w:val="21"/>
                <w:lang w:val="en-US" w:eastAsia="zh-CN" w:bidi="ar"/>
              </w:rPr>
              <w:t>1.832</w:t>
            </w:r>
          </w:p>
        </w:tc>
        <w:tc>
          <w:tcPr>
            <w:tcW w:w="630" w:type="pct"/>
            <w:vMerge w:val="continue"/>
            <w:vAlign w:val="center"/>
          </w:tcPr>
          <w:p w14:paraId="7325EF00">
            <w:pPr>
              <w:jc w:val="center"/>
              <w:rPr>
                <w:rFonts w:eastAsia="仿宋_GB2312"/>
                <w:color w:val="auto"/>
                <w:szCs w:val="21"/>
              </w:rPr>
            </w:pPr>
          </w:p>
        </w:tc>
        <w:tc>
          <w:tcPr>
            <w:tcW w:w="292" w:type="pct"/>
            <w:vMerge w:val="continue"/>
            <w:vAlign w:val="center"/>
          </w:tcPr>
          <w:p w14:paraId="55A73556">
            <w:pPr>
              <w:jc w:val="center"/>
              <w:rPr>
                <w:rFonts w:eastAsia="仿宋_GB2312"/>
                <w:color w:val="auto"/>
                <w:szCs w:val="21"/>
              </w:rPr>
            </w:pPr>
          </w:p>
        </w:tc>
      </w:tr>
      <w:tr w14:paraId="3E879F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43FF669B">
            <w:pPr>
              <w:jc w:val="center"/>
              <w:rPr>
                <w:rFonts w:eastAsia="仿宋_GB2312"/>
                <w:color w:val="auto"/>
                <w:szCs w:val="21"/>
              </w:rPr>
            </w:pPr>
          </w:p>
        </w:tc>
        <w:tc>
          <w:tcPr>
            <w:tcW w:w="358" w:type="pct"/>
            <w:vMerge w:val="continue"/>
            <w:vAlign w:val="center"/>
          </w:tcPr>
          <w:p w14:paraId="4516AF04">
            <w:pPr>
              <w:jc w:val="center"/>
              <w:rPr>
                <w:rFonts w:eastAsia="仿宋_GB2312"/>
                <w:color w:val="auto"/>
                <w:szCs w:val="21"/>
              </w:rPr>
            </w:pPr>
          </w:p>
        </w:tc>
        <w:tc>
          <w:tcPr>
            <w:tcW w:w="418" w:type="pct"/>
            <w:vMerge w:val="continue"/>
            <w:vAlign w:val="center"/>
          </w:tcPr>
          <w:p w14:paraId="7A30DD0C">
            <w:pPr>
              <w:jc w:val="center"/>
              <w:rPr>
                <w:rFonts w:eastAsia="仿宋_GB2312"/>
                <w:color w:val="auto"/>
                <w:szCs w:val="21"/>
              </w:rPr>
            </w:pPr>
          </w:p>
        </w:tc>
        <w:tc>
          <w:tcPr>
            <w:tcW w:w="446" w:type="pct"/>
            <w:vMerge w:val="continue"/>
            <w:vAlign w:val="center"/>
          </w:tcPr>
          <w:p w14:paraId="6C6A4BDC">
            <w:pPr>
              <w:jc w:val="center"/>
              <w:rPr>
                <w:rFonts w:eastAsia="仿宋_GB2312"/>
                <w:color w:val="auto"/>
                <w:szCs w:val="21"/>
              </w:rPr>
            </w:pPr>
          </w:p>
        </w:tc>
        <w:tc>
          <w:tcPr>
            <w:tcW w:w="361" w:type="pct"/>
            <w:vMerge w:val="continue"/>
            <w:vAlign w:val="center"/>
          </w:tcPr>
          <w:p w14:paraId="23FD09A4">
            <w:pPr>
              <w:jc w:val="center"/>
              <w:rPr>
                <w:rFonts w:eastAsia="仿宋_GB2312"/>
                <w:color w:val="auto"/>
                <w:szCs w:val="21"/>
              </w:rPr>
            </w:pPr>
          </w:p>
        </w:tc>
        <w:tc>
          <w:tcPr>
            <w:tcW w:w="498" w:type="pct"/>
            <w:vMerge w:val="continue"/>
            <w:shd w:val="clear" w:color="auto" w:fill="auto"/>
            <w:vAlign w:val="center"/>
          </w:tcPr>
          <w:p w14:paraId="2DB956A0">
            <w:pPr>
              <w:keepNext w:val="0"/>
              <w:keepLines w:val="0"/>
              <w:widowControl/>
              <w:suppressLineNumbers w:val="0"/>
              <w:jc w:val="center"/>
              <w:textAlignment w:val="bottom"/>
              <w:rPr>
                <w:rFonts w:eastAsia="仿宋_GB2312"/>
                <w:color w:val="auto"/>
                <w:kern w:val="0"/>
                <w:szCs w:val="21"/>
                <w:lang w:bidi="ar"/>
              </w:rPr>
            </w:pPr>
          </w:p>
        </w:tc>
        <w:tc>
          <w:tcPr>
            <w:tcW w:w="820" w:type="pct"/>
            <w:shd w:val="clear" w:color="auto" w:fill="auto"/>
            <w:vAlign w:val="center"/>
          </w:tcPr>
          <w:p w14:paraId="1903DF29">
            <w:pPr>
              <w:widowControl/>
              <w:jc w:val="center"/>
              <w:textAlignment w:val="center"/>
              <w:rPr>
                <w:rFonts w:ascii="Times New Roman" w:hAnsi="Times New Roman" w:eastAsia="仿宋_GB2312" w:cs="Times New Roman"/>
                <w:b/>
                <w:bCs/>
                <w:color w:val="auto"/>
                <w:kern w:val="0"/>
                <w:sz w:val="21"/>
                <w:szCs w:val="21"/>
                <w:lang w:val="en-US" w:eastAsia="zh-CN" w:bidi="ar"/>
              </w:rPr>
            </w:pPr>
            <w:r>
              <w:rPr>
                <w:rFonts w:eastAsia="仿宋_GB2312"/>
                <w:color w:val="auto"/>
                <w:kern w:val="0"/>
                <w:szCs w:val="21"/>
                <w:lang w:bidi="ar"/>
              </w:rPr>
              <w:t>其他有机物</w:t>
            </w:r>
          </w:p>
        </w:tc>
        <w:tc>
          <w:tcPr>
            <w:tcW w:w="380" w:type="pct"/>
            <w:shd w:val="clear" w:color="auto" w:fill="auto"/>
            <w:vAlign w:val="center"/>
          </w:tcPr>
          <w:p w14:paraId="52AA95EE">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0.357</w:t>
            </w:r>
          </w:p>
        </w:tc>
        <w:tc>
          <w:tcPr>
            <w:tcW w:w="445" w:type="pct"/>
            <w:vAlign w:val="center"/>
          </w:tcPr>
          <w:p w14:paraId="52592A8B">
            <w:pPr>
              <w:widowControl/>
              <w:jc w:val="center"/>
              <w:textAlignment w:val="center"/>
              <w:rPr>
                <w:rFonts w:eastAsia="仿宋_GB2312"/>
                <w:color w:val="auto"/>
                <w:kern w:val="0"/>
                <w:szCs w:val="21"/>
                <w:lang w:bidi="ar"/>
              </w:rPr>
            </w:pPr>
            <w:r>
              <w:rPr>
                <w:rFonts w:hint="eastAsia" w:eastAsia="仿宋_GB2312"/>
                <w:color w:val="auto"/>
                <w:kern w:val="0"/>
                <w:szCs w:val="21"/>
                <w:lang w:val="en-US" w:eastAsia="zh-CN" w:bidi="ar"/>
              </w:rPr>
              <w:t>0.03</w:t>
            </w:r>
          </w:p>
        </w:tc>
        <w:tc>
          <w:tcPr>
            <w:tcW w:w="630" w:type="pct"/>
            <w:vMerge w:val="continue"/>
            <w:vAlign w:val="center"/>
          </w:tcPr>
          <w:p w14:paraId="545B6200">
            <w:pPr>
              <w:jc w:val="center"/>
              <w:rPr>
                <w:rFonts w:eastAsia="仿宋_GB2312"/>
                <w:color w:val="auto"/>
                <w:szCs w:val="21"/>
              </w:rPr>
            </w:pPr>
          </w:p>
        </w:tc>
        <w:tc>
          <w:tcPr>
            <w:tcW w:w="292" w:type="pct"/>
            <w:vMerge w:val="continue"/>
            <w:vAlign w:val="center"/>
          </w:tcPr>
          <w:p w14:paraId="49BF3E90">
            <w:pPr>
              <w:jc w:val="center"/>
              <w:rPr>
                <w:rFonts w:eastAsia="仿宋_GB2312"/>
                <w:color w:val="auto"/>
                <w:szCs w:val="21"/>
              </w:rPr>
            </w:pPr>
          </w:p>
        </w:tc>
      </w:tr>
      <w:tr w14:paraId="67C65B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63B60F83">
            <w:pPr>
              <w:jc w:val="center"/>
              <w:rPr>
                <w:rFonts w:eastAsia="仿宋_GB2312"/>
                <w:color w:val="auto"/>
                <w:szCs w:val="21"/>
              </w:rPr>
            </w:pPr>
          </w:p>
        </w:tc>
        <w:tc>
          <w:tcPr>
            <w:tcW w:w="358" w:type="pct"/>
            <w:vMerge w:val="continue"/>
            <w:vAlign w:val="center"/>
          </w:tcPr>
          <w:p w14:paraId="57020724">
            <w:pPr>
              <w:jc w:val="center"/>
              <w:rPr>
                <w:rFonts w:eastAsia="仿宋_GB2312"/>
                <w:color w:val="auto"/>
                <w:szCs w:val="21"/>
              </w:rPr>
            </w:pPr>
          </w:p>
        </w:tc>
        <w:tc>
          <w:tcPr>
            <w:tcW w:w="418" w:type="pct"/>
            <w:vAlign w:val="center"/>
          </w:tcPr>
          <w:p w14:paraId="41F2577D">
            <w:pPr>
              <w:jc w:val="center"/>
              <w:rPr>
                <w:rFonts w:eastAsia="仿宋_GB2312"/>
                <w:color w:val="auto"/>
                <w:szCs w:val="21"/>
              </w:rPr>
            </w:pPr>
            <w:r>
              <w:rPr>
                <w:rFonts w:eastAsia="仿宋_GB2312"/>
                <w:color w:val="auto"/>
                <w:kern w:val="0"/>
                <w:szCs w:val="21"/>
                <w:lang w:bidi="ar"/>
              </w:rPr>
              <w:t>G</w:t>
            </w:r>
            <w:r>
              <w:rPr>
                <w:rFonts w:hint="eastAsia" w:eastAsia="仿宋_GB2312"/>
                <w:color w:val="auto"/>
                <w:kern w:val="0"/>
                <w:szCs w:val="21"/>
                <w:lang w:val="en-US" w:eastAsia="zh-CN" w:bidi="ar"/>
              </w:rPr>
              <w:t>3</w:t>
            </w:r>
            <w:r>
              <w:rPr>
                <w:rFonts w:eastAsia="仿宋_GB2312"/>
                <w:color w:val="auto"/>
                <w:kern w:val="0"/>
                <w:szCs w:val="21"/>
                <w:lang w:bidi="ar"/>
              </w:rPr>
              <w:t>-</w:t>
            </w:r>
            <w:r>
              <w:rPr>
                <w:rFonts w:hint="eastAsia" w:eastAsia="仿宋_GB2312"/>
                <w:color w:val="auto"/>
                <w:kern w:val="0"/>
                <w:szCs w:val="21"/>
                <w:lang w:val="en-US" w:eastAsia="zh-CN" w:bidi="ar"/>
              </w:rPr>
              <w:t>10</w:t>
            </w:r>
            <w:r>
              <w:rPr>
                <w:rFonts w:eastAsia="仿宋_GB2312"/>
                <w:color w:val="auto"/>
                <w:kern w:val="0"/>
                <w:szCs w:val="21"/>
                <w:lang w:bidi="ar"/>
              </w:rPr>
              <w:t>-5</w:t>
            </w:r>
          </w:p>
        </w:tc>
        <w:tc>
          <w:tcPr>
            <w:tcW w:w="446" w:type="pct"/>
            <w:vAlign w:val="center"/>
          </w:tcPr>
          <w:p w14:paraId="46B9447A">
            <w:pPr>
              <w:jc w:val="center"/>
              <w:rPr>
                <w:rFonts w:eastAsia="仿宋_GB2312"/>
                <w:color w:val="auto"/>
                <w:szCs w:val="21"/>
              </w:rPr>
            </w:pPr>
            <w:r>
              <w:rPr>
                <w:rFonts w:eastAsia="仿宋_GB2312"/>
                <w:color w:val="auto"/>
                <w:kern w:val="0"/>
                <w:szCs w:val="21"/>
                <w:lang w:bidi="ar"/>
              </w:rPr>
              <w:t>灌装废气</w:t>
            </w:r>
          </w:p>
        </w:tc>
        <w:tc>
          <w:tcPr>
            <w:tcW w:w="361" w:type="pct"/>
            <w:vAlign w:val="center"/>
          </w:tcPr>
          <w:p w14:paraId="0710D86F">
            <w:pPr>
              <w:jc w:val="center"/>
              <w:rPr>
                <w:rFonts w:hint="default" w:eastAsia="仿宋_GB2312"/>
                <w:color w:val="auto"/>
                <w:szCs w:val="21"/>
                <w:lang w:val="en-US" w:eastAsia="zh-CN"/>
              </w:rPr>
            </w:pPr>
            <w:r>
              <w:rPr>
                <w:rFonts w:hint="eastAsia" w:eastAsia="仿宋_GB2312"/>
                <w:color w:val="auto"/>
                <w:szCs w:val="21"/>
                <w:lang w:val="en-US" w:eastAsia="zh-CN"/>
              </w:rPr>
              <w:t>2000</w:t>
            </w:r>
          </w:p>
        </w:tc>
        <w:tc>
          <w:tcPr>
            <w:tcW w:w="498" w:type="pct"/>
            <w:shd w:val="clear" w:color="auto" w:fill="auto"/>
            <w:vAlign w:val="center"/>
          </w:tcPr>
          <w:p w14:paraId="17322EA7">
            <w:pPr>
              <w:keepNext w:val="0"/>
              <w:keepLines w:val="0"/>
              <w:widowControl/>
              <w:suppressLineNumbers w:val="0"/>
              <w:jc w:val="center"/>
              <w:textAlignment w:val="bottom"/>
              <w:rPr>
                <w:rFonts w:hint="eastAsia" w:eastAsia="仿宋_GB2312"/>
                <w:color w:val="auto"/>
                <w:kern w:val="0"/>
                <w:szCs w:val="21"/>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84</w:t>
            </w:r>
          </w:p>
        </w:tc>
        <w:tc>
          <w:tcPr>
            <w:tcW w:w="820" w:type="pct"/>
            <w:shd w:val="clear" w:color="auto" w:fill="auto"/>
            <w:vAlign w:val="center"/>
          </w:tcPr>
          <w:p w14:paraId="7E28BB56">
            <w:pPr>
              <w:widowControl/>
              <w:jc w:val="center"/>
              <w:textAlignment w:val="center"/>
              <w:rPr>
                <w:rFonts w:ascii="Times New Roman" w:hAnsi="Times New Roman" w:eastAsia="仿宋_GB2312" w:cs="Times New Roman"/>
                <w:b/>
                <w:bCs/>
                <w:color w:val="auto"/>
                <w:kern w:val="0"/>
                <w:sz w:val="21"/>
                <w:szCs w:val="21"/>
                <w:lang w:val="en-US" w:eastAsia="zh-CN" w:bidi="ar"/>
              </w:rPr>
            </w:pPr>
            <w:r>
              <w:rPr>
                <w:rFonts w:hint="eastAsia" w:eastAsia="仿宋_GB2312"/>
                <w:color w:val="auto"/>
                <w:kern w:val="0"/>
                <w:szCs w:val="21"/>
                <w:lang w:val="en-US" w:eastAsia="zh-CN" w:bidi="ar"/>
              </w:rPr>
              <w:t>环己酮</w:t>
            </w:r>
          </w:p>
        </w:tc>
        <w:tc>
          <w:tcPr>
            <w:tcW w:w="380" w:type="pct"/>
            <w:shd w:val="clear" w:color="auto" w:fill="auto"/>
            <w:vAlign w:val="center"/>
          </w:tcPr>
          <w:p w14:paraId="4C7D277C">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2.58</w:t>
            </w:r>
          </w:p>
        </w:tc>
        <w:tc>
          <w:tcPr>
            <w:tcW w:w="445" w:type="pct"/>
            <w:vAlign w:val="center"/>
          </w:tcPr>
          <w:p w14:paraId="338D0E42">
            <w:pPr>
              <w:jc w:val="center"/>
              <w:rPr>
                <w:rFonts w:eastAsia="仿宋_GB2312"/>
                <w:color w:val="auto"/>
                <w:kern w:val="0"/>
                <w:szCs w:val="21"/>
                <w:lang w:bidi="ar"/>
              </w:rPr>
            </w:pPr>
            <w:r>
              <w:rPr>
                <w:rFonts w:hint="eastAsia" w:eastAsia="仿宋_GB2312"/>
                <w:color w:val="auto"/>
                <w:kern w:val="0"/>
                <w:szCs w:val="21"/>
                <w:lang w:val="en-US" w:eastAsia="zh-CN" w:bidi="ar"/>
              </w:rPr>
              <w:t>0.217</w:t>
            </w:r>
          </w:p>
        </w:tc>
        <w:tc>
          <w:tcPr>
            <w:tcW w:w="630" w:type="pct"/>
            <w:vMerge w:val="restart"/>
            <w:shd w:val="clear" w:color="auto" w:fill="auto"/>
            <w:vAlign w:val="center"/>
          </w:tcPr>
          <w:p w14:paraId="44784870">
            <w:pPr>
              <w:jc w:val="center"/>
              <w:rPr>
                <w:rFonts w:ascii="Times New Roman" w:hAnsi="Times New Roman" w:eastAsia="仿宋_GB2312" w:cs="Times New Roman"/>
                <w:color w:val="auto"/>
                <w:kern w:val="2"/>
                <w:sz w:val="21"/>
                <w:szCs w:val="21"/>
                <w:lang w:val="en-US" w:eastAsia="zh-CN" w:bidi="ar-SA"/>
              </w:rPr>
            </w:pPr>
            <w:r>
              <w:rPr>
                <w:rFonts w:hint="eastAsia" w:eastAsia="仿宋_GB2312"/>
                <w:color w:val="auto"/>
                <w:szCs w:val="21"/>
              </w:rPr>
              <w:t>冷凝+酸吸收+碱吸收+水洗+活性炭吸附/脱附</w:t>
            </w:r>
          </w:p>
        </w:tc>
        <w:tc>
          <w:tcPr>
            <w:tcW w:w="292" w:type="pct"/>
            <w:vMerge w:val="restart"/>
            <w:shd w:val="clear" w:color="auto" w:fill="auto"/>
            <w:vAlign w:val="center"/>
          </w:tcPr>
          <w:p w14:paraId="4A007731">
            <w:pPr>
              <w:jc w:val="center"/>
              <w:rPr>
                <w:rFonts w:ascii="Times New Roman" w:hAnsi="Times New Roman" w:eastAsia="仿宋_GB2312" w:cs="Times New Roman"/>
                <w:color w:val="auto"/>
                <w:kern w:val="2"/>
                <w:sz w:val="21"/>
                <w:szCs w:val="21"/>
                <w:lang w:val="en-US" w:eastAsia="zh-CN" w:bidi="ar-SA"/>
              </w:rPr>
            </w:pPr>
            <w:r>
              <w:rPr>
                <w:rFonts w:hint="eastAsia" w:eastAsia="仿宋_GB2312"/>
                <w:color w:val="auto"/>
              </w:rPr>
              <w:t>DA005</w:t>
            </w:r>
          </w:p>
        </w:tc>
      </w:tr>
      <w:tr w14:paraId="29EE90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restart"/>
            <w:shd w:val="clear" w:color="auto" w:fill="auto"/>
            <w:vAlign w:val="center"/>
          </w:tcPr>
          <w:p w14:paraId="29278F7A">
            <w:pPr>
              <w:jc w:val="center"/>
              <w:rPr>
                <w:rFonts w:ascii="Times New Roman" w:hAnsi="Times New Roman" w:eastAsia="仿宋_GB2312" w:cs="Times New Roman"/>
                <w:color w:val="auto"/>
                <w:kern w:val="2"/>
                <w:sz w:val="21"/>
                <w:szCs w:val="21"/>
                <w:lang w:val="en-US" w:eastAsia="zh-CN" w:bidi="ar-SA"/>
              </w:rPr>
            </w:pPr>
            <w:r>
              <w:rPr>
                <w:rFonts w:eastAsia="仿宋_GB2312"/>
                <w:color w:val="auto"/>
                <w:szCs w:val="21"/>
              </w:rPr>
              <w:t>B-7车间</w:t>
            </w:r>
          </w:p>
        </w:tc>
        <w:tc>
          <w:tcPr>
            <w:tcW w:w="358" w:type="pct"/>
            <w:vMerge w:val="restart"/>
            <w:shd w:val="clear" w:color="auto" w:fill="auto"/>
            <w:vAlign w:val="center"/>
          </w:tcPr>
          <w:p w14:paraId="77E2FD04">
            <w:pPr>
              <w:jc w:val="center"/>
              <w:rPr>
                <w:rFonts w:hint="eastAsia"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kern w:val="2"/>
                <w:sz w:val="21"/>
                <w:szCs w:val="21"/>
                <w:lang w:val="en-US" w:eastAsia="zh-CN" w:bidi="ar-SA"/>
              </w:rPr>
              <w:t>环戊酮</w:t>
            </w:r>
          </w:p>
        </w:tc>
        <w:tc>
          <w:tcPr>
            <w:tcW w:w="418" w:type="pct"/>
            <w:vMerge w:val="restart"/>
            <w:shd w:val="clear" w:color="auto" w:fill="auto"/>
            <w:vAlign w:val="center"/>
          </w:tcPr>
          <w:p w14:paraId="25B17745">
            <w:pPr>
              <w:jc w:val="center"/>
              <w:rPr>
                <w:rFonts w:eastAsia="仿宋_GB2312"/>
                <w:color w:val="auto"/>
                <w:kern w:val="0"/>
                <w:szCs w:val="21"/>
                <w:lang w:bidi="ar"/>
              </w:rPr>
            </w:pPr>
            <w:r>
              <w:rPr>
                <w:rFonts w:eastAsia="仿宋_GB2312"/>
                <w:color w:val="auto"/>
                <w:kern w:val="0"/>
                <w:szCs w:val="21"/>
                <w:lang w:bidi="ar"/>
              </w:rPr>
              <w:t>G</w:t>
            </w:r>
            <w:r>
              <w:rPr>
                <w:rFonts w:hint="eastAsia" w:eastAsia="仿宋_GB2312"/>
                <w:color w:val="auto"/>
                <w:kern w:val="0"/>
                <w:szCs w:val="21"/>
                <w:lang w:val="en-US" w:eastAsia="zh-CN" w:bidi="ar"/>
              </w:rPr>
              <w:t>3</w:t>
            </w:r>
            <w:r>
              <w:rPr>
                <w:rFonts w:eastAsia="仿宋_GB2312"/>
                <w:color w:val="auto"/>
                <w:kern w:val="0"/>
                <w:szCs w:val="21"/>
                <w:lang w:bidi="ar"/>
              </w:rPr>
              <w:t>-</w:t>
            </w:r>
            <w:r>
              <w:rPr>
                <w:rFonts w:hint="eastAsia" w:eastAsia="仿宋_GB2312"/>
                <w:color w:val="auto"/>
                <w:kern w:val="0"/>
                <w:szCs w:val="21"/>
                <w:lang w:val="en-US" w:eastAsia="zh-CN" w:bidi="ar"/>
              </w:rPr>
              <w:t>11</w:t>
            </w:r>
            <w:r>
              <w:rPr>
                <w:rFonts w:eastAsia="仿宋_GB2312"/>
                <w:color w:val="auto"/>
                <w:kern w:val="0"/>
                <w:szCs w:val="21"/>
                <w:lang w:bidi="ar"/>
              </w:rPr>
              <w:t>-1</w:t>
            </w:r>
          </w:p>
        </w:tc>
        <w:tc>
          <w:tcPr>
            <w:tcW w:w="446" w:type="pct"/>
            <w:vMerge w:val="restart"/>
            <w:shd w:val="clear" w:color="auto" w:fill="auto"/>
            <w:vAlign w:val="center"/>
          </w:tcPr>
          <w:p w14:paraId="3812B4F2">
            <w:pPr>
              <w:jc w:val="center"/>
              <w:rPr>
                <w:rFonts w:eastAsia="仿宋_GB2312"/>
                <w:color w:val="auto"/>
                <w:kern w:val="0"/>
                <w:szCs w:val="21"/>
                <w:lang w:bidi="ar"/>
              </w:rPr>
            </w:pPr>
            <w:r>
              <w:rPr>
                <w:rFonts w:eastAsia="仿宋_GB2312"/>
                <w:color w:val="auto"/>
                <w:kern w:val="0"/>
                <w:szCs w:val="21"/>
                <w:lang w:bidi="ar"/>
              </w:rPr>
              <w:t>投料废气</w:t>
            </w:r>
          </w:p>
        </w:tc>
        <w:tc>
          <w:tcPr>
            <w:tcW w:w="361" w:type="pct"/>
            <w:vMerge w:val="restart"/>
            <w:vAlign w:val="center"/>
          </w:tcPr>
          <w:p w14:paraId="0BC2F5C1">
            <w:pPr>
              <w:jc w:val="center"/>
              <w:rPr>
                <w:rFonts w:hint="default" w:eastAsia="仿宋_GB2312"/>
                <w:color w:val="auto"/>
                <w:szCs w:val="21"/>
                <w:lang w:val="en-US" w:eastAsia="zh-CN"/>
              </w:rPr>
            </w:pPr>
            <w:r>
              <w:rPr>
                <w:rFonts w:hint="eastAsia" w:eastAsia="仿宋_GB2312"/>
                <w:color w:val="auto"/>
                <w:szCs w:val="21"/>
                <w:lang w:val="en-US" w:eastAsia="zh-CN"/>
              </w:rPr>
              <w:t>2000</w:t>
            </w:r>
          </w:p>
        </w:tc>
        <w:tc>
          <w:tcPr>
            <w:tcW w:w="498" w:type="pct"/>
            <w:vMerge w:val="restart"/>
            <w:shd w:val="clear" w:color="auto" w:fill="auto"/>
            <w:vAlign w:val="center"/>
          </w:tcPr>
          <w:p w14:paraId="60C7CC61">
            <w:pPr>
              <w:keepNext w:val="0"/>
              <w:keepLines w:val="0"/>
              <w:widowControl/>
              <w:suppressLineNumbers w:val="0"/>
              <w:jc w:val="center"/>
              <w:textAlignment w:val="bottom"/>
              <w:rPr>
                <w:rFonts w:hint="eastAsia" w:eastAsia="仿宋_GB2312"/>
                <w:color w:val="auto"/>
                <w:kern w:val="0"/>
                <w:szCs w:val="21"/>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200</w:t>
            </w:r>
          </w:p>
        </w:tc>
        <w:tc>
          <w:tcPr>
            <w:tcW w:w="820" w:type="pct"/>
            <w:shd w:val="clear" w:color="auto" w:fill="auto"/>
            <w:vAlign w:val="center"/>
          </w:tcPr>
          <w:p w14:paraId="6290AB57">
            <w:pPr>
              <w:widowControl/>
              <w:jc w:val="center"/>
              <w:textAlignment w:val="center"/>
              <w:rPr>
                <w:rFonts w:hint="eastAsia" w:ascii="Times New Roman" w:hAnsi="Times New Roman" w:eastAsia="仿宋_GB2312" w:cs="Times New Roman"/>
                <w:b/>
                <w:bCs/>
                <w:color w:val="auto"/>
                <w:kern w:val="0"/>
                <w:sz w:val="21"/>
                <w:szCs w:val="21"/>
                <w:lang w:val="en-US" w:eastAsia="zh-CN" w:bidi="ar"/>
              </w:rPr>
            </w:pPr>
            <w:r>
              <w:rPr>
                <w:rFonts w:hint="eastAsia" w:eastAsia="仿宋_GB2312"/>
                <w:color w:val="auto"/>
                <w:kern w:val="0"/>
                <w:szCs w:val="21"/>
                <w:lang w:val="en-US" w:eastAsia="zh-CN" w:bidi="ar"/>
              </w:rPr>
              <w:t>环戊酮</w:t>
            </w:r>
          </w:p>
        </w:tc>
        <w:tc>
          <w:tcPr>
            <w:tcW w:w="380" w:type="pct"/>
            <w:shd w:val="clear" w:color="auto" w:fill="auto"/>
            <w:vAlign w:val="center"/>
          </w:tcPr>
          <w:p w14:paraId="48B68E66">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2.88</w:t>
            </w:r>
          </w:p>
        </w:tc>
        <w:tc>
          <w:tcPr>
            <w:tcW w:w="445" w:type="pct"/>
            <w:shd w:val="clear" w:color="auto" w:fill="auto"/>
            <w:vAlign w:val="center"/>
          </w:tcPr>
          <w:p w14:paraId="141F9698">
            <w:pPr>
              <w:widowControl/>
              <w:jc w:val="center"/>
              <w:textAlignment w:val="center"/>
              <w:rPr>
                <w:rFonts w:hint="eastAsia" w:ascii="Times New Roman" w:hAnsi="Times New Roman" w:eastAsia="仿宋_GB2312" w:cs="Times New Roman"/>
                <w:color w:val="auto"/>
                <w:kern w:val="0"/>
                <w:sz w:val="21"/>
                <w:szCs w:val="21"/>
                <w:lang w:val="en-US" w:eastAsia="zh-CN" w:bidi="ar"/>
              </w:rPr>
            </w:pPr>
            <w:r>
              <w:rPr>
                <w:rFonts w:hint="eastAsia" w:ascii="Times New Roman" w:hAnsi="Times New Roman" w:eastAsia="仿宋_GB2312" w:cs="Times New Roman"/>
                <w:color w:val="auto"/>
                <w:kern w:val="0"/>
                <w:szCs w:val="21"/>
                <w:lang w:val="en-US" w:eastAsia="zh-CN" w:bidi="ar"/>
              </w:rPr>
              <w:t>0.576</w:t>
            </w:r>
          </w:p>
        </w:tc>
        <w:tc>
          <w:tcPr>
            <w:tcW w:w="630" w:type="pct"/>
            <w:vMerge w:val="continue"/>
            <w:shd w:val="clear" w:color="auto" w:fill="auto"/>
            <w:vAlign w:val="center"/>
          </w:tcPr>
          <w:p w14:paraId="008BA1C4">
            <w:pPr>
              <w:jc w:val="center"/>
              <w:rPr>
                <w:rFonts w:hint="eastAsia" w:ascii="Times New Roman" w:hAnsi="Times New Roman" w:eastAsia="仿宋_GB2312" w:cs="Times New Roman"/>
                <w:color w:val="auto"/>
                <w:kern w:val="2"/>
                <w:sz w:val="21"/>
                <w:szCs w:val="21"/>
                <w:lang w:val="en-US" w:eastAsia="zh-CN" w:bidi="ar-SA"/>
              </w:rPr>
            </w:pPr>
          </w:p>
        </w:tc>
        <w:tc>
          <w:tcPr>
            <w:tcW w:w="292" w:type="pct"/>
            <w:vMerge w:val="continue"/>
            <w:shd w:val="clear" w:color="auto" w:fill="auto"/>
            <w:vAlign w:val="center"/>
          </w:tcPr>
          <w:p w14:paraId="290451D6">
            <w:pPr>
              <w:jc w:val="center"/>
              <w:rPr>
                <w:rFonts w:hint="eastAsia" w:ascii="Times New Roman" w:hAnsi="Times New Roman" w:eastAsia="仿宋_GB2312" w:cs="Times New Roman"/>
                <w:color w:val="auto"/>
                <w:kern w:val="2"/>
                <w:sz w:val="21"/>
                <w:szCs w:val="21"/>
                <w:lang w:val="en-US" w:eastAsia="zh-CN" w:bidi="ar-SA"/>
              </w:rPr>
            </w:pPr>
          </w:p>
        </w:tc>
      </w:tr>
      <w:tr w14:paraId="1BE156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4F2392C1">
            <w:pPr>
              <w:jc w:val="center"/>
              <w:rPr>
                <w:rFonts w:eastAsia="仿宋_GB2312"/>
                <w:color w:val="auto"/>
                <w:szCs w:val="21"/>
              </w:rPr>
            </w:pPr>
          </w:p>
        </w:tc>
        <w:tc>
          <w:tcPr>
            <w:tcW w:w="358" w:type="pct"/>
            <w:vMerge w:val="continue"/>
            <w:vAlign w:val="center"/>
          </w:tcPr>
          <w:p w14:paraId="03105A2B">
            <w:pPr>
              <w:jc w:val="center"/>
              <w:rPr>
                <w:rFonts w:eastAsia="仿宋_GB2312"/>
                <w:color w:val="auto"/>
                <w:szCs w:val="21"/>
              </w:rPr>
            </w:pPr>
          </w:p>
        </w:tc>
        <w:tc>
          <w:tcPr>
            <w:tcW w:w="418" w:type="pct"/>
            <w:vMerge w:val="continue"/>
            <w:vAlign w:val="center"/>
          </w:tcPr>
          <w:p w14:paraId="4B4CE8FC">
            <w:pPr>
              <w:jc w:val="center"/>
              <w:rPr>
                <w:rFonts w:eastAsia="仿宋_GB2312"/>
                <w:color w:val="auto"/>
                <w:kern w:val="0"/>
                <w:szCs w:val="21"/>
                <w:lang w:bidi="ar"/>
              </w:rPr>
            </w:pPr>
          </w:p>
        </w:tc>
        <w:tc>
          <w:tcPr>
            <w:tcW w:w="446" w:type="pct"/>
            <w:vMerge w:val="continue"/>
            <w:vAlign w:val="center"/>
          </w:tcPr>
          <w:p w14:paraId="0E2CC258">
            <w:pPr>
              <w:jc w:val="center"/>
              <w:rPr>
                <w:rFonts w:eastAsia="仿宋_GB2312"/>
                <w:color w:val="auto"/>
                <w:kern w:val="0"/>
                <w:szCs w:val="21"/>
                <w:lang w:bidi="ar"/>
              </w:rPr>
            </w:pPr>
          </w:p>
        </w:tc>
        <w:tc>
          <w:tcPr>
            <w:tcW w:w="361" w:type="pct"/>
            <w:vMerge w:val="continue"/>
            <w:vAlign w:val="center"/>
          </w:tcPr>
          <w:p w14:paraId="2EEAD6B7">
            <w:pPr>
              <w:jc w:val="center"/>
              <w:rPr>
                <w:rFonts w:hint="eastAsia" w:eastAsia="仿宋_GB2312"/>
                <w:color w:val="auto"/>
                <w:szCs w:val="21"/>
                <w:lang w:val="en-US" w:eastAsia="zh-CN"/>
              </w:rPr>
            </w:pPr>
          </w:p>
        </w:tc>
        <w:tc>
          <w:tcPr>
            <w:tcW w:w="498" w:type="pct"/>
            <w:vMerge w:val="continue"/>
            <w:shd w:val="clear" w:color="auto" w:fill="auto"/>
            <w:vAlign w:val="center"/>
          </w:tcPr>
          <w:p w14:paraId="46609FFE">
            <w:pPr>
              <w:keepNext w:val="0"/>
              <w:keepLines w:val="0"/>
              <w:widowControl/>
              <w:suppressLineNumbers w:val="0"/>
              <w:jc w:val="center"/>
              <w:textAlignment w:val="bottom"/>
              <w:rPr>
                <w:rFonts w:eastAsia="仿宋_GB2312"/>
                <w:color w:val="auto"/>
                <w:kern w:val="0"/>
                <w:szCs w:val="21"/>
                <w:lang w:bidi="ar"/>
              </w:rPr>
            </w:pPr>
          </w:p>
        </w:tc>
        <w:tc>
          <w:tcPr>
            <w:tcW w:w="820" w:type="pct"/>
            <w:shd w:val="clear" w:color="auto" w:fill="auto"/>
            <w:vAlign w:val="center"/>
          </w:tcPr>
          <w:p w14:paraId="48D3763A">
            <w:pPr>
              <w:widowControl/>
              <w:jc w:val="center"/>
              <w:textAlignment w:val="center"/>
              <w:rPr>
                <w:rFonts w:hint="eastAsia" w:ascii="Times New Roman" w:hAnsi="Times New Roman" w:eastAsia="仿宋_GB2312" w:cs="Times New Roman"/>
                <w:b/>
                <w:bCs/>
                <w:color w:val="auto"/>
                <w:kern w:val="0"/>
                <w:sz w:val="21"/>
                <w:szCs w:val="21"/>
                <w:lang w:val="en-US" w:eastAsia="zh-CN" w:bidi="ar"/>
              </w:rPr>
            </w:pPr>
            <w:r>
              <w:rPr>
                <w:rFonts w:eastAsia="仿宋_GB2312"/>
                <w:color w:val="auto"/>
                <w:kern w:val="0"/>
                <w:szCs w:val="21"/>
                <w:lang w:bidi="ar"/>
              </w:rPr>
              <w:t>其他有机物</w:t>
            </w:r>
          </w:p>
        </w:tc>
        <w:tc>
          <w:tcPr>
            <w:tcW w:w="380" w:type="pct"/>
            <w:shd w:val="clear" w:color="auto" w:fill="auto"/>
            <w:vAlign w:val="center"/>
          </w:tcPr>
          <w:p w14:paraId="7E5E1DD0">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0.0345</w:t>
            </w:r>
          </w:p>
        </w:tc>
        <w:tc>
          <w:tcPr>
            <w:tcW w:w="445" w:type="pct"/>
            <w:shd w:val="clear" w:color="auto" w:fill="auto"/>
            <w:vAlign w:val="center"/>
          </w:tcPr>
          <w:p w14:paraId="3AEA0F24">
            <w:pPr>
              <w:widowControl/>
              <w:jc w:val="center"/>
              <w:textAlignment w:val="center"/>
              <w:rPr>
                <w:rFonts w:hint="eastAsia" w:ascii="Times New Roman" w:hAnsi="Times New Roman" w:eastAsia="仿宋_GB2312" w:cs="Times New Roman"/>
                <w:color w:val="auto"/>
                <w:kern w:val="0"/>
                <w:sz w:val="21"/>
                <w:szCs w:val="21"/>
                <w:lang w:val="en-US" w:eastAsia="zh-CN" w:bidi="ar"/>
              </w:rPr>
            </w:pPr>
            <w:r>
              <w:rPr>
                <w:rFonts w:hint="eastAsia" w:ascii="Times New Roman" w:hAnsi="Times New Roman" w:eastAsia="仿宋_GB2312" w:cs="Times New Roman"/>
                <w:color w:val="auto"/>
                <w:kern w:val="0"/>
                <w:szCs w:val="21"/>
                <w:lang w:val="en-US" w:eastAsia="zh-CN" w:bidi="ar"/>
              </w:rPr>
              <w:t>0.0069</w:t>
            </w:r>
          </w:p>
        </w:tc>
        <w:tc>
          <w:tcPr>
            <w:tcW w:w="630" w:type="pct"/>
            <w:vMerge w:val="continue"/>
            <w:shd w:val="clear" w:color="auto" w:fill="auto"/>
            <w:vAlign w:val="center"/>
          </w:tcPr>
          <w:p w14:paraId="01FACC98">
            <w:pPr>
              <w:jc w:val="center"/>
              <w:rPr>
                <w:rFonts w:hint="eastAsia" w:eastAsia="仿宋_GB2312"/>
                <w:color w:val="auto"/>
                <w:szCs w:val="21"/>
              </w:rPr>
            </w:pPr>
          </w:p>
        </w:tc>
        <w:tc>
          <w:tcPr>
            <w:tcW w:w="292" w:type="pct"/>
            <w:vMerge w:val="continue"/>
            <w:shd w:val="clear" w:color="auto" w:fill="auto"/>
            <w:vAlign w:val="center"/>
          </w:tcPr>
          <w:p w14:paraId="0A631D68">
            <w:pPr>
              <w:jc w:val="center"/>
              <w:rPr>
                <w:rFonts w:hint="eastAsia" w:eastAsia="仿宋_GB2312"/>
                <w:color w:val="auto"/>
              </w:rPr>
            </w:pPr>
          </w:p>
        </w:tc>
      </w:tr>
      <w:tr w14:paraId="05FEC9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5B233F27">
            <w:pPr>
              <w:jc w:val="center"/>
              <w:rPr>
                <w:rFonts w:eastAsia="仿宋_GB2312"/>
                <w:color w:val="auto"/>
                <w:szCs w:val="21"/>
              </w:rPr>
            </w:pPr>
          </w:p>
        </w:tc>
        <w:tc>
          <w:tcPr>
            <w:tcW w:w="358" w:type="pct"/>
            <w:vMerge w:val="continue"/>
            <w:vAlign w:val="center"/>
          </w:tcPr>
          <w:p w14:paraId="3850BF3B">
            <w:pPr>
              <w:jc w:val="center"/>
              <w:rPr>
                <w:rFonts w:eastAsia="仿宋_GB2312"/>
                <w:color w:val="auto"/>
                <w:szCs w:val="21"/>
              </w:rPr>
            </w:pPr>
          </w:p>
        </w:tc>
        <w:tc>
          <w:tcPr>
            <w:tcW w:w="418" w:type="pct"/>
            <w:vMerge w:val="restart"/>
            <w:shd w:val="clear" w:color="auto" w:fill="auto"/>
            <w:vAlign w:val="center"/>
          </w:tcPr>
          <w:p w14:paraId="1D5CE5CA">
            <w:pPr>
              <w:jc w:val="center"/>
              <w:rPr>
                <w:rFonts w:eastAsia="仿宋_GB2312"/>
                <w:color w:val="auto"/>
                <w:kern w:val="0"/>
                <w:szCs w:val="21"/>
                <w:lang w:bidi="ar"/>
              </w:rPr>
            </w:pPr>
            <w:r>
              <w:rPr>
                <w:rFonts w:eastAsia="仿宋_GB2312"/>
                <w:color w:val="auto"/>
                <w:kern w:val="0"/>
                <w:szCs w:val="21"/>
                <w:lang w:bidi="ar"/>
              </w:rPr>
              <w:t>G</w:t>
            </w:r>
            <w:r>
              <w:rPr>
                <w:rFonts w:hint="eastAsia" w:eastAsia="仿宋_GB2312"/>
                <w:color w:val="auto"/>
                <w:kern w:val="0"/>
                <w:szCs w:val="21"/>
                <w:lang w:val="en-US" w:eastAsia="zh-CN" w:bidi="ar"/>
              </w:rPr>
              <w:t>3</w:t>
            </w:r>
            <w:r>
              <w:rPr>
                <w:rFonts w:eastAsia="仿宋_GB2312"/>
                <w:color w:val="auto"/>
                <w:kern w:val="0"/>
                <w:szCs w:val="21"/>
                <w:lang w:bidi="ar"/>
              </w:rPr>
              <w:t>-</w:t>
            </w:r>
            <w:r>
              <w:rPr>
                <w:rFonts w:hint="eastAsia" w:eastAsia="仿宋_GB2312"/>
                <w:color w:val="auto"/>
                <w:kern w:val="0"/>
                <w:szCs w:val="21"/>
                <w:lang w:val="en-US" w:eastAsia="zh-CN" w:bidi="ar"/>
              </w:rPr>
              <w:t>11-</w:t>
            </w:r>
            <w:r>
              <w:rPr>
                <w:rFonts w:eastAsia="仿宋_GB2312"/>
                <w:color w:val="auto"/>
                <w:kern w:val="0"/>
                <w:szCs w:val="21"/>
                <w:lang w:bidi="ar"/>
              </w:rPr>
              <w:t>2</w:t>
            </w:r>
          </w:p>
        </w:tc>
        <w:tc>
          <w:tcPr>
            <w:tcW w:w="446" w:type="pct"/>
            <w:vMerge w:val="restart"/>
            <w:shd w:val="clear" w:color="auto" w:fill="auto"/>
            <w:vAlign w:val="center"/>
          </w:tcPr>
          <w:p w14:paraId="478CADF6">
            <w:pPr>
              <w:jc w:val="center"/>
              <w:rPr>
                <w:rFonts w:eastAsia="仿宋_GB2312"/>
                <w:color w:val="auto"/>
                <w:kern w:val="0"/>
                <w:szCs w:val="21"/>
                <w:lang w:bidi="ar"/>
              </w:rPr>
            </w:pPr>
            <w:r>
              <w:rPr>
                <w:rFonts w:eastAsia="仿宋_GB2312"/>
                <w:color w:val="auto"/>
                <w:kern w:val="0"/>
                <w:szCs w:val="21"/>
                <w:lang w:bidi="ar"/>
              </w:rPr>
              <w:t>调节废气</w:t>
            </w:r>
          </w:p>
        </w:tc>
        <w:tc>
          <w:tcPr>
            <w:tcW w:w="361" w:type="pct"/>
            <w:vMerge w:val="restart"/>
            <w:vAlign w:val="center"/>
          </w:tcPr>
          <w:p w14:paraId="2DD9E9AF">
            <w:pPr>
              <w:jc w:val="center"/>
              <w:rPr>
                <w:rFonts w:hint="default" w:eastAsia="仿宋_GB2312"/>
                <w:color w:val="auto"/>
                <w:szCs w:val="21"/>
                <w:lang w:val="en-US" w:eastAsia="zh-CN"/>
              </w:rPr>
            </w:pPr>
            <w:r>
              <w:rPr>
                <w:rFonts w:hint="eastAsia" w:eastAsia="仿宋_GB2312"/>
                <w:color w:val="auto"/>
                <w:szCs w:val="21"/>
                <w:lang w:val="en-US" w:eastAsia="zh-CN"/>
              </w:rPr>
              <w:t>100</w:t>
            </w:r>
          </w:p>
        </w:tc>
        <w:tc>
          <w:tcPr>
            <w:tcW w:w="498" w:type="pct"/>
            <w:vMerge w:val="restart"/>
            <w:shd w:val="clear" w:color="auto" w:fill="auto"/>
            <w:vAlign w:val="center"/>
          </w:tcPr>
          <w:p w14:paraId="227363B8">
            <w:pPr>
              <w:keepNext w:val="0"/>
              <w:keepLines w:val="0"/>
              <w:widowControl/>
              <w:suppressLineNumbers w:val="0"/>
              <w:jc w:val="center"/>
              <w:textAlignment w:val="bottom"/>
              <w:rPr>
                <w:rFonts w:hint="eastAsia" w:eastAsia="仿宋_GB2312"/>
                <w:color w:val="auto"/>
                <w:kern w:val="0"/>
                <w:szCs w:val="21"/>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200</w:t>
            </w:r>
          </w:p>
        </w:tc>
        <w:tc>
          <w:tcPr>
            <w:tcW w:w="820" w:type="pct"/>
            <w:shd w:val="clear" w:color="auto" w:fill="auto"/>
            <w:vAlign w:val="center"/>
          </w:tcPr>
          <w:p w14:paraId="538D5465">
            <w:pPr>
              <w:widowControl/>
              <w:jc w:val="center"/>
              <w:textAlignment w:val="center"/>
              <w:rPr>
                <w:rFonts w:hint="eastAsia" w:ascii="Times New Roman" w:hAnsi="Times New Roman" w:eastAsia="仿宋_GB2312" w:cs="Times New Roman"/>
                <w:b/>
                <w:bCs/>
                <w:color w:val="auto"/>
                <w:kern w:val="0"/>
                <w:sz w:val="21"/>
                <w:szCs w:val="21"/>
                <w:lang w:val="en-US" w:eastAsia="zh-CN" w:bidi="ar"/>
              </w:rPr>
            </w:pPr>
            <w:r>
              <w:rPr>
                <w:rFonts w:hint="eastAsia" w:eastAsia="仿宋_GB2312"/>
                <w:color w:val="auto"/>
                <w:kern w:val="0"/>
                <w:szCs w:val="21"/>
                <w:lang w:val="en-US" w:eastAsia="zh-CN" w:bidi="ar"/>
              </w:rPr>
              <w:t>环戊酮</w:t>
            </w:r>
          </w:p>
        </w:tc>
        <w:tc>
          <w:tcPr>
            <w:tcW w:w="380" w:type="pct"/>
            <w:shd w:val="clear" w:color="auto" w:fill="auto"/>
            <w:vAlign w:val="center"/>
          </w:tcPr>
          <w:p w14:paraId="346419D5">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1.455</w:t>
            </w:r>
          </w:p>
        </w:tc>
        <w:tc>
          <w:tcPr>
            <w:tcW w:w="445" w:type="pct"/>
            <w:shd w:val="clear" w:color="auto" w:fill="auto"/>
            <w:vAlign w:val="center"/>
          </w:tcPr>
          <w:p w14:paraId="5B1DD6C6">
            <w:pPr>
              <w:widowControl/>
              <w:jc w:val="center"/>
              <w:textAlignment w:val="center"/>
              <w:rPr>
                <w:rFonts w:hint="eastAsia"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0.291</w:t>
            </w:r>
          </w:p>
        </w:tc>
        <w:tc>
          <w:tcPr>
            <w:tcW w:w="630" w:type="pct"/>
            <w:vMerge w:val="restart"/>
            <w:shd w:val="clear" w:color="auto" w:fill="auto"/>
            <w:vAlign w:val="center"/>
          </w:tcPr>
          <w:p w14:paraId="2584F76A">
            <w:pPr>
              <w:widowControl/>
              <w:jc w:val="center"/>
              <w:textAlignment w:val="center"/>
              <w:rPr>
                <w:rFonts w:hint="eastAsia" w:ascii="Times New Roman" w:hAnsi="Times New Roman" w:eastAsia="仿宋_GB2312" w:cs="Times New Roman"/>
                <w:color w:val="auto"/>
                <w:kern w:val="2"/>
                <w:sz w:val="21"/>
                <w:szCs w:val="21"/>
                <w:lang w:val="en-US" w:eastAsia="zh-CN" w:bidi="ar-SA"/>
              </w:rPr>
            </w:pPr>
            <w:r>
              <w:rPr>
                <w:rFonts w:hint="eastAsia" w:eastAsia="仿宋_GB2312"/>
                <w:color w:val="auto"/>
                <w:szCs w:val="21"/>
              </w:rPr>
              <w:t>预处理（冷凝+稀酸吸收+碱吸收+水吸收+除雾）+</w:t>
            </w:r>
            <w:r>
              <w:rPr>
                <w:rFonts w:eastAsia="仿宋_GB2312"/>
                <w:color w:val="auto"/>
                <w:szCs w:val="21"/>
              </w:rPr>
              <w:t>焚烧</w:t>
            </w:r>
          </w:p>
        </w:tc>
        <w:tc>
          <w:tcPr>
            <w:tcW w:w="292" w:type="pct"/>
            <w:vMerge w:val="restart"/>
            <w:shd w:val="clear" w:color="auto" w:fill="auto"/>
            <w:vAlign w:val="center"/>
          </w:tcPr>
          <w:p w14:paraId="10FB75B8">
            <w:pPr>
              <w:widowControl/>
              <w:jc w:val="center"/>
              <w:textAlignment w:val="center"/>
              <w:rPr>
                <w:rFonts w:hint="eastAsia" w:ascii="Times New Roman" w:hAnsi="Times New Roman" w:eastAsia="仿宋_GB2312" w:cs="Times New Roman"/>
                <w:color w:val="auto"/>
                <w:kern w:val="2"/>
                <w:sz w:val="21"/>
                <w:szCs w:val="21"/>
                <w:lang w:val="en-US" w:eastAsia="zh-CN" w:bidi="ar-SA"/>
              </w:rPr>
            </w:pPr>
            <w:r>
              <w:rPr>
                <w:rFonts w:hint="eastAsia" w:eastAsia="仿宋_GB2312"/>
                <w:color w:val="auto"/>
                <w:kern w:val="0"/>
                <w:szCs w:val="21"/>
                <w:lang w:bidi="ar"/>
              </w:rPr>
              <w:t>DA002</w:t>
            </w:r>
          </w:p>
        </w:tc>
      </w:tr>
      <w:tr w14:paraId="0211D0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3719BA33">
            <w:pPr>
              <w:jc w:val="center"/>
              <w:rPr>
                <w:rFonts w:eastAsia="仿宋_GB2312"/>
                <w:color w:val="auto"/>
                <w:szCs w:val="21"/>
              </w:rPr>
            </w:pPr>
          </w:p>
        </w:tc>
        <w:tc>
          <w:tcPr>
            <w:tcW w:w="358" w:type="pct"/>
            <w:vMerge w:val="continue"/>
            <w:vAlign w:val="center"/>
          </w:tcPr>
          <w:p w14:paraId="3BD0CFF1">
            <w:pPr>
              <w:jc w:val="center"/>
              <w:rPr>
                <w:rFonts w:eastAsia="仿宋_GB2312"/>
                <w:color w:val="auto"/>
                <w:szCs w:val="21"/>
              </w:rPr>
            </w:pPr>
          </w:p>
        </w:tc>
        <w:tc>
          <w:tcPr>
            <w:tcW w:w="418" w:type="pct"/>
            <w:vMerge w:val="continue"/>
            <w:vAlign w:val="center"/>
          </w:tcPr>
          <w:p w14:paraId="2080599D">
            <w:pPr>
              <w:jc w:val="center"/>
              <w:rPr>
                <w:rFonts w:eastAsia="仿宋_GB2312"/>
                <w:color w:val="auto"/>
                <w:kern w:val="0"/>
                <w:szCs w:val="21"/>
                <w:lang w:bidi="ar"/>
              </w:rPr>
            </w:pPr>
          </w:p>
        </w:tc>
        <w:tc>
          <w:tcPr>
            <w:tcW w:w="446" w:type="pct"/>
            <w:vMerge w:val="continue"/>
            <w:vAlign w:val="center"/>
          </w:tcPr>
          <w:p w14:paraId="2BA536CF">
            <w:pPr>
              <w:jc w:val="center"/>
              <w:rPr>
                <w:rFonts w:eastAsia="仿宋_GB2312"/>
                <w:color w:val="auto"/>
                <w:kern w:val="0"/>
                <w:szCs w:val="21"/>
                <w:lang w:bidi="ar"/>
              </w:rPr>
            </w:pPr>
          </w:p>
        </w:tc>
        <w:tc>
          <w:tcPr>
            <w:tcW w:w="361" w:type="pct"/>
            <w:vMerge w:val="continue"/>
            <w:vAlign w:val="center"/>
          </w:tcPr>
          <w:p w14:paraId="1F0C79D0">
            <w:pPr>
              <w:jc w:val="center"/>
              <w:rPr>
                <w:rFonts w:hint="eastAsia" w:eastAsia="仿宋_GB2312"/>
                <w:color w:val="auto"/>
                <w:szCs w:val="21"/>
                <w:lang w:val="en-US" w:eastAsia="zh-CN"/>
              </w:rPr>
            </w:pPr>
          </w:p>
        </w:tc>
        <w:tc>
          <w:tcPr>
            <w:tcW w:w="498" w:type="pct"/>
            <w:vMerge w:val="continue"/>
            <w:shd w:val="clear" w:color="auto" w:fill="auto"/>
            <w:vAlign w:val="center"/>
          </w:tcPr>
          <w:p w14:paraId="58FB7866">
            <w:pPr>
              <w:keepNext w:val="0"/>
              <w:keepLines w:val="0"/>
              <w:widowControl/>
              <w:suppressLineNumbers w:val="0"/>
              <w:jc w:val="center"/>
              <w:textAlignment w:val="bottom"/>
              <w:rPr>
                <w:rFonts w:eastAsia="仿宋_GB2312"/>
                <w:color w:val="auto"/>
                <w:kern w:val="0"/>
                <w:szCs w:val="21"/>
                <w:lang w:bidi="ar"/>
              </w:rPr>
            </w:pPr>
          </w:p>
        </w:tc>
        <w:tc>
          <w:tcPr>
            <w:tcW w:w="820" w:type="pct"/>
            <w:shd w:val="clear" w:color="auto" w:fill="auto"/>
            <w:vAlign w:val="center"/>
          </w:tcPr>
          <w:p w14:paraId="57FFFC1F">
            <w:pPr>
              <w:widowControl/>
              <w:jc w:val="center"/>
              <w:textAlignment w:val="center"/>
              <w:rPr>
                <w:rFonts w:hint="eastAsia" w:ascii="Times New Roman" w:hAnsi="Times New Roman" w:eastAsia="仿宋_GB2312" w:cs="Times New Roman"/>
                <w:b/>
                <w:bCs/>
                <w:color w:val="auto"/>
                <w:kern w:val="0"/>
                <w:sz w:val="21"/>
                <w:szCs w:val="21"/>
                <w:lang w:val="en-US" w:eastAsia="zh-CN" w:bidi="ar"/>
              </w:rPr>
            </w:pPr>
            <w:r>
              <w:rPr>
                <w:rFonts w:eastAsia="仿宋_GB2312"/>
                <w:color w:val="auto"/>
                <w:kern w:val="0"/>
                <w:szCs w:val="21"/>
                <w:lang w:bidi="ar"/>
              </w:rPr>
              <w:t>其他有机物</w:t>
            </w:r>
          </w:p>
        </w:tc>
        <w:tc>
          <w:tcPr>
            <w:tcW w:w="380" w:type="pct"/>
            <w:shd w:val="clear" w:color="auto" w:fill="auto"/>
            <w:vAlign w:val="center"/>
          </w:tcPr>
          <w:p w14:paraId="2BE9A478">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0.02</w:t>
            </w:r>
          </w:p>
        </w:tc>
        <w:tc>
          <w:tcPr>
            <w:tcW w:w="445" w:type="pct"/>
            <w:shd w:val="clear" w:color="auto" w:fill="auto"/>
            <w:vAlign w:val="center"/>
          </w:tcPr>
          <w:p w14:paraId="05F18994">
            <w:pPr>
              <w:widowControl/>
              <w:jc w:val="center"/>
              <w:textAlignment w:val="center"/>
              <w:rPr>
                <w:rFonts w:hint="eastAsia"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0.004</w:t>
            </w:r>
          </w:p>
        </w:tc>
        <w:tc>
          <w:tcPr>
            <w:tcW w:w="630" w:type="pct"/>
            <w:vMerge w:val="continue"/>
            <w:shd w:val="clear" w:color="auto" w:fill="auto"/>
            <w:vAlign w:val="center"/>
          </w:tcPr>
          <w:p w14:paraId="122621F3">
            <w:pPr>
              <w:jc w:val="center"/>
              <w:rPr>
                <w:rFonts w:hint="eastAsia" w:eastAsia="仿宋_GB2312"/>
                <w:color w:val="auto"/>
                <w:szCs w:val="21"/>
              </w:rPr>
            </w:pPr>
          </w:p>
        </w:tc>
        <w:tc>
          <w:tcPr>
            <w:tcW w:w="292" w:type="pct"/>
            <w:vMerge w:val="continue"/>
            <w:shd w:val="clear" w:color="auto" w:fill="auto"/>
            <w:vAlign w:val="center"/>
          </w:tcPr>
          <w:p w14:paraId="37B99DE7">
            <w:pPr>
              <w:jc w:val="center"/>
              <w:rPr>
                <w:rFonts w:hint="eastAsia" w:eastAsia="仿宋_GB2312"/>
                <w:color w:val="auto"/>
              </w:rPr>
            </w:pPr>
          </w:p>
        </w:tc>
      </w:tr>
      <w:tr w14:paraId="009172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7948EAA8">
            <w:pPr>
              <w:jc w:val="center"/>
              <w:rPr>
                <w:rFonts w:eastAsia="仿宋_GB2312"/>
                <w:color w:val="auto"/>
                <w:szCs w:val="21"/>
              </w:rPr>
            </w:pPr>
          </w:p>
        </w:tc>
        <w:tc>
          <w:tcPr>
            <w:tcW w:w="358" w:type="pct"/>
            <w:vMerge w:val="continue"/>
            <w:vAlign w:val="center"/>
          </w:tcPr>
          <w:p w14:paraId="174D3EB9">
            <w:pPr>
              <w:jc w:val="center"/>
              <w:rPr>
                <w:rFonts w:eastAsia="仿宋_GB2312"/>
                <w:color w:val="auto"/>
                <w:szCs w:val="21"/>
              </w:rPr>
            </w:pPr>
          </w:p>
        </w:tc>
        <w:tc>
          <w:tcPr>
            <w:tcW w:w="418" w:type="pct"/>
            <w:vMerge w:val="restart"/>
            <w:shd w:val="clear" w:color="auto" w:fill="auto"/>
            <w:vAlign w:val="center"/>
          </w:tcPr>
          <w:p w14:paraId="105EF2B7">
            <w:pPr>
              <w:jc w:val="center"/>
              <w:rPr>
                <w:rFonts w:eastAsia="仿宋_GB2312"/>
                <w:color w:val="auto"/>
                <w:kern w:val="0"/>
                <w:szCs w:val="21"/>
                <w:lang w:bidi="ar"/>
              </w:rPr>
            </w:pPr>
            <w:r>
              <w:rPr>
                <w:rFonts w:eastAsia="仿宋_GB2312"/>
                <w:color w:val="auto"/>
                <w:kern w:val="0"/>
                <w:szCs w:val="21"/>
                <w:lang w:bidi="ar"/>
              </w:rPr>
              <w:t>G</w:t>
            </w:r>
            <w:r>
              <w:rPr>
                <w:rFonts w:hint="eastAsia" w:eastAsia="仿宋_GB2312"/>
                <w:color w:val="auto"/>
                <w:kern w:val="0"/>
                <w:szCs w:val="21"/>
                <w:lang w:val="en-US" w:eastAsia="zh-CN" w:bidi="ar"/>
              </w:rPr>
              <w:t>3</w:t>
            </w:r>
            <w:r>
              <w:rPr>
                <w:rFonts w:eastAsia="仿宋_GB2312"/>
                <w:color w:val="auto"/>
                <w:kern w:val="0"/>
                <w:szCs w:val="21"/>
                <w:lang w:bidi="ar"/>
              </w:rPr>
              <w:t>-</w:t>
            </w:r>
            <w:r>
              <w:rPr>
                <w:rFonts w:hint="eastAsia" w:eastAsia="仿宋_GB2312"/>
                <w:color w:val="auto"/>
                <w:kern w:val="0"/>
                <w:szCs w:val="21"/>
                <w:lang w:val="en-US" w:eastAsia="zh-CN" w:bidi="ar"/>
              </w:rPr>
              <w:t>11</w:t>
            </w:r>
            <w:r>
              <w:rPr>
                <w:rFonts w:eastAsia="仿宋_GB2312"/>
                <w:color w:val="auto"/>
                <w:kern w:val="0"/>
                <w:szCs w:val="21"/>
                <w:lang w:bidi="ar"/>
              </w:rPr>
              <w:t>-3</w:t>
            </w:r>
          </w:p>
        </w:tc>
        <w:tc>
          <w:tcPr>
            <w:tcW w:w="446" w:type="pct"/>
            <w:vMerge w:val="restart"/>
            <w:shd w:val="clear" w:color="auto" w:fill="auto"/>
            <w:vAlign w:val="center"/>
          </w:tcPr>
          <w:p w14:paraId="5216A889">
            <w:pPr>
              <w:jc w:val="center"/>
              <w:rPr>
                <w:rFonts w:eastAsia="仿宋_GB2312"/>
                <w:color w:val="auto"/>
                <w:kern w:val="0"/>
                <w:szCs w:val="21"/>
                <w:lang w:bidi="ar"/>
              </w:rPr>
            </w:pPr>
            <w:r>
              <w:rPr>
                <w:rFonts w:eastAsia="仿宋_GB2312"/>
                <w:color w:val="auto"/>
                <w:kern w:val="0"/>
                <w:szCs w:val="21"/>
                <w:lang w:bidi="ar"/>
              </w:rPr>
              <w:t>不凝气</w:t>
            </w:r>
          </w:p>
        </w:tc>
        <w:tc>
          <w:tcPr>
            <w:tcW w:w="361" w:type="pct"/>
            <w:vMerge w:val="restart"/>
            <w:vAlign w:val="center"/>
          </w:tcPr>
          <w:p w14:paraId="2A1DD2E0">
            <w:pPr>
              <w:jc w:val="center"/>
              <w:rPr>
                <w:rFonts w:hint="default" w:eastAsia="仿宋_GB2312"/>
                <w:color w:val="auto"/>
                <w:szCs w:val="21"/>
                <w:lang w:val="en-US" w:eastAsia="zh-CN"/>
              </w:rPr>
            </w:pPr>
            <w:r>
              <w:rPr>
                <w:rFonts w:hint="eastAsia" w:eastAsia="仿宋_GB2312"/>
                <w:color w:val="auto"/>
                <w:szCs w:val="21"/>
                <w:lang w:val="en-US" w:eastAsia="zh-CN"/>
              </w:rPr>
              <w:t>360</w:t>
            </w:r>
          </w:p>
        </w:tc>
        <w:tc>
          <w:tcPr>
            <w:tcW w:w="498" w:type="pct"/>
            <w:vMerge w:val="restart"/>
            <w:shd w:val="clear" w:color="auto" w:fill="auto"/>
            <w:vAlign w:val="center"/>
          </w:tcPr>
          <w:p w14:paraId="4B51FE87">
            <w:pPr>
              <w:keepNext w:val="0"/>
              <w:keepLines w:val="0"/>
              <w:widowControl/>
              <w:suppressLineNumbers w:val="0"/>
              <w:jc w:val="center"/>
              <w:textAlignment w:val="bottom"/>
              <w:rPr>
                <w:rFonts w:hint="eastAsia" w:eastAsia="仿宋_GB2312"/>
                <w:color w:val="auto"/>
                <w:kern w:val="0"/>
                <w:szCs w:val="21"/>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200</w:t>
            </w:r>
          </w:p>
        </w:tc>
        <w:tc>
          <w:tcPr>
            <w:tcW w:w="820" w:type="pct"/>
            <w:shd w:val="clear" w:color="auto" w:fill="auto"/>
            <w:vAlign w:val="center"/>
          </w:tcPr>
          <w:p w14:paraId="34AE15A3">
            <w:pPr>
              <w:widowControl/>
              <w:jc w:val="center"/>
              <w:textAlignment w:val="center"/>
              <w:rPr>
                <w:rFonts w:hint="eastAsia" w:ascii="Times New Roman" w:hAnsi="Times New Roman" w:eastAsia="仿宋_GB2312" w:cs="Times New Roman"/>
                <w:b/>
                <w:bCs/>
                <w:color w:val="auto"/>
                <w:kern w:val="0"/>
                <w:sz w:val="21"/>
                <w:szCs w:val="21"/>
                <w:lang w:val="en-US" w:eastAsia="zh-CN" w:bidi="ar"/>
              </w:rPr>
            </w:pPr>
            <w:r>
              <w:rPr>
                <w:rFonts w:hint="eastAsia" w:eastAsia="仿宋_GB2312"/>
                <w:color w:val="auto"/>
                <w:kern w:val="0"/>
                <w:szCs w:val="21"/>
                <w:lang w:val="en-US" w:eastAsia="zh-CN" w:bidi="ar"/>
              </w:rPr>
              <w:t>环戊酮</w:t>
            </w:r>
          </w:p>
        </w:tc>
        <w:tc>
          <w:tcPr>
            <w:tcW w:w="380" w:type="pct"/>
            <w:shd w:val="clear" w:color="auto" w:fill="auto"/>
            <w:vAlign w:val="center"/>
          </w:tcPr>
          <w:p w14:paraId="7E786CA9">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0.225</w:t>
            </w:r>
          </w:p>
        </w:tc>
        <w:tc>
          <w:tcPr>
            <w:tcW w:w="445" w:type="pct"/>
            <w:shd w:val="clear" w:color="auto" w:fill="auto"/>
            <w:vAlign w:val="center"/>
          </w:tcPr>
          <w:p w14:paraId="2C084342">
            <w:pPr>
              <w:widowControl/>
              <w:jc w:val="center"/>
              <w:textAlignment w:val="center"/>
              <w:rPr>
                <w:rFonts w:hint="eastAsia"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0.045</w:t>
            </w:r>
          </w:p>
        </w:tc>
        <w:tc>
          <w:tcPr>
            <w:tcW w:w="630" w:type="pct"/>
            <w:vMerge w:val="continue"/>
            <w:shd w:val="clear" w:color="auto" w:fill="auto"/>
            <w:vAlign w:val="center"/>
          </w:tcPr>
          <w:p w14:paraId="5B46F876">
            <w:pPr>
              <w:jc w:val="center"/>
              <w:rPr>
                <w:rFonts w:hint="eastAsia" w:eastAsia="仿宋_GB2312"/>
                <w:color w:val="auto"/>
                <w:szCs w:val="21"/>
              </w:rPr>
            </w:pPr>
          </w:p>
        </w:tc>
        <w:tc>
          <w:tcPr>
            <w:tcW w:w="292" w:type="pct"/>
            <w:vMerge w:val="continue"/>
            <w:shd w:val="clear" w:color="auto" w:fill="auto"/>
            <w:vAlign w:val="center"/>
          </w:tcPr>
          <w:p w14:paraId="43B2553E">
            <w:pPr>
              <w:jc w:val="center"/>
              <w:rPr>
                <w:rFonts w:hint="eastAsia" w:eastAsia="仿宋_GB2312"/>
                <w:color w:val="auto"/>
              </w:rPr>
            </w:pPr>
          </w:p>
        </w:tc>
      </w:tr>
      <w:tr w14:paraId="531B98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0FF7AEA4">
            <w:pPr>
              <w:jc w:val="center"/>
              <w:rPr>
                <w:rFonts w:eastAsia="仿宋_GB2312"/>
                <w:color w:val="auto"/>
                <w:szCs w:val="21"/>
              </w:rPr>
            </w:pPr>
          </w:p>
        </w:tc>
        <w:tc>
          <w:tcPr>
            <w:tcW w:w="358" w:type="pct"/>
            <w:vMerge w:val="continue"/>
            <w:vAlign w:val="center"/>
          </w:tcPr>
          <w:p w14:paraId="22CE7837">
            <w:pPr>
              <w:jc w:val="center"/>
              <w:rPr>
                <w:rFonts w:eastAsia="仿宋_GB2312"/>
                <w:color w:val="auto"/>
                <w:szCs w:val="21"/>
              </w:rPr>
            </w:pPr>
          </w:p>
        </w:tc>
        <w:tc>
          <w:tcPr>
            <w:tcW w:w="418" w:type="pct"/>
            <w:vMerge w:val="continue"/>
            <w:vAlign w:val="center"/>
          </w:tcPr>
          <w:p w14:paraId="63C22783">
            <w:pPr>
              <w:jc w:val="center"/>
              <w:rPr>
                <w:rFonts w:eastAsia="仿宋_GB2312"/>
                <w:color w:val="auto"/>
                <w:kern w:val="0"/>
                <w:szCs w:val="21"/>
                <w:lang w:bidi="ar"/>
              </w:rPr>
            </w:pPr>
          </w:p>
        </w:tc>
        <w:tc>
          <w:tcPr>
            <w:tcW w:w="446" w:type="pct"/>
            <w:vMerge w:val="continue"/>
            <w:vAlign w:val="center"/>
          </w:tcPr>
          <w:p w14:paraId="04A27536">
            <w:pPr>
              <w:jc w:val="center"/>
              <w:rPr>
                <w:rFonts w:eastAsia="仿宋_GB2312"/>
                <w:color w:val="auto"/>
                <w:kern w:val="0"/>
                <w:szCs w:val="21"/>
                <w:lang w:bidi="ar"/>
              </w:rPr>
            </w:pPr>
          </w:p>
        </w:tc>
        <w:tc>
          <w:tcPr>
            <w:tcW w:w="361" w:type="pct"/>
            <w:vMerge w:val="continue"/>
            <w:vAlign w:val="center"/>
          </w:tcPr>
          <w:p w14:paraId="12611F30">
            <w:pPr>
              <w:jc w:val="center"/>
              <w:rPr>
                <w:rFonts w:hint="eastAsia" w:eastAsia="仿宋_GB2312"/>
                <w:color w:val="auto"/>
                <w:szCs w:val="21"/>
                <w:lang w:val="en-US" w:eastAsia="zh-CN"/>
              </w:rPr>
            </w:pPr>
          </w:p>
        </w:tc>
        <w:tc>
          <w:tcPr>
            <w:tcW w:w="498" w:type="pct"/>
            <w:vMerge w:val="continue"/>
            <w:shd w:val="clear" w:color="auto" w:fill="auto"/>
            <w:vAlign w:val="center"/>
          </w:tcPr>
          <w:p w14:paraId="31958D71">
            <w:pPr>
              <w:keepNext w:val="0"/>
              <w:keepLines w:val="0"/>
              <w:widowControl/>
              <w:suppressLineNumbers w:val="0"/>
              <w:jc w:val="center"/>
              <w:textAlignment w:val="bottom"/>
              <w:rPr>
                <w:rFonts w:eastAsia="仿宋_GB2312"/>
                <w:color w:val="auto"/>
                <w:kern w:val="0"/>
                <w:szCs w:val="21"/>
                <w:lang w:bidi="ar"/>
              </w:rPr>
            </w:pPr>
          </w:p>
        </w:tc>
        <w:tc>
          <w:tcPr>
            <w:tcW w:w="820" w:type="pct"/>
            <w:shd w:val="clear" w:color="auto" w:fill="auto"/>
            <w:vAlign w:val="center"/>
          </w:tcPr>
          <w:p w14:paraId="588D3CB4">
            <w:pPr>
              <w:widowControl/>
              <w:jc w:val="center"/>
              <w:textAlignment w:val="center"/>
              <w:rPr>
                <w:rFonts w:hint="eastAsia" w:ascii="Times New Roman" w:hAnsi="Times New Roman" w:eastAsia="仿宋_GB2312" w:cs="Times New Roman"/>
                <w:b/>
                <w:bCs/>
                <w:color w:val="auto"/>
                <w:kern w:val="0"/>
                <w:sz w:val="21"/>
                <w:szCs w:val="21"/>
                <w:lang w:val="en-US" w:eastAsia="zh-CN" w:bidi="ar"/>
              </w:rPr>
            </w:pPr>
            <w:r>
              <w:rPr>
                <w:rFonts w:eastAsia="仿宋_GB2312"/>
                <w:color w:val="auto"/>
                <w:kern w:val="0"/>
                <w:szCs w:val="21"/>
                <w:lang w:bidi="ar"/>
              </w:rPr>
              <w:t>其他有机物</w:t>
            </w:r>
          </w:p>
        </w:tc>
        <w:tc>
          <w:tcPr>
            <w:tcW w:w="380" w:type="pct"/>
            <w:shd w:val="clear" w:color="auto" w:fill="auto"/>
            <w:vAlign w:val="center"/>
          </w:tcPr>
          <w:p w14:paraId="10A73F61">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0.005</w:t>
            </w:r>
          </w:p>
        </w:tc>
        <w:tc>
          <w:tcPr>
            <w:tcW w:w="445" w:type="pct"/>
            <w:shd w:val="clear" w:color="auto" w:fill="auto"/>
            <w:vAlign w:val="center"/>
          </w:tcPr>
          <w:p w14:paraId="39B0CC3A">
            <w:pPr>
              <w:widowControl/>
              <w:jc w:val="center"/>
              <w:textAlignment w:val="center"/>
              <w:rPr>
                <w:rFonts w:hint="eastAsia"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0.001</w:t>
            </w:r>
          </w:p>
        </w:tc>
        <w:tc>
          <w:tcPr>
            <w:tcW w:w="630" w:type="pct"/>
            <w:vMerge w:val="continue"/>
            <w:shd w:val="clear" w:color="auto" w:fill="auto"/>
            <w:vAlign w:val="center"/>
          </w:tcPr>
          <w:p w14:paraId="0CB57D0C">
            <w:pPr>
              <w:jc w:val="center"/>
              <w:rPr>
                <w:rFonts w:hint="eastAsia" w:eastAsia="仿宋_GB2312"/>
                <w:color w:val="auto"/>
                <w:szCs w:val="21"/>
              </w:rPr>
            </w:pPr>
          </w:p>
        </w:tc>
        <w:tc>
          <w:tcPr>
            <w:tcW w:w="292" w:type="pct"/>
            <w:vMerge w:val="continue"/>
            <w:shd w:val="clear" w:color="auto" w:fill="auto"/>
            <w:vAlign w:val="center"/>
          </w:tcPr>
          <w:p w14:paraId="33E36233">
            <w:pPr>
              <w:jc w:val="center"/>
              <w:rPr>
                <w:rFonts w:hint="eastAsia" w:eastAsia="仿宋_GB2312"/>
                <w:color w:val="auto"/>
              </w:rPr>
            </w:pPr>
          </w:p>
        </w:tc>
      </w:tr>
      <w:tr w14:paraId="52D5DF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5FBB14F5">
            <w:pPr>
              <w:jc w:val="center"/>
              <w:rPr>
                <w:rFonts w:eastAsia="仿宋_GB2312"/>
                <w:color w:val="auto"/>
                <w:szCs w:val="21"/>
              </w:rPr>
            </w:pPr>
          </w:p>
        </w:tc>
        <w:tc>
          <w:tcPr>
            <w:tcW w:w="358" w:type="pct"/>
            <w:vMerge w:val="continue"/>
            <w:vAlign w:val="center"/>
          </w:tcPr>
          <w:p w14:paraId="61622525">
            <w:pPr>
              <w:jc w:val="center"/>
              <w:rPr>
                <w:rFonts w:eastAsia="仿宋_GB2312"/>
                <w:color w:val="auto"/>
                <w:szCs w:val="21"/>
              </w:rPr>
            </w:pPr>
          </w:p>
        </w:tc>
        <w:tc>
          <w:tcPr>
            <w:tcW w:w="418" w:type="pct"/>
            <w:vMerge w:val="restart"/>
            <w:shd w:val="clear" w:color="auto" w:fill="auto"/>
            <w:vAlign w:val="center"/>
          </w:tcPr>
          <w:p w14:paraId="69833472">
            <w:pPr>
              <w:jc w:val="center"/>
              <w:rPr>
                <w:rFonts w:eastAsia="仿宋_GB2312"/>
                <w:color w:val="auto"/>
                <w:kern w:val="0"/>
                <w:szCs w:val="21"/>
                <w:lang w:bidi="ar"/>
              </w:rPr>
            </w:pPr>
            <w:r>
              <w:rPr>
                <w:rFonts w:eastAsia="仿宋_GB2312"/>
                <w:color w:val="auto"/>
                <w:kern w:val="0"/>
                <w:szCs w:val="21"/>
                <w:lang w:bidi="ar"/>
              </w:rPr>
              <w:t>G</w:t>
            </w:r>
            <w:r>
              <w:rPr>
                <w:rFonts w:hint="eastAsia" w:eastAsia="仿宋_GB2312"/>
                <w:color w:val="auto"/>
                <w:kern w:val="0"/>
                <w:szCs w:val="21"/>
                <w:lang w:val="en-US" w:eastAsia="zh-CN" w:bidi="ar"/>
              </w:rPr>
              <w:t>3</w:t>
            </w:r>
            <w:r>
              <w:rPr>
                <w:rFonts w:eastAsia="仿宋_GB2312"/>
                <w:color w:val="auto"/>
                <w:kern w:val="0"/>
                <w:szCs w:val="21"/>
                <w:lang w:bidi="ar"/>
              </w:rPr>
              <w:t>-</w:t>
            </w:r>
            <w:r>
              <w:rPr>
                <w:rFonts w:hint="eastAsia" w:eastAsia="仿宋_GB2312"/>
                <w:color w:val="auto"/>
                <w:kern w:val="0"/>
                <w:szCs w:val="21"/>
                <w:lang w:val="en-US" w:eastAsia="zh-CN" w:bidi="ar"/>
              </w:rPr>
              <w:t>11</w:t>
            </w:r>
            <w:r>
              <w:rPr>
                <w:rFonts w:eastAsia="仿宋_GB2312"/>
                <w:color w:val="auto"/>
                <w:kern w:val="0"/>
                <w:szCs w:val="21"/>
                <w:lang w:bidi="ar"/>
              </w:rPr>
              <w:t>-4</w:t>
            </w:r>
          </w:p>
        </w:tc>
        <w:tc>
          <w:tcPr>
            <w:tcW w:w="446" w:type="pct"/>
            <w:vMerge w:val="restart"/>
            <w:shd w:val="clear" w:color="auto" w:fill="auto"/>
            <w:vAlign w:val="center"/>
          </w:tcPr>
          <w:p w14:paraId="6795B732">
            <w:pPr>
              <w:jc w:val="center"/>
              <w:rPr>
                <w:rFonts w:eastAsia="仿宋_GB2312"/>
                <w:color w:val="auto"/>
                <w:kern w:val="0"/>
                <w:szCs w:val="21"/>
                <w:lang w:bidi="ar"/>
              </w:rPr>
            </w:pPr>
            <w:r>
              <w:rPr>
                <w:rFonts w:eastAsia="仿宋_GB2312"/>
                <w:color w:val="auto"/>
                <w:kern w:val="0"/>
                <w:szCs w:val="21"/>
                <w:lang w:bidi="ar"/>
              </w:rPr>
              <w:t>不凝气</w:t>
            </w:r>
          </w:p>
        </w:tc>
        <w:tc>
          <w:tcPr>
            <w:tcW w:w="361" w:type="pct"/>
            <w:vMerge w:val="restart"/>
            <w:vAlign w:val="center"/>
          </w:tcPr>
          <w:p w14:paraId="55EF217E">
            <w:pPr>
              <w:jc w:val="center"/>
              <w:rPr>
                <w:rFonts w:hint="default" w:eastAsia="仿宋_GB2312"/>
                <w:color w:val="auto"/>
                <w:szCs w:val="21"/>
                <w:lang w:val="en-US" w:eastAsia="zh-CN"/>
              </w:rPr>
            </w:pPr>
            <w:r>
              <w:rPr>
                <w:rFonts w:hint="eastAsia" w:eastAsia="仿宋_GB2312"/>
                <w:color w:val="auto"/>
                <w:szCs w:val="21"/>
                <w:lang w:val="en-US" w:eastAsia="zh-CN"/>
              </w:rPr>
              <w:t>360</w:t>
            </w:r>
          </w:p>
        </w:tc>
        <w:tc>
          <w:tcPr>
            <w:tcW w:w="498" w:type="pct"/>
            <w:vMerge w:val="restart"/>
            <w:shd w:val="clear" w:color="auto" w:fill="auto"/>
            <w:vAlign w:val="center"/>
          </w:tcPr>
          <w:p w14:paraId="1AC689A6">
            <w:pPr>
              <w:keepNext w:val="0"/>
              <w:keepLines w:val="0"/>
              <w:widowControl/>
              <w:suppressLineNumbers w:val="0"/>
              <w:jc w:val="center"/>
              <w:textAlignment w:val="bottom"/>
              <w:rPr>
                <w:rFonts w:hint="eastAsia" w:eastAsia="仿宋_GB2312"/>
                <w:color w:val="auto"/>
                <w:kern w:val="0"/>
                <w:szCs w:val="21"/>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200</w:t>
            </w:r>
          </w:p>
        </w:tc>
        <w:tc>
          <w:tcPr>
            <w:tcW w:w="820" w:type="pct"/>
            <w:shd w:val="clear" w:color="auto" w:fill="auto"/>
            <w:vAlign w:val="center"/>
          </w:tcPr>
          <w:p w14:paraId="780DD3BE">
            <w:pPr>
              <w:widowControl/>
              <w:jc w:val="center"/>
              <w:textAlignment w:val="center"/>
              <w:rPr>
                <w:rFonts w:hint="eastAsia" w:ascii="Times New Roman" w:hAnsi="Times New Roman" w:eastAsia="仿宋_GB2312" w:cs="Times New Roman"/>
                <w:b/>
                <w:bCs/>
                <w:color w:val="auto"/>
                <w:kern w:val="0"/>
                <w:sz w:val="21"/>
                <w:szCs w:val="21"/>
                <w:lang w:val="en-US" w:eastAsia="zh-CN" w:bidi="ar"/>
              </w:rPr>
            </w:pPr>
            <w:r>
              <w:rPr>
                <w:rFonts w:hint="eastAsia" w:eastAsia="仿宋_GB2312"/>
                <w:color w:val="auto"/>
                <w:kern w:val="0"/>
                <w:szCs w:val="21"/>
                <w:lang w:val="en-US" w:eastAsia="zh-CN" w:bidi="ar"/>
              </w:rPr>
              <w:t>环戊酮</w:t>
            </w:r>
          </w:p>
        </w:tc>
        <w:tc>
          <w:tcPr>
            <w:tcW w:w="380" w:type="pct"/>
            <w:shd w:val="clear" w:color="auto" w:fill="auto"/>
            <w:vAlign w:val="center"/>
          </w:tcPr>
          <w:p w14:paraId="0479F980">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57.455</w:t>
            </w:r>
          </w:p>
        </w:tc>
        <w:tc>
          <w:tcPr>
            <w:tcW w:w="445" w:type="pct"/>
            <w:shd w:val="clear" w:color="auto" w:fill="auto"/>
            <w:vAlign w:val="center"/>
          </w:tcPr>
          <w:p w14:paraId="6ADA34EE">
            <w:pPr>
              <w:widowControl/>
              <w:jc w:val="center"/>
              <w:textAlignment w:val="center"/>
              <w:rPr>
                <w:rFonts w:hint="eastAsia"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11.491</w:t>
            </w:r>
          </w:p>
        </w:tc>
        <w:tc>
          <w:tcPr>
            <w:tcW w:w="630" w:type="pct"/>
            <w:vMerge w:val="continue"/>
            <w:shd w:val="clear" w:color="auto" w:fill="auto"/>
            <w:vAlign w:val="center"/>
          </w:tcPr>
          <w:p w14:paraId="145D222F">
            <w:pPr>
              <w:jc w:val="center"/>
              <w:rPr>
                <w:rFonts w:hint="eastAsia" w:eastAsia="仿宋_GB2312"/>
                <w:color w:val="auto"/>
                <w:szCs w:val="21"/>
              </w:rPr>
            </w:pPr>
          </w:p>
        </w:tc>
        <w:tc>
          <w:tcPr>
            <w:tcW w:w="292" w:type="pct"/>
            <w:vMerge w:val="continue"/>
            <w:shd w:val="clear" w:color="auto" w:fill="auto"/>
            <w:vAlign w:val="center"/>
          </w:tcPr>
          <w:p w14:paraId="3D325527">
            <w:pPr>
              <w:jc w:val="center"/>
              <w:rPr>
                <w:rFonts w:hint="eastAsia" w:eastAsia="仿宋_GB2312"/>
                <w:color w:val="auto"/>
              </w:rPr>
            </w:pPr>
          </w:p>
        </w:tc>
      </w:tr>
      <w:tr w14:paraId="7A5CBC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071949AB">
            <w:pPr>
              <w:jc w:val="center"/>
              <w:rPr>
                <w:rFonts w:eastAsia="仿宋_GB2312"/>
                <w:color w:val="auto"/>
                <w:szCs w:val="21"/>
              </w:rPr>
            </w:pPr>
          </w:p>
        </w:tc>
        <w:tc>
          <w:tcPr>
            <w:tcW w:w="358" w:type="pct"/>
            <w:vMerge w:val="continue"/>
            <w:vAlign w:val="center"/>
          </w:tcPr>
          <w:p w14:paraId="090A555C">
            <w:pPr>
              <w:jc w:val="center"/>
              <w:rPr>
                <w:rFonts w:eastAsia="仿宋_GB2312"/>
                <w:color w:val="auto"/>
                <w:szCs w:val="21"/>
              </w:rPr>
            </w:pPr>
          </w:p>
        </w:tc>
        <w:tc>
          <w:tcPr>
            <w:tcW w:w="418" w:type="pct"/>
            <w:vMerge w:val="continue"/>
            <w:vAlign w:val="center"/>
          </w:tcPr>
          <w:p w14:paraId="6191AEC2">
            <w:pPr>
              <w:jc w:val="center"/>
              <w:rPr>
                <w:rFonts w:eastAsia="仿宋_GB2312"/>
                <w:color w:val="auto"/>
                <w:kern w:val="0"/>
                <w:szCs w:val="21"/>
                <w:lang w:bidi="ar"/>
              </w:rPr>
            </w:pPr>
          </w:p>
        </w:tc>
        <w:tc>
          <w:tcPr>
            <w:tcW w:w="446" w:type="pct"/>
            <w:vMerge w:val="continue"/>
            <w:vAlign w:val="center"/>
          </w:tcPr>
          <w:p w14:paraId="031EF330">
            <w:pPr>
              <w:jc w:val="center"/>
              <w:rPr>
                <w:rFonts w:eastAsia="仿宋_GB2312"/>
                <w:color w:val="auto"/>
                <w:kern w:val="0"/>
                <w:szCs w:val="21"/>
                <w:lang w:bidi="ar"/>
              </w:rPr>
            </w:pPr>
          </w:p>
        </w:tc>
        <w:tc>
          <w:tcPr>
            <w:tcW w:w="361" w:type="pct"/>
            <w:vMerge w:val="continue"/>
            <w:vAlign w:val="center"/>
          </w:tcPr>
          <w:p w14:paraId="48AEC952">
            <w:pPr>
              <w:jc w:val="center"/>
              <w:rPr>
                <w:rFonts w:hint="eastAsia" w:eastAsia="仿宋_GB2312"/>
                <w:color w:val="auto"/>
                <w:szCs w:val="21"/>
                <w:lang w:val="en-US" w:eastAsia="zh-CN"/>
              </w:rPr>
            </w:pPr>
          </w:p>
        </w:tc>
        <w:tc>
          <w:tcPr>
            <w:tcW w:w="498" w:type="pct"/>
            <w:vMerge w:val="continue"/>
            <w:shd w:val="clear" w:color="auto" w:fill="auto"/>
            <w:vAlign w:val="center"/>
          </w:tcPr>
          <w:p w14:paraId="6AFDFFD7">
            <w:pPr>
              <w:keepNext w:val="0"/>
              <w:keepLines w:val="0"/>
              <w:widowControl/>
              <w:suppressLineNumbers w:val="0"/>
              <w:jc w:val="center"/>
              <w:textAlignment w:val="bottom"/>
              <w:rPr>
                <w:rFonts w:eastAsia="仿宋_GB2312"/>
                <w:color w:val="auto"/>
                <w:kern w:val="0"/>
                <w:szCs w:val="21"/>
                <w:lang w:bidi="ar"/>
              </w:rPr>
            </w:pPr>
          </w:p>
        </w:tc>
        <w:tc>
          <w:tcPr>
            <w:tcW w:w="820" w:type="pct"/>
            <w:shd w:val="clear" w:color="auto" w:fill="auto"/>
            <w:vAlign w:val="center"/>
          </w:tcPr>
          <w:p w14:paraId="01632311">
            <w:pPr>
              <w:widowControl/>
              <w:jc w:val="center"/>
              <w:textAlignment w:val="center"/>
              <w:rPr>
                <w:rFonts w:hint="eastAsia" w:ascii="Times New Roman" w:hAnsi="Times New Roman" w:eastAsia="仿宋_GB2312" w:cs="Times New Roman"/>
                <w:b/>
                <w:bCs/>
                <w:color w:val="auto"/>
                <w:kern w:val="0"/>
                <w:sz w:val="21"/>
                <w:szCs w:val="21"/>
                <w:lang w:val="en-US" w:eastAsia="zh-CN" w:bidi="ar"/>
              </w:rPr>
            </w:pPr>
            <w:r>
              <w:rPr>
                <w:rFonts w:eastAsia="仿宋_GB2312"/>
                <w:color w:val="auto"/>
                <w:kern w:val="0"/>
                <w:szCs w:val="21"/>
                <w:lang w:bidi="ar"/>
              </w:rPr>
              <w:t>其他有机物</w:t>
            </w:r>
          </w:p>
        </w:tc>
        <w:tc>
          <w:tcPr>
            <w:tcW w:w="380" w:type="pct"/>
            <w:shd w:val="clear" w:color="auto" w:fill="auto"/>
            <w:vAlign w:val="center"/>
          </w:tcPr>
          <w:p w14:paraId="498FEEBD">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0.175</w:t>
            </w:r>
          </w:p>
        </w:tc>
        <w:tc>
          <w:tcPr>
            <w:tcW w:w="445" w:type="pct"/>
            <w:shd w:val="clear" w:color="auto" w:fill="auto"/>
            <w:vAlign w:val="center"/>
          </w:tcPr>
          <w:p w14:paraId="00DD2533">
            <w:pPr>
              <w:widowControl/>
              <w:jc w:val="center"/>
              <w:textAlignment w:val="center"/>
              <w:rPr>
                <w:rFonts w:hint="eastAsia"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0.035</w:t>
            </w:r>
          </w:p>
        </w:tc>
        <w:tc>
          <w:tcPr>
            <w:tcW w:w="630" w:type="pct"/>
            <w:vMerge w:val="continue"/>
            <w:shd w:val="clear" w:color="auto" w:fill="auto"/>
            <w:vAlign w:val="center"/>
          </w:tcPr>
          <w:p w14:paraId="1B1CC343">
            <w:pPr>
              <w:jc w:val="center"/>
              <w:rPr>
                <w:rFonts w:hint="eastAsia" w:eastAsia="仿宋_GB2312"/>
                <w:color w:val="auto"/>
                <w:szCs w:val="21"/>
              </w:rPr>
            </w:pPr>
          </w:p>
        </w:tc>
        <w:tc>
          <w:tcPr>
            <w:tcW w:w="292" w:type="pct"/>
            <w:vMerge w:val="continue"/>
            <w:shd w:val="clear" w:color="auto" w:fill="auto"/>
            <w:vAlign w:val="center"/>
          </w:tcPr>
          <w:p w14:paraId="3B3FAF95">
            <w:pPr>
              <w:jc w:val="center"/>
              <w:rPr>
                <w:rFonts w:hint="eastAsia" w:eastAsia="仿宋_GB2312"/>
                <w:color w:val="auto"/>
              </w:rPr>
            </w:pPr>
          </w:p>
        </w:tc>
      </w:tr>
      <w:tr w14:paraId="3E7382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57A7A834">
            <w:pPr>
              <w:jc w:val="center"/>
              <w:rPr>
                <w:rFonts w:eastAsia="仿宋_GB2312"/>
                <w:color w:val="auto"/>
                <w:szCs w:val="21"/>
              </w:rPr>
            </w:pPr>
          </w:p>
        </w:tc>
        <w:tc>
          <w:tcPr>
            <w:tcW w:w="358" w:type="pct"/>
            <w:vMerge w:val="continue"/>
            <w:vAlign w:val="center"/>
          </w:tcPr>
          <w:p w14:paraId="3D4B5B98">
            <w:pPr>
              <w:jc w:val="center"/>
              <w:rPr>
                <w:rFonts w:eastAsia="仿宋_GB2312"/>
                <w:color w:val="auto"/>
                <w:szCs w:val="21"/>
              </w:rPr>
            </w:pPr>
          </w:p>
        </w:tc>
        <w:tc>
          <w:tcPr>
            <w:tcW w:w="418" w:type="pct"/>
            <w:shd w:val="clear" w:color="auto" w:fill="auto"/>
            <w:vAlign w:val="center"/>
          </w:tcPr>
          <w:p w14:paraId="0A0DCA7C">
            <w:pPr>
              <w:jc w:val="center"/>
              <w:rPr>
                <w:rFonts w:ascii="Times New Roman" w:hAnsi="Times New Roman" w:eastAsia="仿宋_GB2312" w:cs="Times New Roman"/>
                <w:color w:val="auto"/>
                <w:kern w:val="2"/>
                <w:sz w:val="21"/>
                <w:szCs w:val="21"/>
                <w:lang w:val="en-US" w:eastAsia="zh-CN" w:bidi="ar-SA"/>
              </w:rPr>
            </w:pPr>
            <w:r>
              <w:rPr>
                <w:rFonts w:eastAsia="仿宋_GB2312"/>
                <w:color w:val="auto"/>
                <w:kern w:val="0"/>
                <w:szCs w:val="21"/>
                <w:lang w:bidi="ar"/>
              </w:rPr>
              <w:t>G</w:t>
            </w:r>
            <w:r>
              <w:rPr>
                <w:rFonts w:hint="eastAsia" w:eastAsia="仿宋_GB2312"/>
                <w:color w:val="auto"/>
                <w:kern w:val="0"/>
                <w:szCs w:val="21"/>
                <w:lang w:val="en-US" w:eastAsia="zh-CN" w:bidi="ar"/>
              </w:rPr>
              <w:t>3</w:t>
            </w:r>
            <w:r>
              <w:rPr>
                <w:rFonts w:eastAsia="仿宋_GB2312"/>
                <w:color w:val="auto"/>
                <w:kern w:val="0"/>
                <w:szCs w:val="21"/>
                <w:lang w:bidi="ar"/>
              </w:rPr>
              <w:t>-</w:t>
            </w:r>
            <w:r>
              <w:rPr>
                <w:rFonts w:hint="eastAsia" w:eastAsia="仿宋_GB2312"/>
                <w:color w:val="auto"/>
                <w:kern w:val="0"/>
                <w:szCs w:val="21"/>
                <w:lang w:val="en-US" w:eastAsia="zh-CN" w:bidi="ar"/>
              </w:rPr>
              <w:t>11</w:t>
            </w:r>
            <w:r>
              <w:rPr>
                <w:rFonts w:eastAsia="仿宋_GB2312"/>
                <w:color w:val="auto"/>
                <w:kern w:val="0"/>
                <w:szCs w:val="21"/>
                <w:lang w:bidi="ar"/>
              </w:rPr>
              <w:t>-5</w:t>
            </w:r>
          </w:p>
        </w:tc>
        <w:tc>
          <w:tcPr>
            <w:tcW w:w="446" w:type="pct"/>
            <w:shd w:val="clear" w:color="auto" w:fill="auto"/>
            <w:vAlign w:val="center"/>
          </w:tcPr>
          <w:p w14:paraId="5F6D68A9">
            <w:pPr>
              <w:jc w:val="center"/>
              <w:rPr>
                <w:rFonts w:ascii="Times New Roman" w:hAnsi="Times New Roman" w:eastAsia="仿宋_GB2312" w:cs="Times New Roman"/>
                <w:color w:val="auto"/>
                <w:kern w:val="2"/>
                <w:sz w:val="21"/>
                <w:szCs w:val="21"/>
                <w:lang w:val="en-US" w:eastAsia="zh-CN" w:bidi="ar-SA"/>
              </w:rPr>
            </w:pPr>
            <w:r>
              <w:rPr>
                <w:rFonts w:eastAsia="仿宋_GB2312"/>
                <w:color w:val="auto"/>
                <w:kern w:val="0"/>
                <w:szCs w:val="21"/>
                <w:lang w:bidi="ar"/>
              </w:rPr>
              <w:t>灌装废气</w:t>
            </w:r>
          </w:p>
        </w:tc>
        <w:tc>
          <w:tcPr>
            <w:tcW w:w="361" w:type="pct"/>
            <w:vAlign w:val="center"/>
          </w:tcPr>
          <w:p w14:paraId="0815DF97">
            <w:pPr>
              <w:jc w:val="center"/>
              <w:rPr>
                <w:rFonts w:hint="default" w:eastAsia="仿宋_GB2312"/>
                <w:color w:val="auto"/>
                <w:szCs w:val="21"/>
                <w:lang w:val="en-US" w:eastAsia="zh-CN"/>
              </w:rPr>
            </w:pPr>
            <w:r>
              <w:rPr>
                <w:rFonts w:hint="eastAsia" w:eastAsia="仿宋_GB2312"/>
                <w:color w:val="auto"/>
                <w:szCs w:val="21"/>
                <w:lang w:val="en-US" w:eastAsia="zh-CN"/>
              </w:rPr>
              <w:t>2000</w:t>
            </w:r>
          </w:p>
        </w:tc>
        <w:tc>
          <w:tcPr>
            <w:tcW w:w="498" w:type="pct"/>
            <w:shd w:val="clear" w:color="auto" w:fill="auto"/>
            <w:vAlign w:val="center"/>
          </w:tcPr>
          <w:p w14:paraId="00C172E6">
            <w:pPr>
              <w:keepNext w:val="0"/>
              <w:keepLines w:val="0"/>
              <w:widowControl/>
              <w:suppressLineNumbers w:val="0"/>
              <w:jc w:val="center"/>
              <w:textAlignment w:val="bottom"/>
              <w:rPr>
                <w:rFonts w:hint="eastAsia" w:eastAsia="仿宋_GB2312"/>
                <w:color w:val="auto"/>
                <w:kern w:val="0"/>
                <w:szCs w:val="21"/>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200</w:t>
            </w:r>
          </w:p>
        </w:tc>
        <w:tc>
          <w:tcPr>
            <w:tcW w:w="820" w:type="pct"/>
            <w:shd w:val="clear" w:color="auto" w:fill="auto"/>
            <w:vAlign w:val="center"/>
          </w:tcPr>
          <w:p w14:paraId="1CA52EDB">
            <w:pPr>
              <w:widowControl/>
              <w:jc w:val="center"/>
              <w:textAlignment w:val="center"/>
              <w:rPr>
                <w:rFonts w:hint="eastAsia" w:ascii="Times New Roman" w:hAnsi="Times New Roman" w:eastAsia="仿宋_GB2312" w:cs="Times New Roman"/>
                <w:b/>
                <w:bCs/>
                <w:color w:val="auto"/>
                <w:kern w:val="0"/>
                <w:sz w:val="21"/>
                <w:szCs w:val="21"/>
                <w:lang w:val="en-US" w:eastAsia="zh-CN" w:bidi="ar"/>
              </w:rPr>
            </w:pPr>
            <w:r>
              <w:rPr>
                <w:rFonts w:hint="eastAsia" w:eastAsia="仿宋_GB2312"/>
                <w:color w:val="auto"/>
                <w:kern w:val="0"/>
                <w:szCs w:val="21"/>
                <w:lang w:val="en-US" w:eastAsia="zh-CN" w:bidi="ar"/>
              </w:rPr>
              <w:t>环戊酮</w:t>
            </w:r>
          </w:p>
        </w:tc>
        <w:tc>
          <w:tcPr>
            <w:tcW w:w="380" w:type="pct"/>
            <w:shd w:val="clear" w:color="auto" w:fill="auto"/>
            <w:vAlign w:val="center"/>
          </w:tcPr>
          <w:p w14:paraId="7FA07D7B">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3.375</w:t>
            </w:r>
          </w:p>
        </w:tc>
        <w:tc>
          <w:tcPr>
            <w:tcW w:w="445" w:type="pct"/>
            <w:shd w:val="clear" w:color="auto" w:fill="auto"/>
            <w:vAlign w:val="center"/>
          </w:tcPr>
          <w:p w14:paraId="072C3073">
            <w:pPr>
              <w:jc w:val="center"/>
              <w:rPr>
                <w:rFonts w:hint="eastAsia"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0.675</w:t>
            </w:r>
          </w:p>
        </w:tc>
        <w:tc>
          <w:tcPr>
            <w:tcW w:w="630" w:type="pct"/>
            <w:vMerge w:val="restart"/>
            <w:shd w:val="clear" w:color="auto" w:fill="auto"/>
            <w:vAlign w:val="center"/>
          </w:tcPr>
          <w:p w14:paraId="327364E2">
            <w:pPr>
              <w:jc w:val="center"/>
              <w:rPr>
                <w:rFonts w:hint="eastAsia" w:ascii="Times New Roman" w:hAnsi="Times New Roman" w:eastAsia="仿宋_GB2312" w:cs="Times New Roman"/>
                <w:color w:val="auto"/>
                <w:kern w:val="2"/>
                <w:sz w:val="21"/>
                <w:szCs w:val="21"/>
                <w:lang w:val="en-US" w:eastAsia="zh-CN" w:bidi="ar-SA"/>
              </w:rPr>
            </w:pPr>
            <w:r>
              <w:rPr>
                <w:rFonts w:hint="eastAsia" w:eastAsia="仿宋_GB2312"/>
                <w:color w:val="auto"/>
                <w:szCs w:val="21"/>
              </w:rPr>
              <w:t>冷凝+酸吸收+碱吸收+水洗+活性炭吸附/脱附</w:t>
            </w:r>
          </w:p>
        </w:tc>
        <w:tc>
          <w:tcPr>
            <w:tcW w:w="292" w:type="pct"/>
            <w:vMerge w:val="restart"/>
            <w:shd w:val="clear" w:color="auto" w:fill="auto"/>
            <w:vAlign w:val="center"/>
          </w:tcPr>
          <w:p w14:paraId="205EF5AD">
            <w:pPr>
              <w:jc w:val="center"/>
              <w:rPr>
                <w:rFonts w:hint="eastAsia" w:ascii="Times New Roman" w:hAnsi="Times New Roman" w:eastAsia="仿宋_GB2312" w:cs="Times New Roman"/>
                <w:color w:val="auto"/>
                <w:kern w:val="2"/>
                <w:sz w:val="21"/>
                <w:szCs w:val="21"/>
                <w:lang w:val="en-US" w:eastAsia="zh-CN" w:bidi="ar-SA"/>
              </w:rPr>
            </w:pPr>
            <w:r>
              <w:rPr>
                <w:rFonts w:hint="eastAsia" w:eastAsia="仿宋_GB2312"/>
                <w:color w:val="auto"/>
              </w:rPr>
              <w:t>DA005</w:t>
            </w:r>
          </w:p>
        </w:tc>
      </w:tr>
      <w:tr w14:paraId="247D53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restart"/>
            <w:shd w:val="clear" w:color="auto" w:fill="auto"/>
            <w:vAlign w:val="center"/>
          </w:tcPr>
          <w:p w14:paraId="40C11437">
            <w:pPr>
              <w:jc w:val="center"/>
              <w:rPr>
                <w:rFonts w:ascii="Times New Roman" w:hAnsi="Times New Roman" w:eastAsia="仿宋_GB2312" w:cs="Times New Roman"/>
                <w:color w:val="auto"/>
                <w:kern w:val="2"/>
                <w:sz w:val="21"/>
                <w:szCs w:val="21"/>
                <w:lang w:val="en-US" w:eastAsia="zh-CN" w:bidi="ar-SA"/>
              </w:rPr>
            </w:pPr>
            <w:r>
              <w:rPr>
                <w:rFonts w:eastAsia="仿宋_GB2312"/>
                <w:color w:val="auto"/>
                <w:szCs w:val="21"/>
              </w:rPr>
              <w:t>B-7车间</w:t>
            </w:r>
          </w:p>
        </w:tc>
        <w:tc>
          <w:tcPr>
            <w:tcW w:w="358" w:type="pct"/>
            <w:vMerge w:val="restart"/>
            <w:shd w:val="clear" w:color="auto" w:fill="auto"/>
            <w:vAlign w:val="center"/>
          </w:tcPr>
          <w:p w14:paraId="14314BD3">
            <w:pPr>
              <w:jc w:val="center"/>
              <w:rPr>
                <w:rFonts w:hint="eastAsia"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kern w:val="2"/>
                <w:sz w:val="21"/>
                <w:szCs w:val="21"/>
                <w:lang w:val="en-US" w:eastAsia="zh-CN" w:bidi="ar-SA"/>
              </w:rPr>
              <w:t>乙酸甲酯</w:t>
            </w:r>
          </w:p>
        </w:tc>
        <w:tc>
          <w:tcPr>
            <w:tcW w:w="418" w:type="pct"/>
            <w:vMerge w:val="restart"/>
            <w:shd w:val="clear" w:color="auto" w:fill="auto"/>
            <w:vAlign w:val="center"/>
          </w:tcPr>
          <w:p w14:paraId="20F45BC8">
            <w:pPr>
              <w:jc w:val="center"/>
              <w:rPr>
                <w:rFonts w:ascii="Times New Roman" w:hAnsi="Times New Roman" w:eastAsia="仿宋_GB2312" w:cs="Times New Roman"/>
                <w:color w:val="auto"/>
                <w:kern w:val="0"/>
                <w:sz w:val="21"/>
                <w:szCs w:val="21"/>
                <w:lang w:val="en-US" w:eastAsia="zh-CN" w:bidi="ar"/>
              </w:rPr>
            </w:pPr>
            <w:r>
              <w:rPr>
                <w:rFonts w:eastAsia="仿宋_GB2312"/>
                <w:color w:val="auto"/>
                <w:kern w:val="0"/>
                <w:szCs w:val="21"/>
                <w:lang w:bidi="ar"/>
              </w:rPr>
              <w:t>G</w:t>
            </w:r>
            <w:r>
              <w:rPr>
                <w:rFonts w:hint="eastAsia" w:eastAsia="仿宋_GB2312"/>
                <w:color w:val="auto"/>
                <w:kern w:val="0"/>
                <w:szCs w:val="21"/>
                <w:lang w:val="en-US" w:eastAsia="zh-CN" w:bidi="ar"/>
              </w:rPr>
              <w:t>3</w:t>
            </w:r>
            <w:r>
              <w:rPr>
                <w:rFonts w:eastAsia="仿宋_GB2312"/>
                <w:color w:val="auto"/>
                <w:kern w:val="0"/>
                <w:szCs w:val="21"/>
                <w:lang w:bidi="ar"/>
              </w:rPr>
              <w:t>-</w:t>
            </w:r>
            <w:r>
              <w:rPr>
                <w:rFonts w:hint="eastAsia" w:eastAsia="仿宋_GB2312"/>
                <w:color w:val="auto"/>
                <w:kern w:val="0"/>
                <w:szCs w:val="21"/>
                <w:lang w:val="en-US" w:eastAsia="zh-CN" w:bidi="ar"/>
              </w:rPr>
              <w:t>12</w:t>
            </w:r>
            <w:r>
              <w:rPr>
                <w:rFonts w:eastAsia="仿宋_GB2312"/>
                <w:color w:val="auto"/>
                <w:kern w:val="0"/>
                <w:szCs w:val="21"/>
                <w:lang w:bidi="ar"/>
              </w:rPr>
              <w:t>-1</w:t>
            </w:r>
          </w:p>
        </w:tc>
        <w:tc>
          <w:tcPr>
            <w:tcW w:w="446" w:type="pct"/>
            <w:vMerge w:val="restart"/>
            <w:shd w:val="clear" w:color="auto" w:fill="auto"/>
            <w:vAlign w:val="center"/>
          </w:tcPr>
          <w:p w14:paraId="5C9CBAFB">
            <w:pPr>
              <w:jc w:val="center"/>
              <w:rPr>
                <w:rFonts w:ascii="Times New Roman" w:hAnsi="Times New Roman" w:eastAsia="仿宋_GB2312" w:cs="Times New Roman"/>
                <w:color w:val="auto"/>
                <w:kern w:val="0"/>
                <w:sz w:val="21"/>
                <w:szCs w:val="21"/>
                <w:lang w:val="en-US" w:eastAsia="zh-CN" w:bidi="ar"/>
              </w:rPr>
            </w:pPr>
            <w:r>
              <w:rPr>
                <w:rFonts w:eastAsia="仿宋_GB2312"/>
                <w:color w:val="auto"/>
                <w:kern w:val="0"/>
                <w:szCs w:val="21"/>
                <w:lang w:bidi="ar"/>
              </w:rPr>
              <w:t>投料废气</w:t>
            </w:r>
          </w:p>
        </w:tc>
        <w:tc>
          <w:tcPr>
            <w:tcW w:w="361" w:type="pct"/>
            <w:vMerge w:val="restart"/>
            <w:vAlign w:val="center"/>
          </w:tcPr>
          <w:p w14:paraId="7B95A4EA">
            <w:pPr>
              <w:jc w:val="center"/>
              <w:rPr>
                <w:rFonts w:hint="default" w:eastAsia="仿宋_GB2312"/>
                <w:color w:val="auto"/>
                <w:szCs w:val="21"/>
                <w:lang w:val="en-US" w:eastAsia="zh-CN"/>
              </w:rPr>
            </w:pPr>
            <w:r>
              <w:rPr>
                <w:rFonts w:hint="eastAsia" w:eastAsia="仿宋_GB2312"/>
                <w:color w:val="auto"/>
                <w:szCs w:val="21"/>
                <w:lang w:val="en-US" w:eastAsia="zh-CN"/>
              </w:rPr>
              <w:t>2000</w:t>
            </w:r>
          </w:p>
        </w:tc>
        <w:tc>
          <w:tcPr>
            <w:tcW w:w="498" w:type="pct"/>
            <w:vMerge w:val="restart"/>
            <w:shd w:val="clear" w:color="auto" w:fill="auto"/>
            <w:vAlign w:val="center"/>
          </w:tcPr>
          <w:p w14:paraId="56A0E8FA">
            <w:pPr>
              <w:keepNext w:val="0"/>
              <w:keepLines w:val="0"/>
              <w:widowControl/>
              <w:suppressLineNumbers w:val="0"/>
              <w:jc w:val="center"/>
              <w:textAlignment w:val="bottom"/>
              <w:rPr>
                <w:rFonts w:hint="eastAsia" w:eastAsia="仿宋_GB2312"/>
                <w:color w:val="auto"/>
                <w:kern w:val="0"/>
                <w:szCs w:val="21"/>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252</w:t>
            </w:r>
          </w:p>
        </w:tc>
        <w:tc>
          <w:tcPr>
            <w:tcW w:w="820" w:type="pct"/>
            <w:shd w:val="clear" w:color="auto" w:fill="auto"/>
            <w:vAlign w:val="center"/>
          </w:tcPr>
          <w:p w14:paraId="457F90FD">
            <w:pPr>
              <w:widowControl/>
              <w:jc w:val="center"/>
              <w:textAlignment w:val="center"/>
              <w:rPr>
                <w:rFonts w:hint="eastAsia" w:ascii="Times New Roman" w:hAnsi="Times New Roman" w:eastAsia="仿宋_GB2312" w:cs="Times New Roman"/>
                <w:b/>
                <w:bCs/>
                <w:color w:val="auto"/>
                <w:kern w:val="0"/>
                <w:sz w:val="21"/>
                <w:szCs w:val="21"/>
                <w:lang w:val="en-US" w:eastAsia="zh-CN" w:bidi="ar"/>
              </w:rPr>
            </w:pPr>
            <w:r>
              <w:rPr>
                <w:rFonts w:hint="eastAsia" w:eastAsia="仿宋_GB2312"/>
                <w:color w:val="auto"/>
                <w:kern w:val="0"/>
                <w:szCs w:val="21"/>
                <w:lang w:val="en-US" w:eastAsia="zh-CN" w:bidi="ar"/>
              </w:rPr>
              <w:t>乙酸甲酯</w:t>
            </w:r>
          </w:p>
        </w:tc>
        <w:tc>
          <w:tcPr>
            <w:tcW w:w="380" w:type="pct"/>
            <w:shd w:val="clear" w:color="auto" w:fill="auto"/>
            <w:vAlign w:val="center"/>
          </w:tcPr>
          <w:p w14:paraId="58D3B9C5">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2.38</w:t>
            </w:r>
          </w:p>
        </w:tc>
        <w:tc>
          <w:tcPr>
            <w:tcW w:w="445" w:type="pct"/>
            <w:shd w:val="clear" w:color="auto" w:fill="auto"/>
            <w:vAlign w:val="center"/>
          </w:tcPr>
          <w:p w14:paraId="33CB8EE4">
            <w:pPr>
              <w:widowControl/>
              <w:jc w:val="center"/>
              <w:textAlignment w:val="center"/>
              <w:rPr>
                <w:rFonts w:hint="eastAsia" w:ascii="Times New Roman" w:hAnsi="Times New Roman" w:eastAsia="仿宋_GB2312" w:cs="Times New Roman"/>
                <w:color w:val="auto"/>
                <w:kern w:val="0"/>
                <w:sz w:val="21"/>
                <w:szCs w:val="21"/>
                <w:lang w:val="en-US" w:eastAsia="zh-CN" w:bidi="ar"/>
              </w:rPr>
            </w:pPr>
            <w:r>
              <w:rPr>
                <w:rFonts w:hint="eastAsia" w:ascii="Times New Roman" w:hAnsi="Times New Roman" w:eastAsia="仿宋_GB2312" w:cs="Times New Roman"/>
                <w:color w:val="auto"/>
                <w:kern w:val="0"/>
                <w:szCs w:val="21"/>
                <w:lang w:val="en-US" w:eastAsia="zh-CN" w:bidi="ar"/>
              </w:rPr>
              <w:t>0.6</w:t>
            </w:r>
          </w:p>
        </w:tc>
        <w:tc>
          <w:tcPr>
            <w:tcW w:w="630" w:type="pct"/>
            <w:vMerge w:val="continue"/>
            <w:shd w:val="clear" w:color="auto" w:fill="auto"/>
            <w:vAlign w:val="center"/>
          </w:tcPr>
          <w:p w14:paraId="22637DE9">
            <w:pPr>
              <w:jc w:val="center"/>
              <w:rPr>
                <w:rFonts w:hint="eastAsia" w:ascii="Times New Roman" w:hAnsi="Times New Roman" w:eastAsia="仿宋_GB2312" w:cs="Times New Roman"/>
                <w:color w:val="auto"/>
                <w:kern w:val="2"/>
                <w:sz w:val="21"/>
                <w:szCs w:val="21"/>
                <w:lang w:val="en-US" w:eastAsia="zh-CN" w:bidi="ar-SA"/>
              </w:rPr>
            </w:pPr>
          </w:p>
        </w:tc>
        <w:tc>
          <w:tcPr>
            <w:tcW w:w="292" w:type="pct"/>
            <w:vMerge w:val="continue"/>
            <w:shd w:val="clear" w:color="auto" w:fill="auto"/>
            <w:vAlign w:val="center"/>
          </w:tcPr>
          <w:p w14:paraId="5FB822BD">
            <w:pPr>
              <w:jc w:val="center"/>
              <w:rPr>
                <w:rFonts w:hint="eastAsia" w:ascii="Times New Roman" w:hAnsi="Times New Roman" w:eastAsia="仿宋_GB2312" w:cs="Times New Roman"/>
                <w:color w:val="auto"/>
                <w:kern w:val="2"/>
                <w:sz w:val="21"/>
                <w:szCs w:val="21"/>
                <w:lang w:val="en-US" w:eastAsia="zh-CN" w:bidi="ar-SA"/>
              </w:rPr>
            </w:pPr>
          </w:p>
        </w:tc>
      </w:tr>
      <w:tr w14:paraId="3A1515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6BE47F4B">
            <w:pPr>
              <w:jc w:val="center"/>
              <w:rPr>
                <w:rFonts w:eastAsia="仿宋_GB2312"/>
                <w:color w:val="auto"/>
                <w:szCs w:val="21"/>
              </w:rPr>
            </w:pPr>
          </w:p>
        </w:tc>
        <w:tc>
          <w:tcPr>
            <w:tcW w:w="358" w:type="pct"/>
            <w:vMerge w:val="continue"/>
            <w:vAlign w:val="center"/>
          </w:tcPr>
          <w:p w14:paraId="315B7910">
            <w:pPr>
              <w:jc w:val="center"/>
              <w:rPr>
                <w:rFonts w:eastAsia="仿宋_GB2312"/>
                <w:color w:val="auto"/>
                <w:szCs w:val="21"/>
              </w:rPr>
            </w:pPr>
          </w:p>
        </w:tc>
        <w:tc>
          <w:tcPr>
            <w:tcW w:w="418" w:type="pct"/>
            <w:vMerge w:val="continue"/>
            <w:shd w:val="clear" w:color="auto" w:fill="auto"/>
            <w:vAlign w:val="center"/>
          </w:tcPr>
          <w:p w14:paraId="62556518">
            <w:pPr>
              <w:jc w:val="center"/>
              <w:rPr>
                <w:rFonts w:eastAsia="仿宋_GB2312"/>
                <w:color w:val="auto"/>
                <w:kern w:val="0"/>
                <w:szCs w:val="21"/>
                <w:lang w:bidi="ar"/>
              </w:rPr>
            </w:pPr>
          </w:p>
        </w:tc>
        <w:tc>
          <w:tcPr>
            <w:tcW w:w="446" w:type="pct"/>
            <w:vMerge w:val="continue"/>
            <w:shd w:val="clear" w:color="auto" w:fill="auto"/>
            <w:vAlign w:val="center"/>
          </w:tcPr>
          <w:p w14:paraId="3A4BADF7">
            <w:pPr>
              <w:jc w:val="center"/>
              <w:rPr>
                <w:rFonts w:eastAsia="仿宋_GB2312"/>
                <w:color w:val="auto"/>
                <w:kern w:val="0"/>
                <w:szCs w:val="21"/>
                <w:lang w:bidi="ar"/>
              </w:rPr>
            </w:pPr>
          </w:p>
        </w:tc>
        <w:tc>
          <w:tcPr>
            <w:tcW w:w="361" w:type="pct"/>
            <w:vMerge w:val="continue"/>
            <w:vAlign w:val="center"/>
          </w:tcPr>
          <w:p w14:paraId="79408A86">
            <w:pPr>
              <w:jc w:val="center"/>
              <w:rPr>
                <w:rFonts w:hint="eastAsia" w:eastAsia="仿宋_GB2312"/>
                <w:color w:val="auto"/>
                <w:szCs w:val="21"/>
                <w:lang w:val="en-US" w:eastAsia="zh-CN"/>
              </w:rPr>
            </w:pPr>
          </w:p>
        </w:tc>
        <w:tc>
          <w:tcPr>
            <w:tcW w:w="498" w:type="pct"/>
            <w:vMerge w:val="continue"/>
            <w:shd w:val="clear" w:color="auto" w:fill="auto"/>
            <w:vAlign w:val="center"/>
          </w:tcPr>
          <w:p w14:paraId="4B9590B5">
            <w:pPr>
              <w:keepNext w:val="0"/>
              <w:keepLines w:val="0"/>
              <w:widowControl/>
              <w:suppressLineNumbers w:val="0"/>
              <w:jc w:val="center"/>
              <w:textAlignment w:val="bottom"/>
              <w:rPr>
                <w:rFonts w:hint="eastAsia" w:eastAsia="仿宋_GB2312"/>
                <w:color w:val="auto"/>
                <w:kern w:val="0"/>
                <w:szCs w:val="21"/>
                <w:lang w:val="en-US" w:eastAsia="zh-CN" w:bidi="ar"/>
              </w:rPr>
            </w:pPr>
          </w:p>
        </w:tc>
        <w:tc>
          <w:tcPr>
            <w:tcW w:w="820" w:type="pct"/>
            <w:shd w:val="clear" w:color="auto" w:fill="auto"/>
            <w:vAlign w:val="center"/>
          </w:tcPr>
          <w:p w14:paraId="0248287C">
            <w:pPr>
              <w:widowControl/>
              <w:jc w:val="center"/>
              <w:textAlignment w:val="center"/>
              <w:rPr>
                <w:rFonts w:hint="eastAsia"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甲醇</w:t>
            </w:r>
          </w:p>
        </w:tc>
        <w:tc>
          <w:tcPr>
            <w:tcW w:w="380" w:type="pct"/>
            <w:shd w:val="clear" w:color="auto" w:fill="auto"/>
            <w:vAlign w:val="center"/>
          </w:tcPr>
          <w:p w14:paraId="53BCE2B9">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0.015</w:t>
            </w:r>
          </w:p>
        </w:tc>
        <w:tc>
          <w:tcPr>
            <w:tcW w:w="445" w:type="pct"/>
            <w:shd w:val="clear" w:color="auto" w:fill="auto"/>
            <w:vAlign w:val="center"/>
          </w:tcPr>
          <w:p w14:paraId="3F90218E">
            <w:pPr>
              <w:widowControl/>
              <w:jc w:val="center"/>
              <w:textAlignment w:val="center"/>
              <w:rPr>
                <w:rFonts w:hint="eastAsia" w:ascii="Times New Roman" w:hAnsi="Times New Roman" w:eastAsia="仿宋_GB2312" w:cs="Times New Roman"/>
                <w:color w:val="auto"/>
                <w:kern w:val="0"/>
                <w:sz w:val="21"/>
                <w:szCs w:val="21"/>
                <w:lang w:val="en-US" w:eastAsia="zh-CN" w:bidi="ar"/>
              </w:rPr>
            </w:pPr>
            <w:r>
              <w:rPr>
                <w:rFonts w:hint="eastAsia" w:ascii="Times New Roman" w:hAnsi="Times New Roman" w:eastAsia="仿宋_GB2312" w:cs="Times New Roman"/>
                <w:color w:val="auto"/>
                <w:kern w:val="0"/>
                <w:szCs w:val="21"/>
                <w:lang w:val="en-US" w:eastAsia="zh-CN" w:bidi="ar"/>
              </w:rPr>
              <w:t>0.00396</w:t>
            </w:r>
          </w:p>
        </w:tc>
        <w:tc>
          <w:tcPr>
            <w:tcW w:w="630" w:type="pct"/>
            <w:vMerge w:val="continue"/>
            <w:shd w:val="clear" w:color="auto" w:fill="auto"/>
            <w:vAlign w:val="center"/>
          </w:tcPr>
          <w:p w14:paraId="48556190">
            <w:pPr>
              <w:jc w:val="center"/>
              <w:rPr>
                <w:rFonts w:hint="eastAsia" w:eastAsia="仿宋_GB2312"/>
                <w:color w:val="auto"/>
                <w:szCs w:val="21"/>
              </w:rPr>
            </w:pPr>
          </w:p>
        </w:tc>
        <w:tc>
          <w:tcPr>
            <w:tcW w:w="292" w:type="pct"/>
            <w:vMerge w:val="continue"/>
            <w:shd w:val="clear" w:color="auto" w:fill="auto"/>
            <w:vAlign w:val="center"/>
          </w:tcPr>
          <w:p w14:paraId="50DF6454">
            <w:pPr>
              <w:jc w:val="center"/>
              <w:rPr>
                <w:rFonts w:hint="eastAsia" w:eastAsia="仿宋_GB2312"/>
                <w:color w:val="auto"/>
              </w:rPr>
            </w:pPr>
          </w:p>
        </w:tc>
      </w:tr>
      <w:tr w14:paraId="51D683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2D83C8AE">
            <w:pPr>
              <w:jc w:val="center"/>
              <w:rPr>
                <w:rFonts w:eastAsia="仿宋_GB2312"/>
                <w:color w:val="auto"/>
                <w:szCs w:val="21"/>
              </w:rPr>
            </w:pPr>
          </w:p>
        </w:tc>
        <w:tc>
          <w:tcPr>
            <w:tcW w:w="358" w:type="pct"/>
            <w:vMerge w:val="continue"/>
            <w:vAlign w:val="center"/>
          </w:tcPr>
          <w:p w14:paraId="662CE79D">
            <w:pPr>
              <w:jc w:val="center"/>
              <w:rPr>
                <w:rFonts w:eastAsia="仿宋_GB2312"/>
                <w:color w:val="auto"/>
                <w:szCs w:val="21"/>
              </w:rPr>
            </w:pPr>
          </w:p>
        </w:tc>
        <w:tc>
          <w:tcPr>
            <w:tcW w:w="418" w:type="pct"/>
            <w:vMerge w:val="continue"/>
            <w:shd w:val="clear" w:color="auto" w:fill="auto"/>
            <w:vAlign w:val="center"/>
          </w:tcPr>
          <w:p w14:paraId="340ADFF3">
            <w:pPr>
              <w:jc w:val="center"/>
              <w:rPr>
                <w:rFonts w:eastAsia="仿宋_GB2312"/>
                <w:color w:val="auto"/>
                <w:kern w:val="0"/>
                <w:szCs w:val="21"/>
                <w:lang w:bidi="ar"/>
              </w:rPr>
            </w:pPr>
          </w:p>
        </w:tc>
        <w:tc>
          <w:tcPr>
            <w:tcW w:w="446" w:type="pct"/>
            <w:vMerge w:val="continue"/>
            <w:shd w:val="clear" w:color="auto" w:fill="auto"/>
            <w:vAlign w:val="center"/>
          </w:tcPr>
          <w:p w14:paraId="22BE684A">
            <w:pPr>
              <w:jc w:val="center"/>
              <w:rPr>
                <w:rFonts w:eastAsia="仿宋_GB2312"/>
                <w:color w:val="auto"/>
                <w:kern w:val="0"/>
                <w:szCs w:val="21"/>
                <w:lang w:bidi="ar"/>
              </w:rPr>
            </w:pPr>
          </w:p>
        </w:tc>
        <w:tc>
          <w:tcPr>
            <w:tcW w:w="361" w:type="pct"/>
            <w:vMerge w:val="continue"/>
            <w:vAlign w:val="center"/>
          </w:tcPr>
          <w:p w14:paraId="3E9707C5">
            <w:pPr>
              <w:jc w:val="center"/>
              <w:rPr>
                <w:rFonts w:hint="eastAsia" w:eastAsia="仿宋_GB2312"/>
                <w:color w:val="auto"/>
                <w:szCs w:val="21"/>
                <w:lang w:val="en-US" w:eastAsia="zh-CN"/>
              </w:rPr>
            </w:pPr>
          </w:p>
        </w:tc>
        <w:tc>
          <w:tcPr>
            <w:tcW w:w="498" w:type="pct"/>
            <w:vMerge w:val="continue"/>
            <w:shd w:val="clear" w:color="auto" w:fill="auto"/>
            <w:vAlign w:val="center"/>
          </w:tcPr>
          <w:p w14:paraId="55DF7D0A">
            <w:pPr>
              <w:keepNext w:val="0"/>
              <w:keepLines w:val="0"/>
              <w:widowControl/>
              <w:suppressLineNumbers w:val="0"/>
              <w:jc w:val="center"/>
              <w:textAlignment w:val="bottom"/>
              <w:rPr>
                <w:rFonts w:eastAsia="仿宋_GB2312"/>
                <w:color w:val="auto"/>
                <w:kern w:val="0"/>
                <w:szCs w:val="21"/>
                <w:lang w:bidi="ar"/>
              </w:rPr>
            </w:pPr>
          </w:p>
        </w:tc>
        <w:tc>
          <w:tcPr>
            <w:tcW w:w="820" w:type="pct"/>
            <w:shd w:val="clear" w:color="auto" w:fill="auto"/>
            <w:vAlign w:val="center"/>
          </w:tcPr>
          <w:p w14:paraId="1703FC9C">
            <w:pPr>
              <w:widowControl/>
              <w:jc w:val="center"/>
              <w:textAlignment w:val="center"/>
              <w:rPr>
                <w:rFonts w:hint="eastAsia" w:ascii="Times New Roman" w:hAnsi="Times New Roman" w:eastAsia="仿宋_GB2312" w:cs="Times New Roman"/>
                <w:b/>
                <w:bCs/>
                <w:color w:val="auto"/>
                <w:kern w:val="0"/>
                <w:sz w:val="21"/>
                <w:szCs w:val="21"/>
                <w:lang w:val="en-US" w:eastAsia="zh-CN" w:bidi="ar"/>
              </w:rPr>
            </w:pPr>
            <w:r>
              <w:rPr>
                <w:rFonts w:eastAsia="仿宋_GB2312"/>
                <w:color w:val="auto"/>
                <w:kern w:val="0"/>
                <w:szCs w:val="21"/>
                <w:lang w:bidi="ar"/>
              </w:rPr>
              <w:t>其他有机物</w:t>
            </w:r>
          </w:p>
        </w:tc>
        <w:tc>
          <w:tcPr>
            <w:tcW w:w="380" w:type="pct"/>
            <w:shd w:val="clear" w:color="auto" w:fill="auto"/>
            <w:vAlign w:val="center"/>
          </w:tcPr>
          <w:p w14:paraId="0B4800BF">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0.027</w:t>
            </w:r>
          </w:p>
        </w:tc>
        <w:tc>
          <w:tcPr>
            <w:tcW w:w="445" w:type="pct"/>
            <w:shd w:val="clear" w:color="auto" w:fill="auto"/>
            <w:vAlign w:val="center"/>
          </w:tcPr>
          <w:p w14:paraId="0D65248E">
            <w:pPr>
              <w:widowControl/>
              <w:jc w:val="center"/>
              <w:textAlignment w:val="center"/>
              <w:rPr>
                <w:rFonts w:hint="eastAsia" w:ascii="Times New Roman" w:hAnsi="Times New Roman" w:eastAsia="仿宋_GB2312" w:cs="Times New Roman"/>
                <w:color w:val="auto"/>
                <w:kern w:val="0"/>
                <w:sz w:val="21"/>
                <w:szCs w:val="21"/>
                <w:lang w:val="en-US" w:eastAsia="zh-CN" w:bidi="ar"/>
              </w:rPr>
            </w:pPr>
            <w:r>
              <w:rPr>
                <w:rFonts w:hint="eastAsia" w:ascii="Times New Roman" w:hAnsi="Times New Roman" w:eastAsia="仿宋_GB2312" w:cs="Times New Roman"/>
                <w:color w:val="auto"/>
                <w:kern w:val="0"/>
                <w:szCs w:val="21"/>
                <w:lang w:val="en-US" w:eastAsia="zh-CN" w:bidi="ar"/>
              </w:rPr>
              <w:t>0.0069</w:t>
            </w:r>
          </w:p>
        </w:tc>
        <w:tc>
          <w:tcPr>
            <w:tcW w:w="630" w:type="pct"/>
            <w:vMerge w:val="continue"/>
            <w:shd w:val="clear" w:color="auto" w:fill="auto"/>
            <w:vAlign w:val="center"/>
          </w:tcPr>
          <w:p w14:paraId="06F42033">
            <w:pPr>
              <w:jc w:val="center"/>
              <w:rPr>
                <w:rFonts w:hint="eastAsia" w:eastAsia="仿宋_GB2312"/>
                <w:color w:val="auto"/>
                <w:szCs w:val="21"/>
              </w:rPr>
            </w:pPr>
          </w:p>
        </w:tc>
        <w:tc>
          <w:tcPr>
            <w:tcW w:w="292" w:type="pct"/>
            <w:vMerge w:val="continue"/>
            <w:shd w:val="clear" w:color="auto" w:fill="auto"/>
            <w:vAlign w:val="center"/>
          </w:tcPr>
          <w:p w14:paraId="0613205A">
            <w:pPr>
              <w:jc w:val="center"/>
              <w:rPr>
                <w:rFonts w:hint="eastAsia" w:eastAsia="仿宋_GB2312"/>
                <w:color w:val="auto"/>
              </w:rPr>
            </w:pPr>
          </w:p>
        </w:tc>
      </w:tr>
      <w:tr w14:paraId="114DEA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0E60EE40">
            <w:pPr>
              <w:jc w:val="center"/>
              <w:rPr>
                <w:rFonts w:eastAsia="仿宋_GB2312"/>
                <w:color w:val="auto"/>
                <w:szCs w:val="21"/>
              </w:rPr>
            </w:pPr>
          </w:p>
        </w:tc>
        <w:tc>
          <w:tcPr>
            <w:tcW w:w="358" w:type="pct"/>
            <w:vMerge w:val="continue"/>
            <w:vAlign w:val="center"/>
          </w:tcPr>
          <w:p w14:paraId="45888AD4">
            <w:pPr>
              <w:jc w:val="center"/>
              <w:rPr>
                <w:rFonts w:eastAsia="仿宋_GB2312"/>
                <w:color w:val="auto"/>
                <w:szCs w:val="21"/>
              </w:rPr>
            </w:pPr>
          </w:p>
        </w:tc>
        <w:tc>
          <w:tcPr>
            <w:tcW w:w="418" w:type="pct"/>
            <w:vMerge w:val="restart"/>
            <w:shd w:val="clear" w:color="auto" w:fill="auto"/>
            <w:vAlign w:val="center"/>
          </w:tcPr>
          <w:p w14:paraId="47AD795E">
            <w:pPr>
              <w:jc w:val="center"/>
              <w:rPr>
                <w:rFonts w:ascii="Times New Roman" w:hAnsi="Times New Roman" w:eastAsia="仿宋_GB2312" w:cs="Times New Roman"/>
                <w:color w:val="auto"/>
                <w:kern w:val="0"/>
                <w:sz w:val="21"/>
                <w:szCs w:val="21"/>
                <w:lang w:val="en-US" w:eastAsia="zh-CN" w:bidi="ar"/>
              </w:rPr>
            </w:pPr>
            <w:r>
              <w:rPr>
                <w:rFonts w:eastAsia="仿宋_GB2312"/>
                <w:color w:val="auto"/>
                <w:kern w:val="0"/>
                <w:szCs w:val="21"/>
                <w:lang w:bidi="ar"/>
              </w:rPr>
              <w:t>G</w:t>
            </w:r>
            <w:r>
              <w:rPr>
                <w:rFonts w:hint="eastAsia" w:eastAsia="仿宋_GB2312"/>
                <w:color w:val="auto"/>
                <w:kern w:val="0"/>
                <w:szCs w:val="21"/>
                <w:lang w:val="en-US" w:eastAsia="zh-CN" w:bidi="ar"/>
              </w:rPr>
              <w:t>3</w:t>
            </w:r>
            <w:r>
              <w:rPr>
                <w:rFonts w:eastAsia="仿宋_GB2312"/>
                <w:color w:val="auto"/>
                <w:kern w:val="0"/>
                <w:szCs w:val="21"/>
                <w:lang w:bidi="ar"/>
              </w:rPr>
              <w:t>-</w:t>
            </w:r>
            <w:r>
              <w:rPr>
                <w:rFonts w:hint="eastAsia" w:eastAsia="仿宋_GB2312"/>
                <w:color w:val="auto"/>
                <w:kern w:val="0"/>
                <w:szCs w:val="21"/>
                <w:lang w:val="en-US" w:eastAsia="zh-CN" w:bidi="ar"/>
              </w:rPr>
              <w:t>12-</w:t>
            </w:r>
            <w:r>
              <w:rPr>
                <w:rFonts w:eastAsia="仿宋_GB2312"/>
                <w:color w:val="auto"/>
                <w:kern w:val="0"/>
                <w:szCs w:val="21"/>
                <w:lang w:bidi="ar"/>
              </w:rPr>
              <w:t>2</w:t>
            </w:r>
          </w:p>
        </w:tc>
        <w:tc>
          <w:tcPr>
            <w:tcW w:w="446" w:type="pct"/>
            <w:vMerge w:val="restart"/>
            <w:shd w:val="clear" w:color="auto" w:fill="auto"/>
            <w:vAlign w:val="center"/>
          </w:tcPr>
          <w:p w14:paraId="0D073807">
            <w:pPr>
              <w:jc w:val="center"/>
              <w:rPr>
                <w:rFonts w:ascii="Times New Roman" w:hAnsi="Times New Roman" w:eastAsia="仿宋_GB2312" w:cs="Times New Roman"/>
                <w:color w:val="auto"/>
                <w:kern w:val="0"/>
                <w:sz w:val="21"/>
                <w:szCs w:val="21"/>
                <w:lang w:val="en-US" w:eastAsia="zh-CN" w:bidi="ar"/>
              </w:rPr>
            </w:pPr>
            <w:r>
              <w:rPr>
                <w:rFonts w:eastAsia="仿宋_GB2312"/>
                <w:color w:val="auto"/>
                <w:kern w:val="0"/>
                <w:szCs w:val="21"/>
                <w:lang w:bidi="ar"/>
              </w:rPr>
              <w:t>调节废气</w:t>
            </w:r>
          </w:p>
        </w:tc>
        <w:tc>
          <w:tcPr>
            <w:tcW w:w="361" w:type="pct"/>
            <w:vMerge w:val="restart"/>
            <w:vAlign w:val="center"/>
          </w:tcPr>
          <w:p w14:paraId="71B3713F">
            <w:pPr>
              <w:jc w:val="center"/>
              <w:rPr>
                <w:rFonts w:hint="default" w:eastAsia="仿宋_GB2312"/>
                <w:color w:val="auto"/>
                <w:szCs w:val="21"/>
                <w:lang w:val="en-US" w:eastAsia="zh-CN"/>
              </w:rPr>
            </w:pPr>
            <w:r>
              <w:rPr>
                <w:rFonts w:hint="eastAsia" w:eastAsia="仿宋_GB2312"/>
                <w:color w:val="auto"/>
                <w:szCs w:val="21"/>
                <w:lang w:val="en-US" w:eastAsia="zh-CN"/>
              </w:rPr>
              <w:t>100</w:t>
            </w:r>
          </w:p>
        </w:tc>
        <w:tc>
          <w:tcPr>
            <w:tcW w:w="498" w:type="pct"/>
            <w:vMerge w:val="restart"/>
            <w:shd w:val="clear" w:color="auto" w:fill="auto"/>
            <w:vAlign w:val="center"/>
          </w:tcPr>
          <w:p w14:paraId="6F21AB13">
            <w:pPr>
              <w:keepNext w:val="0"/>
              <w:keepLines w:val="0"/>
              <w:widowControl/>
              <w:suppressLineNumbers w:val="0"/>
              <w:jc w:val="center"/>
              <w:textAlignment w:val="bottom"/>
              <w:rPr>
                <w:rFonts w:hint="eastAsia" w:eastAsia="仿宋_GB2312"/>
                <w:color w:val="auto"/>
                <w:kern w:val="0"/>
                <w:szCs w:val="21"/>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252</w:t>
            </w:r>
          </w:p>
        </w:tc>
        <w:tc>
          <w:tcPr>
            <w:tcW w:w="820" w:type="pct"/>
            <w:shd w:val="clear" w:color="auto" w:fill="auto"/>
            <w:vAlign w:val="center"/>
          </w:tcPr>
          <w:p w14:paraId="00724DF1">
            <w:pPr>
              <w:widowControl/>
              <w:jc w:val="center"/>
              <w:textAlignment w:val="center"/>
              <w:rPr>
                <w:rFonts w:hint="eastAsia" w:ascii="Times New Roman" w:hAnsi="Times New Roman" w:eastAsia="仿宋_GB2312" w:cs="Times New Roman"/>
                <w:b/>
                <w:bCs/>
                <w:color w:val="auto"/>
                <w:kern w:val="0"/>
                <w:sz w:val="21"/>
                <w:szCs w:val="21"/>
                <w:lang w:val="en-US" w:eastAsia="zh-CN" w:bidi="ar"/>
              </w:rPr>
            </w:pPr>
            <w:r>
              <w:rPr>
                <w:rFonts w:hint="eastAsia" w:eastAsia="仿宋_GB2312"/>
                <w:color w:val="auto"/>
                <w:kern w:val="0"/>
                <w:szCs w:val="21"/>
                <w:lang w:val="en-US" w:eastAsia="zh-CN" w:bidi="ar"/>
              </w:rPr>
              <w:t>乙酸甲酯</w:t>
            </w:r>
          </w:p>
        </w:tc>
        <w:tc>
          <w:tcPr>
            <w:tcW w:w="380" w:type="pct"/>
            <w:shd w:val="clear" w:color="auto" w:fill="auto"/>
            <w:vAlign w:val="center"/>
          </w:tcPr>
          <w:p w14:paraId="45661C5F">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1.202</w:t>
            </w:r>
          </w:p>
        </w:tc>
        <w:tc>
          <w:tcPr>
            <w:tcW w:w="445" w:type="pct"/>
            <w:shd w:val="clear" w:color="auto" w:fill="auto"/>
            <w:vAlign w:val="center"/>
          </w:tcPr>
          <w:p w14:paraId="6F3A8332">
            <w:pPr>
              <w:widowControl/>
              <w:jc w:val="center"/>
              <w:textAlignment w:val="center"/>
              <w:rPr>
                <w:rFonts w:hint="eastAsia"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0.303</w:t>
            </w:r>
          </w:p>
        </w:tc>
        <w:tc>
          <w:tcPr>
            <w:tcW w:w="630" w:type="pct"/>
            <w:vMerge w:val="restart"/>
            <w:shd w:val="clear" w:color="auto" w:fill="auto"/>
            <w:vAlign w:val="center"/>
          </w:tcPr>
          <w:p w14:paraId="349F06AE">
            <w:pPr>
              <w:widowControl/>
              <w:jc w:val="center"/>
              <w:textAlignment w:val="center"/>
              <w:rPr>
                <w:rFonts w:hint="eastAsia" w:ascii="Times New Roman" w:hAnsi="Times New Roman" w:eastAsia="仿宋_GB2312" w:cs="Times New Roman"/>
                <w:color w:val="auto"/>
                <w:kern w:val="2"/>
                <w:sz w:val="21"/>
                <w:szCs w:val="21"/>
                <w:lang w:val="en-US" w:eastAsia="zh-CN" w:bidi="ar-SA"/>
              </w:rPr>
            </w:pPr>
            <w:r>
              <w:rPr>
                <w:rFonts w:hint="eastAsia" w:eastAsia="仿宋_GB2312"/>
                <w:color w:val="auto"/>
                <w:szCs w:val="21"/>
              </w:rPr>
              <w:t>预处理（冷凝+稀酸吸收+碱吸收+水吸收+除雾）+</w:t>
            </w:r>
            <w:r>
              <w:rPr>
                <w:rFonts w:eastAsia="仿宋_GB2312"/>
                <w:color w:val="auto"/>
                <w:szCs w:val="21"/>
              </w:rPr>
              <w:t>焚烧</w:t>
            </w:r>
          </w:p>
        </w:tc>
        <w:tc>
          <w:tcPr>
            <w:tcW w:w="292" w:type="pct"/>
            <w:vMerge w:val="restart"/>
            <w:shd w:val="clear" w:color="auto" w:fill="auto"/>
            <w:vAlign w:val="center"/>
          </w:tcPr>
          <w:p w14:paraId="2ADC2929">
            <w:pPr>
              <w:widowControl/>
              <w:jc w:val="center"/>
              <w:textAlignment w:val="center"/>
              <w:rPr>
                <w:rFonts w:hint="eastAsia" w:ascii="Times New Roman" w:hAnsi="Times New Roman" w:eastAsia="仿宋_GB2312" w:cs="Times New Roman"/>
                <w:color w:val="auto"/>
                <w:kern w:val="2"/>
                <w:sz w:val="21"/>
                <w:szCs w:val="21"/>
                <w:lang w:val="en-US" w:eastAsia="zh-CN" w:bidi="ar-SA"/>
              </w:rPr>
            </w:pPr>
            <w:r>
              <w:rPr>
                <w:rFonts w:hint="eastAsia" w:eastAsia="仿宋_GB2312"/>
                <w:color w:val="auto"/>
                <w:kern w:val="0"/>
                <w:szCs w:val="21"/>
                <w:lang w:bidi="ar"/>
              </w:rPr>
              <w:t>DA002</w:t>
            </w:r>
          </w:p>
        </w:tc>
      </w:tr>
      <w:tr w14:paraId="33962C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095A16FB">
            <w:pPr>
              <w:jc w:val="center"/>
              <w:rPr>
                <w:rFonts w:eastAsia="仿宋_GB2312"/>
                <w:color w:val="auto"/>
                <w:szCs w:val="21"/>
              </w:rPr>
            </w:pPr>
          </w:p>
        </w:tc>
        <w:tc>
          <w:tcPr>
            <w:tcW w:w="358" w:type="pct"/>
            <w:vMerge w:val="continue"/>
            <w:vAlign w:val="center"/>
          </w:tcPr>
          <w:p w14:paraId="43BFC092">
            <w:pPr>
              <w:jc w:val="center"/>
              <w:rPr>
                <w:rFonts w:eastAsia="仿宋_GB2312"/>
                <w:color w:val="auto"/>
                <w:szCs w:val="21"/>
              </w:rPr>
            </w:pPr>
          </w:p>
        </w:tc>
        <w:tc>
          <w:tcPr>
            <w:tcW w:w="418" w:type="pct"/>
            <w:vMerge w:val="continue"/>
            <w:shd w:val="clear" w:color="auto" w:fill="auto"/>
            <w:vAlign w:val="center"/>
          </w:tcPr>
          <w:p w14:paraId="5A26F31F">
            <w:pPr>
              <w:jc w:val="center"/>
              <w:rPr>
                <w:rFonts w:eastAsia="仿宋_GB2312"/>
                <w:color w:val="auto"/>
                <w:kern w:val="0"/>
                <w:szCs w:val="21"/>
                <w:lang w:bidi="ar"/>
              </w:rPr>
            </w:pPr>
          </w:p>
        </w:tc>
        <w:tc>
          <w:tcPr>
            <w:tcW w:w="446" w:type="pct"/>
            <w:vMerge w:val="continue"/>
            <w:shd w:val="clear" w:color="auto" w:fill="auto"/>
            <w:vAlign w:val="center"/>
          </w:tcPr>
          <w:p w14:paraId="2C997417">
            <w:pPr>
              <w:jc w:val="center"/>
              <w:rPr>
                <w:rFonts w:eastAsia="仿宋_GB2312"/>
                <w:color w:val="auto"/>
                <w:kern w:val="0"/>
                <w:szCs w:val="21"/>
                <w:lang w:bidi="ar"/>
              </w:rPr>
            </w:pPr>
          </w:p>
        </w:tc>
        <w:tc>
          <w:tcPr>
            <w:tcW w:w="361" w:type="pct"/>
            <w:vMerge w:val="continue"/>
            <w:vAlign w:val="center"/>
          </w:tcPr>
          <w:p w14:paraId="39C52F8A">
            <w:pPr>
              <w:jc w:val="center"/>
              <w:rPr>
                <w:rFonts w:hint="eastAsia" w:eastAsia="仿宋_GB2312"/>
                <w:color w:val="auto"/>
                <w:szCs w:val="21"/>
                <w:lang w:val="en-US" w:eastAsia="zh-CN"/>
              </w:rPr>
            </w:pPr>
          </w:p>
        </w:tc>
        <w:tc>
          <w:tcPr>
            <w:tcW w:w="498" w:type="pct"/>
            <w:vMerge w:val="continue"/>
            <w:shd w:val="clear" w:color="auto" w:fill="auto"/>
            <w:vAlign w:val="center"/>
          </w:tcPr>
          <w:p w14:paraId="1CBECCC9">
            <w:pPr>
              <w:keepNext w:val="0"/>
              <w:keepLines w:val="0"/>
              <w:widowControl/>
              <w:suppressLineNumbers w:val="0"/>
              <w:jc w:val="center"/>
              <w:textAlignment w:val="bottom"/>
              <w:rPr>
                <w:rFonts w:hint="eastAsia" w:eastAsia="仿宋_GB2312"/>
                <w:color w:val="auto"/>
                <w:kern w:val="0"/>
                <w:szCs w:val="21"/>
                <w:lang w:val="en-US" w:eastAsia="zh-CN" w:bidi="ar"/>
              </w:rPr>
            </w:pPr>
          </w:p>
        </w:tc>
        <w:tc>
          <w:tcPr>
            <w:tcW w:w="820" w:type="pct"/>
            <w:shd w:val="clear" w:color="auto" w:fill="auto"/>
            <w:vAlign w:val="center"/>
          </w:tcPr>
          <w:p w14:paraId="7907E554">
            <w:pPr>
              <w:widowControl/>
              <w:jc w:val="center"/>
              <w:textAlignment w:val="center"/>
              <w:rPr>
                <w:rFonts w:hint="eastAsia"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甲醇</w:t>
            </w:r>
          </w:p>
        </w:tc>
        <w:tc>
          <w:tcPr>
            <w:tcW w:w="380" w:type="pct"/>
            <w:shd w:val="clear" w:color="auto" w:fill="auto"/>
            <w:vAlign w:val="center"/>
          </w:tcPr>
          <w:p w14:paraId="7E071F4A">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0.00</w:t>
            </w:r>
            <w:r>
              <w:rPr>
                <w:rFonts w:hint="eastAsia" w:ascii="Times New Roman" w:hAnsi="Times New Roman" w:eastAsia="宋体" w:cs="Times New Roman"/>
                <w:i w:val="0"/>
                <w:iCs w:val="0"/>
                <w:color w:val="auto"/>
                <w:kern w:val="0"/>
                <w:sz w:val="21"/>
                <w:szCs w:val="21"/>
                <w:u w:val="none"/>
                <w:lang w:val="en-US" w:eastAsia="zh-CN" w:bidi="ar"/>
              </w:rPr>
              <w:t>8</w:t>
            </w:r>
          </w:p>
        </w:tc>
        <w:tc>
          <w:tcPr>
            <w:tcW w:w="445" w:type="pct"/>
            <w:shd w:val="clear" w:color="auto" w:fill="auto"/>
            <w:vAlign w:val="center"/>
          </w:tcPr>
          <w:p w14:paraId="120A588C">
            <w:pPr>
              <w:widowControl/>
              <w:jc w:val="center"/>
              <w:textAlignment w:val="center"/>
              <w:rPr>
                <w:rFonts w:hint="eastAsia"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0.002</w:t>
            </w:r>
          </w:p>
        </w:tc>
        <w:tc>
          <w:tcPr>
            <w:tcW w:w="630" w:type="pct"/>
            <w:vMerge w:val="continue"/>
            <w:shd w:val="clear" w:color="auto" w:fill="auto"/>
            <w:vAlign w:val="center"/>
          </w:tcPr>
          <w:p w14:paraId="165A752B">
            <w:pPr>
              <w:jc w:val="center"/>
              <w:rPr>
                <w:rFonts w:hint="eastAsia" w:eastAsia="仿宋_GB2312"/>
                <w:color w:val="auto"/>
                <w:szCs w:val="21"/>
              </w:rPr>
            </w:pPr>
          </w:p>
        </w:tc>
        <w:tc>
          <w:tcPr>
            <w:tcW w:w="292" w:type="pct"/>
            <w:vMerge w:val="continue"/>
            <w:shd w:val="clear" w:color="auto" w:fill="auto"/>
            <w:vAlign w:val="center"/>
          </w:tcPr>
          <w:p w14:paraId="0C37567C">
            <w:pPr>
              <w:jc w:val="center"/>
              <w:rPr>
                <w:rFonts w:hint="eastAsia" w:eastAsia="仿宋_GB2312"/>
                <w:color w:val="auto"/>
              </w:rPr>
            </w:pPr>
          </w:p>
        </w:tc>
      </w:tr>
      <w:tr w14:paraId="2B4AC1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1CB9B1A8">
            <w:pPr>
              <w:jc w:val="center"/>
              <w:rPr>
                <w:rFonts w:eastAsia="仿宋_GB2312"/>
                <w:color w:val="auto"/>
                <w:szCs w:val="21"/>
              </w:rPr>
            </w:pPr>
          </w:p>
        </w:tc>
        <w:tc>
          <w:tcPr>
            <w:tcW w:w="358" w:type="pct"/>
            <w:vMerge w:val="continue"/>
            <w:vAlign w:val="center"/>
          </w:tcPr>
          <w:p w14:paraId="6E010BF6">
            <w:pPr>
              <w:jc w:val="center"/>
              <w:rPr>
                <w:rFonts w:eastAsia="仿宋_GB2312"/>
                <w:color w:val="auto"/>
                <w:szCs w:val="21"/>
              </w:rPr>
            </w:pPr>
          </w:p>
        </w:tc>
        <w:tc>
          <w:tcPr>
            <w:tcW w:w="418" w:type="pct"/>
            <w:vMerge w:val="continue"/>
            <w:shd w:val="clear" w:color="auto" w:fill="auto"/>
            <w:vAlign w:val="center"/>
          </w:tcPr>
          <w:p w14:paraId="6DB3185F">
            <w:pPr>
              <w:jc w:val="center"/>
              <w:rPr>
                <w:rFonts w:eastAsia="仿宋_GB2312"/>
                <w:color w:val="auto"/>
                <w:kern w:val="0"/>
                <w:szCs w:val="21"/>
                <w:lang w:bidi="ar"/>
              </w:rPr>
            </w:pPr>
          </w:p>
        </w:tc>
        <w:tc>
          <w:tcPr>
            <w:tcW w:w="446" w:type="pct"/>
            <w:vMerge w:val="continue"/>
            <w:shd w:val="clear" w:color="auto" w:fill="auto"/>
            <w:vAlign w:val="center"/>
          </w:tcPr>
          <w:p w14:paraId="4BA7AF79">
            <w:pPr>
              <w:jc w:val="center"/>
              <w:rPr>
                <w:rFonts w:eastAsia="仿宋_GB2312"/>
                <w:color w:val="auto"/>
                <w:kern w:val="0"/>
                <w:szCs w:val="21"/>
                <w:lang w:bidi="ar"/>
              </w:rPr>
            </w:pPr>
          </w:p>
        </w:tc>
        <w:tc>
          <w:tcPr>
            <w:tcW w:w="361" w:type="pct"/>
            <w:vMerge w:val="continue"/>
            <w:vAlign w:val="center"/>
          </w:tcPr>
          <w:p w14:paraId="28C9EF37">
            <w:pPr>
              <w:jc w:val="center"/>
              <w:rPr>
                <w:rFonts w:hint="eastAsia" w:eastAsia="仿宋_GB2312"/>
                <w:color w:val="auto"/>
                <w:szCs w:val="21"/>
                <w:lang w:val="en-US" w:eastAsia="zh-CN"/>
              </w:rPr>
            </w:pPr>
          </w:p>
        </w:tc>
        <w:tc>
          <w:tcPr>
            <w:tcW w:w="498" w:type="pct"/>
            <w:vMerge w:val="continue"/>
            <w:shd w:val="clear" w:color="auto" w:fill="auto"/>
            <w:vAlign w:val="center"/>
          </w:tcPr>
          <w:p w14:paraId="56C97278">
            <w:pPr>
              <w:keepNext w:val="0"/>
              <w:keepLines w:val="0"/>
              <w:widowControl/>
              <w:suppressLineNumbers w:val="0"/>
              <w:jc w:val="center"/>
              <w:textAlignment w:val="bottom"/>
              <w:rPr>
                <w:rFonts w:eastAsia="仿宋_GB2312"/>
                <w:color w:val="auto"/>
                <w:kern w:val="0"/>
                <w:szCs w:val="21"/>
                <w:lang w:bidi="ar"/>
              </w:rPr>
            </w:pPr>
          </w:p>
        </w:tc>
        <w:tc>
          <w:tcPr>
            <w:tcW w:w="820" w:type="pct"/>
            <w:shd w:val="clear" w:color="auto" w:fill="auto"/>
            <w:vAlign w:val="center"/>
          </w:tcPr>
          <w:p w14:paraId="705765DD">
            <w:pPr>
              <w:widowControl/>
              <w:jc w:val="center"/>
              <w:textAlignment w:val="center"/>
              <w:rPr>
                <w:rFonts w:hint="eastAsia" w:ascii="Times New Roman" w:hAnsi="Times New Roman" w:eastAsia="仿宋_GB2312" w:cs="Times New Roman"/>
                <w:b/>
                <w:bCs/>
                <w:color w:val="auto"/>
                <w:kern w:val="0"/>
                <w:sz w:val="21"/>
                <w:szCs w:val="21"/>
                <w:lang w:val="en-US" w:eastAsia="zh-CN" w:bidi="ar"/>
              </w:rPr>
            </w:pPr>
            <w:r>
              <w:rPr>
                <w:rFonts w:eastAsia="仿宋_GB2312"/>
                <w:color w:val="auto"/>
                <w:kern w:val="0"/>
                <w:szCs w:val="21"/>
                <w:lang w:bidi="ar"/>
              </w:rPr>
              <w:t>其他有机物</w:t>
            </w:r>
          </w:p>
        </w:tc>
        <w:tc>
          <w:tcPr>
            <w:tcW w:w="380" w:type="pct"/>
            <w:shd w:val="clear" w:color="auto" w:fill="auto"/>
            <w:vAlign w:val="center"/>
          </w:tcPr>
          <w:p w14:paraId="608163C4">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0.0158</w:t>
            </w:r>
          </w:p>
        </w:tc>
        <w:tc>
          <w:tcPr>
            <w:tcW w:w="445" w:type="pct"/>
            <w:shd w:val="clear" w:color="auto" w:fill="auto"/>
            <w:vAlign w:val="center"/>
          </w:tcPr>
          <w:p w14:paraId="6D3A2C99">
            <w:pPr>
              <w:widowControl/>
              <w:jc w:val="center"/>
              <w:textAlignment w:val="center"/>
              <w:rPr>
                <w:rFonts w:hint="eastAsia"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0.004</w:t>
            </w:r>
          </w:p>
        </w:tc>
        <w:tc>
          <w:tcPr>
            <w:tcW w:w="630" w:type="pct"/>
            <w:vMerge w:val="continue"/>
            <w:shd w:val="clear" w:color="auto" w:fill="auto"/>
            <w:vAlign w:val="center"/>
          </w:tcPr>
          <w:p w14:paraId="429C5CEE">
            <w:pPr>
              <w:jc w:val="center"/>
              <w:rPr>
                <w:rFonts w:hint="eastAsia" w:eastAsia="仿宋_GB2312"/>
                <w:color w:val="auto"/>
                <w:szCs w:val="21"/>
              </w:rPr>
            </w:pPr>
          </w:p>
        </w:tc>
        <w:tc>
          <w:tcPr>
            <w:tcW w:w="292" w:type="pct"/>
            <w:vMerge w:val="continue"/>
            <w:shd w:val="clear" w:color="auto" w:fill="auto"/>
            <w:vAlign w:val="center"/>
          </w:tcPr>
          <w:p w14:paraId="225630C7">
            <w:pPr>
              <w:jc w:val="center"/>
              <w:rPr>
                <w:rFonts w:hint="eastAsia" w:eastAsia="仿宋_GB2312"/>
                <w:color w:val="auto"/>
              </w:rPr>
            </w:pPr>
          </w:p>
        </w:tc>
      </w:tr>
      <w:tr w14:paraId="3F77B5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54EC7E60">
            <w:pPr>
              <w:jc w:val="center"/>
              <w:rPr>
                <w:rFonts w:eastAsia="仿宋_GB2312"/>
                <w:color w:val="auto"/>
                <w:szCs w:val="21"/>
              </w:rPr>
            </w:pPr>
          </w:p>
        </w:tc>
        <w:tc>
          <w:tcPr>
            <w:tcW w:w="358" w:type="pct"/>
            <w:vMerge w:val="continue"/>
            <w:vAlign w:val="center"/>
          </w:tcPr>
          <w:p w14:paraId="6A1DFDE0">
            <w:pPr>
              <w:jc w:val="center"/>
              <w:rPr>
                <w:rFonts w:eastAsia="仿宋_GB2312"/>
                <w:color w:val="auto"/>
                <w:szCs w:val="21"/>
              </w:rPr>
            </w:pPr>
          </w:p>
        </w:tc>
        <w:tc>
          <w:tcPr>
            <w:tcW w:w="418" w:type="pct"/>
            <w:vMerge w:val="restart"/>
            <w:shd w:val="clear" w:color="auto" w:fill="auto"/>
            <w:vAlign w:val="center"/>
          </w:tcPr>
          <w:p w14:paraId="7833B993">
            <w:pPr>
              <w:jc w:val="center"/>
              <w:rPr>
                <w:rFonts w:ascii="Times New Roman" w:hAnsi="Times New Roman" w:eastAsia="仿宋_GB2312" w:cs="Times New Roman"/>
                <w:color w:val="auto"/>
                <w:kern w:val="0"/>
                <w:sz w:val="21"/>
                <w:szCs w:val="21"/>
                <w:lang w:val="en-US" w:eastAsia="zh-CN" w:bidi="ar"/>
              </w:rPr>
            </w:pPr>
            <w:r>
              <w:rPr>
                <w:rFonts w:eastAsia="仿宋_GB2312"/>
                <w:color w:val="auto"/>
                <w:kern w:val="0"/>
                <w:szCs w:val="21"/>
                <w:lang w:bidi="ar"/>
              </w:rPr>
              <w:t>G</w:t>
            </w:r>
            <w:r>
              <w:rPr>
                <w:rFonts w:hint="eastAsia" w:eastAsia="仿宋_GB2312"/>
                <w:color w:val="auto"/>
                <w:kern w:val="0"/>
                <w:szCs w:val="21"/>
                <w:lang w:val="en-US" w:eastAsia="zh-CN" w:bidi="ar"/>
              </w:rPr>
              <w:t>3</w:t>
            </w:r>
            <w:r>
              <w:rPr>
                <w:rFonts w:eastAsia="仿宋_GB2312"/>
                <w:color w:val="auto"/>
                <w:kern w:val="0"/>
                <w:szCs w:val="21"/>
                <w:lang w:bidi="ar"/>
              </w:rPr>
              <w:t>-</w:t>
            </w:r>
            <w:r>
              <w:rPr>
                <w:rFonts w:hint="eastAsia" w:eastAsia="仿宋_GB2312"/>
                <w:color w:val="auto"/>
                <w:kern w:val="0"/>
                <w:szCs w:val="21"/>
                <w:lang w:val="en-US" w:eastAsia="zh-CN" w:bidi="ar"/>
              </w:rPr>
              <w:t>12</w:t>
            </w:r>
            <w:r>
              <w:rPr>
                <w:rFonts w:eastAsia="仿宋_GB2312"/>
                <w:color w:val="auto"/>
                <w:kern w:val="0"/>
                <w:szCs w:val="21"/>
                <w:lang w:bidi="ar"/>
              </w:rPr>
              <w:t>-3</w:t>
            </w:r>
          </w:p>
        </w:tc>
        <w:tc>
          <w:tcPr>
            <w:tcW w:w="446" w:type="pct"/>
            <w:vMerge w:val="restart"/>
            <w:shd w:val="clear" w:color="auto" w:fill="auto"/>
            <w:vAlign w:val="center"/>
          </w:tcPr>
          <w:p w14:paraId="1A6B8475">
            <w:pPr>
              <w:jc w:val="center"/>
              <w:rPr>
                <w:rFonts w:ascii="Times New Roman" w:hAnsi="Times New Roman" w:eastAsia="仿宋_GB2312" w:cs="Times New Roman"/>
                <w:color w:val="auto"/>
                <w:kern w:val="0"/>
                <w:sz w:val="21"/>
                <w:szCs w:val="21"/>
                <w:lang w:val="en-US" w:eastAsia="zh-CN" w:bidi="ar"/>
              </w:rPr>
            </w:pPr>
            <w:r>
              <w:rPr>
                <w:rFonts w:eastAsia="仿宋_GB2312"/>
                <w:color w:val="auto"/>
                <w:kern w:val="0"/>
                <w:szCs w:val="21"/>
                <w:lang w:bidi="ar"/>
              </w:rPr>
              <w:t>不凝气</w:t>
            </w:r>
          </w:p>
        </w:tc>
        <w:tc>
          <w:tcPr>
            <w:tcW w:w="361" w:type="pct"/>
            <w:vMerge w:val="restart"/>
            <w:vAlign w:val="center"/>
          </w:tcPr>
          <w:p w14:paraId="6B971FCC">
            <w:pPr>
              <w:jc w:val="center"/>
              <w:rPr>
                <w:rFonts w:hint="default" w:eastAsia="仿宋_GB2312"/>
                <w:color w:val="auto"/>
                <w:szCs w:val="21"/>
                <w:lang w:val="en-US" w:eastAsia="zh-CN"/>
              </w:rPr>
            </w:pPr>
            <w:r>
              <w:rPr>
                <w:rFonts w:hint="eastAsia" w:eastAsia="仿宋_GB2312"/>
                <w:color w:val="auto"/>
                <w:szCs w:val="21"/>
                <w:lang w:val="en-US" w:eastAsia="zh-CN"/>
              </w:rPr>
              <w:t>360</w:t>
            </w:r>
          </w:p>
        </w:tc>
        <w:tc>
          <w:tcPr>
            <w:tcW w:w="498" w:type="pct"/>
            <w:vMerge w:val="restart"/>
            <w:shd w:val="clear" w:color="auto" w:fill="auto"/>
            <w:vAlign w:val="center"/>
          </w:tcPr>
          <w:p w14:paraId="7EC5B5EB">
            <w:pPr>
              <w:keepNext w:val="0"/>
              <w:keepLines w:val="0"/>
              <w:widowControl/>
              <w:suppressLineNumbers w:val="0"/>
              <w:jc w:val="center"/>
              <w:textAlignment w:val="bottom"/>
              <w:rPr>
                <w:rFonts w:hint="eastAsia" w:eastAsia="仿宋_GB2312"/>
                <w:color w:val="auto"/>
                <w:kern w:val="0"/>
                <w:szCs w:val="21"/>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252</w:t>
            </w:r>
          </w:p>
        </w:tc>
        <w:tc>
          <w:tcPr>
            <w:tcW w:w="820" w:type="pct"/>
            <w:shd w:val="clear" w:color="auto" w:fill="auto"/>
            <w:vAlign w:val="center"/>
          </w:tcPr>
          <w:p w14:paraId="2DBEBABC">
            <w:pPr>
              <w:widowControl/>
              <w:jc w:val="center"/>
              <w:textAlignment w:val="center"/>
              <w:rPr>
                <w:rFonts w:hint="eastAsia" w:ascii="Times New Roman" w:hAnsi="Times New Roman" w:eastAsia="仿宋_GB2312" w:cs="Times New Roman"/>
                <w:b/>
                <w:bCs/>
                <w:color w:val="auto"/>
                <w:kern w:val="0"/>
                <w:sz w:val="21"/>
                <w:szCs w:val="21"/>
                <w:lang w:val="en-US" w:eastAsia="zh-CN" w:bidi="ar"/>
              </w:rPr>
            </w:pPr>
            <w:r>
              <w:rPr>
                <w:rFonts w:hint="eastAsia" w:eastAsia="仿宋_GB2312"/>
                <w:color w:val="auto"/>
                <w:kern w:val="0"/>
                <w:szCs w:val="21"/>
                <w:lang w:val="en-US" w:eastAsia="zh-CN" w:bidi="ar"/>
              </w:rPr>
              <w:t>乙酸甲酯</w:t>
            </w:r>
          </w:p>
        </w:tc>
        <w:tc>
          <w:tcPr>
            <w:tcW w:w="380" w:type="pct"/>
            <w:shd w:val="clear" w:color="auto" w:fill="auto"/>
            <w:vAlign w:val="center"/>
          </w:tcPr>
          <w:p w14:paraId="589E32F6">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0.329</w:t>
            </w:r>
          </w:p>
        </w:tc>
        <w:tc>
          <w:tcPr>
            <w:tcW w:w="445" w:type="pct"/>
            <w:shd w:val="clear" w:color="auto" w:fill="auto"/>
            <w:vAlign w:val="center"/>
          </w:tcPr>
          <w:p w14:paraId="7E887202">
            <w:pPr>
              <w:widowControl/>
              <w:jc w:val="center"/>
              <w:textAlignment w:val="center"/>
              <w:rPr>
                <w:rFonts w:hint="eastAsia"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0.083</w:t>
            </w:r>
          </w:p>
        </w:tc>
        <w:tc>
          <w:tcPr>
            <w:tcW w:w="630" w:type="pct"/>
            <w:vMerge w:val="continue"/>
            <w:shd w:val="clear" w:color="auto" w:fill="auto"/>
            <w:vAlign w:val="center"/>
          </w:tcPr>
          <w:p w14:paraId="50B39C71">
            <w:pPr>
              <w:jc w:val="center"/>
              <w:rPr>
                <w:rFonts w:hint="eastAsia" w:eastAsia="仿宋_GB2312"/>
                <w:color w:val="auto"/>
                <w:szCs w:val="21"/>
              </w:rPr>
            </w:pPr>
          </w:p>
        </w:tc>
        <w:tc>
          <w:tcPr>
            <w:tcW w:w="292" w:type="pct"/>
            <w:vMerge w:val="continue"/>
            <w:shd w:val="clear" w:color="auto" w:fill="auto"/>
            <w:vAlign w:val="center"/>
          </w:tcPr>
          <w:p w14:paraId="48FD5F95">
            <w:pPr>
              <w:jc w:val="center"/>
              <w:rPr>
                <w:rFonts w:hint="eastAsia" w:eastAsia="仿宋_GB2312"/>
                <w:color w:val="auto"/>
              </w:rPr>
            </w:pPr>
          </w:p>
        </w:tc>
      </w:tr>
      <w:tr w14:paraId="5FB2BA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3BBAF267">
            <w:pPr>
              <w:jc w:val="center"/>
              <w:rPr>
                <w:rFonts w:eastAsia="仿宋_GB2312"/>
                <w:color w:val="auto"/>
                <w:szCs w:val="21"/>
              </w:rPr>
            </w:pPr>
          </w:p>
        </w:tc>
        <w:tc>
          <w:tcPr>
            <w:tcW w:w="358" w:type="pct"/>
            <w:vMerge w:val="continue"/>
            <w:vAlign w:val="center"/>
          </w:tcPr>
          <w:p w14:paraId="2999E215">
            <w:pPr>
              <w:jc w:val="center"/>
              <w:rPr>
                <w:rFonts w:eastAsia="仿宋_GB2312"/>
                <w:color w:val="auto"/>
                <w:szCs w:val="21"/>
              </w:rPr>
            </w:pPr>
          </w:p>
        </w:tc>
        <w:tc>
          <w:tcPr>
            <w:tcW w:w="418" w:type="pct"/>
            <w:vMerge w:val="continue"/>
            <w:shd w:val="clear" w:color="auto" w:fill="auto"/>
            <w:vAlign w:val="center"/>
          </w:tcPr>
          <w:p w14:paraId="7D09D24B">
            <w:pPr>
              <w:jc w:val="center"/>
              <w:rPr>
                <w:rFonts w:eastAsia="仿宋_GB2312"/>
                <w:color w:val="auto"/>
                <w:kern w:val="0"/>
                <w:szCs w:val="21"/>
                <w:lang w:bidi="ar"/>
              </w:rPr>
            </w:pPr>
          </w:p>
        </w:tc>
        <w:tc>
          <w:tcPr>
            <w:tcW w:w="446" w:type="pct"/>
            <w:vMerge w:val="continue"/>
            <w:shd w:val="clear" w:color="auto" w:fill="auto"/>
            <w:vAlign w:val="center"/>
          </w:tcPr>
          <w:p w14:paraId="0DFB9918">
            <w:pPr>
              <w:jc w:val="center"/>
              <w:rPr>
                <w:rFonts w:eastAsia="仿宋_GB2312"/>
                <w:color w:val="auto"/>
                <w:kern w:val="0"/>
                <w:szCs w:val="21"/>
                <w:lang w:bidi="ar"/>
              </w:rPr>
            </w:pPr>
          </w:p>
        </w:tc>
        <w:tc>
          <w:tcPr>
            <w:tcW w:w="361" w:type="pct"/>
            <w:vMerge w:val="continue"/>
            <w:vAlign w:val="center"/>
          </w:tcPr>
          <w:p w14:paraId="11276F1D">
            <w:pPr>
              <w:jc w:val="center"/>
              <w:rPr>
                <w:rFonts w:hint="eastAsia" w:eastAsia="仿宋_GB2312"/>
                <w:color w:val="auto"/>
                <w:szCs w:val="21"/>
                <w:lang w:val="en-US" w:eastAsia="zh-CN"/>
              </w:rPr>
            </w:pPr>
          </w:p>
        </w:tc>
        <w:tc>
          <w:tcPr>
            <w:tcW w:w="498" w:type="pct"/>
            <w:vMerge w:val="continue"/>
            <w:shd w:val="clear" w:color="auto" w:fill="auto"/>
            <w:vAlign w:val="center"/>
          </w:tcPr>
          <w:p w14:paraId="6B434CA0">
            <w:pPr>
              <w:keepNext w:val="0"/>
              <w:keepLines w:val="0"/>
              <w:widowControl/>
              <w:suppressLineNumbers w:val="0"/>
              <w:jc w:val="center"/>
              <w:textAlignment w:val="bottom"/>
              <w:rPr>
                <w:rFonts w:hint="eastAsia" w:eastAsia="仿宋_GB2312"/>
                <w:color w:val="auto"/>
                <w:kern w:val="0"/>
                <w:szCs w:val="21"/>
                <w:lang w:val="en-US" w:eastAsia="zh-CN" w:bidi="ar"/>
              </w:rPr>
            </w:pPr>
          </w:p>
        </w:tc>
        <w:tc>
          <w:tcPr>
            <w:tcW w:w="820" w:type="pct"/>
            <w:shd w:val="clear" w:color="auto" w:fill="auto"/>
            <w:vAlign w:val="center"/>
          </w:tcPr>
          <w:p w14:paraId="7E4F68FC">
            <w:pPr>
              <w:widowControl/>
              <w:jc w:val="center"/>
              <w:textAlignment w:val="center"/>
              <w:rPr>
                <w:rFonts w:hint="eastAsia"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甲醇</w:t>
            </w:r>
          </w:p>
        </w:tc>
        <w:tc>
          <w:tcPr>
            <w:tcW w:w="380" w:type="pct"/>
            <w:shd w:val="clear" w:color="auto" w:fill="auto"/>
            <w:vAlign w:val="center"/>
          </w:tcPr>
          <w:p w14:paraId="4A8CB5A9">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0.00</w:t>
            </w:r>
            <w:r>
              <w:rPr>
                <w:rFonts w:hint="eastAsia" w:ascii="Times New Roman" w:hAnsi="Times New Roman" w:eastAsia="宋体" w:cs="Times New Roman"/>
                <w:i w:val="0"/>
                <w:iCs w:val="0"/>
                <w:color w:val="auto"/>
                <w:kern w:val="0"/>
                <w:sz w:val="21"/>
                <w:szCs w:val="21"/>
                <w:u w:val="none"/>
                <w:lang w:val="en-US" w:eastAsia="zh-CN" w:bidi="ar"/>
              </w:rPr>
              <w:t>4</w:t>
            </w:r>
          </w:p>
        </w:tc>
        <w:tc>
          <w:tcPr>
            <w:tcW w:w="445" w:type="pct"/>
            <w:shd w:val="clear" w:color="auto" w:fill="auto"/>
            <w:vAlign w:val="center"/>
          </w:tcPr>
          <w:p w14:paraId="1C0C7412">
            <w:pPr>
              <w:widowControl/>
              <w:jc w:val="center"/>
              <w:textAlignment w:val="center"/>
              <w:rPr>
                <w:rFonts w:hint="eastAsia"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0.001</w:t>
            </w:r>
          </w:p>
        </w:tc>
        <w:tc>
          <w:tcPr>
            <w:tcW w:w="630" w:type="pct"/>
            <w:vMerge w:val="continue"/>
            <w:shd w:val="clear" w:color="auto" w:fill="auto"/>
            <w:vAlign w:val="center"/>
          </w:tcPr>
          <w:p w14:paraId="4D6B1151">
            <w:pPr>
              <w:jc w:val="center"/>
              <w:rPr>
                <w:rFonts w:hint="eastAsia" w:eastAsia="仿宋_GB2312"/>
                <w:color w:val="auto"/>
                <w:szCs w:val="21"/>
              </w:rPr>
            </w:pPr>
          </w:p>
        </w:tc>
        <w:tc>
          <w:tcPr>
            <w:tcW w:w="292" w:type="pct"/>
            <w:vMerge w:val="continue"/>
            <w:shd w:val="clear" w:color="auto" w:fill="auto"/>
            <w:vAlign w:val="center"/>
          </w:tcPr>
          <w:p w14:paraId="652B903C">
            <w:pPr>
              <w:jc w:val="center"/>
              <w:rPr>
                <w:rFonts w:hint="eastAsia" w:eastAsia="仿宋_GB2312"/>
                <w:color w:val="auto"/>
              </w:rPr>
            </w:pPr>
          </w:p>
        </w:tc>
      </w:tr>
      <w:tr w14:paraId="55AE47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76DC9006">
            <w:pPr>
              <w:jc w:val="center"/>
              <w:rPr>
                <w:rFonts w:eastAsia="仿宋_GB2312"/>
                <w:color w:val="auto"/>
                <w:szCs w:val="21"/>
              </w:rPr>
            </w:pPr>
          </w:p>
        </w:tc>
        <w:tc>
          <w:tcPr>
            <w:tcW w:w="358" w:type="pct"/>
            <w:vMerge w:val="continue"/>
            <w:vAlign w:val="center"/>
          </w:tcPr>
          <w:p w14:paraId="7EBD15C4">
            <w:pPr>
              <w:jc w:val="center"/>
              <w:rPr>
                <w:rFonts w:eastAsia="仿宋_GB2312"/>
                <w:color w:val="auto"/>
                <w:szCs w:val="21"/>
              </w:rPr>
            </w:pPr>
          </w:p>
        </w:tc>
        <w:tc>
          <w:tcPr>
            <w:tcW w:w="418" w:type="pct"/>
            <w:vMerge w:val="continue"/>
            <w:shd w:val="clear" w:color="auto" w:fill="auto"/>
            <w:vAlign w:val="center"/>
          </w:tcPr>
          <w:p w14:paraId="223FCFCB">
            <w:pPr>
              <w:jc w:val="center"/>
              <w:rPr>
                <w:rFonts w:eastAsia="仿宋_GB2312"/>
                <w:color w:val="auto"/>
                <w:kern w:val="0"/>
                <w:szCs w:val="21"/>
                <w:lang w:bidi="ar"/>
              </w:rPr>
            </w:pPr>
          </w:p>
        </w:tc>
        <w:tc>
          <w:tcPr>
            <w:tcW w:w="446" w:type="pct"/>
            <w:vMerge w:val="continue"/>
            <w:shd w:val="clear" w:color="auto" w:fill="auto"/>
            <w:vAlign w:val="center"/>
          </w:tcPr>
          <w:p w14:paraId="5E37279D">
            <w:pPr>
              <w:jc w:val="center"/>
              <w:rPr>
                <w:rFonts w:eastAsia="仿宋_GB2312"/>
                <w:color w:val="auto"/>
                <w:kern w:val="0"/>
                <w:szCs w:val="21"/>
                <w:lang w:bidi="ar"/>
              </w:rPr>
            </w:pPr>
          </w:p>
        </w:tc>
        <w:tc>
          <w:tcPr>
            <w:tcW w:w="361" w:type="pct"/>
            <w:vMerge w:val="continue"/>
            <w:vAlign w:val="center"/>
          </w:tcPr>
          <w:p w14:paraId="02624B49">
            <w:pPr>
              <w:jc w:val="center"/>
              <w:rPr>
                <w:rFonts w:hint="eastAsia" w:eastAsia="仿宋_GB2312"/>
                <w:color w:val="auto"/>
                <w:szCs w:val="21"/>
                <w:lang w:val="en-US" w:eastAsia="zh-CN"/>
              </w:rPr>
            </w:pPr>
          </w:p>
        </w:tc>
        <w:tc>
          <w:tcPr>
            <w:tcW w:w="498" w:type="pct"/>
            <w:vMerge w:val="continue"/>
            <w:shd w:val="clear" w:color="auto" w:fill="auto"/>
            <w:vAlign w:val="center"/>
          </w:tcPr>
          <w:p w14:paraId="45B08FDC">
            <w:pPr>
              <w:keepNext w:val="0"/>
              <w:keepLines w:val="0"/>
              <w:widowControl/>
              <w:suppressLineNumbers w:val="0"/>
              <w:jc w:val="center"/>
              <w:textAlignment w:val="bottom"/>
              <w:rPr>
                <w:rFonts w:eastAsia="仿宋_GB2312"/>
                <w:color w:val="auto"/>
                <w:kern w:val="0"/>
                <w:szCs w:val="21"/>
                <w:lang w:bidi="ar"/>
              </w:rPr>
            </w:pPr>
          </w:p>
        </w:tc>
        <w:tc>
          <w:tcPr>
            <w:tcW w:w="820" w:type="pct"/>
            <w:shd w:val="clear" w:color="auto" w:fill="auto"/>
            <w:vAlign w:val="center"/>
          </w:tcPr>
          <w:p w14:paraId="06C1257F">
            <w:pPr>
              <w:widowControl/>
              <w:jc w:val="center"/>
              <w:textAlignment w:val="center"/>
              <w:rPr>
                <w:rFonts w:hint="eastAsia" w:ascii="Times New Roman" w:hAnsi="Times New Roman" w:eastAsia="仿宋_GB2312" w:cs="Times New Roman"/>
                <w:b/>
                <w:bCs/>
                <w:color w:val="auto"/>
                <w:kern w:val="0"/>
                <w:sz w:val="21"/>
                <w:szCs w:val="21"/>
                <w:lang w:val="en-US" w:eastAsia="zh-CN" w:bidi="ar"/>
              </w:rPr>
            </w:pPr>
            <w:r>
              <w:rPr>
                <w:rFonts w:eastAsia="仿宋_GB2312"/>
                <w:color w:val="auto"/>
                <w:kern w:val="0"/>
                <w:szCs w:val="21"/>
                <w:lang w:bidi="ar"/>
              </w:rPr>
              <w:t>其他有机物</w:t>
            </w:r>
          </w:p>
        </w:tc>
        <w:tc>
          <w:tcPr>
            <w:tcW w:w="380" w:type="pct"/>
            <w:shd w:val="clear" w:color="auto" w:fill="auto"/>
            <w:vAlign w:val="center"/>
          </w:tcPr>
          <w:p w14:paraId="200FF3D3">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0.00</w:t>
            </w:r>
            <w:r>
              <w:rPr>
                <w:rFonts w:hint="eastAsia" w:ascii="Times New Roman" w:hAnsi="Times New Roman" w:eastAsia="宋体" w:cs="Times New Roman"/>
                <w:i w:val="0"/>
                <w:iCs w:val="0"/>
                <w:color w:val="auto"/>
                <w:kern w:val="0"/>
                <w:sz w:val="21"/>
                <w:szCs w:val="21"/>
                <w:u w:val="none"/>
                <w:lang w:val="en-US" w:eastAsia="zh-CN" w:bidi="ar"/>
              </w:rPr>
              <w:t>4</w:t>
            </w:r>
          </w:p>
        </w:tc>
        <w:tc>
          <w:tcPr>
            <w:tcW w:w="445" w:type="pct"/>
            <w:shd w:val="clear" w:color="auto" w:fill="auto"/>
            <w:vAlign w:val="center"/>
          </w:tcPr>
          <w:p w14:paraId="7AF1E681">
            <w:pPr>
              <w:widowControl/>
              <w:jc w:val="center"/>
              <w:textAlignment w:val="center"/>
              <w:rPr>
                <w:rFonts w:hint="eastAsia"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0.001</w:t>
            </w:r>
          </w:p>
        </w:tc>
        <w:tc>
          <w:tcPr>
            <w:tcW w:w="630" w:type="pct"/>
            <w:vMerge w:val="continue"/>
            <w:shd w:val="clear" w:color="auto" w:fill="auto"/>
            <w:vAlign w:val="center"/>
          </w:tcPr>
          <w:p w14:paraId="3F00E0D5">
            <w:pPr>
              <w:jc w:val="center"/>
              <w:rPr>
                <w:rFonts w:hint="eastAsia" w:eastAsia="仿宋_GB2312"/>
                <w:color w:val="auto"/>
                <w:szCs w:val="21"/>
              </w:rPr>
            </w:pPr>
          </w:p>
        </w:tc>
        <w:tc>
          <w:tcPr>
            <w:tcW w:w="292" w:type="pct"/>
            <w:vMerge w:val="continue"/>
            <w:shd w:val="clear" w:color="auto" w:fill="auto"/>
            <w:vAlign w:val="center"/>
          </w:tcPr>
          <w:p w14:paraId="375DDD93">
            <w:pPr>
              <w:jc w:val="center"/>
              <w:rPr>
                <w:rFonts w:hint="eastAsia" w:eastAsia="仿宋_GB2312"/>
                <w:color w:val="auto"/>
              </w:rPr>
            </w:pPr>
          </w:p>
        </w:tc>
      </w:tr>
      <w:tr w14:paraId="1E164D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1C26C141">
            <w:pPr>
              <w:jc w:val="center"/>
              <w:rPr>
                <w:rFonts w:eastAsia="仿宋_GB2312"/>
                <w:color w:val="auto"/>
                <w:szCs w:val="21"/>
              </w:rPr>
            </w:pPr>
          </w:p>
        </w:tc>
        <w:tc>
          <w:tcPr>
            <w:tcW w:w="358" w:type="pct"/>
            <w:vMerge w:val="continue"/>
            <w:vAlign w:val="center"/>
          </w:tcPr>
          <w:p w14:paraId="62C8295B">
            <w:pPr>
              <w:jc w:val="center"/>
              <w:rPr>
                <w:rFonts w:eastAsia="仿宋_GB2312"/>
                <w:color w:val="auto"/>
                <w:szCs w:val="21"/>
              </w:rPr>
            </w:pPr>
          </w:p>
        </w:tc>
        <w:tc>
          <w:tcPr>
            <w:tcW w:w="418" w:type="pct"/>
            <w:vMerge w:val="restart"/>
            <w:shd w:val="clear" w:color="auto" w:fill="auto"/>
            <w:vAlign w:val="center"/>
          </w:tcPr>
          <w:p w14:paraId="03AAF336">
            <w:pPr>
              <w:jc w:val="center"/>
              <w:rPr>
                <w:rFonts w:ascii="Times New Roman" w:hAnsi="Times New Roman" w:eastAsia="仿宋_GB2312" w:cs="Times New Roman"/>
                <w:color w:val="auto"/>
                <w:kern w:val="0"/>
                <w:sz w:val="21"/>
                <w:szCs w:val="21"/>
                <w:lang w:val="en-US" w:eastAsia="zh-CN" w:bidi="ar"/>
              </w:rPr>
            </w:pPr>
            <w:r>
              <w:rPr>
                <w:rFonts w:eastAsia="仿宋_GB2312"/>
                <w:color w:val="auto"/>
                <w:kern w:val="0"/>
                <w:szCs w:val="21"/>
                <w:lang w:bidi="ar"/>
              </w:rPr>
              <w:t>G</w:t>
            </w:r>
            <w:r>
              <w:rPr>
                <w:rFonts w:hint="eastAsia" w:eastAsia="仿宋_GB2312"/>
                <w:color w:val="auto"/>
                <w:kern w:val="0"/>
                <w:szCs w:val="21"/>
                <w:lang w:val="en-US" w:eastAsia="zh-CN" w:bidi="ar"/>
              </w:rPr>
              <w:t>3</w:t>
            </w:r>
            <w:r>
              <w:rPr>
                <w:rFonts w:eastAsia="仿宋_GB2312"/>
                <w:color w:val="auto"/>
                <w:kern w:val="0"/>
                <w:szCs w:val="21"/>
                <w:lang w:bidi="ar"/>
              </w:rPr>
              <w:t>-</w:t>
            </w:r>
            <w:r>
              <w:rPr>
                <w:rFonts w:hint="eastAsia" w:eastAsia="仿宋_GB2312"/>
                <w:color w:val="auto"/>
                <w:kern w:val="0"/>
                <w:szCs w:val="21"/>
                <w:lang w:val="en-US" w:eastAsia="zh-CN" w:bidi="ar"/>
              </w:rPr>
              <w:t>12</w:t>
            </w:r>
            <w:r>
              <w:rPr>
                <w:rFonts w:eastAsia="仿宋_GB2312"/>
                <w:color w:val="auto"/>
                <w:kern w:val="0"/>
                <w:szCs w:val="21"/>
                <w:lang w:bidi="ar"/>
              </w:rPr>
              <w:t>-4</w:t>
            </w:r>
          </w:p>
        </w:tc>
        <w:tc>
          <w:tcPr>
            <w:tcW w:w="446" w:type="pct"/>
            <w:vMerge w:val="restart"/>
            <w:shd w:val="clear" w:color="auto" w:fill="auto"/>
            <w:vAlign w:val="center"/>
          </w:tcPr>
          <w:p w14:paraId="278DE706">
            <w:pPr>
              <w:jc w:val="center"/>
              <w:rPr>
                <w:rFonts w:ascii="Times New Roman" w:hAnsi="Times New Roman" w:eastAsia="仿宋_GB2312" w:cs="Times New Roman"/>
                <w:color w:val="auto"/>
                <w:kern w:val="0"/>
                <w:sz w:val="21"/>
                <w:szCs w:val="21"/>
                <w:lang w:val="en-US" w:eastAsia="zh-CN" w:bidi="ar"/>
              </w:rPr>
            </w:pPr>
            <w:r>
              <w:rPr>
                <w:rFonts w:eastAsia="仿宋_GB2312"/>
                <w:color w:val="auto"/>
                <w:kern w:val="0"/>
                <w:szCs w:val="21"/>
                <w:lang w:bidi="ar"/>
              </w:rPr>
              <w:t>不凝气</w:t>
            </w:r>
          </w:p>
        </w:tc>
        <w:tc>
          <w:tcPr>
            <w:tcW w:w="361" w:type="pct"/>
            <w:vMerge w:val="restart"/>
            <w:vAlign w:val="center"/>
          </w:tcPr>
          <w:p w14:paraId="0DBCE388">
            <w:pPr>
              <w:jc w:val="center"/>
              <w:rPr>
                <w:rFonts w:hint="default" w:eastAsia="仿宋_GB2312"/>
                <w:color w:val="auto"/>
                <w:szCs w:val="21"/>
                <w:lang w:val="en-US" w:eastAsia="zh-CN"/>
              </w:rPr>
            </w:pPr>
            <w:r>
              <w:rPr>
                <w:rFonts w:hint="eastAsia" w:eastAsia="仿宋_GB2312"/>
                <w:color w:val="auto"/>
                <w:szCs w:val="21"/>
                <w:lang w:val="en-US" w:eastAsia="zh-CN"/>
              </w:rPr>
              <w:t>360</w:t>
            </w:r>
          </w:p>
        </w:tc>
        <w:tc>
          <w:tcPr>
            <w:tcW w:w="498" w:type="pct"/>
            <w:vMerge w:val="restart"/>
            <w:shd w:val="clear" w:color="auto" w:fill="auto"/>
            <w:vAlign w:val="center"/>
          </w:tcPr>
          <w:p w14:paraId="2B2D38D1">
            <w:pPr>
              <w:keepNext w:val="0"/>
              <w:keepLines w:val="0"/>
              <w:widowControl/>
              <w:suppressLineNumbers w:val="0"/>
              <w:jc w:val="center"/>
              <w:textAlignment w:val="bottom"/>
              <w:rPr>
                <w:rFonts w:hint="eastAsia" w:eastAsia="仿宋_GB2312"/>
                <w:color w:val="auto"/>
                <w:kern w:val="0"/>
                <w:szCs w:val="21"/>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252</w:t>
            </w:r>
          </w:p>
        </w:tc>
        <w:tc>
          <w:tcPr>
            <w:tcW w:w="820" w:type="pct"/>
            <w:shd w:val="clear" w:color="auto" w:fill="auto"/>
            <w:vAlign w:val="center"/>
          </w:tcPr>
          <w:p w14:paraId="5F77EAE2">
            <w:pPr>
              <w:widowControl/>
              <w:jc w:val="center"/>
              <w:textAlignment w:val="center"/>
              <w:rPr>
                <w:rFonts w:hint="eastAsia" w:ascii="Times New Roman" w:hAnsi="Times New Roman" w:eastAsia="仿宋_GB2312" w:cs="Times New Roman"/>
                <w:b/>
                <w:bCs/>
                <w:color w:val="auto"/>
                <w:kern w:val="0"/>
                <w:sz w:val="21"/>
                <w:szCs w:val="21"/>
                <w:lang w:val="en-US" w:eastAsia="zh-CN" w:bidi="ar"/>
              </w:rPr>
            </w:pPr>
            <w:r>
              <w:rPr>
                <w:rFonts w:hint="eastAsia" w:eastAsia="仿宋_GB2312"/>
                <w:color w:val="auto"/>
                <w:kern w:val="0"/>
                <w:szCs w:val="21"/>
                <w:lang w:val="en-US" w:eastAsia="zh-CN" w:bidi="ar"/>
              </w:rPr>
              <w:t>乙酸甲酯</w:t>
            </w:r>
          </w:p>
        </w:tc>
        <w:tc>
          <w:tcPr>
            <w:tcW w:w="380" w:type="pct"/>
            <w:shd w:val="clear" w:color="auto" w:fill="auto"/>
            <w:vAlign w:val="center"/>
          </w:tcPr>
          <w:p w14:paraId="3AE12D33">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59.39</w:t>
            </w:r>
          </w:p>
        </w:tc>
        <w:tc>
          <w:tcPr>
            <w:tcW w:w="445" w:type="pct"/>
            <w:shd w:val="clear" w:color="auto" w:fill="auto"/>
            <w:vAlign w:val="center"/>
          </w:tcPr>
          <w:p w14:paraId="101F9EF0">
            <w:pPr>
              <w:widowControl/>
              <w:jc w:val="center"/>
              <w:textAlignment w:val="center"/>
              <w:rPr>
                <w:rFonts w:hint="eastAsia"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14.967</w:t>
            </w:r>
          </w:p>
        </w:tc>
        <w:tc>
          <w:tcPr>
            <w:tcW w:w="630" w:type="pct"/>
            <w:vMerge w:val="continue"/>
            <w:shd w:val="clear" w:color="auto" w:fill="auto"/>
            <w:vAlign w:val="center"/>
          </w:tcPr>
          <w:p w14:paraId="6C2CDB32">
            <w:pPr>
              <w:jc w:val="center"/>
              <w:rPr>
                <w:rFonts w:hint="eastAsia" w:eastAsia="仿宋_GB2312"/>
                <w:color w:val="auto"/>
                <w:szCs w:val="21"/>
              </w:rPr>
            </w:pPr>
          </w:p>
        </w:tc>
        <w:tc>
          <w:tcPr>
            <w:tcW w:w="292" w:type="pct"/>
            <w:vMerge w:val="continue"/>
            <w:shd w:val="clear" w:color="auto" w:fill="auto"/>
            <w:vAlign w:val="center"/>
          </w:tcPr>
          <w:p w14:paraId="6D1AC6E9">
            <w:pPr>
              <w:jc w:val="center"/>
              <w:rPr>
                <w:rFonts w:hint="eastAsia" w:eastAsia="仿宋_GB2312"/>
                <w:color w:val="auto"/>
              </w:rPr>
            </w:pPr>
          </w:p>
        </w:tc>
      </w:tr>
      <w:tr w14:paraId="1A56DD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74564498">
            <w:pPr>
              <w:jc w:val="center"/>
              <w:rPr>
                <w:rFonts w:eastAsia="仿宋_GB2312"/>
                <w:color w:val="auto"/>
                <w:szCs w:val="21"/>
              </w:rPr>
            </w:pPr>
          </w:p>
        </w:tc>
        <w:tc>
          <w:tcPr>
            <w:tcW w:w="358" w:type="pct"/>
            <w:vMerge w:val="continue"/>
            <w:vAlign w:val="center"/>
          </w:tcPr>
          <w:p w14:paraId="081B7FCC">
            <w:pPr>
              <w:jc w:val="center"/>
              <w:rPr>
                <w:rFonts w:eastAsia="仿宋_GB2312"/>
                <w:color w:val="auto"/>
                <w:szCs w:val="21"/>
              </w:rPr>
            </w:pPr>
          </w:p>
        </w:tc>
        <w:tc>
          <w:tcPr>
            <w:tcW w:w="418" w:type="pct"/>
            <w:vMerge w:val="continue"/>
            <w:shd w:val="clear" w:color="auto" w:fill="auto"/>
            <w:vAlign w:val="center"/>
          </w:tcPr>
          <w:p w14:paraId="01977C77">
            <w:pPr>
              <w:jc w:val="center"/>
              <w:rPr>
                <w:rFonts w:eastAsia="仿宋_GB2312"/>
                <w:color w:val="auto"/>
                <w:kern w:val="0"/>
                <w:szCs w:val="21"/>
                <w:lang w:bidi="ar"/>
              </w:rPr>
            </w:pPr>
          </w:p>
        </w:tc>
        <w:tc>
          <w:tcPr>
            <w:tcW w:w="446" w:type="pct"/>
            <w:vMerge w:val="continue"/>
            <w:shd w:val="clear" w:color="auto" w:fill="auto"/>
            <w:vAlign w:val="center"/>
          </w:tcPr>
          <w:p w14:paraId="2C327C84">
            <w:pPr>
              <w:jc w:val="center"/>
              <w:rPr>
                <w:rFonts w:eastAsia="仿宋_GB2312"/>
                <w:color w:val="auto"/>
                <w:kern w:val="0"/>
                <w:szCs w:val="21"/>
                <w:lang w:bidi="ar"/>
              </w:rPr>
            </w:pPr>
          </w:p>
        </w:tc>
        <w:tc>
          <w:tcPr>
            <w:tcW w:w="361" w:type="pct"/>
            <w:vMerge w:val="continue"/>
            <w:vAlign w:val="center"/>
          </w:tcPr>
          <w:p w14:paraId="0DF4B01C">
            <w:pPr>
              <w:jc w:val="center"/>
              <w:rPr>
                <w:rFonts w:hint="eastAsia" w:eastAsia="仿宋_GB2312"/>
                <w:color w:val="auto"/>
                <w:szCs w:val="21"/>
                <w:lang w:val="en-US" w:eastAsia="zh-CN"/>
              </w:rPr>
            </w:pPr>
          </w:p>
        </w:tc>
        <w:tc>
          <w:tcPr>
            <w:tcW w:w="498" w:type="pct"/>
            <w:vMerge w:val="continue"/>
            <w:shd w:val="clear" w:color="auto" w:fill="auto"/>
            <w:vAlign w:val="center"/>
          </w:tcPr>
          <w:p w14:paraId="36AE0C73">
            <w:pPr>
              <w:keepNext w:val="0"/>
              <w:keepLines w:val="0"/>
              <w:widowControl/>
              <w:suppressLineNumbers w:val="0"/>
              <w:jc w:val="center"/>
              <w:textAlignment w:val="bottom"/>
              <w:rPr>
                <w:rFonts w:hint="eastAsia" w:eastAsia="仿宋_GB2312"/>
                <w:color w:val="auto"/>
                <w:kern w:val="0"/>
                <w:szCs w:val="21"/>
                <w:lang w:val="en-US" w:eastAsia="zh-CN" w:bidi="ar"/>
              </w:rPr>
            </w:pPr>
          </w:p>
        </w:tc>
        <w:tc>
          <w:tcPr>
            <w:tcW w:w="820" w:type="pct"/>
            <w:shd w:val="clear" w:color="auto" w:fill="auto"/>
            <w:vAlign w:val="center"/>
          </w:tcPr>
          <w:p w14:paraId="47156F6F">
            <w:pPr>
              <w:widowControl/>
              <w:jc w:val="center"/>
              <w:textAlignment w:val="center"/>
              <w:rPr>
                <w:rFonts w:hint="eastAsia"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甲醇</w:t>
            </w:r>
          </w:p>
        </w:tc>
        <w:tc>
          <w:tcPr>
            <w:tcW w:w="380" w:type="pct"/>
            <w:shd w:val="clear" w:color="auto" w:fill="auto"/>
            <w:vAlign w:val="center"/>
          </w:tcPr>
          <w:p w14:paraId="5FEA6951">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0.24</w:t>
            </w:r>
          </w:p>
        </w:tc>
        <w:tc>
          <w:tcPr>
            <w:tcW w:w="445" w:type="pct"/>
            <w:shd w:val="clear" w:color="auto" w:fill="auto"/>
            <w:vAlign w:val="center"/>
          </w:tcPr>
          <w:p w14:paraId="0D3F02C9">
            <w:pPr>
              <w:widowControl/>
              <w:jc w:val="center"/>
              <w:textAlignment w:val="center"/>
              <w:rPr>
                <w:rFonts w:hint="eastAsia"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0.062</w:t>
            </w:r>
          </w:p>
        </w:tc>
        <w:tc>
          <w:tcPr>
            <w:tcW w:w="630" w:type="pct"/>
            <w:vMerge w:val="continue"/>
            <w:shd w:val="clear" w:color="auto" w:fill="auto"/>
            <w:vAlign w:val="center"/>
          </w:tcPr>
          <w:p w14:paraId="24BDB773">
            <w:pPr>
              <w:jc w:val="center"/>
              <w:rPr>
                <w:rFonts w:hint="eastAsia" w:eastAsia="仿宋_GB2312"/>
                <w:color w:val="auto"/>
                <w:szCs w:val="21"/>
              </w:rPr>
            </w:pPr>
          </w:p>
        </w:tc>
        <w:tc>
          <w:tcPr>
            <w:tcW w:w="292" w:type="pct"/>
            <w:vMerge w:val="continue"/>
            <w:shd w:val="clear" w:color="auto" w:fill="auto"/>
            <w:vAlign w:val="center"/>
          </w:tcPr>
          <w:p w14:paraId="2A6F9689">
            <w:pPr>
              <w:jc w:val="center"/>
              <w:rPr>
                <w:rFonts w:hint="eastAsia" w:eastAsia="仿宋_GB2312"/>
                <w:color w:val="auto"/>
              </w:rPr>
            </w:pPr>
          </w:p>
        </w:tc>
      </w:tr>
      <w:tr w14:paraId="3C7B10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4DF3A163">
            <w:pPr>
              <w:jc w:val="center"/>
              <w:rPr>
                <w:rFonts w:eastAsia="仿宋_GB2312"/>
                <w:color w:val="auto"/>
                <w:szCs w:val="21"/>
              </w:rPr>
            </w:pPr>
          </w:p>
        </w:tc>
        <w:tc>
          <w:tcPr>
            <w:tcW w:w="358" w:type="pct"/>
            <w:vMerge w:val="continue"/>
            <w:vAlign w:val="center"/>
          </w:tcPr>
          <w:p w14:paraId="76D7ED3D">
            <w:pPr>
              <w:jc w:val="center"/>
              <w:rPr>
                <w:rFonts w:eastAsia="仿宋_GB2312"/>
                <w:color w:val="auto"/>
                <w:szCs w:val="21"/>
              </w:rPr>
            </w:pPr>
          </w:p>
        </w:tc>
        <w:tc>
          <w:tcPr>
            <w:tcW w:w="418" w:type="pct"/>
            <w:vMerge w:val="continue"/>
            <w:shd w:val="clear" w:color="auto" w:fill="auto"/>
            <w:vAlign w:val="center"/>
          </w:tcPr>
          <w:p w14:paraId="22C30449">
            <w:pPr>
              <w:jc w:val="center"/>
              <w:rPr>
                <w:rFonts w:eastAsia="仿宋_GB2312"/>
                <w:color w:val="auto"/>
                <w:kern w:val="0"/>
                <w:szCs w:val="21"/>
                <w:lang w:bidi="ar"/>
              </w:rPr>
            </w:pPr>
          </w:p>
        </w:tc>
        <w:tc>
          <w:tcPr>
            <w:tcW w:w="446" w:type="pct"/>
            <w:vMerge w:val="continue"/>
            <w:shd w:val="clear" w:color="auto" w:fill="auto"/>
            <w:vAlign w:val="center"/>
          </w:tcPr>
          <w:p w14:paraId="5C054BFA">
            <w:pPr>
              <w:jc w:val="center"/>
              <w:rPr>
                <w:rFonts w:eastAsia="仿宋_GB2312"/>
                <w:color w:val="auto"/>
                <w:kern w:val="0"/>
                <w:szCs w:val="21"/>
                <w:lang w:bidi="ar"/>
              </w:rPr>
            </w:pPr>
          </w:p>
        </w:tc>
        <w:tc>
          <w:tcPr>
            <w:tcW w:w="361" w:type="pct"/>
            <w:vMerge w:val="continue"/>
            <w:vAlign w:val="center"/>
          </w:tcPr>
          <w:p w14:paraId="6FB09B58">
            <w:pPr>
              <w:jc w:val="center"/>
              <w:rPr>
                <w:rFonts w:hint="eastAsia" w:eastAsia="仿宋_GB2312"/>
                <w:color w:val="auto"/>
                <w:szCs w:val="21"/>
                <w:lang w:val="en-US" w:eastAsia="zh-CN"/>
              </w:rPr>
            </w:pPr>
          </w:p>
        </w:tc>
        <w:tc>
          <w:tcPr>
            <w:tcW w:w="498" w:type="pct"/>
            <w:vMerge w:val="continue"/>
            <w:shd w:val="clear" w:color="auto" w:fill="auto"/>
            <w:vAlign w:val="center"/>
          </w:tcPr>
          <w:p w14:paraId="72CFA503">
            <w:pPr>
              <w:keepNext w:val="0"/>
              <w:keepLines w:val="0"/>
              <w:widowControl/>
              <w:suppressLineNumbers w:val="0"/>
              <w:jc w:val="center"/>
              <w:textAlignment w:val="bottom"/>
              <w:rPr>
                <w:rFonts w:eastAsia="仿宋_GB2312"/>
                <w:color w:val="auto"/>
                <w:kern w:val="0"/>
                <w:szCs w:val="21"/>
                <w:lang w:bidi="ar"/>
              </w:rPr>
            </w:pPr>
          </w:p>
        </w:tc>
        <w:tc>
          <w:tcPr>
            <w:tcW w:w="820" w:type="pct"/>
            <w:shd w:val="clear" w:color="auto" w:fill="auto"/>
            <w:vAlign w:val="center"/>
          </w:tcPr>
          <w:p w14:paraId="2C2CC0F6">
            <w:pPr>
              <w:widowControl/>
              <w:jc w:val="center"/>
              <w:textAlignment w:val="center"/>
              <w:rPr>
                <w:rFonts w:hint="eastAsia" w:ascii="Times New Roman" w:hAnsi="Times New Roman" w:eastAsia="仿宋_GB2312" w:cs="Times New Roman"/>
                <w:b/>
                <w:bCs/>
                <w:color w:val="auto"/>
                <w:kern w:val="0"/>
                <w:sz w:val="21"/>
                <w:szCs w:val="21"/>
                <w:lang w:val="en-US" w:eastAsia="zh-CN" w:bidi="ar"/>
              </w:rPr>
            </w:pPr>
            <w:r>
              <w:rPr>
                <w:rFonts w:eastAsia="仿宋_GB2312"/>
                <w:color w:val="auto"/>
                <w:kern w:val="0"/>
                <w:szCs w:val="21"/>
                <w:lang w:bidi="ar"/>
              </w:rPr>
              <w:t>其他有机物</w:t>
            </w:r>
          </w:p>
        </w:tc>
        <w:tc>
          <w:tcPr>
            <w:tcW w:w="380" w:type="pct"/>
            <w:shd w:val="clear" w:color="auto" w:fill="auto"/>
            <w:vAlign w:val="center"/>
          </w:tcPr>
          <w:p w14:paraId="632137B6">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0.17</w:t>
            </w:r>
          </w:p>
        </w:tc>
        <w:tc>
          <w:tcPr>
            <w:tcW w:w="445" w:type="pct"/>
            <w:shd w:val="clear" w:color="auto" w:fill="auto"/>
            <w:vAlign w:val="center"/>
          </w:tcPr>
          <w:p w14:paraId="5AEABFCB">
            <w:pPr>
              <w:widowControl/>
              <w:jc w:val="center"/>
              <w:textAlignment w:val="center"/>
              <w:rPr>
                <w:rFonts w:hint="eastAsia"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0.045</w:t>
            </w:r>
          </w:p>
        </w:tc>
        <w:tc>
          <w:tcPr>
            <w:tcW w:w="630" w:type="pct"/>
            <w:vMerge w:val="continue"/>
            <w:shd w:val="clear" w:color="auto" w:fill="auto"/>
            <w:vAlign w:val="center"/>
          </w:tcPr>
          <w:p w14:paraId="2E3C9107">
            <w:pPr>
              <w:jc w:val="center"/>
              <w:rPr>
                <w:rFonts w:hint="eastAsia" w:eastAsia="仿宋_GB2312"/>
                <w:color w:val="auto"/>
                <w:szCs w:val="21"/>
              </w:rPr>
            </w:pPr>
          </w:p>
        </w:tc>
        <w:tc>
          <w:tcPr>
            <w:tcW w:w="292" w:type="pct"/>
            <w:vMerge w:val="continue"/>
            <w:shd w:val="clear" w:color="auto" w:fill="auto"/>
            <w:vAlign w:val="center"/>
          </w:tcPr>
          <w:p w14:paraId="336F53AC">
            <w:pPr>
              <w:jc w:val="center"/>
              <w:rPr>
                <w:rFonts w:hint="eastAsia" w:eastAsia="仿宋_GB2312"/>
                <w:color w:val="auto"/>
              </w:rPr>
            </w:pPr>
          </w:p>
        </w:tc>
      </w:tr>
      <w:tr w14:paraId="626B60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3EDE4996">
            <w:pPr>
              <w:jc w:val="center"/>
              <w:rPr>
                <w:rFonts w:eastAsia="仿宋_GB2312"/>
                <w:color w:val="auto"/>
                <w:szCs w:val="21"/>
              </w:rPr>
            </w:pPr>
          </w:p>
        </w:tc>
        <w:tc>
          <w:tcPr>
            <w:tcW w:w="358" w:type="pct"/>
            <w:vMerge w:val="continue"/>
            <w:vAlign w:val="center"/>
          </w:tcPr>
          <w:p w14:paraId="6CAF2BEF">
            <w:pPr>
              <w:jc w:val="center"/>
              <w:rPr>
                <w:rFonts w:eastAsia="仿宋_GB2312"/>
                <w:color w:val="auto"/>
                <w:szCs w:val="21"/>
              </w:rPr>
            </w:pPr>
          </w:p>
        </w:tc>
        <w:tc>
          <w:tcPr>
            <w:tcW w:w="418" w:type="pct"/>
            <w:vMerge w:val="restart"/>
            <w:shd w:val="clear" w:color="auto" w:fill="auto"/>
            <w:vAlign w:val="center"/>
          </w:tcPr>
          <w:p w14:paraId="5D5DB565">
            <w:pPr>
              <w:jc w:val="center"/>
              <w:rPr>
                <w:rFonts w:ascii="Times New Roman" w:hAnsi="Times New Roman" w:eastAsia="仿宋_GB2312" w:cs="Times New Roman"/>
                <w:color w:val="auto"/>
                <w:kern w:val="2"/>
                <w:sz w:val="21"/>
                <w:szCs w:val="21"/>
                <w:lang w:val="en-US" w:eastAsia="zh-CN" w:bidi="ar-SA"/>
              </w:rPr>
            </w:pPr>
            <w:r>
              <w:rPr>
                <w:rFonts w:eastAsia="仿宋_GB2312"/>
                <w:color w:val="auto"/>
                <w:kern w:val="0"/>
                <w:szCs w:val="21"/>
                <w:lang w:bidi="ar"/>
              </w:rPr>
              <w:t>G</w:t>
            </w:r>
            <w:r>
              <w:rPr>
                <w:rFonts w:hint="eastAsia" w:eastAsia="仿宋_GB2312"/>
                <w:color w:val="auto"/>
                <w:kern w:val="0"/>
                <w:szCs w:val="21"/>
                <w:lang w:val="en-US" w:eastAsia="zh-CN" w:bidi="ar"/>
              </w:rPr>
              <w:t>3</w:t>
            </w:r>
            <w:r>
              <w:rPr>
                <w:rFonts w:eastAsia="仿宋_GB2312"/>
                <w:color w:val="auto"/>
                <w:kern w:val="0"/>
                <w:szCs w:val="21"/>
                <w:lang w:bidi="ar"/>
              </w:rPr>
              <w:t>-</w:t>
            </w:r>
            <w:r>
              <w:rPr>
                <w:rFonts w:hint="eastAsia" w:eastAsia="仿宋_GB2312"/>
                <w:color w:val="auto"/>
                <w:kern w:val="0"/>
                <w:szCs w:val="21"/>
                <w:lang w:val="en-US" w:eastAsia="zh-CN" w:bidi="ar"/>
              </w:rPr>
              <w:t>12</w:t>
            </w:r>
            <w:r>
              <w:rPr>
                <w:rFonts w:eastAsia="仿宋_GB2312"/>
                <w:color w:val="auto"/>
                <w:kern w:val="0"/>
                <w:szCs w:val="21"/>
                <w:lang w:bidi="ar"/>
              </w:rPr>
              <w:t>-5</w:t>
            </w:r>
          </w:p>
        </w:tc>
        <w:tc>
          <w:tcPr>
            <w:tcW w:w="446" w:type="pct"/>
            <w:vMerge w:val="restart"/>
            <w:shd w:val="clear" w:color="auto" w:fill="auto"/>
            <w:vAlign w:val="center"/>
          </w:tcPr>
          <w:p w14:paraId="50838083">
            <w:pPr>
              <w:jc w:val="center"/>
              <w:rPr>
                <w:rFonts w:ascii="Times New Roman" w:hAnsi="Times New Roman" w:eastAsia="仿宋_GB2312" w:cs="Times New Roman"/>
                <w:color w:val="auto"/>
                <w:kern w:val="2"/>
                <w:sz w:val="21"/>
                <w:szCs w:val="21"/>
                <w:lang w:val="en-US" w:eastAsia="zh-CN" w:bidi="ar-SA"/>
              </w:rPr>
            </w:pPr>
            <w:r>
              <w:rPr>
                <w:rFonts w:eastAsia="仿宋_GB2312"/>
                <w:color w:val="auto"/>
                <w:kern w:val="0"/>
                <w:szCs w:val="21"/>
                <w:lang w:bidi="ar"/>
              </w:rPr>
              <w:t>灌装废气</w:t>
            </w:r>
          </w:p>
        </w:tc>
        <w:tc>
          <w:tcPr>
            <w:tcW w:w="361" w:type="pct"/>
            <w:vMerge w:val="restart"/>
            <w:vAlign w:val="center"/>
          </w:tcPr>
          <w:p w14:paraId="0839E727">
            <w:pPr>
              <w:jc w:val="center"/>
              <w:rPr>
                <w:rFonts w:hint="default" w:eastAsia="仿宋_GB2312"/>
                <w:color w:val="auto"/>
                <w:szCs w:val="21"/>
                <w:lang w:val="en-US" w:eastAsia="zh-CN"/>
              </w:rPr>
            </w:pPr>
            <w:r>
              <w:rPr>
                <w:rFonts w:hint="eastAsia" w:eastAsia="仿宋_GB2312"/>
                <w:color w:val="auto"/>
                <w:szCs w:val="21"/>
                <w:lang w:val="en-US" w:eastAsia="zh-CN"/>
              </w:rPr>
              <w:t>2000</w:t>
            </w:r>
          </w:p>
        </w:tc>
        <w:tc>
          <w:tcPr>
            <w:tcW w:w="498" w:type="pct"/>
            <w:vMerge w:val="restart"/>
            <w:shd w:val="clear" w:color="auto" w:fill="auto"/>
            <w:vAlign w:val="center"/>
          </w:tcPr>
          <w:p w14:paraId="7F428ADE">
            <w:pPr>
              <w:keepNext w:val="0"/>
              <w:keepLines w:val="0"/>
              <w:widowControl/>
              <w:suppressLineNumbers w:val="0"/>
              <w:jc w:val="center"/>
              <w:textAlignment w:val="bottom"/>
              <w:rPr>
                <w:rFonts w:hint="eastAsia" w:ascii="Times New Roman" w:hAnsi="Times New Roman" w:eastAsia="仿宋_GB2312" w:cs="Times New Roman"/>
                <w:color w:val="auto"/>
                <w:kern w:val="0"/>
                <w:szCs w:val="21"/>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252</w:t>
            </w:r>
          </w:p>
        </w:tc>
        <w:tc>
          <w:tcPr>
            <w:tcW w:w="820" w:type="pct"/>
            <w:shd w:val="clear" w:color="auto" w:fill="auto"/>
            <w:vAlign w:val="center"/>
          </w:tcPr>
          <w:p w14:paraId="2EE126F9">
            <w:pPr>
              <w:jc w:val="center"/>
              <w:rPr>
                <w:rFonts w:hint="eastAsia" w:ascii="Times New Roman" w:hAnsi="Times New Roman" w:eastAsia="仿宋_GB2312" w:cs="Times New Roman"/>
                <w:color w:val="auto"/>
                <w:kern w:val="0"/>
                <w:sz w:val="21"/>
                <w:szCs w:val="21"/>
                <w:lang w:val="en-US" w:eastAsia="zh-CN" w:bidi="ar"/>
              </w:rPr>
            </w:pPr>
            <w:r>
              <w:rPr>
                <w:rFonts w:hint="eastAsia" w:ascii="Times New Roman" w:hAnsi="Times New Roman" w:eastAsia="仿宋_GB2312" w:cs="Times New Roman"/>
                <w:color w:val="auto"/>
                <w:kern w:val="0"/>
                <w:szCs w:val="21"/>
                <w:lang w:val="en-US" w:eastAsia="zh-CN" w:bidi="ar"/>
              </w:rPr>
              <w:t>乙酸甲酯</w:t>
            </w:r>
          </w:p>
        </w:tc>
        <w:tc>
          <w:tcPr>
            <w:tcW w:w="380" w:type="pct"/>
            <w:shd w:val="clear" w:color="auto" w:fill="auto"/>
            <w:vAlign w:val="center"/>
          </w:tcPr>
          <w:p w14:paraId="01EF2BB5">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3.023</w:t>
            </w:r>
          </w:p>
        </w:tc>
        <w:tc>
          <w:tcPr>
            <w:tcW w:w="445" w:type="pct"/>
            <w:shd w:val="clear" w:color="auto" w:fill="auto"/>
            <w:vAlign w:val="center"/>
          </w:tcPr>
          <w:p w14:paraId="1A10DBEF">
            <w:pPr>
              <w:jc w:val="center"/>
              <w:rPr>
                <w:rFonts w:hint="eastAsia" w:ascii="Times New Roman" w:hAnsi="Times New Roman" w:eastAsia="仿宋_GB2312" w:cs="Times New Roman"/>
                <w:color w:val="auto"/>
                <w:kern w:val="0"/>
                <w:sz w:val="21"/>
                <w:szCs w:val="21"/>
                <w:lang w:val="en-US" w:eastAsia="zh-CN" w:bidi="ar"/>
              </w:rPr>
            </w:pPr>
            <w:r>
              <w:rPr>
                <w:rFonts w:hint="eastAsia" w:ascii="Times New Roman" w:hAnsi="Times New Roman" w:eastAsia="仿宋_GB2312" w:cs="Times New Roman"/>
                <w:color w:val="auto"/>
                <w:kern w:val="0"/>
                <w:szCs w:val="21"/>
                <w:lang w:val="en-US" w:eastAsia="zh-CN" w:bidi="ar"/>
              </w:rPr>
              <w:t>0.762</w:t>
            </w:r>
          </w:p>
        </w:tc>
        <w:tc>
          <w:tcPr>
            <w:tcW w:w="630" w:type="pct"/>
            <w:vMerge w:val="restart"/>
            <w:shd w:val="clear" w:color="auto" w:fill="auto"/>
            <w:vAlign w:val="center"/>
          </w:tcPr>
          <w:p w14:paraId="5A61D21A">
            <w:pPr>
              <w:jc w:val="center"/>
              <w:rPr>
                <w:rFonts w:hint="eastAsia" w:ascii="Times New Roman" w:hAnsi="Times New Roman" w:eastAsia="仿宋_GB2312" w:cs="Times New Roman"/>
                <w:color w:val="auto"/>
                <w:kern w:val="2"/>
                <w:sz w:val="21"/>
                <w:szCs w:val="21"/>
                <w:lang w:val="en-US" w:eastAsia="zh-CN" w:bidi="ar-SA"/>
              </w:rPr>
            </w:pPr>
            <w:r>
              <w:rPr>
                <w:rFonts w:hint="eastAsia" w:eastAsia="仿宋_GB2312"/>
                <w:color w:val="auto"/>
                <w:szCs w:val="21"/>
              </w:rPr>
              <w:t>冷凝+酸吸收+碱吸收+水洗+活性炭吸附/脱附</w:t>
            </w:r>
          </w:p>
        </w:tc>
        <w:tc>
          <w:tcPr>
            <w:tcW w:w="292" w:type="pct"/>
            <w:vMerge w:val="restart"/>
            <w:shd w:val="clear" w:color="auto" w:fill="auto"/>
            <w:vAlign w:val="center"/>
          </w:tcPr>
          <w:p w14:paraId="09F49C33">
            <w:pPr>
              <w:jc w:val="center"/>
              <w:rPr>
                <w:rFonts w:hint="eastAsia" w:ascii="Times New Roman" w:hAnsi="Times New Roman" w:eastAsia="仿宋_GB2312" w:cs="Times New Roman"/>
                <w:color w:val="auto"/>
                <w:kern w:val="2"/>
                <w:sz w:val="21"/>
                <w:szCs w:val="21"/>
                <w:lang w:val="en-US" w:eastAsia="zh-CN" w:bidi="ar-SA"/>
              </w:rPr>
            </w:pPr>
            <w:r>
              <w:rPr>
                <w:rFonts w:hint="eastAsia" w:eastAsia="仿宋_GB2312"/>
                <w:color w:val="auto"/>
              </w:rPr>
              <w:t>DA005</w:t>
            </w:r>
          </w:p>
        </w:tc>
      </w:tr>
      <w:tr w14:paraId="5C0BD0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5EF46C27">
            <w:pPr>
              <w:jc w:val="center"/>
              <w:rPr>
                <w:rFonts w:eastAsia="仿宋_GB2312"/>
                <w:color w:val="auto"/>
                <w:szCs w:val="21"/>
              </w:rPr>
            </w:pPr>
          </w:p>
        </w:tc>
        <w:tc>
          <w:tcPr>
            <w:tcW w:w="358" w:type="pct"/>
            <w:vMerge w:val="continue"/>
            <w:vAlign w:val="center"/>
          </w:tcPr>
          <w:p w14:paraId="0AD31D30">
            <w:pPr>
              <w:jc w:val="center"/>
              <w:rPr>
                <w:rFonts w:eastAsia="仿宋_GB2312"/>
                <w:color w:val="auto"/>
                <w:szCs w:val="21"/>
              </w:rPr>
            </w:pPr>
          </w:p>
        </w:tc>
        <w:tc>
          <w:tcPr>
            <w:tcW w:w="418" w:type="pct"/>
            <w:vMerge w:val="continue"/>
            <w:shd w:val="clear" w:color="auto" w:fill="auto"/>
            <w:vAlign w:val="center"/>
          </w:tcPr>
          <w:p w14:paraId="707535C8">
            <w:pPr>
              <w:jc w:val="center"/>
              <w:rPr>
                <w:rFonts w:eastAsia="仿宋_GB2312"/>
                <w:color w:val="auto"/>
                <w:kern w:val="0"/>
                <w:szCs w:val="21"/>
                <w:lang w:bidi="ar"/>
              </w:rPr>
            </w:pPr>
          </w:p>
        </w:tc>
        <w:tc>
          <w:tcPr>
            <w:tcW w:w="446" w:type="pct"/>
            <w:vMerge w:val="continue"/>
            <w:shd w:val="clear" w:color="auto" w:fill="auto"/>
            <w:vAlign w:val="center"/>
          </w:tcPr>
          <w:p w14:paraId="7E3BD478">
            <w:pPr>
              <w:jc w:val="center"/>
              <w:rPr>
                <w:rFonts w:eastAsia="仿宋_GB2312"/>
                <w:color w:val="auto"/>
                <w:kern w:val="0"/>
                <w:szCs w:val="21"/>
                <w:lang w:bidi="ar"/>
              </w:rPr>
            </w:pPr>
          </w:p>
        </w:tc>
        <w:tc>
          <w:tcPr>
            <w:tcW w:w="361" w:type="pct"/>
            <w:vMerge w:val="continue"/>
            <w:vAlign w:val="center"/>
          </w:tcPr>
          <w:p w14:paraId="0D4112E7">
            <w:pPr>
              <w:jc w:val="center"/>
              <w:rPr>
                <w:rFonts w:hint="eastAsia" w:eastAsia="仿宋_GB2312"/>
                <w:color w:val="auto"/>
                <w:szCs w:val="21"/>
                <w:lang w:val="en-US" w:eastAsia="zh-CN"/>
              </w:rPr>
            </w:pPr>
          </w:p>
        </w:tc>
        <w:tc>
          <w:tcPr>
            <w:tcW w:w="498" w:type="pct"/>
            <w:vMerge w:val="continue"/>
            <w:shd w:val="clear" w:color="auto" w:fill="auto"/>
            <w:vAlign w:val="center"/>
          </w:tcPr>
          <w:p w14:paraId="7F4D19C1">
            <w:pPr>
              <w:keepNext w:val="0"/>
              <w:keepLines w:val="0"/>
              <w:widowControl/>
              <w:suppressLineNumbers w:val="0"/>
              <w:jc w:val="center"/>
              <w:textAlignment w:val="bottom"/>
              <w:rPr>
                <w:rFonts w:hint="eastAsia" w:ascii="Times New Roman" w:hAnsi="Times New Roman" w:eastAsia="仿宋_GB2312" w:cs="Times New Roman"/>
                <w:color w:val="auto"/>
                <w:kern w:val="0"/>
                <w:szCs w:val="21"/>
                <w:lang w:val="en-US" w:eastAsia="zh-CN" w:bidi="ar"/>
              </w:rPr>
            </w:pPr>
          </w:p>
        </w:tc>
        <w:tc>
          <w:tcPr>
            <w:tcW w:w="820" w:type="pct"/>
            <w:shd w:val="clear" w:color="auto" w:fill="auto"/>
            <w:vAlign w:val="center"/>
          </w:tcPr>
          <w:p w14:paraId="5DF8CD53">
            <w:pPr>
              <w:jc w:val="center"/>
              <w:rPr>
                <w:rFonts w:hint="eastAsia" w:ascii="Times New Roman" w:hAnsi="Times New Roman" w:eastAsia="仿宋_GB2312" w:cs="Times New Roman"/>
                <w:color w:val="auto"/>
                <w:kern w:val="0"/>
                <w:sz w:val="21"/>
                <w:szCs w:val="21"/>
                <w:lang w:val="en-US" w:eastAsia="zh-CN" w:bidi="ar"/>
              </w:rPr>
            </w:pPr>
            <w:r>
              <w:rPr>
                <w:rFonts w:hint="eastAsia" w:ascii="Times New Roman" w:hAnsi="Times New Roman" w:eastAsia="仿宋_GB2312" w:cs="Times New Roman"/>
                <w:color w:val="auto"/>
                <w:kern w:val="0"/>
                <w:szCs w:val="21"/>
                <w:lang w:val="en-US" w:eastAsia="zh-CN" w:bidi="ar"/>
              </w:rPr>
              <w:t>甲醇</w:t>
            </w:r>
          </w:p>
        </w:tc>
        <w:tc>
          <w:tcPr>
            <w:tcW w:w="380" w:type="pct"/>
            <w:shd w:val="clear" w:color="auto" w:fill="auto"/>
            <w:vAlign w:val="center"/>
          </w:tcPr>
          <w:p w14:paraId="3EA640EE">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0.015</w:t>
            </w:r>
          </w:p>
        </w:tc>
        <w:tc>
          <w:tcPr>
            <w:tcW w:w="445" w:type="pct"/>
            <w:shd w:val="clear" w:color="auto" w:fill="auto"/>
            <w:vAlign w:val="center"/>
          </w:tcPr>
          <w:p w14:paraId="113493FF">
            <w:pPr>
              <w:jc w:val="center"/>
              <w:rPr>
                <w:rFonts w:hint="eastAsia" w:ascii="Times New Roman" w:hAnsi="Times New Roman" w:eastAsia="仿宋_GB2312" w:cs="Times New Roman"/>
                <w:color w:val="auto"/>
                <w:kern w:val="0"/>
                <w:sz w:val="21"/>
                <w:szCs w:val="21"/>
                <w:lang w:val="en-US" w:eastAsia="zh-CN" w:bidi="ar"/>
              </w:rPr>
            </w:pPr>
            <w:r>
              <w:rPr>
                <w:rFonts w:hint="eastAsia" w:ascii="Times New Roman" w:hAnsi="Times New Roman" w:eastAsia="仿宋_GB2312" w:cs="Times New Roman"/>
                <w:color w:val="auto"/>
                <w:kern w:val="0"/>
                <w:szCs w:val="21"/>
                <w:lang w:val="en-US" w:eastAsia="zh-CN" w:bidi="ar"/>
              </w:rPr>
              <w:t>0.00396</w:t>
            </w:r>
          </w:p>
        </w:tc>
        <w:tc>
          <w:tcPr>
            <w:tcW w:w="630" w:type="pct"/>
            <w:vMerge w:val="continue"/>
            <w:shd w:val="clear" w:color="auto" w:fill="auto"/>
            <w:vAlign w:val="center"/>
          </w:tcPr>
          <w:p w14:paraId="2D4AD853">
            <w:pPr>
              <w:jc w:val="center"/>
              <w:rPr>
                <w:rFonts w:hint="eastAsia" w:eastAsia="仿宋_GB2312"/>
                <w:color w:val="auto"/>
                <w:szCs w:val="21"/>
              </w:rPr>
            </w:pPr>
          </w:p>
        </w:tc>
        <w:tc>
          <w:tcPr>
            <w:tcW w:w="292" w:type="pct"/>
            <w:vMerge w:val="continue"/>
            <w:shd w:val="clear" w:color="auto" w:fill="auto"/>
            <w:vAlign w:val="center"/>
          </w:tcPr>
          <w:p w14:paraId="1AA0CACE">
            <w:pPr>
              <w:jc w:val="center"/>
              <w:rPr>
                <w:rFonts w:hint="eastAsia" w:eastAsia="仿宋_GB2312"/>
                <w:color w:val="auto"/>
              </w:rPr>
            </w:pPr>
          </w:p>
        </w:tc>
      </w:tr>
      <w:tr w14:paraId="340165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restart"/>
            <w:shd w:val="clear" w:color="auto" w:fill="auto"/>
            <w:vAlign w:val="center"/>
          </w:tcPr>
          <w:p w14:paraId="7AD221B8">
            <w:pPr>
              <w:jc w:val="center"/>
              <w:rPr>
                <w:rFonts w:ascii="Times New Roman" w:hAnsi="Times New Roman" w:eastAsia="仿宋_GB2312" w:cs="Times New Roman"/>
                <w:color w:val="auto"/>
                <w:kern w:val="2"/>
                <w:sz w:val="21"/>
                <w:szCs w:val="21"/>
                <w:lang w:val="en-US" w:eastAsia="zh-CN" w:bidi="ar-SA"/>
              </w:rPr>
            </w:pPr>
            <w:r>
              <w:rPr>
                <w:rFonts w:eastAsia="仿宋_GB2312"/>
                <w:color w:val="auto"/>
                <w:szCs w:val="21"/>
              </w:rPr>
              <w:t>B-7车间</w:t>
            </w:r>
          </w:p>
        </w:tc>
        <w:tc>
          <w:tcPr>
            <w:tcW w:w="358" w:type="pct"/>
            <w:vMerge w:val="restart"/>
            <w:shd w:val="clear" w:color="auto" w:fill="auto"/>
            <w:vAlign w:val="center"/>
          </w:tcPr>
          <w:p w14:paraId="1E975D5E">
            <w:pPr>
              <w:jc w:val="center"/>
              <w:rPr>
                <w:rFonts w:hint="eastAsia"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kern w:val="2"/>
                <w:sz w:val="21"/>
                <w:szCs w:val="21"/>
                <w:lang w:val="en-US" w:eastAsia="zh-CN" w:bidi="ar-SA"/>
              </w:rPr>
              <w:t>2-甲基四氢呋喃</w:t>
            </w:r>
          </w:p>
        </w:tc>
        <w:tc>
          <w:tcPr>
            <w:tcW w:w="418" w:type="pct"/>
            <w:vMerge w:val="restart"/>
            <w:shd w:val="clear" w:color="auto" w:fill="auto"/>
            <w:vAlign w:val="center"/>
          </w:tcPr>
          <w:p w14:paraId="030EF2A8">
            <w:pPr>
              <w:jc w:val="center"/>
              <w:rPr>
                <w:rFonts w:ascii="Times New Roman" w:hAnsi="Times New Roman" w:eastAsia="仿宋_GB2312" w:cs="Times New Roman"/>
                <w:color w:val="auto"/>
                <w:kern w:val="0"/>
                <w:sz w:val="21"/>
                <w:szCs w:val="21"/>
                <w:lang w:val="en-US" w:eastAsia="zh-CN" w:bidi="ar"/>
              </w:rPr>
            </w:pPr>
            <w:r>
              <w:rPr>
                <w:rFonts w:eastAsia="仿宋_GB2312"/>
                <w:color w:val="auto"/>
                <w:kern w:val="0"/>
                <w:szCs w:val="21"/>
                <w:lang w:bidi="ar"/>
              </w:rPr>
              <w:t>G</w:t>
            </w:r>
            <w:r>
              <w:rPr>
                <w:rFonts w:hint="eastAsia" w:eastAsia="仿宋_GB2312"/>
                <w:color w:val="auto"/>
                <w:kern w:val="0"/>
                <w:szCs w:val="21"/>
                <w:lang w:val="en-US" w:eastAsia="zh-CN" w:bidi="ar"/>
              </w:rPr>
              <w:t>3</w:t>
            </w:r>
            <w:r>
              <w:rPr>
                <w:rFonts w:eastAsia="仿宋_GB2312"/>
                <w:color w:val="auto"/>
                <w:kern w:val="0"/>
                <w:szCs w:val="21"/>
                <w:lang w:bidi="ar"/>
              </w:rPr>
              <w:t>-</w:t>
            </w:r>
            <w:r>
              <w:rPr>
                <w:rFonts w:hint="eastAsia" w:eastAsia="仿宋_GB2312"/>
                <w:color w:val="auto"/>
                <w:kern w:val="0"/>
                <w:szCs w:val="21"/>
                <w:lang w:val="en-US" w:eastAsia="zh-CN" w:bidi="ar"/>
              </w:rPr>
              <w:t>13</w:t>
            </w:r>
            <w:r>
              <w:rPr>
                <w:rFonts w:eastAsia="仿宋_GB2312"/>
                <w:color w:val="auto"/>
                <w:kern w:val="0"/>
                <w:szCs w:val="21"/>
                <w:lang w:bidi="ar"/>
              </w:rPr>
              <w:t>-1</w:t>
            </w:r>
          </w:p>
        </w:tc>
        <w:tc>
          <w:tcPr>
            <w:tcW w:w="446" w:type="pct"/>
            <w:vMerge w:val="restart"/>
            <w:shd w:val="clear" w:color="auto" w:fill="auto"/>
            <w:vAlign w:val="center"/>
          </w:tcPr>
          <w:p w14:paraId="45598BE1">
            <w:pPr>
              <w:jc w:val="center"/>
              <w:rPr>
                <w:rFonts w:ascii="Times New Roman" w:hAnsi="Times New Roman" w:eastAsia="仿宋_GB2312" w:cs="Times New Roman"/>
                <w:color w:val="auto"/>
                <w:kern w:val="0"/>
                <w:sz w:val="21"/>
                <w:szCs w:val="21"/>
                <w:lang w:val="en-US" w:eastAsia="zh-CN" w:bidi="ar"/>
              </w:rPr>
            </w:pPr>
            <w:r>
              <w:rPr>
                <w:rFonts w:eastAsia="仿宋_GB2312"/>
                <w:color w:val="auto"/>
                <w:kern w:val="0"/>
                <w:szCs w:val="21"/>
                <w:lang w:bidi="ar"/>
              </w:rPr>
              <w:t>投料废气</w:t>
            </w:r>
          </w:p>
        </w:tc>
        <w:tc>
          <w:tcPr>
            <w:tcW w:w="361" w:type="pct"/>
            <w:vMerge w:val="restart"/>
            <w:vAlign w:val="center"/>
          </w:tcPr>
          <w:p w14:paraId="6B7D1315">
            <w:pPr>
              <w:jc w:val="center"/>
              <w:rPr>
                <w:rFonts w:hint="default" w:eastAsia="仿宋_GB2312"/>
                <w:color w:val="auto"/>
                <w:szCs w:val="21"/>
                <w:lang w:val="en-US" w:eastAsia="zh-CN"/>
              </w:rPr>
            </w:pPr>
            <w:r>
              <w:rPr>
                <w:rFonts w:hint="eastAsia" w:eastAsia="仿宋_GB2312"/>
                <w:color w:val="auto"/>
                <w:szCs w:val="21"/>
                <w:lang w:val="en-US" w:eastAsia="zh-CN"/>
              </w:rPr>
              <w:t>2000</w:t>
            </w:r>
          </w:p>
        </w:tc>
        <w:tc>
          <w:tcPr>
            <w:tcW w:w="498" w:type="pct"/>
            <w:vMerge w:val="restart"/>
            <w:shd w:val="clear" w:color="auto" w:fill="auto"/>
            <w:vAlign w:val="center"/>
          </w:tcPr>
          <w:p w14:paraId="705C4AC1">
            <w:pPr>
              <w:keepNext w:val="0"/>
              <w:keepLines w:val="0"/>
              <w:widowControl/>
              <w:suppressLineNumbers w:val="0"/>
              <w:jc w:val="center"/>
              <w:textAlignment w:val="bottom"/>
              <w:rPr>
                <w:rFonts w:hint="eastAsia" w:eastAsia="仿宋_GB2312"/>
                <w:color w:val="auto"/>
                <w:kern w:val="0"/>
                <w:szCs w:val="21"/>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538</w:t>
            </w:r>
          </w:p>
        </w:tc>
        <w:tc>
          <w:tcPr>
            <w:tcW w:w="820" w:type="pct"/>
            <w:shd w:val="clear" w:color="auto" w:fill="auto"/>
            <w:vAlign w:val="center"/>
          </w:tcPr>
          <w:p w14:paraId="3D1CD4F9">
            <w:pPr>
              <w:widowControl/>
              <w:jc w:val="center"/>
              <w:textAlignment w:val="center"/>
              <w:rPr>
                <w:rFonts w:hint="eastAsia" w:ascii="Times New Roman" w:hAnsi="Times New Roman" w:eastAsia="仿宋_GB2312" w:cs="Times New Roman"/>
                <w:b/>
                <w:bCs/>
                <w:color w:val="auto"/>
                <w:kern w:val="0"/>
                <w:sz w:val="21"/>
                <w:szCs w:val="21"/>
                <w:lang w:val="en-US" w:eastAsia="zh-CN" w:bidi="ar"/>
              </w:rPr>
            </w:pPr>
            <w:r>
              <w:rPr>
                <w:rFonts w:hint="eastAsia" w:eastAsia="仿宋_GB2312"/>
                <w:color w:val="auto"/>
                <w:kern w:val="0"/>
                <w:szCs w:val="21"/>
                <w:lang w:val="en-US" w:eastAsia="zh-CN" w:bidi="ar"/>
              </w:rPr>
              <w:t>2-甲基四氢呋喃</w:t>
            </w:r>
          </w:p>
        </w:tc>
        <w:tc>
          <w:tcPr>
            <w:tcW w:w="380" w:type="pct"/>
            <w:shd w:val="clear" w:color="auto" w:fill="auto"/>
            <w:vAlign w:val="center"/>
          </w:tcPr>
          <w:p w14:paraId="7BF390E3">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5.879</w:t>
            </w:r>
          </w:p>
        </w:tc>
        <w:tc>
          <w:tcPr>
            <w:tcW w:w="445" w:type="pct"/>
            <w:shd w:val="clear" w:color="auto" w:fill="auto"/>
            <w:vAlign w:val="center"/>
          </w:tcPr>
          <w:p w14:paraId="7C9477A1">
            <w:pPr>
              <w:widowControl/>
              <w:jc w:val="center"/>
              <w:textAlignment w:val="center"/>
              <w:rPr>
                <w:rFonts w:hint="eastAsia" w:ascii="Times New Roman" w:hAnsi="Times New Roman" w:eastAsia="仿宋_GB2312" w:cs="Times New Roman"/>
                <w:color w:val="auto"/>
                <w:kern w:val="0"/>
                <w:sz w:val="21"/>
                <w:szCs w:val="21"/>
                <w:lang w:val="en-US" w:eastAsia="zh-CN" w:bidi="ar"/>
              </w:rPr>
            </w:pPr>
            <w:r>
              <w:rPr>
                <w:rFonts w:hint="eastAsia" w:ascii="Times New Roman" w:hAnsi="Times New Roman" w:eastAsia="仿宋_GB2312" w:cs="Times New Roman"/>
                <w:color w:val="auto"/>
                <w:kern w:val="0"/>
                <w:szCs w:val="21"/>
                <w:lang w:val="en-US" w:eastAsia="zh-CN" w:bidi="ar"/>
              </w:rPr>
              <w:t>3.163</w:t>
            </w:r>
          </w:p>
        </w:tc>
        <w:tc>
          <w:tcPr>
            <w:tcW w:w="630" w:type="pct"/>
            <w:vMerge w:val="continue"/>
            <w:shd w:val="clear" w:color="auto" w:fill="auto"/>
            <w:vAlign w:val="center"/>
          </w:tcPr>
          <w:p w14:paraId="215695F8">
            <w:pPr>
              <w:jc w:val="center"/>
              <w:rPr>
                <w:rFonts w:hint="eastAsia" w:ascii="Times New Roman" w:hAnsi="Times New Roman" w:eastAsia="仿宋_GB2312" w:cs="Times New Roman"/>
                <w:color w:val="auto"/>
                <w:kern w:val="2"/>
                <w:sz w:val="21"/>
                <w:szCs w:val="21"/>
                <w:lang w:val="en-US" w:eastAsia="zh-CN" w:bidi="ar-SA"/>
              </w:rPr>
            </w:pPr>
          </w:p>
        </w:tc>
        <w:tc>
          <w:tcPr>
            <w:tcW w:w="292" w:type="pct"/>
            <w:vMerge w:val="continue"/>
            <w:shd w:val="clear" w:color="auto" w:fill="auto"/>
            <w:vAlign w:val="center"/>
          </w:tcPr>
          <w:p w14:paraId="6C1A5571">
            <w:pPr>
              <w:jc w:val="center"/>
              <w:rPr>
                <w:rFonts w:hint="eastAsia" w:ascii="Times New Roman" w:hAnsi="Times New Roman" w:eastAsia="仿宋_GB2312" w:cs="Times New Roman"/>
                <w:color w:val="auto"/>
                <w:kern w:val="2"/>
                <w:sz w:val="21"/>
                <w:szCs w:val="21"/>
                <w:lang w:val="en-US" w:eastAsia="zh-CN" w:bidi="ar-SA"/>
              </w:rPr>
            </w:pPr>
          </w:p>
        </w:tc>
      </w:tr>
      <w:tr w14:paraId="3492058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1C70C77C">
            <w:pPr>
              <w:jc w:val="center"/>
              <w:rPr>
                <w:rFonts w:eastAsia="仿宋_GB2312"/>
                <w:color w:val="auto"/>
                <w:szCs w:val="21"/>
              </w:rPr>
            </w:pPr>
          </w:p>
        </w:tc>
        <w:tc>
          <w:tcPr>
            <w:tcW w:w="358" w:type="pct"/>
            <w:vMerge w:val="continue"/>
            <w:vAlign w:val="center"/>
          </w:tcPr>
          <w:p w14:paraId="28DF6482">
            <w:pPr>
              <w:jc w:val="center"/>
              <w:rPr>
                <w:rFonts w:eastAsia="仿宋_GB2312"/>
                <w:color w:val="auto"/>
                <w:szCs w:val="21"/>
              </w:rPr>
            </w:pPr>
          </w:p>
        </w:tc>
        <w:tc>
          <w:tcPr>
            <w:tcW w:w="418" w:type="pct"/>
            <w:vMerge w:val="continue"/>
            <w:shd w:val="clear" w:color="auto" w:fill="auto"/>
            <w:vAlign w:val="center"/>
          </w:tcPr>
          <w:p w14:paraId="3C927CDD">
            <w:pPr>
              <w:jc w:val="center"/>
              <w:rPr>
                <w:rFonts w:eastAsia="仿宋_GB2312"/>
                <w:color w:val="auto"/>
                <w:kern w:val="0"/>
                <w:szCs w:val="21"/>
                <w:lang w:bidi="ar"/>
              </w:rPr>
            </w:pPr>
          </w:p>
        </w:tc>
        <w:tc>
          <w:tcPr>
            <w:tcW w:w="446" w:type="pct"/>
            <w:vMerge w:val="continue"/>
            <w:shd w:val="clear" w:color="auto" w:fill="auto"/>
            <w:vAlign w:val="center"/>
          </w:tcPr>
          <w:p w14:paraId="7395A60F">
            <w:pPr>
              <w:jc w:val="center"/>
              <w:rPr>
                <w:rFonts w:eastAsia="仿宋_GB2312"/>
                <w:color w:val="auto"/>
                <w:kern w:val="0"/>
                <w:szCs w:val="21"/>
                <w:lang w:bidi="ar"/>
              </w:rPr>
            </w:pPr>
          </w:p>
        </w:tc>
        <w:tc>
          <w:tcPr>
            <w:tcW w:w="361" w:type="pct"/>
            <w:vMerge w:val="continue"/>
            <w:vAlign w:val="center"/>
          </w:tcPr>
          <w:p w14:paraId="0E4A42FA">
            <w:pPr>
              <w:jc w:val="center"/>
              <w:rPr>
                <w:rFonts w:hint="eastAsia" w:eastAsia="仿宋_GB2312"/>
                <w:color w:val="auto"/>
                <w:szCs w:val="21"/>
                <w:lang w:val="en-US" w:eastAsia="zh-CN"/>
              </w:rPr>
            </w:pPr>
          </w:p>
        </w:tc>
        <w:tc>
          <w:tcPr>
            <w:tcW w:w="498" w:type="pct"/>
            <w:vMerge w:val="continue"/>
            <w:shd w:val="clear" w:color="auto" w:fill="auto"/>
            <w:vAlign w:val="center"/>
          </w:tcPr>
          <w:p w14:paraId="381E9C3D">
            <w:pPr>
              <w:keepNext w:val="0"/>
              <w:keepLines w:val="0"/>
              <w:widowControl/>
              <w:suppressLineNumbers w:val="0"/>
              <w:jc w:val="center"/>
              <w:textAlignment w:val="bottom"/>
              <w:rPr>
                <w:rFonts w:eastAsia="仿宋_GB2312"/>
                <w:color w:val="auto"/>
                <w:kern w:val="0"/>
                <w:szCs w:val="21"/>
                <w:lang w:bidi="ar"/>
              </w:rPr>
            </w:pPr>
          </w:p>
        </w:tc>
        <w:tc>
          <w:tcPr>
            <w:tcW w:w="820" w:type="pct"/>
            <w:shd w:val="clear" w:color="auto" w:fill="auto"/>
            <w:vAlign w:val="center"/>
          </w:tcPr>
          <w:p w14:paraId="48054A12">
            <w:pPr>
              <w:widowControl/>
              <w:jc w:val="center"/>
              <w:textAlignment w:val="center"/>
              <w:rPr>
                <w:rFonts w:hint="eastAsia" w:ascii="Times New Roman" w:hAnsi="Times New Roman" w:eastAsia="仿宋_GB2312" w:cs="Times New Roman"/>
                <w:b/>
                <w:bCs/>
                <w:color w:val="auto"/>
                <w:kern w:val="0"/>
                <w:sz w:val="21"/>
                <w:szCs w:val="21"/>
                <w:lang w:val="en-US" w:eastAsia="zh-CN" w:bidi="ar"/>
              </w:rPr>
            </w:pPr>
            <w:r>
              <w:rPr>
                <w:rFonts w:eastAsia="仿宋_GB2312"/>
                <w:color w:val="auto"/>
                <w:kern w:val="0"/>
                <w:szCs w:val="21"/>
                <w:lang w:bidi="ar"/>
              </w:rPr>
              <w:t>其他有机物</w:t>
            </w:r>
          </w:p>
        </w:tc>
        <w:tc>
          <w:tcPr>
            <w:tcW w:w="380" w:type="pct"/>
            <w:shd w:val="clear" w:color="auto" w:fill="auto"/>
            <w:vAlign w:val="center"/>
          </w:tcPr>
          <w:p w14:paraId="5C99A92F">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0.058</w:t>
            </w:r>
          </w:p>
        </w:tc>
        <w:tc>
          <w:tcPr>
            <w:tcW w:w="445" w:type="pct"/>
            <w:shd w:val="clear" w:color="auto" w:fill="auto"/>
            <w:vAlign w:val="center"/>
          </w:tcPr>
          <w:p w14:paraId="016ADA37">
            <w:pPr>
              <w:widowControl/>
              <w:jc w:val="center"/>
              <w:textAlignment w:val="center"/>
              <w:rPr>
                <w:rFonts w:hint="eastAsia" w:ascii="Times New Roman" w:hAnsi="Times New Roman" w:eastAsia="仿宋_GB2312" w:cs="Times New Roman"/>
                <w:color w:val="auto"/>
                <w:kern w:val="0"/>
                <w:sz w:val="21"/>
                <w:szCs w:val="21"/>
                <w:lang w:val="en-US" w:eastAsia="zh-CN" w:bidi="ar"/>
              </w:rPr>
            </w:pPr>
            <w:r>
              <w:rPr>
                <w:rFonts w:hint="eastAsia" w:ascii="Times New Roman" w:hAnsi="Times New Roman" w:eastAsia="仿宋_GB2312" w:cs="Times New Roman"/>
                <w:color w:val="auto"/>
                <w:kern w:val="0"/>
                <w:szCs w:val="21"/>
                <w:lang w:val="en-US" w:eastAsia="zh-CN" w:bidi="ar"/>
              </w:rPr>
              <w:t>0.0317</w:t>
            </w:r>
          </w:p>
        </w:tc>
        <w:tc>
          <w:tcPr>
            <w:tcW w:w="630" w:type="pct"/>
            <w:vMerge w:val="continue"/>
            <w:shd w:val="clear" w:color="auto" w:fill="auto"/>
            <w:vAlign w:val="center"/>
          </w:tcPr>
          <w:p w14:paraId="241EE7DB">
            <w:pPr>
              <w:jc w:val="center"/>
              <w:rPr>
                <w:rFonts w:hint="eastAsia" w:eastAsia="仿宋_GB2312"/>
                <w:color w:val="auto"/>
                <w:szCs w:val="21"/>
              </w:rPr>
            </w:pPr>
          </w:p>
        </w:tc>
        <w:tc>
          <w:tcPr>
            <w:tcW w:w="292" w:type="pct"/>
            <w:vMerge w:val="continue"/>
            <w:shd w:val="clear" w:color="auto" w:fill="auto"/>
            <w:vAlign w:val="center"/>
          </w:tcPr>
          <w:p w14:paraId="3C42917E">
            <w:pPr>
              <w:jc w:val="center"/>
              <w:rPr>
                <w:rFonts w:hint="eastAsia" w:eastAsia="仿宋_GB2312"/>
                <w:color w:val="auto"/>
              </w:rPr>
            </w:pPr>
          </w:p>
        </w:tc>
      </w:tr>
      <w:tr w14:paraId="0FD1C0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21A743B9">
            <w:pPr>
              <w:jc w:val="center"/>
              <w:rPr>
                <w:rFonts w:eastAsia="仿宋_GB2312"/>
                <w:color w:val="auto"/>
                <w:szCs w:val="21"/>
              </w:rPr>
            </w:pPr>
          </w:p>
        </w:tc>
        <w:tc>
          <w:tcPr>
            <w:tcW w:w="358" w:type="pct"/>
            <w:vMerge w:val="continue"/>
            <w:vAlign w:val="center"/>
          </w:tcPr>
          <w:p w14:paraId="08F9E42A">
            <w:pPr>
              <w:jc w:val="center"/>
              <w:rPr>
                <w:rFonts w:eastAsia="仿宋_GB2312"/>
                <w:color w:val="auto"/>
                <w:szCs w:val="21"/>
              </w:rPr>
            </w:pPr>
          </w:p>
        </w:tc>
        <w:tc>
          <w:tcPr>
            <w:tcW w:w="418" w:type="pct"/>
            <w:vMerge w:val="restart"/>
            <w:shd w:val="clear" w:color="auto" w:fill="auto"/>
            <w:vAlign w:val="center"/>
          </w:tcPr>
          <w:p w14:paraId="74F256BC">
            <w:pPr>
              <w:jc w:val="center"/>
              <w:rPr>
                <w:rFonts w:ascii="Times New Roman" w:hAnsi="Times New Roman" w:eastAsia="仿宋_GB2312" w:cs="Times New Roman"/>
                <w:color w:val="auto"/>
                <w:kern w:val="0"/>
                <w:sz w:val="21"/>
                <w:szCs w:val="21"/>
                <w:lang w:val="en-US" w:eastAsia="zh-CN" w:bidi="ar"/>
              </w:rPr>
            </w:pPr>
            <w:r>
              <w:rPr>
                <w:rFonts w:eastAsia="仿宋_GB2312"/>
                <w:color w:val="auto"/>
                <w:kern w:val="0"/>
                <w:szCs w:val="21"/>
                <w:lang w:bidi="ar"/>
              </w:rPr>
              <w:t>G</w:t>
            </w:r>
            <w:r>
              <w:rPr>
                <w:rFonts w:hint="eastAsia" w:eastAsia="仿宋_GB2312"/>
                <w:color w:val="auto"/>
                <w:kern w:val="0"/>
                <w:szCs w:val="21"/>
                <w:lang w:val="en-US" w:eastAsia="zh-CN" w:bidi="ar"/>
              </w:rPr>
              <w:t>3</w:t>
            </w:r>
            <w:r>
              <w:rPr>
                <w:rFonts w:eastAsia="仿宋_GB2312"/>
                <w:color w:val="auto"/>
                <w:kern w:val="0"/>
                <w:szCs w:val="21"/>
                <w:lang w:bidi="ar"/>
              </w:rPr>
              <w:t>-</w:t>
            </w:r>
            <w:r>
              <w:rPr>
                <w:rFonts w:hint="eastAsia" w:eastAsia="仿宋_GB2312"/>
                <w:color w:val="auto"/>
                <w:kern w:val="0"/>
                <w:szCs w:val="21"/>
                <w:lang w:val="en-US" w:eastAsia="zh-CN" w:bidi="ar"/>
              </w:rPr>
              <w:t>13-</w:t>
            </w:r>
            <w:r>
              <w:rPr>
                <w:rFonts w:eastAsia="仿宋_GB2312"/>
                <w:color w:val="auto"/>
                <w:kern w:val="0"/>
                <w:szCs w:val="21"/>
                <w:lang w:bidi="ar"/>
              </w:rPr>
              <w:t>2</w:t>
            </w:r>
          </w:p>
        </w:tc>
        <w:tc>
          <w:tcPr>
            <w:tcW w:w="446" w:type="pct"/>
            <w:vMerge w:val="restart"/>
            <w:shd w:val="clear" w:color="auto" w:fill="auto"/>
            <w:vAlign w:val="center"/>
          </w:tcPr>
          <w:p w14:paraId="7DAFCDEC">
            <w:pPr>
              <w:jc w:val="center"/>
              <w:rPr>
                <w:rFonts w:ascii="Times New Roman" w:hAnsi="Times New Roman" w:eastAsia="仿宋_GB2312" w:cs="Times New Roman"/>
                <w:color w:val="auto"/>
                <w:kern w:val="0"/>
                <w:sz w:val="21"/>
                <w:szCs w:val="21"/>
                <w:lang w:val="en-US" w:eastAsia="zh-CN" w:bidi="ar"/>
              </w:rPr>
            </w:pPr>
            <w:r>
              <w:rPr>
                <w:rFonts w:eastAsia="仿宋_GB2312"/>
                <w:color w:val="auto"/>
                <w:kern w:val="0"/>
                <w:szCs w:val="21"/>
                <w:lang w:bidi="ar"/>
              </w:rPr>
              <w:t>调节废气</w:t>
            </w:r>
          </w:p>
        </w:tc>
        <w:tc>
          <w:tcPr>
            <w:tcW w:w="361" w:type="pct"/>
            <w:vMerge w:val="restart"/>
            <w:vAlign w:val="center"/>
          </w:tcPr>
          <w:p w14:paraId="70E3774F">
            <w:pPr>
              <w:jc w:val="center"/>
              <w:rPr>
                <w:rFonts w:hint="default" w:eastAsia="仿宋_GB2312"/>
                <w:color w:val="auto"/>
                <w:szCs w:val="21"/>
                <w:lang w:val="en-US" w:eastAsia="zh-CN"/>
              </w:rPr>
            </w:pPr>
            <w:r>
              <w:rPr>
                <w:rFonts w:hint="eastAsia" w:eastAsia="仿宋_GB2312"/>
                <w:color w:val="auto"/>
                <w:szCs w:val="21"/>
                <w:lang w:val="en-US" w:eastAsia="zh-CN"/>
              </w:rPr>
              <w:t>100</w:t>
            </w:r>
          </w:p>
        </w:tc>
        <w:tc>
          <w:tcPr>
            <w:tcW w:w="498" w:type="pct"/>
            <w:vMerge w:val="restart"/>
            <w:shd w:val="clear" w:color="auto" w:fill="auto"/>
            <w:vAlign w:val="center"/>
          </w:tcPr>
          <w:p w14:paraId="47EAB3D4">
            <w:pPr>
              <w:keepNext w:val="0"/>
              <w:keepLines w:val="0"/>
              <w:widowControl/>
              <w:suppressLineNumbers w:val="0"/>
              <w:jc w:val="center"/>
              <w:textAlignment w:val="bottom"/>
              <w:rPr>
                <w:rFonts w:hint="eastAsia" w:eastAsia="仿宋_GB2312"/>
                <w:color w:val="auto"/>
                <w:kern w:val="0"/>
                <w:szCs w:val="21"/>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538</w:t>
            </w:r>
          </w:p>
        </w:tc>
        <w:tc>
          <w:tcPr>
            <w:tcW w:w="820" w:type="pct"/>
            <w:shd w:val="clear" w:color="auto" w:fill="auto"/>
            <w:vAlign w:val="center"/>
          </w:tcPr>
          <w:p w14:paraId="31209543">
            <w:pPr>
              <w:widowControl/>
              <w:jc w:val="center"/>
              <w:textAlignment w:val="center"/>
              <w:rPr>
                <w:rFonts w:hint="eastAsia" w:ascii="Times New Roman" w:hAnsi="Times New Roman" w:eastAsia="仿宋_GB2312" w:cs="Times New Roman"/>
                <w:b/>
                <w:bCs/>
                <w:color w:val="auto"/>
                <w:kern w:val="0"/>
                <w:sz w:val="21"/>
                <w:szCs w:val="21"/>
                <w:lang w:val="en-US" w:eastAsia="zh-CN" w:bidi="ar"/>
              </w:rPr>
            </w:pPr>
            <w:r>
              <w:rPr>
                <w:rFonts w:hint="eastAsia" w:eastAsia="仿宋_GB2312"/>
                <w:color w:val="auto"/>
                <w:kern w:val="0"/>
                <w:szCs w:val="21"/>
                <w:lang w:val="en-US" w:eastAsia="zh-CN" w:bidi="ar"/>
              </w:rPr>
              <w:t>2-甲基四氢呋喃</w:t>
            </w:r>
          </w:p>
        </w:tc>
        <w:tc>
          <w:tcPr>
            <w:tcW w:w="380" w:type="pct"/>
            <w:shd w:val="clear" w:color="auto" w:fill="auto"/>
            <w:vAlign w:val="center"/>
          </w:tcPr>
          <w:p w14:paraId="35C1FF58">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2.97</w:t>
            </w:r>
          </w:p>
        </w:tc>
        <w:tc>
          <w:tcPr>
            <w:tcW w:w="445" w:type="pct"/>
            <w:shd w:val="clear" w:color="auto" w:fill="auto"/>
            <w:vAlign w:val="center"/>
          </w:tcPr>
          <w:p w14:paraId="3711A98A">
            <w:pPr>
              <w:widowControl/>
              <w:jc w:val="center"/>
              <w:textAlignment w:val="center"/>
              <w:rPr>
                <w:rFonts w:hint="eastAsia"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1.598</w:t>
            </w:r>
          </w:p>
        </w:tc>
        <w:tc>
          <w:tcPr>
            <w:tcW w:w="630" w:type="pct"/>
            <w:vMerge w:val="restart"/>
            <w:shd w:val="clear" w:color="auto" w:fill="auto"/>
            <w:vAlign w:val="center"/>
          </w:tcPr>
          <w:p w14:paraId="32B85411">
            <w:pPr>
              <w:widowControl/>
              <w:jc w:val="center"/>
              <w:textAlignment w:val="center"/>
              <w:rPr>
                <w:rFonts w:hint="eastAsia" w:ascii="Times New Roman" w:hAnsi="Times New Roman" w:eastAsia="仿宋_GB2312" w:cs="Times New Roman"/>
                <w:color w:val="auto"/>
                <w:kern w:val="2"/>
                <w:sz w:val="21"/>
                <w:szCs w:val="21"/>
                <w:lang w:val="en-US" w:eastAsia="zh-CN" w:bidi="ar-SA"/>
              </w:rPr>
            </w:pPr>
            <w:r>
              <w:rPr>
                <w:rFonts w:hint="eastAsia" w:eastAsia="仿宋_GB2312"/>
                <w:color w:val="auto"/>
                <w:szCs w:val="21"/>
              </w:rPr>
              <w:t>预处理（冷凝+稀酸吸收+碱吸收+水吸收+除雾）+</w:t>
            </w:r>
            <w:r>
              <w:rPr>
                <w:rFonts w:eastAsia="仿宋_GB2312"/>
                <w:color w:val="auto"/>
                <w:szCs w:val="21"/>
              </w:rPr>
              <w:t>焚烧</w:t>
            </w:r>
          </w:p>
        </w:tc>
        <w:tc>
          <w:tcPr>
            <w:tcW w:w="292" w:type="pct"/>
            <w:vMerge w:val="restart"/>
            <w:shd w:val="clear" w:color="auto" w:fill="auto"/>
            <w:vAlign w:val="center"/>
          </w:tcPr>
          <w:p w14:paraId="5F9E3488">
            <w:pPr>
              <w:widowControl/>
              <w:jc w:val="center"/>
              <w:textAlignment w:val="center"/>
              <w:rPr>
                <w:rFonts w:hint="eastAsia" w:ascii="Times New Roman" w:hAnsi="Times New Roman" w:eastAsia="仿宋_GB2312" w:cs="Times New Roman"/>
                <w:color w:val="auto"/>
                <w:kern w:val="2"/>
                <w:sz w:val="21"/>
                <w:szCs w:val="21"/>
                <w:lang w:val="en-US" w:eastAsia="zh-CN" w:bidi="ar-SA"/>
              </w:rPr>
            </w:pPr>
            <w:r>
              <w:rPr>
                <w:rFonts w:hint="eastAsia" w:eastAsia="仿宋_GB2312"/>
                <w:color w:val="auto"/>
                <w:kern w:val="0"/>
                <w:szCs w:val="21"/>
                <w:lang w:bidi="ar"/>
              </w:rPr>
              <w:t>DA002</w:t>
            </w:r>
          </w:p>
        </w:tc>
      </w:tr>
      <w:tr w14:paraId="539EF6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539683E9">
            <w:pPr>
              <w:jc w:val="center"/>
              <w:rPr>
                <w:rFonts w:eastAsia="仿宋_GB2312"/>
                <w:color w:val="auto"/>
                <w:szCs w:val="21"/>
              </w:rPr>
            </w:pPr>
          </w:p>
        </w:tc>
        <w:tc>
          <w:tcPr>
            <w:tcW w:w="358" w:type="pct"/>
            <w:vMerge w:val="continue"/>
            <w:vAlign w:val="center"/>
          </w:tcPr>
          <w:p w14:paraId="5A89C69F">
            <w:pPr>
              <w:jc w:val="center"/>
              <w:rPr>
                <w:rFonts w:eastAsia="仿宋_GB2312"/>
                <w:color w:val="auto"/>
                <w:szCs w:val="21"/>
              </w:rPr>
            </w:pPr>
          </w:p>
        </w:tc>
        <w:tc>
          <w:tcPr>
            <w:tcW w:w="418" w:type="pct"/>
            <w:vMerge w:val="continue"/>
            <w:shd w:val="clear" w:color="auto" w:fill="auto"/>
            <w:vAlign w:val="center"/>
          </w:tcPr>
          <w:p w14:paraId="585CE5A2">
            <w:pPr>
              <w:jc w:val="center"/>
              <w:rPr>
                <w:rFonts w:eastAsia="仿宋_GB2312"/>
                <w:color w:val="auto"/>
                <w:kern w:val="0"/>
                <w:szCs w:val="21"/>
                <w:lang w:bidi="ar"/>
              </w:rPr>
            </w:pPr>
          </w:p>
        </w:tc>
        <w:tc>
          <w:tcPr>
            <w:tcW w:w="446" w:type="pct"/>
            <w:vMerge w:val="continue"/>
            <w:shd w:val="clear" w:color="auto" w:fill="auto"/>
            <w:vAlign w:val="center"/>
          </w:tcPr>
          <w:p w14:paraId="77FD455B">
            <w:pPr>
              <w:jc w:val="center"/>
              <w:rPr>
                <w:rFonts w:eastAsia="仿宋_GB2312"/>
                <w:color w:val="auto"/>
                <w:kern w:val="0"/>
                <w:szCs w:val="21"/>
                <w:lang w:bidi="ar"/>
              </w:rPr>
            </w:pPr>
          </w:p>
        </w:tc>
        <w:tc>
          <w:tcPr>
            <w:tcW w:w="361" w:type="pct"/>
            <w:vMerge w:val="continue"/>
            <w:vAlign w:val="center"/>
          </w:tcPr>
          <w:p w14:paraId="169F9F34">
            <w:pPr>
              <w:jc w:val="center"/>
              <w:rPr>
                <w:rFonts w:hint="eastAsia" w:eastAsia="仿宋_GB2312"/>
                <w:color w:val="auto"/>
                <w:szCs w:val="21"/>
                <w:lang w:val="en-US" w:eastAsia="zh-CN"/>
              </w:rPr>
            </w:pPr>
          </w:p>
        </w:tc>
        <w:tc>
          <w:tcPr>
            <w:tcW w:w="498" w:type="pct"/>
            <w:vMerge w:val="continue"/>
            <w:shd w:val="clear" w:color="auto" w:fill="auto"/>
            <w:vAlign w:val="center"/>
          </w:tcPr>
          <w:p w14:paraId="26F17BF9">
            <w:pPr>
              <w:keepNext w:val="0"/>
              <w:keepLines w:val="0"/>
              <w:widowControl/>
              <w:suppressLineNumbers w:val="0"/>
              <w:jc w:val="center"/>
              <w:textAlignment w:val="bottom"/>
              <w:rPr>
                <w:rFonts w:eastAsia="仿宋_GB2312"/>
                <w:color w:val="auto"/>
                <w:kern w:val="0"/>
                <w:szCs w:val="21"/>
                <w:lang w:bidi="ar"/>
              </w:rPr>
            </w:pPr>
          </w:p>
        </w:tc>
        <w:tc>
          <w:tcPr>
            <w:tcW w:w="820" w:type="pct"/>
            <w:shd w:val="clear" w:color="auto" w:fill="auto"/>
            <w:vAlign w:val="center"/>
          </w:tcPr>
          <w:p w14:paraId="00DD1498">
            <w:pPr>
              <w:widowControl/>
              <w:jc w:val="center"/>
              <w:textAlignment w:val="center"/>
              <w:rPr>
                <w:rFonts w:hint="eastAsia" w:ascii="Times New Roman" w:hAnsi="Times New Roman" w:eastAsia="仿宋_GB2312" w:cs="Times New Roman"/>
                <w:b/>
                <w:bCs/>
                <w:color w:val="auto"/>
                <w:kern w:val="0"/>
                <w:sz w:val="21"/>
                <w:szCs w:val="21"/>
                <w:lang w:val="en-US" w:eastAsia="zh-CN" w:bidi="ar"/>
              </w:rPr>
            </w:pPr>
            <w:r>
              <w:rPr>
                <w:rFonts w:eastAsia="仿宋_GB2312"/>
                <w:color w:val="auto"/>
                <w:kern w:val="0"/>
                <w:szCs w:val="21"/>
                <w:lang w:bidi="ar"/>
              </w:rPr>
              <w:t>其他有机物</w:t>
            </w:r>
          </w:p>
        </w:tc>
        <w:tc>
          <w:tcPr>
            <w:tcW w:w="380" w:type="pct"/>
            <w:shd w:val="clear" w:color="auto" w:fill="auto"/>
            <w:vAlign w:val="center"/>
          </w:tcPr>
          <w:p w14:paraId="28CA9771">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0.029</w:t>
            </w:r>
          </w:p>
        </w:tc>
        <w:tc>
          <w:tcPr>
            <w:tcW w:w="445" w:type="pct"/>
            <w:shd w:val="clear" w:color="auto" w:fill="auto"/>
            <w:vAlign w:val="center"/>
          </w:tcPr>
          <w:p w14:paraId="181907BF">
            <w:pPr>
              <w:widowControl/>
              <w:jc w:val="center"/>
              <w:textAlignment w:val="center"/>
              <w:rPr>
                <w:rFonts w:hint="eastAsia"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0.016</w:t>
            </w:r>
          </w:p>
        </w:tc>
        <w:tc>
          <w:tcPr>
            <w:tcW w:w="630" w:type="pct"/>
            <w:vMerge w:val="continue"/>
            <w:shd w:val="clear" w:color="auto" w:fill="auto"/>
            <w:vAlign w:val="center"/>
          </w:tcPr>
          <w:p w14:paraId="5D13E322">
            <w:pPr>
              <w:jc w:val="center"/>
              <w:rPr>
                <w:rFonts w:hint="eastAsia" w:eastAsia="仿宋_GB2312"/>
                <w:color w:val="auto"/>
                <w:szCs w:val="21"/>
              </w:rPr>
            </w:pPr>
          </w:p>
        </w:tc>
        <w:tc>
          <w:tcPr>
            <w:tcW w:w="292" w:type="pct"/>
            <w:vMerge w:val="continue"/>
            <w:shd w:val="clear" w:color="auto" w:fill="auto"/>
            <w:vAlign w:val="center"/>
          </w:tcPr>
          <w:p w14:paraId="648680AD">
            <w:pPr>
              <w:jc w:val="center"/>
              <w:rPr>
                <w:rFonts w:hint="eastAsia" w:eastAsia="仿宋_GB2312"/>
                <w:color w:val="auto"/>
              </w:rPr>
            </w:pPr>
          </w:p>
        </w:tc>
      </w:tr>
      <w:tr w14:paraId="6FE4DD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507CA13D">
            <w:pPr>
              <w:jc w:val="center"/>
              <w:rPr>
                <w:rFonts w:eastAsia="仿宋_GB2312"/>
                <w:color w:val="auto"/>
                <w:szCs w:val="21"/>
              </w:rPr>
            </w:pPr>
          </w:p>
        </w:tc>
        <w:tc>
          <w:tcPr>
            <w:tcW w:w="358" w:type="pct"/>
            <w:vMerge w:val="continue"/>
            <w:vAlign w:val="center"/>
          </w:tcPr>
          <w:p w14:paraId="6412F6D2">
            <w:pPr>
              <w:jc w:val="center"/>
              <w:rPr>
                <w:rFonts w:eastAsia="仿宋_GB2312"/>
                <w:color w:val="auto"/>
                <w:szCs w:val="21"/>
              </w:rPr>
            </w:pPr>
          </w:p>
        </w:tc>
        <w:tc>
          <w:tcPr>
            <w:tcW w:w="418" w:type="pct"/>
            <w:vMerge w:val="restart"/>
            <w:shd w:val="clear" w:color="auto" w:fill="auto"/>
            <w:vAlign w:val="center"/>
          </w:tcPr>
          <w:p w14:paraId="29A4A495">
            <w:pPr>
              <w:jc w:val="center"/>
              <w:rPr>
                <w:rFonts w:ascii="Times New Roman" w:hAnsi="Times New Roman" w:eastAsia="仿宋_GB2312" w:cs="Times New Roman"/>
                <w:color w:val="auto"/>
                <w:kern w:val="0"/>
                <w:sz w:val="21"/>
                <w:szCs w:val="21"/>
                <w:lang w:val="en-US" w:eastAsia="zh-CN" w:bidi="ar"/>
              </w:rPr>
            </w:pPr>
            <w:r>
              <w:rPr>
                <w:rFonts w:eastAsia="仿宋_GB2312"/>
                <w:color w:val="auto"/>
                <w:kern w:val="0"/>
                <w:szCs w:val="21"/>
                <w:lang w:bidi="ar"/>
              </w:rPr>
              <w:t>G</w:t>
            </w:r>
            <w:r>
              <w:rPr>
                <w:rFonts w:hint="eastAsia" w:eastAsia="仿宋_GB2312"/>
                <w:color w:val="auto"/>
                <w:kern w:val="0"/>
                <w:szCs w:val="21"/>
                <w:lang w:val="en-US" w:eastAsia="zh-CN" w:bidi="ar"/>
              </w:rPr>
              <w:t>3</w:t>
            </w:r>
            <w:r>
              <w:rPr>
                <w:rFonts w:eastAsia="仿宋_GB2312"/>
                <w:color w:val="auto"/>
                <w:kern w:val="0"/>
                <w:szCs w:val="21"/>
                <w:lang w:bidi="ar"/>
              </w:rPr>
              <w:t>-</w:t>
            </w:r>
            <w:r>
              <w:rPr>
                <w:rFonts w:hint="eastAsia" w:eastAsia="仿宋_GB2312"/>
                <w:color w:val="auto"/>
                <w:kern w:val="0"/>
                <w:szCs w:val="21"/>
                <w:lang w:val="en-US" w:eastAsia="zh-CN" w:bidi="ar"/>
              </w:rPr>
              <w:t>13</w:t>
            </w:r>
            <w:r>
              <w:rPr>
                <w:rFonts w:eastAsia="仿宋_GB2312"/>
                <w:color w:val="auto"/>
                <w:kern w:val="0"/>
                <w:szCs w:val="21"/>
                <w:lang w:bidi="ar"/>
              </w:rPr>
              <w:t>-3</w:t>
            </w:r>
          </w:p>
        </w:tc>
        <w:tc>
          <w:tcPr>
            <w:tcW w:w="446" w:type="pct"/>
            <w:vMerge w:val="restart"/>
            <w:shd w:val="clear" w:color="auto" w:fill="auto"/>
            <w:vAlign w:val="center"/>
          </w:tcPr>
          <w:p w14:paraId="4D185685">
            <w:pPr>
              <w:jc w:val="center"/>
              <w:rPr>
                <w:rFonts w:ascii="Times New Roman" w:hAnsi="Times New Roman" w:eastAsia="仿宋_GB2312" w:cs="Times New Roman"/>
                <w:color w:val="auto"/>
                <w:kern w:val="0"/>
                <w:sz w:val="21"/>
                <w:szCs w:val="21"/>
                <w:lang w:val="en-US" w:eastAsia="zh-CN" w:bidi="ar"/>
              </w:rPr>
            </w:pPr>
            <w:r>
              <w:rPr>
                <w:rFonts w:eastAsia="仿宋_GB2312"/>
                <w:color w:val="auto"/>
                <w:kern w:val="0"/>
                <w:szCs w:val="21"/>
                <w:lang w:bidi="ar"/>
              </w:rPr>
              <w:t>不凝气</w:t>
            </w:r>
          </w:p>
        </w:tc>
        <w:tc>
          <w:tcPr>
            <w:tcW w:w="361" w:type="pct"/>
            <w:vMerge w:val="restart"/>
            <w:vAlign w:val="center"/>
          </w:tcPr>
          <w:p w14:paraId="7C6EFDED">
            <w:pPr>
              <w:jc w:val="center"/>
              <w:rPr>
                <w:rFonts w:hint="default" w:eastAsia="仿宋_GB2312"/>
                <w:color w:val="auto"/>
                <w:szCs w:val="21"/>
                <w:lang w:val="en-US" w:eastAsia="zh-CN"/>
              </w:rPr>
            </w:pPr>
            <w:r>
              <w:rPr>
                <w:rFonts w:hint="eastAsia" w:eastAsia="仿宋_GB2312"/>
                <w:color w:val="auto"/>
                <w:szCs w:val="21"/>
                <w:lang w:val="en-US" w:eastAsia="zh-CN"/>
              </w:rPr>
              <w:t>360</w:t>
            </w:r>
          </w:p>
        </w:tc>
        <w:tc>
          <w:tcPr>
            <w:tcW w:w="498" w:type="pct"/>
            <w:vMerge w:val="restart"/>
            <w:shd w:val="clear" w:color="auto" w:fill="auto"/>
            <w:vAlign w:val="center"/>
          </w:tcPr>
          <w:p w14:paraId="569073BB">
            <w:pPr>
              <w:keepNext w:val="0"/>
              <w:keepLines w:val="0"/>
              <w:widowControl/>
              <w:suppressLineNumbers w:val="0"/>
              <w:jc w:val="center"/>
              <w:textAlignment w:val="bottom"/>
              <w:rPr>
                <w:rFonts w:hint="eastAsia" w:eastAsia="仿宋_GB2312"/>
                <w:color w:val="auto"/>
                <w:kern w:val="0"/>
                <w:szCs w:val="21"/>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538</w:t>
            </w:r>
          </w:p>
        </w:tc>
        <w:tc>
          <w:tcPr>
            <w:tcW w:w="820" w:type="pct"/>
            <w:shd w:val="clear" w:color="auto" w:fill="auto"/>
            <w:vAlign w:val="center"/>
          </w:tcPr>
          <w:p w14:paraId="60CE14C4">
            <w:pPr>
              <w:widowControl/>
              <w:jc w:val="center"/>
              <w:textAlignment w:val="center"/>
              <w:rPr>
                <w:rFonts w:hint="eastAsia" w:ascii="Times New Roman" w:hAnsi="Times New Roman" w:eastAsia="仿宋_GB2312" w:cs="Times New Roman"/>
                <w:b/>
                <w:bCs/>
                <w:color w:val="auto"/>
                <w:kern w:val="0"/>
                <w:sz w:val="21"/>
                <w:szCs w:val="21"/>
                <w:lang w:val="en-US" w:eastAsia="zh-CN" w:bidi="ar"/>
              </w:rPr>
            </w:pPr>
            <w:r>
              <w:rPr>
                <w:rFonts w:hint="eastAsia" w:eastAsia="仿宋_GB2312"/>
                <w:color w:val="auto"/>
                <w:kern w:val="0"/>
                <w:szCs w:val="21"/>
                <w:lang w:val="en-US" w:eastAsia="zh-CN" w:bidi="ar"/>
              </w:rPr>
              <w:t>2-甲基四氢呋喃</w:t>
            </w:r>
          </w:p>
        </w:tc>
        <w:tc>
          <w:tcPr>
            <w:tcW w:w="380" w:type="pct"/>
            <w:shd w:val="clear" w:color="auto" w:fill="auto"/>
            <w:vAlign w:val="center"/>
          </w:tcPr>
          <w:p w14:paraId="36F1FA9B">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0.039</w:t>
            </w:r>
          </w:p>
        </w:tc>
        <w:tc>
          <w:tcPr>
            <w:tcW w:w="445" w:type="pct"/>
            <w:shd w:val="clear" w:color="auto" w:fill="auto"/>
            <w:vAlign w:val="center"/>
          </w:tcPr>
          <w:p w14:paraId="43835992">
            <w:pPr>
              <w:widowControl/>
              <w:jc w:val="center"/>
              <w:textAlignment w:val="center"/>
              <w:rPr>
                <w:rFonts w:hint="eastAsia"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0.021</w:t>
            </w:r>
          </w:p>
        </w:tc>
        <w:tc>
          <w:tcPr>
            <w:tcW w:w="630" w:type="pct"/>
            <w:vMerge w:val="continue"/>
            <w:shd w:val="clear" w:color="auto" w:fill="auto"/>
            <w:vAlign w:val="center"/>
          </w:tcPr>
          <w:p w14:paraId="4DBB7BA6">
            <w:pPr>
              <w:jc w:val="center"/>
              <w:rPr>
                <w:rFonts w:hint="eastAsia" w:eastAsia="仿宋_GB2312"/>
                <w:color w:val="auto"/>
                <w:szCs w:val="21"/>
              </w:rPr>
            </w:pPr>
          </w:p>
        </w:tc>
        <w:tc>
          <w:tcPr>
            <w:tcW w:w="292" w:type="pct"/>
            <w:vMerge w:val="continue"/>
            <w:shd w:val="clear" w:color="auto" w:fill="auto"/>
            <w:vAlign w:val="center"/>
          </w:tcPr>
          <w:p w14:paraId="0189064D">
            <w:pPr>
              <w:jc w:val="center"/>
              <w:rPr>
                <w:rFonts w:hint="eastAsia" w:eastAsia="仿宋_GB2312"/>
                <w:color w:val="auto"/>
              </w:rPr>
            </w:pPr>
          </w:p>
        </w:tc>
      </w:tr>
      <w:tr w14:paraId="56D004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23423751">
            <w:pPr>
              <w:jc w:val="center"/>
              <w:rPr>
                <w:rFonts w:eastAsia="仿宋_GB2312"/>
                <w:color w:val="auto"/>
                <w:szCs w:val="21"/>
              </w:rPr>
            </w:pPr>
          </w:p>
        </w:tc>
        <w:tc>
          <w:tcPr>
            <w:tcW w:w="358" w:type="pct"/>
            <w:vMerge w:val="continue"/>
            <w:vAlign w:val="center"/>
          </w:tcPr>
          <w:p w14:paraId="1BA10E3D">
            <w:pPr>
              <w:jc w:val="center"/>
              <w:rPr>
                <w:rFonts w:eastAsia="仿宋_GB2312"/>
                <w:color w:val="auto"/>
                <w:szCs w:val="21"/>
              </w:rPr>
            </w:pPr>
          </w:p>
        </w:tc>
        <w:tc>
          <w:tcPr>
            <w:tcW w:w="418" w:type="pct"/>
            <w:vMerge w:val="continue"/>
            <w:shd w:val="clear" w:color="auto" w:fill="auto"/>
            <w:vAlign w:val="center"/>
          </w:tcPr>
          <w:p w14:paraId="5638BD4C">
            <w:pPr>
              <w:jc w:val="center"/>
              <w:rPr>
                <w:rFonts w:eastAsia="仿宋_GB2312"/>
                <w:color w:val="auto"/>
                <w:kern w:val="0"/>
                <w:szCs w:val="21"/>
                <w:lang w:bidi="ar"/>
              </w:rPr>
            </w:pPr>
          </w:p>
        </w:tc>
        <w:tc>
          <w:tcPr>
            <w:tcW w:w="446" w:type="pct"/>
            <w:vMerge w:val="continue"/>
            <w:shd w:val="clear" w:color="auto" w:fill="auto"/>
            <w:vAlign w:val="center"/>
          </w:tcPr>
          <w:p w14:paraId="6EB8E6FC">
            <w:pPr>
              <w:jc w:val="center"/>
              <w:rPr>
                <w:rFonts w:eastAsia="仿宋_GB2312"/>
                <w:color w:val="auto"/>
                <w:kern w:val="0"/>
                <w:szCs w:val="21"/>
                <w:lang w:bidi="ar"/>
              </w:rPr>
            </w:pPr>
          </w:p>
        </w:tc>
        <w:tc>
          <w:tcPr>
            <w:tcW w:w="361" w:type="pct"/>
            <w:vMerge w:val="continue"/>
            <w:vAlign w:val="center"/>
          </w:tcPr>
          <w:p w14:paraId="009539ED">
            <w:pPr>
              <w:jc w:val="center"/>
              <w:rPr>
                <w:rFonts w:hint="eastAsia" w:eastAsia="仿宋_GB2312"/>
                <w:color w:val="auto"/>
                <w:szCs w:val="21"/>
                <w:lang w:val="en-US" w:eastAsia="zh-CN"/>
              </w:rPr>
            </w:pPr>
          </w:p>
        </w:tc>
        <w:tc>
          <w:tcPr>
            <w:tcW w:w="498" w:type="pct"/>
            <w:vMerge w:val="continue"/>
            <w:shd w:val="clear" w:color="auto" w:fill="auto"/>
            <w:vAlign w:val="center"/>
          </w:tcPr>
          <w:p w14:paraId="4AA506DC">
            <w:pPr>
              <w:keepNext w:val="0"/>
              <w:keepLines w:val="0"/>
              <w:widowControl/>
              <w:suppressLineNumbers w:val="0"/>
              <w:jc w:val="center"/>
              <w:textAlignment w:val="bottom"/>
              <w:rPr>
                <w:rFonts w:eastAsia="仿宋_GB2312"/>
                <w:color w:val="auto"/>
                <w:kern w:val="0"/>
                <w:szCs w:val="21"/>
                <w:lang w:bidi="ar"/>
              </w:rPr>
            </w:pPr>
          </w:p>
        </w:tc>
        <w:tc>
          <w:tcPr>
            <w:tcW w:w="820" w:type="pct"/>
            <w:shd w:val="clear" w:color="auto" w:fill="auto"/>
            <w:vAlign w:val="center"/>
          </w:tcPr>
          <w:p w14:paraId="29583A4A">
            <w:pPr>
              <w:widowControl/>
              <w:jc w:val="center"/>
              <w:textAlignment w:val="center"/>
              <w:rPr>
                <w:rFonts w:hint="eastAsia" w:ascii="Times New Roman" w:hAnsi="Times New Roman" w:eastAsia="仿宋_GB2312" w:cs="Times New Roman"/>
                <w:b/>
                <w:bCs/>
                <w:color w:val="auto"/>
                <w:kern w:val="0"/>
                <w:sz w:val="21"/>
                <w:szCs w:val="21"/>
                <w:lang w:val="en-US" w:eastAsia="zh-CN" w:bidi="ar"/>
              </w:rPr>
            </w:pPr>
            <w:r>
              <w:rPr>
                <w:rFonts w:eastAsia="仿宋_GB2312"/>
                <w:color w:val="auto"/>
                <w:kern w:val="0"/>
                <w:szCs w:val="21"/>
                <w:lang w:bidi="ar"/>
              </w:rPr>
              <w:t>其他有机物</w:t>
            </w:r>
          </w:p>
        </w:tc>
        <w:tc>
          <w:tcPr>
            <w:tcW w:w="380" w:type="pct"/>
            <w:shd w:val="clear" w:color="auto" w:fill="auto"/>
            <w:vAlign w:val="center"/>
          </w:tcPr>
          <w:p w14:paraId="3517B93C">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0.0018</w:t>
            </w:r>
          </w:p>
        </w:tc>
        <w:tc>
          <w:tcPr>
            <w:tcW w:w="445" w:type="pct"/>
            <w:shd w:val="clear" w:color="auto" w:fill="auto"/>
            <w:vAlign w:val="center"/>
          </w:tcPr>
          <w:p w14:paraId="323B363D">
            <w:pPr>
              <w:widowControl/>
              <w:jc w:val="center"/>
              <w:textAlignment w:val="center"/>
              <w:rPr>
                <w:rFonts w:hint="eastAsia"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0.001</w:t>
            </w:r>
          </w:p>
        </w:tc>
        <w:tc>
          <w:tcPr>
            <w:tcW w:w="630" w:type="pct"/>
            <w:vMerge w:val="continue"/>
            <w:shd w:val="clear" w:color="auto" w:fill="auto"/>
            <w:vAlign w:val="center"/>
          </w:tcPr>
          <w:p w14:paraId="34F1B83E">
            <w:pPr>
              <w:jc w:val="center"/>
              <w:rPr>
                <w:rFonts w:hint="eastAsia" w:eastAsia="仿宋_GB2312"/>
                <w:color w:val="auto"/>
                <w:szCs w:val="21"/>
              </w:rPr>
            </w:pPr>
          </w:p>
        </w:tc>
        <w:tc>
          <w:tcPr>
            <w:tcW w:w="292" w:type="pct"/>
            <w:vMerge w:val="continue"/>
            <w:shd w:val="clear" w:color="auto" w:fill="auto"/>
            <w:vAlign w:val="center"/>
          </w:tcPr>
          <w:p w14:paraId="2E93543A">
            <w:pPr>
              <w:jc w:val="center"/>
              <w:rPr>
                <w:rFonts w:hint="eastAsia" w:eastAsia="仿宋_GB2312"/>
                <w:color w:val="auto"/>
              </w:rPr>
            </w:pPr>
          </w:p>
        </w:tc>
      </w:tr>
      <w:tr w14:paraId="6A437BA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62686FA8">
            <w:pPr>
              <w:jc w:val="center"/>
              <w:rPr>
                <w:rFonts w:eastAsia="仿宋_GB2312"/>
                <w:color w:val="auto"/>
                <w:szCs w:val="21"/>
              </w:rPr>
            </w:pPr>
          </w:p>
        </w:tc>
        <w:tc>
          <w:tcPr>
            <w:tcW w:w="358" w:type="pct"/>
            <w:vMerge w:val="continue"/>
            <w:vAlign w:val="center"/>
          </w:tcPr>
          <w:p w14:paraId="5D2CD9CD">
            <w:pPr>
              <w:jc w:val="center"/>
              <w:rPr>
                <w:rFonts w:eastAsia="仿宋_GB2312"/>
                <w:color w:val="auto"/>
                <w:szCs w:val="21"/>
              </w:rPr>
            </w:pPr>
          </w:p>
        </w:tc>
        <w:tc>
          <w:tcPr>
            <w:tcW w:w="418" w:type="pct"/>
            <w:vMerge w:val="restart"/>
            <w:shd w:val="clear" w:color="auto" w:fill="auto"/>
            <w:vAlign w:val="center"/>
          </w:tcPr>
          <w:p w14:paraId="2E93CAC0">
            <w:pPr>
              <w:jc w:val="center"/>
              <w:rPr>
                <w:rFonts w:ascii="Times New Roman" w:hAnsi="Times New Roman" w:eastAsia="仿宋_GB2312" w:cs="Times New Roman"/>
                <w:color w:val="auto"/>
                <w:kern w:val="0"/>
                <w:sz w:val="21"/>
                <w:szCs w:val="21"/>
                <w:lang w:val="en-US" w:eastAsia="zh-CN" w:bidi="ar"/>
              </w:rPr>
            </w:pPr>
            <w:r>
              <w:rPr>
                <w:rFonts w:eastAsia="仿宋_GB2312"/>
                <w:color w:val="auto"/>
                <w:kern w:val="0"/>
                <w:szCs w:val="21"/>
                <w:lang w:bidi="ar"/>
              </w:rPr>
              <w:t>G</w:t>
            </w:r>
            <w:r>
              <w:rPr>
                <w:rFonts w:hint="eastAsia" w:eastAsia="仿宋_GB2312"/>
                <w:color w:val="auto"/>
                <w:kern w:val="0"/>
                <w:szCs w:val="21"/>
                <w:lang w:val="en-US" w:eastAsia="zh-CN" w:bidi="ar"/>
              </w:rPr>
              <w:t>3</w:t>
            </w:r>
            <w:r>
              <w:rPr>
                <w:rFonts w:eastAsia="仿宋_GB2312"/>
                <w:color w:val="auto"/>
                <w:kern w:val="0"/>
                <w:szCs w:val="21"/>
                <w:lang w:bidi="ar"/>
              </w:rPr>
              <w:t>-</w:t>
            </w:r>
            <w:r>
              <w:rPr>
                <w:rFonts w:hint="eastAsia" w:eastAsia="仿宋_GB2312"/>
                <w:color w:val="auto"/>
                <w:kern w:val="0"/>
                <w:szCs w:val="21"/>
                <w:lang w:val="en-US" w:eastAsia="zh-CN" w:bidi="ar"/>
              </w:rPr>
              <w:t>13</w:t>
            </w:r>
            <w:r>
              <w:rPr>
                <w:rFonts w:eastAsia="仿宋_GB2312"/>
                <w:color w:val="auto"/>
                <w:kern w:val="0"/>
                <w:szCs w:val="21"/>
                <w:lang w:bidi="ar"/>
              </w:rPr>
              <w:t>-4</w:t>
            </w:r>
          </w:p>
        </w:tc>
        <w:tc>
          <w:tcPr>
            <w:tcW w:w="446" w:type="pct"/>
            <w:vMerge w:val="restart"/>
            <w:shd w:val="clear" w:color="auto" w:fill="auto"/>
            <w:vAlign w:val="center"/>
          </w:tcPr>
          <w:p w14:paraId="02D822ED">
            <w:pPr>
              <w:jc w:val="center"/>
              <w:rPr>
                <w:rFonts w:ascii="Times New Roman" w:hAnsi="Times New Roman" w:eastAsia="仿宋_GB2312" w:cs="Times New Roman"/>
                <w:color w:val="auto"/>
                <w:kern w:val="0"/>
                <w:sz w:val="21"/>
                <w:szCs w:val="21"/>
                <w:lang w:val="en-US" w:eastAsia="zh-CN" w:bidi="ar"/>
              </w:rPr>
            </w:pPr>
            <w:r>
              <w:rPr>
                <w:rFonts w:eastAsia="仿宋_GB2312"/>
                <w:color w:val="auto"/>
                <w:kern w:val="0"/>
                <w:szCs w:val="21"/>
                <w:lang w:bidi="ar"/>
              </w:rPr>
              <w:t>不凝气</w:t>
            </w:r>
          </w:p>
        </w:tc>
        <w:tc>
          <w:tcPr>
            <w:tcW w:w="361" w:type="pct"/>
            <w:vMerge w:val="restart"/>
            <w:vAlign w:val="center"/>
          </w:tcPr>
          <w:p w14:paraId="70BF41AC">
            <w:pPr>
              <w:jc w:val="center"/>
              <w:rPr>
                <w:rFonts w:hint="default" w:eastAsia="仿宋_GB2312"/>
                <w:color w:val="auto"/>
                <w:szCs w:val="21"/>
                <w:lang w:val="en-US" w:eastAsia="zh-CN"/>
              </w:rPr>
            </w:pPr>
            <w:r>
              <w:rPr>
                <w:rFonts w:hint="eastAsia" w:eastAsia="仿宋_GB2312"/>
                <w:color w:val="auto"/>
                <w:szCs w:val="21"/>
                <w:lang w:val="en-US" w:eastAsia="zh-CN"/>
              </w:rPr>
              <w:t>360</w:t>
            </w:r>
          </w:p>
        </w:tc>
        <w:tc>
          <w:tcPr>
            <w:tcW w:w="498" w:type="pct"/>
            <w:vMerge w:val="restart"/>
            <w:shd w:val="clear" w:color="auto" w:fill="auto"/>
            <w:vAlign w:val="center"/>
          </w:tcPr>
          <w:p w14:paraId="62248970">
            <w:pPr>
              <w:keepNext w:val="0"/>
              <w:keepLines w:val="0"/>
              <w:widowControl/>
              <w:suppressLineNumbers w:val="0"/>
              <w:jc w:val="center"/>
              <w:textAlignment w:val="bottom"/>
              <w:rPr>
                <w:rFonts w:hint="eastAsia" w:eastAsia="仿宋_GB2312"/>
                <w:color w:val="auto"/>
                <w:kern w:val="0"/>
                <w:szCs w:val="21"/>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538</w:t>
            </w:r>
          </w:p>
        </w:tc>
        <w:tc>
          <w:tcPr>
            <w:tcW w:w="820" w:type="pct"/>
            <w:shd w:val="clear" w:color="auto" w:fill="auto"/>
            <w:vAlign w:val="center"/>
          </w:tcPr>
          <w:p w14:paraId="3DB6D101">
            <w:pPr>
              <w:widowControl/>
              <w:jc w:val="center"/>
              <w:textAlignment w:val="center"/>
              <w:rPr>
                <w:rFonts w:hint="eastAsia" w:ascii="Times New Roman" w:hAnsi="Times New Roman" w:eastAsia="仿宋_GB2312" w:cs="Times New Roman"/>
                <w:b/>
                <w:bCs/>
                <w:color w:val="auto"/>
                <w:kern w:val="0"/>
                <w:sz w:val="21"/>
                <w:szCs w:val="21"/>
                <w:lang w:val="en-US" w:eastAsia="zh-CN" w:bidi="ar"/>
              </w:rPr>
            </w:pPr>
            <w:r>
              <w:rPr>
                <w:rFonts w:hint="eastAsia" w:eastAsia="仿宋_GB2312"/>
                <w:color w:val="auto"/>
                <w:kern w:val="0"/>
                <w:szCs w:val="21"/>
                <w:lang w:val="en-US" w:eastAsia="zh-CN" w:bidi="ar"/>
              </w:rPr>
              <w:t>2-甲基四氢呋喃</w:t>
            </w:r>
          </w:p>
        </w:tc>
        <w:tc>
          <w:tcPr>
            <w:tcW w:w="380" w:type="pct"/>
            <w:shd w:val="clear" w:color="auto" w:fill="auto"/>
            <w:vAlign w:val="center"/>
          </w:tcPr>
          <w:p w14:paraId="6E8D435F">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126.368</w:t>
            </w:r>
          </w:p>
        </w:tc>
        <w:tc>
          <w:tcPr>
            <w:tcW w:w="445" w:type="pct"/>
            <w:shd w:val="clear" w:color="auto" w:fill="auto"/>
            <w:vAlign w:val="center"/>
          </w:tcPr>
          <w:p w14:paraId="2643F034">
            <w:pPr>
              <w:widowControl/>
              <w:jc w:val="center"/>
              <w:textAlignment w:val="center"/>
              <w:rPr>
                <w:rFonts w:hint="eastAsia"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67.986</w:t>
            </w:r>
          </w:p>
        </w:tc>
        <w:tc>
          <w:tcPr>
            <w:tcW w:w="630" w:type="pct"/>
            <w:vMerge w:val="continue"/>
            <w:shd w:val="clear" w:color="auto" w:fill="auto"/>
            <w:vAlign w:val="center"/>
          </w:tcPr>
          <w:p w14:paraId="61EEAF71">
            <w:pPr>
              <w:jc w:val="center"/>
              <w:rPr>
                <w:rFonts w:hint="eastAsia" w:eastAsia="仿宋_GB2312"/>
                <w:color w:val="auto"/>
                <w:szCs w:val="21"/>
              </w:rPr>
            </w:pPr>
          </w:p>
        </w:tc>
        <w:tc>
          <w:tcPr>
            <w:tcW w:w="292" w:type="pct"/>
            <w:vMerge w:val="continue"/>
            <w:shd w:val="clear" w:color="auto" w:fill="auto"/>
            <w:vAlign w:val="center"/>
          </w:tcPr>
          <w:p w14:paraId="0795F4FD">
            <w:pPr>
              <w:jc w:val="center"/>
              <w:rPr>
                <w:rFonts w:hint="eastAsia" w:eastAsia="仿宋_GB2312"/>
                <w:color w:val="auto"/>
              </w:rPr>
            </w:pPr>
          </w:p>
        </w:tc>
      </w:tr>
      <w:tr w14:paraId="03F84A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150F55E5">
            <w:pPr>
              <w:jc w:val="center"/>
              <w:rPr>
                <w:rFonts w:eastAsia="仿宋_GB2312"/>
                <w:color w:val="auto"/>
                <w:szCs w:val="21"/>
              </w:rPr>
            </w:pPr>
          </w:p>
        </w:tc>
        <w:tc>
          <w:tcPr>
            <w:tcW w:w="358" w:type="pct"/>
            <w:vMerge w:val="continue"/>
            <w:vAlign w:val="center"/>
          </w:tcPr>
          <w:p w14:paraId="4ACCBF87">
            <w:pPr>
              <w:jc w:val="center"/>
              <w:rPr>
                <w:rFonts w:eastAsia="仿宋_GB2312"/>
                <w:color w:val="auto"/>
                <w:szCs w:val="21"/>
              </w:rPr>
            </w:pPr>
          </w:p>
        </w:tc>
        <w:tc>
          <w:tcPr>
            <w:tcW w:w="418" w:type="pct"/>
            <w:vMerge w:val="continue"/>
            <w:shd w:val="clear" w:color="auto" w:fill="auto"/>
            <w:vAlign w:val="center"/>
          </w:tcPr>
          <w:p w14:paraId="6714508F">
            <w:pPr>
              <w:jc w:val="center"/>
              <w:rPr>
                <w:rFonts w:eastAsia="仿宋_GB2312"/>
                <w:color w:val="auto"/>
                <w:kern w:val="0"/>
                <w:szCs w:val="21"/>
                <w:lang w:bidi="ar"/>
              </w:rPr>
            </w:pPr>
          </w:p>
        </w:tc>
        <w:tc>
          <w:tcPr>
            <w:tcW w:w="446" w:type="pct"/>
            <w:vMerge w:val="continue"/>
            <w:shd w:val="clear" w:color="auto" w:fill="auto"/>
            <w:vAlign w:val="center"/>
          </w:tcPr>
          <w:p w14:paraId="5EE0683C">
            <w:pPr>
              <w:jc w:val="center"/>
              <w:rPr>
                <w:rFonts w:eastAsia="仿宋_GB2312"/>
                <w:color w:val="auto"/>
                <w:kern w:val="0"/>
                <w:szCs w:val="21"/>
                <w:lang w:bidi="ar"/>
              </w:rPr>
            </w:pPr>
          </w:p>
        </w:tc>
        <w:tc>
          <w:tcPr>
            <w:tcW w:w="361" w:type="pct"/>
            <w:vMerge w:val="continue"/>
            <w:vAlign w:val="center"/>
          </w:tcPr>
          <w:p w14:paraId="65CB5E2E">
            <w:pPr>
              <w:jc w:val="center"/>
              <w:rPr>
                <w:rFonts w:hint="eastAsia" w:eastAsia="仿宋_GB2312"/>
                <w:color w:val="auto"/>
                <w:szCs w:val="21"/>
                <w:lang w:val="en-US" w:eastAsia="zh-CN"/>
              </w:rPr>
            </w:pPr>
          </w:p>
        </w:tc>
        <w:tc>
          <w:tcPr>
            <w:tcW w:w="498" w:type="pct"/>
            <w:vMerge w:val="continue"/>
            <w:shd w:val="clear" w:color="auto" w:fill="auto"/>
            <w:vAlign w:val="center"/>
          </w:tcPr>
          <w:p w14:paraId="0DEC836D">
            <w:pPr>
              <w:keepNext w:val="0"/>
              <w:keepLines w:val="0"/>
              <w:widowControl/>
              <w:suppressLineNumbers w:val="0"/>
              <w:jc w:val="center"/>
              <w:textAlignment w:val="bottom"/>
              <w:rPr>
                <w:rFonts w:eastAsia="仿宋_GB2312"/>
                <w:color w:val="auto"/>
                <w:kern w:val="0"/>
                <w:szCs w:val="21"/>
                <w:lang w:bidi="ar"/>
              </w:rPr>
            </w:pPr>
          </w:p>
        </w:tc>
        <w:tc>
          <w:tcPr>
            <w:tcW w:w="820" w:type="pct"/>
            <w:shd w:val="clear" w:color="auto" w:fill="auto"/>
            <w:vAlign w:val="center"/>
          </w:tcPr>
          <w:p w14:paraId="558B1BFD">
            <w:pPr>
              <w:widowControl/>
              <w:jc w:val="center"/>
              <w:textAlignment w:val="center"/>
              <w:rPr>
                <w:rFonts w:hint="eastAsia" w:ascii="Times New Roman" w:hAnsi="Times New Roman" w:eastAsia="仿宋_GB2312" w:cs="Times New Roman"/>
                <w:b/>
                <w:bCs/>
                <w:color w:val="auto"/>
                <w:kern w:val="0"/>
                <w:sz w:val="21"/>
                <w:szCs w:val="21"/>
                <w:lang w:val="en-US" w:eastAsia="zh-CN" w:bidi="ar"/>
              </w:rPr>
            </w:pPr>
            <w:r>
              <w:rPr>
                <w:rFonts w:eastAsia="仿宋_GB2312"/>
                <w:color w:val="auto"/>
                <w:kern w:val="0"/>
                <w:szCs w:val="21"/>
                <w:lang w:bidi="ar"/>
              </w:rPr>
              <w:t>其他有机物</w:t>
            </w:r>
          </w:p>
        </w:tc>
        <w:tc>
          <w:tcPr>
            <w:tcW w:w="380" w:type="pct"/>
            <w:shd w:val="clear" w:color="auto" w:fill="auto"/>
            <w:vAlign w:val="center"/>
          </w:tcPr>
          <w:p w14:paraId="7C57D9E7">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0.368</w:t>
            </w:r>
          </w:p>
        </w:tc>
        <w:tc>
          <w:tcPr>
            <w:tcW w:w="445" w:type="pct"/>
            <w:shd w:val="clear" w:color="auto" w:fill="auto"/>
            <w:vAlign w:val="center"/>
          </w:tcPr>
          <w:p w14:paraId="406809E9">
            <w:pPr>
              <w:widowControl/>
              <w:jc w:val="center"/>
              <w:textAlignment w:val="center"/>
              <w:rPr>
                <w:rFonts w:hint="eastAsia"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0.198</w:t>
            </w:r>
          </w:p>
        </w:tc>
        <w:tc>
          <w:tcPr>
            <w:tcW w:w="630" w:type="pct"/>
            <w:vMerge w:val="continue"/>
            <w:shd w:val="clear" w:color="auto" w:fill="auto"/>
            <w:vAlign w:val="center"/>
          </w:tcPr>
          <w:p w14:paraId="50F1C772">
            <w:pPr>
              <w:jc w:val="center"/>
              <w:rPr>
                <w:rFonts w:hint="eastAsia" w:eastAsia="仿宋_GB2312"/>
                <w:color w:val="auto"/>
                <w:szCs w:val="21"/>
              </w:rPr>
            </w:pPr>
          </w:p>
        </w:tc>
        <w:tc>
          <w:tcPr>
            <w:tcW w:w="292" w:type="pct"/>
            <w:vMerge w:val="continue"/>
            <w:shd w:val="clear" w:color="auto" w:fill="auto"/>
            <w:vAlign w:val="center"/>
          </w:tcPr>
          <w:p w14:paraId="1D6C52DD">
            <w:pPr>
              <w:jc w:val="center"/>
              <w:rPr>
                <w:rFonts w:hint="eastAsia" w:eastAsia="仿宋_GB2312"/>
                <w:color w:val="auto"/>
              </w:rPr>
            </w:pPr>
          </w:p>
        </w:tc>
      </w:tr>
      <w:tr w14:paraId="3EFDD7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001AEC68">
            <w:pPr>
              <w:jc w:val="center"/>
              <w:rPr>
                <w:rFonts w:eastAsia="仿宋_GB2312"/>
                <w:color w:val="auto"/>
                <w:szCs w:val="21"/>
              </w:rPr>
            </w:pPr>
          </w:p>
        </w:tc>
        <w:tc>
          <w:tcPr>
            <w:tcW w:w="358" w:type="pct"/>
            <w:vMerge w:val="continue"/>
            <w:vAlign w:val="center"/>
          </w:tcPr>
          <w:p w14:paraId="087E1480">
            <w:pPr>
              <w:jc w:val="center"/>
              <w:rPr>
                <w:rFonts w:eastAsia="仿宋_GB2312"/>
                <w:color w:val="auto"/>
                <w:szCs w:val="21"/>
              </w:rPr>
            </w:pPr>
          </w:p>
        </w:tc>
        <w:tc>
          <w:tcPr>
            <w:tcW w:w="418" w:type="pct"/>
            <w:shd w:val="clear" w:color="auto" w:fill="auto"/>
            <w:vAlign w:val="center"/>
          </w:tcPr>
          <w:p w14:paraId="219EF1B0">
            <w:pPr>
              <w:jc w:val="center"/>
              <w:rPr>
                <w:rFonts w:ascii="Times New Roman" w:hAnsi="Times New Roman" w:eastAsia="仿宋_GB2312" w:cs="Times New Roman"/>
                <w:color w:val="auto"/>
                <w:kern w:val="2"/>
                <w:sz w:val="21"/>
                <w:szCs w:val="21"/>
                <w:lang w:val="en-US" w:eastAsia="zh-CN" w:bidi="ar-SA"/>
              </w:rPr>
            </w:pPr>
            <w:r>
              <w:rPr>
                <w:rFonts w:eastAsia="仿宋_GB2312"/>
                <w:color w:val="auto"/>
                <w:kern w:val="0"/>
                <w:szCs w:val="21"/>
                <w:lang w:bidi="ar"/>
              </w:rPr>
              <w:t>G</w:t>
            </w:r>
            <w:r>
              <w:rPr>
                <w:rFonts w:hint="eastAsia" w:eastAsia="仿宋_GB2312"/>
                <w:color w:val="auto"/>
                <w:kern w:val="0"/>
                <w:szCs w:val="21"/>
                <w:lang w:val="en-US" w:eastAsia="zh-CN" w:bidi="ar"/>
              </w:rPr>
              <w:t>3</w:t>
            </w:r>
            <w:r>
              <w:rPr>
                <w:rFonts w:eastAsia="仿宋_GB2312"/>
                <w:color w:val="auto"/>
                <w:kern w:val="0"/>
                <w:szCs w:val="21"/>
                <w:lang w:bidi="ar"/>
              </w:rPr>
              <w:t>-</w:t>
            </w:r>
            <w:r>
              <w:rPr>
                <w:rFonts w:hint="eastAsia" w:eastAsia="仿宋_GB2312"/>
                <w:color w:val="auto"/>
                <w:kern w:val="0"/>
                <w:szCs w:val="21"/>
                <w:lang w:val="en-US" w:eastAsia="zh-CN" w:bidi="ar"/>
              </w:rPr>
              <w:t>13</w:t>
            </w:r>
            <w:r>
              <w:rPr>
                <w:rFonts w:eastAsia="仿宋_GB2312"/>
                <w:color w:val="auto"/>
                <w:kern w:val="0"/>
                <w:szCs w:val="21"/>
                <w:lang w:bidi="ar"/>
              </w:rPr>
              <w:t>-5</w:t>
            </w:r>
          </w:p>
        </w:tc>
        <w:tc>
          <w:tcPr>
            <w:tcW w:w="446" w:type="pct"/>
            <w:shd w:val="clear" w:color="auto" w:fill="auto"/>
            <w:vAlign w:val="center"/>
          </w:tcPr>
          <w:p w14:paraId="4C2915C4">
            <w:pPr>
              <w:jc w:val="center"/>
              <w:rPr>
                <w:rFonts w:ascii="Times New Roman" w:hAnsi="Times New Roman" w:eastAsia="仿宋_GB2312" w:cs="Times New Roman"/>
                <w:color w:val="auto"/>
                <w:kern w:val="2"/>
                <w:sz w:val="21"/>
                <w:szCs w:val="21"/>
                <w:lang w:val="en-US" w:eastAsia="zh-CN" w:bidi="ar-SA"/>
              </w:rPr>
            </w:pPr>
            <w:r>
              <w:rPr>
                <w:rFonts w:eastAsia="仿宋_GB2312"/>
                <w:color w:val="auto"/>
                <w:kern w:val="0"/>
                <w:szCs w:val="21"/>
                <w:lang w:bidi="ar"/>
              </w:rPr>
              <w:t>灌装废气</w:t>
            </w:r>
          </w:p>
        </w:tc>
        <w:tc>
          <w:tcPr>
            <w:tcW w:w="361" w:type="pct"/>
            <w:vAlign w:val="center"/>
          </w:tcPr>
          <w:p w14:paraId="0929FC9C">
            <w:pPr>
              <w:jc w:val="center"/>
              <w:rPr>
                <w:rFonts w:hint="default" w:eastAsia="仿宋_GB2312"/>
                <w:color w:val="auto"/>
                <w:szCs w:val="21"/>
                <w:lang w:val="en-US" w:eastAsia="zh-CN"/>
              </w:rPr>
            </w:pPr>
            <w:r>
              <w:rPr>
                <w:rFonts w:hint="eastAsia" w:eastAsia="仿宋_GB2312"/>
                <w:color w:val="auto"/>
                <w:szCs w:val="21"/>
                <w:lang w:val="en-US" w:eastAsia="zh-CN"/>
              </w:rPr>
              <w:t>2000</w:t>
            </w:r>
          </w:p>
        </w:tc>
        <w:tc>
          <w:tcPr>
            <w:tcW w:w="498" w:type="pct"/>
            <w:shd w:val="clear" w:color="auto" w:fill="auto"/>
            <w:vAlign w:val="center"/>
          </w:tcPr>
          <w:p w14:paraId="7C0EA32D">
            <w:pPr>
              <w:keepNext w:val="0"/>
              <w:keepLines w:val="0"/>
              <w:widowControl/>
              <w:suppressLineNumbers w:val="0"/>
              <w:jc w:val="center"/>
              <w:textAlignment w:val="bottom"/>
              <w:rPr>
                <w:rFonts w:hint="eastAsia" w:eastAsia="仿宋_GB2312"/>
                <w:color w:val="auto"/>
                <w:kern w:val="0"/>
                <w:szCs w:val="21"/>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538</w:t>
            </w:r>
          </w:p>
        </w:tc>
        <w:tc>
          <w:tcPr>
            <w:tcW w:w="820" w:type="pct"/>
            <w:shd w:val="clear" w:color="auto" w:fill="auto"/>
            <w:vAlign w:val="center"/>
          </w:tcPr>
          <w:p w14:paraId="76C8A67C">
            <w:pPr>
              <w:widowControl/>
              <w:jc w:val="center"/>
              <w:textAlignment w:val="center"/>
              <w:rPr>
                <w:rFonts w:hint="eastAsia" w:ascii="Times New Roman" w:hAnsi="Times New Roman" w:eastAsia="仿宋_GB2312" w:cs="Times New Roman"/>
                <w:b/>
                <w:bCs/>
                <w:color w:val="auto"/>
                <w:kern w:val="0"/>
                <w:sz w:val="21"/>
                <w:szCs w:val="21"/>
                <w:lang w:val="en-US" w:eastAsia="zh-CN" w:bidi="ar"/>
              </w:rPr>
            </w:pPr>
            <w:r>
              <w:rPr>
                <w:rFonts w:hint="eastAsia" w:eastAsia="仿宋_GB2312"/>
                <w:color w:val="auto"/>
                <w:kern w:val="0"/>
                <w:szCs w:val="21"/>
                <w:lang w:val="en-US" w:eastAsia="zh-CN" w:bidi="ar"/>
              </w:rPr>
              <w:t>2-甲基四氢呋喃</w:t>
            </w:r>
          </w:p>
        </w:tc>
        <w:tc>
          <w:tcPr>
            <w:tcW w:w="380" w:type="pct"/>
            <w:shd w:val="clear" w:color="auto" w:fill="auto"/>
            <w:vAlign w:val="center"/>
          </w:tcPr>
          <w:p w14:paraId="2E3A1F4C">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4.925</w:t>
            </w:r>
          </w:p>
        </w:tc>
        <w:tc>
          <w:tcPr>
            <w:tcW w:w="445" w:type="pct"/>
            <w:shd w:val="clear" w:color="auto" w:fill="auto"/>
            <w:vAlign w:val="center"/>
          </w:tcPr>
          <w:p w14:paraId="62166604">
            <w:pPr>
              <w:jc w:val="center"/>
              <w:rPr>
                <w:rFonts w:hint="eastAsia"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2.65</w:t>
            </w:r>
          </w:p>
        </w:tc>
        <w:tc>
          <w:tcPr>
            <w:tcW w:w="630" w:type="pct"/>
            <w:vMerge w:val="restart"/>
            <w:shd w:val="clear" w:color="auto" w:fill="auto"/>
            <w:vAlign w:val="center"/>
          </w:tcPr>
          <w:p w14:paraId="187CAE2A">
            <w:pPr>
              <w:jc w:val="center"/>
              <w:rPr>
                <w:rFonts w:hint="eastAsia" w:ascii="Times New Roman" w:hAnsi="Times New Roman" w:eastAsia="仿宋_GB2312" w:cs="Times New Roman"/>
                <w:color w:val="auto"/>
                <w:kern w:val="2"/>
                <w:sz w:val="21"/>
                <w:szCs w:val="21"/>
                <w:lang w:val="en-US" w:eastAsia="zh-CN" w:bidi="ar-SA"/>
              </w:rPr>
            </w:pPr>
            <w:r>
              <w:rPr>
                <w:rFonts w:hint="eastAsia" w:eastAsia="仿宋_GB2312"/>
                <w:color w:val="auto"/>
                <w:szCs w:val="21"/>
              </w:rPr>
              <w:t>冷凝+酸吸收+碱吸收+水洗+活性炭吸附/脱附</w:t>
            </w:r>
          </w:p>
        </w:tc>
        <w:tc>
          <w:tcPr>
            <w:tcW w:w="292" w:type="pct"/>
            <w:vMerge w:val="restart"/>
            <w:shd w:val="clear" w:color="auto" w:fill="auto"/>
            <w:vAlign w:val="center"/>
          </w:tcPr>
          <w:p w14:paraId="78C2656C">
            <w:pPr>
              <w:jc w:val="center"/>
              <w:rPr>
                <w:rFonts w:hint="eastAsia" w:ascii="Times New Roman" w:hAnsi="Times New Roman" w:eastAsia="仿宋_GB2312" w:cs="Times New Roman"/>
                <w:color w:val="auto"/>
                <w:kern w:val="2"/>
                <w:sz w:val="21"/>
                <w:szCs w:val="21"/>
                <w:lang w:val="en-US" w:eastAsia="zh-CN" w:bidi="ar-SA"/>
              </w:rPr>
            </w:pPr>
            <w:r>
              <w:rPr>
                <w:rFonts w:hint="eastAsia" w:eastAsia="仿宋_GB2312"/>
                <w:color w:val="auto"/>
              </w:rPr>
              <w:t>DA005</w:t>
            </w:r>
          </w:p>
        </w:tc>
      </w:tr>
      <w:tr w14:paraId="546ADD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restart"/>
            <w:shd w:val="clear" w:color="auto" w:fill="auto"/>
            <w:vAlign w:val="center"/>
          </w:tcPr>
          <w:p w14:paraId="7B08D05E">
            <w:pPr>
              <w:jc w:val="center"/>
              <w:rPr>
                <w:rFonts w:ascii="Times New Roman" w:hAnsi="Times New Roman" w:eastAsia="仿宋_GB2312" w:cs="Times New Roman"/>
                <w:color w:val="auto"/>
                <w:kern w:val="2"/>
                <w:sz w:val="21"/>
                <w:szCs w:val="21"/>
                <w:lang w:val="en-US" w:eastAsia="zh-CN" w:bidi="ar-SA"/>
              </w:rPr>
            </w:pPr>
            <w:r>
              <w:rPr>
                <w:rFonts w:eastAsia="仿宋_GB2312"/>
                <w:color w:val="auto"/>
                <w:szCs w:val="21"/>
              </w:rPr>
              <w:t>B-7车间</w:t>
            </w:r>
          </w:p>
        </w:tc>
        <w:tc>
          <w:tcPr>
            <w:tcW w:w="358" w:type="pct"/>
            <w:vMerge w:val="restart"/>
            <w:shd w:val="clear" w:color="auto" w:fill="auto"/>
            <w:vAlign w:val="center"/>
          </w:tcPr>
          <w:p w14:paraId="0780F59A">
            <w:pPr>
              <w:jc w:val="center"/>
              <w:rPr>
                <w:rFonts w:hint="eastAsia"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kern w:val="2"/>
                <w:sz w:val="21"/>
                <w:szCs w:val="21"/>
                <w:lang w:val="en-US" w:eastAsia="zh-CN" w:bidi="ar-SA"/>
              </w:rPr>
              <w:t>甲基叔丁基醚</w:t>
            </w:r>
          </w:p>
        </w:tc>
        <w:tc>
          <w:tcPr>
            <w:tcW w:w="418" w:type="pct"/>
            <w:vMerge w:val="restart"/>
            <w:shd w:val="clear" w:color="auto" w:fill="auto"/>
            <w:vAlign w:val="center"/>
          </w:tcPr>
          <w:p w14:paraId="7A73D459">
            <w:pPr>
              <w:jc w:val="center"/>
              <w:rPr>
                <w:rFonts w:ascii="Times New Roman" w:hAnsi="Times New Roman" w:eastAsia="仿宋_GB2312" w:cs="Times New Roman"/>
                <w:color w:val="auto"/>
                <w:kern w:val="0"/>
                <w:sz w:val="21"/>
                <w:szCs w:val="21"/>
                <w:lang w:val="en-US" w:eastAsia="zh-CN" w:bidi="ar"/>
              </w:rPr>
            </w:pPr>
            <w:r>
              <w:rPr>
                <w:rFonts w:eastAsia="仿宋_GB2312"/>
                <w:color w:val="auto"/>
                <w:kern w:val="0"/>
                <w:szCs w:val="21"/>
                <w:lang w:bidi="ar"/>
              </w:rPr>
              <w:t>G</w:t>
            </w:r>
            <w:r>
              <w:rPr>
                <w:rFonts w:hint="eastAsia" w:eastAsia="仿宋_GB2312"/>
                <w:color w:val="auto"/>
                <w:kern w:val="0"/>
                <w:szCs w:val="21"/>
                <w:lang w:val="en-US" w:eastAsia="zh-CN" w:bidi="ar"/>
              </w:rPr>
              <w:t>3</w:t>
            </w:r>
            <w:r>
              <w:rPr>
                <w:rFonts w:eastAsia="仿宋_GB2312"/>
                <w:color w:val="auto"/>
                <w:kern w:val="0"/>
                <w:szCs w:val="21"/>
                <w:lang w:bidi="ar"/>
              </w:rPr>
              <w:t>-</w:t>
            </w:r>
            <w:r>
              <w:rPr>
                <w:rFonts w:hint="eastAsia" w:eastAsia="仿宋_GB2312"/>
                <w:color w:val="auto"/>
                <w:kern w:val="0"/>
                <w:szCs w:val="21"/>
                <w:lang w:val="en-US" w:eastAsia="zh-CN" w:bidi="ar"/>
              </w:rPr>
              <w:t>14</w:t>
            </w:r>
            <w:r>
              <w:rPr>
                <w:rFonts w:eastAsia="仿宋_GB2312"/>
                <w:color w:val="auto"/>
                <w:kern w:val="0"/>
                <w:szCs w:val="21"/>
                <w:lang w:bidi="ar"/>
              </w:rPr>
              <w:t>-1</w:t>
            </w:r>
          </w:p>
        </w:tc>
        <w:tc>
          <w:tcPr>
            <w:tcW w:w="446" w:type="pct"/>
            <w:vMerge w:val="restart"/>
            <w:shd w:val="clear" w:color="auto" w:fill="auto"/>
            <w:vAlign w:val="center"/>
          </w:tcPr>
          <w:p w14:paraId="5C1A6106">
            <w:pPr>
              <w:jc w:val="center"/>
              <w:rPr>
                <w:rFonts w:ascii="Times New Roman" w:hAnsi="Times New Roman" w:eastAsia="仿宋_GB2312" w:cs="Times New Roman"/>
                <w:color w:val="auto"/>
                <w:kern w:val="0"/>
                <w:sz w:val="21"/>
                <w:szCs w:val="21"/>
                <w:lang w:val="en-US" w:eastAsia="zh-CN" w:bidi="ar"/>
              </w:rPr>
            </w:pPr>
            <w:r>
              <w:rPr>
                <w:rFonts w:eastAsia="仿宋_GB2312"/>
                <w:color w:val="auto"/>
                <w:kern w:val="0"/>
                <w:szCs w:val="21"/>
                <w:lang w:bidi="ar"/>
              </w:rPr>
              <w:t>投料废气</w:t>
            </w:r>
          </w:p>
        </w:tc>
        <w:tc>
          <w:tcPr>
            <w:tcW w:w="361" w:type="pct"/>
            <w:vMerge w:val="restart"/>
            <w:vAlign w:val="center"/>
          </w:tcPr>
          <w:p w14:paraId="6BF272C0">
            <w:pPr>
              <w:jc w:val="center"/>
              <w:rPr>
                <w:rFonts w:hint="default" w:eastAsia="仿宋_GB2312"/>
                <w:color w:val="auto"/>
                <w:szCs w:val="21"/>
                <w:lang w:val="en-US" w:eastAsia="zh-CN"/>
              </w:rPr>
            </w:pPr>
            <w:r>
              <w:rPr>
                <w:rFonts w:hint="eastAsia" w:eastAsia="仿宋_GB2312"/>
                <w:color w:val="auto"/>
                <w:szCs w:val="21"/>
                <w:lang w:val="en-US" w:eastAsia="zh-CN"/>
              </w:rPr>
              <w:t>2000</w:t>
            </w:r>
          </w:p>
        </w:tc>
        <w:tc>
          <w:tcPr>
            <w:tcW w:w="498" w:type="pct"/>
            <w:vMerge w:val="restart"/>
            <w:shd w:val="clear" w:color="auto" w:fill="auto"/>
            <w:vAlign w:val="center"/>
          </w:tcPr>
          <w:p w14:paraId="483E2D28">
            <w:pPr>
              <w:keepNext w:val="0"/>
              <w:keepLines w:val="0"/>
              <w:widowControl/>
              <w:suppressLineNumbers w:val="0"/>
              <w:jc w:val="center"/>
              <w:textAlignment w:val="bottom"/>
              <w:rPr>
                <w:rFonts w:hint="eastAsia" w:eastAsia="仿宋_GB2312"/>
                <w:color w:val="auto"/>
                <w:kern w:val="0"/>
                <w:szCs w:val="21"/>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230</w:t>
            </w:r>
          </w:p>
        </w:tc>
        <w:tc>
          <w:tcPr>
            <w:tcW w:w="820" w:type="pct"/>
            <w:shd w:val="clear" w:color="auto" w:fill="auto"/>
            <w:vAlign w:val="center"/>
          </w:tcPr>
          <w:p w14:paraId="474CC9E7">
            <w:pPr>
              <w:widowControl/>
              <w:jc w:val="center"/>
              <w:textAlignment w:val="center"/>
              <w:rPr>
                <w:rFonts w:hint="eastAsia" w:ascii="Times New Roman" w:hAnsi="Times New Roman" w:eastAsia="仿宋_GB2312" w:cs="Times New Roman"/>
                <w:b/>
                <w:bCs/>
                <w:color w:val="auto"/>
                <w:kern w:val="0"/>
                <w:sz w:val="21"/>
                <w:szCs w:val="21"/>
                <w:lang w:val="en-US" w:eastAsia="zh-CN" w:bidi="ar"/>
              </w:rPr>
            </w:pPr>
            <w:r>
              <w:rPr>
                <w:rFonts w:hint="eastAsia" w:eastAsia="仿宋_GB2312"/>
                <w:color w:val="auto"/>
                <w:kern w:val="0"/>
                <w:szCs w:val="21"/>
                <w:lang w:val="en-US" w:eastAsia="zh-CN" w:bidi="ar"/>
              </w:rPr>
              <w:t>甲基叔丁基醚</w:t>
            </w:r>
          </w:p>
        </w:tc>
        <w:tc>
          <w:tcPr>
            <w:tcW w:w="380" w:type="pct"/>
            <w:shd w:val="clear" w:color="auto" w:fill="auto"/>
            <w:vAlign w:val="center"/>
          </w:tcPr>
          <w:p w14:paraId="0FFB5F4F">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5.304</w:t>
            </w:r>
          </w:p>
        </w:tc>
        <w:tc>
          <w:tcPr>
            <w:tcW w:w="445" w:type="pct"/>
            <w:shd w:val="clear" w:color="auto" w:fill="auto"/>
            <w:vAlign w:val="center"/>
          </w:tcPr>
          <w:p w14:paraId="39858B1B">
            <w:pPr>
              <w:jc w:val="center"/>
              <w:rPr>
                <w:rFonts w:hint="eastAsia" w:ascii="Times New Roman" w:hAnsi="Times New Roman" w:eastAsia="仿宋_GB2312" w:cs="Times New Roman"/>
                <w:color w:val="auto"/>
                <w:kern w:val="0"/>
                <w:sz w:val="21"/>
                <w:szCs w:val="21"/>
                <w:lang w:val="en-US" w:eastAsia="zh-CN" w:bidi="ar"/>
              </w:rPr>
            </w:pPr>
            <w:r>
              <w:rPr>
                <w:rFonts w:hint="eastAsia" w:ascii="Times New Roman" w:hAnsi="Times New Roman" w:eastAsia="仿宋_GB2312" w:cs="Times New Roman"/>
                <w:color w:val="auto"/>
                <w:kern w:val="0"/>
                <w:szCs w:val="21"/>
                <w:lang w:val="en-US" w:eastAsia="zh-CN" w:bidi="ar"/>
              </w:rPr>
              <w:t>1.22</w:t>
            </w:r>
          </w:p>
        </w:tc>
        <w:tc>
          <w:tcPr>
            <w:tcW w:w="630" w:type="pct"/>
            <w:vMerge w:val="continue"/>
            <w:shd w:val="clear" w:color="auto" w:fill="auto"/>
            <w:vAlign w:val="center"/>
          </w:tcPr>
          <w:p w14:paraId="0AE520FC">
            <w:pPr>
              <w:jc w:val="center"/>
              <w:rPr>
                <w:rFonts w:hint="eastAsia" w:ascii="Times New Roman" w:hAnsi="Times New Roman" w:eastAsia="仿宋_GB2312" w:cs="Times New Roman"/>
                <w:color w:val="auto"/>
                <w:kern w:val="2"/>
                <w:sz w:val="21"/>
                <w:szCs w:val="21"/>
                <w:lang w:val="en-US" w:eastAsia="zh-CN" w:bidi="ar-SA"/>
              </w:rPr>
            </w:pPr>
          </w:p>
        </w:tc>
        <w:tc>
          <w:tcPr>
            <w:tcW w:w="292" w:type="pct"/>
            <w:vMerge w:val="continue"/>
            <w:shd w:val="clear" w:color="auto" w:fill="auto"/>
            <w:vAlign w:val="center"/>
          </w:tcPr>
          <w:p w14:paraId="3287A8A4">
            <w:pPr>
              <w:jc w:val="center"/>
              <w:rPr>
                <w:rFonts w:hint="eastAsia" w:ascii="Times New Roman" w:hAnsi="Times New Roman" w:eastAsia="仿宋_GB2312" w:cs="Times New Roman"/>
                <w:color w:val="auto"/>
                <w:kern w:val="2"/>
                <w:sz w:val="21"/>
                <w:szCs w:val="21"/>
                <w:lang w:val="en-US" w:eastAsia="zh-CN" w:bidi="ar-SA"/>
              </w:rPr>
            </w:pPr>
          </w:p>
        </w:tc>
      </w:tr>
      <w:tr w14:paraId="2E7FB8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123E6423">
            <w:pPr>
              <w:jc w:val="center"/>
              <w:rPr>
                <w:rFonts w:eastAsia="仿宋_GB2312"/>
                <w:color w:val="auto"/>
                <w:szCs w:val="21"/>
              </w:rPr>
            </w:pPr>
          </w:p>
        </w:tc>
        <w:tc>
          <w:tcPr>
            <w:tcW w:w="358" w:type="pct"/>
            <w:vMerge w:val="continue"/>
            <w:vAlign w:val="center"/>
          </w:tcPr>
          <w:p w14:paraId="158F6E68">
            <w:pPr>
              <w:jc w:val="center"/>
              <w:rPr>
                <w:rFonts w:eastAsia="仿宋_GB2312"/>
                <w:color w:val="auto"/>
                <w:szCs w:val="21"/>
              </w:rPr>
            </w:pPr>
          </w:p>
        </w:tc>
        <w:tc>
          <w:tcPr>
            <w:tcW w:w="418" w:type="pct"/>
            <w:vMerge w:val="continue"/>
            <w:shd w:val="clear" w:color="auto" w:fill="auto"/>
            <w:vAlign w:val="center"/>
          </w:tcPr>
          <w:p w14:paraId="193100B3">
            <w:pPr>
              <w:jc w:val="center"/>
              <w:rPr>
                <w:rFonts w:eastAsia="仿宋_GB2312"/>
                <w:color w:val="auto"/>
                <w:kern w:val="0"/>
                <w:szCs w:val="21"/>
                <w:lang w:bidi="ar"/>
              </w:rPr>
            </w:pPr>
          </w:p>
        </w:tc>
        <w:tc>
          <w:tcPr>
            <w:tcW w:w="446" w:type="pct"/>
            <w:vMerge w:val="continue"/>
            <w:shd w:val="clear" w:color="auto" w:fill="auto"/>
            <w:vAlign w:val="center"/>
          </w:tcPr>
          <w:p w14:paraId="7EDBA9D2">
            <w:pPr>
              <w:jc w:val="center"/>
              <w:rPr>
                <w:rFonts w:eastAsia="仿宋_GB2312"/>
                <w:color w:val="auto"/>
                <w:kern w:val="0"/>
                <w:szCs w:val="21"/>
                <w:lang w:bidi="ar"/>
              </w:rPr>
            </w:pPr>
          </w:p>
        </w:tc>
        <w:tc>
          <w:tcPr>
            <w:tcW w:w="361" w:type="pct"/>
            <w:vMerge w:val="continue"/>
            <w:vAlign w:val="center"/>
          </w:tcPr>
          <w:p w14:paraId="45005321">
            <w:pPr>
              <w:jc w:val="center"/>
              <w:rPr>
                <w:rFonts w:hint="eastAsia" w:eastAsia="仿宋_GB2312"/>
                <w:color w:val="auto"/>
                <w:szCs w:val="21"/>
                <w:lang w:val="en-US" w:eastAsia="zh-CN"/>
              </w:rPr>
            </w:pPr>
          </w:p>
        </w:tc>
        <w:tc>
          <w:tcPr>
            <w:tcW w:w="498" w:type="pct"/>
            <w:vMerge w:val="continue"/>
            <w:shd w:val="clear" w:color="auto" w:fill="auto"/>
            <w:vAlign w:val="center"/>
          </w:tcPr>
          <w:p w14:paraId="2EFF298B">
            <w:pPr>
              <w:keepNext w:val="0"/>
              <w:keepLines w:val="0"/>
              <w:widowControl/>
              <w:suppressLineNumbers w:val="0"/>
              <w:jc w:val="center"/>
              <w:textAlignment w:val="bottom"/>
              <w:rPr>
                <w:rFonts w:hint="eastAsia" w:eastAsia="仿宋_GB2312"/>
                <w:color w:val="auto"/>
                <w:kern w:val="0"/>
                <w:szCs w:val="21"/>
                <w:lang w:val="en-US" w:eastAsia="zh-CN" w:bidi="ar"/>
              </w:rPr>
            </w:pPr>
          </w:p>
        </w:tc>
        <w:tc>
          <w:tcPr>
            <w:tcW w:w="820" w:type="pct"/>
            <w:shd w:val="clear" w:color="auto" w:fill="auto"/>
            <w:vAlign w:val="center"/>
          </w:tcPr>
          <w:p w14:paraId="4E287A9A">
            <w:pPr>
              <w:widowControl/>
              <w:jc w:val="center"/>
              <w:textAlignment w:val="center"/>
              <w:rPr>
                <w:rFonts w:hint="eastAsia"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甲醇</w:t>
            </w:r>
          </w:p>
        </w:tc>
        <w:tc>
          <w:tcPr>
            <w:tcW w:w="380" w:type="pct"/>
            <w:shd w:val="clear" w:color="auto" w:fill="auto"/>
            <w:vAlign w:val="center"/>
          </w:tcPr>
          <w:p w14:paraId="7A4DE607">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0.012</w:t>
            </w:r>
          </w:p>
        </w:tc>
        <w:tc>
          <w:tcPr>
            <w:tcW w:w="445" w:type="pct"/>
            <w:shd w:val="clear" w:color="auto" w:fill="auto"/>
            <w:vAlign w:val="center"/>
          </w:tcPr>
          <w:p w14:paraId="33DEF064">
            <w:pPr>
              <w:jc w:val="center"/>
              <w:rPr>
                <w:rFonts w:hint="eastAsia" w:ascii="Times New Roman" w:hAnsi="Times New Roman" w:eastAsia="仿宋_GB2312" w:cs="Times New Roman"/>
                <w:color w:val="auto"/>
                <w:kern w:val="0"/>
                <w:sz w:val="21"/>
                <w:szCs w:val="21"/>
                <w:lang w:val="en-US" w:eastAsia="zh-CN" w:bidi="ar"/>
              </w:rPr>
            </w:pPr>
            <w:r>
              <w:rPr>
                <w:rFonts w:hint="eastAsia" w:ascii="Times New Roman" w:hAnsi="Times New Roman" w:eastAsia="仿宋_GB2312" w:cs="Times New Roman"/>
                <w:color w:val="auto"/>
                <w:kern w:val="0"/>
                <w:szCs w:val="21"/>
                <w:lang w:val="en-US" w:eastAsia="zh-CN" w:bidi="ar"/>
              </w:rPr>
              <w:t>0.00297</w:t>
            </w:r>
          </w:p>
        </w:tc>
        <w:tc>
          <w:tcPr>
            <w:tcW w:w="630" w:type="pct"/>
            <w:vMerge w:val="continue"/>
            <w:shd w:val="clear" w:color="auto" w:fill="auto"/>
            <w:vAlign w:val="center"/>
          </w:tcPr>
          <w:p w14:paraId="3333584D">
            <w:pPr>
              <w:jc w:val="center"/>
              <w:rPr>
                <w:rFonts w:hint="eastAsia" w:eastAsia="仿宋_GB2312"/>
                <w:color w:val="auto"/>
                <w:szCs w:val="21"/>
              </w:rPr>
            </w:pPr>
          </w:p>
        </w:tc>
        <w:tc>
          <w:tcPr>
            <w:tcW w:w="292" w:type="pct"/>
            <w:vMerge w:val="continue"/>
            <w:shd w:val="clear" w:color="auto" w:fill="auto"/>
            <w:vAlign w:val="center"/>
          </w:tcPr>
          <w:p w14:paraId="156A9AE1">
            <w:pPr>
              <w:jc w:val="center"/>
              <w:rPr>
                <w:rFonts w:hint="eastAsia" w:eastAsia="仿宋_GB2312"/>
                <w:color w:val="auto"/>
              </w:rPr>
            </w:pPr>
          </w:p>
        </w:tc>
      </w:tr>
      <w:tr w14:paraId="62F9325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3F7061C0">
            <w:pPr>
              <w:jc w:val="center"/>
              <w:rPr>
                <w:rFonts w:eastAsia="仿宋_GB2312"/>
                <w:color w:val="auto"/>
                <w:szCs w:val="21"/>
              </w:rPr>
            </w:pPr>
          </w:p>
        </w:tc>
        <w:tc>
          <w:tcPr>
            <w:tcW w:w="358" w:type="pct"/>
            <w:vMerge w:val="continue"/>
            <w:vAlign w:val="center"/>
          </w:tcPr>
          <w:p w14:paraId="6E772CA8">
            <w:pPr>
              <w:jc w:val="center"/>
              <w:rPr>
                <w:rFonts w:eastAsia="仿宋_GB2312"/>
                <w:color w:val="auto"/>
                <w:szCs w:val="21"/>
              </w:rPr>
            </w:pPr>
          </w:p>
        </w:tc>
        <w:tc>
          <w:tcPr>
            <w:tcW w:w="418" w:type="pct"/>
            <w:vMerge w:val="continue"/>
            <w:shd w:val="clear" w:color="auto" w:fill="auto"/>
            <w:vAlign w:val="center"/>
          </w:tcPr>
          <w:p w14:paraId="0E57BFA4">
            <w:pPr>
              <w:jc w:val="center"/>
              <w:rPr>
                <w:rFonts w:eastAsia="仿宋_GB2312"/>
                <w:color w:val="auto"/>
                <w:kern w:val="0"/>
                <w:szCs w:val="21"/>
                <w:lang w:bidi="ar"/>
              </w:rPr>
            </w:pPr>
          </w:p>
        </w:tc>
        <w:tc>
          <w:tcPr>
            <w:tcW w:w="446" w:type="pct"/>
            <w:vMerge w:val="continue"/>
            <w:shd w:val="clear" w:color="auto" w:fill="auto"/>
            <w:vAlign w:val="center"/>
          </w:tcPr>
          <w:p w14:paraId="4E669488">
            <w:pPr>
              <w:jc w:val="center"/>
              <w:rPr>
                <w:rFonts w:eastAsia="仿宋_GB2312"/>
                <w:color w:val="auto"/>
                <w:kern w:val="0"/>
                <w:szCs w:val="21"/>
                <w:lang w:bidi="ar"/>
              </w:rPr>
            </w:pPr>
          </w:p>
        </w:tc>
        <w:tc>
          <w:tcPr>
            <w:tcW w:w="361" w:type="pct"/>
            <w:vMerge w:val="continue"/>
            <w:vAlign w:val="center"/>
          </w:tcPr>
          <w:p w14:paraId="7CFA0473">
            <w:pPr>
              <w:jc w:val="center"/>
              <w:rPr>
                <w:rFonts w:hint="eastAsia" w:eastAsia="仿宋_GB2312"/>
                <w:color w:val="auto"/>
                <w:szCs w:val="21"/>
                <w:lang w:val="en-US" w:eastAsia="zh-CN"/>
              </w:rPr>
            </w:pPr>
          </w:p>
        </w:tc>
        <w:tc>
          <w:tcPr>
            <w:tcW w:w="498" w:type="pct"/>
            <w:vMerge w:val="continue"/>
            <w:shd w:val="clear" w:color="auto" w:fill="auto"/>
            <w:vAlign w:val="center"/>
          </w:tcPr>
          <w:p w14:paraId="3B4A0A40">
            <w:pPr>
              <w:keepNext w:val="0"/>
              <w:keepLines w:val="0"/>
              <w:widowControl/>
              <w:suppressLineNumbers w:val="0"/>
              <w:jc w:val="center"/>
              <w:textAlignment w:val="bottom"/>
              <w:rPr>
                <w:rFonts w:hint="eastAsia" w:eastAsia="仿宋_GB2312"/>
                <w:color w:val="auto"/>
                <w:kern w:val="0"/>
                <w:szCs w:val="21"/>
                <w:lang w:val="en-US" w:eastAsia="zh-CN" w:bidi="ar"/>
              </w:rPr>
            </w:pPr>
          </w:p>
        </w:tc>
        <w:tc>
          <w:tcPr>
            <w:tcW w:w="820" w:type="pct"/>
            <w:shd w:val="clear" w:color="auto" w:fill="auto"/>
            <w:vAlign w:val="center"/>
          </w:tcPr>
          <w:p w14:paraId="13F10427">
            <w:pPr>
              <w:widowControl/>
              <w:jc w:val="center"/>
              <w:textAlignment w:val="center"/>
              <w:rPr>
                <w:rFonts w:hint="eastAsia"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叔丁醇</w:t>
            </w:r>
          </w:p>
        </w:tc>
        <w:tc>
          <w:tcPr>
            <w:tcW w:w="380" w:type="pct"/>
            <w:shd w:val="clear" w:color="auto" w:fill="auto"/>
            <w:vAlign w:val="center"/>
          </w:tcPr>
          <w:p w14:paraId="6A6CAB1B">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0.017</w:t>
            </w:r>
          </w:p>
        </w:tc>
        <w:tc>
          <w:tcPr>
            <w:tcW w:w="445" w:type="pct"/>
            <w:shd w:val="clear" w:color="auto" w:fill="auto"/>
            <w:vAlign w:val="center"/>
          </w:tcPr>
          <w:p w14:paraId="4186BD34">
            <w:pPr>
              <w:jc w:val="center"/>
              <w:rPr>
                <w:rFonts w:hint="eastAsia" w:ascii="Times New Roman" w:hAnsi="Times New Roman" w:eastAsia="仿宋_GB2312" w:cs="Times New Roman"/>
                <w:color w:val="auto"/>
                <w:kern w:val="0"/>
                <w:sz w:val="21"/>
                <w:szCs w:val="21"/>
                <w:lang w:val="en-US" w:eastAsia="zh-CN" w:bidi="ar"/>
              </w:rPr>
            </w:pPr>
            <w:r>
              <w:rPr>
                <w:rFonts w:hint="eastAsia" w:ascii="Times New Roman" w:hAnsi="Times New Roman" w:eastAsia="仿宋_GB2312" w:cs="Times New Roman"/>
                <w:color w:val="auto"/>
                <w:kern w:val="0"/>
                <w:szCs w:val="21"/>
                <w:lang w:val="en-US" w:eastAsia="zh-CN" w:bidi="ar"/>
              </w:rPr>
              <w:t>0.00396</w:t>
            </w:r>
          </w:p>
        </w:tc>
        <w:tc>
          <w:tcPr>
            <w:tcW w:w="630" w:type="pct"/>
            <w:vMerge w:val="continue"/>
            <w:shd w:val="clear" w:color="auto" w:fill="auto"/>
            <w:vAlign w:val="center"/>
          </w:tcPr>
          <w:p w14:paraId="7E63E811">
            <w:pPr>
              <w:jc w:val="center"/>
              <w:rPr>
                <w:rFonts w:hint="eastAsia" w:eastAsia="仿宋_GB2312"/>
                <w:color w:val="auto"/>
                <w:szCs w:val="21"/>
              </w:rPr>
            </w:pPr>
          </w:p>
        </w:tc>
        <w:tc>
          <w:tcPr>
            <w:tcW w:w="292" w:type="pct"/>
            <w:vMerge w:val="continue"/>
            <w:shd w:val="clear" w:color="auto" w:fill="auto"/>
            <w:vAlign w:val="center"/>
          </w:tcPr>
          <w:p w14:paraId="4B7E6F7E">
            <w:pPr>
              <w:jc w:val="center"/>
              <w:rPr>
                <w:rFonts w:hint="eastAsia" w:eastAsia="仿宋_GB2312"/>
                <w:color w:val="auto"/>
              </w:rPr>
            </w:pPr>
          </w:p>
        </w:tc>
      </w:tr>
      <w:tr w14:paraId="3B6C3F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6B2F610A">
            <w:pPr>
              <w:jc w:val="center"/>
              <w:rPr>
                <w:rFonts w:eastAsia="仿宋_GB2312"/>
                <w:color w:val="auto"/>
                <w:szCs w:val="21"/>
              </w:rPr>
            </w:pPr>
          </w:p>
        </w:tc>
        <w:tc>
          <w:tcPr>
            <w:tcW w:w="358" w:type="pct"/>
            <w:vMerge w:val="continue"/>
            <w:vAlign w:val="center"/>
          </w:tcPr>
          <w:p w14:paraId="27F57E9A">
            <w:pPr>
              <w:jc w:val="center"/>
              <w:rPr>
                <w:rFonts w:eastAsia="仿宋_GB2312"/>
                <w:color w:val="auto"/>
                <w:szCs w:val="21"/>
              </w:rPr>
            </w:pPr>
          </w:p>
        </w:tc>
        <w:tc>
          <w:tcPr>
            <w:tcW w:w="418" w:type="pct"/>
            <w:vMerge w:val="continue"/>
            <w:shd w:val="clear" w:color="auto" w:fill="auto"/>
            <w:vAlign w:val="center"/>
          </w:tcPr>
          <w:p w14:paraId="47051620">
            <w:pPr>
              <w:jc w:val="center"/>
              <w:rPr>
                <w:rFonts w:eastAsia="仿宋_GB2312"/>
                <w:color w:val="auto"/>
                <w:kern w:val="0"/>
                <w:szCs w:val="21"/>
                <w:lang w:bidi="ar"/>
              </w:rPr>
            </w:pPr>
          </w:p>
        </w:tc>
        <w:tc>
          <w:tcPr>
            <w:tcW w:w="446" w:type="pct"/>
            <w:vMerge w:val="continue"/>
            <w:shd w:val="clear" w:color="auto" w:fill="auto"/>
            <w:vAlign w:val="center"/>
          </w:tcPr>
          <w:p w14:paraId="6AF8DFE6">
            <w:pPr>
              <w:jc w:val="center"/>
              <w:rPr>
                <w:rFonts w:eastAsia="仿宋_GB2312"/>
                <w:color w:val="auto"/>
                <w:kern w:val="0"/>
                <w:szCs w:val="21"/>
                <w:lang w:bidi="ar"/>
              </w:rPr>
            </w:pPr>
          </w:p>
        </w:tc>
        <w:tc>
          <w:tcPr>
            <w:tcW w:w="361" w:type="pct"/>
            <w:vMerge w:val="continue"/>
            <w:vAlign w:val="center"/>
          </w:tcPr>
          <w:p w14:paraId="7EBE5B32">
            <w:pPr>
              <w:jc w:val="center"/>
              <w:rPr>
                <w:rFonts w:hint="eastAsia" w:eastAsia="仿宋_GB2312"/>
                <w:color w:val="auto"/>
                <w:szCs w:val="21"/>
                <w:lang w:val="en-US" w:eastAsia="zh-CN"/>
              </w:rPr>
            </w:pPr>
          </w:p>
        </w:tc>
        <w:tc>
          <w:tcPr>
            <w:tcW w:w="498" w:type="pct"/>
            <w:vMerge w:val="continue"/>
            <w:shd w:val="clear" w:color="auto" w:fill="auto"/>
            <w:vAlign w:val="center"/>
          </w:tcPr>
          <w:p w14:paraId="6F4551E0">
            <w:pPr>
              <w:keepNext w:val="0"/>
              <w:keepLines w:val="0"/>
              <w:widowControl/>
              <w:suppressLineNumbers w:val="0"/>
              <w:jc w:val="center"/>
              <w:textAlignment w:val="bottom"/>
              <w:rPr>
                <w:rFonts w:hint="eastAsia" w:eastAsia="仿宋_GB2312"/>
                <w:color w:val="auto"/>
                <w:kern w:val="0"/>
                <w:szCs w:val="21"/>
                <w:lang w:val="en-US" w:eastAsia="zh-CN" w:bidi="ar"/>
              </w:rPr>
            </w:pPr>
          </w:p>
        </w:tc>
        <w:tc>
          <w:tcPr>
            <w:tcW w:w="820" w:type="pct"/>
            <w:shd w:val="clear" w:color="auto" w:fill="auto"/>
            <w:vAlign w:val="center"/>
          </w:tcPr>
          <w:p w14:paraId="14962E24">
            <w:pPr>
              <w:widowControl/>
              <w:jc w:val="center"/>
              <w:textAlignment w:val="center"/>
              <w:rPr>
                <w:rFonts w:hint="eastAsia"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甲基仲丁基醚</w:t>
            </w:r>
          </w:p>
        </w:tc>
        <w:tc>
          <w:tcPr>
            <w:tcW w:w="380" w:type="pct"/>
            <w:shd w:val="clear" w:color="auto" w:fill="auto"/>
            <w:vAlign w:val="center"/>
          </w:tcPr>
          <w:p w14:paraId="484FA402">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0.012</w:t>
            </w:r>
          </w:p>
        </w:tc>
        <w:tc>
          <w:tcPr>
            <w:tcW w:w="445" w:type="pct"/>
            <w:shd w:val="clear" w:color="auto" w:fill="auto"/>
            <w:vAlign w:val="center"/>
          </w:tcPr>
          <w:p w14:paraId="3AA20B04">
            <w:pPr>
              <w:jc w:val="center"/>
              <w:rPr>
                <w:rFonts w:hint="eastAsia" w:ascii="Times New Roman" w:hAnsi="Times New Roman" w:eastAsia="仿宋_GB2312" w:cs="Times New Roman"/>
                <w:color w:val="auto"/>
                <w:kern w:val="0"/>
                <w:sz w:val="21"/>
                <w:szCs w:val="21"/>
                <w:lang w:val="en-US" w:eastAsia="zh-CN" w:bidi="ar"/>
              </w:rPr>
            </w:pPr>
            <w:r>
              <w:rPr>
                <w:rFonts w:hint="eastAsia" w:ascii="Times New Roman" w:hAnsi="Times New Roman" w:eastAsia="仿宋_GB2312" w:cs="Times New Roman"/>
                <w:color w:val="auto"/>
                <w:kern w:val="0"/>
                <w:szCs w:val="21"/>
                <w:lang w:val="en-US" w:eastAsia="zh-CN" w:bidi="ar"/>
              </w:rPr>
              <w:t>0.00297</w:t>
            </w:r>
          </w:p>
        </w:tc>
        <w:tc>
          <w:tcPr>
            <w:tcW w:w="630" w:type="pct"/>
            <w:vMerge w:val="continue"/>
            <w:shd w:val="clear" w:color="auto" w:fill="auto"/>
            <w:vAlign w:val="center"/>
          </w:tcPr>
          <w:p w14:paraId="31CAD32F">
            <w:pPr>
              <w:jc w:val="center"/>
              <w:rPr>
                <w:rFonts w:hint="eastAsia" w:eastAsia="仿宋_GB2312"/>
                <w:color w:val="auto"/>
                <w:szCs w:val="21"/>
              </w:rPr>
            </w:pPr>
          </w:p>
        </w:tc>
        <w:tc>
          <w:tcPr>
            <w:tcW w:w="292" w:type="pct"/>
            <w:vMerge w:val="continue"/>
            <w:shd w:val="clear" w:color="auto" w:fill="auto"/>
            <w:vAlign w:val="center"/>
          </w:tcPr>
          <w:p w14:paraId="67B0C5F7">
            <w:pPr>
              <w:jc w:val="center"/>
              <w:rPr>
                <w:rFonts w:hint="eastAsia" w:eastAsia="仿宋_GB2312"/>
                <w:color w:val="auto"/>
              </w:rPr>
            </w:pPr>
          </w:p>
        </w:tc>
      </w:tr>
      <w:tr w14:paraId="00FBA25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068FD336">
            <w:pPr>
              <w:jc w:val="center"/>
              <w:rPr>
                <w:rFonts w:eastAsia="仿宋_GB2312"/>
                <w:color w:val="auto"/>
                <w:szCs w:val="21"/>
              </w:rPr>
            </w:pPr>
          </w:p>
        </w:tc>
        <w:tc>
          <w:tcPr>
            <w:tcW w:w="358" w:type="pct"/>
            <w:vMerge w:val="continue"/>
            <w:vAlign w:val="center"/>
          </w:tcPr>
          <w:p w14:paraId="715F758F">
            <w:pPr>
              <w:jc w:val="center"/>
              <w:rPr>
                <w:rFonts w:eastAsia="仿宋_GB2312"/>
                <w:color w:val="auto"/>
                <w:szCs w:val="21"/>
              </w:rPr>
            </w:pPr>
          </w:p>
        </w:tc>
        <w:tc>
          <w:tcPr>
            <w:tcW w:w="418" w:type="pct"/>
            <w:vMerge w:val="continue"/>
            <w:shd w:val="clear" w:color="auto" w:fill="auto"/>
            <w:vAlign w:val="center"/>
          </w:tcPr>
          <w:p w14:paraId="4275A366">
            <w:pPr>
              <w:jc w:val="center"/>
              <w:rPr>
                <w:rFonts w:eastAsia="仿宋_GB2312"/>
                <w:color w:val="auto"/>
                <w:kern w:val="0"/>
                <w:szCs w:val="21"/>
                <w:lang w:bidi="ar"/>
              </w:rPr>
            </w:pPr>
          </w:p>
        </w:tc>
        <w:tc>
          <w:tcPr>
            <w:tcW w:w="446" w:type="pct"/>
            <w:vMerge w:val="continue"/>
            <w:shd w:val="clear" w:color="auto" w:fill="auto"/>
            <w:vAlign w:val="center"/>
          </w:tcPr>
          <w:p w14:paraId="70933C8E">
            <w:pPr>
              <w:jc w:val="center"/>
              <w:rPr>
                <w:rFonts w:eastAsia="仿宋_GB2312"/>
                <w:color w:val="auto"/>
                <w:kern w:val="0"/>
                <w:szCs w:val="21"/>
                <w:lang w:bidi="ar"/>
              </w:rPr>
            </w:pPr>
          </w:p>
        </w:tc>
        <w:tc>
          <w:tcPr>
            <w:tcW w:w="361" w:type="pct"/>
            <w:vMerge w:val="continue"/>
            <w:vAlign w:val="center"/>
          </w:tcPr>
          <w:p w14:paraId="577A733D">
            <w:pPr>
              <w:jc w:val="center"/>
              <w:rPr>
                <w:rFonts w:hint="eastAsia" w:eastAsia="仿宋_GB2312"/>
                <w:color w:val="auto"/>
                <w:szCs w:val="21"/>
                <w:lang w:val="en-US" w:eastAsia="zh-CN"/>
              </w:rPr>
            </w:pPr>
          </w:p>
        </w:tc>
        <w:tc>
          <w:tcPr>
            <w:tcW w:w="498" w:type="pct"/>
            <w:vMerge w:val="continue"/>
            <w:shd w:val="clear" w:color="auto" w:fill="auto"/>
            <w:vAlign w:val="center"/>
          </w:tcPr>
          <w:p w14:paraId="76CEA58F">
            <w:pPr>
              <w:keepNext w:val="0"/>
              <w:keepLines w:val="0"/>
              <w:widowControl/>
              <w:suppressLineNumbers w:val="0"/>
              <w:jc w:val="center"/>
              <w:textAlignment w:val="bottom"/>
              <w:rPr>
                <w:rFonts w:eastAsia="仿宋_GB2312"/>
                <w:color w:val="auto"/>
                <w:kern w:val="0"/>
                <w:szCs w:val="21"/>
                <w:lang w:bidi="ar"/>
              </w:rPr>
            </w:pPr>
          </w:p>
        </w:tc>
        <w:tc>
          <w:tcPr>
            <w:tcW w:w="820" w:type="pct"/>
            <w:shd w:val="clear" w:color="auto" w:fill="auto"/>
            <w:vAlign w:val="center"/>
          </w:tcPr>
          <w:p w14:paraId="20B61C29">
            <w:pPr>
              <w:widowControl/>
              <w:jc w:val="center"/>
              <w:textAlignment w:val="center"/>
              <w:rPr>
                <w:rFonts w:hint="eastAsia" w:ascii="Times New Roman" w:hAnsi="Times New Roman" w:eastAsia="仿宋_GB2312" w:cs="Times New Roman"/>
                <w:b/>
                <w:bCs/>
                <w:color w:val="auto"/>
                <w:kern w:val="0"/>
                <w:sz w:val="21"/>
                <w:szCs w:val="21"/>
                <w:lang w:val="en-US" w:eastAsia="zh-CN" w:bidi="ar"/>
              </w:rPr>
            </w:pPr>
            <w:r>
              <w:rPr>
                <w:rFonts w:eastAsia="仿宋_GB2312"/>
                <w:color w:val="auto"/>
                <w:kern w:val="0"/>
                <w:szCs w:val="21"/>
                <w:lang w:bidi="ar"/>
              </w:rPr>
              <w:t>其他有机物</w:t>
            </w:r>
          </w:p>
        </w:tc>
        <w:tc>
          <w:tcPr>
            <w:tcW w:w="380" w:type="pct"/>
            <w:shd w:val="clear" w:color="auto" w:fill="auto"/>
            <w:vAlign w:val="center"/>
          </w:tcPr>
          <w:p w14:paraId="726E8583">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0.056</w:t>
            </w:r>
          </w:p>
        </w:tc>
        <w:tc>
          <w:tcPr>
            <w:tcW w:w="445" w:type="pct"/>
            <w:shd w:val="clear" w:color="auto" w:fill="auto"/>
            <w:vAlign w:val="center"/>
          </w:tcPr>
          <w:p w14:paraId="7E290623">
            <w:pPr>
              <w:jc w:val="center"/>
              <w:rPr>
                <w:rFonts w:hint="eastAsia" w:ascii="Times New Roman" w:hAnsi="Times New Roman" w:eastAsia="仿宋_GB2312" w:cs="Times New Roman"/>
                <w:color w:val="auto"/>
                <w:kern w:val="0"/>
                <w:sz w:val="21"/>
                <w:szCs w:val="21"/>
                <w:lang w:val="en-US" w:eastAsia="zh-CN" w:bidi="ar"/>
              </w:rPr>
            </w:pPr>
            <w:r>
              <w:rPr>
                <w:rFonts w:hint="eastAsia" w:ascii="Times New Roman" w:hAnsi="Times New Roman" w:eastAsia="仿宋_GB2312" w:cs="Times New Roman"/>
                <w:color w:val="auto"/>
                <w:kern w:val="0"/>
                <w:szCs w:val="21"/>
                <w:lang w:val="en-US" w:eastAsia="zh-CN" w:bidi="ar"/>
              </w:rPr>
              <w:t>0.0129</w:t>
            </w:r>
          </w:p>
        </w:tc>
        <w:tc>
          <w:tcPr>
            <w:tcW w:w="630" w:type="pct"/>
            <w:vMerge w:val="continue"/>
            <w:shd w:val="clear" w:color="auto" w:fill="auto"/>
            <w:vAlign w:val="center"/>
          </w:tcPr>
          <w:p w14:paraId="187131AB">
            <w:pPr>
              <w:jc w:val="center"/>
              <w:rPr>
                <w:rFonts w:hint="eastAsia" w:eastAsia="仿宋_GB2312"/>
                <w:color w:val="auto"/>
                <w:szCs w:val="21"/>
              </w:rPr>
            </w:pPr>
          </w:p>
        </w:tc>
        <w:tc>
          <w:tcPr>
            <w:tcW w:w="292" w:type="pct"/>
            <w:vMerge w:val="continue"/>
            <w:shd w:val="clear" w:color="auto" w:fill="auto"/>
            <w:vAlign w:val="center"/>
          </w:tcPr>
          <w:p w14:paraId="05FD116C">
            <w:pPr>
              <w:jc w:val="center"/>
              <w:rPr>
                <w:rFonts w:hint="eastAsia" w:eastAsia="仿宋_GB2312"/>
                <w:color w:val="auto"/>
              </w:rPr>
            </w:pPr>
          </w:p>
        </w:tc>
      </w:tr>
      <w:tr w14:paraId="5ADA26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50B1D908">
            <w:pPr>
              <w:jc w:val="center"/>
              <w:rPr>
                <w:rFonts w:eastAsia="仿宋_GB2312"/>
                <w:color w:val="auto"/>
                <w:szCs w:val="21"/>
              </w:rPr>
            </w:pPr>
          </w:p>
        </w:tc>
        <w:tc>
          <w:tcPr>
            <w:tcW w:w="358" w:type="pct"/>
            <w:vMerge w:val="continue"/>
            <w:vAlign w:val="center"/>
          </w:tcPr>
          <w:p w14:paraId="5CBB6719">
            <w:pPr>
              <w:jc w:val="center"/>
              <w:rPr>
                <w:rFonts w:eastAsia="仿宋_GB2312"/>
                <w:color w:val="auto"/>
                <w:szCs w:val="21"/>
              </w:rPr>
            </w:pPr>
          </w:p>
        </w:tc>
        <w:tc>
          <w:tcPr>
            <w:tcW w:w="418" w:type="pct"/>
            <w:vMerge w:val="restart"/>
            <w:shd w:val="clear" w:color="auto" w:fill="auto"/>
            <w:vAlign w:val="center"/>
          </w:tcPr>
          <w:p w14:paraId="4DFDF5BC">
            <w:pPr>
              <w:jc w:val="center"/>
              <w:rPr>
                <w:rFonts w:ascii="Times New Roman" w:hAnsi="Times New Roman" w:eastAsia="仿宋_GB2312" w:cs="Times New Roman"/>
                <w:color w:val="auto"/>
                <w:kern w:val="0"/>
                <w:sz w:val="21"/>
                <w:szCs w:val="21"/>
                <w:lang w:val="en-US" w:eastAsia="zh-CN" w:bidi="ar"/>
              </w:rPr>
            </w:pPr>
            <w:r>
              <w:rPr>
                <w:rFonts w:eastAsia="仿宋_GB2312"/>
                <w:color w:val="auto"/>
                <w:kern w:val="0"/>
                <w:szCs w:val="21"/>
                <w:lang w:bidi="ar"/>
              </w:rPr>
              <w:t>G</w:t>
            </w:r>
            <w:r>
              <w:rPr>
                <w:rFonts w:hint="eastAsia" w:eastAsia="仿宋_GB2312"/>
                <w:color w:val="auto"/>
                <w:kern w:val="0"/>
                <w:szCs w:val="21"/>
                <w:lang w:val="en-US" w:eastAsia="zh-CN" w:bidi="ar"/>
              </w:rPr>
              <w:t>3</w:t>
            </w:r>
            <w:r>
              <w:rPr>
                <w:rFonts w:eastAsia="仿宋_GB2312"/>
                <w:color w:val="auto"/>
                <w:kern w:val="0"/>
                <w:szCs w:val="21"/>
                <w:lang w:bidi="ar"/>
              </w:rPr>
              <w:t>-</w:t>
            </w:r>
            <w:r>
              <w:rPr>
                <w:rFonts w:hint="eastAsia" w:eastAsia="仿宋_GB2312"/>
                <w:color w:val="auto"/>
                <w:kern w:val="0"/>
                <w:szCs w:val="21"/>
                <w:lang w:val="en-US" w:eastAsia="zh-CN" w:bidi="ar"/>
              </w:rPr>
              <w:t>14-</w:t>
            </w:r>
            <w:r>
              <w:rPr>
                <w:rFonts w:eastAsia="仿宋_GB2312"/>
                <w:color w:val="auto"/>
                <w:kern w:val="0"/>
                <w:szCs w:val="21"/>
                <w:lang w:bidi="ar"/>
              </w:rPr>
              <w:t>2</w:t>
            </w:r>
          </w:p>
        </w:tc>
        <w:tc>
          <w:tcPr>
            <w:tcW w:w="446" w:type="pct"/>
            <w:vMerge w:val="restart"/>
            <w:shd w:val="clear" w:color="auto" w:fill="auto"/>
            <w:vAlign w:val="center"/>
          </w:tcPr>
          <w:p w14:paraId="29C6CAC2">
            <w:pPr>
              <w:jc w:val="center"/>
              <w:rPr>
                <w:rFonts w:ascii="Times New Roman" w:hAnsi="Times New Roman" w:eastAsia="仿宋_GB2312" w:cs="Times New Roman"/>
                <w:color w:val="auto"/>
                <w:kern w:val="0"/>
                <w:sz w:val="21"/>
                <w:szCs w:val="21"/>
                <w:lang w:val="en-US" w:eastAsia="zh-CN" w:bidi="ar"/>
              </w:rPr>
            </w:pPr>
            <w:r>
              <w:rPr>
                <w:rFonts w:eastAsia="仿宋_GB2312"/>
                <w:color w:val="auto"/>
                <w:kern w:val="0"/>
                <w:szCs w:val="21"/>
                <w:lang w:bidi="ar"/>
              </w:rPr>
              <w:t>调节废气</w:t>
            </w:r>
          </w:p>
        </w:tc>
        <w:tc>
          <w:tcPr>
            <w:tcW w:w="361" w:type="pct"/>
            <w:vMerge w:val="restart"/>
            <w:vAlign w:val="center"/>
          </w:tcPr>
          <w:p w14:paraId="6DB7FB9B">
            <w:pPr>
              <w:jc w:val="center"/>
              <w:rPr>
                <w:rFonts w:hint="default" w:eastAsia="仿宋_GB2312"/>
                <w:color w:val="auto"/>
                <w:szCs w:val="21"/>
                <w:lang w:val="en-US" w:eastAsia="zh-CN"/>
              </w:rPr>
            </w:pPr>
            <w:r>
              <w:rPr>
                <w:rFonts w:hint="eastAsia" w:eastAsia="仿宋_GB2312"/>
                <w:color w:val="auto"/>
                <w:szCs w:val="21"/>
                <w:lang w:val="en-US" w:eastAsia="zh-CN"/>
              </w:rPr>
              <w:t>100</w:t>
            </w:r>
          </w:p>
        </w:tc>
        <w:tc>
          <w:tcPr>
            <w:tcW w:w="498" w:type="pct"/>
            <w:vMerge w:val="restart"/>
            <w:shd w:val="clear" w:color="auto" w:fill="auto"/>
            <w:vAlign w:val="center"/>
          </w:tcPr>
          <w:p w14:paraId="3606F7D4">
            <w:pPr>
              <w:keepNext w:val="0"/>
              <w:keepLines w:val="0"/>
              <w:widowControl/>
              <w:suppressLineNumbers w:val="0"/>
              <w:jc w:val="center"/>
              <w:textAlignment w:val="bottom"/>
              <w:rPr>
                <w:rFonts w:hint="eastAsia" w:eastAsia="仿宋_GB2312"/>
                <w:color w:val="auto"/>
                <w:kern w:val="0"/>
                <w:szCs w:val="21"/>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230</w:t>
            </w:r>
          </w:p>
        </w:tc>
        <w:tc>
          <w:tcPr>
            <w:tcW w:w="820" w:type="pct"/>
            <w:shd w:val="clear" w:color="auto" w:fill="auto"/>
            <w:vAlign w:val="center"/>
          </w:tcPr>
          <w:p w14:paraId="00F3FBD3">
            <w:pPr>
              <w:widowControl/>
              <w:jc w:val="center"/>
              <w:textAlignment w:val="center"/>
              <w:rPr>
                <w:rFonts w:hint="eastAsia" w:ascii="Times New Roman" w:hAnsi="Times New Roman" w:eastAsia="仿宋_GB2312" w:cs="Times New Roman"/>
                <w:b/>
                <w:bCs/>
                <w:color w:val="auto"/>
                <w:kern w:val="0"/>
                <w:sz w:val="21"/>
                <w:szCs w:val="21"/>
                <w:lang w:val="en-US" w:eastAsia="zh-CN" w:bidi="ar"/>
              </w:rPr>
            </w:pPr>
            <w:r>
              <w:rPr>
                <w:rFonts w:hint="eastAsia" w:eastAsia="仿宋_GB2312"/>
                <w:color w:val="auto"/>
                <w:kern w:val="0"/>
                <w:szCs w:val="21"/>
                <w:lang w:val="en-US" w:eastAsia="zh-CN" w:bidi="ar"/>
              </w:rPr>
              <w:t>甲基叔丁基醚</w:t>
            </w:r>
          </w:p>
        </w:tc>
        <w:tc>
          <w:tcPr>
            <w:tcW w:w="380" w:type="pct"/>
            <w:shd w:val="clear" w:color="auto" w:fill="auto"/>
            <w:vAlign w:val="center"/>
          </w:tcPr>
          <w:p w14:paraId="5B0942EA">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2.678</w:t>
            </w:r>
          </w:p>
        </w:tc>
        <w:tc>
          <w:tcPr>
            <w:tcW w:w="445" w:type="pct"/>
            <w:shd w:val="clear" w:color="auto" w:fill="auto"/>
            <w:vAlign w:val="center"/>
          </w:tcPr>
          <w:p w14:paraId="5975B355">
            <w:pPr>
              <w:widowControl/>
              <w:jc w:val="center"/>
              <w:textAlignment w:val="center"/>
              <w:rPr>
                <w:rFonts w:hint="eastAsia"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0.616</w:t>
            </w:r>
          </w:p>
        </w:tc>
        <w:tc>
          <w:tcPr>
            <w:tcW w:w="630" w:type="pct"/>
            <w:vMerge w:val="restart"/>
            <w:shd w:val="clear" w:color="auto" w:fill="auto"/>
            <w:vAlign w:val="center"/>
          </w:tcPr>
          <w:p w14:paraId="5F0E6B59">
            <w:pPr>
              <w:widowControl/>
              <w:jc w:val="center"/>
              <w:textAlignment w:val="center"/>
              <w:rPr>
                <w:rFonts w:hint="eastAsia" w:ascii="Times New Roman" w:hAnsi="Times New Roman" w:eastAsia="仿宋_GB2312" w:cs="Times New Roman"/>
                <w:color w:val="auto"/>
                <w:kern w:val="2"/>
                <w:sz w:val="21"/>
                <w:szCs w:val="21"/>
                <w:lang w:val="en-US" w:eastAsia="zh-CN" w:bidi="ar-SA"/>
              </w:rPr>
            </w:pPr>
            <w:r>
              <w:rPr>
                <w:rFonts w:hint="eastAsia" w:eastAsia="仿宋_GB2312"/>
                <w:color w:val="auto"/>
                <w:szCs w:val="21"/>
              </w:rPr>
              <w:t>预处理（冷凝+稀酸吸收+碱吸收+水吸收+除雾）+</w:t>
            </w:r>
            <w:r>
              <w:rPr>
                <w:rFonts w:eastAsia="仿宋_GB2312"/>
                <w:color w:val="auto"/>
                <w:szCs w:val="21"/>
              </w:rPr>
              <w:t>焚烧</w:t>
            </w:r>
          </w:p>
        </w:tc>
        <w:tc>
          <w:tcPr>
            <w:tcW w:w="292" w:type="pct"/>
            <w:vMerge w:val="restart"/>
            <w:shd w:val="clear" w:color="auto" w:fill="auto"/>
            <w:vAlign w:val="center"/>
          </w:tcPr>
          <w:p w14:paraId="2057F532">
            <w:pPr>
              <w:widowControl/>
              <w:jc w:val="center"/>
              <w:textAlignment w:val="center"/>
              <w:rPr>
                <w:rFonts w:hint="eastAsia" w:ascii="Times New Roman" w:hAnsi="Times New Roman" w:eastAsia="仿宋_GB2312" w:cs="Times New Roman"/>
                <w:color w:val="auto"/>
                <w:kern w:val="2"/>
                <w:sz w:val="21"/>
                <w:szCs w:val="21"/>
                <w:lang w:val="en-US" w:eastAsia="zh-CN" w:bidi="ar-SA"/>
              </w:rPr>
            </w:pPr>
            <w:r>
              <w:rPr>
                <w:rFonts w:hint="eastAsia" w:eastAsia="仿宋_GB2312"/>
                <w:color w:val="auto"/>
                <w:kern w:val="0"/>
                <w:szCs w:val="21"/>
                <w:lang w:bidi="ar"/>
              </w:rPr>
              <w:t>DA002</w:t>
            </w:r>
          </w:p>
        </w:tc>
      </w:tr>
      <w:tr w14:paraId="5675561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2778ED02">
            <w:pPr>
              <w:jc w:val="center"/>
              <w:rPr>
                <w:rFonts w:eastAsia="仿宋_GB2312"/>
                <w:color w:val="auto"/>
                <w:szCs w:val="21"/>
              </w:rPr>
            </w:pPr>
          </w:p>
        </w:tc>
        <w:tc>
          <w:tcPr>
            <w:tcW w:w="358" w:type="pct"/>
            <w:vMerge w:val="continue"/>
            <w:vAlign w:val="center"/>
          </w:tcPr>
          <w:p w14:paraId="307B066D">
            <w:pPr>
              <w:jc w:val="center"/>
              <w:rPr>
                <w:rFonts w:eastAsia="仿宋_GB2312"/>
                <w:color w:val="auto"/>
                <w:szCs w:val="21"/>
              </w:rPr>
            </w:pPr>
          </w:p>
        </w:tc>
        <w:tc>
          <w:tcPr>
            <w:tcW w:w="418" w:type="pct"/>
            <w:vMerge w:val="continue"/>
            <w:shd w:val="clear" w:color="auto" w:fill="auto"/>
            <w:vAlign w:val="center"/>
          </w:tcPr>
          <w:p w14:paraId="139E3C83">
            <w:pPr>
              <w:jc w:val="center"/>
              <w:rPr>
                <w:rFonts w:eastAsia="仿宋_GB2312"/>
                <w:color w:val="auto"/>
                <w:kern w:val="0"/>
                <w:szCs w:val="21"/>
                <w:lang w:bidi="ar"/>
              </w:rPr>
            </w:pPr>
          </w:p>
        </w:tc>
        <w:tc>
          <w:tcPr>
            <w:tcW w:w="446" w:type="pct"/>
            <w:vMerge w:val="continue"/>
            <w:shd w:val="clear" w:color="auto" w:fill="auto"/>
            <w:vAlign w:val="center"/>
          </w:tcPr>
          <w:p w14:paraId="2392FE3C">
            <w:pPr>
              <w:jc w:val="center"/>
              <w:rPr>
                <w:rFonts w:eastAsia="仿宋_GB2312"/>
                <w:color w:val="auto"/>
                <w:kern w:val="0"/>
                <w:szCs w:val="21"/>
                <w:lang w:bidi="ar"/>
              </w:rPr>
            </w:pPr>
          </w:p>
        </w:tc>
        <w:tc>
          <w:tcPr>
            <w:tcW w:w="361" w:type="pct"/>
            <w:vMerge w:val="continue"/>
            <w:vAlign w:val="center"/>
          </w:tcPr>
          <w:p w14:paraId="4E4EB3A2">
            <w:pPr>
              <w:jc w:val="center"/>
              <w:rPr>
                <w:rFonts w:hint="eastAsia" w:eastAsia="仿宋_GB2312"/>
                <w:color w:val="auto"/>
                <w:szCs w:val="21"/>
                <w:lang w:val="en-US" w:eastAsia="zh-CN"/>
              </w:rPr>
            </w:pPr>
          </w:p>
        </w:tc>
        <w:tc>
          <w:tcPr>
            <w:tcW w:w="498" w:type="pct"/>
            <w:vMerge w:val="continue"/>
            <w:shd w:val="clear" w:color="auto" w:fill="auto"/>
            <w:vAlign w:val="center"/>
          </w:tcPr>
          <w:p w14:paraId="7B9BB9DF">
            <w:pPr>
              <w:keepNext w:val="0"/>
              <w:keepLines w:val="0"/>
              <w:widowControl/>
              <w:suppressLineNumbers w:val="0"/>
              <w:jc w:val="center"/>
              <w:textAlignment w:val="bottom"/>
              <w:rPr>
                <w:rFonts w:hint="eastAsia" w:eastAsia="仿宋_GB2312"/>
                <w:color w:val="auto"/>
                <w:kern w:val="0"/>
                <w:szCs w:val="21"/>
                <w:lang w:val="en-US" w:eastAsia="zh-CN" w:bidi="ar"/>
              </w:rPr>
            </w:pPr>
          </w:p>
        </w:tc>
        <w:tc>
          <w:tcPr>
            <w:tcW w:w="820" w:type="pct"/>
            <w:shd w:val="clear" w:color="auto" w:fill="auto"/>
            <w:vAlign w:val="center"/>
          </w:tcPr>
          <w:p w14:paraId="251A0A89">
            <w:pPr>
              <w:widowControl/>
              <w:jc w:val="center"/>
              <w:textAlignment w:val="center"/>
              <w:rPr>
                <w:rFonts w:hint="eastAsia"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甲醇</w:t>
            </w:r>
          </w:p>
        </w:tc>
        <w:tc>
          <w:tcPr>
            <w:tcW w:w="380" w:type="pct"/>
            <w:shd w:val="clear" w:color="auto" w:fill="auto"/>
            <w:vAlign w:val="center"/>
          </w:tcPr>
          <w:p w14:paraId="40FD052A">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0.008</w:t>
            </w:r>
          </w:p>
        </w:tc>
        <w:tc>
          <w:tcPr>
            <w:tcW w:w="445" w:type="pct"/>
            <w:shd w:val="clear" w:color="auto" w:fill="auto"/>
            <w:vAlign w:val="center"/>
          </w:tcPr>
          <w:p w14:paraId="48B572E7">
            <w:pPr>
              <w:widowControl/>
              <w:jc w:val="center"/>
              <w:textAlignment w:val="center"/>
              <w:rPr>
                <w:rFonts w:hint="eastAsia"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0.002</w:t>
            </w:r>
          </w:p>
        </w:tc>
        <w:tc>
          <w:tcPr>
            <w:tcW w:w="630" w:type="pct"/>
            <w:vMerge w:val="continue"/>
            <w:shd w:val="clear" w:color="auto" w:fill="auto"/>
            <w:vAlign w:val="center"/>
          </w:tcPr>
          <w:p w14:paraId="3673137D">
            <w:pPr>
              <w:jc w:val="center"/>
              <w:rPr>
                <w:rFonts w:hint="eastAsia" w:eastAsia="仿宋_GB2312"/>
                <w:color w:val="auto"/>
                <w:szCs w:val="21"/>
              </w:rPr>
            </w:pPr>
          </w:p>
        </w:tc>
        <w:tc>
          <w:tcPr>
            <w:tcW w:w="292" w:type="pct"/>
            <w:vMerge w:val="continue"/>
            <w:shd w:val="clear" w:color="auto" w:fill="auto"/>
            <w:vAlign w:val="center"/>
          </w:tcPr>
          <w:p w14:paraId="689FD4FA">
            <w:pPr>
              <w:jc w:val="center"/>
              <w:rPr>
                <w:rFonts w:hint="eastAsia" w:eastAsia="仿宋_GB2312"/>
                <w:color w:val="auto"/>
              </w:rPr>
            </w:pPr>
          </w:p>
        </w:tc>
      </w:tr>
      <w:tr w14:paraId="7AA086D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698BF87F">
            <w:pPr>
              <w:jc w:val="center"/>
              <w:rPr>
                <w:rFonts w:eastAsia="仿宋_GB2312"/>
                <w:color w:val="auto"/>
                <w:szCs w:val="21"/>
              </w:rPr>
            </w:pPr>
          </w:p>
        </w:tc>
        <w:tc>
          <w:tcPr>
            <w:tcW w:w="358" w:type="pct"/>
            <w:vMerge w:val="continue"/>
            <w:vAlign w:val="center"/>
          </w:tcPr>
          <w:p w14:paraId="02E72C70">
            <w:pPr>
              <w:jc w:val="center"/>
              <w:rPr>
                <w:rFonts w:eastAsia="仿宋_GB2312"/>
                <w:color w:val="auto"/>
                <w:szCs w:val="21"/>
              </w:rPr>
            </w:pPr>
          </w:p>
        </w:tc>
        <w:tc>
          <w:tcPr>
            <w:tcW w:w="418" w:type="pct"/>
            <w:vMerge w:val="continue"/>
            <w:shd w:val="clear" w:color="auto" w:fill="auto"/>
            <w:vAlign w:val="center"/>
          </w:tcPr>
          <w:p w14:paraId="0E66706B">
            <w:pPr>
              <w:jc w:val="center"/>
              <w:rPr>
                <w:rFonts w:eastAsia="仿宋_GB2312"/>
                <w:color w:val="auto"/>
                <w:kern w:val="0"/>
                <w:szCs w:val="21"/>
                <w:lang w:bidi="ar"/>
              </w:rPr>
            </w:pPr>
          </w:p>
        </w:tc>
        <w:tc>
          <w:tcPr>
            <w:tcW w:w="446" w:type="pct"/>
            <w:vMerge w:val="continue"/>
            <w:shd w:val="clear" w:color="auto" w:fill="auto"/>
            <w:vAlign w:val="center"/>
          </w:tcPr>
          <w:p w14:paraId="7FAD4CA7">
            <w:pPr>
              <w:jc w:val="center"/>
              <w:rPr>
                <w:rFonts w:eastAsia="仿宋_GB2312"/>
                <w:color w:val="auto"/>
                <w:kern w:val="0"/>
                <w:szCs w:val="21"/>
                <w:lang w:bidi="ar"/>
              </w:rPr>
            </w:pPr>
          </w:p>
        </w:tc>
        <w:tc>
          <w:tcPr>
            <w:tcW w:w="361" w:type="pct"/>
            <w:vMerge w:val="continue"/>
            <w:vAlign w:val="center"/>
          </w:tcPr>
          <w:p w14:paraId="1885B0AE">
            <w:pPr>
              <w:jc w:val="center"/>
              <w:rPr>
                <w:rFonts w:hint="eastAsia" w:eastAsia="仿宋_GB2312"/>
                <w:color w:val="auto"/>
                <w:szCs w:val="21"/>
                <w:lang w:val="en-US" w:eastAsia="zh-CN"/>
              </w:rPr>
            </w:pPr>
          </w:p>
        </w:tc>
        <w:tc>
          <w:tcPr>
            <w:tcW w:w="498" w:type="pct"/>
            <w:vMerge w:val="continue"/>
            <w:shd w:val="clear" w:color="auto" w:fill="auto"/>
            <w:vAlign w:val="center"/>
          </w:tcPr>
          <w:p w14:paraId="5FDF0F50">
            <w:pPr>
              <w:keepNext w:val="0"/>
              <w:keepLines w:val="0"/>
              <w:widowControl/>
              <w:suppressLineNumbers w:val="0"/>
              <w:jc w:val="center"/>
              <w:textAlignment w:val="bottom"/>
              <w:rPr>
                <w:rFonts w:hint="eastAsia" w:eastAsia="仿宋_GB2312"/>
                <w:color w:val="auto"/>
                <w:kern w:val="0"/>
                <w:szCs w:val="21"/>
                <w:lang w:val="en-US" w:eastAsia="zh-CN" w:bidi="ar"/>
              </w:rPr>
            </w:pPr>
          </w:p>
        </w:tc>
        <w:tc>
          <w:tcPr>
            <w:tcW w:w="820" w:type="pct"/>
            <w:shd w:val="clear" w:color="auto" w:fill="auto"/>
            <w:vAlign w:val="center"/>
          </w:tcPr>
          <w:p w14:paraId="66D82A30">
            <w:pPr>
              <w:widowControl/>
              <w:jc w:val="center"/>
              <w:textAlignment w:val="center"/>
              <w:rPr>
                <w:rFonts w:hint="eastAsia"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叔丁醇</w:t>
            </w:r>
          </w:p>
        </w:tc>
        <w:tc>
          <w:tcPr>
            <w:tcW w:w="380" w:type="pct"/>
            <w:shd w:val="clear" w:color="auto" w:fill="auto"/>
            <w:vAlign w:val="center"/>
          </w:tcPr>
          <w:p w14:paraId="5C6796C1">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0.008</w:t>
            </w:r>
          </w:p>
        </w:tc>
        <w:tc>
          <w:tcPr>
            <w:tcW w:w="445" w:type="pct"/>
            <w:shd w:val="clear" w:color="auto" w:fill="auto"/>
            <w:vAlign w:val="center"/>
          </w:tcPr>
          <w:p w14:paraId="5C599E58">
            <w:pPr>
              <w:widowControl/>
              <w:jc w:val="center"/>
              <w:textAlignment w:val="center"/>
              <w:rPr>
                <w:rFonts w:hint="eastAsia"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0.002</w:t>
            </w:r>
          </w:p>
        </w:tc>
        <w:tc>
          <w:tcPr>
            <w:tcW w:w="630" w:type="pct"/>
            <w:vMerge w:val="continue"/>
            <w:shd w:val="clear" w:color="auto" w:fill="auto"/>
            <w:vAlign w:val="center"/>
          </w:tcPr>
          <w:p w14:paraId="6D247BE0">
            <w:pPr>
              <w:jc w:val="center"/>
              <w:rPr>
                <w:rFonts w:hint="eastAsia" w:eastAsia="仿宋_GB2312"/>
                <w:color w:val="auto"/>
                <w:szCs w:val="21"/>
              </w:rPr>
            </w:pPr>
          </w:p>
        </w:tc>
        <w:tc>
          <w:tcPr>
            <w:tcW w:w="292" w:type="pct"/>
            <w:vMerge w:val="continue"/>
            <w:shd w:val="clear" w:color="auto" w:fill="auto"/>
            <w:vAlign w:val="center"/>
          </w:tcPr>
          <w:p w14:paraId="0E066587">
            <w:pPr>
              <w:jc w:val="center"/>
              <w:rPr>
                <w:rFonts w:hint="eastAsia" w:eastAsia="仿宋_GB2312"/>
                <w:color w:val="auto"/>
              </w:rPr>
            </w:pPr>
          </w:p>
        </w:tc>
      </w:tr>
      <w:tr w14:paraId="34E6181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1084B835">
            <w:pPr>
              <w:jc w:val="center"/>
              <w:rPr>
                <w:rFonts w:eastAsia="仿宋_GB2312"/>
                <w:color w:val="auto"/>
                <w:szCs w:val="21"/>
              </w:rPr>
            </w:pPr>
          </w:p>
        </w:tc>
        <w:tc>
          <w:tcPr>
            <w:tcW w:w="358" w:type="pct"/>
            <w:vMerge w:val="continue"/>
            <w:vAlign w:val="center"/>
          </w:tcPr>
          <w:p w14:paraId="3B1B9DCE">
            <w:pPr>
              <w:jc w:val="center"/>
              <w:rPr>
                <w:rFonts w:eastAsia="仿宋_GB2312"/>
                <w:color w:val="auto"/>
                <w:szCs w:val="21"/>
              </w:rPr>
            </w:pPr>
          </w:p>
        </w:tc>
        <w:tc>
          <w:tcPr>
            <w:tcW w:w="418" w:type="pct"/>
            <w:vMerge w:val="continue"/>
            <w:shd w:val="clear" w:color="auto" w:fill="auto"/>
            <w:vAlign w:val="center"/>
          </w:tcPr>
          <w:p w14:paraId="6BC44150">
            <w:pPr>
              <w:jc w:val="center"/>
              <w:rPr>
                <w:rFonts w:eastAsia="仿宋_GB2312"/>
                <w:color w:val="auto"/>
                <w:kern w:val="0"/>
                <w:szCs w:val="21"/>
                <w:lang w:bidi="ar"/>
              </w:rPr>
            </w:pPr>
          </w:p>
        </w:tc>
        <w:tc>
          <w:tcPr>
            <w:tcW w:w="446" w:type="pct"/>
            <w:vMerge w:val="continue"/>
            <w:shd w:val="clear" w:color="auto" w:fill="auto"/>
            <w:vAlign w:val="center"/>
          </w:tcPr>
          <w:p w14:paraId="21CC924A">
            <w:pPr>
              <w:jc w:val="center"/>
              <w:rPr>
                <w:rFonts w:eastAsia="仿宋_GB2312"/>
                <w:color w:val="auto"/>
                <w:kern w:val="0"/>
                <w:szCs w:val="21"/>
                <w:lang w:bidi="ar"/>
              </w:rPr>
            </w:pPr>
          </w:p>
        </w:tc>
        <w:tc>
          <w:tcPr>
            <w:tcW w:w="361" w:type="pct"/>
            <w:vMerge w:val="continue"/>
            <w:vAlign w:val="center"/>
          </w:tcPr>
          <w:p w14:paraId="568F9316">
            <w:pPr>
              <w:jc w:val="center"/>
              <w:rPr>
                <w:rFonts w:hint="eastAsia" w:eastAsia="仿宋_GB2312"/>
                <w:color w:val="auto"/>
                <w:szCs w:val="21"/>
                <w:lang w:val="en-US" w:eastAsia="zh-CN"/>
              </w:rPr>
            </w:pPr>
          </w:p>
        </w:tc>
        <w:tc>
          <w:tcPr>
            <w:tcW w:w="498" w:type="pct"/>
            <w:vMerge w:val="continue"/>
            <w:shd w:val="clear" w:color="auto" w:fill="auto"/>
            <w:vAlign w:val="center"/>
          </w:tcPr>
          <w:p w14:paraId="4D9325AA">
            <w:pPr>
              <w:keepNext w:val="0"/>
              <w:keepLines w:val="0"/>
              <w:widowControl/>
              <w:suppressLineNumbers w:val="0"/>
              <w:jc w:val="center"/>
              <w:textAlignment w:val="bottom"/>
              <w:rPr>
                <w:rFonts w:hint="eastAsia" w:eastAsia="仿宋_GB2312"/>
                <w:color w:val="auto"/>
                <w:kern w:val="0"/>
                <w:szCs w:val="21"/>
                <w:lang w:val="en-US" w:eastAsia="zh-CN" w:bidi="ar"/>
              </w:rPr>
            </w:pPr>
          </w:p>
        </w:tc>
        <w:tc>
          <w:tcPr>
            <w:tcW w:w="820" w:type="pct"/>
            <w:shd w:val="clear" w:color="auto" w:fill="auto"/>
            <w:vAlign w:val="center"/>
          </w:tcPr>
          <w:p w14:paraId="0B8D8C71">
            <w:pPr>
              <w:widowControl/>
              <w:jc w:val="center"/>
              <w:textAlignment w:val="center"/>
              <w:rPr>
                <w:rFonts w:hint="eastAsia"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甲基仲丁基醚</w:t>
            </w:r>
          </w:p>
        </w:tc>
        <w:tc>
          <w:tcPr>
            <w:tcW w:w="380" w:type="pct"/>
            <w:shd w:val="clear" w:color="auto" w:fill="auto"/>
            <w:vAlign w:val="center"/>
          </w:tcPr>
          <w:p w14:paraId="16109AA8">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0.008</w:t>
            </w:r>
          </w:p>
        </w:tc>
        <w:tc>
          <w:tcPr>
            <w:tcW w:w="445" w:type="pct"/>
            <w:shd w:val="clear" w:color="auto" w:fill="auto"/>
            <w:vAlign w:val="center"/>
          </w:tcPr>
          <w:p w14:paraId="3967F0DC">
            <w:pPr>
              <w:widowControl/>
              <w:jc w:val="center"/>
              <w:textAlignment w:val="center"/>
              <w:rPr>
                <w:rFonts w:hint="eastAsia"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0.002</w:t>
            </w:r>
          </w:p>
        </w:tc>
        <w:tc>
          <w:tcPr>
            <w:tcW w:w="630" w:type="pct"/>
            <w:vMerge w:val="continue"/>
            <w:shd w:val="clear" w:color="auto" w:fill="auto"/>
            <w:vAlign w:val="center"/>
          </w:tcPr>
          <w:p w14:paraId="4117F165">
            <w:pPr>
              <w:jc w:val="center"/>
              <w:rPr>
                <w:rFonts w:hint="eastAsia" w:eastAsia="仿宋_GB2312"/>
                <w:color w:val="auto"/>
                <w:szCs w:val="21"/>
              </w:rPr>
            </w:pPr>
          </w:p>
        </w:tc>
        <w:tc>
          <w:tcPr>
            <w:tcW w:w="292" w:type="pct"/>
            <w:vMerge w:val="continue"/>
            <w:shd w:val="clear" w:color="auto" w:fill="auto"/>
            <w:vAlign w:val="center"/>
          </w:tcPr>
          <w:p w14:paraId="5C8BE42B">
            <w:pPr>
              <w:jc w:val="center"/>
              <w:rPr>
                <w:rFonts w:hint="eastAsia" w:eastAsia="仿宋_GB2312"/>
                <w:color w:val="auto"/>
              </w:rPr>
            </w:pPr>
          </w:p>
        </w:tc>
      </w:tr>
      <w:tr w14:paraId="5C415B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1B341731">
            <w:pPr>
              <w:jc w:val="center"/>
              <w:rPr>
                <w:rFonts w:eastAsia="仿宋_GB2312"/>
                <w:color w:val="auto"/>
                <w:szCs w:val="21"/>
              </w:rPr>
            </w:pPr>
          </w:p>
        </w:tc>
        <w:tc>
          <w:tcPr>
            <w:tcW w:w="358" w:type="pct"/>
            <w:vMerge w:val="continue"/>
            <w:vAlign w:val="center"/>
          </w:tcPr>
          <w:p w14:paraId="542716ED">
            <w:pPr>
              <w:jc w:val="center"/>
              <w:rPr>
                <w:rFonts w:eastAsia="仿宋_GB2312"/>
                <w:color w:val="auto"/>
                <w:szCs w:val="21"/>
              </w:rPr>
            </w:pPr>
          </w:p>
        </w:tc>
        <w:tc>
          <w:tcPr>
            <w:tcW w:w="418" w:type="pct"/>
            <w:vMerge w:val="continue"/>
            <w:shd w:val="clear" w:color="auto" w:fill="auto"/>
            <w:vAlign w:val="center"/>
          </w:tcPr>
          <w:p w14:paraId="2621471B">
            <w:pPr>
              <w:jc w:val="center"/>
              <w:rPr>
                <w:rFonts w:eastAsia="仿宋_GB2312"/>
                <w:color w:val="auto"/>
                <w:kern w:val="0"/>
                <w:szCs w:val="21"/>
                <w:lang w:bidi="ar"/>
              </w:rPr>
            </w:pPr>
          </w:p>
        </w:tc>
        <w:tc>
          <w:tcPr>
            <w:tcW w:w="446" w:type="pct"/>
            <w:vMerge w:val="continue"/>
            <w:shd w:val="clear" w:color="auto" w:fill="auto"/>
            <w:vAlign w:val="center"/>
          </w:tcPr>
          <w:p w14:paraId="78E6AEA8">
            <w:pPr>
              <w:jc w:val="center"/>
              <w:rPr>
                <w:rFonts w:eastAsia="仿宋_GB2312"/>
                <w:color w:val="auto"/>
                <w:kern w:val="0"/>
                <w:szCs w:val="21"/>
                <w:lang w:bidi="ar"/>
              </w:rPr>
            </w:pPr>
          </w:p>
        </w:tc>
        <w:tc>
          <w:tcPr>
            <w:tcW w:w="361" w:type="pct"/>
            <w:vMerge w:val="continue"/>
            <w:vAlign w:val="center"/>
          </w:tcPr>
          <w:p w14:paraId="14E0B105">
            <w:pPr>
              <w:jc w:val="center"/>
              <w:rPr>
                <w:rFonts w:hint="eastAsia" w:eastAsia="仿宋_GB2312"/>
                <w:color w:val="auto"/>
                <w:szCs w:val="21"/>
                <w:lang w:val="en-US" w:eastAsia="zh-CN"/>
              </w:rPr>
            </w:pPr>
          </w:p>
        </w:tc>
        <w:tc>
          <w:tcPr>
            <w:tcW w:w="498" w:type="pct"/>
            <w:vMerge w:val="continue"/>
            <w:shd w:val="clear" w:color="auto" w:fill="auto"/>
            <w:vAlign w:val="center"/>
          </w:tcPr>
          <w:p w14:paraId="72FE577D">
            <w:pPr>
              <w:keepNext w:val="0"/>
              <w:keepLines w:val="0"/>
              <w:widowControl/>
              <w:suppressLineNumbers w:val="0"/>
              <w:jc w:val="center"/>
              <w:textAlignment w:val="bottom"/>
              <w:rPr>
                <w:rFonts w:eastAsia="仿宋_GB2312"/>
                <w:color w:val="auto"/>
                <w:kern w:val="0"/>
                <w:szCs w:val="21"/>
                <w:lang w:bidi="ar"/>
              </w:rPr>
            </w:pPr>
          </w:p>
        </w:tc>
        <w:tc>
          <w:tcPr>
            <w:tcW w:w="820" w:type="pct"/>
            <w:shd w:val="clear" w:color="auto" w:fill="auto"/>
            <w:vAlign w:val="center"/>
          </w:tcPr>
          <w:p w14:paraId="3C3E0CDF">
            <w:pPr>
              <w:widowControl/>
              <w:jc w:val="center"/>
              <w:textAlignment w:val="center"/>
              <w:rPr>
                <w:rFonts w:hint="eastAsia" w:ascii="Times New Roman" w:hAnsi="Times New Roman" w:eastAsia="仿宋_GB2312" w:cs="Times New Roman"/>
                <w:b/>
                <w:bCs/>
                <w:color w:val="auto"/>
                <w:kern w:val="0"/>
                <w:sz w:val="21"/>
                <w:szCs w:val="21"/>
                <w:lang w:val="en-US" w:eastAsia="zh-CN" w:bidi="ar"/>
              </w:rPr>
            </w:pPr>
            <w:r>
              <w:rPr>
                <w:rFonts w:eastAsia="仿宋_GB2312"/>
                <w:color w:val="auto"/>
                <w:kern w:val="0"/>
                <w:szCs w:val="21"/>
                <w:lang w:bidi="ar"/>
              </w:rPr>
              <w:t>其他有机物</w:t>
            </w:r>
          </w:p>
        </w:tc>
        <w:tc>
          <w:tcPr>
            <w:tcW w:w="380" w:type="pct"/>
            <w:shd w:val="clear" w:color="auto" w:fill="auto"/>
            <w:vAlign w:val="center"/>
          </w:tcPr>
          <w:p w14:paraId="2BF55138">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0.03</w:t>
            </w:r>
          </w:p>
        </w:tc>
        <w:tc>
          <w:tcPr>
            <w:tcW w:w="445" w:type="pct"/>
            <w:shd w:val="clear" w:color="auto" w:fill="auto"/>
            <w:vAlign w:val="center"/>
          </w:tcPr>
          <w:p w14:paraId="49764938">
            <w:pPr>
              <w:widowControl/>
              <w:jc w:val="center"/>
              <w:textAlignment w:val="center"/>
              <w:rPr>
                <w:rFonts w:hint="eastAsia"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0.007</w:t>
            </w:r>
          </w:p>
        </w:tc>
        <w:tc>
          <w:tcPr>
            <w:tcW w:w="630" w:type="pct"/>
            <w:vMerge w:val="continue"/>
            <w:shd w:val="clear" w:color="auto" w:fill="auto"/>
            <w:vAlign w:val="center"/>
          </w:tcPr>
          <w:p w14:paraId="6B5C3527">
            <w:pPr>
              <w:jc w:val="center"/>
              <w:rPr>
                <w:rFonts w:hint="eastAsia" w:eastAsia="仿宋_GB2312"/>
                <w:color w:val="auto"/>
                <w:szCs w:val="21"/>
              </w:rPr>
            </w:pPr>
          </w:p>
        </w:tc>
        <w:tc>
          <w:tcPr>
            <w:tcW w:w="292" w:type="pct"/>
            <w:vMerge w:val="continue"/>
            <w:shd w:val="clear" w:color="auto" w:fill="auto"/>
            <w:vAlign w:val="center"/>
          </w:tcPr>
          <w:p w14:paraId="59AF45EA">
            <w:pPr>
              <w:jc w:val="center"/>
              <w:rPr>
                <w:rFonts w:hint="eastAsia" w:eastAsia="仿宋_GB2312"/>
                <w:color w:val="auto"/>
              </w:rPr>
            </w:pPr>
          </w:p>
        </w:tc>
      </w:tr>
      <w:tr w14:paraId="799AAA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4AEA1400">
            <w:pPr>
              <w:jc w:val="center"/>
              <w:rPr>
                <w:rFonts w:eastAsia="仿宋_GB2312"/>
                <w:color w:val="auto"/>
                <w:szCs w:val="21"/>
              </w:rPr>
            </w:pPr>
          </w:p>
        </w:tc>
        <w:tc>
          <w:tcPr>
            <w:tcW w:w="358" w:type="pct"/>
            <w:vMerge w:val="continue"/>
            <w:vAlign w:val="center"/>
          </w:tcPr>
          <w:p w14:paraId="16790509">
            <w:pPr>
              <w:jc w:val="center"/>
              <w:rPr>
                <w:rFonts w:eastAsia="仿宋_GB2312"/>
                <w:color w:val="auto"/>
                <w:szCs w:val="21"/>
              </w:rPr>
            </w:pPr>
          </w:p>
        </w:tc>
        <w:tc>
          <w:tcPr>
            <w:tcW w:w="418" w:type="pct"/>
            <w:vMerge w:val="restart"/>
            <w:shd w:val="clear" w:color="auto" w:fill="auto"/>
            <w:vAlign w:val="center"/>
          </w:tcPr>
          <w:p w14:paraId="1EFEF017">
            <w:pPr>
              <w:jc w:val="center"/>
              <w:rPr>
                <w:rFonts w:ascii="Times New Roman" w:hAnsi="Times New Roman" w:eastAsia="仿宋_GB2312" w:cs="Times New Roman"/>
                <w:color w:val="auto"/>
                <w:kern w:val="0"/>
                <w:sz w:val="21"/>
                <w:szCs w:val="21"/>
                <w:lang w:val="en-US" w:eastAsia="zh-CN" w:bidi="ar"/>
              </w:rPr>
            </w:pPr>
            <w:r>
              <w:rPr>
                <w:rFonts w:eastAsia="仿宋_GB2312"/>
                <w:color w:val="auto"/>
                <w:kern w:val="0"/>
                <w:szCs w:val="21"/>
                <w:lang w:bidi="ar"/>
              </w:rPr>
              <w:t>G</w:t>
            </w:r>
            <w:r>
              <w:rPr>
                <w:rFonts w:hint="eastAsia" w:eastAsia="仿宋_GB2312"/>
                <w:color w:val="auto"/>
                <w:kern w:val="0"/>
                <w:szCs w:val="21"/>
                <w:lang w:val="en-US" w:eastAsia="zh-CN" w:bidi="ar"/>
              </w:rPr>
              <w:t>3</w:t>
            </w:r>
            <w:r>
              <w:rPr>
                <w:rFonts w:eastAsia="仿宋_GB2312"/>
                <w:color w:val="auto"/>
                <w:kern w:val="0"/>
                <w:szCs w:val="21"/>
                <w:lang w:bidi="ar"/>
              </w:rPr>
              <w:t>-</w:t>
            </w:r>
            <w:r>
              <w:rPr>
                <w:rFonts w:hint="eastAsia" w:eastAsia="仿宋_GB2312"/>
                <w:color w:val="auto"/>
                <w:kern w:val="0"/>
                <w:szCs w:val="21"/>
                <w:lang w:val="en-US" w:eastAsia="zh-CN" w:bidi="ar"/>
              </w:rPr>
              <w:t>14</w:t>
            </w:r>
            <w:r>
              <w:rPr>
                <w:rFonts w:eastAsia="仿宋_GB2312"/>
                <w:color w:val="auto"/>
                <w:kern w:val="0"/>
                <w:szCs w:val="21"/>
                <w:lang w:bidi="ar"/>
              </w:rPr>
              <w:t>-3</w:t>
            </w:r>
          </w:p>
        </w:tc>
        <w:tc>
          <w:tcPr>
            <w:tcW w:w="446" w:type="pct"/>
            <w:vMerge w:val="restart"/>
            <w:shd w:val="clear" w:color="auto" w:fill="auto"/>
            <w:vAlign w:val="center"/>
          </w:tcPr>
          <w:p w14:paraId="36D5120A">
            <w:pPr>
              <w:jc w:val="center"/>
              <w:rPr>
                <w:rFonts w:ascii="Times New Roman" w:hAnsi="Times New Roman" w:eastAsia="仿宋_GB2312" w:cs="Times New Roman"/>
                <w:color w:val="auto"/>
                <w:kern w:val="0"/>
                <w:sz w:val="21"/>
                <w:szCs w:val="21"/>
                <w:lang w:val="en-US" w:eastAsia="zh-CN" w:bidi="ar"/>
              </w:rPr>
            </w:pPr>
            <w:r>
              <w:rPr>
                <w:rFonts w:eastAsia="仿宋_GB2312"/>
                <w:color w:val="auto"/>
                <w:kern w:val="0"/>
                <w:szCs w:val="21"/>
                <w:lang w:bidi="ar"/>
              </w:rPr>
              <w:t>不凝气</w:t>
            </w:r>
          </w:p>
        </w:tc>
        <w:tc>
          <w:tcPr>
            <w:tcW w:w="361" w:type="pct"/>
            <w:vMerge w:val="restart"/>
            <w:vAlign w:val="center"/>
          </w:tcPr>
          <w:p w14:paraId="1BD69634">
            <w:pPr>
              <w:jc w:val="center"/>
              <w:rPr>
                <w:rFonts w:hint="default" w:eastAsia="仿宋_GB2312"/>
                <w:color w:val="auto"/>
                <w:szCs w:val="21"/>
                <w:lang w:val="en-US" w:eastAsia="zh-CN"/>
              </w:rPr>
            </w:pPr>
            <w:r>
              <w:rPr>
                <w:rFonts w:hint="eastAsia" w:eastAsia="仿宋_GB2312"/>
                <w:color w:val="auto"/>
                <w:szCs w:val="21"/>
                <w:lang w:val="en-US" w:eastAsia="zh-CN"/>
              </w:rPr>
              <w:t>360</w:t>
            </w:r>
          </w:p>
        </w:tc>
        <w:tc>
          <w:tcPr>
            <w:tcW w:w="498" w:type="pct"/>
            <w:vMerge w:val="restart"/>
            <w:shd w:val="clear" w:color="auto" w:fill="auto"/>
            <w:vAlign w:val="center"/>
          </w:tcPr>
          <w:p w14:paraId="1163525C">
            <w:pPr>
              <w:keepNext w:val="0"/>
              <w:keepLines w:val="0"/>
              <w:widowControl/>
              <w:suppressLineNumbers w:val="0"/>
              <w:jc w:val="center"/>
              <w:textAlignment w:val="bottom"/>
              <w:rPr>
                <w:rFonts w:hint="eastAsia" w:eastAsia="仿宋_GB2312"/>
                <w:color w:val="auto"/>
                <w:kern w:val="0"/>
                <w:szCs w:val="21"/>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230</w:t>
            </w:r>
          </w:p>
        </w:tc>
        <w:tc>
          <w:tcPr>
            <w:tcW w:w="820" w:type="pct"/>
            <w:shd w:val="clear" w:color="auto" w:fill="auto"/>
            <w:vAlign w:val="center"/>
          </w:tcPr>
          <w:p w14:paraId="449FF08A">
            <w:pPr>
              <w:widowControl/>
              <w:jc w:val="center"/>
              <w:textAlignment w:val="center"/>
              <w:rPr>
                <w:rFonts w:hint="eastAsia" w:ascii="Times New Roman" w:hAnsi="Times New Roman" w:eastAsia="仿宋_GB2312" w:cs="Times New Roman"/>
                <w:b/>
                <w:bCs/>
                <w:color w:val="auto"/>
                <w:kern w:val="0"/>
                <w:sz w:val="21"/>
                <w:szCs w:val="21"/>
                <w:lang w:val="en-US" w:eastAsia="zh-CN" w:bidi="ar"/>
              </w:rPr>
            </w:pPr>
            <w:r>
              <w:rPr>
                <w:rFonts w:hint="eastAsia" w:eastAsia="仿宋_GB2312"/>
                <w:color w:val="auto"/>
                <w:kern w:val="0"/>
                <w:szCs w:val="21"/>
                <w:lang w:val="en-US" w:eastAsia="zh-CN" w:bidi="ar"/>
              </w:rPr>
              <w:t>甲基叔丁基醚</w:t>
            </w:r>
          </w:p>
        </w:tc>
        <w:tc>
          <w:tcPr>
            <w:tcW w:w="380" w:type="pct"/>
            <w:shd w:val="clear" w:color="auto" w:fill="auto"/>
            <w:vAlign w:val="center"/>
          </w:tcPr>
          <w:p w14:paraId="2347944F">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0.578</w:t>
            </w:r>
          </w:p>
        </w:tc>
        <w:tc>
          <w:tcPr>
            <w:tcW w:w="445" w:type="pct"/>
            <w:shd w:val="clear" w:color="auto" w:fill="auto"/>
            <w:vAlign w:val="center"/>
          </w:tcPr>
          <w:p w14:paraId="193FF62B">
            <w:pPr>
              <w:widowControl/>
              <w:jc w:val="center"/>
              <w:textAlignment w:val="center"/>
              <w:rPr>
                <w:rFonts w:hint="eastAsia"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0.133</w:t>
            </w:r>
          </w:p>
        </w:tc>
        <w:tc>
          <w:tcPr>
            <w:tcW w:w="630" w:type="pct"/>
            <w:vMerge w:val="continue"/>
            <w:shd w:val="clear" w:color="auto" w:fill="auto"/>
            <w:vAlign w:val="center"/>
          </w:tcPr>
          <w:p w14:paraId="5C55843E">
            <w:pPr>
              <w:jc w:val="center"/>
              <w:rPr>
                <w:rFonts w:hint="eastAsia" w:eastAsia="仿宋_GB2312"/>
                <w:color w:val="auto"/>
                <w:szCs w:val="21"/>
              </w:rPr>
            </w:pPr>
          </w:p>
        </w:tc>
        <w:tc>
          <w:tcPr>
            <w:tcW w:w="292" w:type="pct"/>
            <w:vMerge w:val="continue"/>
            <w:shd w:val="clear" w:color="auto" w:fill="auto"/>
            <w:vAlign w:val="center"/>
          </w:tcPr>
          <w:p w14:paraId="75B241A1">
            <w:pPr>
              <w:jc w:val="center"/>
              <w:rPr>
                <w:rFonts w:hint="eastAsia" w:eastAsia="仿宋_GB2312"/>
                <w:color w:val="auto"/>
              </w:rPr>
            </w:pPr>
          </w:p>
        </w:tc>
      </w:tr>
      <w:tr w14:paraId="53DDC8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78FC00FD">
            <w:pPr>
              <w:jc w:val="center"/>
              <w:rPr>
                <w:rFonts w:eastAsia="仿宋_GB2312"/>
                <w:color w:val="auto"/>
                <w:szCs w:val="21"/>
              </w:rPr>
            </w:pPr>
          </w:p>
        </w:tc>
        <w:tc>
          <w:tcPr>
            <w:tcW w:w="358" w:type="pct"/>
            <w:vMerge w:val="continue"/>
            <w:vAlign w:val="center"/>
          </w:tcPr>
          <w:p w14:paraId="006751A4">
            <w:pPr>
              <w:jc w:val="center"/>
              <w:rPr>
                <w:rFonts w:eastAsia="仿宋_GB2312"/>
                <w:color w:val="auto"/>
                <w:szCs w:val="21"/>
              </w:rPr>
            </w:pPr>
          </w:p>
        </w:tc>
        <w:tc>
          <w:tcPr>
            <w:tcW w:w="418" w:type="pct"/>
            <w:vMerge w:val="continue"/>
            <w:shd w:val="clear" w:color="auto" w:fill="auto"/>
            <w:vAlign w:val="center"/>
          </w:tcPr>
          <w:p w14:paraId="77E55068">
            <w:pPr>
              <w:jc w:val="center"/>
              <w:rPr>
                <w:rFonts w:eastAsia="仿宋_GB2312"/>
                <w:color w:val="auto"/>
                <w:kern w:val="0"/>
                <w:szCs w:val="21"/>
                <w:lang w:bidi="ar"/>
              </w:rPr>
            </w:pPr>
          </w:p>
        </w:tc>
        <w:tc>
          <w:tcPr>
            <w:tcW w:w="446" w:type="pct"/>
            <w:vMerge w:val="continue"/>
            <w:shd w:val="clear" w:color="auto" w:fill="auto"/>
            <w:vAlign w:val="center"/>
          </w:tcPr>
          <w:p w14:paraId="4522F9B3">
            <w:pPr>
              <w:jc w:val="center"/>
              <w:rPr>
                <w:rFonts w:eastAsia="仿宋_GB2312"/>
                <w:color w:val="auto"/>
                <w:kern w:val="0"/>
                <w:szCs w:val="21"/>
                <w:lang w:bidi="ar"/>
              </w:rPr>
            </w:pPr>
          </w:p>
        </w:tc>
        <w:tc>
          <w:tcPr>
            <w:tcW w:w="361" w:type="pct"/>
            <w:vMerge w:val="continue"/>
            <w:vAlign w:val="center"/>
          </w:tcPr>
          <w:p w14:paraId="11E9B051">
            <w:pPr>
              <w:jc w:val="center"/>
              <w:rPr>
                <w:rFonts w:hint="eastAsia" w:eastAsia="仿宋_GB2312"/>
                <w:color w:val="auto"/>
                <w:szCs w:val="21"/>
                <w:lang w:val="en-US" w:eastAsia="zh-CN"/>
              </w:rPr>
            </w:pPr>
          </w:p>
        </w:tc>
        <w:tc>
          <w:tcPr>
            <w:tcW w:w="498" w:type="pct"/>
            <w:vMerge w:val="continue"/>
            <w:shd w:val="clear" w:color="auto" w:fill="auto"/>
            <w:vAlign w:val="center"/>
          </w:tcPr>
          <w:p w14:paraId="3E127984">
            <w:pPr>
              <w:jc w:val="center"/>
              <w:rPr>
                <w:rFonts w:hint="eastAsia" w:eastAsia="仿宋_GB2312"/>
                <w:color w:val="auto"/>
                <w:kern w:val="0"/>
                <w:szCs w:val="21"/>
                <w:lang w:val="en-US" w:eastAsia="zh-CN" w:bidi="ar"/>
              </w:rPr>
            </w:pPr>
          </w:p>
        </w:tc>
        <w:tc>
          <w:tcPr>
            <w:tcW w:w="820" w:type="pct"/>
            <w:shd w:val="clear" w:color="auto" w:fill="auto"/>
            <w:vAlign w:val="center"/>
          </w:tcPr>
          <w:p w14:paraId="555F6808">
            <w:pPr>
              <w:widowControl/>
              <w:jc w:val="center"/>
              <w:textAlignment w:val="center"/>
              <w:rPr>
                <w:rFonts w:hint="eastAsia"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甲醇</w:t>
            </w:r>
          </w:p>
        </w:tc>
        <w:tc>
          <w:tcPr>
            <w:tcW w:w="380" w:type="pct"/>
            <w:shd w:val="clear" w:color="auto" w:fill="auto"/>
            <w:vAlign w:val="center"/>
          </w:tcPr>
          <w:p w14:paraId="4251A8C7">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0.004</w:t>
            </w:r>
          </w:p>
        </w:tc>
        <w:tc>
          <w:tcPr>
            <w:tcW w:w="445" w:type="pct"/>
            <w:shd w:val="clear" w:color="auto" w:fill="auto"/>
            <w:vAlign w:val="center"/>
          </w:tcPr>
          <w:p w14:paraId="3F175EE2">
            <w:pPr>
              <w:widowControl/>
              <w:jc w:val="center"/>
              <w:textAlignment w:val="center"/>
              <w:rPr>
                <w:rFonts w:hint="eastAsia"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0.001</w:t>
            </w:r>
          </w:p>
        </w:tc>
        <w:tc>
          <w:tcPr>
            <w:tcW w:w="630" w:type="pct"/>
            <w:vMerge w:val="continue"/>
            <w:shd w:val="clear" w:color="auto" w:fill="auto"/>
            <w:vAlign w:val="center"/>
          </w:tcPr>
          <w:p w14:paraId="3C271274">
            <w:pPr>
              <w:jc w:val="center"/>
              <w:rPr>
                <w:rFonts w:hint="eastAsia" w:eastAsia="仿宋_GB2312"/>
                <w:color w:val="auto"/>
                <w:szCs w:val="21"/>
              </w:rPr>
            </w:pPr>
          </w:p>
        </w:tc>
        <w:tc>
          <w:tcPr>
            <w:tcW w:w="292" w:type="pct"/>
            <w:vMerge w:val="continue"/>
            <w:shd w:val="clear" w:color="auto" w:fill="auto"/>
            <w:vAlign w:val="center"/>
          </w:tcPr>
          <w:p w14:paraId="5F8E449F">
            <w:pPr>
              <w:jc w:val="center"/>
              <w:rPr>
                <w:rFonts w:hint="eastAsia" w:eastAsia="仿宋_GB2312"/>
                <w:color w:val="auto"/>
              </w:rPr>
            </w:pPr>
          </w:p>
        </w:tc>
      </w:tr>
      <w:tr w14:paraId="3D72BF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21DDE567">
            <w:pPr>
              <w:jc w:val="center"/>
              <w:rPr>
                <w:rFonts w:eastAsia="仿宋_GB2312"/>
                <w:color w:val="auto"/>
                <w:szCs w:val="21"/>
              </w:rPr>
            </w:pPr>
          </w:p>
        </w:tc>
        <w:tc>
          <w:tcPr>
            <w:tcW w:w="358" w:type="pct"/>
            <w:vMerge w:val="continue"/>
            <w:vAlign w:val="center"/>
          </w:tcPr>
          <w:p w14:paraId="2F25D851">
            <w:pPr>
              <w:jc w:val="center"/>
              <w:rPr>
                <w:rFonts w:eastAsia="仿宋_GB2312"/>
                <w:color w:val="auto"/>
                <w:szCs w:val="21"/>
              </w:rPr>
            </w:pPr>
          </w:p>
        </w:tc>
        <w:tc>
          <w:tcPr>
            <w:tcW w:w="418" w:type="pct"/>
            <w:vMerge w:val="continue"/>
            <w:shd w:val="clear" w:color="auto" w:fill="auto"/>
            <w:vAlign w:val="center"/>
          </w:tcPr>
          <w:p w14:paraId="568E7AB8">
            <w:pPr>
              <w:jc w:val="center"/>
              <w:rPr>
                <w:rFonts w:eastAsia="仿宋_GB2312"/>
                <w:color w:val="auto"/>
                <w:kern w:val="0"/>
                <w:szCs w:val="21"/>
                <w:lang w:bidi="ar"/>
              </w:rPr>
            </w:pPr>
          </w:p>
        </w:tc>
        <w:tc>
          <w:tcPr>
            <w:tcW w:w="446" w:type="pct"/>
            <w:vMerge w:val="continue"/>
            <w:shd w:val="clear" w:color="auto" w:fill="auto"/>
            <w:vAlign w:val="center"/>
          </w:tcPr>
          <w:p w14:paraId="29613695">
            <w:pPr>
              <w:jc w:val="center"/>
              <w:rPr>
                <w:rFonts w:eastAsia="仿宋_GB2312"/>
                <w:color w:val="auto"/>
                <w:kern w:val="0"/>
                <w:szCs w:val="21"/>
                <w:lang w:bidi="ar"/>
              </w:rPr>
            </w:pPr>
          </w:p>
        </w:tc>
        <w:tc>
          <w:tcPr>
            <w:tcW w:w="361" w:type="pct"/>
            <w:vMerge w:val="continue"/>
            <w:vAlign w:val="center"/>
          </w:tcPr>
          <w:p w14:paraId="0B8B3EF9">
            <w:pPr>
              <w:jc w:val="center"/>
              <w:rPr>
                <w:rFonts w:hint="eastAsia" w:eastAsia="仿宋_GB2312"/>
                <w:color w:val="auto"/>
                <w:szCs w:val="21"/>
                <w:lang w:val="en-US" w:eastAsia="zh-CN"/>
              </w:rPr>
            </w:pPr>
          </w:p>
        </w:tc>
        <w:tc>
          <w:tcPr>
            <w:tcW w:w="498" w:type="pct"/>
            <w:vMerge w:val="continue"/>
            <w:shd w:val="clear" w:color="auto" w:fill="auto"/>
            <w:vAlign w:val="center"/>
          </w:tcPr>
          <w:p w14:paraId="476A5744">
            <w:pPr>
              <w:keepNext w:val="0"/>
              <w:keepLines w:val="0"/>
              <w:widowControl/>
              <w:suppressLineNumbers w:val="0"/>
              <w:jc w:val="center"/>
              <w:textAlignment w:val="bottom"/>
              <w:rPr>
                <w:rFonts w:hint="eastAsia" w:eastAsia="仿宋_GB2312"/>
                <w:color w:val="auto"/>
                <w:kern w:val="0"/>
                <w:szCs w:val="21"/>
                <w:lang w:val="en-US" w:eastAsia="zh-CN" w:bidi="ar"/>
              </w:rPr>
            </w:pPr>
          </w:p>
        </w:tc>
        <w:tc>
          <w:tcPr>
            <w:tcW w:w="820" w:type="pct"/>
            <w:shd w:val="clear" w:color="auto" w:fill="auto"/>
            <w:vAlign w:val="center"/>
          </w:tcPr>
          <w:p w14:paraId="70C923C8">
            <w:pPr>
              <w:widowControl/>
              <w:jc w:val="center"/>
              <w:textAlignment w:val="center"/>
              <w:rPr>
                <w:rFonts w:hint="eastAsia"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叔丁醇</w:t>
            </w:r>
          </w:p>
        </w:tc>
        <w:tc>
          <w:tcPr>
            <w:tcW w:w="380" w:type="pct"/>
            <w:shd w:val="clear" w:color="auto" w:fill="auto"/>
            <w:vAlign w:val="center"/>
          </w:tcPr>
          <w:p w14:paraId="38E7E461">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0.004</w:t>
            </w:r>
          </w:p>
        </w:tc>
        <w:tc>
          <w:tcPr>
            <w:tcW w:w="445" w:type="pct"/>
            <w:shd w:val="clear" w:color="auto" w:fill="auto"/>
            <w:vAlign w:val="center"/>
          </w:tcPr>
          <w:p w14:paraId="6739C87A">
            <w:pPr>
              <w:widowControl/>
              <w:jc w:val="center"/>
              <w:textAlignment w:val="center"/>
              <w:rPr>
                <w:rFonts w:hint="eastAsia"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0.001</w:t>
            </w:r>
          </w:p>
        </w:tc>
        <w:tc>
          <w:tcPr>
            <w:tcW w:w="630" w:type="pct"/>
            <w:vMerge w:val="continue"/>
            <w:shd w:val="clear" w:color="auto" w:fill="auto"/>
            <w:vAlign w:val="center"/>
          </w:tcPr>
          <w:p w14:paraId="03BE8A0D">
            <w:pPr>
              <w:jc w:val="center"/>
              <w:rPr>
                <w:rFonts w:hint="eastAsia" w:eastAsia="仿宋_GB2312"/>
                <w:color w:val="auto"/>
                <w:szCs w:val="21"/>
              </w:rPr>
            </w:pPr>
          </w:p>
        </w:tc>
        <w:tc>
          <w:tcPr>
            <w:tcW w:w="292" w:type="pct"/>
            <w:vMerge w:val="continue"/>
            <w:shd w:val="clear" w:color="auto" w:fill="auto"/>
            <w:vAlign w:val="center"/>
          </w:tcPr>
          <w:p w14:paraId="7A8DD8D4">
            <w:pPr>
              <w:jc w:val="center"/>
              <w:rPr>
                <w:rFonts w:hint="eastAsia" w:eastAsia="仿宋_GB2312"/>
                <w:color w:val="auto"/>
              </w:rPr>
            </w:pPr>
          </w:p>
        </w:tc>
      </w:tr>
      <w:tr w14:paraId="7FF18F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01C24D0F">
            <w:pPr>
              <w:jc w:val="center"/>
              <w:rPr>
                <w:rFonts w:eastAsia="仿宋_GB2312"/>
                <w:color w:val="auto"/>
                <w:szCs w:val="21"/>
              </w:rPr>
            </w:pPr>
          </w:p>
        </w:tc>
        <w:tc>
          <w:tcPr>
            <w:tcW w:w="358" w:type="pct"/>
            <w:vMerge w:val="continue"/>
            <w:vAlign w:val="center"/>
          </w:tcPr>
          <w:p w14:paraId="731C6A89">
            <w:pPr>
              <w:jc w:val="center"/>
              <w:rPr>
                <w:rFonts w:eastAsia="仿宋_GB2312"/>
                <w:color w:val="auto"/>
                <w:szCs w:val="21"/>
              </w:rPr>
            </w:pPr>
          </w:p>
        </w:tc>
        <w:tc>
          <w:tcPr>
            <w:tcW w:w="418" w:type="pct"/>
            <w:vMerge w:val="continue"/>
            <w:shd w:val="clear" w:color="auto" w:fill="auto"/>
            <w:vAlign w:val="center"/>
          </w:tcPr>
          <w:p w14:paraId="47AFF235">
            <w:pPr>
              <w:jc w:val="center"/>
              <w:rPr>
                <w:rFonts w:eastAsia="仿宋_GB2312"/>
                <w:color w:val="auto"/>
                <w:kern w:val="0"/>
                <w:szCs w:val="21"/>
                <w:lang w:bidi="ar"/>
              </w:rPr>
            </w:pPr>
          </w:p>
        </w:tc>
        <w:tc>
          <w:tcPr>
            <w:tcW w:w="446" w:type="pct"/>
            <w:vMerge w:val="continue"/>
            <w:shd w:val="clear" w:color="auto" w:fill="auto"/>
            <w:vAlign w:val="center"/>
          </w:tcPr>
          <w:p w14:paraId="7E9D1373">
            <w:pPr>
              <w:jc w:val="center"/>
              <w:rPr>
                <w:rFonts w:eastAsia="仿宋_GB2312"/>
                <w:color w:val="auto"/>
                <w:kern w:val="0"/>
                <w:szCs w:val="21"/>
                <w:lang w:bidi="ar"/>
              </w:rPr>
            </w:pPr>
          </w:p>
        </w:tc>
        <w:tc>
          <w:tcPr>
            <w:tcW w:w="361" w:type="pct"/>
            <w:vMerge w:val="continue"/>
            <w:vAlign w:val="center"/>
          </w:tcPr>
          <w:p w14:paraId="003126C0">
            <w:pPr>
              <w:jc w:val="center"/>
              <w:rPr>
                <w:rFonts w:hint="eastAsia" w:eastAsia="仿宋_GB2312"/>
                <w:color w:val="auto"/>
                <w:szCs w:val="21"/>
                <w:lang w:val="en-US" w:eastAsia="zh-CN"/>
              </w:rPr>
            </w:pPr>
          </w:p>
        </w:tc>
        <w:tc>
          <w:tcPr>
            <w:tcW w:w="498" w:type="pct"/>
            <w:vMerge w:val="continue"/>
            <w:shd w:val="clear" w:color="auto" w:fill="auto"/>
            <w:vAlign w:val="center"/>
          </w:tcPr>
          <w:p w14:paraId="30458BCF">
            <w:pPr>
              <w:keepNext w:val="0"/>
              <w:keepLines w:val="0"/>
              <w:widowControl/>
              <w:suppressLineNumbers w:val="0"/>
              <w:jc w:val="center"/>
              <w:textAlignment w:val="bottom"/>
              <w:rPr>
                <w:rFonts w:hint="eastAsia" w:eastAsia="仿宋_GB2312"/>
                <w:color w:val="auto"/>
                <w:kern w:val="0"/>
                <w:szCs w:val="21"/>
                <w:lang w:val="en-US" w:eastAsia="zh-CN" w:bidi="ar"/>
              </w:rPr>
            </w:pPr>
          </w:p>
        </w:tc>
        <w:tc>
          <w:tcPr>
            <w:tcW w:w="820" w:type="pct"/>
            <w:shd w:val="clear" w:color="auto" w:fill="auto"/>
            <w:vAlign w:val="center"/>
          </w:tcPr>
          <w:p w14:paraId="79D91559">
            <w:pPr>
              <w:widowControl/>
              <w:jc w:val="center"/>
              <w:textAlignment w:val="center"/>
              <w:rPr>
                <w:rFonts w:hint="eastAsia"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甲基仲丁基醚</w:t>
            </w:r>
          </w:p>
        </w:tc>
        <w:tc>
          <w:tcPr>
            <w:tcW w:w="380" w:type="pct"/>
            <w:shd w:val="clear" w:color="auto" w:fill="auto"/>
            <w:vAlign w:val="center"/>
          </w:tcPr>
          <w:p w14:paraId="6F63583E">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0.004</w:t>
            </w:r>
          </w:p>
        </w:tc>
        <w:tc>
          <w:tcPr>
            <w:tcW w:w="445" w:type="pct"/>
            <w:shd w:val="clear" w:color="auto" w:fill="auto"/>
            <w:vAlign w:val="center"/>
          </w:tcPr>
          <w:p w14:paraId="2B9F5105">
            <w:pPr>
              <w:widowControl/>
              <w:jc w:val="center"/>
              <w:textAlignment w:val="center"/>
              <w:rPr>
                <w:rFonts w:hint="eastAsia"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0.001</w:t>
            </w:r>
          </w:p>
        </w:tc>
        <w:tc>
          <w:tcPr>
            <w:tcW w:w="630" w:type="pct"/>
            <w:vMerge w:val="continue"/>
            <w:shd w:val="clear" w:color="auto" w:fill="auto"/>
            <w:vAlign w:val="center"/>
          </w:tcPr>
          <w:p w14:paraId="36F20C33">
            <w:pPr>
              <w:jc w:val="center"/>
              <w:rPr>
                <w:rFonts w:hint="eastAsia" w:eastAsia="仿宋_GB2312"/>
                <w:color w:val="auto"/>
                <w:szCs w:val="21"/>
              </w:rPr>
            </w:pPr>
          </w:p>
        </w:tc>
        <w:tc>
          <w:tcPr>
            <w:tcW w:w="292" w:type="pct"/>
            <w:vMerge w:val="continue"/>
            <w:shd w:val="clear" w:color="auto" w:fill="auto"/>
            <w:vAlign w:val="center"/>
          </w:tcPr>
          <w:p w14:paraId="32DB4D6D">
            <w:pPr>
              <w:jc w:val="center"/>
              <w:rPr>
                <w:rFonts w:hint="eastAsia" w:eastAsia="仿宋_GB2312"/>
                <w:color w:val="auto"/>
              </w:rPr>
            </w:pPr>
          </w:p>
        </w:tc>
      </w:tr>
      <w:tr w14:paraId="3108BF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66309745">
            <w:pPr>
              <w:jc w:val="center"/>
              <w:rPr>
                <w:rFonts w:eastAsia="仿宋_GB2312"/>
                <w:color w:val="auto"/>
                <w:szCs w:val="21"/>
              </w:rPr>
            </w:pPr>
          </w:p>
        </w:tc>
        <w:tc>
          <w:tcPr>
            <w:tcW w:w="358" w:type="pct"/>
            <w:vMerge w:val="continue"/>
            <w:vAlign w:val="center"/>
          </w:tcPr>
          <w:p w14:paraId="08AEE58A">
            <w:pPr>
              <w:jc w:val="center"/>
              <w:rPr>
                <w:rFonts w:eastAsia="仿宋_GB2312"/>
                <w:color w:val="auto"/>
                <w:szCs w:val="21"/>
              </w:rPr>
            </w:pPr>
          </w:p>
        </w:tc>
        <w:tc>
          <w:tcPr>
            <w:tcW w:w="418" w:type="pct"/>
            <w:vMerge w:val="continue"/>
            <w:shd w:val="clear" w:color="auto" w:fill="auto"/>
            <w:vAlign w:val="center"/>
          </w:tcPr>
          <w:p w14:paraId="65E21505">
            <w:pPr>
              <w:jc w:val="center"/>
              <w:rPr>
                <w:rFonts w:eastAsia="仿宋_GB2312"/>
                <w:color w:val="auto"/>
                <w:kern w:val="0"/>
                <w:szCs w:val="21"/>
                <w:lang w:bidi="ar"/>
              </w:rPr>
            </w:pPr>
          </w:p>
        </w:tc>
        <w:tc>
          <w:tcPr>
            <w:tcW w:w="446" w:type="pct"/>
            <w:vMerge w:val="continue"/>
            <w:shd w:val="clear" w:color="auto" w:fill="auto"/>
            <w:vAlign w:val="center"/>
          </w:tcPr>
          <w:p w14:paraId="0A5DE83E">
            <w:pPr>
              <w:jc w:val="center"/>
              <w:rPr>
                <w:rFonts w:eastAsia="仿宋_GB2312"/>
                <w:color w:val="auto"/>
                <w:kern w:val="0"/>
                <w:szCs w:val="21"/>
                <w:lang w:bidi="ar"/>
              </w:rPr>
            </w:pPr>
          </w:p>
        </w:tc>
        <w:tc>
          <w:tcPr>
            <w:tcW w:w="361" w:type="pct"/>
            <w:vMerge w:val="continue"/>
            <w:vAlign w:val="center"/>
          </w:tcPr>
          <w:p w14:paraId="0756F20F">
            <w:pPr>
              <w:jc w:val="center"/>
              <w:rPr>
                <w:rFonts w:hint="eastAsia" w:eastAsia="仿宋_GB2312"/>
                <w:color w:val="auto"/>
                <w:szCs w:val="21"/>
                <w:lang w:val="en-US" w:eastAsia="zh-CN"/>
              </w:rPr>
            </w:pPr>
          </w:p>
        </w:tc>
        <w:tc>
          <w:tcPr>
            <w:tcW w:w="498" w:type="pct"/>
            <w:vMerge w:val="continue"/>
            <w:shd w:val="clear" w:color="auto" w:fill="auto"/>
            <w:vAlign w:val="center"/>
          </w:tcPr>
          <w:p w14:paraId="2C5089B2">
            <w:pPr>
              <w:keepNext w:val="0"/>
              <w:keepLines w:val="0"/>
              <w:widowControl/>
              <w:suppressLineNumbers w:val="0"/>
              <w:jc w:val="center"/>
              <w:textAlignment w:val="bottom"/>
              <w:rPr>
                <w:rFonts w:eastAsia="仿宋_GB2312"/>
                <w:color w:val="auto"/>
                <w:kern w:val="0"/>
                <w:szCs w:val="21"/>
                <w:lang w:bidi="ar"/>
              </w:rPr>
            </w:pPr>
          </w:p>
        </w:tc>
        <w:tc>
          <w:tcPr>
            <w:tcW w:w="820" w:type="pct"/>
            <w:shd w:val="clear" w:color="auto" w:fill="auto"/>
            <w:vAlign w:val="center"/>
          </w:tcPr>
          <w:p w14:paraId="5BC8BAB3">
            <w:pPr>
              <w:widowControl/>
              <w:jc w:val="center"/>
              <w:textAlignment w:val="center"/>
              <w:rPr>
                <w:rFonts w:hint="eastAsia" w:ascii="Times New Roman" w:hAnsi="Times New Roman" w:eastAsia="仿宋_GB2312" w:cs="Times New Roman"/>
                <w:b/>
                <w:bCs/>
                <w:color w:val="auto"/>
                <w:kern w:val="0"/>
                <w:sz w:val="21"/>
                <w:szCs w:val="21"/>
                <w:lang w:val="en-US" w:eastAsia="zh-CN" w:bidi="ar"/>
              </w:rPr>
            </w:pPr>
            <w:r>
              <w:rPr>
                <w:rFonts w:eastAsia="仿宋_GB2312"/>
                <w:color w:val="auto"/>
                <w:kern w:val="0"/>
                <w:szCs w:val="21"/>
                <w:lang w:bidi="ar"/>
              </w:rPr>
              <w:t>其他有机物</w:t>
            </w:r>
          </w:p>
        </w:tc>
        <w:tc>
          <w:tcPr>
            <w:tcW w:w="380" w:type="pct"/>
            <w:shd w:val="clear" w:color="auto" w:fill="auto"/>
            <w:vAlign w:val="center"/>
          </w:tcPr>
          <w:p w14:paraId="3EF30021">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0.004</w:t>
            </w:r>
          </w:p>
        </w:tc>
        <w:tc>
          <w:tcPr>
            <w:tcW w:w="445" w:type="pct"/>
            <w:shd w:val="clear" w:color="auto" w:fill="auto"/>
            <w:vAlign w:val="center"/>
          </w:tcPr>
          <w:p w14:paraId="092B4888">
            <w:pPr>
              <w:widowControl/>
              <w:jc w:val="center"/>
              <w:textAlignment w:val="center"/>
              <w:rPr>
                <w:rFonts w:hint="eastAsia"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0.001</w:t>
            </w:r>
          </w:p>
        </w:tc>
        <w:tc>
          <w:tcPr>
            <w:tcW w:w="630" w:type="pct"/>
            <w:vMerge w:val="continue"/>
            <w:shd w:val="clear" w:color="auto" w:fill="auto"/>
            <w:vAlign w:val="center"/>
          </w:tcPr>
          <w:p w14:paraId="69C6F2E7">
            <w:pPr>
              <w:jc w:val="center"/>
              <w:rPr>
                <w:rFonts w:hint="eastAsia" w:eastAsia="仿宋_GB2312"/>
                <w:color w:val="auto"/>
                <w:szCs w:val="21"/>
              </w:rPr>
            </w:pPr>
          </w:p>
        </w:tc>
        <w:tc>
          <w:tcPr>
            <w:tcW w:w="292" w:type="pct"/>
            <w:vMerge w:val="continue"/>
            <w:shd w:val="clear" w:color="auto" w:fill="auto"/>
            <w:vAlign w:val="center"/>
          </w:tcPr>
          <w:p w14:paraId="41C7B71E">
            <w:pPr>
              <w:jc w:val="center"/>
              <w:rPr>
                <w:rFonts w:hint="eastAsia" w:eastAsia="仿宋_GB2312"/>
                <w:color w:val="auto"/>
              </w:rPr>
            </w:pPr>
          </w:p>
        </w:tc>
      </w:tr>
      <w:tr w14:paraId="3BAAD3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1A0E2A54">
            <w:pPr>
              <w:jc w:val="center"/>
              <w:rPr>
                <w:rFonts w:eastAsia="仿宋_GB2312"/>
                <w:color w:val="auto"/>
                <w:szCs w:val="21"/>
              </w:rPr>
            </w:pPr>
          </w:p>
        </w:tc>
        <w:tc>
          <w:tcPr>
            <w:tcW w:w="358" w:type="pct"/>
            <w:vMerge w:val="continue"/>
            <w:vAlign w:val="center"/>
          </w:tcPr>
          <w:p w14:paraId="52B3A5C5">
            <w:pPr>
              <w:jc w:val="center"/>
              <w:rPr>
                <w:rFonts w:eastAsia="仿宋_GB2312"/>
                <w:color w:val="auto"/>
                <w:szCs w:val="21"/>
              </w:rPr>
            </w:pPr>
          </w:p>
        </w:tc>
        <w:tc>
          <w:tcPr>
            <w:tcW w:w="418" w:type="pct"/>
            <w:vMerge w:val="restart"/>
            <w:shd w:val="clear" w:color="auto" w:fill="auto"/>
            <w:vAlign w:val="center"/>
          </w:tcPr>
          <w:p w14:paraId="220E3F55">
            <w:pPr>
              <w:jc w:val="center"/>
              <w:rPr>
                <w:rFonts w:ascii="Times New Roman" w:hAnsi="Times New Roman" w:eastAsia="仿宋_GB2312" w:cs="Times New Roman"/>
                <w:color w:val="auto"/>
                <w:kern w:val="0"/>
                <w:sz w:val="21"/>
                <w:szCs w:val="21"/>
                <w:lang w:val="en-US" w:eastAsia="zh-CN" w:bidi="ar"/>
              </w:rPr>
            </w:pPr>
            <w:r>
              <w:rPr>
                <w:rFonts w:eastAsia="仿宋_GB2312"/>
                <w:color w:val="auto"/>
                <w:kern w:val="0"/>
                <w:szCs w:val="21"/>
                <w:lang w:bidi="ar"/>
              </w:rPr>
              <w:t>G</w:t>
            </w:r>
            <w:r>
              <w:rPr>
                <w:rFonts w:hint="eastAsia" w:eastAsia="仿宋_GB2312"/>
                <w:color w:val="auto"/>
                <w:kern w:val="0"/>
                <w:szCs w:val="21"/>
                <w:lang w:val="en-US" w:eastAsia="zh-CN" w:bidi="ar"/>
              </w:rPr>
              <w:t>3</w:t>
            </w:r>
            <w:r>
              <w:rPr>
                <w:rFonts w:eastAsia="仿宋_GB2312"/>
                <w:color w:val="auto"/>
                <w:kern w:val="0"/>
                <w:szCs w:val="21"/>
                <w:lang w:bidi="ar"/>
              </w:rPr>
              <w:t>-</w:t>
            </w:r>
            <w:r>
              <w:rPr>
                <w:rFonts w:hint="eastAsia" w:eastAsia="仿宋_GB2312"/>
                <w:color w:val="auto"/>
                <w:kern w:val="0"/>
                <w:szCs w:val="21"/>
                <w:lang w:val="en-US" w:eastAsia="zh-CN" w:bidi="ar"/>
              </w:rPr>
              <w:t>14</w:t>
            </w:r>
            <w:r>
              <w:rPr>
                <w:rFonts w:eastAsia="仿宋_GB2312"/>
                <w:color w:val="auto"/>
                <w:kern w:val="0"/>
                <w:szCs w:val="21"/>
                <w:lang w:bidi="ar"/>
              </w:rPr>
              <w:t>-4</w:t>
            </w:r>
          </w:p>
        </w:tc>
        <w:tc>
          <w:tcPr>
            <w:tcW w:w="446" w:type="pct"/>
            <w:vMerge w:val="restart"/>
            <w:shd w:val="clear" w:color="auto" w:fill="auto"/>
            <w:vAlign w:val="center"/>
          </w:tcPr>
          <w:p w14:paraId="45FC1B27">
            <w:pPr>
              <w:jc w:val="center"/>
              <w:rPr>
                <w:rFonts w:ascii="Times New Roman" w:hAnsi="Times New Roman" w:eastAsia="仿宋_GB2312" w:cs="Times New Roman"/>
                <w:color w:val="auto"/>
                <w:kern w:val="0"/>
                <w:sz w:val="21"/>
                <w:szCs w:val="21"/>
                <w:lang w:val="en-US" w:eastAsia="zh-CN" w:bidi="ar"/>
              </w:rPr>
            </w:pPr>
            <w:r>
              <w:rPr>
                <w:rFonts w:eastAsia="仿宋_GB2312"/>
                <w:color w:val="auto"/>
                <w:kern w:val="0"/>
                <w:szCs w:val="21"/>
                <w:lang w:bidi="ar"/>
              </w:rPr>
              <w:t>不凝气</w:t>
            </w:r>
          </w:p>
        </w:tc>
        <w:tc>
          <w:tcPr>
            <w:tcW w:w="361" w:type="pct"/>
            <w:vMerge w:val="restart"/>
            <w:vAlign w:val="center"/>
          </w:tcPr>
          <w:p w14:paraId="52E3BD4C">
            <w:pPr>
              <w:jc w:val="center"/>
              <w:rPr>
                <w:rFonts w:hint="default" w:eastAsia="仿宋_GB2312"/>
                <w:color w:val="auto"/>
                <w:szCs w:val="21"/>
                <w:lang w:val="en-US" w:eastAsia="zh-CN"/>
              </w:rPr>
            </w:pPr>
            <w:r>
              <w:rPr>
                <w:rFonts w:hint="eastAsia" w:eastAsia="仿宋_GB2312"/>
                <w:color w:val="auto"/>
                <w:szCs w:val="21"/>
                <w:lang w:val="en-US" w:eastAsia="zh-CN"/>
              </w:rPr>
              <w:t>360</w:t>
            </w:r>
          </w:p>
        </w:tc>
        <w:tc>
          <w:tcPr>
            <w:tcW w:w="498" w:type="pct"/>
            <w:vMerge w:val="restart"/>
            <w:shd w:val="clear" w:color="auto" w:fill="auto"/>
            <w:vAlign w:val="center"/>
          </w:tcPr>
          <w:p w14:paraId="7F7A45ED">
            <w:pPr>
              <w:keepNext w:val="0"/>
              <w:keepLines w:val="0"/>
              <w:widowControl/>
              <w:suppressLineNumbers w:val="0"/>
              <w:jc w:val="center"/>
              <w:textAlignment w:val="bottom"/>
              <w:rPr>
                <w:rFonts w:hint="eastAsia" w:eastAsia="仿宋_GB2312"/>
                <w:color w:val="auto"/>
                <w:kern w:val="0"/>
                <w:szCs w:val="21"/>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230</w:t>
            </w:r>
          </w:p>
        </w:tc>
        <w:tc>
          <w:tcPr>
            <w:tcW w:w="820" w:type="pct"/>
            <w:shd w:val="clear" w:color="auto" w:fill="auto"/>
            <w:vAlign w:val="center"/>
          </w:tcPr>
          <w:p w14:paraId="759E80A2">
            <w:pPr>
              <w:widowControl/>
              <w:jc w:val="center"/>
              <w:textAlignment w:val="center"/>
              <w:rPr>
                <w:rFonts w:hint="eastAsia" w:ascii="Times New Roman" w:hAnsi="Times New Roman" w:eastAsia="仿宋_GB2312" w:cs="Times New Roman"/>
                <w:b/>
                <w:bCs/>
                <w:color w:val="auto"/>
                <w:kern w:val="0"/>
                <w:sz w:val="21"/>
                <w:szCs w:val="21"/>
                <w:lang w:val="en-US" w:eastAsia="zh-CN" w:bidi="ar"/>
              </w:rPr>
            </w:pPr>
            <w:r>
              <w:rPr>
                <w:rFonts w:hint="eastAsia" w:eastAsia="仿宋_GB2312"/>
                <w:color w:val="auto"/>
                <w:kern w:val="0"/>
                <w:szCs w:val="21"/>
                <w:lang w:val="en-US" w:eastAsia="zh-CN" w:bidi="ar"/>
              </w:rPr>
              <w:t>甲基叔丁基醚</w:t>
            </w:r>
          </w:p>
        </w:tc>
        <w:tc>
          <w:tcPr>
            <w:tcW w:w="380" w:type="pct"/>
            <w:shd w:val="clear" w:color="auto" w:fill="auto"/>
            <w:vAlign w:val="center"/>
          </w:tcPr>
          <w:p w14:paraId="65BEB506">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132.27</w:t>
            </w:r>
            <w:r>
              <w:rPr>
                <w:rFonts w:hint="eastAsia" w:ascii="Times New Roman" w:hAnsi="Times New Roman" w:eastAsia="宋体" w:cs="Times New Roman"/>
                <w:i w:val="0"/>
                <w:iCs w:val="0"/>
                <w:color w:val="auto"/>
                <w:kern w:val="0"/>
                <w:sz w:val="21"/>
                <w:szCs w:val="21"/>
                <w:u w:val="none"/>
                <w:lang w:val="en-US" w:eastAsia="zh-CN" w:bidi="ar"/>
              </w:rPr>
              <w:t>4</w:t>
            </w:r>
          </w:p>
        </w:tc>
        <w:tc>
          <w:tcPr>
            <w:tcW w:w="445" w:type="pct"/>
            <w:shd w:val="clear" w:color="auto" w:fill="auto"/>
            <w:vAlign w:val="center"/>
          </w:tcPr>
          <w:p w14:paraId="70627E13">
            <w:pPr>
              <w:widowControl/>
              <w:jc w:val="center"/>
              <w:textAlignment w:val="center"/>
              <w:rPr>
                <w:rFonts w:hint="eastAsia"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30.423</w:t>
            </w:r>
          </w:p>
        </w:tc>
        <w:tc>
          <w:tcPr>
            <w:tcW w:w="630" w:type="pct"/>
            <w:vMerge w:val="continue"/>
            <w:shd w:val="clear" w:color="auto" w:fill="auto"/>
            <w:vAlign w:val="center"/>
          </w:tcPr>
          <w:p w14:paraId="7CCD4D33">
            <w:pPr>
              <w:jc w:val="center"/>
              <w:rPr>
                <w:rFonts w:hint="eastAsia" w:eastAsia="仿宋_GB2312"/>
                <w:color w:val="auto"/>
                <w:szCs w:val="21"/>
              </w:rPr>
            </w:pPr>
          </w:p>
        </w:tc>
        <w:tc>
          <w:tcPr>
            <w:tcW w:w="292" w:type="pct"/>
            <w:vMerge w:val="continue"/>
            <w:shd w:val="clear" w:color="auto" w:fill="auto"/>
            <w:vAlign w:val="center"/>
          </w:tcPr>
          <w:p w14:paraId="11C9B268">
            <w:pPr>
              <w:jc w:val="center"/>
              <w:rPr>
                <w:rFonts w:hint="eastAsia" w:eastAsia="仿宋_GB2312"/>
                <w:color w:val="auto"/>
              </w:rPr>
            </w:pPr>
          </w:p>
        </w:tc>
      </w:tr>
      <w:tr w14:paraId="007BB2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5474E211">
            <w:pPr>
              <w:jc w:val="center"/>
              <w:rPr>
                <w:rFonts w:eastAsia="仿宋_GB2312"/>
                <w:color w:val="auto"/>
                <w:szCs w:val="21"/>
              </w:rPr>
            </w:pPr>
          </w:p>
        </w:tc>
        <w:tc>
          <w:tcPr>
            <w:tcW w:w="358" w:type="pct"/>
            <w:vMerge w:val="continue"/>
            <w:vAlign w:val="center"/>
          </w:tcPr>
          <w:p w14:paraId="62640550">
            <w:pPr>
              <w:jc w:val="center"/>
              <w:rPr>
                <w:rFonts w:eastAsia="仿宋_GB2312"/>
                <w:color w:val="auto"/>
                <w:szCs w:val="21"/>
              </w:rPr>
            </w:pPr>
          </w:p>
        </w:tc>
        <w:tc>
          <w:tcPr>
            <w:tcW w:w="418" w:type="pct"/>
            <w:vMerge w:val="continue"/>
            <w:shd w:val="clear" w:color="auto" w:fill="auto"/>
            <w:vAlign w:val="center"/>
          </w:tcPr>
          <w:p w14:paraId="2DA78140">
            <w:pPr>
              <w:jc w:val="center"/>
              <w:rPr>
                <w:rFonts w:eastAsia="仿宋_GB2312"/>
                <w:color w:val="auto"/>
                <w:kern w:val="0"/>
                <w:szCs w:val="21"/>
                <w:lang w:bidi="ar"/>
              </w:rPr>
            </w:pPr>
          </w:p>
        </w:tc>
        <w:tc>
          <w:tcPr>
            <w:tcW w:w="446" w:type="pct"/>
            <w:vMerge w:val="continue"/>
            <w:shd w:val="clear" w:color="auto" w:fill="auto"/>
            <w:vAlign w:val="center"/>
          </w:tcPr>
          <w:p w14:paraId="1728673F">
            <w:pPr>
              <w:jc w:val="center"/>
              <w:rPr>
                <w:rFonts w:eastAsia="仿宋_GB2312"/>
                <w:color w:val="auto"/>
                <w:kern w:val="0"/>
                <w:szCs w:val="21"/>
                <w:lang w:bidi="ar"/>
              </w:rPr>
            </w:pPr>
          </w:p>
        </w:tc>
        <w:tc>
          <w:tcPr>
            <w:tcW w:w="361" w:type="pct"/>
            <w:vMerge w:val="continue"/>
            <w:vAlign w:val="center"/>
          </w:tcPr>
          <w:p w14:paraId="61EB2D8F">
            <w:pPr>
              <w:jc w:val="center"/>
              <w:rPr>
                <w:rFonts w:hint="eastAsia" w:eastAsia="仿宋_GB2312"/>
                <w:color w:val="auto"/>
                <w:szCs w:val="21"/>
                <w:lang w:val="en-US" w:eastAsia="zh-CN"/>
              </w:rPr>
            </w:pPr>
          </w:p>
        </w:tc>
        <w:tc>
          <w:tcPr>
            <w:tcW w:w="498" w:type="pct"/>
            <w:vMerge w:val="continue"/>
            <w:shd w:val="clear" w:color="auto" w:fill="auto"/>
            <w:vAlign w:val="center"/>
          </w:tcPr>
          <w:p w14:paraId="2F97F6B1">
            <w:pPr>
              <w:keepNext w:val="0"/>
              <w:keepLines w:val="0"/>
              <w:widowControl/>
              <w:suppressLineNumbers w:val="0"/>
              <w:jc w:val="center"/>
              <w:textAlignment w:val="bottom"/>
              <w:rPr>
                <w:rFonts w:hint="eastAsia" w:eastAsia="仿宋_GB2312"/>
                <w:color w:val="auto"/>
                <w:kern w:val="0"/>
                <w:szCs w:val="21"/>
                <w:lang w:val="en-US" w:eastAsia="zh-CN" w:bidi="ar"/>
              </w:rPr>
            </w:pPr>
          </w:p>
        </w:tc>
        <w:tc>
          <w:tcPr>
            <w:tcW w:w="820" w:type="pct"/>
            <w:shd w:val="clear" w:color="auto" w:fill="auto"/>
            <w:vAlign w:val="center"/>
          </w:tcPr>
          <w:p w14:paraId="019825BA">
            <w:pPr>
              <w:widowControl/>
              <w:jc w:val="center"/>
              <w:textAlignment w:val="center"/>
              <w:rPr>
                <w:rFonts w:hint="eastAsia"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甲醇</w:t>
            </w:r>
          </w:p>
        </w:tc>
        <w:tc>
          <w:tcPr>
            <w:tcW w:w="380" w:type="pct"/>
            <w:shd w:val="clear" w:color="auto" w:fill="auto"/>
            <w:vAlign w:val="center"/>
          </w:tcPr>
          <w:p w14:paraId="6497E100">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0.239</w:t>
            </w:r>
          </w:p>
        </w:tc>
        <w:tc>
          <w:tcPr>
            <w:tcW w:w="445" w:type="pct"/>
            <w:shd w:val="clear" w:color="auto" w:fill="auto"/>
            <w:vAlign w:val="center"/>
          </w:tcPr>
          <w:p w14:paraId="07CECCB7">
            <w:pPr>
              <w:widowControl/>
              <w:jc w:val="center"/>
              <w:textAlignment w:val="center"/>
              <w:rPr>
                <w:rFonts w:hint="eastAsia"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0.055</w:t>
            </w:r>
          </w:p>
        </w:tc>
        <w:tc>
          <w:tcPr>
            <w:tcW w:w="630" w:type="pct"/>
            <w:vMerge w:val="continue"/>
            <w:shd w:val="clear" w:color="auto" w:fill="auto"/>
            <w:vAlign w:val="center"/>
          </w:tcPr>
          <w:p w14:paraId="41788928">
            <w:pPr>
              <w:jc w:val="center"/>
              <w:rPr>
                <w:rFonts w:hint="eastAsia" w:eastAsia="仿宋_GB2312"/>
                <w:color w:val="auto"/>
                <w:szCs w:val="21"/>
              </w:rPr>
            </w:pPr>
          </w:p>
        </w:tc>
        <w:tc>
          <w:tcPr>
            <w:tcW w:w="292" w:type="pct"/>
            <w:vMerge w:val="continue"/>
            <w:shd w:val="clear" w:color="auto" w:fill="auto"/>
            <w:vAlign w:val="center"/>
          </w:tcPr>
          <w:p w14:paraId="521C5DCD">
            <w:pPr>
              <w:jc w:val="center"/>
              <w:rPr>
                <w:rFonts w:hint="eastAsia" w:eastAsia="仿宋_GB2312"/>
                <w:color w:val="auto"/>
              </w:rPr>
            </w:pPr>
          </w:p>
        </w:tc>
      </w:tr>
      <w:tr w14:paraId="1F6AE3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2AD63DB7">
            <w:pPr>
              <w:jc w:val="center"/>
              <w:rPr>
                <w:rFonts w:eastAsia="仿宋_GB2312"/>
                <w:color w:val="auto"/>
                <w:szCs w:val="21"/>
              </w:rPr>
            </w:pPr>
          </w:p>
        </w:tc>
        <w:tc>
          <w:tcPr>
            <w:tcW w:w="358" w:type="pct"/>
            <w:vMerge w:val="continue"/>
            <w:vAlign w:val="center"/>
          </w:tcPr>
          <w:p w14:paraId="4F34A927">
            <w:pPr>
              <w:jc w:val="center"/>
              <w:rPr>
                <w:rFonts w:eastAsia="仿宋_GB2312"/>
                <w:color w:val="auto"/>
                <w:szCs w:val="21"/>
              </w:rPr>
            </w:pPr>
          </w:p>
        </w:tc>
        <w:tc>
          <w:tcPr>
            <w:tcW w:w="418" w:type="pct"/>
            <w:vMerge w:val="continue"/>
            <w:shd w:val="clear" w:color="auto" w:fill="auto"/>
            <w:vAlign w:val="center"/>
          </w:tcPr>
          <w:p w14:paraId="2DB29611">
            <w:pPr>
              <w:jc w:val="center"/>
              <w:rPr>
                <w:rFonts w:eastAsia="仿宋_GB2312"/>
                <w:color w:val="auto"/>
                <w:kern w:val="0"/>
                <w:szCs w:val="21"/>
                <w:lang w:bidi="ar"/>
              </w:rPr>
            </w:pPr>
          </w:p>
        </w:tc>
        <w:tc>
          <w:tcPr>
            <w:tcW w:w="446" w:type="pct"/>
            <w:vMerge w:val="continue"/>
            <w:shd w:val="clear" w:color="auto" w:fill="auto"/>
            <w:vAlign w:val="center"/>
          </w:tcPr>
          <w:p w14:paraId="26AAAC8A">
            <w:pPr>
              <w:jc w:val="center"/>
              <w:rPr>
                <w:rFonts w:eastAsia="仿宋_GB2312"/>
                <w:color w:val="auto"/>
                <w:kern w:val="0"/>
                <w:szCs w:val="21"/>
                <w:lang w:bidi="ar"/>
              </w:rPr>
            </w:pPr>
          </w:p>
        </w:tc>
        <w:tc>
          <w:tcPr>
            <w:tcW w:w="361" w:type="pct"/>
            <w:vMerge w:val="continue"/>
            <w:vAlign w:val="center"/>
          </w:tcPr>
          <w:p w14:paraId="49A7AE57">
            <w:pPr>
              <w:jc w:val="center"/>
              <w:rPr>
                <w:rFonts w:hint="eastAsia" w:eastAsia="仿宋_GB2312"/>
                <w:color w:val="auto"/>
                <w:szCs w:val="21"/>
                <w:lang w:val="en-US" w:eastAsia="zh-CN"/>
              </w:rPr>
            </w:pPr>
          </w:p>
        </w:tc>
        <w:tc>
          <w:tcPr>
            <w:tcW w:w="498" w:type="pct"/>
            <w:vMerge w:val="continue"/>
            <w:shd w:val="clear" w:color="auto" w:fill="auto"/>
            <w:vAlign w:val="center"/>
          </w:tcPr>
          <w:p w14:paraId="0534BF1F">
            <w:pPr>
              <w:keepNext w:val="0"/>
              <w:keepLines w:val="0"/>
              <w:widowControl/>
              <w:suppressLineNumbers w:val="0"/>
              <w:jc w:val="center"/>
              <w:textAlignment w:val="bottom"/>
              <w:rPr>
                <w:rFonts w:hint="eastAsia" w:eastAsia="仿宋_GB2312"/>
                <w:color w:val="auto"/>
                <w:kern w:val="0"/>
                <w:szCs w:val="21"/>
                <w:lang w:val="en-US" w:eastAsia="zh-CN" w:bidi="ar"/>
              </w:rPr>
            </w:pPr>
          </w:p>
        </w:tc>
        <w:tc>
          <w:tcPr>
            <w:tcW w:w="820" w:type="pct"/>
            <w:shd w:val="clear" w:color="auto" w:fill="auto"/>
            <w:vAlign w:val="center"/>
          </w:tcPr>
          <w:p w14:paraId="584D8056">
            <w:pPr>
              <w:widowControl/>
              <w:jc w:val="center"/>
              <w:textAlignment w:val="center"/>
              <w:rPr>
                <w:rFonts w:hint="eastAsia"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叔丁醇</w:t>
            </w:r>
          </w:p>
        </w:tc>
        <w:tc>
          <w:tcPr>
            <w:tcW w:w="380" w:type="pct"/>
            <w:shd w:val="clear" w:color="auto" w:fill="auto"/>
            <w:vAlign w:val="center"/>
          </w:tcPr>
          <w:p w14:paraId="70E40371">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0.365</w:t>
            </w:r>
          </w:p>
        </w:tc>
        <w:tc>
          <w:tcPr>
            <w:tcW w:w="445" w:type="pct"/>
            <w:shd w:val="clear" w:color="auto" w:fill="auto"/>
            <w:vAlign w:val="center"/>
          </w:tcPr>
          <w:p w14:paraId="701A0A2C">
            <w:pPr>
              <w:widowControl/>
              <w:jc w:val="center"/>
              <w:textAlignment w:val="center"/>
              <w:rPr>
                <w:rFonts w:hint="eastAsia"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0.084</w:t>
            </w:r>
          </w:p>
        </w:tc>
        <w:tc>
          <w:tcPr>
            <w:tcW w:w="630" w:type="pct"/>
            <w:vMerge w:val="continue"/>
            <w:shd w:val="clear" w:color="auto" w:fill="auto"/>
            <w:vAlign w:val="center"/>
          </w:tcPr>
          <w:p w14:paraId="5846A7D0">
            <w:pPr>
              <w:jc w:val="center"/>
              <w:rPr>
                <w:rFonts w:hint="eastAsia" w:eastAsia="仿宋_GB2312"/>
                <w:color w:val="auto"/>
                <w:szCs w:val="21"/>
              </w:rPr>
            </w:pPr>
          </w:p>
        </w:tc>
        <w:tc>
          <w:tcPr>
            <w:tcW w:w="292" w:type="pct"/>
            <w:vMerge w:val="continue"/>
            <w:shd w:val="clear" w:color="auto" w:fill="auto"/>
            <w:vAlign w:val="center"/>
          </w:tcPr>
          <w:p w14:paraId="0D2FDB96">
            <w:pPr>
              <w:jc w:val="center"/>
              <w:rPr>
                <w:rFonts w:hint="eastAsia" w:eastAsia="仿宋_GB2312"/>
                <w:color w:val="auto"/>
              </w:rPr>
            </w:pPr>
          </w:p>
        </w:tc>
      </w:tr>
      <w:tr w14:paraId="5A0E65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272FBBEB">
            <w:pPr>
              <w:jc w:val="center"/>
              <w:rPr>
                <w:rFonts w:eastAsia="仿宋_GB2312"/>
                <w:color w:val="auto"/>
                <w:szCs w:val="21"/>
              </w:rPr>
            </w:pPr>
          </w:p>
        </w:tc>
        <w:tc>
          <w:tcPr>
            <w:tcW w:w="358" w:type="pct"/>
            <w:vMerge w:val="continue"/>
            <w:vAlign w:val="center"/>
          </w:tcPr>
          <w:p w14:paraId="4AA66B37">
            <w:pPr>
              <w:jc w:val="center"/>
              <w:rPr>
                <w:rFonts w:eastAsia="仿宋_GB2312"/>
                <w:color w:val="auto"/>
                <w:szCs w:val="21"/>
              </w:rPr>
            </w:pPr>
          </w:p>
        </w:tc>
        <w:tc>
          <w:tcPr>
            <w:tcW w:w="418" w:type="pct"/>
            <w:vMerge w:val="continue"/>
            <w:shd w:val="clear" w:color="auto" w:fill="auto"/>
            <w:vAlign w:val="center"/>
          </w:tcPr>
          <w:p w14:paraId="77EDD531">
            <w:pPr>
              <w:jc w:val="center"/>
              <w:rPr>
                <w:rFonts w:eastAsia="仿宋_GB2312"/>
                <w:color w:val="auto"/>
                <w:kern w:val="0"/>
                <w:szCs w:val="21"/>
                <w:lang w:bidi="ar"/>
              </w:rPr>
            </w:pPr>
          </w:p>
        </w:tc>
        <w:tc>
          <w:tcPr>
            <w:tcW w:w="446" w:type="pct"/>
            <w:vMerge w:val="continue"/>
            <w:shd w:val="clear" w:color="auto" w:fill="auto"/>
            <w:vAlign w:val="center"/>
          </w:tcPr>
          <w:p w14:paraId="79938ADD">
            <w:pPr>
              <w:jc w:val="center"/>
              <w:rPr>
                <w:rFonts w:eastAsia="仿宋_GB2312"/>
                <w:color w:val="auto"/>
                <w:kern w:val="0"/>
                <w:szCs w:val="21"/>
                <w:lang w:bidi="ar"/>
              </w:rPr>
            </w:pPr>
          </w:p>
        </w:tc>
        <w:tc>
          <w:tcPr>
            <w:tcW w:w="361" w:type="pct"/>
            <w:vMerge w:val="continue"/>
            <w:vAlign w:val="center"/>
          </w:tcPr>
          <w:p w14:paraId="767108FD">
            <w:pPr>
              <w:jc w:val="center"/>
              <w:rPr>
                <w:rFonts w:hint="eastAsia" w:eastAsia="仿宋_GB2312"/>
                <w:color w:val="auto"/>
                <w:szCs w:val="21"/>
                <w:lang w:val="en-US" w:eastAsia="zh-CN"/>
              </w:rPr>
            </w:pPr>
          </w:p>
        </w:tc>
        <w:tc>
          <w:tcPr>
            <w:tcW w:w="498" w:type="pct"/>
            <w:vMerge w:val="continue"/>
            <w:shd w:val="clear" w:color="auto" w:fill="auto"/>
            <w:vAlign w:val="center"/>
          </w:tcPr>
          <w:p w14:paraId="1EE0578F">
            <w:pPr>
              <w:keepNext w:val="0"/>
              <w:keepLines w:val="0"/>
              <w:widowControl/>
              <w:suppressLineNumbers w:val="0"/>
              <w:jc w:val="center"/>
              <w:textAlignment w:val="bottom"/>
              <w:rPr>
                <w:rFonts w:hint="eastAsia" w:eastAsia="仿宋_GB2312"/>
                <w:color w:val="auto"/>
                <w:kern w:val="0"/>
                <w:szCs w:val="21"/>
                <w:lang w:val="en-US" w:eastAsia="zh-CN" w:bidi="ar"/>
              </w:rPr>
            </w:pPr>
          </w:p>
        </w:tc>
        <w:tc>
          <w:tcPr>
            <w:tcW w:w="820" w:type="pct"/>
            <w:shd w:val="clear" w:color="auto" w:fill="auto"/>
            <w:vAlign w:val="center"/>
          </w:tcPr>
          <w:p w14:paraId="0D998E96">
            <w:pPr>
              <w:widowControl/>
              <w:jc w:val="center"/>
              <w:textAlignment w:val="center"/>
              <w:rPr>
                <w:rFonts w:hint="eastAsia"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甲基仲丁基醚</w:t>
            </w:r>
          </w:p>
        </w:tc>
        <w:tc>
          <w:tcPr>
            <w:tcW w:w="380" w:type="pct"/>
            <w:shd w:val="clear" w:color="auto" w:fill="auto"/>
            <w:vAlign w:val="center"/>
          </w:tcPr>
          <w:p w14:paraId="66643DCE">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0.35</w:t>
            </w:r>
          </w:p>
        </w:tc>
        <w:tc>
          <w:tcPr>
            <w:tcW w:w="445" w:type="pct"/>
            <w:shd w:val="clear" w:color="auto" w:fill="auto"/>
            <w:vAlign w:val="center"/>
          </w:tcPr>
          <w:p w14:paraId="09BCF227">
            <w:pPr>
              <w:widowControl/>
              <w:jc w:val="center"/>
              <w:textAlignment w:val="center"/>
              <w:rPr>
                <w:rFonts w:hint="eastAsia"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0.081</w:t>
            </w:r>
          </w:p>
        </w:tc>
        <w:tc>
          <w:tcPr>
            <w:tcW w:w="630" w:type="pct"/>
            <w:vMerge w:val="continue"/>
            <w:shd w:val="clear" w:color="auto" w:fill="auto"/>
            <w:vAlign w:val="center"/>
          </w:tcPr>
          <w:p w14:paraId="1C5B02A4">
            <w:pPr>
              <w:jc w:val="center"/>
              <w:rPr>
                <w:rFonts w:hint="eastAsia" w:eastAsia="仿宋_GB2312"/>
                <w:color w:val="auto"/>
                <w:szCs w:val="21"/>
              </w:rPr>
            </w:pPr>
          </w:p>
        </w:tc>
        <w:tc>
          <w:tcPr>
            <w:tcW w:w="292" w:type="pct"/>
            <w:vMerge w:val="continue"/>
            <w:shd w:val="clear" w:color="auto" w:fill="auto"/>
            <w:vAlign w:val="center"/>
          </w:tcPr>
          <w:p w14:paraId="356F5125">
            <w:pPr>
              <w:jc w:val="center"/>
              <w:rPr>
                <w:rFonts w:hint="eastAsia" w:eastAsia="仿宋_GB2312"/>
                <w:color w:val="auto"/>
              </w:rPr>
            </w:pPr>
          </w:p>
        </w:tc>
      </w:tr>
      <w:tr w14:paraId="2B42F4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5E4BF62F">
            <w:pPr>
              <w:jc w:val="center"/>
              <w:rPr>
                <w:rFonts w:eastAsia="仿宋_GB2312"/>
                <w:color w:val="auto"/>
                <w:szCs w:val="21"/>
              </w:rPr>
            </w:pPr>
          </w:p>
        </w:tc>
        <w:tc>
          <w:tcPr>
            <w:tcW w:w="358" w:type="pct"/>
            <w:vMerge w:val="continue"/>
            <w:vAlign w:val="center"/>
          </w:tcPr>
          <w:p w14:paraId="7DCAD0A5">
            <w:pPr>
              <w:jc w:val="center"/>
              <w:rPr>
                <w:rFonts w:eastAsia="仿宋_GB2312"/>
                <w:color w:val="auto"/>
                <w:szCs w:val="21"/>
              </w:rPr>
            </w:pPr>
          </w:p>
        </w:tc>
        <w:tc>
          <w:tcPr>
            <w:tcW w:w="418" w:type="pct"/>
            <w:vMerge w:val="continue"/>
            <w:shd w:val="clear" w:color="auto" w:fill="auto"/>
            <w:vAlign w:val="center"/>
          </w:tcPr>
          <w:p w14:paraId="465EB7A4">
            <w:pPr>
              <w:jc w:val="center"/>
              <w:rPr>
                <w:rFonts w:eastAsia="仿宋_GB2312"/>
                <w:color w:val="auto"/>
                <w:kern w:val="0"/>
                <w:szCs w:val="21"/>
                <w:lang w:bidi="ar"/>
              </w:rPr>
            </w:pPr>
          </w:p>
        </w:tc>
        <w:tc>
          <w:tcPr>
            <w:tcW w:w="446" w:type="pct"/>
            <w:vMerge w:val="continue"/>
            <w:shd w:val="clear" w:color="auto" w:fill="auto"/>
            <w:vAlign w:val="center"/>
          </w:tcPr>
          <w:p w14:paraId="3B82966B">
            <w:pPr>
              <w:jc w:val="center"/>
              <w:rPr>
                <w:rFonts w:eastAsia="仿宋_GB2312"/>
                <w:color w:val="auto"/>
                <w:kern w:val="0"/>
                <w:szCs w:val="21"/>
                <w:lang w:bidi="ar"/>
              </w:rPr>
            </w:pPr>
          </w:p>
        </w:tc>
        <w:tc>
          <w:tcPr>
            <w:tcW w:w="361" w:type="pct"/>
            <w:vMerge w:val="continue"/>
            <w:vAlign w:val="center"/>
          </w:tcPr>
          <w:p w14:paraId="56AA5042">
            <w:pPr>
              <w:jc w:val="center"/>
              <w:rPr>
                <w:rFonts w:hint="eastAsia" w:eastAsia="仿宋_GB2312"/>
                <w:color w:val="auto"/>
                <w:szCs w:val="21"/>
                <w:lang w:val="en-US" w:eastAsia="zh-CN"/>
              </w:rPr>
            </w:pPr>
          </w:p>
        </w:tc>
        <w:tc>
          <w:tcPr>
            <w:tcW w:w="498" w:type="pct"/>
            <w:vMerge w:val="continue"/>
            <w:shd w:val="clear" w:color="auto" w:fill="auto"/>
            <w:vAlign w:val="center"/>
          </w:tcPr>
          <w:p w14:paraId="51332700">
            <w:pPr>
              <w:keepNext w:val="0"/>
              <w:keepLines w:val="0"/>
              <w:widowControl/>
              <w:suppressLineNumbers w:val="0"/>
              <w:jc w:val="center"/>
              <w:textAlignment w:val="bottom"/>
              <w:rPr>
                <w:rFonts w:eastAsia="仿宋_GB2312"/>
                <w:color w:val="auto"/>
                <w:kern w:val="0"/>
                <w:szCs w:val="21"/>
                <w:lang w:bidi="ar"/>
              </w:rPr>
            </w:pPr>
          </w:p>
        </w:tc>
        <w:tc>
          <w:tcPr>
            <w:tcW w:w="820" w:type="pct"/>
            <w:shd w:val="clear" w:color="auto" w:fill="auto"/>
            <w:vAlign w:val="center"/>
          </w:tcPr>
          <w:p w14:paraId="0D91804B">
            <w:pPr>
              <w:widowControl/>
              <w:jc w:val="center"/>
              <w:textAlignment w:val="center"/>
              <w:rPr>
                <w:rFonts w:hint="eastAsia" w:ascii="Times New Roman" w:hAnsi="Times New Roman" w:eastAsia="仿宋_GB2312" w:cs="Times New Roman"/>
                <w:b/>
                <w:bCs/>
                <w:color w:val="auto"/>
                <w:kern w:val="0"/>
                <w:sz w:val="21"/>
                <w:szCs w:val="21"/>
                <w:lang w:val="en-US" w:eastAsia="zh-CN" w:bidi="ar"/>
              </w:rPr>
            </w:pPr>
            <w:r>
              <w:rPr>
                <w:rFonts w:eastAsia="仿宋_GB2312"/>
                <w:color w:val="auto"/>
                <w:kern w:val="0"/>
                <w:szCs w:val="21"/>
                <w:lang w:bidi="ar"/>
              </w:rPr>
              <w:t>其他有机物</w:t>
            </w:r>
          </w:p>
        </w:tc>
        <w:tc>
          <w:tcPr>
            <w:tcW w:w="380" w:type="pct"/>
            <w:shd w:val="clear" w:color="auto" w:fill="auto"/>
            <w:vAlign w:val="center"/>
          </w:tcPr>
          <w:p w14:paraId="251C62E6">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0.391</w:t>
            </w:r>
          </w:p>
        </w:tc>
        <w:tc>
          <w:tcPr>
            <w:tcW w:w="445" w:type="pct"/>
            <w:shd w:val="clear" w:color="auto" w:fill="auto"/>
            <w:vAlign w:val="center"/>
          </w:tcPr>
          <w:p w14:paraId="6BFCF87D">
            <w:pPr>
              <w:widowControl/>
              <w:jc w:val="center"/>
              <w:textAlignment w:val="center"/>
              <w:rPr>
                <w:rFonts w:hint="eastAsia"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0.09</w:t>
            </w:r>
          </w:p>
        </w:tc>
        <w:tc>
          <w:tcPr>
            <w:tcW w:w="630" w:type="pct"/>
            <w:vMerge w:val="continue"/>
            <w:shd w:val="clear" w:color="auto" w:fill="auto"/>
            <w:vAlign w:val="center"/>
          </w:tcPr>
          <w:p w14:paraId="514BE593">
            <w:pPr>
              <w:jc w:val="center"/>
              <w:rPr>
                <w:rFonts w:hint="eastAsia" w:eastAsia="仿宋_GB2312"/>
                <w:color w:val="auto"/>
                <w:szCs w:val="21"/>
              </w:rPr>
            </w:pPr>
          </w:p>
        </w:tc>
        <w:tc>
          <w:tcPr>
            <w:tcW w:w="292" w:type="pct"/>
            <w:vMerge w:val="continue"/>
            <w:shd w:val="clear" w:color="auto" w:fill="auto"/>
            <w:vAlign w:val="center"/>
          </w:tcPr>
          <w:p w14:paraId="4C812357">
            <w:pPr>
              <w:jc w:val="center"/>
              <w:rPr>
                <w:rFonts w:hint="eastAsia" w:eastAsia="仿宋_GB2312"/>
                <w:color w:val="auto"/>
              </w:rPr>
            </w:pPr>
          </w:p>
        </w:tc>
      </w:tr>
      <w:tr w14:paraId="74F618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337FE6C1">
            <w:pPr>
              <w:jc w:val="center"/>
              <w:rPr>
                <w:rFonts w:eastAsia="仿宋_GB2312"/>
                <w:color w:val="auto"/>
                <w:szCs w:val="21"/>
              </w:rPr>
            </w:pPr>
          </w:p>
        </w:tc>
        <w:tc>
          <w:tcPr>
            <w:tcW w:w="358" w:type="pct"/>
            <w:vMerge w:val="continue"/>
            <w:vAlign w:val="center"/>
          </w:tcPr>
          <w:p w14:paraId="73185C99">
            <w:pPr>
              <w:jc w:val="center"/>
              <w:rPr>
                <w:rFonts w:eastAsia="仿宋_GB2312"/>
                <w:color w:val="auto"/>
                <w:szCs w:val="21"/>
              </w:rPr>
            </w:pPr>
          </w:p>
        </w:tc>
        <w:tc>
          <w:tcPr>
            <w:tcW w:w="418" w:type="pct"/>
            <w:vMerge w:val="restart"/>
            <w:shd w:val="clear" w:color="auto" w:fill="auto"/>
            <w:vAlign w:val="center"/>
          </w:tcPr>
          <w:p w14:paraId="7A71A26B">
            <w:pPr>
              <w:jc w:val="center"/>
              <w:rPr>
                <w:rFonts w:ascii="Times New Roman" w:hAnsi="Times New Roman" w:eastAsia="仿宋_GB2312" w:cs="Times New Roman"/>
                <w:color w:val="auto"/>
                <w:kern w:val="2"/>
                <w:sz w:val="21"/>
                <w:szCs w:val="21"/>
                <w:lang w:val="en-US" w:eastAsia="zh-CN" w:bidi="ar-SA"/>
              </w:rPr>
            </w:pPr>
            <w:r>
              <w:rPr>
                <w:rFonts w:eastAsia="仿宋_GB2312"/>
                <w:color w:val="auto"/>
                <w:kern w:val="0"/>
                <w:szCs w:val="21"/>
                <w:lang w:bidi="ar"/>
              </w:rPr>
              <w:t>G</w:t>
            </w:r>
            <w:r>
              <w:rPr>
                <w:rFonts w:hint="eastAsia" w:eastAsia="仿宋_GB2312"/>
                <w:color w:val="auto"/>
                <w:kern w:val="0"/>
                <w:szCs w:val="21"/>
                <w:lang w:val="en-US" w:eastAsia="zh-CN" w:bidi="ar"/>
              </w:rPr>
              <w:t>3</w:t>
            </w:r>
            <w:r>
              <w:rPr>
                <w:rFonts w:eastAsia="仿宋_GB2312"/>
                <w:color w:val="auto"/>
                <w:kern w:val="0"/>
                <w:szCs w:val="21"/>
                <w:lang w:bidi="ar"/>
              </w:rPr>
              <w:t>-</w:t>
            </w:r>
            <w:r>
              <w:rPr>
                <w:rFonts w:hint="eastAsia" w:eastAsia="仿宋_GB2312"/>
                <w:color w:val="auto"/>
                <w:kern w:val="0"/>
                <w:szCs w:val="21"/>
                <w:lang w:val="en-US" w:eastAsia="zh-CN" w:bidi="ar"/>
              </w:rPr>
              <w:t>14</w:t>
            </w:r>
            <w:r>
              <w:rPr>
                <w:rFonts w:eastAsia="仿宋_GB2312"/>
                <w:color w:val="auto"/>
                <w:kern w:val="0"/>
                <w:szCs w:val="21"/>
                <w:lang w:bidi="ar"/>
              </w:rPr>
              <w:t>-5</w:t>
            </w:r>
          </w:p>
        </w:tc>
        <w:tc>
          <w:tcPr>
            <w:tcW w:w="446" w:type="pct"/>
            <w:vMerge w:val="restart"/>
            <w:shd w:val="clear" w:color="auto" w:fill="auto"/>
            <w:vAlign w:val="center"/>
          </w:tcPr>
          <w:p w14:paraId="733BCE06">
            <w:pPr>
              <w:jc w:val="center"/>
              <w:rPr>
                <w:rFonts w:ascii="Times New Roman" w:hAnsi="Times New Roman" w:eastAsia="仿宋_GB2312" w:cs="Times New Roman"/>
                <w:color w:val="auto"/>
                <w:kern w:val="2"/>
                <w:sz w:val="21"/>
                <w:szCs w:val="21"/>
                <w:lang w:val="en-US" w:eastAsia="zh-CN" w:bidi="ar-SA"/>
              </w:rPr>
            </w:pPr>
            <w:r>
              <w:rPr>
                <w:rFonts w:eastAsia="仿宋_GB2312"/>
                <w:color w:val="auto"/>
                <w:kern w:val="0"/>
                <w:szCs w:val="21"/>
                <w:lang w:bidi="ar"/>
              </w:rPr>
              <w:t>灌装废气</w:t>
            </w:r>
          </w:p>
        </w:tc>
        <w:tc>
          <w:tcPr>
            <w:tcW w:w="361" w:type="pct"/>
            <w:vMerge w:val="restart"/>
            <w:vAlign w:val="center"/>
          </w:tcPr>
          <w:p w14:paraId="2F77302A">
            <w:pPr>
              <w:jc w:val="center"/>
              <w:rPr>
                <w:rFonts w:hint="default" w:eastAsia="仿宋_GB2312"/>
                <w:color w:val="auto"/>
                <w:szCs w:val="21"/>
                <w:lang w:val="en-US" w:eastAsia="zh-CN"/>
              </w:rPr>
            </w:pPr>
            <w:r>
              <w:rPr>
                <w:rFonts w:hint="eastAsia" w:eastAsia="仿宋_GB2312"/>
                <w:color w:val="auto"/>
                <w:szCs w:val="21"/>
                <w:lang w:val="en-US" w:eastAsia="zh-CN"/>
              </w:rPr>
              <w:t>2000</w:t>
            </w:r>
          </w:p>
        </w:tc>
        <w:tc>
          <w:tcPr>
            <w:tcW w:w="498" w:type="pct"/>
            <w:vMerge w:val="restart"/>
            <w:shd w:val="clear" w:color="auto" w:fill="auto"/>
            <w:vAlign w:val="center"/>
          </w:tcPr>
          <w:p w14:paraId="12146398">
            <w:pPr>
              <w:keepNext w:val="0"/>
              <w:keepLines w:val="0"/>
              <w:widowControl/>
              <w:suppressLineNumbers w:val="0"/>
              <w:jc w:val="center"/>
              <w:textAlignment w:val="bottom"/>
              <w:rPr>
                <w:rFonts w:hint="eastAsia" w:eastAsia="仿宋_GB2312"/>
                <w:color w:val="auto"/>
                <w:kern w:val="0"/>
                <w:szCs w:val="21"/>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230</w:t>
            </w:r>
          </w:p>
        </w:tc>
        <w:tc>
          <w:tcPr>
            <w:tcW w:w="820" w:type="pct"/>
            <w:shd w:val="clear" w:color="auto" w:fill="auto"/>
            <w:vAlign w:val="center"/>
          </w:tcPr>
          <w:p w14:paraId="1B7ADE6E">
            <w:pPr>
              <w:widowControl/>
              <w:jc w:val="center"/>
              <w:textAlignment w:val="center"/>
              <w:rPr>
                <w:rFonts w:hint="eastAsia" w:ascii="Times New Roman" w:hAnsi="Times New Roman" w:eastAsia="仿宋_GB2312" w:cs="Times New Roman"/>
                <w:b/>
                <w:bCs/>
                <w:color w:val="auto"/>
                <w:kern w:val="0"/>
                <w:sz w:val="21"/>
                <w:szCs w:val="21"/>
                <w:lang w:val="en-US" w:eastAsia="zh-CN" w:bidi="ar"/>
              </w:rPr>
            </w:pPr>
            <w:r>
              <w:rPr>
                <w:rFonts w:hint="eastAsia" w:eastAsia="仿宋_GB2312"/>
                <w:color w:val="auto"/>
                <w:kern w:val="0"/>
                <w:szCs w:val="21"/>
                <w:lang w:val="en-US" w:eastAsia="zh-CN" w:bidi="ar"/>
              </w:rPr>
              <w:t>甲基叔丁基醚</w:t>
            </w:r>
          </w:p>
        </w:tc>
        <w:tc>
          <w:tcPr>
            <w:tcW w:w="380" w:type="pct"/>
            <w:shd w:val="clear" w:color="auto" w:fill="auto"/>
            <w:vAlign w:val="center"/>
          </w:tcPr>
          <w:p w14:paraId="649F9869">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7.695</w:t>
            </w:r>
          </w:p>
        </w:tc>
        <w:tc>
          <w:tcPr>
            <w:tcW w:w="445" w:type="pct"/>
            <w:shd w:val="clear" w:color="auto" w:fill="auto"/>
            <w:vAlign w:val="center"/>
          </w:tcPr>
          <w:p w14:paraId="7B7F7688">
            <w:pPr>
              <w:widowControl/>
              <w:jc w:val="center"/>
              <w:textAlignment w:val="center"/>
              <w:rPr>
                <w:rFonts w:hint="eastAsia" w:ascii="Times New Roman" w:hAnsi="Times New Roman" w:eastAsia="仿宋_GB2312" w:cs="Times New Roman"/>
                <w:color w:val="auto"/>
                <w:kern w:val="0"/>
                <w:sz w:val="21"/>
                <w:szCs w:val="21"/>
                <w:lang w:val="en-US" w:eastAsia="zh-CN" w:bidi="ar"/>
              </w:rPr>
            </w:pPr>
            <w:r>
              <w:rPr>
                <w:rFonts w:hint="eastAsia" w:ascii="Times New Roman" w:hAnsi="Times New Roman" w:eastAsia="仿宋_GB2312" w:cs="Times New Roman"/>
                <w:color w:val="auto"/>
                <w:kern w:val="0"/>
                <w:szCs w:val="21"/>
                <w:lang w:val="en-US" w:eastAsia="zh-CN" w:bidi="ar"/>
              </w:rPr>
              <w:t>1.77</w:t>
            </w:r>
          </w:p>
        </w:tc>
        <w:tc>
          <w:tcPr>
            <w:tcW w:w="630" w:type="pct"/>
            <w:vMerge w:val="restart"/>
            <w:shd w:val="clear" w:color="auto" w:fill="auto"/>
            <w:vAlign w:val="center"/>
          </w:tcPr>
          <w:p w14:paraId="1711B7B1">
            <w:pPr>
              <w:jc w:val="center"/>
              <w:rPr>
                <w:rFonts w:hint="eastAsia" w:ascii="Times New Roman" w:hAnsi="Times New Roman" w:eastAsia="仿宋_GB2312" w:cs="Times New Roman"/>
                <w:color w:val="auto"/>
                <w:kern w:val="2"/>
                <w:sz w:val="21"/>
                <w:szCs w:val="21"/>
                <w:lang w:val="en-US" w:eastAsia="zh-CN" w:bidi="ar-SA"/>
              </w:rPr>
            </w:pPr>
            <w:r>
              <w:rPr>
                <w:rFonts w:hint="eastAsia" w:eastAsia="仿宋_GB2312"/>
                <w:color w:val="auto"/>
                <w:szCs w:val="21"/>
              </w:rPr>
              <w:t>冷凝+酸吸收+碱吸收+水洗+活性炭吸附/脱附</w:t>
            </w:r>
          </w:p>
        </w:tc>
        <w:tc>
          <w:tcPr>
            <w:tcW w:w="292" w:type="pct"/>
            <w:vMerge w:val="restart"/>
            <w:shd w:val="clear" w:color="auto" w:fill="auto"/>
            <w:vAlign w:val="center"/>
          </w:tcPr>
          <w:p w14:paraId="78DCE515">
            <w:pPr>
              <w:jc w:val="center"/>
              <w:rPr>
                <w:rFonts w:hint="eastAsia" w:ascii="Times New Roman" w:hAnsi="Times New Roman" w:eastAsia="仿宋_GB2312" w:cs="Times New Roman"/>
                <w:color w:val="auto"/>
                <w:kern w:val="2"/>
                <w:sz w:val="21"/>
                <w:szCs w:val="21"/>
                <w:lang w:val="en-US" w:eastAsia="zh-CN" w:bidi="ar-SA"/>
              </w:rPr>
            </w:pPr>
            <w:r>
              <w:rPr>
                <w:rFonts w:hint="eastAsia" w:eastAsia="仿宋_GB2312"/>
                <w:color w:val="auto"/>
              </w:rPr>
              <w:t>DA005</w:t>
            </w:r>
          </w:p>
        </w:tc>
      </w:tr>
      <w:tr w14:paraId="66991C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3AE02C76">
            <w:pPr>
              <w:jc w:val="center"/>
              <w:rPr>
                <w:rFonts w:eastAsia="仿宋_GB2312"/>
                <w:color w:val="auto"/>
                <w:szCs w:val="21"/>
              </w:rPr>
            </w:pPr>
          </w:p>
        </w:tc>
        <w:tc>
          <w:tcPr>
            <w:tcW w:w="358" w:type="pct"/>
            <w:vMerge w:val="continue"/>
            <w:vAlign w:val="center"/>
          </w:tcPr>
          <w:p w14:paraId="0A30F9E0">
            <w:pPr>
              <w:jc w:val="center"/>
              <w:rPr>
                <w:rFonts w:eastAsia="仿宋_GB2312"/>
                <w:color w:val="auto"/>
                <w:szCs w:val="21"/>
              </w:rPr>
            </w:pPr>
          </w:p>
        </w:tc>
        <w:tc>
          <w:tcPr>
            <w:tcW w:w="418" w:type="pct"/>
            <w:vMerge w:val="continue"/>
            <w:shd w:val="clear" w:color="auto" w:fill="auto"/>
            <w:vAlign w:val="center"/>
          </w:tcPr>
          <w:p w14:paraId="39699B6F">
            <w:pPr>
              <w:jc w:val="center"/>
              <w:rPr>
                <w:rFonts w:eastAsia="仿宋_GB2312"/>
                <w:color w:val="auto"/>
                <w:kern w:val="0"/>
                <w:szCs w:val="21"/>
                <w:lang w:bidi="ar"/>
              </w:rPr>
            </w:pPr>
          </w:p>
        </w:tc>
        <w:tc>
          <w:tcPr>
            <w:tcW w:w="446" w:type="pct"/>
            <w:vMerge w:val="continue"/>
            <w:shd w:val="clear" w:color="auto" w:fill="auto"/>
            <w:vAlign w:val="center"/>
          </w:tcPr>
          <w:p w14:paraId="1B0B5F22">
            <w:pPr>
              <w:jc w:val="center"/>
              <w:rPr>
                <w:rFonts w:eastAsia="仿宋_GB2312"/>
                <w:color w:val="auto"/>
                <w:kern w:val="0"/>
                <w:szCs w:val="21"/>
                <w:lang w:bidi="ar"/>
              </w:rPr>
            </w:pPr>
          </w:p>
        </w:tc>
        <w:tc>
          <w:tcPr>
            <w:tcW w:w="361" w:type="pct"/>
            <w:vMerge w:val="continue"/>
            <w:vAlign w:val="center"/>
          </w:tcPr>
          <w:p w14:paraId="4375035F">
            <w:pPr>
              <w:jc w:val="center"/>
              <w:rPr>
                <w:rFonts w:hint="eastAsia" w:eastAsia="仿宋_GB2312"/>
                <w:color w:val="auto"/>
                <w:szCs w:val="21"/>
                <w:lang w:val="en-US" w:eastAsia="zh-CN"/>
              </w:rPr>
            </w:pPr>
          </w:p>
        </w:tc>
        <w:tc>
          <w:tcPr>
            <w:tcW w:w="498" w:type="pct"/>
            <w:vMerge w:val="continue"/>
            <w:shd w:val="clear" w:color="auto" w:fill="auto"/>
            <w:vAlign w:val="center"/>
          </w:tcPr>
          <w:p w14:paraId="36AFCC80">
            <w:pPr>
              <w:keepNext w:val="0"/>
              <w:keepLines w:val="0"/>
              <w:widowControl/>
              <w:suppressLineNumbers w:val="0"/>
              <w:jc w:val="center"/>
              <w:textAlignment w:val="bottom"/>
              <w:rPr>
                <w:rFonts w:hint="eastAsia" w:eastAsia="仿宋_GB2312"/>
                <w:color w:val="auto"/>
                <w:kern w:val="0"/>
                <w:szCs w:val="21"/>
                <w:lang w:val="en-US" w:eastAsia="zh-CN" w:bidi="ar"/>
              </w:rPr>
            </w:pPr>
          </w:p>
        </w:tc>
        <w:tc>
          <w:tcPr>
            <w:tcW w:w="820" w:type="pct"/>
            <w:shd w:val="clear" w:color="auto" w:fill="auto"/>
            <w:vAlign w:val="center"/>
          </w:tcPr>
          <w:p w14:paraId="1FD9D396">
            <w:pPr>
              <w:widowControl/>
              <w:jc w:val="center"/>
              <w:textAlignment w:val="center"/>
              <w:rPr>
                <w:rFonts w:hint="eastAsia"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甲醇</w:t>
            </w:r>
          </w:p>
        </w:tc>
        <w:tc>
          <w:tcPr>
            <w:tcW w:w="380" w:type="pct"/>
            <w:shd w:val="clear" w:color="auto" w:fill="auto"/>
            <w:vAlign w:val="center"/>
          </w:tcPr>
          <w:p w14:paraId="4E49628A">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0.017</w:t>
            </w:r>
          </w:p>
        </w:tc>
        <w:tc>
          <w:tcPr>
            <w:tcW w:w="445" w:type="pct"/>
            <w:shd w:val="clear" w:color="auto" w:fill="auto"/>
            <w:vAlign w:val="center"/>
          </w:tcPr>
          <w:p w14:paraId="4FEBAABD">
            <w:pPr>
              <w:widowControl/>
              <w:jc w:val="center"/>
              <w:textAlignment w:val="center"/>
              <w:rPr>
                <w:rFonts w:hint="eastAsia" w:ascii="Times New Roman" w:hAnsi="Times New Roman" w:eastAsia="仿宋_GB2312" w:cs="Times New Roman"/>
                <w:color w:val="auto"/>
                <w:kern w:val="0"/>
                <w:sz w:val="21"/>
                <w:szCs w:val="21"/>
                <w:lang w:val="en-US" w:eastAsia="zh-CN" w:bidi="ar"/>
              </w:rPr>
            </w:pPr>
            <w:r>
              <w:rPr>
                <w:rFonts w:hint="eastAsia" w:ascii="Times New Roman" w:hAnsi="Times New Roman" w:eastAsia="仿宋_GB2312" w:cs="Times New Roman"/>
                <w:color w:val="auto"/>
                <w:kern w:val="0"/>
                <w:szCs w:val="21"/>
                <w:lang w:val="en-US" w:eastAsia="zh-CN" w:bidi="ar"/>
              </w:rPr>
              <w:t>0.00396</w:t>
            </w:r>
          </w:p>
        </w:tc>
        <w:tc>
          <w:tcPr>
            <w:tcW w:w="630" w:type="pct"/>
            <w:vMerge w:val="continue"/>
            <w:shd w:val="clear" w:color="auto" w:fill="auto"/>
            <w:vAlign w:val="center"/>
          </w:tcPr>
          <w:p w14:paraId="57A87C30">
            <w:pPr>
              <w:jc w:val="center"/>
              <w:rPr>
                <w:rFonts w:hint="eastAsia" w:eastAsia="仿宋_GB2312"/>
                <w:color w:val="auto"/>
                <w:szCs w:val="21"/>
              </w:rPr>
            </w:pPr>
          </w:p>
        </w:tc>
        <w:tc>
          <w:tcPr>
            <w:tcW w:w="292" w:type="pct"/>
            <w:vMerge w:val="continue"/>
            <w:shd w:val="clear" w:color="auto" w:fill="auto"/>
            <w:vAlign w:val="center"/>
          </w:tcPr>
          <w:p w14:paraId="3BC1D1F7">
            <w:pPr>
              <w:jc w:val="center"/>
              <w:rPr>
                <w:rFonts w:hint="eastAsia" w:eastAsia="仿宋_GB2312"/>
                <w:color w:val="auto"/>
              </w:rPr>
            </w:pPr>
          </w:p>
        </w:tc>
      </w:tr>
      <w:tr w14:paraId="550DE98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3DA88E44">
            <w:pPr>
              <w:jc w:val="center"/>
              <w:rPr>
                <w:rFonts w:eastAsia="仿宋_GB2312"/>
                <w:color w:val="auto"/>
                <w:szCs w:val="21"/>
              </w:rPr>
            </w:pPr>
          </w:p>
        </w:tc>
        <w:tc>
          <w:tcPr>
            <w:tcW w:w="358" w:type="pct"/>
            <w:vMerge w:val="continue"/>
            <w:vAlign w:val="center"/>
          </w:tcPr>
          <w:p w14:paraId="77CAAB4E">
            <w:pPr>
              <w:jc w:val="center"/>
              <w:rPr>
                <w:rFonts w:eastAsia="仿宋_GB2312"/>
                <w:color w:val="auto"/>
                <w:szCs w:val="21"/>
              </w:rPr>
            </w:pPr>
          </w:p>
        </w:tc>
        <w:tc>
          <w:tcPr>
            <w:tcW w:w="418" w:type="pct"/>
            <w:vMerge w:val="continue"/>
            <w:shd w:val="clear" w:color="auto" w:fill="auto"/>
            <w:vAlign w:val="center"/>
          </w:tcPr>
          <w:p w14:paraId="30CABF40">
            <w:pPr>
              <w:jc w:val="center"/>
              <w:rPr>
                <w:rFonts w:eastAsia="仿宋_GB2312"/>
                <w:color w:val="auto"/>
                <w:kern w:val="0"/>
                <w:szCs w:val="21"/>
                <w:lang w:bidi="ar"/>
              </w:rPr>
            </w:pPr>
          </w:p>
        </w:tc>
        <w:tc>
          <w:tcPr>
            <w:tcW w:w="446" w:type="pct"/>
            <w:vMerge w:val="continue"/>
            <w:shd w:val="clear" w:color="auto" w:fill="auto"/>
            <w:vAlign w:val="center"/>
          </w:tcPr>
          <w:p w14:paraId="3A37441B">
            <w:pPr>
              <w:jc w:val="center"/>
              <w:rPr>
                <w:rFonts w:eastAsia="仿宋_GB2312"/>
                <w:color w:val="auto"/>
                <w:kern w:val="0"/>
                <w:szCs w:val="21"/>
                <w:lang w:bidi="ar"/>
              </w:rPr>
            </w:pPr>
          </w:p>
        </w:tc>
        <w:tc>
          <w:tcPr>
            <w:tcW w:w="361" w:type="pct"/>
            <w:vMerge w:val="continue"/>
            <w:vAlign w:val="center"/>
          </w:tcPr>
          <w:p w14:paraId="01A1028F">
            <w:pPr>
              <w:jc w:val="center"/>
              <w:rPr>
                <w:rFonts w:hint="eastAsia" w:eastAsia="仿宋_GB2312"/>
                <w:color w:val="auto"/>
                <w:szCs w:val="21"/>
                <w:lang w:val="en-US" w:eastAsia="zh-CN"/>
              </w:rPr>
            </w:pPr>
          </w:p>
        </w:tc>
        <w:tc>
          <w:tcPr>
            <w:tcW w:w="498" w:type="pct"/>
            <w:vMerge w:val="continue"/>
            <w:shd w:val="clear" w:color="auto" w:fill="auto"/>
            <w:vAlign w:val="center"/>
          </w:tcPr>
          <w:p w14:paraId="4876210A">
            <w:pPr>
              <w:keepNext w:val="0"/>
              <w:keepLines w:val="0"/>
              <w:widowControl/>
              <w:suppressLineNumbers w:val="0"/>
              <w:jc w:val="center"/>
              <w:textAlignment w:val="bottom"/>
              <w:rPr>
                <w:rFonts w:hint="eastAsia" w:eastAsia="仿宋_GB2312"/>
                <w:color w:val="auto"/>
                <w:kern w:val="0"/>
                <w:szCs w:val="21"/>
                <w:lang w:val="en-US" w:eastAsia="zh-CN" w:bidi="ar"/>
              </w:rPr>
            </w:pPr>
          </w:p>
        </w:tc>
        <w:tc>
          <w:tcPr>
            <w:tcW w:w="820" w:type="pct"/>
            <w:shd w:val="clear" w:color="auto" w:fill="auto"/>
            <w:vAlign w:val="center"/>
          </w:tcPr>
          <w:p w14:paraId="61A181AA">
            <w:pPr>
              <w:widowControl/>
              <w:jc w:val="center"/>
              <w:textAlignment w:val="center"/>
              <w:rPr>
                <w:rFonts w:hint="eastAsia"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叔丁醇</w:t>
            </w:r>
          </w:p>
        </w:tc>
        <w:tc>
          <w:tcPr>
            <w:tcW w:w="380" w:type="pct"/>
            <w:shd w:val="clear" w:color="auto" w:fill="auto"/>
            <w:vAlign w:val="center"/>
          </w:tcPr>
          <w:p w14:paraId="1E774499">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0.025</w:t>
            </w:r>
          </w:p>
        </w:tc>
        <w:tc>
          <w:tcPr>
            <w:tcW w:w="445" w:type="pct"/>
            <w:shd w:val="clear" w:color="auto" w:fill="auto"/>
            <w:vAlign w:val="center"/>
          </w:tcPr>
          <w:p w14:paraId="301545BF">
            <w:pPr>
              <w:widowControl/>
              <w:jc w:val="center"/>
              <w:textAlignment w:val="center"/>
              <w:rPr>
                <w:rFonts w:hint="eastAsia" w:ascii="Times New Roman" w:hAnsi="Times New Roman" w:eastAsia="仿宋_GB2312" w:cs="Times New Roman"/>
                <w:color w:val="auto"/>
                <w:kern w:val="0"/>
                <w:sz w:val="21"/>
                <w:szCs w:val="21"/>
                <w:lang w:val="en-US" w:eastAsia="zh-CN" w:bidi="ar"/>
              </w:rPr>
            </w:pPr>
            <w:r>
              <w:rPr>
                <w:rFonts w:hint="eastAsia" w:ascii="Times New Roman" w:hAnsi="Times New Roman" w:eastAsia="仿宋_GB2312" w:cs="Times New Roman"/>
                <w:color w:val="auto"/>
                <w:kern w:val="0"/>
                <w:szCs w:val="21"/>
                <w:lang w:val="en-US" w:eastAsia="zh-CN" w:bidi="ar"/>
              </w:rPr>
              <w:t>0.0059</w:t>
            </w:r>
          </w:p>
        </w:tc>
        <w:tc>
          <w:tcPr>
            <w:tcW w:w="630" w:type="pct"/>
            <w:vMerge w:val="continue"/>
            <w:shd w:val="clear" w:color="auto" w:fill="auto"/>
            <w:vAlign w:val="center"/>
          </w:tcPr>
          <w:p w14:paraId="26339350">
            <w:pPr>
              <w:jc w:val="center"/>
              <w:rPr>
                <w:rFonts w:hint="eastAsia" w:eastAsia="仿宋_GB2312"/>
                <w:color w:val="auto"/>
                <w:szCs w:val="21"/>
              </w:rPr>
            </w:pPr>
          </w:p>
        </w:tc>
        <w:tc>
          <w:tcPr>
            <w:tcW w:w="292" w:type="pct"/>
            <w:vMerge w:val="continue"/>
            <w:shd w:val="clear" w:color="auto" w:fill="auto"/>
            <w:vAlign w:val="center"/>
          </w:tcPr>
          <w:p w14:paraId="03C0D1BC">
            <w:pPr>
              <w:jc w:val="center"/>
              <w:rPr>
                <w:rFonts w:hint="eastAsia" w:eastAsia="仿宋_GB2312"/>
                <w:color w:val="auto"/>
              </w:rPr>
            </w:pPr>
          </w:p>
        </w:tc>
      </w:tr>
      <w:tr w14:paraId="65429D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352FD467">
            <w:pPr>
              <w:jc w:val="center"/>
              <w:rPr>
                <w:rFonts w:eastAsia="仿宋_GB2312"/>
                <w:color w:val="auto"/>
                <w:szCs w:val="21"/>
              </w:rPr>
            </w:pPr>
          </w:p>
        </w:tc>
        <w:tc>
          <w:tcPr>
            <w:tcW w:w="358" w:type="pct"/>
            <w:vMerge w:val="continue"/>
            <w:vAlign w:val="center"/>
          </w:tcPr>
          <w:p w14:paraId="1C834924">
            <w:pPr>
              <w:jc w:val="center"/>
              <w:rPr>
                <w:rFonts w:eastAsia="仿宋_GB2312"/>
                <w:color w:val="auto"/>
                <w:szCs w:val="21"/>
              </w:rPr>
            </w:pPr>
          </w:p>
        </w:tc>
        <w:tc>
          <w:tcPr>
            <w:tcW w:w="418" w:type="pct"/>
            <w:vMerge w:val="continue"/>
            <w:shd w:val="clear" w:color="auto" w:fill="auto"/>
            <w:vAlign w:val="center"/>
          </w:tcPr>
          <w:p w14:paraId="345A86B9">
            <w:pPr>
              <w:jc w:val="center"/>
              <w:rPr>
                <w:rFonts w:eastAsia="仿宋_GB2312"/>
                <w:color w:val="auto"/>
                <w:kern w:val="0"/>
                <w:szCs w:val="21"/>
                <w:lang w:bidi="ar"/>
              </w:rPr>
            </w:pPr>
          </w:p>
        </w:tc>
        <w:tc>
          <w:tcPr>
            <w:tcW w:w="446" w:type="pct"/>
            <w:vMerge w:val="continue"/>
            <w:shd w:val="clear" w:color="auto" w:fill="auto"/>
            <w:vAlign w:val="center"/>
          </w:tcPr>
          <w:p w14:paraId="697974A0">
            <w:pPr>
              <w:jc w:val="center"/>
              <w:rPr>
                <w:rFonts w:eastAsia="仿宋_GB2312"/>
                <w:color w:val="auto"/>
                <w:kern w:val="0"/>
                <w:szCs w:val="21"/>
                <w:lang w:bidi="ar"/>
              </w:rPr>
            </w:pPr>
          </w:p>
        </w:tc>
        <w:tc>
          <w:tcPr>
            <w:tcW w:w="361" w:type="pct"/>
            <w:vMerge w:val="continue"/>
            <w:vAlign w:val="center"/>
          </w:tcPr>
          <w:p w14:paraId="54E61967">
            <w:pPr>
              <w:jc w:val="center"/>
              <w:rPr>
                <w:rFonts w:hint="eastAsia" w:eastAsia="仿宋_GB2312"/>
                <w:color w:val="auto"/>
                <w:szCs w:val="21"/>
                <w:lang w:val="en-US" w:eastAsia="zh-CN"/>
              </w:rPr>
            </w:pPr>
          </w:p>
        </w:tc>
        <w:tc>
          <w:tcPr>
            <w:tcW w:w="498" w:type="pct"/>
            <w:vMerge w:val="continue"/>
            <w:shd w:val="clear" w:color="auto" w:fill="auto"/>
            <w:vAlign w:val="center"/>
          </w:tcPr>
          <w:p w14:paraId="6CCD52BD">
            <w:pPr>
              <w:keepNext w:val="0"/>
              <w:keepLines w:val="0"/>
              <w:widowControl/>
              <w:suppressLineNumbers w:val="0"/>
              <w:jc w:val="center"/>
              <w:textAlignment w:val="bottom"/>
              <w:rPr>
                <w:rFonts w:hint="eastAsia" w:eastAsia="仿宋_GB2312"/>
                <w:color w:val="auto"/>
                <w:kern w:val="0"/>
                <w:szCs w:val="21"/>
                <w:lang w:val="en-US" w:eastAsia="zh-CN" w:bidi="ar"/>
              </w:rPr>
            </w:pPr>
          </w:p>
        </w:tc>
        <w:tc>
          <w:tcPr>
            <w:tcW w:w="820" w:type="pct"/>
            <w:shd w:val="clear" w:color="auto" w:fill="auto"/>
            <w:vAlign w:val="center"/>
          </w:tcPr>
          <w:p w14:paraId="2DC5E241">
            <w:pPr>
              <w:widowControl/>
              <w:jc w:val="center"/>
              <w:textAlignment w:val="center"/>
              <w:rPr>
                <w:rFonts w:hint="eastAsia"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甲基仲丁基醚</w:t>
            </w:r>
          </w:p>
        </w:tc>
        <w:tc>
          <w:tcPr>
            <w:tcW w:w="380" w:type="pct"/>
            <w:shd w:val="clear" w:color="auto" w:fill="auto"/>
            <w:vAlign w:val="center"/>
          </w:tcPr>
          <w:p w14:paraId="69FC3DD9">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0.021</w:t>
            </w:r>
          </w:p>
        </w:tc>
        <w:tc>
          <w:tcPr>
            <w:tcW w:w="445" w:type="pct"/>
            <w:shd w:val="clear" w:color="auto" w:fill="auto"/>
            <w:vAlign w:val="center"/>
          </w:tcPr>
          <w:p w14:paraId="253B4AB4">
            <w:pPr>
              <w:widowControl/>
              <w:jc w:val="center"/>
              <w:textAlignment w:val="center"/>
              <w:rPr>
                <w:rFonts w:hint="eastAsia" w:ascii="Times New Roman" w:hAnsi="Times New Roman" w:eastAsia="仿宋_GB2312" w:cs="Times New Roman"/>
                <w:color w:val="auto"/>
                <w:kern w:val="0"/>
                <w:sz w:val="21"/>
                <w:szCs w:val="21"/>
                <w:lang w:val="en-US" w:eastAsia="zh-CN" w:bidi="ar"/>
              </w:rPr>
            </w:pPr>
            <w:r>
              <w:rPr>
                <w:rFonts w:hint="eastAsia" w:ascii="Times New Roman" w:hAnsi="Times New Roman" w:eastAsia="仿宋_GB2312" w:cs="Times New Roman"/>
                <w:color w:val="auto"/>
                <w:kern w:val="0"/>
                <w:szCs w:val="21"/>
                <w:lang w:val="en-US" w:eastAsia="zh-CN" w:bidi="ar"/>
              </w:rPr>
              <w:t>0.00495</w:t>
            </w:r>
          </w:p>
        </w:tc>
        <w:tc>
          <w:tcPr>
            <w:tcW w:w="630" w:type="pct"/>
            <w:vMerge w:val="continue"/>
            <w:shd w:val="clear" w:color="auto" w:fill="auto"/>
            <w:vAlign w:val="center"/>
          </w:tcPr>
          <w:p w14:paraId="4BB9E403">
            <w:pPr>
              <w:jc w:val="center"/>
              <w:rPr>
                <w:rFonts w:hint="eastAsia" w:eastAsia="仿宋_GB2312"/>
                <w:color w:val="auto"/>
                <w:szCs w:val="21"/>
              </w:rPr>
            </w:pPr>
          </w:p>
        </w:tc>
        <w:tc>
          <w:tcPr>
            <w:tcW w:w="292" w:type="pct"/>
            <w:vMerge w:val="continue"/>
            <w:shd w:val="clear" w:color="auto" w:fill="auto"/>
            <w:vAlign w:val="center"/>
          </w:tcPr>
          <w:p w14:paraId="11EB414F">
            <w:pPr>
              <w:jc w:val="center"/>
              <w:rPr>
                <w:rFonts w:hint="eastAsia" w:eastAsia="仿宋_GB2312"/>
                <w:color w:val="auto"/>
              </w:rPr>
            </w:pPr>
          </w:p>
        </w:tc>
      </w:tr>
      <w:tr w14:paraId="3E94A85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restart"/>
            <w:shd w:val="clear" w:color="auto" w:fill="auto"/>
            <w:vAlign w:val="center"/>
          </w:tcPr>
          <w:p w14:paraId="51294DB7">
            <w:pPr>
              <w:jc w:val="center"/>
              <w:rPr>
                <w:rFonts w:ascii="Times New Roman" w:hAnsi="Times New Roman" w:eastAsia="仿宋_GB2312" w:cs="Times New Roman"/>
                <w:color w:val="auto"/>
                <w:kern w:val="2"/>
                <w:sz w:val="21"/>
                <w:szCs w:val="21"/>
                <w:lang w:val="en-US" w:eastAsia="zh-CN" w:bidi="ar-SA"/>
              </w:rPr>
            </w:pPr>
            <w:r>
              <w:rPr>
                <w:rFonts w:eastAsia="仿宋_GB2312"/>
                <w:color w:val="auto"/>
                <w:szCs w:val="21"/>
              </w:rPr>
              <w:t>B-7车间</w:t>
            </w:r>
          </w:p>
        </w:tc>
        <w:tc>
          <w:tcPr>
            <w:tcW w:w="358" w:type="pct"/>
            <w:vMerge w:val="restart"/>
            <w:shd w:val="clear" w:color="auto" w:fill="auto"/>
            <w:vAlign w:val="center"/>
          </w:tcPr>
          <w:p w14:paraId="36EEF7D2">
            <w:pPr>
              <w:jc w:val="center"/>
              <w:rPr>
                <w:rFonts w:hint="eastAsia"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kern w:val="2"/>
                <w:sz w:val="21"/>
                <w:szCs w:val="21"/>
                <w:lang w:val="en-US" w:eastAsia="zh-CN" w:bidi="ar-SA"/>
              </w:rPr>
              <w:t>丙二醇甲醚醋酸酯</w:t>
            </w:r>
          </w:p>
        </w:tc>
        <w:tc>
          <w:tcPr>
            <w:tcW w:w="418" w:type="pct"/>
            <w:vMerge w:val="restart"/>
            <w:shd w:val="clear" w:color="auto" w:fill="auto"/>
            <w:vAlign w:val="center"/>
          </w:tcPr>
          <w:p w14:paraId="753EF465">
            <w:pPr>
              <w:jc w:val="center"/>
              <w:rPr>
                <w:rFonts w:ascii="Times New Roman" w:hAnsi="Times New Roman" w:eastAsia="仿宋_GB2312" w:cs="Times New Roman"/>
                <w:color w:val="auto"/>
                <w:kern w:val="0"/>
                <w:sz w:val="21"/>
                <w:szCs w:val="21"/>
                <w:lang w:val="en-US" w:eastAsia="zh-CN" w:bidi="ar"/>
              </w:rPr>
            </w:pPr>
            <w:r>
              <w:rPr>
                <w:rFonts w:eastAsia="仿宋_GB2312"/>
                <w:color w:val="auto"/>
                <w:kern w:val="0"/>
                <w:szCs w:val="21"/>
                <w:lang w:bidi="ar"/>
              </w:rPr>
              <w:t>G</w:t>
            </w:r>
            <w:r>
              <w:rPr>
                <w:rFonts w:hint="eastAsia" w:eastAsia="仿宋_GB2312"/>
                <w:color w:val="auto"/>
                <w:kern w:val="0"/>
                <w:szCs w:val="21"/>
                <w:lang w:val="en-US" w:eastAsia="zh-CN" w:bidi="ar"/>
              </w:rPr>
              <w:t>3</w:t>
            </w:r>
            <w:r>
              <w:rPr>
                <w:rFonts w:eastAsia="仿宋_GB2312"/>
                <w:color w:val="auto"/>
                <w:kern w:val="0"/>
                <w:szCs w:val="21"/>
                <w:lang w:bidi="ar"/>
              </w:rPr>
              <w:t>-</w:t>
            </w:r>
            <w:r>
              <w:rPr>
                <w:rFonts w:hint="eastAsia" w:eastAsia="仿宋_GB2312"/>
                <w:color w:val="auto"/>
                <w:kern w:val="0"/>
                <w:szCs w:val="21"/>
                <w:lang w:val="en-US" w:eastAsia="zh-CN" w:bidi="ar"/>
              </w:rPr>
              <w:t>15</w:t>
            </w:r>
            <w:r>
              <w:rPr>
                <w:rFonts w:eastAsia="仿宋_GB2312"/>
                <w:color w:val="auto"/>
                <w:kern w:val="0"/>
                <w:szCs w:val="21"/>
                <w:lang w:bidi="ar"/>
              </w:rPr>
              <w:t>-1</w:t>
            </w:r>
          </w:p>
        </w:tc>
        <w:tc>
          <w:tcPr>
            <w:tcW w:w="446" w:type="pct"/>
            <w:vMerge w:val="restart"/>
            <w:shd w:val="clear" w:color="auto" w:fill="auto"/>
            <w:vAlign w:val="center"/>
          </w:tcPr>
          <w:p w14:paraId="41111135">
            <w:pPr>
              <w:jc w:val="center"/>
              <w:rPr>
                <w:rFonts w:ascii="Times New Roman" w:hAnsi="Times New Roman" w:eastAsia="仿宋_GB2312" w:cs="Times New Roman"/>
                <w:color w:val="auto"/>
                <w:kern w:val="0"/>
                <w:sz w:val="21"/>
                <w:szCs w:val="21"/>
                <w:lang w:val="en-US" w:eastAsia="zh-CN" w:bidi="ar"/>
              </w:rPr>
            </w:pPr>
            <w:r>
              <w:rPr>
                <w:rFonts w:eastAsia="仿宋_GB2312"/>
                <w:color w:val="auto"/>
                <w:kern w:val="0"/>
                <w:szCs w:val="21"/>
                <w:lang w:bidi="ar"/>
              </w:rPr>
              <w:t>投料废气</w:t>
            </w:r>
          </w:p>
        </w:tc>
        <w:tc>
          <w:tcPr>
            <w:tcW w:w="361" w:type="pct"/>
            <w:vMerge w:val="restart"/>
            <w:vAlign w:val="center"/>
          </w:tcPr>
          <w:p w14:paraId="47F835E5">
            <w:pPr>
              <w:jc w:val="center"/>
              <w:rPr>
                <w:rFonts w:hint="default" w:eastAsia="仿宋_GB2312"/>
                <w:color w:val="auto"/>
                <w:szCs w:val="21"/>
                <w:lang w:val="en-US" w:eastAsia="zh-CN"/>
              </w:rPr>
            </w:pPr>
            <w:r>
              <w:rPr>
                <w:rFonts w:hint="eastAsia" w:eastAsia="仿宋_GB2312"/>
                <w:color w:val="auto"/>
                <w:szCs w:val="21"/>
                <w:lang w:val="en-US" w:eastAsia="zh-CN"/>
              </w:rPr>
              <w:t>2000</w:t>
            </w:r>
          </w:p>
        </w:tc>
        <w:tc>
          <w:tcPr>
            <w:tcW w:w="498" w:type="pct"/>
            <w:vMerge w:val="restart"/>
            <w:shd w:val="clear" w:color="auto" w:fill="auto"/>
            <w:vAlign w:val="center"/>
          </w:tcPr>
          <w:p w14:paraId="00F67EE6">
            <w:pPr>
              <w:keepNext w:val="0"/>
              <w:keepLines w:val="0"/>
              <w:widowControl/>
              <w:suppressLineNumbers w:val="0"/>
              <w:jc w:val="center"/>
              <w:textAlignment w:val="bottom"/>
              <w:rPr>
                <w:rFonts w:hint="eastAsia" w:eastAsia="仿宋_GB2312"/>
                <w:color w:val="auto"/>
                <w:kern w:val="0"/>
                <w:szCs w:val="21"/>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532</w:t>
            </w:r>
          </w:p>
        </w:tc>
        <w:tc>
          <w:tcPr>
            <w:tcW w:w="820" w:type="pct"/>
            <w:shd w:val="clear" w:color="auto" w:fill="auto"/>
            <w:vAlign w:val="center"/>
          </w:tcPr>
          <w:p w14:paraId="397069EF">
            <w:pPr>
              <w:widowControl/>
              <w:jc w:val="center"/>
              <w:textAlignment w:val="center"/>
              <w:rPr>
                <w:rFonts w:hint="eastAsia" w:ascii="Times New Roman" w:hAnsi="Times New Roman" w:eastAsia="仿宋_GB2312" w:cs="Times New Roman"/>
                <w:b/>
                <w:bCs/>
                <w:color w:val="auto"/>
                <w:kern w:val="0"/>
                <w:sz w:val="21"/>
                <w:szCs w:val="21"/>
                <w:lang w:val="en-US" w:eastAsia="zh-CN" w:bidi="ar"/>
              </w:rPr>
            </w:pPr>
            <w:r>
              <w:rPr>
                <w:rFonts w:hint="eastAsia" w:eastAsia="仿宋_GB2312"/>
                <w:color w:val="auto"/>
                <w:kern w:val="0"/>
                <w:szCs w:val="21"/>
                <w:lang w:val="en-US" w:eastAsia="zh-CN" w:bidi="ar"/>
              </w:rPr>
              <w:t>丙二醇甲醚醋酸酯</w:t>
            </w:r>
          </w:p>
        </w:tc>
        <w:tc>
          <w:tcPr>
            <w:tcW w:w="380" w:type="pct"/>
            <w:shd w:val="clear" w:color="auto" w:fill="auto"/>
            <w:vAlign w:val="center"/>
          </w:tcPr>
          <w:p w14:paraId="6FB52A99">
            <w:pPr>
              <w:keepNext w:val="0"/>
              <w:keepLines w:val="0"/>
              <w:widowControl/>
              <w:suppressLineNumbers w:val="0"/>
              <w:jc w:val="center"/>
              <w:textAlignment w:val="center"/>
              <w:rPr>
                <w:rFonts w:hint="default" w:ascii="Times New Roman" w:hAnsi="Times New Roman" w:eastAsia="仿宋_GB2312" w:cs="Times New Roman"/>
                <w:color w:val="auto"/>
                <w:kern w:val="0"/>
                <w:szCs w:val="21"/>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1.556</w:t>
            </w:r>
          </w:p>
        </w:tc>
        <w:tc>
          <w:tcPr>
            <w:tcW w:w="445" w:type="pct"/>
            <w:shd w:val="clear" w:color="auto" w:fill="auto"/>
            <w:vAlign w:val="center"/>
          </w:tcPr>
          <w:p w14:paraId="7D999B4F">
            <w:pPr>
              <w:widowControl/>
              <w:jc w:val="center"/>
              <w:textAlignment w:val="center"/>
              <w:rPr>
                <w:rFonts w:hint="eastAsia" w:ascii="Times New Roman" w:hAnsi="Times New Roman" w:eastAsia="仿宋_GB2312" w:cs="Times New Roman"/>
                <w:color w:val="auto"/>
                <w:kern w:val="0"/>
                <w:sz w:val="21"/>
                <w:szCs w:val="21"/>
                <w:lang w:val="en-US" w:eastAsia="zh-CN" w:bidi="ar"/>
              </w:rPr>
            </w:pPr>
            <w:r>
              <w:rPr>
                <w:rFonts w:hint="eastAsia" w:ascii="Times New Roman" w:hAnsi="Times New Roman" w:eastAsia="仿宋_GB2312" w:cs="Times New Roman"/>
                <w:color w:val="auto"/>
                <w:kern w:val="0"/>
                <w:szCs w:val="21"/>
                <w:lang w:val="en-US" w:eastAsia="zh-CN" w:bidi="ar"/>
              </w:rPr>
              <w:t>0.828</w:t>
            </w:r>
          </w:p>
        </w:tc>
        <w:tc>
          <w:tcPr>
            <w:tcW w:w="630" w:type="pct"/>
            <w:vMerge w:val="restart"/>
            <w:shd w:val="clear" w:color="auto" w:fill="auto"/>
            <w:vAlign w:val="center"/>
          </w:tcPr>
          <w:p w14:paraId="1AB120AF">
            <w:pPr>
              <w:jc w:val="center"/>
              <w:rPr>
                <w:rFonts w:hint="eastAsia" w:ascii="Times New Roman" w:hAnsi="Times New Roman" w:eastAsia="仿宋_GB2312" w:cs="Times New Roman"/>
                <w:color w:val="auto"/>
                <w:kern w:val="2"/>
                <w:sz w:val="21"/>
                <w:szCs w:val="21"/>
                <w:lang w:val="en-US" w:eastAsia="zh-CN" w:bidi="ar-SA"/>
              </w:rPr>
            </w:pPr>
            <w:r>
              <w:rPr>
                <w:rFonts w:hint="eastAsia" w:eastAsia="仿宋_GB2312"/>
                <w:color w:val="auto"/>
                <w:szCs w:val="21"/>
              </w:rPr>
              <w:t>冷凝+酸吸收+碱吸收+水洗+活性炭吸附/脱附</w:t>
            </w:r>
          </w:p>
        </w:tc>
        <w:tc>
          <w:tcPr>
            <w:tcW w:w="292" w:type="pct"/>
            <w:vMerge w:val="restart"/>
            <w:shd w:val="clear" w:color="auto" w:fill="auto"/>
            <w:vAlign w:val="center"/>
          </w:tcPr>
          <w:p w14:paraId="27E47E04">
            <w:pPr>
              <w:jc w:val="center"/>
              <w:rPr>
                <w:rFonts w:hint="eastAsia" w:ascii="Times New Roman" w:hAnsi="Times New Roman" w:eastAsia="仿宋_GB2312" w:cs="Times New Roman"/>
                <w:color w:val="auto"/>
                <w:kern w:val="2"/>
                <w:sz w:val="21"/>
                <w:szCs w:val="21"/>
                <w:lang w:val="en-US" w:eastAsia="zh-CN" w:bidi="ar-SA"/>
              </w:rPr>
            </w:pPr>
            <w:r>
              <w:rPr>
                <w:rFonts w:hint="eastAsia" w:eastAsia="仿宋_GB2312"/>
                <w:color w:val="auto"/>
              </w:rPr>
              <w:t>DA005</w:t>
            </w:r>
          </w:p>
        </w:tc>
      </w:tr>
      <w:tr w14:paraId="5E9608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40620D38">
            <w:pPr>
              <w:jc w:val="center"/>
              <w:rPr>
                <w:rFonts w:eastAsia="仿宋_GB2312"/>
                <w:color w:val="auto"/>
                <w:szCs w:val="21"/>
              </w:rPr>
            </w:pPr>
          </w:p>
        </w:tc>
        <w:tc>
          <w:tcPr>
            <w:tcW w:w="358" w:type="pct"/>
            <w:vMerge w:val="continue"/>
            <w:vAlign w:val="center"/>
          </w:tcPr>
          <w:p w14:paraId="29233CB8">
            <w:pPr>
              <w:jc w:val="center"/>
              <w:rPr>
                <w:rFonts w:eastAsia="仿宋_GB2312"/>
                <w:color w:val="auto"/>
                <w:szCs w:val="21"/>
              </w:rPr>
            </w:pPr>
          </w:p>
        </w:tc>
        <w:tc>
          <w:tcPr>
            <w:tcW w:w="418" w:type="pct"/>
            <w:vMerge w:val="continue"/>
            <w:shd w:val="clear" w:color="auto" w:fill="auto"/>
            <w:vAlign w:val="center"/>
          </w:tcPr>
          <w:p w14:paraId="7D682E9E">
            <w:pPr>
              <w:jc w:val="center"/>
              <w:rPr>
                <w:rFonts w:eastAsia="仿宋_GB2312"/>
                <w:color w:val="auto"/>
                <w:kern w:val="0"/>
                <w:szCs w:val="21"/>
                <w:lang w:bidi="ar"/>
              </w:rPr>
            </w:pPr>
          </w:p>
        </w:tc>
        <w:tc>
          <w:tcPr>
            <w:tcW w:w="446" w:type="pct"/>
            <w:vMerge w:val="continue"/>
            <w:shd w:val="clear" w:color="auto" w:fill="auto"/>
            <w:vAlign w:val="center"/>
          </w:tcPr>
          <w:p w14:paraId="2193B1A6">
            <w:pPr>
              <w:jc w:val="center"/>
              <w:rPr>
                <w:rFonts w:eastAsia="仿宋_GB2312"/>
                <w:color w:val="auto"/>
                <w:kern w:val="0"/>
                <w:szCs w:val="21"/>
                <w:lang w:bidi="ar"/>
              </w:rPr>
            </w:pPr>
          </w:p>
        </w:tc>
        <w:tc>
          <w:tcPr>
            <w:tcW w:w="361" w:type="pct"/>
            <w:vMerge w:val="continue"/>
            <w:vAlign w:val="center"/>
          </w:tcPr>
          <w:p w14:paraId="69292841">
            <w:pPr>
              <w:jc w:val="center"/>
              <w:rPr>
                <w:rFonts w:hint="eastAsia" w:eastAsia="仿宋_GB2312"/>
                <w:color w:val="auto"/>
                <w:szCs w:val="21"/>
                <w:lang w:val="en-US" w:eastAsia="zh-CN"/>
              </w:rPr>
            </w:pPr>
          </w:p>
        </w:tc>
        <w:tc>
          <w:tcPr>
            <w:tcW w:w="498" w:type="pct"/>
            <w:vMerge w:val="continue"/>
            <w:shd w:val="clear" w:color="auto" w:fill="auto"/>
            <w:vAlign w:val="center"/>
          </w:tcPr>
          <w:p w14:paraId="56FACEF5">
            <w:pPr>
              <w:keepNext w:val="0"/>
              <w:keepLines w:val="0"/>
              <w:widowControl/>
              <w:suppressLineNumbers w:val="0"/>
              <w:jc w:val="center"/>
              <w:textAlignment w:val="bottom"/>
              <w:rPr>
                <w:rFonts w:hint="eastAsia" w:eastAsia="仿宋_GB2312"/>
                <w:color w:val="auto"/>
                <w:kern w:val="0"/>
                <w:szCs w:val="21"/>
                <w:lang w:val="en-US" w:eastAsia="zh-CN" w:bidi="ar"/>
              </w:rPr>
            </w:pPr>
          </w:p>
        </w:tc>
        <w:tc>
          <w:tcPr>
            <w:tcW w:w="820" w:type="pct"/>
            <w:shd w:val="clear" w:color="auto" w:fill="auto"/>
            <w:vAlign w:val="center"/>
          </w:tcPr>
          <w:p w14:paraId="4B25F15B">
            <w:pPr>
              <w:widowControl/>
              <w:jc w:val="center"/>
              <w:textAlignment w:val="center"/>
              <w:rPr>
                <w:rFonts w:hint="eastAsia"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2-甲氧基-1-丙醇乙酸酯</w:t>
            </w:r>
          </w:p>
        </w:tc>
        <w:tc>
          <w:tcPr>
            <w:tcW w:w="380" w:type="pct"/>
            <w:shd w:val="clear" w:color="auto" w:fill="auto"/>
            <w:vAlign w:val="center"/>
          </w:tcPr>
          <w:p w14:paraId="63D81E72">
            <w:pPr>
              <w:keepNext w:val="0"/>
              <w:keepLines w:val="0"/>
              <w:widowControl/>
              <w:suppressLineNumbers w:val="0"/>
              <w:jc w:val="center"/>
              <w:textAlignment w:val="center"/>
              <w:rPr>
                <w:rFonts w:hint="default" w:ascii="Times New Roman" w:hAnsi="Times New Roman" w:eastAsia="仿宋_GB2312" w:cs="Times New Roman"/>
                <w:color w:val="auto"/>
                <w:kern w:val="0"/>
                <w:szCs w:val="21"/>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0.0037</w:t>
            </w:r>
          </w:p>
        </w:tc>
        <w:tc>
          <w:tcPr>
            <w:tcW w:w="445" w:type="pct"/>
            <w:shd w:val="clear" w:color="auto" w:fill="auto"/>
            <w:vAlign w:val="center"/>
          </w:tcPr>
          <w:p w14:paraId="0338366E">
            <w:pPr>
              <w:widowControl/>
              <w:jc w:val="center"/>
              <w:textAlignment w:val="center"/>
              <w:rPr>
                <w:rFonts w:hint="eastAsia" w:ascii="Times New Roman" w:hAnsi="Times New Roman" w:eastAsia="仿宋_GB2312" w:cs="Times New Roman"/>
                <w:color w:val="auto"/>
                <w:kern w:val="0"/>
                <w:sz w:val="21"/>
                <w:szCs w:val="21"/>
                <w:lang w:val="en-US" w:eastAsia="zh-CN" w:bidi="ar"/>
              </w:rPr>
            </w:pPr>
            <w:r>
              <w:rPr>
                <w:rFonts w:hint="eastAsia" w:ascii="Times New Roman" w:hAnsi="Times New Roman" w:eastAsia="仿宋_GB2312" w:cs="Times New Roman"/>
                <w:color w:val="auto"/>
                <w:kern w:val="0"/>
                <w:szCs w:val="21"/>
                <w:lang w:val="en-US" w:eastAsia="zh-CN" w:bidi="ar"/>
              </w:rPr>
              <w:t>0.00198</w:t>
            </w:r>
          </w:p>
        </w:tc>
        <w:tc>
          <w:tcPr>
            <w:tcW w:w="630" w:type="pct"/>
            <w:vMerge w:val="continue"/>
            <w:shd w:val="clear" w:color="auto" w:fill="auto"/>
            <w:vAlign w:val="center"/>
          </w:tcPr>
          <w:p w14:paraId="3629F0CC">
            <w:pPr>
              <w:jc w:val="center"/>
              <w:rPr>
                <w:rFonts w:hint="eastAsia" w:eastAsia="仿宋_GB2312"/>
                <w:color w:val="auto"/>
                <w:szCs w:val="21"/>
              </w:rPr>
            </w:pPr>
          </w:p>
        </w:tc>
        <w:tc>
          <w:tcPr>
            <w:tcW w:w="292" w:type="pct"/>
            <w:vMerge w:val="continue"/>
            <w:shd w:val="clear" w:color="auto" w:fill="auto"/>
            <w:vAlign w:val="center"/>
          </w:tcPr>
          <w:p w14:paraId="628EF625">
            <w:pPr>
              <w:jc w:val="center"/>
              <w:rPr>
                <w:rFonts w:hint="eastAsia" w:eastAsia="仿宋_GB2312"/>
                <w:color w:val="auto"/>
              </w:rPr>
            </w:pPr>
          </w:p>
        </w:tc>
      </w:tr>
      <w:tr w14:paraId="0AA733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03C041D3">
            <w:pPr>
              <w:jc w:val="center"/>
              <w:rPr>
                <w:rFonts w:eastAsia="仿宋_GB2312"/>
                <w:color w:val="auto"/>
                <w:szCs w:val="21"/>
              </w:rPr>
            </w:pPr>
          </w:p>
        </w:tc>
        <w:tc>
          <w:tcPr>
            <w:tcW w:w="358" w:type="pct"/>
            <w:vMerge w:val="continue"/>
            <w:vAlign w:val="center"/>
          </w:tcPr>
          <w:p w14:paraId="123CE334">
            <w:pPr>
              <w:jc w:val="center"/>
              <w:rPr>
                <w:rFonts w:eastAsia="仿宋_GB2312"/>
                <w:color w:val="auto"/>
                <w:szCs w:val="21"/>
              </w:rPr>
            </w:pPr>
          </w:p>
        </w:tc>
        <w:tc>
          <w:tcPr>
            <w:tcW w:w="418" w:type="pct"/>
            <w:vMerge w:val="continue"/>
            <w:shd w:val="clear" w:color="auto" w:fill="auto"/>
            <w:vAlign w:val="center"/>
          </w:tcPr>
          <w:p w14:paraId="343726DE">
            <w:pPr>
              <w:jc w:val="center"/>
              <w:rPr>
                <w:rFonts w:eastAsia="仿宋_GB2312"/>
                <w:color w:val="auto"/>
                <w:kern w:val="0"/>
                <w:szCs w:val="21"/>
                <w:lang w:bidi="ar"/>
              </w:rPr>
            </w:pPr>
          </w:p>
        </w:tc>
        <w:tc>
          <w:tcPr>
            <w:tcW w:w="446" w:type="pct"/>
            <w:vMerge w:val="continue"/>
            <w:shd w:val="clear" w:color="auto" w:fill="auto"/>
            <w:vAlign w:val="center"/>
          </w:tcPr>
          <w:p w14:paraId="7ACD7D9E">
            <w:pPr>
              <w:jc w:val="center"/>
              <w:rPr>
                <w:rFonts w:eastAsia="仿宋_GB2312"/>
                <w:color w:val="auto"/>
                <w:kern w:val="0"/>
                <w:szCs w:val="21"/>
                <w:lang w:bidi="ar"/>
              </w:rPr>
            </w:pPr>
          </w:p>
        </w:tc>
        <w:tc>
          <w:tcPr>
            <w:tcW w:w="361" w:type="pct"/>
            <w:vMerge w:val="continue"/>
            <w:vAlign w:val="center"/>
          </w:tcPr>
          <w:p w14:paraId="67C5C8DD">
            <w:pPr>
              <w:jc w:val="center"/>
              <w:rPr>
                <w:rFonts w:hint="eastAsia" w:eastAsia="仿宋_GB2312"/>
                <w:color w:val="auto"/>
                <w:szCs w:val="21"/>
                <w:lang w:val="en-US" w:eastAsia="zh-CN"/>
              </w:rPr>
            </w:pPr>
          </w:p>
        </w:tc>
        <w:tc>
          <w:tcPr>
            <w:tcW w:w="498" w:type="pct"/>
            <w:vMerge w:val="continue"/>
            <w:shd w:val="clear" w:color="auto" w:fill="auto"/>
            <w:vAlign w:val="center"/>
          </w:tcPr>
          <w:p w14:paraId="3DC2E663">
            <w:pPr>
              <w:keepNext w:val="0"/>
              <w:keepLines w:val="0"/>
              <w:widowControl/>
              <w:suppressLineNumbers w:val="0"/>
              <w:jc w:val="center"/>
              <w:textAlignment w:val="bottom"/>
              <w:rPr>
                <w:rFonts w:eastAsia="仿宋_GB2312"/>
                <w:color w:val="auto"/>
                <w:kern w:val="0"/>
                <w:szCs w:val="21"/>
                <w:lang w:bidi="ar"/>
              </w:rPr>
            </w:pPr>
          </w:p>
        </w:tc>
        <w:tc>
          <w:tcPr>
            <w:tcW w:w="820" w:type="pct"/>
            <w:shd w:val="clear" w:color="auto" w:fill="auto"/>
            <w:vAlign w:val="center"/>
          </w:tcPr>
          <w:p w14:paraId="15027F65">
            <w:pPr>
              <w:widowControl/>
              <w:jc w:val="center"/>
              <w:textAlignment w:val="center"/>
              <w:rPr>
                <w:rFonts w:hint="eastAsia" w:ascii="Times New Roman" w:hAnsi="Times New Roman" w:eastAsia="仿宋_GB2312" w:cs="Times New Roman"/>
                <w:b/>
                <w:bCs/>
                <w:color w:val="auto"/>
                <w:kern w:val="0"/>
                <w:sz w:val="21"/>
                <w:szCs w:val="21"/>
                <w:lang w:val="en-US" w:eastAsia="zh-CN" w:bidi="ar"/>
              </w:rPr>
            </w:pPr>
            <w:r>
              <w:rPr>
                <w:rFonts w:eastAsia="仿宋_GB2312"/>
                <w:color w:val="auto"/>
                <w:kern w:val="0"/>
                <w:szCs w:val="21"/>
                <w:lang w:bidi="ar"/>
              </w:rPr>
              <w:t>其他有机物</w:t>
            </w:r>
          </w:p>
        </w:tc>
        <w:tc>
          <w:tcPr>
            <w:tcW w:w="380" w:type="pct"/>
            <w:shd w:val="clear" w:color="auto" w:fill="auto"/>
            <w:vAlign w:val="center"/>
          </w:tcPr>
          <w:p w14:paraId="45E2B0C7">
            <w:pPr>
              <w:keepNext w:val="0"/>
              <w:keepLines w:val="0"/>
              <w:widowControl/>
              <w:suppressLineNumbers w:val="0"/>
              <w:jc w:val="center"/>
              <w:textAlignment w:val="center"/>
              <w:rPr>
                <w:rFonts w:hint="default" w:ascii="Times New Roman" w:hAnsi="Times New Roman" w:eastAsia="仿宋_GB2312" w:cs="Times New Roman"/>
                <w:color w:val="auto"/>
                <w:kern w:val="0"/>
                <w:szCs w:val="21"/>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0.02</w:t>
            </w:r>
          </w:p>
        </w:tc>
        <w:tc>
          <w:tcPr>
            <w:tcW w:w="445" w:type="pct"/>
            <w:shd w:val="clear" w:color="auto" w:fill="auto"/>
            <w:vAlign w:val="center"/>
          </w:tcPr>
          <w:p w14:paraId="587D7CCD">
            <w:pPr>
              <w:widowControl/>
              <w:jc w:val="center"/>
              <w:textAlignment w:val="center"/>
              <w:rPr>
                <w:rFonts w:hint="eastAsia" w:ascii="Times New Roman" w:hAnsi="Times New Roman" w:eastAsia="仿宋_GB2312" w:cs="Times New Roman"/>
                <w:color w:val="auto"/>
                <w:kern w:val="0"/>
                <w:sz w:val="21"/>
                <w:szCs w:val="21"/>
                <w:lang w:val="en-US" w:eastAsia="zh-CN" w:bidi="ar"/>
              </w:rPr>
            </w:pPr>
            <w:r>
              <w:rPr>
                <w:rFonts w:hint="eastAsia" w:ascii="Times New Roman" w:hAnsi="Times New Roman" w:eastAsia="仿宋_GB2312" w:cs="Times New Roman"/>
                <w:color w:val="auto"/>
                <w:kern w:val="0"/>
                <w:szCs w:val="21"/>
                <w:lang w:val="en-US" w:eastAsia="zh-CN" w:bidi="ar"/>
              </w:rPr>
              <w:t>0.0109</w:t>
            </w:r>
          </w:p>
        </w:tc>
        <w:tc>
          <w:tcPr>
            <w:tcW w:w="630" w:type="pct"/>
            <w:vMerge w:val="continue"/>
            <w:shd w:val="clear" w:color="auto" w:fill="auto"/>
            <w:vAlign w:val="center"/>
          </w:tcPr>
          <w:p w14:paraId="75771DDA">
            <w:pPr>
              <w:jc w:val="center"/>
              <w:rPr>
                <w:rFonts w:hint="eastAsia" w:eastAsia="仿宋_GB2312"/>
                <w:color w:val="auto"/>
                <w:szCs w:val="21"/>
              </w:rPr>
            </w:pPr>
          </w:p>
        </w:tc>
        <w:tc>
          <w:tcPr>
            <w:tcW w:w="292" w:type="pct"/>
            <w:vMerge w:val="continue"/>
            <w:shd w:val="clear" w:color="auto" w:fill="auto"/>
            <w:vAlign w:val="center"/>
          </w:tcPr>
          <w:p w14:paraId="1F6738D7">
            <w:pPr>
              <w:jc w:val="center"/>
              <w:rPr>
                <w:rFonts w:hint="eastAsia" w:eastAsia="仿宋_GB2312"/>
                <w:color w:val="auto"/>
              </w:rPr>
            </w:pPr>
          </w:p>
        </w:tc>
      </w:tr>
      <w:tr w14:paraId="4E4BF7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11CEB366">
            <w:pPr>
              <w:jc w:val="center"/>
              <w:rPr>
                <w:rFonts w:eastAsia="仿宋_GB2312"/>
                <w:color w:val="auto"/>
                <w:szCs w:val="21"/>
              </w:rPr>
            </w:pPr>
          </w:p>
        </w:tc>
        <w:tc>
          <w:tcPr>
            <w:tcW w:w="358" w:type="pct"/>
            <w:vMerge w:val="continue"/>
            <w:vAlign w:val="center"/>
          </w:tcPr>
          <w:p w14:paraId="4F31241A">
            <w:pPr>
              <w:jc w:val="center"/>
              <w:rPr>
                <w:rFonts w:eastAsia="仿宋_GB2312"/>
                <w:color w:val="auto"/>
                <w:szCs w:val="21"/>
              </w:rPr>
            </w:pPr>
          </w:p>
        </w:tc>
        <w:tc>
          <w:tcPr>
            <w:tcW w:w="418" w:type="pct"/>
            <w:vMerge w:val="restart"/>
            <w:shd w:val="clear" w:color="auto" w:fill="auto"/>
            <w:vAlign w:val="center"/>
          </w:tcPr>
          <w:p w14:paraId="00E568F9">
            <w:pPr>
              <w:jc w:val="center"/>
              <w:rPr>
                <w:rFonts w:ascii="Times New Roman" w:hAnsi="Times New Roman" w:eastAsia="仿宋_GB2312" w:cs="Times New Roman"/>
                <w:color w:val="auto"/>
                <w:kern w:val="0"/>
                <w:sz w:val="21"/>
                <w:szCs w:val="21"/>
                <w:lang w:val="en-US" w:eastAsia="zh-CN" w:bidi="ar"/>
              </w:rPr>
            </w:pPr>
            <w:r>
              <w:rPr>
                <w:rFonts w:eastAsia="仿宋_GB2312"/>
                <w:color w:val="auto"/>
                <w:kern w:val="0"/>
                <w:szCs w:val="21"/>
                <w:lang w:bidi="ar"/>
              </w:rPr>
              <w:t>G</w:t>
            </w:r>
            <w:r>
              <w:rPr>
                <w:rFonts w:hint="eastAsia" w:eastAsia="仿宋_GB2312"/>
                <w:color w:val="auto"/>
                <w:kern w:val="0"/>
                <w:szCs w:val="21"/>
                <w:lang w:val="en-US" w:eastAsia="zh-CN" w:bidi="ar"/>
              </w:rPr>
              <w:t>3</w:t>
            </w:r>
            <w:r>
              <w:rPr>
                <w:rFonts w:eastAsia="仿宋_GB2312"/>
                <w:color w:val="auto"/>
                <w:kern w:val="0"/>
                <w:szCs w:val="21"/>
                <w:lang w:bidi="ar"/>
              </w:rPr>
              <w:t>-</w:t>
            </w:r>
            <w:r>
              <w:rPr>
                <w:rFonts w:hint="eastAsia" w:eastAsia="仿宋_GB2312"/>
                <w:color w:val="auto"/>
                <w:kern w:val="0"/>
                <w:szCs w:val="21"/>
                <w:lang w:val="en-US" w:eastAsia="zh-CN" w:bidi="ar"/>
              </w:rPr>
              <w:t>15-</w:t>
            </w:r>
            <w:r>
              <w:rPr>
                <w:rFonts w:eastAsia="仿宋_GB2312"/>
                <w:color w:val="auto"/>
                <w:kern w:val="0"/>
                <w:szCs w:val="21"/>
                <w:lang w:bidi="ar"/>
              </w:rPr>
              <w:t>2</w:t>
            </w:r>
          </w:p>
        </w:tc>
        <w:tc>
          <w:tcPr>
            <w:tcW w:w="446" w:type="pct"/>
            <w:vMerge w:val="restart"/>
            <w:shd w:val="clear" w:color="auto" w:fill="auto"/>
            <w:vAlign w:val="center"/>
          </w:tcPr>
          <w:p w14:paraId="56074481">
            <w:pPr>
              <w:jc w:val="center"/>
              <w:rPr>
                <w:rFonts w:ascii="Times New Roman" w:hAnsi="Times New Roman" w:eastAsia="仿宋_GB2312" w:cs="Times New Roman"/>
                <w:color w:val="auto"/>
                <w:kern w:val="0"/>
                <w:sz w:val="21"/>
                <w:szCs w:val="21"/>
                <w:lang w:val="en-US" w:eastAsia="zh-CN" w:bidi="ar"/>
              </w:rPr>
            </w:pPr>
            <w:r>
              <w:rPr>
                <w:rFonts w:eastAsia="仿宋_GB2312"/>
                <w:color w:val="auto"/>
                <w:kern w:val="0"/>
                <w:szCs w:val="21"/>
                <w:lang w:bidi="ar"/>
              </w:rPr>
              <w:t>调节废气</w:t>
            </w:r>
          </w:p>
        </w:tc>
        <w:tc>
          <w:tcPr>
            <w:tcW w:w="361" w:type="pct"/>
            <w:vMerge w:val="restart"/>
            <w:vAlign w:val="center"/>
          </w:tcPr>
          <w:p w14:paraId="63FD4CD7">
            <w:pPr>
              <w:jc w:val="center"/>
              <w:rPr>
                <w:rFonts w:hint="default" w:eastAsia="仿宋_GB2312"/>
                <w:color w:val="auto"/>
                <w:szCs w:val="21"/>
                <w:lang w:val="en-US" w:eastAsia="zh-CN"/>
              </w:rPr>
            </w:pPr>
            <w:r>
              <w:rPr>
                <w:rFonts w:hint="eastAsia" w:eastAsia="仿宋_GB2312"/>
                <w:color w:val="auto"/>
                <w:szCs w:val="21"/>
                <w:lang w:val="en-US" w:eastAsia="zh-CN"/>
              </w:rPr>
              <w:t>100</w:t>
            </w:r>
          </w:p>
        </w:tc>
        <w:tc>
          <w:tcPr>
            <w:tcW w:w="498" w:type="pct"/>
            <w:vMerge w:val="restart"/>
            <w:shd w:val="clear" w:color="auto" w:fill="auto"/>
            <w:vAlign w:val="center"/>
          </w:tcPr>
          <w:p w14:paraId="490178ED">
            <w:pPr>
              <w:keepNext w:val="0"/>
              <w:keepLines w:val="0"/>
              <w:widowControl/>
              <w:suppressLineNumbers w:val="0"/>
              <w:jc w:val="center"/>
              <w:textAlignment w:val="bottom"/>
              <w:rPr>
                <w:rFonts w:hint="eastAsia" w:eastAsia="仿宋_GB2312"/>
                <w:color w:val="auto"/>
                <w:kern w:val="0"/>
                <w:szCs w:val="21"/>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532</w:t>
            </w:r>
          </w:p>
        </w:tc>
        <w:tc>
          <w:tcPr>
            <w:tcW w:w="820" w:type="pct"/>
            <w:shd w:val="clear" w:color="auto" w:fill="auto"/>
            <w:vAlign w:val="center"/>
          </w:tcPr>
          <w:p w14:paraId="70F53AA8">
            <w:pPr>
              <w:widowControl/>
              <w:jc w:val="center"/>
              <w:textAlignment w:val="center"/>
              <w:rPr>
                <w:rFonts w:hint="eastAsia" w:ascii="Times New Roman" w:hAnsi="Times New Roman" w:eastAsia="仿宋_GB2312" w:cs="Times New Roman"/>
                <w:b/>
                <w:bCs/>
                <w:color w:val="auto"/>
                <w:kern w:val="0"/>
                <w:sz w:val="21"/>
                <w:szCs w:val="21"/>
                <w:lang w:val="en-US" w:eastAsia="zh-CN" w:bidi="ar"/>
              </w:rPr>
            </w:pPr>
            <w:r>
              <w:rPr>
                <w:rFonts w:hint="eastAsia" w:eastAsia="仿宋_GB2312"/>
                <w:color w:val="auto"/>
                <w:kern w:val="0"/>
                <w:szCs w:val="21"/>
                <w:lang w:val="en-US" w:eastAsia="zh-CN" w:bidi="ar"/>
              </w:rPr>
              <w:t>丙二醇甲醚醋酸酯</w:t>
            </w:r>
          </w:p>
        </w:tc>
        <w:tc>
          <w:tcPr>
            <w:tcW w:w="380" w:type="pct"/>
            <w:shd w:val="clear" w:color="auto" w:fill="auto"/>
            <w:vAlign w:val="center"/>
          </w:tcPr>
          <w:p w14:paraId="485958BA">
            <w:pPr>
              <w:keepNext w:val="0"/>
              <w:keepLines w:val="0"/>
              <w:widowControl/>
              <w:suppressLineNumbers w:val="0"/>
              <w:jc w:val="center"/>
              <w:textAlignment w:val="center"/>
              <w:rPr>
                <w:rFonts w:hint="default" w:ascii="Times New Roman" w:hAnsi="Times New Roman" w:eastAsia="仿宋_GB2312" w:cs="Times New Roman"/>
                <w:color w:val="auto"/>
                <w:kern w:val="0"/>
                <w:szCs w:val="21"/>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0.785</w:t>
            </w:r>
          </w:p>
        </w:tc>
        <w:tc>
          <w:tcPr>
            <w:tcW w:w="445" w:type="pct"/>
            <w:shd w:val="clear" w:color="auto" w:fill="auto"/>
            <w:vAlign w:val="center"/>
          </w:tcPr>
          <w:p w14:paraId="2E879273">
            <w:pPr>
              <w:widowControl/>
              <w:jc w:val="center"/>
              <w:textAlignment w:val="center"/>
              <w:rPr>
                <w:rFonts w:hint="eastAsia"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0.418</w:t>
            </w:r>
          </w:p>
        </w:tc>
        <w:tc>
          <w:tcPr>
            <w:tcW w:w="630" w:type="pct"/>
            <w:vMerge w:val="restart"/>
            <w:shd w:val="clear" w:color="auto" w:fill="auto"/>
            <w:vAlign w:val="center"/>
          </w:tcPr>
          <w:p w14:paraId="08AAE739">
            <w:pPr>
              <w:widowControl/>
              <w:jc w:val="center"/>
              <w:textAlignment w:val="center"/>
              <w:rPr>
                <w:rFonts w:hint="eastAsia" w:ascii="Times New Roman" w:hAnsi="Times New Roman" w:eastAsia="仿宋_GB2312" w:cs="Times New Roman"/>
                <w:color w:val="auto"/>
                <w:kern w:val="2"/>
                <w:sz w:val="21"/>
                <w:szCs w:val="21"/>
                <w:lang w:val="en-US" w:eastAsia="zh-CN" w:bidi="ar-SA"/>
              </w:rPr>
            </w:pPr>
            <w:r>
              <w:rPr>
                <w:rFonts w:hint="eastAsia" w:eastAsia="仿宋_GB2312"/>
                <w:color w:val="auto"/>
                <w:szCs w:val="21"/>
              </w:rPr>
              <w:t>预处理（冷凝+稀酸吸收+碱吸收+水吸收+除雾）+</w:t>
            </w:r>
            <w:r>
              <w:rPr>
                <w:rFonts w:eastAsia="仿宋_GB2312"/>
                <w:color w:val="auto"/>
                <w:szCs w:val="21"/>
              </w:rPr>
              <w:t>焚烧</w:t>
            </w:r>
          </w:p>
        </w:tc>
        <w:tc>
          <w:tcPr>
            <w:tcW w:w="292" w:type="pct"/>
            <w:vMerge w:val="restart"/>
            <w:shd w:val="clear" w:color="auto" w:fill="auto"/>
            <w:vAlign w:val="center"/>
          </w:tcPr>
          <w:p w14:paraId="5F765602">
            <w:pPr>
              <w:widowControl/>
              <w:jc w:val="center"/>
              <w:textAlignment w:val="center"/>
              <w:rPr>
                <w:rFonts w:hint="eastAsia" w:ascii="Times New Roman" w:hAnsi="Times New Roman" w:eastAsia="仿宋_GB2312" w:cs="Times New Roman"/>
                <w:color w:val="auto"/>
                <w:kern w:val="2"/>
                <w:sz w:val="21"/>
                <w:szCs w:val="21"/>
                <w:lang w:val="en-US" w:eastAsia="zh-CN" w:bidi="ar-SA"/>
              </w:rPr>
            </w:pPr>
            <w:r>
              <w:rPr>
                <w:rFonts w:hint="eastAsia" w:eastAsia="仿宋_GB2312"/>
                <w:color w:val="auto"/>
                <w:kern w:val="0"/>
                <w:szCs w:val="21"/>
                <w:lang w:bidi="ar"/>
              </w:rPr>
              <w:t>DA002</w:t>
            </w:r>
          </w:p>
        </w:tc>
      </w:tr>
      <w:tr w14:paraId="5BAB75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1EF67471">
            <w:pPr>
              <w:jc w:val="center"/>
              <w:rPr>
                <w:rFonts w:eastAsia="仿宋_GB2312"/>
                <w:color w:val="auto"/>
                <w:szCs w:val="21"/>
              </w:rPr>
            </w:pPr>
          </w:p>
        </w:tc>
        <w:tc>
          <w:tcPr>
            <w:tcW w:w="358" w:type="pct"/>
            <w:vMerge w:val="continue"/>
            <w:vAlign w:val="center"/>
          </w:tcPr>
          <w:p w14:paraId="1E4F8E8A">
            <w:pPr>
              <w:jc w:val="center"/>
              <w:rPr>
                <w:rFonts w:eastAsia="仿宋_GB2312"/>
                <w:color w:val="auto"/>
                <w:szCs w:val="21"/>
              </w:rPr>
            </w:pPr>
          </w:p>
        </w:tc>
        <w:tc>
          <w:tcPr>
            <w:tcW w:w="418" w:type="pct"/>
            <w:vMerge w:val="continue"/>
            <w:shd w:val="clear" w:color="auto" w:fill="auto"/>
            <w:vAlign w:val="center"/>
          </w:tcPr>
          <w:p w14:paraId="0514AE52">
            <w:pPr>
              <w:jc w:val="center"/>
              <w:rPr>
                <w:rFonts w:eastAsia="仿宋_GB2312"/>
                <w:color w:val="auto"/>
                <w:kern w:val="0"/>
                <w:szCs w:val="21"/>
                <w:lang w:bidi="ar"/>
              </w:rPr>
            </w:pPr>
          </w:p>
        </w:tc>
        <w:tc>
          <w:tcPr>
            <w:tcW w:w="446" w:type="pct"/>
            <w:vMerge w:val="continue"/>
            <w:shd w:val="clear" w:color="auto" w:fill="auto"/>
            <w:vAlign w:val="center"/>
          </w:tcPr>
          <w:p w14:paraId="5C525C03">
            <w:pPr>
              <w:jc w:val="center"/>
              <w:rPr>
                <w:rFonts w:eastAsia="仿宋_GB2312"/>
                <w:color w:val="auto"/>
                <w:kern w:val="0"/>
                <w:szCs w:val="21"/>
                <w:lang w:bidi="ar"/>
              </w:rPr>
            </w:pPr>
          </w:p>
        </w:tc>
        <w:tc>
          <w:tcPr>
            <w:tcW w:w="361" w:type="pct"/>
            <w:vMerge w:val="continue"/>
            <w:vAlign w:val="center"/>
          </w:tcPr>
          <w:p w14:paraId="793D0D76">
            <w:pPr>
              <w:jc w:val="center"/>
              <w:rPr>
                <w:rFonts w:hint="eastAsia" w:eastAsia="仿宋_GB2312"/>
                <w:color w:val="auto"/>
                <w:szCs w:val="21"/>
                <w:lang w:val="en-US" w:eastAsia="zh-CN"/>
              </w:rPr>
            </w:pPr>
          </w:p>
        </w:tc>
        <w:tc>
          <w:tcPr>
            <w:tcW w:w="498" w:type="pct"/>
            <w:vMerge w:val="continue"/>
            <w:shd w:val="clear" w:color="auto" w:fill="auto"/>
            <w:vAlign w:val="center"/>
          </w:tcPr>
          <w:p w14:paraId="5A824D09">
            <w:pPr>
              <w:keepNext w:val="0"/>
              <w:keepLines w:val="0"/>
              <w:widowControl/>
              <w:suppressLineNumbers w:val="0"/>
              <w:jc w:val="center"/>
              <w:textAlignment w:val="bottom"/>
              <w:rPr>
                <w:rFonts w:hint="eastAsia" w:eastAsia="仿宋_GB2312"/>
                <w:color w:val="auto"/>
                <w:kern w:val="0"/>
                <w:szCs w:val="21"/>
                <w:lang w:val="en-US" w:eastAsia="zh-CN" w:bidi="ar"/>
              </w:rPr>
            </w:pPr>
          </w:p>
        </w:tc>
        <w:tc>
          <w:tcPr>
            <w:tcW w:w="820" w:type="pct"/>
            <w:shd w:val="clear" w:color="auto" w:fill="auto"/>
            <w:vAlign w:val="center"/>
          </w:tcPr>
          <w:p w14:paraId="0B9A6F0E">
            <w:pPr>
              <w:widowControl/>
              <w:jc w:val="center"/>
              <w:textAlignment w:val="center"/>
              <w:rPr>
                <w:rFonts w:hint="eastAsia"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2-甲氧基-1-丙醇乙酸酯</w:t>
            </w:r>
          </w:p>
        </w:tc>
        <w:tc>
          <w:tcPr>
            <w:tcW w:w="380" w:type="pct"/>
            <w:shd w:val="clear" w:color="auto" w:fill="auto"/>
            <w:vAlign w:val="center"/>
          </w:tcPr>
          <w:p w14:paraId="6FA420BD">
            <w:pPr>
              <w:keepNext w:val="0"/>
              <w:keepLines w:val="0"/>
              <w:widowControl/>
              <w:suppressLineNumbers w:val="0"/>
              <w:jc w:val="center"/>
              <w:textAlignment w:val="center"/>
              <w:rPr>
                <w:rFonts w:hint="default" w:ascii="Times New Roman" w:hAnsi="Times New Roman" w:eastAsia="仿宋_GB2312" w:cs="Times New Roman"/>
                <w:color w:val="auto"/>
                <w:kern w:val="0"/>
                <w:szCs w:val="21"/>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0.001</w:t>
            </w:r>
            <w:r>
              <w:rPr>
                <w:rFonts w:hint="eastAsia" w:ascii="Times New Roman" w:hAnsi="Times New Roman" w:eastAsia="宋体" w:cs="Times New Roman"/>
                <w:i w:val="0"/>
                <w:iCs w:val="0"/>
                <w:color w:val="auto"/>
                <w:kern w:val="0"/>
                <w:sz w:val="21"/>
                <w:szCs w:val="21"/>
                <w:u w:val="none"/>
                <w:lang w:val="en-US" w:eastAsia="zh-CN" w:bidi="ar"/>
              </w:rPr>
              <w:t>9</w:t>
            </w:r>
          </w:p>
        </w:tc>
        <w:tc>
          <w:tcPr>
            <w:tcW w:w="445" w:type="pct"/>
            <w:shd w:val="clear" w:color="auto" w:fill="auto"/>
            <w:vAlign w:val="center"/>
          </w:tcPr>
          <w:p w14:paraId="22EC32E8">
            <w:pPr>
              <w:widowControl/>
              <w:jc w:val="center"/>
              <w:textAlignment w:val="center"/>
              <w:rPr>
                <w:rFonts w:hint="eastAsia"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0.001</w:t>
            </w:r>
          </w:p>
        </w:tc>
        <w:tc>
          <w:tcPr>
            <w:tcW w:w="630" w:type="pct"/>
            <w:vMerge w:val="continue"/>
            <w:shd w:val="clear" w:color="auto" w:fill="auto"/>
            <w:vAlign w:val="center"/>
          </w:tcPr>
          <w:p w14:paraId="5F6839AD">
            <w:pPr>
              <w:jc w:val="center"/>
              <w:rPr>
                <w:rFonts w:hint="eastAsia" w:eastAsia="仿宋_GB2312"/>
                <w:color w:val="auto"/>
                <w:szCs w:val="21"/>
              </w:rPr>
            </w:pPr>
          </w:p>
        </w:tc>
        <w:tc>
          <w:tcPr>
            <w:tcW w:w="292" w:type="pct"/>
            <w:vMerge w:val="continue"/>
            <w:shd w:val="clear" w:color="auto" w:fill="auto"/>
            <w:vAlign w:val="center"/>
          </w:tcPr>
          <w:p w14:paraId="3DA3BAFA">
            <w:pPr>
              <w:jc w:val="center"/>
              <w:rPr>
                <w:rFonts w:hint="eastAsia" w:eastAsia="仿宋_GB2312"/>
                <w:color w:val="auto"/>
              </w:rPr>
            </w:pPr>
          </w:p>
        </w:tc>
      </w:tr>
      <w:tr w14:paraId="2FA819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36FF40C6">
            <w:pPr>
              <w:jc w:val="center"/>
              <w:rPr>
                <w:rFonts w:eastAsia="仿宋_GB2312"/>
                <w:color w:val="auto"/>
                <w:szCs w:val="21"/>
              </w:rPr>
            </w:pPr>
          </w:p>
        </w:tc>
        <w:tc>
          <w:tcPr>
            <w:tcW w:w="358" w:type="pct"/>
            <w:vMerge w:val="continue"/>
            <w:vAlign w:val="center"/>
          </w:tcPr>
          <w:p w14:paraId="7BD3AA4C">
            <w:pPr>
              <w:jc w:val="center"/>
              <w:rPr>
                <w:rFonts w:eastAsia="仿宋_GB2312"/>
                <w:color w:val="auto"/>
                <w:szCs w:val="21"/>
              </w:rPr>
            </w:pPr>
          </w:p>
        </w:tc>
        <w:tc>
          <w:tcPr>
            <w:tcW w:w="418" w:type="pct"/>
            <w:vMerge w:val="continue"/>
            <w:shd w:val="clear" w:color="auto" w:fill="auto"/>
            <w:vAlign w:val="center"/>
          </w:tcPr>
          <w:p w14:paraId="4613D1C9">
            <w:pPr>
              <w:jc w:val="center"/>
              <w:rPr>
                <w:rFonts w:eastAsia="仿宋_GB2312"/>
                <w:color w:val="auto"/>
                <w:kern w:val="0"/>
                <w:szCs w:val="21"/>
                <w:lang w:bidi="ar"/>
              </w:rPr>
            </w:pPr>
          </w:p>
        </w:tc>
        <w:tc>
          <w:tcPr>
            <w:tcW w:w="446" w:type="pct"/>
            <w:vMerge w:val="continue"/>
            <w:shd w:val="clear" w:color="auto" w:fill="auto"/>
            <w:vAlign w:val="center"/>
          </w:tcPr>
          <w:p w14:paraId="6D922D18">
            <w:pPr>
              <w:jc w:val="center"/>
              <w:rPr>
                <w:rFonts w:eastAsia="仿宋_GB2312"/>
                <w:color w:val="auto"/>
                <w:kern w:val="0"/>
                <w:szCs w:val="21"/>
                <w:lang w:bidi="ar"/>
              </w:rPr>
            </w:pPr>
          </w:p>
        </w:tc>
        <w:tc>
          <w:tcPr>
            <w:tcW w:w="361" w:type="pct"/>
            <w:vMerge w:val="continue"/>
            <w:vAlign w:val="center"/>
          </w:tcPr>
          <w:p w14:paraId="0A25FCF2">
            <w:pPr>
              <w:jc w:val="center"/>
              <w:rPr>
                <w:rFonts w:hint="eastAsia" w:eastAsia="仿宋_GB2312"/>
                <w:color w:val="auto"/>
                <w:szCs w:val="21"/>
                <w:lang w:val="en-US" w:eastAsia="zh-CN"/>
              </w:rPr>
            </w:pPr>
          </w:p>
        </w:tc>
        <w:tc>
          <w:tcPr>
            <w:tcW w:w="498" w:type="pct"/>
            <w:vMerge w:val="continue"/>
            <w:shd w:val="clear" w:color="auto" w:fill="auto"/>
            <w:vAlign w:val="center"/>
          </w:tcPr>
          <w:p w14:paraId="491B1B3B">
            <w:pPr>
              <w:keepNext w:val="0"/>
              <w:keepLines w:val="0"/>
              <w:widowControl/>
              <w:suppressLineNumbers w:val="0"/>
              <w:jc w:val="center"/>
              <w:textAlignment w:val="bottom"/>
              <w:rPr>
                <w:rFonts w:eastAsia="仿宋_GB2312"/>
                <w:color w:val="auto"/>
                <w:kern w:val="0"/>
                <w:szCs w:val="21"/>
                <w:lang w:bidi="ar"/>
              </w:rPr>
            </w:pPr>
          </w:p>
        </w:tc>
        <w:tc>
          <w:tcPr>
            <w:tcW w:w="820" w:type="pct"/>
            <w:shd w:val="clear" w:color="auto" w:fill="auto"/>
            <w:vAlign w:val="center"/>
          </w:tcPr>
          <w:p w14:paraId="15C652FE">
            <w:pPr>
              <w:widowControl/>
              <w:jc w:val="center"/>
              <w:textAlignment w:val="center"/>
              <w:rPr>
                <w:rFonts w:hint="eastAsia" w:ascii="Times New Roman" w:hAnsi="Times New Roman" w:eastAsia="仿宋_GB2312" w:cs="Times New Roman"/>
                <w:b/>
                <w:bCs/>
                <w:color w:val="auto"/>
                <w:kern w:val="0"/>
                <w:sz w:val="21"/>
                <w:szCs w:val="21"/>
                <w:lang w:val="en-US" w:eastAsia="zh-CN" w:bidi="ar"/>
              </w:rPr>
            </w:pPr>
            <w:r>
              <w:rPr>
                <w:rFonts w:eastAsia="仿宋_GB2312"/>
                <w:color w:val="auto"/>
                <w:kern w:val="0"/>
                <w:szCs w:val="21"/>
                <w:lang w:bidi="ar"/>
              </w:rPr>
              <w:t>其他有机物</w:t>
            </w:r>
          </w:p>
        </w:tc>
        <w:tc>
          <w:tcPr>
            <w:tcW w:w="380" w:type="pct"/>
            <w:shd w:val="clear" w:color="auto" w:fill="auto"/>
            <w:vAlign w:val="center"/>
          </w:tcPr>
          <w:p w14:paraId="6E9AEC58">
            <w:pPr>
              <w:keepNext w:val="0"/>
              <w:keepLines w:val="0"/>
              <w:widowControl/>
              <w:suppressLineNumbers w:val="0"/>
              <w:jc w:val="center"/>
              <w:textAlignment w:val="center"/>
              <w:rPr>
                <w:rFonts w:hint="default" w:ascii="Times New Roman" w:hAnsi="Times New Roman" w:eastAsia="仿宋_GB2312" w:cs="Times New Roman"/>
                <w:color w:val="auto"/>
                <w:kern w:val="0"/>
                <w:szCs w:val="21"/>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0.011</w:t>
            </w:r>
          </w:p>
        </w:tc>
        <w:tc>
          <w:tcPr>
            <w:tcW w:w="445" w:type="pct"/>
            <w:shd w:val="clear" w:color="auto" w:fill="auto"/>
            <w:vAlign w:val="center"/>
          </w:tcPr>
          <w:p w14:paraId="2AFAFDDE">
            <w:pPr>
              <w:widowControl/>
              <w:jc w:val="center"/>
              <w:textAlignment w:val="center"/>
              <w:rPr>
                <w:rFonts w:hint="eastAsia"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0.006</w:t>
            </w:r>
          </w:p>
        </w:tc>
        <w:tc>
          <w:tcPr>
            <w:tcW w:w="630" w:type="pct"/>
            <w:vMerge w:val="continue"/>
            <w:shd w:val="clear" w:color="auto" w:fill="auto"/>
            <w:vAlign w:val="center"/>
          </w:tcPr>
          <w:p w14:paraId="72D3461E">
            <w:pPr>
              <w:jc w:val="center"/>
              <w:rPr>
                <w:rFonts w:hint="eastAsia" w:eastAsia="仿宋_GB2312"/>
                <w:color w:val="auto"/>
                <w:szCs w:val="21"/>
              </w:rPr>
            </w:pPr>
          </w:p>
        </w:tc>
        <w:tc>
          <w:tcPr>
            <w:tcW w:w="292" w:type="pct"/>
            <w:vMerge w:val="continue"/>
            <w:shd w:val="clear" w:color="auto" w:fill="auto"/>
            <w:vAlign w:val="center"/>
          </w:tcPr>
          <w:p w14:paraId="35012B3F">
            <w:pPr>
              <w:jc w:val="center"/>
              <w:rPr>
                <w:rFonts w:hint="eastAsia" w:eastAsia="仿宋_GB2312"/>
                <w:color w:val="auto"/>
              </w:rPr>
            </w:pPr>
          </w:p>
        </w:tc>
      </w:tr>
      <w:tr w14:paraId="29B7974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1F5ABD86">
            <w:pPr>
              <w:jc w:val="center"/>
              <w:rPr>
                <w:rFonts w:eastAsia="仿宋_GB2312"/>
                <w:color w:val="auto"/>
                <w:szCs w:val="21"/>
              </w:rPr>
            </w:pPr>
          </w:p>
        </w:tc>
        <w:tc>
          <w:tcPr>
            <w:tcW w:w="358" w:type="pct"/>
            <w:vMerge w:val="continue"/>
            <w:vAlign w:val="center"/>
          </w:tcPr>
          <w:p w14:paraId="537A62D8">
            <w:pPr>
              <w:jc w:val="center"/>
              <w:rPr>
                <w:rFonts w:eastAsia="仿宋_GB2312"/>
                <w:color w:val="auto"/>
                <w:szCs w:val="21"/>
              </w:rPr>
            </w:pPr>
          </w:p>
        </w:tc>
        <w:tc>
          <w:tcPr>
            <w:tcW w:w="418" w:type="pct"/>
            <w:vMerge w:val="restart"/>
            <w:shd w:val="clear" w:color="auto" w:fill="auto"/>
            <w:vAlign w:val="center"/>
          </w:tcPr>
          <w:p w14:paraId="5BDA3957">
            <w:pPr>
              <w:jc w:val="center"/>
              <w:rPr>
                <w:rFonts w:ascii="Times New Roman" w:hAnsi="Times New Roman" w:eastAsia="仿宋_GB2312" w:cs="Times New Roman"/>
                <w:color w:val="auto"/>
                <w:kern w:val="0"/>
                <w:sz w:val="21"/>
                <w:szCs w:val="21"/>
                <w:lang w:val="en-US" w:eastAsia="zh-CN" w:bidi="ar"/>
              </w:rPr>
            </w:pPr>
            <w:r>
              <w:rPr>
                <w:rFonts w:eastAsia="仿宋_GB2312"/>
                <w:color w:val="auto"/>
                <w:kern w:val="0"/>
                <w:szCs w:val="21"/>
                <w:lang w:bidi="ar"/>
              </w:rPr>
              <w:t>G</w:t>
            </w:r>
            <w:r>
              <w:rPr>
                <w:rFonts w:hint="eastAsia" w:eastAsia="仿宋_GB2312"/>
                <w:color w:val="auto"/>
                <w:kern w:val="0"/>
                <w:szCs w:val="21"/>
                <w:lang w:val="en-US" w:eastAsia="zh-CN" w:bidi="ar"/>
              </w:rPr>
              <w:t>3</w:t>
            </w:r>
            <w:r>
              <w:rPr>
                <w:rFonts w:eastAsia="仿宋_GB2312"/>
                <w:color w:val="auto"/>
                <w:kern w:val="0"/>
                <w:szCs w:val="21"/>
                <w:lang w:bidi="ar"/>
              </w:rPr>
              <w:t>-</w:t>
            </w:r>
            <w:r>
              <w:rPr>
                <w:rFonts w:hint="eastAsia" w:eastAsia="仿宋_GB2312"/>
                <w:color w:val="auto"/>
                <w:kern w:val="0"/>
                <w:szCs w:val="21"/>
                <w:lang w:val="en-US" w:eastAsia="zh-CN" w:bidi="ar"/>
              </w:rPr>
              <w:t>15</w:t>
            </w:r>
            <w:r>
              <w:rPr>
                <w:rFonts w:eastAsia="仿宋_GB2312"/>
                <w:color w:val="auto"/>
                <w:kern w:val="0"/>
                <w:szCs w:val="21"/>
                <w:lang w:bidi="ar"/>
              </w:rPr>
              <w:t>-3</w:t>
            </w:r>
          </w:p>
        </w:tc>
        <w:tc>
          <w:tcPr>
            <w:tcW w:w="446" w:type="pct"/>
            <w:vMerge w:val="restart"/>
            <w:shd w:val="clear" w:color="auto" w:fill="auto"/>
            <w:vAlign w:val="center"/>
          </w:tcPr>
          <w:p w14:paraId="2767E9D7">
            <w:pPr>
              <w:jc w:val="center"/>
              <w:rPr>
                <w:rFonts w:ascii="Times New Roman" w:hAnsi="Times New Roman" w:eastAsia="仿宋_GB2312" w:cs="Times New Roman"/>
                <w:color w:val="auto"/>
                <w:kern w:val="0"/>
                <w:sz w:val="21"/>
                <w:szCs w:val="21"/>
                <w:lang w:val="en-US" w:eastAsia="zh-CN" w:bidi="ar"/>
              </w:rPr>
            </w:pPr>
            <w:r>
              <w:rPr>
                <w:rFonts w:eastAsia="仿宋_GB2312"/>
                <w:color w:val="auto"/>
                <w:kern w:val="0"/>
                <w:szCs w:val="21"/>
                <w:lang w:bidi="ar"/>
              </w:rPr>
              <w:t>不凝气</w:t>
            </w:r>
          </w:p>
        </w:tc>
        <w:tc>
          <w:tcPr>
            <w:tcW w:w="361" w:type="pct"/>
            <w:vMerge w:val="restart"/>
            <w:vAlign w:val="center"/>
          </w:tcPr>
          <w:p w14:paraId="1FAD80C9">
            <w:pPr>
              <w:jc w:val="center"/>
              <w:rPr>
                <w:rFonts w:hint="default" w:eastAsia="仿宋_GB2312"/>
                <w:color w:val="auto"/>
                <w:szCs w:val="21"/>
                <w:lang w:val="en-US" w:eastAsia="zh-CN"/>
              </w:rPr>
            </w:pPr>
            <w:r>
              <w:rPr>
                <w:rFonts w:hint="eastAsia" w:eastAsia="仿宋_GB2312"/>
                <w:color w:val="auto"/>
                <w:szCs w:val="21"/>
                <w:lang w:val="en-US" w:eastAsia="zh-CN"/>
              </w:rPr>
              <w:t>360</w:t>
            </w:r>
          </w:p>
        </w:tc>
        <w:tc>
          <w:tcPr>
            <w:tcW w:w="498" w:type="pct"/>
            <w:vMerge w:val="restart"/>
            <w:shd w:val="clear" w:color="auto" w:fill="auto"/>
            <w:vAlign w:val="center"/>
          </w:tcPr>
          <w:p w14:paraId="169739F8">
            <w:pPr>
              <w:keepNext w:val="0"/>
              <w:keepLines w:val="0"/>
              <w:widowControl/>
              <w:suppressLineNumbers w:val="0"/>
              <w:jc w:val="center"/>
              <w:textAlignment w:val="bottom"/>
              <w:rPr>
                <w:rFonts w:hint="eastAsia" w:eastAsia="仿宋_GB2312"/>
                <w:color w:val="auto"/>
                <w:kern w:val="0"/>
                <w:szCs w:val="21"/>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532</w:t>
            </w:r>
          </w:p>
        </w:tc>
        <w:tc>
          <w:tcPr>
            <w:tcW w:w="820" w:type="pct"/>
            <w:shd w:val="clear" w:color="auto" w:fill="auto"/>
            <w:vAlign w:val="center"/>
          </w:tcPr>
          <w:p w14:paraId="249741FA">
            <w:pPr>
              <w:widowControl/>
              <w:jc w:val="center"/>
              <w:textAlignment w:val="center"/>
              <w:rPr>
                <w:rFonts w:hint="eastAsia" w:ascii="Times New Roman" w:hAnsi="Times New Roman" w:eastAsia="仿宋_GB2312" w:cs="Times New Roman"/>
                <w:b/>
                <w:bCs/>
                <w:color w:val="auto"/>
                <w:kern w:val="0"/>
                <w:sz w:val="21"/>
                <w:szCs w:val="21"/>
                <w:lang w:val="en-US" w:eastAsia="zh-CN" w:bidi="ar"/>
              </w:rPr>
            </w:pPr>
            <w:r>
              <w:rPr>
                <w:rFonts w:hint="eastAsia" w:eastAsia="仿宋_GB2312"/>
                <w:color w:val="auto"/>
                <w:kern w:val="0"/>
                <w:szCs w:val="21"/>
                <w:lang w:val="en-US" w:eastAsia="zh-CN" w:bidi="ar"/>
              </w:rPr>
              <w:t>丙二醇甲醚醋酸酯</w:t>
            </w:r>
          </w:p>
        </w:tc>
        <w:tc>
          <w:tcPr>
            <w:tcW w:w="380" w:type="pct"/>
            <w:shd w:val="clear" w:color="auto" w:fill="auto"/>
            <w:vAlign w:val="center"/>
          </w:tcPr>
          <w:p w14:paraId="6FE26229">
            <w:pPr>
              <w:keepNext w:val="0"/>
              <w:keepLines w:val="0"/>
              <w:widowControl/>
              <w:suppressLineNumbers w:val="0"/>
              <w:jc w:val="center"/>
              <w:textAlignment w:val="center"/>
              <w:rPr>
                <w:rFonts w:hint="default" w:ascii="Times New Roman" w:hAnsi="Times New Roman" w:eastAsia="仿宋_GB2312" w:cs="Times New Roman"/>
                <w:color w:val="auto"/>
                <w:kern w:val="0"/>
                <w:szCs w:val="21"/>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0.14</w:t>
            </w:r>
          </w:p>
        </w:tc>
        <w:tc>
          <w:tcPr>
            <w:tcW w:w="445" w:type="pct"/>
            <w:shd w:val="clear" w:color="auto" w:fill="auto"/>
            <w:vAlign w:val="center"/>
          </w:tcPr>
          <w:p w14:paraId="533CB311">
            <w:pPr>
              <w:widowControl/>
              <w:jc w:val="center"/>
              <w:textAlignment w:val="center"/>
              <w:rPr>
                <w:rFonts w:hint="eastAsia"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0.075</w:t>
            </w:r>
          </w:p>
        </w:tc>
        <w:tc>
          <w:tcPr>
            <w:tcW w:w="630" w:type="pct"/>
            <w:vMerge w:val="continue"/>
            <w:shd w:val="clear" w:color="auto" w:fill="auto"/>
            <w:vAlign w:val="center"/>
          </w:tcPr>
          <w:p w14:paraId="69A97699">
            <w:pPr>
              <w:jc w:val="center"/>
              <w:rPr>
                <w:rFonts w:hint="eastAsia" w:eastAsia="仿宋_GB2312"/>
                <w:color w:val="auto"/>
                <w:szCs w:val="21"/>
              </w:rPr>
            </w:pPr>
          </w:p>
        </w:tc>
        <w:tc>
          <w:tcPr>
            <w:tcW w:w="292" w:type="pct"/>
            <w:vMerge w:val="continue"/>
            <w:shd w:val="clear" w:color="auto" w:fill="auto"/>
            <w:vAlign w:val="center"/>
          </w:tcPr>
          <w:p w14:paraId="04A34345">
            <w:pPr>
              <w:jc w:val="center"/>
              <w:rPr>
                <w:rFonts w:hint="eastAsia" w:eastAsia="仿宋_GB2312"/>
                <w:color w:val="auto"/>
              </w:rPr>
            </w:pPr>
          </w:p>
        </w:tc>
      </w:tr>
      <w:tr w14:paraId="1E5F81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2B4FF761">
            <w:pPr>
              <w:jc w:val="center"/>
              <w:rPr>
                <w:rFonts w:eastAsia="仿宋_GB2312"/>
                <w:color w:val="auto"/>
                <w:szCs w:val="21"/>
              </w:rPr>
            </w:pPr>
          </w:p>
        </w:tc>
        <w:tc>
          <w:tcPr>
            <w:tcW w:w="358" w:type="pct"/>
            <w:vMerge w:val="continue"/>
            <w:vAlign w:val="center"/>
          </w:tcPr>
          <w:p w14:paraId="0A372A8D">
            <w:pPr>
              <w:jc w:val="center"/>
              <w:rPr>
                <w:rFonts w:eastAsia="仿宋_GB2312"/>
                <w:color w:val="auto"/>
                <w:szCs w:val="21"/>
              </w:rPr>
            </w:pPr>
          </w:p>
        </w:tc>
        <w:tc>
          <w:tcPr>
            <w:tcW w:w="418" w:type="pct"/>
            <w:vMerge w:val="continue"/>
            <w:shd w:val="clear" w:color="auto" w:fill="auto"/>
            <w:vAlign w:val="center"/>
          </w:tcPr>
          <w:p w14:paraId="6401C88D">
            <w:pPr>
              <w:jc w:val="center"/>
              <w:rPr>
                <w:rFonts w:eastAsia="仿宋_GB2312"/>
                <w:color w:val="auto"/>
                <w:kern w:val="0"/>
                <w:szCs w:val="21"/>
                <w:lang w:bidi="ar"/>
              </w:rPr>
            </w:pPr>
          </w:p>
        </w:tc>
        <w:tc>
          <w:tcPr>
            <w:tcW w:w="446" w:type="pct"/>
            <w:vMerge w:val="continue"/>
            <w:shd w:val="clear" w:color="auto" w:fill="auto"/>
            <w:vAlign w:val="center"/>
          </w:tcPr>
          <w:p w14:paraId="0A187C11">
            <w:pPr>
              <w:jc w:val="center"/>
              <w:rPr>
                <w:rFonts w:eastAsia="仿宋_GB2312"/>
                <w:color w:val="auto"/>
                <w:kern w:val="0"/>
                <w:szCs w:val="21"/>
                <w:lang w:bidi="ar"/>
              </w:rPr>
            </w:pPr>
          </w:p>
        </w:tc>
        <w:tc>
          <w:tcPr>
            <w:tcW w:w="361" w:type="pct"/>
            <w:vMerge w:val="continue"/>
            <w:vAlign w:val="center"/>
          </w:tcPr>
          <w:p w14:paraId="2B5A0C23">
            <w:pPr>
              <w:jc w:val="center"/>
              <w:rPr>
                <w:rFonts w:hint="eastAsia" w:eastAsia="仿宋_GB2312"/>
                <w:color w:val="auto"/>
                <w:szCs w:val="21"/>
                <w:lang w:val="en-US" w:eastAsia="zh-CN"/>
              </w:rPr>
            </w:pPr>
          </w:p>
        </w:tc>
        <w:tc>
          <w:tcPr>
            <w:tcW w:w="498" w:type="pct"/>
            <w:vMerge w:val="continue"/>
            <w:shd w:val="clear" w:color="auto" w:fill="auto"/>
            <w:vAlign w:val="center"/>
          </w:tcPr>
          <w:p w14:paraId="351037FD">
            <w:pPr>
              <w:keepNext w:val="0"/>
              <w:keepLines w:val="0"/>
              <w:widowControl/>
              <w:suppressLineNumbers w:val="0"/>
              <w:jc w:val="center"/>
              <w:textAlignment w:val="bottom"/>
              <w:rPr>
                <w:rFonts w:hint="eastAsia" w:eastAsia="仿宋_GB2312"/>
                <w:color w:val="auto"/>
                <w:kern w:val="0"/>
                <w:szCs w:val="21"/>
                <w:lang w:val="en-US" w:eastAsia="zh-CN" w:bidi="ar"/>
              </w:rPr>
            </w:pPr>
          </w:p>
        </w:tc>
        <w:tc>
          <w:tcPr>
            <w:tcW w:w="820" w:type="pct"/>
            <w:shd w:val="clear" w:color="auto" w:fill="auto"/>
            <w:vAlign w:val="center"/>
          </w:tcPr>
          <w:p w14:paraId="6B6B94A5">
            <w:pPr>
              <w:widowControl/>
              <w:jc w:val="center"/>
              <w:textAlignment w:val="center"/>
              <w:rPr>
                <w:rFonts w:hint="eastAsia"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2-甲氧基-1-丙醇乙酸酯</w:t>
            </w:r>
          </w:p>
        </w:tc>
        <w:tc>
          <w:tcPr>
            <w:tcW w:w="380" w:type="pct"/>
            <w:shd w:val="clear" w:color="auto" w:fill="auto"/>
            <w:vAlign w:val="center"/>
          </w:tcPr>
          <w:p w14:paraId="00C63F01">
            <w:pPr>
              <w:keepNext w:val="0"/>
              <w:keepLines w:val="0"/>
              <w:widowControl/>
              <w:suppressLineNumbers w:val="0"/>
              <w:jc w:val="center"/>
              <w:textAlignment w:val="center"/>
              <w:rPr>
                <w:rFonts w:hint="default" w:ascii="Times New Roman" w:hAnsi="Times New Roman" w:eastAsia="仿宋_GB2312" w:cs="Times New Roman"/>
                <w:color w:val="auto"/>
                <w:kern w:val="0"/>
                <w:szCs w:val="21"/>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w:t>
            </w:r>
            <w:r>
              <w:rPr>
                <w:rFonts w:hint="eastAsia" w:ascii="Times New Roman" w:hAnsi="Times New Roman" w:eastAsia="宋体" w:cs="Times New Roman"/>
                <w:i w:val="0"/>
                <w:iCs w:val="0"/>
                <w:color w:val="auto"/>
                <w:kern w:val="0"/>
                <w:sz w:val="21"/>
                <w:szCs w:val="21"/>
                <w:u w:val="none"/>
                <w:lang w:val="en-US" w:eastAsia="zh-CN" w:bidi="ar"/>
              </w:rPr>
              <w:t>2</w:t>
            </w:r>
          </w:p>
        </w:tc>
        <w:tc>
          <w:tcPr>
            <w:tcW w:w="445" w:type="pct"/>
            <w:shd w:val="clear" w:color="auto" w:fill="auto"/>
            <w:vAlign w:val="center"/>
          </w:tcPr>
          <w:p w14:paraId="6C7D797C">
            <w:pPr>
              <w:widowControl/>
              <w:jc w:val="center"/>
              <w:textAlignment w:val="center"/>
              <w:rPr>
                <w:rFonts w:hint="eastAsia"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0.001</w:t>
            </w:r>
          </w:p>
        </w:tc>
        <w:tc>
          <w:tcPr>
            <w:tcW w:w="630" w:type="pct"/>
            <w:vMerge w:val="continue"/>
            <w:shd w:val="clear" w:color="auto" w:fill="auto"/>
            <w:vAlign w:val="center"/>
          </w:tcPr>
          <w:p w14:paraId="49BF37F3">
            <w:pPr>
              <w:jc w:val="center"/>
              <w:rPr>
                <w:rFonts w:hint="eastAsia" w:eastAsia="仿宋_GB2312"/>
                <w:color w:val="auto"/>
                <w:szCs w:val="21"/>
              </w:rPr>
            </w:pPr>
          </w:p>
        </w:tc>
        <w:tc>
          <w:tcPr>
            <w:tcW w:w="292" w:type="pct"/>
            <w:vMerge w:val="continue"/>
            <w:shd w:val="clear" w:color="auto" w:fill="auto"/>
            <w:vAlign w:val="center"/>
          </w:tcPr>
          <w:p w14:paraId="4E02A701">
            <w:pPr>
              <w:jc w:val="center"/>
              <w:rPr>
                <w:rFonts w:hint="eastAsia" w:eastAsia="仿宋_GB2312"/>
                <w:color w:val="auto"/>
              </w:rPr>
            </w:pPr>
          </w:p>
        </w:tc>
      </w:tr>
      <w:tr w14:paraId="72925BB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32D6EF78">
            <w:pPr>
              <w:jc w:val="center"/>
              <w:rPr>
                <w:rFonts w:eastAsia="仿宋_GB2312"/>
                <w:color w:val="auto"/>
                <w:szCs w:val="21"/>
              </w:rPr>
            </w:pPr>
          </w:p>
        </w:tc>
        <w:tc>
          <w:tcPr>
            <w:tcW w:w="358" w:type="pct"/>
            <w:vMerge w:val="continue"/>
            <w:vAlign w:val="center"/>
          </w:tcPr>
          <w:p w14:paraId="4963E10D">
            <w:pPr>
              <w:jc w:val="center"/>
              <w:rPr>
                <w:rFonts w:eastAsia="仿宋_GB2312"/>
                <w:color w:val="auto"/>
                <w:szCs w:val="21"/>
              </w:rPr>
            </w:pPr>
          </w:p>
        </w:tc>
        <w:tc>
          <w:tcPr>
            <w:tcW w:w="418" w:type="pct"/>
            <w:vMerge w:val="continue"/>
            <w:shd w:val="clear" w:color="auto" w:fill="auto"/>
            <w:vAlign w:val="center"/>
          </w:tcPr>
          <w:p w14:paraId="23E1917E">
            <w:pPr>
              <w:jc w:val="center"/>
              <w:rPr>
                <w:rFonts w:eastAsia="仿宋_GB2312"/>
                <w:color w:val="auto"/>
                <w:kern w:val="0"/>
                <w:szCs w:val="21"/>
                <w:lang w:bidi="ar"/>
              </w:rPr>
            </w:pPr>
          </w:p>
        </w:tc>
        <w:tc>
          <w:tcPr>
            <w:tcW w:w="446" w:type="pct"/>
            <w:vMerge w:val="continue"/>
            <w:shd w:val="clear" w:color="auto" w:fill="auto"/>
            <w:vAlign w:val="center"/>
          </w:tcPr>
          <w:p w14:paraId="35DD5581">
            <w:pPr>
              <w:jc w:val="center"/>
              <w:rPr>
                <w:rFonts w:eastAsia="仿宋_GB2312"/>
                <w:color w:val="auto"/>
                <w:kern w:val="0"/>
                <w:szCs w:val="21"/>
                <w:lang w:bidi="ar"/>
              </w:rPr>
            </w:pPr>
          </w:p>
        </w:tc>
        <w:tc>
          <w:tcPr>
            <w:tcW w:w="361" w:type="pct"/>
            <w:vMerge w:val="continue"/>
            <w:vAlign w:val="center"/>
          </w:tcPr>
          <w:p w14:paraId="5EBD40C5">
            <w:pPr>
              <w:jc w:val="center"/>
              <w:rPr>
                <w:rFonts w:hint="eastAsia" w:eastAsia="仿宋_GB2312"/>
                <w:color w:val="auto"/>
                <w:szCs w:val="21"/>
                <w:lang w:val="en-US" w:eastAsia="zh-CN"/>
              </w:rPr>
            </w:pPr>
          </w:p>
        </w:tc>
        <w:tc>
          <w:tcPr>
            <w:tcW w:w="498" w:type="pct"/>
            <w:vMerge w:val="continue"/>
            <w:shd w:val="clear" w:color="auto" w:fill="auto"/>
            <w:vAlign w:val="center"/>
          </w:tcPr>
          <w:p w14:paraId="245329EA">
            <w:pPr>
              <w:keepNext w:val="0"/>
              <w:keepLines w:val="0"/>
              <w:widowControl/>
              <w:suppressLineNumbers w:val="0"/>
              <w:jc w:val="center"/>
              <w:textAlignment w:val="bottom"/>
              <w:rPr>
                <w:rFonts w:eastAsia="仿宋_GB2312"/>
                <w:color w:val="auto"/>
                <w:kern w:val="0"/>
                <w:szCs w:val="21"/>
                <w:lang w:bidi="ar"/>
              </w:rPr>
            </w:pPr>
          </w:p>
        </w:tc>
        <w:tc>
          <w:tcPr>
            <w:tcW w:w="820" w:type="pct"/>
            <w:shd w:val="clear" w:color="auto" w:fill="auto"/>
            <w:vAlign w:val="center"/>
          </w:tcPr>
          <w:p w14:paraId="7806D555">
            <w:pPr>
              <w:widowControl/>
              <w:jc w:val="center"/>
              <w:textAlignment w:val="center"/>
              <w:rPr>
                <w:rFonts w:hint="eastAsia" w:ascii="Times New Roman" w:hAnsi="Times New Roman" w:eastAsia="仿宋_GB2312" w:cs="Times New Roman"/>
                <w:b/>
                <w:bCs/>
                <w:color w:val="auto"/>
                <w:kern w:val="0"/>
                <w:sz w:val="21"/>
                <w:szCs w:val="21"/>
                <w:lang w:val="en-US" w:eastAsia="zh-CN" w:bidi="ar"/>
              </w:rPr>
            </w:pPr>
            <w:r>
              <w:rPr>
                <w:rFonts w:eastAsia="仿宋_GB2312"/>
                <w:color w:val="auto"/>
                <w:kern w:val="0"/>
                <w:szCs w:val="21"/>
                <w:lang w:bidi="ar"/>
              </w:rPr>
              <w:t>其他有机物</w:t>
            </w:r>
          </w:p>
        </w:tc>
        <w:tc>
          <w:tcPr>
            <w:tcW w:w="380" w:type="pct"/>
            <w:shd w:val="clear" w:color="auto" w:fill="auto"/>
            <w:vAlign w:val="center"/>
          </w:tcPr>
          <w:p w14:paraId="20CABDF4">
            <w:pPr>
              <w:keepNext w:val="0"/>
              <w:keepLines w:val="0"/>
              <w:widowControl/>
              <w:suppressLineNumbers w:val="0"/>
              <w:jc w:val="center"/>
              <w:textAlignment w:val="center"/>
              <w:rPr>
                <w:rFonts w:hint="default" w:ascii="Times New Roman" w:hAnsi="Times New Roman" w:eastAsia="仿宋_GB2312" w:cs="Times New Roman"/>
                <w:color w:val="auto"/>
                <w:kern w:val="0"/>
                <w:szCs w:val="21"/>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0.003</w:t>
            </w:r>
          </w:p>
        </w:tc>
        <w:tc>
          <w:tcPr>
            <w:tcW w:w="445" w:type="pct"/>
            <w:shd w:val="clear" w:color="auto" w:fill="auto"/>
            <w:vAlign w:val="center"/>
          </w:tcPr>
          <w:p w14:paraId="55BB70BA">
            <w:pPr>
              <w:widowControl/>
              <w:jc w:val="center"/>
              <w:textAlignment w:val="center"/>
              <w:rPr>
                <w:rFonts w:hint="eastAsia"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0.002</w:t>
            </w:r>
          </w:p>
        </w:tc>
        <w:tc>
          <w:tcPr>
            <w:tcW w:w="630" w:type="pct"/>
            <w:vMerge w:val="continue"/>
            <w:shd w:val="clear" w:color="auto" w:fill="auto"/>
            <w:vAlign w:val="center"/>
          </w:tcPr>
          <w:p w14:paraId="0DE2EFBB">
            <w:pPr>
              <w:jc w:val="center"/>
              <w:rPr>
                <w:rFonts w:hint="eastAsia" w:eastAsia="仿宋_GB2312"/>
                <w:color w:val="auto"/>
                <w:szCs w:val="21"/>
              </w:rPr>
            </w:pPr>
          </w:p>
        </w:tc>
        <w:tc>
          <w:tcPr>
            <w:tcW w:w="292" w:type="pct"/>
            <w:vMerge w:val="continue"/>
            <w:shd w:val="clear" w:color="auto" w:fill="auto"/>
            <w:vAlign w:val="center"/>
          </w:tcPr>
          <w:p w14:paraId="4442175A">
            <w:pPr>
              <w:jc w:val="center"/>
              <w:rPr>
                <w:rFonts w:hint="eastAsia" w:eastAsia="仿宋_GB2312"/>
                <w:color w:val="auto"/>
              </w:rPr>
            </w:pPr>
          </w:p>
        </w:tc>
      </w:tr>
      <w:tr w14:paraId="2C66E8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0C7693AB">
            <w:pPr>
              <w:jc w:val="center"/>
              <w:rPr>
                <w:rFonts w:eastAsia="仿宋_GB2312"/>
                <w:color w:val="auto"/>
                <w:szCs w:val="21"/>
              </w:rPr>
            </w:pPr>
          </w:p>
        </w:tc>
        <w:tc>
          <w:tcPr>
            <w:tcW w:w="358" w:type="pct"/>
            <w:vMerge w:val="continue"/>
            <w:vAlign w:val="center"/>
          </w:tcPr>
          <w:p w14:paraId="311FBF26">
            <w:pPr>
              <w:jc w:val="center"/>
              <w:rPr>
                <w:rFonts w:eastAsia="仿宋_GB2312"/>
                <w:color w:val="auto"/>
                <w:szCs w:val="21"/>
              </w:rPr>
            </w:pPr>
          </w:p>
        </w:tc>
        <w:tc>
          <w:tcPr>
            <w:tcW w:w="418" w:type="pct"/>
            <w:vMerge w:val="restart"/>
            <w:shd w:val="clear" w:color="auto" w:fill="auto"/>
            <w:vAlign w:val="center"/>
          </w:tcPr>
          <w:p w14:paraId="04880902">
            <w:pPr>
              <w:jc w:val="center"/>
              <w:rPr>
                <w:rFonts w:ascii="Times New Roman" w:hAnsi="Times New Roman" w:eastAsia="仿宋_GB2312" w:cs="Times New Roman"/>
                <w:color w:val="auto"/>
                <w:kern w:val="0"/>
                <w:sz w:val="21"/>
                <w:szCs w:val="21"/>
                <w:lang w:val="en-US" w:eastAsia="zh-CN" w:bidi="ar"/>
              </w:rPr>
            </w:pPr>
            <w:r>
              <w:rPr>
                <w:rFonts w:eastAsia="仿宋_GB2312"/>
                <w:color w:val="auto"/>
                <w:kern w:val="0"/>
                <w:szCs w:val="21"/>
                <w:lang w:bidi="ar"/>
              </w:rPr>
              <w:t>G</w:t>
            </w:r>
            <w:r>
              <w:rPr>
                <w:rFonts w:hint="eastAsia" w:eastAsia="仿宋_GB2312"/>
                <w:color w:val="auto"/>
                <w:kern w:val="0"/>
                <w:szCs w:val="21"/>
                <w:lang w:val="en-US" w:eastAsia="zh-CN" w:bidi="ar"/>
              </w:rPr>
              <w:t>3</w:t>
            </w:r>
            <w:r>
              <w:rPr>
                <w:rFonts w:eastAsia="仿宋_GB2312"/>
                <w:color w:val="auto"/>
                <w:kern w:val="0"/>
                <w:szCs w:val="21"/>
                <w:lang w:bidi="ar"/>
              </w:rPr>
              <w:t>-</w:t>
            </w:r>
            <w:r>
              <w:rPr>
                <w:rFonts w:hint="eastAsia" w:eastAsia="仿宋_GB2312"/>
                <w:color w:val="auto"/>
                <w:kern w:val="0"/>
                <w:szCs w:val="21"/>
                <w:lang w:val="en-US" w:eastAsia="zh-CN" w:bidi="ar"/>
              </w:rPr>
              <w:t>15</w:t>
            </w:r>
            <w:r>
              <w:rPr>
                <w:rFonts w:eastAsia="仿宋_GB2312"/>
                <w:color w:val="auto"/>
                <w:kern w:val="0"/>
                <w:szCs w:val="21"/>
                <w:lang w:bidi="ar"/>
              </w:rPr>
              <w:t>-4</w:t>
            </w:r>
          </w:p>
        </w:tc>
        <w:tc>
          <w:tcPr>
            <w:tcW w:w="446" w:type="pct"/>
            <w:vMerge w:val="restart"/>
            <w:shd w:val="clear" w:color="auto" w:fill="auto"/>
            <w:vAlign w:val="center"/>
          </w:tcPr>
          <w:p w14:paraId="55F747BA">
            <w:pPr>
              <w:jc w:val="center"/>
              <w:rPr>
                <w:rFonts w:ascii="Times New Roman" w:hAnsi="Times New Roman" w:eastAsia="仿宋_GB2312" w:cs="Times New Roman"/>
                <w:color w:val="auto"/>
                <w:kern w:val="0"/>
                <w:sz w:val="21"/>
                <w:szCs w:val="21"/>
                <w:lang w:val="en-US" w:eastAsia="zh-CN" w:bidi="ar"/>
              </w:rPr>
            </w:pPr>
            <w:r>
              <w:rPr>
                <w:rFonts w:eastAsia="仿宋_GB2312"/>
                <w:color w:val="auto"/>
                <w:kern w:val="0"/>
                <w:szCs w:val="21"/>
                <w:lang w:bidi="ar"/>
              </w:rPr>
              <w:t>不凝气</w:t>
            </w:r>
          </w:p>
        </w:tc>
        <w:tc>
          <w:tcPr>
            <w:tcW w:w="361" w:type="pct"/>
            <w:vMerge w:val="restart"/>
            <w:vAlign w:val="center"/>
          </w:tcPr>
          <w:p w14:paraId="6C2FF3A9">
            <w:pPr>
              <w:jc w:val="center"/>
              <w:rPr>
                <w:rFonts w:hint="default" w:eastAsia="仿宋_GB2312"/>
                <w:color w:val="auto"/>
                <w:szCs w:val="21"/>
                <w:lang w:val="en-US" w:eastAsia="zh-CN"/>
              </w:rPr>
            </w:pPr>
            <w:r>
              <w:rPr>
                <w:rFonts w:hint="eastAsia" w:eastAsia="仿宋_GB2312"/>
                <w:color w:val="auto"/>
                <w:szCs w:val="21"/>
                <w:lang w:val="en-US" w:eastAsia="zh-CN"/>
              </w:rPr>
              <w:t>360</w:t>
            </w:r>
          </w:p>
        </w:tc>
        <w:tc>
          <w:tcPr>
            <w:tcW w:w="498" w:type="pct"/>
            <w:vMerge w:val="restart"/>
            <w:shd w:val="clear" w:color="auto" w:fill="auto"/>
            <w:vAlign w:val="center"/>
          </w:tcPr>
          <w:p w14:paraId="6C616D04">
            <w:pPr>
              <w:keepNext w:val="0"/>
              <w:keepLines w:val="0"/>
              <w:widowControl/>
              <w:suppressLineNumbers w:val="0"/>
              <w:jc w:val="center"/>
              <w:textAlignment w:val="bottom"/>
              <w:rPr>
                <w:rFonts w:hint="eastAsia" w:eastAsia="仿宋_GB2312"/>
                <w:color w:val="auto"/>
                <w:kern w:val="0"/>
                <w:szCs w:val="21"/>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532</w:t>
            </w:r>
          </w:p>
        </w:tc>
        <w:tc>
          <w:tcPr>
            <w:tcW w:w="820" w:type="pct"/>
            <w:shd w:val="clear" w:color="auto" w:fill="auto"/>
            <w:vAlign w:val="center"/>
          </w:tcPr>
          <w:p w14:paraId="65817C10">
            <w:pPr>
              <w:widowControl/>
              <w:jc w:val="center"/>
              <w:textAlignment w:val="center"/>
              <w:rPr>
                <w:rFonts w:hint="eastAsia" w:ascii="Times New Roman" w:hAnsi="Times New Roman" w:eastAsia="仿宋_GB2312" w:cs="Times New Roman"/>
                <w:b/>
                <w:bCs/>
                <w:color w:val="auto"/>
                <w:kern w:val="0"/>
                <w:sz w:val="21"/>
                <w:szCs w:val="21"/>
                <w:lang w:val="en-US" w:eastAsia="zh-CN" w:bidi="ar"/>
              </w:rPr>
            </w:pPr>
            <w:r>
              <w:rPr>
                <w:rFonts w:hint="eastAsia" w:eastAsia="仿宋_GB2312"/>
                <w:color w:val="auto"/>
                <w:kern w:val="0"/>
                <w:szCs w:val="21"/>
                <w:lang w:val="en-US" w:eastAsia="zh-CN" w:bidi="ar"/>
              </w:rPr>
              <w:t>丙二醇甲醚醋酸酯</w:t>
            </w:r>
          </w:p>
        </w:tc>
        <w:tc>
          <w:tcPr>
            <w:tcW w:w="380" w:type="pct"/>
            <w:shd w:val="clear" w:color="auto" w:fill="auto"/>
            <w:vAlign w:val="center"/>
          </w:tcPr>
          <w:p w14:paraId="4BEB6E8F">
            <w:pPr>
              <w:keepNext w:val="0"/>
              <w:keepLines w:val="0"/>
              <w:widowControl/>
              <w:suppressLineNumbers w:val="0"/>
              <w:jc w:val="center"/>
              <w:textAlignment w:val="center"/>
              <w:rPr>
                <w:rFonts w:hint="default" w:ascii="Times New Roman" w:hAnsi="Times New Roman" w:eastAsia="仿宋_GB2312" w:cs="Times New Roman"/>
                <w:color w:val="auto"/>
                <w:kern w:val="0"/>
                <w:szCs w:val="21"/>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31.186</w:t>
            </w:r>
          </w:p>
        </w:tc>
        <w:tc>
          <w:tcPr>
            <w:tcW w:w="445" w:type="pct"/>
            <w:shd w:val="clear" w:color="auto" w:fill="auto"/>
            <w:vAlign w:val="center"/>
          </w:tcPr>
          <w:p w14:paraId="2EC953DD">
            <w:pPr>
              <w:widowControl/>
              <w:jc w:val="center"/>
              <w:textAlignment w:val="center"/>
              <w:rPr>
                <w:rFonts w:hint="eastAsia"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16.591</w:t>
            </w:r>
          </w:p>
        </w:tc>
        <w:tc>
          <w:tcPr>
            <w:tcW w:w="630" w:type="pct"/>
            <w:vMerge w:val="continue"/>
            <w:shd w:val="clear" w:color="auto" w:fill="auto"/>
            <w:vAlign w:val="center"/>
          </w:tcPr>
          <w:p w14:paraId="70EB0E36">
            <w:pPr>
              <w:jc w:val="center"/>
              <w:rPr>
                <w:rFonts w:hint="eastAsia" w:eastAsia="仿宋_GB2312"/>
                <w:color w:val="auto"/>
                <w:szCs w:val="21"/>
              </w:rPr>
            </w:pPr>
          </w:p>
        </w:tc>
        <w:tc>
          <w:tcPr>
            <w:tcW w:w="292" w:type="pct"/>
            <w:vMerge w:val="continue"/>
            <w:shd w:val="clear" w:color="auto" w:fill="auto"/>
            <w:vAlign w:val="center"/>
          </w:tcPr>
          <w:p w14:paraId="01F61323">
            <w:pPr>
              <w:jc w:val="center"/>
              <w:rPr>
                <w:rFonts w:hint="eastAsia" w:eastAsia="仿宋_GB2312"/>
                <w:color w:val="auto"/>
              </w:rPr>
            </w:pPr>
          </w:p>
        </w:tc>
      </w:tr>
      <w:tr w14:paraId="7E21368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125648DE">
            <w:pPr>
              <w:jc w:val="center"/>
              <w:rPr>
                <w:rFonts w:eastAsia="仿宋_GB2312"/>
                <w:color w:val="auto"/>
                <w:szCs w:val="21"/>
              </w:rPr>
            </w:pPr>
          </w:p>
        </w:tc>
        <w:tc>
          <w:tcPr>
            <w:tcW w:w="358" w:type="pct"/>
            <w:vMerge w:val="continue"/>
            <w:vAlign w:val="center"/>
          </w:tcPr>
          <w:p w14:paraId="7EB1115B">
            <w:pPr>
              <w:jc w:val="center"/>
              <w:rPr>
                <w:rFonts w:eastAsia="仿宋_GB2312"/>
                <w:color w:val="auto"/>
                <w:szCs w:val="21"/>
              </w:rPr>
            </w:pPr>
          </w:p>
        </w:tc>
        <w:tc>
          <w:tcPr>
            <w:tcW w:w="418" w:type="pct"/>
            <w:vMerge w:val="continue"/>
            <w:shd w:val="clear" w:color="auto" w:fill="auto"/>
            <w:vAlign w:val="center"/>
          </w:tcPr>
          <w:p w14:paraId="20BAE9F6">
            <w:pPr>
              <w:jc w:val="center"/>
              <w:rPr>
                <w:rFonts w:eastAsia="仿宋_GB2312"/>
                <w:color w:val="auto"/>
                <w:kern w:val="0"/>
                <w:szCs w:val="21"/>
                <w:lang w:bidi="ar"/>
              </w:rPr>
            </w:pPr>
          </w:p>
        </w:tc>
        <w:tc>
          <w:tcPr>
            <w:tcW w:w="446" w:type="pct"/>
            <w:vMerge w:val="continue"/>
            <w:shd w:val="clear" w:color="auto" w:fill="auto"/>
            <w:vAlign w:val="center"/>
          </w:tcPr>
          <w:p w14:paraId="4997480F">
            <w:pPr>
              <w:jc w:val="center"/>
              <w:rPr>
                <w:rFonts w:eastAsia="仿宋_GB2312"/>
                <w:color w:val="auto"/>
                <w:kern w:val="0"/>
                <w:szCs w:val="21"/>
                <w:lang w:bidi="ar"/>
              </w:rPr>
            </w:pPr>
          </w:p>
        </w:tc>
        <w:tc>
          <w:tcPr>
            <w:tcW w:w="361" w:type="pct"/>
            <w:vMerge w:val="continue"/>
            <w:vAlign w:val="center"/>
          </w:tcPr>
          <w:p w14:paraId="41730286">
            <w:pPr>
              <w:jc w:val="center"/>
              <w:rPr>
                <w:rFonts w:hint="eastAsia" w:eastAsia="仿宋_GB2312"/>
                <w:color w:val="auto"/>
                <w:szCs w:val="21"/>
                <w:lang w:val="en-US" w:eastAsia="zh-CN"/>
              </w:rPr>
            </w:pPr>
          </w:p>
        </w:tc>
        <w:tc>
          <w:tcPr>
            <w:tcW w:w="498" w:type="pct"/>
            <w:vMerge w:val="continue"/>
            <w:shd w:val="clear" w:color="auto" w:fill="auto"/>
            <w:vAlign w:val="center"/>
          </w:tcPr>
          <w:p w14:paraId="1D02272B">
            <w:pPr>
              <w:keepNext w:val="0"/>
              <w:keepLines w:val="0"/>
              <w:widowControl/>
              <w:suppressLineNumbers w:val="0"/>
              <w:jc w:val="center"/>
              <w:textAlignment w:val="bottom"/>
              <w:rPr>
                <w:rFonts w:hint="eastAsia" w:eastAsia="仿宋_GB2312"/>
                <w:color w:val="auto"/>
                <w:kern w:val="0"/>
                <w:szCs w:val="21"/>
                <w:lang w:val="en-US" w:eastAsia="zh-CN" w:bidi="ar"/>
              </w:rPr>
            </w:pPr>
          </w:p>
        </w:tc>
        <w:tc>
          <w:tcPr>
            <w:tcW w:w="820" w:type="pct"/>
            <w:shd w:val="clear" w:color="auto" w:fill="auto"/>
            <w:vAlign w:val="center"/>
          </w:tcPr>
          <w:p w14:paraId="2D213A7C">
            <w:pPr>
              <w:widowControl/>
              <w:jc w:val="center"/>
              <w:textAlignment w:val="center"/>
              <w:rPr>
                <w:rFonts w:hint="eastAsia"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2-甲氧基-1-丙醇乙酸酯</w:t>
            </w:r>
          </w:p>
        </w:tc>
        <w:tc>
          <w:tcPr>
            <w:tcW w:w="380" w:type="pct"/>
            <w:shd w:val="clear" w:color="auto" w:fill="auto"/>
            <w:vAlign w:val="center"/>
          </w:tcPr>
          <w:p w14:paraId="1F842BB2">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0.075</w:t>
            </w:r>
          </w:p>
        </w:tc>
        <w:tc>
          <w:tcPr>
            <w:tcW w:w="445" w:type="pct"/>
            <w:shd w:val="clear" w:color="auto" w:fill="auto"/>
            <w:vAlign w:val="center"/>
          </w:tcPr>
          <w:p w14:paraId="7C77C7AD">
            <w:pPr>
              <w:widowControl/>
              <w:jc w:val="center"/>
              <w:textAlignment w:val="center"/>
              <w:rPr>
                <w:rFonts w:hint="eastAsia"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0.04</w:t>
            </w:r>
          </w:p>
        </w:tc>
        <w:tc>
          <w:tcPr>
            <w:tcW w:w="630" w:type="pct"/>
            <w:vMerge w:val="continue"/>
            <w:shd w:val="clear" w:color="auto" w:fill="auto"/>
            <w:vAlign w:val="center"/>
          </w:tcPr>
          <w:p w14:paraId="19960273">
            <w:pPr>
              <w:jc w:val="center"/>
              <w:rPr>
                <w:rFonts w:hint="eastAsia" w:eastAsia="仿宋_GB2312"/>
                <w:color w:val="auto"/>
                <w:szCs w:val="21"/>
              </w:rPr>
            </w:pPr>
          </w:p>
        </w:tc>
        <w:tc>
          <w:tcPr>
            <w:tcW w:w="292" w:type="pct"/>
            <w:vMerge w:val="continue"/>
            <w:shd w:val="clear" w:color="auto" w:fill="auto"/>
            <w:vAlign w:val="center"/>
          </w:tcPr>
          <w:p w14:paraId="5E1553A2">
            <w:pPr>
              <w:jc w:val="center"/>
              <w:rPr>
                <w:rFonts w:hint="eastAsia" w:eastAsia="仿宋_GB2312"/>
                <w:color w:val="auto"/>
              </w:rPr>
            </w:pPr>
          </w:p>
        </w:tc>
      </w:tr>
      <w:tr w14:paraId="3DF910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27152981">
            <w:pPr>
              <w:jc w:val="center"/>
              <w:rPr>
                <w:rFonts w:eastAsia="仿宋_GB2312"/>
                <w:color w:val="auto"/>
                <w:szCs w:val="21"/>
              </w:rPr>
            </w:pPr>
          </w:p>
        </w:tc>
        <w:tc>
          <w:tcPr>
            <w:tcW w:w="358" w:type="pct"/>
            <w:vMerge w:val="continue"/>
            <w:vAlign w:val="center"/>
          </w:tcPr>
          <w:p w14:paraId="4C6FCC20">
            <w:pPr>
              <w:jc w:val="center"/>
              <w:rPr>
                <w:rFonts w:eastAsia="仿宋_GB2312"/>
                <w:color w:val="auto"/>
                <w:szCs w:val="21"/>
              </w:rPr>
            </w:pPr>
          </w:p>
        </w:tc>
        <w:tc>
          <w:tcPr>
            <w:tcW w:w="418" w:type="pct"/>
            <w:vMerge w:val="continue"/>
            <w:shd w:val="clear" w:color="auto" w:fill="auto"/>
            <w:vAlign w:val="center"/>
          </w:tcPr>
          <w:p w14:paraId="42E44678">
            <w:pPr>
              <w:jc w:val="center"/>
              <w:rPr>
                <w:rFonts w:eastAsia="仿宋_GB2312"/>
                <w:color w:val="auto"/>
                <w:kern w:val="0"/>
                <w:szCs w:val="21"/>
                <w:lang w:bidi="ar"/>
              </w:rPr>
            </w:pPr>
          </w:p>
        </w:tc>
        <w:tc>
          <w:tcPr>
            <w:tcW w:w="446" w:type="pct"/>
            <w:vMerge w:val="continue"/>
            <w:shd w:val="clear" w:color="auto" w:fill="auto"/>
            <w:vAlign w:val="center"/>
          </w:tcPr>
          <w:p w14:paraId="5B68F76D">
            <w:pPr>
              <w:jc w:val="center"/>
              <w:rPr>
                <w:rFonts w:eastAsia="仿宋_GB2312"/>
                <w:color w:val="auto"/>
                <w:kern w:val="0"/>
                <w:szCs w:val="21"/>
                <w:lang w:bidi="ar"/>
              </w:rPr>
            </w:pPr>
          </w:p>
        </w:tc>
        <w:tc>
          <w:tcPr>
            <w:tcW w:w="361" w:type="pct"/>
            <w:vMerge w:val="continue"/>
            <w:vAlign w:val="center"/>
          </w:tcPr>
          <w:p w14:paraId="289AB547">
            <w:pPr>
              <w:jc w:val="center"/>
              <w:rPr>
                <w:rFonts w:hint="eastAsia" w:eastAsia="仿宋_GB2312"/>
                <w:color w:val="auto"/>
                <w:szCs w:val="21"/>
                <w:lang w:val="en-US" w:eastAsia="zh-CN"/>
              </w:rPr>
            </w:pPr>
          </w:p>
        </w:tc>
        <w:tc>
          <w:tcPr>
            <w:tcW w:w="498" w:type="pct"/>
            <w:vMerge w:val="continue"/>
            <w:shd w:val="clear" w:color="auto" w:fill="auto"/>
            <w:vAlign w:val="center"/>
          </w:tcPr>
          <w:p w14:paraId="0B8EA766">
            <w:pPr>
              <w:keepNext w:val="0"/>
              <w:keepLines w:val="0"/>
              <w:widowControl/>
              <w:suppressLineNumbers w:val="0"/>
              <w:jc w:val="center"/>
              <w:textAlignment w:val="bottom"/>
              <w:rPr>
                <w:rFonts w:eastAsia="仿宋_GB2312"/>
                <w:color w:val="auto"/>
                <w:kern w:val="0"/>
                <w:szCs w:val="21"/>
                <w:lang w:bidi="ar"/>
              </w:rPr>
            </w:pPr>
          </w:p>
        </w:tc>
        <w:tc>
          <w:tcPr>
            <w:tcW w:w="820" w:type="pct"/>
            <w:shd w:val="clear" w:color="auto" w:fill="auto"/>
            <w:vAlign w:val="center"/>
          </w:tcPr>
          <w:p w14:paraId="663614C7">
            <w:pPr>
              <w:widowControl/>
              <w:jc w:val="center"/>
              <w:textAlignment w:val="center"/>
              <w:rPr>
                <w:rFonts w:hint="eastAsia" w:ascii="Times New Roman" w:hAnsi="Times New Roman" w:eastAsia="仿宋_GB2312" w:cs="Times New Roman"/>
                <w:b/>
                <w:bCs/>
                <w:color w:val="auto"/>
                <w:kern w:val="0"/>
                <w:sz w:val="21"/>
                <w:szCs w:val="21"/>
                <w:lang w:val="en-US" w:eastAsia="zh-CN" w:bidi="ar"/>
              </w:rPr>
            </w:pPr>
            <w:r>
              <w:rPr>
                <w:rFonts w:eastAsia="仿宋_GB2312"/>
                <w:color w:val="auto"/>
                <w:kern w:val="0"/>
                <w:szCs w:val="21"/>
                <w:lang w:bidi="ar"/>
              </w:rPr>
              <w:t>其他有机物</w:t>
            </w:r>
          </w:p>
        </w:tc>
        <w:tc>
          <w:tcPr>
            <w:tcW w:w="380" w:type="pct"/>
            <w:shd w:val="clear" w:color="auto" w:fill="auto"/>
            <w:vAlign w:val="center"/>
          </w:tcPr>
          <w:p w14:paraId="3DBBC407">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0.2</w:t>
            </w:r>
          </w:p>
        </w:tc>
        <w:tc>
          <w:tcPr>
            <w:tcW w:w="445" w:type="pct"/>
            <w:shd w:val="clear" w:color="auto" w:fill="auto"/>
            <w:vAlign w:val="center"/>
          </w:tcPr>
          <w:p w14:paraId="3509F660">
            <w:pPr>
              <w:widowControl/>
              <w:jc w:val="center"/>
              <w:textAlignment w:val="center"/>
              <w:rPr>
                <w:rFonts w:hint="eastAsia"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0.109</w:t>
            </w:r>
          </w:p>
        </w:tc>
        <w:tc>
          <w:tcPr>
            <w:tcW w:w="630" w:type="pct"/>
            <w:vMerge w:val="continue"/>
            <w:shd w:val="clear" w:color="auto" w:fill="auto"/>
            <w:vAlign w:val="center"/>
          </w:tcPr>
          <w:p w14:paraId="743906E8">
            <w:pPr>
              <w:jc w:val="center"/>
              <w:rPr>
                <w:rFonts w:hint="eastAsia" w:eastAsia="仿宋_GB2312"/>
                <w:color w:val="auto"/>
                <w:szCs w:val="21"/>
              </w:rPr>
            </w:pPr>
          </w:p>
        </w:tc>
        <w:tc>
          <w:tcPr>
            <w:tcW w:w="292" w:type="pct"/>
            <w:vMerge w:val="continue"/>
            <w:shd w:val="clear" w:color="auto" w:fill="auto"/>
            <w:vAlign w:val="center"/>
          </w:tcPr>
          <w:p w14:paraId="1E0F6604">
            <w:pPr>
              <w:jc w:val="center"/>
              <w:rPr>
                <w:rFonts w:hint="eastAsia" w:eastAsia="仿宋_GB2312"/>
                <w:color w:val="auto"/>
              </w:rPr>
            </w:pPr>
          </w:p>
        </w:tc>
      </w:tr>
      <w:tr w14:paraId="1BF84F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0DC71C54">
            <w:pPr>
              <w:jc w:val="center"/>
              <w:rPr>
                <w:rFonts w:eastAsia="仿宋_GB2312"/>
                <w:color w:val="auto"/>
                <w:szCs w:val="21"/>
              </w:rPr>
            </w:pPr>
          </w:p>
        </w:tc>
        <w:tc>
          <w:tcPr>
            <w:tcW w:w="358" w:type="pct"/>
            <w:vMerge w:val="continue"/>
            <w:vAlign w:val="center"/>
          </w:tcPr>
          <w:p w14:paraId="78F838CB">
            <w:pPr>
              <w:jc w:val="center"/>
              <w:rPr>
                <w:rFonts w:eastAsia="仿宋_GB2312"/>
                <w:color w:val="auto"/>
                <w:szCs w:val="21"/>
              </w:rPr>
            </w:pPr>
          </w:p>
        </w:tc>
        <w:tc>
          <w:tcPr>
            <w:tcW w:w="418" w:type="pct"/>
            <w:vMerge w:val="restart"/>
            <w:shd w:val="clear" w:color="auto" w:fill="auto"/>
            <w:vAlign w:val="center"/>
          </w:tcPr>
          <w:p w14:paraId="3C7D4207">
            <w:pPr>
              <w:jc w:val="center"/>
              <w:rPr>
                <w:rFonts w:ascii="Times New Roman" w:hAnsi="Times New Roman" w:eastAsia="仿宋_GB2312" w:cs="Times New Roman"/>
                <w:color w:val="auto"/>
                <w:kern w:val="2"/>
                <w:sz w:val="21"/>
                <w:szCs w:val="21"/>
                <w:lang w:val="en-US" w:eastAsia="zh-CN" w:bidi="ar-SA"/>
              </w:rPr>
            </w:pPr>
            <w:r>
              <w:rPr>
                <w:rFonts w:eastAsia="仿宋_GB2312"/>
                <w:color w:val="auto"/>
                <w:kern w:val="0"/>
                <w:szCs w:val="21"/>
                <w:lang w:bidi="ar"/>
              </w:rPr>
              <w:t>G</w:t>
            </w:r>
            <w:r>
              <w:rPr>
                <w:rFonts w:hint="eastAsia" w:eastAsia="仿宋_GB2312"/>
                <w:color w:val="auto"/>
                <w:kern w:val="0"/>
                <w:szCs w:val="21"/>
                <w:lang w:val="en-US" w:eastAsia="zh-CN" w:bidi="ar"/>
              </w:rPr>
              <w:t>3</w:t>
            </w:r>
            <w:r>
              <w:rPr>
                <w:rFonts w:eastAsia="仿宋_GB2312"/>
                <w:color w:val="auto"/>
                <w:kern w:val="0"/>
                <w:szCs w:val="21"/>
                <w:lang w:bidi="ar"/>
              </w:rPr>
              <w:t>-</w:t>
            </w:r>
            <w:r>
              <w:rPr>
                <w:rFonts w:hint="eastAsia" w:eastAsia="仿宋_GB2312"/>
                <w:color w:val="auto"/>
                <w:kern w:val="0"/>
                <w:szCs w:val="21"/>
                <w:lang w:val="en-US" w:eastAsia="zh-CN" w:bidi="ar"/>
              </w:rPr>
              <w:t>15</w:t>
            </w:r>
            <w:r>
              <w:rPr>
                <w:rFonts w:eastAsia="仿宋_GB2312"/>
                <w:color w:val="auto"/>
                <w:kern w:val="0"/>
                <w:szCs w:val="21"/>
                <w:lang w:bidi="ar"/>
              </w:rPr>
              <w:t>-5</w:t>
            </w:r>
          </w:p>
        </w:tc>
        <w:tc>
          <w:tcPr>
            <w:tcW w:w="446" w:type="pct"/>
            <w:vMerge w:val="restart"/>
            <w:shd w:val="clear" w:color="auto" w:fill="auto"/>
            <w:vAlign w:val="center"/>
          </w:tcPr>
          <w:p w14:paraId="266E0091">
            <w:pPr>
              <w:jc w:val="center"/>
              <w:rPr>
                <w:rFonts w:ascii="Times New Roman" w:hAnsi="Times New Roman" w:eastAsia="仿宋_GB2312" w:cs="Times New Roman"/>
                <w:color w:val="auto"/>
                <w:kern w:val="2"/>
                <w:sz w:val="21"/>
                <w:szCs w:val="21"/>
                <w:lang w:val="en-US" w:eastAsia="zh-CN" w:bidi="ar-SA"/>
              </w:rPr>
            </w:pPr>
            <w:r>
              <w:rPr>
                <w:rFonts w:eastAsia="仿宋_GB2312"/>
                <w:color w:val="auto"/>
                <w:kern w:val="0"/>
                <w:szCs w:val="21"/>
                <w:lang w:bidi="ar"/>
              </w:rPr>
              <w:t>灌装废气</w:t>
            </w:r>
          </w:p>
        </w:tc>
        <w:tc>
          <w:tcPr>
            <w:tcW w:w="361" w:type="pct"/>
            <w:vMerge w:val="restart"/>
            <w:vAlign w:val="center"/>
          </w:tcPr>
          <w:p w14:paraId="7751B317">
            <w:pPr>
              <w:jc w:val="center"/>
              <w:rPr>
                <w:rFonts w:hint="default" w:eastAsia="仿宋_GB2312"/>
                <w:color w:val="auto"/>
                <w:szCs w:val="21"/>
                <w:lang w:val="en-US" w:eastAsia="zh-CN"/>
              </w:rPr>
            </w:pPr>
            <w:r>
              <w:rPr>
                <w:rFonts w:hint="eastAsia" w:eastAsia="仿宋_GB2312"/>
                <w:color w:val="auto"/>
                <w:szCs w:val="21"/>
                <w:lang w:val="en-US" w:eastAsia="zh-CN"/>
              </w:rPr>
              <w:t>2000</w:t>
            </w:r>
          </w:p>
        </w:tc>
        <w:tc>
          <w:tcPr>
            <w:tcW w:w="498" w:type="pct"/>
            <w:vMerge w:val="restart"/>
            <w:shd w:val="clear" w:color="auto" w:fill="auto"/>
            <w:vAlign w:val="center"/>
          </w:tcPr>
          <w:p w14:paraId="388CA96C">
            <w:pPr>
              <w:keepNext w:val="0"/>
              <w:keepLines w:val="0"/>
              <w:widowControl/>
              <w:suppressLineNumbers w:val="0"/>
              <w:jc w:val="center"/>
              <w:textAlignment w:val="bottom"/>
              <w:rPr>
                <w:rFonts w:hint="eastAsia" w:eastAsia="仿宋_GB2312"/>
                <w:color w:val="auto"/>
                <w:kern w:val="0"/>
                <w:szCs w:val="21"/>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532</w:t>
            </w:r>
          </w:p>
        </w:tc>
        <w:tc>
          <w:tcPr>
            <w:tcW w:w="820" w:type="pct"/>
            <w:shd w:val="clear" w:color="auto" w:fill="auto"/>
            <w:vAlign w:val="center"/>
          </w:tcPr>
          <w:p w14:paraId="72568C7A">
            <w:pPr>
              <w:widowControl/>
              <w:jc w:val="center"/>
              <w:textAlignment w:val="center"/>
              <w:rPr>
                <w:rFonts w:hint="eastAsia" w:ascii="Times New Roman" w:hAnsi="Times New Roman" w:eastAsia="仿宋_GB2312" w:cs="Times New Roman"/>
                <w:b/>
                <w:bCs/>
                <w:color w:val="auto"/>
                <w:kern w:val="0"/>
                <w:sz w:val="21"/>
                <w:szCs w:val="21"/>
                <w:lang w:val="en-US" w:eastAsia="zh-CN" w:bidi="ar"/>
              </w:rPr>
            </w:pPr>
            <w:r>
              <w:rPr>
                <w:rFonts w:hint="eastAsia" w:eastAsia="仿宋_GB2312"/>
                <w:color w:val="auto"/>
                <w:kern w:val="0"/>
                <w:szCs w:val="21"/>
                <w:lang w:val="en-US" w:eastAsia="zh-CN" w:bidi="ar"/>
              </w:rPr>
              <w:t>丙二醇甲醚醋酸酯</w:t>
            </w:r>
          </w:p>
        </w:tc>
        <w:tc>
          <w:tcPr>
            <w:tcW w:w="380" w:type="pct"/>
            <w:shd w:val="clear" w:color="auto" w:fill="auto"/>
            <w:vAlign w:val="center"/>
          </w:tcPr>
          <w:p w14:paraId="2621400D">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2.29</w:t>
            </w:r>
          </w:p>
        </w:tc>
        <w:tc>
          <w:tcPr>
            <w:tcW w:w="445" w:type="pct"/>
            <w:shd w:val="clear" w:color="auto" w:fill="auto"/>
            <w:vAlign w:val="center"/>
          </w:tcPr>
          <w:p w14:paraId="46D6FC5E">
            <w:pPr>
              <w:widowControl/>
              <w:jc w:val="center"/>
              <w:textAlignment w:val="center"/>
              <w:rPr>
                <w:rFonts w:hint="eastAsia" w:ascii="Times New Roman" w:hAnsi="Times New Roman" w:eastAsia="仿宋_GB2312" w:cs="Times New Roman"/>
                <w:color w:val="auto"/>
                <w:kern w:val="0"/>
                <w:sz w:val="21"/>
                <w:szCs w:val="21"/>
                <w:lang w:val="en-US" w:eastAsia="zh-CN" w:bidi="ar"/>
              </w:rPr>
            </w:pPr>
            <w:r>
              <w:rPr>
                <w:rFonts w:hint="eastAsia" w:ascii="Times New Roman" w:hAnsi="Times New Roman" w:eastAsia="仿宋_GB2312" w:cs="Times New Roman"/>
                <w:color w:val="auto"/>
                <w:kern w:val="0"/>
                <w:szCs w:val="21"/>
                <w:lang w:val="en-US" w:eastAsia="zh-CN" w:bidi="ar"/>
              </w:rPr>
              <w:t>1.219</w:t>
            </w:r>
          </w:p>
        </w:tc>
        <w:tc>
          <w:tcPr>
            <w:tcW w:w="630" w:type="pct"/>
            <w:vMerge w:val="restart"/>
            <w:shd w:val="clear" w:color="auto" w:fill="auto"/>
            <w:vAlign w:val="center"/>
          </w:tcPr>
          <w:p w14:paraId="111FA0FB">
            <w:pPr>
              <w:jc w:val="center"/>
              <w:rPr>
                <w:rFonts w:hint="eastAsia" w:ascii="Times New Roman" w:hAnsi="Times New Roman" w:eastAsia="仿宋_GB2312" w:cs="Times New Roman"/>
                <w:color w:val="auto"/>
                <w:kern w:val="2"/>
                <w:sz w:val="21"/>
                <w:szCs w:val="21"/>
                <w:lang w:val="en-US" w:eastAsia="zh-CN" w:bidi="ar-SA"/>
              </w:rPr>
            </w:pPr>
            <w:r>
              <w:rPr>
                <w:rFonts w:hint="eastAsia" w:eastAsia="仿宋_GB2312"/>
                <w:color w:val="auto"/>
                <w:szCs w:val="21"/>
              </w:rPr>
              <w:t>冷凝+酸吸收+碱吸收+水洗+活性炭吸附/脱附</w:t>
            </w:r>
          </w:p>
        </w:tc>
        <w:tc>
          <w:tcPr>
            <w:tcW w:w="292" w:type="pct"/>
            <w:vMerge w:val="restart"/>
            <w:shd w:val="clear" w:color="auto" w:fill="auto"/>
            <w:vAlign w:val="center"/>
          </w:tcPr>
          <w:p w14:paraId="3405FFD9">
            <w:pPr>
              <w:jc w:val="center"/>
              <w:rPr>
                <w:rFonts w:hint="eastAsia" w:ascii="Times New Roman" w:hAnsi="Times New Roman" w:eastAsia="仿宋_GB2312" w:cs="Times New Roman"/>
                <w:color w:val="auto"/>
                <w:kern w:val="2"/>
                <w:sz w:val="21"/>
                <w:szCs w:val="21"/>
                <w:lang w:val="en-US" w:eastAsia="zh-CN" w:bidi="ar-SA"/>
              </w:rPr>
            </w:pPr>
            <w:r>
              <w:rPr>
                <w:rFonts w:hint="eastAsia" w:eastAsia="仿宋_GB2312"/>
                <w:color w:val="auto"/>
              </w:rPr>
              <w:t>DA005</w:t>
            </w:r>
          </w:p>
        </w:tc>
      </w:tr>
      <w:tr w14:paraId="00F042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3074D889">
            <w:pPr>
              <w:jc w:val="center"/>
              <w:rPr>
                <w:rFonts w:eastAsia="仿宋_GB2312"/>
                <w:color w:val="auto"/>
                <w:szCs w:val="21"/>
              </w:rPr>
            </w:pPr>
          </w:p>
        </w:tc>
        <w:tc>
          <w:tcPr>
            <w:tcW w:w="358" w:type="pct"/>
            <w:vMerge w:val="continue"/>
            <w:vAlign w:val="center"/>
          </w:tcPr>
          <w:p w14:paraId="4438E857">
            <w:pPr>
              <w:jc w:val="center"/>
              <w:rPr>
                <w:rFonts w:eastAsia="仿宋_GB2312"/>
                <w:color w:val="auto"/>
                <w:szCs w:val="21"/>
              </w:rPr>
            </w:pPr>
          </w:p>
        </w:tc>
        <w:tc>
          <w:tcPr>
            <w:tcW w:w="418" w:type="pct"/>
            <w:vMerge w:val="continue"/>
            <w:shd w:val="clear" w:color="auto" w:fill="auto"/>
            <w:vAlign w:val="center"/>
          </w:tcPr>
          <w:p w14:paraId="497A3F73">
            <w:pPr>
              <w:jc w:val="center"/>
              <w:rPr>
                <w:rFonts w:eastAsia="仿宋_GB2312"/>
                <w:color w:val="auto"/>
                <w:kern w:val="0"/>
                <w:szCs w:val="21"/>
                <w:lang w:bidi="ar"/>
              </w:rPr>
            </w:pPr>
          </w:p>
        </w:tc>
        <w:tc>
          <w:tcPr>
            <w:tcW w:w="446" w:type="pct"/>
            <w:vMerge w:val="continue"/>
            <w:shd w:val="clear" w:color="auto" w:fill="auto"/>
            <w:vAlign w:val="center"/>
          </w:tcPr>
          <w:p w14:paraId="08C716E4">
            <w:pPr>
              <w:jc w:val="center"/>
              <w:rPr>
                <w:rFonts w:eastAsia="仿宋_GB2312"/>
                <w:color w:val="auto"/>
                <w:kern w:val="0"/>
                <w:szCs w:val="21"/>
                <w:lang w:bidi="ar"/>
              </w:rPr>
            </w:pPr>
          </w:p>
        </w:tc>
        <w:tc>
          <w:tcPr>
            <w:tcW w:w="361" w:type="pct"/>
            <w:vMerge w:val="continue"/>
            <w:vAlign w:val="center"/>
          </w:tcPr>
          <w:p w14:paraId="2E480A19">
            <w:pPr>
              <w:jc w:val="center"/>
              <w:rPr>
                <w:rFonts w:hint="eastAsia" w:eastAsia="仿宋_GB2312"/>
                <w:color w:val="auto"/>
                <w:szCs w:val="21"/>
                <w:lang w:val="en-US" w:eastAsia="zh-CN"/>
              </w:rPr>
            </w:pPr>
          </w:p>
        </w:tc>
        <w:tc>
          <w:tcPr>
            <w:tcW w:w="498" w:type="pct"/>
            <w:vMerge w:val="continue"/>
            <w:shd w:val="clear" w:color="auto" w:fill="auto"/>
            <w:vAlign w:val="center"/>
          </w:tcPr>
          <w:p w14:paraId="163573CC">
            <w:pPr>
              <w:keepNext w:val="0"/>
              <w:keepLines w:val="0"/>
              <w:widowControl/>
              <w:suppressLineNumbers w:val="0"/>
              <w:jc w:val="center"/>
              <w:textAlignment w:val="bottom"/>
              <w:rPr>
                <w:rFonts w:hint="eastAsia" w:eastAsia="仿宋_GB2312"/>
                <w:color w:val="auto"/>
                <w:kern w:val="0"/>
                <w:szCs w:val="21"/>
                <w:lang w:val="en-US" w:eastAsia="zh-CN" w:bidi="ar"/>
              </w:rPr>
            </w:pPr>
          </w:p>
        </w:tc>
        <w:tc>
          <w:tcPr>
            <w:tcW w:w="820" w:type="pct"/>
            <w:shd w:val="clear" w:color="auto" w:fill="auto"/>
            <w:vAlign w:val="center"/>
          </w:tcPr>
          <w:p w14:paraId="78E4ECF8">
            <w:pPr>
              <w:widowControl/>
              <w:jc w:val="center"/>
              <w:textAlignment w:val="center"/>
              <w:rPr>
                <w:rFonts w:hint="eastAsia"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2-甲氧基-1-丙醇乙酸酯</w:t>
            </w:r>
          </w:p>
        </w:tc>
        <w:tc>
          <w:tcPr>
            <w:tcW w:w="380" w:type="pct"/>
            <w:shd w:val="clear" w:color="auto" w:fill="auto"/>
            <w:vAlign w:val="center"/>
          </w:tcPr>
          <w:p w14:paraId="465C1C1C">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0.005</w:t>
            </w:r>
          </w:p>
        </w:tc>
        <w:tc>
          <w:tcPr>
            <w:tcW w:w="445" w:type="pct"/>
            <w:shd w:val="clear" w:color="auto" w:fill="auto"/>
            <w:vAlign w:val="center"/>
          </w:tcPr>
          <w:p w14:paraId="247A08A7">
            <w:pPr>
              <w:widowControl/>
              <w:jc w:val="center"/>
              <w:textAlignment w:val="center"/>
              <w:rPr>
                <w:rFonts w:hint="eastAsia" w:ascii="Times New Roman" w:hAnsi="Times New Roman" w:eastAsia="仿宋_GB2312" w:cs="Times New Roman"/>
                <w:color w:val="auto"/>
                <w:kern w:val="0"/>
                <w:sz w:val="21"/>
                <w:szCs w:val="21"/>
                <w:lang w:val="en-US" w:eastAsia="zh-CN" w:bidi="ar"/>
              </w:rPr>
            </w:pPr>
            <w:r>
              <w:rPr>
                <w:rFonts w:hint="eastAsia" w:ascii="Times New Roman" w:hAnsi="Times New Roman" w:eastAsia="仿宋_GB2312" w:cs="Times New Roman"/>
                <w:color w:val="auto"/>
                <w:kern w:val="0"/>
                <w:szCs w:val="21"/>
                <w:lang w:val="en-US" w:eastAsia="zh-CN" w:bidi="ar"/>
              </w:rPr>
              <w:t>0.00297</w:t>
            </w:r>
          </w:p>
        </w:tc>
        <w:tc>
          <w:tcPr>
            <w:tcW w:w="630" w:type="pct"/>
            <w:vMerge w:val="continue"/>
            <w:shd w:val="clear" w:color="auto" w:fill="auto"/>
            <w:vAlign w:val="center"/>
          </w:tcPr>
          <w:p w14:paraId="0D98A47D">
            <w:pPr>
              <w:jc w:val="center"/>
              <w:rPr>
                <w:rFonts w:hint="eastAsia" w:eastAsia="仿宋_GB2312"/>
                <w:color w:val="auto"/>
                <w:szCs w:val="21"/>
              </w:rPr>
            </w:pPr>
          </w:p>
        </w:tc>
        <w:tc>
          <w:tcPr>
            <w:tcW w:w="292" w:type="pct"/>
            <w:vMerge w:val="continue"/>
            <w:shd w:val="clear" w:color="auto" w:fill="auto"/>
            <w:vAlign w:val="center"/>
          </w:tcPr>
          <w:p w14:paraId="75533F59">
            <w:pPr>
              <w:jc w:val="center"/>
              <w:rPr>
                <w:rFonts w:hint="eastAsia" w:eastAsia="仿宋_GB2312"/>
                <w:color w:val="auto"/>
              </w:rPr>
            </w:pPr>
          </w:p>
        </w:tc>
      </w:tr>
      <w:tr w14:paraId="7A8BC7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restart"/>
            <w:shd w:val="clear" w:color="auto" w:fill="auto"/>
            <w:vAlign w:val="center"/>
          </w:tcPr>
          <w:p w14:paraId="43FA2BB4">
            <w:pPr>
              <w:jc w:val="center"/>
              <w:rPr>
                <w:rFonts w:ascii="Times New Roman" w:hAnsi="Times New Roman" w:eastAsia="仿宋_GB2312" w:cs="Times New Roman"/>
                <w:color w:val="auto"/>
                <w:kern w:val="2"/>
                <w:sz w:val="21"/>
                <w:szCs w:val="21"/>
                <w:lang w:val="en-US" w:eastAsia="zh-CN" w:bidi="ar-SA"/>
              </w:rPr>
            </w:pPr>
            <w:r>
              <w:rPr>
                <w:rFonts w:eastAsia="仿宋_GB2312"/>
                <w:color w:val="auto"/>
                <w:szCs w:val="21"/>
              </w:rPr>
              <w:t>B-7车间</w:t>
            </w:r>
          </w:p>
        </w:tc>
        <w:tc>
          <w:tcPr>
            <w:tcW w:w="358" w:type="pct"/>
            <w:vMerge w:val="restart"/>
            <w:shd w:val="clear" w:color="auto" w:fill="auto"/>
            <w:vAlign w:val="center"/>
          </w:tcPr>
          <w:p w14:paraId="7B071AE3">
            <w:pPr>
              <w:jc w:val="center"/>
              <w:rPr>
                <w:rFonts w:hint="eastAsia" w:ascii="Times New Roman" w:hAnsi="Times New Roman" w:eastAsia="仿宋_GB2312" w:cs="Times New Roman"/>
                <w:color w:val="auto"/>
                <w:kern w:val="2"/>
                <w:sz w:val="21"/>
                <w:szCs w:val="21"/>
                <w:lang w:val="en-US" w:eastAsia="zh-CN" w:bidi="ar-SA"/>
              </w:rPr>
            </w:pPr>
            <w:r>
              <w:rPr>
                <w:rFonts w:hint="eastAsia" w:eastAsia="仿宋_GB2312" w:cs="Times New Roman"/>
                <w:color w:val="auto"/>
                <w:kern w:val="2"/>
                <w:sz w:val="21"/>
                <w:szCs w:val="21"/>
                <w:lang w:val="en-US" w:eastAsia="zh-CN" w:bidi="ar-SA"/>
              </w:rPr>
              <w:t>乙醇</w:t>
            </w:r>
          </w:p>
        </w:tc>
        <w:tc>
          <w:tcPr>
            <w:tcW w:w="418" w:type="pct"/>
            <w:shd w:val="clear" w:color="auto" w:fill="auto"/>
            <w:vAlign w:val="center"/>
          </w:tcPr>
          <w:p w14:paraId="25D3D092">
            <w:pPr>
              <w:jc w:val="center"/>
              <w:rPr>
                <w:rFonts w:ascii="Times New Roman" w:hAnsi="Times New Roman" w:eastAsia="仿宋_GB2312" w:cs="Times New Roman"/>
                <w:color w:val="auto"/>
                <w:kern w:val="0"/>
                <w:sz w:val="21"/>
                <w:szCs w:val="21"/>
                <w:lang w:val="en-US" w:eastAsia="zh-CN" w:bidi="ar"/>
              </w:rPr>
            </w:pPr>
            <w:r>
              <w:rPr>
                <w:rFonts w:eastAsia="仿宋_GB2312"/>
                <w:color w:val="auto"/>
                <w:kern w:val="0"/>
                <w:szCs w:val="21"/>
                <w:lang w:bidi="ar"/>
              </w:rPr>
              <w:t>G</w:t>
            </w:r>
            <w:r>
              <w:rPr>
                <w:rFonts w:hint="eastAsia" w:eastAsia="仿宋_GB2312"/>
                <w:color w:val="auto"/>
                <w:kern w:val="0"/>
                <w:szCs w:val="21"/>
                <w:lang w:val="en-US" w:eastAsia="zh-CN" w:bidi="ar"/>
              </w:rPr>
              <w:t>4</w:t>
            </w:r>
            <w:r>
              <w:rPr>
                <w:rFonts w:eastAsia="仿宋_GB2312"/>
                <w:color w:val="auto"/>
                <w:kern w:val="0"/>
                <w:szCs w:val="21"/>
                <w:lang w:bidi="ar"/>
              </w:rPr>
              <w:t>-</w:t>
            </w:r>
            <w:r>
              <w:rPr>
                <w:rFonts w:hint="eastAsia" w:eastAsia="仿宋_GB2312"/>
                <w:color w:val="auto"/>
                <w:kern w:val="0"/>
                <w:szCs w:val="21"/>
                <w:lang w:val="en-US" w:eastAsia="zh-CN" w:bidi="ar"/>
              </w:rPr>
              <w:t>1</w:t>
            </w:r>
            <w:r>
              <w:rPr>
                <w:rFonts w:eastAsia="仿宋_GB2312"/>
                <w:color w:val="auto"/>
                <w:kern w:val="0"/>
                <w:szCs w:val="21"/>
                <w:lang w:bidi="ar"/>
              </w:rPr>
              <w:t>-1</w:t>
            </w:r>
          </w:p>
        </w:tc>
        <w:tc>
          <w:tcPr>
            <w:tcW w:w="446" w:type="pct"/>
            <w:shd w:val="clear" w:color="auto" w:fill="auto"/>
            <w:vAlign w:val="center"/>
          </w:tcPr>
          <w:p w14:paraId="38FB2F25">
            <w:pPr>
              <w:jc w:val="center"/>
              <w:rPr>
                <w:rFonts w:ascii="Times New Roman" w:hAnsi="Times New Roman" w:eastAsia="仿宋_GB2312" w:cs="Times New Roman"/>
                <w:color w:val="auto"/>
                <w:kern w:val="0"/>
                <w:sz w:val="21"/>
                <w:szCs w:val="21"/>
                <w:lang w:val="en-US" w:eastAsia="zh-CN" w:bidi="ar"/>
              </w:rPr>
            </w:pPr>
            <w:r>
              <w:rPr>
                <w:rFonts w:eastAsia="仿宋_GB2312"/>
                <w:color w:val="auto"/>
                <w:kern w:val="0"/>
                <w:szCs w:val="21"/>
                <w:lang w:bidi="ar"/>
              </w:rPr>
              <w:t>投料废气</w:t>
            </w:r>
          </w:p>
        </w:tc>
        <w:tc>
          <w:tcPr>
            <w:tcW w:w="361" w:type="pct"/>
            <w:vAlign w:val="center"/>
          </w:tcPr>
          <w:p w14:paraId="2BAC4A63">
            <w:pPr>
              <w:jc w:val="center"/>
              <w:rPr>
                <w:rFonts w:hint="default" w:eastAsia="仿宋_GB2312"/>
                <w:color w:val="auto"/>
                <w:szCs w:val="21"/>
                <w:lang w:val="en-US" w:eastAsia="zh-CN"/>
              </w:rPr>
            </w:pPr>
            <w:r>
              <w:rPr>
                <w:rFonts w:hint="eastAsia" w:eastAsia="仿宋_GB2312"/>
                <w:color w:val="auto"/>
                <w:szCs w:val="21"/>
                <w:lang w:val="en-US" w:eastAsia="zh-CN"/>
              </w:rPr>
              <w:t>2000</w:t>
            </w:r>
          </w:p>
        </w:tc>
        <w:tc>
          <w:tcPr>
            <w:tcW w:w="498" w:type="pct"/>
            <w:shd w:val="clear" w:color="auto" w:fill="auto"/>
            <w:vAlign w:val="center"/>
          </w:tcPr>
          <w:p w14:paraId="74E9FBC1">
            <w:pPr>
              <w:keepNext w:val="0"/>
              <w:keepLines w:val="0"/>
              <w:widowControl/>
              <w:suppressLineNumbers w:val="0"/>
              <w:jc w:val="center"/>
              <w:textAlignment w:val="bottom"/>
              <w:rPr>
                <w:rFonts w:hint="eastAsia" w:eastAsia="仿宋_GB2312"/>
                <w:color w:val="auto"/>
                <w:kern w:val="0"/>
                <w:szCs w:val="21"/>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4400</w:t>
            </w:r>
          </w:p>
        </w:tc>
        <w:tc>
          <w:tcPr>
            <w:tcW w:w="820" w:type="pct"/>
            <w:shd w:val="clear" w:color="auto" w:fill="auto"/>
            <w:vAlign w:val="center"/>
          </w:tcPr>
          <w:p w14:paraId="233785E0">
            <w:pPr>
              <w:widowControl/>
              <w:jc w:val="center"/>
              <w:textAlignment w:val="center"/>
              <w:rPr>
                <w:rFonts w:hint="eastAsia" w:ascii="Times New Roman" w:hAnsi="Times New Roman" w:eastAsia="仿宋_GB2312" w:cs="Times New Roman"/>
                <w:b/>
                <w:bCs/>
                <w:color w:val="auto"/>
                <w:kern w:val="0"/>
                <w:sz w:val="21"/>
                <w:szCs w:val="21"/>
                <w:lang w:val="en-US" w:eastAsia="zh-CN" w:bidi="ar"/>
              </w:rPr>
            </w:pPr>
            <w:r>
              <w:rPr>
                <w:rFonts w:hint="eastAsia" w:eastAsia="仿宋_GB2312"/>
                <w:color w:val="auto"/>
                <w:kern w:val="0"/>
                <w:szCs w:val="21"/>
                <w:lang w:val="en-US" w:eastAsia="zh-CN" w:bidi="ar"/>
              </w:rPr>
              <w:t>乙醇</w:t>
            </w:r>
          </w:p>
        </w:tc>
        <w:tc>
          <w:tcPr>
            <w:tcW w:w="380" w:type="pct"/>
            <w:shd w:val="clear" w:color="auto" w:fill="auto"/>
            <w:vAlign w:val="center"/>
          </w:tcPr>
          <w:p w14:paraId="4ACE284E">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0.458</w:t>
            </w:r>
          </w:p>
        </w:tc>
        <w:tc>
          <w:tcPr>
            <w:tcW w:w="445" w:type="pct"/>
            <w:shd w:val="clear" w:color="auto" w:fill="auto"/>
            <w:vAlign w:val="center"/>
          </w:tcPr>
          <w:p w14:paraId="7930174F">
            <w:pPr>
              <w:jc w:val="center"/>
              <w:rPr>
                <w:rFonts w:hint="eastAsia"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2.019</w:t>
            </w:r>
          </w:p>
        </w:tc>
        <w:tc>
          <w:tcPr>
            <w:tcW w:w="630" w:type="pct"/>
            <w:vMerge w:val="continue"/>
            <w:shd w:val="clear" w:color="auto" w:fill="auto"/>
            <w:vAlign w:val="center"/>
          </w:tcPr>
          <w:p w14:paraId="6081FDAB">
            <w:pPr>
              <w:jc w:val="center"/>
              <w:rPr>
                <w:rFonts w:hint="eastAsia" w:ascii="Times New Roman" w:hAnsi="Times New Roman" w:eastAsia="仿宋_GB2312" w:cs="Times New Roman"/>
                <w:color w:val="auto"/>
                <w:kern w:val="2"/>
                <w:sz w:val="21"/>
                <w:szCs w:val="24"/>
                <w:lang w:val="en-US" w:eastAsia="zh-CN" w:bidi="ar-SA"/>
              </w:rPr>
            </w:pPr>
          </w:p>
        </w:tc>
        <w:tc>
          <w:tcPr>
            <w:tcW w:w="292" w:type="pct"/>
            <w:vMerge w:val="continue"/>
            <w:shd w:val="clear" w:color="auto" w:fill="auto"/>
            <w:vAlign w:val="center"/>
          </w:tcPr>
          <w:p w14:paraId="41B0B19E">
            <w:pPr>
              <w:jc w:val="center"/>
              <w:rPr>
                <w:rFonts w:hint="eastAsia" w:ascii="Times New Roman" w:hAnsi="Times New Roman" w:eastAsia="仿宋_GB2312" w:cs="Times New Roman"/>
                <w:color w:val="auto"/>
                <w:kern w:val="2"/>
                <w:sz w:val="21"/>
                <w:szCs w:val="24"/>
                <w:lang w:val="en-US" w:eastAsia="zh-CN" w:bidi="ar-SA"/>
              </w:rPr>
            </w:pPr>
          </w:p>
        </w:tc>
      </w:tr>
      <w:tr w14:paraId="34948D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21551859">
            <w:pPr>
              <w:jc w:val="center"/>
              <w:rPr>
                <w:rFonts w:eastAsia="仿宋_GB2312"/>
                <w:color w:val="auto"/>
                <w:szCs w:val="21"/>
              </w:rPr>
            </w:pPr>
          </w:p>
        </w:tc>
        <w:tc>
          <w:tcPr>
            <w:tcW w:w="358" w:type="pct"/>
            <w:vMerge w:val="continue"/>
            <w:vAlign w:val="center"/>
          </w:tcPr>
          <w:p w14:paraId="19D3D579">
            <w:pPr>
              <w:jc w:val="center"/>
              <w:rPr>
                <w:rFonts w:eastAsia="仿宋_GB2312"/>
                <w:color w:val="auto"/>
                <w:szCs w:val="21"/>
              </w:rPr>
            </w:pPr>
          </w:p>
        </w:tc>
        <w:tc>
          <w:tcPr>
            <w:tcW w:w="418" w:type="pct"/>
            <w:shd w:val="clear" w:color="auto" w:fill="auto"/>
            <w:vAlign w:val="center"/>
          </w:tcPr>
          <w:p w14:paraId="75F737CB">
            <w:pPr>
              <w:jc w:val="center"/>
              <w:rPr>
                <w:rFonts w:ascii="Times New Roman" w:hAnsi="Times New Roman" w:eastAsia="仿宋_GB2312" w:cs="Times New Roman"/>
                <w:color w:val="auto"/>
                <w:kern w:val="0"/>
                <w:sz w:val="21"/>
                <w:szCs w:val="21"/>
                <w:lang w:val="en-US" w:eastAsia="zh-CN" w:bidi="ar"/>
              </w:rPr>
            </w:pPr>
            <w:r>
              <w:rPr>
                <w:rFonts w:eastAsia="仿宋_GB2312"/>
                <w:color w:val="auto"/>
                <w:kern w:val="0"/>
                <w:szCs w:val="21"/>
                <w:lang w:bidi="ar"/>
              </w:rPr>
              <w:t>G</w:t>
            </w:r>
            <w:r>
              <w:rPr>
                <w:rFonts w:hint="eastAsia" w:eastAsia="仿宋_GB2312"/>
                <w:color w:val="auto"/>
                <w:kern w:val="0"/>
                <w:szCs w:val="21"/>
                <w:lang w:val="en-US" w:eastAsia="zh-CN" w:bidi="ar"/>
              </w:rPr>
              <w:t>4</w:t>
            </w:r>
            <w:r>
              <w:rPr>
                <w:rFonts w:eastAsia="仿宋_GB2312"/>
                <w:color w:val="auto"/>
                <w:kern w:val="0"/>
                <w:szCs w:val="21"/>
                <w:lang w:bidi="ar"/>
              </w:rPr>
              <w:t>-</w:t>
            </w:r>
            <w:r>
              <w:rPr>
                <w:rFonts w:hint="eastAsia" w:eastAsia="仿宋_GB2312"/>
                <w:color w:val="auto"/>
                <w:kern w:val="0"/>
                <w:szCs w:val="21"/>
                <w:lang w:val="en-US" w:eastAsia="zh-CN" w:bidi="ar"/>
              </w:rPr>
              <w:t>1-</w:t>
            </w:r>
            <w:r>
              <w:rPr>
                <w:rFonts w:eastAsia="仿宋_GB2312"/>
                <w:color w:val="auto"/>
                <w:kern w:val="0"/>
                <w:szCs w:val="21"/>
                <w:lang w:bidi="ar"/>
              </w:rPr>
              <w:t>2</w:t>
            </w:r>
          </w:p>
        </w:tc>
        <w:tc>
          <w:tcPr>
            <w:tcW w:w="446" w:type="pct"/>
            <w:shd w:val="clear" w:color="auto" w:fill="auto"/>
            <w:vAlign w:val="center"/>
          </w:tcPr>
          <w:p w14:paraId="61DB46FA">
            <w:pPr>
              <w:jc w:val="center"/>
              <w:rPr>
                <w:rFonts w:ascii="Times New Roman" w:hAnsi="Times New Roman" w:eastAsia="仿宋_GB2312" w:cs="Times New Roman"/>
                <w:color w:val="auto"/>
                <w:kern w:val="0"/>
                <w:sz w:val="21"/>
                <w:szCs w:val="21"/>
                <w:lang w:val="en-US" w:eastAsia="zh-CN" w:bidi="ar"/>
              </w:rPr>
            </w:pPr>
            <w:r>
              <w:rPr>
                <w:rFonts w:eastAsia="仿宋_GB2312"/>
                <w:color w:val="auto"/>
                <w:kern w:val="0"/>
                <w:szCs w:val="21"/>
                <w:lang w:bidi="ar"/>
              </w:rPr>
              <w:t>调节废气</w:t>
            </w:r>
          </w:p>
        </w:tc>
        <w:tc>
          <w:tcPr>
            <w:tcW w:w="361" w:type="pct"/>
            <w:vAlign w:val="center"/>
          </w:tcPr>
          <w:p w14:paraId="71FBCEF9">
            <w:pPr>
              <w:jc w:val="center"/>
              <w:rPr>
                <w:rFonts w:hint="default" w:eastAsia="仿宋_GB2312"/>
                <w:color w:val="auto"/>
                <w:szCs w:val="21"/>
                <w:lang w:val="en-US" w:eastAsia="zh-CN"/>
              </w:rPr>
            </w:pPr>
            <w:r>
              <w:rPr>
                <w:rFonts w:hint="eastAsia" w:eastAsia="仿宋_GB2312"/>
                <w:color w:val="auto"/>
                <w:szCs w:val="21"/>
                <w:lang w:val="en-US" w:eastAsia="zh-CN"/>
              </w:rPr>
              <w:t>100</w:t>
            </w:r>
          </w:p>
        </w:tc>
        <w:tc>
          <w:tcPr>
            <w:tcW w:w="498" w:type="pct"/>
            <w:shd w:val="clear" w:color="auto" w:fill="auto"/>
            <w:vAlign w:val="center"/>
          </w:tcPr>
          <w:p w14:paraId="621FE930">
            <w:pPr>
              <w:keepNext w:val="0"/>
              <w:keepLines w:val="0"/>
              <w:widowControl/>
              <w:suppressLineNumbers w:val="0"/>
              <w:jc w:val="center"/>
              <w:textAlignment w:val="bottom"/>
              <w:rPr>
                <w:rFonts w:hint="eastAsia" w:eastAsia="仿宋_GB2312"/>
                <w:color w:val="auto"/>
                <w:kern w:val="0"/>
                <w:szCs w:val="21"/>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4400</w:t>
            </w:r>
          </w:p>
        </w:tc>
        <w:tc>
          <w:tcPr>
            <w:tcW w:w="820" w:type="pct"/>
            <w:shd w:val="clear" w:color="auto" w:fill="auto"/>
            <w:vAlign w:val="center"/>
          </w:tcPr>
          <w:p w14:paraId="00E23B61">
            <w:pPr>
              <w:widowControl/>
              <w:jc w:val="center"/>
              <w:textAlignment w:val="center"/>
              <w:rPr>
                <w:rFonts w:hint="eastAsia" w:ascii="Times New Roman" w:hAnsi="Times New Roman" w:eastAsia="仿宋_GB2312" w:cs="Times New Roman"/>
                <w:b/>
                <w:bCs/>
                <w:color w:val="auto"/>
                <w:kern w:val="0"/>
                <w:sz w:val="21"/>
                <w:szCs w:val="21"/>
                <w:lang w:val="en-US" w:eastAsia="zh-CN" w:bidi="ar"/>
              </w:rPr>
            </w:pPr>
            <w:r>
              <w:rPr>
                <w:rFonts w:hint="eastAsia" w:eastAsia="仿宋_GB2312"/>
                <w:color w:val="auto"/>
                <w:kern w:val="0"/>
                <w:szCs w:val="21"/>
                <w:lang w:val="en-US" w:eastAsia="zh-CN" w:bidi="ar"/>
              </w:rPr>
              <w:t>乙醇</w:t>
            </w:r>
          </w:p>
        </w:tc>
        <w:tc>
          <w:tcPr>
            <w:tcW w:w="380" w:type="pct"/>
            <w:shd w:val="clear" w:color="auto" w:fill="auto"/>
            <w:vAlign w:val="center"/>
          </w:tcPr>
          <w:p w14:paraId="70EE0717">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0.23</w:t>
            </w:r>
          </w:p>
        </w:tc>
        <w:tc>
          <w:tcPr>
            <w:tcW w:w="445" w:type="pct"/>
            <w:shd w:val="clear" w:color="auto" w:fill="auto"/>
            <w:vAlign w:val="center"/>
          </w:tcPr>
          <w:p w14:paraId="781FD9D6">
            <w:pPr>
              <w:widowControl/>
              <w:jc w:val="center"/>
              <w:textAlignment w:val="center"/>
              <w:rPr>
                <w:rFonts w:hint="eastAsia"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1.02</w:t>
            </w:r>
          </w:p>
        </w:tc>
        <w:tc>
          <w:tcPr>
            <w:tcW w:w="630" w:type="pct"/>
            <w:vMerge w:val="restart"/>
            <w:shd w:val="clear" w:color="auto" w:fill="auto"/>
            <w:vAlign w:val="center"/>
          </w:tcPr>
          <w:p w14:paraId="0ED7C4B7">
            <w:pPr>
              <w:widowControl/>
              <w:jc w:val="center"/>
              <w:textAlignment w:val="center"/>
              <w:rPr>
                <w:rFonts w:hint="eastAsia" w:ascii="Times New Roman" w:hAnsi="Times New Roman" w:eastAsia="仿宋_GB2312" w:cs="Times New Roman"/>
                <w:color w:val="auto"/>
                <w:kern w:val="0"/>
                <w:sz w:val="21"/>
                <w:szCs w:val="21"/>
                <w:lang w:val="en-US" w:eastAsia="zh-CN" w:bidi="ar"/>
              </w:rPr>
            </w:pPr>
            <w:r>
              <w:rPr>
                <w:rFonts w:hint="eastAsia" w:eastAsia="仿宋_GB2312" w:cs="Times New Roman"/>
                <w:color w:val="auto"/>
                <w:szCs w:val="21"/>
                <w:lang w:val="en-US" w:eastAsia="zh-CN"/>
              </w:rPr>
              <w:t>预处理（</w:t>
            </w:r>
            <w:r>
              <w:rPr>
                <w:rFonts w:hint="eastAsia" w:ascii="Times New Roman" w:hAnsi="Times New Roman" w:eastAsia="仿宋_GB2312" w:cs="Times New Roman"/>
                <w:color w:val="auto"/>
                <w:szCs w:val="21"/>
                <w:lang w:val="en-US" w:eastAsia="zh-CN"/>
              </w:rPr>
              <w:t>冷凝+稀酸吸收+碱吸收+水吸收+除雾</w:t>
            </w:r>
            <w:r>
              <w:rPr>
                <w:rFonts w:hint="eastAsia" w:eastAsia="仿宋_GB2312" w:cs="Times New Roman"/>
                <w:color w:val="auto"/>
                <w:szCs w:val="21"/>
                <w:lang w:val="en-US" w:eastAsia="zh-CN"/>
              </w:rPr>
              <w:t>）+</w:t>
            </w:r>
            <w:r>
              <w:rPr>
                <w:rFonts w:eastAsia="仿宋_GB2312"/>
                <w:color w:val="auto"/>
                <w:szCs w:val="21"/>
              </w:rPr>
              <w:t>焚烧</w:t>
            </w:r>
          </w:p>
        </w:tc>
        <w:tc>
          <w:tcPr>
            <w:tcW w:w="292" w:type="pct"/>
            <w:vMerge w:val="restart"/>
            <w:shd w:val="clear" w:color="auto" w:fill="auto"/>
            <w:vAlign w:val="center"/>
          </w:tcPr>
          <w:p w14:paraId="34449D33">
            <w:pPr>
              <w:widowControl/>
              <w:jc w:val="center"/>
              <w:textAlignment w:val="center"/>
              <w:rPr>
                <w:rFonts w:hint="eastAsia"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DA002</w:t>
            </w:r>
          </w:p>
        </w:tc>
      </w:tr>
      <w:tr w14:paraId="1BE0EF2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32AC5A3C">
            <w:pPr>
              <w:jc w:val="center"/>
              <w:rPr>
                <w:rFonts w:eastAsia="仿宋_GB2312"/>
                <w:color w:val="auto"/>
                <w:szCs w:val="21"/>
              </w:rPr>
            </w:pPr>
          </w:p>
        </w:tc>
        <w:tc>
          <w:tcPr>
            <w:tcW w:w="358" w:type="pct"/>
            <w:vMerge w:val="continue"/>
            <w:vAlign w:val="center"/>
          </w:tcPr>
          <w:p w14:paraId="130897A7">
            <w:pPr>
              <w:jc w:val="center"/>
              <w:rPr>
                <w:rFonts w:eastAsia="仿宋_GB2312"/>
                <w:color w:val="auto"/>
                <w:szCs w:val="21"/>
              </w:rPr>
            </w:pPr>
          </w:p>
        </w:tc>
        <w:tc>
          <w:tcPr>
            <w:tcW w:w="418" w:type="pct"/>
            <w:shd w:val="clear" w:color="auto" w:fill="auto"/>
            <w:vAlign w:val="center"/>
          </w:tcPr>
          <w:p w14:paraId="529EB6CC">
            <w:pPr>
              <w:jc w:val="center"/>
              <w:rPr>
                <w:rFonts w:ascii="Times New Roman" w:hAnsi="Times New Roman" w:eastAsia="仿宋_GB2312" w:cs="Times New Roman"/>
                <w:color w:val="auto"/>
                <w:kern w:val="0"/>
                <w:sz w:val="21"/>
                <w:szCs w:val="21"/>
                <w:lang w:val="en-US" w:eastAsia="zh-CN" w:bidi="ar"/>
              </w:rPr>
            </w:pPr>
            <w:r>
              <w:rPr>
                <w:rFonts w:eastAsia="仿宋_GB2312"/>
                <w:color w:val="auto"/>
                <w:kern w:val="0"/>
                <w:szCs w:val="21"/>
                <w:lang w:bidi="ar"/>
              </w:rPr>
              <w:t>G</w:t>
            </w:r>
            <w:r>
              <w:rPr>
                <w:rFonts w:hint="eastAsia" w:eastAsia="仿宋_GB2312"/>
                <w:color w:val="auto"/>
                <w:kern w:val="0"/>
                <w:szCs w:val="21"/>
                <w:lang w:val="en-US" w:eastAsia="zh-CN" w:bidi="ar"/>
              </w:rPr>
              <w:t>4</w:t>
            </w:r>
            <w:r>
              <w:rPr>
                <w:rFonts w:eastAsia="仿宋_GB2312"/>
                <w:color w:val="auto"/>
                <w:kern w:val="0"/>
                <w:szCs w:val="21"/>
                <w:lang w:bidi="ar"/>
              </w:rPr>
              <w:t>-</w:t>
            </w:r>
            <w:r>
              <w:rPr>
                <w:rFonts w:hint="eastAsia" w:eastAsia="仿宋_GB2312"/>
                <w:color w:val="auto"/>
                <w:kern w:val="0"/>
                <w:szCs w:val="21"/>
                <w:lang w:val="en-US" w:eastAsia="zh-CN" w:bidi="ar"/>
              </w:rPr>
              <w:t>1</w:t>
            </w:r>
            <w:r>
              <w:rPr>
                <w:rFonts w:eastAsia="仿宋_GB2312"/>
                <w:color w:val="auto"/>
                <w:kern w:val="0"/>
                <w:szCs w:val="21"/>
                <w:lang w:bidi="ar"/>
              </w:rPr>
              <w:t>-3</w:t>
            </w:r>
          </w:p>
        </w:tc>
        <w:tc>
          <w:tcPr>
            <w:tcW w:w="446" w:type="pct"/>
            <w:shd w:val="clear" w:color="auto" w:fill="auto"/>
            <w:vAlign w:val="center"/>
          </w:tcPr>
          <w:p w14:paraId="3727299E">
            <w:pPr>
              <w:jc w:val="center"/>
              <w:rPr>
                <w:rFonts w:ascii="Times New Roman" w:hAnsi="Times New Roman" w:eastAsia="仿宋_GB2312" w:cs="Times New Roman"/>
                <w:color w:val="auto"/>
                <w:kern w:val="0"/>
                <w:sz w:val="21"/>
                <w:szCs w:val="21"/>
                <w:lang w:val="en-US" w:eastAsia="zh-CN" w:bidi="ar"/>
              </w:rPr>
            </w:pPr>
            <w:r>
              <w:rPr>
                <w:rFonts w:eastAsia="仿宋_GB2312"/>
                <w:color w:val="auto"/>
                <w:kern w:val="0"/>
                <w:szCs w:val="21"/>
                <w:lang w:bidi="ar"/>
              </w:rPr>
              <w:t>不凝气</w:t>
            </w:r>
          </w:p>
        </w:tc>
        <w:tc>
          <w:tcPr>
            <w:tcW w:w="361" w:type="pct"/>
            <w:vAlign w:val="center"/>
          </w:tcPr>
          <w:p w14:paraId="499EFC4C">
            <w:pPr>
              <w:jc w:val="center"/>
              <w:rPr>
                <w:rFonts w:hint="default" w:eastAsia="仿宋_GB2312"/>
                <w:color w:val="auto"/>
                <w:szCs w:val="21"/>
                <w:lang w:val="en-US" w:eastAsia="zh-CN"/>
              </w:rPr>
            </w:pPr>
            <w:r>
              <w:rPr>
                <w:rFonts w:hint="eastAsia" w:eastAsia="仿宋_GB2312"/>
                <w:color w:val="auto"/>
                <w:szCs w:val="21"/>
                <w:lang w:val="en-US" w:eastAsia="zh-CN"/>
              </w:rPr>
              <w:t>360</w:t>
            </w:r>
          </w:p>
        </w:tc>
        <w:tc>
          <w:tcPr>
            <w:tcW w:w="498" w:type="pct"/>
            <w:shd w:val="clear" w:color="auto" w:fill="auto"/>
            <w:vAlign w:val="center"/>
          </w:tcPr>
          <w:p w14:paraId="3B7A08EF">
            <w:pPr>
              <w:keepNext w:val="0"/>
              <w:keepLines w:val="0"/>
              <w:widowControl/>
              <w:suppressLineNumbers w:val="0"/>
              <w:jc w:val="center"/>
              <w:textAlignment w:val="bottom"/>
              <w:rPr>
                <w:rFonts w:hint="eastAsia" w:eastAsia="仿宋_GB2312"/>
                <w:color w:val="auto"/>
                <w:kern w:val="0"/>
                <w:szCs w:val="21"/>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4400</w:t>
            </w:r>
          </w:p>
        </w:tc>
        <w:tc>
          <w:tcPr>
            <w:tcW w:w="820" w:type="pct"/>
            <w:shd w:val="clear" w:color="auto" w:fill="auto"/>
            <w:vAlign w:val="center"/>
          </w:tcPr>
          <w:p w14:paraId="7283E86F">
            <w:pPr>
              <w:widowControl/>
              <w:jc w:val="center"/>
              <w:textAlignment w:val="center"/>
              <w:rPr>
                <w:rFonts w:hint="eastAsia" w:ascii="Times New Roman" w:hAnsi="Times New Roman" w:eastAsia="仿宋_GB2312" w:cs="Times New Roman"/>
                <w:b/>
                <w:bCs/>
                <w:color w:val="auto"/>
                <w:kern w:val="0"/>
                <w:sz w:val="21"/>
                <w:szCs w:val="21"/>
                <w:lang w:val="en-US" w:eastAsia="zh-CN" w:bidi="ar"/>
              </w:rPr>
            </w:pPr>
            <w:r>
              <w:rPr>
                <w:rFonts w:hint="eastAsia" w:eastAsia="仿宋_GB2312"/>
                <w:color w:val="auto"/>
                <w:kern w:val="0"/>
                <w:szCs w:val="21"/>
                <w:lang w:val="en-US" w:eastAsia="zh-CN" w:bidi="ar"/>
              </w:rPr>
              <w:t>乙醇</w:t>
            </w:r>
          </w:p>
        </w:tc>
        <w:tc>
          <w:tcPr>
            <w:tcW w:w="380" w:type="pct"/>
            <w:shd w:val="clear" w:color="auto" w:fill="auto"/>
            <w:vAlign w:val="center"/>
          </w:tcPr>
          <w:p w14:paraId="0FDDD95A">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9.836</w:t>
            </w:r>
          </w:p>
        </w:tc>
        <w:tc>
          <w:tcPr>
            <w:tcW w:w="445" w:type="pct"/>
            <w:shd w:val="clear" w:color="auto" w:fill="auto"/>
            <w:vAlign w:val="center"/>
          </w:tcPr>
          <w:p w14:paraId="59608568">
            <w:pPr>
              <w:widowControl/>
              <w:jc w:val="center"/>
              <w:textAlignment w:val="center"/>
              <w:rPr>
                <w:rFonts w:hint="eastAsia"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43.28</w:t>
            </w:r>
          </w:p>
        </w:tc>
        <w:tc>
          <w:tcPr>
            <w:tcW w:w="630" w:type="pct"/>
            <w:vMerge w:val="continue"/>
            <w:shd w:val="clear" w:color="auto" w:fill="auto"/>
            <w:vAlign w:val="center"/>
          </w:tcPr>
          <w:p w14:paraId="01A23033">
            <w:pPr>
              <w:jc w:val="center"/>
              <w:rPr>
                <w:rFonts w:hint="eastAsia" w:eastAsia="仿宋_GB2312"/>
                <w:color w:val="auto"/>
                <w:szCs w:val="21"/>
              </w:rPr>
            </w:pPr>
          </w:p>
        </w:tc>
        <w:tc>
          <w:tcPr>
            <w:tcW w:w="292" w:type="pct"/>
            <w:vMerge w:val="continue"/>
            <w:shd w:val="clear" w:color="auto" w:fill="auto"/>
            <w:vAlign w:val="center"/>
          </w:tcPr>
          <w:p w14:paraId="4FD71964">
            <w:pPr>
              <w:jc w:val="center"/>
              <w:rPr>
                <w:rFonts w:hint="eastAsia" w:eastAsia="仿宋_GB2312"/>
                <w:color w:val="auto"/>
              </w:rPr>
            </w:pPr>
          </w:p>
        </w:tc>
      </w:tr>
      <w:tr w14:paraId="0FB6ED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1884FE2B">
            <w:pPr>
              <w:jc w:val="center"/>
              <w:rPr>
                <w:rFonts w:eastAsia="仿宋_GB2312"/>
                <w:color w:val="auto"/>
                <w:szCs w:val="21"/>
              </w:rPr>
            </w:pPr>
          </w:p>
        </w:tc>
        <w:tc>
          <w:tcPr>
            <w:tcW w:w="358" w:type="pct"/>
            <w:vMerge w:val="continue"/>
            <w:vAlign w:val="center"/>
          </w:tcPr>
          <w:p w14:paraId="1C7807BB">
            <w:pPr>
              <w:jc w:val="center"/>
              <w:rPr>
                <w:rFonts w:eastAsia="仿宋_GB2312"/>
                <w:color w:val="auto"/>
                <w:szCs w:val="21"/>
              </w:rPr>
            </w:pPr>
          </w:p>
        </w:tc>
        <w:tc>
          <w:tcPr>
            <w:tcW w:w="418" w:type="pct"/>
            <w:shd w:val="clear" w:color="auto" w:fill="auto"/>
            <w:vAlign w:val="center"/>
          </w:tcPr>
          <w:p w14:paraId="1019182A">
            <w:pPr>
              <w:jc w:val="center"/>
              <w:rPr>
                <w:rFonts w:hint="eastAsia" w:ascii="Times New Roman" w:hAnsi="Times New Roman" w:eastAsia="仿宋_GB2312" w:cs="Times New Roman"/>
                <w:color w:val="auto"/>
                <w:kern w:val="2"/>
                <w:sz w:val="21"/>
                <w:szCs w:val="21"/>
                <w:lang w:val="en-US" w:eastAsia="zh-CN" w:bidi="ar-SA"/>
              </w:rPr>
            </w:pPr>
            <w:r>
              <w:rPr>
                <w:rFonts w:eastAsia="仿宋_GB2312"/>
                <w:color w:val="auto"/>
                <w:kern w:val="0"/>
                <w:szCs w:val="21"/>
                <w:lang w:bidi="ar"/>
              </w:rPr>
              <w:t>G</w:t>
            </w:r>
            <w:r>
              <w:rPr>
                <w:rFonts w:hint="eastAsia" w:eastAsia="仿宋_GB2312"/>
                <w:color w:val="auto"/>
                <w:kern w:val="0"/>
                <w:szCs w:val="21"/>
                <w:lang w:val="en-US" w:eastAsia="zh-CN" w:bidi="ar"/>
              </w:rPr>
              <w:t>4</w:t>
            </w:r>
            <w:r>
              <w:rPr>
                <w:rFonts w:eastAsia="仿宋_GB2312"/>
                <w:color w:val="auto"/>
                <w:kern w:val="0"/>
                <w:szCs w:val="21"/>
                <w:lang w:bidi="ar"/>
              </w:rPr>
              <w:t>-</w:t>
            </w:r>
            <w:r>
              <w:rPr>
                <w:rFonts w:hint="eastAsia" w:eastAsia="仿宋_GB2312"/>
                <w:color w:val="auto"/>
                <w:kern w:val="0"/>
                <w:szCs w:val="21"/>
                <w:lang w:val="en-US" w:eastAsia="zh-CN" w:bidi="ar"/>
              </w:rPr>
              <w:t>1</w:t>
            </w:r>
            <w:r>
              <w:rPr>
                <w:rFonts w:eastAsia="仿宋_GB2312"/>
                <w:color w:val="auto"/>
                <w:kern w:val="0"/>
                <w:szCs w:val="21"/>
                <w:lang w:bidi="ar"/>
              </w:rPr>
              <w:t>-</w:t>
            </w:r>
            <w:r>
              <w:rPr>
                <w:rFonts w:hint="eastAsia" w:eastAsia="仿宋_GB2312"/>
                <w:color w:val="auto"/>
                <w:kern w:val="0"/>
                <w:szCs w:val="21"/>
                <w:lang w:val="en-US" w:eastAsia="zh-CN" w:bidi="ar"/>
              </w:rPr>
              <w:t>4</w:t>
            </w:r>
          </w:p>
        </w:tc>
        <w:tc>
          <w:tcPr>
            <w:tcW w:w="446" w:type="pct"/>
            <w:shd w:val="clear" w:color="auto" w:fill="auto"/>
            <w:vAlign w:val="center"/>
          </w:tcPr>
          <w:p w14:paraId="1480808E">
            <w:pPr>
              <w:jc w:val="center"/>
              <w:rPr>
                <w:rFonts w:ascii="Times New Roman" w:hAnsi="Times New Roman" w:eastAsia="仿宋_GB2312" w:cs="Times New Roman"/>
                <w:color w:val="auto"/>
                <w:kern w:val="2"/>
                <w:sz w:val="21"/>
                <w:szCs w:val="21"/>
                <w:lang w:val="en-US" w:eastAsia="zh-CN" w:bidi="ar-SA"/>
              </w:rPr>
            </w:pPr>
            <w:r>
              <w:rPr>
                <w:rFonts w:eastAsia="仿宋_GB2312"/>
                <w:color w:val="auto"/>
                <w:kern w:val="0"/>
                <w:szCs w:val="21"/>
                <w:lang w:bidi="ar"/>
              </w:rPr>
              <w:t>灌装废气</w:t>
            </w:r>
          </w:p>
        </w:tc>
        <w:tc>
          <w:tcPr>
            <w:tcW w:w="361" w:type="pct"/>
            <w:vAlign w:val="center"/>
          </w:tcPr>
          <w:p w14:paraId="59530184">
            <w:pPr>
              <w:jc w:val="center"/>
              <w:rPr>
                <w:rFonts w:hint="default" w:eastAsia="仿宋_GB2312"/>
                <w:color w:val="auto"/>
                <w:szCs w:val="21"/>
                <w:lang w:val="en-US" w:eastAsia="zh-CN"/>
              </w:rPr>
            </w:pPr>
            <w:r>
              <w:rPr>
                <w:rFonts w:hint="eastAsia" w:eastAsia="仿宋_GB2312"/>
                <w:color w:val="auto"/>
                <w:szCs w:val="21"/>
                <w:lang w:val="en-US" w:eastAsia="zh-CN"/>
              </w:rPr>
              <w:t>2000</w:t>
            </w:r>
          </w:p>
        </w:tc>
        <w:tc>
          <w:tcPr>
            <w:tcW w:w="498" w:type="pct"/>
            <w:shd w:val="clear" w:color="auto" w:fill="auto"/>
            <w:vAlign w:val="center"/>
          </w:tcPr>
          <w:p w14:paraId="4FFCA0C9">
            <w:pPr>
              <w:keepNext w:val="0"/>
              <w:keepLines w:val="0"/>
              <w:widowControl/>
              <w:suppressLineNumbers w:val="0"/>
              <w:jc w:val="center"/>
              <w:textAlignment w:val="bottom"/>
              <w:rPr>
                <w:rFonts w:hint="eastAsia" w:eastAsia="仿宋_GB2312"/>
                <w:color w:val="auto"/>
                <w:kern w:val="0"/>
                <w:szCs w:val="21"/>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4400</w:t>
            </w:r>
          </w:p>
        </w:tc>
        <w:tc>
          <w:tcPr>
            <w:tcW w:w="820" w:type="pct"/>
            <w:shd w:val="clear" w:color="auto" w:fill="auto"/>
            <w:vAlign w:val="center"/>
          </w:tcPr>
          <w:p w14:paraId="3016D3AE">
            <w:pPr>
              <w:widowControl/>
              <w:jc w:val="center"/>
              <w:textAlignment w:val="center"/>
              <w:rPr>
                <w:rFonts w:hint="eastAsia" w:ascii="Times New Roman" w:hAnsi="Times New Roman" w:eastAsia="仿宋_GB2312" w:cs="Times New Roman"/>
                <w:b/>
                <w:bCs/>
                <w:color w:val="auto"/>
                <w:kern w:val="0"/>
                <w:sz w:val="21"/>
                <w:szCs w:val="21"/>
                <w:lang w:val="en-US" w:eastAsia="zh-CN" w:bidi="ar"/>
              </w:rPr>
            </w:pPr>
            <w:r>
              <w:rPr>
                <w:rFonts w:hint="eastAsia" w:eastAsia="仿宋_GB2312"/>
                <w:color w:val="auto"/>
                <w:kern w:val="0"/>
                <w:szCs w:val="21"/>
                <w:lang w:val="en-US" w:eastAsia="zh-CN" w:bidi="ar"/>
              </w:rPr>
              <w:t>乙醇</w:t>
            </w:r>
          </w:p>
        </w:tc>
        <w:tc>
          <w:tcPr>
            <w:tcW w:w="380" w:type="pct"/>
            <w:shd w:val="clear" w:color="auto" w:fill="auto"/>
            <w:vAlign w:val="center"/>
          </w:tcPr>
          <w:p w14:paraId="49DA33A3">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0.653</w:t>
            </w:r>
          </w:p>
        </w:tc>
        <w:tc>
          <w:tcPr>
            <w:tcW w:w="445" w:type="pct"/>
            <w:shd w:val="clear" w:color="auto" w:fill="auto"/>
            <w:vAlign w:val="center"/>
          </w:tcPr>
          <w:p w14:paraId="73C8E59C">
            <w:pPr>
              <w:jc w:val="center"/>
              <w:rPr>
                <w:rFonts w:hint="eastAsia"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2.874</w:t>
            </w:r>
          </w:p>
        </w:tc>
        <w:tc>
          <w:tcPr>
            <w:tcW w:w="630" w:type="pct"/>
            <w:vMerge w:val="restart"/>
            <w:shd w:val="clear" w:color="auto" w:fill="auto"/>
            <w:vAlign w:val="center"/>
          </w:tcPr>
          <w:p w14:paraId="5C45C0E2">
            <w:pPr>
              <w:jc w:val="center"/>
              <w:rPr>
                <w:rFonts w:hint="eastAsia" w:ascii="Times New Roman" w:hAnsi="Times New Roman" w:eastAsia="仿宋_GB2312" w:cs="Times New Roman"/>
                <w:color w:val="auto"/>
                <w:kern w:val="2"/>
                <w:sz w:val="21"/>
                <w:szCs w:val="24"/>
                <w:lang w:val="en-US" w:eastAsia="zh-CN" w:bidi="ar-SA"/>
              </w:rPr>
            </w:pPr>
            <w:r>
              <w:rPr>
                <w:rFonts w:hint="eastAsia" w:ascii="Times New Roman" w:hAnsi="Times New Roman" w:eastAsia="仿宋_GB2312" w:cs="Times New Roman"/>
                <w:color w:val="auto"/>
                <w:szCs w:val="21"/>
                <w:lang w:val="en-US" w:eastAsia="zh-CN"/>
              </w:rPr>
              <w:t>冷凝+酸吸收+碱吸收+水洗+活性炭吸附/脱附</w:t>
            </w:r>
          </w:p>
        </w:tc>
        <w:tc>
          <w:tcPr>
            <w:tcW w:w="292" w:type="pct"/>
            <w:vMerge w:val="restart"/>
            <w:shd w:val="clear" w:color="auto" w:fill="auto"/>
            <w:vAlign w:val="center"/>
          </w:tcPr>
          <w:p w14:paraId="3D2A2F45">
            <w:pPr>
              <w:jc w:val="center"/>
              <w:rPr>
                <w:rFonts w:hint="eastAsia" w:ascii="Times New Roman" w:hAnsi="Times New Roman" w:eastAsia="仿宋_GB2312" w:cs="Times New Roman"/>
                <w:color w:val="auto"/>
                <w:kern w:val="2"/>
                <w:sz w:val="21"/>
                <w:szCs w:val="24"/>
                <w:lang w:val="en-US" w:eastAsia="zh-CN" w:bidi="ar-SA"/>
              </w:rPr>
            </w:pPr>
            <w:r>
              <w:rPr>
                <w:rFonts w:hint="eastAsia" w:eastAsia="仿宋_GB2312"/>
                <w:color w:val="auto"/>
                <w:lang w:val="en-US" w:eastAsia="zh-CN"/>
              </w:rPr>
              <w:t>DA005</w:t>
            </w:r>
          </w:p>
        </w:tc>
      </w:tr>
      <w:tr w14:paraId="31B822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restart"/>
            <w:shd w:val="clear" w:color="auto" w:fill="auto"/>
            <w:vAlign w:val="center"/>
          </w:tcPr>
          <w:p w14:paraId="08BC4632">
            <w:pPr>
              <w:jc w:val="center"/>
              <w:rPr>
                <w:rFonts w:ascii="Times New Roman" w:hAnsi="Times New Roman" w:eastAsia="仿宋_GB2312" w:cs="Times New Roman"/>
                <w:color w:val="auto"/>
                <w:kern w:val="2"/>
                <w:sz w:val="21"/>
                <w:szCs w:val="21"/>
                <w:lang w:val="en-US" w:eastAsia="zh-CN" w:bidi="ar-SA"/>
              </w:rPr>
            </w:pPr>
            <w:r>
              <w:rPr>
                <w:rFonts w:eastAsia="仿宋_GB2312"/>
                <w:color w:val="auto"/>
                <w:szCs w:val="21"/>
              </w:rPr>
              <w:t>B-7车间</w:t>
            </w:r>
          </w:p>
        </w:tc>
        <w:tc>
          <w:tcPr>
            <w:tcW w:w="358" w:type="pct"/>
            <w:vMerge w:val="restart"/>
            <w:shd w:val="clear" w:color="auto" w:fill="auto"/>
            <w:vAlign w:val="center"/>
          </w:tcPr>
          <w:p w14:paraId="5EF31E0C">
            <w:pPr>
              <w:jc w:val="center"/>
              <w:rPr>
                <w:rFonts w:hint="eastAsia" w:ascii="Times New Roman" w:hAnsi="Times New Roman" w:eastAsia="仿宋_GB2312" w:cs="Times New Roman"/>
                <w:color w:val="auto"/>
                <w:kern w:val="2"/>
                <w:sz w:val="21"/>
                <w:szCs w:val="21"/>
                <w:lang w:val="en-US" w:eastAsia="zh-CN" w:bidi="ar-SA"/>
              </w:rPr>
            </w:pPr>
            <w:r>
              <w:rPr>
                <w:rFonts w:hint="eastAsia" w:eastAsia="仿宋_GB2312" w:cs="Times New Roman"/>
                <w:color w:val="auto"/>
                <w:kern w:val="2"/>
                <w:sz w:val="21"/>
                <w:szCs w:val="21"/>
                <w:lang w:val="en-US" w:eastAsia="zh-CN" w:bidi="ar-SA"/>
              </w:rPr>
              <w:t>甲醇</w:t>
            </w:r>
          </w:p>
        </w:tc>
        <w:tc>
          <w:tcPr>
            <w:tcW w:w="418" w:type="pct"/>
            <w:shd w:val="clear" w:color="auto" w:fill="auto"/>
            <w:vAlign w:val="center"/>
          </w:tcPr>
          <w:p w14:paraId="695C396C">
            <w:pPr>
              <w:jc w:val="center"/>
              <w:rPr>
                <w:rFonts w:ascii="Times New Roman" w:hAnsi="Times New Roman" w:eastAsia="仿宋_GB2312" w:cs="Times New Roman"/>
                <w:color w:val="auto"/>
                <w:kern w:val="0"/>
                <w:sz w:val="21"/>
                <w:szCs w:val="21"/>
                <w:lang w:val="en-US" w:eastAsia="zh-CN" w:bidi="ar"/>
              </w:rPr>
            </w:pPr>
            <w:r>
              <w:rPr>
                <w:rFonts w:eastAsia="仿宋_GB2312"/>
                <w:color w:val="auto"/>
                <w:kern w:val="0"/>
                <w:szCs w:val="21"/>
                <w:lang w:bidi="ar"/>
              </w:rPr>
              <w:t>G</w:t>
            </w:r>
            <w:r>
              <w:rPr>
                <w:rFonts w:hint="eastAsia" w:eastAsia="仿宋_GB2312"/>
                <w:color w:val="auto"/>
                <w:kern w:val="0"/>
                <w:szCs w:val="21"/>
                <w:lang w:val="en-US" w:eastAsia="zh-CN" w:bidi="ar"/>
              </w:rPr>
              <w:t>4</w:t>
            </w:r>
            <w:r>
              <w:rPr>
                <w:rFonts w:eastAsia="仿宋_GB2312"/>
                <w:color w:val="auto"/>
                <w:kern w:val="0"/>
                <w:szCs w:val="21"/>
                <w:lang w:bidi="ar"/>
              </w:rPr>
              <w:t>-</w:t>
            </w:r>
            <w:r>
              <w:rPr>
                <w:rFonts w:hint="eastAsia" w:eastAsia="仿宋_GB2312"/>
                <w:color w:val="auto"/>
                <w:kern w:val="0"/>
                <w:szCs w:val="21"/>
                <w:lang w:val="en-US" w:eastAsia="zh-CN" w:bidi="ar"/>
              </w:rPr>
              <w:t>2</w:t>
            </w:r>
            <w:r>
              <w:rPr>
                <w:rFonts w:eastAsia="仿宋_GB2312"/>
                <w:color w:val="auto"/>
                <w:kern w:val="0"/>
                <w:szCs w:val="21"/>
                <w:lang w:bidi="ar"/>
              </w:rPr>
              <w:t>-1</w:t>
            </w:r>
          </w:p>
        </w:tc>
        <w:tc>
          <w:tcPr>
            <w:tcW w:w="446" w:type="pct"/>
            <w:shd w:val="clear" w:color="auto" w:fill="auto"/>
            <w:vAlign w:val="center"/>
          </w:tcPr>
          <w:p w14:paraId="301DE9DC">
            <w:pPr>
              <w:jc w:val="center"/>
              <w:rPr>
                <w:rFonts w:ascii="Times New Roman" w:hAnsi="Times New Roman" w:eastAsia="仿宋_GB2312" w:cs="Times New Roman"/>
                <w:color w:val="auto"/>
                <w:kern w:val="0"/>
                <w:sz w:val="21"/>
                <w:szCs w:val="21"/>
                <w:lang w:val="en-US" w:eastAsia="zh-CN" w:bidi="ar"/>
              </w:rPr>
            </w:pPr>
            <w:r>
              <w:rPr>
                <w:rFonts w:eastAsia="仿宋_GB2312"/>
                <w:color w:val="auto"/>
                <w:kern w:val="0"/>
                <w:szCs w:val="21"/>
                <w:lang w:bidi="ar"/>
              </w:rPr>
              <w:t>投料废气</w:t>
            </w:r>
          </w:p>
        </w:tc>
        <w:tc>
          <w:tcPr>
            <w:tcW w:w="361" w:type="pct"/>
            <w:shd w:val="clear" w:color="auto" w:fill="auto"/>
            <w:vAlign w:val="center"/>
          </w:tcPr>
          <w:p w14:paraId="2B6AFEF6">
            <w:pPr>
              <w:jc w:val="center"/>
              <w:rPr>
                <w:rFonts w:hint="eastAsia" w:ascii="Times New Roman" w:hAnsi="Times New Roman" w:eastAsia="仿宋_GB2312" w:cs="Times New Roman"/>
                <w:color w:val="auto"/>
                <w:kern w:val="2"/>
                <w:sz w:val="21"/>
                <w:szCs w:val="21"/>
                <w:lang w:val="en-US" w:eastAsia="zh-CN" w:bidi="ar-SA"/>
              </w:rPr>
            </w:pPr>
            <w:r>
              <w:rPr>
                <w:rFonts w:hint="eastAsia" w:eastAsia="仿宋_GB2312"/>
                <w:color w:val="auto"/>
                <w:szCs w:val="21"/>
                <w:lang w:val="en-US" w:eastAsia="zh-CN"/>
              </w:rPr>
              <w:t>2000</w:t>
            </w:r>
          </w:p>
        </w:tc>
        <w:tc>
          <w:tcPr>
            <w:tcW w:w="498" w:type="pct"/>
            <w:shd w:val="clear" w:color="auto" w:fill="auto"/>
            <w:vAlign w:val="center"/>
          </w:tcPr>
          <w:p w14:paraId="7EDC90C9">
            <w:pPr>
              <w:keepNext w:val="0"/>
              <w:keepLines w:val="0"/>
              <w:widowControl/>
              <w:suppressLineNumbers w:val="0"/>
              <w:jc w:val="center"/>
              <w:textAlignment w:val="bottom"/>
              <w:rPr>
                <w:rFonts w:hint="eastAsia" w:eastAsia="仿宋_GB2312"/>
                <w:color w:val="auto"/>
                <w:kern w:val="0"/>
                <w:szCs w:val="21"/>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4800</w:t>
            </w:r>
          </w:p>
        </w:tc>
        <w:tc>
          <w:tcPr>
            <w:tcW w:w="820" w:type="pct"/>
            <w:shd w:val="clear" w:color="auto" w:fill="auto"/>
            <w:vAlign w:val="center"/>
          </w:tcPr>
          <w:p w14:paraId="6E21DF35">
            <w:pPr>
              <w:widowControl/>
              <w:jc w:val="center"/>
              <w:textAlignment w:val="center"/>
              <w:rPr>
                <w:rFonts w:hint="eastAsia" w:ascii="Times New Roman" w:hAnsi="Times New Roman" w:eastAsia="仿宋_GB2312" w:cs="Times New Roman"/>
                <w:b/>
                <w:bCs/>
                <w:color w:val="auto"/>
                <w:kern w:val="0"/>
                <w:sz w:val="21"/>
                <w:szCs w:val="21"/>
                <w:lang w:val="en-US" w:eastAsia="zh-CN" w:bidi="ar"/>
              </w:rPr>
            </w:pPr>
            <w:r>
              <w:rPr>
                <w:rFonts w:hint="eastAsia" w:eastAsia="仿宋_GB2312"/>
                <w:color w:val="auto"/>
                <w:kern w:val="0"/>
                <w:szCs w:val="21"/>
                <w:lang w:val="en-US" w:eastAsia="zh-CN" w:bidi="ar"/>
              </w:rPr>
              <w:t>甲醇</w:t>
            </w:r>
          </w:p>
        </w:tc>
        <w:tc>
          <w:tcPr>
            <w:tcW w:w="380" w:type="pct"/>
            <w:shd w:val="clear" w:color="auto" w:fill="auto"/>
            <w:vAlign w:val="center"/>
          </w:tcPr>
          <w:p w14:paraId="69955930">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0.605</w:t>
            </w:r>
          </w:p>
        </w:tc>
        <w:tc>
          <w:tcPr>
            <w:tcW w:w="445" w:type="pct"/>
            <w:shd w:val="clear" w:color="auto" w:fill="auto"/>
            <w:vAlign w:val="center"/>
          </w:tcPr>
          <w:p w14:paraId="746D76B8">
            <w:pPr>
              <w:jc w:val="center"/>
              <w:rPr>
                <w:rFonts w:hint="eastAsia"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2.905</w:t>
            </w:r>
          </w:p>
        </w:tc>
        <w:tc>
          <w:tcPr>
            <w:tcW w:w="630" w:type="pct"/>
            <w:vMerge w:val="continue"/>
            <w:shd w:val="clear" w:color="auto" w:fill="auto"/>
            <w:vAlign w:val="center"/>
          </w:tcPr>
          <w:p w14:paraId="42D4A748">
            <w:pPr>
              <w:jc w:val="center"/>
              <w:rPr>
                <w:rFonts w:hint="eastAsia" w:ascii="Times New Roman" w:hAnsi="Times New Roman" w:eastAsia="仿宋_GB2312" w:cs="Times New Roman"/>
                <w:color w:val="auto"/>
                <w:kern w:val="2"/>
                <w:sz w:val="21"/>
                <w:szCs w:val="24"/>
                <w:lang w:val="en-US" w:eastAsia="zh-CN" w:bidi="ar-SA"/>
              </w:rPr>
            </w:pPr>
          </w:p>
        </w:tc>
        <w:tc>
          <w:tcPr>
            <w:tcW w:w="292" w:type="pct"/>
            <w:vMerge w:val="continue"/>
            <w:shd w:val="clear" w:color="auto" w:fill="auto"/>
            <w:vAlign w:val="center"/>
          </w:tcPr>
          <w:p w14:paraId="77806C29">
            <w:pPr>
              <w:jc w:val="center"/>
              <w:rPr>
                <w:rFonts w:hint="eastAsia" w:ascii="Times New Roman" w:hAnsi="Times New Roman" w:eastAsia="仿宋_GB2312" w:cs="Times New Roman"/>
                <w:color w:val="auto"/>
                <w:kern w:val="2"/>
                <w:sz w:val="21"/>
                <w:szCs w:val="24"/>
                <w:lang w:val="en-US" w:eastAsia="zh-CN" w:bidi="ar-SA"/>
              </w:rPr>
            </w:pPr>
          </w:p>
        </w:tc>
      </w:tr>
      <w:tr w14:paraId="49959A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795F5F1A">
            <w:pPr>
              <w:jc w:val="center"/>
              <w:rPr>
                <w:rFonts w:eastAsia="仿宋_GB2312"/>
                <w:color w:val="auto"/>
                <w:szCs w:val="21"/>
              </w:rPr>
            </w:pPr>
          </w:p>
        </w:tc>
        <w:tc>
          <w:tcPr>
            <w:tcW w:w="358" w:type="pct"/>
            <w:vMerge w:val="continue"/>
            <w:vAlign w:val="center"/>
          </w:tcPr>
          <w:p w14:paraId="02765A49">
            <w:pPr>
              <w:jc w:val="center"/>
              <w:rPr>
                <w:rFonts w:eastAsia="仿宋_GB2312"/>
                <w:color w:val="auto"/>
                <w:szCs w:val="21"/>
              </w:rPr>
            </w:pPr>
          </w:p>
        </w:tc>
        <w:tc>
          <w:tcPr>
            <w:tcW w:w="418" w:type="pct"/>
            <w:shd w:val="clear" w:color="auto" w:fill="auto"/>
            <w:vAlign w:val="center"/>
          </w:tcPr>
          <w:p w14:paraId="418CE4B9">
            <w:pPr>
              <w:jc w:val="center"/>
              <w:rPr>
                <w:rFonts w:ascii="Times New Roman" w:hAnsi="Times New Roman" w:eastAsia="仿宋_GB2312" w:cs="Times New Roman"/>
                <w:color w:val="auto"/>
                <w:kern w:val="0"/>
                <w:sz w:val="21"/>
                <w:szCs w:val="21"/>
                <w:lang w:val="en-US" w:eastAsia="zh-CN" w:bidi="ar"/>
              </w:rPr>
            </w:pPr>
            <w:r>
              <w:rPr>
                <w:rFonts w:eastAsia="仿宋_GB2312"/>
                <w:color w:val="auto"/>
                <w:kern w:val="0"/>
                <w:szCs w:val="21"/>
                <w:lang w:bidi="ar"/>
              </w:rPr>
              <w:t>G</w:t>
            </w:r>
            <w:r>
              <w:rPr>
                <w:rFonts w:hint="eastAsia" w:eastAsia="仿宋_GB2312"/>
                <w:color w:val="auto"/>
                <w:kern w:val="0"/>
                <w:szCs w:val="21"/>
                <w:lang w:val="en-US" w:eastAsia="zh-CN" w:bidi="ar"/>
              </w:rPr>
              <w:t>4</w:t>
            </w:r>
            <w:r>
              <w:rPr>
                <w:rFonts w:eastAsia="仿宋_GB2312"/>
                <w:color w:val="auto"/>
                <w:kern w:val="0"/>
                <w:szCs w:val="21"/>
                <w:lang w:bidi="ar"/>
              </w:rPr>
              <w:t>-</w:t>
            </w:r>
            <w:r>
              <w:rPr>
                <w:rFonts w:hint="eastAsia" w:eastAsia="仿宋_GB2312"/>
                <w:color w:val="auto"/>
                <w:kern w:val="0"/>
                <w:szCs w:val="21"/>
                <w:lang w:val="en-US" w:eastAsia="zh-CN" w:bidi="ar"/>
              </w:rPr>
              <w:t>2-</w:t>
            </w:r>
            <w:r>
              <w:rPr>
                <w:rFonts w:eastAsia="仿宋_GB2312"/>
                <w:color w:val="auto"/>
                <w:kern w:val="0"/>
                <w:szCs w:val="21"/>
                <w:lang w:bidi="ar"/>
              </w:rPr>
              <w:t>2</w:t>
            </w:r>
          </w:p>
        </w:tc>
        <w:tc>
          <w:tcPr>
            <w:tcW w:w="446" w:type="pct"/>
            <w:shd w:val="clear" w:color="auto" w:fill="auto"/>
            <w:vAlign w:val="center"/>
          </w:tcPr>
          <w:p w14:paraId="1E054689">
            <w:pPr>
              <w:jc w:val="center"/>
              <w:rPr>
                <w:rFonts w:ascii="Times New Roman" w:hAnsi="Times New Roman" w:eastAsia="仿宋_GB2312" w:cs="Times New Roman"/>
                <w:color w:val="auto"/>
                <w:kern w:val="0"/>
                <w:sz w:val="21"/>
                <w:szCs w:val="21"/>
                <w:lang w:val="en-US" w:eastAsia="zh-CN" w:bidi="ar"/>
              </w:rPr>
            </w:pPr>
            <w:r>
              <w:rPr>
                <w:rFonts w:eastAsia="仿宋_GB2312"/>
                <w:color w:val="auto"/>
                <w:kern w:val="0"/>
                <w:szCs w:val="21"/>
                <w:lang w:bidi="ar"/>
              </w:rPr>
              <w:t>调节废气</w:t>
            </w:r>
          </w:p>
        </w:tc>
        <w:tc>
          <w:tcPr>
            <w:tcW w:w="361" w:type="pct"/>
            <w:shd w:val="clear" w:color="auto" w:fill="auto"/>
            <w:vAlign w:val="center"/>
          </w:tcPr>
          <w:p w14:paraId="0E4FBF9C">
            <w:pPr>
              <w:jc w:val="center"/>
              <w:rPr>
                <w:rFonts w:hint="eastAsia" w:ascii="Times New Roman" w:hAnsi="Times New Roman" w:eastAsia="仿宋_GB2312" w:cs="Times New Roman"/>
                <w:color w:val="auto"/>
                <w:kern w:val="2"/>
                <w:sz w:val="21"/>
                <w:szCs w:val="21"/>
                <w:lang w:val="en-US" w:eastAsia="zh-CN" w:bidi="ar-SA"/>
              </w:rPr>
            </w:pPr>
            <w:r>
              <w:rPr>
                <w:rFonts w:hint="eastAsia" w:eastAsia="仿宋_GB2312"/>
                <w:color w:val="auto"/>
                <w:szCs w:val="21"/>
                <w:lang w:val="en-US" w:eastAsia="zh-CN"/>
              </w:rPr>
              <w:t>100</w:t>
            </w:r>
          </w:p>
        </w:tc>
        <w:tc>
          <w:tcPr>
            <w:tcW w:w="498" w:type="pct"/>
            <w:shd w:val="clear" w:color="auto" w:fill="auto"/>
            <w:vAlign w:val="center"/>
          </w:tcPr>
          <w:p w14:paraId="24B6845A">
            <w:pPr>
              <w:keepNext w:val="0"/>
              <w:keepLines w:val="0"/>
              <w:widowControl/>
              <w:suppressLineNumbers w:val="0"/>
              <w:jc w:val="center"/>
              <w:textAlignment w:val="bottom"/>
              <w:rPr>
                <w:rFonts w:hint="eastAsia" w:eastAsia="仿宋_GB2312"/>
                <w:color w:val="auto"/>
                <w:kern w:val="0"/>
                <w:szCs w:val="21"/>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4800</w:t>
            </w:r>
          </w:p>
        </w:tc>
        <w:tc>
          <w:tcPr>
            <w:tcW w:w="820" w:type="pct"/>
            <w:shd w:val="clear" w:color="auto" w:fill="auto"/>
            <w:vAlign w:val="center"/>
          </w:tcPr>
          <w:p w14:paraId="5CEA111B">
            <w:pPr>
              <w:widowControl/>
              <w:jc w:val="center"/>
              <w:textAlignment w:val="center"/>
              <w:rPr>
                <w:rFonts w:hint="eastAsia" w:ascii="Times New Roman" w:hAnsi="Times New Roman" w:eastAsia="仿宋_GB2312" w:cs="Times New Roman"/>
                <w:b/>
                <w:bCs/>
                <w:color w:val="auto"/>
                <w:kern w:val="0"/>
                <w:sz w:val="21"/>
                <w:szCs w:val="21"/>
                <w:lang w:val="en-US" w:eastAsia="zh-CN" w:bidi="ar"/>
              </w:rPr>
            </w:pPr>
            <w:r>
              <w:rPr>
                <w:rFonts w:hint="eastAsia" w:eastAsia="仿宋_GB2312"/>
                <w:color w:val="auto"/>
                <w:kern w:val="0"/>
                <w:szCs w:val="21"/>
                <w:lang w:val="en-US" w:eastAsia="zh-CN" w:bidi="ar"/>
              </w:rPr>
              <w:t>甲醇</w:t>
            </w:r>
          </w:p>
        </w:tc>
        <w:tc>
          <w:tcPr>
            <w:tcW w:w="380" w:type="pct"/>
            <w:shd w:val="clear" w:color="auto" w:fill="auto"/>
            <w:vAlign w:val="center"/>
          </w:tcPr>
          <w:p w14:paraId="3CBEB14C">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0.305</w:t>
            </w:r>
          </w:p>
        </w:tc>
        <w:tc>
          <w:tcPr>
            <w:tcW w:w="445" w:type="pct"/>
            <w:shd w:val="clear" w:color="auto" w:fill="auto"/>
            <w:vAlign w:val="center"/>
          </w:tcPr>
          <w:p w14:paraId="7FE78C1D">
            <w:pPr>
              <w:widowControl/>
              <w:jc w:val="center"/>
              <w:textAlignment w:val="center"/>
              <w:rPr>
                <w:rFonts w:hint="eastAsia"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1.467</w:t>
            </w:r>
          </w:p>
        </w:tc>
        <w:tc>
          <w:tcPr>
            <w:tcW w:w="630" w:type="pct"/>
            <w:vMerge w:val="restart"/>
            <w:shd w:val="clear" w:color="auto" w:fill="auto"/>
            <w:vAlign w:val="center"/>
          </w:tcPr>
          <w:p w14:paraId="5764CFC0">
            <w:pPr>
              <w:widowControl/>
              <w:jc w:val="center"/>
              <w:textAlignment w:val="center"/>
              <w:rPr>
                <w:rFonts w:hint="eastAsia" w:ascii="Times New Roman" w:hAnsi="Times New Roman" w:eastAsia="仿宋_GB2312" w:cs="Times New Roman"/>
                <w:color w:val="auto"/>
                <w:szCs w:val="21"/>
                <w:lang w:val="en-US" w:eastAsia="zh-CN"/>
              </w:rPr>
            </w:pPr>
            <w:r>
              <w:rPr>
                <w:rFonts w:hint="eastAsia" w:eastAsia="仿宋_GB2312" w:cs="Times New Roman"/>
                <w:color w:val="auto"/>
                <w:szCs w:val="21"/>
                <w:lang w:val="en-US" w:eastAsia="zh-CN"/>
              </w:rPr>
              <w:t>预处理（</w:t>
            </w:r>
            <w:r>
              <w:rPr>
                <w:rFonts w:hint="eastAsia" w:ascii="Times New Roman" w:hAnsi="Times New Roman" w:eastAsia="仿宋_GB2312" w:cs="Times New Roman"/>
                <w:color w:val="auto"/>
                <w:szCs w:val="21"/>
                <w:lang w:val="en-US" w:eastAsia="zh-CN"/>
              </w:rPr>
              <w:t>冷凝+稀酸吸收+碱吸收+水吸收+除雾</w:t>
            </w:r>
            <w:r>
              <w:rPr>
                <w:rFonts w:hint="eastAsia" w:eastAsia="仿宋_GB2312" w:cs="Times New Roman"/>
                <w:color w:val="auto"/>
                <w:szCs w:val="21"/>
                <w:lang w:val="en-US" w:eastAsia="zh-CN"/>
              </w:rPr>
              <w:t>）+</w:t>
            </w:r>
            <w:r>
              <w:rPr>
                <w:rFonts w:eastAsia="仿宋_GB2312"/>
                <w:color w:val="auto"/>
                <w:szCs w:val="21"/>
              </w:rPr>
              <w:t>焚烧</w:t>
            </w:r>
          </w:p>
        </w:tc>
        <w:tc>
          <w:tcPr>
            <w:tcW w:w="292" w:type="pct"/>
            <w:vMerge w:val="restart"/>
            <w:shd w:val="clear" w:color="auto" w:fill="auto"/>
            <w:vAlign w:val="center"/>
          </w:tcPr>
          <w:p w14:paraId="0EEDE24B">
            <w:pPr>
              <w:widowControl/>
              <w:jc w:val="center"/>
              <w:textAlignment w:val="center"/>
              <w:rPr>
                <w:rFonts w:hint="eastAsia" w:eastAsia="仿宋_GB2312"/>
                <w:color w:val="auto"/>
                <w:lang w:val="en-US" w:eastAsia="zh-CN"/>
              </w:rPr>
            </w:pPr>
            <w:r>
              <w:rPr>
                <w:rFonts w:hint="eastAsia" w:eastAsia="仿宋_GB2312"/>
                <w:color w:val="auto"/>
                <w:kern w:val="0"/>
                <w:szCs w:val="21"/>
                <w:lang w:val="en-US" w:eastAsia="zh-CN" w:bidi="ar"/>
              </w:rPr>
              <w:t>DA002</w:t>
            </w:r>
          </w:p>
        </w:tc>
      </w:tr>
      <w:tr w14:paraId="189C2B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4006CC78">
            <w:pPr>
              <w:jc w:val="center"/>
              <w:rPr>
                <w:rFonts w:eastAsia="仿宋_GB2312"/>
                <w:color w:val="auto"/>
                <w:szCs w:val="21"/>
              </w:rPr>
            </w:pPr>
          </w:p>
        </w:tc>
        <w:tc>
          <w:tcPr>
            <w:tcW w:w="358" w:type="pct"/>
            <w:vMerge w:val="continue"/>
            <w:vAlign w:val="center"/>
          </w:tcPr>
          <w:p w14:paraId="476DDDEF">
            <w:pPr>
              <w:jc w:val="center"/>
              <w:rPr>
                <w:rFonts w:eastAsia="仿宋_GB2312"/>
                <w:color w:val="auto"/>
                <w:szCs w:val="21"/>
              </w:rPr>
            </w:pPr>
          </w:p>
        </w:tc>
        <w:tc>
          <w:tcPr>
            <w:tcW w:w="418" w:type="pct"/>
            <w:shd w:val="clear" w:color="auto" w:fill="auto"/>
            <w:vAlign w:val="center"/>
          </w:tcPr>
          <w:p w14:paraId="6BD951AA">
            <w:pPr>
              <w:jc w:val="center"/>
              <w:rPr>
                <w:rFonts w:ascii="Times New Roman" w:hAnsi="Times New Roman" w:eastAsia="仿宋_GB2312" w:cs="Times New Roman"/>
                <w:color w:val="auto"/>
                <w:kern w:val="0"/>
                <w:sz w:val="21"/>
                <w:szCs w:val="21"/>
                <w:lang w:val="en-US" w:eastAsia="zh-CN" w:bidi="ar"/>
              </w:rPr>
            </w:pPr>
            <w:r>
              <w:rPr>
                <w:rFonts w:eastAsia="仿宋_GB2312"/>
                <w:color w:val="auto"/>
                <w:kern w:val="0"/>
                <w:szCs w:val="21"/>
                <w:lang w:bidi="ar"/>
              </w:rPr>
              <w:t>G</w:t>
            </w:r>
            <w:r>
              <w:rPr>
                <w:rFonts w:hint="eastAsia" w:eastAsia="仿宋_GB2312"/>
                <w:color w:val="auto"/>
                <w:kern w:val="0"/>
                <w:szCs w:val="21"/>
                <w:lang w:val="en-US" w:eastAsia="zh-CN" w:bidi="ar"/>
              </w:rPr>
              <w:t>4</w:t>
            </w:r>
            <w:r>
              <w:rPr>
                <w:rFonts w:eastAsia="仿宋_GB2312"/>
                <w:color w:val="auto"/>
                <w:kern w:val="0"/>
                <w:szCs w:val="21"/>
                <w:lang w:bidi="ar"/>
              </w:rPr>
              <w:t>-</w:t>
            </w:r>
            <w:r>
              <w:rPr>
                <w:rFonts w:hint="eastAsia" w:eastAsia="仿宋_GB2312"/>
                <w:color w:val="auto"/>
                <w:kern w:val="0"/>
                <w:szCs w:val="21"/>
                <w:lang w:val="en-US" w:eastAsia="zh-CN" w:bidi="ar"/>
              </w:rPr>
              <w:t>2</w:t>
            </w:r>
            <w:r>
              <w:rPr>
                <w:rFonts w:eastAsia="仿宋_GB2312"/>
                <w:color w:val="auto"/>
                <w:kern w:val="0"/>
                <w:szCs w:val="21"/>
                <w:lang w:bidi="ar"/>
              </w:rPr>
              <w:t>-3</w:t>
            </w:r>
          </w:p>
        </w:tc>
        <w:tc>
          <w:tcPr>
            <w:tcW w:w="446" w:type="pct"/>
            <w:shd w:val="clear" w:color="auto" w:fill="auto"/>
            <w:vAlign w:val="center"/>
          </w:tcPr>
          <w:p w14:paraId="7C4C48FC">
            <w:pPr>
              <w:jc w:val="center"/>
              <w:rPr>
                <w:rFonts w:ascii="Times New Roman" w:hAnsi="Times New Roman" w:eastAsia="仿宋_GB2312" w:cs="Times New Roman"/>
                <w:color w:val="auto"/>
                <w:kern w:val="0"/>
                <w:sz w:val="21"/>
                <w:szCs w:val="21"/>
                <w:lang w:val="en-US" w:eastAsia="zh-CN" w:bidi="ar"/>
              </w:rPr>
            </w:pPr>
            <w:r>
              <w:rPr>
                <w:rFonts w:eastAsia="仿宋_GB2312"/>
                <w:color w:val="auto"/>
                <w:kern w:val="0"/>
                <w:szCs w:val="21"/>
                <w:lang w:bidi="ar"/>
              </w:rPr>
              <w:t>不凝气</w:t>
            </w:r>
          </w:p>
        </w:tc>
        <w:tc>
          <w:tcPr>
            <w:tcW w:w="361" w:type="pct"/>
            <w:shd w:val="clear" w:color="auto" w:fill="auto"/>
            <w:vAlign w:val="center"/>
          </w:tcPr>
          <w:p w14:paraId="2B111F60">
            <w:pPr>
              <w:jc w:val="center"/>
              <w:rPr>
                <w:rFonts w:hint="eastAsia" w:ascii="Times New Roman" w:hAnsi="Times New Roman" w:eastAsia="仿宋_GB2312" w:cs="Times New Roman"/>
                <w:color w:val="auto"/>
                <w:kern w:val="2"/>
                <w:sz w:val="21"/>
                <w:szCs w:val="21"/>
                <w:lang w:val="en-US" w:eastAsia="zh-CN" w:bidi="ar-SA"/>
              </w:rPr>
            </w:pPr>
            <w:r>
              <w:rPr>
                <w:rFonts w:hint="eastAsia" w:eastAsia="仿宋_GB2312"/>
                <w:color w:val="auto"/>
                <w:szCs w:val="21"/>
                <w:lang w:val="en-US" w:eastAsia="zh-CN"/>
              </w:rPr>
              <w:t>360</w:t>
            </w:r>
          </w:p>
        </w:tc>
        <w:tc>
          <w:tcPr>
            <w:tcW w:w="498" w:type="pct"/>
            <w:shd w:val="clear" w:color="auto" w:fill="auto"/>
            <w:vAlign w:val="center"/>
          </w:tcPr>
          <w:p w14:paraId="2D8CE938">
            <w:pPr>
              <w:keepNext w:val="0"/>
              <w:keepLines w:val="0"/>
              <w:widowControl/>
              <w:suppressLineNumbers w:val="0"/>
              <w:jc w:val="center"/>
              <w:textAlignment w:val="bottom"/>
              <w:rPr>
                <w:rFonts w:hint="eastAsia" w:eastAsia="仿宋_GB2312"/>
                <w:color w:val="auto"/>
                <w:kern w:val="0"/>
                <w:szCs w:val="21"/>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4800</w:t>
            </w:r>
          </w:p>
        </w:tc>
        <w:tc>
          <w:tcPr>
            <w:tcW w:w="820" w:type="pct"/>
            <w:shd w:val="clear" w:color="auto" w:fill="auto"/>
            <w:vAlign w:val="center"/>
          </w:tcPr>
          <w:p w14:paraId="2DF00F63">
            <w:pPr>
              <w:widowControl/>
              <w:jc w:val="center"/>
              <w:textAlignment w:val="center"/>
              <w:rPr>
                <w:rFonts w:hint="eastAsia" w:ascii="Times New Roman" w:hAnsi="Times New Roman" w:eastAsia="仿宋_GB2312" w:cs="Times New Roman"/>
                <w:b/>
                <w:bCs/>
                <w:color w:val="auto"/>
                <w:kern w:val="0"/>
                <w:sz w:val="21"/>
                <w:szCs w:val="21"/>
                <w:lang w:val="en-US" w:eastAsia="zh-CN" w:bidi="ar"/>
              </w:rPr>
            </w:pPr>
            <w:r>
              <w:rPr>
                <w:rFonts w:hint="eastAsia" w:eastAsia="仿宋_GB2312"/>
                <w:color w:val="auto"/>
                <w:kern w:val="0"/>
                <w:szCs w:val="21"/>
                <w:lang w:val="en-US" w:eastAsia="zh-CN" w:bidi="ar"/>
              </w:rPr>
              <w:t>甲醇</w:t>
            </w:r>
          </w:p>
        </w:tc>
        <w:tc>
          <w:tcPr>
            <w:tcW w:w="380" w:type="pct"/>
            <w:shd w:val="clear" w:color="auto" w:fill="auto"/>
            <w:vAlign w:val="center"/>
          </w:tcPr>
          <w:p w14:paraId="186C236D">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11.4</w:t>
            </w:r>
          </w:p>
        </w:tc>
        <w:tc>
          <w:tcPr>
            <w:tcW w:w="445" w:type="pct"/>
            <w:shd w:val="clear" w:color="auto" w:fill="auto"/>
            <w:vAlign w:val="center"/>
          </w:tcPr>
          <w:p w14:paraId="7F48F1DD">
            <w:pPr>
              <w:widowControl/>
              <w:jc w:val="center"/>
              <w:textAlignment w:val="center"/>
              <w:rPr>
                <w:rFonts w:hint="eastAsia"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54.739</w:t>
            </w:r>
          </w:p>
        </w:tc>
        <w:tc>
          <w:tcPr>
            <w:tcW w:w="630" w:type="pct"/>
            <w:vMerge w:val="continue"/>
            <w:shd w:val="clear" w:color="auto" w:fill="auto"/>
            <w:vAlign w:val="center"/>
          </w:tcPr>
          <w:p w14:paraId="44EC950D">
            <w:pPr>
              <w:jc w:val="center"/>
              <w:rPr>
                <w:rFonts w:hint="eastAsia" w:ascii="Times New Roman" w:hAnsi="Times New Roman" w:eastAsia="仿宋_GB2312" w:cs="Times New Roman"/>
                <w:color w:val="auto"/>
                <w:szCs w:val="21"/>
                <w:lang w:val="en-US" w:eastAsia="zh-CN"/>
              </w:rPr>
            </w:pPr>
          </w:p>
        </w:tc>
        <w:tc>
          <w:tcPr>
            <w:tcW w:w="292" w:type="pct"/>
            <w:vMerge w:val="continue"/>
            <w:shd w:val="clear" w:color="auto" w:fill="auto"/>
            <w:vAlign w:val="center"/>
          </w:tcPr>
          <w:p w14:paraId="58414C63">
            <w:pPr>
              <w:jc w:val="center"/>
              <w:rPr>
                <w:rFonts w:hint="eastAsia" w:eastAsia="仿宋_GB2312"/>
                <w:color w:val="auto"/>
                <w:lang w:val="en-US" w:eastAsia="zh-CN"/>
              </w:rPr>
            </w:pPr>
          </w:p>
        </w:tc>
      </w:tr>
      <w:tr w14:paraId="0B5C48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1B739554">
            <w:pPr>
              <w:jc w:val="center"/>
              <w:rPr>
                <w:rFonts w:eastAsia="仿宋_GB2312"/>
                <w:color w:val="auto"/>
                <w:szCs w:val="21"/>
              </w:rPr>
            </w:pPr>
          </w:p>
        </w:tc>
        <w:tc>
          <w:tcPr>
            <w:tcW w:w="358" w:type="pct"/>
            <w:vMerge w:val="continue"/>
            <w:vAlign w:val="center"/>
          </w:tcPr>
          <w:p w14:paraId="6246F2C0">
            <w:pPr>
              <w:jc w:val="center"/>
              <w:rPr>
                <w:rFonts w:eastAsia="仿宋_GB2312"/>
                <w:color w:val="auto"/>
                <w:szCs w:val="21"/>
              </w:rPr>
            </w:pPr>
          </w:p>
        </w:tc>
        <w:tc>
          <w:tcPr>
            <w:tcW w:w="418" w:type="pct"/>
            <w:shd w:val="clear" w:color="auto" w:fill="auto"/>
            <w:vAlign w:val="center"/>
          </w:tcPr>
          <w:p w14:paraId="24A95D63">
            <w:pPr>
              <w:jc w:val="center"/>
              <w:rPr>
                <w:rFonts w:hint="eastAsia" w:ascii="Times New Roman" w:hAnsi="Times New Roman" w:eastAsia="仿宋_GB2312" w:cs="Times New Roman"/>
                <w:color w:val="auto"/>
                <w:kern w:val="2"/>
                <w:sz w:val="21"/>
                <w:szCs w:val="21"/>
                <w:lang w:val="en-US" w:eastAsia="zh-CN" w:bidi="ar-SA"/>
              </w:rPr>
            </w:pPr>
            <w:r>
              <w:rPr>
                <w:rFonts w:eastAsia="仿宋_GB2312"/>
                <w:color w:val="auto"/>
                <w:kern w:val="0"/>
                <w:szCs w:val="21"/>
                <w:lang w:bidi="ar"/>
              </w:rPr>
              <w:t>G</w:t>
            </w:r>
            <w:r>
              <w:rPr>
                <w:rFonts w:hint="eastAsia" w:eastAsia="仿宋_GB2312"/>
                <w:color w:val="auto"/>
                <w:kern w:val="0"/>
                <w:szCs w:val="21"/>
                <w:lang w:val="en-US" w:eastAsia="zh-CN" w:bidi="ar"/>
              </w:rPr>
              <w:t>4</w:t>
            </w:r>
            <w:r>
              <w:rPr>
                <w:rFonts w:eastAsia="仿宋_GB2312"/>
                <w:color w:val="auto"/>
                <w:kern w:val="0"/>
                <w:szCs w:val="21"/>
                <w:lang w:bidi="ar"/>
              </w:rPr>
              <w:t>-</w:t>
            </w:r>
            <w:r>
              <w:rPr>
                <w:rFonts w:hint="eastAsia" w:eastAsia="仿宋_GB2312"/>
                <w:color w:val="auto"/>
                <w:kern w:val="0"/>
                <w:szCs w:val="21"/>
                <w:lang w:val="en-US" w:eastAsia="zh-CN" w:bidi="ar"/>
              </w:rPr>
              <w:t>2</w:t>
            </w:r>
            <w:r>
              <w:rPr>
                <w:rFonts w:eastAsia="仿宋_GB2312"/>
                <w:color w:val="auto"/>
                <w:kern w:val="0"/>
                <w:szCs w:val="21"/>
                <w:lang w:bidi="ar"/>
              </w:rPr>
              <w:t>-</w:t>
            </w:r>
            <w:r>
              <w:rPr>
                <w:rFonts w:hint="eastAsia" w:eastAsia="仿宋_GB2312"/>
                <w:color w:val="auto"/>
                <w:kern w:val="0"/>
                <w:szCs w:val="21"/>
                <w:lang w:val="en-US" w:eastAsia="zh-CN" w:bidi="ar"/>
              </w:rPr>
              <w:t>4</w:t>
            </w:r>
          </w:p>
        </w:tc>
        <w:tc>
          <w:tcPr>
            <w:tcW w:w="446" w:type="pct"/>
            <w:shd w:val="clear" w:color="auto" w:fill="auto"/>
            <w:vAlign w:val="center"/>
          </w:tcPr>
          <w:p w14:paraId="4AFC50AC">
            <w:pPr>
              <w:jc w:val="center"/>
              <w:rPr>
                <w:rFonts w:ascii="Times New Roman" w:hAnsi="Times New Roman" w:eastAsia="仿宋_GB2312" w:cs="Times New Roman"/>
                <w:color w:val="auto"/>
                <w:kern w:val="2"/>
                <w:sz w:val="21"/>
                <w:szCs w:val="21"/>
                <w:lang w:val="en-US" w:eastAsia="zh-CN" w:bidi="ar-SA"/>
              </w:rPr>
            </w:pPr>
            <w:r>
              <w:rPr>
                <w:rFonts w:eastAsia="仿宋_GB2312"/>
                <w:color w:val="auto"/>
                <w:kern w:val="0"/>
                <w:szCs w:val="21"/>
                <w:lang w:bidi="ar"/>
              </w:rPr>
              <w:t>灌装废气</w:t>
            </w:r>
          </w:p>
        </w:tc>
        <w:tc>
          <w:tcPr>
            <w:tcW w:w="361" w:type="pct"/>
            <w:shd w:val="clear" w:color="auto" w:fill="auto"/>
            <w:vAlign w:val="center"/>
          </w:tcPr>
          <w:p w14:paraId="22D26A09">
            <w:pPr>
              <w:jc w:val="center"/>
              <w:rPr>
                <w:rFonts w:hint="eastAsia" w:ascii="Times New Roman" w:hAnsi="Times New Roman" w:eastAsia="仿宋_GB2312" w:cs="Times New Roman"/>
                <w:color w:val="auto"/>
                <w:kern w:val="2"/>
                <w:sz w:val="21"/>
                <w:szCs w:val="21"/>
                <w:lang w:val="en-US" w:eastAsia="zh-CN" w:bidi="ar-SA"/>
              </w:rPr>
            </w:pPr>
            <w:r>
              <w:rPr>
                <w:rFonts w:hint="eastAsia" w:eastAsia="仿宋_GB2312"/>
                <w:color w:val="auto"/>
                <w:szCs w:val="21"/>
                <w:lang w:val="en-US" w:eastAsia="zh-CN"/>
              </w:rPr>
              <w:t>2000</w:t>
            </w:r>
          </w:p>
        </w:tc>
        <w:tc>
          <w:tcPr>
            <w:tcW w:w="498" w:type="pct"/>
            <w:shd w:val="clear" w:color="auto" w:fill="auto"/>
            <w:vAlign w:val="center"/>
          </w:tcPr>
          <w:p w14:paraId="611546CB">
            <w:pPr>
              <w:keepNext w:val="0"/>
              <w:keepLines w:val="0"/>
              <w:widowControl/>
              <w:suppressLineNumbers w:val="0"/>
              <w:jc w:val="center"/>
              <w:textAlignment w:val="bottom"/>
              <w:rPr>
                <w:rFonts w:hint="eastAsia" w:eastAsia="仿宋_GB2312"/>
                <w:color w:val="auto"/>
                <w:kern w:val="0"/>
                <w:szCs w:val="21"/>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4800</w:t>
            </w:r>
          </w:p>
        </w:tc>
        <w:tc>
          <w:tcPr>
            <w:tcW w:w="820" w:type="pct"/>
            <w:shd w:val="clear" w:color="auto" w:fill="auto"/>
            <w:vAlign w:val="center"/>
          </w:tcPr>
          <w:p w14:paraId="00E4501C">
            <w:pPr>
              <w:widowControl/>
              <w:jc w:val="center"/>
              <w:textAlignment w:val="center"/>
              <w:rPr>
                <w:rFonts w:hint="eastAsia" w:ascii="Times New Roman" w:hAnsi="Times New Roman" w:eastAsia="仿宋_GB2312" w:cs="Times New Roman"/>
                <w:b/>
                <w:bCs/>
                <w:color w:val="auto"/>
                <w:kern w:val="0"/>
                <w:sz w:val="21"/>
                <w:szCs w:val="21"/>
                <w:lang w:val="en-US" w:eastAsia="zh-CN" w:bidi="ar"/>
              </w:rPr>
            </w:pPr>
            <w:r>
              <w:rPr>
                <w:rFonts w:hint="eastAsia" w:eastAsia="仿宋_GB2312"/>
                <w:color w:val="auto"/>
                <w:kern w:val="0"/>
                <w:szCs w:val="21"/>
                <w:lang w:val="en-US" w:eastAsia="zh-CN" w:bidi="ar"/>
              </w:rPr>
              <w:t>甲醇</w:t>
            </w:r>
          </w:p>
        </w:tc>
        <w:tc>
          <w:tcPr>
            <w:tcW w:w="380" w:type="pct"/>
            <w:shd w:val="clear" w:color="auto" w:fill="auto"/>
            <w:vAlign w:val="center"/>
          </w:tcPr>
          <w:p w14:paraId="26B14ED2">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0.869</w:t>
            </w:r>
          </w:p>
        </w:tc>
        <w:tc>
          <w:tcPr>
            <w:tcW w:w="445" w:type="pct"/>
            <w:shd w:val="clear" w:color="auto" w:fill="auto"/>
            <w:vAlign w:val="center"/>
          </w:tcPr>
          <w:p w14:paraId="668D9099">
            <w:pPr>
              <w:jc w:val="center"/>
              <w:rPr>
                <w:rFonts w:hint="eastAsia"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4.174</w:t>
            </w:r>
          </w:p>
        </w:tc>
        <w:tc>
          <w:tcPr>
            <w:tcW w:w="630" w:type="pct"/>
            <w:vMerge w:val="restart"/>
            <w:shd w:val="clear" w:color="auto" w:fill="auto"/>
            <w:vAlign w:val="center"/>
          </w:tcPr>
          <w:p w14:paraId="0A3F083A">
            <w:pPr>
              <w:jc w:val="center"/>
              <w:rPr>
                <w:rFonts w:hint="eastAsia" w:ascii="Times New Roman" w:hAnsi="Times New Roman" w:eastAsia="仿宋_GB2312" w:cs="Times New Roman"/>
                <w:color w:val="auto"/>
                <w:kern w:val="2"/>
                <w:sz w:val="21"/>
                <w:szCs w:val="24"/>
                <w:lang w:val="en-US" w:eastAsia="zh-CN" w:bidi="ar-SA"/>
              </w:rPr>
            </w:pPr>
            <w:r>
              <w:rPr>
                <w:rFonts w:hint="eastAsia" w:ascii="Times New Roman" w:hAnsi="Times New Roman" w:eastAsia="仿宋_GB2312" w:cs="Times New Roman"/>
                <w:color w:val="auto"/>
                <w:szCs w:val="21"/>
                <w:lang w:val="en-US" w:eastAsia="zh-CN"/>
              </w:rPr>
              <w:t>冷凝+酸吸收+碱吸收+水洗+活性炭吸附/脱附</w:t>
            </w:r>
          </w:p>
        </w:tc>
        <w:tc>
          <w:tcPr>
            <w:tcW w:w="292" w:type="pct"/>
            <w:vMerge w:val="restart"/>
            <w:shd w:val="clear" w:color="auto" w:fill="auto"/>
            <w:vAlign w:val="center"/>
          </w:tcPr>
          <w:p w14:paraId="0D91A8C3">
            <w:pPr>
              <w:jc w:val="center"/>
              <w:rPr>
                <w:rFonts w:hint="eastAsia" w:ascii="Times New Roman" w:hAnsi="Times New Roman" w:eastAsia="仿宋_GB2312" w:cs="Times New Roman"/>
                <w:color w:val="auto"/>
                <w:kern w:val="2"/>
                <w:sz w:val="21"/>
                <w:szCs w:val="24"/>
                <w:lang w:val="en-US" w:eastAsia="zh-CN" w:bidi="ar-SA"/>
              </w:rPr>
            </w:pPr>
            <w:r>
              <w:rPr>
                <w:rFonts w:hint="eastAsia" w:eastAsia="仿宋_GB2312"/>
                <w:color w:val="auto"/>
                <w:lang w:val="en-US" w:eastAsia="zh-CN"/>
              </w:rPr>
              <w:t>DA005</w:t>
            </w:r>
          </w:p>
        </w:tc>
      </w:tr>
      <w:tr w14:paraId="010DFE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restart"/>
            <w:shd w:val="clear" w:color="auto" w:fill="auto"/>
            <w:vAlign w:val="center"/>
          </w:tcPr>
          <w:p w14:paraId="177AB306">
            <w:pPr>
              <w:jc w:val="center"/>
              <w:rPr>
                <w:rFonts w:ascii="Times New Roman" w:hAnsi="Times New Roman" w:eastAsia="仿宋_GB2312" w:cs="Times New Roman"/>
                <w:color w:val="auto"/>
                <w:kern w:val="2"/>
                <w:sz w:val="21"/>
                <w:szCs w:val="21"/>
                <w:lang w:val="en-US" w:eastAsia="zh-CN" w:bidi="ar-SA"/>
              </w:rPr>
            </w:pPr>
            <w:r>
              <w:rPr>
                <w:rFonts w:eastAsia="仿宋_GB2312"/>
                <w:color w:val="auto"/>
                <w:szCs w:val="21"/>
              </w:rPr>
              <w:t>B-7车间</w:t>
            </w:r>
          </w:p>
        </w:tc>
        <w:tc>
          <w:tcPr>
            <w:tcW w:w="358" w:type="pct"/>
            <w:vMerge w:val="restart"/>
            <w:shd w:val="clear" w:color="auto" w:fill="auto"/>
            <w:vAlign w:val="center"/>
          </w:tcPr>
          <w:p w14:paraId="7674300C">
            <w:pPr>
              <w:jc w:val="center"/>
              <w:rPr>
                <w:rFonts w:hint="default" w:ascii="Times New Roman" w:hAnsi="Times New Roman" w:eastAsia="仿宋_GB2312" w:cs="Times New Roman"/>
                <w:color w:val="auto"/>
                <w:kern w:val="2"/>
                <w:sz w:val="21"/>
                <w:szCs w:val="21"/>
                <w:lang w:val="en-US" w:eastAsia="zh-CN" w:bidi="ar-SA"/>
              </w:rPr>
            </w:pPr>
            <w:r>
              <w:rPr>
                <w:rFonts w:hint="eastAsia" w:eastAsia="仿宋_GB2312" w:cs="Times New Roman"/>
                <w:color w:val="auto"/>
                <w:kern w:val="2"/>
                <w:sz w:val="21"/>
                <w:szCs w:val="21"/>
                <w:lang w:val="en-US" w:eastAsia="zh-CN" w:bidi="ar-SA"/>
              </w:rPr>
              <w:t>DMF</w:t>
            </w:r>
          </w:p>
        </w:tc>
        <w:tc>
          <w:tcPr>
            <w:tcW w:w="418" w:type="pct"/>
            <w:shd w:val="clear" w:color="auto" w:fill="auto"/>
            <w:vAlign w:val="center"/>
          </w:tcPr>
          <w:p w14:paraId="55086FDD">
            <w:pPr>
              <w:jc w:val="center"/>
              <w:rPr>
                <w:rFonts w:ascii="Times New Roman" w:hAnsi="Times New Roman" w:eastAsia="仿宋_GB2312" w:cs="Times New Roman"/>
                <w:color w:val="auto"/>
                <w:kern w:val="0"/>
                <w:sz w:val="21"/>
                <w:szCs w:val="21"/>
                <w:lang w:val="en-US" w:eastAsia="zh-CN" w:bidi="ar"/>
              </w:rPr>
            </w:pPr>
            <w:r>
              <w:rPr>
                <w:rFonts w:eastAsia="仿宋_GB2312"/>
                <w:color w:val="auto"/>
                <w:kern w:val="0"/>
                <w:szCs w:val="21"/>
                <w:lang w:bidi="ar"/>
              </w:rPr>
              <w:t>G</w:t>
            </w:r>
            <w:r>
              <w:rPr>
                <w:rFonts w:hint="eastAsia" w:eastAsia="仿宋_GB2312"/>
                <w:color w:val="auto"/>
                <w:kern w:val="0"/>
                <w:szCs w:val="21"/>
                <w:lang w:val="en-US" w:eastAsia="zh-CN" w:bidi="ar"/>
              </w:rPr>
              <w:t>4</w:t>
            </w:r>
            <w:r>
              <w:rPr>
                <w:rFonts w:eastAsia="仿宋_GB2312"/>
                <w:color w:val="auto"/>
                <w:kern w:val="0"/>
                <w:szCs w:val="21"/>
                <w:lang w:bidi="ar"/>
              </w:rPr>
              <w:t>-</w:t>
            </w:r>
            <w:r>
              <w:rPr>
                <w:rFonts w:hint="eastAsia" w:eastAsia="仿宋_GB2312"/>
                <w:color w:val="auto"/>
                <w:kern w:val="0"/>
                <w:szCs w:val="21"/>
                <w:lang w:val="en-US" w:eastAsia="zh-CN" w:bidi="ar"/>
              </w:rPr>
              <w:t>3</w:t>
            </w:r>
            <w:r>
              <w:rPr>
                <w:rFonts w:eastAsia="仿宋_GB2312"/>
                <w:color w:val="auto"/>
                <w:kern w:val="0"/>
                <w:szCs w:val="21"/>
                <w:lang w:bidi="ar"/>
              </w:rPr>
              <w:t>-1</w:t>
            </w:r>
          </w:p>
        </w:tc>
        <w:tc>
          <w:tcPr>
            <w:tcW w:w="446" w:type="pct"/>
            <w:shd w:val="clear" w:color="auto" w:fill="auto"/>
            <w:vAlign w:val="center"/>
          </w:tcPr>
          <w:p w14:paraId="14FC2E9C">
            <w:pPr>
              <w:jc w:val="center"/>
              <w:rPr>
                <w:rFonts w:ascii="Times New Roman" w:hAnsi="Times New Roman" w:eastAsia="仿宋_GB2312" w:cs="Times New Roman"/>
                <w:color w:val="auto"/>
                <w:kern w:val="0"/>
                <w:sz w:val="21"/>
                <w:szCs w:val="21"/>
                <w:lang w:val="en-US" w:eastAsia="zh-CN" w:bidi="ar"/>
              </w:rPr>
            </w:pPr>
            <w:r>
              <w:rPr>
                <w:rFonts w:eastAsia="仿宋_GB2312"/>
                <w:color w:val="auto"/>
                <w:kern w:val="0"/>
                <w:szCs w:val="21"/>
                <w:lang w:bidi="ar"/>
              </w:rPr>
              <w:t>投料废气</w:t>
            </w:r>
          </w:p>
        </w:tc>
        <w:tc>
          <w:tcPr>
            <w:tcW w:w="361" w:type="pct"/>
            <w:shd w:val="clear" w:color="auto" w:fill="auto"/>
            <w:vAlign w:val="center"/>
          </w:tcPr>
          <w:p w14:paraId="3F5A594A">
            <w:pPr>
              <w:jc w:val="center"/>
              <w:rPr>
                <w:rFonts w:hint="eastAsia" w:ascii="Times New Roman" w:hAnsi="Times New Roman" w:eastAsia="仿宋_GB2312" w:cs="Times New Roman"/>
                <w:color w:val="auto"/>
                <w:kern w:val="2"/>
                <w:sz w:val="21"/>
                <w:szCs w:val="21"/>
                <w:lang w:val="en-US" w:eastAsia="zh-CN" w:bidi="ar-SA"/>
              </w:rPr>
            </w:pPr>
            <w:r>
              <w:rPr>
                <w:rFonts w:hint="eastAsia" w:eastAsia="仿宋_GB2312"/>
                <w:color w:val="auto"/>
                <w:szCs w:val="21"/>
                <w:lang w:val="en-US" w:eastAsia="zh-CN"/>
              </w:rPr>
              <w:t>2000</w:t>
            </w:r>
          </w:p>
        </w:tc>
        <w:tc>
          <w:tcPr>
            <w:tcW w:w="498" w:type="pct"/>
            <w:shd w:val="clear" w:color="auto" w:fill="auto"/>
            <w:vAlign w:val="center"/>
          </w:tcPr>
          <w:p w14:paraId="45C2D6BD">
            <w:pPr>
              <w:keepNext w:val="0"/>
              <w:keepLines w:val="0"/>
              <w:widowControl/>
              <w:suppressLineNumbers w:val="0"/>
              <w:jc w:val="center"/>
              <w:textAlignment w:val="bottom"/>
              <w:rPr>
                <w:rFonts w:hint="eastAsia" w:eastAsia="仿宋_GB2312"/>
                <w:color w:val="auto"/>
                <w:kern w:val="0"/>
                <w:szCs w:val="21"/>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7200</w:t>
            </w:r>
          </w:p>
        </w:tc>
        <w:tc>
          <w:tcPr>
            <w:tcW w:w="820" w:type="pct"/>
            <w:shd w:val="clear" w:color="auto" w:fill="auto"/>
            <w:vAlign w:val="center"/>
          </w:tcPr>
          <w:p w14:paraId="38BA1324">
            <w:pPr>
              <w:widowControl/>
              <w:jc w:val="center"/>
              <w:textAlignment w:val="center"/>
              <w:rPr>
                <w:rFonts w:hint="eastAsia" w:ascii="Times New Roman" w:hAnsi="Times New Roman" w:eastAsia="仿宋_GB2312" w:cs="Times New Roman"/>
                <w:b/>
                <w:bCs/>
                <w:color w:val="auto"/>
                <w:kern w:val="0"/>
                <w:sz w:val="21"/>
                <w:szCs w:val="21"/>
                <w:lang w:val="en-US" w:eastAsia="zh-CN" w:bidi="ar"/>
              </w:rPr>
            </w:pPr>
            <w:r>
              <w:rPr>
                <w:rFonts w:hint="eastAsia" w:eastAsia="仿宋_GB2312"/>
                <w:color w:val="auto"/>
                <w:kern w:val="0"/>
                <w:szCs w:val="21"/>
                <w:lang w:val="en-US" w:eastAsia="zh-CN" w:bidi="ar"/>
              </w:rPr>
              <w:t>DMF</w:t>
            </w:r>
          </w:p>
        </w:tc>
        <w:tc>
          <w:tcPr>
            <w:tcW w:w="380" w:type="pct"/>
            <w:shd w:val="clear" w:color="auto" w:fill="auto"/>
            <w:vAlign w:val="center"/>
          </w:tcPr>
          <w:p w14:paraId="31FDC843">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0.847</w:t>
            </w:r>
          </w:p>
        </w:tc>
        <w:tc>
          <w:tcPr>
            <w:tcW w:w="445" w:type="pct"/>
            <w:shd w:val="clear" w:color="auto" w:fill="auto"/>
            <w:vAlign w:val="center"/>
          </w:tcPr>
          <w:p w14:paraId="6812FC38">
            <w:pPr>
              <w:jc w:val="center"/>
              <w:rPr>
                <w:rFonts w:hint="eastAsia" w:ascii="Times New Roman" w:hAnsi="Times New Roman" w:eastAsia="仿宋_GB2312" w:cs="Times New Roman"/>
                <w:color w:val="auto"/>
                <w:kern w:val="0"/>
                <w:sz w:val="21"/>
                <w:szCs w:val="21"/>
                <w:lang w:val="en-US" w:eastAsia="zh-CN" w:bidi="ar"/>
              </w:rPr>
            </w:pPr>
            <w:r>
              <w:rPr>
                <w:rFonts w:hint="eastAsia" w:eastAsia="仿宋_GB2312" w:cs="Times New Roman"/>
                <w:color w:val="auto"/>
                <w:kern w:val="0"/>
                <w:sz w:val="21"/>
                <w:szCs w:val="21"/>
                <w:lang w:val="en-US" w:eastAsia="zh-CN" w:bidi="ar"/>
              </w:rPr>
              <w:t>6.099</w:t>
            </w:r>
          </w:p>
        </w:tc>
        <w:tc>
          <w:tcPr>
            <w:tcW w:w="630" w:type="pct"/>
            <w:vMerge w:val="continue"/>
            <w:shd w:val="clear" w:color="auto" w:fill="auto"/>
            <w:vAlign w:val="center"/>
          </w:tcPr>
          <w:p w14:paraId="2DCDE63C">
            <w:pPr>
              <w:jc w:val="center"/>
              <w:rPr>
                <w:rFonts w:hint="eastAsia" w:ascii="Times New Roman" w:hAnsi="Times New Roman" w:eastAsia="仿宋_GB2312" w:cs="Times New Roman"/>
                <w:color w:val="auto"/>
                <w:kern w:val="2"/>
                <w:sz w:val="21"/>
                <w:szCs w:val="24"/>
                <w:lang w:val="en-US" w:eastAsia="zh-CN" w:bidi="ar-SA"/>
              </w:rPr>
            </w:pPr>
          </w:p>
        </w:tc>
        <w:tc>
          <w:tcPr>
            <w:tcW w:w="292" w:type="pct"/>
            <w:vMerge w:val="continue"/>
            <w:shd w:val="clear" w:color="auto" w:fill="auto"/>
            <w:vAlign w:val="center"/>
          </w:tcPr>
          <w:p w14:paraId="6BB958FC">
            <w:pPr>
              <w:jc w:val="center"/>
              <w:rPr>
                <w:rFonts w:hint="eastAsia" w:ascii="Times New Roman" w:hAnsi="Times New Roman" w:eastAsia="仿宋_GB2312" w:cs="Times New Roman"/>
                <w:color w:val="auto"/>
                <w:kern w:val="2"/>
                <w:sz w:val="21"/>
                <w:szCs w:val="24"/>
                <w:lang w:val="en-US" w:eastAsia="zh-CN" w:bidi="ar-SA"/>
              </w:rPr>
            </w:pPr>
          </w:p>
        </w:tc>
      </w:tr>
      <w:tr w14:paraId="63D07F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0C9C69EC">
            <w:pPr>
              <w:jc w:val="center"/>
              <w:rPr>
                <w:rFonts w:eastAsia="仿宋_GB2312"/>
                <w:color w:val="auto"/>
                <w:szCs w:val="21"/>
              </w:rPr>
            </w:pPr>
          </w:p>
        </w:tc>
        <w:tc>
          <w:tcPr>
            <w:tcW w:w="358" w:type="pct"/>
            <w:vMerge w:val="continue"/>
            <w:vAlign w:val="center"/>
          </w:tcPr>
          <w:p w14:paraId="41B9F4C7">
            <w:pPr>
              <w:jc w:val="center"/>
              <w:rPr>
                <w:rFonts w:eastAsia="仿宋_GB2312"/>
                <w:color w:val="auto"/>
                <w:szCs w:val="21"/>
              </w:rPr>
            </w:pPr>
          </w:p>
        </w:tc>
        <w:tc>
          <w:tcPr>
            <w:tcW w:w="418" w:type="pct"/>
            <w:shd w:val="clear" w:color="auto" w:fill="auto"/>
            <w:vAlign w:val="center"/>
          </w:tcPr>
          <w:p w14:paraId="562D4D52">
            <w:pPr>
              <w:jc w:val="center"/>
              <w:rPr>
                <w:rFonts w:ascii="Times New Roman" w:hAnsi="Times New Roman" w:eastAsia="仿宋_GB2312" w:cs="Times New Roman"/>
                <w:color w:val="auto"/>
                <w:kern w:val="0"/>
                <w:sz w:val="21"/>
                <w:szCs w:val="21"/>
                <w:lang w:val="en-US" w:eastAsia="zh-CN" w:bidi="ar"/>
              </w:rPr>
            </w:pPr>
            <w:r>
              <w:rPr>
                <w:rFonts w:eastAsia="仿宋_GB2312"/>
                <w:color w:val="auto"/>
                <w:kern w:val="0"/>
                <w:szCs w:val="21"/>
                <w:lang w:bidi="ar"/>
              </w:rPr>
              <w:t>G</w:t>
            </w:r>
            <w:r>
              <w:rPr>
                <w:rFonts w:hint="eastAsia" w:eastAsia="仿宋_GB2312"/>
                <w:color w:val="auto"/>
                <w:kern w:val="0"/>
                <w:szCs w:val="21"/>
                <w:lang w:val="en-US" w:eastAsia="zh-CN" w:bidi="ar"/>
              </w:rPr>
              <w:t>4</w:t>
            </w:r>
            <w:r>
              <w:rPr>
                <w:rFonts w:eastAsia="仿宋_GB2312"/>
                <w:color w:val="auto"/>
                <w:kern w:val="0"/>
                <w:szCs w:val="21"/>
                <w:lang w:bidi="ar"/>
              </w:rPr>
              <w:t>-</w:t>
            </w:r>
            <w:r>
              <w:rPr>
                <w:rFonts w:hint="eastAsia" w:eastAsia="仿宋_GB2312"/>
                <w:color w:val="auto"/>
                <w:kern w:val="0"/>
                <w:szCs w:val="21"/>
                <w:lang w:val="en-US" w:eastAsia="zh-CN" w:bidi="ar"/>
              </w:rPr>
              <w:t>3-</w:t>
            </w:r>
            <w:r>
              <w:rPr>
                <w:rFonts w:eastAsia="仿宋_GB2312"/>
                <w:color w:val="auto"/>
                <w:kern w:val="0"/>
                <w:szCs w:val="21"/>
                <w:lang w:bidi="ar"/>
              </w:rPr>
              <w:t>2</w:t>
            </w:r>
          </w:p>
        </w:tc>
        <w:tc>
          <w:tcPr>
            <w:tcW w:w="446" w:type="pct"/>
            <w:shd w:val="clear" w:color="auto" w:fill="auto"/>
            <w:vAlign w:val="center"/>
          </w:tcPr>
          <w:p w14:paraId="7D279029">
            <w:pPr>
              <w:jc w:val="center"/>
              <w:rPr>
                <w:rFonts w:ascii="Times New Roman" w:hAnsi="Times New Roman" w:eastAsia="仿宋_GB2312" w:cs="Times New Roman"/>
                <w:color w:val="auto"/>
                <w:kern w:val="0"/>
                <w:sz w:val="21"/>
                <w:szCs w:val="21"/>
                <w:lang w:val="en-US" w:eastAsia="zh-CN" w:bidi="ar"/>
              </w:rPr>
            </w:pPr>
            <w:r>
              <w:rPr>
                <w:rFonts w:eastAsia="仿宋_GB2312"/>
                <w:color w:val="auto"/>
                <w:kern w:val="0"/>
                <w:szCs w:val="21"/>
                <w:lang w:bidi="ar"/>
              </w:rPr>
              <w:t>调节废气</w:t>
            </w:r>
          </w:p>
        </w:tc>
        <w:tc>
          <w:tcPr>
            <w:tcW w:w="361" w:type="pct"/>
            <w:shd w:val="clear" w:color="auto" w:fill="auto"/>
            <w:vAlign w:val="center"/>
          </w:tcPr>
          <w:p w14:paraId="0BEDE5B6">
            <w:pPr>
              <w:jc w:val="center"/>
              <w:rPr>
                <w:rFonts w:hint="eastAsia" w:ascii="Times New Roman" w:hAnsi="Times New Roman" w:eastAsia="仿宋_GB2312" w:cs="Times New Roman"/>
                <w:color w:val="auto"/>
                <w:kern w:val="2"/>
                <w:sz w:val="21"/>
                <w:szCs w:val="21"/>
                <w:lang w:val="en-US" w:eastAsia="zh-CN" w:bidi="ar-SA"/>
              </w:rPr>
            </w:pPr>
            <w:r>
              <w:rPr>
                <w:rFonts w:hint="eastAsia" w:eastAsia="仿宋_GB2312"/>
                <w:color w:val="auto"/>
                <w:szCs w:val="21"/>
                <w:lang w:val="en-US" w:eastAsia="zh-CN"/>
              </w:rPr>
              <w:t>100</w:t>
            </w:r>
          </w:p>
        </w:tc>
        <w:tc>
          <w:tcPr>
            <w:tcW w:w="498" w:type="pct"/>
            <w:shd w:val="clear" w:color="auto" w:fill="auto"/>
            <w:vAlign w:val="center"/>
          </w:tcPr>
          <w:p w14:paraId="5817D410">
            <w:pPr>
              <w:keepNext w:val="0"/>
              <w:keepLines w:val="0"/>
              <w:widowControl/>
              <w:suppressLineNumbers w:val="0"/>
              <w:jc w:val="center"/>
              <w:textAlignment w:val="bottom"/>
              <w:rPr>
                <w:rFonts w:hint="eastAsia" w:eastAsia="仿宋_GB2312"/>
                <w:color w:val="auto"/>
                <w:kern w:val="0"/>
                <w:szCs w:val="21"/>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7200</w:t>
            </w:r>
          </w:p>
        </w:tc>
        <w:tc>
          <w:tcPr>
            <w:tcW w:w="820" w:type="pct"/>
            <w:shd w:val="clear" w:color="auto" w:fill="auto"/>
            <w:vAlign w:val="center"/>
          </w:tcPr>
          <w:p w14:paraId="5492ED9F">
            <w:pPr>
              <w:widowControl/>
              <w:jc w:val="center"/>
              <w:textAlignment w:val="center"/>
              <w:rPr>
                <w:rFonts w:hint="eastAsia" w:ascii="Times New Roman" w:hAnsi="Times New Roman" w:eastAsia="仿宋_GB2312" w:cs="Times New Roman"/>
                <w:b/>
                <w:bCs/>
                <w:color w:val="auto"/>
                <w:kern w:val="0"/>
                <w:sz w:val="21"/>
                <w:szCs w:val="21"/>
                <w:lang w:val="en-US" w:eastAsia="zh-CN" w:bidi="ar"/>
              </w:rPr>
            </w:pPr>
            <w:r>
              <w:rPr>
                <w:rFonts w:hint="eastAsia" w:eastAsia="仿宋_GB2312"/>
                <w:color w:val="auto"/>
                <w:kern w:val="0"/>
                <w:szCs w:val="21"/>
                <w:lang w:val="en-US" w:eastAsia="zh-CN" w:bidi="ar"/>
              </w:rPr>
              <w:t>DMF</w:t>
            </w:r>
          </w:p>
        </w:tc>
        <w:tc>
          <w:tcPr>
            <w:tcW w:w="380" w:type="pct"/>
            <w:shd w:val="clear" w:color="auto" w:fill="auto"/>
            <w:vAlign w:val="center"/>
          </w:tcPr>
          <w:p w14:paraId="5D256319">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0.427</w:t>
            </w:r>
          </w:p>
        </w:tc>
        <w:tc>
          <w:tcPr>
            <w:tcW w:w="445" w:type="pct"/>
            <w:shd w:val="clear" w:color="auto" w:fill="auto"/>
            <w:vAlign w:val="center"/>
          </w:tcPr>
          <w:p w14:paraId="6EB8F45E">
            <w:pPr>
              <w:widowControl/>
              <w:jc w:val="center"/>
              <w:textAlignment w:val="center"/>
              <w:rPr>
                <w:rFonts w:hint="eastAsia"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3.081</w:t>
            </w:r>
          </w:p>
        </w:tc>
        <w:tc>
          <w:tcPr>
            <w:tcW w:w="630" w:type="pct"/>
            <w:vMerge w:val="restart"/>
            <w:shd w:val="clear" w:color="auto" w:fill="auto"/>
            <w:vAlign w:val="center"/>
          </w:tcPr>
          <w:p w14:paraId="5A1BB1A6">
            <w:pPr>
              <w:widowControl/>
              <w:jc w:val="center"/>
              <w:textAlignment w:val="center"/>
              <w:rPr>
                <w:rFonts w:hint="eastAsia" w:ascii="Times New Roman" w:hAnsi="Times New Roman" w:eastAsia="仿宋_GB2312" w:cs="Times New Roman"/>
                <w:color w:val="auto"/>
                <w:szCs w:val="21"/>
                <w:lang w:val="en-US" w:eastAsia="zh-CN"/>
              </w:rPr>
            </w:pPr>
            <w:r>
              <w:rPr>
                <w:rFonts w:hint="eastAsia" w:eastAsia="仿宋_GB2312" w:cs="Times New Roman"/>
                <w:color w:val="auto"/>
                <w:szCs w:val="21"/>
                <w:lang w:val="en-US" w:eastAsia="zh-CN"/>
              </w:rPr>
              <w:t>预处理（</w:t>
            </w:r>
            <w:r>
              <w:rPr>
                <w:rFonts w:hint="eastAsia" w:ascii="Times New Roman" w:hAnsi="Times New Roman" w:eastAsia="仿宋_GB2312" w:cs="Times New Roman"/>
                <w:color w:val="auto"/>
                <w:szCs w:val="21"/>
                <w:lang w:val="en-US" w:eastAsia="zh-CN"/>
              </w:rPr>
              <w:t>冷凝+稀酸吸收+碱吸收+水吸收+除雾</w:t>
            </w:r>
            <w:r>
              <w:rPr>
                <w:rFonts w:hint="eastAsia" w:eastAsia="仿宋_GB2312" w:cs="Times New Roman"/>
                <w:color w:val="auto"/>
                <w:szCs w:val="21"/>
                <w:lang w:val="en-US" w:eastAsia="zh-CN"/>
              </w:rPr>
              <w:t>）+</w:t>
            </w:r>
            <w:r>
              <w:rPr>
                <w:rFonts w:eastAsia="仿宋_GB2312"/>
                <w:color w:val="auto"/>
                <w:szCs w:val="21"/>
              </w:rPr>
              <w:t>焚烧</w:t>
            </w:r>
          </w:p>
        </w:tc>
        <w:tc>
          <w:tcPr>
            <w:tcW w:w="292" w:type="pct"/>
            <w:vMerge w:val="restart"/>
            <w:shd w:val="clear" w:color="auto" w:fill="auto"/>
            <w:vAlign w:val="center"/>
          </w:tcPr>
          <w:p w14:paraId="34997E40">
            <w:pPr>
              <w:widowControl/>
              <w:jc w:val="center"/>
              <w:textAlignment w:val="center"/>
              <w:rPr>
                <w:rFonts w:hint="eastAsia" w:eastAsia="仿宋_GB2312"/>
                <w:color w:val="auto"/>
                <w:lang w:val="en-US" w:eastAsia="zh-CN"/>
              </w:rPr>
            </w:pPr>
            <w:r>
              <w:rPr>
                <w:rFonts w:hint="eastAsia" w:eastAsia="仿宋_GB2312"/>
                <w:color w:val="auto"/>
                <w:kern w:val="0"/>
                <w:szCs w:val="21"/>
                <w:lang w:val="en-US" w:eastAsia="zh-CN" w:bidi="ar"/>
              </w:rPr>
              <w:t>DA002</w:t>
            </w:r>
          </w:p>
        </w:tc>
      </w:tr>
      <w:tr w14:paraId="415B23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4FC52FE5">
            <w:pPr>
              <w:jc w:val="center"/>
              <w:rPr>
                <w:rFonts w:eastAsia="仿宋_GB2312"/>
                <w:color w:val="auto"/>
                <w:szCs w:val="21"/>
              </w:rPr>
            </w:pPr>
          </w:p>
        </w:tc>
        <w:tc>
          <w:tcPr>
            <w:tcW w:w="358" w:type="pct"/>
            <w:vMerge w:val="continue"/>
            <w:vAlign w:val="center"/>
          </w:tcPr>
          <w:p w14:paraId="1FFA0E03">
            <w:pPr>
              <w:jc w:val="center"/>
              <w:rPr>
                <w:rFonts w:eastAsia="仿宋_GB2312"/>
                <w:color w:val="auto"/>
                <w:szCs w:val="21"/>
              </w:rPr>
            </w:pPr>
          </w:p>
        </w:tc>
        <w:tc>
          <w:tcPr>
            <w:tcW w:w="418" w:type="pct"/>
            <w:shd w:val="clear" w:color="auto" w:fill="auto"/>
            <w:vAlign w:val="center"/>
          </w:tcPr>
          <w:p w14:paraId="2C97816C">
            <w:pPr>
              <w:jc w:val="center"/>
              <w:rPr>
                <w:rFonts w:ascii="Times New Roman" w:hAnsi="Times New Roman" w:eastAsia="仿宋_GB2312" w:cs="Times New Roman"/>
                <w:color w:val="auto"/>
                <w:kern w:val="0"/>
                <w:sz w:val="21"/>
                <w:szCs w:val="21"/>
                <w:lang w:val="en-US" w:eastAsia="zh-CN" w:bidi="ar"/>
              </w:rPr>
            </w:pPr>
            <w:r>
              <w:rPr>
                <w:rFonts w:eastAsia="仿宋_GB2312"/>
                <w:color w:val="auto"/>
                <w:kern w:val="0"/>
                <w:szCs w:val="21"/>
                <w:lang w:bidi="ar"/>
              </w:rPr>
              <w:t>G</w:t>
            </w:r>
            <w:r>
              <w:rPr>
                <w:rFonts w:hint="eastAsia" w:eastAsia="仿宋_GB2312"/>
                <w:color w:val="auto"/>
                <w:kern w:val="0"/>
                <w:szCs w:val="21"/>
                <w:lang w:val="en-US" w:eastAsia="zh-CN" w:bidi="ar"/>
              </w:rPr>
              <w:t>4</w:t>
            </w:r>
            <w:r>
              <w:rPr>
                <w:rFonts w:eastAsia="仿宋_GB2312"/>
                <w:color w:val="auto"/>
                <w:kern w:val="0"/>
                <w:szCs w:val="21"/>
                <w:lang w:bidi="ar"/>
              </w:rPr>
              <w:t>-</w:t>
            </w:r>
            <w:r>
              <w:rPr>
                <w:rFonts w:hint="eastAsia" w:eastAsia="仿宋_GB2312"/>
                <w:color w:val="auto"/>
                <w:kern w:val="0"/>
                <w:szCs w:val="21"/>
                <w:lang w:val="en-US" w:eastAsia="zh-CN" w:bidi="ar"/>
              </w:rPr>
              <w:t>3</w:t>
            </w:r>
            <w:r>
              <w:rPr>
                <w:rFonts w:eastAsia="仿宋_GB2312"/>
                <w:color w:val="auto"/>
                <w:kern w:val="0"/>
                <w:szCs w:val="21"/>
                <w:lang w:bidi="ar"/>
              </w:rPr>
              <w:t>-3</w:t>
            </w:r>
          </w:p>
        </w:tc>
        <w:tc>
          <w:tcPr>
            <w:tcW w:w="446" w:type="pct"/>
            <w:shd w:val="clear" w:color="auto" w:fill="auto"/>
            <w:vAlign w:val="center"/>
          </w:tcPr>
          <w:p w14:paraId="56F63600">
            <w:pPr>
              <w:jc w:val="center"/>
              <w:rPr>
                <w:rFonts w:ascii="Times New Roman" w:hAnsi="Times New Roman" w:eastAsia="仿宋_GB2312" w:cs="Times New Roman"/>
                <w:color w:val="auto"/>
                <w:kern w:val="0"/>
                <w:sz w:val="21"/>
                <w:szCs w:val="21"/>
                <w:lang w:val="en-US" w:eastAsia="zh-CN" w:bidi="ar"/>
              </w:rPr>
            </w:pPr>
            <w:r>
              <w:rPr>
                <w:rFonts w:eastAsia="仿宋_GB2312"/>
                <w:color w:val="auto"/>
                <w:kern w:val="0"/>
                <w:szCs w:val="21"/>
                <w:lang w:bidi="ar"/>
              </w:rPr>
              <w:t>不凝气</w:t>
            </w:r>
          </w:p>
        </w:tc>
        <w:tc>
          <w:tcPr>
            <w:tcW w:w="361" w:type="pct"/>
            <w:shd w:val="clear" w:color="auto" w:fill="auto"/>
            <w:vAlign w:val="center"/>
          </w:tcPr>
          <w:p w14:paraId="54C72AD2">
            <w:pPr>
              <w:jc w:val="center"/>
              <w:rPr>
                <w:rFonts w:hint="eastAsia" w:ascii="Times New Roman" w:hAnsi="Times New Roman" w:eastAsia="仿宋_GB2312" w:cs="Times New Roman"/>
                <w:color w:val="auto"/>
                <w:kern w:val="2"/>
                <w:sz w:val="21"/>
                <w:szCs w:val="21"/>
                <w:lang w:val="en-US" w:eastAsia="zh-CN" w:bidi="ar-SA"/>
              </w:rPr>
            </w:pPr>
            <w:r>
              <w:rPr>
                <w:rFonts w:hint="eastAsia" w:eastAsia="仿宋_GB2312"/>
                <w:color w:val="auto"/>
                <w:szCs w:val="21"/>
                <w:lang w:val="en-US" w:eastAsia="zh-CN"/>
              </w:rPr>
              <w:t>360</w:t>
            </w:r>
          </w:p>
        </w:tc>
        <w:tc>
          <w:tcPr>
            <w:tcW w:w="498" w:type="pct"/>
            <w:shd w:val="clear" w:color="auto" w:fill="auto"/>
            <w:vAlign w:val="center"/>
          </w:tcPr>
          <w:p w14:paraId="7E45D741">
            <w:pPr>
              <w:keepNext w:val="0"/>
              <w:keepLines w:val="0"/>
              <w:widowControl/>
              <w:suppressLineNumbers w:val="0"/>
              <w:jc w:val="center"/>
              <w:textAlignment w:val="bottom"/>
              <w:rPr>
                <w:rFonts w:hint="eastAsia" w:eastAsia="仿宋_GB2312"/>
                <w:color w:val="auto"/>
                <w:kern w:val="0"/>
                <w:szCs w:val="21"/>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7200</w:t>
            </w:r>
          </w:p>
        </w:tc>
        <w:tc>
          <w:tcPr>
            <w:tcW w:w="820" w:type="pct"/>
            <w:shd w:val="clear" w:color="auto" w:fill="auto"/>
            <w:vAlign w:val="center"/>
          </w:tcPr>
          <w:p w14:paraId="5A67E566">
            <w:pPr>
              <w:widowControl/>
              <w:jc w:val="center"/>
              <w:textAlignment w:val="center"/>
              <w:rPr>
                <w:rFonts w:hint="eastAsia" w:ascii="Times New Roman" w:hAnsi="Times New Roman" w:eastAsia="仿宋_GB2312" w:cs="Times New Roman"/>
                <w:b/>
                <w:bCs/>
                <w:color w:val="auto"/>
                <w:kern w:val="0"/>
                <w:sz w:val="21"/>
                <w:szCs w:val="21"/>
                <w:lang w:val="en-US" w:eastAsia="zh-CN" w:bidi="ar"/>
              </w:rPr>
            </w:pPr>
            <w:r>
              <w:rPr>
                <w:rFonts w:hint="eastAsia" w:eastAsia="仿宋_GB2312"/>
                <w:color w:val="auto"/>
                <w:kern w:val="0"/>
                <w:szCs w:val="21"/>
                <w:lang w:val="en-US" w:eastAsia="zh-CN" w:bidi="ar"/>
              </w:rPr>
              <w:t>DMF</w:t>
            </w:r>
          </w:p>
        </w:tc>
        <w:tc>
          <w:tcPr>
            <w:tcW w:w="380" w:type="pct"/>
            <w:shd w:val="clear" w:color="auto" w:fill="auto"/>
            <w:vAlign w:val="center"/>
          </w:tcPr>
          <w:p w14:paraId="1616A5A8">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10.61</w:t>
            </w:r>
          </w:p>
        </w:tc>
        <w:tc>
          <w:tcPr>
            <w:tcW w:w="445" w:type="pct"/>
            <w:shd w:val="clear" w:color="auto" w:fill="auto"/>
            <w:vAlign w:val="center"/>
          </w:tcPr>
          <w:p w14:paraId="4C2ACA4C">
            <w:pPr>
              <w:widowControl/>
              <w:jc w:val="center"/>
              <w:textAlignment w:val="center"/>
              <w:rPr>
                <w:rFonts w:hint="eastAsia"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76.447</w:t>
            </w:r>
          </w:p>
        </w:tc>
        <w:tc>
          <w:tcPr>
            <w:tcW w:w="630" w:type="pct"/>
            <w:vMerge w:val="continue"/>
            <w:shd w:val="clear" w:color="auto" w:fill="auto"/>
            <w:vAlign w:val="center"/>
          </w:tcPr>
          <w:p w14:paraId="10767BD5">
            <w:pPr>
              <w:jc w:val="center"/>
              <w:rPr>
                <w:rFonts w:hint="eastAsia" w:ascii="Times New Roman" w:hAnsi="Times New Roman" w:eastAsia="仿宋_GB2312" w:cs="Times New Roman"/>
                <w:color w:val="auto"/>
                <w:szCs w:val="21"/>
                <w:lang w:val="en-US" w:eastAsia="zh-CN"/>
              </w:rPr>
            </w:pPr>
          </w:p>
        </w:tc>
        <w:tc>
          <w:tcPr>
            <w:tcW w:w="292" w:type="pct"/>
            <w:vMerge w:val="continue"/>
            <w:shd w:val="clear" w:color="auto" w:fill="auto"/>
            <w:vAlign w:val="center"/>
          </w:tcPr>
          <w:p w14:paraId="11780B48">
            <w:pPr>
              <w:jc w:val="center"/>
              <w:rPr>
                <w:rFonts w:hint="eastAsia" w:eastAsia="仿宋_GB2312"/>
                <w:color w:val="auto"/>
                <w:lang w:val="en-US" w:eastAsia="zh-CN"/>
              </w:rPr>
            </w:pPr>
          </w:p>
        </w:tc>
      </w:tr>
      <w:tr w14:paraId="125F71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348" w:type="pct"/>
            <w:vMerge w:val="continue"/>
            <w:vAlign w:val="center"/>
          </w:tcPr>
          <w:p w14:paraId="5E122614">
            <w:pPr>
              <w:jc w:val="center"/>
              <w:rPr>
                <w:rFonts w:eastAsia="仿宋_GB2312"/>
                <w:color w:val="auto"/>
                <w:szCs w:val="21"/>
              </w:rPr>
            </w:pPr>
          </w:p>
        </w:tc>
        <w:tc>
          <w:tcPr>
            <w:tcW w:w="358" w:type="pct"/>
            <w:vMerge w:val="continue"/>
            <w:vAlign w:val="center"/>
          </w:tcPr>
          <w:p w14:paraId="144AA970">
            <w:pPr>
              <w:jc w:val="center"/>
              <w:rPr>
                <w:rFonts w:eastAsia="仿宋_GB2312"/>
                <w:color w:val="auto"/>
                <w:szCs w:val="21"/>
              </w:rPr>
            </w:pPr>
          </w:p>
        </w:tc>
        <w:tc>
          <w:tcPr>
            <w:tcW w:w="418" w:type="pct"/>
            <w:shd w:val="clear" w:color="auto" w:fill="auto"/>
            <w:vAlign w:val="center"/>
          </w:tcPr>
          <w:p w14:paraId="7112B76E">
            <w:pPr>
              <w:jc w:val="center"/>
              <w:rPr>
                <w:rFonts w:hint="eastAsia" w:ascii="Times New Roman" w:hAnsi="Times New Roman" w:eastAsia="仿宋_GB2312" w:cs="Times New Roman"/>
                <w:color w:val="auto"/>
                <w:kern w:val="2"/>
                <w:sz w:val="21"/>
                <w:szCs w:val="21"/>
                <w:lang w:val="en-US" w:eastAsia="zh-CN" w:bidi="ar-SA"/>
              </w:rPr>
            </w:pPr>
            <w:r>
              <w:rPr>
                <w:rFonts w:eastAsia="仿宋_GB2312"/>
                <w:color w:val="auto"/>
                <w:kern w:val="0"/>
                <w:szCs w:val="21"/>
                <w:lang w:bidi="ar"/>
              </w:rPr>
              <w:t>G</w:t>
            </w:r>
            <w:r>
              <w:rPr>
                <w:rFonts w:hint="eastAsia" w:eastAsia="仿宋_GB2312"/>
                <w:color w:val="auto"/>
                <w:kern w:val="0"/>
                <w:szCs w:val="21"/>
                <w:lang w:val="en-US" w:eastAsia="zh-CN" w:bidi="ar"/>
              </w:rPr>
              <w:t>4</w:t>
            </w:r>
            <w:r>
              <w:rPr>
                <w:rFonts w:eastAsia="仿宋_GB2312"/>
                <w:color w:val="auto"/>
                <w:kern w:val="0"/>
                <w:szCs w:val="21"/>
                <w:lang w:bidi="ar"/>
              </w:rPr>
              <w:t>-</w:t>
            </w:r>
            <w:r>
              <w:rPr>
                <w:rFonts w:hint="eastAsia" w:eastAsia="仿宋_GB2312"/>
                <w:color w:val="auto"/>
                <w:kern w:val="0"/>
                <w:szCs w:val="21"/>
                <w:lang w:val="en-US" w:eastAsia="zh-CN" w:bidi="ar"/>
              </w:rPr>
              <w:t>3</w:t>
            </w:r>
            <w:r>
              <w:rPr>
                <w:rFonts w:eastAsia="仿宋_GB2312"/>
                <w:color w:val="auto"/>
                <w:kern w:val="0"/>
                <w:szCs w:val="21"/>
                <w:lang w:bidi="ar"/>
              </w:rPr>
              <w:t>-</w:t>
            </w:r>
            <w:r>
              <w:rPr>
                <w:rFonts w:hint="eastAsia" w:eastAsia="仿宋_GB2312"/>
                <w:color w:val="auto"/>
                <w:kern w:val="0"/>
                <w:szCs w:val="21"/>
                <w:lang w:val="en-US" w:eastAsia="zh-CN" w:bidi="ar"/>
              </w:rPr>
              <w:t>4</w:t>
            </w:r>
          </w:p>
        </w:tc>
        <w:tc>
          <w:tcPr>
            <w:tcW w:w="446" w:type="pct"/>
            <w:shd w:val="clear" w:color="auto" w:fill="auto"/>
            <w:vAlign w:val="center"/>
          </w:tcPr>
          <w:p w14:paraId="11DBFA1D">
            <w:pPr>
              <w:jc w:val="center"/>
              <w:rPr>
                <w:rFonts w:ascii="Times New Roman" w:hAnsi="Times New Roman" w:eastAsia="仿宋_GB2312" w:cs="Times New Roman"/>
                <w:color w:val="auto"/>
                <w:kern w:val="2"/>
                <w:sz w:val="21"/>
                <w:szCs w:val="21"/>
                <w:lang w:val="en-US" w:eastAsia="zh-CN" w:bidi="ar-SA"/>
              </w:rPr>
            </w:pPr>
            <w:r>
              <w:rPr>
                <w:rFonts w:eastAsia="仿宋_GB2312"/>
                <w:color w:val="auto"/>
                <w:kern w:val="0"/>
                <w:szCs w:val="21"/>
                <w:lang w:bidi="ar"/>
              </w:rPr>
              <w:t>灌装废气</w:t>
            </w:r>
          </w:p>
        </w:tc>
        <w:tc>
          <w:tcPr>
            <w:tcW w:w="361" w:type="pct"/>
            <w:shd w:val="clear" w:color="auto" w:fill="auto"/>
            <w:vAlign w:val="center"/>
          </w:tcPr>
          <w:p w14:paraId="5018BA48">
            <w:pPr>
              <w:jc w:val="center"/>
              <w:rPr>
                <w:rFonts w:hint="eastAsia" w:ascii="Times New Roman" w:hAnsi="Times New Roman" w:eastAsia="仿宋_GB2312" w:cs="Times New Roman"/>
                <w:color w:val="auto"/>
                <w:kern w:val="2"/>
                <w:sz w:val="21"/>
                <w:szCs w:val="21"/>
                <w:lang w:val="en-US" w:eastAsia="zh-CN" w:bidi="ar-SA"/>
              </w:rPr>
            </w:pPr>
            <w:r>
              <w:rPr>
                <w:rFonts w:hint="eastAsia" w:eastAsia="仿宋_GB2312"/>
                <w:color w:val="auto"/>
                <w:szCs w:val="21"/>
                <w:lang w:val="en-US" w:eastAsia="zh-CN"/>
              </w:rPr>
              <w:t>2000</w:t>
            </w:r>
          </w:p>
        </w:tc>
        <w:tc>
          <w:tcPr>
            <w:tcW w:w="498" w:type="pct"/>
            <w:shd w:val="clear" w:color="auto" w:fill="auto"/>
            <w:vAlign w:val="center"/>
          </w:tcPr>
          <w:p w14:paraId="60BB4711">
            <w:pPr>
              <w:keepNext w:val="0"/>
              <w:keepLines w:val="0"/>
              <w:widowControl/>
              <w:suppressLineNumbers w:val="0"/>
              <w:jc w:val="center"/>
              <w:textAlignment w:val="bottom"/>
              <w:rPr>
                <w:rFonts w:hint="eastAsia" w:eastAsia="仿宋_GB2312"/>
                <w:color w:val="auto"/>
                <w:kern w:val="0"/>
                <w:szCs w:val="21"/>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7200</w:t>
            </w:r>
          </w:p>
        </w:tc>
        <w:tc>
          <w:tcPr>
            <w:tcW w:w="820" w:type="pct"/>
            <w:shd w:val="clear" w:color="auto" w:fill="auto"/>
            <w:vAlign w:val="center"/>
          </w:tcPr>
          <w:p w14:paraId="3B6C5895">
            <w:pPr>
              <w:widowControl/>
              <w:jc w:val="center"/>
              <w:textAlignment w:val="center"/>
              <w:rPr>
                <w:rFonts w:hint="eastAsia" w:ascii="Times New Roman" w:hAnsi="Times New Roman" w:eastAsia="仿宋_GB2312" w:cs="Times New Roman"/>
                <w:b/>
                <w:bCs/>
                <w:color w:val="auto"/>
                <w:kern w:val="0"/>
                <w:sz w:val="21"/>
                <w:szCs w:val="21"/>
                <w:lang w:val="en-US" w:eastAsia="zh-CN" w:bidi="ar"/>
              </w:rPr>
            </w:pPr>
            <w:r>
              <w:rPr>
                <w:rFonts w:hint="eastAsia" w:eastAsia="仿宋_GB2312"/>
                <w:color w:val="auto"/>
                <w:kern w:val="0"/>
                <w:szCs w:val="21"/>
                <w:lang w:val="en-US" w:eastAsia="zh-CN" w:bidi="ar"/>
              </w:rPr>
              <w:t>DMF</w:t>
            </w:r>
          </w:p>
        </w:tc>
        <w:tc>
          <w:tcPr>
            <w:tcW w:w="380" w:type="pct"/>
            <w:shd w:val="clear" w:color="auto" w:fill="auto"/>
            <w:vAlign w:val="center"/>
          </w:tcPr>
          <w:p w14:paraId="2F858C60">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1.253</w:t>
            </w:r>
          </w:p>
        </w:tc>
        <w:tc>
          <w:tcPr>
            <w:tcW w:w="445" w:type="pct"/>
            <w:shd w:val="clear" w:color="auto" w:fill="auto"/>
            <w:vAlign w:val="center"/>
          </w:tcPr>
          <w:p w14:paraId="07650424">
            <w:pPr>
              <w:jc w:val="center"/>
              <w:rPr>
                <w:rFonts w:hint="eastAsia"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9.023</w:t>
            </w:r>
          </w:p>
        </w:tc>
        <w:tc>
          <w:tcPr>
            <w:tcW w:w="630" w:type="pct"/>
            <w:shd w:val="clear" w:color="auto" w:fill="auto"/>
            <w:vAlign w:val="center"/>
          </w:tcPr>
          <w:p w14:paraId="7251CAE3">
            <w:pPr>
              <w:jc w:val="center"/>
              <w:rPr>
                <w:rFonts w:hint="eastAsia" w:ascii="Times New Roman" w:hAnsi="Times New Roman" w:eastAsia="仿宋_GB2312" w:cs="Times New Roman"/>
                <w:color w:val="auto"/>
                <w:kern w:val="2"/>
                <w:sz w:val="21"/>
                <w:szCs w:val="24"/>
                <w:lang w:val="en-US" w:eastAsia="zh-CN" w:bidi="ar-SA"/>
              </w:rPr>
            </w:pPr>
            <w:r>
              <w:rPr>
                <w:rFonts w:hint="eastAsia" w:ascii="Times New Roman" w:hAnsi="Times New Roman" w:eastAsia="仿宋_GB2312" w:cs="Times New Roman"/>
                <w:color w:val="auto"/>
                <w:szCs w:val="21"/>
                <w:lang w:val="en-US" w:eastAsia="zh-CN"/>
              </w:rPr>
              <w:t>冷凝+酸吸收+碱吸收+水洗+活性炭吸附/脱附</w:t>
            </w:r>
          </w:p>
        </w:tc>
        <w:tc>
          <w:tcPr>
            <w:tcW w:w="292" w:type="pct"/>
            <w:shd w:val="clear" w:color="auto" w:fill="auto"/>
            <w:vAlign w:val="center"/>
          </w:tcPr>
          <w:p w14:paraId="36D5A036">
            <w:pPr>
              <w:jc w:val="center"/>
              <w:rPr>
                <w:rFonts w:hint="eastAsia" w:ascii="Times New Roman" w:hAnsi="Times New Roman" w:eastAsia="仿宋_GB2312" w:cs="Times New Roman"/>
                <w:color w:val="auto"/>
                <w:kern w:val="2"/>
                <w:sz w:val="21"/>
                <w:szCs w:val="24"/>
                <w:lang w:val="en-US" w:eastAsia="zh-CN" w:bidi="ar-SA"/>
              </w:rPr>
            </w:pPr>
            <w:r>
              <w:rPr>
                <w:rFonts w:hint="eastAsia" w:eastAsia="仿宋_GB2312"/>
                <w:color w:val="auto"/>
                <w:lang w:val="en-US" w:eastAsia="zh-CN"/>
              </w:rPr>
              <w:t>DA005</w:t>
            </w:r>
          </w:p>
        </w:tc>
      </w:tr>
      <w:tr w14:paraId="676758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706" w:type="pct"/>
            <w:gridSpan w:val="2"/>
            <w:vMerge w:val="restart"/>
            <w:vAlign w:val="center"/>
          </w:tcPr>
          <w:p w14:paraId="4A6722B7">
            <w:pPr>
              <w:jc w:val="center"/>
              <w:rPr>
                <w:rFonts w:hint="default" w:eastAsia="仿宋_GB2312"/>
                <w:color w:val="auto"/>
                <w:szCs w:val="21"/>
                <w:lang w:val="en-US" w:eastAsia="zh-CN"/>
              </w:rPr>
            </w:pPr>
            <w:r>
              <w:rPr>
                <w:rFonts w:hint="eastAsia" w:eastAsia="仿宋_GB2312"/>
                <w:color w:val="auto"/>
                <w:szCs w:val="21"/>
                <w:lang w:val="en-US" w:eastAsia="zh-CN"/>
              </w:rPr>
              <w:t>废液处置区</w:t>
            </w:r>
          </w:p>
        </w:tc>
        <w:tc>
          <w:tcPr>
            <w:tcW w:w="418" w:type="pct"/>
            <w:vAlign w:val="center"/>
          </w:tcPr>
          <w:p w14:paraId="7D97C971">
            <w:pPr>
              <w:jc w:val="center"/>
              <w:rPr>
                <w:rFonts w:eastAsia="仿宋_GB2312"/>
                <w:color w:val="auto"/>
                <w:szCs w:val="21"/>
              </w:rPr>
            </w:pPr>
            <w:r>
              <w:rPr>
                <w:rFonts w:eastAsia="仿宋_GB2312"/>
                <w:color w:val="auto"/>
                <w:kern w:val="0"/>
                <w:szCs w:val="21"/>
                <w:lang w:bidi="ar"/>
              </w:rPr>
              <w:t>G</w:t>
            </w:r>
            <w:r>
              <w:rPr>
                <w:rFonts w:hint="eastAsia" w:eastAsia="仿宋_GB2312"/>
                <w:color w:val="auto"/>
                <w:kern w:val="0"/>
                <w:szCs w:val="21"/>
                <w:lang w:val="en-US" w:eastAsia="zh-CN" w:bidi="ar"/>
              </w:rPr>
              <w:t>5</w:t>
            </w:r>
            <w:r>
              <w:rPr>
                <w:rFonts w:eastAsia="仿宋_GB2312"/>
                <w:color w:val="auto"/>
                <w:kern w:val="0"/>
                <w:szCs w:val="21"/>
                <w:lang w:bidi="ar"/>
              </w:rPr>
              <w:t>-1</w:t>
            </w:r>
          </w:p>
        </w:tc>
        <w:tc>
          <w:tcPr>
            <w:tcW w:w="446" w:type="pct"/>
            <w:vAlign w:val="center"/>
          </w:tcPr>
          <w:p w14:paraId="1C074374">
            <w:pPr>
              <w:jc w:val="center"/>
              <w:rPr>
                <w:rFonts w:eastAsia="仿宋_GB2312"/>
                <w:color w:val="auto"/>
                <w:szCs w:val="21"/>
              </w:rPr>
            </w:pPr>
            <w:r>
              <w:rPr>
                <w:rFonts w:eastAsia="仿宋_GB2312"/>
                <w:color w:val="auto"/>
                <w:kern w:val="0"/>
                <w:szCs w:val="21"/>
                <w:lang w:bidi="ar"/>
              </w:rPr>
              <w:t>收集池废气</w:t>
            </w:r>
          </w:p>
        </w:tc>
        <w:tc>
          <w:tcPr>
            <w:tcW w:w="361" w:type="pct"/>
            <w:vAlign w:val="center"/>
          </w:tcPr>
          <w:p w14:paraId="273FED24">
            <w:pPr>
              <w:jc w:val="center"/>
              <w:rPr>
                <w:rFonts w:eastAsia="仿宋_GB2312"/>
                <w:color w:val="auto"/>
                <w:szCs w:val="21"/>
              </w:rPr>
            </w:pPr>
            <w:r>
              <w:rPr>
                <w:color w:val="auto"/>
                <w:kern w:val="0"/>
                <w:szCs w:val="21"/>
              </w:rPr>
              <w:t>200</w:t>
            </w:r>
          </w:p>
        </w:tc>
        <w:tc>
          <w:tcPr>
            <w:tcW w:w="498" w:type="pct"/>
            <w:shd w:val="clear" w:color="auto" w:fill="auto"/>
            <w:vAlign w:val="center"/>
          </w:tcPr>
          <w:p w14:paraId="1E242B0F">
            <w:pPr>
              <w:jc w:val="center"/>
              <w:rPr>
                <w:rFonts w:hint="default" w:ascii="Times New Roman" w:hAnsi="Times New Roman" w:eastAsia="仿宋_GB2312" w:cs="Times New Roman"/>
                <w:color w:val="auto"/>
                <w:kern w:val="2"/>
                <w:sz w:val="21"/>
                <w:szCs w:val="21"/>
                <w:lang w:val="en-US" w:eastAsia="zh-CN" w:bidi="ar-SA"/>
              </w:rPr>
            </w:pPr>
            <w:r>
              <w:rPr>
                <w:rFonts w:hint="eastAsia" w:eastAsia="仿宋_GB2312"/>
                <w:color w:val="auto"/>
                <w:kern w:val="0"/>
                <w:szCs w:val="21"/>
                <w:lang w:val="en-US" w:eastAsia="zh-CN"/>
              </w:rPr>
              <w:t>125</w:t>
            </w:r>
          </w:p>
        </w:tc>
        <w:tc>
          <w:tcPr>
            <w:tcW w:w="820" w:type="pct"/>
            <w:vAlign w:val="center"/>
          </w:tcPr>
          <w:p w14:paraId="422A51D1">
            <w:pPr>
              <w:jc w:val="center"/>
              <w:rPr>
                <w:rFonts w:eastAsia="仿宋_GB2312"/>
                <w:color w:val="auto"/>
                <w:kern w:val="0"/>
                <w:szCs w:val="21"/>
                <w:lang w:bidi="ar"/>
              </w:rPr>
            </w:pPr>
            <w:r>
              <w:rPr>
                <w:rFonts w:eastAsia="仿宋_GB2312"/>
                <w:color w:val="auto"/>
                <w:kern w:val="0"/>
                <w:szCs w:val="21"/>
                <w:lang w:bidi="ar"/>
              </w:rPr>
              <w:t>挥发性有机物</w:t>
            </w:r>
          </w:p>
        </w:tc>
        <w:tc>
          <w:tcPr>
            <w:tcW w:w="380" w:type="pct"/>
            <w:shd w:val="clear" w:color="auto" w:fill="auto"/>
            <w:vAlign w:val="center"/>
          </w:tcPr>
          <w:p w14:paraId="4E67E737">
            <w:pPr>
              <w:keepNext w:val="0"/>
              <w:keepLines w:val="0"/>
              <w:widowControl/>
              <w:suppressLineNumbers w:val="0"/>
              <w:jc w:val="center"/>
              <w:textAlignment w:val="center"/>
              <w:rPr>
                <w:rFonts w:eastAsia="等线"/>
                <w:color w:val="auto"/>
                <w:szCs w:val="21"/>
              </w:rPr>
            </w:pPr>
            <w:r>
              <w:rPr>
                <w:rFonts w:hint="default" w:ascii="Times New Roman" w:hAnsi="Times New Roman" w:eastAsia="宋体" w:cs="Times New Roman"/>
                <w:i w:val="0"/>
                <w:iCs w:val="0"/>
                <w:color w:val="auto"/>
                <w:kern w:val="0"/>
                <w:sz w:val="21"/>
                <w:szCs w:val="21"/>
                <w:u w:val="none"/>
                <w:lang w:val="en-US" w:eastAsia="zh-CN" w:bidi="ar"/>
              </w:rPr>
              <w:t>5.47</w:t>
            </w:r>
          </w:p>
        </w:tc>
        <w:tc>
          <w:tcPr>
            <w:tcW w:w="445" w:type="pct"/>
            <w:shd w:val="clear" w:color="auto" w:fill="auto"/>
            <w:vAlign w:val="center"/>
          </w:tcPr>
          <w:p w14:paraId="6673D2C5">
            <w:pPr>
              <w:widowControl/>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eastAsia" w:eastAsia="仿宋_GB2312"/>
                <w:color w:val="auto"/>
                <w:kern w:val="0"/>
                <w:szCs w:val="21"/>
                <w:lang w:val="en-US" w:eastAsia="zh-CN" w:bidi="ar"/>
              </w:rPr>
              <w:t>0.684</w:t>
            </w:r>
          </w:p>
        </w:tc>
        <w:tc>
          <w:tcPr>
            <w:tcW w:w="630" w:type="pct"/>
            <w:vMerge w:val="restart"/>
            <w:vAlign w:val="center"/>
          </w:tcPr>
          <w:p w14:paraId="61271C59">
            <w:pPr>
              <w:widowControl/>
              <w:jc w:val="center"/>
              <w:textAlignment w:val="center"/>
              <w:rPr>
                <w:rFonts w:eastAsia="仿宋_GB2312"/>
                <w:color w:val="auto"/>
                <w:szCs w:val="21"/>
              </w:rPr>
            </w:pPr>
            <w:r>
              <w:rPr>
                <w:rFonts w:eastAsia="仿宋_GB2312"/>
                <w:color w:val="auto"/>
                <w:szCs w:val="21"/>
              </w:rPr>
              <w:t>冷凝+稀酸吸收+碱、次氯酸钠混合液吸收+除雾+活性炭吸附/脱附</w:t>
            </w:r>
          </w:p>
        </w:tc>
        <w:tc>
          <w:tcPr>
            <w:tcW w:w="292" w:type="pct"/>
            <w:vMerge w:val="restart"/>
            <w:vAlign w:val="center"/>
          </w:tcPr>
          <w:p w14:paraId="27692311">
            <w:pPr>
              <w:widowControl/>
              <w:jc w:val="center"/>
              <w:textAlignment w:val="center"/>
              <w:rPr>
                <w:rFonts w:eastAsia="仿宋_GB2312"/>
                <w:color w:val="auto"/>
                <w:szCs w:val="21"/>
              </w:rPr>
            </w:pPr>
            <w:r>
              <w:rPr>
                <w:rFonts w:hint="eastAsia" w:eastAsia="仿宋_GB2312"/>
                <w:color w:val="auto"/>
                <w:kern w:val="0"/>
                <w:szCs w:val="21"/>
                <w:lang w:val="en-US" w:eastAsia="zh-CN" w:bidi="ar"/>
              </w:rPr>
              <w:t>DA004</w:t>
            </w:r>
          </w:p>
        </w:tc>
      </w:tr>
      <w:tr w14:paraId="744661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706" w:type="pct"/>
            <w:gridSpan w:val="2"/>
            <w:vMerge w:val="continue"/>
            <w:vAlign w:val="center"/>
          </w:tcPr>
          <w:p w14:paraId="474ABDBA">
            <w:pPr>
              <w:jc w:val="center"/>
              <w:rPr>
                <w:rFonts w:eastAsia="仿宋_GB2312"/>
                <w:color w:val="auto"/>
                <w:szCs w:val="21"/>
              </w:rPr>
            </w:pPr>
          </w:p>
        </w:tc>
        <w:tc>
          <w:tcPr>
            <w:tcW w:w="418" w:type="pct"/>
            <w:vAlign w:val="center"/>
          </w:tcPr>
          <w:p w14:paraId="14A8CB4C">
            <w:pPr>
              <w:jc w:val="center"/>
              <w:rPr>
                <w:rFonts w:eastAsia="仿宋_GB2312"/>
                <w:color w:val="auto"/>
                <w:szCs w:val="21"/>
              </w:rPr>
            </w:pPr>
            <w:r>
              <w:rPr>
                <w:rFonts w:eastAsia="仿宋_GB2312"/>
                <w:color w:val="auto"/>
                <w:kern w:val="0"/>
                <w:szCs w:val="21"/>
                <w:lang w:bidi="ar"/>
              </w:rPr>
              <w:t>G</w:t>
            </w:r>
            <w:r>
              <w:rPr>
                <w:rFonts w:hint="eastAsia" w:eastAsia="仿宋_GB2312"/>
                <w:color w:val="auto"/>
                <w:kern w:val="0"/>
                <w:szCs w:val="21"/>
                <w:lang w:val="en-US" w:eastAsia="zh-CN" w:bidi="ar"/>
              </w:rPr>
              <w:t>5</w:t>
            </w:r>
            <w:r>
              <w:rPr>
                <w:rFonts w:eastAsia="仿宋_GB2312"/>
                <w:color w:val="auto"/>
                <w:kern w:val="0"/>
                <w:szCs w:val="21"/>
                <w:lang w:bidi="ar"/>
              </w:rPr>
              <w:t>-2</w:t>
            </w:r>
          </w:p>
        </w:tc>
        <w:tc>
          <w:tcPr>
            <w:tcW w:w="446" w:type="pct"/>
            <w:vAlign w:val="center"/>
          </w:tcPr>
          <w:p w14:paraId="554E6A9E">
            <w:pPr>
              <w:jc w:val="center"/>
              <w:rPr>
                <w:rFonts w:eastAsia="仿宋_GB2312"/>
                <w:color w:val="auto"/>
                <w:szCs w:val="21"/>
              </w:rPr>
            </w:pPr>
            <w:r>
              <w:rPr>
                <w:rFonts w:eastAsia="仿宋_GB2312"/>
                <w:color w:val="auto"/>
                <w:kern w:val="0"/>
                <w:szCs w:val="21"/>
                <w:lang w:bidi="ar"/>
              </w:rPr>
              <w:t>沉淀池废气</w:t>
            </w:r>
          </w:p>
        </w:tc>
        <w:tc>
          <w:tcPr>
            <w:tcW w:w="361" w:type="pct"/>
            <w:vAlign w:val="center"/>
          </w:tcPr>
          <w:p w14:paraId="52C0B230">
            <w:pPr>
              <w:jc w:val="center"/>
              <w:rPr>
                <w:rFonts w:eastAsia="仿宋_GB2312"/>
                <w:color w:val="auto"/>
                <w:szCs w:val="21"/>
              </w:rPr>
            </w:pPr>
            <w:r>
              <w:rPr>
                <w:color w:val="auto"/>
                <w:kern w:val="0"/>
                <w:szCs w:val="21"/>
              </w:rPr>
              <w:t>250</w:t>
            </w:r>
          </w:p>
        </w:tc>
        <w:tc>
          <w:tcPr>
            <w:tcW w:w="498" w:type="pct"/>
            <w:shd w:val="clear" w:color="auto" w:fill="auto"/>
            <w:vAlign w:val="center"/>
          </w:tcPr>
          <w:p w14:paraId="06D1BA64">
            <w:pPr>
              <w:jc w:val="center"/>
              <w:rPr>
                <w:rFonts w:hint="default" w:ascii="Times New Roman" w:hAnsi="Times New Roman" w:eastAsia="仿宋_GB2312" w:cs="Times New Roman"/>
                <w:color w:val="auto"/>
                <w:kern w:val="2"/>
                <w:sz w:val="21"/>
                <w:szCs w:val="21"/>
                <w:lang w:val="en-US" w:eastAsia="zh-CN" w:bidi="ar-SA"/>
              </w:rPr>
            </w:pPr>
            <w:r>
              <w:rPr>
                <w:rFonts w:hint="eastAsia" w:eastAsia="仿宋_GB2312"/>
                <w:color w:val="auto"/>
                <w:kern w:val="0"/>
                <w:szCs w:val="21"/>
                <w:lang w:val="en-US" w:eastAsia="zh-CN"/>
              </w:rPr>
              <w:t>125</w:t>
            </w:r>
          </w:p>
        </w:tc>
        <w:tc>
          <w:tcPr>
            <w:tcW w:w="820" w:type="pct"/>
            <w:vAlign w:val="center"/>
          </w:tcPr>
          <w:p w14:paraId="63F062E5">
            <w:pPr>
              <w:jc w:val="center"/>
              <w:rPr>
                <w:rFonts w:eastAsia="仿宋_GB2312"/>
                <w:color w:val="auto"/>
                <w:kern w:val="0"/>
                <w:szCs w:val="21"/>
                <w:lang w:bidi="ar"/>
              </w:rPr>
            </w:pPr>
            <w:r>
              <w:rPr>
                <w:rFonts w:eastAsia="仿宋_GB2312"/>
                <w:color w:val="auto"/>
                <w:kern w:val="0"/>
                <w:szCs w:val="21"/>
                <w:lang w:bidi="ar"/>
              </w:rPr>
              <w:t>挥发性有机物</w:t>
            </w:r>
          </w:p>
        </w:tc>
        <w:tc>
          <w:tcPr>
            <w:tcW w:w="380" w:type="pct"/>
            <w:shd w:val="clear" w:color="auto" w:fill="auto"/>
            <w:vAlign w:val="center"/>
          </w:tcPr>
          <w:p w14:paraId="0A39F5FB">
            <w:pPr>
              <w:keepNext w:val="0"/>
              <w:keepLines w:val="0"/>
              <w:widowControl/>
              <w:suppressLineNumbers w:val="0"/>
              <w:jc w:val="center"/>
              <w:textAlignment w:val="center"/>
              <w:rPr>
                <w:rFonts w:eastAsia="等线"/>
                <w:color w:val="auto"/>
                <w:szCs w:val="21"/>
              </w:rPr>
            </w:pPr>
            <w:r>
              <w:rPr>
                <w:rFonts w:hint="default" w:ascii="Times New Roman" w:hAnsi="Times New Roman" w:eastAsia="宋体" w:cs="Times New Roman"/>
                <w:i w:val="0"/>
                <w:iCs w:val="0"/>
                <w:color w:val="auto"/>
                <w:kern w:val="0"/>
                <w:sz w:val="21"/>
                <w:szCs w:val="21"/>
                <w:u w:val="none"/>
                <w:lang w:val="en-US" w:eastAsia="zh-CN" w:bidi="ar"/>
              </w:rPr>
              <w:t>5.43</w:t>
            </w:r>
          </w:p>
        </w:tc>
        <w:tc>
          <w:tcPr>
            <w:tcW w:w="445" w:type="pct"/>
            <w:shd w:val="clear" w:color="auto" w:fill="auto"/>
            <w:vAlign w:val="center"/>
          </w:tcPr>
          <w:p w14:paraId="6F841D5F">
            <w:pPr>
              <w:widowControl/>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eastAsia" w:eastAsia="仿宋_GB2312"/>
                <w:color w:val="auto"/>
                <w:kern w:val="0"/>
                <w:szCs w:val="21"/>
                <w:lang w:val="en-US" w:eastAsia="zh-CN" w:bidi="ar"/>
              </w:rPr>
              <w:t>0.679</w:t>
            </w:r>
          </w:p>
        </w:tc>
        <w:tc>
          <w:tcPr>
            <w:tcW w:w="630" w:type="pct"/>
            <w:vMerge w:val="continue"/>
            <w:vAlign w:val="center"/>
          </w:tcPr>
          <w:p w14:paraId="2F910B7A">
            <w:pPr>
              <w:jc w:val="center"/>
              <w:rPr>
                <w:rFonts w:eastAsia="仿宋_GB2312"/>
                <w:color w:val="auto"/>
                <w:szCs w:val="21"/>
              </w:rPr>
            </w:pPr>
          </w:p>
        </w:tc>
        <w:tc>
          <w:tcPr>
            <w:tcW w:w="292" w:type="pct"/>
            <w:vMerge w:val="continue"/>
            <w:vAlign w:val="center"/>
          </w:tcPr>
          <w:p w14:paraId="7D536D83">
            <w:pPr>
              <w:jc w:val="center"/>
              <w:rPr>
                <w:rFonts w:eastAsia="仿宋_GB2312"/>
                <w:color w:val="auto"/>
                <w:szCs w:val="21"/>
              </w:rPr>
            </w:pPr>
          </w:p>
        </w:tc>
      </w:tr>
      <w:tr w14:paraId="14E847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706" w:type="pct"/>
            <w:gridSpan w:val="2"/>
            <w:vMerge w:val="continue"/>
            <w:vAlign w:val="center"/>
          </w:tcPr>
          <w:p w14:paraId="4FC1EC0E">
            <w:pPr>
              <w:jc w:val="center"/>
              <w:rPr>
                <w:rFonts w:eastAsia="仿宋_GB2312"/>
                <w:color w:val="auto"/>
                <w:szCs w:val="21"/>
              </w:rPr>
            </w:pPr>
          </w:p>
        </w:tc>
        <w:tc>
          <w:tcPr>
            <w:tcW w:w="418" w:type="pct"/>
            <w:vAlign w:val="center"/>
          </w:tcPr>
          <w:p w14:paraId="0D114462">
            <w:pPr>
              <w:jc w:val="center"/>
              <w:rPr>
                <w:rFonts w:eastAsia="仿宋_GB2312"/>
                <w:color w:val="auto"/>
                <w:szCs w:val="21"/>
              </w:rPr>
            </w:pPr>
            <w:r>
              <w:rPr>
                <w:rFonts w:eastAsia="仿宋_GB2312"/>
                <w:color w:val="auto"/>
                <w:kern w:val="0"/>
                <w:szCs w:val="21"/>
                <w:lang w:bidi="ar"/>
              </w:rPr>
              <w:t>G</w:t>
            </w:r>
            <w:r>
              <w:rPr>
                <w:rFonts w:hint="eastAsia" w:eastAsia="仿宋_GB2312"/>
                <w:color w:val="auto"/>
                <w:kern w:val="0"/>
                <w:szCs w:val="21"/>
                <w:lang w:val="en-US" w:eastAsia="zh-CN" w:bidi="ar"/>
              </w:rPr>
              <w:t>5</w:t>
            </w:r>
            <w:r>
              <w:rPr>
                <w:rFonts w:eastAsia="仿宋_GB2312"/>
                <w:color w:val="auto"/>
                <w:kern w:val="0"/>
                <w:szCs w:val="21"/>
                <w:lang w:bidi="ar"/>
              </w:rPr>
              <w:t>-3</w:t>
            </w:r>
          </w:p>
        </w:tc>
        <w:tc>
          <w:tcPr>
            <w:tcW w:w="446" w:type="pct"/>
            <w:vAlign w:val="center"/>
          </w:tcPr>
          <w:p w14:paraId="51A0277B">
            <w:pPr>
              <w:jc w:val="center"/>
              <w:rPr>
                <w:rFonts w:eastAsia="仿宋_GB2312"/>
                <w:color w:val="auto"/>
                <w:kern w:val="0"/>
                <w:szCs w:val="21"/>
                <w:lang w:bidi="ar"/>
              </w:rPr>
            </w:pPr>
            <w:r>
              <w:rPr>
                <w:rFonts w:eastAsia="仿宋_GB2312"/>
                <w:color w:val="auto"/>
                <w:kern w:val="0"/>
                <w:szCs w:val="21"/>
                <w:lang w:bidi="ar"/>
              </w:rPr>
              <w:t>压滤废气</w:t>
            </w:r>
          </w:p>
        </w:tc>
        <w:tc>
          <w:tcPr>
            <w:tcW w:w="361" w:type="pct"/>
            <w:vAlign w:val="center"/>
          </w:tcPr>
          <w:p w14:paraId="391AE38A">
            <w:pPr>
              <w:jc w:val="center"/>
              <w:rPr>
                <w:rFonts w:eastAsia="仿宋_GB2312"/>
                <w:color w:val="auto"/>
                <w:kern w:val="0"/>
                <w:szCs w:val="21"/>
                <w:lang w:bidi="ar"/>
              </w:rPr>
            </w:pPr>
            <w:r>
              <w:rPr>
                <w:color w:val="auto"/>
                <w:kern w:val="0"/>
                <w:szCs w:val="21"/>
              </w:rPr>
              <w:t>500</w:t>
            </w:r>
          </w:p>
        </w:tc>
        <w:tc>
          <w:tcPr>
            <w:tcW w:w="498" w:type="pct"/>
            <w:shd w:val="clear" w:color="auto" w:fill="auto"/>
            <w:vAlign w:val="center"/>
          </w:tcPr>
          <w:p w14:paraId="1F39053F">
            <w:pPr>
              <w:jc w:val="center"/>
              <w:rPr>
                <w:rFonts w:hint="default"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rPr>
              <w:t>125</w:t>
            </w:r>
          </w:p>
        </w:tc>
        <w:tc>
          <w:tcPr>
            <w:tcW w:w="820" w:type="pct"/>
            <w:vAlign w:val="center"/>
          </w:tcPr>
          <w:p w14:paraId="73D92296">
            <w:pPr>
              <w:jc w:val="center"/>
              <w:rPr>
                <w:rFonts w:eastAsia="仿宋_GB2312"/>
                <w:color w:val="auto"/>
                <w:kern w:val="0"/>
                <w:szCs w:val="21"/>
                <w:lang w:bidi="ar"/>
              </w:rPr>
            </w:pPr>
            <w:r>
              <w:rPr>
                <w:rFonts w:eastAsia="仿宋_GB2312"/>
                <w:color w:val="auto"/>
                <w:kern w:val="0"/>
                <w:szCs w:val="21"/>
                <w:lang w:bidi="ar"/>
              </w:rPr>
              <w:t>挥发性有机物</w:t>
            </w:r>
          </w:p>
        </w:tc>
        <w:tc>
          <w:tcPr>
            <w:tcW w:w="380" w:type="pct"/>
            <w:shd w:val="clear" w:color="auto" w:fill="auto"/>
            <w:vAlign w:val="center"/>
          </w:tcPr>
          <w:p w14:paraId="4862817B">
            <w:pPr>
              <w:keepNext w:val="0"/>
              <w:keepLines w:val="0"/>
              <w:widowControl/>
              <w:suppressLineNumbers w:val="0"/>
              <w:jc w:val="center"/>
              <w:textAlignment w:val="center"/>
              <w:rPr>
                <w:rFonts w:eastAsia="等线"/>
                <w:color w:val="auto"/>
                <w:szCs w:val="21"/>
              </w:rPr>
            </w:pPr>
            <w:r>
              <w:rPr>
                <w:rFonts w:hint="default" w:ascii="Times New Roman" w:hAnsi="Times New Roman" w:eastAsia="宋体" w:cs="Times New Roman"/>
                <w:i w:val="0"/>
                <w:iCs w:val="0"/>
                <w:color w:val="auto"/>
                <w:kern w:val="0"/>
                <w:sz w:val="21"/>
                <w:szCs w:val="21"/>
                <w:u w:val="none"/>
                <w:lang w:val="en-US" w:eastAsia="zh-CN" w:bidi="ar"/>
              </w:rPr>
              <w:t>0.09</w:t>
            </w:r>
          </w:p>
        </w:tc>
        <w:tc>
          <w:tcPr>
            <w:tcW w:w="445" w:type="pct"/>
            <w:shd w:val="clear" w:color="auto" w:fill="auto"/>
            <w:vAlign w:val="center"/>
          </w:tcPr>
          <w:p w14:paraId="31C3A78E">
            <w:pPr>
              <w:widowControl/>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eastAsia" w:eastAsia="仿宋_GB2312"/>
                <w:color w:val="auto"/>
                <w:kern w:val="0"/>
                <w:szCs w:val="21"/>
                <w:lang w:val="en-US" w:eastAsia="zh-CN" w:bidi="ar"/>
              </w:rPr>
              <w:t>0.011</w:t>
            </w:r>
          </w:p>
        </w:tc>
        <w:tc>
          <w:tcPr>
            <w:tcW w:w="630" w:type="pct"/>
            <w:vMerge w:val="continue"/>
            <w:vAlign w:val="center"/>
          </w:tcPr>
          <w:p w14:paraId="089CCA4F">
            <w:pPr>
              <w:jc w:val="center"/>
              <w:rPr>
                <w:rFonts w:eastAsia="仿宋_GB2312"/>
                <w:color w:val="auto"/>
                <w:szCs w:val="21"/>
              </w:rPr>
            </w:pPr>
          </w:p>
        </w:tc>
        <w:tc>
          <w:tcPr>
            <w:tcW w:w="292" w:type="pct"/>
            <w:vMerge w:val="continue"/>
            <w:vAlign w:val="center"/>
          </w:tcPr>
          <w:p w14:paraId="47435955">
            <w:pPr>
              <w:jc w:val="center"/>
              <w:rPr>
                <w:rFonts w:eastAsia="仿宋_GB2312"/>
                <w:color w:val="auto"/>
                <w:szCs w:val="21"/>
              </w:rPr>
            </w:pPr>
          </w:p>
        </w:tc>
      </w:tr>
      <w:tr w14:paraId="0EB62D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706" w:type="pct"/>
            <w:gridSpan w:val="2"/>
            <w:vMerge w:val="continue"/>
            <w:vAlign w:val="center"/>
          </w:tcPr>
          <w:p w14:paraId="6CE81881">
            <w:pPr>
              <w:jc w:val="center"/>
              <w:rPr>
                <w:rFonts w:eastAsia="仿宋_GB2312"/>
                <w:color w:val="auto"/>
                <w:szCs w:val="21"/>
              </w:rPr>
            </w:pPr>
          </w:p>
        </w:tc>
        <w:tc>
          <w:tcPr>
            <w:tcW w:w="418" w:type="pct"/>
            <w:vAlign w:val="center"/>
          </w:tcPr>
          <w:p w14:paraId="073ED46E">
            <w:pPr>
              <w:jc w:val="center"/>
              <w:rPr>
                <w:rFonts w:eastAsia="仿宋_GB2312"/>
                <w:color w:val="auto"/>
                <w:szCs w:val="21"/>
              </w:rPr>
            </w:pPr>
            <w:r>
              <w:rPr>
                <w:rFonts w:eastAsia="仿宋_GB2312"/>
                <w:color w:val="auto"/>
                <w:kern w:val="0"/>
                <w:szCs w:val="21"/>
                <w:lang w:bidi="ar"/>
              </w:rPr>
              <w:t>G</w:t>
            </w:r>
            <w:r>
              <w:rPr>
                <w:rFonts w:hint="eastAsia" w:eastAsia="仿宋_GB2312"/>
                <w:color w:val="auto"/>
                <w:kern w:val="0"/>
                <w:szCs w:val="21"/>
                <w:lang w:val="en-US" w:eastAsia="zh-CN" w:bidi="ar"/>
              </w:rPr>
              <w:t>5</w:t>
            </w:r>
            <w:r>
              <w:rPr>
                <w:rFonts w:eastAsia="仿宋_GB2312"/>
                <w:color w:val="auto"/>
                <w:kern w:val="0"/>
                <w:szCs w:val="21"/>
                <w:lang w:bidi="ar"/>
              </w:rPr>
              <w:t>-4</w:t>
            </w:r>
          </w:p>
        </w:tc>
        <w:tc>
          <w:tcPr>
            <w:tcW w:w="446" w:type="pct"/>
            <w:vAlign w:val="center"/>
          </w:tcPr>
          <w:p w14:paraId="08F9FFBC">
            <w:pPr>
              <w:jc w:val="center"/>
              <w:rPr>
                <w:rFonts w:eastAsia="仿宋_GB2312"/>
                <w:color w:val="auto"/>
                <w:kern w:val="0"/>
                <w:szCs w:val="21"/>
                <w:lang w:bidi="ar"/>
              </w:rPr>
            </w:pPr>
            <w:r>
              <w:rPr>
                <w:rFonts w:eastAsia="仿宋_GB2312"/>
                <w:color w:val="auto"/>
                <w:kern w:val="0"/>
                <w:szCs w:val="21"/>
                <w:lang w:bidi="ar"/>
              </w:rPr>
              <w:t>收集池废气</w:t>
            </w:r>
          </w:p>
        </w:tc>
        <w:tc>
          <w:tcPr>
            <w:tcW w:w="361" w:type="pct"/>
            <w:vAlign w:val="center"/>
          </w:tcPr>
          <w:p w14:paraId="39CB7D09">
            <w:pPr>
              <w:jc w:val="center"/>
              <w:rPr>
                <w:rFonts w:eastAsia="仿宋_GB2312"/>
                <w:color w:val="auto"/>
                <w:kern w:val="0"/>
                <w:szCs w:val="21"/>
                <w:lang w:bidi="ar"/>
              </w:rPr>
            </w:pPr>
            <w:r>
              <w:rPr>
                <w:color w:val="auto"/>
                <w:kern w:val="0"/>
                <w:szCs w:val="21"/>
              </w:rPr>
              <w:t>500</w:t>
            </w:r>
          </w:p>
        </w:tc>
        <w:tc>
          <w:tcPr>
            <w:tcW w:w="498" w:type="pct"/>
            <w:shd w:val="clear" w:color="auto" w:fill="auto"/>
            <w:vAlign w:val="center"/>
          </w:tcPr>
          <w:p w14:paraId="454E909E">
            <w:pPr>
              <w:jc w:val="center"/>
              <w:rPr>
                <w:rFonts w:hint="default"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rPr>
              <w:t>125</w:t>
            </w:r>
          </w:p>
        </w:tc>
        <w:tc>
          <w:tcPr>
            <w:tcW w:w="820" w:type="pct"/>
            <w:vAlign w:val="center"/>
          </w:tcPr>
          <w:p w14:paraId="11CD8CCE">
            <w:pPr>
              <w:jc w:val="center"/>
              <w:rPr>
                <w:rFonts w:eastAsia="仿宋_GB2312"/>
                <w:color w:val="auto"/>
                <w:kern w:val="0"/>
                <w:szCs w:val="21"/>
                <w:lang w:bidi="ar"/>
              </w:rPr>
            </w:pPr>
            <w:r>
              <w:rPr>
                <w:rFonts w:eastAsia="仿宋_GB2312"/>
                <w:color w:val="auto"/>
                <w:kern w:val="0"/>
                <w:szCs w:val="21"/>
                <w:lang w:bidi="ar"/>
              </w:rPr>
              <w:t>挥发性有机物</w:t>
            </w:r>
          </w:p>
        </w:tc>
        <w:tc>
          <w:tcPr>
            <w:tcW w:w="380" w:type="pct"/>
            <w:shd w:val="clear" w:color="auto" w:fill="auto"/>
            <w:vAlign w:val="center"/>
          </w:tcPr>
          <w:p w14:paraId="376F262A">
            <w:pPr>
              <w:keepNext w:val="0"/>
              <w:keepLines w:val="0"/>
              <w:widowControl/>
              <w:suppressLineNumbers w:val="0"/>
              <w:jc w:val="center"/>
              <w:textAlignment w:val="center"/>
              <w:rPr>
                <w:rFonts w:eastAsia="等线"/>
                <w:color w:val="auto"/>
                <w:szCs w:val="21"/>
              </w:rPr>
            </w:pPr>
            <w:r>
              <w:rPr>
                <w:rFonts w:hint="default" w:ascii="Times New Roman" w:hAnsi="Times New Roman" w:eastAsia="宋体" w:cs="Times New Roman"/>
                <w:i w:val="0"/>
                <w:iCs w:val="0"/>
                <w:color w:val="auto"/>
                <w:kern w:val="0"/>
                <w:sz w:val="21"/>
                <w:szCs w:val="21"/>
                <w:u w:val="none"/>
                <w:lang w:val="en-US" w:eastAsia="zh-CN" w:bidi="ar"/>
              </w:rPr>
              <w:t>5.42</w:t>
            </w:r>
          </w:p>
        </w:tc>
        <w:tc>
          <w:tcPr>
            <w:tcW w:w="445" w:type="pct"/>
            <w:shd w:val="clear" w:color="auto" w:fill="auto"/>
            <w:vAlign w:val="center"/>
          </w:tcPr>
          <w:p w14:paraId="72EAF63C">
            <w:pPr>
              <w:widowControl/>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eastAsia" w:eastAsia="仿宋_GB2312"/>
                <w:color w:val="auto"/>
                <w:kern w:val="0"/>
                <w:szCs w:val="21"/>
                <w:lang w:val="en-US" w:eastAsia="zh-CN" w:bidi="ar"/>
              </w:rPr>
              <w:t>0.678</w:t>
            </w:r>
          </w:p>
        </w:tc>
        <w:tc>
          <w:tcPr>
            <w:tcW w:w="630" w:type="pct"/>
            <w:vMerge w:val="continue"/>
            <w:vAlign w:val="center"/>
          </w:tcPr>
          <w:p w14:paraId="5547E10B">
            <w:pPr>
              <w:jc w:val="center"/>
              <w:rPr>
                <w:rFonts w:eastAsia="仿宋_GB2312"/>
                <w:color w:val="auto"/>
                <w:szCs w:val="21"/>
              </w:rPr>
            </w:pPr>
          </w:p>
        </w:tc>
        <w:tc>
          <w:tcPr>
            <w:tcW w:w="292" w:type="pct"/>
            <w:vMerge w:val="continue"/>
            <w:vAlign w:val="center"/>
          </w:tcPr>
          <w:p w14:paraId="0F9377AE">
            <w:pPr>
              <w:jc w:val="center"/>
              <w:rPr>
                <w:rFonts w:eastAsia="仿宋_GB2312"/>
                <w:color w:val="auto"/>
                <w:szCs w:val="21"/>
              </w:rPr>
            </w:pPr>
          </w:p>
        </w:tc>
      </w:tr>
      <w:tr w14:paraId="366817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706" w:type="pct"/>
            <w:gridSpan w:val="2"/>
            <w:vMerge w:val="continue"/>
            <w:vAlign w:val="center"/>
          </w:tcPr>
          <w:p w14:paraId="5D7D9074">
            <w:pPr>
              <w:jc w:val="center"/>
              <w:rPr>
                <w:rFonts w:eastAsia="仿宋_GB2312"/>
                <w:color w:val="auto"/>
                <w:szCs w:val="21"/>
              </w:rPr>
            </w:pPr>
          </w:p>
        </w:tc>
        <w:tc>
          <w:tcPr>
            <w:tcW w:w="418" w:type="pct"/>
            <w:vAlign w:val="center"/>
          </w:tcPr>
          <w:p w14:paraId="6904C28C">
            <w:pPr>
              <w:jc w:val="center"/>
              <w:rPr>
                <w:rFonts w:eastAsia="仿宋_GB2312"/>
                <w:color w:val="auto"/>
                <w:szCs w:val="21"/>
              </w:rPr>
            </w:pPr>
            <w:r>
              <w:rPr>
                <w:rFonts w:eastAsia="仿宋_GB2312"/>
                <w:color w:val="auto"/>
                <w:kern w:val="0"/>
                <w:szCs w:val="21"/>
                <w:lang w:bidi="ar"/>
              </w:rPr>
              <w:t>G</w:t>
            </w:r>
            <w:r>
              <w:rPr>
                <w:rFonts w:hint="eastAsia" w:eastAsia="仿宋_GB2312"/>
                <w:color w:val="auto"/>
                <w:kern w:val="0"/>
                <w:szCs w:val="21"/>
                <w:lang w:val="en-US" w:eastAsia="zh-CN" w:bidi="ar"/>
              </w:rPr>
              <w:t>5</w:t>
            </w:r>
            <w:r>
              <w:rPr>
                <w:rFonts w:eastAsia="仿宋_GB2312"/>
                <w:color w:val="auto"/>
                <w:kern w:val="0"/>
                <w:szCs w:val="21"/>
                <w:lang w:bidi="ar"/>
              </w:rPr>
              <w:t>-5</w:t>
            </w:r>
          </w:p>
        </w:tc>
        <w:tc>
          <w:tcPr>
            <w:tcW w:w="446" w:type="pct"/>
            <w:vAlign w:val="center"/>
          </w:tcPr>
          <w:p w14:paraId="23082F2F">
            <w:pPr>
              <w:jc w:val="center"/>
              <w:rPr>
                <w:rFonts w:eastAsia="仿宋_GB2312"/>
                <w:color w:val="auto"/>
                <w:kern w:val="0"/>
                <w:szCs w:val="21"/>
                <w:lang w:bidi="ar"/>
              </w:rPr>
            </w:pPr>
            <w:r>
              <w:rPr>
                <w:rFonts w:eastAsia="仿宋_GB2312"/>
                <w:color w:val="auto"/>
                <w:kern w:val="0"/>
                <w:szCs w:val="21"/>
                <w:lang w:bidi="ar"/>
              </w:rPr>
              <w:t>不凝气</w:t>
            </w:r>
          </w:p>
        </w:tc>
        <w:tc>
          <w:tcPr>
            <w:tcW w:w="361" w:type="pct"/>
            <w:vAlign w:val="center"/>
          </w:tcPr>
          <w:p w14:paraId="72E8B9D4">
            <w:pPr>
              <w:jc w:val="center"/>
              <w:rPr>
                <w:rFonts w:eastAsia="仿宋_GB2312"/>
                <w:color w:val="auto"/>
                <w:kern w:val="0"/>
                <w:szCs w:val="21"/>
                <w:lang w:bidi="ar"/>
              </w:rPr>
            </w:pPr>
            <w:r>
              <w:rPr>
                <w:color w:val="auto"/>
                <w:kern w:val="0"/>
                <w:szCs w:val="21"/>
              </w:rPr>
              <w:t>180</w:t>
            </w:r>
          </w:p>
        </w:tc>
        <w:tc>
          <w:tcPr>
            <w:tcW w:w="498" w:type="pct"/>
            <w:shd w:val="clear" w:color="auto" w:fill="auto"/>
            <w:vAlign w:val="center"/>
          </w:tcPr>
          <w:p w14:paraId="3A70E325">
            <w:pPr>
              <w:jc w:val="center"/>
              <w:rPr>
                <w:rFonts w:hint="default"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rPr>
              <w:t>252</w:t>
            </w:r>
          </w:p>
        </w:tc>
        <w:tc>
          <w:tcPr>
            <w:tcW w:w="820" w:type="pct"/>
            <w:vAlign w:val="center"/>
          </w:tcPr>
          <w:p w14:paraId="2B081FE7">
            <w:pPr>
              <w:jc w:val="center"/>
              <w:rPr>
                <w:rFonts w:eastAsia="仿宋_GB2312"/>
                <w:color w:val="auto"/>
                <w:kern w:val="0"/>
                <w:szCs w:val="21"/>
                <w:lang w:bidi="ar"/>
              </w:rPr>
            </w:pPr>
            <w:r>
              <w:rPr>
                <w:rFonts w:eastAsia="仿宋_GB2312"/>
                <w:color w:val="auto"/>
                <w:kern w:val="0"/>
                <w:szCs w:val="21"/>
                <w:lang w:bidi="ar"/>
              </w:rPr>
              <w:t>挥发性有机物</w:t>
            </w:r>
          </w:p>
        </w:tc>
        <w:tc>
          <w:tcPr>
            <w:tcW w:w="380" w:type="pct"/>
            <w:shd w:val="clear" w:color="auto" w:fill="auto"/>
            <w:vAlign w:val="center"/>
          </w:tcPr>
          <w:p w14:paraId="55F1F668">
            <w:pPr>
              <w:keepNext w:val="0"/>
              <w:keepLines w:val="0"/>
              <w:widowControl/>
              <w:suppressLineNumbers w:val="0"/>
              <w:jc w:val="center"/>
              <w:textAlignment w:val="center"/>
              <w:rPr>
                <w:rFonts w:eastAsia="等线"/>
                <w:color w:val="auto"/>
                <w:szCs w:val="21"/>
              </w:rPr>
            </w:pPr>
            <w:r>
              <w:rPr>
                <w:rFonts w:hint="default" w:ascii="Times New Roman" w:hAnsi="Times New Roman" w:eastAsia="宋体" w:cs="Times New Roman"/>
                <w:i w:val="0"/>
                <w:iCs w:val="0"/>
                <w:color w:val="auto"/>
                <w:kern w:val="0"/>
                <w:sz w:val="21"/>
                <w:szCs w:val="21"/>
                <w:u w:val="none"/>
                <w:lang w:val="en-US" w:eastAsia="zh-CN" w:bidi="ar"/>
              </w:rPr>
              <w:t>4.52</w:t>
            </w:r>
          </w:p>
        </w:tc>
        <w:tc>
          <w:tcPr>
            <w:tcW w:w="445" w:type="pct"/>
            <w:shd w:val="clear" w:color="auto" w:fill="auto"/>
            <w:vAlign w:val="center"/>
          </w:tcPr>
          <w:p w14:paraId="0BDDAF4F">
            <w:pPr>
              <w:widowControl/>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eastAsia" w:eastAsia="仿宋_GB2312"/>
                <w:color w:val="auto"/>
                <w:kern w:val="0"/>
                <w:szCs w:val="21"/>
                <w:lang w:val="en-US" w:eastAsia="zh-CN" w:bidi="ar"/>
              </w:rPr>
              <w:t>1.14</w:t>
            </w:r>
          </w:p>
        </w:tc>
        <w:tc>
          <w:tcPr>
            <w:tcW w:w="630" w:type="pct"/>
            <w:vMerge w:val="continue"/>
            <w:vAlign w:val="center"/>
          </w:tcPr>
          <w:p w14:paraId="3FADE985">
            <w:pPr>
              <w:jc w:val="center"/>
              <w:rPr>
                <w:rFonts w:eastAsia="仿宋_GB2312"/>
                <w:color w:val="auto"/>
                <w:szCs w:val="21"/>
              </w:rPr>
            </w:pPr>
          </w:p>
        </w:tc>
        <w:tc>
          <w:tcPr>
            <w:tcW w:w="292" w:type="pct"/>
            <w:vMerge w:val="continue"/>
            <w:vAlign w:val="center"/>
          </w:tcPr>
          <w:p w14:paraId="1D6E5F17">
            <w:pPr>
              <w:jc w:val="center"/>
              <w:rPr>
                <w:rFonts w:eastAsia="仿宋_GB2312"/>
                <w:color w:val="auto"/>
                <w:szCs w:val="21"/>
              </w:rPr>
            </w:pPr>
          </w:p>
        </w:tc>
      </w:tr>
      <w:tr w14:paraId="697D17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706" w:type="pct"/>
            <w:gridSpan w:val="2"/>
            <w:vMerge w:val="continue"/>
            <w:vAlign w:val="center"/>
          </w:tcPr>
          <w:p w14:paraId="03795956">
            <w:pPr>
              <w:jc w:val="center"/>
              <w:rPr>
                <w:rFonts w:eastAsia="仿宋_GB2312"/>
                <w:color w:val="auto"/>
                <w:szCs w:val="21"/>
              </w:rPr>
            </w:pPr>
          </w:p>
        </w:tc>
        <w:tc>
          <w:tcPr>
            <w:tcW w:w="418" w:type="pct"/>
            <w:shd w:val="clear" w:color="auto" w:fill="auto"/>
            <w:vAlign w:val="center"/>
          </w:tcPr>
          <w:p w14:paraId="48B4B78C">
            <w:pPr>
              <w:jc w:val="center"/>
              <w:rPr>
                <w:rFonts w:ascii="Times New Roman" w:hAnsi="Times New Roman" w:eastAsia="仿宋_GB2312" w:cs="Times New Roman"/>
                <w:color w:val="auto"/>
                <w:kern w:val="2"/>
                <w:sz w:val="21"/>
                <w:szCs w:val="21"/>
                <w:lang w:val="en-US" w:eastAsia="zh-CN" w:bidi="ar-SA"/>
              </w:rPr>
            </w:pPr>
            <w:r>
              <w:rPr>
                <w:rFonts w:eastAsia="仿宋_GB2312"/>
                <w:color w:val="auto"/>
                <w:kern w:val="0"/>
                <w:szCs w:val="21"/>
                <w:lang w:bidi="ar"/>
              </w:rPr>
              <w:t>G</w:t>
            </w:r>
            <w:r>
              <w:rPr>
                <w:rFonts w:hint="eastAsia" w:eastAsia="仿宋_GB2312"/>
                <w:color w:val="auto"/>
                <w:kern w:val="0"/>
                <w:szCs w:val="21"/>
                <w:lang w:val="en-US" w:eastAsia="zh-CN" w:bidi="ar"/>
              </w:rPr>
              <w:t>6</w:t>
            </w:r>
            <w:r>
              <w:rPr>
                <w:rFonts w:eastAsia="仿宋_GB2312"/>
                <w:color w:val="auto"/>
                <w:kern w:val="0"/>
                <w:szCs w:val="21"/>
                <w:lang w:bidi="ar"/>
              </w:rPr>
              <w:t>-1</w:t>
            </w:r>
          </w:p>
        </w:tc>
        <w:tc>
          <w:tcPr>
            <w:tcW w:w="446" w:type="pct"/>
            <w:shd w:val="clear" w:color="auto" w:fill="auto"/>
            <w:vAlign w:val="center"/>
          </w:tcPr>
          <w:p w14:paraId="515DC91C">
            <w:pPr>
              <w:widowControl/>
              <w:jc w:val="center"/>
              <w:textAlignment w:val="center"/>
              <w:rPr>
                <w:rFonts w:ascii="Times New Roman" w:hAnsi="Times New Roman" w:eastAsia="仿宋_GB2312" w:cs="Times New Roman"/>
                <w:b/>
                <w:bCs/>
                <w:color w:val="auto"/>
                <w:kern w:val="0"/>
                <w:sz w:val="21"/>
                <w:szCs w:val="21"/>
                <w:lang w:val="en-US" w:eastAsia="zh-CN" w:bidi="ar"/>
              </w:rPr>
            </w:pPr>
            <w:r>
              <w:rPr>
                <w:rFonts w:eastAsia="仿宋_GB2312"/>
                <w:color w:val="auto"/>
                <w:kern w:val="0"/>
                <w:szCs w:val="21"/>
                <w:lang w:bidi="ar"/>
              </w:rPr>
              <w:t>收集池废气</w:t>
            </w:r>
          </w:p>
        </w:tc>
        <w:tc>
          <w:tcPr>
            <w:tcW w:w="361" w:type="pct"/>
            <w:shd w:val="clear" w:color="auto" w:fill="auto"/>
            <w:vAlign w:val="center"/>
          </w:tcPr>
          <w:p w14:paraId="6312CD3B">
            <w:pPr>
              <w:jc w:val="center"/>
              <w:rPr>
                <w:rFonts w:ascii="Times New Roman" w:hAnsi="Times New Roman" w:eastAsia="仿宋_GB2312" w:cs="Times New Roman"/>
                <w:color w:val="auto"/>
                <w:kern w:val="2"/>
                <w:sz w:val="21"/>
                <w:szCs w:val="21"/>
                <w:lang w:val="en-US" w:eastAsia="zh-CN" w:bidi="ar-SA"/>
              </w:rPr>
            </w:pPr>
            <w:r>
              <w:rPr>
                <w:color w:val="auto"/>
                <w:kern w:val="0"/>
                <w:szCs w:val="21"/>
              </w:rPr>
              <w:t>200</w:t>
            </w:r>
          </w:p>
        </w:tc>
        <w:tc>
          <w:tcPr>
            <w:tcW w:w="498" w:type="pct"/>
            <w:shd w:val="clear" w:color="auto" w:fill="auto"/>
            <w:vAlign w:val="center"/>
          </w:tcPr>
          <w:p w14:paraId="14162EC9">
            <w:pPr>
              <w:jc w:val="center"/>
              <w:rPr>
                <w:rFonts w:hint="eastAsia" w:ascii="Times New Roman" w:hAnsi="Times New Roman" w:eastAsia="宋体" w:cs="Times New Roman"/>
                <w:color w:val="auto"/>
                <w:kern w:val="0"/>
                <w:sz w:val="21"/>
                <w:szCs w:val="21"/>
                <w:lang w:val="en-US" w:eastAsia="zh-CN" w:bidi="ar-SA"/>
              </w:rPr>
            </w:pPr>
            <w:r>
              <w:rPr>
                <w:rFonts w:hint="eastAsia"/>
                <w:color w:val="auto"/>
                <w:kern w:val="0"/>
                <w:szCs w:val="21"/>
                <w:lang w:val="en-US" w:eastAsia="zh-CN"/>
              </w:rPr>
              <w:t>7</w:t>
            </w:r>
          </w:p>
        </w:tc>
        <w:tc>
          <w:tcPr>
            <w:tcW w:w="820" w:type="pct"/>
            <w:shd w:val="clear" w:color="auto" w:fill="auto"/>
            <w:vAlign w:val="center"/>
          </w:tcPr>
          <w:p w14:paraId="674B1817">
            <w:pPr>
              <w:widowControl/>
              <w:jc w:val="center"/>
              <w:textAlignment w:val="center"/>
              <w:rPr>
                <w:rFonts w:ascii="Times New Roman" w:hAnsi="Times New Roman" w:eastAsia="仿宋_GB2312" w:cs="Times New Roman"/>
                <w:b/>
                <w:bCs/>
                <w:color w:val="auto"/>
                <w:kern w:val="0"/>
                <w:sz w:val="21"/>
                <w:szCs w:val="21"/>
                <w:lang w:val="en-US" w:eastAsia="zh-CN" w:bidi="ar"/>
              </w:rPr>
            </w:pPr>
            <w:r>
              <w:rPr>
                <w:rFonts w:eastAsia="仿宋_GB2312"/>
                <w:color w:val="auto"/>
                <w:kern w:val="0"/>
                <w:szCs w:val="21"/>
                <w:lang w:bidi="ar"/>
              </w:rPr>
              <w:t>挥发性有机物</w:t>
            </w:r>
          </w:p>
        </w:tc>
        <w:tc>
          <w:tcPr>
            <w:tcW w:w="380" w:type="pct"/>
            <w:shd w:val="clear" w:color="auto" w:fill="auto"/>
            <w:vAlign w:val="center"/>
          </w:tcPr>
          <w:p w14:paraId="40BDBEA1">
            <w:pPr>
              <w:keepNext w:val="0"/>
              <w:keepLines w:val="0"/>
              <w:widowControl/>
              <w:suppressLineNumbers w:val="0"/>
              <w:jc w:val="center"/>
              <w:textAlignment w:val="center"/>
              <w:rPr>
                <w:rFonts w:eastAsia="等线"/>
                <w:color w:val="auto"/>
                <w:szCs w:val="21"/>
              </w:rPr>
            </w:pPr>
            <w:r>
              <w:rPr>
                <w:rFonts w:hint="default" w:ascii="Times New Roman" w:hAnsi="Times New Roman" w:eastAsia="宋体" w:cs="Times New Roman"/>
                <w:i w:val="0"/>
                <w:iCs w:val="0"/>
                <w:color w:val="auto"/>
                <w:kern w:val="0"/>
                <w:sz w:val="21"/>
                <w:szCs w:val="21"/>
                <w:u w:val="none"/>
                <w:lang w:val="en-US" w:eastAsia="zh-CN" w:bidi="ar"/>
              </w:rPr>
              <w:t>0.71</w:t>
            </w:r>
          </w:p>
        </w:tc>
        <w:tc>
          <w:tcPr>
            <w:tcW w:w="445" w:type="pct"/>
            <w:shd w:val="clear" w:color="auto" w:fill="auto"/>
            <w:vAlign w:val="center"/>
          </w:tcPr>
          <w:p w14:paraId="18099A3B">
            <w:pPr>
              <w:widowControl/>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eastAsia" w:eastAsia="仿宋_GB2312"/>
                <w:color w:val="auto"/>
                <w:kern w:val="0"/>
                <w:szCs w:val="21"/>
                <w:lang w:val="en-US" w:eastAsia="zh-CN" w:bidi="ar"/>
              </w:rPr>
              <w:t>0.005</w:t>
            </w:r>
          </w:p>
        </w:tc>
        <w:tc>
          <w:tcPr>
            <w:tcW w:w="630" w:type="pct"/>
            <w:vMerge w:val="continue"/>
            <w:vAlign w:val="center"/>
          </w:tcPr>
          <w:p w14:paraId="4502DC1C">
            <w:pPr>
              <w:jc w:val="center"/>
              <w:rPr>
                <w:rFonts w:eastAsia="仿宋_GB2312"/>
                <w:color w:val="auto"/>
                <w:szCs w:val="21"/>
              </w:rPr>
            </w:pPr>
          </w:p>
        </w:tc>
        <w:tc>
          <w:tcPr>
            <w:tcW w:w="292" w:type="pct"/>
            <w:vMerge w:val="continue"/>
            <w:vAlign w:val="center"/>
          </w:tcPr>
          <w:p w14:paraId="5E796622">
            <w:pPr>
              <w:jc w:val="center"/>
              <w:rPr>
                <w:rFonts w:eastAsia="仿宋_GB2312"/>
                <w:color w:val="auto"/>
                <w:szCs w:val="21"/>
              </w:rPr>
            </w:pPr>
          </w:p>
        </w:tc>
      </w:tr>
      <w:tr w14:paraId="3E4465C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706" w:type="pct"/>
            <w:gridSpan w:val="2"/>
            <w:vMerge w:val="continue"/>
            <w:vAlign w:val="center"/>
          </w:tcPr>
          <w:p w14:paraId="1B237E9D">
            <w:pPr>
              <w:jc w:val="center"/>
              <w:rPr>
                <w:rFonts w:eastAsia="仿宋_GB2312"/>
                <w:color w:val="auto"/>
                <w:szCs w:val="21"/>
              </w:rPr>
            </w:pPr>
          </w:p>
        </w:tc>
        <w:tc>
          <w:tcPr>
            <w:tcW w:w="418" w:type="pct"/>
            <w:shd w:val="clear" w:color="auto" w:fill="auto"/>
            <w:vAlign w:val="center"/>
          </w:tcPr>
          <w:p w14:paraId="7E176782">
            <w:pPr>
              <w:jc w:val="center"/>
              <w:rPr>
                <w:rFonts w:ascii="Times New Roman" w:hAnsi="Times New Roman" w:eastAsia="仿宋_GB2312" w:cs="Times New Roman"/>
                <w:color w:val="auto"/>
                <w:kern w:val="2"/>
                <w:sz w:val="21"/>
                <w:szCs w:val="21"/>
                <w:lang w:val="en-US" w:eastAsia="zh-CN" w:bidi="ar-SA"/>
              </w:rPr>
            </w:pPr>
            <w:r>
              <w:rPr>
                <w:rFonts w:eastAsia="仿宋_GB2312"/>
                <w:color w:val="auto"/>
                <w:kern w:val="0"/>
                <w:szCs w:val="21"/>
                <w:lang w:bidi="ar"/>
              </w:rPr>
              <w:t>G</w:t>
            </w:r>
            <w:r>
              <w:rPr>
                <w:rFonts w:hint="eastAsia" w:eastAsia="仿宋_GB2312"/>
                <w:color w:val="auto"/>
                <w:kern w:val="0"/>
                <w:szCs w:val="21"/>
                <w:lang w:val="en-US" w:eastAsia="zh-CN" w:bidi="ar"/>
              </w:rPr>
              <w:t>6</w:t>
            </w:r>
            <w:r>
              <w:rPr>
                <w:rFonts w:eastAsia="仿宋_GB2312"/>
                <w:color w:val="auto"/>
                <w:kern w:val="0"/>
                <w:szCs w:val="21"/>
                <w:lang w:bidi="ar"/>
              </w:rPr>
              <w:t>-2</w:t>
            </w:r>
          </w:p>
        </w:tc>
        <w:tc>
          <w:tcPr>
            <w:tcW w:w="446" w:type="pct"/>
            <w:shd w:val="clear" w:color="auto" w:fill="auto"/>
            <w:vAlign w:val="center"/>
          </w:tcPr>
          <w:p w14:paraId="7AB7C9B4">
            <w:pPr>
              <w:widowControl/>
              <w:jc w:val="center"/>
              <w:textAlignment w:val="center"/>
              <w:rPr>
                <w:rFonts w:ascii="Times New Roman" w:hAnsi="Times New Roman" w:eastAsia="仿宋_GB2312" w:cs="Times New Roman"/>
                <w:b/>
                <w:bCs/>
                <w:color w:val="auto"/>
                <w:kern w:val="0"/>
                <w:sz w:val="21"/>
                <w:szCs w:val="21"/>
                <w:lang w:val="en-US" w:eastAsia="zh-CN" w:bidi="ar"/>
              </w:rPr>
            </w:pPr>
            <w:r>
              <w:rPr>
                <w:rFonts w:eastAsia="仿宋_GB2312"/>
                <w:color w:val="auto"/>
                <w:kern w:val="0"/>
                <w:szCs w:val="21"/>
                <w:lang w:bidi="ar"/>
              </w:rPr>
              <w:t>沉淀池废气</w:t>
            </w:r>
          </w:p>
        </w:tc>
        <w:tc>
          <w:tcPr>
            <w:tcW w:w="361" w:type="pct"/>
            <w:shd w:val="clear" w:color="auto" w:fill="auto"/>
            <w:vAlign w:val="center"/>
          </w:tcPr>
          <w:p w14:paraId="5395EA98">
            <w:pPr>
              <w:jc w:val="center"/>
              <w:rPr>
                <w:rFonts w:ascii="Times New Roman" w:hAnsi="Times New Roman" w:eastAsia="仿宋_GB2312" w:cs="Times New Roman"/>
                <w:color w:val="auto"/>
                <w:kern w:val="2"/>
                <w:sz w:val="21"/>
                <w:szCs w:val="21"/>
                <w:lang w:val="en-US" w:eastAsia="zh-CN" w:bidi="ar-SA"/>
              </w:rPr>
            </w:pPr>
            <w:r>
              <w:rPr>
                <w:color w:val="auto"/>
                <w:kern w:val="0"/>
                <w:szCs w:val="21"/>
              </w:rPr>
              <w:t>250</w:t>
            </w:r>
          </w:p>
        </w:tc>
        <w:tc>
          <w:tcPr>
            <w:tcW w:w="498" w:type="pct"/>
            <w:shd w:val="clear" w:color="auto" w:fill="auto"/>
            <w:vAlign w:val="center"/>
          </w:tcPr>
          <w:p w14:paraId="1A574687">
            <w:pPr>
              <w:jc w:val="center"/>
              <w:rPr>
                <w:rFonts w:hint="eastAsia" w:ascii="Times New Roman" w:hAnsi="Times New Roman" w:eastAsia="宋体" w:cs="Times New Roman"/>
                <w:color w:val="auto"/>
                <w:kern w:val="0"/>
                <w:sz w:val="21"/>
                <w:szCs w:val="21"/>
                <w:lang w:val="en-US" w:eastAsia="zh-CN" w:bidi="ar-SA"/>
              </w:rPr>
            </w:pPr>
            <w:r>
              <w:rPr>
                <w:rFonts w:hint="eastAsia"/>
                <w:color w:val="auto"/>
                <w:kern w:val="0"/>
                <w:szCs w:val="21"/>
                <w:lang w:val="en-US" w:eastAsia="zh-CN"/>
              </w:rPr>
              <w:t>7</w:t>
            </w:r>
          </w:p>
        </w:tc>
        <w:tc>
          <w:tcPr>
            <w:tcW w:w="820" w:type="pct"/>
            <w:shd w:val="clear" w:color="auto" w:fill="auto"/>
            <w:vAlign w:val="center"/>
          </w:tcPr>
          <w:p w14:paraId="073AC17B">
            <w:pPr>
              <w:widowControl/>
              <w:jc w:val="center"/>
              <w:textAlignment w:val="center"/>
              <w:rPr>
                <w:rFonts w:ascii="Times New Roman" w:hAnsi="Times New Roman" w:eastAsia="仿宋_GB2312" w:cs="Times New Roman"/>
                <w:b/>
                <w:bCs/>
                <w:color w:val="auto"/>
                <w:kern w:val="0"/>
                <w:sz w:val="21"/>
                <w:szCs w:val="21"/>
                <w:lang w:val="en-US" w:eastAsia="zh-CN" w:bidi="ar"/>
              </w:rPr>
            </w:pPr>
            <w:r>
              <w:rPr>
                <w:rFonts w:eastAsia="仿宋_GB2312"/>
                <w:color w:val="auto"/>
                <w:kern w:val="0"/>
                <w:szCs w:val="21"/>
                <w:lang w:bidi="ar"/>
              </w:rPr>
              <w:t>挥发性有机物</w:t>
            </w:r>
          </w:p>
        </w:tc>
        <w:tc>
          <w:tcPr>
            <w:tcW w:w="380" w:type="pct"/>
            <w:shd w:val="clear" w:color="auto" w:fill="auto"/>
            <w:vAlign w:val="center"/>
          </w:tcPr>
          <w:p w14:paraId="4381A24E">
            <w:pPr>
              <w:keepNext w:val="0"/>
              <w:keepLines w:val="0"/>
              <w:widowControl/>
              <w:suppressLineNumbers w:val="0"/>
              <w:jc w:val="center"/>
              <w:textAlignment w:val="center"/>
              <w:rPr>
                <w:rFonts w:eastAsia="等线"/>
                <w:color w:val="auto"/>
                <w:szCs w:val="21"/>
              </w:rPr>
            </w:pPr>
            <w:r>
              <w:rPr>
                <w:rFonts w:hint="default" w:ascii="Times New Roman" w:hAnsi="Times New Roman" w:eastAsia="宋体" w:cs="Times New Roman"/>
                <w:i w:val="0"/>
                <w:iCs w:val="0"/>
                <w:color w:val="auto"/>
                <w:kern w:val="0"/>
                <w:sz w:val="21"/>
                <w:szCs w:val="21"/>
                <w:u w:val="none"/>
                <w:lang w:val="en-US" w:eastAsia="zh-CN" w:bidi="ar"/>
              </w:rPr>
              <w:t>0.71</w:t>
            </w:r>
          </w:p>
        </w:tc>
        <w:tc>
          <w:tcPr>
            <w:tcW w:w="445" w:type="pct"/>
            <w:shd w:val="clear" w:color="auto" w:fill="auto"/>
            <w:vAlign w:val="center"/>
          </w:tcPr>
          <w:p w14:paraId="138A4131">
            <w:pPr>
              <w:widowControl/>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eastAsia" w:eastAsia="仿宋_GB2312"/>
                <w:color w:val="auto"/>
                <w:kern w:val="0"/>
                <w:szCs w:val="21"/>
                <w:lang w:val="en-US" w:eastAsia="zh-CN" w:bidi="ar"/>
              </w:rPr>
              <w:t>0.005</w:t>
            </w:r>
          </w:p>
        </w:tc>
        <w:tc>
          <w:tcPr>
            <w:tcW w:w="630" w:type="pct"/>
            <w:vMerge w:val="continue"/>
            <w:vAlign w:val="center"/>
          </w:tcPr>
          <w:p w14:paraId="161BE0D5">
            <w:pPr>
              <w:jc w:val="center"/>
              <w:rPr>
                <w:rFonts w:eastAsia="仿宋_GB2312"/>
                <w:color w:val="auto"/>
                <w:szCs w:val="21"/>
              </w:rPr>
            </w:pPr>
          </w:p>
        </w:tc>
        <w:tc>
          <w:tcPr>
            <w:tcW w:w="292" w:type="pct"/>
            <w:vMerge w:val="continue"/>
            <w:vAlign w:val="center"/>
          </w:tcPr>
          <w:p w14:paraId="73F644CD">
            <w:pPr>
              <w:jc w:val="center"/>
              <w:rPr>
                <w:rFonts w:eastAsia="仿宋_GB2312"/>
                <w:color w:val="auto"/>
                <w:szCs w:val="21"/>
              </w:rPr>
            </w:pPr>
          </w:p>
        </w:tc>
      </w:tr>
      <w:tr w14:paraId="2B134B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706" w:type="pct"/>
            <w:gridSpan w:val="2"/>
            <w:vMerge w:val="continue"/>
            <w:vAlign w:val="center"/>
          </w:tcPr>
          <w:p w14:paraId="68225555">
            <w:pPr>
              <w:jc w:val="center"/>
              <w:rPr>
                <w:rFonts w:eastAsia="仿宋_GB2312"/>
                <w:color w:val="auto"/>
                <w:szCs w:val="21"/>
              </w:rPr>
            </w:pPr>
          </w:p>
        </w:tc>
        <w:tc>
          <w:tcPr>
            <w:tcW w:w="418" w:type="pct"/>
            <w:shd w:val="clear" w:color="auto" w:fill="auto"/>
            <w:vAlign w:val="center"/>
          </w:tcPr>
          <w:p w14:paraId="38E08700">
            <w:pPr>
              <w:jc w:val="center"/>
              <w:rPr>
                <w:rFonts w:ascii="Times New Roman" w:hAnsi="Times New Roman" w:eastAsia="仿宋_GB2312" w:cs="Times New Roman"/>
                <w:color w:val="auto"/>
                <w:kern w:val="2"/>
                <w:sz w:val="21"/>
                <w:szCs w:val="21"/>
                <w:lang w:val="en-US" w:eastAsia="zh-CN" w:bidi="ar-SA"/>
              </w:rPr>
            </w:pPr>
            <w:r>
              <w:rPr>
                <w:rFonts w:eastAsia="仿宋_GB2312"/>
                <w:color w:val="auto"/>
                <w:kern w:val="0"/>
                <w:szCs w:val="21"/>
                <w:lang w:bidi="ar"/>
              </w:rPr>
              <w:t>G</w:t>
            </w:r>
            <w:r>
              <w:rPr>
                <w:rFonts w:hint="eastAsia" w:eastAsia="仿宋_GB2312"/>
                <w:color w:val="auto"/>
                <w:kern w:val="0"/>
                <w:szCs w:val="21"/>
                <w:lang w:val="en-US" w:eastAsia="zh-CN" w:bidi="ar"/>
              </w:rPr>
              <w:t>6</w:t>
            </w:r>
            <w:r>
              <w:rPr>
                <w:rFonts w:eastAsia="仿宋_GB2312"/>
                <w:color w:val="auto"/>
                <w:kern w:val="0"/>
                <w:szCs w:val="21"/>
                <w:lang w:bidi="ar"/>
              </w:rPr>
              <w:t>-3</w:t>
            </w:r>
          </w:p>
        </w:tc>
        <w:tc>
          <w:tcPr>
            <w:tcW w:w="446" w:type="pct"/>
            <w:shd w:val="clear" w:color="auto" w:fill="auto"/>
            <w:vAlign w:val="center"/>
          </w:tcPr>
          <w:p w14:paraId="6C0BF425">
            <w:pPr>
              <w:widowControl/>
              <w:jc w:val="center"/>
              <w:textAlignment w:val="center"/>
              <w:rPr>
                <w:rFonts w:ascii="Times New Roman" w:hAnsi="Times New Roman" w:eastAsia="仿宋_GB2312" w:cs="Times New Roman"/>
                <w:color w:val="auto"/>
                <w:kern w:val="0"/>
                <w:sz w:val="21"/>
                <w:szCs w:val="21"/>
                <w:lang w:val="en-US" w:eastAsia="zh-CN" w:bidi="ar"/>
              </w:rPr>
            </w:pPr>
            <w:r>
              <w:rPr>
                <w:rFonts w:eastAsia="仿宋_GB2312"/>
                <w:color w:val="auto"/>
                <w:kern w:val="0"/>
                <w:szCs w:val="21"/>
                <w:lang w:bidi="ar"/>
              </w:rPr>
              <w:t>压滤废气</w:t>
            </w:r>
          </w:p>
        </w:tc>
        <w:tc>
          <w:tcPr>
            <w:tcW w:w="361" w:type="pct"/>
            <w:shd w:val="clear" w:color="auto" w:fill="auto"/>
            <w:vAlign w:val="center"/>
          </w:tcPr>
          <w:p w14:paraId="7F5034EE">
            <w:pPr>
              <w:jc w:val="center"/>
              <w:rPr>
                <w:rFonts w:ascii="Times New Roman" w:hAnsi="Times New Roman" w:eastAsia="仿宋_GB2312" w:cs="Times New Roman"/>
                <w:color w:val="auto"/>
                <w:kern w:val="0"/>
                <w:sz w:val="21"/>
                <w:szCs w:val="21"/>
                <w:lang w:val="en-US" w:eastAsia="zh-CN" w:bidi="ar"/>
              </w:rPr>
            </w:pPr>
            <w:r>
              <w:rPr>
                <w:color w:val="auto"/>
                <w:kern w:val="0"/>
                <w:szCs w:val="21"/>
              </w:rPr>
              <w:t>500</w:t>
            </w:r>
          </w:p>
        </w:tc>
        <w:tc>
          <w:tcPr>
            <w:tcW w:w="498" w:type="pct"/>
            <w:shd w:val="clear" w:color="auto" w:fill="auto"/>
            <w:vAlign w:val="center"/>
          </w:tcPr>
          <w:p w14:paraId="4E2A36D4">
            <w:pPr>
              <w:jc w:val="center"/>
              <w:rPr>
                <w:rFonts w:hint="eastAsia" w:ascii="Times New Roman" w:hAnsi="Times New Roman" w:eastAsia="宋体" w:cs="Times New Roman"/>
                <w:color w:val="auto"/>
                <w:kern w:val="0"/>
                <w:sz w:val="21"/>
                <w:szCs w:val="21"/>
                <w:lang w:val="en-US" w:eastAsia="zh-CN" w:bidi="ar-SA"/>
              </w:rPr>
            </w:pPr>
            <w:r>
              <w:rPr>
                <w:rFonts w:hint="eastAsia"/>
                <w:color w:val="auto"/>
                <w:kern w:val="0"/>
                <w:szCs w:val="21"/>
                <w:lang w:val="en-US" w:eastAsia="zh-CN"/>
              </w:rPr>
              <w:t>7</w:t>
            </w:r>
          </w:p>
        </w:tc>
        <w:tc>
          <w:tcPr>
            <w:tcW w:w="820" w:type="pct"/>
            <w:shd w:val="clear" w:color="auto" w:fill="auto"/>
            <w:vAlign w:val="center"/>
          </w:tcPr>
          <w:p w14:paraId="519B715A">
            <w:pPr>
              <w:widowControl/>
              <w:jc w:val="center"/>
              <w:textAlignment w:val="center"/>
              <w:rPr>
                <w:rFonts w:ascii="Times New Roman" w:hAnsi="Times New Roman" w:eastAsia="仿宋_GB2312" w:cs="Times New Roman"/>
                <w:b/>
                <w:bCs/>
                <w:color w:val="auto"/>
                <w:kern w:val="0"/>
                <w:sz w:val="21"/>
                <w:szCs w:val="21"/>
                <w:lang w:val="en-US" w:eastAsia="zh-CN" w:bidi="ar"/>
              </w:rPr>
            </w:pPr>
            <w:r>
              <w:rPr>
                <w:rFonts w:eastAsia="仿宋_GB2312"/>
                <w:color w:val="auto"/>
                <w:kern w:val="0"/>
                <w:szCs w:val="21"/>
                <w:lang w:bidi="ar"/>
              </w:rPr>
              <w:t>挥发性有机物</w:t>
            </w:r>
          </w:p>
        </w:tc>
        <w:tc>
          <w:tcPr>
            <w:tcW w:w="380" w:type="pct"/>
            <w:shd w:val="clear" w:color="auto" w:fill="auto"/>
            <w:vAlign w:val="center"/>
          </w:tcPr>
          <w:p w14:paraId="7FF4C084">
            <w:pPr>
              <w:keepNext w:val="0"/>
              <w:keepLines w:val="0"/>
              <w:widowControl/>
              <w:suppressLineNumbers w:val="0"/>
              <w:jc w:val="center"/>
              <w:textAlignment w:val="center"/>
              <w:rPr>
                <w:rFonts w:eastAsia="等线"/>
                <w:color w:val="auto"/>
                <w:szCs w:val="21"/>
              </w:rPr>
            </w:pPr>
            <w:r>
              <w:rPr>
                <w:rFonts w:hint="default" w:ascii="Times New Roman" w:hAnsi="Times New Roman" w:eastAsia="宋体" w:cs="Times New Roman"/>
                <w:i w:val="0"/>
                <w:iCs w:val="0"/>
                <w:color w:val="auto"/>
                <w:kern w:val="0"/>
                <w:sz w:val="21"/>
                <w:szCs w:val="21"/>
                <w:u w:val="none"/>
                <w:lang w:val="en-US" w:eastAsia="zh-CN" w:bidi="ar"/>
              </w:rPr>
              <w:t>0.71</w:t>
            </w:r>
          </w:p>
        </w:tc>
        <w:tc>
          <w:tcPr>
            <w:tcW w:w="445" w:type="pct"/>
            <w:shd w:val="clear" w:color="auto" w:fill="auto"/>
            <w:vAlign w:val="center"/>
          </w:tcPr>
          <w:p w14:paraId="3CF1E5D1">
            <w:pPr>
              <w:widowControl/>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eastAsia" w:eastAsia="仿宋_GB2312"/>
                <w:color w:val="auto"/>
                <w:kern w:val="0"/>
                <w:szCs w:val="21"/>
                <w:lang w:val="en-US" w:eastAsia="zh-CN" w:bidi="ar"/>
              </w:rPr>
              <w:t>0.005</w:t>
            </w:r>
          </w:p>
        </w:tc>
        <w:tc>
          <w:tcPr>
            <w:tcW w:w="630" w:type="pct"/>
            <w:vMerge w:val="continue"/>
            <w:vAlign w:val="center"/>
          </w:tcPr>
          <w:p w14:paraId="54579468">
            <w:pPr>
              <w:jc w:val="center"/>
              <w:rPr>
                <w:rFonts w:eastAsia="仿宋_GB2312"/>
                <w:color w:val="auto"/>
                <w:szCs w:val="21"/>
              </w:rPr>
            </w:pPr>
          </w:p>
        </w:tc>
        <w:tc>
          <w:tcPr>
            <w:tcW w:w="292" w:type="pct"/>
            <w:vMerge w:val="continue"/>
            <w:vAlign w:val="center"/>
          </w:tcPr>
          <w:p w14:paraId="13DB81CE">
            <w:pPr>
              <w:jc w:val="center"/>
              <w:rPr>
                <w:rFonts w:eastAsia="仿宋_GB2312"/>
                <w:color w:val="auto"/>
                <w:szCs w:val="21"/>
              </w:rPr>
            </w:pPr>
          </w:p>
        </w:tc>
      </w:tr>
      <w:tr w14:paraId="65790B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706" w:type="pct"/>
            <w:gridSpan w:val="2"/>
            <w:vMerge w:val="continue"/>
            <w:vAlign w:val="center"/>
          </w:tcPr>
          <w:p w14:paraId="45FD660E">
            <w:pPr>
              <w:jc w:val="center"/>
              <w:rPr>
                <w:rFonts w:eastAsia="仿宋_GB2312"/>
                <w:color w:val="auto"/>
                <w:szCs w:val="21"/>
              </w:rPr>
            </w:pPr>
          </w:p>
        </w:tc>
        <w:tc>
          <w:tcPr>
            <w:tcW w:w="418" w:type="pct"/>
            <w:shd w:val="clear" w:color="auto" w:fill="auto"/>
            <w:vAlign w:val="center"/>
          </w:tcPr>
          <w:p w14:paraId="6AFC2367">
            <w:pPr>
              <w:jc w:val="center"/>
              <w:rPr>
                <w:rFonts w:ascii="Times New Roman" w:hAnsi="Times New Roman" w:eastAsia="仿宋_GB2312" w:cs="Times New Roman"/>
                <w:color w:val="auto"/>
                <w:kern w:val="2"/>
                <w:sz w:val="21"/>
                <w:szCs w:val="21"/>
                <w:lang w:val="en-US" w:eastAsia="zh-CN" w:bidi="ar-SA"/>
              </w:rPr>
            </w:pPr>
            <w:r>
              <w:rPr>
                <w:rFonts w:eastAsia="仿宋_GB2312"/>
                <w:color w:val="auto"/>
                <w:kern w:val="0"/>
                <w:szCs w:val="21"/>
                <w:lang w:bidi="ar"/>
              </w:rPr>
              <w:t>G</w:t>
            </w:r>
            <w:r>
              <w:rPr>
                <w:rFonts w:hint="eastAsia" w:eastAsia="仿宋_GB2312"/>
                <w:color w:val="auto"/>
                <w:kern w:val="0"/>
                <w:szCs w:val="21"/>
                <w:lang w:val="en-US" w:eastAsia="zh-CN" w:bidi="ar"/>
              </w:rPr>
              <w:t>6</w:t>
            </w:r>
            <w:r>
              <w:rPr>
                <w:rFonts w:eastAsia="仿宋_GB2312"/>
                <w:color w:val="auto"/>
                <w:kern w:val="0"/>
                <w:szCs w:val="21"/>
                <w:lang w:bidi="ar"/>
              </w:rPr>
              <w:t>-4</w:t>
            </w:r>
          </w:p>
        </w:tc>
        <w:tc>
          <w:tcPr>
            <w:tcW w:w="446" w:type="pct"/>
            <w:shd w:val="clear" w:color="auto" w:fill="auto"/>
            <w:vAlign w:val="center"/>
          </w:tcPr>
          <w:p w14:paraId="594A65E7">
            <w:pPr>
              <w:widowControl/>
              <w:jc w:val="center"/>
              <w:textAlignment w:val="center"/>
              <w:rPr>
                <w:rFonts w:ascii="Times New Roman" w:hAnsi="Times New Roman" w:eastAsia="仿宋_GB2312" w:cs="Times New Roman"/>
                <w:color w:val="auto"/>
                <w:kern w:val="0"/>
                <w:sz w:val="21"/>
                <w:szCs w:val="21"/>
                <w:lang w:val="en-US" w:eastAsia="zh-CN" w:bidi="ar"/>
              </w:rPr>
            </w:pPr>
            <w:r>
              <w:rPr>
                <w:rFonts w:eastAsia="仿宋_GB2312"/>
                <w:color w:val="auto"/>
                <w:kern w:val="0"/>
                <w:szCs w:val="21"/>
                <w:lang w:bidi="ar"/>
              </w:rPr>
              <w:t>收集池废气</w:t>
            </w:r>
          </w:p>
        </w:tc>
        <w:tc>
          <w:tcPr>
            <w:tcW w:w="361" w:type="pct"/>
            <w:shd w:val="clear" w:color="auto" w:fill="auto"/>
            <w:vAlign w:val="center"/>
          </w:tcPr>
          <w:p w14:paraId="22DE2CC3">
            <w:pPr>
              <w:jc w:val="center"/>
              <w:rPr>
                <w:rFonts w:ascii="Times New Roman" w:hAnsi="Times New Roman" w:eastAsia="仿宋_GB2312" w:cs="Times New Roman"/>
                <w:color w:val="auto"/>
                <w:kern w:val="0"/>
                <w:sz w:val="21"/>
                <w:szCs w:val="21"/>
                <w:lang w:val="en-US" w:eastAsia="zh-CN" w:bidi="ar"/>
              </w:rPr>
            </w:pPr>
            <w:r>
              <w:rPr>
                <w:color w:val="auto"/>
                <w:kern w:val="0"/>
                <w:szCs w:val="21"/>
              </w:rPr>
              <w:t>500</w:t>
            </w:r>
          </w:p>
        </w:tc>
        <w:tc>
          <w:tcPr>
            <w:tcW w:w="498" w:type="pct"/>
            <w:shd w:val="clear" w:color="auto" w:fill="auto"/>
            <w:vAlign w:val="center"/>
          </w:tcPr>
          <w:p w14:paraId="151705EC">
            <w:pPr>
              <w:jc w:val="center"/>
              <w:rPr>
                <w:rFonts w:hint="eastAsia" w:ascii="Times New Roman" w:hAnsi="Times New Roman" w:eastAsia="宋体" w:cs="Times New Roman"/>
                <w:color w:val="auto"/>
                <w:kern w:val="0"/>
                <w:sz w:val="21"/>
                <w:szCs w:val="21"/>
                <w:lang w:val="en-US" w:eastAsia="zh-CN" w:bidi="ar-SA"/>
              </w:rPr>
            </w:pPr>
            <w:r>
              <w:rPr>
                <w:rFonts w:hint="eastAsia"/>
                <w:color w:val="auto"/>
                <w:kern w:val="0"/>
                <w:szCs w:val="21"/>
                <w:lang w:val="en-US" w:eastAsia="zh-CN"/>
              </w:rPr>
              <w:t>7</w:t>
            </w:r>
          </w:p>
        </w:tc>
        <w:tc>
          <w:tcPr>
            <w:tcW w:w="820" w:type="pct"/>
            <w:shd w:val="clear" w:color="auto" w:fill="auto"/>
            <w:vAlign w:val="center"/>
          </w:tcPr>
          <w:p w14:paraId="1261CA34">
            <w:pPr>
              <w:widowControl/>
              <w:jc w:val="center"/>
              <w:textAlignment w:val="center"/>
              <w:rPr>
                <w:rFonts w:ascii="Times New Roman" w:hAnsi="Times New Roman" w:eastAsia="仿宋_GB2312" w:cs="Times New Roman"/>
                <w:b/>
                <w:bCs/>
                <w:color w:val="auto"/>
                <w:kern w:val="0"/>
                <w:sz w:val="21"/>
                <w:szCs w:val="21"/>
                <w:lang w:val="en-US" w:eastAsia="zh-CN" w:bidi="ar"/>
              </w:rPr>
            </w:pPr>
            <w:r>
              <w:rPr>
                <w:rFonts w:eastAsia="仿宋_GB2312"/>
                <w:color w:val="auto"/>
                <w:kern w:val="0"/>
                <w:szCs w:val="21"/>
                <w:lang w:bidi="ar"/>
              </w:rPr>
              <w:t>挥发性有机物</w:t>
            </w:r>
          </w:p>
        </w:tc>
        <w:tc>
          <w:tcPr>
            <w:tcW w:w="380" w:type="pct"/>
            <w:shd w:val="clear" w:color="auto" w:fill="auto"/>
            <w:vAlign w:val="center"/>
          </w:tcPr>
          <w:p w14:paraId="38E24DB9">
            <w:pPr>
              <w:keepNext w:val="0"/>
              <w:keepLines w:val="0"/>
              <w:widowControl/>
              <w:suppressLineNumbers w:val="0"/>
              <w:jc w:val="center"/>
              <w:textAlignment w:val="center"/>
              <w:rPr>
                <w:rFonts w:eastAsia="等线"/>
                <w:color w:val="auto"/>
                <w:szCs w:val="21"/>
              </w:rPr>
            </w:pPr>
            <w:r>
              <w:rPr>
                <w:rFonts w:hint="default" w:ascii="Times New Roman" w:hAnsi="Times New Roman" w:eastAsia="宋体" w:cs="Times New Roman"/>
                <w:i w:val="0"/>
                <w:iCs w:val="0"/>
                <w:color w:val="auto"/>
                <w:kern w:val="0"/>
                <w:sz w:val="21"/>
                <w:szCs w:val="21"/>
                <w:u w:val="none"/>
                <w:lang w:val="en-US" w:eastAsia="zh-CN" w:bidi="ar"/>
              </w:rPr>
              <w:t>0.71</w:t>
            </w:r>
          </w:p>
        </w:tc>
        <w:tc>
          <w:tcPr>
            <w:tcW w:w="445" w:type="pct"/>
            <w:shd w:val="clear" w:color="auto" w:fill="auto"/>
            <w:vAlign w:val="center"/>
          </w:tcPr>
          <w:p w14:paraId="2CEF6658">
            <w:pPr>
              <w:widowControl/>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eastAsia" w:eastAsia="仿宋_GB2312"/>
                <w:color w:val="auto"/>
                <w:kern w:val="0"/>
                <w:szCs w:val="21"/>
                <w:lang w:val="en-US" w:eastAsia="zh-CN" w:bidi="ar"/>
              </w:rPr>
              <w:t>0.005</w:t>
            </w:r>
          </w:p>
        </w:tc>
        <w:tc>
          <w:tcPr>
            <w:tcW w:w="630" w:type="pct"/>
            <w:vMerge w:val="continue"/>
            <w:vAlign w:val="center"/>
          </w:tcPr>
          <w:p w14:paraId="78BB60E3">
            <w:pPr>
              <w:jc w:val="center"/>
              <w:rPr>
                <w:rFonts w:eastAsia="仿宋_GB2312"/>
                <w:color w:val="auto"/>
                <w:szCs w:val="21"/>
              </w:rPr>
            </w:pPr>
          </w:p>
        </w:tc>
        <w:tc>
          <w:tcPr>
            <w:tcW w:w="292" w:type="pct"/>
            <w:vMerge w:val="continue"/>
            <w:vAlign w:val="center"/>
          </w:tcPr>
          <w:p w14:paraId="69E787B2">
            <w:pPr>
              <w:jc w:val="center"/>
              <w:rPr>
                <w:rFonts w:eastAsia="仿宋_GB2312"/>
                <w:color w:val="auto"/>
                <w:szCs w:val="21"/>
              </w:rPr>
            </w:pPr>
          </w:p>
        </w:tc>
      </w:tr>
      <w:tr w14:paraId="043FD13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706" w:type="pct"/>
            <w:gridSpan w:val="2"/>
            <w:vMerge w:val="continue"/>
            <w:vAlign w:val="center"/>
          </w:tcPr>
          <w:p w14:paraId="4936F42D">
            <w:pPr>
              <w:jc w:val="center"/>
              <w:rPr>
                <w:rFonts w:eastAsia="仿宋_GB2312"/>
                <w:color w:val="auto"/>
                <w:szCs w:val="21"/>
              </w:rPr>
            </w:pPr>
          </w:p>
        </w:tc>
        <w:tc>
          <w:tcPr>
            <w:tcW w:w="418" w:type="pct"/>
            <w:shd w:val="clear" w:color="auto" w:fill="auto"/>
            <w:vAlign w:val="center"/>
          </w:tcPr>
          <w:p w14:paraId="171F1947">
            <w:pPr>
              <w:jc w:val="center"/>
              <w:rPr>
                <w:rFonts w:ascii="Times New Roman" w:hAnsi="Times New Roman" w:eastAsia="仿宋_GB2312" w:cs="Times New Roman"/>
                <w:color w:val="auto"/>
                <w:kern w:val="2"/>
                <w:sz w:val="21"/>
                <w:szCs w:val="21"/>
                <w:lang w:val="en-US" w:eastAsia="zh-CN" w:bidi="ar-SA"/>
              </w:rPr>
            </w:pPr>
            <w:r>
              <w:rPr>
                <w:rFonts w:eastAsia="仿宋_GB2312"/>
                <w:color w:val="auto"/>
                <w:kern w:val="0"/>
                <w:szCs w:val="21"/>
                <w:lang w:bidi="ar"/>
              </w:rPr>
              <w:t>G</w:t>
            </w:r>
            <w:r>
              <w:rPr>
                <w:rFonts w:hint="eastAsia" w:eastAsia="仿宋_GB2312"/>
                <w:color w:val="auto"/>
                <w:kern w:val="0"/>
                <w:szCs w:val="21"/>
                <w:lang w:val="en-US" w:eastAsia="zh-CN" w:bidi="ar"/>
              </w:rPr>
              <w:t>6</w:t>
            </w:r>
            <w:r>
              <w:rPr>
                <w:rFonts w:eastAsia="仿宋_GB2312"/>
                <w:color w:val="auto"/>
                <w:kern w:val="0"/>
                <w:szCs w:val="21"/>
                <w:lang w:bidi="ar"/>
              </w:rPr>
              <w:t>-5</w:t>
            </w:r>
          </w:p>
        </w:tc>
        <w:tc>
          <w:tcPr>
            <w:tcW w:w="446" w:type="pct"/>
            <w:shd w:val="clear" w:color="auto" w:fill="auto"/>
            <w:vAlign w:val="center"/>
          </w:tcPr>
          <w:p w14:paraId="418DDA4B">
            <w:pPr>
              <w:widowControl/>
              <w:jc w:val="center"/>
              <w:textAlignment w:val="center"/>
              <w:rPr>
                <w:rFonts w:ascii="Times New Roman" w:hAnsi="Times New Roman" w:eastAsia="仿宋_GB2312" w:cs="Times New Roman"/>
                <w:color w:val="auto"/>
                <w:kern w:val="0"/>
                <w:sz w:val="21"/>
                <w:szCs w:val="21"/>
                <w:lang w:val="en-US" w:eastAsia="zh-CN" w:bidi="ar"/>
              </w:rPr>
            </w:pPr>
            <w:r>
              <w:rPr>
                <w:rFonts w:eastAsia="仿宋_GB2312"/>
                <w:color w:val="auto"/>
                <w:kern w:val="0"/>
                <w:szCs w:val="21"/>
                <w:lang w:bidi="ar"/>
              </w:rPr>
              <w:t>不凝气</w:t>
            </w:r>
          </w:p>
        </w:tc>
        <w:tc>
          <w:tcPr>
            <w:tcW w:w="361" w:type="pct"/>
            <w:shd w:val="clear" w:color="auto" w:fill="auto"/>
            <w:vAlign w:val="center"/>
          </w:tcPr>
          <w:p w14:paraId="38C207CB">
            <w:pPr>
              <w:jc w:val="center"/>
              <w:rPr>
                <w:rFonts w:ascii="Times New Roman" w:hAnsi="Times New Roman" w:eastAsia="仿宋_GB2312" w:cs="Times New Roman"/>
                <w:color w:val="auto"/>
                <w:kern w:val="0"/>
                <w:sz w:val="21"/>
                <w:szCs w:val="21"/>
                <w:lang w:val="en-US" w:eastAsia="zh-CN" w:bidi="ar"/>
              </w:rPr>
            </w:pPr>
            <w:r>
              <w:rPr>
                <w:color w:val="auto"/>
                <w:kern w:val="0"/>
                <w:szCs w:val="21"/>
              </w:rPr>
              <w:t>180</w:t>
            </w:r>
          </w:p>
        </w:tc>
        <w:tc>
          <w:tcPr>
            <w:tcW w:w="498" w:type="pct"/>
            <w:shd w:val="clear" w:color="auto" w:fill="auto"/>
            <w:vAlign w:val="center"/>
          </w:tcPr>
          <w:p w14:paraId="6044CAB6">
            <w:pPr>
              <w:jc w:val="center"/>
              <w:rPr>
                <w:rFonts w:hint="default" w:ascii="Times New Roman" w:hAnsi="Times New Roman" w:eastAsia="宋体" w:cs="Times New Roman"/>
                <w:color w:val="auto"/>
                <w:kern w:val="0"/>
                <w:sz w:val="21"/>
                <w:szCs w:val="21"/>
                <w:lang w:val="en-US" w:eastAsia="zh-CN" w:bidi="ar-SA"/>
              </w:rPr>
            </w:pPr>
            <w:r>
              <w:rPr>
                <w:rFonts w:hint="eastAsia"/>
                <w:color w:val="auto"/>
                <w:kern w:val="0"/>
                <w:szCs w:val="21"/>
                <w:lang w:val="en-US" w:eastAsia="zh-CN"/>
              </w:rPr>
              <w:t>14</w:t>
            </w:r>
          </w:p>
        </w:tc>
        <w:tc>
          <w:tcPr>
            <w:tcW w:w="820" w:type="pct"/>
            <w:shd w:val="clear" w:color="auto" w:fill="auto"/>
            <w:vAlign w:val="center"/>
          </w:tcPr>
          <w:p w14:paraId="62D7722B">
            <w:pPr>
              <w:widowControl/>
              <w:jc w:val="center"/>
              <w:textAlignment w:val="center"/>
              <w:rPr>
                <w:rFonts w:ascii="Times New Roman" w:hAnsi="Times New Roman" w:eastAsia="仿宋_GB2312" w:cs="Times New Roman"/>
                <w:b/>
                <w:bCs/>
                <w:color w:val="auto"/>
                <w:kern w:val="0"/>
                <w:sz w:val="21"/>
                <w:szCs w:val="21"/>
                <w:lang w:val="en-US" w:eastAsia="zh-CN" w:bidi="ar"/>
              </w:rPr>
            </w:pPr>
            <w:r>
              <w:rPr>
                <w:rFonts w:eastAsia="仿宋_GB2312"/>
                <w:color w:val="auto"/>
                <w:kern w:val="0"/>
                <w:szCs w:val="21"/>
                <w:lang w:bidi="ar"/>
              </w:rPr>
              <w:t>挥发性有机物</w:t>
            </w:r>
          </w:p>
        </w:tc>
        <w:tc>
          <w:tcPr>
            <w:tcW w:w="380" w:type="pct"/>
            <w:shd w:val="clear" w:color="auto" w:fill="auto"/>
            <w:vAlign w:val="center"/>
          </w:tcPr>
          <w:p w14:paraId="4283282C">
            <w:pPr>
              <w:keepNext w:val="0"/>
              <w:keepLines w:val="0"/>
              <w:widowControl/>
              <w:suppressLineNumbers w:val="0"/>
              <w:jc w:val="center"/>
              <w:textAlignment w:val="center"/>
              <w:rPr>
                <w:rFonts w:eastAsia="等线"/>
                <w:color w:val="auto"/>
                <w:szCs w:val="21"/>
              </w:rPr>
            </w:pPr>
            <w:r>
              <w:rPr>
                <w:rFonts w:hint="default" w:ascii="Times New Roman" w:hAnsi="Times New Roman" w:eastAsia="宋体" w:cs="Times New Roman"/>
                <w:i w:val="0"/>
                <w:iCs w:val="0"/>
                <w:color w:val="auto"/>
                <w:kern w:val="0"/>
                <w:sz w:val="21"/>
                <w:szCs w:val="21"/>
                <w:u w:val="none"/>
                <w:lang w:val="en-US" w:eastAsia="zh-CN" w:bidi="ar"/>
              </w:rPr>
              <w:t>1.71</w:t>
            </w:r>
          </w:p>
        </w:tc>
        <w:tc>
          <w:tcPr>
            <w:tcW w:w="445" w:type="pct"/>
            <w:shd w:val="clear" w:color="auto" w:fill="auto"/>
            <w:vAlign w:val="center"/>
          </w:tcPr>
          <w:p w14:paraId="4648049E">
            <w:pPr>
              <w:widowControl/>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eastAsia" w:eastAsia="仿宋_GB2312"/>
                <w:color w:val="auto"/>
                <w:kern w:val="0"/>
                <w:szCs w:val="21"/>
                <w:lang w:val="en-US" w:eastAsia="zh-CN" w:bidi="ar"/>
              </w:rPr>
              <w:t>0.024</w:t>
            </w:r>
          </w:p>
        </w:tc>
        <w:tc>
          <w:tcPr>
            <w:tcW w:w="630" w:type="pct"/>
            <w:vMerge w:val="continue"/>
            <w:vAlign w:val="center"/>
          </w:tcPr>
          <w:p w14:paraId="4CBC424D">
            <w:pPr>
              <w:jc w:val="center"/>
              <w:rPr>
                <w:rFonts w:eastAsia="仿宋_GB2312"/>
                <w:color w:val="auto"/>
                <w:szCs w:val="21"/>
              </w:rPr>
            </w:pPr>
          </w:p>
        </w:tc>
        <w:tc>
          <w:tcPr>
            <w:tcW w:w="292" w:type="pct"/>
            <w:vMerge w:val="continue"/>
            <w:vAlign w:val="center"/>
          </w:tcPr>
          <w:p w14:paraId="37A9CBC6">
            <w:pPr>
              <w:jc w:val="center"/>
              <w:rPr>
                <w:rFonts w:eastAsia="仿宋_GB2312"/>
                <w:color w:val="auto"/>
                <w:szCs w:val="21"/>
              </w:rPr>
            </w:pPr>
          </w:p>
        </w:tc>
      </w:tr>
      <w:tr w14:paraId="294264F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706" w:type="pct"/>
            <w:gridSpan w:val="2"/>
            <w:vMerge w:val="continue"/>
            <w:vAlign w:val="center"/>
          </w:tcPr>
          <w:p w14:paraId="206DA290">
            <w:pPr>
              <w:jc w:val="center"/>
              <w:rPr>
                <w:rFonts w:eastAsia="仿宋_GB2312"/>
                <w:color w:val="auto"/>
                <w:szCs w:val="21"/>
              </w:rPr>
            </w:pPr>
          </w:p>
        </w:tc>
        <w:tc>
          <w:tcPr>
            <w:tcW w:w="418" w:type="pct"/>
            <w:vAlign w:val="center"/>
          </w:tcPr>
          <w:p w14:paraId="62C173A8">
            <w:pPr>
              <w:jc w:val="center"/>
              <w:rPr>
                <w:rFonts w:hint="eastAsia" w:eastAsia="仿宋_GB2312"/>
                <w:color w:val="auto"/>
                <w:kern w:val="0"/>
                <w:szCs w:val="21"/>
                <w:lang w:eastAsia="zh-CN" w:bidi="ar"/>
              </w:rPr>
            </w:pPr>
            <w:r>
              <w:rPr>
                <w:rFonts w:eastAsia="仿宋_GB2312"/>
                <w:color w:val="auto"/>
                <w:kern w:val="0"/>
                <w:szCs w:val="21"/>
                <w:lang w:bidi="ar"/>
              </w:rPr>
              <w:t>G</w:t>
            </w:r>
            <w:r>
              <w:rPr>
                <w:rFonts w:hint="eastAsia" w:eastAsia="仿宋_GB2312"/>
                <w:color w:val="auto"/>
                <w:kern w:val="0"/>
                <w:szCs w:val="21"/>
                <w:lang w:val="en-US" w:eastAsia="zh-CN" w:bidi="ar"/>
              </w:rPr>
              <w:t>6</w:t>
            </w:r>
            <w:r>
              <w:rPr>
                <w:rFonts w:eastAsia="仿宋_GB2312"/>
                <w:color w:val="auto"/>
                <w:kern w:val="0"/>
                <w:szCs w:val="21"/>
                <w:lang w:bidi="ar"/>
              </w:rPr>
              <w:t>-</w:t>
            </w:r>
            <w:r>
              <w:rPr>
                <w:rFonts w:hint="eastAsia" w:eastAsia="仿宋_GB2312"/>
                <w:color w:val="auto"/>
                <w:kern w:val="0"/>
                <w:szCs w:val="21"/>
                <w:lang w:val="en-US" w:eastAsia="zh-CN" w:bidi="ar"/>
              </w:rPr>
              <w:t>6</w:t>
            </w:r>
          </w:p>
        </w:tc>
        <w:tc>
          <w:tcPr>
            <w:tcW w:w="446" w:type="pct"/>
            <w:shd w:val="clear" w:color="auto" w:fill="auto"/>
            <w:vAlign w:val="center"/>
          </w:tcPr>
          <w:p w14:paraId="520AB287">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离心废气</w:t>
            </w:r>
          </w:p>
        </w:tc>
        <w:tc>
          <w:tcPr>
            <w:tcW w:w="361" w:type="pct"/>
            <w:vAlign w:val="center"/>
          </w:tcPr>
          <w:p w14:paraId="76EB4E17">
            <w:pPr>
              <w:jc w:val="center"/>
              <w:rPr>
                <w:rFonts w:hint="default" w:eastAsia="宋体"/>
                <w:color w:val="auto"/>
                <w:kern w:val="0"/>
                <w:szCs w:val="21"/>
                <w:lang w:val="en-US" w:eastAsia="zh-CN"/>
              </w:rPr>
            </w:pPr>
            <w:r>
              <w:rPr>
                <w:rFonts w:hint="eastAsia"/>
                <w:color w:val="auto"/>
                <w:kern w:val="0"/>
                <w:szCs w:val="21"/>
                <w:lang w:val="en-US" w:eastAsia="zh-CN"/>
              </w:rPr>
              <w:t>180</w:t>
            </w:r>
          </w:p>
        </w:tc>
        <w:tc>
          <w:tcPr>
            <w:tcW w:w="498" w:type="pct"/>
            <w:shd w:val="clear" w:color="auto" w:fill="auto"/>
            <w:vAlign w:val="center"/>
          </w:tcPr>
          <w:p w14:paraId="053FFB27">
            <w:pPr>
              <w:jc w:val="center"/>
              <w:rPr>
                <w:rFonts w:hint="eastAsia" w:ascii="Times New Roman" w:hAnsi="Times New Roman" w:eastAsia="宋体" w:cs="Times New Roman"/>
                <w:color w:val="auto"/>
                <w:kern w:val="0"/>
                <w:sz w:val="21"/>
                <w:szCs w:val="21"/>
                <w:lang w:val="en-US" w:eastAsia="zh-CN" w:bidi="ar-SA"/>
              </w:rPr>
            </w:pPr>
            <w:r>
              <w:rPr>
                <w:rFonts w:hint="eastAsia"/>
                <w:color w:val="auto"/>
                <w:kern w:val="0"/>
                <w:szCs w:val="21"/>
                <w:lang w:val="en-US" w:eastAsia="zh-CN"/>
              </w:rPr>
              <w:t>14</w:t>
            </w:r>
          </w:p>
        </w:tc>
        <w:tc>
          <w:tcPr>
            <w:tcW w:w="820" w:type="pct"/>
            <w:shd w:val="clear" w:color="auto" w:fill="auto"/>
            <w:vAlign w:val="center"/>
          </w:tcPr>
          <w:p w14:paraId="15947E4F">
            <w:pPr>
              <w:widowControl/>
              <w:jc w:val="center"/>
              <w:textAlignment w:val="center"/>
              <w:rPr>
                <w:rFonts w:hint="default" w:ascii="Times New Roman" w:hAnsi="Times New Roman" w:eastAsia="仿宋_GB2312" w:cs="Times New Roman"/>
                <w:color w:val="auto"/>
                <w:kern w:val="0"/>
                <w:sz w:val="21"/>
                <w:szCs w:val="21"/>
                <w:lang w:val="en-US" w:eastAsia="zh-CN" w:bidi="ar"/>
              </w:rPr>
            </w:pPr>
            <w:r>
              <w:rPr>
                <w:rFonts w:hint="eastAsia" w:eastAsia="仿宋_GB2312"/>
                <w:color w:val="auto"/>
                <w:kern w:val="0"/>
                <w:szCs w:val="21"/>
                <w:lang w:val="en-US" w:eastAsia="zh-CN" w:bidi="ar"/>
              </w:rPr>
              <w:t>挥发性有机物</w:t>
            </w:r>
          </w:p>
        </w:tc>
        <w:tc>
          <w:tcPr>
            <w:tcW w:w="380" w:type="pct"/>
            <w:shd w:val="clear" w:color="auto" w:fill="auto"/>
            <w:vAlign w:val="center"/>
          </w:tcPr>
          <w:p w14:paraId="1D981D9D">
            <w:pPr>
              <w:keepNext w:val="0"/>
              <w:keepLines w:val="0"/>
              <w:widowControl/>
              <w:suppressLineNumbers w:val="0"/>
              <w:jc w:val="center"/>
              <w:textAlignment w:val="center"/>
              <w:rPr>
                <w:rFonts w:eastAsia="等线"/>
                <w:color w:val="auto"/>
                <w:szCs w:val="21"/>
              </w:rPr>
            </w:pPr>
            <w:r>
              <w:rPr>
                <w:rFonts w:hint="default" w:ascii="Times New Roman" w:hAnsi="Times New Roman" w:eastAsia="宋体" w:cs="Times New Roman"/>
                <w:i w:val="0"/>
                <w:iCs w:val="0"/>
                <w:color w:val="auto"/>
                <w:kern w:val="0"/>
                <w:sz w:val="21"/>
                <w:szCs w:val="21"/>
                <w:u w:val="none"/>
                <w:lang w:val="en-US" w:eastAsia="zh-CN" w:bidi="ar"/>
              </w:rPr>
              <w:t>0.36</w:t>
            </w:r>
          </w:p>
        </w:tc>
        <w:tc>
          <w:tcPr>
            <w:tcW w:w="445" w:type="pct"/>
            <w:shd w:val="clear" w:color="auto" w:fill="auto"/>
            <w:vAlign w:val="center"/>
          </w:tcPr>
          <w:p w14:paraId="50965EEF">
            <w:pPr>
              <w:widowControl/>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eastAsia" w:eastAsia="仿宋_GB2312"/>
                <w:color w:val="auto"/>
                <w:kern w:val="0"/>
                <w:szCs w:val="21"/>
                <w:lang w:val="en-US" w:eastAsia="zh-CN" w:bidi="ar"/>
              </w:rPr>
              <w:t>0.005</w:t>
            </w:r>
          </w:p>
        </w:tc>
        <w:tc>
          <w:tcPr>
            <w:tcW w:w="630" w:type="pct"/>
            <w:vMerge w:val="continue"/>
            <w:vAlign w:val="center"/>
          </w:tcPr>
          <w:p w14:paraId="15FFC4E9">
            <w:pPr>
              <w:jc w:val="center"/>
              <w:rPr>
                <w:rFonts w:eastAsia="仿宋_GB2312"/>
                <w:color w:val="auto"/>
                <w:szCs w:val="21"/>
              </w:rPr>
            </w:pPr>
          </w:p>
        </w:tc>
        <w:tc>
          <w:tcPr>
            <w:tcW w:w="292" w:type="pct"/>
            <w:vMerge w:val="continue"/>
            <w:vAlign w:val="center"/>
          </w:tcPr>
          <w:p w14:paraId="3CA3BC8E">
            <w:pPr>
              <w:jc w:val="center"/>
              <w:rPr>
                <w:rFonts w:eastAsia="仿宋_GB2312"/>
                <w:color w:val="auto"/>
                <w:szCs w:val="21"/>
              </w:rPr>
            </w:pPr>
          </w:p>
        </w:tc>
      </w:tr>
      <w:tr w14:paraId="06A9A5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1124" w:type="pct"/>
            <w:gridSpan w:val="3"/>
            <w:vAlign w:val="center"/>
          </w:tcPr>
          <w:p w14:paraId="42F5189E">
            <w:pPr>
              <w:jc w:val="center"/>
              <w:rPr>
                <w:rFonts w:eastAsia="仿宋_GB2312"/>
                <w:color w:val="auto"/>
                <w:kern w:val="0"/>
                <w:szCs w:val="21"/>
                <w:lang w:bidi="ar"/>
              </w:rPr>
            </w:pPr>
            <w:r>
              <w:rPr>
                <w:rFonts w:eastAsia="仿宋_GB2312"/>
                <w:color w:val="auto"/>
                <w:kern w:val="0"/>
                <w:szCs w:val="21"/>
                <w:lang w:bidi="ar"/>
              </w:rPr>
              <w:t>实验室废气</w:t>
            </w:r>
          </w:p>
        </w:tc>
        <w:tc>
          <w:tcPr>
            <w:tcW w:w="446" w:type="pct"/>
            <w:vAlign w:val="center"/>
          </w:tcPr>
          <w:p w14:paraId="343BFBEF">
            <w:pPr>
              <w:jc w:val="center"/>
              <w:rPr>
                <w:rFonts w:eastAsia="仿宋_GB2312"/>
                <w:color w:val="auto"/>
                <w:kern w:val="0"/>
                <w:szCs w:val="21"/>
                <w:lang w:bidi="ar"/>
              </w:rPr>
            </w:pPr>
            <w:r>
              <w:rPr>
                <w:rFonts w:eastAsia="仿宋_GB2312"/>
                <w:color w:val="auto"/>
                <w:kern w:val="0"/>
                <w:szCs w:val="21"/>
                <w:lang w:bidi="ar"/>
              </w:rPr>
              <w:t>实验室废气</w:t>
            </w:r>
          </w:p>
        </w:tc>
        <w:tc>
          <w:tcPr>
            <w:tcW w:w="361" w:type="pct"/>
            <w:vAlign w:val="center"/>
          </w:tcPr>
          <w:p w14:paraId="6CE230FF">
            <w:pPr>
              <w:jc w:val="center"/>
              <w:rPr>
                <w:rFonts w:eastAsia="仿宋_GB2312"/>
                <w:color w:val="auto"/>
                <w:kern w:val="0"/>
                <w:szCs w:val="21"/>
                <w:lang w:bidi="ar"/>
              </w:rPr>
            </w:pPr>
            <w:r>
              <w:rPr>
                <w:rFonts w:eastAsia="仿宋_GB2312"/>
                <w:color w:val="auto"/>
                <w:kern w:val="0"/>
                <w:szCs w:val="21"/>
                <w:lang w:bidi="ar"/>
              </w:rPr>
              <w:t>10000</w:t>
            </w:r>
          </w:p>
        </w:tc>
        <w:tc>
          <w:tcPr>
            <w:tcW w:w="498" w:type="pct"/>
            <w:vAlign w:val="center"/>
          </w:tcPr>
          <w:p w14:paraId="2422F692">
            <w:pPr>
              <w:jc w:val="center"/>
              <w:rPr>
                <w:rFonts w:eastAsia="仿宋_GB2312"/>
                <w:color w:val="auto"/>
                <w:kern w:val="0"/>
                <w:szCs w:val="21"/>
                <w:lang w:bidi="ar"/>
              </w:rPr>
            </w:pPr>
            <w:r>
              <w:rPr>
                <w:rFonts w:hint="eastAsia" w:eastAsia="仿宋_GB2312"/>
                <w:color w:val="auto"/>
                <w:kern w:val="0"/>
                <w:szCs w:val="21"/>
                <w:lang w:val="en-US" w:eastAsia="zh-CN" w:bidi="ar"/>
              </w:rPr>
              <w:t>8400</w:t>
            </w:r>
          </w:p>
        </w:tc>
        <w:tc>
          <w:tcPr>
            <w:tcW w:w="820" w:type="pct"/>
            <w:vAlign w:val="center"/>
          </w:tcPr>
          <w:p w14:paraId="7EABA7E7">
            <w:pPr>
              <w:jc w:val="center"/>
              <w:rPr>
                <w:rFonts w:eastAsia="仿宋_GB2312"/>
                <w:color w:val="auto"/>
                <w:kern w:val="0"/>
                <w:szCs w:val="21"/>
                <w:lang w:bidi="ar"/>
              </w:rPr>
            </w:pPr>
            <w:r>
              <w:rPr>
                <w:rFonts w:eastAsia="仿宋_GB2312"/>
                <w:color w:val="auto"/>
                <w:kern w:val="0"/>
                <w:szCs w:val="21"/>
                <w:lang w:bidi="ar"/>
              </w:rPr>
              <w:t>非甲烷总烃</w:t>
            </w:r>
          </w:p>
        </w:tc>
        <w:tc>
          <w:tcPr>
            <w:tcW w:w="380" w:type="pct"/>
            <w:shd w:val="clear" w:color="auto" w:fill="auto"/>
            <w:vAlign w:val="center"/>
          </w:tcPr>
          <w:p w14:paraId="39A76BDB">
            <w:pPr>
              <w:keepNext w:val="0"/>
              <w:keepLines w:val="0"/>
              <w:widowControl/>
              <w:suppressLineNumbers w:val="0"/>
              <w:jc w:val="center"/>
              <w:textAlignment w:val="center"/>
              <w:rPr>
                <w:rFonts w:eastAsia="仿宋_GB2312"/>
                <w:color w:val="auto"/>
                <w:kern w:val="0"/>
                <w:szCs w:val="21"/>
                <w:lang w:bidi="ar"/>
              </w:rPr>
            </w:pPr>
            <w:r>
              <w:rPr>
                <w:rFonts w:hint="default" w:ascii="Times New Roman" w:hAnsi="Times New Roman" w:eastAsia="宋体" w:cs="Times New Roman"/>
                <w:i w:val="0"/>
                <w:iCs w:val="0"/>
                <w:color w:val="auto"/>
                <w:kern w:val="0"/>
                <w:sz w:val="21"/>
                <w:szCs w:val="21"/>
                <w:u w:val="none"/>
                <w:lang w:val="en-US" w:eastAsia="zh-CN" w:bidi="ar"/>
              </w:rPr>
              <w:t>0.03</w:t>
            </w:r>
          </w:p>
        </w:tc>
        <w:tc>
          <w:tcPr>
            <w:tcW w:w="445" w:type="pct"/>
            <w:vAlign w:val="center"/>
          </w:tcPr>
          <w:p w14:paraId="7CC90ED3">
            <w:pPr>
              <w:jc w:val="center"/>
              <w:rPr>
                <w:rFonts w:eastAsia="仿宋_GB2312"/>
                <w:color w:val="auto"/>
                <w:kern w:val="0"/>
                <w:szCs w:val="21"/>
                <w:lang w:bidi="ar"/>
              </w:rPr>
            </w:pPr>
            <w:r>
              <w:rPr>
                <w:rFonts w:hint="eastAsia" w:eastAsia="等线"/>
                <w:color w:val="auto"/>
                <w:szCs w:val="21"/>
                <w:lang w:val="en-US" w:eastAsia="zh-CN"/>
              </w:rPr>
              <w:t>0.27</w:t>
            </w:r>
          </w:p>
        </w:tc>
        <w:tc>
          <w:tcPr>
            <w:tcW w:w="630" w:type="pct"/>
            <w:vMerge w:val="restart"/>
            <w:shd w:val="clear" w:color="auto" w:fill="auto"/>
            <w:vAlign w:val="center"/>
          </w:tcPr>
          <w:p w14:paraId="58664C14">
            <w:pPr>
              <w:jc w:val="center"/>
              <w:rPr>
                <w:rFonts w:eastAsia="仿宋_GB2312"/>
                <w:color w:val="auto"/>
                <w:kern w:val="0"/>
                <w:szCs w:val="21"/>
                <w:lang w:bidi="ar"/>
              </w:rPr>
            </w:pPr>
            <w:r>
              <w:rPr>
                <w:rFonts w:eastAsia="仿宋_GB2312"/>
                <w:color w:val="auto"/>
                <w:kern w:val="0"/>
                <w:szCs w:val="21"/>
                <w:lang w:bidi="ar"/>
              </w:rPr>
              <w:t>稀酸吸收+碱吸收+除雾+光氧离子催化氧化+活性炭</w:t>
            </w:r>
          </w:p>
        </w:tc>
        <w:tc>
          <w:tcPr>
            <w:tcW w:w="292" w:type="pct"/>
            <w:vMerge w:val="restart"/>
            <w:vAlign w:val="center"/>
          </w:tcPr>
          <w:p w14:paraId="352977A0">
            <w:pPr>
              <w:jc w:val="center"/>
              <w:rPr>
                <w:rFonts w:eastAsia="仿宋_GB2312"/>
                <w:color w:val="auto"/>
                <w:kern w:val="0"/>
                <w:szCs w:val="21"/>
                <w:lang w:bidi="ar"/>
              </w:rPr>
            </w:pPr>
            <w:r>
              <w:rPr>
                <w:rFonts w:hint="eastAsia" w:eastAsia="仿宋_GB2312"/>
                <w:color w:val="auto"/>
                <w:kern w:val="0"/>
                <w:szCs w:val="21"/>
                <w:lang w:val="en-US" w:eastAsia="zh-CN" w:bidi="ar"/>
              </w:rPr>
              <w:t>DA001</w:t>
            </w:r>
          </w:p>
        </w:tc>
      </w:tr>
      <w:tr w14:paraId="2036AF5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1124" w:type="pct"/>
            <w:gridSpan w:val="3"/>
            <w:vAlign w:val="center"/>
          </w:tcPr>
          <w:p w14:paraId="135AAB34">
            <w:pPr>
              <w:jc w:val="center"/>
              <w:rPr>
                <w:rFonts w:eastAsia="仿宋_GB2312"/>
                <w:color w:val="auto"/>
                <w:kern w:val="0"/>
                <w:szCs w:val="21"/>
                <w:lang w:bidi="ar"/>
              </w:rPr>
            </w:pPr>
            <w:r>
              <w:rPr>
                <w:rFonts w:eastAsia="仿宋_GB2312"/>
                <w:color w:val="auto"/>
                <w:kern w:val="0"/>
                <w:szCs w:val="21"/>
                <w:lang w:bidi="ar"/>
              </w:rPr>
              <w:t>1#仓库废气</w:t>
            </w:r>
          </w:p>
        </w:tc>
        <w:tc>
          <w:tcPr>
            <w:tcW w:w="446" w:type="pct"/>
            <w:vAlign w:val="center"/>
          </w:tcPr>
          <w:p w14:paraId="07AB6803">
            <w:pPr>
              <w:jc w:val="center"/>
              <w:rPr>
                <w:rFonts w:eastAsia="仿宋_GB2312"/>
                <w:color w:val="auto"/>
                <w:kern w:val="0"/>
                <w:szCs w:val="21"/>
                <w:lang w:bidi="ar"/>
              </w:rPr>
            </w:pPr>
            <w:r>
              <w:rPr>
                <w:rFonts w:eastAsia="仿宋_GB2312"/>
                <w:color w:val="auto"/>
                <w:kern w:val="0"/>
                <w:szCs w:val="21"/>
                <w:lang w:bidi="ar"/>
              </w:rPr>
              <w:t>1#危废仓库</w:t>
            </w:r>
          </w:p>
        </w:tc>
        <w:tc>
          <w:tcPr>
            <w:tcW w:w="361" w:type="pct"/>
            <w:vAlign w:val="center"/>
          </w:tcPr>
          <w:p w14:paraId="2D087C74">
            <w:pPr>
              <w:jc w:val="center"/>
              <w:rPr>
                <w:rFonts w:eastAsia="仿宋_GB2312"/>
                <w:color w:val="auto"/>
                <w:kern w:val="0"/>
                <w:szCs w:val="21"/>
                <w:lang w:bidi="ar"/>
              </w:rPr>
            </w:pPr>
            <w:r>
              <w:rPr>
                <w:rFonts w:eastAsia="仿宋_GB2312"/>
                <w:color w:val="auto"/>
                <w:kern w:val="0"/>
                <w:szCs w:val="21"/>
                <w:lang w:bidi="ar"/>
              </w:rPr>
              <w:t>12000</w:t>
            </w:r>
          </w:p>
        </w:tc>
        <w:tc>
          <w:tcPr>
            <w:tcW w:w="498" w:type="pct"/>
            <w:vAlign w:val="center"/>
          </w:tcPr>
          <w:p w14:paraId="6B8EDAA3">
            <w:pPr>
              <w:jc w:val="center"/>
              <w:rPr>
                <w:rFonts w:eastAsia="仿宋_GB2312"/>
                <w:color w:val="auto"/>
                <w:kern w:val="0"/>
                <w:szCs w:val="21"/>
                <w:lang w:bidi="ar"/>
              </w:rPr>
            </w:pPr>
            <w:r>
              <w:rPr>
                <w:rFonts w:hint="eastAsia" w:eastAsia="仿宋_GB2312"/>
                <w:color w:val="auto"/>
                <w:kern w:val="0"/>
                <w:szCs w:val="21"/>
                <w:lang w:val="en-US" w:eastAsia="zh-CN" w:bidi="ar"/>
              </w:rPr>
              <w:t>8400</w:t>
            </w:r>
          </w:p>
        </w:tc>
        <w:tc>
          <w:tcPr>
            <w:tcW w:w="820" w:type="pct"/>
            <w:vAlign w:val="center"/>
          </w:tcPr>
          <w:p w14:paraId="35D0958A">
            <w:pPr>
              <w:jc w:val="center"/>
              <w:rPr>
                <w:rFonts w:eastAsia="仿宋_GB2312"/>
                <w:color w:val="auto"/>
                <w:kern w:val="0"/>
                <w:szCs w:val="21"/>
                <w:lang w:bidi="ar"/>
              </w:rPr>
            </w:pPr>
            <w:r>
              <w:rPr>
                <w:rFonts w:eastAsia="仿宋_GB2312"/>
                <w:color w:val="auto"/>
                <w:kern w:val="0"/>
                <w:szCs w:val="21"/>
                <w:lang w:bidi="ar"/>
              </w:rPr>
              <w:t>非甲烷总烃</w:t>
            </w:r>
          </w:p>
        </w:tc>
        <w:tc>
          <w:tcPr>
            <w:tcW w:w="380" w:type="pct"/>
            <w:shd w:val="clear" w:color="auto" w:fill="auto"/>
            <w:vAlign w:val="center"/>
          </w:tcPr>
          <w:p w14:paraId="00C39672">
            <w:pPr>
              <w:keepNext w:val="0"/>
              <w:keepLines w:val="0"/>
              <w:widowControl/>
              <w:suppressLineNumbers w:val="0"/>
              <w:jc w:val="center"/>
              <w:textAlignment w:val="center"/>
              <w:rPr>
                <w:rFonts w:eastAsia="仿宋_GB2312"/>
                <w:color w:val="auto"/>
                <w:kern w:val="0"/>
                <w:szCs w:val="21"/>
                <w:lang w:bidi="ar"/>
              </w:rPr>
            </w:pPr>
            <w:r>
              <w:rPr>
                <w:rFonts w:hint="default" w:ascii="Times New Roman" w:hAnsi="Times New Roman" w:eastAsia="宋体" w:cs="Times New Roman"/>
                <w:i w:val="0"/>
                <w:iCs w:val="0"/>
                <w:color w:val="auto"/>
                <w:kern w:val="0"/>
                <w:sz w:val="21"/>
                <w:szCs w:val="21"/>
                <w:u w:val="none"/>
                <w:lang w:val="en-US" w:eastAsia="zh-CN" w:bidi="ar"/>
              </w:rPr>
              <w:t>0.01</w:t>
            </w:r>
          </w:p>
        </w:tc>
        <w:tc>
          <w:tcPr>
            <w:tcW w:w="445" w:type="pct"/>
            <w:shd w:val="clear" w:color="auto" w:fill="auto"/>
            <w:vAlign w:val="center"/>
          </w:tcPr>
          <w:p w14:paraId="06AA0618">
            <w:pPr>
              <w:widowControl/>
              <w:spacing w:line="300" w:lineRule="exact"/>
              <w:jc w:val="center"/>
              <w:rPr>
                <w:rFonts w:ascii="Times New Roman" w:hAnsi="Times New Roman" w:eastAsia="仿宋_GB2312" w:cs="Times New Roman"/>
                <w:color w:val="auto"/>
                <w:kern w:val="0"/>
                <w:sz w:val="21"/>
                <w:szCs w:val="21"/>
                <w:lang w:val="en-US" w:eastAsia="zh-CN" w:bidi="ar-SA"/>
              </w:rPr>
            </w:pPr>
            <w:r>
              <w:rPr>
                <w:rFonts w:eastAsia="仿宋_GB2312"/>
                <w:color w:val="auto"/>
                <w:kern w:val="0"/>
                <w:szCs w:val="21"/>
              </w:rPr>
              <w:t>0.09</w:t>
            </w:r>
          </w:p>
        </w:tc>
        <w:tc>
          <w:tcPr>
            <w:tcW w:w="630" w:type="pct"/>
            <w:vMerge w:val="continue"/>
            <w:shd w:val="clear" w:color="auto" w:fill="auto"/>
            <w:vAlign w:val="center"/>
          </w:tcPr>
          <w:p w14:paraId="01FC5EA7">
            <w:pPr>
              <w:jc w:val="center"/>
              <w:rPr>
                <w:rFonts w:eastAsia="仿宋_GB2312"/>
                <w:color w:val="auto"/>
                <w:szCs w:val="21"/>
              </w:rPr>
            </w:pPr>
          </w:p>
        </w:tc>
        <w:tc>
          <w:tcPr>
            <w:tcW w:w="292" w:type="pct"/>
            <w:vMerge w:val="continue"/>
            <w:vAlign w:val="center"/>
          </w:tcPr>
          <w:p w14:paraId="111DEE9C">
            <w:pPr>
              <w:jc w:val="center"/>
              <w:rPr>
                <w:rFonts w:eastAsia="仿宋_GB2312"/>
                <w:color w:val="auto"/>
                <w:szCs w:val="21"/>
              </w:rPr>
            </w:pPr>
          </w:p>
        </w:tc>
      </w:tr>
      <w:tr w14:paraId="655A99A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1124" w:type="pct"/>
            <w:gridSpan w:val="3"/>
            <w:vAlign w:val="center"/>
          </w:tcPr>
          <w:p w14:paraId="11D776EF">
            <w:pPr>
              <w:jc w:val="center"/>
              <w:rPr>
                <w:rFonts w:eastAsia="仿宋_GB2312"/>
                <w:color w:val="auto"/>
                <w:kern w:val="0"/>
                <w:szCs w:val="21"/>
                <w:lang w:bidi="ar"/>
              </w:rPr>
            </w:pPr>
            <w:r>
              <w:rPr>
                <w:rFonts w:hint="eastAsia" w:eastAsia="仿宋_GB2312"/>
                <w:color w:val="auto"/>
                <w:kern w:val="0"/>
                <w:szCs w:val="21"/>
                <w:lang w:val="en-US" w:eastAsia="zh-CN" w:bidi="ar"/>
              </w:rPr>
              <w:t>3</w:t>
            </w:r>
            <w:r>
              <w:rPr>
                <w:rFonts w:eastAsia="仿宋_GB2312"/>
                <w:color w:val="auto"/>
                <w:kern w:val="0"/>
                <w:szCs w:val="21"/>
                <w:lang w:bidi="ar"/>
              </w:rPr>
              <w:t>#仓库废气</w:t>
            </w:r>
          </w:p>
        </w:tc>
        <w:tc>
          <w:tcPr>
            <w:tcW w:w="446" w:type="pct"/>
            <w:vAlign w:val="center"/>
          </w:tcPr>
          <w:p w14:paraId="203C69E2">
            <w:pPr>
              <w:jc w:val="center"/>
              <w:rPr>
                <w:rFonts w:eastAsia="仿宋_GB2312"/>
                <w:color w:val="auto"/>
                <w:kern w:val="0"/>
                <w:szCs w:val="21"/>
                <w:lang w:bidi="ar"/>
              </w:rPr>
            </w:pPr>
            <w:r>
              <w:rPr>
                <w:rFonts w:hint="eastAsia" w:eastAsia="仿宋_GB2312"/>
                <w:color w:val="auto"/>
                <w:kern w:val="0"/>
                <w:szCs w:val="21"/>
                <w:lang w:val="en-US" w:eastAsia="zh-CN" w:bidi="ar"/>
              </w:rPr>
              <w:t>3</w:t>
            </w:r>
            <w:r>
              <w:rPr>
                <w:rFonts w:eastAsia="仿宋_GB2312"/>
                <w:color w:val="auto"/>
                <w:kern w:val="0"/>
                <w:szCs w:val="21"/>
                <w:lang w:bidi="ar"/>
              </w:rPr>
              <w:t>#危废仓库</w:t>
            </w:r>
          </w:p>
        </w:tc>
        <w:tc>
          <w:tcPr>
            <w:tcW w:w="361" w:type="pct"/>
            <w:vAlign w:val="center"/>
          </w:tcPr>
          <w:p w14:paraId="5B2A701E">
            <w:pPr>
              <w:jc w:val="center"/>
              <w:rPr>
                <w:rFonts w:eastAsia="仿宋_GB2312"/>
                <w:color w:val="auto"/>
                <w:kern w:val="0"/>
                <w:szCs w:val="21"/>
                <w:lang w:bidi="ar"/>
              </w:rPr>
            </w:pPr>
            <w:r>
              <w:rPr>
                <w:rFonts w:eastAsia="仿宋_GB2312"/>
                <w:color w:val="auto"/>
                <w:kern w:val="0"/>
                <w:szCs w:val="21"/>
                <w:lang w:bidi="ar"/>
              </w:rPr>
              <w:t>15000</w:t>
            </w:r>
          </w:p>
        </w:tc>
        <w:tc>
          <w:tcPr>
            <w:tcW w:w="498" w:type="pct"/>
            <w:vAlign w:val="center"/>
          </w:tcPr>
          <w:p w14:paraId="09248EC3">
            <w:pPr>
              <w:jc w:val="center"/>
              <w:rPr>
                <w:rFonts w:eastAsia="仿宋_GB2312"/>
                <w:color w:val="auto"/>
                <w:kern w:val="0"/>
                <w:szCs w:val="21"/>
                <w:lang w:bidi="ar"/>
              </w:rPr>
            </w:pPr>
            <w:r>
              <w:rPr>
                <w:rFonts w:hint="eastAsia" w:eastAsia="仿宋_GB2312"/>
                <w:color w:val="auto"/>
                <w:kern w:val="0"/>
                <w:szCs w:val="21"/>
                <w:lang w:val="en-US" w:eastAsia="zh-CN" w:bidi="ar"/>
              </w:rPr>
              <w:t>8400</w:t>
            </w:r>
          </w:p>
        </w:tc>
        <w:tc>
          <w:tcPr>
            <w:tcW w:w="820" w:type="pct"/>
            <w:vAlign w:val="center"/>
          </w:tcPr>
          <w:p w14:paraId="17B6C0F4">
            <w:pPr>
              <w:jc w:val="center"/>
              <w:rPr>
                <w:rFonts w:eastAsia="仿宋_GB2312"/>
                <w:color w:val="auto"/>
                <w:kern w:val="0"/>
                <w:szCs w:val="21"/>
                <w:lang w:bidi="ar"/>
              </w:rPr>
            </w:pPr>
            <w:r>
              <w:rPr>
                <w:rFonts w:eastAsia="仿宋_GB2312"/>
                <w:color w:val="auto"/>
                <w:kern w:val="0"/>
                <w:szCs w:val="21"/>
                <w:lang w:bidi="ar"/>
              </w:rPr>
              <w:t>非甲烷总烃</w:t>
            </w:r>
          </w:p>
        </w:tc>
        <w:tc>
          <w:tcPr>
            <w:tcW w:w="380" w:type="pct"/>
            <w:shd w:val="clear" w:color="auto" w:fill="auto"/>
            <w:vAlign w:val="center"/>
          </w:tcPr>
          <w:p w14:paraId="22152DF8">
            <w:pPr>
              <w:keepNext w:val="0"/>
              <w:keepLines w:val="0"/>
              <w:widowControl/>
              <w:suppressLineNumbers w:val="0"/>
              <w:jc w:val="center"/>
              <w:textAlignment w:val="center"/>
              <w:rPr>
                <w:rFonts w:eastAsia="仿宋_GB2312"/>
                <w:color w:val="auto"/>
                <w:kern w:val="0"/>
                <w:szCs w:val="21"/>
                <w:lang w:bidi="ar"/>
              </w:rPr>
            </w:pPr>
            <w:r>
              <w:rPr>
                <w:rFonts w:hint="default" w:ascii="Times New Roman" w:hAnsi="Times New Roman" w:eastAsia="宋体" w:cs="Times New Roman"/>
                <w:i w:val="0"/>
                <w:iCs w:val="0"/>
                <w:color w:val="auto"/>
                <w:kern w:val="0"/>
                <w:sz w:val="21"/>
                <w:szCs w:val="21"/>
                <w:u w:val="none"/>
                <w:lang w:val="en-US" w:eastAsia="zh-CN" w:bidi="ar"/>
              </w:rPr>
              <w:t>0.01</w:t>
            </w:r>
          </w:p>
        </w:tc>
        <w:tc>
          <w:tcPr>
            <w:tcW w:w="445" w:type="pct"/>
            <w:shd w:val="clear" w:color="auto" w:fill="auto"/>
            <w:vAlign w:val="center"/>
          </w:tcPr>
          <w:p w14:paraId="7326108A">
            <w:pPr>
              <w:widowControl/>
              <w:spacing w:line="300" w:lineRule="exact"/>
              <w:jc w:val="center"/>
              <w:rPr>
                <w:rFonts w:ascii="Times New Roman" w:hAnsi="Times New Roman" w:eastAsia="仿宋_GB2312" w:cs="Times New Roman"/>
                <w:color w:val="auto"/>
                <w:kern w:val="0"/>
                <w:sz w:val="21"/>
                <w:szCs w:val="21"/>
                <w:lang w:val="en-US" w:eastAsia="zh-CN" w:bidi="ar-SA"/>
              </w:rPr>
            </w:pPr>
            <w:r>
              <w:rPr>
                <w:rFonts w:eastAsia="仿宋_GB2312"/>
                <w:color w:val="auto"/>
                <w:kern w:val="0"/>
                <w:szCs w:val="21"/>
              </w:rPr>
              <w:t>0.09</w:t>
            </w:r>
          </w:p>
        </w:tc>
        <w:tc>
          <w:tcPr>
            <w:tcW w:w="630" w:type="pct"/>
            <w:vMerge w:val="continue"/>
            <w:shd w:val="clear" w:color="auto" w:fill="auto"/>
            <w:vAlign w:val="center"/>
          </w:tcPr>
          <w:p w14:paraId="122F4C57">
            <w:pPr>
              <w:jc w:val="center"/>
              <w:rPr>
                <w:rFonts w:eastAsia="仿宋_GB2312"/>
                <w:color w:val="auto"/>
                <w:szCs w:val="21"/>
              </w:rPr>
            </w:pPr>
          </w:p>
        </w:tc>
        <w:tc>
          <w:tcPr>
            <w:tcW w:w="292" w:type="pct"/>
            <w:vMerge w:val="continue"/>
            <w:vAlign w:val="center"/>
          </w:tcPr>
          <w:p w14:paraId="19B22CE1">
            <w:pPr>
              <w:jc w:val="center"/>
              <w:rPr>
                <w:rFonts w:eastAsia="仿宋_GB2312"/>
                <w:color w:val="auto"/>
                <w:szCs w:val="21"/>
              </w:rPr>
            </w:pPr>
          </w:p>
        </w:tc>
      </w:tr>
      <w:tr w14:paraId="036263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1124" w:type="pct"/>
            <w:gridSpan w:val="3"/>
            <w:vAlign w:val="center"/>
          </w:tcPr>
          <w:p w14:paraId="6186486A">
            <w:pPr>
              <w:jc w:val="center"/>
              <w:rPr>
                <w:rFonts w:eastAsia="仿宋_GB2312"/>
                <w:color w:val="auto"/>
                <w:kern w:val="0"/>
                <w:szCs w:val="21"/>
                <w:lang w:bidi="ar"/>
              </w:rPr>
            </w:pPr>
            <w:r>
              <w:rPr>
                <w:rFonts w:hint="eastAsia" w:eastAsia="仿宋_GB2312"/>
                <w:color w:val="auto"/>
                <w:kern w:val="0"/>
                <w:szCs w:val="21"/>
                <w:lang w:val="en-US" w:eastAsia="zh-CN" w:bidi="ar"/>
              </w:rPr>
              <w:t>5</w:t>
            </w:r>
            <w:r>
              <w:rPr>
                <w:rFonts w:eastAsia="仿宋_GB2312"/>
                <w:color w:val="auto"/>
                <w:kern w:val="0"/>
                <w:szCs w:val="21"/>
                <w:lang w:bidi="ar"/>
              </w:rPr>
              <w:t>#仓库废气</w:t>
            </w:r>
          </w:p>
        </w:tc>
        <w:tc>
          <w:tcPr>
            <w:tcW w:w="446" w:type="pct"/>
            <w:vAlign w:val="center"/>
          </w:tcPr>
          <w:p w14:paraId="3CE04220">
            <w:pPr>
              <w:jc w:val="center"/>
              <w:rPr>
                <w:rFonts w:eastAsia="仿宋_GB2312"/>
                <w:color w:val="auto"/>
                <w:kern w:val="0"/>
                <w:szCs w:val="21"/>
                <w:lang w:bidi="ar"/>
              </w:rPr>
            </w:pPr>
            <w:r>
              <w:rPr>
                <w:rFonts w:hint="eastAsia" w:eastAsia="仿宋_GB2312"/>
                <w:color w:val="auto"/>
                <w:kern w:val="0"/>
                <w:szCs w:val="21"/>
                <w:lang w:val="en-US" w:eastAsia="zh-CN" w:bidi="ar"/>
              </w:rPr>
              <w:t>5</w:t>
            </w:r>
            <w:r>
              <w:rPr>
                <w:rFonts w:eastAsia="仿宋_GB2312"/>
                <w:color w:val="auto"/>
                <w:kern w:val="0"/>
                <w:szCs w:val="21"/>
                <w:lang w:bidi="ar"/>
              </w:rPr>
              <w:t>#危废仓库</w:t>
            </w:r>
          </w:p>
        </w:tc>
        <w:tc>
          <w:tcPr>
            <w:tcW w:w="361" w:type="pct"/>
            <w:vAlign w:val="center"/>
          </w:tcPr>
          <w:p w14:paraId="6B8090F6">
            <w:pPr>
              <w:jc w:val="center"/>
              <w:rPr>
                <w:rFonts w:eastAsia="仿宋_GB2312"/>
                <w:color w:val="auto"/>
                <w:kern w:val="0"/>
                <w:szCs w:val="21"/>
                <w:lang w:bidi="ar"/>
              </w:rPr>
            </w:pPr>
            <w:r>
              <w:rPr>
                <w:rFonts w:eastAsia="仿宋_GB2312"/>
                <w:color w:val="auto"/>
                <w:kern w:val="0"/>
                <w:szCs w:val="21"/>
                <w:lang w:bidi="ar"/>
              </w:rPr>
              <w:t>38000</w:t>
            </w:r>
          </w:p>
        </w:tc>
        <w:tc>
          <w:tcPr>
            <w:tcW w:w="498" w:type="pct"/>
            <w:vAlign w:val="center"/>
          </w:tcPr>
          <w:p w14:paraId="5929C15D">
            <w:pPr>
              <w:jc w:val="center"/>
              <w:rPr>
                <w:rFonts w:eastAsia="仿宋_GB2312"/>
                <w:color w:val="auto"/>
                <w:kern w:val="0"/>
                <w:szCs w:val="21"/>
                <w:lang w:bidi="ar"/>
              </w:rPr>
            </w:pPr>
            <w:r>
              <w:rPr>
                <w:rFonts w:hint="eastAsia" w:eastAsia="仿宋_GB2312"/>
                <w:color w:val="auto"/>
                <w:kern w:val="0"/>
                <w:szCs w:val="21"/>
                <w:lang w:val="en-US" w:eastAsia="zh-CN" w:bidi="ar"/>
              </w:rPr>
              <w:t>8400</w:t>
            </w:r>
          </w:p>
        </w:tc>
        <w:tc>
          <w:tcPr>
            <w:tcW w:w="820" w:type="pct"/>
            <w:vAlign w:val="center"/>
          </w:tcPr>
          <w:p w14:paraId="22ED5DC7">
            <w:pPr>
              <w:jc w:val="center"/>
              <w:rPr>
                <w:rFonts w:eastAsia="仿宋_GB2312"/>
                <w:color w:val="auto"/>
                <w:kern w:val="0"/>
                <w:szCs w:val="21"/>
                <w:lang w:bidi="ar"/>
              </w:rPr>
            </w:pPr>
            <w:r>
              <w:rPr>
                <w:rFonts w:eastAsia="仿宋_GB2312"/>
                <w:color w:val="auto"/>
                <w:kern w:val="0"/>
                <w:szCs w:val="21"/>
                <w:lang w:bidi="ar"/>
              </w:rPr>
              <w:t>非甲烷总烃</w:t>
            </w:r>
          </w:p>
        </w:tc>
        <w:tc>
          <w:tcPr>
            <w:tcW w:w="380" w:type="pct"/>
            <w:shd w:val="clear" w:color="auto" w:fill="auto"/>
            <w:vAlign w:val="center"/>
          </w:tcPr>
          <w:p w14:paraId="7703841C">
            <w:pPr>
              <w:keepNext w:val="0"/>
              <w:keepLines w:val="0"/>
              <w:widowControl/>
              <w:suppressLineNumbers w:val="0"/>
              <w:jc w:val="center"/>
              <w:textAlignment w:val="center"/>
              <w:rPr>
                <w:rFonts w:eastAsia="仿宋_GB2312"/>
                <w:color w:val="auto"/>
                <w:kern w:val="0"/>
                <w:szCs w:val="21"/>
                <w:lang w:bidi="ar"/>
              </w:rPr>
            </w:pPr>
            <w:r>
              <w:rPr>
                <w:rFonts w:hint="default" w:ascii="Times New Roman" w:hAnsi="Times New Roman" w:eastAsia="宋体" w:cs="Times New Roman"/>
                <w:i w:val="0"/>
                <w:iCs w:val="0"/>
                <w:color w:val="auto"/>
                <w:kern w:val="0"/>
                <w:sz w:val="21"/>
                <w:szCs w:val="21"/>
                <w:u w:val="none"/>
                <w:lang w:val="en-US" w:eastAsia="zh-CN" w:bidi="ar"/>
              </w:rPr>
              <w:t>0.01</w:t>
            </w:r>
          </w:p>
        </w:tc>
        <w:tc>
          <w:tcPr>
            <w:tcW w:w="445" w:type="pct"/>
            <w:shd w:val="clear" w:color="auto" w:fill="auto"/>
            <w:vAlign w:val="center"/>
          </w:tcPr>
          <w:p w14:paraId="6E1B1622">
            <w:pPr>
              <w:widowControl/>
              <w:spacing w:line="300" w:lineRule="exact"/>
              <w:jc w:val="center"/>
              <w:rPr>
                <w:rFonts w:hint="default" w:ascii="Times New Roman" w:hAnsi="Times New Roman" w:eastAsia="仿宋_GB2312" w:cs="Times New Roman"/>
                <w:color w:val="auto"/>
                <w:kern w:val="0"/>
                <w:sz w:val="21"/>
                <w:szCs w:val="21"/>
                <w:lang w:val="en-US" w:eastAsia="zh-CN" w:bidi="ar-SA"/>
              </w:rPr>
            </w:pPr>
            <w:r>
              <w:rPr>
                <w:rFonts w:eastAsia="仿宋_GB2312"/>
                <w:color w:val="auto"/>
                <w:kern w:val="0"/>
                <w:szCs w:val="21"/>
              </w:rPr>
              <w:t>0.</w:t>
            </w:r>
            <w:r>
              <w:rPr>
                <w:rFonts w:hint="eastAsia" w:eastAsia="仿宋_GB2312"/>
                <w:color w:val="auto"/>
                <w:kern w:val="0"/>
                <w:szCs w:val="21"/>
                <w:lang w:val="en-US" w:eastAsia="zh-CN"/>
              </w:rPr>
              <w:t>09</w:t>
            </w:r>
          </w:p>
        </w:tc>
        <w:tc>
          <w:tcPr>
            <w:tcW w:w="630" w:type="pct"/>
            <w:vMerge w:val="continue"/>
            <w:shd w:val="clear" w:color="auto" w:fill="auto"/>
            <w:vAlign w:val="center"/>
          </w:tcPr>
          <w:p w14:paraId="55909565">
            <w:pPr>
              <w:jc w:val="center"/>
              <w:rPr>
                <w:rFonts w:eastAsia="仿宋_GB2312"/>
                <w:color w:val="auto"/>
                <w:szCs w:val="21"/>
              </w:rPr>
            </w:pPr>
          </w:p>
        </w:tc>
        <w:tc>
          <w:tcPr>
            <w:tcW w:w="292" w:type="pct"/>
            <w:vMerge w:val="continue"/>
            <w:vAlign w:val="center"/>
          </w:tcPr>
          <w:p w14:paraId="7F0AECD6">
            <w:pPr>
              <w:jc w:val="center"/>
              <w:rPr>
                <w:rFonts w:eastAsia="仿宋_GB2312"/>
                <w:color w:val="auto"/>
                <w:szCs w:val="21"/>
              </w:rPr>
            </w:pPr>
          </w:p>
        </w:tc>
      </w:tr>
      <w:tr w14:paraId="3839FB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1124" w:type="pct"/>
            <w:gridSpan w:val="3"/>
            <w:vAlign w:val="center"/>
          </w:tcPr>
          <w:p w14:paraId="4B6FC2AE">
            <w:pPr>
              <w:jc w:val="center"/>
              <w:rPr>
                <w:rFonts w:eastAsia="仿宋_GB2312"/>
                <w:color w:val="auto"/>
                <w:kern w:val="0"/>
                <w:szCs w:val="21"/>
                <w:lang w:bidi="ar"/>
              </w:rPr>
            </w:pPr>
            <w:r>
              <w:rPr>
                <w:rFonts w:eastAsia="仿宋_GB2312"/>
                <w:color w:val="auto"/>
                <w:kern w:val="0"/>
                <w:szCs w:val="21"/>
                <w:lang w:bidi="ar"/>
              </w:rPr>
              <w:t>分拣暂存间废气</w:t>
            </w:r>
          </w:p>
        </w:tc>
        <w:tc>
          <w:tcPr>
            <w:tcW w:w="446" w:type="pct"/>
            <w:vAlign w:val="center"/>
          </w:tcPr>
          <w:p w14:paraId="4ABDCBB4">
            <w:pPr>
              <w:jc w:val="center"/>
              <w:rPr>
                <w:rFonts w:eastAsia="仿宋_GB2312"/>
                <w:color w:val="auto"/>
                <w:kern w:val="0"/>
                <w:szCs w:val="21"/>
                <w:lang w:bidi="ar"/>
              </w:rPr>
            </w:pPr>
            <w:r>
              <w:rPr>
                <w:rFonts w:eastAsia="仿宋_GB2312"/>
                <w:color w:val="auto"/>
                <w:kern w:val="0"/>
                <w:szCs w:val="21"/>
                <w:lang w:bidi="ar"/>
              </w:rPr>
              <w:t>分拣暂存间</w:t>
            </w:r>
          </w:p>
        </w:tc>
        <w:tc>
          <w:tcPr>
            <w:tcW w:w="361" w:type="pct"/>
            <w:vAlign w:val="center"/>
          </w:tcPr>
          <w:p w14:paraId="5BAF02AC">
            <w:pPr>
              <w:jc w:val="center"/>
              <w:rPr>
                <w:rFonts w:eastAsia="仿宋_GB2312"/>
                <w:color w:val="auto"/>
                <w:kern w:val="0"/>
                <w:szCs w:val="21"/>
                <w:lang w:bidi="ar"/>
              </w:rPr>
            </w:pPr>
            <w:r>
              <w:rPr>
                <w:rFonts w:eastAsia="仿宋_GB2312"/>
                <w:color w:val="auto"/>
                <w:kern w:val="0"/>
                <w:szCs w:val="21"/>
                <w:lang w:bidi="ar"/>
              </w:rPr>
              <w:t>30000</w:t>
            </w:r>
          </w:p>
        </w:tc>
        <w:tc>
          <w:tcPr>
            <w:tcW w:w="498" w:type="pct"/>
            <w:vAlign w:val="center"/>
          </w:tcPr>
          <w:p w14:paraId="7FD11136">
            <w:pPr>
              <w:jc w:val="center"/>
              <w:rPr>
                <w:rFonts w:eastAsia="仿宋_GB2312"/>
                <w:color w:val="auto"/>
                <w:kern w:val="0"/>
                <w:szCs w:val="21"/>
                <w:lang w:bidi="ar"/>
              </w:rPr>
            </w:pPr>
            <w:r>
              <w:rPr>
                <w:rFonts w:hint="eastAsia" w:eastAsia="仿宋_GB2312"/>
                <w:color w:val="auto"/>
                <w:kern w:val="0"/>
                <w:szCs w:val="21"/>
                <w:lang w:val="en-US" w:eastAsia="zh-CN" w:bidi="ar"/>
              </w:rPr>
              <w:t>8400</w:t>
            </w:r>
          </w:p>
        </w:tc>
        <w:tc>
          <w:tcPr>
            <w:tcW w:w="820" w:type="pct"/>
            <w:vAlign w:val="center"/>
          </w:tcPr>
          <w:p w14:paraId="5CD25C26">
            <w:pPr>
              <w:jc w:val="center"/>
              <w:rPr>
                <w:rFonts w:eastAsia="仿宋_GB2312"/>
                <w:color w:val="auto"/>
                <w:kern w:val="0"/>
                <w:szCs w:val="21"/>
                <w:lang w:bidi="ar"/>
              </w:rPr>
            </w:pPr>
            <w:r>
              <w:rPr>
                <w:rFonts w:eastAsia="仿宋_GB2312"/>
                <w:color w:val="auto"/>
                <w:kern w:val="0"/>
                <w:szCs w:val="21"/>
                <w:lang w:bidi="ar"/>
              </w:rPr>
              <w:t>非甲烷总烃</w:t>
            </w:r>
          </w:p>
        </w:tc>
        <w:tc>
          <w:tcPr>
            <w:tcW w:w="380" w:type="pct"/>
            <w:shd w:val="clear" w:color="auto" w:fill="auto"/>
            <w:vAlign w:val="center"/>
          </w:tcPr>
          <w:p w14:paraId="7A315412">
            <w:pPr>
              <w:keepNext w:val="0"/>
              <w:keepLines w:val="0"/>
              <w:widowControl/>
              <w:suppressLineNumbers w:val="0"/>
              <w:jc w:val="center"/>
              <w:textAlignment w:val="center"/>
              <w:rPr>
                <w:rFonts w:eastAsia="仿宋_GB2312"/>
                <w:color w:val="auto"/>
                <w:kern w:val="0"/>
                <w:szCs w:val="21"/>
                <w:lang w:bidi="ar"/>
              </w:rPr>
            </w:pPr>
            <w:r>
              <w:rPr>
                <w:rFonts w:hint="default" w:ascii="Times New Roman" w:hAnsi="Times New Roman" w:eastAsia="宋体" w:cs="Times New Roman"/>
                <w:i w:val="0"/>
                <w:iCs w:val="0"/>
                <w:color w:val="auto"/>
                <w:kern w:val="0"/>
                <w:sz w:val="21"/>
                <w:szCs w:val="21"/>
                <w:u w:val="none"/>
                <w:lang w:val="en-US" w:eastAsia="zh-CN" w:bidi="ar"/>
              </w:rPr>
              <w:t>0.01</w:t>
            </w:r>
          </w:p>
        </w:tc>
        <w:tc>
          <w:tcPr>
            <w:tcW w:w="445" w:type="pct"/>
            <w:shd w:val="clear" w:color="auto" w:fill="auto"/>
            <w:vAlign w:val="center"/>
          </w:tcPr>
          <w:p w14:paraId="7FD25F0C">
            <w:pPr>
              <w:widowControl/>
              <w:spacing w:line="300" w:lineRule="exact"/>
              <w:jc w:val="center"/>
              <w:rPr>
                <w:rFonts w:hint="default" w:ascii="Times New Roman" w:hAnsi="Times New Roman" w:eastAsia="仿宋_GB2312" w:cs="Times New Roman"/>
                <w:color w:val="auto"/>
                <w:kern w:val="0"/>
                <w:sz w:val="21"/>
                <w:szCs w:val="21"/>
                <w:lang w:val="en-US" w:eastAsia="zh-CN" w:bidi="ar-SA"/>
              </w:rPr>
            </w:pPr>
            <w:r>
              <w:rPr>
                <w:rFonts w:eastAsia="仿宋_GB2312"/>
                <w:color w:val="auto"/>
                <w:kern w:val="0"/>
                <w:szCs w:val="21"/>
              </w:rPr>
              <w:t>0.</w:t>
            </w:r>
            <w:r>
              <w:rPr>
                <w:rFonts w:hint="eastAsia" w:eastAsia="仿宋_GB2312"/>
                <w:color w:val="auto"/>
                <w:kern w:val="0"/>
                <w:szCs w:val="21"/>
                <w:lang w:val="en-US" w:eastAsia="zh-CN"/>
              </w:rPr>
              <w:t>09</w:t>
            </w:r>
          </w:p>
        </w:tc>
        <w:tc>
          <w:tcPr>
            <w:tcW w:w="630" w:type="pct"/>
            <w:vMerge w:val="continue"/>
            <w:shd w:val="clear" w:color="auto" w:fill="auto"/>
            <w:vAlign w:val="center"/>
          </w:tcPr>
          <w:p w14:paraId="61FF29E1">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p>
        </w:tc>
        <w:tc>
          <w:tcPr>
            <w:tcW w:w="292" w:type="pct"/>
            <w:vMerge w:val="continue"/>
            <w:vAlign w:val="center"/>
          </w:tcPr>
          <w:p w14:paraId="22D3242D">
            <w:pPr>
              <w:jc w:val="center"/>
              <w:rPr>
                <w:rFonts w:eastAsia="仿宋_GB2312"/>
                <w:color w:val="auto"/>
                <w:szCs w:val="21"/>
              </w:rPr>
            </w:pPr>
          </w:p>
        </w:tc>
      </w:tr>
      <w:tr w14:paraId="33139A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1570" w:type="pct"/>
            <w:gridSpan w:val="4"/>
            <w:vMerge w:val="restart"/>
            <w:vAlign w:val="center"/>
          </w:tcPr>
          <w:p w14:paraId="6FA6E94C">
            <w:pPr>
              <w:jc w:val="center"/>
              <w:rPr>
                <w:rFonts w:hint="default" w:eastAsia="仿宋_GB2312"/>
                <w:color w:val="auto"/>
                <w:kern w:val="0"/>
                <w:szCs w:val="21"/>
                <w:lang w:val="en-US" w:eastAsia="zh-CN" w:bidi="ar"/>
              </w:rPr>
            </w:pPr>
            <w:r>
              <w:rPr>
                <w:rFonts w:hint="eastAsia" w:eastAsia="仿宋_GB2312"/>
                <w:color w:val="auto"/>
                <w:kern w:val="0"/>
                <w:szCs w:val="21"/>
                <w:lang w:val="en-US" w:eastAsia="zh-CN" w:bidi="ar"/>
              </w:rPr>
              <w:t>污水站废气</w:t>
            </w:r>
          </w:p>
        </w:tc>
        <w:tc>
          <w:tcPr>
            <w:tcW w:w="361" w:type="pct"/>
            <w:vMerge w:val="restart"/>
            <w:vAlign w:val="center"/>
          </w:tcPr>
          <w:p w14:paraId="1E8A727B">
            <w:pPr>
              <w:jc w:val="center"/>
              <w:rPr>
                <w:rFonts w:hint="default" w:eastAsia="仿宋_GB2312"/>
                <w:color w:val="auto"/>
                <w:kern w:val="0"/>
                <w:szCs w:val="21"/>
                <w:lang w:val="en-US" w:eastAsia="zh-CN" w:bidi="ar"/>
              </w:rPr>
            </w:pPr>
            <w:r>
              <w:rPr>
                <w:rFonts w:hint="eastAsia" w:eastAsia="仿宋_GB2312"/>
                <w:color w:val="auto"/>
                <w:kern w:val="0"/>
                <w:szCs w:val="21"/>
                <w:lang w:val="en-US" w:eastAsia="zh-CN" w:bidi="ar"/>
              </w:rPr>
              <w:t>60000</w:t>
            </w:r>
          </w:p>
        </w:tc>
        <w:tc>
          <w:tcPr>
            <w:tcW w:w="498" w:type="pct"/>
            <w:vMerge w:val="restart"/>
            <w:shd w:val="clear" w:color="auto" w:fill="auto"/>
            <w:vAlign w:val="center"/>
          </w:tcPr>
          <w:p w14:paraId="2BA16215">
            <w:pPr>
              <w:widowControl/>
              <w:spacing w:line="300" w:lineRule="exact"/>
              <w:jc w:val="center"/>
              <w:rPr>
                <w:rFonts w:hint="default" w:eastAsia="仿宋_GB2312"/>
                <w:color w:val="auto"/>
                <w:kern w:val="0"/>
                <w:szCs w:val="21"/>
                <w:lang w:val="en-US" w:eastAsia="zh-CN"/>
              </w:rPr>
            </w:pPr>
            <w:r>
              <w:rPr>
                <w:rFonts w:hint="eastAsia" w:eastAsia="仿宋_GB2312"/>
                <w:color w:val="auto"/>
                <w:kern w:val="0"/>
                <w:szCs w:val="21"/>
                <w:lang w:val="en-US" w:eastAsia="zh-CN"/>
              </w:rPr>
              <w:t>8400</w:t>
            </w:r>
          </w:p>
        </w:tc>
        <w:tc>
          <w:tcPr>
            <w:tcW w:w="820" w:type="pct"/>
            <w:shd w:val="clear" w:color="auto" w:fill="auto"/>
            <w:vAlign w:val="center"/>
          </w:tcPr>
          <w:p w14:paraId="3A6FC6D1">
            <w:pPr>
              <w:widowControl/>
              <w:spacing w:line="300" w:lineRule="exact"/>
              <w:jc w:val="center"/>
              <w:rPr>
                <w:rFonts w:hint="eastAsia" w:ascii="Times New Roman" w:hAnsi="Times New Roman" w:eastAsia="仿宋_GB2312" w:cs="Times New Roman"/>
                <w:color w:val="auto"/>
                <w:kern w:val="0"/>
                <w:sz w:val="21"/>
                <w:szCs w:val="21"/>
                <w:lang w:val="en-US" w:eastAsia="zh-CN" w:bidi="ar-SA"/>
              </w:rPr>
            </w:pPr>
            <w:r>
              <w:rPr>
                <w:rFonts w:hint="eastAsia" w:eastAsia="仿宋_GB2312"/>
                <w:color w:val="auto"/>
                <w:kern w:val="0"/>
                <w:szCs w:val="21"/>
                <w:lang w:val="en-US" w:eastAsia="zh-CN"/>
              </w:rPr>
              <w:t>氨</w:t>
            </w:r>
          </w:p>
        </w:tc>
        <w:tc>
          <w:tcPr>
            <w:tcW w:w="380" w:type="pct"/>
            <w:shd w:val="clear" w:color="auto" w:fill="auto"/>
            <w:vAlign w:val="center"/>
          </w:tcPr>
          <w:p w14:paraId="09387707">
            <w:pPr>
              <w:keepNext w:val="0"/>
              <w:keepLines w:val="0"/>
              <w:widowControl/>
              <w:suppressLineNumbers w:val="0"/>
              <w:jc w:val="center"/>
              <w:textAlignment w:val="center"/>
              <w:rPr>
                <w:rFonts w:eastAsia="等线"/>
                <w:color w:val="auto"/>
                <w:szCs w:val="21"/>
              </w:rPr>
            </w:pPr>
            <w:r>
              <w:rPr>
                <w:rFonts w:hint="default" w:ascii="Times New Roman" w:hAnsi="Times New Roman" w:eastAsia="宋体" w:cs="Times New Roman"/>
                <w:i w:val="0"/>
                <w:iCs w:val="0"/>
                <w:color w:val="auto"/>
                <w:kern w:val="0"/>
                <w:sz w:val="21"/>
                <w:szCs w:val="21"/>
                <w:u w:val="none"/>
                <w:lang w:val="en-US" w:eastAsia="zh-CN" w:bidi="ar"/>
              </w:rPr>
              <w:t>0.01</w:t>
            </w:r>
          </w:p>
        </w:tc>
        <w:tc>
          <w:tcPr>
            <w:tcW w:w="445" w:type="pct"/>
            <w:shd w:val="clear" w:color="auto" w:fill="auto"/>
            <w:vAlign w:val="center"/>
          </w:tcPr>
          <w:p w14:paraId="41254E82">
            <w:pPr>
              <w:widowControl/>
              <w:spacing w:line="300" w:lineRule="exact"/>
              <w:jc w:val="center"/>
              <w:rPr>
                <w:rFonts w:hint="default" w:ascii="Times New Roman" w:hAnsi="Times New Roman" w:eastAsia="仿宋_GB2312" w:cs="Times New Roman"/>
                <w:color w:val="auto"/>
                <w:kern w:val="0"/>
                <w:sz w:val="21"/>
                <w:szCs w:val="21"/>
                <w:lang w:val="en-US" w:eastAsia="zh-CN" w:bidi="ar-SA"/>
              </w:rPr>
            </w:pPr>
            <w:r>
              <w:rPr>
                <w:rFonts w:hint="eastAsia" w:eastAsia="仿宋_GB2312"/>
                <w:color w:val="auto"/>
                <w:kern w:val="0"/>
                <w:szCs w:val="21"/>
                <w:lang w:val="en-US" w:eastAsia="zh-CN"/>
              </w:rPr>
              <w:t>0.09</w:t>
            </w:r>
          </w:p>
        </w:tc>
        <w:tc>
          <w:tcPr>
            <w:tcW w:w="630" w:type="pct"/>
            <w:vMerge w:val="restart"/>
            <w:vAlign w:val="center"/>
          </w:tcPr>
          <w:p w14:paraId="7E8F60EB">
            <w:pPr>
              <w:jc w:val="center"/>
              <w:rPr>
                <w:rFonts w:eastAsia="仿宋_GB2312"/>
                <w:color w:val="auto"/>
                <w:szCs w:val="21"/>
              </w:rPr>
            </w:pPr>
            <w:r>
              <w:rPr>
                <w:rFonts w:eastAsia="仿宋_GB2312"/>
                <w:color w:val="auto"/>
                <w:szCs w:val="21"/>
              </w:rPr>
              <w:t>冷凝+稀酸吸收+碱、次氯酸钠混合液吸收+除雾+活性炭吸附/脱附</w:t>
            </w:r>
          </w:p>
        </w:tc>
        <w:tc>
          <w:tcPr>
            <w:tcW w:w="292" w:type="pct"/>
            <w:vMerge w:val="restart"/>
            <w:shd w:val="clear" w:color="auto" w:fill="auto"/>
            <w:vAlign w:val="center"/>
          </w:tcPr>
          <w:p w14:paraId="40F04D63">
            <w:pPr>
              <w:jc w:val="center"/>
              <w:rPr>
                <w:rFonts w:eastAsia="仿宋_GB2312"/>
                <w:color w:val="auto"/>
                <w:szCs w:val="21"/>
              </w:rPr>
            </w:pPr>
            <w:r>
              <w:rPr>
                <w:rFonts w:hint="eastAsia" w:eastAsia="仿宋_GB2312"/>
                <w:color w:val="auto"/>
                <w:kern w:val="0"/>
                <w:szCs w:val="21"/>
                <w:lang w:val="en-US" w:eastAsia="zh-CN" w:bidi="ar"/>
              </w:rPr>
              <w:t>DA004</w:t>
            </w:r>
          </w:p>
        </w:tc>
      </w:tr>
      <w:tr w14:paraId="5E9CD1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1570" w:type="pct"/>
            <w:gridSpan w:val="4"/>
            <w:vMerge w:val="continue"/>
            <w:vAlign w:val="center"/>
          </w:tcPr>
          <w:p w14:paraId="3563723E">
            <w:pPr>
              <w:jc w:val="center"/>
              <w:rPr>
                <w:rFonts w:eastAsia="仿宋_GB2312"/>
                <w:color w:val="auto"/>
                <w:kern w:val="0"/>
                <w:szCs w:val="21"/>
                <w:lang w:bidi="ar"/>
              </w:rPr>
            </w:pPr>
          </w:p>
        </w:tc>
        <w:tc>
          <w:tcPr>
            <w:tcW w:w="361" w:type="pct"/>
            <w:vMerge w:val="continue"/>
            <w:vAlign w:val="center"/>
          </w:tcPr>
          <w:p w14:paraId="03BF4361">
            <w:pPr>
              <w:jc w:val="center"/>
              <w:rPr>
                <w:rFonts w:eastAsia="仿宋_GB2312"/>
                <w:color w:val="auto"/>
                <w:kern w:val="0"/>
                <w:szCs w:val="21"/>
                <w:lang w:bidi="ar"/>
              </w:rPr>
            </w:pPr>
          </w:p>
        </w:tc>
        <w:tc>
          <w:tcPr>
            <w:tcW w:w="498" w:type="pct"/>
            <w:vMerge w:val="continue"/>
            <w:shd w:val="clear" w:color="auto" w:fill="auto"/>
            <w:vAlign w:val="center"/>
          </w:tcPr>
          <w:p w14:paraId="615C48BC">
            <w:pPr>
              <w:widowControl/>
              <w:spacing w:line="300" w:lineRule="exact"/>
              <w:jc w:val="center"/>
              <w:rPr>
                <w:rFonts w:hint="eastAsia" w:eastAsia="仿宋_GB2312"/>
                <w:color w:val="auto"/>
                <w:kern w:val="0"/>
                <w:szCs w:val="21"/>
                <w:lang w:val="en-US" w:eastAsia="zh-CN"/>
              </w:rPr>
            </w:pPr>
          </w:p>
        </w:tc>
        <w:tc>
          <w:tcPr>
            <w:tcW w:w="820" w:type="pct"/>
            <w:shd w:val="clear" w:color="auto" w:fill="auto"/>
            <w:vAlign w:val="center"/>
          </w:tcPr>
          <w:p w14:paraId="78FFFC7F">
            <w:pPr>
              <w:widowControl/>
              <w:spacing w:line="300" w:lineRule="exact"/>
              <w:jc w:val="center"/>
              <w:rPr>
                <w:rFonts w:hint="default" w:ascii="Times New Roman" w:hAnsi="Times New Roman" w:eastAsia="仿宋_GB2312" w:cs="Times New Roman"/>
                <w:color w:val="auto"/>
                <w:kern w:val="0"/>
                <w:sz w:val="21"/>
                <w:szCs w:val="21"/>
                <w:lang w:val="en-US" w:eastAsia="zh-CN" w:bidi="ar-SA"/>
              </w:rPr>
            </w:pPr>
            <w:r>
              <w:rPr>
                <w:rFonts w:hint="eastAsia" w:eastAsia="仿宋_GB2312"/>
                <w:color w:val="auto"/>
                <w:kern w:val="0"/>
                <w:szCs w:val="21"/>
                <w:lang w:val="en-US" w:eastAsia="zh-CN"/>
              </w:rPr>
              <w:t>硫化氢</w:t>
            </w:r>
          </w:p>
        </w:tc>
        <w:tc>
          <w:tcPr>
            <w:tcW w:w="380" w:type="pct"/>
            <w:shd w:val="clear" w:color="auto" w:fill="auto"/>
            <w:vAlign w:val="center"/>
          </w:tcPr>
          <w:p w14:paraId="2A1C7692">
            <w:pPr>
              <w:keepNext w:val="0"/>
              <w:keepLines w:val="0"/>
              <w:widowControl/>
              <w:suppressLineNumbers w:val="0"/>
              <w:jc w:val="center"/>
              <w:textAlignment w:val="center"/>
              <w:rPr>
                <w:rFonts w:eastAsia="等线"/>
                <w:color w:val="auto"/>
                <w:szCs w:val="21"/>
              </w:rPr>
            </w:pPr>
            <w:r>
              <w:rPr>
                <w:rFonts w:hint="default" w:ascii="Times New Roman" w:hAnsi="Times New Roman" w:eastAsia="宋体" w:cs="Times New Roman"/>
                <w:i w:val="0"/>
                <w:iCs w:val="0"/>
                <w:color w:val="auto"/>
                <w:kern w:val="0"/>
                <w:sz w:val="21"/>
                <w:szCs w:val="21"/>
                <w:u w:val="none"/>
                <w:lang w:val="en-US" w:eastAsia="zh-CN" w:bidi="ar"/>
              </w:rPr>
              <w:t>0.001</w:t>
            </w:r>
          </w:p>
        </w:tc>
        <w:tc>
          <w:tcPr>
            <w:tcW w:w="445" w:type="pct"/>
            <w:shd w:val="clear" w:color="auto" w:fill="auto"/>
            <w:vAlign w:val="center"/>
          </w:tcPr>
          <w:p w14:paraId="397B7863">
            <w:pPr>
              <w:widowControl/>
              <w:spacing w:line="300" w:lineRule="exact"/>
              <w:jc w:val="center"/>
              <w:rPr>
                <w:rFonts w:hint="default" w:ascii="Times New Roman" w:hAnsi="Times New Roman" w:eastAsia="仿宋_GB2312" w:cs="Times New Roman"/>
                <w:color w:val="auto"/>
                <w:kern w:val="0"/>
                <w:sz w:val="21"/>
                <w:szCs w:val="21"/>
                <w:lang w:val="en-US" w:eastAsia="zh-CN" w:bidi="ar-SA"/>
              </w:rPr>
            </w:pPr>
            <w:r>
              <w:rPr>
                <w:rFonts w:hint="eastAsia" w:eastAsia="仿宋_GB2312"/>
                <w:color w:val="auto"/>
                <w:kern w:val="0"/>
                <w:szCs w:val="21"/>
                <w:lang w:val="en-US" w:eastAsia="zh-CN"/>
              </w:rPr>
              <w:t>0.009</w:t>
            </w:r>
          </w:p>
        </w:tc>
        <w:tc>
          <w:tcPr>
            <w:tcW w:w="630" w:type="pct"/>
            <w:vMerge w:val="continue"/>
            <w:vAlign w:val="center"/>
          </w:tcPr>
          <w:p w14:paraId="3768AC35">
            <w:pPr>
              <w:jc w:val="center"/>
              <w:rPr>
                <w:rFonts w:eastAsia="仿宋_GB2312"/>
                <w:color w:val="auto"/>
                <w:szCs w:val="21"/>
              </w:rPr>
            </w:pPr>
          </w:p>
        </w:tc>
        <w:tc>
          <w:tcPr>
            <w:tcW w:w="292" w:type="pct"/>
            <w:vMerge w:val="continue"/>
            <w:shd w:val="clear" w:color="auto" w:fill="auto"/>
            <w:vAlign w:val="center"/>
          </w:tcPr>
          <w:p w14:paraId="5EBA7146">
            <w:pPr>
              <w:jc w:val="center"/>
              <w:rPr>
                <w:rFonts w:eastAsia="仿宋_GB2312"/>
                <w:color w:val="auto"/>
                <w:szCs w:val="21"/>
              </w:rPr>
            </w:pPr>
          </w:p>
        </w:tc>
      </w:tr>
      <w:tr w14:paraId="121989C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1570" w:type="pct"/>
            <w:gridSpan w:val="4"/>
            <w:vMerge w:val="continue"/>
            <w:vAlign w:val="center"/>
          </w:tcPr>
          <w:p w14:paraId="1A06A487">
            <w:pPr>
              <w:jc w:val="center"/>
              <w:rPr>
                <w:rFonts w:eastAsia="仿宋_GB2312"/>
                <w:color w:val="auto"/>
                <w:kern w:val="0"/>
                <w:szCs w:val="21"/>
                <w:lang w:bidi="ar"/>
              </w:rPr>
            </w:pPr>
          </w:p>
        </w:tc>
        <w:tc>
          <w:tcPr>
            <w:tcW w:w="361" w:type="pct"/>
            <w:vMerge w:val="continue"/>
            <w:vAlign w:val="center"/>
          </w:tcPr>
          <w:p w14:paraId="12008C94">
            <w:pPr>
              <w:jc w:val="center"/>
              <w:rPr>
                <w:rFonts w:eastAsia="仿宋_GB2312"/>
                <w:color w:val="auto"/>
                <w:kern w:val="0"/>
                <w:szCs w:val="21"/>
                <w:lang w:bidi="ar"/>
              </w:rPr>
            </w:pPr>
          </w:p>
        </w:tc>
        <w:tc>
          <w:tcPr>
            <w:tcW w:w="498" w:type="pct"/>
            <w:vMerge w:val="continue"/>
            <w:shd w:val="clear" w:color="auto" w:fill="auto"/>
            <w:vAlign w:val="center"/>
          </w:tcPr>
          <w:p w14:paraId="2226EB5E">
            <w:pPr>
              <w:widowControl/>
              <w:spacing w:line="300" w:lineRule="exact"/>
              <w:jc w:val="center"/>
              <w:rPr>
                <w:rFonts w:hint="eastAsia" w:eastAsia="仿宋_GB2312"/>
                <w:color w:val="auto"/>
                <w:kern w:val="0"/>
                <w:szCs w:val="21"/>
                <w:lang w:val="en-US" w:eastAsia="zh-CN"/>
              </w:rPr>
            </w:pPr>
          </w:p>
        </w:tc>
        <w:tc>
          <w:tcPr>
            <w:tcW w:w="820" w:type="pct"/>
            <w:shd w:val="clear" w:color="auto" w:fill="auto"/>
            <w:vAlign w:val="center"/>
          </w:tcPr>
          <w:p w14:paraId="00A9D65C">
            <w:pPr>
              <w:widowControl/>
              <w:spacing w:line="300" w:lineRule="exact"/>
              <w:jc w:val="center"/>
              <w:rPr>
                <w:rFonts w:hint="eastAsia" w:ascii="Times New Roman" w:hAnsi="Times New Roman" w:eastAsia="仿宋_GB2312" w:cs="Times New Roman"/>
                <w:color w:val="auto"/>
                <w:kern w:val="0"/>
                <w:sz w:val="21"/>
                <w:szCs w:val="21"/>
                <w:lang w:val="en-US" w:eastAsia="zh-CN" w:bidi="ar-SA"/>
              </w:rPr>
            </w:pPr>
            <w:r>
              <w:rPr>
                <w:rFonts w:hint="eastAsia" w:eastAsia="仿宋_GB2312"/>
                <w:color w:val="auto"/>
                <w:kern w:val="0"/>
                <w:szCs w:val="21"/>
                <w:lang w:val="en-US" w:eastAsia="zh-CN"/>
              </w:rPr>
              <w:t>非甲烷总烃</w:t>
            </w:r>
          </w:p>
        </w:tc>
        <w:tc>
          <w:tcPr>
            <w:tcW w:w="380" w:type="pct"/>
            <w:shd w:val="clear" w:color="auto" w:fill="auto"/>
            <w:vAlign w:val="center"/>
          </w:tcPr>
          <w:p w14:paraId="1C7C51BD">
            <w:pPr>
              <w:keepNext w:val="0"/>
              <w:keepLines w:val="0"/>
              <w:widowControl/>
              <w:suppressLineNumbers w:val="0"/>
              <w:jc w:val="center"/>
              <w:textAlignment w:val="center"/>
              <w:rPr>
                <w:rFonts w:eastAsia="等线"/>
                <w:color w:val="auto"/>
                <w:szCs w:val="21"/>
              </w:rPr>
            </w:pPr>
            <w:r>
              <w:rPr>
                <w:rFonts w:hint="default" w:ascii="Times New Roman" w:hAnsi="Times New Roman" w:eastAsia="宋体" w:cs="Times New Roman"/>
                <w:i w:val="0"/>
                <w:iCs w:val="0"/>
                <w:color w:val="auto"/>
                <w:kern w:val="0"/>
                <w:sz w:val="21"/>
                <w:szCs w:val="21"/>
                <w:u w:val="none"/>
                <w:lang w:val="en-US" w:eastAsia="zh-CN" w:bidi="ar"/>
              </w:rPr>
              <w:t>0.03</w:t>
            </w:r>
          </w:p>
        </w:tc>
        <w:tc>
          <w:tcPr>
            <w:tcW w:w="445" w:type="pct"/>
            <w:shd w:val="clear" w:color="auto" w:fill="auto"/>
            <w:vAlign w:val="center"/>
          </w:tcPr>
          <w:p w14:paraId="6029D44E">
            <w:pPr>
              <w:widowControl/>
              <w:spacing w:line="300" w:lineRule="exact"/>
              <w:jc w:val="center"/>
              <w:rPr>
                <w:rFonts w:hint="default" w:ascii="Times New Roman" w:hAnsi="Times New Roman" w:eastAsia="仿宋_GB2312" w:cs="Times New Roman"/>
                <w:color w:val="auto"/>
                <w:kern w:val="0"/>
                <w:sz w:val="21"/>
                <w:szCs w:val="21"/>
                <w:lang w:val="en-US" w:eastAsia="zh-CN" w:bidi="ar-SA"/>
              </w:rPr>
            </w:pPr>
            <w:r>
              <w:rPr>
                <w:rFonts w:hint="eastAsia" w:eastAsia="仿宋_GB2312"/>
                <w:color w:val="auto"/>
                <w:kern w:val="0"/>
                <w:szCs w:val="21"/>
                <w:lang w:val="en-US" w:eastAsia="zh-CN"/>
              </w:rPr>
              <w:t>0.27</w:t>
            </w:r>
          </w:p>
        </w:tc>
        <w:tc>
          <w:tcPr>
            <w:tcW w:w="630" w:type="pct"/>
            <w:vMerge w:val="continue"/>
            <w:vAlign w:val="center"/>
          </w:tcPr>
          <w:p w14:paraId="3D6E5775">
            <w:pPr>
              <w:jc w:val="center"/>
              <w:rPr>
                <w:rFonts w:eastAsia="仿宋_GB2312"/>
                <w:color w:val="auto"/>
                <w:szCs w:val="21"/>
              </w:rPr>
            </w:pPr>
          </w:p>
        </w:tc>
        <w:tc>
          <w:tcPr>
            <w:tcW w:w="292" w:type="pct"/>
            <w:vMerge w:val="continue"/>
            <w:shd w:val="clear" w:color="auto" w:fill="auto"/>
            <w:vAlign w:val="center"/>
          </w:tcPr>
          <w:p w14:paraId="14F24EF2">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p>
        </w:tc>
      </w:tr>
    </w:tbl>
    <w:p w14:paraId="6454F901">
      <w:pPr>
        <w:spacing w:line="500" w:lineRule="exact"/>
        <w:jc w:val="center"/>
        <w:rPr>
          <w:rFonts w:eastAsia="仿宋_GB2312"/>
          <w:b/>
          <w:color w:val="auto"/>
          <w:sz w:val="24"/>
        </w:rPr>
      </w:pPr>
    </w:p>
    <w:p w14:paraId="6F7DD4C6">
      <w:pPr>
        <w:spacing w:line="500" w:lineRule="exact"/>
        <w:jc w:val="center"/>
        <w:rPr>
          <w:rFonts w:eastAsia="仿宋_GB2312"/>
          <w:b/>
          <w:color w:val="auto"/>
          <w:sz w:val="24"/>
        </w:rPr>
      </w:pPr>
    </w:p>
    <w:p w14:paraId="4D055BA4">
      <w:pPr>
        <w:tabs>
          <w:tab w:val="left" w:pos="360"/>
          <w:tab w:val="left" w:pos="540"/>
        </w:tabs>
        <w:spacing w:line="500" w:lineRule="exact"/>
        <w:ind w:firstLine="560" w:firstLineChars="200"/>
        <w:rPr>
          <w:rFonts w:eastAsia="仿宋_GB2312"/>
          <w:bCs/>
          <w:color w:val="FF0000"/>
          <w:sz w:val="28"/>
          <w:szCs w:val="28"/>
        </w:rPr>
        <w:sectPr>
          <w:footerReference r:id="rId11" w:type="default"/>
          <w:pgSz w:w="16838" w:h="11906" w:orient="landscape"/>
          <w:pgMar w:top="1440" w:right="1800" w:bottom="1440" w:left="1800" w:header="851" w:footer="992" w:gutter="0"/>
          <w:pgBorders>
            <w:top w:val="none" w:sz="0" w:space="0"/>
            <w:left w:val="none" w:sz="0" w:space="0"/>
            <w:bottom w:val="none" w:sz="0" w:space="0"/>
            <w:right w:val="none" w:sz="0" w:space="0"/>
          </w:pgBorders>
          <w:pgNumType w:fmt="decimal"/>
          <w:cols w:space="720" w:num="1"/>
          <w:docGrid w:linePitch="286" w:charSpace="0"/>
        </w:sectPr>
      </w:pPr>
    </w:p>
    <w:p w14:paraId="6B4F1F06">
      <w:pPr>
        <w:tabs>
          <w:tab w:val="left" w:pos="360"/>
          <w:tab w:val="left" w:pos="540"/>
        </w:tabs>
        <w:spacing w:line="500" w:lineRule="exact"/>
        <w:ind w:firstLine="560" w:firstLineChars="200"/>
        <w:rPr>
          <w:rFonts w:eastAsia="仿宋_GB2312"/>
          <w:bCs/>
          <w:color w:val="auto"/>
          <w:sz w:val="28"/>
          <w:szCs w:val="28"/>
        </w:rPr>
      </w:pPr>
      <w:r>
        <w:rPr>
          <w:rFonts w:eastAsia="仿宋_GB2312"/>
          <w:bCs/>
          <w:color w:val="auto"/>
          <w:sz w:val="28"/>
          <w:szCs w:val="28"/>
        </w:rPr>
        <w:t>本项目有组织大气污染物产生源强与排放状况汇总见表3.</w:t>
      </w:r>
      <w:r>
        <w:rPr>
          <w:rFonts w:hint="eastAsia" w:eastAsia="仿宋_GB2312"/>
          <w:bCs/>
          <w:color w:val="auto"/>
          <w:sz w:val="28"/>
          <w:szCs w:val="28"/>
          <w:lang w:val="en-US" w:eastAsia="zh-CN"/>
        </w:rPr>
        <w:t>9</w:t>
      </w:r>
      <w:r>
        <w:rPr>
          <w:rFonts w:eastAsia="仿宋_GB2312"/>
          <w:bCs/>
          <w:color w:val="auto"/>
          <w:sz w:val="28"/>
          <w:szCs w:val="28"/>
        </w:rPr>
        <w:t>-2。</w:t>
      </w:r>
    </w:p>
    <w:p w14:paraId="55660EC8">
      <w:pPr>
        <w:spacing w:line="500" w:lineRule="exact"/>
        <w:jc w:val="center"/>
        <w:rPr>
          <w:rFonts w:eastAsia="仿宋_GB2312"/>
          <w:b/>
          <w:color w:val="auto"/>
          <w:sz w:val="24"/>
        </w:rPr>
      </w:pPr>
      <w:r>
        <w:rPr>
          <w:rFonts w:eastAsia="仿宋_GB2312"/>
          <w:b/>
          <w:color w:val="auto"/>
          <w:sz w:val="24"/>
        </w:rPr>
        <w:t>表3.</w:t>
      </w:r>
      <w:r>
        <w:rPr>
          <w:rFonts w:hint="eastAsia" w:eastAsia="仿宋_GB2312"/>
          <w:b/>
          <w:color w:val="auto"/>
          <w:sz w:val="24"/>
          <w:lang w:val="en-US" w:eastAsia="zh-CN"/>
        </w:rPr>
        <w:t>9</w:t>
      </w:r>
      <w:r>
        <w:rPr>
          <w:rFonts w:eastAsia="仿宋_GB2312"/>
          <w:b/>
          <w:color w:val="auto"/>
          <w:sz w:val="24"/>
        </w:rPr>
        <w:t>-2  本项目有组织大气污染物产生源强与排放状况汇总表</w:t>
      </w:r>
    </w:p>
    <w:tbl>
      <w:tblPr>
        <w:tblStyle w:val="88"/>
        <w:tblW w:w="5427"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63"/>
        <w:gridCol w:w="1096"/>
        <w:gridCol w:w="1159"/>
        <w:gridCol w:w="990"/>
        <w:gridCol w:w="829"/>
        <w:gridCol w:w="990"/>
        <w:gridCol w:w="1560"/>
        <w:gridCol w:w="850"/>
        <w:gridCol w:w="850"/>
        <w:gridCol w:w="870"/>
        <w:gridCol w:w="996"/>
        <w:gridCol w:w="960"/>
        <w:gridCol w:w="879"/>
        <w:gridCol w:w="577"/>
        <w:gridCol w:w="570"/>
        <w:gridCol w:w="564"/>
      </w:tblGrid>
      <w:tr w14:paraId="24012F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295" w:type="pct"/>
            <w:vMerge w:val="restart"/>
            <w:shd w:val="clear" w:color="auto" w:fill="auto"/>
            <w:vAlign w:val="center"/>
          </w:tcPr>
          <w:p w14:paraId="4751F42F">
            <w:pPr>
              <w:adjustRightInd w:val="0"/>
              <w:snapToGrid w:val="0"/>
              <w:spacing w:line="320" w:lineRule="exact"/>
              <w:jc w:val="center"/>
              <w:rPr>
                <w:rFonts w:eastAsia="仿宋_GB2312"/>
                <w:b/>
                <w:bCs/>
                <w:color w:val="auto"/>
                <w:szCs w:val="21"/>
              </w:rPr>
            </w:pPr>
            <w:r>
              <w:rPr>
                <w:rFonts w:eastAsia="仿宋_GB2312"/>
                <w:b/>
                <w:bCs/>
                <w:color w:val="auto"/>
                <w:szCs w:val="21"/>
              </w:rPr>
              <w:t>排放口编号</w:t>
            </w:r>
          </w:p>
        </w:tc>
        <w:tc>
          <w:tcPr>
            <w:tcW w:w="375" w:type="pct"/>
            <w:vMerge w:val="restart"/>
            <w:shd w:val="clear" w:color="auto" w:fill="auto"/>
            <w:vAlign w:val="center"/>
          </w:tcPr>
          <w:p w14:paraId="2E118DA3">
            <w:pPr>
              <w:adjustRightInd w:val="0"/>
              <w:snapToGrid w:val="0"/>
              <w:spacing w:line="320" w:lineRule="exact"/>
              <w:jc w:val="center"/>
              <w:rPr>
                <w:rFonts w:eastAsia="仿宋_GB2312"/>
                <w:b/>
                <w:bCs/>
                <w:color w:val="auto"/>
                <w:szCs w:val="21"/>
              </w:rPr>
            </w:pPr>
            <w:r>
              <w:rPr>
                <w:rFonts w:eastAsia="仿宋_GB2312"/>
                <w:b/>
                <w:bCs/>
                <w:color w:val="auto"/>
                <w:szCs w:val="21"/>
              </w:rPr>
              <w:t>排气量</w:t>
            </w:r>
          </w:p>
          <w:p w14:paraId="72736288">
            <w:pPr>
              <w:adjustRightInd w:val="0"/>
              <w:snapToGrid w:val="0"/>
              <w:spacing w:line="320" w:lineRule="exact"/>
              <w:jc w:val="center"/>
              <w:rPr>
                <w:rFonts w:eastAsia="仿宋_GB2312"/>
                <w:b/>
                <w:bCs/>
                <w:color w:val="auto"/>
                <w:szCs w:val="21"/>
              </w:rPr>
            </w:pPr>
            <w:r>
              <w:rPr>
                <w:rFonts w:eastAsia="仿宋_GB2312"/>
                <w:b/>
                <w:bCs/>
                <w:color w:val="auto"/>
                <w:szCs w:val="21"/>
              </w:rPr>
              <w:t>m</w:t>
            </w:r>
            <w:r>
              <w:rPr>
                <w:rFonts w:eastAsia="仿宋_GB2312"/>
                <w:b/>
                <w:bCs/>
                <w:color w:val="auto"/>
                <w:szCs w:val="21"/>
                <w:vertAlign w:val="superscript"/>
              </w:rPr>
              <w:t>3</w:t>
            </w:r>
            <w:r>
              <w:rPr>
                <w:rFonts w:eastAsia="仿宋_GB2312"/>
                <w:b/>
                <w:bCs/>
                <w:color w:val="auto"/>
                <w:szCs w:val="21"/>
              </w:rPr>
              <w:t>/h</w:t>
            </w:r>
          </w:p>
        </w:tc>
        <w:tc>
          <w:tcPr>
            <w:tcW w:w="396" w:type="pct"/>
            <w:vMerge w:val="restart"/>
            <w:shd w:val="clear" w:color="auto" w:fill="auto"/>
            <w:vAlign w:val="center"/>
          </w:tcPr>
          <w:p w14:paraId="4F97DDB6">
            <w:pPr>
              <w:adjustRightInd w:val="0"/>
              <w:snapToGrid w:val="0"/>
              <w:spacing w:line="320" w:lineRule="exact"/>
              <w:jc w:val="center"/>
              <w:rPr>
                <w:rFonts w:eastAsia="仿宋_GB2312"/>
                <w:b/>
                <w:bCs/>
                <w:color w:val="auto"/>
                <w:szCs w:val="21"/>
              </w:rPr>
            </w:pPr>
            <w:r>
              <w:rPr>
                <w:rFonts w:eastAsia="仿宋_GB2312"/>
                <w:b/>
                <w:bCs/>
                <w:color w:val="auto"/>
                <w:szCs w:val="21"/>
              </w:rPr>
              <w:t>污染物</w:t>
            </w:r>
          </w:p>
        </w:tc>
        <w:tc>
          <w:tcPr>
            <w:tcW w:w="961" w:type="pct"/>
            <w:gridSpan w:val="3"/>
            <w:shd w:val="clear" w:color="auto" w:fill="auto"/>
            <w:vAlign w:val="center"/>
          </w:tcPr>
          <w:p w14:paraId="102174F3">
            <w:pPr>
              <w:adjustRightInd w:val="0"/>
              <w:snapToGrid w:val="0"/>
              <w:spacing w:line="320" w:lineRule="exact"/>
              <w:jc w:val="center"/>
              <w:rPr>
                <w:rFonts w:eastAsia="仿宋_GB2312"/>
                <w:b/>
                <w:bCs/>
                <w:color w:val="auto"/>
                <w:szCs w:val="21"/>
              </w:rPr>
            </w:pPr>
            <w:r>
              <w:rPr>
                <w:rFonts w:eastAsia="仿宋_GB2312"/>
                <w:b/>
                <w:bCs/>
                <w:color w:val="auto"/>
                <w:szCs w:val="21"/>
              </w:rPr>
              <w:t>污染物产生情况</w:t>
            </w:r>
          </w:p>
        </w:tc>
        <w:tc>
          <w:tcPr>
            <w:tcW w:w="534" w:type="pct"/>
            <w:vMerge w:val="restart"/>
            <w:shd w:val="clear" w:color="auto" w:fill="auto"/>
            <w:vAlign w:val="center"/>
          </w:tcPr>
          <w:p w14:paraId="6E903BFB">
            <w:pPr>
              <w:adjustRightInd w:val="0"/>
              <w:snapToGrid w:val="0"/>
              <w:spacing w:line="320" w:lineRule="exact"/>
              <w:jc w:val="center"/>
              <w:rPr>
                <w:rFonts w:eastAsia="仿宋_GB2312"/>
                <w:b/>
                <w:bCs/>
                <w:color w:val="auto"/>
                <w:szCs w:val="21"/>
              </w:rPr>
            </w:pPr>
            <w:r>
              <w:rPr>
                <w:rFonts w:eastAsia="仿宋_GB2312"/>
                <w:b/>
                <w:bCs/>
                <w:color w:val="auto"/>
                <w:szCs w:val="21"/>
              </w:rPr>
              <w:t>治理</w:t>
            </w:r>
          </w:p>
          <w:p w14:paraId="2E5A04BF">
            <w:pPr>
              <w:adjustRightInd w:val="0"/>
              <w:snapToGrid w:val="0"/>
              <w:spacing w:line="320" w:lineRule="exact"/>
              <w:jc w:val="center"/>
              <w:rPr>
                <w:rFonts w:eastAsia="仿宋_GB2312"/>
                <w:b/>
                <w:bCs/>
                <w:color w:val="FF0000"/>
                <w:szCs w:val="21"/>
              </w:rPr>
            </w:pPr>
            <w:r>
              <w:rPr>
                <w:rFonts w:eastAsia="仿宋_GB2312"/>
                <w:b/>
                <w:bCs/>
                <w:color w:val="auto"/>
                <w:szCs w:val="21"/>
              </w:rPr>
              <w:t>措施</w:t>
            </w:r>
          </w:p>
        </w:tc>
        <w:tc>
          <w:tcPr>
            <w:tcW w:w="291" w:type="pct"/>
            <w:vMerge w:val="restart"/>
            <w:shd w:val="clear" w:color="auto" w:fill="auto"/>
            <w:vAlign w:val="center"/>
          </w:tcPr>
          <w:p w14:paraId="4E74D0E7">
            <w:pPr>
              <w:adjustRightInd w:val="0"/>
              <w:snapToGrid w:val="0"/>
              <w:spacing w:line="320" w:lineRule="exact"/>
              <w:jc w:val="center"/>
              <w:rPr>
                <w:rFonts w:eastAsia="仿宋_GB2312"/>
                <w:b/>
                <w:bCs/>
                <w:color w:val="auto"/>
                <w:szCs w:val="21"/>
              </w:rPr>
            </w:pPr>
            <w:r>
              <w:rPr>
                <w:rFonts w:eastAsia="仿宋_GB2312"/>
                <w:b/>
                <w:bCs/>
                <w:color w:val="auto"/>
                <w:szCs w:val="21"/>
              </w:rPr>
              <w:t>去除率%</w:t>
            </w:r>
          </w:p>
        </w:tc>
        <w:tc>
          <w:tcPr>
            <w:tcW w:w="929" w:type="pct"/>
            <w:gridSpan w:val="3"/>
            <w:shd w:val="clear" w:color="auto" w:fill="auto"/>
            <w:vAlign w:val="center"/>
          </w:tcPr>
          <w:p w14:paraId="727F0CA0">
            <w:pPr>
              <w:adjustRightInd w:val="0"/>
              <w:snapToGrid w:val="0"/>
              <w:spacing w:line="320" w:lineRule="exact"/>
              <w:jc w:val="center"/>
              <w:rPr>
                <w:rFonts w:eastAsia="仿宋_GB2312"/>
                <w:b/>
                <w:bCs/>
                <w:color w:val="auto"/>
                <w:szCs w:val="21"/>
              </w:rPr>
            </w:pPr>
            <w:r>
              <w:rPr>
                <w:rFonts w:eastAsia="仿宋_GB2312"/>
                <w:b/>
                <w:bCs/>
                <w:color w:val="auto"/>
                <w:szCs w:val="21"/>
              </w:rPr>
              <w:t>污染物排放情况</w:t>
            </w:r>
          </w:p>
        </w:tc>
        <w:tc>
          <w:tcPr>
            <w:tcW w:w="629" w:type="pct"/>
            <w:gridSpan w:val="2"/>
            <w:shd w:val="clear" w:color="auto" w:fill="auto"/>
            <w:vAlign w:val="center"/>
          </w:tcPr>
          <w:p w14:paraId="0F1446BF">
            <w:pPr>
              <w:adjustRightInd w:val="0"/>
              <w:snapToGrid w:val="0"/>
              <w:spacing w:line="320" w:lineRule="exact"/>
              <w:jc w:val="center"/>
              <w:rPr>
                <w:rFonts w:eastAsia="仿宋_GB2312"/>
                <w:b/>
                <w:bCs/>
                <w:color w:val="auto"/>
                <w:szCs w:val="21"/>
              </w:rPr>
            </w:pPr>
            <w:r>
              <w:rPr>
                <w:rFonts w:eastAsia="仿宋_GB2312"/>
                <w:b/>
                <w:bCs/>
                <w:color w:val="auto"/>
                <w:szCs w:val="21"/>
              </w:rPr>
              <w:t>排放标准</w:t>
            </w:r>
          </w:p>
        </w:tc>
        <w:tc>
          <w:tcPr>
            <w:tcW w:w="585" w:type="pct"/>
            <w:gridSpan w:val="3"/>
            <w:shd w:val="clear" w:color="auto" w:fill="auto"/>
            <w:vAlign w:val="center"/>
          </w:tcPr>
          <w:p w14:paraId="17EAC12A">
            <w:pPr>
              <w:adjustRightInd w:val="0"/>
              <w:snapToGrid w:val="0"/>
              <w:spacing w:line="320" w:lineRule="exact"/>
              <w:jc w:val="center"/>
              <w:rPr>
                <w:rFonts w:eastAsia="仿宋_GB2312"/>
                <w:b/>
                <w:bCs/>
                <w:color w:val="auto"/>
                <w:szCs w:val="21"/>
              </w:rPr>
            </w:pPr>
            <w:r>
              <w:rPr>
                <w:rFonts w:eastAsia="仿宋_GB2312"/>
                <w:b/>
                <w:bCs/>
                <w:color w:val="auto"/>
                <w:szCs w:val="21"/>
              </w:rPr>
              <w:t>排放源参数</w:t>
            </w:r>
          </w:p>
        </w:tc>
      </w:tr>
      <w:tr w14:paraId="2A4855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295" w:type="pct"/>
            <w:vMerge w:val="continue"/>
            <w:shd w:val="clear" w:color="auto" w:fill="auto"/>
            <w:vAlign w:val="center"/>
          </w:tcPr>
          <w:p w14:paraId="5C85CAF4">
            <w:pPr>
              <w:adjustRightInd w:val="0"/>
              <w:snapToGrid w:val="0"/>
              <w:spacing w:line="320" w:lineRule="exact"/>
              <w:jc w:val="center"/>
              <w:rPr>
                <w:rFonts w:eastAsia="仿宋_GB2312"/>
                <w:b/>
                <w:bCs/>
                <w:color w:val="auto"/>
                <w:szCs w:val="21"/>
              </w:rPr>
            </w:pPr>
          </w:p>
        </w:tc>
        <w:tc>
          <w:tcPr>
            <w:tcW w:w="375" w:type="pct"/>
            <w:vMerge w:val="continue"/>
            <w:shd w:val="clear" w:color="auto" w:fill="auto"/>
            <w:vAlign w:val="center"/>
          </w:tcPr>
          <w:p w14:paraId="13C7E8BB">
            <w:pPr>
              <w:adjustRightInd w:val="0"/>
              <w:snapToGrid w:val="0"/>
              <w:spacing w:line="320" w:lineRule="exact"/>
              <w:jc w:val="center"/>
              <w:rPr>
                <w:rFonts w:eastAsia="仿宋_GB2312"/>
                <w:b/>
                <w:bCs/>
                <w:color w:val="auto"/>
                <w:szCs w:val="21"/>
              </w:rPr>
            </w:pPr>
          </w:p>
        </w:tc>
        <w:tc>
          <w:tcPr>
            <w:tcW w:w="396" w:type="pct"/>
            <w:vMerge w:val="continue"/>
            <w:shd w:val="clear" w:color="auto" w:fill="auto"/>
            <w:vAlign w:val="center"/>
          </w:tcPr>
          <w:p w14:paraId="77380B99">
            <w:pPr>
              <w:adjustRightInd w:val="0"/>
              <w:snapToGrid w:val="0"/>
              <w:spacing w:line="320" w:lineRule="exact"/>
              <w:jc w:val="center"/>
              <w:rPr>
                <w:rFonts w:eastAsia="仿宋_GB2312"/>
                <w:b/>
                <w:bCs/>
                <w:color w:val="auto"/>
                <w:szCs w:val="21"/>
              </w:rPr>
            </w:pPr>
          </w:p>
        </w:tc>
        <w:tc>
          <w:tcPr>
            <w:tcW w:w="338" w:type="pct"/>
            <w:shd w:val="clear" w:color="auto" w:fill="auto"/>
            <w:vAlign w:val="center"/>
          </w:tcPr>
          <w:p w14:paraId="3C21D93B">
            <w:pPr>
              <w:adjustRightInd w:val="0"/>
              <w:snapToGrid w:val="0"/>
              <w:spacing w:line="320" w:lineRule="exact"/>
              <w:jc w:val="center"/>
              <w:rPr>
                <w:rFonts w:eastAsia="仿宋_GB2312"/>
                <w:b/>
                <w:bCs/>
                <w:color w:val="auto"/>
                <w:szCs w:val="21"/>
              </w:rPr>
            </w:pPr>
            <w:r>
              <w:rPr>
                <w:rFonts w:eastAsia="仿宋_GB2312"/>
                <w:b/>
                <w:bCs/>
                <w:color w:val="auto"/>
                <w:szCs w:val="21"/>
              </w:rPr>
              <w:t>最大浓度mg/m</w:t>
            </w:r>
            <w:r>
              <w:rPr>
                <w:rFonts w:eastAsia="仿宋_GB2312"/>
                <w:b/>
                <w:bCs/>
                <w:color w:val="auto"/>
                <w:szCs w:val="21"/>
                <w:vertAlign w:val="superscript"/>
              </w:rPr>
              <w:t>3</w:t>
            </w:r>
          </w:p>
        </w:tc>
        <w:tc>
          <w:tcPr>
            <w:tcW w:w="283" w:type="pct"/>
            <w:shd w:val="clear" w:color="auto" w:fill="auto"/>
            <w:vAlign w:val="center"/>
          </w:tcPr>
          <w:p w14:paraId="79976E98">
            <w:pPr>
              <w:adjustRightInd w:val="0"/>
              <w:snapToGrid w:val="0"/>
              <w:spacing w:line="320" w:lineRule="exact"/>
              <w:jc w:val="center"/>
              <w:rPr>
                <w:rFonts w:eastAsia="仿宋_GB2312"/>
                <w:b/>
                <w:bCs/>
                <w:color w:val="auto"/>
                <w:szCs w:val="21"/>
              </w:rPr>
            </w:pPr>
            <w:r>
              <w:rPr>
                <w:rFonts w:eastAsia="仿宋_GB2312"/>
                <w:b/>
                <w:bCs/>
                <w:color w:val="auto"/>
                <w:szCs w:val="21"/>
              </w:rPr>
              <w:t>最大速率kg/h</w:t>
            </w:r>
          </w:p>
        </w:tc>
        <w:tc>
          <w:tcPr>
            <w:tcW w:w="338" w:type="pct"/>
            <w:shd w:val="clear" w:color="auto" w:fill="auto"/>
            <w:vAlign w:val="center"/>
          </w:tcPr>
          <w:p w14:paraId="417AA5F8">
            <w:pPr>
              <w:adjustRightInd w:val="0"/>
              <w:snapToGrid w:val="0"/>
              <w:spacing w:line="320" w:lineRule="exact"/>
              <w:jc w:val="center"/>
              <w:rPr>
                <w:rFonts w:eastAsia="仿宋_GB2312"/>
                <w:b/>
                <w:bCs/>
                <w:color w:val="auto"/>
                <w:szCs w:val="21"/>
              </w:rPr>
            </w:pPr>
            <w:r>
              <w:rPr>
                <w:rFonts w:eastAsia="仿宋_GB2312"/>
                <w:b/>
                <w:bCs/>
                <w:color w:val="auto"/>
                <w:szCs w:val="21"/>
              </w:rPr>
              <w:t>产生量</w:t>
            </w:r>
          </w:p>
          <w:p w14:paraId="193DF28A">
            <w:pPr>
              <w:adjustRightInd w:val="0"/>
              <w:snapToGrid w:val="0"/>
              <w:spacing w:line="320" w:lineRule="exact"/>
              <w:jc w:val="center"/>
              <w:rPr>
                <w:rFonts w:eastAsia="仿宋_GB2312"/>
                <w:b/>
                <w:bCs/>
                <w:color w:val="auto"/>
                <w:szCs w:val="21"/>
              </w:rPr>
            </w:pPr>
            <w:r>
              <w:rPr>
                <w:rFonts w:eastAsia="仿宋_GB2312"/>
                <w:b/>
                <w:bCs/>
                <w:color w:val="auto"/>
                <w:szCs w:val="21"/>
              </w:rPr>
              <w:t>t/a</w:t>
            </w:r>
          </w:p>
        </w:tc>
        <w:tc>
          <w:tcPr>
            <w:tcW w:w="534" w:type="pct"/>
            <w:vMerge w:val="continue"/>
            <w:shd w:val="clear" w:color="auto" w:fill="auto"/>
            <w:vAlign w:val="center"/>
          </w:tcPr>
          <w:p w14:paraId="788E4AA2">
            <w:pPr>
              <w:adjustRightInd w:val="0"/>
              <w:snapToGrid w:val="0"/>
              <w:spacing w:line="320" w:lineRule="exact"/>
              <w:jc w:val="center"/>
              <w:rPr>
                <w:rFonts w:eastAsia="仿宋_GB2312"/>
                <w:b/>
                <w:bCs/>
                <w:color w:val="FF0000"/>
                <w:szCs w:val="21"/>
              </w:rPr>
            </w:pPr>
          </w:p>
        </w:tc>
        <w:tc>
          <w:tcPr>
            <w:tcW w:w="291" w:type="pct"/>
            <w:vMerge w:val="continue"/>
            <w:shd w:val="clear" w:color="auto" w:fill="auto"/>
            <w:vAlign w:val="center"/>
          </w:tcPr>
          <w:p w14:paraId="05D21307">
            <w:pPr>
              <w:adjustRightInd w:val="0"/>
              <w:snapToGrid w:val="0"/>
              <w:spacing w:line="320" w:lineRule="exact"/>
              <w:jc w:val="center"/>
              <w:rPr>
                <w:rFonts w:eastAsia="仿宋_GB2312"/>
                <w:b/>
                <w:bCs/>
                <w:color w:val="auto"/>
                <w:szCs w:val="21"/>
              </w:rPr>
            </w:pPr>
          </w:p>
        </w:tc>
        <w:tc>
          <w:tcPr>
            <w:tcW w:w="291" w:type="pct"/>
            <w:shd w:val="clear" w:color="auto" w:fill="auto"/>
            <w:vAlign w:val="center"/>
          </w:tcPr>
          <w:p w14:paraId="6730B5DA">
            <w:pPr>
              <w:adjustRightInd w:val="0"/>
              <w:snapToGrid w:val="0"/>
              <w:spacing w:line="320" w:lineRule="exact"/>
              <w:jc w:val="center"/>
              <w:rPr>
                <w:rFonts w:eastAsia="仿宋_GB2312"/>
                <w:b/>
                <w:bCs/>
                <w:color w:val="auto"/>
                <w:szCs w:val="21"/>
              </w:rPr>
            </w:pPr>
            <w:r>
              <w:rPr>
                <w:rFonts w:eastAsia="仿宋_GB2312"/>
                <w:b/>
                <w:bCs/>
                <w:color w:val="auto"/>
                <w:szCs w:val="21"/>
              </w:rPr>
              <w:t>最大浓度mg/m</w:t>
            </w:r>
            <w:r>
              <w:rPr>
                <w:rFonts w:eastAsia="仿宋_GB2312"/>
                <w:b/>
                <w:bCs/>
                <w:color w:val="auto"/>
                <w:szCs w:val="21"/>
                <w:vertAlign w:val="superscript"/>
              </w:rPr>
              <w:t>3</w:t>
            </w:r>
          </w:p>
        </w:tc>
        <w:tc>
          <w:tcPr>
            <w:tcW w:w="297" w:type="pct"/>
            <w:shd w:val="clear" w:color="auto" w:fill="auto"/>
            <w:vAlign w:val="center"/>
          </w:tcPr>
          <w:p w14:paraId="52BD62E2">
            <w:pPr>
              <w:adjustRightInd w:val="0"/>
              <w:snapToGrid w:val="0"/>
              <w:spacing w:line="320" w:lineRule="exact"/>
              <w:jc w:val="center"/>
              <w:rPr>
                <w:rFonts w:eastAsia="仿宋_GB2312"/>
                <w:b/>
                <w:bCs/>
                <w:color w:val="auto"/>
                <w:szCs w:val="21"/>
              </w:rPr>
            </w:pPr>
            <w:r>
              <w:rPr>
                <w:rFonts w:eastAsia="仿宋_GB2312"/>
                <w:b/>
                <w:bCs/>
                <w:color w:val="auto"/>
                <w:szCs w:val="21"/>
              </w:rPr>
              <w:t>最大速率kg/h</w:t>
            </w:r>
          </w:p>
        </w:tc>
        <w:tc>
          <w:tcPr>
            <w:tcW w:w="341" w:type="pct"/>
            <w:shd w:val="clear" w:color="auto" w:fill="auto"/>
            <w:vAlign w:val="center"/>
          </w:tcPr>
          <w:p w14:paraId="46874727">
            <w:pPr>
              <w:adjustRightInd w:val="0"/>
              <w:snapToGrid w:val="0"/>
              <w:spacing w:line="320" w:lineRule="exact"/>
              <w:jc w:val="center"/>
              <w:rPr>
                <w:rFonts w:eastAsia="仿宋_GB2312"/>
                <w:b/>
                <w:bCs/>
                <w:color w:val="auto"/>
                <w:szCs w:val="21"/>
              </w:rPr>
            </w:pPr>
            <w:r>
              <w:rPr>
                <w:rFonts w:eastAsia="仿宋_GB2312"/>
                <w:b/>
                <w:bCs/>
                <w:color w:val="auto"/>
                <w:szCs w:val="21"/>
              </w:rPr>
              <w:t>排放量</w:t>
            </w:r>
          </w:p>
          <w:p w14:paraId="4EC16ED8">
            <w:pPr>
              <w:adjustRightInd w:val="0"/>
              <w:snapToGrid w:val="0"/>
              <w:spacing w:line="320" w:lineRule="exact"/>
              <w:jc w:val="center"/>
              <w:rPr>
                <w:rFonts w:eastAsia="仿宋_GB2312"/>
                <w:b/>
                <w:bCs/>
                <w:color w:val="auto"/>
                <w:szCs w:val="21"/>
              </w:rPr>
            </w:pPr>
            <w:r>
              <w:rPr>
                <w:rFonts w:eastAsia="仿宋_GB2312"/>
                <w:b/>
                <w:bCs/>
                <w:color w:val="auto"/>
                <w:szCs w:val="21"/>
              </w:rPr>
              <w:t>t/a</w:t>
            </w:r>
          </w:p>
        </w:tc>
        <w:tc>
          <w:tcPr>
            <w:tcW w:w="328" w:type="pct"/>
            <w:shd w:val="clear" w:color="auto" w:fill="auto"/>
            <w:vAlign w:val="center"/>
          </w:tcPr>
          <w:p w14:paraId="6DC63FD7">
            <w:pPr>
              <w:adjustRightInd w:val="0"/>
              <w:snapToGrid w:val="0"/>
              <w:spacing w:line="320" w:lineRule="exact"/>
              <w:jc w:val="center"/>
              <w:rPr>
                <w:rFonts w:eastAsia="仿宋_GB2312"/>
                <w:b/>
                <w:bCs/>
                <w:color w:val="auto"/>
                <w:szCs w:val="21"/>
              </w:rPr>
            </w:pPr>
            <w:r>
              <w:rPr>
                <w:rFonts w:eastAsia="仿宋_GB2312"/>
                <w:b/>
                <w:bCs/>
                <w:color w:val="auto"/>
                <w:szCs w:val="21"/>
              </w:rPr>
              <w:t>浓度</w:t>
            </w:r>
          </w:p>
          <w:p w14:paraId="698C001B">
            <w:pPr>
              <w:adjustRightInd w:val="0"/>
              <w:snapToGrid w:val="0"/>
              <w:spacing w:line="320" w:lineRule="exact"/>
              <w:jc w:val="center"/>
              <w:rPr>
                <w:rFonts w:eastAsia="仿宋_GB2312"/>
                <w:b/>
                <w:bCs/>
                <w:color w:val="auto"/>
                <w:szCs w:val="21"/>
              </w:rPr>
            </w:pPr>
            <w:r>
              <w:rPr>
                <w:rFonts w:eastAsia="仿宋_GB2312"/>
                <w:b/>
                <w:bCs/>
                <w:color w:val="auto"/>
                <w:szCs w:val="21"/>
              </w:rPr>
              <w:t>mg/m</w:t>
            </w:r>
            <w:r>
              <w:rPr>
                <w:rFonts w:eastAsia="仿宋_GB2312"/>
                <w:b/>
                <w:bCs/>
                <w:color w:val="auto"/>
                <w:szCs w:val="21"/>
                <w:vertAlign w:val="superscript"/>
              </w:rPr>
              <w:t>3</w:t>
            </w:r>
          </w:p>
        </w:tc>
        <w:tc>
          <w:tcPr>
            <w:tcW w:w="300" w:type="pct"/>
            <w:shd w:val="clear" w:color="auto" w:fill="auto"/>
            <w:vAlign w:val="center"/>
          </w:tcPr>
          <w:p w14:paraId="3AED0651">
            <w:pPr>
              <w:adjustRightInd w:val="0"/>
              <w:snapToGrid w:val="0"/>
              <w:spacing w:line="320" w:lineRule="exact"/>
              <w:jc w:val="center"/>
              <w:rPr>
                <w:rFonts w:eastAsia="仿宋_GB2312"/>
                <w:b/>
                <w:bCs/>
                <w:color w:val="auto"/>
                <w:szCs w:val="21"/>
              </w:rPr>
            </w:pPr>
            <w:r>
              <w:rPr>
                <w:rFonts w:eastAsia="仿宋_GB2312"/>
                <w:b/>
                <w:bCs/>
                <w:color w:val="auto"/>
                <w:szCs w:val="21"/>
              </w:rPr>
              <w:t>速率</w:t>
            </w:r>
          </w:p>
          <w:p w14:paraId="32182A97">
            <w:pPr>
              <w:adjustRightInd w:val="0"/>
              <w:snapToGrid w:val="0"/>
              <w:spacing w:line="320" w:lineRule="exact"/>
              <w:jc w:val="center"/>
              <w:rPr>
                <w:rFonts w:eastAsia="仿宋_GB2312"/>
                <w:b/>
                <w:bCs/>
                <w:color w:val="auto"/>
                <w:szCs w:val="21"/>
              </w:rPr>
            </w:pPr>
            <w:r>
              <w:rPr>
                <w:rFonts w:eastAsia="仿宋_GB2312"/>
                <w:b/>
                <w:bCs/>
                <w:color w:val="auto"/>
                <w:szCs w:val="21"/>
              </w:rPr>
              <w:t>kg/h</w:t>
            </w:r>
          </w:p>
        </w:tc>
        <w:tc>
          <w:tcPr>
            <w:tcW w:w="197" w:type="pct"/>
            <w:shd w:val="clear" w:color="auto" w:fill="auto"/>
            <w:vAlign w:val="center"/>
          </w:tcPr>
          <w:p w14:paraId="6426C289">
            <w:pPr>
              <w:adjustRightInd w:val="0"/>
              <w:snapToGrid w:val="0"/>
              <w:spacing w:line="320" w:lineRule="exact"/>
              <w:jc w:val="center"/>
              <w:rPr>
                <w:rFonts w:eastAsia="仿宋_GB2312"/>
                <w:b/>
                <w:bCs/>
                <w:color w:val="auto"/>
                <w:szCs w:val="21"/>
              </w:rPr>
            </w:pPr>
            <w:r>
              <w:rPr>
                <w:rFonts w:eastAsia="仿宋_GB2312"/>
                <w:b/>
                <w:bCs/>
                <w:color w:val="auto"/>
                <w:szCs w:val="21"/>
              </w:rPr>
              <w:t>高度</w:t>
            </w:r>
          </w:p>
          <w:p w14:paraId="3E020040">
            <w:pPr>
              <w:adjustRightInd w:val="0"/>
              <w:snapToGrid w:val="0"/>
              <w:spacing w:line="320" w:lineRule="exact"/>
              <w:jc w:val="center"/>
              <w:rPr>
                <w:rFonts w:eastAsia="仿宋_GB2312"/>
                <w:b/>
                <w:bCs/>
                <w:color w:val="auto"/>
                <w:szCs w:val="21"/>
              </w:rPr>
            </w:pPr>
            <w:r>
              <w:rPr>
                <w:rFonts w:eastAsia="仿宋_GB2312"/>
                <w:b/>
                <w:bCs/>
                <w:color w:val="auto"/>
                <w:szCs w:val="21"/>
              </w:rPr>
              <w:t>m</w:t>
            </w:r>
          </w:p>
        </w:tc>
        <w:tc>
          <w:tcPr>
            <w:tcW w:w="195" w:type="pct"/>
            <w:shd w:val="clear" w:color="auto" w:fill="auto"/>
            <w:vAlign w:val="center"/>
          </w:tcPr>
          <w:p w14:paraId="6DD0621A">
            <w:pPr>
              <w:adjustRightInd w:val="0"/>
              <w:snapToGrid w:val="0"/>
              <w:spacing w:line="320" w:lineRule="exact"/>
              <w:jc w:val="center"/>
              <w:rPr>
                <w:rFonts w:eastAsia="仿宋_GB2312"/>
                <w:b/>
                <w:bCs/>
                <w:color w:val="auto"/>
                <w:szCs w:val="21"/>
              </w:rPr>
            </w:pPr>
            <w:r>
              <w:rPr>
                <w:rFonts w:eastAsia="仿宋_GB2312"/>
                <w:b/>
                <w:bCs/>
                <w:color w:val="auto"/>
                <w:szCs w:val="21"/>
              </w:rPr>
              <w:t>直径</w:t>
            </w:r>
          </w:p>
          <w:p w14:paraId="6E506AE4">
            <w:pPr>
              <w:adjustRightInd w:val="0"/>
              <w:snapToGrid w:val="0"/>
              <w:spacing w:line="320" w:lineRule="exact"/>
              <w:jc w:val="center"/>
              <w:rPr>
                <w:rFonts w:eastAsia="仿宋_GB2312"/>
                <w:b/>
                <w:bCs/>
                <w:color w:val="auto"/>
                <w:szCs w:val="21"/>
              </w:rPr>
            </w:pPr>
            <w:r>
              <w:rPr>
                <w:rFonts w:eastAsia="仿宋_GB2312"/>
                <w:b/>
                <w:bCs/>
                <w:color w:val="auto"/>
                <w:szCs w:val="21"/>
              </w:rPr>
              <w:t>m</w:t>
            </w:r>
          </w:p>
        </w:tc>
        <w:tc>
          <w:tcPr>
            <w:tcW w:w="193" w:type="pct"/>
            <w:shd w:val="clear" w:color="auto" w:fill="auto"/>
            <w:vAlign w:val="center"/>
          </w:tcPr>
          <w:p w14:paraId="1E2198F4">
            <w:pPr>
              <w:adjustRightInd w:val="0"/>
              <w:snapToGrid w:val="0"/>
              <w:spacing w:line="320" w:lineRule="exact"/>
              <w:jc w:val="center"/>
              <w:rPr>
                <w:rFonts w:eastAsia="仿宋_GB2312"/>
                <w:b/>
                <w:bCs/>
                <w:color w:val="auto"/>
                <w:szCs w:val="21"/>
              </w:rPr>
            </w:pPr>
            <w:r>
              <w:rPr>
                <w:rFonts w:eastAsia="仿宋_GB2312"/>
                <w:b/>
                <w:bCs/>
                <w:color w:val="auto"/>
                <w:szCs w:val="21"/>
              </w:rPr>
              <w:t>温度</w:t>
            </w:r>
          </w:p>
          <w:p w14:paraId="09F58051">
            <w:pPr>
              <w:adjustRightInd w:val="0"/>
              <w:snapToGrid w:val="0"/>
              <w:spacing w:line="320" w:lineRule="exact"/>
              <w:jc w:val="center"/>
              <w:rPr>
                <w:rFonts w:eastAsia="仿宋_GB2312"/>
                <w:b/>
                <w:bCs/>
                <w:color w:val="auto"/>
                <w:szCs w:val="21"/>
              </w:rPr>
            </w:pPr>
            <w:r>
              <w:rPr>
                <w:rFonts w:hint="eastAsia" w:ascii="宋体" w:hAnsi="宋体" w:cs="宋体"/>
                <w:b/>
                <w:bCs/>
                <w:color w:val="auto"/>
                <w:szCs w:val="21"/>
              </w:rPr>
              <w:t>℃</w:t>
            </w:r>
          </w:p>
        </w:tc>
      </w:tr>
      <w:tr w14:paraId="11039C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295" w:type="pct"/>
            <w:vMerge w:val="restart"/>
            <w:shd w:val="clear" w:color="auto" w:fill="auto"/>
            <w:vAlign w:val="center"/>
          </w:tcPr>
          <w:p w14:paraId="33FE504F">
            <w:pPr>
              <w:adjustRightInd w:val="0"/>
              <w:snapToGrid w:val="0"/>
              <w:spacing w:line="320" w:lineRule="exact"/>
              <w:jc w:val="center"/>
              <w:rPr>
                <w:rFonts w:hint="default" w:eastAsia="仿宋_GB2312"/>
                <w:b/>
                <w:bCs/>
                <w:color w:val="auto"/>
                <w:szCs w:val="21"/>
                <w:lang w:val="en-US" w:eastAsia="zh-CN"/>
              </w:rPr>
            </w:pPr>
            <w:r>
              <w:rPr>
                <w:rFonts w:hint="eastAsia" w:eastAsia="仿宋_GB2312"/>
                <w:color w:val="auto"/>
                <w:szCs w:val="21"/>
                <w:lang w:val="en-US" w:eastAsia="zh-CN"/>
              </w:rPr>
              <w:t>DA002</w:t>
            </w:r>
          </w:p>
        </w:tc>
        <w:tc>
          <w:tcPr>
            <w:tcW w:w="375" w:type="pct"/>
            <w:vMerge w:val="restart"/>
            <w:shd w:val="clear" w:color="auto" w:fill="auto"/>
            <w:vAlign w:val="center"/>
          </w:tcPr>
          <w:p w14:paraId="3E5BA38B">
            <w:pPr>
              <w:adjustRightInd w:val="0"/>
              <w:snapToGrid w:val="0"/>
              <w:spacing w:line="320" w:lineRule="exact"/>
              <w:jc w:val="center"/>
              <w:rPr>
                <w:rFonts w:eastAsia="仿宋_GB2312"/>
                <w:b/>
                <w:bCs/>
                <w:color w:val="auto"/>
                <w:szCs w:val="21"/>
              </w:rPr>
            </w:pPr>
            <w:r>
              <w:rPr>
                <w:rFonts w:eastAsia="仿宋_GB2312"/>
                <w:color w:val="auto"/>
                <w:szCs w:val="21"/>
              </w:rPr>
              <w:t>79000</w:t>
            </w:r>
          </w:p>
        </w:tc>
        <w:tc>
          <w:tcPr>
            <w:tcW w:w="396" w:type="pct"/>
            <w:shd w:val="clear" w:color="auto" w:fill="auto"/>
            <w:vAlign w:val="center"/>
          </w:tcPr>
          <w:p w14:paraId="5C9DD1DA">
            <w:pPr>
              <w:adjustRightInd w:val="0"/>
              <w:snapToGrid w:val="0"/>
              <w:spacing w:line="320" w:lineRule="exact"/>
              <w:jc w:val="center"/>
              <w:rPr>
                <w:rFonts w:eastAsia="仿宋_GB2312"/>
                <w:color w:val="auto"/>
                <w:szCs w:val="21"/>
              </w:rPr>
            </w:pPr>
            <w:r>
              <w:rPr>
                <w:rFonts w:eastAsia="仿宋_GB2312"/>
                <w:color w:val="auto"/>
                <w:szCs w:val="21"/>
              </w:rPr>
              <w:t>NMP</w:t>
            </w:r>
          </w:p>
        </w:tc>
        <w:tc>
          <w:tcPr>
            <w:tcW w:w="338" w:type="pct"/>
            <w:shd w:val="clear" w:color="auto" w:fill="auto"/>
            <w:vAlign w:val="center"/>
          </w:tcPr>
          <w:p w14:paraId="2D88878A">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88.23</w:t>
            </w:r>
          </w:p>
        </w:tc>
        <w:tc>
          <w:tcPr>
            <w:tcW w:w="283" w:type="pct"/>
            <w:shd w:val="clear" w:color="auto" w:fill="auto"/>
            <w:vAlign w:val="center"/>
          </w:tcPr>
          <w:p w14:paraId="69C48FD3">
            <w:pPr>
              <w:adjustRightInd w:val="0"/>
              <w:snapToGrid w:val="0"/>
              <w:spacing w:line="320" w:lineRule="exact"/>
              <w:jc w:val="center"/>
              <w:rPr>
                <w:rFonts w:hint="default" w:eastAsia="等线"/>
                <w:color w:val="auto"/>
                <w:szCs w:val="21"/>
                <w:lang w:val="en-US" w:eastAsia="zh-CN"/>
              </w:rPr>
            </w:pPr>
            <w:r>
              <w:rPr>
                <w:rFonts w:hint="eastAsia" w:eastAsia="等线"/>
                <w:color w:val="auto"/>
                <w:szCs w:val="21"/>
                <w:lang w:val="en-US" w:eastAsia="zh-CN"/>
              </w:rPr>
              <w:t>6.97</w:t>
            </w:r>
          </w:p>
        </w:tc>
        <w:tc>
          <w:tcPr>
            <w:tcW w:w="338" w:type="pct"/>
            <w:shd w:val="clear" w:color="auto" w:fill="auto"/>
            <w:vAlign w:val="center"/>
          </w:tcPr>
          <w:p w14:paraId="34CE7190">
            <w:pPr>
              <w:adjustRightInd w:val="0"/>
              <w:snapToGrid w:val="0"/>
              <w:spacing w:line="320" w:lineRule="exact"/>
              <w:jc w:val="center"/>
              <w:rPr>
                <w:rFonts w:hint="default" w:eastAsia="等线"/>
                <w:color w:val="auto"/>
                <w:szCs w:val="21"/>
                <w:lang w:val="en-US" w:eastAsia="zh-CN"/>
              </w:rPr>
            </w:pPr>
            <w:r>
              <w:rPr>
                <w:rFonts w:hint="eastAsia" w:eastAsia="等线"/>
                <w:color w:val="auto"/>
                <w:szCs w:val="21"/>
                <w:lang w:val="en-US" w:eastAsia="zh-CN"/>
              </w:rPr>
              <w:t>13.494</w:t>
            </w:r>
          </w:p>
        </w:tc>
        <w:tc>
          <w:tcPr>
            <w:tcW w:w="534" w:type="pct"/>
            <w:vMerge w:val="restart"/>
            <w:shd w:val="clear" w:color="auto" w:fill="auto"/>
            <w:vAlign w:val="center"/>
          </w:tcPr>
          <w:p w14:paraId="6EE767F8">
            <w:pPr>
              <w:adjustRightInd w:val="0"/>
              <w:snapToGrid w:val="0"/>
              <w:spacing w:line="320" w:lineRule="exact"/>
              <w:jc w:val="center"/>
              <w:rPr>
                <w:rFonts w:eastAsia="仿宋_GB2312"/>
                <w:b/>
                <w:bCs/>
                <w:color w:val="FF0000"/>
                <w:szCs w:val="21"/>
              </w:rPr>
            </w:pPr>
            <w:r>
              <w:rPr>
                <w:rFonts w:hint="eastAsia" w:eastAsia="仿宋_GB2312" w:cs="Times New Roman"/>
                <w:color w:val="auto"/>
                <w:szCs w:val="21"/>
                <w:lang w:val="en-US" w:eastAsia="zh-CN"/>
              </w:rPr>
              <w:t>预处理（</w:t>
            </w:r>
            <w:r>
              <w:rPr>
                <w:rFonts w:hint="eastAsia" w:ascii="Times New Roman" w:hAnsi="Times New Roman" w:eastAsia="仿宋_GB2312" w:cs="Times New Roman"/>
                <w:color w:val="auto"/>
                <w:szCs w:val="21"/>
                <w:lang w:val="en-US" w:eastAsia="zh-CN"/>
              </w:rPr>
              <w:t>冷凝+稀酸吸收+碱吸收+水吸收+除雾</w:t>
            </w:r>
            <w:r>
              <w:rPr>
                <w:rFonts w:hint="eastAsia" w:eastAsia="仿宋_GB2312" w:cs="Times New Roman"/>
                <w:color w:val="auto"/>
                <w:szCs w:val="21"/>
                <w:lang w:val="en-US" w:eastAsia="zh-CN"/>
              </w:rPr>
              <w:t>）+</w:t>
            </w:r>
            <w:r>
              <w:rPr>
                <w:rFonts w:eastAsia="仿宋_GB2312"/>
                <w:color w:val="auto"/>
                <w:szCs w:val="21"/>
              </w:rPr>
              <w:t>焚烧</w:t>
            </w:r>
          </w:p>
        </w:tc>
        <w:tc>
          <w:tcPr>
            <w:tcW w:w="291" w:type="pct"/>
            <w:shd w:val="clear" w:color="auto" w:fill="auto"/>
            <w:vAlign w:val="center"/>
          </w:tcPr>
          <w:p w14:paraId="3E8C79F3">
            <w:pPr>
              <w:adjustRightInd w:val="0"/>
              <w:snapToGrid w:val="0"/>
              <w:spacing w:line="320" w:lineRule="exact"/>
              <w:jc w:val="center"/>
              <w:rPr>
                <w:rFonts w:hint="default" w:ascii="Times New Roman" w:hAnsi="Times New Roman" w:eastAsia="等线" w:cs="Times New Roman"/>
                <w:color w:val="auto"/>
                <w:kern w:val="2"/>
                <w:sz w:val="21"/>
                <w:szCs w:val="21"/>
                <w:lang w:val="en-US" w:eastAsia="zh-CN" w:bidi="ar-SA"/>
              </w:rPr>
            </w:pPr>
            <w:r>
              <w:rPr>
                <w:rFonts w:eastAsia="等线"/>
                <w:color w:val="auto"/>
                <w:szCs w:val="21"/>
              </w:rPr>
              <w:t>99</w:t>
            </w:r>
          </w:p>
        </w:tc>
        <w:tc>
          <w:tcPr>
            <w:tcW w:w="291" w:type="pct"/>
            <w:shd w:val="clear" w:color="auto" w:fill="auto"/>
            <w:vAlign w:val="center"/>
          </w:tcPr>
          <w:p w14:paraId="2E2F25A3">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0.88</w:t>
            </w:r>
          </w:p>
        </w:tc>
        <w:tc>
          <w:tcPr>
            <w:tcW w:w="297" w:type="pct"/>
            <w:shd w:val="clear" w:color="auto" w:fill="auto"/>
            <w:vAlign w:val="center"/>
          </w:tcPr>
          <w:p w14:paraId="61C3A731">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0.07</w:t>
            </w:r>
          </w:p>
        </w:tc>
        <w:tc>
          <w:tcPr>
            <w:tcW w:w="341" w:type="pct"/>
            <w:shd w:val="clear" w:color="auto" w:fill="auto"/>
            <w:vAlign w:val="center"/>
          </w:tcPr>
          <w:p w14:paraId="29F1FFDC">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0.13</w:t>
            </w:r>
          </w:p>
        </w:tc>
        <w:tc>
          <w:tcPr>
            <w:tcW w:w="328" w:type="pct"/>
            <w:shd w:val="clear" w:color="auto" w:fill="auto"/>
            <w:vAlign w:val="center"/>
          </w:tcPr>
          <w:p w14:paraId="43F15478">
            <w:pPr>
              <w:adjustRightInd w:val="0"/>
              <w:snapToGrid w:val="0"/>
              <w:spacing w:line="320" w:lineRule="exact"/>
              <w:jc w:val="center"/>
              <w:rPr>
                <w:rFonts w:eastAsia="仿宋_GB2312"/>
                <w:bCs/>
                <w:color w:val="auto"/>
                <w:szCs w:val="21"/>
              </w:rPr>
            </w:pPr>
            <w:r>
              <w:rPr>
                <w:rFonts w:eastAsia="仿宋_GB2312"/>
                <w:b/>
                <w:bCs/>
                <w:color w:val="auto"/>
                <w:szCs w:val="21"/>
              </w:rPr>
              <w:t>/</w:t>
            </w:r>
          </w:p>
        </w:tc>
        <w:tc>
          <w:tcPr>
            <w:tcW w:w="300" w:type="pct"/>
            <w:shd w:val="clear" w:color="auto" w:fill="auto"/>
            <w:vAlign w:val="center"/>
          </w:tcPr>
          <w:p w14:paraId="1C424641">
            <w:pPr>
              <w:adjustRightInd w:val="0"/>
              <w:snapToGrid w:val="0"/>
              <w:spacing w:line="320" w:lineRule="exact"/>
              <w:jc w:val="center"/>
              <w:rPr>
                <w:rFonts w:eastAsia="仿宋_GB2312"/>
                <w:b/>
                <w:bCs/>
                <w:color w:val="auto"/>
                <w:szCs w:val="21"/>
              </w:rPr>
            </w:pPr>
            <w:r>
              <w:rPr>
                <w:rFonts w:eastAsia="仿宋_GB2312"/>
                <w:b/>
                <w:bCs/>
                <w:color w:val="auto"/>
                <w:szCs w:val="21"/>
              </w:rPr>
              <w:t>/</w:t>
            </w:r>
          </w:p>
        </w:tc>
        <w:tc>
          <w:tcPr>
            <w:tcW w:w="197" w:type="pct"/>
            <w:vMerge w:val="restart"/>
            <w:shd w:val="clear" w:color="auto" w:fill="auto"/>
            <w:vAlign w:val="center"/>
          </w:tcPr>
          <w:p w14:paraId="358DEA1B">
            <w:pPr>
              <w:adjustRightInd w:val="0"/>
              <w:snapToGrid w:val="0"/>
              <w:spacing w:line="320" w:lineRule="exact"/>
              <w:jc w:val="center"/>
              <w:rPr>
                <w:rFonts w:eastAsia="仿宋_GB2312"/>
                <w:b/>
                <w:bCs/>
                <w:color w:val="auto"/>
                <w:szCs w:val="21"/>
              </w:rPr>
            </w:pPr>
            <w:r>
              <w:rPr>
                <w:rFonts w:eastAsia="仿宋_GB2312"/>
                <w:bCs/>
                <w:color w:val="auto"/>
                <w:szCs w:val="21"/>
              </w:rPr>
              <w:t>50</w:t>
            </w:r>
          </w:p>
        </w:tc>
        <w:tc>
          <w:tcPr>
            <w:tcW w:w="195" w:type="pct"/>
            <w:vMerge w:val="restart"/>
            <w:shd w:val="clear" w:color="auto" w:fill="auto"/>
            <w:vAlign w:val="center"/>
          </w:tcPr>
          <w:p w14:paraId="205AD405">
            <w:pPr>
              <w:adjustRightInd w:val="0"/>
              <w:snapToGrid w:val="0"/>
              <w:spacing w:line="320" w:lineRule="exact"/>
              <w:jc w:val="center"/>
              <w:rPr>
                <w:rFonts w:hint="default" w:eastAsia="仿宋_GB2312"/>
                <w:b/>
                <w:bCs/>
                <w:color w:val="auto"/>
                <w:szCs w:val="21"/>
                <w:lang w:val="en-US" w:eastAsia="zh-CN"/>
              </w:rPr>
            </w:pPr>
            <w:r>
              <w:rPr>
                <w:rFonts w:hint="eastAsia" w:eastAsia="仿宋_GB2312"/>
                <w:bCs/>
                <w:color w:val="auto"/>
                <w:szCs w:val="21"/>
                <w:lang w:val="en-US" w:eastAsia="zh-CN"/>
              </w:rPr>
              <w:t>1.8</w:t>
            </w:r>
          </w:p>
        </w:tc>
        <w:tc>
          <w:tcPr>
            <w:tcW w:w="193" w:type="pct"/>
            <w:vMerge w:val="restart"/>
            <w:shd w:val="clear" w:color="auto" w:fill="auto"/>
            <w:vAlign w:val="center"/>
          </w:tcPr>
          <w:p w14:paraId="57847EDC">
            <w:pPr>
              <w:adjustRightInd w:val="0"/>
              <w:snapToGrid w:val="0"/>
              <w:spacing w:line="320" w:lineRule="exact"/>
              <w:jc w:val="center"/>
              <w:rPr>
                <w:rFonts w:eastAsia="仿宋_GB2312"/>
                <w:b/>
                <w:bCs/>
                <w:color w:val="auto"/>
                <w:szCs w:val="21"/>
              </w:rPr>
            </w:pPr>
            <w:r>
              <w:rPr>
                <w:rFonts w:hint="eastAsia" w:eastAsia="仿宋_GB2312"/>
                <w:bCs/>
                <w:color w:val="auto"/>
                <w:szCs w:val="21"/>
                <w:lang w:val="en-US" w:eastAsia="zh-CN"/>
              </w:rPr>
              <w:t>11</w:t>
            </w:r>
            <w:r>
              <w:rPr>
                <w:rFonts w:eastAsia="仿宋_GB2312"/>
                <w:bCs/>
                <w:color w:val="auto"/>
                <w:szCs w:val="21"/>
              </w:rPr>
              <w:t>0</w:t>
            </w:r>
          </w:p>
        </w:tc>
      </w:tr>
      <w:tr w14:paraId="551707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295" w:type="pct"/>
            <w:vMerge w:val="continue"/>
            <w:shd w:val="clear" w:color="auto" w:fill="auto"/>
            <w:vAlign w:val="center"/>
          </w:tcPr>
          <w:p w14:paraId="52A55CB7">
            <w:pPr>
              <w:adjustRightInd w:val="0"/>
              <w:snapToGrid w:val="0"/>
              <w:spacing w:line="320" w:lineRule="exact"/>
              <w:jc w:val="center"/>
              <w:rPr>
                <w:rFonts w:eastAsia="仿宋_GB2312"/>
                <w:b/>
                <w:bCs/>
                <w:color w:val="FF0000"/>
                <w:szCs w:val="21"/>
              </w:rPr>
            </w:pPr>
          </w:p>
        </w:tc>
        <w:tc>
          <w:tcPr>
            <w:tcW w:w="375" w:type="pct"/>
            <w:vMerge w:val="continue"/>
            <w:shd w:val="clear" w:color="auto" w:fill="auto"/>
            <w:vAlign w:val="center"/>
          </w:tcPr>
          <w:p w14:paraId="2CE2CC8C">
            <w:pPr>
              <w:adjustRightInd w:val="0"/>
              <w:snapToGrid w:val="0"/>
              <w:spacing w:line="320" w:lineRule="exact"/>
              <w:jc w:val="center"/>
              <w:rPr>
                <w:rFonts w:eastAsia="仿宋_GB2312"/>
                <w:b/>
                <w:bCs/>
                <w:color w:val="FF0000"/>
                <w:szCs w:val="21"/>
              </w:rPr>
            </w:pPr>
          </w:p>
        </w:tc>
        <w:tc>
          <w:tcPr>
            <w:tcW w:w="396" w:type="pct"/>
            <w:shd w:val="clear" w:color="auto" w:fill="auto"/>
            <w:vAlign w:val="center"/>
          </w:tcPr>
          <w:p w14:paraId="13CDD833">
            <w:pPr>
              <w:adjustRightInd w:val="0"/>
              <w:snapToGrid w:val="0"/>
              <w:spacing w:line="320" w:lineRule="exact"/>
              <w:jc w:val="center"/>
              <w:rPr>
                <w:rFonts w:eastAsia="仿宋_GB2312"/>
                <w:b/>
                <w:bCs/>
                <w:color w:val="auto"/>
                <w:szCs w:val="21"/>
              </w:rPr>
            </w:pPr>
            <w:r>
              <w:rPr>
                <w:rFonts w:eastAsia="仿宋_GB2312"/>
                <w:color w:val="auto"/>
                <w:szCs w:val="21"/>
              </w:rPr>
              <w:t>异丙醇</w:t>
            </w:r>
          </w:p>
        </w:tc>
        <w:tc>
          <w:tcPr>
            <w:tcW w:w="338" w:type="pct"/>
            <w:shd w:val="clear" w:color="auto" w:fill="auto"/>
            <w:vAlign w:val="center"/>
          </w:tcPr>
          <w:p w14:paraId="5AEBDEFD">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56.84</w:t>
            </w:r>
          </w:p>
        </w:tc>
        <w:tc>
          <w:tcPr>
            <w:tcW w:w="283" w:type="pct"/>
            <w:shd w:val="clear" w:color="auto" w:fill="auto"/>
            <w:vAlign w:val="center"/>
          </w:tcPr>
          <w:p w14:paraId="25D66E2C">
            <w:pPr>
              <w:adjustRightInd w:val="0"/>
              <w:snapToGrid w:val="0"/>
              <w:spacing w:line="320" w:lineRule="exact"/>
              <w:jc w:val="center"/>
              <w:rPr>
                <w:rFonts w:hint="default" w:eastAsia="等线"/>
                <w:color w:val="auto"/>
                <w:szCs w:val="21"/>
                <w:lang w:val="en-US" w:eastAsia="zh-CN"/>
              </w:rPr>
            </w:pPr>
            <w:r>
              <w:rPr>
                <w:rFonts w:hint="eastAsia" w:eastAsia="等线"/>
                <w:color w:val="auto"/>
                <w:szCs w:val="21"/>
                <w:lang w:val="en-US" w:eastAsia="zh-CN"/>
              </w:rPr>
              <w:t>4.49</w:t>
            </w:r>
          </w:p>
        </w:tc>
        <w:tc>
          <w:tcPr>
            <w:tcW w:w="338" w:type="pct"/>
            <w:shd w:val="clear" w:color="auto" w:fill="auto"/>
            <w:vAlign w:val="center"/>
          </w:tcPr>
          <w:p w14:paraId="2E4D54CB">
            <w:pPr>
              <w:adjustRightInd w:val="0"/>
              <w:snapToGrid w:val="0"/>
              <w:spacing w:line="320" w:lineRule="exact"/>
              <w:jc w:val="center"/>
              <w:rPr>
                <w:rFonts w:hint="default" w:eastAsia="等线"/>
                <w:color w:val="auto"/>
                <w:szCs w:val="21"/>
                <w:lang w:val="en-US" w:eastAsia="zh-CN"/>
              </w:rPr>
            </w:pPr>
            <w:r>
              <w:rPr>
                <w:rFonts w:hint="eastAsia" w:eastAsia="等线"/>
                <w:color w:val="auto"/>
                <w:szCs w:val="21"/>
                <w:lang w:val="en-US" w:eastAsia="zh-CN"/>
              </w:rPr>
              <w:t>20.797</w:t>
            </w:r>
          </w:p>
        </w:tc>
        <w:tc>
          <w:tcPr>
            <w:tcW w:w="534" w:type="pct"/>
            <w:vMerge w:val="continue"/>
            <w:shd w:val="clear" w:color="auto" w:fill="auto"/>
            <w:vAlign w:val="center"/>
          </w:tcPr>
          <w:p w14:paraId="67BABC2C">
            <w:pPr>
              <w:adjustRightInd w:val="0"/>
              <w:snapToGrid w:val="0"/>
              <w:spacing w:line="320" w:lineRule="exact"/>
              <w:jc w:val="center"/>
              <w:rPr>
                <w:rFonts w:eastAsia="仿宋_GB2312"/>
                <w:b/>
                <w:bCs/>
                <w:color w:val="FF0000"/>
                <w:szCs w:val="21"/>
              </w:rPr>
            </w:pPr>
          </w:p>
        </w:tc>
        <w:tc>
          <w:tcPr>
            <w:tcW w:w="291" w:type="pct"/>
            <w:shd w:val="clear" w:color="auto" w:fill="auto"/>
            <w:vAlign w:val="center"/>
          </w:tcPr>
          <w:p w14:paraId="01D1C851">
            <w:pPr>
              <w:adjustRightInd w:val="0"/>
              <w:snapToGrid w:val="0"/>
              <w:spacing w:line="320" w:lineRule="exact"/>
              <w:jc w:val="center"/>
              <w:rPr>
                <w:rFonts w:ascii="Times New Roman" w:hAnsi="Times New Roman" w:eastAsia="等线" w:cs="Times New Roman"/>
                <w:color w:val="auto"/>
                <w:kern w:val="2"/>
                <w:sz w:val="21"/>
                <w:szCs w:val="21"/>
                <w:lang w:val="en-US" w:eastAsia="zh-CN" w:bidi="ar-SA"/>
              </w:rPr>
            </w:pPr>
            <w:r>
              <w:rPr>
                <w:rFonts w:eastAsia="等线"/>
                <w:color w:val="auto"/>
                <w:szCs w:val="21"/>
              </w:rPr>
              <w:t>99</w:t>
            </w:r>
          </w:p>
        </w:tc>
        <w:tc>
          <w:tcPr>
            <w:tcW w:w="291" w:type="pct"/>
            <w:shd w:val="clear" w:color="auto" w:fill="auto"/>
            <w:vAlign w:val="center"/>
          </w:tcPr>
          <w:p w14:paraId="67FE8737">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0.57</w:t>
            </w:r>
          </w:p>
        </w:tc>
        <w:tc>
          <w:tcPr>
            <w:tcW w:w="297" w:type="pct"/>
            <w:shd w:val="clear" w:color="auto" w:fill="auto"/>
            <w:vAlign w:val="center"/>
          </w:tcPr>
          <w:p w14:paraId="2A96473D">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0.04</w:t>
            </w:r>
          </w:p>
        </w:tc>
        <w:tc>
          <w:tcPr>
            <w:tcW w:w="341" w:type="pct"/>
            <w:shd w:val="clear" w:color="auto" w:fill="auto"/>
            <w:vAlign w:val="center"/>
          </w:tcPr>
          <w:p w14:paraId="6237BC1C">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0.21</w:t>
            </w:r>
          </w:p>
        </w:tc>
        <w:tc>
          <w:tcPr>
            <w:tcW w:w="328" w:type="pct"/>
            <w:shd w:val="clear" w:color="auto" w:fill="auto"/>
            <w:vAlign w:val="center"/>
          </w:tcPr>
          <w:p w14:paraId="0F386CEB">
            <w:pPr>
              <w:adjustRightInd w:val="0"/>
              <w:snapToGrid w:val="0"/>
              <w:spacing w:line="320" w:lineRule="exact"/>
              <w:jc w:val="center"/>
              <w:rPr>
                <w:rFonts w:eastAsia="仿宋_GB2312"/>
                <w:b/>
                <w:bCs/>
                <w:color w:val="auto"/>
                <w:szCs w:val="21"/>
              </w:rPr>
            </w:pPr>
            <w:r>
              <w:rPr>
                <w:rFonts w:eastAsia="仿宋_GB2312"/>
                <w:b/>
                <w:bCs/>
                <w:color w:val="auto"/>
                <w:szCs w:val="21"/>
              </w:rPr>
              <w:t>/</w:t>
            </w:r>
          </w:p>
        </w:tc>
        <w:tc>
          <w:tcPr>
            <w:tcW w:w="300" w:type="pct"/>
            <w:shd w:val="clear" w:color="auto" w:fill="auto"/>
            <w:vAlign w:val="center"/>
          </w:tcPr>
          <w:p w14:paraId="02B738AF">
            <w:pPr>
              <w:adjustRightInd w:val="0"/>
              <w:snapToGrid w:val="0"/>
              <w:spacing w:line="320" w:lineRule="exact"/>
              <w:jc w:val="center"/>
              <w:rPr>
                <w:rFonts w:eastAsia="仿宋_GB2312"/>
                <w:b/>
                <w:bCs/>
                <w:color w:val="auto"/>
                <w:szCs w:val="21"/>
              </w:rPr>
            </w:pPr>
            <w:r>
              <w:rPr>
                <w:rFonts w:eastAsia="仿宋_GB2312"/>
                <w:b/>
                <w:bCs/>
                <w:color w:val="auto"/>
                <w:szCs w:val="21"/>
              </w:rPr>
              <w:t>/</w:t>
            </w:r>
          </w:p>
        </w:tc>
        <w:tc>
          <w:tcPr>
            <w:tcW w:w="197" w:type="pct"/>
            <w:vMerge w:val="continue"/>
            <w:shd w:val="clear" w:color="auto" w:fill="auto"/>
            <w:vAlign w:val="center"/>
          </w:tcPr>
          <w:p w14:paraId="4A0645B9">
            <w:pPr>
              <w:adjustRightInd w:val="0"/>
              <w:snapToGrid w:val="0"/>
              <w:spacing w:line="320" w:lineRule="exact"/>
              <w:jc w:val="center"/>
              <w:rPr>
                <w:rFonts w:eastAsia="仿宋_GB2312"/>
                <w:b/>
                <w:bCs/>
                <w:color w:val="FF0000"/>
                <w:szCs w:val="21"/>
              </w:rPr>
            </w:pPr>
          </w:p>
        </w:tc>
        <w:tc>
          <w:tcPr>
            <w:tcW w:w="195" w:type="pct"/>
            <w:vMerge w:val="continue"/>
            <w:shd w:val="clear" w:color="auto" w:fill="auto"/>
            <w:vAlign w:val="center"/>
          </w:tcPr>
          <w:p w14:paraId="6DADB43B">
            <w:pPr>
              <w:adjustRightInd w:val="0"/>
              <w:snapToGrid w:val="0"/>
              <w:spacing w:line="320" w:lineRule="exact"/>
              <w:jc w:val="center"/>
              <w:rPr>
                <w:rFonts w:eastAsia="仿宋_GB2312"/>
                <w:b/>
                <w:bCs/>
                <w:color w:val="FF0000"/>
                <w:szCs w:val="21"/>
              </w:rPr>
            </w:pPr>
          </w:p>
        </w:tc>
        <w:tc>
          <w:tcPr>
            <w:tcW w:w="193" w:type="pct"/>
            <w:vMerge w:val="continue"/>
            <w:shd w:val="clear" w:color="auto" w:fill="auto"/>
            <w:vAlign w:val="center"/>
          </w:tcPr>
          <w:p w14:paraId="3BE82D1A">
            <w:pPr>
              <w:adjustRightInd w:val="0"/>
              <w:snapToGrid w:val="0"/>
              <w:spacing w:line="320" w:lineRule="exact"/>
              <w:jc w:val="center"/>
              <w:rPr>
                <w:rFonts w:eastAsia="仿宋_GB2312"/>
                <w:b/>
                <w:bCs/>
                <w:color w:val="FF0000"/>
                <w:szCs w:val="21"/>
              </w:rPr>
            </w:pPr>
          </w:p>
        </w:tc>
      </w:tr>
      <w:tr w14:paraId="180E8B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295" w:type="pct"/>
            <w:vMerge w:val="continue"/>
            <w:shd w:val="clear" w:color="auto" w:fill="auto"/>
            <w:vAlign w:val="center"/>
          </w:tcPr>
          <w:p w14:paraId="6F7657EF">
            <w:pPr>
              <w:adjustRightInd w:val="0"/>
              <w:snapToGrid w:val="0"/>
              <w:spacing w:line="320" w:lineRule="exact"/>
              <w:jc w:val="center"/>
              <w:rPr>
                <w:rFonts w:eastAsia="仿宋_GB2312"/>
                <w:b/>
                <w:bCs/>
                <w:color w:val="FF0000"/>
                <w:szCs w:val="21"/>
              </w:rPr>
            </w:pPr>
          </w:p>
        </w:tc>
        <w:tc>
          <w:tcPr>
            <w:tcW w:w="375" w:type="pct"/>
            <w:vMerge w:val="continue"/>
            <w:shd w:val="clear" w:color="auto" w:fill="auto"/>
            <w:vAlign w:val="center"/>
          </w:tcPr>
          <w:p w14:paraId="2A186057">
            <w:pPr>
              <w:adjustRightInd w:val="0"/>
              <w:snapToGrid w:val="0"/>
              <w:spacing w:line="320" w:lineRule="exact"/>
              <w:jc w:val="center"/>
              <w:rPr>
                <w:rFonts w:eastAsia="仿宋_GB2312"/>
                <w:b/>
                <w:bCs/>
                <w:color w:val="FF0000"/>
                <w:szCs w:val="21"/>
              </w:rPr>
            </w:pPr>
          </w:p>
        </w:tc>
        <w:tc>
          <w:tcPr>
            <w:tcW w:w="396" w:type="pct"/>
            <w:shd w:val="clear" w:color="auto" w:fill="auto"/>
            <w:vAlign w:val="center"/>
          </w:tcPr>
          <w:p w14:paraId="0434AE78">
            <w:pPr>
              <w:adjustRightInd w:val="0"/>
              <w:snapToGrid w:val="0"/>
              <w:spacing w:line="320" w:lineRule="exact"/>
              <w:jc w:val="center"/>
              <w:rPr>
                <w:rFonts w:eastAsia="仿宋_GB2312"/>
                <w:b/>
                <w:bCs/>
                <w:color w:val="auto"/>
                <w:szCs w:val="21"/>
              </w:rPr>
            </w:pPr>
            <w:r>
              <w:rPr>
                <w:rFonts w:eastAsia="仿宋_GB2312"/>
                <w:color w:val="auto"/>
                <w:szCs w:val="21"/>
              </w:rPr>
              <w:t>丁酮</w:t>
            </w:r>
          </w:p>
        </w:tc>
        <w:tc>
          <w:tcPr>
            <w:tcW w:w="338" w:type="pct"/>
            <w:shd w:val="clear" w:color="auto" w:fill="auto"/>
            <w:vAlign w:val="center"/>
          </w:tcPr>
          <w:p w14:paraId="7415E24B">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1016.71</w:t>
            </w:r>
          </w:p>
        </w:tc>
        <w:tc>
          <w:tcPr>
            <w:tcW w:w="283" w:type="pct"/>
            <w:shd w:val="clear" w:color="auto" w:fill="auto"/>
            <w:vAlign w:val="center"/>
          </w:tcPr>
          <w:p w14:paraId="06975A00">
            <w:pPr>
              <w:adjustRightInd w:val="0"/>
              <w:snapToGrid w:val="0"/>
              <w:spacing w:line="320" w:lineRule="exact"/>
              <w:jc w:val="center"/>
              <w:rPr>
                <w:rFonts w:hint="default" w:eastAsia="等线"/>
                <w:color w:val="auto"/>
                <w:szCs w:val="21"/>
                <w:lang w:val="en-US" w:eastAsia="zh-CN"/>
              </w:rPr>
            </w:pPr>
            <w:r>
              <w:rPr>
                <w:rFonts w:hint="eastAsia" w:eastAsia="等线"/>
                <w:color w:val="auto"/>
                <w:szCs w:val="21"/>
                <w:lang w:val="en-US" w:eastAsia="zh-CN"/>
              </w:rPr>
              <w:t>80.32</w:t>
            </w:r>
          </w:p>
        </w:tc>
        <w:tc>
          <w:tcPr>
            <w:tcW w:w="338" w:type="pct"/>
            <w:shd w:val="clear" w:color="auto" w:fill="auto"/>
            <w:vAlign w:val="center"/>
          </w:tcPr>
          <w:p w14:paraId="77646420">
            <w:pPr>
              <w:adjustRightInd w:val="0"/>
              <w:snapToGrid w:val="0"/>
              <w:spacing w:line="320" w:lineRule="exact"/>
              <w:jc w:val="center"/>
              <w:rPr>
                <w:rFonts w:hint="default" w:eastAsia="等线"/>
                <w:color w:val="auto"/>
                <w:szCs w:val="21"/>
                <w:lang w:val="en-US" w:eastAsia="zh-CN"/>
              </w:rPr>
            </w:pPr>
            <w:r>
              <w:rPr>
                <w:rFonts w:hint="eastAsia" w:eastAsia="等线"/>
                <w:color w:val="auto"/>
                <w:szCs w:val="21"/>
                <w:lang w:val="en-US" w:eastAsia="zh-CN"/>
              </w:rPr>
              <w:t>7.711</w:t>
            </w:r>
          </w:p>
        </w:tc>
        <w:tc>
          <w:tcPr>
            <w:tcW w:w="534" w:type="pct"/>
            <w:vMerge w:val="continue"/>
            <w:shd w:val="clear" w:color="auto" w:fill="auto"/>
            <w:vAlign w:val="center"/>
          </w:tcPr>
          <w:p w14:paraId="61620D51">
            <w:pPr>
              <w:adjustRightInd w:val="0"/>
              <w:snapToGrid w:val="0"/>
              <w:spacing w:line="320" w:lineRule="exact"/>
              <w:jc w:val="center"/>
              <w:rPr>
                <w:rFonts w:eastAsia="仿宋_GB2312"/>
                <w:b/>
                <w:bCs/>
                <w:color w:val="FF0000"/>
                <w:szCs w:val="21"/>
              </w:rPr>
            </w:pPr>
          </w:p>
        </w:tc>
        <w:tc>
          <w:tcPr>
            <w:tcW w:w="291" w:type="pct"/>
            <w:shd w:val="clear" w:color="auto" w:fill="auto"/>
            <w:vAlign w:val="center"/>
          </w:tcPr>
          <w:p w14:paraId="09A5D9A2">
            <w:pPr>
              <w:adjustRightInd w:val="0"/>
              <w:snapToGrid w:val="0"/>
              <w:spacing w:line="320" w:lineRule="exact"/>
              <w:jc w:val="center"/>
              <w:rPr>
                <w:rFonts w:ascii="Times New Roman" w:hAnsi="Times New Roman" w:eastAsia="等线" w:cs="Times New Roman"/>
                <w:color w:val="auto"/>
                <w:kern w:val="2"/>
                <w:sz w:val="21"/>
                <w:szCs w:val="21"/>
                <w:lang w:val="en-US" w:eastAsia="zh-CN" w:bidi="ar-SA"/>
              </w:rPr>
            </w:pPr>
            <w:r>
              <w:rPr>
                <w:rFonts w:eastAsia="等线"/>
                <w:color w:val="auto"/>
                <w:szCs w:val="21"/>
              </w:rPr>
              <w:t>99</w:t>
            </w:r>
          </w:p>
        </w:tc>
        <w:tc>
          <w:tcPr>
            <w:tcW w:w="291" w:type="pct"/>
            <w:shd w:val="clear" w:color="auto" w:fill="auto"/>
            <w:vAlign w:val="center"/>
          </w:tcPr>
          <w:p w14:paraId="3A9AE355">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10.17</w:t>
            </w:r>
          </w:p>
        </w:tc>
        <w:tc>
          <w:tcPr>
            <w:tcW w:w="297" w:type="pct"/>
            <w:shd w:val="clear" w:color="auto" w:fill="auto"/>
            <w:vAlign w:val="center"/>
          </w:tcPr>
          <w:p w14:paraId="631018A8">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0.80</w:t>
            </w:r>
          </w:p>
        </w:tc>
        <w:tc>
          <w:tcPr>
            <w:tcW w:w="341" w:type="pct"/>
            <w:shd w:val="clear" w:color="auto" w:fill="auto"/>
            <w:vAlign w:val="center"/>
          </w:tcPr>
          <w:p w14:paraId="7B8ECAA1">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0.08</w:t>
            </w:r>
          </w:p>
        </w:tc>
        <w:tc>
          <w:tcPr>
            <w:tcW w:w="328" w:type="pct"/>
            <w:shd w:val="clear" w:color="auto" w:fill="auto"/>
            <w:vAlign w:val="center"/>
          </w:tcPr>
          <w:p w14:paraId="30008E61">
            <w:pPr>
              <w:adjustRightInd w:val="0"/>
              <w:snapToGrid w:val="0"/>
              <w:spacing w:line="320" w:lineRule="exact"/>
              <w:jc w:val="center"/>
              <w:rPr>
                <w:rFonts w:eastAsia="仿宋_GB2312"/>
                <w:b/>
                <w:bCs/>
                <w:color w:val="auto"/>
                <w:szCs w:val="21"/>
              </w:rPr>
            </w:pPr>
            <w:r>
              <w:rPr>
                <w:rFonts w:eastAsia="仿宋_GB2312"/>
                <w:b/>
                <w:bCs/>
                <w:color w:val="auto"/>
                <w:szCs w:val="21"/>
              </w:rPr>
              <w:t>/</w:t>
            </w:r>
          </w:p>
        </w:tc>
        <w:tc>
          <w:tcPr>
            <w:tcW w:w="300" w:type="pct"/>
            <w:shd w:val="clear" w:color="auto" w:fill="auto"/>
            <w:vAlign w:val="center"/>
          </w:tcPr>
          <w:p w14:paraId="2062FDE0">
            <w:pPr>
              <w:adjustRightInd w:val="0"/>
              <w:snapToGrid w:val="0"/>
              <w:spacing w:line="320" w:lineRule="exact"/>
              <w:jc w:val="center"/>
              <w:rPr>
                <w:rFonts w:eastAsia="仿宋_GB2312"/>
                <w:b/>
                <w:bCs/>
                <w:color w:val="auto"/>
                <w:szCs w:val="21"/>
              </w:rPr>
            </w:pPr>
            <w:r>
              <w:rPr>
                <w:rFonts w:eastAsia="仿宋_GB2312"/>
                <w:b/>
                <w:bCs/>
                <w:color w:val="auto"/>
                <w:szCs w:val="21"/>
              </w:rPr>
              <w:t>/</w:t>
            </w:r>
          </w:p>
        </w:tc>
        <w:tc>
          <w:tcPr>
            <w:tcW w:w="197" w:type="pct"/>
            <w:vMerge w:val="continue"/>
            <w:shd w:val="clear" w:color="auto" w:fill="auto"/>
            <w:vAlign w:val="center"/>
          </w:tcPr>
          <w:p w14:paraId="10B23DAA">
            <w:pPr>
              <w:adjustRightInd w:val="0"/>
              <w:snapToGrid w:val="0"/>
              <w:spacing w:line="320" w:lineRule="exact"/>
              <w:jc w:val="center"/>
              <w:rPr>
                <w:rFonts w:eastAsia="仿宋_GB2312"/>
                <w:b/>
                <w:bCs/>
                <w:color w:val="FF0000"/>
                <w:szCs w:val="21"/>
              </w:rPr>
            </w:pPr>
          </w:p>
        </w:tc>
        <w:tc>
          <w:tcPr>
            <w:tcW w:w="195" w:type="pct"/>
            <w:vMerge w:val="continue"/>
            <w:shd w:val="clear" w:color="auto" w:fill="auto"/>
            <w:vAlign w:val="center"/>
          </w:tcPr>
          <w:p w14:paraId="20F45A95">
            <w:pPr>
              <w:adjustRightInd w:val="0"/>
              <w:snapToGrid w:val="0"/>
              <w:spacing w:line="320" w:lineRule="exact"/>
              <w:jc w:val="center"/>
              <w:rPr>
                <w:rFonts w:eastAsia="仿宋_GB2312"/>
                <w:b/>
                <w:bCs/>
                <w:color w:val="FF0000"/>
                <w:szCs w:val="21"/>
              </w:rPr>
            </w:pPr>
          </w:p>
        </w:tc>
        <w:tc>
          <w:tcPr>
            <w:tcW w:w="193" w:type="pct"/>
            <w:vMerge w:val="continue"/>
            <w:shd w:val="clear" w:color="auto" w:fill="auto"/>
            <w:vAlign w:val="center"/>
          </w:tcPr>
          <w:p w14:paraId="5943C5F7">
            <w:pPr>
              <w:adjustRightInd w:val="0"/>
              <w:snapToGrid w:val="0"/>
              <w:spacing w:line="320" w:lineRule="exact"/>
              <w:jc w:val="center"/>
              <w:rPr>
                <w:rFonts w:eastAsia="仿宋_GB2312"/>
                <w:b/>
                <w:bCs/>
                <w:color w:val="FF0000"/>
                <w:szCs w:val="21"/>
              </w:rPr>
            </w:pPr>
          </w:p>
        </w:tc>
      </w:tr>
      <w:tr w14:paraId="28DEB3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295" w:type="pct"/>
            <w:vMerge w:val="continue"/>
            <w:shd w:val="clear" w:color="auto" w:fill="auto"/>
            <w:vAlign w:val="center"/>
          </w:tcPr>
          <w:p w14:paraId="010FF689">
            <w:pPr>
              <w:adjustRightInd w:val="0"/>
              <w:snapToGrid w:val="0"/>
              <w:spacing w:line="320" w:lineRule="exact"/>
              <w:jc w:val="center"/>
              <w:rPr>
                <w:rFonts w:eastAsia="仿宋_GB2312"/>
                <w:b/>
                <w:bCs/>
                <w:color w:val="FF0000"/>
                <w:szCs w:val="21"/>
              </w:rPr>
            </w:pPr>
          </w:p>
        </w:tc>
        <w:tc>
          <w:tcPr>
            <w:tcW w:w="375" w:type="pct"/>
            <w:vMerge w:val="continue"/>
            <w:shd w:val="clear" w:color="auto" w:fill="auto"/>
            <w:vAlign w:val="center"/>
          </w:tcPr>
          <w:p w14:paraId="5C71A515">
            <w:pPr>
              <w:adjustRightInd w:val="0"/>
              <w:snapToGrid w:val="0"/>
              <w:spacing w:line="320" w:lineRule="exact"/>
              <w:jc w:val="center"/>
              <w:rPr>
                <w:rFonts w:eastAsia="仿宋_GB2312"/>
                <w:b/>
                <w:bCs/>
                <w:color w:val="FF0000"/>
                <w:szCs w:val="21"/>
              </w:rPr>
            </w:pPr>
          </w:p>
        </w:tc>
        <w:tc>
          <w:tcPr>
            <w:tcW w:w="396" w:type="pct"/>
            <w:shd w:val="clear" w:color="auto" w:fill="auto"/>
            <w:vAlign w:val="center"/>
          </w:tcPr>
          <w:p w14:paraId="0ED70321">
            <w:pPr>
              <w:adjustRightInd w:val="0"/>
              <w:snapToGrid w:val="0"/>
              <w:spacing w:line="320" w:lineRule="exact"/>
              <w:jc w:val="center"/>
              <w:rPr>
                <w:rFonts w:eastAsia="仿宋_GB2312"/>
                <w:b/>
                <w:bCs/>
                <w:color w:val="auto"/>
                <w:szCs w:val="21"/>
              </w:rPr>
            </w:pPr>
            <w:r>
              <w:rPr>
                <w:rFonts w:eastAsia="仿宋_GB2312"/>
                <w:color w:val="auto"/>
                <w:szCs w:val="21"/>
              </w:rPr>
              <w:t>乙醇</w:t>
            </w:r>
          </w:p>
        </w:tc>
        <w:tc>
          <w:tcPr>
            <w:tcW w:w="338" w:type="pct"/>
            <w:shd w:val="clear" w:color="auto" w:fill="auto"/>
            <w:vAlign w:val="center"/>
          </w:tcPr>
          <w:p w14:paraId="699FC886">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1037.97</w:t>
            </w:r>
          </w:p>
        </w:tc>
        <w:tc>
          <w:tcPr>
            <w:tcW w:w="283" w:type="pct"/>
            <w:shd w:val="clear" w:color="auto" w:fill="auto"/>
            <w:vAlign w:val="center"/>
          </w:tcPr>
          <w:p w14:paraId="31DCBE15">
            <w:pPr>
              <w:adjustRightInd w:val="0"/>
              <w:snapToGrid w:val="0"/>
              <w:spacing w:line="320" w:lineRule="exact"/>
              <w:jc w:val="center"/>
              <w:rPr>
                <w:rFonts w:hint="default" w:eastAsia="等线"/>
                <w:color w:val="auto"/>
                <w:szCs w:val="21"/>
                <w:lang w:val="en-US" w:eastAsia="zh-CN"/>
              </w:rPr>
            </w:pPr>
            <w:r>
              <w:rPr>
                <w:rFonts w:hint="eastAsia" w:eastAsia="等线"/>
                <w:color w:val="auto"/>
                <w:szCs w:val="21"/>
                <w:lang w:val="en-US" w:eastAsia="zh-CN"/>
              </w:rPr>
              <w:t>82</w:t>
            </w:r>
          </w:p>
        </w:tc>
        <w:tc>
          <w:tcPr>
            <w:tcW w:w="338" w:type="pct"/>
            <w:shd w:val="clear" w:color="auto" w:fill="auto"/>
            <w:vAlign w:val="center"/>
          </w:tcPr>
          <w:p w14:paraId="7C74F9B3">
            <w:pPr>
              <w:adjustRightInd w:val="0"/>
              <w:snapToGrid w:val="0"/>
              <w:spacing w:line="320" w:lineRule="exact"/>
              <w:jc w:val="center"/>
              <w:rPr>
                <w:rFonts w:hint="default" w:eastAsia="等线"/>
                <w:color w:val="auto"/>
                <w:szCs w:val="21"/>
                <w:lang w:val="en-US" w:eastAsia="zh-CN"/>
              </w:rPr>
            </w:pPr>
            <w:r>
              <w:rPr>
                <w:rFonts w:hint="eastAsia" w:eastAsia="等线"/>
                <w:color w:val="auto"/>
                <w:szCs w:val="21"/>
                <w:lang w:val="en-US" w:eastAsia="zh-CN"/>
              </w:rPr>
              <w:t>259.171</w:t>
            </w:r>
          </w:p>
        </w:tc>
        <w:tc>
          <w:tcPr>
            <w:tcW w:w="534" w:type="pct"/>
            <w:vMerge w:val="continue"/>
            <w:shd w:val="clear" w:color="auto" w:fill="auto"/>
            <w:vAlign w:val="center"/>
          </w:tcPr>
          <w:p w14:paraId="2E9C5292">
            <w:pPr>
              <w:adjustRightInd w:val="0"/>
              <w:snapToGrid w:val="0"/>
              <w:spacing w:line="320" w:lineRule="exact"/>
              <w:jc w:val="center"/>
              <w:rPr>
                <w:rFonts w:eastAsia="仿宋_GB2312"/>
                <w:b/>
                <w:bCs/>
                <w:color w:val="FF0000"/>
                <w:szCs w:val="21"/>
              </w:rPr>
            </w:pPr>
          </w:p>
        </w:tc>
        <w:tc>
          <w:tcPr>
            <w:tcW w:w="291" w:type="pct"/>
            <w:shd w:val="clear" w:color="auto" w:fill="auto"/>
            <w:vAlign w:val="center"/>
          </w:tcPr>
          <w:p w14:paraId="3E187F55">
            <w:pPr>
              <w:adjustRightInd w:val="0"/>
              <w:snapToGrid w:val="0"/>
              <w:spacing w:line="320" w:lineRule="exact"/>
              <w:jc w:val="center"/>
              <w:rPr>
                <w:rFonts w:hint="default" w:ascii="Times New Roman" w:hAnsi="Times New Roman" w:eastAsia="等线" w:cs="Times New Roman"/>
                <w:color w:val="auto"/>
                <w:kern w:val="2"/>
                <w:sz w:val="21"/>
                <w:szCs w:val="21"/>
                <w:lang w:val="en-US" w:eastAsia="zh-CN" w:bidi="ar-SA"/>
              </w:rPr>
            </w:pPr>
            <w:r>
              <w:rPr>
                <w:rFonts w:eastAsia="等线"/>
                <w:color w:val="auto"/>
                <w:szCs w:val="21"/>
              </w:rPr>
              <w:t>99</w:t>
            </w:r>
          </w:p>
        </w:tc>
        <w:tc>
          <w:tcPr>
            <w:tcW w:w="291" w:type="pct"/>
            <w:shd w:val="clear" w:color="auto" w:fill="auto"/>
            <w:vAlign w:val="center"/>
          </w:tcPr>
          <w:p w14:paraId="4CD9C6FB">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10.38</w:t>
            </w:r>
          </w:p>
        </w:tc>
        <w:tc>
          <w:tcPr>
            <w:tcW w:w="297" w:type="pct"/>
            <w:shd w:val="clear" w:color="auto" w:fill="auto"/>
            <w:vAlign w:val="center"/>
          </w:tcPr>
          <w:p w14:paraId="59B362A0">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0.82</w:t>
            </w:r>
          </w:p>
        </w:tc>
        <w:tc>
          <w:tcPr>
            <w:tcW w:w="341" w:type="pct"/>
            <w:shd w:val="clear" w:color="auto" w:fill="auto"/>
            <w:vAlign w:val="center"/>
          </w:tcPr>
          <w:p w14:paraId="51DB6CFD">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2.59</w:t>
            </w:r>
          </w:p>
        </w:tc>
        <w:tc>
          <w:tcPr>
            <w:tcW w:w="328" w:type="pct"/>
            <w:shd w:val="clear" w:color="auto" w:fill="auto"/>
            <w:vAlign w:val="center"/>
          </w:tcPr>
          <w:p w14:paraId="69F11015">
            <w:pPr>
              <w:adjustRightInd w:val="0"/>
              <w:snapToGrid w:val="0"/>
              <w:spacing w:line="320" w:lineRule="exact"/>
              <w:jc w:val="center"/>
              <w:rPr>
                <w:rFonts w:eastAsia="仿宋_GB2312"/>
                <w:b/>
                <w:bCs/>
                <w:color w:val="auto"/>
                <w:szCs w:val="21"/>
              </w:rPr>
            </w:pPr>
            <w:r>
              <w:rPr>
                <w:rFonts w:eastAsia="仿宋_GB2312"/>
                <w:b/>
                <w:bCs/>
                <w:color w:val="auto"/>
                <w:szCs w:val="21"/>
              </w:rPr>
              <w:t>/</w:t>
            </w:r>
          </w:p>
        </w:tc>
        <w:tc>
          <w:tcPr>
            <w:tcW w:w="300" w:type="pct"/>
            <w:shd w:val="clear" w:color="auto" w:fill="auto"/>
            <w:vAlign w:val="center"/>
          </w:tcPr>
          <w:p w14:paraId="6002DE3A">
            <w:pPr>
              <w:adjustRightInd w:val="0"/>
              <w:snapToGrid w:val="0"/>
              <w:spacing w:line="320" w:lineRule="exact"/>
              <w:jc w:val="center"/>
              <w:rPr>
                <w:rFonts w:eastAsia="仿宋_GB2312"/>
                <w:b/>
                <w:bCs/>
                <w:color w:val="auto"/>
                <w:szCs w:val="21"/>
              </w:rPr>
            </w:pPr>
            <w:r>
              <w:rPr>
                <w:rFonts w:eastAsia="仿宋_GB2312"/>
                <w:b/>
                <w:bCs/>
                <w:color w:val="auto"/>
                <w:szCs w:val="21"/>
              </w:rPr>
              <w:t>/</w:t>
            </w:r>
          </w:p>
        </w:tc>
        <w:tc>
          <w:tcPr>
            <w:tcW w:w="197" w:type="pct"/>
            <w:vMerge w:val="continue"/>
            <w:shd w:val="clear" w:color="auto" w:fill="auto"/>
            <w:vAlign w:val="center"/>
          </w:tcPr>
          <w:p w14:paraId="691446C9">
            <w:pPr>
              <w:adjustRightInd w:val="0"/>
              <w:snapToGrid w:val="0"/>
              <w:spacing w:line="320" w:lineRule="exact"/>
              <w:jc w:val="center"/>
              <w:rPr>
                <w:rFonts w:eastAsia="仿宋_GB2312"/>
                <w:b/>
                <w:bCs/>
                <w:color w:val="FF0000"/>
                <w:szCs w:val="21"/>
              </w:rPr>
            </w:pPr>
          </w:p>
        </w:tc>
        <w:tc>
          <w:tcPr>
            <w:tcW w:w="195" w:type="pct"/>
            <w:vMerge w:val="continue"/>
            <w:shd w:val="clear" w:color="auto" w:fill="auto"/>
            <w:vAlign w:val="center"/>
          </w:tcPr>
          <w:p w14:paraId="49EC868E">
            <w:pPr>
              <w:adjustRightInd w:val="0"/>
              <w:snapToGrid w:val="0"/>
              <w:spacing w:line="320" w:lineRule="exact"/>
              <w:jc w:val="center"/>
              <w:rPr>
                <w:rFonts w:eastAsia="仿宋_GB2312"/>
                <w:b/>
                <w:bCs/>
                <w:color w:val="FF0000"/>
                <w:szCs w:val="21"/>
              </w:rPr>
            </w:pPr>
          </w:p>
        </w:tc>
        <w:tc>
          <w:tcPr>
            <w:tcW w:w="193" w:type="pct"/>
            <w:vMerge w:val="continue"/>
            <w:shd w:val="clear" w:color="auto" w:fill="auto"/>
            <w:vAlign w:val="center"/>
          </w:tcPr>
          <w:p w14:paraId="11F2C0E4">
            <w:pPr>
              <w:adjustRightInd w:val="0"/>
              <w:snapToGrid w:val="0"/>
              <w:spacing w:line="320" w:lineRule="exact"/>
              <w:jc w:val="center"/>
              <w:rPr>
                <w:rFonts w:eastAsia="仿宋_GB2312"/>
                <w:b/>
                <w:bCs/>
                <w:color w:val="FF0000"/>
                <w:szCs w:val="21"/>
              </w:rPr>
            </w:pPr>
          </w:p>
        </w:tc>
      </w:tr>
      <w:tr w14:paraId="4A4541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295" w:type="pct"/>
            <w:vMerge w:val="continue"/>
            <w:shd w:val="clear" w:color="auto" w:fill="auto"/>
            <w:vAlign w:val="center"/>
          </w:tcPr>
          <w:p w14:paraId="0293A3AC">
            <w:pPr>
              <w:adjustRightInd w:val="0"/>
              <w:snapToGrid w:val="0"/>
              <w:spacing w:line="320" w:lineRule="exact"/>
              <w:jc w:val="center"/>
              <w:rPr>
                <w:rFonts w:eastAsia="仿宋_GB2312"/>
                <w:b/>
                <w:bCs/>
                <w:color w:val="FF0000"/>
                <w:szCs w:val="21"/>
              </w:rPr>
            </w:pPr>
          </w:p>
        </w:tc>
        <w:tc>
          <w:tcPr>
            <w:tcW w:w="375" w:type="pct"/>
            <w:vMerge w:val="continue"/>
            <w:shd w:val="clear" w:color="auto" w:fill="auto"/>
            <w:vAlign w:val="center"/>
          </w:tcPr>
          <w:p w14:paraId="74FAA964">
            <w:pPr>
              <w:adjustRightInd w:val="0"/>
              <w:snapToGrid w:val="0"/>
              <w:spacing w:line="320" w:lineRule="exact"/>
              <w:jc w:val="center"/>
              <w:rPr>
                <w:rFonts w:eastAsia="仿宋_GB2312"/>
                <w:b/>
                <w:bCs/>
                <w:color w:val="FF0000"/>
                <w:szCs w:val="21"/>
              </w:rPr>
            </w:pPr>
          </w:p>
        </w:tc>
        <w:tc>
          <w:tcPr>
            <w:tcW w:w="396" w:type="pct"/>
            <w:shd w:val="clear" w:color="auto" w:fill="auto"/>
            <w:vAlign w:val="center"/>
          </w:tcPr>
          <w:p w14:paraId="4F414C1A">
            <w:pPr>
              <w:adjustRightInd w:val="0"/>
              <w:snapToGrid w:val="0"/>
              <w:spacing w:line="320" w:lineRule="exact"/>
              <w:jc w:val="center"/>
              <w:rPr>
                <w:rFonts w:eastAsia="仿宋_GB2312"/>
                <w:b/>
                <w:bCs/>
                <w:color w:val="auto"/>
                <w:szCs w:val="21"/>
              </w:rPr>
            </w:pPr>
            <w:r>
              <w:rPr>
                <w:rFonts w:eastAsia="仿宋_GB2312"/>
                <w:color w:val="auto"/>
                <w:szCs w:val="21"/>
              </w:rPr>
              <w:t>乙酸乙酯</w:t>
            </w:r>
          </w:p>
        </w:tc>
        <w:tc>
          <w:tcPr>
            <w:tcW w:w="338" w:type="pct"/>
            <w:shd w:val="clear" w:color="auto" w:fill="auto"/>
            <w:vAlign w:val="center"/>
          </w:tcPr>
          <w:p w14:paraId="17116C12">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1535.44</w:t>
            </w:r>
          </w:p>
        </w:tc>
        <w:tc>
          <w:tcPr>
            <w:tcW w:w="283" w:type="pct"/>
            <w:shd w:val="clear" w:color="auto" w:fill="auto"/>
            <w:vAlign w:val="center"/>
          </w:tcPr>
          <w:p w14:paraId="126BB43A">
            <w:pPr>
              <w:adjustRightInd w:val="0"/>
              <w:snapToGrid w:val="0"/>
              <w:spacing w:line="320" w:lineRule="exact"/>
              <w:jc w:val="center"/>
              <w:rPr>
                <w:rFonts w:hint="default" w:eastAsia="等线"/>
                <w:color w:val="auto"/>
                <w:szCs w:val="21"/>
                <w:lang w:val="en-US" w:eastAsia="zh-CN"/>
              </w:rPr>
            </w:pPr>
            <w:r>
              <w:rPr>
                <w:rFonts w:hint="eastAsia" w:eastAsia="等线"/>
                <w:color w:val="auto"/>
                <w:szCs w:val="21"/>
                <w:lang w:val="en-US" w:eastAsia="zh-CN"/>
              </w:rPr>
              <w:t>121.3</w:t>
            </w:r>
          </w:p>
        </w:tc>
        <w:tc>
          <w:tcPr>
            <w:tcW w:w="338" w:type="pct"/>
            <w:shd w:val="clear" w:color="auto" w:fill="auto"/>
            <w:vAlign w:val="center"/>
          </w:tcPr>
          <w:p w14:paraId="48EDC5B3">
            <w:pPr>
              <w:adjustRightInd w:val="0"/>
              <w:snapToGrid w:val="0"/>
              <w:spacing w:line="320" w:lineRule="exact"/>
              <w:jc w:val="center"/>
              <w:rPr>
                <w:rFonts w:hint="default" w:eastAsia="等线"/>
                <w:color w:val="auto"/>
                <w:szCs w:val="21"/>
                <w:lang w:val="en-US" w:eastAsia="zh-CN"/>
              </w:rPr>
            </w:pPr>
            <w:r>
              <w:rPr>
                <w:rFonts w:hint="eastAsia" w:eastAsia="等线"/>
                <w:color w:val="auto"/>
                <w:szCs w:val="21"/>
                <w:lang w:val="en-US" w:eastAsia="zh-CN"/>
              </w:rPr>
              <w:t>73.389</w:t>
            </w:r>
          </w:p>
        </w:tc>
        <w:tc>
          <w:tcPr>
            <w:tcW w:w="534" w:type="pct"/>
            <w:vMerge w:val="continue"/>
            <w:shd w:val="clear" w:color="auto" w:fill="auto"/>
            <w:vAlign w:val="center"/>
          </w:tcPr>
          <w:p w14:paraId="64C63972">
            <w:pPr>
              <w:adjustRightInd w:val="0"/>
              <w:snapToGrid w:val="0"/>
              <w:spacing w:line="320" w:lineRule="exact"/>
              <w:jc w:val="center"/>
              <w:rPr>
                <w:rFonts w:eastAsia="仿宋_GB2312"/>
                <w:b/>
                <w:bCs/>
                <w:color w:val="FF0000"/>
                <w:szCs w:val="21"/>
              </w:rPr>
            </w:pPr>
          </w:p>
        </w:tc>
        <w:tc>
          <w:tcPr>
            <w:tcW w:w="291" w:type="pct"/>
            <w:shd w:val="clear" w:color="auto" w:fill="auto"/>
            <w:vAlign w:val="center"/>
          </w:tcPr>
          <w:p w14:paraId="2396A6F4">
            <w:pPr>
              <w:adjustRightInd w:val="0"/>
              <w:snapToGrid w:val="0"/>
              <w:spacing w:line="320" w:lineRule="exact"/>
              <w:jc w:val="center"/>
              <w:rPr>
                <w:rFonts w:ascii="Times New Roman" w:hAnsi="Times New Roman" w:eastAsia="等线" w:cs="Times New Roman"/>
                <w:color w:val="auto"/>
                <w:kern w:val="2"/>
                <w:sz w:val="21"/>
                <w:szCs w:val="21"/>
                <w:lang w:val="en-US" w:eastAsia="zh-CN" w:bidi="ar-SA"/>
              </w:rPr>
            </w:pPr>
            <w:r>
              <w:rPr>
                <w:rFonts w:eastAsia="等线"/>
                <w:color w:val="auto"/>
                <w:szCs w:val="21"/>
              </w:rPr>
              <w:t>99</w:t>
            </w:r>
          </w:p>
        </w:tc>
        <w:tc>
          <w:tcPr>
            <w:tcW w:w="291" w:type="pct"/>
            <w:shd w:val="clear" w:color="auto" w:fill="auto"/>
            <w:vAlign w:val="center"/>
          </w:tcPr>
          <w:p w14:paraId="658F9EA1">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15.35</w:t>
            </w:r>
          </w:p>
        </w:tc>
        <w:tc>
          <w:tcPr>
            <w:tcW w:w="297" w:type="pct"/>
            <w:shd w:val="clear" w:color="auto" w:fill="auto"/>
            <w:vAlign w:val="center"/>
          </w:tcPr>
          <w:p w14:paraId="51C564F9">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1.21</w:t>
            </w:r>
          </w:p>
        </w:tc>
        <w:tc>
          <w:tcPr>
            <w:tcW w:w="341" w:type="pct"/>
            <w:shd w:val="clear" w:color="auto" w:fill="auto"/>
            <w:vAlign w:val="center"/>
          </w:tcPr>
          <w:p w14:paraId="1CBF802C">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0.73</w:t>
            </w:r>
          </w:p>
        </w:tc>
        <w:tc>
          <w:tcPr>
            <w:tcW w:w="328" w:type="pct"/>
            <w:shd w:val="clear" w:color="auto" w:fill="auto"/>
            <w:vAlign w:val="center"/>
          </w:tcPr>
          <w:p w14:paraId="79A4D80B">
            <w:pPr>
              <w:adjustRightInd w:val="0"/>
              <w:snapToGrid w:val="0"/>
              <w:spacing w:line="320" w:lineRule="exact"/>
              <w:jc w:val="center"/>
              <w:rPr>
                <w:rFonts w:eastAsia="仿宋_GB2312"/>
                <w:b/>
                <w:bCs/>
                <w:color w:val="auto"/>
                <w:szCs w:val="21"/>
              </w:rPr>
            </w:pPr>
            <w:r>
              <w:rPr>
                <w:rFonts w:eastAsia="仿宋_GB2312"/>
                <w:b/>
                <w:bCs/>
                <w:color w:val="auto"/>
                <w:szCs w:val="21"/>
              </w:rPr>
              <w:t>/</w:t>
            </w:r>
          </w:p>
        </w:tc>
        <w:tc>
          <w:tcPr>
            <w:tcW w:w="300" w:type="pct"/>
            <w:shd w:val="clear" w:color="auto" w:fill="auto"/>
            <w:vAlign w:val="center"/>
          </w:tcPr>
          <w:p w14:paraId="440129D0">
            <w:pPr>
              <w:adjustRightInd w:val="0"/>
              <w:snapToGrid w:val="0"/>
              <w:spacing w:line="320" w:lineRule="exact"/>
              <w:jc w:val="center"/>
              <w:rPr>
                <w:rFonts w:eastAsia="仿宋_GB2312"/>
                <w:b/>
                <w:bCs/>
                <w:color w:val="auto"/>
                <w:szCs w:val="21"/>
              </w:rPr>
            </w:pPr>
            <w:r>
              <w:rPr>
                <w:rFonts w:eastAsia="仿宋_GB2312"/>
                <w:b/>
                <w:bCs/>
                <w:color w:val="auto"/>
                <w:szCs w:val="21"/>
              </w:rPr>
              <w:t>/</w:t>
            </w:r>
          </w:p>
        </w:tc>
        <w:tc>
          <w:tcPr>
            <w:tcW w:w="197" w:type="pct"/>
            <w:vMerge w:val="continue"/>
            <w:shd w:val="clear" w:color="auto" w:fill="auto"/>
            <w:vAlign w:val="center"/>
          </w:tcPr>
          <w:p w14:paraId="7BADE84D">
            <w:pPr>
              <w:adjustRightInd w:val="0"/>
              <w:snapToGrid w:val="0"/>
              <w:spacing w:line="320" w:lineRule="exact"/>
              <w:jc w:val="center"/>
              <w:rPr>
                <w:rFonts w:eastAsia="仿宋_GB2312"/>
                <w:b/>
                <w:bCs/>
                <w:color w:val="FF0000"/>
                <w:szCs w:val="21"/>
              </w:rPr>
            </w:pPr>
          </w:p>
        </w:tc>
        <w:tc>
          <w:tcPr>
            <w:tcW w:w="195" w:type="pct"/>
            <w:vMerge w:val="continue"/>
            <w:shd w:val="clear" w:color="auto" w:fill="auto"/>
            <w:vAlign w:val="center"/>
          </w:tcPr>
          <w:p w14:paraId="59B5C6B6">
            <w:pPr>
              <w:adjustRightInd w:val="0"/>
              <w:snapToGrid w:val="0"/>
              <w:spacing w:line="320" w:lineRule="exact"/>
              <w:jc w:val="center"/>
              <w:rPr>
                <w:rFonts w:eastAsia="仿宋_GB2312"/>
                <w:b/>
                <w:bCs/>
                <w:color w:val="FF0000"/>
                <w:szCs w:val="21"/>
              </w:rPr>
            </w:pPr>
          </w:p>
        </w:tc>
        <w:tc>
          <w:tcPr>
            <w:tcW w:w="193" w:type="pct"/>
            <w:vMerge w:val="continue"/>
            <w:shd w:val="clear" w:color="auto" w:fill="auto"/>
            <w:vAlign w:val="center"/>
          </w:tcPr>
          <w:p w14:paraId="2D950DF5">
            <w:pPr>
              <w:adjustRightInd w:val="0"/>
              <w:snapToGrid w:val="0"/>
              <w:spacing w:line="320" w:lineRule="exact"/>
              <w:jc w:val="center"/>
              <w:rPr>
                <w:rFonts w:eastAsia="仿宋_GB2312"/>
                <w:b/>
                <w:bCs/>
                <w:color w:val="FF0000"/>
                <w:szCs w:val="21"/>
              </w:rPr>
            </w:pPr>
          </w:p>
        </w:tc>
      </w:tr>
      <w:tr w14:paraId="04300D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295" w:type="pct"/>
            <w:vMerge w:val="continue"/>
            <w:shd w:val="clear" w:color="auto" w:fill="auto"/>
            <w:vAlign w:val="center"/>
          </w:tcPr>
          <w:p w14:paraId="3C7A9BC6">
            <w:pPr>
              <w:adjustRightInd w:val="0"/>
              <w:snapToGrid w:val="0"/>
              <w:spacing w:line="320" w:lineRule="exact"/>
              <w:jc w:val="center"/>
              <w:rPr>
                <w:rFonts w:eastAsia="仿宋_GB2312"/>
                <w:b/>
                <w:bCs/>
                <w:color w:val="FF0000"/>
                <w:szCs w:val="21"/>
              </w:rPr>
            </w:pPr>
          </w:p>
        </w:tc>
        <w:tc>
          <w:tcPr>
            <w:tcW w:w="375" w:type="pct"/>
            <w:vMerge w:val="continue"/>
            <w:shd w:val="clear" w:color="auto" w:fill="auto"/>
            <w:vAlign w:val="center"/>
          </w:tcPr>
          <w:p w14:paraId="46B6CC74">
            <w:pPr>
              <w:adjustRightInd w:val="0"/>
              <w:snapToGrid w:val="0"/>
              <w:spacing w:line="320" w:lineRule="exact"/>
              <w:jc w:val="center"/>
              <w:rPr>
                <w:rFonts w:eastAsia="仿宋_GB2312"/>
                <w:b/>
                <w:bCs/>
                <w:color w:val="FF0000"/>
                <w:szCs w:val="21"/>
              </w:rPr>
            </w:pPr>
          </w:p>
        </w:tc>
        <w:tc>
          <w:tcPr>
            <w:tcW w:w="396" w:type="pct"/>
            <w:shd w:val="clear" w:color="auto" w:fill="auto"/>
            <w:vAlign w:val="center"/>
          </w:tcPr>
          <w:p w14:paraId="6DCE4997">
            <w:pPr>
              <w:adjustRightInd w:val="0"/>
              <w:snapToGrid w:val="0"/>
              <w:spacing w:line="320" w:lineRule="exact"/>
              <w:jc w:val="center"/>
              <w:rPr>
                <w:rFonts w:eastAsia="仿宋_GB2312"/>
                <w:b/>
                <w:bCs/>
                <w:color w:val="auto"/>
                <w:szCs w:val="21"/>
              </w:rPr>
            </w:pPr>
            <w:r>
              <w:rPr>
                <w:rFonts w:eastAsia="仿宋_GB2312"/>
                <w:color w:val="auto"/>
                <w:szCs w:val="21"/>
              </w:rPr>
              <w:t>二氯甲烷</w:t>
            </w:r>
          </w:p>
        </w:tc>
        <w:tc>
          <w:tcPr>
            <w:tcW w:w="338" w:type="pct"/>
            <w:shd w:val="clear" w:color="auto" w:fill="auto"/>
            <w:vAlign w:val="center"/>
          </w:tcPr>
          <w:p w14:paraId="1DEA22B0">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419.62</w:t>
            </w:r>
          </w:p>
        </w:tc>
        <w:tc>
          <w:tcPr>
            <w:tcW w:w="283" w:type="pct"/>
            <w:shd w:val="clear" w:color="auto" w:fill="auto"/>
            <w:vAlign w:val="center"/>
          </w:tcPr>
          <w:p w14:paraId="3A418517">
            <w:pPr>
              <w:adjustRightInd w:val="0"/>
              <w:snapToGrid w:val="0"/>
              <w:spacing w:line="320" w:lineRule="exact"/>
              <w:jc w:val="center"/>
              <w:rPr>
                <w:rFonts w:hint="default" w:eastAsia="等线"/>
                <w:color w:val="auto"/>
                <w:szCs w:val="21"/>
                <w:lang w:val="en-US" w:eastAsia="zh-CN"/>
              </w:rPr>
            </w:pPr>
            <w:r>
              <w:rPr>
                <w:rFonts w:hint="eastAsia" w:eastAsia="等线"/>
                <w:color w:val="auto"/>
                <w:szCs w:val="21"/>
                <w:lang w:val="en-US" w:eastAsia="zh-CN"/>
              </w:rPr>
              <w:t>33.15</w:t>
            </w:r>
          </w:p>
        </w:tc>
        <w:tc>
          <w:tcPr>
            <w:tcW w:w="338" w:type="pct"/>
            <w:shd w:val="clear" w:color="auto" w:fill="auto"/>
            <w:vAlign w:val="center"/>
          </w:tcPr>
          <w:p w14:paraId="7E9BA44F">
            <w:pPr>
              <w:adjustRightInd w:val="0"/>
              <w:snapToGrid w:val="0"/>
              <w:spacing w:line="320" w:lineRule="exact"/>
              <w:jc w:val="center"/>
              <w:rPr>
                <w:rFonts w:hint="default" w:eastAsia="等线"/>
                <w:color w:val="auto"/>
                <w:szCs w:val="21"/>
                <w:lang w:val="en-US" w:eastAsia="zh-CN"/>
              </w:rPr>
            </w:pPr>
            <w:r>
              <w:rPr>
                <w:rFonts w:hint="eastAsia" w:eastAsia="等线"/>
                <w:color w:val="auto"/>
                <w:szCs w:val="21"/>
                <w:lang w:val="en-US" w:eastAsia="zh-CN"/>
              </w:rPr>
              <w:t>39.324</w:t>
            </w:r>
          </w:p>
        </w:tc>
        <w:tc>
          <w:tcPr>
            <w:tcW w:w="534" w:type="pct"/>
            <w:vMerge w:val="continue"/>
            <w:shd w:val="clear" w:color="auto" w:fill="auto"/>
            <w:vAlign w:val="center"/>
          </w:tcPr>
          <w:p w14:paraId="33FB6C8D">
            <w:pPr>
              <w:adjustRightInd w:val="0"/>
              <w:snapToGrid w:val="0"/>
              <w:spacing w:line="320" w:lineRule="exact"/>
              <w:jc w:val="center"/>
              <w:rPr>
                <w:rFonts w:eastAsia="仿宋_GB2312"/>
                <w:b/>
                <w:bCs/>
                <w:color w:val="FF0000"/>
                <w:szCs w:val="21"/>
              </w:rPr>
            </w:pPr>
          </w:p>
        </w:tc>
        <w:tc>
          <w:tcPr>
            <w:tcW w:w="291" w:type="pct"/>
            <w:shd w:val="clear" w:color="auto" w:fill="auto"/>
            <w:vAlign w:val="center"/>
          </w:tcPr>
          <w:p w14:paraId="4F802ED2">
            <w:pPr>
              <w:adjustRightInd w:val="0"/>
              <w:snapToGrid w:val="0"/>
              <w:spacing w:line="320" w:lineRule="exact"/>
              <w:jc w:val="center"/>
              <w:rPr>
                <w:rFonts w:hint="default" w:ascii="Times New Roman" w:hAnsi="Times New Roman" w:eastAsia="等线" w:cs="Times New Roman"/>
                <w:color w:val="auto"/>
                <w:kern w:val="2"/>
                <w:sz w:val="21"/>
                <w:szCs w:val="21"/>
                <w:lang w:val="en-US" w:eastAsia="zh-CN" w:bidi="ar-SA"/>
              </w:rPr>
            </w:pPr>
            <w:r>
              <w:rPr>
                <w:rFonts w:eastAsia="等线"/>
                <w:color w:val="auto"/>
                <w:szCs w:val="21"/>
              </w:rPr>
              <w:t>99</w:t>
            </w:r>
          </w:p>
        </w:tc>
        <w:tc>
          <w:tcPr>
            <w:tcW w:w="291" w:type="pct"/>
            <w:shd w:val="clear" w:color="auto" w:fill="auto"/>
            <w:vAlign w:val="center"/>
          </w:tcPr>
          <w:p w14:paraId="039100B7">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4.20</w:t>
            </w:r>
          </w:p>
        </w:tc>
        <w:tc>
          <w:tcPr>
            <w:tcW w:w="297" w:type="pct"/>
            <w:shd w:val="clear" w:color="auto" w:fill="auto"/>
            <w:vAlign w:val="center"/>
          </w:tcPr>
          <w:p w14:paraId="6CD51876">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0.33</w:t>
            </w:r>
          </w:p>
        </w:tc>
        <w:tc>
          <w:tcPr>
            <w:tcW w:w="341" w:type="pct"/>
            <w:shd w:val="clear" w:color="auto" w:fill="auto"/>
            <w:vAlign w:val="center"/>
          </w:tcPr>
          <w:p w14:paraId="4618589C">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0.39</w:t>
            </w:r>
          </w:p>
        </w:tc>
        <w:tc>
          <w:tcPr>
            <w:tcW w:w="328" w:type="pct"/>
            <w:shd w:val="clear" w:color="auto" w:fill="auto"/>
            <w:vAlign w:val="center"/>
          </w:tcPr>
          <w:p w14:paraId="2F0C2852">
            <w:pPr>
              <w:adjustRightInd w:val="0"/>
              <w:snapToGrid w:val="0"/>
              <w:spacing w:line="320" w:lineRule="exact"/>
              <w:jc w:val="center"/>
              <w:rPr>
                <w:rFonts w:eastAsia="仿宋_GB2312"/>
                <w:b/>
                <w:bCs/>
                <w:color w:val="auto"/>
                <w:szCs w:val="21"/>
              </w:rPr>
            </w:pPr>
            <w:r>
              <w:rPr>
                <w:rFonts w:eastAsia="仿宋_GB2312"/>
                <w:color w:val="auto"/>
                <w:szCs w:val="21"/>
              </w:rPr>
              <w:t>20</w:t>
            </w:r>
          </w:p>
        </w:tc>
        <w:tc>
          <w:tcPr>
            <w:tcW w:w="300" w:type="pct"/>
            <w:shd w:val="clear" w:color="auto" w:fill="auto"/>
            <w:vAlign w:val="center"/>
          </w:tcPr>
          <w:p w14:paraId="0073AEDB">
            <w:pPr>
              <w:adjustRightInd w:val="0"/>
              <w:snapToGrid w:val="0"/>
              <w:spacing w:line="320" w:lineRule="exact"/>
              <w:jc w:val="center"/>
              <w:rPr>
                <w:rFonts w:eastAsia="仿宋_GB2312"/>
                <w:b/>
                <w:bCs/>
                <w:color w:val="auto"/>
                <w:szCs w:val="21"/>
              </w:rPr>
            </w:pPr>
            <w:r>
              <w:rPr>
                <w:rFonts w:eastAsia="仿宋_GB2312"/>
                <w:color w:val="auto"/>
                <w:szCs w:val="21"/>
              </w:rPr>
              <w:t>0.45</w:t>
            </w:r>
          </w:p>
        </w:tc>
        <w:tc>
          <w:tcPr>
            <w:tcW w:w="197" w:type="pct"/>
            <w:vMerge w:val="continue"/>
            <w:shd w:val="clear" w:color="auto" w:fill="auto"/>
            <w:vAlign w:val="center"/>
          </w:tcPr>
          <w:p w14:paraId="7107AB99">
            <w:pPr>
              <w:adjustRightInd w:val="0"/>
              <w:snapToGrid w:val="0"/>
              <w:spacing w:line="320" w:lineRule="exact"/>
              <w:jc w:val="center"/>
              <w:rPr>
                <w:rFonts w:eastAsia="仿宋_GB2312"/>
                <w:b/>
                <w:bCs/>
                <w:color w:val="FF0000"/>
                <w:szCs w:val="21"/>
              </w:rPr>
            </w:pPr>
          </w:p>
        </w:tc>
        <w:tc>
          <w:tcPr>
            <w:tcW w:w="195" w:type="pct"/>
            <w:vMerge w:val="continue"/>
            <w:shd w:val="clear" w:color="auto" w:fill="auto"/>
            <w:vAlign w:val="center"/>
          </w:tcPr>
          <w:p w14:paraId="4E4EF495">
            <w:pPr>
              <w:adjustRightInd w:val="0"/>
              <w:snapToGrid w:val="0"/>
              <w:spacing w:line="320" w:lineRule="exact"/>
              <w:jc w:val="center"/>
              <w:rPr>
                <w:rFonts w:eastAsia="仿宋_GB2312"/>
                <w:b/>
                <w:bCs/>
                <w:color w:val="FF0000"/>
                <w:szCs w:val="21"/>
              </w:rPr>
            </w:pPr>
          </w:p>
        </w:tc>
        <w:tc>
          <w:tcPr>
            <w:tcW w:w="193" w:type="pct"/>
            <w:vMerge w:val="continue"/>
            <w:shd w:val="clear" w:color="auto" w:fill="auto"/>
            <w:vAlign w:val="center"/>
          </w:tcPr>
          <w:p w14:paraId="4609E201">
            <w:pPr>
              <w:adjustRightInd w:val="0"/>
              <w:snapToGrid w:val="0"/>
              <w:spacing w:line="320" w:lineRule="exact"/>
              <w:jc w:val="center"/>
              <w:rPr>
                <w:rFonts w:eastAsia="仿宋_GB2312"/>
                <w:b/>
                <w:bCs/>
                <w:color w:val="FF0000"/>
                <w:szCs w:val="21"/>
              </w:rPr>
            </w:pPr>
          </w:p>
        </w:tc>
      </w:tr>
      <w:tr w14:paraId="1925F98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295" w:type="pct"/>
            <w:vMerge w:val="continue"/>
            <w:shd w:val="clear" w:color="auto" w:fill="auto"/>
            <w:vAlign w:val="center"/>
          </w:tcPr>
          <w:p w14:paraId="42730532">
            <w:pPr>
              <w:adjustRightInd w:val="0"/>
              <w:snapToGrid w:val="0"/>
              <w:spacing w:line="320" w:lineRule="exact"/>
              <w:jc w:val="center"/>
              <w:rPr>
                <w:rFonts w:eastAsia="仿宋_GB2312"/>
                <w:b/>
                <w:bCs/>
                <w:color w:val="FF0000"/>
                <w:szCs w:val="21"/>
              </w:rPr>
            </w:pPr>
          </w:p>
        </w:tc>
        <w:tc>
          <w:tcPr>
            <w:tcW w:w="375" w:type="pct"/>
            <w:vMerge w:val="continue"/>
            <w:shd w:val="clear" w:color="auto" w:fill="auto"/>
            <w:vAlign w:val="center"/>
          </w:tcPr>
          <w:p w14:paraId="519B20D6">
            <w:pPr>
              <w:adjustRightInd w:val="0"/>
              <w:snapToGrid w:val="0"/>
              <w:spacing w:line="320" w:lineRule="exact"/>
              <w:jc w:val="center"/>
              <w:rPr>
                <w:rFonts w:eastAsia="仿宋_GB2312"/>
                <w:b/>
                <w:bCs/>
                <w:color w:val="FF0000"/>
                <w:szCs w:val="21"/>
              </w:rPr>
            </w:pPr>
          </w:p>
        </w:tc>
        <w:tc>
          <w:tcPr>
            <w:tcW w:w="396" w:type="pct"/>
            <w:shd w:val="clear" w:color="auto" w:fill="auto"/>
            <w:vAlign w:val="center"/>
          </w:tcPr>
          <w:p w14:paraId="47478B22">
            <w:pPr>
              <w:adjustRightInd w:val="0"/>
              <w:snapToGrid w:val="0"/>
              <w:spacing w:line="320" w:lineRule="exact"/>
              <w:jc w:val="center"/>
              <w:rPr>
                <w:rFonts w:eastAsia="仿宋_GB2312"/>
                <w:b/>
                <w:bCs/>
                <w:color w:val="auto"/>
                <w:szCs w:val="21"/>
              </w:rPr>
            </w:pPr>
            <w:r>
              <w:rPr>
                <w:rFonts w:eastAsia="仿宋_GB2312"/>
                <w:color w:val="auto"/>
                <w:szCs w:val="21"/>
              </w:rPr>
              <w:t>乙酸丁酯</w:t>
            </w:r>
          </w:p>
        </w:tc>
        <w:tc>
          <w:tcPr>
            <w:tcW w:w="338" w:type="pct"/>
            <w:shd w:val="clear" w:color="auto" w:fill="auto"/>
            <w:vAlign w:val="center"/>
          </w:tcPr>
          <w:p w14:paraId="1EB16594">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1003.42</w:t>
            </w:r>
          </w:p>
        </w:tc>
        <w:tc>
          <w:tcPr>
            <w:tcW w:w="283" w:type="pct"/>
            <w:shd w:val="clear" w:color="auto" w:fill="auto"/>
            <w:vAlign w:val="center"/>
          </w:tcPr>
          <w:p w14:paraId="1692AA85">
            <w:pPr>
              <w:adjustRightInd w:val="0"/>
              <w:snapToGrid w:val="0"/>
              <w:spacing w:line="320" w:lineRule="exact"/>
              <w:jc w:val="center"/>
              <w:rPr>
                <w:rFonts w:hint="default" w:eastAsia="等线"/>
                <w:color w:val="auto"/>
                <w:szCs w:val="21"/>
                <w:lang w:val="en-US" w:eastAsia="zh-CN"/>
              </w:rPr>
            </w:pPr>
            <w:r>
              <w:rPr>
                <w:rFonts w:hint="eastAsia" w:eastAsia="等线"/>
                <w:color w:val="auto"/>
                <w:szCs w:val="21"/>
                <w:lang w:val="en-US" w:eastAsia="zh-CN"/>
              </w:rPr>
              <w:t>79.27</w:t>
            </w:r>
          </w:p>
        </w:tc>
        <w:tc>
          <w:tcPr>
            <w:tcW w:w="338" w:type="pct"/>
            <w:shd w:val="clear" w:color="auto" w:fill="auto"/>
            <w:vAlign w:val="center"/>
          </w:tcPr>
          <w:p w14:paraId="13A47C4C">
            <w:pPr>
              <w:adjustRightInd w:val="0"/>
              <w:snapToGrid w:val="0"/>
              <w:spacing w:line="320" w:lineRule="exact"/>
              <w:jc w:val="center"/>
              <w:rPr>
                <w:rFonts w:hint="default" w:eastAsia="等线"/>
                <w:color w:val="auto"/>
                <w:szCs w:val="21"/>
                <w:lang w:val="en-US" w:eastAsia="zh-CN"/>
              </w:rPr>
            </w:pPr>
            <w:r>
              <w:rPr>
                <w:rFonts w:hint="eastAsia" w:eastAsia="等线"/>
                <w:color w:val="auto"/>
                <w:szCs w:val="21"/>
                <w:lang w:val="en-US" w:eastAsia="zh-CN"/>
              </w:rPr>
              <w:t>73.094</w:t>
            </w:r>
          </w:p>
        </w:tc>
        <w:tc>
          <w:tcPr>
            <w:tcW w:w="534" w:type="pct"/>
            <w:vMerge w:val="continue"/>
            <w:shd w:val="clear" w:color="auto" w:fill="auto"/>
            <w:vAlign w:val="center"/>
          </w:tcPr>
          <w:p w14:paraId="28412A21">
            <w:pPr>
              <w:adjustRightInd w:val="0"/>
              <w:snapToGrid w:val="0"/>
              <w:spacing w:line="320" w:lineRule="exact"/>
              <w:jc w:val="center"/>
              <w:rPr>
                <w:rFonts w:eastAsia="仿宋_GB2312"/>
                <w:b/>
                <w:bCs/>
                <w:color w:val="FF0000"/>
                <w:szCs w:val="21"/>
              </w:rPr>
            </w:pPr>
          </w:p>
        </w:tc>
        <w:tc>
          <w:tcPr>
            <w:tcW w:w="291" w:type="pct"/>
            <w:shd w:val="clear" w:color="auto" w:fill="auto"/>
            <w:vAlign w:val="center"/>
          </w:tcPr>
          <w:p w14:paraId="66FA0881">
            <w:pPr>
              <w:adjustRightInd w:val="0"/>
              <w:snapToGrid w:val="0"/>
              <w:spacing w:line="320" w:lineRule="exact"/>
              <w:jc w:val="center"/>
              <w:rPr>
                <w:rFonts w:hint="default" w:ascii="Times New Roman" w:hAnsi="Times New Roman" w:eastAsia="等线" w:cs="Times New Roman"/>
                <w:color w:val="auto"/>
                <w:kern w:val="2"/>
                <w:sz w:val="21"/>
                <w:szCs w:val="21"/>
                <w:lang w:val="en-US" w:eastAsia="zh-CN" w:bidi="ar-SA"/>
              </w:rPr>
            </w:pPr>
            <w:r>
              <w:rPr>
                <w:rFonts w:eastAsia="等线"/>
                <w:color w:val="auto"/>
                <w:szCs w:val="21"/>
              </w:rPr>
              <w:t>99</w:t>
            </w:r>
          </w:p>
        </w:tc>
        <w:tc>
          <w:tcPr>
            <w:tcW w:w="291" w:type="pct"/>
            <w:shd w:val="clear" w:color="auto" w:fill="auto"/>
            <w:vAlign w:val="center"/>
          </w:tcPr>
          <w:p w14:paraId="212538DF">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10.03</w:t>
            </w:r>
          </w:p>
        </w:tc>
        <w:tc>
          <w:tcPr>
            <w:tcW w:w="297" w:type="pct"/>
            <w:shd w:val="clear" w:color="auto" w:fill="auto"/>
            <w:vAlign w:val="center"/>
          </w:tcPr>
          <w:p w14:paraId="2C038E17">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0.79</w:t>
            </w:r>
          </w:p>
        </w:tc>
        <w:tc>
          <w:tcPr>
            <w:tcW w:w="341" w:type="pct"/>
            <w:shd w:val="clear" w:color="auto" w:fill="auto"/>
            <w:vAlign w:val="center"/>
          </w:tcPr>
          <w:p w14:paraId="1F6EE259">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0.73</w:t>
            </w:r>
          </w:p>
        </w:tc>
        <w:tc>
          <w:tcPr>
            <w:tcW w:w="328" w:type="pct"/>
            <w:shd w:val="clear" w:color="auto" w:fill="auto"/>
            <w:vAlign w:val="center"/>
          </w:tcPr>
          <w:p w14:paraId="7BEE2993">
            <w:pPr>
              <w:adjustRightInd w:val="0"/>
              <w:snapToGrid w:val="0"/>
              <w:spacing w:line="320" w:lineRule="exact"/>
              <w:jc w:val="center"/>
              <w:rPr>
                <w:rFonts w:eastAsia="仿宋_GB2312"/>
                <w:b/>
                <w:bCs/>
                <w:color w:val="auto"/>
                <w:szCs w:val="21"/>
              </w:rPr>
            </w:pPr>
            <w:r>
              <w:rPr>
                <w:rFonts w:eastAsia="仿宋_GB2312"/>
                <w:b/>
                <w:bCs/>
                <w:color w:val="auto"/>
                <w:szCs w:val="21"/>
              </w:rPr>
              <w:t>/</w:t>
            </w:r>
          </w:p>
        </w:tc>
        <w:tc>
          <w:tcPr>
            <w:tcW w:w="300" w:type="pct"/>
            <w:shd w:val="clear" w:color="auto" w:fill="auto"/>
            <w:vAlign w:val="center"/>
          </w:tcPr>
          <w:p w14:paraId="7ABDE3E9">
            <w:pPr>
              <w:adjustRightInd w:val="0"/>
              <w:snapToGrid w:val="0"/>
              <w:spacing w:line="320" w:lineRule="exact"/>
              <w:jc w:val="center"/>
              <w:rPr>
                <w:rFonts w:eastAsia="仿宋_GB2312"/>
                <w:b/>
                <w:bCs/>
                <w:color w:val="auto"/>
                <w:szCs w:val="21"/>
              </w:rPr>
            </w:pPr>
            <w:r>
              <w:rPr>
                <w:rFonts w:eastAsia="仿宋_GB2312"/>
                <w:b/>
                <w:bCs/>
                <w:color w:val="auto"/>
                <w:szCs w:val="21"/>
              </w:rPr>
              <w:t>/</w:t>
            </w:r>
          </w:p>
        </w:tc>
        <w:tc>
          <w:tcPr>
            <w:tcW w:w="197" w:type="pct"/>
            <w:vMerge w:val="continue"/>
            <w:shd w:val="clear" w:color="auto" w:fill="auto"/>
            <w:vAlign w:val="center"/>
          </w:tcPr>
          <w:p w14:paraId="61DD570E">
            <w:pPr>
              <w:adjustRightInd w:val="0"/>
              <w:snapToGrid w:val="0"/>
              <w:spacing w:line="320" w:lineRule="exact"/>
              <w:jc w:val="center"/>
              <w:rPr>
                <w:rFonts w:eastAsia="仿宋_GB2312"/>
                <w:b/>
                <w:bCs/>
                <w:color w:val="FF0000"/>
                <w:szCs w:val="21"/>
              </w:rPr>
            </w:pPr>
          </w:p>
        </w:tc>
        <w:tc>
          <w:tcPr>
            <w:tcW w:w="195" w:type="pct"/>
            <w:vMerge w:val="continue"/>
            <w:shd w:val="clear" w:color="auto" w:fill="auto"/>
            <w:vAlign w:val="center"/>
          </w:tcPr>
          <w:p w14:paraId="0361A635">
            <w:pPr>
              <w:adjustRightInd w:val="0"/>
              <w:snapToGrid w:val="0"/>
              <w:spacing w:line="320" w:lineRule="exact"/>
              <w:jc w:val="center"/>
              <w:rPr>
                <w:rFonts w:eastAsia="仿宋_GB2312"/>
                <w:b/>
                <w:bCs/>
                <w:color w:val="FF0000"/>
                <w:szCs w:val="21"/>
              </w:rPr>
            </w:pPr>
          </w:p>
        </w:tc>
        <w:tc>
          <w:tcPr>
            <w:tcW w:w="193" w:type="pct"/>
            <w:vMerge w:val="continue"/>
            <w:shd w:val="clear" w:color="auto" w:fill="auto"/>
            <w:vAlign w:val="center"/>
          </w:tcPr>
          <w:p w14:paraId="5431E4DE">
            <w:pPr>
              <w:adjustRightInd w:val="0"/>
              <w:snapToGrid w:val="0"/>
              <w:spacing w:line="320" w:lineRule="exact"/>
              <w:jc w:val="center"/>
              <w:rPr>
                <w:rFonts w:eastAsia="仿宋_GB2312"/>
                <w:b/>
                <w:bCs/>
                <w:color w:val="FF0000"/>
                <w:szCs w:val="21"/>
              </w:rPr>
            </w:pPr>
          </w:p>
        </w:tc>
      </w:tr>
      <w:tr w14:paraId="305255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295" w:type="pct"/>
            <w:vMerge w:val="continue"/>
            <w:shd w:val="clear" w:color="auto" w:fill="auto"/>
            <w:vAlign w:val="center"/>
          </w:tcPr>
          <w:p w14:paraId="60E2AAEC">
            <w:pPr>
              <w:adjustRightInd w:val="0"/>
              <w:snapToGrid w:val="0"/>
              <w:spacing w:line="320" w:lineRule="exact"/>
              <w:jc w:val="center"/>
              <w:rPr>
                <w:rFonts w:eastAsia="仿宋_GB2312"/>
                <w:b/>
                <w:bCs/>
                <w:color w:val="FF0000"/>
                <w:szCs w:val="21"/>
              </w:rPr>
            </w:pPr>
          </w:p>
        </w:tc>
        <w:tc>
          <w:tcPr>
            <w:tcW w:w="375" w:type="pct"/>
            <w:vMerge w:val="continue"/>
            <w:shd w:val="clear" w:color="auto" w:fill="auto"/>
            <w:vAlign w:val="center"/>
          </w:tcPr>
          <w:p w14:paraId="72C41BBD">
            <w:pPr>
              <w:adjustRightInd w:val="0"/>
              <w:snapToGrid w:val="0"/>
              <w:spacing w:line="320" w:lineRule="exact"/>
              <w:jc w:val="center"/>
              <w:rPr>
                <w:rFonts w:eastAsia="仿宋_GB2312"/>
                <w:b/>
                <w:bCs/>
                <w:color w:val="FF0000"/>
                <w:szCs w:val="21"/>
              </w:rPr>
            </w:pPr>
          </w:p>
        </w:tc>
        <w:tc>
          <w:tcPr>
            <w:tcW w:w="396" w:type="pct"/>
            <w:shd w:val="clear" w:color="auto" w:fill="auto"/>
            <w:vAlign w:val="center"/>
          </w:tcPr>
          <w:p w14:paraId="68691319">
            <w:pPr>
              <w:adjustRightInd w:val="0"/>
              <w:snapToGrid w:val="0"/>
              <w:spacing w:line="320" w:lineRule="exact"/>
              <w:jc w:val="center"/>
              <w:rPr>
                <w:rFonts w:eastAsia="仿宋_GB2312"/>
                <w:b/>
                <w:bCs/>
                <w:color w:val="auto"/>
                <w:szCs w:val="21"/>
              </w:rPr>
            </w:pPr>
            <w:r>
              <w:rPr>
                <w:rFonts w:eastAsia="仿宋_GB2312"/>
                <w:color w:val="auto"/>
                <w:szCs w:val="21"/>
              </w:rPr>
              <w:t>二甲苯</w:t>
            </w:r>
          </w:p>
        </w:tc>
        <w:tc>
          <w:tcPr>
            <w:tcW w:w="338" w:type="pct"/>
            <w:shd w:val="clear" w:color="auto" w:fill="auto"/>
            <w:vAlign w:val="center"/>
          </w:tcPr>
          <w:p w14:paraId="220EA696">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100.00</w:t>
            </w:r>
          </w:p>
        </w:tc>
        <w:tc>
          <w:tcPr>
            <w:tcW w:w="283" w:type="pct"/>
            <w:shd w:val="clear" w:color="auto" w:fill="auto"/>
            <w:vAlign w:val="center"/>
          </w:tcPr>
          <w:p w14:paraId="27198FAD">
            <w:pPr>
              <w:adjustRightInd w:val="0"/>
              <w:snapToGrid w:val="0"/>
              <w:spacing w:line="320" w:lineRule="exact"/>
              <w:jc w:val="center"/>
              <w:rPr>
                <w:rFonts w:hint="default" w:eastAsia="等线"/>
                <w:color w:val="auto"/>
                <w:szCs w:val="21"/>
                <w:lang w:val="en-US" w:eastAsia="zh-CN"/>
              </w:rPr>
            </w:pPr>
            <w:r>
              <w:rPr>
                <w:rFonts w:hint="eastAsia" w:eastAsia="等线"/>
                <w:color w:val="auto"/>
                <w:szCs w:val="21"/>
                <w:lang w:val="en-US" w:eastAsia="zh-CN"/>
              </w:rPr>
              <w:t>7.9</w:t>
            </w:r>
          </w:p>
        </w:tc>
        <w:tc>
          <w:tcPr>
            <w:tcW w:w="338" w:type="pct"/>
            <w:shd w:val="clear" w:color="auto" w:fill="auto"/>
            <w:vAlign w:val="center"/>
          </w:tcPr>
          <w:p w14:paraId="1AA9A8C1">
            <w:pPr>
              <w:adjustRightInd w:val="0"/>
              <w:snapToGrid w:val="0"/>
              <w:spacing w:line="320" w:lineRule="exact"/>
              <w:jc w:val="center"/>
              <w:rPr>
                <w:rFonts w:hint="default" w:eastAsia="等线"/>
                <w:color w:val="auto"/>
                <w:szCs w:val="21"/>
                <w:lang w:val="en-US" w:eastAsia="zh-CN"/>
              </w:rPr>
            </w:pPr>
            <w:r>
              <w:rPr>
                <w:rFonts w:hint="eastAsia" w:eastAsia="等线"/>
                <w:color w:val="auto"/>
                <w:szCs w:val="21"/>
                <w:lang w:val="en-US" w:eastAsia="zh-CN"/>
              </w:rPr>
              <w:t>41.143</w:t>
            </w:r>
          </w:p>
        </w:tc>
        <w:tc>
          <w:tcPr>
            <w:tcW w:w="534" w:type="pct"/>
            <w:vMerge w:val="continue"/>
            <w:shd w:val="clear" w:color="auto" w:fill="auto"/>
            <w:vAlign w:val="center"/>
          </w:tcPr>
          <w:p w14:paraId="79BBC3D5">
            <w:pPr>
              <w:adjustRightInd w:val="0"/>
              <w:snapToGrid w:val="0"/>
              <w:spacing w:line="320" w:lineRule="exact"/>
              <w:jc w:val="center"/>
              <w:rPr>
                <w:rFonts w:eastAsia="仿宋_GB2312"/>
                <w:b/>
                <w:bCs/>
                <w:color w:val="FF0000"/>
                <w:szCs w:val="21"/>
              </w:rPr>
            </w:pPr>
          </w:p>
        </w:tc>
        <w:tc>
          <w:tcPr>
            <w:tcW w:w="291" w:type="pct"/>
            <w:shd w:val="clear" w:color="auto" w:fill="auto"/>
            <w:vAlign w:val="center"/>
          </w:tcPr>
          <w:p w14:paraId="3354CCC6">
            <w:pPr>
              <w:adjustRightInd w:val="0"/>
              <w:snapToGrid w:val="0"/>
              <w:spacing w:line="320" w:lineRule="exact"/>
              <w:jc w:val="center"/>
              <w:rPr>
                <w:rFonts w:ascii="Times New Roman" w:hAnsi="Times New Roman" w:eastAsia="等线" w:cs="Times New Roman"/>
                <w:color w:val="auto"/>
                <w:kern w:val="2"/>
                <w:sz w:val="21"/>
                <w:szCs w:val="21"/>
                <w:lang w:val="en-US" w:eastAsia="zh-CN" w:bidi="ar-SA"/>
              </w:rPr>
            </w:pPr>
            <w:r>
              <w:rPr>
                <w:rFonts w:eastAsia="等线"/>
                <w:color w:val="auto"/>
                <w:szCs w:val="21"/>
              </w:rPr>
              <w:t>99</w:t>
            </w:r>
          </w:p>
        </w:tc>
        <w:tc>
          <w:tcPr>
            <w:tcW w:w="291" w:type="pct"/>
            <w:shd w:val="clear" w:color="auto" w:fill="auto"/>
            <w:vAlign w:val="center"/>
          </w:tcPr>
          <w:p w14:paraId="57408E49">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1.00</w:t>
            </w:r>
          </w:p>
        </w:tc>
        <w:tc>
          <w:tcPr>
            <w:tcW w:w="297" w:type="pct"/>
            <w:shd w:val="clear" w:color="auto" w:fill="auto"/>
            <w:vAlign w:val="center"/>
          </w:tcPr>
          <w:p w14:paraId="629F75DC">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0.08</w:t>
            </w:r>
          </w:p>
        </w:tc>
        <w:tc>
          <w:tcPr>
            <w:tcW w:w="341" w:type="pct"/>
            <w:shd w:val="clear" w:color="auto" w:fill="auto"/>
            <w:vAlign w:val="center"/>
          </w:tcPr>
          <w:p w14:paraId="1A7975FB">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0.41</w:t>
            </w:r>
          </w:p>
        </w:tc>
        <w:tc>
          <w:tcPr>
            <w:tcW w:w="328" w:type="pct"/>
            <w:shd w:val="clear" w:color="auto" w:fill="auto"/>
            <w:vAlign w:val="center"/>
          </w:tcPr>
          <w:p w14:paraId="40AFD7BB">
            <w:pPr>
              <w:adjustRightInd w:val="0"/>
              <w:snapToGrid w:val="0"/>
              <w:spacing w:line="320" w:lineRule="exact"/>
              <w:jc w:val="center"/>
              <w:rPr>
                <w:rFonts w:eastAsia="仿宋_GB2312"/>
                <w:b/>
                <w:bCs/>
                <w:color w:val="auto"/>
                <w:szCs w:val="21"/>
              </w:rPr>
            </w:pPr>
            <w:r>
              <w:rPr>
                <w:rFonts w:eastAsia="仿宋_GB2312"/>
                <w:color w:val="auto"/>
                <w:szCs w:val="21"/>
              </w:rPr>
              <w:t>10</w:t>
            </w:r>
          </w:p>
        </w:tc>
        <w:tc>
          <w:tcPr>
            <w:tcW w:w="300" w:type="pct"/>
            <w:shd w:val="clear" w:color="auto" w:fill="auto"/>
            <w:vAlign w:val="center"/>
          </w:tcPr>
          <w:p w14:paraId="34F3E798">
            <w:pPr>
              <w:adjustRightInd w:val="0"/>
              <w:snapToGrid w:val="0"/>
              <w:spacing w:line="320" w:lineRule="exact"/>
              <w:jc w:val="center"/>
              <w:rPr>
                <w:rFonts w:eastAsia="仿宋_GB2312"/>
                <w:b/>
                <w:bCs/>
                <w:color w:val="auto"/>
                <w:szCs w:val="21"/>
              </w:rPr>
            </w:pPr>
            <w:r>
              <w:rPr>
                <w:rFonts w:eastAsia="仿宋_GB2312"/>
                <w:color w:val="auto"/>
                <w:szCs w:val="21"/>
              </w:rPr>
              <w:t>0.72</w:t>
            </w:r>
          </w:p>
        </w:tc>
        <w:tc>
          <w:tcPr>
            <w:tcW w:w="197" w:type="pct"/>
            <w:vMerge w:val="continue"/>
            <w:shd w:val="clear" w:color="auto" w:fill="auto"/>
            <w:vAlign w:val="center"/>
          </w:tcPr>
          <w:p w14:paraId="0C0870B6">
            <w:pPr>
              <w:adjustRightInd w:val="0"/>
              <w:snapToGrid w:val="0"/>
              <w:spacing w:line="320" w:lineRule="exact"/>
              <w:jc w:val="center"/>
              <w:rPr>
                <w:rFonts w:eastAsia="仿宋_GB2312"/>
                <w:b/>
                <w:bCs/>
                <w:color w:val="FF0000"/>
                <w:szCs w:val="21"/>
              </w:rPr>
            </w:pPr>
          </w:p>
        </w:tc>
        <w:tc>
          <w:tcPr>
            <w:tcW w:w="195" w:type="pct"/>
            <w:vMerge w:val="continue"/>
            <w:shd w:val="clear" w:color="auto" w:fill="auto"/>
            <w:vAlign w:val="center"/>
          </w:tcPr>
          <w:p w14:paraId="3AD8BC53">
            <w:pPr>
              <w:adjustRightInd w:val="0"/>
              <w:snapToGrid w:val="0"/>
              <w:spacing w:line="320" w:lineRule="exact"/>
              <w:jc w:val="center"/>
              <w:rPr>
                <w:rFonts w:eastAsia="仿宋_GB2312"/>
                <w:b/>
                <w:bCs/>
                <w:color w:val="FF0000"/>
                <w:szCs w:val="21"/>
              </w:rPr>
            </w:pPr>
          </w:p>
        </w:tc>
        <w:tc>
          <w:tcPr>
            <w:tcW w:w="193" w:type="pct"/>
            <w:vMerge w:val="continue"/>
            <w:shd w:val="clear" w:color="auto" w:fill="auto"/>
            <w:vAlign w:val="center"/>
          </w:tcPr>
          <w:p w14:paraId="27BD9D90">
            <w:pPr>
              <w:adjustRightInd w:val="0"/>
              <w:snapToGrid w:val="0"/>
              <w:spacing w:line="320" w:lineRule="exact"/>
              <w:jc w:val="center"/>
              <w:rPr>
                <w:rFonts w:eastAsia="仿宋_GB2312"/>
                <w:b/>
                <w:bCs/>
                <w:color w:val="FF0000"/>
                <w:szCs w:val="21"/>
              </w:rPr>
            </w:pPr>
          </w:p>
        </w:tc>
      </w:tr>
      <w:tr w14:paraId="03772E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295" w:type="pct"/>
            <w:vMerge w:val="continue"/>
            <w:shd w:val="clear" w:color="auto" w:fill="auto"/>
            <w:vAlign w:val="center"/>
          </w:tcPr>
          <w:p w14:paraId="5CFE4A06">
            <w:pPr>
              <w:adjustRightInd w:val="0"/>
              <w:snapToGrid w:val="0"/>
              <w:spacing w:line="320" w:lineRule="exact"/>
              <w:jc w:val="center"/>
              <w:rPr>
                <w:rFonts w:eastAsia="仿宋_GB2312"/>
                <w:b/>
                <w:bCs/>
                <w:color w:val="FF0000"/>
                <w:szCs w:val="21"/>
              </w:rPr>
            </w:pPr>
          </w:p>
        </w:tc>
        <w:tc>
          <w:tcPr>
            <w:tcW w:w="375" w:type="pct"/>
            <w:vMerge w:val="continue"/>
            <w:shd w:val="clear" w:color="auto" w:fill="auto"/>
            <w:vAlign w:val="center"/>
          </w:tcPr>
          <w:p w14:paraId="226AAC83">
            <w:pPr>
              <w:adjustRightInd w:val="0"/>
              <w:snapToGrid w:val="0"/>
              <w:spacing w:line="320" w:lineRule="exact"/>
              <w:jc w:val="center"/>
              <w:rPr>
                <w:rFonts w:eastAsia="仿宋_GB2312"/>
                <w:b/>
                <w:bCs/>
                <w:color w:val="FF0000"/>
                <w:szCs w:val="21"/>
              </w:rPr>
            </w:pPr>
          </w:p>
        </w:tc>
        <w:tc>
          <w:tcPr>
            <w:tcW w:w="396" w:type="pct"/>
            <w:shd w:val="clear" w:color="auto" w:fill="auto"/>
            <w:vAlign w:val="center"/>
          </w:tcPr>
          <w:p w14:paraId="7168D961">
            <w:pPr>
              <w:adjustRightInd w:val="0"/>
              <w:snapToGrid w:val="0"/>
              <w:spacing w:line="320" w:lineRule="exact"/>
              <w:jc w:val="center"/>
              <w:rPr>
                <w:rFonts w:eastAsia="仿宋_GB2312"/>
                <w:b/>
                <w:bCs/>
                <w:color w:val="auto"/>
                <w:szCs w:val="21"/>
              </w:rPr>
            </w:pPr>
            <w:r>
              <w:rPr>
                <w:rFonts w:eastAsia="仿宋_GB2312"/>
                <w:color w:val="auto"/>
                <w:szCs w:val="21"/>
              </w:rPr>
              <w:t>甲苯</w:t>
            </w:r>
          </w:p>
        </w:tc>
        <w:tc>
          <w:tcPr>
            <w:tcW w:w="338" w:type="pct"/>
            <w:shd w:val="clear" w:color="auto" w:fill="auto"/>
            <w:vAlign w:val="center"/>
          </w:tcPr>
          <w:p w14:paraId="5E685C7E">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200.25</w:t>
            </w:r>
          </w:p>
        </w:tc>
        <w:tc>
          <w:tcPr>
            <w:tcW w:w="283" w:type="pct"/>
            <w:shd w:val="clear" w:color="auto" w:fill="auto"/>
            <w:vAlign w:val="center"/>
          </w:tcPr>
          <w:p w14:paraId="64B12A28">
            <w:pPr>
              <w:adjustRightInd w:val="0"/>
              <w:snapToGrid w:val="0"/>
              <w:spacing w:line="320" w:lineRule="exact"/>
              <w:jc w:val="center"/>
              <w:rPr>
                <w:rFonts w:hint="default" w:eastAsia="等线"/>
                <w:color w:val="auto"/>
                <w:szCs w:val="21"/>
                <w:lang w:val="en-US" w:eastAsia="zh-CN"/>
              </w:rPr>
            </w:pPr>
            <w:r>
              <w:rPr>
                <w:rFonts w:hint="eastAsia" w:eastAsia="等线"/>
                <w:color w:val="auto"/>
                <w:szCs w:val="21"/>
                <w:lang w:val="en-US" w:eastAsia="zh-CN"/>
              </w:rPr>
              <w:t>15.82</w:t>
            </w:r>
          </w:p>
        </w:tc>
        <w:tc>
          <w:tcPr>
            <w:tcW w:w="338" w:type="pct"/>
            <w:shd w:val="clear" w:color="auto" w:fill="auto"/>
            <w:vAlign w:val="center"/>
          </w:tcPr>
          <w:p w14:paraId="7BAB3F4E">
            <w:pPr>
              <w:adjustRightInd w:val="0"/>
              <w:snapToGrid w:val="0"/>
              <w:spacing w:line="320" w:lineRule="exact"/>
              <w:jc w:val="center"/>
              <w:rPr>
                <w:rFonts w:hint="default" w:eastAsia="等线"/>
                <w:color w:val="auto"/>
                <w:szCs w:val="21"/>
                <w:lang w:val="en-US" w:eastAsia="zh-CN"/>
              </w:rPr>
            </w:pPr>
            <w:r>
              <w:rPr>
                <w:rFonts w:hint="eastAsia" w:eastAsia="等线"/>
                <w:color w:val="auto"/>
                <w:szCs w:val="21"/>
                <w:lang w:val="en-US" w:eastAsia="zh-CN"/>
              </w:rPr>
              <w:t>48.31</w:t>
            </w:r>
          </w:p>
        </w:tc>
        <w:tc>
          <w:tcPr>
            <w:tcW w:w="534" w:type="pct"/>
            <w:vMerge w:val="continue"/>
            <w:shd w:val="clear" w:color="auto" w:fill="auto"/>
            <w:vAlign w:val="center"/>
          </w:tcPr>
          <w:p w14:paraId="73A8A06C">
            <w:pPr>
              <w:adjustRightInd w:val="0"/>
              <w:snapToGrid w:val="0"/>
              <w:spacing w:line="320" w:lineRule="exact"/>
              <w:jc w:val="center"/>
              <w:rPr>
                <w:rFonts w:eastAsia="仿宋_GB2312"/>
                <w:b/>
                <w:bCs/>
                <w:color w:val="FF0000"/>
                <w:szCs w:val="21"/>
              </w:rPr>
            </w:pPr>
          </w:p>
        </w:tc>
        <w:tc>
          <w:tcPr>
            <w:tcW w:w="291" w:type="pct"/>
            <w:shd w:val="clear" w:color="auto" w:fill="auto"/>
            <w:vAlign w:val="center"/>
          </w:tcPr>
          <w:p w14:paraId="271F50A3">
            <w:pPr>
              <w:adjustRightInd w:val="0"/>
              <w:snapToGrid w:val="0"/>
              <w:spacing w:line="320" w:lineRule="exact"/>
              <w:jc w:val="center"/>
              <w:rPr>
                <w:rFonts w:ascii="Times New Roman" w:hAnsi="Times New Roman" w:eastAsia="等线" w:cs="Times New Roman"/>
                <w:color w:val="auto"/>
                <w:kern w:val="2"/>
                <w:sz w:val="21"/>
                <w:szCs w:val="21"/>
                <w:lang w:val="en-US" w:eastAsia="zh-CN" w:bidi="ar-SA"/>
              </w:rPr>
            </w:pPr>
            <w:r>
              <w:rPr>
                <w:rFonts w:eastAsia="等线"/>
                <w:color w:val="auto"/>
                <w:szCs w:val="21"/>
              </w:rPr>
              <w:t>99</w:t>
            </w:r>
          </w:p>
        </w:tc>
        <w:tc>
          <w:tcPr>
            <w:tcW w:w="291" w:type="pct"/>
            <w:shd w:val="clear" w:color="auto" w:fill="auto"/>
            <w:vAlign w:val="center"/>
          </w:tcPr>
          <w:p w14:paraId="77654B5D">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2.00</w:t>
            </w:r>
          </w:p>
        </w:tc>
        <w:tc>
          <w:tcPr>
            <w:tcW w:w="297" w:type="pct"/>
            <w:shd w:val="clear" w:color="auto" w:fill="auto"/>
            <w:vAlign w:val="center"/>
          </w:tcPr>
          <w:p w14:paraId="040919F0">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0.16</w:t>
            </w:r>
          </w:p>
        </w:tc>
        <w:tc>
          <w:tcPr>
            <w:tcW w:w="341" w:type="pct"/>
            <w:shd w:val="clear" w:color="auto" w:fill="auto"/>
            <w:vAlign w:val="center"/>
          </w:tcPr>
          <w:p w14:paraId="6C34B612">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0.48</w:t>
            </w:r>
          </w:p>
        </w:tc>
        <w:tc>
          <w:tcPr>
            <w:tcW w:w="328" w:type="pct"/>
            <w:shd w:val="clear" w:color="auto" w:fill="auto"/>
            <w:vAlign w:val="center"/>
          </w:tcPr>
          <w:p w14:paraId="3D39BEFC">
            <w:pPr>
              <w:adjustRightInd w:val="0"/>
              <w:snapToGrid w:val="0"/>
              <w:spacing w:line="320" w:lineRule="exact"/>
              <w:jc w:val="center"/>
              <w:rPr>
                <w:rFonts w:eastAsia="仿宋_GB2312"/>
                <w:b/>
                <w:bCs/>
                <w:color w:val="auto"/>
                <w:szCs w:val="21"/>
              </w:rPr>
            </w:pPr>
            <w:r>
              <w:rPr>
                <w:rFonts w:eastAsia="仿宋_GB2312"/>
                <w:color w:val="auto"/>
                <w:szCs w:val="21"/>
              </w:rPr>
              <w:t>10</w:t>
            </w:r>
          </w:p>
        </w:tc>
        <w:tc>
          <w:tcPr>
            <w:tcW w:w="300" w:type="pct"/>
            <w:shd w:val="clear" w:color="auto" w:fill="auto"/>
            <w:vAlign w:val="center"/>
          </w:tcPr>
          <w:p w14:paraId="6B60997E">
            <w:pPr>
              <w:adjustRightInd w:val="0"/>
              <w:snapToGrid w:val="0"/>
              <w:spacing w:line="320" w:lineRule="exact"/>
              <w:jc w:val="center"/>
              <w:rPr>
                <w:rFonts w:eastAsia="仿宋_GB2312"/>
                <w:b/>
                <w:bCs/>
                <w:color w:val="auto"/>
                <w:szCs w:val="21"/>
              </w:rPr>
            </w:pPr>
            <w:r>
              <w:rPr>
                <w:rFonts w:eastAsia="仿宋_GB2312"/>
                <w:color w:val="auto"/>
                <w:szCs w:val="21"/>
              </w:rPr>
              <w:t>0.2</w:t>
            </w:r>
          </w:p>
        </w:tc>
        <w:tc>
          <w:tcPr>
            <w:tcW w:w="197" w:type="pct"/>
            <w:vMerge w:val="continue"/>
            <w:shd w:val="clear" w:color="auto" w:fill="auto"/>
            <w:vAlign w:val="center"/>
          </w:tcPr>
          <w:p w14:paraId="73ED6FB4">
            <w:pPr>
              <w:adjustRightInd w:val="0"/>
              <w:snapToGrid w:val="0"/>
              <w:spacing w:line="320" w:lineRule="exact"/>
              <w:jc w:val="center"/>
              <w:rPr>
                <w:rFonts w:eastAsia="仿宋_GB2312"/>
                <w:b/>
                <w:bCs/>
                <w:color w:val="FF0000"/>
                <w:szCs w:val="21"/>
              </w:rPr>
            </w:pPr>
          </w:p>
        </w:tc>
        <w:tc>
          <w:tcPr>
            <w:tcW w:w="195" w:type="pct"/>
            <w:vMerge w:val="continue"/>
            <w:shd w:val="clear" w:color="auto" w:fill="auto"/>
            <w:vAlign w:val="center"/>
          </w:tcPr>
          <w:p w14:paraId="76E3532F">
            <w:pPr>
              <w:adjustRightInd w:val="0"/>
              <w:snapToGrid w:val="0"/>
              <w:spacing w:line="320" w:lineRule="exact"/>
              <w:jc w:val="center"/>
              <w:rPr>
                <w:rFonts w:eastAsia="仿宋_GB2312"/>
                <w:b/>
                <w:bCs/>
                <w:color w:val="FF0000"/>
                <w:szCs w:val="21"/>
              </w:rPr>
            </w:pPr>
          </w:p>
        </w:tc>
        <w:tc>
          <w:tcPr>
            <w:tcW w:w="193" w:type="pct"/>
            <w:vMerge w:val="continue"/>
            <w:shd w:val="clear" w:color="auto" w:fill="auto"/>
            <w:vAlign w:val="center"/>
          </w:tcPr>
          <w:p w14:paraId="09FB2997">
            <w:pPr>
              <w:adjustRightInd w:val="0"/>
              <w:snapToGrid w:val="0"/>
              <w:spacing w:line="320" w:lineRule="exact"/>
              <w:jc w:val="center"/>
              <w:rPr>
                <w:rFonts w:eastAsia="仿宋_GB2312"/>
                <w:b/>
                <w:bCs/>
                <w:color w:val="FF0000"/>
                <w:szCs w:val="21"/>
              </w:rPr>
            </w:pPr>
          </w:p>
        </w:tc>
      </w:tr>
      <w:tr w14:paraId="21CFB9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295" w:type="pct"/>
            <w:vMerge w:val="continue"/>
            <w:shd w:val="clear" w:color="auto" w:fill="auto"/>
            <w:vAlign w:val="center"/>
          </w:tcPr>
          <w:p w14:paraId="0E41562D">
            <w:pPr>
              <w:adjustRightInd w:val="0"/>
              <w:snapToGrid w:val="0"/>
              <w:spacing w:line="320" w:lineRule="exact"/>
              <w:jc w:val="center"/>
              <w:rPr>
                <w:rFonts w:eastAsia="仿宋_GB2312"/>
                <w:b/>
                <w:bCs/>
                <w:color w:val="FF0000"/>
                <w:szCs w:val="21"/>
              </w:rPr>
            </w:pPr>
          </w:p>
        </w:tc>
        <w:tc>
          <w:tcPr>
            <w:tcW w:w="375" w:type="pct"/>
            <w:vMerge w:val="continue"/>
            <w:shd w:val="clear" w:color="auto" w:fill="auto"/>
            <w:vAlign w:val="center"/>
          </w:tcPr>
          <w:p w14:paraId="7B93C15A">
            <w:pPr>
              <w:adjustRightInd w:val="0"/>
              <w:snapToGrid w:val="0"/>
              <w:spacing w:line="320" w:lineRule="exact"/>
              <w:jc w:val="center"/>
              <w:rPr>
                <w:rFonts w:eastAsia="仿宋_GB2312"/>
                <w:b/>
                <w:bCs/>
                <w:color w:val="FF0000"/>
                <w:szCs w:val="21"/>
              </w:rPr>
            </w:pPr>
          </w:p>
        </w:tc>
        <w:tc>
          <w:tcPr>
            <w:tcW w:w="396" w:type="pct"/>
            <w:shd w:val="clear" w:color="auto" w:fill="auto"/>
            <w:vAlign w:val="center"/>
          </w:tcPr>
          <w:p w14:paraId="6E6DA50F">
            <w:pPr>
              <w:adjustRightInd w:val="0"/>
              <w:snapToGrid w:val="0"/>
              <w:spacing w:line="320" w:lineRule="exact"/>
              <w:jc w:val="center"/>
              <w:rPr>
                <w:rFonts w:eastAsia="仿宋_GB2312"/>
                <w:b/>
                <w:bCs/>
                <w:color w:val="auto"/>
                <w:szCs w:val="21"/>
              </w:rPr>
            </w:pPr>
            <w:r>
              <w:rPr>
                <w:rFonts w:eastAsia="等线"/>
                <w:color w:val="auto"/>
                <w:szCs w:val="21"/>
              </w:rPr>
              <w:t>DMF</w:t>
            </w:r>
          </w:p>
        </w:tc>
        <w:tc>
          <w:tcPr>
            <w:tcW w:w="338" w:type="pct"/>
            <w:shd w:val="clear" w:color="auto" w:fill="auto"/>
            <w:vAlign w:val="center"/>
          </w:tcPr>
          <w:p w14:paraId="7F622AF4">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1086.84</w:t>
            </w:r>
          </w:p>
        </w:tc>
        <w:tc>
          <w:tcPr>
            <w:tcW w:w="283" w:type="pct"/>
            <w:shd w:val="clear" w:color="auto" w:fill="auto"/>
            <w:vAlign w:val="center"/>
          </w:tcPr>
          <w:p w14:paraId="7416D23E">
            <w:pPr>
              <w:adjustRightInd w:val="0"/>
              <w:snapToGrid w:val="0"/>
              <w:spacing w:line="320" w:lineRule="exact"/>
              <w:jc w:val="center"/>
              <w:rPr>
                <w:rFonts w:hint="default" w:eastAsia="等线"/>
                <w:color w:val="auto"/>
                <w:szCs w:val="21"/>
                <w:lang w:val="en-US" w:eastAsia="zh-CN"/>
              </w:rPr>
            </w:pPr>
            <w:r>
              <w:rPr>
                <w:rFonts w:hint="eastAsia" w:eastAsia="等线"/>
                <w:color w:val="auto"/>
                <w:szCs w:val="21"/>
                <w:lang w:val="en-US" w:eastAsia="zh-CN"/>
              </w:rPr>
              <w:t>85.86</w:t>
            </w:r>
          </w:p>
        </w:tc>
        <w:tc>
          <w:tcPr>
            <w:tcW w:w="338" w:type="pct"/>
            <w:shd w:val="clear" w:color="auto" w:fill="auto"/>
            <w:vAlign w:val="center"/>
          </w:tcPr>
          <w:p w14:paraId="2A8C7B40">
            <w:pPr>
              <w:adjustRightInd w:val="0"/>
              <w:snapToGrid w:val="0"/>
              <w:spacing w:line="320" w:lineRule="exact"/>
              <w:jc w:val="center"/>
              <w:rPr>
                <w:rFonts w:hint="default" w:eastAsia="等线"/>
                <w:color w:val="auto"/>
                <w:szCs w:val="21"/>
                <w:lang w:val="en-US" w:eastAsia="zh-CN"/>
              </w:rPr>
            </w:pPr>
            <w:r>
              <w:rPr>
                <w:rFonts w:hint="eastAsia" w:eastAsia="等线"/>
                <w:color w:val="auto"/>
                <w:szCs w:val="21"/>
                <w:lang w:val="en-US" w:eastAsia="zh-CN"/>
              </w:rPr>
              <w:t>161.695</w:t>
            </w:r>
          </w:p>
        </w:tc>
        <w:tc>
          <w:tcPr>
            <w:tcW w:w="534" w:type="pct"/>
            <w:vMerge w:val="continue"/>
            <w:shd w:val="clear" w:color="auto" w:fill="auto"/>
            <w:vAlign w:val="center"/>
          </w:tcPr>
          <w:p w14:paraId="6A612149">
            <w:pPr>
              <w:adjustRightInd w:val="0"/>
              <w:snapToGrid w:val="0"/>
              <w:spacing w:line="320" w:lineRule="exact"/>
              <w:jc w:val="center"/>
              <w:rPr>
                <w:rFonts w:eastAsia="仿宋_GB2312"/>
                <w:b/>
                <w:bCs/>
                <w:color w:val="FF0000"/>
                <w:szCs w:val="21"/>
              </w:rPr>
            </w:pPr>
          </w:p>
        </w:tc>
        <w:tc>
          <w:tcPr>
            <w:tcW w:w="291" w:type="pct"/>
            <w:shd w:val="clear" w:color="auto" w:fill="auto"/>
            <w:vAlign w:val="center"/>
          </w:tcPr>
          <w:p w14:paraId="2B46E1F6">
            <w:pPr>
              <w:adjustRightInd w:val="0"/>
              <w:snapToGrid w:val="0"/>
              <w:spacing w:line="320" w:lineRule="exact"/>
              <w:jc w:val="center"/>
              <w:rPr>
                <w:rFonts w:hint="default" w:ascii="Times New Roman" w:hAnsi="Times New Roman" w:eastAsia="等线" w:cs="Times New Roman"/>
                <w:color w:val="auto"/>
                <w:kern w:val="2"/>
                <w:sz w:val="21"/>
                <w:szCs w:val="21"/>
                <w:lang w:val="en-US" w:eastAsia="zh-CN" w:bidi="ar-SA"/>
              </w:rPr>
            </w:pPr>
            <w:r>
              <w:rPr>
                <w:rFonts w:eastAsia="等线"/>
                <w:color w:val="auto"/>
                <w:szCs w:val="21"/>
              </w:rPr>
              <w:t>99</w:t>
            </w:r>
          </w:p>
        </w:tc>
        <w:tc>
          <w:tcPr>
            <w:tcW w:w="291" w:type="pct"/>
            <w:shd w:val="clear" w:color="auto" w:fill="auto"/>
            <w:vAlign w:val="center"/>
          </w:tcPr>
          <w:p w14:paraId="5957582F">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10.87</w:t>
            </w:r>
          </w:p>
        </w:tc>
        <w:tc>
          <w:tcPr>
            <w:tcW w:w="297" w:type="pct"/>
            <w:shd w:val="clear" w:color="auto" w:fill="auto"/>
            <w:vAlign w:val="center"/>
          </w:tcPr>
          <w:p w14:paraId="06DED74C">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0.86</w:t>
            </w:r>
          </w:p>
        </w:tc>
        <w:tc>
          <w:tcPr>
            <w:tcW w:w="341" w:type="pct"/>
            <w:shd w:val="clear" w:color="auto" w:fill="auto"/>
            <w:vAlign w:val="center"/>
          </w:tcPr>
          <w:p w14:paraId="2DF63861">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1.62</w:t>
            </w:r>
          </w:p>
        </w:tc>
        <w:tc>
          <w:tcPr>
            <w:tcW w:w="328" w:type="pct"/>
            <w:shd w:val="clear" w:color="auto" w:fill="auto"/>
            <w:vAlign w:val="center"/>
          </w:tcPr>
          <w:p w14:paraId="59DDBCCD">
            <w:pPr>
              <w:adjustRightInd w:val="0"/>
              <w:snapToGrid w:val="0"/>
              <w:spacing w:line="320" w:lineRule="exact"/>
              <w:jc w:val="center"/>
              <w:rPr>
                <w:rFonts w:eastAsia="仿宋_GB2312"/>
                <w:bCs/>
                <w:color w:val="auto"/>
                <w:szCs w:val="21"/>
              </w:rPr>
            </w:pPr>
            <w:r>
              <w:rPr>
                <w:rFonts w:eastAsia="仿宋_GB2312"/>
                <w:bCs/>
                <w:color w:val="auto"/>
                <w:szCs w:val="21"/>
              </w:rPr>
              <w:t>30</w:t>
            </w:r>
          </w:p>
        </w:tc>
        <w:tc>
          <w:tcPr>
            <w:tcW w:w="300" w:type="pct"/>
            <w:shd w:val="clear" w:color="auto" w:fill="auto"/>
            <w:vAlign w:val="center"/>
          </w:tcPr>
          <w:p w14:paraId="2AA0DCF7">
            <w:pPr>
              <w:adjustRightInd w:val="0"/>
              <w:snapToGrid w:val="0"/>
              <w:spacing w:line="320" w:lineRule="exact"/>
              <w:jc w:val="center"/>
              <w:rPr>
                <w:rFonts w:eastAsia="仿宋_GB2312"/>
                <w:bCs/>
                <w:color w:val="auto"/>
                <w:szCs w:val="21"/>
              </w:rPr>
            </w:pPr>
            <w:r>
              <w:rPr>
                <w:rFonts w:eastAsia="仿宋_GB2312"/>
                <w:bCs/>
                <w:color w:val="auto"/>
                <w:szCs w:val="21"/>
              </w:rPr>
              <w:t>8.1</w:t>
            </w:r>
          </w:p>
        </w:tc>
        <w:tc>
          <w:tcPr>
            <w:tcW w:w="197" w:type="pct"/>
            <w:vMerge w:val="continue"/>
            <w:shd w:val="clear" w:color="auto" w:fill="auto"/>
            <w:vAlign w:val="center"/>
          </w:tcPr>
          <w:p w14:paraId="7849B70F">
            <w:pPr>
              <w:adjustRightInd w:val="0"/>
              <w:snapToGrid w:val="0"/>
              <w:spacing w:line="320" w:lineRule="exact"/>
              <w:jc w:val="center"/>
              <w:rPr>
                <w:rFonts w:eastAsia="仿宋_GB2312"/>
                <w:b/>
                <w:bCs/>
                <w:color w:val="FF0000"/>
                <w:szCs w:val="21"/>
              </w:rPr>
            </w:pPr>
          </w:p>
        </w:tc>
        <w:tc>
          <w:tcPr>
            <w:tcW w:w="195" w:type="pct"/>
            <w:vMerge w:val="continue"/>
            <w:shd w:val="clear" w:color="auto" w:fill="auto"/>
            <w:vAlign w:val="center"/>
          </w:tcPr>
          <w:p w14:paraId="3F00B7A8">
            <w:pPr>
              <w:adjustRightInd w:val="0"/>
              <w:snapToGrid w:val="0"/>
              <w:spacing w:line="320" w:lineRule="exact"/>
              <w:jc w:val="center"/>
              <w:rPr>
                <w:rFonts w:eastAsia="仿宋_GB2312"/>
                <w:b/>
                <w:bCs/>
                <w:color w:val="FF0000"/>
                <w:szCs w:val="21"/>
              </w:rPr>
            </w:pPr>
          </w:p>
        </w:tc>
        <w:tc>
          <w:tcPr>
            <w:tcW w:w="193" w:type="pct"/>
            <w:vMerge w:val="continue"/>
            <w:shd w:val="clear" w:color="auto" w:fill="auto"/>
            <w:vAlign w:val="center"/>
          </w:tcPr>
          <w:p w14:paraId="19926F97">
            <w:pPr>
              <w:adjustRightInd w:val="0"/>
              <w:snapToGrid w:val="0"/>
              <w:spacing w:line="320" w:lineRule="exact"/>
              <w:jc w:val="center"/>
              <w:rPr>
                <w:rFonts w:eastAsia="仿宋_GB2312"/>
                <w:b/>
                <w:bCs/>
                <w:color w:val="FF0000"/>
                <w:szCs w:val="21"/>
              </w:rPr>
            </w:pPr>
          </w:p>
        </w:tc>
      </w:tr>
      <w:tr w14:paraId="7CAC04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295" w:type="pct"/>
            <w:vMerge w:val="continue"/>
            <w:shd w:val="clear" w:color="auto" w:fill="auto"/>
            <w:vAlign w:val="center"/>
          </w:tcPr>
          <w:p w14:paraId="39023AA5">
            <w:pPr>
              <w:adjustRightInd w:val="0"/>
              <w:snapToGrid w:val="0"/>
              <w:spacing w:line="320" w:lineRule="exact"/>
              <w:jc w:val="center"/>
              <w:rPr>
                <w:rFonts w:eastAsia="仿宋_GB2312"/>
                <w:b/>
                <w:bCs/>
                <w:color w:val="FF0000"/>
                <w:szCs w:val="21"/>
              </w:rPr>
            </w:pPr>
          </w:p>
        </w:tc>
        <w:tc>
          <w:tcPr>
            <w:tcW w:w="375" w:type="pct"/>
            <w:vMerge w:val="continue"/>
            <w:shd w:val="clear" w:color="auto" w:fill="auto"/>
            <w:vAlign w:val="center"/>
          </w:tcPr>
          <w:p w14:paraId="25908B7C">
            <w:pPr>
              <w:adjustRightInd w:val="0"/>
              <w:snapToGrid w:val="0"/>
              <w:spacing w:line="320" w:lineRule="exact"/>
              <w:jc w:val="center"/>
              <w:rPr>
                <w:rFonts w:eastAsia="仿宋_GB2312"/>
                <w:b/>
                <w:bCs/>
                <w:color w:val="FF0000"/>
                <w:szCs w:val="21"/>
              </w:rPr>
            </w:pPr>
          </w:p>
        </w:tc>
        <w:tc>
          <w:tcPr>
            <w:tcW w:w="396" w:type="pct"/>
            <w:shd w:val="clear" w:color="auto" w:fill="auto"/>
            <w:vAlign w:val="center"/>
          </w:tcPr>
          <w:p w14:paraId="3543C8B9">
            <w:pPr>
              <w:adjustRightInd w:val="0"/>
              <w:snapToGrid w:val="0"/>
              <w:spacing w:line="320" w:lineRule="exact"/>
              <w:jc w:val="center"/>
              <w:rPr>
                <w:rFonts w:eastAsia="仿宋_GB2312"/>
                <w:b/>
                <w:bCs/>
                <w:color w:val="auto"/>
                <w:szCs w:val="21"/>
              </w:rPr>
            </w:pPr>
            <w:r>
              <w:rPr>
                <w:rFonts w:eastAsia="仿宋_GB2312"/>
                <w:color w:val="auto"/>
                <w:szCs w:val="21"/>
              </w:rPr>
              <w:t>环己烷</w:t>
            </w:r>
          </w:p>
        </w:tc>
        <w:tc>
          <w:tcPr>
            <w:tcW w:w="338" w:type="pct"/>
            <w:shd w:val="clear" w:color="auto" w:fill="auto"/>
            <w:vAlign w:val="center"/>
          </w:tcPr>
          <w:p w14:paraId="04782F49">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181.77</w:t>
            </w:r>
          </w:p>
        </w:tc>
        <w:tc>
          <w:tcPr>
            <w:tcW w:w="283" w:type="pct"/>
            <w:shd w:val="clear" w:color="auto" w:fill="auto"/>
            <w:vAlign w:val="center"/>
          </w:tcPr>
          <w:p w14:paraId="11BAC157">
            <w:pPr>
              <w:adjustRightInd w:val="0"/>
              <w:snapToGrid w:val="0"/>
              <w:spacing w:line="320" w:lineRule="exact"/>
              <w:jc w:val="center"/>
              <w:rPr>
                <w:rFonts w:hint="default" w:eastAsia="等线"/>
                <w:color w:val="auto"/>
                <w:szCs w:val="21"/>
                <w:lang w:val="en-US" w:eastAsia="zh-CN"/>
              </w:rPr>
            </w:pPr>
            <w:r>
              <w:rPr>
                <w:rFonts w:hint="eastAsia" w:eastAsia="等线"/>
                <w:color w:val="auto"/>
                <w:szCs w:val="21"/>
                <w:lang w:val="en-US" w:eastAsia="zh-CN"/>
              </w:rPr>
              <w:t>14.36</w:t>
            </w:r>
          </w:p>
        </w:tc>
        <w:tc>
          <w:tcPr>
            <w:tcW w:w="338" w:type="pct"/>
            <w:shd w:val="clear" w:color="auto" w:fill="auto"/>
            <w:vAlign w:val="center"/>
          </w:tcPr>
          <w:p w14:paraId="4497D476">
            <w:pPr>
              <w:adjustRightInd w:val="0"/>
              <w:snapToGrid w:val="0"/>
              <w:spacing w:line="320" w:lineRule="exact"/>
              <w:jc w:val="center"/>
              <w:rPr>
                <w:rFonts w:hint="default" w:eastAsia="等线"/>
                <w:color w:val="auto"/>
                <w:szCs w:val="21"/>
                <w:lang w:val="en-US" w:eastAsia="zh-CN"/>
              </w:rPr>
            </w:pPr>
            <w:r>
              <w:rPr>
                <w:rFonts w:hint="eastAsia" w:eastAsia="等线"/>
                <w:color w:val="auto"/>
                <w:szCs w:val="21"/>
                <w:lang w:val="en-US" w:eastAsia="zh-CN"/>
              </w:rPr>
              <w:t>20.965</w:t>
            </w:r>
          </w:p>
        </w:tc>
        <w:tc>
          <w:tcPr>
            <w:tcW w:w="534" w:type="pct"/>
            <w:vMerge w:val="continue"/>
            <w:shd w:val="clear" w:color="auto" w:fill="auto"/>
            <w:vAlign w:val="center"/>
          </w:tcPr>
          <w:p w14:paraId="0FBE9301">
            <w:pPr>
              <w:adjustRightInd w:val="0"/>
              <w:snapToGrid w:val="0"/>
              <w:spacing w:line="320" w:lineRule="exact"/>
              <w:jc w:val="center"/>
              <w:rPr>
                <w:rFonts w:eastAsia="仿宋_GB2312"/>
                <w:b/>
                <w:bCs/>
                <w:color w:val="FF0000"/>
                <w:szCs w:val="21"/>
              </w:rPr>
            </w:pPr>
          </w:p>
        </w:tc>
        <w:tc>
          <w:tcPr>
            <w:tcW w:w="291" w:type="pct"/>
            <w:shd w:val="clear" w:color="auto" w:fill="auto"/>
            <w:vAlign w:val="center"/>
          </w:tcPr>
          <w:p w14:paraId="1D1A4291">
            <w:pPr>
              <w:adjustRightInd w:val="0"/>
              <w:snapToGrid w:val="0"/>
              <w:spacing w:line="320" w:lineRule="exact"/>
              <w:jc w:val="center"/>
              <w:rPr>
                <w:rFonts w:hint="default" w:ascii="Times New Roman" w:hAnsi="Times New Roman" w:eastAsia="等线" w:cs="Times New Roman"/>
                <w:color w:val="auto"/>
                <w:kern w:val="2"/>
                <w:sz w:val="21"/>
                <w:szCs w:val="21"/>
                <w:lang w:val="en-US" w:eastAsia="zh-CN" w:bidi="ar-SA"/>
              </w:rPr>
            </w:pPr>
            <w:r>
              <w:rPr>
                <w:rFonts w:eastAsia="等线"/>
                <w:color w:val="auto"/>
                <w:szCs w:val="21"/>
              </w:rPr>
              <w:t>99</w:t>
            </w:r>
          </w:p>
        </w:tc>
        <w:tc>
          <w:tcPr>
            <w:tcW w:w="291" w:type="pct"/>
            <w:shd w:val="clear" w:color="auto" w:fill="auto"/>
            <w:vAlign w:val="center"/>
          </w:tcPr>
          <w:p w14:paraId="137866CE">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1.82</w:t>
            </w:r>
          </w:p>
        </w:tc>
        <w:tc>
          <w:tcPr>
            <w:tcW w:w="297" w:type="pct"/>
            <w:shd w:val="clear" w:color="auto" w:fill="auto"/>
            <w:vAlign w:val="center"/>
          </w:tcPr>
          <w:p w14:paraId="0D0CB42C">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0.14</w:t>
            </w:r>
          </w:p>
        </w:tc>
        <w:tc>
          <w:tcPr>
            <w:tcW w:w="341" w:type="pct"/>
            <w:shd w:val="clear" w:color="auto" w:fill="auto"/>
            <w:vAlign w:val="center"/>
          </w:tcPr>
          <w:p w14:paraId="3B68AC77">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0.21</w:t>
            </w:r>
          </w:p>
        </w:tc>
        <w:tc>
          <w:tcPr>
            <w:tcW w:w="328" w:type="pct"/>
            <w:shd w:val="clear" w:color="auto" w:fill="auto"/>
            <w:vAlign w:val="center"/>
          </w:tcPr>
          <w:p w14:paraId="39AD18B6">
            <w:pPr>
              <w:adjustRightInd w:val="0"/>
              <w:snapToGrid w:val="0"/>
              <w:spacing w:line="320" w:lineRule="exact"/>
              <w:jc w:val="center"/>
              <w:rPr>
                <w:rFonts w:eastAsia="仿宋_GB2312"/>
                <w:b/>
                <w:bCs/>
                <w:color w:val="auto"/>
                <w:szCs w:val="21"/>
              </w:rPr>
            </w:pPr>
            <w:r>
              <w:rPr>
                <w:rFonts w:eastAsia="仿宋_GB2312"/>
                <w:b/>
                <w:bCs/>
                <w:color w:val="auto"/>
                <w:szCs w:val="21"/>
              </w:rPr>
              <w:t>/</w:t>
            </w:r>
          </w:p>
        </w:tc>
        <w:tc>
          <w:tcPr>
            <w:tcW w:w="300" w:type="pct"/>
            <w:shd w:val="clear" w:color="auto" w:fill="auto"/>
            <w:vAlign w:val="center"/>
          </w:tcPr>
          <w:p w14:paraId="4099E2E5">
            <w:pPr>
              <w:adjustRightInd w:val="0"/>
              <w:snapToGrid w:val="0"/>
              <w:spacing w:line="320" w:lineRule="exact"/>
              <w:jc w:val="center"/>
              <w:rPr>
                <w:rFonts w:eastAsia="仿宋_GB2312"/>
                <w:b/>
                <w:bCs/>
                <w:color w:val="auto"/>
                <w:szCs w:val="21"/>
              </w:rPr>
            </w:pPr>
            <w:r>
              <w:rPr>
                <w:rFonts w:eastAsia="仿宋_GB2312"/>
                <w:b/>
                <w:bCs/>
                <w:color w:val="auto"/>
                <w:szCs w:val="21"/>
              </w:rPr>
              <w:t>/</w:t>
            </w:r>
          </w:p>
        </w:tc>
        <w:tc>
          <w:tcPr>
            <w:tcW w:w="197" w:type="pct"/>
            <w:vMerge w:val="continue"/>
            <w:shd w:val="clear" w:color="auto" w:fill="auto"/>
            <w:vAlign w:val="center"/>
          </w:tcPr>
          <w:p w14:paraId="6AA250CB">
            <w:pPr>
              <w:adjustRightInd w:val="0"/>
              <w:snapToGrid w:val="0"/>
              <w:spacing w:line="320" w:lineRule="exact"/>
              <w:jc w:val="center"/>
              <w:rPr>
                <w:rFonts w:eastAsia="仿宋_GB2312"/>
                <w:b/>
                <w:bCs/>
                <w:color w:val="FF0000"/>
                <w:szCs w:val="21"/>
              </w:rPr>
            </w:pPr>
          </w:p>
        </w:tc>
        <w:tc>
          <w:tcPr>
            <w:tcW w:w="195" w:type="pct"/>
            <w:vMerge w:val="continue"/>
            <w:shd w:val="clear" w:color="auto" w:fill="auto"/>
            <w:vAlign w:val="center"/>
          </w:tcPr>
          <w:p w14:paraId="70026145">
            <w:pPr>
              <w:adjustRightInd w:val="0"/>
              <w:snapToGrid w:val="0"/>
              <w:spacing w:line="320" w:lineRule="exact"/>
              <w:jc w:val="center"/>
              <w:rPr>
                <w:rFonts w:eastAsia="仿宋_GB2312"/>
                <w:b/>
                <w:bCs/>
                <w:color w:val="FF0000"/>
                <w:szCs w:val="21"/>
              </w:rPr>
            </w:pPr>
          </w:p>
        </w:tc>
        <w:tc>
          <w:tcPr>
            <w:tcW w:w="193" w:type="pct"/>
            <w:vMerge w:val="continue"/>
            <w:shd w:val="clear" w:color="auto" w:fill="auto"/>
            <w:vAlign w:val="center"/>
          </w:tcPr>
          <w:p w14:paraId="265A98FE">
            <w:pPr>
              <w:adjustRightInd w:val="0"/>
              <w:snapToGrid w:val="0"/>
              <w:spacing w:line="320" w:lineRule="exact"/>
              <w:jc w:val="center"/>
              <w:rPr>
                <w:rFonts w:eastAsia="仿宋_GB2312"/>
                <w:b/>
                <w:bCs/>
                <w:color w:val="FF0000"/>
                <w:szCs w:val="21"/>
              </w:rPr>
            </w:pPr>
          </w:p>
        </w:tc>
      </w:tr>
      <w:tr w14:paraId="283A350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295" w:type="pct"/>
            <w:vMerge w:val="continue"/>
            <w:shd w:val="clear" w:color="auto" w:fill="auto"/>
            <w:vAlign w:val="center"/>
          </w:tcPr>
          <w:p w14:paraId="6E3EB6E6">
            <w:pPr>
              <w:adjustRightInd w:val="0"/>
              <w:snapToGrid w:val="0"/>
              <w:spacing w:line="320" w:lineRule="exact"/>
              <w:jc w:val="center"/>
              <w:rPr>
                <w:rFonts w:eastAsia="仿宋_GB2312"/>
                <w:b/>
                <w:bCs/>
                <w:color w:val="FF0000"/>
                <w:szCs w:val="21"/>
              </w:rPr>
            </w:pPr>
          </w:p>
        </w:tc>
        <w:tc>
          <w:tcPr>
            <w:tcW w:w="375" w:type="pct"/>
            <w:vMerge w:val="continue"/>
            <w:shd w:val="clear" w:color="auto" w:fill="auto"/>
            <w:vAlign w:val="center"/>
          </w:tcPr>
          <w:p w14:paraId="76FB99A6">
            <w:pPr>
              <w:adjustRightInd w:val="0"/>
              <w:snapToGrid w:val="0"/>
              <w:spacing w:line="320" w:lineRule="exact"/>
              <w:jc w:val="center"/>
              <w:rPr>
                <w:rFonts w:eastAsia="仿宋_GB2312"/>
                <w:b/>
                <w:bCs/>
                <w:color w:val="FF0000"/>
                <w:szCs w:val="21"/>
              </w:rPr>
            </w:pPr>
          </w:p>
        </w:tc>
        <w:tc>
          <w:tcPr>
            <w:tcW w:w="396" w:type="pct"/>
            <w:shd w:val="clear" w:color="auto" w:fill="auto"/>
            <w:vAlign w:val="center"/>
          </w:tcPr>
          <w:p w14:paraId="2D427E80">
            <w:pPr>
              <w:adjustRightInd w:val="0"/>
              <w:snapToGrid w:val="0"/>
              <w:spacing w:line="320" w:lineRule="exact"/>
              <w:jc w:val="center"/>
              <w:rPr>
                <w:rFonts w:eastAsia="仿宋_GB2312"/>
                <w:b/>
                <w:bCs/>
                <w:color w:val="auto"/>
                <w:szCs w:val="21"/>
              </w:rPr>
            </w:pPr>
            <w:r>
              <w:rPr>
                <w:rFonts w:eastAsia="仿宋_GB2312"/>
                <w:color w:val="auto"/>
                <w:szCs w:val="21"/>
              </w:rPr>
              <w:t>环己酮</w:t>
            </w:r>
          </w:p>
        </w:tc>
        <w:tc>
          <w:tcPr>
            <w:tcW w:w="338" w:type="pct"/>
            <w:shd w:val="clear" w:color="auto" w:fill="auto"/>
            <w:vAlign w:val="center"/>
          </w:tcPr>
          <w:p w14:paraId="6AFBBE74">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288.35</w:t>
            </w:r>
          </w:p>
        </w:tc>
        <w:tc>
          <w:tcPr>
            <w:tcW w:w="283" w:type="pct"/>
            <w:shd w:val="clear" w:color="auto" w:fill="auto"/>
            <w:vAlign w:val="center"/>
          </w:tcPr>
          <w:p w14:paraId="56C64CB1">
            <w:pPr>
              <w:adjustRightInd w:val="0"/>
              <w:snapToGrid w:val="0"/>
              <w:spacing w:line="320" w:lineRule="exact"/>
              <w:jc w:val="center"/>
              <w:rPr>
                <w:rFonts w:hint="default" w:eastAsia="等线"/>
                <w:color w:val="auto"/>
                <w:szCs w:val="21"/>
                <w:lang w:val="en-US" w:eastAsia="zh-CN"/>
              </w:rPr>
            </w:pPr>
            <w:r>
              <w:rPr>
                <w:rFonts w:hint="eastAsia" w:eastAsia="等线"/>
                <w:color w:val="auto"/>
                <w:szCs w:val="21"/>
                <w:lang w:val="en-US" w:eastAsia="zh-CN"/>
              </w:rPr>
              <w:t>22.78</w:t>
            </w:r>
          </w:p>
        </w:tc>
        <w:tc>
          <w:tcPr>
            <w:tcW w:w="338" w:type="pct"/>
            <w:shd w:val="clear" w:color="auto" w:fill="auto"/>
            <w:vAlign w:val="center"/>
          </w:tcPr>
          <w:p w14:paraId="10791984">
            <w:pPr>
              <w:adjustRightInd w:val="0"/>
              <w:snapToGrid w:val="0"/>
              <w:spacing w:line="320" w:lineRule="exact"/>
              <w:jc w:val="center"/>
              <w:rPr>
                <w:rFonts w:hint="default" w:eastAsia="等线"/>
                <w:color w:val="auto"/>
                <w:szCs w:val="21"/>
                <w:lang w:val="en-US" w:eastAsia="zh-CN"/>
              </w:rPr>
            </w:pPr>
            <w:r>
              <w:rPr>
                <w:rFonts w:hint="eastAsia" w:eastAsia="等线"/>
                <w:color w:val="auto"/>
                <w:szCs w:val="21"/>
                <w:lang w:val="en-US" w:eastAsia="zh-CN"/>
              </w:rPr>
              <w:t>3.029</w:t>
            </w:r>
          </w:p>
        </w:tc>
        <w:tc>
          <w:tcPr>
            <w:tcW w:w="534" w:type="pct"/>
            <w:vMerge w:val="continue"/>
            <w:shd w:val="clear" w:color="auto" w:fill="auto"/>
            <w:vAlign w:val="center"/>
          </w:tcPr>
          <w:p w14:paraId="10D4900F">
            <w:pPr>
              <w:adjustRightInd w:val="0"/>
              <w:snapToGrid w:val="0"/>
              <w:spacing w:line="320" w:lineRule="exact"/>
              <w:jc w:val="center"/>
              <w:rPr>
                <w:rFonts w:eastAsia="仿宋_GB2312"/>
                <w:b/>
                <w:bCs/>
                <w:color w:val="FF0000"/>
                <w:szCs w:val="21"/>
              </w:rPr>
            </w:pPr>
          </w:p>
        </w:tc>
        <w:tc>
          <w:tcPr>
            <w:tcW w:w="291" w:type="pct"/>
            <w:shd w:val="clear" w:color="auto" w:fill="auto"/>
            <w:vAlign w:val="center"/>
          </w:tcPr>
          <w:p w14:paraId="45A73E48">
            <w:pPr>
              <w:adjustRightInd w:val="0"/>
              <w:snapToGrid w:val="0"/>
              <w:spacing w:line="320" w:lineRule="exact"/>
              <w:jc w:val="center"/>
              <w:rPr>
                <w:rFonts w:ascii="Times New Roman" w:hAnsi="Times New Roman" w:eastAsia="等线" w:cs="Times New Roman"/>
                <w:color w:val="auto"/>
                <w:kern w:val="2"/>
                <w:sz w:val="21"/>
                <w:szCs w:val="21"/>
                <w:lang w:val="en-US" w:eastAsia="zh-CN" w:bidi="ar-SA"/>
              </w:rPr>
            </w:pPr>
            <w:r>
              <w:rPr>
                <w:rFonts w:eastAsia="等线"/>
                <w:color w:val="auto"/>
                <w:szCs w:val="21"/>
              </w:rPr>
              <w:t>99</w:t>
            </w:r>
          </w:p>
        </w:tc>
        <w:tc>
          <w:tcPr>
            <w:tcW w:w="291" w:type="pct"/>
            <w:shd w:val="clear" w:color="auto" w:fill="auto"/>
            <w:vAlign w:val="center"/>
          </w:tcPr>
          <w:p w14:paraId="3C0D17CA">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2.88</w:t>
            </w:r>
          </w:p>
        </w:tc>
        <w:tc>
          <w:tcPr>
            <w:tcW w:w="297" w:type="pct"/>
            <w:shd w:val="clear" w:color="auto" w:fill="auto"/>
            <w:vAlign w:val="center"/>
          </w:tcPr>
          <w:p w14:paraId="5D566CBC">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0.23</w:t>
            </w:r>
          </w:p>
        </w:tc>
        <w:tc>
          <w:tcPr>
            <w:tcW w:w="341" w:type="pct"/>
            <w:shd w:val="clear" w:color="auto" w:fill="auto"/>
            <w:vAlign w:val="center"/>
          </w:tcPr>
          <w:p w14:paraId="579645A8">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0.03</w:t>
            </w:r>
          </w:p>
        </w:tc>
        <w:tc>
          <w:tcPr>
            <w:tcW w:w="328" w:type="pct"/>
            <w:shd w:val="clear" w:color="auto" w:fill="auto"/>
            <w:vAlign w:val="center"/>
          </w:tcPr>
          <w:p w14:paraId="3AFB244F">
            <w:pPr>
              <w:adjustRightInd w:val="0"/>
              <w:snapToGrid w:val="0"/>
              <w:spacing w:line="320" w:lineRule="exact"/>
              <w:jc w:val="center"/>
              <w:rPr>
                <w:rFonts w:eastAsia="仿宋_GB2312"/>
                <w:b/>
                <w:bCs/>
                <w:color w:val="auto"/>
                <w:szCs w:val="21"/>
              </w:rPr>
            </w:pPr>
            <w:r>
              <w:rPr>
                <w:rFonts w:eastAsia="仿宋_GB2312"/>
                <w:b/>
                <w:bCs/>
                <w:color w:val="auto"/>
                <w:szCs w:val="21"/>
              </w:rPr>
              <w:t>/</w:t>
            </w:r>
          </w:p>
        </w:tc>
        <w:tc>
          <w:tcPr>
            <w:tcW w:w="300" w:type="pct"/>
            <w:shd w:val="clear" w:color="auto" w:fill="auto"/>
            <w:vAlign w:val="center"/>
          </w:tcPr>
          <w:p w14:paraId="4FACC237">
            <w:pPr>
              <w:adjustRightInd w:val="0"/>
              <w:snapToGrid w:val="0"/>
              <w:spacing w:line="320" w:lineRule="exact"/>
              <w:jc w:val="center"/>
              <w:rPr>
                <w:rFonts w:eastAsia="仿宋_GB2312"/>
                <w:b/>
                <w:bCs/>
                <w:color w:val="auto"/>
                <w:szCs w:val="21"/>
              </w:rPr>
            </w:pPr>
            <w:r>
              <w:rPr>
                <w:rFonts w:eastAsia="仿宋_GB2312"/>
                <w:b/>
                <w:bCs/>
                <w:color w:val="auto"/>
                <w:szCs w:val="21"/>
              </w:rPr>
              <w:t>/</w:t>
            </w:r>
          </w:p>
        </w:tc>
        <w:tc>
          <w:tcPr>
            <w:tcW w:w="197" w:type="pct"/>
            <w:vMerge w:val="continue"/>
            <w:shd w:val="clear" w:color="auto" w:fill="auto"/>
            <w:vAlign w:val="center"/>
          </w:tcPr>
          <w:p w14:paraId="31A397D1">
            <w:pPr>
              <w:adjustRightInd w:val="0"/>
              <w:snapToGrid w:val="0"/>
              <w:spacing w:line="320" w:lineRule="exact"/>
              <w:jc w:val="center"/>
              <w:rPr>
                <w:rFonts w:eastAsia="仿宋_GB2312"/>
                <w:b/>
                <w:bCs/>
                <w:color w:val="FF0000"/>
                <w:szCs w:val="21"/>
              </w:rPr>
            </w:pPr>
          </w:p>
        </w:tc>
        <w:tc>
          <w:tcPr>
            <w:tcW w:w="195" w:type="pct"/>
            <w:vMerge w:val="continue"/>
            <w:shd w:val="clear" w:color="auto" w:fill="auto"/>
            <w:vAlign w:val="center"/>
          </w:tcPr>
          <w:p w14:paraId="6C03EC9D">
            <w:pPr>
              <w:adjustRightInd w:val="0"/>
              <w:snapToGrid w:val="0"/>
              <w:spacing w:line="320" w:lineRule="exact"/>
              <w:jc w:val="center"/>
              <w:rPr>
                <w:rFonts w:eastAsia="仿宋_GB2312"/>
                <w:b/>
                <w:bCs/>
                <w:color w:val="FF0000"/>
                <w:szCs w:val="21"/>
              </w:rPr>
            </w:pPr>
          </w:p>
        </w:tc>
        <w:tc>
          <w:tcPr>
            <w:tcW w:w="193" w:type="pct"/>
            <w:vMerge w:val="continue"/>
            <w:shd w:val="clear" w:color="auto" w:fill="auto"/>
            <w:vAlign w:val="center"/>
          </w:tcPr>
          <w:p w14:paraId="6D992C02">
            <w:pPr>
              <w:adjustRightInd w:val="0"/>
              <w:snapToGrid w:val="0"/>
              <w:spacing w:line="320" w:lineRule="exact"/>
              <w:jc w:val="center"/>
              <w:rPr>
                <w:rFonts w:eastAsia="仿宋_GB2312"/>
                <w:b/>
                <w:bCs/>
                <w:color w:val="FF0000"/>
                <w:szCs w:val="21"/>
              </w:rPr>
            </w:pPr>
          </w:p>
        </w:tc>
      </w:tr>
      <w:tr w14:paraId="391997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295" w:type="pct"/>
            <w:vMerge w:val="continue"/>
            <w:shd w:val="clear" w:color="auto" w:fill="auto"/>
            <w:vAlign w:val="center"/>
          </w:tcPr>
          <w:p w14:paraId="5C10069B">
            <w:pPr>
              <w:adjustRightInd w:val="0"/>
              <w:snapToGrid w:val="0"/>
              <w:spacing w:line="320" w:lineRule="exact"/>
              <w:jc w:val="center"/>
              <w:rPr>
                <w:rFonts w:eastAsia="仿宋_GB2312"/>
                <w:b/>
                <w:bCs/>
                <w:color w:val="FF0000"/>
                <w:szCs w:val="21"/>
              </w:rPr>
            </w:pPr>
          </w:p>
        </w:tc>
        <w:tc>
          <w:tcPr>
            <w:tcW w:w="375" w:type="pct"/>
            <w:vMerge w:val="continue"/>
            <w:shd w:val="clear" w:color="auto" w:fill="auto"/>
            <w:vAlign w:val="center"/>
          </w:tcPr>
          <w:p w14:paraId="6DDA5EB1">
            <w:pPr>
              <w:adjustRightInd w:val="0"/>
              <w:snapToGrid w:val="0"/>
              <w:spacing w:line="320" w:lineRule="exact"/>
              <w:jc w:val="center"/>
              <w:rPr>
                <w:rFonts w:eastAsia="仿宋_GB2312"/>
                <w:b/>
                <w:bCs/>
                <w:color w:val="FF0000"/>
                <w:szCs w:val="21"/>
              </w:rPr>
            </w:pPr>
          </w:p>
        </w:tc>
        <w:tc>
          <w:tcPr>
            <w:tcW w:w="396" w:type="pct"/>
            <w:shd w:val="clear" w:color="auto" w:fill="auto"/>
            <w:vAlign w:val="center"/>
          </w:tcPr>
          <w:p w14:paraId="6D6FAC33">
            <w:pPr>
              <w:adjustRightInd w:val="0"/>
              <w:snapToGrid w:val="0"/>
              <w:spacing w:line="320" w:lineRule="exact"/>
              <w:jc w:val="center"/>
              <w:rPr>
                <w:rFonts w:eastAsia="仿宋_GB2312"/>
                <w:b/>
                <w:bCs/>
                <w:color w:val="auto"/>
                <w:szCs w:val="21"/>
              </w:rPr>
            </w:pPr>
            <w:r>
              <w:rPr>
                <w:rFonts w:eastAsia="仿宋_GB2312"/>
                <w:color w:val="auto"/>
                <w:szCs w:val="21"/>
              </w:rPr>
              <w:t>二氯乙烷</w:t>
            </w:r>
          </w:p>
        </w:tc>
        <w:tc>
          <w:tcPr>
            <w:tcW w:w="338" w:type="pct"/>
            <w:shd w:val="clear" w:color="auto" w:fill="auto"/>
            <w:vAlign w:val="center"/>
          </w:tcPr>
          <w:p w14:paraId="702E2320">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316.96</w:t>
            </w:r>
          </w:p>
        </w:tc>
        <w:tc>
          <w:tcPr>
            <w:tcW w:w="283" w:type="pct"/>
            <w:shd w:val="clear" w:color="auto" w:fill="auto"/>
            <w:vAlign w:val="center"/>
          </w:tcPr>
          <w:p w14:paraId="3506738B">
            <w:pPr>
              <w:adjustRightInd w:val="0"/>
              <w:snapToGrid w:val="0"/>
              <w:spacing w:line="320" w:lineRule="exact"/>
              <w:jc w:val="center"/>
              <w:rPr>
                <w:rFonts w:hint="default" w:eastAsia="等线"/>
                <w:color w:val="auto"/>
                <w:szCs w:val="21"/>
                <w:lang w:val="en-US" w:eastAsia="zh-CN"/>
              </w:rPr>
            </w:pPr>
            <w:r>
              <w:rPr>
                <w:rFonts w:hint="eastAsia" w:eastAsia="等线"/>
                <w:color w:val="auto"/>
                <w:szCs w:val="21"/>
                <w:lang w:val="en-US" w:eastAsia="zh-CN"/>
              </w:rPr>
              <w:t>25.04</w:t>
            </w:r>
          </w:p>
        </w:tc>
        <w:tc>
          <w:tcPr>
            <w:tcW w:w="338" w:type="pct"/>
            <w:shd w:val="clear" w:color="auto" w:fill="auto"/>
            <w:vAlign w:val="center"/>
          </w:tcPr>
          <w:p w14:paraId="538B6B25">
            <w:pPr>
              <w:adjustRightInd w:val="0"/>
              <w:snapToGrid w:val="0"/>
              <w:spacing w:line="320" w:lineRule="exact"/>
              <w:jc w:val="center"/>
              <w:rPr>
                <w:rFonts w:hint="default" w:eastAsia="等线"/>
                <w:color w:val="auto"/>
                <w:szCs w:val="21"/>
                <w:lang w:val="en-US" w:eastAsia="zh-CN"/>
              </w:rPr>
            </w:pPr>
            <w:r>
              <w:rPr>
                <w:rFonts w:hint="eastAsia" w:eastAsia="等线"/>
                <w:color w:val="auto"/>
                <w:szCs w:val="21"/>
                <w:lang w:val="en-US" w:eastAsia="zh-CN"/>
              </w:rPr>
              <w:t>33.095</w:t>
            </w:r>
          </w:p>
        </w:tc>
        <w:tc>
          <w:tcPr>
            <w:tcW w:w="534" w:type="pct"/>
            <w:vMerge w:val="continue"/>
            <w:shd w:val="clear" w:color="auto" w:fill="auto"/>
            <w:vAlign w:val="center"/>
          </w:tcPr>
          <w:p w14:paraId="269A4781">
            <w:pPr>
              <w:adjustRightInd w:val="0"/>
              <w:snapToGrid w:val="0"/>
              <w:spacing w:line="320" w:lineRule="exact"/>
              <w:jc w:val="center"/>
              <w:rPr>
                <w:rFonts w:eastAsia="仿宋_GB2312"/>
                <w:b/>
                <w:bCs/>
                <w:color w:val="FF0000"/>
                <w:szCs w:val="21"/>
              </w:rPr>
            </w:pPr>
          </w:p>
        </w:tc>
        <w:tc>
          <w:tcPr>
            <w:tcW w:w="291" w:type="pct"/>
            <w:shd w:val="clear" w:color="auto" w:fill="auto"/>
            <w:vAlign w:val="center"/>
          </w:tcPr>
          <w:p w14:paraId="07B5EA45">
            <w:pPr>
              <w:adjustRightInd w:val="0"/>
              <w:snapToGrid w:val="0"/>
              <w:spacing w:line="320" w:lineRule="exact"/>
              <w:jc w:val="center"/>
              <w:rPr>
                <w:rFonts w:hint="default" w:ascii="Times New Roman" w:hAnsi="Times New Roman" w:eastAsia="等线" w:cs="Times New Roman"/>
                <w:color w:val="auto"/>
                <w:kern w:val="2"/>
                <w:sz w:val="21"/>
                <w:szCs w:val="21"/>
                <w:lang w:val="en-US" w:eastAsia="zh-CN" w:bidi="ar-SA"/>
              </w:rPr>
            </w:pPr>
            <w:r>
              <w:rPr>
                <w:rFonts w:eastAsia="等线"/>
                <w:color w:val="auto"/>
                <w:szCs w:val="21"/>
              </w:rPr>
              <w:t>99</w:t>
            </w:r>
          </w:p>
        </w:tc>
        <w:tc>
          <w:tcPr>
            <w:tcW w:w="291" w:type="pct"/>
            <w:shd w:val="clear" w:color="auto" w:fill="auto"/>
            <w:vAlign w:val="center"/>
          </w:tcPr>
          <w:p w14:paraId="68E91AB4">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3.17</w:t>
            </w:r>
          </w:p>
        </w:tc>
        <w:tc>
          <w:tcPr>
            <w:tcW w:w="297" w:type="pct"/>
            <w:shd w:val="clear" w:color="auto" w:fill="auto"/>
            <w:vAlign w:val="center"/>
          </w:tcPr>
          <w:p w14:paraId="51B249B9">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0.25</w:t>
            </w:r>
          </w:p>
        </w:tc>
        <w:tc>
          <w:tcPr>
            <w:tcW w:w="341" w:type="pct"/>
            <w:shd w:val="clear" w:color="auto" w:fill="auto"/>
            <w:vAlign w:val="center"/>
          </w:tcPr>
          <w:p w14:paraId="3FC33259">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0.33</w:t>
            </w:r>
          </w:p>
        </w:tc>
        <w:tc>
          <w:tcPr>
            <w:tcW w:w="328" w:type="pct"/>
            <w:shd w:val="clear" w:color="auto" w:fill="auto"/>
            <w:vAlign w:val="center"/>
          </w:tcPr>
          <w:p w14:paraId="3E6F48A3">
            <w:pPr>
              <w:adjustRightInd w:val="0"/>
              <w:snapToGrid w:val="0"/>
              <w:spacing w:line="320" w:lineRule="exact"/>
              <w:jc w:val="center"/>
              <w:rPr>
                <w:rFonts w:eastAsia="仿宋_GB2312"/>
                <w:b/>
                <w:bCs/>
                <w:color w:val="auto"/>
                <w:szCs w:val="21"/>
              </w:rPr>
            </w:pPr>
            <w:r>
              <w:rPr>
                <w:rFonts w:eastAsia="仿宋_GB2312"/>
                <w:color w:val="auto"/>
                <w:szCs w:val="21"/>
              </w:rPr>
              <w:t>7</w:t>
            </w:r>
          </w:p>
        </w:tc>
        <w:tc>
          <w:tcPr>
            <w:tcW w:w="300" w:type="pct"/>
            <w:shd w:val="clear" w:color="auto" w:fill="auto"/>
            <w:vAlign w:val="center"/>
          </w:tcPr>
          <w:p w14:paraId="4E4279EB">
            <w:pPr>
              <w:adjustRightInd w:val="0"/>
              <w:snapToGrid w:val="0"/>
              <w:spacing w:line="320" w:lineRule="exact"/>
              <w:jc w:val="center"/>
              <w:rPr>
                <w:rFonts w:eastAsia="仿宋_GB2312"/>
                <w:b/>
                <w:bCs/>
                <w:color w:val="auto"/>
                <w:szCs w:val="21"/>
              </w:rPr>
            </w:pPr>
            <w:r>
              <w:rPr>
                <w:rFonts w:eastAsia="仿宋_GB2312"/>
                <w:color w:val="auto"/>
                <w:szCs w:val="21"/>
              </w:rPr>
              <w:t>8.1</w:t>
            </w:r>
          </w:p>
        </w:tc>
        <w:tc>
          <w:tcPr>
            <w:tcW w:w="197" w:type="pct"/>
            <w:vMerge w:val="continue"/>
            <w:shd w:val="clear" w:color="auto" w:fill="auto"/>
            <w:vAlign w:val="center"/>
          </w:tcPr>
          <w:p w14:paraId="674C0B01">
            <w:pPr>
              <w:adjustRightInd w:val="0"/>
              <w:snapToGrid w:val="0"/>
              <w:spacing w:line="320" w:lineRule="exact"/>
              <w:jc w:val="center"/>
              <w:rPr>
                <w:rFonts w:eastAsia="仿宋_GB2312"/>
                <w:b/>
                <w:bCs/>
                <w:color w:val="FF0000"/>
                <w:szCs w:val="21"/>
              </w:rPr>
            </w:pPr>
          </w:p>
        </w:tc>
        <w:tc>
          <w:tcPr>
            <w:tcW w:w="195" w:type="pct"/>
            <w:vMerge w:val="continue"/>
            <w:shd w:val="clear" w:color="auto" w:fill="auto"/>
            <w:vAlign w:val="center"/>
          </w:tcPr>
          <w:p w14:paraId="6B4F0F03">
            <w:pPr>
              <w:adjustRightInd w:val="0"/>
              <w:snapToGrid w:val="0"/>
              <w:spacing w:line="320" w:lineRule="exact"/>
              <w:jc w:val="center"/>
              <w:rPr>
                <w:rFonts w:eastAsia="仿宋_GB2312"/>
                <w:b/>
                <w:bCs/>
                <w:color w:val="FF0000"/>
                <w:szCs w:val="21"/>
              </w:rPr>
            </w:pPr>
          </w:p>
        </w:tc>
        <w:tc>
          <w:tcPr>
            <w:tcW w:w="193" w:type="pct"/>
            <w:vMerge w:val="continue"/>
            <w:shd w:val="clear" w:color="auto" w:fill="auto"/>
            <w:vAlign w:val="center"/>
          </w:tcPr>
          <w:p w14:paraId="52FFC446">
            <w:pPr>
              <w:adjustRightInd w:val="0"/>
              <w:snapToGrid w:val="0"/>
              <w:spacing w:line="320" w:lineRule="exact"/>
              <w:jc w:val="center"/>
              <w:rPr>
                <w:rFonts w:eastAsia="仿宋_GB2312"/>
                <w:b/>
                <w:bCs/>
                <w:color w:val="FF0000"/>
                <w:szCs w:val="21"/>
              </w:rPr>
            </w:pPr>
          </w:p>
        </w:tc>
      </w:tr>
      <w:tr w14:paraId="262F4A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295" w:type="pct"/>
            <w:vMerge w:val="continue"/>
            <w:shd w:val="clear" w:color="auto" w:fill="auto"/>
            <w:vAlign w:val="center"/>
          </w:tcPr>
          <w:p w14:paraId="25DDD246">
            <w:pPr>
              <w:adjustRightInd w:val="0"/>
              <w:snapToGrid w:val="0"/>
              <w:spacing w:line="320" w:lineRule="exact"/>
              <w:jc w:val="center"/>
              <w:rPr>
                <w:rFonts w:eastAsia="仿宋_GB2312"/>
                <w:b/>
                <w:bCs/>
                <w:color w:val="FF0000"/>
                <w:szCs w:val="21"/>
              </w:rPr>
            </w:pPr>
          </w:p>
        </w:tc>
        <w:tc>
          <w:tcPr>
            <w:tcW w:w="375" w:type="pct"/>
            <w:vMerge w:val="continue"/>
            <w:shd w:val="clear" w:color="auto" w:fill="auto"/>
            <w:vAlign w:val="center"/>
          </w:tcPr>
          <w:p w14:paraId="49D880E6">
            <w:pPr>
              <w:adjustRightInd w:val="0"/>
              <w:snapToGrid w:val="0"/>
              <w:spacing w:line="320" w:lineRule="exact"/>
              <w:jc w:val="center"/>
              <w:rPr>
                <w:rFonts w:eastAsia="仿宋_GB2312"/>
                <w:b/>
                <w:bCs/>
                <w:color w:val="FF0000"/>
                <w:szCs w:val="21"/>
              </w:rPr>
            </w:pPr>
          </w:p>
        </w:tc>
        <w:tc>
          <w:tcPr>
            <w:tcW w:w="396" w:type="pct"/>
            <w:shd w:val="clear" w:color="auto" w:fill="auto"/>
            <w:vAlign w:val="center"/>
          </w:tcPr>
          <w:p w14:paraId="11D5DD9C">
            <w:pPr>
              <w:adjustRightInd w:val="0"/>
              <w:snapToGrid w:val="0"/>
              <w:spacing w:line="320" w:lineRule="exact"/>
              <w:jc w:val="center"/>
              <w:rPr>
                <w:rFonts w:eastAsia="仿宋_GB2312"/>
                <w:b/>
                <w:bCs/>
                <w:color w:val="auto"/>
                <w:szCs w:val="21"/>
              </w:rPr>
            </w:pPr>
            <w:r>
              <w:rPr>
                <w:rFonts w:eastAsia="等线"/>
                <w:color w:val="auto"/>
                <w:szCs w:val="21"/>
              </w:rPr>
              <w:t>DMSO</w:t>
            </w:r>
          </w:p>
        </w:tc>
        <w:tc>
          <w:tcPr>
            <w:tcW w:w="338" w:type="pct"/>
            <w:shd w:val="clear" w:color="auto" w:fill="auto"/>
            <w:vAlign w:val="center"/>
          </w:tcPr>
          <w:p w14:paraId="54A36C48">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252.15</w:t>
            </w:r>
          </w:p>
        </w:tc>
        <w:tc>
          <w:tcPr>
            <w:tcW w:w="283" w:type="pct"/>
            <w:shd w:val="clear" w:color="auto" w:fill="auto"/>
            <w:vAlign w:val="center"/>
          </w:tcPr>
          <w:p w14:paraId="1C7DF25B">
            <w:pPr>
              <w:adjustRightInd w:val="0"/>
              <w:snapToGrid w:val="0"/>
              <w:spacing w:line="320" w:lineRule="exact"/>
              <w:jc w:val="center"/>
              <w:rPr>
                <w:rFonts w:hint="default" w:eastAsia="等线"/>
                <w:color w:val="auto"/>
                <w:szCs w:val="21"/>
                <w:lang w:val="en-US" w:eastAsia="zh-CN"/>
              </w:rPr>
            </w:pPr>
            <w:r>
              <w:rPr>
                <w:rFonts w:hint="eastAsia" w:eastAsia="等线"/>
                <w:color w:val="auto"/>
                <w:szCs w:val="21"/>
                <w:lang w:val="en-US" w:eastAsia="zh-CN"/>
              </w:rPr>
              <w:t>19.92</w:t>
            </w:r>
          </w:p>
        </w:tc>
        <w:tc>
          <w:tcPr>
            <w:tcW w:w="338" w:type="pct"/>
            <w:shd w:val="clear" w:color="auto" w:fill="auto"/>
            <w:vAlign w:val="center"/>
          </w:tcPr>
          <w:p w14:paraId="26C74BA0">
            <w:pPr>
              <w:adjustRightInd w:val="0"/>
              <w:snapToGrid w:val="0"/>
              <w:spacing w:line="320" w:lineRule="exact"/>
              <w:jc w:val="center"/>
              <w:rPr>
                <w:rFonts w:hint="default" w:eastAsia="等线"/>
                <w:color w:val="auto"/>
                <w:szCs w:val="21"/>
                <w:lang w:val="en-US" w:eastAsia="zh-CN"/>
              </w:rPr>
            </w:pPr>
            <w:r>
              <w:rPr>
                <w:rFonts w:hint="eastAsia" w:eastAsia="等线"/>
                <w:color w:val="auto"/>
                <w:szCs w:val="21"/>
                <w:lang w:val="en-US" w:eastAsia="zh-CN"/>
              </w:rPr>
              <w:t>109.318</w:t>
            </w:r>
          </w:p>
        </w:tc>
        <w:tc>
          <w:tcPr>
            <w:tcW w:w="534" w:type="pct"/>
            <w:vMerge w:val="continue"/>
            <w:shd w:val="clear" w:color="auto" w:fill="auto"/>
            <w:vAlign w:val="center"/>
          </w:tcPr>
          <w:p w14:paraId="46AD064D">
            <w:pPr>
              <w:adjustRightInd w:val="0"/>
              <w:snapToGrid w:val="0"/>
              <w:spacing w:line="320" w:lineRule="exact"/>
              <w:jc w:val="center"/>
              <w:rPr>
                <w:rFonts w:eastAsia="仿宋_GB2312"/>
                <w:b/>
                <w:bCs/>
                <w:color w:val="FF0000"/>
                <w:szCs w:val="21"/>
              </w:rPr>
            </w:pPr>
          </w:p>
        </w:tc>
        <w:tc>
          <w:tcPr>
            <w:tcW w:w="291" w:type="pct"/>
            <w:shd w:val="clear" w:color="auto" w:fill="auto"/>
            <w:vAlign w:val="center"/>
          </w:tcPr>
          <w:p w14:paraId="76D79541">
            <w:pPr>
              <w:adjustRightInd w:val="0"/>
              <w:snapToGrid w:val="0"/>
              <w:spacing w:line="320" w:lineRule="exact"/>
              <w:jc w:val="center"/>
              <w:rPr>
                <w:rFonts w:ascii="Times New Roman" w:hAnsi="Times New Roman" w:eastAsia="等线" w:cs="Times New Roman"/>
                <w:color w:val="auto"/>
                <w:kern w:val="2"/>
                <w:sz w:val="21"/>
                <w:szCs w:val="21"/>
                <w:lang w:val="en-US" w:eastAsia="zh-CN" w:bidi="ar-SA"/>
              </w:rPr>
            </w:pPr>
            <w:r>
              <w:rPr>
                <w:rFonts w:eastAsia="等线"/>
                <w:color w:val="auto"/>
                <w:szCs w:val="21"/>
              </w:rPr>
              <w:t>99</w:t>
            </w:r>
          </w:p>
        </w:tc>
        <w:tc>
          <w:tcPr>
            <w:tcW w:w="291" w:type="pct"/>
            <w:shd w:val="clear" w:color="auto" w:fill="auto"/>
            <w:vAlign w:val="center"/>
          </w:tcPr>
          <w:p w14:paraId="4785E449">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2.52</w:t>
            </w:r>
          </w:p>
        </w:tc>
        <w:tc>
          <w:tcPr>
            <w:tcW w:w="297" w:type="pct"/>
            <w:shd w:val="clear" w:color="auto" w:fill="auto"/>
            <w:vAlign w:val="center"/>
          </w:tcPr>
          <w:p w14:paraId="7693A027">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0.20</w:t>
            </w:r>
          </w:p>
        </w:tc>
        <w:tc>
          <w:tcPr>
            <w:tcW w:w="341" w:type="pct"/>
            <w:shd w:val="clear" w:color="auto" w:fill="auto"/>
            <w:vAlign w:val="center"/>
          </w:tcPr>
          <w:p w14:paraId="1873FDFE">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1.09</w:t>
            </w:r>
          </w:p>
        </w:tc>
        <w:tc>
          <w:tcPr>
            <w:tcW w:w="328" w:type="pct"/>
            <w:shd w:val="clear" w:color="auto" w:fill="auto"/>
            <w:vAlign w:val="center"/>
          </w:tcPr>
          <w:p w14:paraId="34E3BCA3">
            <w:pPr>
              <w:adjustRightInd w:val="0"/>
              <w:snapToGrid w:val="0"/>
              <w:spacing w:line="320" w:lineRule="exact"/>
              <w:jc w:val="center"/>
              <w:rPr>
                <w:rFonts w:eastAsia="仿宋_GB2312"/>
                <w:b/>
                <w:bCs/>
                <w:color w:val="auto"/>
                <w:szCs w:val="21"/>
              </w:rPr>
            </w:pPr>
            <w:r>
              <w:rPr>
                <w:rFonts w:eastAsia="仿宋_GB2312"/>
                <w:b/>
                <w:bCs/>
                <w:color w:val="auto"/>
                <w:szCs w:val="21"/>
              </w:rPr>
              <w:t>/</w:t>
            </w:r>
          </w:p>
        </w:tc>
        <w:tc>
          <w:tcPr>
            <w:tcW w:w="300" w:type="pct"/>
            <w:shd w:val="clear" w:color="auto" w:fill="auto"/>
            <w:vAlign w:val="center"/>
          </w:tcPr>
          <w:p w14:paraId="1FC87802">
            <w:pPr>
              <w:adjustRightInd w:val="0"/>
              <w:snapToGrid w:val="0"/>
              <w:spacing w:line="320" w:lineRule="exact"/>
              <w:jc w:val="center"/>
              <w:rPr>
                <w:rFonts w:eastAsia="仿宋_GB2312"/>
                <w:b/>
                <w:bCs/>
                <w:color w:val="auto"/>
                <w:szCs w:val="21"/>
              </w:rPr>
            </w:pPr>
            <w:r>
              <w:rPr>
                <w:rFonts w:eastAsia="仿宋_GB2312"/>
                <w:b/>
                <w:bCs/>
                <w:color w:val="auto"/>
                <w:szCs w:val="21"/>
              </w:rPr>
              <w:t>/</w:t>
            </w:r>
          </w:p>
        </w:tc>
        <w:tc>
          <w:tcPr>
            <w:tcW w:w="197" w:type="pct"/>
            <w:vMerge w:val="continue"/>
            <w:shd w:val="clear" w:color="auto" w:fill="auto"/>
            <w:vAlign w:val="center"/>
          </w:tcPr>
          <w:p w14:paraId="68B0A071">
            <w:pPr>
              <w:adjustRightInd w:val="0"/>
              <w:snapToGrid w:val="0"/>
              <w:spacing w:line="320" w:lineRule="exact"/>
              <w:jc w:val="center"/>
              <w:rPr>
                <w:rFonts w:eastAsia="仿宋_GB2312"/>
                <w:b/>
                <w:bCs/>
                <w:color w:val="FF0000"/>
                <w:szCs w:val="21"/>
              </w:rPr>
            </w:pPr>
          </w:p>
        </w:tc>
        <w:tc>
          <w:tcPr>
            <w:tcW w:w="195" w:type="pct"/>
            <w:vMerge w:val="continue"/>
            <w:shd w:val="clear" w:color="auto" w:fill="auto"/>
            <w:vAlign w:val="center"/>
          </w:tcPr>
          <w:p w14:paraId="5B080656">
            <w:pPr>
              <w:adjustRightInd w:val="0"/>
              <w:snapToGrid w:val="0"/>
              <w:spacing w:line="320" w:lineRule="exact"/>
              <w:jc w:val="center"/>
              <w:rPr>
                <w:rFonts w:eastAsia="仿宋_GB2312"/>
                <w:b/>
                <w:bCs/>
                <w:color w:val="FF0000"/>
                <w:szCs w:val="21"/>
              </w:rPr>
            </w:pPr>
          </w:p>
        </w:tc>
        <w:tc>
          <w:tcPr>
            <w:tcW w:w="193" w:type="pct"/>
            <w:vMerge w:val="continue"/>
            <w:shd w:val="clear" w:color="auto" w:fill="auto"/>
            <w:vAlign w:val="center"/>
          </w:tcPr>
          <w:p w14:paraId="5DE7F1AC">
            <w:pPr>
              <w:adjustRightInd w:val="0"/>
              <w:snapToGrid w:val="0"/>
              <w:spacing w:line="320" w:lineRule="exact"/>
              <w:jc w:val="center"/>
              <w:rPr>
                <w:rFonts w:eastAsia="仿宋_GB2312"/>
                <w:b/>
                <w:bCs/>
                <w:color w:val="FF0000"/>
                <w:szCs w:val="21"/>
              </w:rPr>
            </w:pPr>
          </w:p>
        </w:tc>
      </w:tr>
      <w:tr w14:paraId="497025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295" w:type="pct"/>
            <w:vMerge w:val="continue"/>
            <w:shd w:val="clear" w:color="auto" w:fill="auto"/>
            <w:vAlign w:val="center"/>
          </w:tcPr>
          <w:p w14:paraId="7F5A07BD">
            <w:pPr>
              <w:adjustRightInd w:val="0"/>
              <w:snapToGrid w:val="0"/>
              <w:spacing w:line="320" w:lineRule="exact"/>
              <w:jc w:val="center"/>
              <w:rPr>
                <w:rFonts w:eastAsia="仿宋_GB2312"/>
                <w:b/>
                <w:bCs/>
                <w:color w:val="FF0000"/>
                <w:szCs w:val="21"/>
              </w:rPr>
            </w:pPr>
          </w:p>
        </w:tc>
        <w:tc>
          <w:tcPr>
            <w:tcW w:w="375" w:type="pct"/>
            <w:vMerge w:val="continue"/>
            <w:shd w:val="clear" w:color="auto" w:fill="auto"/>
            <w:vAlign w:val="center"/>
          </w:tcPr>
          <w:p w14:paraId="3BE7CCDB">
            <w:pPr>
              <w:adjustRightInd w:val="0"/>
              <w:snapToGrid w:val="0"/>
              <w:spacing w:line="320" w:lineRule="exact"/>
              <w:jc w:val="center"/>
              <w:rPr>
                <w:rFonts w:eastAsia="仿宋_GB2312"/>
                <w:b/>
                <w:bCs/>
                <w:color w:val="FF0000"/>
                <w:szCs w:val="21"/>
              </w:rPr>
            </w:pPr>
          </w:p>
        </w:tc>
        <w:tc>
          <w:tcPr>
            <w:tcW w:w="396" w:type="pct"/>
            <w:shd w:val="clear" w:color="auto" w:fill="auto"/>
            <w:vAlign w:val="center"/>
          </w:tcPr>
          <w:p w14:paraId="46AAB650">
            <w:pPr>
              <w:adjustRightInd w:val="0"/>
              <w:snapToGrid w:val="0"/>
              <w:spacing w:line="320" w:lineRule="exact"/>
              <w:jc w:val="center"/>
              <w:rPr>
                <w:rFonts w:eastAsia="仿宋_GB2312"/>
                <w:b/>
                <w:bCs/>
                <w:color w:val="auto"/>
                <w:szCs w:val="21"/>
              </w:rPr>
            </w:pPr>
            <w:r>
              <w:rPr>
                <w:rFonts w:eastAsia="仿宋_GB2312"/>
                <w:color w:val="auto"/>
                <w:szCs w:val="21"/>
              </w:rPr>
              <w:t>丁醇</w:t>
            </w:r>
          </w:p>
        </w:tc>
        <w:tc>
          <w:tcPr>
            <w:tcW w:w="338" w:type="pct"/>
            <w:shd w:val="clear" w:color="auto" w:fill="auto"/>
            <w:vAlign w:val="center"/>
          </w:tcPr>
          <w:p w14:paraId="1E210337">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66.58</w:t>
            </w:r>
          </w:p>
        </w:tc>
        <w:tc>
          <w:tcPr>
            <w:tcW w:w="283" w:type="pct"/>
            <w:shd w:val="clear" w:color="auto" w:fill="auto"/>
            <w:vAlign w:val="center"/>
          </w:tcPr>
          <w:p w14:paraId="73851AE3">
            <w:pPr>
              <w:adjustRightInd w:val="0"/>
              <w:snapToGrid w:val="0"/>
              <w:spacing w:line="320" w:lineRule="exact"/>
              <w:jc w:val="center"/>
              <w:rPr>
                <w:rFonts w:hint="default" w:eastAsia="等线"/>
                <w:color w:val="auto"/>
                <w:szCs w:val="21"/>
                <w:lang w:val="en-US" w:eastAsia="zh-CN"/>
              </w:rPr>
            </w:pPr>
            <w:r>
              <w:rPr>
                <w:rFonts w:hint="eastAsia" w:eastAsia="等线"/>
                <w:color w:val="auto"/>
                <w:szCs w:val="21"/>
                <w:lang w:val="en-US" w:eastAsia="zh-CN"/>
              </w:rPr>
              <w:t>5.26</w:t>
            </w:r>
          </w:p>
        </w:tc>
        <w:tc>
          <w:tcPr>
            <w:tcW w:w="338" w:type="pct"/>
            <w:shd w:val="clear" w:color="auto" w:fill="auto"/>
            <w:vAlign w:val="center"/>
          </w:tcPr>
          <w:p w14:paraId="5465625C">
            <w:pPr>
              <w:adjustRightInd w:val="0"/>
              <w:snapToGrid w:val="0"/>
              <w:spacing w:line="320" w:lineRule="exact"/>
              <w:jc w:val="center"/>
              <w:rPr>
                <w:rFonts w:hint="default" w:eastAsia="等线"/>
                <w:color w:val="auto"/>
                <w:szCs w:val="21"/>
                <w:lang w:val="en-US" w:eastAsia="zh-CN"/>
              </w:rPr>
            </w:pPr>
            <w:r>
              <w:rPr>
                <w:rFonts w:hint="eastAsia" w:eastAsia="等线"/>
                <w:color w:val="auto"/>
                <w:szCs w:val="21"/>
                <w:lang w:val="en-US" w:eastAsia="zh-CN"/>
              </w:rPr>
              <w:t>2.932</w:t>
            </w:r>
          </w:p>
        </w:tc>
        <w:tc>
          <w:tcPr>
            <w:tcW w:w="534" w:type="pct"/>
            <w:vMerge w:val="continue"/>
            <w:shd w:val="clear" w:color="auto" w:fill="auto"/>
            <w:vAlign w:val="center"/>
          </w:tcPr>
          <w:p w14:paraId="507B52D7">
            <w:pPr>
              <w:adjustRightInd w:val="0"/>
              <w:snapToGrid w:val="0"/>
              <w:spacing w:line="320" w:lineRule="exact"/>
              <w:jc w:val="center"/>
              <w:rPr>
                <w:rFonts w:eastAsia="仿宋_GB2312"/>
                <w:b/>
                <w:bCs/>
                <w:color w:val="FF0000"/>
                <w:szCs w:val="21"/>
              </w:rPr>
            </w:pPr>
          </w:p>
        </w:tc>
        <w:tc>
          <w:tcPr>
            <w:tcW w:w="291" w:type="pct"/>
            <w:shd w:val="clear" w:color="auto" w:fill="auto"/>
            <w:vAlign w:val="center"/>
          </w:tcPr>
          <w:p w14:paraId="2625DFC5">
            <w:pPr>
              <w:adjustRightInd w:val="0"/>
              <w:snapToGrid w:val="0"/>
              <w:spacing w:line="320" w:lineRule="exact"/>
              <w:jc w:val="center"/>
              <w:rPr>
                <w:rFonts w:ascii="Times New Roman" w:hAnsi="Times New Roman" w:eastAsia="等线" w:cs="Times New Roman"/>
                <w:color w:val="auto"/>
                <w:kern w:val="2"/>
                <w:sz w:val="21"/>
                <w:szCs w:val="21"/>
                <w:lang w:val="en-US" w:eastAsia="zh-CN" w:bidi="ar-SA"/>
              </w:rPr>
            </w:pPr>
            <w:r>
              <w:rPr>
                <w:rFonts w:eastAsia="等线"/>
                <w:color w:val="auto"/>
                <w:szCs w:val="21"/>
              </w:rPr>
              <w:t>99</w:t>
            </w:r>
          </w:p>
        </w:tc>
        <w:tc>
          <w:tcPr>
            <w:tcW w:w="291" w:type="pct"/>
            <w:shd w:val="clear" w:color="auto" w:fill="auto"/>
            <w:vAlign w:val="center"/>
          </w:tcPr>
          <w:p w14:paraId="16063DFE">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0.67</w:t>
            </w:r>
          </w:p>
        </w:tc>
        <w:tc>
          <w:tcPr>
            <w:tcW w:w="297" w:type="pct"/>
            <w:shd w:val="clear" w:color="auto" w:fill="auto"/>
            <w:vAlign w:val="center"/>
          </w:tcPr>
          <w:p w14:paraId="0885004F">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0.05</w:t>
            </w:r>
          </w:p>
        </w:tc>
        <w:tc>
          <w:tcPr>
            <w:tcW w:w="341" w:type="pct"/>
            <w:shd w:val="clear" w:color="auto" w:fill="auto"/>
            <w:vAlign w:val="center"/>
          </w:tcPr>
          <w:p w14:paraId="716991AA">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0.03</w:t>
            </w:r>
          </w:p>
        </w:tc>
        <w:tc>
          <w:tcPr>
            <w:tcW w:w="328" w:type="pct"/>
            <w:shd w:val="clear" w:color="auto" w:fill="auto"/>
            <w:vAlign w:val="center"/>
          </w:tcPr>
          <w:p w14:paraId="7A062515">
            <w:pPr>
              <w:adjustRightInd w:val="0"/>
              <w:snapToGrid w:val="0"/>
              <w:spacing w:line="320" w:lineRule="exact"/>
              <w:jc w:val="center"/>
              <w:rPr>
                <w:rFonts w:eastAsia="仿宋_GB2312"/>
                <w:b/>
                <w:bCs/>
                <w:color w:val="auto"/>
                <w:szCs w:val="21"/>
              </w:rPr>
            </w:pPr>
            <w:r>
              <w:rPr>
                <w:rFonts w:eastAsia="仿宋_GB2312"/>
                <w:color w:val="auto"/>
                <w:szCs w:val="21"/>
              </w:rPr>
              <w:t>40</w:t>
            </w:r>
          </w:p>
        </w:tc>
        <w:tc>
          <w:tcPr>
            <w:tcW w:w="300" w:type="pct"/>
            <w:shd w:val="clear" w:color="auto" w:fill="auto"/>
            <w:vAlign w:val="center"/>
          </w:tcPr>
          <w:p w14:paraId="58C9A06C">
            <w:pPr>
              <w:adjustRightInd w:val="0"/>
              <w:snapToGrid w:val="0"/>
              <w:spacing w:line="320" w:lineRule="exact"/>
              <w:jc w:val="center"/>
              <w:rPr>
                <w:rFonts w:eastAsia="仿宋_GB2312"/>
                <w:b/>
                <w:bCs/>
                <w:color w:val="auto"/>
                <w:szCs w:val="21"/>
              </w:rPr>
            </w:pPr>
            <w:r>
              <w:rPr>
                <w:rFonts w:eastAsia="仿宋_GB2312"/>
                <w:color w:val="auto"/>
                <w:szCs w:val="21"/>
              </w:rPr>
              <w:t>5.4</w:t>
            </w:r>
          </w:p>
        </w:tc>
        <w:tc>
          <w:tcPr>
            <w:tcW w:w="197" w:type="pct"/>
            <w:vMerge w:val="continue"/>
            <w:shd w:val="clear" w:color="auto" w:fill="auto"/>
            <w:vAlign w:val="center"/>
          </w:tcPr>
          <w:p w14:paraId="4A1C2A92">
            <w:pPr>
              <w:adjustRightInd w:val="0"/>
              <w:snapToGrid w:val="0"/>
              <w:spacing w:line="320" w:lineRule="exact"/>
              <w:jc w:val="center"/>
              <w:rPr>
                <w:rFonts w:eastAsia="仿宋_GB2312"/>
                <w:b/>
                <w:bCs/>
                <w:color w:val="FF0000"/>
                <w:szCs w:val="21"/>
              </w:rPr>
            </w:pPr>
          </w:p>
        </w:tc>
        <w:tc>
          <w:tcPr>
            <w:tcW w:w="195" w:type="pct"/>
            <w:vMerge w:val="continue"/>
            <w:shd w:val="clear" w:color="auto" w:fill="auto"/>
            <w:vAlign w:val="center"/>
          </w:tcPr>
          <w:p w14:paraId="359A0CFD">
            <w:pPr>
              <w:adjustRightInd w:val="0"/>
              <w:snapToGrid w:val="0"/>
              <w:spacing w:line="320" w:lineRule="exact"/>
              <w:jc w:val="center"/>
              <w:rPr>
                <w:rFonts w:eastAsia="仿宋_GB2312"/>
                <w:b/>
                <w:bCs/>
                <w:color w:val="FF0000"/>
                <w:szCs w:val="21"/>
              </w:rPr>
            </w:pPr>
          </w:p>
        </w:tc>
        <w:tc>
          <w:tcPr>
            <w:tcW w:w="193" w:type="pct"/>
            <w:vMerge w:val="continue"/>
            <w:shd w:val="clear" w:color="auto" w:fill="auto"/>
            <w:vAlign w:val="center"/>
          </w:tcPr>
          <w:p w14:paraId="71F1199A">
            <w:pPr>
              <w:adjustRightInd w:val="0"/>
              <w:snapToGrid w:val="0"/>
              <w:spacing w:line="320" w:lineRule="exact"/>
              <w:jc w:val="center"/>
              <w:rPr>
                <w:rFonts w:eastAsia="仿宋_GB2312"/>
                <w:b/>
                <w:bCs/>
                <w:color w:val="FF0000"/>
                <w:szCs w:val="21"/>
              </w:rPr>
            </w:pPr>
          </w:p>
        </w:tc>
      </w:tr>
      <w:tr w14:paraId="68FDCB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295" w:type="pct"/>
            <w:vMerge w:val="continue"/>
            <w:shd w:val="clear" w:color="auto" w:fill="auto"/>
            <w:vAlign w:val="center"/>
          </w:tcPr>
          <w:p w14:paraId="6E494F96">
            <w:pPr>
              <w:adjustRightInd w:val="0"/>
              <w:snapToGrid w:val="0"/>
              <w:spacing w:line="320" w:lineRule="exact"/>
              <w:jc w:val="center"/>
              <w:rPr>
                <w:rFonts w:eastAsia="仿宋_GB2312"/>
                <w:b/>
                <w:bCs/>
                <w:color w:val="FF0000"/>
                <w:szCs w:val="21"/>
              </w:rPr>
            </w:pPr>
          </w:p>
        </w:tc>
        <w:tc>
          <w:tcPr>
            <w:tcW w:w="375" w:type="pct"/>
            <w:vMerge w:val="continue"/>
            <w:shd w:val="clear" w:color="auto" w:fill="auto"/>
            <w:vAlign w:val="center"/>
          </w:tcPr>
          <w:p w14:paraId="0D7F29BA">
            <w:pPr>
              <w:adjustRightInd w:val="0"/>
              <w:snapToGrid w:val="0"/>
              <w:spacing w:line="320" w:lineRule="exact"/>
              <w:jc w:val="center"/>
              <w:rPr>
                <w:rFonts w:eastAsia="仿宋_GB2312"/>
                <w:b/>
                <w:bCs/>
                <w:color w:val="FF0000"/>
                <w:szCs w:val="21"/>
              </w:rPr>
            </w:pPr>
          </w:p>
        </w:tc>
        <w:tc>
          <w:tcPr>
            <w:tcW w:w="396" w:type="pct"/>
            <w:shd w:val="clear" w:color="auto" w:fill="auto"/>
            <w:vAlign w:val="center"/>
          </w:tcPr>
          <w:p w14:paraId="62707E57">
            <w:pPr>
              <w:adjustRightInd w:val="0"/>
              <w:snapToGrid w:val="0"/>
              <w:spacing w:line="320" w:lineRule="exact"/>
              <w:jc w:val="center"/>
              <w:rPr>
                <w:rFonts w:eastAsia="仿宋_GB2312"/>
                <w:b/>
                <w:bCs/>
                <w:color w:val="auto"/>
                <w:szCs w:val="21"/>
              </w:rPr>
            </w:pPr>
            <w:r>
              <w:rPr>
                <w:rFonts w:eastAsia="仿宋_GB2312"/>
                <w:color w:val="auto"/>
                <w:szCs w:val="21"/>
              </w:rPr>
              <w:t>辛醇</w:t>
            </w:r>
          </w:p>
        </w:tc>
        <w:tc>
          <w:tcPr>
            <w:tcW w:w="338" w:type="pct"/>
            <w:shd w:val="clear" w:color="auto" w:fill="auto"/>
            <w:vAlign w:val="center"/>
          </w:tcPr>
          <w:p w14:paraId="10ABAB2C">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73.16</w:t>
            </w:r>
          </w:p>
        </w:tc>
        <w:tc>
          <w:tcPr>
            <w:tcW w:w="283" w:type="pct"/>
            <w:shd w:val="clear" w:color="auto" w:fill="auto"/>
            <w:vAlign w:val="center"/>
          </w:tcPr>
          <w:p w14:paraId="24D2691D">
            <w:pPr>
              <w:adjustRightInd w:val="0"/>
              <w:snapToGrid w:val="0"/>
              <w:spacing w:line="320" w:lineRule="exact"/>
              <w:jc w:val="center"/>
              <w:rPr>
                <w:rFonts w:hint="default" w:eastAsia="等线"/>
                <w:color w:val="auto"/>
                <w:szCs w:val="21"/>
                <w:lang w:val="en-US" w:eastAsia="zh-CN"/>
              </w:rPr>
            </w:pPr>
            <w:r>
              <w:rPr>
                <w:rFonts w:hint="eastAsia" w:eastAsia="等线"/>
                <w:color w:val="auto"/>
                <w:szCs w:val="21"/>
                <w:lang w:val="en-US" w:eastAsia="zh-CN"/>
              </w:rPr>
              <w:t>5.78</w:t>
            </w:r>
          </w:p>
        </w:tc>
        <w:tc>
          <w:tcPr>
            <w:tcW w:w="338" w:type="pct"/>
            <w:shd w:val="clear" w:color="auto" w:fill="auto"/>
            <w:vAlign w:val="center"/>
          </w:tcPr>
          <w:p w14:paraId="371744DE">
            <w:pPr>
              <w:adjustRightInd w:val="0"/>
              <w:snapToGrid w:val="0"/>
              <w:spacing w:line="320" w:lineRule="exact"/>
              <w:jc w:val="center"/>
              <w:rPr>
                <w:rFonts w:hint="default" w:eastAsia="等线"/>
                <w:color w:val="auto"/>
                <w:szCs w:val="21"/>
                <w:lang w:val="en-US" w:eastAsia="zh-CN"/>
              </w:rPr>
            </w:pPr>
            <w:r>
              <w:rPr>
                <w:rFonts w:hint="eastAsia" w:eastAsia="等线"/>
                <w:color w:val="auto"/>
                <w:szCs w:val="21"/>
                <w:lang w:val="en-US" w:eastAsia="zh-CN"/>
              </w:rPr>
              <w:t>3.014</w:t>
            </w:r>
          </w:p>
        </w:tc>
        <w:tc>
          <w:tcPr>
            <w:tcW w:w="534" w:type="pct"/>
            <w:vMerge w:val="continue"/>
            <w:shd w:val="clear" w:color="auto" w:fill="auto"/>
            <w:vAlign w:val="center"/>
          </w:tcPr>
          <w:p w14:paraId="12B9CF7E">
            <w:pPr>
              <w:adjustRightInd w:val="0"/>
              <w:snapToGrid w:val="0"/>
              <w:spacing w:line="320" w:lineRule="exact"/>
              <w:jc w:val="center"/>
              <w:rPr>
                <w:rFonts w:eastAsia="仿宋_GB2312"/>
                <w:b/>
                <w:bCs/>
                <w:color w:val="FF0000"/>
                <w:szCs w:val="21"/>
              </w:rPr>
            </w:pPr>
          </w:p>
        </w:tc>
        <w:tc>
          <w:tcPr>
            <w:tcW w:w="291" w:type="pct"/>
            <w:shd w:val="clear" w:color="auto" w:fill="auto"/>
            <w:vAlign w:val="center"/>
          </w:tcPr>
          <w:p w14:paraId="7D59DC40">
            <w:pPr>
              <w:adjustRightInd w:val="0"/>
              <w:snapToGrid w:val="0"/>
              <w:spacing w:line="320" w:lineRule="exact"/>
              <w:jc w:val="center"/>
              <w:rPr>
                <w:rFonts w:hint="default" w:ascii="Times New Roman" w:hAnsi="Times New Roman" w:eastAsia="等线" w:cs="Times New Roman"/>
                <w:color w:val="auto"/>
                <w:kern w:val="2"/>
                <w:sz w:val="21"/>
                <w:szCs w:val="21"/>
                <w:lang w:val="en-US" w:eastAsia="zh-CN" w:bidi="ar-SA"/>
              </w:rPr>
            </w:pPr>
            <w:r>
              <w:rPr>
                <w:rFonts w:eastAsia="等线"/>
                <w:color w:val="auto"/>
                <w:szCs w:val="21"/>
              </w:rPr>
              <w:t>99</w:t>
            </w:r>
          </w:p>
        </w:tc>
        <w:tc>
          <w:tcPr>
            <w:tcW w:w="291" w:type="pct"/>
            <w:shd w:val="clear" w:color="auto" w:fill="auto"/>
            <w:vAlign w:val="center"/>
          </w:tcPr>
          <w:p w14:paraId="7B638E63">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0.73</w:t>
            </w:r>
          </w:p>
        </w:tc>
        <w:tc>
          <w:tcPr>
            <w:tcW w:w="297" w:type="pct"/>
            <w:shd w:val="clear" w:color="auto" w:fill="auto"/>
            <w:vAlign w:val="center"/>
          </w:tcPr>
          <w:p w14:paraId="355A7802">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0.06</w:t>
            </w:r>
          </w:p>
        </w:tc>
        <w:tc>
          <w:tcPr>
            <w:tcW w:w="341" w:type="pct"/>
            <w:shd w:val="clear" w:color="auto" w:fill="auto"/>
            <w:vAlign w:val="center"/>
          </w:tcPr>
          <w:p w14:paraId="6ABAAAEF">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0.03</w:t>
            </w:r>
          </w:p>
        </w:tc>
        <w:tc>
          <w:tcPr>
            <w:tcW w:w="328" w:type="pct"/>
            <w:shd w:val="clear" w:color="auto" w:fill="auto"/>
            <w:vAlign w:val="center"/>
          </w:tcPr>
          <w:p w14:paraId="163C743C">
            <w:pPr>
              <w:adjustRightInd w:val="0"/>
              <w:snapToGrid w:val="0"/>
              <w:spacing w:line="320" w:lineRule="exact"/>
              <w:jc w:val="center"/>
              <w:rPr>
                <w:rFonts w:eastAsia="仿宋_GB2312"/>
                <w:b/>
                <w:bCs/>
                <w:color w:val="auto"/>
                <w:szCs w:val="21"/>
              </w:rPr>
            </w:pPr>
            <w:r>
              <w:rPr>
                <w:rFonts w:eastAsia="仿宋_GB2312"/>
                <w:b/>
                <w:bCs/>
                <w:color w:val="auto"/>
                <w:szCs w:val="21"/>
              </w:rPr>
              <w:t>/</w:t>
            </w:r>
          </w:p>
        </w:tc>
        <w:tc>
          <w:tcPr>
            <w:tcW w:w="300" w:type="pct"/>
            <w:shd w:val="clear" w:color="auto" w:fill="auto"/>
            <w:vAlign w:val="center"/>
          </w:tcPr>
          <w:p w14:paraId="2843DA5F">
            <w:pPr>
              <w:adjustRightInd w:val="0"/>
              <w:snapToGrid w:val="0"/>
              <w:spacing w:line="320" w:lineRule="exact"/>
              <w:jc w:val="center"/>
              <w:rPr>
                <w:rFonts w:eastAsia="仿宋_GB2312"/>
                <w:b/>
                <w:bCs/>
                <w:color w:val="auto"/>
                <w:szCs w:val="21"/>
              </w:rPr>
            </w:pPr>
            <w:r>
              <w:rPr>
                <w:rFonts w:eastAsia="仿宋_GB2312"/>
                <w:b/>
                <w:bCs/>
                <w:color w:val="auto"/>
                <w:szCs w:val="21"/>
              </w:rPr>
              <w:t>/</w:t>
            </w:r>
          </w:p>
        </w:tc>
        <w:tc>
          <w:tcPr>
            <w:tcW w:w="197" w:type="pct"/>
            <w:vMerge w:val="continue"/>
            <w:shd w:val="clear" w:color="auto" w:fill="auto"/>
            <w:vAlign w:val="center"/>
          </w:tcPr>
          <w:p w14:paraId="4E1D274F">
            <w:pPr>
              <w:adjustRightInd w:val="0"/>
              <w:snapToGrid w:val="0"/>
              <w:spacing w:line="320" w:lineRule="exact"/>
              <w:jc w:val="center"/>
              <w:rPr>
                <w:rFonts w:eastAsia="仿宋_GB2312"/>
                <w:b/>
                <w:bCs/>
                <w:color w:val="FF0000"/>
                <w:szCs w:val="21"/>
              </w:rPr>
            </w:pPr>
          </w:p>
        </w:tc>
        <w:tc>
          <w:tcPr>
            <w:tcW w:w="195" w:type="pct"/>
            <w:vMerge w:val="continue"/>
            <w:shd w:val="clear" w:color="auto" w:fill="auto"/>
            <w:vAlign w:val="center"/>
          </w:tcPr>
          <w:p w14:paraId="4F79CF66">
            <w:pPr>
              <w:adjustRightInd w:val="0"/>
              <w:snapToGrid w:val="0"/>
              <w:spacing w:line="320" w:lineRule="exact"/>
              <w:jc w:val="center"/>
              <w:rPr>
                <w:rFonts w:eastAsia="仿宋_GB2312"/>
                <w:b/>
                <w:bCs/>
                <w:color w:val="FF0000"/>
                <w:szCs w:val="21"/>
              </w:rPr>
            </w:pPr>
          </w:p>
        </w:tc>
        <w:tc>
          <w:tcPr>
            <w:tcW w:w="193" w:type="pct"/>
            <w:vMerge w:val="continue"/>
            <w:shd w:val="clear" w:color="auto" w:fill="auto"/>
            <w:vAlign w:val="center"/>
          </w:tcPr>
          <w:p w14:paraId="0F1663C2">
            <w:pPr>
              <w:adjustRightInd w:val="0"/>
              <w:snapToGrid w:val="0"/>
              <w:spacing w:line="320" w:lineRule="exact"/>
              <w:jc w:val="center"/>
              <w:rPr>
                <w:rFonts w:eastAsia="仿宋_GB2312"/>
                <w:b/>
                <w:bCs/>
                <w:color w:val="FF0000"/>
                <w:szCs w:val="21"/>
              </w:rPr>
            </w:pPr>
          </w:p>
        </w:tc>
      </w:tr>
      <w:tr w14:paraId="0D8F01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295" w:type="pct"/>
            <w:vMerge w:val="continue"/>
            <w:shd w:val="clear" w:color="auto" w:fill="auto"/>
            <w:vAlign w:val="center"/>
          </w:tcPr>
          <w:p w14:paraId="6B859472">
            <w:pPr>
              <w:adjustRightInd w:val="0"/>
              <w:snapToGrid w:val="0"/>
              <w:spacing w:line="320" w:lineRule="exact"/>
              <w:jc w:val="center"/>
              <w:rPr>
                <w:rFonts w:eastAsia="仿宋_GB2312"/>
                <w:b/>
                <w:bCs/>
                <w:color w:val="FF0000"/>
                <w:szCs w:val="21"/>
              </w:rPr>
            </w:pPr>
          </w:p>
        </w:tc>
        <w:tc>
          <w:tcPr>
            <w:tcW w:w="375" w:type="pct"/>
            <w:vMerge w:val="continue"/>
            <w:shd w:val="clear" w:color="auto" w:fill="auto"/>
            <w:vAlign w:val="center"/>
          </w:tcPr>
          <w:p w14:paraId="7E9CC695">
            <w:pPr>
              <w:adjustRightInd w:val="0"/>
              <w:snapToGrid w:val="0"/>
              <w:spacing w:line="320" w:lineRule="exact"/>
              <w:jc w:val="center"/>
              <w:rPr>
                <w:rFonts w:eastAsia="仿宋_GB2312"/>
                <w:b/>
                <w:bCs/>
                <w:color w:val="FF0000"/>
                <w:szCs w:val="21"/>
              </w:rPr>
            </w:pPr>
          </w:p>
        </w:tc>
        <w:tc>
          <w:tcPr>
            <w:tcW w:w="396" w:type="pct"/>
            <w:shd w:val="clear" w:color="auto" w:fill="auto"/>
            <w:vAlign w:val="center"/>
          </w:tcPr>
          <w:p w14:paraId="5F7B34FE">
            <w:pPr>
              <w:adjustRightInd w:val="0"/>
              <w:snapToGrid w:val="0"/>
              <w:spacing w:line="320" w:lineRule="exact"/>
              <w:jc w:val="center"/>
              <w:rPr>
                <w:rFonts w:eastAsia="仿宋_GB2312"/>
                <w:b/>
                <w:bCs/>
                <w:color w:val="auto"/>
                <w:szCs w:val="21"/>
              </w:rPr>
            </w:pPr>
            <w:r>
              <w:rPr>
                <w:rFonts w:eastAsia="仿宋_GB2312"/>
                <w:color w:val="auto"/>
                <w:szCs w:val="21"/>
              </w:rPr>
              <w:t>碳九</w:t>
            </w:r>
          </w:p>
        </w:tc>
        <w:tc>
          <w:tcPr>
            <w:tcW w:w="338" w:type="pct"/>
            <w:shd w:val="clear" w:color="auto" w:fill="auto"/>
            <w:vAlign w:val="center"/>
          </w:tcPr>
          <w:p w14:paraId="14ACDFA6">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95.06</w:t>
            </w:r>
          </w:p>
        </w:tc>
        <w:tc>
          <w:tcPr>
            <w:tcW w:w="283" w:type="pct"/>
            <w:shd w:val="clear" w:color="auto" w:fill="auto"/>
            <w:vAlign w:val="center"/>
          </w:tcPr>
          <w:p w14:paraId="470CA1F2">
            <w:pPr>
              <w:adjustRightInd w:val="0"/>
              <w:snapToGrid w:val="0"/>
              <w:spacing w:line="320" w:lineRule="exact"/>
              <w:jc w:val="center"/>
              <w:rPr>
                <w:rFonts w:hint="default" w:eastAsia="等线"/>
                <w:color w:val="auto"/>
                <w:szCs w:val="21"/>
                <w:lang w:val="en-US" w:eastAsia="zh-CN"/>
              </w:rPr>
            </w:pPr>
            <w:r>
              <w:rPr>
                <w:rFonts w:hint="eastAsia" w:eastAsia="等线"/>
                <w:color w:val="auto"/>
                <w:szCs w:val="21"/>
                <w:lang w:val="en-US" w:eastAsia="zh-CN"/>
              </w:rPr>
              <w:t>7.51</w:t>
            </w:r>
          </w:p>
        </w:tc>
        <w:tc>
          <w:tcPr>
            <w:tcW w:w="338" w:type="pct"/>
            <w:shd w:val="clear" w:color="auto" w:fill="auto"/>
            <w:vAlign w:val="center"/>
          </w:tcPr>
          <w:p w14:paraId="4AAD950F">
            <w:pPr>
              <w:adjustRightInd w:val="0"/>
              <w:snapToGrid w:val="0"/>
              <w:spacing w:line="320" w:lineRule="exact"/>
              <w:jc w:val="center"/>
              <w:rPr>
                <w:rFonts w:hint="default" w:eastAsia="等线"/>
                <w:color w:val="auto"/>
                <w:szCs w:val="21"/>
                <w:lang w:val="en-US" w:eastAsia="zh-CN"/>
              </w:rPr>
            </w:pPr>
            <w:r>
              <w:rPr>
                <w:rFonts w:hint="eastAsia" w:eastAsia="等线"/>
                <w:color w:val="auto"/>
                <w:szCs w:val="21"/>
                <w:lang w:val="en-US" w:eastAsia="zh-CN"/>
              </w:rPr>
              <w:t>3.386</w:t>
            </w:r>
          </w:p>
        </w:tc>
        <w:tc>
          <w:tcPr>
            <w:tcW w:w="534" w:type="pct"/>
            <w:vMerge w:val="continue"/>
            <w:shd w:val="clear" w:color="auto" w:fill="auto"/>
            <w:vAlign w:val="center"/>
          </w:tcPr>
          <w:p w14:paraId="003C399E">
            <w:pPr>
              <w:adjustRightInd w:val="0"/>
              <w:snapToGrid w:val="0"/>
              <w:spacing w:line="320" w:lineRule="exact"/>
              <w:jc w:val="center"/>
              <w:rPr>
                <w:rFonts w:eastAsia="仿宋_GB2312"/>
                <w:b/>
                <w:bCs/>
                <w:color w:val="FF0000"/>
                <w:szCs w:val="21"/>
              </w:rPr>
            </w:pPr>
          </w:p>
        </w:tc>
        <w:tc>
          <w:tcPr>
            <w:tcW w:w="291" w:type="pct"/>
            <w:shd w:val="clear" w:color="auto" w:fill="auto"/>
            <w:vAlign w:val="center"/>
          </w:tcPr>
          <w:p w14:paraId="217B1BB9">
            <w:pPr>
              <w:adjustRightInd w:val="0"/>
              <w:snapToGrid w:val="0"/>
              <w:spacing w:line="320" w:lineRule="exact"/>
              <w:jc w:val="center"/>
              <w:rPr>
                <w:rFonts w:ascii="Times New Roman" w:hAnsi="Times New Roman" w:eastAsia="等线" w:cs="Times New Roman"/>
                <w:color w:val="auto"/>
                <w:kern w:val="2"/>
                <w:sz w:val="21"/>
                <w:szCs w:val="21"/>
                <w:lang w:val="en-US" w:eastAsia="zh-CN" w:bidi="ar-SA"/>
              </w:rPr>
            </w:pPr>
            <w:r>
              <w:rPr>
                <w:rFonts w:eastAsia="等线"/>
                <w:color w:val="auto"/>
                <w:szCs w:val="21"/>
              </w:rPr>
              <w:t>99</w:t>
            </w:r>
          </w:p>
        </w:tc>
        <w:tc>
          <w:tcPr>
            <w:tcW w:w="291" w:type="pct"/>
            <w:shd w:val="clear" w:color="auto" w:fill="auto"/>
            <w:vAlign w:val="center"/>
          </w:tcPr>
          <w:p w14:paraId="0AE339F7">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0.95</w:t>
            </w:r>
          </w:p>
        </w:tc>
        <w:tc>
          <w:tcPr>
            <w:tcW w:w="297" w:type="pct"/>
            <w:shd w:val="clear" w:color="auto" w:fill="auto"/>
            <w:vAlign w:val="center"/>
          </w:tcPr>
          <w:p w14:paraId="4A336B9B">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0.08</w:t>
            </w:r>
          </w:p>
        </w:tc>
        <w:tc>
          <w:tcPr>
            <w:tcW w:w="341" w:type="pct"/>
            <w:shd w:val="clear" w:color="auto" w:fill="auto"/>
            <w:vAlign w:val="center"/>
          </w:tcPr>
          <w:p w14:paraId="31B3FFF6">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0.03</w:t>
            </w:r>
          </w:p>
        </w:tc>
        <w:tc>
          <w:tcPr>
            <w:tcW w:w="328" w:type="pct"/>
            <w:shd w:val="clear" w:color="auto" w:fill="auto"/>
            <w:vAlign w:val="center"/>
          </w:tcPr>
          <w:p w14:paraId="616F545C">
            <w:pPr>
              <w:adjustRightInd w:val="0"/>
              <w:snapToGrid w:val="0"/>
              <w:spacing w:line="320" w:lineRule="exact"/>
              <w:jc w:val="center"/>
              <w:rPr>
                <w:rFonts w:eastAsia="仿宋_GB2312"/>
                <w:b/>
                <w:bCs/>
                <w:color w:val="auto"/>
                <w:szCs w:val="21"/>
              </w:rPr>
            </w:pPr>
            <w:r>
              <w:rPr>
                <w:rFonts w:eastAsia="仿宋_GB2312"/>
                <w:b/>
                <w:bCs/>
                <w:color w:val="auto"/>
                <w:szCs w:val="21"/>
              </w:rPr>
              <w:t>/</w:t>
            </w:r>
          </w:p>
        </w:tc>
        <w:tc>
          <w:tcPr>
            <w:tcW w:w="300" w:type="pct"/>
            <w:shd w:val="clear" w:color="auto" w:fill="auto"/>
            <w:vAlign w:val="center"/>
          </w:tcPr>
          <w:p w14:paraId="07043F04">
            <w:pPr>
              <w:adjustRightInd w:val="0"/>
              <w:snapToGrid w:val="0"/>
              <w:spacing w:line="320" w:lineRule="exact"/>
              <w:jc w:val="center"/>
              <w:rPr>
                <w:rFonts w:eastAsia="仿宋_GB2312"/>
                <w:b/>
                <w:bCs/>
                <w:color w:val="auto"/>
                <w:szCs w:val="21"/>
              </w:rPr>
            </w:pPr>
            <w:r>
              <w:rPr>
                <w:rFonts w:eastAsia="仿宋_GB2312"/>
                <w:b/>
                <w:bCs/>
                <w:color w:val="auto"/>
                <w:szCs w:val="21"/>
              </w:rPr>
              <w:t>/</w:t>
            </w:r>
          </w:p>
        </w:tc>
        <w:tc>
          <w:tcPr>
            <w:tcW w:w="197" w:type="pct"/>
            <w:vMerge w:val="continue"/>
            <w:shd w:val="clear" w:color="auto" w:fill="auto"/>
            <w:vAlign w:val="center"/>
          </w:tcPr>
          <w:p w14:paraId="48F23E04">
            <w:pPr>
              <w:adjustRightInd w:val="0"/>
              <w:snapToGrid w:val="0"/>
              <w:spacing w:line="320" w:lineRule="exact"/>
              <w:jc w:val="center"/>
              <w:rPr>
                <w:rFonts w:eastAsia="仿宋_GB2312"/>
                <w:b/>
                <w:bCs/>
                <w:color w:val="FF0000"/>
                <w:szCs w:val="21"/>
              </w:rPr>
            </w:pPr>
          </w:p>
        </w:tc>
        <w:tc>
          <w:tcPr>
            <w:tcW w:w="195" w:type="pct"/>
            <w:vMerge w:val="continue"/>
            <w:shd w:val="clear" w:color="auto" w:fill="auto"/>
            <w:vAlign w:val="center"/>
          </w:tcPr>
          <w:p w14:paraId="1041F6D3">
            <w:pPr>
              <w:adjustRightInd w:val="0"/>
              <w:snapToGrid w:val="0"/>
              <w:spacing w:line="320" w:lineRule="exact"/>
              <w:jc w:val="center"/>
              <w:rPr>
                <w:rFonts w:eastAsia="仿宋_GB2312"/>
                <w:b/>
                <w:bCs/>
                <w:color w:val="FF0000"/>
                <w:szCs w:val="21"/>
              </w:rPr>
            </w:pPr>
          </w:p>
        </w:tc>
        <w:tc>
          <w:tcPr>
            <w:tcW w:w="193" w:type="pct"/>
            <w:vMerge w:val="continue"/>
            <w:shd w:val="clear" w:color="auto" w:fill="auto"/>
            <w:vAlign w:val="center"/>
          </w:tcPr>
          <w:p w14:paraId="4DA6A82F">
            <w:pPr>
              <w:adjustRightInd w:val="0"/>
              <w:snapToGrid w:val="0"/>
              <w:spacing w:line="320" w:lineRule="exact"/>
              <w:jc w:val="center"/>
              <w:rPr>
                <w:rFonts w:eastAsia="仿宋_GB2312"/>
                <w:b/>
                <w:bCs/>
                <w:color w:val="FF0000"/>
                <w:szCs w:val="21"/>
              </w:rPr>
            </w:pPr>
          </w:p>
        </w:tc>
      </w:tr>
      <w:tr w14:paraId="0D8712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295" w:type="pct"/>
            <w:vMerge w:val="continue"/>
            <w:shd w:val="clear" w:color="auto" w:fill="auto"/>
            <w:vAlign w:val="center"/>
          </w:tcPr>
          <w:p w14:paraId="42345B60">
            <w:pPr>
              <w:adjustRightInd w:val="0"/>
              <w:snapToGrid w:val="0"/>
              <w:spacing w:line="320" w:lineRule="exact"/>
              <w:jc w:val="center"/>
              <w:rPr>
                <w:rFonts w:eastAsia="仿宋_GB2312"/>
                <w:b/>
                <w:bCs/>
                <w:color w:val="FF0000"/>
                <w:szCs w:val="21"/>
              </w:rPr>
            </w:pPr>
          </w:p>
        </w:tc>
        <w:tc>
          <w:tcPr>
            <w:tcW w:w="375" w:type="pct"/>
            <w:vMerge w:val="continue"/>
            <w:shd w:val="clear" w:color="auto" w:fill="auto"/>
            <w:vAlign w:val="center"/>
          </w:tcPr>
          <w:p w14:paraId="6DA23EC0">
            <w:pPr>
              <w:adjustRightInd w:val="0"/>
              <w:snapToGrid w:val="0"/>
              <w:spacing w:line="320" w:lineRule="exact"/>
              <w:jc w:val="center"/>
              <w:rPr>
                <w:rFonts w:eastAsia="仿宋_GB2312"/>
                <w:b/>
                <w:bCs/>
                <w:color w:val="FF0000"/>
                <w:szCs w:val="21"/>
              </w:rPr>
            </w:pPr>
          </w:p>
        </w:tc>
        <w:tc>
          <w:tcPr>
            <w:tcW w:w="396" w:type="pct"/>
            <w:shd w:val="clear" w:color="auto" w:fill="auto"/>
            <w:vAlign w:val="center"/>
          </w:tcPr>
          <w:p w14:paraId="044E3388">
            <w:pPr>
              <w:adjustRightInd w:val="0"/>
              <w:snapToGrid w:val="0"/>
              <w:spacing w:line="320" w:lineRule="exact"/>
              <w:jc w:val="center"/>
              <w:rPr>
                <w:rFonts w:eastAsia="仿宋_GB2312"/>
                <w:b/>
                <w:bCs/>
                <w:color w:val="auto"/>
                <w:szCs w:val="21"/>
              </w:rPr>
            </w:pPr>
            <w:r>
              <w:rPr>
                <w:rFonts w:eastAsia="仿宋_GB2312"/>
                <w:color w:val="auto"/>
                <w:szCs w:val="21"/>
              </w:rPr>
              <w:t>苯乙烯</w:t>
            </w:r>
          </w:p>
        </w:tc>
        <w:tc>
          <w:tcPr>
            <w:tcW w:w="338" w:type="pct"/>
            <w:shd w:val="clear" w:color="auto" w:fill="auto"/>
            <w:vAlign w:val="center"/>
          </w:tcPr>
          <w:p w14:paraId="471B8B8C">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28.48</w:t>
            </w:r>
          </w:p>
        </w:tc>
        <w:tc>
          <w:tcPr>
            <w:tcW w:w="283" w:type="pct"/>
            <w:shd w:val="clear" w:color="auto" w:fill="auto"/>
            <w:vAlign w:val="center"/>
          </w:tcPr>
          <w:p w14:paraId="06C55AF8">
            <w:pPr>
              <w:adjustRightInd w:val="0"/>
              <w:snapToGrid w:val="0"/>
              <w:spacing w:line="320" w:lineRule="exact"/>
              <w:jc w:val="center"/>
              <w:rPr>
                <w:rFonts w:hint="default" w:eastAsia="等线"/>
                <w:color w:val="auto"/>
                <w:szCs w:val="21"/>
                <w:lang w:val="en-US" w:eastAsia="zh-CN"/>
              </w:rPr>
            </w:pPr>
            <w:r>
              <w:rPr>
                <w:rFonts w:hint="eastAsia" w:eastAsia="等线"/>
                <w:color w:val="auto"/>
                <w:szCs w:val="21"/>
                <w:lang w:val="en-US" w:eastAsia="zh-CN"/>
              </w:rPr>
              <w:t>2.25</w:t>
            </w:r>
          </w:p>
        </w:tc>
        <w:tc>
          <w:tcPr>
            <w:tcW w:w="338" w:type="pct"/>
            <w:shd w:val="clear" w:color="auto" w:fill="auto"/>
            <w:vAlign w:val="center"/>
          </w:tcPr>
          <w:p w14:paraId="5C3F9F27">
            <w:pPr>
              <w:adjustRightInd w:val="0"/>
              <w:snapToGrid w:val="0"/>
              <w:spacing w:line="320" w:lineRule="exact"/>
              <w:jc w:val="center"/>
              <w:rPr>
                <w:rFonts w:hint="default" w:eastAsia="等线"/>
                <w:color w:val="auto"/>
                <w:szCs w:val="21"/>
                <w:lang w:val="en-US" w:eastAsia="zh-CN"/>
              </w:rPr>
            </w:pPr>
            <w:r>
              <w:rPr>
                <w:rFonts w:hint="eastAsia" w:eastAsia="等线"/>
                <w:color w:val="auto"/>
                <w:szCs w:val="21"/>
                <w:lang w:val="en-US" w:eastAsia="zh-CN"/>
              </w:rPr>
              <w:t>1.031</w:t>
            </w:r>
          </w:p>
        </w:tc>
        <w:tc>
          <w:tcPr>
            <w:tcW w:w="534" w:type="pct"/>
            <w:vMerge w:val="continue"/>
            <w:shd w:val="clear" w:color="auto" w:fill="auto"/>
            <w:vAlign w:val="center"/>
          </w:tcPr>
          <w:p w14:paraId="0FC98AD0">
            <w:pPr>
              <w:adjustRightInd w:val="0"/>
              <w:snapToGrid w:val="0"/>
              <w:spacing w:line="320" w:lineRule="exact"/>
              <w:jc w:val="center"/>
              <w:rPr>
                <w:rFonts w:eastAsia="仿宋_GB2312"/>
                <w:b/>
                <w:bCs/>
                <w:color w:val="FF0000"/>
                <w:szCs w:val="21"/>
              </w:rPr>
            </w:pPr>
          </w:p>
        </w:tc>
        <w:tc>
          <w:tcPr>
            <w:tcW w:w="291" w:type="pct"/>
            <w:shd w:val="clear" w:color="auto" w:fill="auto"/>
            <w:vAlign w:val="center"/>
          </w:tcPr>
          <w:p w14:paraId="41DF19C4">
            <w:pPr>
              <w:adjustRightInd w:val="0"/>
              <w:snapToGrid w:val="0"/>
              <w:spacing w:line="320" w:lineRule="exact"/>
              <w:jc w:val="center"/>
              <w:rPr>
                <w:rFonts w:ascii="Times New Roman" w:hAnsi="Times New Roman" w:eastAsia="等线" w:cs="Times New Roman"/>
                <w:color w:val="auto"/>
                <w:kern w:val="2"/>
                <w:sz w:val="21"/>
                <w:szCs w:val="21"/>
                <w:lang w:val="en-US" w:eastAsia="zh-CN" w:bidi="ar-SA"/>
              </w:rPr>
            </w:pPr>
            <w:r>
              <w:rPr>
                <w:rFonts w:eastAsia="等线"/>
                <w:color w:val="auto"/>
                <w:szCs w:val="21"/>
              </w:rPr>
              <w:t>99</w:t>
            </w:r>
          </w:p>
        </w:tc>
        <w:tc>
          <w:tcPr>
            <w:tcW w:w="291" w:type="pct"/>
            <w:shd w:val="clear" w:color="auto" w:fill="auto"/>
            <w:vAlign w:val="center"/>
          </w:tcPr>
          <w:p w14:paraId="26EC43A1">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0.28</w:t>
            </w:r>
          </w:p>
        </w:tc>
        <w:tc>
          <w:tcPr>
            <w:tcW w:w="297" w:type="pct"/>
            <w:shd w:val="clear" w:color="auto" w:fill="auto"/>
            <w:vAlign w:val="center"/>
          </w:tcPr>
          <w:p w14:paraId="50EB3FA5">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0.02</w:t>
            </w:r>
          </w:p>
        </w:tc>
        <w:tc>
          <w:tcPr>
            <w:tcW w:w="341" w:type="pct"/>
            <w:shd w:val="clear" w:color="auto" w:fill="auto"/>
            <w:vAlign w:val="center"/>
          </w:tcPr>
          <w:p w14:paraId="6BF573B5">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0.01</w:t>
            </w:r>
          </w:p>
        </w:tc>
        <w:tc>
          <w:tcPr>
            <w:tcW w:w="328" w:type="pct"/>
            <w:shd w:val="clear" w:color="auto" w:fill="auto"/>
            <w:vAlign w:val="center"/>
          </w:tcPr>
          <w:p w14:paraId="4264CDA1">
            <w:pPr>
              <w:adjustRightInd w:val="0"/>
              <w:snapToGrid w:val="0"/>
              <w:spacing w:line="320" w:lineRule="exact"/>
              <w:jc w:val="center"/>
              <w:rPr>
                <w:rFonts w:eastAsia="仿宋_GB2312"/>
                <w:b/>
                <w:bCs/>
                <w:color w:val="auto"/>
                <w:szCs w:val="21"/>
              </w:rPr>
            </w:pPr>
            <w:r>
              <w:rPr>
                <w:rFonts w:eastAsia="仿宋_GB2312"/>
                <w:color w:val="auto"/>
                <w:szCs w:val="21"/>
              </w:rPr>
              <w:t>20</w:t>
            </w:r>
          </w:p>
        </w:tc>
        <w:tc>
          <w:tcPr>
            <w:tcW w:w="300" w:type="pct"/>
            <w:shd w:val="clear" w:color="auto" w:fill="auto"/>
            <w:vAlign w:val="center"/>
          </w:tcPr>
          <w:p w14:paraId="30318277">
            <w:pPr>
              <w:adjustRightInd w:val="0"/>
              <w:snapToGrid w:val="0"/>
              <w:spacing w:line="320" w:lineRule="exact"/>
              <w:jc w:val="center"/>
              <w:rPr>
                <w:rFonts w:eastAsia="仿宋_GB2312"/>
                <w:b/>
                <w:bCs/>
                <w:color w:val="auto"/>
                <w:szCs w:val="21"/>
              </w:rPr>
            </w:pPr>
            <w:r>
              <w:rPr>
                <w:rFonts w:eastAsia="仿宋_GB2312"/>
                <w:color w:val="auto"/>
                <w:szCs w:val="21"/>
              </w:rPr>
              <w:t>8.1</w:t>
            </w:r>
          </w:p>
        </w:tc>
        <w:tc>
          <w:tcPr>
            <w:tcW w:w="197" w:type="pct"/>
            <w:vMerge w:val="continue"/>
            <w:shd w:val="clear" w:color="auto" w:fill="auto"/>
            <w:vAlign w:val="center"/>
          </w:tcPr>
          <w:p w14:paraId="7666D510">
            <w:pPr>
              <w:adjustRightInd w:val="0"/>
              <w:snapToGrid w:val="0"/>
              <w:spacing w:line="320" w:lineRule="exact"/>
              <w:jc w:val="center"/>
              <w:rPr>
                <w:rFonts w:eastAsia="仿宋_GB2312"/>
                <w:b/>
                <w:bCs/>
                <w:color w:val="FF0000"/>
                <w:szCs w:val="21"/>
              </w:rPr>
            </w:pPr>
          </w:p>
        </w:tc>
        <w:tc>
          <w:tcPr>
            <w:tcW w:w="195" w:type="pct"/>
            <w:vMerge w:val="continue"/>
            <w:shd w:val="clear" w:color="auto" w:fill="auto"/>
            <w:vAlign w:val="center"/>
          </w:tcPr>
          <w:p w14:paraId="6208ABBD">
            <w:pPr>
              <w:adjustRightInd w:val="0"/>
              <w:snapToGrid w:val="0"/>
              <w:spacing w:line="320" w:lineRule="exact"/>
              <w:jc w:val="center"/>
              <w:rPr>
                <w:rFonts w:eastAsia="仿宋_GB2312"/>
                <w:b/>
                <w:bCs/>
                <w:color w:val="FF0000"/>
                <w:szCs w:val="21"/>
              </w:rPr>
            </w:pPr>
          </w:p>
        </w:tc>
        <w:tc>
          <w:tcPr>
            <w:tcW w:w="193" w:type="pct"/>
            <w:vMerge w:val="continue"/>
            <w:shd w:val="clear" w:color="auto" w:fill="auto"/>
            <w:vAlign w:val="center"/>
          </w:tcPr>
          <w:p w14:paraId="01B16547">
            <w:pPr>
              <w:adjustRightInd w:val="0"/>
              <w:snapToGrid w:val="0"/>
              <w:spacing w:line="320" w:lineRule="exact"/>
              <w:jc w:val="center"/>
              <w:rPr>
                <w:rFonts w:eastAsia="仿宋_GB2312"/>
                <w:b/>
                <w:bCs/>
                <w:color w:val="FF0000"/>
                <w:szCs w:val="21"/>
              </w:rPr>
            </w:pPr>
          </w:p>
        </w:tc>
      </w:tr>
      <w:tr w14:paraId="6F20D4F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295" w:type="pct"/>
            <w:vMerge w:val="continue"/>
            <w:shd w:val="clear" w:color="auto" w:fill="auto"/>
            <w:vAlign w:val="center"/>
          </w:tcPr>
          <w:p w14:paraId="11E49EC4">
            <w:pPr>
              <w:adjustRightInd w:val="0"/>
              <w:snapToGrid w:val="0"/>
              <w:spacing w:line="320" w:lineRule="exact"/>
              <w:jc w:val="center"/>
              <w:rPr>
                <w:rFonts w:eastAsia="仿宋_GB2312"/>
                <w:b/>
                <w:bCs/>
                <w:color w:val="FF0000"/>
                <w:szCs w:val="21"/>
              </w:rPr>
            </w:pPr>
          </w:p>
        </w:tc>
        <w:tc>
          <w:tcPr>
            <w:tcW w:w="375" w:type="pct"/>
            <w:vMerge w:val="continue"/>
            <w:shd w:val="clear" w:color="auto" w:fill="auto"/>
            <w:vAlign w:val="center"/>
          </w:tcPr>
          <w:p w14:paraId="0AAB91DC">
            <w:pPr>
              <w:adjustRightInd w:val="0"/>
              <w:snapToGrid w:val="0"/>
              <w:spacing w:line="320" w:lineRule="exact"/>
              <w:jc w:val="center"/>
              <w:rPr>
                <w:rFonts w:eastAsia="仿宋_GB2312"/>
                <w:b/>
                <w:bCs/>
                <w:color w:val="FF0000"/>
                <w:szCs w:val="21"/>
              </w:rPr>
            </w:pPr>
          </w:p>
        </w:tc>
        <w:tc>
          <w:tcPr>
            <w:tcW w:w="396" w:type="pct"/>
            <w:shd w:val="clear" w:color="auto" w:fill="auto"/>
            <w:vAlign w:val="center"/>
          </w:tcPr>
          <w:p w14:paraId="7307516D">
            <w:pPr>
              <w:adjustRightInd w:val="0"/>
              <w:snapToGrid w:val="0"/>
              <w:spacing w:line="320" w:lineRule="exact"/>
              <w:jc w:val="center"/>
              <w:rPr>
                <w:rFonts w:eastAsia="仿宋_GB2312"/>
                <w:b/>
                <w:bCs/>
                <w:color w:val="auto"/>
                <w:szCs w:val="21"/>
              </w:rPr>
            </w:pPr>
            <w:r>
              <w:rPr>
                <w:rFonts w:eastAsia="仿宋_GB2312"/>
                <w:color w:val="auto"/>
                <w:szCs w:val="21"/>
              </w:rPr>
              <w:t>二乙二醇</w:t>
            </w:r>
          </w:p>
        </w:tc>
        <w:tc>
          <w:tcPr>
            <w:tcW w:w="338" w:type="pct"/>
            <w:shd w:val="clear" w:color="auto" w:fill="auto"/>
            <w:vAlign w:val="center"/>
          </w:tcPr>
          <w:p w14:paraId="7ACBBEC0">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91.01</w:t>
            </w:r>
          </w:p>
        </w:tc>
        <w:tc>
          <w:tcPr>
            <w:tcW w:w="283" w:type="pct"/>
            <w:shd w:val="clear" w:color="auto" w:fill="auto"/>
            <w:vAlign w:val="center"/>
          </w:tcPr>
          <w:p w14:paraId="7561CB33">
            <w:pPr>
              <w:adjustRightInd w:val="0"/>
              <w:snapToGrid w:val="0"/>
              <w:spacing w:line="320" w:lineRule="exact"/>
              <w:jc w:val="center"/>
              <w:rPr>
                <w:rFonts w:hint="default" w:eastAsia="等线"/>
                <w:color w:val="auto"/>
                <w:szCs w:val="21"/>
                <w:lang w:val="en-US" w:eastAsia="zh-CN"/>
              </w:rPr>
            </w:pPr>
            <w:r>
              <w:rPr>
                <w:rFonts w:hint="eastAsia" w:eastAsia="等线"/>
                <w:color w:val="auto"/>
                <w:szCs w:val="21"/>
                <w:lang w:val="en-US" w:eastAsia="zh-CN"/>
              </w:rPr>
              <w:t>7.19</w:t>
            </w:r>
          </w:p>
        </w:tc>
        <w:tc>
          <w:tcPr>
            <w:tcW w:w="338" w:type="pct"/>
            <w:shd w:val="clear" w:color="auto" w:fill="auto"/>
            <w:vAlign w:val="center"/>
          </w:tcPr>
          <w:p w14:paraId="43BD62AE">
            <w:pPr>
              <w:adjustRightInd w:val="0"/>
              <w:snapToGrid w:val="0"/>
              <w:spacing w:line="320" w:lineRule="exact"/>
              <w:jc w:val="center"/>
              <w:rPr>
                <w:rFonts w:hint="default" w:eastAsia="等线"/>
                <w:color w:val="auto"/>
                <w:szCs w:val="21"/>
                <w:lang w:val="en-US" w:eastAsia="zh-CN"/>
              </w:rPr>
            </w:pPr>
            <w:r>
              <w:rPr>
                <w:rFonts w:hint="eastAsia" w:eastAsia="等线"/>
                <w:color w:val="auto"/>
                <w:szCs w:val="21"/>
                <w:lang w:val="en-US" w:eastAsia="zh-CN"/>
              </w:rPr>
              <w:t>3.4137</w:t>
            </w:r>
          </w:p>
        </w:tc>
        <w:tc>
          <w:tcPr>
            <w:tcW w:w="534" w:type="pct"/>
            <w:vMerge w:val="continue"/>
            <w:shd w:val="clear" w:color="auto" w:fill="auto"/>
            <w:vAlign w:val="center"/>
          </w:tcPr>
          <w:p w14:paraId="537F907D">
            <w:pPr>
              <w:adjustRightInd w:val="0"/>
              <w:snapToGrid w:val="0"/>
              <w:spacing w:line="320" w:lineRule="exact"/>
              <w:jc w:val="center"/>
              <w:rPr>
                <w:rFonts w:eastAsia="仿宋_GB2312"/>
                <w:b/>
                <w:bCs/>
                <w:color w:val="FF0000"/>
                <w:szCs w:val="21"/>
              </w:rPr>
            </w:pPr>
          </w:p>
        </w:tc>
        <w:tc>
          <w:tcPr>
            <w:tcW w:w="291" w:type="pct"/>
            <w:shd w:val="clear" w:color="auto" w:fill="auto"/>
            <w:vAlign w:val="center"/>
          </w:tcPr>
          <w:p w14:paraId="5FD6FF19">
            <w:pPr>
              <w:adjustRightInd w:val="0"/>
              <w:snapToGrid w:val="0"/>
              <w:spacing w:line="320" w:lineRule="exact"/>
              <w:jc w:val="center"/>
              <w:rPr>
                <w:rFonts w:hint="default" w:ascii="Times New Roman" w:hAnsi="Times New Roman" w:eastAsia="等线" w:cs="Times New Roman"/>
                <w:color w:val="auto"/>
                <w:kern w:val="2"/>
                <w:sz w:val="21"/>
                <w:szCs w:val="21"/>
                <w:lang w:val="en-US" w:eastAsia="zh-CN" w:bidi="ar-SA"/>
              </w:rPr>
            </w:pPr>
            <w:r>
              <w:rPr>
                <w:rFonts w:eastAsia="等线"/>
                <w:color w:val="auto"/>
                <w:szCs w:val="21"/>
              </w:rPr>
              <w:t>99</w:t>
            </w:r>
          </w:p>
        </w:tc>
        <w:tc>
          <w:tcPr>
            <w:tcW w:w="291" w:type="pct"/>
            <w:shd w:val="clear" w:color="auto" w:fill="auto"/>
            <w:vAlign w:val="center"/>
          </w:tcPr>
          <w:p w14:paraId="56054D4E">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0.91</w:t>
            </w:r>
          </w:p>
        </w:tc>
        <w:tc>
          <w:tcPr>
            <w:tcW w:w="297" w:type="pct"/>
            <w:shd w:val="clear" w:color="auto" w:fill="auto"/>
            <w:vAlign w:val="center"/>
          </w:tcPr>
          <w:p w14:paraId="24738068">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0.07</w:t>
            </w:r>
          </w:p>
        </w:tc>
        <w:tc>
          <w:tcPr>
            <w:tcW w:w="341" w:type="pct"/>
            <w:shd w:val="clear" w:color="auto" w:fill="auto"/>
            <w:vAlign w:val="center"/>
          </w:tcPr>
          <w:p w14:paraId="7E11CBCD">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0.03</w:t>
            </w:r>
          </w:p>
        </w:tc>
        <w:tc>
          <w:tcPr>
            <w:tcW w:w="328" w:type="pct"/>
            <w:shd w:val="clear" w:color="auto" w:fill="auto"/>
            <w:vAlign w:val="center"/>
          </w:tcPr>
          <w:p w14:paraId="0BC47641">
            <w:pPr>
              <w:adjustRightInd w:val="0"/>
              <w:snapToGrid w:val="0"/>
              <w:spacing w:line="320" w:lineRule="exact"/>
              <w:jc w:val="center"/>
              <w:rPr>
                <w:rFonts w:eastAsia="仿宋_GB2312"/>
                <w:b/>
                <w:bCs/>
                <w:color w:val="auto"/>
                <w:szCs w:val="21"/>
              </w:rPr>
            </w:pPr>
            <w:r>
              <w:rPr>
                <w:rFonts w:eastAsia="仿宋_GB2312"/>
                <w:b/>
                <w:bCs/>
                <w:color w:val="auto"/>
                <w:szCs w:val="21"/>
              </w:rPr>
              <w:t>/</w:t>
            </w:r>
          </w:p>
        </w:tc>
        <w:tc>
          <w:tcPr>
            <w:tcW w:w="300" w:type="pct"/>
            <w:shd w:val="clear" w:color="auto" w:fill="auto"/>
            <w:vAlign w:val="center"/>
          </w:tcPr>
          <w:p w14:paraId="0AF95BFB">
            <w:pPr>
              <w:adjustRightInd w:val="0"/>
              <w:snapToGrid w:val="0"/>
              <w:spacing w:line="320" w:lineRule="exact"/>
              <w:jc w:val="center"/>
              <w:rPr>
                <w:rFonts w:eastAsia="仿宋_GB2312"/>
                <w:b/>
                <w:bCs/>
                <w:color w:val="auto"/>
                <w:szCs w:val="21"/>
              </w:rPr>
            </w:pPr>
            <w:r>
              <w:rPr>
                <w:rFonts w:eastAsia="仿宋_GB2312"/>
                <w:b/>
                <w:bCs/>
                <w:color w:val="auto"/>
                <w:szCs w:val="21"/>
              </w:rPr>
              <w:t>/</w:t>
            </w:r>
          </w:p>
        </w:tc>
        <w:tc>
          <w:tcPr>
            <w:tcW w:w="197" w:type="pct"/>
            <w:vMerge w:val="continue"/>
            <w:shd w:val="clear" w:color="auto" w:fill="auto"/>
            <w:vAlign w:val="center"/>
          </w:tcPr>
          <w:p w14:paraId="1B4A60C9">
            <w:pPr>
              <w:adjustRightInd w:val="0"/>
              <w:snapToGrid w:val="0"/>
              <w:spacing w:line="320" w:lineRule="exact"/>
              <w:jc w:val="center"/>
              <w:rPr>
                <w:rFonts w:eastAsia="仿宋_GB2312"/>
                <w:b/>
                <w:bCs/>
                <w:color w:val="FF0000"/>
                <w:szCs w:val="21"/>
              </w:rPr>
            </w:pPr>
          </w:p>
        </w:tc>
        <w:tc>
          <w:tcPr>
            <w:tcW w:w="195" w:type="pct"/>
            <w:vMerge w:val="continue"/>
            <w:shd w:val="clear" w:color="auto" w:fill="auto"/>
            <w:vAlign w:val="center"/>
          </w:tcPr>
          <w:p w14:paraId="0F6FC621">
            <w:pPr>
              <w:adjustRightInd w:val="0"/>
              <w:snapToGrid w:val="0"/>
              <w:spacing w:line="320" w:lineRule="exact"/>
              <w:jc w:val="center"/>
              <w:rPr>
                <w:rFonts w:eastAsia="仿宋_GB2312"/>
                <w:b/>
                <w:bCs/>
                <w:color w:val="FF0000"/>
                <w:szCs w:val="21"/>
              </w:rPr>
            </w:pPr>
          </w:p>
        </w:tc>
        <w:tc>
          <w:tcPr>
            <w:tcW w:w="193" w:type="pct"/>
            <w:vMerge w:val="continue"/>
            <w:shd w:val="clear" w:color="auto" w:fill="auto"/>
            <w:vAlign w:val="center"/>
          </w:tcPr>
          <w:p w14:paraId="4E10A1ED">
            <w:pPr>
              <w:adjustRightInd w:val="0"/>
              <w:snapToGrid w:val="0"/>
              <w:spacing w:line="320" w:lineRule="exact"/>
              <w:jc w:val="center"/>
              <w:rPr>
                <w:rFonts w:eastAsia="仿宋_GB2312"/>
                <w:b/>
                <w:bCs/>
                <w:color w:val="FF0000"/>
                <w:szCs w:val="21"/>
              </w:rPr>
            </w:pPr>
          </w:p>
        </w:tc>
      </w:tr>
      <w:tr w14:paraId="6991E2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295" w:type="pct"/>
            <w:vMerge w:val="continue"/>
            <w:shd w:val="clear" w:color="auto" w:fill="auto"/>
            <w:vAlign w:val="center"/>
          </w:tcPr>
          <w:p w14:paraId="59960534">
            <w:pPr>
              <w:adjustRightInd w:val="0"/>
              <w:snapToGrid w:val="0"/>
              <w:spacing w:line="320" w:lineRule="exact"/>
              <w:jc w:val="center"/>
              <w:rPr>
                <w:rFonts w:eastAsia="仿宋_GB2312"/>
                <w:b/>
                <w:bCs/>
                <w:color w:val="FF0000"/>
                <w:szCs w:val="21"/>
              </w:rPr>
            </w:pPr>
          </w:p>
        </w:tc>
        <w:tc>
          <w:tcPr>
            <w:tcW w:w="375" w:type="pct"/>
            <w:vMerge w:val="continue"/>
            <w:shd w:val="clear" w:color="auto" w:fill="auto"/>
            <w:vAlign w:val="center"/>
          </w:tcPr>
          <w:p w14:paraId="6B528C35">
            <w:pPr>
              <w:adjustRightInd w:val="0"/>
              <w:snapToGrid w:val="0"/>
              <w:spacing w:line="320" w:lineRule="exact"/>
              <w:jc w:val="center"/>
              <w:rPr>
                <w:rFonts w:eastAsia="仿宋_GB2312"/>
                <w:b/>
                <w:bCs/>
                <w:color w:val="FF0000"/>
                <w:szCs w:val="21"/>
              </w:rPr>
            </w:pPr>
          </w:p>
        </w:tc>
        <w:tc>
          <w:tcPr>
            <w:tcW w:w="396" w:type="pct"/>
            <w:shd w:val="clear" w:color="auto" w:fill="auto"/>
            <w:vAlign w:val="center"/>
          </w:tcPr>
          <w:p w14:paraId="58D9B1CE">
            <w:pPr>
              <w:adjustRightInd w:val="0"/>
              <w:snapToGrid w:val="0"/>
              <w:spacing w:line="320" w:lineRule="exact"/>
              <w:jc w:val="center"/>
              <w:rPr>
                <w:rFonts w:eastAsia="仿宋_GB2312"/>
                <w:b/>
                <w:bCs/>
                <w:color w:val="auto"/>
                <w:szCs w:val="21"/>
              </w:rPr>
            </w:pPr>
            <w:r>
              <w:rPr>
                <w:rFonts w:eastAsia="仿宋_GB2312"/>
                <w:color w:val="auto"/>
                <w:szCs w:val="21"/>
              </w:rPr>
              <w:t>四氢呋喃</w:t>
            </w:r>
          </w:p>
        </w:tc>
        <w:tc>
          <w:tcPr>
            <w:tcW w:w="338" w:type="pct"/>
            <w:shd w:val="clear" w:color="auto" w:fill="auto"/>
            <w:vAlign w:val="center"/>
          </w:tcPr>
          <w:p w14:paraId="3287230C">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1220.00</w:t>
            </w:r>
          </w:p>
        </w:tc>
        <w:tc>
          <w:tcPr>
            <w:tcW w:w="283" w:type="pct"/>
            <w:shd w:val="clear" w:color="auto" w:fill="auto"/>
            <w:vAlign w:val="center"/>
          </w:tcPr>
          <w:p w14:paraId="05585CD4">
            <w:pPr>
              <w:adjustRightInd w:val="0"/>
              <w:snapToGrid w:val="0"/>
              <w:spacing w:line="320" w:lineRule="exact"/>
              <w:jc w:val="center"/>
              <w:rPr>
                <w:rFonts w:hint="default" w:eastAsia="等线"/>
                <w:color w:val="auto"/>
                <w:szCs w:val="21"/>
                <w:lang w:val="en-US" w:eastAsia="zh-CN"/>
              </w:rPr>
            </w:pPr>
            <w:r>
              <w:rPr>
                <w:rFonts w:hint="eastAsia" w:eastAsia="等线"/>
                <w:color w:val="auto"/>
                <w:szCs w:val="21"/>
                <w:lang w:val="en-US" w:eastAsia="zh-CN"/>
              </w:rPr>
              <w:t>96.38</w:t>
            </w:r>
          </w:p>
        </w:tc>
        <w:tc>
          <w:tcPr>
            <w:tcW w:w="338" w:type="pct"/>
            <w:shd w:val="clear" w:color="auto" w:fill="auto"/>
            <w:vAlign w:val="center"/>
          </w:tcPr>
          <w:p w14:paraId="29EDDFD9">
            <w:pPr>
              <w:adjustRightInd w:val="0"/>
              <w:snapToGrid w:val="0"/>
              <w:spacing w:line="320" w:lineRule="exact"/>
              <w:jc w:val="center"/>
              <w:rPr>
                <w:rFonts w:hint="default" w:eastAsia="等线"/>
                <w:color w:val="auto"/>
                <w:szCs w:val="21"/>
                <w:lang w:val="en-US" w:eastAsia="zh-CN"/>
              </w:rPr>
            </w:pPr>
            <w:r>
              <w:rPr>
                <w:rFonts w:hint="eastAsia" w:eastAsia="等线"/>
                <w:color w:val="auto"/>
                <w:szCs w:val="21"/>
                <w:lang w:val="en-US" w:eastAsia="zh-CN"/>
              </w:rPr>
              <w:t>124.719</w:t>
            </w:r>
          </w:p>
        </w:tc>
        <w:tc>
          <w:tcPr>
            <w:tcW w:w="534" w:type="pct"/>
            <w:vMerge w:val="continue"/>
            <w:shd w:val="clear" w:color="auto" w:fill="auto"/>
            <w:vAlign w:val="center"/>
          </w:tcPr>
          <w:p w14:paraId="25B14F77">
            <w:pPr>
              <w:adjustRightInd w:val="0"/>
              <w:snapToGrid w:val="0"/>
              <w:spacing w:line="320" w:lineRule="exact"/>
              <w:jc w:val="center"/>
              <w:rPr>
                <w:rFonts w:eastAsia="仿宋_GB2312"/>
                <w:b/>
                <w:bCs/>
                <w:color w:val="FF0000"/>
                <w:szCs w:val="21"/>
              </w:rPr>
            </w:pPr>
          </w:p>
        </w:tc>
        <w:tc>
          <w:tcPr>
            <w:tcW w:w="291" w:type="pct"/>
            <w:shd w:val="clear" w:color="auto" w:fill="auto"/>
            <w:vAlign w:val="center"/>
          </w:tcPr>
          <w:p w14:paraId="1E425496">
            <w:pPr>
              <w:adjustRightInd w:val="0"/>
              <w:snapToGrid w:val="0"/>
              <w:spacing w:line="320" w:lineRule="exact"/>
              <w:jc w:val="center"/>
              <w:rPr>
                <w:rFonts w:ascii="Times New Roman" w:hAnsi="Times New Roman" w:eastAsia="等线" w:cs="Times New Roman"/>
                <w:color w:val="auto"/>
                <w:kern w:val="2"/>
                <w:sz w:val="21"/>
                <w:szCs w:val="21"/>
                <w:lang w:val="en-US" w:eastAsia="zh-CN" w:bidi="ar-SA"/>
              </w:rPr>
            </w:pPr>
            <w:r>
              <w:rPr>
                <w:rFonts w:eastAsia="等线"/>
                <w:color w:val="auto"/>
                <w:szCs w:val="21"/>
              </w:rPr>
              <w:t>99</w:t>
            </w:r>
          </w:p>
        </w:tc>
        <w:tc>
          <w:tcPr>
            <w:tcW w:w="291" w:type="pct"/>
            <w:shd w:val="clear" w:color="auto" w:fill="auto"/>
            <w:vAlign w:val="center"/>
          </w:tcPr>
          <w:p w14:paraId="71B3B57D">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12.20</w:t>
            </w:r>
          </w:p>
        </w:tc>
        <w:tc>
          <w:tcPr>
            <w:tcW w:w="297" w:type="pct"/>
            <w:shd w:val="clear" w:color="auto" w:fill="auto"/>
            <w:vAlign w:val="center"/>
          </w:tcPr>
          <w:p w14:paraId="164662B1">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0.96</w:t>
            </w:r>
          </w:p>
        </w:tc>
        <w:tc>
          <w:tcPr>
            <w:tcW w:w="341" w:type="pct"/>
            <w:shd w:val="clear" w:color="auto" w:fill="auto"/>
            <w:vAlign w:val="center"/>
          </w:tcPr>
          <w:p w14:paraId="2544D188">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1.25</w:t>
            </w:r>
          </w:p>
        </w:tc>
        <w:tc>
          <w:tcPr>
            <w:tcW w:w="328" w:type="pct"/>
            <w:shd w:val="clear" w:color="auto" w:fill="auto"/>
            <w:vAlign w:val="center"/>
          </w:tcPr>
          <w:p w14:paraId="5C270ED8">
            <w:pPr>
              <w:adjustRightInd w:val="0"/>
              <w:snapToGrid w:val="0"/>
              <w:spacing w:line="320" w:lineRule="exact"/>
              <w:jc w:val="center"/>
              <w:rPr>
                <w:rFonts w:eastAsia="仿宋_GB2312"/>
                <w:b/>
                <w:bCs/>
                <w:color w:val="auto"/>
                <w:szCs w:val="21"/>
              </w:rPr>
            </w:pPr>
            <w:r>
              <w:rPr>
                <w:rFonts w:eastAsia="仿宋_GB2312"/>
                <w:b/>
                <w:bCs/>
                <w:color w:val="auto"/>
                <w:szCs w:val="21"/>
              </w:rPr>
              <w:t>/</w:t>
            </w:r>
          </w:p>
        </w:tc>
        <w:tc>
          <w:tcPr>
            <w:tcW w:w="300" w:type="pct"/>
            <w:shd w:val="clear" w:color="auto" w:fill="auto"/>
            <w:vAlign w:val="center"/>
          </w:tcPr>
          <w:p w14:paraId="61715666">
            <w:pPr>
              <w:adjustRightInd w:val="0"/>
              <w:snapToGrid w:val="0"/>
              <w:spacing w:line="320" w:lineRule="exact"/>
              <w:jc w:val="center"/>
              <w:rPr>
                <w:rFonts w:eastAsia="仿宋_GB2312"/>
                <w:b/>
                <w:bCs/>
                <w:color w:val="auto"/>
                <w:szCs w:val="21"/>
              </w:rPr>
            </w:pPr>
            <w:r>
              <w:rPr>
                <w:rFonts w:eastAsia="仿宋_GB2312"/>
                <w:b/>
                <w:bCs/>
                <w:color w:val="auto"/>
                <w:szCs w:val="21"/>
              </w:rPr>
              <w:t>/</w:t>
            </w:r>
          </w:p>
        </w:tc>
        <w:tc>
          <w:tcPr>
            <w:tcW w:w="197" w:type="pct"/>
            <w:vMerge w:val="continue"/>
            <w:shd w:val="clear" w:color="auto" w:fill="auto"/>
            <w:vAlign w:val="center"/>
          </w:tcPr>
          <w:p w14:paraId="540C7067">
            <w:pPr>
              <w:adjustRightInd w:val="0"/>
              <w:snapToGrid w:val="0"/>
              <w:spacing w:line="320" w:lineRule="exact"/>
              <w:jc w:val="center"/>
              <w:rPr>
                <w:rFonts w:eastAsia="仿宋_GB2312"/>
                <w:b/>
                <w:bCs/>
                <w:color w:val="FF0000"/>
                <w:szCs w:val="21"/>
              </w:rPr>
            </w:pPr>
          </w:p>
        </w:tc>
        <w:tc>
          <w:tcPr>
            <w:tcW w:w="195" w:type="pct"/>
            <w:vMerge w:val="continue"/>
            <w:shd w:val="clear" w:color="auto" w:fill="auto"/>
            <w:vAlign w:val="center"/>
          </w:tcPr>
          <w:p w14:paraId="7C410817">
            <w:pPr>
              <w:adjustRightInd w:val="0"/>
              <w:snapToGrid w:val="0"/>
              <w:spacing w:line="320" w:lineRule="exact"/>
              <w:jc w:val="center"/>
              <w:rPr>
                <w:rFonts w:eastAsia="仿宋_GB2312"/>
                <w:b/>
                <w:bCs/>
                <w:color w:val="FF0000"/>
                <w:szCs w:val="21"/>
              </w:rPr>
            </w:pPr>
          </w:p>
        </w:tc>
        <w:tc>
          <w:tcPr>
            <w:tcW w:w="193" w:type="pct"/>
            <w:vMerge w:val="continue"/>
            <w:shd w:val="clear" w:color="auto" w:fill="auto"/>
            <w:vAlign w:val="center"/>
          </w:tcPr>
          <w:p w14:paraId="65E0510A">
            <w:pPr>
              <w:adjustRightInd w:val="0"/>
              <w:snapToGrid w:val="0"/>
              <w:spacing w:line="320" w:lineRule="exact"/>
              <w:jc w:val="center"/>
              <w:rPr>
                <w:rFonts w:eastAsia="仿宋_GB2312"/>
                <w:b/>
                <w:bCs/>
                <w:color w:val="FF0000"/>
                <w:szCs w:val="21"/>
              </w:rPr>
            </w:pPr>
          </w:p>
        </w:tc>
      </w:tr>
      <w:tr w14:paraId="5FB1A4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295" w:type="pct"/>
            <w:vMerge w:val="continue"/>
            <w:shd w:val="clear" w:color="auto" w:fill="auto"/>
            <w:vAlign w:val="center"/>
          </w:tcPr>
          <w:p w14:paraId="1C99B20A">
            <w:pPr>
              <w:adjustRightInd w:val="0"/>
              <w:snapToGrid w:val="0"/>
              <w:spacing w:line="320" w:lineRule="exact"/>
              <w:jc w:val="center"/>
              <w:rPr>
                <w:rFonts w:eastAsia="仿宋_GB2312"/>
                <w:b/>
                <w:bCs/>
                <w:color w:val="FF0000"/>
                <w:szCs w:val="21"/>
              </w:rPr>
            </w:pPr>
          </w:p>
        </w:tc>
        <w:tc>
          <w:tcPr>
            <w:tcW w:w="375" w:type="pct"/>
            <w:vMerge w:val="continue"/>
            <w:shd w:val="clear" w:color="auto" w:fill="auto"/>
            <w:vAlign w:val="center"/>
          </w:tcPr>
          <w:p w14:paraId="4F4FEEA4">
            <w:pPr>
              <w:adjustRightInd w:val="0"/>
              <w:snapToGrid w:val="0"/>
              <w:spacing w:line="320" w:lineRule="exact"/>
              <w:jc w:val="center"/>
              <w:rPr>
                <w:rFonts w:eastAsia="仿宋_GB2312"/>
                <w:b/>
                <w:bCs/>
                <w:color w:val="FF0000"/>
                <w:szCs w:val="21"/>
              </w:rPr>
            </w:pPr>
          </w:p>
        </w:tc>
        <w:tc>
          <w:tcPr>
            <w:tcW w:w="396" w:type="pct"/>
            <w:shd w:val="clear" w:color="auto" w:fill="auto"/>
            <w:vAlign w:val="center"/>
          </w:tcPr>
          <w:p w14:paraId="4882EE95">
            <w:pPr>
              <w:adjustRightInd w:val="0"/>
              <w:snapToGrid w:val="0"/>
              <w:spacing w:line="320" w:lineRule="exact"/>
              <w:jc w:val="center"/>
              <w:rPr>
                <w:rFonts w:eastAsia="仿宋_GB2312"/>
                <w:color w:val="auto"/>
                <w:szCs w:val="21"/>
              </w:rPr>
            </w:pPr>
            <w:r>
              <w:rPr>
                <w:rFonts w:eastAsia="仿宋_GB2312"/>
                <w:color w:val="auto"/>
                <w:szCs w:val="21"/>
              </w:rPr>
              <w:t>甲醇</w:t>
            </w:r>
          </w:p>
        </w:tc>
        <w:tc>
          <w:tcPr>
            <w:tcW w:w="338" w:type="pct"/>
            <w:shd w:val="clear" w:color="auto" w:fill="auto"/>
            <w:vAlign w:val="center"/>
          </w:tcPr>
          <w:p w14:paraId="62079E46">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1237.59</w:t>
            </w:r>
          </w:p>
        </w:tc>
        <w:tc>
          <w:tcPr>
            <w:tcW w:w="283" w:type="pct"/>
            <w:shd w:val="clear" w:color="auto" w:fill="auto"/>
            <w:vAlign w:val="center"/>
          </w:tcPr>
          <w:p w14:paraId="594FBC98">
            <w:pPr>
              <w:adjustRightInd w:val="0"/>
              <w:snapToGrid w:val="0"/>
              <w:spacing w:line="320" w:lineRule="exact"/>
              <w:jc w:val="center"/>
              <w:rPr>
                <w:rFonts w:hint="default" w:eastAsia="等线"/>
                <w:color w:val="auto"/>
                <w:szCs w:val="21"/>
                <w:lang w:val="en-US" w:eastAsia="zh-CN"/>
              </w:rPr>
            </w:pPr>
            <w:r>
              <w:rPr>
                <w:rFonts w:hint="eastAsia" w:eastAsia="等线"/>
                <w:color w:val="auto"/>
                <w:szCs w:val="21"/>
                <w:lang w:val="en-US" w:eastAsia="zh-CN"/>
              </w:rPr>
              <w:t>97.77</w:t>
            </w:r>
          </w:p>
        </w:tc>
        <w:tc>
          <w:tcPr>
            <w:tcW w:w="338" w:type="pct"/>
            <w:shd w:val="clear" w:color="auto" w:fill="auto"/>
            <w:vAlign w:val="center"/>
          </w:tcPr>
          <w:p w14:paraId="6302F2E6">
            <w:pPr>
              <w:adjustRightInd w:val="0"/>
              <w:snapToGrid w:val="0"/>
              <w:spacing w:line="320" w:lineRule="exact"/>
              <w:jc w:val="center"/>
              <w:rPr>
                <w:rFonts w:hint="default" w:eastAsia="等线"/>
                <w:color w:val="auto"/>
                <w:szCs w:val="21"/>
                <w:lang w:val="en-US" w:eastAsia="zh-CN"/>
              </w:rPr>
            </w:pPr>
            <w:r>
              <w:rPr>
                <w:rFonts w:hint="eastAsia" w:eastAsia="等线"/>
                <w:color w:val="auto"/>
                <w:szCs w:val="21"/>
                <w:lang w:val="en-US" w:eastAsia="zh-CN"/>
              </w:rPr>
              <w:t>405.406</w:t>
            </w:r>
          </w:p>
        </w:tc>
        <w:tc>
          <w:tcPr>
            <w:tcW w:w="534" w:type="pct"/>
            <w:vMerge w:val="continue"/>
            <w:shd w:val="clear" w:color="auto" w:fill="auto"/>
            <w:vAlign w:val="center"/>
          </w:tcPr>
          <w:p w14:paraId="032D600A">
            <w:pPr>
              <w:adjustRightInd w:val="0"/>
              <w:snapToGrid w:val="0"/>
              <w:spacing w:line="320" w:lineRule="exact"/>
              <w:jc w:val="center"/>
              <w:rPr>
                <w:rFonts w:eastAsia="仿宋_GB2312"/>
                <w:b/>
                <w:bCs/>
                <w:color w:val="FF0000"/>
                <w:szCs w:val="21"/>
              </w:rPr>
            </w:pPr>
          </w:p>
        </w:tc>
        <w:tc>
          <w:tcPr>
            <w:tcW w:w="291" w:type="pct"/>
            <w:shd w:val="clear" w:color="auto" w:fill="auto"/>
            <w:vAlign w:val="center"/>
          </w:tcPr>
          <w:p w14:paraId="7ECA041F">
            <w:pPr>
              <w:adjustRightInd w:val="0"/>
              <w:snapToGrid w:val="0"/>
              <w:spacing w:line="320" w:lineRule="exact"/>
              <w:jc w:val="center"/>
              <w:rPr>
                <w:rFonts w:hint="default" w:ascii="Times New Roman" w:hAnsi="Times New Roman" w:eastAsia="等线" w:cs="Times New Roman"/>
                <w:color w:val="auto"/>
                <w:kern w:val="2"/>
                <w:sz w:val="21"/>
                <w:szCs w:val="21"/>
                <w:lang w:val="en-US" w:eastAsia="zh-CN" w:bidi="ar-SA"/>
              </w:rPr>
            </w:pPr>
            <w:r>
              <w:rPr>
                <w:rFonts w:eastAsia="等线"/>
                <w:color w:val="auto"/>
                <w:szCs w:val="21"/>
              </w:rPr>
              <w:t>99</w:t>
            </w:r>
          </w:p>
        </w:tc>
        <w:tc>
          <w:tcPr>
            <w:tcW w:w="291" w:type="pct"/>
            <w:shd w:val="clear" w:color="auto" w:fill="auto"/>
            <w:vAlign w:val="center"/>
          </w:tcPr>
          <w:p w14:paraId="270D04B7">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12.38</w:t>
            </w:r>
          </w:p>
        </w:tc>
        <w:tc>
          <w:tcPr>
            <w:tcW w:w="297" w:type="pct"/>
            <w:shd w:val="clear" w:color="auto" w:fill="auto"/>
            <w:vAlign w:val="center"/>
          </w:tcPr>
          <w:p w14:paraId="397A96CE">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0.98</w:t>
            </w:r>
          </w:p>
        </w:tc>
        <w:tc>
          <w:tcPr>
            <w:tcW w:w="341" w:type="pct"/>
            <w:shd w:val="clear" w:color="auto" w:fill="auto"/>
            <w:vAlign w:val="center"/>
          </w:tcPr>
          <w:p w14:paraId="2EF82AC3">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4.05</w:t>
            </w:r>
          </w:p>
        </w:tc>
        <w:tc>
          <w:tcPr>
            <w:tcW w:w="328" w:type="pct"/>
            <w:shd w:val="clear" w:color="auto" w:fill="auto"/>
            <w:vAlign w:val="center"/>
          </w:tcPr>
          <w:p w14:paraId="018D5116">
            <w:pPr>
              <w:adjustRightInd w:val="0"/>
              <w:snapToGrid w:val="0"/>
              <w:spacing w:line="320" w:lineRule="exact"/>
              <w:jc w:val="center"/>
              <w:rPr>
                <w:rFonts w:eastAsia="仿宋_GB2312"/>
                <w:b/>
                <w:bCs/>
                <w:color w:val="auto"/>
                <w:szCs w:val="21"/>
              </w:rPr>
            </w:pPr>
            <w:r>
              <w:rPr>
                <w:rFonts w:eastAsia="仿宋_GB2312"/>
                <w:color w:val="auto"/>
                <w:szCs w:val="21"/>
              </w:rPr>
              <w:t>50</w:t>
            </w:r>
          </w:p>
        </w:tc>
        <w:tc>
          <w:tcPr>
            <w:tcW w:w="300" w:type="pct"/>
            <w:shd w:val="clear" w:color="auto" w:fill="auto"/>
            <w:vAlign w:val="center"/>
          </w:tcPr>
          <w:p w14:paraId="256C6F18">
            <w:pPr>
              <w:adjustRightInd w:val="0"/>
              <w:snapToGrid w:val="0"/>
              <w:spacing w:line="320" w:lineRule="exact"/>
              <w:jc w:val="center"/>
              <w:rPr>
                <w:rFonts w:eastAsia="仿宋_GB2312"/>
                <w:b/>
                <w:bCs/>
                <w:color w:val="auto"/>
                <w:szCs w:val="21"/>
              </w:rPr>
            </w:pPr>
            <w:r>
              <w:rPr>
                <w:rFonts w:eastAsia="仿宋_GB2312"/>
                <w:color w:val="auto"/>
                <w:szCs w:val="21"/>
              </w:rPr>
              <w:t>1.8</w:t>
            </w:r>
          </w:p>
        </w:tc>
        <w:tc>
          <w:tcPr>
            <w:tcW w:w="197" w:type="pct"/>
            <w:vMerge w:val="continue"/>
            <w:shd w:val="clear" w:color="auto" w:fill="auto"/>
            <w:vAlign w:val="center"/>
          </w:tcPr>
          <w:p w14:paraId="4BEEA4BD">
            <w:pPr>
              <w:adjustRightInd w:val="0"/>
              <w:snapToGrid w:val="0"/>
              <w:spacing w:line="320" w:lineRule="exact"/>
              <w:jc w:val="center"/>
              <w:rPr>
                <w:rFonts w:eastAsia="仿宋_GB2312"/>
                <w:b/>
                <w:bCs/>
                <w:color w:val="FF0000"/>
                <w:szCs w:val="21"/>
              </w:rPr>
            </w:pPr>
          </w:p>
        </w:tc>
        <w:tc>
          <w:tcPr>
            <w:tcW w:w="195" w:type="pct"/>
            <w:vMerge w:val="continue"/>
            <w:shd w:val="clear" w:color="auto" w:fill="auto"/>
            <w:vAlign w:val="center"/>
          </w:tcPr>
          <w:p w14:paraId="1D32D4C5">
            <w:pPr>
              <w:adjustRightInd w:val="0"/>
              <w:snapToGrid w:val="0"/>
              <w:spacing w:line="320" w:lineRule="exact"/>
              <w:jc w:val="center"/>
              <w:rPr>
                <w:rFonts w:eastAsia="仿宋_GB2312"/>
                <w:b/>
                <w:bCs/>
                <w:color w:val="FF0000"/>
                <w:szCs w:val="21"/>
              </w:rPr>
            </w:pPr>
          </w:p>
        </w:tc>
        <w:tc>
          <w:tcPr>
            <w:tcW w:w="193" w:type="pct"/>
            <w:vMerge w:val="continue"/>
            <w:shd w:val="clear" w:color="auto" w:fill="auto"/>
            <w:vAlign w:val="center"/>
          </w:tcPr>
          <w:p w14:paraId="42194D27">
            <w:pPr>
              <w:adjustRightInd w:val="0"/>
              <w:snapToGrid w:val="0"/>
              <w:spacing w:line="320" w:lineRule="exact"/>
              <w:jc w:val="center"/>
              <w:rPr>
                <w:rFonts w:eastAsia="仿宋_GB2312"/>
                <w:b/>
                <w:bCs/>
                <w:color w:val="FF0000"/>
                <w:szCs w:val="21"/>
              </w:rPr>
            </w:pPr>
          </w:p>
        </w:tc>
      </w:tr>
      <w:tr w14:paraId="6B8C135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295" w:type="pct"/>
            <w:vMerge w:val="continue"/>
            <w:shd w:val="clear" w:color="auto" w:fill="auto"/>
            <w:vAlign w:val="center"/>
          </w:tcPr>
          <w:p w14:paraId="3D0E8801">
            <w:pPr>
              <w:adjustRightInd w:val="0"/>
              <w:snapToGrid w:val="0"/>
              <w:spacing w:line="320" w:lineRule="exact"/>
              <w:jc w:val="center"/>
              <w:rPr>
                <w:rFonts w:eastAsia="仿宋_GB2312"/>
                <w:b/>
                <w:bCs/>
                <w:color w:val="FF0000"/>
                <w:szCs w:val="21"/>
              </w:rPr>
            </w:pPr>
          </w:p>
        </w:tc>
        <w:tc>
          <w:tcPr>
            <w:tcW w:w="375" w:type="pct"/>
            <w:vMerge w:val="continue"/>
            <w:shd w:val="clear" w:color="auto" w:fill="auto"/>
            <w:vAlign w:val="center"/>
          </w:tcPr>
          <w:p w14:paraId="71846068">
            <w:pPr>
              <w:adjustRightInd w:val="0"/>
              <w:snapToGrid w:val="0"/>
              <w:spacing w:line="320" w:lineRule="exact"/>
              <w:jc w:val="center"/>
              <w:rPr>
                <w:rFonts w:eastAsia="仿宋_GB2312"/>
                <w:b/>
                <w:bCs/>
                <w:color w:val="FF0000"/>
                <w:szCs w:val="21"/>
              </w:rPr>
            </w:pPr>
          </w:p>
        </w:tc>
        <w:tc>
          <w:tcPr>
            <w:tcW w:w="396" w:type="pct"/>
            <w:shd w:val="clear" w:color="auto" w:fill="auto"/>
            <w:vAlign w:val="center"/>
          </w:tcPr>
          <w:p w14:paraId="7E737202">
            <w:pPr>
              <w:adjustRightInd w:val="0"/>
              <w:snapToGrid w:val="0"/>
              <w:spacing w:line="320" w:lineRule="exact"/>
              <w:jc w:val="center"/>
              <w:rPr>
                <w:rFonts w:eastAsia="仿宋_GB2312"/>
                <w:b/>
                <w:bCs/>
                <w:color w:val="auto"/>
                <w:szCs w:val="21"/>
              </w:rPr>
            </w:pPr>
            <w:r>
              <w:rPr>
                <w:rFonts w:eastAsia="仿宋_GB2312"/>
                <w:color w:val="auto"/>
                <w:szCs w:val="21"/>
              </w:rPr>
              <w:t>乙腈</w:t>
            </w:r>
          </w:p>
        </w:tc>
        <w:tc>
          <w:tcPr>
            <w:tcW w:w="338" w:type="pct"/>
            <w:shd w:val="clear" w:color="auto" w:fill="auto"/>
            <w:vAlign w:val="center"/>
          </w:tcPr>
          <w:p w14:paraId="2DE9BD39">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1124.81</w:t>
            </w:r>
          </w:p>
        </w:tc>
        <w:tc>
          <w:tcPr>
            <w:tcW w:w="283" w:type="pct"/>
            <w:shd w:val="clear" w:color="auto" w:fill="auto"/>
            <w:vAlign w:val="center"/>
          </w:tcPr>
          <w:p w14:paraId="7B0D0F57">
            <w:pPr>
              <w:adjustRightInd w:val="0"/>
              <w:snapToGrid w:val="0"/>
              <w:spacing w:line="320" w:lineRule="exact"/>
              <w:jc w:val="center"/>
              <w:rPr>
                <w:rFonts w:hint="default" w:eastAsia="等线"/>
                <w:color w:val="auto"/>
                <w:szCs w:val="21"/>
                <w:lang w:val="en-US" w:eastAsia="zh-CN"/>
              </w:rPr>
            </w:pPr>
            <w:r>
              <w:rPr>
                <w:rFonts w:hint="eastAsia" w:eastAsia="等线"/>
                <w:color w:val="auto"/>
                <w:szCs w:val="21"/>
                <w:lang w:val="en-US" w:eastAsia="zh-CN"/>
              </w:rPr>
              <w:t>88.86</w:t>
            </w:r>
          </w:p>
        </w:tc>
        <w:tc>
          <w:tcPr>
            <w:tcW w:w="338" w:type="pct"/>
            <w:shd w:val="clear" w:color="auto" w:fill="auto"/>
            <w:vAlign w:val="center"/>
          </w:tcPr>
          <w:p w14:paraId="3F12826E">
            <w:pPr>
              <w:adjustRightInd w:val="0"/>
              <w:snapToGrid w:val="0"/>
              <w:spacing w:line="320" w:lineRule="exact"/>
              <w:jc w:val="center"/>
              <w:rPr>
                <w:rFonts w:hint="default" w:eastAsia="等线"/>
                <w:color w:val="auto"/>
                <w:szCs w:val="21"/>
                <w:lang w:val="en-US" w:eastAsia="zh-CN"/>
              </w:rPr>
            </w:pPr>
            <w:r>
              <w:rPr>
                <w:rFonts w:hint="eastAsia" w:eastAsia="等线"/>
                <w:color w:val="auto"/>
                <w:szCs w:val="21"/>
                <w:lang w:val="en-US" w:eastAsia="zh-CN"/>
              </w:rPr>
              <w:t>396.504</w:t>
            </w:r>
          </w:p>
        </w:tc>
        <w:tc>
          <w:tcPr>
            <w:tcW w:w="534" w:type="pct"/>
            <w:vMerge w:val="continue"/>
            <w:shd w:val="clear" w:color="auto" w:fill="auto"/>
            <w:vAlign w:val="center"/>
          </w:tcPr>
          <w:p w14:paraId="44227952">
            <w:pPr>
              <w:adjustRightInd w:val="0"/>
              <w:snapToGrid w:val="0"/>
              <w:spacing w:line="320" w:lineRule="exact"/>
              <w:jc w:val="center"/>
              <w:rPr>
                <w:rFonts w:eastAsia="仿宋_GB2312"/>
                <w:b/>
                <w:bCs/>
                <w:color w:val="FF0000"/>
                <w:szCs w:val="21"/>
              </w:rPr>
            </w:pPr>
          </w:p>
        </w:tc>
        <w:tc>
          <w:tcPr>
            <w:tcW w:w="291" w:type="pct"/>
            <w:shd w:val="clear" w:color="auto" w:fill="auto"/>
            <w:vAlign w:val="center"/>
          </w:tcPr>
          <w:p w14:paraId="799523F0">
            <w:pPr>
              <w:adjustRightInd w:val="0"/>
              <w:snapToGrid w:val="0"/>
              <w:spacing w:line="320" w:lineRule="exact"/>
              <w:jc w:val="center"/>
              <w:rPr>
                <w:rFonts w:hint="default" w:ascii="Times New Roman" w:hAnsi="Times New Roman" w:eastAsia="等线" w:cs="Times New Roman"/>
                <w:color w:val="auto"/>
                <w:kern w:val="2"/>
                <w:sz w:val="21"/>
                <w:szCs w:val="21"/>
                <w:lang w:val="en-US" w:eastAsia="zh-CN" w:bidi="ar-SA"/>
              </w:rPr>
            </w:pPr>
            <w:r>
              <w:rPr>
                <w:rFonts w:eastAsia="等线"/>
                <w:color w:val="auto"/>
                <w:szCs w:val="21"/>
              </w:rPr>
              <w:t>99</w:t>
            </w:r>
          </w:p>
        </w:tc>
        <w:tc>
          <w:tcPr>
            <w:tcW w:w="291" w:type="pct"/>
            <w:shd w:val="clear" w:color="auto" w:fill="auto"/>
            <w:vAlign w:val="center"/>
          </w:tcPr>
          <w:p w14:paraId="6990B6A1">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11.25</w:t>
            </w:r>
          </w:p>
        </w:tc>
        <w:tc>
          <w:tcPr>
            <w:tcW w:w="297" w:type="pct"/>
            <w:shd w:val="clear" w:color="auto" w:fill="auto"/>
            <w:vAlign w:val="center"/>
          </w:tcPr>
          <w:p w14:paraId="6FBB35D9">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0.89</w:t>
            </w:r>
          </w:p>
        </w:tc>
        <w:tc>
          <w:tcPr>
            <w:tcW w:w="341" w:type="pct"/>
            <w:shd w:val="clear" w:color="auto" w:fill="auto"/>
            <w:vAlign w:val="center"/>
          </w:tcPr>
          <w:p w14:paraId="7C0DAD3B">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3.97</w:t>
            </w:r>
          </w:p>
        </w:tc>
        <w:tc>
          <w:tcPr>
            <w:tcW w:w="328" w:type="pct"/>
            <w:shd w:val="clear" w:color="auto" w:fill="auto"/>
            <w:vAlign w:val="center"/>
          </w:tcPr>
          <w:p w14:paraId="33BBA3C0">
            <w:pPr>
              <w:adjustRightInd w:val="0"/>
              <w:snapToGrid w:val="0"/>
              <w:spacing w:line="320" w:lineRule="exact"/>
              <w:jc w:val="center"/>
              <w:rPr>
                <w:rFonts w:eastAsia="仿宋_GB2312"/>
                <w:b/>
                <w:bCs/>
                <w:color w:val="auto"/>
                <w:szCs w:val="21"/>
              </w:rPr>
            </w:pPr>
            <w:r>
              <w:rPr>
                <w:rFonts w:eastAsia="仿宋_GB2312"/>
                <w:color w:val="auto"/>
                <w:szCs w:val="21"/>
              </w:rPr>
              <w:t>30</w:t>
            </w:r>
          </w:p>
        </w:tc>
        <w:tc>
          <w:tcPr>
            <w:tcW w:w="300" w:type="pct"/>
            <w:shd w:val="clear" w:color="auto" w:fill="auto"/>
            <w:vAlign w:val="center"/>
          </w:tcPr>
          <w:p w14:paraId="4085C535">
            <w:pPr>
              <w:adjustRightInd w:val="0"/>
              <w:snapToGrid w:val="0"/>
              <w:spacing w:line="320" w:lineRule="exact"/>
              <w:jc w:val="center"/>
              <w:rPr>
                <w:rFonts w:eastAsia="仿宋_GB2312"/>
                <w:b/>
                <w:bCs/>
                <w:color w:val="auto"/>
                <w:szCs w:val="21"/>
              </w:rPr>
            </w:pPr>
            <w:r>
              <w:rPr>
                <w:rFonts w:eastAsia="仿宋_GB2312"/>
                <w:color w:val="auto"/>
                <w:szCs w:val="21"/>
              </w:rPr>
              <w:t>16</w:t>
            </w:r>
          </w:p>
        </w:tc>
        <w:tc>
          <w:tcPr>
            <w:tcW w:w="197" w:type="pct"/>
            <w:vMerge w:val="continue"/>
            <w:shd w:val="clear" w:color="auto" w:fill="auto"/>
            <w:vAlign w:val="center"/>
          </w:tcPr>
          <w:p w14:paraId="66EB4E87">
            <w:pPr>
              <w:adjustRightInd w:val="0"/>
              <w:snapToGrid w:val="0"/>
              <w:spacing w:line="320" w:lineRule="exact"/>
              <w:jc w:val="center"/>
              <w:rPr>
                <w:rFonts w:eastAsia="仿宋_GB2312"/>
                <w:b/>
                <w:bCs/>
                <w:color w:val="FF0000"/>
                <w:szCs w:val="21"/>
              </w:rPr>
            </w:pPr>
          </w:p>
        </w:tc>
        <w:tc>
          <w:tcPr>
            <w:tcW w:w="195" w:type="pct"/>
            <w:vMerge w:val="continue"/>
            <w:shd w:val="clear" w:color="auto" w:fill="auto"/>
            <w:vAlign w:val="center"/>
          </w:tcPr>
          <w:p w14:paraId="6C308DCC">
            <w:pPr>
              <w:adjustRightInd w:val="0"/>
              <w:snapToGrid w:val="0"/>
              <w:spacing w:line="320" w:lineRule="exact"/>
              <w:jc w:val="center"/>
              <w:rPr>
                <w:rFonts w:eastAsia="仿宋_GB2312"/>
                <w:b/>
                <w:bCs/>
                <w:color w:val="FF0000"/>
                <w:szCs w:val="21"/>
              </w:rPr>
            </w:pPr>
          </w:p>
        </w:tc>
        <w:tc>
          <w:tcPr>
            <w:tcW w:w="193" w:type="pct"/>
            <w:vMerge w:val="continue"/>
            <w:shd w:val="clear" w:color="auto" w:fill="auto"/>
            <w:vAlign w:val="center"/>
          </w:tcPr>
          <w:p w14:paraId="1DBCB583">
            <w:pPr>
              <w:adjustRightInd w:val="0"/>
              <w:snapToGrid w:val="0"/>
              <w:spacing w:line="320" w:lineRule="exact"/>
              <w:jc w:val="center"/>
              <w:rPr>
                <w:rFonts w:eastAsia="仿宋_GB2312"/>
                <w:b/>
                <w:bCs/>
                <w:color w:val="FF0000"/>
                <w:szCs w:val="21"/>
              </w:rPr>
            </w:pPr>
          </w:p>
        </w:tc>
      </w:tr>
      <w:tr w14:paraId="1CE703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295" w:type="pct"/>
            <w:vMerge w:val="continue"/>
            <w:shd w:val="clear" w:color="auto" w:fill="auto"/>
            <w:vAlign w:val="center"/>
          </w:tcPr>
          <w:p w14:paraId="77CFE080">
            <w:pPr>
              <w:adjustRightInd w:val="0"/>
              <w:snapToGrid w:val="0"/>
              <w:spacing w:line="320" w:lineRule="exact"/>
              <w:jc w:val="center"/>
              <w:rPr>
                <w:rFonts w:eastAsia="仿宋_GB2312"/>
                <w:b/>
                <w:bCs/>
                <w:color w:val="FF0000"/>
                <w:szCs w:val="21"/>
              </w:rPr>
            </w:pPr>
          </w:p>
        </w:tc>
        <w:tc>
          <w:tcPr>
            <w:tcW w:w="375" w:type="pct"/>
            <w:vMerge w:val="continue"/>
            <w:shd w:val="clear" w:color="auto" w:fill="auto"/>
            <w:vAlign w:val="center"/>
          </w:tcPr>
          <w:p w14:paraId="7CE4894E">
            <w:pPr>
              <w:adjustRightInd w:val="0"/>
              <w:snapToGrid w:val="0"/>
              <w:spacing w:line="320" w:lineRule="exact"/>
              <w:jc w:val="center"/>
              <w:rPr>
                <w:rFonts w:eastAsia="仿宋_GB2312"/>
                <w:b/>
                <w:bCs/>
                <w:color w:val="FF0000"/>
                <w:szCs w:val="21"/>
              </w:rPr>
            </w:pPr>
          </w:p>
        </w:tc>
        <w:tc>
          <w:tcPr>
            <w:tcW w:w="396" w:type="pct"/>
            <w:shd w:val="clear" w:color="auto" w:fill="auto"/>
            <w:vAlign w:val="center"/>
          </w:tcPr>
          <w:p w14:paraId="66746A72">
            <w:pPr>
              <w:adjustRightInd w:val="0"/>
              <w:snapToGrid w:val="0"/>
              <w:spacing w:line="320" w:lineRule="exact"/>
              <w:jc w:val="center"/>
              <w:rPr>
                <w:rFonts w:eastAsia="仿宋_GB2312"/>
                <w:b/>
                <w:bCs/>
                <w:color w:val="auto"/>
                <w:szCs w:val="21"/>
              </w:rPr>
            </w:pPr>
            <w:r>
              <w:rPr>
                <w:rFonts w:eastAsia="仿宋_GB2312"/>
                <w:color w:val="auto"/>
                <w:szCs w:val="21"/>
              </w:rPr>
              <w:t>丙二醇单甲醚</w:t>
            </w:r>
          </w:p>
        </w:tc>
        <w:tc>
          <w:tcPr>
            <w:tcW w:w="338" w:type="pct"/>
            <w:shd w:val="clear" w:color="auto" w:fill="auto"/>
            <w:vAlign w:val="center"/>
          </w:tcPr>
          <w:p w14:paraId="1B249406">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689.75</w:t>
            </w:r>
          </w:p>
        </w:tc>
        <w:tc>
          <w:tcPr>
            <w:tcW w:w="283" w:type="pct"/>
            <w:shd w:val="clear" w:color="auto" w:fill="auto"/>
            <w:vAlign w:val="center"/>
          </w:tcPr>
          <w:p w14:paraId="654F6047">
            <w:pPr>
              <w:adjustRightInd w:val="0"/>
              <w:snapToGrid w:val="0"/>
              <w:spacing w:line="320" w:lineRule="exact"/>
              <w:jc w:val="center"/>
              <w:rPr>
                <w:rFonts w:hint="default" w:eastAsia="等线"/>
                <w:color w:val="auto"/>
                <w:szCs w:val="21"/>
                <w:lang w:val="en-US" w:eastAsia="zh-CN"/>
              </w:rPr>
            </w:pPr>
            <w:r>
              <w:rPr>
                <w:rFonts w:hint="eastAsia" w:eastAsia="等线"/>
                <w:color w:val="auto"/>
                <w:szCs w:val="21"/>
                <w:lang w:val="en-US" w:eastAsia="zh-CN"/>
              </w:rPr>
              <w:t>54.49</w:t>
            </w:r>
          </w:p>
        </w:tc>
        <w:tc>
          <w:tcPr>
            <w:tcW w:w="338" w:type="pct"/>
            <w:shd w:val="clear" w:color="auto" w:fill="auto"/>
            <w:vAlign w:val="center"/>
          </w:tcPr>
          <w:p w14:paraId="312D632E">
            <w:pPr>
              <w:adjustRightInd w:val="0"/>
              <w:snapToGrid w:val="0"/>
              <w:spacing w:line="320" w:lineRule="exact"/>
              <w:jc w:val="center"/>
              <w:rPr>
                <w:rFonts w:hint="default" w:eastAsia="等线"/>
                <w:color w:val="auto"/>
                <w:szCs w:val="21"/>
                <w:lang w:val="en-US" w:eastAsia="zh-CN"/>
              </w:rPr>
            </w:pPr>
            <w:r>
              <w:rPr>
                <w:rFonts w:hint="eastAsia" w:eastAsia="等线"/>
                <w:color w:val="auto"/>
                <w:szCs w:val="21"/>
                <w:lang w:val="en-US" w:eastAsia="zh-CN"/>
              </w:rPr>
              <w:t>18.31</w:t>
            </w:r>
          </w:p>
        </w:tc>
        <w:tc>
          <w:tcPr>
            <w:tcW w:w="534" w:type="pct"/>
            <w:vMerge w:val="continue"/>
            <w:shd w:val="clear" w:color="auto" w:fill="auto"/>
            <w:vAlign w:val="center"/>
          </w:tcPr>
          <w:p w14:paraId="354297F4">
            <w:pPr>
              <w:adjustRightInd w:val="0"/>
              <w:snapToGrid w:val="0"/>
              <w:spacing w:line="320" w:lineRule="exact"/>
              <w:jc w:val="center"/>
              <w:rPr>
                <w:rFonts w:eastAsia="仿宋_GB2312"/>
                <w:b/>
                <w:bCs/>
                <w:color w:val="FF0000"/>
                <w:szCs w:val="21"/>
              </w:rPr>
            </w:pPr>
          </w:p>
        </w:tc>
        <w:tc>
          <w:tcPr>
            <w:tcW w:w="291" w:type="pct"/>
            <w:shd w:val="clear" w:color="auto" w:fill="auto"/>
            <w:vAlign w:val="center"/>
          </w:tcPr>
          <w:p w14:paraId="56CC46FA">
            <w:pPr>
              <w:adjustRightInd w:val="0"/>
              <w:snapToGrid w:val="0"/>
              <w:spacing w:line="320" w:lineRule="exact"/>
              <w:jc w:val="center"/>
              <w:rPr>
                <w:rFonts w:ascii="Times New Roman" w:hAnsi="Times New Roman" w:eastAsia="等线" w:cs="Times New Roman"/>
                <w:color w:val="auto"/>
                <w:kern w:val="2"/>
                <w:sz w:val="21"/>
                <w:szCs w:val="21"/>
                <w:lang w:val="en-US" w:eastAsia="zh-CN" w:bidi="ar-SA"/>
              </w:rPr>
            </w:pPr>
            <w:r>
              <w:rPr>
                <w:rFonts w:eastAsia="等线"/>
                <w:color w:val="auto"/>
                <w:szCs w:val="21"/>
              </w:rPr>
              <w:t>99</w:t>
            </w:r>
          </w:p>
        </w:tc>
        <w:tc>
          <w:tcPr>
            <w:tcW w:w="291" w:type="pct"/>
            <w:shd w:val="clear" w:color="auto" w:fill="auto"/>
            <w:vAlign w:val="center"/>
          </w:tcPr>
          <w:p w14:paraId="75CBCEC4">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6.90</w:t>
            </w:r>
          </w:p>
        </w:tc>
        <w:tc>
          <w:tcPr>
            <w:tcW w:w="297" w:type="pct"/>
            <w:shd w:val="clear" w:color="auto" w:fill="auto"/>
            <w:vAlign w:val="center"/>
          </w:tcPr>
          <w:p w14:paraId="26C82F43">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0.54</w:t>
            </w:r>
          </w:p>
        </w:tc>
        <w:tc>
          <w:tcPr>
            <w:tcW w:w="341" w:type="pct"/>
            <w:shd w:val="clear" w:color="auto" w:fill="auto"/>
            <w:vAlign w:val="center"/>
          </w:tcPr>
          <w:p w14:paraId="68C9F321">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0.18</w:t>
            </w:r>
          </w:p>
        </w:tc>
        <w:tc>
          <w:tcPr>
            <w:tcW w:w="328" w:type="pct"/>
            <w:shd w:val="clear" w:color="auto" w:fill="auto"/>
            <w:vAlign w:val="center"/>
          </w:tcPr>
          <w:p w14:paraId="2681385E">
            <w:pPr>
              <w:adjustRightInd w:val="0"/>
              <w:snapToGrid w:val="0"/>
              <w:spacing w:line="320" w:lineRule="exact"/>
              <w:jc w:val="center"/>
              <w:rPr>
                <w:rFonts w:eastAsia="仿宋_GB2312"/>
                <w:b/>
                <w:bCs/>
                <w:color w:val="auto"/>
                <w:szCs w:val="21"/>
              </w:rPr>
            </w:pPr>
            <w:r>
              <w:rPr>
                <w:rFonts w:eastAsia="仿宋_GB2312"/>
                <w:b/>
                <w:bCs/>
                <w:color w:val="auto"/>
                <w:szCs w:val="21"/>
              </w:rPr>
              <w:t>/</w:t>
            </w:r>
          </w:p>
        </w:tc>
        <w:tc>
          <w:tcPr>
            <w:tcW w:w="300" w:type="pct"/>
            <w:shd w:val="clear" w:color="auto" w:fill="auto"/>
            <w:vAlign w:val="center"/>
          </w:tcPr>
          <w:p w14:paraId="465C3FE5">
            <w:pPr>
              <w:adjustRightInd w:val="0"/>
              <w:snapToGrid w:val="0"/>
              <w:spacing w:line="320" w:lineRule="exact"/>
              <w:jc w:val="center"/>
              <w:rPr>
                <w:rFonts w:eastAsia="仿宋_GB2312"/>
                <w:b/>
                <w:bCs/>
                <w:color w:val="auto"/>
                <w:szCs w:val="21"/>
              </w:rPr>
            </w:pPr>
            <w:r>
              <w:rPr>
                <w:rFonts w:eastAsia="仿宋_GB2312"/>
                <w:b/>
                <w:bCs/>
                <w:color w:val="auto"/>
                <w:szCs w:val="21"/>
              </w:rPr>
              <w:t>/</w:t>
            </w:r>
          </w:p>
        </w:tc>
        <w:tc>
          <w:tcPr>
            <w:tcW w:w="197" w:type="pct"/>
            <w:vMerge w:val="continue"/>
            <w:shd w:val="clear" w:color="auto" w:fill="auto"/>
            <w:vAlign w:val="center"/>
          </w:tcPr>
          <w:p w14:paraId="5C0C148C">
            <w:pPr>
              <w:adjustRightInd w:val="0"/>
              <w:snapToGrid w:val="0"/>
              <w:spacing w:line="320" w:lineRule="exact"/>
              <w:jc w:val="center"/>
              <w:rPr>
                <w:rFonts w:eastAsia="仿宋_GB2312"/>
                <w:b/>
                <w:bCs/>
                <w:color w:val="FF0000"/>
                <w:szCs w:val="21"/>
              </w:rPr>
            </w:pPr>
          </w:p>
        </w:tc>
        <w:tc>
          <w:tcPr>
            <w:tcW w:w="195" w:type="pct"/>
            <w:vMerge w:val="continue"/>
            <w:shd w:val="clear" w:color="auto" w:fill="auto"/>
            <w:vAlign w:val="center"/>
          </w:tcPr>
          <w:p w14:paraId="567D2F53">
            <w:pPr>
              <w:adjustRightInd w:val="0"/>
              <w:snapToGrid w:val="0"/>
              <w:spacing w:line="320" w:lineRule="exact"/>
              <w:jc w:val="center"/>
              <w:rPr>
                <w:rFonts w:eastAsia="仿宋_GB2312"/>
                <w:b/>
                <w:bCs/>
                <w:color w:val="FF0000"/>
                <w:szCs w:val="21"/>
              </w:rPr>
            </w:pPr>
          </w:p>
        </w:tc>
        <w:tc>
          <w:tcPr>
            <w:tcW w:w="193" w:type="pct"/>
            <w:vMerge w:val="continue"/>
            <w:shd w:val="clear" w:color="auto" w:fill="auto"/>
            <w:vAlign w:val="center"/>
          </w:tcPr>
          <w:p w14:paraId="1B8D75A5">
            <w:pPr>
              <w:adjustRightInd w:val="0"/>
              <w:snapToGrid w:val="0"/>
              <w:spacing w:line="320" w:lineRule="exact"/>
              <w:jc w:val="center"/>
              <w:rPr>
                <w:rFonts w:eastAsia="仿宋_GB2312"/>
                <w:b/>
                <w:bCs/>
                <w:color w:val="FF0000"/>
                <w:szCs w:val="21"/>
              </w:rPr>
            </w:pPr>
          </w:p>
        </w:tc>
      </w:tr>
      <w:tr w14:paraId="58D184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295" w:type="pct"/>
            <w:vMerge w:val="continue"/>
            <w:shd w:val="clear" w:color="auto" w:fill="auto"/>
            <w:vAlign w:val="center"/>
          </w:tcPr>
          <w:p w14:paraId="657A2C54">
            <w:pPr>
              <w:adjustRightInd w:val="0"/>
              <w:snapToGrid w:val="0"/>
              <w:spacing w:line="320" w:lineRule="exact"/>
              <w:jc w:val="center"/>
              <w:rPr>
                <w:rFonts w:eastAsia="仿宋_GB2312"/>
                <w:b/>
                <w:bCs/>
                <w:color w:val="FF0000"/>
                <w:szCs w:val="21"/>
              </w:rPr>
            </w:pPr>
          </w:p>
        </w:tc>
        <w:tc>
          <w:tcPr>
            <w:tcW w:w="375" w:type="pct"/>
            <w:vMerge w:val="continue"/>
            <w:shd w:val="clear" w:color="auto" w:fill="auto"/>
            <w:vAlign w:val="center"/>
          </w:tcPr>
          <w:p w14:paraId="1B038F46">
            <w:pPr>
              <w:adjustRightInd w:val="0"/>
              <w:snapToGrid w:val="0"/>
              <w:spacing w:line="320" w:lineRule="exact"/>
              <w:jc w:val="center"/>
              <w:rPr>
                <w:rFonts w:eastAsia="仿宋_GB2312"/>
                <w:b/>
                <w:bCs/>
                <w:color w:val="FF0000"/>
                <w:szCs w:val="21"/>
              </w:rPr>
            </w:pPr>
          </w:p>
        </w:tc>
        <w:tc>
          <w:tcPr>
            <w:tcW w:w="396" w:type="pct"/>
            <w:shd w:val="clear" w:color="auto" w:fill="auto"/>
            <w:vAlign w:val="center"/>
          </w:tcPr>
          <w:p w14:paraId="729C3476">
            <w:pPr>
              <w:adjustRightInd w:val="0"/>
              <w:snapToGrid w:val="0"/>
              <w:spacing w:line="320" w:lineRule="exact"/>
              <w:jc w:val="center"/>
              <w:rPr>
                <w:rFonts w:eastAsia="仿宋_GB2312"/>
                <w:b/>
                <w:bCs/>
                <w:color w:val="auto"/>
                <w:szCs w:val="21"/>
              </w:rPr>
            </w:pPr>
            <w:r>
              <w:rPr>
                <w:rFonts w:eastAsia="仿宋_GB2312"/>
                <w:color w:val="auto"/>
                <w:szCs w:val="21"/>
              </w:rPr>
              <w:t>环戊酮</w:t>
            </w:r>
          </w:p>
        </w:tc>
        <w:tc>
          <w:tcPr>
            <w:tcW w:w="338" w:type="pct"/>
            <w:shd w:val="clear" w:color="auto" w:fill="auto"/>
            <w:vAlign w:val="center"/>
          </w:tcPr>
          <w:p w14:paraId="6D95905F">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748.48</w:t>
            </w:r>
          </w:p>
        </w:tc>
        <w:tc>
          <w:tcPr>
            <w:tcW w:w="283" w:type="pct"/>
            <w:shd w:val="clear" w:color="auto" w:fill="auto"/>
            <w:vAlign w:val="center"/>
          </w:tcPr>
          <w:p w14:paraId="1DD06FF2">
            <w:pPr>
              <w:adjustRightInd w:val="0"/>
              <w:snapToGrid w:val="0"/>
              <w:spacing w:line="320" w:lineRule="exact"/>
              <w:jc w:val="center"/>
              <w:rPr>
                <w:rFonts w:hint="default" w:eastAsia="等线"/>
                <w:color w:val="auto"/>
                <w:szCs w:val="21"/>
                <w:lang w:val="en-US" w:eastAsia="zh-CN"/>
              </w:rPr>
            </w:pPr>
            <w:r>
              <w:rPr>
                <w:rFonts w:hint="eastAsia" w:eastAsia="等线"/>
                <w:color w:val="auto"/>
                <w:szCs w:val="21"/>
                <w:lang w:val="en-US" w:eastAsia="zh-CN"/>
              </w:rPr>
              <w:t>59.13</w:t>
            </w:r>
          </w:p>
        </w:tc>
        <w:tc>
          <w:tcPr>
            <w:tcW w:w="338" w:type="pct"/>
            <w:shd w:val="clear" w:color="auto" w:fill="auto"/>
            <w:vAlign w:val="center"/>
          </w:tcPr>
          <w:p w14:paraId="60634BE3">
            <w:pPr>
              <w:adjustRightInd w:val="0"/>
              <w:snapToGrid w:val="0"/>
              <w:spacing w:line="320" w:lineRule="exact"/>
              <w:jc w:val="center"/>
              <w:rPr>
                <w:rFonts w:hint="default" w:eastAsia="等线"/>
                <w:color w:val="auto"/>
                <w:szCs w:val="21"/>
                <w:lang w:val="en-US" w:eastAsia="zh-CN"/>
              </w:rPr>
            </w:pPr>
            <w:r>
              <w:rPr>
                <w:rFonts w:hint="eastAsia" w:eastAsia="等线"/>
                <w:color w:val="auto"/>
                <w:szCs w:val="21"/>
                <w:lang w:val="en-US" w:eastAsia="zh-CN"/>
              </w:rPr>
              <w:t>11.827</w:t>
            </w:r>
          </w:p>
        </w:tc>
        <w:tc>
          <w:tcPr>
            <w:tcW w:w="534" w:type="pct"/>
            <w:vMerge w:val="continue"/>
            <w:shd w:val="clear" w:color="auto" w:fill="auto"/>
            <w:vAlign w:val="center"/>
          </w:tcPr>
          <w:p w14:paraId="5C632D69">
            <w:pPr>
              <w:adjustRightInd w:val="0"/>
              <w:snapToGrid w:val="0"/>
              <w:spacing w:line="320" w:lineRule="exact"/>
              <w:jc w:val="center"/>
              <w:rPr>
                <w:rFonts w:eastAsia="仿宋_GB2312"/>
                <w:b/>
                <w:bCs/>
                <w:color w:val="FF0000"/>
                <w:szCs w:val="21"/>
              </w:rPr>
            </w:pPr>
          </w:p>
        </w:tc>
        <w:tc>
          <w:tcPr>
            <w:tcW w:w="291" w:type="pct"/>
            <w:shd w:val="clear" w:color="auto" w:fill="auto"/>
            <w:vAlign w:val="center"/>
          </w:tcPr>
          <w:p w14:paraId="63D20F33">
            <w:pPr>
              <w:adjustRightInd w:val="0"/>
              <w:snapToGrid w:val="0"/>
              <w:spacing w:line="320" w:lineRule="exact"/>
              <w:jc w:val="center"/>
              <w:rPr>
                <w:rFonts w:ascii="Times New Roman" w:hAnsi="Times New Roman" w:eastAsia="等线" w:cs="Times New Roman"/>
                <w:color w:val="auto"/>
                <w:kern w:val="2"/>
                <w:sz w:val="21"/>
                <w:szCs w:val="21"/>
                <w:lang w:val="en-US" w:eastAsia="zh-CN" w:bidi="ar-SA"/>
              </w:rPr>
            </w:pPr>
            <w:r>
              <w:rPr>
                <w:rFonts w:eastAsia="等线"/>
                <w:color w:val="auto"/>
                <w:szCs w:val="21"/>
              </w:rPr>
              <w:t>99</w:t>
            </w:r>
          </w:p>
        </w:tc>
        <w:tc>
          <w:tcPr>
            <w:tcW w:w="291" w:type="pct"/>
            <w:shd w:val="clear" w:color="auto" w:fill="auto"/>
            <w:vAlign w:val="center"/>
          </w:tcPr>
          <w:p w14:paraId="0C9E139D">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7.48</w:t>
            </w:r>
          </w:p>
        </w:tc>
        <w:tc>
          <w:tcPr>
            <w:tcW w:w="297" w:type="pct"/>
            <w:shd w:val="clear" w:color="auto" w:fill="auto"/>
            <w:vAlign w:val="center"/>
          </w:tcPr>
          <w:p w14:paraId="276319B8">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0.59</w:t>
            </w:r>
          </w:p>
        </w:tc>
        <w:tc>
          <w:tcPr>
            <w:tcW w:w="341" w:type="pct"/>
            <w:shd w:val="clear" w:color="auto" w:fill="auto"/>
            <w:vAlign w:val="center"/>
          </w:tcPr>
          <w:p w14:paraId="1FDE7DB7">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0.12</w:t>
            </w:r>
          </w:p>
        </w:tc>
        <w:tc>
          <w:tcPr>
            <w:tcW w:w="328" w:type="pct"/>
            <w:shd w:val="clear" w:color="auto" w:fill="auto"/>
            <w:vAlign w:val="center"/>
          </w:tcPr>
          <w:p w14:paraId="35898F1A">
            <w:pPr>
              <w:adjustRightInd w:val="0"/>
              <w:snapToGrid w:val="0"/>
              <w:spacing w:line="320" w:lineRule="exact"/>
              <w:jc w:val="center"/>
              <w:rPr>
                <w:rFonts w:eastAsia="仿宋_GB2312"/>
                <w:b/>
                <w:bCs/>
                <w:color w:val="auto"/>
                <w:szCs w:val="21"/>
              </w:rPr>
            </w:pPr>
            <w:r>
              <w:rPr>
                <w:rFonts w:eastAsia="仿宋_GB2312"/>
                <w:b/>
                <w:bCs/>
                <w:color w:val="auto"/>
                <w:szCs w:val="21"/>
              </w:rPr>
              <w:t>/</w:t>
            </w:r>
          </w:p>
        </w:tc>
        <w:tc>
          <w:tcPr>
            <w:tcW w:w="300" w:type="pct"/>
            <w:shd w:val="clear" w:color="auto" w:fill="auto"/>
            <w:vAlign w:val="center"/>
          </w:tcPr>
          <w:p w14:paraId="7943A611">
            <w:pPr>
              <w:adjustRightInd w:val="0"/>
              <w:snapToGrid w:val="0"/>
              <w:spacing w:line="320" w:lineRule="exact"/>
              <w:jc w:val="center"/>
              <w:rPr>
                <w:rFonts w:eastAsia="仿宋_GB2312"/>
                <w:b/>
                <w:bCs/>
                <w:color w:val="auto"/>
                <w:szCs w:val="21"/>
              </w:rPr>
            </w:pPr>
            <w:r>
              <w:rPr>
                <w:rFonts w:eastAsia="仿宋_GB2312"/>
                <w:b/>
                <w:bCs/>
                <w:color w:val="auto"/>
                <w:szCs w:val="21"/>
              </w:rPr>
              <w:t>/</w:t>
            </w:r>
          </w:p>
        </w:tc>
        <w:tc>
          <w:tcPr>
            <w:tcW w:w="197" w:type="pct"/>
            <w:vMerge w:val="continue"/>
            <w:shd w:val="clear" w:color="auto" w:fill="auto"/>
            <w:vAlign w:val="center"/>
          </w:tcPr>
          <w:p w14:paraId="3346E146">
            <w:pPr>
              <w:adjustRightInd w:val="0"/>
              <w:snapToGrid w:val="0"/>
              <w:spacing w:line="320" w:lineRule="exact"/>
              <w:jc w:val="center"/>
              <w:rPr>
                <w:rFonts w:eastAsia="仿宋_GB2312"/>
                <w:b/>
                <w:bCs/>
                <w:color w:val="FF0000"/>
                <w:szCs w:val="21"/>
              </w:rPr>
            </w:pPr>
          </w:p>
        </w:tc>
        <w:tc>
          <w:tcPr>
            <w:tcW w:w="195" w:type="pct"/>
            <w:vMerge w:val="continue"/>
            <w:shd w:val="clear" w:color="auto" w:fill="auto"/>
            <w:vAlign w:val="center"/>
          </w:tcPr>
          <w:p w14:paraId="413D0116">
            <w:pPr>
              <w:adjustRightInd w:val="0"/>
              <w:snapToGrid w:val="0"/>
              <w:spacing w:line="320" w:lineRule="exact"/>
              <w:jc w:val="center"/>
              <w:rPr>
                <w:rFonts w:eastAsia="仿宋_GB2312"/>
                <w:b/>
                <w:bCs/>
                <w:color w:val="FF0000"/>
                <w:szCs w:val="21"/>
              </w:rPr>
            </w:pPr>
          </w:p>
        </w:tc>
        <w:tc>
          <w:tcPr>
            <w:tcW w:w="193" w:type="pct"/>
            <w:vMerge w:val="continue"/>
            <w:shd w:val="clear" w:color="auto" w:fill="auto"/>
            <w:vAlign w:val="center"/>
          </w:tcPr>
          <w:p w14:paraId="5C5F8DD8">
            <w:pPr>
              <w:adjustRightInd w:val="0"/>
              <w:snapToGrid w:val="0"/>
              <w:spacing w:line="320" w:lineRule="exact"/>
              <w:jc w:val="center"/>
              <w:rPr>
                <w:rFonts w:eastAsia="仿宋_GB2312"/>
                <w:b/>
                <w:bCs/>
                <w:color w:val="FF0000"/>
                <w:szCs w:val="21"/>
              </w:rPr>
            </w:pPr>
          </w:p>
        </w:tc>
      </w:tr>
      <w:tr w14:paraId="52310EA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295" w:type="pct"/>
            <w:vMerge w:val="continue"/>
            <w:shd w:val="clear" w:color="auto" w:fill="auto"/>
            <w:vAlign w:val="center"/>
          </w:tcPr>
          <w:p w14:paraId="78C35509">
            <w:pPr>
              <w:adjustRightInd w:val="0"/>
              <w:snapToGrid w:val="0"/>
              <w:spacing w:line="320" w:lineRule="exact"/>
              <w:jc w:val="center"/>
              <w:rPr>
                <w:rFonts w:eastAsia="仿宋_GB2312"/>
                <w:b/>
                <w:bCs/>
                <w:color w:val="FF0000"/>
                <w:szCs w:val="21"/>
              </w:rPr>
            </w:pPr>
          </w:p>
        </w:tc>
        <w:tc>
          <w:tcPr>
            <w:tcW w:w="375" w:type="pct"/>
            <w:vMerge w:val="continue"/>
            <w:shd w:val="clear" w:color="auto" w:fill="auto"/>
            <w:vAlign w:val="center"/>
          </w:tcPr>
          <w:p w14:paraId="78A23F90">
            <w:pPr>
              <w:adjustRightInd w:val="0"/>
              <w:snapToGrid w:val="0"/>
              <w:spacing w:line="320" w:lineRule="exact"/>
              <w:jc w:val="center"/>
              <w:rPr>
                <w:rFonts w:eastAsia="仿宋_GB2312"/>
                <w:b/>
                <w:bCs/>
                <w:color w:val="FF0000"/>
                <w:szCs w:val="21"/>
              </w:rPr>
            </w:pPr>
          </w:p>
        </w:tc>
        <w:tc>
          <w:tcPr>
            <w:tcW w:w="396" w:type="pct"/>
            <w:shd w:val="clear" w:color="auto" w:fill="auto"/>
            <w:vAlign w:val="center"/>
          </w:tcPr>
          <w:p w14:paraId="036D7CEA">
            <w:pPr>
              <w:adjustRightInd w:val="0"/>
              <w:snapToGrid w:val="0"/>
              <w:spacing w:line="320" w:lineRule="exact"/>
              <w:jc w:val="center"/>
              <w:rPr>
                <w:rFonts w:eastAsia="仿宋_GB2312"/>
                <w:color w:val="auto"/>
                <w:szCs w:val="21"/>
              </w:rPr>
            </w:pPr>
            <w:r>
              <w:rPr>
                <w:rFonts w:eastAsia="仿宋_GB2312"/>
                <w:color w:val="auto"/>
                <w:szCs w:val="21"/>
              </w:rPr>
              <w:t>乙酸甲酯</w:t>
            </w:r>
          </w:p>
        </w:tc>
        <w:tc>
          <w:tcPr>
            <w:tcW w:w="338" w:type="pct"/>
            <w:shd w:val="clear" w:color="auto" w:fill="auto"/>
            <w:vAlign w:val="center"/>
          </w:tcPr>
          <w:p w14:paraId="1A5DCB64">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771.14</w:t>
            </w:r>
          </w:p>
        </w:tc>
        <w:tc>
          <w:tcPr>
            <w:tcW w:w="283" w:type="pct"/>
            <w:shd w:val="clear" w:color="auto" w:fill="auto"/>
            <w:vAlign w:val="center"/>
          </w:tcPr>
          <w:p w14:paraId="1B507F84">
            <w:pPr>
              <w:adjustRightInd w:val="0"/>
              <w:snapToGrid w:val="0"/>
              <w:spacing w:line="320" w:lineRule="exact"/>
              <w:jc w:val="center"/>
              <w:rPr>
                <w:rFonts w:hint="default" w:eastAsia="等线"/>
                <w:color w:val="auto"/>
                <w:szCs w:val="21"/>
                <w:lang w:val="en-US" w:eastAsia="zh-CN"/>
              </w:rPr>
            </w:pPr>
            <w:r>
              <w:rPr>
                <w:rFonts w:hint="eastAsia" w:eastAsia="等线"/>
                <w:color w:val="auto"/>
                <w:szCs w:val="21"/>
                <w:lang w:val="en-US" w:eastAsia="zh-CN"/>
              </w:rPr>
              <w:t>60.92</w:t>
            </w:r>
          </w:p>
        </w:tc>
        <w:tc>
          <w:tcPr>
            <w:tcW w:w="338" w:type="pct"/>
            <w:shd w:val="clear" w:color="auto" w:fill="auto"/>
            <w:vAlign w:val="center"/>
          </w:tcPr>
          <w:p w14:paraId="7A38A9AA">
            <w:pPr>
              <w:adjustRightInd w:val="0"/>
              <w:snapToGrid w:val="0"/>
              <w:spacing w:line="320" w:lineRule="exact"/>
              <w:jc w:val="center"/>
              <w:rPr>
                <w:rFonts w:hint="default" w:eastAsia="等线"/>
                <w:color w:val="auto"/>
                <w:szCs w:val="21"/>
                <w:lang w:val="en-US" w:eastAsia="zh-CN"/>
              </w:rPr>
            </w:pPr>
            <w:r>
              <w:rPr>
                <w:rFonts w:hint="eastAsia" w:eastAsia="等线"/>
                <w:color w:val="auto"/>
                <w:szCs w:val="21"/>
                <w:lang w:val="en-US" w:eastAsia="zh-CN"/>
              </w:rPr>
              <w:t>15.353</w:t>
            </w:r>
          </w:p>
        </w:tc>
        <w:tc>
          <w:tcPr>
            <w:tcW w:w="534" w:type="pct"/>
            <w:vMerge w:val="continue"/>
            <w:shd w:val="clear" w:color="auto" w:fill="auto"/>
            <w:vAlign w:val="center"/>
          </w:tcPr>
          <w:p w14:paraId="6AD1E03B">
            <w:pPr>
              <w:adjustRightInd w:val="0"/>
              <w:snapToGrid w:val="0"/>
              <w:spacing w:line="320" w:lineRule="exact"/>
              <w:jc w:val="center"/>
              <w:rPr>
                <w:rFonts w:eastAsia="仿宋_GB2312"/>
                <w:b/>
                <w:bCs/>
                <w:color w:val="FF0000"/>
                <w:szCs w:val="21"/>
              </w:rPr>
            </w:pPr>
          </w:p>
        </w:tc>
        <w:tc>
          <w:tcPr>
            <w:tcW w:w="291" w:type="pct"/>
            <w:shd w:val="clear" w:color="auto" w:fill="auto"/>
            <w:vAlign w:val="center"/>
          </w:tcPr>
          <w:p w14:paraId="109432D8">
            <w:pPr>
              <w:adjustRightInd w:val="0"/>
              <w:snapToGrid w:val="0"/>
              <w:spacing w:line="320" w:lineRule="exact"/>
              <w:jc w:val="center"/>
              <w:rPr>
                <w:rFonts w:hint="default" w:ascii="Times New Roman" w:hAnsi="Times New Roman" w:eastAsia="等线" w:cs="Times New Roman"/>
                <w:color w:val="auto"/>
                <w:kern w:val="2"/>
                <w:sz w:val="21"/>
                <w:szCs w:val="21"/>
                <w:lang w:val="en-US" w:eastAsia="zh-CN" w:bidi="ar-SA"/>
              </w:rPr>
            </w:pPr>
            <w:r>
              <w:rPr>
                <w:rFonts w:hint="eastAsia" w:ascii="Times New Roman" w:hAnsi="Times New Roman" w:eastAsia="等线" w:cs="Times New Roman"/>
                <w:color w:val="auto"/>
                <w:kern w:val="2"/>
                <w:sz w:val="21"/>
                <w:szCs w:val="21"/>
                <w:lang w:val="en-US" w:eastAsia="zh-CN" w:bidi="ar-SA"/>
              </w:rPr>
              <w:t>99</w:t>
            </w:r>
          </w:p>
        </w:tc>
        <w:tc>
          <w:tcPr>
            <w:tcW w:w="291" w:type="pct"/>
            <w:shd w:val="clear" w:color="auto" w:fill="auto"/>
            <w:vAlign w:val="center"/>
          </w:tcPr>
          <w:p w14:paraId="206F423E">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7.71</w:t>
            </w:r>
          </w:p>
        </w:tc>
        <w:tc>
          <w:tcPr>
            <w:tcW w:w="297" w:type="pct"/>
            <w:shd w:val="clear" w:color="auto" w:fill="auto"/>
            <w:vAlign w:val="center"/>
          </w:tcPr>
          <w:p w14:paraId="674CF9B8">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0.61</w:t>
            </w:r>
          </w:p>
        </w:tc>
        <w:tc>
          <w:tcPr>
            <w:tcW w:w="341" w:type="pct"/>
            <w:shd w:val="clear" w:color="auto" w:fill="auto"/>
            <w:vAlign w:val="center"/>
          </w:tcPr>
          <w:p w14:paraId="0F1506B3">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0.15</w:t>
            </w:r>
          </w:p>
        </w:tc>
        <w:tc>
          <w:tcPr>
            <w:tcW w:w="328" w:type="pct"/>
            <w:shd w:val="clear" w:color="auto" w:fill="auto"/>
            <w:vAlign w:val="center"/>
          </w:tcPr>
          <w:p w14:paraId="34AEC85C">
            <w:pPr>
              <w:adjustRightInd w:val="0"/>
              <w:snapToGrid w:val="0"/>
              <w:spacing w:line="320" w:lineRule="exact"/>
              <w:jc w:val="center"/>
              <w:rPr>
                <w:rFonts w:eastAsia="仿宋_GB2312"/>
                <w:b/>
                <w:bCs/>
                <w:color w:val="auto"/>
                <w:szCs w:val="21"/>
              </w:rPr>
            </w:pPr>
            <w:r>
              <w:rPr>
                <w:rFonts w:eastAsia="仿宋_GB2312"/>
                <w:b/>
                <w:bCs/>
                <w:color w:val="auto"/>
                <w:szCs w:val="21"/>
              </w:rPr>
              <w:t>/</w:t>
            </w:r>
          </w:p>
        </w:tc>
        <w:tc>
          <w:tcPr>
            <w:tcW w:w="300" w:type="pct"/>
            <w:shd w:val="clear" w:color="auto" w:fill="auto"/>
            <w:vAlign w:val="center"/>
          </w:tcPr>
          <w:p w14:paraId="30494844">
            <w:pPr>
              <w:adjustRightInd w:val="0"/>
              <w:snapToGrid w:val="0"/>
              <w:spacing w:line="320" w:lineRule="exact"/>
              <w:jc w:val="center"/>
              <w:rPr>
                <w:rFonts w:eastAsia="仿宋_GB2312"/>
                <w:b/>
                <w:bCs/>
                <w:color w:val="auto"/>
                <w:szCs w:val="21"/>
              </w:rPr>
            </w:pPr>
            <w:r>
              <w:rPr>
                <w:rFonts w:eastAsia="仿宋_GB2312"/>
                <w:b/>
                <w:bCs/>
                <w:color w:val="auto"/>
                <w:szCs w:val="21"/>
              </w:rPr>
              <w:t>/</w:t>
            </w:r>
          </w:p>
        </w:tc>
        <w:tc>
          <w:tcPr>
            <w:tcW w:w="197" w:type="pct"/>
            <w:vMerge w:val="continue"/>
            <w:shd w:val="clear" w:color="auto" w:fill="auto"/>
            <w:vAlign w:val="center"/>
          </w:tcPr>
          <w:p w14:paraId="06662030">
            <w:pPr>
              <w:adjustRightInd w:val="0"/>
              <w:snapToGrid w:val="0"/>
              <w:spacing w:line="320" w:lineRule="exact"/>
              <w:jc w:val="center"/>
              <w:rPr>
                <w:rFonts w:eastAsia="仿宋_GB2312"/>
                <w:b/>
                <w:bCs/>
                <w:color w:val="FF0000"/>
                <w:szCs w:val="21"/>
              </w:rPr>
            </w:pPr>
          </w:p>
        </w:tc>
        <w:tc>
          <w:tcPr>
            <w:tcW w:w="195" w:type="pct"/>
            <w:vMerge w:val="continue"/>
            <w:shd w:val="clear" w:color="auto" w:fill="auto"/>
            <w:vAlign w:val="center"/>
          </w:tcPr>
          <w:p w14:paraId="16ED8FDB">
            <w:pPr>
              <w:adjustRightInd w:val="0"/>
              <w:snapToGrid w:val="0"/>
              <w:spacing w:line="320" w:lineRule="exact"/>
              <w:jc w:val="center"/>
              <w:rPr>
                <w:rFonts w:eastAsia="仿宋_GB2312"/>
                <w:b/>
                <w:bCs/>
                <w:color w:val="FF0000"/>
                <w:szCs w:val="21"/>
              </w:rPr>
            </w:pPr>
          </w:p>
        </w:tc>
        <w:tc>
          <w:tcPr>
            <w:tcW w:w="193" w:type="pct"/>
            <w:vMerge w:val="continue"/>
            <w:shd w:val="clear" w:color="auto" w:fill="auto"/>
            <w:vAlign w:val="center"/>
          </w:tcPr>
          <w:p w14:paraId="32B483CD">
            <w:pPr>
              <w:adjustRightInd w:val="0"/>
              <w:snapToGrid w:val="0"/>
              <w:spacing w:line="320" w:lineRule="exact"/>
              <w:jc w:val="center"/>
              <w:rPr>
                <w:rFonts w:eastAsia="仿宋_GB2312"/>
                <w:b/>
                <w:bCs/>
                <w:color w:val="FF0000"/>
                <w:szCs w:val="21"/>
              </w:rPr>
            </w:pPr>
          </w:p>
        </w:tc>
      </w:tr>
      <w:tr w14:paraId="4B9952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295" w:type="pct"/>
            <w:vMerge w:val="continue"/>
            <w:shd w:val="clear" w:color="auto" w:fill="auto"/>
            <w:vAlign w:val="center"/>
          </w:tcPr>
          <w:p w14:paraId="01A10082">
            <w:pPr>
              <w:adjustRightInd w:val="0"/>
              <w:snapToGrid w:val="0"/>
              <w:spacing w:line="320" w:lineRule="exact"/>
              <w:jc w:val="center"/>
              <w:rPr>
                <w:rFonts w:eastAsia="仿宋_GB2312"/>
                <w:b/>
                <w:bCs/>
                <w:color w:val="FF0000"/>
                <w:szCs w:val="21"/>
              </w:rPr>
            </w:pPr>
          </w:p>
        </w:tc>
        <w:tc>
          <w:tcPr>
            <w:tcW w:w="375" w:type="pct"/>
            <w:vMerge w:val="continue"/>
            <w:shd w:val="clear" w:color="auto" w:fill="auto"/>
            <w:vAlign w:val="center"/>
          </w:tcPr>
          <w:p w14:paraId="727A2F37">
            <w:pPr>
              <w:adjustRightInd w:val="0"/>
              <w:snapToGrid w:val="0"/>
              <w:spacing w:line="320" w:lineRule="exact"/>
              <w:jc w:val="center"/>
              <w:rPr>
                <w:rFonts w:eastAsia="仿宋_GB2312"/>
                <w:b/>
                <w:bCs/>
                <w:color w:val="FF0000"/>
                <w:szCs w:val="21"/>
              </w:rPr>
            </w:pPr>
          </w:p>
        </w:tc>
        <w:tc>
          <w:tcPr>
            <w:tcW w:w="396" w:type="pct"/>
            <w:shd w:val="clear" w:color="auto" w:fill="auto"/>
            <w:vAlign w:val="center"/>
          </w:tcPr>
          <w:p w14:paraId="0966B7B1">
            <w:pPr>
              <w:adjustRightInd w:val="0"/>
              <w:snapToGrid w:val="0"/>
              <w:spacing w:line="320" w:lineRule="exact"/>
              <w:jc w:val="center"/>
              <w:rPr>
                <w:rFonts w:hint="eastAsia" w:eastAsia="仿宋_GB2312"/>
                <w:color w:val="auto"/>
                <w:szCs w:val="21"/>
                <w:lang w:val="en-US" w:eastAsia="zh-CN"/>
              </w:rPr>
            </w:pPr>
            <w:r>
              <w:rPr>
                <w:rFonts w:hint="eastAsia" w:eastAsia="仿宋_GB2312"/>
                <w:color w:val="auto"/>
                <w:szCs w:val="21"/>
                <w:lang w:val="en-US" w:eastAsia="zh-CN"/>
              </w:rPr>
              <w:t>苯酚</w:t>
            </w:r>
          </w:p>
        </w:tc>
        <w:tc>
          <w:tcPr>
            <w:tcW w:w="338" w:type="pct"/>
            <w:shd w:val="clear" w:color="auto" w:fill="auto"/>
            <w:vAlign w:val="center"/>
          </w:tcPr>
          <w:p w14:paraId="76AD656E">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20.38</w:t>
            </w:r>
          </w:p>
        </w:tc>
        <w:tc>
          <w:tcPr>
            <w:tcW w:w="283" w:type="pct"/>
            <w:shd w:val="clear" w:color="auto" w:fill="auto"/>
            <w:vAlign w:val="center"/>
          </w:tcPr>
          <w:p w14:paraId="094355E4">
            <w:pPr>
              <w:adjustRightInd w:val="0"/>
              <w:snapToGrid w:val="0"/>
              <w:spacing w:line="320" w:lineRule="exact"/>
              <w:jc w:val="center"/>
              <w:rPr>
                <w:rFonts w:hint="default" w:eastAsia="等线"/>
                <w:color w:val="auto"/>
                <w:szCs w:val="21"/>
                <w:lang w:val="en-US" w:eastAsia="zh-CN"/>
              </w:rPr>
            </w:pPr>
            <w:r>
              <w:rPr>
                <w:rFonts w:hint="eastAsia" w:eastAsia="等线" w:cs="Times New Roman"/>
                <w:color w:val="auto"/>
                <w:kern w:val="2"/>
                <w:sz w:val="21"/>
                <w:szCs w:val="21"/>
                <w:lang w:val="en-US" w:eastAsia="zh-CN" w:bidi="ar-SA"/>
              </w:rPr>
              <w:t>1.61</w:t>
            </w:r>
          </w:p>
        </w:tc>
        <w:tc>
          <w:tcPr>
            <w:tcW w:w="338" w:type="pct"/>
            <w:shd w:val="clear" w:color="auto" w:fill="auto"/>
            <w:vAlign w:val="center"/>
          </w:tcPr>
          <w:p w14:paraId="6C687CFC">
            <w:pPr>
              <w:adjustRightInd w:val="0"/>
              <w:snapToGrid w:val="0"/>
              <w:spacing w:line="320" w:lineRule="exact"/>
              <w:jc w:val="center"/>
              <w:rPr>
                <w:rFonts w:hint="default" w:eastAsia="等线"/>
                <w:color w:val="auto"/>
                <w:szCs w:val="21"/>
                <w:lang w:val="en-US" w:eastAsia="zh-CN"/>
              </w:rPr>
            </w:pPr>
            <w:r>
              <w:rPr>
                <w:rFonts w:hint="eastAsia" w:eastAsia="等线"/>
                <w:color w:val="auto"/>
                <w:szCs w:val="21"/>
                <w:lang w:val="en-US" w:eastAsia="zh-CN"/>
              </w:rPr>
              <w:t>3.4979</w:t>
            </w:r>
          </w:p>
        </w:tc>
        <w:tc>
          <w:tcPr>
            <w:tcW w:w="534" w:type="pct"/>
            <w:vMerge w:val="continue"/>
            <w:shd w:val="clear" w:color="auto" w:fill="auto"/>
            <w:vAlign w:val="center"/>
          </w:tcPr>
          <w:p w14:paraId="6AD38EDB">
            <w:pPr>
              <w:adjustRightInd w:val="0"/>
              <w:snapToGrid w:val="0"/>
              <w:spacing w:line="320" w:lineRule="exact"/>
              <w:jc w:val="center"/>
              <w:rPr>
                <w:rFonts w:eastAsia="仿宋_GB2312"/>
                <w:b/>
                <w:bCs/>
                <w:color w:val="FF0000"/>
                <w:szCs w:val="21"/>
              </w:rPr>
            </w:pPr>
          </w:p>
        </w:tc>
        <w:tc>
          <w:tcPr>
            <w:tcW w:w="291" w:type="pct"/>
            <w:shd w:val="clear" w:color="auto" w:fill="auto"/>
            <w:vAlign w:val="center"/>
          </w:tcPr>
          <w:p w14:paraId="260A8315">
            <w:pPr>
              <w:adjustRightInd w:val="0"/>
              <w:snapToGrid w:val="0"/>
              <w:spacing w:line="320" w:lineRule="exact"/>
              <w:jc w:val="center"/>
              <w:rPr>
                <w:rFonts w:hint="default" w:ascii="Times New Roman" w:hAnsi="Times New Roman" w:eastAsia="等线" w:cs="Times New Roman"/>
                <w:color w:val="auto"/>
                <w:kern w:val="2"/>
                <w:sz w:val="21"/>
                <w:szCs w:val="21"/>
                <w:lang w:val="en-US" w:eastAsia="zh-CN" w:bidi="ar-SA"/>
              </w:rPr>
            </w:pPr>
            <w:r>
              <w:rPr>
                <w:rFonts w:eastAsia="等线"/>
                <w:color w:val="auto"/>
                <w:szCs w:val="21"/>
              </w:rPr>
              <w:t>99</w:t>
            </w:r>
          </w:p>
        </w:tc>
        <w:tc>
          <w:tcPr>
            <w:tcW w:w="291" w:type="pct"/>
            <w:shd w:val="clear" w:color="auto" w:fill="auto"/>
            <w:vAlign w:val="center"/>
          </w:tcPr>
          <w:p w14:paraId="646F1A7C">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0.20</w:t>
            </w:r>
          </w:p>
        </w:tc>
        <w:tc>
          <w:tcPr>
            <w:tcW w:w="297" w:type="pct"/>
            <w:shd w:val="clear" w:color="auto" w:fill="auto"/>
            <w:vAlign w:val="center"/>
          </w:tcPr>
          <w:p w14:paraId="40F6CADC">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0.02</w:t>
            </w:r>
          </w:p>
        </w:tc>
        <w:tc>
          <w:tcPr>
            <w:tcW w:w="341" w:type="pct"/>
            <w:shd w:val="clear" w:color="auto" w:fill="auto"/>
            <w:vAlign w:val="center"/>
          </w:tcPr>
          <w:p w14:paraId="35F22BAC">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0.03</w:t>
            </w:r>
          </w:p>
        </w:tc>
        <w:tc>
          <w:tcPr>
            <w:tcW w:w="328" w:type="pct"/>
            <w:shd w:val="clear" w:color="auto" w:fill="auto"/>
            <w:vAlign w:val="center"/>
          </w:tcPr>
          <w:p w14:paraId="47835C39">
            <w:pPr>
              <w:adjustRightInd w:val="0"/>
              <w:snapToGrid w:val="0"/>
              <w:spacing w:line="320" w:lineRule="exact"/>
              <w:jc w:val="center"/>
              <w:rPr>
                <w:rFonts w:hint="default" w:eastAsia="仿宋_GB2312"/>
                <w:bCs/>
                <w:color w:val="auto"/>
                <w:szCs w:val="21"/>
                <w:lang w:val="en-US" w:eastAsia="zh-CN"/>
              </w:rPr>
            </w:pPr>
            <w:r>
              <w:rPr>
                <w:rFonts w:hint="eastAsia" w:eastAsia="仿宋_GB2312"/>
                <w:bCs/>
                <w:color w:val="auto"/>
                <w:szCs w:val="21"/>
                <w:lang w:val="en-US" w:eastAsia="zh-CN"/>
              </w:rPr>
              <w:t>20</w:t>
            </w:r>
          </w:p>
        </w:tc>
        <w:tc>
          <w:tcPr>
            <w:tcW w:w="300" w:type="pct"/>
            <w:shd w:val="clear" w:color="auto" w:fill="auto"/>
            <w:vAlign w:val="center"/>
          </w:tcPr>
          <w:p w14:paraId="2EBEB932">
            <w:pPr>
              <w:adjustRightInd w:val="0"/>
              <w:snapToGrid w:val="0"/>
              <w:spacing w:line="320" w:lineRule="exact"/>
              <w:jc w:val="center"/>
              <w:rPr>
                <w:rFonts w:hint="default" w:eastAsia="仿宋_GB2312"/>
                <w:bCs/>
                <w:color w:val="auto"/>
                <w:szCs w:val="21"/>
                <w:lang w:val="en-US" w:eastAsia="zh-CN"/>
              </w:rPr>
            </w:pPr>
            <w:r>
              <w:rPr>
                <w:rFonts w:hint="eastAsia" w:eastAsia="仿宋_GB2312"/>
                <w:bCs/>
                <w:color w:val="auto"/>
                <w:szCs w:val="21"/>
                <w:lang w:val="en-US" w:eastAsia="zh-CN"/>
              </w:rPr>
              <w:t>0.072</w:t>
            </w:r>
          </w:p>
        </w:tc>
        <w:tc>
          <w:tcPr>
            <w:tcW w:w="197" w:type="pct"/>
            <w:vMerge w:val="continue"/>
            <w:shd w:val="clear" w:color="auto" w:fill="auto"/>
            <w:vAlign w:val="center"/>
          </w:tcPr>
          <w:p w14:paraId="21EE0A2A">
            <w:pPr>
              <w:adjustRightInd w:val="0"/>
              <w:snapToGrid w:val="0"/>
              <w:spacing w:line="320" w:lineRule="exact"/>
              <w:jc w:val="center"/>
              <w:rPr>
                <w:rFonts w:eastAsia="仿宋_GB2312"/>
                <w:b/>
                <w:bCs/>
                <w:color w:val="FF0000"/>
                <w:szCs w:val="21"/>
              </w:rPr>
            </w:pPr>
          </w:p>
        </w:tc>
        <w:tc>
          <w:tcPr>
            <w:tcW w:w="195" w:type="pct"/>
            <w:vMerge w:val="continue"/>
            <w:shd w:val="clear" w:color="auto" w:fill="auto"/>
            <w:vAlign w:val="center"/>
          </w:tcPr>
          <w:p w14:paraId="7189895E">
            <w:pPr>
              <w:adjustRightInd w:val="0"/>
              <w:snapToGrid w:val="0"/>
              <w:spacing w:line="320" w:lineRule="exact"/>
              <w:jc w:val="center"/>
              <w:rPr>
                <w:rFonts w:eastAsia="仿宋_GB2312"/>
                <w:b/>
                <w:bCs/>
                <w:color w:val="FF0000"/>
                <w:szCs w:val="21"/>
              </w:rPr>
            </w:pPr>
          </w:p>
        </w:tc>
        <w:tc>
          <w:tcPr>
            <w:tcW w:w="193" w:type="pct"/>
            <w:vMerge w:val="continue"/>
            <w:shd w:val="clear" w:color="auto" w:fill="auto"/>
            <w:vAlign w:val="center"/>
          </w:tcPr>
          <w:p w14:paraId="5E3AE077">
            <w:pPr>
              <w:adjustRightInd w:val="0"/>
              <w:snapToGrid w:val="0"/>
              <w:spacing w:line="320" w:lineRule="exact"/>
              <w:jc w:val="center"/>
              <w:rPr>
                <w:rFonts w:eastAsia="仿宋_GB2312"/>
                <w:b/>
                <w:bCs/>
                <w:color w:val="FF0000"/>
                <w:szCs w:val="21"/>
              </w:rPr>
            </w:pPr>
          </w:p>
        </w:tc>
      </w:tr>
      <w:tr w14:paraId="6BF1F0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295" w:type="pct"/>
            <w:vMerge w:val="continue"/>
            <w:shd w:val="clear" w:color="auto" w:fill="auto"/>
            <w:vAlign w:val="center"/>
          </w:tcPr>
          <w:p w14:paraId="7A603DC4">
            <w:pPr>
              <w:adjustRightInd w:val="0"/>
              <w:snapToGrid w:val="0"/>
              <w:spacing w:line="320" w:lineRule="exact"/>
              <w:jc w:val="center"/>
              <w:rPr>
                <w:rFonts w:eastAsia="仿宋_GB2312"/>
                <w:b/>
                <w:bCs/>
                <w:color w:val="FF0000"/>
                <w:szCs w:val="21"/>
              </w:rPr>
            </w:pPr>
          </w:p>
        </w:tc>
        <w:tc>
          <w:tcPr>
            <w:tcW w:w="375" w:type="pct"/>
            <w:vMerge w:val="continue"/>
            <w:shd w:val="clear" w:color="auto" w:fill="auto"/>
            <w:vAlign w:val="center"/>
          </w:tcPr>
          <w:p w14:paraId="79F532BC">
            <w:pPr>
              <w:adjustRightInd w:val="0"/>
              <w:snapToGrid w:val="0"/>
              <w:spacing w:line="320" w:lineRule="exact"/>
              <w:jc w:val="center"/>
              <w:rPr>
                <w:rFonts w:eastAsia="仿宋_GB2312"/>
                <w:b/>
                <w:bCs/>
                <w:color w:val="FF0000"/>
                <w:szCs w:val="21"/>
              </w:rPr>
            </w:pPr>
          </w:p>
        </w:tc>
        <w:tc>
          <w:tcPr>
            <w:tcW w:w="396" w:type="pct"/>
            <w:shd w:val="clear" w:color="auto" w:fill="auto"/>
            <w:vAlign w:val="center"/>
          </w:tcPr>
          <w:p w14:paraId="44E822AD">
            <w:pPr>
              <w:adjustRightInd w:val="0"/>
              <w:snapToGrid w:val="0"/>
              <w:spacing w:line="320" w:lineRule="exact"/>
              <w:jc w:val="center"/>
              <w:rPr>
                <w:rFonts w:hint="default" w:eastAsia="仿宋_GB2312"/>
                <w:color w:val="auto"/>
                <w:szCs w:val="21"/>
                <w:lang w:val="en-US" w:eastAsia="zh-CN"/>
              </w:rPr>
            </w:pPr>
            <w:r>
              <w:rPr>
                <w:rFonts w:hint="eastAsia" w:eastAsia="仿宋_GB2312"/>
                <w:color w:val="auto"/>
                <w:szCs w:val="21"/>
                <w:lang w:val="en-US" w:eastAsia="zh-CN"/>
              </w:rPr>
              <w:t>丙二醇甲醚醋酸酯</w:t>
            </w:r>
          </w:p>
        </w:tc>
        <w:tc>
          <w:tcPr>
            <w:tcW w:w="338" w:type="pct"/>
            <w:shd w:val="clear" w:color="auto" w:fill="auto"/>
            <w:vAlign w:val="center"/>
          </w:tcPr>
          <w:p w14:paraId="3C51A784">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406.46</w:t>
            </w:r>
          </w:p>
        </w:tc>
        <w:tc>
          <w:tcPr>
            <w:tcW w:w="283" w:type="pct"/>
            <w:shd w:val="clear" w:color="auto" w:fill="auto"/>
            <w:vAlign w:val="center"/>
          </w:tcPr>
          <w:p w14:paraId="43CF058F">
            <w:pPr>
              <w:adjustRightInd w:val="0"/>
              <w:snapToGrid w:val="0"/>
              <w:spacing w:line="320" w:lineRule="exact"/>
              <w:jc w:val="center"/>
              <w:rPr>
                <w:rFonts w:hint="default" w:eastAsia="等线"/>
                <w:color w:val="auto"/>
                <w:szCs w:val="21"/>
                <w:lang w:val="en-US" w:eastAsia="zh-CN"/>
              </w:rPr>
            </w:pPr>
            <w:r>
              <w:rPr>
                <w:rFonts w:hint="eastAsia" w:eastAsia="等线"/>
                <w:color w:val="auto"/>
                <w:szCs w:val="21"/>
                <w:lang w:val="en-US" w:eastAsia="zh-CN"/>
              </w:rPr>
              <w:t>32.11</w:t>
            </w:r>
          </w:p>
        </w:tc>
        <w:tc>
          <w:tcPr>
            <w:tcW w:w="338" w:type="pct"/>
            <w:shd w:val="clear" w:color="auto" w:fill="auto"/>
            <w:vAlign w:val="center"/>
          </w:tcPr>
          <w:p w14:paraId="3FAF7E49">
            <w:pPr>
              <w:adjustRightInd w:val="0"/>
              <w:snapToGrid w:val="0"/>
              <w:spacing w:line="320" w:lineRule="exact"/>
              <w:jc w:val="center"/>
              <w:rPr>
                <w:rFonts w:hint="default" w:eastAsia="等线"/>
                <w:color w:val="auto"/>
                <w:szCs w:val="21"/>
                <w:lang w:val="en-US" w:eastAsia="zh-CN"/>
              </w:rPr>
            </w:pPr>
            <w:r>
              <w:rPr>
                <w:rFonts w:hint="eastAsia" w:eastAsia="等线"/>
                <w:color w:val="auto"/>
                <w:szCs w:val="21"/>
                <w:lang w:val="en-US" w:eastAsia="zh-CN"/>
              </w:rPr>
              <w:t>17.084</w:t>
            </w:r>
          </w:p>
        </w:tc>
        <w:tc>
          <w:tcPr>
            <w:tcW w:w="534" w:type="pct"/>
            <w:vMerge w:val="continue"/>
            <w:shd w:val="clear" w:color="auto" w:fill="auto"/>
            <w:vAlign w:val="center"/>
          </w:tcPr>
          <w:p w14:paraId="3587545E">
            <w:pPr>
              <w:adjustRightInd w:val="0"/>
              <w:snapToGrid w:val="0"/>
              <w:spacing w:line="320" w:lineRule="exact"/>
              <w:jc w:val="center"/>
              <w:rPr>
                <w:rFonts w:eastAsia="仿宋_GB2312"/>
                <w:b/>
                <w:bCs/>
                <w:color w:val="FF0000"/>
                <w:szCs w:val="21"/>
              </w:rPr>
            </w:pPr>
          </w:p>
        </w:tc>
        <w:tc>
          <w:tcPr>
            <w:tcW w:w="291" w:type="pct"/>
            <w:shd w:val="clear" w:color="auto" w:fill="auto"/>
            <w:vAlign w:val="center"/>
          </w:tcPr>
          <w:p w14:paraId="25FE8E99">
            <w:pPr>
              <w:adjustRightInd w:val="0"/>
              <w:snapToGrid w:val="0"/>
              <w:spacing w:line="320" w:lineRule="exact"/>
              <w:jc w:val="center"/>
              <w:rPr>
                <w:rFonts w:ascii="Times New Roman" w:hAnsi="Times New Roman" w:eastAsia="等线" w:cs="Times New Roman"/>
                <w:color w:val="auto"/>
                <w:kern w:val="2"/>
                <w:sz w:val="21"/>
                <w:szCs w:val="21"/>
                <w:lang w:val="en-US" w:eastAsia="zh-CN" w:bidi="ar-SA"/>
              </w:rPr>
            </w:pPr>
            <w:r>
              <w:rPr>
                <w:rFonts w:eastAsia="等线"/>
                <w:color w:val="auto"/>
                <w:szCs w:val="21"/>
              </w:rPr>
              <w:t>99</w:t>
            </w:r>
          </w:p>
        </w:tc>
        <w:tc>
          <w:tcPr>
            <w:tcW w:w="291" w:type="pct"/>
            <w:shd w:val="clear" w:color="auto" w:fill="auto"/>
            <w:vAlign w:val="center"/>
          </w:tcPr>
          <w:p w14:paraId="46F2DF30">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4.06</w:t>
            </w:r>
          </w:p>
        </w:tc>
        <w:tc>
          <w:tcPr>
            <w:tcW w:w="297" w:type="pct"/>
            <w:shd w:val="clear" w:color="auto" w:fill="auto"/>
            <w:vAlign w:val="center"/>
          </w:tcPr>
          <w:p w14:paraId="139E81BD">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0.32</w:t>
            </w:r>
          </w:p>
        </w:tc>
        <w:tc>
          <w:tcPr>
            <w:tcW w:w="341" w:type="pct"/>
            <w:shd w:val="clear" w:color="auto" w:fill="auto"/>
            <w:vAlign w:val="center"/>
          </w:tcPr>
          <w:p w14:paraId="5A068DA7">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0.17</w:t>
            </w:r>
          </w:p>
        </w:tc>
        <w:tc>
          <w:tcPr>
            <w:tcW w:w="328" w:type="pct"/>
            <w:shd w:val="clear" w:color="auto" w:fill="auto"/>
            <w:vAlign w:val="center"/>
          </w:tcPr>
          <w:p w14:paraId="2EF0E920">
            <w:pPr>
              <w:adjustRightInd w:val="0"/>
              <w:snapToGrid w:val="0"/>
              <w:spacing w:line="320" w:lineRule="exact"/>
              <w:jc w:val="center"/>
              <w:rPr>
                <w:rFonts w:hint="eastAsia" w:eastAsia="仿宋_GB2312"/>
                <w:bCs/>
                <w:color w:val="auto"/>
                <w:szCs w:val="21"/>
                <w:lang w:val="en-US" w:eastAsia="zh-CN"/>
              </w:rPr>
            </w:pPr>
            <w:r>
              <w:rPr>
                <w:rFonts w:hint="eastAsia" w:eastAsia="仿宋_GB2312"/>
                <w:bCs/>
                <w:color w:val="auto"/>
                <w:szCs w:val="21"/>
                <w:lang w:val="en-US" w:eastAsia="zh-CN"/>
              </w:rPr>
              <w:t>/</w:t>
            </w:r>
          </w:p>
        </w:tc>
        <w:tc>
          <w:tcPr>
            <w:tcW w:w="300" w:type="pct"/>
            <w:shd w:val="clear" w:color="auto" w:fill="auto"/>
            <w:vAlign w:val="center"/>
          </w:tcPr>
          <w:p w14:paraId="2330BA69">
            <w:pPr>
              <w:adjustRightInd w:val="0"/>
              <w:snapToGrid w:val="0"/>
              <w:spacing w:line="320" w:lineRule="exact"/>
              <w:jc w:val="center"/>
              <w:rPr>
                <w:rFonts w:hint="eastAsia" w:eastAsia="仿宋_GB2312"/>
                <w:bCs/>
                <w:color w:val="auto"/>
                <w:szCs w:val="21"/>
                <w:lang w:val="en-US" w:eastAsia="zh-CN"/>
              </w:rPr>
            </w:pPr>
            <w:r>
              <w:rPr>
                <w:rFonts w:hint="eastAsia" w:eastAsia="仿宋_GB2312"/>
                <w:bCs/>
                <w:color w:val="auto"/>
                <w:szCs w:val="21"/>
                <w:lang w:val="en-US" w:eastAsia="zh-CN"/>
              </w:rPr>
              <w:t>/</w:t>
            </w:r>
          </w:p>
        </w:tc>
        <w:tc>
          <w:tcPr>
            <w:tcW w:w="197" w:type="pct"/>
            <w:vMerge w:val="continue"/>
            <w:shd w:val="clear" w:color="auto" w:fill="auto"/>
            <w:vAlign w:val="center"/>
          </w:tcPr>
          <w:p w14:paraId="15ADA9A0">
            <w:pPr>
              <w:adjustRightInd w:val="0"/>
              <w:snapToGrid w:val="0"/>
              <w:spacing w:line="320" w:lineRule="exact"/>
              <w:jc w:val="center"/>
              <w:rPr>
                <w:rFonts w:eastAsia="仿宋_GB2312"/>
                <w:b/>
                <w:bCs/>
                <w:color w:val="FF0000"/>
                <w:szCs w:val="21"/>
              </w:rPr>
            </w:pPr>
          </w:p>
        </w:tc>
        <w:tc>
          <w:tcPr>
            <w:tcW w:w="195" w:type="pct"/>
            <w:vMerge w:val="continue"/>
            <w:shd w:val="clear" w:color="auto" w:fill="auto"/>
            <w:vAlign w:val="center"/>
          </w:tcPr>
          <w:p w14:paraId="5DAB45ED">
            <w:pPr>
              <w:adjustRightInd w:val="0"/>
              <w:snapToGrid w:val="0"/>
              <w:spacing w:line="320" w:lineRule="exact"/>
              <w:jc w:val="center"/>
              <w:rPr>
                <w:rFonts w:eastAsia="仿宋_GB2312"/>
                <w:b/>
                <w:bCs/>
                <w:color w:val="FF0000"/>
                <w:szCs w:val="21"/>
              </w:rPr>
            </w:pPr>
          </w:p>
        </w:tc>
        <w:tc>
          <w:tcPr>
            <w:tcW w:w="193" w:type="pct"/>
            <w:vMerge w:val="continue"/>
            <w:shd w:val="clear" w:color="auto" w:fill="auto"/>
            <w:vAlign w:val="center"/>
          </w:tcPr>
          <w:p w14:paraId="1BA8FADD">
            <w:pPr>
              <w:adjustRightInd w:val="0"/>
              <w:snapToGrid w:val="0"/>
              <w:spacing w:line="320" w:lineRule="exact"/>
              <w:jc w:val="center"/>
              <w:rPr>
                <w:rFonts w:eastAsia="仿宋_GB2312"/>
                <w:b/>
                <w:bCs/>
                <w:color w:val="FF0000"/>
                <w:szCs w:val="21"/>
              </w:rPr>
            </w:pPr>
          </w:p>
        </w:tc>
      </w:tr>
      <w:tr w14:paraId="39E1D7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295" w:type="pct"/>
            <w:vMerge w:val="continue"/>
            <w:shd w:val="clear" w:color="auto" w:fill="auto"/>
            <w:vAlign w:val="center"/>
          </w:tcPr>
          <w:p w14:paraId="7D4BBCB9">
            <w:pPr>
              <w:adjustRightInd w:val="0"/>
              <w:snapToGrid w:val="0"/>
              <w:spacing w:line="320" w:lineRule="exact"/>
              <w:jc w:val="center"/>
              <w:rPr>
                <w:rFonts w:eastAsia="仿宋_GB2312"/>
                <w:b/>
                <w:bCs/>
                <w:color w:val="FF0000"/>
                <w:szCs w:val="21"/>
              </w:rPr>
            </w:pPr>
          </w:p>
        </w:tc>
        <w:tc>
          <w:tcPr>
            <w:tcW w:w="375" w:type="pct"/>
            <w:vMerge w:val="continue"/>
            <w:shd w:val="clear" w:color="auto" w:fill="auto"/>
            <w:vAlign w:val="center"/>
          </w:tcPr>
          <w:p w14:paraId="02F1CA3A">
            <w:pPr>
              <w:adjustRightInd w:val="0"/>
              <w:snapToGrid w:val="0"/>
              <w:spacing w:line="320" w:lineRule="exact"/>
              <w:jc w:val="center"/>
              <w:rPr>
                <w:rFonts w:eastAsia="仿宋_GB2312"/>
                <w:b/>
                <w:bCs/>
                <w:color w:val="FF0000"/>
                <w:szCs w:val="21"/>
              </w:rPr>
            </w:pPr>
          </w:p>
        </w:tc>
        <w:tc>
          <w:tcPr>
            <w:tcW w:w="396" w:type="pct"/>
            <w:shd w:val="clear" w:color="auto" w:fill="auto"/>
            <w:vAlign w:val="center"/>
          </w:tcPr>
          <w:p w14:paraId="1CCBDD43">
            <w:pPr>
              <w:adjustRightInd w:val="0"/>
              <w:snapToGrid w:val="0"/>
              <w:spacing w:line="320" w:lineRule="exact"/>
              <w:jc w:val="center"/>
              <w:rPr>
                <w:rFonts w:hint="default" w:eastAsia="仿宋_GB2312"/>
                <w:color w:val="auto"/>
                <w:szCs w:val="21"/>
                <w:lang w:val="en-US" w:eastAsia="zh-CN"/>
              </w:rPr>
            </w:pPr>
            <w:r>
              <w:rPr>
                <w:rFonts w:hint="eastAsia" w:eastAsia="仿宋_GB2312"/>
                <w:color w:val="auto"/>
                <w:szCs w:val="21"/>
                <w:lang w:val="en-US" w:eastAsia="zh-CN"/>
              </w:rPr>
              <w:t>己烷</w:t>
            </w:r>
          </w:p>
        </w:tc>
        <w:tc>
          <w:tcPr>
            <w:tcW w:w="338" w:type="pct"/>
            <w:shd w:val="clear" w:color="auto" w:fill="auto"/>
            <w:vAlign w:val="center"/>
          </w:tcPr>
          <w:p w14:paraId="722B7511">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112.78</w:t>
            </w:r>
          </w:p>
        </w:tc>
        <w:tc>
          <w:tcPr>
            <w:tcW w:w="283" w:type="pct"/>
            <w:shd w:val="clear" w:color="auto" w:fill="auto"/>
            <w:vAlign w:val="center"/>
          </w:tcPr>
          <w:p w14:paraId="786E1814">
            <w:pPr>
              <w:adjustRightInd w:val="0"/>
              <w:snapToGrid w:val="0"/>
              <w:spacing w:line="320" w:lineRule="exact"/>
              <w:jc w:val="center"/>
              <w:rPr>
                <w:rFonts w:hint="default" w:eastAsia="等线"/>
                <w:color w:val="auto"/>
                <w:szCs w:val="21"/>
                <w:lang w:val="en-US" w:eastAsia="zh-CN"/>
              </w:rPr>
            </w:pPr>
            <w:r>
              <w:rPr>
                <w:rFonts w:hint="eastAsia" w:eastAsia="等线"/>
                <w:color w:val="auto"/>
                <w:szCs w:val="21"/>
                <w:lang w:val="en-US" w:eastAsia="zh-CN"/>
              </w:rPr>
              <w:t>8.91</w:t>
            </w:r>
          </w:p>
        </w:tc>
        <w:tc>
          <w:tcPr>
            <w:tcW w:w="338" w:type="pct"/>
            <w:shd w:val="clear" w:color="auto" w:fill="auto"/>
            <w:vAlign w:val="center"/>
          </w:tcPr>
          <w:p w14:paraId="417C6ED6">
            <w:pPr>
              <w:adjustRightInd w:val="0"/>
              <w:snapToGrid w:val="0"/>
              <w:spacing w:line="320" w:lineRule="exact"/>
              <w:jc w:val="center"/>
              <w:rPr>
                <w:rFonts w:hint="default" w:eastAsia="等线"/>
                <w:color w:val="auto"/>
                <w:szCs w:val="21"/>
                <w:lang w:val="en-US" w:eastAsia="zh-CN"/>
              </w:rPr>
            </w:pPr>
            <w:r>
              <w:rPr>
                <w:rFonts w:hint="eastAsia" w:eastAsia="等线"/>
                <w:color w:val="auto"/>
                <w:szCs w:val="21"/>
                <w:lang w:val="en-US" w:eastAsia="zh-CN"/>
              </w:rPr>
              <w:t>14.81</w:t>
            </w:r>
          </w:p>
        </w:tc>
        <w:tc>
          <w:tcPr>
            <w:tcW w:w="534" w:type="pct"/>
            <w:vMerge w:val="continue"/>
            <w:shd w:val="clear" w:color="auto" w:fill="auto"/>
            <w:vAlign w:val="center"/>
          </w:tcPr>
          <w:p w14:paraId="5100AEBE">
            <w:pPr>
              <w:adjustRightInd w:val="0"/>
              <w:snapToGrid w:val="0"/>
              <w:spacing w:line="320" w:lineRule="exact"/>
              <w:jc w:val="center"/>
              <w:rPr>
                <w:rFonts w:eastAsia="仿宋_GB2312"/>
                <w:b/>
                <w:bCs/>
                <w:color w:val="FF0000"/>
                <w:szCs w:val="21"/>
              </w:rPr>
            </w:pPr>
          </w:p>
        </w:tc>
        <w:tc>
          <w:tcPr>
            <w:tcW w:w="291" w:type="pct"/>
            <w:shd w:val="clear" w:color="auto" w:fill="auto"/>
            <w:vAlign w:val="center"/>
          </w:tcPr>
          <w:p w14:paraId="734A82BC">
            <w:pPr>
              <w:adjustRightInd w:val="0"/>
              <w:snapToGrid w:val="0"/>
              <w:spacing w:line="320" w:lineRule="exact"/>
              <w:jc w:val="center"/>
              <w:rPr>
                <w:rFonts w:ascii="Times New Roman" w:hAnsi="Times New Roman" w:eastAsia="等线" w:cs="Times New Roman"/>
                <w:color w:val="auto"/>
                <w:kern w:val="2"/>
                <w:sz w:val="21"/>
                <w:szCs w:val="21"/>
                <w:lang w:val="en-US" w:eastAsia="zh-CN" w:bidi="ar-SA"/>
              </w:rPr>
            </w:pPr>
            <w:r>
              <w:rPr>
                <w:rFonts w:eastAsia="等线"/>
                <w:color w:val="auto"/>
                <w:szCs w:val="21"/>
              </w:rPr>
              <w:t>99</w:t>
            </w:r>
          </w:p>
        </w:tc>
        <w:tc>
          <w:tcPr>
            <w:tcW w:w="291" w:type="pct"/>
            <w:shd w:val="clear" w:color="auto" w:fill="auto"/>
            <w:vAlign w:val="center"/>
          </w:tcPr>
          <w:p w14:paraId="5DE1CC0D">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1.13</w:t>
            </w:r>
          </w:p>
        </w:tc>
        <w:tc>
          <w:tcPr>
            <w:tcW w:w="297" w:type="pct"/>
            <w:shd w:val="clear" w:color="auto" w:fill="auto"/>
            <w:vAlign w:val="center"/>
          </w:tcPr>
          <w:p w14:paraId="5FE9D47B">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0.09</w:t>
            </w:r>
          </w:p>
        </w:tc>
        <w:tc>
          <w:tcPr>
            <w:tcW w:w="341" w:type="pct"/>
            <w:shd w:val="clear" w:color="auto" w:fill="auto"/>
            <w:vAlign w:val="center"/>
          </w:tcPr>
          <w:p w14:paraId="0A0BC260">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0.15</w:t>
            </w:r>
          </w:p>
        </w:tc>
        <w:tc>
          <w:tcPr>
            <w:tcW w:w="328" w:type="pct"/>
            <w:shd w:val="clear" w:color="auto" w:fill="auto"/>
            <w:vAlign w:val="center"/>
          </w:tcPr>
          <w:p w14:paraId="27ADC941">
            <w:pPr>
              <w:adjustRightInd w:val="0"/>
              <w:snapToGrid w:val="0"/>
              <w:spacing w:line="320" w:lineRule="exact"/>
              <w:jc w:val="center"/>
              <w:rPr>
                <w:rFonts w:hint="eastAsia" w:eastAsia="仿宋_GB2312"/>
                <w:bCs/>
                <w:color w:val="auto"/>
                <w:szCs w:val="21"/>
                <w:lang w:val="en-US" w:eastAsia="zh-CN"/>
              </w:rPr>
            </w:pPr>
            <w:r>
              <w:rPr>
                <w:rFonts w:hint="eastAsia" w:eastAsia="仿宋_GB2312"/>
                <w:bCs/>
                <w:color w:val="auto"/>
                <w:szCs w:val="21"/>
                <w:lang w:val="en-US" w:eastAsia="zh-CN"/>
              </w:rPr>
              <w:t>/</w:t>
            </w:r>
          </w:p>
        </w:tc>
        <w:tc>
          <w:tcPr>
            <w:tcW w:w="300" w:type="pct"/>
            <w:shd w:val="clear" w:color="auto" w:fill="auto"/>
            <w:vAlign w:val="center"/>
          </w:tcPr>
          <w:p w14:paraId="1B2430E8">
            <w:pPr>
              <w:adjustRightInd w:val="0"/>
              <w:snapToGrid w:val="0"/>
              <w:spacing w:line="320" w:lineRule="exact"/>
              <w:jc w:val="center"/>
              <w:rPr>
                <w:rFonts w:hint="eastAsia" w:eastAsia="仿宋_GB2312"/>
                <w:bCs/>
                <w:color w:val="auto"/>
                <w:szCs w:val="21"/>
                <w:lang w:val="en-US" w:eastAsia="zh-CN"/>
              </w:rPr>
            </w:pPr>
            <w:r>
              <w:rPr>
                <w:rFonts w:hint="eastAsia" w:eastAsia="仿宋_GB2312"/>
                <w:bCs/>
                <w:color w:val="auto"/>
                <w:szCs w:val="21"/>
                <w:lang w:val="en-US" w:eastAsia="zh-CN"/>
              </w:rPr>
              <w:t>/</w:t>
            </w:r>
          </w:p>
        </w:tc>
        <w:tc>
          <w:tcPr>
            <w:tcW w:w="197" w:type="pct"/>
            <w:vMerge w:val="continue"/>
            <w:shd w:val="clear" w:color="auto" w:fill="auto"/>
            <w:vAlign w:val="center"/>
          </w:tcPr>
          <w:p w14:paraId="4C062FE9">
            <w:pPr>
              <w:adjustRightInd w:val="0"/>
              <w:snapToGrid w:val="0"/>
              <w:spacing w:line="320" w:lineRule="exact"/>
              <w:jc w:val="center"/>
              <w:rPr>
                <w:rFonts w:eastAsia="仿宋_GB2312"/>
                <w:b/>
                <w:bCs/>
                <w:color w:val="FF0000"/>
                <w:szCs w:val="21"/>
              </w:rPr>
            </w:pPr>
          </w:p>
        </w:tc>
        <w:tc>
          <w:tcPr>
            <w:tcW w:w="195" w:type="pct"/>
            <w:vMerge w:val="continue"/>
            <w:shd w:val="clear" w:color="auto" w:fill="auto"/>
            <w:vAlign w:val="center"/>
          </w:tcPr>
          <w:p w14:paraId="1C333CF3">
            <w:pPr>
              <w:adjustRightInd w:val="0"/>
              <w:snapToGrid w:val="0"/>
              <w:spacing w:line="320" w:lineRule="exact"/>
              <w:jc w:val="center"/>
              <w:rPr>
                <w:rFonts w:eastAsia="仿宋_GB2312"/>
                <w:b/>
                <w:bCs/>
                <w:color w:val="FF0000"/>
                <w:szCs w:val="21"/>
              </w:rPr>
            </w:pPr>
          </w:p>
        </w:tc>
        <w:tc>
          <w:tcPr>
            <w:tcW w:w="193" w:type="pct"/>
            <w:vMerge w:val="continue"/>
            <w:shd w:val="clear" w:color="auto" w:fill="auto"/>
            <w:vAlign w:val="center"/>
          </w:tcPr>
          <w:p w14:paraId="586B317C">
            <w:pPr>
              <w:adjustRightInd w:val="0"/>
              <w:snapToGrid w:val="0"/>
              <w:spacing w:line="320" w:lineRule="exact"/>
              <w:jc w:val="center"/>
              <w:rPr>
                <w:rFonts w:eastAsia="仿宋_GB2312"/>
                <w:b/>
                <w:bCs/>
                <w:color w:val="FF0000"/>
                <w:szCs w:val="21"/>
              </w:rPr>
            </w:pPr>
          </w:p>
        </w:tc>
      </w:tr>
      <w:tr w14:paraId="4CB4265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295" w:type="pct"/>
            <w:vMerge w:val="continue"/>
            <w:shd w:val="clear" w:color="auto" w:fill="auto"/>
            <w:vAlign w:val="center"/>
          </w:tcPr>
          <w:p w14:paraId="34C5697A">
            <w:pPr>
              <w:adjustRightInd w:val="0"/>
              <w:snapToGrid w:val="0"/>
              <w:spacing w:line="320" w:lineRule="exact"/>
              <w:jc w:val="center"/>
              <w:rPr>
                <w:rFonts w:eastAsia="仿宋_GB2312"/>
                <w:b/>
                <w:bCs/>
                <w:color w:val="FF0000"/>
                <w:szCs w:val="21"/>
              </w:rPr>
            </w:pPr>
          </w:p>
        </w:tc>
        <w:tc>
          <w:tcPr>
            <w:tcW w:w="375" w:type="pct"/>
            <w:vMerge w:val="continue"/>
            <w:shd w:val="clear" w:color="auto" w:fill="auto"/>
            <w:vAlign w:val="center"/>
          </w:tcPr>
          <w:p w14:paraId="205EE766">
            <w:pPr>
              <w:adjustRightInd w:val="0"/>
              <w:snapToGrid w:val="0"/>
              <w:spacing w:line="320" w:lineRule="exact"/>
              <w:jc w:val="center"/>
              <w:rPr>
                <w:rFonts w:eastAsia="仿宋_GB2312"/>
                <w:b/>
                <w:bCs/>
                <w:color w:val="FF0000"/>
                <w:szCs w:val="21"/>
              </w:rPr>
            </w:pPr>
          </w:p>
        </w:tc>
        <w:tc>
          <w:tcPr>
            <w:tcW w:w="396" w:type="pct"/>
            <w:shd w:val="clear" w:color="auto" w:fill="auto"/>
            <w:vAlign w:val="center"/>
          </w:tcPr>
          <w:p w14:paraId="5ADB2B72">
            <w:pPr>
              <w:adjustRightInd w:val="0"/>
              <w:snapToGrid w:val="0"/>
              <w:spacing w:line="320" w:lineRule="exact"/>
              <w:jc w:val="center"/>
              <w:rPr>
                <w:rFonts w:hint="default" w:eastAsia="仿宋_GB2312"/>
                <w:color w:val="auto"/>
                <w:szCs w:val="21"/>
                <w:lang w:val="en-US" w:eastAsia="zh-CN"/>
              </w:rPr>
            </w:pPr>
            <w:r>
              <w:rPr>
                <w:rFonts w:hint="eastAsia" w:eastAsia="仿宋_GB2312"/>
                <w:color w:val="auto"/>
                <w:szCs w:val="21"/>
                <w:lang w:val="en-US" w:eastAsia="zh-CN"/>
              </w:rPr>
              <w:t>乙酸乙烯酯</w:t>
            </w:r>
          </w:p>
        </w:tc>
        <w:tc>
          <w:tcPr>
            <w:tcW w:w="338" w:type="pct"/>
            <w:shd w:val="clear" w:color="auto" w:fill="auto"/>
            <w:vAlign w:val="center"/>
          </w:tcPr>
          <w:p w14:paraId="296E08D4">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171.27</w:t>
            </w:r>
          </w:p>
        </w:tc>
        <w:tc>
          <w:tcPr>
            <w:tcW w:w="283" w:type="pct"/>
            <w:shd w:val="clear" w:color="auto" w:fill="auto"/>
            <w:vAlign w:val="center"/>
          </w:tcPr>
          <w:p w14:paraId="3D865509">
            <w:pPr>
              <w:adjustRightInd w:val="0"/>
              <w:snapToGrid w:val="0"/>
              <w:spacing w:line="320" w:lineRule="exact"/>
              <w:jc w:val="center"/>
              <w:rPr>
                <w:rFonts w:hint="default" w:eastAsia="等线"/>
                <w:color w:val="auto"/>
                <w:szCs w:val="21"/>
                <w:lang w:val="en-US" w:eastAsia="zh-CN"/>
              </w:rPr>
            </w:pPr>
            <w:r>
              <w:rPr>
                <w:rFonts w:hint="eastAsia" w:eastAsia="等线"/>
                <w:color w:val="auto"/>
                <w:szCs w:val="21"/>
                <w:lang w:val="en-US" w:eastAsia="zh-CN"/>
              </w:rPr>
              <w:t>13.53</w:t>
            </w:r>
          </w:p>
        </w:tc>
        <w:tc>
          <w:tcPr>
            <w:tcW w:w="338" w:type="pct"/>
            <w:shd w:val="clear" w:color="auto" w:fill="auto"/>
            <w:vAlign w:val="center"/>
          </w:tcPr>
          <w:p w14:paraId="68A41686">
            <w:pPr>
              <w:adjustRightInd w:val="0"/>
              <w:snapToGrid w:val="0"/>
              <w:spacing w:line="320" w:lineRule="exact"/>
              <w:jc w:val="center"/>
              <w:rPr>
                <w:rFonts w:hint="default" w:eastAsia="等线"/>
                <w:color w:val="auto"/>
                <w:szCs w:val="21"/>
                <w:lang w:val="en-US" w:eastAsia="zh-CN"/>
              </w:rPr>
            </w:pPr>
            <w:r>
              <w:rPr>
                <w:rFonts w:hint="eastAsia" w:eastAsia="等线"/>
                <w:color w:val="auto"/>
                <w:szCs w:val="21"/>
                <w:lang w:val="en-US" w:eastAsia="zh-CN"/>
              </w:rPr>
              <w:t>10.41</w:t>
            </w:r>
          </w:p>
        </w:tc>
        <w:tc>
          <w:tcPr>
            <w:tcW w:w="534" w:type="pct"/>
            <w:vMerge w:val="continue"/>
            <w:shd w:val="clear" w:color="auto" w:fill="auto"/>
            <w:vAlign w:val="center"/>
          </w:tcPr>
          <w:p w14:paraId="03C79CA7">
            <w:pPr>
              <w:adjustRightInd w:val="0"/>
              <w:snapToGrid w:val="0"/>
              <w:spacing w:line="320" w:lineRule="exact"/>
              <w:jc w:val="center"/>
              <w:rPr>
                <w:rFonts w:eastAsia="仿宋_GB2312"/>
                <w:b/>
                <w:bCs/>
                <w:color w:val="FF0000"/>
                <w:szCs w:val="21"/>
              </w:rPr>
            </w:pPr>
          </w:p>
        </w:tc>
        <w:tc>
          <w:tcPr>
            <w:tcW w:w="291" w:type="pct"/>
            <w:shd w:val="clear" w:color="auto" w:fill="auto"/>
            <w:vAlign w:val="center"/>
          </w:tcPr>
          <w:p w14:paraId="51A7787D">
            <w:pPr>
              <w:adjustRightInd w:val="0"/>
              <w:snapToGrid w:val="0"/>
              <w:spacing w:line="320" w:lineRule="exact"/>
              <w:jc w:val="center"/>
              <w:rPr>
                <w:rFonts w:hint="default" w:ascii="Times New Roman" w:hAnsi="Times New Roman" w:eastAsia="等线" w:cs="Times New Roman"/>
                <w:color w:val="auto"/>
                <w:kern w:val="2"/>
                <w:sz w:val="21"/>
                <w:szCs w:val="21"/>
                <w:lang w:val="en-US" w:eastAsia="zh-CN" w:bidi="ar-SA"/>
              </w:rPr>
            </w:pPr>
            <w:r>
              <w:rPr>
                <w:rFonts w:eastAsia="等线"/>
                <w:color w:val="auto"/>
                <w:szCs w:val="21"/>
              </w:rPr>
              <w:t>99</w:t>
            </w:r>
          </w:p>
        </w:tc>
        <w:tc>
          <w:tcPr>
            <w:tcW w:w="291" w:type="pct"/>
            <w:shd w:val="clear" w:color="auto" w:fill="auto"/>
            <w:vAlign w:val="center"/>
          </w:tcPr>
          <w:p w14:paraId="6B66D7A8">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1.71</w:t>
            </w:r>
          </w:p>
        </w:tc>
        <w:tc>
          <w:tcPr>
            <w:tcW w:w="297" w:type="pct"/>
            <w:shd w:val="clear" w:color="auto" w:fill="auto"/>
            <w:vAlign w:val="center"/>
          </w:tcPr>
          <w:p w14:paraId="346ABE6D">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0.14</w:t>
            </w:r>
          </w:p>
        </w:tc>
        <w:tc>
          <w:tcPr>
            <w:tcW w:w="341" w:type="pct"/>
            <w:shd w:val="clear" w:color="auto" w:fill="auto"/>
            <w:vAlign w:val="center"/>
          </w:tcPr>
          <w:p w14:paraId="7F57B3E0">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0.10</w:t>
            </w:r>
          </w:p>
        </w:tc>
        <w:tc>
          <w:tcPr>
            <w:tcW w:w="328" w:type="pct"/>
            <w:shd w:val="clear" w:color="auto" w:fill="auto"/>
            <w:vAlign w:val="center"/>
          </w:tcPr>
          <w:p w14:paraId="5E75AA70">
            <w:pPr>
              <w:adjustRightInd w:val="0"/>
              <w:snapToGrid w:val="0"/>
              <w:spacing w:line="320" w:lineRule="exact"/>
              <w:jc w:val="center"/>
              <w:rPr>
                <w:rFonts w:hint="default" w:eastAsia="仿宋_GB2312"/>
                <w:bCs/>
                <w:color w:val="auto"/>
                <w:szCs w:val="21"/>
                <w:lang w:val="en-US" w:eastAsia="zh-CN"/>
              </w:rPr>
            </w:pPr>
            <w:r>
              <w:rPr>
                <w:rFonts w:hint="eastAsia" w:eastAsia="仿宋_GB2312"/>
                <w:bCs/>
                <w:color w:val="auto"/>
                <w:szCs w:val="21"/>
                <w:lang w:val="en-US" w:eastAsia="zh-CN"/>
              </w:rPr>
              <w:t>20</w:t>
            </w:r>
          </w:p>
        </w:tc>
        <w:tc>
          <w:tcPr>
            <w:tcW w:w="300" w:type="pct"/>
            <w:shd w:val="clear" w:color="auto" w:fill="auto"/>
            <w:vAlign w:val="center"/>
          </w:tcPr>
          <w:p w14:paraId="6A6BE080">
            <w:pPr>
              <w:adjustRightInd w:val="0"/>
              <w:snapToGrid w:val="0"/>
              <w:spacing w:line="320" w:lineRule="exact"/>
              <w:jc w:val="center"/>
              <w:rPr>
                <w:rFonts w:hint="default" w:eastAsia="仿宋_GB2312"/>
                <w:bCs/>
                <w:color w:val="auto"/>
                <w:szCs w:val="21"/>
                <w:lang w:val="en-US" w:eastAsia="zh-CN"/>
              </w:rPr>
            </w:pPr>
            <w:r>
              <w:rPr>
                <w:rFonts w:hint="eastAsia" w:eastAsia="仿宋_GB2312"/>
                <w:bCs/>
                <w:color w:val="auto"/>
                <w:szCs w:val="21"/>
                <w:lang w:val="en-US" w:eastAsia="zh-CN"/>
              </w:rPr>
              <w:t>8.1</w:t>
            </w:r>
          </w:p>
        </w:tc>
        <w:tc>
          <w:tcPr>
            <w:tcW w:w="197" w:type="pct"/>
            <w:vMerge w:val="continue"/>
            <w:shd w:val="clear" w:color="auto" w:fill="auto"/>
            <w:vAlign w:val="center"/>
          </w:tcPr>
          <w:p w14:paraId="2C586928">
            <w:pPr>
              <w:adjustRightInd w:val="0"/>
              <w:snapToGrid w:val="0"/>
              <w:spacing w:line="320" w:lineRule="exact"/>
              <w:jc w:val="center"/>
              <w:rPr>
                <w:rFonts w:eastAsia="仿宋_GB2312"/>
                <w:b/>
                <w:bCs/>
                <w:color w:val="FF0000"/>
                <w:szCs w:val="21"/>
              </w:rPr>
            </w:pPr>
          </w:p>
        </w:tc>
        <w:tc>
          <w:tcPr>
            <w:tcW w:w="195" w:type="pct"/>
            <w:vMerge w:val="continue"/>
            <w:shd w:val="clear" w:color="auto" w:fill="auto"/>
            <w:vAlign w:val="center"/>
          </w:tcPr>
          <w:p w14:paraId="7CFAF085">
            <w:pPr>
              <w:adjustRightInd w:val="0"/>
              <w:snapToGrid w:val="0"/>
              <w:spacing w:line="320" w:lineRule="exact"/>
              <w:jc w:val="center"/>
              <w:rPr>
                <w:rFonts w:eastAsia="仿宋_GB2312"/>
                <w:b/>
                <w:bCs/>
                <w:color w:val="FF0000"/>
                <w:szCs w:val="21"/>
              </w:rPr>
            </w:pPr>
          </w:p>
        </w:tc>
        <w:tc>
          <w:tcPr>
            <w:tcW w:w="193" w:type="pct"/>
            <w:vMerge w:val="continue"/>
            <w:shd w:val="clear" w:color="auto" w:fill="auto"/>
            <w:vAlign w:val="center"/>
          </w:tcPr>
          <w:p w14:paraId="7E17637C">
            <w:pPr>
              <w:adjustRightInd w:val="0"/>
              <w:snapToGrid w:val="0"/>
              <w:spacing w:line="320" w:lineRule="exact"/>
              <w:jc w:val="center"/>
              <w:rPr>
                <w:rFonts w:eastAsia="仿宋_GB2312"/>
                <w:b/>
                <w:bCs/>
                <w:color w:val="FF0000"/>
                <w:szCs w:val="21"/>
              </w:rPr>
            </w:pPr>
          </w:p>
        </w:tc>
      </w:tr>
      <w:tr w14:paraId="118A315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295" w:type="pct"/>
            <w:vMerge w:val="continue"/>
            <w:shd w:val="clear" w:color="auto" w:fill="auto"/>
            <w:vAlign w:val="center"/>
          </w:tcPr>
          <w:p w14:paraId="5BC148B2">
            <w:pPr>
              <w:adjustRightInd w:val="0"/>
              <w:snapToGrid w:val="0"/>
              <w:spacing w:line="320" w:lineRule="exact"/>
              <w:jc w:val="center"/>
              <w:rPr>
                <w:rFonts w:eastAsia="仿宋_GB2312"/>
                <w:b/>
                <w:bCs/>
                <w:color w:val="FF0000"/>
                <w:szCs w:val="21"/>
              </w:rPr>
            </w:pPr>
          </w:p>
        </w:tc>
        <w:tc>
          <w:tcPr>
            <w:tcW w:w="375" w:type="pct"/>
            <w:vMerge w:val="continue"/>
            <w:shd w:val="clear" w:color="auto" w:fill="auto"/>
            <w:vAlign w:val="center"/>
          </w:tcPr>
          <w:p w14:paraId="58F71C51">
            <w:pPr>
              <w:adjustRightInd w:val="0"/>
              <w:snapToGrid w:val="0"/>
              <w:spacing w:line="320" w:lineRule="exact"/>
              <w:jc w:val="center"/>
              <w:rPr>
                <w:rFonts w:eastAsia="仿宋_GB2312"/>
                <w:b/>
                <w:bCs/>
                <w:color w:val="FF0000"/>
                <w:szCs w:val="21"/>
              </w:rPr>
            </w:pPr>
          </w:p>
        </w:tc>
        <w:tc>
          <w:tcPr>
            <w:tcW w:w="396" w:type="pct"/>
            <w:shd w:val="clear" w:color="auto" w:fill="auto"/>
            <w:vAlign w:val="center"/>
          </w:tcPr>
          <w:p w14:paraId="3FC9772C">
            <w:pPr>
              <w:adjustRightInd w:val="0"/>
              <w:snapToGrid w:val="0"/>
              <w:spacing w:line="320" w:lineRule="exact"/>
              <w:jc w:val="center"/>
              <w:rPr>
                <w:rFonts w:hint="default" w:eastAsia="仿宋_GB2312"/>
                <w:color w:val="auto"/>
                <w:szCs w:val="21"/>
                <w:lang w:val="en-US" w:eastAsia="zh-CN"/>
              </w:rPr>
            </w:pPr>
            <w:r>
              <w:rPr>
                <w:rFonts w:hint="eastAsia" w:eastAsia="仿宋_GB2312"/>
                <w:color w:val="auto"/>
                <w:szCs w:val="21"/>
                <w:lang w:val="en-US" w:eastAsia="zh-CN"/>
              </w:rPr>
              <w:t>异丙苯</w:t>
            </w:r>
          </w:p>
        </w:tc>
        <w:tc>
          <w:tcPr>
            <w:tcW w:w="338" w:type="pct"/>
            <w:shd w:val="clear" w:color="auto" w:fill="auto"/>
            <w:vAlign w:val="center"/>
          </w:tcPr>
          <w:p w14:paraId="2853541C">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106.96</w:t>
            </w:r>
          </w:p>
        </w:tc>
        <w:tc>
          <w:tcPr>
            <w:tcW w:w="283" w:type="pct"/>
            <w:shd w:val="clear" w:color="auto" w:fill="auto"/>
            <w:vAlign w:val="center"/>
          </w:tcPr>
          <w:p w14:paraId="7BA10198">
            <w:pPr>
              <w:adjustRightInd w:val="0"/>
              <w:snapToGrid w:val="0"/>
              <w:spacing w:line="320" w:lineRule="exact"/>
              <w:jc w:val="center"/>
              <w:rPr>
                <w:rFonts w:hint="default" w:eastAsia="等线"/>
                <w:color w:val="auto"/>
                <w:szCs w:val="21"/>
                <w:lang w:val="en-US" w:eastAsia="zh-CN"/>
              </w:rPr>
            </w:pPr>
            <w:r>
              <w:rPr>
                <w:rFonts w:hint="eastAsia" w:eastAsia="等线"/>
                <w:color w:val="auto"/>
                <w:szCs w:val="21"/>
                <w:lang w:val="en-US" w:eastAsia="zh-CN"/>
              </w:rPr>
              <w:t>8.45</w:t>
            </w:r>
          </w:p>
        </w:tc>
        <w:tc>
          <w:tcPr>
            <w:tcW w:w="338" w:type="pct"/>
            <w:shd w:val="clear" w:color="auto" w:fill="auto"/>
            <w:vAlign w:val="center"/>
          </w:tcPr>
          <w:p w14:paraId="274952DA">
            <w:pPr>
              <w:adjustRightInd w:val="0"/>
              <w:snapToGrid w:val="0"/>
              <w:spacing w:line="320" w:lineRule="exact"/>
              <w:jc w:val="center"/>
              <w:rPr>
                <w:rFonts w:hint="default" w:eastAsia="等线"/>
                <w:color w:val="auto"/>
                <w:szCs w:val="21"/>
                <w:lang w:val="en-US" w:eastAsia="zh-CN"/>
              </w:rPr>
            </w:pPr>
            <w:r>
              <w:rPr>
                <w:rFonts w:hint="eastAsia" w:eastAsia="等线"/>
                <w:color w:val="auto"/>
                <w:szCs w:val="21"/>
                <w:lang w:val="en-US" w:eastAsia="zh-CN"/>
              </w:rPr>
              <w:t>4.806</w:t>
            </w:r>
          </w:p>
        </w:tc>
        <w:tc>
          <w:tcPr>
            <w:tcW w:w="534" w:type="pct"/>
            <w:vMerge w:val="continue"/>
            <w:shd w:val="clear" w:color="auto" w:fill="auto"/>
            <w:vAlign w:val="center"/>
          </w:tcPr>
          <w:p w14:paraId="490713FA">
            <w:pPr>
              <w:adjustRightInd w:val="0"/>
              <w:snapToGrid w:val="0"/>
              <w:spacing w:line="320" w:lineRule="exact"/>
              <w:jc w:val="center"/>
              <w:rPr>
                <w:rFonts w:eastAsia="仿宋_GB2312"/>
                <w:b/>
                <w:bCs/>
                <w:color w:val="FF0000"/>
                <w:szCs w:val="21"/>
              </w:rPr>
            </w:pPr>
          </w:p>
        </w:tc>
        <w:tc>
          <w:tcPr>
            <w:tcW w:w="291" w:type="pct"/>
            <w:shd w:val="clear" w:color="auto" w:fill="auto"/>
            <w:vAlign w:val="center"/>
          </w:tcPr>
          <w:p w14:paraId="107CBDBD">
            <w:pPr>
              <w:adjustRightInd w:val="0"/>
              <w:snapToGrid w:val="0"/>
              <w:spacing w:line="320" w:lineRule="exact"/>
              <w:jc w:val="center"/>
              <w:rPr>
                <w:rFonts w:ascii="Times New Roman" w:hAnsi="Times New Roman" w:eastAsia="等线" w:cs="Times New Roman"/>
                <w:color w:val="auto"/>
                <w:kern w:val="2"/>
                <w:sz w:val="21"/>
                <w:szCs w:val="21"/>
                <w:lang w:val="en-US" w:eastAsia="zh-CN" w:bidi="ar-SA"/>
              </w:rPr>
            </w:pPr>
            <w:r>
              <w:rPr>
                <w:rFonts w:eastAsia="等线"/>
                <w:color w:val="auto"/>
                <w:szCs w:val="21"/>
              </w:rPr>
              <w:t>99</w:t>
            </w:r>
          </w:p>
        </w:tc>
        <w:tc>
          <w:tcPr>
            <w:tcW w:w="291" w:type="pct"/>
            <w:shd w:val="clear" w:color="auto" w:fill="auto"/>
            <w:vAlign w:val="center"/>
          </w:tcPr>
          <w:p w14:paraId="2BF636BA">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1.07</w:t>
            </w:r>
          </w:p>
        </w:tc>
        <w:tc>
          <w:tcPr>
            <w:tcW w:w="297" w:type="pct"/>
            <w:shd w:val="clear" w:color="auto" w:fill="auto"/>
            <w:vAlign w:val="center"/>
          </w:tcPr>
          <w:p w14:paraId="6F90C376">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0.08</w:t>
            </w:r>
          </w:p>
        </w:tc>
        <w:tc>
          <w:tcPr>
            <w:tcW w:w="341" w:type="pct"/>
            <w:shd w:val="clear" w:color="auto" w:fill="auto"/>
            <w:vAlign w:val="center"/>
          </w:tcPr>
          <w:p w14:paraId="2EC550EA">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0.05</w:t>
            </w:r>
          </w:p>
        </w:tc>
        <w:tc>
          <w:tcPr>
            <w:tcW w:w="328" w:type="pct"/>
            <w:shd w:val="clear" w:color="auto" w:fill="auto"/>
            <w:vAlign w:val="center"/>
          </w:tcPr>
          <w:p w14:paraId="584CECD7">
            <w:pPr>
              <w:adjustRightInd w:val="0"/>
              <w:snapToGrid w:val="0"/>
              <w:spacing w:line="320" w:lineRule="exact"/>
              <w:jc w:val="center"/>
              <w:rPr>
                <w:rFonts w:hint="eastAsia" w:eastAsia="仿宋_GB2312"/>
                <w:bCs/>
                <w:color w:val="auto"/>
                <w:szCs w:val="21"/>
                <w:lang w:val="en-US" w:eastAsia="zh-CN"/>
              </w:rPr>
            </w:pPr>
            <w:r>
              <w:rPr>
                <w:rFonts w:hint="eastAsia" w:eastAsia="仿宋_GB2312"/>
                <w:bCs/>
                <w:color w:val="auto"/>
                <w:szCs w:val="21"/>
                <w:lang w:val="en-US" w:eastAsia="zh-CN"/>
              </w:rPr>
              <w:t>/</w:t>
            </w:r>
          </w:p>
        </w:tc>
        <w:tc>
          <w:tcPr>
            <w:tcW w:w="300" w:type="pct"/>
            <w:shd w:val="clear" w:color="auto" w:fill="auto"/>
            <w:vAlign w:val="center"/>
          </w:tcPr>
          <w:p w14:paraId="630A519E">
            <w:pPr>
              <w:adjustRightInd w:val="0"/>
              <w:snapToGrid w:val="0"/>
              <w:spacing w:line="320" w:lineRule="exact"/>
              <w:jc w:val="center"/>
              <w:rPr>
                <w:rFonts w:hint="eastAsia" w:eastAsia="仿宋_GB2312"/>
                <w:bCs/>
                <w:color w:val="auto"/>
                <w:szCs w:val="21"/>
                <w:lang w:val="en-US" w:eastAsia="zh-CN"/>
              </w:rPr>
            </w:pPr>
            <w:r>
              <w:rPr>
                <w:rFonts w:hint="eastAsia" w:eastAsia="仿宋_GB2312"/>
                <w:bCs/>
                <w:color w:val="auto"/>
                <w:szCs w:val="21"/>
                <w:lang w:val="en-US" w:eastAsia="zh-CN"/>
              </w:rPr>
              <w:t>/</w:t>
            </w:r>
          </w:p>
        </w:tc>
        <w:tc>
          <w:tcPr>
            <w:tcW w:w="197" w:type="pct"/>
            <w:vMerge w:val="continue"/>
            <w:shd w:val="clear" w:color="auto" w:fill="auto"/>
            <w:vAlign w:val="center"/>
          </w:tcPr>
          <w:p w14:paraId="4EDAE1BB">
            <w:pPr>
              <w:adjustRightInd w:val="0"/>
              <w:snapToGrid w:val="0"/>
              <w:spacing w:line="320" w:lineRule="exact"/>
              <w:jc w:val="center"/>
              <w:rPr>
                <w:rFonts w:eastAsia="仿宋_GB2312"/>
                <w:b/>
                <w:bCs/>
                <w:color w:val="FF0000"/>
                <w:szCs w:val="21"/>
              </w:rPr>
            </w:pPr>
          </w:p>
        </w:tc>
        <w:tc>
          <w:tcPr>
            <w:tcW w:w="195" w:type="pct"/>
            <w:vMerge w:val="continue"/>
            <w:shd w:val="clear" w:color="auto" w:fill="auto"/>
            <w:vAlign w:val="center"/>
          </w:tcPr>
          <w:p w14:paraId="19817494">
            <w:pPr>
              <w:adjustRightInd w:val="0"/>
              <w:snapToGrid w:val="0"/>
              <w:spacing w:line="320" w:lineRule="exact"/>
              <w:jc w:val="center"/>
              <w:rPr>
                <w:rFonts w:eastAsia="仿宋_GB2312"/>
                <w:b/>
                <w:bCs/>
                <w:color w:val="FF0000"/>
                <w:szCs w:val="21"/>
              </w:rPr>
            </w:pPr>
          </w:p>
        </w:tc>
        <w:tc>
          <w:tcPr>
            <w:tcW w:w="193" w:type="pct"/>
            <w:vMerge w:val="continue"/>
            <w:shd w:val="clear" w:color="auto" w:fill="auto"/>
            <w:vAlign w:val="center"/>
          </w:tcPr>
          <w:p w14:paraId="1BAF32AE">
            <w:pPr>
              <w:adjustRightInd w:val="0"/>
              <w:snapToGrid w:val="0"/>
              <w:spacing w:line="320" w:lineRule="exact"/>
              <w:jc w:val="center"/>
              <w:rPr>
                <w:rFonts w:eastAsia="仿宋_GB2312"/>
                <w:b/>
                <w:bCs/>
                <w:color w:val="FF0000"/>
                <w:szCs w:val="21"/>
              </w:rPr>
            </w:pPr>
          </w:p>
        </w:tc>
      </w:tr>
      <w:tr w14:paraId="0C84DF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295" w:type="pct"/>
            <w:vMerge w:val="continue"/>
            <w:shd w:val="clear" w:color="auto" w:fill="auto"/>
            <w:vAlign w:val="center"/>
          </w:tcPr>
          <w:p w14:paraId="2676407A">
            <w:pPr>
              <w:adjustRightInd w:val="0"/>
              <w:snapToGrid w:val="0"/>
              <w:spacing w:line="320" w:lineRule="exact"/>
              <w:jc w:val="center"/>
              <w:rPr>
                <w:rFonts w:eastAsia="仿宋_GB2312"/>
                <w:b/>
                <w:bCs/>
                <w:color w:val="FF0000"/>
                <w:szCs w:val="21"/>
              </w:rPr>
            </w:pPr>
          </w:p>
        </w:tc>
        <w:tc>
          <w:tcPr>
            <w:tcW w:w="375" w:type="pct"/>
            <w:vMerge w:val="continue"/>
            <w:shd w:val="clear" w:color="auto" w:fill="auto"/>
            <w:vAlign w:val="center"/>
          </w:tcPr>
          <w:p w14:paraId="5EC5BE1E">
            <w:pPr>
              <w:adjustRightInd w:val="0"/>
              <w:snapToGrid w:val="0"/>
              <w:spacing w:line="320" w:lineRule="exact"/>
              <w:jc w:val="center"/>
              <w:rPr>
                <w:rFonts w:eastAsia="仿宋_GB2312"/>
                <w:b/>
                <w:bCs/>
                <w:color w:val="FF0000"/>
                <w:szCs w:val="21"/>
              </w:rPr>
            </w:pPr>
          </w:p>
        </w:tc>
        <w:tc>
          <w:tcPr>
            <w:tcW w:w="396" w:type="pct"/>
            <w:shd w:val="clear" w:color="auto" w:fill="auto"/>
            <w:vAlign w:val="center"/>
          </w:tcPr>
          <w:p w14:paraId="6EC3A5E6">
            <w:pPr>
              <w:adjustRightInd w:val="0"/>
              <w:snapToGrid w:val="0"/>
              <w:spacing w:line="320" w:lineRule="exact"/>
              <w:jc w:val="center"/>
              <w:rPr>
                <w:rFonts w:hint="eastAsia" w:ascii="Times New Roman" w:hAnsi="Times New Roman" w:eastAsia="仿宋_GB2312" w:cs="Times New Roman"/>
                <w:b/>
                <w:bCs/>
                <w:color w:val="auto"/>
                <w:kern w:val="2"/>
                <w:sz w:val="21"/>
                <w:szCs w:val="21"/>
                <w:lang w:val="en-US" w:eastAsia="zh-CN" w:bidi="ar-SA"/>
              </w:rPr>
            </w:pPr>
            <w:r>
              <w:rPr>
                <w:rFonts w:eastAsia="仿宋_GB2312"/>
                <w:color w:val="auto"/>
                <w:szCs w:val="21"/>
              </w:rPr>
              <w:t>乙酸酯类</w:t>
            </w:r>
          </w:p>
        </w:tc>
        <w:tc>
          <w:tcPr>
            <w:tcW w:w="338" w:type="pct"/>
            <w:shd w:val="clear" w:color="auto" w:fill="auto"/>
            <w:vAlign w:val="center"/>
          </w:tcPr>
          <w:p w14:paraId="26BD2D98">
            <w:pPr>
              <w:adjustRightInd w:val="0"/>
              <w:snapToGrid w:val="0"/>
              <w:spacing w:line="320" w:lineRule="exact"/>
              <w:jc w:val="center"/>
              <w:rPr>
                <w:rFonts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2538.86</w:t>
            </w:r>
          </w:p>
        </w:tc>
        <w:tc>
          <w:tcPr>
            <w:tcW w:w="283" w:type="pct"/>
            <w:shd w:val="clear" w:color="auto" w:fill="auto"/>
            <w:vAlign w:val="center"/>
          </w:tcPr>
          <w:p w14:paraId="72BA8FB4">
            <w:pPr>
              <w:adjustRightInd w:val="0"/>
              <w:snapToGrid w:val="0"/>
              <w:spacing w:line="320" w:lineRule="exact"/>
              <w:jc w:val="center"/>
              <w:rPr>
                <w:rFonts w:hint="default" w:ascii="Times New Roman" w:hAnsi="Times New Roman" w:eastAsia="等线" w:cs="Times New Roman"/>
                <w:color w:val="auto"/>
                <w:kern w:val="2"/>
                <w:sz w:val="21"/>
                <w:szCs w:val="21"/>
                <w:lang w:val="en-US" w:eastAsia="zh-CN" w:bidi="ar-SA"/>
              </w:rPr>
            </w:pPr>
            <w:r>
              <w:rPr>
                <w:rFonts w:hint="eastAsia" w:eastAsia="等线"/>
                <w:color w:val="auto"/>
                <w:szCs w:val="21"/>
                <w:lang w:val="en-US" w:eastAsia="zh-CN"/>
              </w:rPr>
              <w:t>200.57</w:t>
            </w:r>
          </w:p>
        </w:tc>
        <w:tc>
          <w:tcPr>
            <w:tcW w:w="338" w:type="pct"/>
            <w:shd w:val="clear" w:color="auto" w:fill="auto"/>
            <w:vAlign w:val="center"/>
          </w:tcPr>
          <w:p w14:paraId="002D4983">
            <w:pPr>
              <w:adjustRightInd w:val="0"/>
              <w:snapToGrid w:val="0"/>
              <w:spacing w:line="320" w:lineRule="exact"/>
              <w:jc w:val="center"/>
              <w:rPr>
                <w:rFonts w:hint="default" w:ascii="Times New Roman" w:hAnsi="Times New Roman" w:eastAsia="等线" w:cs="Times New Roman"/>
                <w:color w:val="auto"/>
                <w:kern w:val="2"/>
                <w:sz w:val="21"/>
                <w:szCs w:val="21"/>
                <w:lang w:val="en-US" w:eastAsia="zh-CN" w:bidi="ar-SA"/>
              </w:rPr>
            </w:pPr>
            <w:r>
              <w:rPr>
                <w:rFonts w:hint="eastAsia" w:eastAsia="等线"/>
                <w:color w:val="auto"/>
                <w:szCs w:val="21"/>
                <w:lang w:val="en-US" w:eastAsia="zh-CN"/>
              </w:rPr>
              <w:t>146.483</w:t>
            </w:r>
          </w:p>
        </w:tc>
        <w:tc>
          <w:tcPr>
            <w:tcW w:w="534" w:type="pct"/>
            <w:vMerge w:val="continue"/>
            <w:shd w:val="clear" w:color="auto" w:fill="auto"/>
            <w:vAlign w:val="center"/>
          </w:tcPr>
          <w:p w14:paraId="28A80882">
            <w:pPr>
              <w:adjustRightInd w:val="0"/>
              <w:snapToGrid w:val="0"/>
              <w:spacing w:line="320" w:lineRule="exact"/>
              <w:jc w:val="center"/>
              <w:rPr>
                <w:rFonts w:eastAsia="仿宋_GB2312"/>
                <w:b/>
                <w:bCs/>
                <w:color w:val="FF0000"/>
                <w:szCs w:val="21"/>
              </w:rPr>
            </w:pPr>
          </w:p>
        </w:tc>
        <w:tc>
          <w:tcPr>
            <w:tcW w:w="291" w:type="pct"/>
            <w:shd w:val="clear" w:color="auto" w:fill="auto"/>
            <w:vAlign w:val="center"/>
          </w:tcPr>
          <w:p w14:paraId="60F5513C">
            <w:pPr>
              <w:adjustRightInd w:val="0"/>
              <w:snapToGrid w:val="0"/>
              <w:spacing w:line="320" w:lineRule="exact"/>
              <w:jc w:val="center"/>
              <w:rPr>
                <w:rFonts w:ascii="Times New Roman" w:hAnsi="Times New Roman" w:eastAsia="等线" w:cs="Times New Roman"/>
                <w:color w:val="auto"/>
                <w:kern w:val="2"/>
                <w:sz w:val="21"/>
                <w:szCs w:val="21"/>
                <w:lang w:val="en-US" w:eastAsia="zh-CN" w:bidi="ar-SA"/>
              </w:rPr>
            </w:pPr>
            <w:r>
              <w:rPr>
                <w:rFonts w:eastAsia="等线"/>
                <w:color w:val="auto"/>
                <w:szCs w:val="21"/>
              </w:rPr>
              <w:t>99</w:t>
            </w:r>
          </w:p>
        </w:tc>
        <w:tc>
          <w:tcPr>
            <w:tcW w:w="291" w:type="pct"/>
            <w:shd w:val="clear" w:color="auto" w:fill="auto"/>
            <w:vAlign w:val="center"/>
          </w:tcPr>
          <w:p w14:paraId="335F74F5">
            <w:pPr>
              <w:adjustRightInd w:val="0"/>
              <w:snapToGrid w:val="0"/>
              <w:spacing w:line="320" w:lineRule="exact"/>
              <w:jc w:val="center"/>
              <w:rPr>
                <w:rFonts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25.39</w:t>
            </w:r>
          </w:p>
        </w:tc>
        <w:tc>
          <w:tcPr>
            <w:tcW w:w="297" w:type="pct"/>
            <w:shd w:val="clear" w:color="auto" w:fill="auto"/>
            <w:vAlign w:val="center"/>
          </w:tcPr>
          <w:p w14:paraId="1D13B7FD">
            <w:pPr>
              <w:adjustRightInd w:val="0"/>
              <w:snapToGrid w:val="0"/>
              <w:spacing w:line="320" w:lineRule="exact"/>
              <w:jc w:val="center"/>
              <w:rPr>
                <w:rFonts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2.01</w:t>
            </w:r>
          </w:p>
        </w:tc>
        <w:tc>
          <w:tcPr>
            <w:tcW w:w="341" w:type="pct"/>
            <w:shd w:val="clear" w:color="auto" w:fill="auto"/>
            <w:vAlign w:val="center"/>
          </w:tcPr>
          <w:p w14:paraId="3A437DCF">
            <w:pPr>
              <w:adjustRightInd w:val="0"/>
              <w:snapToGrid w:val="0"/>
              <w:spacing w:line="320" w:lineRule="exact"/>
              <w:jc w:val="center"/>
              <w:rPr>
                <w:rFonts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1.46</w:t>
            </w:r>
          </w:p>
        </w:tc>
        <w:tc>
          <w:tcPr>
            <w:tcW w:w="328" w:type="pct"/>
            <w:shd w:val="clear" w:color="auto" w:fill="auto"/>
            <w:vAlign w:val="center"/>
          </w:tcPr>
          <w:p w14:paraId="7C50E3D3">
            <w:pPr>
              <w:adjustRightInd w:val="0"/>
              <w:snapToGrid w:val="0"/>
              <w:spacing w:line="320" w:lineRule="exact"/>
              <w:jc w:val="center"/>
              <w:rPr>
                <w:rFonts w:ascii="Times New Roman" w:hAnsi="Times New Roman" w:eastAsia="仿宋_GB2312" w:cs="Times New Roman"/>
                <w:bCs/>
                <w:color w:val="auto"/>
                <w:kern w:val="2"/>
                <w:sz w:val="21"/>
                <w:szCs w:val="21"/>
                <w:lang w:val="en-US" w:eastAsia="zh-CN" w:bidi="ar-SA"/>
              </w:rPr>
            </w:pPr>
            <w:r>
              <w:rPr>
                <w:rFonts w:eastAsia="仿宋_GB2312"/>
                <w:bCs/>
                <w:color w:val="auto"/>
                <w:szCs w:val="21"/>
              </w:rPr>
              <w:t>50</w:t>
            </w:r>
          </w:p>
        </w:tc>
        <w:tc>
          <w:tcPr>
            <w:tcW w:w="300" w:type="pct"/>
            <w:shd w:val="clear" w:color="auto" w:fill="auto"/>
            <w:vAlign w:val="center"/>
          </w:tcPr>
          <w:p w14:paraId="31BC468F">
            <w:pPr>
              <w:adjustRightInd w:val="0"/>
              <w:snapToGrid w:val="0"/>
              <w:spacing w:line="320" w:lineRule="exact"/>
              <w:jc w:val="center"/>
              <w:rPr>
                <w:rFonts w:ascii="Times New Roman" w:hAnsi="Times New Roman" w:eastAsia="仿宋_GB2312" w:cs="Times New Roman"/>
                <w:bCs/>
                <w:color w:val="auto"/>
                <w:kern w:val="2"/>
                <w:sz w:val="21"/>
                <w:szCs w:val="21"/>
                <w:lang w:val="en-US" w:eastAsia="zh-CN" w:bidi="ar-SA"/>
              </w:rPr>
            </w:pPr>
            <w:r>
              <w:rPr>
                <w:rFonts w:eastAsia="仿宋_GB2312"/>
                <w:bCs/>
                <w:color w:val="auto"/>
                <w:szCs w:val="21"/>
              </w:rPr>
              <w:t>16</w:t>
            </w:r>
          </w:p>
        </w:tc>
        <w:tc>
          <w:tcPr>
            <w:tcW w:w="197" w:type="pct"/>
            <w:vMerge w:val="continue"/>
            <w:shd w:val="clear" w:color="auto" w:fill="auto"/>
            <w:vAlign w:val="center"/>
          </w:tcPr>
          <w:p w14:paraId="7DC2430C">
            <w:pPr>
              <w:adjustRightInd w:val="0"/>
              <w:snapToGrid w:val="0"/>
              <w:spacing w:line="320" w:lineRule="exact"/>
              <w:jc w:val="center"/>
              <w:rPr>
                <w:rFonts w:eastAsia="仿宋_GB2312"/>
                <w:b/>
                <w:bCs/>
                <w:color w:val="FF0000"/>
                <w:szCs w:val="21"/>
              </w:rPr>
            </w:pPr>
          </w:p>
        </w:tc>
        <w:tc>
          <w:tcPr>
            <w:tcW w:w="195" w:type="pct"/>
            <w:vMerge w:val="continue"/>
            <w:shd w:val="clear" w:color="auto" w:fill="auto"/>
            <w:vAlign w:val="center"/>
          </w:tcPr>
          <w:p w14:paraId="5D81D2F7">
            <w:pPr>
              <w:adjustRightInd w:val="0"/>
              <w:snapToGrid w:val="0"/>
              <w:spacing w:line="320" w:lineRule="exact"/>
              <w:jc w:val="center"/>
              <w:rPr>
                <w:rFonts w:eastAsia="仿宋_GB2312"/>
                <w:b/>
                <w:bCs/>
                <w:color w:val="FF0000"/>
                <w:szCs w:val="21"/>
              </w:rPr>
            </w:pPr>
          </w:p>
        </w:tc>
        <w:tc>
          <w:tcPr>
            <w:tcW w:w="193" w:type="pct"/>
            <w:vMerge w:val="continue"/>
            <w:shd w:val="clear" w:color="auto" w:fill="auto"/>
            <w:vAlign w:val="center"/>
          </w:tcPr>
          <w:p w14:paraId="532F4B47">
            <w:pPr>
              <w:adjustRightInd w:val="0"/>
              <w:snapToGrid w:val="0"/>
              <w:spacing w:line="320" w:lineRule="exact"/>
              <w:jc w:val="center"/>
              <w:rPr>
                <w:rFonts w:eastAsia="仿宋_GB2312"/>
                <w:b/>
                <w:bCs/>
                <w:color w:val="FF0000"/>
                <w:szCs w:val="21"/>
              </w:rPr>
            </w:pPr>
          </w:p>
        </w:tc>
      </w:tr>
      <w:tr w14:paraId="0EE3D7B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295" w:type="pct"/>
            <w:vMerge w:val="continue"/>
            <w:shd w:val="clear" w:color="auto" w:fill="auto"/>
            <w:vAlign w:val="center"/>
          </w:tcPr>
          <w:p w14:paraId="029560D7">
            <w:pPr>
              <w:adjustRightInd w:val="0"/>
              <w:snapToGrid w:val="0"/>
              <w:spacing w:line="320" w:lineRule="exact"/>
              <w:jc w:val="center"/>
              <w:rPr>
                <w:rFonts w:eastAsia="仿宋_GB2312"/>
                <w:b/>
                <w:bCs/>
                <w:color w:val="FF0000"/>
                <w:szCs w:val="21"/>
              </w:rPr>
            </w:pPr>
          </w:p>
        </w:tc>
        <w:tc>
          <w:tcPr>
            <w:tcW w:w="375" w:type="pct"/>
            <w:vMerge w:val="continue"/>
            <w:shd w:val="clear" w:color="auto" w:fill="auto"/>
            <w:vAlign w:val="center"/>
          </w:tcPr>
          <w:p w14:paraId="348FB7BA">
            <w:pPr>
              <w:adjustRightInd w:val="0"/>
              <w:snapToGrid w:val="0"/>
              <w:spacing w:line="320" w:lineRule="exact"/>
              <w:jc w:val="center"/>
              <w:rPr>
                <w:rFonts w:eastAsia="仿宋_GB2312"/>
                <w:b/>
                <w:bCs/>
                <w:color w:val="FF0000"/>
                <w:szCs w:val="21"/>
              </w:rPr>
            </w:pPr>
          </w:p>
        </w:tc>
        <w:tc>
          <w:tcPr>
            <w:tcW w:w="396" w:type="pct"/>
            <w:shd w:val="clear" w:color="auto" w:fill="auto"/>
            <w:vAlign w:val="center"/>
          </w:tcPr>
          <w:p w14:paraId="1EB1A7A6">
            <w:pPr>
              <w:adjustRightInd w:val="0"/>
              <w:snapToGrid w:val="0"/>
              <w:spacing w:line="320" w:lineRule="exact"/>
              <w:jc w:val="center"/>
              <w:rPr>
                <w:rFonts w:hint="eastAsia" w:eastAsia="仿宋_GB2312"/>
                <w:color w:val="auto"/>
                <w:szCs w:val="21"/>
                <w:lang w:val="en-US" w:eastAsia="zh-CN"/>
              </w:rPr>
            </w:pPr>
            <w:r>
              <w:rPr>
                <w:rFonts w:hint="eastAsia" w:eastAsia="仿宋_GB2312"/>
                <w:color w:val="auto"/>
                <w:szCs w:val="21"/>
                <w:lang w:val="en-US" w:eastAsia="zh-CN"/>
              </w:rPr>
              <w:t>苯系物</w:t>
            </w:r>
          </w:p>
        </w:tc>
        <w:tc>
          <w:tcPr>
            <w:tcW w:w="338" w:type="pct"/>
            <w:shd w:val="clear" w:color="auto" w:fill="auto"/>
            <w:vAlign w:val="center"/>
          </w:tcPr>
          <w:p w14:paraId="5E42D4DA">
            <w:pPr>
              <w:adjustRightInd w:val="0"/>
              <w:snapToGrid w:val="0"/>
              <w:spacing w:line="320" w:lineRule="exact"/>
              <w:jc w:val="center"/>
              <w:rPr>
                <w:rFonts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300.25</w:t>
            </w:r>
          </w:p>
        </w:tc>
        <w:tc>
          <w:tcPr>
            <w:tcW w:w="283" w:type="pct"/>
            <w:shd w:val="clear" w:color="auto" w:fill="auto"/>
            <w:vAlign w:val="center"/>
          </w:tcPr>
          <w:p w14:paraId="2EE414CE">
            <w:pPr>
              <w:adjustRightInd w:val="0"/>
              <w:snapToGrid w:val="0"/>
              <w:spacing w:line="320" w:lineRule="exact"/>
              <w:jc w:val="center"/>
              <w:rPr>
                <w:rFonts w:hint="default" w:ascii="Times New Roman" w:hAnsi="Times New Roman" w:eastAsia="等线" w:cs="Times New Roman"/>
                <w:color w:val="auto"/>
                <w:kern w:val="2"/>
                <w:sz w:val="21"/>
                <w:szCs w:val="21"/>
                <w:lang w:val="en-US" w:eastAsia="zh-CN" w:bidi="ar-SA"/>
              </w:rPr>
            </w:pPr>
            <w:r>
              <w:rPr>
                <w:rFonts w:hint="eastAsia" w:eastAsia="等线" w:cs="Times New Roman"/>
                <w:color w:val="auto"/>
                <w:kern w:val="2"/>
                <w:sz w:val="21"/>
                <w:szCs w:val="21"/>
                <w:lang w:val="en-US" w:eastAsia="zh-CN" w:bidi="ar-SA"/>
              </w:rPr>
              <w:t>23.72</w:t>
            </w:r>
          </w:p>
        </w:tc>
        <w:tc>
          <w:tcPr>
            <w:tcW w:w="338" w:type="pct"/>
            <w:shd w:val="clear" w:color="auto" w:fill="auto"/>
            <w:vAlign w:val="center"/>
          </w:tcPr>
          <w:p w14:paraId="427E7B57">
            <w:pPr>
              <w:adjustRightInd w:val="0"/>
              <w:snapToGrid w:val="0"/>
              <w:spacing w:line="320" w:lineRule="exact"/>
              <w:jc w:val="center"/>
              <w:rPr>
                <w:rFonts w:hint="default" w:ascii="Times New Roman" w:hAnsi="Times New Roman" w:eastAsia="等线" w:cs="Times New Roman"/>
                <w:color w:val="auto"/>
                <w:kern w:val="2"/>
                <w:sz w:val="21"/>
                <w:szCs w:val="21"/>
                <w:lang w:val="en-US" w:eastAsia="zh-CN" w:bidi="ar-SA"/>
              </w:rPr>
            </w:pPr>
            <w:r>
              <w:rPr>
                <w:rFonts w:hint="eastAsia" w:eastAsia="等线" w:cs="Times New Roman"/>
                <w:color w:val="auto"/>
                <w:kern w:val="2"/>
                <w:sz w:val="21"/>
                <w:szCs w:val="21"/>
                <w:lang w:val="en-US" w:eastAsia="zh-CN" w:bidi="ar-SA"/>
              </w:rPr>
              <w:t>89.453</w:t>
            </w:r>
          </w:p>
        </w:tc>
        <w:tc>
          <w:tcPr>
            <w:tcW w:w="534" w:type="pct"/>
            <w:vMerge w:val="continue"/>
            <w:shd w:val="clear" w:color="auto" w:fill="auto"/>
            <w:vAlign w:val="center"/>
          </w:tcPr>
          <w:p w14:paraId="4D7F9041">
            <w:pPr>
              <w:adjustRightInd w:val="0"/>
              <w:snapToGrid w:val="0"/>
              <w:spacing w:line="320" w:lineRule="exact"/>
              <w:jc w:val="center"/>
              <w:rPr>
                <w:rFonts w:eastAsia="仿宋_GB2312"/>
                <w:b/>
                <w:bCs/>
                <w:color w:val="FF0000"/>
                <w:szCs w:val="21"/>
              </w:rPr>
            </w:pPr>
          </w:p>
        </w:tc>
        <w:tc>
          <w:tcPr>
            <w:tcW w:w="291" w:type="pct"/>
            <w:shd w:val="clear" w:color="auto" w:fill="auto"/>
            <w:vAlign w:val="center"/>
          </w:tcPr>
          <w:p w14:paraId="1F25A156">
            <w:pPr>
              <w:adjustRightInd w:val="0"/>
              <w:snapToGrid w:val="0"/>
              <w:spacing w:line="320" w:lineRule="exact"/>
              <w:jc w:val="center"/>
              <w:rPr>
                <w:rFonts w:hint="default" w:eastAsia="等线"/>
                <w:color w:val="auto"/>
                <w:szCs w:val="21"/>
                <w:lang w:val="en-US" w:eastAsia="zh-CN"/>
              </w:rPr>
            </w:pPr>
            <w:r>
              <w:rPr>
                <w:rFonts w:hint="eastAsia" w:eastAsia="等线"/>
                <w:color w:val="auto"/>
                <w:szCs w:val="21"/>
                <w:lang w:val="en-US" w:eastAsia="zh-CN"/>
              </w:rPr>
              <w:t>99</w:t>
            </w:r>
          </w:p>
        </w:tc>
        <w:tc>
          <w:tcPr>
            <w:tcW w:w="291" w:type="pct"/>
            <w:shd w:val="clear" w:color="auto" w:fill="auto"/>
            <w:vAlign w:val="center"/>
          </w:tcPr>
          <w:p w14:paraId="2FF15DEC">
            <w:pPr>
              <w:adjustRightInd w:val="0"/>
              <w:snapToGrid w:val="0"/>
              <w:spacing w:line="320" w:lineRule="exact"/>
              <w:jc w:val="center"/>
              <w:rPr>
                <w:rFonts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3.00</w:t>
            </w:r>
          </w:p>
        </w:tc>
        <w:tc>
          <w:tcPr>
            <w:tcW w:w="297" w:type="pct"/>
            <w:shd w:val="clear" w:color="auto" w:fill="auto"/>
            <w:vAlign w:val="center"/>
          </w:tcPr>
          <w:p w14:paraId="231323F7">
            <w:pPr>
              <w:adjustRightInd w:val="0"/>
              <w:snapToGrid w:val="0"/>
              <w:spacing w:line="320" w:lineRule="exact"/>
              <w:jc w:val="center"/>
              <w:rPr>
                <w:rFonts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0.24</w:t>
            </w:r>
          </w:p>
        </w:tc>
        <w:tc>
          <w:tcPr>
            <w:tcW w:w="341" w:type="pct"/>
            <w:shd w:val="clear" w:color="auto" w:fill="auto"/>
            <w:vAlign w:val="center"/>
          </w:tcPr>
          <w:p w14:paraId="60E80043">
            <w:pPr>
              <w:adjustRightInd w:val="0"/>
              <w:snapToGrid w:val="0"/>
              <w:spacing w:line="320" w:lineRule="exact"/>
              <w:jc w:val="center"/>
              <w:rPr>
                <w:rFonts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0.89</w:t>
            </w:r>
          </w:p>
        </w:tc>
        <w:tc>
          <w:tcPr>
            <w:tcW w:w="328" w:type="pct"/>
            <w:shd w:val="clear" w:color="auto" w:fill="auto"/>
            <w:vAlign w:val="center"/>
          </w:tcPr>
          <w:p w14:paraId="7075BD6A">
            <w:pPr>
              <w:adjustRightInd w:val="0"/>
              <w:snapToGrid w:val="0"/>
              <w:spacing w:line="320" w:lineRule="exact"/>
              <w:jc w:val="center"/>
              <w:rPr>
                <w:rFonts w:hint="default" w:eastAsia="仿宋_GB2312"/>
                <w:bCs/>
                <w:color w:val="auto"/>
                <w:szCs w:val="21"/>
                <w:lang w:val="en-US" w:eastAsia="zh-CN"/>
              </w:rPr>
            </w:pPr>
            <w:r>
              <w:rPr>
                <w:rFonts w:hint="eastAsia" w:eastAsia="仿宋_GB2312"/>
                <w:bCs/>
                <w:color w:val="auto"/>
                <w:szCs w:val="21"/>
                <w:lang w:val="en-US" w:eastAsia="zh-CN"/>
              </w:rPr>
              <w:t>25</w:t>
            </w:r>
          </w:p>
        </w:tc>
        <w:tc>
          <w:tcPr>
            <w:tcW w:w="300" w:type="pct"/>
            <w:shd w:val="clear" w:color="auto" w:fill="auto"/>
            <w:vAlign w:val="center"/>
          </w:tcPr>
          <w:p w14:paraId="44C0CE40">
            <w:pPr>
              <w:adjustRightInd w:val="0"/>
              <w:snapToGrid w:val="0"/>
              <w:spacing w:line="320" w:lineRule="exact"/>
              <w:jc w:val="center"/>
              <w:rPr>
                <w:rFonts w:hint="default" w:eastAsia="仿宋_GB2312"/>
                <w:bCs/>
                <w:color w:val="auto"/>
                <w:szCs w:val="21"/>
                <w:lang w:val="en-US" w:eastAsia="zh-CN"/>
              </w:rPr>
            </w:pPr>
            <w:r>
              <w:rPr>
                <w:rFonts w:hint="eastAsia" w:eastAsia="仿宋_GB2312"/>
                <w:bCs/>
                <w:color w:val="auto"/>
                <w:szCs w:val="21"/>
                <w:lang w:val="en-US" w:eastAsia="zh-CN"/>
              </w:rPr>
              <w:t>1.6</w:t>
            </w:r>
          </w:p>
        </w:tc>
        <w:tc>
          <w:tcPr>
            <w:tcW w:w="197" w:type="pct"/>
            <w:vMerge w:val="continue"/>
            <w:shd w:val="clear" w:color="auto" w:fill="auto"/>
            <w:vAlign w:val="center"/>
          </w:tcPr>
          <w:p w14:paraId="3681438A">
            <w:pPr>
              <w:adjustRightInd w:val="0"/>
              <w:snapToGrid w:val="0"/>
              <w:spacing w:line="320" w:lineRule="exact"/>
              <w:jc w:val="center"/>
              <w:rPr>
                <w:rFonts w:eastAsia="仿宋_GB2312"/>
                <w:b/>
                <w:bCs/>
                <w:color w:val="FF0000"/>
                <w:szCs w:val="21"/>
              </w:rPr>
            </w:pPr>
          </w:p>
        </w:tc>
        <w:tc>
          <w:tcPr>
            <w:tcW w:w="195" w:type="pct"/>
            <w:vMerge w:val="continue"/>
            <w:shd w:val="clear" w:color="auto" w:fill="auto"/>
            <w:vAlign w:val="center"/>
          </w:tcPr>
          <w:p w14:paraId="0C2E3A9C">
            <w:pPr>
              <w:adjustRightInd w:val="0"/>
              <w:snapToGrid w:val="0"/>
              <w:spacing w:line="320" w:lineRule="exact"/>
              <w:jc w:val="center"/>
              <w:rPr>
                <w:rFonts w:eastAsia="仿宋_GB2312"/>
                <w:b/>
                <w:bCs/>
                <w:color w:val="FF0000"/>
                <w:szCs w:val="21"/>
              </w:rPr>
            </w:pPr>
          </w:p>
        </w:tc>
        <w:tc>
          <w:tcPr>
            <w:tcW w:w="193" w:type="pct"/>
            <w:vMerge w:val="continue"/>
            <w:shd w:val="clear" w:color="auto" w:fill="auto"/>
            <w:vAlign w:val="center"/>
          </w:tcPr>
          <w:p w14:paraId="745A4A35">
            <w:pPr>
              <w:adjustRightInd w:val="0"/>
              <w:snapToGrid w:val="0"/>
              <w:spacing w:line="320" w:lineRule="exact"/>
              <w:jc w:val="center"/>
              <w:rPr>
                <w:rFonts w:eastAsia="仿宋_GB2312"/>
                <w:b/>
                <w:bCs/>
                <w:color w:val="FF0000"/>
                <w:szCs w:val="21"/>
              </w:rPr>
            </w:pPr>
          </w:p>
        </w:tc>
      </w:tr>
      <w:tr w14:paraId="0B046E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295" w:type="pct"/>
            <w:vMerge w:val="continue"/>
            <w:shd w:val="clear" w:color="auto" w:fill="auto"/>
            <w:vAlign w:val="center"/>
          </w:tcPr>
          <w:p w14:paraId="402B26F3">
            <w:pPr>
              <w:adjustRightInd w:val="0"/>
              <w:snapToGrid w:val="0"/>
              <w:spacing w:line="320" w:lineRule="exact"/>
              <w:jc w:val="center"/>
              <w:rPr>
                <w:rFonts w:eastAsia="仿宋_GB2312"/>
                <w:b/>
                <w:bCs/>
                <w:color w:val="FF0000"/>
                <w:szCs w:val="21"/>
              </w:rPr>
            </w:pPr>
          </w:p>
        </w:tc>
        <w:tc>
          <w:tcPr>
            <w:tcW w:w="375" w:type="pct"/>
            <w:vMerge w:val="continue"/>
            <w:shd w:val="clear" w:color="auto" w:fill="auto"/>
            <w:vAlign w:val="center"/>
          </w:tcPr>
          <w:p w14:paraId="3FF77847">
            <w:pPr>
              <w:adjustRightInd w:val="0"/>
              <w:snapToGrid w:val="0"/>
              <w:spacing w:line="320" w:lineRule="exact"/>
              <w:jc w:val="center"/>
              <w:rPr>
                <w:rFonts w:eastAsia="仿宋_GB2312"/>
                <w:b/>
                <w:bCs/>
                <w:color w:val="FF0000"/>
                <w:szCs w:val="21"/>
              </w:rPr>
            </w:pPr>
          </w:p>
        </w:tc>
        <w:tc>
          <w:tcPr>
            <w:tcW w:w="396" w:type="pct"/>
            <w:shd w:val="clear" w:color="auto" w:fill="auto"/>
            <w:vAlign w:val="center"/>
          </w:tcPr>
          <w:p w14:paraId="13CE066D">
            <w:pPr>
              <w:adjustRightInd w:val="0"/>
              <w:snapToGrid w:val="0"/>
              <w:spacing w:line="320" w:lineRule="exact"/>
              <w:jc w:val="center"/>
              <w:rPr>
                <w:rFonts w:eastAsia="仿宋_GB2312"/>
                <w:bCs/>
                <w:color w:val="auto"/>
                <w:szCs w:val="21"/>
              </w:rPr>
            </w:pPr>
            <w:r>
              <w:rPr>
                <w:rFonts w:eastAsia="仿宋_GB2312"/>
                <w:bCs/>
                <w:color w:val="auto"/>
                <w:szCs w:val="21"/>
              </w:rPr>
              <w:t>非甲烷总烃</w:t>
            </w:r>
          </w:p>
        </w:tc>
        <w:tc>
          <w:tcPr>
            <w:tcW w:w="338" w:type="pct"/>
            <w:shd w:val="clear" w:color="auto" w:fill="auto"/>
            <w:vAlign w:val="center"/>
          </w:tcPr>
          <w:p w14:paraId="61D933C6">
            <w:pPr>
              <w:adjustRightInd w:val="0"/>
              <w:snapToGrid w:val="0"/>
              <w:spacing w:line="320" w:lineRule="exact"/>
              <w:jc w:val="center"/>
              <w:rPr>
                <w:rFonts w:hint="default"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2471.9</w:t>
            </w:r>
          </w:p>
        </w:tc>
        <w:tc>
          <w:tcPr>
            <w:tcW w:w="283" w:type="pct"/>
            <w:shd w:val="clear" w:color="auto" w:fill="auto"/>
            <w:vAlign w:val="center"/>
          </w:tcPr>
          <w:p w14:paraId="64A42B43">
            <w:pPr>
              <w:adjustRightInd w:val="0"/>
              <w:snapToGrid w:val="0"/>
              <w:spacing w:line="320" w:lineRule="exact"/>
              <w:jc w:val="center"/>
              <w:rPr>
                <w:rFonts w:hint="default" w:eastAsia="等线"/>
                <w:color w:val="auto"/>
                <w:szCs w:val="21"/>
                <w:lang w:val="en-US" w:eastAsia="zh-CN"/>
              </w:rPr>
            </w:pPr>
            <w:r>
              <w:rPr>
                <w:rFonts w:hint="eastAsia" w:eastAsia="等线"/>
                <w:color w:val="auto"/>
                <w:szCs w:val="21"/>
                <w:lang w:val="en-US" w:eastAsia="zh-CN"/>
              </w:rPr>
              <w:t>195.28</w:t>
            </w:r>
          </w:p>
        </w:tc>
        <w:tc>
          <w:tcPr>
            <w:tcW w:w="338" w:type="pct"/>
            <w:shd w:val="clear" w:color="auto" w:fill="auto"/>
            <w:vAlign w:val="center"/>
          </w:tcPr>
          <w:p w14:paraId="091C9E9B">
            <w:pPr>
              <w:adjustRightInd w:val="0"/>
              <w:snapToGrid w:val="0"/>
              <w:spacing w:line="320" w:lineRule="exact"/>
              <w:jc w:val="center"/>
              <w:rPr>
                <w:rFonts w:hint="default" w:eastAsia="等线"/>
                <w:color w:val="auto"/>
                <w:szCs w:val="21"/>
                <w:lang w:val="en-US" w:eastAsia="zh-CN"/>
              </w:rPr>
            </w:pPr>
            <w:r>
              <w:rPr>
                <w:rFonts w:hint="eastAsia" w:eastAsia="等线"/>
                <w:color w:val="auto"/>
                <w:szCs w:val="21"/>
                <w:lang w:val="en-US" w:eastAsia="zh-CN"/>
              </w:rPr>
              <w:t>1171.34</w:t>
            </w:r>
          </w:p>
        </w:tc>
        <w:tc>
          <w:tcPr>
            <w:tcW w:w="534" w:type="pct"/>
            <w:vMerge w:val="continue"/>
            <w:shd w:val="clear" w:color="auto" w:fill="auto"/>
            <w:vAlign w:val="center"/>
          </w:tcPr>
          <w:p w14:paraId="29FD5E0D">
            <w:pPr>
              <w:adjustRightInd w:val="0"/>
              <w:snapToGrid w:val="0"/>
              <w:spacing w:line="320" w:lineRule="exact"/>
              <w:jc w:val="center"/>
              <w:rPr>
                <w:rFonts w:eastAsia="仿宋_GB2312"/>
                <w:b/>
                <w:bCs/>
                <w:color w:val="FF0000"/>
                <w:szCs w:val="21"/>
              </w:rPr>
            </w:pPr>
          </w:p>
        </w:tc>
        <w:tc>
          <w:tcPr>
            <w:tcW w:w="291" w:type="pct"/>
            <w:shd w:val="clear" w:color="auto" w:fill="auto"/>
            <w:vAlign w:val="center"/>
          </w:tcPr>
          <w:p w14:paraId="780DE5F8">
            <w:pPr>
              <w:adjustRightInd w:val="0"/>
              <w:snapToGrid w:val="0"/>
              <w:spacing w:line="320" w:lineRule="exact"/>
              <w:jc w:val="center"/>
              <w:rPr>
                <w:rFonts w:hint="default" w:ascii="Times New Roman" w:hAnsi="Times New Roman" w:eastAsia="等线" w:cs="Times New Roman"/>
                <w:color w:val="auto"/>
                <w:kern w:val="2"/>
                <w:sz w:val="21"/>
                <w:szCs w:val="21"/>
                <w:lang w:val="en-US" w:eastAsia="zh-CN" w:bidi="ar-SA"/>
              </w:rPr>
            </w:pPr>
            <w:r>
              <w:rPr>
                <w:rFonts w:eastAsia="等线"/>
                <w:color w:val="auto"/>
                <w:szCs w:val="21"/>
              </w:rPr>
              <w:t>99</w:t>
            </w:r>
          </w:p>
        </w:tc>
        <w:tc>
          <w:tcPr>
            <w:tcW w:w="291" w:type="pct"/>
            <w:shd w:val="clear" w:color="auto" w:fill="auto"/>
            <w:vAlign w:val="center"/>
          </w:tcPr>
          <w:p w14:paraId="483C65B6">
            <w:pPr>
              <w:adjustRightInd w:val="0"/>
              <w:snapToGrid w:val="0"/>
              <w:spacing w:line="320" w:lineRule="exact"/>
              <w:jc w:val="center"/>
              <w:rPr>
                <w:rFonts w:hint="default"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24.71</w:t>
            </w:r>
          </w:p>
        </w:tc>
        <w:tc>
          <w:tcPr>
            <w:tcW w:w="297" w:type="pct"/>
            <w:shd w:val="clear" w:color="auto" w:fill="auto"/>
            <w:vAlign w:val="center"/>
          </w:tcPr>
          <w:p w14:paraId="5016D274">
            <w:pPr>
              <w:adjustRightInd w:val="0"/>
              <w:snapToGrid w:val="0"/>
              <w:spacing w:line="320" w:lineRule="exact"/>
              <w:jc w:val="center"/>
              <w:rPr>
                <w:rFonts w:hint="default"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1.95</w:t>
            </w:r>
          </w:p>
        </w:tc>
        <w:tc>
          <w:tcPr>
            <w:tcW w:w="341" w:type="pct"/>
            <w:shd w:val="clear" w:color="auto" w:fill="auto"/>
            <w:vAlign w:val="center"/>
          </w:tcPr>
          <w:p w14:paraId="16949618">
            <w:pPr>
              <w:adjustRightInd w:val="0"/>
              <w:snapToGrid w:val="0"/>
              <w:spacing w:line="320" w:lineRule="exact"/>
              <w:jc w:val="center"/>
              <w:rPr>
                <w:rFonts w:hint="default"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11.71</w:t>
            </w:r>
          </w:p>
        </w:tc>
        <w:tc>
          <w:tcPr>
            <w:tcW w:w="328" w:type="pct"/>
            <w:shd w:val="clear" w:color="auto" w:fill="auto"/>
            <w:vAlign w:val="center"/>
          </w:tcPr>
          <w:p w14:paraId="5D4EC40D">
            <w:pPr>
              <w:adjustRightInd w:val="0"/>
              <w:snapToGrid w:val="0"/>
              <w:spacing w:line="320" w:lineRule="exact"/>
              <w:jc w:val="center"/>
              <w:rPr>
                <w:rFonts w:eastAsia="仿宋_GB2312"/>
                <w:bCs/>
                <w:color w:val="auto"/>
                <w:szCs w:val="21"/>
              </w:rPr>
            </w:pPr>
            <w:r>
              <w:rPr>
                <w:rFonts w:eastAsia="仿宋_GB2312"/>
                <w:bCs/>
                <w:color w:val="auto"/>
                <w:szCs w:val="21"/>
              </w:rPr>
              <w:t>60</w:t>
            </w:r>
          </w:p>
        </w:tc>
        <w:tc>
          <w:tcPr>
            <w:tcW w:w="300" w:type="pct"/>
            <w:shd w:val="clear" w:color="auto" w:fill="auto"/>
            <w:vAlign w:val="center"/>
          </w:tcPr>
          <w:p w14:paraId="31C3FC71">
            <w:pPr>
              <w:adjustRightInd w:val="0"/>
              <w:snapToGrid w:val="0"/>
              <w:spacing w:line="320" w:lineRule="exact"/>
              <w:jc w:val="center"/>
              <w:rPr>
                <w:rFonts w:eastAsia="仿宋_GB2312"/>
                <w:bCs/>
                <w:color w:val="auto"/>
                <w:szCs w:val="21"/>
              </w:rPr>
            </w:pPr>
            <w:r>
              <w:rPr>
                <w:rFonts w:eastAsia="仿宋_GB2312"/>
                <w:bCs/>
                <w:color w:val="auto"/>
                <w:szCs w:val="21"/>
              </w:rPr>
              <w:t>3</w:t>
            </w:r>
          </w:p>
        </w:tc>
        <w:tc>
          <w:tcPr>
            <w:tcW w:w="197" w:type="pct"/>
            <w:vMerge w:val="continue"/>
            <w:shd w:val="clear" w:color="auto" w:fill="auto"/>
            <w:vAlign w:val="center"/>
          </w:tcPr>
          <w:p w14:paraId="46B84D19">
            <w:pPr>
              <w:adjustRightInd w:val="0"/>
              <w:snapToGrid w:val="0"/>
              <w:spacing w:line="320" w:lineRule="exact"/>
              <w:jc w:val="center"/>
              <w:rPr>
                <w:rFonts w:eastAsia="仿宋_GB2312"/>
                <w:b/>
                <w:bCs/>
                <w:color w:val="FF0000"/>
                <w:szCs w:val="21"/>
              </w:rPr>
            </w:pPr>
          </w:p>
        </w:tc>
        <w:tc>
          <w:tcPr>
            <w:tcW w:w="195" w:type="pct"/>
            <w:vMerge w:val="continue"/>
            <w:shd w:val="clear" w:color="auto" w:fill="auto"/>
            <w:vAlign w:val="center"/>
          </w:tcPr>
          <w:p w14:paraId="27728DF4">
            <w:pPr>
              <w:adjustRightInd w:val="0"/>
              <w:snapToGrid w:val="0"/>
              <w:spacing w:line="320" w:lineRule="exact"/>
              <w:jc w:val="center"/>
              <w:rPr>
                <w:rFonts w:eastAsia="仿宋_GB2312"/>
                <w:b/>
                <w:bCs/>
                <w:color w:val="FF0000"/>
                <w:szCs w:val="21"/>
              </w:rPr>
            </w:pPr>
          </w:p>
        </w:tc>
        <w:tc>
          <w:tcPr>
            <w:tcW w:w="193" w:type="pct"/>
            <w:vMerge w:val="continue"/>
            <w:shd w:val="clear" w:color="auto" w:fill="auto"/>
            <w:vAlign w:val="center"/>
          </w:tcPr>
          <w:p w14:paraId="70BC8342">
            <w:pPr>
              <w:adjustRightInd w:val="0"/>
              <w:snapToGrid w:val="0"/>
              <w:spacing w:line="320" w:lineRule="exact"/>
              <w:jc w:val="center"/>
              <w:rPr>
                <w:rFonts w:eastAsia="仿宋_GB2312"/>
                <w:b/>
                <w:bCs/>
                <w:color w:val="FF0000"/>
                <w:szCs w:val="21"/>
              </w:rPr>
            </w:pPr>
          </w:p>
        </w:tc>
      </w:tr>
      <w:tr w14:paraId="562E4FA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295" w:type="pct"/>
            <w:vMerge w:val="continue"/>
            <w:shd w:val="clear" w:color="auto" w:fill="auto"/>
            <w:vAlign w:val="center"/>
          </w:tcPr>
          <w:p w14:paraId="102995ED">
            <w:pPr>
              <w:adjustRightInd w:val="0"/>
              <w:snapToGrid w:val="0"/>
              <w:spacing w:line="320" w:lineRule="exact"/>
              <w:jc w:val="center"/>
              <w:rPr>
                <w:rFonts w:eastAsia="仿宋_GB2312"/>
                <w:b/>
                <w:bCs/>
                <w:color w:val="FF0000"/>
                <w:szCs w:val="21"/>
              </w:rPr>
            </w:pPr>
          </w:p>
        </w:tc>
        <w:tc>
          <w:tcPr>
            <w:tcW w:w="375" w:type="pct"/>
            <w:vMerge w:val="continue"/>
            <w:shd w:val="clear" w:color="auto" w:fill="auto"/>
            <w:vAlign w:val="center"/>
          </w:tcPr>
          <w:p w14:paraId="0C09BC05">
            <w:pPr>
              <w:adjustRightInd w:val="0"/>
              <w:snapToGrid w:val="0"/>
              <w:spacing w:line="320" w:lineRule="exact"/>
              <w:jc w:val="center"/>
              <w:rPr>
                <w:rFonts w:eastAsia="仿宋_GB2312"/>
                <w:b/>
                <w:bCs/>
                <w:color w:val="FF0000"/>
                <w:szCs w:val="21"/>
              </w:rPr>
            </w:pPr>
          </w:p>
        </w:tc>
        <w:tc>
          <w:tcPr>
            <w:tcW w:w="396" w:type="pct"/>
            <w:shd w:val="clear" w:color="auto" w:fill="auto"/>
            <w:vAlign w:val="center"/>
          </w:tcPr>
          <w:p w14:paraId="1C34ABC4">
            <w:pPr>
              <w:adjustRightInd w:val="0"/>
              <w:snapToGrid w:val="0"/>
              <w:spacing w:line="320" w:lineRule="exact"/>
              <w:jc w:val="center"/>
              <w:rPr>
                <w:rFonts w:ascii="Times New Roman" w:hAnsi="Times New Roman" w:eastAsia="仿宋_GB2312" w:cs="Times New Roman"/>
                <w:bCs/>
                <w:color w:val="auto"/>
                <w:kern w:val="2"/>
                <w:sz w:val="21"/>
                <w:szCs w:val="21"/>
                <w:lang w:val="en-US" w:eastAsia="zh-CN" w:bidi="ar-SA"/>
              </w:rPr>
            </w:pPr>
            <w:r>
              <w:rPr>
                <w:rFonts w:eastAsia="仿宋_GB2312"/>
                <w:bCs/>
                <w:color w:val="auto"/>
                <w:szCs w:val="21"/>
              </w:rPr>
              <w:t>VOCs</w:t>
            </w:r>
          </w:p>
        </w:tc>
        <w:tc>
          <w:tcPr>
            <w:tcW w:w="338" w:type="pct"/>
            <w:shd w:val="clear" w:color="auto" w:fill="auto"/>
            <w:vAlign w:val="center"/>
          </w:tcPr>
          <w:p w14:paraId="05253997">
            <w:pPr>
              <w:adjustRightInd w:val="0"/>
              <w:snapToGrid w:val="0"/>
              <w:spacing w:line="320" w:lineRule="exact"/>
              <w:jc w:val="center"/>
              <w:rPr>
                <w:rFonts w:hint="eastAsia" w:ascii="Times New Roman" w:hAnsi="Times New Roman" w:eastAsia="等线" w:cs="Times New Roman"/>
                <w:color w:val="auto"/>
                <w:kern w:val="2"/>
                <w:sz w:val="21"/>
                <w:szCs w:val="21"/>
                <w:lang w:val="en-US" w:eastAsia="zh-CN" w:bidi="ar-SA"/>
              </w:rPr>
            </w:pPr>
            <w:r>
              <w:rPr>
                <w:rFonts w:hint="eastAsia" w:eastAsia="等线"/>
                <w:color w:val="auto"/>
                <w:szCs w:val="21"/>
                <w:lang w:val="en-US" w:eastAsia="zh-CN"/>
              </w:rPr>
              <w:t>4357.89</w:t>
            </w:r>
          </w:p>
        </w:tc>
        <w:tc>
          <w:tcPr>
            <w:tcW w:w="283" w:type="pct"/>
            <w:shd w:val="clear" w:color="auto" w:fill="auto"/>
            <w:vAlign w:val="center"/>
          </w:tcPr>
          <w:p w14:paraId="474572E6">
            <w:pPr>
              <w:adjustRightInd w:val="0"/>
              <w:snapToGrid w:val="0"/>
              <w:spacing w:line="320" w:lineRule="exact"/>
              <w:jc w:val="center"/>
              <w:rPr>
                <w:rFonts w:hint="eastAsia" w:ascii="Times New Roman" w:hAnsi="Times New Roman" w:eastAsia="等线" w:cs="Times New Roman"/>
                <w:color w:val="auto"/>
                <w:kern w:val="2"/>
                <w:sz w:val="21"/>
                <w:szCs w:val="21"/>
                <w:lang w:val="en-US" w:eastAsia="zh-CN" w:bidi="ar-SA"/>
              </w:rPr>
            </w:pPr>
            <w:r>
              <w:rPr>
                <w:rFonts w:hint="eastAsia" w:eastAsia="等线"/>
                <w:color w:val="auto"/>
                <w:szCs w:val="21"/>
                <w:lang w:val="en-US" w:eastAsia="zh-CN"/>
              </w:rPr>
              <w:t>344.27</w:t>
            </w:r>
          </w:p>
        </w:tc>
        <w:tc>
          <w:tcPr>
            <w:tcW w:w="338" w:type="pct"/>
            <w:shd w:val="clear" w:color="auto" w:fill="auto"/>
            <w:vAlign w:val="center"/>
          </w:tcPr>
          <w:p w14:paraId="495580E9">
            <w:pPr>
              <w:adjustRightInd w:val="0"/>
              <w:snapToGrid w:val="0"/>
              <w:spacing w:line="320" w:lineRule="exact"/>
              <w:jc w:val="center"/>
              <w:rPr>
                <w:rFonts w:hint="eastAsia" w:ascii="Times New Roman" w:hAnsi="Times New Roman" w:eastAsia="等线" w:cs="Times New Roman"/>
                <w:color w:val="auto"/>
                <w:kern w:val="2"/>
                <w:sz w:val="21"/>
                <w:szCs w:val="21"/>
                <w:lang w:val="en-US" w:eastAsia="zh-CN" w:bidi="ar-SA"/>
              </w:rPr>
            </w:pPr>
            <w:r>
              <w:rPr>
                <w:rFonts w:hint="eastAsia" w:eastAsia="等线"/>
                <w:color w:val="auto"/>
                <w:szCs w:val="21"/>
                <w:lang w:val="en-US" w:eastAsia="zh-CN"/>
              </w:rPr>
              <w:t>2065.64</w:t>
            </w:r>
          </w:p>
        </w:tc>
        <w:tc>
          <w:tcPr>
            <w:tcW w:w="534" w:type="pct"/>
            <w:vMerge w:val="continue"/>
            <w:shd w:val="clear" w:color="auto" w:fill="auto"/>
            <w:vAlign w:val="center"/>
          </w:tcPr>
          <w:p w14:paraId="51DBDB68">
            <w:pPr>
              <w:adjustRightInd w:val="0"/>
              <w:snapToGrid w:val="0"/>
              <w:spacing w:line="320" w:lineRule="exact"/>
              <w:jc w:val="center"/>
              <w:rPr>
                <w:rFonts w:eastAsia="仿宋_GB2312"/>
                <w:b/>
                <w:bCs/>
                <w:color w:val="FF0000"/>
                <w:szCs w:val="21"/>
              </w:rPr>
            </w:pPr>
          </w:p>
        </w:tc>
        <w:tc>
          <w:tcPr>
            <w:tcW w:w="291" w:type="pct"/>
            <w:shd w:val="clear" w:color="auto" w:fill="auto"/>
            <w:vAlign w:val="center"/>
          </w:tcPr>
          <w:p w14:paraId="77246A59">
            <w:pPr>
              <w:adjustRightInd w:val="0"/>
              <w:snapToGrid w:val="0"/>
              <w:spacing w:line="320" w:lineRule="exact"/>
              <w:jc w:val="center"/>
              <w:rPr>
                <w:rFonts w:ascii="Times New Roman" w:hAnsi="Times New Roman" w:eastAsia="等线" w:cs="Times New Roman"/>
                <w:color w:val="auto"/>
                <w:kern w:val="2"/>
                <w:sz w:val="21"/>
                <w:szCs w:val="21"/>
                <w:lang w:val="en-US" w:eastAsia="zh-CN" w:bidi="ar-SA"/>
              </w:rPr>
            </w:pPr>
            <w:r>
              <w:rPr>
                <w:rFonts w:eastAsia="等线"/>
                <w:color w:val="auto"/>
                <w:szCs w:val="21"/>
              </w:rPr>
              <w:t>99</w:t>
            </w:r>
          </w:p>
        </w:tc>
        <w:tc>
          <w:tcPr>
            <w:tcW w:w="291" w:type="pct"/>
            <w:shd w:val="clear" w:color="auto" w:fill="auto"/>
            <w:vAlign w:val="center"/>
          </w:tcPr>
          <w:p w14:paraId="509F32B0">
            <w:pPr>
              <w:adjustRightInd w:val="0"/>
              <w:snapToGrid w:val="0"/>
              <w:spacing w:line="320" w:lineRule="exact"/>
              <w:jc w:val="center"/>
              <w:rPr>
                <w:rFonts w:hint="eastAsia"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43.57</w:t>
            </w:r>
          </w:p>
        </w:tc>
        <w:tc>
          <w:tcPr>
            <w:tcW w:w="297" w:type="pct"/>
            <w:shd w:val="clear" w:color="auto" w:fill="auto"/>
            <w:vAlign w:val="center"/>
          </w:tcPr>
          <w:p w14:paraId="6AB765BE">
            <w:pPr>
              <w:adjustRightInd w:val="0"/>
              <w:snapToGrid w:val="0"/>
              <w:spacing w:line="320" w:lineRule="exact"/>
              <w:jc w:val="center"/>
              <w:rPr>
                <w:rFonts w:hint="eastAsia"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3.44</w:t>
            </w:r>
          </w:p>
        </w:tc>
        <w:tc>
          <w:tcPr>
            <w:tcW w:w="341" w:type="pct"/>
            <w:shd w:val="clear" w:color="auto" w:fill="auto"/>
            <w:vAlign w:val="center"/>
          </w:tcPr>
          <w:p w14:paraId="7E02E050">
            <w:pPr>
              <w:adjustRightInd w:val="0"/>
              <w:snapToGrid w:val="0"/>
              <w:spacing w:line="320" w:lineRule="exact"/>
              <w:jc w:val="center"/>
              <w:rPr>
                <w:rFonts w:hint="eastAsia"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20.66</w:t>
            </w:r>
          </w:p>
        </w:tc>
        <w:tc>
          <w:tcPr>
            <w:tcW w:w="328" w:type="pct"/>
            <w:shd w:val="clear" w:color="auto" w:fill="auto"/>
            <w:vAlign w:val="center"/>
          </w:tcPr>
          <w:p w14:paraId="0A000E81">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b/>
                <w:bCs/>
                <w:color w:val="auto"/>
                <w:szCs w:val="21"/>
              </w:rPr>
              <w:t>/</w:t>
            </w:r>
          </w:p>
        </w:tc>
        <w:tc>
          <w:tcPr>
            <w:tcW w:w="300" w:type="pct"/>
            <w:shd w:val="clear" w:color="auto" w:fill="auto"/>
            <w:vAlign w:val="center"/>
          </w:tcPr>
          <w:p w14:paraId="3217F70D">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b/>
                <w:bCs/>
                <w:color w:val="auto"/>
                <w:szCs w:val="21"/>
              </w:rPr>
              <w:t>/</w:t>
            </w:r>
          </w:p>
        </w:tc>
        <w:tc>
          <w:tcPr>
            <w:tcW w:w="197" w:type="pct"/>
            <w:vMerge w:val="continue"/>
            <w:shd w:val="clear" w:color="auto" w:fill="auto"/>
            <w:vAlign w:val="center"/>
          </w:tcPr>
          <w:p w14:paraId="39D7EAFB">
            <w:pPr>
              <w:adjustRightInd w:val="0"/>
              <w:snapToGrid w:val="0"/>
              <w:spacing w:line="320" w:lineRule="exact"/>
              <w:jc w:val="center"/>
              <w:rPr>
                <w:rFonts w:eastAsia="仿宋_GB2312"/>
                <w:b/>
                <w:bCs/>
                <w:color w:val="FF0000"/>
                <w:szCs w:val="21"/>
              </w:rPr>
            </w:pPr>
          </w:p>
        </w:tc>
        <w:tc>
          <w:tcPr>
            <w:tcW w:w="195" w:type="pct"/>
            <w:vMerge w:val="continue"/>
            <w:shd w:val="clear" w:color="auto" w:fill="auto"/>
            <w:vAlign w:val="center"/>
          </w:tcPr>
          <w:p w14:paraId="28BABDD9">
            <w:pPr>
              <w:adjustRightInd w:val="0"/>
              <w:snapToGrid w:val="0"/>
              <w:spacing w:line="320" w:lineRule="exact"/>
              <w:jc w:val="center"/>
              <w:rPr>
                <w:rFonts w:eastAsia="仿宋_GB2312"/>
                <w:b/>
                <w:bCs/>
                <w:color w:val="FF0000"/>
                <w:szCs w:val="21"/>
              </w:rPr>
            </w:pPr>
          </w:p>
        </w:tc>
        <w:tc>
          <w:tcPr>
            <w:tcW w:w="193" w:type="pct"/>
            <w:vMerge w:val="continue"/>
            <w:shd w:val="clear" w:color="auto" w:fill="auto"/>
            <w:vAlign w:val="center"/>
          </w:tcPr>
          <w:p w14:paraId="5EDDFE94">
            <w:pPr>
              <w:adjustRightInd w:val="0"/>
              <w:snapToGrid w:val="0"/>
              <w:spacing w:line="320" w:lineRule="exact"/>
              <w:jc w:val="center"/>
              <w:rPr>
                <w:rFonts w:eastAsia="仿宋_GB2312"/>
                <w:b/>
                <w:bCs/>
                <w:color w:val="FF0000"/>
                <w:szCs w:val="21"/>
              </w:rPr>
            </w:pPr>
          </w:p>
        </w:tc>
      </w:tr>
      <w:tr w14:paraId="033163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295" w:type="pct"/>
            <w:vMerge w:val="continue"/>
            <w:shd w:val="clear" w:color="auto" w:fill="auto"/>
            <w:vAlign w:val="center"/>
          </w:tcPr>
          <w:p w14:paraId="65F7A426">
            <w:pPr>
              <w:adjustRightInd w:val="0"/>
              <w:snapToGrid w:val="0"/>
              <w:spacing w:line="320" w:lineRule="exact"/>
              <w:jc w:val="center"/>
              <w:rPr>
                <w:rFonts w:eastAsia="仿宋_GB2312"/>
                <w:b/>
                <w:bCs/>
                <w:color w:val="FF0000"/>
                <w:szCs w:val="21"/>
              </w:rPr>
            </w:pPr>
          </w:p>
        </w:tc>
        <w:tc>
          <w:tcPr>
            <w:tcW w:w="375" w:type="pct"/>
            <w:vMerge w:val="continue"/>
            <w:shd w:val="clear" w:color="auto" w:fill="auto"/>
            <w:vAlign w:val="center"/>
          </w:tcPr>
          <w:p w14:paraId="61C6CDD0">
            <w:pPr>
              <w:adjustRightInd w:val="0"/>
              <w:snapToGrid w:val="0"/>
              <w:spacing w:line="320" w:lineRule="exact"/>
              <w:jc w:val="center"/>
              <w:rPr>
                <w:rFonts w:eastAsia="仿宋_GB2312"/>
                <w:b/>
                <w:bCs/>
                <w:color w:val="FF0000"/>
                <w:szCs w:val="21"/>
              </w:rPr>
            </w:pPr>
          </w:p>
        </w:tc>
        <w:tc>
          <w:tcPr>
            <w:tcW w:w="396" w:type="pct"/>
            <w:shd w:val="clear" w:color="auto" w:fill="auto"/>
            <w:vAlign w:val="center"/>
          </w:tcPr>
          <w:p w14:paraId="22D28273">
            <w:pPr>
              <w:adjustRightInd w:val="0"/>
              <w:snapToGrid w:val="0"/>
              <w:spacing w:line="320" w:lineRule="exact"/>
              <w:jc w:val="center"/>
              <w:rPr>
                <w:rFonts w:hint="eastAsia" w:eastAsia="仿宋_GB2312"/>
                <w:bCs/>
                <w:color w:val="auto"/>
                <w:szCs w:val="21"/>
                <w:lang w:val="en-US" w:eastAsia="zh-CN"/>
              </w:rPr>
            </w:pPr>
            <w:r>
              <w:rPr>
                <w:rFonts w:hint="eastAsia" w:eastAsia="仿宋_GB2312"/>
                <w:bCs/>
                <w:color w:val="auto"/>
                <w:szCs w:val="21"/>
                <w:lang w:val="en-US" w:eastAsia="zh-CN"/>
              </w:rPr>
              <w:t>二噁英</w:t>
            </w:r>
            <w:r>
              <w:rPr>
                <w:rFonts w:hint="default" w:ascii="Calibri" w:hAnsi="Calibri" w:eastAsia="仿宋_GB2312" w:cs="Calibri"/>
                <w:bCs/>
                <w:color w:val="auto"/>
                <w:szCs w:val="21"/>
                <w:vertAlign w:val="superscript"/>
                <w:lang w:val="en-US" w:eastAsia="zh-CN"/>
              </w:rPr>
              <w:t>①</w:t>
            </w:r>
          </w:p>
        </w:tc>
        <w:tc>
          <w:tcPr>
            <w:tcW w:w="338" w:type="pct"/>
            <w:shd w:val="clear" w:color="auto" w:fill="auto"/>
            <w:vAlign w:val="center"/>
          </w:tcPr>
          <w:p w14:paraId="00E3401C">
            <w:pPr>
              <w:adjustRightInd w:val="0"/>
              <w:snapToGrid w:val="0"/>
              <w:spacing w:line="320" w:lineRule="exact"/>
              <w:jc w:val="center"/>
              <w:rPr>
                <w:rFonts w:hint="default" w:eastAsia="等线"/>
                <w:color w:val="auto"/>
                <w:szCs w:val="21"/>
                <w:lang w:val="en-US" w:eastAsia="zh-CN"/>
              </w:rPr>
            </w:pPr>
            <w:r>
              <w:rPr>
                <w:rFonts w:hint="eastAsia" w:eastAsia="等线"/>
                <w:color w:val="auto"/>
                <w:szCs w:val="21"/>
                <w:lang w:val="en-US" w:eastAsia="zh-CN"/>
              </w:rPr>
              <w:t>/</w:t>
            </w:r>
          </w:p>
        </w:tc>
        <w:tc>
          <w:tcPr>
            <w:tcW w:w="283" w:type="pct"/>
            <w:shd w:val="clear" w:color="auto" w:fill="auto"/>
            <w:vAlign w:val="center"/>
          </w:tcPr>
          <w:p w14:paraId="291F2CD8">
            <w:pPr>
              <w:adjustRightInd w:val="0"/>
              <w:snapToGrid w:val="0"/>
              <w:spacing w:line="320" w:lineRule="exact"/>
              <w:jc w:val="center"/>
              <w:rPr>
                <w:rFonts w:hint="default" w:eastAsia="等线"/>
                <w:color w:val="auto"/>
                <w:szCs w:val="21"/>
                <w:lang w:val="en-US" w:eastAsia="zh-CN"/>
              </w:rPr>
            </w:pPr>
            <w:r>
              <w:rPr>
                <w:rFonts w:hint="eastAsia" w:eastAsia="等线"/>
                <w:color w:val="auto"/>
                <w:szCs w:val="21"/>
                <w:lang w:val="en-US" w:eastAsia="zh-CN"/>
              </w:rPr>
              <w:t>/</w:t>
            </w:r>
          </w:p>
        </w:tc>
        <w:tc>
          <w:tcPr>
            <w:tcW w:w="338" w:type="pct"/>
            <w:shd w:val="clear" w:color="auto" w:fill="auto"/>
            <w:vAlign w:val="center"/>
          </w:tcPr>
          <w:p w14:paraId="2C081690">
            <w:pPr>
              <w:adjustRightInd w:val="0"/>
              <w:snapToGrid w:val="0"/>
              <w:spacing w:line="320" w:lineRule="exact"/>
              <w:jc w:val="center"/>
              <w:rPr>
                <w:rFonts w:hint="default" w:eastAsia="等线"/>
                <w:color w:val="auto"/>
                <w:szCs w:val="21"/>
                <w:lang w:val="en-US" w:eastAsia="zh-CN"/>
              </w:rPr>
            </w:pPr>
            <w:r>
              <w:rPr>
                <w:rFonts w:hint="eastAsia" w:eastAsia="等线"/>
                <w:color w:val="auto"/>
                <w:szCs w:val="21"/>
                <w:lang w:val="en-US" w:eastAsia="zh-CN"/>
              </w:rPr>
              <w:t>/</w:t>
            </w:r>
          </w:p>
        </w:tc>
        <w:tc>
          <w:tcPr>
            <w:tcW w:w="534" w:type="pct"/>
            <w:vMerge w:val="continue"/>
            <w:shd w:val="clear" w:color="auto" w:fill="auto"/>
            <w:vAlign w:val="center"/>
          </w:tcPr>
          <w:p w14:paraId="4D566B37">
            <w:pPr>
              <w:adjustRightInd w:val="0"/>
              <w:snapToGrid w:val="0"/>
              <w:spacing w:line="320" w:lineRule="exact"/>
              <w:jc w:val="center"/>
              <w:rPr>
                <w:rFonts w:eastAsia="仿宋_GB2312"/>
                <w:b/>
                <w:bCs/>
                <w:color w:val="FF0000"/>
                <w:szCs w:val="21"/>
              </w:rPr>
            </w:pPr>
          </w:p>
        </w:tc>
        <w:tc>
          <w:tcPr>
            <w:tcW w:w="291" w:type="pct"/>
            <w:shd w:val="clear" w:color="auto" w:fill="auto"/>
            <w:vAlign w:val="center"/>
          </w:tcPr>
          <w:p w14:paraId="075BF776">
            <w:pPr>
              <w:adjustRightInd w:val="0"/>
              <w:snapToGrid w:val="0"/>
              <w:spacing w:line="320" w:lineRule="exact"/>
              <w:jc w:val="center"/>
              <w:rPr>
                <w:rFonts w:hint="default" w:ascii="Times New Roman" w:hAnsi="Times New Roman" w:eastAsia="等线" w:cs="Times New Roman"/>
                <w:color w:val="auto"/>
                <w:kern w:val="2"/>
                <w:sz w:val="21"/>
                <w:szCs w:val="21"/>
                <w:lang w:val="en-US" w:eastAsia="zh-CN" w:bidi="ar-SA"/>
              </w:rPr>
            </w:pPr>
            <w:r>
              <w:rPr>
                <w:rFonts w:hint="eastAsia" w:ascii="Times New Roman" w:hAnsi="Times New Roman" w:eastAsia="等线" w:cs="Times New Roman"/>
                <w:color w:val="auto"/>
                <w:kern w:val="2"/>
                <w:sz w:val="21"/>
                <w:szCs w:val="21"/>
                <w:lang w:val="en-US" w:eastAsia="zh-CN" w:bidi="ar-SA"/>
              </w:rPr>
              <w:t>/</w:t>
            </w:r>
          </w:p>
        </w:tc>
        <w:tc>
          <w:tcPr>
            <w:tcW w:w="291" w:type="pct"/>
            <w:shd w:val="clear" w:color="auto" w:fill="auto"/>
            <w:vAlign w:val="center"/>
          </w:tcPr>
          <w:p w14:paraId="6E3116D2">
            <w:pPr>
              <w:adjustRightInd w:val="0"/>
              <w:snapToGrid w:val="0"/>
              <w:spacing w:line="320" w:lineRule="exact"/>
              <w:jc w:val="center"/>
              <w:rPr>
                <w:rFonts w:hint="default"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0.03</w:t>
            </w:r>
          </w:p>
        </w:tc>
        <w:tc>
          <w:tcPr>
            <w:tcW w:w="297" w:type="pct"/>
            <w:shd w:val="clear" w:color="auto" w:fill="auto"/>
            <w:vAlign w:val="center"/>
          </w:tcPr>
          <w:p w14:paraId="6C4575E4">
            <w:pPr>
              <w:adjustRightInd w:val="0"/>
              <w:snapToGrid w:val="0"/>
              <w:spacing w:line="320" w:lineRule="exact"/>
              <w:jc w:val="center"/>
              <w:rPr>
                <w:rFonts w:hint="default"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2381ng/h</w:t>
            </w:r>
          </w:p>
        </w:tc>
        <w:tc>
          <w:tcPr>
            <w:tcW w:w="341" w:type="pct"/>
            <w:shd w:val="clear" w:color="auto" w:fill="auto"/>
            <w:vAlign w:val="center"/>
          </w:tcPr>
          <w:p w14:paraId="3FC8928E">
            <w:pPr>
              <w:adjustRightInd w:val="0"/>
              <w:snapToGrid w:val="0"/>
              <w:spacing w:line="320" w:lineRule="exact"/>
              <w:jc w:val="center"/>
              <w:rPr>
                <w:rFonts w:hint="default"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0.02g</w:t>
            </w:r>
          </w:p>
        </w:tc>
        <w:tc>
          <w:tcPr>
            <w:tcW w:w="328" w:type="pct"/>
            <w:shd w:val="clear" w:color="auto" w:fill="auto"/>
            <w:vAlign w:val="center"/>
          </w:tcPr>
          <w:p w14:paraId="0CAB2CA1">
            <w:pPr>
              <w:adjustRightInd w:val="0"/>
              <w:snapToGrid w:val="0"/>
              <w:spacing w:line="320" w:lineRule="exact"/>
              <w:jc w:val="center"/>
              <w:rPr>
                <w:rFonts w:hint="eastAsia" w:eastAsia="仿宋_GB2312"/>
                <w:b w:val="0"/>
                <w:bCs w:val="0"/>
                <w:color w:val="auto"/>
                <w:szCs w:val="21"/>
                <w:lang w:val="en-US" w:eastAsia="zh-CN"/>
              </w:rPr>
            </w:pPr>
            <w:r>
              <w:rPr>
                <w:rFonts w:hint="eastAsia" w:eastAsia="仿宋_GB2312"/>
                <w:b w:val="0"/>
                <w:bCs w:val="0"/>
                <w:color w:val="auto"/>
                <w:szCs w:val="21"/>
                <w:lang w:val="en-US" w:eastAsia="zh-CN"/>
              </w:rPr>
              <w:t>0.5（</w:t>
            </w:r>
            <w:r>
              <w:rPr>
                <w:rFonts w:hint="default" w:eastAsia="仿宋_GB2312"/>
                <w:kern w:val="0"/>
                <w:szCs w:val="20"/>
              </w:rPr>
              <w:t>ngTEQ/Nm</w:t>
            </w:r>
            <w:r>
              <w:rPr>
                <w:rFonts w:hint="default" w:eastAsia="仿宋_GB2312"/>
                <w:kern w:val="0"/>
                <w:szCs w:val="20"/>
                <w:vertAlign w:val="superscript"/>
              </w:rPr>
              <w:t>3</w:t>
            </w:r>
            <w:r>
              <w:rPr>
                <w:rFonts w:hint="eastAsia" w:eastAsia="仿宋_GB2312"/>
                <w:b w:val="0"/>
                <w:bCs w:val="0"/>
                <w:color w:val="auto"/>
                <w:szCs w:val="21"/>
                <w:lang w:val="en-US" w:eastAsia="zh-CN"/>
              </w:rPr>
              <w:t>）</w:t>
            </w:r>
          </w:p>
        </w:tc>
        <w:tc>
          <w:tcPr>
            <w:tcW w:w="300" w:type="pct"/>
            <w:shd w:val="clear" w:color="auto" w:fill="auto"/>
            <w:vAlign w:val="center"/>
          </w:tcPr>
          <w:p w14:paraId="1DDBC434">
            <w:pPr>
              <w:adjustRightInd w:val="0"/>
              <w:snapToGrid w:val="0"/>
              <w:spacing w:line="320" w:lineRule="exact"/>
              <w:jc w:val="center"/>
              <w:rPr>
                <w:rFonts w:hint="eastAsia" w:eastAsia="仿宋_GB2312"/>
                <w:b w:val="0"/>
                <w:bCs w:val="0"/>
                <w:color w:val="auto"/>
                <w:szCs w:val="21"/>
                <w:lang w:eastAsia="zh-CN"/>
              </w:rPr>
            </w:pPr>
            <w:r>
              <w:rPr>
                <w:rFonts w:hint="eastAsia" w:eastAsia="仿宋_GB2312"/>
                <w:b w:val="0"/>
                <w:bCs w:val="0"/>
                <w:color w:val="auto"/>
                <w:szCs w:val="21"/>
                <w:lang w:val="en-US" w:eastAsia="zh-CN"/>
              </w:rPr>
              <w:t>/</w:t>
            </w:r>
          </w:p>
        </w:tc>
        <w:tc>
          <w:tcPr>
            <w:tcW w:w="197" w:type="pct"/>
            <w:vMerge w:val="continue"/>
            <w:shd w:val="clear" w:color="auto" w:fill="auto"/>
            <w:vAlign w:val="center"/>
          </w:tcPr>
          <w:p w14:paraId="1302BCB6">
            <w:pPr>
              <w:adjustRightInd w:val="0"/>
              <w:snapToGrid w:val="0"/>
              <w:spacing w:line="320" w:lineRule="exact"/>
              <w:jc w:val="center"/>
              <w:rPr>
                <w:rFonts w:eastAsia="仿宋_GB2312"/>
                <w:b/>
                <w:bCs/>
                <w:color w:val="FF0000"/>
                <w:szCs w:val="21"/>
              </w:rPr>
            </w:pPr>
          </w:p>
        </w:tc>
        <w:tc>
          <w:tcPr>
            <w:tcW w:w="195" w:type="pct"/>
            <w:vMerge w:val="continue"/>
            <w:shd w:val="clear" w:color="auto" w:fill="auto"/>
            <w:vAlign w:val="center"/>
          </w:tcPr>
          <w:p w14:paraId="6B0E3FF9">
            <w:pPr>
              <w:adjustRightInd w:val="0"/>
              <w:snapToGrid w:val="0"/>
              <w:spacing w:line="320" w:lineRule="exact"/>
              <w:jc w:val="center"/>
              <w:rPr>
                <w:rFonts w:eastAsia="仿宋_GB2312"/>
                <w:b/>
                <w:bCs/>
                <w:color w:val="FF0000"/>
                <w:szCs w:val="21"/>
              </w:rPr>
            </w:pPr>
          </w:p>
        </w:tc>
        <w:tc>
          <w:tcPr>
            <w:tcW w:w="193" w:type="pct"/>
            <w:vMerge w:val="continue"/>
            <w:shd w:val="clear" w:color="auto" w:fill="auto"/>
            <w:vAlign w:val="center"/>
          </w:tcPr>
          <w:p w14:paraId="1CB91398">
            <w:pPr>
              <w:adjustRightInd w:val="0"/>
              <w:snapToGrid w:val="0"/>
              <w:spacing w:line="320" w:lineRule="exact"/>
              <w:jc w:val="center"/>
              <w:rPr>
                <w:rFonts w:eastAsia="仿宋_GB2312"/>
                <w:b/>
                <w:bCs/>
                <w:color w:val="FF0000"/>
                <w:szCs w:val="21"/>
              </w:rPr>
            </w:pPr>
          </w:p>
        </w:tc>
      </w:tr>
      <w:tr w14:paraId="53BB1E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295" w:type="pct"/>
            <w:vMerge w:val="restart"/>
            <w:shd w:val="clear" w:color="auto" w:fill="auto"/>
            <w:vAlign w:val="center"/>
          </w:tcPr>
          <w:p w14:paraId="18C2B83C">
            <w:pPr>
              <w:adjustRightInd w:val="0"/>
              <w:snapToGrid w:val="0"/>
              <w:spacing w:line="320" w:lineRule="exact"/>
              <w:jc w:val="center"/>
              <w:rPr>
                <w:rFonts w:hint="default" w:eastAsia="仿宋_GB2312"/>
                <w:bCs/>
                <w:color w:val="auto"/>
                <w:szCs w:val="21"/>
                <w:lang w:val="en-US" w:eastAsia="zh-CN"/>
              </w:rPr>
            </w:pPr>
            <w:r>
              <w:rPr>
                <w:rFonts w:hint="eastAsia" w:eastAsia="仿宋_GB2312"/>
                <w:bCs/>
                <w:color w:val="auto"/>
                <w:szCs w:val="21"/>
                <w:lang w:val="en-US" w:eastAsia="zh-CN"/>
              </w:rPr>
              <w:t>DA004</w:t>
            </w:r>
          </w:p>
        </w:tc>
        <w:tc>
          <w:tcPr>
            <w:tcW w:w="375" w:type="pct"/>
            <w:vMerge w:val="restart"/>
            <w:shd w:val="clear" w:color="auto" w:fill="auto"/>
            <w:vAlign w:val="center"/>
          </w:tcPr>
          <w:p w14:paraId="01229904">
            <w:pPr>
              <w:jc w:val="center"/>
              <w:rPr>
                <w:rFonts w:eastAsia="仿宋_GB2312"/>
                <w:bCs/>
                <w:color w:val="auto"/>
                <w:szCs w:val="21"/>
              </w:rPr>
            </w:pPr>
            <w:r>
              <w:rPr>
                <w:rFonts w:eastAsia="仿宋_GB2312"/>
                <w:color w:val="auto"/>
                <w:szCs w:val="21"/>
              </w:rPr>
              <w:t>60000</w:t>
            </w:r>
          </w:p>
        </w:tc>
        <w:tc>
          <w:tcPr>
            <w:tcW w:w="396" w:type="pct"/>
            <w:shd w:val="clear" w:color="auto" w:fill="auto"/>
            <w:vAlign w:val="center"/>
          </w:tcPr>
          <w:p w14:paraId="2754CFF3">
            <w:pPr>
              <w:adjustRightInd w:val="0"/>
              <w:snapToGrid w:val="0"/>
              <w:spacing w:line="320" w:lineRule="exact"/>
              <w:jc w:val="center"/>
              <w:rPr>
                <w:rFonts w:hint="eastAsia" w:eastAsia="仿宋_GB2312"/>
                <w:bCs/>
                <w:color w:val="auto"/>
                <w:szCs w:val="21"/>
                <w:lang w:val="en-US" w:eastAsia="zh-CN"/>
              </w:rPr>
            </w:pPr>
            <w:r>
              <w:rPr>
                <w:rFonts w:hint="eastAsia" w:eastAsia="仿宋_GB2312"/>
                <w:bCs/>
                <w:color w:val="auto"/>
                <w:szCs w:val="21"/>
                <w:lang w:val="en-US" w:eastAsia="zh-CN"/>
              </w:rPr>
              <w:t>氨</w:t>
            </w:r>
          </w:p>
        </w:tc>
        <w:tc>
          <w:tcPr>
            <w:tcW w:w="338" w:type="pct"/>
            <w:shd w:val="clear" w:color="auto" w:fill="auto"/>
            <w:vAlign w:val="center"/>
          </w:tcPr>
          <w:p w14:paraId="7BBA582B">
            <w:pPr>
              <w:adjustRightInd w:val="0"/>
              <w:snapToGrid w:val="0"/>
              <w:spacing w:line="320" w:lineRule="exact"/>
              <w:jc w:val="center"/>
              <w:rPr>
                <w:rFonts w:hint="default" w:eastAsia="仿宋_GB2312"/>
                <w:bCs/>
                <w:color w:val="auto"/>
                <w:szCs w:val="21"/>
                <w:lang w:val="en-US" w:eastAsia="zh-CN"/>
              </w:rPr>
            </w:pPr>
            <w:r>
              <w:rPr>
                <w:rFonts w:hint="eastAsia" w:eastAsia="仿宋_GB2312"/>
                <w:bCs/>
                <w:color w:val="auto"/>
                <w:szCs w:val="21"/>
                <w:lang w:val="en-US" w:eastAsia="zh-CN"/>
              </w:rPr>
              <w:t>0.17</w:t>
            </w:r>
          </w:p>
        </w:tc>
        <w:tc>
          <w:tcPr>
            <w:tcW w:w="283" w:type="pct"/>
            <w:shd w:val="clear" w:color="auto" w:fill="auto"/>
            <w:vAlign w:val="center"/>
          </w:tcPr>
          <w:p w14:paraId="36D56C7C">
            <w:pPr>
              <w:keepNext w:val="0"/>
              <w:keepLines w:val="0"/>
              <w:widowControl/>
              <w:suppressLineNumbers w:val="0"/>
              <w:jc w:val="center"/>
              <w:textAlignment w:val="center"/>
              <w:rPr>
                <w:rFonts w:ascii="Times New Roman" w:hAnsi="Times New Roman" w:eastAsia="等线" w:cs="Times New Roman"/>
                <w:color w:val="auto"/>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0.01</w:t>
            </w:r>
          </w:p>
        </w:tc>
        <w:tc>
          <w:tcPr>
            <w:tcW w:w="338" w:type="pct"/>
            <w:shd w:val="clear" w:color="auto" w:fill="auto"/>
            <w:vAlign w:val="center"/>
          </w:tcPr>
          <w:p w14:paraId="34AFA0D9">
            <w:pPr>
              <w:widowControl/>
              <w:spacing w:line="300" w:lineRule="exact"/>
              <w:jc w:val="center"/>
              <w:rPr>
                <w:rFonts w:hint="default" w:ascii="Times New Roman" w:hAnsi="Times New Roman" w:eastAsia="仿宋_GB2312" w:cs="Times New Roman"/>
                <w:color w:val="auto"/>
                <w:kern w:val="0"/>
                <w:sz w:val="21"/>
                <w:szCs w:val="21"/>
                <w:lang w:val="en-US" w:eastAsia="zh-CN" w:bidi="ar-SA"/>
              </w:rPr>
            </w:pPr>
            <w:r>
              <w:rPr>
                <w:rFonts w:hint="eastAsia" w:eastAsia="仿宋_GB2312"/>
                <w:color w:val="auto"/>
                <w:kern w:val="0"/>
                <w:szCs w:val="21"/>
                <w:lang w:val="en-US" w:eastAsia="zh-CN"/>
              </w:rPr>
              <w:t>0.09</w:t>
            </w:r>
          </w:p>
        </w:tc>
        <w:tc>
          <w:tcPr>
            <w:tcW w:w="534" w:type="pct"/>
            <w:vMerge w:val="restart"/>
            <w:shd w:val="clear" w:color="auto" w:fill="auto"/>
            <w:vAlign w:val="center"/>
          </w:tcPr>
          <w:p w14:paraId="50BA6977">
            <w:pPr>
              <w:adjustRightInd w:val="0"/>
              <w:snapToGrid w:val="0"/>
              <w:spacing w:line="320" w:lineRule="exact"/>
              <w:jc w:val="center"/>
              <w:rPr>
                <w:rFonts w:eastAsia="仿宋_GB2312"/>
                <w:bCs/>
                <w:color w:val="FF0000"/>
                <w:szCs w:val="21"/>
              </w:rPr>
            </w:pPr>
            <w:r>
              <w:rPr>
                <w:rFonts w:eastAsia="仿宋_GB2312"/>
                <w:color w:val="auto"/>
                <w:szCs w:val="21"/>
              </w:rPr>
              <w:t>冷凝+稀酸吸收+碱、次氯酸钠混合液吸收+除雾+活性炭吸附/脱附</w:t>
            </w:r>
          </w:p>
        </w:tc>
        <w:tc>
          <w:tcPr>
            <w:tcW w:w="291" w:type="pct"/>
            <w:shd w:val="clear" w:color="auto" w:fill="auto"/>
            <w:vAlign w:val="center"/>
          </w:tcPr>
          <w:p w14:paraId="1A6CE2C2">
            <w:pPr>
              <w:adjustRightInd w:val="0"/>
              <w:snapToGrid w:val="0"/>
              <w:spacing w:line="320" w:lineRule="exact"/>
              <w:jc w:val="center"/>
              <w:rPr>
                <w:rFonts w:hint="default" w:eastAsia="仿宋_GB2312"/>
                <w:bCs/>
                <w:color w:val="auto"/>
                <w:szCs w:val="21"/>
                <w:lang w:val="en-US" w:eastAsia="zh-CN"/>
              </w:rPr>
            </w:pPr>
            <w:r>
              <w:rPr>
                <w:rFonts w:hint="eastAsia" w:eastAsia="仿宋_GB2312"/>
                <w:bCs/>
                <w:color w:val="auto"/>
                <w:szCs w:val="21"/>
                <w:lang w:val="en-US" w:eastAsia="zh-CN"/>
              </w:rPr>
              <w:t>95</w:t>
            </w:r>
          </w:p>
        </w:tc>
        <w:tc>
          <w:tcPr>
            <w:tcW w:w="850" w:type="dxa"/>
            <w:shd w:val="clear" w:color="auto" w:fill="auto"/>
            <w:vAlign w:val="center"/>
          </w:tcPr>
          <w:p w14:paraId="5E43EEDD">
            <w:pPr>
              <w:adjustRightInd w:val="0"/>
              <w:snapToGrid w:val="0"/>
              <w:spacing w:line="320" w:lineRule="exact"/>
              <w:jc w:val="center"/>
              <w:rPr>
                <w:rFonts w:hint="eastAsia"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0.01</w:t>
            </w:r>
          </w:p>
        </w:tc>
        <w:tc>
          <w:tcPr>
            <w:tcW w:w="870" w:type="dxa"/>
            <w:shd w:val="clear" w:color="auto" w:fill="auto"/>
            <w:vAlign w:val="center"/>
          </w:tcPr>
          <w:p w14:paraId="6F2F6B93">
            <w:pPr>
              <w:adjustRightInd w:val="0"/>
              <w:snapToGrid w:val="0"/>
              <w:spacing w:line="320" w:lineRule="exact"/>
              <w:jc w:val="center"/>
              <w:rPr>
                <w:rFonts w:hint="eastAsia"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0.0005</w:t>
            </w:r>
          </w:p>
        </w:tc>
        <w:tc>
          <w:tcPr>
            <w:tcW w:w="996" w:type="dxa"/>
            <w:shd w:val="clear" w:color="auto" w:fill="auto"/>
            <w:vAlign w:val="center"/>
          </w:tcPr>
          <w:p w14:paraId="093ED7B3">
            <w:pPr>
              <w:adjustRightInd w:val="0"/>
              <w:snapToGrid w:val="0"/>
              <w:spacing w:line="320" w:lineRule="exact"/>
              <w:jc w:val="center"/>
              <w:rPr>
                <w:rFonts w:hint="eastAsia"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0.0045</w:t>
            </w:r>
          </w:p>
        </w:tc>
        <w:tc>
          <w:tcPr>
            <w:tcW w:w="328" w:type="pct"/>
            <w:shd w:val="clear" w:color="auto" w:fill="auto"/>
            <w:vAlign w:val="center"/>
          </w:tcPr>
          <w:p w14:paraId="4AE593B7">
            <w:pPr>
              <w:adjustRightInd w:val="0"/>
              <w:snapToGrid w:val="0"/>
              <w:spacing w:line="320" w:lineRule="exact"/>
              <w:jc w:val="center"/>
              <w:rPr>
                <w:rFonts w:hint="eastAsia" w:eastAsia="仿宋_GB2312"/>
                <w:bCs/>
                <w:color w:val="auto"/>
                <w:szCs w:val="21"/>
                <w:lang w:eastAsia="zh-CN"/>
              </w:rPr>
            </w:pPr>
            <w:r>
              <w:rPr>
                <w:rFonts w:hint="eastAsia" w:eastAsia="仿宋_GB2312"/>
                <w:bCs/>
                <w:color w:val="auto"/>
                <w:szCs w:val="21"/>
                <w:lang w:val="en-US" w:eastAsia="zh-CN"/>
              </w:rPr>
              <w:t>/</w:t>
            </w:r>
          </w:p>
        </w:tc>
        <w:tc>
          <w:tcPr>
            <w:tcW w:w="300" w:type="pct"/>
            <w:shd w:val="clear" w:color="auto" w:fill="auto"/>
            <w:vAlign w:val="center"/>
          </w:tcPr>
          <w:p w14:paraId="6460BB54">
            <w:pPr>
              <w:adjustRightInd w:val="0"/>
              <w:snapToGrid w:val="0"/>
              <w:spacing w:line="320" w:lineRule="exact"/>
              <w:jc w:val="center"/>
              <w:rPr>
                <w:rFonts w:hint="default" w:eastAsia="仿宋_GB2312"/>
                <w:bCs/>
                <w:color w:val="auto"/>
                <w:szCs w:val="21"/>
                <w:lang w:val="en-US" w:eastAsia="zh-CN"/>
              </w:rPr>
            </w:pPr>
            <w:r>
              <w:rPr>
                <w:rFonts w:hint="eastAsia" w:eastAsia="仿宋_GB2312"/>
                <w:bCs/>
                <w:color w:val="auto"/>
                <w:szCs w:val="21"/>
                <w:lang w:val="en-US" w:eastAsia="zh-CN"/>
              </w:rPr>
              <w:t>14</w:t>
            </w:r>
          </w:p>
        </w:tc>
        <w:tc>
          <w:tcPr>
            <w:tcW w:w="197" w:type="pct"/>
            <w:vMerge w:val="restart"/>
            <w:shd w:val="clear" w:color="auto" w:fill="auto"/>
            <w:vAlign w:val="center"/>
          </w:tcPr>
          <w:p w14:paraId="6DFF7C46">
            <w:pPr>
              <w:adjustRightInd w:val="0"/>
              <w:snapToGrid w:val="0"/>
              <w:spacing w:line="320" w:lineRule="exact"/>
              <w:jc w:val="center"/>
              <w:rPr>
                <w:rFonts w:eastAsia="仿宋_GB2312"/>
                <w:bCs/>
                <w:color w:val="auto"/>
                <w:szCs w:val="21"/>
              </w:rPr>
            </w:pPr>
            <w:r>
              <w:rPr>
                <w:rFonts w:eastAsia="仿宋_GB2312"/>
                <w:bCs/>
                <w:color w:val="auto"/>
                <w:szCs w:val="21"/>
              </w:rPr>
              <w:t>25</w:t>
            </w:r>
          </w:p>
        </w:tc>
        <w:tc>
          <w:tcPr>
            <w:tcW w:w="195" w:type="pct"/>
            <w:vMerge w:val="restart"/>
            <w:shd w:val="clear" w:color="auto" w:fill="auto"/>
            <w:vAlign w:val="center"/>
          </w:tcPr>
          <w:p w14:paraId="7D4F85CF">
            <w:pPr>
              <w:adjustRightInd w:val="0"/>
              <w:snapToGrid w:val="0"/>
              <w:spacing w:line="320" w:lineRule="exact"/>
              <w:jc w:val="center"/>
              <w:rPr>
                <w:rFonts w:hint="eastAsia" w:eastAsia="仿宋_GB2312"/>
                <w:bCs/>
                <w:color w:val="auto"/>
                <w:szCs w:val="21"/>
                <w:lang w:eastAsia="zh-CN"/>
              </w:rPr>
            </w:pPr>
            <w:r>
              <w:rPr>
                <w:rFonts w:eastAsia="仿宋_GB2312"/>
                <w:bCs/>
                <w:color w:val="auto"/>
                <w:szCs w:val="21"/>
              </w:rPr>
              <w:t>1.</w:t>
            </w:r>
            <w:r>
              <w:rPr>
                <w:rFonts w:hint="eastAsia" w:eastAsia="仿宋_GB2312"/>
                <w:bCs/>
                <w:color w:val="auto"/>
                <w:szCs w:val="21"/>
                <w:lang w:val="en-US" w:eastAsia="zh-CN"/>
              </w:rPr>
              <w:t>4</w:t>
            </w:r>
          </w:p>
        </w:tc>
        <w:tc>
          <w:tcPr>
            <w:tcW w:w="193" w:type="pct"/>
            <w:vMerge w:val="restart"/>
            <w:shd w:val="clear" w:color="auto" w:fill="auto"/>
            <w:vAlign w:val="center"/>
          </w:tcPr>
          <w:p w14:paraId="6ECD441E">
            <w:pPr>
              <w:adjustRightInd w:val="0"/>
              <w:snapToGrid w:val="0"/>
              <w:spacing w:line="320" w:lineRule="exact"/>
              <w:jc w:val="center"/>
              <w:rPr>
                <w:rFonts w:eastAsia="仿宋_GB2312"/>
                <w:bCs/>
                <w:color w:val="auto"/>
                <w:szCs w:val="21"/>
              </w:rPr>
            </w:pPr>
            <w:r>
              <w:rPr>
                <w:rFonts w:eastAsia="仿宋_GB2312"/>
                <w:bCs/>
                <w:color w:val="auto"/>
                <w:szCs w:val="21"/>
              </w:rPr>
              <w:t>25</w:t>
            </w:r>
          </w:p>
        </w:tc>
      </w:tr>
      <w:tr w14:paraId="22DC12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295" w:type="pct"/>
            <w:vMerge w:val="continue"/>
            <w:shd w:val="clear" w:color="auto" w:fill="auto"/>
            <w:vAlign w:val="center"/>
          </w:tcPr>
          <w:p w14:paraId="1D36B589">
            <w:pPr>
              <w:adjustRightInd w:val="0"/>
              <w:snapToGrid w:val="0"/>
              <w:spacing w:line="320" w:lineRule="exact"/>
              <w:jc w:val="center"/>
              <w:rPr>
                <w:rFonts w:hint="eastAsia" w:eastAsia="仿宋_GB2312"/>
                <w:bCs/>
                <w:color w:val="auto"/>
                <w:szCs w:val="21"/>
                <w:lang w:val="en-US" w:eastAsia="zh-CN"/>
              </w:rPr>
            </w:pPr>
          </w:p>
        </w:tc>
        <w:tc>
          <w:tcPr>
            <w:tcW w:w="375" w:type="pct"/>
            <w:vMerge w:val="continue"/>
            <w:shd w:val="clear" w:color="auto" w:fill="auto"/>
            <w:vAlign w:val="center"/>
          </w:tcPr>
          <w:p w14:paraId="70DEE1E3">
            <w:pPr>
              <w:jc w:val="center"/>
              <w:rPr>
                <w:rFonts w:eastAsia="仿宋_GB2312"/>
                <w:color w:val="auto"/>
                <w:szCs w:val="21"/>
              </w:rPr>
            </w:pPr>
          </w:p>
        </w:tc>
        <w:tc>
          <w:tcPr>
            <w:tcW w:w="396" w:type="pct"/>
            <w:shd w:val="clear" w:color="auto" w:fill="auto"/>
            <w:vAlign w:val="center"/>
          </w:tcPr>
          <w:p w14:paraId="38BCB764">
            <w:pPr>
              <w:adjustRightInd w:val="0"/>
              <w:snapToGrid w:val="0"/>
              <w:spacing w:line="320" w:lineRule="exact"/>
              <w:jc w:val="center"/>
              <w:rPr>
                <w:rFonts w:hint="eastAsia" w:eastAsia="仿宋_GB2312"/>
                <w:color w:val="auto"/>
                <w:szCs w:val="21"/>
                <w:lang w:val="en-US" w:eastAsia="zh-CN"/>
              </w:rPr>
            </w:pPr>
            <w:r>
              <w:rPr>
                <w:rFonts w:hint="eastAsia" w:eastAsia="仿宋_GB2312"/>
                <w:color w:val="auto"/>
                <w:szCs w:val="21"/>
                <w:lang w:val="en-US" w:eastAsia="zh-CN"/>
              </w:rPr>
              <w:t>硫化氢</w:t>
            </w:r>
          </w:p>
        </w:tc>
        <w:tc>
          <w:tcPr>
            <w:tcW w:w="338" w:type="pct"/>
            <w:shd w:val="clear" w:color="auto" w:fill="auto"/>
            <w:vAlign w:val="center"/>
          </w:tcPr>
          <w:p w14:paraId="3746E635">
            <w:pPr>
              <w:adjustRightInd w:val="0"/>
              <w:snapToGrid w:val="0"/>
              <w:spacing w:line="320" w:lineRule="exact"/>
              <w:jc w:val="center"/>
              <w:rPr>
                <w:rFonts w:hint="default" w:eastAsia="仿宋_GB2312"/>
                <w:bCs/>
                <w:color w:val="auto"/>
                <w:szCs w:val="21"/>
                <w:lang w:val="en-US" w:eastAsia="zh-CN"/>
              </w:rPr>
            </w:pPr>
            <w:r>
              <w:rPr>
                <w:rFonts w:hint="eastAsia" w:eastAsia="仿宋_GB2312"/>
                <w:bCs/>
                <w:color w:val="auto"/>
                <w:szCs w:val="21"/>
                <w:lang w:val="en-US" w:eastAsia="zh-CN"/>
              </w:rPr>
              <w:t>0.017</w:t>
            </w:r>
          </w:p>
        </w:tc>
        <w:tc>
          <w:tcPr>
            <w:tcW w:w="283" w:type="pct"/>
            <w:shd w:val="clear" w:color="auto" w:fill="auto"/>
            <w:vAlign w:val="center"/>
          </w:tcPr>
          <w:p w14:paraId="5BE198F1">
            <w:pPr>
              <w:keepNext w:val="0"/>
              <w:keepLines w:val="0"/>
              <w:widowControl/>
              <w:suppressLineNumbers w:val="0"/>
              <w:jc w:val="center"/>
              <w:textAlignment w:val="center"/>
              <w:rPr>
                <w:rFonts w:ascii="Times New Roman" w:hAnsi="Times New Roman" w:eastAsia="等线" w:cs="Times New Roman"/>
                <w:color w:val="auto"/>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0.001</w:t>
            </w:r>
          </w:p>
        </w:tc>
        <w:tc>
          <w:tcPr>
            <w:tcW w:w="338" w:type="pct"/>
            <w:shd w:val="clear" w:color="auto" w:fill="auto"/>
            <w:vAlign w:val="center"/>
          </w:tcPr>
          <w:p w14:paraId="411C53AE">
            <w:pPr>
              <w:widowControl/>
              <w:spacing w:line="300" w:lineRule="exact"/>
              <w:jc w:val="center"/>
              <w:rPr>
                <w:rFonts w:hint="default" w:ascii="Times New Roman" w:hAnsi="Times New Roman" w:eastAsia="仿宋_GB2312" w:cs="Times New Roman"/>
                <w:color w:val="auto"/>
                <w:kern w:val="0"/>
                <w:sz w:val="21"/>
                <w:szCs w:val="21"/>
                <w:lang w:val="en-US" w:eastAsia="zh-CN" w:bidi="ar-SA"/>
              </w:rPr>
            </w:pPr>
            <w:r>
              <w:rPr>
                <w:rFonts w:hint="eastAsia" w:eastAsia="仿宋_GB2312"/>
                <w:color w:val="auto"/>
                <w:kern w:val="0"/>
                <w:szCs w:val="21"/>
                <w:lang w:val="en-US" w:eastAsia="zh-CN"/>
              </w:rPr>
              <w:t>0.009</w:t>
            </w:r>
          </w:p>
        </w:tc>
        <w:tc>
          <w:tcPr>
            <w:tcW w:w="534" w:type="pct"/>
            <w:vMerge w:val="continue"/>
            <w:shd w:val="clear" w:color="auto" w:fill="auto"/>
            <w:vAlign w:val="center"/>
          </w:tcPr>
          <w:p w14:paraId="35882DDE">
            <w:pPr>
              <w:adjustRightInd w:val="0"/>
              <w:snapToGrid w:val="0"/>
              <w:spacing w:line="320" w:lineRule="exact"/>
              <w:jc w:val="center"/>
              <w:rPr>
                <w:rFonts w:eastAsia="仿宋_GB2312"/>
                <w:color w:val="FF0000"/>
                <w:szCs w:val="21"/>
              </w:rPr>
            </w:pPr>
          </w:p>
        </w:tc>
        <w:tc>
          <w:tcPr>
            <w:tcW w:w="291" w:type="pct"/>
            <w:shd w:val="clear" w:color="auto" w:fill="auto"/>
            <w:vAlign w:val="center"/>
          </w:tcPr>
          <w:p w14:paraId="4EEC2E44">
            <w:pPr>
              <w:adjustRightInd w:val="0"/>
              <w:snapToGrid w:val="0"/>
              <w:spacing w:line="320" w:lineRule="exact"/>
              <w:jc w:val="center"/>
              <w:rPr>
                <w:rFonts w:hint="default" w:eastAsia="仿宋_GB2312"/>
                <w:bCs/>
                <w:color w:val="auto"/>
                <w:szCs w:val="21"/>
                <w:lang w:val="en-US" w:eastAsia="zh-CN"/>
              </w:rPr>
            </w:pPr>
            <w:r>
              <w:rPr>
                <w:rFonts w:hint="eastAsia" w:eastAsia="仿宋_GB2312"/>
                <w:bCs/>
                <w:color w:val="auto"/>
                <w:szCs w:val="21"/>
                <w:lang w:val="en-US" w:eastAsia="zh-CN"/>
              </w:rPr>
              <w:t>95</w:t>
            </w:r>
          </w:p>
        </w:tc>
        <w:tc>
          <w:tcPr>
            <w:tcW w:w="850" w:type="dxa"/>
            <w:shd w:val="clear" w:color="auto" w:fill="auto"/>
            <w:vAlign w:val="center"/>
          </w:tcPr>
          <w:p w14:paraId="26449E2F">
            <w:pPr>
              <w:adjustRightInd w:val="0"/>
              <w:snapToGrid w:val="0"/>
              <w:spacing w:line="320" w:lineRule="exact"/>
              <w:jc w:val="center"/>
              <w:rPr>
                <w:rFonts w:hint="eastAsia"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0.001</w:t>
            </w:r>
          </w:p>
        </w:tc>
        <w:tc>
          <w:tcPr>
            <w:tcW w:w="870" w:type="dxa"/>
            <w:shd w:val="clear" w:color="auto" w:fill="auto"/>
            <w:vAlign w:val="center"/>
          </w:tcPr>
          <w:p w14:paraId="56AF40D6">
            <w:pPr>
              <w:adjustRightInd w:val="0"/>
              <w:snapToGrid w:val="0"/>
              <w:spacing w:line="320" w:lineRule="exact"/>
              <w:jc w:val="center"/>
              <w:rPr>
                <w:rFonts w:hint="eastAsia"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0.0001</w:t>
            </w:r>
          </w:p>
        </w:tc>
        <w:tc>
          <w:tcPr>
            <w:tcW w:w="996" w:type="dxa"/>
            <w:shd w:val="clear" w:color="auto" w:fill="auto"/>
            <w:vAlign w:val="center"/>
          </w:tcPr>
          <w:p w14:paraId="713705B7">
            <w:pPr>
              <w:adjustRightInd w:val="0"/>
              <w:snapToGrid w:val="0"/>
              <w:spacing w:line="320" w:lineRule="exact"/>
              <w:jc w:val="center"/>
              <w:rPr>
                <w:rFonts w:hint="eastAsia"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0.0004</w:t>
            </w:r>
          </w:p>
        </w:tc>
        <w:tc>
          <w:tcPr>
            <w:tcW w:w="328" w:type="pct"/>
            <w:shd w:val="clear" w:color="auto" w:fill="auto"/>
            <w:vAlign w:val="center"/>
          </w:tcPr>
          <w:p w14:paraId="2984F0E5">
            <w:pPr>
              <w:adjustRightInd w:val="0"/>
              <w:snapToGrid w:val="0"/>
              <w:spacing w:line="320" w:lineRule="exact"/>
              <w:jc w:val="center"/>
              <w:rPr>
                <w:rFonts w:hint="eastAsia" w:eastAsia="仿宋_GB2312"/>
                <w:color w:val="auto"/>
                <w:szCs w:val="21"/>
                <w:lang w:val="en-US" w:eastAsia="zh-CN"/>
              </w:rPr>
            </w:pPr>
            <w:r>
              <w:rPr>
                <w:rFonts w:hint="eastAsia" w:eastAsia="仿宋_GB2312"/>
                <w:color w:val="auto"/>
                <w:szCs w:val="21"/>
                <w:lang w:val="en-US" w:eastAsia="zh-CN"/>
              </w:rPr>
              <w:t>/</w:t>
            </w:r>
          </w:p>
        </w:tc>
        <w:tc>
          <w:tcPr>
            <w:tcW w:w="300" w:type="pct"/>
            <w:shd w:val="clear" w:color="auto" w:fill="auto"/>
            <w:vAlign w:val="center"/>
          </w:tcPr>
          <w:p w14:paraId="25CA4041">
            <w:pPr>
              <w:adjustRightInd w:val="0"/>
              <w:snapToGrid w:val="0"/>
              <w:spacing w:line="320" w:lineRule="exact"/>
              <w:jc w:val="center"/>
              <w:rPr>
                <w:rFonts w:hint="default" w:eastAsia="仿宋_GB2312"/>
                <w:color w:val="auto"/>
                <w:szCs w:val="21"/>
                <w:lang w:val="en-US" w:eastAsia="zh-CN"/>
              </w:rPr>
            </w:pPr>
            <w:r>
              <w:rPr>
                <w:rFonts w:hint="eastAsia" w:eastAsia="仿宋_GB2312"/>
                <w:color w:val="auto"/>
                <w:szCs w:val="21"/>
                <w:lang w:val="en-US" w:eastAsia="zh-CN"/>
              </w:rPr>
              <w:t>0.9</w:t>
            </w:r>
          </w:p>
        </w:tc>
        <w:tc>
          <w:tcPr>
            <w:tcW w:w="197" w:type="pct"/>
            <w:vMerge w:val="continue"/>
            <w:shd w:val="clear" w:color="auto" w:fill="auto"/>
            <w:vAlign w:val="center"/>
          </w:tcPr>
          <w:p w14:paraId="5649E524">
            <w:pPr>
              <w:adjustRightInd w:val="0"/>
              <w:snapToGrid w:val="0"/>
              <w:spacing w:line="320" w:lineRule="exact"/>
              <w:jc w:val="center"/>
              <w:rPr>
                <w:rFonts w:eastAsia="仿宋_GB2312"/>
                <w:bCs/>
                <w:color w:val="auto"/>
                <w:szCs w:val="21"/>
              </w:rPr>
            </w:pPr>
          </w:p>
        </w:tc>
        <w:tc>
          <w:tcPr>
            <w:tcW w:w="195" w:type="pct"/>
            <w:vMerge w:val="continue"/>
            <w:shd w:val="clear" w:color="auto" w:fill="auto"/>
            <w:vAlign w:val="center"/>
          </w:tcPr>
          <w:p w14:paraId="7310D181">
            <w:pPr>
              <w:adjustRightInd w:val="0"/>
              <w:snapToGrid w:val="0"/>
              <w:spacing w:line="320" w:lineRule="exact"/>
              <w:jc w:val="center"/>
              <w:rPr>
                <w:rFonts w:eastAsia="仿宋_GB2312"/>
                <w:bCs/>
                <w:color w:val="auto"/>
                <w:szCs w:val="21"/>
              </w:rPr>
            </w:pPr>
          </w:p>
        </w:tc>
        <w:tc>
          <w:tcPr>
            <w:tcW w:w="193" w:type="pct"/>
            <w:vMerge w:val="continue"/>
            <w:shd w:val="clear" w:color="auto" w:fill="auto"/>
            <w:vAlign w:val="center"/>
          </w:tcPr>
          <w:p w14:paraId="4605DD3E">
            <w:pPr>
              <w:adjustRightInd w:val="0"/>
              <w:snapToGrid w:val="0"/>
              <w:spacing w:line="320" w:lineRule="exact"/>
              <w:jc w:val="center"/>
              <w:rPr>
                <w:rFonts w:eastAsia="仿宋_GB2312"/>
                <w:bCs/>
                <w:color w:val="auto"/>
                <w:szCs w:val="21"/>
              </w:rPr>
            </w:pPr>
          </w:p>
        </w:tc>
      </w:tr>
      <w:tr w14:paraId="582524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295" w:type="pct"/>
            <w:vMerge w:val="continue"/>
            <w:shd w:val="clear" w:color="auto" w:fill="auto"/>
            <w:vAlign w:val="center"/>
          </w:tcPr>
          <w:p w14:paraId="41BA26A0">
            <w:pPr>
              <w:adjustRightInd w:val="0"/>
              <w:snapToGrid w:val="0"/>
              <w:spacing w:line="320" w:lineRule="exact"/>
              <w:jc w:val="center"/>
              <w:rPr>
                <w:rFonts w:hint="eastAsia" w:eastAsia="仿宋_GB2312"/>
                <w:bCs/>
                <w:color w:val="auto"/>
                <w:szCs w:val="21"/>
                <w:lang w:val="en-US" w:eastAsia="zh-CN"/>
              </w:rPr>
            </w:pPr>
          </w:p>
        </w:tc>
        <w:tc>
          <w:tcPr>
            <w:tcW w:w="375" w:type="pct"/>
            <w:vMerge w:val="continue"/>
            <w:shd w:val="clear" w:color="auto" w:fill="auto"/>
            <w:vAlign w:val="center"/>
          </w:tcPr>
          <w:p w14:paraId="5F8DB4D0">
            <w:pPr>
              <w:jc w:val="center"/>
              <w:rPr>
                <w:rFonts w:eastAsia="仿宋_GB2312"/>
                <w:color w:val="auto"/>
                <w:szCs w:val="21"/>
              </w:rPr>
            </w:pPr>
          </w:p>
        </w:tc>
        <w:tc>
          <w:tcPr>
            <w:tcW w:w="396" w:type="pct"/>
            <w:shd w:val="clear" w:color="auto" w:fill="auto"/>
            <w:vAlign w:val="center"/>
          </w:tcPr>
          <w:p w14:paraId="6268F4A0">
            <w:pPr>
              <w:adjustRightInd w:val="0"/>
              <w:snapToGrid w:val="0"/>
              <w:spacing w:line="320" w:lineRule="exact"/>
              <w:jc w:val="center"/>
              <w:rPr>
                <w:rFonts w:ascii="Times New Roman" w:hAnsi="Times New Roman" w:eastAsia="仿宋_GB2312" w:cs="Times New Roman"/>
                <w:bCs/>
                <w:color w:val="auto"/>
                <w:kern w:val="2"/>
                <w:sz w:val="21"/>
                <w:szCs w:val="21"/>
                <w:lang w:val="en-US" w:eastAsia="zh-CN" w:bidi="ar-SA"/>
              </w:rPr>
            </w:pPr>
            <w:r>
              <w:rPr>
                <w:rFonts w:eastAsia="仿宋_GB2312"/>
                <w:color w:val="auto"/>
                <w:szCs w:val="21"/>
              </w:rPr>
              <w:t>非甲烷总烃</w:t>
            </w:r>
          </w:p>
        </w:tc>
        <w:tc>
          <w:tcPr>
            <w:tcW w:w="338" w:type="pct"/>
            <w:shd w:val="clear" w:color="auto" w:fill="auto"/>
            <w:vAlign w:val="center"/>
          </w:tcPr>
          <w:p w14:paraId="6EFF527D">
            <w:pPr>
              <w:adjustRightInd w:val="0"/>
              <w:snapToGrid w:val="0"/>
              <w:spacing w:line="320" w:lineRule="exact"/>
              <w:jc w:val="center"/>
              <w:rPr>
                <w:rFonts w:hint="default" w:ascii="Times New Roman" w:hAnsi="Times New Roman" w:eastAsia="仿宋_GB2312" w:cs="Times New Roman"/>
                <w:bCs/>
                <w:color w:val="auto"/>
                <w:kern w:val="2"/>
                <w:sz w:val="21"/>
                <w:szCs w:val="21"/>
                <w:lang w:val="en-US" w:eastAsia="zh-CN" w:bidi="ar-SA"/>
              </w:rPr>
            </w:pPr>
            <w:r>
              <w:rPr>
                <w:rFonts w:hint="eastAsia" w:eastAsia="仿宋_GB2312" w:cs="Times New Roman"/>
                <w:bCs/>
                <w:color w:val="auto"/>
                <w:kern w:val="2"/>
                <w:sz w:val="21"/>
                <w:szCs w:val="21"/>
                <w:lang w:val="en-US" w:eastAsia="zh-CN" w:bidi="ar-SA"/>
              </w:rPr>
              <w:t>91.17</w:t>
            </w:r>
          </w:p>
        </w:tc>
        <w:tc>
          <w:tcPr>
            <w:tcW w:w="283" w:type="pct"/>
            <w:shd w:val="clear" w:color="auto" w:fill="auto"/>
            <w:vAlign w:val="center"/>
          </w:tcPr>
          <w:p w14:paraId="5C2DC29D">
            <w:pPr>
              <w:adjustRightInd w:val="0"/>
              <w:snapToGrid w:val="0"/>
              <w:spacing w:line="320" w:lineRule="exact"/>
              <w:jc w:val="center"/>
              <w:rPr>
                <w:rFonts w:hint="default" w:ascii="Times New Roman" w:hAnsi="Times New Roman" w:eastAsia="仿宋_GB2312" w:cs="Times New Roman"/>
                <w:bCs/>
                <w:color w:val="auto"/>
                <w:kern w:val="2"/>
                <w:sz w:val="21"/>
                <w:szCs w:val="21"/>
                <w:lang w:val="en-US" w:eastAsia="zh-CN" w:bidi="ar-SA"/>
              </w:rPr>
            </w:pPr>
            <w:r>
              <w:rPr>
                <w:rFonts w:hint="eastAsia" w:eastAsia="仿宋_GB2312" w:cs="Times New Roman"/>
                <w:bCs/>
                <w:color w:val="auto"/>
                <w:kern w:val="2"/>
                <w:sz w:val="21"/>
                <w:szCs w:val="21"/>
                <w:lang w:val="en-US" w:eastAsia="zh-CN" w:bidi="ar-SA"/>
              </w:rPr>
              <w:t>5.47</w:t>
            </w:r>
          </w:p>
        </w:tc>
        <w:tc>
          <w:tcPr>
            <w:tcW w:w="338" w:type="pct"/>
            <w:shd w:val="clear" w:color="auto" w:fill="auto"/>
            <w:vAlign w:val="center"/>
          </w:tcPr>
          <w:p w14:paraId="166FA8A6">
            <w:pPr>
              <w:adjustRightInd w:val="0"/>
              <w:snapToGrid w:val="0"/>
              <w:spacing w:line="320" w:lineRule="exact"/>
              <w:jc w:val="center"/>
              <w:rPr>
                <w:rFonts w:hint="default" w:ascii="Times New Roman" w:hAnsi="Times New Roman" w:eastAsia="仿宋_GB2312" w:cs="Times New Roman"/>
                <w:color w:val="auto"/>
                <w:kern w:val="0"/>
                <w:sz w:val="21"/>
                <w:szCs w:val="21"/>
                <w:lang w:val="en-US" w:eastAsia="zh-CN" w:bidi="ar-SA"/>
              </w:rPr>
            </w:pPr>
            <w:r>
              <w:rPr>
                <w:rFonts w:hint="eastAsia" w:eastAsia="仿宋_GB2312" w:cs="Times New Roman"/>
                <w:color w:val="auto"/>
                <w:kern w:val="0"/>
                <w:sz w:val="21"/>
                <w:szCs w:val="21"/>
                <w:lang w:val="en-US" w:eastAsia="zh-CN" w:bidi="ar-SA"/>
              </w:rPr>
              <w:t>3.511</w:t>
            </w:r>
          </w:p>
        </w:tc>
        <w:tc>
          <w:tcPr>
            <w:tcW w:w="534" w:type="pct"/>
            <w:vMerge w:val="continue"/>
            <w:shd w:val="clear" w:color="auto" w:fill="auto"/>
            <w:vAlign w:val="center"/>
          </w:tcPr>
          <w:p w14:paraId="02CE36CA">
            <w:pPr>
              <w:adjustRightInd w:val="0"/>
              <w:snapToGrid w:val="0"/>
              <w:spacing w:line="320" w:lineRule="exact"/>
              <w:jc w:val="center"/>
              <w:rPr>
                <w:rFonts w:eastAsia="仿宋_GB2312"/>
                <w:color w:val="FF0000"/>
                <w:szCs w:val="21"/>
              </w:rPr>
            </w:pPr>
          </w:p>
        </w:tc>
        <w:tc>
          <w:tcPr>
            <w:tcW w:w="291" w:type="pct"/>
            <w:shd w:val="clear" w:color="auto" w:fill="auto"/>
            <w:vAlign w:val="center"/>
          </w:tcPr>
          <w:p w14:paraId="56739E87">
            <w:pPr>
              <w:adjustRightInd w:val="0"/>
              <w:snapToGrid w:val="0"/>
              <w:spacing w:line="320" w:lineRule="exact"/>
              <w:jc w:val="center"/>
              <w:rPr>
                <w:rFonts w:ascii="Times New Roman" w:hAnsi="Times New Roman" w:eastAsia="仿宋_GB2312" w:cs="Times New Roman"/>
                <w:bCs/>
                <w:color w:val="auto"/>
                <w:kern w:val="2"/>
                <w:sz w:val="21"/>
                <w:szCs w:val="21"/>
                <w:lang w:val="en-US" w:eastAsia="zh-CN" w:bidi="ar-SA"/>
              </w:rPr>
            </w:pPr>
            <w:r>
              <w:rPr>
                <w:rFonts w:eastAsia="仿宋_GB2312"/>
                <w:bCs/>
                <w:color w:val="auto"/>
                <w:szCs w:val="21"/>
              </w:rPr>
              <w:t>9</w:t>
            </w:r>
            <w:r>
              <w:rPr>
                <w:rFonts w:hint="eastAsia" w:eastAsia="仿宋_GB2312"/>
                <w:bCs/>
                <w:color w:val="auto"/>
                <w:szCs w:val="21"/>
              </w:rPr>
              <w:t>5</w:t>
            </w:r>
          </w:p>
        </w:tc>
        <w:tc>
          <w:tcPr>
            <w:tcW w:w="850" w:type="dxa"/>
            <w:shd w:val="clear" w:color="auto" w:fill="auto"/>
            <w:vAlign w:val="center"/>
          </w:tcPr>
          <w:p w14:paraId="78216A4F">
            <w:pPr>
              <w:adjustRightInd w:val="0"/>
              <w:snapToGrid w:val="0"/>
              <w:spacing w:line="320" w:lineRule="exact"/>
              <w:jc w:val="center"/>
              <w:rPr>
                <w:rFonts w:hint="eastAsia"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4.6</w:t>
            </w:r>
          </w:p>
        </w:tc>
        <w:tc>
          <w:tcPr>
            <w:tcW w:w="870" w:type="dxa"/>
            <w:shd w:val="clear" w:color="auto" w:fill="auto"/>
            <w:vAlign w:val="center"/>
          </w:tcPr>
          <w:p w14:paraId="23FC0B91">
            <w:pPr>
              <w:adjustRightInd w:val="0"/>
              <w:snapToGrid w:val="0"/>
              <w:spacing w:line="320" w:lineRule="exact"/>
              <w:jc w:val="center"/>
              <w:rPr>
                <w:rFonts w:hint="eastAsia"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0.273</w:t>
            </w:r>
          </w:p>
        </w:tc>
        <w:tc>
          <w:tcPr>
            <w:tcW w:w="996" w:type="dxa"/>
            <w:shd w:val="clear" w:color="auto" w:fill="auto"/>
            <w:vAlign w:val="center"/>
          </w:tcPr>
          <w:p w14:paraId="114B6E0E">
            <w:pPr>
              <w:adjustRightInd w:val="0"/>
              <w:snapToGrid w:val="0"/>
              <w:spacing w:line="320" w:lineRule="exact"/>
              <w:jc w:val="center"/>
              <w:rPr>
                <w:rFonts w:hint="eastAsia"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0.176</w:t>
            </w:r>
          </w:p>
        </w:tc>
        <w:tc>
          <w:tcPr>
            <w:tcW w:w="328" w:type="pct"/>
            <w:shd w:val="clear" w:color="auto" w:fill="auto"/>
            <w:vAlign w:val="center"/>
          </w:tcPr>
          <w:p w14:paraId="349D4912">
            <w:pPr>
              <w:adjustRightInd w:val="0"/>
              <w:snapToGrid w:val="0"/>
              <w:spacing w:line="320" w:lineRule="exact"/>
              <w:jc w:val="center"/>
              <w:rPr>
                <w:rFonts w:ascii="Times New Roman" w:hAnsi="Times New Roman" w:eastAsia="仿宋_GB2312" w:cs="Times New Roman"/>
                <w:bCs/>
                <w:color w:val="auto"/>
                <w:kern w:val="2"/>
                <w:sz w:val="21"/>
                <w:szCs w:val="21"/>
                <w:lang w:val="en-US" w:eastAsia="zh-CN" w:bidi="ar-SA"/>
              </w:rPr>
            </w:pPr>
            <w:r>
              <w:rPr>
                <w:rFonts w:eastAsia="仿宋_GB2312"/>
                <w:color w:val="auto"/>
                <w:szCs w:val="21"/>
              </w:rPr>
              <w:t>60</w:t>
            </w:r>
          </w:p>
        </w:tc>
        <w:tc>
          <w:tcPr>
            <w:tcW w:w="300" w:type="pct"/>
            <w:shd w:val="clear" w:color="auto" w:fill="auto"/>
            <w:vAlign w:val="center"/>
          </w:tcPr>
          <w:p w14:paraId="6B48CAA9">
            <w:pPr>
              <w:adjustRightInd w:val="0"/>
              <w:snapToGrid w:val="0"/>
              <w:spacing w:line="320" w:lineRule="exact"/>
              <w:jc w:val="center"/>
              <w:rPr>
                <w:rFonts w:ascii="Times New Roman" w:hAnsi="Times New Roman" w:eastAsia="仿宋_GB2312" w:cs="Times New Roman"/>
                <w:bCs/>
                <w:color w:val="auto"/>
                <w:kern w:val="2"/>
                <w:sz w:val="21"/>
                <w:szCs w:val="21"/>
                <w:lang w:val="en-US" w:eastAsia="zh-CN" w:bidi="ar-SA"/>
              </w:rPr>
            </w:pPr>
            <w:r>
              <w:rPr>
                <w:rFonts w:eastAsia="仿宋_GB2312"/>
                <w:color w:val="auto"/>
                <w:szCs w:val="21"/>
              </w:rPr>
              <w:t>3</w:t>
            </w:r>
          </w:p>
        </w:tc>
        <w:tc>
          <w:tcPr>
            <w:tcW w:w="197" w:type="pct"/>
            <w:vMerge w:val="continue"/>
            <w:shd w:val="clear" w:color="auto" w:fill="auto"/>
            <w:vAlign w:val="center"/>
          </w:tcPr>
          <w:p w14:paraId="0C6BD354">
            <w:pPr>
              <w:adjustRightInd w:val="0"/>
              <w:snapToGrid w:val="0"/>
              <w:spacing w:line="320" w:lineRule="exact"/>
              <w:jc w:val="center"/>
              <w:rPr>
                <w:rFonts w:eastAsia="仿宋_GB2312"/>
                <w:bCs/>
                <w:color w:val="auto"/>
                <w:szCs w:val="21"/>
              </w:rPr>
            </w:pPr>
          </w:p>
        </w:tc>
        <w:tc>
          <w:tcPr>
            <w:tcW w:w="195" w:type="pct"/>
            <w:vMerge w:val="continue"/>
            <w:shd w:val="clear" w:color="auto" w:fill="auto"/>
            <w:vAlign w:val="center"/>
          </w:tcPr>
          <w:p w14:paraId="0D6217E5">
            <w:pPr>
              <w:adjustRightInd w:val="0"/>
              <w:snapToGrid w:val="0"/>
              <w:spacing w:line="320" w:lineRule="exact"/>
              <w:jc w:val="center"/>
              <w:rPr>
                <w:rFonts w:eastAsia="仿宋_GB2312"/>
                <w:bCs/>
                <w:color w:val="auto"/>
                <w:szCs w:val="21"/>
              </w:rPr>
            </w:pPr>
          </w:p>
        </w:tc>
        <w:tc>
          <w:tcPr>
            <w:tcW w:w="193" w:type="pct"/>
            <w:vMerge w:val="continue"/>
            <w:shd w:val="clear" w:color="auto" w:fill="auto"/>
            <w:vAlign w:val="center"/>
          </w:tcPr>
          <w:p w14:paraId="5865AC1F">
            <w:pPr>
              <w:adjustRightInd w:val="0"/>
              <w:snapToGrid w:val="0"/>
              <w:spacing w:line="320" w:lineRule="exact"/>
              <w:jc w:val="center"/>
              <w:rPr>
                <w:rFonts w:eastAsia="仿宋_GB2312"/>
                <w:bCs/>
                <w:color w:val="auto"/>
                <w:szCs w:val="21"/>
              </w:rPr>
            </w:pPr>
          </w:p>
        </w:tc>
      </w:tr>
      <w:tr w14:paraId="6E4BD72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295" w:type="pct"/>
            <w:vMerge w:val="continue"/>
            <w:shd w:val="clear" w:color="auto" w:fill="auto"/>
            <w:vAlign w:val="center"/>
          </w:tcPr>
          <w:p w14:paraId="25E3A4B9">
            <w:pPr>
              <w:adjustRightInd w:val="0"/>
              <w:snapToGrid w:val="0"/>
              <w:spacing w:line="320" w:lineRule="exact"/>
              <w:jc w:val="center"/>
              <w:rPr>
                <w:rFonts w:eastAsia="仿宋_GB2312"/>
                <w:bCs/>
                <w:color w:val="auto"/>
                <w:szCs w:val="21"/>
              </w:rPr>
            </w:pPr>
          </w:p>
        </w:tc>
        <w:tc>
          <w:tcPr>
            <w:tcW w:w="375" w:type="pct"/>
            <w:vMerge w:val="continue"/>
            <w:shd w:val="clear" w:color="auto" w:fill="auto"/>
            <w:vAlign w:val="center"/>
          </w:tcPr>
          <w:p w14:paraId="40223BE6">
            <w:pPr>
              <w:jc w:val="center"/>
              <w:rPr>
                <w:rFonts w:eastAsia="仿宋_GB2312"/>
                <w:bCs/>
                <w:color w:val="auto"/>
                <w:szCs w:val="21"/>
              </w:rPr>
            </w:pPr>
          </w:p>
        </w:tc>
        <w:tc>
          <w:tcPr>
            <w:tcW w:w="396" w:type="pct"/>
            <w:shd w:val="clear" w:color="auto" w:fill="auto"/>
            <w:vAlign w:val="center"/>
          </w:tcPr>
          <w:p w14:paraId="7C60BDD8">
            <w:pPr>
              <w:adjustRightInd w:val="0"/>
              <w:snapToGrid w:val="0"/>
              <w:spacing w:line="320" w:lineRule="exact"/>
              <w:jc w:val="center"/>
              <w:rPr>
                <w:rFonts w:eastAsia="仿宋_GB2312"/>
                <w:color w:val="auto"/>
                <w:szCs w:val="21"/>
              </w:rPr>
            </w:pPr>
            <w:r>
              <w:rPr>
                <w:rFonts w:eastAsia="仿宋_GB2312"/>
                <w:color w:val="auto"/>
                <w:szCs w:val="21"/>
              </w:rPr>
              <w:t>VOCs</w:t>
            </w:r>
          </w:p>
        </w:tc>
        <w:tc>
          <w:tcPr>
            <w:tcW w:w="338" w:type="pct"/>
            <w:shd w:val="clear" w:color="auto" w:fill="auto"/>
            <w:vAlign w:val="center"/>
          </w:tcPr>
          <w:p w14:paraId="265FF8C3">
            <w:pPr>
              <w:adjustRightInd w:val="0"/>
              <w:snapToGrid w:val="0"/>
              <w:spacing w:line="320" w:lineRule="exact"/>
              <w:jc w:val="center"/>
              <w:rPr>
                <w:rFonts w:hint="default" w:eastAsia="仿宋_GB2312"/>
                <w:bCs/>
                <w:color w:val="auto"/>
                <w:szCs w:val="21"/>
                <w:lang w:val="en-US" w:eastAsia="zh-CN"/>
              </w:rPr>
            </w:pPr>
            <w:r>
              <w:rPr>
                <w:rFonts w:hint="eastAsia" w:eastAsia="仿宋_GB2312"/>
                <w:bCs/>
                <w:color w:val="auto"/>
                <w:szCs w:val="21"/>
                <w:lang w:val="en-US" w:eastAsia="zh-CN"/>
              </w:rPr>
              <w:t>91.17</w:t>
            </w:r>
          </w:p>
        </w:tc>
        <w:tc>
          <w:tcPr>
            <w:tcW w:w="283" w:type="pct"/>
            <w:shd w:val="clear" w:color="auto" w:fill="auto"/>
            <w:vAlign w:val="center"/>
          </w:tcPr>
          <w:p w14:paraId="4AD71CE4">
            <w:pPr>
              <w:adjustRightInd w:val="0"/>
              <w:snapToGrid w:val="0"/>
              <w:spacing w:line="320" w:lineRule="exact"/>
              <w:jc w:val="center"/>
              <w:rPr>
                <w:rFonts w:hint="default" w:eastAsia="仿宋_GB2312"/>
                <w:bCs/>
                <w:color w:val="auto"/>
                <w:szCs w:val="21"/>
                <w:lang w:val="en-US" w:eastAsia="zh-CN"/>
              </w:rPr>
            </w:pPr>
            <w:r>
              <w:rPr>
                <w:rFonts w:hint="eastAsia" w:eastAsia="仿宋_GB2312"/>
                <w:bCs/>
                <w:color w:val="auto"/>
                <w:szCs w:val="21"/>
                <w:lang w:val="en-US" w:eastAsia="zh-CN"/>
              </w:rPr>
              <w:t>5.47</w:t>
            </w:r>
          </w:p>
        </w:tc>
        <w:tc>
          <w:tcPr>
            <w:tcW w:w="338" w:type="pct"/>
            <w:shd w:val="clear" w:color="auto" w:fill="auto"/>
            <w:vAlign w:val="center"/>
          </w:tcPr>
          <w:p w14:paraId="397C3EAE">
            <w:pPr>
              <w:adjustRightInd w:val="0"/>
              <w:snapToGrid w:val="0"/>
              <w:spacing w:line="320" w:lineRule="exact"/>
              <w:jc w:val="center"/>
              <w:rPr>
                <w:rFonts w:hint="default" w:eastAsia="仿宋_GB2312"/>
                <w:color w:val="auto"/>
                <w:kern w:val="0"/>
                <w:szCs w:val="21"/>
                <w:lang w:val="en-US" w:eastAsia="zh-CN"/>
              </w:rPr>
            </w:pPr>
            <w:r>
              <w:rPr>
                <w:rFonts w:hint="eastAsia" w:eastAsia="仿宋_GB2312"/>
                <w:color w:val="auto"/>
                <w:kern w:val="0"/>
                <w:szCs w:val="21"/>
                <w:lang w:val="en-US" w:eastAsia="zh-CN"/>
              </w:rPr>
              <w:t>3.511</w:t>
            </w:r>
          </w:p>
        </w:tc>
        <w:tc>
          <w:tcPr>
            <w:tcW w:w="534" w:type="pct"/>
            <w:vMerge w:val="continue"/>
            <w:shd w:val="clear" w:color="auto" w:fill="auto"/>
            <w:vAlign w:val="center"/>
          </w:tcPr>
          <w:p w14:paraId="6E7D699B">
            <w:pPr>
              <w:adjustRightInd w:val="0"/>
              <w:snapToGrid w:val="0"/>
              <w:spacing w:line="320" w:lineRule="exact"/>
              <w:jc w:val="center"/>
              <w:rPr>
                <w:rFonts w:eastAsia="仿宋_GB2312"/>
                <w:color w:val="FF0000"/>
                <w:kern w:val="0"/>
                <w:szCs w:val="21"/>
                <w:lang w:bidi="ar"/>
              </w:rPr>
            </w:pPr>
          </w:p>
        </w:tc>
        <w:tc>
          <w:tcPr>
            <w:tcW w:w="291" w:type="pct"/>
            <w:shd w:val="clear" w:color="auto" w:fill="auto"/>
            <w:vAlign w:val="center"/>
          </w:tcPr>
          <w:p w14:paraId="5C495BB0">
            <w:pPr>
              <w:adjustRightInd w:val="0"/>
              <w:snapToGrid w:val="0"/>
              <w:spacing w:line="320" w:lineRule="exact"/>
              <w:jc w:val="center"/>
              <w:rPr>
                <w:rFonts w:eastAsia="仿宋_GB2312"/>
                <w:bCs/>
                <w:color w:val="auto"/>
                <w:szCs w:val="21"/>
              </w:rPr>
            </w:pPr>
            <w:r>
              <w:rPr>
                <w:rFonts w:eastAsia="仿宋_GB2312"/>
                <w:bCs/>
                <w:color w:val="auto"/>
                <w:szCs w:val="21"/>
              </w:rPr>
              <w:t>9</w:t>
            </w:r>
            <w:r>
              <w:rPr>
                <w:rFonts w:hint="eastAsia" w:eastAsia="仿宋_GB2312"/>
                <w:bCs/>
                <w:color w:val="auto"/>
                <w:szCs w:val="21"/>
              </w:rPr>
              <w:t>5</w:t>
            </w:r>
          </w:p>
        </w:tc>
        <w:tc>
          <w:tcPr>
            <w:tcW w:w="850" w:type="dxa"/>
            <w:shd w:val="clear" w:color="auto" w:fill="auto"/>
            <w:vAlign w:val="center"/>
          </w:tcPr>
          <w:p w14:paraId="054F5CDC">
            <w:pPr>
              <w:adjustRightInd w:val="0"/>
              <w:snapToGrid w:val="0"/>
              <w:spacing w:line="320" w:lineRule="exact"/>
              <w:jc w:val="center"/>
              <w:rPr>
                <w:rFonts w:hint="eastAsia"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4.6</w:t>
            </w:r>
          </w:p>
        </w:tc>
        <w:tc>
          <w:tcPr>
            <w:tcW w:w="870" w:type="dxa"/>
            <w:shd w:val="clear" w:color="auto" w:fill="auto"/>
            <w:vAlign w:val="center"/>
          </w:tcPr>
          <w:p w14:paraId="50AA294E">
            <w:pPr>
              <w:adjustRightInd w:val="0"/>
              <w:snapToGrid w:val="0"/>
              <w:spacing w:line="320" w:lineRule="exact"/>
              <w:jc w:val="center"/>
              <w:rPr>
                <w:rFonts w:hint="eastAsia"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0.273</w:t>
            </w:r>
          </w:p>
        </w:tc>
        <w:tc>
          <w:tcPr>
            <w:tcW w:w="996" w:type="dxa"/>
            <w:shd w:val="clear" w:color="auto" w:fill="auto"/>
            <w:vAlign w:val="center"/>
          </w:tcPr>
          <w:p w14:paraId="2AFF76D2">
            <w:pPr>
              <w:adjustRightInd w:val="0"/>
              <w:snapToGrid w:val="0"/>
              <w:spacing w:line="320" w:lineRule="exact"/>
              <w:jc w:val="center"/>
              <w:rPr>
                <w:rFonts w:hint="eastAsia"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0.176</w:t>
            </w:r>
          </w:p>
        </w:tc>
        <w:tc>
          <w:tcPr>
            <w:tcW w:w="328" w:type="pct"/>
            <w:shd w:val="clear" w:color="auto" w:fill="auto"/>
            <w:vAlign w:val="center"/>
          </w:tcPr>
          <w:p w14:paraId="257E15D5">
            <w:pPr>
              <w:adjustRightInd w:val="0"/>
              <w:snapToGrid w:val="0"/>
              <w:spacing w:line="320" w:lineRule="exact"/>
              <w:jc w:val="center"/>
              <w:rPr>
                <w:rFonts w:eastAsia="仿宋_GB2312"/>
                <w:color w:val="auto"/>
                <w:szCs w:val="21"/>
              </w:rPr>
            </w:pPr>
            <w:r>
              <w:rPr>
                <w:rFonts w:eastAsia="仿宋_GB2312"/>
                <w:b/>
                <w:bCs/>
                <w:color w:val="auto"/>
                <w:szCs w:val="21"/>
              </w:rPr>
              <w:t>/</w:t>
            </w:r>
          </w:p>
        </w:tc>
        <w:tc>
          <w:tcPr>
            <w:tcW w:w="300" w:type="pct"/>
            <w:shd w:val="clear" w:color="auto" w:fill="auto"/>
            <w:vAlign w:val="center"/>
          </w:tcPr>
          <w:p w14:paraId="7118410D">
            <w:pPr>
              <w:adjustRightInd w:val="0"/>
              <w:snapToGrid w:val="0"/>
              <w:spacing w:line="320" w:lineRule="exact"/>
              <w:jc w:val="center"/>
              <w:rPr>
                <w:rFonts w:eastAsia="仿宋_GB2312"/>
                <w:color w:val="auto"/>
                <w:szCs w:val="21"/>
              </w:rPr>
            </w:pPr>
            <w:r>
              <w:rPr>
                <w:rFonts w:eastAsia="仿宋_GB2312"/>
                <w:b/>
                <w:bCs/>
                <w:color w:val="auto"/>
                <w:szCs w:val="21"/>
              </w:rPr>
              <w:t>/</w:t>
            </w:r>
          </w:p>
        </w:tc>
        <w:tc>
          <w:tcPr>
            <w:tcW w:w="197" w:type="pct"/>
            <w:vMerge w:val="continue"/>
            <w:shd w:val="clear" w:color="auto" w:fill="auto"/>
            <w:vAlign w:val="center"/>
          </w:tcPr>
          <w:p w14:paraId="4A848429">
            <w:pPr>
              <w:adjustRightInd w:val="0"/>
              <w:snapToGrid w:val="0"/>
              <w:spacing w:line="320" w:lineRule="exact"/>
              <w:jc w:val="center"/>
              <w:rPr>
                <w:rFonts w:eastAsia="仿宋_GB2312"/>
                <w:bCs/>
                <w:color w:val="FF0000"/>
                <w:szCs w:val="21"/>
              </w:rPr>
            </w:pPr>
          </w:p>
        </w:tc>
        <w:tc>
          <w:tcPr>
            <w:tcW w:w="195" w:type="pct"/>
            <w:vMerge w:val="continue"/>
            <w:shd w:val="clear" w:color="auto" w:fill="auto"/>
            <w:vAlign w:val="center"/>
          </w:tcPr>
          <w:p w14:paraId="58CEFD39">
            <w:pPr>
              <w:adjustRightInd w:val="0"/>
              <w:snapToGrid w:val="0"/>
              <w:spacing w:line="320" w:lineRule="exact"/>
              <w:jc w:val="center"/>
              <w:rPr>
                <w:rFonts w:eastAsia="仿宋_GB2312"/>
                <w:bCs/>
                <w:color w:val="FF0000"/>
                <w:szCs w:val="21"/>
              </w:rPr>
            </w:pPr>
          </w:p>
        </w:tc>
        <w:tc>
          <w:tcPr>
            <w:tcW w:w="193" w:type="pct"/>
            <w:vMerge w:val="continue"/>
            <w:shd w:val="clear" w:color="auto" w:fill="auto"/>
            <w:vAlign w:val="center"/>
          </w:tcPr>
          <w:p w14:paraId="17D555DE">
            <w:pPr>
              <w:adjustRightInd w:val="0"/>
              <w:snapToGrid w:val="0"/>
              <w:spacing w:line="320" w:lineRule="exact"/>
              <w:jc w:val="center"/>
              <w:rPr>
                <w:rFonts w:eastAsia="仿宋_GB2312"/>
                <w:bCs/>
                <w:color w:val="FF0000"/>
                <w:szCs w:val="21"/>
              </w:rPr>
            </w:pPr>
          </w:p>
        </w:tc>
      </w:tr>
      <w:tr w14:paraId="3F8176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295" w:type="pct"/>
            <w:vMerge w:val="restart"/>
            <w:shd w:val="clear" w:color="auto" w:fill="auto"/>
            <w:vAlign w:val="center"/>
          </w:tcPr>
          <w:p w14:paraId="6E8AB5A8">
            <w:pPr>
              <w:adjustRightInd w:val="0"/>
              <w:snapToGrid w:val="0"/>
              <w:spacing w:line="320" w:lineRule="exact"/>
              <w:jc w:val="center"/>
              <w:rPr>
                <w:rFonts w:hint="default" w:eastAsia="仿宋_GB2312"/>
                <w:bCs/>
                <w:color w:val="auto"/>
                <w:szCs w:val="21"/>
                <w:lang w:val="en-US" w:eastAsia="zh-CN"/>
              </w:rPr>
            </w:pPr>
            <w:r>
              <w:rPr>
                <w:rFonts w:hint="eastAsia" w:eastAsia="仿宋_GB2312"/>
                <w:bCs/>
                <w:color w:val="auto"/>
                <w:szCs w:val="21"/>
                <w:lang w:val="en-US" w:eastAsia="zh-CN"/>
              </w:rPr>
              <w:t>DA001</w:t>
            </w:r>
          </w:p>
        </w:tc>
        <w:tc>
          <w:tcPr>
            <w:tcW w:w="375" w:type="pct"/>
            <w:vMerge w:val="restart"/>
            <w:shd w:val="clear" w:color="auto" w:fill="auto"/>
            <w:vAlign w:val="center"/>
          </w:tcPr>
          <w:p w14:paraId="5A67E5D7">
            <w:pPr>
              <w:jc w:val="center"/>
              <w:rPr>
                <w:rFonts w:eastAsia="仿宋_GB2312"/>
                <w:color w:val="auto"/>
                <w:szCs w:val="21"/>
              </w:rPr>
            </w:pPr>
            <w:r>
              <w:rPr>
                <w:rFonts w:eastAsia="仿宋_GB2312"/>
                <w:color w:val="auto"/>
                <w:szCs w:val="21"/>
              </w:rPr>
              <w:t>1</w:t>
            </w:r>
            <w:r>
              <w:rPr>
                <w:rFonts w:hint="eastAsia" w:eastAsia="仿宋_GB2312"/>
                <w:color w:val="auto"/>
                <w:szCs w:val="21"/>
                <w:lang w:val="en-US" w:eastAsia="zh-CN"/>
              </w:rPr>
              <w:t>2</w:t>
            </w:r>
            <w:r>
              <w:rPr>
                <w:rFonts w:eastAsia="仿宋_GB2312"/>
                <w:color w:val="auto"/>
                <w:szCs w:val="21"/>
              </w:rPr>
              <w:t>0000</w:t>
            </w:r>
          </w:p>
        </w:tc>
        <w:tc>
          <w:tcPr>
            <w:tcW w:w="396" w:type="pct"/>
            <w:shd w:val="clear" w:color="auto" w:fill="auto"/>
            <w:vAlign w:val="center"/>
          </w:tcPr>
          <w:p w14:paraId="5EE95407">
            <w:pPr>
              <w:adjustRightInd w:val="0"/>
              <w:snapToGrid w:val="0"/>
              <w:spacing w:line="320" w:lineRule="exact"/>
              <w:jc w:val="center"/>
              <w:rPr>
                <w:rFonts w:eastAsia="仿宋_GB2312"/>
                <w:bCs/>
                <w:color w:val="auto"/>
                <w:szCs w:val="21"/>
              </w:rPr>
            </w:pPr>
            <w:r>
              <w:rPr>
                <w:rFonts w:eastAsia="仿宋_GB2312"/>
                <w:bCs/>
                <w:color w:val="auto"/>
                <w:szCs w:val="21"/>
              </w:rPr>
              <w:t>非甲烷总烃</w:t>
            </w:r>
          </w:p>
        </w:tc>
        <w:tc>
          <w:tcPr>
            <w:tcW w:w="338" w:type="pct"/>
            <w:shd w:val="clear" w:color="auto" w:fill="auto"/>
            <w:vAlign w:val="center"/>
          </w:tcPr>
          <w:p w14:paraId="3849721A">
            <w:pPr>
              <w:adjustRightInd w:val="0"/>
              <w:snapToGrid w:val="0"/>
              <w:spacing w:line="320" w:lineRule="exact"/>
              <w:jc w:val="center"/>
              <w:rPr>
                <w:rFonts w:hint="default" w:eastAsia="仿宋_GB2312"/>
                <w:bCs/>
                <w:color w:val="auto"/>
                <w:szCs w:val="21"/>
                <w:lang w:val="en-US" w:eastAsia="zh-CN"/>
              </w:rPr>
            </w:pPr>
            <w:r>
              <w:rPr>
                <w:rFonts w:hint="eastAsia" w:eastAsia="仿宋_GB2312"/>
                <w:bCs/>
                <w:color w:val="auto"/>
                <w:szCs w:val="21"/>
                <w:lang w:val="en-US" w:eastAsia="zh-CN"/>
              </w:rPr>
              <w:t>0.625</w:t>
            </w:r>
          </w:p>
        </w:tc>
        <w:tc>
          <w:tcPr>
            <w:tcW w:w="283" w:type="pct"/>
            <w:shd w:val="clear" w:color="auto" w:fill="auto"/>
            <w:vAlign w:val="center"/>
          </w:tcPr>
          <w:p w14:paraId="74AB15F3">
            <w:pPr>
              <w:adjustRightInd w:val="0"/>
              <w:snapToGrid w:val="0"/>
              <w:spacing w:line="320" w:lineRule="exact"/>
              <w:jc w:val="center"/>
              <w:rPr>
                <w:rFonts w:hint="default" w:eastAsia="仿宋_GB2312"/>
                <w:bCs/>
                <w:color w:val="auto"/>
                <w:szCs w:val="21"/>
                <w:lang w:val="en-US" w:eastAsia="zh-CN"/>
              </w:rPr>
            </w:pPr>
            <w:r>
              <w:rPr>
                <w:rFonts w:hint="eastAsia" w:eastAsia="仿宋_GB2312"/>
                <w:bCs/>
                <w:color w:val="auto"/>
                <w:szCs w:val="21"/>
                <w:lang w:val="en-US" w:eastAsia="zh-CN"/>
              </w:rPr>
              <w:t>0.075</w:t>
            </w:r>
          </w:p>
        </w:tc>
        <w:tc>
          <w:tcPr>
            <w:tcW w:w="338" w:type="pct"/>
            <w:shd w:val="clear" w:color="auto" w:fill="auto"/>
            <w:vAlign w:val="center"/>
          </w:tcPr>
          <w:p w14:paraId="6276088E">
            <w:pPr>
              <w:adjustRightInd w:val="0"/>
              <w:snapToGrid w:val="0"/>
              <w:spacing w:line="320" w:lineRule="exact"/>
              <w:jc w:val="center"/>
              <w:rPr>
                <w:rFonts w:hint="default" w:eastAsia="仿宋_GB2312"/>
                <w:bCs/>
                <w:color w:val="auto"/>
                <w:szCs w:val="21"/>
                <w:lang w:val="en-US" w:eastAsia="zh-CN"/>
              </w:rPr>
            </w:pPr>
            <w:r>
              <w:rPr>
                <w:rFonts w:hint="eastAsia" w:eastAsia="仿宋_GB2312"/>
                <w:bCs/>
                <w:color w:val="auto"/>
                <w:szCs w:val="21"/>
                <w:lang w:val="en-US" w:eastAsia="zh-CN"/>
              </w:rPr>
              <w:t>0.63</w:t>
            </w:r>
          </w:p>
        </w:tc>
        <w:tc>
          <w:tcPr>
            <w:tcW w:w="534" w:type="pct"/>
            <w:vMerge w:val="restart"/>
            <w:shd w:val="clear" w:color="auto" w:fill="auto"/>
            <w:vAlign w:val="center"/>
          </w:tcPr>
          <w:p w14:paraId="65332466">
            <w:pPr>
              <w:jc w:val="center"/>
              <w:rPr>
                <w:rFonts w:eastAsia="仿宋_GB2312"/>
                <w:color w:val="FF0000"/>
                <w:szCs w:val="21"/>
              </w:rPr>
            </w:pPr>
            <w:r>
              <w:rPr>
                <w:rFonts w:eastAsia="仿宋_GB2312"/>
                <w:color w:val="auto"/>
                <w:szCs w:val="21"/>
              </w:rPr>
              <w:t>稀酸吸收+碱吸收+除雾+光氧离子催化氧化+活性炭吸附</w:t>
            </w:r>
          </w:p>
        </w:tc>
        <w:tc>
          <w:tcPr>
            <w:tcW w:w="291" w:type="pct"/>
            <w:shd w:val="clear" w:color="auto" w:fill="auto"/>
            <w:vAlign w:val="center"/>
          </w:tcPr>
          <w:p w14:paraId="76083DB6">
            <w:pPr>
              <w:jc w:val="center"/>
              <w:rPr>
                <w:rFonts w:eastAsia="仿宋_GB2312"/>
                <w:color w:val="auto"/>
                <w:szCs w:val="21"/>
              </w:rPr>
            </w:pPr>
            <w:r>
              <w:rPr>
                <w:rFonts w:hint="eastAsia" w:eastAsia="仿宋_GB2312"/>
                <w:bCs/>
                <w:color w:val="auto"/>
                <w:szCs w:val="21"/>
              </w:rPr>
              <w:t>90</w:t>
            </w:r>
          </w:p>
        </w:tc>
        <w:tc>
          <w:tcPr>
            <w:tcW w:w="291" w:type="pct"/>
            <w:shd w:val="clear" w:color="auto" w:fill="auto"/>
            <w:vAlign w:val="center"/>
          </w:tcPr>
          <w:p w14:paraId="35345518">
            <w:pPr>
              <w:adjustRightInd w:val="0"/>
              <w:snapToGrid w:val="0"/>
              <w:spacing w:line="320" w:lineRule="exact"/>
              <w:jc w:val="center"/>
              <w:rPr>
                <w:rFonts w:hint="default" w:eastAsia="仿宋_GB2312"/>
                <w:bCs/>
                <w:color w:val="auto"/>
                <w:szCs w:val="21"/>
                <w:lang w:val="en-US" w:eastAsia="zh-CN"/>
              </w:rPr>
            </w:pPr>
            <w:r>
              <w:rPr>
                <w:rFonts w:hint="eastAsia" w:eastAsia="仿宋_GB2312"/>
                <w:color w:val="auto"/>
                <w:szCs w:val="21"/>
              </w:rPr>
              <w:t>0.</w:t>
            </w:r>
            <w:r>
              <w:rPr>
                <w:rFonts w:hint="eastAsia" w:eastAsia="仿宋_GB2312"/>
                <w:color w:val="auto"/>
                <w:szCs w:val="21"/>
                <w:lang w:val="en-US" w:eastAsia="zh-CN"/>
              </w:rPr>
              <w:t>06</w:t>
            </w:r>
          </w:p>
        </w:tc>
        <w:tc>
          <w:tcPr>
            <w:tcW w:w="297" w:type="pct"/>
            <w:shd w:val="clear" w:color="auto" w:fill="auto"/>
            <w:vAlign w:val="center"/>
          </w:tcPr>
          <w:p w14:paraId="33B15BCD">
            <w:pPr>
              <w:adjustRightInd w:val="0"/>
              <w:snapToGrid w:val="0"/>
              <w:spacing w:line="320" w:lineRule="exact"/>
              <w:jc w:val="center"/>
              <w:rPr>
                <w:rFonts w:hint="default" w:eastAsia="仿宋_GB2312"/>
                <w:bCs/>
                <w:color w:val="auto"/>
                <w:szCs w:val="21"/>
                <w:lang w:val="en-US" w:eastAsia="zh-CN"/>
              </w:rPr>
            </w:pPr>
            <w:r>
              <w:rPr>
                <w:rFonts w:hint="eastAsia" w:eastAsia="仿宋_GB2312"/>
                <w:bCs/>
                <w:color w:val="auto"/>
                <w:szCs w:val="21"/>
              </w:rPr>
              <w:t>0.</w:t>
            </w:r>
            <w:r>
              <w:rPr>
                <w:rFonts w:hint="eastAsia" w:eastAsia="仿宋_GB2312"/>
                <w:bCs/>
                <w:color w:val="auto"/>
                <w:szCs w:val="21"/>
                <w:lang w:val="en-US" w:eastAsia="zh-CN"/>
              </w:rPr>
              <w:t>0075</w:t>
            </w:r>
          </w:p>
        </w:tc>
        <w:tc>
          <w:tcPr>
            <w:tcW w:w="341" w:type="pct"/>
            <w:shd w:val="clear" w:color="auto" w:fill="auto"/>
            <w:vAlign w:val="center"/>
          </w:tcPr>
          <w:p w14:paraId="361B9865">
            <w:pPr>
              <w:adjustRightInd w:val="0"/>
              <w:snapToGrid w:val="0"/>
              <w:spacing w:line="320" w:lineRule="exact"/>
              <w:jc w:val="center"/>
              <w:rPr>
                <w:rFonts w:hint="default" w:eastAsia="仿宋_GB2312"/>
                <w:bCs/>
                <w:color w:val="auto"/>
                <w:szCs w:val="21"/>
                <w:lang w:val="en-US" w:eastAsia="zh-CN"/>
              </w:rPr>
            </w:pPr>
            <w:r>
              <w:rPr>
                <w:rFonts w:eastAsia="仿宋_GB2312"/>
                <w:bCs/>
                <w:color w:val="auto"/>
                <w:szCs w:val="21"/>
              </w:rPr>
              <w:t>0.</w:t>
            </w:r>
            <w:r>
              <w:rPr>
                <w:rFonts w:hint="eastAsia" w:eastAsia="仿宋_GB2312"/>
                <w:bCs/>
                <w:color w:val="auto"/>
                <w:szCs w:val="21"/>
                <w:lang w:val="en-US" w:eastAsia="zh-CN"/>
              </w:rPr>
              <w:t>06</w:t>
            </w:r>
          </w:p>
        </w:tc>
        <w:tc>
          <w:tcPr>
            <w:tcW w:w="328" w:type="pct"/>
            <w:shd w:val="clear" w:color="auto" w:fill="auto"/>
            <w:vAlign w:val="center"/>
          </w:tcPr>
          <w:p w14:paraId="5BB23B1F">
            <w:pPr>
              <w:spacing w:line="320" w:lineRule="exact"/>
              <w:jc w:val="center"/>
              <w:rPr>
                <w:rFonts w:eastAsia="仿宋_GB2312"/>
                <w:color w:val="auto"/>
                <w:szCs w:val="21"/>
              </w:rPr>
            </w:pPr>
            <w:r>
              <w:rPr>
                <w:rFonts w:eastAsia="仿宋_GB2312"/>
                <w:color w:val="auto"/>
                <w:szCs w:val="21"/>
              </w:rPr>
              <w:t>60</w:t>
            </w:r>
          </w:p>
        </w:tc>
        <w:tc>
          <w:tcPr>
            <w:tcW w:w="300" w:type="pct"/>
            <w:shd w:val="clear" w:color="auto" w:fill="auto"/>
            <w:vAlign w:val="center"/>
          </w:tcPr>
          <w:p w14:paraId="5F930BB2">
            <w:pPr>
              <w:spacing w:line="320" w:lineRule="exact"/>
              <w:jc w:val="center"/>
              <w:rPr>
                <w:rFonts w:hint="eastAsia" w:eastAsia="仿宋_GB2312"/>
                <w:color w:val="auto"/>
                <w:szCs w:val="21"/>
                <w:lang w:eastAsia="zh-CN"/>
              </w:rPr>
            </w:pPr>
            <w:r>
              <w:rPr>
                <w:rFonts w:hint="eastAsia" w:eastAsia="仿宋_GB2312"/>
                <w:color w:val="auto"/>
                <w:szCs w:val="21"/>
                <w:lang w:val="en-US" w:eastAsia="zh-CN"/>
              </w:rPr>
              <w:t>3</w:t>
            </w:r>
          </w:p>
        </w:tc>
        <w:tc>
          <w:tcPr>
            <w:tcW w:w="197" w:type="pct"/>
            <w:vMerge w:val="restart"/>
            <w:shd w:val="clear" w:color="auto" w:fill="auto"/>
            <w:vAlign w:val="center"/>
          </w:tcPr>
          <w:p w14:paraId="27349A09">
            <w:pPr>
              <w:adjustRightInd w:val="0"/>
              <w:snapToGrid w:val="0"/>
              <w:spacing w:line="320" w:lineRule="exact"/>
              <w:jc w:val="center"/>
              <w:rPr>
                <w:rFonts w:eastAsia="仿宋_GB2312"/>
                <w:bCs/>
                <w:color w:val="auto"/>
                <w:szCs w:val="21"/>
              </w:rPr>
            </w:pPr>
            <w:r>
              <w:rPr>
                <w:rFonts w:eastAsia="仿宋_GB2312"/>
                <w:bCs/>
                <w:color w:val="auto"/>
                <w:szCs w:val="21"/>
              </w:rPr>
              <w:t>20</w:t>
            </w:r>
          </w:p>
        </w:tc>
        <w:tc>
          <w:tcPr>
            <w:tcW w:w="195" w:type="pct"/>
            <w:vMerge w:val="restart"/>
            <w:shd w:val="clear" w:color="auto" w:fill="auto"/>
            <w:vAlign w:val="center"/>
          </w:tcPr>
          <w:p w14:paraId="2806141A">
            <w:pPr>
              <w:adjustRightInd w:val="0"/>
              <w:snapToGrid w:val="0"/>
              <w:spacing w:line="320" w:lineRule="exact"/>
              <w:jc w:val="center"/>
              <w:rPr>
                <w:rFonts w:eastAsia="仿宋_GB2312"/>
                <w:bCs/>
                <w:color w:val="auto"/>
                <w:szCs w:val="21"/>
              </w:rPr>
            </w:pPr>
            <w:r>
              <w:rPr>
                <w:rFonts w:eastAsia="仿宋_GB2312"/>
                <w:bCs/>
                <w:color w:val="auto"/>
                <w:szCs w:val="21"/>
              </w:rPr>
              <w:t>2</w:t>
            </w:r>
          </w:p>
        </w:tc>
        <w:tc>
          <w:tcPr>
            <w:tcW w:w="193" w:type="pct"/>
            <w:vMerge w:val="restart"/>
            <w:shd w:val="clear" w:color="auto" w:fill="auto"/>
            <w:vAlign w:val="center"/>
          </w:tcPr>
          <w:p w14:paraId="0C3DF234">
            <w:pPr>
              <w:adjustRightInd w:val="0"/>
              <w:snapToGrid w:val="0"/>
              <w:spacing w:line="320" w:lineRule="exact"/>
              <w:jc w:val="center"/>
              <w:rPr>
                <w:rFonts w:eastAsia="仿宋_GB2312"/>
                <w:bCs/>
                <w:color w:val="auto"/>
                <w:szCs w:val="21"/>
              </w:rPr>
            </w:pPr>
            <w:r>
              <w:rPr>
                <w:rFonts w:eastAsia="仿宋_GB2312"/>
                <w:bCs/>
                <w:color w:val="auto"/>
                <w:szCs w:val="21"/>
              </w:rPr>
              <w:t>25</w:t>
            </w:r>
          </w:p>
        </w:tc>
      </w:tr>
      <w:tr w14:paraId="79B0E9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295" w:type="pct"/>
            <w:vMerge w:val="continue"/>
            <w:shd w:val="clear" w:color="auto" w:fill="auto"/>
            <w:vAlign w:val="center"/>
          </w:tcPr>
          <w:p w14:paraId="64B2B71E">
            <w:pPr>
              <w:adjustRightInd w:val="0"/>
              <w:snapToGrid w:val="0"/>
              <w:spacing w:line="320" w:lineRule="exact"/>
              <w:jc w:val="center"/>
              <w:rPr>
                <w:rFonts w:eastAsia="仿宋_GB2312"/>
                <w:bCs/>
                <w:color w:val="FF0000"/>
                <w:szCs w:val="21"/>
              </w:rPr>
            </w:pPr>
          </w:p>
        </w:tc>
        <w:tc>
          <w:tcPr>
            <w:tcW w:w="375" w:type="pct"/>
            <w:vMerge w:val="continue"/>
            <w:shd w:val="clear" w:color="auto" w:fill="auto"/>
            <w:vAlign w:val="center"/>
          </w:tcPr>
          <w:p w14:paraId="3727E5CC">
            <w:pPr>
              <w:jc w:val="center"/>
              <w:rPr>
                <w:rFonts w:eastAsia="仿宋_GB2312"/>
                <w:color w:val="FF0000"/>
                <w:szCs w:val="21"/>
              </w:rPr>
            </w:pPr>
          </w:p>
        </w:tc>
        <w:tc>
          <w:tcPr>
            <w:tcW w:w="396" w:type="pct"/>
            <w:shd w:val="clear" w:color="auto" w:fill="auto"/>
            <w:vAlign w:val="center"/>
          </w:tcPr>
          <w:p w14:paraId="10A78C2B">
            <w:pPr>
              <w:adjustRightInd w:val="0"/>
              <w:snapToGrid w:val="0"/>
              <w:spacing w:line="320" w:lineRule="exact"/>
              <w:jc w:val="center"/>
              <w:rPr>
                <w:rFonts w:eastAsia="仿宋_GB2312"/>
                <w:bCs/>
                <w:color w:val="auto"/>
                <w:szCs w:val="21"/>
              </w:rPr>
            </w:pPr>
            <w:r>
              <w:rPr>
                <w:rFonts w:eastAsia="仿宋_GB2312"/>
                <w:bCs/>
                <w:color w:val="auto"/>
                <w:szCs w:val="21"/>
              </w:rPr>
              <w:t>VOCs</w:t>
            </w:r>
          </w:p>
        </w:tc>
        <w:tc>
          <w:tcPr>
            <w:tcW w:w="338" w:type="pct"/>
            <w:shd w:val="clear" w:color="auto" w:fill="auto"/>
            <w:vAlign w:val="center"/>
          </w:tcPr>
          <w:p w14:paraId="06B904EC">
            <w:pPr>
              <w:adjustRightInd w:val="0"/>
              <w:snapToGrid w:val="0"/>
              <w:spacing w:line="320" w:lineRule="exact"/>
              <w:jc w:val="center"/>
              <w:rPr>
                <w:rFonts w:hint="default" w:eastAsia="仿宋_GB2312"/>
                <w:bCs/>
                <w:color w:val="auto"/>
                <w:szCs w:val="21"/>
                <w:lang w:val="en-US" w:eastAsia="zh-CN"/>
              </w:rPr>
            </w:pPr>
            <w:r>
              <w:rPr>
                <w:rFonts w:hint="eastAsia" w:eastAsia="仿宋_GB2312"/>
                <w:bCs/>
                <w:color w:val="auto"/>
                <w:szCs w:val="21"/>
                <w:lang w:val="en-US" w:eastAsia="zh-CN"/>
              </w:rPr>
              <w:t>0.625</w:t>
            </w:r>
          </w:p>
        </w:tc>
        <w:tc>
          <w:tcPr>
            <w:tcW w:w="283" w:type="pct"/>
            <w:shd w:val="clear" w:color="auto" w:fill="auto"/>
            <w:vAlign w:val="center"/>
          </w:tcPr>
          <w:p w14:paraId="02FE872A">
            <w:pPr>
              <w:adjustRightInd w:val="0"/>
              <w:snapToGrid w:val="0"/>
              <w:spacing w:line="320" w:lineRule="exact"/>
              <w:jc w:val="center"/>
              <w:rPr>
                <w:rFonts w:hint="default" w:eastAsia="仿宋_GB2312"/>
                <w:bCs/>
                <w:color w:val="auto"/>
                <w:szCs w:val="21"/>
                <w:lang w:val="en-US" w:eastAsia="zh-CN"/>
              </w:rPr>
            </w:pPr>
            <w:r>
              <w:rPr>
                <w:rFonts w:hint="eastAsia" w:eastAsia="仿宋_GB2312"/>
                <w:bCs/>
                <w:color w:val="auto"/>
                <w:szCs w:val="21"/>
                <w:lang w:val="en-US" w:eastAsia="zh-CN"/>
              </w:rPr>
              <w:t>0.075</w:t>
            </w:r>
          </w:p>
        </w:tc>
        <w:tc>
          <w:tcPr>
            <w:tcW w:w="338" w:type="pct"/>
            <w:shd w:val="clear" w:color="auto" w:fill="auto"/>
            <w:vAlign w:val="center"/>
          </w:tcPr>
          <w:p w14:paraId="7993F6EC">
            <w:pPr>
              <w:adjustRightInd w:val="0"/>
              <w:snapToGrid w:val="0"/>
              <w:spacing w:line="320" w:lineRule="exact"/>
              <w:jc w:val="center"/>
              <w:rPr>
                <w:rFonts w:hint="default" w:eastAsia="仿宋_GB2312"/>
                <w:bCs/>
                <w:color w:val="auto"/>
                <w:szCs w:val="21"/>
                <w:lang w:val="en-US" w:eastAsia="zh-CN"/>
              </w:rPr>
            </w:pPr>
            <w:r>
              <w:rPr>
                <w:rFonts w:hint="eastAsia" w:eastAsia="仿宋_GB2312"/>
                <w:bCs/>
                <w:color w:val="auto"/>
                <w:szCs w:val="21"/>
                <w:lang w:val="en-US" w:eastAsia="zh-CN"/>
              </w:rPr>
              <w:t>0.63</w:t>
            </w:r>
          </w:p>
        </w:tc>
        <w:tc>
          <w:tcPr>
            <w:tcW w:w="534" w:type="pct"/>
            <w:vMerge w:val="continue"/>
            <w:shd w:val="clear" w:color="auto" w:fill="auto"/>
            <w:vAlign w:val="center"/>
          </w:tcPr>
          <w:p w14:paraId="3C74C36F">
            <w:pPr>
              <w:jc w:val="center"/>
              <w:rPr>
                <w:rFonts w:eastAsia="仿宋_GB2312"/>
                <w:color w:val="FF0000"/>
                <w:szCs w:val="21"/>
              </w:rPr>
            </w:pPr>
          </w:p>
        </w:tc>
        <w:tc>
          <w:tcPr>
            <w:tcW w:w="291" w:type="pct"/>
            <w:shd w:val="clear" w:color="auto" w:fill="auto"/>
            <w:vAlign w:val="center"/>
          </w:tcPr>
          <w:p w14:paraId="667A41ED">
            <w:pPr>
              <w:jc w:val="center"/>
              <w:rPr>
                <w:rFonts w:eastAsia="仿宋_GB2312"/>
                <w:color w:val="auto"/>
                <w:szCs w:val="21"/>
              </w:rPr>
            </w:pPr>
            <w:r>
              <w:rPr>
                <w:rFonts w:hint="eastAsia" w:eastAsia="仿宋_GB2312"/>
                <w:bCs/>
                <w:color w:val="auto"/>
                <w:szCs w:val="21"/>
              </w:rPr>
              <w:t>90</w:t>
            </w:r>
          </w:p>
        </w:tc>
        <w:tc>
          <w:tcPr>
            <w:tcW w:w="291" w:type="pct"/>
            <w:shd w:val="clear" w:color="auto" w:fill="auto"/>
            <w:vAlign w:val="center"/>
          </w:tcPr>
          <w:p w14:paraId="7B4021AC">
            <w:pPr>
              <w:adjustRightInd w:val="0"/>
              <w:snapToGrid w:val="0"/>
              <w:spacing w:line="320" w:lineRule="exact"/>
              <w:jc w:val="center"/>
              <w:rPr>
                <w:rFonts w:hint="default" w:eastAsia="仿宋_GB2312"/>
                <w:bCs/>
                <w:color w:val="auto"/>
                <w:szCs w:val="21"/>
                <w:lang w:val="en-US" w:eastAsia="zh-CN"/>
              </w:rPr>
            </w:pPr>
            <w:r>
              <w:rPr>
                <w:rFonts w:hint="eastAsia" w:eastAsia="仿宋_GB2312"/>
                <w:color w:val="auto"/>
                <w:szCs w:val="21"/>
                <w:lang w:val="en-US" w:eastAsia="zh-CN"/>
              </w:rPr>
              <w:t>0.06</w:t>
            </w:r>
          </w:p>
        </w:tc>
        <w:tc>
          <w:tcPr>
            <w:tcW w:w="297" w:type="pct"/>
            <w:shd w:val="clear" w:color="auto" w:fill="auto"/>
            <w:vAlign w:val="center"/>
          </w:tcPr>
          <w:p w14:paraId="6658B7FF">
            <w:pPr>
              <w:adjustRightInd w:val="0"/>
              <w:snapToGrid w:val="0"/>
              <w:spacing w:line="320" w:lineRule="exact"/>
              <w:jc w:val="center"/>
              <w:rPr>
                <w:rFonts w:hint="default" w:eastAsia="仿宋_GB2312"/>
                <w:bCs/>
                <w:color w:val="auto"/>
                <w:szCs w:val="21"/>
                <w:lang w:val="en-US" w:eastAsia="zh-CN"/>
              </w:rPr>
            </w:pPr>
            <w:r>
              <w:rPr>
                <w:rFonts w:eastAsia="仿宋_GB2312"/>
                <w:bCs/>
                <w:color w:val="auto"/>
                <w:szCs w:val="21"/>
              </w:rPr>
              <w:t>0.</w:t>
            </w:r>
            <w:r>
              <w:rPr>
                <w:rFonts w:hint="eastAsia" w:eastAsia="仿宋_GB2312"/>
                <w:bCs/>
                <w:color w:val="auto"/>
                <w:szCs w:val="21"/>
                <w:lang w:val="en-US" w:eastAsia="zh-CN"/>
              </w:rPr>
              <w:t>0075</w:t>
            </w:r>
          </w:p>
        </w:tc>
        <w:tc>
          <w:tcPr>
            <w:tcW w:w="341" w:type="pct"/>
            <w:shd w:val="clear" w:color="auto" w:fill="auto"/>
            <w:vAlign w:val="center"/>
          </w:tcPr>
          <w:p w14:paraId="74979CDB">
            <w:pPr>
              <w:adjustRightInd w:val="0"/>
              <w:snapToGrid w:val="0"/>
              <w:spacing w:line="320" w:lineRule="exact"/>
              <w:jc w:val="center"/>
              <w:rPr>
                <w:rFonts w:hint="default" w:eastAsia="仿宋_GB2312"/>
                <w:bCs/>
                <w:color w:val="auto"/>
                <w:szCs w:val="21"/>
                <w:lang w:val="en-US" w:eastAsia="zh-CN"/>
              </w:rPr>
            </w:pPr>
            <w:r>
              <w:rPr>
                <w:rFonts w:hint="eastAsia" w:eastAsia="仿宋_GB2312"/>
                <w:bCs/>
                <w:color w:val="auto"/>
                <w:szCs w:val="21"/>
              </w:rPr>
              <w:t>0.</w:t>
            </w:r>
            <w:r>
              <w:rPr>
                <w:rFonts w:hint="eastAsia" w:eastAsia="仿宋_GB2312"/>
                <w:bCs/>
                <w:color w:val="auto"/>
                <w:szCs w:val="21"/>
                <w:lang w:val="en-US" w:eastAsia="zh-CN"/>
              </w:rPr>
              <w:t>06</w:t>
            </w:r>
          </w:p>
        </w:tc>
        <w:tc>
          <w:tcPr>
            <w:tcW w:w="328" w:type="pct"/>
            <w:shd w:val="clear" w:color="auto" w:fill="auto"/>
            <w:vAlign w:val="center"/>
          </w:tcPr>
          <w:p w14:paraId="77697AFC">
            <w:pPr>
              <w:spacing w:line="320" w:lineRule="exact"/>
              <w:jc w:val="center"/>
              <w:rPr>
                <w:rFonts w:eastAsia="仿宋_GB2312"/>
                <w:color w:val="auto"/>
                <w:szCs w:val="21"/>
              </w:rPr>
            </w:pPr>
            <w:r>
              <w:rPr>
                <w:rFonts w:eastAsia="仿宋_GB2312"/>
                <w:b/>
                <w:bCs/>
                <w:color w:val="auto"/>
                <w:szCs w:val="21"/>
              </w:rPr>
              <w:t>/</w:t>
            </w:r>
          </w:p>
        </w:tc>
        <w:tc>
          <w:tcPr>
            <w:tcW w:w="300" w:type="pct"/>
            <w:shd w:val="clear" w:color="auto" w:fill="auto"/>
            <w:vAlign w:val="center"/>
          </w:tcPr>
          <w:p w14:paraId="24A01873">
            <w:pPr>
              <w:spacing w:line="320" w:lineRule="exact"/>
              <w:jc w:val="center"/>
              <w:rPr>
                <w:rFonts w:eastAsia="仿宋_GB2312"/>
                <w:color w:val="auto"/>
                <w:szCs w:val="21"/>
              </w:rPr>
            </w:pPr>
            <w:r>
              <w:rPr>
                <w:rFonts w:eastAsia="仿宋_GB2312"/>
                <w:b/>
                <w:bCs/>
                <w:color w:val="auto"/>
                <w:szCs w:val="21"/>
              </w:rPr>
              <w:t>/</w:t>
            </w:r>
          </w:p>
        </w:tc>
        <w:tc>
          <w:tcPr>
            <w:tcW w:w="197" w:type="pct"/>
            <w:vMerge w:val="continue"/>
            <w:shd w:val="clear" w:color="auto" w:fill="auto"/>
            <w:vAlign w:val="center"/>
          </w:tcPr>
          <w:p w14:paraId="2CD6B3D8">
            <w:pPr>
              <w:adjustRightInd w:val="0"/>
              <w:snapToGrid w:val="0"/>
              <w:spacing w:line="320" w:lineRule="exact"/>
              <w:jc w:val="center"/>
              <w:rPr>
                <w:rFonts w:eastAsia="仿宋_GB2312"/>
                <w:bCs/>
                <w:color w:val="FF0000"/>
                <w:szCs w:val="21"/>
              </w:rPr>
            </w:pPr>
          </w:p>
        </w:tc>
        <w:tc>
          <w:tcPr>
            <w:tcW w:w="195" w:type="pct"/>
            <w:vMerge w:val="continue"/>
            <w:shd w:val="clear" w:color="auto" w:fill="auto"/>
            <w:vAlign w:val="center"/>
          </w:tcPr>
          <w:p w14:paraId="43BE248F">
            <w:pPr>
              <w:adjustRightInd w:val="0"/>
              <w:snapToGrid w:val="0"/>
              <w:spacing w:line="320" w:lineRule="exact"/>
              <w:jc w:val="center"/>
              <w:rPr>
                <w:rFonts w:eastAsia="仿宋_GB2312"/>
                <w:bCs/>
                <w:color w:val="FF0000"/>
                <w:szCs w:val="21"/>
              </w:rPr>
            </w:pPr>
          </w:p>
        </w:tc>
        <w:tc>
          <w:tcPr>
            <w:tcW w:w="193" w:type="pct"/>
            <w:vMerge w:val="continue"/>
            <w:shd w:val="clear" w:color="auto" w:fill="auto"/>
            <w:vAlign w:val="center"/>
          </w:tcPr>
          <w:p w14:paraId="708D598A">
            <w:pPr>
              <w:adjustRightInd w:val="0"/>
              <w:snapToGrid w:val="0"/>
              <w:spacing w:line="320" w:lineRule="exact"/>
              <w:jc w:val="center"/>
              <w:rPr>
                <w:rFonts w:eastAsia="仿宋_GB2312"/>
                <w:bCs/>
                <w:color w:val="FF0000"/>
                <w:szCs w:val="21"/>
              </w:rPr>
            </w:pPr>
          </w:p>
        </w:tc>
      </w:tr>
      <w:tr w14:paraId="3E1B01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295" w:type="pct"/>
            <w:vMerge w:val="restart"/>
            <w:shd w:val="clear" w:color="auto" w:fill="auto"/>
            <w:vAlign w:val="center"/>
          </w:tcPr>
          <w:p w14:paraId="352819CD">
            <w:pPr>
              <w:adjustRightInd w:val="0"/>
              <w:snapToGrid w:val="0"/>
              <w:spacing w:line="320" w:lineRule="exact"/>
              <w:jc w:val="center"/>
              <w:rPr>
                <w:rFonts w:hint="default" w:ascii="Times New Roman" w:hAnsi="Times New Roman" w:eastAsia="仿宋_GB2312" w:cs="Times New Roman"/>
                <w:b/>
                <w:bCs/>
                <w:color w:val="auto"/>
                <w:kern w:val="2"/>
                <w:sz w:val="21"/>
                <w:szCs w:val="21"/>
                <w:lang w:val="en-US" w:eastAsia="zh-CN" w:bidi="ar-SA"/>
              </w:rPr>
            </w:pPr>
            <w:r>
              <w:rPr>
                <w:rFonts w:hint="eastAsia" w:eastAsia="仿宋_GB2312"/>
                <w:color w:val="auto"/>
                <w:szCs w:val="21"/>
                <w:lang w:val="en-US" w:eastAsia="zh-CN"/>
              </w:rPr>
              <w:t>DA005</w:t>
            </w:r>
          </w:p>
        </w:tc>
        <w:tc>
          <w:tcPr>
            <w:tcW w:w="375" w:type="pct"/>
            <w:vMerge w:val="restart"/>
            <w:shd w:val="clear" w:color="auto" w:fill="auto"/>
            <w:vAlign w:val="center"/>
          </w:tcPr>
          <w:p w14:paraId="6B7A0618">
            <w:pPr>
              <w:adjustRightInd w:val="0"/>
              <w:snapToGrid w:val="0"/>
              <w:spacing w:line="320" w:lineRule="exact"/>
              <w:jc w:val="center"/>
              <w:rPr>
                <w:rFonts w:hint="default" w:ascii="Times New Roman" w:hAnsi="Times New Roman" w:eastAsia="仿宋_GB2312" w:cs="Times New Roman"/>
                <w:b/>
                <w:bCs/>
                <w:color w:val="auto"/>
                <w:kern w:val="2"/>
                <w:sz w:val="21"/>
                <w:szCs w:val="21"/>
                <w:lang w:val="en-US" w:eastAsia="zh-CN" w:bidi="ar-SA"/>
              </w:rPr>
            </w:pPr>
            <w:r>
              <w:rPr>
                <w:rFonts w:hint="eastAsia" w:eastAsia="仿宋_GB2312"/>
                <w:color w:val="auto"/>
                <w:szCs w:val="21"/>
                <w:lang w:val="en-US" w:eastAsia="zh-CN"/>
              </w:rPr>
              <w:t>38000</w:t>
            </w:r>
          </w:p>
        </w:tc>
        <w:tc>
          <w:tcPr>
            <w:tcW w:w="396" w:type="pct"/>
            <w:shd w:val="clear" w:color="auto" w:fill="auto"/>
            <w:vAlign w:val="center"/>
          </w:tcPr>
          <w:p w14:paraId="6A5D0F0C">
            <w:pPr>
              <w:adjustRightInd w:val="0"/>
              <w:snapToGrid w:val="0"/>
              <w:spacing w:line="320" w:lineRule="exact"/>
              <w:jc w:val="center"/>
              <w:rPr>
                <w:rFonts w:ascii="Times New Roman" w:hAnsi="Times New Roman" w:eastAsia="仿宋_GB2312" w:cs="Times New Roman"/>
                <w:color w:val="auto"/>
                <w:kern w:val="2"/>
                <w:sz w:val="21"/>
                <w:szCs w:val="21"/>
                <w:lang w:val="en-US" w:eastAsia="zh-CN" w:bidi="ar-SA"/>
              </w:rPr>
            </w:pPr>
            <w:r>
              <w:rPr>
                <w:rFonts w:eastAsia="仿宋_GB2312"/>
                <w:color w:val="auto"/>
                <w:szCs w:val="21"/>
              </w:rPr>
              <w:t>NMP</w:t>
            </w:r>
          </w:p>
        </w:tc>
        <w:tc>
          <w:tcPr>
            <w:tcW w:w="338" w:type="pct"/>
            <w:shd w:val="clear" w:color="auto" w:fill="auto"/>
            <w:vAlign w:val="center"/>
          </w:tcPr>
          <w:p w14:paraId="666A4599">
            <w:pPr>
              <w:adjustRightInd w:val="0"/>
              <w:snapToGrid w:val="0"/>
              <w:spacing w:line="320" w:lineRule="exact"/>
              <w:jc w:val="center"/>
              <w:rPr>
                <w:rFonts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139.47</w:t>
            </w:r>
          </w:p>
        </w:tc>
        <w:tc>
          <w:tcPr>
            <w:tcW w:w="283" w:type="pct"/>
            <w:shd w:val="clear" w:color="auto" w:fill="auto"/>
            <w:vAlign w:val="center"/>
          </w:tcPr>
          <w:p w14:paraId="0B9DE7D0">
            <w:pPr>
              <w:adjustRightInd w:val="0"/>
              <w:snapToGrid w:val="0"/>
              <w:spacing w:line="320" w:lineRule="exact"/>
              <w:jc w:val="center"/>
              <w:rPr>
                <w:rFonts w:hint="default"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5.3</w:t>
            </w:r>
          </w:p>
        </w:tc>
        <w:tc>
          <w:tcPr>
            <w:tcW w:w="338" w:type="pct"/>
            <w:shd w:val="clear" w:color="auto" w:fill="auto"/>
            <w:vAlign w:val="center"/>
          </w:tcPr>
          <w:p w14:paraId="3F92D140">
            <w:pPr>
              <w:adjustRightInd w:val="0"/>
              <w:snapToGrid w:val="0"/>
              <w:spacing w:line="320" w:lineRule="exact"/>
              <w:jc w:val="center"/>
              <w:rPr>
                <w:rFonts w:hint="default"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5.649</w:t>
            </w:r>
          </w:p>
        </w:tc>
        <w:tc>
          <w:tcPr>
            <w:tcW w:w="534" w:type="pct"/>
            <w:vMerge w:val="restart"/>
            <w:shd w:val="clear" w:color="auto" w:fill="auto"/>
            <w:vAlign w:val="center"/>
          </w:tcPr>
          <w:p w14:paraId="53343B64">
            <w:pPr>
              <w:adjustRightInd w:val="0"/>
              <w:snapToGrid w:val="0"/>
              <w:spacing w:line="320" w:lineRule="exact"/>
              <w:jc w:val="center"/>
              <w:rPr>
                <w:rFonts w:ascii="Times New Roman" w:hAnsi="Times New Roman" w:eastAsia="仿宋_GB2312" w:cs="Times New Roman"/>
                <w:b/>
                <w:bCs/>
                <w:color w:val="FF0000"/>
                <w:kern w:val="2"/>
                <w:sz w:val="21"/>
                <w:szCs w:val="21"/>
                <w:lang w:val="en-US" w:eastAsia="zh-CN" w:bidi="ar-SA"/>
              </w:rPr>
            </w:pPr>
            <w:r>
              <w:rPr>
                <w:rFonts w:hint="eastAsia" w:ascii="Times New Roman" w:hAnsi="Times New Roman" w:eastAsia="仿宋_GB2312" w:cs="Times New Roman"/>
                <w:color w:val="auto"/>
                <w:szCs w:val="21"/>
                <w:lang w:val="en-US" w:eastAsia="zh-CN"/>
              </w:rPr>
              <w:t>冷凝+酸吸收+碱吸收+水洗+活性炭吸附/脱附</w:t>
            </w:r>
          </w:p>
        </w:tc>
        <w:tc>
          <w:tcPr>
            <w:tcW w:w="291" w:type="pct"/>
            <w:shd w:val="clear" w:color="auto" w:fill="auto"/>
            <w:vAlign w:val="center"/>
          </w:tcPr>
          <w:p w14:paraId="4C357454">
            <w:pPr>
              <w:adjustRightInd w:val="0"/>
              <w:snapToGrid w:val="0"/>
              <w:spacing w:line="320" w:lineRule="exact"/>
              <w:jc w:val="center"/>
              <w:rPr>
                <w:rFonts w:hint="default"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95</w:t>
            </w:r>
          </w:p>
        </w:tc>
        <w:tc>
          <w:tcPr>
            <w:tcW w:w="291" w:type="pct"/>
            <w:shd w:val="clear" w:color="auto" w:fill="auto"/>
            <w:vAlign w:val="center"/>
          </w:tcPr>
          <w:p w14:paraId="7DF9303E">
            <w:pPr>
              <w:adjustRightInd w:val="0"/>
              <w:snapToGrid w:val="0"/>
              <w:spacing w:line="320" w:lineRule="exact"/>
              <w:jc w:val="center"/>
              <w:rPr>
                <w:rFonts w:hint="eastAsia"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6.97</w:t>
            </w:r>
          </w:p>
        </w:tc>
        <w:tc>
          <w:tcPr>
            <w:tcW w:w="297" w:type="pct"/>
            <w:shd w:val="clear" w:color="auto" w:fill="auto"/>
            <w:vAlign w:val="center"/>
          </w:tcPr>
          <w:p w14:paraId="43D16F80">
            <w:pPr>
              <w:adjustRightInd w:val="0"/>
              <w:snapToGrid w:val="0"/>
              <w:spacing w:line="320" w:lineRule="exact"/>
              <w:jc w:val="center"/>
              <w:rPr>
                <w:rFonts w:hint="default"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0.27</w:t>
            </w:r>
          </w:p>
        </w:tc>
        <w:tc>
          <w:tcPr>
            <w:tcW w:w="341" w:type="pct"/>
            <w:shd w:val="clear" w:color="auto" w:fill="auto"/>
            <w:vAlign w:val="center"/>
          </w:tcPr>
          <w:p w14:paraId="7D6014C4">
            <w:pPr>
              <w:adjustRightInd w:val="0"/>
              <w:snapToGrid w:val="0"/>
              <w:spacing w:line="320" w:lineRule="exact"/>
              <w:jc w:val="center"/>
              <w:rPr>
                <w:rFonts w:hint="eastAsia"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0.28</w:t>
            </w:r>
          </w:p>
        </w:tc>
        <w:tc>
          <w:tcPr>
            <w:tcW w:w="328" w:type="pct"/>
            <w:shd w:val="clear" w:color="auto" w:fill="auto"/>
            <w:vAlign w:val="center"/>
          </w:tcPr>
          <w:p w14:paraId="0394E7CD">
            <w:pPr>
              <w:adjustRightInd w:val="0"/>
              <w:snapToGrid w:val="0"/>
              <w:spacing w:line="320" w:lineRule="exact"/>
              <w:jc w:val="center"/>
              <w:rPr>
                <w:rFonts w:ascii="Times New Roman" w:hAnsi="Times New Roman" w:eastAsia="仿宋_GB2312" w:cs="Times New Roman"/>
                <w:bCs/>
                <w:color w:val="auto"/>
                <w:kern w:val="2"/>
                <w:sz w:val="21"/>
                <w:szCs w:val="21"/>
                <w:lang w:val="en-US" w:eastAsia="zh-CN" w:bidi="ar-SA"/>
              </w:rPr>
            </w:pPr>
            <w:r>
              <w:rPr>
                <w:rFonts w:eastAsia="仿宋_GB2312"/>
                <w:b/>
                <w:bCs/>
                <w:color w:val="auto"/>
                <w:szCs w:val="21"/>
              </w:rPr>
              <w:t>/</w:t>
            </w:r>
          </w:p>
        </w:tc>
        <w:tc>
          <w:tcPr>
            <w:tcW w:w="300" w:type="pct"/>
            <w:shd w:val="clear" w:color="auto" w:fill="auto"/>
            <w:vAlign w:val="center"/>
          </w:tcPr>
          <w:p w14:paraId="1B7EB5E7">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b/>
                <w:bCs/>
                <w:color w:val="auto"/>
                <w:szCs w:val="21"/>
              </w:rPr>
              <w:t>/</w:t>
            </w:r>
          </w:p>
        </w:tc>
        <w:tc>
          <w:tcPr>
            <w:tcW w:w="197" w:type="pct"/>
            <w:vMerge w:val="restart"/>
            <w:shd w:val="clear" w:color="auto" w:fill="auto"/>
            <w:vAlign w:val="center"/>
          </w:tcPr>
          <w:p w14:paraId="3D902821">
            <w:pPr>
              <w:adjustRightInd w:val="0"/>
              <w:snapToGrid w:val="0"/>
              <w:spacing w:line="320" w:lineRule="exact"/>
              <w:jc w:val="center"/>
              <w:rPr>
                <w:rFonts w:hint="default" w:eastAsia="仿宋_GB2312"/>
                <w:bCs/>
                <w:color w:val="auto"/>
                <w:szCs w:val="21"/>
                <w:lang w:val="en-US" w:eastAsia="zh-CN"/>
              </w:rPr>
            </w:pPr>
            <w:r>
              <w:rPr>
                <w:rFonts w:hint="eastAsia" w:eastAsia="仿宋_GB2312"/>
                <w:bCs/>
                <w:color w:val="auto"/>
                <w:szCs w:val="21"/>
                <w:lang w:val="en-US" w:eastAsia="zh-CN"/>
              </w:rPr>
              <w:t>20</w:t>
            </w:r>
          </w:p>
        </w:tc>
        <w:tc>
          <w:tcPr>
            <w:tcW w:w="195" w:type="pct"/>
            <w:vMerge w:val="restart"/>
            <w:shd w:val="clear" w:color="auto" w:fill="auto"/>
            <w:vAlign w:val="center"/>
          </w:tcPr>
          <w:p w14:paraId="66F9A698">
            <w:pPr>
              <w:adjustRightInd w:val="0"/>
              <w:snapToGrid w:val="0"/>
              <w:spacing w:line="320" w:lineRule="exact"/>
              <w:jc w:val="center"/>
              <w:rPr>
                <w:rFonts w:hint="default" w:eastAsia="仿宋_GB2312"/>
                <w:bCs/>
                <w:color w:val="auto"/>
                <w:szCs w:val="21"/>
                <w:lang w:val="en-US" w:eastAsia="zh-CN"/>
              </w:rPr>
            </w:pPr>
            <w:r>
              <w:rPr>
                <w:rFonts w:hint="eastAsia" w:eastAsia="仿宋_GB2312"/>
                <w:bCs/>
                <w:color w:val="auto"/>
                <w:szCs w:val="21"/>
                <w:lang w:val="en-US" w:eastAsia="zh-CN"/>
              </w:rPr>
              <w:t>1.3</w:t>
            </w:r>
          </w:p>
        </w:tc>
        <w:tc>
          <w:tcPr>
            <w:tcW w:w="193" w:type="pct"/>
            <w:vMerge w:val="restart"/>
            <w:shd w:val="clear" w:color="auto" w:fill="auto"/>
            <w:vAlign w:val="center"/>
          </w:tcPr>
          <w:p w14:paraId="64B80BA6">
            <w:pPr>
              <w:adjustRightInd w:val="0"/>
              <w:snapToGrid w:val="0"/>
              <w:spacing w:line="320" w:lineRule="exact"/>
              <w:jc w:val="center"/>
              <w:rPr>
                <w:rFonts w:hint="default" w:eastAsia="仿宋_GB2312"/>
                <w:bCs/>
                <w:color w:val="auto"/>
                <w:sz w:val="24"/>
                <w:szCs w:val="24"/>
                <w:lang w:val="en-US" w:eastAsia="zh-CN"/>
              </w:rPr>
            </w:pPr>
            <w:r>
              <w:rPr>
                <w:rFonts w:hint="eastAsia" w:eastAsia="仿宋_GB2312"/>
                <w:bCs/>
                <w:color w:val="auto"/>
                <w:sz w:val="24"/>
                <w:szCs w:val="24"/>
                <w:lang w:val="en-US" w:eastAsia="zh-CN"/>
              </w:rPr>
              <w:t>25</w:t>
            </w:r>
          </w:p>
        </w:tc>
      </w:tr>
      <w:tr w14:paraId="0E5505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295" w:type="pct"/>
            <w:vMerge w:val="continue"/>
            <w:vAlign w:val="center"/>
          </w:tcPr>
          <w:p w14:paraId="70392CEE">
            <w:pPr>
              <w:adjustRightInd w:val="0"/>
              <w:snapToGrid w:val="0"/>
              <w:spacing w:line="320" w:lineRule="exact"/>
              <w:jc w:val="center"/>
              <w:rPr>
                <w:rFonts w:eastAsia="仿宋_GB2312"/>
                <w:bCs/>
                <w:color w:val="FF0000"/>
                <w:szCs w:val="21"/>
              </w:rPr>
            </w:pPr>
          </w:p>
        </w:tc>
        <w:tc>
          <w:tcPr>
            <w:tcW w:w="375" w:type="pct"/>
            <w:vMerge w:val="continue"/>
            <w:vAlign w:val="center"/>
          </w:tcPr>
          <w:p w14:paraId="2332E085">
            <w:pPr>
              <w:jc w:val="center"/>
              <w:rPr>
                <w:rFonts w:eastAsia="仿宋_GB2312"/>
                <w:color w:val="FF0000"/>
                <w:szCs w:val="21"/>
              </w:rPr>
            </w:pPr>
          </w:p>
        </w:tc>
        <w:tc>
          <w:tcPr>
            <w:tcW w:w="0" w:type="auto"/>
            <w:shd w:val="clear" w:color="auto" w:fill="auto"/>
            <w:vAlign w:val="center"/>
          </w:tcPr>
          <w:p w14:paraId="3BA1363F">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color w:val="auto"/>
                <w:szCs w:val="21"/>
              </w:rPr>
              <w:t>异丙醇</w:t>
            </w:r>
          </w:p>
        </w:tc>
        <w:tc>
          <w:tcPr>
            <w:tcW w:w="338" w:type="pct"/>
            <w:shd w:val="clear" w:color="auto" w:fill="auto"/>
            <w:vAlign w:val="center"/>
          </w:tcPr>
          <w:p w14:paraId="6AEC0E58">
            <w:pPr>
              <w:adjustRightInd w:val="0"/>
              <w:snapToGrid w:val="0"/>
              <w:spacing w:line="320" w:lineRule="exact"/>
              <w:jc w:val="center"/>
              <w:rPr>
                <w:rFonts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140.00</w:t>
            </w:r>
          </w:p>
        </w:tc>
        <w:tc>
          <w:tcPr>
            <w:tcW w:w="0" w:type="auto"/>
            <w:shd w:val="clear" w:color="auto" w:fill="auto"/>
            <w:vAlign w:val="center"/>
          </w:tcPr>
          <w:p w14:paraId="72B726FE">
            <w:pPr>
              <w:adjustRightInd w:val="0"/>
              <w:snapToGrid w:val="0"/>
              <w:spacing w:line="320" w:lineRule="exact"/>
              <w:jc w:val="center"/>
              <w:rPr>
                <w:rFonts w:hint="default"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5.32</w:t>
            </w:r>
          </w:p>
        </w:tc>
        <w:tc>
          <w:tcPr>
            <w:tcW w:w="0" w:type="auto"/>
            <w:shd w:val="clear" w:color="auto" w:fill="auto"/>
            <w:vAlign w:val="center"/>
          </w:tcPr>
          <w:p w14:paraId="3B88159C">
            <w:pPr>
              <w:adjustRightInd w:val="0"/>
              <w:snapToGrid w:val="0"/>
              <w:spacing w:line="320" w:lineRule="exact"/>
              <w:jc w:val="center"/>
              <w:rPr>
                <w:rFonts w:hint="default"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25.769</w:t>
            </w:r>
          </w:p>
        </w:tc>
        <w:tc>
          <w:tcPr>
            <w:tcW w:w="534" w:type="pct"/>
            <w:vMerge w:val="continue"/>
            <w:vAlign w:val="center"/>
          </w:tcPr>
          <w:p w14:paraId="0EBCD2DA">
            <w:pPr>
              <w:jc w:val="center"/>
              <w:rPr>
                <w:rFonts w:eastAsia="仿宋_GB2312"/>
                <w:color w:val="FF0000"/>
                <w:szCs w:val="21"/>
              </w:rPr>
            </w:pPr>
          </w:p>
        </w:tc>
        <w:tc>
          <w:tcPr>
            <w:tcW w:w="0" w:type="auto"/>
            <w:shd w:val="clear" w:color="auto" w:fill="auto"/>
            <w:vAlign w:val="center"/>
          </w:tcPr>
          <w:p w14:paraId="73C1172E">
            <w:pPr>
              <w:adjustRightInd w:val="0"/>
              <w:snapToGrid w:val="0"/>
              <w:spacing w:line="320" w:lineRule="exact"/>
              <w:jc w:val="center"/>
              <w:rPr>
                <w:rFonts w:hint="default"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95</w:t>
            </w:r>
          </w:p>
        </w:tc>
        <w:tc>
          <w:tcPr>
            <w:tcW w:w="291" w:type="pct"/>
            <w:shd w:val="clear" w:color="auto" w:fill="auto"/>
            <w:vAlign w:val="center"/>
          </w:tcPr>
          <w:p w14:paraId="4B775B00">
            <w:pPr>
              <w:adjustRightInd w:val="0"/>
              <w:snapToGrid w:val="0"/>
              <w:spacing w:line="320" w:lineRule="exact"/>
              <w:jc w:val="center"/>
              <w:rPr>
                <w:rFonts w:hint="eastAsia"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7.00</w:t>
            </w:r>
          </w:p>
        </w:tc>
        <w:tc>
          <w:tcPr>
            <w:tcW w:w="297" w:type="pct"/>
            <w:shd w:val="clear" w:color="auto" w:fill="auto"/>
            <w:vAlign w:val="center"/>
          </w:tcPr>
          <w:p w14:paraId="33D17E6E">
            <w:pPr>
              <w:adjustRightInd w:val="0"/>
              <w:snapToGrid w:val="0"/>
              <w:spacing w:line="320" w:lineRule="exact"/>
              <w:jc w:val="center"/>
              <w:rPr>
                <w:rFonts w:hint="default"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0.27</w:t>
            </w:r>
          </w:p>
        </w:tc>
        <w:tc>
          <w:tcPr>
            <w:tcW w:w="341" w:type="pct"/>
            <w:shd w:val="clear" w:color="auto" w:fill="auto"/>
            <w:vAlign w:val="center"/>
          </w:tcPr>
          <w:p w14:paraId="3460556A">
            <w:pPr>
              <w:adjustRightInd w:val="0"/>
              <w:snapToGrid w:val="0"/>
              <w:spacing w:line="320" w:lineRule="exact"/>
              <w:jc w:val="center"/>
              <w:rPr>
                <w:rFonts w:hint="eastAsia"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1.29</w:t>
            </w:r>
          </w:p>
        </w:tc>
        <w:tc>
          <w:tcPr>
            <w:tcW w:w="328" w:type="pct"/>
            <w:shd w:val="clear" w:color="auto" w:fill="auto"/>
            <w:vAlign w:val="center"/>
          </w:tcPr>
          <w:p w14:paraId="4A1A924D">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b/>
                <w:bCs/>
                <w:color w:val="auto"/>
                <w:szCs w:val="21"/>
              </w:rPr>
              <w:t>/</w:t>
            </w:r>
          </w:p>
        </w:tc>
        <w:tc>
          <w:tcPr>
            <w:tcW w:w="300" w:type="pct"/>
            <w:shd w:val="clear" w:color="auto" w:fill="auto"/>
            <w:vAlign w:val="center"/>
          </w:tcPr>
          <w:p w14:paraId="1E034442">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b/>
                <w:bCs/>
                <w:color w:val="auto"/>
                <w:szCs w:val="21"/>
              </w:rPr>
              <w:t>/</w:t>
            </w:r>
          </w:p>
        </w:tc>
        <w:tc>
          <w:tcPr>
            <w:tcW w:w="197" w:type="pct"/>
            <w:vMerge w:val="continue"/>
            <w:vAlign w:val="center"/>
          </w:tcPr>
          <w:p w14:paraId="68670244">
            <w:pPr>
              <w:adjustRightInd w:val="0"/>
              <w:snapToGrid w:val="0"/>
              <w:spacing w:line="320" w:lineRule="exact"/>
              <w:jc w:val="center"/>
              <w:rPr>
                <w:rFonts w:eastAsia="仿宋_GB2312"/>
                <w:bCs/>
                <w:color w:val="FF0000"/>
                <w:szCs w:val="21"/>
              </w:rPr>
            </w:pPr>
          </w:p>
        </w:tc>
        <w:tc>
          <w:tcPr>
            <w:tcW w:w="195" w:type="pct"/>
            <w:vMerge w:val="continue"/>
            <w:vAlign w:val="center"/>
          </w:tcPr>
          <w:p w14:paraId="34E786EB">
            <w:pPr>
              <w:adjustRightInd w:val="0"/>
              <w:snapToGrid w:val="0"/>
              <w:spacing w:line="320" w:lineRule="exact"/>
              <w:jc w:val="center"/>
              <w:rPr>
                <w:rFonts w:eastAsia="仿宋_GB2312"/>
                <w:bCs/>
                <w:color w:val="FF0000"/>
                <w:szCs w:val="21"/>
              </w:rPr>
            </w:pPr>
          </w:p>
        </w:tc>
        <w:tc>
          <w:tcPr>
            <w:tcW w:w="193" w:type="pct"/>
            <w:vMerge w:val="continue"/>
            <w:vAlign w:val="center"/>
          </w:tcPr>
          <w:p w14:paraId="71349C1E">
            <w:pPr>
              <w:adjustRightInd w:val="0"/>
              <w:snapToGrid w:val="0"/>
              <w:spacing w:line="320" w:lineRule="exact"/>
              <w:jc w:val="center"/>
              <w:rPr>
                <w:rFonts w:eastAsia="仿宋_GB2312"/>
                <w:bCs/>
                <w:color w:val="FF0000"/>
                <w:sz w:val="24"/>
                <w:szCs w:val="24"/>
              </w:rPr>
            </w:pPr>
          </w:p>
        </w:tc>
      </w:tr>
      <w:tr w14:paraId="029069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295" w:type="pct"/>
            <w:vMerge w:val="continue"/>
            <w:vAlign w:val="center"/>
          </w:tcPr>
          <w:p w14:paraId="2D4AEC0C">
            <w:pPr>
              <w:adjustRightInd w:val="0"/>
              <w:snapToGrid w:val="0"/>
              <w:spacing w:line="320" w:lineRule="exact"/>
              <w:jc w:val="center"/>
              <w:rPr>
                <w:rFonts w:eastAsia="仿宋_GB2312"/>
                <w:bCs/>
                <w:color w:val="FF0000"/>
                <w:szCs w:val="21"/>
              </w:rPr>
            </w:pPr>
          </w:p>
        </w:tc>
        <w:tc>
          <w:tcPr>
            <w:tcW w:w="375" w:type="pct"/>
            <w:vMerge w:val="continue"/>
            <w:vAlign w:val="center"/>
          </w:tcPr>
          <w:p w14:paraId="045DE127">
            <w:pPr>
              <w:jc w:val="center"/>
              <w:rPr>
                <w:rFonts w:eastAsia="仿宋_GB2312"/>
                <w:color w:val="FF0000"/>
                <w:szCs w:val="21"/>
              </w:rPr>
            </w:pPr>
          </w:p>
        </w:tc>
        <w:tc>
          <w:tcPr>
            <w:tcW w:w="0" w:type="auto"/>
            <w:shd w:val="clear" w:color="auto" w:fill="auto"/>
            <w:vAlign w:val="center"/>
          </w:tcPr>
          <w:p w14:paraId="657E870A">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color w:val="auto"/>
                <w:szCs w:val="21"/>
              </w:rPr>
              <w:t>丁酮</w:t>
            </w:r>
          </w:p>
        </w:tc>
        <w:tc>
          <w:tcPr>
            <w:tcW w:w="338" w:type="pct"/>
            <w:shd w:val="clear" w:color="auto" w:fill="auto"/>
            <w:vAlign w:val="center"/>
          </w:tcPr>
          <w:p w14:paraId="1D2BC377">
            <w:pPr>
              <w:adjustRightInd w:val="0"/>
              <w:snapToGrid w:val="0"/>
              <w:spacing w:line="320" w:lineRule="exact"/>
              <w:jc w:val="center"/>
              <w:rPr>
                <w:rFonts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236.32</w:t>
            </w:r>
          </w:p>
        </w:tc>
        <w:tc>
          <w:tcPr>
            <w:tcW w:w="0" w:type="auto"/>
            <w:shd w:val="clear" w:color="auto" w:fill="auto"/>
            <w:vAlign w:val="center"/>
          </w:tcPr>
          <w:p w14:paraId="6B529E15">
            <w:pPr>
              <w:adjustRightInd w:val="0"/>
              <w:snapToGrid w:val="0"/>
              <w:spacing w:line="320" w:lineRule="exact"/>
              <w:jc w:val="center"/>
              <w:rPr>
                <w:rFonts w:hint="default"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8.98</w:t>
            </w:r>
          </w:p>
        </w:tc>
        <w:tc>
          <w:tcPr>
            <w:tcW w:w="0" w:type="auto"/>
            <w:shd w:val="clear" w:color="auto" w:fill="auto"/>
            <w:vAlign w:val="center"/>
          </w:tcPr>
          <w:p w14:paraId="253D04A2">
            <w:pPr>
              <w:adjustRightInd w:val="0"/>
              <w:snapToGrid w:val="0"/>
              <w:spacing w:line="320" w:lineRule="exact"/>
              <w:jc w:val="center"/>
              <w:rPr>
                <w:rFonts w:hint="default"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0.866</w:t>
            </w:r>
          </w:p>
        </w:tc>
        <w:tc>
          <w:tcPr>
            <w:tcW w:w="534" w:type="pct"/>
            <w:vMerge w:val="continue"/>
            <w:vAlign w:val="center"/>
          </w:tcPr>
          <w:p w14:paraId="42F0C497">
            <w:pPr>
              <w:jc w:val="center"/>
              <w:rPr>
                <w:rFonts w:eastAsia="仿宋_GB2312"/>
                <w:color w:val="FF0000"/>
                <w:szCs w:val="21"/>
              </w:rPr>
            </w:pPr>
          </w:p>
        </w:tc>
        <w:tc>
          <w:tcPr>
            <w:tcW w:w="0" w:type="auto"/>
            <w:shd w:val="clear" w:color="auto" w:fill="auto"/>
            <w:vAlign w:val="center"/>
          </w:tcPr>
          <w:p w14:paraId="5990827E">
            <w:pPr>
              <w:adjustRightInd w:val="0"/>
              <w:snapToGrid w:val="0"/>
              <w:spacing w:line="320" w:lineRule="exact"/>
              <w:jc w:val="center"/>
              <w:rPr>
                <w:rFonts w:hint="eastAsia"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95</w:t>
            </w:r>
          </w:p>
        </w:tc>
        <w:tc>
          <w:tcPr>
            <w:tcW w:w="291" w:type="pct"/>
            <w:shd w:val="clear" w:color="auto" w:fill="auto"/>
            <w:vAlign w:val="center"/>
          </w:tcPr>
          <w:p w14:paraId="085FC911">
            <w:pPr>
              <w:adjustRightInd w:val="0"/>
              <w:snapToGrid w:val="0"/>
              <w:spacing w:line="320" w:lineRule="exact"/>
              <w:jc w:val="center"/>
              <w:rPr>
                <w:rFonts w:hint="eastAsia"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11.82</w:t>
            </w:r>
          </w:p>
        </w:tc>
        <w:tc>
          <w:tcPr>
            <w:tcW w:w="297" w:type="pct"/>
            <w:shd w:val="clear" w:color="auto" w:fill="auto"/>
            <w:vAlign w:val="center"/>
          </w:tcPr>
          <w:p w14:paraId="1D9C9296">
            <w:pPr>
              <w:adjustRightInd w:val="0"/>
              <w:snapToGrid w:val="0"/>
              <w:spacing w:line="320" w:lineRule="exact"/>
              <w:jc w:val="center"/>
              <w:rPr>
                <w:rFonts w:hint="default"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0.45</w:t>
            </w:r>
          </w:p>
        </w:tc>
        <w:tc>
          <w:tcPr>
            <w:tcW w:w="341" w:type="pct"/>
            <w:shd w:val="clear" w:color="auto" w:fill="auto"/>
            <w:vAlign w:val="center"/>
          </w:tcPr>
          <w:p w14:paraId="20FAFAA7">
            <w:pPr>
              <w:adjustRightInd w:val="0"/>
              <w:snapToGrid w:val="0"/>
              <w:spacing w:line="320" w:lineRule="exact"/>
              <w:jc w:val="center"/>
              <w:rPr>
                <w:rFonts w:hint="eastAsia"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0.04</w:t>
            </w:r>
          </w:p>
        </w:tc>
        <w:tc>
          <w:tcPr>
            <w:tcW w:w="328" w:type="pct"/>
            <w:shd w:val="clear" w:color="auto" w:fill="auto"/>
            <w:vAlign w:val="center"/>
          </w:tcPr>
          <w:p w14:paraId="78FBF5CA">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b/>
                <w:bCs/>
                <w:color w:val="auto"/>
                <w:szCs w:val="21"/>
              </w:rPr>
              <w:t>/</w:t>
            </w:r>
          </w:p>
        </w:tc>
        <w:tc>
          <w:tcPr>
            <w:tcW w:w="300" w:type="pct"/>
            <w:shd w:val="clear" w:color="auto" w:fill="auto"/>
            <w:vAlign w:val="center"/>
          </w:tcPr>
          <w:p w14:paraId="78A28C9E">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b/>
                <w:bCs/>
                <w:color w:val="auto"/>
                <w:szCs w:val="21"/>
              </w:rPr>
              <w:t>/</w:t>
            </w:r>
          </w:p>
        </w:tc>
        <w:tc>
          <w:tcPr>
            <w:tcW w:w="197" w:type="pct"/>
            <w:vMerge w:val="continue"/>
            <w:vAlign w:val="center"/>
          </w:tcPr>
          <w:p w14:paraId="5196AE5C">
            <w:pPr>
              <w:adjustRightInd w:val="0"/>
              <w:snapToGrid w:val="0"/>
              <w:spacing w:line="320" w:lineRule="exact"/>
              <w:jc w:val="center"/>
              <w:rPr>
                <w:rFonts w:eastAsia="仿宋_GB2312"/>
                <w:bCs/>
                <w:color w:val="FF0000"/>
                <w:szCs w:val="21"/>
              </w:rPr>
            </w:pPr>
          </w:p>
        </w:tc>
        <w:tc>
          <w:tcPr>
            <w:tcW w:w="195" w:type="pct"/>
            <w:vMerge w:val="continue"/>
            <w:vAlign w:val="center"/>
          </w:tcPr>
          <w:p w14:paraId="736764D4">
            <w:pPr>
              <w:adjustRightInd w:val="0"/>
              <w:snapToGrid w:val="0"/>
              <w:spacing w:line="320" w:lineRule="exact"/>
              <w:jc w:val="center"/>
              <w:rPr>
                <w:rFonts w:eastAsia="仿宋_GB2312"/>
                <w:bCs/>
                <w:color w:val="FF0000"/>
                <w:szCs w:val="21"/>
              </w:rPr>
            </w:pPr>
          </w:p>
        </w:tc>
        <w:tc>
          <w:tcPr>
            <w:tcW w:w="193" w:type="pct"/>
            <w:vMerge w:val="continue"/>
            <w:vAlign w:val="center"/>
          </w:tcPr>
          <w:p w14:paraId="4E980E66">
            <w:pPr>
              <w:adjustRightInd w:val="0"/>
              <w:snapToGrid w:val="0"/>
              <w:spacing w:line="320" w:lineRule="exact"/>
              <w:jc w:val="center"/>
              <w:rPr>
                <w:rFonts w:eastAsia="仿宋_GB2312"/>
                <w:bCs/>
                <w:color w:val="FF0000"/>
                <w:sz w:val="24"/>
                <w:szCs w:val="24"/>
              </w:rPr>
            </w:pPr>
          </w:p>
        </w:tc>
      </w:tr>
      <w:tr w14:paraId="782A08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295" w:type="pct"/>
            <w:vMerge w:val="continue"/>
            <w:vAlign w:val="center"/>
          </w:tcPr>
          <w:p w14:paraId="6F52A4CE">
            <w:pPr>
              <w:adjustRightInd w:val="0"/>
              <w:snapToGrid w:val="0"/>
              <w:spacing w:line="320" w:lineRule="exact"/>
              <w:jc w:val="center"/>
              <w:rPr>
                <w:rFonts w:eastAsia="仿宋_GB2312"/>
                <w:bCs/>
                <w:color w:val="FF0000"/>
                <w:szCs w:val="21"/>
              </w:rPr>
            </w:pPr>
          </w:p>
        </w:tc>
        <w:tc>
          <w:tcPr>
            <w:tcW w:w="375" w:type="pct"/>
            <w:vMerge w:val="continue"/>
            <w:vAlign w:val="center"/>
          </w:tcPr>
          <w:p w14:paraId="43612E84">
            <w:pPr>
              <w:jc w:val="center"/>
              <w:rPr>
                <w:rFonts w:eastAsia="仿宋_GB2312"/>
                <w:color w:val="FF0000"/>
                <w:szCs w:val="21"/>
              </w:rPr>
            </w:pPr>
          </w:p>
        </w:tc>
        <w:tc>
          <w:tcPr>
            <w:tcW w:w="0" w:type="auto"/>
            <w:shd w:val="clear" w:color="auto" w:fill="auto"/>
            <w:vAlign w:val="center"/>
          </w:tcPr>
          <w:p w14:paraId="4F8E90D7">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color w:val="auto"/>
                <w:szCs w:val="21"/>
              </w:rPr>
              <w:t>乙醇</w:t>
            </w:r>
          </w:p>
        </w:tc>
        <w:tc>
          <w:tcPr>
            <w:tcW w:w="338" w:type="pct"/>
            <w:shd w:val="clear" w:color="auto" w:fill="auto"/>
            <w:vAlign w:val="center"/>
          </w:tcPr>
          <w:p w14:paraId="72029BF5">
            <w:pPr>
              <w:adjustRightInd w:val="0"/>
              <w:snapToGrid w:val="0"/>
              <w:spacing w:line="320" w:lineRule="exact"/>
              <w:jc w:val="center"/>
              <w:rPr>
                <w:rFonts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142.63</w:t>
            </w:r>
          </w:p>
        </w:tc>
        <w:tc>
          <w:tcPr>
            <w:tcW w:w="0" w:type="auto"/>
            <w:shd w:val="clear" w:color="auto" w:fill="auto"/>
            <w:vAlign w:val="center"/>
          </w:tcPr>
          <w:p w14:paraId="51B54D88">
            <w:pPr>
              <w:adjustRightInd w:val="0"/>
              <w:snapToGrid w:val="0"/>
              <w:spacing w:line="320" w:lineRule="exact"/>
              <w:jc w:val="center"/>
              <w:rPr>
                <w:rFonts w:hint="default"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5.42</w:t>
            </w:r>
          </w:p>
        </w:tc>
        <w:tc>
          <w:tcPr>
            <w:tcW w:w="0" w:type="auto"/>
            <w:shd w:val="clear" w:color="auto" w:fill="auto"/>
            <w:vAlign w:val="center"/>
          </w:tcPr>
          <w:p w14:paraId="16AFCD65">
            <w:pPr>
              <w:adjustRightInd w:val="0"/>
              <w:snapToGrid w:val="0"/>
              <w:spacing w:line="320" w:lineRule="exact"/>
              <w:jc w:val="center"/>
              <w:rPr>
                <w:rFonts w:hint="default"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28.84</w:t>
            </w:r>
          </w:p>
        </w:tc>
        <w:tc>
          <w:tcPr>
            <w:tcW w:w="534" w:type="pct"/>
            <w:vMerge w:val="continue"/>
            <w:vAlign w:val="center"/>
          </w:tcPr>
          <w:p w14:paraId="41D9CED4">
            <w:pPr>
              <w:jc w:val="center"/>
              <w:rPr>
                <w:rFonts w:eastAsia="仿宋_GB2312"/>
                <w:color w:val="FF0000"/>
                <w:szCs w:val="21"/>
              </w:rPr>
            </w:pPr>
          </w:p>
        </w:tc>
        <w:tc>
          <w:tcPr>
            <w:tcW w:w="0" w:type="auto"/>
            <w:shd w:val="clear" w:color="auto" w:fill="auto"/>
            <w:vAlign w:val="center"/>
          </w:tcPr>
          <w:p w14:paraId="15F1855B">
            <w:pPr>
              <w:adjustRightInd w:val="0"/>
              <w:snapToGrid w:val="0"/>
              <w:spacing w:line="320" w:lineRule="exact"/>
              <w:jc w:val="center"/>
              <w:rPr>
                <w:rFonts w:hint="eastAsia"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95</w:t>
            </w:r>
          </w:p>
        </w:tc>
        <w:tc>
          <w:tcPr>
            <w:tcW w:w="291" w:type="pct"/>
            <w:shd w:val="clear" w:color="auto" w:fill="auto"/>
            <w:vAlign w:val="center"/>
          </w:tcPr>
          <w:p w14:paraId="32DAFB5F">
            <w:pPr>
              <w:adjustRightInd w:val="0"/>
              <w:snapToGrid w:val="0"/>
              <w:spacing w:line="320" w:lineRule="exact"/>
              <w:jc w:val="center"/>
              <w:rPr>
                <w:rFonts w:hint="eastAsia"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7.13</w:t>
            </w:r>
          </w:p>
        </w:tc>
        <w:tc>
          <w:tcPr>
            <w:tcW w:w="297" w:type="pct"/>
            <w:shd w:val="clear" w:color="auto" w:fill="auto"/>
            <w:vAlign w:val="center"/>
          </w:tcPr>
          <w:p w14:paraId="3E4D3CA5">
            <w:pPr>
              <w:adjustRightInd w:val="0"/>
              <w:snapToGrid w:val="0"/>
              <w:spacing w:line="320" w:lineRule="exact"/>
              <w:jc w:val="center"/>
              <w:rPr>
                <w:rFonts w:hint="default"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0.27</w:t>
            </w:r>
          </w:p>
        </w:tc>
        <w:tc>
          <w:tcPr>
            <w:tcW w:w="341" w:type="pct"/>
            <w:shd w:val="clear" w:color="auto" w:fill="auto"/>
            <w:vAlign w:val="center"/>
          </w:tcPr>
          <w:p w14:paraId="35DF78AB">
            <w:pPr>
              <w:adjustRightInd w:val="0"/>
              <w:snapToGrid w:val="0"/>
              <w:spacing w:line="320" w:lineRule="exact"/>
              <w:jc w:val="center"/>
              <w:rPr>
                <w:rFonts w:hint="eastAsia"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1.44</w:t>
            </w:r>
          </w:p>
        </w:tc>
        <w:tc>
          <w:tcPr>
            <w:tcW w:w="328" w:type="pct"/>
            <w:shd w:val="clear" w:color="auto" w:fill="auto"/>
            <w:vAlign w:val="center"/>
          </w:tcPr>
          <w:p w14:paraId="6FF3050F">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b/>
                <w:bCs/>
                <w:color w:val="auto"/>
                <w:szCs w:val="21"/>
              </w:rPr>
              <w:t>/</w:t>
            </w:r>
          </w:p>
        </w:tc>
        <w:tc>
          <w:tcPr>
            <w:tcW w:w="300" w:type="pct"/>
            <w:shd w:val="clear" w:color="auto" w:fill="auto"/>
            <w:vAlign w:val="center"/>
          </w:tcPr>
          <w:p w14:paraId="5D4B7226">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b/>
                <w:bCs/>
                <w:color w:val="auto"/>
                <w:szCs w:val="21"/>
              </w:rPr>
              <w:t>/</w:t>
            </w:r>
          </w:p>
        </w:tc>
        <w:tc>
          <w:tcPr>
            <w:tcW w:w="197" w:type="pct"/>
            <w:vMerge w:val="continue"/>
            <w:vAlign w:val="center"/>
          </w:tcPr>
          <w:p w14:paraId="24F4676B">
            <w:pPr>
              <w:adjustRightInd w:val="0"/>
              <w:snapToGrid w:val="0"/>
              <w:spacing w:line="320" w:lineRule="exact"/>
              <w:jc w:val="center"/>
              <w:rPr>
                <w:rFonts w:eastAsia="仿宋_GB2312"/>
                <w:bCs/>
                <w:color w:val="FF0000"/>
                <w:szCs w:val="21"/>
              </w:rPr>
            </w:pPr>
          </w:p>
        </w:tc>
        <w:tc>
          <w:tcPr>
            <w:tcW w:w="195" w:type="pct"/>
            <w:vMerge w:val="continue"/>
            <w:vAlign w:val="center"/>
          </w:tcPr>
          <w:p w14:paraId="61A0C28E">
            <w:pPr>
              <w:adjustRightInd w:val="0"/>
              <w:snapToGrid w:val="0"/>
              <w:spacing w:line="320" w:lineRule="exact"/>
              <w:jc w:val="center"/>
              <w:rPr>
                <w:rFonts w:eastAsia="仿宋_GB2312"/>
                <w:bCs/>
                <w:color w:val="FF0000"/>
                <w:szCs w:val="21"/>
              </w:rPr>
            </w:pPr>
          </w:p>
        </w:tc>
        <w:tc>
          <w:tcPr>
            <w:tcW w:w="193" w:type="pct"/>
            <w:vMerge w:val="continue"/>
            <w:vAlign w:val="center"/>
          </w:tcPr>
          <w:p w14:paraId="21DB4B4A">
            <w:pPr>
              <w:adjustRightInd w:val="0"/>
              <w:snapToGrid w:val="0"/>
              <w:spacing w:line="320" w:lineRule="exact"/>
              <w:jc w:val="center"/>
              <w:rPr>
                <w:rFonts w:eastAsia="仿宋_GB2312"/>
                <w:bCs/>
                <w:color w:val="FF0000"/>
                <w:sz w:val="24"/>
                <w:szCs w:val="24"/>
              </w:rPr>
            </w:pPr>
          </w:p>
        </w:tc>
      </w:tr>
      <w:tr w14:paraId="34AF139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295" w:type="pct"/>
            <w:vMerge w:val="continue"/>
            <w:vAlign w:val="center"/>
          </w:tcPr>
          <w:p w14:paraId="143B038D">
            <w:pPr>
              <w:adjustRightInd w:val="0"/>
              <w:snapToGrid w:val="0"/>
              <w:spacing w:line="320" w:lineRule="exact"/>
              <w:jc w:val="center"/>
              <w:rPr>
                <w:rFonts w:eastAsia="仿宋_GB2312"/>
                <w:bCs/>
                <w:color w:val="FF0000"/>
                <w:szCs w:val="21"/>
              </w:rPr>
            </w:pPr>
          </w:p>
        </w:tc>
        <w:tc>
          <w:tcPr>
            <w:tcW w:w="375" w:type="pct"/>
            <w:vMerge w:val="continue"/>
            <w:vAlign w:val="center"/>
          </w:tcPr>
          <w:p w14:paraId="50806FD8">
            <w:pPr>
              <w:jc w:val="center"/>
              <w:rPr>
                <w:rFonts w:eastAsia="仿宋_GB2312"/>
                <w:color w:val="FF0000"/>
                <w:szCs w:val="21"/>
              </w:rPr>
            </w:pPr>
          </w:p>
        </w:tc>
        <w:tc>
          <w:tcPr>
            <w:tcW w:w="0" w:type="auto"/>
            <w:shd w:val="clear" w:color="auto" w:fill="auto"/>
            <w:vAlign w:val="center"/>
          </w:tcPr>
          <w:p w14:paraId="76B4FE14">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color w:val="auto"/>
                <w:szCs w:val="21"/>
              </w:rPr>
              <w:t>乙酸乙酯</w:t>
            </w:r>
          </w:p>
        </w:tc>
        <w:tc>
          <w:tcPr>
            <w:tcW w:w="338" w:type="pct"/>
            <w:shd w:val="clear" w:color="auto" w:fill="auto"/>
            <w:vAlign w:val="center"/>
          </w:tcPr>
          <w:p w14:paraId="2EC73F5A">
            <w:pPr>
              <w:adjustRightInd w:val="0"/>
              <w:snapToGrid w:val="0"/>
              <w:spacing w:line="320" w:lineRule="exact"/>
              <w:jc w:val="center"/>
              <w:rPr>
                <w:rFonts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212.37</w:t>
            </w:r>
          </w:p>
        </w:tc>
        <w:tc>
          <w:tcPr>
            <w:tcW w:w="0" w:type="auto"/>
            <w:shd w:val="clear" w:color="auto" w:fill="auto"/>
            <w:vAlign w:val="center"/>
          </w:tcPr>
          <w:p w14:paraId="65BB560C">
            <w:pPr>
              <w:adjustRightInd w:val="0"/>
              <w:snapToGrid w:val="0"/>
              <w:spacing w:line="320" w:lineRule="exact"/>
              <w:jc w:val="center"/>
              <w:rPr>
                <w:rFonts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8.07</w:t>
            </w:r>
          </w:p>
        </w:tc>
        <w:tc>
          <w:tcPr>
            <w:tcW w:w="0" w:type="auto"/>
            <w:shd w:val="clear" w:color="auto" w:fill="auto"/>
            <w:vAlign w:val="center"/>
          </w:tcPr>
          <w:p w14:paraId="271CA95A">
            <w:pPr>
              <w:adjustRightInd w:val="0"/>
              <w:snapToGrid w:val="0"/>
              <w:spacing w:line="320" w:lineRule="exact"/>
              <w:jc w:val="center"/>
              <w:rPr>
                <w:rFonts w:hint="default"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8.21</w:t>
            </w:r>
          </w:p>
        </w:tc>
        <w:tc>
          <w:tcPr>
            <w:tcW w:w="534" w:type="pct"/>
            <w:vMerge w:val="continue"/>
            <w:vAlign w:val="center"/>
          </w:tcPr>
          <w:p w14:paraId="0CB391D7">
            <w:pPr>
              <w:jc w:val="center"/>
              <w:rPr>
                <w:rFonts w:eastAsia="仿宋_GB2312"/>
                <w:color w:val="FF0000"/>
                <w:szCs w:val="21"/>
              </w:rPr>
            </w:pPr>
          </w:p>
        </w:tc>
        <w:tc>
          <w:tcPr>
            <w:tcW w:w="0" w:type="auto"/>
            <w:shd w:val="clear" w:color="auto" w:fill="auto"/>
            <w:vAlign w:val="center"/>
          </w:tcPr>
          <w:p w14:paraId="38F2F382">
            <w:pPr>
              <w:adjustRightInd w:val="0"/>
              <w:snapToGrid w:val="0"/>
              <w:spacing w:line="320" w:lineRule="exact"/>
              <w:jc w:val="center"/>
              <w:rPr>
                <w:rFonts w:hint="eastAsia"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95</w:t>
            </w:r>
          </w:p>
        </w:tc>
        <w:tc>
          <w:tcPr>
            <w:tcW w:w="291" w:type="pct"/>
            <w:shd w:val="clear" w:color="auto" w:fill="auto"/>
            <w:vAlign w:val="center"/>
          </w:tcPr>
          <w:p w14:paraId="519C6AA9">
            <w:pPr>
              <w:adjustRightInd w:val="0"/>
              <w:snapToGrid w:val="0"/>
              <w:spacing w:line="320" w:lineRule="exact"/>
              <w:jc w:val="center"/>
              <w:rPr>
                <w:rFonts w:hint="eastAsia"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10.62</w:t>
            </w:r>
          </w:p>
        </w:tc>
        <w:tc>
          <w:tcPr>
            <w:tcW w:w="297" w:type="pct"/>
            <w:shd w:val="clear" w:color="auto" w:fill="auto"/>
            <w:vAlign w:val="center"/>
          </w:tcPr>
          <w:p w14:paraId="76A7C720">
            <w:pPr>
              <w:adjustRightInd w:val="0"/>
              <w:snapToGrid w:val="0"/>
              <w:spacing w:line="320" w:lineRule="exact"/>
              <w:jc w:val="center"/>
              <w:rPr>
                <w:rFonts w:hint="default"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0.40</w:t>
            </w:r>
          </w:p>
        </w:tc>
        <w:tc>
          <w:tcPr>
            <w:tcW w:w="341" w:type="pct"/>
            <w:shd w:val="clear" w:color="auto" w:fill="auto"/>
            <w:vAlign w:val="center"/>
          </w:tcPr>
          <w:p w14:paraId="68884339">
            <w:pPr>
              <w:adjustRightInd w:val="0"/>
              <w:snapToGrid w:val="0"/>
              <w:spacing w:line="320" w:lineRule="exact"/>
              <w:jc w:val="center"/>
              <w:rPr>
                <w:rFonts w:hint="eastAsia"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0.41</w:t>
            </w:r>
          </w:p>
        </w:tc>
        <w:tc>
          <w:tcPr>
            <w:tcW w:w="328" w:type="pct"/>
            <w:shd w:val="clear" w:color="auto" w:fill="auto"/>
            <w:vAlign w:val="center"/>
          </w:tcPr>
          <w:p w14:paraId="2205B11B">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b/>
                <w:bCs/>
                <w:color w:val="auto"/>
                <w:szCs w:val="21"/>
              </w:rPr>
              <w:t>/</w:t>
            </w:r>
          </w:p>
        </w:tc>
        <w:tc>
          <w:tcPr>
            <w:tcW w:w="300" w:type="pct"/>
            <w:shd w:val="clear" w:color="auto" w:fill="auto"/>
            <w:vAlign w:val="center"/>
          </w:tcPr>
          <w:p w14:paraId="3186AE01">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b/>
                <w:bCs/>
                <w:color w:val="auto"/>
                <w:szCs w:val="21"/>
              </w:rPr>
              <w:t>/</w:t>
            </w:r>
          </w:p>
        </w:tc>
        <w:tc>
          <w:tcPr>
            <w:tcW w:w="197" w:type="pct"/>
            <w:vMerge w:val="continue"/>
            <w:vAlign w:val="center"/>
          </w:tcPr>
          <w:p w14:paraId="1E3DB564">
            <w:pPr>
              <w:adjustRightInd w:val="0"/>
              <w:snapToGrid w:val="0"/>
              <w:spacing w:line="320" w:lineRule="exact"/>
              <w:jc w:val="center"/>
              <w:rPr>
                <w:rFonts w:eastAsia="仿宋_GB2312"/>
                <w:bCs/>
                <w:color w:val="FF0000"/>
                <w:szCs w:val="21"/>
              </w:rPr>
            </w:pPr>
          </w:p>
        </w:tc>
        <w:tc>
          <w:tcPr>
            <w:tcW w:w="195" w:type="pct"/>
            <w:vMerge w:val="continue"/>
            <w:vAlign w:val="center"/>
          </w:tcPr>
          <w:p w14:paraId="77F96A2C">
            <w:pPr>
              <w:adjustRightInd w:val="0"/>
              <w:snapToGrid w:val="0"/>
              <w:spacing w:line="320" w:lineRule="exact"/>
              <w:jc w:val="center"/>
              <w:rPr>
                <w:rFonts w:eastAsia="仿宋_GB2312"/>
                <w:bCs/>
                <w:color w:val="FF0000"/>
                <w:szCs w:val="21"/>
              </w:rPr>
            </w:pPr>
          </w:p>
        </w:tc>
        <w:tc>
          <w:tcPr>
            <w:tcW w:w="193" w:type="pct"/>
            <w:vMerge w:val="continue"/>
            <w:vAlign w:val="center"/>
          </w:tcPr>
          <w:p w14:paraId="2B8A44AA">
            <w:pPr>
              <w:adjustRightInd w:val="0"/>
              <w:snapToGrid w:val="0"/>
              <w:spacing w:line="320" w:lineRule="exact"/>
              <w:jc w:val="center"/>
              <w:rPr>
                <w:rFonts w:eastAsia="仿宋_GB2312"/>
                <w:bCs/>
                <w:color w:val="FF0000"/>
                <w:sz w:val="24"/>
                <w:szCs w:val="24"/>
              </w:rPr>
            </w:pPr>
          </w:p>
        </w:tc>
      </w:tr>
      <w:tr w14:paraId="511541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295" w:type="pct"/>
            <w:vMerge w:val="continue"/>
            <w:vAlign w:val="center"/>
          </w:tcPr>
          <w:p w14:paraId="38007320">
            <w:pPr>
              <w:adjustRightInd w:val="0"/>
              <w:snapToGrid w:val="0"/>
              <w:spacing w:line="320" w:lineRule="exact"/>
              <w:jc w:val="center"/>
              <w:rPr>
                <w:rFonts w:eastAsia="仿宋_GB2312"/>
                <w:bCs/>
                <w:color w:val="FF0000"/>
                <w:szCs w:val="21"/>
              </w:rPr>
            </w:pPr>
          </w:p>
        </w:tc>
        <w:tc>
          <w:tcPr>
            <w:tcW w:w="375" w:type="pct"/>
            <w:vMerge w:val="continue"/>
            <w:vAlign w:val="center"/>
          </w:tcPr>
          <w:p w14:paraId="39C86D7A">
            <w:pPr>
              <w:jc w:val="center"/>
              <w:rPr>
                <w:rFonts w:eastAsia="仿宋_GB2312"/>
                <w:color w:val="FF0000"/>
                <w:szCs w:val="21"/>
              </w:rPr>
            </w:pPr>
          </w:p>
        </w:tc>
        <w:tc>
          <w:tcPr>
            <w:tcW w:w="0" w:type="auto"/>
            <w:shd w:val="clear" w:color="auto" w:fill="auto"/>
            <w:vAlign w:val="center"/>
          </w:tcPr>
          <w:p w14:paraId="1B800D19">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color w:val="auto"/>
                <w:szCs w:val="21"/>
              </w:rPr>
              <w:t>二氯甲烷</w:t>
            </w:r>
          </w:p>
        </w:tc>
        <w:tc>
          <w:tcPr>
            <w:tcW w:w="338" w:type="pct"/>
            <w:shd w:val="clear" w:color="auto" w:fill="auto"/>
            <w:vAlign w:val="center"/>
          </w:tcPr>
          <w:p w14:paraId="3CD9817F">
            <w:pPr>
              <w:adjustRightInd w:val="0"/>
              <w:snapToGrid w:val="0"/>
              <w:spacing w:line="320" w:lineRule="exact"/>
              <w:jc w:val="center"/>
              <w:rPr>
                <w:rFonts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156.58</w:t>
            </w:r>
          </w:p>
        </w:tc>
        <w:tc>
          <w:tcPr>
            <w:tcW w:w="0" w:type="auto"/>
            <w:shd w:val="clear" w:color="auto" w:fill="auto"/>
            <w:vAlign w:val="center"/>
          </w:tcPr>
          <w:p w14:paraId="0A2E2CF8">
            <w:pPr>
              <w:adjustRightInd w:val="0"/>
              <w:snapToGrid w:val="0"/>
              <w:spacing w:line="320" w:lineRule="exact"/>
              <w:jc w:val="center"/>
              <w:rPr>
                <w:rFonts w:hint="default"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5.95</w:t>
            </w:r>
          </w:p>
        </w:tc>
        <w:tc>
          <w:tcPr>
            <w:tcW w:w="0" w:type="auto"/>
            <w:shd w:val="clear" w:color="auto" w:fill="auto"/>
            <w:vAlign w:val="center"/>
          </w:tcPr>
          <w:p w14:paraId="11D996F9">
            <w:pPr>
              <w:adjustRightInd w:val="0"/>
              <w:snapToGrid w:val="0"/>
              <w:spacing w:line="320" w:lineRule="exact"/>
              <w:jc w:val="center"/>
              <w:rPr>
                <w:rFonts w:hint="default"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6.135</w:t>
            </w:r>
          </w:p>
        </w:tc>
        <w:tc>
          <w:tcPr>
            <w:tcW w:w="534" w:type="pct"/>
            <w:vMerge w:val="continue"/>
            <w:vAlign w:val="center"/>
          </w:tcPr>
          <w:p w14:paraId="3CBB3F18">
            <w:pPr>
              <w:jc w:val="center"/>
              <w:rPr>
                <w:rFonts w:eastAsia="仿宋_GB2312"/>
                <w:color w:val="FF0000"/>
                <w:szCs w:val="21"/>
              </w:rPr>
            </w:pPr>
          </w:p>
        </w:tc>
        <w:tc>
          <w:tcPr>
            <w:tcW w:w="0" w:type="auto"/>
            <w:shd w:val="clear" w:color="auto" w:fill="auto"/>
            <w:vAlign w:val="center"/>
          </w:tcPr>
          <w:p w14:paraId="3D6A2EE6">
            <w:pPr>
              <w:adjustRightInd w:val="0"/>
              <w:snapToGrid w:val="0"/>
              <w:spacing w:line="320" w:lineRule="exact"/>
              <w:jc w:val="center"/>
              <w:rPr>
                <w:rFonts w:hint="eastAsia"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95</w:t>
            </w:r>
          </w:p>
        </w:tc>
        <w:tc>
          <w:tcPr>
            <w:tcW w:w="291" w:type="pct"/>
            <w:shd w:val="clear" w:color="auto" w:fill="auto"/>
            <w:vAlign w:val="center"/>
          </w:tcPr>
          <w:p w14:paraId="23116E3A">
            <w:pPr>
              <w:adjustRightInd w:val="0"/>
              <w:snapToGrid w:val="0"/>
              <w:spacing w:line="320" w:lineRule="exact"/>
              <w:jc w:val="center"/>
              <w:rPr>
                <w:rFonts w:hint="eastAsia"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7.83</w:t>
            </w:r>
          </w:p>
        </w:tc>
        <w:tc>
          <w:tcPr>
            <w:tcW w:w="297" w:type="pct"/>
            <w:shd w:val="clear" w:color="auto" w:fill="auto"/>
            <w:vAlign w:val="center"/>
          </w:tcPr>
          <w:p w14:paraId="4004B5EA">
            <w:pPr>
              <w:adjustRightInd w:val="0"/>
              <w:snapToGrid w:val="0"/>
              <w:spacing w:line="320" w:lineRule="exact"/>
              <w:jc w:val="center"/>
              <w:rPr>
                <w:rFonts w:hint="default"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0.30</w:t>
            </w:r>
          </w:p>
        </w:tc>
        <w:tc>
          <w:tcPr>
            <w:tcW w:w="341" w:type="pct"/>
            <w:shd w:val="clear" w:color="auto" w:fill="auto"/>
            <w:vAlign w:val="center"/>
          </w:tcPr>
          <w:p w14:paraId="2E888DF8">
            <w:pPr>
              <w:adjustRightInd w:val="0"/>
              <w:snapToGrid w:val="0"/>
              <w:spacing w:line="320" w:lineRule="exact"/>
              <w:jc w:val="center"/>
              <w:rPr>
                <w:rFonts w:hint="eastAsia"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0.31</w:t>
            </w:r>
          </w:p>
        </w:tc>
        <w:tc>
          <w:tcPr>
            <w:tcW w:w="328" w:type="pct"/>
            <w:shd w:val="clear" w:color="auto" w:fill="auto"/>
            <w:vAlign w:val="center"/>
          </w:tcPr>
          <w:p w14:paraId="689D36CF">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color w:val="auto"/>
                <w:szCs w:val="21"/>
              </w:rPr>
              <w:t>20</w:t>
            </w:r>
          </w:p>
        </w:tc>
        <w:tc>
          <w:tcPr>
            <w:tcW w:w="300" w:type="pct"/>
            <w:shd w:val="clear" w:color="auto" w:fill="auto"/>
            <w:vAlign w:val="center"/>
          </w:tcPr>
          <w:p w14:paraId="006371E6">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color w:val="auto"/>
                <w:szCs w:val="21"/>
              </w:rPr>
              <w:t>0.45</w:t>
            </w:r>
          </w:p>
        </w:tc>
        <w:tc>
          <w:tcPr>
            <w:tcW w:w="197" w:type="pct"/>
            <w:vMerge w:val="continue"/>
            <w:vAlign w:val="center"/>
          </w:tcPr>
          <w:p w14:paraId="6C942BCC">
            <w:pPr>
              <w:adjustRightInd w:val="0"/>
              <w:snapToGrid w:val="0"/>
              <w:spacing w:line="320" w:lineRule="exact"/>
              <w:jc w:val="center"/>
              <w:rPr>
                <w:rFonts w:eastAsia="仿宋_GB2312"/>
                <w:bCs/>
                <w:color w:val="FF0000"/>
                <w:szCs w:val="21"/>
              </w:rPr>
            </w:pPr>
          </w:p>
        </w:tc>
        <w:tc>
          <w:tcPr>
            <w:tcW w:w="195" w:type="pct"/>
            <w:vMerge w:val="continue"/>
            <w:vAlign w:val="center"/>
          </w:tcPr>
          <w:p w14:paraId="59134BA5">
            <w:pPr>
              <w:adjustRightInd w:val="0"/>
              <w:snapToGrid w:val="0"/>
              <w:spacing w:line="320" w:lineRule="exact"/>
              <w:jc w:val="center"/>
              <w:rPr>
                <w:rFonts w:eastAsia="仿宋_GB2312"/>
                <w:bCs/>
                <w:color w:val="FF0000"/>
                <w:szCs w:val="21"/>
              </w:rPr>
            </w:pPr>
          </w:p>
        </w:tc>
        <w:tc>
          <w:tcPr>
            <w:tcW w:w="193" w:type="pct"/>
            <w:vMerge w:val="continue"/>
            <w:vAlign w:val="center"/>
          </w:tcPr>
          <w:p w14:paraId="4307CD6C">
            <w:pPr>
              <w:adjustRightInd w:val="0"/>
              <w:snapToGrid w:val="0"/>
              <w:spacing w:line="320" w:lineRule="exact"/>
              <w:jc w:val="center"/>
              <w:rPr>
                <w:rFonts w:eastAsia="仿宋_GB2312"/>
                <w:bCs/>
                <w:color w:val="FF0000"/>
                <w:sz w:val="24"/>
                <w:szCs w:val="24"/>
              </w:rPr>
            </w:pPr>
          </w:p>
        </w:tc>
      </w:tr>
      <w:tr w14:paraId="0D378CF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295" w:type="pct"/>
            <w:vMerge w:val="continue"/>
            <w:vAlign w:val="center"/>
          </w:tcPr>
          <w:p w14:paraId="4B71BD4D">
            <w:pPr>
              <w:adjustRightInd w:val="0"/>
              <w:snapToGrid w:val="0"/>
              <w:spacing w:line="320" w:lineRule="exact"/>
              <w:jc w:val="center"/>
              <w:rPr>
                <w:rFonts w:eastAsia="仿宋_GB2312"/>
                <w:bCs/>
                <w:color w:val="FF0000"/>
                <w:szCs w:val="21"/>
              </w:rPr>
            </w:pPr>
          </w:p>
        </w:tc>
        <w:tc>
          <w:tcPr>
            <w:tcW w:w="375" w:type="pct"/>
            <w:vMerge w:val="continue"/>
            <w:vAlign w:val="center"/>
          </w:tcPr>
          <w:p w14:paraId="4ACAAC61">
            <w:pPr>
              <w:jc w:val="center"/>
              <w:rPr>
                <w:rFonts w:eastAsia="仿宋_GB2312"/>
                <w:color w:val="FF0000"/>
                <w:szCs w:val="21"/>
              </w:rPr>
            </w:pPr>
          </w:p>
        </w:tc>
        <w:tc>
          <w:tcPr>
            <w:tcW w:w="0" w:type="auto"/>
            <w:shd w:val="clear" w:color="auto" w:fill="auto"/>
            <w:vAlign w:val="center"/>
          </w:tcPr>
          <w:p w14:paraId="2E9DBF49">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color w:val="auto"/>
                <w:szCs w:val="21"/>
              </w:rPr>
              <w:t>乙酸丁酯</w:t>
            </w:r>
          </w:p>
        </w:tc>
        <w:tc>
          <w:tcPr>
            <w:tcW w:w="338" w:type="pct"/>
            <w:shd w:val="clear" w:color="auto" w:fill="auto"/>
            <w:vAlign w:val="center"/>
          </w:tcPr>
          <w:p w14:paraId="103C226C">
            <w:pPr>
              <w:adjustRightInd w:val="0"/>
              <w:snapToGrid w:val="0"/>
              <w:spacing w:line="320" w:lineRule="exact"/>
              <w:jc w:val="center"/>
              <w:rPr>
                <w:rFonts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149.21</w:t>
            </w:r>
          </w:p>
        </w:tc>
        <w:tc>
          <w:tcPr>
            <w:tcW w:w="0" w:type="auto"/>
            <w:shd w:val="clear" w:color="auto" w:fill="auto"/>
            <w:vAlign w:val="center"/>
          </w:tcPr>
          <w:p w14:paraId="0072ABA5">
            <w:pPr>
              <w:adjustRightInd w:val="0"/>
              <w:snapToGrid w:val="0"/>
              <w:spacing w:line="320" w:lineRule="exact"/>
              <w:jc w:val="center"/>
              <w:rPr>
                <w:rFonts w:hint="default"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5.67</w:t>
            </w:r>
          </w:p>
        </w:tc>
        <w:tc>
          <w:tcPr>
            <w:tcW w:w="0" w:type="auto"/>
            <w:shd w:val="clear" w:color="auto" w:fill="auto"/>
            <w:vAlign w:val="center"/>
          </w:tcPr>
          <w:p w14:paraId="335B83B4">
            <w:pPr>
              <w:adjustRightInd w:val="0"/>
              <w:snapToGrid w:val="0"/>
              <w:spacing w:line="320" w:lineRule="exact"/>
              <w:jc w:val="center"/>
              <w:rPr>
                <w:rFonts w:hint="default"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8.789</w:t>
            </w:r>
          </w:p>
        </w:tc>
        <w:tc>
          <w:tcPr>
            <w:tcW w:w="534" w:type="pct"/>
            <w:vMerge w:val="continue"/>
            <w:vAlign w:val="center"/>
          </w:tcPr>
          <w:p w14:paraId="029199AE">
            <w:pPr>
              <w:jc w:val="center"/>
              <w:rPr>
                <w:rFonts w:eastAsia="仿宋_GB2312"/>
                <w:color w:val="FF0000"/>
                <w:szCs w:val="21"/>
              </w:rPr>
            </w:pPr>
          </w:p>
        </w:tc>
        <w:tc>
          <w:tcPr>
            <w:tcW w:w="0" w:type="auto"/>
            <w:shd w:val="clear" w:color="auto" w:fill="auto"/>
            <w:vAlign w:val="center"/>
          </w:tcPr>
          <w:p w14:paraId="6C3C6B6A">
            <w:pPr>
              <w:adjustRightInd w:val="0"/>
              <w:snapToGrid w:val="0"/>
              <w:spacing w:line="320" w:lineRule="exact"/>
              <w:jc w:val="center"/>
              <w:rPr>
                <w:rFonts w:hint="eastAsia"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95</w:t>
            </w:r>
          </w:p>
        </w:tc>
        <w:tc>
          <w:tcPr>
            <w:tcW w:w="291" w:type="pct"/>
            <w:shd w:val="clear" w:color="auto" w:fill="auto"/>
            <w:vAlign w:val="center"/>
          </w:tcPr>
          <w:p w14:paraId="512ECB06">
            <w:pPr>
              <w:adjustRightInd w:val="0"/>
              <w:snapToGrid w:val="0"/>
              <w:spacing w:line="320" w:lineRule="exact"/>
              <w:jc w:val="center"/>
              <w:rPr>
                <w:rFonts w:hint="eastAsia"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7.46</w:t>
            </w:r>
          </w:p>
        </w:tc>
        <w:tc>
          <w:tcPr>
            <w:tcW w:w="297" w:type="pct"/>
            <w:shd w:val="clear" w:color="auto" w:fill="auto"/>
            <w:vAlign w:val="center"/>
          </w:tcPr>
          <w:p w14:paraId="14D4CDEE">
            <w:pPr>
              <w:adjustRightInd w:val="0"/>
              <w:snapToGrid w:val="0"/>
              <w:spacing w:line="320" w:lineRule="exact"/>
              <w:jc w:val="center"/>
              <w:rPr>
                <w:rFonts w:hint="default"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0.28</w:t>
            </w:r>
          </w:p>
        </w:tc>
        <w:tc>
          <w:tcPr>
            <w:tcW w:w="341" w:type="pct"/>
            <w:shd w:val="clear" w:color="auto" w:fill="auto"/>
            <w:vAlign w:val="center"/>
          </w:tcPr>
          <w:p w14:paraId="206337F9">
            <w:pPr>
              <w:adjustRightInd w:val="0"/>
              <w:snapToGrid w:val="0"/>
              <w:spacing w:line="320" w:lineRule="exact"/>
              <w:jc w:val="center"/>
              <w:rPr>
                <w:rFonts w:hint="eastAsia"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0.44</w:t>
            </w:r>
          </w:p>
        </w:tc>
        <w:tc>
          <w:tcPr>
            <w:tcW w:w="328" w:type="pct"/>
            <w:shd w:val="clear" w:color="auto" w:fill="auto"/>
            <w:vAlign w:val="center"/>
          </w:tcPr>
          <w:p w14:paraId="46AF614F">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b/>
                <w:bCs/>
                <w:color w:val="auto"/>
                <w:szCs w:val="21"/>
              </w:rPr>
              <w:t>/</w:t>
            </w:r>
          </w:p>
        </w:tc>
        <w:tc>
          <w:tcPr>
            <w:tcW w:w="300" w:type="pct"/>
            <w:shd w:val="clear" w:color="auto" w:fill="auto"/>
            <w:vAlign w:val="center"/>
          </w:tcPr>
          <w:p w14:paraId="2D2213DA">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b/>
                <w:bCs/>
                <w:color w:val="auto"/>
                <w:szCs w:val="21"/>
              </w:rPr>
              <w:t>/</w:t>
            </w:r>
          </w:p>
        </w:tc>
        <w:tc>
          <w:tcPr>
            <w:tcW w:w="197" w:type="pct"/>
            <w:vMerge w:val="continue"/>
            <w:vAlign w:val="center"/>
          </w:tcPr>
          <w:p w14:paraId="174918E4">
            <w:pPr>
              <w:adjustRightInd w:val="0"/>
              <w:snapToGrid w:val="0"/>
              <w:spacing w:line="320" w:lineRule="exact"/>
              <w:jc w:val="center"/>
              <w:rPr>
                <w:rFonts w:eastAsia="仿宋_GB2312"/>
                <w:bCs/>
                <w:color w:val="FF0000"/>
                <w:szCs w:val="21"/>
              </w:rPr>
            </w:pPr>
          </w:p>
        </w:tc>
        <w:tc>
          <w:tcPr>
            <w:tcW w:w="195" w:type="pct"/>
            <w:vMerge w:val="continue"/>
            <w:vAlign w:val="center"/>
          </w:tcPr>
          <w:p w14:paraId="7E5E0064">
            <w:pPr>
              <w:adjustRightInd w:val="0"/>
              <w:snapToGrid w:val="0"/>
              <w:spacing w:line="320" w:lineRule="exact"/>
              <w:jc w:val="center"/>
              <w:rPr>
                <w:rFonts w:eastAsia="仿宋_GB2312"/>
                <w:bCs/>
                <w:color w:val="FF0000"/>
                <w:szCs w:val="21"/>
              </w:rPr>
            </w:pPr>
          </w:p>
        </w:tc>
        <w:tc>
          <w:tcPr>
            <w:tcW w:w="193" w:type="pct"/>
            <w:vMerge w:val="continue"/>
            <w:vAlign w:val="center"/>
          </w:tcPr>
          <w:p w14:paraId="37F6855E">
            <w:pPr>
              <w:adjustRightInd w:val="0"/>
              <w:snapToGrid w:val="0"/>
              <w:spacing w:line="320" w:lineRule="exact"/>
              <w:jc w:val="center"/>
              <w:rPr>
                <w:rFonts w:eastAsia="仿宋_GB2312"/>
                <w:bCs/>
                <w:color w:val="FF0000"/>
                <w:sz w:val="24"/>
                <w:szCs w:val="24"/>
              </w:rPr>
            </w:pPr>
          </w:p>
        </w:tc>
      </w:tr>
      <w:tr w14:paraId="624BF7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295" w:type="pct"/>
            <w:vMerge w:val="continue"/>
            <w:vAlign w:val="center"/>
          </w:tcPr>
          <w:p w14:paraId="74A44E9A">
            <w:pPr>
              <w:adjustRightInd w:val="0"/>
              <w:snapToGrid w:val="0"/>
              <w:spacing w:line="320" w:lineRule="exact"/>
              <w:jc w:val="center"/>
              <w:rPr>
                <w:rFonts w:eastAsia="仿宋_GB2312"/>
                <w:bCs/>
                <w:color w:val="FF0000"/>
                <w:szCs w:val="21"/>
              </w:rPr>
            </w:pPr>
          </w:p>
        </w:tc>
        <w:tc>
          <w:tcPr>
            <w:tcW w:w="375" w:type="pct"/>
            <w:vMerge w:val="continue"/>
            <w:vAlign w:val="center"/>
          </w:tcPr>
          <w:p w14:paraId="314F4E76">
            <w:pPr>
              <w:jc w:val="center"/>
              <w:rPr>
                <w:rFonts w:eastAsia="仿宋_GB2312"/>
                <w:color w:val="FF0000"/>
                <w:szCs w:val="21"/>
              </w:rPr>
            </w:pPr>
          </w:p>
        </w:tc>
        <w:tc>
          <w:tcPr>
            <w:tcW w:w="0" w:type="auto"/>
            <w:shd w:val="clear" w:color="auto" w:fill="auto"/>
            <w:vAlign w:val="center"/>
          </w:tcPr>
          <w:p w14:paraId="7E6F879E">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color w:val="auto"/>
                <w:szCs w:val="21"/>
              </w:rPr>
              <w:t>二甲苯</w:t>
            </w:r>
          </w:p>
        </w:tc>
        <w:tc>
          <w:tcPr>
            <w:tcW w:w="338" w:type="pct"/>
            <w:shd w:val="clear" w:color="auto" w:fill="auto"/>
            <w:vAlign w:val="center"/>
          </w:tcPr>
          <w:p w14:paraId="1727921A">
            <w:pPr>
              <w:adjustRightInd w:val="0"/>
              <w:snapToGrid w:val="0"/>
              <w:spacing w:line="320" w:lineRule="exact"/>
              <w:jc w:val="center"/>
              <w:rPr>
                <w:rFonts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88.16</w:t>
            </w:r>
          </w:p>
        </w:tc>
        <w:tc>
          <w:tcPr>
            <w:tcW w:w="0" w:type="auto"/>
            <w:shd w:val="clear" w:color="auto" w:fill="auto"/>
            <w:vAlign w:val="center"/>
          </w:tcPr>
          <w:p w14:paraId="7F71A773">
            <w:pPr>
              <w:adjustRightInd w:val="0"/>
              <w:snapToGrid w:val="0"/>
              <w:spacing w:line="320" w:lineRule="exact"/>
              <w:jc w:val="center"/>
              <w:rPr>
                <w:rFonts w:hint="default"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3.35</w:t>
            </w:r>
          </w:p>
        </w:tc>
        <w:tc>
          <w:tcPr>
            <w:tcW w:w="0" w:type="auto"/>
            <w:shd w:val="clear" w:color="auto" w:fill="auto"/>
            <w:vAlign w:val="center"/>
          </w:tcPr>
          <w:p w14:paraId="20B577E4">
            <w:pPr>
              <w:adjustRightInd w:val="0"/>
              <w:snapToGrid w:val="0"/>
              <w:spacing w:line="320" w:lineRule="exact"/>
              <w:jc w:val="center"/>
              <w:rPr>
                <w:rFonts w:hint="default"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9.056</w:t>
            </w:r>
          </w:p>
        </w:tc>
        <w:tc>
          <w:tcPr>
            <w:tcW w:w="534" w:type="pct"/>
            <w:vMerge w:val="continue"/>
            <w:vAlign w:val="center"/>
          </w:tcPr>
          <w:p w14:paraId="05348F4D">
            <w:pPr>
              <w:jc w:val="center"/>
              <w:rPr>
                <w:rFonts w:eastAsia="仿宋_GB2312"/>
                <w:color w:val="FF0000"/>
                <w:szCs w:val="21"/>
              </w:rPr>
            </w:pPr>
          </w:p>
        </w:tc>
        <w:tc>
          <w:tcPr>
            <w:tcW w:w="0" w:type="auto"/>
            <w:shd w:val="clear" w:color="auto" w:fill="auto"/>
            <w:vAlign w:val="center"/>
          </w:tcPr>
          <w:p w14:paraId="3DC6B962">
            <w:pPr>
              <w:adjustRightInd w:val="0"/>
              <w:snapToGrid w:val="0"/>
              <w:spacing w:line="320" w:lineRule="exact"/>
              <w:jc w:val="center"/>
              <w:rPr>
                <w:rFonts w:hint="eastAsia"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95</w:t>
            </w:r>
          </w:p>
        </w:tc>
        <w:tc>
          <w:tcPr>
            <w:tcW w:w="291" w:type="pct"/>
            <w:shd w:val="clear" w:color="auto" w:fill="auto"/>
            <w:vAlign w:val="center"/>
          </w:tcPr>
          <w:p w14:paraId="3548A945">
            <w:pPr>
              <w:adjustRightInd w:val="0"/>
              <w:snapToGrid w:val="0"/>
              <w:spacing w:line="320" w:lineRule="exact"/>
              <w:jc w:val="center"/>
              <w:rPr>
                <w:rFonts w:hint="eastAsia"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4.41</w:t>
            </w:r>
          </w:p>
        </w:tc>
        <w:tc>
          <w:tcPr>
            <w:tcW w:w="297" w:type="pct"/>
            <w:shd w:val="clear" w:color="auto" w:fill="auto"/>
            <w:vAlign w:val="center"/>
          </w:tcPr>
          <w:p w14:paraId="620B550B">
            <w:pPr>
              <w:adjustRightInd w:val="0"/>
              <w:snapToGrid w:val="0"/>
              <w:spacing w:line="320" w:lineRule="exact"/>
              <w:jc w:val="center"/>
              <w:rPr>
                <w:rFonts w:hint="default"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0.17</w:t>
            </w:r>
          </w:p>
        </w:tc>
        <w:tc>
          <w:tcPr>
            <w:tcW w:w="341" w:type="pct"/>
            <w:shd w:val="clear" w:color="auto" w:fill="auto"/>
            <w:vAlign w:val="center"/>
          </w:tcPr>
          <w:p w14:paraId="03D8C590">
            <w:pPr>
              <w:adjustRightInd w:val="0"/>
              <w:snapToGrid w:val="0"/>
              <w:spacing w:line="320" w:lineRule="exact"/>
              <w:jc w:val="center"/>
              <w:rPr>
                <w:rFonts w:hint="eastAsia"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0.45</w:t>
            </w:r>
          </w:p>
        </w:tc>
        <w:tc>
          <w:tcPr>
            <w:tcW w:w="328" w:type="pct"/>
            <w:shd w:val="clear" w:color="auto" w:fill="auto"/>
            <w:vAlign w:val="center"/>
          </w:tcPr>
          <w:p w14:paraId="7892A74F">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color w:val="auto"/>
                <w:szCs w:val="21"/>
              </w:rPr>
              <w:t>10</w:t>
            </w:r>
          </w:p>
        </w:tc>
        <w:tc>
          <w:tcPr>
            <w:tcW w:w="300" w:type="pct"/>
            <w:shd w:val="clear" w:color="auto" w:fill="auto"/>
            <w:vAlign w:val="center"/>
          </w:tcPr>
          <w:p w14:paraId="3F3F5FC6">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color w:val="auto"/>
                <w:szCs w:val="21"/>
              </w:rPr>
              <w:t>0.72</w:t>
            </w:r>
          </w:p>
        </w:tc>
        <w:tc>
          <w:tcPr>
            <w:tcW w:w="197" w:type="pct"/>
            <w:vMerge w:val="continue"/>
            <w:vAlign w:val="center"/>
          </w:tcPr>
          <w:p w14:paraId="0D8BE3BE">
            <w:pPr>
              <w:adjustRightInd w:val="0"/>
              <w:snapToGrid w:val="0"/>
              <w:spacing w:line="320" w:lineRule="exact"/>
              <w:jc w:val="center"/>
              <w:rPr>
                <w:rFonts w:eastAsia="仿宋_GB2312"/>
                <w:bCs/>
                <w:color w:val="FF0000"/>
                <w:szCs w:val="21"/>
              </w:rPr>
            </w:pPr>
          </w:p>
        </w:tc>
        <w:tc>
          <w:tcPr>
            <w:tcW w:w="195" w:type="pct"/>
            <w:vMerge w:val="continue"/>
            <w:vAlign w:val="center"/>
          </w:tcPr>
          <w:p w14:paraId="00315434">
            <w:pPr>
              <w:adjustRightInd w:val="0"/>
              <w:snapToGrid w:val="0"/>
              <w:spacing w:line="320" w:lineRule="exact"/>
              <w:jc w:val="center"/>
              <w:rPr>
                <w:rFonts w:eastAsia="仿宋_GB2312"/>
                <w:bCs/>
                <w:color w:val="FF0000"/>
                <w:szCs w:val="21"/>
              </w:rPr>
            </w:pPr>
          </w:p>
        </w:tc>
        <w:tc>
          <w:tcPr>
            <w:tcW w:w="193" w:type="pct"/>
            <w:vMerge w:val="continue"/>
            <w:vAlign w:val="center"/>
          </w:tcPr>
          <w:p w14:paraId="7D1EA836">
            <w:pPr>
              <w:adjustRightInd w:val="0"/>
              <w:snapToGrid w:val="0"/>
              <w:spacing w:line="320" w:lineRule="exact"/>
              <w:jc w:val="center"/>
              <w:rPr>
                <w:rFonts w:eastAsia="仿宋_GB2312"/>
                <w:bCs/>
                <w:color w:val="FF0000"/>
                <w:sz w:val="24"/>
                <w:szCs w:val="24"/>
              </w:rPr>
            </w:pPr>
          </w:p>
        </w:tc>
      </w:tr>
      <w:tr w14:paraId="600E54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295" w:type="pct"/>
            <w:vMerge w:val="continue"/>
            <w:vAlign w:val="center"/>
          </w:tcPr>
          <w:p w14:paraId="28E8CE2E">
            <w:pPr>
              <w:adjustRightInd w:val="0"/>
              <w:snapToGrid w:val="0"/>
              <w:spacing w:line="320" w:lineRule="exact"/>
              <w:jc w:val="center"/>
              <w:rPr>
                <w:rFonts w:eastAsia="仿宋_GB2312"/>
                <w:bCs/>
                <w:color w:val="FF0000"/>
                <w:szCs w:val="21"/>
              </w:rPr>
            </w:pPr>
          </w:p>
        </w:tc>
        <w:tc>
          <w:tcPr>
            <w:tcW w:w="375" w:type="pct"/>
            <w:vMerge w:val="continue"/>
            <w:vAlign w:val="center"/>
          </w:tcPr>
          <w:p w14:paraId="6BF7CBDF">
            <w:pPr>
              <w:jc w:val="center"/>
              <w:rPr>
                <w:rFonts w:eastAsia="仿宋_GB2312"/>
                <w:color w:val="FF0000"/>
                <w:szCs w:val="21"/>
              </w:rPr>
            </w:pPr>
          </w:p>
        </w:tc>
        <w:tc>
          <w:tcPr>
            <w:tcW w:w="0" w:type="auto"/>
            <w:shd w:val="clear" w:color="auto" w:fill="auto"/>
            <w:vAlign w:val="center"/>
          </w:tcPr>
          <w:p w14:paraId="7BA5DF7F">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color w:val="auto"/>
                <w:szCs w:val="21"/>
              </w:rPr>
              <w:t>甲苯</w:t>
            </w:r>
          </w:p>
        </w:tc>
        <w:tc>
          <w:tcPr>
            <w:tcW w:w="338" w:type="pct"/>
            <w:shd w:val="clear" w:color="auto" w:fill="auto"/>
            <w:vAlign w:val="center"/>
          </w:tcPr>
          <w:p w14:paraId="1FD111AE">
            <w:pPr>
              <w:adjustRightInd w:val="0"/>
              <w:snapToGrid w:val="0"/>
              <w:spacing w:line="320" w:lineRule="exact"/>
              <w:jc w:val="center"/>
              <w:rPr>
                <w:rFonts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67.63</w:t>
            </w:r>
          </w:p>
        </w:tc>
        <w:tc>
          <w:tcPr>
            <w:tcW w:w="0" w:type="auto"/>
            <w:shd w:val="clear" w:color="auto" w:fill="auto"/>
            <w:vAlign w:val="center"/>
          </w:tcPr>
          <w:p w14:paraId="24B5D748">
            <w:pPr>
              <w:adjustRightInd w:val="0"/>
              <w:snapToGrid w:val="0"/>
              <w:spacing w:line="320" w:lineRule="exact"/>
              <w:jc w:val="center"/>
              <w:rPr>
                <w:rFonts w:hint="default"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2.57</w:t>
            </w:r>
          </w:p>
        </w:tc>
        <w:tc>
          <w:tcPr>
            <w:tcW w:w="0" w:type="auto"/>
            <w:shd w:val="clear" w:color="auto" w:fill="auto"/>
            <w:vAlign w:val="center"/>
          </w:tcPr>
          <w:p w14:paraId="0A7E4CC4">
            <w:pPr>
              <w:adjustRightInd w:val="0"/>
              <w:snapToGrid w:val="0"/>
              <w:spacing w:line="320" w:lineRule="exact"/>
              <w:jc w:val="center"/>
              <w:rPr>
                <w:rFonts w:hint="default"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6.79</w:t>
            </w:r>
          </w:p>
        </w:tc>
        <w:tc>
          <w:tcPr>
            <w:tcW w:w="534" w:type="pct"/>
            <w:vMerge w:val="continue"/>
            <w:vAlign w:val="center"/>
          </w:tcPr>
          <w:p w14:paraId="1D82CD3B">
            <w:pPr>
              <w:jc w:val="center"/>
              <w:rPr>
                <w:rFonts w:eastAsia="仿宋_GB2312"/>
                <w:color w:val="FF0000"/>
                <w:szCs w:val="21"/>
              </w:rPr>
            </w:pPr>
          </w:p>
        </w:tc>
        <w:tc>
          <w:tcPr>
            <w:tcW w:w="0" w:type="auto"/>
            <w:shd w:val="clear" w:color="auto" w:fill="auto"/>
            <w:vAlign w:val="center"/>
          </w:tcPr>
          <w:p w14:paraId="5CC05CA6">
            <w:pPr>
              <w:adjustRightInd w:val="0"/>
              <w:snapToGrid w:val="0"/>
              <w:spacing w:line="320" w:lineRule="exact"/>
              <w:jc w:val="center"/>
              <w:rPr>
                <w:rFonts w:hint="eastAsia"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95</w:t>
            </w:r>
          </w:p>
        </w:tc>
        <w:tc>
          <w:tcPr>
            <w:tcW w:w="291" w:type="pct"/>
            <w:shd w:val="clear" w:color="auto" w:fill="auto"/>
            <w:vAlign w:val="center"/>
          </w:tcPr>
          <w:p w14:paraId="5E919BA1">
            <w:pPr>
              <w:adjustRightInd w:val="0"/>
              <w:snapToGrid w:val="0"/>
              <w:spacing w:line="320" w:lineRule="exact"/>
              <w:jc w:val="center"/>
              <w:rPr>
                <w:rFonts w:hint="eastAsia"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3.38</w:t>
            </w:r>
          </w:p>
        </w:tc>
        <w:tc>
          <w:tcPr>
            <w:tcW w:w="297" w:type="pct"/>
            <w:shd w:val="clear" w:color="auto" w:fill="auto"/>
            <w:vAlign w:val="center"/>
          </w:tcPr>
          <w:p w14:paraId="292A895F">
            <w:pPr>
              <w:adjustRightInd w:val="0"/>
              <w:snapToGrid w:val="0"/>
              <w:spacing w:line="320" w:lineRule="exact"/>
              <w:jc w:val="center"/>
              <w:rPr>
                <w:rFonts w:hint="default"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0.13</w:t>
            </w:r>
          </w:p>
        </w:tc>
        <w:tc>
          <w:tcPr>
            <w:tcW w:w="341" w:type="pct"/>
            <w:shd w:val="clear" w:color="auto" w:fill="auto"/>
            <w:vAlign w:val="center"/>
          </w:tcPr>
          <w:p w14:paraId="45735212">
            <w:pPr>
              <w:adjustRightInd w:val="0"/>
              <w:snapToGrid w:val="0"/>
              <w:spacing w:line="320" w:lineRule="exact"/>
              <w:jc w:val="center"/>
              <w:rPr>
                <w:rFonts w:hint="eastAsia"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0.34</w:t>
            </w:r>
          </w:p>
        </w:tc>
        <w:tc>
          <w:tcPr>
            <w:tcW w:w="328" w:type="pct"/>
            <w:shd w:val="clear" w:color="auto" w:fill="auto"/>
            <w:vAlign w:val="center"/>
          </w:tcPr>
          <w:p w14:paraId="290D37A8">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color w:val="auto"/>
                <w:szCs w:val="21"/>
              </w:rPr>
              <w:t>10</w:t>
            </w:r>
          </w:p>
        </w:tc>
        <w:tc>
          <w:tcPr>
            <w:tcW w:w="300" w:type="pct"/>
            <w:shd w:val="clear" w:color="auto" w:fill="auto"/>
            <w:vAlign w:val="center"/>
          </w:tcPr>
          <w:p w14:paraId="23AA780A">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color w:val="auto"/>
                <w:szCs w:val="21"/>
              </w:rPr>
              <w:t>0.2</w:t>
            </w:r>
          </w:p>
        </w:tc>
        <w:tc>
          <w:tcPr>
            <w:tcW w:w="197" w:type="pct"/>
            <w:vMerge w:val="continue"/>
            <w:vAlign w:val="center"/>
          </w:tcPr>
          <w:p w14:paraId="7452AA57">
            <w:pPr>
              <w:adjustRightInd w:val="0"/>
              <w:snapToGrid w:val="0"/>
              <w:spacing w:line="320" w:lineRule="exact"/>
              <w:jc w:val="center"/>
              <w:rPr>
                <w:rFonts w:eastAsia="仿宋_GB2312"/>
                <w:bCs/>
                <w:color w:val="FF0000"/>
                <w:szCs w:val="21"/>
              </w:rPr>
            </w:pPr>
          </w:p>
        </w:tc>
        <w:tc>
          <w:tcPr>
            <w:tcW w:w="195" w:type="pct"/>
            <w:vMerge w:val="continue"/>
            <w:vAlign w:val="center"/>
          </w:tcPr>
          <w:p w14:paraId="6657E840">
            <w:pPr>
              <w:adjustRightInd w:val="0"/>
              <w:snapToGrid w:val="0"/>
              <w:spacing w:line="320" w:lineRule="exact"/>
              <w:jc w:val="center"/>
              <w:rPr>
                <w:rFonts w:eastAsia="仿宋_GB2312"/>
                <w:bCs/>
                <w:color w:val="FF0000"/>
                <w:szCs w:val="21"/>
              </w:rPr>
            </w:pPr>
          </w:p>
        </w:tc>
        <w:tc>
          <w:tcPr>
            <w:tcW w:w="193" w:type="pct"/>
            <w:vMerge w:val="continue"/>
            <w:vAlign w:val="center"/>
          </w:tcPr>
          <w:p w14:paraId="7EDC9E23">
            <w:pPr>
              <w:adjustRightInd w:val="0"/>
              <w:snapToGrid w:val="0"/>
              <w:spacing w:line="320" w:lineRule="exact"/>
              <w:jc w:val="center"/>
              <w:rPr>
                <w:rFonts w:eastAsia="仿宋_GB2312"/>
                <w:bCs/>
                <w:color w:val="FF0000"/>
                <w:sz w:val="24"/>
                <w:szCs w:val="24"/>
              </w:rPr>
            </w:pPr>
          </w:p>
        </w:tc>
      </w:tr>
      <w:tr w14:paraId="5ECB27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295" w:type="pct"/>
            <w:vMerge w:val="continue"/>
            <w:vAlign w:val="center"/>
          </w:tcPr>
          <w:p w14:paraId="4AD43A48">
            <w:pPr>
              <w:adjustRightInd w:val="0"/>
              <w:snapToGrid w:val="0"/>
              <w:spacing w:line="320" w:lineRule="exact"/>
              <w:jc w:val="center"/>
              <w:rPr>
                <w:rFonts w:eastAsia="仿宋_GB2312"/>
                <w:bCs/>
                <w:color w:val="FF0000"/>
                <w:szCs w:val="21"/>
              </w:rPr>
            </w:pPr>
          </w:p>
        </w:tc>
        <w:tc>
          <w:tcPr>
            <w:tcW w:w="375" w:type="pct"/>
            <w:vMerge w:val="continue"/>
            <w:vAlign w:val="center"/>
          </w:tcPr>
          <w:p w14:paraId="0F240289">
            <w:pPr>
              <w:jc w:val="center"/>
              <w:rPr>
                <w:rFonts w:eastAsia="仿宋_GB2312"/>
                <w:color w:val="FF0000"/>
                <w:szCs w:val="21"/>
              </w:rPr>
            </w:pPr>
          </w:p>
        </w:tc>
        <w:tc>
          <w:tcPr>
            <w:tcW w:w="0" w:type="auto"/>
            <w:shd w:val="clear" w:color="auto" w:fill="auto"/>
            <w:vAlign w:val="center"/>
          </w:tcPr>
          <w:p w14:paraId="6C8321B7">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等线"/>
                <w:color w:val="auto"/>
                <w:szCs w:val="21"/>
              </w:rPr>
              <w:t>DMF</w:t>
            </w:r>
          </w:p>
        </w:tc>
        <w:tc>
          <w:tcPr>
            <w:tcW w:w="338" w:type="pct"/>
            <w:shd w:val="clear" w:color="auto" w:fill="auto"/>
            <w:vAlign w:val="center"/>
          </w:tcPr>
          <w:p w14:paraId="16426482">
            <w:pPr>
              <w:adjustRightInd w:val="0"/>
              <w:snapToGrid w:val="0"/>
              <w:spacing w:line="320" w:lineRule="exact"/>
              <w:jc w:val="center"/>
              <w:rPr>
                <w:rFonts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147.63</w:t>
            </w:r>
          </w:p>
        </w:tc>
        <w:tc>
          <w:tcPr>
            <w:tcW w:w="0" w:type="auto"/>
            <w:shd w:val="clear" w:color="auto" w:fill="auto"/>
            <w:vAlign w:val="center"/>
          </w:tcPr>
          <w:p w14:paraId="3B2ED88A">
            <w:pPr>
              <w:adjustRightInd w:val="0"/>
              <w:snapToGrid w:val="0"/>
              <w:spacing w:line="320" w:lineRule="exact"/>
              <w:jc w:val="center"/>
              <w:rPr>
                <w:rFonts w:hint="default"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5.61</w:t>
            </w:r>
          </w:p>
        </w:tc>
        <w:tc>
          <w:tcPr>
            <w:tcW w:w="0" w:type="auto"/>
            <w:shd w:val="clear" w:color="auto" w:fill="auto"/>
            <w:vAlign w:val="center"/>
          </w:tcPr>
          <w:p w14:paraId="14D8EBE6">
            <w:pPr>
              <w:adjustRightInd w:val="0"/>
              <w:snapToGrid w:val="0"/>
              <w:spacing w:line="320" w:lineRule="exact"/>
              <w:jc w:val="center"/>
              <w:rPr>
                <w:rFonts w:hint="default"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20.434</w:t>
            </w:r>
          </w:p>
        </w:tc>
        <w:tc>
          <w:tcPr>
            <w:tcW w:w="534" w:type="pct"/>
            <w:vMerge w:val="continue"/>
            <w:vAlign w:val="center"/>
          </w:tcPr>
          <w:p w14:paraId="2D080A1F">
            <w:pPr>
              <w:jc w:val="center"/>
              <w:rPr>
                <w:rFonts w:eastAsia="仿宋_GB2312"/>
                <w:color w:val="FF0000"/>
                <w:szCs w:val="21"/>
              </w:rPr>
            </w:pPr>
          </w:p>
        </w:tc>
        <w:tc>
          <w:tcPr>
            <w:tcW w:w="0" w:type="auto"/>
            <w:shd w:val="clear" w:color="auto" w:fill="auto"/>
            <w:vAlign w:val="center"/>
          </w:tcPr>
          <w:p w14:paraId="5AD96264">
            <w:pPr>
              <w:adjustRightInd w:val="0"/>
              <w:snapToGrid w:val="0"/>
              <w:spacing w:line="320" w:lineRule="exact"/>
              <w:jc w:val="center"/>
              <w:rPr>
                <w:rFonts w:hint="eastAsia"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95</w:t>
            </w:r>
          </w:p>
        </w:tc>
        <w:tc>
          <w:tcPr>
            <w:tcW w:w="291" w:type="pct"/>
            <w:shd w:val="clear" w:color="auto" w:fill="auto"/>
            <w:vAlign w:val="center"/>
          </w:tcPr>
          <w:p w14:paraId="4B81A8E0">
            <w:pPr>
              <w:adjustRightInd w:val="0"/>
              <w:snapToGrid w:val="0"/>
              <w:spacing w:line="320" w:lineRule="exact"/>
              <w:jc w:val="center"/>
              <w:rPr>
                <w:rFonts w:hint="eastAsia"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7.38</w:t>
            </w:r>
          </w:p>
        </w:tc>
        <w:tc>
          <w:tcPr>
            <w:tcW w:w="297" w:type="pct"/>
            <w:shd w:val="clear" w:color="auto" w:fill="auto"/>
            <w:vAlign w:val="center"/>
          </w:tcPr>
          <w:p w14:paraId="0F95AFC7">
            <w:pPr>
              <w:adjustRightInd w:val="0"/>
              <w:snapToGrid w:val="0"/>
              <w:spacing w:line="320" w:lineRule="exact"/>
              <w:jc w:val="center"/>
              <w:rPr>
                <w:rFonts w:hint="default"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0.28</w:t>
            </w:r>
          </w:p>
        </w:tc>
        <w:tc>
          <w:tcPr>
            <w:tcW w:w="341" w:type="pct"/>
            <w:shd w:val="clear" w:color="auto" w:fill="auto"/>
            <w:vAlign w:val="center"/>
          </w:tcPr>
          <w:p w14:paraId="0B00B786">
            <w:pPr>
              <w:adjustRightInd w:val="0"/>
              <w:snapToGrid w:val="0"/>
              <w:spacing w:line="320" w:lineRule="exact"/>
              <w:jc w:val="center"/>
              <w:rPr>
                <w:rFonts w:hint="eastAsia"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1.02</w:t>
            </w:r>
          </w:p>
        </w:tc>
        <w:tc>
          <w:tcPr>
            <w:tcW w:w="328" w:type="pct"/>
            <w:shd w:val="clear" w:color="auto" w:fill="auto"/>
            <w:vAlign w:val="center"/>
          </w:tcPr>
          <w:p w14:paraId="6B59B993">
            <w:pPr>
              <w:adjustRightInd w:val="0"/>
              <w:snapToGrid w:val="0"/>
              <w:spacing w:line="320" w:lineRule="exact"/>
              <w:jc w:val="center"/>
              <w:rPr>
                <w:rFonts w:ascii="Times New Roman" w:hAnsi="Times New Roman" w:eastAsia="仿宋_GB2312" w:cs="Times New Roman"/>
                <w:bCs/>
                <w:color w:val="auto"/>
                <w:kern w:val="2"/>
                <w:sz w:val="21"/>
                <w:szCs w:val="21"/>
                <w:lang w:val="en-US" w:eastAsia="zh-CN" w:bidi="ar-SA"/>
              </w:rPr>
            </w:pPr>
            <w:r>
              <w:rPr>
                <w:rFonts w:eastAsia="仿宋_GB2312"/>
                <w:bCs/>
                <w:color w:val="auto"/>
                <w:szCs w:val="21"/>
              </w:rPr>
              <w:t>30</w:t>
            </w:r>
          </w:p>
        </w:tc>
        <w:tc>
          <w:tcPr>
            <w:tcW w:w="300" w:type="pct"/>
            <w:shd w:val="clear" w:color="auto" w:fill="auto"/>
            <w:vAlign w:val="center"/>
          </w:tcPr>
          <w:p w14:paraId="6915113D">
            <w:pPr>
              <w:adjustRightInd w:val="0"/>
              <w:snapToGrid w:val="0"/>
              <w:spacing w:line="320" w:lineRule="exact"/>
              <w:jc w:val="center"/>
              <w:rPr>
                <w:rFonts w:hint="default" w:ascii="Times New Roman" w:hAnsi="Times New Roman" w:eastAsia="仿宋_GB2312" w:cs="Times New Roman"/>
                <w:bCs/>
                <w:color w:val="auto"/>
                <w:kern w:val="2"/>
                <w:sz w:val="21"/>
                <w:szCs w:val="21"/>
                <w:lang w:val="en-US" w:eastAsia="zh-CN" w:bidi="ar-SA"/>
              </w:rPr>
            </w:pPr>
            <w:r>
              <w:rPr>
                <w:rFonts w:hint="eastAsia" w:eastAsia="仿宋_GB2312"/>
                <w:bCs/>
                <w:color w:val="auto"/>
                <w:szCs w:val="21"/>
                <w:lang w:val="en-US" w:eastAsia="zh-CN"/>
              </w:rPr>
              <w:t>1.1</w:t>
            </w:r>
          </w:p>
        </w:tc>
        <w:tc>
          <w:tcPr>
            <w:tcW w:w="197" w:type="pct"/>
            <w:vMerge w:val="continue"/>
            <w:vAlign w:val="center"/>
          </w:tcPr>
          <w:p w14:paraId="6FFEDA8F">
            <w:pPr>
              <w:adjustRightInd w:val="0"/>
              <w:snapToGrid w:val="0"/>
              <w:spacing w:line="320" w:lineRule="exact"/>
              <w:jc w:val="center"/>
              <w:rPr>
                <w:rFonts w:eastAsia="仿宋_GB2312"/>
                <w:bCs/>
                <w:color w:val="FF0000"/>
                <w:szCs w:val="21"/>
              </w:rPr>
            </w:pPr>
          </w:p>
        </w:tc>
        <w:tc>
          <w:tcPr>
            <w:tcW w:w="195" w:type="pct"/>
            <w:vMerge w:val="continue"/>
            <w:vAlign w:val="center"/>
          </w:tcPr>
          <w:p w14:paraId="221ACF5F">
            <w:pPr>
              <w:adjustRightInd w:val="0"/>
              <w:snapToGrid w:val="0"/>
              <w:spacing w:line="320" w:lineRule="exact"/>
              <w:jc w:val="center"/>
              <w:rPr>
                <w:rFonts w:eastAsia="仿宋_GB2312"/>
                <w:bCs/>
                <w:color w:val="FF0000"/>
                <w:szCs w:val="21"/>
              </w:rPr>
            </w:pPr>
          </w:p>
        </w:tc>
        <w:tc>
          <w:tcPr>
            <w:tcW w:w="193" w:type="pct"/>
            <w:vMerge w:val="continue"/>
            <w:vAlign w:val="center"/>
          </w:tcPr>
          <w:p w14:paraId="08DC7C01">
            <w:pPr>
              <w:adjustRightInd w:val="0"/>
              <w:snapToGrid w:val="0"/>
              <w:spacing w:line="320" w:lineRule="exact"/>
              <w:jc w:val="center"/>
              <w:rPr>
                <w:rFonts w:eastAsia="仿宋_GB2312"/>
                <w:bCs/>
                <w:color w:val="FF0000"/>
                <w:sz w:val="24"/>
                <w:szCs w:val="24"/>
              </w:rPr>
            </w:pPr>
          </w:p>
        </w:tc>
      </w:tr>
      <w:tr w14:paraId="684600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295" w:type="pct"/>
            <w:vMerge w:val="continue"/>
            <w:vAlign w:val="center"/>
          </w:tcPr>
          <w:p w14:paraId="0B502979">
            <w:pPr>
              <w:adjustRightInd w:val="0"/>
              <w:snapToGrid w:val="0"/>
              <w:spacing w:line="320" w:lineRule="exact"/>
              <w:jc w:val="center"/>
              <w:rPr>
                <w:rFonts w:eastAsia="仿宋_GB2312"/>
                <w:bCs/>
                <w:color w:val="FF0000"/>
                <w:szCs w:val="21"/>
              </w:rPr>
            </w:pPr>
          </w:p>
        </w:tc>
        <w:tc>
          <w:tcPr>
            <w:tcW w:w="375" w:type="pct"/>
            <w:vMerge w:val="continue"/>
            <w:vAlign w:val="center"/>
          </w:tcPr>
          <w:p w14:paraId="12A5005D">
            <w:pPr>
              <w:jc w:val="center"/>
              <w:rPr>
                <w:rFonts w:eastAsia="仿宋_GB2312"/>
                <w:color w:val="FF0000"/>
                <w:szCs w:val="21"/>
              </w:rPr>
            </w:pPr>
          </w:p>
        </w:tc>
        <w:tc>
          <w:tcPr>
            <w:tcW w:w="0" w:type="auto"/>
            <w:shd w:val="clear" w:color="auto" w:fill="auto"/>
            <w:vAlign w:val="center"/>
          </w:tcPr>
          <w:p w14:paraId="55D49E2E">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color w:val="auto"/>
                <w:szCs w:val="21"/>
              </w:rPr>
              <w:t>环己烷</w:t>
            </w:r>
          </w:p>
        </w:tc>
        <w:tc>
          <w:tcPr>
            <w:tcW w:w="338" w:type="pct"/>
            <w:shd w:val="clear" w:color="auto" w:fill="auto"/>
            <w:vAlign w:val="center"/>
          </w:tcPr>
          <w:p w14:paraId="727D7959">
            <w:pPr>
              <w:adjustRightInd w:val="0"/>
              <w:snapToGrid w:val="0"/>
              <w:spacing w:line="320" w:lineRule="exact"/>
              <w:jc w:val="center"/>
              <w:rPr>
                <w:rFonts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97.37</w:t>
            </w:r>
          </w:p>
        </w:tc>
        <w:tc>
          <w:tcPr>
            <w:tcW w:w="0" w:type="auto"/>
            <w:shd w:val="clear" w:color="auto" w:fill="auto"/>
            <w:vAlign w:val="center"/>
          </w:tcPr>
          <w:p w14:paraId="1629BE13">
            <w:pPr>
              <w:adjustRightInd w:val="0"/>
              <w:snapToGrid w:val="0"/>
              <w:spacing w:line="320" w:lineRule="exact"/>
              <w:jc w:val="center"/>
              <w:rPr>
                <w:rFonts w:hint="default"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3.7</w:t>
            </w:r>
          </w:p>
        </w:tc>
        <w:tc>
          <w:tcPr>
            <w:tcW w:w="0" w:type="auto"/>
            <w:shd w:val="clear" w:color="auto" w:fill="auto"/>
            <w:vAlign w:val="center"/>
          </w:tcPr>
          <w:p w14:paraId="4EFB4D61">
            <w:pPr>
              <w:adjustRightInd w:val="0"/>
              <w:snapToGrid w:val="0"/>
              <w:spacing w:line="320" w:lineRule="exact"/>
              <w:jc w:val="center"/>
              <w:rPr>
                <w:rFonts w:hint="default"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2.81</w:t>
            </w:r>
          </w:p>
        </w:tc>
        <w:tc>
          <w:tcPr>
            <w:tcW w:w="534" w:type="pct"/>
            <w:vMerge w:val="continue"/>
            <w:vAlign w:val="center"/>
          </w:tcPr>
          <w:p w14:paraId="37BB4339">
            <w:pPr>
              <w:jc w:val="center"/>
              <w:rPr>
                <w:rFonts w:eastAsia="仿宋_GB2312"/>
                <w:color w:val="FF0000"/>
                <w:szCs w:val="21"/>
              </w:rPr>
            </w:pPr>
          </w:p>
        </w:tc>
        <w:tc>
          <w:tcPr>
            <w:tcW w:w="0" w:type="auto"/>
            <w:shd w:val="clear" w:color="auto" w:fill="auto"/>
            <w:vAlign w:val="center"/>
          </w:tcPr>
          <w:p w14:paraId="5B5894AD">
            <w:pPr>
              <w:adjustRightInd w:val="0"/>
              <w:snapToGrid w:val="0"/>
              <w:spacing w:line="320" w:lineRule="exact"/>
              <w:jc w:val="center"/>
              <w:rPr>
                <w:rFonts w:hint="eastAsia"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95</w:t>
            </w:r>
          </w:p>
        </w:tc>
        <w:tc>
          <w:tcPr>
            <w:tcW w:w="291" w:type="pct"/>
            <w:shd w:val="clear" w:color="auto" w:fill="auto"/>
            <w:vAlign w:val="center"/>
          </w:tcPr>
          <w:p w14:paraId="672CCFF3">
            <w:pPr>
              <w:adjustRightInd w:val="0"/>
              <w:snapToGrid w:val="0"/>
              <w:spacing w:line="320" w:lineRule="exact"/>
              <w:jc w:val="center"/>
              <w:rPr>
                <w:rFonts w:hint="eastAsia"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4.87</w:t>
            </w:r>
          </w:p>
        </w:tc>
        <w:tc>
          <w:tcPr>
            <w:tcW w:w="297" w:type="pct"/>
            <w:shd w:val="clear" w:color="auto" w:fill="auto"/>
            <w:vAlign w:val="center"/>
          </w:tcPr>
          <w:p w14:paraId="25FB3A00">
            <w:pPr>
              <w:adjustRightInd w:val="0"/>
              <w:snapToGrid w:val="0"/>
              <w:spacing w:line="320" w:lineRule="exact"/>
              <w:jc w:val="center"/>
              <w:rPr>
                <w:rFonts w:hint="default"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0.19</w:t>
            </w:r>
          </w:p>
        </w:tc>
        <w:tc>
          <w:tcPr>
            <w:tcW w:w="341" w:type="pct"/>
            <w:shd w:val="clear" w:color="auto" w:fill="auto"/>
            <w:vAlign w:val="center"/>
          </w:tcPr>
          <w:p w14:paraId="1FB9FE2F">
            <w:pPr>
              <w:adjustRightInd w:val="0"/>
              <w:snapToGrid w:val="0"/>
              <w:spacing w:line="320" w:lineRule="exact"/>
              <w:jc w:val="center"/>
              <w:rPr>
                <w:rFonts w:hint="eastAsia"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0.14</w:t>
            </w:r>
          </w:p>
        </w:tc>
        <w:tc>
          <w:tcPr>
            <w:tcW w:w="328" w:type="pct"/>
            <w:shd w:val="clear" w:color="auto" w:fill="auto"/>
            <w:vAlign w:val="center"/>
          </w:tcPr>
          <w:p w14:paraId="7547538A">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b/>
                <w:bCs/>
                <w:color w:val="auto"/>
                <w:szCs w:val="21"/>
              </w:rPr>
              <w:t>/</w:t>
            </w:r>
          </w:p>
        </w:tc>
        <w:tc>
          <w:tcPr>
            <w:tcW w:w="300" w:type="pct"/>
            <w:shd w:val="clear" w:color="auto" w:fill="auto"/>
            <w:vAlign w:val="center"/>
          </w:tcPr>
          <w:p w14:paraId="37E31D0C">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b/>
                <w:bCs/>
                <w:color w:val="auto"/>
                <w:szCs w:val="21"/>
              </w:rPr>
              <w:t>/</w:t>
            </w:r>
          </w:p>
        </w:tc>
        <w:tc>
          <w:tcPr>
            <w:tcW w:w="197" w:type="pct"/>
            <w:vMerge w:val="continue"/>
            <w:vAlign w:val="center"/>
          </w:tcPr>
          <w:p w14:paraId="1BD4F259">
            <w:pPr>
              <w:adjustRightInd w:val="0"/>
              <w:snapToGrid w:val="0"/>
              <w:spacing w:line="320" w:lineRule="exact"/>
              <w:jc w:val="center"/>
              <w:rPr>
                <w:rFonts w:eastAsia="仿宋_GB2312"/>
                <w:bCs/>
                <w:color w:val="FF0000"/>
                <w:szCs w:val="21"/>
              </w:rPr>
            </w:pPr>
          </w:p>
        </w:tc>
        <w:tc>
          <w:tcPr>
            <w:tcW w:w="195" w:type="pct"/>
            <w:vMerge w:val="continue"/>
            <w:vAlign w:val="center"/>
          </w:tcPr>
          <w:p w14:paraId="25CBFFC6">
            <w:pPr>
              <w:adjustRightInd w:val="0"/>
              <w:snapToGrid w:val="0"/>
              <w:spacing w:line="320" w:lineRule="exact"/>
              <w:jc w:val="center"/>
              <w:rPr>
                <w:rFonts w:eastAsia="仿宋_GB2312"/>
                <w:bCs/>
                <w:color w:val="FF0000"/>
                <w:szCs w:val="21"/>
              </w:rPr>
            </w:pPr>
          </w:p>
        </w:tc>
        <w:tc>
          <w:tcPr>
            <w:tcW w:w="193" w:type="pct"/>
            <w:vMerge w:val="continue"/>
            <w:vAlign w:val="center"/>
          </w:tcPr>
          <w:p w14:paraId="4FE9F72C">
            <w:pPr>
              <w:adjustRightInd w:val="0"/>
              <w:snapToGrid w:val="0"/>
              <w:spacing w:line="320" w:lineRule="exact"/>
              <w:jc w:val="center"/>
              <w:rPr>
                <w:rFonts w:eastAsia="仿宋_GB2312"/>
                <w:bCs/>
                <w:color w:val="FF0000"/>
                <w:sz w:val="24"/>
                <w:szCs w:val="24"/>
              </w:rPr>
            </w:pPr>
          </w:p>
        </w:tc>
      </w:tr>
      <w:tr w14:paraId="7CB536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295" w:type="pct"/>
            <w:vMerge w:val="continue"/>
            <w:vAlign w:val="center"/>
          </w:tcPr>
          <w:p w14:paraId="4CDD4A4E">
            <w:pPr>
              <w:adjustRightInd w:val="0"/>
              <w:snapToGrid w:val="0"/>
              <w:spacing w:line="320" w:lineRule="exact"/>
              <w:jc w:val="center"/>
              <w:rPr>
                <w:rFonts w:eastAsia="仿宋_GB2312"/>
                <w:bCs/>
                <w:color w:val="FF0000"/>
                <w:szCs w:val="21"/>
              </w:rPr>
            </w:pPr>
          </w:p>
        </w:tc>
        <w:tc>
          <w:tcPr>
            <w:tcW w:w="375" w:type="pct"/>
            <w:vMerge w:val="continue"/>
            <w:vAlign w:val="center"/>
          </w:tcPr>
          <w:p w14:paraId="35902436">
            <w:pPr>
              <w:jc w:val="center"/>
              <w:rPr>
                <w:rFonts w:eastAsia="仿宋_GB2312"/>
                <w:color w:val="FF0000"/>
                <w:szCs w:val="21"/>
              </w:rPr>
            </w:pPr>
          </w:p>
        </w:tc>
        <w:tc>
          <w:tcPr>
            <w:tcW w:w="0" w:type="auto"/>
            <w:shd w:val="clear" w:color="auto" w:fill="auto"/>
            <w:vAlign w:val="center"/>
          </w:tcPr>
          <w:p w14:paraId="19ED25AF">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color w:val="auto"/>
                <w:szCs w:val="21"/>
              </w:rPr>
              <w:t>环己酮</w:t>
            </w:r>
          </w:p>
        </w:tc>
        <w:tc>
          <w:tcPr>
            <w:tcW w:w="338" w:type="pct"/>
            <w:shd w:val="clear" w:color="auto" w:fill="auto"/>
            <w:vAlign w:val="center"/>
          </w:tcPr>
          <w:p w14:paraId="57DC1CF3">
            <w:pPr>
              <w:adjustRightInd w:val="0"/>
              <w:snapToGrid w:val="0"/>
              <w:spacing w:line="320" w:lineRule="exact"/>
              <w:jc w:val="center"/>
              <w:rPr>
                <w:rFonts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67.89</w:t>
            </w:r>
          </w:p>
        </w:tc>
        <w:tc>
          <w:tcPr>
            <w:tcW w:w="0" w:type="auto"/>
            <w:shd w:val="clear" w:color="auto" w:fill="auto"/>
            <w:vAlign w:val="center"/>
          </w:tcPr>
          <w:p w14:paraId="354915A8">
            <w:pPr>
              <w:adjustRightInd w:val="0"/>
              <w:snapToGrid w:val="0"/>
              <w:spacing w:line="320" w:lineRule="exact"/>
              <w:jc w:val="center"/>
              <w:rPr>
                <w:rFonts w:hint="default"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2.58</w:t>
            </w:r>
          </w:p>
        </w:tc>
        <w:tc>
          <w:tcPr>
            <w:tcW w:w="0" w:type="auto"/>
            <w:shd w:val="clear" w:color="auto" w:fill="auto"/>
            <w:vAlign w:val="center"/>
          </w:tcPr>
          <w:p w14:paraId="2F153EB7">
            <w:pPr>
              <w:adjustRightInd w:val="0"/>
              <w:snapToGrid w:val="0"/>
              <w:spacing w:line="320" w:lineRule="exact"/>
              <w:jc w:val="center"/>
              <w:rPr>
                <w:rFonts w:hint="default"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0.433</w:t>
            </w:r>
          </w:p>
        </w:tc>
        <w:tc>
          <w:tcPr>
            <w:tcW w:w="534" w:type="pct"/>
            <w:vMerge w:val="continue"/>
            <w:vAlign w:val="center"/>
          </w:tcPr>
          <w:p w14:paraId="20215B2D">
            <w:pPr>
              <w:jc w:val="center"/>
              <w:rPr>
                <w:rFonts w:eastAsia="仿宋_GB2312"/>
                <w:color w:val="FF0000"/>
                <w:szCs w:val="21"/>
              </w:rPr>
            </w:pPr>
          </w:p>
        </w:tc>
        <w:tc>
          <w:tcPr>
            <w:tcW w:w="0" w:type="auto"/>
            <w:shd w:val="clear" w:color="auto" w:fill="auto"/>
            <w:vAlign w:val="center"/>
          </w:tcPr>
          <w:p w14:paraId="3B7A674A">
            <w:pPr>
              <w:adjustRightInd w:val="0"/>
              <w:snapToGrid w:val="0"/>
              <w:spacing w:line="320" w:lineRule="exact"/>
              <w:jc w:val="center"/>
              <w:rPr>
                <w:rFonts w:hint="eastAsia"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95</w:t>
            </w:r>
          </w:p>
        </w:tc>
        <w:tc>
          <w:tcPr>
            <w:tcW w:w="291" w:type="pct"/>
            <w:shd w:val="clear" w:color="auto" w:fill="auto"/>
            <w:vAlign w:val="center"/>
          </w:tcPr>
          <w:p w14:paraId="28A9BA78">
            <w:pPr>
              <w:adjustRightInd w:val="0"/>
              <w:snapToGrid w:val="0"/>
              <w:spacing w:line="320" w:lineRule="exact"/>
              <w:jc w:val="center"/>
              <w:rPr>
                <w:rFonts w:hint="eastAsia"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3.39</w:t>
            </w:r>
          </w:p>
        </w:tc>
        <w:tc>
          <w:tcPr>
            <w:tcW w:w="297" w:type="pct"/>
            <w:shd w:val="clear" w:color="auto" w:fill="auto"/>
            <w:vAlign w:val="center"/>
          </w:tcPr>
          <w:p w14:paraId="2DCFF223">
            <w:pPr>
              <w:adjustRightInd w:val="0"/>
              <w:snapToGrid w:val="0"/>
              <w:spacing w:line="320" w:lineRule="exact"/>
              <w:jc w:val="center"/>
              <w:rPr>
                <w:rFonts w:hint="default"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0.13</w:t>
            </w:r>
          </w:p>
        </w:tc>
        <w:tc>
          <w:tcPr>
            <w:tcW w:w="341" w:type="pct"/>
            <w:shd w:val="clear" w:color="auto" w:fill="auto"/>
            <w:vAlign w:val="center"/>
          </w:tcPr>
          <w:p w14:paraId="7B3EC167">
            <w:pPr>
              <w:adjustRightInd w:val="0"/>
              <w:snapToGrid w:val="0"/>
              <w:spacing w:line="320" w:lineRule="exact"/>
              <w:jc w:val="center"/>
              <w:rPr>
                <w:rFonts w:hint="eastAsia"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0.02</w:t>
            </w:r>
          </w:p>
        </w:tc>
        <w:tc>
          <w:tcPr>
            <w:tcW w:w="328" w:type="pct"/>
            <w:shd w:val="clear" w:color="auto" w:fill="auto"/>
            <w:vAlign w:val="center"/>
          </w:tcPr>
          <w:p w14:paraId="2163EC8E">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b/>
                <w:bCs/>
                <w:color w:val="auto"/>
                <w:szCs w:val="21"/>
              </w:rPr>
              <w:t>/</w:t>
            </w:r>
          </w:p>
        </w:tc>
        <w:tc>
          <w:tcPr>
            <w:tcW w:w="300" w:type="pct"/>
            <w:shd w:val="clear" w:color="auto" w:fill="auto"/>
            <w:vAlign w:val="center"/>
          </w:tcPr>
          <w:p w14:paraId="35AD4BC3">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b/>
                <w:bCs/>
                <w:color w:val="auto"/>
                <w:szCs w:val="21"/>
              </w:rPr>
              <w:t>/</w:t>
            </w:r>
          </w:p>
        </w:tc>
        <w:tc>
          <w:tcPr>
            <w:tcW w:w="197" w:type="pct"/>
            <w:vMerge w:val="continue"/>
            <w:vAlign w:val="center"/>
          </w:tcPr>
          <w:p w14:paraId="51889243">
            <w:pPr>
              <w:adjustRightInd w:val="0"/>
              <w:snapToGrid w:val="0"/>
              <w:spacing w:line="320" w:lineRule="exact"/>
              <w:jc w:val="center"/>
              <w:rPr>
                <w:rFonts w:eastAsia="仿宋_GB2312"/>
                <w:bCs/>
                <w:color w:val="FF0000"/>
                <w:szCs w:val="21"/>
              </w:rPr>
            </w:pPr>
          </w:p>
        </w:tc>
        <w:tc>
          <w:tcPr>
            <w:tcW w:w="195" w:type="pct"/>
            <w:vMerge w:val="continue"/>
            <w:vAlign w:val="center"/>
          </w:tcPr>
          <w:p w14:paraId="580738DD">
            <w:pPr>
              <w:adjustRightInd w:val="0"/>
              <w:snapToGrid w:val="0"/>
              <w:spacing w:line="320" w:lineRule="exact"/>
              <w:jc w:val="center"/>
              <w:rPr>
                <w:rFonts w:eastAsia="仿宋_GB2312"/>
                <w:bCs/>
                <w:color w:val="FF0000"/>
                <w:szCs w:val="21"/>
              </w:rPr>
            </w:pPr>
          </w:p>
        </w:tc>
        <w:tc>
          <w:tcPr>
            <w:tcW w:w="193" w:type="pct"/>
            <w:vMerge w:val="continue"/>
            <w:vAlign w:val="center"/>
          </w:tcPr>
          <w:p w14:paraId="41D85BCC">
            <w:pPr>
              <w:adjustRightInd w:val="0"/>
              <w:snapToGrid w:val="0"/>
              <w:spacing w:line="320" w:lineRule="exact"/>
              <w:jc w:val="center"/>
              <w:rPr>
                <w:rFonts w:eastAsia="仿宋_GB2312"/>
                <w:bCs/>
                <w:color w:val="FF0000"/>
                <w:sz w:val="24"/>
                <w:szCs w:val="24"/>
              </w:rPr>
            </w:pPr>
          </w:p>
        </w:tc>
      </w:tr>
      <w:tr w14:paraId="4833F8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295" w:type="pct"/>
            <w:vMerge w:val="continue"/>
            <w:vAlign w:val="center"/>
          </w:tcPr>
          <w:p w14:paraId="0B1D3A43">
            <w:pPr>
              <w:adjustRightInd w:val="0"/>
              <w:snapToGrid w:val="0"/>
              <w:spacing w:line="320" w:lineRule="exact"/>
              <w:jc w:val="center"/>
              <w:rPr>
                <w:rFonts w:eastAsia="仿宋_GB2312"/>
                <w:bCs/>
                <w:color w:val="FF0000"/>
                <w:szCs w:val="21"/>
              </w:rPr>
            </w:pPr>
          </w:p>
        </w:tc>
        <w:tc>
          <w:tcPr>
            <w:tcW w:w="375" w:type="pct"/>
            <w:vMerge w:val="continue"/>
            <w:vAlign w:val="center"/>
          </w:tcPr>
          <w:p w14:paraId="24BFD605">
            <w:pPr>
              <w:jc w:val="center"/>
              <w:rPr>
                <w:rFonts w:eastAsia="仿宋_GB2312"/>
                <w:color w:val="FF0000"/>
                <w:szCs w:val="21"/>
              </w:rPr>
            </w:pPr>
          </w:p>
        </w:tc>
        <w:tc>
          <w:tcPr>
            <w:tcW w:w="0" w:type="auto"/>
            <w:shd w:val="clear" w:color="auto" w:fill="auto"/>
            <w:vAlign w:val="center"/>
          </w:tcPr>
          <w:p w14:paraId="7FC73768">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color w:val="auto"/>
                <w:szCs w:val="21"/>
              </w:rPr>
              <w:t>二氯乙烷</w:t>
            </w:r>
          </w:p>
        </w:tc>
        <w:tc>
          <w:tcPr>
            <w:tcW w:w="338" w:type="pct"/>
            <w:shd w:val="clear" w:color="auto" w:fill="auto"/>
            <w:vAlign w:val="center"/>
          </w:tcPr>
          <w:p w14:paraId="62AB7D8A">
            <w:pPr>
              <w:adjustRightInd w:val="0"/>
              <w:snapToGrid w:val="0"/>
              <w:spacing w:line="320" w:lineRule="exact"/>
              <w:jc w:val="center"/>
              <w:rPr>
                <w:rFonts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165.79</w:t>
            </w:r>
          </w:p>
        </w:tc>
        <w:tc>
          <w:tcPr>
            <w:tcW w:w="0" w:type="auto"/>
            <w:shd w:val="clear" w:color="auto" w:fill="auto"/>
            <w:vAlign w:val="center"/>
          </w:tcPr>
          <w:p w14:paraId="5A323713">
            <w:pPr>
              <w:adjustRightInd w:val="0"/>
              <w:snapToGrid w:val="0"/>
              <w:spacing w:line="320" w:lineRule="exact"/>
              <w:jc w:val="center"/>
              <w:rPr>
                <w:rFonts w:hint="default"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6.3</w:t>
            </w:r>
          </w:p>
        </w:tc>
        <w:tc>
          <w:tcPr>
            <w:tcW w:w="0" w:type="auto"/>
            <w:shd w:val="clear" w:color="auto" w:fill="auto"/>
            <w:vAlign w:val="center"/>
          </w:tcPr>
          <w:p w14:paraId="0529FAD7">
            <w:pPr>
              <w:adjustRightInd w:val="0"/>
              <w:snapToGrid w:val="0"/>
              <w:spacing w:line="320" w:lineRule="exact"/>
              <w:jc w:val="center"/>
              <w:rPr>
                <w:rFonts w:hint="default"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4.244</w:t>
            </w:r>
          </w:p>
        </w:tc>
        <w:tc>
          <w:tcPr>
            <w:tcW w:w="534" w:type="pct"/>
            <w:vMerge w:val="continue"/>
            <w:vAlign w:val="center"/>
          </w:tcPr>
          <w:p w14:paraId="6B8CEC12">
            <w:pPr>
              <w:jc w:val="center"/>
              <w:rPr>
                <w:rFonts w:eastAsia="仿宋_GB2312"/>
                <w:color w:val="FF0000"/>
                <w:szCs w:val="21"/>
              </w:rPr>
            </w:pPr>
          </w:p>
        </w:tc>
        <w:tc>
          <w:tcPr>
            <w:tcW w:w="0" w:type="auto"/>
            <w:shd w:val="clear" w:color="auto" w:fill="auto"/>
            <w:vAlign w:val="center"/>
          </w:tcPr>
          <w:p w14:paraId="15752682">
            <w:pPr>
              <w:adjustRightInd w:val="0"/>
              <w:snapToGrid w:val="0"/>
              <w:spacing w:line="320" w:lineRule="exact"/>
              <w:jc w:val="center"/>
              <w:rPr>
                <w:rFonts w:hint="eastAsia"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95</w:t>
            </w:r>
          </w:p>
        </w:tc>
        <w:tc>
          <w:tcPr>
            <w:tcW w:w="291" w:type="pct"/>
            <w:shd w:val="clear" w:color="auto" w:fill="auto"/>
            <w:vAlign w:val="center"/>
          </w:tcPr>
          <w:p w14:paraId="31C057C4">
            <w:pPr>
              <w:adjustRightInd w:val="0"/>
              <w:snapToGrid w:val="0"/>
              <w:spacing w:line="320" w:lineRule="exact"/>
              <w:jc w:val="center"/>
              <w:rPr>
                <w:rFonts w:hint="eastAsia"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8.29</w:t>
            </w:r>
          </w:p>
        </w:tc>
        <w:tc>
          <w:tcPr>
            <w:tcW w:w="297" w:type="pct"/>
            <w:shd w:val="clear" w:color="auto" w:fill="auto"/>
            <w:vAlign w:val="center"/>
          </w:tcPr>
          <w:p w14:paraId="216B6B24">
            <w:pPr>
              <w:adjustRightInd w:val="0"/>
              <w:snapToGrid w:val="0"/>
              <w:spacing w:line="320" w:lineRule="exact"/>
              <w:jc w:val="center"/>
              <w:rPr>
                <w:rFonts w:hint="default"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0.32</w:t>
            </w:r>
          </w:p>
        </w:tc>
        <w:tc>
          <w:tcPr>
            <w:tcW w:w="341" w:type="pct"/>
            <w:shd w:val="clear" w:color="auto" w:fill="auto"/>
            <w:vAlign w:val="center"/>
          </w:tcPr>
          <w:p w14:paraId="5280E8E3">
            <w:pPr>
              <w:adjustRightInd w:val="0"/>
              <w:snapToGrid w:val="0"/>
              <w:spacing w:line="320" w:lineRule="exact"/>
              <w:jc w:val="center"/>
              <w:rPr>
                <w:rFonts w:hint="eastAsia"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0.21</w:t>
            </w:r>
          </w:p>
        </w:tc>
        <w:tc>
          <w:tcPr>
            <w:tcW w:w="328" w:type="pct"/>
            <w:shd w:val="clear" w:color="auto" w:fill="auto"/>
            <w:vAlign w:val="center"/>
          </w:tcPr>
          <w:p w14:paraId="52093006">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color w:val="auto"/>
                <w:szCs w:val="21"/>
              </w:rPr>
              <w:t>7</w:t>
            </w:r>
          </w:p>
        </w:tc>
        <w:tc>
          <w:tcPr>
            <w:tcW w:w="300" w:type="pct"/>
            <w:shd w:val="clear" w:color="auto" w:fill="auto"/>
            <w:vAlign w:val="center"/>
          </w:tcPr>
          <w:p w14:paraId="0162C3FD">
            <w:pPr>
              <w:adjustRightInd w:val="0"/>
              <w:snapToGrid w:val="0"/>
              <w:spacing w:line="320" w:lineRule="exact"/>
              <w:jc w:val="center"/>
              <w:rPr>
                <w:rFonts w:hint="default" w:ascii="Times New Roman" w:hAnsi="Times New Roman" w:eastAsia="仿宋_GB2312" w:cs="Times New Roman"/>
                <w:b/>
                <w:bCs/>
                <w:color w:val="auto"/>
                <w:kern w:val="2"/>
                <w:sz w:val="21"/>
                <w:szCs w:val="21"/>
                <w:lang w:val="en-US" w:eastAsia="zh-CN" w:bidi="ar-SA"/>
              </w:rPr>
            </w:pPr>
            <w:r>
              <w:rPr>
                <w:rFonts w:hint="eastAsia" w:eastAsia="仿宋_GB2312"/>
                <w:color w:val="auto"/>
                <w:szCs w:val="21"/>
                <w:lang w:val="en-US" w:eastAsia="zh-CN"/>
              </w:rPr>
              <w:t>1.1</w:t>
            </w:r>
          </w:p>
        </w:tc>
        <w:tc>
          <w:tcPr>
            <w:tcW w:w="197" w:type="pct"/>
            <w:vMerge w:val="continue"/>
            <w:vAlign w:val="center"/>
          </w:tcPr>
          <w:p w14:paraId="14A79105">
            <w:pPr>
              <w:adjustRightInd w:val="0"/>
              <w:snapToGrid w:val="0"/>
              <w:spacing w:line="320" w:lineRule="exact"/>
              <w:jc w:val="center"/>
              <w:rPr>
                <w:rFonts w:eastAsia="仿宋_GB2312"/>
                <w:bCs/>
                <w:color w:val="FF0000"/>
                <w:szCs w:val="21"/>
              </w:rPr>
            </w:pPr>
          </w:p>
        </w:tc>
        <w:tc>
          <w:tcPr>
            <w:tcW w:w="195" w:type="pct"/>
            <w:vMerge w:val="continue"/>
            <w:vAlign w:val="center"/>
          </w:tcPr>
          <w:p w14:paraId="39B0D436">
            <w:pPr>
              <w:adjustRightInd w:val="0"/>
              <w:snapToGrid w:val="0"/>
              <w:spacing w:line="320" w:lineRule="exact"/>
              <w:jc w:val="center"/>
              <w:rPr>
                <w:rFonts w:eastAsia="仿宋_GB2312"/>
                <w:bCs/>
                <w:color w:val="FF0000"/>
                <w:szCs w:val="21"/>
              </w:rPr>
            </w:pPr>
          </w:p>
        </w:tc>
        <w:tc>
          <w:tcPr>
            <w:tcW w:w="193" w:type="pct"/>
            <w:vMerge w:val="continue"/>
            <w:vAlign w:val="center"/>
          </w:tcPr>
          <w:p w14:paraId="5B31A951">
            <w:pPr>
              <w:adjustRightInd w:val="0"/>
              <w:snapToGrid w:val="0"/>
              <w:spacing w:line="320" w:lineRule="exact"/>
              <w:jc w:val="center"/>
              <w:rPr>
                <w:rFonts w:eastAsia="仿宋_GB2312"/>
                <w:bCs/>
                <w:color w:val="FF0000"/>
                <w:sz w:val="24"/>
                <w:szCs w:val="24"/>
              </w:rPr>
            </w:pPr>
          </w:p>
        </w:tc>
      </w:tr>
      <w:tr w14:paraId="068422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295" w:type="pct"/>
            <w:vMerge w:val="continue"/>
            <w:vAlign w:val="center"/>
          </w:tcPr>
          <w:p w14:paraId="708E71B1">
            <w:pPr>
              <w:adjustRightInd w:val="0"/>
              <w:snapToGrid w:val="0"/>
              <w:spacing w:line="320" w:lineRule="exact"/>
              <w:jc w:val="center"/>
              <w:rPr>
                <w:rFonts w:eastAsia="仿宋_GB2312"/>
                <w:bCs/>
                <w:color w:val="FF0000"/>
                <w:szCs w:val="21"/>
              </w:rPr>
            </w:pPr>
          </w:p>
        </w:tc>
        <w:tc>
          <w:tcPr>
            <w:tcW w:w="375" w:type="pct"/>
            <w:vMerge w:val="continue"/>
            <w:vAlign w:val="center"/>
          </w:tcPr>
          <w:p w14:paraId="52C682FB">
            <w:pPr>
              <w:jc w:val="center"/>
              <w:rPr>
                <w:rFonts w:eastAsia="仿宋_GB2312"/>
                <w:color w:val="FF0000"/>
                <w:szCs w:val="21"/>
              </w:rPr>
            </w:pPr>
          </w:p>
        </w:tc>
        <w:tc>
          <w:tcPr>
            <w:tcW w:w="0" w:type="auto"/>
            <w:shd w:val="clear" w:color="auto" w:fill="auto"/>
            <w:vAlign w:val="center"/>
          </w:tcPr>
          <w:p w14:paraId="707CE9CC">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等线"/>
                <w:color w:val="auto"/>
                <w:szCs w:val="21"/>
              </w:rPr>
              <w:t>DMSO</w:t>
            </w:r>
          </w:p>
        </w:tc>
        <w:tc>
          <w:tcPr>
            <w:tcW w:w="338" w:type="pct"/>
            <w:shd w:val="clear" w:color="auto" w:fill="auto"/>
            <w:vAlign w:val="center"/>
          </w:tcPr>
          <w:p w14:paraId="2A130C2A">
            <w:pPr>
              <w:adjustRightInd w:val="0"/>
              <w:snapToGrid w:val="0"/>
              <w:spacing w:line="320" w:lineRule="exact"/>
              <w:jc w:val="center"/>
              <w:rPr>
                <w:rFonts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200.79</w:t>
            </w:r>
          </w:p>
        </w:tc>
        <w:tc>
          <w:tcPr>
            <w:tcW w:w="0" w:type="auto"/>
            <w:shd w:val="clear" w:color="auto" w:fill="auto"/>
            <w:vAlign w:val="center"/>
          </w:tcPr>
          <w:p w14:paraId="75D59C0B">
            <w:pPr>
              <w:adjustRightInd w:val="0"/>
              <w:snapToGrid w:val="0"/>
              <w:spacing w:line="320" w:lineRule="exact"/>
              <w:jc w:val="center"/>
              <w:rPr>
                <w:rFonts w:hint="default"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7.63</w:t>
            </w:r>
          </w:p>
        </w:tc>
        <w:tc>
          <w:tcPr>
            <w:tcW w:w="0" w:type="auto"/>
            <w:shd w:val="clear" w:color="auto" w:fill="auto"/>
            <w:vAlign w:val="center"/>
          </w:tcPr>
          <w:p w14:paraId="744F9239">
            <w:pPr>
              <w:adjustRightInd w:val="0"/>
              <w:snapToGrid w:val="0"/>
              <w:spacing w:line="320" w:lineRule="exact"/>
              <w:jc w:val="center"/>
              <w:rPr>
                <w:rFonts w:hint="default"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21.79</w:t>
            </w:r>
          </w:p>
        </w:tc>
        <w:tc>
          <w:tcPr>
            <w:tcW w:w="534" w:type="pct"/>
            <w:vMerge w:val="continue"/>
            <w:vAlign w:val="center"/>
          </w:tcPr>
          <w:p w14:paraId="02D2D546">
            <w:pPr>
              <w:jc w:val="center"/>
              <w:rPr>
                <w:rFonts w:eastAsia="仿宋_GB2312"/>
                <w:color w:val="FF0000"/>
                <w:szCs w:val="21"/>
              </w:rPr>
            </w:pPr>
          </w:p>
        </w:tc>
        <w:tc>
          <w:tcPr>
            <w:tcW w:w="0" w:type="auto"/>
            <w:shd w:val="clear" w:color="auto" w:fill="auto"/>
            <w:vAlign w:val="center"/>
          </w:tcPr>
          <w:p w14:paraId="7B495953">
            <w:pPr>
              <w:adjustRightInd w:val="0"/>
              <w:snapToGrid w:val="0"/>
              <w:spacing w:line="320" w:lineRule="exact"/>
              <w:jc w:val="center"/>
              <w:rPr>
                <w:rFonts w:hint="eastAsia"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95</w:t>
            </w:r>
          </w:p>
        </w:tc>
        <w:tc>
          <w:tcPr>
            <w:tcW w:w="291" w:type="pct"/>
            <w:shd w:val="clear" w:color="auto" w:fill="auto"/>
            <w:vAlign w:val="center"/>
          </w:tcPr>
          <w:p w14:paraId="6296CEB2">
            <w:pPr>
              <w:adjustRightInd w:val="0"/>
              <w:snapToGrid w:val="0"/>
              <w:spacing w:line="320" w:lineRule="exact"/>
              <w:jc w:val="center"/>
              <w:rPr>
                <w:rFonts w:hint="eastAsia"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10.04</w:t>
            </w:r>
          </w:p>
        </w:tc>
        <w:tc>
          <w:tcPr>
            <w:tcW w:w="297" w:type="pct"/>
            <w:shd w:val="clear" w:color="auto" w:fill="auto"/>
            <w:vAlign w:val="center"/>
          </w:tcPr>
          <w:p w14:paraId="2E93916D">
            <w:pPr>
              <w:adjustRightInd w:val="0"/>
              <w:snapToGrid w:val="0"/>
              <w:spacing w:line="320" w:lineRule="exact"/>
              <w:jc w:val="center"/>
              <w:rPr>
                <w:rFonts w:hint="default"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0.38</w:t>
            </w:r>
          </w:p>
        </w:tc>
        <w:tc>
          <w:tcPr>
            <w:tcW w:w="341" w:type="pct"/>
            <w:shd w:val="clear" w:color="auto" w:fill="auto"/>
            <w:vAlign w:val="center"/>
          </w:tcPr>
          <w:p w14:paraId="5C99152A">
            <w:pPr>
              <w:adjustRightInd w:val="0"/>
              <w:snapToGrid w:val="0"/>
              <w:spacing w:line="320" w:lineRule="exact"/>
              <w:jc w:val="center"/>
              <w:rPr>
                <w:rFonts w:hint="eastAsia"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1.09</w:t>
            </w:r>
          </w:p>
        </w:tc>
        <w:tc>
          <w:tcPr>
            <w:tcW w:w="328" w:type="pct"/>
            <w:shd w:val="clear" w:color="auto" w:fill="auto"/>
            <w:vAlign w:val="center"/>
          </w:tcPr>
          <w:p w14:paraId="25F54AC7">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b/>
                <w:bCs/>
                <w:color w:val="auto"/>
                <w:szCs w:val="21"/>
              </w:rPr>
              <w:t>/</w:t>
            </w:r>
          </w:p>
        </w:tc>
        <w:tc>
          <w:tcPr>
            <w:tcW w:w="300" w:type="pct"/>
            <w:shd w:val="clear" w:color="auto" w:fill="auto"/>
            <w:vAlign w:val="center"/>
          </w:tcPr>
          <w:p w14:paraId="2E89F0FC">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b/>
                <w:bCs/>
                <w:color w:val="auto"/>
                <w:szCs w:val="21"/>
              </w:rPr>
              <w:t>/</w:t>
            </w:r>
          </w:p>
        </w:tc>
        <w:tc>
          <w:tcPr>
            <w:tcW w:w="197" w:type="pct"/>
            <w:vMerge w:val="continue"/>
            <w:vAlign w:val="center"/>
          </w:tcPr>
          <w:p w14:paraId="0B2101B6">
            <w:pPr>
              <w:adjustRightInd w:val="0"/>
              <w:snapToGrid w:val="0"/>
              <w:spacing w:line="320" w:lineRule="exact"/>
              <w:jc w:val="center"/>
              <w:rPr>
                <w:rFonts w:eastAsia="仿宋_GB2312"/>
                <w:bCs/>
                <w:color w:val="FF0000"/>
                <w:szCs w:val="21"/>
              </w:rPr>
            </w:pPr>
          </w:p>
        </w:tc>
        <w:tc>
          <w:tcPr>
            <w:tcW w:w="195" w:type="pct"/>
            <w:vMerge w:val="continue"/>
            <w:vAlign w:val="center"/>
          </w:tcPr>
          <w:p w14:paraId="3B344F3D">
            <w:pPr>
              <w:adjustRightInd w:val="0"/>
              <w:snapToGrid w:val="0"/>
              <w:spacing w:line="320" w:lineRule="exact"/>
              <w:jc w:val="center"/>
              <w:rPr>
                <w:rFonts w:eastAsia="仿宋_GB2312"/>
                <w:bCs/>
                <w:color w:val="FF0000"/>
                <w:szCs w:val="21"/>
              </w:rPr>
            </w:pPr>
          </w:p>
        </w:tc>
        <w:tc>
          <w:tcPr>
            <w:tcW w:w="193" w:type="pct"/>
            <w:vMerge w:val="continue"/>
            <w:vAlign w:val="center"/>
          </w:tcPr>
          <w:p w14:paraId="2CC21068">
            <w:pPr>
              <w:adjustRightInd w:val="0"/>
              <w:snapToGrid w:val="0"/>
              <w:spacing w:line="320" w:lineRule="exact"/>
              <w:jc w:val="center"/>
              <w:rPr>
                <w:rFonts w:eastAsia="仿宋_GB2312"/>
                <w:bCs/>
                <w:color w:val="FF0000"/>
                <w:sz w:val="24"/>
                <w:szCs w:val="24"/>
              </w:rPr>
            </w:pPr>
          </w:p>
        </w:tc>
      </w:tr>
      <w:tr w14:paraId="4D4AFF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295" w:type="pct"/>
            <w:vMerge w:val="continue"/>
            <w:vAlign w:val="center"/>
          </w:tcPr>
          <w:p w14:paraId="276F6129">
            <w:pPr>
              <w:adjustRightInd w:val="0"/>
              <w:snapToGrid w:val="0"/>
              <w:spacing w:line="320" w:lineRule="exact"/>
              <w:jc w:val="center"/>
              <w:rPr>
                <w:rFonts w:eastAsia="仿宋_GB2312"/>
                <w:bCs/>
                <w:color w:val="FF0000"/>
                <w:szCs w:val="21"/>
              </w:rPr>
            </w:pPr>
          </w:p>
        </w:tc>
        <w:tc>
          <w:tcPr>
            <w:tcW w:w="375" w:type="pct"/>
            <w:vMerge w:val="continue"/>
            <w:vAlign w:val="center"/>
          </w:tcPr>
          <w:p w14:paraId="49D06A35">
            <w:pPr>
              <w:jc w:val="center"/>
              <w:rPr>
                <w:rFonts w:eastAsia="仿宋_GB2312"/>
                <w:color w:val="FF0000"/>
                <w:szCs w:val="21"/>
              </w:rPr>
            </w:pPr>
          </w:p>
        </w:tc>
        <w:tc>
          <w:tcPr>
            <w:tcW w:w="0" w:type="auto"/>
            <w:shd w:val="clear" w:color="auto" w:fill="auto"/>
            <w:vAlign w:val="center"/>
          </w:tcPr>
          <w:p w14:paraId="2E542F1B">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color w:val="auto"/>
                <w:szCs w:val="21"/>
              </w:rPr>
              <w:t>丁醇</w:t>
            </w:r>
          </w:p>
        </w:tc>
        <w:tc>
          <w:tcPr>
            <w:tcW w:w="338" w:type="pct"/>
            <w:shd w:val="clear" w:color="auto" w:fill="auto"/>
            <w:vAlign w:val="center"/>
          </w:tcPr>
          <w:p w14:paraId="6A1A42F7">
            <w:pPr>
              <w:adjustRightInd w:val="0"/>
              <w:snapToGrid w:val="0"/>
              <w:spacing w:line="320" w:lineRule="exact"/>
              <w:jc w:val="center"/>
              <w:rPr>
                <w:rFonts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58.68</w:t>
            </w:r>
          </w:p>
        </w:tc>
        <w:tc>
          <w:tcPr>
            <w:tcW w:w="0" w:type="auto"/>
            <w:shd w:val="clear" w:color="auto" w:fill="auto"/>
            <w:vAlign w:val="center"/>
          </w:tcPr>
          <w:p w14:paraId="67807723">
            <w:pPr>
              <w:adjustRightInd w:val="0"/>
              <w:snapToGrid w:val="0"/>
              <w:spacing w:line="320" w:lineRule="exact"/>
              <w:jc w:val="center"/>
              <w:rPr>
                <w:rFonts w:hint="default"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2.23</w:t>
            </w:r>
          </w:p>
        </w:tc>
        <w:tc>
          <w:tcPr>
            <w:tcW w:w="0" w:type="auto"/>
            <w:shd w:val="clear" w:color="auto" w:fill="auto"/>
            <w:vAlign w:val="center"/>
          </w:tcPr>
          <w:p w14:paraId="5AE450F9">
            <w:pPr>
              <w:adjustRightInd w:val="0"/>
              <w:snapToGrid w:val="0"/>
              <w:spacing w:line="320" w:lineRule="exact"/>
              <w:jc w:val="center"/>
              <w:rPr>
                <w:rFonts w:hint="default"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0.64</w:t>
            </w:r>
          </w:p>
        </w:tc>
        <w:tc>
          <w:tcPr>
            <w:tcW w:w="534" w:type="pct"/>
            <w:vMerge w:val="continue"/>
            <w:vAlign w:val="center"/>
          </w:tcPr>
          <w:p w14:paraId="024D26D9">
            <w:pPr>
              <w:jc w:val="center"/>
              <w:rPr>
                <w:rFonts w:eastAsia="仿宋_GB2312"/>
                <w:color w:val="FF0000"/>
                <w:szCs w:val="21"/>
              </w:rPr>
            </w:pPr>
          </w:p>
        </w:tc>
        <w:tc>
          <w:tcPr>
            <w:tcW w:w="0" w:type="auto"/>
            <w:shd w:val="clear" w:color="auto" w:fill="auto"/>
            <w:vAlign w:val="center"/>
          </w:tcPr>
          <w:p w14:paraId="6F40300D">
            <w:pPr>
              <w:adjustRightInd w:val="0"/>
              <w:snapToGrid w:val="0"/>
              <w:spacing w:line="320" w:lineRule="exact"/>
              <w:jc w:val="center"/>
              <w:rPr>
                <w:rFonts w:hint="eastAsia"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95</w:t>
            </w:r>
          </w:p>
        </w:tc>
        <w:tc>
          <w:tcPr>
            <w:tcW w:w="291" w:type="pct"/>
            <w:shd w:val="clear" w:color="auto" w:fill="auto"/>
            <w:vAlign w:val="center"/>
          </w:tcPr>
          <w:p w14:paraId="1974AA39">
            <w:pPr>
              <w:adjustRightInd w:val="0"/>
              <w:snapToGrid w:val="0"/>
              <w:spacing w:line="320" w:lineRule="exact"/>
              <w:jc w:val="center"/>
              <w:rPr>
                <w:rFonts w:hint="eastAsia"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2.93</w:t>
            </w:r>
          </w:p>
        </w:tc>
        <w:tc>
          <w:tcPr>
            <w:tcW w:w="297" w:type="pct"/>
            <w:shd w:val="clear" w:color="auto" w:fill="auto"/>
            <w:vAlign w:val="center"/>
          </w:tcPr>
          <w:p w14:paraId="25852A52">
            <w:pPr>
              <w:adjustRightInd w:val="0"/>
              <w:snapToGrid w:val="0"/>
              <w:spacing w:line="320" w:lineRule="exact"/>
              <w:jc w:val="center"/>
              <w:rPr>
                <w:rFonts w:hint="default"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0.11</w:t>
            </w:r>
          </w:p>
        </w:tc>
        <w:tc>
          <w:tcPr>
            <w:tcW w:w="341" w:type="pct"/>
            <w:shd w:val="clear" w:color="auto" w:fill="auto"/>
            <w:vAlign w:val="center"/>
          </w:tcPr>
          <w:p w14:paraId="3D21AE21">
            <w:pPr>
              <w:adjustRightInd w:val="0"/>
              <w:snapToGrid w:val="0"/>
              <w:spacing w:line="320" w:lineRule="exact"/>
              <w:jc w:val="center"/>
              <w:rPr>
                <w:rFonts w:hint="eastAsia"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0.03</w:t>
            </w:r>
          </w:p>
        </w:tc>
        <w:tc>
          <w:tcPr>
            <w:tcW w:w="328" w:type="pct"/>
            <w:shd w:val="clear" w:color="auto" w:fill="auto"/>
            <w:vAlign w:val="center"/>
          </w:tcPr>
          <w:p w14:paraId="6E2BE589">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color w:val="auto"/>
                <w:szCs w:val="21"/>
              </w:rPr>
              <w:t>40</w:t>
            </w:r>
          </w:p>
        </w:tc>
        <w:tc>
          <w:tcPr>
            <w:tcW w:w="300" w:type="pct"/>
            <w:shd w:val="clear" w:color="auto" w:fill="auto"/>
            <w:vAlign w:val="center"/>
          </w:tcPr>
          <w:p w14:paraId="2EA14516">
            <w:pPr>
              <w:adjustRightInd w:val="0"/>
              <w:snapToGrid w:val="0"/>
              <w:spacing w:line="320" w:lineRule="exact"/>
              <w:jc w:val="center"/>
              <w:rPr>
                <w:rFonts w:hint="default" w:ascii="Times New Roman" w:hAnsi="Times New Roman" w:eastAsia="仿宋_GB2312" w:cs="Times New Roman"/>
                <w:b/>
                <w:bCs/>
                <w:color w:val="auto"/>
                <w:kern w:val="2"/>
                <w:sz w:val="21"/>
                <w:szCs w:val="21"/>
                <w:lang w:val="en-US" w:eastAsia="zh-CN" w:bidi="ar-SA"/>
              </w:rPr>
            </w:pPr>
            <w:r>
              <w:rPr>
                <w:rFonts w:hint="eastAsia" w:eastAsia="仿宋_GB2312"/>
                <w:color w:val="auto"/>
                <w:szCs w:val="21"/>
                <w:lang w:val="en-US" w:eastAsia="zh-CN"/>
              </w:rPr>
              <w:t>0.72</w:t>
            </w:r>
          </w:p>
        </w:tc>
        <w:tc>
          <w:tcPr>
            <w:tcW w:w="197" w:type="pct"/>
            <w:vMerge w:val="continue"/>
            <w:vAlign w:val="center"/>
          </w:tcPr>
          <w:p w14:paraId="1ECCA7A3">
            <w:pPr>
              <w:adjustRightInd w:val="0"/>
              <w:snapToGrid w:val="0"/>
              <w:spacing w:line="320" w:lineRule="exact"/>
              <w:jc w:val="center"/>
              <w:rPr>
                <w:rFonts w:eastAsia="仿宋_GB2312"/>
                <w:bCs/>
                <w:color w:val="FF0000"/>
                <w:szCs w:val="21"/>
              </w:rPr>
            </w:pPr>
          </w:p>
        </w:tc>
        <w:tc>
          <w:tcPr>
            <w:tcW w:w="195" w:type="pct"/>
            <w:vMerge w:val="continue"/>
            <w:vAlign w:val="center"/>
          </w:tcPr>
          <w:p w14:paraId="785308C0">
            <w:pPr>
              <w:adjustRightInd w:val="0"/>
              <w:snapToGrid w:val="0"/>
              <w:spacing w:line="320" w:lineRule="exact"/>
              <w:jc w:val="center"/>
              <w:rPr>
                <w:rFonts w:eastAsia="仿宋_GB2312"/>
                <w:bCs/>
                <w:color w:val="FF0000"/>
                <w:szCs w:val="21"/>
              </w:rPr>
            </w:pPr>
          </w:p>
        </w:tc>
        <w:tc>
          <w:tcPr>
            <w:tcW w:w="193" w:type="pct"/>
            <w:vMerge w:val="continue"/>
            <w:vAlign w:val="center"/>
          </w:tcPr>
          <w:p w14:paraId="5E67E0AC">
            <w:pPr>
              <w:adjustRightInd w:val="0"/>
              <w:snapToGrid w:val="0"/>
              <w:spacing w:line="320" w:lineRule="exact"/>
              <w:jc w:val="center"/>
              <w:rPr>
                <w:rFonts w:eastAsia="仿宋_GB2312"/>
                <w:bCs/>
                <w:color w:val="FF0000"/>
                <w:sz w:val="24"/>
                <w:szCs w:val="24"/>
              </w:rPr>
            </w:pPr>
          </w:p>
        </w:tc>
      </w:tr>
      <w:tr w14:paraId="33A22E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295" w:type="pct"/>
            <w:vMerge w:val="continue"/>
            <w:vAlign w:val="center"/>
          </w:tcPr>
          <w:p w14:paraId="4E9B882F">
            <w:pPr>
              <w:adjustRightInd w:val="0"/>
              <w:snapToGrid w:val="0"/>
              <w:spacing w:line="320" w:lineRule="exact"/>
              <w:jc w:val="center"/>
              <w:rPr>
                <w:rFonts w:eastAsia="仿宋_GB2312"/>
                <w:bCs/>
                <w:color w:val="FF0000"/>
                <w:szCs w:val="21"/>
              </w:rPr>
            </w:pPr>
          </w:p>
        </w:tc>
        <w:tc>
          <w:tcPr>
            <w:tcW w:w="375" w:type="pct"/>
            <w:vMerge w:val="continue"/>
            <w:vAlign w:val="center"/>
          </w:tcPr>
          <w:p w14:paraId="014D68CC">
            <w:pPr>
              <w:jc w:val="center"/>
              <w:rPr>
                <w:rFonts w:eastAsia="仿宋_GB2312"/>
                <w:color w:val="FF0000"/>
                <w:szCs w:val="21"/>
              </w:rPr>
            </w:pPr>
          </w:p>
        </w:tc>
        <w:tc>
          <w:tcPr>
            <w:tcW w:w="0" w:type="auto"/>
            <w:shd w:val="clear" w:color="auto" w:fill="auto"/>
            <w:vAlign w:val="center"/>
          </w:tcPr>
          <w:p w14:paraId="617DABA3">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color w:val="auto"/>
                <w:szCs w:val="21"/>
              </w:rPr>
              <w:t>辛醇</w:t>
            </w:r>
          </w:p>
        </w:tc>
        <w:tc>
          <w:tcPr>
            <w:tcW w:w="338" w:type="pct"/>
            <w:shd w:val="clear" w:color="auto" w:fill="auto"/>
            <w:vAlign w:val="center"/>
          </w:tcPr>
          <w:p w14:paraId="62DBEF92">
            <w:pPr>
              <w:adjustRightInd w:val="0"/>
              <w:snapToGrid w:val="0"/>
              <w:spacing w:line="320" w:lineRule="exact"/>
              <w:jc w:val="center"/>
              <w:rPr>
                <w:rFonts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18.95</w:t>
            </w:r>
          </w:p>
        </w:tc>
        <w:tc>
          <w:tcPr>
            <w:tcW w:w="0" w:type="auto"/>
            <w:shd w:val="clear" w:color="auto" w:fill="auto"/>
            <w:vAlign w:val="center"/>
          </w:tcPr>
          <w:p w14:paraId="1C1E9E87">
            <w:pPr>
              <w:adjustRightInd w:val="0"/>
              <w:snapToGrid w:val="0"/>
              <w:spacing w:line="320" w:lineRule="exact"/>
              <w:jc w:val="center"/>
              <w:rPr>
                <w:rFonts w:hint="default"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0.72</w:t>
            </w:r>
          </w:p>
        </w:tc>
        <w:tc>
          <w:tcPr>
            <w:tcW w:w="0" w:type="auto"/>
            <w:shd w:val="clear" w:color="auto" w:fill="auto"/>
            <w:vAlign w:val="center"/>
          </w:tcPr>
          <w:p w14:paraId="3BC99A79">
            <w:pPr>
              <w:adjustRightInd w:val="0"/>
              <w:snapToGrid w:val="0"/>
              <w:spacing w:line="320" w:lineRule="exact"/>
              <w:jc w:val="center"/>
              <w:rPr>
                <w:rFonts w:hint="default"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0.19</w:t>
            </w:r>
          </w:p>
        </w:tc>
        <w:tc>
          <w:tcPr>
            <w:tcW w:w="534" w:type="pct"/>
            <w:vMerge w:val="continue"/>
            <w:vAlign w:val="center"/>
          </w:tcPr>
          <w:p w14:paraId="618BC950">
            <w:pPr>
              <w:jc w:val="center"/>
              <w:rPr>
                <w:rFonts w:eastAsia="仿宋_GB2312"/>
                <w:color w:val="FF0000"/>
                <w:szCs w:val="21"/>
              </w:rPr>
            </w:pPr>
          </w:p>
        </w:tc>
        <w:tc>
          <w:tcPr>
            <w:tcW w:w="0" w:type="auto"/>
            <w:shd w:val="clear" w:color="auto" w:fill="auto"/>
            <w:vAlign w:val="center"/>
          </w:tcPr>
          <w:p w14:paraId="28C0A426">
            <w:pPr>
              <w:adjustRightInd w:val="0"/>
              <w:snapToGrid w:val="0"/>
              <w:spacing w:line="320" w:lineRule="exact"/>
              <w:jc w:val="center"/>
              <w:rPr>
                <w:rFonts w:hint="eastAsia"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95</w:t>
            </w:r>
          </w:p>
        </w:tc>
        <w:tc>
          <w:tcPr>
            <w:tcW w:w="291" w:type="pct"/>
            <w:shd w:val="clear" w:color="auto" w:fill="auto"/>
            <w:vAlign w:val="center"/>
          </w:tcPr>
          <w:p w14:paraId="350C0F49">
            <w:pPr>
              <w:adjustRightInd w:val="0"/>
              <w:snapToGrid w:val="0"/>
              <w:spacing w:line="320" w:lineRule="exact"/>
              <w:jc w:val="center"/>
              <w:rPr>
                <w:rFonts w:hint="eastAsia"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0.95</w:t>
            </w:r>
          </w:p>
        </w:tc>
        <w:tc>
          <w:tcPr>
            <w:tcW w:w="297" w:type="pct"/>
            <w:shd w:val="clear" w:color="auto" w:fill="auto"/>
            <w:vAlign w:val="center"/>
          </w:tcPr>
          <w:p w14:paraId="55E90837">
            <w:pPr>
              <w:adjustRightInd w:val="0"/>
              <w:snapToGrid w:val="0"/>
              <w:spacing w:line="320" w:lineRule="exact"/>
              <w:jc w:val="center"/>
              <w:rPr>
                <w:rFonts w:hint="default"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0.04</w:t>
            </w:r>
          </w:p>
        </w:tc>
        <w:tc>
          <w:tcPr>
            <w:tcW w:w="341" w:type="pct"/>
            <w:shd w:val="clear" w:color="auto" w:fill="auto"/>
            <w:vAlign w:val="center"/>
          </w:tcPr>
          <w:p w14:paraId="3FD85640">
            <w:pPr>
              <w:adjustRightInd w:val="0"/>
              <w:snapToGrid w:val="0"/>
              <w:spacing w:line="320" w:lineRule="exact"/>
              <w:jc w:val="center"/>
              <w:rPr>
                <w:rFonts w:hint="eastAsia"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0.01</w:t>
            </w:r>
          </w:p>
        </w:tc>
        <w:tc>
          <w:tcPr>
            <w:tcW w:w="328" w:type="pct"/>
            <w:shd w:val="clear" w:color="auto" w:fill="auto"/>
            <w:vAlign w:val="center"/>
          </w:tcPr>
          <w:p w14:paraId="41575929">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b/>
                <w:bCs/>
                <w:color w:val="auto"/>
                <w:szCs w:val="21"/>
              </w:rPr>
              <w:t>/</w:t>
            </w:r>
          </w:p>
        </w:tc>
        <w:tc>
          <w:tcPr>
            <w:tcW w:w="300" w:type="pct"/>
            <w:shd w:val="clear" w:color="auto" w:fill="auto"/>
            <w:vAlign w:val="center"/>
          </w:tcPr>
          <w:p w14:paraId="732EA41E">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b/>
                <w:bCs/>
                <w:color w:val="auto"/>
                <w:szCs w:val="21"/>
              </w:rPr>
              <w:t>/</w:t>
            </w:r>
          </w:p>
        </w:tc>
        <w:tc>
          <w:tcPr>
            <w:tcW w:w="197" w:type="pct"/>
            <w:vMerge w:val="continue"/>
            <w:vAlign w:val="center"/>
          </w:tcPr>
          <w:p w14:paraId="47227DFA">
            <w:pPr>
              <w:adjustRightInd w:val="0"/>
              <w:snapToGrid w:val="0"/>
              <w:spacing w:line="320" w:lineRule="exact"/>
              <w:jc w:val="center"/>
              <w:rPr>
                <w:rFonts w:eastAsia="仿宋_GB2312"/>
                <w:bCs/>
                <w:color w:val="FF0000"/>
                <w:szCs w:val="21"/>
              </w:rPr>
            </w:pPr>
          </w:p>
        </w:tc>
        <w:tc>
          <w:tcPr>
            <w:tcW w:w="195" w:type="pct"/>
            <w:vMerge w:val="continue"/>
            <w:vAlign w:val="center"/>
          </w:tcPr>
          <w:p w14:paraId="0D2FD0F1">
            <w:pPr>
              <w:adjustRightInd w:val="0"/>
              <w:snapToGrid w:val="0"/>
              <w:spacing w:line="320" w:lineRule="exact"/>
              <w:jc w:val="center"/>
              <w:rPr>
                <w:rFonts w:eastAsia="仿宋_GB2312"/>
                <w:bCs/>
                <w:color w:val="FF0000"/>
                <w:szCs w:val="21"/>
              </w:rPr>
            </w:pPr>
          </w:p>
        </w:tc>
        <w:tc>
          <w:tcPr>
            <w:tcW w:w="193" w:type="pct"/>
            <w:vMerge w:val="continue"/>
            <w:vAlign w:val="center"/>
          </w:tcPr>
          <w:p w14:paraId="4D57311D">
            <w:pPr>
              <w:adjustRightInd w:val="0"/>
              <w:snapToGrid w:val="0"/>
              <w:spacing w:line="320" w:lineRule="exact"/>
              <w:jc w:val="center"/>
              <w:rPr>
                <w:rFonts w:eastAsia="仿宋_GB2312"/>
                <w:bCs/>
                <w:color w:val="FF0000"/>
                <w:sz w:val="24"/>
                <w:szCs w:val="24"/>
              </w:rPr>
            </w:pPr>
          </w:p>
        </w:tc>
      </w:tr>
      <w:tr w14:paraId="786E79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295" w:type="pct"/>
            <w:vMerge w:val="continue"/>
            <w:vAlign w:val="center"/>
          </w:tcPr>
          <w:p w14:paraId="20BEBB75">
            <w:pPr>
              <w:adjustRightInd w:val="0"/>
              <w:snapToGrid w:val="0"/>
              <w:spacing w:line="320" w:lineRule="exact"/>
              <w:jc w:val="center"/>
              <w:rPr>
                <w:rFonts w:eastAsia="仿宋_GB2312"/>
                <w:bCs/>
                <w:color w:val="FF0000"/>
                <w:szCs w:val="21"/>
              </w:rPr>
            </w:pPr>
          </w:p>
        </w:tc>
        <w:tc>
          <w:tcPr>
            <w:tcW w:w="375" w:type="pct"/>
            <w:vMerge w:val="continue"/>
            <w:vAlign w:val="center"/>
          </w:tcPr>
          <w:p w14:paraId="239CF541">
            <w:pPr>
              <w:jc w:val="center"/>
              <w:rPr>
                <w:rFonts w:eastAsia="仿宋_GB2312"/>
                <w:color w:val="FF0000"/>
                <w:szCs w:val="21"/>
              </w:rPr>
            </w:pPr>
          </w:p>
        </w:tc>
        <w:tc>
          <w:tcPr>
            <w:tcW w:w="0" w:type="auto"/>
            <w:shd w:val="clear" w:color="auto" w:fill="auto"/>
            <w:vAlign w:val="center"/>
          </w:tcPr>
          <w:p w14:paraId="7EDC2C88">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color w:val="auto"/>
                <w:szCs w:val="21"/>
              </w:rPr>
              <w:t>碳九</w:t>
            </w:r>
          </w:p>
        </w:tc>
        <w:tc>
          <w:tcPr>
            <w:tcW w:w="338" w:type="pct"/>
            <w:shd w:val="clear" w:color="auto" w:fill="auto"/>
            <w:vAlign w:val="center"/>
          </w:tcPr>
          <w:p w14:paraId="34A4BD22">
            <w:pPr>
              <w:adjustRightInd w:val="0"/>
              <w:snapToGrid w:val="0"/>
              <w:spacing w:line="320" w:lineRule="exact"/>
              <w:jc w:val="center"/>
              <w:rPr>
                <w:rFonts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71.05</w:t>
            </w:r>
          </w:p>
        </w:tc>
        <w:tc>
          <w:tcPr>
            <w:tcW w:w="0" w:type="auto"/>
            <w:shd w:val="clear" w:color="auto" w:fill="auto"/>
            <w:vAlign w:val="center"/>
          </w:tcPr>
          <w:p w14:paraId="38B3FBA7">
            <w:pPr>
              <w:adjustRightInd w:val="0"/>
              <w:snapToGrid w:val="0"/>
              <w:spacing w:line="320" w:lineRule="exact"/>
              <w:jc w:val="center"/>
              <w:rPr>
                <w:rFonts w:hint="default"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2.7</w:t>
            </w:r>
          </w:p>
        </w:tc>
        <w:tc>
          <w:tcPr>
            <w:tcW w:w="0" w:type="auto"/>
            <w:shd w:val="clear" w:color="auto" w:fill="auto"/>
            <w:vAlign w:val="center"/>
          </w:tcPr>
          <w:p w14:paraId="708763C3">
            <w:pPr>
              <w:adjustRightInd w:val="0"/>
              <w:snapToGrid w:val="0"/>
              <w:spacing w:line="320" w:lineRule="exact"/>
              <w:jc w:val="center"/>
              <w:rPr>
                <w:rFonts w:hint="default"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0.633</w:t>
            </w:r>
          </w:p>
        </w:tc>
        <w:tc>
          <w:tcPr>
            <w:tcW w:w="534" w:type="pct"/>
            <w:vMerge w:val="continue"/>
            <w:vAlign w:val="center"/>
          </w:tcPr>
          <w:p w14:paraId="4EB3BB4F">
            <w:pPr>
              <w:jc w:val="center"/>
              <w:rPr>
                <w:rFonts w:eastAsia="仿宋_GB2312"/>
                <w:color w:val="FF0000"/>
                <w:szCs w:val="21"/>
              </w:rPr>
            </w:pPr>
          </w:p>
        </w:tc>
        <w:tc>
          <w:tcPr>
            <w:tcW w:w="0" w:type="auto"/>
            <w:shd w:val="clear" w:color="auto" w:fill="auto"/>
            <w:vAlign w:val="center"/>
          </w:tcPr>
          <w:p w14:paraId="02513ECF">
            <w:pPr>
              <w:adjustRightInd w:val="0"/>
              <w:snapToGrid w:val="0"/>
              <w:spacing w:line="320" w:lineRule="exact"/>
              <w:jc w:val="center"/>
              <w:rPr>
                <w:rFonts w:hint="eastAsia"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95</w:t>
            </w:r>
          </w:p>
        </w:tc>
        <w:tc>
          <w:tcPr>
            <w:tcW w:w="291" w:type="pct"/>
            <w:shd w:val="clear" w:color="auto" w:fill="auto"/>
            <w:vAlign w:val="center"/>
          </w:tcPr>
          <w:p w14:paraId="458DFD83">
            <w:pPr>
              <w:adjustRightInd w:val="0"/>
              <w:snapToGrid w:val="0"/>
              <w:spacing w:line="320" w:lineRule="exact"/>
              <w:jc w:val="center"/>
              <w:rPr>
                <w:rFonts w:hint="eastAsia"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3.55</w:t>
            </w:r>
          </w:p>
        </w:tc>
        <w:tc>
          <w:tcPr>
            <w:tcW w:w="297" w:type="pct"/>
            <w:shd w:val="clear" w:color="auto" w:fill="auto"/>
            <w:vAlign w:val="center"/>
          </w:tcPr>
          <w:p w14:paraId="7CBEC74A">
            <w:pPr>
              <w:adjustRightInd w:val="0"/>
              <w:snapToGrid w:val="0"/>
              <w:spacing w:line="320" w:lineRule="exact"/>
              <w:jc w:val="center"/>
              <w:rPr>
                <w:rFonts w:hint="default"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0.14</w:t>
            </w:r>
          </w:p>
        </w:tc>
        <w:tc>
          <w:tcPr>
            <w:tcW w:w="341" w:type="pct"/>
            <w:shd w:val="clear" w:color="auto" w:fill="auto"/>
            <w:vAlign w:val="center"/>
          </w:tcPr>
          <w:p w14:paraId="69CDF487">
            <w:pPr>
              <w:adjustRightInd w:val="0"/>
              <w:snapToGrid w:val="0"/>
              <w:spacing w:line="320" w:lineRule="exact"/>
              <w:jc w:val="center"/>
              <w:rPr>
                <w:rFonts w:hint="eastAsia"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0.03</w:t>
            </w:r>
          </w:p>
        </w:tc>
        <w:tc>
          <w:tcPr>
            <w:tcW w:w="328" w:type="pct"/>
            <w:shd w:val="clear" w:color="auto" w:fill="auto"/>
            <w:vAlign w:val="center"/>
          </w:tcPr>
          <w:p w14:paraId="4EA7C3A0">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b/>
                <w:bCs/>
                <w:color w:val="auto"/>
                <w:szCs w:val="21"/>
              </w:rPr>
              <w:t>/</w:t>
            </w:r>
          </w:p>
        </w:tc>
        <w:tc>
          <w:tcPr>
            <w:tcW w:w="300" w:type="pct"/>
            <w:shd w:val="clear" w:color="auto" w:fill="auto"/>
            <w:vAlign w:val="center"/>
          </w:tcPr>
          <w:p w14:paraId="7DC1B440">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b/>
                <w:bCs/>
                <w:color w:val="auto"/>
                <w:szCs w:val="21"/>
              </w:rPr>
              <w:t>/</w:t>
            </w:r>
          </w:p>
        </w:tc>
        <w:tc>
          <w:tcPr>
            <w:tcW w:w="197" w:type="pct"/>
            <w:vMerge w:val="continue"/>
            <w:vAlign w:val="center"/>
          </w:tcPr>
          <w:p w14:paraId="30AD5F87">
            <w:pPr>
              <w:adjustRightInd w:val="0"/>
              <w:snapToGrid w:val="0"/>
              <w:spacing w:line="320" w:lineRule="exact"/>
              <w:jc w:val="center"/>
              <w:rPr>
                <w:rFonts w:eastAsia="仿宋_GB2312"/>
                <w:bCs/>
                <w:color w:val="FF0000"/>
                <w:szCs w:val="21"/>
              </w:rPr>
            </w:pPr>
          </w:p>
        </w:tc>
        <w:tc>
          <w:tcPr>
            <w:tcW w:w="195" w:type="pct"/>
            <w:vMerge w:val="continue"/>
            <w:vAlign w:val="center"/>
          </w:tcPr>
          <w:p w14:paraId="43D6D52D">
            <w:pPr>
              <w:adjustRightInd w:val="0"/>
              <w:snapToGrid w:val="0"/>
              <w:spacing w:line="320" w:lineRule="exact"/>
              <w:jc w:val="center"/>
              <w:rPr>
                <w:rFonts w:eastAsia="仿宋_GB2312"/>
                <w:bCs/>
                <w:color w:val="FF0000"/>
                <w:szCs w:val="21"/>
              </w:rPr>
            </w:pPr>
          </w:p>
        </w:tc>
        <w:tc>
          <w:tcPr>
            <w:tcW w:w="193" w:type="pct"/>
            <w:vMerge w:val="continue"/>
            <w:vAlign w:val="center"/>
          </w:tcPr>
          <w:p w14:paraId="4FBA9E08">
            <w:pPr>
              <w:adjustRightInd w:val="0"/>
              <w:snapToGrid w:val="0"/>
              <w:spacing w:line="320" w:lineRule="exact"/>
              <w:jc w:val="center"/>
              <w:rPr>
                <w:rFonts w:eastAsia="仿宋_GB2312"/>
                <w:bCs/>
                <w:color w:val="FF0000"/>
                <w:sz w:val="24"/>
                <w:szCs w:val="24"/>
              </w:rPr>
            </w:pPr>
          </w:p>
        </w:tc>
      </w:tr>
      <w:tr w14:paraId="71B694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295" w:type="pct"/>
            <w:vMerge w:val="continue"/>
            <w:vAlign w:val="center"/>
          </w:tcPr>
          <w:p w14:paraId="54E12111">
            <w:pPr>
              <w:adjustRightInd w:val="0"/>
              <w:snapToGrid w:val="0"/>
              <w:spacing w:line="320" w:lineRule="exact"/>
              <w:jc w:val="center"/>
              <w:rPr>
                <w:rFonts w:eastAsia="仿宋_GB2312"/>
                <w:bCs/>
                <w:color w:val="FF0000"/>
                <w:szCs w:val="21"/>
              </w:rPr>
            </w:pPr>
          </w:p>
        </w:tc>
        <w:tc>
          <w:tcPr>
            <w:tcW w:w="375" w:type="pct"/>
            <w:vMerge w:val="continue"/>
            <w:vAlign w:val="center"/>
          </w:tcPr>
          <w:p w14:paraId="40A1B2CF">
            <w:pPr>
              <w:jc w:val="center"/>
              <w:rPr>
                <w:rFonts w:eastAsia="仿宋_GB2312"/>
                <w:color w:val="FF0000"/>
                <w:szCs w:val="21"/>
              </w:rPr>
            </w:pPr>
          </w:p>
        </w:tc>
        <w:tc>
          <w:tcPr>
            <w:tcW w:w="0" w:type="auto"/>
            <w:shd w:val="clear" w:color="auto" w:fill="auto"/>
            <w:vAlign w:val="center"/>
          </w:tcPr>
          <w:p w14:paraId="2096327B">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color w:val="auto"/>
                <w:szCs w:val="21"/>
              </w:rPr>
              <w:t>苯乙烯</w:t>
            </w:r>
          </w:p>
        </w:tc>
        <w:tc>
          <w:tcPr>
            <w:tcW w:w="338" w:type="pct"/>
            <w:shd w:val="clear" w:color="auto" w:fill="auto"/>
            <w:vAlign w:val="center"/>
          </w:tcPr>
          <w:p w14:paraId="26396137">
            <w:pPr>
              <w:adjustRightInd w:val="0"/>
              <w:snapToGrid w:val="0"/>
              <w:spacing w:line="320" w:lineRule="exact"/>
              <w:jc w:val="center"/>
              <w:rPr>
                <w:rFonts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13.16</w:t>
            </w:r>
          </w:p>
        </w:tc>
        <w:tc>
          <w:tcPr>
            <w:tcW w:w="0" w:type="auto"/>
            <w:shd w:val="clear" w:color="auto" w:fill="auto"/>
            <w:vAlign w:val="center"/>
          </w:tcPr>
          <w:p w14:paraId="52F89572">
            <w:pPr>
              <w:adjustRightInd w:val="0"/>
              <w:snapToGrid w:val="0"/>
              <w:spacing w:line="320" w:lineRule="exact"/>
              <w:jc w:val="center"/>
              <w:rPr>
                <w:rFonts w:hint="default"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0.5</w:t>
            </w:r>
          </w:p>
        </w:tc>
        <w:tc>
          <w:tcPr>
            <w:tcW w:w="0" w:type="auto"/>
            <w:shd w:val="clear" w:color="auto" w:fill="auto"/>
            <w:vAlign w:val="center"/>
          </w:tcPr>
          <w:p w14:paraId="5E7EA440">
            <w:pPr>
              <w:adjustRightInd w:val="0"/>
              <w:snapToGrid w:val="0"/>
              <w:spacing w:line="320" w:lineRule="exact"/>
              <w:jc w:val="center"/>
              <w:rPr>
                <w:rFonts w:hint="default"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0.1185</w:t>
            </w:r>
          </w:p>
        </w:tc>
        <w:tc>
          <w:tcPr>
            <w:tcW w:w="534" w:type="pct"/>
            <w:vMerge w:val="continue"/>
            <w:vAlign w:val="center"/>
          </w:tcPr>
          <w:p w14:paraId="3422158E">
            <w:pPr>
              <w:jc w:val="center"/>
              <w:rPr>
                <w:rFonts w:eastAsia="仿宋_GB2312"/>
                <w:color w:val="FF0000"/>
                <w:szCs w:val="21"/>
              </w:rPr>
            </w:pPr>
          </w:p>
        </w:tc>
        <w:tc>
          <w:tcPr>
            <w:tcW w:w="0" w:type="auto"/>
            <w:shd w:val="clear" w:color="auto" w:fill="auto"/>
            <w:vAlign w:val="center"/>
          </w:tcPr>
          <w:p w14:paraId="73352304">
            <w:pPr>
              <w:adjustRightInd w:val="0"/>
              <w:snapToGrid w:val="0"/>
              <w:spacing w:line="320" w:lineRule="exact"/>
              <w:jc w:val="center"/>
              <w:rPr>
                <w:rFonts w:hint="eastAsia"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95</w:t>
            </w:r>
          </w:p>
        </w:tc>
        <w:tc>
          <w:tcPr>
            <w:tcW w:w="291" w:type="pct"/>
            <w:shd w:val="clear" w:color="auto" w:fill="auto"/>
            <w:vAlign w:val="center"/>
          </w:tcPr>
          <w:p w14:paraId="272E9E07">
            <w:pPr>
              <w:adjustRightInd w:val="0"/>
              <w:snapToGrid w:val="0"/>
              <w:spacing w:line="320" w:lineRule="exact"/>
              <w:jc w:val="center"/>
              <w:rPr>
                <w:rFonts w:hint="eastAsia"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0.66</w:t>
            </w:r>
          </w:p>
        </w:tc>
        <w:tc>
          <w:tcPr>
            <w:tcW w:w="297" w:type="pct"/>
            <w:shd w:val="clear" w:color="auto" w:fill="auto"/>
            <w:vAlign w:val="center"/>
          </w:tcPr>
          <w:p w14:paraId="6F7C78DA">
            <w:pPr>
              <w:adjustRightInd w:val="0"/>
              <w:snapToGrid w:val="0"/>
              <w:spacing w:line="320" w:lineRule="exact"/>
              <w:jc w:val="center"/>
              <w:rPr>
                <w:rFonts w:hint="default"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0.03</w:t>
            </w:r>
          </w:p>
        </w:tc>
        <w:tc>
          <w:tcPr>
            <w:tcW w:w="341" w:type="pct"/>
            <w:shd w:val="clear" w:color="auto" w:fill="auto"/>
            <w:vAlign w:val="center"/>
          </w:tcPr>
          <w:p w14:paraId="051AAD8E">
            <w:pPr>
              <w:adjustRightInd w:val="0"/>
              <w:snapToGrid w:val="0"/>
              <w:spacing w:line="320" w:lineRule="exact"/>
              <w:jc w:val="center"/>
              <w:rPr>
                <w:rFonts w:hint="eastAsia"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0.01</w:t>
            </w:r>
          </w:p>
        </w:tc>
        <w:tc>
          <w:tcPr>
            <w:tcW w:w="328" w:type="pct"/>
            <w:shd w:val="clear" w:color="auto" w:fill="auto"/>
            <w:vAlign w:val="center"/>
          </w:tcPr>
          <w:p w14:paraId="2535C11C">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color w:val="auto"/>
                <w:szCs w:val="21"/>
              </w:rPr>
              <w:t>20</w:t>
            </w:r>
          </w:p>
        </w:tc>
        <w:tc>
          <w:tcPr>
            <w:tcW w:w="300" w:type="pct"/>
            <w:shd w:val="clear" w:color="auto" w:fill="auto"/>
            <w:vAlign w:val="center"/>
          </w:tcPr>
          <w:p w14:paraId="0711FA5C">
            <w:pPr>
              <w:adjustRightInd w:val="0"/>
              <w:snapToGrid w:val="0"/>
              <w:spacing w:line="320" w:lineRule="exact"/>
              <w:jc w:val="center"/>
              <w:rPr>
                <w:rFonts w:hint="default" w:ascii="Times New Roman" w:hAnsi="Times New Roman" w:eastAsia="仿宋_GB2312" w:cs="Times New Roman"/>
                <w:b/>
                <w:bCs/>
                <w:color w:val="auto"/>
                <w:kern w:val="2"/>
                <w:sz w:val="21"/>
                <w:szCs w:val="21"/>
                <w:lang w:val="en-US" w:eastAsia="zh-CN" w:bidi="ar-SA"/>
              </w:rPr>
            </w:pPr>
            <w:r>
              <w:rPr>
                <w:rFonts w:hint="eastAsia" w:eastAsia="仿宋_GB2312"/>
                <w:color w:val="auto"/>
                <w:szCs w:val="21"/>
                <w:lang w:val="en-US" w:eastAsia="zh-CN"/>
              </w:rPr>
              <w:t>1.1</w:t>
            </w:r>
          </w:p>
        </w:tc>
        <w:tc>
          <w:tcPr>
            <w:tcW w:w="197" w:type="pct"/>
            <w:vMerge w:val="continue"/>
            <w:vAlign w:val="center"/>
          </w:tcPr>
          <w:p w14:paraId="26FEE93C">
            <w:pPr>
              <w:adjustRightInd w:val="0"/>
              <w:snapToGrid w:val="0"/>
              <w:spacing w:line="320" w:lineRule="exact"/>
              <w:jc w:val="center"/>
              <w:rPr>
                <w:rFonts w:eastAsia="仿宋_GB2312"/>
                <w:bCs/>
                <w:color w:val="FF0000"/>
                <w:szCs w:val="21"/>
              </w:rPr>
            </w:pPr>
          </w:p>
        </w:tc>
        <w:tc>
          <w:tcPr>
            <w:tcW w:w="195" w:type="pct"/>
            <w:vMerge w:val="continue"/>
            <w:vAlign w:val="center"/>
          </w:tcPr>
          <w:p w14:paraId="590BB192">
            <w:pPr>
              <w:adjustRightInd w:val="0"/>
              <w:snapToGrid w:val="0"/>
              <w:spacing w:line="320" w:lineRule="exact"/>
              <w:jc w:val="center"/>
              <w:rPr>
                <w:rFonts w:eastAsia="仿宋_GB2312"/>
                <w:bCs/>
                <w:color w:val="FF0000"/>
                <w:szCs w:val="21"/>
              </w:rPr>
            </w:pPr>
          </w:p>
        </w:tc>
        <w:tc>
          <w:tcPr>
            <w:tcW w:w="193" w:type="pct"/>
            <w:vMerge w:val="continue"/>
            <w:vAlign w:val="center"/>
          </w:tcPr>
          <w:p w14:paraId="0EB0949C">
            <w:pPr>
              <w:adjustRightInd w:val="0"/>
              <w:snapToGrid w:val="0"/>
              <w:spacing w:line="320" w:lineRule="exact"/>
              <w:jc w:val="center"/>
              <w:rPr>
                <w:rFonts w:eastAsia="仿宋_GB2312"/>
                <w:bCs/>
                <w:color w:val="FF0000"/>
                <w:sz w:val="24"/>
                <w:szCs w:val="24"/>
              </w:rPr>
            </w:pPr>
          </w:p>
        </w:tc>
      </w:tr>
      <w:tr w14:paraId="4BE4AE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295" w:type="pct"/>
            <w:vMerge w:val="continue"/>
            <w:vAlign w:val="center"/>
          </w:tcPr>
          <w:p w14:paraId="128C5819">
            <w:pPr>
              <w:adjustRightInd w:val="0"/>
              <w:snapToGrid w:val="0"/>
              <w:spacing w:line="320" w:lineRule="exact"/>
              <w:jc w:val="center"/>
              <w:rPr>
                <w:rFonts w:eastAsia="仿宋_GB2312"/>
                <w:bCs/>
                <w:color w:val="FF0000"/>
                <w:szCs w:val="21"/>
              </w:rPr>
            </w:pPr>
          </w:p>
        </w:tc>
        <w:tc>
          <w:tcPr>
            <w:tcW w:w="375" w:type="pct"/>
            <w:vMerge w:val="continue"/>
            <w:vAlign w:val="center"/>
          </w:tcPr>
          <w:p w14:paraId="49C6D9A2">
            <w:pPr>
              <w:jc w:val="center"/>
              <w:rPr>
                <w:rFonts w:eastAsia="仿宋_GB2312"/>
                <w:color w:val="FF0000"/>
                <w:szCs w:val="21"/>
              </w:rPr>
            </w:pPr>
          </w:p>
        </w:tc>
        <w:tc>
          <w:tcPr>
            <w:tcW w:w="0" w:type="auto"/>
            <w:shd w:val="clear" w:color="auto" w:fill="auto"/>
            <w:vAlign w:val="center"/>
          </w:tcPr>
          <w:p w14:paraId="0D2D38BC">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color w:val="auto"/>
                <w:szCs w:val="21"/>
              </w:rPr>
              <w:t>二乙二醇</w:t>
            </w:r>
          </w:p>
        </w:tc>
        <w:tc>
          <w:tcPr>
            <w:tcW w:w="338" w:type="pct"/>
            <w:shd w:val="clear" w:color="auto" w:fill="auto"/>
            <w:vAlign w:val="center"/>
          </w:tcPr>
          <w:p w14:paraId="67277887">
            <w:pPr>
              <w:adjustRightInd w:val="0"/>
              <w:snapToGrid w:val="0"/>
              <w:spacing w:line="320" w:lineRule="exact"/>
              <w:jc w:val="center"/>
              <w:rPr>
                <w:rFonts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36.84</w:t>
            </w:r>
          </w:p>
        </w:tc>
        <w:tc>
          <w:tcPr>
            <w:tcW w:w="0" w:type="auto"/>
            <w:shd w:val="clear" w:color="auto" w:fill="auto"/>
            <w:vAlign w:val="center"/>
          </w:tcPr>
          <w:p w14:paraId="39219B08">
            <w:pPr>
              <w:adjustRightInd w:val="0"/>
              <w:snapToGrid w:val="0"/>
              <w:spacing w:line="320" w:lineRule="exact"/>
              <w:jc w:val="center"/>
              <w:rPr>
                <w:rFonts w:hint="default"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1.4</w:t>
            </w:r>
          </w:p>
        </w:tc>
        <w:tc>
          <w:tcPr>
            <w:tcW w:w="0" w:type="auto"/>
            <w:shd w:val="clear" w:color="auto" w:fill="auto"/>
            <w:vAlign w:val="center"/>
          </w:tcPr>
          <w:p w14:paraId="4263E3DA">
            <w:pPr>
              <w:adjustRightInd w:val="0"/>
              <w:snapToGrid w:val="0"/>
              <w:spacing w:line="320" w:lineRule="exact"/>
              <w:jc w:val="center"/>
              <w:rPr>
                <w:rFonts w:hint="default"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0.35</w:t>
            </w:r>
          </w:p>
        </w:tc>
        <w:tc>
          <w:tcPr>
            <w:tcW w:w="534" w:type="pct"/>
            <w:vMerge w:val="continue"/>
            <w:vAlign w:val="center"/>
          </w:tcPr>
          <w:p w14:paraId="39464444">
            <w:pPr>
              <w:jc w:val="center"/>
              <w:rPr>
                <w:rFonts w:eastAsia="仿宋_GB2312"/>
                <w:color w:val="FF0000"/>
                <w:szCs w:val="21"/>
              </w:rPr>
            </w:pPr>
          </w:p>
        </w:tc>
        <w:tc>
          <w:tcPr>
            <w:tcW w:w="0" w:type="auto"/>
            <w:shd w:val="clear" w:color="auto" w:fill="auto"/>
            <w:vAlign w:val="center"/>
          </w:tcPr>
          <w:p w14:paraId="5716F88A">
            <w:pPr>
              <w:adjustRightInd w:val="0"/>
              <w:snapToGrid w:val="0"/>
              <w:spacing w:line="320" w:lineRule="exact"/>
              <w:jc w:val="center"/>
              <w:rPr>
                <w:rFonts w:hint="eastAsia"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95</w:t>
            </w:r>
          </w:p>
        </w:tc>
        <w:tc>
          <w:tcPr>
            <w:tcW w:w="291" w:type="pct"/>
            <w:shd w:val="clear" w:color="auto" w:fill="auto"/>
            <w:vAlign w:val="center"/>
          </w:tcPr>
          <w:p w14:paraId="3290FDB1">
            <w:pPr>
              <w:adjustRightInd w:val="0"/>
              <w:snapToGrid w:val="0"/>
              <w:spacing w:line="320" w:lineRule="exact"/>
              <w:jc w:val="center"/>
              <w:rPr>
                <w:rFonts w:hint="eastAsia"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1.84</w:t>
            </w:r>
          </w:p>
        </w:tc>
        <w:tc>
          <w:tcPr>
            <w:tcW w:w="297" w:type="pct"/>
            <w:shd w:val="clear" w:color="auto" w:fill="auto"/>
            <w:vAlign w:val="center"/>
          </w:tcPr>
          <w:p w14:paraId="00F62F29">
            <w:pPr>
              <w:adjustRightInd w:val="0"/>
              <w:snapToGrid w:val="0"/>
              <w:spacing w:line="320" w:lineRule="exact"/>
              <w:jc w:val="center"/>
              <w:rPr>
                <w:rFonts w:hint="default"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0.07</w:t>
            </w:r>
          </w:p>
        </w:tc>
        <w:tc>
          <w:tcPr>
            <w:tcW w:w="341" w:type="pct"/>
            <w:shd w:val="clear" w:color="auto" w:fill="auto"/>
            <w:vAlign w:val="center"/>
          </w:tcPr>
          <w:p w14:paraId="1E7BE75A">
            <w:pPr>
              <w:adjustRightInd w:val="0"/>
              <w:snapToGrid w:val="0"/>
              <w:spacing w:line="320" w:lineRule="exact"/>
              <w:jc w:val="center"/>
              <w:rPr>
                <w:rFonts w:hint="eastAsia"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0.02</w:t>
            </w:r>
          </w:p>
        </w:tc>
        <w:tc>
          <w:tcPr>
            <w:tcW w:w="328" w:type="pct"/>
            <w:shd w:val="clear" w:color="auto" w:fill="auto"/>
            <w:vAlign w:val="center"/>
          </w:tcPr>
          <w:p w14:paraId="67C40E74">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b/>
                <w:bCs/>
                <w:color w:val="auto"/>
                <w:szCs w:val="21"/>
              </w:rPr>
              <w:t>/</w:t>
            </w:r>
          </w:p>
        </w:tc>
        <w:tc>
          <w:tcPr>
            <w:tcW w:w="300" w:type="pct"/>
            <w:shd w:val="clear" w:color="auto" w:fill="auto"/>
            <w:vAlign w:val="center"/>
          </w:tcPr>
          <w:p w14:paraId="49C7D101">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b/>
                <w:bCs/>
                <w:color w:val="auto"/>
                <w:szCs w:val="21"/>
              </w:rPr>
              <w:t>/</w:t>
            </w:r>
          </w:p>
        </w:tc>
        <w:tc>
          <w:tcPr>
            <w:tcW w:w="197" w:type="pct"/>
            <w:vMerge w:val="continue"/>
            <w:vAlign w:val="center"/>
          </w:tcPr>
          <w:p w14:paraId="4D4269D9">
            <w:pPr>
              <w:adjustRightInd w:val="0"/>
              <w:snapToGrid w:val="0"/>
              <w:spacing w:line="320" w:lineRule="exact"/>
              <w:jc w:val="center"/>
              <w:rPr>
                <w:rFonts w:eastAsia="仿宋_GB2312"/>
                <w:bCs/>
                <w:color w:val="FF0000"/>
                <w:szCs w:val="21"/>
              </w:rPr>
            </w:pPr>
          </w:p>
        </w:tc>
        <w:tc>
          <w:tcPr>
            <w:tcW w:w="195" w:type="pct"/>
            <w:vMerge w:val="continue"/>
            <w:vAlign w:val="center"/>
          </w:tcPr>
          <w:p w14:paraId="686A7B53">
            <w:pPr>
              <w:adjustRightInd w:val="0"/>
              <w:snapToGrid w:val="0"/>
              <w:spacing w:line="320" w:lineRule="exact"/>
              <w:jc w:val="center"/>
              <w:rPr>
                <w:rFonts w:eastAsia="仿宋_GB2312"/>
                <w:bCs/>
                <w:color w:val="FF0000"/>
                <w:szCs w:val="21"/>
              </w:rPr>
            </w:pPr>
          </w:p>
        </w:tc>
        <w:tc>
          <w:tcPr>
            <w:tcW w:w="193" w:type="pct"/>
            <w:vMerge w:val="continue"/>
            <w:vAlign w:val="center"/>
          </w:tcPr>
          <w:p w14:paraId="78F04D61">
            <w:pPr>
              <w:adjustRightInd w:val="0"/>
              <w:snapToGrid w:val="0"/>
              <w:spacing w:line="320" w:lineRule="exact"/>
              <w:jc w:val="center"/>
              <w:rPr>
                <w:rFonts w:eastAsia="仿宋_GB2312"/>
                <w:bCs/>
                <w:color w:val="FF0000"/>
                <w:sz w:val="24"/>
                <w:szCs w:val="24"/>
              </w:rPr>
            </w:pPr>
          </w:p>
        </w:tc>
      </w:tr>
      <w:tr w14:paraId="083EFE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295" w:type="pct"/>
            <w:vMerge w:val="continue"/>
            <w:vAlign w:val="center"/>
          </w:tcPr>
          <w:p w14:paraId="01C5F1C9">
            <w:pPr>
              <w:adjustRightInd w:val="0"/>
              <w:snapToGrid w:val="0"/>
              <w:spacing w:line="320" w:lineRule="exact"/>
              <w:jc w:val="center"/>
              <w:rPr>
                <w:rFonts w:eastAsia="仿宋_GB2312"/>
                <w:bCs/>
                <w:color w:val="FF0000"/>
                <w:szCs w:val="21"/>
              </w:rPr>
            </w:pPr>
          </w:p>
        </w:tc>
        <w:tc>
          <w:tcPr>
            <w:tcW w:w="375" w:type="pct"/>
            <w:vMerge w:val="continue"/>
            <w:vAlign w:val="center"/>
          </w:tcPr>
          <w:p w14:paraId="41004FBE">
            <w:pPr>
              <w:jc w:val="center"/>
              <w:rPr>
                <w:rFonts w:eastAsia="仿宋_GB2312"/>
                <w:color w:val="FF0000"/>
                <w:szCs w:val="21"/>
              </w:rPr>
            </w:pPr>
          </w:p>
        </w:tc>
        <w:tc>
          <w:tcPr>
            <w:tcW w:w="0" w:type="auto"/>
            <w:shd w:val="clear" w:color="auto" w:fill="auto"/>
            <w:vAlign w:val="center"/>
          </w:tcPr>
          <w:p w14:paraId="6D3945A3">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color w:val="auto"/>
                <w:szCs w:val="21"/>
              </w:rPr>
              <w:t>四氢呋喃</w:t>
            </w:r>
          </w:p>
        </w:tc>
        <w:tc>
          <w:tcPr>
            <w:tcW w:w="338" w:type="pct"/>
            <w:shd w:val="clear" w:color="auto" w:fill="auto"/>
            <w:vAlign w:val="center"/>
          </w:tcPr>
          <w:p w14:paraId="47D4CD61">
            <w:pPr>
              <w:adjustRightInd w:val="0"/>
              <w:snapToGrid w:val="0"/>
              <w:spacing w:line="320" w:lineRule="exact"/>
              <w:jc w:val="center"/>
              <w:rPr>
                <w:rFonts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167.63</w:t>
            </w:r>
          </w:p>
        </w:tc>
        <w:tc>
          <w:tcPr>
            <w:tcW w:w="0" w:type="auto"/>
            <w:shd w:val="clear" w:color="auto" w:fill="auto"/>
            <w:vAlign w:val="center"/>
          </w:tcPr>
          <w:p w14:paraId="4CFF7A78">
            <w:pPr>
              <w:adjustRightInd w:val="0"/>
              <w:snapToGrid w:val="0"/>
              <w:spacing w:line="320" w:lineRule="exact"/>
              <w:jc w:val="center"/>
              <w:rPr>
                <w:rFonts w:hint="default"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6.37</w:t>
            </w:r>
          </w:p>
        </w:tc>
        <w:tc>
          <w:tcPr>
            <w:tcW w:w="0" w:type="auto"/>
            <w:shd w:val="clear" w:color="auto" w:fill="auto"/>
            <w:vAlign w:val="center"/>
          </w:tcPr>
          <w:p w14:paraId="46F54453">
            <w:pPr>
              <w:adjustRightInd w:val="0"/>
              <w:snapToGrid w:val="0"/>
              <w:spacing w:line="320" w:lineRule="exact"/>
              <w:jc w:val="center"/>
              <w:rPr>
                <w:rFonts w:hint="default"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14.704</w:t>
            </w:r>
          </w:p>
        </w:tc>
        <w:tc>
          <w:tcPr>
            <w:tcW w:w="534" w:type="pct"/>
            <w:vMerge w:val="continue"/>
            <w:vAlign w:val="center"/>
          </w:tcPr>
          <w:p w14:paraId="43B9A58E">
            <w:pPr>
              <w:jc w:val="center"/>
              <w:rPr>
                <w:rFonts w:eastAsia="仿宋_GB2312"/>
                <w:color w:val="FF0000"/>
                <w:szCs w:val="21"/>
              </w:rPr>
            </w:pPr>
          </w:p>
        </w:tc>
        <w:tc>
          <w:tcPr>
            <w:tcW w:w="0" w:type="auto"/>
            <w:shd w:val="clear" w:color="auto" w:fill="auto"/>
            <w:vAlign w:val="center"/>
          </w:tcPr>
          <w:p w14:paraId="712AF12D">
            <w:pPr>
              <w:adjustRightInd w:val="0"/>
              <w:snapToGrid w:val="0"/>
              <w:spacing w:line="320" w:lineRule="exact"/>
              <w:jc w:val="center"/>
              <w:rPr>
                <w:rFonts w:hint="eastAsia"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95</w:t>
            </w:r>
          </w:p>
        </w:tc>
        <w:tc>
          <w:tcPr>
            <w:tcW w:w="291" w:type="pct"/>
            <w:shd w:val="clear" w:color="auto" w:fill="auto"/>
            <w:vAlign w:val="center"/>
          </w:tcPr>
          <w:p w14:paraId="2FC78125">
            <w:pPr>
              <w:adjustRightInd w:val="0"/>
              <w:snapToGrid w:val="0"/>
              <w:spacing w:line="320" w:lineRule="exact"/>
              <w:jc w:val="center"/>
              <w:rPr>
                <w:rFonts w:hint="eastAsia"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8.38</w:t>
            </w:r>
          </w:p>
        </w:tc>
        <w:tc>
          <w:tcPr>
            <w:tcW w:w="297" w:type="pct"/>
            <w:shd w:val="clear" w:color="auto" w:fill="auto"/>
            <w:vAlign w:val="center"/>
          </w:tcPr>
          <w:p w14:paraId="3D808361">
            <w:pPr>
              <w:adjustRightInd w:val="0"/>
              <w:snapToGrid w:val="0"/>
              <w:spacing w:line="320" w:lineRule="exact"/>
              <w:jc w:val="center"/>
              <w:rPr>
                <w:rFonts w:hint="default"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0.32</w:t>
            </w:r>
          </w:p>
        </w:tc>
        <w:tc>
          <w:tcPr>
            <w:tcW w:w="341" w:type="pct"/>
            <w:shd w:val="clear" w:color="auto" w:fill="auto"/>
            <w:vAlign w:val="center"/>
          </w:tcPr>
          <w:p w14:paraId="5B61AC8F">
            <w:pPr>
              <w:adjustRightInd w:val="0"/>
              <w:snapToGrid w:val="0"/>
              <w:spacing w:line="320" w:lineRule="exact"/>
              <w:jc w:val="center"/>
              <w:rPr>
                <w:rFonts w:hint="eastAsia"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0.74</w:t>
            </w:r>
          </w:p>
        </w:tc>
        <w:tc>
          <w:tcPr>
            <w:tcW w:w="328" w:type="pct"/>
            <w:shd w:val="clear" w:color="auto" w:fill="auto"/>
            <w:vAlign w:val="center"/>
          </w:tcPr>
          <w:p w14:paraId="6C7416DF">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b/>
                <w:bCs/>
                <w:color w:val="auto"/>
                <w:szCs w:val="21"/>
              </w:rPr>
              <w:t>/</w:t>
            </w:r>
          </w:p>
        </w:tc>
        <w:tc>
          <w:tcPr>
            <w:tcW w:w="300" w:type="pct"/>
            <w:shd w:val="clear" w:color="auto" w:fill="auto"/>
            <w:vAlign w:val="center"/>
          </w:tcPr>
          <w:p w14:paraId="52054F43">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b/>
                <w:bCs/>
                <w:color w:val="auto"/>
                <w:szCs w:val="21"/>
              </w:rPr>
              <w:t>/</w:t>
            </w:r>
          </w:p>
        </w:tc>
        <w:tc>
          <w:tcPr>
            <w:tcW w:w="197" w:type="pct"/>
            <w:vMerge w:val="continue"/>
            <w:vAlign w:val="center"/>
          </w:tcPr>
          <w:p w14:paraId="3E7B7228">
            <w:pPr>
              <w:adjustRightInd w:val="0"/>
              <w:snapToGrid w:val="0"/>
              <w:spacing w:line="320" w:lineRule="exact"/>
              <w:jc w:val="center"/>
              <w:rPr>
                <w:rFonts w:eastAsia="仿宋_GB2312"/>
                <w:bCs/>
                <w:color w:val="FF0000"/>
                <w:szCs w:val="21"/>
              </w:rPr>
            </w:pPr>
          </w:p>
        </w:tc>
        <w:tc>
          <w:tcPr>
            <w:tcW w:w="195" w:type="pct"/>
            <w:vMerge w:val="continue"/>
            <w:vAlign w:val="center"/>
          </w:tcPr>
          <w:p w14:paraId="170EF621">
            <w:pPr>
              <w:adjustRightInd w:val="0"/>
              <w:snapToGrid w:val="0"/>
              <w:spacing w:line="320" w:lineRule="exact"/>
              <w:jc w:val="center"/>
              <w:rPr>
                <w:rFonts w:eastAsia="仿宋_GB2312"/>
                <w:bCs/>
                <w:color w:val="FF0000"/>
                <w:szCs w:val="21"/>
              </w:rPr>
            </w:pPr>
          </w:p>
        </w:tc>
        <w:tc>
          <w:tcPr>
            <w:tcW w:w="193" w:type="pct"/>
            <w:vMerge w:val="continue"/>
            <w:vAlign w:val="center"/>
          </w:tcPr>
          <w:p w14:paraId="56BD7341">
            <w:pPr>
              <w:adjustRightInd w:val="0"/>
              <w:snapToGrid w:val="0"/>
              <w:spacing w:line="320" w:lineRule="exact"/>
              <w:jc w:val="center"/>
              <w:rPr>
                <w:rFonts w:eastAsia="仿宋_GB2312"/>
                <w:bCs/>
                <w:color w:val="FF0000"/>
                <w:sz w:val="24"/>
                <w:szCs w:val="24"/>
              </w:rPr>
            </w:pPr>
          </w:p>
        </w:tc>
      </w:tr>
      <w:tr w14:paraId="7972ED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295" w:type="pct"/>
            <w:vMerge w:val="continue"/>
            <w:vAlign w:val="center"/>
          </w:tcPr>
          <w:p w14:paraId="043B4883">
            <w:pPr>
              <w:adjustRightInd w:val="0"/>
              <w:snapToGrid w:val="0"/>
              <w:spacing w:line="320" w:lineRule="exact"/>
              <w:jc w:val="center"/>
              <w:rPr>
                <w:rFonts w:eastAsia="仿宋_GB2312"/>
                <w:bCs/>
                <w:color w:val="FF0000"/>
                <w:szCs w:val="21"/>
              </w:rPr>
            </w:pPr>
          </w:p>
        </w:tc>
        <w:tc>
          <w:tcPr>
            <w:tcW w:w="375" w:type="pct"/>
            <w:vMerge w:val="continue"/>
            <w:vAlign w:val="center"/>
          </w:tcPr>
          <w:p w14:paraId="3472427E">
            <w:pPr>
              <w:jc w:val="center"/>
              <w:rPr>
                <w:rFonts w:eastAsia="仿宋_GB2312"/>
                <w:color w:val="FF0000"/>
                <w:szCs w:val="21"/>
              </w:rPr>
            </w:pPr>
          </w:p>
        </w:tc>
        <w:tc>
          <w:tcPr>
            <w:tcW w:w="0" w:type="auto"/>
            <w:shd w:val="clear" w:color="auto" w:fill="auto"/>
            <w:vAlign w:val="center"/>
          </w:tcPr>
          <w:p w14:paraId="3A46D84B">
            <w:pPr>
              <w:adjustRightInd w:val="0"/>
              <w:snapToGrid w:val="0"/>
              <w:spacing w:line="320" w:lineRule="exact"/>
              <w:jc w:val="center"/>
              <w:rPr>
                <w:rFonts w:ascii="Times New Roman" w:hAnsi="Times New Roman" w:eastAsia="仿宋_GB2312" w:cs="Times New Roman"/>
                <w:color w:val="auto"/>
                <w:kern w:val="2"/>
                <w:sz w:val="21"/>
                <w:szCs w:val="21"/>
                <w:lang w:val="en-US" w:eastAsia="zh-CN" w:bidi="ar-SA"/>
              </w:rPr>
            </w:pPr>
            <w:r>
              <w:rPr>
                <w:rFonts w:eastAsia="仿宋_GB2312"/>
                <w:color w:val="auto"/>
                <w:szCs w:val="21"/>
              </w:rPr>
              <w:t>甲醇</w:t>
            </w:r>
          </w:p>
        </w:tc>
        <w:tc>
          <w:tcPr>
            <w:tcW w:w="338" w:type="pct"/>
            <w:shd w:val="clear" w:color="auto" w:fill="auto"/>
            <w:vAlign w:val="center"/>
          </w:tcPr>
          <w:p w14:paraId="425D2712">
            <w:pPr>
              <w:adjustRightInd w:val="0"/>
              <w:snapToGrid w:val="0"/>
              <w:spacing w:line="320" w:lineRule="exact"/>
              <w:jc w:val="center"/>
              <w:rPr>
                <w:rFonts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194.47</w:t>
            </w:r>
          </w:p>
        </w:tc>
        <w:tc>
          <w:tcPr>
            <w:tcW w:w="0" w:type="auto"/>
            <w:shd w:val="clear" w:color="auto" w:fill="auto"/>
            <w:vAlign w:val="center"/>
          </w:tcPr>
          <w:p w14:paraId="09345561">
            <w:pPr>
              <w:adjustRightInd w:val="0"/>
              <w:snapToGrid w:val="0"/>
              <w:spacing w:line="320" w:lineRule="exact"/>
              <w:jc w:val="center"/>
              <w:rPr>
                <w:rFonts w:hint="default"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7.39</w:t>
            </w:r>
          </w:p>
        </w:tc>
        <w:tc>
          <w:tcPr>
            <w:tcW w:w="0" w:type="auto"/>
            <w:shd w:val="clear" w:color="auto" w:fill="auto"/>
            <w:vAlign w:val="center"/>
          </w:tcPr>
          <w:p w14:paraId="53A1B406">
            <w:pPr>
              <w:adjustRightInd w:val="0"/>
              <w:snapToGrid w:val="0"/>
              <w:spacing w:line="320" w:lineRule="exact"/>
              <w:jc w:val="center"/>
              <w:rPr>
                <w:rFonts w:hint="default"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51.51</w:t>
            </w:r>
          </w:p>
        </w:tc>
        <w:tc>
          <w:tcPr>
            <w:tcW w:w="534" w:type="pct"/>
            <w:vMerge w:val="continue"/>
            <w:vAlign w:val="center"/>
          </w:tcPr>
          <w:p w14:paraId="1FFEF21E">
            <w:pPr>
              <w:jc w:val="center"/>
              <w:rPr>
                <w:rFonts w:eastAsia="仿宋_GB2312"/>
                <w:color w:val="FF0000"/>
                <w:szCs w:val="21"/>
              </w:rPr>
            </w:pPr>
          </w:p>
        </w:tc>
        <w:tc>
          <w:tcPr>
            <w:tcW w:w="0" w:type="auto"/>
            <w:shd w:val="clear" w:color="auto" w:fill="auto"/>
            <w:vAlign w:val="center"/>
          </w:tcPr>
          <w:p w14:paraId="59737BBB">
            <w:pPr>
              <w:adjustRightInd w:val="0"/>
              <w:snapToGrid w:val="0"/>
              <w:spacing w:line="320" w:lineRule="exact"/>
              <w:jc w:val="center"/>
              <w:rPr>
                <w:rFonts w:hint="eastAsia"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95</w:t>
            </w:r>
          </w:p>
        </w:tc>
        <w:tc>
          <w:tcPr>
            <w:tcW w:w="291" w:type="pct"/>
            <w:shd w:val="clear" w:color="auto" w:fill="auto"/>
            <w:vAlign w:val="center"/>
          </w:tcPr>
          <w:p w14:paraId="775D773F">
            <w:pPr>
              <w:adjustRightInd w:val="0"/>
              <w:snapToGrid w:val="0"/>
              <w:spacing w:line="320" w:lineRule="exact"/>
              <w:jc w:val="center"/>
              <w:rPr>
                <w:rFonts w:hint="eastAsia"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9.72</w:t>
            </w:r>
          </w:p>
        </w:tc>
        <w:tc>
          <w:tcPr>
            <w:tcW w:w="297" w:type="pct"/>
            <w:shd w:val="clear" w:color="auto" w:fill="auto"/>
            <w:vAlign w:val="center"/>
          </w:tcPr>
          <w:p w14:paraId="3F044EDC">
            <w:pPr>
              <w:adjustRightInd w:val="0"/>
              <w:snapToGrid w:val="0"/>
              <w:spacing w:line="320" w:lineRule="exact"/>
              <w:jc w:val="center"/>
              <w:rPr>
                <w:rFonts w:hint="default"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0.37</w:t>
            </w:r>
          </w:p>
        </w:tc>
        <w:tc>
          <w:tcPr>
            <w:tcW w:w="341" w:type="pct"/>
            <w:shd w:val="clear" w:color="auto" w:fill="auto"/>
            <w:vAlign w:val="center"/>
          </w:tcPr>
          <w:p w14:paraId="63348B42">
            <w:pPr>
              <w:adjustRightInd w:val="0"/>
              <w:snapToGrid w:val="0"/>
              <w:spacing w:line="320" w:lineRule="exact"/>
              <w:jc w:val="center"/>
              <w:rPr>
                <w:rFonts w:hint="eastAsia"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2.58</w:t>
            </w:r>
          </w:p>
        </w:tc>
        <w:tc>
          <w:tcPr>
            <w:tcW w:w="328" w:type="pct"/>
            <w:shd w:val="clear" w:color="auto" w:fill="auto"/>
            <w:vAlign w:val="center"/>
          </w:tcPr>
          <w:p w14:paraId="7C5B90CE">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color w:val="auto"/>
                <w:szCs w:val="21"/>
              </w:rPr>
              <w:t>50</w:t>
            </w:r>
          </w:p>
        </w:tc>
        <w:tc>
          <w:tcPr>
            <w:tcW w:w="300" w:type="pct"/>
            <w:shd w:val="clear" w:color="auto" w:fill="auto"/>
            <w:vAlign w:val="center"/>
          </w:tcPr>
          <w:p w14:paraId="34FD5A0A">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color w:val="auto"/>
                <w:szCs w:val="21"/>
              </w:rPr>
              <w:t>1.8</w:t>
            </w:r>
          </w:p>
        </w:tc>
        <w:tc>
          <w:tcPr>
            <w:tcW w:w="197" w:type="pct"/>
            <w:vMerge w:val="continue"/>
            <w:vAlign w:val="center"/>
          </w:tcPr>
          <w:p w14:paraId="32580EBC">
            <w:pPr>
              <w:adjustRightInd w:val="0"/>
              <w:snapToGrid w:val="0"/>
              <w:spacing w:line="320" w:lineRule="exact"/>
              <w:jc w:val="center"/>
              <w:rPr>
                <w:rFonts w:eastAsia="仿宋_GB2312"/>
                <w:bCs/>
                <w:color w:val="FF0000"/>
                <w:szCs w:val="21"/>
              </w:rPr>
            </w:pPr>
          </w:p>
        </w:tc>
        <w:tc>
          <w:tcPr>
            <w:tcW w:w="195" w:type="pct"/>
            <w:vMerge w:val="continue"/>
            <w:vAlign w:val="center"/>
          </w:tcPr>
          <w:p w14:paraId="30FF0FC1">
            <w:pPr>
              <w:adjustRightInd w:val="0"/>
              <w:snapToGrid w:val="0"/>
              <w:spacing w:line="320" w:lineRule="exact"/>
              <w:jc w:val="center"/>
              <w:rPr>
                <w:rFonts w:eastAsia="仿宋_GB2312"/>
                <w:bCs/>
                <w:color w:val="FF0000"/>
                <w:szCs w:val="21"/>
              </w:rPr>
            </w:pPr>
          </w:p>
        </w:tc>
        <w:tc>
          <w:tcPr>
            <w:tcW w:w="193" w:type="pct"/>
            <w:vMerge w:val="continue"/>
            <w:vAlign w:val="center"/>
          </w:tcPr>
          <w:p w14:paraId="44D67B47">
            <w:pPr>
              <w:adjustRightInd w:val="0"/>
              <w:snapToGrid w:val="0"/>
              <w:spacing w:line="320" w:lineRule="exact"/>
              <w:jc w:val="center"/>
              <w:rPr>
                <w:rFonts w:eastAsia="仿宋_GB2312"/>
                <w:bCs/>
                <w:color w:val="FF0000"/>
                <w:sz w:val="24"/>
                <w:szCs w:val="24"/>
              </w:rPr>
            </w:pPr>
          </w:p>
        </w:tc>
      </w:tr>
      <w:tr w14:paraId="063D765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295" w:type="pct"/>
            <w:vMerge w:val="continue"/>
            <w:vAlign w:val="center"/>
          </w:tcPr>
          <w:p w14:paraId="45C0F10F">
            <w:pPr>
              <w:adjustRightInd w:val="0"/>
              <w:snapToGrid w:val="0"/>
              <w:spacing w:line="320" w:lineRule="exact"/>
              <w:jc w:val="center"/>
              <w:rPr>
                <w:rFonts w:eastAsia="仿宋_GB2312"/>
                <w:bCs/>
                <w:color w:val="FF0000"/>
                <w:szCs w:val="21"/>
              </w:rPr>
            </w:pPr>
          </w:p>
        </w:tc>
        <w:tc>
          <w:tcPr>
            <w:tcW w:w="375" w:type="pct"/>
            <w:vMerge w:val="continue"/>
            <w:vAlign w:val="center"/>
          </w:tcPr>
          <w:p w14:paraId="52065DB1">
            <w:pPr>
              <w:jc w:val="center"/>
              <w:rPr>
                <w:rFonts w:eastAsia="仿宋_GB2312"/>
                <w:color w:val="FF0000"/>
                <w:szCs w:val="21"/>
              </w:rPr>
            </w:pPr>
          </w:p>
        </w:tc>
        <w:tc>
          <w:tcPr>
            <w:tcW w:w="0" w:type="auto"/>
            <w:shd w:val="clear" w:color="auto" w:fill="auto"/>
            <w:vAlign w:val="center"/>
          </w:tcPr>
          <w:p w14:paraId="75403C32">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color w:val="auto"/>
                <w:szCs w:val="21"/>
              </w:rPr>
              <w:t>乙腈</w:t>
            </w:r>
          </w:p>
        </w:tc>
        <w:tc>
          <w:tcPr>
            <w:tcW w:w="338" w:type="pct"/>
            <w:shd w:val="clear" w:color="auto" w:fill="auto"/>
            <w:vAlign w:val="center"/>
          </w:tcPr>
          <w:p w14:paraId="08DA10F8">
            <w:pPr>
              <w:adjustRightInd w:val="0"/>
              <w:snapToGrid w:val="0"/>
              <w:spacing w:line="320" w:lineRule="exact"/>
              <w:jc w:val="center"/>
              <w:rPr>
                <w:rFonts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154.74</w:t>
            </w:r>
          </w:p>
        </w:tc>
        <w:tc>
          <w:tcPr>
            <w:tcW w:w="0" w:type="auto"/>
            <w:shd w:val="clear" w:color="auto" w:fill="auto"/>
            <w:vAlign w:val="center"/>
          </w:tcPr>
          <w:p w14:paraId="0D159B7C">
            <w:pPr>
              <w:adjustRightInd w:val="0"/>
              <w:snapToGrid w:val="0"/>
              <w:spacing w:line="320" w:lineRule="exact"/>
              <w:jc w:val="center"/>
              <w:rPr>
                <w:rFonts w:hint="default"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5.88</w:t>
            </w:r>
          </w:p>
        </w:tc>
        <w:tc>
          <w:tcPr>
            <w:tcW w:w="0" w:type="auto"/>
            <w:shd w:val="clear" w:color="auto" w:fill="auto"/>
            <w:vAlign w:val="center"/>
          </w:tcPr>
          <w:p w14:paraId="3DC45FB3">
            <w:pPr>
              <w:adjustRightInd w:val="0"/>
              <w:snapToGrid w:val="0"/>
              <w:spacing w:line="320" w:lineRule="exact"/>
              <w:jc w:val="center"/>
              <w:rPr>
                <w:rFonts w:hint="default"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44.239</w:t>
            </w:r>
          </w:p>
        </w:tc>
        <w:tc>
          <w:tcPr>
            <w:tcW w:w="534" w:type="pct"/>
            <w:vMerge w:val="continue"/>
            <w:vAlign w:val="center"/>
          </w:tcPr>
          <w:p w14:paraId="384689C0">
            <w:pPr>
              <w:jc w:val="center"/>
              <w:rPr>
                <w:rFonts w:eastAsia="仿宋_GB2312"/>
                <w:color w:val="FF0000"/>
                <w:szCs w:val="21"/>
              </w:rPr>
            </w:pPr>
          </w:p>
        </w:tc>
        <w:tc>
          <w:tcPr>
            <w:tcW w:w="0" w:type="auto"/>
            <w:shd w:val="clear" w:color="auto" w:fill="auto"/>
            <w:vAlign w:val="center"/>
          </w:tcPr>
          <w:p w14:paraId="3C7C8990">
            <w:pPr>
              <w:adjustRightInd w:val="0"/>
              <w:snapToGrid w:val="0"/>
              <w:spacing w:line="320" w:lineRule="exact"/>
              <w:jc w:val="center"/>
              <w:rPr>
                <w:rFonts w:hint="eastAsia"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95</w:t>
            </w:r>
          </w:p>
        </w:tc>
        <w:tc>
          <w:tcPr>
            <w:tcW w:w="291" w:type="pct"/>
            <w:shd w:val="clear" w:color="auto" w:fill="auto"/>
            <w:vAlign w:val="center"/>
          </w:tcPr>
          <w:p w14:paraId="032C98D3">
            <w:pPr>
              <w:adjustRightInd w:val="0"/>
              <w:snapToGrid w:val="0"/>
              <w:spacing w:line="320" w:lineRule="exact"/>
              <w:jc w:val="center"/>
              <w:rPr>
                <w:rFonts w:hint="eastAsia"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7.74</w:t>
            </w:r>
          </w:p>
        </w:tc>
        <w:tc>
          <w:tcPr>
            <w:tcW w:w="297" w:type="pct"/>
            <w:shd w:val="clear" w:color="auto" w:fill="auto"/>
            <w:vAlign w:val="center"/>
          </w:tcPr>
          <w:p w14:paraId="12F76041">
            <w:pPr>
              <w:adjustRightInd w:val="0"/>
              <w:snapToGrid w:val="0"/>
              <w:spacing w:line="320" w:lineRule="exact"/>
              <w:jc w:val="center"/>
              <w:rPr>
                <w:rFonts w:hint="default"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0.29</w:t>
            </w:r>
          </w:p>
        </w:tc>
        <w:tc>
          <w:tcPr>
            <w:tcW w:w="341" w:type="pct"/>
            <w:shd w:val="clear" w:color="auto" w:fill="auto"/>
            <w:vAlign w:val="center"/>
          </w:tcPr>
          <w:p w14:paraId="40785AF9">
            <w:pPr>
              <w:adjustRightInd w:val="0"/>
              <w:snapToGrid w:val="0"/>
              <w:spacing w:line="320" w:lineRule="exact"/>
              <w:jc w:val="center"/>
              <w:rPr>
                <w:rFonts w:hint="eastAsia"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2.21</w:t>
            </w:r>
          </w:p>
        </w:tc>
        <w:tc>
          <w:tcPr>
            <w:tcW w:w="328" w:type="pct"/>
            <w:shd w:val="clear" w:color="auto" w:fill="auto"/>
            <w:vAlign w:val="center"/>
          </w:tcPr>
          <w:p w14:paraId="1EF83280">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color w:val="auto"/>
                <w:szCs w:val="21"/>
              </w:rPr>
              <w:t>30</w:t>
            </w:r>
          </w:p>
        </w:tc>
        <w:tc>
          <w:tcPr>
            <w:tcW w:w="300" w:type="pct"/>
            <w:shd w:val="clear" w:color="auto" w:fill="auto"/>
            <w:vAlign w:val="center"/>
          </w:tcPr>
          <w:p w14:paraId="371AF360">
            <w:pPr>
              <w:adjustRightInd w:val="0"/>
              <w:snapToGrid w:val="0"/>
              <w:spacing w:line="320" w:lineRule="exact"/>
              <w:jc w:val="center"/>
              <w:rPr>
                <w:rFonts w:hint="default" w:ascii="Times New Roman" w:hAnsi="Times New Roman" w:eastAsia="仿宋_GB2312" w:cs="Times New Roman"/>
                <w:b/>
                <w:bCs/>
                <w:color w:val="auto"/>
                <w:kern w:val="2"/>
                <w:sz w:val="21"/>
                <w:szCs w:val="21"/>
                <w:lang w:val="en-US" w:eastAsia="zh-CN" w:bidi="ar-SA"/>
              </w:rPr>
            </w:pPr>
            <w:r>
              <w:rPr>
                <w:rFonts w:hint="eastAsia" w:eastAsia="仿宋_GB2312"/>
                <w:color w:val="auto"/>
                <w:szCs w:val="21"/>
                <w:lang w:val="en-US" w:eastAsia="zh-CN"/>
              </w:rPr>
              <w:t>2.2</w:t>
            </w:r>
          </w:p>
        </w:tc>
        <w:tc>
          <w:tcPr>
            <w:tcW w:w="197" w:type="pct"/>
            <w:vMerge w:val="continue"/>
            <w:vAlign w:val="center"/>
          </w:tcPr>
          <w:p w14:paraId="4A750BB0">
            <w:pPr>
              <w:adjustRightInd w:val="0"/>
              <w:snapToGrid w:val="0"/>
              <w:spacing w:line="320" w:lineRule="exact"/>
              <w:jc w:val="center"/>
              <w:rPr>
                <w:rFonts w:eastAsia="仿宋_GB2312"/>
                <w:bCs/>
                <w:color w:val="FF0000"/>
                <w:szCs w:val="21"/>
              </w:rPr>
            </w:pPr>
          </w:p>
        </w:tc>
        <w:tc>
          <w:tcPr>
            <w:tcW w:w="195" w:type="pct"/>
            <w:vMerge w:val="continue"/>
            <w:vAlign w:val="center"/>
          </w:tcPr>
          <w:p w14:paraId="6CE55B50">
            <w:pPr>
              <w:adjustRightInd w:val="0"/>
              <w:snapToGrid w:val="0"/>
              <w:spacing w:line="320" w:lineRule="exact"/>
              <w:jc w:val="center"/>
              <w:rPr>
                <w:rFonts w:eastAsia="仿宋_GB2312"/>
                <w:bCs/>
                <w:color w:val="FF0000"/>
                <w:szCs w:val="21"/>
              </w:rPr>
            </w:pPr>
          </w:p>
        </w:tc>
        <w:tc>
          <w:tcPr>
            <w:tcW w:w="193" w:type="pct"/>
            <w:vMerge w:val="continue"/>
            <w:vAlign w:val="center"/>
          </w:tcPr>
          <w:p w14:paraId="7DC92FD2">
            <w:pPr>
              <w:adjustRightInd w:val="0"/>
              <w:snapToGrid w:val="0"/>
              <w:spacing w:line="320" w:lineRule="exact"/>
              <w:jc w:val="center"/>
              <w:rPr>
                <w:rFonts w:eastAsia="仿宋_GB2312"/>
                <w:bCs/>
                <w:color w:val="FF0000"/>
                <w:sz w:val="24"/>
                <w:szCs w:val="24"/>
              </w:rPr>
            </w:pPr>
          </w:p>
        </w:tc>
      </w:tr>
      <w:tr w14:paraId="6FD5C7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295" w:type="pct"/>
            <w:vMerge w:val="continue"/>
            <w:vAlign w:val="center"/>
          </w:tcPr>
          <w:p w14:paraId="461DEF28">
            <w:pPr>
              <w:adjustRightInd w:val="0"/>
              <w:snapToGrid w:val="0"/>
              <w:spacing w:line="320" w:lineRule="exact"/>
              <w:jc w:val="center"/>
              <w:rPr>
                <w:rFonts w:eastAsia="仿宋_GB2312"/>
                <w:bCs/>
                <w:color w:val="FF0000"/>
                <w:szCs w:val="21"/>
              </w:rPr>
            </w:pPr>
          </w:p>
        </w:tc>
        <w:tc>
          <w:tcPr>
            <w:tcW w:w="375" w:type="pct"/>
            <w:vMerge w:val="continue"/>
            <w:vAlign w:val="center"/>
          </w:tcPr>
          <w:p w14:paraId="40C1CB63">
            <w:pPr>
              <w:jc w:val="center"/>
              <w:rPr>
                <w:rFonts w:eastAsia="仿宋_GB2312"/>
                <w:color w:val="FF0000"/>
                <w:szCs w:val="21"/>
              </w:rPr>
            </w:pPr>
          </w:p>
        </w:tc>
        <w:tc>
          <w:tcPr>
            <w:tcW w:w="0" w:type="auto"/>
            <w:shd w:val="clear" w:color="auto" w:fill="auto"/>
            <w:vAlign w:val="center"/>
          </w:tcPr>
          <w:p w14:paraId="73076C69">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color w:val="auto"/>
                <w:szCs w:val="21"/>
              </w:rPr>
              <w:t>丙二醇单甲醚</w:t>
            </w:r>
          </w:p>
        </w:tc>
        <w:tc>
          <w:tcPr>
            <w:tcW w:w="338" w:type="pct"/>
            <w:shd w:val="clear" w:color="auto" w:fill="auto"/>
            <w:vAlign w:val="center"/>
          </w:tcPr>
          <w:p w14:paraId="058BFACC">
            <w:pPr>
              <w:adjustRightInd w:val="0"/>
              <w:snapToGrid w:val="0"/>
              <w:spacing w:line="320" w:lineRule="exact"/>
              <w:jc w:val="center"/>
              <w:rPr>
                <w:rFonts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223.68</w:t>
            </w:r>
          </w:p>
        </w:tc>
        <w:tc>
          <w:tcPr>
            <w:tcW w:w="0" w:type="auto"/>
            <w:shd w:val="clear" w:color="auto" w:fill="auto"/>
            <w:vAlign w:val="center"/>
          </w:tcPr>
          <w:p w14:paraId="75973445">
            <w:pPr>
              <w:adjustRightInd w:val="0"/>
              <w:snapToGrid w:val="0"/>
              <w:spacing w:line="320" w:lineRule="exact"/>
              <w:jc w:val="center"/>
              <w:rPr>
                <w:rFonts w:hint="default"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8.5</w:t>
            </w:r>
          </w:p>
        </w:tc>
        <w:tc>
          <w:tcPr>
            <w:tcW w:w="0" w:type="auto"/>
            <w:shd w:val="clear" w:color="auto" w:fill="auto"/>
            <w:vAlign w:val="center"/>
          </w:tcPr>
          <w:p w14:paraId="1D0A9ADC">
            <w:pPr>
              <w:adjustRightInd w:val="0"/>
              <w:snapToGrid w:val="0"/>
              <w:spacing w:line="320" w:lineRule="exact"/>
              <w:jc w:val="center"/>
              <w:rPr>
                <w:rFonts w:hint="default"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2.881</w:t>
            </w:r>
          </w:p>
        </w:tc>
        <w:tc>
          <w:tcPr>
            <w:tcW w:w="534" w:type="pct"/>
            <w:vMerge w:val="continue"/>
            <w:vAlign w:val="center"/>
          </w:tcPr>
          <w:p w14:paraId="4EADA8FC">
            <w:pPr>
              <w:jc w:val="center"/>
              <w:rPr>
                <w:rFonts w:eastAsia="仿宋_GB2312"/>
                <w:color w:val="FF0000"/>
                <w:szCs w:val="21"/>
              </w:rPr>
            </w:pPr>
          </w:p>
        </w:tc>
        <w:tc>
          <w:tcPr>
            <w:tcW w:w="0" w:type="auto"/>
            <w:shd w:val="clear" w:color="auto" w:fill="auto"/>
            <w:vAlign w:val="center"/>
          </w:tcPr>
          <w:p w14:paraId="4FB94CD2">
            <w:pPr>
              <w:adjustRightInd w:val="0"/>
              <w:snapToGrid w:val="0"/>
              <w:spacing w:line="320" w:lineRule="exact"/>
              <w:jc w:val="center"/>
              <w:rPr>
                <w:rFonts w:hint="eastAsia"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95</w:t>
            </w:r>
          </w:p>
        </w:tc>
        <w:tc>
          <w:tcPr>
            <w:tcW w:w="291" w:type="pct"/>
            <w:shd w:val="clear" w:color="auto" w:fill="auto"/>
            <w:vAlign w:val="center"/>
          </w:tcPr>
          <w:p w14:paraId="08EDA3CD">
            <w:pPr>
              <w:adjustRightInd w:val="0"/>
              <w:snapToGrid w:val="0"/>
              <w:spacing w:line="320" w:lineRule="exact"/>
              <w:jc w:val="center"/>
              <w:rPr>
                <w:rFonts w:hint="eastAsia"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11.18</w:t>
            </w:r>
          </w:p>
        </w:tc>
        <w:tc>
          <w:tcPr>
            <w:tcW w:w="297" w:type="pct"/>
            <w:shd w:val="clear" w:color="auto" w:fill="auto"/>
            <w:vAlign w:val="center"/>
          </w:tcPr>
          <w:p w14:paraId="6C6B31E8">
            <w:pPr>
              <w:adjustRightInd w:val="0"/>
              <w:snapToGrid w:val="0"/>
              <w:spacing w:line="320" w:lineRule="exact"/>
              <w:jc w:val="center"/>
              <w:rPr>
                <w:rFonts w:hint="default"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0.43</w:t>
            </w:r>
          </w:p>
        </w:tc>
        <w:tc>
          <w:tcPr>
            <w:tcW w:w="341" w:type="pct"/>
            <w:shd w:val="clear" w:color="auto" w:fill="auto"/>
            <w:vAlign w:val="center"/>
          </w:tcPr>
          <w:p w14:paraId="25B8D674">
            <w:pPr>
              <w:adjustRightInd w:val="0"/>
              <w:snapToGrid w:val="0"/>
              <w:spacing w:line="320" w:lineRule="exact"/>
              <w:jc w:val="center"/>
              <w:rPr>
                <w:rFonts w:hint="eastAsia"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0.14</w:t>
            </w:r>
          </w:p>
        </w:tc>
        <w:tc>
          <w:tcPr>
            <w:tcW w:w="328" w:type="pct"/>
            <w:shd w:val="clear" w:color="auto" w:fill="auto"/>
            <w:vAlign w:val="center"/>
          </w:tcPr>
          <w:p w14:paraId="0D1D3E60">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b/>
                <w:bCs/>
                <w:color w:val="auto"/>
                <w:szCs w:val="21"/>
              </w:rPr>
              <w:t>/</w:t>
            </w:r>
          </w:p>
        </w:tc>
        <w:tc>
          <w:tcPr>
            <w:tcW w:w="300" w:type="pct"/>
            <w:shd w:val="clear" w:color="auto" w:fill="auto"/>
            <w:vAlign w:val="center"/>
          </w:tcPr>
          <w:p w14:paraId="69A06931">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b/>
                <w:bCs/>
                <w:color w:val="auto"/>
                <w:szCs w:val="21"/>
              </w:rPr>
              <w:t>/</w:t>
            </w:r>
          </w:p>
        </w:tc>
        <w:tc>
          <w:tcPr>
            <w:tcW w:w="197" w:type="pct"/>
            <w:vMerge w:val="continue"/>
            <w:vAlign w:val="center"/>
          </w:tcPr>
          <w:p w14:paraId="0E28A848">
            <w:pPr>
              <w:adjustRightInd w:val="0"/>
              <w:snapToGrid w:val="0"/>
              <w:spacing w:line="320" w:lineRule="exact"/>
              <w:jc w:val="center"/>
              <w:rPr>
                <w:rFonts w:eastAsia="仿宋_GB2312"/>
                <w:bCs/>
                <w:color w:val="FF0000"/>
                <w:szCs w:val="21"/>
              </w:rPr>
            </w:pPr>
          </w:p>
        </w:tc>
        <w:tc>
          <w:tcPr>
            <w:tcW w:w="195" w:type="pct"/>
            <w:vMerge w:val="continue"/>
            <w:vAlign w:val="center"/>
          </w:tcPr>
          <w:p w14:paraId="0514D951">
            <w:pPr>
              <w:adjustRightInd w:val="0"/>
              <w:snapToGrid w:val="0"/>
              <w:spacing w:line="320" w:lineRule="exact"/>
              <w:jc w:val="center"/>
              <w:rPr>
                <w:rFonts w:eastAsia="仿宋_GB2312"/>
                <w:bCs/>
                <w:color w:val="FF0000"/>
                <w:szCs w:val="21"/>
              </w:rPr>
            </w:pPr>
          </w:p>
        </w:tc>
        <w:tc>
          <w:tcPr>
            <w:tcW w:w="193" w:type="pct"/>
            <w:vMerge w:val="continue"/>
            <w:vAlign w:val="center"/>
          </w:tcPr>
          <w:p w14:paraId="4B50A5E8">
            <w:pPr>
              <w:adjustRightInd w:val="0"/>
              <w:snapToGrid w:val="0"/>
              <w:spacing w:line="320" w:lineRule="exact"/>
              <w:jc w:val="center"/>
              <w:rPr>
                <w:rFonts w:eastAsia="仿宋_GB2312"/>
                <w:bCs/>
                <w:color w:val="FF0000"/>
                <w:sz w:val="24"/>
                <w:szCs w:val="24"/>
              </w:rPr>
            </w:pPr>
          </w:p>
        </w:tc>
      </w:tr>
      <w:tr w14:paraId="77951C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295" w:type="pct"/>
            <w:vMerge w:val="continue"/>
            <w:vAlign w:val="center"/>
          </w:tcPr>
          <w:p w14:paraId="06504C7F">
            <w:pPr>
              <w:adjustRightInd w:val="0"/>
              <w:snapToGrid w:val="0"/>
              <w:spacing w:line="320" w:lineRule="exact"/>
              <w:jc w:val="center"/>
              <w:rPr>
                <w:rFonts w:eastAsia="仿宋_GB2312"/>
                <w:bCs/>
                <w:color w:val="FF0000"/>
                <w:szCs w:val="21"/>
              </w:rPr>
            </w:pPr>
          </w:p>
        </w:tc>
        <w:tc>
          <w:tcPr>
            <w:tcW w:w="375" w:type="pct"/>
            <w:vMerge w:val="continue"/>
            <w:vAlign w:val="center"/>
          </w:tcPr>
          <w:p w14:paraId="20EAA53C">
            <w:pPr>
              <w:jc w:val="center"/>
              <w:rPr>
                <w:rFonts w:eastAsia="仿宋_GB2312"/>
                <w:color w:val="FF0000"/>
                <w:szCs w:val="21"/>
              </w:rPr>
            </w:pPr>
          </w:p>
        </w:tc>
        <w:tc>
          <w:tcPr>
            <w:tcW w:w="0" w:type="auto"/>
            <w:shd w:val="clear" w:color="auto" w:fill="auto"/>
            <w:vAlign w:val="center"/>
          </w:tcPr>
          <w:p w14:paraId="0711CCC6">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color w:val="auto"/>
                <w:szCs w:val="21"/>
              </w:rPr>
              <w:t>环戊酮</w:t>
            </w:r>
          </w:p>
        </w:tc>
        <w:tc>
          <w:tcPr>
            <w:tcW w:w="338" w:type="pct"/>
            <w:shd w:val="clear" w:color="auto" w:fill="auto"/>
            <w:vAlign w:val="center"/>
          </w:tcPr>
          <w:p w14:paraId="4F804C15">
            <w:pPr>
              <w:keepNext w:val="0"/>
              <w:keepLines w:val="0"/>
              <w:widowControl/>
              <w:suppressLineNumbers w:val="0"/>
              <w:jc w:val="center"/>
              <w:textAlignment w:val="bottom"/>
              <w:rPr>
                <w:rFonts w:ascii="Times New Roman" w:hAnsi="Times New Roman" w:eastAsia="等线" w:cs="Times New Roman"/>
                <w:color w:val="auto"/>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164.47</w:t>
            </w:r>
          </w:p>
        </w:tc>
        <w:tc>
          <w:tcPr>
            <w:tcW w:w="0" w:type="auto"/>
            <w:shd w:val="clear" w:color="auto" w:fill="auto"/>
            <w:vAlign w:val="center"/>
          </w:tcPr>
          <w:p w14:paraId="7F119202">
            <w:pPr>
              <w:adjustRightInd w:val="0"/>
              <w:snapToGrid w:val="0"/>
              <w:spacing w:line="320" w:lineRule="exact"/>
              <w:jc w:val="center"/>
              <w:rPr>
                <w:rFonts w:hint="default" w:ascii="Times New Roman" w:hAnsi="Times New Roman" w:eastAsia="等线" w:cs="Times New Roman"/>
                <w:color w:val="auto"/>
                <w:kern w:val="2"/>
                <w:sz w:val="21"/>
                <w:szCs w:val="21"/>
                <w:lang w:val="en-US" w:eastAsia="zh-CN" w:bidi="ar-SA"/>
              </w:rPr>
            </w:pPr>
            <w:r>
              <w:rPr>
                <w:rFonts w:hint="eastAsia" w:eastAsia="等线" w:cs="Times New Roman"/>
                <w:color w:val="auto"/>
                <w:kern w:val="2"/>
                <w:sz w:val="21"/>
                <w:szCs w:val="21"/>
                <w:lang w:val="en-US" w:eastAsia="zh-CN" w:bidi="ar-SA"/>
              </w:rPr>
              <w:t>6.25</w:t>
            </w:r>
          </w:p>
        </w:tc>
        <w:tc>
          <w:tcPr>
            <w:tcW w:w="0" w:type="auto"/>
            <w:shd w:val="clear" w:color="auto" w:fill="auto"/>
            <w:vAlign w:val="center"/>
          </w:tcPr>
          <w:p w14:paraId="1A60219E">
            <w:pPr>
              <w:adjustRightInd w:val="0"/>
              <w:snapToGrid w:val="0"/>
              <w:spacing w:line="320" w:lineRule="exact"/>
              <w:jc w:val="center"/>
              <w:rPr>
                <w:rFonts w:hint="default" w:ascii="Times New Roman" w:hAnsi="Times New Roman" w:eastAsia="等线" w:cs="Times New Roman"/>
                <w:color w:val="auto"/>
                <w:kern w:val="2"/>
                <w:sz w:val="21"/>
                <w:szCs w:val="21"/>
                <w:lang w:val="en-US" w:eastAsia="zh-CN" w:bidi="ar-SA"/>
              </w:rPr>
            </w:pPr>
            <w:r>
              <w:rPr>
                <w:rFonts w:hint="eastAsia" w:eastAsia="等线" w:cs="Times New Roman"/>
                <w:color w:val="auto"/>
                <w:kern w:val="2"/>
                <w:sz w:val="21"/>
                <w:szCs w:val="21"/>
                <w:lang w:val="en-US" w:eastAsia="zh-CN" w:bidi="ar-SA"/>
              </w:rPr>
              <w:t>1.251</w:t>
            </w:r>
          </w:p>
        </w:tc>
        <w:tc>
          <w:tcPr>
            <w:tcW w:w="534" w:type="pct"/>
            <w:vMerge w:val="continue"/>
            <w:vAlign w:val="center"/>
          </w:tcPr>
          <w:p w14:paraId="40B75D6C">
            <w:pPr>
              <w:jc w:val="center"/>
              <w:rPr>
                <w:rFonts w:eastAsia="仿宋_GB2312"/>
                <w:color w:val="FF0000"/>
                <w:szCs w:val="21"/>
              </w:rPr>
            </w:pPr>
          </w:p>
        </w:tc>
        <w:tc>
          <w:tcPr>
            <w:tcW w:w="0" w:type="auto"/>
            <w:shd w:val="clear" w:color="auto" w:fill="auto"/>
            <w:vAlign w:val="center"/>
          </w:tcPr>
          <w:p w14:paraId="6407C4E3">
            <w:pPr>
              <w:adjustRightInd w:val="0"/>
              <w:snapToGrid w:val="0"/>
              <w:spacing w:line="320" w:lineRule="exact"/>
              <w:jc w:val="center"/>
              <w:rPr>
                <w:rFonts w:hint="eastAsia"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95</w:t>
            </w:r>
          </w:p>
        </w:tc>
        <w:tc>
          <w:tcPr>
            <w:tcW w:w="291" w:type="pct"/>
            <w:shd w:val="clear" w:color="auto" w:fill="auto"/>
            <w:vAlign w:val="center"/>
          </w:tcPr>
          <w:p w14:paraId="7249B5A1">
            <w:pPr>
              <w:adjustRightInd w:val="0"/>
              <w:snapToGrid w:val="0"/>
              <w:spacing w:line="320" w:lineRule="exact"/>
              <w:jc w:val="center"/>
              <w:rPr>
                <w:rFonts w:hint="eastAsia"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8.22</w:t>
            </w:r>
          </w:p>
        </w:tc>
        <w:tc>
          <w:tcPr>
            <w:tcW w:w="297" w:type="pct"/>
            <w:shd w:val="clear" w:color="auto" w:fill="auto"/>
            <w:vAlign w:val="center"/>
          </w:tcPr>
          <w:p w14:paraId="4D52661D">
            <w:pPr>
              <w:adjustRightInd w:val="0"/>
              <w:snapToGrid w:val="0"/>
              <w:spacing w:line="320" w:lineRule="exact"/>
              <w:jc w:val="center"/>
              <w:rPr>
                <w:rFonts w:hint="default"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0.31</w:t>
            </w:r>
          </w:p>
        </w:tc>
        <w:tc>
          <w:tcPr>
            <w:tcW w:w="341" w:type="pct"/>
            <w:shd w:val="clear" w:color="auto" w:fill="auto"/>
            <w:vAlign w:val="center"/>
          </w:tcPr>
          <w:p w14:paraId="756E5DCF">
            <w:pPr>
              <w:adjustRightInd w:val="0"/>
              <w:snapToGrid w:val="0"/>
              <w:spacing w:line="320" w:lineRule="exact"/>
              <w:jc w:val="center"/>
              <w:rPr>
                <w:rFonts w:hint="eastAsia"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0.06</w:t>
            </w:r>
          </w:p>
        </w:tc>
        <w:tc>
          <w:tcPr>
            <w:tcW w:w="328" w:type="pct"/>
            <w:shd w:val="clear" w:color="auto" w:fill="auto"/>
            <w:vAlign w:val="center"/>
          </w:tcPr>
          <w:p w14:paraId="27F5C4BD">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b/>
                <w:bCs/>
                <w:color w:val="auto"/>
                <w:szCs w:val="21"/>
              </w:rPr>
              <w:t>/</w:t>
            </w:r>
          </w:p>
        </w:tc>
        <w:tc>
          <w:tcPr>
            <w:tcW w:w="300" w:type="pct"/>
            <w:shd w:val="clear" w:color="auto" w:fill="auto"/>
            <w:vAlign w:val="center"/>
          </w:tcPr>
          <w:p w14:paraId="6B81D763">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b/>
                <w:bCs/>
                <w:color w:val="auto"/>
                <w:szCs w:val="21"/>
              </w:rPr>
              <w:t>/</w:t>
            </w:r>
          </w:p>
        </w:tc>
        <w:tc>
          <w:tcPr>
            <w:tcW w:w="197" w:type="pct"/>
            <w:vMerge w:val="continue"/>
            <w:vAlign w:val="center"/>
          </w:tcPr>
          <w:p w14:paraId="4FEBDE5A">
            <w:pPr>
              <w:adjustRightInd w:val="0"/>
              <w:snapToGrid w:val="0"/>
              <w:spacing w:line="320" w:lineRule="exact"/>
              <w:jc w:val="center"/>
              <w:rPr>
                <w:rFonts w:eastAsia="仿宋_GB2312"/>
                <w:bCs/>
                <w:color w:val="FF0000"/>
                <w:szCs w:val="21"/>
              </w:rPr>
            </w:pPr>
          </w:p>
        </w:tc>
        <w:tc>
          <w:tcPr>
            <w:tcW w:w="195" w:type="pct"/>
            <w:vMerge w:val="continue"/>
            <w:vAlign w:val="center"/>
          </w:tcPr>
          <w:p w14:paraId="248F9C16">
            <w:pPr>
              <w:adjustRightInd w:val="0"/>
              <w:snapToGrid w:val="0"/>
              <w:spacing w:line="320" w:lineRule="exact"/>
              <w:jc w:val="center"/>
              <w:rPr>
                <w:rFonts w:eastAsia="仿宋_GB2312"/>
                <w:bCs/>
                <w:color w:val="FF0000"/>
                <w:szCs w:val="21"/>
              </w:rPr>
            </w:pPr>
          </w:p>
        </w:tc>
        <w:tc>
          <w:tcPr>
            <w:tcW w:w="193" w:type="pct"/>
            <w:vMerge w:val="continue"/>
            <w:vAlign w:val="center"/>
          </w:tcPr>
          <w:p w14:paraId="0594A5B7">
            <w:pPr>
              <w:adjustRightInd w:val="0"/>
              <w:snapToGrid w:val="0"/>
              <w:spacing w:line="320" w:lineRule="exact"/>
              <w:jc w:val="center"/>
              <w:rPr>
                <w:rFonts w:eastAsia="仿宋_GB2312"/>
                <w:bCs/>
                <w:color w:val="FF0000"/>
                <w:sz w:val="24"/>
                <w:szCs w:val="24"/>
              </w:rPr>
            </w:pPr>
          </w:p>
        </w:tc>
      </w:tr>
      <w:tr w14:paraId="5784F1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295" w:type="pct"/>
            <w:vMerge w:val="continue"/>
            <w:vAlign w:val="center"/>
          </w:tcPr>
          <w:p w14:paraId="0389AC0B">
            <w:pPr>
              <w:adjustRightInd w:val="0"/>
              <w:snapToGrid w:val="0"/>
              <w:spacing w:line="320" w:lineRule="exact"/>
              <w:jc w:val="center"/>
              <w:rPr>
                <w:rFonts w:eastAsia="仿宋_GB2312"/>
                <w:bCs/>
                <w:color w:val="FF0000"/>
                <w:szCs w:val="21"/>
              </w:rPr>
            </w:pPr>
          </w:p>
        </w:tc>
        <w:tc>
          <w:tcPr>
            <w:tcW w:w="375" w:type="pct"/>
            <w:vMerge w:val="continue"/>
            <w:vAlign w:val="center"/>
          </w:tcPr>
          <w:p w14:paraId="3904A1A9">
            <w:pPr>
              <w:jc w:val="center"/>
              <w:rPr>
                <w:rFonts w:eastAsia="仿宋_GB2312"/>
                <w:color w:val="FF0000"/>
                <w:szCs w:val="21"/>
              </w:rPr>
            </w:pPr>
          </w:p>
        </w:tc>
        <w:tc>
          <w:tcPr>
            <w:tcW w:w="0" w:type="auto"/>
            <w:shd w:val="clear" w:color="auto" w:fill="auto"/>
            <w:vAlign w:val="center"/>
          </w:tcPr>
          <w:p w14:paraId="463F9C78">
            <w:pPr>
              <w:adjustRightInd w:val="0"/>
              <w:snapToGrid w:val="0"/>
              <w:spacing w:line="320" w:lineRule="exact"/>
              <w:jc w:val="center"/>
              <w:rPr>
                <w:rFonts w:ascii="Times New Roman" w:hAnsi="Times New Roman" w:eastAsia="仿宋_GB2312" w:cs="Times New Roman"/>
                <w:color w:val="auto"/>
                <w:kern w:val="2"/>
                <w:sz w:val="21"/>
                <w:szCs w:val="21"/>
                <w:lang w:val="en-US" w:eastAsia="zh-CN" w:bidi="ar-SA"/>
              </w:rPr>
            </w:pPr>
            <w:r>
              <w:rPr>
                <w:rFonts w:eastAsia="仿宋_GB2312"/>
                <w:color w:val="auto"/>
                <w:szCs w:val="21"/>
              </w:rPr>
              <w:t>乙酸甲酯</w:t>
            </w:r>
          </w:p>
        </w:tc>
        <w:tc>
          <w:tcPr>
            <w:tcW w:w="338" w:type="pct"/>
            <w:shd w:val="clear" w:color="auto" w:fill="auto"/>
            <w:vAlign w:val="center"/>
          </w:tcPr>
          <w:p w14:paraId="2AF4EE56">
            <w:pPr>
              <w:keepNext w:val="0"/>
              <w:keepLines w:val="0"/>
              <w:widowControl/>
              <w:suppressLineNumbers w:val="0"/>
              <w:jc w:val="center"/>
              <w:textAlignment w:val="bottom"/>
              <w:rPr>
                <w:rFonts w:ascii="Times New Roman" w:hAnsi="Times New Roman" w:eastAsia="等线" w:cs="Times New Roman"/>
                <w:color w:val="auto"/>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141.58</w:t>
            </w:r>
          </w:p>
        </w:tc>
        <w:tc>
          <w:tcPr>
            <w:tcW w:w="0" w:type="auto"/>
            <w:shd w:val="clear" w:color="auto" w:fill="auto"/>
            <w:vAlign w:val="center"/>
          </w:tcPr>
          <w:p w14:paraId="392B6D20">
            <w:pPr>
              <w:adjustRightInd w:val="0"/>
              <w:snapToGrid w:val="0"/>
              <w:spacing w:line="320" w:lineRule="exact"/>
              <w:jc w:val="center"/>
              <w:rPr>
                <w:rFonts w:hint="default" w:ascii="Times New Roman" w:hAnsi="Times New Roman" w:eastAsia="等线" w:cs="Times New Roman"/>
                <w:color w:val="auto"/>
                <w:kern w:val="2"/>
                <w:sz w:val="21"/>
                <w:szCs w:val="21"/>
                <w:lang w:val="en-US" w:eastAsia="zh-CN" w:bidi="ar-SA"/>
              </w:rPr>
            </w:pPr>
            <w:r>
              <w:rPr>
                <w:rFonts w:hint="eastAsia" w:eastAsia="等线" w:cs="Times New Roman"/>
                <w:color w:val="auto"/>
                <w:kern w:val="2"/>
                <w:sz w:val="21"/>
                <w:szCs w:val="21"/>
                <w:lang w:val="en-US" w:eastAsia="zh-CN" w:bidi="ar-SA"/>
              </w:rPr>
              <w:t>5.38</w:t>
            </w:r>
          </w:p>
        </w:tc>
        <w:tc>
          <w:tcPr>
            <w:tcW w:w="0" w:type="auto"/>
            <w:shd w:val="clear" w:color="auto" w:fill="auto"/>
            <w:vAlign w:val="center"/>
          </w:tcPr>
          <w:p w14:paraId="7719F507">
            <w:pPr>
              <w:adjustRightInd w:val="0"/>
              <w:snapToGrid w:val="0"/>
              <w:spacing w:line="320" w:lineRule="exact"/>
              <w:jc w:val="center"/>
              <w:rPr>
                <w:rFonts w:hint="default" w:ascii="Times New Roman" w:hAnsi="Times New Roman" w:eastAsia="等线" w:cs="Times New Roman"/>
                <w:color w:val="auto"/>
                <w:kern w:val="2"/>
                <w:sz w:val="21"/>
                <w:szCs w:val="21"/>
                <w:lang w:val="en-US" w:eastAsia="zh-CN" w:bidi="ar-SA"/>
              </w:rPr>
            </w:pPr>
            <w:r>
              <w:rPr>
                <w:rFonts w:hint="eastAsia" w:eastAsia="等线" w:cs="Times New Roman"/>
                <w:color w:val="auto"/>
                <w:kern w:val="2"/>
                <w:sz w:val="21"/>
                <w:szCs w:val="21"/>
                <w:lang w:val="en-US" w:eastAsia="zh-CN" w:bidi="ar-SA"/>
              </w:rPr>
              <w:t>1.362</w:t>
            </w:r>
          </w:p>
        </w:tc>
        <w:tc>
          <w:tcPr>
            <w:tcW w:w="534" w:type="pct"/>
            <w:vMerge w:val="continue"/>
            <w:vAlign w:val="center"/>
          </w:tcPr>
          <w:p w14:paraId="5C1491B9">
            <w:pPr>
              <w:jc w:val="center"/>
              <w:rPr>
                <w:rFonts w:eastAsia="仿宋_GB2312"/>
                <w:color w:val="FF0000"/>
                <w:szCs w:val="21"/>
              </w:rPr>
            </w:pPr>
          </w:p>
        </w:tc>
        <w:tc>
          <w:tcPr>
            <w:tcW w:w="0" w:type="auto"/>
            <w:shd w:val="clear" w:color="auto" w:fill="auto"/>
            <w:vAlign w:val="center"/>
          </w:tcPr>
          <w:p w14:paraId="35339E9A">
            <w:pPr>
              <w:adjustRightInd w:val="0"/>
              <w:snapToGrid w:val="0"/>
              <w:spacing w:line="320" w:lineRule="exact"/>
              <w:jc w:val="center"/>
              <w:rPr>
                <w:rFonts w:hint="eastAsia"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95</w:t>
            </w:r>
          </w:p>
        </w:tc>
        <w:tc>
          <w:tcPr>
            <w:tcW w:w="291" w:type="pct"/>
            <w:shd w:val="clear" w:color="auto" w:fill="auto"/>
            <w:vAlign w:val="center"/>
          </w:tcPr>
          <w:p w14:paraId="0EF27603">
            <w:pPr>
              <w:adjustRightInd w:val="0"/>
              <w:snapToGrid w:val="0"/>
              <w:spacing w:line="320" w:lineRule="exact"/>
              <w:jc w:val="center"/>
              <w:rPr>
                <w:rFonts w:hint="eastAsia"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7.08</w:t>
            </w:r>
          </w:p>
        </w:tc>
        <w:tc>
          <w:tcPr>
            <w:tcW w:w="297" w:type="pct"/>
            <w:shd w:val="clear" w:color="auto" w:fill="auto"/>
            <w:vAlign w:val="center"/>
          </w:tcPr>
          <w:p w14:paraId="676E49B4">
            <w:pPr>
              <w:adjustRightInd w:val="0"/>
              <w:snapToGrid w:val="0"/>
              <w:spacing w:line="320" w:lineRule="exact"/>
              <w:jc w:val="center"/>
              <w:rPr>
                <w:rFonts w:hint="default"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0.27</w:t>
            </w:r>
          </w:p>
        </w:tc>
        <w:tc>
          <w:tcPr>
            <w:tcW w:w="341" w:type="pct"/>
            <w:shd w:val="clear" w:color="auto" w:fill="auto"/>
            <w:vAlign w:val="center"/>
          </w:tcPr>
          <w:p w14:paraId="0DE60DE3">
            <w:pPr>
              <w:adjustRightInd w:val="0"/>
              <w:snapToGrid w:val="0"/>
              <w:spacing w:line="320" w:lineRule="exact"/>
              <w:jc w:val="center"/>
              <w:rPr>
                <w:rFonts w:hint="eastAsia"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0.07</w:t>
            </w:r>
          </w:p>
        </w:tc>
        <w:tc>
          <w:tcPr>
            <w:tcW w:w="328" w:type="pct"/>
            <w:shd w:val="clear" w:color="auto" w:fill="auto"/>
            <w:vAlign w:val="center"/>
          </w:tcPr>
          <w:p w14:paraId="0A829C56">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b/>
                <w:bCs/>
                <w:color w:val="auto"/>
                <w:szCs w:val="21"/>
              </w:rPr>
              <w:t>/</w:t>
            </w:r>
          </w:p>
        </w:tc>
        <w:tc>
          <w:tcPr>
            <w:tcW w:w="300" w:type="pct"/>
            <w:shd w:val="clear" w:color="auto" w:fill="auto"/>
            <w:vAlign w:val="center"/>
          </w:tcPr>
          <w:p w14:paraId="41A40BB7">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b/>
                <w:bCs/>
                <w:color w:val="auto"/>
                <w:szCs w:val="21"/>
              </w:rPr>
              <w:t>/</w:t>
            </w:r>
          </w:p>
        </w:tc>
        <w:tc>
          <w:tcPr>
            <w:tcW w:w="197" w:type="pct"/>
            <w:vMerge w:val="continue"/>
            <w:vAlign w:val="center"/>
          </w:tcPr>
          <w:p w14:paraId="3D48D63E">
            <w:pPr>
              <w:adjustRightInd w:val="0"/>
              <w:snapToGrid w:val="0"/>
              <w:spacing w:line="320" w:lineRule="exact"/>
              <w:jc w:val="center"/>
              <w:rPr>
                <w:rFonts w:eastAsia="仿宋_GB2312"/>
                <w:bCs/>
                <w:color w:val="FF0000"/>
                <w:szCs w:val="21"/>
              </w:rPr>
            </w:pPr>
          </w:p>
        </w:tc>
        <w:tc>
          <w:tcPr>
            <w:tcW w:w="195" w:type="pct"/>
            <w:vMerge w:val="continue"/>
            <w:vAlign w:val="center"/>
          </w:tcPr>
          <w:p w14:paraId="760B7D8C">
            <w:pPr>
              <w:adjustRightInd w:val="0"/>
              <w:snapToGrid w:val="0"/>
              <w:spacing w:line="320" w:lineRule="exact"/>
              <w:jc w:val="center"/>
              <w:rPr>
                <w:rFonts w:eastAsia="仿宋_GB2312"/>
                <w:bCs/>
                <w:color w:val="FF0000"/>
                <w:szCs w:val="21"/>
              </w:rPr>
            </w:pPr>
          </w:p>
        </w:tc>
        <w:tc>
          <w:tcPr>
            <w:tcW w:w="193" w:type="pct"/>
            <w:vMerge w:val="continue"/>
            <w:vAlign w:val="center"/>
          </w:tcPr>
          <w:p w14:paraId="094D299A">
            <w:pPr>
              <w:adjustRightInd w:val="0"/>
              <w:snapToGrid w:val="0"/>
              <w:spacing w:line="320" w:lineRule="exact"/>
              <w:jc w:val="center"/>
              <w:rPr>
                <w:rFonts w:eastAsia="仿宋_GB2312"/>
                <w:bCs/>
                <w:color w:val="FF0000"/>
                <w:sz w:val="24"/>
                <w:szCs w:val="24"/>
              </w:rPr>
            </w:pPr>
          </w:p>
        </w:tc>
      </w:tr>
      <w:tr w14:paraId="554223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295" w:type="pct"/>
            <w:vMerge w:val="continue"/>
            <w:vAlign w:val="center"/>
          </w:tcPr>
          <w:p w14:paraId="27324B75">
            <w:pPr>
              <w:adjustRightInd w:val="0"/>
              <w:snapToGrid w:val="0"/>
              <w:spacing w:line="320" w:lineRule="exact"/>
              <w:jc w:val="center"/>
              <w:rPr>
                <w:rFonts w:eastAsia="仿宋_GB2312"/>
                <w:bCs/>
                <w:color w:val="FF0000"/>
                <w:szCs w:val="21"/>
              </w:rPr>
            </w:pPr>
          </w:p>
        </w:tc>
        <w:tc>
          <w:tcPr>
            <w:tcW w:w="375" w:type="pct"/>
            <w:vMerge w:val="continue"/>
            <w:vAlign w:val="center"/>
          </w:tcPr>
          <w:p w14:paraId="002628ED">
            <w:pPr>
              <w:jc w:val="center"/>
              <w:rPr>
                <w:rFonts w:eastAsia="仿宋_GB2312"/>
                <w:color w:val="FF0000"/>
                <w:szCs w:val="21"/>
              </w:rPr>
            </w:pPr>
          </w:p>
        </w:tc>
        <w:tc>
          <w:tcPr>
            <w:tcW w:w="0" w:type="auto"/>
            <w:shd w:val="clear" w:color="auto" w:fill="auto"/>
            <w:vAlign w:val="center"/>
          </w:tcPr>
          <w:p w14:paraId="4706B71A">
            <w:pPr>
              <w:adjustRightInd w:val="0"/>
              <w:snapToGrid w:val="0"/>
              <w:spacing w:line="320" w:lineRule="exact"/>
              <w:jc w:val="center"/>
              <w:rPr>
                <w:rFonts w:hint="eastAsia" w:ascii="Times New Roman" w:hAnsi="Times New Roman" w:eastAsia="仿宋_GB2312" w:cs="Times New Roman"/>
                <w:color w:val="auto"/>
                <w:kern w:val="2"/>
                <w:sz w:val="21"/>
                <w:szCs w:val="21"/>
                <w:lang w:val="en-US" w:eastAsia="zh-CN" w:bidi="ar-SA"/>
              </w:rPr>
            </w:pPr>
            <w:r>
              <w:rPr>
                <w:rFonts w:hint="eastAsia" w:eastAsia="仿宋_GB2312"/>
                <w:color w:val="auto"/>
                <w:szCs w:val="21"/>
                <w:lang w:val="en-US" w:eastAsia="zh-CN"/>
              </w:rPr>
              <w:t>苯酚</w:t>
            </w:r>
          </w:p>
        </w:tc>
        <w:tc>
          <w:tcPr>
            <w:tcW w:w="338" w:type="pct"/>
            <w:shd w:val="clear" w:color="auto" w:fill="auto"/>
            <w:vAlign w:val="center"/>
          </w:tcPr>
          <w:p w14:paraId="599A116E">
            <w:pPr>
              <w:keepNext w:val="0"/>
              <w:keepLines w:val="0"/>
              <w:widowControl/>
              <w:suppressLineNumbers w:val="0"/>
              <w:jc w:val="center"/>
              <w:textAlignment w:val="bottom"/>
              <w:rPr>
                <w:rFonts w:ascii="Times New Roman" w:hAnsi="Times New Roman" w:eastAsia="等线" w:cs="Times New Roman"/>
                <w:color w:val="auto"/>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31.05</w:t>
            </w:r>
          </w:p>
        </w:tc>
        <w:tc>
          <w:tcPr>
            <w:tcW w:w="0" w:type="auto"/>
            <w:shd w:val="clear" w:color="auto" w:fill="auto"/>
            <w:vAlign w:val="center"/>
          </w:tcPr>
          <w:p w14:paraId="0051FF0E">
            <w:pPr>
              <w:adjustRightInd w:val="0"/>
              <w:snapToGrid w:val="0"/>
              <w:spacing w:line="320" w:lineRule="exact"/>
              <w:jc w:val="center"/>
              <w:rPr>
                <w:rFonts w:hint="default" w:ascii="Times New Roman" w:hAnsi="Times New Roman" w:eastAsia="等线" w:cs="Times New Roman"/>
                <w:color w:val="auto"/>
                <w:kern w:val="2"/>
                <w:sz w:val="21"/>
                <w:szCs w:val="21"/>
                <w:lang w:val="en-US" w:eastAsia="zh-CN" w:bidi="ar-SA"/>
              </w:rPr>
            </w:pPr>
            <w:r>
              <w:rPr>
                <w:rFonts w:hint="eastAsia" w:eastAsia="等线" w:cs="Times New Roman"/>
                <w:color w:val="auto"/>
                <w:kern w:val="2"/>
                <w:sz w:val="21"/>
                <w:szCs w:val="21"/>
                <w:lang w:val="en-US" w:eastAsia="zh-CN" w:bidi="ar-SA"/>
              </w:rPr>
              <w:t>1.18</w:t>
            </w:r>
          </w:p>
        </w:tc>
        <w:tc>
          <w:tcPr>
            <w:tcW w:w="0" w:type="auto"/>
            <w:shd w:val="clear" w:color="auto" w:fill="auto"/>
            <w:vAlign w:val="center"/>
          </w:tcPr>
          <w:p w14:paraId="1C4D5EFF">
            <w:pPr>
              <w:adjustRightInd w:val="0"/>
              <w:snapToGrid w:val="0"/>
              <w:spacing w:line="320" w:lineRule="exact"/>
              <w:jc w:val="center"/>
              <w:rPr>
                <w:rFonts w:hint="default" w:ascii="Times New Roman" w:hAnsi="Times New Roman" w:eastAsia="等线" w:cs="Times New Roman"/>
                <w:color w:val="auto"/>
                <w:kern w:val="2"/>
                <w:sz w:val="21"/>
                <w:szCs w:val="21"/>
                <w:lang w:val="en-US" w:eastAsia="zh-CN" w:bidi="ar-SA"/>
              </w:rPr>
            </w:pPr>
            <w:r>
              <w:rPr>
                <w:rFonts w:hint="eastAsia" w:eastAsia="等线" w:cs="Times New Roman"/>
                <w:color w:val="auto"/>
                <w:kern w:val="2"/>
                <w:sz w:val="21"/>
                <w:szCs w:val="21"/>
                <w:lang w:val="en-US" w:eastAsia="zh-CN" w:bidi="ar-SA"/>
              </w:rPr>
              <w:t>1.6064</w:t>
            </w:r>
          </w:p>
        </w:tc>
        <w:tc>
          <w:tcPr>
            <w:tcW w:w="534" w:type="pct"/>
            <w:vMerge w:val="continue"/>
            <w:vAlign w:val="center"/>
          </w:tcPr>
          <w:p w14:paraId="5D1C9D94">
            <w:pPr>
              <w:jc w:val="center"/>
              <w:rPr>
                <w:rFonts w:eastAsia="仿宋_GB2312"/>
                <w:color w:val="FF0000"/>
                <w:szCs w:val="21"/>
              </w:rPr>
            </w:pPr>
          </w:p>
        </w:tc>
        <w:tc>
          <w:tcPr>
            <w:tcW w:w="0" w:type="auto"/>
            <w:shd w:val="clear" w:color="auto" w:fill="auto"/>
            <w:vAlign w:val="center"/>
          </w:tcPr>
          <w:p w14:paraId="2747CE95">
            <w:pPr>
              <w:adjustRightInd w:val="0"/>
              <w:snapToGrid w:val="0"/>
              <w:spacing w:line="320" w:lineRule="exact"/>
              <w:jc w:val="center"/>
              <w:rPr>
                <w:rFonts w:hint="eastAsia"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95</w:t>
            </w:r>
          </w:p>
        </w:tc>
        <w:tc>
          <w:tcPr>
            <w:tcW w:w="291" w:type="pct"/>
            <w:shd w:val="clear" w:color="auto" w:fill="auto"/>
            <w:vAlign w:val="center"/>
          </w:tcPr>
          <w:p w14:paraId="3E97BC8C">
            <w:pPr>
              <w:adjustRightInd w:val="0"/>
              <w:snapToGrid w:val="0"/>
              <w:spacing w:line="320" w:lineRule="exact"/>
              <w:jc w:val="center"/>
              <w:rPr>
                <w:rFonts w:hint="eastAsia"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1.55</w:t>
            </w:r>
          </w:p>
        </w:tc>
        <w:tc>
          <w:tcPr>
            <w:tcW w:w="297" w:type="pct"/>
            <w:shd w:val="clear" w:color="auto" w:fill="auto"/>
            <w:vAlign w:val="center"/>
          </w:tcPr>
          <w:p w14:paraId="340E4E12">
            <w:pPr>
              <w:adjustRightInd w:val="0"/>
              <w:snapToGrid w:val="0"/>
              <w:spacing w:line="320" w:lineRule="exact"/>
              <w:jc w:val="center"/>
              <w:rPr>
                <w:rFonts w:hint="default"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0.06</w:t>
            </w:r>
          </w:p>
        </w:tc>
        <w:tc>
          <w:tcPr>
            <w:tcW w:w="341" w:type="pct"/>
            <w:shd w:val="clear" w:color="auto" w:fill="auto"/>
            <w:vAlign w:val="center"/>
          </w:tcPr>
          <w:p w14:paraId="5134368C">
            <w:pPr>
              <w:adjustRightInd w:val="0"/>
              <w:snapToGrid w:val="0"/>
              <w:spacing w:line="320" w:lineRule="exact"/>
              <w:jc w:val="center"/>
              <w:rPr>
                <w:rFonts w:hint="eastAsia"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0.08</w:t>
            </w:r>
          </w:p>
        </w:tc>
        <w:tc>
          <w:tcPr>
            <w:tcW w:w="328" w:type="pct"/>
            <w:shd w:val="clear" w:color="auto" w:fill="auto"/>
            <w:vAlign w:val="center"/>
          </w:tcPr>
          <w:p w14:paraId="2F665A72">
            <w:pPr>
              <w:adjustRightInd w:val="0"/>
              <w:snapToGrid w:val="0"/>
              <w:spacing w:line="320" w:lineRule="exact"/>
              <w:jc w:val="center"/>
              <w:rPr>
                <w:rFonts w:hint="default" w:ascii="Times New Roman" w:hAnsi="Times New Roman" w:eastAsia="仿宋_GB2312" w:cs="Times New Roman"/>
                <w:bCs/>
                <w:color w:val="auto"/>
                <w:kern w:val="2"/>
                <w:sz w:val="21"/>
                <w:szCs w:val="21"/>
                <w:lang w:val="en-US" w:eastAsia="zh-CN" w:bidi="ar-SA"/>
              </w:rPr>
            </w:pPr>
            <w:r>
              <w:rPr>
                <w:rFonts w:hint="eastAsia" w:eastAsia="仿宋_GB2312"/>
                <w:bCs/>
                <w:color w:val="auto"/>
                <w:szCs w:val="21"/>
                <w:lang w:val="en-US" w:eastAsia="zh-CN"/>
              </w:rPr>
              <w:t>20</w:t>
            </w:r>
          </w:p>
        </w:tc>
        <w:tc>
          <w:tcPr>
            <w:tcW w:w="300" w:type="pct"/>
            <w:shd w:val="clear" w:color="auto" w:fill="auto"/>
            <w:vAlign w:val="center"/>
          </w:tcPr>
          <w:p w14:paraId="66EF2097">
            <w:pPr>
              <w:adjustRightInd w:val="0"/>
              <w:snapToGrid w:val="0"/>
              <w:spacing w:line="320" w:lineRule="exact"/>
              <w:jc w:val="center"/>
              <w:rPr>
                <w:rFonts w:hint="default" w:ascii="Times New Roman" w:hAnsi="Times New Roman" w:eastAsia="仿宋_GB2312" w:cs="Times New Roman"/>
                <w:bCs/>
                <w:color w:val="auto"/>
                <w:kern w:val="2"/>
                <w:sz w:val="21"/>
                <w:szCs w:val="21"/>
                <w:lang w:val="en-US" w:eastAsia="zh-CN" w:bidi="ar-SA"/>
              </w:rPr>
            </w:pPr>
            <w:r>
              <w:rPr>
                <w:rFonts w:hint="eastAsia" w:eastAsia="仿宋_GB2312"/>
                <w:bCs/>
                <w:color w:val="auto"/>
                <w:szCs w:val="21"/>
                <w:lang w:val="en-US" w:eastAsia="zh-CN"/>
              </w:rPr>
              <w:t>0.072</w:t>
            </w:r>
          </w:p>
        </w:tc>
        <w:tc>
          <w:tcPr>
            <w:tcW w:w="197" w:type="pct"/>
            <w:vMerge w:val="continue"/>
            <w:vAlign w:val="center"/>
          </w:tcPr>
          <w:p w14:paraId="5FA97E54">
            <w:pPr>
              <w:adjustRightInd w:val="0"/>
              <w:snapToGrid w:val="0"/>
              <w:spacing w:line="320" w:lineRule="exact"/>
              <w:jc w:val="center"/>
              <w:rPr>
                <w:rFonts w:eastAsia="仿宋_GB2312"/>
                <w:bCs/>
                <w:color w:val="FF0000"/>
                <w:szCs w:val="21"/>
              </w:rPr>
            </w:pPr>
          </w:p>
        </w:tc>
        <w:tc>
          <w:tcPr>
            <w:tcW w:w="195" w:type="pct"/>
            <w:vMerge w:val="continue"/>
            <w:vAlign w:val="center"/>
          </w:tcPr>
          <w:p w14:paraId="00D51657">
            <w:pPr>
              <w:adjustRightInd w:val="0"/>
              <w:snapToGrid w:val="0"/>
              <w:spacing w:line="320" w:lineRule="exact"/>
              <w:jc w:val="center"/>
              <w:rPr>
                <w:rFonts w:eastAsia="仿宋_GB2312"/>
                <w:bCs/>
                <w:color w:val="FF0000"/>
                <w:szCs w:val="21"/>
              </w:rPr>
            </w:pPr>
          </w:p>
        </w:tc>
        <w:tc>
          <w:tcPr>
            <w:tcW w:w="193" w:type="pct"/>
            <w:vMerge w:val="continue"/>
            <w:vAlign w:val="center"/>
          </w:tcPr>
          <w:p w14:paraId="1D43108A">
            <w:pPr>
              <w:adjustRightInd w:val="0"/>
              <w:snapToGrid w:val="0"/>
              <w:spacing w:line="320" w:lineRule="exact"/>
              <w:jc w:val="center"/>
              <w:rPr>
                <w:rFonts w:eastAsia="仿宋_GB2312"/>
                <w:bCs/>
                <w:color w:val="FF0000"/>
                <w:sz w:val="24"/>
                <w:szCs w:val="24"/>
              </w:rPr>
            </w:pPr>
          </w:p>
        </w:tc>
      </w:tr>
      <w:tr w14:paraId="3C19292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295" w:type="pct"/>
            <w:vMerge w:val="continue"/>
            <w:vAlign w:val="center"/>
          </w:tcPr>
          <w:p w14:paraId="7E074DC2">
            <w:pPr>
              <w:adjustRightInd w:val="0"/>
              <w:snapToGrid w:val="0"/>
              <w:spacing w:line="320" w:lineRule="exact"/>
              <w:jc w:val="center"/>
              <w:rPr>
                <w:rFonts w:eastAsia="仿宋_GB2312"/>
                <w:bCs/>
                <w:color w:val="FF0000"/>
                <w:szCs w:val="21"/>
              </w:rPr>
            </w:pPr>
          </w:p>
        </w:tc>
        <w:tc>
          <w:tcPr>
            <w:tcW w:w="375" w:type="pct"/>
            <w:vMerge w:val="continue"/>
            <w:vAlign w:val="center"/>
          </w:tcPr>
          <w:p w14:paraId="30E9469D">
            <w:pPr>
              <w:jc w:val="center"/>
              <w:rPr>
                <w:rFonts w:eastAsia="仿宋_GB2312"/>
                <w:color w:val="FF0000"/>
                <w:szCs w:val="21"/>
              </w:rPr>
            </w:pPr>
          </w:p>
        </w:tc>
        <w:tc>
          <w:tcPr>
            <w:tcW w:w="0" w:type="auto"/>
            <w:shd w:val="clear" w:color="auto" w:fill="auto"/>
            <w:vAlign w:val="center"/>
          </w:tcPr>
          <w:p w14:paraId="3A7BE653">
            <w:pPr>
              <w:adjustRightInd w:val="0"/>
              <w:snapToGrid w:val="0"/>
              <w:spacing w:line="320" w:lineRule="exact"/>
              <w:jc w:val="center"/>
              <w:rPr>
                <w:rFonts w:hint="default" w:ascii="Times New Roman" w:hAnsi="Times New Roman" w:eastAsia="仿宋_GB2312" w:cs="Times New Roman"/>
                <w:color w:val="auto"/>
                <w:kern w:val="2"/>
                <w:sz w:val="21"/>
                <w:szCs w:val="21"/>
                <w:lang w:val="en-US" w:eastAsia="zh-CN" w:bidi="ar-SA"/>
              </w:rPr>
            </w:pPr>
            <w:r>
              <w:rPr>
                <w:rFonts w:hint="eastAsia" w:eastAsia="仿宋_GB2312"/>
                <w:color w:val="auto"/>
                <w:szCs w:val="21"/>
                <w:lang w:val="en-US" w:eastAsia="zh-CN"/>
              </w:rPr>
              <w:t>丙二醇甲醚醋酸酯</w:t>
            </w:r>
          </w:p>
        </w:tc>
        <w:tc>
          <w:tcPr>
            <w:tcW w:w="338" w:type="pct"/>
            <w:shd w:val="clear" w:color="auto" w:fill="auto"/>
            <w:vAlign w:val="center"/>
          </w:tcPr>
          <w:p w14:paraId="76E4D6DF">
            <w:pPr>
              <w:adjustRightInd w:val="0"/>
              <w:snapToGrid w:val="0"/>
              <w:spacing w:line="320" w:lineRule="exact"/>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101.05</w:t>
            </w:r>
          </w:p>
        </w:tc>
        <w:tc>
          <w:tcPr>
            <w:tcW w:w="0" w:type="auto"/>
            <w:shd w:val="clear" w:color="auto" w:fill="auto"/>
            <w:vAlign w:val="center"/>
          </w:tcPr>
          <w:p w14:paraId="1BB21482">
            <w:pPr>
              <w:adjustRightInd w:val="0"/>
              <w:snapToGrid w:val="0"/>
              <w:spacing w:line="320" w:lineRule="exact"/>
              <w:jc w:val="center"/>
              <w:rPr>
                <w:rFonts w:hint="default"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3.84</w:t>
            </w:r>
          </w:p>
        </w:tc>
        <w:tc>
          <w:tcPr>
            <w:tcW w:w="0" w:type="auto"/>
            <w:shd w:val="clear" w:color="auto" w:fill="auto"/>
            <w:vAlign w:val="center"/>
          </w:tcPr>
          <w:p w14:paraId="1E6AD3ED">
            <w:pPr>
              <w:adjustRightInd w:val="0"/>
              <w:snapToGrid w:val="0"/>
              <w:spacing w:line="320" w:lineRule="exact"/>
              <w:jc w:val="center"/>
              <w:rPr>
                <w:rFonts w:hint="default"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2.047</w:t>
            </w:r>
          </w:p>
        </w:tc>
        <w:tc>
          <w:tcPr>
            <w:tcW w:w="534" w:type="pct"/>
            <w:vMerge w:val="continue"/>
            <w:vAlign w:val="center"/>
          </w:tcPr>
          <w:p w14:paraId="336B6F19">
            <w:pPr>
              <w:jc w:val="center"/>
              <w:rPr>
                <w:rFonts w:eastAsia="仿宋_GB2312"/>
                <w:color w:val="FF0000"/>
                <w:szCs w:val="21"/>
              </w:rPr>
            </w:pPr>
          </w:p>
        </w:tc>
        <w:tc>
          <w:tcPr>
            <w:tcW w:w="0" w:type="auto"/>
            <w:shd w:val="clear" w:color="auto" w:fill="auto"/>
            <w:vAlign w:val="center"/>
          </w:tcPr>
          <w:p w14:paraId="16007490">
            <w:pPr>
              <w:adjustRightInd w:val="0"/>
              <w:snapToGrid w:val="0"/>
              <w:spacing w:line="320" w:lineRule="exact"/>
              <w:jc w:val="center"/>
              <w:rPr>
                <w:rFonts w:hint="eastAsia"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95</w:t>
            </w:r>
          </w:p>
        </w:tc>
        <w:tc>
          <w:tcPr>
            <w:tcW w:w="291" w:type="pct"/>
            <w:shd w:val="clear" w:color="auto" w:fill="auto"/>
            <w:vAlign w:val="center"/>
          </w:tcPr>
          <w:p w14:paraId="52207042">
            <w:pPr>
              <w:adjustRightInd w:val="0"/>
              <w:snapToGrid w:val="0"/>
              <w:spacing w:line="320" w:lineRule="exact"/>
              <w:jc w:val="center"/>
              <w:rPr>
                <w:rFonts w:hint="eastAsia"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5.05</w:t>
            </w:r>
          </w:p>
        </w:tc>
        <w:tc>
          <w:tcPr>
            <w:tcW w:w="297" w:type="pct"/>
            <w:shd w:val="clear" w:color="auto" w:fill="auto"/>
            <w:vAlign w:val="center"/>
          </w:tcPr>
          <w:p w14:paraId="358F3A3B">
            <w:pPr>
              <w:adjustRightInd w:val="0"/>
              <w:snapToGrid w:val="0"/>
              <w:spacing w:line="320" w:lineRule="exact"/>
              <w:jc w:val="center"/>
              <w:rPr>
                <w:rFonts w:hint="default"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0.19</w:t>
            </w:r>
          </w:p>
        </w:tc>
        <w:tc>
          <w:tcPr>
            <w:tcW w:w="341" w:type="pct"/>
            <w:shd w:val="clear" w:color="auto" w:fill="auto"/>
            <w:vAlign w:val="center"/>
          </w:tcPr>
          <w:p w14:paraId="2FDF5B4C">
            <w:pPr>
              <w:adjustRightInd w:val="0"/>
              <w:snapToGrid w:val="0"/>
              <w:spacing w:line="320" w:lineRule="exact"/>
              <w:jc w:val="center"/>
              <w:rPr>
                <w:rFonts w:hint="eastAsia"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0.10</w:t>
            </w:r>
          </w:p>
        </w:tc>
        <w:tc>
          <w:tcPr>
            <w:tcW w:w="328" w:type="pct"/>
            <w:shd w:val="clear" w:color="auto" w:fill="auto"/>
            <w:vAlign w:val="center"/>
          </w:tcPr>
          <w:p w14:paraId="06015240">
            <w:pPr>
              <w:adjustRightInd w:val="0"/>
              <w:snapToGrid w:val="0"/>
              <w:spacing w:line="320" w:lineRule="exact"/>
              <w:jc w:val="center"/>
              <w:rPr>
                <w:rFonts w:hint="eastAsia" w:ascii="Times New Roman" w:hAnsi="Times New Roman" w:eastAsia="仿宋_GB2312" w:cs="Times New Roman"/>
                <w:bCs/>
                <w:color w:val="auto"/>
                <w:kern w:val="2"/>
                <w:sz w:val="21"/>
                <w:szCs w:val="21"/>
                <w:lang w:val="en-US" w:eastAsia="zh-CN" w:bidi="ar-SA"/>
              </w:rPr>
            </w:pPr>
            <w:r>
              <w:rPr>
                <w:rFonts w:hint="eastAsia" w:eastAsia="仿宋_GB2312"/>
                <w:bCs/>
                <w:color w:val="auto"/>
                <w:szCs w:val="21"/>
                <w:lang w:val="en-US" w:eastAsia="zh-CN"/>
              </w:rPr>
              <w:t>/</w:t>
            </w:r>
          </w:p>
        </w:tc>
        <w:tc>
          <w:tcPr>
            <w:tcW w:w="300" w:type="pct"/>
            <w:shd w:val="clear" w:color="auto" w:fill="auto"/>
            <w:vAlign w:val="center"/>
          </w:tcPr>
          <w:p w14:paraId="34E5C92A">
            <w:pPr>
              <w:adjustRightInd w:val="0"/>
              <w:snapToGrid w:val="0"/>
              <w:spacing w:line="320" w:lineRule="exact"/>
              <w:jc w:val="center"/>
              <w:rPr>
                <w:rFonts w:hint="eastAsia" w:ascii="Times New Roman" w:hAnsi="Times New Roman" w:eastAsia="仿宋_GB2312" w:cs="Times New Roman"/>
                <w:bCs/>
                <w:color w:val="auto"/>
                <w:kern w:val="2"/>
                <w:sz w:val="21"/>
                <w:szCs w:val="21"/>
                <w:lang w:val="en-US" w:eastAsia="zh-CN" w:bidi="ar-SA"/>
              </w:rPr>
            </w:pPr>
            <w:r>
              <w:rPr>
                <w:rFonts w:hint="eastAsia" w:eastAsia="仿宋_GB2312"/>
                <w:bCs/>
                <w:color w:val="auto"/>
                <w:szCs w:val="21"/>
                <w:lang w:val="en-US" w:eastAsia="zh-CN"/>
              </w:rPr>
              <w:t>/</w:t>
            </w:r>
          </w:p>
        </w:tc>
        <w:tc>
          <w:tcPr>
            <w:tcW w:w="197" w:type="pct"/>
            <w:vMerge w:val="continue"/>
            <w:vAlign w:val="center"/>
          </w:tcPr>
          <w:p w14:paraId="4BDA7ADC">
            <w:pPr>
              <w:adjustRightInd w:val="0"/>
              <w:snapToGrid w:val="0"/>
              <w:spacing w:line="320" w:lineRule="exact"/>
              <w:jc w:val="center"/>
              <w:rPr>
                <w:rFonts w:eastAsia="仿宋_GB2312"/>
                <w:bCs/>
                <w:color w:val="FF0000"/>
                <w:szCs w:val="21"/>
              </w:rPr>
            </w:pPr>
          </w:p>
        </w:tc>
        <w:tc>
          <w:tcPr>
            <w:tcW w:w="195" w:type="pct"/>
            <w:vMerge w:val="continue"/>
            <w:vAlign w:val="center"/>
          </w:tcPr>
          <w:p w14:paraId="3AF8E9D4">
            <w:pPr>
              <w:adjustRightInd w:val="0"/>
              <w:snapToGrid w:val="0"/>
              <w:spacing w:line="320" w:lineRule="exact"/>
              <w:jc w:val="center"/>
              <w:rPr>
                <w:rFonts w:eastAsia="仿宋_GB2312"/>
                <w:bCs/>
                <w:color w:val="FF0000"/>
                <w:szCs w:val="21"/>
              </w:rPr>
            </w:pPr>
          </w:p>
        </w:tc>
        <w:tc>
          <w:tcPr>
            <w:tcW w:w="193" w:type="pct"/>
            <w:vMerge w:val="continue"/>
            <w:vAlign w:val="center"/>
          </w:tcPr>
          <w:p w14:paraId="51971BE8">
            <w:pPr>
              <w:adjustRightInd w:val="0"/>
              <w:snapToGrid w:val="0"/>
              <w:spacing w:line="320" w:lineRule="exact"/>
              <w:jc w:val="center"/>
              <w:rPr>
                <w:rFonts w:eastAsia="仿宋_GB2312"/>
                <w:bCs/>
                <w:color w:val="FF0000"/>
                <w:sz w:val="24"/>
                <w:szCs w:val="24"/>
              </w:rPr>
            </w:pPr>
          </w:p>
        </w:tc>
      </w:tr>
      <w:tr w14:paraId="617A3E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295" w:type="pct"/>
            <w:vMerge w:val="continue"/>
            <w:vAlign w:val="center"/>
          </w:tcPr>
          <w:p w14:paraId="712889C0">
            <w:pPr>
              <w:adjustRightInd w:val="0"/>
              <w:snapToGrid w:val="0"/>
              <w:spacing w:line="320" w:lineRule="exact"/>
              <w:jc w:val="center"/>
              <w:rPr>
                <w:rFonts w:eastAsia="仿宋_GB2312"/>
                <w:bCs/>
                <w:color w:val="FF0000"/>
                <w:szCs w:val="21"/>
              </w:rPr>
            </w:pPr>
          </w:p>
        </w:tc>
        <w:tc>
          <w:tcPr>
            <w:tcW w:w="375" w:type="pct"/>
            <w:vMerge w:val="continue"/>
            <w:vAlign w:val="center"/>
          </w:tcPr>
          <w:p w14:paraId="261A89E3">
            <w:pPr>
              <w:jc w:val="center"/>
              <w:rPr>
                <w:rFonts w:eastAsia="仿宋_GB2312"/>
                <w:color w:val="FF0000"/>
                <w:szCs w:val="21"/>
              </w:rPr>
            </w:pPr>
          </w:p>
        </w:tc>
        <w:tc>
          <w:tcPr>
            <w:tcW w:w="0" w:type="auto"/>
            <w:shd w:val="clear" w:color="auto" w:fill="auto"/>
            <w:vAlign w:val="center"/>
          </w:tcPr>
          <w:p w14:paraId="42CF170C">
            <w:pPr>
              <w:adjustRightInd w:val="0"/>
              <w:snapToGrid w:val="0"/>
              <w:spacing w:line="320" w:lineRule="exact"/>
              <w:jc w:val="center"/>
              <w:rPr>
                <w:rFonts w:hint="default" w:ascii="Times New Roman" w:hAnsi="Times New Roman" w:eastAsia="仿宋_GB2312" w:cs="Times New Roman"/>
                <w:color w:val="auto"/>
                <w:kern w:val="2"/>
                <w:sz w:val="21"/>
                <w:szCs w:val="21"/>
                <w:lang w:val="en-US" w:eastAsia="zh-CN" w:bidi="ar-SA"/>
              </w:rPr>
            </w:pPr>
            <w:r>
              <w:rPr>
                <w:rFonts w:hint="eastAsia" w:eastAsia="仿宋_GB2312"/>
                <w:color w:val="auto"/>
                <w:szCs w:val="21"/>
                <w:lang w:val="en-US" w:eastAsia="zh-CN"/>
              </w:rPr>
              <w:t>己烷</w:t>
            </w:r>
          </w:p>
        </w:tc>
        <w:tc>
          <w:tcPr>
            <w:tcW w:w="338" w:type="pct"/>
            <w:shd w:val="clear" w:color="auto" w:fill="auto"/>
            <w:vAlign w:val="center"/>
          </w:tcPr>
          <w:p w14:paraId="2C7C91F8">
            <w:pPr>
              <w:adjustRightInd w:val="0"/>
              <w:snapToGrid w:val="0"/>
              <w:spacing w:line="320" w:lineRule="exact"/>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105.00</w:t>
            </w:r>
          </w:p>
        </w:tc>
        <w:tc>
          <w:tcPr>
            <w:tcW w:w="0" w:type="auto"/>
            <w:shd w:val="clear" w:color="auto" w:fill="auto"/>
            <w:vAlign w:val="center"/>
          </w:tcPr>
          <w:p w14:paraId="67BC5E67">
            <w:pPr>
              <w:adjustRightInd w:val="0"/>
              <w:snapToGrid w:val="0"/>
              <w:spacing w:line="320" w:lineRule="exact"/>
              <w:jc w:val="center"/>
              <w:rPr>
                <w:rFonts w:hint="default"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3.99</w:t>
            </w:r>
          </w:p>
        </w:tc>
        <w:tc>
          <w:tcPr>
            <w:tcW w:w="0" w:type="auto"/>
            <w:shd w:val="clear" w:color="auto" w:fill="auto"/>
            <w:vAlign w:val="center"/>
          </w:tcPr>
          <w:p w14:paraId="6B04775C">
            <w:pPr>
              <w:adjustRightInd w:val="0"/>
              <w:snapToGrid w:val="0"/>
              <w:spacing w:line="320" w:lineRule="exact"/>
              <w:jc w:val="center"/>
              <w:rPr>
                <w:rFonts w:hint="default"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5.758</w:t>
            </w:r>
          </w:p>
        </w:tc>
        <w:tc>
          <w:tcPr>
            <w:tcW w:w="534" w:type="pct"/>
            <w:vMerge w:val="continue"/>
            <w:vAlign w:val="center"/>
          </w:tcPr>
          <w:p w14:paraId="4B2ECCCC">
            <w:pPr>
              <w:jc w:val="center"/>
              <w:rPr>
                <w:rFonts w:eastAsia="仿宋_GB2312"/>
                <w:color w:val="FF0000"/>
                <w:szCs w:val="21"/>
              </w:rPr>
            </w:pPr>
          </w:p>
        </w:tc>
        <w:tc>
          <w:tcPr>
            <w:tcW w:w="0" w:type="auto"/>
            <w:shd w:val="clear" w:color="auto" w:fill="auto"/>
            <w:vAlign w:val="center"/>
          </w:tcPr>
          <w:p w14:paraId="41133685">
            <w:pPr>
              <w:adjustRightInd w:val="0"/>
              <w:snapToGrid w:val="0"/>
              <w:spacing w:line="320" w:lineRule="exact"/>
              <w:jc w:val="center"/>
              <w:rPr>
                <w:rFonts w:hint="eastAsia"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95</w:t>
            </w:r>
          </w:p>
        </w:tc>
        <w:tc>
          <w:tcPr>
            <w:tcW w:w="291" w:type="pct"/>
            <w:shd w:val="clear" w:color="auto" w:fill="auto"/>
            <w:vAlign w:val="center"/>
          </w:tcPr>
          <w:p w14:paraId="62DD8361">
            <w:pPr>
              <w:adjustRightInd w:val="0"/>
              <w:snapToGrid w:val="0"/>
              <w:spacing w:line="320" w:lineRule="exact"/>
              <w:jc w:val="center"/>
              <w:rPr>
                <w:rFonts w:hint="eastAsia"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5.25</w:t>
            </w:r>
          </w:p>
        </w:tc>
        <w:tc>
          <w:tcPr>
            <w:tcW w:w="297" w:type="pct"/>
            <w:shd w:val="clear" w:color="auto" w:fill="auto"/>
            <w:vAlign w:val="center"/>
          </w:tcPr>
          <w:p w14:paraId="78D1EDB0">
            <w:pPr>
              <w:adjustRightInd w:val="0"/>
              <w:snapToGrid w:val="0"/>
              <w:spacing w:line="320" w:lineRule="exact"/>
              <w:jc w:val="center"/>
              <w:rPr>
                <w:rFonts w:hint="default"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0.20</w:t>
            </w:r>
          </w:p>
        </w:tc>
        <w:tc>
          <w:tcPr>
            <w:tcW w:w="341" w:type="pct"/>
            <w:shd w:val="clear" w:color="auto" w:fill="auto"/>
            <w:vAlign w:val="center"/>
          </w:tcPr>
          <w:p w14:paraId="7A916A3C">
            <w:pPr>
              <w:adjustRightInd w:val="0"/>
              <w:snapToGrid w:val="0"/>
              <w:spacing w:line="320" w:lineRule="exact"/>
              <w:jc w:val="center"/>
              <w:rPr>
                <w:rFonts w:hint="eastAsia"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0.29</w:t>
            </w:r>
          </w:p>
        </w:tc>
        <w:tc>
          <w:tcPr>
            <w:tcW w:w="328" w:type="pct"/>
            <w:shd w:val="clear" w:color="auto" w:fill="auto"/>
            <w:vAlign w:val="center"/>
          </w:tcPr>
          <w:p w14:paraId="162C18A3">
            <w:pPr>
              <w:adjustRightInd w:val="0"/>
              <w:snapToGrid w:val="0"/>
              <w:spacing w:line="320" w:lineRule="exact"/>
              <w:jc w:val="center"/>
              <w:rPr>
                <w:rFonts w:hint="eastAsia" w:ascii="Times New Roman" w:hAnsi="Times New Roman" w:eastAsia="仿宋_GB2312" w:cs="Times New Roman"/>
                <w:bCs/>
                <w:color w:val="auto"/>
                <w:kern w:val="2"/>
                <w:sz w:val="21"/>
                <w:szCs w:val="21"/>
                <w:lang w:val="en-US" w:eastAsia="zh-CN" w:bidi="ar-SA"/>
              </w:rPr>
            </w:pPr>
            <w:r>
              <w:rPr>
                <w:rFonts w:hint="eastAsia" w:eastAsia="仿宋_GB2312"/>
                <w:bCs/>
                <w:color w:val="auto"/>
                <w:szCs w:val="21"/>
                <w:lang w:val="en-US" w:eastAsia="zh-CN"/>
              </w:rPr>
              <w:t>/</w:t>
            </w:r>
          </w:p>
        </w:tc>
        <w:tc>
          <w:tcPr>
            <w:tcW w:w="300" w:type="pct"/>
            <w:shd w:val="clear" w:color="auto" w:fill="auto"/>
            <w:vAlign w:val="center"/>
          </w:tcPr>
          <w:p w14:paraId="01F1B01F">
            <w:pPr>
              <w:adjustRightInd w:val="0"/>
              <w:snapToGrid w:val="0"/>
              <w:spacing w:line="320" w:lineRule="exact"/>
              <w:jc w:val="center"/>
              <w:rPr>
                <w:rFonts w:hint="eastAsia" w:ascii="Times New Roman" w:hAnsi="Times New Roman" w:eastAsia="仿宋_GB2312" w:cs="Times New Roman"/>
                <w:bCs/>
                <w:color w:val="auto"/>
                <w:kern w:val="2"/>
                <w:sz w:val="21"/>
                <w:szCs w:val="21"/>
                <w:lang w:val="en-US" w:eastAsia="zh-CN" w:bidi="ar-SA"/>
              </w:rPr>
            </w:pPr>
            <w:r>
              <w:rPr>
                <w:rFonts w:hint="eastAsia" w:eastAsia="仿宋_GB2312"/>
                <w:bCs/>
                <w:color w:val="auto"/>
                <w:szCs w:val="21"/>
                <w:lang w:val="en-US" w:eastAsia="zh-CN"/>
              </w:rPr>
              <w:t>/</w:t>
            </w:r>
          </w:p>
        </w:tc>
        <w:tc>
          <w:tcPr>
            <w:tcW w:w="197" w:type="pct"/>
            <w:vMerge w:val="continue"/>
            <w:vAlign w:val="center"/>
          </w:tcPr>
          <w:p w14:paraId="4BC05631">
            <w:pPr>
              <w:adjustRightInd w:val="0"/>
              <w:snapToGrid w:val="0"/>
              <w:spacing w:line="320" w:lineRule="exact"/>
              <w:jc w:val="center"/>
              <w:rPr>
                <w:rFonts w:eastAsia="仿宋_GB2312"/>
                <w:bCs/>
                <w:color w:val="FF0000"/>
                <w:szCs w:val="21"/>
              </w:rPr>
            </w:pPr>
          </w:p>
        </w:tc>
        <w:tc>
          <w:tcPr>
            <w:tcW w:w="195" w:type="pct"/>
            <w:vMerge w:val="continue"/>
            <w:vAlign w:val="center"/>
          </w:tcPr>
          <w:p w14:paraId="3AC9DB42">
            <w:pPr>
              <w:adjustRightInd w:val="0"/>
              <w:snapToGrid w:val="0"/>
              <w:spacing w:line="320" w:lineRule="exact"/>
              <w:jc w:val="center"/>
              <w:rPr>
                <w:rFonts w:eastAsia="仿宋_GB2312"/>
                <w:bCs/>
                <w:color w:val="FF0000"/>
                <w:szCs w:val="21"/>
              </w:rPr>
            </w:pPr>
          </w:p>
        </w:tc>
        <w:tc>
          <w:tcPr>
            <w:tcW w:w="193" w:type="pct"/>
            <w:vMerge w:val="continue"/>
            <w:vAlign w:val="center"/>
          </w:tcPr>
          <w:p w14:paraId="1E186047">
            <w:pPr>
              <w:adjustRightInd w:val="0"/>
              <w:snapToGrid w:val="0"/>
              <w:spacing w:line="320" w:lineRule="exact"/>
              <w:jc w:val="center"/>
              <w:rPr>
                <w:rFonts w:eastAsia="仿宋_GB2312"/>
                <w:bCs/>
                <w:color w:val="FF0000"/>
                <w:sz w:val="24"/>
                <w:szCs w:val="24"/>
              </w:rPr>
            </w:pPr>
          </w:p>
        </w:tc>
      </w:tr>
      <w:tr w14:paraId="1E1BE51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295" w:type="pct"/>
            <w:vMerge w:val="continue"/>
            <w:vAlign w:val="center"/>
          </w:tcPr>
          <w:p w14:paraId="20C5353F">
            <w:pPr>
              <w:adjustRightInd w:val="0"/>
              <w:snapToGrid w:val="0"/>
              <w:spacing w:line="320" w:lineRule="exact"/>
              <w:jc w:val="center"/>
              <w:rPr>
                <w:rFonts w:eastAsia="仿宋_GB2312"/>
                <w:bCs/>
                <w:color w:val="FF0000"/>
                <w:szCs w:val="21"/>
              </w:rPr>
            </w:pPr>
          </w:p>
        </w:tc>
        <w:tc>
          <w:tcPr>
            <w:tcW w:w="375" w:type="pct"/>
            <w:vMerge w:val="continue"/>
            <w:vAlign w:val="center"/>
          </w:tcPr>
          <w:p w14:paraId="5C61F035">
            <w:pPr>
              <w:jc w:val="center"/>
              <w:rPr>
                <w:rFonts w:eastAsia="仿宋_GB2312"/>
                <w:color w:val="FF0000"/>
                <w:szCs w:val="21"/>
              </w:rPr>
            </w:pPr>
          </w:p>
        </w:tc>
        <w:tc>
          <w:tcPr>
            <w:tcW w:w="0" w:type="auto"/>
            <w:shd w:val="clear" w:color="auto" w:fill="auto"/>
            <w:vAlign w:val="center"/>
          </w:tcPr>
          <w:p w14:paraId="4EE29C32">
            <w:pPr>
              <w:adjustRightInd w:val="0"/>
              <w:snapToGrid w:val="0"/>
              <w:spacing w:line="320" w:lineRule="exact"/>
              <w:jc w:val="center"/>
              <w:rPr>
                <w:rFonts w:hint="default" w:ascii="Times New Roman" w:hAnsi="Times New Roman" w:eastAsia="仿宋_GB2312" w:cs="Times New Roman"/>
                <w:color w:val="auto"/>
                <w:kern w:val="2"/>
                <w:sz w:val="21"/>
                <w:szCs w:val="21"/>
                <w:lang w:val="en-US" w:eastAsia="zh-CN" w:bidi="ar-SA"/>
              </w:rPr>
            </w:pPr>
            <w:r>
              <w:rPr>
                <w:rFonts w:hint="eastAsia" w:eastAsia="仿宋_GB2312"/>
                <w:color w:val="auto"/>
                <w:szCs w:val="21"/>
                <w:lang w:val="en-US" w:eastAsia="zh-CN"/>
              </w:rPr>
              <w:t>乙酸乙烯酯</w:t>
            </w:r>
          </w:p>
        </w:tc>
        <w:tc>
          <w:tcPr>
            <w:tcW w:w="338" w:type="pct"/>
            <w:shd w:val="clear" w:color="auto" w:fill="auto"/>
            <w:vAlign w:val="center"/>
          </w:tcPr>
          <w:p w14:paraId="437D299B">
            <w:pPr>
              <w:adjustRightInd w:val="0"/>
              <w:snapToGrid w:val="0"/>
              <w:spacing w:line="320" w:lineRule="exact"/>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109.74</w:t>
            </w:r>
          </w:p>
        </w:tc>
        <w:tc>
          <w:tcPr>
            <w:tcW w:w="0" w:type="auto"/>
            <w:shd w:val="clear" w:color="auto" w:fill="auto"/>
            <w:vAlign w:val="center"/>
          </w:tcPr>
          <w:p w14:paraId="6D6402BE">
            <w:pPr>
              <w:adjustRightInd w:val="0"/>
              <w:snapToGrid w:val="0"/>
              <w:spacing w:line="320" w:lineRule="exact"/>
              <w:jc w:val="center"/>
              <w:rPr>
                <w:rFonts w:hint="default"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4.17</w:t>
            </w:r>
          </w:p>
        </w:tc>
        <w:tc>
          <w:tcPr>
            <w:tcW w:w="0" w:type="auto"/>
            <w:shd w:val="clear" w:color="auto" w:fill="auto"/>
            <w:vAlign w:val="center"/>
          </w:tcPr>
          <w:p w14:paraId="07B44CB5">
            <w:pPr>
              <w:adjustRightInd w:val="0"/>
              <w:snapToGrid w:val="0"/>
              <w:spacing w:line="320" w:lineRule="exact"/>
              <w:jc w:val="center"/>
              <w:rPr>
                <w:rFonts w:hint="default"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1.639</w:t>
            </w:r>
          </w:p>
        </w:tc>
        <w:tc>
          <w:tcPr>
            <w:tcW w:w="534" w:type="pct"/>
            <w:vMerge w:val="continue"/>
            <w:vAlign w:val="center"/>
          </w:tcPr>
          <w:p w14:paraId="46CD3FAE">
            <w:pPr>
              <w:jc w:val="center"/>
              <w:rPr>
                <w:rFonts w:eastAsia="仿宋_GB2312"/>
                <w:color w:val="FF0000"/>
                <w:szCs w:val="21"/>
              </w:rPr>
            </w:pPr>
          </w:p>
        </w:tc>
        <w:tc>
          <w:tcPr>
            <w:tcW w:w="0" w:type="auto"/>
            <w:shd w:val="clear" w:color="auto" w:fill="auto"/>
            <w:vAlign w:val="center"/>
          </w:tcPr>
          <w:p w14:paraId="7B2411C4">
            <w:pPr>
              <w:adjustRightInd w:val="0"/>
              <w:snapToGrid w:val="0"/>
              <w:spacing w:line="320" w:lineRule="exact"/>
              <w:jc w:val="center"/>
              <w:rPr>
                <w:rFonts w:hint="eastAsia"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95</w:t>
            </w:r>
          </w:p>
        </w:tc>
        <w:tc>
          <w:tcPr>
            <w:tcW w:w="291" w:type="pct"/>
            <w:shd w:val="clear" w:color="auto" w:fill="auto"/>
            <w:vAlign w:val="center"/>
          </w:tcPr>
          <w:p w14:paraId="4D566DB5">
            <w:pPr>
              <w:adjustRightInd w:val="0"/>
              <w:snapToGrid w:val="0"/>
              <w:spacing w:line="320" w:lineRule="exact"/>
              <w:jc w:val="center"/>
              <w:rPr>
                <w:rFonts w:hint="eastAsia"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5.49</w:t>
            </w:r>
          </w:p>
        </w:tc>
        <w:tc>
          <w:tcPr>
            <w:tcW w:w="297" w:type="pct"/>
            <w:shd w:val="clear" w:color="auto" w:fill="auto"/>
            <w:vAlign w:val="center"/>
          </w:tcPr>
          <w:p w14:paraId="4573D715">
            <w:pPr>
              <w:adjustRightInd w:val="0"/>
              <w:snapToGrid w:val="0"/>
              <w:spacing w:line="320" w:lineRule="exact"/>
              <w:jc w:val="center"/>
              <w:rPr>
                <w:rFonts w:hint="default"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0.21</w:t>
            </w:r>
          </w:p>
        </w:tc>
        <w:tc>
          <w:tcPr>
            <w:tcW w:w="341" w:type="pct"/>
            <w:shd w:val="clear" w:color="auto" w:fill="auto"/>
            <w:vAlign w:val="center"/>
          </w:tcPr>
          <w:p w14:paraId="6A739FDA">
            <w:pPr>
              <w:adjustRightInd w:val="0"/>
              <w:snapToGrid w:val="0"/>
              <w:spacing w:line="320" w:lineRule="exact"/>
              <w:jc w:val="center"/>
              <w:rPr>
                <w:rFonts w:hint="eastAsia"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0.08</w:t>
            </w:r>
          </w:p>
        </w:tc>
        <w:tc>
          <w:tcPr>
            <w:tcW w:w="328" w:type="pct"/>
            <w:shd w:val="clear" w:color="auto" w:fill="auto"/>
            <w:vAlign w:val="center"/>
          </w:tcPr>
          <w:p w14:paraId="5B91428C">
            <w:pPr>
              <w:adjustRightInd w:val="0"/>
              <w:snapToGrid w:val="0"/>
              <w:spacing w:line="320" w:lineRule="exact"/>
              <w:jc w:val="center"/>
              <w:rPr>
                <w:rFonts w:hint="default" w:ascii="Times New Roman" w:hAnsi="Times New Roman" w:eastAsia="仿宋_GB2312" w:cs="Times New Roman"/>
                <w:bCs/>
                <w:color w:val="auto"/>
                <w:kern w:val="2"/>
                <w:sz w:val="21"/>
                <w:szCs w:val="21"/>
                <w:lang w:val="en-US" w:eastAsia="zh-CN" w:bidi="ar-SA"/>
              </w:rPr>
            </w:pPr>
            <w:r>
              <w:rPr>
                <w:rFonts w:hint="eastAsia" w:eastAsia="仿宋_GB2312"/>
                <w:bCs/>
                <w:color w:val="auto"/>
                <w:szCs w:val="21"/>
                <w:lang w:val="en-US" w:eastAsia="zh-CN"/>
              </w:rPr>
              <w:t>20</w:t>
            </w:r>
          </w:p>
        </w:tc>
        <w:tc>
          <w:tcPr>
            <w:tcW w:w="300" w:type="pct"/>
            <w:shd w:val="clear" w:color="auto" w:fill="auto"/>
            <w:vAlign w:val="center"/>
          </w:tcPr>
          <w:p w14:paraId="2E8DEDD4">
            <w:pPr>
              <w:adjustRightInd w:val="0"/>
              <w:snapToGrid w:val="0"/>
              <w:spacing w:line="320" w:lineRule="exact"/>
              <w:jc w:val="center"/>
              <w:rPr>
                <w:rFonts w:hint="default" w:ascii="Times New Roman" w:hAnsi="Times New Roman" w:eastAsia="仿宋_GB2312" w:cs="Times New Roman"/>
                <w:bCs/>
                <w:color w:val="auto"/>
                <w:kern w:val="2"/>
                <w:sz w:val="21"/>
                <w:szCs w:val="21"/>
                <w:lang w:val="en-US" w:eastAsia="zh-CN" w:bidi="ar-SA"/>
              </w:rPr>
            </w:pPr>
            <w:r>
              <w:rPr>
                <w:rFonts w:hint="eastAsia" w:eastAsia="仿宋_GB2312"/>
                <w:bCs/>
                <w:color w:val="auto"/>
                <w:szCs w:val="21"/>
                <w:lang w:val="en-US" w:eastAsia="zh-CN"/>
              </w:rPr>
              <w:t>1.1</w:t>
            </w:r>
          </w:p>
        </w:tc>
        <w:tc>
          <w:tcPr>
            <w:tcW w:w="197" w:type="pct"/>
            <w:vMerge w:val="continue"/>
            <w:vAlign w:val="center"/>
          </w:tcPr>
          <w:p w14:paraId="563C6A4C">
            <w:pPr>
              <w:adjustRightInd w:val="0"/>
              <w:snapToGrid w:val="0"/>
              <w:spacing w:line="320" w:lineRule="exact"/>
              <w:jc w:val="center"/>
              <w:rPr>
                <w:rFonts w:eastAsia="仿宋_GB2312"/>
                <w:bCs/>
                <w:color w:val="FF0000"/>
                <w:szCs w:val="21"/>
              </w:rPr>
            </w:pPr>
          </w:p>
        </w:tc>
        <w:tc>
          <w:tcPr>
            <w:tcW w:w="195" w:type="pct"/>
            <w:vMerge w:val="continue"/>
            <w:vAlign w:val="center"/>
          </w:tcPr>
          <w:p w14:paraId="7C550D8D">
            <w:pPr>
              <w:adjustRightInd w:val="0"/>
              <w:snapToGrid w:val="0"/>
              <w:spacing w:line="320" w:lineRule="exact"/>
              <w:jc w:val="center"/>
              <w:rPr>
                <w:rFonts w:eastAsia="仿宋_GB2312"/>
                <w:bCs/>
                <w:color w:val="FF0000"/>
                <w:szCs w:val="21"/>
              </w:rPr>
            </w:pPr>
          </w:p>
        </w:tc>
        <w:tc>
          <w:tcPr>
            <w:tcW w:w="193" w:type="pct"/>
            <w:vMerge w:val="continue"/>
            <w:vAlign w:val="center"/>
          </w:tcPr>
          <w:p w14:paraId="5D69DE40">
            <w:pPr>
              <w:adjustRightInd w:val="0"/>
              <w:snapToGrid w:val="0"/>
              <w:spacing w:line="320" w:lineRule="exact"/>
              <w:jc w:val="center"/>
              <w:rPr>
                <w:rFonts w:eastAsia="仿宋_GB2312"/>
                <w:bCs/>
                <w:color w:val="FF0000"/>
                <w:sz w:val="24"/>
                <w:szCs w:val="24"/>
              </w:rPr>
            </w:pPr>
          </w:p>
        </w:tc>
      </w:tr>
      <w:tr w14:paraId="6A0D6D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295" w:type="pct"/>
            <w:vMerge w:val="continue"/>
            <w:vAlign w:val="center"/>
          </w:tcPr>
          <w:p w14:paraId="1CA30813">
            <w:pPr>
              <w:adjustRightInd w:val="0"/>
              <w:snapToGrid w:val="0"/>
              <w:spacing w:line="320" w:lineRule="exact"/>
              <w:jc w:val="center"/>
              <w:rPr>
                <w:rFonts w:eastAsia="仿宋_GB2312"/>
                <w:bCs/>
                <w:color w:val="FF0000"/>
                <w:szCs w:val="21"/>
              </w:rPr>
            </w:pPr>
          </w:p>
        </w:tc>
        <w:tc>
          <w:tcPr>
            <w:tcW w:w="375" w:type="pct"/>
            <w:vMerge w:val="continue"/>
            <w:vAlign w:val="center"/>
          </w:tcPr>
          <w:p w14:paraId="05FE9E09">
            <w:pPr>
              <w:jc w:val="center"/>
              <w:rPr>
                <w:rFonts w:eastAsia="仿宋_GB2312"/>
                <w:color w:val="FF0000"/>
                <w:szCs w:val="21"/>
              </w:rPr>
            </w:pPr>
          </w:p>
        </w:tc>
        <w:tc>
          <w:tcPr>
            <w:tcW w:w="0" w:type="auto"/>
            <w:shd w:val="clear" w:color="auto" w:fill="auto"/>
            <w:vAlign w:val="center"/>
          </w:tcPr>
          <w:p w14:paraId="04A5EF86">
            <w:pPr>
              <w:adjustRightInd w:val="0"/>
              <w:snapToGrid w:val="0"/>
              <w:spacing w:line="320" w:lineRule="exact"/>
              <w:jc w:val="center"/>
              <w:rPr>
                <w:rFonts w:hint="default" w:ascii="Times New Roman" w:hAnsi="Times New Roman" w:eastAsia="仿宋_GB2312" w:cs="Times New Roman"/>
                <w:color w:val="auto"/>
                <w:kern w:val="2"/>
                <w:sz w:val="21"/>
                <w:szCs w:val="21"/>
                <w:lang w:val="en-US" w:eastAsia="zh-CN" w:bidi="ar-SA"/>
              </w:rPr>
            </w:pPr>
            <w:r>
              <w:rPr>
                <w:rFonts w:hint="eastAsia" w:eastAsia="仿宋_GB2312"/>
                <w:color w:val="auto"/>
                <w:szCs w:val="21"/>
                <w:lang w:val="en-US" w:eastAsia="zh-CN"/>
              </w:rPr>
              <w:t>异丙苯</w:t>
            </w:r>
          </w:p>
        </w:tc>
        <w:tc>
          <w:tcPr>
            <w:tcW w:w="338" w:type="pct"/>
            <w:shd w:val="clear" w:color="auto" w:fill="auto"/>
            <w:vAlign w:val="center"/>
          </w:tcPr>
          <w:p w14:paraId="6307BC27">
            <w:pPr>
              <w:adjustRightInd w:val="0"/>
              <w:snapToGrid w:val="0"/>
              <w:spacing w:line="320" w:lineRule="exact"/>
              <w:jc w:val="center"/>
              <w:rPr>
                <w:rFonts w:hint="default" w:ascii="Times New Roman" w:hAnsi="Times New Roman" w:eastAsia="仿宋_GB2312" w:cs="Times New Roman"/>
                <w:color w:val="auto"/>
                <w:szCs w:val="21"/>
                <w:lang w:val="en-US" w:eastAsia="zh-CN"/>
              </w:rPr>
            </w:pPr>
            <w:r>
              <w:rPr>
                <w:rFonts w:hint="eastAsia" w:eastAsia="仿宋_GB2312" w:cs="Times New Roman"/>
                <w:color w:val="auto"/>
                <w:szCs w:val="21"/>
                <w:lang w:val="en-US" w:eastAsia="zh-CN"/>
              </w:rPr>
              <w:t>38.65</w:t>
            </w:r>
          </w:p>
        </w:tc>
        <w:tc>
          <w:tcPr>
            <w:tcW w:w="0" w:type="auto"/>
            <w:shd w:val="clear" w:color="auto" w:fill="auto"/>
            <w:vAlign w:val="center"/>
          </w:tcPr>
          <w:p w14:paraId="664B8FF5">
            <w:pPr>
              <w:adjustRightInd w:val="0"/>
              <w:snapToGrid w:val="0"/>
              <w:spacing w:line="320" w:lineRule="exact"/>
              <w:jc w:val="center"/>
              <w:rPr>
                <w:rFonts w:hint="default" w:ascii="Times New Roman" w:hAnsi="Times New Roman" w:eastAsia="仿宋_GB2312" w:cs="Times New Roman"/>
                <w:color w:val="auto"/>
                <w:szCs w:val="21"/>
                <w:lang w:val="en-US" w:eastAsia="zh-CN"/>
              </w:rPr>
            </w:pPr>
            <w:r>
              <w:rPr>
                <w:rFonts w:hint="eastAsia" w:eastAsia="仿宋_GB2312" w:cs="Times New Roman"/>
                <w:color w:val="auto"/>
                <w:szCs w:val="21"/>
                <w:lang w:val="en-US" w:eastAsia="zh-CN"/>
              </w:rPr>
              <w:t>1.469</w:t>
            </w:r>
          </w:p>
        </w:tc>
        <w:tc>
          <w:tcPr>
            <w:tcW w:w="0" w:type="auto"/>
            <w:shd w:val="clear" w:color="auto" w:fill="auto"/>
            <w:vAlign w:val="center"/>
          </w:tcPr>
          <w:p w14:paraId="6A734E8B">
            <w:pPr>
              <w:adjustRightInd w:val="0"/>
              <w:snapToGrid w:val="0"/>
              <w:spacing w:line="320" w:lineRule="exact"/>
              <w:jc w:val="center"/>
              <w:rPr>
                <w:rFonts w:hint="default" w:ascii="Times New Roman" w:hAnsi="Times New Roman" w:eastAsia="仿宋_GB2312" w:cs="Times New Roman"/>
                <w:color w:val="auto"/>
                <w:szCs w:val="21"/>
                <w:lang w:val="en-US" w:eastAsia="zh-CN"/>
              </w:rPr>
            </w:pPr>
            <w:r>
              <w:rPr>
                <w:rFonts w:hint="eastAsia" w:eastAsia="仿宋_GB2312" w:cs="Times New Roman"/>
                <w:color w:val="auto"/>
                <w:szCs w:val="21"/>
                <w:lang w:val="en-US" w:eastAsia="zh-CN"/>
              </w:rPr>
              <w:t>0</w:t>
            </w:r>
            <w:r>
              <w:rPr>
                <w:rFonts w:hint="eastAsia" w:ascii="Times New Roman" w:hAnsi="Times New Roman" w:eastAsia="仿宋_GB2312" w:cs="Times New Roman"/>
                <w:color w:val="auto"/>
                <w:szCs w:val="21"/>
                <w:lang w:val="en-US" w:eastAsia="zh-CN"/>
              </w:rPr>
              <w:t>.8</w:t>
            </w:r>
          </w:p>
        </w:tc>
        <w:tc>
          <w:tcPr>
            <w:tcW w:w="534" w:type="pct"/>
            <w:vMerge w:val="continue"/>
            <w:vAlign w:val="center"/>
          </w:tcPr>
          <w:p w14:paraId="61406D30">
            <w:pPr>
              <w:jc w:val="center"/>
              <w:rPr>
                <w:rFonts w:eastAsia="仿宋_GB2312"/>
                <w:color w:val="FF0000"/>
                <w:szCs w:val="21"/>
              </w:rPr>
            </w:pPr>
          </w:p>
        </w:tc>
        <w:tc>
          <w:tcPr>
            <w:tcW w:w="0" w:type="auto"/>
            <w:shd w:val="clear" w:color="auto" w:fill="auto"/>
            <w:vAlign w:val="center"/>
          </w:tcPr>
          <w:p w14:paraId="57A6F819">
            <w:pPr>
              <w:adjustRightInd w:val="0"/>
              <w:snapToGrid w:val="0"/>
              <w:spacing w:line="320" w:lineRule="exact"/>
              <w:jc w:val="center"/>
              <w:rPr>
                <w:rFonts w:hint="eastAsia"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95</w:t>
            </w:r>
          </w:p>
        </w:tc>
        <w:tc>
          <w:tcPr>
            <w:tcW w:w="291" w:type="pct"/>
            <w:shd w:val="clear" w:color="auto" w:fill="auto"/>
            <w:vAlign w:val="center"/>
          </w:tcPr>
          <w:p w14:paraId="1B3DBAF9">
            <w:pPr>
              <w:adjustRightInd w:val="0"/>
              <w:snapToGrid w:val="0"/>
              <w:spacing w:line="320" w:lineRule="exact"/>
              <w:jc w:val="center"/>
              <w:rPr>
                <w:rFonts w:hint="default" w:ascii="Times New Roman" w:hAnsi="Times New Roman" w:eastAsia="仿宋_GB2312" w:cs="Times New Roman"/>
                <w:color w:val="auto"/>
                <w:szCs w:val="21"/>
                <w:lang w:val="en-US" w:eastAsia="zh-CN"/>
              </w:rPr>
            </w:pPr>
            <w:r>
              <w:rPr>
                <w:rFonts w:hint="eastAsia" w:eastAsia="仿宋_GB2312" w:cs="Times New Roman"/>
                <w:color w:val="auto"/>
                <w:szCs w:val="21"/>
                <w:lang w:val="en-US" w:eastAsia="zh-CN"/>
              </w:rPr>
              <w:t>1.93</w:t>
            </w:r>
          </w:p>
        </w:tc>
        <w:tc>
          <w:tcPr>
            <w:tcW w:w="297" w:type="pct"/>
            <w:shd w:val="clear" w:color="auto" w:fill="auto"/>
            <w:vAlign w:val="center"/>
          </w:tcPr>
          <w:p w14:paraId="3C969E63">
            <w:pPr>
              <w:adjustRightInd w:val="0"/>
              <w:snapToGrid w:val="0"/>
              <w:spacing w:line="320" w:lineRule="exact"/>
              <w:jc w:val="center"/>
              <w:rPr>
                <w:rFonts w:hint="default"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0.</w:t>
            </w:r>
            <w:r>
              <w:rPr>
                <w:rFonts w:hint="eastAsia" w:eastAsia="仿宋_GB2312" w:cs="Times New Roman"/>
                <w:color w:val="auto"/>
                <w:szCs w:val="21"/>
                <w:lang w:val="en-US" w:eastAsia="zh-CN"/>
              </w:rPr>
              <w:t>07</w:t>
            </w:r>
          </w:p>
        </w:tc>
        <w:tc>
          <w:tcPr>
            <w:tcW w:w="341" w:type="pct"/>
            <w:shd w:val="clear" w:color="auto" w:fill="auto"/>
            <w:vAlign w:val="center"/>
          </w:tcPr>
          <w:p w14:paraId="236DA34D">
            <w:pPr>
              <w:adjustRightInd w:val="0"/>
              <w:snapToGrid w:val="0"/>
              <w:spacing w:line="320" w:lineRule="exact"/>
              <w:jc w:val="center"/>
              <w:rPr>
                <w:rFonts w:hint="eastAsia"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0.0</w:t>
            </w:r>
            <w:r>
              <w:rPr>
                <w:rFonts w:hint="eastAsia" w:eastAsia="仿宋_GB2312" w:cs="Times New Roman"/>
                <w:color w:val="auto"/>
                <w:szCs w:val="21"/>
                <w:lang w:val="en-US" w:eastAsia="zh-CN"/>
              </w:rPr>
              <w:t>4</w:t>
            </w:r>
          </w:p>
        </w:tc>
        <w:tc>
          <w:tcPr>
            <w:tcW w:w="328" w:type="pct"/>
            <w:shd w:val="clear" w:color="auto" w:fill="auto"/>
            <w:vAlign w:val="center"/>
          </w:tcPr>
          <w:p w14:paraId="000C87F9">
            <w:pPr>
              <w:adjustRightInd w:val="0"/>
              <w:snapToGrid w:val="0"/>
              <w:spacing w:line="320" w:lineRule="exact"/>
              <w:jc w:val="center"/>
              <w:rPr>
                <w:rFonts w:hint="eastAsia" w:ascii="Times New Roman" w:hAnsi="Times New Roman" w:eastAsia="仿宋_GB2312" w:cs="Times New Roman"/>
                <w:bCs/>
                <w:color w:val="auto"/>
                <w:kern w:val="2"/>
                <w:sz w:val="21"/>
                <w:szCs w:val="21"/>
                <w:lang w:val="en-US" w:eastAsia="zh-CN" w:bidi="ar-SA"/>
              </w:rPr>
            </w:pPr>
            <w:r>
              <w:rPr>
                <w:rFonts w:hint="eastAsia" w:eastAsia="仿宋_GB2312"/>
                <w:bCs/>
                <w:color w:val="auto"/>
                <w:szCs w:val="21"/>
                <w:lang w:val="en-US" w:eastAsia="zh-CN"/>
              </w:rPr>
              <w:t>/</w:t>
            </w:r>
          </w:p>
        </w:tc>
        <w:tc>
          <w:tcPr>
            <w:tcW w:w="300" w:type="pct"/>
            <w:shd w:val="clear" w:color="auto" w:fill="auto"/>
            <w:vAlign w:val="center"/>
          </w:tcPr>
          <w:p w14:paraId="1118B99A">
            <w:pPr>
              <w:adjustRightInd w:val="0"/>
              <w:snapToGrid w:val="0"/>
              <w:spacing w:line="320" w:lineRule="exact"/>
              <w:jc w:val="center"/>
              <w:rPr>
                <w:rFonts w:hint="eastAsia" w:ascii="Times New Roman" w:hAnsi="Times New Roman" w:eastAsia="仿宋_GB2312" w:cs="Times New Roman"/>
                <w:bCs/>
                <w:color w:val="auto"/>
                <w:kern w:val="2"/>
                <w:sz w:val="21"/>
                <w:szCs w:val="21"/>
                <w:lang w:val="en-US" w:eastAsia="zh-CN" w:bidi="ar-SA"/>
              </w:rPr>
            </w:pPr>
            <w:r>
              <w:rPr>
                <w:rFonts w:hint="eastAsia" w:eastAsia="仿宋_GB2312"/>
                <w:bCs/>
                <w:color w:val="auto"/>
                <w:szCs w:val="21"/>
                <w:lang w:val="en-US" w:eastAsia="zh-CN"/>
              </w:rPr>
              <w:t>/</w:t>
            </w:r>
          </w:p>
        </w:tc>
        <w:tc>
          <w:tcPr>
            <w:tcW w:w="197" w:type="pct"/>
            <w:vMerge w:val="continue"/>
            <w:vAlign w:val="center"/>
          </w:tcPr>
          <w:p w14:paraId="024AB090">
            <w:pPr>
              <w:adjustRightInd w:val="0"/>
              <w:snapToGrid w:val="0"/>
              <w:spacing w:line="320" w:lineRule="exact"/>
              <w:jc w:val="center"/>
              <w:rPr>
                <w:rFonts w:eastAsia="仿宋_GB2312"/>
                <w:bCs/>
                <w:color w:val="FF0000"/>
                <w:szCs w:val="21"/>
              </w:rPr>
            </w:pPr>
          </w:p>
        </w:tc>
        <w:tc>
          <w:tcPr>
            <w:tcW w:w="195" w:type="pct"/>
            <w:vMerge w:val="continue"/>
            <w:vAlign w:val="center"/>
          </w:tcPr>
          <w:p w14:paraId="693E8611">
            <w:pPr>
              <w:adjustRightInd w:val="0"/>
              <w:snapToGrid w:val="0"/>
              <w:spacing w:line="320" w:lineRule="exact"/>
              <w:jc w:val="center"/>
              <w:rPr>
                <w:rFonts w:eastAsia="仿宋_GB2312"/>
                <w:bCs/>
                <w:color w:val="FF0000"/>
                <w:szCs w:val="21"/>
              </w:rPr>
            </w:pPr>
          </w:p>
        </w:tc>
        <w:tc>
          <w:tcPr>
            <w:tcW w:w="193" w:type="pct"/>
            <w:vMerge w:val="continue"/>
            <w:vAlign w:val="center"/>
          </w:tcPr>
          <w:p w14:paraId="17B1FDAF">
            <w:pPr>
              <w:adjustRightInd w:val="0"/>
              <w:snapToGrid w:val="0"/>
              <w:spacing w:line="320" w:lineRule="exact"/>
              <w:jc w:val="center"/>
              <w:rPr>
                <w:rFonts w:eastAsia="仿宋_GB2312"/>
                <w:bCs/>
                <w:color w:val="FF0000"/>
                <w:sz w:val="24"/>
                <w:szCs w:val="24"/>
              </w:rPr>
            </w:pPr>
          </w:p>
        </w:tc>
      </w:tr>
      <w:tr w14:paraId="57953FB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295" w:type="pct"/>
            <w:vMerge w:val="continue"/>
            <w:vAlign w:val="center"/>
          </w:tcPr>
          <w:p w14:paraId="742F091B">
            <w:pPr>
              <w:adjustRightInd w:val="0"/>
              <w:snapToGrid w:val="0"/>
              <w:spacing w:line="320" w:lineRule="exact"/>
              <w:jc w:val="center"/>
              <w:rPr>
                <w:rFonts w:eastAsia="仿宋_GB2312"/>
                <w:bCs/>
                <w:color w:val="FF0000"/>
                <w:szCs w:val="21"/>
              </w:rPr>
            </w:pPr>
          </w:p>
        </w:tc>
        <w:tc>
          <w:tcPr>
            <w:tcW w:w="375" w:type="pct"/>
            <w:vMerge w:val="continue"/>
            <w:vAlign w:val="center"/>
          </w:tcPr>
          <w:p w14:paraId="69E42A6D">
            <w:pPr>
              <w:jc w:val="center"/>
              <w:rPr>
                <w:rFonts w:eastAsia="仿宋_GB2312"/>
                <w:color w:val="FF0000"/>
                <w:szCs w:val="21"/>
              </w:rPr>
            </w:pPr>
          </w:p>
        </w:tc>
        <w:tc>
          <w:tcPr>
            <w:tcW w:w="0" w:type="auto"/>
            <w:shd w:val="clear" w:color="auto" w:fill="auto"/>
            <w:vAlign w:val="center"/>
          </w:tcPr>
          <w:p w14:paraId="41C3AECF">
            <w:pPr>
              <w:adjustRightInd w:val="0"/>
              <w:snapToGrid w:val="0"/>
              <w:spacing w:line="320" w:lineRule="exact"/>
              <w:jc w:val="center"/>
              <w:rPr>
                <w:rFonts w:hint="eastAsia" w:ascii="Times New Roman" w:hAnsi="Times New Roman" w:eastAsia="仿宋_GB2312" w:cs="Times New Roman"/>
                <w:b/>
                <w:bCs/>
                <w:color w:val="auto"/>
                <w:kern w:val="2"/>
                <w:sz w:val="21"/>
                <w:szCs w:val="21"/>
                <w:lang w:val="en-US" w:eastAsia="zh-CN" w:bidi="ar-SA"/>
              </w:rPr>
            </w:pPr>
            <w:r>
              <w:rPr>
                <w:rFonts w:eastAsia="仿宋_GB2312"/>
                <w:color w:val="auto"/>
                <w:szCs w:val="21"/>
              </w:rPr>
              <w:t>乙酸酯类</w:t>
            </w:r>
          </w:p>
        </w:tc>
        <w:tc>
          <w:tcPr>
            <w:tcW w:w="338" w:type="pct"/>
            <w:shd w:val="clear" w:color="auto" w:fill="auto"/>
            <w:vAlign w:val="center"/>
          </w:tcPr>
          <w:p w14:paraId="6A137C7D">
            <w:pPr>
              <w:adjustRightInd w:val="0"/>
              <w:snapToGrid w:val="0"/>
              <w:spacing w:line="320" w:lineRule="exact"/>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361.58</w:t>
            </w:r>
          </w:p>
        </w:tc>
        <w:tc>
          <w:tcPr>
            <w:tcW w:w="283" w:type="pct"/>
            <w:shd w:val="clear" w:color="auto" w:fill="auto"/>
            <w:vAlign w:val="center"/>
          </w:tcPr>
          <w:p w14:paraId="2849A349">
            <w:pPr>
              <w:adjustRightInd w:val="0"/>
              <w:snapToGrid w:val="0"/>
              <w:spacing w:line="320" w:lineRule="exact"/>
              <w:jc w:val="center"/>
              <w:rPr>
                <w:rFonts w:hint="default"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13.74</w:t>
            </w:r>
          </w:p>
        </w:tc>
        <w:tc>
          <w:tcPr>
            <w:tcW w:w="338" w:type="pct"/>
            <w:shd w:val="clear" w:color="auto" w:fill="auto"/>
            <w:vAlign w:val="center"/>
          </w:tcPr>
          <w:p w14:paraId="107C9BFF">
            <w:pPr>
              <w:adjustRightInd w:val="0"/>
              <w:snapToGrid w:val="0"/>
              <w:spacing w:line="320" w:lineRule="exact"/>
              <w:jc w:val="center"/>
              <w:rPr>
                <w:rFonts w:hint="eastAsia"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16.999</w:t>
            </w:r>
          </w:p>
        </w:tc>
        <w:tc>
          <w:tcPr>
            <w:tcW w:w="534" w:type="pct"/>
            <w:vMerge w:val="continue"/>
            <w:vAlign w:val="center"/>
          </w:tcPr>
          <w:p w14:paraId="558A43A3">
            <w:pPr>
              <w:jc w:val="center"/>
              <w:rPr>
                <w:rFonts w:eastAsia="仿宋_GB2312"/>
                <w:color w:val="FF0000"/>
                <w:szCs w:val="21"/>
              </w:rPr>
            </w:pPr>
          </w:p>
        </w:tc>
        <w:tc>
          <w:tcPr>
            <w:tcW w:w="0" w:type="auto"/>
            <w:shd w:val="clear" w:color="auto" w:fill="auto"/>
            <w:vAlign w:val="center"/>
          </w:tcPr>
          <w:p w14:paraId="56C6FF19">
            <w:pPr>
              <w:adjustRightInd w:val="0"/>
              <w:snapToGrid w:val="0"/>
              <w:spacing w:line="320" w:lineRule="exact"/>
              <w:jc w:val="center"/>
              <w:rPr>
                <w:rFonts w:hint="eastAsia"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95</w:t>
            </w:r>
          </w:p>
        </w:tc>
        <w:tc>
          <w:tcPr>
            <w:tcW w:w="291" w:type="pct"/>
            <w:shd w:val="clear" w:color="auto" w:fill="auto"/>
            <w:vAlign w:val="center"/>
          </w:tcPr>
          <w:p w14:paraId="3D30222A">
            <w:pPr>
              <w:adjustRightInd w:val="0"/>
              <w:snapToGrid w:val="0"/>
              <w:spacing w:line="320" w:lineRule="exact"/>
              <w:jc w:val="center"/>
              <w:rPr>
                <w:rFonts w:hint="eastAsia"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18.08</w:t>
            </w:r>
          </w:p>
        </w:tc>
        <w:tc>
          <w:tcPr>
            <w:tcW w:w="297" w:type="pct"/>
            <w:shd w:val="clear" w:color="auto" w:fill="auto"/>
            <w:vAlign w:val="center"/>
          </w:tcPr>
          <w:p w14:paraId="67800CDC">
            <w:pPr>
              <w:adjustRightInd w:val="0"/>
              <w:snapToGrid w:val="0"/>
              <w:spacing w:line="320" w:lineRule="exact"/>
              <w:jc w:val="center"/>
              <w:rPr>
                <w:rFonts w:hint="default"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0.69</w:t>
            </w:r>
          </w:p>
        </w:tc>
        <w:tc>
          <w:tcPr>
            <w:tcW w:w="341" w:type="pct"/>
            <w:shd w:val="clear" w:color="auto" w:fill="auto"/>
            <w:vAlign w:val="center"/>
          </w:tcPr>
          <w:p w14:paraId="784F108B">
            <w:pPr>
              <w:adjustRightInd w:val="0"/>
              <w:snapToGrid w:val="0"/>
              <w:spacing w:line="320" w:lineRule="exact"/>
              <w:jc w:val="center"/>
              <w:rPr>
                <w:rFonts w:hint="eastAsia"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0.85</w:t>
            </w:r>
          </w:p>
        </w:tc>
        <w:tc>
          <w:tcPr>
            <w:tcW w:w="328" w:type="pct"/>
            <w:shd w:val="clear" w:color="auto" w:fill="auto"/>
            <w:vAlign w:val="center"/>
          </w:tcPr>
          <w:p w14:paraId="17093F61">
            <w:pPr>
              <w:adjustRightInd w:val="0"/>
              <w:snapToGrid w:val="0"/>
              <w:spacing w:line="320" w:lineRule="exact"/>
              <w:jc w:val="center"/>
              <w:rPr>
                <w:rFonts w:ascii="Times New Roman" w:hAnsi="Times New Roman" w:eastAsia="仿宋_GB2312" w:cs="Times New Roman"/>
                <w:bCs/>
                <w:color w:val="auto"/>
                <w:kern w:val="2"/>
                <w:sz w:val="21"/>
                <w:szCs w:val="21"/>
                <w:lang w:val="en-US" w:eastAsia="zh-CN" w:bidi="ar-SA"/>
              </w:rPr>
            </w:pPr>
            <w:r>
              <w:rPr>
                <w:rFonts w:eastAsia="仿宋_GB2312"/>
                <w:bCs/>
                <w:color w:val="auto"/>
                <w:szCs w:val="21"/>
              </w:rPr>
              <w:t>50</w:t>
            </w:r>
          </w:p>
        </w:tc>
        <w:tc>
          <w:tcPr>
            <w:tcW w:w="300" w:type="pct"/>
            <w:shd w:val="clear" w:color="auto" w:fill="auto"/>
            <w:vAlign w:val="center"/>
          </w:tcPr>
          <w:p w14:paraId="7A4B5FBA">
            <w:pPr>
              <w:adjustRightInd w:val="0"/>
              <w:snapToGrid w:val="0"/>
              <w:spacing w:line="320" w:lineRule="exact"/>
              <w:jc w:val="center"/>
              <w:rPr>
                <w:rFonts w:hint="default" w:ascii="Times New Roman" w:hAnsi="Times New Roman" w:eastAsia="仿宋_GB2312" w:cs="Times New Roman"/>
                <w:bCs/>
                <w:color w:val="auto"/>
                <w:kern w:val="2"/>
                <w:sz w:val="21"/>
                <w:szCs w:val="21"/>
                <w:lang w:val="en-US" w:eastAsia="zh-CN" w:bidi="ar-SA"/>
              </w:rPr>
            </w:pPr>
            <w:r>
              <w:rPr>
                <w:rFonts w:hint="eastAsia" w:eastAsia="仿宋_GB2312"/>
                <w:bCs/>
                <w:color w:val="auto"/>
                <w:szCs w:val="21"/>
                <w:lang w:val="en-US" w:eastAsia="zh-CN"/>
              </w:rPr>
              <w:t>2.2</w:t>
            </w:r>
          </w:p>
        </w:tc>
        <w:tc>
          <w:tcPr>
            <w:tcW w:w="197" w:type="pct"/>
            <w:vMerge w:val="continue"/>
            <w:vAlign w:val="center"/>
          </w:tcPr>
          <w:p w14:paraId="1D807850">
            <w:pPr>
              <w:adjustRightInd w:val="0"/>
              <w:snapToGrid w:val="0"/>
              <w:spacing w:line="320" w:lineRule="exact"/>
              <w:jc w:val="center"/>
              <w:rPr>
                <w:rFonts w:eastAsia="仿宋_GB2312"/>
                <w:bCs/>
                <w:color w:val="FF0000"/>
                <w:szCs w:val="21"/>
              </w:rPr>
            </w:pPr>
          </w:p>
        </w:tc>
        <w:tc>
          <w:tcPr>
            <w:tcW w:w="195" w:type="pct"/>
            <w:vMerge w:val="continue"/>
            <w:vAlign w:val="center"/>
          </w:tcPr>
          <w:p w14:paraId="45618837">
            <w:pPr>
              <w:adjustRightInd w:val="0"/>
              <w:snapToGrid w:val="0"/>
              <w:spacing w:line="320" w:lineRule="exact"/>
              <w:jc w:val="center"/>
              <w:rPr>
                <w:rFonts w:eastAsia="仿宋_GB2312"/>
                <w:bCs/>
                <w:color w:val="FF0000"/>
                <w:szCs w:val="21"/>
              </w:rPr>
            </w:pPr>
          </w:p>
        </w:tc>
        <w:tc>
          <w:tcPr>
            <w:tcW w:w="193" w:type="pct"/>
            <w:vMerge w:val="continue"/>
            <w:vAlign w:val="center"/>
          </w:tcPr>
          <w:p w14:paraId="1444D17E">
            <w:pPr>
              <w:adjustRightInd w:val="0"/>
              <w:snapToGrid w:val="0"/>
              <w:spacing w:line="320" w:lineRule="exact"/>
              <w:jc w:val="center"/>
              <w:rPr>
                <w:rFonts w:eastAsia="仿宋_GB2312"/>
                <w:bCs/>
                <w:color w:val="FF0000"/>
                <w:sz w:val="24"/>
                <w:szCs w:val="24"/>
              </w:rPr>
            </w:pPr>
          </w:p>
        </w:tc>
      </w:tr>
      <w:tr w14:paraId="064851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295" w:type="pct"/>
            <w:vMerge w:val="continue"/>
            <w:vAlign w:val="center"/>
          </w:tcPr>
          <w:p w14:paraId="791035EB">
            <w:pPr>
              <w:adjustRightInd w:val="0"/>
              <w:snapToGrid w:val="0"/>
              <w:spacing w:line="320" w:lineRule="exact"/>
              <w:jc w:val="center"/>
              <w:rPr>
                <w:rFonts w:eastAsia="仿宋_GB2312"/>
                <w:bCs/>
                <w:color w:val="FF0000"/>
                <w:szCs w:val="21"/>
              </w:rPr>
            </w:pPr>
          </w:p>
        </w:tc>
        <w:tc>
          <w:tcPr>
            <w:tcW w:w="375" w:type="pct"/>
            <w:vMerge w:val="continue"/>
            <w:vAlign w:val="center"/>
          </w:tcPr>
          <w:p w14:paraId="143A8726">
            <w:pPr>
              <w:jc w:val="center"/>
              <w:rPr>
                <w:rFonts w:eastAsia="仿宋_GB2312"/>
                <w:color w:val="FF0000"/>
                <w:szCs w:val="21"/>
              </w:rPr>
            </w:pPr>
          </w:p>
        </w:tc>
        <w:tc>
          <w:tcPr>
            <w:tcW w:w="0" w:type="auto"/>
            <w:shd w:val="clear" w:color="auto" w:fill="auto"/>
            <w:vAlign w:val="center"/>
          </w:tcPr>
          <w:p w14:paraId="25DD3018">
            <w:pPr>
              <w:adjustRightInd w:val="0"/>
              <w:snapToGrid w:val="0"/>
              <w:spacing w:line="320" w:lineRule="exact"/>
              <w:jc w:val="center"/>
              <w:rPr>
                <w:rFonts w:hint="eastAsia" w:ascii="Times New Roman" w:hAnsi="Times New Roman" w:eastAsia="仿宋_GB2312" w:cs="Times New Roman"/>
                <w:color w:val="auto"/>
                <w:kern w:val="2"/>
                <w:sz w:val="21"/>
                <w:szCs w:val="21"/>
                <w:lang w:val="en-US" w:eastAsia="zh-CN" w:bidi="ar-SA"/>
              </w:rPr>
            </w:pPr>
            <w:r>
              <w:rPr>
                <w:rFonts w:hint="eastAsia" w:eastAsia="仿宋_GB2312"/>
                <w:color w:val="auto"/>
                <w:szCs w:val="21"/>
                <w:lang w:val="en-US" w:eastAsia="zh-CN"/>
              </w:rPr>
              <w:t>苯系物</w:t>
            </w:r>
          </w:p>
        </w:tc>
        <w:tc>
          <w:tcPr>
            <w:tcW w:w="338" w:type="pct"/>
            <w:shd w:val="clear" w:color="auto" w:fill="auto"/>
            <w:vAlign w:val="center"/>
          </w:tcPr>
          <w:p w14:paraId="0104D97B">
            <w:pPr>
              <w:adjustRightInd w:val="0"/>
              <w:snapToGrid w:val="0"/>
              <w:spacing w:line="320" w:lineRule="exact"/>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155.79</w:t>
            </w:r>
          </w:p>
        </w:tc>
        <w:tc>
          <w:tcPr>
            <w:tcW w:w="283" w:type="pct"/>
            <w:shd w:val="clear" w:color="auto" w:fill="auto"/>
            <w:vAlign w:val="center"/>
          </w:tcPr>
          <w:p w14:paraId="5DF01A2B">
            <w:pPr>
              <w:adjustRightInd w:val="0"/>
              <w:snapToGrid w:val="0"/>
              <w:spacing w:line="320" w:lineRule="exact"/>
              <w:jc w:val="center"/>
              <w:rPr>
                <w:rFonts w:hint="default"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5.92</w:t>
            </w:r>
          </w:p>
        </w:tc>
        <w:tc>
          <w:tcPr>
            <w:tcW w:w="338" w:type="pct"/>
            <w:shd w:val="clear" w:color="auto" w:fill="auto"/>
            <w:vAlign w:val="center"/>
          </w:tcPr>
          <w:p w14:paraId="0CA630B0">
            <w:pPr>
              <w:adjustRightInd w:val="0"/>
              <w:snapToGrid w:val="0"/>
              <w:spacing w:line="320" w:lineRule="exact"/>
              <w:jc w:val="center"/>
              <w:rPr>
                <w:rFonts w:hint="eastAsia"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15.846</w:t>
            </w:r>
          </w:p>
        </w:tc>
        <w:tc>
          <w:tcPr>
            <w:tcW w:w="534" w:type="pct"/>
            <w:vMerge w:val="continue"/>
            <w:vAlign w:val="center"/>
          </w:tcPr>
          <w:p w14:paraId="1566C975">
            <w:pPr>
              <w:jc w:val="center"/>
              <w:rPr>
                <w:rFonts w:eastAsia="仿宋_GB2312"/>
                <w:color w:val="FF0000"/>
                <w:szCs w:val="21"/>
              </w:rPr>
            </w:pPr>
          </w:p>
        </w:tc>
        <w:tc>
          <w:tcPr>
            <w:tcW w:w="0" w:type="auto"/>
            <w:shd w:val="clear" w:color="auto" w:fill="auto"/>
            <w:vAlign w:val="center"/>
          </w:tcPr>
          <w:p w14:paraId="7B32D083">
            <w:pPr>
              <w:adjustRightInd w:val="0"/>
              <w:snapToGrid w:val="0"/>
              <w:spacing w:line="320" w:lineRule="exact"/>
              <w:jc w:val="center"/>
              <w:rPr>
                <w:rFonts w:hint="eastAsia"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95</w:t>
            </w:r>
          </w:p>
        </w:tc>
        <w:tc>
          <w:tcPr>
            <w:tcW w:w="291" w:type="pct"/>
            <w:shd w:val="clear" w:color="auto" w:fill="auto"/>
            <w:vAlign w:val="center"/>
          </w:tcPr>
          <w:p w14:paraId="2E2943F0">
            <w:pPr>
              <w:adjustRightInd w:val="0"/>
              <w:snapToGrid w:val="0"/>
              <w:spacing w:line="320" w:lineRule="exact"/>
              <w:jc w:val="center"/>
              <w:rPr>
                <w:rFonts w:hint="eastAsia"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7.79</w:t>
            </w:r>
          </w:p>
        </w:tc>
        <w:tc>
          <w:tcPr>
            <w:tcW w:w="297" w:type="pct"/>
            <w:shd w:val="clear" w:color="auto" w:fill="auto"/>
            <w:vAlign w:val="center"/>
          </w:tcPr>
          <w:p w14:paraId="645163BD">
            <w:pPr>
              <w:adjustRightInd w:val="0"/>
              <w:snapToGrid w:val="0"/>
              <w:spacing w:line="320" w:lineRule="exact"/>
              <w:jc w:val="center"/>
              <w:rPr>
                <w:rFonts w:hint="default"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0.30</w:t>
            </w:r>
          </w:p>
        </w:tc>
        <w:tc>
          <w:tcPr>
            <w:tcW w:w="341" w:type="pct"/>
            <w:shd w:val="clear" w:color="auto" w:fill="auto"/>
            <w:vAlign w:val="center"/>
          </w:tcPr>
          <w:p w14:paraId="5FCD8467">
            <w:pPr>
              <w:adjustRightInd w:val="0"/>
              <w:snapToGrid w:val="0"/>
              <w:spacing w:line="320" w:lineRule="exact"/>
              <w:jc w:val="center"/>
              <w:rPr>
                <w:rFonts w:hint="eastAsia"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0.79</w:t>
            </w:r>
          </w:p>
        </w:tc>
        <w:tc>
          <w:tcPr>
            <w:tcW w:w="328" w:type="pct"/>
            <w:shd w:val="clear" w:color="auto" w:fill="auto"/>
            <w:vAlign w:val="center"/>
          </w:tcPr>
          <w:p w14:paraId="37907A12">
            <w:pPr>
              <w:adjustRightInd w:val="0"/>
              <w:snapToGrid w:val="0"/>
              <w:spacing w:line="320" w:lineRule="exact"/>
              <w:jc w:val="center"/>
              <w:rPr>
                <w:rFonts w:hint="default" w:ascii="Times New Roman" w:hAnsi="Times New Roman" w:eastAsia="仿宋_GB2312" w:cs="Times New Roman"/>
                <w:bCs/>
                <w:color w:val="auto"/>
                <w:kern w:val="2"/>
                <w:sz w:val="21"/>
                <w:szCs w:val="21"/>
                <w:lang w:val="en-US" w:eastAsia="zh-CN" w:bidi="ar-SA"/>
              </w:rPr>
            </w:pPr>
            <w:r>
              <w:rPr>
                <w:rFonts w:hint="eastAsia" w:eastAsia="仿宋_GB2312"/>
                <w:bCs/>
                <w:color w:val="auto"/>
                <w:szCs w:val="21"/>
                <w:lang w:val="en-US" w:eastAsia="zh-CN"/>
              </w:rPr>
              <w:t>25</w:t>
            </w:r>
          </w:p>
        </w:tc>
        <w:tc>
          <w:tcPr>
            <w:tcW w:w="300" w:type="pct"/>
            <w:shd w:val="clear" w:color="auto" w:fill="auto"/>
            <w:vAlign w:val="center"/>
          </w:tcPr>
          <w:p w14:paraId="18C314C9">
            <w:pPr>
              <w:adjustRightInd w:val="0"/>
              <w:snapToGrid w:val="0"/>
              <w:spacing w:line="320" w:lineRule="exact"/>
              <w:jc w:val="center"/>
              <w:rPr>
                <w:rFonts w:hint="default" w:ascii="Times New Roman" w:hAnsi="Times New Roman" w:eastAsia="仿宋_GB2312" w:cs="Times New Roman"/>
                <w:bCs/>
                <w:color w:val="auto"/>
                <w:kern w:val="2"/>
                <w:sz w:val="21"/>
                <w:szCs w:val="21"/>
                <w:lang w:val="en-US" w:eastAsia="zh-CN" w:bidi="ar-SA"/>
              </w:rPr>
            </w:pPr>
            <w:r>
              <w:rPr>
                <w:rFonts w:hint="eastAsia" w:eastAsia="仿宋_GB2312"/>
                <w:bCs/>
                <w:color w:val="auto"/>
                <w:szCs w:val="21"/>
                <w:lang w:val="en-US" w:eastAsia="zh-CN"/>
              </w:rPr>
              <w:t>1.6</w:t>
            </w:r>
          </w:p>
        </w:tc>
        <w:tc>
          <w:tcPr>
            <w:tcW w:w="197" w:type="pct"/>
            <w:vMerge w:val="continue"/>
            <w:vAlign w:val="center"/>
          </w:tcPr>
          <w:p w14:paraId="0208BE31">
            <w:pPr>
              <w:adjustRightInd w:val="0"/>
              <w:snapToGrid w:val="0"/>
              <w:spacing w:line="320" w:lineRule="exact"/>
              <w:jc w:val="center"/>
              <w:rPr>
                <w:rFonts w:eastAsia="仿宋_GB2312"/>
                <w:bCs/>
                <w:color w:val="FF0000"/>
                <w:szCs w:val="21"/>
              </w:rPr>
            </w:pPr>
          </w:p>
        </w:tc>
        <w:tc>
          <w:tcPr>
            <w:tcW w:w="195" w:type="pct"/>
            <w:vMerge w:val="continue"/>
            <w:vAlign w:val="center"/>
          </w:tcPr>
          <w:p w14:paraId="55C8D5F3">
            <w:pPr>
              <w:adjustRightInd w:val="0"/>
              <w:snapToGrid w:val="0"/>
              <w:spacing w:line="320" w:lineRule="exact"/>
              <w:jc w:val="center"/>
              <w:rPr>
                <w:rFonts w:eastAsia="仿宋_GB2312"/>
                <w:bCs/>
                <w:color w:val="FF0000"/>
                <w:szCs w:val="21"/>
              </w:rPr>
            </w:pPr>
          </w:p>
        </w:tc>
        <w:tc>
          <w:tcPr>
            <w:tcW w:w="193" w:type="pct"/>
            <w:vMerge w:val="continue"/>
            <w:vAlign w:val="center"/>
          </w:tcPr>
          <w:p w14:paraId="5147927E">
            <w:pPr>
              <w:adjustRightInd w:val="0"/>
              <w:snapToGrid w:val="0"/>
              <w:spacing w:line="320" w:lineRule="exact"/>
              <w:jc w:val="center"/>
              <w:rPr>
                <w:rFonts w:eastAsia="仿宋_GB2312"/>
                <w:bCs/>
                <w:color w:val="FF0000"/>
                <w:sz w:val="24"/>
                <w:szCs w:val="24"/>
              </w:rPr>
            </w:pPr>
          </w:p>
        </w:tc>
      </w:tr>
      <w:tr w14:paraId="3EBFC1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295" w:type="pct"/>
            <w:vMerge w:val="continue"/>
            <w:vAlign w:val="center"/>
          </w:tcPr>
          <w:p w14:paraId="2E2B5F54">
            <w:pPr>
              <w:adjustRightInd w:val="0"/>
              <w:snapToGrid w:val="0"/>
              <w:spacing w:line="320" w:lineRule="exact"/>
              <w:jc w:val="center"/>
              <w:rPr>
                <w:rFonts w:eastAsia="仿宋_GB2312"/>
                <w:bCs/>
                <w:color w:val="FF0000"/>
                <w:szCs w:val="21"/>
              </w:rPr>
            </w:pPr>
          </w:p>
        </w:tc>
        <w:tc>
          <w:tcPr>
            <w:tcW w:w="375" w:type="pct"/>
            <w:vMerge w:val="continue"/>
            <w:vAlign w:val="center"/>
          </w:tcPr>
          <w:p w14:paraId="24DED93A">
            <w:pPr>
              <w:jc w:val="center"/>
              <w:rPr>
                <w:rFonts w:eastAsia="仿宋_GB2312"/>
                <w:color w:val="FF0000"/>
                <w:szCs w:val="21"/>
              </w:rPr>
            </w:pPr>
          </w:p>
        </w:tc>
        <w:tc>
          <w:tcPr>
            <w:tcW w:w="0" w:type="auto"/>
            <w:shd w:val="clear" w:color="auto" w:fill="auto"/>
            <w:vAlign w:val="center"/>
          </w:tcPr>
          <w:p w14:paraId="2A091FC5">
            <w:pPr>
              <w:adjustRightInd w:val="0"/>
              <w:snapToGrid w:val="0"/>
              <w:spacing w:line="320" w:lineRule="exact"/>
              <w:jc w:val="center"/>
              <w:rPr>
                <w:rFonts w:ascii="Times New Roman" w:hAnsi="Times New Roman" w:eastAsia="仿宋_GB2312" w:cs="Times New Roman"/>
                <w:bCs/>
                <w:color w:val="auto"/>
                <w:kern w:val="2"/>
                <w:sz w:val="21"/>
                <w:szCs w:val="21"/>
                <w:lang w:val="en-US" w:eastAsia="zh-CN" w:bidi="ar-SA"/>
              </w:rPr>
            </w:pPr>
            <w:r>
              <w:rPr>
                <w:rFonts w:eastAsia="仿宋_GB2312"/>
                <w:bCs/>
                <w:color w:val="auto"/>
                <w:szCs w:val="21"/>
              </w:rPr>
              <w:t>非甲烷总烃</w:t>
            </w:r>
          </w:p>
        </w:tc>
        <w:tc>
          <w:tcPr>
            <w:tcW w:w="0" w:type="auto"/>
            <w:shd w:val="clear" w:color="auto" w:fill="auto"/>
            <w:vAlign w:val="center"/>
          </w:tcPr>
          <w:p w14:paraId="6861121F">
            <w:pPr>
              <w:adjustRightInd w:val="0"/>
              <w:snapToGrid w:val="0"/>
              <w:spacing w:line="320" w:lineRule="exact"/>
              <w:jc w:val="center"/>
              <w:rPr>
                <w:rFonts w:hint="default"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711</w:t>
            </w:r>
          </w:p>
        </w:tc>
        <w:tc>
          <w:tcPr>
            <w:tcW w:w="0" w:type="auto"/>
            <w:shd w:val="clear" w:color="auto" w:fill="auto"/>
            <w:vAlign w:val="center"/>
          </w:tcPr>
          <w:p w14:paraId="51E8EE45">
            <w:pPr>
              <w:adjustRightInd w:val="0"/>
              <w:snapToGrid w:val="0"/>
              <w:spacing w:line="320" w:lineRule="exact"/>
              <w:jc w:val="center"/>
              <w:rPr>
                <w:rFonts w:hint="default"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27.02</w:t>
            </w:r>
          </w:p>
        </w:tc>
        <w:tc>
          <w:tcPr>
            <w:tcW w:w="0" w:type="auto"/>
            <w:shd w:val="clear" w:color="auto" w:fill="auto"/>
            <w:vAlign w:val="center"/>
          </w:tcPr>
          <w:p w14:paraId="050BAA18">
            <w:pPr>
              <w:adjustRightInd w:val="0"/>
              <w:snapToGrid w:val="0"/>
              <w:spacing w:line="320" w:lineRule="exact"/>
              <w:jc w:val="center"/>
              <w:rPr>
                <w:rFonts w:hint="default"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162.13</w:t>
            </w:r>
          </w:p>
        </w:tc>
        <w:tc>
          <w:tcPr>
            <w:tcW w:w="534" w:type="pct"/>
            <w:vMerge w:val="continue"/>
            <w:vAlign w:val="center"/>
          </w:tcPr>
          <w:p w14:paraId="1F034F56">
            <w:pPr>
              <w:jc w:val="center"/>
              <w:rPr>
                <w:rFonts w:eastAsia="仿宋_GB2312"/>
                <w:color w:val="FF0000"/>
                <w:szCs w:val="21"/>
              </w:rPr>
            </w:pPr>
          </w:p>
        </w:tc>
        <w:tc>
          <w:tcPr>
            <w:tcW w:w="0" w:type="auto"/>
            <w:shd w:val="clear" w:color="auto" w:fill="auto"/>
            <w:vAlign w:val="center"/>
          </w:tcPr>
          <w:p w14:paraId="031EBA3A">
            <w:pPr>
              <w:adjustRightInd w:val="0"/>
              <w:snapToGrid w:val="0"/>
              <w:spacing w:line="320" w:lineRule="exact"/>
              <w:jc w:val="center"/>
              <w:rPr>
                <w:rFonts w:hint="default"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95</w:t>
            </w:r>
          </w:p>
        </w:tc>
        <w:tc>
          <w:tcPr>
            <w:tcW w:w="291" w:type="pct"/>
            <w:shd w:val="clear" w:color="auto" w:fill="auto"/>
            <w:vAlign w:val="center"/>
          </w:tcPr>
          <w:p w14:paraId="2F56A9A6">
            <w:pPr>
              <w:adjustRightInd w:val="0"/>
              <w:snapToGrid w:val="0"/>
              <w:spacing w:line="320" w:lineRule="exact"/>
              <w:jc w:val="center"/>
              <w:rPr>
                <w:rFonts w:hint="default"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35.55</w:t>
            </w:r>
          </w:p>
        </w:tc>
        <w:tc>
          <w:tcPr>
            <w:tcW w:w="297" w:type="pct"/>
            <w:shd w:val="clear" w:color="auto" w:fill="auto"/>
            <w:vAlign w:val="center"/>
          </w:tcPr>
          <w:p w14:paraId="42BBA951">
            <w:pPr>
              <w:adjustRightInd w:val="0"/>
              <w:snapToGrid w:val="0"/>
              <w:spacing w:line="320" w:lineRule="exact"/>
              <w:jc w:val="center"/>
              <w:rPr>
                <w:rFonts w:hint="default"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1.35</w:t>
            </w:r>
          </w:p>
        </w:tc>
        <w:tc>
          <w:tcPr>
            <w:tcW w:w="341" w:type="pct"/>
            <w:shd w:val="clear" w:color="auto" w:fill="auto"/>
            <w:vAlign w:val="center"/>
          </w:tcPr>
          <w:p w14:paraId="4CD7BBA9">
            <w:pPr>
              <w:adjustRightInd w:val="0"/>
              <w:snapToGrid w:val="0"/>
              <w:spacing w:line="320" w:lineRule="exact"/>
              <w:jc w:val="center"/>
              <w:rPr>
                <w:rFonts w:hint="default"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8.11</w:t>
            </w:r>
          </w:p>
        </w:tc>
        <w:tc>
          <w:tcPr>
            <w:tcW w:w="328" w:type="pct"/>
            <w:shd w:val="clear" w:color="auto" w:fill="auto"/>
            <w:vAlign w:val="center"/>
          </w:tcPr>
          <w:p w14:paraId="10D7BE2B">
            <w:pPr>
              <w:adjustRightInd w:val="0"/>
              <w:snapToGrid w:val="0"/>
              <w:spacing w:line="320" w:lineRule="exact"/>
              <w:jc w:val="center"/>
              <w:rPr>
                <w:rFonts w:ascii="Times New Roman" w:hAnsi="Times New Roman" w:eastAsia="仿宋_GB2312" w:cs="Times New Roman"/>
                <w:bCs/>
                <w:color w:val="auto"/>
                <w:kern w:val="2"/>
                <w:sz w:val="21"/>
                <w:szCs w:val="21"/>
                <w:lang w:val="en-US" w:eastAsia="zh-CN" w:bidi="ar-SA"/>
              </w:rPr>
            </w:pPr>
            <w:r>
              <w:rPr>
                <w:rFonts w:eastAsia="仿宋_GB2312"/>
                <w:bCs/>
                <w:color w:val="auto"/>
                <w:szCs w:val="21"/>
              </w:rPr>
              <w:t>60</w:t>
            </w:r>
          </w:p>
        </w:tc>
        <w:tc>
          <w:tcPr>
            <w:tcW w:w="300" w:type="pct"/>
            <w:shd w:val="clear" w:color="auto" w:fill="auto"/>
            <w:vAlign w:val="center"/>
          </w:tcPr>
          <w:p w14:paraId="33FFF633">
            <w:pPr>
              <w:adjustRightInd w:val="0"/>
              <w:snapToGrid w:val="0"/>
              <w:spacing w:line="320" w:lineRule="exact"/>
              <w:jc w:val="center"/>
              <w:rPr>
                <w:rFonts w:ascii="Times New Roman" w:hAnsi="Times New Roman" w:eastAsia="仿宋_GB2312" w:cs="Times New Roman"/>
                <w:bCs/>
                <w:color w:val="auto"/>
                <w:kern w:val="2"/>
                <w:sz w:val="21"/>
                <w:szCs w:val="21"/>
                <w:lang w:val="en-US" w:eastAsia="zh-CN" w:bidi="ar-SA"/>
              </w:rPr>
            </w:pPr>
            <w:r>
              <w:rPr>
                <w:rFonts w:eastAsia="仿宋_GB2312"/>
                <w:bCs/>
                <w:color w:val="auto"/>
                <w:szCs w:val="21"/>
              </w:rPr>
              <w:t>3</w:t>
            </w:r>
          </w:p>
        </w:tc>
        <w:tc>
          <w:tcPr>
            <w:tcW w:w="197" w:type="pct"/>
            <w:vMerge w:val="continue"/>
            <w:vAlign w:val="center"/>
          </w:tcPr>
          <w:p w14:paraId="75324903">
            <w:pPr>
              <w:adjustRightInd w:val="0"/>
              <w:snapToGrid w:val="0"/>
              <w:spacing w:line="320" w:lineRule="exact"/>
              <w:jc w:val="center"/>
              <w:rPr>
                <w:rFonts w:eastAsia="仿宋_GB2312"/>
                <w:bCs/>
                <w:color w:val="FF0000"/>
                <w:szCs w:val="21"/>
              </w:rPr>
            </w:pPr>
          </w:p>
        </w:tc>
        <w:tc>
          <w:tcPr>
            <w:tcW w:w="195" w:type="pct"/>
            <w:vMerge w:val="continue"/>
            <w:vAlign w:val="center"/>
          </w:tcPr>
          <w:p w14:paraId="197E20C8">
            <w:pPr>
              <w:adjustRightInd w:val="0"/>
              <w:snapToGrid w:val="0"/>
              <w:spacing w:line="320" w:lineRule="exact"/>
              <w:jc w:val="center"/>
              <w:rPr>
                <w:rFonts w:eastAsia="仿宋_GB2312"/>
                <w:bCs/>
                <w:color w:val="FF0000"/>
                <w:szCs w:val="21"/>
              </w:rPr>
            </w:pPr>
          </w:p>
        </w:tc>
        <w:tc>
          <w:tcPr>
            <w:tcW w:w="193" w:type="pct"/>
            <w:vMerge w:val="continue"/>
            <w:vAlign w:val="center"/>
          </w:tcPr>
          <w:p w14:paraId="688FBD20">
            <w:pPr>
              <w:adjustRightInd w:val="0"/>
              <w:snapToGrid w:val="0"/>
              <w:spacing w:line="320" w:lineRule="exact"/>
              <w:jc w:val="center"/>
              <w:rPr>
                <w:rFonts w:eastAsia="仿宋_GB2312"/>
                <w:bCs/>
                <w:color w:val="FF0000"/>
                <w:sz w:val="24"/>
                <w:szCs w:val="24"/>
              </w:rPr>
            </w:pPr>
          </w:p>
        </w:tc>
      </w:tr>
      <w:tr w14:paraId="0BE57B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295" w:type="pct"/>
            <w:vMerge w:val="continue"/>
            <w:vAlign w:val="center"/>
          </w:tcPr>
          <w:p w14:paraId="571CBCA9">
            <w:pPr>
              <w:adjustRightInd w:val="0"/>
              <w:snapToGrid w:val="0"/>
              <w:spacing w:line="320" w:lineRule="exact"/>
              <w:jc w:val="center"/>
              <w:rPr>
                <w:rFonts w:eastAsia="仿宋_GB2312"/>
                <w:bCs/>
                <w:color w:val="FF0000"/>
                <w:szCs w:val="21"/>
              </w:rPr>
            </w:pPr>
          </w:p>
        </w:tc>
        <w:tc>
          <w:tcPr>
            <w:tcW w:w="375" w:type="pct"/>
            <w:vMerge w:val="continue"/>
            <w:vAlign w:val="center"/>
          </w:tcPr>
          <w:p w14:paraId="06FB18C8">
            <w:pPr>
              <w:jc w:val="center"/>
              <w:rPr>
                <w:rFonts w:eastAsia="仿宋_GB2312"/>
                <w:color w:val="FF0000"/>
                <w:szCs w:val="21"/>
              </w:rPr>
            </w:pPr>
          </w:p>
        </w:tc>
        <w:tc>
          <w:tcPr>
            <w:tcW w:w="0" w:type="auto"/>
            <w:shd w:val="clear" w:color="auto" w:fill="auto"/>
            <w:vAlign w:val="center"/>
          </w:tcPr>
          <w:p w14:paraId="426A8C4C">
            <w:pPr>
              <w:adjustRightInd w:val="0"/>
              <w:snapToGrid w:val="0"/>
              <w:spacing w:line="320" w:lineRule="exact"/>
              <w:jc w:val="center"/>
              <w:rPr>
                <w:rFonts w:ascii="Times New Roman" w:hAnsi="Times New Roman" w:eastAsia="仿宋_GB2312" w:cs="Times New Roman"/>
                <w:bCs/>
                <w:color w:val="auto"/>
                <w:kern w:val="2"/>
                <w:sz w:val="21"/>
                <w:szCs w:val="21"/>
                <w:lang w:val="en-US" w:eastAsia="zh-CN" w:bidi="ar-SA"/>
              </w:rPr>
            </w:pPr>
            <w:r>
              <w:rPr>
                <w:rFonts w:eastAsia="仿宋_GB2312"/>
                <w:bCs/>
                <w:color w:val="auto"/>
                <w:szCs w:val="21"/>
              </w:rPr>
              <w:t>VOCs</w:t>
            </w:r>
          </w:p>
        </w:tc>
        <w:tc>
          <w:tcPr>
            <w:tcW w:w="0" w:type="auto"/>
            <w:shd w:val="clear" w:color="auto" w:fill="auto"/>
            <w:vAlign w:val="center"/>
          </w:tcPr>
          <w:p w14:paraId="6027EFF5">
            <w:pPr>
              <w:adjustRightInd w:val="0"/>
              <w:snapToGrid w:val="0"/>
              <w:spacing w:line="320" w:lineRule="exact"/>
              <w:jc w:val="center"/>
              <w:rPr>
                <w:rFonts w:hint="default"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1277</w:t>
            </w:r>
          </w:p>
        </w:tc>
        <w:tc>
          <w:tcPr>
            <w:tcW w:w="0" w:type="auto"/>
            <w:shd w:val="clear" w:color="auto" w:fill="auto"/>
            <w:vAlign w:val="center"/>
          </w:tcPr>
          <w:p w14:paraId="19980E4E">
            <w:pPr>
              <w:adjustRightInd w:val="0"/>
              <w:snapToGrid w:val="0"/>
              <w:spacing w:line="320" w:lineRule="exact"/>
              <w:jc w:val="center"/>
              <w:rPr>
                <w:rFonts w:hint="default"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48.54</w:t>
            </w:r>
          </w:p>
        </w:tc>
        <w:tc>
          <w:tcPr>
            <w:tcW w:w="0" w:type="auto"/>
            <w:shd w:val="clear" w:color="auto" w:fill="auto"/>
            <w:vAlign w:val="center"/>
          </w:tcPr>
          <w:p w14:paraId="38578D23">
            <w:pPr>
              <w:adjustRightInd w:val="0"/>
              <w:snapToGrid w:val="0"/>
              <w:spacing w:line="320" w:lineRule="exact"/>
              <w:jc w:val="center"/>
              <w:rPr>
                <w:rFonts w:hint="default"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291.278</w:t>
            </w:r>
          </w:p>
        </w:tc>
        <w:tc>
          <w:tcPr>
            <w:tcW w:w="534" w:type="pct"/>
            <w:vMerge w:val="continue"/>
            <w:vAlign w:val="center"/>
          </w:tcPr>
          <w:p w14:paraId="30E3DF0E">
            <w:pPr>
              <w:jc w:val="center"/>
              <w:rPr>
                <w:rFonts w:eastAsia="仿宋_GB2312"/>
                <w:color w:val="FF0000"/>
                <w:szCs w:val="21"/>
              </w:rPr>
            </w:pPr>
          </w:p>
        </w:tc>
        <w:tc>
          <w:tcPr>
            <w:tcW w:w="0" w:type="auto"/>
            <w:shd w:val="clear" w:color="auto" w:fill="auto"/>
            <w:vAlign w:val="center"/>
          </w:tcPr>
          <w:p w14:paraId="147CEDB1">
            <w:pPr>
              <w:adjustRightInd w:val="0"/>
              <w:snapToGrid w:val="0"/>
              <w:spacing w:line="320" w:lineRule="exact"/>
              <w:jc w:val="center"/>
              <w:rPr>
                <w:rFonts w:hint="default"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95</w:t>
            </w:r>
          </w:p>
        </w:tc>
        <w:tc>
          <w:tcPr>
            <w:tcW w:w="0" w:type="auto"/>
            <w:shd w:val="clear" w:color="auto" w:fill="auto"/>
            <w:vAlign w:val="center"/>
          </w:tcPr>
          <w:p w14:paraId="77735B48">
            <w:pPr>
              <w:adjustRightInd w:val="0"/>
              <w:snapToGrid w:val="0"/>
              <w:spacing w:line="320" w:lineRule="exact"/>
              <w:jc w:val="center"/>
              <w:rPr>
                <w:rFonts w:hint="default"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63.85</w:t>
            </w:r>
          </w:p>
        </w:tc>
        <w:tc>
          <w:tcPr>
            <w:tcW w:w="297" w:type="pct"/>
            <w:shd w:val="clear" w:color="auto" w:fill="auto"/>
            <w:vAlign w:val="center"/>
          </w:tcPr>
          <w:p w14:paraId="12231E72">
            <w:pPr>
              <w:adjustRightInd w:val="0"/>
              <w:snapToGrid w:val="0"/>
              <w:spacing w:line="320" w:lineRule="exact"/>
              <w:jc w:val="center"/>
              <w:rPr>
                <w:rFonts w:hint="default"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2.43</w:t>
            </w:r>
          </w:p>
        </w:tc>
        <w:tc>
          <w:tcPr>
            <w:tcW w:w="341" w:type="pct"/>
            <w:shd w:val="clear" w:color="auto" w:fill="auto"/>
            <w:vAlign w:val="center"/>
          </w:tcPr>
          <w:p w14:paraId="6813799E">
            <w:pPr>
              <w:adjustRightInd w:val="0"/>
              <w:snapToGrid w:val="0"/>
              <w:spacing w:line="320" w:lineRule="exact"/>
              <w:jc w:val="center"/>
              <w:rPr>
                <w:rFonts w:hint="eastAsia"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14.56</w:t>
            </w:r>
          </w:p>
        </w:tc>
        <w:tc>
          <w:tcPr>
            <w:tcW w:w="328" w:type="pct"/>
            <w:shd w:val="clear" w:color="auto" w:fill="auto"/>
            <w:vAlign w:val="center"/>
          </w:tcPr>
          <w:p w14:paraId="41881B02">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b/>
                <w:bCs/>
                <w:color w:val="auto"/>
                <w:szCs w:val="21"/>
              </w:rPr>
              <w:t>/</w:t>
            </w:r>
          </w:p>
        </w:tc>
        <w:tc>
          <w:tcPr>
            <w:tcW w:w="300" w:type="pct"/>
            <w:shd w:val="clear" w:color="auto" w:fill="auto"/>
            <w:vAlign w:val="center"/>
          </w:tcPr>
          <w:p w14:paraId="67329005">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b/>
                <w:bCs/>
                <w:color w:val="auto"/>
                <w:szCs w:val="21"/>
              </w:rPr>
              <w:t>/</w:t>
            </w:r>
          </w:p>
        </w:tc>
        <w:tc>
          <w:tcPr>
            <w:tcW w:w="197" w:type="pct"/>
            <w:vMerge w:val="continue"/>
            <w:vAlign w:val="center"/>
          </w:tcPr>
          <w:p w14:paraId="23541ADA">
            <w:pPr>
              <w:adjustRightInd w:val="0"/>
              <w:snapToGrid w:val="0"/>
              <w:spacing w:line="320" w:lineRule="exact"/>
              <w:jc w:val="center"/>
              <w:rPr>
                <w:rFonts w:eastAsia="仿宋_GB2312"/>
                <w:bCs/>
                <w:color w:val="FF0000"/>
                <w:szCs w:val="21"/>
              </w:rPr>
            </w:pPr>
          </w:p>
        </w:tc>
        <w:tc>
          <w:tcPr>
            <w:tcW w:w="195" w:type="pct"/>
            <w:vMerge w:val="continue"/>
            <w:vAlign w:val="center"/>
          </w:tcPr>
          <w:p w14:paraId="6164C235">
            <w:pPr>
              <w:adjustRightInd w:val="0"/>
              <w:snapToGrid w:val="0"/>
              <w:spacing w:line="320" w:lineRule="exact"/>
              <w:jc w:val="center"/>
              <w:rPr>
                <w:rFonts w:eastAsia="仿宋_GB2312"/>
                <w:bCs/>
                <w:color w:val="FF0000"/>
                <w:szCs w:val="21"/>
              </w:rPr>
            </w:pPr>
          </w:p>
        </w:tc>
        <w:tc>
          <w:tcPr>
            <w:tcW w:w="193" w:type="pct"/>
            <w:vMerge w:val="continue"/>
            <w:vAlign w:val="center"/>
          </w:tcPr>
          <w:p w14:paraId="4AB356F9">
            <w:pPr>
              <w:adjustRightInd w:val="0"/>
              <w:snapToGrid w:val="0"/>
              <w:spacing w:line="320" w:lineRule="exact"/>
              <w:jc w:val="center"/>
              <w:rPr>
                <w:rFonts w:eastAsia="仿宋_GB2312"/>
                <w:bCs/>
                <w:color w:val="FF0000"/>
                <w:sz w:val="24"/>
                <w:szCs w:val="24"/>
              </w:rPr>
            </w:pPr>
          </w:p>
        </w:tc>
      </w:tr>
    </w:tbl>
    <w:p w14:paraId="32FEDAC6">
      <w:pPr>
        <w:adjustRightInd w:val="0"/>
        <w:snapToGrid w:val="0"/>
        <w:spacing w:line="320" w:lineRule="exact"/>
        <w:jc w:val="both"/>
        <w:rPr>
          <w:rFonts w:hint="default" w:ascii="Times New Roman" w:hAnsi="Times New Roman" w:eastAsia="仿宋_GB2312" w:cs="Times New Roman"/>
          <w:bCs/>
          <w:color w:val="auto"/>
          <w:szCs w:val="21"/>
          <w:lang w:val="en-US" w:eastAsia="zh-CN"/>
        </w:rPr>
      </w:pPr>
      <w:r>
        <w:rPr>
          <w:rFonts w:hint="default" w:ascii="Times New Roman" w:hAnsi="Times New Roman" w:eastAsia="仿宋_GB2312" w:cs="Times New Roman"/>
          <w:bCs/>
          <w:color w:val="auto"/>
          <w:szCs w:val="21"/>
          <w:lang w:val="en-US" w:eastAsia="zh-CN"/>
        </w:rPr>
        <w:t>备注：①本项目涉</w:t>
      </w:r>
      <w:r>
        <w:rPr>
          <w:rFonts w:hint="eastAsia" w:ascii="Calibri" w:hAnsi="Calibri" w:eastAsia="仿宋_GB2312" w:cs="Calibri"/>
          <w:bCs/>
          <w:color w:val="auto"/>
          <w:szCs w:val="21"/>
          <w:lang w:val="en-US" w:eastAsia="zh-CN"/>
        </w:rPr>
        <w:t>及二氯甲烷、二氯乙烷等含卤素</w:t>
      </w:r>
      <w:r>
        <w:rPr>
          <w:rFonts w:hint="default" w:ascii="Times New Roman" w:hAnsi="Times New Roman" w:eastAsia="仿宋_GB2312" w:cs="Times New Roman"/>
          <w:bCs/>
          <w:color w:val="auto"/>
          <w:szCs w:val="21"/>
          <w:lang w:val="en-US" w:eastAsia="zh-CN"/>
        </w:rPr>
        <w:t>废气因子</w:t>
      </w:r>
      <w:r>
        <w:rPr>
          <w:rFonts w:hint="eastAsia" w:ascii="Times New Roman" w:hAnsi="Times New Roman" w:eastAsia="仿宋_GB2312" w:cs="Times New Roman"/>
          <w:bCs/>
          <w:color w:val="auto"/>
          <w:szCs w:val="21"/>
          <w:lang w:val="en-US" w:eastAsia="zh-CN"/>
        </w:rPr>
        <w:t>，类比现有焚烧项目，考虑含卤素因子焚烧过程产生少量二噁英。</w:t>
      </w:r>
    </w:p>
    <w:p w14:paraId="7C9790BA">
      <w:pPr>
        <w:widowControl/>
        <w:jc w:val="left"/>
        <w:rPr>
          <w:rFonts w:eastAsia="仿宋_GB2312"/>
          <w:color w:val="FF0000"/>
          <w:sz w:val="28"/>
          <w:szCs w:val="28"/>
        </w:rPr>
      </w:pPr>
    </w:p>
    <w:p w14:paraId="4D57F6B9">
      <w:pPr>
        <w:widowControl/>
        <w:jc w:val="left"/>
        <w:rPr>
          <w:rFonts w:eastAsia="仿宋_GB2312"/>
          <w:color w:val="FF0000"/>
          <w:sz w:val="28"/>
          <w:szCs w:val="28"/>
        </w:rPr>
      </w:pPr>
    </w:p>
    <w:p w14:paraId="130B57C2">
      <w:pPr>
        <w:widowControl/>
        <w:jc w:val="left"/>
        <w:rPr>
          <w:rFonts w:eastAsia="仿宋_GB2312"/>
          <w:color w:val="FF0000"/>
          <w:sz w:val="28"/>
          <w:szCs w:val="28"/>
        </w:rPr>
      </w:pPr>
      <w:r>
        <w:rPr>
          <w:rFonts w:eastAsia="仿宋_GB2312"/>
          <w:color w:val="FF0000"/>
          <w:sz w:val="28"/>
          <w:szCs w:val="28"/>
        </w:rPr>
        <w:br w:type="page"/>
      </w:r>
    </w:p>
    <w:p w14:paraId="3532708A">
      <w:pPr>
        <w:adjustRightInd w:val="0"/>
        <w:snapToGrid w:val="0"/>
        <w:spacing w:line="500" w:lineRule="exact"/>
        <w:ind w:firstLine="560" w:firstLineChars="200"/>
        <w:rPr>
          <w:rFonts w:eastAsia="仿宋_GB2312"/>
          <w:b/>
          <w:color w:val="auto"/>
          <w:sz w:val="28"/>
          <w:szCs w:val="28"/>
        </w:rPr>
      </w:pPr>
      <w:r>
        <w:rPr>
          <w:rFonts w:eastAsia="仿宋_GB2312"/>
          <w:color w:val="auto"/>
          <w:sz w:val="28"/>
          <w:szCs w:val="28"/>
        </w:rPr>
        <w:t>本项目排气筒均依托原有，叠加原有项目源强后（企业例行监测数据）排气筒废气排放情况见表3.</w:t>
      </w:r>
      <w:r>
        <w:rPr>
          <w:rFonts w:hint="eastAsia" w:eastAsia="仿宋_GB2312"/>
          <w:color w:val="auto"/>
          <w:sz w:val="28"/>
          <w:szCs w:val="28"/>
          <w:lang w:val="en-US" w:eastAsia="zh-CN"/>
        </w:rPr>
        <w:t>9</w:t>
      </w:r>
      <w:r>
        <w:rPr>
          <w:rFonts w:eastAsia="仿宋_GB2312"/>
          <w:color w:val="auto"/>
          <w:sz w:val="28"/>
          <w:szCs w:val="28"/>
        </w:rPr>
        <w:t>-3</w:t>
      </w:r>
      <w:r>
        <w:rPr>
          <w:rFonts w:eastAsia="仿宋_GB2312"/>
          <w:b/>
          <w:color w:val="auto"/>
          <w:sz w:val="28"/>
          <w:szCs w:val="28"/>
        </w:rPr>
        <w:t>。</w:t>
      </w:r>
    </w:p>
    <w:p w14:paraId="6B142769">
      <w:pPr>
        <w:spacing w:line="500" w:lineRule="exact"/>
        <w:jc w:val="center"/>
        <w:rPr>
          <w:rFonts w:eastAsia="仿宋_GB2312"/>
          <w:b/>
          <w:color w:val="auto"/>
          <w:sz w:val="24"/>
        </w:rPr>
      </w:pPr>
      <w:r>
        <w:rPr>
          <w:rFonts w:eastAsia="仿宋_GB2312"/>
          <w:b/>
          <w:color w:val="auto"/>
          <w:sz w:val="24"/>
        </w:rPr>
        <w:t>表3.</w:t>
      </w:r>
      <w:r>
        <w:rPr>
          <w:rFonts w:hint="eastAsia" w:eastAsia="仿宋_GB2312"/>
          <w:b/>
          <w:color w:val="auto"/>
          <w:sz w:val="24"/>
          <w:lang w:val="en-US" w:eastAsia="zh-CN"/>
        </w:rPr>
        <w:t>9</w:t>
      </w:r>
      <w:r>
        <w:rPr>
          <w:rFonts w:eastAsia="仿宋_GB2312"/>
          <w:b/>
          <w:color w:val="auto"/>
          <w:sz w:val="24"/>
        </w:rPr>
        <w:t>-3  叠加原有项目源强后排气筒排放状况汇总表（与本项目相关因子）</w:t>
      </w:r>
    </w:p>
    <w:tbl>
      <w:tblPr>
        <w:tblStyle w:val="88"/>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101"/>
        <w:gridCol w:w="1578"/>
        <w:gridCol w:w="2208"/>
        <w:gridCol w:w="1325"/>
        <w:gridCol w:w="1362"/>
        <w:gridCol w:w="1696"/>
        <w:gridCol w:w="1335"/>
        <w:gridCol w:w="1098"/>
        <w:gridCol w:w="878"/>
        <w:gridCol w:w="873"/>
      </w:tblGrid>
      <w:tr w14:paraId="2CD5B1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09" w:type="pct"/>
            <w:vMerge w:val="restart"/>
            <w:shd w:val="clear" w:color="auto" w:fill="auto"/>
            <w:vAlign w:val="center"/>
          </w:tcPr>
          <w:p w14:paraId="7F38D9B5">
            <w:pPr>
              <w:adjustRightInd w:val="0"/>
              <w:snapToGrid w:val="0"/>
              <w:spacing w:line="320" w:lineRule="exact"/>
              <w:jc w:val="center"/>
              <w:rPr>
                <w:rFonts w:eastAsia="仿宋_GB2312"/>
                <w:b/>
                <w:bCs/>
                <w:color w:val="auto"/>
                <w:szCs w:val="21"/>
              </w:rPr>
            </w:pPr>
            <w:r>
              <w:rPr>
                <w:rFonts w:eastAsia="仿宋_GB2312"/>
                <w:b/>
                <w:bCs/>
                <w:color w:val="auto"/>
                <w:szCs w:val="21"/>
              </w:rPr>
              <w:t>排放口编号</w:t>
            </w:r>
          </w:p>
        </w:tc>
        <w:tc>
          <w:tcPr>
            <w:tcW w:w="586" w:type="pct"/>
            <w:vMerge w:val="restart"/>
            <w:shd w:val="clear" w:color="auto" w:fill="auto"/>
            <w:vAlign w:val="center"/>
          </w:tcPr>
          <w:p w14:paraId="4304EA9E">
            <w:pPr>
              <w:adjustRightInd w:val="0"/>
              <w:snapToGrid w:val="0"/>
              <w:spacing w:line="320" w:lineRule="exact"/>
              <w:jc w:val="center"/>
              <w:rPr>
                <w:rFonts w:eastAsia="仿宋_GB2312"/>
                <w:b/>
                <w:bCs/>
                <w:color w:val="auto"/>
                <w:szCs w:val="21"/>
              </w:rPr>
            </w:pPr>
            <w:r>
              <w:rPr>
                <w:rFonts w:eastAsia="仿宋_GB2312"/>
                <w:b/>
                <w:bCs/>
                <w:color w:val="auto"/>
                <w:szCs w:val="21"/>
              </w:rPr>
              <w:t>排气量</w:t>
            </w:r>
          </w:p>
          <w:p w14:paraId="2EA97E99">
            <w:pPr>
              <w:adjustRightInd w:val="0"/>
              <w:snapToGrid w:val="0"/>
              <w:spacing w:line="320" w:lineRule="exact"/>
              <w:jc w:val="center"/>
              <w:rPr>
                <w:rFonts w:eastAsia="仿宋_GB2312"/>
                <w:b/>
                <w:bCs/>
                <w:color w:val="auto"/>
                <w:szCs w:val="21"/>
              </w:rPr>
            </w:pPr>
            <w:r>
              <w:rPr>
                <w:rFonts w:eastAsia="仿宋_GB2312"/>
                <w:b/>
                <w:bCs/>
                <w:color w:val="auto"/>
                <w:szCs w:val="21"/>
              </w:rPr>
              <w:t>m</w:t>
            </w:r>
            <w:r>
              <w:rPr>
                <w:rFonts w:eastAsia="仿宋_GB2312"/>
                <w:b/>
                <w:bCs/>
                <w:color w:val="auto"/>
                <w:szCs w:val="21"/>
                <w:vertAlign w:val="superscript"/>
              </w:rPr>
              <w:t>3</w:t>
            </w:r>
            <w:r>
              <w:rPr>
                <w:rFonts w:eastAsia="仿宋_GB2312"/>
                <w:b/>
                <w:bCs/>
                <w:color w:val="auto"/>
                <w:szCs w:val="21"/>
              </w:rPr>
              <w:t>/h</w:t>
            </w:r>
          </w:p>
        </w:tc>
        <w:tc>
          <w:tcPr>
            <w:tcW w:w="820" w:type="pct"/>
            <w:vMerge w:val="restart"/>
            <w:shd w:val="clear" w:color="auto" w:fill="auto"/>
            <w:vAlign w:val="center"/>
          </w:tcPr>
          <w:p w14:paraId="376A8D32">
            <w:pPr>
              <w:adjustRightInd w:val="0"/>
              <w:snapToGrid w:val="0"/>
              <w:spacing w:line="320" w:lineRule="exact"/>
              <w:jc w:val="center"/>
              <w:rPr>
                <w:rFonts w:eastAsia="仿宋_GB2312"/>
                <w:b/>
                <w:bCs/>
                <w:color w:val="auto"/>
                <w:szCs w:val="21"/>
              </w:rPr>
            </w:pPr>
            <w:r>
              <w:rPr>
                <w:rFonts w:eastAsia="仿宋_GB2312"/>
                <w:b/>
                <w:bCs/>
                <w:color w:val="auto"/>
                <w:szCs w:val="21"/>
              </w:rPr>
              <w:t>污染物</w:t>
            </w:r>
          </w:p>
        </w:tc>
        <w:tc>
          <w:tcPr>
            <w:tcW w:w="998" w:type="pct"/>
            <w:gridSpan w:val="2"/>
            <w:shd w:val="clear" w:color="auto" w:fill="auto"/>
            <w:vAlign w:val="center"/>
          </w:tcPr>
          <w:p w14:paraId="0DB79A4C">
            <w:pPr>
              <w:adjustRightInd w:val="0"/>
              <w:snapToGrid w:val="0"/>
              <w:spacing w:line="320" w:lineRule="exact"/>
              <w:jc w:val="center"/>
              <w:rPr>
                <w:rFonts w:eastAsia="仿宋_GB2312"/>
                <w:b/>
                <w:bCs/>
                <w:color w:val="auto"/>
                <w:szCs w:val="21"/>
              </w:rPr>
            </w:pPr>
            <w:r>
              <w:rPr>
                <w:rFonts w:eastAsia="仿宋_GB2312"/>
                <w:b/>
                <w:bCs/>
                <w:color w:val="auto"/>
                <w:szCs w:val="21"/>
              </w:rPr>
              <w:t>污染物排放情况</w:t>
            </w:r>
          </w:p>
        </w:tc>
        <w:tc>
          <w:tcPr>
            <w:tcW w:w="1126" w:type="pct"/>
            <w:gridSpan w:val="2"/>
            <w:shd w:val="clear" w:color="auto" w:fill="auto"/>
            <w:vAlign w:val="center"/>
          </w:tcPr>
          <w:p w14:paraId="57A714FF">
            <w:pPr>
              <w:adjustRightInd w:val="0"/>
              <w:snapToGrid w:val="0"/>
              <w:spacing w:line="320" w:lineRule="exact"/>
              <w:jc w:val="center"/>
              <w:rPr>
                <w:rFonts w:eastAsia="仿宋_GB2312"/>
                <w:b/>
                <w:bCs/>
                <w:color w:val="auto"/>
                <w:szCs w:val="21"/>
              </w:rPr>
            </w:pPr>
            <w:r>
              <w:rPr>
                <w:rFonts w:eastAsia="仿宋_GB2312"/>
                <w:b/>
                <w:bCs/>
                <w:color w:val="auto"/>
                <w:szCs w:val="21"/>
              </w:rPr>
              <w:t>排放标准</w:t>
            </w:r>
          </w:p>
        </w:tc>
        <w:tc>
          <w:tcPr>
            <w:tcW w:w="1058" w:type="pct"/>
            <w:gridSpan w:val="3"/>
            <w:shd w:val="clear" w:color="auto" w:fill="auto"/>
            <w:vAlign w:val="center"/>
          </w:tcPr>
          <w:p w14:paraId="3FDD6E1A">
            <w:pPr>
              <w:adjustRightInd w:val="0"/>
              <w:snapToGrid w:val="0"/>
              <w:spacing w:line="320" w:lineRule="exact"/>
              <w:jc w:val="center"/>
              <w:rPr>
                <w:rFonts w:eastAsia="仿宋_GB2312"/>
                <w:b/>
                <w:bCs/>
                <w:color w:val="auto"/>
                <w:szCs w:val="21"/>
              </w:rPr>
            </w:pPr>
            <w:r>
              <w:rPr>
                <w:rFonts w:eastAsia="仿宋_GB2312"/>
                <w:b/>
                <w:bCs/>
                <w:color w:val="auto"/>
                <w:szCs w:val="21"/>
              </w:rPr>
              <w:t>排放源参数</w:t>
            </w:r>
          </w:p>
        </w:tc>
      </w:tr>
      <w:tr w14:paraId="4C7EF1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09" w:type="pct"/>
            <w:vMerge w:val="continue"/>
            <w:shd w:val="clear" w:color="auto" w:fill="auto"/>
            <w:vAlign w:val="center"/>
          </w:tcPr>
          <w:p w14:paraId="1D116946">
            <w:pPr>
              <w:adjustRightInd w:val="0"/>
              <w:snapToGrid w:val="0"/>
              <w:spacing w:line="320" w:lineRule="exact"/>
              <w:jc w:val="center"/>
              <w:rPr>
                <w:rFonts w:eastAsia="仿宋_GB2312"/>
                <w:b/>
                <w:bCs/>
                <w:color w:val="auto"/>
                <w:szCs w:val="21"/>
              </w:rPr>
            </w:pPr>
          </w:p>
        </w:tc>
        <w:tc>
          <w:tcPr>
            <w:tcW w:w="586" w:type="pct"/>
            <w:vMerge w:val="continue"/>
            <w:shd w:val="clear" w:color="auto" w:fill="auto"/>
            <w:vAlign w:val="center"/>
          </w:tcPr>
          <w:p w14:paraId="40005754">
            <w:pPr>
              <w:adjustRightInd w:val="0"/>
              <w:snapToGrid w:val="0"/>
              <w:spacing w:line="320" w:lineRule="exact"/>
              <w:jc w:val="center"/>
              <w:rPr>
                <w:rFonts w:eastAsia="仿宋_GB2312"/>
                <w:b/>
                <w:bCs/>
                <w:color w:val="auto"/>
                <w:szCs w:val="21"/>
              </w:rPr>
            </w:pPr>
          </w:p>
        </w:tc>
        <w:tc>
          <w:tcPr>
            <w:tcW w:w="820" w:type="pct"/>
            <w:vMerge w:val="continue"/>
            <w:shd w:val="clear" w:color="auto" w:fill="auto"/>
            <w:vAlign w:val="center"/>
          </w:tcPr>
          <w:p w14:paraId="6823147E">
            <w:pPr>
              <w:adjustRightInd w:val="0"/>
              <w:snapToGrid w:val="0"/>
              <w:spacing w:line="320" w:lineRule="exact"/>
              <w:jc w:val="center"/>
              <w:rPr>
                <w:rFonts w:eastAsia="仿宋_GB2312"/>
                <w:b/>
                <w:bCs/>
                <w:color w:val="auto"/>
                <w:szCs w:val="21"/>
              </w:rPr>
            </w:pPr>
          </w:p>
        </w:tc>
        <w:tc>
          <w:tcPr>
            <w:tcW w:w="492" w:type="pct"/>
            <w:shd w:val="clear" w:color="auto" w:fill="auto"/>
            <w:vAlign w:val="center"/>
          </w:tcPr>
          <w:p w14:paraId="24D623F4">
            <w:pPr>
              <w:adjustRightInd w:val="0"/>
              <w:snapToGrid w:val="0"/>
              <w:spacing w:line="320" w:lineRule="exact"/>
              <w:jc w:val="center"/>
              <w:rPr>
                <w:rFonts w:eastAsia="仿宋_GB2312"/>
                <w:b/>
                <w:bCs/>
                <w:color w:val="auto"/>
                <w:szCs w:val="21"/>
              </w:rPr>
            </w:pPr>
            <w:r>
              <w:rPr>
                <w:rFonts w:eastAsia="仿宋_GB2312"/>
                <w:b/>
                <w:bCs/>
                <w:color w:val="auto"/>
                <w:szCs w:val="21"/>
              </w:rPr>
              <w:t>最大浓度mg/m</w:t>
            </w:r>
            <w:r>
              <w:rPr>
                <w:rFonts w:eastAsia="仿宋_GB2312"/>
                <w:b/>
                <w:bCs/>
                <w:color w:val="auto"/>
                <w:szCs w:val="21"/>
                <w:vertAlign w:val="superscript"/>
              </w:rPr>
              <w:t>3</w:t>
            </w:r>
          </w:p>
        </w:tc>
        <w:tc>
          <w:tcPr>
            <w:tcW w:w="506" w:type="pct"/>
            <w:shd w:val="clear" w:color="auto" w:fill="auto"/>
            <w:vAlign w:val="center"/>
          </w:tcPr>
          <w:p w14:paraId="462E1CFC">
            <w:pPr>
              <w:adjustRightInd w:val="0"/>
              <w:snapToGrid w:val="0"/>
              <w:spacing w:line="320" w:lineRule="exact"/>
              <w:jc w:val="center"/>
              <w:rPr>
                <w:rFonts w:eastAsia="仿宋_GB2312"/>
                <w:b/>
                <w:bCs/>
                <w:color w:val="auto"/>
                <w:szCs w:val="21"/>
              </w:rPr>
            </w:pPr>
            <w:r>
              <w:rPr>
                <w:rFonts w:eastAsia="仿宋_GB2312"/>
                <w:b/>
                <w:bCs/>
                <w:color w:val="auto"/>
                <w:szCs w:val="21"/>
              </w:rPr>
              <w:t>最大速率kg/h</w:t>
            </w:r>
          </w:p>
        </w:tc>
        <w:tc>
          <w:tcPr>
            <w:tcW w:w="630" w:type="pct"/>
            <w:shd w:val="clear" w:color="auto" w:fill="auto"/>
            <w:vAlign w:val="center"/>
          </w:tcPr>
          <w:p w14:paraId="721AC51D">
            <w:pPr>
              <w:adjustRightInd w:val="0"/>
              <w:snapToGrid w:val="0"/>
              <w:spacing w:line="320" w:lineRule="exact"/>
              <w:jc w:val="center"/>
              <w:rPr>
                <w:rFonts w:eastAsia="仿宋_GB2312"/>
                <w:b/>
                <w:bCs/>
                <w:color w:val="auto"/>
                <w:szCs w:val="21"/>
              </w:rPr>
            </w:pPr>
            <w:r>
              <w:rPr>
                <w:rFonts w:eastAsia="仿宋_GB2312"/>
                <w:b/>
                <w:bCs/>
                <w:color w:val="auto"/>
                <w:szCs w:val="21"/>
              </w:rPr>
              <w:t>浓度</w:t>
            </w:r>
          </w:p>
          <w:p w14:paraId="0808D403">
            <w:pPr>
              <w:adjustRightInd w:val="0"/>
              <w:snapToGrid w:val="0"/>
              <w:spacing w:line="320" w:lineRule="exact"/>
              <w:jc w:val="center"/>
              <w:rPr>
                <w:rFonts w:eastAsia="仿宋_GB2312"/>
                <w:b/>
                <w:bCs/>
                <w:color w:val="auto"/>
                <w:szCs w:val="21"/>
              </w:rPr>
            </w:pPr>
            <w:r>
              <w:rPr>
                <w:rFonts w:eastAsia="仿宋_GB2312"/>
                <w:b/>
                <w:bCs/>
                <w:color w:val="auto"/>
                <w:szCs w:val="21"/>
              </w:rPr>
              <w:t>mg/m</w:t>
            </w:r>
            <w:r>
              <w:rPr>
                <w:rFonts w:eastAsia="仿宋_GB2312"/>
                <w:b/>
                <w:bCs/>
                <w:color w:val="auto"/>
                <w:szCs w:val="21"/>
                <w:vertAlign w:val="superscript"/>
              </w:rPr>
              <w:t>3</w:t>
            </w:r>
          </w:p>
        </w:tc>
        <w:tc>
          <w:tcPr>
            <w:tcW w:w="496" w:type="pct"/>
            <w:shd w:val="clear" w:color="auto" w:fill="auto"/>
            <w:vAlign w:val="center"/>
          </w:tcPr>
          <w:p w14:paraId="55BA2EE9">
            <w:pPr>
              <w:adjustRightInd w:val="0"/>
              <w:snapToGrid w:val="0"/>
              <w:spacing w:line="320" w:lineRule="exact"/>
              <w:jc w:val="center"/>
              <w:rPr>
                <w:rFonts w:eastAsia="仿宋_GB2312"/>
                <w:b/>
                <w:bCs/>
                <w:color w:val="auto"/>
                <w:szCs w:val="21"/>
              </w:rPr>
            </w:pPr>
            <w:r>
              <w:rPr>
                <w:rFonts w:eastAsia="仿宋_GB2312"/>
                <w:b/>
                <w:bCs/>
                <w:color w:val="auto"/>
                <w:szCs w:val="21"/>
              </w:rPr>
              <w:t>速率</w:t>
            </w:r>
          </w:p>
          <w:p w14:paraId="62A686D8">
            <w:pPr>
              <w:adjustRightInd w:val="0"/>
              <w:snapToGrid w:val="0"/>
              <w:spacing w:line="320" w:lineRule="exact"/>
              <w:jc w:val="center"/>
              <w:rPr>
                <w:rFonts w:eastAsia="仿宋_GB2312"/>
                <w:b/>
                <w:bCs/>
                <w:color w:val="auto"/>
                <w:szCs w:val="21"/>
              </w:rPr>
            </w:pPr>
            <w:r>
              <w:rPr>
                <w:rFonts w:eastAsia="仿宋_GB2312"/>
                <w:b/>
                <w:bCs/>
                <w:color w:val="auto"/>
                <w:szCs w:val="21"/>
              </w:rPr>
              <w:t>kg/h</w:t>
            </w:r>
          </w:p>
        </w:tc>
        <w:tc>
          <w:tcPr>
            <w:tcW w:w="408" w:type="pct"/>
            <w:shd w:val="clear" w:color="auto" w:fill="auto"/>
            <w:vAlign w:val="center"/>
          </w:tcPr>
          <w:p w14:paraId="29900362">
            <w:pPr>
              <w:adjustRightInd w:val="0"/>
              <w:snapToGrid w:val="0"/>
              <w:spacing w:line="320" w:lineRule="exact"/>
              <w:jc w:val="center"/>
              <w:rPr>
                <w:rFonts w:eastAsia="仿宋_GB2312"/>
                <w:b/>
                <w:bCs/>
                <w:color w:val="auto"/>
                <w:szCs w:val="21"/>
              </w:rPr>
            </w:pPr>
            <w:r>
              <w:rPr>
                <w:rFonts w:eastAsia="仿宋_GB2312"/>
                <w:b/>
                <w:bCs/>
                <w:color w:val="auto"/>
                <w:szCs w:val="21"/>
              </w:rPr>
              <w:t>高度</w:t>
            </w:r>
          </w:p>
          <w:p w14:paraId="14DE8432">
            <w:pPr>
              <w:adjustRightInd w:val="0"/>
              <w:snapToGrid w:val="0"/>
              <w:spacing w:line="320" w:lineRule="exact"/>
              <w:jc w:val="center"/>
              <w:rPr>
                <w:rFonts w:eastAsia="仿宋_GB2312"/>
                <w:b/>
                <w:bCs/>
                <w:color w:val="auto"/>
                <w:szCs w:val="21"/>
              </w:rPr>
            </w:pPr>
            <w:r>
              <w:rPr>
                <w:rFonts w:eastAsia="仿宋_GB2312"/>
                <w:b/>
                <w:bCs/>
                <w:color w:val="auto"/>
                <w:szCs w:val="21"/>
              </w:rPr>
              <w:t>m</w:t>
            </w:r>
          </w:p>
        </w:tc>
        <w:tc>
          <w:tcPr>
            <w:tcW w:w="326" w:type="pct"/>
            <w:shd w:val="clear" w:color="auto" w:fill="auto"/>
            <w:vAlign w:val="center"/>
          </w:tcPr>
          <w:p w14:paraId="3782317B">
            <w:pPr>
              <w:adjustRightInd w:val="0"/>
              <w:snapToGrid w:val="0"/>
              <w:spacing w:line="320" w:lineRule="exact"/>
              <w:jc w:val="center"/>
              <w:rPr>
                <w:rFonts w:eastAsia="仿宋_GB2312"/>
                <w:b/>
                <w:bCs/>
                <w:color w:val="auto"/>
                <w:szCs w:val="21"/>
              </w:rPr>
            </w:pPr>
            <w:r>
              <w:rPr>
                <w:rFonts w:eastAsia="仿宋_GB2312"/>
                <w:b/>
                <w:bCs/>
                <w:color w:val="auto"/>
                <w:szCs w:val="21"/>
              </w:rPr>
              <w:t>直径</w:t>
            </w:r>
          </w:p>
          <w:p w14:paraId="18B101D2">
            <w:pPr>
              <w:adjustRightInd w:val="0"/>
              <w:snapToGrid w:val="0"/>
              <w:spacing w:line="320" w:lineRule="exact"/>
              <w:jc w:val="center"/>
              <w:rPr>
                <w:rFonts w:eastAsia="仿宋_GB2312"/>
                <w:b/>
                <w:bCs/>
                <w:color w:val="auto"/>
                <w:szCs w:val="21"/>
              </w:rPr>
            </w:pPr>
            <w:r>
              <w:rPr>
                <w:rFonts w:eastAsia="仿宋_GB2312"/>
                <w:b/>
                <w:bCs/>
                <w:color w:val="auto"/>
                <w:szCs w:val="21"/>
              </w:rPr>
              <w:t>m</w:t>
            </w:r>
          </w:p>
        </w:tc>
        <w:tc>
          <w:tcPr>
            <w:tcW w:w="324" w:type="pct"/>
            <w:shd w:val="clear" w:color="auto" w:fill="auto"/>
            <w:vAlign w:val="center"/>
          </w:tcPr>
          <w:p w14:paraId="599F895D">
            <w:pPr>
              <w:adjustRightInd w:val="0"/>
              <w:snapToGrid w:val="0"/>
              <w:spacing w:line="320" w:lineRule="exact"/>
              <w:jc w:val="center"/>
              <w:rPr>
                <w:rFonts w:eastAsia="仿宋_GB2312"/>
                <w:b/>
                <w:bCs/>
                <w:color w:val="auto"/>
                <w:szCs w:val="21"/>
              </w:rPr>
            </w:pPr>
            <w:r>
              <w:rPr>
                <w:rFonts w:eastAsia="仿宋_GB2312"/>
                <w:b/>
                <w:bCs/>
                <w:color w:val="auto"/>
                <w:szCs w:val="21"/>
              </w:rPr>
              <w:t>温度</w:t>
            </w:r>
          </w:p>
          <w:p w14:paraId="586597D7">
            <w:pPr>
              <w:adjustRightInd w:val="0"/>
              <w:snapToGrid w:val="0"/>
              <w:spacing w:line="320" w:lineRule="exact"/>
              <w:jc w:val="center"/>
              <w:rPr>
                <w:rFonts w:eastAsia="仿宋_GB2312"/>
                <w:b/>
                <w:bCs/>
                <w:color w:val="auto"/>
                <w:szCs w:val="21"/>
              </w:rPr>
            </w:pPr>
            <w:r>
              <w:rPr>
                <w:rFonts w:hint="eastAsia" w:ascii="宋体" w:hAnsi="宋体" w:cs="宋体"/>
                <w:b/>
                <w:bCs/>
                <w:color w:val="auto"/>
                <w:szCs w:val="21"/>
              </w:rPr>
              <w:t>℃</w:t>
            </w:r>
          </w:p>
        </w:tc>
      </w:tr>
      <w:tr w14:paraId="265E6F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09" w:type="pct"/>
            <w:vMerge w:val="restart"/>
            <w:shd w:val="clear" w:color="auto" w:fill="auto"/>
            <w:vAlign w:val="center"/>
          </w:tcPr>
          <w:p w14:paraId="3D12890D">
            <w:pPr>
              <w:adjustRightInd w:val="0"/>
              <w:snapToGrid w:val="0"/>
              <w:spacing w:line="320" w:lineRule="exact"/>
              <w:jc w:val="center"/>
              <w:rPr>
                <w:rFonts w:hint="default" w:eastAsia="仿宋_GB2312"/>
                <w:b/>
                <w:bCs/>
                <w:color w:val="auto"/>
                <w:szCs w:val="21"/>
                <w:lang w:val="en-US" w:eastAsia="zh-CN"/>
              </w:rPr>
            </w:pPr>
            <w:r>
              <w:rPr>
                <w:rFonts w:hint="eastAsia" w:eastAsia="仿宋_GB2312"/>
                <w:color w:val="auto"/>
                <w:szCs w:val="21"/>
                <w:lang w:val="en-US" w:eastAsia="zh-CN"/>
              </w:rPr>
              <w:t>DA002</w:t>
            </w:r>
          </w:p>
        </w:tc>
        <w:tc>
          <w:tcPr>
            <w:tcW w:w="586" w:type="pct"/>
            <w:vMerge w:val="restart"/>
            <w:shd w:val="clear" w:color="auto" w:fill="auto"/>
            <w:vAlign w:val="center"/>
          </w:tcPr>
          <w:p w14:paraId="0B208DAB">
            <w:pPr>
              <w:adjustRightInd w:val="0"/>
              <w:snapToGrid w:val="0"/>
              <w:spacing w:line="320" w:lineRule="exact"/>
              <w:jc w:val="center"/>
              <w:rPr>
                <w:rFonts w:eastAsia="仿宋_GB2312"/>
                <w:b/>
                <w:bCs/>
                <w:color w:val="auto"/>
                <w:szCs w:val="21"/>
              </w:rPr>
            </w:pPr>
            <w:r>
              <w:rPr>
                <w:rFonts w:eastAsia="仿宋_GB2312"/>
                <w:color w:val="auto"/>
                <w:szCs w:val="21"/>
              </w:rPr>
              <w:t>79000</w:t>
            </w:r>
          </w:p>
        </w:tc>
        <w:tc>
          <w:tcPr>
            <w:tcW w:w="820" w:type="pct"/>
            <w:shd w:val="clear" w:color="auto" w:fill="auto"/>
            <w:vAlign w:val="center"/>
          </w:tcPr>
          <w:p w14:paraId="7AE799B5">
            <w:pPr>
              <w:adjustRightInd w:val="0"/>
              <w:snapToGrid w:val="0"/>
              <w:spacing w:line="320" w:lineRule="exact"/>
              <w:jc w:val="center"/>
              <w:rPr>
                <w:rFonts w:ascii="Times New Roman" w:hAnsi="Times New Roman" w:eastAsia="仿宋_GB2312" w:cs="Times New Roman"/>
                <w:color w:val="auto"/>
                <w:kern w:val="2"/>
                <w:sz w:val="21"/>
                <w:szCs w:val="21"/>
                <w:lang w:val="en-US" w:eastAsia="zh-CN" w:bidi="ar-SA"/>
              </w:rPr>
            </w:pPr>
            <w:r>
              <w:rPr>
                <w:rFonts w:eastAsia="仿宋_GB2312"/>
                <w:color w:val="auto"/>
                <w:szCs w:val="21"/>
              </w:rPr>
              <w:t>NMP</w:t>
            </w:r>
          </w:p>
        </w:tc>
        <w:tc>
          <w:tcPr>
            <w:tcW w:w="492" w:type="pct"/>
            <w:shd w:val="clear" w:color="auto" w:fill="auto"/>
            <w:vAlign w:val="center"/>
          </w:tcPr>
          <w:p w14:paraId="2200A4A0">
            <w:pPr>
              <w:adjustRightInd w:val="0"/>
              <w:snapToGrid w:val="0"/>
              <w:spacing w:line="320" w:lineRule="exact"/>
              <w:jc w:val="center"/>
              <w:rPr>
                <w:rFonts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0.88</w:t>
            </w:r>
          </w:p>
        </w:tc>
        <w:tc>
          <w:tcPr>
            <w:tcW w:w="506" w:type="pct"/>
            <w:shd w:val="clear" w:color="auto" w:fill="auto"/>
            <w:vAlign w:val="center"/>
          </w:tcPr>
          <w:p w14:paraId="0DB848F2">
            <w:pPr>
              <w:adjustRightInd w:val="0"/>
              <w:snapToGrid w:val="0"/>
              <w:spacing w:line="320" w:lineRule="exact"/>
              <w:jc w:val="center"/>
              <w:rPr>
                <w:rFonts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0.07</w:t>
            </w:r>
          </w:p>
        </w:tc>
        <w:tc>
          <w:tcPr>
            <w:tcW w:w="630" w:type="pct"/>
            <w:shd w:val="clear" w:color="auto" w:fill="auto"/>
            <w:vAlign w:val="center"/>
          </w:tcPr>
          <w:p w14:paraId="71D335F1">
            <w:pPr>
              <w:adjustRightInd w:val="0"/>
              <w:snapToGrid w:val="0"/>
              <w:spacing w:line="320" w:lineRule="exact"/>
              <w:jc w:val="center"/>
              <w:rPr>
                <w:rFonts w:ascii="Times New Roman" w:hAnsi="Times New Roman" w:eastAsia="仿宋_GB2312" w:cs="Times New Roman"/>
                <w:bCs/>
                <w:color w:val="auto"/>
                <w:kern w:val="2"/>
                <w:sz w:val="21"/>
                <w:szCs w:val="21"/>
                <w:lang w:val="en-US" w:eastAsia="zh-CN" w:bidi="ar-SA"/>
              </w:rPr>
            </w:pPr>
            <w:r>
              <w:rPr>
                <w:rFonts w:eastAsia="仿宋_GB2312"/>
                <w:b/>
                <w:bCs/>
                <w:color w:val="auto"/>
                <w:szCs w:val="21"/>
              </w:rPr>
              <w:t>/</w:t>
            </w:r>
          </w:p>
        </w:tc>
        <w:tc>
          <w:tcPr>
            <w:tcW w:w="496" w:type="pct"/>
            <w:shd w:val="clear" w:color="auto" w:fill="auto"/>
            <w:vAlign w:val="center"/>
          </w:tcPr>
          <w:p w14:paraId="4EC94A13">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b/>
                <w:bCs/>
                <w:color w:val="auto"/>
                <w:szCs w:val="21"/>
              </w:rPr>
              <w:t>/</w:t>
            </w:r>
          </w:p>
        </w:tc>
        <w:tc>
          <w:tcPr>
            <w:tcW w:w="408" w:type="pct"/>
            <w:vMerge w:val="restart"/>
            <w:shd w:val="clear" w:color="auto" w:fill="auto"/>
            <w:vAlign w:val="center"/>
          </w:tcPr>
          <w:p w14:paraId="1B2B878E">
            <w:pPr>
              <w:adjustRightInd w:val="0"/>
              <w:snapToGrid w:val="0"/>
              <w:spacing w:line="320" w:lineRule="exact"/>
              <w:jc w:val="center"/>
              <w:rPr>
                <w:rFonts w:eastAsia="仿宋_GB2312"/>
                <w:b/>
                <w:bCs/>
                <w:color w:val="auto"/>
                <w:szCs w:val="21"/>
              </w:rPr>
            </w:pPr>
            <w:r>
              <w:rPr>
                <w:rFonts w:eastAsia="仿宋_GB2312"/>
                <w:bCs/>
                <w:color w:val="auto"/>
                <w:szCs w:val="21"/>
              </w:rPr>
              <w:t>50</w:t>
            </w:r>
          </w:p>
        </w:tc>
        <w:tc>
          <w:tcPr>
            <w:tcW w:w="326" w:type="pct"/>
            <w:vMerge w:val="restart"/>
            <w:shd w:val="clear" w:color="auto" w:fill="auto"/>
            <w:vAlign w:val="center"/>
          </w:tcPr>
          <w:p w14:paraId="6FFC2574">
            <w:pPr>
              <w:adjustRightInd w:val="0"/>
              <w:snapToGrid w:val="0"/>
              <w:spacing w:line="320" w:lineRule="exact"/>
              <w:jc w:val="center"/>
              <w:rPr>
                <w:rFonts w:hint="default" w:eastAsia="仿宋_GB2312"/>
                <w:b/>
                <w:bCs/>
                <w:color w:val="auto"/>
                <w:szCs w:val="21"/>
                <w:lang w:val="en-US" w:eastAsia="zh-CN"/>
              </w:rPr>
            </w:pPr>
            <w:r>
              <w:rPr>
                <w:rFonts w:hint="eastAsia" w:eastAsia="仿宋_GB2312"/>
                <w:bCs/>
                <w:color w:val="auto"/>
                <w:szCs w:val="21"/>
                <w:lang w:val="en-US" w:eastAsia="zh-CN"/>
              </w:rPr>
              <w:t>1.8</w:t>
            </w:r>
          </w:p>
        </w:tc>
        <w:tc>
          <w:tcPr>
            <w:tcW w:w="324" w:type="pct"/>
            <w:vMerge w:val="restart"/>
            <w:shd w:val="clear" w:color="auto" w:fill="auto"/>
            <w:vAlign w:val="center"/>
          </w:tcPr>
          <w:p w14:paraId="3735CF4C">
            <w:pPr>
              <w:adjustRightInd w:val="0"/>
              <w:snapToGrid w:val="0"/>
              <w:spacing w:line="320" w:lineRule="exact"/>
              <w:jc w:val="center"/>
              <w:rPr>
                <w:rFonts w:hint="default" w:eastAsia="仿宋_GB2312"/>
                <w:b/>
                <w:bCs/>
                <w:color w:val="auto"/>
                <w:szCs w:val="21"/>
                <w:lang w:val="en-US" w:eastAsia="zh-CN"/>
              </w:rPr>
            </w:pPr>
            <w:r>
              <w:rPr>
                <w:rFonts w:eastAsia="仿宋_GB2312"/>
                <w:bCs/>
                <w:color w:val="auto"/>
                <w:szCs w:val="21"/>
              </w:rPr>
              <w:t>1</w:t>
            </w:r>
            <w:r>
              <w:rPr>
                <w:rFonts w:hint="eastAsia" w:eastAsia="仿宋_GB2312"/>
                <w:bCs/>
                <w:color w:val="auto"/>
                <w:szCs w:val="21"/>
                <w:lang w:val="en-US" w:eastAsia="zh-CN"/>
              </w:rPr>
              <w:t>10</w:t>
            </w:r>
          </w:p>
        </w:tc>
      </w:tr>
      <w:tr w14:paraId="07C0BFC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09" w:type="pct"/>
            <w:vMerge w:val="continue"/>
            <w:shd w:val="clear" w:color="auto" w:fill="auto"/>
            <w:vAlign w:val="center"/>
          </w:tcPr>
          <w:p w14:paraId="0FEFFEBF">
            <w:pPr>
              <w:adjustRightInd w:val="0"/>
              <w:snapToGrid w:val="0"/>
              <w:spacing w:line="320" w:lineRule="exact"/>
              <w:jc w:val="center"/>
              <w:rPr>
                <w:rFonts w:eastAsia="仿宋_GB2312"/>
                <w:b/>
                <w:bCs/>
                <w:color w:val="FF0000"/>
                <w:szCs w:val="21"/>
              </w:rPr>
            </w:pPr>
          </w:p>
        </w:tc>
        <w:tc>
          <w:tcPr>
            <w:tcW w:w="586" w:type="pct"/>
            <w:vMerge w:val="continue"/>
            <w:shd w:val="clear" w:color="auto" w:fill="auto"/>
            <w:vAlign w:val="center"/>
          </w:tcPr>
          <w:p w14:paraId="050C9B44">
            <w:pPr>
              <w:adjustRightInd w:val="0"/>
              <w:snapToGrid w:val="0"/>
              <w:spacing w:line="320" w:lineRule="exact"/>
              <w:jc w:val="center"/>
              <w:rPr>
                <w:rFonts w:eastAsia="仿宋_GB2312"/>
                <w:b/>
                <w:bCs/>
                <w:color w:val="FF0000"/>
                <w:szCs w:val="21"/>
              </w:rPr>
            </w:pPr>
          </w:p>
        </w:tc>
        <w:tc>
          <w:tcPr>
            <w:tcW w:w="820" w:type="pct"/>
            <w:shd w:val="clear" w:color="auto" w:fill="auto"/>
            <w:vAlign w:val="center"/>
          </w:tcPr>
          <w:p w14:paraId="4FAD23D1">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color w:val="auto"/>
                <w:szCs w:val="21"/>
              </w:rPr>
              <w:t>异丙醇</w:t>
            </w:r>
          </w:p>
        </w:tc>
        <w:tc>
          <w:tcPr>
            <w:tcW w:w="492" w:type="pct"/>
            <w:shd w:val="clear" w:color="auto" w:fill="auto"/>
            <w:vAlign w:val="center"/>
          </w:tcPr>
          <w:p w14:paraId="4043F7E5">
            <w:pPr>
              <w:adjustRightInd w:val="0"/>
              <w:snapToGrid w:val="0"/>
              <w:spacing w:line="320" w:lineRule="exact"/>
              <w:jc w:val="center"/>
              <w:rPr>
                <w:rFonts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0.57</w:t>
            </w:r>
          </w:p>
        </w:tc>
        <w:tc>
          <w:tcPr>
            <w:tcW w:w="506" w:type="pct"/>
            <w:shd w:val="clear" w:color="auto" w:fill="auto"/>
            <w:vAlign w:val="center"/>
          </w:tcPr>
          <w:p w14:paraId="0A89E669">
            <w:pPr>
              <w:adjustRightInd w:val="0"/>
              <w:snapToGrid w:val="0"/>
              <w:spacing w:line="320" w:lineRule="exact"/>
              <w:jc w:val="center"/>
              <w:rPr>
                <w:rFonts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0.04</w:t>
            </w:r>
          </w:p>
        </w:tc>
        <w:tc>
          <w:tcPr>
            <w:tcW w:w="630" w:type="pct"/>
            <w:shd w:val="clear" w:color="auto" w:fill="auto"/>
            <w:vAlign w:val="center"/>
          </w:tcPr>
          <w:p w14:paraId="6758F1EE">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b/>
                <w:bCs/>
                <w:color w:val="auto"/>
                <w:szCs w:val="21"/>
              </w:rPr>
              <w:t>/</w:t>
            </w:r>
          </w:p>
        </w:tc>
        <w:tc>
          <w:tcPr>
            <w:tcW w:w="496" w:type="pct"/>
            <w:shd w:val="clear" w:color="auto" w:fill="auto"/>
            <w:vAlign w:val="center"/>
          </w:tcPr>
          <w:p w14:paraId="5A46229B">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b/>
                <w:bCs/>
                <w:color w:val="auto"/>
                <w:szCs w:val="21"/>
              </w:rPr>
              <w:t>/</w:t>
            </w:r>
          </w:p>
        </w:tc>
        <w:tc>
          <w:tcPr>
            <w:tcW w:w="408" w:type="pct"/>
            <w:vMerge w:val="continue"/>
            <w:shd w:val="clear" w:color="auto" w:fill="auto"/>
            <w:vAlign w:val="center"/>
          </w:tcPr>
          <w:p w14:paraId="4FAA8AC5">
            <w:pPr>
              <w:adjustRightInd w:val="0"/>
              <w:snapToGrid w:val="0"/>
              <w:spacing w:line="320" w:lineRule="exact"/>
              <w:jc w:val="center"/>
              <w:rPr>
                <w:rFonts w:eastAsia="仿宋_GB2312"/>
                <w:b/>
                <w:bCs/>
                <w:color w:val="FF0000"/>
                <w:szCs w:val="21"/>
              </w:rPr>
            </w:pPr>
          </w:p>
        </w:tc>
        <w:tc>
          <w:tcPr>
            <w:tcW w:w="326" w:type="pct"/>
            <w:vMerge w:val="continue"/>
            <w:shd w:val="clear" w:color="auto" w:fill="auto"/>
            <w:vAlign w:val="center"/>
          </w:tcPr>
          <w:p w14:paraId="5C9A8813">
            <w:pPr>
              <w:adjustRightInd w:val="0"/>
              <w:snapToGrid w:val="0"/>
              <w:spacing w:line="320" w:lineRule="exact"/>
              <w:jc w:val="center"/>
              <w:rPr>
                <w:rFonts w:eastAsia="仿宋_GB2312"/>
                <w:b/>
                <w:bCs/>
                <w:color w:val="FF0000"/>
                <w:szCs w:val="21"/>
              </w:rPr>
            </w:pPr>
          </w:p>
        </w:tc>
        <w:tc>
          <w:tcPr>
            <w:tcW w:w="324" w:type="pct"/>
            <w:vMerge w:val="continue"/>
            <w:shd w:val="clear" w:color="auto" w:fill="auto"/>
            <w:vAlign w:val="center"/>
          </w:tcPr>
          <w:p w14:paraId="2F6318F2">
            <w:pPr>
              <w:adjustRightInd w:val="0"/>
              <w:snapToGrid w:val="0"/>
              <w:spacing w:line="320" w:lineRule="exact"/>
              <w:jc w:val="center"/>
              <w:rPr>
                <w:rFonts w:eastAsia="仿宋_GB2312"/>
                <w:b/>
                <w:bCs/>
                <w:color w:val="FF0000"/>
                <w:szCs w:val="21"/>
              </w:rPr>
            </w:pPr>
          </w:p>
        </w:tc>
      </w:tr>
      <w:tr w14:paraId="1D75A94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09" w:type="pct"/>
            <w:vMerge w:val="continue"/>
            <w:shd w:val="clear" w:color="auto" w:fill="auto"/>
            <w:vAlign w:val="center"/>
          </w:tcPr>
          <w:p w14:paraId="088AE4AE">
            <w:pPr>
              <w:adjustRightInd w:val="0"/>
              <w:snapToGrid w:val="0"/>
              <w:spacing w:line="320" w:lineRule="exact"/>
              <w:jc w:val="center"/>
              <w:rPr>
                <w:rFonts w:eastAsia="仿宋_GB2312"/>
                <w:b/>
                <w:bCs/>
                <w:color w:val="FF0000"/>
                <w:szCs w:val="21"/>
              </w:rPr>
            </w:pPr>
          </w:p>
        </w:tc>
        <w:tc>
          <w:tcPr>
            <w:tcW w:w="586" w:type="pct"/>
            <w:vMerge w:val="continue"/>
            <w:shd w:val="clear" w:color="auto" w:fill="auto"/>
            <w:vAlign w:val="center"/>
          </w:tcPr>
          <w:p w14:paraId="5373AC72">
            <w:pPr>
              <w:adjustRightInd w:val="0"/>
              <w:snapToGrid w:val="0"/>
              <w:spacing w:line="320" w:lineRule="exact"/>
              <w:jc w:val="center"/>
              <w:rPr>
                <w:rFonts w:eastAsia="仿宋_GB2312"/>
                <w:b/>
                <w:bCs/>
                <w:color w:val="FF0000"/>
                <w:szCs w:val="21"/>
              </w:rPr>
            </w:pPr>
          </w:p>
        </w:tc>
        <w:tc>
          <w:tcPr>
            <w:tcW w:w="820" w:type="pct"/>
            <w:shd w:val="clear" w:color="auto" w:fill="auto"/>
            <w:vAlign w:val="center"/>
          </w:tcPr>
          <w:p w14:paraId="17AB64F6">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color w:val="auto"/>
                <w:szCs w:val="21"/>
              </w:rPr>
              <w:t>丁酮</w:t>
            </w:r>
          </w:p>
        </w:tc>
        <w:tc>
          <w:tcPr>
            <w:tcW w:w="492" w:type="pct"/>
            <w:shd w:val="clear" w:color="auto" w:fill="auto"/>
            <w:vAlign w:val="center"/>
          </w:tcPr>
          <w:p w14:paraId="254CF927">
            <w:pPr>
              <w:adjustRightInd w:val="0"/>
              <w:snapToGrid w:val="0"/>
              <w:spacing w:line="320" w:lineRule="exact"/>
              <w:jc w:val="center"/>
              <w:rPr>
                <w:rFonts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10.17</w:t>
            </w:r>
          </w:p>
        </w:tc>
        <w:tc>
          <w:tcPr>
            <w:tcW w:w="506" w:type="pct"/>
            <w:shd w:val="clear" w:color="auto" w:fill="auto"/>
            <w:vAlign w:val="center"/>
          </w:tcPr>
          <w:p w14:paraId="14FF0119">
            <w:pPr>
              <w:adjustRightInd w:val="0"/>
              <w:snapToGrid w:val="0"/>
              <w:spacing w:line="320" w:lineRule="exact"/>
              <w:jc w:val="center"/>
              <w:rPr>
                <w:rFonts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0.80</w:t>
            </w:r>
          </w:p>
        </w:tc>
        <w:tc>
          <w:tcPr>
            <w:tcW w:w="630" w:type="pct"/>
            <w:shd w:val="clear" w:color="auto" w:fill="auto"/>
            <w:vAlign w:val="center"/>
          </w:tcPr>
          <w:p w14:paraId="15D9CAD7">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b/>
                <w:bCs/>
                <w:color w:val="auto"/>
                <w:szCs w:val="21"/>
              </w:rPr>
              <w:t>/</w:t>
            </w:r>
          </w:p>
        </w:tc>
        <w:tc>
          <w:tcPr>
            <w:tcW w:w="496" w:type="pct"/>
            <w:shd w:val="clear" w:color="auto" w:fill="auto"/>
            <w:vAlign w:val="center"/>
          </w:tcPr>
          <w:p w14:paraId="5F475AC4">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b/>
                <w:bCs/>
                <w:color w:val="auto"/>
                <w:szCs w:val="21"/>
              </w:rPr>
              <w:t>/</w:t>
            </w:r>
          </w:p>
        </w:tc>
        <w:tc>
          <w:tcPr>
            <w:tcW w:w="408" w:type="pct"/>
            <w:vMerge w:val="continue"/>
            <w:shd w:val="clear" w:color="auto" w:fill="auto"/>
            <w:vAlign w:val="center"/>
          </w:tcPr>
          <w:p w14:paraId="4F72080A">
            <w:pPr>
              <w:adjustRightInd w:val="0"/>
              <w:snapToGrid w:val="0"/>
              <w:spacing w:line="320" w:lineRule="exact"/>
              <w:jc w:val="center"/>
              <w:rPr>
                <w:rFonts w:eastAsia="仿宋_GB2312"/>
                <w:b/>
                <w:bCs/>
                <w:color w:val="FF0000"/>
                <w:szCs w:val="21"/>
              </w:rPr>
            </w:pPr>
          </w:p>
        </w:tc>
        <w:tc>
          <w:tcPr>
            <w:tcW w:w="326" w:type="pct"/>
            <w:vMerge w:val="continue"/>
            <w:shd w:val="clear" w:color="auto" w:fill="auto"/>
            <w:vAlign w:val="center"/>
          </w:tcPr>
          <w:p w14:paraId="64AB449E">
            <w:pPr>
              <w:adjustRightInd w:val="0"/>
              <w:snapToGrid w:val="0"/>
              <w:spacing w:line="320" w:lineRule="exact"/>
              <w:jc w:val="center"/>
              <w:rPr>
                <w:rFonts w:eastAsia="仿宋_GB2312"/>
                <w:b/>
                <w:bCs/>
                <w:color w:val="FF0000"/>
                <w:szCs w:val="21"/>
              </w:rPr>
            </w:pPr>
          </w:p>
        </w:tc>
        <w:tc>
          <w:tcPr>
            <w:tcW w:w="324" w:type="pct"/>
            <w:vMerge w:val="continue"/>
            <w:shd w:val="clear" w:color="auto" w:fill="auto"/>
            <w:vAlign w:val="center"/>
          </w:tcPr>
          <w:p w14:paraId="19744B33">
            <w:pPr>
              <w:adjustRightInd w:val="0"/>
              <w:snapToGrid w:val="0"/>
              <w:spacing w:line="320" w:lineRule="exact"/>
              <w:jc w:val="center"/>
              <w:rPr>
                <w:rFonts w:eastAsia="仿宋_GB2312"/>
                <w:b/>
                <w:bCs/>
                <w:color w:val="FF0000"/>
                <w:szCs w:val="21"/>
              </w:rPr>
            </w:pPr>
          </w:p>
        </w:tc>
      </w:tr>
      <w:tr w14:paraId="0533EB1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09" w:type="pct"/>
            <w:vMerge w:val="continue"/>
            <w:shd w:val="clear" w:color="auto" w:fill="auto"/>
            <w:vAlign w:val="center"/>
          </w:tcPr>
          <w:p w14:paraId="45EC337B">
            <w:pPr>
              <w:adjustRightInd w:val="0"/>
              <w:snapToGrid w:val="0"/>
              <w:spacing w:line="320" w:lineRule="exact"/>
              <w:jc w:val="center"/>
              <w:rPr>
                <w:rFonts w:eastAsia="仿宋_GB2312"/>
                <w:b/>
                <w:bCs/>
                <w:color w:val="FF0000"/>
                <w:szCs w:val="21"/>
              </w:rPr>
            </w:pPr>
          </w:p>
        </w:tc>
        <w:tc>
          <w:tcPr>
            <w:tcW w:w="586" w:type="pct"/>
            <w:vMerge w:val="continue"/>
            <w:shd w:val="clear" w:color="auto" w:fill="auto"/>
            <w:vAlign w:val="center"/>
          </w:tcPr>
          <w:p w14:paraId="117FC6FC">
            <w:pPr>
              <w:adjustRightInd w:val="0"/>
              <w:snapToGrid w:val="0"/>
              <w:spacing w:line="320" w:lineRule="exact"/>
              <w:jc w:val="center"/>
              <w:rPr>
                <w:rFonts w:eastAsia="仿宋_GB2312"/>
                <w:b/>
                <w:bCs/>
                <w:color w:val="FF0000"/>
                <w:szCs w:val="21"/>
              </w:rPr>
            </w:pPr>
          </w:p>
        </w:tc>
        <w:tc>
          <w:tcPr>
            <w:tcW w:w="820" w:type="pct"/>
            <w:shd w:val="clear" w:color="auto" w:fill="auto"/>
            <w:vAlign w:val="center"/>
          </w:tcPr>
          <w:p w14:paraId="6E016818">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color w:val="auto"/>
                <w:szCs w:val="21"/>
              </w:rPr>
              <w:t>乙醇</w:t>
            </w:r>
          </w:p>
        </w:tc>
        <w:tc>
          <w:tcPr>
            <w:tcW w:w="492" w:type="pct"/>
            <w:shd w:val="clear" w:color="auto" w:fill="auto"/>
            <w:vAlign w:val="center"/>
          </w:tcPr>
          <w:p w14:paraId="4703438D">
            <w:pPr>
              <w:adjustRightInd w:val="0"/>
              <w:snapToGrid w:val="0"/>
              <w:spacing w:line="320" w:lineRule="exact"/>
              <w:jc w:val="center"/>
              <w:rPr>
                <w:rFonts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10.38</w:t>
            </w:r>
          </w:p>
        </w:tc>
        <w:tc>
          <w:tcPr>
            <w:tcW w:w="506" w:type="pct"/>
            <w:shd w:val="clear" w:color="auto" w:fill="auto"/>
            <w:vAlign w:val="center"/>
          </w:tcPr>
          <w:p w14:paraId="6343422D">
            <w:pPr>
              <w:adjustRightInd w:val="0"/>
              <w:snapToGrid w:val="0"/>
              <w:spacing w:line="320" w:lineRule="exact"/>
              <w:jc w:val="center"/>
              <w:rPr>
                <w:rFonts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0.82</w:t>
            </w:r>
          </w:p>
        </w:tc>
        <w:tc>
          <w:tcPr>
            <w:tcW w:w="630" w:type="pct"/>
            <w:shd w:val="clear" w:color="auto" w:fill="auto"/>
            <w:vAlign w:val="center"/>
          </w:tcPr>
          <w:p w14:paraId="264E9CE7">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b/>
                <w:bCs/>
                <w:color w:val="auto"/>
                <w:szCs w:val="21"/>
              </w:rPr>
              <w:t>/</w:t>
            </w:r>
          </w:p>
        </w:tc>
        <w:tc>
          <w:tcPr>
            <w:tcW w:w="496" w:type="pct"/>
            <w:shd w:val="clear" w:color="auto" w:fill="auto"/>
            <w:vAlign w:val="center"/>
          </w:tcPr>
          <w:p w14:paraId="30E61A9E">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b/>
                <w:bCs/>
                <w:color w:val="auto"/>
                <w:szCs w:val="21"/>
              </w:rPr>
              <w:t>/</w:t>
            </w:r>
          </w:p>
        </w:tc>
        <w:tc>
          <w:tcPr>
            <w:tcW w:w="408" w:type="pct"/>
            <w:vMerge w:val="continue"/>
            <w:shd w:val="clear" w:color="auto" w:fill="auto"/>
            <w:vAlign w:val="center"/>
          </w:tcPr>
          <w:p w14:paraId="0697EAEE">
            <w:pPr>
              <w:adjustRightInd w:val="0"/>
              <w:snapToGrid w:val="0"/>
              <w:spacing w:line="320" w:lineRule="exact"/>
              <w:jc w:val="center"/>
              <w:rPr>
                <w:rFonts w:eastAsia="仿宋_GB2312"/>
                <w:b/>
                <w:bCs/>
                <w:color w:val="FF0000"/>
                <w:szCs w:val="21"/>
              </w:rPr>
            </w:pPr>
          </w:p>
        </w:tc>
        <w:tc>
          <w:tcPr>
            <w:tcW w:w="326" w:type="pct"/>
            <w:vMerge w:val="continue"/>
            <w:shd w:val="clear" w:color="auto" w:fill="auto"/>
            <w:vAlign w:val="center"/>
          </w:tcPr>
          <w:p w14:paraId="0D1C6389">
            <w:pPr>
              <w:adjustRightInd w:val="0"/>
              <w:snapToGrid w:val="0"/>
              <w:spacing w:line="320" w:lineRule="exact"/>
              <w:jc w:val="center"/>
              <w:rPr>
                <w:rFonts w:eastAsia="仿宋_GB2312"/>
                <w:b/>
                <w:bCs/>
                <w:color w:val="FF0000"/>
                <w:szCs w:val="21"/>
              </w:rPr>
            </w:pPr>
          </w:p>
        </w:tc>
        <w:tc>
          <w:tcPr>
            <w:tcW w:w="324" w:type="pct"/>
            <w:vMerge w:val="continue"/>
            <w:shd w:val="clear" w:color="auto" w:fill="auto"/>
            <w:vAlign w:val="center"/>
          </w:tcPr>
          <w:p w14:paraId="152345A8">
            <w:pPr>
              <w:adjustRightInd w:val="0"/>
              <w:snapToGrid w:val="0"/>
              <w:spacing w:line="320" w:lineRule="exact"/>
              <w:jc w:val="center"/>
              <w:rPr>
                <w:rFonts w:eastAsia="仿宋_GB2312"/>
                <w:b/>
                <w:bCs/>
                <w:color w:val="FF0000"/>
                <w:szCs w:val="21"/>
              </w:rPr>
            </w:pPr>
          </w:p>
        </w:tc>
      </w:tr>
      <w:tr w14:paraId="77E5C9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09" w:type="pct"/>
            <w:vMerge w:val="continue"/>
            <w:shd w:val="clear" w:color="auto" w:fill="auto"/>
            <w:vAlign w:val="center"/>
          </w:tcPr>
          <w:p w14:paraId="33CDA506">
            <w:pPr>
              <w:adjustRightInd w:val="0"/>
              <w:snapToGrid w:val="0"/>
              <w:spacing w:line="320" w:lineRule="exact"/>
              <w:jc w:val="center"/>
              <w:rPr>
                <w:rFonts w:eastAsia="仿宋_GB2312"/>
                <w:b/>
                <w:bCs/>
                <w:color w:val="FF0000"/>
                <w:szCs w:val="21"/>
              </w:rPr>
            </w:pPr>
          </w:p>
        </w:tc>
        <w:tc>
          <w:tcPr>
            <w:tcW w:w="586" w:type="pct"/>
            <w:vMerge w:val="continue"/>
            <w:shd w:val="clear" w:color="auto" w:fill="auto"/>
            <w:vAlign w:val="center"/>
          </w:tcPr>
          <w:p w14:paraId="73409358">
            <w:pPr>
              <w:adjustRightInd w:val="0"/>
              <w:snapToGrid w:val="0"/>
              <w:spacing w:line="320" w:lineRule="exact"/>
              <w:jc w:val="center"/>
              <w:rPr>
                <w:rFonts w:eastAsia="仿宋_GB2312"/>
                <w:b/>
                <w:bCs/>
                <w:color w:val="FF0000"/>
                <w:szCs w:val="21"/>
              </w:rPr>
            </w:pPr>
          </w:p>
        </w:tc>
        <w:tc>
          <w:tcPr>
            <w:tcW w:w="820" w:type="pct"/>
            <w:shd w:val="clear" w:color="auto" w:fill="auto"/>
            <w:vAlign w:val="center"/>
          </w:tcPr>
          <w:p w14:paraId="0F6191B4">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color w:val="auto"/>
                <w:szCs w:val="21"/>
              </w:rPr>
              <w:t>乙酸乙酯</w:t>
            </w:r>
          </w:p>
        </w:tc>
        <w:tc>
          <w:tcPr>
            <w:tcW w:w="492" w:type="pct"/>
            <w:shd w:val="clear" w:color="auto" w:fill="auto"/>
            <w:vAlign w:val="center"/>
          </w:tcPr>
          <w:p w14:paraId="2D1F6E40">
            <w:pPr>
              <w:adjustRightInd w:val="0"/>
              <w:snapToGrid w:val="0"/>
              <w:spacing w:line="320" w:lineRule="exact"/>
              <w:jc w:val="center"/>
              <w:rPr>
                <w:rFonts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15.35</w:t>
            </w:r>
          </w:p>
        </w:tc>
        <w:tc>
          <w:tcPr>
            <w:tcW w:w="506" w:type="pct"/>
            <w:shd w:val="clear" w:color="auto" w:fill="auto"/>
            <w:vAlign w:val="center"/>
          </w:tcPr>
          <w:p w14:paraId="29D54825">
            <w:pPr>
              <w:adjustRightInd w:val="0"/>
              <w:snapToGrid w:val="0"/>
              <w:spacing w:line="320" w:lineRule="exact"/>
              <w:jc w:val="center"/>
              <w:rPr>
                <w:rFonts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1.21</w:t>
            </w:r>
          </w:p>
        </w:tc>
        <w:tc>
          <w:tcPr>
            <w:tcW w:w="630" w:type="pct"/>
            <w:shd w:val="clear" w:color="auto" w:fill="auto"/>
            <w:vAlign w:val="center"/>
          </w:tcPr>
          <w:p w14:paraId="763D8470">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b/>
                <w:bCs/>
                <w:color w:val="auto"/>
                <w:szCs w:val="21"/>
              </w:rPr>
              <w:t>/</w:t>
            </w:r>
          </w:p>
        </w:tc>
        <w:tc>
          <w:tcPr>
            <w:tcW w:w="496" w:type="pct"/>
            <w:shd w:val="clear" w:color="auto" w:fill="auto"/>
            <w:vAlign w:val="center"/>
          </w:tcPr>
          <w:p w14:paraId="310EA417">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b/>
                <w:bCs/>
                <w:color w:val="auto"/>
                <w:szCs w:val="21"/>
              </w:rPr>
              <w:t>/</w:t>
            </w:r>
          </w:p>
        </w:tc>
        <w:tc>
          <w:tcPr>
            <w:tcW w:w="408" w:type="pct"/>
            <w:vMerge w:val="continue"/>
            <w:shd w:val="clear" w:color="auto" w:fill="auto"/>
            <w:vAlign w:val="center"/>
          </w:tcPr>
          <w:p w14:paraId="19B9D34F">
            <w:pPr>
              <w:adjustRightInd w:val="0"/>
              <w:snapToGrid w:val="0"/>
              <w:spacing w:line="320" w:lineRule="exact"/>
              <w:jc w:val="center"/>
              <w:rPr>
                <w:rFonts w:eastAsia="仿宋_GB2312"/>
                <w:b/>
                <w:bCs/>
                <w:color w:val="FF0000"/>
                <w:szCs w:val="21"/>
              </w:rPr>
            </w:pPr>
          </w:p>
        </w:tc>
        <w:tc>
          <w:tcPr>
            <w:tcW w:w="326" w:type="pct"/>
            <w:vMerge w:val="continue"/>
            <w:shd w:val="clear" w:color="auto" w:fill="auto"/>
            <w:vAlign w:val="center"/>
          </w:tcPr>
          <w:p w14:paraId="08EC4615">
            <w:pPr>
              <w:adjustRightInd w:val="0"/>
              <w:snapToGrid w:val="0"/>
              <w:spacing w:line="320" w:lineRule="exact"/>
              <w:jc w:val="center"/>
              <w:rPr>
                <w:rFonts w:eastAsia="仿宋_GB2312"/>
                <w:b/>
                <w:bCs/>
                <w:color w:val="FF0000"/>
                <w:szCs w:val="21"/>
              </w:rPr>
            </w:pPr>
          </w:p>
        </w:tc>
        <w:tc>
          <w:tcPr>
            <w:tcW w:w="324" w:type="pct"/>
            <w:vMerge w:val="continue"/>
            <w:shd w:val="clear" w:color="auto" w:fill="auto"/>
            <w:vAlign w:val="center"/>
          </w:tcPr>
          <w:p w14:paraId="6B4958EF">
            <w:pPr>
              <w:adjustRightInd w:val="0"/>
              <w:snapToGrid w:val="0"/>
              <w:spacing w:line="320" w:lineRule="exact"/>
              <w:jc w:val="center"/>
              <w:rPr>
                <w:rFonts w:eastAsia="仿宋_GB2312"/>
                <w:b/>
                <w:bCs/>
                <w:color w:val="FF0000"/>
                <w:szCs w:val="21"/>
              </w:rPr>
            </w:pPr>
          </w:p>
        </w:tc>
      </w:tr>
      <w:tr w14:paraId="04287F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09" w:type="pct"/>
            <w:vMerge w:val="continue"/>
            <w:shd w:val="clear" w:color="auto" w:fill="auto"/>
            <w:vAlign w:val="center"/>
          </w:tcPr>
          <w:p w14:paraId="4577C20D">
            <w:pPr>
              <w:adjustRightInd w:val="0"/>
              <w:snapToGrid w:val="0"/>
              <w:spacing w:line="320" w:lineRule="exact"/>
              <w:jc w:val="center"/>
              <w:rPr>
                <w:rFonts w:eastAsia="仿宋_GB2312"/>
                <w:b/>
                <w:bCs/>
                <w:color w:val="FF0000"/>
                <w:szCs w:val="21"/>
              </w:rPr>
            </w:pPr>
          </w:p>
        </w:tc>
        <w:tc>
          <w:tcPr>
            <w:tcW w:w="586" w:type="pct"/>
            <w:vMerge w:val="continue"/>
            <w:shd w:val="clear" w:color="auto" w:fill="auto"/>
            <w:vAlign w:val="center"/>
          </w:tcPr>
          <w:p w14:paraId="1E5C4777">
            <w:pPr>
              <w:adjustRightInd w:val="0"/>
              <w:snapToGrid w:val="0"/>
              <w:spacing w:line="320" w:lineRule="exact"/>
              <w:jc w:val="center"/>
              <w:rPr>
                <w:rFonts w:eastAsia="仿宋_GB2312"/>
                <w:b/>
                <w:bCs/>
                <w:color w:val="FF0000"/>
                <w:szCs w:val="21"/>
              </w:rPr>
            </w:pPr>
          </w:p>
        </w:tc>
        <w:tc>
          <w:tcPr>
            <w:tcW w:w="820" w:type="pct"/>
            <w:shd w:val="clear" w:color="auto" w:fill="auto"/>
            <w:vAlign w:val="center"/>
          </w:tcPr>
          <w:p w14:paraId="552E526E">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color w:val="auto"/>
                <w:szCs w:val="21"/>
              </w:rPr>
              <w:t>二氯甲烷</w:t>
            </w:r>
          </w:p>
        </w:tc>
        <w:tc>
          <w:tcPr>
            <w:tcW w:w="492" w:type="pct"/>
            <w:shd w:val="clear" w:color="auto" w:fill="auto"/>
            <w:vAlign w:val="center"/>
          </w:tcPr>
          <w:p w14:paraId="6D1D3A9F">
            <w:pPr>
              <w:adjustRightInd w:val="0"/>
              <w:snapToGrid w:val="0"/>
              <w:spacing w:line="320" w:lineRule="exact"/>
              <w:jc w:val="center"/>
              <w:rPr>
                <w:rFonts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4.20</w:t>
            </w:r>
          </w:p>
        </w:tc>
        <w:tc>
          <w:tcPr>
            <w:tcW w:w="506" w:type="pct"/>
            <w:shd w:val="clear" w:color="auto" w:fill="auto"/>
            <w:vAlign w:val="center"/>
          </w:tcPr>
          <w:p w14:paraId="155EDED9">
            <w:pPr>
              <w:adjustRightInd w:val="0"/>
              <w:snapToGrid w:val="0"/>
              <w:spacing w:line="320" w:lineRule="exact"/>
              <w:jc w:val="center"/>
              <w:rPr>
                <w:rFonts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0.33</w:t>
            </w:r>
          </w:p>
        </w:tc>
        <w:tc>
          <w:tcPr>
            <w:tcW w:w="630" w:type="pct"/>
            <w:shd w:val="clear" w:color="auto" w:fill="auto"/>
            <w:vAlign w:val="center"/>
          </w:tcPr>
          <w:p w14:paraId="7397F2AF">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color w:val="auto"/>
                <w:szCs w:val="21"/>
              </w:rPr>
              <w:t>20</w:t>
            </w:r>
          </w:p>
        </w:tc>
        <w:tc>
          <w:tcPr>
            <w:tcW w:w="496" w:type="pct"/>
            <w:shd w:val="clear" w:color="auto" w:fill="auto"/>
            <w:vAlign w:val="center"/>
          </w:tcPr>
          <w:p w14:paraId="27462B32">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color w:val="auto"/>
                <w:szCs w:val="21"/>
              </w:rPr>
              <w:t>0.45</w:t>
            </w:r>
          </w:p>
        </w:tc>
        <w:tc>
          <w:tcPr>
            <w:tcW w:w="408" w:type="pct"/>
            <w:vMerge w:val="continue"/>
            <w:shd w:val="clear" w:color="auto" w:fill="auto"/>
            <w:vAlign w:val="center"/>
          </w:tcPr>
          <w:p w14:paraId="49F3EE50">
            <w:pPr>
              <w:adjustRightInd w:val="0"/>
              <w:snapToGrid w:val="0"/>
              <w:spacing w:line="320" w:lineRule="exact"/>
              <w:jc w:val="center"/>
              <w:rPr>
                <w:rFonts w:eastAsia="仿宋_GB2312"/>
                <w:b/>
                <w:bCs/>
                <w:color w:val="FF0000"/>
                <w:szCs w:val="21"/>
              </w:rPr>
            </w:pPr>
          </w:p>
        </w:tc>
        <w:tc>
          <w:tcPr>
            <w:tcW w:w="326" w:type="pct"/>
            <w:vMerge w:val="continue"/>
            <w:shd w:val="clear" w:color="auto" w:fill="auto"/>
            <w:vAlign w:val="center"/>
          </w:tcPr>
          <w:p w14:paraId="2E0A420A">
            <w:pPr>
              <w:adjustRightInd w:val="0"/>
              <w:snapToGrid w:val="0"/>
              <w:spacing w:line="320" w:lineRule="exact"/>
              <w:jc w:val="center"/>
              <w:rPr>
                <w:rFonts w:eastAsia="仿宋_GB2312"/>
                <w:b/>
                <w:bCs/>
                <w:color w:val="FF0000"/>
                <w:szCs w:val="21"/>
              </w:rPr>
            </w:pPr>
          </w:p>
        </w:tc>
        <w:tc>
          <w:tcPr>
            <w:tcW w:w="324" w:type="pct"/>
            <w:vMerge w:val="continue"/>
            <w:shd w:val="clear" w:color="auto" w:fill="auto"/>
            <w:vAlign w:val="center"/>
          </w:tcPr>
          <w:p w14:paraId="5A943E57">
            <w:pPr>
              <w:adjustRightInd w:val="0"/>
              <w:snapToGrid w:val="0"/>
              <w:spacing w:line="320" w:lineRule="exact"/>
              <w:jc w:val="center"/>
              <w:rPr>
                <w:rFonts w:eastAsia="仿宋_GB2312"/>
                <w:b/>
                <w:bCs/>
                <w:color w:val="FF0000"/>
                <w:szCs w:val="21"/>
              </w:rPr>
            </w:pPr>
          </w:p>
        </w:tc>
      </w:tr>
      <w:tr w14:paraId="293FC3B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09" w:type="pct"/>
            <w:vMerge w:val="continue"/>
            <w:shd w:val="clear" w:color="auto" w:fill="auto"/>
            <w:vAlign w:val="center"/>
          </w:tcPr>
          <w:p w14:paraId="20A0C6B7">
            <w:pPr>
              <w:adjustRightInd w:val="0"/>
              <w:snapToGrid w:val="0"/>
              <w:spacing w:line="320" w:lineRule="exact"/>
              <w:jc w:val="center"/>
              <w:rPr>
                <w:rFonts w:eastAsia="仿宋_GB2312"/>
                <w:b/>
                <w:bCs/>
                <w:color w:val="FF0000"/>
                <w:szCs w:val="21"/>
              </w:rPr>
            </w:pPr>
          </w:p>
        </w:tc>
        <w:tc>
          <w:tcPr>
            <w:tcW w:w="586" w:type="pct"/>
            <w:vMerge w:val="continue"/>
            <w:shd w:val="clear" w:color="auto" w:fill="auto"/>
            <w:vAlign w:val="center"/>
          </w:tcPr>
          <w:p w14:paraId="52F40BC8">
            <w:pPr>
              <w:adjustRightInd w:val="0"/>
              <w:snapToGrid w:val="0"/>
              <w:spacing w:line="320" w:lineRule="exact"/>
              <w:jc w:val="center"/>
              <w:rPr>
                <w:rFonts w:eastAsia="仿宋_GB2312"/>
                <w:b/>
                <w:bCs/>
                <w:color w:val="FF0000"/>
                <w:szCs w:val="21"/>
              </w:rPr>
            </w:pPr>
          </w:p>
        </w:tc>
        <w:tc>
          <w:tcPr>
            <w:tcW w:w="820" w:type="pct"/>
            <w:shd w:val="clear" w:color="auto" w:fill="auto"/>
            <w:vAlign w:val="center"/>
          </w:tcPr>
          <w:p w14:paraId="7774E56C">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color w:val="auto"/>
                <w:szCs w:val="21"/>
              </w:rPr>
              <w:t>乙酸丁酯</w:t>
            </w:r>
          </w:p>
        </w:tc>
        <w:tc>
          <w:tcPr>
            <w:tcW w:w="492" w:type="pct"/>
            <w:shd w:val="clear" w:color="auto" w:fill="auto"/>
            <w:vAlign w:val="center"/>
          </w:tcPr>
          <w:p w14:paraId="5A926468">
            <w:pPr>
              <w:adjustRightInd w:val="0"/>
              <w:snapToGrid w:val="0"/>
              <w:spacing w:line="320" w:lineRule="exact"/>
              <w:jc w:val="center"/>
              <w:rPr>
                <w:rFonts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10.03</w:t>
            </w:r>
          </w:p>
        </w:tc>
        <w:tc>
          <w:tcPr>
            <w:tcW w:w="506" w:type="pct"/>
            <w:shd w:val="clear" w:color="auto" w:fill="auto"/>
            <w:vAlign w:val="center"/>
          </w:tcPr>
          <w:p w14:paraId="3D22D381">
            <w:pPr>
              <w:adjustRightInd w:val="0"/>
              <w:snapToGrid w:val="0"/>
              <w:spacing w:line="320" w:lineRule="exact"/>
              <w:jc w:val="center"/>
              <w:rPr>
                <w:rFonts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0.79</w:t>
            </w:r>
          </w:p>
        </w:tc>
        <w:tc>
          <w:tcPr>
            <w:tcW w:w="630" w:type="pct"/>
            <w:shd w:val="clear" w:color="auto" w:fill="auto"/>
            <w:vAlign w:val="center"/>
          </w:tcPr>
          <w:p w14:paraId="7C18E103">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b/>
                <w:bCs/>
                <w:color w:val="auto"/>
                <w:szCs w:val="21"/>
              </w:rPr>
              <w:t>/</w:t>
            </w:r>
          </w:p>
        </w:tc>
        <w:tc>
          <w:tcPr>
            <w:tcW w:w="496" w:type="pct"/>
            <w:shd w:val="clear" w:color="auto" w:fill="auto"/>
            <w:vAlign w:val="center"/>
          </w:tcPr>
          <w:p w14:paraId="617D3888">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b/>
                <w:bCs/>
                <w:color w:val="auto"/>
                <w:szCs w:val="21"/>
              </w:rPr>
              <w:t>/</w:t>
            </w:r>
          </w:p>
        </w:tc>
        <w:tc>
          <w:tcPr>
            <w:tcW w:w="408" w:type="pct"/>
            <w:vMerge w:val="continue"/>
            <w:shd w:val="clear" w:color="auto" w:fill="auto"/>
            <w:vAlign w:val="center"/>
          </w:tcPr>
          <w:p w14:paraId="1BEEB0C5">
            <w:pPr>
              <w:adjustRightInd w:val="0"/>
              <w:snapToGrid w:val="0"/>
              <w:spacing w:line="320" w:lineRule="exact"/>
              <w:jc w:val="center"/>
              <w:rPr>
                <w:rFonts w:eastAsia="仿宋_GB2312"/>
                <w:b/>
                <w:bCs/>
                <w:color w:val="FF0000"/>
                <w:szCs w:val="21"/>
              </w:rPr>
            </w:pPr>
          </w:p>
        </w:tc>
        <w:tc>
          <w:tcPr>
            <w:tcW w:w="326" w:type="pct"/>
            <w:vMerge w:val="continue"/>
            <w:shd w:val="clear" w:color="auto" w:fill="auto"/>
            <w:vAlign w:val="center"/>
          </w:tcPr>
          <w:p w14:paraId="2F00369B">
            <w:pPr>
              <w:adjustRightInd w:val="0"/>
              <w:snapToGrid w:val="0"/>
              <w:spacing w:line="320" w:lineRule="exact"/>
              <w:jc w:val="center"/>
              <w:rPr>
                <w:rFonts w:eastAsia="仿宋_GB2312"/>
                <w:b/>
                <w:bCs/>
                <w:color w:val="FF0000"/>
                <w:szCs w:val="21"/>
              </w:rPr>
            </w:pPr>
          </w:p>
        </w:tc>
        <w:tc>
          <w:tcPr>
            <w:tcW w:w="324" w:type="pct"/>
            <w:vMerge w:val="continue"/>
            <w:shd w:val="clear" w:color="auto" w:fill="auto"/>
            <w:vAlign w:val="center"/>
          </w:tcPr>
          <w:p w14:paraId="363BA543">
            <w:pPr>
              <w:adjustRightInd w:val="0"/>
              <w:snapToGrid w:val="0"/>
              <w:spacing w:line="320" w:lineRule="exact"/>
              <w:jc w:val="center"/>
              <w:rPr>
                <w:rFonts w:eastAsia="仿宋_GB2312"/>
                <w:b/>
                <w:bCs/>
                <w:color w:val="FF0000"/>
                <w:szCs w:val="21"/>
              </w:rPr>
            </w:pPr>
          </w:p>
        </w:tc>
      </w:tr>
      <w:tr w14:paraId="406192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09" w:type="pct"/>
            <w:vMerge w:val="continue"/>
            <w:shd w:val="clear" w:color="auto" w:fill="auto"/>
            <w:vAlign w:val="center"/>
          </w:tcPr>
          <w:p w14:paraId="0E445585">
            <w:pPr>
              <w:adjustRightInd w:val="0"/>
              <w:snapToGrid w:val="0"/>
              <w:spacing w:line="320" w:lineRule="exact"/>
              <w:jc w:val="center"/>
              <w:rPr>
                <w:rFonts w:eastAsia="仿宋_GB2312"/>
                <w:b/>
                <w:bCs/>
                <w:color w:val="FF0000"/>
                <w:szCs w:val="21"/>
              </w:rPr>
            </w:pPr>
          </w:p>
        </w:tc>
        <w:tc>
          <w:tcPr>
            <w:tcW w:w="586" w:type="pct"/>
            <w:vMerge w:val="continue"/>
            <w:shd w:val="clear" w:color="auto" w:fill="auto"/>
            <w:vAlign w:val="center"/>
          </w:tcPr>
          <w:p w14:paraId="6E918377">
            <w:pPr>
              <w:adjustRightInd w:val="0"/>
              <w:snapToGrid w:val="0"/>
              <w:spacing w:line="320" w:lineRule="exact"/>
              <w:jc w:val="center"/>
              <w:rPr>
                <w:rFonts w:eastAsia="仿宋_GB2312"/>
                <w:b/>
                <w:bCs/>
                <w:color w:val="FF0000"/>
                <w:szCs w:val="21"/>
              </w:rPr>
            </w:pPr>
          </w:p>
        </w:tc>
        <w:tc>
          <w:tcPr>
            <w:tcW w:w="820" w:type="pct"/>
            <w:shd w:val="clear" w:color="auto" w:fill="auto"/>
            <w:vAlign w:val="center"/>
          </w:tcPr>
          <w:p w14:paraId="5F6D5641">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color w:val="auto"/>
                <w:szCs w:val="21"/>
              </w:rPr>
              <w:t>二甲苯</w:t>
            </w:r>
          </w:p>
        </w:tc>
        <w:tc>
          <w:tcPr>
            <w:tcW w:w="492" w:type="pct"/>
            <w:shd w:val="clear" w:color="auto" w:fill="auto"/>
            <w:vAlign w:val="center"/>
          </w:tcPr>
          <w:p w14:paraId="0092D65B">
            <w:pPr>
              <w:adjustRightInd w:val="0"/>
              <w:snapToGrid w:val="0"/>
              <w:spacing w:line="320" w:lineRule="exact"/>
              <w:jc w:val="center"/>
              <w:rPr>
                <w:rFonts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1.00</w:t>
            </w:r>
          </w:p>
        </w:tc>
        <w:tc>
          <w:tcPr>
            <w:tcW w:w="506" w:type="pct"/>
            <w:shd w:val="clear" w:color="auto" w:fill="auto"/>
            <w:vAlign w:val="center"/>
          </w:tcPr>
          <w:p w14:paraId="1C361343">
            <w:pPr>
              <w:adjustRightInd w:val="0"/>
              <w:snapToGrid w:val="0"/>
              <w:spacing w:line="320" w:lineRule="exact"/>
              <w:jc w:val="center"/>
              <w:rPr>
                <w:rFonts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0.08</w:t>
            </w:r>
          </w:p>
        </w:tc>
        <w:tc>
          <w:tcPr>
            <w:tcW w:w="630" w:type="pct"/>
            <w:shd w:val="clear" w:color="auto" w:fill="auto"/>
            <w:vAlign w:val="center"/>
          </w:tcPr>
          <w:p w14:paraId="618DBFA4">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color w:val="auto"/>
                <w:szCs w:val="21"/>
              </w:rPr>
              <w:t>10</w:t>
            </w:r>
          </w:p>
        </w:tc>
        <w:tc>
          <w:tcPr>
            <w:tcW w:w="496" w:type="pct"/>
            <w:shd w:val="clear" w:color="auto" w:fill="auto"/>
            <w:vAlign w:val="center"/>
          </w:tcPr>
          <w:p w14:paraId="15FDD4CE">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color w:val="auto"/>
                <w:szCs w:val="21"/>
              </w:rPr>
              <w:t>0.72</w:t>
            </w:r>
          </w:p>
        </w:tc>
        <w:tc>
          <w:tcPr>
            <w:tcW w:w="408" w:type="pct"/>
            <w:vMerge w:val="continue"/>
            <w:shd w:val="clear" w:color="auto" w:fill="auto"/>
            <w:vAlign w:val="center"/>
          </w:tcPr>
          <w:p w14:paraId="45D992F1">
            <w:pPr>
              <w:adjustRightInd w:val="0"/>
              <w:snapToGrid w:val="0"/>
              <w:spacing w:line="320" w:lineRule="exact"/>
              <w:jc w:val="center"/>
              <w:rPr>
                <w:rFonts w:eastAsia="仿宋_GB2312"/>
                <w:b/>
                <w:bCs/>
                <w:color w:val="FF0000"/>
                <w:szCs w:val="21"/>
              </w:rPr>
            </w:pPr>
          </w:p>
        </w:tc>
        <w:tc>
          <w:tcPr>
            <w:tcW w:w="326" w:type="pct"/>
            <w:vMerge w:val="continue"/>
            <w:shd w:val="clear" w:color="auto" w:fill="auto"/>
            <w:vAlign w:val="center"/>
          </w:tcPr>
          <w:p w14:paraId="46E6F28E">
            <w:pPr>
              <w:adjustRightInd w:val="0"/>
              <w:snapToGrid w:val="0"/>
              <w:spacing w:line="320" w:lineRule="exact"/>
              <w:jc w:val="center"/>
              <w:rPr>
                <w:rFonts w:eastAsia="仿宋_GB2312"/>
                <w:b/>
                <w:bCs/>
                <w:color w:val="FF0000"/>
                <w:szCs w:val="21"/>
              </w:rPr>
            </w:pPr>
          </w:p>
        </w:tc>
        <w:tc>
          <w:tcPr>
            <w:tcW w:w="324" w:type="pct"/>
            <w:vMerge w:val="continue"/>
            <w:shd w:val="clear" w:color="auto" w:fill="auto"/>
            <w:vAlign w:val="center"/>
          </w:tcPr>
          <w:p w14:paraId="24F4049C">
            <w:pPr>
              <w:adjustRightInd w:val="0"/>
              <w:snapToGrid w:val="0"/>
              <w:spacing w:line="320" w:lineRule="exact"/>
              <w:jc w:val="center"/>
              <w:rPr>
                <w:rFonts w:eastAsia="仿宋_GB2312"/>
                <w:b/>
                <w:bCs/>
                <w:color w:val="FF0000"/>
                <w:szCs w:val="21"/>
              </w:rPr>
            </w:pPr>
          </w:p>
        </w:tc>
      </w:tr>
      <w:tr w14:paraId="34A939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09" w:type="pct"/>
            <w:vMerge w:val="continue"/>
            <w:shd w:val="clear" w:color="auto" w:fill="auto"/>
            <w:vAlign w:val="center"/>
          </w:tcPr>
          <w:p w14:paraId="7A2C5A67">
            <w:pPr>
              <w:adjustRightInd w:val="0"/>
              <w:snapToGrid w:val="0"/>
              <w:spacing w:line="320" w:lineRule="exact"/>
              <w:jc w:val="center"/>
              <w:rPr>
                <w:rFonts w:eastAsia="仿宋_GB2312"/>
                <w:b/>
                <w:bCs/>
                <w:color w:val="FF0000"/>
                <w:szCs w:val="21"/>
              </w:rPr>
            </w:pPr>
          </w:p>
        </w:tc>
        <w:tc>
          <w:tcPr>
            <w:tcW w:w="586" w:type="pct"/>
            <w:vMerge w:val="continue"/>
            <w:shd w:val="clear" w:color="auto" w:fill="auto"/>
            <w:vAlign w:val="center"/>
          </w:tcPr>
          <w:p w14:paraId="12951A48">
            <w:pPr>
              <w:adjustRightInd w:val="0"/>
              <w:snapToGrid w:val="0"/>
              <w:spacing w:line="320" w:lineRule="exact"/>
              <w:jc w:val="center"/>
              <w:rPr>
                <w:rFonts w:eastAsia="仿宋_GB2312"/>
                <w:b/>
                <w:bCs/>
                <w:color w:val="FF0000"/>
                <w:szCs w:val="21"/>
              </w:rPr>
            </w:pPr>
          </w:p>
        </w:tc>
        <w:tc>
          <w:tcPr>
            <w:tcW w:w="820" w:type="pct"/>
            <w:shd w:val="clear" w:color="auto" w:fill="auto"/>
            <w:vAlign w:val="center"/>
          </w:tcPr>
          <w:p w14:paraId="7D1DEF2E">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color w:val="auto"/>
                <w:szCs w:val="21"/>
              </w:rPr>
              <w:t>甲苯</w:t>
            </w:r>
          </w:p>
        </w:tc>
        <w:tc>
          <w:tcPr>
            <w:tcW w:w="492" w:type="pct"/>
            <w:shd w:val="clear" w:color="auto" w:fill="auto"/>
            <w:vAlign w:val="center"/>
          </w:tcPr>
          <w:p w14:paraId="006DAC4E">
            <w:pPr>
              <w:adjustRightInd w:val="0"/>
              <w:snapToGrid w:val="0"/>
              <w:spacing w:line="320" w:lineRule="exact"/>
              <w:jc w:val="center"/>
              <w:rPr>
                <w:rFonts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2.00</w:t>
            </w:r>
          </w:p>
        </w:tc>
        <w:tc>
          <w:tcPr>
            <w:tcW w:w="506" w:type="pct"/>
            <w:shd w:val="clear" w:color="auto" w:fill="auto"/>
            <w:vAlign w:val="center"/>
          </w:tcPr>
          <w:p w14:paraId="0A77D1BB">
            <w:pPr>
              <w:adjustRightInd w:val="0"/>
              <w:snapToGrid w:val="0"/>
              <w:spacing w:line="320" w:lineRule="exact"/>
              <w:jc w:val="center"/>
              <w:rPr>
                <w:rFonts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0.16</w:t>
            </w:r>
          </w:p>
        </w:tc>
        <w:tc>
          <w:tcPr>
            <w:tcW w:w="630" w:type="pct"/>
            <w:shd w:val="clear" w:color="auto" w:fill="auto"/>
            <w:vAlign w:val="center"/>
          </w:tcPr>
          <w:p w14:paraId="31B5988D">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color w:val="auto"/>
                <w:szCs w:val="21"/>
              </w:rPr>
              <w:t>10</w:t>
            </w:r>
          </w:p>
        </w:tc>
        <w:tc>
          <w:tcPr>
            <w:tcW w:w="496" w:type="pct"/>
            <w:shd w:val="clear" w:color="auto" w:fill="auto"/>
            <w:vAlign w:val="center"/>
          </w:tcPr>
          <w:p w14:paraId="1EAA1F3F">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color w:val="auto"/>
                <w:szCs w:val="21"/>
              </w:rPr>
              <w:t>0.2</w:t>
            </w:r>
          </w:p>
        </w:tc>
        <w:tc>
          <w:tcPr>
            <w:tcW w:w="408" w:type="pct"/>
            <w:vMerge w:val="continue"/>
            <w:shd w:val="clear" w:color="auto" w:fill="auto"/>
            <w:vAlign w:val="center"/>
          </w:tcPr>
          <w:p w14:paraId="7F7D70B0">
            <w:pPr>
              <w:adjustRightInd w:val="0"/>
              <w:snapToGrid w:val="0"/>
              <w:spacing w:line="320" w:lineRule="exact"/>
              <w:jc w:val="center"/>
              <w:rPr>
                <w:rFonts w:eastAsia="仿宋_GB2312"/>
                <w:b/>
                <w:bCs/>
                <w:color w:val="FF0000"/>
                <w:szCs w:val="21"/>
              </w:rPr>
            </w:pPr>
          </w:p>
        </w:tc>
        <w:tc>
          <w:tcPr>
            <w:tcW w:w="326" w:type="pct"/>
            <w:vMerge w:val="continue"/>
            <w:shd w:val="clear" w:color="auto" w:fill="auto"/>
            <w:vAlign w:val="center"/>
          </w:tcPr>
          <w:p w14:paraId="0A590C5C">
            <w:pPr>
              <w:adjustRightInd w:val="0"/>
              <w:snapToGrid w:val="0"/>
              <w:spacing w:line="320" w:lineRule="exact"/>
              <w:jc w:val="center"/>
              <w:rPr>
                <w:rFonts w:eastAsia="仿宋_GB2312"/>
                <w:b/>
                <w:bCs/>
                <w:color w:val="FF0000"/>
                <w:szCs w:val="21"/>
              </w:rPr>
            </w:pPr>
          </w:p>
        </w:tc>
        <w:tc>
          <w:tcPr>
            <w:tcW w:w="324" w:type="pct"/>
            <w:vMerge w:val="continue"/>
            <w:shd w:val="clear" w:color="auto" w:fill="auto"/>
            <w:vAlign w:val="center"/>
          </w:tcPr>
          <w:p w14:paraId="153BDD65">
            <w:pPr>
              <w:adjustRightInd w:val="0"/>
              <w:snapToGrid w:val="0"/>
              <w:spacing w:line="320" w:lineRule="exact"/>
              <w:jc w:val="center"/>
              <w:rPr>
                <w:rFonts w:eastAsia="仿宋_GB2312"/>
                <w:b/>
                <w:bCs/>
                <w:color w:val="FF0000"/>
                <w:szCs w:val="21"/>
              </w:rPr>
            </w:pPr>
          </w:p>
        </w:tc>
      </w:tr>
      <w:tr w14:paraId="3C4664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09" w:type="pct"/>
            <w:vMerge w:val="continue"/>
            <w:shd w:val="clear" w:color="auto" w:fill="auto"/>
            <w:vAlign w:val="center"/>
          </w:tcPr>
          <w:p w14:paraId="5B0E78E6">
            <w:pPr>
              <w:adjustRightInd w:val="0"/>
              <w:snapToGrid w:val="0"/>
              <w:spacing w:line="320" w:lineRule="exact"/>
              <w:jc w:val="center"/>
              <w:rPr>
                <w:rFonts w:eastAsia="仿宋_GB2312"/>
                <w:b/>
                <w:bCs/>
                <w:color w:val="FF0000"/>
                <w:szCs w:val="21"/>
              </w:rPr>
            </w:pPr>
          </w:p>
        </w:tc>
        <w:tc>
          <w:tcPr>
            <w:tcW w:w="586" w:type="pct"/>
            <w:vMerge w:val="continue"/>
            <w:shd w:val="clear" w:color="auto" w:fill="auto"/>
            <w:vAlign w:val="center"/>
          </w:tcPr>
          <w:p w14:paraId="5540F442">
            <w:pPr>
              <w:adjustRightInd w:val="0"/>
              <w:snapToGrid w:val="0"/>
              <w:spacing w:line="320" w:lineRule="exact"/>
              <w:jc w:val="center"/>
              <w:rPr>
                <w:rFonts w:eastAsia="仿宋_GB2312"/>
                <w:b/>
                <w:bCs/>
                <w:color w:val="FF0000"/>
                <w:szCs w:val="21"/>
              </w:rPr>
            </w:pPr>
          </w:p>
        </w:tc>
        <w:tc>
          <w:tcPr>
            <w:tcW w:w="820" w:type="pct"/>
            <w:shd w:val="clear" w:color="auto" w:fill="auto"/>
            <w:vAlign w:val="center"/>
          </w:tcPr>
          <w:p w14:paraId="37E7669D">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等线"/>
                <w:color w:val="auto"/>
                <w:szCs w:val="21"/>
              </w:rPr>
              <w:t>DMF</w:t>
            </w:r>
          </w:p>
        </w:tc>
        <w:tc>
          <w:tcPr>
            <w:tcW w:w="492" w:type="pct"/>
            <w:shd w:val="clear" w:color="auto" w:fill="auto"/>
            <w:vAlign w:val="center"/>
          </w:tcPr>
          <w:p w14:paraId="43585852">
            <w:pPr>
              <w:adjustRightInd w:val="0"/>
              <w:snapToGrid w:val="0"/>
              <w:spacing w:line="320" w:lineRule="exact"/>
              <w:jc w:val="center"/>
              <w:rPr>
                <w:rFonts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10.87</w:t>
            </w:r>
          </w:p>
        </w:tc>
        <w:tc>
          <w:tcPr>
            <w:tcW w:w="506" w:type="pct"/>
            <w:shd w:val="clear" w:color="auto" w:fill="auto"/>
            <w:vAlign w:val="center"/>
          </w:tcPr>
          <w:p w14:paraId="2F411FFA">
            <w:pPr>
              <w:adjustRightInd w:val="0"/>
              <w:snapToGrid w:val="0"/>
              <w:spacing w:line="320" w:lineRule="exact"/>
              <w:jc w:val="center"/>
              <w:rPr>
                <w:rFonts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0.86</w:t>
            </w:r>
          </w:p>
        </w:tc>
        <w:tc>
          <w:tcPr>
            <w:tcW w:w="630" w:type="pct"/>
            <w:shd w:val="clear" w:color="auto" w:fill="auto"/>
            <w:vAlign w:val="center"/>
          </w:tcPr>
          <w:p w14:paraId="707479A8">
            <w:pPr>
              <w:adjustRightInd w:val="0"/>
              <w:snapToGrid w:val="0"/>
              <w:spacing w:line="320" w:lineRule="exact"/>
              <w:jc w:val="center"/>
              <w:rPr>
                <w:rFonts w:ascii="Times New Roman" w:hAnsi="Times New Roman" w:eastAsia="仿宋_GB2312" w:cs="Times New Roman"/>
                <w:bCs/>
                <w:color w:val="auto"/>
                <w:kern w:val="2"/>
                <w:sz w:val="21"/>
                <w:szCs w:val="21"/>
                <w:lang w:val="en-US" w:eastAsia="zh-CN" w:bidi="ar-SA"/>
              </w:rPr>
            </w:pPr>
            <w:r>
              <w:rPr>
                <w:rFonts w:eastAsia="仿宋_GB2312"/>
                <w:bCs/>
                <w:color w:val="auto"/>
                <w:szCs w:val="21"/>
              </w:rPr>
              <w:t>30</w:t>
            </w:r>
          </w:p>
        </w:tc>
        <w:tc>
          <w:tcPr>
            <w:tcW w:w="496" w:type="pct"/>
            <w:shd w:val="clear" w:color="auto" w:fill="auto"/>
            <w:vAlign w:val="center"/>
          </w:tcPr>
          <w:p w14:paraId="3F6C18F1">
            <w:pPr>
              <w:adjustRightInd w:val="0"/>
              <w:snapToGrid w:val="0"/>
              <w:spacing w:line="320" w:lineRule="exact"/>
              <w:jc w:val="center"/>
              <w:rPr>
                <w:rFonts w:ascii="Times New Roman" w:hAnsi="Times New Roman" w:eastAsia="仿宋_GB2312" w:cs="Times New Roman"/>
                <w:bCs/>
                <w:color w:val="auto"/>
                <w:kern w:val="2"/>
                <w:sz w:val="21"/>
                <w:szCs w:val="21"/>
                <w:lang w:val="en-US" w:eastAsia="zh-CN" w:bidi="ar-SA"/>
              </w:rPr>
            </w:pPr>
            <w:r>
              <w:rPr>
                <w:rFonts w:eastAsia="仿宋_GB2312"/>
                <w:bCs/>
                <w:color w:val="auto"/>
                <w:szCs w:val="21"/>
              </w:rPr>
              <w:t>8.1</w:t>
            </w:r>
          </w:p>
        </w:tc>
        <w:tc>
          <w:tcPr>
            <w:tcW w:w="408" w:type="pct"/>
            <w:vMerge w:val="continue"/>
            <w:shd w:val="clear" w:color="auto" w:fill="auto"/>
            <w:vAlign w:val="center"/>
          </w:tcPr>
          <w:p w14:paraId="3105B995">
            <w:pPr>
              <w:adjustRightInd w:val="0"/>
              <w:snapToGrid w:val="0"/>
              <w:spacing w:line="320" w:lineRule="exact"/>
              <w:jc w:val="center"/>
              <w:rPr>
                <w:rFonts w:eastAsia="仿宋_GB2312"/>
                <w:b/>
                <w:bCs/>
                <w:color w:val="FF0000"/>
                <w:szCs w:val="21"/>
              </w:rPr>
            </w:pPr>
          </w:p>
        </w:tc>
        <w:tc>
          <w:tcPr>
            <w:tcW w:w="326" w:type="pct"/>
            <w:vMerge w:val="continue"/>
            <w:shd w:val="clear" w:color="auto" w:fill="auto"/>
            <w:vAlign w:val="center"/>
          </w:tcPr>
          <w:p w14:paraId="43AD4F69">
            <w:pPr>
              <w:adjustRightInd w:val="0"/>
              <w:snapToGrid w:val="0"/>
              <w:spacing w:line="320" w:lineRule="exact"/>
              <w:jc w:val="center"/>
              <w:rPr>
                <w:rFonts w:eastAsia="仿宋_GB2312"/>
                <w:b/>
                <w:bCs/>
                <w:color w:val="FF0000"/>
                <w:szCs w:val="21"/>
              </w:rPr>
            </w:pPr>
          </w:p>
        </w:tc>
        <w:tc>
          <w:tcPr>
            <w:tcW w:w="324" w:type="pct"/>
            <w:vMerge w:val="continue"/>
            <w:shd w:val="clear" w:color="auto" w:fill="auto"/>
            <w:vAlign w:val="center"/>
          </w:tcPr>
          <w:p w14:paraId="6ACC5784">
            <w:pPr>
              <w:adjustRightInd w:val="0"/>
              <w:snapToGrid w:val="0"/>
              <w:spacing w:line="320" w:lineRule="exact"/>
              <w:jc w:val="center"/>
              <w:rPr>
                <w:rFonts w:eastAsia="仿宋_GB2312"/>
                <w:b/>
                <w:bCs/>
                <w:color w:val="FF0000"/>
                <w:szCs w:val="21"/>
              </w:rPr>
            </w:pPr>
          </w:p>
        </w:tc>
      </w:tr>
      <w:tr w14:paraId="244B51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340" w:hRule="atLeast"/>
          <w:jc w:val="center"/>
        </w:trPr>
        <w:tc>
          <w:tcPr>
            <w:tcW w:w="409" w:type="pct"/>
            <w:vMerge w:val="continue"/>
            <w:shd w:val="clear" w:color="auto" w:fill="auto"/>
            <w:vAlign w:val="center"/>
          </w:tcPr>
          <w:p w14:paraId="737C2585">
            <w:pPr>
              <w:adjustRightInd w:val="0"/>
              <w:snapToGrid w:val="0"/>
              <w:spacing w:line="320" w:lineRule="exact"/>
              <w:jc w:val="center"/>
              <w:rPr>
                <w:rFonts w:eastAsia="仿宋_GB2312"/>
                <w:b/>
                <w:bCs/>
                <w:color w:val="FF0000"/>
                <w:szCs w:val="21"/>
              </w:rPr>
            </w:pPr>
          </w:p>
        </w:tc>
        <w:tc>
          <w:tcPr>
            <w:tcW w:w="586" w:type="pct"/>
            <w:vMerge w:val="continue"/>
            <w:shd w:val="clear" w:color="auto" w:fill="auto"/>
            <w:vAlign w:val="center"/>
          </w:tcPr>
          <w:p w14:paraId="7CB84FDB">
            <w:pPr>
              <w:adjustRightInd w:val="0"/>
              <w:snapToGrid w:val="0"/>
              <w:spacing w:line="320" w:lineRule="exact"/>
              <w:jc w:val="center"/>
              <w:rPr>
                <w:rFonts w:eastAsia="仿宋_GB2312"/>
                <w:b/>
                <w:bCs/>
                <w:color w:val="FF0000"/>
                <w:szCs w:val="21"/>
              </w:rPr>
            </w:pPr>
          </w:p>
        </w:tc>
        <w:tc>
          <w:tcPr>
            <w:tcW w:w="820" w:type="pct"/>
            <w:shd w:val="clear" w:color="auto" w:fill="auto"/>
            <w:vAlign w:val="center"/>
          </w:tcPr>
          <w:p w14:paraId="45DC7E2B">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color w:val="auto"/>
                <w:szCs w:val="21"/>
              </w:rPr>
              <w:t>环己烷</w:t>
            </w:r>
          </w:p>
        </w:tc>
        <w:tc>
          <w:tcPr>
            <w:tcW w:w="492" w:type="pct"/>
            <w:shd w:val="clear" w:color="auto" w:fill="auto"/>
            <w:vAlign w:val="center"/>
          </w:tcPr>
          <w:p w14:paraId="36E109F8">
            <w:pPr>
              <w:adjustRightInd w:val="0"/>
              <w:snapToGrid w:val="0"/>
              <w:spacing w:line="320" w:lineRule="exact"/>
              <w:jc w:val="center"/>
              <w:rPr>
                <w:rFonts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1.82</w:t>
            </w:r>
          </w:p>
        </w:tc>
        <w:tc>
          <w:tcPr>
            <w:tcW w:w="506" w:type="pct"/>
            <w:shd w:val="clear" w:color="auto" w:fill="auto"/>
            <w:vAlign w:val="center"/>
          </w:tcPr>
          <w:p w14:paraId="72483A78">
            <w:pPr>
              <w:adjustRightInd w:val="0"/>
              <w:snapToGrid w:val="0"/>
              <w:spacing w:line="320" w:lineRule="exact"/>
              <w:jc w:val="center"/>
              <w:rPr>
                <w:rFonts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0.14</w:t>
            </w:r>
          </w:p>
        </w:tc>
        <w:tc>
          <w:tcPr>
            <w:tcW w:w="630" w:type="pct"/>
            <w:shd w:val="clear" w:color="auto" w:fill="auto"/>
            <w:vAlign w:val="center"/>
          </w:tcPr>
          <w:p w14:paraId="57F80374">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b/>
                <w:bCs/>
                <w:color w:val="auto"/>
                <w:szCs w:val="21"/>
              </w:rPr>
              <w:t>/</w:t>
            </w:r>
          </w:p>
        </w:tc>
        <w:tc>
          <w:tcPr>
            <w:tcW w:w="496" w:type="pct"/>
            <w:shd w:val="clear" w:color="auto" w:fill="auto"/>
            <w:vAlign w:val="center"/>
          </w:tcPr>
          <w:p w14:paraId="60A96EB4">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b/>
                <w:bCs/>
                <w:color w:val="auto"/>
                <w:szCs w:val="21"/>
              </w:rPr>
              <w:t>/</w:t>
            </w:r>
          </w:p>
        </w:tc>
        <w:tc>
          <w:tcPr>
            <w:tcW w:w="408" w:type="pct"/>
            <w:vMerge w:val="continue"/>
            <w:shd w:val="clear" w:color="auto" w:fill="auto"/>
            <w:vAlign w:val="center"/>
          </w:tcPr>
          <w:p w14:paraId="5F08C901">
            <w:pPr>
              <w:adjustRightInd w:val="0"/>
              <w:snapToGrid w:val="0"/>
              <w:spacing w:line="320" w:lineRule="exact"/>
              <w:jc w:val="center"/>
              <w:rPr>
                <w:rFonts w:eastAsia="仿宋_GB2312"/>
                <w:b/>
                <w:bCs/>
                <w:color w:val="FF0000"/>
                <w:szCs w:val="21"/>
              </w:rPr>
            </w:pPr>
          </w:p>
        </w:tc>
        <w:tc>
          <w:tcPr>
            <w:tcW w:w="326" w:type="pct"/>
            <w:vMerge w:val="continue"/>
            <w:shd w:val="clear" w:color="auto" w:fill="auto"/>
            <w:vAlign w:val="center"/>
          </w:tcPr>
          <w:p w14:paraId="6F140E7E">
            <w:pPr>
              <w:adjustRightInd w:val="0"/>
              <w:snapToGrid w:val="0"/>
              <w:spacing w:line="320" w:lineRule="exact"/>
              <w:jc w:val="center"/>
              <w:rPr>
                <w:rFonts w:eastAsia="仿宋_GB2312"/>
                <w:b/>
                <w:bCs/>
                <w:color w:val="FF0000"/>
                <w:szCs w:val="21"/>
              </w:rPr>
            </w:pPr>
          </w:p>
        </w:tc>
        <w:tc>
          <w:tcPr>
            <w:tcW w:w="324" w:type="pct"/>
            <w:vMerge w:val="continue"/>
            <w:shd w:val="clear" w:color="auto" w:fill="auto"/>
            <w:vAlign w:val="center"/>
          </w:tcPr>
          <w:p w14:paraId="6F7CDD86">
            <w:pPr>
              <w:adjustRightInd w:val="0"/>
              <w:snapToGrid w:val="0"/>
              <w:spacing w:line="320" w:lineRule="exact"/>
              <w:jc w:val="center"/>
              <w:rPr>
                <w:rFonts w:eastAsia="仿宋_GB2312"/>
                <w:b/>
                <w:bCs/>
                <w:color w:val="FF0000"/>
                <w:szCs w:val="21"/>
              </w:rPr>
            </w:pPr>
          </w:p>
        </w:tc>
      </w:tr>
      <w:tr w14:paraId="36AFA63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09" w:type="pct"/>
            <w:vMerge w:val="continue"/>
            <w:shd w:val="clear" w:color="auto" w:fill="auto"/>
            <w:vAlign w:val="center"/>
          </w:tcPr>
          <w:p w14:paraId="787A8E92">
            <w:pPr>
              <w:adjustRightInd w:val="0"/>
              <w:snapToGrid w:val="0"/>
              <w:spacing w:line="320" w:lineRule="exact"/>
              <w:jc w:val="center"/>
              <w:rPr>
                <w:rFonts w:eastAsia="仿宋_GB2312"/>
                <w:b/>
                <w:bCs/>
                <w:color w:val="FF0000"/>
                <w:szCs w:val="21"/>
              </w:rPr>
            </w:pPr>
          </w:p>
        </w:tc>
        <w:tc>
          <w:tcPr>
            <w:tcW w:w="586" w:type="pct"/>
            <w:vMerge w:val="continue"/>
            <w:shd w:val="clear" w:color="auto" w:fill="auto"/>
            <w:vAlign w:val="center"/>
          </w:tcPr>
          <w:p w14:paraId="10BC7F90">
            <w:pPr>
              <w:adjustRightInd w:val="0"/>
              <w:snapToGrid w:val="0"/>
              <w:spacing w:line="320" w:lineRule="exact"/>
              <w:jc w:val="center"/>
              <w:rPr>
                <w:rFonts w:eastAsia="仿宋_GB2312"/>
                <w:b/>
                <w:bCs/>
                <w:color w:val="FF0000"/>
                <w:szCs w:val="21"/>
              </w:rPr>
            </w:pPr>
          </w:p>
        </w:tc>
        <w:tc>
          <w:tcPr>
            <w:tcW w:w="820" w:type="pct"/>
            <w:shd w:val="clear" w:color="auto" w:fill="auto"/>
            <w:vAlign w:val="center"/>
          </w:tcPr>
          <w:p w14:paraId="2A7668FE">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color w:val="auto"/>
                <w:szCs w:val="21"/>
              </w:rPr>
              <w:t>环己酮</w:t>
            </w:r>
          </w:p>
        </w:tc>
        <w:tc>
          <w:tcPr>
            <w:tcW w:w="492" w:type="pct"/>
            <w:shd w:val="clear" w:color="auto" w:fill="auto"/>
            <w:vAlign w:val="center"/>
          </w:tcPr>
          <w:p w14:paraId="1BA69C29">
            <w:pPr>
              <w:adjustRightInd w:val="0"/>
              <w:snapToGrid w:val="0"/>
              <w:spacing w:line="320" w:lineRule="exact"/>
              <w:jc w:val="center"/>
              <w:rPr>
                <w:rFonts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2.88</w:t>
            </w:r>
          </w:p>
        </w:tc>
        <w:tc>
          <w:tcPr>
            <w:tcW w:w="506" w:type="pct"/>
            <w:shd w:val="clear" w:color="auto" w:fill="auto"/>
            <w:vAlign w:val="center"/>
          </w:tcPr>
          <w:p w14:paraId="61C19A19">
            <w:pPr>
              <w:adjustRightInd w:val="0"/>
              <w:snapToGrid w:val="0"/>
              <w:spacing w:line="320" w:lineRule="exact"/>
              <w:jc w:val="center"/>
              <w:rPr>
                <w:rFonts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0.23</w:t>
            </w:r>
          </w:p>
        </w:tc>
        <w:tc>
          <w:tcPr>
            <w:tcW w:w="630" w:type="pct"/>
            <w:shd w:val="clear" w:color="auto" w:fill="auto"/>
            <w:vAlign w:val="center"/>
          </w:tcPr>
          <w:p w14:paraId="5B419CAD">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b/>
                <w:bCs/>
                <w:color w:val="auto"/>
                <w:szCs w:val="21"/>
              </w:rPr>
              <w:t>/</w:t>
            </w:r>
          </w:p>
        </w:tc>
        <w:tc>
          <w:tcPr>
            <w:tcW w:w="496" w:type="pct"/>
            <w:shd w:val="clear" w:color="auto" w:fill="auto"/>
            <w:vAlign w:val="center"/>
          </w:tcPr>
          <w:p w14:paraId="7F2492C1">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b/>
                <w:bCs/>
                <w:color w:val="auto"/>
                <w:szCs w:val="21"/>
              </w:rPr>
              <w:t>/</w:t>
            </w:r>
          </w:p>
        </w:tc>
        <w:tc>
          <w:tcPr>
            <w:tcW w:w="408" w:type="pct"/>
            <w:vMerge w:val="continue"/>
            <w:shd w:val="clear" w:color="auto" w:fill="auto"/>
            <w:vAlign w:val="center"/>
          </w:tcPr>
          <w:p w14:paraId="391EE442">
            <w:pPr>
              <w:adjustRightInd w:val="0"/>
              <w:snapToGrid w:val="0"/>
              <w:spacing w:line="320" w:lineRule="exact"/>
              <w:jc w:val="center"/>
              <w:rPr>
                <w:rFonts w:eastAsia="仿宋_GB2312"/>
                <w:b/>
                <w:bCs/>
                <w:color w:val="FF0000"/>
                <w:szCs w:val="21"/>
              </w:rPr>
            </w:pPr>
          </w:p>
        </w:tc>
        <w:tc>
          <w:tcPr>
            <w:tcW w:w="326" w:type="pct"/>
            <w:vMerge w:val="continue"/>
            <w:shd w:val="clear" w:color="auto" w:fill="auto"/>
            <w:vAlign w:val="center"/>
          </w:tcPr>
          <w:p w14:paraId="7127926A">
            <w:pPr>
              <w:adjustRightInd w:val="0"/>
              <w:snapToGrid w:val="0"/>
              <w:spacing w:line="320" w:lineRule="exact"/>
              <w:jc w:val="center"/>
              <w:rPr>
                <w:rFonts w:eastAsia="仿宋_GB2312"/>
                <w:b/>
                <w:bCs/>
                <w:color w:val="FF0000"/>
                <w:szCs w:val="21"/>
              </w:rPr>
            </w:pPr>
          </w:p>
        </w:tc>
        <w:tc>
          <w:tcPr>
            <w:tcW w:w="324" w:type="pct"/>
            <w:vMerge w:val="continue"/>
            <w:shd w:val="clear" w:color="auto" w:fill="auto"/>
            <w:vAlign w:val="center"/>
          </w:tcPr>
          <w:p w14:paraId="1628CF91">
            <w:pPr>
              <w:adjustRightInd w:val="0"/>
              <w:snapToGrid w:val="0"/>
              <w:spacing w:line="320" w:lineRule="exact"/>
              <w:jc w:val="center"/>
              <w:rPr>
                <w:rFonts w:eastAsia="仿宋_GB2312"/>
                <w:b/>
                <w:bCs/>
                <w:color w:val="FF0000"/>
                <w:szCs w:val="21"/>
              </w:rPr>
            </w:pPr>
          </w:p>
        </w:tc>
      </w:tr>
      <w:tr w14:paraId="37B92C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09" w:type="pct"/>
            <w:vMerge w:val="continue"/>
            <w:shd w:val="clear" w:color="auto" w:fill="auto"/>
            <w:vAlign w:val="center"/>
          </w:tcPr>
          <w:p w14:paraId="0B899E0D">
            <w:pPr>
              <w:adjustRightInd w:val="0"/>
              <w:snapToGrid w:val="0"/>
              <w:spacing w:line="320" w:lineRule="exact"/>
              <w:jc w:val="center"/>
              <w:rPr>
                <w:rFonts w:eastAsia="仿宋_GB2312"/>
                <w:b/>
                <w:bCs/>
                <w:color w:val="FF0000"/>
                <w:szCs w:val="21"/>
              </w:rPr>
            </w:pPr>
          </w:p>
        </w:tc>
        <w:tc>
          <w:tcPr>
            <w:tcW w:w="586" w:type="pct"/>
            <w:vMerge w:val="continue"/>
            <w:shd w:val="clear" w:color="auto" w:fill="auto"/>
            <w:vAlign w:val="center"/>
          </w:tcPr>
          <w:p w14:paraId="39810010">
            <w:pPr>
              <w:adjustRightInd w:val="0"/>
              <w:snapToGrid w:val="0"/>
              <w:spacing w:line="320" w:lineRule="exact"/>
              <w:jc w:val="center"/>
              <w:rPr>
                <w:rFonts w:eastAsia="仿宋_GB2312"/>
                <w:b/>
                <w:bCs/>
                <w:color w:val="FF0000"/>
                <w:szCs w:val="21"/>
              </w:rPr>
            </w:pPr>
          </w:p>
        </w:tc>
        <w:tc>
          <w:tcPr>
            <w:tcW w:w="820" w:type="pct"/>
            <w:shd w:val="clear" w:color="auto" w:fill="auto"/>
            <w:vAlign w:val="center"/>
          </w:tcPr>
          <w:p w14:paraId="24EC2727">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color w:val="auto"/>
                <w:szCs w:val="21"/>
              </w:rPr>
              <w:t>二氯乙烷</w:t>
            </w:r>
          </w:p>
        </w:tc>
        <w:tc>
          <w:tcPr>
            <w:tcW w:w="492" w:type="pct"/>
            <w:shd w:val="clear" w:color="auto" w:fill="auto"/>
            <w:vAlign w:val="center"/>
          </w:tcPr>
          <w:p w14:paraId="12A6C5A2">
            <w:pPr>
              <w:adjustRightInd w:val="0"/>
              <w:snapToGrid w:val="0"/>
              <w:spacing w:line="320" w:lineRule="exact"/>
              <w:jc w:val="center"/>
              <w:rPr>
                <w:rFonts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3.17</w:t>
            </w:r>
          </w:p>
        </w:tc>
        <w:tc>
          <w:tcPr>
            <w:tcW w:w="506" w:type="pct"/>
            <w:shd w:val="clear" w:color="auto" w:fill="auto"/>
            <w:vAlign w:val="center"/>
          </w:tcPr>
          <w:p w14:paraId="22F88FC0">
            <w:pPr>
              <w:adjustRightInd w:val="0"/>
              <w:snapToGrid w:val="0"/>
              <w:spacing w:line="320" w:lineRule="exact"/>
              <w:jc w:val="center"/>
              <w:rPr>
                <w:rFonts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0.25</w:t>
            </w:r>
          </w:p>
        </w:tc>
        <w:tc>
          <w:tcPr>
            <w:tcW w:w="630" w:type="pct"/>
            <w:shd w:val="clear" w:color="auto" w:fill="auto"/>
            <w:vAlign w:val="center"/>
          </w:tcPr>
          <w:p w14:paraId="34AF7F8F">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color w:val="auto"/>
                <w:szCs w:val="21"/>
              </w:rPr>
              <w:t>7</w:t>
            </w:r>
          </w:p>
        </w:tc>
        <w:tc>
          <w:tcPr>
            <w:tcW w:w="496" w:type="pct"/>
            <w:shd w:val="clear" w:color="auto" w:fill="auto"/>
            <w:vAlign w:val="center"/>
          </w:tcPr>
          <w:p w14:paraId="4BBD5D60">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color w:val="auto"/>
                <w:szCs w:val="21"/>
              </w:rPr>
              <w:t>8.1</w:t>
            </w:r>
          </w:p>
        </w:tc>
        <w:tc>
          <w:tcPr>
            <w:tcW w:w="408" w:type="pct"/>
            <w:vMerge w:val="continue"/>
            <w:shd w:val="clear" w:color="auto" w:fill="auto"/>
            <w:vAlign w:val="center"/>
          </w:tcPr>
          <w:p w14:paraId="3AB41034">
            <w:pPr>
              <w:adjustRightInd w:val="0"/>
              <w:snapToGrid w:val="0"/>
              <w:spacing w:line="320" w:lineRule="exact"/>
              <w:jc w:val="center"/>
              <w:rPr>
                <w:rFonts w:eastAsia="仿宋_GB2312"/>
                <w:b/>
                <w:bCs/>
                <w:color w:val="FF0000"/>
                <w:szCs w:val="21"/>
              </w:rPr>
            </w:pPr>
          </w:p>
        </w:tc>
        <w:tc>
          <w:tcPr>
            <w:tcW w:w="326" w:type="pct"/>
            <w:vMerge w:val="continue"/>
            <w:shd w:val="clear" w:color="auto" w:fill="auto"/>
            <w:vAlign w:val="center"/>
          </w:tcPr>
          <w:p w14:paraId="28DE7D0C">
            <w:pPr>
              <w:adjustRightInd w:val="0"/>
              <w:snapToGrid w:val="0"/>
              <w:spacing w:line="320" w:lineRule="exact"/>
              <w:jc w:val="center"/>
              <w:rPr>
                <w:rFonts w:eastAsia="仿宋_GB2312"/>
                <w:b/>
                <w:bCs/>
                <w:color w:val="FF0000"/>
                <w:szCs w:val="21"/>
              </w:rPr>
            </w:pPr>
          </w:p>
        </w:tc>
        <w:tc>
          <w:tcPr>
            <w:tcW w:w="324" w:type="pct"/>
            <w:vMerge w:val="continue"/>
            <w:shd w:val="clear" w:color="auto" w:fill="auto"/>
            <w:vAlign w:val="center"/>
          </w:tcPr>
          <w:p w14:paraId="7A700D3F">
            <w:pPr>
              <w:adjustRightInd w:val="0"/>
              <w:snapToGrid w:val="0"/>
              <w:spacing w:line="320" w:lineRule="exact"/>
              <w:jc w:val="center"/>
              <w:rPr>
                <w:rFonts w:eastAsia="仿宋_GB2312"/>
                <w:b/>
                <w:bCs/>
                <w:color w:val="FF0000"/>
                <w:szCs w:val="21"/>
              </w:rPr>
            </w:pPr>
          </w:p>
        </w:tc>
      </w:tr>
      <w:tr w14:paraId="55F695F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09" w:type="pct"/>
            <w:vMerge w:val="continue"/>
            <w:shd w:val="clear" w:color="auto" w:fill="auto"/>
            <w:vAlign w:val="center"/>
          </w:tcPr>
          <w:p w14:paraId="55EF61C2">
            <w:pPr>
              <w:adjustRightInd w:val="0"/>
              <w:snapToGrid w:val="0"/>
              <w:spacing w:line="320" w:lineRule="exact"/>
              <w:jc w:val="center"/>
              <w:rPr>
                <w:rFonts w:eastAsia="仿宋_GB2312"/>
                <w:b/>
                <w:bCs/>
                <w:color w:val="FF0000"/>
                <w:szCs w:val="21"/>
              </w:rPr>
            </w:pPr>
          </w:p>
        </w:tc>
        <w:tc>
          <w:tcPr>
            <w:tcW w:w="586" w:type="pct"/>
            <w:vMerge w:val="continue"/>
            <w:shd w:val="clear" w:color="auto" w:fill="auto"/>
            <w:vAlign w:val="center"/>
          </w:tcPr>
          <w:p w14:paraId="5B863A53">
            <w:pPr>
              <w:adjustRightInd w:val="0"/>
              <w:snapToGrid w:val="0"/>
              <w:spacing w:line="320" w:lineRule="exact"/>
              <w:jc w:val="center"/>
              <w:rPr>
                <w:rFonts w:eastAsia="仿宋_GB2312"/>
                <w:b/>
                <w:bCs/>
                <w:color w:val="FF0000"/>
                <w:szCs w:val="21"/>
              </w:rPr>
            </w:pPr>
          </w:p>
        </w:tc>
        <w:tc>
          <w:tcPr>
            <w:tcW w:w="820" w:type="pct"/>
            <w:shd w:val="clear" w:color="auto" w:fill="auto"/>
            <w:vAlign w:val="center"/>
          </w:tcPr>
          <w:p w14:paraId="47785CBE">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等线"/>
                <w:color w:val="auto"/>
                <w:szCs w:val="21"/>
              </w:rPr>
              <w:t>DMSO</w:t>
            </w:r>
          </w:p>
        </w:tc>
        <w:tc>
          <w:tcPr>
            <w:tcW w:w="492" w:type="pct"/>
            <w:shd w:val="clear" w:color="auto" w:fill="auto"/>
            <w:vAlign w:val="center"/>
          </w:tcPr>
          <w:p w14:paraId="6F8AAFA6">
            <w:pPr>
              <w:adjustRightInd w:val="0"/>
              <w:snapToGrid w:val="0"/>
              <w:spacing w:line="320" w:lineRule="exact"/>
              <w:jc w:val="center"/>
              <w:rPr>
                <w:rFonts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2.52</w:t>
            </w:r>
          </w:p>
        </w:tc>
        <w:tc>
          <w:tcPr>
            <w:tcW w:w="506" w:type="pct"/>
            <w:shd w:val="clear" w:color="auto" w:fill="auto"/>
            <w:vAlign w:val="center"/>
          </w:tcPr>
          <w:p w14:paraId="36817036">
            <w:pPr>
              <w:adjustRightInd w:val="0"/>
              <w:snapToGrid w:val="0"/>
              <w:spacing w:line="320" w:lineRule="exact"/>
              <w:jc w:val="center"/>
              <w:rPr>
                <w:rFonts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0.20</w:t>
            </w:r>
          </w:p>
        </w:tc>
        <w:tc>
          <w:tcPr>
            <w:tcW w:w="630" w:type="pct"/>
            <w:shd w:val="clear" w:color="auto" w:fill="auto"/>
            <w:vAlign w:val="center"/>
          </w:tcPr>
          <w:p w14:paraId="1EBA99AB">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b/>
                <w:bCs/>
                <w:color w:val="auto"/>
                <w:szCs w:val="21"/>
              </w:rPr>
              <w:t>/</w:t>
            </w:r>
          </w:p>
        </w:tc>
        <w:tc>
          <w:tcPr>
            <w:tcW w:w="496" w:type="pct"/>
            <w:shd w:val="clear" w:color="auto" w:fill="auto"/>
            <w:vAlign w:val="center"/>
          </w:tcPr>
          <w:p w14:paraId="77A5E49F">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b/>
                <w:bCs/>
                <w:color w:val="auto"/>
                <w:szCs w:val="21"/>
              </w:rPr>
              <w:t>/</w:t>
            </w:r>
          </w:p>
        </w:tc>
        <w:tc>
          <w:tcPr>
            <w:tcW w:w="408" w:type="pct"/>
            <w:vMerge w:val="continue"/>
            <w:shd w:val="clear" w:color="auto" w:fill="auto"/>
            <w:vAlign w:val="center"/>
          </w:tcPr>
          <w:p w14:paraId="3240AE1C">
            <w:pPr>
              <w:adjustRightInd w:val="0"/>
              <w:snapToGrid w:val="0"/>
              <w:spacing w:line="320" w:lineRule="exact"/>
              <w:jc w:val="center"/>
              <w:rPr>
                <w:rFonts w:eastAsia="仿宋_GB2312"/>
                <w:b/>
                <w:bCs/>
                <w:color w:val="FF0000"/>
                <w:szCs w:val="21"/>
              </w:rPr>
            </w:pPr>
          </w:p>
        </w:tc>
        <w:tc>
          <w:tcPr>
            <w:tcW w:w="326" w:type="pct"/>
            <w:vMerge w:val="continue"/>
            <w:shd w:val="clear" w:color="auto" w:fill="auto"/>
            <w:vAlign w:val="center"/>
          </w:tcPr>
          <w:p w14:paraId="766435DF">
            <w:pPr>
              <w:adjustRightInd w:val="0"/>
              <w:snapToGrid w:val="0"/>
              <w:spacing w:line="320" w:lineRule="exact"/>
              <w:jc w:val="center"/>
              <w:rPr>
                <w:rFonts w:eastAsia="仿宋_GB2312"/>
                <w:b/>
                <w:bCs/>
                <w:color w:val="FF0000"/>
                <w:szCs w:val="21"/>
              </w:rPr>
            </w:pPr>
          </w:p>
        </w:tc>
        <w:tc>
          <w:tcPr>
            <w:tcW w:w="324" w:type="pct"/>
            <w:vMerge w:val="continue"/>
            <w:shd w:val="clear" w:color="auto" w:fill="auto"/>
            <w:vAlign w:val="center"/>
          </w:tcPr>
          <w:p w14:paraId="7D7393B6">
            <w:pPr>
              <w:adjustRightInd w:val="0"/>
              <w:snapToGrid w:val="0"/>
              <w:spacing w:line="320" w:lineRule="exact"/>
              <w:jc w:val="center"/>
              <w:rPr>
                <w:rFonts w:eastAsia="仿宋_GB2312"/>
                <w:b/>
                <w:bCs/>
                <w:color w:val="FF0000"/>
                <w:szCs w:val="21"/>
              </w:rPr>
            </w:pPr>
          </w:p>
        </w:tc>
      </w:tr>
      <w:tr w14:paraId="6A425B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09" w:type="pct"/>
            <w:vMerge w:val="continue"/>
            <w:shd w:val="clear" w:color="auto" w:fill="auto"/>
            <w:vAlign w:val="center"/>
          </w:tcPr>
          <w:p w14:paraId="6FE31CE2">
            <w:pPr>
              <w:adjustRightInd w:val="0"/>
              <w:snapToGrid w:val="0"/>
              <w:spacing w:line="320" w:lineRule="exact"/>
              <w:jc w:val="center"/>
              <w:rPr>
                <w:rFonts w:eastAsia="仿宋_GB2312"/>
                <w:b/>
                <w:bCs/>
                <w:color w:val="FF0000"/>
                <w:szCs w:val="21"/>
              </w:rPr>
            </w:pPr>
          </w:p>
        </w:tc>
        <w:tc>
          <w:tcPr>
            <w:tcW w:w="586" w:type="pct"/>
            <w:vMerge w:val="continue"/>
            <w:shd w:val="clear" w:color="auto" w:fill="auto"/>
            <w:vAlign w:val="center"/>
          </w:tcPr>
          <w:p w14:paraId="76D7FE3D">
            <w:pPr>
              <w:adjustRightInd w:val="0"/>
              <w:snapToGrid w:val="0"/>
              <w:spacing w:line="320" w:lineRule="exact"/>
              <w:jc w:val="center"/>
              <w:rPr>
                <w:rFonts w:eastAsia="仿宋_GB2312"/>
                <w:b/>
                <w:bCs/>
                <w:color w:val="FF0000"/>
                <w:szCs w:val="21"/>
              </w:rPr>
            </w:pPr>
          </w:p>
        </w:tc>
        <w:tc>
          <w:tcPr>
            <w:tcW w:w="820" w:type="pct"/>
            <w:shd w:val="clear" w:color="auto" w:fill="auto"/>
            <w:vAlign w:val="center"/>
          </w:tcPr>
          <w:p w14:paraId="574158FA">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color w:val="auto"/>
                <w:szCs w:val="21"/>
              </w:rPr>
              <w:t>丁醇</w:t>
            </w:r>
          </w:p>
        </w:tc>
        <w:tc>
          <w:tcPr>
            <w:tcW w:w="492" w:type="pct"/>
            <w:shd w:val="clear" w:color="auto" w:fill="auto"/>
            <w:vAlign w:val="center"/>
          </w:tcPr>
          <w:p w14:paraId="00FF618A">
            <w:pPr>
              <w:adjustRightInd w:val="0"/>
              <w:snapToGrid w:val="0"/>
              <w:spacing w:line="320" w:lineRule="exact"/>
              <w:jc w:val="center"/>
              <w:rPr>
                <w:rFonts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0.67</w:t>
            </w:r>
          </w:p>
        </w:tc>
        <w:tc>
          <w:tcPr>
            <w:tcW w:w="506" w:type="pct"/>
            <w:shd w:val="clear" w:color="auto" w:fill="auto"/>
            <w:vAlign w:val="center"/>
          </w:tcPr>
          <w:p w14:paraId="604DA221">
            <w:pPr>
              <w:adjustRightInd w:val="0"/>
              <w:snapToGrid w:val="0"/>
              <w:spacing w:line="320" w:lineRule="exact"/>
              <w:jc w:val="center"/>
              <w:rPr>
                <w:rFonts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0.05</w:t>
            </w:r>
          </w:p>
        </w:tc>
        <w:tc>
          <w:tcPr>
            <w:tcW w:w="630" w:type="pct"/>
            <w:shd w:val="clear" w:color="auto" w:fill="auto"/>
            <w:vAlign w:val="center"/>
          </w:tcPr>
          <w:p w14:paraId="1D51B245">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color w:val="auto"/>
                <w:szCs w:val="21"/>
              </w:rPr>
              <w:t>40</w:t>
            </w:r>
          </w:p>
        </w:tc>
        <w:tc>
          <w:tcPr>
            <w:tcW w:w="496" w:type="pct"/>
            <w:shd w:val="clear" w:color="auto" w:fill="auto"/>
            <w:vAlign w:val="center"/>
          </w:tcPr>
          <w:p w14:paraId="6230BDAE">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color w:val="auto"/>
                <w:szCs w:val="21"/>
              </w:rPr>
              <w:t>5.4</w:t>
            </w:r>
          </w:p>
        </w:tc>
        <w:tc>
          <w:tcPr>
            <w:tcW w:w="408" w:type="pct"/>
            <w:vMerge w:val="continue"/>
            <w:shd w:val="clear" w:color="auto" w:fill="auto"/>
            <w:vAlign w:val="center"/>
          </w:tcPr>
          <w:p w14:paraId="02E9BA65">
            <w:pPr>
              <w:adjustRightInd w:val="0"/>
              <w:snapToGrid w:val="0"/>
              <w:spacing w:line="320" w:lineRule="exact"/>
              <w:jc w:val="center"/>
              <w:rPr>
                <w:rFonts w:eastAsia="仿宋_GB2312"/>
                <w:b/>
                <w:bCs/>
                <w:color w:val="FF0000"/>
                <w:szCs w:val="21"/>
              </w:rPr>
            </w:pPr>
          </w:p>
        </w:tc>
        <w:tc>
          <w:tcPr>
            <w:tcW w:w="326" w:type="pct"/>
            <w:vMerge w:val="continue"/>
            <w:shd w:val="clear" w:color="auto" w:fill="auto"/>
            <w:vAlign w:val="center"/>
          </w:tcPr>
          <w:p w14:paraId="5BA063AC">
            <w:pPr>
              <w:adjustRightInd w:val="0"/>
              <w:snapToGrid w:val="0"/>
              <w:spacing w:line="320" w:lineRule="exact"/>
              <w:jc w:val="center"/>
              <w:rPr>
                <w:rFonts w:eastAsia="仿宋_GB2312"/>
                <w:b/>
                <w:bCs/>
                <w:color w:val="FF0000"/>
                <w:szCs w:val="21"/>
              </w:rPr>
            </w:pPr>
          </w:p>
        </w:tc>
        <w:tc>
          <w:tcPr>
            <w:tcW w:w="324" w:type="pct"/>
            <w:vMerge w:val="continue"/>
            <w:shd w:val="clear" w:color="auto" w:fill="auto"/>
            <w:vAlign w:val="center"/>
          </w:tcPr>
          <w:p w14:paraId="331C930E">
            <w:pPr>
              <w:adjustRightInd w:val="0"/>
              <w:snapToGrid w:val="0"/>
              <w:spacing w:line="320" w:lineRule="exact"/>
              <w:jc w:val="center"/>
              <w:rPr>
                <w:rFonts w:eastAsia="仿宋_GB2312"/>
                <w:b/>
                <w:bCs/>
                <w:color w:val="FF0000"/>
                <w:szCs w:val="21"/>
              </w:rPr>
            </w:pPr>
          </w:p>
        </w:tc>
      </w:tr>
      <w:tr w14:paraId="784CEC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09" w:type="pct"/>
            <w:vMerge w:val="continue"/>
            <w:shd w:val="clear" w:color="auto" w:fill="auto"/>
            <w:vAlign w:val="center"/>
          </w:tcPr>
          <w:p w14:paraId="0EB18893">
            <w:pPr>
              <w:adjustRightInd w:val="0"/>
              <w:snapToGrid w:val="0"/>
              <w:spacing w:line="320" w:lineRule="exact"/>
              <w:jc w:val="center"/>
              <w:rPr>
                <w:rFonts w:eastAsia="仿宋_GB2312"/>
                <w:b/>
                <w:bCs/>
                <w:color w:val="FF0000"/>
                <w:szCs w:val="21"/>
              </w:rPr>
            </w:pPr>
          </w:p>
        </w:tc>
        <w:tc>
          <w:tcPr>
            <w:tcW w:w="586" w:type="pct"/>
            <w:vMerge w:val="continue"/>
            <w:shd w:val="clear" w:color="auto" w:fill="auto"/>
            <w:vAlign w:val="center"/>
          </w:tcPr>
          <w:p w14:paraId="4BD12919">
            <w:pPr>
              <w:adjustRightInd w:val="0"/>
              <w:snapToGrid w:val="0"/>
              <w:spacing w:line="320" w:lineRule="exact"/>
              <w:jc w:val="center"/>
              <w:rPr>
                <w:rFonts w:eastAsia="仿宋_GB2312"/>
                <w:b/>
                <w:bCs/>
                <w:color w:val="FF0000"/>
                <w:szCs w:val="21"/>
              </w:rPr>
            </w:pPr>
          </w:p>
        </w:tc>
        <w:tc>
          <w:tcPr>
            <w:tcW w:w="820" w:type="pct"/>
            <w:shd w:val="clear" w:color="auto" w:fill="auto"/>
            <w:vAlign w:val="center"/>
          </w:tcPr>
          <w:p w14:paraId="322278AD">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color w:val="auto"/>
                <w:szCs w:val="21"/>
              </w:rPr>
              <w:t>辛醇</w:t>
            </w:r>
          </w:p>
        </w:tc>
        <w:tc>
          <w:tcPr>
            <w:tcW w:w="492" w:type="pct"/>
            <w:shd w:val="clear" w:color="auto" w:fill="auto"/>
            <w:vAlign w:val="center"/>
          </w:tcPr>
          <w:p w14:paraId="6F7C6175">
            <w:pPr>
              <w:adjustRightInd w:val="0"/>
              <w:snapToGrid w:val="0"/>
              <w:spacing w:line="320" w:lineRule="exact"/>
              <w:jc w:val="center"/>
              <w:rPr>
                <w:rFonts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0.73</w:t>
            </w:r>
          </w:p>
        </w:tc>
        <w:tc>
          <w:tcPr>
            <w:tcW w:w="506" w:type="pct"/>
            <w:shd w:val="clear" w:color="auto" w:fill="auto"/>
            <w:vAlign w:val="center"/>
          </w:tcPr>
          <w:p w14:paraId="11B3B2D4">
            <w:pPr>
              <w:adjustRightInd w:val="0"/>
              <w:snapToGrid w:val="0"/>
              <w:spacing w:line="320" w:lineRule="exact"/>
              <w:jc w:val="center"/>
              <w:rPr>
                <w:rFonts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0.06</w:t>
            </w:r>
          </w:p>
        </w:tc>
        <w:tc>
          <w:tcPr>
            <w:tcW w:w="630" w:type="pct"/>
            <w:shd w:val="clear" w:color="auto" w:fill="auto"/>
            <w:vAlign w:val="center"/>
          </w:tcPr>
          <w:p w14:paraId="35E02317">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b/>
                <w:bCs/>
                <w:color w:val="auto"/>
                <w:szCs w:val="21"/>
              </w:rPr>
              <w:t>/</w:t>
            </w:r>
          </w:p>
        </w:tc>
        <w:tc>
          <w:tcPr>
            <w:tcW w:w="496" w:type="pct"/>
            <w:shd w:val="clear" w:color="auto" w:fill="auto"/>
            <w:vAlign w:val="center"/>
          </w:tcPr>
          <w:p w14:paraId="72AF0C68">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b/>
                <w:bCs/>
                <w:color w:val="auto"/>
                <w:szCs w:val="21"/>
              </w:rPr>
              <w:t>/</w:t>
            </w:r>
          </w:p>
        </w:tc>
        <w:tc>
          <w:tcPr>
            <w:tcW w:w="408" w:type="pct"/>
            <w:vMerge w:val="continue"/>
            <w:shd w:val="clear" w:color="auto" w:fill="auto"/>
            <w:vAlign w:val="center"/>
          </w:tcPr>
          <w:p w14:paraId="407BF6EE">
            <w:pPr>
              <w:adjustRightInd w:val="0"/>
              <w:snapToGrid w:val="0"/>
              <w:spacing w:line="320" w:lineRule="exact"/>
              <w:jc w:val="center"/>
              <w:rPr>
                <w:rFonts w:eastAsia="仿宋_GB2312"/>
                <w:b/>
                <w:bCs/>
                <w:color w:val="FF0000"/>
                <w:szCs w:val="21"/>
              </w:rPr>
            </w:pPr>
          </w:p>
        </w:tc>
        <w:tc>
          <w:tcPr>
            <w:tcW w:w="326" w:type="pct"/>
            <w:vMerge w:val="continue"/>
            <w:shd w:val="clear" w:color="auto" w:fill="auto"/>
            <w:vAlign w:val="center"/>
          </w:tcPr>
          <w:p w14:paraId="6EBCD9C1">
            <w:pPr>
              <w:adjustRightInd w:val="0"/>
              <w:snapToGrid w:val="0"/>
              <w:spacing w:line="320" w:lineRule="exact"/>
              <w:jc w:val="center"/>
              <w:rPr>
                <w:rFonts w:eastAsia="仿宋_GB2312"/>
                <w:b/>
                <w:bCs/>
                <w:color w:val="FF0000"/>
                <w:szCs w:val="21"/>
              </w:rPr>
            </w:pPr>
          </w:p>
        </w:tc>
        <w:tc>
          <w:tcPr>
            <w:tcW w:w="324" w:type="pct"/>
            <w:vMerge w:val="continue"/>
            <w:shd w:val="clear" w:color="auto" w:fill="auto"/>
            <w:vAlign w:val="center"/>
          </w:tcPr>
          <w:p w14:paraId="5DFAC463">
            <w:pPr>
              <w:adjustRightInd w:val="0"/>
              <w:snapToGrid w:val="0"/>
              <w:spacing w:line="320" w:lineRule="exact"/>
              <w:jc w:val="center"/>
              <w:rPr>
                <w:rFonts w:eastAsia="仿宋_GB2312"/>
                <w:b/>
                <w:bCs/>
                <w:color w:val="FF0000"/>
                <w:szCs w:val="21"/>
              </w:rPr>
            </w:pPr>
          </w:p>
        </w:tc>
      </w:tr>
      <w:tr w14:paraId="1212E1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09" w:type="pct"/>
            <w:vMerge w:val="continue"/>
            <w:shd w:val="clear" w:color="auto" w:fill="auto"/>
            <w:vAlign w:val="center"/>
          </w:tcPr>
          <w:p w14:paraId="3A2517FD">
            <w:pPr>
              <w:adjustRightInd w:val="0"/>
              <w:snapToGrid w:val="0"/>
              <w:spacing w:line="320" w:lineRule="exact"/>
              <w:jc w:val="center"/>
              <w:rPr>
                <w:rFonts w:eastAsia="仿宋_GB2312"/>
                <w:b/>
                <w:bCs/>
                <w:color w:val="FF0000"/>
                <w:szCs w:val="21"/>
              </w:rPr>
            </w:pPr>
          </w:p>
        </w:tc>
        <w:tc>
          <w:tcPr>
            <w:tcW w:w="586" w:type="pct"/>
            <w:vMerge w:val="continue"/>
            <w:shd w:val="clear" w:color="auto" w:fill="auto"/>
            <w:vAlign w:val="center"/>
          </w:tcPr>
          <w:p w14:paraId="3C1622A5">
            <w:pPr>
              <w:adjustRightInd w:val="0"/>
              <w:snapToGrid w:val="0"/>
              <w:spacing w:line="320" w:lineRule="exact"/>
              <w:jc w:val="center"/>
              <w:rPr>
                <w:rFonts w:eastAsia="仿宋_GB2312"/>
                <w:b/>
                <w:bCs/>
                <w:color w:val="FF0000"/>
                <w:szCs w:val="21"/>
              </w:rPr>
            </w:pPr>
          </w:p>
        </w:tc>
        <w:tc>
          <w:tcPr>
            <w:tcW w:w="820" w:type="pct"/>
            <w:shd w:val="clear" w:color="auto" w:fill="auto"/>
            <w:vAlign w:val="center"/>
          </w:tcPr>
          <w:p w14:paraId="383BF6B3">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color w:val="auto"/>
                <w:szCs w:val="21"/>
              </w:rPr>
              <w:t>碳九</w:t>
            </w:r>
          </w:p>
        </w:tc>
        <w:tc>
          <w:tcPr>
            <w:tcW w:w="492" w:type="pct"/>
            <w:shd w:val="clear" w:color="auto" w:fill="auto"/>
            <w:vAlign w:val="center"/>
          </w:tcPr>
          <w:p w14:paraId="6F73F3F0">
            <w:pPr>
              <w:adjustRightInd w:val="0"/>
              <w:snapToGrid w:val="0"/>
              <w:spacing w:line="320" w:lineRule="exact"/>
              <w:jc w:val="center"/>
              <w:rPr>
                <w:rFonts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0.95</w:t>
            </w:r>
          </w:p>
        </w:tc>
        <w:tc>
          <w:tcPr>
            <w:tcW w:w="506" w:type="pct"/>
            <w:shd w:val="clear" w:color="auto" w:fill="auto"/>
            <w:vAlign w:val="center"/>
          </w:tcPr>
          <w:p w14:paraId="4E621FE5">
            <w:pPr>
              <w:adjustRightInd w:val="0"/>
              <w:snapToGrid w:val="0"/>
              <w:spacing w:line="320" w:lineRule="exact"/>
              <w:jc w:val="center"/>
              <w:rPr>
                <w:rFonts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0.08</w:t>
            </w:r>
          </w:p>
        </w:tc>
        <w:tc>
          <w:tcPr>
            <w:tcW w:w="630" w:type="pct"/>
            <w:shd w:val="clear" w:color="auto" w:fill="auto"/>
            <w:vAlign w:val="center"/>
          </w:tcPr>
          <w:p w14:paraId="256E68A3">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b/>
                <w:bCs/>
                <w:color w:val="auto"/>
                <w:szCs w:val="21"/>
              </w:rPr>
              <w:t>/</w:t>
            </w:r>
          </w:p>
        </w:tc>
        <w:tc>
          <w:tcPr>
            <w:tcW w:w="496" w:type="pct"/>
            <w:shd w:val="clear" w:color="auto" w:fill="auto"/>
            <w:vAlign w:val="center"/>
          </w:tcPr>
          <w:p w14:paraId="17B103E4">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b/>
                <w:bCs/>
                <w:color w:val="auto"/>
                <w:szCs w:val="21"/>
              </w:rPr>
              <w:t>/</w:t>
            </w:r>
          </w:p>
        </w:tc>
        <w:tc>
          <w:tcPr>
            <w:tcW w:w="408" w:type="pct"/>
            <w:vMerge w:val="continue"/>
            <w:shd w:val="clear" w:color="auto" w:fill="auto"/>
            <w:vAlign w:val="center"/>
          </w:tcPr>
          <w:p w14:paraId="7CEF1106">
            <w:pPr>
              <w:adjustRightInd w:val="0"/>
              <w:snapToGrid w:val="0"/>
              <w:spacing w:line="320" w:lineRule="exact"/>
              <w:jc w:val="center"/>
              <w:rPr>
                <w:rFonts w:eastAsia="仿宋_GB2312"/>
                <w:b/>
                <w:bCs/>
                <w:color w:val="FF0000"/>
                <w:szCs w:val="21"/>
              </w:rPr>
            </w:pPr>
          </w:p>
        </w:tc>
        <w:tc>
          <w:tcPr>
            <w:tcW w:w="326" w:type="pct"/>
            <w:vMerge w:val="continue"/>
            <w:shd w:val="clear" w:color="auto" w:fill="auto"/>
            <w:vAlign w:val="center"/>
          </w:tcPr>
          <w:p w14:paraId="7A6D1327">
            <w:pPr>
              <w:adjustRightInd w:val="0"/>
              <w:snapToGrid w:val="0"/>
              <w:spacing w:line="320" w:lineRule="exact"/>
              <w:jc w:val="center"/>
              <w:rPr>
                <w:rFonts w:eastAsia="仿宋_GB2312"/>
                <w:b/>
                <w:bCs/>
                <w:color w:val="FF0000"/>
                <w:szCs w:val="21"/>
              </w:rPr>
            </w:pPr>
          </w:p>
        </w:tc>
        <w:tc>
          <w:tcPr>
            <w:tcW w:w="324" w:type="pct"/>
            <w:vMerge w:val="continue"/>
            <w:shd w:val="clear" w:color="auto" w:fill="auto"/>
            <w:vAlign w:val="center"/>
          </w:tcPr>
          <w:p w14:paraId="4584C8A9">
            <w:pPr>
              <w:adjustRightInd w:val="0"/>
              <w:snapToGrid w:val="0"/>
              <w:spacing w:line="320" w:lineRule="exact"/>
              <w:jc w:val="center"/>
              <w:rPr>
                <w:rFonts w:eastAsia="仿宋_GB2312"/>
                <w:b/>
                <w:bCs/>
                <w:color w:val="FF0000"/>
                <w:szCs w:val="21"/>
              </w:rPr>
            </w:pPr>
          </w:p>
        </w:tc>
      </w:tr>
      <w:tr w14:paraId="6BA954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09" w:type="pct"/>
            <w:vMerge w:val="continue"/>
            <w:shd w:val="clear" w:color="auto" w:fill="auto"/>
            <w:vAlign w:val="center"/>
          </w:tcPr>
          <w:p w14:paraId="79571BC6">
            <w:pPr>
              <w:adjustRightInd w:val="0"/>
              <w:snapToGrid w:val="0"/>
              <w:spacing w:line="320" w:lineRule="exact"/>
              <w:jc w:val="center"/>
              <w:rPr>
                <w:rFonts w:eastAsia="仿宋_GB2312"/>
                <w:b/>
                <w:bCs/>
                <w:color w:val="FF0000"/>
                <w:szCs w:val="21"/>
              </w:rPr>
            </w:pPr>
          </w:p>
        </w:tc>
        <w:tc>
          <w:tcPr>
            <w:tcW w:w="586" w:type="pct"/>
            <w:vMerge w:val="continue"/>
            <w:shd w:val="clear" w:color="auto" w:fill="auto"/>
            <w:vAlign w:val="center"/>
          </w:tcPr>
          <w:p w14:paraId="1DD1737E">
            <w:pPr>
              <w:adjustRightInd w:val="0"/>
              <w:snapToGrid w:val="0"/>
              <w:spacing w:line="320" w:lineRule="exact"/>
              <w:jc w:val="center"/>
              <w:rPr>
                <w:rFonts w:eastAsia="仿宋_GB2312"/>
                <w:b/>
                <w:bCs/>
                <w:color w:val="FF0000"/>
                <w:szCs w:val="21"/>
              </w:rPr>
            </w:pPr>
          </w:p>
        </w:tc>
        <w:tc>
          <w:tcPr>
            <w:tcW w:w="820" w:type="pct"/>
            <w:shd w:val="clear" w:color="auto" w:fill="auto"/>
            <w:vAlign w:val="center"/>
          </w:tcPr>
          <w:p w14:paraId="0748664B">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color w:val="auto"/>
                <w:szCs w:val="21"/>
              </w:rPr>
              <w:t>苯乙烯</w:t>
            </w:r>
          </w:p>
        </w:tc>
        <w:tc>
          <w:tcPr>
            <w:tcW w:w="492" w:type="pct"/>
            <w:shd w:val="clear" w:color="auto" w:fill="auto"/>
            <w:vAlign w:val="center"/>
          </w:tcPr>
          <w:p w14:paraId="7F890397">
            <w:pPr>
              <w:adjustRightInd w:val="0"/>
              <w:snapToGrid w:val="0"/>
              <w:spacing w:line="320" w:lineRule="exact"/>
              <w:jc w:val="center"/>
              <w:rPr>
                <w:rFonts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0.28</w:t>
            </w:r>
          </w:p>
        </w:tc>
        <w:tc>
          <w:tcPr>
            <w:tcW w:w="506" w:type="pct"/>
            <w:shd w:val="clear" w:color="auto" w:fill="auto"/>
            <w:vAlign w:val="center"/>
          </w:tcPr>
          <w:p w14:paraId="465BA879">
            <w:pPr>
              <w:adjustRightInd w:val="0"/>
              <w:snapToGrid w:val="0"/>
              <w:spacing w:line="320" w:lineRule="exact"/>
              <w:jc w:val="center"/>
              <w:rPr>
                <w:rFonts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0.02</w:t>
            </w:r>
          </w:p>
        </w:tc>
        <w:tc>
          <w:tcPr>
            <w:tcW w:w="630" w:type="pct"/>
            <w:shd w:val="clear" w:color="auto" w:fill="auto"/>
            <w:vAlign w:val="center"/>
          </w:tcPr>
          <w:p w14:paraId="455B0419">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color w:val="auto"/>
                <w:szCs w:val="21"/>
              </w:rPr>
              <w:t>20</w:t>
            </w:r>
          </w:p>
        </w:tc>
        <w:tc>
          <w:tcPr>
            <w:tcW w:w="496" w:type="pct"/>
            <w:shd w:val="clear" w:color="auto" w:fill="auto"/>
            <w:vAlign w:val="center"/>
          </w:tcPr>
          <w:p w14:paraId="4FB8FA43">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color w:val="auto"/>
                <w:szCs w:val="21"/>
              </w:rPr>
              <w:t>8.1</w:t>
            </w:r>
          </w:p>
        </w:tc>
        <w:tc>
          <w:tcPr>
            <w:tcW w:w="408" w:type="pct"/>
            <w:vMerge w:val="continue"/>
            <w:shd w:val="clear" w:color="auto" w:fill="auto"/>
            <w:vAlign w:val="center"/>
          </w:tcPr>
          <w:p w14:paraId="0665CB9D">
            <w:pPr>
              <w:adjustRightInd w:val="0"/>
              <w:snapToGrid w:val="0"/>
              <w:spacing w:line="320" w:lineRule="exact"/>
              <w:jc w:val="center"/>
              <w:rPr>
                <w:rFonts w:eastAsia="仿宋_GB2312"/>
                <w:b/>
                <w:bCs/>
                <w:color w:val="FF0000"/>
                <w:szCs w:val="21"/>
              </w:rPr>
            </w:pPr>
          </w:p>
        </w:tc>
        <w:tc>
          <w:tcPr>
            <w:tcW w:w="326" w:type="pct"/>
            <w:vMerge w:val="continue"/>
            <w:shd w:val="clear" w:color="auto" w:fill="auto"/>
            <w:vAlign w:val="center"/>
          </w:tcPr>
          <w:p w14:paraId="0A40EF66">
            <w:pPr>
              <w:adjustRightInd w:val="0"/>
              <w:snapToGrid w:val="0"/>
              <w:spacing w:line="320" w:lineRule="exact"/>
              <w:jc w:val="center"/>
              <w:rPr>
                <w:rFonts w:eastAsia="仿宋_GB2312"/>
                <w:b/>
                <w:bCs/>
                <w:color w:val="FF0000"/>
                <w:szCs w:val="21"/>
              </w:rPr>
            </w:pPr>
          </w:p>
        </w:tc>
        <w:tc>
          <w:tcPr>
            <w:tcW w:w="324" w:type="pct"/>
            <w:vMerge w:val="continue"/>
            <w:shd w:val="clear" w:color="auto" w:fill="auto"/>
            <w:vAlign w:val="center"/>
          </w:tcPr>
          <w:p w14:paraId="782CD9B8">
            <w:pPr>
              <w:adjustRightInd w:val="0"/>
              <w:snapToGrid w:val="0"/>
              <w:spacing w:line="320" w:lineRule="exact"/>
              <w:jc w:val="center"/>
              <w:rPr>
                <w:rFonts w:eastAsia="仿宋_GB2312"/>
                <w:b/>
                <w:bCs/>
                <w:color w:val="FF0000"/>
                <w:szCs w:val="21"/>
              </w:rPr>
            </w:pPr>
          </w:p>
        </w:tc>
      </w:tr>
      <w:tr w14:paraId="76880F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09" w:type="pct"/>
            <w:vMerge w:val="continue"/>
            <w:shd w:val="clear" w:color="auto" w:fill="auto"/>
            <w:vAlign w:val="center"/>
          </w:tcPr>
          <w:p w14:paraId="5A1B27EF">
            <w:pPr>
              <w:adjustRightInd w:val="0"/>
              <w:snapToGrid w:val="0"/>
              <w:spacing w:line="320" w:lineRule="exact"/>
              <w:jc w:val="center"/>
              <w:rPr>
                <w:rFonts w:eastAsia="仿宋_GB2312"/>
                <w:b/>
                <w:bCs/>
                <w:color w:val="FF0000"/>
                <w:szCs w:val="21"/>
              </w:rPr>
            </w:pPr>
          </w:p>
        </w:tc>
        <w:tc>
          <w:tcPr>
            <w:tcW w:w="586" w:type="pct"/>
            <w:vMerge w:val="continue"/>
            <w:shd w:val="clear" w:color="auto" w:fill="auto"/>
            <w:vAlign w:val="center"/>
          </w:tcPr>
          <w:p w14:paraId="5ED7E4A6">
            <w:pPr>
              <w:adjustRightInd w:val="0"/>
              <w:snapToGrid w:val="0"/>
              <w:spacing w:line="320" w:lineRule="exact"/>
              <w:jc w:val="center"/>
              <w:rPr>
                <w:rFonts w:eastAsia="仿宋_GB2312"/>
                <w:b/>
                <w:bCs/>
                <w:color w:val="FF0000"/>
                <w:szCs w:val="21"/>
              </w:rPr>
            </w:pPr>
          </w:p>
        </w:tc>
        <w:tc>
          <w:tcPr>
            <w:tcW w:w="820" w:type="pct"/>
            <w:shd w:val="clear" w:color="auto" w:fill="auto"/>
            <w:vAlign w:val="center"/>
          </w:tcPr>
          <w:p w14:paraId="1B6B9291">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color w:val="auto"/>
                <w:szCs w:val="21"/>
              </w:rPr>
              <w:t>二乙二醇</w:t>
            </w:r>
          </w:p>
        </w:tc>
        <w:tc>
          <w:tcPr>
            <w:tcW w:w="492" w:type="pct"/>
            <w:shd w:val="clear" w:color="auto" w:fill="auto"/>
            <w:vAlign w:val="center"/>
          </w:tcPr>
          <w:p w14:paraId="08E28B7D">
            <w:pPr>
              <w:adjustRightInd w:val="0"/>
              <w:snapToGrid w:val="0"/>
              <w:spacing w:line="320" w:lineRule="exact"/>
              <w:jc w:val="center"/>
              <w:rPr>
                <w:rFonts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0.91</w:t>
            </w:r>
          </w:p>
        </w:tc>
        <w:tc>
          <w:tcPr>
            <w:tcW w:w="506" w:type="pct"/>
            <w:shd w:val="clear" w:color="auto" w:fill="auto"/>
            <w:vAlign w:val="center"/>
          </w:tcPr>
          <w:p w14:paraId="760DE079">
            <w:pPr>
              <w:adjustRightInd w:val="0"/>
              <w:snapToGrid w:val="0"/>
              <w:spacing w:line="320" w:lineRule="exact"/>
              <w:jc w:val="center"/>
              <w:rPr>
                <w:rFonts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0.07</w:t>
            </w:r>
          </w:p>
        </w:tc>
        <w:tc>
          <w:tcPr>
            <w:tcW w:w="630" w:type="pct"/>
            <w:shd w:val="clear" w:color="auto" w:fill="auto"/>
            <w:vAlign w:val="center"/>
          </w:tcPr>
          <w:p w14:paraId="0D69664A">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b/>
                <w:bCs/>
                <w:color w:val="auto"/>
                <w:szCs w:val="21"/>
              </w:rPr>
              <w:t>/</w:t>
            </w:r>
          </w:p>
        </w:tc>
        <w:tc>
          <w:tcPr>
            <w:tcW w:w="496" w:type="pct"/>
            <w:shd w:val="clear" w:color="auto" w:fill="auto"/>
            <w:vAlign w:val="center"/>
          </w:tcPr>
          <w:p w14:paraId="1F85E0C1">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b/>
                <w:bCs/>
                <w:color w:val="auto"/>
                <w:szCs w:val="21"/>
              </w:rPr>
              <w:t>/</w:t>
            </w:r>
          </w:p>
        </w:tc>
        <w:tc>
          <w:tcPr>
            <w:tcW w:w="408" w:type="pct"/>
            <w:vMerge w:val="continue"/>
            <w:shd w:val="clear" w:color="auto" w:fill="auto"/>
            <w:vAlign w:val="center"/>
          </w:tcPr>
          <w:p w14:paraId="6E0C049B">
            <w:pPr>
              <w:adjustRightInd w:val="0"/>
              <w:snapToGrid w:val="0"/>
              <w:spacing w:line="320" w:lineRule="exact"/>
              <w:jc w:val="center"/>
              <w:rPr>
                <w:rFonts w:eastAsia="仿宋_GB2312"/>
                <w:b/>
                <w:bCs/>
                <w:color w:val="FF0000"/>
                <w:szCs w:val="21"/>
              </w:rPr>
            </w:pPr>
          </w:p>
        </w:tc>
        <w:tc>
          <w:tcPr>
            <w:tcW w:w="326" w:type="pct"/>
            <w:vMerge w:val="continue"/>
            <w:shd w:val="clear" w:color="auto" w:fill="auto"/>
            <w:vAlign w:val="center"/>
          </w:tcPr>
          <w:p w14:paraId="5E19ACDC">
            <w:pPr>
              <w:adjustRightInd w:val="0"/>
              <w:snapToGrid w:val="0"/>
              <w:spacing w:line="320" w:lineRule="exact"/>
              <w:jc w:val="center"/>
              <w:rPr>
                <w:rFonts w:eastAsia="仿宋_GB2312"/>
                <w:b/>
                <w:bCs/>
                <w:color w:val="FF0000"/>
                <w:szCs w:val="21"/>
              </w:rPr>
            </w:pPr>
          </w:p>
        </w:tc>
        <w:tc>
          <w:tcPr>
            <w:tcW w:w="324" w:type="pct"/>
            <w:vMerge w:val="continue"/>
            <w:shd w:val="clear" w:color="auto" w:fill="auto"/>
            <w:vAlign w:val="center"/>
          </w:tcPr>
          <w:p w14:paraId="1A096C2F">
            <w:pPr>
              <w:adjustRightInd w:val="0"/>
              <w:snapToGrid w:val="0"/>
              <w:spacing w:line="320" w:lineRule="exact"/>
              <w:jc w:val="center"/>
              <w:rPr>
                <w:rFonts w:eastAsia="仿宋_GB2312"/>
                <w:b/>
                <w:bCs/>
                <w:color w:val="FF0000"/>
                <w:szCs w:val="21"/>
              </w:rPr>
            </w:pPr>
          </w:p>
        </w:tc>
      </w:tr>
      <w:tr w14:paraId="493F74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09" w:type="pct"/>
            <w:vMerge w:val="continue"/>
            <w:shd w:val="clear" w:color="auto" w:fill="auto"/>
            <w:vAlign w:val="center"/>
          </w:tcPr>
          <w:p w14:paraId="5CB48196">
            <w:pPr>
              <w:adjustRightInd w:val="0"/>
              <w:snapToGrid w:val="0"/>
              <w:spacing w:line="320" w:lineRule="exact"/>
              <w:jc w:val="center"/>
              <w:rPr>
                <w:rFonts w:eastAsia="仿宋_GB2312"/>
                <w:b/>
                <w:bCs/>
                <w:color w:val="FF0000"/>
                <w:szCs w:val="21"/>
              </w:rPr>
            </w:pPr>
          </w:p>
        </w:tc>
        <w:tc>
          <w:tcPr>
            <w:tcW w:w="586" w:type="pct"/>
            <w:vMerge w:val="continue"/>
            <w:shd w:val="clear" w:color="auto" w:fill="auto"/>
            <w:vAlign w:val="center"/>
          </w:tcPr>
          <w:p w14:paraId="13DC4ACF">
            <w:pPr>
              <w:adjustRightInd w:val="0"/>
              <w:snapToGrid w:val="0"/>
              <w:spacing w:line="320" w:lineRule="exact"/>
              <w:jc w:val="center"/>
              <w:rPr>
                <w:rFonts w:eastAsia="仿宋_GB2312"/>
                <w:b/>
                <w:bCs/>
                <w:color w:val="FF0000"/>
                <w:szCs w:val="21"/>
              </w:rPr>
            </w:pPr>
          </w:p>
        </w:tc>
        <w:tc>
          <w:tcPr>
            <w:tcW w:w="820" w:type="pct"/>
            <w:shd w:val="clear" w:color="auto" w:fill="auto"/>
            <w:vAlign w:val="center"/>
          </w:tcPr>
          <w:p w14:paraId="052EAF95">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color w:val="auto"/>
                <w:szCs w:val="21"/>
              </w:rPr>
              <w:t>四氢呋喃</w:t>
            </w:r>
          </w:p>
        </w:tc>
        <w:tc>
          <w:tcPr>
            <w:tcW w:w="492" w:type="pct"/>
            <w:shd w:val="clear" w:color="auto" w:fill="auto"/>
            <w:vAlign w:val="center"/>
          </w:tcPr>
          <w:p w14:paraId="6B12AC6F">
            <w:pPr>
              <w:adjustRightInd w:val="0"/>
              <w:snapToGrid w:val="0"/>
              <w:spacing w:line="320" w:lineRule="exact"/>
              <w:jc w:val="center"/>
              <w:rPr>
                <w:rFonts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12.20</w:t>
            </w:r>
          </w:p>
        </w:tc>
        <w:tc>
          <w:tcPr>
            <w:tcW w:w="506" w:type="pct"/>
            <w:shd w:val="clear" w:color="auto" w:fill="auto"/>
            <w:vAlign w:val="center"/>
          </w:tcPr>
          <w:p w14:paraId="466E1F33">
            <w:pPr>
              <w:adjustRightInd w:val="0"/>
              <w:snapToGrid w:val="0"/>
              <w:spacing w:line="320" w:lineRule="exact"/>
              <w:jc w:val="center"/>
              <w:rPr>
                <w:rFonts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0.96</w:t>
            </w:r>
          </w:p>
        </w:tc>
        <w:tc>
          <w:tcPr>
            <w:tcW w:w="630" w:type="pct"/>
            <w:shd w:val="clear" w:color="auto" w:fill="auto"/>
            <w:vAlign w:val="center"/>
          </w:tcPr>
          <w:p w14:paraId="09AFD18E">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b/>
                <w:bCs/>
                <w:color w:val="auto"/>
                <w:szCs w:val="21"/>
              </w:rPr>
              <w:t>/</w:t>
            </w:r>
          </w:p>
        </w:tc>
        <w:tc>
          <w:tcPr>
            <w:tcW w:w="496" w:type="pct"/>
            <w:shd w:val="clear" w:color="auto" w:fill="auto"/>
            <w:vAlign w:val="center"/>
          </w:tcPr>
          <w:p w14:paraId="3906E8E3">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b/>
                <w:bCs/>
                <w:color w:val="auto"/>
                <w:szCs w:val="21"/>
              </w:rPr>
              <w:t>/</w:t>
            </w:r>
          </w:p>
        </w:tc>
        <w:tc>
          <w:tcPr>
            <w:tcW w:w="408" w:type="pct"/>
            <w:vMerge w:val="continue"/>
            <w:shd w:val="clear" w:color="auto" w:fill="auto"/>
            <w:vAlign w:val="center"/>
          </w:tcPr>
          <w:p w14:paraId="59211E0F">
            <w:pPr>
              <w:adjustRightInd w:val="0"/>
              <w:snapToGrid w:val="0"/>
              <w:spacing w:line="320" w:lineRule="exact"/>
              <w:jc w:val="center"/>
              <w:rPr>
                <w:rFonts w:eastAsia="仿宋_GB2312"/>
                <w:b/>
                <w:bCs/>
                <w:color w:val="FF0000"/>
                <w:szCs w:val="21"/>
              </w:rPr>
            </w:pPr>
          </w:p>
        </w:tc>
        <w:tc>
          <w:tcPr>
            <w:tcW w:w="326" w:type="pct"/>
            <w:vMerge w:val="continue"/>
            <w:shd w:val="clear" w:color="auto" w:fill="auto"/>
            <w:vAlign w:val="center"/>
          </w:tcPr>
          <w:p w14:paraId="668B1E3B">
            <w:pPr>
              <w:adjustRightInd w:val="0"/>
              <w:snapToGrid w:val="0"/>
              <w:spacing w:line="320" w:lineRule="exact"/>
              <w:jc w:val="center"/>
              <w:rPr>
                <w:rFonts w:eastAsia="仿宋_GB2312"/>
                <w:b/>
                <w:bCs/>
                <w:color w:val="FF0000"/>
                <w:szCs w:val="21"/>
              </w:rPr>
            </w:pPr>
          </w:p>
        </w:tc>
        <w:tc>
          <w:tcPr>
            <w:tcW w:w="324" w:type="pct"/>
            <w:vMerge w:val="continue"/>
            <w:shd w:val="clear" w:color="auto" w:fill="auto"/>
            <w:vAlign w:val="center"/>
          </w:tcPr>
          <w:p w14:paraId="0213B626">
            <w:pPr>
              <w:adjustRightInd w:val="0"/>
              <w:snapToGrid w:val="0"/>
              <w:spacing w:line="320" w:lineRule="exact"/>
              <w:jc w:val="center"/>
              <w:rPr>
                <w:rFonts w:eastAsia="仿宋_GB2312"/>
                <w:b/>
                <w:bCs/>
                <w:color w:val="FF0000"/>
                <w:szCs w:val="21"/>
              </w:rPr>
            </w:pPr>
          </w:p>
        </w:tc>
      </w:tr>
      <w:tr w14:paraId="5B0266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340" w:hRule="atLeast"/>
          <w:jc w:val="center"/>
        </w:trPr>
        <w:tc>
          <w:tcPr>
            <w:tcW w:w="409" w:type="pct"/>
            <w:vMerge w:val="continue"/>
            <w:shd w:val="clear" w:color="auto" w:fill="auto"/>
            <w:vAlign w:val="center"/>
          </w:tcPr>
          <w:p w14:paraId="22716BCB">
            <w:pPr>
              <w:adjustRightInd w:val="0"/>
              <w:snapToGrid w:val="0"/>
              <w:spacing w:line="320" w:lineRule="exact"/>
              <w:jc w:val="center"/>
              <w:rPr>
                <w:rFonts w:eastAsia="仿宋_GB2312"/>
                <w:b/>
                <w:bCs/>
                <w:color w:val="FF0000"/>
                <w:szCs w:val="21"/>
              </w:rPr>
            </w:pPr>
          </w:p>
        </w:tc>
        <w:tc>
          <w:tcPr>
            <w:tcW w:w="586" w:type="pct"/>
            <w:vMerge w:val="continue"/>
            <w:shd w:val="clear" w:color="auto" w:fill="auto"/>
            <w:vAlign w:val="center"/>
          </w:tcPr>
          <w:p w14:paraId="74410A82">
            <w:pPr>
              <w:adjustRightInd w:val="0"/>
              <w:snapToGrid w:val="0"/>
              <w:spacing w:line="320" w:lineRule="exact"/>
              <w:jc w:val="center"/>
              <w:rPr>
                <w:rFonts w:eastAsia="仿宋_GB2312"/>
                <w:b/>
                <w:bCs/>
                <w:color w:val="FF0000"/>
                <w:szCs w:val="21"/>
              </w:rPr>
            </w:pPr>
          </w:p>
        </w:tc>
        <w:tc>
          <w:tcPr>
            <w:tcW w:w="820" w:type="pct"/>
            <w:shd w:val="clear" w:color="auto" w:fill="auto"/>
            <w:vAlign w:val="center"/>
          </w:tcPr>
          <w:p w14:paraId="7E3D0D2A">
            <w:pPr>
              <w:adjustRightInd w:val="0"/>
              <w:snapToGrid w:val="0"/>
              <w:spacing w:line="320" w:lineRule="exact"/>
              <w:jc w:val="center"/>
              <w:rPr>
                <w:rFonts w:ascii="Times New Roman" w:hAnsi="Times New Roman" w:eastAsia="仿宋_GB2312" w:cs="Times New Roman"/>
                <w:color w:val="auto"/>
                <w:kern w:val="2"/>
                <w:sz w:val="21"/>
                <w:szCs w:val="21"/>
                <w:lang w:val="en-US" w:eastAsia="zh-CN" w:bidi="ar-SA"/>
              </w:rPr>
            </w:pPr>
            <w:r>
              <w:rPr>
                <w:rFonts w:eastAsia="仿宋_GB2312"/>
                <w:color w:val="auto"/>
                <w:szCs w:val="21"/>
              </w:rPr>
              <w:t>甲醇</w:t>
            </w:r>
          </w:p>
        </w:tc>
        <w:tc>
          <w:tcPr>
            <w:tcW w:w="492" w:type="pct"/>
            <w:shd w:val="clear" w:color="auto" w:fill="auto"/>
            <w:vAlign w:val="center"/>
          </w:tcPr>
          <w:p w14:paraId="072F12DA">
            <w:pPr>
              <w:adjustRightInd w:val="0"/>
              <w:snapToGrid w:val="0"/>
              <w:spacing w:line="320" w:lineRule="exact"/>
              <w:jc w:val="center"/>
              <w:rPr>
                <w:rFonts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12.38</w:t>
            </w:r>
          </w:p>
        </w:tc>
        <w:tc>
          <w:tcPr>
            <w:tcW w:w="506" w:type="pct"/>
            <w:shd w:val="clear" w:color="auto" w:fill="auto"/>
            <w:vAlign w:val="center"/>
          </w:tcPr>
          <w:p w14:paraId="33F2DBC9">
            <w:pPr>
              <w:adjustRightInd w:val="0"/>
              <w:snapToGrid w:val="0"/>
              <w:spacing w:line="320" w:lineRule="exact"/>
              <w:jc w:val="center"/>
              <w:rPr>
                <w:rFonts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0.98</w:t>
            </w:r>
          </w:p>
        </w:tc>
        <w:tc>
          <w:tcPr>
            <w:tcW w:w="630" w:type="pct"/>
            <w:shd w:val="clear" w:color="auto" w:fill="auto"/>
            <w:vAlign w:val="center"/>
          </w:tcPr>
          <w:p w14:paraId="06E67667">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color w:val="auto"/>
                <w:szCs w:val="21"/>
              </w:rPr>
              <w:t>50</w:t>
            </w:r>
          </w:p>
        </w:tc>
        <w:tc>
          <w:tcPr>
            <w:tcW w:w="496" w:type="pct"/>
            <w:shd w:val="clear" w:color="auto" w:fill="auto"/>
            <w:vAlign w:val="center"/>
          </w:tcPr>
          <w:p w14:paraId="525912BA">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color w:val="auto"/>
                <w:szCs w:val="21"/>
              </w:rPr>
              <w:t>1.8</w:t>
            </w:r>
          </w:p>
        </w:tc>
        <w:tc>
          <w:tcPr>
            <w:tcW w:w="408" w:type="pct"/>
            <w:vMerge w:val="continue"/>
            <w:shd w:val="clear" w:color="auto" w:fill="auto"/>
            <w:vAlign w:val="center"/>
          </w:tcPr>
          <w:p w14:paraId="3E304416">
            <w:pPr>
              <w:adjustRightInd w:val="0"/>
              <w:snapToGrid w:val="0"/>
              <w:spacing w:line="320" w:lineRule="exact"/>
              <w:jc w:val="center"/>
              <w:rPr>
                <w:rFonts w:eastAsia="仿宋_GB2312"/>
                <w:b/>
                <w:bCs/>
                <w:color w:val="FF0000"/>
                <w:szCs w:val="21"/>
              </w:rPr>
            </w:pPr>
          </w:p>
        </w:tc>
        <w:tc>
          <w:tcPr>
            <w:tcW w:w="326" w:type="pct"/>
            <w:vMerge w:val="continue"/>
            <w:shd w:val="clear" w:color="auto" w:fill="auto"/>
            <w:vAlign w:val="center"/>
          </w:tcPr>
          <w:p w14:paraId="5CB0C3A7">
            <w:pPr>
              <w:adjustRightInd w:val="0"/>
              <w:snapToGrid w:val="0"/>
              <w:spacing w:line="320" w:lineRule="exact"/>
              <w:jc w:val="center"/>
              <w:rPr>
                <w:rFonts w:eastAsia="仿宋_GB2312"/>
                <w:b/>
                <w:bCs/>
                <w:color w:val="FF0000"/>
                <w:szCs w:val="21"/>
              </w:rPr>
            </w:pPr>
          </w:p>
        </w:tc>
        <w:tc>
          <w:tcPr>
            <w:tcW w:w="324" w:type="pct"/>
            <w:vMerge w:val="continue"/>
            <w:shd w:val="clear" w:color="auto" w:fill="auto"/>
            <w:vAlign w:val="center"/>
          </w:tcPr>
          <w:p w14:paraId="044EB856">
            <w:pPr>
              <w:adjustRightInd w:val="0"/>
              <w:snapToGrid w:val="0"/>
              <w:spacing w:line="320" w:lineRule="exact"/>
              <w:jc w:val="center"/>
              <w:rPr>
                <w:rFonts w:eastAsia="仿宋_GB2312"/>
                <w:b/>
                <w:bCs/>
                <w:color w:val="FF0000"/>
                <w:szCs w:val="21"/>
              </w:rPr>
            </w:pPr>
          </w:p>
        </w:tc>
      </w:tr>
      <w:tr w14:paraId="00D391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09" w:type="pct"/>
            <w:vMerge w:val="continue"/>
            <w:shd w:val="clear" w:color="auto" w:fill="auto"/>
            <w:vAlign w:val="center"/>
          </w:tcPr>
          <w:p w14:paraId="062228BF">
            <w:pPr>
              <w:adjustRightInd w:val="0"/>
              <w:snapToGrid w:val="0"/>
              <w:spacing w:line="320" w:lineRule="exact"/>
              <w:jc w:val="center"/>
              <w:rPr>
                <w:rFonts w:eastAsia="仿宋_GB2312"/>
                <w:b/>
                <w:bCs/>
                <w:color w:val="FF0000"/>
                <w:szCs w:val="21"/>
              </w:rPr>
            </w:pPr>
          </w:p>
        </w:tc>
        <w:tc>
          <w:tcPr>
            <w:tcW w:w="586" w:type="pct"/>
            <w:vMerge w:val="continue"/>
            <w:shd w:val="clear" w:color="auto" w:fill="auto"/>
            <w:vAlign w:val="center"/>
          </w:tcPr>
          <w:p w14:paraId="6781D35E">
            <w:pPr>
              <w:adjustRightInd w:val="0"/>
              <w:snapToGrid w:val="0"/>
              <w:spacing w:line="320" w:lineRule="exact"/>
              <w:jc w:val="center"/>
              <w:rPr>
                <w:rFonts w:eastAsia="仿宋_GB2312"/>
                <w:b/>
                <w:bCs/>
                <w:color w:val="FF0000"/>
                <w:szCs w:val="21"/>
              </w:rPr>
            </w:pPr>
          </w:p>
        </w:tc>
        <w:tc>
          <w:tcPr>
            <w:tcW w:w="820" w:type="pct"/>
            <w:shd w:val="clear" w:color="auto" w:fill="auto"/>
            <w:vAlign w:val="center"/>
          </w:tcPr>
          <w:p w14:paraId="7A96AEE3">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color w:val="auto"/>
                <w:szCs w:val="21"/>
              </w:rPr>
              <w:t>乙腈</w:t>
            </w:r>
          </w:p>
        </w:tc>
        <w:tc>
          <w:tcPr>
            <w:tcW w:w="492" w:type="pct"/>
            <w:shd w:val="clear" w:color="auto" w:fill="auto"/>
            <w:vAlign w:val="center"/>
          </w:tcPr>
          <w:p w14:paraId="01C03055">
            <w:pPr>
              <w:adjustRightInd w:val="0"/>
              <w:snapToGrid w:val="0"/>
              <w:spacing w:line="320" w:lineRule="exact"/>
              <w:jc w:val="center"/>
              <w:rPr>
                <w:rFonts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11.25</w:t>
            </w:r>
          </w:p>
        </w:tc>
        <w:tc>
          <w:tcPr>
            <w:tcW w:w="506" w:type="pct"/>
            <w:shd w:val="clear" w:color="auto" w:fill="auto"/>
            <w:vAlign w:val="center"/>
          </w:tcPr>
          <w:p w14:paraId="450AD5B7">
            <w:pPr>
              <w:adjustRightInd w:val="0"/>
              <w:snapToGrid w:val="0"/>
              <w:spacing w:line="320" w:lineRule="exact"/>
              <w:jc w:val="center"/>
              <w:rPr>
                <w:rFonts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0.89</w:t>
            </w:r>
          </w:p>
        </w:tc>
        <w:tc>
          <w:tcPr>
            <w:tcW w:w="630" w:type="pct"/>
            <w:shd w:val="clear" w:color="auto" w:fill="auto"/>
            <w:vAlign w:val="center"/>
          </w:tcPr>
          <w:p w14:paraId="4BB5A719">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color w:val="auto"/>
                <w:szCs w:val="21"/>
              </w:rPr>
              <w:t>30</w:t>
            </w:r>
          </w:p>
        </w:tc>
        <w:tc>
          <w:tcPr>
            <w:tcW w:w="496" w:type="pct"/>
            <w:shd w:val="clear" w:color="auto" w:fill="auto"/>
            <w:vAlign w:val="center"/>
          </w:tcPr>
          <w:p w14:paraId="12D83DDB">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color w:val="auto"/>
                <w:szCs w:val="21"/>
              </w:rPr>
              <w:t>16</w:t>
            </w:r>
          </w:p>
        </w:tc>
        <w:tc>
          <w:tcPr>
            <w:tcW w:w="408" w:type="pct"/>
            <w:vMerge w:val="continue"/>
            <w:shd w:val="clear" w:color="auto" w:fill="auto"/>
            <w:vAlign w:val="center"/>
          </w:tcPr>
          <w:p w14:paraId="0CC9B0E3">
            <w:pPr>
              <w:adjustRightInd w:val="0"/>
              <w:snapToGrid w:val="0"/>
              <w:spacing w:line="320" w:lineRule="exact"/>
              <w:jc w:val="center"/>
              <w:rPr>
                <w:rFonts w:eastAsia="仿宋_GB2312"/>
                <w:b/>
                <w:bCs/>
                <w:color w:val="FF0000"/>
                <w:szCs w:val="21"/>
              </w:rPr>
            </w:pPr>
          </w:p>
        </w:tc>
        <w:tc>
          <w:tcPr>
            <w:tcW w:w="326" w:type="pct"/>
            <w:vMerge w:val="continue"/>
            <w:shd w:val="clear" w:color="auto" w:fill="auto"/>
            <w:vAlign w:val="center"/>
          </w:tcPr>
          <w:p w14:paraId="30939C07">
            <w:pPr>
              <w:adjustRightInd w:val="0"/>
              <w:snapToGrid w:val="0"/>
              <w:spacing w:line="320" w:lineRule="exact"/>
              <w:jc w:val="center"/>
              <w:rPr>
                <w:rFonts w:eastAsia="仿宋_GB2312"/>
                <w:b/>
                <w:bCs/>
                <w:color w:val="FF0000"/>
                <w:szCs w:val="21"/>
              </w:rPr>
            </w:pPr>
          </w:p>
        </w:tc>
        <w:tc>
          <w:tcPr>
            <w:tcW w:w="324" w:type="pct"/>
            <w:vMerge w:val="continue"/>
            <w:shd w:val="clear" w:color="auto" w:fill="auto"/>
            <w:vAlign w:val="center"/>
          </w:tcPr>
          <w:p w14:paraId="29D58ECA">
            <w:pPr>
              <w:adjustRightInd w:val="0"/>
              <w:snapToGrid w:val="0"/>
              <w:spacing w:line="320" w:lineRule="exact"/>
              <w:jc w:val="center"/>
              <w:rPr>
                <w:rFonts w:eastAsia="仿宋_GB2312"/>
                <w:b/>
                <w:bCs/>
                <w:color w:val="FF0000"/>
                <w:szCs w:val="21"/>
              </w:rPr>
            </w:pPr>
          </w:p>
        </w:tc>
      </w:tr>
      <w:tr w14:paraId="578342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09" w:type="pct"/>
            <w:vMerge w:val="continue"/>
            <w:shd w:val="clear" w:color="auto" w:fill="auto"/>
            <w:vAlign w:val="center"/>
          </w:tcPr>
          <w:p w14:paraId="4F80FB11">
            <w:pPr>
              <w:adjustRightInd w:val="0"/>
              <w:snapToGrid w:val="0"/>
              <w:spacing w:line="320" w:lineRule="exact"/>
              <w:jc w:val="center"/>
              <w:rPr>
                <w:rFonts w:eastAsia="仿宋_GB2312"/>
                <w:b/>
                <w:bCs/>
                <w:color w:val="FF0000"/>
                <w:szCs w:val="21"/>
              </w:rPr>
            </w:pPr>
          </w:p>
        </w:tc>
        <w:tc>
          <w:tcPr>
            <w:tcW w:w="586" w:type="pct"/>
            <w:vMerge w:val="continue"/>
            <w:shd w:val="clear" w:color="auto" w:fill="auto"/>
            <w:vAlign w:val="center"/>
          </w:tcPr>
          <w:p w14:paraId="222C9DC9">
            <w:pPr>
              <w:adjustRightInd w:val="0"/>
              <w:snapToGrid w:val="0"/>
              <w:spacing w:line="320" w:lineRule="exact"/>
              <w:jc w:val="center"/>
              <w:rPr>
                <w:rFonts w:eastAsia="仿宋_GB2312"/>
                <w:b/>
                <w:bCs/>
                <w:color w:val="FF0000"/>
                <w:szCs w:val="21"/>
              </w:rPr>
            </w:pPr>
          </w:p>
        </w:tc>
        <w:tc>
          <w:tcPr>
            <w:tcW w:w="820" w:type="pct"/>
            <w:shd w:val="clear" w:color="auto" w:fill="auto"/>
            <w:vAlign w:val="center"/>
          </w:tcPr>
          <w:p w14:paraId="24ADE876">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color w:val="auto"/>
                <w:szCs w:val="21"/>
              </w:rPr>
              <w:t>丙二醇单甲醚</w:t>
            </w:r>
          </w:p>
        </w:tc>
        <w:tc>
          <w:tcPr>
            <w:tcW w:w="492" w:type="pct"/>
            <w:shd w:val="clear" w:color="auto" w:fill="auto"/>
            <w:vAlign w:val="center"/>
          </w:tcPr>
          <w:p w14:paraId="3EBBB270">
            <w:pPr>
              <w:adjustRightInd w:val="0"/>
              <w:snapToGrid w:val="0"/>
              <w:spacing w:line="320" w:lineRule="exact"/>
              <w:jc w:val="center"/>
              <w:rPr>
                <w:rFonts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6.90</w:t>
            </w:r>
          </w:p>
        </w:tc>
        <w:tc>
          <w:tcPr>
            <w:tcW w:w="506" w:type="pct"/>
            <w:shd w:val="clear" w:color="auto" w:fill="auto"/>
            <w:vAlign w:val="center"/>
          </w:tcPr>
          <w:p w14:paraId="41B935AC">
            <w:pPr>
              <w:adjustRightInd w:val="0"/>
              <w:snapToGrid w:val="0"/>
              <w:spacing w:line="320" w:lineRule="exact"/>
              <w:jc w:val="center"/>
              <w:rPr>
                <w:rFonts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0.54</w:t>
            </w:r>
          </w:p>
        </w:tc>
        <w:tc>
          <w:tcPr>
            <w:tcW w:w="630" w:type="pct"/>
            <w:shd w:val="clear" w:color="auto" w:fill="auto"/>
            <w:vAlign w:val="center"/>
          </w:tcPr>
          <w:p w14:paraId="794CF028">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b/>
                <w:bCs/>
                <w:color w:val="auto"/>
                <w:szCs w:val="21"/>
              </w:rPr>
              <w:t>/</w:t>
            </w:r>
          </w:p>
        </w:tc>
        <w:tc>
          <w:tcPr>
            <w:tcW w:w="496" w:type="pct"/>
            <w:shd w:val="clear" w:color="auto" w:fill="auto"/>
            <w:vAlign w:val="center"/>
          </w:tcPr>
          <w:p w14:paraId="17A62538">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b/>
                <w:bCs/>
                <w:color w:val="auto"/>
                <w:szCs w:val="21"/>
              </w:rPr>
              <w:t>/</w:t>
            </w:r>
          </w:p>
        </w:tc>
        <w:tc>
          <w:tcPr>
            <w:tcW w:w="408" w:type="pct"/>
            <w:vMerge w:val="continue"/>
            <w:shd w:val="clear" w:color="auto" w:fill="auto"/>
            <w:vAlign w:val="center"/>
          </w:tcPr>
          <w:p w14:paraId="5BEEA464">
            <w:pPr>
              <w:adjustRightInd w:val="0"/>
              <w:snapToGrid w:val="0"/>
              <w:spacing w:line="320" w:lineRule="exact"/>
              <w:jc w:val="center"/>
              <w:rPr>
                <w:rFonts w:eastAsia="仿宋_GB2312"/>
                <w:b/>
                <w:bCs/>
                <w:color w:val="FF0000"/>
                <w:szCs w:val="21"/>
              </w:rPr>
            </w:pPr>
          </w:p>
        </w:tc>
        <w:tc>
          <w:tcPr>
            <w:tcW w:w="326" w:type="pct"/>
            <w:vMerge w:val="continue"/>
            <w:shd w:val="clear" w:color="auto" w:fill="auto"/>
            <w:vAlign w:val="center"/>
          </w:tcPr>
          <w:p w14:paraId="6D25825E">
            <w:pPr>
              <w:adjustRightInd w:val="0"/>
              <w:snapToGrid w:val="0"/>
              <w:spacing w:line="320" w:lineRule="exact"/>
              <w:jc w:val="center"/>
              <w:rPr>
                <w:rFonts w:eastAsia="仿宋_GB2312"/>
                <w:b/>
                <w:bCs/>
                <w:color w:val="FF0000"/>
                <w:szCs w:val="21"/>
              </w:rPr>
            </w:pPr>
          </w:p>
        </w:tc>
        <w:tc>
          <w:tcPr>
            <w:tcW w:w="324" w:type="pct"/>
            <w:vMerge w:val="continue"/>
            <w:shd w:val="clear" w:color="auto" w:fill="auto"/>
            <w:vAlign w:val="center"/>
          </w:tcPr>
          <w:p w14:paraId="53073B85">
            <w:pPr>
              <w:adjustRightInd w:val="0"/>
              <w:snapToGrid w:val="0"/>
              <w:spacing w:line="320" w:lineRule="exact"/>
              <w:jc w:val="center"/>
              <w:rPr>
                <w:rFonts w:eastAsia="仿宋_GB2312"/>
                <w:b/>
                <w:bCs/>
                <w:color w:val="FF0000"/>
                <w:szCs w:val="21"/>
              </w:rPr>
            </w:pPr>
          </w:p>
        </w:tc>
      </w:tr>
      <w:tr w14:paraId="09A649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09" w:type="pct"/>
            <w:vMerge w:val="continue"/>
            <w:shd w:val="clear" w:color="auto" w:fill="auto"/>
            <w:vAlign w:val="center"/>
          </w:tcPr>
          <w:p w14:paraId="6196F7CD">
            <w:pPr>
              <w:adjustRightInd w:val="0"/>
              <w:snapToGrid w:val="0"/>
              <w:spacing w:line="320" w:lineRule="exact"/>
              <w:jc w:val="center"/>
              <w:rPr>
                <w:rFonts w:eastAsia="仿宋_GB2312"/>
                <w:b/>
                <w:bCs/>
                <w:color w:val="FF0000"/>
                <w:szCs w:val="21"/>
              </w:rPr>
            </w:pPr>
          </w:p>
        </w:tc>
        <w:tc>
          <w:tcPr>
            <w:tcW w:w="586" w:type="pct"/>
            <w:vMerge w:val="continue"/>
            <w:shd w:val="clear" w:color="auto" w:fill="auto"/>
            <w:vAlign w:val="center"/>
          </w:tcPr>
          <w:p w14:paraId="77AD6EE0">
            <w:pPr>
              <w:adjustRightInd w:val="0"/>
              <w:snapToGrid w:val="0"/>
              <w:spacing w:line="320" w:lineRule="exact"/>
              <w:jc w:val="center"/>
              <w:rPr>
                <w:rFonts w:eastAsia="仿宋_GB2312"/>
                <w:b/>
                <w:bCs/>
                <w:color w:val="FF0000"/>
                <w:szCs w:val="21"/>
              </w:rPr>
            </w:pPr>
          </w:p>
        </w:tc>
        <w:tc>
          <w:tcPr>
            <w:tcW w:w="820" w:type="pct"/>
            <w:shd w:val="clear" w:color="auto" w:fill="auto"/>
            <w:vAlign w:val="center"/>
          </w:tcPr>
          <w:p w14:paraId="53838DCC">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color w:val="auto"/>
                <w:szCs w:val="21"/>
              </w:rPr>
              <w:t>环戊酮</w:t>
            </w:r>
          </w:p>
        </w:tc>
        <w:tc>
          <w:tcPr>
            <w:tcW w:w="492" w:type="pct"/>
            <w:shd w:val="clear" w:color="auto" w:fill="auto"/>
            <w:vAlign w:val="center"/>
          </w:tcPr>
          <w:p w14:paraId="78E39FDA">
            <w:pPr>
              <w:adjustRightInd w:val="0"/>
              <w:snapToGrid w:val="0"/>
              <w:spacing w:line="320" w:lineRule="exact"/>
              <w:jc w:val="center"/>
              <w:rPr>
                <w:rFonts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7.48</w:t>
            </w:r>
          </w:p>
        </w:tc>
        <w:tc>
          <w:tcPr>
            <w:tcW w:w="506" w:type="pct"/>
            <w:shd w:val="clear" w:color="auto" w:fill="auto"/>
            <w:vAlign w:val="center"/>
          </w:tcPr>
          <w:p w14:paraId="4F7858BE">
            <w:pPr>
              <w:adjustRightInd w:val="0"/>
              <w:snapToGrid w:val="0"/>
              <w:spacing w:line="320" w:lineRule="exact"/>
              <w:jc w:val="center"/>
              <w:rPr>
                <w:rFonts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0.59</w:t>
            </w:r>
          </w:p>
        </w:tc>
        <w:tc>
          <w:tcPr>
            <w:tcW w:w="630" w:type="pct"/>
            <w:shd w:val="clear" w:color="auto" w:fill="auto"/>
            <w:vAlign w:val="center"/>
          </w:tcPr>
          <w:p w14:paraId="56F15640">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b/>
                <w:bCs/>
                <w:color w:val="auto"/>
                <w:szCs w:val="21"/>
              </w:rPr>
              <w:t>/</w:t>
            </w:r>
          </w:p>
        </w:tc>
        <w:tc>
          <w:tcPr>
            <w:tcW w:w="496" w:type="pct"/>
            <w:shd w:val="clear" w:color="auto" w:fill="auto"/>
            <w:vAlign w:val="center"/>
          </w:tcPr>
          <w:p w14:paraId="0386BE4E">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b/>
                <w:bCs/>
                <w:color w:val="auto"/>
                <w:szCs w:val="21"/>
              </w:rPr>
              <w:t>/</w:t>
            </w:r>
          </w:p>
        </w:tc>
        <w:tc>
          <w:tcPr>
            <w:tcW w:w="408" w:type="pct"/>
            <w:vMerge w:val="continue"/>
            <w:shd w:val="clear" w:color="auto" w:fill="auto"/>
            <w:vAlign w:val="center"/>
          </w:tcPr>
          <w:p w14:paraId="633F5CC6">
            <w:pPr>
              <w:adjustRightInd w:val="0"/>
              <w:snapToGrid w:val="0"/>
              <w:spacing w:line="320" w:lineRule="exact"/>
              <w:jc w:val="center"/>
              <w:rPr>
                <w:rFonts w:eastAsia="仿宋_GB2312"/>
                <w:b/>
                <w:bCs/>
                <w:color w:val="FF0000"/>
                <w:szCs w:val="21"/>
              </w:rPr>
            </w:pPr>
          </w:p>
        </w:tc>
        <w:tc>
          <w:tcPr>
            <w:tcW w:w="326" w:type="pct"/>
            <w:vMerge w:val="continue"/>
            <w:shd w:val="clear" w:color="auto" w:fill="auto"/>
            <w:vAlign w:val="center"/>
          </w:tcPr>
          <w:p w14:paraId="10D6F8BE">
            <w:pPr>
              <w:adjustRightInd w:val="0"/>
              <w:snapToGrid w:val="0"/>
              <w:spacing w:line="320" w:lineRule="exact"/>
              <w:jc w:val="center"/>
              <w:rPr>
                <w:rFonts w:eastAsia="仿宋_GB2312"/>
                <w:b/>
                <w:bCs/>
                <w:color w:val="FF0000"/>
                <w:szCs w:val="21"/>
              </w:rPr>
            </w:pPr>
          </w:p>
        </w:tc>
        <w:tc>
          <w:tcPr>
            <w:tcW w:w="324" w:type="pct"/>
            <w:vMerge w:val="continue"/>
            <w:shd w:val="clear" w:color="auto" w:fill="auto"/>
            <w:vAlign w:val="center"/>
          </w:tcPr>
          <w:p w14:paraId="22113837">
            <w:pPr>
              <w:adjustRightInd w:val="0"/>
              <w:snapToGrid w:val="0"/>
              <w:spacing w:line="320" w:lineRule="exact"/>
              <w:jc w:val="center"/>
              <w:rPr>
                <w:rFonts w:eastAsia="仿宋_GB2312"/>
                <w:b/>
                <w:bCs/>
                <w:color w:val="FF0000"/>
                <w:szCs w:val="21"/>
              </w:rPr>
            </w:pPr>
          </w:p>
        </w:tc>
      </w:tr>
      <w:tr w14:paraId="22089F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09" w:type="pct"/>
            <w:vMerge w:val="continue"/>
            <w:shd w:val="clear" w:color="auto" w:fill="auto"/>
            <w:vAlign w:val="center"/>
          </w:tcPr>
          <w:p w14:paraId="4B59FF4E">
            <w:pPr>
              <w:adjustRightInd w:val="0"/>
              <w:snapToGrid w:val="0"/>
              <w:spacing w:line="320" w:lineRule="exact"/>
              <w:jc w:val="center"/>
              <w:rPr>
                <w:rFonts w:eastAsia="仿宋_GB2312"/>
                <w:b/>
                <w:bCs/>
                <w:color w:val="FF0000"/>
                <w:szCs w:val="21"/>
              </w:rPr>
            </w:pPr>
          </w:p>
        </w:tc>
        <w:tc>
          <w:tcPr>
            <w:tcW w:w="586" w:type="pct"/>
            <w:vMerge w:val="continue"/>
            <w:shd w:val="clear" w:color="auto" w:fill="auto"/>
            <w:vAlign w:val="center"/>
          </w:tcPr>
          <w:p w14:paraId="56A430D8">
            <w:pPr>
              <w:adjustRightInd w:val="0"/>
              <w:snapToGrid w:val="0"/>
              <w:spacing w:line="320" w:lineRule="exact"/>
              <w:jc w:val="center"/>
              <w:rPr>
                <w:rFonts w:eastAsia="仿宋_GB2312"/>
                <w:b/>
                <w:bCs/>
                <w:color w:val="FF0000"/>
                <w:szCs w:val="21"/>
              </w:rPr>
            </w:pPr>
          </w:p>
        </w:tc>
        <w:tc>
          <w:tcPr>
            <w:tcW w:w="820" w:type="pct"/>
            <w:shd w:val="clear" w:color="auto" w:fill="auto"/>
            <w:vAlign w:val="center"/>
          </w:tcPr>
          <w:p w14:paraId="73F2C2AE">
            <w:pPr>
              <w:adjustRightInd w:val="0"/>
              <w:snapToGrid w:val="0"/>
              <w:spacing w:line="320" w:lineRule="exact"/>
              <w:jc w:val="center"/>
              <w:rPr>
                <w:rFonts w:ascii="Times New Roman" w:hAnsi="Times New Roman" w:eastAsia="仿宋_GB2312" w:cs="Times New Roman"/>
                <w:color w:val="auto"/>
                <w:kern w:val="2"/>
                <w:sz w:val="21"/>
                <w:szCs w:val="21"/>
                <w:lang w:val="en-US" w:eastAsia="zh-CN" w:bidi="ar-SA"/>
              </w:rPr>
            </w:pPr>
            <w:r>
              <w:rPr>
                <w:rFonts w:eastAsia="仿宋_GB2312"/>
                <w:color w:val="auto"/>
                <w:szCs w:val="21"/>
              </w:rPr>
              <w:t>乙酸甲酯</w:t>
            </w:r>
          </w:p>
        </w:tc>
        <w:tc>
          <w:tcPr>
            <w:tcW w:w="492" w:type="pct"/>
            <w:shd w:val="clear" w:color="auto" w:fill="auto"/>
            <w:vAlign w:val="center"/>
          </w:tcPr>
          <w:p w14:paraId="432382D9">
            <w:pPr>
              <w:adjustRightInd w:val="0"/>
              <w:snapToGrid w:val="0"/>
              <w:spacing w:line="320" w:lineRule="exact"/>
              <w:jc w:val="center"/>
              <w:rPr>
                <w:rFonts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7.71</w:t>
            </w:r>
          </w:p>
        </w:tc>
        <w:tc>
          <w:tcPr>
            <w:tcW w:w="506" w:type="pct"/>
            <w:shd w:val="clear" w:color="auto" w:fill="auto"/>
            <w:vAlign w:val="center"/>
          </w:tcPr>
          <w:p w14:paraId="445F9F91">
            <w:pPr>
              <w:adjustRightInd w:val="0"/>
              <w:snapToGrid w:val="0"/>
              <w:spacing w:line="320" w:lineRule="exact"/>
              <w:jc w:val="center"/>
              <w:rPr>
                <w:rFonts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0.61</w:t>
            </w:r>
          </w:p>
        </w:tc>
        <w:tc>
          <w:tcPr>
            <w:tcW w:w="630" w:type="pct"/>
            <w:shd w:val="clear" w:color="auto" w:fill="auto"/>
            <w:vAlign w:val="center"/>
          </w:tcPr>
          <w:p w14:paraId="23794443">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b/>
                <w:bCs/>
                <w:color w:val="auto"/>
                <w:szCs w:val="21"/>
              </w:rPr>
              <w:t>/</w:t>
            </w:r>
          </w:p>
        </w:tc>
        <w:tc>
          <w:tcPr>
            <w:tcW w:w="496" w:type="pct"/>
            <w:shd w:val="clear" w:color="auto" w:fill="auto"/>
            <w:vAlign w:val="center"/>
          </w:tcPr>
          <w:p w14:paraId="7E3C75DC">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b/>
                <w:bCs/>
                <w:color w:val="auto"/>
                <w:szCs w:val="21"/>
              </w:rPr>
              <w:t>/</w:t>
            </w:r>
          </w:p>
        </w:tc>
        <w:tc>
          <w:tcPr>
            <w:tcW w:w="408" w:type="pct"/>
            <w:vMerge w:val="continue"/>
            <w:shd w:val="clear" w:color="auto" w:fill="auto"/>
            <w:vAlign w:val="center"/>
          </w:tcPr>
          <w:p w14:paraId="7082699D">
            <w:pPr>
              <w:adjustRightInd w:val="0"/>
              <w:snapToGrid w:val="0"/>
              <w:spacing w:line="320" w:lineRule="exact"/>
              <w:jc w:val="center"/>
              <w:rPr>
                <w:rFonts w:eastAsia="仿宋_GB2312"/>
                <w:b/>
                <w:bCs/>
                <w:color w:val="FF0000"/>
                <w:szCs w:val="21"/>
              </w:rPr>
            </w:pPr>
          </w:p>
        </w:tc>
        <w:tc>
          <w:tcPr>
            <w:tcW w:w="326" w:type="pct"/>
            <w:vMerge w:val="continue"/>
            <w:shd w:val="clear" w:color="auto" w:fill="auto"/>
            <w:vAlign w:val="center"/>
          </w:tcPr>
          <w:p w14:paraId="561A8D11">
            <w:pPr>
              <w:adjustRightInd w:val="0"/>
              <w:snapToGrid w:val="0"/>
              <w:spacing w:line="320" w:lineRule="exact"/>
              <w:jc w:val="center"/>
              <w:rPr>
                <w:rFonts w:eastAsia="仿宋_GB2312"/>
                <w:b/>
                <w:bCs/>
                <w:color w:val="FF0000"/>
                <w:szCs w:val="21"/>
              </w:rPr>
            </w:pPr>
          </w:p>
        </w:tc>
        <w:tc>
          <w:tcPr>
            <w:tcW w:w="324" w:type="pct"/>
            <w:vMerge w:val="continue"/>
            <w:shd w:val="clear" w:color="auto" w:fill="auto"/>
            <w:vAlign w:val="center"/>
          </w:tcPr>
          <w:p w14:paraId="53A2A7B5">
            <w:pPr>
              <w:adjustRightInd w:val="0"/>
              <w:snapToGrid w:val="0"/>
              <w:spacing w:line="320" w:lineRule="exact"/>
              <w:jc w:val="center"/>
              <w:rPr>
                <w:rFonts w:eastAsia="仿宋_GB2312"/>
                <w:b/>
                <w:bCs/>
                <w:color w:val="FF0000"/>
                <w:szCs w:val="21"/>
              </w:rPr>
            </w:pPr>
          </w:p>
        </w:tc>
      </w:tr>
      <w:tr w14:paraId="0B29F5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09" w:type="pct"/>
            <w:vMerge w:val="continue"/>
            <w:shd w:val="clear" w:color="auto" w:fill="auto"/>
            <w:vAlign w:val="center"/>
          </w:tcPr>
          <w:p w14:paraId="3FCD5655">
            <w:pPr>
              <w:adjustRightInd w:val="0"/>
              <w:snapToGrid w:val="0"/>
              <w:spacing w:line="320" w:lineRule="exact"/>
              <w:jc w:val="center"/>
              <w:rPr>
                <w:rFonts w:eastAsia="仿宋_GB2312"/>
                <w:b/>
                <w:bCs/>
                <w:color w:val="FF0000"/>
                <w:szCs w:val="21"/>
              </w:rPr>
            </w:pPr>
          </w:p>
        </w:tc>
        <w:tc>
          <w:tcPr>
            <w:tcW w:w="586" w:type="pct"/>
            <w:vMerge w:val="continue"/>
            <w:shd w:val="clear" w:color="auto" w:fill="auto"/>
            <w:vAlign w:val="center"/>
          </w:tcPr>
          <w:p w14:paraId="4375CE33">
            <w:pPr>
              <w:adjustRightInd w:val="0"/>
              <w:snapToGrid w:val="0"/>
              <w:spacing w:line="320" w:lineRule="exact"/>
              <w:jc w:val="center"/>
              <w:rPr>
                <w:rFonts w:eastAsia="仿宋_GB2312"/>
                <w:b/>
                <w:bCs/>
                <w:color w:val="FF0000"/>
                <w:szCs w:val="21"/>
              </w:rPr>
            </w:pPr>
          </w:p>
        </w:tc>
        <w:tc>
          <w:tcPr>
            <w:tcW w:w="820" w:type="pct"/>
            <w:shd w:val="clear" w:color="auto" w:fill="auto"/>
            <w:vAlign w:val="center"/>
          </w:tcPr>
          <w:p w14:paraId="197453C5">
            <w:pPr>
              <w:adjustRightInd w:val="0"/>
              <w:snapToGrid w:val="0"/>
              <w:spacing w:line="320" w:lineRule="exact"/>
              <w:jc w:val="center"/>
              <w:rPr>
                <w:rFonts w:hint="eastAsia" w:ascii="Times New Roman" w:hAnsi="Times New Roman" w:eastAsia="仿宋_GB2312" w:cs="Times New Roman"/>
                <w:color w:val="auto"/>
                <w:kern w:val="2"/>
                <w:sz w:val="21"/>
                <w:szCs w:val="21"/>
                <w:lang w:val="en-US" w:eastAsia="zh-CN" w:bidi="ar-SA"/>
              </w:rPr>
            </w:pPr>
            <w:r>
              <w:rPr>
                <w:rFonts w:hint="eastAsia" w:eastAsia="仿宋_GB2312"/>
                <w:color w:val="auto"/>
                <w:szCs w:val="21"/>
                <w:lang w:val="en-US" w:eastAsia="zh-CN"/>
              </w:rPr>
              <w:t>苯酚</w:t>
            </w:r>
          </w:p>
        </w:tc>
        <w:tc>
          <w:tcPr>
            <w:tcW w:w="492" w:type="pct"/>
            <w:shd w:val="clear" w:color="auto" w:fill="auto"/>
            <w:vAlign w:val="center"/>
          </w:tcPr>
          <w:p w14:paraId="1EBE6CDB">
            <w:pPr>
              <w:adjustRightInd w:val="0"/>
              <w:snapToGrid w:val="0"/>
              <w:spacing w:line="320" w:lineRule="exact"/>
              <w:jc w:val="center"/>
              <w:rPr>
                <w:rFonts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0.20</w:t>
            </w:r>
          </w:p>
        </w:tc>
        <w:tc>
          <w:tcPr>
            <w:tcW w:w="506" w:type="pct"/>
            <w:shd w:val="clear" w:color="auto" w:fill="auto"/>
            <w:vAlign w:val="center"/>
          </w:tcPr>
          <w:p w14:paraId="0A62E18F">
            <w:pPr>
              <w:adjustRightInd w:val="0"/>
              <w:snapToGrid w:val="0"/>
              <w:spacing w:line="320" w:lineRule="exact"/>
              <w:jc w:val="center"/>
              <w:rPr>
                <w:rFonts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0.02</w:t>
            </w:r>
          </w:p>
        </w:tc>
        <w:tc>
          <w:tcPr>
            <w:tcW w:w="630" w:type="pct"/>
            <w:shd w:val="clear" w:color="auto" w:fill="auto"/>
            <w:vAlign w:val="center"/>
          </w:tcPr>
          <w:p w14:paraId="0E73CFD1">
            <w:pPr>
              <w:adjustRightInd w:val="0"/>
              <w:snapToGrid w:val="0"/>
              <w:spacing w:line="320" w:lineRule="exact"/>
              <w:jc w:val="center"/>
              <w:rPr>
                <w:rFonts w:hint="default" w:ascii="Times New Roman" w:hAnsi="Times New Roman" w:eastAsia="仿宋_GB2312" w:cs="Times New Roman"/>
                <w:bCs/>
                <w:color w:val="auto"/>
                <w:kern w:val="2"/>
                <w:sz w:val="21"/>
                <w:szCs w:val="21"/>
                <w:lang w:val="en-US" w:eastAsia="zh-CN" w:bidi="ar-SA"/>
              </w:rPr>
            </w:pPr>
            <w:r>
              <w:rPr>
                <w:rFonts w:hint="eastAsia" w:eastAsia="仿宋_GB2312"/>
                <w:bCs/>
                <w:color w:val="auto"/>
                <w:szCs w:val="21"/>
                <w:lang w:val="en-US" w:eastAsia="zh-CN"/>
              </w:rPr>
              <w:t>20</w:t>
            </w:r>
          </w:p>
        </w:tc>
        <w:tc>
          <w:tcPr>
            <w:tcW w:w="496" w:type="pct"/>
            <w:shd w:val="clear" w:color="auto" w:fill="auto"/>
            <w:vAlign w:val="center"/>
          </w:tcPr>
          <w:p w14:paraId="0BF8467E">
            <w:pPr>
              <w:adjustRightInd w:val="0"/>
              <w:snapToGrid w:val="0"/>
              <w:spacing w:line="320" w:lineRule="exact"/>
              <w:jc w:val="center"/>
              <w:rPr>
                <w:rFonts w:hint="default" w:ascii="Times New Roman" w:hAnsi="Times New Roman" w:eastAsia="仿宋_GB2312" w:cs="Times New Roman"/>
                <w:bCs/>
                <w:color w:val="auto"/>
                <w:kern w:val="2"/>
                <w:sz w:val="21"/>
                <w:szCs w:val="21"/>
                <w:lang w:val="en-US" w:eastAsia="zh-CN" w:bidi="ar-SA"/>
              </w:rPr>
            </w:pPr>
            <w:r>
              <w:rPr>
                <w:rFonts w:hint="eastAsia" w:eastAsia="仿宋_GB2312"/>
                <w:bCs/>
                <w:color w:val="auto"/>
                <w:szCs w:val="21"/>
                <w:lang w:val="en-US" w:eastAsia="zh-CN"/>
              </w:rPr>
              <w:t>0.072</w:t>
            </w:r>
          </w:p>
        </w:tc>
        <w:tc>
          <w:tcPr>
            <w:tcW w:w="408" w:type="pct"/>
            <w:vMerge w:val="continue"/>
            <w:shd w:val="clear" w:color="auto" w:fill="auto"/>
            <w:vAlign w:val="center"/>
          </w:tcPr>
          <w:p w14:paraId="4EB500C7">
            <w:pPr>
              <w:adjustRightInd w:val="0"/>
              <w:snapToGrid w:val="0"/>
              <w:spacing w:line="320" w:lineRule="exact"/>
              <w:jc w:val="center"/>
              <w:rPr>
                <w:rFonts w:eastAsia="仿宋_GB2312"/>
                <w:b/>
                <w:bCs/>
                <w:color w:val="FF0000"/>
                <w:szCs w:val="21"/>
              </w:rPr>
            </w:pPr>
          </w:p>
        </w:tc>
        <w:tc>
          <w:tcPr>
            <w:tcW w:w="326" w:type="pct"/>
            <w:vMerge w:val="continue"/>
            <w:shd w:val="clear" w:color="auto" w:fill="auto"/>
            <w:vAlign w:val="center"/>
          </w:tcPr>
          <w:p w14:paraId="10EBA431">
            <w:pPr>
              <w:adjustRightInd w:val="0"/>
              <w:snapToGrid w:val="0"/>
              <w:spacing w:line="320" w:lineRule="exact"/>
              <w:jc w:val="center"/>
              <w:rPr>
                <w:rFonts w:eastAsia="仿宋_GB2312"/>
                <w:b/>
                <w:bCs/>
                <w:color w:val="FF0000"/>
                <w:szCs w:val="21"/>
              </w:rPr>
            </w:pPr>
          </w:p>
        </w:tc>
        <w:tc>
          <w:tcPr>
            <w:tcW w:w="324" w:type="pct"/>
            <w:vMerge w:val="continue"/>
            <w:shd w:val="clear" w:color="auto" w:fill="auto"/>
            <w:vAlign w:val="center"/>
          </w:tcPr>
          <w:p w14:paraId="3B06B3BC">
            <w:pPr>
              <w:adjustRightInd w:val="0"/>
              <w:snapToGrid w:val="0"/>
              <w:spacing w:line="320" w:lineRule="exact"/>
              <w:jc w:val="center"/>
              <w:rPr>
                <w:rFonts w:eastAsia="仿宋_GB2312"/>
                <w:b/>
                <w:bCs/>
                <w:color w:val="FF0000"/>
                <w:szCs w:val="21"/>
              </w:rPr>
            </w:pPr>
          </w:p>
        </w:tc>
      </w:tr>
      <w:tr w14:paraId="1A167C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09" w:type="pct"/>
            <w:vMerge w:val="continue"/>
            <w:shd w:val="clear" w:color="auto" w:fill="auto"/>
            <w:vAlign w:val="center"/>
          </w:tcPr>
          <w:p w14:paraId="63AEF2C5">
            <w:pPr>
              <w:adjustRightInd w:val="0"/>
              <w:snapToGrid w:val="0"/>
              <w:spacing w:line="320" w:lineRule="exact"/>
              <w:jc w:val="center"/>
              <w:rPr>
                <w:rFonts w:eastAsia="仿宋_GB2312"/>
                <w:b/>
                <w:bCs/>
                <w:color w:val="FF0000"/>
                <w:szCs w:val="21"/>
              </w:rPr>
            </w:pPr>
          </w:p>
        </w:tc>
        <w:tc>
          <w:tcPr>
            <w:tcW w:w="586" w:type="pct"/>
            <w:vMerge w:val="continue"/>
            <w:shd w:val="clear" w:color="auto" w:fill="auto"/>
            <w:vAlign w:val="center"/>
          </w:tcPr>
          <w:p w14:paraId="49A45758">
            <w:pPr>
              <w:adjustRightInd w:val="0"/>
              <w:snapToGrid w:val="0"/>
              <w:spacing w:line="320" w:lineRule="exact"/>
              <w:jc w:val="center"/>
              <w:rPr>
                <w:rFonts w:eastAsia="仿宋_GB2312"/>
                <w:b/>
                <w:bCs/>
                <w:color w:val="FF0000"/>
                <w:szCs w:val="21"/>
              </w:rPr>
            </w:pPr>
          </w:p>
        </w:tc>
        <w:tc>
          <w:tcPr>
            <w:tcW w:w="820" w:type="pct"/>
            <w:shd w:val="clear" w:color="auto" w:fill="auto"/>
            <w:vAlign w:val="center"/>
          </w:tcPr>
          <w:p w14:paraId="40B79466">
            <w:pPr>
              <w:adjustRightInd w:val="0"/>
              <w:snapToGrid w:val="0"/>
              <w:spacing w:line="320" w:lineRule="exact"/>
              <w:jc w:val="center"/>
              <w:rPr>
                <w:rFonts w:hint="default" w:ascii="Times New Roman" w:hAnsi="Times New Roman" w:eastAsia="仿宋_GB2312" w:cs="Times New Roman"/>
                <w:color w:val="auto"/>
                <w:kern w:val="2"/>
                <w:sz w:val="21"/>
                <w:szCs w:val="21"/>
                <w:lang w:val="en-US" w:eastAsia="zh-CN" w:bidi="ar-SA"/>
              </w:rPr>
            </w:pPr>
            <w:r>
              <w:rPr>
                <w:rFonts w:hint="eastAsia" w:eastAsia="仿宋_GB2312"/>
                <w:color w:val="auto"/>
                <w:szCs w:val="21"/>
                <w:lang w:val="en-US" w:eastAsia="zh-CN"/>
              </w:rPr>
              <w:t>丙二醇甲醚醋酸酯</w:t>
            </w:r>
          </w:p>
        </w:tc>
        <w:tc>
          <w:tcPr>
            <w:tcW w:w="492" w:type="pct"/>
            <w:shd w:val="clear" w:color="auto" w:fill="auto"/>
            <w:vAlign w:val="center"/>
          </w:tcPr>
          <w:p w14:paraId="5DC4E731">
            <w:pPr>
              <w:adjustRightInd w:val="0"/>
              <w:snapToGrid w:val="0"/>
              <w:spacing w:line="320" w:lineRule="exact"/>
              <w:jc w:val="center"/>
              <w:rPr>
                <w:rFonts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4.06</w:t>
            </w:r>
          </w:p>
        </w:tc>
        <w:tc>
          <w:tcPr>
            <w:tcW w:w="506" w:type="pct"/>
            <w:shd w:val="clear" w:color="auto" w:fill="auto"/>
            <w:vAlign w:val="center"/>
          </w:tcPr>
          <w:p w14:paraId="65E63058">
            <w:pPr>
              <w:adjustRightInd w:val="0"/>
              <w:snapToGrid w:val="0"/>
              <w:spacing w:line="320" w:lineRule="exact"/>
              <w:jc w:val="center"/>
              <w:rPr>
                <w:rFonts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0.32</w:t>
            </w:r>
          </w:p>
        </w:tc>
        <w:tc>
          <w:tcPr>
            <w:tcW w:w="630" w:type="pct"/>
            <w:shd w:val="clear" w:color="auto" w:fill="auto"/>
            <w:vAlign w:val="center"/>
          </w:tcPr>
          <w:p w14:paraId="4AD98F3D">
            <w:pPr>
              <w:adjustRightInd w:val="0"/>
              <w:snapToGrid w:val="0"/>
              <w:spacing w:line="320" w:lineRule="exact"/>
              <w:jc w:val="center"/>
              <w:rPr>
                <w:rFonts w:hint="eastAsia" w:ascii="Times New Roman" w:hAnsi="Times New Roman" w:eastAsia="仿宋_GB2312" w:cs="Times New Roman"/>
                <w:bCs/>
                <w:color w:val="auto"/>
                <w:kern w:val="2"/>
                <w:sz w:val="21"/>
                <w:szCs w:val="21"/>
                <w:lang w:val="en-US" w:eastAsia="zh-CN" w:bidi="ar-SA"/>
              </w:rPr>
            </w:pPr>
            <w:r>
              <w:rPr>
                <w:rFonts w:hint="eastAsia" w:eastAsia="仿宋_GB2312"/>
                <w:bCs/>
                <w:color w:val="auto"/>
                <w:szCs w:val="21"/>
                <w:lang w:val="en-US" w:eastAsia="zh-CN"/>
              </w:rPr>
              <w:t>/</w:t>
            </w:r>
          </w:p>
        </w:tc>
        <w:tc>
          <w:tcPr>
            <w:tcW w:w="496" w:type="pct"/>
            <w:shd w:val="clear" w:color="auto" w:fill="auto"/>
            <w:vAlign w:val="center"/>
          </w:tcPr>
          <w:p w14:paraId="1758E6E3">
            <w:pPr>
              <w:adjustRightInd w:val="0"/>
              <w:snapToGrid w:val="0"/>
              <w:spacing w:line="320" w:lineRule="exact"/>
              <w:jc w:val="center"/>
              <w:rPr>
                <w:rFonts w:hint="eastAsia" w:ascii="Times New Roman" w:hAnsi="Times New Roman" w:eastAsia="仿宋_GB2312" w:cs="Times New Roman"/>
                <w:bCs/>
                <w:color w:val="auto"/>
                <w:kern w:val="2"/>
                <w:sz w:val="21"/>
                <w:szCs w:val="21"/>
                <w:lang w:val="en-US" w:eastAsia="zh-CN" w:bidi="ar-SA"/>
              </w:rPr>
            </w:pPr>
            <w:r>
              <w:rPr>
                <w:rFonts w:hint="eastAsia" w:eastAsia="仿宋_GB2312"/>
                <w:bCs/>
                <w:color w:val="auto"/>
                <w:szCs w:val="21"/>
                <w:lang w:val="en-US" w:eastAsia="zh-CN"/>
              </w:rPr>
              <w:t>/</w:t>
            </w:r>
          </w:p>
        </w:tc>
        <w:tc>
          <w:tcPr>
            <w:tcW w:w="408" w:type="pct"/>
            <w:vMerge w:val="continue"/>
            <w:shd w:val="clear" w:color="auto" w:fill="auto"/>
            <w:vAlign w:val="center"/>
          </w:tcPr>
          <w:p w14:paraId="489E5021">
            <w:pPr>
              <w:adjustRightInd w:val="0"/>
              <w:snapToGrid w:val="0"/>
              <w:spacing w:line="320" w:lineRule="exact"/>
              <w:jc w:val="center"/>
              <w:rPr>
                <w:rFonts w:eastAsia="仿宋_GB2312"/>
                <w:b/>
                <w:bCs/>
                <w:color w:val="FF0000"/>
                <w:szCs w:val="21"/>
              </w:rPr>
            </w:pPr>
          </w:p>
        </w:tc>
        <w:tc>
          <w:tcPr>
            <w:tcW w:w="326" w:type="pct"/>
            <w:vMerge w:val="continue"/>
            <w:shd w:val="clear" w:color="auto" w:fill="auto"/>
            <w:vAlign w:val="center"/>
          </w:tcPr>
          <w:p w14:paraId="7C74EEA2">
            <w:pPr>
              <w:adjustRightInd w:val="0"/>
              <w:snapToGrid w:val="0"/>
              <w:spacing w:line="320" w:lineRule="exact"/>
              <w:jc w:val="center"/>
              <w:rPr>
                <w:rFonts w:eastAsia="仿宋_GB2312"/>
                <w:b/>
                <w:bCs/>
                <w:color w:val="FF0000"/>
                <w:szCs w:val="21"/>
              </w:rPr>
            </w:pPr>
          </w:p>
        </w:tc>
        <w:tc>
          <w:tcPr>
            <w:tcW w:w="324" w:type="pct"/>
            <w:vMerge w:val="continue"/>
            <w:shd w:val="clear" w:color="auto" w:fill="auto"/>
            <w:vAlign w:val="center"/>
          </w:tcPr>
          <w:p w14:paraId="2CF3A53A">
            <w:pPr>
              <w:adjustRightInd w:val="0"/>
              <w:snapToGrid w:val="0"/>
              <w:spacing w:line="320" w:lineRule="exact"/>
              <w:jc w:val="center"/>
              <w:rPr>
                <w:rFonts w:eastAsia="仿宋_GB2312"/>
                <w:b/>
                <w:bCs/>
                <w:color w:val="FF0000"/>
                <w:szCs w:val="21"/>
              </w:rPr>
            </w:pPr>
          </w:p>
        </w:tc>
      </w:tr>
      <w:tr w14:paraId="7DBAFC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340" w:hRule="atLeast"/>
          <w:jc w:val="center"/>
        </w:trPr>
        <w:tc>
          <w:tcPr>
            <w:tcW w:w="409" w:type="pct"/>
            <w:vMerge w:val="continue"/>
            <w:shd w:val="clear" w:color="auto" w:fill="auto"/>
            <w:vAlign w:val="center"/>
          </w:tcPr>
          <w:p w14:paraId="6BC4A981">
            <w:pPr>
              <w:adjustRightInd w:val="0"/>
              <w:snapToGrid w:val="0"/>
              <w:spacing w:line="320" w:lineRule="exact"/>
              <w:jc w:val="center"/>
              <w:rPr>
                <w:rFonts w:eastAsia="仿宋_GB2312"/>
                <w:b/>
                <w:bCs/>
                <w:color w:val="FF0000"/>
                <w:szCs w:val="21"/>
              </w:rPr>
            </w:pPr>
          </w:p>
        </w:tc>
        <w:tc>
          <w:tcPr>
            <w:tcW w:w="586" w:type="pct"/>
            <w:vMerge w:val="continue"/>
            <w:shd w:val="clear" w:color="auto" w:fill="auto"/>
            <w:vAlign w:val="center"/>
          </w:tcPr>
          <w:p w14:paraId="72A7A648">
            <w:pPr>
              <w:adjustRightInd w:val="0"/>
              <w:snapToGrid w:val="0"/>
              <w:spacing w:line="320" w:lineRule="exact"/>
              <w:jc w:val="center"/>
              <w:rPr>
                <w:rFonts w:eastAsia="仿宋_GB2312"/>
                <w:b/>
                <w:bCs/>
                <w:color w:val="FF0000"/>
                <w:szCs w:val="21"/>
              </w:rPr>
            </w:pPr>
          </w:p>
        </w:tc>
        <w:tc>
          <w:tcPr>
            <w:tcW w:w="820" w:type="pct"/>
            <w:shd w:val="clear" w:color="auto" w:fill="auto"/>
            <w:vAlign w:val="center"/>
          </w:tcPr>
          <w:p w14:paraId="24A31211">
            <w:pPr>
              <w:adjustRightInd w:val="0"/>
              <w:snapToGrid w:val="0"/>
              <w:spacing w:line="320" w:lineRule="exact"/>
              <w:jc w:val="center"/>
              <w:rPr>
                <w:rFonts w:hint="default" w:ascii="Times New Roman" w:hAnsi="Times New Roman" w:eastAsia="仿宋_GB2312" w:cs="Times New Roman"/>
                <w:color w:val="auto"/>
                <w:kern w:val="2"/>
                <w:sz w:val="21"/>
                <w:szCs w:val="21"/>
                <w:lang w:val="en-US" w:eastAsia="zh-CN" w:bidi="ar-SA"/>
              </w:rPr>
            </w:pPr>
            <w:r>
              <w:rPr>
                <w:rFonts w:hint="eastAsia" w:eastAsia="仿宋_GB2312"/>
                <w:color w:val="auto"/>
                <w:szCs w:val="21"/>
                <w:lang w:val="en-US" w:eastAsia="zh-CN"/>
              </w:rPr>
              <w:t>己烷</w:t>
            </w:r>
          </w:p>
        </w:tc>
        <w:tc>
          <w:tcPr>
            <w:tcW w:w="492" w:type="pct"/>
            <w:shd w:val="clear" w:color="auto" w:fill="auto"/>
            <w:vAlign w:val="center"/>
          </w:tcPr>
          <w:p w14:paraId="1EF8DE09">
            <w:pPr>
              <w:adjustRightInd w:val="0"/>
              <w:snapToGrid w:val="0"/>
              <w:spacing w:line="320" w:lineRule="exact"/>
              <w:jc w:val="center"/>
              <w:rPr>
                <w:rFonts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1.13</w:t>
            </w:r>
          </w:p>
        </w:tc>
        <w:tc>
          <w:tcPr>
            <w:tcW w:w="506" w:type="pct"/>
            <w:shd w:val="clear" w:color="auto" w:fill="auto"/>
            <w:vAlign w:val="center"/>
          </w:tcPr>
          <w:p w14:paraId="4C6ABA2A">
            <w:pPr>
              <w:adjustRightInd w:val="0"/>
              <w:snapToGrid w:val="0"/>
              <w:spacing w:line="320" w:lineRule="exact"/>
              <w:jc w:val="center"/>
              <w:rPr>
                <w:rFonts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0.09</w:t>
            </w:r>
          </w:p>
        </w:tc>
        <w:tc>
          <w:tcPr>
            <w:tcW w:w="630" w:type="pct"/>
            <w:shd w:val="clear" w:color="auto" w:fill="auto"/>
            <w:vAlign w:val="center"/>
          </w:tcPr>
          <w:p w14:paraId="3574AE42">
            <w:pPr>
              <w:adjustRightInd w:val="0"/>
              <w:snapToGrid w:val="0"/>
              <w:spacing w:line="320" w:lineRule="exact"/>
              <w:jc w:val="center"/>
              <w:rPr>
                <w:rFonts w:hint="eastAsia" w:ascii="Times New Roman" w:hAnsi="Times New Roman" w:eastAsia="仿宋_GB2312" w:cs="Times New Roman"/>
                <w:bCs/>
                <w:color w:val="auto"/>
                <w:kern w:val="2"/>
                <w:sz w:val="21"/>
                <w:szCs w:val="21"/>
                <w:lang w:val="en-US" w:eastAsia="zh-CN" w:bidi="ar-SA"/>
              </w:rPr>
            </w:pPr>
            <w:r>
              <w:rPr>
                <w:rFonts w:hint="eastAsia" w:eastAsia="仿宋_GB2312"/>
                <w:bCs/>
                <w:color w:val="auto"/>
                <w:szCs w:val="21"/>
                <w:lang w:val="en-US" w:eastAsia="zh-CN"/>
              </w:rPr>
              <w:t>/</w:t>
            </w:r>
          </w:p>
        </w:tc>
        <w:tc>
          <w:tcPr>
            <w:tcW w:w="496" w:type="pct"/>
            <w:shd w:val="clear" w:color="auto" w:fill="auto"/>
            <w:vAlign w:val="center"/>
          </w:tcPr>
          <w:p w14:paraId="584DDB03">
            <w:pPr>
              <w:adjustRightInd w:val="0"/>
              <w:snapToGrid w:val="0"/>
              <w:spacing w:line="320" w:lineRule="exact"/>
              <w:jc w:val="center"/>
              <w:rPr>
                <w:rFonts w:hint="eastAsia" w:ascii="Times New Roman" w:hAnsi="Times New Roman" w:eastAsia="仿宋_GB2312" w:cs="Times New Roman"/>
                <w:bCs/>
                <w:color w:val="auto"/>
                <w:kern w:val="2"/>
                <w:sz w:val="21"/>
                <w:szCs w:val="21"/>
                <w:lang w:val="en-US" w:eastAsia="zh-CN" w:bidi="ar-SA"/>
              </w:rPr>
            </w:pPr>
            <w:r>
              <w:rPr>
                <w:rFonts w:hint="eastAsia" w:eastAsia="仿宋_GB2312"/>
                <w:bCs/>
                <w:color w:val="auto"/>
                <w:szCs w:val="21"/>
                <w:lang w:val="en-US" w:eastAsia="zh-CN"/>
              </w:rPr>
              <w:t>/</w:t>
            </w:r>
          </w:p>
        </w:tc>
        <w:tc>
          <w:tcPr>
            <w:tcW w:w="408" w:type="pct"/>
            <w:vMerge w:val="continue"/>
            <w:shd w:val="clear" w:color="auto" w:fill="auto"/>
            <w:vAlign w:val="center"/>
          </w:tcPr>
          <w:p w14:paraId="3DD7F568">
            <w:pPr>
              <w:adjustRightInd w:val="0"/>
              <w:snapToGrid w:val="0"/>
              <w:spacing w:line="320" w:lineRule="exact"/>
              <w:jc w:val="center"/>
              <w:rPr>
                <w:rFonts w:eastAsia="仿宋_GB2312"/>
                <w:b/>
                <w:bCs/>
                <w:color w:val="FF0000"/>
                <w:szCs w:val="21"/>
              </w:rPr>
            </w:pPr>
          </w:p>
        </w:tc>
        <w:tc>
          <w:tcPr>
            <w:tcW w:w="326" w:type="pct"/>
            <w:vMerge w:val="continue"/>
            <w:shd w:val="clear" w:color="auto" w:fill="auto"/>
            <w:vAlign w:val="center"/>
          </w:tcPr>
          <w:p w14:paraId="20EE5F2A">
            <w:pPr>
              <w:adjustRightInd w:val="0"/>
              <w:snapToGrid w:val="0"/>
              <w:spacing w:line="320" w:lineRule="exact"/>
              <w:jc w:val="center"/>
              <w:rPr>
                <w:rFonts w:eastAsia="仿宋_GB2312"/>
                <w:b/>
                <w:bCs/>
                <w:color w:val="FF0000"/>
                <w:szCs w:val="21"/>
              </w:rPr>
            </w:pPr>
          </w:p>
        </w:tc>
        <w:tc>
          <w:tcPr>
            <w:tcW w:w="324" w:type="pct"/>
            <w:vMerge w:val="continue"/>
            <w:shd w:val="clear" w:color="auto" w:fill="auto"/>
            <w:vAlign w:val="center"/>
          </w:tcPr>
          <w:p w14:paraId="73C59390">
            <w:pPr>
              <w:adjustRightInd w:val="0"/>
              <w:snapToGrid w:val="0"/>
              <w:spacing w:line="320" w:lineRule="exact"/>
              <w:jc w:val="center"/>
              <w:rPr>
                <w:rFonts w:eastAsia="仿宋_GB2312"/>
                <w:b/>
                <w:bCs/>
                <w:color w:val="FF0000"/>
                <w:szCs w:val="21"/>
              </w:rPr>
            </w:pPr>
          </w:p>
        </w:tc>
      </w:tr>
      <w:tr w14:paraId="38F661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340" w:hRule="atLeast"/>
          <w:jc w:val="center"/>
        </w:trPr>
        <w:tc>
          <w:tcPr>
            <w:tcW w:w="409" w:type="pct"/>
            <w:vMerge w:val="continue"/>
            <w:shd w:val="clear" w:color="auto" w:fill="auto"/>
            <w:vAlign w:val="center"/>
          </w:tcPr>
          <w:p w14:paraId="0969A777">
            <w:pPr>
              <w:adjustRightInd w:val="0"/>
              <w:snapToGrid w:val="0"/>
              <w:spacing w:line="320" w:lineRule="exact"/>
              <w:jc w:val="center"/>
              <w:rPr>
                <w:rFonts w:eastAsia="仿宋_GB2312"/>
                <w:b/>
                <w:bCs/>
                <w:color w:val="FF0000"/>
                <w:szCs w:val="21"/>
              </w:rPr>
            </w:pPr>
          </w:p>
        </w:tc>
        <w:tc>
          <w:tcPr>
            <w:tcW w:w="586" w:type="pct"/>
            <w:vMerge w:val="continue"/>
            <w:shd w:val="clear" w:color="auto" w:fill="auto"/>
            <w:vAlign w:val="center"/>
          </w:tcPr>
          <w:p w14:paraId="354A349B">
            <w:pPr>
              <w:adjustRightInd w:val="0"/>
              <w:snapToGrid w:val="0"/>
              <w:spacing w:line="320" w:lineRule="exact"/>
              <w:jc w:val="center"/>
              <w:rPr>
                <w:rFonts w:eastAsia="仿宋_GB2312"/>
                <w:b/>
                <w:bCs/>
                <w:color w:val="FF0000"/>
                <w:szCs w:val="21"/>
              </w:rPr>
            </w:pPr>
          </w:p>
        </w:tc>
        <w:tc>
          <w:tcPr>
            <w:tcW w:w="820" w:type="pct"/>
            <w:shd w:val="clear" w:color="auto" w:fill="auto"/>
            <w:vAlign w:val="center"/>
          </w:tcPr>
          <w:p w14:paraId="7AD0F6DF">
            <w:pPr>
              <w:adjustRightInd w:val="0"/>
              <w:snapToGrid w:val="0"/>
              <w:spacing w:line="320" w:lineRule="exact"/>
              <w:jc w:val="center"/>
              <w:rPr>
                <w:rFonts w:hint="default" w:ascii="Times New Roman" w:hAnsi="Times New Roman" w:eastAsia="仿宋_GB2312" w:cs="Times New Roman"/>
                <w:color w:val="auto"/>
                <w:kern w:val="2"/>
                <w:sz w:val="21"/>
                <w:szCs w:val="21"/>
                <w:lang w:val="en-US" w:eastAsia="zh-CN" w:bidi="ar-SA"/>
              </w:rPr>
            </w:pPr>
            <w:r>
              <w:rPr>
                <w:rFonts w:hint="eastAsia" w:eastAsia="仿宋_GB2312"/>
                <w:color w:val="auto"/>
                <w:szCs w:val="21"/>
                <w:lang w:val="en-US" w:eastAsia="zh-CN"/>
              </w:rPr>
              <w:t>乙酸乙烯酯</w:t>
            </w:r>
          </w:p>
        </w:tc>
        <w:tc>
          <w:tcPr>
            <w:tcW w:w="492" w:type="pct"/>
            <w:shd w:val="clear" w:color="auto" w:fill="auto"/>
            <w:vAlign w:val="center"/>
          </w:tcPr>
          <w:p w14:paraId="3D9BBDAD">
            <w:pPr>
              <w:adjustRightInd w:val="0"/>
              <w:snapToGrid w:val="0"/>
              <w:spacing w:line="320" w:lineRule="exact"/>
              <w:jc w:val="center"/>
              <w:rPr>
                <w:rFonts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1.71</w:t>
            </w:r>
          </w:p>
        </w:tc>
        <w:tc>
          <w:tcPr>
            <w:tcW w:w="506" w:type="pct"/>
            <w:shd w:val="clear" w:color="auto" w:fill="auto"/>
            <w:vAlign w:val="center"/>
          </w:tcPr>
          <w:p w14:paraId="1AC868A5">
            <w:pPr>
              <w:adjustRightInd w:val="0"/>
              <w:snapToGrid w:val="0"/>
              <w:spacing w:line="320" w:lineRule="exact"/>
              <w:jc w:val="center"/>
              <w:rPr>
                <w:rFonts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0.14</w:t>
            </w:r>
          </w:p>
        </w:tc>
        <w:tc>
          <w:tcPr>
            <w:tcW w:w="630" w:type="pct"/>
            <w:shd w:val="clear" w:color="auto" w:fill="auto"/>
            <w:vAlign w:val="center"/>
          </w:tcPr>
          <w:p w14:paraId="156350C5">
            <w:pPr>
              <w:adjustRightInd w:val="0"/>
              <w:snapToGrid w:val="0"/>
              <w:spacing w:line="320" w:lineRule="exact"/>
              <w:jc w:val="center"/>
              <w:rPr>
                <w:rFonts w:hint="default" w:ascii="Times New Roman" w:hAnsi="Times New Roman" w:eastAsia="仿宋_GB2312" w:cs="Times New Roman"/>
                <w:bCs/>
                <w:color w:val="auto"/>
                <w:kern w:val="2"/>
                <w:sz w:val="21"/>
                <w:szCs w:val="21"/>
                <w:lang w:val="en-US" w:eastAsia="zh-CN" w:bidi="ar-SA"/>
              </w:rPr>
            </w:pPr>
            <w:r>
              <w:rPr>
                <w:rFonts w:hint="eastAsia" w:eastAsia="仿宋_GB2312"/>
                <w:bCs/>
                <w:color w:val="auto"/>
                <w:szCs w:val="21"/>
                <w:lang w:val="en-US" w:eastAsia="zh-CN"/>
              </w:rPr>
              <w:t>20</w:t>
            </w:r>
          </w:p>
        </w:tc>
        <w:tc>
          <w:tcPr>
            <w:tcW w:w="496" w:type="pct"/>
            <w:shd w:val="clear" w:color="auto" w:fill="auto"/>
            <w:vAlign w:val="center"/>
          </w:tcPr>
          <w:p w14:paraId="1E1E4C57">
            <w:pPr>
              <w:adjustRightInd w:val="0"/>
              <w:snapToGrid w:val="0"/>
              <w:spacing w:line="320" w:lineRule="exact"/>
              <w:jc w:val="center"/>
              <w:rPr>
                <w:rFonts w:hint="default" w:ascii="Times New Roman" w:hAnsi="Times New Roman" w:eastAsia="仿宋_GB2312" w:cs="Times New Roman"/>
                <w:bCs/>
                <w:color w:val="auto"/>
                <w:kern w:val="2"/>
                <w:sz w:val="21"/>
                <w:szCs w:val="21"/>
                <w:lang w:val="en-US" w:eastAsia="zh-CN" w:bidi="ar-SA"/>
              </w:rPr>
            </w:pPr>
            <w:r>
              <w:rPr>
                <w:rFonts w:hint="eastAsia" w:eastAsia="仿宋_GB2312"/>
                <w:bCs/>
                <w:color w:val="auto"/>
                <w:szCs w:val="21"/>
                <w:lang w:val="en-US" w:eastAsia="zh-CN"/>
              </w:rPr>
              <w:t>8.1</w:t>
            </w:r>
          </w:p>
        </w:tc>
        <w:tc>
          <w:tcPr>
            <w:tcW w:w="408" w:type="pct"/>
            <w:vMerge w:val="continue"/>
            <w:shd w:val="clear" w:color="auto" w:fill="auto"/>
            <w:vAlign w:val="center"/>
          </w:tcPr>
          <w:p w14:paraId="0B6376FB">
            <w:pPr>
              <w:adjustRightInd w:val="0"/>
              <w:snapToGrid w:val="0"/>
              <w:spacing w:line="320" w:lineRule="exact"/>
              <w:jc w:val="center"/>
              <w:rPr>
                <w:rFonts w:eastAsia="仿宋_GB2312"/>
                <w:b/>
                <w:bCs/>
                <w:color w:val="FF0000"/>
                <w:szCs w:val="21"/>
              </w:rPr>
            </w:pPr>
          </w:p>
        </w:tc>
        <w:tc>
          <w:tcPr>
            <w:tcW w:w="326" w:type="pct"/>
            <w:vMerge w:val="continue"/>
            <w:shd w:val="clear" w:color="auto" w:fill="auto"/>
            <w:vAlign w:val="center"/>
          </w:tcPr>
          <w:p w14:paraId="01D838B4">
            <w:pPr>
              <w:adjustRightInd w:val="0"/>
              <w:snapToGrid w:val="0"/>
              <w:spacing w:line="320" w:lineRule="exact"/>
              <w:jc w:val="center"/>
              <w:rPr>
                <w:rFonts w:eastAsia="仿宋_GB2312"/>
                <w:b/>
                <w:bCs/>
                <w:color w:val="FF0000"/>
                <w:szCs w:val="21"/>
              </w:rPr>
            </w:pPr>
          </w:p>
        </w:tc>
        <w:tc>
          <w:tcPr>
            <w:tcW w:w="324" w:type="pct"/>
            <w:vMerge w:val="continue"/>
            <w:shd w:val="clear" w:color="auto" w:fill="auto"/>
            <w:vAlign w:val="center"/>
          </w:tcPr>
          <w:p w14:paraId="5F0409BC">
            <w:pPr>
              <w:adjustRightInd w:val="0"/>
              <w:snapToGrid w:val="0"/>
              <w:spacing w:line="320" w:lineRule="exact"/>
              <w:jc w:val="center"/>
              <w:rPr>
                <w:rFonts w:eastAsia="仿宋_GB2312"/>
                <w:b/>
                <w:bCs/>
                <w:color w:val="FF0000"/>
                <w:szCs w:val="21"/>
              </w:rPr>
            </w:pPr>
          </w:p>
        </w:tc>
      </w:tr>
      <w:tr w14:paraId="464DC3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09" w:type="pct"/>
            <w:vMerge w:val="continue"/>
            <w:shd w:val="clear" w:color="auto" w:fill="auto"/>
            <w:vAlign w:val="center"/>
          </w:tcPr>
          <w:p w14:paraId="1931759F">
            <w:pPr>
              <w:adjustRightInd w:val="0"/>
              <w:snapToGrid w:val="0"/>
              <w:spacing w:line="320" w:lineRule="exact"/>
              <w:jc w:val="center"/>
              <w:rPr>
                <w:rFonts w:eastAsia="仿宋_GB2312"/>
                <w:b/>
                <w:bCs/>
                <w:color w:val="FF0000"/>
                <w:szCs w:val="21"/>
              </w:rPr>
            </w:pPr>
          </w:p>
        </w:tc>
        <w:tc>
          <w:tcPr>
            <w:tcW w:w="586" w:type="pct"/>
            <w:vMerge w:val="continue"/>
            <w:shd w:val="clear" w:color="auto" w:fill="auto"/>
            <w:vAlign w:val="center"/>
          </w:tcPr>
          <w:p w14:paraId="6F08981A">
            <w:pPr>
              <w:adjustRightInd w:val="0"/>
              <w:snapToGrid w:val="0"/>
              <w:spacing w:line="320" w:lineRule="exact"/>
              <w:jc w:val="center"/>
              <w:rPr>
                <w:rFonts w:eastAsia="仿宋_GB2312"/>
                <w:b/>
                <w:bCs/>
                <w:color w:val="FF0000"/>
                <w:szCs w:val="21"/>
              </w:rPr>
            </w:pPr>
          </w:p>
        </w:tc>
        <w:tc>
          <w:tcPr>
            <w:tcW w:w="820" w:type="pct"/>
            <w:shd w:val="clear" w:color="auto" w:fill="auto"/>
            <w:vAlign w:val="center"/>
          </w:tcPr>
          <w:p w14:paraId="3FC782F4">
            <w:pPr>
              <w:adjustRightInd w:val="0"/>
              <w:snapToGrid w:val="0"/>
              <w:spacing w:line="320" w:lineRule="exact"/>
              <w:jc w:val="center"/>
              <w:rPr>
                <w:rFonts w:hint="default" w:ascii="Times New Roman" w:hAnsi="Times New Roman" w:eastAsia="仿宋_GB2312" w:cs="Times New Roman"/>
                <w:color w:val="auto"/>
                <w:kern w:val="2"/>
                <w:sz w:val="21"/>
                <w:szCs w:val="21"/>
                <w:lang w:val="en-US" w:eastAsia="zh-CN" w:bidi="ar-SA"/>
              </w:rPr>
            </w:pPr>
            <w:r>
              <w:rPr>
                <w:rFonts w:hint="eastAsia" w:eastAsia="仿宋_GB2312"/>
                <w:color w:val="auto"/>
                <w:szCs w:val="21"/>
                <w:lang w:val="en-US" w:eastAsia="zh-CN"/>
              </w:rPr>
              <w:t>异丙苯</w:t>
            </w:r>
          </w:p>
        </w:tc>
        <w:tc>
          <w:tcPr>
            <w:tcW w:w="492" w:type="pct"/>
            <w:shd w:val="clear" w:color="auto" w:fill="auto"/>
            <w:vAlign w:val="center"/>
          </w:tcPr>
          <w:p w14:paraId="293B42F5">
            <w:pPr>
              <w:adjustRightInd w:val="0"/>
              <w:snapToGrid w:val="0"/>
              <w:spacing w:line="320" w:lineRule="exact"/>
              <w:jc w:val="center"/>
              <w:rPr>
                <w:rFonts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1.07</w:t>
            </w:r>
          </w:p>
        </w:tc>
        <w:tc>
          <w:tcPr>
            <w:tcW w:w="506" w:type="pct"/>
            <w:shd w:val="clear" w:color="auto" w:fill="auto"/>
            <w:vAlign w:val="center"/>
          </w:tcPr>
          <w:p w14:paraId="4D6215D7">
            <w:pPr>
              <w:adjustRightInd w:val="0"/>
              <w:snapToGrid w:val="0"/>
              <w:spacing w:line="320" w:lineRule="exact"/>
              <w:jc w:val="center"/>
              <w:rPr>
                <w:rFonts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0.08</w:t>
            </w:r>
          </w:p>
        </w:tc>
        <w:tc>
          <w:tcPr>
            <w:tcW w:w="630" w:type="pct"/>
            <w:shd w:val="clear" w:color="auto" w:fill="auto"/>
            <w:vAlign w:val="center"/>
          </w:tcPr>
          <w:p w14:paraId="58D126A0">
            <w:pPr>
              <w:adjustRightInd w:val="0"/>
              <w:snapToGrid w:val="0"/>
              <w:spacing w:line="320" w:lineRule="exact"/>
              <w:jc w:val="center"/>
              <w:rPr>
                <w:rFonts w:hint="eastAsia" w:ascii="Times New Roman" w:hAnsi="Times New Roman" w:eastAsia="仿宋_GB2312" w:cs="Times New Roman"/>
                <w:bCs/>
                <w:color w:val="auto"/>
                <w:kern w:val="2"/>
                <w:sz w:val="21"/>
                <w:szCs w:val="21"/>
                <w:lang w:val="en-US" w:eastAsia="zh-CN" w:bidi="ar-SA"/>
              </w:rPr>
            </w:pPr>
            <w:r>
              <w:rPr>
                <w:rFonts w:hint="eastAsia" w:eastAsia="仿宋_GB2312"/>
                <w:bCs/>
                <w:color w:val="auto"/>
                <w:szCs w:val="21"/>
                <w:lang w:val="en-US" w:eastAsia="zh-CN"/>
              </w:rPr>
              <w:t>/</w:t>
            </w:r>
          </w:p>
        </w:tc>
        <w:tc>
          <w:tcPr>
            <w:tcW w:w="496" w:type="pct"/>
            <w:shd w:val="clear" w:color="auto" w:fill="auto"/>
            <w:vAlign w:val="center"/>
          </w:tcPr>
          <w:p w14:paraId="495A7667">
            <w:pPr>
              <w:adjustRightInd w:val="0"/>
              <w:snapToGrid w:val="0"/>
              <w:spacing w:line="320" w:lineRule="exact"/>
              <w:jc w:val="center"/>
              <w:rPr>
                <w:rFonts w:hint="eastAsia" w:ascii="Times New Roman" w:hAnsi="Times New Roman" w:eastAsia="仿宋_GB2312" w:cs="Times New Roman"/>
                <w:bCs/>
                <w:color w:val="auto"/>
                <w:kern w:val="2"/>
                <w:sz w:val="21"/>
                <w:szCs w:val="21"/>
                <w:lang w:val="en-US" w:eastAsia="zh-CN" w:bidi="ar-SA"/>
              </w:rPr>
            </w:pPr>
            <w:r>
              <w:rPr>
                <w:rFonts w:hint="eastAsia" w:eastAsia="仿宋_GB2312"/>
                <w:bCs/>
                <w:color w:val="auto"/>
                <w:szCs w:val="21"/>
                <w:lang w:val="en-US" w:eastAsia="zh-CN"/>
              </w:rPr>
              <w:t>/</w:t>
            </w:r>
          </w:p>
        </w:tc>
        <w:tc>
          <w:tcPr>
            <w:tcW w:w="408" w:type="pct"/>
            <w:vMerge w:val="continue"/>
            <w:shd w:val="clear" w:color="auto" w:fill="auto"/>
            <w:vAlign w:val="center"/>
          </w:tcPr>
          <w:p w14:paraId="456CB123">
            <w:pPr>
              <w:adjustRightInd w:val="0"/>
              <w:snapToGrid w:val="0"/>
              <w:spacing w:line="320" w:lineRule="exact"/>
              <w:jc w:val="center"/>
              <w:rPr>
                <w:rFonts w:eastAsia="仿宋_GB2312"/>
                <w:b/>
                <w:bCs/>
                <w:color w:val="FF0000"/>
                <w:szCs w:val="21"/>
              </w:rPr>
            </w:pPr>
          </w:p>
        </w:tc>
        <w:tc>
          <w:tcPr>
            <w:tcW w:w="326" w:type="pct"/>
            <w:vMerge w:val="continue"/>
            <w:shd w:val="clear" w:color="auto" w:fill="auto"/>
            <w:vAlign w:val="center"/>
          </w:tcPr>
          <w:p w14:paraId="7DF5E44E">
            <w:pPr>
              <w:adjustRightInd w:val="0"/>
              <w:snapToGrid w:val="0"/>
              <w:spacing w:line="320" w:lineRule="exact"/>
              <w:jc w:val="center"/>
              <w:rPr>
                <w:rFonts w:eastAsia="仿宋_GB2312"/>
                <w:b/>
                <w:bCs/>
                <w:color w:val="FF0000"/>
                <w:szCs w:val="21"/>
              </w:rPr>
            </w:pPr>
          </w:p>
        </w:tc>
        <w:tc>
          <w:tcPr>
            <w:tcW w:w="324" w:type="pct"/>
            <w:vMerge w:val="continue"/>
            <w:shd w:val="clear" w:color="auto" w:fill="auto"/>
            <w:vAlign w:val="center"/>
          </w:tcPr>
          <w:p w14:paraId="071FDB5C">
            <w:pPr>
              <w:adjustRightInd w:val="0"/>
              <w:snapToGrid w:val="0"/>
              <w:spacing w:line="320" w:lineRule="exact"/>
              <w:jc w:val="center"/>
              <w:rPr>
                <w:rFonts w:eastAsia="仿宋_GB2312"/>
                <w:b/>
                <w:bCs/>
                <w:color w:val="FF0000"/>
                <w:szCs w:val="21"/>
              </w:rPr>
            </w:pPr>
          </w:p>
        </w:tc>
      </w:tr>
      <w:tr w14:paraId="247CA5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09" w:type="pct"/>
            <w:vMerge w:val="continue"/>
            <w:shd w:val="clear" w:color="auto" w:fill="auto"/>
            <w:vAlign w:val="center"/>
          </w:tcPr>
          <w:p w14:paraId="0FC214A8">
            <w:pPr>
              <w:adjustRightInd w:val="0"/>
              <w:snapToGrid w:val="0"/>
              <w:spacing w:line="320" w:lineRule="exact"/>
              <w:jc w:val="center"/>
              <w:rPr>
                <w:rFonts w:eastAsia="仿宋_GB2312"/>
                <w:b/>
                <w:bCs/>
                <w:color w:val="FF0000"/>
                <w:szCs w:val="21"/>
              </w:rPr>
            </w:pPr>
          </w:p>
        </w:tc>
        <w:tc>
          <w:tcPr>
            <w:tcW w:w="586" w:type="pct"/>
            <w:vMerge w:val="continue"/>
            <w:shd w:val="clear" w:color="auto" w:fill="auto"/>
            <w:vAlign w:val="center"/>
          </w:tcPr>
          <w:p w14:paraId="51180D64">
            <w:pPr>
              <w:adjustRightInd w:val="0"/>
              <w:snapToGrid w:val="0"/>
              <w:spacing w:line="320" w:lineRule="exact"/>
              <w:jc w:val="center"/>
              <w:rPr>
                <w:rFonts w:eastAsia="仿宋_GB2312"/>
                <w:b/>
                <w:bCs/>
                <w:color w:val="FF0000"/>
                <w:szCs w:val="21"/>
              </w:rPr>
            </w:pPr>
          </w:p>
        </w:tc>
        <w:tc>
          <w:tcPr>
            <w:tcW w:w="820" w:type="pct"/>
            <w:shd w:val="clear" w:color="auto" w:fill="auto"/>
            <w:vAlign w:val="center"/>
          </w:tcPr>
          <w:p w14:paraId="3563CA9B">
            <w:pPr>
              <w:adjustRightInd w:val="0"/>
              <w:snapToGrid w:val="0"/>
              <w:spacing w:line="320" w:lineRule="exact"/>
              <w:jc w:val="center"/>
              <w:rPr>
                <w:rFonts w:hint="eastAsia" w:ascii="Times New Roman" w:hAnsi="Times New Roman" w:eastAsia="仿宋_GB2312" w:cs="Times New Roman"/>
                <w:b/>
                <w:bCs/>
                <w:color w:val="auto"/>
                <w:kern w:val="2"/>
                <w:sz w:val="21"/>
                <w:szCs w:val="21"/>
                <w:lang w:val="en-US" w:eastAsia="zh-CN" w:bidi="ar-SA"/>
              </w:rPr>
            </w:pPr>
            <w:r>
              <w:rPr>
                <w:rFonts w:eastAsia="仿宋_GB2312"/>
                <w:color w:val="auto"/>
                <w:szCs w:val="21"/>
              </w:rPr>
              <w:t>乙酸酯类</w:t>
            </w:r>
          </w:p>
        </w:tc>
        <w:tc>
          <w:tcPr>
            <w:tcW w:w="492" w:type="pct"/>
            <w:shd w:val="clear" w:color="auto" w:fill="auto"/>
            <w:vAlign w:val="center"/>
          </w:tcPr>
          <w:p w14:paraId="34CDA52C">
            <w:pPr>
              <w:adjustRightInd w:val="0"/>
              <w:snapToGrid w:val="0"/>
              <w:spacing w:line="320" w:lineRule="exact"/>
              <w:jc w:val="center"/>
              <w:rPr>
                <w:rFonts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25.39</w:t>
            </w:r>
          </w:p>
        </w:tc>
        <w:tc>
          <w:tcPr>
            <w:tcW w:w="506" w:type="pct"/>
            <w:shd w:val="clear" w:color="auto" w:fill="auto"/>
            <w:vAlign w:val="center"/>
          </w:tcPr>
          <w:p w14:paraId="62942897">
            <w:pPr>
              <w:adjustRightInd w:val="0"/>
              <w:snapToGrid w:val="0"/>
              <w:spacing w:line="320" w:lineRule="exact"/>
              <w:jc w:val="center"/>
              <w:rPr>
                <w:rFonts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2.01</w:t>
            </w:r>
          </w:p>
        </w:tc>
        <w:tc>
          <w:tcPr>
            <w:tcW w:w="630" w:type="pct"/>
            <w:shd w:val="clear" w:color="auto" w:fill="auto"/>
            <w:vAlign w:val="center"/>
          </w:tcPr>
          <w:p w14:paraId="1257FD7A">
            <w:pPr>
              <w:adjustRightInd w:val="0"/>
              <w:snapToGrid w:val="0"/>
              <w:spacing w:line="320" w:lineRule="exact"/>
              <w:jc w:val="center"/>
              <w:rPr>
                <w:rFonts w:ascii="Times New Roman" w:hAnsi="Times New Roman" w:eastAsia="仿宋_GB2312" w:cs="Times New Roman"/>
                <w:bCs/>
                <w:color w:val="auto"/>
                <w:kern w:val="2"/>
                <w:sz w:val="21"/>
                <w:szCs w:val="21"/>
                <w:lang w:val="en-US" w:eastAsia="zh-CN" w:bidi="ar-SA"/>
              </w:rPr>
            </w:pPr>
            <w:r>
              <w:rPr>
                <w:rFonts w:eastAsia="仿宋_GB2312"/>
                <w:bCs/>
                <w:color w:val="auto"/>
                <w:szCs w:val="21"/>
              </w:rPr>
              <w:t>50</w:t>
            </w:r>
          </w:p>
        </w:tc>
        <w:tc>
          <w:tcPr>
            <w:tcW w:w="496" w:type="pct"/>
            <w:shd w:val="clear" w:color="auto" w:fill="auto"/>
            <w:vAlign w:val="center"/>
          </w:tcPr>
          <w:p w14:paraId="6F0D6F8F">
            <w:pPr>
              <w:adjustRightInd w:val="0"/>
              <w:snapToGrid w:val="0"/>
              <w:spacing w:line="320" w:lineRule="exact"/>
              <w:jc w:val="center"/>
              <w:rPr>
                <w:rFonts w:ascii="Times New Roman" w:hAnsi="Times New Roman" w:eastAsia="仿宋_GB2312" w:cs="Times New Roman"/>
                <w:bCs/>
                <w:color w:val="auto"/>
                <w:kern w:val="2"/>
                <w:sz w:val="21"/>
                <w:szCs w:val="21"/>
                <w:lang w:val="en-US" w:eastAsia="zh-CN" w:bidi="ar-SA"/>
              </w:rPr>
            </w:pPr>
            <w:r>
              <w:rPr>
                <w:rFonts w:eastAsia="仿宋_GB2312"/>
                <w:bCs/>
                <w:color w:val="auto"/>
                <w:szCs w:val="21"/>
              </w:rPr>
              <w:t>16</w:t>
            </w:r>
          </w:p>
        </w:tc>
        <w:tc>
          <w:tcPr>
            <w:tcW w:w="408" w:type="pct"/>
            <w:vMerge w:val="continue"/>
            <w:shd w:val="clear" w:color="auto" w:fill="auto"/>
            <w:vAlign w:val="center"/>
          </w:tcPr>
          <w:p w14:paraId="03AF907F">
            <w:pPr>
              <w:adjustRightInd w:val="0"/>
              <w:snapToGrid w:val="0"/>
              <w:spacing w:line="320" w:lineRule="exact"/>
              <w:jc w:val="center"/>
              <w:rPr>
                <w:rFonts w:eastAsia="仿宋_GB2312"/>
                <w:b/>
                <w:bCs/>
                <w:color w:val="FF0000"/>
                <w:szCs w:val="21"/>
              </w:rPr>
            </w:pPr>
          </w:p>
        </w:tc>
        <w:tc>
          <w:tcPr>
            <w:tcW w:w="326" w:type="pct"/>
            <w:vMerge w:val="continue"/>
            <w:shd w:val="clear" w:color="auto" w:fill="auto"/>
            <w:vAlign w:val="center"/>
          </w:tcPr>
          <w:p w14:paraId="41130FA7">
            <w:pPr>
              <w:adjustRightInd w:val="0"/>
              <w:snapToGrid w:val="0"/>
              <w:spacing w:line="320" w:lineRule="exact"/>
              <w:jc w:val="center"/>
              <w:rPr>
                <w:rFonts w:eastAsia="仿宋_GB2312"/>
                <w:b/>
                <w:bCs/>
                <w:color w:val="FF0000"/>
                <w:szCs w:val="21"/>
              </w:rPr>
            </w:pPr>
          </w:p>
        </w:tc>
        <w:tc>
          <w:tcPr>
            <w:tcW w:w="324" w:type="pct"/>
            <w:vMerge w:val="continue"/>
            <w:shd w:val="clear" w:color="auto" w:fill="auto"/>
            <w:vAlign w:val="center"/>
          </w:tcPr>
          <w:p w14:paraId="58F17B14">
            <w:pPr>
              <w:adjustRightInd w:val="0"/>
              <w:snapToGrid w:val="0"/>
              <w:spacing w:line="320" w:lineRule="exact"/>
              <w:jc w:val="center"/>
              <w:rPr>
                <w:rFonts w:eastAsia="仿宋_GB2312"/>
                <w:b/>
                <w:bCs/>
                <w:color w:val="FF0000"/>
                <w:szCs w:val="21"/>
              </w:rPr>
            </w:pPr>
          </w:p>
        </w:tc>
      </w:tr>
      <w:tr w14:paraId="22F6BE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09" w:type="pct"/>
            <w:vMerge w:val="continue"/>
            <w:shd w:val="clear" w:color="auto" w:fill="auto"/>
            <w:vAlign w:val="center"/>
          </w:tcPr>
          <w:p w14:paraId="1F03B13B">
            <w:pPr>
              <w:adjustRightInd w:val="0"/>
              <w:snapToGrid w:val="0"/>
              <w:spacing w:line="320" w:lineRule="exact"/>
              <w:jc w:val="center"/>
              <w:rPr>
                <w:rFonts w:eastAsia="仿宋_GB2312"/>
                <w:b/>
                <w:bCs/>
                <w:color w:val="FF0000"/>
                <w:szCs w:val="21"/>
              </w:rPr>
            </w:pPr>
          </w:p>
        </w:tc>
        <w:tc>
          <w:tcPr>
            <w:tcW w:w="586" w:type="pct"/>
            <w:vMerge w:val="continue"/>
            <w:shd w:val="clear" w:color="auto" w:fill="auto"/>
            <w:vAlign w:val="center"/>
          </w:tcPr>
          <w:p w14:paraId="0B52A841">
            <w:pPr>
              <w:adjustRightInd w:val="0"/>
              <w:snapToGrid w:val="0"/>
              <w:spacing w:line="320" w:lineRule="exact"/>
              <w:jc w:val="center"/>
              <w:rPr>
                <w:rFonts w:eastAsia="仿宋_GB2312"/>
                <w:b/>
                <w:bCs/>
                <w:color w:val="FF0000"/>
                <w:szCs w:val="21"/>
              </w:rPr>
            </w:pPr>
          </w:p>
        </w:tc>
        <w:tc>
          <w:tcPr>
            <w:tcW w:w="820" w:type="pct"/>
            <w:shd w:val="clear" w:color="auto" w:fill="auto"/>
            <w:vAlign w:val="center"/>
          </w:tcPr>
          <w:p w14:paraId="72D13277">
            <w:pPr>
              <w:adjustRightInd w:val="0"/>
              <w:snapToGrid w:val="0"/>
              <w:spacing w:line="320" w:lineRule="exact"/>
              <w:jc w:val="center"/>
              <w:rPr>
                <w:rFonts w:hint="eastAsia" w:ascii="Times New Roman" w:hAnsi="Times New Roman" w:eastAsia="仿宋_GB2312" w:cs="Times New Roman"/>
                <w:color w:val="auto"/>
                <w:kern w:val="2"/>
                <w:sz w:val="21"/>
                <w:szCs w:val="21"/>
                <w:lang w:val="en-US" w:eastAsia="zh-CN" w:bidi="ar-SA"/>
              </w:rPr>
            </w:pPr>
            <w:r>
              <w:rPr>
                <w:rFonts w:hint="eastAsia" w:eastAsia="仿宋_GB2312"/>
                <w:color w:val="auto"/>
                <w:szCs w:val="21"/>
                <w:lang w:val="en-US" w:eastAsia="zh-CN"/>
              </w:rPr>
              <w:t>苯系物</w:t>
            </w:r>
          </w:p>
        </w:tc>
        <w:tc>
          <w:tcPr>
            <w:tcW w:w="492" w:type="pct"/>
            <w:shd w:val="clear" w:color="auto" w:fill="auto"/>
            <w:vAlign w:val="center"/>
          </w:tcPr>
          <w:p w14:paraId="469124AD">
            <w:pPr>
              <w:adjustRightInd w:val="0"/>
              <w:snapToGrid w:val="0"/>
              <w:spacing w:line="320" w:lineRule="exact"/>
              <w:jc w:val="center"/>
              <w:rPr>
                <w:rFonts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3.00</w:t>
            </w:r>
          </w:p>
        </w:tc>
        <w:tc>
          <w:tcPr>
            <w:tcW w:w="506" w:type="pct"/>
            <w:shd w:val="clear" w:color="auto" w:fill="auto"/>
            <w:vAlign w:val="center"/>
          </w:tcPr>
          <w:p w14:paraId="60B3B369">
            <w:pPr>
              <w:adjustRightInd w:val="0"/>
              <w:snapToGrid w:val="0"/>
              <w:spacing w:line="320" w:lineRule="exact"/>
              <w:jc w:val="center"/>
              <w:rPr>
                <w:rFonts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0.24</w:t>
            </w:r>
          </w:p>
        </w:tc>
        <w:tc>
          <w:tcPr>
            <w:tcW w:w="630" w:type="pct"/>
            <w:shd w:val="clear" w:color="auto" w:fill="auto"/>
            <w:vAlign w:val="center"/>
          </w:tcPr>
          <w:p w14:paraId="1896E0FD">
            <w:pPr>
              <w:adjustRightInd w:val="0"/>
              <w:snapToGrid w:val="0"/>
              <w:spacing w:line="320" w:lineRule="exact"/>
              <w:jc w:val="center"/>
              <w:rPr>
                <w:rFonts w:hint="default" w:ascii="Times New Roman" w:hAnsi="Times New Roman" w:eastAsia="仿宋_GB2312" w:cs="Times New Roman"/>
                <w:bCs/>
                <w:color w:val="auto"/>
                <w:kern w:val="2"/>
                <w:sz w:val="21"/>
                <w:szCs w:val="21"/>
                <w:lang w:val="en-US" w:eastAsia="zh-CN" w:bidi="ar-SA"/>
              </w:rPr>
            </w:pPr>
            <w:r>
              <w:rPr>
                <w:rFonts w:hint="eastAsia" w:eastAsia="仿宋_GB2312"/>
                <w:bCs/>
                <w:color w:val="auto"/>
                <w:szCs w:val="21"/>
                <w:lang w:val="en-US" w:eastAsia="zh-CN"/>
              </w:rPr>
              <w:t>25</w:t>
            </w:r>
          </w:p>
        </w:tc>
        <w:tc>
          <w:tcPr>
            <w:tcW w:w="496" w:type="pct"/>
            <w:shd w:val="clear" w:color="auto" w:fill="auto"/>
            <w:vAlign w:val="center"/>
          </w:tcPr>
          <w:p w14:paraId="7D371730">
            <w:pPr>
              <w:adjustRightInd w:val="0"/>
              <w:snapToGrid w:val="0"/>
              <w:spacing w:line="320" w:lineRule="exact"/>
              <w:jc w:val="center"/>
              <w:rPr>
                <w:rFonts w:hint="default" w:ascii="Times New Roman" w:hAnsi="Times New Roman" w:eastAsia="仿宋_GB2312" w:cs="Times New Roman"/>
                <w:bCs/>
                <w:color w:val="auto"/>
                <w:kern w:val="2"/>
                <w:sz w:val="21"/>
                <w:szCs w:val="21"/>
                <w:lang w:val="en-US" w:eastAsia="zh-CN" w:bidi="ar-SA"/>
              </w:rPr>
            </w:pPr>
            <w:r>
              <w:rPr>
                <w:rFonts w:hint="eastAsia" w:eastAsia="仿宋_GB2312"/>
                <w:bCs/>
                <w:color w:val="auto"/>
                <w:szCs w:val="21"/>
                <w:lang w:val="en-US" w:eastAsia="zh-CN"/>
              </w:rPr>
              <w:t>1.6</w:t>
            </w:r>
          </w:p>
        </w:tc>
        <w:tc>
          <w:tcPr>
            <w:tcW w:w="408" w:type="pct"/>
            <w:vMerge w:val="continue"/>
            <w:shd w:val="clear" w:color="auto" w:fill="auto"/>
            <w:vAlign w:val="center"/>
          </w:tcPr>
          <w:p w14:paraId="4C9E4724">
            <w:pPr>
              <w:adjustRightInd w:val="0"/>
              <w:snapToGrid w:val="0"/>
              <w:spacing w:line="320" w:lineRule="exact"/>
              <w:jc w:val="center"/>
              <w:rPr>
                <w:rFonts w:eastAsia="仿宋_GB2312"/>
                <w:b/>
                <w:bCs/>
                <w:color w:val="FF0000"/>
                <w:szCs w:val="21"/>
              </w:rPr>
            </w:pPr>
          </w:p>
        </w:tc>
        <w:tc>
          <w:tcPr>
            <w:tcW w:w="326" w:type="pct"/>
            <w:vMerge w:val="continue"/>
            <w:shd w:val="clear" w:color="auto" w:fill="auto"/>
            <w:vAlign w:val="center"/>
          </w:tcPr>
          <w:p w14:paraId="71569CF6">
            <w:pPr>
              <w:adjustRightInd w:val="0"/>
              <w:snapToGrid w:val="0"/>
              <w:spacing w:line="320" w:lineRule="exact"/>
              <w:jc w:val="center"/>
              <w:rPr>
                <w:rFonts w:eastAsia="仿宋_GB2312"/>
                <w:b/>
                <w:bCs/>
                <w:color w:val="FF0000"/>
                <w:szCs w:val="21"/>
              </w:rPr>
            </w:pPr>
          </w:p>
        </w:tc>
        <w:tc>
          <w:tcPr>
            <w:tcW w:w="324" w:type="pct"/>
            <w:vMerge w:val="continue"/>
            <w:shd w:val="clear" w:color="auto" w:fill="auto"/>
            <w:vAlign w:val="center"/>
          </w:tcPr>
          <w:p w14:paraId="6CC2D18E">
            <w:pPr>
              <w:adjustRightInd w:val="0"/>
              <w:snapToGrid w:val="0"/>
              <w:spacing w:line="320" w:lineRule="exact"/>
              <w:jc w:val="center"/>
              <w:rPr>
                <w:rFonts w:eastAsia="仿宋_GB2312"/>
                <w:b/>
                <w:bCs/>
                <w:color w:val="FF0000"/>
                <w:szCs w:val="21"/>
              </w:rPr>
            </w:pPr>
          </w:p>
        </w:tc>
      </w:tr>
      <w:tr w14:paraId="6FB0578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09" w:type="pct"/>
            <w:vMerge w:val="continue"/>
            <w:shd w:val="clear" w:color="auto" w:fill="auto"/>
            <w:vAlign w:val="center"/>
          </w:tcPr>
          <w:p w14:paraId="3D7C488F">
            <w:pPr>
              <w:adjustRightInd w:val="0"/>
              <w:snapToGrid w:val="0"/>
              <w:spacing w:line="320" w:lineRule="exact"/>
              <w:jc w:val="center"/>
              <w:rPr>
                <w:rFonts w:eastAsia="仿宋_GB2312"/>
                <w:b/>
                <w:bCs/>
                <w:color w:val="FF0000"/>
                <w:szCs w:val="21"/>
              </w:rPr>
            </w:pPr>
          </w:p>
        </w:tc>
        <w:tc>
          <w:tcPr>
            <w:tcW w:w="586" w:type="pct"/>
            <w:vMerge w:val="continue"/>
            <w:shd w:val="clear" w:color="auto" w:fill="auto"/>
            <w:vAlign w:val="center"/>
          </w:tcPr>
          <w:p w14:paraId="43E74CDB">
            <w:pPr>
              <w:adjustRightInd w:val="0"/>
              <w:snapToGrid w:val="0"/>
              <w:spacing w:line="320" w:lineRule="exact"/>
              <w:jc w:val="center"/>
              <w:rPr>
                <w:rFonts w:eastAsia="仿宋_GB2312"/>
                <w:b/>
                <w:bCs/>
                <w:color w:val="FF0000"/>
                <w:szCs w:val="21"/>
              </w:rPr>
            </w:pPr>
          </w:p>
        </w:tc>
        <w:tc>
          <w:tcPr>
            <w:tcW w:w="820" w:type="pct"/>
            <w:shd w:val="clear" w:color="auto" w:fill="auto"/>
            <w:vAlign w:val="center"/>
          </w:tcPr>
          <w:p w14:paraId="67370CDA">
            <w:pPr>
              <w:adjustRightInd w:val="0"/>
              <w:snapToGrid w:val="0"/>
              <w:spacing w:line="320" w:lineRule="exact"/>
              <w:jc w:val="center"/>
              <w:rPr>
                <w:rFonts w:ascii="Times New Roman" w:hAnsi="Times New Roman" w:eastAsia="仿宋_GB2312" w:cs="Times New Roman"/>
                <w:bCs/>
                <w:color w:val="auto"/>
                <w:kern w:val="2"/>
                <w:sz w:val="21"/>
                <w:szCs w:val="21"/>
                <w:lang w:val="en-US" w:eastAsia="zh-CN" w:bidi="ar-SA"/>
              </w:rPr>
            </w:pPr>
            <w:r>
              <w:rPr>
                <w:rFonts w:eastAsia="仿宋_GB2312"/>
                <w:bCs/>
                <w:color w:val="auto"/>
                <w:szCs w:val="21"/>
              </w:rPr>
              <w:t>非甲烷总烃</w:t>
            </w:r>
          </w:p>
        </w:tc>
        <w:tc>
          <w:tcPr>
            <w:tcW w:w="492" w:type="pct"/>
            <w:shd w:val="clear" w:color="auto" w:fill="auto"/>
            <w:vAlign w:val="center"/>
          </w:tcPr>
          <w:p w14:paraId="0C3C6250">
            <w:pPr>
              <w:adjustRightInd w:val="0"/>
              <w:snapToGrid w:val="0"/>
              <w:spacing w:line="320" w:lineRule="exact"/>
              <w:jc w:val="center"/>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27.48</w:t>
            </w:r>
          </w:p>
        </w:tc>
        <w:tc>
          <w:tcPr>
            <w:tcW w:w="506" w:type="pct"/>
            <w:shd w:val="clear" w:color="auto" w:fill="auto"/>
            <w:vAlign w:val="center"/>
          </w:tcPr>
          <w:p w14:paraId="700B9B1F">
            <w:pPr>
              <w:adjustRightInd w:val="0"/>
              <w:snapToGrid w:val="0"/>
              <w:spacing w:line="320" w:lineRule="exact"/>
              <w:jc w:val="center"/>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2.04</w:t>
            </w:r>
          </w:p>
        </w:tc>
        <w:tc>
          <w:tcPr>
            <w:tcW w:w="630" w:type="pct"/>
            <w:shd w:val="clear" w:color="auto" w:fill="auto"/>
            <w:vAlign w:val="center"/>
          </w:tcPr>
          <w:p w14:paraId="4BD26617">
            <w:pPr>
              <w:adjustRightInd w:val="0"/>
              <w:snapToGrid w:val="0"/>
              <w:spacing w:line="320" w:lineRule="exact"/>
              <w:jc w:val="center"/>
              <w:rPr>
                <w:rFonts w:ascii="Times New Roman" w:hAnsi="Times New Roman" w:eastAsia="仿宋_GB2312" w:cs="Times New Roman"/>
                <w:bCs/>
                <w:color w:val="auto"/>
                <w:kern w:val="2"/>
                <w:sz w:val="21"/>
                <w:szCs w:val="21"/>
                <w:lang w:val="en-US" w:eastAsia="zh-CN" w:bidi="ar-SA"/>
              </w:rPr>
            </w:pPr>
            <w:r>
              <w:rPr>
                <w:rFonts w:eastAsia="仿宋_GB2312"/>
                <w:bCs/>
                <w:color w:val="auto"/>
                <w:szCs w:val="21"/>
              </w:rPr>
              <w:t>60</w:t>
            </w:r>
          </w:p>
        </w:tc>
        <w:tc>
          <w:tcPr>
            <w:tcW w:w="496" w:type="pct"/>
            <w:shd w:val="clear" w:color="auto" w:fill="auto"/>
            <w:vAlign w:val="center"/>
          </w:tcPr>
          <w:p w14:paraId="71E5E79A">
            <w:pPr>
              <w:adjustRightInd w:val="0"/>
              <w:snapToGrid w:val="0"/>
              <w:spacing w:line="320" w:lineRule="exact"/>
              <w:jc w:val="center"/>
              <w:rPr>
                <w:rFonts w:ascii="Times New Roman" w:hAnsi="Times New Roman" w:eastAsia="仿宋_GB2312" w:cs="Times New Roman"/>
                <w:bCs/>
                <w:color w:val="auto"/>
                <w:kern w:val="2"/>
                <w:sz w:val="21"/>
                <w:szCs w:val="21"/>
                <w:lang w:val="en-US" w:eastAsia="zh-CN" w:bidi="ar-SA"/>
              </w:rPr>
            </w:pPr>
            <w:r>
              <w:rPr>
                <w:rFonts w:eastAsia="仿宋_GB2312"/>
                <w:bCs/>
                <w:color w:val="auto"/>
                <w:szCs w:val="21"/>
              </w:rPr>
              <w:t>3</w:t>
            </w:r>
          </w:p>
        </w:tc>
        <w:tc>
          <w:tcPr>
            <w:tcW w:w="408" w:type="pct"/>
            <w:vMerge w:val="continue"/>
            <w:shd w:val="clear" w:color="auto" w:fill="auto"/>
            <w:vAlign w:val="center"/>
          </w:tcPr>
          <w:p w14:paraId="0CDACAE4">
            <w:pPr>
              <w:adjustRightInd w:val="0"/>
              <w:snapToGrid w:val="0"/>
              <w:spacing w:line="320" w:lineRule="exact"/>
              <w:jc w:val="center"/>
              <w:rPr>
                <w:rFonts w:eastAsia="仿宋_GB2312"/>
                <w:b/>
                <w:bCs/>
                <w:color w:val="FF0000"/>
                <w:szCs w:val="21"/>
              </w:rPr>
            </w:pPr>
          </w:p>
        </w:tc>
        <w:tc>
          <w:tcPr>
            <w:tcW w:w="326" w:type="pct"/>
            <w:vMerge w:val="continue"/>
            <w:shd w:val="clear" w:color="auto" w:fill="auto"/>
            <w:vAlign w:val="center"/>
          </w:tcPr>
          <w:p w14:paraId="64080C9A">
            <w:pPr>
              <w:adjustRightInd w:val="0"/>
              <w:snapToGrid w:val="0"/>
              <w:spacing w:line="320" w:lineRule="exact"/>
              <w:jc w:val="center"/>
              <w:rPr>
                <w:rFonts w:eastAsia="仿宋_GB2312"/>
                <w:b/>
                <w:bCs/>
                <w:color w:val="FF0000"/>
                <w:szCs w:val="21"/>
              </w:rPr>
            </w:pPr>
          </w:p>
        </w:tc>
        <w:tc>
          <w:tcPr>
            <w:tcW w:w="324" w:type="pct"/>
            <w:vMerge w:val="continue"/>
            <w:shd w:val="clear" w:color="auto" w:fill="auto"/>
            <w:vAlign w:val="center"/>
          </w:tcPr>
          <w:p w14:paraId="51EE0147">
            <w:pPr>
              <w:adjustRightInd w:val="0"/>
              <w:snapToGrid w:val="0"/>
              <w:spacing w:line="320" w:lineRule="exact"/>
              <w:jc w:val="center"/>
              <w:rPr>
                <w:rFonts w:eastAsia="仿宋_GB2312"/>
                <w:b/>
                <w:bCs/>
                <w:color w:val="FF0000"/>
                <w:szCs w:val="21"/>
              </w:rPr>
            </w:pPr>
          </w:p>
        </w:tc>
      </w:tr>
      <w:tr w14:paraId="239596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09" w:type="pct"/>
            <w:vMerge w:val="continue"/>
            <w:shd w:val="clear" w:color="auto" w:fill="auto"/>
            <w:vAlign w:val="center"/>
          </w:tcPr>
          <w:p w14:paraId="12730100">
            <w:pPr>
              <w:adjustRightInd w:val="0"/>
              <w:snapToGrid w:val="0"/>
              <w:spacing w:line="320" w:lineRule="exact"/>
              <w:jc w:val="center"/>
              <w:rPr>
                <w:rFonts w:eastAsia="仿宋_GB2312"/>
                <w:b/>
                <w:bCs/>
                <w:color w:val="FF0000"/>
                <w:szCs w:val="21"/>
              </w:rPr>
            </w:pPr>
          </w:p>
        </w:tc>
        <w:tc>
          <w:tcPr>
            <w:tcW w:w="586" w:type="pct"/>
            <w:vMerge w:val="continue"/>
            <w:shd w:val="clear" w:color="auto" w:fill="auto"/>
            <w:vAlign w:val="center"/>
          </w:tcPr>
          <w:p w14:paraId="2992DFF2">
            <w:pPr>
              <w:adjustRightInd w:val="0"/>
              <w:snapToGrid w:val="0"/>
              <w:spacing w:line="320" w:lineRule="exact"/>
              <w:jc w:val="center"/>
              <w:rPr>
                <w:rFonts w:eastAsia="仿宋_GB2312"/>
                <w:b/>
                <w:bCs/>
                <w:color w:val="FF0000"/>
                <w:szCs w:val="21"/>
              </w:rPr>
            </w:pPr>
          </w:p>
        </w:tc>
        <w:tc>
          <w:tcPr>
            <w:tcW w:w="820" w:type="pct"/>
            <w:shd w:val="clear" w:color="auto" w:fill="auto"/>
            <w:vAlign w:val="center"/>
          </w:tcPr>
          <w:p w14:paraId="3AC3E84F">
            <w:pPr>
              <w:adjustRightInd w:val="0"/>
              <w:snapToGrid w:val="0"/>
              <w:spacing w:line="320" w:lineRule="exact"/>
              <w:jc w:val="center"/>
              <w:rPr>
                <w:rFonts w:ascii="Times New Roman" w:hAnsi="Times New Roman" w:eastAsia="仿宋_GB2312" w:cs="Times New Roman"/>
                <w:bCs/>
                <w:color w:val="auto"/>
                <w:kern w:val="2"/>
                <w:sz w:val="21"/>
                <w:szCs w:val="21"/>
                <w:lang w:val="en-US" w:eastAsia="zh-CN" w:bidi="ar-SA"/>
              </w:rPr>
            </w:pPr>
            <w:r>
              <w:rPr>
                <w:rFonts w:eastAsia="仿宋_GB2312"/>
                <w:bCs/>
                <w:color w:val="auto"/>
                <w:szCs w:val="21"/>
              </w:rPr>
              <w:t>VOCs</w:t>
            </w:r>
          </w:p>
        </w:tc>
        <w:tc>
          <w:tcPr>
            <w:tcW w:w="492" w:type="pct"/>
            <w:shd w:val="clear" w:color="auto" w:fill="auto"/>
            <w:vAlign w:val="center"/>
          </w:tcPr>
          <w:p w14:paraId="18071063">
            <w:pPr>
              <w:adjustRightInd w:val="0"/>
              <w:snapToGrid w:val="0"/>
              <w:spacing w:line="320" w:lineRule="exact"/>
              <w:jc w:val="center"/>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46.34</w:t>
            </w:r>
          </w:p>
        </w:tc>
        <w:tc>
          <w:tcPr>
            <w:tcW w:w="506" w:type="pct"/>
            <w:shd w:val="clear" w:color="auto" w:fill="auto"/>
            <w:vAlign w:val="center"/>
          </w:tcPr>
          <w:p w14:paraId="39ADD4EF">
            <w:pPr>
              <w:adjustRightInd w:val="0"/>
              <w:snapToGrid w:val="0"/>
              <w:spacing w:line="320" w:lineRule="exact"/>
              <w:jc w:val="center"/>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3.53</w:t>
            </w:r>
          </w:p>
        </w:tc>
        <w:tc>
          <w:tcPr>
            <w:tcW w:w="630" w:type="pct"/>
            <w:shd w:val="clear" w:color="auto" w:fill="auto"/>
            <w:vAlign w:val="center"/>
          </w:tcPr>
          <w:p w14:paraId="376F2CFD">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b/>
                <w:bCs/>
                <w:color w:val="auto"/>
                <w:szCs w:val="21"/>
              </w:rPr>
              <w:t>/</w:t>
            </w:r>
          </w:p>
        </w:tc>
        <w:tc>
          <w:tcPr>
            <w:tcW w:w="496" w:type="pct"/>
            <w:shd w:val="clear" w:color="auto" w:fill="auto"/>
            <w:vAlign w:val="center"/>
          </w:tcPr>
          <w:p w14:paraId="61CCCF57">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b/>
                <w:bCs/>
                <w:color w:val="auto"/>
                <w:szCs w:val="21"/>
              </w:rPr>
              <w:t>/</w:t>
            </w:r>
          </w:p>
        </w:tc>
        <w:tc>
          <w:tcPr>
            <w:tcW w:w="408" w:type="pct"/>
            <w:vMerge w:val="continue"/>
            <w:shd w:val="clear" w:color="auto" w:fill="auto"/>
            <w:vAlign w:val="center"/>
          </w:tcPr>
          <w:p w14:paraId="00080DC1">
            <w:pPr>
              <w:adjustRightInd w:val="0"/>
              <w:snapToGrid w:val="0"/>
              <w:spacing w:line="320" w:lineRule="exact"/>
              <w:jc w:val="center"/>
              <w:rPr>
                <w:rFonts w:eastAsia="仿宋_GB2312"/>
                <w:b/>
                <w:bCs/>
                <w:color w:val="FF0000"/>
                <w:szCs w:val="21"/>
              </w:rPr>
            </w:pPr>
          </w:p>
        </w:tc>
        <w:tc>
          <w:tcPr>
            <w:tcW w:w="326" w:type="pct"/>
            <w:vMerge w:val="continue"/>
            <w:shd w:val="clear" w:color="auto" w:fill="auto"/>
            <w:vAlign w:val="center"/>
          </w:tcPr>
          <w:p w14:paraId="1EC1800F">
            <w:pPr>
              <w:adjustRightInd w:val="0"/>
              <w:snapToGrid w:val="0"/>
              <w:spacing w:line="320" w:lineRule="exact"/>
              <w:jc w:val="center"/>
              <w:rPr>
                <w:rFonts w:eastAsia="仿宋_GB2312"/>
                <w:b/>
                <w:bCs/>
                <w:color w:val="FF0000"/>
                <w:szCs w:val="21"/>
              </w:rPr>
            </w:pPr>
          </w:p>
        </w:tc>
        <w:tc>
          <w:tcPr>
            <w:tcW w:w="324" w:type="pct"/>
            <w:vMerge w:val="continue"/>
            <w:shd w:val="clear" w:color="auto" w:fill="auto"/>
            <w:vAlign w:val="center"/>
          </w:tcPr>
          <w:p w14:paraId="3ED11449">
            <w:pPr>
              <w:adjustRightInd w:val="0"/>
              <w:snapToGrid w:val="0"/>
              <w:spacing w:line="320" w:lineRule="exact"/>
              <w:jc w:val="center"/>
              <w:rPr>
                <w:rFonts w:eastAsia="仿宋_GB2312"/>
                <w:b/>
                <w:bCs/>
                <w:color w:val="FF0000"/>
                <w:szCs w:val="21"/>
              </w:rPr>
            </w:pPr>
          </w:p>
        </w:tc>
      </w:tr>
      <w:tr w14:paraId="74D263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09" w:type="pct"/>
            <w:vMerge w:val="continue"/>
            <w:shd w:val="clear" w:color="auto" w:fill="auto"/>
            <w:vAlign w:val="center"/>
          </w:tcPr>
          <w:p w14:paraId="4B67C915">
            <w:pPr>
              <w:adjustRightInd w:val="0"/>
              <w:snapToGrid w:val="0"/>
              <w:spacing w:line="320" w:lineRule="exact"/>
              <w:jc w:val="center"/>
              <w:rPr>
                <w:rFonts w:eastAsia="仿宋_GB2312"/>
                <w:b/>
                <w:bCs/>
                <w:color w:val="FF0000"/>
                <w:szCs w:val="21"/>
              </w:rPr>
            </w:pPr>
          </w:p>
        </w:tc>
        <w:tc>
          <w:tcPr>
            <w:tcW w:w="586" w:type="pct"/>
            <w:vMerge w:val="continue"/>
            <w:shd w:val="clear" w:color="auto" w:fill="auto"/>
            <w:vAlign w:val="center"/>
          </w:tcPr>
          <w:p w14:paraId="64495835">
            <w:pPr>
              <w:adjustRightInd w:val="0"/>
              <w:snapToGrid w:val="0"/>
              <w:spacing w:line="320" w:lineRule="exact"/>
              <w:jc w:val="center"/>
              <w:rPr>
                <w:rFonts w:eastAsia="仿宋_GB2312"/>
                <w:b/>
                <w:bCs/>
                <w:color w:val="FF0000"/>
                <w:szCs w:val="21"/>
              </w:rPr>
            </w:pPr>
          </w:p>
        </w:tc>
        <w:tc>
          <w:tcPr>
            <w:tcW w:w="820" w:type="pct"/>
            <w:shd w:val="clear" w:color="auto" w:fill="auto"/>
            <w:vAlign w:val="center"/>
          </w:tcPr>
          <w:p w14:paraId="771C1C38">
            <w:pPr>
              <w:adjustRightInd w:val="0"/>
              <w:snapToGrid w:val="0"/>
              <w:spacing w:line="320" w:lineRule="exact"/>
              <w:jc w:val="center"/>
              <w:rPr>
                <w:rFonts w:hint="eastAsia" w:ascii="Times New Roman" w:hAnsi="Times New Roman" w:eastAsia="仿宋_GB2312" w:cs="Times New Roman"/>
                <w:bCs/>
                <w:color w:val="auto"/>
                <w:kern w:val="2"/>
                <w:sz w:val="21"/>
                <w:szCs w:val="21"/>
                <w:lang w:val="en-US" w:eastAsia="zh-CN" w:bidi="ar-SA"/>
              </w:rPr>
            </w:pPr>
            <w:r>
              <w:rPr>
                <w:rFonts w:hint="eastAsia" w:eastAsia="仿宋_GB2312"/>
                <w:bCs/>
                <w:color w:val="auto"/>
                <w:szCs w:val="21"/>
                <w:lang w:val="en-US" w:eastAsia="zh-CN"/>
              </w:rPr>
              <w:t>二噁英</w:t>
            </w:r>
          </w:p>
        </w:tc>
        <w:tc>
          <w:tcPr>
            <w:tcW w:w="492" w:type="pct"/>
            <w:shd w:val="clear" w:color="auto" w:fill="auto"/>
            <w:vAlign w:val="center"/>
          </w:tcPr>
          <w:p w14:paraId="6902BE05">
            <w:pPr>
              <w:adjustRightInd w:val="0"/>
              <w:snapToGrid w:val="0"/>
              <w:spacing w:line="320" w:lineRule="exact"/>
              <w:jc w:val="center"/>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0.03</w:t>
            </w:r>
          </w:p>
        </w:tc>
        <w:tc>
          <w:tcPr>
            <w:tcW w:w="506" w:type="pct"/>
            <w:shd w:val="clear" w:color="auto" w:fill="auto"/>
            <w:vAlign w:val="center"/>
          </w:tcPr>
          <w:p w14:paraId="205174EE">
            <w:pPr>
              <w:adjustRightInd w:val="0"/>
              <w:snapToGrid w:val="0"/>
              <w:spacing w:line="320" w:lineRule="exact"/>
              <w:jc w:val="center"/>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2381ng/h</w:t>
            </w:r>
          </w:p>
        </w:tc>
        <w:tc>
          <w:tcPr>
            <w:tcW w:w="630" w:type="pct"/>
            <w:shd w:val="clear" w:color="auto" w:fill="auto"/>
            <w:vAlign w:val="center"/>
          </w:tcPr>
          <w:p w14:paraId="36DBAE78">
            <w:pPr>
              <w:adjustRightInd w:val="0"/>
              <w:snapToGrid w:val="0"/>
              <w:spacing w:line="320" w:lineRule="exact"/>
              <w:jc w:val="center"/>
              <w:rPr>
                <w:rFonts w:hint="eastAsia" w:ascii="Times New Roman" w:hAnsi="Times New Roman" w:eastAsia="仿宋_GB2312" w:cs="Times New Roman"/>
                <w:b w:val="0"/>
                <w:bCs w:val="0"/>
                <w:color w:val="auto"/>
                <w:kern w:val="2"/>
                <w:sz w:val="21"/>
                <w:szCs w:val="21"/>
                <w:lang w:val="en-US" w:eastAsia="zh-CN" w:bidi="ar-SA"/>
              </w:rPr>
            </w:pPr>
            <w:r>
              <w:rPr>
                <w:rFonts w:hint="eastAsia" w:eastAsia="仿宋_GB2312"/>
                <w:b w:val="0"/>
                <w:bCs w:val="0"/>
                <w:color w:val="auto"/>
                <w:szCs w:val="21"/>
                <w:lang w:val="en-US" w:eastAsia="zh-CN"/>
              </w:rPr>
              <w:t>0.5（</w:t>
            </w:r>
            <w:r>
              <w:rPr>
                <w:rFonts w:hint="default" w:eastAsia="仿宋_GB2312"/>
                <w:kern w:val="0"/>
                <w:szCs w:val="20"/>
              </w:rPr>
              <w:t>ngTEQ/Nm</w:t>
            </w:r>
            <w:r>
              <w:rPr>
                <w:rFonts w:hint="default" w:eastAsia="仿宋_GB2312"/>
                <w:kern w:val="0"/>
                <w:szCs w:val="20"/>
                <w:vertAlign w:val="superscript"/>
              </w:rPr>
              <w:t>3</w:t>
            </w:r>
            <w:r>
              <w:rPr>
                <w:rFonts w:hint="eastAsia" w:eastAsia="仿宋_GB2312"/>
                <w:b w:val="0"/>
                <w:bCs w:val="0"/>
                <w:color w:val="auto"/>
                <w:szCs w:val="21"/>
                <w:lang w:val="en-US" w:eastAsia="zh-CN"/>
              </w:rPr>
              <w:t>）</w:t>
            </w:r>
          </w:p>
        </w:tc>
        <w:tc>
          <w:tcPr>
            <w:tcW w:w="496" w:type="pct"/>
            <w:shd w:val="clear" w:color="auto" w:fill="auto"/>
            <w:vAlign w:val="center"/>
          </w:tcPr>
          <w:p w14:paraId="47AED10B">
            <w:pPr>
              <w:adjustRightInd w:val="0"/>
              <w:snapToGrid w:val="0"/>
              <w:spacing w:line="320" w:lineRule="exact"/>
              <w:jc w:val="center"/>
              <w:rPr>
                <w:rFonts w:hint="eastAsia" w:ascii="Times New Roman" w:hAnsi="Times New Roman" w:eastAsia="仿宋_GB2312" w:cs="Times New Roman"/>
                <w:b w:val="0"/>
                <w:bCs w:val="0"/>
                <w:color w:val="auto"/>
                <w:kern w:val="2"/>
                <w:sz w:val="21"/>
                <w:szCs w:val="21"/>
                <w:lang w:val="en-US" w:eastAsia="zh-CN" w:bidi="ar-SA"/>
              </w:rPr>
            </w:pPr>
            <w:r>
              <w:rPr>
                <w:rFonts w:hint="eastAsia" w:eastAsia="仿宋_GB2312"/>
                <w:b w:val="0"/>
                <w:bCs w:val="0"/>
                <w:color w:val="auto"/>
                <w:szCs w:val="21"/>
                <w:lang w:val="en-US" w:eastAsia="zh-CN"/>
              </w:rPr>
              <w:t>/</w:t>
            </w:r>
          </w:p>
        </w:tc>
        <w:tc>
          <w:tcPr>
            <w:tcW w:w="408" w:type="pct"/>
            <w:vMerge w:val="continue"/>
            <w:shd w:val="clear" w:color="auto" w:fill="auto"/>
            <w:vAlign w:val="center"/>
          </w:tcPr>
          <w:p w14:paraId="042ACC0E">
            <w:pPr>
              <w:adjustRightInd w:val="0"/>
              <w:snapToGrid w:val="0"/>
              <w:spacing w:line="320" w:lineRule="exact"/>
              <w:jc w:val="center"/>
              <w:rPr>
                <w:rFonts w:eastAsia="仿宋_GB2312"/>
                <w:b/>
                <w:bCs/>
                <w:color w:val="FF0000"/>
                <w:szCs w:val="21"/>
              </w:rPr>
            </w:pPr>
          </w:p>
        </w:tc>
        <w:tc>
          <w:tcPr>
            <w:tcW w:w="326" w:type="pct"/>
            <w:vMerge w:val="continue"/>
            <w:shd w:val="clear" w:color="auto" w:fill="auto"/>
            <w:vAlign w:val="center"/>
          </w:tcPr>
          <w:p w14:paraId="5A0DA36A">
            <w:pPr>
              <w:adjustRightInd w:val="0"/>
              <w:snapToGrid w:val="0"/>
              <w:spacing w:line="320" w:lineRule="exact"/>
              <w:jc w:val="center"/>
              <w:rPr>
                <w:rFonts w:eastAsia="仿宋_GB2312"/>
                <w:b/>
                <w:bCs/>
                <w:color w:val="FF0000"/>
                <w:szCs w:val="21"/>
              </w:rPr>
            </w:pPr>
          </w:p>
        </w:tc>
        <w:tc>
          <w:tcPr>
            <w:tcW w:w="324" w:type="pct"/>
            <w:vMerge w:val="continue"/>
            <w:shd w:val="clear" w:color="auto" w:fill="auto"/>
            <w:vAlign w:val="center"/>
          </w:tcPr>
          <w:p w14:paraId="4D3579CF">
            <w:pPr>
              <w:adjustRightInd w:val="0"/>
              <w:snapToGrid w:val="0"/>
              <w:spacing w:line="320" w:lineRule="exact"/>
              <w:jc w:val="center"/>
              <w:rPr>
                <w:rFonts w:eastAsia="仿宋_GB2312"/>
                <w:b/>
                <w:bCs/>
                <w:color w:val="FF0000"/>
                <w:szCs w:val="21"/>
              </w:rPr>
            </w:pPr>
          </w:p>
        </w:tc>
      </w:tr>
      <w:tr w14:paraId="660B3D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09" w:type="pct"/>
            <w:vMerge w:val="restart"/>
            <w:shd w:val="clear" w:color="auto" w:fill="auto"/>
            <w:vAlign w:val="center"/>
          </w:tcPr>
          <w:p w14:paraId="2913B979">
            <w:pPr>
              <w:adjustRightInd w:val="0"/>
              <w:snapToGrid w:val="0"/>
              <w:spacing w:line="320" w:lineRule="exact"/>
              <w:jc w:val="center"/>
              <w:rPr>
                <w:rFonts w:hint="default" w:eastAsia="仿宋_GB2312"/>
                <w:bCs/>
                <w:color w:val="auto"/>
                <w:szCs w:val="21"/>
                <w:lang w:val="en-US" w:eastAsia="zh-CN"/>
              </w:rPr>
            </w:pPr>
            <w:r>
              <w:rPr>
                <w:rFonts w:hint="eastAsia" w:eastAsia="仿宋_GB2312"/>
                <w:bCs/>
                <w:color w:val="auto"/>
                <w:szCs w:val="21"/>
                <w:lang w:val="en-US" w:eastAsia="zh-CN"/>
              </w:rPr>
              <w:t>DA004</w:t>
            </w:r>
          </w:p>
        </w:tc>
        <w:tc>
          <w:tcPr>
            <w:tcW w:w="586" w:type="pct"/>
            <w:vMerge w:val="restart"/>
            <w:shd w:val="clear" w:color="auto" w:fill="auto"/>
            <w:vAlign w:val="center"/>
          </w:tcPr>
          <w:p w14:paraId="74BF3118">
            <w:pPr>
              <w:jc w:val="center"/>
              <w:rPr>
                <w:rFonts w:eastAsia="仿宋_GB2312"/>
                <w:bCs/>
                <w:color w:val="auto"/>
                <w:szCs w:val="21"/>
              </w:rPr>
            </w:pPr>
            <w:r>
              <w:rPr>
                <w:rFonts w:eastAsia="仿宋_GB2312"/>
                <w:color w:val="auto"/>
                <w:szCs w:val="21"/>
              </w:rPr>
              <w:t>60000</w:t>
            </w:r>
          </w:p>
        </w:tc>
        <w:tc>
          <w:tcPr>
            <w:tcW w:w="820" w:type="pct"/>
            <w:shd w:val="clear" w:color="auto" w:fill="auto"/>
            <w:vAlign w:val="center"/>
          </w:tcPr>
          <w:p w14:paraId="65CB5343">
            <w:pPr>
              <w:adjustRightInd w:val="0"/>
              <w:snapToGrid w:val="0"/>
              <w:spacing w:line="320" w:lineRule="exact"/>
              <w:jc w:val="center"/>
              <w:rPr>
                <w:rFonts w:hint="eastAsia" w:ascii="Times New Roman" w:hAnsi="Times New Roman" w:eastAsia="仿宋_GB2312" w:cs="Times New Roman"/>
                <w:bCs/>
                <w:color w:val="auto"/>
                <w:kern w:val="2"/>
                <w:sz w:val="21"/>
                <w:szCs w:val="21"/>
                <w:lang w:val="en-US" w:eastAsia="zh-CN" w:bidi="ar-SA"/>
              </w:rPr>
            </w:pPr>
            <w:r>
              <w:rPr>
                <w:rFonts w:hint="eastAsia" w:eastAsia="仿宋_GB2312"/>
                <w:bCs/>
                <w:color w:val="auto"/>
                <w:szCs w:val="21"/>
                <w:lang w:val="en-US" w:eastAsia="zh-CN"/>
              </w:rPr>
              <w:t>氨</w:t>
            </w:r>
          </w:p>
        </w:tc>
        <w:tc>
          <w:tcPr>
            <w:tcW w:w="492" w:type="pct"/>
            <w:shd w:val="clear" w:color="auto" w:fill="auto"/>
            <w:vAlign w:val="bottom"/>
          </w:tcPr>
          <w:p w14:paraId="444620C2">
            <w:pPr>
              <w:adjustRightInd w:val="0"/>
              <w:snapToGrid w:val="0"/>
              <w:spacing w:line="320" w:lineRule="exact"/>
              <w:jc w:val="center"/>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0.82</w:t>
            </w:r>
          </w:p>
        </w:tc>
        <w:tc>
          <w:tcPr>
            <w:tcW w:w="506" w:type="pct"/>
            <w:shd w:val="clear" w:color="auto" w:fill="auto"/>
            <w:vAlign w:val="bottom"/>
          </w:tcPr>
          <w:p w14:paraId="51639023">
            <w:pPr>
              <w:adjustRightInd w:val="0"/>
              <w:snapToGrid w:val="0"/>
              <w:spacing w:line="320" w:lineRule="exact"/>
              <w:jc w:val="center"/>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0.02</w:t>
            </w:r>
          </w:p>
        </w:tc>
        <w:tc>
          <w:tcPr>
            <w:tcW w:w="630" w:type="pct"/>
            <w:shd w:val="clear" w:color="auto" w:fill="auto"/>
            <w:vAlign w:val="center"/>
          </w:tcPr>
          <w:p w14:paraId="739D6A80">
            <w:pPr>
              <w:adjustRightInd w:val="0"/>
              <w:snapToGrid w:val="0"/>
              <w:spacing w:line="320" w:lineRule="exact"/>
              <w:jc w:val="center"/>
              <w:rPr>
                <w:rFonts w:hint="eastAsia" w:ascii="Times New Roman" w:hAnsi="Times New Roman" w:eastAsia="仿宋_GB2312" w:cs="Times New Roman"/>
                <w:bCs/>
                <w:color w:val="auto"/>
                <w:kern w:val="2"/>
                <w:sz w:val="21"/>
                <w:szCs w:val="21"/>
                <w:lang w:val="en-US" w:eastAsia="zh-CN" w:bidi="ar-SA"/>
              </w:rPr>
            </w:pPr>
            <w:r>
              <w:rPr>
                <w:rFonts w:hint="eastAsia" w:eastAsia="仿宋_GB2312"/>
                <w:bCs/>
                <w:color w:val="auto"/>
                <w:szCs w:val="21"/>
                <w:lang w:val="en-US" w:eastAsia="zh-CN"/>
              </w:rPr>
              <w:t>/</w:t>
            </w:r>
          </w:p>
        </w:tc>
        <w:tc>
          <w:tcPr>
            <w:tcW w:w="496" w:type="pct"/>
            <w:shd w:val="clear" w:color="auto" w:fill="auto"/>
            <w:vAlign w:val="center"/>
          </w:tcPr>
          <w:p w14:paraId="790B9DE4">
            <w:pPr>
              <w:adjustRightInd w:val="0"/>
              <w:snapToGrid w:val="0"/>
              <w:spacing w:line="320" w:lineRule="exact"/>
              <w:jc w:val="center"/>
              <w:rPr>
                <w:rFonts w:hint="default" w:ascii="Times New Roman" w:hAnsi="Times New Roman" w:eastAsia="仿宋_GB2312" w:cs="Times New Roman"/>
                <w:bCs/>
                <w:color w:val="auto"/>
                <w:kern w:val="2"/>
                <w:sz w:val="21"/>
                <w:szCs w:val="21"/>
                <w:lang w:val="en-US" w:eastAsia="zh-CN" w:bidi="ar-SA"/>
              </w:rPr>
            </w:pPr>
            <w:r>
              <w:rPr>
                <w:rFonts w:hint="eastAsia" w:eastAsia="仿宋_GB2312"/>
                <w:bCs/>
                <w:color w:val="auto"/>
                <w:szCs w:val="21"/>
                <w:lang w:val="en-US" w:eastAsia="zh-CN"/>
              </w:rPr>
              <w:t>14</w:t>
            </w:r>
          </w:p>
        </w:tc>
        <w:tc>
          <w:tcPr>
            <w:tcW w:w="408" w:type="pct"/>
            <w:vMerge w:val="restart"/>
            <w:shd w:val="clear" w:color="auto" w:fill="auto"/>
            <w:vAlign w:val="center"/>
          </w:tcPr>
          <w:p w14:paraId="4DB53B86">
            <w:pPr>
              <w:adjustRightInd w:val="0"/>
              <w:snapToGrid w:val="0"/>
              <w:spacing w:line="320" w:lineRule="exact"/>
              <w:jc w:val="center"/>
              <w:rPr>
                <w:rFonts w:eastAsia="仿宋_GB2312"/>
                <w:bCs/>
                <w:color w:val="auto"/>
                <w:szCs w:val="21"/>
              </w:rPr>
            </w:pPr>
            <w:r>
              <w:rPr>
                <w:rFonts w:eastAsia="仿宋_GB2312"/>
                <w:bCs/>
                <w:color w:val="auto"/>
                <w:szCs w:val="21"/>
              </w:rPr>
              <w:t>25</w:t>
            </w:r>
          </w:p>
        </w:tc>
        <w:tc>
          <w:tcPr>
            <w:tcW w:w="326" w:type="pct"/>
            <w:vMerge w:val="restart"/>
            <w:shd w:val="clear" w:color="auto" w:fill="auto"/>
            <w:vAlign w:val="center"/>
          </w:tcPr>
          <w:p w14:paraId="3CB95BB9">
            <w:pPr>
              <w:adjustRightInd w:val="0"/>
              <w:snapToGrid w:val="0"/>
              <w:spacing w:line="320" w:lineRule="exact"/>
              <w:jc w:val="center"/>
              <w:rPr>
                <w:rFonts w:hint="eastAsia" w:eastAsia="仿宋_GB2312"/>
                <w:bCs/>
                <w:color w:val="auto"/>
                <w:szCs w:val="21"/>
                <w:lang w:eastAsia="zh-CN"/>
              </w:rPr>
            </w:pPr>
            <w:r>
              <w:rPr>
                <w:rFonts w:eastAsia="仿宋_GB2312"/>
                <w:bCs/>
                <w:color w:val="auto"/>
                <w:szCs w:val="21"/>
              </w:rPr>
              <w:t>1.</w:t>
            </w:r>
            <w:r>
              <w:rPr>
                <w:rFonts w:hint="eastAsia" w:eastAsia="仿宋_GB2312"/>
                <w:bCs/>
                <w:color w:val="auto"/>
                <w:szCs w:val="21"/>
                <w:lang w:val="en-US" w:eastAsia="zh-CN"/>
              </w:rPr>
              <w:t>4</w:t>
            </w:r>
          </w:p>
        </w:tc>
        <w:tc>
          <w:tcPr>
            <w:tcW w:w="324" w:type="pct"/>
            <w:vMerge w:val="restart"/>
            <w:shd w:val="clear" w:color="auto" w:fill="auto"/>
            <w:vAlign w:val="center"/>
          </w:tcPr>
          <w:p w14:paraId="2E008C18">
            <w:pPr>
              <w:adjustRightInd w:val="0"/>
              <w:snapToGrid w:val="0"/>
              <w:spacing w:line="320" w:lineRule="exact"/>
              <w:jc w:val="center"/>
              <w:rPr>
                <w:rFonts w:eastAsia="仿宋_GB2312"/>
                <w:bCs/>
                <w:color w:val="auto"/>
                <w:szCs w:val="21"/>
              </w:rPr>
            </w:pPr>
            <w:r>
              <w:rPr>
                <w:rFonts w:eastAsia="仿宋_GB2312"/>
                <w:bCs/>
                <w:color w:val="auto"/>
                <w:szCs w:val="21"/>
              </w:rPr>
              <w:t>25</w:t>
            </w:r>
          </w:p>
        </w:tc>
      </w:tr>
      <w:tr w14:paraId="3FBE89C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09" w:type="pct"/>
            <w:vMerge w:val="continue"/>
            <w:shd w:val="clear" w:color="auto" w:fill="auto"/>
            <w:vAlign w:val="center"/>
          </w:tcPr>
          <w:p w14:paraId="43AACF29">
            <w:pPr>
              <w:adjustRightInd w:val="0"/>
              <w:snapToGrid w:val="0"/>
              <w:spacing w:line="320" w:lineRule="exact"/>
              <w:jc w:val="center"/>
              <w:rPr>
                <w:rFonts w:eastAsia="仿宋_GB2312"/>
                <w:bCs/>
                <w:color w:val="auto"/>
                <w:szCs w:val="21"/>
              </w:rPr>
            </w:pPr>
          </w:p>
        </w:tc>
        <w:tc>
          <w:tcPr>
            <w:tcW w:w="586" w:type="pct"/>
            <w:vMerge w:val="continue"/>
            <w:shd w:val="clear" w:color="auto" w:fill="auto"/>
            <w:vAlign w:val="center"/>
          </w:tcPr>
          <w:p w14:paraId="3EB52C50">
            <w:pPr>
              <w:jc w:val="center"/>
              <w:rPr>
                <w:rFonts w:eastAsia="仿宋_GB2312"/>
                <w:bCs/>
                <w:color w:val="auto"/>
                <w:szCs w:val="21"/>
              </w:rPr>
            </w:pPr>
          </w:p>
        </w:tc>
        <w:tc>
          <w:tcPr>
            <w:tcW w:w="820" w:type="pct"/>
            <w:shd w:val="clear" w:color="auto" w:fill="auto"/>
            <w:vAlign w:val="center"/>
          </w:tcPr>
          <w:p w14:paraId="56CCB3FC">
            <w:pPr>
              <w:adjustRightInd w:val="0"/>
              <w:snapToGrid w:val="0"/>
              <w:spacing w:line="320" w:lineRule="exact"/>
              <w:jc w:val="center"/>
              <w:rPr>
                <w:rFonts w:hint="eastAsia" w:ascii="Times New Roman" w:hAnsi="Times New Roman" w:eastAsia="仿宋_GB2312" w:cs="Times New Roman"/>
                <w:color w:val="auto"/>
                <w:kern w:val="2"/>
                <w:sz w:val="21"/>
                <w:szCs w:val="21"/>
                <w:lang w:val="en-US" w:eastAsia="zh-CN" w:bidi="ar-SA"/>
              </w:rPr>
            </w:pPr>
            <w:r>
              <w:rPr>
                <w:rFonts w:hint="eastAsia" w:eastAsia="仿宋_GB2312"/>
                <w:color w:val="auto"/>
                <w:szCs w:val="21"/>
                <w:lang w:val="en-US" w:eastAsia="zh-CN"/>
              </w:rPr>
              <w:t>硫化氢</w:t>
            </w:r>
          </w:p>
        </w:tc>
        <w:tc>
          <w:tcPr>
            <w:tcW w:w="492" w:type="pct"/>
            <w:shd w:val="clear" w:color="auto" w:fill="auto"/>
            <w:vAlign w:val="bottom"/>
          </w:tcPr>
          <w:p w14:paraId="4735E125">
            <w:pPr>
              <w:adjustRightInd w:val="0"/>
              <w:snapToGrid w:val="0"/>
              <w:spacing w:line="320" w:lineRule="exact"/>
              <w:jc w:val="center"/>
              <w:rPr>
                <w:rFonts w:hint="eastAsia"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0.001</w:t>
            </w:r>
          </w:p>
        </w:tc>
        <w:tc>
          <w:tcPr>
            <w:tcW w:w="506" w:type="pct"/>
            <w:shd w:val="clear" w:color="auto" w:fill="auto"/>
            <w:vAlign w:val="bottom"/>
          </w:tcPr>
          <w:p w14:paraId="05BBD20A">
            <w:pPr>
              <w:adjustRightInd w:val="0"/>
              <w:snapToGrid w:val="0"/>
              <w:spacing w:line="320" w:lineRule="exact"/>
              <w:jc w:val="center"/>
              <w:rPr>
                <w:rFonts w:hint="eastAsia"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0.0001</w:t>
            </w:r>
          </w:p>
        </w:tc>
        <w:tc>
          <w:tcPr>
            <w:tcW w:w="630" w:type="pct"/>
            <w:shd w:val="clear" w:color="auto" w:fill="auto"/>
            <w:vAlign w:val="center"/>
          </w:tcPr>
          <w:p w14:paraId="0FC9346D">
            <w:pPr>
              <w:adjustRightInd w:val="0"/>
              <w:snapToGrid w:val="0"/>
              <w:spacing w:line="320" w:lineRule="exact"/>
              <w:jc w:val="center"/>
              <w:rPr>
                <w:rFonts w:hint="eastAsia" w:ascii="Times New Roman" w:hAnsi="Times New Roman" w:eastAsia="仿宋_GB2312" w:cs="Times New Roman"/>
                <w:color w:val="auto"/>
                <w:kern w:val="2"/>
                <w:sz w:val="21"/>
                <w:szCs w:val="21"/>
                <w:lang w:val="en-US" w:eastAsia="zh-CN" w:bidi="ar-SA"/>
              </w:rPr>
            </w:pPr>
            <w:r>
              <w:rPr>
                <w:rFonts w:hint="eastAsia" w:eastAsia="仿宋_GB2312"/>
                <w:color w:val="auto"/>
                <w:szCs w:val="21"/>
                <w:lang w:val="en-US" w:eastAsia="zh-CN"/>
              </w:rPr>
              <w:t>/</w:t>
            </w:r>
          </w:p>
        </w:tc>
        <w:tc>
          <w:tcPr>
            <w:tcW w:w="496" w:type="pct"/>
            <w:shd w:val="clear" w:color="auto" w:fill="auto"/>
            <w:vAlign w:val="center"/>
          </w:tcPr>
          <w:p w14:paraId="05FA2A06">
            <w:pPr>
              <w:adjustRightInd w:val="0"/>
              <w:snapToGrid w:val="0"/>
              <w:spacing w:line="320" w:lineRule="exact"/>
              <w:jc w:val="center"/>
              <w:rPr>
                <w:rFonts w:hint="default" w:ascii="Times New Roman" w:hAnsi="Times New Roman" w:eastAsia="仿宋_GB2312" w:cs="Times New Roman"/>
                <w:color w:val="auto"/>
                <w:kern w:val="2"/>
                <w:sz w:val="21"/>
                <w:szCs w:val="21"/>
                <w:lang w:val="en-US" w:eastAsia="zh-CN" w:bidi="ar-SA"/>
              </w:rPr>
            </w:pPr>
            <w:r>
              <w:rPr>
                <w:rFonts w:hint="eastAsia" w:eastAsia="仿宋_GB2312"/>
                <w:color w:val="auto"/>
                <w:szCs w:val="21"/>
                <w:lang w:val="en-US" w:eastAsia="zh-CN"/>
              </w:rPr>
              <w:t>0.9</w:t>
            </w:r>
          </w:p>
        </w:tc>
        <w:tc>
          <w:tcPr>
            <w:tcW w:w="408" w:type="pct"/>
            <w:vMerge w:val="continue"/>
            <w:shd w:val="clear" w:color="auto" w:fill="auto"/>
            <w:vAlign w:val="center"/>
          </w:tcPr>
          <w:p w14:paraId="4B66C558">
            <w:pPr>
              <w:adjustRightInd w:val="0"/>
              <w:snapToGrid w:val="0"/>
              <w:spacing w:line="320" w:lineRule="exact"/>
              <w:jc w:val="center"/>
              <w:rPr>
                <w:rFonts w:eastAsia="仿宋_GB2312"/>
                <w:bCs/>
                <w:color w:val="auto"/>
                <w:szCs w:val="21"/>
              </w:rPr>
            </w:pPr>
          </w:p>
        </w:tc>
        <w:tc>
          <w:tcPr>
            <w:tcW w:w="326" w:type="pct"/>
            <w:vMerge w:val="continue"/>
            <w:shd w:val="clear" w:color="auto" w:fill="auto"/>
            <w:vAlign w:val="center"/>
          </w:tcPr>
          <w:p w14:paraId="4765FC3F">
            <w:pPr>
              <w:adjustRightInd w:val="0"/>
              <w:snapToGrid w:val="0"/>
              <w:spacing w:line="320" w:lineRule="exact"/>
              <w:jc w:val="center"/>
              <w:rPr>
                <w:rFonts w:eastAsia="仿宋_GB2312"/>
                <w:bCs/>
                <w:color w:val="auto"/>
                <w:szCs w:val="21"/>
              </w:rPr>
            </w:pPr>
          </w:p>
        </w:tc>
        <w:tc>
          <w:tcPr>
            <w:tcW w:w="324" w:type="pct"/>
            <w:vMerge w:val="continue"/>
            <w:shd w:val="clear" w:color="auto" w:fill="auto"/>
            <w:vAlign w:val="center"/>
          </w:tcPr>
          <w:p w14:paraId="77FDD19A">
            <w:pPr>
              <w:adjustRightInd w:val="0"/>
              <w:snapToGrid w:val="0"/>
              <w:spacing w:line="320" w:lineRule="exact"/>
              <w:jc w:val="center"/>
              <w:rPr>
                <w:rFonts w:eastAsia="仿宋_GB2312"/>
                <w:bCs/>
                <w:color w:val="auto"/>
                <w:szCs w:val="21"/>
              </w:rPr>
            </w:pPr>
          </w:p>
        </w:tc>
      </w:tr>
      <w:tr w14:paraId="6789E0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09" w:type="pct"/>
            <w:vMerge w:val="continue"/>
            <w:shd w:val="clear" w:color="auto" w:fill="auto"/>
            <w:vAlign w:val="center"/>
          </w:tcPr>
          <w:p w14:paraId="73F89F8E">
            <w:pPr>
              <w:adjustRightInd w:val="0"/>
              <w:snapToGrid w:val="0"/>
              <w:spacing w:line="320" w:lineRule="exact"/>
              <w:jc w:val="center"/>
              <w:rPr>
                <w:rFonts w:eastAsia="仿宋_GB2312"/>
                <w:bCs/>
                <w:color w:val="auto"/>
                <w:szCs w:val="21"/>
              </w:rPr>
            </w:pPr>
          </w:p>
        </w:tc>
        <w:tc>
          <w:tcPr>
            <w:tcW w:w="586" w:type="pct"/>
            <w:vMerge w:val="continue"/>
            <w:shd w:val="clear" w:color="auto" w:fill="auto"/>
            <w:vAlign w:val="center"/>
          </w:tcPr>
          <w:p w14:paraId="40BAB021">
            <w:pPr>
              <w:jc w:val="center"/>
              <w:rPr>
                <w:rFonts w:eastAsia="仿宋_GB2312"/>
                <w:bCs/>
                <w:color w:val="auto"/>
                <w:szCs w:val="21"/>
              </w:rPr>
            </w:pPr>
          </w:p>
        </w:tc>
        <w:tc>
          <w:tcPr>
            <w:tcW w:w="820" w:type="pct"/>
            <w:shd w:val="clear" w:color="auto" w:fill="auto"/>
            <w:vAlign w:val="center"/>
          </w:tcPr>
          <w:p w14:paraId="07617925">
            <w:pPr>
              <w:adjustRightInd w:val="0"/>
              <w:snapToGrid w:val="0"/>
              <w:spacing w:line="320" w:lineRule="exact"/>
              <w:jc w:val="center"/>
              <w:rPr>
                <w:rFonts w:ascii="Times New Roman" w:hAnsi="Times New Roman" w:eastAsia="仿宋_GB2312" w:cs="Times New Roman"/>
                <w:bCs/>
                <w:color w:val="auto"/>
                <w:kern w:val="2"/>
                <w:sz w:val="21"/>
                <w:szCs w:val="21"/>
                <w:lang w:val="en-US" w:eastAsia="zh-CN" w:bidi="ar-SA"/>
              </w:rPr>
            </w:pPr>
            <w:r>
              <w:rPr>
                <w:rFonts w:eastAsia="仿宋_GB2312"/>
                <w:color w:val="auto"/>
                <w:szCs w:val="21"/>
              </w:rPr>
              <w:t>非甲烷总烃</w:t>
            </w:r>
          </w:p>
        </w:tc>
        <w:tc>
          <w:tcPr>
            <w:tcW w:w="492" w:type="pct"/>
            <w:shd w:val="clear" w:color="auto" w:fill="auto"/>
            <w:vAlign w:val="bottom"/>
          </w:tcPr>
          <w:p w14:paraId="4A9084D8">
            <w:pPr>
              <w:adjustRightInd w:val="0"/>
              <w:snapToGrid w:val="0"/>
              <w:spacing w:line="320" w:lineRule="exact"/>
              <w:jc w:val="center"/>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17.74</w:t>
            </w:r>
          </w:p>
        </w:tc>
        <w:tc>
          <w:tcPr>
            <w:tcW w:w="506" w:type="pct"/>
            <w:shd w:val="clear" w:color="auto" w:fill="auto"/>
            <w:vAlign w:val="bottom"/>
          </w:tcPr>
          <w:p w14:paraId="1A302A1A">
            <w:pPr>
              <w:adjustRightInd w:val="0"/>
              <w:snapToGrid w:val="0"/>
              <w:spacing w:line="320" w:lineRule="exact"/>
              <w:jc w:val="center"/>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0.753</w:t>
            </w:r>
          </w:p>
        </w:tc>
        <w:tc>
          <w:tcPr>
            <w:tcW w:w="630" w:type="pct"/>
            <w:shd w:val="clear" w:color="auto" w:fill="auto"/>
            <w:vAlign w:val="center"/>
          </w:tcPr>
          <w:p w14:paraId="2929F776">
            <w:pPr>
              <w:adjustRightInd w:val="0"/>
              <w:snapToGrid w:val="0"/>
              <w:spacing w:line="320" w:lineRule="exact"/>
              <w:jc w:val="center"/>
              <w:rPr>
                <w:rFonts w:ascii="Times New Roman" w:hAnsi="Times New Roman" w:eastAsia="仿宋_GB2312" w:cs="Times New Roman"/>
                <w:bCs/>
                <w:color w:val="auto"/>
                <w:kern w:val="2"/>
                <w:sz w:val="21"/>
                <w:szCs w:val="21"/>
                <w:lang w:val="en-US" w:eastAsia="zh-CN" w:bidi="ar-SA"/>
              </w:rPr>
            </w:pPr>
            <w:r>
              <w:rPr>
                <w:rFonts w:eastAsia="仿宋_GB2312"/>
                <w:color w:val="auto"/>
                <w:szCs w:val="21"/>
              </w:rPr>
              <w:t>60</w:t>
            </w:r>
          </w:p>
        </w:tc>
        <w:tc>
          <w:tcPr>
            <w:tcW w:w="496" w:type="pct"/>
            <w:shd w:val="clear" w:color="auto" w:fill="auto"/>
            <w:vAlign w:val="center"/>
          </w:tcPr>
          <w:p w14:paraId="071BEAA7">
            <w:pPr>
              <w:adjustRightInd w:val="0"/>
              <w:snapToGrid w:val="0"/>
              <w:spacing w:line="320" w:lineRule="exact"/>
              <w:jc w:val="center"/>
              <w:rPr>
                <w:rFonts w:ascii="Times New Roman" w:hAnsi="Times New Roman" w:eastAsia="仿宋_GB2312" w:cs="Times New Roman"/>
                <w:bCs/>
                <w:color w:val="auto"/>
                <w:kern w:val="2"/>
                <w:sz w:val="21"/>
                <w:szCs w:val="21"/>
                <w:lang w:val="en-US" w:eastAsia="zh-CN" w:bidi="ar-SA"/>
              </w:rPr>
            </w:pPr>
            <w:r>
              <w:rPr>
                <w:rFonts w:eastAsia="仿宋_GB2312"/>
                <w:color w:val="auto"/>
                <w:szCs w:val="21"/>
              </w:rPr>
              <w:t>3</w:t>
            </w:r>
          </w:p>
        </w:tc>
        <w:tc>
          <w:tcPr>
            <w:tcW w:w="408" w:type="pct"/>
            <w:vMerge w:val="continue"/>
            <w:shd w:val="clear" w:color="auto" w:fill="auto"/>
            <w:vAlign w:val="center"/>
          </w:tcPr>
          <w:p w14:paraId="5F2D45CD">
            <w:pPr>
              <w:adjustRightInd w:val="0"/>
              <w:snapToGrid w:val="0"/>
              <w:spacing w:line="320" w:lineRule="exact"/>
              <w:jc w:val="center"/>
              <w:rPr>
                <w:rFonts w:eastAsia="仿宋_GB2312"/>
                <w:bCs/>
                <w:color w:val="auto"/>
                <w:szCs w:val="21"/>
              </w:rPr>
            </w:pPr>
          </w:p>
        </w:tc>
        <w:tc>
          <w:tcPr>
            <w:tcW w:w="326" w:type="pct"/>
            <w:vMerge w:val="continue"/>
            <w:shd w:val="clear" w:color="auto" w:fill="auto"/>
            <w:vAlign w:val="center"/>
          </w:tcPr>
          <w:p w14:paraId="397CD1F0">
            <w:pPr>
              <w:adjustRightInd w:val="0"/>
              <w:snapToGrid w:val="0"/>
              <w:spacing w:line="320" w:lineRule="exact"/>
              <w:jc w:val="center"/>
              <w:rPr>
                <w:rFonts w:eastAsia="仿宋_GB2312"/>
                <w:bCs/>
                <w:color w:val="auto"/>
                <w:szCs w:val="21"/>
              </w:rPr>
            </w:pPr>
          </w:p>
        </w:tc>
        <w:tc>
          <w:tcPr>
            <w:tcW w:w="324" w:type="pct"/>
            <w:vMerge w:val="continue"/>
            <w:shd w:val="clear" w:color="auto" w:fill="auto"/>
            <w:vAlign w:val="center"/>
          </w:tcPr>
          <w:p w14:paraId="71E7A9A3">
            <w:pPr>
              <w:adjustRightInd w:val="0"/>
              <w:snapToGrid w:val="0"/>
              <w:spacing w:line="320" w:lineRule="exact"/>
              <w:jc w:val="center"/>
              <w:rPr>
                <w:rFonts w:eastAsia="仿宋_GB2312"/>
                <w:bCs/>
                <w:color w:val="auto"/>
                <w:szCs w:val="21"/>
              </w:rPr>
            </w:pPr>
          </w:p>
        </w:tc>
      </w:tr>
      <w:tr w14:paraId="7252D6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340" w:hRule="atLeast"/>
          <w:jc w:val="center"/>
        </w:trPr>
        <w:tc>
          <w:tcPr>
            <w:tcW w:w="409" w:type="pct"/>
            <w:vMerge w:val="continue"/>
            <w:shd w:val="clear" w:color="auto" w:fill="auto"/>
            <w:vAlign w:val="center"/>
          </w:tcPr>
          <w:p w14:paraId="3470CD24">
            <w:pPr>
              <w:adjustRightInd w:val="0"/>
              <w:snapToGrid w:val="0"/>
              <w:spacing w:line="320" w:lineRule="exact"/>
              <w:jc w:val="center"/>
              <w:rPr>
                <w:rFonts w:eastAsia="仿宋_GB2312"/>
                <w:bCs/>
                <w:color w:val="auto"/>
                <w:szCs w:val="21"/>
              </w:rPr>
            </w:pPr>
          </w:p>
        </w:tc>
        <w:tc>
          <w:tcPr>
            <w:tcW w:w="586" w:type="pct"/>
            <w:vMerge w:val="continue"/>
            <w:shd w:val="clear" w:color="auto" w:fill="auto"/>
            <w:vAlign w:val="center"/>
          </w:tcPr>
          <w:p w14:paraId="1455FA6D">
            <w:pPr>
              <w:jc w:val="center"/>
              <w:rPr>
                <w:rFonts w:eastAsia="仿宋_GB2312"/>
                <w:bCs/>
                <w:color w:val="auto"/>
                <w:szCs w:val="21"/>
              </w:rPr>
            </w:pPr>
          </w:p>
        </w:tc>
        <w:tc>
          <w:tcPr>
            <w:tcW w:w="820" w:type="pct"/>
            <w:shd w:val="clear" w:color="auto" w:fill="auto"/>
            <w:vAlign w:val="center"/>
          </w:tcPr>
          <w:p w14:paraId="4174EF61">
            <w:pPr>
              <w:adjustRightInd w:val="0"/>
              <w:snapToGrid w:val="0"/>
              <w:spacing w:line="320" w:lineRule="exact"/>
              <w:jc w:val="center"/>
              <w:rPr>
                <w:rFonts w:ascii="Times New Roman" w:hAnsi="Times New Roman" w:eastAsia="仿宋_GB2312" w:cs="Times New Roman"/>
                <w:color w:val="auto"/>
                <w:kern w:val="2"/>
                <w:sz w:val="21"/>
                <w:szCs w:val="21"/>
                <w:lang w:val="en-US" w:eastAsia="zh-CN" w:bidi="ar-SA"/>
              </w:rPr>
            </w:pPr>
            <w:r>
              <w:rPr>
                <w:rFonts w:eastAsia="仿宋_GB2312"/>
                <w:color w:val="auto"/>
                <w:szCs w:val="21"/>
              </w:rPr>
              <w:t>VOCs</w:t>
            </w:r>
          </w:p>
        </w:tc>
        <w:tc>
          <w:tcPr>
            <w:tcW w:w="492" w:type="pct"/>
            <w:shd w:val="clear" w:color="auto" w:fill="auto"/>
            <w:vAlign w:val="bottom"/>
          </w:tcPr>
          <w:p w14:paraId="3E103687">
            <w:pPr>
              <w:adjustRightInd w:val="0"/>
              <w:snapToGrid w:val="0"/>
              <w:spacing w:line="320" w:lineRule="exact"/>
              <w:jc w:val="center"/>
              <w:rPr>
                <w:rFonts w:hint="eastAsia"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17.74</w:t>
            </w:r>
          </w:p>
        </w:tc>
        <w:tc>
          <w:tcPr>
            <w:tcW w:w="506" w:type="pct"/>
            <w:shd w:val="clear" w:color="auto" w:fill="auto"/>
            <w:vAlign w:val="bottom"/>
          </w:tcPr>
          <w:p w14:paraId="0F08AE2A">
            <w:pPr>
              <w:adjustRightInd w:val="0"/>
              <w:snapToGrid w:val="0"/>
              <w:spacing w:line="320" w:lineRule="exact"/>
              <w:jc w:val="center"/>
              <w:rPr>
                <w:rFonts w:hint="eastAsia"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0.753</w:t>
            </w:r>
          </w:p>
        </w:tc>
        <w:tc>
          <w:tcPr>
            <w:tcW w:w="630" w:type="pct"/>
            <w:shd w:val="clear" w:color="auto" w:fill="auto"/>
            <w:vAlign w:val="center"/>
          </w:tcPr>
          <w:p w14:paraId="5B0E41EB">
            <w:pPr>
              <w:adjustRightInd w:val="0"/>
              <w:snapToGrid w:val="0"/>
              <w:spacing w:line="320" w:lineRule="exact"/>
              <w:jc w:val="center"/>
              <w:rPr>
                <w:rFonts w:ascii="Times New Roman" w:hAnsi="Times New Roman" w:eastAsia="仿宋_GB2312" w:cs="Times New Roman"/>
                <w:color w:val="auto"/>
                <w:kern w:val="2"/>
                <w:sz w:val="21"/>
                <w:szCs w:val="21"/>
                <w:lang w:val="en-US" w:eastAsia="zh-CN" w:bidi="ar-SA"/>
              </w:rPr>
            </w:pPr>
            <w:r>
              <w:rPr>
                <w:rFonts w:eastAsia="仿宋_GB2312"/>
                <w:b/>
                <w:bCs/>
                <w:color w:val="auto"/>
                <w:szCs w:val="21"/>
              </w:rPr>
              <w:t>/</w:t>
            </w:r>
          </w:p>
        </w:tc>
        <w:tc>
          <w:tcPr>
            <w:tcW w:w="496" w:type="pct"/>
            <w:shd w:val="clear" w:color="auto" w:fill="auto"/>
            <w:vAlign w:val="center"/>
          </w:tcPr>
          <w:p w14:paraId="4D03CB35">
            <w:pPr>
              <w:adjustRightInd w:val="0"/>
              <w:snapToGrid w:val="0"/>
              <w:spacing w:line="320" w:lineRule="exact"/>
              <w:jc w:val="center"/>
              <w:rPr>
                <w:rFonts w:ascii="Times New Roman" w:hAnsi="Times New Roman" w:eastAsia="仿宋_GB2312" w:cs="Times New Roman"/>
                <w:color w:val="auto"/>
                <w:kern w:val="2"/>
                <w:sz w:val="21"/>
                <w:szCs w:val="21"/>
                <w:lang w:val="en-US" w:eastAsia="zh-CN" w:bidi="ar-SA"/>
              </w:rPr>
            </w:pPr>
            <w:r>
              <w:rPr>
                <w:rFonts w:eastAsia="仿宋_GB2312"/>
                <w:b/>
                <w:bCs/>
                <w:color w:val="auto"/>
                <w:szCs w:val="21"/>
              </w:rPr>
              <w:t>/</w:t>
            </w:r>
          </w:p>
        </w:tc>
        <w:tc>
          <w:tcPr>
            <w:tcW w:w="408" w:type="pct"/>
            <w:vMerge w:val="continue"/>
            <w:shd w:val="clear" w:color="auto" w:fill="auto"/>
            <w:vAlign w:val="center"/>
          </w:tcPr>
          <w:p w14:paraId="25978D3E">
            <w:pPr>
              <w:adjustRightInd w:val="0"/>
              <w:snapToGrid w:val="0"/>
              <w:spacing w:line="320" w:lineRule="exact"/>
              <w:jc w:val="center"/>
              <w:rPr>
                <w:rFonts w:eastAsia="仿宋_GB2312"/>
                <w:bCs/>
                <w:color w:val="auto"/>
                <w:szCs w:val="21"/>
              </w:rPr>
            </w:pPr>
          </w:p>
        </w:tc>
        <w:tc>
          <w:tcPr>
            <w:tcW w:w="326" w:type="pct"/>
            <w:vMerge w:val="continue"/>
            <w:shd w:val="clear" w:color="auto" w:fill="auto"/>
            <w:vAlign w:val="center"/>
          </w:tcPr>
          <w:p w14:paraId="421246F6">
            <w:pPr>
              <w:adjustRightInd w:val="0"/>
              <w:snapToGrid w:val="0"/>
              <w:spacing w:line="320" w:lineRule="exact"/>
              <w:jc w:val="center"/>
              <w:rPr>
                <w:rFonts w:eastAsia="仿宋_GB2312"/>
                <w:bCs/>
                <w:color w:val="auto"/>
                <w:szCs w:val="21"/>
              </w:rPr>
            </w:pPr>
          </w:p>
        </w:tc>
        <w:tc>
          <w:tcPr>
            <w:tcW w:w="324" w:type="pct"/>
            <w:vMerge w:val="continue"/>
            <w:shd w:val="clear" w:color="auto" w:fill="auto"/>
            <w:vAlign w:val="center"/>
          </w:tcPr>
          <w:p w14:paraId="52391120">
            <w:pPr>
              <w:adjustRightInd w:val="0"/>
              <w:snapToGrid w:val="0"/>
              <w:spacing w:line="320" w:lineRule="exact"/>
              <w:jc w:val="center"/>
              <w:rPr>
                <w:rFonts w:eastAsia="仿宋_GB2312"/>
                <w:bCs/>
                <w:color w:val="auto"/>
                <w:szCs w:val="21"/>
              </w:rPr>
            </w:pPr>
          </w:p>
        </w:tc>
      </w:tr>
      <w:tr w14:paraId="6E7B8E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340" w:hRule="atLeast"/>
          <w:jc w:val="center"/>
        </w:trPr>
        <w:tc>
          <w:tcPr>
            <w:tcW w:w="409" w:type="pct"/>
            <w:vMerge w:val="restart"/>
            <w:shd w:val="clear" w:color="auto" w:fill="auto"/>
            <w:vAlign w:val="center"/>
          </w:tcPr>
          <w:p w14:paraId="6EFF09C9">
            <w:pPr>
              <w:adjustRightInd w:val="0"/>
              <w:snapToGrid w:val="0"/>
              <w:spacing w:line="320" w:lineRule="exact"/>
              <w:jc w:val="center"/>
              <w:rPr>
                <w:rFonts w:hint="default" w:eastAsia="仿宋_GB2312"/>
                <w:bCs/>
                <w:color w:val="auto"/>
                <w:szCs w:val="21"/>
                <w:lang w:val="en-US" w:eastAsia="zh-CN"/>
              </w:rPr>
            </w:pPr>
            <w:r>
              <w:rPr>
                <w:rFonts w:hint="eastAsia" w:eastAsia="仿宋_GB2312"/>
                <w:bCs/>
                <w:color w:val="auto"/>
                <w:szCs w:val="21"/>
                <w:lang w:val="en-US" w:eastAsia="zh-CN"/>
              </w:rPr>
              <w:t>DA001</w:t>
            </w:r>
          </w:p>
        </w:tc>
        <w:tc>
          <w:tcPr>
            <w:tcW w:w="586" w:type="pct"/>
            <w:vMerge w:val="restart"/>
            <w:shd w:val="clear" w:color="auto" w:fill="auto"/>
            <w:vAlign w:val="center"/>
          </w:tcPr>
          <w:p w14:paraId="4927675E">
            <w:pPr>
              <w:jc w:val="center"/>
              <w:rPr>
                <w:rFonts w:eastAsia="仿宋_GB2312"/>
                <w:color w:val="auto"/>
                <w:szCs w:val="21"/>
              </w:rPr>
            </w:pPr>
            <w:r>
              <w:rPr>
                <w:rFonts w:eastAsia="仿宋_GB2312"/>
                <w:color w:val="auto"/>
                <w:szCs w:val="21"/>
              </w:rPr>
              <w:t>1</w:t>
            </w:r>
            <w:r>
              <w:rPr>
                <w:rFonts w:hint="eastAsia" w:eastAsia="仿宋_GB2312"/>
                <w:color w:val="auto"/>
                <w:szCs w:val="21"/>
                <w:lang w:val="en-US" w:eastAsia="zh-CN"/>
              </w:rPr>
              <w:t>2</w:t>
            </w:r>
            <w:r>
              <w:rPr>
                <w:rFonts w:eastAsia="仿宋_GB2312"/>
                <w:color w:val="auto"/>
                <w:szCs w:val="21"/>
              </w:rPr>
              <w:t>0000</w:t>
            </w:r>
          </w:p>
        </w:tc>
        <w:tc>
          <w:tcPr>
            <w:tcW w:w="820" w:type="pct"/>
            <w:shd w:val="clear" w:color="auto" w:fill="auto"/>
            <w:vAlign w:val="center"/>
          </w:tcPr>
          <w:p w14:paraId="07B56B07">
            <w:pPr>
              <w:adjustRightInd w:val="0"/>
              <w:snapToGrid w:val="0"/>
              <w:spacing w:line="320" w:lineRule="exact"/>
              <w:jc w:val="center"/>
              <w:rPr>
                <w:rFonts w:eastAsia="仿宋_GB2312"/>
                <w:bCs/>
                <w:color w:val="auto"/>
                <w:szCs w:val="21"/>
              </w:rPr>
            </w:pPr>
            <w:r>
              <w:rPr>
                <w:rFonts w:eastAsia="仿宋_GB2312"/>
                <w:bCs/>
                <w:color w:val="auto"/>
                <w:szCs w:val="21"/>
              </w:rPr>
              <w:t>非甲烷总烃</w:t>
            </w:r>
          </w:p>
        </w:tc>
        <w:tc>
          <w:tcPr>
            <w:tcW w:w="492" w:type="pct"/>
            <w:shd w:val="clear" w:color="auto" w:fill="auto"/>
            <w:vAlign w:val="center"/>
          </w:tcPr>
          <w:p w14:paraId="55D791E8">
            <w:pPr>
              <w:adjustRightInd w:val="0"/>
              <w:snapToGrid w:val="0"/>
              <w:spacing w:line="320" w:lineRule="exact"/>
              <w:jc w:val="center"/>
              <w:rPr>
                <w:rFonts w:hint="default" w:ascii="Times New Roman" w:hAnsi="Times New Roman" w:eastAsia="仿宋_GB2312" w:cs="Times New Roman"/>
                <w:bCs/>
                <w:color w:val="auto"/>
                <w:kern w:val="2"/>
                <w:sz w:val="21"/>
                <w:szCs w:val="21"/>
                <w:lang w:val="en-US" w:eastAsia="zh-CN" w:bidi="ar-SA"/>
              </w:rPr>
            </w:pPr>
            <w:r>
              <w:rPr>
                <w:rFonts w:hint="eastAsia" w:eastAsia="仿宋_GB2312"/>
                <w:color w:val="auto"/>
                <w:szCs w:val="21"/>
                <w:lang w:val="en-US" w:eastAsia="zh-CN"/>
              </w:rPr>
              <w:t>23.51</w:t>
            </w:r>
          </w:p>
        </w:tc>
        <w:tc>
          <w:tcPr>
            <w:tcW w:w="506" w:type="pct"/>
            <w:shd w:val="clear" w:color="auto" w:fill="auto"/>
            <w:vAlign w:val="center"/>
          </w:tcPr>
          <w:p w14:paraId="4A054B1F">
            <w:pPr>
              <w:adjustRightInd w:val="0"/>
              <w:snapToGrid w:val="0"/>
              <w:spacing w:line="320" w:lineRule="exact"/>
              <w:jc w:val="center"/>
              <w:rPr>
                <w:rFonts w:hint="default" w:ascii="Times New Roman" w:hAnsi="Times New Roman" w:eastAsia="仿宋_GB2312" w:cs="Times New Roman"/>
                <w:bCs/>
                <w:color w:val="auto"/>
                <w:kern w:val="2"/>
                <w:sz w:val="21"/>
                <w:szCs w:val="21"/>
                <w:lang w:val="en-US" w:eastAsia="zh-CN" w:bidi="ar-SA"/>
              </w:rPr>
            </w:pPr>
            <w:r>
              <w:rPr>
                <w:rFonts w:hint="eastAsia" w:eastAsia="仿宋_GB2312"/>
                <w:bCs/>
                <w:color w:val="auto"/>
                <w:szCs w:val="21"/>
                <w:lang w:val="en-US" w:eastAsia="zh-CN"/>
              </w:rPr>
              <w:t>1.57</w:t>
            </w:r>
          </w:p>
        </w:tc>
        <w:tc>
          <w:tcPr>
            <w:tcW w:w="630" w:type="pct"/>
            <w:shd w:val="clear" w:color="auto" w:fill="auto"/>
            <w:vAlign w:val="center"/>
          </w:tcPr>
          <w:p w14:paraId="481FB5EF">
            <w:pPr>
              <w:spacing w:line="320" w:lineRule="exact"/>
              <w:jc w:val="center"/>
              <w:rPr>
                <w:rFonts w:eastAsia="仿宋_GB2312"/>
                <w:color w:val="auto"/>
                <w:szCs w:val="21"/>
              </w:rPr>
            </w:pPr>
            <w:r>
              <w:rPr>
                <w:rFonts w:eastAsia="仿宋_GB2312"/>
                <w:color w:val="auto"/>
                <w:szCs w:val="21"/>
              </w:rPr>
              <w:t>60</w:t>
            </w:r>
          </w:p>
        </w:tc>
        <w:tc>
          <w:tcPr>
            <w:tcW w:w="496" w:type="pct"/>
            <w:shd w:val="clear" w:color="auto" w:fill="auto"/>
            <w:vAlign w:val="center"/>
          </w:tcPr>
          <w:p w14:paraId="03936B38">
            <w:pPr>
              <w:spacing w:line="320" w:lineRule="exact"/>
              <w:jc w:val="center"/>
              <w:rPr>
                <w:rFonts w:hint="eastAsia" w:eastAsia="仿宋_GB2312"/>
                <w:color w:val="auto"/>
                <w:szCs w:val="21"/>
                <w:lang w:val="en-US" w:eastAsia="zh-CN"/>
              </w:rPr>
            </w:pPr>
            <w:r>
              <w:rPr>
                <w:rFonts w:hint="eastAsia" w:eastAsia="仿宋_GB2312"/>
                <w:color w:val="auto"/>
                <w:szCs w:val="21"/>
                <w:lang w:val="en-US" w:eastAsia="zh-CN"/>
              </w:rPr>
              <w:t>3</w:t>
            </w:r>
          </w:p>
        </w:tc>
        <w:tc>
          <w:tcPr>
            <w:tcW w:w="408" w:type="pct"/>
            <w:vMerge w:val="restart"/>
            <w:shd w:val="clear" w:color="auto" w:fill="auto"/>
            <w:vAlign w:val="center"/>
          </w:tcPr>
          <w:p w14:paraId="4984EB35">
            <w:pPr>
              <w:adjustRightInd w:val="0"/>
              <w:snapToGrid w:val="0"/>
              <w:spacing w:line="320" w:lineRule="exact"/>
              <w:jc w:val="center"/>
              <w:rPr>
                <w:rFonts w:eastAsia="仿宋_GB2312"/>
                <w:bCs/>
                <w:color w:val="auto"/>
                <w:szCs w:val="21"/>
              </w:rPr>
            </w:pPr>
            <w:r>
              <w:rPr>
                <w:rFonts w:eastAsia="仿宋_GB2312"/>
                <w:bCs/>
                <w:color w:val="auto"/>
                <w:szCs w:val="21"/>
              </w:rPr>
              <w:t>20</w:t>
            </w:r>
          </w:p>
        </w:tc>
        <w:tc>
          <w:tcPr>
            <w:tcW w:w="326" w:type="pct"/>
            <w:vMerge w:val="restart"/>
            <w:shd w:val="clear" w:color="auto" w:fill="auto"/>
            <w:vAlign w:val="center"/>
          </w:tcPr>
          <w:p w14:paraId="0B401C03">
            <w:pPr>
              <w:adjustRightInd w:val="0"/>
              <w:snapToGrid w:val="0"/>
              <w:spacing w:line="320" w:lineRule="exact"/>
              <w:jc w:val="center"/>
              <w:rPr>
                <w:rFonts w:eastAsia="仿宋_GB2312"/>
                <w:bCs/>
                <w:color w:val="auto"/>
                <w:szCs w:val="21"/>
              </w:rPr>
            </w:pPr>
            <w:r>
              <w:rPr>
                <w:rFonts w:eastAsia="仿宋_GB2312"/>
                <w:bCs/>
                <w:color w:val="auto"/>
                <w:szCs w:val="21"/>
              </w:rPr>
              <w:t>2</w:t>
            </w:r>
          </w:p>
        </w:tc>
        <w:tc>
          <w:tcPr>
            <w:tcW w:w="324" w:type="pct"/>
            <w:vMerge w:val="restart"/>
            <w:shd w:val="clear" w:color="auto" w:fill="auto"/>
            <w:vAlign w:val="center"/>
          </w:tcPr>
          <w:p w14:paraId="357F44B4">
            <w:pPr>
              <w:adjustRightInd w:val="0"/>
              <w:snapToGrid w:val="0"/>
              <w:spacing w:line="320" w:lineRule="exact"/>
              <w:jc w:val="center"/>
              <w:rPr>
                <w:rFonts w:eastAsia="仿宋_GB2312"/>
                <w:bCs/>
                <w:color w:val="auto"/>
                <w:szCs w:val="21"/>
              </w:rPr>
            </w:pPr>
            <w:r>
              <w:rPr>
                <w:rFonts w:eastAsia="仿宋_GB2312"/>
                <w:bCs/>
                <w:color w:val="auto"/>
                <w:szCs w:val="21"/>
              </w:rPr>
              <w:t>25</w:t>
            </w:r>
          </w:p>
        </w:tc>
      </w:tr>
      <w:tr w14:paraId="7A4372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09" w:type="pct"/>
            <w:vMerge w:val="continue"/>
            <w:shd w:val="clear" w:color="auto" w:fill="auto"/>
            <w:vAlign w:val="center"/>
          </w:tcPr>
          <w:p w14:paraId="150DE7F4">
            <w:pPr>
              <w:adjustRightInd w:val="0"/>
              <w:snapToGrid w:val="0"/>
              <w:spacing w:line="320" w:lineRule="exact"/>
              <w:jc w:val="center"/>
              <w:rPr>
                <w:rFonts w:eastAsia="仿宋_GB2312"/>
                <w:bCs/>
                <w:color w:val="auto"/>
                <w:szCs w:val="21"/>
              </w:rPr>
            </w:pPr>
          </w:p>
        </w:tc>
        <w:tc>
          <w:tcPr>
            <w:tcW w:w="586" w:type="pct"/>
            <w:vMerge w:val="continue"/>
            <w:shd w:val="clear" w:color="auto" w:fill="auto"/>
            <w:vAlign w:val="center"/>
          </w:tcPr>
          <w:p w14:paraId="51882AEB">
            <w:pPr>
              <w:jc w:val="center"/>
              <w:rPr>
                <w:rFonts w:eastAsia="仿宋_GB2312"/>
                <w:color w:val="auto"/>
                <w:szCs w:val="21"/>
              </w:rPr>
            </w:pPr>
          </w:p>
        </w:tc>
        <w:tc>
          <w:tcPr>
            <w:tcW w:w="820" w:type="pct"/>
            <w:shd w:val="clear" w:color="auto" w:fill="auto"/>
            <w:vAlign w:val="center"/>
          </w:tcPr>
          <w:p w14:paraId="6FE36ACF">
            <w:pPr>
              <w:adjustRightInd w:val="0"/>
              <w:snapToGrid w:val="0"/>
              <w:spacing w:line="320" w:lineRule="exact"/>
              <w:jc w:val="center"/>
              <w:rPr>
                <w:rFonts w:eastAsia="仿宋_GB2312"/>
                <w:bCs/>
                <w:color w:val="auto"/>
                <w:szCs w:val="21"/>
              </w:rPr>
            </w:pPr>
            <w:r>
              <w:rPr>
                <w:rFonts w:eastAsia="仿宋_GB2312"/>
                <w:bCs/>
                <w:color w:val="auto"/>
                <w:szCs w:val="21"/>
              </w:rPr>
              <w:t>VOCs</w:t>
            </w:r>
          </w:p>
        </w:tc>
        <w:tc>
          <w:tcPr>
            <w:tcW w:w="492" w:type="pct"/>
            <w:shd w:val="clear" w:color="auto" w:fill="auto"/>
            <w:vAlign w:val="center"/>
          </w:tcPr>
          <w:p w14:paraId="0285878E">
            <w:pPr>
              <w:adjustRightInd w:val="0"/>
              <w:snapToGrid w:val="0"/>
              <w:spacing w:line="320" w:lineRule="exact"/>
              <w:jc w:val="center"/>
              <w:rPr>
                <w:rFonts w:hint="default" w:ascii="Times New Roman" w:hAnsi="Times New Roman" w:eastAsia="仿宋_GB2312" w:cs="Times New Roman"/>
                <w:bCs/>
                <w:color w:val="auto"/>
                <w:kern w:val="2"/>
                <w:sz w:val="21"/>
                <w:szCs w:val="21"/>
                <w:lang w:val="en-US" w:eastAsia="zh-CN" w:bidi="ar-SA"/>
              </w:rPr>
            </w:pPr>
            <w:r>
              <w:rPr>
                <w:rFonts w:hint="eastAsia" w:eastAsia="仿宋_GB2312"/>
                <w:color w:val="auto"/>
                <w:szCs w:val="21"/>
                <w:lang w:val="en-US" w:eastAsia="zh-CN"/>
              </w:rPr>
              <w:t>23.51</w:t>
            </w:r>
          </w:p>
        </w:tc>
        <w:tc>
          <w:tcPr>
            <w:tcW w:w="506" w:type="pct"/>
            <w:shd w:val="clear" w:color="auto" w:fill="auto"/>
            <w:vAlign w:val="center"/>
          </w:tcPr>
          <w:p w14:paraId="57AE0BE8">
            <w:pPr>
              <w:adjustRightInd w:val="0"/>
              <w:snapToGrid w:val="0"/>
              <w:spacing w:line="320" w:lineRule="exact"/>
              <w:jc w:val="center"/>
              <w:rPr>
                <w:rFonts w:hint="default" w:ascii="Times New Roman" w:hAnsi="Times New Roman" w:eastAsia="仿宋_GB2312" w:cs="Times New Roman"/>
                <w:bCs/>
                <w:color w:val="auto"/>
                <w:kern w:val="2"/>
                <w:sz w:val="21"/>
                <w:szCs w:val="21"/>
                <w:lang w:val="en-US" w:eastAsia="zh-CN" w:bidi="ar-SA"/>
              </w:rPr>
            </w:pPr>
            <w:r>
              <w:rPr>
                <w:rFonts w:hint="eastAsia" w:eastAsia="仿宋_GB2312"/>
                <w:bCs/>
                <w:color w:val="auto"/>
                <w:szCs w:val="21"/>
                <w:lang w:val="en-US" w:eastAsia="zh-CN"/>
              </w:rPr>
              <w:t>1.57</w:t>
            </w:r>
          </w:p>
        </w:tc>
        <w:tc>
          <w:tcPr>
            <w:tcW w:w="630" w:type="pct"/>
            <w:shd w:val="clear" w:color="auto" w:fill="auto"/>
            <w:vAlign w:val="center"/>
          </w:tcPr>
          <w:p w14:paraId="4B0B9B66">
            <w:pPr>
              <w:spacing w:line="320" w:lineRule="exact"/>
              <w:jc w:val="center"/>
              <w:rPr>
                <w:rFonts w:eastAsia="仿宋_GB2312"/>
                <w:color w:val="auto"/>
                <w:szCs w:val="21"/>
              </w:rPr>
            </w:pPr>
            <w:r>
              <w:rPr>
                <w:rFonts w:eastAsia="仿宋_GB2312"/>
                <w:b/>
                <w:bCs/>
                <w:color w:val="auto"/>
                <w:szCs w:val="21"/>
              </w:rPr>
              <w:t>/</w:t>
            </w:r>
          </w:p>
        </w:tc>
        <w:tc>
          <w:tcPr>
            <w:tcW w:w="496" w:type="pct"/>
            <w:shd w:val="clear" w:color="auto" w:fill="auto"/>
            <w:vAlign w:val="center"/>
          </w:tcPr>
          <w:p w14:paraId="175579EA">
            <w:pPr>
              <w:spacing w:line="320" w:lineRule="exact"/>
              <w:jc w:val="center"/>
              <w:rPr>
                <w:rFonts w:eastAsia="仿宋_GB2312"/>
                <w:color w:val="auto"/>
                <w:szCs w:val="21"/>
              </w:rPr>
            </w:pPr>
            <w:r>
              <w:rPr>
                <w:rFonts w:eastAsia="仿宋_GB2312"/>
                <w:b/>
                <w:bCs/>
                <w:color w:val="auto"/>
                <w:szCs w:val="21"/>
              </w:rPr>
              <w:t>/</w:t>
            </w:r>
          </w:p>
        </w:tc>
        <w:tc>
          <w:tcPr>
            <w:tcW w:w="408" w:type="pct"/>
            <w:vMerge w:val="continue"/>
            <w:shd w:val="clear" w:color="auto" w:fill="auto"/>
            <w:vAlign w:val="center"/>
          </w:tcPr>
          <w:p w14:paraId="4532C206">
            <w:pPr>
              <w:adjustRightInd w:val="0"/>
              <w:snapToGrid w:val="0"/>
              <w:spacing w:line="320" w:lineRule="exact"/>
              <w:jc w:val="center"/>
              <w:rPr>
                <w:rFonts w:eastAsia="仿宋_GB2312"/>
                <w:bCs/>
                <w:color w:val="FF0000"/>
                <w:szCs w:val="21"/>
              </w:rPr>
            </w:pPr>
          </w:p>
        </w:tc>
        <w:tc>
          <w:tcPr>
            <w:tcW w:w="326" w:type="pct"/>
            <w:vMerge w:val="continue"/>
            <w:shd w:val="clear" w:color="auto" w:fill="auto"/>
            <w:vAlign w:val="center"/>
          </w:tcPr>
          <w:p w14:paraId="474A4CFA">
            <w:pPr>
              <w:adjustRightInd w:val="0"/>
              <w:snapToGrid w:val="0"/>
              <w:spacing w:line="320" w:lineRule="exact"/>
              <w:jc w:val="center"/>
              <w:rPr>
                <w:rFonts w:eastAsia="仿宋_GB2312"/>
                <w:bCs/>
                <w:color w:val="FF0000"/>
                <w:szCs w:val="21"/>
              </w:rPr>
            </w:pPr>
          </w:p>
        </w:tc>
        <w:tc>
          <w:tcPr>
            <w:tcW w:w="324" w:type="pct"/>
            <w:vMerge w:val="continue"/>
            <w:shd w:val="clear" w:color="auto" w:fill="auto"/>
            <w:vAlign w:val="center"/>
          </w:tcPr>
          <w:p w14:paraId="0877E2C6">
            <w:pPr>
              <w:adjustRightInd w:val="0"/>
              <w:snapToGrid w:val="0"/>
              <w:spacing w:line="320" w:lineRule="exact"/>
              <w:jc w:val="center"/>
              <w:rPr>
                <w:rFonts w:eastAsia="仿宋_GB2312"/>
                <w:bCs/>
                <w:color w:val="FF0000"/>
                <w:szCs w:val="21"/>
              </w:rPr>
            </w:pPr>
          </w:p>
        </w:tc>
      </w:tr>
      <w:tr w14:paraId="12FA1C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09" w:type="pct"/>
            <w:vMerge w:val="restart"/>
            <w:shd w:val="clear" w:color="auto" w:fill="auto"/>
            <w:vAlign w:val="center"/>
          </w:tcPr>
          <w:p w14:paraId="6EAC794C">
            <w:pPr>
              <w:adjustRightInd w:val="0"/>
              <w:snapToGrid w:val="0"/>
              <w:spacing w:line="320" w:lineRule="exact"/>
              <w:jc w:val="center"/>
              <w:rPr>
                <w:rFonts w:hint="default" w:eastAsia="仿宋_GB2312"/>
                <w:bCs/>
                <w:color w:val="auto"/>
                <w:szCs w:val="21"/>
                <w:lang w:val="en-US" w:eastAsia="zh-CN"/>
              </w:rPr>
            </w:pPr>
            <w:r>
              <w:rPr>
                <w:rFonts w:hint="eastAsia" w:eastAsia="仿宋_GB2312"/>
                <w:bCs/>
                <w:color w:val="auto"/>
                <w:szCs w:val="21"/>
                <w:lang w:val="en-US" w:eastAsia="zh-CN"/>
              </w:rPr>
              <w:t>DA005</w:t>
            </w:r>
          </w:p>
        </w:tc>
        <w:tc>
          <w:tcPr>
            <w:tcW w:w="586" w:type="pct"/>
            <w:vMerge w:val="restart"/>
            <w:shd w:val="clear" w:color="auto" w:fill="auto"/>
            <w:vAlign w:val="center"/>
          </w:tcPr>
          <w:p w14:paraId="75F5623A">
            <w:pPr>
              <w:jc w:val="center"/>
              <w:rPr>
                <w:rFonts w:hint="default" w:eastAsia="仿宋_GB2312"/>
                <w:color w:val="auto"/>
                <w:szCs w:val="21"/>
                <w:lang w:val="en-US" w:eastAsia="zh-CN"/>
              </w:rPr>
            </w:pPr>
            <w:r>
              <w:rPr>
                <w:rFonts w:hint="eastAsia" w:eastAsia="仿宋_GB2312"/>
                <w:color w:val="auto"/>
                <w:szCs w:val="21"/>
                <w:lang w:val="en-US" w:eastAsia="zh-CN"/>
              </w:rPr>
              <w:t>38000</w:t>
            </w:r>
          </w:p>
        </w:tc>
        <w:tc>
          <w:tcPr>
            <w:tcW w:w="820" w:type="pct"/>
            <w:shd w:val="clear" w:color="auto" w:fill="auto"/>
            <w:vAlign w:val="center"/>
          </w:tcPr>
          <w:p w14:paraId="34BA01DB">
            <w:pPr>
              <w:adjustRightInd w:val="0"/>
              <w:snapToGrid w:val="0"/>
              <w:spacing w:line="320" w:lineRule="exact"/>
              <w:jc w:val="center"/>
              <w:rPr>
                <w:rFonts w:ascii="Times New Roman" w:hAnsi="Times New Roman" w:eastAsia="仿宋_GB2312" w:cs="Times New Roman"/>
                <w:color w:val="auto"/>
                <w:kern w:val="2"/>
                <w:sz w:val="21"/>
                <w:szCs w:val="21"/>
                <w:lang w:val="en-US" w:eastAsia="zh-CN" w:bidi="ar-SA"/>
              </w:rPr>
            </w:pPr>
            <w:r>
              <w:rPr>
                <w:rFonts w:eastAsia="仿宋_GB2312"/>
                <w:color w:val="auto"/>
                <w:szCs w:val="21"/>
              </w:rPr>
              <w:t>NMP</w:t>
            </w:r>
          </w:p>
        </w:tc>
        <w:tc>
          <w:tcPr>
            <w:tcW w:w="492" w:type="pct"/>
            <w:shd w:val="clear" w:color="auto" w:fill="auto"/>
            <w:vAlign w:val="center"/>
          </w:tcPr>
          <w:p w14:paraId="7C88DA07">
            <w:pPr>
              <w:adjustRightInd w:val="0"/>
              <w:snapToGrid w:val="0"/>
              <w:spacing w:line="320" w:lineRule="exact"/>
              <w:jc w:val="center"/>
              <w:rPr>
                <w:rFonts w:hint="eastAsia"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6.97</w:t>
            </w:r>
          </w:p>
        </w:tc>
        <w:tc>
          <w:tcPr>
            <w:tcW w:w="506" w:type="pct"/>
            <w:shd w:val="clear" w:color="auto" w:fill="auto"/>
            <w:vAlign w:val="center"/>
          </w:tcPr>
          <w:p w14:paraId="4EA93CEF">
            <w:pPr>
              <w:adjustRightInd w:val="0"/>
              <w:snapToGrid w:val="0"/>
              <w:spacing w:line="320" w:lineRule="exact"/>
              <w:jc w:val="center"/>
              <w:rPr>
                <w:rFonts w:hint="eastAsia"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0.27</w:t>
            </w:r>
          </w:p>
        </w:tc>
        <w:tc>
          <w:tcPr>
            <w:tcW w:w="630" w:type="pct"/>
            <w:shd w:val="clear" w:color="auto" w:fill="auto"/>
            <w:vAlign w:val="center"/>
          </w:tcPr>
          <w:p w14:paraId="395F277D">
            <w:pPr>
              <w:adjustRightInd w:val="0"/>
              <w:snapToGrid w:val="0"/>
              <w:spacing w:line="320" w:lineRule="exact"/>
              <w:jc w:val="center"/>
              <w:rPr>
                <w:rFonts w:ascii="Times New Roman" w:hAnsi="Times New Roman" w:eastAsia="仿宋_GB2312" w:cs="Times New Roman"/>
                <w:bCs/>
                <w:color w:val="auto"/>
                <w:kern w:val="2"/>
                <w:sz w:val="21"/>
                <w:szCs w:val="21"/>
                <w:lang w:val="en-US" w:eastAsia="zh-CN" w:bidi="ar-SA"/>
              </w:rPr>
            </w:pPr>
            <w:r>
              <w:rPr>
                <w:rFonts w:eastAsia="仿宋_GB2312"/>
                <w:b/>
                <w:bCs/>
                <w:color w:val="auto"/>
                <w:szCs w:val="21"/>
              </w:rPr>
              <w:t>/</w:t>
            </w:r>
          </w:p>
        </w:tc>
        <w:tc>
          <w:tcPr>
            <w:tcW w:w="496" w:type="pct"/>
            <w:shd w:val="clear" w:color="auto" w:fill="auto"/>
            <w:vAlign w:val="center"/>
          </w:tcPr>
          <w:p w14:paraId="61AA966C">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b/>
                <w:bCs/>
                <w:color w:val="auto"/>
                <w:szCs w:val="21"/>
              </w:rPr>
              <w:t>/</w:t>
            </w:r>
          </w:p>
        </w:tc>
        <w:tc>
          <w:tcPr>
            <w:tcW w:w="408" w:type="pct"/>
            <w:vMerge w:val="restart"/>
            <w:shd w:val="clear" w:color="auto" w:fill="auto"/>
            <w:vAlign w:val="center"/>
          </w:tcPr>
          <w:p w14:paraId="4A9CABF2">
            <w:pPr>
              <w:adjustRightInd w:val="0"/>
              <w:snapToGrid w:val="0"/>
              <w:spacing w:line="320" w:lineRule="exact"/>
              <w:jc w:val="center"/>
              <w:rPr>
                <w:rFonts w:hint="default" w:eastAsia="仿宋_GB2312"/>
                <w:bCs/>
                <w:color w:val="auto"/>
                <w:szCs w:val="21"/>
                <w:lang w:val="en-US" w:eastAsia="zh-CN"/>
              </w:rPr>
            </w:pPr>
            <w:r>
              <w:rPr>
                <w:rFonts w:hint="eastAsia" w:eastAsia="仿宋_GB2312"/>
                <w:bCs/>
                <w:color w:val="auto"/>
                <w:szCs w:val="21"/>
                <w:lang w:val="en-US" w:eastAsia="zh-CN"/>
              </w:rPr>
              <w:t>20</w:t>
            </w:r>
          </w:p>
        </w:tc>
        <w:tc>
          <w:tcPr>
            <w:tcW w:w="326" w:type="pct"/>
            <w:vMerge w:val="restart"/>
            <w:shd w:val="clear" w:color="auto" w:fill="auto"/>
            <w:vAlign w:val="center"/>
          </w:tcPr>
          <w:p w14:paraId="45C3F8DC">
            <w:pPr>
              <w:adjustRightInd w:val="0"/>
              <w:snapToGrid w:val="0"/>
              <w:spacing w:line="320" w:lineRule="exact"/>
              <w:jc w:val="center"/>
              <w:rPr>
                <w:rFonts w:hint="default" w:eastAsia="仿宋_GB2312"/>
                <w:bCs/>
                <w:color w:val="auto"/>
                <w:szCs w:val="21"/>
                <w:lang w:val="en-US" w:eastAsia="zh-CN"/>
              </w:rPr>
            </w:pPr>
            <w:r>
              <w:rPr>
                <w:rFonts w:hint="eastAsia" w:eastAsia="仿宋_GB2312"/>
                <w:bCs/>
                <w:color w:val="auto"/>
                <w:szCs w:val="21"/>
                <w:lang w:val="en-US" w:eastAsia="zh-CN"/>
              </w:rPr>
              <w:t>1.3</w:t>
            </w:r>
          </w:p>
        </w:tc>
        <w:tc>
          <w:tcPr>
            <w:tcW w:w="324" w:type="pct"/>
            <w:vMerge w:val="restart"/>
            <w:shd w:val="clear" w:color="auto" w:fill="auto"/>
            <w:vAlign w:val="center"/>
          </w:tcPr>
          <w:p w14:paraId="2E84DC24">
            <w:pPr>
              <w:adjustRightInd w:val="0"/>
              <w:snapToGrid w:val="0"/>
              <w:spacing w:line="320" w:lineRule="exact"/>
              <w:jc w:val="center"/>
              <w:rPr>
                <w:rFonts w:hint="default" w:eastAsia="仿宋_GB2312"/>
                <w:bCs/>
                <w:color w:val="auto"/>
                <w:szCs w:val="21"/>
                <w:lang w:val="en-US" w:eastAsia="zh-CN"/>
              </w:rPr>
            </w:pPr>
            <w:r>
              <w:rPr>
                <w:rFonts w:hint="eastAsia" w:eastAsia="仿宋_GB2312"/>
                <w:bCs/>
                <w:color w:val="auto"/>
                <w:szCs w:val="21"/>
                <w:lang w:val="en-US" w:eastAsia="zh-CN"/>
              </w:rPr>
              <w:t>25</w:t>
            </w:r>
          </w:p>
        </w:tc>
      </w:tr>
      <w:tr w14:paraId="15A97C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09" w:type="pct"/>
            <w:vMerge w:val="continue"/>
            <w:shd w:val="clear" w:color="auto" w:fill="auto"/>
            <w:vAlign w:val="center"/>
          </w:tcPr>
          <w:p w14:paraId="63629514">
            <w:pPr>
              <w:adjustRightInd w:val="0"/>
              <w:snapToGrid w:val="0"/>
              <w:spacing w:line="320" w:lineRule="exact"/>
              <w:jc w:val="center"/>
              <w:rPr>
                <w:rFonts w:eastAsia="仿宋_GB2312"/>
                <w:bCs/>
                <w:color w:val="FF0000"/>
                <w:szCs w:val="21"/>
              </w:rPr>
            </w:pPr>
          </w:p>
        </w:tc>
        <w:tc>
          <w:tcPr>
            <w:tcW w:w="586" w:type="pct"/>
            <w:vMerge w:val="continue"/>
            <w:shd w:val="clear" w:color="auto" w:fill="auto"/>
            <w:vAlign w:val="center"/>
          </w:tcPr>
          <w:p w14:paraId="225ADAB7">
            <w:pPr>
              <w:jc w:val="center"/>
              <w:rPr>
                <w:rFonts w:eastAsia="仿宋_GB2312"/>
                <w:color w:val="FF0000"/>
                <w:szCs w:val="21"/>
              </w:rPr>
            </w:pPr>
          </w:p>
        </w:tc>
        <w:tc>
          <w:tcPr>
            <w:tcW w:w="820" w:type="pct"/>
            <w:shd w:val="clear" w:color="auto" w:fill="auto"/>
            <w:vAlign w:val="center"/>
          </w:tcPr>
          <w:p w14:paraId="13B492C0">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color w:val="auto"/>
                <w:szCs w:val="21"/>
              </w:rPr>
              <w:t>异丙醇</w:t>
            </w:r>
          </w:p>
        </w:tc>
        <w:tc>
          <w:tcPr>
            <w:tcW w:w="492" w:type="pct"/>
            <w:shd w:val="clear" w:color="auto" w:fill="auto"/>
            <w:vAlign w:val="center"/>
          </w:tcPr>
          <w:p w14:paraId="13FB1327">
            <w:pPr>
              <w:adjustRightInd w:val="0"/>
              <w:snapToGrid w:val="0"/>
              <w:spacing w:line="320" w:lineRule="exact"/>
              <w:jc w:val="center"/>
              <w:rPr>
                <w:rFonts w:hint="eastAsia"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7.00</w:t>
            </w:r>
          </w:p>
        </w:tc>
        <w:tc>
          <w:tcPr>
            <w:tcW w:w="506" w:type="pct"/>
            <w:shd w:val="clear" w:color="auto" w:fill="auto"/>
            <w:vAlign w:val="center"/>
          </w:tcPr>
          <w:p w14:paraId="177ECED4">
            <w:pPr>
              <w:adjustRightInd w:val="0"/>
              <w:snapToGrid w:val="0"/>
              <w:spacing w:line="320" w:lineRule="exact"/>
              <w:jc w:val="center"/>
              <w:rPr>
                <w:rFonts w:hint="eastAsia"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0.27</w:t>
            </w:r>
          </w:p>
        </w:tc>
        <w:tc>
          <w:tcPr>
            <w:tcW w:w="630" w:type="pct"/>
            <w:shd w:val="clear" w:color="auto" w:fill="auto"/>
            <w:vAlign w:val="center"/>
          </w:tcPr>
          <w:p w14:paraId="73EA995E">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b/>
                <w:bCs/>
                <w:color w:val="auto"/>
                <w:szCs w:val="21"/>
              </w:rPr>
              <w:t>/</w:t>
            </w:r>
          </w:p>
        </w:tc>
        <w:tc>
          <w:tcPr>
            <w:tcW w:w="496" w:type="pct"/>
            <w:shd w:val="clear" w:color="auto" w:fill="auto"/>
            <w:vAlign w:val="center"/>
          </w:tcPr>
          <w:p w14:paraId="7046BB77">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b/>
                <w:bCs/>
                <w:color w:val="auto"/>
                <w:szCs w:val="21"/>
              </w:rPr>
              <w:t>/</w:t>
            </w:r>
          </w:p>
        </w:tc>
        <w:tc>
          <w:tcPr>
            <w:tcW w:w="408" w:type="pct"/>
            <w:vMerge w:val="continue"/>
            <w:shd w:val="clear" w:color="auto" w:fill="auto"/>
            <w:vAlign w:val="center"/>
          </w:tcPr>
          <w:p w14:paraId="1C29AB80">
            <w:pPr>
              <w:adjustRightInd w:val="0"/>
              <w:snapToGrid w:val="0"/>
              <w:spacing w:line="320" w:lineRule="exact"/>
              <w:jc w:val="center"/>
              <w:rPr>
                <w:rFonts w:eastAsia="仿宋_GB2312"/>
                <w:bCs/>
                <w:color w:val="FF0000"/>
                <w:szCs w:val="21"/>
              </w:rPr>
            </w:pPr>
          </w:p>
        </w:tc>
        <w:tc>
          <w:tcPr>
            <w:tcW w:w="326" w:type="pct"/>
            <w:vMerge w:val="continue"/>
            <w:shd w:val="clear" w:color="auto" w:fill="auto"/>
            <w:vAlign w:val="center"/>
          </w:tcPr>
          <w:p w14:paraId="3DF424B8">
            <w:pPr>
              <w:adjustRightInd w:val="0"/>
              <w:snapToGrid w:val="0"/>
              <w:spacing w:line="320" w:lineRule="exact"/>
              <w:jc w:val="center"/>
              <w:rPr>
                <w:rFonts w:eastAsia="仿宋_GB2312"/>
                <w:bCs/>
                <w:color w:val="FF0000"/>
                <w:szCs w:val="21"/>
              </w:rPr>
            </w:pPr>
          </w:p>
        </w:tc>
        <w:tc>
          <w:tcPr>
            <w:tcW w:w="324" w:type="pct"/>
            <w:vMerge w:val="continue"/>
            <w:shd w:val="clear" w:color="auto" w:fill="auto"/>
            <w:vAlign w:val="center"/>
          </w:tcPr>
          <w:p w14:paraId="151F3399">
            <w:pPr>
              <w:adjustRightInd w:val="0"/>
              <w:snapToGrid w:val="0"/>
              <w:spacing w:line="320" w:lineRule="exact"/>
              <w:jc w:val="center"/>
              <w:rPr>
                <w:rFonts w:eastAsia="仿宋_GB2312"/>
                <w:bCs/>
                <w:color w:val="FF0000"/>
                <w:szCs w:val="21"/>
              </w:rPr>
            </w:pPr>
          </w:p>
        </w:tc>
      </w:tr>
      <w:tr w14:paraId="3C25E9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340" w:hRule="atLeast"/>
          <w:jc w:val="center"/>
        </w:trPr>
        <w:tc>
          <w:tcPr>
            <w:tcW w:w="409" w:type="pct"/>
            <w:vMerge w:val="continue"/>
            <w:shd w:val="clear" w:color="auto" w:fill="auto"/>
            <w:vAlign w:val="center"/>
          </w:tcPr>
          <w:p w14:paraId="764C4555">
            <w:pPr>
              <w:adjustRightInd w:val="0"/>
              <w:snapToGrid w:val="0"/>
              <w:spacing w:line="320" w:lineRule="exact"/>
              <w:jc w:val="center"/>
              <w:rPr>
                <w:rFonts w:eastAsia="仿宋_GB2312"/>
                <w:bCs/>
                <w:color w:val="FF0000"/>
                <w:szCs w:val="21"/>
              </w:rPr>
            </w:pPr>
          </w:p>
        </w:tc>
        <w:tc>
          <w:tcPr>
            <w:tcW w:w="586" w:type="pct"/>
            <w:vMerge w:val="continue"/>
            <w:shd w:val="clear" w:color="auto" w:fill="auto"/>
            <w:vAlign w:val="center"/>
          </w:tcPr>
          <w:p w14:paraId="04899171">
            <w:pPr>
              <w:jc w:val="center"/>
              <w:rPr>
                <w:rFonts w:eastAsia="仿宋_GB2312"/>
                <w:color w:val="FF0000"/>
                <w:szCs w:val="21"/>
              </w:rPr>
            </w:pPr>
          </w:p>
        </w:tc>
        <w:tc>
          <w:tcPr>
            <w:tcW w:w="820" w:type="pct"/>
            <w:shd w:val="clear" w:color="auto" w:fill="auto"/>
            <w:vAlign w:val="center"/>
          </w:tcPr>
          <w:p w14:paraId="2C60A8BD">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color w:val="auto"/>
                <w:szCs w:val="21"/>
              </w:rPr>
              <w:t>丁酮</w:t>
            </w:r>
          </w:p>
        </w:tc>
        <w:tc>
          <w:tcPr>
            <w:tcW w:w="492" w:type="pct"/>
            <w:shd w:val="clear" w:color="auto" w:fill="auto"/>
            <w:vAlign w:val="center"/>
          </w:tcPr>
          <w:p w14:paraId="4298F00E">
            <w:pPr>
              <w:adjustRightInd w:val="0"/>
              <w:snapToGrid w:val="0"/>
              <w:spacing w:line="320" w:lineRule="exact"/>
              <w:jc w:val="center"/>
              <w:rPr>
                <w:rFonts w:hint="eastAsia"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11.82</w:t>
            </w:r>
          </w:p>
        </w:tc>
        <w:tc>
          <w:tcPr>
            <w:tcW w:w="506" w:type="pct"/>
            <w:shd w:val="clear" w:color="auto" w:fill="auto"/>
            <w:vAlign w:val="center"/>
          </w:tcPr>
          <w:p w14:paraId="026F3B78">
            <w:pPr>
              <w:adjustRightInd w:val="0"/>
              <w:snapToGrid w:val="0"/>
              <w:spacing w:line="320" w:lineRule="exact"/>
              <w:jc w:val="center"/>
              <w:rPr>
                <w:rFonts w:hint="eastAsia"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0.45</w:t>
            </w:r>
          </w:p>
        </w:tc>
        <w:tc>
          <w:tcPr>
            <w:tcW w:w="630" w:type="pct"/>
            <w:shd w:val="clear" w:color="auto" w:fill="auto"/>
            <w:vAlign w:val="center"/>
          </w:tcPr>
          <w:p w14:paraId="0D5C39F3">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b/>
                <w:bCs/>
                <w:color w:val="auto"/>
                <w:szCs w:val="21"/>
              </w:rPr>
              <w:t>/</w:t>
            </w:r>
          </w:p>
        </w:tc>
        <w:tc>
          <w:tcPr>
            <w:tcW w:w="496" w:type="pct"/>
            <w:shd w:val="clear" w:color="auto" w:fill="auto"/>
            <w:vAlign w:val="center"/>
          </w:tcPr>
          <w:p w14:paraId="7839E767">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b/>
                <w:bCs/>
                <w:color w:val="auto"/>
                <w:szCs w:val="21"/>
              </w:rPr>
              <w:t>/</w:t>
            </w:r>
          </w:p>
        </w:tc>
        <w:tc>
          <w:tcPr>
            <w:tcW w:w="408" w:type="pct"/>
            <w:vMerge w:val="continue"/>
            <w:shd w:val="clear" w:color="auto" w:fill="auto"/>
            <w:vAlign w:val="center"/>
          </w:tcPr>
          <w:p w14:paraId="779AAA6D">
            <w:pPr>
              <w:adjustRightInd w:val="0"/>
              <w:snapToGrid w:val="0"/>
              <w:spacing w:line="320" w:lineRule="exact"/>
              <w:jc w:val="center"/>
              <w:rPr>
                <w:rFonts w:eastAsia="仿宋_GB2312"/>
                <w:bCs/>
                <w:color w:val="FF0000"/>
                <w:szCs w:val="21"/>
              </w:rPr>
            </w:pPr>
          </w:p>
        </w:tc>
        <w:tc>
          <w:tcPr>
            <w:tcW w:w="326" w:type="pct"/>
            <w:vMerge w:val="continue"/>
            <w:shd w:val="clear" w:color="auto" w:fill="auto"/>
            <w:vAlign w:val="center"/>
          </w:tcPr>
          <w:p w14:paraId="36078F3C">
            <w:pPr>
              <w:adjustRightInd w:val="0"/>
              <w:snapToGrid w:val="0"/>
              <w:spacing w:line="320" w:lineRule="exact"/>
              <w:jc w:val="center"/>
              <w:rPr>
                <w:rFonts w:eastAsia="仿宋_GB2312"/>
                <w:bCs/>
                <w:color w:val="FF0000"/>
                <w:szCs w:val="21"/>
              </w:rPr>
            </w:pPr>
          </w:p>
        </w:tc>
        <w:tc>
          <w:tcPr>
            <w:tcW w:w="324" w:type="pct"/>
            <w:vMerge w:val="continue"/>
            <w:shd w:val="clear" w:color="auto" w:fill="auto"/>
            <w:vAlign w:val="center"/>
          </w:tcPr>
          <w:p w14:paraId="238EFAA9">
            <w:pPr>
              <w:adjustRightInd w:val="0"/>
              <w:snapToGrid w:val="0"/>
              <w:spacing w:line="320" w:lineRule="exact"/>
              <w:jc w:val="center"/>
              <w:rPr>
                <w:rFonts w:eastAsia="仿宋_GB2312"/>
                <w:bCs/>
                <w:color w:val="FF0000"/>
                <w:szCs w:val="21"/>
              </w:rPr>
            </w:pPr>
          </w:p>
        </w:tc>
      </w:tr>
      <w:tr w14:paraId="495A5E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09" w:type="pct"/>
            <w:vMerge w:val="continue"/>
            <w:shd w:val="clear" w:color="auto" w:fill="auto"/>
            <w:vAlign w:val="center"/>
          </w:tcPr>
          <w:p w14:paraId="2F74B7CF">
            <w:pPr>
              <w:adjustRightInd w:val="0"/>
              <w:snapToGrid w:val="0"/>
              <w:spacing w:line="320" w:lineRule="exact"/>
              <w:jc w:val="center"/>
              <w:rPr>
                <w:rFonts w:eastAsia="仿宋_GB2312"/>
                <w:bCs/>
                <w:color w:val="FF0000"/>
                <w:szCs w:val="21"/>
              </w:rPr>
            </w:pPr>
          </w:p>
        </w:tc>
        <w:tc>
          <w:tcPr>
            <w:tcW w:w="586" w:type="pct"/>
            <w:vMerge w:val="continue"/>
            <w:shd w:val="clear" w:color="auto" w:fill="auto"/>
            <w:vAlign w:val="center"/>
          </w:tcPr>
          <w:p w14:paraId="7688AAF8">
            <w:pPr>
              <w:jc w:val="center"/>
              <w:rPr>
                <w:rFonts w:eastAsia="仿宋_GB2312"/>
                <w:color w:val="FF0000"/>
                <w:szCs w:val="21"/>
              </w:rPr>
            </w:pPr>
          </w:p>
        </w:tc>
        <w:tc>
          <w:tcPr>
            <w:tcW w:w="820" w:type="pct"/>
            <w:shd w:val="clear" w:color="auto" w:fill="auto"/>
            <w:vAlign w:val="center"/>
          </w:tcPr>
          <w:p w14:paraId="5A6CC8EB">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color w:val="auto"/>
                <w:szCs w:val="21"/>
              </w:rPr>
              <w:t>乙醇</w:t>
            </w:r>
          </w:p>
        </w:tc>
        <w:tc>
          <w:tcPr>
            <w:tcW w:w="492" w:type="pct"/>
            <w:shd w:val="clear" w:color="auto" w:fill="auto"/>
            <w:vAlign w:val="center"/>
          </w:tcPr>
          <w:p w14:paraId="2F47AE3B">
            <w:pPr>
              <w:adjustRightInd w:val="0"/>
              <w:snapToGrid w:val="0"/>
              <w:spacing w:line="320" w:lineRule="exact"/>
              <w:jc w:val="center"/>
              <w:rPr>
                <w:rFonts w:hint="eastAsia"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7.13</w:t>
            </w:r>
          </w:p>
        </w:tc>
        <w:tc>
          <w:tcPr>
            <w:tcW w:w="506" w:type="pct"/>
            <w:shd w:val="clear" w:color="auto" w:fill="auto"/>
            <w:vAlign w:val="center"/>
          </w:tcPr>
          <w:p w14:paraId="1B2F50CD">
            <w:pPr>
              <w:adjustRightInd w:val="0"/>
              <w:snapToGrid w:val="0"/>
              <w:spacing w:line="320" w:lineRule="exact"/>
              <w:jc w:val="center"/>
              <w:rPr>
                <w:rFonts w:hint="eastAsia"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0.27</w:t>
            </w:r>
          </w:p>
        </w:tc>
        <w:tc>
          <w:tcPr>
            <w:tcW w:w="630" w:type="pct"/>
            <w:shd w:val="clear" w:color="auto" w:fill="auto"/>
            <w:vAlign w:val="center"/>
          </w:tcPr>
          <w:p w14:paraId="5BF4A100">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b/>
                <w:bCs/>
                <w:color w:val="auto"/>
                <w:szCs w:val="21"/>
              </w:rPr>
              <w:t>/</w:t>
            </w:r>
          </w:p>
        </w:tc>
        <w:tc>
          <w:tcPr>
            <w:tcW w:w="496" w:type="pct"/>
            <w:shd w:val="clear" w:color="auto" w:fill="auto"/>
            <w:vAlign w:val="center"/>
          </w:tcPr>
          <w:p w14:paraId="5D46E56B">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b/>
                <w:bCs/>
                <w:color w:val="auto"/>
                <w:szCs w:val="21"/>
              </w:rPr>
              <w:t>/</w:t>
            </w:r>
          </w:p>
        </w:tc>
        <w:tc>
          <w:tcPr>
            <w:tcW w:w="408" w:type="pct"/>
            <w:vMerge w:val="continue"/>
            <w:shd w:val="clear" w:color="auto" w:fill="auto"/>
            <w:vAlign w:val="center"/>
          </w:tcPr>
          <w:p w14:paraId="0999FC02">
            <w:pPr>
              <w:adjustRightInd w:val="0"/>
              <w:snapToGrid w:val="0"/>
              <w:spacing w:line="320" w:lineRule="exact"/>
              <w:jc w:val="center"/>
              <w:rPr>
                <w:rFonts w:eastAsia="仿宋_GB2312"/>
                <w:bCs/>
                <w:color w:val="FF0000"/>
                <w:szCs w:val="21"/>
              </w:rPr>
            </w:pPr>
          </w:p>
        </w:tc>
        <w:tc>
          <w:tcPr>
            <w:tcW w:w="326" w:type="pct"/>
            <w:vMerge w:val="continue"/>
            <w:shd w:val="clear" w:color="auto" w:fill="auto"/>
            <w:vAlign w:val="center"/>
          </w:tcPr>
          <w:p w14:paraId="1F3663C0">
            <w:pPr>
              <w:adjustRightInd w:val="0"/>
              <w:snapToGrid w:val="0"/>
              <w:spacing w:line="320" w:lineRule="exact"/>
              <w:jc w:val="center"/>
              <w:rPr>
                <w:rFonts w:eastAsia="仿宋_GB2312"/>
                <w:bCs/>
                <w:color w:val="FF0000"/>
                <w:szCs w:val="21"/>
              </w:rPr>
            </w:pPr>
          </w:p>
        </w:tc>
        <w:tc>
          <w:tcPr>
            <w:tcW w:w="324" w:type="pct"/>
            <w:vMerge w:val="continue"/>
            <w:shd w:val="clear" w:color="auto" w:fill="auto"/>
            <w:vAlign w:val="center"/>
          </w:tcPr>
          <w:p w14:paraId="205730F4">
            <w:pPr>
              <w:adjustRightInd w:val="0"/>
              <w:snapToGrid w:val="0"/>
              <w:spacing w:line="320" w:lineRule="exact"/>
              <w:jc w:val="center"/>
              <w:rPr>
                <w:rFonts w:eastAsia="仿宋_GB2312"/>
                <w:bCs/>
                <w:color w:val="FF0000"/>
                <w:szCs w:val="21"/>
              </w:rPr>
            </w:pPr>
          </w:p>
        </w:tc>
      </w:tr>
      <w:tr w14:paraId="52FD12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09" w:type="pct"/>
            <w:vMerge w:val="continue"/>
            <w:shd w:val="clear" w:color="auto" w:fill="auto"/>
            <w:vAlign w:val="center"/>
          </w:tcPr>
          <w:p w14:paraId="3A928606">
            <w:pPr>
              <w:adjustRightInd w:val="0"/>
              <w:snapToGrid w:val="0"/>
              <w:spacing w:line="320" w:lineRule="exact"/>
              <w:jc w:val="center"/>
              <w:rPr>
                <w:rFonts w:eastAsia="仿宋_GB2312"/>
                <w:bCs/>
                <w:color w:val="FF0000"/>
                <w:szCs w:val="21"/>
              </w:rPr>
            </w:pPr>
          </w:p>
        </w:tc>
        <w:tc>
          <w:tcPr>
            <w:tcW w:w="586" w:type="pct"/>
            <w:vMerge w:val="continue"/>
            <w:shd w:val="clear" w:color="auto" w:fill="auto"/>
            <w:vAlign w:val="center"/>
          </w:tcPr>
          <w:p w14:paraId="4CC8841A">
            <w:pPr>
              <w:jc w:val="center"/>
              <w:rPr>
                <w:rFonts w:eastAsia="仿宋_GB2312"/>
                <w:color w:val="FF0000"/>
                <w:szCs w:val="21"/>
              </w:rPr>
            </w:pPr>
          </w:p>
        </w:tc>
        <w:tc>
          <w:tcPr>
            <w:tcW w:w="820" w:type="pct"/>
            <w:shd w:val="clear" w:color="auto" w:fill="auto"/>
            <w:vAlign w:val="center"/>
          </w:tcPr>
          <w:p w14:paraId="5BC5F47C">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color w:val="auto"/>
                <w:szCs w:val="21"/>
              </w:rPr>
              <w:t>乙酸乙酯</w:t>
            </w:r>
          </w:p>
        </w:tc>
        <w:tc>
          <w:tcPr>
            <w:tcW w:w="492" w:type="pct"/>
            <w:shd w:val="clear" w:color="auto" w:fill="auto"/>
            <w:vAlign w:val="center"/>
          </w:tcPr>
          <w:p w14:paraId="28D0117A">
            <w:pPr>
              <w:adjustRightInd w:val="0"/>
              <w:snapToGrid w:val="0"/>
              <w:spacing w:line="320" w:lineRule="exact"/>
              <w:jc w:val="center"/>
              <w:rPr>
                <w:rFonts w:hint="eastAsia"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10.62</w:t>
            </w:r>
          </w:p>
        </w:tc>
        <w:tc>
          <w:tcPr>
            <w:tcW w:w="506" w:type="pct"/>
            <w:shd w:val="clear" w:color="auto" w:fill="auto"/>
            <w:vAlign w:val="center"/>
          </w:tcPr>
          <w:p w14:paraId="48F31479">
            <w:pPr>
              <w:adjustRightInd w:val="0"/>
              <w:snapToGrid w:val="0"/>
              <w:spacing w:line="320" w:lineRule="exact"/>
              <w:jc w:val="center"/>
              <w:rPr>
                <w:rFonts w:hint="eastAsia"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0.40</w:t>
            </w:r>
          </w:p>
        </w:tc>
        <w:tc>
          <w:tcPr>
            <w:tcW w:w="630" w:type="pct"/>
            <w:shd w:val="clear" w:color="auto" w:fill="auto"/>
            <w:vAlign w:val="center"/>
          </w:tcPr>
          <w:p w14:paraId="7B271C22">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b/>
                <w:bCs/>
                <w:color w:val="auto"/>
                <w:szCs w:val="21"/>
              </w:rPr>
              <w:t>/</w:t>
            </w:r>
          </w:p>
        </w:tc>
        <w:tc>
          <w:tcPr>
            <w:tcW w:w="496" w:type="pct"/>
            <w:shd w:val="clear" w:color="auto" w:fill="auto"/>
            <w:vAlign w:val="center"/>
          </w:tcPr>
          <w:p w14:paraId="42ED37BC">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b/>
                <w:bCs/>
                <w:color w:val="auto"/>
                <w:szCs w:val="21"/>
              </w:rPr>
              <w:t>/</w:t>
            </w:r>
          </w:p>
        </w:tc>
        <w:tc>
          <w:tcPr>
            <w:tcW w:w="408" w:type="pct"/>
            <w:vMerge w:val="continue"/>
            <w:shd w:val="clear" w:color="auto" w:fill="auto"/>
            <w:vAlign w:val="center"/>
          </w:tcPr>
          <w:p w14:paraId="59DED243">
            <w:pPr>
              <w:adjustRightInd w:val="0"/>
              <w:snapToGrid w:val="0"/>
              <w:spacing w:line="320" w:lineRule="exact"/>
              <w:jc w:val="center"/>
              <w:rPr>
                <w:rFonts w:eastAsia="仿宋_GB2312"/>
                <w:bCs/>
                <w:color w:val="FF0000"/>
                <w:szCs w:val="21"/>
              </w:rPr>
            </w:pPr>
          </w:p>
        </w:tc>
        <w:tc>
          <w:tcPr>
            <w:tcW w:w="326" w:type="pct"/>
            <w:vMerge w:val="continue"/>
            <w:shd w:val="clear" w:color="auto" w:fill="auto"/>
            <w:vAlign w:val="center"/>
          </w:tcPr>
          <w:p w14:paraId="63788A38">
            <w:pPr>
              <w:adjustRightInd w:val="0"/>
              <w:snapToGrid w:val="0"/>
              <w:spacing w:line="320" w:lineRule="exact"/>
              <w:jc w:val="center"/>
              <w:rPr>
                <w:rFonts w:eastAsia="仿宋_GB2312"/>
                <w:bCs/>
                <w:color w:val="FF0000"/>
                <w:szCs w:val="21"/>
              </w:rPr>
            </w:pPr>
          </w:p>
        </w:tc>
        <w:tc>
          <w:tcPr>
            <w:tcW w:w="324" w:type="pct"/>
            <w:vMerge w:val="continue"/>
            <w:shd w:val="clear" w:color="auto" w:fill="auto"/>
            <w:vAlign w:val="center"/>
          </w:tcPr>
          <w:p w14:paraId="0210745B">
            <w:pPr>
              <w:adjustRightInd w:val="0"/>
              <w:snapToGrid w:val="0"/>
              <w:spacing w:line="320" w:lineRule="exact"/>
              <w:jc w:val="center"/>
              <w:rPr>
                <w:rFonts w:eastAsia="仿宋_GB2312"/>
                <w:bCs/>
                <w:color w:val="FF0000"/>
                <w:szCs w:val="21"/>
              </w:rPr>
            </w:pPr>
          </w:p>
        </w:tc>
      </w:tr>
      <w:tr w14:paraId="012F19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09" w:type="pct"/>
            <w:vMerge w:val="continue"/>
            <w:shd w:val="clear" w:color="auto" w:fill="auto"/>
            <w:vAlign w:val="center"/>
          </w:tcPr>
          <w:p w14:paraId="309494E6">
            <w:pPr>
              <w:adjustRightInd w:val="0"/>
              <w:snapToGrid w:val="0"/>
              <w:spacing w:line="320" w:lineRule="exact"/>
              <w:jc w:val="center"/>
              <w:rPr>
                <w:rFonts w:eastAsia="仿宋_GB2312"/>
                <w:bCs/>
                <w:color w:val="FF0000"/>
                <w:szCs w:val="21"/>
              </w:rPr>
            </w:pPr>
          </w:p>
        </w:tc>
        <w:tc>
          <w:tcPr>
            <w:tcW w:w="586" w:type="pct"/>
            <w:vMerge w:val="continue"/>
            <w:shd w:val="clear" w:color="auto" w:fill="auto"/>
            <w:vAlign w:val="center"/>
          </w:tcPr>
          <w:p w14:paraId="0FFBE54A">
            <w:pPr>
              <w:jc w:val="center"/>
              <w:rPr>
                <w:rFonts w:eastAsia="仿宋_GB2312"/>
                <w:color w:val="FF0000"/>
                <w:szCs w:val="21"/>
              </w:rPr>
            </w:pPr>
          </w:p>
        </w:tc>
        <w:tc>
          <w:tcPr>
            <w:tcW w:w="820" w:type="pct"/>
            <w:shd w:val="clear" w:color="auto" w:fill="auto"/>
            <w:vAlign w:val="center"/>
          </w:tcPr>
          <w:p w14:paraId="0A8EB295">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color w:val="auto"/>
                <w:szCs w:val="21"/>
              </w:rPr>
              <w:t>二氯甲烷</w:t>
            </w:r>
          </w:p>
        </w:tc>
        <w:tc>
          <w:tcPr>
            <w:tcW w:w="492" w:type="pct"/>
            <w:shd w:val="clear" w:color="auto" w:fill="auto"/>
            <w:vAlign w:val="center"/>
          </w:tcPr>
          <w:p w14:paraId="7F46B508">
            <w:pPr>
              <w:adjustRightInd w:val="0"/>
              <w:snapToGrid w:val="0"/>
              <w:spacing w:line="320" w:lineRule="exact"/>
              <w:jc w:val="center"/>
              <w:rPr>
                <w:rFonts w:hint="eastAsia"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7.83</w:t>
            </w:r>
          </w:p>
        </w:tc>
        <w:tc>
          <w:tcPr>
            <w:tcW w:w="506" w:type="pct"/>
            <w:shd w:val="clear" w:color="auto" w:fill="auto"/>
            <w:vAlign w:val="center"/>
          </w:tcPr>
          <w:p w14:paraId="46CD08D4">
            <w:pPr>
              <w:adjustRightInd w:val="0"/>
              <w:snapToGrid w:val="0"/>
              <w:spacing w:line="320" w:lineRule="exact"/>
              <w:jc w:val="center"/>
              <w:rPr>
                <w:rFonts w:hint="eastAsia"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0.30</w:t>
            </w:r>
          </w:p>
        </w:tc>
        <w:tc>
          <w:tcPr>
            <w:tcW w:w="630" w:type="pct"/>
            <w:shd w:val="clear" w:color="auto" w:fill="auto"/>
            <w:vAlign w:val="center"/>
          </w:tcPr>
          <w:p w14:paraId="4D6F9408">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color w:val="auto"/>
                <w:szCs w:val="21"/>
              </w:rPr>
              <w:t>20</w:t>
            </w:r>
          </w:p>
        </w:tc>
        <w:tc>
          <w:tcPr>
            <w:tcW w:w="496" w:type="pct"/>
            <w:shd w:val="clear" w:color="auto" w:fill="auto"/>
            <w:vAlign w:val="center"/>
          </w:tcPr>
          <w:p w14:paraId="3772F1EA">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color w:val="auto"/>
                <w:szCs w:val="21"/>
              </w:rPr>
              <w:t>0.45</w:t>
            </w:r>
          </w:p>
        </w:tc>
        <w:tc>
          <w:tcPr>
            <w:tcW w:w="408" w:type="pct"/>
            <w:vMerge w:val="continue"/>
            <w:shd w:val="clear" w:color="auto" w:fill="auto"/>
            <w:vAlign w:val="center"/>
          </w:tcPr>
          <w:p w14:paraId="35949CBB">
            <w:pPr>
              <w:adjustRightInd w:val="0"/>
              <w:snapToGrid w:val="0"/>
              <w:spacing w:line="320" w:lineRule="exact"/>
              <w:jc w:val="center"/>
              <w:rPr>
                <w:rFonts w:eastAsia="仿宋_GB2312"/>
                <w:bCs/>
                <w:color w:val="FF0000"/>
                <w:szCs w:val="21"/>
              </w:rPr>
            </w:pPr>
          </w:p>
        </w:tc>
        <w:tc>
          <w:tcPr>
            <w:tcW w:w="326" w:type="pct"/>
            <w:vMerge w:val="continue"/>
            <w:shd w:val="clear" w:color="auto" w:fill="auto"/>
            <w:vAlign w:val="center"/>
          </w:tcPr>
          <w:p w14:paraId="28E0C6BC">
            <w:pPr>
              <w:adjustRightInd w:val="0"/>
              <w:snapToGrid w:val="0"/>
              <w:spacing w:line="320" w:lineRule="exact"/>
              <w:jc w:val="center"/>
              <w:rPr>
                <w:rFonts w:eastAsia="仿宋_GB2312"/>
                <w:bCs/>
                <w:color w:val="FF0000"/>
                <w:szCs w:val="21"/>
              </w:rPr>
            </w:pPr>
          </w:p>
        </w:tc>
        <w:tc>
          <w:tcPr>
            <w:tcW w:w="324" w:type="pct"/>
            <w:vMerge w:val="continue"/>
            <w:shd w:val="clear" w:color="auto" w:fill="auto"/>
            <w:vAlign w:val="center"/>
          </w:tcPr>
          <w:p w14:paraId="22F95A75">
            <w:pPr>
              <w:adjustRightInd w:val="0"/>
              <w:snapToGrid w:val="0"/>
              <w:spacing w:line="320" w:lineRule="exact"/>
              <w:jc w:val="center"/>
              <w:rPr>
                <w:rFonts w:eastAsia="仿宋_GB2312"/>
                <w:bCs/>
                <w:color w:val="FF0000"/>
                <w:szCs w:val="21"/>
              </w:rPr>
            </w:pPr>
          </w:p>
        </w:tc>
      </w:tr>
      <w:tr w14:paraId="02EF58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340" w:hRule="atLeast"/>
          <w:jc w:val="center"/>
        </w:trPr>
        <w:tc>
          <w:tcPr>
            <w:tcW w:w="409" w:type="pct"/>
            <w:vMerge w:val="continue"/>
            <w:shd w:val="clear" w:color="auto" w:fill="auto"/>
            <w:vAlign w:val="center"/>
          </w:tcPr>
          <w:p w14:paraId="4E22F1A3">
            <w:pPr>
              <w:adjustRightInd w:val="0"/>
              <w:snapToGrid w:val="0"/>
              <w:spacing w:line="320" w:lineRule="exact"/>
              <w:jc w:val="center"/>
              <w:rPr>
                <w:rFonts w:eastAsia="仿宋_GB2312"/>
                <w:bCs/>
                <w:color w:val="FF0000"/>
                <w:szCs w:val="21"/>
              </w:rPr>
            </w:pPr>
          </w:p>
        </w:tc>
        <w:tc>
          <w:tcPr>
            <w:tcW w:w="586" w:type="pct"/>
            <w:vMerge w:val="continue"/>
            <w:shd w:val="clear" w:color="auto" w:fill="auto"/>
            <w:vAlign w:val="center"/>
          </w:tcPr>
          <w:p w14:paraId="1A3458E0">
            <w:pPr>
              <w:jc w:val="center"/>
              <w:rPr>
                <w:rFonts w:eastAsia="仿宋_GB2312"/>
                <w:color w:val="FF0000"/>
                <w:szCs w:val="21"/>
              </w:rPr>
            </w:pPr>
          </w:p>
        </w:tc>
        <w:tc>
          <w:tcPr>
            <w:tcW w:w="820" w:type="pct"/>
            <w:shd w:val="clear" w:color="auto" w:fill="auto"/>
            <w:vAlign w:val="center"/>
          </w:tcPr>
          <w:p w14:paraId="5F3813F3">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color w:val="auto"/>
                <w:szCs w:val="21"/>
              </w:rPr>
              <w:t>乙酸丁酯</w:t>
            </w:r>
          </w:p>
        </w:tc>
        <w:tc>
          <w:tcPr>
            <w:tcW w:w="492" w:type="pct"/>
            <w:shd w:val="clear" w:color="auto" w:fill="auto"/>
            <w:vAlign w:val="center"/>
          </w:tcPr>
          <w:p w14:paraId="7762A97A">
            <w:pPr>
              <w:adjustRightInd w:val="0"/>
              <w:snapToGrid w:val="0"/>
              <w:spacing w:line="320" w:lineRule="exact"/>
              <w:jc w:val="center"/>
              <w:rPr>
                <w:rFonts w:hint="eastAsia"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7.46</w:t>
            </w:r>
          </w:p>
        </w:tc>
        <w:tc>
          <w:tcPr>
            <w:tcW w:w="506" w:type="pct"/>
            <w:shd w:val="clear" w:color="auto" w:fill="auto"/>
            <w:vAlign w:val="center"/>
          </w:tcPr>
          <w:p w14:paraId="7ACA9A89">
            <w:pPr>
              <w:adjustRightInd w:val="0"/>
              <w:snapToGrid w:val="0"/>
              <w:spacing w:line="320" w:lineRule="exact"/>
              <w:jc w:val="center"/>
              <w:rPr>
                <w:rFonts w:hint="eastAsia"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0.28</w:t>
            </w:r>
          </w:p>
        </w:tc>
        <w:tc>
          <w:tcPr>
            <w:tcW w:w="630" w:type="pct"/>
            <w:shd w:val="clear" w:color="auto" w:fill="auto"/>
            <w:vAlign w:val="center"/>
          </w:tcPr>
          <w:p w14:paraId="02BD7D82">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b/>
                <w:bCs/>
                <w:color w:val="auto"/>
                <w:szCs w:val="21"/>
              </w:rPr>
              <w:t>/</w:t>
            </w:r>
          </w:p>
        </w:tc>
        <w:tc>
          <w:tcPr>
            <w:tcW w:w="496" w:type="pct"/>
            <w:shd w:val="clear" w:color="auto" w:fill="auto"/>
            <w:vAlign w:val="center"/>
          </w:tcPr>
          <w:p w14:paraId="62D27A6A">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b/>
                <w:bCs/>
                <w:color w:val="auto"/>
                <w:szCs w:val="21"/>
              </w:rPr>
              <w:t>/</w:t>
            </w:r>
          </w:p>
        </w:tc>
        <w:tc>
          <w:tcPr>
            <w:tcW w:w="408" w:type="pct"/>
            <w:vMerge w:val="continue"/>
            <w:shd w:val="clear" w:color="auto" w:fill="auto"/>
            <w:vAlign w:val="center"/>
          </w:tcPr>
          <w:p w14:paraId="378011D4">
            <w:pPr>
              <w:adjustRightInd w:val="0"/>
              <w:snapToGrid w:val="0"/>
              <w:spacing w:line="320" w:lineRule="exact"/>
              <w:jc w:val="center"/>
              <w:rPr>
                <w:rFonts w:eastAsia="仿宋_GB2312"/>
                <w:bCs/>
                <w:color w:val="FF0000"/>
                <w:szCs w:val="21"/>
              </w:rPr>
            </w:pPr>
          </w:p>
        </w:tc>
        <w:tc>
          <w:tcPr>
            <w:tcW w:w="326" w:type="pct"/>
            <w:vMerge w:val="continue"/>
            <w:shd w:val="clear" w:color="auto" w:fill="auto"/>
            <w:vAlign w:val="center"/>
          </w:tcPr>
          <w:p w14:paraId="16EBC1BA">
            <w:pPr>
              <w:adjustRightInd w:val="0"/>
              <w:snapToGrid w:val="0"/>
              <w:spacing w:line="320" w:lineRule="exact"/>
              <w:jc w:val="center"/>
              <w:rPr>
                <w:rFonts w:eastAsia="仿宋_GB2312"/>
                <w:bCs/>
                <w:color w:val="FF0000"/>
                <w:szCs w:val="21"/>
              </w:rPr>
            </w:pPr>
          </w:p>
        </w:tc>
        <w:tc>
          <w:tcPr>
            <w:tcW w:w="324" w:type="pct"/>
            <w:vMerge w:val="continue"/>
            <w:shd w:val="clear" w:color="auto" w:fill="auto"/>
            <w:vAlign w:val="center"/>
          </w:tcPr>
          <w:p w14:paraId="0E37C41D">
            <w:pPr>
              <w:adjustRightInd w:val="0"/>
              <w:snapToGrid w:val="0"/>
              <w:spacing w:line="320" w:lineRule="exact"/>
              <w:jc w:val="center"/>
              <w:rPr>
                <w:rFonts w:eastAsia="仿宋_GB2312"/>
                <w:bCs/>
                <w:color w:val="FF0000"/>
                <w:szCs w:val="21"/>
              </w:rPr>
            </w:pPr>
          </w:p>
        </w:tc>
      </w:tr>
      <w:tr w14:paraId="7FF42B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09" w:type="pct"/>
            <w:vMerge w:val="continue"/>
          </w:tcPr>
          <w:p w14:paraId="3FBEF440">
            <w:pPr>
              <w:adjustRightInd w:val="0"/>
              <w:snapToGrid w:val="0"/>
              <w:spacing w:line="320" w:lineRule="exact"/>
              <w:jc w:val="center"/>
              <w:rPr>
                <w:rFonts w:eastAsia="仿宋_GB2312"/>
                <w:bCs/>
                <w:color w:val="FF0000"/>
                <w:szCs w:val="21"/>
              </w:rPr>
            </w:pPr>
          </w:p>
        </w:tc>
        <w:tc>
          <w:tcPr>
            <w:tcW w:w="586" w:type="pct"/>
            <w:vMerge w:val="continue"/>
          </w:tcPr>
          <w:p w14:paraId="37FDFEE3">
            <w:pPr>
              <w:jc w:val="center"/>
              <w:rPr>
                <w:rFonts w:eastAsia="仿宋_GB2312"/>
                <w:color w:val="FF0000"/>
                <w:szCs w:val="21"/>
              </w:rPr>
            </w:pPr>
          </w:p>
        </w:tc>
        <w:tc>
          <w:tcPr>
            <w:tcW w:w="820" w:type="pct"/>
            <w:shd w:val="clear" w:color="auto" w:fill="auto"/>
            <w:vAlign w:val="center"/>
          </w:tcPr>
          <w:p w14:paraId="01C7F832">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color w:val="auto"/>
                <w:szCs w:val="21"/>
              </w:rPr>
              <w:t>二甲苯</w:t>
            </w:r>
          </w:p>
        </w:tc>
        <w:tc>
          <w:tcPr>
            <w:tcW w:w="0" w:type="auto"/>
            <w:shd w:val="clear" w:color="auto" w:fill="auto"/>
            <w:vAlign w:val="center"/>
          </w:tcPr>
          <w:p w14:paraId="2876FF33">
            <w:pPr>
              <w:adjustRightInd w:val="0"/>
              <w:snapToGrid w:val="0"/>
              <w:spacing w:line="320" w:lineRule="exact"/>
              <w:jc w:val="center"/>
              <w:rPr>
                <w:rFonts w:hint="eastAsia"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4.41</w:t>
            </w:r>
          </w:p>
        </w:tc>
        <w:tc>
          <w:tcPr>
            <w:tcW w:w="0" w:type="auto"/>
            <w:shd w:val="clear" w:color="auto" w:fill="auto"/>
            <w:vAlign w:val="center"/>
          </w:tcPr>
          <w:p w14:paraId="0F866F2D">
            <w:pPr>
              <w:adjustRightInd w:val="0"/>
              <w:snapToGrid w:val="0"/>
              <w:spacing w:line="320" w:lineRule="exact"/>
              <w:jc w:val="center"/>
              <w:rPr>
                <w:rFonts w:hint="eastAsia"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0.17</w:t>
            </w:r>
          </w:p>
        </w:tc>
        <w:tc>
          <w:tcPr>
            <w:tcW w:w="0" w:type="auto"/>
            <w:shd w:val="clear" w:color="auto" w:fill="auto"/>
            <w:vAlign w:val="center"/>
          </w:tcPr>
          <w:p w14:paraId="348FC1FD">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color w:val="auto"/>
                <w:szCs w:val="21"/>
              </w:rPr>
              <w:t>10</w:t>
            </w:r>
          </w:p>
        </w:tc>
        <w:tc>
          <w:tcPr>
            <w:tcW w:w="0" w:type="auto"/>
            <w:shd w:val="clear" w:color="auto" w:fill="auto"/>
            <w:vAlign w:val="center"/>
          </w:tcPr>
          <w:p w14:paraId="3F1013B6">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color w:val="auto"/>
                <w:szCs w:val="21"/>
              </w:rPr>
              <w:t>0.72</w:t>
            </w:r>
          </w:p>
        </w:tc>
        <w:tc>
          <w:tcPr>
            <w:tcW w:w="408" w:type="pct"/>
            <w:vMerge w:val="continue"/>
          </w:tcPr>
          <w:p w14:paraId="200AAE03">
            <w:pPr>
              <w:adjustRightInd w:val="0"/>
              <w:snapToGrid w:val="0"/>
              <w:spacing w:line="320" w:lineRule="exact"/>
              <w:jc w:val="center"/>
              <w:rPr>
                <w:rFonts w:eastAsia="仿宋_GB2312"/>
                <w:bCs/>
                <w:color w:val="FF0000"/>
                <w:szCs w:val="21"/>
              </w:rPr>
            </w:pPr>
          </w:p>
        </w:tc>
        <w:tc>
          <w:tcPr>
            <w:tcW w:w="326" w:type="pct"/>
            <w:vMerge w:val="continue"/>
          </w:tcPr>
          <w:p w14:paraId="69F0221A">
            <w:pPr>
              <w:adjustRightInd w:val="0"/>
              <w:snapToGrid w:val="0"/>
              <w:spacing w:line="320" w:lineRule="exact"/>
              <w:jc w:val="center"/>
              <w:rPr>
                <w:rFonts w:eastAsia="仿宋_GB2312"/>
                <w:bCs/>
                <w:color w:val="FF0000"/>
                <w:szCs w:val="21"/>
              </w:rPr>
            </w:pPr>
          </w:p>
        </w:tc>
        <w:tc>
          <w:tcPr>
            <w:tcW w:w="324" w:type="pct"/>
            <w:vMerge w:val="continue"/>
          </w:tcPr>
          <w:p w14:paraId="3B538D77">
            <w:pPr>
              <w:adjustRightInd w:val="0"/>
              <w:snapToGrid w:val="0"/>
              <w:spacing w:line="320" w:lineRule="exact"/>
              <w:jc w:val="center"/>
              <w:rPr>
                <w:rFonts w:eastAsia="仿宋_GB2312"/>
                <w:bCs/>
                <w:color w:val="FF0000"/>
                <w:szCs w:val="21"/>
              </w:rPr>
            </w:pPr>
          </w:p>
        </w:tc>
      </w:tr>
      <w:tr w14:paraId="3B6478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340" w:hRule="atLeast"/>
          <w:jc w:val="center"/>
        </w:trPr>
        <w:tc>
          <w:tcPr>
            <w:tcW w:w="409" w:type="pct"/>
            <w:vMerge w:val="continue"/>
          </w:tcPr>
          <w:p w14:paraId="31D922B5">
            <w:pPr>
              <w:adjustRightInd w:val="0"/>
              <w:snapToGrid w:val="0"/>
              <w:spacing w:line="320" w:lineRule="exact"/>
              <w:jc w:val="center"/>
              <w:rPr>
                <w:rFonts w:eastAsia="仿宋_GB2312"/>
                <w:bCs/>
                <w:color w:val="FF0000"/>
                <w:szCs w:val="21"/>
              </w:rPr>
            </w:pPr>
          </w:p>
        </w:tc>
        <w:tc>
          <w:tcPr>
            <w:tcW w:w="586" w:type="pct"/>
            <w:vMerge w:val="continue"/>
          </w:tcPr>
          <w:p w14:paraId="089A59AE">
            <w:pPr>
              <w:jc w:val="center"/>
              <w:rPr>
                <w:rFonts w:eastAsia="仿宋_GB2312"/>
                <w:color w:val="FF0000"/>
                <w:szCs w:val="21"/>
              </w:rPr>
            </w:pPr>
          </w:p>
        </w:tc>
        <w:tc>
          <w:tcPr>
            <w:tcW w:w="820" w:type="pct"/>
            <w:shd w:val="clear" w:color="auto" w:fill="auto"/>
            <w:vAlign w:val="center"/>
          </w:tcPr>
          <w:p w14:paraId="2581DBEA">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color w:val="auto"/>
                <w:szCs w:val="21"/>
              </w:rPr>
              <w:t>甲苯</w:t>
            </w:r>
          </w:p>
        </w:tc>
        <w:tc>
          <w:tcPr>
            <w:tcW w:w="0" w:type="auto"/>
            <w:shd w:val="clear" w:color="auto" w:fill="auto"/>
            <w:vAlign w:val="center"/>
          </w:tcPr>
          <w:p w14:paraId="53A7F913">
            <w:pPr>
              <w:adjustRightInd w:val="0"/>
              <w:snapToGrid w:val="0"/>
              <w:spacing w:line="320" w:lineRule="exact"/>
              <w:jc w:val="center"/>
              <w:rPr>
                <w:rFonts w:hint="eastAsia"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3.38</w:t>
            </w:r>
          </w:p>
        </w:tc>
        <w:tc>
          <w:tcPr>
            <w:tcW w:w="0" w:type="auto"/>
            <w:shd w:val="clear" w:color="auto" w:fill="auto"/>
            <w:vAlign w:val="center"/>
          </w:tcPr>
          <w:p w14:paraId="5A7622FF">
            <w:pPr>
              <w:adjustRightInd w:val="0"/>
              <w:snapToGrid w:val="0"/>
              <w:spacing w:line="320" w:lineRule="exact"/>
              <w:jc w:val="center"/>
              <w:rPr>
                <w:rFonts w:hint="eastAsia"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0.13</w:t>
            </w:r>
          </w:p>
        </w:tc>
        <w:tc>
          <w:tcPr>
            <w:tcW w:w="0" w:type="auto"/>
            <w:shd w:val="clear" w:color="auto" w:fill="auto"/>
            <w:vAlign w:val="center"/>
          </w:tcPr>
          <w:p w14:paraId="0B81F882">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color w:val="auto"/>
                <w:szCs w:val="21"/>
              </w:rPr>
              <w:t>10</w:t>
            </w:r>
          </w:p>
        </w:tc>
        <w:tc>
          <w:tcPr>
            <w:tcW w:w="0" w:type="auto"/>
            <w:shd w:val="clear" w:color="auto" w:fill="auto"/>
            <w:vAlign w:val="center"/>
          </w:tcPr>
          <w:p w14:paraId="7C9A229F">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color w:val="auto"/>
                <w:szCs w:val="21"/>
              </w:rPr>
              <w:t>0.2</w:t>
            </w:r>
          </w:p>
        </w:tc>
        <w:tc>
          <w:tcPr>
            <w:tcW w:w="408" w:type="pct"/>
            <w:vMerge w:val="continue"/>
          </w:tcPr>
          <w:p w14:paraId="2D5BCDD4">
            <w:pPr>
              <w:adjustRightInd w:val="0"/>
              <w:snapToGrid w:val="0"/>
              <w:spacing w:line="320" w:lineRule="exact"/>
              <w:jc w:val="center"/>
              <w:rPr>
                <w:rFonts w:eastAsia="仿宋_GB2312"/>
                <w:bCs/>
                <w:color w:val="FF0000"/>
                <w:szCs w:val="21"/>
              </w:rPr>
            </w:pPr>
          </w:p>
        </w:tc>
        <w:tc>
          <w:tcPr>
            <w:tcW w:w="326" w:type="pct"/>
            <w:vMerge w:val="continue"/>
          </w:tcPr>
          <w:p w14:paraId="4AC47A2B">
            <w:pPr>
              <w:adjustRightInd w:val="0"/>
              <w:snapToGrid w:val="0"/>
              <w:spacing w:line="320" w:lineRule="exact"/>
              <w:jc w:val="center"/>
              <w:rPr>
                <w:rFonts w:eastAsia="仿宋_GB2312"/>
                <w:bCs/>
                <w:color w:val="FF0000"/>
                <w:szCs w:val="21"/>
              </w:rPr>
            </w:pPr>
          </w:p>
        </w:tc>
        <w:tc>
          <w:tcPr>
            <w:tcW w:w="324" w:type="pct"/>
            <w:vMerge w:val="continue"/>
          </w:tcPr>
          <w:p w14:paraId="4816B8A4">
            <w:pPr>
              <w:adjustRightInd w:val="0"/>
              <w:snapToGrid w:val="0"/>
              <w:spacing w:line="320" w:lineRule="exact"/>
              <w:jc w:val="center"/>
              <w:rPr>
                <w:rFonts w:eastAsia="仿宋_GB2312"/>
                <w:bCs/>
                <w:color w:val="FF0000"/>
                <w:szCs w:val="21"/>
              </w:rPr>
            </w:pPr>
          </w:p>
        </w:tc>
      </w:tr>
      <w:tr w14:paraId="03699B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09" w:type="pct"/>
            <w:vMerge w:val="continue"/>
          </w:tcPr>
          <w:p w14:paraId="3B0BECB6">
            <w:pPr>
              <w:adjustRightInd w:val="0"/>
              <w:snapToGrid w:val="0"/>
              <w:spacing w:line="320" w:lineRule="exact"/>
              <w:jc w:val="center"/>
              <w:rPr>
                <w:rFonts w:eastAsia="仿宋_GB2312"/>
                <w:bCs/>
                <w:color w:val="FF0000"/>
                <w:szCs w:val="21"/>
              </w:rPr>
            </w:pPr>
          </w:p>
        </w:tc>
        <w:tc>
          <w:tcPr>
            <w:tcW w:w="586" w:type="pct"/>
            <w:vMerge w:val="continue"/>
          </w:tcPr>
          <w:p w14:paraId="0D7FB2F9">
            <w:pPr>
              <w:jc w:val="center"/>
              <w:rPr>
                <w:rFonts w:eastAsia="仿宋_GB2312"/>
                <w:color w:val="FF0000"/>
                <w:szCs w:val="21"/>
              </w:rPr>
            </w:pPr>
          </w:p>
        </w:tc>
        <w:tc>
          <w:tcPr>
            <w:tcW w:w="820" w:type="pct"/>
            <w:shd w:val="clear" w:color="auto" w:fill="auto"/>
            <w:vAlign w:val="center"/>
          </w:tcPr>
          <w:p w14:paraId="6FE62F10">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等线"/>
                <w:color w:val="auto"/>
                <w:szCs w:val="21"/>
              </w:rPr>
              <w:t>DMF</w:t>
            </w:r>
          </w:p>
        </w:tc>
        <w:tc>
          <w:tcPr>
            <w:tcW w:w="0" w:type="auto"/>
            <w:shd w:val="clear" w:color="auto" w:fill="auto"/>
            <w:vAlign w:val="center"/>
          </w:tcPr>
          <w:p w14:paraId="1C01B3CE">
            <w:pPr>
              <w:adjustRightInd w:val="0"/>
              <w:snapToGrid w:val="0"/>
              <w:spacing w:line="320" w:lineRule="exact"/>
              <w:jc w:val="center"/>
              <w:rPr>
                <w:rFonts w:hint="eastAsia"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7.38</w:t>
            </w:r>
          </w:p>
        </w:tc>
        <w:tc>
          <w:tcPr>
            <w:tcW w:w="0" w:type="auto"/>
            <w:shd w:val="clear" w:color="auto" w:fill="auto"/>
            <w:vAlign w:val="center"/>
          </w:tcPr>
          <w:p w14:paraId="6C7981F7">
            <w:pPr>
              <w:adjustRightInd w:val="0"/>
              <w:snapToGrid w:val="0"/>
              <w:spacing w:line="320" w:lineRule="exact"/>
              <w:jc w:val="center"/>
              <w:rPr>
                <w:rFonts w:hint="eastAsia"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0.28</w:t>
            </w:r>
          </w:p>
        </w:tc>
        <w:tc>
          <w:tcPr>
            <w:tcW w:w="0" w:type="auto"/>
            <w:shd w:val="clear" w:color="auto" w:fill="auto"/>
            <w:vAlign w:val="center"/>
          </w:tcPr>
          <w:p w14:paraId="37F426F1">
            <w:pPr>
              <w:adjustRightInd w:val="0"/>
              <w:snapToGrid w:val="0"/>
              <w:spacing w:line="320" w:lineRule="exact"/>
              <w:jc w:val="center"/>
              <w:rPr>
                <w:rFonts w:ascii="Times New Roman" w:hAnsi="Times New Roman" w:eastAsia="仿宋_GB2312" w:cs="Times New Roman"/>
                <w:bCs/>
                <w:color w:val="auto"/>
                <w:kern w:val="2"/>
                <w:sz w:val="21"/>
                <w:szCs w:val="21"/>
                <w:lang w:val="en-US" w:eastAsia="zh-CN" w:bidi="ar-SA"/>
              </w:rPr>
            </w:pPr>
            <w:r>
              <w:rPr>
                <w:rFonts w:eastAsia="仿宋_GB2312"/>
                <w:bCs/>
                <w:color w:val="auto"/>
                <w:szCs w:val="21"/>
              </w:rPr>
              <w:t>30</w:t>
            </w:r>
          </w:p>
        </w:tc>
        <w:tc>
          <w:tcPr>
            <w:tcW w:w="0" w:type="auto"/>
            <w:shd w:val="clear" w:color="auto" w:fill="auto"/>
            <w:vAlign w:val="center"/>
          </w:tcPr>
          <w:p w14:paraId="6E4A4C4D">
            <w:pPr>
              <w:adjustRightInd w:val="0"/>
              <w:snapToGrid w:val="0"/>
              <w:spacing w:line="320" w:lineRule="exact"/>
              <w:jc w:val="center"/>
              <w:rPr>
                <w:rFonts w:hint="default" w:ascii="Times New Roman" w:hAnsi="Times New Roman" w:eastAsia="仿宋_GB2312" w:cs="Times New Roman"/>
                <w:bCs/>
                <w:color w:val="auto"/>
                <w:kern w:val="2"/>
                <w:sz w:val="21"/>
                <w:szCs w:val="21"/>
                <w:lang w:val="en-US" w:eastAsia="zh-CN" w:bidi="ar-SA"/>
              </w:rPr>
            </w:pPr>
            <w:r>
              <w:rPr>
                <w:rFonts w:hint="eastAsia" w:eastAsia="仿宋_GB2312"/>
                <w:bCs/>
                <w:color w:val="auto"/>
                <w:szCs w:val="21"/>
                <w:lang w:val="en-US" w:eastAsia="zh-CN"/>
              </w:rPr>
              <w:t>1.1</w:t>
            </w:r>
          </w:p>
        </w:tc>
        <w:tc>
          <w:tcPr>
            <w:tcW w:w="408" w:type="pct"/>
            <w:vMerge w:val="continue"/>
          </w:tcPr>
          <w:p w14:paraId="2731291B">
            <w:pPr>
              <w:adjustRightInd w:val="0"/>
              <w:snapToGrid w:val="0"/>
              <w:spacing w:line="320" w:lineRule="exact"/>
              <w:jc w:val="center"/>
              <w:rPr>
                <w:rFonts w:eastAsia="仿宋_GB2312"/>
                <w:bCs/>
                <w:color w:val="FF0000"/>
                <w:szCs w:val="21"/>
              </w:rPr>
            </w:pPr>
          </w:p>
        </w:tc>
        <w:tc>
          <w:tcPr>
            <w:tcW w:w="326" w:type="pct"/>
            <w:vMerge w:val="continue"/>
          </w:tcPr>
          <w:p w14:paraId="20487556">
            <w:pPr>
              <w:adjustRightInd w:val="0"/>
              <w:snapToGrid w:val="0"/>
              <w:spacing w:line="320" w:lineRule="exact"/>
              <w:jc w:val="center"/>
              <w:rPr>
                <w:rFonts w:eastAsia="仿宋_GB2312"/>
                <w:bCs/>
                <w:color w:val="FF0000"/>
                <w:szCs w:val="21"/>
              </w:rPr>
            </w:pPr>
          </w:p>
        </w:tc>
        <w:tc>
          <w:tcPr>
            <w:tcW w:w="324" w:type="pct"/>
            <w:vMerge w:val="continue"/>
          </w:tcPr>
          <w:p w14:paraId="54828F31">
            <w:pPr>
              <w:adjustRightInd w:val="0"/>
              <w:snapToGrid w:val="0"/>
              <w:spacing w:line="320" w:lineRule="exact"/>
              <w:jc w:val="center"/>
              <w:rPr>
                <w:rFonts w:eastAsia="仿宋_GB2312"/>
                <w:bCs/>
                <w:color w:val="FF0000"/>
                <w:szCs w:val="21"/>
              </w:rPr>
            </w:pPr>
          </w:p>
        </w:tc>
      </w:tr>
      <w:tr w14:paraId="7FC1B1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09" w:type="pct"/>
            <w:vMerge w:val="continue"/>
          </w:tcPr>
          <w:p w14:paraId="285EC403">
            <w:pPr>
              <w:adjustRightInd w:val="0"/>
              <w:snapToGrid w:val="0"/>
              <w:spacing w:line="320" w:lineRule="exact"/>
              <w:jc w:val="center"/>
              <w:rPr>
                <w:rFonts w:eastAsia="仿宋_GB2312"/>
                <w:bCs/>
                <w:color w:val="FF0000"/>
                <w:szCs w:val="21"/>
              </w:rPr>
            </w:pPr>
          </w:p>
        </w:tc>
        <w:tc>
          <w:tcPr>
            <w:tcW w:w="586" w:type="pct"/>
            <w:vMerge w:val="continue"/>
          </w:tcPr>
          <w:p w14:paraId="7A88EEF0">
            <w:pPr>
              <w:jc w:val="center"/>
              <w:rPr>
                <w:rFonts w:eastAsia="仿宋_GB2312"/>
                <w:color w:val="FF0000"/>
                <w:szCs w:val="21"/>
              </w:rPr>
            </w:pPr>
          </w:p>
        </w:tc>
        <w:tc>
          <w:tcPr>
            <w:tcW w:w="820" w:type="pct"/>
            <w:shd w:val="clear" w:color="auto" w:fill="auto"/>
            <w:vAlign w:val="center"/>
          </w:tcPr>
          <w:p w14:paraId="07BA305E">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color w:val="auto"/>
                <w:szCs w:val="21"/>
              </w:rPr>
              <w:t>环己烷</w:t>
            </w:r>
          </w:p>
        </w:tc>
        <w:tc>
          <w:tcPr>
            <w:tcW w:w="0" w:type="auto"/>
            <w:shd w:val="clear" w:color="auto" w:fill="auto"/>
            <w:vAlign w:val="center"/>
          </w:tcPr>
          <w:p w14:paraId="60D83282">
            <w:pPr>
              <w:adjustRightInd w:val="0"/>
              <w:snapToGrid w:val="0"/>
              <w:spacing w:line="320" w:lineRule="exact"/>
              <w:jc w:val="center"/>
              <w:rPr>
                <w:rFonts w:hint="eastAsia"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4.87</w:t>
            </w:r>
          </w:p>
        </w:tc>
        <w:tc>
          <w:tcPr>
            <w:tcW w:w="0" w:type="auto"/>
            <w:shd w:val="clear" w:color="auto" w:fill="auto"/>
            <w:vAlign w:val="center"/>
          </w:tcPr>
          <w:p w14:paraId="1AB3651A">
            <w:pPr>
              <w:adjustRightInd w:val="0"/>
              <w:snapToGrid w:val="0"/>
              <w:spacing w:line="320" w:lineRule="exact"/>
              <w:jc w:val="center"/>
              <w:rPr>
                <w:rFonts w:hint="eastAsia"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0.19</w:t>
            </w:r>
          </w:p>
        </w:tc>
        <w:tc>
          <w:tcPr>
            <w:tcW w:w="0" w:type="auto"/>
            <w:shd w:val="clear" w:color="auto" w:fill="auto"/>
            <w:vAlign w:val="center"/>
          </w:tcPr>
          <w:p w14:paraId="24A446A5">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b/>
                <w:bCs/>
                <w:color w:val="auto"/>
                <w:szCs w:val="21"/>
              </w:rPr>
              <w:t>/</w:t>
            </w:r>
          </w:p>
        </w:tc>
        <w:tc>
          <w:tcPr>
            <w:tcW w:w="0" w:type="auto"/>
            <w:shd w:val="clear" w:color="auto" w:fill="auto"/>
            <w:vAlign w:val="center"/>
          </w:tcPr>
          <w:p w14:paraId="7C141F6A">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b/>
                <w:bCs/>
                <w:color w:val="auto"/>
                <w:szCs w:val="21"/>
              </w:rPr>
              <w:t>/</w:t>
            </w:r>
          </w:p>
        </w:tc>
        <w:tc>
          <w:tcPr>
            <w:tcW w:w="408" w:type="pct"/>
            <w:vMerge w:val="continue"/>
          </w:tcPr>
          <w:p w14:paraId="4A94F804">
            <w:pPr>
              <w:adjustRightInd w:val="0"/>
              <w:snapToGrid w:val="0"/>
              <w:spacing w:line="320" w:lineRule="exact"/>
              <w:jc w:val="center"/>
              <w:rPr>
                <w:rFonts w:eastAsia="仿宋_GB2312"/>
                <w:bCs/>
                <w:color w:val="FF0000"/>
                <w:szCs w:val="21"/>
              </w:rPr>
            </w:pPr>
          </w:p>
        </w:tc>
        <w:tc>
          <w:tcPr>
            <w:tcW w:w="326" w:type="pct"/>
            <w:vMerge w:val="continue"/>
          </w:tcPr>
          <w:p w14:paraId="5F25B6D2">
            <w:pPr>
              <w:adjustRightInd w:val="0"/>
              <w:snapToGrid w:val="0"/>
              <w:spacing w:line="320" w:lineRule="exact"/>
              <w:jc w:val="center"/>
              <w:rPr>
                <w:rFonts w:eastAsia="仿宋_GB2312"/>
                <w:bCs/>
                <w:color w:val="FF0000"/>
                <w:szCs w:val="21"/>
              </w:rPr>
            </w:pPr>
          </w:p>
        </w:tc>
        <w:tc>
          <w:tcPr>
            <w:tcW w:w="324" w:type="pct"/>
            <w:vMerge w:val="continue"/>
          </w:tcPr>
          <w:p w14:paraId="5E482AA0">
            <w:pPr>
              <w:adjustRightInd w:val="0"/>
              <w:snapToGrid w:val="0"/>
              <w:spacing w:line="320" w:lineRule="exact"/>
              <w:jc w:val="center"/>
              <w:rPr>
                <w:rFonts w:eastAsia="仿宋_GB2312"/>
                <w:bCs/>
                <w:color w:val="FF0000"/>
                <w:szCs w:val="21"/>
              </w:rPr>
            </w:pPr>
          </w:p>
        </w:tc>
      </w:tr>
      <w:tr w14:paraId="5216A9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09" w:type="pct"/>
            <w:vMerge w:val="continue"/>
          </w:tcPr>
          <w:p w14:paraId="21A8A6C2">
            <w:pPr>
              <w:adjustRightInd w:val="0"/>
              <w:snapToGrid w:val="0"/>
              <w:spacing w:line="320" w:lineRule="exact"/>
              <w:jc w:val="center"/>
              <w:rPr>
                <w:rFonts w:eastAsia="仿宋_GB2312"/>
                <w:bCs/>
                <w:color w:val="FF0000"/>
                <w:szCs w:val="21"/>
              </w:rPr>
            </w:pPr>
          </w:p>
        </w:tc>
        <w:tc>
          <w:tcPr>
            <w:tcW w:w="586" w:type="pct"/>
            <w:vMerge w:val="continue"/>
          </w:tcPr>
          <w:p w14:paraId="265F82D7">
            <w:pPr>
              <w:jc w:val="center"/>
              <w:rPr>
                <w:rFonts w:eastAsia="仿宋_GB2312"/>
                <w:color w:val="FF0000"/>
                <w:szCs w:val="21"/>
              </w:rPr>
            </w:pPr>
          </w:p>
        </w:tc>
        <w:tc>
          <w:tcPr>
            <w:tcW w:w="820" w:type="pct"/>
            <w:shd w:val="clear" w:color="auto" w:fill="auto"/>
            <w:vAlign w:val="center"/>
          </w:tcPr>
          <w:p w14:paraId="35F78C20">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color w:val="auto"/>
                <w:szCs w:val="21"/>
              </w:rPr>
              <w:t>环己酮</w:t>
            </w:r>
          </w:p>
        </w:tc>
        <w:tc>
          <w:tcPr>
            <w:tcW w:w="0" w:type="auto"/>
            <w:shd w:val="clear" w:color="auto" w:fill="auto"/>
            <w:vAlign w:val="center"/>
          </w:tcPr>
          <w:p w14:paraId="273C34B2">
            <w:pPr>
              <w:adjustRightInd w:val="0"/>
              <w:snapToGrid w:val="0"/>
              <w:spacing w:line="320" w:lineRule="exact"/>
              <w:jc w:val="center"/>
              <w:rPr>
                <w:rFonts w:hint="eastAsia"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3.39</w:t>
            </w:r>
          </w:p>
        </w:tc>
        <w:tc>
          <w:tcPr>
            <w:tcW w:w="0" w:type="auto"/>
            <w:shd w:val="clear" w:color="auto" w:fill="auto"/>
            <w:vAlign w:val="center"/>
          </w:tcPr>
          <w:p w14:paraId="0AA6C09E">
            <w:pPr>
              <w:adjustRightInd w:val="0"/>
              <w:snapToGrid w:val="0"/>
              <w:spacing w:line="320" w:lineRule="exact"/>
              <w:jc w:val="center"/>
              <w:rPr>
                <w:rFonts w:hint="eastAsia"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0.13</w:t>
            </w:r>
          </w:p>
        </w:tc>
        <w:tc>
          <w:tcPr>
            <w:tcW w:w="0" w:type="auto"/>
            <w:shd w:val="clear" w:color="auto" w:fill="auto"/>
            <w:vAlign w:val="center"/>
          </w:tcPr>
          <w:p w14:paraId="4A966BCA">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b/>
                <w:bCs/>
                <w:color w:val="auto"/>
                <w:szCs w:val="21"/>
              </w:rPr>
              <w:t>/</w:t>
            </w:r>
          </w:p>
        </w:tc>
        <w:tc>
          <w:tcPr>
            <w:tcW w:w="0" w:type="auto"/>
            <w:shd w:val="clear" w:color="auto" w:fill="auto"/>
            <w:vAlign w:val="center"/>
          </w:tcPr>
          <w:p w14:paraId="3812C180">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b/>
                <w:bCs/>
                <w:color w:val="auto"/>
                <w:szCs w:val="21"/>
              </w:rPr>
              <w:t>/</w:t>
            </w:r>
          </w:p>
        </w:tc>
        <w:tc>
          <w:tcPr>
            <w:tcW w:w="408" w:type="pct"/>
            <w:vMerge w:val="continue"/>
          </w:tcPr>
          <w:p w14:paraId="7815F1BB">
            <w:pPr>
              <w:adjustRightInd w:val="0"/>
              <w:snapToGrid w:val="0"/>
              <w:spacing w:line="320" w:lineRule="exact"/>
              <w:jc w:val="center"/>
              <w:rPr>
                <w:rFonts w:eastAsia="仿宋_GB2312"/>
                <w:bCs/>
                <w:color w:val="FF0000"/>
                <w:szCs w:val="21"/>
              </w:rPr>
            </w:pPr>
          </w:p>
        </w:tc>
        <w:tc>
          <w:tcPr>
            <w:tcW w:w="326" w:type="pct"/>
            <w:vMerge w:val="continue"/>
          </w:tcPr>
          <w:p w14:paraId="0394E7CB">
            <w:pPr>
              <w:adjustRightInd w:val="0"/>
              <w:snapToGrid w:val="0"/>
              <w:spacing w:line="320" w:lineRule="exact"/>
              <w:jc w:val="center"/>
              <w:rPr>
                <w:rFonts w:eastAsia="仿宋_GB2312"/>
                <w:bCs/>
                <w:color w:val="FF0000"/>
                <w:szCs w:val="21"/>
              </w:rPr>
            </w:pPr>
          </w:p>
        </w:tc>
        <w:tc>
          <w:tcPr>
            <w:tcW w:w="324" w:type="pct"/>
            <w:vMerge w:val="continue"/>
          </w:tcPr>
          <w:p w14:paraId="3F9DEF11">
            <w:pPr>
              <w:adjustRightInd w:val="0"/>
              <w:snapToGrid w:val="0"/>
              <w:spacing w:line="320" w:lineRule="exact"/>
              <w:jc w:val="center"/>
              <w:rPr>
                <w:rFonts w:eastAsia="仿宋_GB2312"/>
                <w:bCs/>
                <w:color w:val="FF0000"/>
                <w:szCs w:val="21"/>
              </w:rPr>
            </w:pPr>
          </w:p>
        </w:tc>
      </w:tr>
      <w:tr w14:paraId="29A7BE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340" w:hRule="atLeast"/>
          <w:jc w:val="center"/>
        </w:trPr>
        <w:tc>
          <w:tcPr>
            <w:tcW w:w="409" w:type="pct"/>
            <w:vMerge w:val="continue"/>
          </w:tcPr>
          <w:p w14:paraId="759AD534">
            <w:pPr>
              <w:adjustRightInd w:val="0"/>
              <w:snapToGrid w:val="0"/>
              <w:spacing w:line="320" w:lineRule="exact"/>
              <w:jc w:val="center"/>
              <w:rPr>
                <w:rFonts w:eastAsia="仿宋_GB2312"/>
                <w:bCs/>
                <w:color w:val="FF0000"/>
                <w:szCs w:val="21"/>
              </w:rPr>
            </w:pPr>
          </w:p>
        </w:tc>
        <w:tc>
          <w:tcPr>
            <w:tcW w:w="586" w:type="pct"/>
            <w:vMerge w:val="continue"/>
          </w:tcPr>
          <w:p w14:paraId="359BC6BF">
            <w:pPr>
              <w:jc w:val="center"/>
              <w:rPr>
                <w:rFonts w:eastAsia="仿宋_GB2312"/>
                <w:color w:val="FF0000"/>
                <w:szCs w:val="21"/>
              </w:rPr>
            </w:pPr>
          </w:p>
        </w:tc>
        <w:tc>
          <w:tcPr>
            <w:tcW w:w="820" w:type="pct"/>
            <w:shd w:val="clear" w:color="auto" w:fill="auto"/>
            <w:vAlign w:val="center"/>
          </w:tcPr>
          <w:p w14:paraId="5A7E6EDB">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color w:val="auto"/>
                <w:szCs w:val="21"/>
              </w:rPr>
              <w:t>二氯乙烷</w:t>
            </w:r>
          </w:p>
        </w:tc>
        <w:tc>
          <w:tcPr>
            <w:tcW w:w="0" w:type="auto"/>
            <w:shd w:val="clear" w:color="auto" w:fill="auto"/>
            <w:vAlign w:val="center"/>
          </w:tcPr>
          <w:p w14:paraId="3DFEAC89">
            <w:pPr>
              <w:adjustRightInd w:val="0"/>
              <w:snapToGrid w:val="0"/>
              <w:spacing w:line="320" w:lineRule="exact"/>
              <w:jc w:val="center"/>
              <w:rPr>
                <w:rFonts w:hint="eastAsia"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8.29</w:t>
            </w:r>
          </w:p>
        </w:tc>
        <w:tc>
          <w:tcPr>
            <w:tcW w:w="0" w:type="auto"/>
            <w:shd w:val="clear" w:color="auto" w:fill="auto"/>
            <w:vAlign w:val="center"/>
          </w:tcPr>
          <w:p w14:paraId="645810B2">
            <w:pPr>
              <w:adjustRightInd w:val="0"/>
              <w:snapToGrid w:val="0"/>
              <w:spacing w:line="320" w:lineRule="exact"/>
              <w:jc w:val="center"/>
              <w:rPr>
                <w:rFonts w:hint="eastAsia"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0.32</w:t>
            </w:r>
          </w:p>
        </w:tc>
        <w:tc>
          <w:tcPr>
            <w:tcW w:w="0" w:type="auto"/>
            <w:shd w:val="clear" w:color="auto" w:fill="auto"/>
            <w:vAlign w:val="center"/>
          </w:tcPr>
          <w:p w14:paraId="16F014F1">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color w:val="auto"/>
                <w:szCs w:val="21"/>
              </w:rPr>
              <w:t>7</w:t>
            </w:r>
          </w:p>
        </w:tc>
        <w:tc>
          <w:tcPr>
            <w:tcW w:w="0" w:type="auto"/>
            <w:shd w:val="clear" w:color="auto" w:fill="auto"/>
            <w:vAlign w:val="center"/>
          </w:tcPr>
          <w:p w14:paraId="74E35D27">
            <w:pPr>
              <w:adjustRightInd w:val="0"/>
              <w:snapToGrid w:val="0"/>
              <w:spacing w:line="320" w:lineRule="exact"/>
              <w:jc w:val="center"/>
              <w:rPr>
                <w:rFonts w:hint="default" w:ascii="Times New Roman" w:hAnsi="Times New Roman" w:eastAsia="仿宋_GB2312" w:cs="Times New Roman"/>
                <w:b/>
                <w:bCs/>
                <w:color w:val="auto"/>
                <w:kern w:val="2"/>
                <w:sz w:val="21"/>
                <w:szCs w:val="21"/>
                <w:lang w:val="en-US" w:eastAsia="zh-CN" w:bidi="ar-SA"/>
              </w:rPr>
            </w:pPr>
            <w:r>
              <w:rPr>
                <w:rFonts w:hint="eastAsia" w:eastAsia="仿宋_GB2312"/>
                <w:color w:val="auto"/>
                <w:szCs w:val="21"/>
                <w:lang w:val="en-US" w:eastAsia="zh-CN"/>
              </w:rPr>
              <w:t>1.1</w:t>
            </w:r>
          </w:p>
        </w:tc>
        <w:tc>
          <w:tcPr>
            <w:tcW w:w="408" w:type="pct"/>
            <w:vMerge w:val="continue"/>
          </w:tcPr>
          <w:p w14:paraId="7C4DC675">
            <w:pPr>
              <w:adjustRightInd w:val="0"/>
              <w:snapToGrid w:val="0"/>
              <w:spacing w:line="320" w:lineRule="exact"/>
              <w:jc w:val="center"/>
              <w:rPr>
                <w:rFonts w:eastAsia="仿宋_GB2312"/>
                <w:bCs/>
                <w:color w:val="FF0000"/>
                <w:szCs w:val="21"/>
              </w:rPr>
            </w:pPr>
          </w:p>
        </w:tc>
        <w:tc>
          <w:tcPr>
            <w:tcW w:w="326" w:type="pct"/>
            <w:vMerge w:val="continue"/>
          </w:tcPr>
          <w:p w14:paraId="15814148">
            <w:pPr>
              <w:adjustRightInd w:val="0"/>
              <w:snapToGrid w:val="0"/>
              <w:spacing w:line="320" w:lineRule="exact"/>
              <w:jc w:val="center"/>
              <w:rPr>
                <w:rFonts w:eastAsia="仿宋_GB2312"/>
                <w:bCs/>
                <w:color w:val="FF0000"/>
                <w:szCs w:val="21"/>
              </w:rPr>
            </w:pPr>
          </w:p>
        </w:tc>
        <w:tc>
          <w:tcPr>
            <w:tcW w:w="324" w:type="pct"/>
            <w:vMerge w:val="continue"/>
          </w:tcPr>
          <w:p w14:paraId="7FD0E2CF">
            <w:pPr>
              <w:adjustRightInd w:val="0"/>
              <w:snapToGrid w:val="0"/>
              <w:spacing w:line="320" w:lineRule="exact"/>
              <w:jc w:val="center"/>
              <w:rPr>
                <w:rFonts w:eastAsia="仿宋_GB2312"/>
                <w:bCs/>
                <w:color w:val="FF0000"/>
                <w:szCs w:val="21"/>
              </w:rPr>
            </w:pPr>
          </w:p>
        </w:tc>
      </w:tr>
      <w:tr w14:paraId="0D9528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09" w:type="pct"/>
            <w:vMerge w:val="continue"/>
          </w:tcPr>
          <w:p w14:paraId="054E6EA5">
            <w:pPr>
              <w:adjustRightInd w:val="0"/>
              <w:snapToGrid w:val="0"/>
              <w:spacing w:line="320" w:lineRule="exact"/>
              <w:jc w:val="center"/>
              <w:rPr>
                <w:rFonts w:eastAsia="仿宋_GB2312"/>
                <w:bCs/>
                <w:color w:val="FF0000"/>
                <w:szCs w:val="21"/>
              </w:rPr>
            </w:pPr>
          </w:p>
        </w:tc>
        <w:tc>
          <w:tcPr>
            <w:tcW w:w="586" w:type="pct"/>
            <w:vMerge w:val="continue"/>
          </w:tcPr>
          <w:p w14:paraId="508621B0">
            <w:pPr>
              <w:jc w:val="center"/>
              <w:rPr>
                <w:rFonts w:eastAsia="仿宋_GB2312"/>
                <w:color w:val="FF0000"/>
                <w:szCs w:val="21"/>
              </w:rPr>
            </w:pPr>
          </w:p>
        </w:tc>
        <w:tc>
          <w:tcPr>
            <w:tcW w:w="820" w:type="pct"/>
            <w:shd w:val="clear" w:color="auto" w:fill="auto"/>
            <w:vAlign w:val="center"/>
          </w:tcPr>
          <w:p w14:paraId="7FC1E84C">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等线"/>
                <w:color w:val="auto"/>
                <w:szCs w:val="21"/>
              </w:rPr>
              <w:t>DMSO</w:t>
            </w:r>
          </w:p>
        </w:tc>
        <w:tc>
          <w:tcPr>
            <w:tcW w:w="0" w:type="auto"/>
            <w:shd w:val="clear" w:color="auto" w:fill="auto"/>
            <w:vAlign w:val="center"/>
          </w:tcPr>
          <w:p w14:paraId="34C27380">
            <w:pPr>
              <w:adjustRightInd w:val="0"/>
              <w:snapToGrid w:val="0"/>
              <w:spacing w:line="320" w:lineRule="exact"/>
              <w:jc w:val="center"/>
              <w:rPr>
                <w:rFonts w:hint="eastAsia"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10.04</w:t>
            </w:r>
          </w:p>
        </w:tc>
        <w:tc>
          <w:tcPr>
            <w:tcW w:w="0" w:type="auto"/>
            <w:shd w:val="clear" w:color="auto" w:fill="auto"/>
            <w:vAlign w:val="center"/>
          </w:tcPr>
          <w:p w14:paraId="0F8460FD">
            <w:pPr>
              <w:adjustRightInd w:val="0"/>
              <w:snapToGrid w:val="0"/>
              <w:spacing w:line="320" w:lineRule="exact"/>
              <w:jc w:val="center"/>
              <w:rPr>
                <w:rFonts w:hint="eastAsia"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0.38</w:t>
            </w:r>
          </w:p>
        </w:tc>
        <w:tc>
          <w:tcPr>
            <w:tcW w:w="0" w:type="auto"/>
            <w:shd w:val="clear" w:color="auto" w:fill="auto"/>
            <w:vAlign w:val="center"/>
          </w:tcPr>
          <w:p w14:paraId="7E048371">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b/>
                <w:bCs/>
                <w:color w:val="auto"/>
                <w:szCs w:val="21"/>
              </w:rPr>
              <w:t>/</w:t>
            </w:r>
          </w:p>
        </w:tc>
        <w:tc>
          <w:tcPr>
            <w:tcW w:w="0" w:type="auto"/>
            <w:shd w:val="clear" w:color="auto" w:fill="auto"/>
            <w:vAlign w:val="center"/>
          </w:tcPr>
          <w:p w14:paraId="6D369CDB">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b/>
                <w:bCs/>
                <w:color w:val="auto"/>
                <w:szCs w:val="21"/>
              </w:rPr>
              <w:t>/</w:t>
            </w:r>
          </w:p>
        </w:tc>
        <w:tc>
          <w:tcPr>
            <w:tcW w:w="408" w:type="pct"/>
            <w:vMerge w:val="continue"/>
          </w:tcPr>
          <w:p w14:paraId="71228F98">
            <w:pPr>
              <w:adjustRightInd w:val="0"/>
              <w:snapToGrid w:val="0"/>
              <w:spacing w:line="320" w:lineRule="exact"/>
              <w:jc w:val="center"/>
              <w:rPr>
                <w:rFonts w:eastAsia="仿宋_GB2312"/>
                <w:bCs/>
                <w:color w:val="FF0000"/>
                <w:szCs w:val="21"/>
              </w:rPr>
            </w:pPr>
          </w:p>
        </w:tc>
        <w:tc>
          <w:tcPr>
            <w:tcW w:w="326" w:type="pct"/>
            <w:vMerge w:val="continue"/>
          </w:tcPr>
          <w:p w14:paraId="7A56DAEC">
            <w:pPr>
              <w:adjustRightInd w:val="0"/>
              <w:snapToGrid w:val="0"/>
              <w:spacing w:line="320" w:lineRule="exact"/>
              <w:jc w:val="center"/>
              <w:rPr>
                <w:rFonts w:eastAsia="仿宋_GB2312"/>
                <w:bCs/>
                <w:color w:val="FF0000"/>
                <w:szCs w:val="21"/>
              </w:rPr>
            </w:pPr>
          </w:p>
        </w:tc>
        <w:tc>
          <w:tcPr>
            <w:tcW w:w="324" w:type="pct"/>
            <w:vMerge w:val="continue"/>
          </w:tcPr>
          <w:p w14:paraId="05870674">
            <w:pPr>
              <w:adjustRightInd w:val="0"/>
              <w:snapToGrid w:val="0"/>
              <w:spacing w:line="320" w:lineRule="exact"/>
              <w:jc w:val="center"/>
              <w:rPr>
                <w:rFonts w:eastAsia="仿宋_GB2312"/>
                <w:bCs/>
                <w:color w:val="FF0000"/>
                <w:szCs w:val="21"/>
              </w:rPr>
            </w:pPr>
          </w:p>
        </w:tc>
      </w:tr>
      <w:tr w14:paraId="75E823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09" w:type="pct"/>
            <w:vMerge w:val="continue"/>
          </w:tcPr>
          <w:p w14:paraId="0C733F1C">
            <w:pPr>
              <w:adjustRightInd w:val="0"/>
              <w:snapToGrid w:val="0"/>
              <w:spacing w:line="320" w:lineRule="exact"/>
              <w:jc w:val="center"/>
              <w:rPr>
                <w:rFonts w:eastAsia="仿宋_GB2312"/>
                <w:bCs/>
                <w:color w:val="FF0000"/>
                <w:szCs w:val="21"/>
              </w:rPr>
            </w:pPr>
          </w:p>
        </w:tc>
        <w:tc>
          <w:tcPr>
            <w:tcW w:w="586" w:type="pct"/>
            <w:vMerge w:val="continue"/>
          </w:tcPr>
          <w:p w14:paraId="612E923D">
            <w:pPr>
              <w:jc w:val="center"/>
              <w:rPr>
                <w:rFonts w:eastAsia="仿宋_GB2312"/>
                <w:color w:val="FF0000"/>
                <w:szCs w:val="21"/>
              </w:rPr>
            </w:pPr>
          </w:p>
        </w:tc>
        <w:tc>
          <w:tcPr>
            <w:tcW w:w="820" w:type="pct"/>
            <w:shd w:val="clear" w:color="auto" w:fill="auto"/>
            <w:vAlign w:val="center"/>
          </w:tcPr>
          <w:p w14:paraId="1299CD67">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color w:val="auto"/>
                <w:szCs w:val="21"/>
              </w:rPr>
              <w:t>丁醇</w:t>
            </w:r>
          </w:p>
        </w:tc>
        <w:tc>
          <w:tcPr>
            <w:tcW w:w="0" w:type="auto"/>
            <w:shd w:val="clear" w:color="auto" w:fill="auto"/>
            <w:vAlign w:val="center"/>
          </w:tcPr>
          <w:p w14:paraId="5E4C28DC">
            <w:pPr>
              <w:adjustRightInd w:val="0"/>
              <w:snapToGrid w:val="0"/>
              <w:spacing w:line="320" w:lineRule="exact"/>
              <w:jc w:val="center"/>
              <w:rPr>
                <w:rFonts w:hint="eastAsia"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2.93</w:t>
            </w:r>
          </w:p>
        </w:tc>
        <w:tc>
          <w:tcPr>
            <w:tcW w:w="0" w:type="auto"/>
            <w:shd w:val="clear" w:color="auto" w:fill="auto"/>
            <w:vAlign w:val="center"/>
          </w:tcPr>
          <w:p w14:paraId="12A10A24">
            <w:pPr>
              <w:adjustRightInd w:val="0"/>
              <w:snapToGrid w:val="0"/>
              <w:spacing w:line="320" w:lineRule="exact"/>
              <w:jc w:val="center"/>
              <w:rPr>
                <w:rFonts w:hint="eastAsia"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0.11</w:t>
            </w:r>
          </w:p>
        </w:tc>
        <w:tc>
          <w:tcPr>
            <w:tcW w:w="0" w:type="auto"/>
            <w:shd w:val="clear" w:color="auto" w:fill="auto"/>
            <w:vAlign w:val="center"/>
          </w:tcPr>
          <w:p w14:paraId="09FAB5B3">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color w:val="auto"/>
                <w:szCs w:val="21"/>
              </w:rPr>
              <w:t>40</w:t>
            </w:r>
          </w:p>
        </w:tc>
        <w:tc>
          <w:tcPr>
            <w:tcW w:w="0" w:type="auto"/>
            <w:shd w:val="clear" w:color="auto" w:fill="auto"/>
            <w:vAlign w:val="center"/>
          </w:tcPr>
          <w:p w14:paraId="682E2A43">
            <w:pPr>
              <w:adjustRightInd w:val="0"/>
              <w:snapToGrid w:val="0"/>
              <w:spacing w:line="320" w:lineRule="exact"/>
              <w:jc w:val="center"/>
              <w:rPr>
                <w:rFonts w:hint="default" w:ascii="Times New Roman" w:hAnsi="Times New Roman" w:eastAsia="仿宋_GB2312" w:cs="Times New Roman"/>
                <w:b/>
                <w:bCs/>
                <w:color w:val="auto"/>
                <w:kern w:val="2"/>
                <w:sz w:val="21"/>
                <w:szCs w:val="21"/>
                <w:lang w:val="en-US" w:eastAsia="zh-CN" w:bidi="ar-SA"/>
              </w:rPr>
            </w:pPr>
            <w:r>
              <w:rPr>
                <w:rFonts w:hint="eastAsia" w:eastAsia="仿宋_GB2312"/>
                <w:color w:val="auto"/>
                <w:szCs w:val="21"/>
                <w:lang w:val="en-US" w:eastAsia="zh-CN"/>
              </w:rPr>
              <w:t>0.72</w:t>
            </w:r>
          </w:p>
        </w:tc>
        <w:tc>
          <w:tcPr>
            <w:tcW w:w="408" w:type="pct"/>
            <w:vMerge w:val="continue"/>
          </w:tcPr>
          <w:p w14:paraId="49FCC6FC">
            <w:pPr>
              <w:adjustRightInd w:val="0"/>
              <w:snapToGrid w:val="0"/>
              <w:spacing w:line="320" w:lineRule="exact"/>
              <w:jc w:val="center"/>
              <w:rPr>
                <w:rFonts w:eastAsia="仿宋_GB2312"/>
                <w:bCs/>
                <w:color w:val="FF0000"/>
                <w:szCs w:val="21"/>
              </w:rPr>
            </w:pPr>
          </w:p>
        </w:tc>
        <w:tc>
          <w:tcPr>
            <w:tcW w:w="326" w:type="pct"/>
            <w:vMerge w:val="continue"/>
          </w:tcPr>
          <w:p w14:paraId="7C18B72E">
            <w:pPr>
              <w:adjustRightInd w:val="0"/>
              <w:snapToGrid w:val="0"/>
              <w:spacing w:line="320" w:lineRule="exact"/>
              <w:jc w:val="center"/>
              <w:rPr>
                <w:rFonts w:eastAsia="仿宋_GB2312"/>
                <w:bCs/>
                <w:color w:val="FF0000"/>
                <w:szCs w:val="21"/>
              </w:rPr>
            </w:pPr>
          </w:p>
        </w:tc>
        <w:tc>
          <w:tcPr>
            <w:tcW w:w="324" w:type="pct"/>
            <w:vMerge w:val="continue"/>
          </w:tcPr>
          <w:p w14:paraId="350ABB6D">
            <w:pPr>
              <w:adjustRightInd w:val="0"/>
              <w:snapToGrid w:val="0"/>
              <w:spacing w:line="320" w:lineRule="exact"/>
              <w:jc w:val="center"/>
              <w:rPr>
                <w:rFonts w:eastAsia="仿宋_GB2312"/>
                <w:bCs/>
                <w:color w:val="FF0000"/>
                <w:szCs w:val="21"/>
              </w:rPr>
            </w:pPr>
          </w:p>
        </w:tc>
      </w:tr>
      <w:tr w14:paraId="314E03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09" w:type="pct"/>
            <w:vMerge w:val="continue"/>
          </w:tcPr>
          <w:p w14:paraId="0F84A614">
            <w:pPr>
              <w:adjustRightInd w:val="0"/>
              <w:snapToGrid w:val="0"/>
              <w:spacing w:line="320" w:lineRule="exact"/>
              <w:jc w:val="center"/>
              <w:rPr>
                <w:rFonts w:eastAsia="仿宋_GB2312"/>
                <w:bCs/>
                <w:color w:val="FF0000"/>
                <w:szCs w:val="21"/>
              </w:rPr>
            </w:pPr>
          </w:p>
        </w:tc>
        <w:tc>
          <w:tcPr>
            <w:tcW w:w="586" w:type="pct"/>
            <w:vMerge w:val="continue"/>
          </w:tcPr>
          <w:p w14:paraId="6E85377F">
            <w:pPr>
              <w:jc w:val="center"/>
              <w:rPr>
                <w:rFonts w:eastAsia="仿宋_GB2312"/>
                <w:color w:val="FF0000"/>
                <w:szCs w:val="21"/>
              </w:rPr>
            </w:pPr>
          </w:p>
        </w:tc>
        <w:tc>
          <w:tcPr>
            <w:tcW w:w="820" w:type="pct"/>
            <w:shd w:val="clear" w:color="auto" w:fill="auto"/>
            <w:vAlign w:val="center"/>
          </w:tcPr>
          <w:p w14:paraId="73E8E5C0">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color w:val="auto"/>
                <w:szCs w:val="21"/>
              </w:rPr>
              <w:t>辛醇</w:t>
            </w:r>
          </w:p>
        </w:tc>
        <w:tc>
          <w:tcPr>
            <w:tcW w:w="0" w:type="auto"/>
            <w:shd w:val="clear" w:color="auto" w:fill="auto"/>
            <w:vAlign w:val="center"/>
          </w:tcPr>
          <w:p w14:paraId="6D83F033">
            <w:pPr>
              <w:adjustRightInd w:val="0"/>
              <w:snapToGrid w:val="0"/>
              <w:spacing w:line="320" w:lineRule="exact"/>
              <w:jc w:val="center"/>
              <w:rPr>
                <w:rFonts w:hint="eastAsia"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0.95</w:t>
            </w:r>
          </w:p>
        </w:tc>
        <w:tc>
          <w:tcPr>
            <w:tcW w:w="0" w:type="auto"/>
            <w:shd w:val="clear" w:color="auto" w:fill="auto"/>
            <w:vAlign w:val="center"/>
          </w:tcPr>
          <w:p w14:paraId="402AA813">
            <w:pPr>
              <w:adjustRightInd w:val="0"/>
              <w:snapToGrid w:val="0"/>
              <w:spacing w:line="320" w:lineRule="exact"/>
              <w:jc w:val="center"/>
              <w:rPr>
                <w:rFonts w:hint="eastAsia"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0.04</w:t>
            </w:r>
          </w:p>
        </w:tc>
        <w:tc>
          <w:tcPr>
            <w:tcW w:w="0" w:type="auto"/>
            <w:shd w:val="clear" w:color="auto" w:fill="auto"/>
            <w:vAlign w:val="center"/>
          </w:tcPr>
          <w:p w14:paraId="079FC9BD">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b/>
                <w:bCs/>
                <w:color w:val="auto"/>
                <w:szCs w:val="21"/>
              </w:rPr>
              <w:t>/</w:t>
            </w:r>
          </w:p>
        </w:tc>
        <w:tc>
          <w:tcPr>
            <w:tcW w:w="0" w:type="auto"/>
            <w:shd w:val="clear" w:color="auto" w:fill="auto"/>
            <w:vAlign w:val="center"/>
          </w:tcPr>
          <w:p w14:paraId="3E263945">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b/>
                <w:bCs/>
                <w:color w:val="auto"/>
                <w:szCs w:val="21"/>
              </w:rPr>
              <w:t>/</w:t>
            </w:r>
          </w:p>
        </w:tc>
        <w:tc>
          <w:tcPr>
            <w:tcW w:w="408" w:type="pct"/>
            <w:vMerge w:val="continue"/>
          </w:tcPr>
          <w:p w14:paraId="67E68C23">
            <w:pPr>
              <w:adjustRightInd w:val="0"/>
              <w:snapToGrid w:val="0"/>
              <w:spacing w:line="320" w:lineRule="exact"/>
              <w:jc w:val="center"/>
              <w:rPr>
                <w:rFonts w:eastAsia="仿宋_GB2312"/>
                <w:bCs/>
                <w:color w:val="FF0000"/>
                <w:szCs w:val="21"/>
              </w:rPr>
            </w:pPr>
          </w:p>
        </w:tc>
        <w:tc>
          <w:tcPr>
            <w:tcW w:w="326" w:type="pct"/>
            <w:vMerge w:val="continue"/>
          </w:tcPr>
          <w:p w14:paraId="6B722D4E">
            <w:pPr>
              <w:adjustRightInd w:val="0"/>
              <w:snapToGrid w:val="0"/>
              <w:spacing w:line="320" w:lineRule="exact"/>
              <w:jc w:val="center"/>
              <w:rPr>
                <w:rFonts w:eastAsia="仿宋_GB2312"/>
                <w:bCs/>
                <w:color w:val="FF0000"/>
                <w:szCs w:val="21"/>
              </w:rPr>
            </w:pPr>
          </w:p>
        </w:tc>
        <w:tc>
          <w:tcPr>
            <w:tcW w:w="324" w:type="pct"/>
            <w:vMerge w:val="continue"/>
          </w:tcPr>
          <w:p w14:paraId="2BDCE7F1">
            <w:pPr>
              <w:adjustRightInd w:val="0"/>
              <w:snapToGrid w:val="0"/>
              <w:spacing w:line="320" w:lineRule="exact"/>
              <w:jc w:val="center"/>
              <w:rPr>
                <w:rFonts w:eastAsia="仿宋_GB2312"/>
                <w:bCs/>
                <w:color w:val="FF0000"/>
                <w:szCs w:val="21"/>
              </w:rPr>
            </w:pPr>
          </w:p>
        </w:tc>
      </w:tr>
      <w:tr w14:paraId="1D59D7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09" w:type="pct"/>
            <w:vMerge w:val="continue"/>
          </w:tcPr>
          <w:p w14:paraId="63A2D553">
            <w:pPr>
              <w:adjustRightInd w:val="0"/>
              <w:snapToGrid w:val="0"/>
              <w:spacing w:line="320" w:lineRule="exact"/>
              <w:jc w:val="center"/>
              <w:rPr>
                <w:rFonts w:eastAsia="仿宋_GB2312"/>
                <w:bCs/>
                <w:color w:val="FF0000"/>
                <w:szCs w:val="21"/>
              </w:rPr>
            </w:pPr>
          </w:p>
        </w:tc>
        <w:tc>
          <w:tcPr>
            <w:tcW w:w="586" w:type="pct"/>
            <w:vMerge w:val="continue"/>
          </w:tcPr>
          <w:p w14:paraId="2C2771EB">
            <w:pPr>
              <w:jc w:val="center"/>
              <w:rPr>
                <w:rFonts w:eastAsia="仿宋_GB2312"/>
                <w:color w:val="FF0000"/>
                <w:szCs w:val="21"/>
              </w:rPr>
            </w:pPr>
          </w:p>
        </w:tc>
        <w:tc>
          <w:tcPr>
            <w:tcW w:w="820" w:type="pct"/>
            <w:shd w:val="clear" w:color="auto" w:fill="auto"/>
            <w:vAlign w:val="center"/>
          </w:tcPr>
          <w:p w14:paraId="1ADE3F70">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color w:val="auto"/>
                <w:szCs w:val="21"/>
              </w:rPr>
              <w:t>碳九</w:t>
            </w:r>
          </w:p>
        </w:tc>
        <w:tc>
          <w:tcPr>
            <w:tcW w:w="0" w:type="auto"/>
            <w:shd w:val="clear" w:color="auto" w:fill="auto"/>
            <w:vAlign w:val="center"/>
          </w:tcPr>
          <w:p w14:paraId="62EBF0B0">
            <w:pPr>
              <w:adjustRightInd w:val="0"/>
              <w:snapToGrid w:val="0"/>
              <w:spacing w:line="320" w:lineRule="exact"/>
              <w:jc w:val="center"/>
              <w:rPr>
                <w:rFonts w:hint="eastAsia"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3.55</w:t>
            </w:r>
          </w:p>
        </w:tc>
        <w:tc>
          <w:tcPr>
            <w:tcW w:w="0" w:type="auto"/>
            <w:shd w:val="clear" w:color="auto" w:fill="auto"/>
            <w:vAlign w:val="center"/>
          </w:tcPr>
          <w:p w14:paraId="157F4AD7">
            <w:pPr>
              <w:adjustRightInd w:val="0"/>
              <w:snapToGrid w:val="0"/>
              <w:spacing w:line="320" w:lineRule="exact"/>
              <w:jc w:val="center"/>
              <w:rPr>
                <w:rFonts w:hint="eastAsia"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0.14</w:t>
            </w:r>
          </w:p>
        </w:tc>
        <w:tc>
          <w:tcPr>
            <w:tcW w:w="0" w:type="auto"/>
            <w:shd w:val="clear" w:color="auto" w:fill="auto"/>
            <w:vAlign w:val="center"/>
          </w:tcPr>
          <w:p w14:paraId="08C83A7A">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b/>
                <w:bCs/>
                <w:color w:val="auto"/>
                <w:szCs w:val="21"/>
              </w:rPr>
              <w:t>/</w:t>
            </w:r>
          </w:p>
        </w:tc>
        <w:tc>
          <w:tcPr>
            <w:tcW w:w="0" w:type="auto"/>
            <w:shd w:val="clear" w:color="auto" w:fill="auto"/>
            <w:vAlign w:val="center"/>
          </w:tcPr>
          <w:p w14:paraId="72C76C59">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b/>
                <w:bCs/>
                <w:color w:val="auto"/>
                <w:szCs w:val="21"/>
              </w:rPr>
              <w:t>/</w:t>
            </w:r>
          </w:p>
        </w:tc>
        <w:tc>
          <w:tcPr>
            <w:tcW w:w="408" w:type="pct"/>
            <w:vMerge w:val="continue"/>
          </w:tcPr>
          <w:p w14:paraId="28C784BE">
            <w:pPr>
              <w:adjustRightInd w:val="0"/>
              <w:snapToGrid w:val="0"/>
              <w:spacing w:line="320" w:lineRule="exact"/>
              <w:jc w:val="center"/>
              <w:rPr>
                <w:rFonts w:eastAsia="仿宋_GB2312"/>
                <w:bCs/>
                <w:color w:val="FF0000"/>
                <w:szCs w:val="21"/>
              </w:rPr>
            </w:pPr>
          </w:p>
        </w:tc>
        <w:tc>
          <w:tcPr>
            <w:tcW w:w="326" w:type="pct"/>
            <w:vMerge w:val="continue"/>
          </w:tcPr>
          <w:p w14:paraId="0E80E7EE">
            <w:pPr>
              <w:adjustRightInd w:val="0"/>
              <w:snapToGrid w:val="0"/>
              <w:spacing w:line="320" w:lineRule="exact"/>
              <w:jc w:val="center"/>
              <w:rPr>
                <w:rFonts w:eastAsia="仿宋_GB2312"/>
                <w:bCs/>
                <w:color w:val="FF0000"/>
                <w:szCs w:val="21"/>
              </w:rPr>
            </w:pPr>
          </w:p>
        </w:tc>
        <w:tc>
          <w:tcPr>
            <w:tcW w:w="324" w:type="pct"/>
            <w:vMerge w:val="continue"/>
          </w:tcPr>
          <w:p w14:paraId="34505CD9">
            <w:pPr>
              <w:adjustRightInd w:val="0"/>
              <w:snapToGrid w:val="0"/>
              <w:spacing w:line="320" w:lineRule="exact"/>
              <w:jc w:val="center"/>
              <w:rPr>
                <w:rFonts w:eastAsia="仿宋_GB2312"/>
                <w:bCs/>
                <w:color w:val="FF0000"/>
                <w:szCs w:val="21"/>
              </w:rPr>
            </w:pPr>
          </w:p>
        </w:tc>
      </w:tr>
      <w:tr w14:paraId="5D668A5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340" w:hRule="atLeast"/>
          <w:jc w:val="center"/>
        </w:trPr>
        <w:tc>
          <w:tcPr>
            <w:tcW w:w="409" w:type="pct"/>
            <w:vMerge w:val="continue"/>
          </w:tcPr>
          <w:p w14:paraId="00A84D17">
            <w:pPr>
              <w:adjustRightInd w:val="0"/>
              <w:snapToGrid w:val="0"/>
              <w:spacing w:line="320" w:lineRule="exact"/>
              <w:jc w:val="center"/>
              <w:rPr>
                <w:rFonts w:eastAsia="仿宋_GB2312"/>
                <w:bCs/>
                <w:color w:val="FF0000"/>
                <w:szCs w:val="21"/>
              </w:rPr>
            </w:pPr>
          </w:p>
        </w:tc>
        <w:tc>
          <w:tcPr>
            <w:tcW w:w="586" w:type="pct"/>
            <w:vMerge w:val="continue"/>
          </w:tcPr>
          <w:p w14:paraId="1225F358">
            <w:pPr>
              <w:jc w:val="center"/>
              <w:rPr>
                <w:rFonts w:eastAsia="仿宋_GB2312"/>
                <w:color w:val="FF0000"/>
                <w:szCs w:val="21"/>
              </w:rPr>
            </w:pPr>
          </w:p>
        </w:tc>
        <w:tc>
          <w:tcPr>
            <w:tcW w:w="820" w:type="pct"/>
            <w:shd w:val="clear" w:color="auto" w:fill="auto"/>
            <w:vAlign w:val="center"/>
          </w:tcPr>
          <w:p w14:paraId="706ECA2B">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color w:val="auto"/>
                <w:szCs w:val="21"/>
              </w:rPr>
              <w:t>苯乙烯</w:t>
            </w:r>
          </w:p>
        </w:tc>
        <w:tc>
          <w:tcPr>
            <w:tcW w:w="0" w:type="auto"/>
            <w:shd w:val="clear" w:color="auto" w:fill="auto"/>
            <w:vAlign w:val="center"/>
          </w:tcPr>
          <w:p w14:paraId="20987C36">
            <w:pPr>
              <w:adjustRightInd w:val="0"/>
              <w:snapToGrid w:val="0"/>
              <w:spacing w:line="320" w:lineRule="exact"/>
              <w:jc w:val="center"/>
              <w:rPr>
                <w:rFonts w:hint="eastAsia"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0.66</w:t>
            </w:r>
          </w:p>
        </w:tc>
        <w:tc>
          <w:tcPr>
            <w:tcW w:w="0" w:type="auto"/>
            <w:shd w:val="clear" w:color="auto" w:fill="auto"/>
            <w:vAlign w:val="center"/>
          </w:tcPr>
          <w:p w14:paraId="55BC5665">
            <w:pPr>
              <w:adjustRightInd w:val="0"/>
              <w:snapToGrid w:val="0"/>
              <w:spacing w:line="320" w:lineRule="exact"/>
              <w:jc w:val="center"/>
              <w:rPr>
                <w:rFonts w:hint="eastAsia"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0.03</w:t>
            </w:r>
          </w:p>
        </w:tc>
        <w:tc>
          <w:tcPr>
            <w:tcW w:w="0" w:type="auto"/>
            <w:shd w:val="clear" w:color="auto" w:fill="auto"/>
            <w:vAlign w:val="center"/>
          </w:tcPr>
          <w:p w14:paraId="37346048">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color w:val="auto"/>
                <w:szCs w:val="21"/>
              </w:rPr>
              <w:t>20</w:t>
            </w:r>
          </w:p>
        </w:tc>
        <w:tc>
          <w:tcPr>
            <w:tcW w:w="0" w:type="auto"/>
            <w:shd w:val="clear" w:color="auto" w:fill="auto"/>
            <w:vAlign w:val="center"/>
          </w:tcPr>
          <w:p w14:paraId="29D9E176">
            <w:pPr>
              <w:adjustRightInd w:val="0"/>
              <w:snapToGrid w:val="0"/>
              <w:spacing w:line="320" w:lineRule="exact"/>
              <w:jc w:val="center"/>
              <w:rPr>
                <w:rFonts w:hint="default" w:ascii="Times New Roman" w:hAnsi="Times New Roman" w:eastAsia="仿宋_GB2312" w:cs="Times New Roman"/>
                <w:b/>
                <w:bCs/>
                <w:color w:val="auto"/>
                <w:kern w:val="2"/>
                <w:sz w:val="21"/>
                <w:szCs w:val="21"/>
                <w:lang w:val="en-US" w:eastAsia="zh-CN" w:bidi="ar-SA"/>
              </w:rPr>
            </w:pPr>
            <w:r>
              <w:rPr>
                <w:rFonts w:hint="eastAsia" w:eastAsia="仿宋_GB2312"/>
                <w:color w:val="auto"/>
                <w:szCs w:val="21"/>
                <w:lang w:val="en-US" w:eastAsia="zh-CN"/>
              </w:rPr>
              <w:t>1.1</w:t>
            </w:r>
          </w:p>
        </w:tc>
        <w:tc>
          <w:tcPr>
            <w:tcW w:w="408" w:type="pct"/>
            <w:vMerge w:val="continue"/>
          </w:tcPr>
          <w:p w14:paraId="3FCA0A89">
            <w:pPr>
              <w:adjustRightInd w:val="0"/>
              <w:snapToGrid w:val="0"/>
              <w:spacing w:line="320" w:lineRule="exact"/>
              <w:jc w:val="center"/>
              <w:rPr>
                <w:rFonts w:eastAsia="仿宋_GB2312"/>
                <w:bCs/>
                <w:color w:val="FF0000"/>
                <w:szCs w:val="21"/>
              </w:rPr>
            </w:pPr>
          </w:p>
        </w:tc>
        <w:tc>
          <w:tcPr>
            <w:tcW w:w="326" w:type="pct"/>
            <w:vMerge w:val="continue"/>
          </w:tcPr>
          <w:p w14:paraId="5B6E196A">
            <w:pPr>
              <w:adjustRightInd w:val="0"/>
              <w:snapToGrid w:val="0"/>
              <w:spacing w:line="320" w:lineRule="exact"/>
              <w:jc w:val="center"/>
              <w:rPr>
                <w:rFonts w:eastAsia="仿宋_GB2312"/>
                <w:bCs/>
                <w:color w:val="FF0000"/>
                <w:szCs w:val="21"/>
              </w:rPr>
            </w:pPr>
          </w:p>
        </w:tc>
        <w:tc>
          <w:tcPr>
            <w:tcW w:w="324" w:type="pct"/>
            <w:vMerge w:val="continue"/>
          </w:tcPr>
          <w:p w14:paraId="2CDC38E9">
            <w:pPr>
              <w:adjustRightInd w:val="0"/>
              <w:snapToGrid w:val="0"/>
              <w:spacing w:line="320" w:lineRule="exact"/>
              <w:jc w:val="center"/>
              <w:rPr>
                <w:rFonts w:eastAsia="仿宋_GB2312"/>
                <w:bCs/>
                <w:color w:val="FF0000"/>
                <w:szCs w:val="21"/>
              </w:rPr>
            </w:pPr>
          </w:p>
        </w:tc>
      </w:tr>
      <w:tr w14:paraId="153D31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09" w:type="pct"/>
            <w:vMerge w:val="continue"/>
          </w:tcPr>
          <w:p w14:paraId="3630AA33">
            <w:pPr>
              <w:adjustRightInd w:val="0"/>
              <w:snapToGrid w:val="0"/>
              <w:spacing w:line="320" w:lineRule="exact"/>
              <w:jc w:val="center"/>
              <w:rPr>
                <w:rFonts w:eastAsia="仿宋_GB2312"/>
                <w:bCs/>
                <w:color w:val="FF0000"/>
                <w:szCs w:val="21"/>
              </w:rPr>
            </w:pPr>
          </w:p>
        </w:tc>
        <w:tc>
          <w:tcPr>
            <w:tcW w:w="586" w:type="pct"/>
            <w:vMerge w:val="continue"/>
          </w:tcPr>
          <w:p w14:paraId="598CDE91">
            <w:pPr>
              <w:jc w:val="center"/>
              <w:rPr>
                <w:rFonts w:eastAsia="仿宋_GB2312"/>
                <w:color w:val="FF0000"/>
                <w:szCs w:val="21"/>
              </w:rPr>
            </w:pPr>
          </w:p>
        </w:tc>
        <w:tc>
          <w:tcPr>
            <w:tcW w:w="820" w:type="pct"/>
            <w:shd w:val="clear" w:color="auto" w:fill="auto"/>
            <w:vAlign w:val="center"/>
          </w:tcPr>
          <w:p w14:paraId="562DF2A9">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color w:val="auto"/>
                <w:szCs w:val="21"/>
              </w:rPr>
              <w:t>二乙二醇</w:t>
            </w:r>
          </w:p>
        </w:tc>
        <w:tc>
          <w:tcPr>
            <w:tcW w:w="0" w:type="auto"/>
            <w:shd w:val="clear" w:color="auto" w:fill="auto"/>
            <w:vAlign w:val="center"/>
          </w:tcPr>
          <w:p w14:paraId="071C7783">
            <w:pPr>
              <w:adjustRightInd w:val="0"/>
              <w:snapToGrid w:val="0"/>
              <w:spacing w:line="320" w:lineRule="exact"/>
              <w:jc w:val="center"/>
              <w:rPr>
                <w:rFonts w:hint="eastAsia"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1.84</w:t>
            </w:r>
          </w:p>
        </w:tc>
        <w:tc>
          <w:tcPr>
            <w:tcW w:w="0" w:type="auto"/>
            <w:shd w:val="clear" w:color="auto" w:fill="auto"/>
            <w:vAlign w:val="center"/>
          </w:tcPr>
          <w:p w14:paraId="3DFA299F">
            <w:pPr>
              <w:adjustRightInd w:val="0"/>
              <w:snapToGrid w:val="0"/>
              <w:spacing w:line="320" w:lineRule="exact"/>
              <w:jc w:val="center"/>
              <w:rPr>
                <w:rFonts w:hint="eastAsia"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0.07</w:t>
            </w:r>
          </w:p>
        </w:tc>
        <w:tc>
          <w:tcPr>
            <w:tcW w:w="0" w:type="auto"/>
            <w:shd w:val="clear" w:color="auto" w:fill="auto"/>
            <w:vAlign w:val="center"/>
          </w:tcPr>
          <w:p w14:paraId="3153C337">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b/>
                <w:bCs/>
                <w:color w:val="auto"/>
                <w:szCs w:val="21"/>
              </w:rPr>
              <w:t>/</w:t>
            </w:r>
          </w:p>
        </w:tc>
        <w:tc>
          <w:tcPr>
            <w:tcW w:w="0" w:type="auto"/>
            <w:shd w:val="clear" w:color="auto" w:fill="auto"/>
            <w:vAlign w:val="center"/>
          </w:tcPr>
          <w:p w14:paraId="66BAA7AC">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b/>
                <w:bCs/>
                <w:color w:val="auto"/>
                <w:szCs w:val="21"/>
              </w:rPr>
              <w:t>/</w:t>
            </w:r>
          </w:p>
        </w:tc>
        <w:tc>
          <w:tcPr>
            <w:tcW w:w="408" w:type="pct"/>
            <w:vMerge w:val="continue"/>
          </w:tcPr>
          <w:p w14:paraId="61F4C1E0">
            <w:pPr>
              <w:adjustRightInd w:val="0"/>
              <w:snapToGrid w:val="0"/>
              <w:spacing w:line="320" w:lineRule="exact"/>
              <w:jc w:val="center"/>
              <w:rPr>
                <w:rFonts w:eastAsia="仿宋_GB2312"/>
                <w:bCs/>
                <w:color w:val="FF0000"/>
                <w:szCs w:val="21"/>
              </w:rPr>
            </w:pPr>
          </w:p>
        </w:tc>
        <w:tc>
          <w:tcPr>
            <w:tcW w:w="326" w:type="pct"/>
            <w:vMerge w:val="continue"/>
          </w:tcPr>
          <w:p w14:paraId="1299725C">
            <w:pPr>
              <w:adjustRightInd w:val="0"/>
              <w:snapToGrid w:val="0"/>
              <w:spacing w:line="320" w:lineRule="exact"/>
              <w:jc w:val="center"/>
              <w:rPr>
                <w:rFonts w:eastAsia="仿宋_GB2312"/>
                <w:bCs/>
                <w:color w:val="FF0000"/>
                <w:szCs w:val="21"/>
              </w:rPr>
            </w:pPr>
          </w:p>
        </w:tc>
        <w:tc>
          <w:tcPr>
            <w:tcW w:w="324" w:type="pct"/>
            <w:vMerge w:val="continue"/>
          </w:tcPr>
          <w:p w14:paraId="602119DA">
            <w:pPr>
              <w:adjustRightInd w:val="0"/>
              <w:snapToGrid w:val="0"/>
              <w:spacing w:line="320" w:lineRule="exact"/>
              <w:jc w:val="center"/>
              <w:rPr>
                <w:rFonts w:eastAsia="仿宋_GB2312"/>
                <w:bCs/>
                <w:color w:val="FF0000"/>
                <w:szCs w:val="21"/>
              </w:rPr>
            </w:pPr>
          </w:p>
        </w:tc>
      </w:tr>
      <w:tr w14:paraId="3F3CBB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340" w:hRule="atLeast"/>
          <w:jc w:val="center"/>
        </w:trPr>
        <w:tc>
          <w:tcPr>
            <w:tcW w:w="409" w:type="pct"/>
            <w:vMerge w:val="continue"/>
          </w:tcPr>
          <w:p w14:paraId="64A9A4E7">
            <w:pPr>
              <w:adjustRightInd w:val="0"/>
              <w:snapToGrid w:val="0"/>
              <w:spacing w:line="320" w:lineRule="exact"/>
              <w:jc w:val="center"/>
              <w:rPr>
                <w:rFonts w:eastAsia="仿宋_GB2312"/>
                <w:bCs/>
                <w:color w:val="FF0000"/>
                <w:szCs w:val="21"/>
              </w:rPr>
            </w:pPr>
          </w:p>
        </w:tc>
        <w:tc>
          <w:tcPr>
            <w:tcW w:w="586" w:type="pct"/>
            <w:vMerge w:val="continue"/>
          </w:tcPr>
          <w:p w14:paraId="21DA2A84">
            <w:pPr>
              <w:jc w:val="center"/>
              <w:rPr>
                <w:rFonts w:eastAsia="仿宋_GB2312"/>
                <w:color w:val="FF0000"/>
                <w:szCs w:val="21"/>
              </w:rPr>
            </w:pPr>
          </w:p>
        </w:tc>
        <w:tc>
          <w:tcPr>
            <w:tcW w:w="820" w:type="pct"/>
            <w:shd w:val="clear" w:color="auto" w:fill="auto"/>
            <w:vAlign w:val="center"/>
          </w:tcPr>
          <w:p w14:paraId="2F92F46A">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color w:val="auto"/>
                <w:szCs w:val="21"/>
              </w:rPr>
              <w:t>四氢呋喃</w:t>
            </w:r>
          </w:p>
        </w:tc>
        <w:tc>
          <w:tcPr>
            <w:tcW w:w="0" w:type="auto"/>
            <w:shd w:val="clear" w:color="auto" w:fill="auto"/>
            <w:vAlign w:val="center"/>
          </w:tcPr>
          <w:p w14:paraId="1B1CEE70">
            <w:pPr>
              <w:adjustRightInd w:val="0"/>
              <w:snapToGrid w:val="0"/>
              <w:spacing w:line="320" w:lineRule="exact"/>
              <w:jc w:val="center"/>
              <w:rPr>
                <w:rFonts w:hint="eastAsia"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8.38</w:t>
            </w:r>
          </w:p>
        </w:tc>
        <w:tc>
          <w:tcPr>
            <w:tcW w:w="0" w:type="auto"/>
            <w:shd w:val="clear" w:color="auto" w:fill="auto"/>
            <w:vAlign w:val="center"/>
          </w:tcPr>
          <w:p w14:paraId="2606B51B">
            <w:pPr>
              <w:adjustRightInd w:val="0"/>
              <w:snapToGrid w:val="0"/>
              <w:spacing w:line="320" w:lineRule="exact"/>
              <w:jc w:val="center"/>
              <w:rPr>
                <w:rFonts w:hint="eastAsia"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0.32</w:t>
            </w:r>
          </w:p>
        </w:tc>
        <w:tc>
          <w:tcPr>
            <w:tcW w:w="0" w:type="auto"/>
            <w:shd w:val="clear" w:color="auto" w:fill="auto"/>
            <w:vAlign w:val="center"/>
          </w:tcPr>
          <w:p w14:paraId="6AEBA8FA">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b/>
                <w:bCs/>
                <w:color w:val="auto"/>
                <w:szCs w:val="21"/>
              </w:rPr>
              <w:t>/</w:t>
            </w:r>
          </w:p>
        </w:tc>
        <w:tc>
          <w:tcPr>
            <w:tcW w:w="0" w:type="auto"/>
            <w:shd w:val="clear" w:color="auto" w:fill="auto"/>
            <w:vAlign w:val="center"/>
          </w:tcPr>
          <w:p w14:paraId="5F0D54CF">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b/>
                <w:bCs/>
                <w:color w:val="auto"/>
                <w:szCs w:val="21"/>
              </w:rPr>
              <w:t>/</w:t>
            </w:r>
          </w:p>
        </w:tc>
        <w:tc>
          <w:tcPr>
            <w:tcW w:w="408" w:type="pct"/>
            <w:vMerge w:val="continue"/>
          </w:tcPr>
          <w:p w14:paraId="5A08FFAB">
            <w:pPr>
              <w:adjustRightInd w:val="0"/>
              <w:snapToGrid w:val="0"/>
              <w:spacing w:line="320" w:lineRule="exact"/>
              <w:jc w:val="center"/>
              <w:rPr>
                <w:rFonts w:eastAsia="仿宋_GB2312"/>
                <w:bCs/>
                <w:color w:val="FF0000"/>
                <w:szCs w:val="21"/>
              </w:rPr>
            </w:pPr>
          </w:p>
        </w:tc>
        <w:tc>
          <w:tcPr>
            <w:tcW w:w="326" w:type="pct"/>
            <w:vMerge w:val="continue"/>
          </w:tcPr>
          <w:p w14:paraId="746ACB74">
            <w:pPr>
              <w:adjustRightInd w:val="0"/>
              <w:snapToGrid w:val="0"/>
              <w:spacing w:line="320" w:lineRule="exact"/>
              <w:jc w:val="center"/>
              <w:rPr>
                <w:rFonts w:eastAsia="仿宋_GB2312"/>
                <w:bCs/>
                <w:color w:val="FF0000"/>
                <w:szCs w:val="21"/>
              </w:rPr>
            </w:pPr>
          </w:p>
        </w:tc>
        <w:tc>
          <w:tcPr>
            <w:tcW w:w="324" w:type="pct"/>
            <w:vMerge w:val="continue"/>
          </w:tcPr>
          <w:p w14:paraId="6F66B8F8">
            <w:pPr>
              <w:adjustRightInd w:val="0"/>
              <w:snapToGrid w:val="0"/>
              <w:spacing w:line="320" w:lineRule="exact"/>
              <w:jc w:val="center"/>
              <w:rPr>
                <w:rFonts w:eastAsia="仿宋_GB2312"/>
                <w:bCs/>
                <w:color w:val="FF0000"/>
                <w:szCs w:val="21"/>
              </w:rPr>
            </w:pPr>
          </w:p>
        </w:tc>
      </w:tr>
      <w:tr w14:paraId="6E32AE7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09" w:type="pct"/>
            <w:vMerge w:val="continue"/>
          </w:tcPr>
          <w:p w14:paraId="79829689">
            <w:pPr>
              <w:adjustRightInd w:val="0"/>
              <w:snapToGrid w:val="0"/>
              <w:spacing w:line="320" w:lineRule="exact"/>
              <w:jc w:val="center"/>
              <w:rPr>
                <w:rFonts w:eastAsia="仿宋_GB2312"/>
                <w:bCs/>
                <w:color w:val="FF0000"/>
                <w:szCs w:val="21"/>
              </w:rPr>
            </w:pPr>
          </w:p>
        </w:tc>
        <w:tc>
          <w:tcPr>
            <w:tcW w:w="586" w:type="pct"/>
            <w:vMerge w:val="continue"/>
          </w:tcPr>
          <w:p w14:paraId="1388F23D">
            <w:pPr>
              <w:jc w:val="center"/>
              <w:rPr>
                <w:rFonts w:eastAsia="仿宋_GB2312"/>
                <w:color w:val="FF0000"/>
                <w:szCs w:val="21"/>
              </w:rPr>
            </w:pPr>
          </w:p>
        </w:tc>
        <w:tc>
          <w:tcPr>
            <w:tcW w:w="820" w:type="pct"/>
            <w:shd w:val="clear" w:color="auto" w:fill="auto"/>
            <w:vAlign w:val="center"/>
          </w:tcPr>
          <w:p w14:paraId="3CB0FB0F">
            <w:pPr>
              <w:adjustRightInd w:val="0"/>
              <w:snapToGrid w:val="0"/>
              <w:spacing w:line="320" w:lineRule="exact"/>
              <w:jc w:val="center"/>
              <w:rPr>
                <w:rFonts w:ascii="Times New Roman" w:hAnsi="Times New Roman" w:eastAsia="仿宋_GB2312" w:cs="Times New Roman"/>
                <w:color w:val="auto"/>
                <w:kern w:val="2"/>
                <w:sz w:val="21"/>
                <w:szCs w:val="21"/>
                <w:lang w:val="en-US" w:eastAsia="zh-CN" w:bidi="ar-SA"/>
              </w:rPr>
            </w:pPr>
            <w:r>
              <w:rPr>
                <w:rFonts w:eastAsia="仿宋_GB2312"/>
                <w:color w:val="auto"/>
                <w:szCs w:val="21"/>
              </w:rPr>
              <w:t>甲醇</w:t>
            </w:r>
          </w:p>
        </w:tc>
        <w:tc>
          <w:tcPr>
            <w:tcW w:w="0" w:type="auto"/>
            <w:shd w:val="clear" w:color="auto" w:fill="auto"/>
            <w:vAlign w:val="center"/>
          </w:tcPr>
          <w:p w14:paraId="745F811F">
            <w:pPr>
              <w:adjustRightInd w:val="0"/>
              <w:snapToGrid w:val="0"/>
              <w:spacing w:line="320" w:lineRule="exact"/>
              <w:jc w:val="center"/>
              <w:rPr>
                <w:rFonts w:hint="eastAsia"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9.72</w:t>
            </w:r>
          </w:p>
        </w:tc>
        <w:tc>
          <w:tcPr>
            <w:tcW w:w="0" w:type="auto"/>
            <w:shd w:val="clear" w:color="auto" w:fill="auto"/>
            <w:vAlign w:val="center"/>
          </w:tcPr>
          <w:p w14:paraId="06DD5A0D">
            <w:pPr>
              <w:adjustRightInd w:val="0"/>
              <w:snapToGrid w:val="0"/>
              <w:spacing w:line="320" w:lineRule="exact"/>
              <w:jc w:val="center"/>
              <w:rPr>
                <w:rFonts w:hint="eastAsia"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0.37</w:t>
            </w:r>
          </w:p>
        </w:tc>
        <w:tc>
          <w:tcPr>
            <w:tcW w:w="0" w:type="auto"/>
            <w:shd w:val="clear" w:color="auto" w:fill="auto"/>
            <w:vAlign w:val="center"/>
          </w:tcPr>
          <w:p w14:paraId="7CFE6F31">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color w:val="auto"/>
                <w:szCs w:val="21"/>
              </w:rPr>
              <w:t>50</w:t>
            </w:r>
          </w:p>
        </w:tc>
        <w:tc>
          <w:tcPr>
            <w:tcW w:w="0" w:type="auto"/>
            <w:shd w:val="clear" w:color="auto" w:fill="auto"/>
            <w:vAlign w:val="center"/>
          </w:tcPr>
          <w:p w14:paraId="683740DC">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color w:val="auto"/>
                <w:szCs w:val="21"/>
              </w:rPr>
              <w:t>1.8</w:t>
            </w:r>
          </w:p>
        </w:tc>
        <w:tc>
          <w:tcPr>
            <w:tcW w:w="408" w:type="pct"/>
            <w:vMerge w:val="continue"/>
          </w:tcPr>
          <w:p w14:paraId="1A931C93">
            <w:pPr>
              <w:adjustRightInd w:val="0"/>
              <w:snapToGrid w:val="0"/>
              <w:spacing w:line="320" w:lineRule="exact"/>
              <w:jc w:val="center"/>
              <w:rPr>
                <w:rFonts w:eastAsia="仿宋_GB2312"/>
                <w:bCs/>
                <w:color w:val="FF0000"/>
                <w:szCs w:val="21"/>
              </w:rPr>
            </w:pPr>
          </w:p>
        </w:tc>
        <w:tc>
          <w:tcPr>
            <w:tcW w:w="326" w:type="pct"/>
            <w:vMerge w:val="continue"/>
          </w:tcPr>
          <w:p w14:paraId="6C2F7504">
            <w:pPr>
              <w:adjustRightInd w:val="0"/>
              <w:snapToGrid w:val="0"/>
              <w:spacing w:line="320" w:lineRule="exact"/>
              <w:jc w:val="center"/>
              <w:rPr>
                <w:rFonts w:eastAsia="仿宋_GB2312"/>
                <w:bCs/>
                <w:color w:val="FF0000"/>
                <w:szCs w:val="21"/>
              </w:rPr>
            </w:pPr>
          </w:p>
        </w:tc>
        <w:tc>
          <w:tcPr>
            <w:tcW w:w="324" w:type="pct"/>
            <w:vMerge w:val="continue"/>
          </w:tcPr>
          <w:p w14:paraId="1BF380CE">
            <w:pPr>
              <w:adjustRightInd w:val="0"/>
              <w:snapToGrid w:val="0"/>
              <w:spacing w:line="320" w:lineRule="exact"/>
              <w:jc w:val="center"/>
              <w:rPr>
                <w:rFonts w:eastAsia="仿宋_GB2312"/>
                <w:bCs/>
                <w:color w:val="FF0000"/>
                <w:szCs w:val="21"/>
              </w:rPr>
            </w:pPr>
          </w:p>
        </w:tc>
      </w:tr>
      <w:tr w14:paraId="4F4A3D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09" w:type="pct"/>
            <w:vMerge w:val="continue"/>
          </w:tcPr>
          <w:p w14:paraId="1A679C1D">
            <w:pPr>
              <w:adjustRightInd w:val="0"/>
              <w:snapToGrid w:val="0"/>
              <w:spacing w:line="320" w:lineRule="exact"/>
              <w:jc w:val="center"/>
              <w:rPr>
                <w:rFonts w:eastAsia="仿宋_GB2312"/>
                <w:bCs/>
                <w:color w:val="FF0000"/>
                <w:szCs w:val="21"/>
              </w:rPr>
            </w:pPr>
          </w:p>
        </w:tc>
        <w:tc>
          <w:tcPr>
            <w:tcW w:w="586" w:type="pct"/>
            <w:vMerge w:val="continue"/>
          </w:tcPr>
          <w:p w14:paraId="305FE487">
            <w:pPr>
              <w:jc w:val="center"/>
              <w:rPr>
                <w:rFonts w:eastAsia="仿宋_GB2312"/>
                <w:color w:val="FF0000"/>
                <w:szCs w:val="21"/>
              </w:rPr>
            </w:pPr>
          </w:p>
        </w:tc>
        <w:tc>
          <w:tcPr>
            <w:tcW w:w="820" w:type="pct"/>
            <w:shd w:val="clear" w:color="auto" w:fill="auto"/>
            <w:vAlign w:val="center"/>
          </w:tcPr>
          <w:p w14:paraId="1C67CCA7">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color w:val="auto"/>
                <w:szCs w:val="21"/>
              </w:rPr>
              <w:t>乙腈</w:t>
            </w:r>
          </w:p>
        </w:tc>
        <w:tc>
          <w:tcPr>
            <w:tcW w:w="0" w:type="auto"/>
            <w:shd w:val="clear" w:color="auto" w:fill="auto"/>
            <w:vAlign w:val="center"/>
          </w:tcPr>
          <w:p w14:paraId="43256B4F">
            <w:pPr>
              <w:adjustRightInd w:val="0"/>
              <w:snapToGrid w:val="0"/>
              <w:spacing w:line="320" w:lineRule="exact"/>
              <w:jc w:val="center"/>
              <w:rPr>
                <w:rFonts w:hint="eastAsia"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7.74</w:t>
            </w:r>
          </w:p>
        </w:tc>
        <w:tc>
          <w:tcPr>
            <w:tcW w:w="0" w:type="auto"/>
            <w:shd w:val="clear" w:color="auto" w:fill="auto"/>
            <w:vAlign w:val="center"/>
          </w:tcPr>
          <w:p w14:paraId="39F53FE1">
            <w:pPr>
              <w:adjustRightInd w:val="0"/>
              <w:snapToGrid w:val="0"/>
              <w:spacing w:line="320" w:lineRule="exact"/>
              <w:jc w:val="center"/>
              <w:rPr>
                <w:rFonts w:hint="eastAsia"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0.29</w:t>
            </w:r>
          </w:p>
        </w:tc>
        <w:tc>
          <w:tcPr>
            <w:tcW w:w="0" w:type="auto"/>
            <w:shd w:val="clear" w:color="auto" w:fill="auto"/>
            <w:vAlign w:val="center"/>
          </w:tcPr>
          <w:p w14:paraId="213BEEBE">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color w:val="auto"/>
                <w:szCs w:val="21"/>
              </w:rPr>
              <w:t>30</w:t>
            </w:r>
          </w:p>
        </w:tc>
        <w:tc>
          <w:tcPr>
            <w:tcW w:w="0" w:type="auto"/>
            <w:shd w:val="clear" w:color="auto" w:fill="auto"/>
            <w:vAlign w:val="center"/>
          </w:tcPr>
          <w:p w14:paraId="0B168E6B">
            <w:pPr>
              <w:adjustRightInd w:val="0"/>
              <w:snapToGrid w:val="0"/>
              <w:spacing w:line="320" w:lineRule="exact"/>
              <w:jc w:val="center"/>
              <w:rPr>
                <w:rFonts w:hint="default" w:ascii="Times New Roman" w:hAnsi="Times New Roman" w:eastAsia="仿宋_GB2312" w:cs="Times New Roman"/>
                <w:b/>
                <w:bCs/>
                <w:color w:val="auto"/>
                <w:kern w:val="2"/>
                <w:sz w:val="21"/>
                <w:szCs w:val="21"/>
                <w:lang w:val="en-US" w:eastAsia="zh-CN" w:bidi="ar-SA"/>
              </w:rPr>
            </w:pPr>
            <w:r>
              <w:rPr>
                <w:rFonts w:hint="eastAsia" w:eastAsia="仿宋_GB2312"/>
                <w:color w:val="auto"/>
                <w:szCs w:val="21"/>
                <w:lang w:val="en-US" w:eastAsia="zh-CN"/>
              </w:rPr>
              <w:t>2.2</w:t>
            </w:r>
          </w:p>
        </w:tc>
        <w:tc>
          <w:tcPr>
            <w:tcW w:w="408" w:type="pct"/>
            <w:vMerge w:val="continue"/>
          </w:tcPr>
          <w:p w14:paraId="27C05A90">
            <w:pPr>
              <w:adjustRightInd w:val="0"/>
              <w:snapToGrid w:val="0"/>
              <w:spacing w:line="320" w:lineRule="exact"/>
              <w:jc w:val="center"/>
              <w:rPr>
                <w:rFonts w:eastAsia="仿宋_GB2312"/>
                <w:bCs/>
                <w:color w:val="FF0000"/>
                <w:szCs w:val="21"/>
              </w:rPr>
            </w:pPr>
          </w:p>
        </w:tc>
        <w:tc>
          <w:tcPr>
            <w:tcW w:w="326" w:type="pct"/>
            <w:vMerge w:val="continue"/>
          </w:tcPr>
          <w:p w14:paraId="61350B17">
            <w:pPr>
              <w:adjustRightInd w:val="0"/>
              <w:snapToGrid w:val="0"/>
              <w:spacing w:line="320" w:lineRule="exact"/>
              <w:jc w:val="center"/>
              <w:rPr>
                <w:rFonts w:eastAsia="仿宋_GB2312"/>
                <w:bCs/>
                <w:color w:val="FF0000"/>
                <w:szCs w:val="21"/>
              </w:rPr>
            </w:pPr>
          </w:p>
        </w:tc>
        <w:tc>
          <w:tcPr>
            <w:tcW w:w="324" w:type="pct"/>
            <w:vMerge w:val="continue"/>
          </w:tcPr>
          <w:p w14:paraId="3102A99D">
            <w:pPr>
              <w:adjustRightInd w:val="0"/>
              <w:snapToGrid w:val="0"/>
              <w:spacing w:line="320" w:lineRule="exact"/>
              <w:jc w:val="center"/>
              <w:rPr>
                <w:rFonts w:eastAsia="仿宋_GB2312"/>
                <w:bCs/>
                <w:color w:val="FF0000"/>
                <w:szCs w:val="21"/>
              </w:rPr>
            </w:pPr>
          </w:p>
        </w:tc>
      </w:tr>
      <w:tr w14:paraId="73B243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09" w:type="pct"/>
            <w:vMerge w:val="continue"/>
          </w:tcPr>
          <w:p w14:paraId="011386B3">
            <w:pPr>
              <w:adjustRightInd w:val="0"/>
              <w:snapToGrid w:val="0"/>
              <w:spacing w:line="320" w:lineRule="exact"/>
              <w:jc w:val="center"/>
              <w:rPr>
                <w:rFonts w:eastAsia="仿宋_GB2312"/>
                <w:bCs/>
                <w:color w:val="FF0000"/>
                <w:szCs w:val="21"/>
              </w:rPr>
            </w:pPr>
          </w:p>
        </w:tc>
        <w:tc>
          <w:tcPr>
            <w:tcW w:w="586" w:type="pct"/>
            <w:vMerge w:val="continue"/>
          </w:tcPr>
          <w:p w14:paraId="176B6993">
            <w:pPr>
              <w:jc w:val="center"/>
              <w:rPr>
                <w:rFonts w:eastAsia="仿宋_GB2312"/>
                <w:color w:val="FF0000"/>
                <w:szCs w:val="21"/>
              </w:rPr>
            </w:pPr>
          </w:p>
        </w:tc>
        <w:tc>
          <w:tcPr>
            <w:tcW w:w="820" w:type="pct"/>
            <w:shd w:val="clear" w:color="auto" w:fill="auto"/>
            <w:vAlign w:val="center"/>
          </w:tcPr>
          <w:p w14:paraId="691BA392">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color w:val="auto"/>
                <w:szCs w:val="21"/>
              </w:rPr>
              <w:t>丙二醇单甲醚</w:t>
            </w:r>
          </w:p>
        </w:tc>
        <w:tc>
          <w:tcPr>
            <w:tcW w:w="0" w:type="auto"/>
            <w:shd w:val="clear" w:color="auto" w:fill="auto"/>
            <w:vAlign w:val="center"/>
          </w:tcPr>
          <w:p w14:paraId="51D14C89">
            <w:pPr>
              <w:adjustRightInd w:val="0"/>
              <w:snapToGrid w:val="0"/>
              <w:spacing w:line="320" w:lineRule="exact"/>
              <w:jc w:val="center"/>
              <w:rPr>
                <w:rFonts w:hint="eastAsia"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11.18</w:t>
            </w:r>
          </w:p>
        </w:tc>
        <w:tc>
          <w:tcPr>
            <w:tcW w:w="0" w:type="auto"/>
            <w:shd w:val="clear" w:color="auto" w:fill="auto"/>
            <w:vAlign w:val="center"/>
          </w:tcPr>
          <w:p w14:paraId="3D5BA3D2">
            <w:pPr>
              <w:adjustRightInd w:val="0"/>
              <w:snapToGrid w:val="0"/>
              <w:spacing w:line="320" w:lineRule="exact"/>
              <w:jc w:val="center"/>
              <w:rPr>
                <w:rFonts w:hint="eastAsia"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0.43</w:t>
            </w:r>
          </w:p>
        </w:tc>
        <w:tc>
          <w:tcPr>
            <w:tcW w:w="0" w:type="auto"/>
            <w:shd w:val="clear" w:color="auto" w:fill="auto"/>
            <w:vAlign w:val="center"/>
          </w:tcPr>
          <w:p w14:paraId="5D4C4E3C">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b/>
                <w:bCs/>
                <w:color w:val="auto"/>
                <w:szCs w:val="21"/>
              </w:rPr>
              <w:t>/</w:t>
            </w:r>
          </w:p>
        </w:tc>
        <w:tc>
          <w:tcPr>
            <w:tcW w:w="0" w:type="auto"/>
            <w:shd w:val="clear" w:color="auto" w:fill="auto"/>
            <w:vAlign w:val="center"/>
          </w:tcPr>
          <w:p w14:paraId="7A50FC75">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b/>
                <w:bCs/>
                <w:color w:val="auto"/>
                <w:szCs w:val="21"/>
              </w:rPr>
              <w:t>/</w:t>
            </w:r>
          </w:p>
        </w:tc>
        <w:tc>
          <w:tcPr>
            <w:tcW w:w="408" w:type="pct"/>
            <w:vMerge w:val="continue"/>
          </w:tcPr>
          <w:p w14:paraId="43EAD2DC">
            <w:pPr>
              <w:adjustRightInd w:val="0"/>
              <w:snapToGrid w:val="0"/>
              <w:spacing w:line="320" w:lineRule="exact"/>
              <w:jc w:val="center"/>
              <w:rPr>
                <w:rFonts w:eastAsia="仿宋_GB2312"/>
                <w:bCs/>
                <w:color w:val="FF0000"/>
                <w:szCs w:val="21"/>
              </w:rPr>
            </w:pPr>
          </w:p>
        </w:tc>
        <w:tc>
          <w:tcPr>
            <w:tcW w:w="326" w:type="pct"/>
            <w:vMerge w:val="continue"/>
          </w:tcPr>
          <w:p w14:paraId="5F1C39D7">
            <w:pPr>
              <w:adjustRightInd w:val="0"/>
              <w:snapToGrid w:val="0"/>
              <w:spacing w:line="320" w:lineRule="exact"/>
              <w:jc w:val="center"/>
              <w:rPr>
                <w:rFonts w:eastAsia="仿宋_GB2312"/>
                <w:bCs/>
                <w:color w:val="FF0000"/>
                <w:szCs w:val="21"/>
              </w:rPr>
            </w:pPr>
          </w:p>
        </w:tc>
        <w:tc>
          <w:tcPr>
            <w:tcW w:w="324" w:type="pct"/>
            <w:vMerge w:val="continue"/>
          </w:tcPr>
          <w:p w14:paraId="07065885">
            <w:pPr>
              <w:adjustRightInd w:val="0"/>
              <w:snapToGrid w:val="0"/>
              <w:spacing w:line="320" w:lineRule="exact"/>
              <w:jc w:val="center"/>
              <w:rPr>
                <w:rFonts w:eastAsia="仿宋_GB2312"/>
                <w:bCs/>
                <w:color w:val="FF0000"/>
                <w:szCs w:val="21"/>
              </w:rPr>
            </w:pPr>
          </w:p>
        </w:tc>
      </w:tr>
      <w:tr w14:paraId="61F86C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09" w:type="pct"/>
            <w:vMerge w:val="continue"/>
          </w:tcPr>
          <w:p w14:paraId="763237F5">
            <w:pPr>
              <w:adjustRightInd w:val="0"/>
              <w:snapToGrid w:val="0"/>
              <w:spacing w:line="320" w:lineRule="exact"/>
              <w:jc w:val="center"/>
              <w:rPr>
                <w:rFonts w:eastAsia="仿宋_GB2312"/>
                <w:bCs/>
                <w:color w:val="FF0000"/>
                <w:szCs w:val="21"/>
              </w:rPr>
            </w:pPr>
          </w:p>
        </w:tc>
        <w:tc>
          <w:tcPr>
            <w:tcW w:w="586" w:type="pct"/>
            <w:vMerge w:val="continue"/>
          </w:tcPr>
          <w:p w14:paraId="710BEF08">
            <w:pPr>
              <w:jc w:val="center"/>
              <w:rPr>
                <w:rFonts w:eastAsia="仿宋_GB2312"/>
                <w:color w:val="FF0000"/>
                <w:szCs w:val="21"/>
              </w:rPr>
            </w:pPr>
          </w:p>
        </w:tc>
        <w:tc>
          <w:tcPr>
            <w:tcW w:w="820" w:type="pct"/>
            <w:shd w:val="clear" w:color="auto" w:fill="auto"/>
            <w:vAlign w:val="center"/>
          </w:tcPr>
          <w:p w14:paraId="7400667C">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color w:val="auto"/>
                <w:szCs w:val="21"/>
              </w:rPr>
              <w:t>环戊酮</w:t>
            </w:r>
          </w:p>
        </w:tc>
        <w:tc>
          <w:tcPr>
            <w:tcW w:w="0" w:type="auto"/>
            <w:shd w:val="clear" w:color="auto" w:fill="auto"/>
            <w:vAlign w:val="center"/>
          </w:tcPr>
          <w:p w14:paraId="08B46332">
            <w:pPr>
              <w:adjustRightInd w:val="0"/>
              <w:snapToGrid w:val="0"/>
              <w:spacing w:line="320" w:lineRule="exact"/>
              <w:jc w:val="center"/>
              <w:rPr>
                <w:rFonts w:hint="eastAsia"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8.22</w:t>
            </w:r>
          </w:p>
        </w:tc>
        <w:tc>
          <w:tcPr>
            <w:tcW w:w="0" w:type="auto"/>
            <w:shd w:val="clear" w:color="auto" w:fill="auto"/>
            <w:vAlign w:val="center"/>
          </w:tcPr>
          <w:p w14:paraId="5A4C56C4">
            <w:pPr>
              <w:adjustRightInd w:val="0"/>
              <w:snapToGrid w:val="0"/>
              <w:spacing w:line="320" w:lineRule="exact"/>
              <w:jc w:val="center"/>
              <w:rPr>
                <w:rFonts w:hint="eastAsia"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0.31</w:t>
            </w:r>
          </w:p>
        </w:tc>
        <w:tc>
          <w:tcPr>
            <w:tcW w:w="0" w:type="auto"/>
            <w:shd w:val="clear" w:color="auto" w:fill="auto"/>
            <w:vAlign w:val="center"/>
          </w:tcPr>
          <w:p w14:paraId="02EAEDF5">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b/>
                <w:bCs/>
                <w:color w:val="auto"/>
                <w:szCs w:val="21"/>
              </w:rPr>
              <w:t>/</w:t>
            </w:r>
          </w:p>
        </w:tc>
        <w:tc>
          <w:tcPr>
            <w:tcW w:w="0" w:type="auto"/>
            <w:shd w:val="clear" w:color="auto" w:fill="auto"/>
            <w:vAlign w:val="center"/>
          </w:tcPr>
          <w:p w14:paraId="43EB80CD">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b/>
                <w:bCs/>
                <w:color w:val="auto"/>
                <w:szCs w:val="21"/>
              </w:rPr>
              <w:t>/</w:t>
            </w:r>
          </w:p>
        </w:tc>
        <w:tc>
          <w:tcPr>
            <w:tcW w:w="408" w:type="pct"/>
            <w:vMerge w:val="continue"/>
          </w:tcPr>
          <w:p w14:paraId="6B1A5CA8">
            <w:pPr>
              <w:adjustRightInd w:val="0"/>
              <w:snapToGrid w:val="0"/>
              <w:spacing w:line="320" w:lineRule="exact"/>
              <w:jc w:val="center"/>
              <w:rPr>
                <w:rFonts w:eastAsia="仿宋_GB2312"/>
                <w:bCs/>
                <w:color w:val="FF0000"/>
                <w:szCs w:val="21"/>
              </w:rPr>
            </w:pPr>
          </w:p>
        </w:tc>
        <w:tc>
          <w:tcPr>
            <w:tcW w:w="326" w:type="pct"/>
            <w:vMerge w:val="continue"/>
          </w:tcPr>
          <w:p w14:paraId="7F3A6E01">
            <w:pPr>
              <w:adjustRightInd w:val="0"/>
              <w:snapToGrid w:val="0"/>
              <w:spacing w:line="320" w:lineRule="exact"/>
              <w:jc w:val="center"/>
              <w:rPr>
                <w:rFonts w:eastAsia="仿宋_GB2312"/>
                <w:bCs/>
                <w:color w:val="FF0000"/>
                <w:szCs w:val="21"/>
              </w:rPr>
            </w:pPr>
          </w:p>
        </w:tc>
        <w:tc>
          <w:tcPr>
            <w:tcW w:w="324" w:type="pct"/>
            <w:vMerge w:val="continue"/>
          </w:tcPr>
          <w:p w14:paraId="4151D46E">
            <w:pPr>
              <w:adjustRightInd w:val="0"/>
              <w:snapToGrid w:val="0"/>
              <w:spacing w:line="320" w:lineRule="exact"/>
              <w:jc w:val="center"/>
              <w:rPr>
                <w:rFonts w:eastAsia="仿宋_GB2312"/>
                <w:bCs/>
                <w:color w:val="FF0000"/>
                <w:szCs w:val="21"/>
              </w:rPr>
            </w:pPr>
          </w:p>
        </w:tc>
      </w:tr>
      <w:tr w14:paraId="583F85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09" w:type="pct"/>
            <w:vMerge w:val="continue"/>
          </w:tcPr>
          <w:p w14:paraId="388B61E0">
            <w:pPr>
              <w:adjustRightInd w:val="0"/>
              <w:snapToGrid w:val="0"/>
              <w:spacing w:line="320" w:lineRule="exact"/>
              <w:jc w:val="center"/>
              <w:rPr>
                <w:rFonts w:eastAsia="仿宋_GB2312"/>
                <w:bCs/>
                <w:color w:val="FF0000"/>
                <w:szCs w:val="21"/>
              </w:rPr>
            </w:pPr>
          </w:p>
        </w:tc>
        <w:tc>
          <w:tcPr>
            <w:tcW w:w="586" w:type="pct"/>
            <w:vMerge w:val="continue"/>
          </w:tcPr>
          <w:p w14:paraId="6623AB43">
            <w:pPr>
              <w:jc w:val="center"/>
              <w:rPr>
                <w:rFonts w:eastAsia="仿宋_GB2312"/>
                <w:color w:val="FF0000"/>
                <w:szCs w:val="21"/>
              </w:rPr>
            </w:pPr>
          </w:p>
        </w:tc>
        <w:tc>
          <w:tcPr>
            <w:tcW w:w="820" w:type="pct"/>
            <w:shd w:val="clear" w:color="auto" w:fill="auto"/>
            <w:vAlign w:val="center"/>
          </w:tcPr>
          <w:p w14:paraId="1D99EBE4">
            <w:pPr>
              <w:adjustRightInd w:val="0"/>
              <w:snapToGrid w:val="0"/>
              <w:spacing w:line="320" w:lineRule="exact"/>
              <w:jc w:val="center"/>
              <w:rPr>
                <w:rFonts w:ascii="Times New Roman" w:hAnsi="Times New Roman" w:eastAsia="仿宋_GB2312" w:cs="Times New Roman"/>
                <w:color w:val="auto"/>
                <w:kern w:val="2"/>
                <w:sz w:val="21"/>
                <w:szCs w:val="21"/>
                <w:lang w:val="en-US" w:eastAsia="zh-CN" w:bidi="ar-SA"/>
              </w:rPr>
            </w:pPr>
            <w:r>
              <w:rPr>
                <w:rFonts w:eastAsia="仿宋_GB2312"/>
                <w:color w:val="auto"/>
                <w:szCs w:val="21"/>
              </w:rPr>
              <w:t>乙酸甲酯</w:t>
            </w:r>
          </w:p>
        </w:tc>
        <w:tc>
          <w:tcPr>
            <w:tcW w:w="0" w:type="auto"/>
            <w:shd w:val="clear" w:color="auto" w:fill="auto"/>
            <w:vAlign w:val="center"/>
          </w:tcPr>
          <w:p w14:paraId="1AD919CE">
            <w:pPr>
              <w:adjustRightInd w:val="0"/>
              <w:snapToGrid w:val="0"/>
              <w:spacing w:line="320" w:lineRule="exact"/>
              <w:jc w:val="center"/>
              <w:rPr>
                <w:rFonts w:hint="eastAsia"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7.08</w:t>
            </w:r>
          </w:p>
        </w:tc>
        <w:tc>
          <w:tcPr>
            <w:tcW w:w="0" w:type="auto"/>
            <w:shd w:val="clear" w:color="auto" w:fill="auto"/>
            <w:vAlign w:val="center"/>
          </w:tcPr>
          <w:p w14:paraId="3D14D5CD">
            <w:pPr>
              <w:adjustRightInd w:val="0"/>
              <w:snapToGrid w:val="0"/>
              <w:spacing w:line="320" w:lineRule="exact"/>
              <w:jc w:val="center"/>
              <w:rPr>
                <w:rFonts w:hint="eastAsia"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0.27</w:t>
            </w:r>
          </w:p>
        </w:tc>
        <w:tc>
          <w:tcPr>
            <w:tcW w:w="0" w:type="auto"/>
            <w:shd w:val="clear" w:color="auto" w:fill="auto"/>
            <w:vAlign w:val="center"/>
          </w:tcPr>
          <w:p w14:paraId="32C7EB1E">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b/>
                <w:bCs/>
                <w:color w:val="auto"/>
                <w:szCs w:val="21"/>
              </w:rPr>
              <w:t>/</w:t>
            </w:r>
          </w:p>
        </w:tc>
        <w:tc>
          <w:tcPr>
            <w:tcW w:w="0" w:type="auto"/>
            <w:shd w:val="clear" w:color="auto" w:fill="auto"/>
            <w:vAlign w:val="center"/>
          </w:tcPr>
          <w:p w14:paraId="46322CB4">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b/>
                <w:bCs/>
                <w:color w:val="auto"/>
                <w:szCs w:val="21"/>
              </w:rPr>
              <w:t>/</w:t>
            </w:r>
          </w:p>
        </w:tc>
        <w:tc>
          <w:tcPr>
            <w:tcW w:w="408" w:type="pct"/>
            <w:vMerge w:val="continue"/>
          </w:tcPr>
          <w:p w14:paraId="3C290A15">
            <w:pPr>
              <w:adjustRightInd w:val="0"/>
              <w:snapToGrid w:val="0"/>
              <w:spacing w:line="320" w:lineRule="exact"/>
              <w:jc w:val="center"/>
              <w:rPr>
                <w:rFonts w:eastAsia="仿宋_GB2312"/>
                <w:bCs/>
                <w:color w:val="FF0000"/>
                <w:szCs w:val="21"/>
              </w:rPr>
            </w:pPr>
          </w:p>
        </w:tc>
        <w:tc>
          <w:tcPr>
            <w:tcW w:w="326" w:type="pct"/>
            <w:vMerge w:val="continue"/>
          </w:tcPr>
          <w:p w14:paraId="3C5DFD4E">
            <w:pPr>
              <w:adjustRightInd w:val="0"/>
              <w:snapToGrid w:val="0"/>
              <w:spacing w:line="320" w:lineRule="exact"/>
              <w:jc w:val="center"/>
              <w:rPr>
                <w:rFonts w:eastAsia="仿宋_GB2312"/>
                <w:bCs/>
                <w:color w:val="FF0000"/>
                <w:szCs w:val="21"/>
              </w:rPr>
            </w:pPr>
          </w:p>
        </w:tc>
        <w:tc>
          <w:tcPr>
            <w:tcW w:w="324" w:type="pct"/>
            <w:vMerge w:val="continue"/>
          </w:tcPr>
          <w:p w14:paraId="712DD475">
            <w:pPr>
              <w:adjustRightInd w:val="0"/>
              <w:snapToGrid w:val="0"/>
              <w:spacing w:line="320" w:lineRule="exact"/>
              <w:jc w:val="center"/>
              <w:rPr>
                <w:rFonts w:eastAsia="仿宋_GB2312"/>
                <w:bCs/>
                <w:color w:val="FF0000"/>
                <w:szCs w:val="21"/>
              </w:rPr>
            </w:pPr>
          </w:p>
        </w:tc>
      </w:tr>
      <w:tr w14:paraId="0CBAE9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09" w:type="pct"/>
            <w:vMerge w:val="continue"/>
          </w:tcPr>
          <w:p w14:paraId="6953C700">
            <w:pPr>
              <w:adjustRightInd w:val="0"/>
              <w:snapToGrid w:val="0"/>
              <w:spacing w:line="320" w:lineRule="exact"/>
              <w:jc w:val="center"/>
              <w:rPr>
                <w:rFonts w:eastAsia="仿宋_GB2312"/>
                <w:bCs/>
                <w:color w:val="FF0000"/>
                <w:szCs w:val="21"/>
              </w:rPr>
            </w:pPr>
          </w:p>
        </w:tc>
        <w:tc>
          <w:tcPr>
            <w:tcW w:w="586" w:type="pct"/>
            <w:vMerge w:val="continue"/>
          </w:tcPr>
          <w:p w14:paraId="5B37F5F5">
            <w:pPr>
              <w:jc w:val="center"/>
              <w:rPr>
                <w:rFonts w:eastAsia="仿宋_GB2312"/>
                <w:color w:val="FF0000"/>
                <w:szCs w:val="21"/>
              </w:rPr>
            </w:pPr>
          </w:p>
        </w:tc>
        <w:tc>
          <w:tcPr>
            <w:tcW w:w="820" w:type="pct"/>
            <w:shd w:val="clear" w:color="auto" w:fill="auto"/>
            <w:vAlign w:val="center"/>
          </w:tcPr>
          <w:p w14:paraId="6B75910C">
            <w:pPr>
              <w:adjustRightInd w:val="0"/>
              <w:snapToGrid w:val="0"/>
              <w:spacing w:line="320" w:lineRule="exact"/>
              <w:jc w:val="center"/>
              <w:rPr>
                <w:rFonts w:hint="eastAsia" w:ascii="Times New Roman" w:hAnsi="Times New Roman" w:eastAsia="仿宋_GB2312" w:cs="Times New Roman"/>
                <w:color w:val="auto"/>
                <w:kern w:val="2"/>
                <w:sz w:val="21"/>
                <w:szCs w:val="21"/>
                <w:lang w:val="en-US" w:eastAsia="zh-CN" w:bidi="ar-SA"/>
              </w:rPr>
            </w:pPr>
            <w:r>
              <w:rPr>
                <w:rFonts w:hint="eastAsia" w:eastAsia="仿宋_GB2312"/>
                <w:color w:val="auto"/>
                <w:szCs w:val="21"/>
                <w:lang w:val="en-US" w:eastAsia="zh-CN"/>
              </w:rPr>
              <w:t>苯酚</w:t>
            </w:r>
          </w:p>
        </w:tc>
        <w:tc>
          <w:tcPr>
            <w:tcW w:w="0" w:type="auto"/>
            <w:shd w:val="clear" w:color="auto" w:fill="auto"/>
            <w:vAlign w:val="center"/>
          </w:tcPr>
          <w:p w14:paraId="0B8C4D1A">
            <w:pPr>
              <w:adjustRightInd w:val="0"/>
              <w:snapToGrid w:val="0"/>
              <w:spacing w:line="320" w:lineRule="exact"/>
              <w:jc w:val="center"/>
              <w:rPr>
                <w:rFonts w:hint="eastAsia"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1.55</w:t>
            </w:r>
          </w:p>
        </w:tc>
        <w:tc>
          <w:tcPr>
            <w:tcW w:w="0" w:type="auto"/>
            <w:shd w:val="clear" w:color="auto" w:fill="auto"/>
            <w:vAlign w:val="center"/>
          </w:tcPr>
          <w:p w14:paraId="711FB5AD">
            <w:pPr>
              <w:adjustRightInd w:val="0"/>
              <w:snapToGrid w:val="0"/>
              <w:spacing w:line="320" w:lineRule="exact"/>
              <w:jc w:val="center"/>
              <w:rPr>
                <w:rFonts w:hint="eastAsia"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0.06</w:t>
            </w:r>
          </w:p>
        </w:tc>
        <w:tc>
          <w:tcPr>
            <w:tcW w:w="0" w:type="auto"/>
            <w:shd w:val="clear" w:color="auto" w:fill="auto"/>
            <w:vAlign w:val="center"/>
          </w:tcPr>
          <w:p w14:paraId="6B765D79">
            <w:pPr>
              <w:adjustRightInd w:val="0"/>
              <w:snapToGrid w:val="0"/>
              <w:spacing w:line="320" w:lineRule="exact"/>
              <w:jc w:val="center"/>
              <w:rPr>
                <w:rFonts w:hint="default" w:ascii="Times New Roman" w:hAnsi="Times New Roman" w:eastAsia="仿宋_GB2312" w:cs="Times New Roman"/>
                <w:bCs/>
                <w:color w:val="auto"/>
                <w:kern w:val="2"/>
                <w:sz w:val="21"/>
                <w:szCs w:val="21"/>
                <w:lang w:val="en-US" w:eastAsia="zh-CN" w:bidi="ar-SA"/>
              </w:rPr>
            </w:pPr>
            <w:r>
              <w:rPr>
                <w:rFonts w:hint="eastAsia" w:eastAsia="仿宋_GB2312"/>
                <w:bCs/>
                <w:color w:val="auto"/>
                <w:szCs w:val="21"/>
                <w:lang w:val="en-US" w:eastAsia="zh-CN"/>
              </w:rPr>
              <w:t>20</w:t>
            </w:r>
          </w:p>
        </w:tc>
        <w:tc>
          <w:tcPr>
            <w:tcW w:w="0" w:type="auto"/>
            <w:shd w:val="clear" w:color="auto" w:fill="auto"/>
            <w:vAlign w:val="center"/>
          </w:tcPr>
          <w:p w14:paraId="43641214">
            <w:pPr>
              <w:adjustRightInd w:val="0"/>
              <w:snapToGrid w:val="0"/>
              <w:spacing w:line="320" w:lineRule="exact"/>
              <w:jc w:val="center"/>
              <w:rPr>
                <w:rFonts w:hint="default" w:ascii="Times New Roman" w:hAnsi="Times New Roman" w:eastAsia="仿宋_GB2312" w:cs="Times New Roman"/>
                <w:bCs/>
                <w:color w:val="auto"/>
                <w:kern w:val="2"/>
                <w:sz w:val="21"/>
                <w:szCs w:val="21"/>
                <w:lang w:val="en-US" w:eastAsia="zh-CN" w:bidi="ar-SA"/>
              </w:rPr>
            </w:pPr>
            <w:r>
              <w:rPr>
                <w:rFonts w:hint="eastAsia" w:eastAsia="仿宋_GB2312"/>
                <w:bCs/>
                <w:color w:val="auto"/>
                <w:szCs w:val="21"/>
                <w:lang w:val="en-US" w:eastAsia="zh-CN"/>
              </w:rPr>
              <w:t>0.072</w:t>
            </w:r>
          </w:p>
        </w:tc>
        <w:tc>
          <w:tcPr>
            <w:tcW w:w="408" w:type="pct"/>
            <w:vMerge w:val="continue"/>
          </w:tcPr>
          <w:p w14:paraId="130B61B3">
            <w:pPr>
              <w:adjustRightInd w:val="0"/>
              <w:snapToGrid w:val="0"/>
              <w:spacing w:line="320" w:lineRule="exact"/>
              <w:jc w:val="center"/>
              <w:rPr>
                <w:rFonts w:eastAsia="仿宋_GB2312"/>
                <w:bCs/>
                <w:color w:val="FF0000"/>
                <w:szCs w:val="21"/>
              </w:rPr>
            </w:pPr>
          </w:p>
        </w:tc>
        <w:tc>
          <w:tcPr>
            <w:tcW w:w="326" w:type="pct"/>
            <w:vMerge w:val="continue"/>
          </w:tcPr>
          <w:p w14:paraId="1602ABC8">
            <w:pPr>
              <w:adjustRightInd w:val="0"/>
              <w:snapToGrid w:val="0"/>
              <w:spacing w:line="320" w:lineRule="exact"/>
              <w:jc w:val="center"/>
              <w:rPr>
                <w:rFonts w:eastAsia="仿宋_GB2312"/>
                <w:bCs/>
                <w:color w:val="FF0000"/>
                <w:szCs w:val="21"/>
              </w:rPr>
            </w:pPr>
          </w:p>
        </w:tc>
        <w:tc>
          <w:tcPr>
            <w:tcW w:w="324" w:type="pct"/>
            <w:vMerge w:val="continue"/>
          </w:tcPr>
          <w:p w14:paraId="2A3D9AFF">
            <w:pPr>
              <w:adjustRightInd w:val="0"/>
              <w:snapToGrid w:val="0"/>
              <w:spacing w:line="320" w:lineRule="exact"/>
              <w:jc w:val="center"/>
              <w:rPr>
                <w:rFonts w:eastAsia="仿宋_GB2312"/>
                <w:bCs/>
                <w:color w:val="FF0000"/>
                <w:szCs w:val="21"/>
              </w:rPr>
            </w:pPr>
          </w:p>
        </w:tc>
      </w:tr>
      <w:tr w14:paraId="03078F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09" w:type="pct"/>
            <w:vMerge w:val="continue"/>
          </w:tcPr>
          <w:p w14:paraId="6CE6EC4C">
            <w:pPr>
              <w:adjustRightInd w:val="0"/>
              <w:snapToGrid w:val="0"/>
              <w:spacing w:line="320" w:lineRule="exact"/>
              <w:jc w:val="center"/>
              <w:rPr>
                <w:rFonts w:eastAsia="仿宋_GB2312"/>
                <w:bCs/>
                <w:color w:val="FF0000"/>
                <w:szCs w:val="21"/>
              </w:rPr>
            </w:pPr>
          </w:p>
        </w:tc>
        <w:tc>
          <w:tcPr>
            <w:tcW w:w="586" w:type="pct"/>
            <w:vMerge w:val="continue"/>
          </w:tcPr>
          <w:p w14:paraId="6A318839">
            <w:pPr>
              <w:jc w:val="center"/>
              <w:rPr>
                <w:rFonts w:eastAsia="仿宋_GB2312"/>
                <w:color w:val="FF0000"/>
                <w:szCs w:val="21"/>
              </w:rPr>
            </w:pPr>
          </w:p>
        </w:tc>
        <w:tc>
          <w:tcPr>
            <w:tcW w:w="820" w:type="pct"/>
            <w:shd w:val="clear" w:color="auto" w:fill="auto"/>
            <w:vAlign w:val="center"/>
          </w:tcPr>
          <w:p w14:paraId="0DDAAE23">
            <w:pPr>
              <w:adjustRightInd w:val="0"/>
              <w:snapToGrid w:val="0"/>
              <w:spacing w:line="320" w:lineRule="exact"/>
              <w:jc w:val="center"/>
              <w:rPr>
                <w:rFonts w:hint="default" w:ascii="Times New Roman" w:hAnsi="Times New Roman" w:eastAsia="仿宋_GB2312" w:cs="Times New Roman"/>
                <w:color w:val="auto"/>
                <w:kern w:val="2"/>
                <w:sz w:val="21"/>
                <w:szCs w:val="21"/>
                <w:lang w:val="en-US" w:eastAsia="zh-CN" w:bidi="ar-SA"/>
              </w:rPr>
            </w:pPr>
            <w:r>
              <w:rPr>
                <w:rFonts w:hint="eastAsia" w:eastAsia="仿宋_GB2312"/>
                <w:color w:val="auto"/>
                <w:szCs w:val="21"/>
                <w:lang w:val="en-US" w:eastAsia="zh-CN"/>
              </w:rPr>
              <w:t>丙二醇甲醚醋酸酯</w:t>
            </w:r>
          </w:p>
        </w:tc>
        <w:tc>
          <w:tcPr>
            <w:tcW w:w="0" w:type="auto"/>
            <w:shd w:val="clear" w:color="auto" w:fill="auto"/>
            <w:vAlign w:val="center"/>
          </w:tcPr>
          <w:p w14:paraId="0B61E584">
            <w:pPr>
              <w:adjustRightInd w:val="0"/>
              <w:snapToGrid w:val="0"/>
              <w:spacing w:line="320" w:lineRule="exact"/>
              <w:jc w:val="center"/>
              <w:rPr>
                <w:rFonts w:hint="eastAsia"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5.05</w:t>
            </w:r>
          </w:p>
        </w:tc>
        <w:tc>
          <w:tcPr>
            <w:tcW w:w="0" w:type="auto"/>
            <w:shd w:val="clear" w:color="auto" w:fill="auto"/>
            <w:vAlign w:val="center"/>
          </w:tcPr>
          <w:p w14:paraId="4B11E597">
            <w:pPr>
              <w:adjustRightInd w:val="0"/>
              <w:snapToGrid w:val="0"/>
              <w:spacing w:line="320" w:lineRule="exact"/>
              <w:jc w:val="center"/>
              <w:rPr>
                <w:rFonts w:hint="eastAsia"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0.19</w:t>
            </w:r>
          </w:p>
        </w:tc>
        <w:tc>
          <w:tcPr>
            <w:tcW w:w="0" w:type="auto"/>
            <w:shd w:val="clear" w:color="auto" w:fill="auto"/>
            <w:vAlign w:val="center"/>
          </w:tcPr>
          <w:p w14:paraId="5A004C3D">
            <w:pPr>
              <w:adjustRightInd w:val="0"/>
              <w:snapToGrid w:val="0"/>
              <w:spacing w:line="320" w:lineRule="exact"/>
              <w:jc w:val="center"/>
              <w:rPr>
                <w:rFonts w:hint="eastAsia" w:ascii="Times New Roman" w:hAnsi="Times New Roman" w:eastAsia="仿宋_GB2312" w:cs="Times New Roman"/>
                <w:bCs/>
                <w:color w:val="auto"/>
                <w:kern w:val="2"/>
                <w:sz w:val="21"/>
                <w:szCs w:val="21"/>
                <w:lang w:val="en-US" w:eastAsia="zh-CN" w:bidi="ar-SA"/>
              </w:rPr>
            </w:pPr>
            <w:r>
              <w:rPr>
                <w:rFonts w:hint="eastAsia" w:eastAsia="仿宋_GB2312"/>
                <w:bCs/>
                <w:color w:val="auto"/>
                <w:szCs w:val="21"/>
                <w:lang w:val="en-US" w:eastAsia="zh-CN"/>
              </w:rPr>
              <w:t>/</w:t>
            </w:r>
          </w:p>
        </w:tc>
        <w:tc>
          <w:tcPr>
            <w:tcW w:w="0" w:type="auto"/>
            <w:shd w:val="clear" w:color="auto" w:fill="auto"/>
            <w:vAlign w:val="center"/>
          </w:tcPr>
          <w:p w14:paraId="53135B51">
            <w:pPr>
              <w:adjustRightInd w:val="0"/>
              <w:snapToGrid w:val="0"/>
              <w:spacing w:line="320" w:lineRule="exact"/>
              <w:jc w:val="center"/>
              <w:rPr>
                <w:rFonts w:hint="eastAsia" w:ascii="Times New Roman" w:hAnsi="Times New Roman" w:eastAsia="仿宋_GB2312" w:cs="Times New Roman"/>
                <w:bCs/>
                <w:color w:val="auto"/>
                <w:kern w:val="2"/>
                <w:sz w:val="21"/>
                <w:szCs w:val="21"/>
                <w:lang w:val="en-US" w:eastAsia="zh-CN" w:bidi="ar-SA"/>
              </w:rPr>
            </w:pPr>
            <w:r>
              <w:rPr>
                <w:rFonts w:hint="eastAsia" w:eastAsia="仿宋_GB2312"/>
                <w:bCs/>
                <w:color w:val="auto"/>
                <w:szCs w:val="21"/>
                <w:lang w:val="en-US" w:eastAsia="zh-CN"/>
              </w:rPr>
              <w:t>/</w:t>
            </w:r>
          </w:p>
        </w:tc>
        <w:tc>
          <w:tcPr>
            <w:tcW w:w="408" w:type="pct"/>
            <w:vMerge w:val="continue"/>
          </w:tcPr>
          <w:p w14:paraId="6BA24669">
            <w:pPr>
              <w:adjustRightInd w:val="0"/>
              <w:snapToGrid w:val="0"/>
              <w:spacing w:line="320" w:lineRule="exact"/>
              <w:jc w:val="center"/>
              <w:rPr>
                <w:rFonts w:eastAsia="仿宋_GB2312"/>
                <w:bCs/>
                <w:color w:val="FF0000"/>
                <w:szCs w:val="21"/>
              </w:rPr>
            </w:pPr>
          </w:p>
        </w:tc>
        <w:tc>
          <w:tcPr>
            <w:tcW w:w="326" w:type="pct"/>
            <w:vMerge w:val="continue"/>
          </w:tcPr>
          <w:p w14:paraId="0A4B1E95">
            <w:pPr>
              <w:adjustRightInd w:val="0"/>
              <w:snapToGrid w:val="0"/>
              <w:spacing w:line="320" w:lineRule="exact"/>
              <w:jc w:val="center"/>
              <w:rPr>
                <w:rFonts w:eastAsia="仿宋_GB2312"/>
                <w:bCs/>
                <w:color w:val="FF0000"/>
                <w:szCs w:val="21"/>
              </w:rPr>
            </w:pPr>
          </w:p>
        </w:tc>
        <w:tc>
          <w:tcPr>
            <w:tcW w:w="324" w:type="pct"/>
            <w:vMerge w:val="continue"/>
          </w:tcPr>
          <w:p w14:paraId="0F0842D5">
            <w:pPr>
              <w:adjustRightInd w:val="0"/>
              <w:snapToGrid w:val="0"/>
              <w:spacing w:line="320" w:lineRule="exact"/>
              <w:jc w:val="center"/>
              <w:rPr>
                <w:rFonts w:eastAsia="仿宋_GB2312"/>
                <w:bCs/>
                <w:color w:val="FF0000"/>
                <w:szCs w:val="21"/>
              </w:rPr>
            </w:pPr>
          </w:p>
        </w:tc>
      </w:tr>
      <w:tr w14:paraId="4C5B23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09" w:type="pct"/>
            <w:vMerge w:val="continue"/>
          </w:tcPr>
          <w:p w14:paraId="70B9948D">
            <w:pPr>
              <w:adjustRightInd w:val="0"/>
              <w:snapToGrid w:val="0"/>
              <w:spacing w:line="320" w:lineRule="exact"/>
              <w:jc w:val="center"/>
              <w:rPr>
                <w:rFonts w:eastAsia="仿宋_GB2312"/>
                <w:bCs/>
                <w:color w:val="FF0000"/>
                <w:szCs w:val="21"/>
              </w:rPr>
            </w:pPr>
          </w:p>
        </w:tc>
        <w:tc>
          <w:tcPr>
            <w:tcW w:w="586" w:type="pct"/>
            <w:vMerge w:val="continue"/>
          </w:tcPr>
          <w:p w14:paraId="7FEFB833">
            <w:pPr>
              <w:jc w:val="center"/>
              <w:rPr>
                <w:rFonts w:eastAsia="仿宋_GB2312"/>
                <w:color w:val="FF0000"/>
                <w:szCs w:val="21"/>
              </w:rPr>
            </w:pPr>
          </w:p>
        </w:tc>
        <w:tc>
          <w:tcPr>
            <w:tcW w:w="820" w:type="pct"/>
            <w:shd w:val="clear" w:color="auto" w:fill="auto"/>
            <w:vAlign w:val="center"/>
          </w:tcPr>
          <w:p w14:paraId="06B6B897">
            <w:pPr>
              <w:adjustRightInd w:val="0"/>
              <w:snapToGrid w:val="0"/>
              <w:spacing w:line="320" w:lineRule="exact"/>
              <w:jc w:val="center"/>
              <w:rPr>
                <w:rFonts w:hint="default" w:ascii="Times New Roman" w:hAnsi="Times New Roman" w:eastAsia="仿宋_GB2312" w:cs="Times New Roman"/>
                <w:color w:val="auto"/>
                <w:kern w:val="2"/>
                <w:sz w:val="21"/>
                <w:szCs w:val="21"/>
                <w:lang w:val="en-US" w:eastAsia="zh-CN" w:bidi="ar-SA"/>
              </w:rPr>
            </w:pPr>
            <w:r>
              <w:rPr>
                <w:rFonts w:hint="eastAsia" w:eastAsia="仿宋_GB2312"/>
                <w:color w:val="auto"/>
                <w:szCs w:val="21"/>
                <w:lang w:val="en-US" w:eastAsia="zh-CN"/>
              </w:rPr>
              <w:t>己烷</w:t>
            </w:r>
          </w:p>
        </w:tc>
        <w:tc>
          <w:tcPr>
            <w:tcW w:w="0" w:type="auto"/>
            <w:shd w:val="clear" w:color="auto" w:fill="auto"/>
            <w:vAlign w:val="center"/>
          </w:tcPr>
          <w:p w14:paraId="074C19BD">
            <w:pPr>
              <w:adjustRightInd w:val="0"/>
              <w:snapToGrid w:val="0"/>
              <w:spacing w:line="320" w:lineRule="exact"/>
              <w:jc w:val="center"/>
              <w:rPr>
                <w:rFonts w:hint="eastAsia"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5.25</w:t>
            </w:r>
          </w:p>
        </w:tc>
        <w:tc>
          <w:tcPr>
            <w:tcW w:w="0" w:type="auto"/>
            <w:shd w:val="clear" w:color="auto" w:fill="auto"/>
            <w:vAlign w:val="center"/>
          </w:tcPr>
          <w:p w14:paraId="3B9C5DE3">
            <w:pPr>
              <w:adjustRightInd w:val="0"/>
              <w:snapToGrid w:val="0"/>
              <w:spacing w:line="320" w:lineRule="exact"/>
              <w:jc w:val="center"/>
              <w:rPr>
                <w:rFonts w:hint="eastAsia"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0.20</w:t>
            </w:r>
          </w:p>
        </w:tc>
        <w:tc>
          <w:tcPr>
            <w:tcW w:w="0" w:type="auto"/>
            <w:shd w:val="clear" w:color="auto" w:fill="auto"/>
            <w:vAlign w:val="center"/>
          </w:tcPr>
          <w:p w14:paraId="096AA7BF">
            <w:pPr>
              <w:adjustRightInd w:val="0"/>
              <w:snapToGrid w:val="0"/>
              <w:spacing w:line="320" w:lineRule="exact"/>
              <w:jc w:val="center"/>
              <w:rPr>
                <w:rFonts w:hint="eastAsia" w:ascii="Times New Roman" w:hAnsi="Times New Roman" w:eastAsia="仿宋_GB2312" w:cs="Times New Roman"/>
                <w:bCs/>
                <w:color w:val="auto"/>
                <w:kern w:val="2"/>
                <w:sz w:val="21"/>
                <w:szCs w:val="21"/>
                <w:lang w:val="en-US" w:eastAsia="zh-CN" w:bidi="ar-SA"/>
              </w:rPr>
            </w:pPr>
            <w:r>
              <w:rPr>
                <w:rFonts w:hint="eastAsia" w:eastAsia="仿宋_GB2312"/>
                <w:bCs/>
                <w:color w:val="auto"/>
                <w:szCs w:val="21"/>
                <w:lang w:val="en-US" w:eastAsia="zh-CN"/>
              </w:rPr>
              <w:t>/</w:t>
            </w:r>
          </w:p>
        </w:tc>
        <w:tc>
          <w:tcPr>
            <w:tcW w:w="0" w:type="auto"/>
            <w:shd w:val="clear" w:color="auto" w:fill="auto"/>
            <w:vAlign w:val="center"/>
          </w:tcPr>
          <w:p w14:paraId="5C94FB81">
            <w:pPr>
              <w:adjustRightInd w:val="0"/>
              <w:snapToGrid w:val="0"/>
              <w:spacing w:line="320" w:lineRule="exact"/>
              <w:jc w:val="center"/>
              <w:rPr>
                <w:rFonts w:hint="eastAsia" w:ascii="Times New Roman" w:hAnsi="Times New Roman" w:eastAsia="仿宋_GB2312" w:cs="Times New Roman"/>
                <w:bCs/>
                <w:color w:val="auto"/>
                <w:kern w:val="2"/>
                <w:sz w:val="21"/>
                <w:szCs w:val="21"/>
                <w:lang w:val="en-US" w:eastAsia="zh-CN" w:bidi="ar-SA"/>
              </w:rPr>
            </w:pPr>
            <w:r>
              <w:rPr>
                <w:rFonts w:hint="eastAsia" w:eastAsia="仿宋_GB2312"/>
                <w:bCs/>
                <w:color w:val="auto"/>
                <w:szCs w:val="21"/>
                <w:lang w:val="en-US" w:eastAsia="zh-CN"/>
              </w:rPr>
              <w:t>/</w:t>
            </w:r>
          </w:p>
        </w:tc>
        <w:tc>
          <w:tcPr>
            <w:tcW w:w="408" w:type="pct"/>
            <w:vMerge w:val="continue"/>
          </w:tcPr>
          <w:p w14:paraId="21CE34EF">
            <w:pPr>
              <w:adjustRightInd w:val="0"/>
              <w:snapToGrid w:val="0"/>
              <w:spacing w:line="320" w:lineRule="exact"/>
              <w:jc w:val="center"/>
              <w:rPr>
                <w:rFonts w:eastAsia="仿宋_GB2312"/>
                <w:bCs/>
                <w:color w:val="FF0000"/>
                <w:szCs w:val="21"/>
              </w:rPr>
            </w:pPr>
          </w:p>
        </w:tc>
        <w:tc>
          <w:tcPr>
            <w:tcW w:w="326" w:type="pct"/>
            <w:vMerge w:val="continue"/>
          </w:tcPr>
          <w:p w14:paraId="31CC08FD">
            <w:pPr>
              <w:adjustRightInd w:val="0"/>
              <w:snapToGrid w:val="0"/>
              <w:spacing w:line="320" w:lineRule="exact"/>
              <w:jc w:val="center"/>
              <w:rPr>
                <w:rFonts w:eastAsia="仿宋_GB2312"/>
                <w:bCs/>
                <w:color w:val="FF0000"/>
                <w:szCs w:val="21"/>
              </w:rPr>
            </w:pPr>
          </w:p>
        </w:tc>
        <w:tc>
          <w:tcPr>
            <w:tcW w:w="324" w:type="pct"/>
            <w:vMerge w:val="continue"/>
          </w:tcPr>
          <w:p w14:paraId="62C3E97E">
            <w:pPr>
              <w:adjustRightInd w:val="0"/>
              <w:snapToGrid w:val="0"/>
              <w:spacing w:line="320" w:lineRule="exact"/>
              <w:jc w:val="center"/>
              <w:rPr>
                <w:rFonts w:eastAsia="仿宋_GB2312"/>
                <w:bCs/>
                <w:color w:val="FF0000"/>
                <w:szCs w:val="21"/>
              </w:rPr>
            </w:pPr>
          </w:p>
        </w:tc>
      </w:tr>
      <w:tr w14:paraId="31564B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09" w:type="pct"/>
            <w:vMerge w:val="continue"/>
          </w:tcPr>
          <w:p w14:paraId="75ACE278">
            <w:pPr>
              <w:adjustRightInd w:val="0"/>
              <w:snapToGrid w:val="0"/>
              <w:spacing w:line="320" w:lineRule="exact"/>
              <w:jc w:val="center"/>
              <w:rPr>
                <w:rFonts w:eastAsia="仿宋_GB2312"/>
                <w:bCs/>
                <w:color w:val="FF0000"/>
                <w:szCs w:val="21"/>
              </w:rPr>
            </w:pPr>
          </w:p>
        </w:tc>
        <w:tc>
          <w:tcPr>
            <w:tcW w:w="586" w:type="pct"/>
            <w:vMerge w:val="continue"/>
          </w:tcPr>
          <w:p w14:paraId="2E8E2E9E">
            <w:pPr>
              <w:jc w:val="center"/>
              <w:rPr>
                <w:rFonts w:eastAsia="仿宋_GB2312"/>
                <w:color w:val="FF0000"/>
                <w:szCs w:val="21"/>
              </w:rPr>
            </w:pPr>
          </w:p>
        </w:tc>
        <w:tc>
          <w:tcPr>
            <w:tcW w:w="820" w:type="pct"/>
            <w:shd w:val="clear" w:color="auto" w:fill="auto"/>
            <w:vAlign w:val="center"/>
          </w:tcPr>
          <w:p w14:paraId="50FDDD7B">
            <w:pPr>
              <w:adjustRightInd w:val="0"/>
              <w:snapToGrid w:val="0"/>
              <w:spacing w:line="320" w:lineRule="exact"/>
              <w:jc w:val="center"/>
              <w:rPr>
                <w:rFonts w:hint="default" w:ascii="Times New Roman" w:hAnsi="Times New Roman" w:eastAsia="仿宋_GB2312" w:cs="Times New Roman"/>
                <w:color w:val="auto"/>
                <w:kern w:val="2"/>
                <w:sz w:val="21"/>
                <w:szCs w:val="21"/>
                <w:lang w:val="en-US" w:eastAsia="zh-CN" w:bidi="ar-SA"/>
              </w:rPr>
            </w:pPr>
            <w:r>
              <w:rPr>
                <w:rFonts w:hint="eastAsia" w:eastAsia="仿宋_GB2312"/>
                <w:color w:val="auto"/>
                <w:szCs w:val="21"/>
                <w:lang w:val="en-US" w:eastAsia="zh-CN"/>
              </w:rPr>
              <w:t>乙酸乙烯酯</w:t>
            </w:r>
          </w:p>
        </w:tc>
        <w:tc>
          <w:tcPr>
            <w:tcW w:w="0" w:type="auto"/>
            <w:shd w:val="clear" w:color="auto" w:fill="auto"/>
            <w:vAlign w:val="center"/>
          </w:tcPr>
          <w:p w14:paraId="238F7399">
            <w:pPr>
              <w:adjustRightInd w:val="0"/>
              <w:snapToGrid w:val="0"/>
              <w:spacing w:line="320" w:lineRule="exact"/>
              <w:jc w:val="center"/>
              <w:rPr>
                <w:rFonts w:hint="eastAsia"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5.49</w:t>
            </w:r>
          </w:p>
        </w:tc>
        <w:tc>
          <w:tcPr>
            <w:tcW w:w="0" w:type="auto"/>
            <w:shd w:val="clear" w:color="auto" w:fill="auto"/>
            <w:vAlign w:val="center"/>
          </w:tcPr>
          <w:p w14:paraId="2F0522CC">
            <w:pPr>
              <w:adjustRightInd w:val="0"/>
              <w:snapToGrid w:val="0"/>
              <w:spacing w:line="320" w:lineRule="exact"/>
              <w:jc w:val="center"/>
              <w:rPr>
                <w:rFonts w:hint="eastAsia"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0.21</w:t>
            </w:r>
          </w:p>
        </w:tc>
        <w:tc>
          <w:tcPr>
            <w:tcW w:w="0" w:type="auto"/>
            <w:shd w:val="clear" w:color="auto" w:fill="auto"/>
            <w:vAlign w:val="center"/>
          </w:tcPr>
          <w:p w14:paraId="4F8ACC20">
            <w:pPr>
              <w:adjustRightInd w:val="0"/>
              <w:snapToGrid w:val="0"/>
              <w:spacing w:line="320" w:lineRule="exact"/>
              <w:jc w:val="center"/>
              <w:rPr>
                <w:rFonts w:hint="default" w:ascii="Times New Roman" w:hAnsi="Times New Roman" w:eastAsia="仿宋_GB2312" w:cs="Times New Roman"/>
                <w:bCs/>
                <w:color w:val="auto"/>
                <w:kern w:val="2"/>
                <w:sz w:val="21"/>
                <w:szCs w:val="21"/>
                <w:lang w:val="en-US" w:eastAsia="zh-CN" w:bidi="ar-SA"/>
              </w:rPr>
            </w:pPr>
            <w:r>
              <w:rPr>
                <w:rFonts w:hint="eastAsia" w:eastAsia="仿宋_GB2312"/>
                <w:bCs/>
                <w:color w:val="auto"/>
                <w:szCs w:val="21"/>
                <w:lang w:val="en-US" w:eastAsia="zh-CN"/>
              </w:rPr>
              <w:t>20</w:t>
            </w:r>
          </w:p>
        </w:tc>
        <w:tc>
          <w:tcPr>
            <w:tcW w:w="0" w:type="auto"/>
            <w:shd w:val="clear" w:color="auto" w:fill="auto"/>
            <w:vAlign w:val="center"/>
          </w:tcPr>
          <w:p w14:paraId="632E7DE0">
            <w:pPr>
              <w:adjustRightInd w:val="0"/>
              <w:snapToGrid w:val="0"/>
              <w:spacing w:line="320" w:lineRule="exact"/>
              <w:jc w:val="center"/>
              <w:rPr>
                <w:rFonts w:hint="default" w:ascii="Times New Roman" w:hAnsi="Times New Roman" w:eastAsia="仿宋_GB2312" w:cs="Times New Roman"/>
                <w:bCs/>
                <w:color w:val="auto"/>
                <w:kern w:val="2"/>
                <w:sz w:val="21"/>
                <w:szCs w:val="21"/>
                <w:lang w:val="en-US" w:eastAsia="zh-CN" w:bidi="ar-SA"/>
              </w:rPr>
            </w:pPr>
            <w:r>
              <w:rPr>
                <w:rFonts w:hint="eastAsia" w:eastAsia="仿宋_GB2312"/>
                <w:bCs/>
                <w:color w:val="auto"/>
                <w:szCs w:val="21"/>
                <w:lang w:val="en-US" w:eastAsia="zh-CN"/>
              </w:rPr>
              <w:t>1.1</w:t>
            </w:r>
          </w:p>
        </w:tc>
        <w:tc>
          <w:tcPr>
            <w:tcW w:w="408" w:type="pct"/>
            <w:vMerge w:val="continue"/>
          </w:tcPr>
          <w:p w14:paraId="04236270">
            <w:pPr>
              <w:adjustRightInd w:val="0"/>
              <w:snapToGrid w:val="0"/>
              <w:spacing w:line="320" w:lineRule="exact"/>
              <w:jc w:val="center"/>
              <w:rPr>
                <w:rFonts w:eastAsia="仿宋_GB2312"/>
                <w:bCs/>
                <w:color w:val="FF0000"/>
                <w:szCs w:val="21"/>
              </w:rPr>
            </w:pPr>
          </w:p>
        </w:tc>
        <w:tc>
          <w:tcPr>
            <w:tcW w:w="326" w:type="pct"/>
            <w:vMerge w:val="continue"/>
          </w:tcPr>
          <w:p w14:paraId="52F7A271">
            <w:pPr>
              <w:adjustRightInd w:val="0"/>
              <w:snapToGrid w:val="0"/>
              <w:spacing w:line="320" w:lineRule="exact"/>
              <w:jc w:val="center"/>
              <w:rPr>
                <w:rFonts w:eastAsia="仿宋_GB2312"/>
                <w:bCs/>
                <w:color w:val="FF0000"/>
                <w:szCs w:val="21"/>
              </w:rPr>
            </w:pPr>
          </w:p>
        </w:tc>
        <w:tc>
          <w:tcPr>
            <w:tcW w:w="324" w:type="pct"/>
            <w:vMerge w:val="continue"/>
          </w:tcPr>
          <w:p w14:paraId="135D0E41">
            <w:pPr>
              <w:adjustRightInd w:val="0"/>
              <w:snapToGrid w:val="0"/>
              <w:spacing w:line="320" w:lineRule="exact"/>
              <w:jc w:val="center"/>
              <w:rPr>
                <w:rFonts w:eastAsia="仿宋_GB2312"/>
                <w:bCs/>
                <w:color w:val="FF0000"/>
                <w:szCs w:val="21"/>
              </w:rPr>
            </w:pPr>
          </w:p>
        </w:tc>
      </w:tr>
      <w:tr w14:paraId="107F20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09" w:type="pct"/>
            <w:vMerge w:val="continue"/>
          </w:tcPr>
          <w:p w14:paraId="390A0115">
            <w:pPr>
              <w:adjustRightInd w:val="0"/>
              <w:snapToGrid w:val="0"/>
              <w:spacing w:line="320" w:lineRule="exact"/>
              <w:jc w:val="center"/>
              <w:rPr>
                <w:rFonts w:eastAsia="仿宋_GB2312"/>
                <w:bCs/>
                <w:color w:val="FF0000"/>
                <w:szCs w:val="21"/>
              </w:rPr>
            </w:pPr>
          </w:p>
        </w:tc>
        <w:tc>
          <w:tcPr>
            <w:tcW w:w="586" w:type="pct"/>
            <w:vMerge w:val="continue"/>
          </w:tcPr>
          <w:p w14:paraId="41B46491">
            <w:pPr>
              <w:jc w:val="center"/>
              <w:rPr>
                <w:rFonts w:eastAsia="仿宋_GB2312"/>
                <w:color w:val="FF0000"/>
                <w:szCs w:val="21"/>
              </w:rPr>
            </w:pPr>
          </w:p>
        </w:tc>
        <w:tc>
          <w:tcPr>
            <w:tcW w:w="820" w:type="pct"/>
            <w:shd w:val="clear" w:color="auto" w:fill="auto"/>
            <w:vAlign w:val="center"/>
          </w:tcPr>
          <w:p w14:paraId="4E8C138D">
            <w:pPr>
              <w:adjustRightInd w:val="0"/>
              <w:snapToGrid w:val="0"/>
              <w:spacing w:line="320" w:lineRule="exact"/>
              <w:jc w:val="center"/>
              <w:rPr>
                <w:rFonts w:hint="default" w:ascii="Times New Roman" w:hAnsi="Times New Roman" w:eastAsia="仿宋_GB2312" w:cs="Times New Roman"/>
                <w:color w:val="auto"/>
                <w:kern w:val="2"/>
                <w:sz w:val="21"/>
                <w:szCs w:val="21"/>
                <w:lang w:val="en-US" w:eastAsia="zh-CN" w:bidi="ar-SA"/>
              </w:rPr>
            </w:pPr>
            <w:r>
              <w:rPr>
                <w:rFonts w:hint="eastAsia" w:eastAsia="仿宋_GB2312"/>
                <w:color w:val="auto"/>
                <w:szCs w:val="21"/>
                <w:lang w:val="en-US" w:eastAsia="zh-CN"/>
              </w:rPr>
              <w:t>异丙苯</w:t>
            </w:r>
          </w:p>
        </w:tc>
        <w:tc>
          <w:tcPr>
            <w:tcW w:w="1325" w:type="dxa"/>
            <w:shd w:val="clear" w:color="auto" w:fill="auto"/>
            <w:vAlign w:val="center"/>
          </w:tcPr>
          <w:p w14:paraId="752D968B">
            <w:pPr>
              <w:adjustRightInd w:val="0"/>
              <w:snapToGrid w:val="0"/>
              <w:spacing w:line="320" w:lineRule="exact"/>
              <w:jc w:val="center"/>
              <w:rPr>
                <w:rFonts w:hint="eastAsia" w:ascii="Times New Roman" w:hAnsi="Times New Roman" w:eastAsia="仿宋_GB2312" w:cs="Times New Roman"/>
                <w:color w:val="auto"/>
                <w:kern w:val="2"/>
                <w:sz w:val="21"/>
                <w:szCs w:val="21"/>
                <w:lang w:val="en-US" w:eastAsia="zh-CN" w:bidi="ar-SA"/>
              </w:rPr>
            </w:pPr>
            <w:r>
              <w:rPr>
                <w:rFonts w:hint="eastAsia" w:eastAsia="仿宋_GB2312" w:cs="Times New Roman"/>
                <w:color w:val="auto"/>
                <w:szCs w:val="21"/>
                <w:lang w:val="en-US" w:eastAsia="zh-CN"/>
              </w:rPr>
              <w:t>1.93</w:t>
            </w:r>
          </w:p>
        </w:tc>
        <w:tc>
          <w:tcPr>
            <w:tcW w:w="1362" w:type="dxa"/>
            <w:shd w:val="clear" w:color="auto" w:fill="auto"/>
            <w:vAlign w:val="center"/>
          </w:tcPr>
          <w:p w14:paraId="7EC16498">
            <w:pPr>
              <w:adjustRightInd w:val="0"/>
              <w:snapToGrid w:val="0"/>
              <w:spacing w:line="320" w:lineRule="exact"/>
              <w:jc w:val="center"/>
              <w:rPr>
                <w:rFonts w:hint="eastAsia"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0.</w:t>
            </w:r>
            <w:r>
              <w:rPr>
                <w:rFonts w:hint="eastAsia" w:eastAsia="仿宋_GB2312" w:cs="Times New Roman"/>
                <w:color w:val="auto"/>
                <w:szCs w:val="21"/>
                <w:lang w:val="en-US" w:eastAsia="zh-CN"/>
              </w:rPr>
              <w:t>07</w:t>
            </w:r>
          </w:p>
        </w:tc>
        <w:tc>
          <w:tcPr>
            <w:tcW w:w="0" w:type="auto"/>
            <w:shd w:val="clear" w:color="auto" w:fill="auto"/>
            <w:vAlign w:val="center"/>
          </w:tcPr>
          <w:p w14:paraId="325390DC">
            <w:pPr>
              <w:adjustRightInd w:val="0"/>
              <w:snapToGrid w:val="0"/>
              <w:spacing w:line="320" w:lineRule="exact"/>
              <w:jc w:val="center"/>
              <w:rPr>
                <w:rFonts w:hint="eastAsia" w:ascii="Times New Roman" w:hAnsi="Times New Roman" w:eastAsia="仿宋_GB2312" w:cs="Times New Roman"/>
                <w:bCs/>
                <w:color w:val="auto"/>
                <w:kern w:val="2"/>
                <w:sz w:val="21"/>
                <w:szCs w:val="21"/>
                <w:lang w:val="en-US" w:eastAsia="zh-CN" w:bidi="ar-SA"/>
              </w:rPr>
            </w:pPr>
            <w:r>
              <w:rPr>
                <w:rFonts w:hint="eastAsia" w:eastAsia="仿宋_GB2312"/>
                <w:bCs/>
                <w:color w:val="auto"/>
                <w:szCs w:val="21"/>
                <w:lang w:val="en-US" w:eastAsia="zh-CN"/>
              </w:rPr>
              <w:t>/</w:t>
            </w:r>
          </w:p>
        </w:tc>
        <w:tc>
          <w:tcPr>
            <w:tcW w:w="0" w:type="auto"/>
            <w:shd w:val="clear" w:color="auto" w:fill="auto"/>
            <w:vAlign w:val="center"/>
          </w:tcPr>
          <w:p w14:paraId="4F0D7090">
            <w:pPr>
              <w:adjustRightInd w:val="0"/>
              <w:snapToGrid w:val="0"/>
              <w:spacing w:line="320" w:lineRule="exact"/>
              <w:jc w:val="center"/>
              <w:rPr>
                <w:rFonts w:hint="eastAsia" w:ascii="Times New Roman" w:hAnsi="Times New Roman" w:eastAsia="仿宋_GB2312" w:cs="Times New Roman"/>
                <w:bCs/>
                <w:color w:val="auto"/>
                <w:kern w:val="2"/>
                <w:sz w:val="21"/>
                <w:szCs w:val="21"/>
                <w:lang w:val="en-US" w:eastAsia="zh-CN" w:bidi="ar-SA"/>
              </w:rPr>
            </w:pPr>
            <w:r>
              <w:rPr>
                <w:rFonts w:hint="eastAsia" w:eastAsia="仿宋_GB2312"/>
                <w:bCs/>
                <w:color w:val="auto"/>
                <w:szCs w:val="21"/>
                <w:lang w:val="en-US" w:eastAsia="zh-CN"/>
              </w:rPr>
              <w:t>/</w:t>
            </w:r>
          </w:p>
        </w:tc>
        <w:tc>
          <w:tcPr>
            <w:tcW w:w="408" w:type="pct"/>
            <w:vMerge w:val="continue"/>
          </w:tcPr>
          <w:p w14:paraId="242E741A">
            <w:pPr>
              <w:adjustRightInd w:val="0"/>
              <w:snapToGrid w:val="0"/>
              <w:spacing w:line="320" w:lineRule="exact"/>
              <w:jc w:val="center"/>
              <w:rPr>
                <w:rFonts w:eastAsia="仿宋_GB2312"/>
                <w:bCs/>
                <w:color w:val="FF0000"/>
                <w:szCs w:val="21"/>
              </w:rPr>
            </w:pPr>
          </w:p>
        </w:tc>
        <w:tc>
          <w:tcPr>
            <w:tcW w:w="326" w:type="pct"/>
            <w:vMerge w:val="continue"/>
          </w:tcPr>
          <w:p w14:paraId="54ED6CC0">
            <w:pPr>
              <w:adjustRightInd w:val="0"/>
              <w:snapToGrid w:val="0"/>
              <w:spacing w:line="320" w:lineRule="exact"/>
              <w:jc w:val="center"/>
              <w:rPr>
                <w:rFonts w:eastAsia="仿宋_GB2312"/>
                <w:bCs/>
                <w:color w:val="FF0000"/>
                <w:szCs w:val="21"/>
              </w:rPr>
            </w:pPr>
          </w:p>
        </w:tc>
        <w:tc>
          <w:tcPr>
            <w:tcW w:w="324" w:type="pct"/>
            <w:vMerge w:val="continue"/>
          </w:tcPr>
          <w:p w14:paraId="21F477AF">
            <w:pPr>
              <w:adjustRightInd w:val="0"/>
              <w:snapToGrid w:val="0"/>
              <w:spacing w:line="320" w:lineRule="exact"/>
              <w:jc w:val="center"/>
              <w:rPr>
                <w:rFonts w:eastAsia="仿宋_GB2312"/>
                <w:bCs/>
                <w:color w:val="FF0000"/>
                <w:szCs w:val="21"/>
              </w:rPr>
            </w:pPr>
          </w:p>
        </w:tc>
      </w:tr>
      <w:tr w14:paraId="3F2C72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340" w:hRule="atLeast"/>
          <w:jc w:val="center"/>
        </w:trPr>
        <w:tc>
          <w:tcPr>
            <w:tcW w:w="409" w:type="pct"/>
            <w:vMerge w:val="continue"/>
          </w:tcPr>
          <w:p w14:paraId="5D150FF3">
            <w:pPr>
              <w:adjustRightInd w:val="0"/>
              <w:snapToGrid w:val="0"/>
              <w:spacing w:line="320" w:lineRule="exact"/>
              <w:jc w:val="center"/>
              <w:rPr>
                <w:rFonts w:eastAsia="仿宋_GB2312"/>
                <w:bCs/>
                <w:color w:val="FF0000"/>
                <w:szCs w:val="21"/>
              </w:rPr>
            </w:pPr>
          </w:p>
        </w:tc>
        <w:tc>
          <w:tcPr>
            <w:tcW w:w="586" w:type="pct"/>
            <w:vMerge w:val="continue"/>
          </w:tcPr>
          <w:p w14:paraId="39827525">
            <w:pPr>
              <w:jc w:val="center"/>
              <w:rPr>
                <w:rFonts w:eastAsia="仿宋_GB2312"/>
                <w:color w:val="FF0000"/>
                <w:szCs w:val="21"/>
              </w:rPr>
            </w:pPr>
          </w:p>
        </w:tc>
        <w:tc>
          <w:tcPr>
            <w:tcW w:w="820" w:type="pct"/>
            <w:shd w:val="clear" w:color="auto" w:fill="auto"/>
            <w:vAlign w:val="center"/>
          </w:tcPr>
          <w:p w14:paraId="2DAA9DA0">
            <w:pPr>
              <w:adjustRightInd w:val="0"/>
              <w:snapToGrid w:val="0"/>
              <w:spacing w:line="320" w:lineRule="exact"/>
              <w:jc w:val="center"/>
              <w:rPr>
                <w:rFonts w:hint="eastAsia" w:ascii="Times New Roman" w:hAnsi="Times New Roman" w:eastAsia="仿宋_GB2312" w:cs="Times New Roman"/>
                <w:b/>
                <w:bCs/>
                <w:color w:val="auto"/>
                <w:kern w:val="2"/>
                <w:sz w:val="21"/>
                <w:szCs w:val="21"/>
                <w:lang w:val="en-US" w:eastAsia="zh-CN" w:bidi="ar-SA"/>
              </w:rPr>
            </w:pPr>
            <w:r>
              <w:rPr>
                <w:rFonts w:eastAsia="仿宋_GB2312"/>
                <w:color w:val="auto"/>
                <w:szCs w:val="21"/>
              </w:rPr>
              <w:t>乙酸酯类</w:t>
            </w:r>
          </w:p>
        </w:tc>
        <w:tc>
          <w:tcPr>
            <w:tcW w:w="0" w:type="auto"/>
            <w:shd w:val="clear" w:color="auto" w:fill="auto"/>
            <w:vAlign w:val="center"/>
          </w:tcPr>
          <w:p w14:paraId="11D3A866">
            <w:pPr>
              <w:adjustRightInd w:val="0"/>
              <w:snapToGrid w:val="0"/>
              <w:spacing w:line="320" w:lineRule="exact"/>
              <w:jc w:val="center"/>
              <w:rPr>
                <w:rFonts w:hint="eastAsia"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18.08</w:t>
            </w:r>
          </w:p>
        </w:tc>
        <w:tc>
          <w:tcPr>
            <w:tcW w:w="0" w:type="auto"/>
            <w:shd w:val="clear" w:color="auto" w:fill="auto"/>
            <w:vAlign w:val="center"/>
          </w:tcPr>
          <w:p w14:paraId="3546820C">
            <w:pPr>
              <w:adjustRightInd w:val="0"/>
              <w:snapToGrid w:val="0"/>
              <w:spacing w:line="320" w:lineRule="exact"/>
              <w:jc w:val="center"/>
              <w:rPr>
                <w:rFonts w:hint="eastAsia"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0.69</w:t>
            </w:r>
          </w:p>
        </w:tc>
        <w:tc>
          <w:tcPr>
            <w:tcW w:w="0" w:type="auto"/>
            <w:shd w:val="clear" w:color="auto" w:fill="auto"/>
            <w:vAlign w:val="center"/>
          </w:tcPr>
          <w:p w14:paraId="1B938B3B">
            <w:pPr>
              <w:adjustRightInd w:val="0"/>
              <w:snapToGrid w:val="0"/>
              <w:spacing w:line="320" w:lineRule="exact"/>
              <w:jc w:val="center"/>
              <w:rPr>
                <w:rFonts w:ascii="Times New Roman" w:hAnsi="Times New Roman" w:eastAsia="仿宋_GB2312" w:cs="Times New Roman"/>
                <w:bCs/>
                <w:color w:val="auto"/>
                <w:kern w:val="2"/>
                <w:sz w:val="21"/>
                <w:szCs w:val="21"/>
                <w:lang w:val="en-US" w:eastAsia="zh-CN" w:bidi="ar-SA"/>
              </w:rPr>
            </w:pPr>
            <w:r>
              <w:rPr>
                <w:rFonts w:eastAsia="仿宋_GB2312"/>
                <w:bCs/>
                <w:color w:val="auto"/>
                <w:szCs w:val="21"/>
              </w:rPr>
              <w:t>50</w:t>
            </w:r>
          </w:p>
        </w:tc>
        <w:tc>
          <w:tcPr>
            <w:tcW w:w="0" w:type="auto"/>
            <w:shd w:val="clear" w:color="auto" w:fill="auto"/>
            <w:vAlign w:val="center"/>
          </w:tcPr>
          <w:p w14:paraId="1C335E48">
            <w:pPr>
              <w:adjustRightInd w:val="0"/>
              <w:snapToGrid w:val="0"/>
              <w:spacing w:line="320" w:lineRule="exact"/>
              <w:jc w:val="center"/>
              <w:rPr>
                <w:rFonts w:hint="default" w:ascii="Times New Roman" w:hAnsi="Times New Roman" w:eastAsia="仿宋_GB2312" w:cs="Times New Roman"/>
                <w:bCs/>
                <w:color w:val="auto"/>
                <w:kern w:val="2"/>
                <w:sz w:val="21"/>
                <w:szCs w:val="21"/>
                <w:lang w:val="en-US" w:eastAsia="zh-CN" w:bidi="ar-SA"/>
              </w:rPr>
            </w:pPr>
            <w:r>
              <w:rPr>
                <w:rFonts w:hint="eastAsia" w:eastAsia="仿宋_GB2312"/>
                <w:bCs/>
                <w:color w:val="auto"/>
                <w:szCs w:val="21"/>
                <w:lang w:val="en-US" w:eastAsia="zh-CN"/>
              </w:rPr>
              <w:t>2.2</w:t>
            </w:r>
          </w:p>
        </w:tc>
        <w:tc>
          <w:tcPr>
            <w:tcW w:w="408" w:type="pct"/>
            <w:vMerge w:val="continue"/>
          </w:tcPr>
          <w:p w14:paraId="406B9C92">
            <w:pPr>
              <w:adjustRightInd w:val="0"/>
              <w:snapToGrid w:val="0"/>
              <w:spacing w:line="320" w:lineRule="exact"/>
              <w:jc w:val="center"/>
              <w:rPr>
                <w:rFonts w:eastAsia="仿宋_GB2312"/>
                <w:bCs/>
                <w:color w:val="FF0000"/>
                <w:szCs w:val="21"/>
              </w:rPr>
            </w:pPr>
          </w:p>
        </w:tc>
        <w:tc>
          <w:tcPr>
            <w:tcW w:w="326" w:type="pct"/>
            <w:vMerge w:val="continue"/>
          </w:tcPr>
          <w:p w14:paraId="3F8F4EB9">
            <w:pPr>
              <w:adjustRightInd w:val="0"/>
              <w:snapToGrid w:val="0"/>
              <w:spacing w:line="320" w:lineRule="exact"/>
              <w:jc w:val="center"/>
              <w:rPr>
                <w:rFonts w:eastAsia="仿宋_GB2312"/>
                <w:bCs/>
                <w:color w:val="FF0000"/>
                <w:szCs w:val="21"/>
              </w:rPr>
            </w:pPr>
          </w:p>
        </w:tc>
        <w:tc>
          <w:tcPr>
            <w:tcW w:w="324" w:type="pct"/>
            <w:vMerge w:val="continue"/>
          </w:tcPr>
          <w:p w14:paraId="4EFDF524">
            <w:pPr>
              <w:adjustRightInd w:val="0"/>
              <w:snapToGrid w:val="0"/>
              <w:spacing w:line="320" w:lineRule="exact"/>
              <w:jc w:val="center"/>
              <w:rPr>
                <w:rFonts w:eastAsia="仿宋_GB2312"/>
                <w:bCs/>
                <w:color w:val="FF0000"/>
                <w:szCs w:val="21"/>
              </w:rPr>
            </w:pPr>
          </w:p>
        </w:tc>
      </w:tr>
      <w:tr w14:paraId="401A5B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09" w:type="pct"/>
            <w:vMerge w:val="continue"/>
          </w:tcPr>
          <w:p w14:paraId="19A6FBE2">
            <w:pPr>
              <w:adjustRightInd w:val="0"/>
              <w:snapToGrid w:val="0"/>
              <w:spacing w:line="320" w:lineRule="exact"/>
              <w:jc w:val="center"/>
              <w:rPr>
                <w:rFonts w:eastAsia="仿宋_GB2312"/>
                <w:bCs/>
                <w:color w:val="FF0000"/>
                <w:szCs w:val="21"/>
              </w:rPr>
            </w:pPr>
          </w:p>
        </w:tc>
        <w:tc>
          <w:tcPr>
            <w:tcW w:w="586" w:type="pct"/>
            <w:vMerge w:val="continue"/>
          </w:tcPr>
          <w:p w14:paraId="135AB1C4">
            <w:pPr>
              <w:jc w:val="center"/>
              <w:rPr>
                <w:rFonts w:eastAsia="仿宋_GB2312"/>
                <w:color w:val="FF0000"/>
                <w:szCs w:val="21"/>
              </w:rPr>
            </w:pPr>
          </w:p>
        </w:tc>
        <w:tc>
          <w:tcPr>
            <w:tcW w:w="820" w:type="pct"/>
            <w:shd w:val="clear" w:color="auto" w:fill="auto"/>
            <w:vAlign w:val="center"/>
          </w:tcPr>
          <w:p w14:paraId="5E2B2B80">
            <w:pPr>
              <w:adjustRightInd w:val="0"/>
              <w:snapToGrid w:val="0"/>
              <w:spacing w:line="320" w:lineRule="exact"/>
              <w:jc w:val="center"/>
              <w:rPr>
                <w:rFonts w:hint="eastAsia" w:ascii="Times New Roman" w:hAnsi="Times New Roman" w:eastAsia="仿宋_GB2312" w:cs="Times New Roman"/>
                <w:color w:val="auto"/>
                <w:kern w:val="2"/>
                <w:sz w:val="21"/>
                <w:szCs w:val="21"/>
                <w:lang w:val="en-US" w:eastAsia="zh-CN" w:bidi="ar-SA"/>
              </w:rPr>
            </w:pPr>
            <w:r>
              <w:rPr>
                <w:rFonts w:hint="eastAsia" w:eastAsia="仿宋_GB2312"/>
                <w:color w:val="auto"/>
                <w:szCs w:val="21"/>
                <w:lang w:val="en-US" w:eastAsia="zh-CN"/>
              </w:rPr>
              <w:t>苯系物</w:t>
            </w:r>
          </w:p>
        </w:tc>
        <w:tc>
          <w:tcPr>
            <w:tcW w:w="0" w:type="auto"/>
            <w:shd w:val="clear" w:color="auto" w:fill="auto"/>
            <w:vAlign w:val="center"/>
          </w:tcPr>
          <w:p w14:paraId="37759F55">
            <w:pPr>
              <w:adjustRightInd w:val="0"/>
              <w:snapToGrid w:val="0"/>
              <w:spacing w:line="320" w:lineRule="exact"/>
              <w:jc w:val="center"/>
              <w:rPr>
                <w:rFonts w:hint="eastAsia"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7.79</w:t>
            </w:r>
          </w:p>
        </w:tc>
        <w:tc>
          <w:tcPr>
            <w:tcW w:w="0" w:type="auto"/>
            <w:shd w:val="clear" w:color="auto" w:fill="auto"/>
            <w:vAlign w:val="center"/>
          </w:tcPr>
          <w:p w14:paraId="3BCD026C">
            <w:pPr>
              <w:adjustRightInd w:val="0"/>
              <w:snapToGrid w:val="0"/>
              <w:spacing w:line="320" w:lineRule="exact"/>
              <w:jc w:val="center"/>
              <w:rPr>
                <w:rFonts w:hint="eastAsia"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0.30</w:t>
            </w:r>
          </w:p>
        </w:tc>
        <w:tc>
          <w:tcPr>
            <w:tcW w:w="0" w:type="auto"/>
            <w:shd w:val="clear" w:color="auto" w:fill="auto"/>
            <w:vAlign w:val="center"/>
          </w:tcPr>
          <w:p w14:paraId="2BB00A38">
            <w:pPr>
              <w:adjustRightInd w:val="0"/>
              <w:snapToGrid w:val="0"/>
              <w:spacing w:line="320" w:lineRule="exact"/>
              <w:jc w:val="center"/>
              <w:rPr>
                <w:rFonts w:hint="default" w:ascii="Times New Roman" w:hAnsi="Times New Roman" w:eastAsia="仿宋_GB2312" w:cs="Times New Roman"/>
                <w:bCs/>
                <w:color w:val="auto"/>
                <w:kern w:val="2"/>
                <w:sz w:val="21"/>
                <w:szCs w:val="21"/>
                <w:lang w:val="en-US" w:eastAsia="zh-CN" w:bidi="ar-SA"/>
              </w:rPr>
            </w:pPr>
            <w:r>
              <w:rPr>
                <w:rFonts w:hint="eastAsia" w:eastAsia="仿宋_GB2312"/>
                <w:bCs/>
                <w:color w:val="auto"/>
                <w:szCs w:val="21"/>
                <w:lang w:val="en-US" w:eastAsia="zh-CN"/>
              </w:rPr>
              <w:t>25</w:t>
            </w:r>
          </w:p>
        </w:tc>
        <w:tc>
          <w:tcPr>
            <w:tcW w:w="0" w:type="auto"/>
            <w:shd w:val="clear" w:color="auto" w:fill="auto"/>
            <w:vAlign w:val="center"/>
          </w:tcPr>
          <w:p w14:paraId="5326B72C">
            <w:pPr>
              <w:adjustRightInd w:val="0"/>
              <w:snapToGrid w:val="0"/>
              <w:spacing w:line="320" w:lineRule="exact"/>
              <w:jc w:val="center"/>
              <w:rPr>
                <w:rFonts w:hint="default" w:ascii="Times New Roman" w:hAnsi="Times New Roman" w:eastAsia="仿宋_GB2312" w:cs="Times New Roman"/>
                <w:bCs/>
                <w:color w:val="auto"/>
                <w:kern w:val="2"/>
                <w:sz w:val="21"/>
                <w:szCs w:val="21"/>
                <w:lang w:val="en-US" w:eastAsia="zh-CN" w:bidi="ar-SA"/>
              </w:rPr>
            </w:pPr>
            <w:r>
              <w:rPr>
                <w:rFonts w:hint="eastAsia" w:eastAsia="仿宋_GB2312"/>
                <w:bCs/>
                <w:color w:val="auto"/>
                <w:szCs w:val="21"/>
                <w:lang w:val="en-US" w:eastAsia="zh-CN"/>
              </w:rPr>
              <w:t>1.6</w:t>
            </w:r>
          </w:p>
        </w:tc>
        <w:tc>
          <w:tcPr>
            <w:tcW w:w="408" w:type="pct"/>
            <w:vMerge w:val="continue"/>
          </w:tcPr>
          <w:p w14:paraId="364F5C01">
            <w:pPr>
              <w:adjustRightInd w:val="0"/>
              <w:snapToGrid w:val="0"/>
              <w:spacing w:line="320" w:lineRule="exact"/>
              <w:jc w:val="center"/>
              <w:rPr>
                <w:rFonts w:eastAsia="仿宋_GB2312"/>
                <w:bCs/>
                <w:color w:val="FF0000"/>
                <w:szCs w:val="21"/>
              </w:rPr>
            </w:pPr>
          </w:p>
        </w:tc>
        <w:tc>
          <w:tcPr>
            <w:tcW w:w="326" w:type="pct"/>
            <w:vMerge w:val="continue"/>
          </w:tcPr>
          <w:p w14:paraId="26F17498">
            <w:pPr>
              <w:adjustRightInd w:val="0"/>
              <w:snapToGrid w:val="0"/>
              <w:spacing w:line="320" w:lineRule="exact"/>
              <w:jc w:val="center"/>
              <w:rPr>
                <w:rFonts w:eastAsia="仿宋_GB2312"/>
                <w:bCs/>
                <w:color w:val="FF0000"/>
                <w:szCs w:val="21"/>
              </w:rPr>
            </w:pPr>
          </w:p>
        </w:tc>
        <w:tc>
          <w:tcPr>
            <w:tcW w:w="324" w:type="pct"/>
            <w:vMerge w:val="continue"/>
          </w:tcPr>
          <w:p w14:paraId="42677203">
            <w:pPr>
              <w:adjustRightInd w:val="0"/>
              <w:snapToGrid w:val="0"/>
              <w:spacing w:line="320" w:lineRule="exact"/>
              <w:jc w:val="center"/>
              <w:rPr>
                <w:rFonts w:eastAsia="仿宋_GB2312"/>
                <w:bCs/>
                <w:color w:val="FF0000"/>
                <w:szCs w:val="21"/>
              </w:rPr>
            </w:pPr>
          </w:p>
        </w:tc>
      </w:tr>
      <w:tr w14:paraId="5BC617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09" w:type="pct"/>
            <w:vMerge w:val="continue"/>
          </w:tcPr>
          <w:p w14:paraId="3CA166DD">
            <w:pPr>
              <w:adjustRightInd w:val="0"/>
              <w:snapToGrid w:val="0"/>
              <w:spacing w:line="320" w:lineRule="exact"/>
              <w:jc w:val="center"/>
              <w:rPr>
                <w:rFonts w:eastAsia="仿宋_GB2312"/>
                <w:bCs/>
                <w:color w:val="FF0000"/>
                <w:szCs w:val="21"/>
              </w:rPr>
            </w:pPr>
          </w:p>
        </w:tc>
        <w:tc>
          <w:tcPr>
            <w:tcW w:w="586" w:type="pct"/>
            <w:vMerge w:val="continue"/>
          </w:tcPr>
          <w:p w14:paraId="35E9E3FB">
            <w:pPr>
              <w:jc w:val="center"/>
              <w:rPr>
                <w:rFonts w:eastAsia="仿宋_GB2312"/>
                <w:color w:val="FF0000"/>
                <w:szCs w:val="21"/>
              </w:rPr>
            </w:pPr>
          </w:p>
        </w:tc>
        <w:tc>
          <w:tcPr>
            <w:tcW w:w="820" w:type="pct"/>
            <w:shd w:val="clear" w:color="auto" w:fill="auto"/>
            <w:vAlign w:val="center"/>
          </w:tcPr>
          <w:p w14:paraId="52C165AC">
            <w:pPr>
              <w:adjustRightInd w:val="0"/>
              <w:snapToGrid w:val="0"/>
              <w:spacing w:line="320" w:lineRule="exact"/>
              <w:jc w:val="center"/>
              <w:rPr>
                <w:rFonts w:ascii="Times New Roman" w:hAnsi="Times New Roman" w:eastAsia="仿宋_GB2312" w:cs="Times New Roman"/>
                <w:bCs/>
                <w:color w:val="auto"/>
                <w:kern w:val="2"/>
                <w:sz w:val="21"/>
                <w:szCs w:val="21"/>
                <w:lang w:val="en-US" w:eastAsia="zh-CN" w:bidi="ar-SA"/>
              </w:rPr>
            </w:pPr>
            <w:r>
              <w:rPr>
                <w:rFonts w:eastAsia="仿宋_GB2312"/>
                <w:bCs/>
                <w:color w:val="auto"/>
                <w:szCs w:val="21"/>
              </w:rPr>
              <w:t>非甲烷总烃</w:t>
            </w:r>
          </w:p>
        </w:tc>
        <w:tc>
          <w:tcPr>
            <w:tcW w:w="0" w:type="auto"/>
            <w:shd w:val="clear" w:color="auto" w:fill="auto"/>
            <w:vAlign w:val="center"/>
          </w:tcPr>
          <w:p w14:paraId="78D7243F">
            <w:pPr>
              <w:adjustRightInd w:val="0"/>
              <w:snapToGrid w:val="0"/>
              <w:spacing w:line="320" w:lineRule="exact"/>
              <w:jc w:val="center"/>
              <w:rPr>
                <w:rFonts w:hint="eastAsia"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35.55</w:t>
            </w:r>
          </w:p>
        </w:tc>
        <w:tc>
          <w:tcPr>
            <w:tcW w:w="0" w:type="auto"/>
            <w:shd w:val="clear" w:color="auto" w:fill="auto"/>
            <w:vAlign w:val="center"/>
          </w:tcPr>
          <w:p w14:paraId="6FACE828">
            <w:pPr>
              <w:adjustRightInd w:val="0"/>
              <w:snapToGrid w:val="0"/>
              <w:spacing w:line="320" w:lineRule="exact"/>
              <w:jc w:val="center"/>
              <w:rPr>
                <w:rFonts w:hint="eastAsia"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1.35</w:t>
            </w:r>
          </w:p>
        </w:tc>
        <w:tc>
          <w:tcPr>
            <w:tcW w:w="0" w:type="auto"/>
            <w:shd w:val="clear" w:color="auto" w:fill="auto"/>
            <w:vAlign w:val="center"/>
          </w:tcPr>
          <w:p w14:paraId="4A43BA63">
            <w:pPr>
              <w:adjustRightInd w:val="0"/>
              <w:snapToGrid w:val="0"/>
              <w:spacing w:line="320" w:lineRule="exact"/>
              <w:jc w:val="center"/>
              <w:rPr>
                <w:rFonts w:ascii="Times New Roman" w:hAnsi="Times New Roman" w:eastAsia="仿宋_GB2312" w:cs="Times New Roman"/>
                <w:bCs/>
                <w:color w:val="auto"/>
                <w:kern w:val="2"/>
                <w:sz w:val="21"/>
                <w:szCs w:val="21"/>
                <w:lang w:val="en-US" w:eastAsia="zh-CN" w:bidi="ar-SA"/>
              </w:rPr>
            </w:pPr>
            <w:r>
              <w:rPr>
                <w:rFonts w:eastAsia="仿宋_GB2312"/>
                <w:bCs/>
                <w:color w:val="auto"/>
                <w:szCs w:val="21"/>
              </w:rPr>
              <w:t>60</w:t>
            </w:r>
          </w:p>
        </w:tc>
        <w:tc>
          <w:tcPr>
            <w:tcW w:w="0" w:type="auto"/>
            <w:shd w:val="clear" w:color="auto" w:fill="auto"/>
            <w:vAlign w:val="center"/>
          </w:tcPr>
          <w:p w14:paraId="79B66469">
            <w:pPr>
              <w:adjustRightInd w:val="0"/>
              <w:snapToGrid w:val="0"/>
              <w:spacing w:line="320" w:lineRule="exact"/>
              <w:jc w:val="center"/>
              <w:rPr>
                <w:rFonts w:ascii="Times New Roman" w:hAnsi="Times New Roman" w:eastAsia="仿宋_GB2312" w:cs="Times New Roman"/>
                <w:bCs/>
                <w:color w:val="auto"/>
                <w:kern w:val="2"/>
                <w:sz w:val="21"/>
                <w:szCs w:val="21"/>
                <w:lang w:val="en-US" w:eastAsia="zh-CN" w:bidi="ar-SA"/>
              </w:rPr>
            </w:pPr>
            <w:r>
              <w:rPr>
                <w:rFonts w:eastAsia="仿宋_GB2312"/>
                <w:bCs/>
                <w:color w:val="auto"/>
                <w:szCs w:val="21"/>
              </w:rPr>
              <w:t>3</w:t>
            </w:r>
          </w:p>
        </w:tc>
        <w:tc>
          <w:tcPr>
            <w:tcW w:w="408" w:type="pct"/>
            <w:vMerge w:val="continue"/>
          </w:tcPr>
          <w:p w14:paraId="32BEA134">
            <w:pPr>
              <w:adjustRightInd w:val="0"/>
              <w:snapToGrid w:val="0"/>
              <w:spacing w:line="320" w:lineRule="exact"/>
              <w:jc w:val="center"/>
              <w:rPr>
                <w:rFonts w:eastAsia="仿宋_GB2312"/>
                <w:bCs/>
                <w:color w:val="FF0000"/>
                <w:szCs w:val="21"/>
              </w:rPr>
            </w:pPr>
          </w:p>
        </w:tc>
        <w:tc>
          <w:tcPr>
            <w:tcW w:w="326" w:type="pct"/>
            <w:vMerge w:val="continue"/>
          </w:tcPr>
          <w:p w14:paraId="61B47070">
            <w:pPr>
              <w:adjustRightInd w:val="0"/>
              <w:snapToGrid w:val="0"/>
              <w:spacing w:line="320" w:lineRule="exact"/>
              <w:jc w:val="center"/>
              <w:rPr>
                <w:rFonts w:eastAsia="仿宋_GB2312"/>
                <w:bCs/>
                <w:color w:val="FF0000"/>
                <w:szCs w:val="21"/>
              </w:rPr>
            </w:pPr>
          </w:p>
        </w:tc>
        <w:tc>
          <w:tcPr>
            <w:tcW w:w="324" w:type="pct"/>
            <w:vMerge w:val="continue"/>
          </w:tcPr>
          <w:p w14:paraId="269B3BE7">
            <w:pPr>
              <w:adjustRightInd w:val="0"/>
              <w:snapToGrid w:val="0"/>
              <w:spacing w:line="320" w:lineRule="exact"/>
              <w:jc w:val="center"/>
              <w:rPr>
                <w:rFonts w:eastAsia="仿宋_GB2312"/>
                <w:bCs/>
                <w:color w:val="FF0000"/>
                <w:szCs w:val="21"/>
              </w:rPr>
            </w:pPr>
          </w:p>
        </w:tc>
      </w:tr>
      <w:tr w14:paraId="284314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09" w:type="pct"/>
            <w:vMerge w:val="continue"/>
          </w:tcPr>
          <w:p w14:paraId="7F7855EC">
            <w:pPr>
              <w:adjustRightInd w:val="0"/>
              <w:snapToGrid w:val="0"/>
              <w:spacing w:line="320" w:lineRule="exact"/>
              <w:jc w:val="center"/>
              <w:rPr>
                <w:rFonts w:eastAsia="仿宋_GB2312"/>
                <w:bCs/>
                <w:color w:val="FF0000"/>
                <w:szCs w:val="21"/>
              </w:rPr>
            </w:pPr>
          </w:p>
        </w:tc>
        <w:tc>
          <w:tcPr>
            <w:tcW w:w="586" w:type="pct"/>
            <w:vMerge w:val="continue"/>
          </w:tcPr>
          <w:p w14:paraId="76060D25">
            <w:pPr>
              <w:jc w:val="center"/>
              <w:rPr>
                <w:rFonts w:eastAsia="仿宋_GB2312"/>
                <w:color w:val="FF0000"/>
                <w:szCs w:val="21"/>
              </w:rPr>
            </w:pPr>
          </w:p>
        </w:tc>
        <w:tc>
          <w:tcPr>
            <w:tcW w:w="820" w:type="pct"/>
            <w:shd w:val="clear" w:color="auto" w:fill="auto"/>
            <w:vAlign w:val="center"/>
          </w:tcPr>
          <w:p w14:paraId="59E827AF">
            <w:pPr>
              <w:adjustRightInd w:val="0"/>
              <w:snapToGrid w:val="0"/>
              <w:spacing w:line="320" w:lineRule="exact"/>
              <w:jc w:val="center"/>
              <w:rPr>
                <w:rFonts w:ascii="Times New Roman" w:hAnsi="Times New Roman" w:eastAsia="仿宋_GB2312" w:cs="Times New Roman"/>
                <w:bCs/>
                <w:color w:val="auto"/>
                <w:kern w:val="2"/>
                <w:sz w:val="21"/>
                <w:szCs w:val="21"/>
                <w:lang w:val="en-US" w:eastAsia="zh-CN" w:bidi="ar-SA"/>
              </w:rPr>
            </w:pPr>
            <w:r>
              <w:rPr>
                <w:rFonts w:eastAsia="仿宋_GB2312"/>
                <w:bCs/>
                <w:color w:val="auto"/>
                <w:szCs w:val="21"/>
              </w:rPr>
              <w:t>VOCs</w:t>
            </w:r>
          </w:p>
        </w:tc>
        <w:tc>
          <w:tcPr>
            <w:tcW w:w="0" w:type="auto"/>
            <w:shd w:val="clear" w:color="auto" w:fill="auto"/>
            <w:vAlign w:val="center"/>
          </w:tcPr>
          <w:p w14:paraId="021B2F15">
            <w:pPr>
              <w:adjustRightInd w:val="0"/>
              <w:snapToGrid w:val="0"/>
              <w:spacing w:line="320" w:lineRule="exact"/>
              <w:jc w:val="center"/>
              <w:rPr>
                <w:rFonts w:hint="eastAsia"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63.85</w:t>
            </w:r>
          </w:p>
        </w:tc>
        <w:tc>
          <w:tcPr>
            <w:tcW w:w="0" w:type="auto"/>
            <w:shd w:val="clear" w:color="auto" w:fill="auto"/>
            <w:vAlign w:val="center"/>
          </w:tcPr>
          <w:p w14:paraId="080692BE">
            <w:pPr>
              <w:adjustRightInd w:val="0"/>
              <w:snapToGrid w:val="0"/>
              <w:spacing w:line="320" w:lineRule="exact"/>
              <w:jc w:val="center"/>
              <w:rPr>
                <w:rFonts w:hint="eastAsia"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Cs w:val="21"/>
                <w:lang w:val="en-US" w:eastAsia="zh-CN"/>
              </w:rPr>
              <w:t>2.43</w:t>
            </w:r>
          </w:p>
        </w:tc>
        <w:tc>
          <w:tcPr>
            <w:tcW w:w="0" w:type="auto"/>
            <w:shd w:val="clear" w:color="auto" w:fill="auto"/>
            <w:vAlign w:val="center"/>
          </w:tcPr>
          <w:p w14:paraId="4212F140">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b/>
                <w:bCs/>
                <w:color w:val="auto"/>
                <w:szCs w:val="21"/>
              </w:rPr>
              <w:t>/</w:t>
            </w:r>
          </w:p>
        </w:tc>
        <w:tc>
          <w:tcPr>
            <w:tcW w:w="0" w:type="auto"/>
            <w:shd w:val="clear" w:color="auto" w:fill="auto"/>
            <w:vAlign w:val="center"/>
          </w:tcPr>
          <w:p w14:paraId="34808856">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b/>
                <w:bCs/>
                <w:color w:val="auto"/>
                <w:szCs w:val="21"/>
              </w:rPr>
              <w:t>/</w:t>
            </w:r>
          </w:p>
        </w:tc>
        <w:tc>
          <w:tcPr>
            <w:tcW w:w="408" w:type="pct"/>
            <w:vMerge w:val="continue"/>
          </w:tcPr>
          <w:p w14:paraId="794E1FAD">
            <w:pPr>
              <w:adjustRightInd w:val="0"/>
              <w:snapToGrid w:val="0"/>
              <w:spacing w:line="320" w:lineRule="exact"/>
              <w:jc w:val="center"/>
              <w:rPr>
                <w:rFonts w:eastAsia="仿宋_GB2312"/>
                <w:bCs/>
                <w:color w:val="FF0000"/>
                <w:szCs w:val="21"/>
              </w:rPr>
            </w:pPr>
          </w:p>
        </w:tc>
        <w:tc>
          <w:tcPr>
            <w:tcW w:w="326" w:type="pct"/>
            <w:vMerge w:val="continue"/>
          </w:tcPr>
          <w:p w14:paraId="2E4E1DF7">
            <w:pPr>
              <w:adjustRightInd w:val="0"/>
              <w:snapToGrid w:val="0"/>
              <w:spacing w:line="320" w:lineRule="exact"/>
              <w:jc w:val="center"/>
              <w:rPr>
                <w:rFonts w:eastAsia="仿宋_GB2312"/>
                <w:bCs/>
                <w:color w:val="FF0000"/>
                <w:szCs w:val="21"/>
              </w:rPr>
            </w:pPr>
          </w:p>
        </w:tc>
        <w:tc>
          <w:tcPr>
            <w:tcW w:w="324" w:type="pct"/>
            <w:vMerge w:val="continue"/>
          </w:tcPr>
          <w:p w14:paraId="4041093C">
            <w:pPr>
              <w:adjustRightInd w:val="0"/>
              <w:snapToGrid w:val="0"/>
              <w:spacing w:line="320" w:lineRule="exact"/>
              <w:jc w:val="center"/>
              <w:rPr>
                <w:rFonts w:eastAsia="仿宋_GB2312"/>
                <w:bCs/>
                <w:color w:val="FF0000"/>
                <w:szCs w:val="21"/>
              </w:rPr>
            </w:pPr>
          </w:p>
        </w:tc>
      </w:tr>
    </w:tbl>
    <w:p w14:paraId="2EBE0475">
      <w:pPr>
        <w:spacing w:line="500" w:lineRule="exact"/>
        <w:jc w:val="center"/>
        <w:rPr>
          <w:rFonts w:eastAsia="仿宋_GB2312"/>
          <w:b/>
          <w:color w:val="FF0000"/>
          <w:sz w:val="24"/>
        </w:rPr>
      </w:pPr>
    </w:p>
    <w:p w14:paraId="798183B0">
      <w:pPr>
        <w:pStyle w:val="2"/>
      </w:pPr>
    </w:p>
    <w:p w14:paraId="4226C5A2">
      <w:pPr>
        <w:pStyle w:val="2"/>
      </w:pPr>
    </w:p>
    <w:p w14:paraId="795A8835">
      <w:pPr>
        <w:adjustRightInd w:val="0"/>
        <w:snapToGrid w:val="0"/>
        <w:spacing w:line="500" w:lineRule="exact"/>
        <w:ind w:firstLine="562" w:firstLineChars="200"/>
        <w:rPr>
          <w:rFonts w:eastAsia="仿宋_GB2312"/>
          <w:b/>
          <w:color w:val="FF0000"/>
          <w:sz w:val="28"/>
          <w:szCs w:val="28"/>
        </w:rPr>
      </w:pPr>
    </w:p>
    <w:p w14:paraId="212856D6">
      <w:pPr>
        <w:adjustRightInd w:val="0"/>
        <w:snapToGrid w:val="0"/>
        <w:spacing w:line="500" w:lineRule="exact"/>
        <w:ind w:firstLine="560" w:firstLineChars="200"/>
        <w:rPr>
          <w:rFonts w:eastAsia="仿宋_GB2312"/>
          <w:color w:val="FF0000"/>
          <w:sz w:val="28"/>
          <w:szCs w:val="28"/>
        </w:rPr>
        <w:sectPr>
          <w:pgSz w:w="16838" w:h="11906" w:orient="landscape"/>
          <w:pgMar w:top="1440" w:right="1800" w:bottom="1440" w:left="1800" w:header="851" w:footer="992" w:gutter="0"/>
          <w:pgBorders>
            <w:top w:val="none" w:sz="0" w:space="0"/>
            <w:left w:val="none" w:sz="0" w:space="0"/>
            <w:bottom w:val="none" w:sz="0" w:space="0"/>
            <w:right w:val="none" w:sz="0" w:space="0"/>
          </w:pgBorders>
          <w:pgNumType w:fmt="decimal"/>
          <w:cols w:space="720" w:num="1"/>
          <w:docGrid w:linePitch="286" w:charSpace="0"/>
        </w:sectPr>
      </w:pPr>
    </w:p>
    <w:p w14:paraId="239813B4">
      <w:pPr>
        <w:spacing w:line="500" w:lineRule="exact"/>
        <w:outlineLvl w:val="3"/>
        <w:rPr>
          <w:rFonts w:eastAsia="仿宋_GB2312"/>
          <w:b/>
          <w:bCs/>
          <w:color w:val="auto"/>
          <w:sz w:val="28"/>
          <w:szCs w:val="28"/>
        </w:rPr>
      </w:pPr>
      <w:r>
        <w:rPr>
          <w:rFonts w:eastAsia="仿宋_GB2312"/>
          <w:b/>
          <w:bCs/>
          <w:color w:val="auto"/>
          <w:sz w:val="28"/>
          <w:szCs w:val="28"/>
        </w:rPr>
        <w:t>3.</w:t>
      </w:r>
      <w:r>
        <w:rPr>
          <w:rFonts w:hint="eastAsia" w:eastAsia="仿宋_GB2312"/>
          <w:b/>
          <w:bCs/>
          <w:color w:val="auto"/>
          <w:sz w:val="28"/>
          <w:szCs w:val="28"/>
          <w:lang w:val="en-US" w:eastAsia="zh-CN"/>
        </w:rPr>
        <w:t>9</w:t>
      </w:r>
      <w:r>
        <w:rPr>
          <w:rFonts w:eastAsia="仿宋_GB2312"/>
          <w:b/>
          <w:bCs/>
          <w:color w:val="auto"/>
          <w:sz w:val="28"/>
          <w:szCs w:val="28"/>
        </w:rPr>
        <w:t>.1.2正常工况下无组织废气源强</w:t>
      </w:r>
    </w:p>
    <w:p w14:paraId="1C38B091">
      <w:pPr>
        <w:spacing w:line="500" w:lineRule="exact"/>
        <w:ind w:firstLine="840" w:firstLineChars="300"/>
        <w:rPr>
          <w:rFonts w:eastAsia="仿宋_GB2312"/>
          <w:bCs/>
          <w:color w:val="auto"/>
          <w:sz w:val="28"/>
          <w:szCs w:val="28"/>
        </w:rPr>
      </w:pPr>
      <w:r>
        <w:rPr>
          <w:rFonts w:eastAsia="仿宋_GB2312"/>
          <w:color w:val="auto"/>
          <w:kern w:val="0"/>
          <w:sz w:val="28"/>
          <w:szCs w:val="28"/>
        </w:rPr>
        <w:t>本项目正常工况下无组织废气的产生及排放情况</w:t>
      </w:r>
      <w:r>
        <w:rPr>
          <w:rFonts w:eastAsia="仿宋_GB2312"/>
          <w:color w:val="auto"/>
          <w:kern w:val="0"/>
          <w:sz w:val="28"/>
          <w:szCs w:val="21"/>
        </w:rPr>
        <w:t>见</w:t>
      </w:r>
      <w:r>
        <w:rPr>
          <w:rFonts w:eastAsia="仿宋_GB2312"/>
          <w:bCs/>
          <w:color w:val="auto"/>
          <w:sz w:val="28"/>
          <w:szCs w:val="28"/>
        </w:rPr>
        <w:t>表3.</w:t>
      </w:r>
      <w:r>
        <w:rPr>
          <w:rFonts w:hint="eastAsia" w:eastAsia="仿宋_GB2312"/>
          <w:bCs/>
          <w:color w:val="auto"/>
          <w:sz w:val="28"/>
          <w:szCs w:val="28"/>
          <w:lang w:val="en-US" w:eastAsia="zh-CN"/>
        </w:rPr>
        <w:t>9</w:t>
      </w:r>
      <w:r>
        <w:rPr>
          <w:rFonts w:eastAsia="仿宋_GB2312"/>
          <w:bCs/>
          <w:color w:val="auto"/>
          <w:sz w:val="28"/>
          <w:szCs w:val="28"/>
        </w:rPr>
        <w:t>-4。</w:t>
      </w:r>
    </w:p>
    <w:p w14:paraId="45DA6BCA">
      <w:pPr>
        <w:spacing w:line="500" w:lineRule="exact"/>
        <w:jc w:val="center"/>
        <w:rPr>
          <w:rFonts w:eastAsia="仿宋_GB2312"/>
          <w:b/>
          <w:color w:val="auto"/>
          <w:sz w:val="24"/>
        </w:rPr>
      </w:pPr>
      <w:r>
        <w:rPr>
          <w:rFonts w:eastAsia="仿宋_GB2312"/>
          <w:b/>
          <w:color w:val="auto"/>
          <w:sz w:val="24"/>
        </w:rPr>
        <w:t>表3.</w:t>
      </w:r>
      <w:r>
        <w:rPr>
          <w:rFonts w:hint="eastAsia" w:eastAsia="仿宋_GB2312"/>
          <w:b/>
          <w:color w:val="auto"/>
          <w:sz w:val="24"/>
          <w:lang w:val="en-US" w:eastAsia="zh-CN"/>
        </w:rPr>
        <w:t>9</w:t>
      </w:r>
      <w:r>
        <w:rPr>
          <w:rFonts w:eastAsia="仿宋_GB2312"/>
          <w:b/>
          <w:color w:val="auto"/>
          <w:sz w:val="24"/>
        </w:rPr>
        <w:t>-4  本项目无组织废气产生及排放情况表</w:t>
      </w:r>
    </w:p>
    <w:tbl>
      <w:tblPr>
        <w:tblStyle w:val="89"/>
        <w:tblW w:w="4998"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387"/>
        <w:gridCol w:w="1243"/>
        <w:gridCol w:w="1454"/>
        <w:gridCol w:w="2551"/>
        <w:gridCol w:w="1884"/>
      </w:tblGrid>
      <w:tr w14:paraId="278CDF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Align w:val="center"/>
          </w:tcPr>
          <w:p w14:paraId="6765F84D">
            <w:pPr>
              <w:jc w:val="center"/>
              <w:rPr>
                <w:rFonts w:eastAsia="仿宋_GB2312"/>
                <w:b/>
                <w:bCs/>
                <w:color w:val="auto"/>
              </w:rPr>
            </w:pPr>
            <w:r>
              <w:rPr>
                <w:rFonts w:eastAsia="仿宋_GB2312"/>
                <w:b/>
                <w:bCs/>
                <w:color w:val="auto"/>
              </w:rPr>
              <w:t>车间名称</w:t>
            </w:r>
          </w:p>
        </w:tc>
        <w:tc>
          <w:tcPr>
            <w:tcW w:w="729" w:type="pct"/>
            <w:vAlign w:val="center"/>
          </w:tcPr>
          <w:p w14:paraId="13658F45">
            <w:pPr>
              <w:jc w:val="center"/>
              <w:rPr>
                <w:rFonts w:eastAsia="仿宋_GB2312"/>
                <w:b/>
                <w:bCs/>
                <w:color w:val="auto"/>
              </w:rPr>
            </w:pPr>
            <w:r>
              <w:rPr>
                <w:rFonts w:eastAsia="仿宋_GB2312"/>
                <w:b/>
                <w:bCs/>
                <w:color w:val="auto"/>
              </w:rPr>
              <w:t>废气编号</w:t>
            </w:r>
          </w:p>
        </w:tc>
        <w:tc>
          <w:tcPr>
            <w:tcW w:w="853" w:type="pct"/>
            <w:vAlign w:val="center"/>
          </w:tcPr>
          <w:p w14:paraId="3A35FAB2">
            <w:pPr>
              <w:jc w:val="center"/>
              <w:rPr>
                <w:rFonts w:eastAsia="仿宋_GB2312"/>
                <w:b/>
                <w:bCs/>
                <w:color w:val="auto"/>
              </w:rPr>
            </w:pPr>
            <w:r>
              <w:rPr>
                <w:rFonts w:eastAsia="仿宋_GB2312"/>
                <w:b/>
                <w:bCs/>
                <w:color w:val="auto"/>
              </w:rPr>
              <w:t>污染源位置或工序</w:t>
            </w:r>
          </w:p>
        </w:tc>
        <w:tc>
          <w:tcPr>
            <w:tcW w:w="1497" w:type="pct"/>
            <w:vAlign w:val="center"/>
          </w:tcPr>
          <w:p w14:paraId="43DF5415">
            <w:pPr>
              <w:jc w:val="center"/>
              <w:rPr>
                <w:rFonts w:eastAsia="仿宋_GB2312"/>
                <w:b/>
                <w:bCs/>
                <w:color w:val="auto"/>
              </w:rPr>
            </w:pPr>
            <w:r>
              <w:rPr>
                <w:rFonts w:eastAsia="仿宋_GB2312"/>
                <w:b/>
                <w:bCs/>
                <w:color w:val="auto"/>
              </w:rPr>
              <w:t>污染物名称</w:t>
            </w:r>
          </w:p>
        </w:tc>
        <w:tc>
          <w:tcPr>
            <w:tcW w:w="1105" w:type="pct"/>
            <w:vAlign w:val="center"/>
          </w:tcPr>
          <w:p w14:paraId="69A9862A">
            <w:pPr>
              <w:jc w:val="center"/>
              <w:rPr>
                <w:rFonts w:eastAsia="仿宋_GB2312"/>
                <w:b/>
                <w:bCs/>
                <w:color w:val="auto"/>
              </w:rPr>
            </w:pPr>
            <w:r>
              <w:rPr>
                <w:rFonts w:eastAsia="仿宋_GB2312"/>
                <w:b/>
                <w:bCs/>
                <w:color w:val="auto"/>
              </w:rPr>
              <w:t>产生量（t/a）</w:t>
            </w:r>
          </w:p>
        </w:tc>
      </w:tr>
      <w:tr w14:paraId="6658DC2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340" w:hRule="atLeast"/>
          <w:tblHeader/>
          <w:jc w:val="center"/>
        </w:trPr>
        <w:tc>
          <w:tcPr>
            <w:tcW w:w="814" w:type="pct"/>
            <w:vMerge w:val="restart"/>
            <w:vAlign w:val="center"/>
          </w:tcPr>
          <w:p w14:paraId="440C3CE3">
            <w:pPr>
              <w:jc w:val="center"/>
              <w:rPr>
                <w:rFonts w:eastAsia="仿宋_GB2312"/>
                <w:b/>
                <w:bCs/>
                <w:color w:val="auto"/>
              </w:rPr>
            </w:pPr>
            <w:bookmarkStart w:id="62" w:name="_Hlk143956438"/>
            <w:r>
              <w:rPr>
                <w:rFonts w:eastAsia="仿宋_GB2312"/>
                <w:color w:val="auto"/>
              </w:rPr>
              <w:t>B-7车间</w:t>
            </w:r>
          </w:p>
        </w:tc>
        <w:tc>
          <w:tcPr>
            <w:tcW w:w="729" w:type="pct"/>
            <w:vMerge w:val="restart"/>
            <w:vAlign w:val="center"/>
          </w:tcPr>
          <w:p w14:paraId="35F24805">
            <w:pPr>
              <w:keepNext w:val="0"/>
              <w:keepLines w:val="0"/>
              <w:widowControl/>
              <w:suppressLineNumbers w:val="0"/>
              <w:jc w:val="center"/>
              <w:textAlignment w:val="center"/>
              <w:rPr>
                <w:rFonts w:eastAsia="仿宋_GB2312"/>
                <w:b/>
                <w:bCs/>
                <w:color w:val="auto"/>
              </w:rPr>
            </w:pPr>
            <w:r>
              <w:rPr>
                <w:rFonts w:hint="default" w:ascii="Times New Roman" w:hAnsi="Times New Roman" w:eastAsia="宋体" w:cs="Times New Roman"/>
                <w:i w:val="0"/>
                <w:iCs w:val="0"/>
                <w:color w:val="000000"/>
                <w:kern w:val="0"/>
                <w:sz w:val="21"/>
                <w:szCs w:val="21"/>
                <w:u w:val="none"/>
                <w:lang w:val="en-US" w:eastAsia="zh-CN" w:bidi="ar"/>
              </w:rPr>
              <w:t>G1-1-1</w:t>
            </w:r>
          </w:p>
        </w:tc>
        <w:tc>
          <w:tcPr>
            <w:tcW w:w="853" w:type="pct"/>
            <w:vMerge w:val="restart"/>
            <w:vAlign w:val="center"/>
          </w:tcPr>
          <w:p w14:paraId="767B41FA">
            <w:pPr>
              <w:keepNext w:val="0"/>
              <w:keepLines w:val="0"/>
              <w:widowControl/>
              <w:suppressLineNumbers w:val="0"/>
              <w:jc w:val="center"/>
              <w:textAlignment w:val="center"/>
              <w:rPr>
                <w:rFonts w:eastAsia="仿宋_GB2312"/>
                <w:b/>
                <w:bCs/>
                <w:color w:val="auto"/>
              </w:rPr>
            </w:pPr>
            <w:r>
              <w:rPr>
                <w:rFonts w:hint="default" w:ascii="仿宋_GB2312" w:hAnsi="宋体" w:eastAsia="仿宋_GB2312" w:cs="仿宋_GB2312"/>
                <w:i w:val="0"/>
                <w:iCs w:val="0"/>
                <w:color w:val="000000"/>
                <w:kern w:val="0"/>
                <w:sz w:val="21"/>
                <w:szCs w:val="21"/>
                <w:u w:val="none"/>
                <w:lang w:val="en-US" w:eastAsia="zh-CN" w:bidi="ar"/>
              </w:rPr>
              <w:t>投料废气</w:t>
            </w:r>
          </w:p>
        </w:tc>
        <w:tc>
          <w:tcPr>
            <w:tcW w:w="1497" w:type="pct"/>
            <w:vAlign w:val="center"/>
          </w:tcPr>
          <w:p w14:paraId="4D6BA749">
            <w:pPr>
              <w:keepNext w:val="0"/>
              <w:keepLines w:val="0"/>
              <w:widowControl/>
              <w:suppressLineNumbers w:val="0"/>
              <w:jc w:val="center"/>
              <w:textAlignment w:val="center"/>
              <w:rPr>
                <w:rFonts w:eastAsia="仿宋_GB2312"/>
                <w:b/>
                <w:bCs/>
                <w:color w:val="auto"/>
              </w:rPr>
            </w:pPr>
            <w:r>
              <w:rPr>
                <w:rFonts w:hint="default" w:ascii="Times New Roman" w:hAnsi="Times New Roman" w:eastAsia="宋体" w:cs="Times New Roman"/>
                <w:i w:val="0"/>
                <w:iCs w:val="0"/>
                <w:color w:val="000000"/>
                <w:kern w:val="0"/>
                <w:sz w:val="21"/>
                <w:szCs w:val="21"/>
                <w:u w:val="none"/>
                <w:lang w:val="en-US" w:eastAsia="zh-CN" w:bidi="ar"/>
              </w:rPr>
              <w:t>NMP</w:t>
            </w:r>
          </w:p>
        </w:tc>
        <w:tc>
          <w:tcPr>
            <w:tcW w:w="1105" w:type="pct"/>
            <w:vAlign w:val="center"/>
          </w:tcPr>
          <w:p w14:paraId="2275BA99">
            <w:pPr>
              <w:keepNext w:val="0"/>
              <w:keepLines w:val="0"/>
              <w:widowControl/>
              <w:suppressLineNumbers w:val="0"/>
              <w:jc w:val="center"/>
              <w:textAlignment w:val="center"/>
              <w:rPr>
                <w:rFonts w:eastAsia="仿宋_GB2312"/>
                <w:b/>
                <w:bCs/>
                <w:color w:val="auto"/>
              </w:rPr>
            </w:pPr>
            <w:r>
              <w:rPr>
                <w:rFonts w:hint="default" w:ascii="Times New Roman" w:hAnsi="Times New Roman" w:eastAsia="宋体" w:cs="Times New Roman"/>
                <w:i w:val="0"/>
                <w:iCs w:val="0"/>
                <w:color w:val="000000"/>
                <w:kern w:val="0"/>
                <w:sz w:val="21"/>
                <w:szCs w:val="21"/>
                <w:u w:val="none"/>
                <w:lang w:val="en-US" w:eastAsia="zh-CN" w:bidi="ar"/>
              </w:rPr>
              <w:t>0.023</w:t>
            </w:r>
          </w:p>
        </w:tc>
      </w:tr>
      <w:tr w14:paraId="3514BF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06D22AD8">
            <w:pPr>
              <w:jc w:val="center"/>
              <w:rPr>
                <w:rFonts w:eastAsia="仿宋_GB2312"/>
                <w:b/>
                <w:bCs/>
                <w:color w:val="auto"/>
              </w:rPr>
            </w:pPr>
          </w:p>
        </w:tc>
        <w:tc>
          <w:tcPr>
            <w:tcW w:w="729" w:type="pct"/>
            <w:vMerge w:val="continue"/>
            <w:vAlign w:val="center"/>
          </w:tcPr>
          <w:p w14:paraId="672DCBC8">
            <w:pPr>
              <w:jc w:val="center"/>
              <w:rPr>
                <w:rFonts w:eastAsia="仿宋_GB2312"/>
                <w:b/>
                <w:bCs/>
                <w:color w:val="auto"/>
              </w:rPr>
            </w:pPr>
          </w:p>
        </w:tc>
        <w:tc>
          <w:tcPr>
            <w:tcW w:w="853" w:type="pct"/>
            <w:vMerge w:val="continue"/>
            <w:vAlign w:val="center"/>
          </w:tcPr>
          <w:p w14:paraId="2B4029AF">
            <w:pPr>
              <w:jc w:val="center"/>
              <w:rPr>
                <w:rFonts w:eastAsia="仿宋_GB2312"/>
                <w:b/>
                <w:bCs/>
                <w:color w:val="auto"/>
              </w:rPr>
            </w:pPr>
          </w:p>
        </w:tc>
        <w:tc>
          <w:tcPr>
            <w:tcW w:w="1497" w:type="pct"/>
            <w:vAlign w:val="center"/>
          </w:tcPr>
          <w:p w14:paraId="6D585E24">
            <w:pPr>
              <w:keepNext w:val="0"/>
              <w:keepLines w:val="0"/>
              <w:widowControl/>
              <w:suppressLineNumbers w:val="0"/>
              <w:jc w:val="center"/>
              <w:textAlignment w:val="center"/>
              <w:rPr>
                <w:rFonts w:eastAsia="仿宋_GB2312"/>
                <w:b/>
                <w:bCs/>
                <w:color w:val="auto"/>
              </w:rPr>
            </w:pPr>
            <w:r>
              <w:rPr>
                <w:rFonts w:hint="default" w:ascii="仿宋_GB2312" w:hAnsi="宋体" w:eastAsia="仿宋_GB2312" w:cs="仿宋_GB2312"/>
                <w:i w:val="0"/>
                <w:iCs w:val="0"/>
                <w:color w:val="000000"/>
                <w:kern w:val="0"/>
                <w:sz w:val="21"/>
                <w:szCs w:val="21"/>
                <w:u w:val="none"/>
                <w:lang w:val="en-US" w:eastAsia="zh-CN" w:bidi="ar"/>
              </w:rPr>
              <w:t>其他有机物</w:t>
            </w:r>
          </w:p>
        </w:tc>
        <w:tc>
          <w:tcPr>
            <w:tcW w:w="1105" w:type="pct"/>
            <w:vAlign w:val="center"/>
          </w:tcPr>
          <w:p w14:paraId="7C0D33CD">
            <w:pPr>
              <w:keepNext w:val="0"/>
              <w:keepLines w:val="0"/>
              <w:widowControl/>
              <w:suppressLineNumbers w:val="0"/>
              <w:jc w:val="center"/>
              <w:textAlignment w:val="center"/>
              <w:rPr>
                <w:rFonts w:eastAsia="仿宋_GB2312"/>
                <w:b/>
                <w:bCs/>
                <w:color w:val="auto"/>
              </w:rPr>
            </w:pPr>
            <w:r>
              <w:rPr>
                <w:rFonts w:hint="default" w:ascii="Times New Roman" w:hAnsi="Times New Roman" w:eastAsia="宋体" w:cs="Times New Roman"/>
                <w:i w:val="0"/>
                <w:iCs w:val="0"/>
                <w:color w:val="000000"/>
                <w:kern w:val="0"/>
                <w:sz w:val="21"/>
                <w:szCs w:val="21"/>
                <w:u w:val="none"/>
                <w:lang w:val="en-US" w:eastAsia="zh-CN" w:bidi="ar"/>
              </w:rPr>
              <w:t>0.001</w:t>
            </w:r>
          </w:p>
        </w:tc>
      </w:tr>
      <w:tr w14:paraId="25F67CA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0B04192F">
            <w:pPr>
              <w:jc w:val="center"/>
              <w:rPr>
                <w:rFonts w:eastAsia="仿宋_GB2312"/>
                <w:b/>
                <w:bCs/>
                <w:color w:val="FF0000"/>
              </w:rPr>
            </w:pPr>
          </w:p>
        </w:tc>
        <w:tc>
          <w:tcPr>
            <w:tcW w:w="729" w:type="pct"/>
            <w:vMerge w:val="restart"/>
            <w:vAlign w:val="center"/>
          </w:tcPr>
          <w:p w14:paraId="415132A5">
            <w:pPr>
              <w:keepNext w:val="0"/>
              <w:keepLines w:val="0"/>
              <w:widowControl/>
              <w:suppressLineNumbers w:val="0"/>
              <w:jc w:val="center"/>
              <w:textAlignment w:val="center"/>
              <w:rPr>
                <w:rFonts w:eastAsia="仿宋_GB2312"/>
                <w:b/>
                <w:bCs/>
                <w:color w:val="FF0000"/>
              </w:rPr>
            </w:pPr>
            <w:r>
              <w:rPr>
                <w:rFonts w:hint="default" w:ascii="Times New Roman" w:hAnsi="Times New Roman" w:eastAsia="宋体" w:cs="Times New Roman"/>
                <w:i w:val="0"/>
                <w:iCs w:val="0"/>
                <w:color w:val="000000"/>
                <w:kern w:val="0"/>
                <w:sz w:val="21"/>
                <w:szCs w:val="21"/>
                <w:u w:val="none"/>
                <w:lang w:val="en-US" w:eastAsia="zh-CN" w:bidi="ar"/>
              </w:rPr>
              <w:t>G1-1-4</w:t>
            </w:r>
          </w:p>
        </w:tc>
        <w:tc>
          <w:tcPr>
            <w:tcW w:w="853" w:type="pct"/>
            <w:vMerge w:val="restart"/>
            <w:vAlign w:val="center"/>
          </w:tcPr>
          <w:p w14:paraId="516ED9AD">
            <w:pPr>
              <w:keepNext w:val="0"/>
              <w:keepLines w:val="0"/>
              <w:widowControl/>
              <w:suppressLineNumbers w:val="0"/>
              <w:jc w:val="center"/>
              <w:textAlignment w:val="center"/>
              <w:rPr>
                <w:rFonts w:eastAsia="仿宋_GB2312"/>
                <w:b/>
                <w:bCs/>
                <w:color w:val="FF0000"/>
              </w:rPr>
            </w:pPr>
            <w:r>
              <w:rPr>
                <w:rFonts w:hint="default" w:ascii="仿宋_GB2312" w:hAnsi="宋体" w:eastAsia="仿宋_GB2312" w:cs="仿宋_GB2312"/>
                <w:i w:val="0"/>
                <w:iCs w:val="0"/>
                <w:color w:val="000000"/>
                <w:kern w:val="0"/>
                <w:sz w:val="21"/>
                <w:szCs w:val="21"/>
                <w:u w:val="none"/>
                <w:lang w:val="en-US" w:eastAsia="zh-CN" w:bidi="ar"/>
              </w:rPr>
              <w:t>灌装废气</w:t>
            </w:r>
          </w:p>
        </w:tc>
        <w:tc>
          <w:tcPr>
            <w:tcW w:w="1497" w:type="pct"/>
            <w:vAlign w:val="center"/>
          </w:tcPr>
          <w:p w14:paraId="78691D9E">
            <w:pPr>
              <w:keepNext w:val="0"/>
              <w:keepLines w:val="0"/>
              <w:widowControl/>
              <w:suppressLineNumbers w:val="0"/>
              <w:jc w:val="center"/>
              <w:textAlignment w:val="center"/>
              <w:rPr>
                <w:rFonts w:eastAsia="仿宋_GB2312"/>
                <w:b/>
                <w:bCs/>
                <w:color w:val="FF0000"/>
              </w:rPr>
            </w:pPr>
            <w:r>
              <w:rPr>
                <w:rFonts w:hint="default" w:ascii="Times New Roman" w:hAnsi="Times New Roman" w:eastAsia="宋体" w:cs="Times New Roman"/>
                <w:i w:val="0"/>
                <w:iCs w:val="0"/>
                <w:color w:val="000000"/>
                <w:kern w:val="0"/>
                <w:sz w:val="21"/>
                <w:szCs w:val="21"/>
                <w:u w:val="none"/>
                <w:lang w:val="en-US" w:eastAsia="zh-CN" w:bidi="ar"/>
              </w:rPr>
              <w:t>NMP</w:t>
            </w:r>
          </w:p>
        </w:tc>
        <w:tc>
          <w:tcPr>
            <w:tcW w:w="1105" w:type="pct"/>
            <w:vAlign w:val="center"/>
          </w:tcPr>
          <w:p w14:paraId="07387F94">
            <w:pPr>
              <w:keepNext w:val="0"/>
              <w:keepLines w:val="0"/>
              <w:widowControl/>
              <w:suppressLineNumbers w:val="0"/>
              <w:jc w:val="center"/>
              <w:textAlignment w:val="center"/>
              <w:rPr>
                <w:rFonts w:eastAsia="仿宋_GB2312"/>
                <w:b/>
                <w:bCs/>
                <w:color w:val="FF0000"/>
              </w:rPr>
            </w:pPr>
            <w:r>
              <w:rPr>
                <w:rFonts w:hint="default" w:ascii="Times New Roman" w:hAnsi="Times New Roman" w:eastAsia="宋体" w:cs="Times New Roman"/>
                <w:i w:val="0"/>
                <w:iCs w:val="0"/>
                <w:color w:val="000000"/>
                <w:kern w:val="0"/>
                <w:sz w:val="21"/>
                <w:szCs w:val="21"/>
                <w:u w:val="none"/>
                <w:lang w:val="en-US" w:eastAsia="zh-CN" w:bidi="ar"/>
              </w:rPr>
              <w:t>0.034</w:t>
            </w:r>
          </w:p>
        </w:tc>
      </w:tr>
      <w:tr w14:paraId="1509948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3B6F9974">
            <w:pPr>
              <w:jc w:val="center"/>
              <w:rPr>
                <w:rFonts w:eastAsia="仿宋_GB2312"/>
                <w:b/>
                <w:bCs/>
                <w:color w:val="FF0000"/>
              </w:rPr>
            </w:pPr>
          </w:p>
        </w:tc>
        <w:tc>
          <w:tcPr>
            <w:tcW w:w="729" w:type="pct"/>
            <w:vMerge w:val="continue"/>
            <w:vAlign w:val="center"/>
          </w:tcPr>
          <w:p w14:paraId="3A71802A">
            <w:pPr>
              <w:jc w:val="center"/>
              <w:rPr>
                <w:rFonts w:eastAsia="仿宋_GB2312"/>
                <w:b/>
                <w:bCs/>
                <w:color w:val="FF0000"/>
              </w:rPr>
            </w:pPr>
          </w:p>
        </w:tc>
        <w:tc>
          <w:tcPr>
            <w:tcW w:w="853" w:type="pct"/>
            <w:vMerge w:val="continue"/>
            <w:vAlign w:val="center"/>
          </w:tcPr>
          <w:p w14:paraId="4D63EAFD">
            <w:pPr>
              <w:jc w:val="center"/>
              <w:rPr>
                <w:rFonts w:eastAsia="仿宋_GB2312"/>
                <w:b/>
                <w:bCs/>
                <w:color w:val="FF0000"/>
              </w:rPr>
            </w:pPr>
          </w:p>
        </w:tc>
        <w:tc>
          <w:tcPr>
            <w:tcW w:w="1497" w:type="pct"/>
            <w:vAlign w:val="center"/>
          </w:tcPr>
          <w:p w14:paraId="0F871B47">
            <w:pPr>
              <w:keepNext w:val="0"/>
              <w:keepLines w:val="0"/>
              <w:widowControl/>
              <w:suppressLineNumbers w:val="0"/>
              <w:jc w:val="center"/>
              <w:textAlignment w:val="center"/>
              <w:rPr>
                <w:rFonts w:eastAsia="仿宋_GB2312"/>
                <w:b/>
                <w:bCs/>
                <w:color w:val="FF0000"/>
              </w:rPr>
            </w:pPr>
            <w:r>
              <w:rPr>
                <w:rFonts w:hint="default" w:ascii="仿宋_GB2312" w:hAnsi="宋体" w:eastAsia="仿宋_GB2312" w:cs="仿宋_GB2312"/>
                <w:i w:val="0"/>
                <w:iCs w:val="0"/>
                <w:color w:val="000000"/>
                <w:kern w:val="0"/>
                <w:sz w:val="21"/>
                <w:szCs w:val="21"/>
                <w:u w:val="none"/>
                <w:lang w:val="en-US" w:eastAsia="zh-CN" w:bidi="ar"/>
              </w:rPr>
              <w:t>其他有机物</w:t>
            </w:r>
          </w:p>
        </w:tc>
        <w:tc>
          <w:tcPr>
            <w:tcW w:w="1105" w:type="pct"/>
            <w:vAlign w:val="center"/>
          </w:tcPr>
          <w:p w14:paraId="21902BE0">
            <w:pPr>
              <w:keepNext w:val="0"/>
              <w:keepLines w:val="0"/>
              <w:widowControl/>
              <w:suppressLineNumbers w:val="0"/>
              <w:jc w:val="center"/>
              <w:textAlignment w:val="center"/>
              <w:rPr>
                <w:rFonts w:eastAsia="仿宋_GB2312"/>
                <w:b/>
                <w:bCs/>
                <w:color w:val="FF0000"/>
              </w:rPr>
            </w:pPr>
            <w:r>
              <w:rPr>
                <w:rFonts w:hint="default" w:ascii="Times New Roman" w:hAnsi="Times New Roman" w:eastAsia="宋体" w:cs="Times New Roman"/>
                <w:i w:val="0"/>
                <w:iCs w:val="0"/>
                <w:color w:val="000000"/>
                <w:kern w:val="0"/>
                <w:sz w:val="21"/>
                <w:szCs w:val="21"/>
                <w:u w:val="none"/>
                <w:lang w:val="en-US" w:eastAsia="zh-CN" w:bidi="ar"/>
              </w:rPr>
              <w:t>0.001</w:t>
            </w:r>
          </w:p>
        </w:tc>
      </w:tr>
      <w:tr w14:paraId="7B5353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010C13B8">
            <w:pPr>
              <w:jc w:val="center"/>
              <w:rPr>
                <w:rFonts w:eastAsia="仿宋_GB2312"/>
                <w:b/>
                <w:bCs/>
                <w:color w:val="FF0000"/>
              </w:rPr>
            </w:pPr>
          </w:p>
        </w:tc>
        <w:tc>
          <w:tcPr>
            <w:tcW w:w="729" w:type="pct"/>
            <w:vMerge w:val="restart"/>
            <w:vAlign w:val="center"/>
          </w:tcPr>
          <w:p w14:paraId="3EABDF59">
            <w:pPr>
              <w:keepNext w:val="0"/>
              <w:keepLines w:val="0"/>
              <w:widowControl/>
              <w:suppressLineNumbers w:val="0"/>
              <w:jc w:val="center"/>
              <w:textAlignment w:val="center"/>
              <w:rPr>
                <w:rFonts w:eastAsia="仿宋_GB2312"/>
                <w:b/>
                <w:bCs/>
                <w:color w:val="FF0000"/>
              </w:rPr>
            </w:pPr>
            <w:r>
              <w:rPr>
                <w:rFonts w:hint="default" w:ascii="Times New Roman" w:hAnsi="Times New Roman" w:eastAsia="宋体" w:cs="Times New Roman"/>
                <w:i w:val="0"/>
                <w:iCs w:val="0"/>
                <w:color w:val="000000"/>
                <w:kern w:val="0"/>
                <w:sz w:val="21"/>
                <w:szCs w:val="21"/>
                <w:u w:val="none"/>
                <w:lang w:val="en-US" w:eastAsia="zh-CN" w:bidi="ar"/>
              </w:rPr>
              <w:t>G1-2-1</w:t>
            </w:r>
          </w:p>
        </w:tc>
        <w:tc>
          <w:tcPr>
            <w:tcW w:w="853" w:type="pct"/>
            <w:vMerge w:val="restart"/>
            <w:vAlign w:val="center"/>
          </w:tcPr>
          <w:p w14:paraId="03D9B270">
            <w:pPr>
              <w:keepNext w:val="0"/>
              <w:keepLines w:val="0"/>
              <w:widowControl/>
              <w:suppressLineNumbers w:val="0"/>
              <w:jc w:val="center"/>
              <w:textAlignment w:val="center"/>
              <w:rPr>
                <w:rFonts w:eastAsia="仿宋_GB2312"/>
                <w:b/>
                <w:bCs/>
                <w:color w:val="FF0000"/>
              </w:rPr>
            </w:pPr>
            <w:r>
              <w:rPr>
                <w:rFonts w:hint="default" w:ascii="仿宋_GB2312" w:hAnsi="宋体" w:eastAsia="仿宋_GB2312" w:cs="仿宋_GB2312"/>
                <w:i w:val="0"/>
                <w:iCs w:val="0"/>
                <w:color w:val="000000"/>
                <w:kern w:val="0"/>
                <w:sz w:val="21"/>
                <w:szCs w:val="21"/>
                <w:u w:val="none"/>
                <w:lang w:val="en-US" w:eastAsia="zh-CN" w:bidi="ar"/>
              </w:rPr>
              <w:t>投料废气</w:t>
            </w:r>
          </w:p>
        </w:tc>
        <w:tc>
          <w:tcPr>
            <w:tcW w:w="1497" w:type="pct"/>
            <w:vAlign w:val="center"/>
          </w:tcPr>
          <w:p w14:paraId="188EC655">
            <w:pPr>
              <w:keepNext w:val="0"/>
              <w:keepLines w:val="0"/>
              <w:widowControl/>
              <w:suppressLineNumbers w:val="0"/>
              <w:jc w:val="center"/>
              <w:textAlignment w:val="center"/>
              <w:rPr>
                <w:rFonts w:eastAsia="仿宋_GB2312"/>
                <w:b/>
                <w:bCs/>
                <w:color w:val="FF0000"/>
              </w:rPr>
            </w:pPr>
            <w:r>
              <w:rPr>
                <w:rFonts w:hint="default" w:ascii="仿宋_GB2312" w:hAnsi="宋体" w:eastAsia="仿宋_GB2312" w:cs="仿宋_GB2312"/>
                <w:i w:val="0"/>
                <w:iCs w:val="0"/>
                <w:color w:val="000000"/>
                <w:kern w:val="0"/>
                <w:sz w:val="21"/>
                <w:szCs w:val="21"/>
                <w:u w:val="none"/>
                <w:lang w:val="en-US" w:eastAsia="zh-CN" w:bidi="ar"/>
              </w:rPr>
              <w:t>异丙醇</w:t>
            </w:r>
          </w:p>
        </w:tc>
        <w:tc>
          <w:tcPr>
            <w:tcW w:w="1105" w:type="pct"/>
            <w:vAlign w:val="center"/>
          </w:tcPr>
          <w:p w14:paraId="7D5DD3F4">
            <w:pPr>
              <w:keepNext w:val="0"/>
              <w:keepLines w:val="0"/>
              <w:widowControl/>
              <w:suppressLineNumbers w:val="0"/>
              <w:jc w:val="center"/>
              <w:textAlignment w:val="center"/>
              <w:rPr>
                <w:rFonts w:eastAsia="仿宋_GB2312"/>
                <w:b/>
                <w:bCs/>
                <w:color w:val="FF0000"/>
              </w:rPr>
            </w:pPr>
            <w:r>
              <w:rPr>
                <w:rFonts w:hint="default" w:ascii="Times New Roman" w:hAnsi="Times New Roman" w:eastAsia="宋体" w:cs="Times New Roman"/>
                <w:i w:val="0"/>
                <w:iCs w:val="0"/>
                <w:color w:val="000000"/>
                <w:kern w:val="0"/>
                <w:sz w:val="21"/>
                <w:szCs w:val="21"/>
                <w:u w:val="none"/>
                <w:lang w:val="en-US" w:eastAsia="zh-CN" w:bidi="ar"/>
              </w:rPr>
              <w:t>0.104</w:t>
            </w:r>
          </w:p>
        </w:tc>
      </w:tr>
      <w:tr w14:paraId="6BCCF1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7CCDE2EB">
            <w:pPr>
              <w:jc w:val="center"/>
              <w:rPr>
                <w:rFonts w:eastAsia="仿宋_GB2312"/>
                <w:b/>
                <w:bCs/>
                <w:color w:val="FF0000"/>
              </w:rPr>
            </w:pPr>
          </w:p>
        </w:tc>
        <w:tc>
          <w:tcPr>
            <w:tcW w:w="729" w:type="pct"/>
            <w:vMerge w:val="continue"/>
            <w:vAlign w:val="center"/>
          </w:tcPr>
          <w:p w14:paraId="12CC9DCF">
            <w:pPr>
              <w:jc w:val="center"/>
              <w:rPr>
                <w:rFonts w:eastAsia="仿宋_GB2312"/>
                <w:b/>
                <w:bCs/>
                <w:color w:val="FF0000"/>
              </w:rPr>
            </w:pPr>
          </w:p>
        </w:tc>
        <w:tc>
          <w:tcPr>
            <w:tcW w:w="853" w:type="pct"/>
            <w:vMerge w:val="continue"/>
            <w:vAlign w:val="center"/>
          </w:tcPr>
          <w:p w14:paraId="28767A8B">
            <w:pPr>
              <w:jc w:val="center"/>
              <w:rPr>
                <w:rFonts w:eastAsia="仿宋_GB2312"/>
                <w:b/>
                <w:bCs/>
                <w:color w:val="FF0000"/>
              </w:rPr>
            </w:pPr>
          </w:p>
        </w:tc>
        <w:tc>
          <w:tcPr>
            <w:tcW w:w="1497" w:type="pct"/>
            <w:vAlign w:val="center"/>
          </w:tcPr>
          <w:p w14:paraId="7708AD3F">
            <w:pPr>
              <w:keepNext w:val="0"/>
              <w:keepLines w:val="0"/>
              <w:widowControl/>
              <w:suppressLineNumbers w:val="0"/>
              <w:jc w:val="center"/>
              <w:textAlignment w:val="center"/>
              <w:rPr>
                <w:rFonts w:eastAsia="仿宋_GB2312"/>
                <w:b/>
                <w:bCs/>
                <w:color w:val="FF0000"/>
              </w:rPr>
            </w:pPr>
            <w:r>
              <w:rPr>
                <w:rFonts w:hint="default" w:ascii="仿宋_GB2312" w:hAnsi="宋体" w:eastAsia="仿宋_GB2312" w:cs="仿宋_GB2312"/>
                <w:i w:val="0"/>
                <w:iCs w:val="0"/>
                <w:color w:val="000000"/>
                <w:kern w:val="0"/>
                <w:sz w:val="21"/>
                <w:szCs w:val="21"/>
                <w:u w:val="none"/>
                <w:lang w:val="en-US" w:eastAsia="zh-CN" w:bidi="ar"/>
              </w:rPr>
              <w:t>其他有机物</w:t>
            </w:r>
          </w:p>
        </w:tc>
        <w:tc>
          <w:tcPr>
            <w:tcW w:w="1105" w:type="pct"/>
            <w:vAlign w:val="center"/>
          </w:tcPr>
          <w:p w14:paraId="6EBA5E66">
            <w:pPr>
              <w:keepNext w:val="0"/>
              <w:keepLines w:val="0"/>
              <w:widowControl/>
              <w:suppressLineNumbers w:val="0"/>
              <w:jc w:val="center"/>
              <w:textAlignment w:val="center"/>
              <w:rPr>
                <w:rFonts w:eastAsia="仿宋_GB2312"/>
                <w:b/>
                <w:bCs/>
                <w:color w:val="FF0000"/>
              </w:rPr>
            </w:pPr>
            <w:r>
              <w:rPr>
                <w:rFonts w:hint="default" w:ascii="Times New Roman" w:hAnsi="Times New Roman" w:eastAsia="宋体" w:cs="Times New Roman"/>
                <w:i w:val="0"/>
                <w:iCs w:val="0"/>
                <w:color w:val="000000"/>
                <w:kern w:val="0"/>
                <w:sz w:val="21"/>
                <w:szCs w:val="21"/>
                <w:u w:val="none"/>
                <w:lang w:val="en-US" w:eastAsia="zh-CN" w:bidi="ar"/>
              </w:rPr>
              <w:t>0.001</w:t>
            </w:r>
          </w:p>
        </w:tc>
      </w:tr>
      <w:tr w14:paraId="69D7E2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512D552B">
            <w:pPr>
              <w:jc w:val="center"/>
              <w:rPr>
                <w:rFonts w:eastAsia="仿宋_GB2312"/>
                <w:b/>
                <w:bCs/>
                <w:color w:val="FF0000"/>
              </w:rPr>
            </w:pPr>
          </w:p>
        </w:tc>
        <w:tc>
          <w:tcPr>
            <w:tcW w:w="729" w:type="pct"/>
            <w:vMerge w:val="restart"/>
            <w:vAlign w:val="center"/>
          </w:tcPr>
          <w:p w14:paraId="12EC18D4">
            <w:pPr>
              <w:keepNext w:val="0"/>
              <w:keepLines w:val="0"/>
              <w:widowControl/>
              <w:suppressLineNumbers w:val="0"/>
              <w:jc w:val="center"/>
              <w:textAlignment w:val="center"/>
              <w:rPr>
                <w:rFonts w:eastAsia="仿宋_GB2312"/>
                <w:b/>
                <w:bCs/>
                <w:color w:val="FF0000"/>
              </w:rPr>
            </w:pPr>
            <w:r>
              <w:rPr>
                <w:rFonts w:hint="default" w:ascii="Times New Roman" w:hAnsi="Times New Roman" w:eastAsia="宋体" w:cs="Times New Roman"/>
                <w:i w:val="0"/>
                <w:iCs w:val="0"/>
                <w:color w:val="000000"/>
                <w:kern w:val="0"/>
                <w:sz w:val="21"/>
                <w:szCs w:val="21"/>
                <w:u w:val="none"/>
                <w:lang w:val="en-US" w:eastAsia="zh-CN" w:bidi="ar"/>
              </w:rPr>
              <w:t>G1-2-4</w:t>
            </w:r>
          </w:p>
        </w:tc>
        <w:tc>
          <w:tcPr>
            <w:tcW w:w="853" w:type="pct"/>
            <w:vMerge w:val="restart"/>
            <w:vAlign w:val="center"/>
          </w:tcPr>
          <w:p w14:paraId="305FA5AF">
            <w:pPr>
              <w:keepNext w:val="0"/>
              <w:keepLines w:val="0"/>
              <w:widowControl/>
              <w:suppressLineNumbers w:val="0"/>
              <w:jc w:val="center"/>
              <w:textAlignment w:val="center"/>
              <w:rPr>
                <w:rFonts w:eastAsia="仿宋_GB2312"/>
                <w:b/>
                <w:bCs/>
                <w:color w:val="FF0000"/>
              </w:rPr>
            </w:pPr>
            <w:r>
              <w:rPr>
                <w:rFonts w:hint="default" w:ascii="仿宋_GB2312" w:hAnsi="宋体" w:eastAsia="仿宋_GB2312" w:cs="仿宋_GB2312"/>
                <w:i w:val="0"/>
                <w:iCs w:val="0"/>
                <w:color w:val="000000"/>
                <w:kern w:val="0"/>
                <w:sz w:val="21"/>
                <w:szCs w:val="21"/>
                <w:u w:val="none"/>
                <w:lang w:val="en-US" w:eastAsia="zh-CN" w:bidi="ar"/>
              </w:rPr>
              <w:t>灌装废气</w:t>
            </w:r>
          </w:p>
        </w:tc>
        <w:tc>
          <w:tcPr>
            <w:tcW w:w="1497" w:type="pct"/>
            <w:vAlign w:val="center"/>
          </w:tcPr>
          <w:p w14:paraId="5DB2A30A">
            <w:pPr>
              <w:keepNext w:val="0"/>
              <w:keepLines w:val="0"/>
              <w:widowControl/>
              <w:suppressLineNumbers w:val="0"/>
              <w:jc w:val="center"/>
              <w:textAlignment w:val="center"/>
              <w:rPr>
                <w:rFonts w:eastAsia="仿宋_GB2312"/>
                <w:b/>
                <w:bCs/>
                <w:color w:val="FF0000"/>
              </w:rPr>
            </w:pPr>
            <w:r>
              <w:rPr>
                <w:rFonts w:hint="default" w:ascii="仿宋_GB2312" w:hAnsi="宋体" w:eastAsia="仿宋_GB2312" w:cs="仿宋_GB2312"/>
                <w:i w:val="0"/>
                <w:iCs w:val="0"/>
                <w:color w:val="000000"/>
                <w:kern w:val="0"/>
                <w:sz w:val="21"/>
                <w:szCs w:val="21"/>
                <w:u w:val="none"/>
                <w:lang w:val="en-US" w:eastAsia="zh-CN" w:bidi="ar"/>
              </w:rPr>
              <w:t>异丙醇</w:t>
            </w:r>
          </w:p>
        </w:tc>
        <w:tc>
          <w:tcPr>
            <w:tcW w:w="1105" w:type="pct"/>
            <w:vAlign w:val="center"/>
          </w:tcPr>
          <w:p w14:paraId="4E7F4C70">
            <w:pPr>
              <w:keepNext w:val="0"/>
              <w:keepLines w:val="0"/>
              <w:widowControl/>
              <w:suppressLineNumbers w:val="0"/>
              <w:jc w:val="center"/>
              <w:textAlignment w:val="center"/>
              <w:rPr>
                <w:rFonts w:eastAsia="仿宋_GB2312"/>
                <w:b/>
                <w:bCs/>
                <w:color w:val="FF0000"/>
              </w:rPr>
            </w:pPr>
            <w:r>
              <w:rPr>
                <w:rFonts w:hint="default" w:ascii="Times New Roman" w:hAnsi="Times New Roman" w:eastAsia="宋体" w:cs="Times New Roman"/>
                <w:i w:val="0"/>
                <w:iCs w:val="0"/>
                <w:color w:val="000000"/>
                <w:kern w:val="0"/>
                <w:sz w:val="21"/>
                <w:szCs w:val="21"/>
                <w:u w:val="none"/>
                <w:lang w:val="en-US" w:eastAsia="zh-CN" w:bidi="ar"/>
              </w:rPr>
              <w:t>0.156</w:t>
            </w:r>
          </w:p>
        </w:tc>
      </w:tr>
      <w:tr w14:paraId="39E684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7FE98137">
            <w:pPr>
              <w:jc w:val="center"/>
              <w:rPr>
                <w:rFonts w:eastAsia="仿宋_GB2312"/>
                <w:b/>
                <w:bCs/>
                <w:color w:val="FF0000"/>
              </w:rPr>
            </w:pPr>
          </w:p>
        </w:tc>
        <w:tc>
          <w:tcPr>
            <w:tcW w:w="729" w:type="pct"/>
            <w:vMerge w:val="continue"/>
            <w:vAlign w:val="center"/>
          </w:tcPr>
          <w:p w14:paraId="54F39FEE">
            <w:pPr>
              <w:jc w:val="center"/>
              <w:rPr>
                <w:rFonts w:eastAsia="仿宋_GB2312"/>
                <w:b/>
                <w:bCs/>
                <w:color w:val="FF0000"/>
              </w:rPr>
            </w:pPr>
          </w:p>
        </w:tc>
        <w:tc>
          <w:tcPr>
            <w:tcW w:w="853" w:type="pct"/>
            <w:vMerge w:val="continue"/>
            <w:vAlign w:val="center"/>
          </w:tcPr>
          <w:p w14:paraId="7E8FE666">
            <w:pPr>
              <w:jc w:val="center"/>
              <w:rPr>
                <w:rFonts w:eastAsia="仿宋_GB2312"/>
                <w:b/>
                <w:bCs/>
                <w:color w:val="FF0000"/>
              </w:rPr>
            </w:pPr>
          </w:p>
        </w:tc>
        <w:tc>
          <w:tcPr>
            <w:tcW w:w="1497" w:type="pct"/>
            <w:vAlign w:val="center"/>
          </w:tcPr>
          <w:p w14:paraId="44B1BAD0">
            <w:pPr>
              <w:keepNext w:val="0"/>
              <w:keepLines w:val="0"/>
              <w:widowControl/>
              <w:suppressLineNumbers w:val="0"/>
              <w:jc w:val="center"/>
              <w:textAlignment w:val="center"/>
              <w:rPr>
                <w:rFonts w:eastAsia="仿宋_GB2312"/>
                <w:b/>
                <w:bCs/>
                <w:color w:val="FF0000"/>
              </w:rPr>
            </w:pPr>
            <w:r>
              <w:rPr>
                <w:rFonts w:hint="default" w:ascii="仿宋_GB2312" w:hAnsi="宋体" w:eastAsia="仿宋_GB2312" w:cs="仿宋_GB2312"/>
                <w:i w:val="0"/>
                <w:iCs w:val="0"/>
                <w:color w:val="000000"/>
                <w:kern w:val="0"/>
                <w:sz w:val="21"/>
                <w:szCs w:val="21"/>
                <w:u w:val="none"/>
                <w:lang w:val="en-US" w:eastAsia="zh-CN" w:bidi="ar"/>
              </w:rPr>
              <w:t>其他有机物</w:t>
            </w:r>
          </w:p>
        </w:tc>
        <w:tc>
          <w:tcPr>
            <w:tcW w:w="1105" w:type="pct"/>
            <w:vAlign w:val="center"/>
          </w:tcPr>
          <w:p w14:paraId="2CFF9D7C">
            <w:pPr>
              <w:keepNext w:val="0"/>
              <w:keepLines w:val="0"/>
              <w:widowControl/>
              <w:suppressLineNumbers w:val="0"/>
              <w:jc w:val="center"/>
              <w:textAlignment w:val="center"/>
              <w:rPr>
                <w:rFonts w:eastAsia="仿宋_GB2312"/>
                <w:b/>
                <w:bCs/>
                <w:color w:val="FF0000"/>
              </w:rPr>
            </w:pPr>
            <w:r>
              <w:rPr>
                <w:rFonts w:hint="default" w:ascii="Times New Roman" w:hAnsi="Times New Roman" w:eastAsia="宋体" w:cs="Times New Roman"/>
                <w:i w:val="0"/>
                <w:iCs w:val="0"/>
                <w:color w:val="000000"/>
                <w:kern w:val="0"/>
                <w:sz w:val="21"/>
                <w:szCs w:val="21"/>
                <w:u w:val="none"/>
                <w:lang w:val="en-US" w:eastAsia="zh-CN" w:bidi="ar"/>
              </w:rPr>
              <w:t>0.001</w:t>
            </w:r>
          </w:p>
        </w:tc>
      </w:tr>
      <w:tr w14:paraId="41D56B8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60C7E2F3">
            <w:pPr>
              <w:jc w:val="center"/>
              <w:rPr>
                <w:rFonts w:eastAsia="仿宋_GB2312"/>
                <w:b/>
                <w:bCs/>
                <w:color w:val="FF0000"/>
              </w:rPr>
            </w:pPr>
          </w:p>
        </w:tc>
        <w:tc>
          <w:tcPr>
            <w:tcW w:w="729" w:type="pct"/>
            <w:vMerge w:val="restart"/>
            <w:vAlign w:val="center"/>
          </w:tcPr>
          <w:p w14:paraId="3A2CEE38">
            <w:pPr>
              <w:keepNext w:val="0"/>
              <w:keepLines w:val="0"/>
              <w:widowControl/>
              <w:suppressLineNumbers w:val="0"/>
              <w:jc w:val="center"/>
              <w:textAlignment w:val="center"/>
              <w:rPr>
                <w:rFonts w:eastAsia="仿宋_GB2312"/>
                <w:b/>
                <w:bCs/>
                <w:color w:val="FF0000"/>
              </w:rPr>
            </w:pPr>
            <w:r>
              <w:rPr>
                <w:rFonts w:hint="default" w:ascii="Times New Roman" w:hAnsi="Times New Roman" w:eastAsia="宋体" w:cs="Times New Roman"/>
                <w:i w:val="0"/>
                <w:iCs w:val="0"/>
                <w:color w:val="000000"/>
                <w:kern w:val="0"/>
                <w:sz w:val="21"/>
                <w:szCs w:val="21"/>
                <w:u w:val="none"/>
                <w:lang w:val="en-US" w:eastAsia="zh-CN" w:bidi="ar"/>
              </w:rPr>
              <w:t>G2-1-1</w:t>
            </w:r>
          </w:p>
        </w:tc>
        <w:tc>
          <w:tcPr>
            <w:tcW w:w="853" w:type="pct"/>
            <w:vMerge w:val="restart"/>
            <w:vAlign w:val="center"/>
          </w:tcPr>
          <w:p w14:paraId="304DD306">
            <w:pPr>
              <w:keepNext w:val="0"/>
              <w:keepLines w:val="0"/>
              <w:widowControl/>
              <w:suppressLineNumbers w:val="0"/>
              <w:jc w:val="center"/>
              <w:textAlignment w:val="center"/>
              <w:rPr>
                <w:rFonts w:eastAsia="仿宋_GB2312"/>
                <w:b/>
                <w:bCs/>
                <w:color w:val="FF0000"/>
              </w:rPr>
            </w:pPr>
            <w:r>
              <w:rPr>
                <w:rFonts w:hint="default" w:ascii="仿宋_GB2312" w:hAnsi="宋体" w:eastAsia="仿宋_GB2312" w:cs="仿宋_GB2312"/>
                <w:i w:val="0"/>
                <w:iCs w:val="0"/>
                <w:color w:val="000000"/>
                <w:kern w:val="0"/>
                <w:sz w:val="21"/>
                <w:szCs w:val="21"/>
                <w:u w:val="none"/>
                <w:lang w:val="en-US" w:eastAsia="zh-CN" w:bidi="ar"/>
              </w:rPr>
              <w:t>投料废气</w:t>
            </w:r>
          </w:p>
        </w:tc>
        <w:tc>
          <w:tcPr>
            <w:tcW w:w="1497" w:type="pct"/>
            <w:vAlign w:val="center"/>
          </w:tcPr>
          <w:p w14:paraId="28C3B0C0">
            <w:pPr>
              <w:keepNext w:val="0"/>
              <w:keepLines w:val="0"/>
              <w:widowControl/>
              <w:suppressLineNumbers w:val="0"/>
              <w:jc w:val="center"/>
              <w:textAlignment w:val="center"/>
              <w:rPr>
                <w:rFonts w:eastAsia="仿宋_GB2312"/>
                <w:b/>
                <w:bCs/>
                <w:color w:val="FF0000"/>
              </w:rPr>
            </w:pPr>
            <w:r>
              <w:rPr>
                <w:rFonts w:hint="default" w:ascii="仿宋_GB2312" w:hAnsi="宋体" w:eastAsia="仿宋_GB2312" w:cs="仿宋_GB2312"/>
                <w:i w:val="0"/>
                <w:iCs w:val="0"/>
                <w:color w:val="000000"/>
                <w:kern w:val="0"/>
                <w:sz w:val="21"/>
                <w:szCs w:val="21"/>
                <w:u w:val="none"/>
                <w:lang w:val="en-US" w:eastAsia="zh-CN" w:bidi="ar"/>
              </w:rPr>
              <w:t>二氯甲烷</w:t>
            </w:r>
          </w:p>
        </w:tc>
        <w:tc>
          <w:tcPr>
            <w:tcW w:w="1105" w:type="pct"/>
            <w:vAlign w:val="center"/>
          </w:tcPr>
          <w:p w14:paraId="36E9D346">
            <w:pPr>
              <w:keepNext w:val="0"/>
              <w:keepLines w:val="0"/>
              <w:widowControl/>
              <w:suppressLineNumbers w:val="0"/>
              <w:jc w:val="center"/>
              <w:textAlignment w:val="center"/>
              <w:rPr>
                <w:rFonts w:eastAsia="仿宋_GB2312"/>
                <w:b/>
                <w:bCs/>
                <w:color w:val="FF0000"/>
              </w:rPr>
            </w:pPr>
            <w:r>
              <w:rPr>
                <w:rFonts w:hint="default" w:ascii="Times New Roman" w:hAnsi="Times New Roman" w:eastAsia="宋体" w:cs="Times New Roman"/>
                <w:i w:val="0"/>
                <w:iCs w:val="0"/>
                <w:color w:val="000000"/>
                <w:kern w:val="0"/>
                <w:sz w:val="21"/>
                <w:szCs w:val="21"/>
                <w:u w:val="none"/>
                <w:lang w:val="en-US" w:eastAsia="zh-CN" w:bidi="ar"/>
              </w:rPr>
              <w:t>0.0254</w:t>
            </w:r>
          </w:p>
        </w:tc>
      </w:tr>
      <w:tr w14:paraId="5DEA01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5F9B1B46">
            <w:pPr>
              <w:jc w:val="center"/>
              <w:rPr>
                <w:rFonts w:eastAsia="仿宋_GB2312"/>
                <w:b/>
                <w:bCs/>
                <w:color w:val="FF0000"/>
              </w:rPr>
            </w:pPr>
          </w:p>
        </w:tc>
        <w:tc>
          <w:tcPr>
            <w:tcW w:w="729" w:type="pct"/>
            <w:vMerge w:val="continue"/>
            <w:vAlign w:val="center"/>
          </w:tcPr>
          <w:p w14:paraId="3C45CEE8">
            <w:pPr>
              <w:jc w:val="center"/>
              <w:rPr>
                <w:rFonts w:eastAsia="仿宋_GB2312"/>
                <w:b/>
                <w:bCs/>
                <w:color w:val="FF0000"/>
              </w:rPr>
            </w:pPr>
          </w:p>
        </w:tc>
        <w:tc>
          <w:tcPr>
            <w:tcW w:w="853" w:type="pct"/>
            <w:vMerge w:val="continue"/>
            <w:vAlign w:val="center"/>
          </w:tcPr>
          <w:p w14:paraId="6D50896F">
            <w:pPr>
              <w:jc w:val="center"/>
              <w:rPr>
                <w:rFonts w:eastAsia="仿宋_GB2312"/>
                <w:b/>
                <w:bCs/>
                <w:color w:val="FF0000"/>
              </w:rPr>
            </w:pPr>
          </w:p>
        </w:tc>
        <w:tc>
          <w:tcPr>
            <w:tcW w:w="1497" w:type="pct"/>
            <w:vAlign w:val="center"/>
          </w:tcPr>
          <w:p w14:paraId="0D91FA8B">
            <w:pPr>
              <w:keepNext w:val="0"/>
              <w:keepLines w:val="0"/>
              <w:widowControl/>
              <w:suppressLineNumbers w:val="0"/>
              <w:jc w:val="center"/>
              <w:textAlignment w:val="center"/>
              <w:rPr>
                <w:rFonts w:eastAsia="仿宋_GB2312"/>
                <w:b/>
                <w:bCs/>
                <w:color w:val="FF0000"/>
              </w:rPr>
            </w:pPr>
            <w:r>
              <w:rPr>
                <w:rFonts w:hint="default" w:ascii="仿宋_GB2312" w:hAnsi="宋体" w:eastAsia="仿宋_GB2312" w:cs="仿宋_GB2312"/>
                <w:i w:val="0"/>
                <w:iCs w:val="0"/>
                <w:color w:val="000000"/>
                <w:kern w:val="0"/>
                <w:sz w:val="21"/>
                <w:szCs w:val="21"/>
                <w:u w:val="none"/>
                <w:lang w:val="en-US" w:eastAsia="zh-CN" w:bidi="ar"/>
              </w:rPr>
              <w:t>乙酸乙酯</w:t>
            </w:r>
          </w:p>
        </w:tc>
        <w:tc>
          <w:tcPr>
            <w:tcW w:w="1105" w:type="pct"/>
            <w:vAlign w:val="center"/>
          </w:tcPr>
          <w:p w14:paraId="29B7343A">
            <w:pPr>
              <w:keepNext w:val="0"/>
              <w:keepLines w:val="0"/>
              <w:widowControl/>
              <w:suppressLineNumbers w:val="0"/>
              <w:jc w:val="center"/>
              <w:textAlignment w:val="center"/>
              <w:rPr>
                <w:rFonts w:eastAsia="仿宋_GB2312"/>
                <w:b/>
                <w:bCs/>
                <w:color w:val="FF0000"/>
              </w:rPr>
            </w:pPr>
            <w:r>
              <w:rPr>
                <w:rFonts w:hint="default" w:ascii="Times New Roman" w:hAnsi="Times New Roman" w:eastAsia="宋体" w:cs="Times New Roman"/>
                <w:i w:val="0"/>
                <w:iCs w:val="0"/>
                <w:color w:val="000000"/>
                <w:kern w:val="0"/>
                <w:sz w:val="21"/>
                <w:szCs w:val="21"/>
                <w:u w:val="none"/>
                <w:lang w:val="en-US" w:eastAsia="zh-CN" w:bidi="ar"/>
              </w:rPr>
              <w:t>0.0005</w:t>
            </w:r>
          </w:p>
        </w:tc>
      </w:tr>
      <w:tr w14:paraId="11B720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2E23D926">
            <w:pPr>
              <w:jc w:val="center"/>
              <w:rPr>
                <w:rFonts w:eastAsia="仿宋_GB2312"/>
                <w:b/>
                <w:bCs/>
                <w:color w:val="FF0000"/>
              </w:rPr>
            </w:pPr>
          </w:p>
        </w:tc>
        <w:tc>
          <w:tcPr>
            <w:tcW w:w="729" w:type="pct"/>
            <w:vMerge w:val="continue"/>
            <w:vAlign w:val="center"/>
          </w:tcPr>
          <w:p w14:paraId="6C7604A2">
            <w:pPr>
              <w:jc w:val="center"/>
              <w:rPr>
                <w:rFonts w:eastAsia="仿宋_GB2312"/>
                <w:b/>
                <w:bCs/>
                <w:color w:val="FF0000"/>
              </w:rPr>
            </w:pPr>
          </w:p>
        </w:tc>
        <w:tc>
          <w:tcPr>
            <w:tcW w:w="853" w:type="pct"/>
            <w:vMerge w:val="continue"/>
            <w:vAlign w:val="center"/>
          </w:tcPr>
          <w:p w14:paraId="1F2DD5BD">
            <w:pPr>
              <w:jc w:val="center"/>
              <w:rPr>
                <w:rFonts w:eastAsia="仿宋_GB2312"/>
                <w:b/>
                <w:bCs/>
                <w:color w:val="FF0000"/>
              </w:rPr>
            </w:pPr>
          </w:p>
        </w:tc>
        <w:tc>
          <w:tcPr>
            <w:tcW w:w="1497" w:type="pct"/>
            <w:vAlign w:val="center"/>
          </w:tcPr>
          <w:p w14:paraId="25B6A773">
            <w:pPr>
              <w:keepNext w:val="0"/>
              <w:keepLines w:val="0"/>
              <w:widowControl/>
              <w:suppressLineNumbers w:val="0"/>
              <w:jc w:val="center"/>
              <w:textAlignment w:val="center"/>
              <w:rPr>
                <w:rFonts w:eastAsia="仿宋_GB2312"/>
                <w:b/>
                <w:bCs/>
                <w:color w:val="FF0000"/>
              </w:rPr>
            </w:pPr>
            <w:r>
              <w:rPr>
                <w:rFonts w:hint="default" w:ascii="仿宋_GB2312" w:hAnsi="宋体" w:eastAsia="仿宋_GB2312" w:cs="仿宋_GB2312"/>
                <w:i w:val="0"/>
                <w:iCs w:val="0"/>
                <w:color w:val="000000"/>
                <w:kern w:val="0"/>
                <w:sz w:val="21"/>
                <w:szCs w:val="21"/>
                <w:u w:val="none"/>
                <w:lang w:val="en-US" w:eastAsia="zh-CN" w:bidi="ar"/>
              </w:rPr>
              <w:t>甲苯</w:t>
            </w:r>
          </w:p>
        </w:tc>
        <w:tc>
          <w:tcPr>
            <w:tcW w:w="1105" w:type="pct"/>
            <w:vAlign w:val="center"/>
          </w:tcPr>
          <w:p w14:paraId="490B0779">
            <w:pPr>
              <w:keepNext w:val="0"/>
              <w:keepLines w:val="0"/>
              <w:widowControl/>
              <w:suppressLineNumbers w:val="0"/>
              <w:jc w:val="center"/>
              <w:textAlignment w:val="center"/>
              <w:rPr>
                <w:rFonts w:eastAsia="仿宋_GB2312"/>
                <w:b/>
                <w:bCs/>
                <w:color w:val="FF0000"/>
              </w:rPr>
            </w:pPr>
            <w:r>
              <w:rPr>
                <w:rFonts w:hint="default" w:ascii="Times New Roman" w:hAnsi="Times New Roman" w:eastAsia="宋体" w:cs="Times New Roman"/>
                <w:i w:val="0"/>
                <w:iCs w:val="0"/>
                <w:color w:val="000000"/>
                <w:kern w:val="0"/>
                <w:sz w:val="21"/>
                <w:szCs w:val="21"/>
                <w:u w:val="none"/>
                <w:lang w:val="en-US" w:eastAsia="zh-CN" w:bidi="ar"/>
              </w:rPr>
              <w:t>0.0002</w:t>
            </w:r>
          </w:p>
        </w:tc>
      </w:tr>
      <w:tr w14:paraId="73001A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43FB3A34">
            <w:pPr>
              <w:jc w:val="center"/>
              <w:rPr>
                <w:rFonts w:eastAsia="仿宋_GB2312"/>
                <w:b/>
                <w:bCs/>
                <w:color w:val="FF0000"/>
              </w:rPr>
            </w:pPr>
          </w:p>
        </w:tc>
        <w:tc>
          <w:tcPr>
            <w:tcW w:w="729" w:type="pct"/>
            <w:vMerge w:val="continue"/>
            <w:vAlign w:val="center"/>
          </w:tcPr>
          <w:p w14:paraId="436EACD2">
            <w:pPr>
              <w:jc w:val="center"/>
              <w:rPr>
                <w:rFonts w:eastAsia="仿宋_GB2312"/>
                <w:b/>
                <w:bCs/>
                <w:color w:val="FF0000"/>
              </w:rPr>
            </w:pPr>
          </w:p>
        </w:tc>
        <w:tc>
          <w:tcPr>
            <w:tcW w:w="853" w:type="pct"/>
            <w:vMerge w:val="continue"/>
            <w:vAlign w:val="center"/>
          </w:tcPr>
          <w:p w14:paraId="339A2031">
            <w:pPr>
              <w:jc w:val="center"/>
              <w:rPr>
                <w:rFonts w:eastAsia="仿宋_GB2312"/>
                <w:b/>
                <w:bCs/>
                <w:color w:val="FF0000"/>
              </w:rPr>
            </w:pPr>
          </w:p>
        </w:tc>
        <w:tc>
          <w:tcPr>
            <w:tcW w:w="1497" w:type="pct"/>
            <w:vAlign w:val="center"/>
          </w:tcPr>
          <w:p w14:paraId="377069F3">
            <w:pPr>
              <w:keepNext w:val="0"/>
              <w:keepLines w:val="0"/>
              <w:widowControl/>
              <w:suppressLineNumbers w:val="0"/>
              <w:jc w:val="center"/>
              <w:textAlignment w:val="center"/>
              <w:rPr>
                <w:rFonts w:eastAsia="仿宋_GB2312"/>
                <w:b/>
                <w:bCs/>
                <w:color w:val="FF0000"/>
              </w:rPr>
            </w:pPr>
            <w:r>
              <w:rPr>
                <w:rFonts w:hint="default" w:ascii="仿宋_GB2312" w:hAnsi="宋体" w:eastAsia="仿宋_GB2312" w:cs="仿宋_GB2312"/>
                <w:i w:val="0"/>
                <w:iCs w:val="0"/>
                <w:color w:val="000000"/>
                <w:kern w:val="0"/>
                <w:sz w:val="21"/>
                <w:szCs w:val="21"/>
                <w:u w:val="none"/>
                <w:lang w:val="en-US" w:eastAsia="zh-CN" w:bidi="ar"/>
              </w:rPr>
              <w:t>其他有机物</w:t>
            </w:r>
          </w:p>
        </w:tc>
        <w:tc>
          <w:tcPr>
            <w:tcW w:w="1105" w:type="pct"/>
            <w:vAlign w:val="center"/>
          </w:tcPr>
          <w:p w14:paraId="4927D719">
            <w:pPr>
              <w:keepNext w:val="0"/>
              <w:keepLines w:val="0"/>
              <w:widowControl/>
              <w:suppressLineNumbers w:val="0"/>
              <w:jc w:val="center"/>
              <w:textAlignment w:val="center"/>
              <w:rPr>
                <w:rFonts w:eastAsia="仿宋_GB2312"/>
                <w:b/>
                <w:bCs/>
                <w:color w:val="FF0000"/>
              </w:rPr>
            </w:pPr>
            <w:r>
              <w:rPr>
                <w:rFonts w:hint="default" w:ascii="Times New Roman" w:hAnsi="Times New Roman" w:eastAsia="宋体" w:cs="Times New Roman"/>
                <w:i w:val="0"/>
                <w:iCs w:val="0"/>
                <w:color w:val="000000"/>
                <w:kern w:val="0"/>
                <w:sz w:val="21"/>
                <w:szCs w:val="21"/>
                <w:u w:val="none"/>
                <w:lang w:val="en-US" w:eastAsia="zh-CN" w:bidi="ar"/>
              </w:rPr>
              <w:t>0.00024</w:t>
            </w:r>
          </w:p>
        </w:tc>
      </w:tr>
      <w:tr w14:paraId="0CFB28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2EAC6A14">
            <w:pPr>
              <w:jc w:val="center"/>
              <w:rPr>
                <w:rFonts w:eastAsia="仿宋_GB2312"/>
                <w:b/>
                <w:bCs/>
                <w:color w:val="FF0000"/>
              </w:rPr>
            </w:pPr>
          </w:p>
        </w:tc>
        <w:tc>
          <w:tcPr>
            <w:tcW w:w="729" w:type="pct"/>
            <w:vMerge w:val="restart"/>
            <w:vAlign w:val="center"/>
          </w:tcPr>
          <w:p w14:paraId="140723AC">
            <w:pPr>
              <w:keepNext w:val="0"/>
              <w:keepLines w:val="0"/>
              <w:widowControl/>
              <w:suppressLineNumbers w:val="0"/>
              <w:jc w:val="center"/>
              <w:textAlignment w:val="center"/>
              <w:rPr>
                <w:rFonts w:eastAsia="仿宋_GB2312"/>
                <w:b/>
                <w:bCs/>
                <w:color w:val="FF0000"/>
              </w:rPr>
            </w:pPr>
            <w:r>
              <w:rPr>
                <w:rFonts w:hint="default" w:ascii="Times New Roman" w:hAnsi="Times New Roman" w:eastAsia="宋体" w:cs="Times New Roman"/>
                <w:i w:val="0"/>
                <w:iCs w:val="0"/>
                <w:color w:val="000000"/>
                <w:kern w:val="0"/>
                <w:sz w:val="21"/>
                <w:szCs w:val="21"/>
                <w:u w:val="none"/>
                <w:lang w:val="en-US" w:eastAsia="zh-CN" w:bidi="ar"/>
              </w:rPr>
              <w:t>G2-1-5</w:t>
            </w:r>
          </w:p>
        </w:tc>
        <w:tc>
          <w:tcPr>
            <w:tcW w:w="853" w:type="pct"/>
            <w:vMerge w:val="restart"/>
            <w:vAlign w:val="center"/>
          </w:tcPr>
          <w:p w14:paraId="69DF5B6F">
            <w:pPr>
              <w:keepNext w:val="0"/>
              <w:keepLines w:val="0"/>
              <w:widowControl/>
              <w:suppressLineNumbers w:val="0"/>
              <w:jc w:val="center"/>
              <w:textAlignment w:val="center"/>
              <w:rPr>
                <w:rFonts w:eastAsia="仿宋_GB2312"/>
                <w:b/>
                <w:bCs/>
                <w:color w:val="FF0000"/>
              </w:rPr>
            </w:pPr>
            <w:r>
              <w:rPr>
                <w:rFonts w:hint="default" w:ascii="仿宋_GB2312" w:hAnsi="宋体" w:eastAsia="仿宋_GB2312" w:cs="仿宋_GB2312"/>
                <w:i w:val="0"/>
                <w:iCs w:val="0"/>
                <w:color w:val="000000"/>
                <w:kern w:val="0"/>
                <w:sz w:val="21"/>
                <w:szCs w:val="21"/>
                <w:u w:val="none"/>
                <w:lang w:val="en-US" w:eastAsia="zh-CN" w:bidi="ar"/>
              </w:rPr>
              <w:t>灌装废气</w:t>
            </w:r>
          </w:p>
        </w:tc>
        <w:tc>
          <w:tcPr>
            <w:tcW w:w="1497" w:type="pct"/>
            <w:vAlign w:val="center"/>
          </w:tcPr>
          <w:p w14:paraId="1E360F83">
            <w:pPr>
              <w:keepNext w:val="0"/>
              <w:keepLines w:val="0"/>
              <w:widowControl/>
              <w:suppressLineNumbers w:val="0"/>
              <w:jc w:val="center"/>
              <w:textAlignment w:val="center"/>
              <w:rPr>
                <w:rFonts w:eastAsia="仿宋_GB2312"/>
                <w:b/>
                <w:bCs/>
                <w:color w:val="FF0000"/>
              </w:rPr>
            </w:pPr>
            <w:r>
              <w:rPr>
                <w:rFonts w:hint="default" w:ascii="仿宋_GB2312" w:hAnsi="宋体" w:eastAsia="仿宋_GB2312" w:cs="仿宋_GB2312"/>
                <w:i w:val="0"/>
                <w:iCs w:val="0"/>
                <w:color w:val="000000"/>
                <w:kern w:val="0"/>
                <w:sz w:val="21"/>
                <w:szCs w:val="21"/>
                <w:u w:val="none"/>
                <w:lang w:val="en-US" w:eastAsia="zh-CN" w:bidi="ar"/>
              </w:rPr>
              <w:t>二氯甲烷</w:t>
            </w:r>
          </w:p>
        </w:tc>
        <w:tc>
          <w:tcPr>
            <w:tcW w:w="1105" w:type="pct"/>
            <w:vAlign w:val="center"/>
          </w:tcPr>
          <w:p w14:paraId="78BD7CC5">
            <w:pPr>
              <w:keepNext w:val="0"/>
              <w:keepLines w:val="0"/>
              <w:widowControl/>
              <w:suppressLineNumbers w:val="0"/>
              <w:jc w:val="center"/>
              <w:textAlignment w:val="center"/>
              <w:rPr>
                <w:rFonts w:eastAsia="仿宋_GB2312"/>
                <w:b/>
                <w:bCs/>
                <w:color w:val="FF0000"/>
              </w:rPr>
            </w:pPr>
            <w:r>
              <w:rPr>
                <w:rFonts w:hint="default" w:ascii="Times New Roman" w:hAnsi="Times New Roman" w:eastAsia="宋体" w:cs="Times New Roman"/>
                <w:i w:val="0"/>
                <w:iCs w:val="0"/>
                <w:color w:val="000000"/>
                <w:kern w:val="0"/>
                <w:sz w:val="21"/>
                <w:szCs w:val="21"/>
                <w:u w:val="none"/>
                <w:lang w:val="en-US" w:eastAsia="zh-CN" w:bidi="ar"/>
              </w:rPr>
              <w:t>0.037</w:t>
            </w:r>
          </w:p>
        </w:tc>
      </w:tr>
      <w:tr w14:paraId="3DA6B0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7C170651">
            <w:pPr>
              <w:jc w:val="center"/>
              <w:rPr>
                <w:rFonts w:eastAsia="仿宋_GB2312"/>
                <w:b/>
                <w:bCs/>
                <w:color w:val="FF0000"/>
              </w:rPr>
            </w:pPr>
          </w:p>
        </w:tc>
        <w:tc>
          <w:tcPr>
            <w:tcW w:w="729" w:type="pct"/>
            <w:vMerge w:val="continue"/>
            <w:vAlign w:val="center"/>
          </w:tcPr>
          <w:p w14:paraId="3EE2EF6B">
            <w:pPr>
              <w:jc w:val="center"/>
              <w:rPr>
                <w:rFonts w:eastAsia="仿宋_GB2312"/>
                <w:b/>
                <w:bCs/>
                <w:color w:val="FF0000"/>
              </w:rPr>
            </w:pPr>
          </w:p>
        </w:tc>
        <w:tc>
          <w:tcPr>
            <w:tcW w:w="853" w:type="pct"/>
            <w:vMerge w:val="continue"/>
            <w:vAlign w:val="center"/>
          </w:tcPr>
          <w:p w14:paraId="69075485">
            <w:pPr>
              <w:jc w:val="center"/>
              <w:rPr>
                <w:rFonts w:eastAsia="仿宋_GB2312"/>
                <w:b/>
                <w:bCs/>
                <w:color w:val="FF0000"/>
              </w:rPr>
            </w:pPr>
          </w:p>
        </w:tc>
        <w:tc>
          <w:tcPr>
            <w:tcW w:w="1497" w:type="pct"/>
            <w:vAlign w:val="center"/>
          </w:tcPr>
          <w:p w14:paraId="4F7A5B50">
            <w:pPr>
              <w:keepNext w:val="0"/>
              <w:keepLines w:val="0"/>
              <w:widowControl/>
              <w:suppressLineNumbers w:val="0"/>
              <w:jc w:val="center"/>
              <w:textAlignment w:val="center"/>
              <w:rPr>
                <w:rFonts w:eastAsia="仿宋_GB2312"/>
                <w:b/>
                <w:bCs/>
                <w:color w:val="FF0000"/>
              </w:rPr>
            </w:pPr>
            <w:r>
              <w:rPr>
                <w:rFonts w:hint="default" w:ascii="仿宋_GB2312" w:hAnsi="宋体" w:eastAsia="仿宋_GB2312" w:cs="仿宋_GB2312"/>
                <w:i w:val="0"/>
                <w:iCs w:val="0"/>
                <w:color w:val="000000"/>
                <w:kern w:val="0"/>
                <w:sz w:val="21"/>
                <w:szCs w:val="21"/>
                <w:u w:val="none"/>
                <w:lang w:val="en-US" w:eastAsia="zh-CN" w:bidi="ar"/>
              </w:rPr>
              <w:t>乙酸乙酯</w:t>
            </w:r>
          </w:p>
        </w:tc>
        <w:tc>
          <w:tcPr>
            <w:tcW w:w="1105" w:type="pct"/>
            <w:vAlign w:val="center"/>
          </w:tcPr>
          <w:p w14:paraId="553EDF8B">
            <w:pPr>
              <w:keepNext w:val="0"/>
              <w:keepLines w:val="0"/>
              <w:widowControl/>
              <w:suppressLineNumbers w:val="0"/>
              <w:jc w:val="center"/>
              <w:textAlignment w:val="center"/>
              <w:rPr>
                <w:rFonts w:eastAsia="仿宋_GB2312"/>
                <w:b/>
                <w:bCs/>
                <w:color w:val="FF0000"/>
              </w:rPr>
            </w:pPr>
            <w:r>
              <w:rPr>
                <w:rFonts w:hint="default" w:ascii="Times New Roman" w:hAnsi="Times New Roman" w:eastAsia="宋体" w:cs="Times New Roman"/>
                <w:i w:val="0"/>
                <w:iCs w:val="0"/>
                <w:color w:val="000000"/>
                <w:kern w:val="0"/>
                <w:sz w:val="21"/>
                <w:szCs w:val="21"/>
                <w:u w:val="none"/>
                <w:lang w:val="en-US" w:eastAsia="zh-CN" w:bidi="ar"/>
              </w:rPr>
              <w:t>0.00002</w:t>
            </w:r>
          </w:p>
        </w:tc>
      </w:tr>
      <w:tr w14:paraId="1E91740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2B3CA33C">
            <w:pPr>
              <w:jc w:val="center"/>
              <w:rPr>
                <w:rFonts w:eastAsia="仿宋_GB2312"/>
                <w:b/>
                <w:bCs/>
                <w:color w:val="FF0000"/>
              </w:rPr>
            </w:pPr>
          </w:p>
        </w:tc>
        <w:tc>
          <w:tcPr>
            <w:tcW w:w="729" w:type="pct"/>
            <w:vMerge w:val="continue"/>
            <w:vAlign w:val="center"/>
          </w:tcPr>
          <w:p w14:paraId="63B7B1E7">
            <w:pPr>
              <w:jc w:val="center"/>
              <w:rPr>
                <w:rFonts w:eastAsia="仿宋_GB2312"/>
                <w:b/>
                <w:bCs/>
                <w:color w:val="FF0000"/>
              </w:rPr>
            </w:pPr>
          </w:p>
        </w:tc>
        <w:tc>
          <w:tcPr>
            <w:tcW w:w="853" w:type="pct"/>
            <w:vMerge w:val="continue"/>
            <w:vAlign w:val="center"/>
          </w:tcPr>
          <w:p w14:paraId="134C99BD">
            <w:pPr>
              <w:jc w:val="center"/>
              <w:rPr>
                <w:rFonts w:eastAsia="仿宋_GB2312"/>
                <w:b/>
                <w:bCs/>
                <w:color w:val="FF0000"/>
              </w:rPr>
            </w:pPr>
          </w:p>
        </w:tc>
        <w:tc>
          <w:tcPr>
            <w:tcW w:w="1497" w:type="pct"/>
            <w:vAlign w:val="center"/>
          </w:tcPr>
          <w:p w14:paraId="5BE0F6A6">
            <w:pPr>
              <w:keepNext w:val="0"/>
              <w:keepLines w:val="0"/>
              <w:widowControl/>
              <w:suppressLineNumbers w:val="0"/>
              <w:jc w:val="center"/>
              <w:textAlignment w:val="center"/>
              <w:rPr>
                <w:rFonts w:eastAsia="仿宋_GB2312"/>
                <w:b/>
                <w:bCs/>
                <w:color w:val="FF0000"/>
              </w:rPr>
            </w:pPr>
            <w:r>
              <w:rPr>
                <w:rFonts w:hint="default" w:ascii="仿宋_GB2312" w:hAnsi="宋体" w:eastAsia="仿宋_GB2312" w:cs="仿宋_GB2312"/>
                <w:i w:val="0"/>
                <w:iCs w:val="0"/>
                <w:color w:val="000000"/>
                <w:kern w:val="0"/>
                <w:sz w:val="21"/>
                <w:szCs w:val="21"/>
                <w:u w:val="none"/>
                <w:lang w:val="en-US" w:eastAsia="zh-CN" w:bidi="ar"/>
              </w:rPr>
              <w:t>甲苯</w:t>
            </w:r>
          </w:p>
        </w:tc>
        <w:tc>
          <w:tcPr>
            <w:tcW w:w="1105" w:type="pct"/>
            <w:vAlign w:val="center"/>
          </w:tcPr>
          <w:p w14:paraId="4EDE01A0">
            <w:pPr>
              <w:keepNext w:val="0"/>
              <w:keepLines w:val="0"/>
              <w:widowControl/>
              <w:suppressLineNumbers w:val="0"/>
              <w:jc w:val="center"/>
              <w:textAlignment w:val="center"/>
              <w:rPr>
                <w:rFonts w:eastAsia="仿宋_GB2312"/>
                <w:b/>
                <w:bCs/>
                <w:color w:val="FF0000"/>
              </w:rPr>
            </w:pPr>
            <w:r>
              <w:rPr>
                <w:rFonts w:hint="default" w:ascii="Times New Roman" w:hAnsi="Times New Roman" w:eastAsia="宋体" w:cs="Times New Roman"/>
                <w:i w:val="0"/>
                <w:iCs w:val="0"/>
                <w:color w:val="000000"/>
                <w:kern w:val="0"/>
                <w:sz w:val="21"/>
                <w:szCs w:val="21"/>
                <w:u w:val="none"/>
                <w:lang w:val="en-US" w:eastAsia="zh-CN" w:bidi="ar"/>
              </w:rPr>
              <w:t>0.00002</w:t>
            </w:r>
          </w:p>
        </w:tc>
      </w:tr>
      <w:tr w14:paraId="6E6F1788">
        <w:tblPrEx>
          <w:tblCellMar>
            <w:top w:w="0" w:type="dxa"/>
            <w:left w:w="108" w:type="dxa"/>
            <w:bottom w:w="0" w:type="dxa"/>
            <w:right w:w="108" w:type="dxa"/>
          </w:tblCellMar>
        </w:tblPrEx>
        <w:trPr>
          <w:trHeight w:val="340" w:hRule="atLeast"/>
          <w:tblHeader/>
          <w:jc w:val="center"/>
        </w:trPr>
        <w:tc>
          <w:tcPr>
            <w:tcW w:w="814" w:type="pct"/>
            <w:vMerge w:val="continue"/>
            <w:vAlign w:val="center"/>
          </w:tcPr>
          <w:p w14:paraId="500B940C">
            <w:pPr>
              <w:jc w:val="center"/>
              <w:rPr>
                <w:rFonts w:eastAsia="仿宋_GB2312"/>
                <w:b/>
                <w:bCs/>
                <w:color w:val="FF0000"/>
              </w:rPr>
            </w:pPr>
          </w:p>
        </w:tc>
        <w:tc>
          <w:tcPr>
            <w:tcW w:w="729" w:type="pct"/>
            <w:vMerge w:val="restart"/>
            <w:vAlign w:val="center"/>
          </w:tcPr>
          <w:p w14:paraId="5E53C828">
            <w:pPr>
              <w:keepNext w:val="0"/>
              <w:keepLines w:val="0"/>
              <w:widowControl/>
              <w:suppressLineNumbers w:val="0"/>
              <w:jc w:val="center"/>
              <w:textAlignment w:val="center"/>
              <w:rPr>
                <w:rFonts w:eastAsia="仿宋_GB2312"/>
                <w:b/>
                <w:bCs/>
                <w:color w:val="FF0000"/>
              </w:rPr>
            </w:pPr>
            <w:r>
              <w:rPr>
                <w:rFonts w:hint="default" w:ascii="Times New Roman" w:hAnsi="Times New Roman" w:eastAsia="宋体" w:cs="Times New Roman"/>
                <w:i w:val="0"/>
                <w:iCs w:val="0"/>
                <w:color w:val="000000"/>
                <w:kern w:val="0"/>
                <w:sz w:val="21"/>
                <w:szCs w:val="21"/>
                <w:u w:val="none"/>
                <w:lang w:val="en-US" w:eastAsia="zh-CN" w:bidi="ar"/>
              </w:rPr>
              <w:t>G2-2-1</w:t>
            </w:r>
          </w:p>
        </w:tc>
        <w:tc>
          <w:tcPr>
            <w:tcW w:w="853" w:type="pct"/>
            <w:vMerge w:val="restart"/>
            <w:vAlign w:val="center"/>
          </w:tcPr>
          <w:p w14:paraId="1A8E5B00">
            <w:pPr>
              <w:keepNext w:val="0"/>
              <w:keepLines w:val="0"/>
              <w:widowControl/>
              <w:suppressLineNumbers w:val="0"/>
              <w:jc w:val="center"/>
              <w:textAlignment w:val="center"/>
              <w:rPr>
                <w:rFonts w:eastAsia="仿宋_GB2312"/>
                <w:b/>
                <w:bCs/>
                <w:color w:val="FF0000"/>
              </w:rPr>
            </w:pPr>
            <w:r>
              <w:rPr>
                <w:rFonts w:hint="default" w:ascii="仿宋_GB2312" w:hAnsi="宋体" w:eastAsia="仿宋_GB2312" w:cs="仿宋_GB2312"/>
                <w:i w:val="0"/>
                <w:iCs w:val="0"/>
                <w:color w:val="000000"/>
                <w:kern w:val="0"/>
                <w:sz w:val="21"/>
                <w:szCs w:val="21"/>
                <w:u w:val="none"/>
                <w:lang w:val="en-US" w:eastAsia="zh-CN" w:bidi="ar"/>
              </w:rPr>
              <w:t>投料废气</w:t>
            </w:r>
          </w:p>
        </w:tc>
        <w:tc>
          <w:tcPr>
            <w:tcW w:w="1497" w:type="pct"/>
            <w:vAlign w:val="center"/>
          </w:tcPr>
          <w:p w14:paraId="336D8017">
            <w:pPr>
              <w:keepNext w:val="0"/>
              <w:keepLines w:val="0"/>
              <w:widowControl/>
              <w:suppressLineNumbers w:val="0"/>
              <w:jc w:val="center"/>
              <w:textAlignment w:val="center"/>
              <w:rPr>
                <w:rFonts w:eastAsia="仿宋_GB2312"/>
                <w:b/>
                <w:bCs/>
                <w:color w:val="FF0000"/>
              </w:rPr>
            </w:pPr>
            <w:r>
              <w:rPr>
                <w:rFonts w:hint="default" w:ascii="仿宋_GB2312" w:hAnsi="宋体" w:eastAsia="仿宋_GB2312" w:cs="仿宋_GB2312"/>
                <w:i w:val="0"/>
                <w:iCs w:val="0"/>
                <w:color w:val="000000"/>
                <w:kern w:val="0"/>
                <w:sz w:val="21"/>
                <w:szCs w:val="21"/>
                <w:u w:val="none"/>
                <w:lang w:val="en-US" w:eastAsia="zh-CN" w:bidi="ar"/>
              </w:rPr>
              <w:t>甲苯</w:t>
            </w:r>
          </w:p>
        </w:tc>
        <w:tc>
          <w:tcPr>
            <w:tcW w:w="1105" w:type="pct"/>
            <w:vAlign w:val="center"/>
          </w:tcPr>
          <w:p w14:paraId="314612C4">
            <w:pPr>
              <w:keepNext w:val="0"/>
              <w:keepLines w:val="0"/>
              <w:widowControl/>
              <w:suppressLineNumbers w:val="0"/>
              <w:jc w:val="center"/>
              <w:textAlignment w:val="center"/>
              <w:rPr>
                <w:rFonts w:eastAsia="仿宋_GB2312"/>
                <w:b/>
                <w:bCs/>
                <w:color w:val="FF0000"/>
              </w:rPr>
            </w:pPr>
            <w:r>
              <w:rPr>
                <w:rFonts w:hint="default" w:ascii="Times New Roman" w:hAnsi="Times New Roman" w:eastAsia="宋体" w:cs="Times New Roman"/>
                <w:i w:val="0"/>
                <w:iCs w:val="0"/>
                <w:color w:val="000000"/>
                <w:kern w:val="0"/>
                <w:sz w:val="21"/>
                <w:szCs w:val="21"/>
                <w:u w:val="none"/>
                <w:lang w:val="en-US" w:eastAsia="zh-CN" w:bidi="ar"/>
              </w:rPr>
              <w:t>0.0274</w:t>
            </w:r>
          </w:p>
        </w:tc>
      </w:tr>
      <w:tr w14:paraId="5C4E2B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03B45F17">
            <w:pPr>
              <w:jc w:val="center"/>
              <w:rPr>
                <w:rFonts w:eastAsia="仿宋_GB2312"/>
                <w:b/>
                <w:bCs/>
                <w:color w:val="FF0000"/>
              </w:rPr>
            </w:pPr>
          </w:p>
        </w:tc>
        <w:tc>
          <w:tcPr>
            <w:tcW w:w="729" w:type="pct"/>
            <w:vMerge w:val="continue"/>
            <w:vAlign w:val="center"/>
          </w:tcPr>
          <w:p w14:paraId="527353AD">
            <w:pPr>
              <w:jc w:val="center"/>
              <w:rPr>
                <w:rFonts w:eastAsia="仿宋_GB2312"/>
                <w:b/>
                <w:bCs/>
                <w:color w:val="FF0000"/>
              </w:rPr>
            </w:pPr>
          </w:p>
        </w:tc>
        <w:tc>
          <w:tcPr>
            <w:tcW w:w="853" w:type="pct"/>
            <w:vMerge w:val="continue"/>
            <w:vAlign w:val="center"/>
          </w:tcPr>
          <w:p w14:paraId="26585D89">
            <w:pPr>
              <w:jc w:val="center"/>
              <w:rPr>
                <w:rFonts w:eastAsia="仿宋_GB2312"/>
                <w:b/>
                <w:bCs/>
                <w:color w:val="FF0000"/>
              </w:rPr>
            </w:pPr>
          </w:p>
        </w:tc>
        <w:tc>
          <w:tcPr>
            <w:tcW w:w="1497" w:type="pct"/>
            <w:vAlign w:val="center"/>
          </w:tcPr>
          <w:p w14:paraId="4BA4F38C">
            <w:pPr>
              <w:keepNext w:val="0"/>
              <w:keepLines w:val="0"/>
              <w:widowControl/>
              <w:suppressLineNumbers w:val="0"/>
              <w:jc w:val="center"/>
              <w:textAlignment w:val="center"/>
              <w:rPr>
                <w:rFonts w:eastAsia="仿宋_GB2312"/>
                <w:b/>
                <w:bCs/>
                <w:color w:val="FF0000"/>
              </w:rPr>
            </w:pPr>
            <w:r>
              <w:rPr>
                <w:rFonts w:hint="default" w:ascii="仿宋_GB2312" w:hAnsi="宋体" w:eastAsia="仿宋_GB2312" w:cs="仿宋_GB2312"/>
                <w:i w:val="0"/>
                <w:iCs w:val="0"/>
                <w:color w:val="000000"/>
                <w:kern w:val="0"/>
                <w:sz w:val="21"/>
                <w:szCs w:val="21"/>
                <w:u w:val="none"/>
                <w:lang w:val="en-US" w:eastAsia="zh-CN" w:bidi="ar"/>
              </w:rPr>
              <w:t>二甲苯</w:t>
            </w:r>
          </w:p>
        </w:tc>
        <w:tc>
          <w:tcPr>
            <w:tcW w:w="1105" w:type="pct"/>
            <w:vAlign w:val="center"/>
          </w:tcPr>
          <w:p w14:paraId="358D30C3">
            <w:pPr>
              <w:keepNext w:val="0"/>
              <w:keepLines w:val="0"/>
              <w:widowControl/>
              <w:suppressLineNumbers w:val="0"/>
              <w:jc w:val="center"/>
              <w:textAlignment w:val="center"/>
              <w:rPr>
                <w:rFonts w:eastAsia="仿宋_GB2312"/>
                <w:b/>
                <w:bCs/>
                <w:color w:val="FF0000"/>
              </w:rPr>
            </w:pPr>
            <w:r>
              <w:rPr>
                <w:rFonts w:hint="default" w:ascii="Times New Roman" w:hAnsi="Times New Roman" w:eastAsia="宋体" w:cs="Times New Roman"/>
                <w:i w:val="0"/>
                <w:iCs w:val="0"/>
                <w:color w:val="000000"/>
                <w:kern w:val="0"/>
                <w:sz w:val="21"/>
                <w:szCs w:val="21"/>
                <w:u w:val="none"/>
                <w:lang w:val="en-US" w:eastAsia="zh-CN" w:bidi="ar"/>
              </w:rPr>
              <w:t>0.0002</w:t>
            </w:r>
          </w:p>
        </w:tc>
      </w:tr>
      <w:tr w14:paraId="09DEA4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6F620105">
            <w:pPr>
              <w:jc w:val="center"/>
              <w:rPr>
                <w:rFonts w:eastAsia="仿宋_GB2312"/>
                <w:b/>
                <w:bCs/>
                <w:color w:val="FF0000"/>
              </w:rPr>
            </w:pPr>
          </w:p>
        </w:tc>
        <w:tc>
          <w:tcPr>
            <w:tcW w:w="729" w:type="pct"/>
            <w:vMerge w:val="continue"/>
            <w:vAlign w:val="center"/>
          </w:tcPr>
          <w:p w14:paraId="7E75F97E">
            <w:pPr>
              <w:jc w:val="center"/>
              <w:rPr>
                <w:rFonts w:eastAsia="仿宋_GB2312"/>
                <w:b/>
                <w:bCs/>
                <w:color w:val="FF0000"/>
              </w:rPr>
            </w:pPr>
          </w:p>
        </w:tc>
        <w:tc>
          <w:tcPr>
            <w:tcW w:w="853" w:type="pct"/>
            <w:vMerge w:val="continue"/>
            <w:vAlign w:val="center"/>
          </w:tcPr>
          <w:p w14:paraId="5467BB19">
            <w:pPr>
              <w:jc w:val="center"/>
              <w:rPr>
                <w:rFonts w:eastAsia="仿宋_GB2312"/>
                <w:b/>
                <w:bCs/>
                <w:color w:val="FF0000"/>
              </w:rPr>
            </w:pPr>
          </w:p>
        </w:tc>
        <w:tc>
          <w:tcPr>
            <w:tcW w:w="1497" w:type="pct"/>
            <w:vAlign w:val="center"/>
          </w:tcPr>
          <w:p w14:paraId="3E0A50D4">
            <w:pPr>
              <w:keepNext w:val="0"/>
              <w:keepLines w:val="0"/>
              <w:widowControl/>
              <w:suppressLineNumbers w:val="0"/>
              <w:jc w:val="center"/>
              <w:textAlignment w:val="center"/>
              <w:rPr>
                <w:rFonts w:eastAsia="仿宋_GB2312"/>
                <w:b/>
                <w:bCs/>
                <w:color w:val="FF0000"/>
              </w:rPr>
            </w:pPr>
            <w:r>
              <w:rPr>
                <w:rFonts w:hint="default" w:ascii="仿宋_GB2312" w:hAnsi="宋体" w:eastAsia="仿宋_GB2312" w:cs="仿宋_GB2312"/>
                <w:i w:val="0"/>
                <w:iCs w:val="0"/>
                <w:color w:val="000000"/>
                <w:kern w:val="0"/>
                <w:sz w:val="21"/>
                <w:szCs w:val="21"/>
                <w:u w:val="none"/>
                <w:lang w:val="en-US" w:eastAsia="zh-CN" w:bidi="ar"/>
              </w:rPr>
              <w:t>环己酮</w:t>
            </w:r>
          </w:p>
        </w:tc>
        <w:tc>
          <w:tcPr>
            <w:tcW w:w="1105" w:type="pct"/>
            <w:vAlign w:val="center"/>
          </w:tcPr>
          <w:p w14:paraId="73CDE2F8">
            <w:pPr>
              <w:keepNext w:val="0"/>
              <w:keepLines w:val="0"/>
              <w:widowControl/>
              <w:suppressLineNumbers w:val="0"/>
              <w:jc w:val="center"/>
              <w:textAlignment w:val="center"/>
              <w:rPr>
                <w:rFonts w:eastAsia="仿宋_GB2312"/>
                <w:b/>
                <w:bCs/>
                <w:color w:val="FF0000"/>
              </w:rPr>
            </w:pPr>
            <w:r>
              <w:rPr>
                <w:rFonts w:hint="default" w:ascii="Times New Roman" w:hAnsi="Times New Roman" w:eastAsia="宋体" w:cs="Times New Roman"/>
                <w:i w:val="0"/>
                <w:iCs w:val="0"/>
                <w:color w:val="000000"/>
                <w:kern w:val="0"/>
                <w:sz w:val="21"/>
                <w:szCs w:val="21"/>
                <w:u w:val="none"/>
                <w:lang w:val="en-US" w:eastAsia="zh-CN" w:bidi="ar"/>
              </w:rPr>
              <w:t>0.0002</w:t>
            </w:r>
          </w:p>
        </w:tc>
      </w:tr>
      <w:tr w14:paraId="1A44CF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5B2729C0">
            <w:pPr>
              <w:jc w:val="center"/>
              <w:rPr>
                <w:rFonts w:eastAsia="仿宋_GB2312"/>
                <w:b/>
                <w:bCs/>
                <w:color w:val="FF0000"/>
              </w:rPr>
            </w:pPr>
          </w:p>
        </w:tc>
        <w:tc>
          <w:tcPr>
            <w:tcW w:w="729" w:type="pct"/>
            <w:vMerge w:val="continue"/>
            <w:vAlign w:val="center"/>
          </w:tcPr>
          <w:p w14:paraId="6AD216BB">
            <w:pPr>
              <w:jc w:val="center"/>
              <w:rPr>
                <w:rFonts w:eastAsia="仿宋_GB2312"/>
                <w:b/>
                <w:bCs/>
                <w:color w:val="FF0000"/>
              </w:rPr>
            </w:pPr>
          </w:p>
        </w:tc>
        <w:tc>
          <w:tcPr>
            <w:tcW w:w="853" w:type="pct"/>
            <w:vMerge w:val="continue"/>
            <w:vAlign w:val="center"/>
          </w:tcPr>
          <w:p w14:paraId="6D865F07">
            <w:pPr>
              <w:jc w:val="center"/>
              <w:rPr>
                <w:rFonts w:eastAsia="仿宋_GB2312"/>
                <w:b/>
                <w:bCs/>
                <w:color w:val="FF0000"/>
              </w:rPr>
            </w:pPr>
          </w:p>
        </w:tc>
        <w:tc>
          <w:tcPr>
            <w:tcW w:w="1497" w:type="pct"/>
            <w:vAlign w:val="center"/>
          </w:tcPr>
          <w:p w14:paraId="5296FC01">
            <w:pPr>
              <w:keepNext w:val="0"/>
              <w:keepLines w:val="0"/>
              <w:widowControl/>
              <w:suppressLineNumbers w:val="0"/>
              <w:jc w:val="center"/>
              <w:textAlignment w:val="center"/>
              <w:rPr>
                <w:rFonts w:eastAsia="仿宋_GB2312"/>
                <w:b/>
                <w:bCs/>
                <w:color w:val="FF0000"/>
              </w:rPr>
            </w:pPr>
            <w:r>
              <w:rPr>
                <w:rFonts w:hint="default" w:ascii="仿宋_GB2312" w:hAnsi="宋体" w:eastAsia="仿宋_GB2312" w:cs="仿宋_GB2312"/>
                <w:i w:val="0"/>
                <w:iCs w:val="0"/>
                <w:color w:val="000000"/>
                <w:kern w:val="0"/>
                <w:sz w:val="21"/>
                <w:szCs w:val="21"/>
                <w:u w:val="none"/>
                <w:lang w:val="en-US" w:eastAsia="zh-CN" w:bidi="ar"/>
              </w:rPr>
              <w:t>其他有机物</w:t>
            </w:r>
          </w:p>
        </w:tc>
        <w:tc>
          <w:tcPr>
            <w:tcW w:w="1105" w:type="pct"/>
            <w:vAlign w:val="center"/>
          </w:tcPr>
          <w:p w14:paraId="5E1A9C0D">
            <w:pPr>
              <w:keepNext w:val="0"/>
              <w:keepLines w:val="0"/>
              <w:widowControl/>
              <w:suppressLineNumbers w:val="0"/>
              <w:jc w:val="center"/>
              <w:textAlignment w:val="center"/>
              <w:rPr>
                <w:rFonts w:eastAsia="仿宋_GB2312"/>
                <w:b/>
                <w:bCs/>
                <w:color w:val="FF0000"/>
              </w:rPr>
            </w:pPr>
            <w:r>
              <w:rPr>
                <w:rFonts w:hint="default" w:ascii="Times New Roman" w:hAnsi="Times New Roman" w:eastAsia="宋体" w:cs="Times New Roman"/>
                <w:i w:val="0"/>
                <w:iCs w:val="0"/>
                <w:color w:val="000000"/>
                <w:kern w:val="0"/>
                <w:sz w:val="21"/>
                <w:szCs w:val="21"/>
                <w:u w:val="none"/>
                <w:lang w:val="en-US" w:eastAsia="zh-CN" w:bidi="ar"/>
              </w:rPr>
              <w:t>0.0002</w:t>
            </w:r>
          </w:p>
        </w:tc>
      </w:tr>
      <w:tr w14:paraId="2BF17D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56182F68">
            <w:pPr>
              <w:jc w:val="center"/>
              <w:rPr>
                <w:rFonts w:eastAsia="仿宋_GB2312"/>
                <w:b/>
                <w:bCs/>
                <w:color w:val="FF0000"/>
              </w:rPr>
            </w:pPr>
          </w:p>
        </w:tc>
        <w:tc>
          <w:tcPr>
            <w:tcW w:w="729" w:type="pct"/>
            <w:vMerge w:val="restart"/>
            <w:vAlign w:val="center"/>
          </w:tcPr>
          <w:p w14:paraId="54C209BA">
            <w:pPr>
              <w:keepNext w:val="0"/>
              <w:keepLines w:val="0"/>
              <w:widowControl/>
              <w:suppressLineNumbers w:val="0"/>
              <w:jc w:val="center"/>
              <w:textAlignment w:val="center"/>
              <w:rPr>
                <w:rFonts w:eastAsia="仿宋_GB2312"/>
                <w:b/>
                <w:bCs/>
                <w:color w:val="FF0000"/>
              </w:rPr>
            </w:pPr>
            <w:r>
              <w:rPr>
                <w:rFonts w:hint="default" w:ascii="Times New Roman" w:hAnsi="Times New Roman" w:eastAsia="宋体" w:cs="Times New Roman"/>
                <w:i w:val="0"/>
                <w:iCs w:val="0"/>
                <w:color w:val="000000"/>
                <w:kern w:val="0"/>
                <w:sz w:val="21"/>
                <w:szCs w:val="21"/>
                <w:u w:val="none"/>
                <w:lang w:val="en-US" w:eastAsia="zh-CN" w:bidi="ar"/>
              </w:rPr>
              <w:t>G2-2-5</w:t>
            </w:r>
          </w:p>
        </w:tc>
        <w:tc>
          <w:tcPr>
            <w:tcW w:w="853" w:type="pct"/>
            <w:vMerge w:val="restart"/>
            <w:vAlign w:val="center"/>
          </w:tcPr>
          <w:p w14:paraId="337456B7">
            <w:pPr>
              <w:keepNext w:val="0"/>
              <w:keepLines w:val="0"/>
              <w:widowControl/>
              <w:suppressLineNumbers w:val="0"/>
              <w:jc w:val="center"/>
              <w:textAlignment w:val="center"/>
              <w:rPr>
                <w:rFonts w:eastAsia="仿宋_GB2312"/>
                <w:b/>
                <w:bCs/>
                <w:color w:val="FF0000"/>
              </w:rPr>
            </w:pPr>
            <w:r>
              <w:rPr>
                <w:rFonts w:hint="default" w:ascii="仿宋_GB2312" w:hAnsi="宋体" w:eastAsia="仿宋_GB2312" w:cs="仿宋_GB2312"/>
                <w:i w:val="0"/>
                <w:iCs w:val="0"/>
                <w:color w:val="000000"/>
                <w:kern w:val="0"/>
                <w:sz w:val="21"/>
                <w:szCs w:val="21"/>
                <w:u w:val="none"/>
                <w:lang w:val="en-US" w:eastAsia="zh-CN" w:bidi="ar"/>
              </w:rPr>
              <w:t>灌装废气</w:t>
            </w:r>
          </w:p>
        </w:tc>
        <w:tc>
          <w:tcPr>
            <w:tcW w:w="1497" w:type="pct"/>
            <w:vAlign w:val="center"/>
          </w:tcPr>
          <w:p w14:paraId="746BCBB7">
            <w:pPr>
              <w:keepNext w:val="0"/>
              <w:keepLines w:val="0"/>
              <w:widowControl/>
              <w:suppressLineNumbers w:val="0"/>
              <w:jc w:val="center"/>
              <w:textAlignment w:val="center"/>
              <w:rPr>
                <w:rFonts w:eastAsia="仿宋_GB2312"/>
                <w:b/>
                <w:bCs/>
                <w:color w:val="FF0000"/>
              </w:rPr>
            </w:pPr>
            <w:r>
              <w:rPr>
                <w:rFonts w:hint="default" w:ascii="仿宋_GB2312" w:hAnsi="宋体" w:eastAsia="仿宋_GB2312" w:cs="仿宋_GB2312"/>
                <w:i w:val="0"/>
                <w:iCs w:val="0"/>
                <w:color w:val="000000"/>
                <w:kern w:val="0"/>
                <w:sz w:val="21"/>
                <w:szCs w:val="21"/>
                <w:u w:val="none"/>
                <w:lang w:val="en-US" w:eastAsia="zh-CN" w:bidi="ar"/>
              </w:rPr>
              <w:t>甲苯</w:t>
            </w:r>
          </w:p>
        </w:tc>
        <w:tc>
          <w:tcPr>
            <w:tcW w:w="1105" w:type="pct"/>
            <w:vAlign w:val="center"/>
          </w:tcPr>
          <w:p w14:paraId="6FA7A33E">
            <w:pPr>
              <w:keepNext w:val="0"/>
              <w:keepLines w:val="0"/>
              <w:widowControl/>
              <w:suppressLineNumbers w:val="0"/>
              <w:jc w:val="center"/>
              <w:textAlignment w:val="center"/>
              <w:rPr>
                <w:rFonts w:eastAsia="仿宋_GB2312"/>
                <w:b/>
                <w:bCs/>
                <w:color w:val="FF0000"/>
              </w:rPr>
            </w:pPr>
            <w:r>
              <w:rPr>
                <w:rFonts w:hint="default" w:ascii="Times New Roman" w:hAnsi="Times New Roman" w:eastAsia="宋体" w:cs="Times New Roman"/>
                <w:i w:val="0"/>
                <w:iCs w:val="0"/>
                <w:color w:val="000000"/>
                <w:kern w:val="0"/>
                <w:sz w:val="21"/>
                <w:szCs w:val="21"/>
                <w:u w:val="none"/>
                <w:lang w:val="en-US" w:eastAsia="zh-CN" w:bidi="ar"/>
              </w:rPr>
              <w:t>0.04</w:t>
            </w:r>
          </w:p>
        </w:tc>
      </w:tr>
      <w:tr w14:paraId="422E92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4C5F344F">
            <w:pPr>
              <w:jc w:val="center"/>
              <w:rPr>
                <w:rFonts w:eastAsia="仿宋_GB2312"/>
                <w:b/>
                <w:bCs/>
                <w:color w:val="FF0000"/>
              </w:rPr>
            </w:pPr>
          </w:p>
        </w:tc>
        <w:tc>
          <w:tcPr>
            <w:tcW w:w="729" w:type="pct"/>
            <w:vMerge w:val="continue"/>
            <w:vAlign w:val="center"/>
          </w:tcPr>
          <w:p w14:paraId="080F3D59">
            <w:pPr>
              <w:jc w:val="center"/>
              <w:rPr>
                <w:rFonts w:eastAsia="仿宋_GB2312"/>
                <w:b/>
                <w:bCs/>
                <w:color w:val="FF0000"/>
              </w:rPr>
            </w:pPr>
          </w:p>
        </w:tc>
        <w:tc>
          <w:tcPr>
            <w:tcW w:w="853" w:type="pct"/>
            <w:vMerge w:val="continue"/>
            <w:vAlign w:val="center"/>
          </w:tcPr>
          <w:p w14:paraId="053118AD">
            <w:pPr>
              <w:jc w:val="center"/>
              <w:rPr>
                <w:rFonts w:eastAsia="仿宋_GB2312"/>
                <w:b/>
                <w:bCs/>
                <w:color w:val="FF0000"/>
              </w:rPr>
            </w:pPr>
          </w:p>
        </w:tc>
        <w:tc>
          <w:tcPr>
            <w:tcW w:w="1497" w:type="pct"/>
            <w:vAlign w:val="center"/>
          </w:tcPr>
          <w:p w14:paraId="6C0081F1">
            <w:pPr>
              <w:keepNext w:val="0"/>
              <w:keepLines w:val="0"/>
              <w:widowControl/>
              <w:suppressLineNumbers w:val="0"/>
              <w:jc w:val="center"/>
              <w:textAlignment w:val="center"/>
              <w:rPr>
                <w:rFonts w:eastAsia="仿宋_GB2312"/>
                <w:b/>
                <w:bCs/>
                <w:color w:val="FF0000"/>
              </w:rPr>
            </w:pPr>
            <w:r>
              <w:rPr>
                <w:rFonts w:hint="default" w:ascii="仿宋_GB2312" w:hAnsi="宋体" w:eastAsia="仿宋_GB2312" w:cs="仿宋_GB2312"/>
                <w:i w:val="0"/>
                <w:iCs w:val="0"/>
                <w:color w:val="000000"/>
                <w:kern w:val="0"/>
                <w:sz w:val="21"/>
                <w:szCs w:val="21"/>
                <w:u w:val="none"/>
                <w:lang w:val="en-US" w:eastAsia="zh-CN" w:bidi="ar"/>
              </w:rPr>
              <w:t>二甲苯</w:t>
            </w:r>
          </w:p>
        </w:tc>
        <w:tc>
          <w:tcPr>
            <w:tcW w:w="1105" w:type="pct"/>
            <w:vAlign w:val="center"/>
          </w:tcPr>
          <w:p w14:paraId="103837FE">
            <w:pPr>
              <w:keepNext w:val="0"/>
              <w:keepLines w:val="0"/>
              <w:widowControl/>
              <w:suppressLineNumbers w:val="0"/>
              <w:jc w:val="center"/>
              <w:textAlignment w:val="center"/>
              <w:rPr>
                <w:rFonts w:eastAsia="仿宋_GB2312"/>
                <w:b/>
                <w:bCs/>
                <w:color w:val="FF0000"/>
              </w:rPr>
            </w:pPr>
            <w:r>
              <w:rPr>
                <w:rFonts w:hint="default" w:ascii="Times New Roman" w:hAnsi="Times New Roman" w:eastAsia="宋体" w:cs="Times New Roman"/>
                <w:i w:val="0"/>
                <w:iCs w:val="0"/>
                <w:color w:val="000000"/>
                <w:kern w:val="0"/>
                <w:sz w:val="21"/>
                <w:szCs w:val="21"/>
                <w:u w:val="none"/>
                <w:lang w:val="en-US" w:eastAsia="zh-CN" w:bidi="ar"/>
              </w:rPr>
              <w:t>0.00003</w:t>
            </w:r>
          </w:p>
        </w:tc>
      </w:tr>
      <w:tr w14:paraId="3C5EC7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3CE1928E">
            <w:pPr>
              <w:jc w:val="center"/>
              <w:rPr>
                <w:rFonts w:eastAsia="仿宋_GB2312"/>
                <w:b/>
                <w:bCs/>
                <w:color w:val="FF0000"/>
              </w:rPr>
            </w:pPr>
          </w:p>
        </w:tc>
        <w:tc>
          <w:tcPr>
            <w:tcW w:w="729" w:type="pct"/>
            <w:vMerge w:val="continue"/>
            <w:vAlign w:val="center"/>
          </w:tcPr>
          <w:p w14:paraId="3F983EA0">
            <w:pPr>
              <w:jc w:val="center"/>
              <w:rPr>
                <w:rFonts w:eastAsia="仿宋_GB2312"/>
                <w:b/>
                <w:bCs/>
                <w:color w:val="FF0000"/>
              </w:rPr>
            </w:pPr>
          </w:p>
        </w:tc>
        <w:tc>
          <w:tcPr>
            <w:tcW w:w="853" w:type="pct"/>
            <w:vMerge w:val="continue"/>
            <w:vAlign w:val="center"/>
          </w:tcPr>
          <w:p w14:paraId="7630E11B">
            <w:pPr>
              <w:jc w:val="center"/>
              <w:rPr>
                <w:rFonts w:eastAsia="仿宋_GB2312"/>
                <w:b/>
                <w:bCs/>
                <w:color w:val="FF0000"/>
              </w:rPr>
            </w:pPr>
          </w:p>
        </w:tc>
        <w:tc>
          <w:tcPr>
            <w:tcW w:w="1497" w:type="pct"/>
            <w:vAlign w:val="center"/>
          </w:tcPr>
          <w:p w14:paraId="0CB02EC1">
            <w:pPr>
              <w:keepNext w:val="0"/>
              <w:keepLines w:val="0"/>
              <w:widowControl/>
              <w:suppressLineNumbers w:val="0"/>
              <w:jc w:val="center"/>
              <w:textAlignment w:val="center"/>
              <w:rPr>
                <w:rFonts w:eastAsia="仿宋_GB2312"/>
                <w:b/>
                <w:bCs/>
                <w:color w:val="FF0000"/>
              </w:rPr>
            </w:pPr>
            <w:r>
              <w:rPr>
                <w:rFonts w:hint="default" w:ascii="仿宋_GB2312" w:hAnsi="宋体" w:eastAsia="仿宋_GB2312" w:cs="仿宋_GB2312"/>
                <w:i w:val="0"/>
                <w:iCs w:val="0"/>
                <w:color w:val="000000"/>
                <w:kern w:val="0"/>
                <w:sz w:val="21"/>
                <w:szCs w:val="21"/>
                <w:u w:val="none"/>
                <w:lang w:val="en-US" w:eastAsia="zh-CN" w:bidi="ar"/>
              </w:rPr>
              <w:t>环己酮</w:t>
            </w:r>
          </w:p>
        </w:tc>
        <w:tc>
          <w:tcPr>
            <w:tcW w:w="1105" w:type="pct"/>
            <w:vAlign w:val="center"/>
          </w:tcPr>
          <w:p w14:paraId="4A0E7CA0">
            <w:pPr>
              <w:keepNext w:val="0"/>
              <w:keepLines w:val="0"/>
              <w:widowControl/>
              <w:suppressLineNumbers w:val="0"/>
              <w:jc w:val="center"/>
              <w:textAlignment w:val="center"/>
              <w:rPr>
                <w:rFonts w:eastAsia="仿宋_GB2312"/>
                <w:b/>
                <w:bCs/>
                <w:color w:val="FF0000"/>
              </w:rPr>
            </w:pPr>
            <w:r>
              <w:rPr>
                <w:rFonts w:hint="default" w:ascii="Times New Roman" w:hAnsi="Times New Roman" w:eastAsia="宋体" w:cs="Times New Roman"/>
                <w:i w:val="0"/>
                <w:iCs w:val="0"/>
                <w:color w:val="000000"/>
                <w:kern w:val="0"/>
                <w:sz w:val="21"/>
                <w:szCs w:val="21"/>
                <w:u w:val="none"/>
                <w:lang w:val="en-US" w:eastAsia="zh-CN" w:bidi="ar"/>
              </w:rPr>
              <w:t>0.00003</w:t>
            </w:r>
          </w:p>
        </w:tc>
      </w:tr>
      <w:tr w14:paraId="5E93E4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7EB9A063">
            <w:pPr>
              <w:jc w:val="center"/>
              <w:rPr>
                <w:rFonts w:eastAsia="仿宋_GB2312"/>
                <w:b/>
                <w:bCs/>
                <w:color w:val="FF0000"/>
              </w:rPr>
            </w:pPr>
          </w:p>
        </w:tc>
        <w:tc>
          <w:tcPr>
            <w:tcW w:w="729" w:type="pct"/>
            <w:vMerge w:val="continue"/>
            <w:vAlign w:val="center"/>
          </w:tcPr>
          <w:p w14:paraId="6F0F796D">
            <w:pPr>
              <w:jc w:val="center"/>
              <w:rPr>
                <w:rFonts w:eastAsia="仿宋_GB2312"/>
                <w:b/>
                <w:bCs/>
                <w:color w:val="FF0000"/>
              </w:rPr>
            </w:pPr>
          </w:p>
        </w:tc>
        <w:tc>
          <w:tcPr>
            <w:tcW w:w="853" w:type="pct"/>
            <w:vMerge w:val="continue"/>
            <w:vAlign w:val="center"/>
          </w:tcPr>
          <w:p w14:paraId="74E1A0FB">
            <w:pPr>
              <w:jc w:val="center"/>
              <w:rPr>
                <w:rFonts w:eastAsia="仿宋_GB2312"/>
                <w:b/>
                <w:bCs/>
                <w:color w:val="FF0000"/>
              </w:rPr>
            </w:pPr>
          </w:p>
        </w:tc>
        <w:tc>
          <w:tcPr>
            <w:tcW w:w="1497" w:type="pct"/>
            <w:vAlign w:val="center"/>
          </w:tcPr>
          <w:p w14:paraId="1FE5C54B">
            <w:pPr>
              <w:keepNext w:val="0"/>
              <w:keepLines w:val="0"/>
              <w:widowControl/>
              <w:suppressLineNumbers w:val="0"/>
              <w:jc w:val="center"/>
              <w:textAlignment w:val="center"/>
              <w:rPr>
                <w:rFonts w:eastAsia="仿宋_GB2312"/>
                <w:b/>
                <w:bCs/>
                <w:color w:val="FF0000"/>
              </w:rPr>
            </w:pPr>
            <w:r>
              <w:rPr>
                <w:rFonts w:hint="default" w:ascii="仿宋_GB2312" w:hAnsi="宋体" w:eastAsia="仿宋_GB2312" w:cs="仿宋_GB2312"/>
                <w:i w:val="0"/>
                <w:iCs w:val="0"/>
                <w:color w:val="000000"/>
                <w:kern w:val="0"/>
                <w:sz w:val="21"/>
                <w:szCs w:val="21"/>
                <w:u w:val="none"/>
                <w:lang w:val="en-US" w:eastAsia="zh-CN" w:bidi="ar"/>
              </w:rPr>
              <w:t>其他有机物</w:t>
            </w:r>
          </w:p>
        </w:tc>
        <w:tc>
          <w:tcPr>
            <w:tcW w:w="1105" w:type="pct"/>
            <w:vAlign w:val="center"/>
          </w:tcPr>
          <w:p w14:paraId="252EC240">
            <w:pPr>
              <w:keepNext w:val="0"/>
              <w:keepLines w:val="0"/>
              <w:widowControl/>
              <w:suppressLineNumbers w:val="0"/>
              <w:jc w:val="center"/>
              <w:textAlignment w:val="center"/>
              <w:rPr>
                <w:rFonts w:eastAsia="仿宋_GB2312"/>
                <w:b/>
                <w:bCs/>
                <w:color w:val="FF0000"/>
              </w:rPr>
            </w:pPr>
            <w:r>
              <w:rPr>
                <w:rFonts w:hint="default" w:ascii="Times New Roman" w:hAnsi="Times New Roman" w:eastAsia="宋体" w:cs="Times New Roman"/>
                <w:i w:val="0"/>
                <w:iCs w:val="0"/>
                <w:color w:val="000000"/>
                <w:kern w:val="0"/>
                <w:sz w:val="21"/>
                <w:szCs w:val="21"/>
                <w:u w:val="none"/>
                <w:lang w:val="en-US" w:eastAsia="zh-CN" w:bidi="ar"/>
              </w:rPr>
              <w:t>0.00002</w:t>
            </w:r>
          </w:p>
        </w:tc>
      </w:tr>
      <w:tr w14:paraId="2834E5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76F4A3C3">
            <w:pPr>
              <w:jc w:val="center"/>
              <w:rPr>
                <w:rFonts w:eastAsia="仿宋_GB2312"/>
                <w:b/>
                <w:bCs/>
                <w:color w:val="FF0000"/>
              </w:rPr>
            </w:pPr>
          </w:p>
        </w:tc>
        <w:tc>
          <w:tcPr>
            <w:tcW w:w="729" w:type="pct"/>
            <w:vMerge w:val="restart"/>
            <w:vAlign w:val="center"/>
          </w:tcPr>
          <w:p w14:paraId="63A73571">
            <w:pPr>
              <w:keepNext w:val="0"/>
              <w:keepLines w:val="0"/>
              <w:widowControl/>
              <w:suppressLineNumbers w:val="0"/>
              <w:jc w:val="center"/>
              <w:textAlignment w:val="center"/>
              <w:rPr>
                <w:rFonts w:eastAsia="仿宋_GB2312"/>
                <w:b/>
                <w:bCs/>
                <w:color w:val="FF0000"/>
              </w:rPr>
            </w:pPr>
            <w:r>
              <w:rPr>
                <w:rFonts w:hint="default" w:ascii="Times New Roman" w:hAnsi="Times New Roman" w:eastAsia="宋体" w:cs="Times New Roman"/>
                <w:i w:val="0"/>
                <w:iCs w:val="0"/>
                <w:color w:val="000000"/>
                <w:kern w:val="0"/>
                <w:sz w:val="21"/>
                <w:szCs w:val="21"/>
                <w:u w:val="none"/>
                <w:lang w:val="en-US" w:eastAsia="zh-CN" w:bidi="ar"/>
              </w:rPr>
              <w:t>G2-3-1</w:t>
            </w:r>
          </w:p>
        </w:tc>
        <w:tc>
          <w:tcPr>
            <w:tcW w:w="853" w:type="pct"/>
            <w:vMerge w:val="restart"/>
            <w:vAlign w:val="center"/>
          </w:tcPr>
          <w:p w14:paraId="1FC0508A">
            <w:pPr>
              <w:keepNext w:val="0"/>
              <w:keepLines w:val="0"/>
              <w:widowControl/>
              <w:suppressLineNumbers w:val="0"/>
              <w:jc w:val="center"/>
              <w:textAlignment w:val="center"/>
              <w:rPr>
                <w:rFonts w:eastAsia="仿宋_GB2312"/>
                <w:b/>
                <w:bCs/>
                <w:color w:val="FF0000"/>
              </w:rPr>
            </w:pPr>
            <w:r>
              <w:rPr>
                <w:rFonts w:hint="default" w:ascii="仿宋_GB2312" w:hAnsi="宋体" w:eastAsia="仿宋_GB2312" w:cs="仿宋_GB2312"/>
                <w:i w:val="0"/>
                <w:iCs w:val="0"/>
                <w:color w:val="000000"/>
                <w:kern w:val="0"/>
                <w:sz w:val="21"/>
                <w:szCs w:val="21"/>
                <w:u w:val="none"/>
                <w:lang w:val="en-US" w:eastAsia="zh-CN" w:bidi="ar"/>
              </w:rPr>
              <w:t>投料废气</w:t>
            </w:r>
          </w:p>
        </w:tc>
        <w:tc>
          <w:tcPr>
            <w:tcW w:w="1497" w:type="pct"/>
            <w:vAlign w:val="center"/>
          </w:tcPr>
          <w:p w14:paraId="0807276A">
            <w:pPr>
              <w:keepNext w:val="0"/>
              <w:keepLines w:val="0"/>
              <w:widowControl/>
              <w:suppressLineNumbers w:val="0"/>
              <w:jc w:val="center"/>
              <w:textAlignment w:val="center"/>
              <w:rPr>
                <w:rFonts w:eastAsia="仿宋_GB2312"/>
                <w:b/>
                <w:bCs/>
                <w:color w:val="FF0000"/>
              </w:rPr>
            </w:pPr>
            <w:r>
              <w:rPr>
                <w:rFonts w:hint="default" w:ascii="仿宋_GB2312" w:hAnsi="宋体" w:eastAsia="仿宋_GB2312" w:cs="仿宋_GB2312"/>
                <w:i w:val="0"/>
                <w:iCs w:val="0"/>
                <w:color w:val="000000"/>
                <w:kern w:val="0"/>
                <w:sz w:val="21"/>
                <w:szCs w:val="21"/>
                <w:u w:val="none"/>
                <w:lang w:val="en-US" w:eastAsia="zh-CN" w:bidi="ar"/>
              </w:rPr>
              <w:t>二甲苯</w:t>
            </w:r>
          </w:p>
        </w:tc>
        <w:tc>
          <w:tcPr>
            <w:tcW w:w="1105" w:type="pct"/>
            <w:vAlign w:val="center"/>
          </w:tcPr>
          <w:p w14:paraId="275574FB">
            <w:pPr>
              <w:keepNext w:val="0"/>
              <w:keepLines w:val="0"/>
              <w:widowControl/>
              <w:suppressLineNumbers w:val="0"/>
              <w:jc w:val="center"/>
              <w:textAlignment w:val="center"/>
              <w:rPr>
                <w:rFonts w:eastAsia="仿宋_GB2312"/>
                <w:b/>
                <w:bCs/>
                <w:color w:val="FF0000"/>
              </w:rPr>
            </w:pPr>
            <w:r>
              <w:rPr>
                <w:rFonts w:hint="default" w:ascii="Times New Roman" w:hAnsi="Times New Roman" w:eastAsia="宋体" w:cs="Times New Roman"/>
                <w:i w:val="0"/>
                <w:iCs w:val="0"/>
                <w:color w:val="000000"/>
                <w:kern w:val="0"/>
                <w:sz w:val="21"/>
                <w:szCs w:val="21"/>
                <w:u w:val="none"/>
                <w:lang w:val="en-US" w:eastAsia="zh-CN" w:bidi="ar"/>
              </w:rPr>
              <w:t>0.008</w:t>
            </w:r>
          </w:p>
        </w:tc>
      </w:tr>
      <w:tr w14:paraId="2094E1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74601217">
            <w:pPr>
              <w:jc w:val="center"/>
              <w:rPr>
                <w:rFonts w:eastAsia="仿宋_GB2312"/>
                <w:b/>
                <w:bCs/>
                <w:color w:val="FF0000"/>
              </w:rPr>
            </w:pPr>
          </w:p>
        </w:tc>
        <w:tc>
          <w:tcPr>
            <w:tcW w:w="729" w:type="pct"/>
            <w:vMerge w:val="continue"/>
            <w:vAlign w:val="center"/>
          </w:tcPr>
          <w:p w14:paraId="7CCEA3FE">
            <w:pPr>
              <w:jc w:val="center"/>
              <w:rPr>
                <w:rFonts w:eastAsia="仿宋_GB2312"/>
                <w:b/>
                <w:bCs/>
                <w:color w:val="FF0000"/>
              </w:rPr>
            </w:pPr>
          </w:p>
        </w:tc>
        <w:tc>
          <w:tcPr>
            <w:tcW w:w="853" w:type="pct"/>
            <w:vMerge w:val="continue"/>
            <w:vAlign w:val="center"/>
          </w:tcPr>
          <w:p w14:paraId="590EC28E">
            <w:pPr>
              <w:jc w:val="center"/>
              <w:rPr>
                <w:rFonts w:eastAsia="仿宋_GB2312"/>
                <w:b/>
                <w:bCs/>
                <w:color w:val="FF0000"/>
              </w:rPr>
            </w:pPr>
          </w:p>
        </w:tc>
        <w:tc>
          <w:tcPr>
            <w:tcW w:w="1497" w:type="pct"/>
            <w:vAlign w:val="center"/>
          </w:tcPr>
          <w:p w14:paraId="57BA2D2F">
            <w:pPr>
              <w:keepNext w:val="0"/>
              <w:keepLines w:val="0"/>
              <w:widowControl/>
              <w:suppressLineNumbers w:val="0"/>
              <w:jc w:val="center"/>
              <w:textAlignment w:val="center"/>
              <w:rPr>
                <w:rFonts w:eastAsia="仿宋_GB2312"/>
                <w:b/>
                <w:bCs/>
                <w:color w:val="FF0000"/>
              </w:rPr>
            </w:pPr>
            <w:r>
              <w:rPr>
                <w:rFonts w:hint="default" w:ascii="仿宋_GB2312" w:hAnsi="宋体" w:eastAsia="仿宋_GB2312" w:cs="仿宋_GB2312"/>
                <w:i w:val="0"/>
                <w:iCs w:val="0"/>
                <w:color w:val="000000"/>
                <w:kern w:val="0"/>
                <w:sz w:val="21"/>
                <w:szCs w:val="21"/>
                <w:u w:val="none"/>
                <w:lang w:val="en-US" w:eastAsia="zh-CN" w:bidi="ar"/>
              </w:rPr>
              <w:t>乙基苯</w:t>
            </w:r>
          </w:p>
        </w:tc>
        <w:tc>
          <w:tcPr>
            <w:tcW w:w="1105" w:type="pct"/>
            <w:vAlign w:val="center"/>
          </w:tcPr>
          <w:p w14:paraId="0AC65814">
            <w:pPr>
              <w:keepNext w:val="0"/>
              <w:keepLines w:val="0"/>
              <w:widowControl/>
              <w:suppressLineNumbers w:val="0"/>
              <w:jc w:val="center"/>
              <w:textAlignment w:val="center"/>
              <w:rPr>
                <w:rFonts w:eastAsia="仿宋_GB2312"/>
                <w:b/>
                <w:bCs/>
                <w:color w:val="FF0000"/>
              </w:rPr>
            </w:pPr>
            <w:r>
              <w:rPr>
                <w:rFonts w:hint="default" w:ascii="Times New Roman" w:hAnsi="Times New Roman" w:eastAsia="宋体" w:cs="Times New Roman"/>
                <w:i w:val="0"/>
                <w:iCs w:val="0"/>
                <w:color w:val="000000"/>
                <w:kern w:val="0"/>
                <w:sz w:val="21"/>
                <w:szCs w:val="21"/>
                <w:u w:val="none"/>
                <w:lang w:val="en-US" w:eastAsia="zh-CN" w:bidi="ar"/>
              </w:rPr>
              <w:t>0.00001</w:t>
            </w:r>
          </w:p>
        </w:tc>
      </w:tr>
      <w:tr w14:paraId="39059D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18D53E3E">
            <w:pPr>
              <w:jc w:val="center"/>
              <w:rPr>
                <w:rFonts w:eastAsia="仿宋_GB2312"/>
                <w:b/>
                <w:bCs/>
                <w:color w:val="FF0000"/>
              </w:rPr>
            </w:pPr>
          </w:p>
        </w:tc>
        <w:tc>
          <w:tcPr>
            <w:tcW w:w="729" w:type="pct"/>
            <w:vMerge w:val="continue"/>
            <w:vAlign w:val="center"/>
          </w:tcPr>
          <w:p w14:paraId="0B16ED21">
            <w:pPr>
              <w:jc w:val="center"/>
              <w:rPr>
                <w:rFonts w:eastAsia="仿宋_GB2312"/>
                <w:b/>
                <w:bCs/>
                <w:color w:val="FF0000"/>
              </w:rPr>
            </w:pPr>
          </w:p>
        </w:tc>
        <w:tc>
          <w:tcPr>
            <w:tcW w:w="853" w:type="pct"/>
            <w:vMerge w:val="continue"/>
            <w:vAlign w:val="center"/>
          </w:tcPr>
          <w:p w14:paraId="2A8E2884">
            <w:pPr>
              <w:jc w:val="center"/>
              <w:rPr>
                <w:rFonts w:eastAsia="仿宋_GB2312"/>
                <w:b/>
                <w:bCs/>
                <w:color w:val="FF0000"/>
              </w:rPr>
            </w:pPr>
          </w:p>
        </w:tc>
        <w:tc>
          <w:tcPr>
            <w:tcW w:w="1497" w:type="pct"/>
            <w:vAlign w:val="center"/>
          </w:tcPr>
          <w:p w14:paraId="22A990B6">
            <w:pPr>
              <w:keepNext w:val="0"/>
              <w:keepLines w:val="0"/>
              <w:widowControl/>
              <w:suppressLineNumbers w:val="0"/>
              <w:jc w:val="center"/>
              <w:textAlignment w:val="center"/>
              <w:rPr>
                <w:rFonts w:eastAsia="仿宋_GB2312"/>
                <w:b/>
                <w:bCs/>
                <w:color w:val="FF0000"/>
              </w:rPr>
            </w:pPr>
            <w:r>
              <w:rPr>
                <w:rFonts w:hint="default" w:ascii="仿宋_GB2312" w:hAnsi="宋体" w:eastAsia="仿宋_GB2312" w:cs="仿宋_GB2312"/>
                <w:i w:val="0"/>
                <w:iCs w:val="0"/>
                <w:color w:val="000000"/>
                <w:kern w:val="0"/>
                <w:sz w:val="21"/>
                <w:szCs w:val="21"/>
                <w:u w:val="none"/>
                <w:lang w:val="en-US" w:eastAsia="zh-CN" w:bidi="ar"/>
              </w:rPr>
              <w:t>其他有机物</w:t>
            </w:r>
          </w:p>
        </w:tc>
        <w:tc>
          <w:tcPr>
            <w:tcW w:w="1105" w:type="pct"/>
            <w:vAlign w:val="center"/>
          </w:tcPr>
          <w:p w14:paraId="66CDBFCD">
            <w:pPr>
              <w:keepNext w:val="0"/>
              <w:keepLines w:val="0"/>
              <w:widowControl/>
              <w:suppressLineNumbers w:val="0"/>
              <w:jc w:val="center"/>
              <w:textAlignment w:val="center"/>
              <w:rPr>
                <w:rFonts w:eastAsia="仿宋_GB2312"/>
                <w:b/>
                <w:bCs/>
                <w:color w:val="FF0000"/>
              </w:rPr>
            </w:pPr>
            <w:r>
              <w:rPr>
                <w:rFonts w:hint="default" w:ascii="Times New Roman" w:hAnsi="Times New Roman" w:eastAsia="宋体" w:cs="Times New Roman"/>
                <w:i w:val="0"/>
                <w:iCs w:val="0"/>
                <w:color w:val="000000"/>
                <w:kern w:val="0"/>
                <w:sz w:val="21"/>
                <w:szCs w:val="21"/>
                <w:u w:val="none"/>
                <w:lang w:val="en-US" w:eastAsia="zh-CN" w:bidi="ar"/>
              </w:rPr>
              <w:t>0.0001</w:t>
            </w:r>
          </w:p>
        </w:tc>
      </w:tr>
      <w:tr w14:paraId="7E3B7A6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003F3D93">
            <w:pPr>
              <w:jc w:val="center"/>
              <w:rPr>
                <w:rFonts w:eastAsia="仿宋_GB2312"/>
                <w:b/>
                <w:bCs/>
                <w:color w:val="FF0000"/>
              </w:rPr>
            </w:pPr>
          </w:p>
        </w:tc>
        <w:tc>
          <w:tcPr>
            <w:tcW w:w="729" w:type="pct"/>
            <w:vMerge w:val="restart"/>
            <w:vAlign w:val="center"/>
          </w:tcPr>
          <w:p w14:paraId="396944A3">
            <w:pPr>
              <w:keepNext w:val="0"/>
              <w:keepLines w:val="0"/>
              <w:widowControl/>
              <w:suppressLineNumbers w:val="0"/>
              <w:jc w:val="center"/>
              <w:textAlignment w:val="center"/>
              <w:rPr>
                <w:rFonts w:eastAsia="仿宋_GB2312"/>
                <w:b/>
                <w:bCs/>
                <w:color w:val="FF0000"/>
              </w:rPr>
            </w:pPr>
            <w:r>
              <w:rPr>
                <w:rFonts w:hint="default" w:ascii="Times New Roman" w:hAnsi="Times New Roman" w:eastAsia="宋体" w:cs="Times New Roman"/>
                <w:i w:val="0"/>
                <w:iCs w:val="0"/>
                <w:color w:val="000000"/>
                <w:kern w:val="0"/>
                <w:sz w:val="21"/>
                <w:szCs w:val="21"/>
                <w:u w:val="none"/>
                <w:lang w:val="en-US" w:eastAsia="zh-CN" w:bidi="ar"/>
              </w:rPr>
              <w:t>G2-3-5</w:t>
            </w:r>
          </w:p>
        </w:tc>
        <w:tc>
          <w:tcPr>
            <w:tcW w:w="853" w:type="pct"/>
            <w:vMerge w:val="restart"/>
            <w:vAlign w:val="center"/>
          </w:tcPr>
          <w:p w14:paraId="703E4F7C">
            <w:pPr>
              <w:keepNext w:val="0"/>
              <w:keepLines w:val="0"/>
              <w:widowControl/>
              <w:suppressLineNumbers w:val="0"/>
              <w:jc w:val="center"/>
              <w:textAlignment w:val="center"/>
              <w:rPr>
                <w:rFonts w:eastAsia="仿宋_GB2312"/>
                <w:b/>
                <w:bCs/>
                <w:color w:val="FF0000"/>
              </w:rPr>
            </w:pPr>
            <w:r>
              <w:rPr>
                <w:rFonts w:hint="default" w:ascii="仿宋_GB2312" w:hAnsi="宋体" w:eastAsia="仿宋_GB2312" w:cs="仿宋_GB2312"/>
                <w:i w:val="0"/>
                <w:iCs w:val="0"/>
                <w:color w:val="000000"/>
                <w:kern w:val="0"/>
                <w:sz w:val="21"/>
                <w:szCs w:val="21"/>
                <w:u w:val="none"/>
                <w:lang w:val="en-US" w:eastAsia="zh-CN" w:bidi="ar"/>
              </w:rPr>
              <w:t>灌装废气</w:t>
            </w:r>
          </w:p>
        </w:tc>
        <w:tc>
          <w:tcPr>
            <w:tcW w:w="1497" w:type="pct"/>
            <w:vAlign w:val="center"/>
          </w:tcPr>
          <w:p w14:paraId="2861887A">
            <w:pPr>
              <w:keepNext w:val="0"/>
              <w:keepLines w:val="0"/>
              <w:widowControl/>
              <w:suppressLineNumbers w:val="0"/>
              <w:jc w:val="center"/>
              <w:textAlignment w:val="center"/>
              <w:rPr>
                <w:rFonts w:eastAsia="仿宋_GB2312"/>
                <w:b/>
                <w:bCs/>
                <w:color w:val="FF0000"/>
              </w:rPr>
            </w:pPr>
            <w:r>
              <w:rPr>
                <w:rFonts w:hint="default" w:ascii="仿宋_GB2312" w:hAnsi="宋体" w:eastAsia="仿宋_GB2312" w:cs="仿宋_GB2312"/>
                <w:i w:val="0"/>
                <w:iCs w:val="0"/>
                <w:color w:val="000000"/>
                <w:kern w:val="0"/>
                <w:sz w:val="21"/>
                <w:szCs w:val="21"/>
                <w:u w:val="none"/>
                <w:lang w:val="en-US" w:eastAsia="zh-CN" w:bidi="ar"/>
              </w:rPr>
              <w:t>二甲苯</w:t>
            </w:r>
          </w:p>
        </w:tc>
        <w:tc>
          <w:tcPr>
            <w:tcW w:w="1105" w:type="pct"/>
            <w:vAlign w:val="center"/>
          </w:tcPr>
          <w:p w14:paraId="28EEFBB9">
            <w:pPr>
              <w:keepNext w:val="0"/>
              <w:keepLines w:val="0"/>
              <w:widowControl/>
              <w:suppressLineNumbers w:val="0"/>
              <w:jc w:val="center"/>
              <w:textAlignment w:val="center"/>
              <w:rPr>
                <w:rFonts w:eastAsia="仿宋_GB2312"/>
                <w:b/>
                <w:bCs/>
                <w:color w:val="FF0000"/>
              </w:rPr>
            </w:pPr>
            <w:r>
              <w:rPr>
                <w:rFonts w:hint="default" w:ascii="Times New Roman" w:hAnsi="Times New Roman" w:eastAsia="宋体" w:cs="Times New Roman"/>
                <w:i w:val="0"/>
                <w:iCs w:val="0"/>
                <w:color w:val="000000"/>
                <w:kern w:val="0"/>
                <w:sz w:val="21"/>
                <w:szCs w:val="21"/>
                <w:u w:val="none"/>
                <w:lang w:val="en-US" w:eastAsia="zh-CN" w:bidi="ar"/>
              </w:rPr>
              <w:t>0.01</w:t>
            </w:r>
          </w:p>
        </w:tc>
      </w:tr>
      <w:tr w14:paraId="58736D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25D54ED7">
            <w:pPr>
              <w:jc w:val="center"/>
              <w:rPr>
                <w:rFonts w:eastAsia="仿宋_GB2312"/>
                <w:b/>
                <w:bCs/>
                <w:color w:val="FF0000"/>
              </w:rPr>
            </w:pPr>
          </w:p>
        </w:tc>
        <w:tc>
          <w:tcPr>
            <w:tcW w:w="729" w:type="pct"/>
            <w:vMerge w:val="continue"/>
            <w:vAlign w:val="center"/>
          </w:tcPr>
          <w:p w14:paraId="28F21862">
            <w:pPr>
              <w:jc w:val="center"/>
              <w:rPr>
                <w:rFonts w:eastAsia="仿宋_GB2312"/>
                <w:b/>
                <w:bCs/>
                <w:color w:val="FF0000"/>
              </w:rPr>
            </w:pPr>
          </w:p>
        </w:tc>
        <w:tc>
          <w:tcPr>
            <w:tcW w:w="853" w:type="pct"/>
            <w:vMerge w:val="continue"/>
            <w:vAlign w:val="center"/>
          </w:tcPr>
          <w:p w14:paraId="5AFAF192">
            <w:pPr>
              <w:jc w:val="center"/>
              <w:rPr>
                <w:rFonts w:eastAsia="仿宋_GB2312"/>
                <w:b/>
                <w:bCs/>
                <w:color w:val="FF0000"/>
              </w:rPr>
            </w:pPr>
          </w:p>
        </w:tc>
        <w:tc>
          <w:tcPr>
            <w:tcW w:w="1497" w:type="pct"/>
            <w:vAlign w:val="center"/>
          </w:tcPr>
          <w:p w14:paraId="1CE5E143">
            <w:pPr>
              <w:keepNext w:val="0"/>
              <w:keepLines w:val="0"/>
              <w:widowControl/>
              <w:suppressLineNumbers w:val="0"/>
              <w:jc w:val="center"/>
              <w:textAlignment w:val="center"/>
              <w:rPr>
                <w:rFonts w:eastAsia="仿宋_GB2312"/>
                <w:b/>
                <w:bCs/>
                <w:color w:val="FF0000"/>
              </w:rPr>
            </w:pPr>
            <w:r>
              <w:rPr>
                <w:rFonts w:hint="default" w:ascii="仿宋_GB2312" w:hAnsi="宋体" w:eastAsia="仿宋_GB2312" w:cs="仿宋_GB2312"/>
                <w:i w:val="0"/>
                <w:iCs w:val="0"/>
                <w:color w:val="000000"/>
                <w:kern w:val="0"/>
                <w:sz w:val="21"/>
                <w:szCs w:val="21"/>
                <w:u w:val="none"/>
                <w:lang w:val="en-US" w:eastAsia="zh-CN" w:bidi="ar"/>
              </w:rPr>
              <w:t>乙基苯</w:t>
            </w:r>
          </w:p>
        </w:tc>
        <w:tc>
          <w:tcPr>
            <w:tcW w:w="1105" w:type="pct"/>
            <w:vAlign w:val="center"/>
          </w:tcPr>
          <w:p w14:paraId="2386AEE8">
            <w:pPr>
              <w:keepNext w:val="0"/>
              <w:keepLines w:val="0"/>
              <w:widowControl/>
              <w:suppressLineNumbers w:val="0"/>
              <w:jc w:val="center"/>
              <w:textAlignment w:val="center"/>
              <w:rPr>
                <w:rFonts w:eastAsia="仿宋_GB2312"/>
                <w:b/>
                <w:bCs/>
                <w:color w:val="FF0000"/>
              </w:rPr>
            </w:pPr>
            <w:r>
              <w:rPr>
                <w:rFonts w:hint="default" w:ascii="Times New Roman" w:hAnsi="Times New Roman" w:eastAsia="宋体" w:cs="Times New Roman"/>
                <w:i w:val="0"/>
                <w:iCs w:val="0"/>
                <w:color w:val="000000"/>
                <w:kern w:val="0"/>
                <w:sz w:val="21"/>
                <w:szCs w:val="21"/>
                <w:u w:val="none"/>
                <w:lang w:val="en-US" w:eastAsia="zh-CN" w:bidi="ar"/>
              </w:rPr>
              <w:t>0.00001</w:t>
            </w:r>
          </w:p>
        </w:tc>
      </w:tr>
      <w:tr w14:paraId="64D07C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16143BB0">
            <w:pPr>
              <w:jc w:val="center"/>
              <w:rPr>
                <w:rFonts w:eastAsia="仿宋_GB2312"/>
                <w:b/>
                <w:bCs/>
                <w:color w:val="FF0000"/>
              </w:rPr>
            </w:pPr>
          </w:p>
        </w:tc>
        <w:tc>
          <w:tcPr>
            <w:tcW w:w="729" w:type="pct"/>
            <w:vMerge w:val="continue"/>
            <w:vAlign w:val="center"/>
          </w:tcPr>
          <w:p w14:paraId="185A778C">
            <w:pPr>
              <w:jc w:val="center"/>
              <w:rPr>
                <w:rFonts w:eastAsia="仿宋_GB2312"/>
                <w:b/>
                <w:bCs/>
                <w:color w:val="FF0000"/>
              </w:rPr>
            </w:pPr>
          </w:p>
        </w:tc>
        <w:tc>
          <w:tcPr>
            <w:tcW w:w="853" w:type="pct"/>
            <w:vMerge w:val="continue"/>
            <w:vAlign w:val="center"/>
          </w:tcPr>
          <w:p w14:paraId="606F0412">
            <w:pPr>
              <w:jc w:val="center"/>
              <w:rPr>
                <w:rFonts w:eastAsia="仿宋_GB2312"/>
                <w:b/>
                <w:bCs/>
                <w:color w:val="FF0000"/>
              </w:rPr>
            </w:pPr>
          </w:p>
        </w:tc>
        <w:tc>
          <w:tcPr>
            <w:tcW w:w="1497" w:type="pct"/>
            <w:vAlign w:val="center"/>
          </w:tcPr>
          <w:p w14:paraId="19A9BED1">
            <w:pPr>
              <w:keepNext w:val="0"/>
              <w:keepLines w:val="0"/>
              <w:widowControl/>
              <w:suppressLineNumbers w:val="0"/>
              <w:jc w:val="center"/>
              <w:textAlignment w:val="center"/>
              <w:rPr>
                <w:rFonts w:eastAsia="仿宋_GB2312"/>
                <w:b/>
                <w:bCs/>
                <w:color w:val="FF0000"/>
              </w:rPr>
            </w:pPr>
            <w:r>
              <w:rPr>
                <w:rFonts w:hint="default" w:ascii="仿宋_GB2312" w:hAnsi="宋体" w:eastAsia="仿宋_GB2312" w:cs="仿宋_GB2312"/>
                <w:i w:val="0"/>
                <w:iCs w:val="0"/>
                <w:color w:val="000000"/>
                <w:kern w:val="0"/>
                <w:sz w:val="21"/>
                <w:szCs w:val="21"/>
                <w:u w:val="none"/>
                <w:lang w:val="en-US" w:eastAsia="zh-CN" w:bidi="ar"/>
              </w:rPr>
              <w:t>其他有机物</w:t>
            </w:r>
          </w:p>
        </w:tc>
        <w:tc>
          <w:tcPr>
            <w:tcW w:w="1105" w:type="pct"/>
            <w:vAlign w:val="center"/>
          </w:tcPr>
          <w:p w14:paraId="3367E3AF">
            <w:pPr>
              <w:keepNext w:val="0"/>
              <w:keepLines w:val="0"/>
              <w:widowControl/>
              <w:suppressLineNumbers w:val="0"/>
              <w:jc w:val="center"/>
              <w:textAlignment w:val="center"/>
              <w:rPr>
                <w:rFonts w:eastAsia="仿宋_GB2312"/>
                <w:b/>
                <w:bCs/>
                <w:color w:val="FF0000"/>
              </w:rPr>
            </w:pPr>
            <w:r>
              <w:rPr>
                <w:rFonts w:hint="default" w:ascii="Times New Roman" w:hAnsi="Times New Roman" w:eastAsia="宋体" w:cs="Times New Roman"/>
                <w:i w:val="0"/>
                <w:iCs w:val="0"/>
                <w:color w:val="000000"/>
                <w:kern w:val="0"/>
                <w:sz w:val="21"/>
                <w:szCs w:val="21"/>
                <w:u w:val="none"/>
                <w:lang w:val="en-US" w:eastAsia="zh-CN" w:bidi="ar"/>
              </w:rPr>
              <w:t>0.00001</w:t>
            </w:r>
          </w:p>
        </w:tc>
      </w:tr>
      <w:tr w14:paraId="366539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40122620">
            <w:pPr>
              <w:jc w:val="center"/>
              <w:rPr>
                <w:rFonts w:eastAsia="仿宋_GB2312"/>
                <w:b/>
                <w:bCs/>
                <w:color w:val="FF0000"/>
              </w:rPr>
            </w:pPr>
          </w:p>
        </w:tc>
        <w:tc>
          <w:tcPr>
            <w:tcW w:w="729" w:type="pct"/>
            <w:vMerge w:val="restart"/>
            <w:vAlign w:val="center"/>
          </w:tcPr>
          <w:p w14:paraId="2520F656">
            <w:pPr>
              <w:keepNext w:val="0"/>
              <w:keepLines w:val="0"/>
              <w:widowControl/>
              <w:suppressLineNumbers w:val="0"/>
              <w:jc w:val="center"/>
              <w:textAlignment w:val="center"/>
              <w:rPr>
                <w:rFonts w:eastAsia="仿宋_GB2312"/>
                <w:b/>
                <w:bCs/>
                <w:color w:val="FF0000"/>
              </w:rPr>
            </w:pPr>
            <w:r>
              <w:rPr>
                <w:rFonts w:hint="default" w:ascii="Times New Roman" w:hAnsi="Times New Roman" w:eastAsia="宋体" w:cs="Times New Roman"/>
                <w:i w:val="0"/>
                <w:iCs w:val="0"/>
                <w:color w:val="000000"/>
                <w:kern w:val="0"/>
                <w:sz w:val="21"/>
                <w:szCs w:val="21"/>
                <w:u w:val="none"/>
                <w:lang w:val="en-US" w:eastAsia="zh-CN" w:bidi="ar"/>
              </w:rPr>
              <w:t>G2-4-1</w:t>
            </w:r>
          </w:p>
        </w:tc>
        <w:tc>
          <w:tcPr>
            <w:tcW w:w="853" w:type="pct"/>
            <w:vMerge w:val="restart"/>
            <w:vAlign w:val="center"/>
          </w:tcPr>
          <w:p w14:paraId="7E90B1B1">
            <w:pPr>
              <w:keepNext w:val="0"/>
              <w:keepLines w:val="0"/>
              <w:widowControl/>
              <w:suppressLineNumbers w:val="0"/>
              <w:jc w:val="center"/>
              <w:textAlignment w:val="center"/>
              <w:rPr>
                <w:rFonts w:eastAsia="仿宋_GB2312"/>
                <w:b/>
                <w:bCs/>
                <w:color w:val="FF0000"/>
              </w:rPr>
            </w:pPr>
            <w:r>
              <w:rPr>
                <w:rFonts w:hint="default" w:ascii="仿宋_GB2312" w:hAnsi="宋体" w:eastAsia="仿宋_GB2312" w:cs="仿宋_GB2312"/>
                <w:i w:val="0"/>
                <w:iCs w:val="0"/>
                <w:color w:val="000000"/>
                <w:kern w:val="0"/>
                <w:sz w:val="21"/>
                <w:szCs w:val="21"/>
                <w:u w:val="none"/>
                <w:lang w:val="en-US" w:eastAsia="zh-CN" w:bidi="ar"/>
              </w:rPr>
              <w:t>投料废气</w:t>
            </w:r>
          </w:p>
        </w:tc>
        <w:tc>
          <w:tcPr>
            <w:tcW w:w="1497" w:type="pct"/>
            <w:vAlign w:val="center"/>
          </w:tcPr>
          <w:p w14:paraId="67FA4E82">
            <w:pPr>
              <w:keepNext w:val="0"/>
              <w:keepLines w:val="0"/>
              <w:widowControl/>
              <w:suppressLineNumbers w:val="0"/>
              <w:jc w:val="center"/>
              <w:textAlignment w:val="center"/>
              <w:rPr>
                <w:rFonts w:eastAsia="仿宋_GB2312"/>
                <w:b/>
                <w:bCs/>
                <w:color w:val="FF0000"/>
              </w:rPr>
            </w:pPr>
            <w:r>
              <w:rPr>
                <w:rFonts w:hint="default" w:ascii="仿宋_GB2312" w:hAnsi="宋体" w:eastAsia="仿宋_GB2312" w:cs="仿宋_GB2312"/>
                <w:i w:val="0"/>
                <w:iCs w:val="0"/>
                <w:color w:val="000000"/>
                <w:kern w:val="0"/>
                <w:sz w:val="21"/>
                <w:szCs w:val="21"/>
                <w:u w:val="none"/>
                <w:lang w:val="en-US" w:eastAsia="zh-CN" w:bidi="ar"/>
              </w:rPr>
              <w:t>乙酸乙烯酯</w:t>
            </w:r>
          </w:p>
        </w:tc>
        <w:tc>
          <w:tcPr>
            <w:tcW w:w="1105" w:type="pct"/>
            <w:vAlign w:val="center"/>
          </w:tcPr>
          <w:p w14:paraId="453E1C1D">
            <w:pPr>
              <w:keepNext w:val="0"/>
              <w:keepLines w:val="0"/>
              <w:widowControl/>
              <w:suppressLineNumbers w:val="0"/>
              <w:jc w:val="center"/>
              <w:textAlignment w:val="center"/>
              <w:rPr>
                <w:rFonts w:eastAsia="仿宋_GB2312"/>
                <w:b/>
                <w:bCs/>
                <w:color w:val="FF0000"/>
              </w:rPr>
            </w:pPr>
            <w:r>
              <w:rPr>
                <w:rFonts w:hint="default" w:ascii="Times New Roman" w:hAnsi="Times New Roman" w:eastAsia="宋体" w:cs="Times New Roman"/>
                <w:i w:val="0"/>
                <w:iCs w:val="0"/>
                <w:color w:val="000000"/>
                <w:kern w:val="0"/>
                <w:sz w:val="21"/>
                <w:szCs w:val="21"/>
                <w:u w:val="none"/>
                <w:lang w:val="en-US" w:eastAsia="zh-CN" w:bidi="ar"/>
              </w:rPr>
              <w:t>0.001</w:t>
            </w:r>
          </w:p>
        </w:tc>
      </w:tr>
      <w:tr w14:paraId="59C1338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258C742D">
            <w:pPr>
              <w:jc w:val="center"/>
              <w:rPr>
                <w:rFonts w:eastAsia="仿宋_GB2312"/>
                <w:b/>
                <w:bCs/>
                <w:color w:val="FF0000"/>
              </w:rPr>
            </w:pPr>
          </w:p>
        </w:tc>
        <w:tc>
          <w:tcPr>
            <w:tcW w:w="729" w:type="pct"/>
            <w:vMerge w:val="continue"/>
            <w:vAlign w:val="center"/>
          </w:tcPr>
          <w:p w14:paraId="6E857C10">
            <w:pPr>
              <w:jc w:val="center"/>
              <w:rPr>
                <w:rFonts w:eastAsia="仿宋_GB2312"/>
                <w:b/>
                <w:bCs/>
                <w:color w:val="FF0000"/>
              </w:rPr>
            </w:pPr>
          </w:p>
        </w:tc>
        <w:tc>
          <w:tcPr>
            <w:tcW w:w="853" w:type="pct"/>
            <w:vMerge w:val="continue"/>
            <w:vAlign w:val="center"/>
          </w:tcPr>
          <w:p w14:paraId="0AB46F7B">
            <w:pPr>
              <w:jc w:val="center"/>
              <w:rPr>
                <w:rFonts w:eastAsia="仿宋_GB2312"/>
                <w:b/>
                <w:bCs/>
                <w:color w:val="FF0000"/>
              </w:rPr>
            </w:pPr>
          </w:p>
        </w:tc>
        <w:tc>
          <w:tcPr>
            <w:tcW w:w="1497" w:type="pct"/>
            <w:vAlign w:val="center"/>
          </w:tcPr>
          <w:p w14:paraId="0D1F5DC9">
            <w:pPr>
              <w:keepNext w:val="0"/>
              <w:keepLines w:val="0"/>
              <w:widowControl/>
              <w:suppressLineNumbers w:val="0"/>
              <w:jc w:val="center"/>
              <w:textAlignment w:val="center"/>
              <w:rPr>
                <w:rFonts w:eastAsia="仿宋_GB2312"/>
                <w:b/>
                <w:bCs/>
                <w:color w:val="FF0000"/>
              </w:rPr>
            </w:pPr>
            <w:r>
              <w:rPr>
                <w:rFonts w:hint="default" w:ascii="仿宋_GB2312" w:hAnsi="宋体" w:eastAsia="仿宋_GB2312" w:cs="仿宋_GB2312"/>
                <w:i w:val="0"/>
                <w:iCs w:val="0"/>
                <w:color w:val="000000"/>
                <w:kern w:val="0"/>
                <w:sz w:val="21"/>
                <w:szCs w:val="21"/>
                <w:u w:val="none"/>
                <w:lang w:val="en-US" w:eastAsia="zh-CN" w:bidi="ar"/>
              </w:rPr>
              <w:t>其他有机物</w:t>
            </w:r>
          </w:p>
        </w:tc>
        <w:tc>
          <w:tcPr>
            <w:tcW w:w="1105" w:type="pct"/>
            <w:vAlign w:val="center"/>
          </w:tcPr>
          <w:p w14:paraId="4704E211">
            <w:pPr>
              <w:keepNext w:val="0"/>
              <w:keepLines w:val="0"/>
              <w:widowControl/>
              <w:suppressLineNumbers w:val="0"/>
              <w:jc w:val="center"/>
              <w:textAlignment w:val="center"/>
              <w:rPr>
                <w:rFonts w:eastAsia="仿宋_GB2312"/>
                <w:b/>
                <w:bCs/>
                <w:color w:val="FF0000"/>
              </w:rPr>
            </w:pPr>
            <w:r>
              <w:rPr>
                <w:rFonts w:hint="default" w:ascii="Times New Roman" w:hAnsi="Times New Roman" w:eastAsia="宋体" w:cs="Times New Roman"/>
                <w:i w:val="0"/>
                <w:iCs w:val="0"/>
                <w:color w:val="000000"/>
                <w:kern w:val="0"/>
                <w:sz w:val="21"/>
                <w:szCs w:val="21"/>
                <w:u w:val="none"/>
                <w:lang w:val="en-US" w:eastAsia="zh-CN" w:bidi="ar"/>
              </w:rPr>
              <w:t>0.00002</w:t>
            </w:r>
          </w:p>
        </w:tc>
      </w:tr>
      <w:tr w14:paraId="4228BB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3CD05E28">
            <w:pPr>
              <w:jc w:val="center"/>
              <w:rPr>
                <w:rFonts w:eastAsia="仿宋_GB2312"/>
                <w:b/>
                <w:bCs/>
                <w:color w:val="FF0000"/>
              </w:rPr>
            </w:pPr>
          </w:p>
        </w:tc>
        <w:tc>
          <w:tcPr>
            <w:tcW w:w="729" w:type="pct"/>
            <w:vMerge w:val="restart"/>
            <w:vAlign w:val="center"/>
          </w:tcPr>
          <w:p w14:paraId="71811BAD">
            <w:pPr>
              <w:keepNext w:val="0"/>
              <w:keepLines w:val="0"/>
              <w:widowControl/>
              <w:suppressLineNumbers w:val="0"/>
              <w:jc w:val="center"/>
              <w:textAlignment w:val="center"/>
              <w:rPr>
                <w:rFonts w:eastAsia="仿宋_GB2312"/>
                <w:b/>
                <w:bCs/>
                <w:color w:val="FF0000"/>
              </w:rPr>
            </w:pPr>
            <w:r>
              <w:rPr>
                <w:rFonts w:hint="default" w:ascii="Times New Roman" w:hAnsi="Times New Roman" w:eastAsia="宋体" w:cs="Times New Roman"/>
                <w:i w:val="0"/>
                <w:iCs w:val="0"/>
                <w:color w:val="000000"/>
                <w:kern w:val="0"/>
                <w:sz w:val="21"/>
                <w:szCs w:val="21"/>
                <w:u w:val="none"/>
                <w:lang w:val="en-US" w:eastAsia="zh-CN" w:bidi="ar"/>
              </w:rPr>
              <w:t>G2-4-5</w:t>
            </w:r>
          </w:p>
        </w:tc>
        <w:tc>
          <w:tcPr>
            <w:tcW w:w="853" w:type="pct"/>
            <w:vMerge w:val="restart"/>
            <w:vAlign w:val="center"/>
          </w:tcPr>
          <w:p w14:paraId="23348F6E">
            <w:pPr>
              <w:keepNext w:val="0"/>
              <w:keepLines w:val="0"/>
              <w:widowControl/>
              <w:suppressLineNumbers w:val="0"/>
              <w:jc w:val="center"/>
              <w:textAlignment w:val="center"/>
              <w:rPr>
                <w:rFonts w:eastAsia="仿宋_GB2312"/>
                <w:b/>
                <w:bCs/>
                <w:color w:val="FF0000"/>
              </w:rPr>
            </w:pPr>
            <w:r>
              <w:rPr>
                <w:rFonts w:hint="default" w:ascii="仿宋_GB2312" w:hAnsi="宋体" w:eastAsia="仿宋_GB2312" w:cs="仿宋_GB2312"/>
                <w:i w:val="0"/>
                <w:iCs w:val="0"/>
                <w:color w:val="000000"/>
                <w:kern w:val="0"/>
                <w:sz w:val="21"/>
                <w:szCs w:val="21"/>
                <w:u w:val="none"/>
                <w:lang w:val="en-US" w:eastAsia="zh-CN" w:bidi="ar"/>
              </w:rPr>
              <w:t>灌装废气</w:t>
            </w:r>
          </w:p>
        </w:tc>
        <w:tc>
          <w:tcPr>
            <w:tcW w:w="1497" w:type="pct"/>
            <w:vAlign w:val="center"/>
          </w:tcPr>
          <w:p w14:paraId="67DE891D">
            <w:pPr>
              <w:keepNext w:val="0"/>
              <w:keepLines w:val="0"/>
              <w:widowControl/>
              <w:suppressLineNumbers w:val="0"/>
              <w:jc w:val="center"/>
              <w:textAlignment w:val="center"/>
              <w:rPr>
                <w:rFonts w:eastAsia="仿宋_GB2312"/>
                <w:b/>
                <w:bCs/>
                <w:color w:val="FF0000"/>
              </w:rPr>
            </w:pPr>
            <w:r>
              <w:rPr>
                <w:rFonts w:hint="default" w:ascii="仿宋_GB2312" w:hAnsi="宋体" w:eastAsia="仿宋_GB2312" w:cs="仿宋_GB2312"/>
                <w:i w:val="0"/>
                <w:iCs w:val="0"/>
                <w:color w:val="000000"/>
                <w:kern w:val="0"/>
                <w:sz w:val="21"/>
                <w:szCs w:val="21"/>
                <w:u w:val="none"/>
                <w:lang w:val="en-US" w:eastAsia="zh-CN" w:bidi="ar"/>
              </w:rPr>
              <w:t>乙酸乙烯酯</w:t>
            </w:r>
          </w:p>
        </w:tc>
        <w:tc>
          <w:tcPr>
            <w:tcW w:w="1105" w:type="pct"/>
            <w:vAlign w:val="center"/>
          </w:tcPr>
          <w:p w14:paraId="18223426">
            <w:pPr>
              <w:keepNext w:val="0"/>
              <w:keepLines w:val="0"/>
              <w:widowControl/>
              <w:suppressLineNumbers w:val="0"/>
              <w:jc w:val="center"/>
              <w:textAlignment w:val="center"/>
              <w:rPr>
                <w:rFonts w:eastAsia="仿宋_GB2312"/>
                <w:b/>
                <w:bCs/>
                <w:color w:val="FF0000"/>
              </w:rPr>
            </w:pPr>
            <w:r>
              <w:rPr>
                <w:rFonts w:hint="default" w:ascii="Times New Roman" w:hAnsi="Times New Roman" w:eastAsia="宋体" w:cs="Times New Roman"/>
                <w:i w:val="0"/>
                <w:iCs w:val="0"/>
                <w:color w:val="000000"/>
                <w:kern w:val="0"/>
                <w:sz w:val="21"/>
                <w:szCs w:val="21"/>
                <w:u w:val="none"/>
                <w:lang w:val="en-US" w:eastAsia="zh-CN" w:bidi="ar"/>
              </w:rPr>
              <w:t>0.002</w:t>
            </w:r>
          </w:p>
        </w:tc>
      </w:tr>
      <w:tr w14:paraId="370301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21780AEB">
            <w:pPr>
              <w:jc w:val="center"/>
              <w:rPr>
                <w:rFonts w:eastAsia="仿宋_GB2312"/>
                <w:b/>
                <w:bCs/>
                <w:color w:val="FF0000"/>
              </w:rPr>
            </w:pPr>
          </w:p>
        </w:tc>
        <w:tc>
          <w:tcPr>
            <w:tcW w:w="729" w:type="pct"/>
            <w:vMerge w:val="continue"/>
            <w:vAlign w:val="center"/>
          </w:tcPr>
          <w:p w14:paraId="6D256288">
            <w:pPr>
              <w:jc w:val="center"/>
              <w:rPr>
                <w:rFonts w:eastAsia="仿宋_GB2312"/>
                <w:b/>
                <w:bCs/>
                <w:color w:val="FF0000"/>
              </w:rPr>
            </w:pPr>
          </w:p>
        </w:tc>
        <w:tc>
          <w:tcPr>
            <w:tcW w:w="853" w:type="pct"/>
            <w:vMerge w:val="continue"/>
            <w:vAlign w:val="center"/>
          </w:tcPr>
          <w:p w14:paraId="625EB0EF">
            <w:pPr>
              <w:jc w:val="center"/>
              <w:rPr>
                <w:rFonts w:eastAsia="仿宋_GB2312"/>
                <w:b/>
                <w:bCs/>
                <w:color w:val="FF0000"/>
              </w:rPr>
            </w:pPr>
          </w:p>
        </w:tc>
        <w:tc>
          <w:tcPr>
            <w:tcW w:w="1497" w:type="pct"/>
            <w:vAlign w:val="center"/>
          </w:tcPr>
          <w:p w14:paraId="0A9903DC">
            <w:pPr>
              <w:keepNext w:val="0"/>
              <w:keepLines w:val="0"/>
              <w:widowControl/>
              <w:suppressLineNumbers w:val="0"/>
              <w:jc w:val="center"/>
              <w:textAlignment w:val="center"/>
              <w:rPr>
                <w:rFonts w:eastAsia="仿宋_GB2312"/>
                <w:b/>
                <w:bCs/>
                <w:color w:val="FF0000"/>
              </w:rPr>
            </w:pPr>
            <w:r>
              <w:rPr>
                <w:rFonts w:hint="default" w:ascii="仿宋_GB2312" w:hAnsi="宋体" w:eastAsia="仿宋_GB2312" w:cs="仿宋_GB2312"/>
                <w:i w:val="0"/>
                <w:iCs w:val="0"/>
                <w:color w:val="000000"/>
                <w:kern w:val="0"/>
                <w:sz w:val="21"/>
                <w:szCs w:val="21"/>
                <w:u w:val="none"/>
                <w:lang w:val="en-US" w:eastAsia="zh-CN" w:bidi="ar"/>
              </w:rPr>
              <w:t>其他有机物</w:t>
            </w:r>
          </w:p>
        </w:tc>
        <w:tc>
          <w:tcPr>
            <w:tcW w:w="1105" w:type="pct"/>
            <w:vAlign w:val="center"/>
          </w:tcPr>
          <w:p w14:paraId="4E3274A5">
            <w:pPr>
              <w:keepNext w:val="0"/>
              <w:keepLines w:val="0"/>
              <w:widowControl/>
              <w:suppressLineNumbers w:val="0"/>
              <w:jc w:val="center"/>
              <w:textAlignment w:val="center"/>
              <w:rPr>
                <w:rFonts w:eastAsia="仿宋_GB2312"/>
                <w:b/>
                <w:bCs/>
                <w:color w:val="FF0000"/>
              </w:rPr>
            </w:pPr>
            <w:r>
              <w:rPr>
                <w:rFonts w:hint="default" w:ascii="Times New Roman" w:hAnsi="Times New Roman" w:eastAsia="宋体" w:cs="Times New Roman"/>
                <w:i w:val="0"/>
                <w:iCs w:val="0"/>
                <w:color w:val="000000"/>
                <w:kern w:val="0"/>
                <w:sz w:val="21"/>
                <w:szCs w:val="21"/>
                <w:u w:val="none"/>
                <w:lang w:val="en-US" w:eastAsia="zh-CN" w:bidi="ar"/>
              </w:rPr>
              <w:t>0.00001</w:t>
            </w:r>
          </w:p>
        </w:tc>
      </w:tr>
      <w:tr w14:paraId="2A65FF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69F957B8">
            <w:pPr>
              <w:jc w:val="center"/>
              <w:rPr>
                <w:rFonts w:eastAsia="仿宋_GB2312"/>
                <w:b/>
                <w:bCs/>
                <w:color w:val="FF0000"/>
              </w:rPr>
            </w:pPr>
          </w:p>
        </w:tc>
        <w:tc>
          <w:tcPr>
            <w:tcW w:w="729" w:type="pct"/>
            <w:vMerge w:val="restart"/>
            <w:vAlign w:val="center"/>
          </w:tcPr>
          <w:p w14:paraId="6EF69B10">
            <w:pPr>
              <w:keepNext w:val="0"/>
              <w:keepLines w:val="0"/>
              <w:widowControl/>
              <w:suppressLineNumbers w:val="0"/>
              <w:jc w:val="center"/>
              <w:textAlignment w:val="center"/>
              <w:rPr>
                <w:rFonts w:eastAsia="仿宋_GB2312"/>
                <w:b/>
                <w:bCs/>
                <w:color w:val="FF0000"/>
              </w:rPr>
            </w:pPr>
            <w:r>
              <w:rPr>
                <w:rFonts w:hint="default" w:ascii="Times New Roman" w:hAnsi="Times New Roman" w:eastAsia="宋体" w:cs="Times New Roman"/>
                <w:i w:val="0"/>
                <w:iCs w:val="0"/>
                <w:color w:val="000000"/>
                <w:kern w:val="0"/>
                <w:sz w:val="21"/>
                <w:szCs w:val="21"/>
                <w:u w:val="none"/>
                <w:lang w:val="en-US" w:eastAsia="zh-CN" w:bidi="ar"/>
              </w:rPr>
              <w:t>G2-5-1</w:t>
            </w:r>
          </w:p>
        </w:tc>
        <w:tc>
          <w:tcPr>
            <w:tcW w:w="853" w:type="pct"/>
            <w:vMerge w:val="restart"/>
            <w:vAlign w:val="center"/>
          </w:tcPr>
          <w:p w14:paraId="072681F1">
            <w:pPr>
              <w:keepNext w:val="0"/>
              <w:keepLines w:val="0"/>
              <w:widowControl/>
              <w:suppressLineNumbers w:val="0"/>
              <w:jc w:val="center"/>
              <w:textAlignment w:val="center"/>
              <w:rPr>
                <w:rFonts w:eastAsia="仿宋_GB2312"/>
                <w:b/>
                <w:bCs/>
                <w:color w:val="FF0000"/>
              </w:rPr>
            </w:pPr>
            <w:r>
              <w:rPr>
                <w:rFonts w:hint="default" w:ascii="仿宋_GB2312" w:hAnsi="宋体" w:eastAsia="仿宋_GB2312" w:cs="仿宋_GB2312"/>
                <w:i w:val="0"/>
                <w:iCs w:val="0"/>
                <w:color w:val="000000"/>
                <w:kern w:val="0"/>
                <w:sz w:val="21"/>
                <w:szCs w:val="21"/>
                <w:u w:val="none"/>
                <w:lang w:val="en-US" w:eastAsia="zh-CN" w:bidi="ar"/>
              </w:rPr>
              <w:t>投料废气</w:t>
            </w:r>
          </w:p>
        </w:tc>
        <w:tc>
          <w:tcPr>
            <w:tcW w:w="1497" w:type="pct"/>
            <w:vAlign w:val="center"/>
          </w:tcPr>
          <w:p w14:paraId="256CAF77">
            <w:pPr>
              <w:keepNext w:val="0"/>
              <w:keepLines w:val="0"/>
              <w:widowControl/>
              <w:suppressLineNumbers w:val="0"/>
              <w:jc w:val="center"/>
              <w:textAlignment w:val="center"/>
              <w:rPr>
                <w:rFonts w:eastAsia="仿宋_GB2312"/>
                <w:b/>
                <w:bCs/>
                <w:color w:val="FF0000"/>
              </w:rPr>
            </w:pPr>
            <w:r>
              <w:rPr>
                <w:rFonts w:hint="default" w:ascii="仿宋_GB2312" w:hAnsi="宋体" w:eastAsia="仿宋_GB2312" w:cs="仿宋_GB2312"/>
                <w:i w:val="0"/>
                <w:iCs w:val="0"/>
                <w:color w:val="000000"/>
                <w:kern w:val="0"/>
                <w:sz w:val="21"/>
                <w:szCs w:val="21"/>
                <w:u w:val="none"/>
                <w:lang w:val="en-US" w:eastAsia="zh-CN" w:bidi="ar"/>
              </w:rPr>
              <w:t>二氯乙烷</w:t>
            </w:r>
          </w:p>
        </w:tc>
        <w:tc>
          <w:tcPr>
            <w:tcW w:w="1105" w:type="pct"/>
            <w:vAlign w:val="center"/>
          </w:tcPr>
          <w:p w14:paraId="7042D178">
            <w:pPr>
              <w:keepNext w:val="0"/>
              <w:keepLines w:val="0"/>
              <w:widowControl/>
              <w:suppressLineNumbers w:val="0"/>
              <w:jc w:val="center"/>
              <w:textAlignment w:val="center"/>
              <w:rPr>
                <w:rFonts w:eastAsia="仿宋_GB2312"/>
                <w:b/>
                <w:bCs/>
                <w:color w:val="FF0000"/>
              </w:rPr>
            </w:pPr>
            <w:r>
              <w:rPr>
                <w:rFonts w:hint="default" w:ascii="Times New Roman" w:hAnsi="Times New Roman" w:eastAsia="宋体" w:cs="Times New Roman"/>
                <w:i w:val="0"/>
                <w:iCs w:val="0"/>
                <w:color w:val="000000"/>
                <w:kern w:val="0"/>
                <w:sz w:val="21"/>
                <w:szCs w:val="21"/>
                <w:u w:val="none"/>
                <w:lang w:val="en-US" w:eastAsia="zh-CN" w:bidi="ar"/>
              </w:rPr>
              <w:t>0.0172</w:t>
            </w:r>
          </w:p>
        </w:tc>
      </w:tr>
      <w:tr w14:paraId="47C51CA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60C8A4F9">
            <w:pPr>
              <w:jc w:val="center"/>
              <w:rPr>
                <w:rFonts w:eastAsia="仿宋_GB2312"/>
                <w:b/>
                <w:bCs/>
                <w:color w:val="FF0000"/>
              </w:rPr>
            </w:pPr>
          </w:p>
        </w:tc>
        <w:tc>
          <w:tcPr>
            <w:tcW w:w="729" w:type="pct"/>
            <w:vMerge w:val="continue"/>
            <w:vAlign w:val="center"/>
          </w:tcPr>
          <w:p w14:paraId="76D0384A">
            <w:pPr>
              <w:jc w:val="center"/>
              <w:rPr>
                <w:rFonts w:eastAsia="仿宋_GB2312"/>
                <w:b/>
                <w:bCs/>
                <w:color w:val="FF0000"/>
              </w:rPr>
            </w:pPr>
          </w:p>
        </w:tc>
        <w:tc>
          <w:tcPr>
            <w:tcW w:w="853" w:type="pct"/>
            <w:vMerge w:val="continue"/>
            <w:vAlign w:val="center"/>
          </w:tcPr>
          <w:p w14:paraId="38BB1A1F">
            <w:pPr>
              <w:jc w:val="center"/>
              <w:rPr>
                <w:rFonts w:eastAsia="仿宋_GB2312"/>
                <w:b/>
                <w:bCs/>
                <w:color w:val="FF0000"/>
              </w:rPr>
            </w:pPr>
          </w:p>
        </w:tc>
        <w:tc>
          <w:tcPr>
            <w:tcW w:w="1497" w:type="pct"/>
            <w:vAlign w:val="center"/>
          </w:tcPr>
          <w:p w14:paraId="27305E69">
            <w:pPr>
              <w:keepNext w:val="0"/>
              <w:keepLines w:val="0"/>
              <w:widowControl/>
              <w:suppressLineNumbers w:val="0"/>
              <w:jc w:val="center"/>
              <w:textAlignment w:val="center"/>
              <w:rPr>
                <w:rFonts w:eastAsia="仿宋_GB2312"/>
                <w:b/>
                <w:bCs/>
                <w:color w:val="FF0000"/>
              </w:rPr>
            </w:pPr>
            <w:r>
              <w:rPr>
                <w:rFonts w:hint="default" w:ascii="仿宋_GB2312" w:hAnsi="宋体" w:eastAsia="仿宋_GB2312" w:cs="仿宋_GB2312"/>
                <w:i w:val="0"/>
                <w:iCs w:val="0"/>
                <w:color w:val="000000"/>
                <w:kern w:val="0"/>
                <w:sz w:val="21"/>
                <w:szCs w:val="21"/>
                <w:u w:val="none"/>
                <w:lang w:val="en-US" w:eastAsia="zh-CN" w:bidi="ar"/>
              </w:rPr>
              <w:t>环己酮</w:t>
            </w:r>
          </w:p>
        </w:tc>
        <w:tc>
          <w:tcPr>
            <w:tcW w:w="1105" w:type="pct"/>
            <w:vAlign w:val="center"/>
          </w:tcPr>
          <w:p w14:paraId="6BFCCC5D">
            <w:pPr>
              <w:keepNext w:val="0"/>
              <w:keepLines w:val="0"/>
              <w:widowControl/>
              <w:suppressLineNumbers w:val="0"/>
              <w:jc w:val="center"/>
              <w:textAlignment w:val="center"/>
              <w:rPr>
                <w:rFonts w:eastAsia="仿宋_GB2312"/>
                <w:b/>
                <w:bCs/>
                <w:color w:val="FF0000"/>
              </w:rPr>
            </w:pPr>
            <w:r>
              <w:rPr>
                <w:rFonts w:hint="default" w:ascii="Times New Roman" w:hAnsi="Times New Roman" w:eastAsia="宋体" w:cs="Times New Roman"/>
                <w:i w:val="0"/>
                <w:iCs w:val="0"/>
                <w:color w:val="000000"/>
                <w:kern w:val="0"/>
                <w:sz w:val="21"/>
                <w:szCs w:val="21"/>
                <w:u w:val="none"/>
                <w:lang w:val="en-US" w:eastAsia="zh-CN" w:bidi="ar"/>
              </w:rPr>
              <w:t>0.0003</w:t>
            </w:r>
          </w:p>
        </w:tc>
      </w:tr>
      <w:tr w14:paraId="55C99F3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20C7DA4B">
            <w:pPr>
              <w:jc w:val="center"/>
              <w:rPr>
                <w:rFonts w:eastAsia="仿宋_GB2312"/>
                <w:b/>
                <w:bCs/>
                <w:color w:val="FF0000"/>
              </w:rPr>
            </w:pPr>
          </w:p>
        </w:tc>
        <w:tc>
          <w:tcPr>
            <w:tcW w:w="729" w:type="pct"/>
            <w:vMerge w:val="continue"/>
            <w:vAlign w:val="center"/>
          </w:tcPr>
          <w:p w14:paraId="5D69ABEB">
            <w:pPr>
              <w:jc w:val="center"/>
              <w:rPr>
                <w:rFonts w:eastAsia="仿宋_GB2312"/>
                <w:b/>
                <w:bCs/>
                <w:color w:val="FF0000"/>
              </w:rPr>
            </w:pPr>
          </w:p>
        </w:tc>
        <w:tc>
          <w:tcPr>
            <w:tcW w:w="853" w:type="pct"/>
            <w:vMerge w:val="continue"/>
            <w:vAlign w:val="center"/>
          </w:tcPr>
          <w:p w14:paraId="03F2FF27">
            <w:pPr>
              <w:jc w:val="center"/>
              <w:rPr>
                <w:rFonts w:eastAsia="仿宋_GB2312"/>
                <w:b/>
                <w:bCs/>
                <w:color w:val="FF0000"/>
              </w:rPr>
            </w:pPr>
          </w:p>
        </w:tc>
        <w:tc>
          <w:tcPr>
            <w:tcW w:w="1497" w:type="pct"/>
            <w:vAlign w:val="center"/>
          </w:tcPr>
          <w:p w14:paraId="10DE4EC9">
            <w:pPr>
              <w:keepNext w:val="0"/>
              <w:keepLines w:val="0"/>
              <w:widowControl/>
              <w:suppressLineNumbers w:val="0"/>
              <w:jc w:val="center"/>
              <w:textAlignment w:val="center"/>
              <w:rPr>
                <w:rFonts w:eastAsia="仿宋_GB2312"/>
                <w:b/>
                <w:bCs/>
                <w:color w:val="FF0000"/>
              </w:rPr>
            </w:pPr>
            <w:r>
              <w:rPr>
                <w:rFonts w:hint="default" w:ascii="仿宋_GB2312" w:hAnsi="宋体" w:eastAsia="仿宋_GB2312" w:cs="仿宋_GB2312"/>
                <w:i w:val="0"/>
                <w:iCs w:val="0"/>
                <w:color w:val="000000"/>
                <w:kern w:val="0"/>
                <w:sz w:val="21"/>
                <w:szCs w:val="21"/>
                <w:u w:val="none"/>
                <w:lang w:val="en-US" w:eastAsia="zh-CN" w:bidi="ar"/>
              </w:rPr>
              <w:t>其他有机物</w:t>
            </w:r>
          </w:p>
        </w:tc>
        <w:tc>
          <w:tcPr>
            <w:tcW w:w="1105" w:type="pct"/>
            <w:vAlign w:val="center"/>
          </w:tcPr>
          <w:p w14:paraId="0474B0E2">
            <w:pPr>
              <w:keepNext w:val="0"/>
              <w:keepLines w:val="0"/>
              <w:widowControl/>
              <w:suppressLineNumbers w:val="0"/>
              <w:jc w:val="center"/>
              <w:textAlignment w:val="center"/>
              <w:rPr>
                <w:rFonts w:eastAsia="仿宋_GB2312"/>
                <w:b/>
                <w:bCs/>
                <w:color w:val="FF0000"/>
              </w:rPr>
            </w:pPr>
            <w:r>
              <w:rPr>
                <w:rFonts w:hint="default" w:ascii="Times New Roman" w:hAnsi="Times New Roman" w:eastAsia="宋体" w:cs="Times New Roman"/>
                <w:i w:val="0"/>
                <w:iCs w:val="0"/>
                <w:color w:val="000000"/>
                <w:kern w:val="0"/>
                <w:sz w:val="21"/>
                <w:szCs w:val="21"/>
                <w:u w:val="none"/>
                <w:lang w:val="en-US" w:eastAsia="zh-CN" w:bidi="ar"/>
              </w:rPr>
              <w:t>0.0003</w:t>
            </w:r>
          </w:p>
        </w:tc>
      </w:tr>
      <w:tr w14:paraId="4A10A8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08239C8C">
            <w:pPr>
              <w:jc w:val="center"/>
              <w:rPr>
                <w:rFonts w:eastAsia="仿宋_GB2312"/>
                <w:b/>
                <w:bCs/>
                <w:color w:val="FF0000"/>
              </w:rPr>
            </w:pPr>
          </w:p>
        </w:tc>
        <w:tc>
          <w:tcPr>
            <w:tcW w:w="729" w:type="pct"/>
            <w:vMerge w:val="restart"/>
            <w:vAlign w:val="center"/>
          </w:tcPr>
          <w:p w14:paraId="26C6B57E">
            <w:pPr>
              <w:keepNext w:val="0"/>
              <w:keepLines w:val="0"/>
              <w:widowControl/>
              <w:suppressLineNumbers w:val="0"/>
              <w:jc w:val="center"/>
              <w:textAlignment w:val="center"/>
              <w:rPr>
                <w:rFonts w:eastAsia="仿宋_GB2312"/>
                <w:b/>
                <w:bCs/>
                <w:color w:val="FF0000"/>
              </w:rPr>
            </w:pPr>
            <w:r>
              <w:rPr>
                <w:rFonts w:hint="default" w:ascii="Times New Roman" w:hAnsi="Times New Roman" w:eastAsia="宋体" w:cs="Times New Roman"/>
                <w:i w:val="0"/>
                <w:iCs w:val="0"/>
                <w:color w:val="000000"/>
                <w:kern w:val="0"/>
                <w:sz w:val="21"/>
                <w:szCs w:val="21"/>
                <w:u w:val="none"/>
                <w:lang w:val="en-US" w:eastAsia="zh-CN" w:bidi="ar"/>
              </w:rPr>
              <w:t>G2-5-5</w:t>
            </w:r>
          </w:p>
        </w:tc>
        <w:tc>
          <w:tcPr>
            <w:tcW w:w="853" w:type="pct"/>
            <w:vMerge w:val="restart"/>
            <w:vAlign w:val="center"/>
          </w:tcPr>
          <w:p w14:paraId="0A2188F1">
            <w:pPr>
              <w:keepNext w:val="0"/>
              <w:keepLines w:val="0"/>
              <w:widowControl/>
              <w:suppressLineNumbers w:val="0"/>
              <w:jc w:val="center"/>
              <w:textAlignment w:val="center"/>
              <w:rPr>
                <w:rFonts w:eastAsia="仿宋_GB2312"/>
                <w:b/>
                <w:bCs/>
                <w:color w:val="FF0000"/>
              </w:rPr>
            </w:pPr>
            <w:r>
              <w:rPr>
                <w:rFonts w:hint="default" w:ascii="仿宋_GB2312" w:hAnsi="宋体" w:eastAsia="仿宋_GB2312" w:cs="仿宋_GB2312"/>
                <w:i w:val="0"/>
                <w:iCs w:val="0"/>
                <w:color w:val="000000"/>
                <w:kern w:val="0"/>
                <w:sz w:val="21"/>
                <w:szCs w:val="21"/>
                <w:u w:val="none"/>
                <w:lang w:val="en-US" w:eastAsia="zh-CN" w:bidi="ar"/>
              </w:rPr>
              <w:t>灌装废气</w:t>
            </w:r>
          </w:p>
        </w:tc>
        <w:tc>
          <w:tcPr>
            <w:tcW w:w="1497" w:type="pct"/>
            <w:vAlign w:val="center"/>
          </w:tcPr>
          <w:p w14:paraId="72B24F88">
            <w:pPr>
              <w:keepNext w:val="0"/>
              <w:keepLines w:val="0"/>
              <w:widowControl/>
              <w:suppressLineNumbers w:val="0"/>
              <w:jc w:val="center"/>
              <w:textAlignment w:val="center"/>
              <w:rPr>
                <w:rFonts w:eastAsia="仿宋_GB2312"/>
                <w:b/>
                <w:bCs/>
                <w:color w:val="FF0000"/>
              </w:rPr>
            </w:pPr>
            <w:r>
              <w:rPr>
                <w:rFonts w:hint="default" w:ascii="仿宋_GB2312" w:hAnsi="宋体" w:eastAsia="仿宋_GB2312" w:cs="仿宋_GB2312"/>
                <w:i w:val="0"/>
                <w:iCs w:val="0"/>
                <w:color w:val="000000"/>
                <w:kern w:val="0"/>
                <w:sz w:val="21"/>
                <w:szCs w:val="21"/>
                <w:u w:val="none"/>
                <w:lang w:val="en-US" w:eastAsia="zh-CN" w:bidi="ar"/>
              </w:rPr>
              <w:t>二氯乙烷</w:t>
            </w:r>
          </w:p>
        </w:tc>
        <w:tc>
          <w:tcPr>
            <w:tcW w:w="1105" w:type="pct"/>
            <w:vAlign w:val="center"/>
          </w:tcPr>
          <w:p w14:paraId="2AB4C3DE">
            <w:pPr>
              <w:keepNext w:val="0"/>
              <w:keepLines w:val="0"/>
              <w:widowControl/>
              <w:suppressLineNumbers w:val="0"/>
              <w:jc w:val="center"/>
              <w:textAlignment w:val="center"/>
              <w:rPr>
                <w:rFonts w:eastAsia="仿宋_GB2312"/>
                <w:b/>
                <w:bCs/>
                <w:color w:val="FF0000"/>
              </w:rPr>
            </w:pPr>
            <w:r>
              <w:rPr>
                <w:rFonts w:hint="default" w:ascii="Times New Roman" w:hAnsi="Times New Roman" w:eastAsia="宋体" w:cs="Times New Roman"/>
                <w:i w:val="0"/>
                <w:iCs w:val="0"/>
                <w:color w:val="000000"/>
                <w:kern w:val="0"/>
                <w:sz w:val="21"/>
                <w:szCs w:val="21"/>
                <w:u w:val="none"/>
                <w:lang w:val="en-US" w:eastAsia="zh-CN" w:bidi="ar"/>
              </w:rPr>
              <w:t>0.0254</w:t>
            </w:r>
          </w:p>
        </w:tc>
      </w:tr>
      <w:tr w14:paraId="14B9F3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3BC2FFC6">
            <w:pPr>
              <w:jc w:val="center"/>
              <w:rPr>
                <w:rFonts w:eastAsia="仿宋_GB2312"/>
                <w:b/>
                <w:bCs/>
                <w:color w:val="FF0000"/>
              </w:rPr>
            </w:pPr>
          </w:p>
        </w:tc>
        <w:tc>
          <w:tcPr>
            <w:tcW w:w="729" w:type="pct"/>
            <w:vMerge w:val="continue"/>
            <w:vAlign w:val="center"/>
          </w:tcPr>
          <w:p w14:paraId="0E63A6F7">
            <w:pPr>
              <w:jc w:val="center"/>
              <w:rPr>
                <w:rFonts w:eastAsia="仿宋_GB2312"/>
                <w:b/>
                <w:bCs/>
                <w:color w:val="FF0000"/>
              </w:rPr>
            </w:pPr>
          </w:p>
        </w:tc>
        <w:tc>
          <w:tcPr>
            <w:tcW w:w="853" w:type="pct"/>
            <w:vMerge w:val="continue"/>
            <w:vAlign w:val="center"/>
          </w:tcPr>
          <w:p w14:paraId="6F8A1A4C">
            <w:pPr>
              <w:jc w:val="center"/>
              <w:rPr>
                <w:rFonts w:eastAsia="仿宋_GB2312"/>
                <w:b/>
                <w:bCs/>
                <w:color w:val="FF0000"/>
              </w:rPr>
            </w:pPr>
          </w:p>
        </w:tc>
        <w:tc>
          <w:tcPr>
            <w:tcW w:w="1497" w:type="pct"/>
            <w:vAlign w:val="center"/>
          </w:tcPr>
          <w:p w14:paraId="62279776">
            <w:pPr>
              <w:keepNext w:val="0"/>
              <w:keepLines w:val="0"/>
              <w:widowControl/>
              <w:suppressLineNumbers w:val="0"/>
              <w:jc w:val="center"/>
              <w:textAlignment w:val="center"/>
              <w:rPr>
                <w:rFonts w:eastAsia="仿宋_GB2312"/>
                <w:b/>
                <w:bCs/>
                <w:color w:val="FF0000"/>
              </w:rPr>
            </w:pPr>
            <w:r>
              <w:rPr>
                <w:rFonts w:hint="default" w:ascii="仿宋_GB2312" w:hAnsi="宋体" w:eastAsia="仿宋_GB2312" w:cs="仿宋_GB2312"/>
                <w:i w:val="0"/>
                <w:iCs w:val="0"/>
                <w:color w:val="000000"/>
                <w:kern w:val="0"/>
                <w:sz w:val="21"/>
                <w:szCs w:val="21"/>
                <w:u w:val="none"/>
                <w:lang w:val="en-US" w:eastAsia="zh-CN" w:bidi="ar"/>
              </w:rPr>
              <w:t>环己酮</w:t>
            </w:r>
          </w:p>
        </w:tc>
        <w:tc>
          <w:tcPr>
            <w:tcW w:w="1105" w:type="pct"/>
            <w:vAlign w:val="center"/>
          </w:tcPr>
          <w:p w14:paraId="3EE194D4">
            <w:pPr>
              <w:keepNext w:val="0"/>
              <w:keepLines w:val="0"/>
              <w:widowControl/>
              <w:suppressLineNumbers w:val="0"/>
              <w:jc w:val="center"/>
              <w:textAlignment w:val="center"/>
              <w:rPr>
                <w:rFonts w:eastAsia="仿宋_GB2312"/>
                <w:b/>
                <w:bCs/>
                <w:color w:val="FF0000"/>
              </w:rPr>
            </w:pPr>
            <w:r>
              <w:rPr>
                <w:rFonts w:hint="default" w:ascii="Times New Roman" w:hAnsi="Times New Roman" w:eastAsia="宋体" w:cs="Times New Roman"/>
                <w:i w:val="0"/>
                <w:iCs w:val="0"/>
                <w:color w:val="000000"/>
                <w:kern w:val="0"/>
                <w:sz w:val="21"/>
                <w:szCs w:val="21"/>
                <w:u w:val="none"/>
                <w:lang w:val="en-US" w:eastAsia="zh-CN" w:bidi="ar"/>
              </w:rPr>
              <w:t>0.00001</w:t>
            </w:r>
          </w:p>
        </w:tc>
      </w:tr>
      <w:tr w14:paraId="2757F1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47C14243">
            <w:pPr>
              <w:jc w:val="center"/>
              <w:rPr>
                <w:rFonts w:eastAsia="仿宋_GB2312"/>
                <w:b/>
                <w:bCs/>
                <w:color w:val="FF0000"/>
              </w:rPr>
            </w:pPr>
          </w:p>
        </w:tc>
        <w:tc>
          <w:tcPr>
            <w:tcW w:w="729" w:type="pct"/>
            <w:vMerge w:val="continue"/>
            <w:vAlign w:val="center"/>
          </w:tcPr>
          <w:p w14:paraId="70E117E1">
            <w:pPr>
              <w:jc w:val="center"/>
              <w:rPr>
                <w:rFonts w:eastAsia="仿宋_GB2312"/>
                <w:b/>
                <w:bCs/>
                <w:color w:val="FF0000"/>
              </w:rPr>
            </w:pPr>
          </w:p>
        </w:tc>
        <w:tc>
          <w:tcPr>
            <w:tcW w:w="853" w:type="pct"/>
            <w:vMerge w:val="continue"/>
            <w:vAlign w:val="center"/>
          </w:tcPr>
          <w:p w14:paraId="6131F495">
            <w:pPr>
              <w:jc w:val="center"/>
              <w:rPr>
                <w:rFonts w:eastAsia="仿宋_GB2312"/>
                <w:b/>
                <w:bCs/>
                <w:color w:val="FF0000"/>
              </w:rPr>
            </w:pPr>
          </w:p>
        </w:tc>
        <w:tc>
          <w:tcPr>
            <w:tcW w:w="1497" w:type="pct"/>
            <w:vAlign w:val="center"/>
          </w:tcPr>
          <w:p w14:paraId="25623D3B">
            <w:pPr>
              <w:keepNext w:val="0"/>
              <w:keepLines w:val="0"/>
              <w:widowControl/>
              <w:suppressLineNumbers w:val="0"/>
              <w:jc w:val="center"/>
              <w:textAlignment w:val="center"/>
              <w:rPr>
                <w:rFonts w:eastAsia="仿宋_GB2312"/>
                <w:b/>
                <w:bCs/>
                <w:color w:val="FF0000"/>
              </w:rPr>
            </w:pPr>
            <w:r>
              <w:rPr>
                <w:rFonts w:hint="default" w:ascii="仿宋_GB2312" w:hAnsi="宋体" w:eastAsia="仿宋_GB2312" w:cs="仿宋_GB2312"/>
                <w:i w:val="0"/>
                <w:iCs w:val="0"/>
                <w:color w:val="000000"/>
                <w:kern w:val="0"/>
                <w:sz w:val="21"/>
                <w:szCs w:val="21"/>
                <w:u w:val="none"/>
                <w:lang w:val="en-US" w:eastAsia="zh-CN" w:bidi="ar"/>
              </w:rPr>
              <w:t>其他有机物</w:t>
            </w:r>
          </w:p>
        </w:tc>
        <w:tc>
          <w:tcPr>
            <w:tcW w:w="1105" w:type="pct"/>
            <w:vAlign w:val="center"/>
          </w:tcPr>
          <w:p w14:paraId="7AC0AEC5">
            <w:pPr>
              <w:keepNext w:val="0"/>
              <w:keepLines w:val="0"/>
              <w:widowControl/>
              <w:suppressLineNumbers w:val="0"/>
              <w:jc w:val="center"/>
              <w:textAlignment w:val="center"/>
              <w:rPr>
                <w:rFonts w:eastAsia="仿宋_GB2312"/>
                <w:b/>
                <w:bCs/>
                <w:color w:val="FF0000"/>
              </w:rPr>
            </w:pPr>
            <w:r>
              <w:rPr>
                <w:rFonts w:hint="default" w:ascii="Times New Roman" w:hAnsi="Times New Roman" w:eastAsia="宋体" w:cs="Times New Roman"/>
                <w:i w:val="0"/>
                <w:iCs w:val="0"/>
                <w:color w:val="000000"/>
                <w:kern w:val="0"/>
                <w:sz w:val="21"/>
                <w:szCs w:val="21"/>
                <w:u w:val="none"/>
                <w:lang w:val="en-US" w:eastAsia="zh-CN" w:bidi="ar"/>
              </w:rPr>
              <w:t>0.00011</w:t>
            </w:r>
          </w:p>
        </w:tc>
      </w:tr>
      <w:tr w14:paraId="6D178A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6ECB1663">
            <w:pPr>
              <w:jc w:val="center"/>
              <w:rPr>
                <w:rFonts w:eastAsia="仿宋_GB2312"/>
                <w:b/>
                <w:bCs/>
                <w:color w:val="FF0000"/>
              </w:rPr>
            </w:pPr>
          </w:p>
        </w:tc>
        <w:tc>
          <w:tcPr>
            <w:tcW w:w="729" w:type="pct"/>
            <w:vMerge w:val="restart"/>
            <w:vAlign w:val="center"/>
          </w:tcPr>
          <w:p w14:paraId="108B04F3">
            <w:pPr>
              <w:keepNext w:val="0"/>
              <w:keepLines w:val="0"/>
              <w:widowControl/>
              <w:suppressLineNumbers w:val="0"/>
              <w:jc w:val="center"/>
              <w:textAlignment w:val="center"/>
              <w:rPr>
                <w:rFonts w:eastAsia="仿宋_GB2312"/>
                <w:b/>
                <w:bCs/>
                <w:color w:val="FF0000"/>
              </w:rPr>
            </w:pPr>
            <w:r>
              <w:rPr>
                <w:rFonts w:hint="default" w:ascii="Times New Roman" w:hAnsi="Times New Roman" w:eastAsia="宋体" w:cs="Times New Roman"/>
                <w:i w:val="0"/>
                <w:iCs w:val="0"/>
                <w:color w:val="000000"/>
                <w:kern w:val="0"/>
                <w:sz w:val="21"/>
                <w:szCs w:val="21"/>
                <w:u w:val="none"/>
                <w:lang w:val="en-US" w:eastAsia="zh-CN" w:bidi="ar"/>
              </w:rPr>
              <w:t>G2-6-1</w:t>
            </w:r>
          </w:p>
        </w:tc>
        <w:tc>
          <w:tcPr>
            <w:tcW w:w="853" w:type="pct"/>
            <w:vMerge w:val="restart"/>
            <w:vAlign w:val="center"/>
          </w:tcPr>
          <w:p w14:paraId="234C66BF">
            <w:pPr>
              <w:keepNext w:val="0"/>
              <w:keepLines w:val="0"/>
              <w:widowControl/>
              <w:suppressLineNumbers w:val="0"/>
              <w:jc w:val="center"/>
              <w:textAlignment w:val="center"/>
              <w:rPr>
                <w:rFonts w:eastAsia="仿宋_GB2312"/>
                <w:b/>
                <w:bCs/>
                <w:color w:val="FF0000"/>
              </w:rPr>
            </w:pPr>
            <w:r>
              <w:rPr>
                <w:rFonts w:hint="default" w:ascii="仿宋_GB2312" w:hAnsi="宋体" w:eastAsia="仿宋_GB2312" w:cs="仿宋_GB2312"/>
                <w:i w:val="0"/>
                <w:iCs w:val="0"/>
                <w:color w:val="000000"/>
                <w:kern w:val="0"/>
                <w:sz w:val="21"/>
                <w:szCs w:val="21"/>
                <w:u w:val="none"/>
                <w:lang w:val="en-US" w:eastAsia="zh-CN" w:bidi="ar"/>
              </w:rPr>
              <w:t>投料废气</w:t>
            </w:r>
          </w:p>
        </w:tc>
        <w:tc>
          <w:tcPr>
            <w:tcW w:w="1497" w:type="pct"/>
            <w:vAlign w:val="center"/>
          </w:tcPr>
          <w:p w14:paraId="0A7D582A">
            <w:pPr>
              <w:keepNext w:val="0"/>
              <w:keepLines w:val="0"/>
              <w:widowControl/>
              <w:suppressLineNumbers w:val="0"/>
              <w:jc w:val="center"/>
              <w:textAlignment w:val="center"/>
              <w:rPr>
                <w:rFonts w:eastAsia="仿宋_GB2312"/>
                <w:b/>
                <w:bCs/>
                <w:color w:val="FF0000"/>
              </w:rPr>
            </w:pPr>
            <w:r>
              <w:rPr>
                <w:rFonts w:hint="default" w:ascii="Times New Roman" w:hAnsi="Times New Roman" w:eastAsia="宋体" w:cs="Times New Roman"/>
                <w:i w:val="0"/>
                <w:iCs w:val="0"/>
                <w:color w:val="000000"/>
                <w:kern w:val="0"/>
                <w:sz w:val="21"/>
                <w:szCs w:val="21"/>
                <w:u w:val="none"/>
                <w:lang w:val="en-US" w:eastAsia="zh-CN" w:bidi="ar"/>
              </w:rPr>
              <w:t>DMSO</w:t>
            </w:r>
          </w:p>
        </w:tc>
        <w:tc>
          <w:tcPr>
            <w:tcW w:w="1105" w:type="pct"/>
            <w:vAlign w:val="center"/>
          </w:tcPr>
          <w:p w14:paraId="478AB71B">
            <w:pPr>
              <w:keepNext w:val="0"/>
              <w:keepLines w:val="0"/>
              <w:widowControl/>
              <w:suppressLineNumbers w:val="0"/>
              <w:jc w:val="center"/>
              <w:textAlignment w:val="center"/>
              <w:rPr>
                <w:rFonts w:eastAsia="仿宋_GB2312"/>
                <w:b/>
                <w:bCs/>
                <w:color w:val="FF0000"/>
              </w:rPr>
            </w:pPr>
            <w:r>
              <w:rPr>
                <w:rFonts w:hint="default" w:ascii="Times New Roman" w:hAnsi="Times New Roman" w:eastAsia="宋体" w:cs="Times New Roman"/>
                <w:i w:val="0"/>
                <w:iCs w:val="0"/>
                <w:color w:val="000000"/>
                <w:kern w:val="0"/>
                <w:sz w:val="21"/>
                <w:szCs w:val="21"/>
                <w:u w:val="none"/>
                <w:lang w:val="en-US" w:eastAsia="zh-CN" w:bidi="ar"/>
              </w:rPr>
              <w:t>0.017</w:t>
            </w:r>
          </w:p>
        </w:tc>
      </w:tr>
      <w:tr w14:paraId="31937A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0129FF3D">
            <w:pPr>
              <w:jc w:val="center"/>
              <w:rPr>
                <w:rFonts w:eastAsia="仿宋_GB2312"/>
                <w:b/>
                <w:bCs/>
                <w:color w:val="FF0000"/>
              </w:rPr>
            </w:pPr>
          </w:p>
        </w:tc>
        <w:tc>
          <w:tcPr>
            <w:tcW w:w="729" w:type="pct"/>
            <w:vMerge w:val="continue"/>
            <w:vAlign w:val="center"/>
          </w:tcPr>
          <w:p w14:paraId="70D3DAB0">
            <w:pPr>
              <w:jc w:val="center"/>
              <w:rPr>
                <w:rFonts w:eastAsia="仿宋_GB2312"/>
                <w:b/>
                <w:bCs/>
                <w:color w:val="FF0000"/>
              </w:rPr>
            </w:pPr>
          </w:p>
        </w:tc>
        <w:tc>
          <w:tcPr>
            <w:tcW w:w="853" w:type="pct"/>
            <w:vMerge w:val="continue"/>
            <w:vAlign w:val="center"/>
          </w:tcPr>
          <w:p w14:paraId="58DE7539">
            <w:pPr>
              <w:jc w:val="center"/>
              <w:rPr>
                <w:rFonts w:eastAsia="仿宋_GB2312"/>
                <w:b/>
                <w:bCs/>
                <w:color w:val="FF0000"/>
              </w:rPr>
            </w:pPr>
          </w:p>
        </w:tc>
        <w:tc>
          <w:tcPr>
            <w:tcW w:w="1497" w:type="pct"/>
            <w:vAlign w:val="center"/>
          </w:tcPr>
          <w:p w14:paraId="17BC1EE3">
            <w:pPr>
              <w:keepNext w:val="0"/>
              <w:keepLines w:val="0"/>
              <w:widowControl/>
              <w:suppressLineNumbers w:val="0"/>
              <w:jc w:val="center"/>
              <w:textAlignment w:val="center"/>
              <w:rPr>
                <w:rFonts w:eastAsia="仿宋_GB2312"/>
                <w:b/>
                <w:bCs/>
                <w:color w:val="FF0000"/>
              </w:rPr>
            </w:pPr>
            <w:r>
              <w:rPr>
                <w:rFonts w:hint="default" w:ascii="仿宋_GB2312" w:hAnsi="宋体" w:eastAsia="仿宋_GB2312" w:cs="仿宋_GB2312"/>
                <w:i w:val="0"/>
                <w:iCs w:val="0"/>
                <w:color w:val="000000"/>
                <w:kern w:val="0"/>
                <w:sz w:val="21"/>
                <w:szCs w:val="21"/>
                <w:u w:val="none"/>
                <w:lang w:val="en-US" w:eastAsia="zh-CN" w:bidi="ar"/>
              </w:rPr>
              <w:t>其他有机物</w:t>
            </w:r>
          </w:p>
        </w:tc>
        <w:tc>
          <w:tcPr>
            <w:tcW w:w="1105" w:type="pct"/>
            <w:vAlign w:val="center"/>
          </w:tcPr>
          <w:p w14:paraId="1080E5C0">
            <w:pPr>
              <w:keepNext w:val="0"/>
              <w:keepLines w:val="0"/>
              <w:widowControl/>
              <w:suppressLineNumbers w:val="0"/>
              <w:jc w:val="center"/>
              <w:textAlignment w:val="center"/>
              <w:rPr>
                <w:rFonts w:eastAsia="仿宋_GB2312"/>
                <w:b/>
                <w:bCs/>
                <w:color w:val="FF0000"/>
              </w:rPr>
            </w:pPr>
            <w:r>
              <w:rPr>
                <w:rFonts w:hint="default" w:ascii="Times New Roman" w:hAnsi="Times New Roman" w:eastAsia="宋体" w:cs="Times New Roman"/>
                <w:i w:val="0"/>
                <w:iCs w:val="0"/>
                <w:color w:val="000000"/>
                <w:kern w:val="0"/>
                <w:sz w:val="21"/>
                <w:szCs w:val="21"/>
                <w:u w:val="none"/>
                <w:lang w:val="en-US" w:eastAsia="zh-CN" w:bidi="ar"/>
              </w:rPr>
              <w:t>0.0002</w:t>
            </w:r>
          </w:p>
        </w:tc>
      </w:tr>
      <w:tr w14:paraId="2F49A4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2C38949D">
            <w:pPr>
              <w:jc w:val="center"/>
              <w:rPr>
                <w:rFonts w:eastAsia="仿宋_GB2312"/>
                <w:b/>
                <w:bCs/>
                <w:color w:val="FF0000"/>
              </w:rPr>
            </w:pPr>
          </w:p>
        </w:tc>
        <w:tc>
          <w:tcPr>
            <w:tcW w:w="729" w:type="pct"/>
            <w:vMerge w:val="restart"/>
            <w:vAlign w:val="center"/>
          </w:tcPr>
          <w:p w14:paraId="7B34B744">
            <w:pPr>
              <w:keepNext w:val="0"/>
              <w:keepLines w:val="0"/>
              <w:widowControl/>
              <w:suppressLineNumbers w:val="0"/>
              <w:jc w:val="center"/>
              <w:textAlignment w:val="center"/>
              <w:rPr>
                <w:rFonts w:eastAsia="仿宋_GB2312"/>
                <w:b/>
                <w:bCs/>
                <w:color w:val="FF0000"/>
              </w:rPr>
            </w:pPr>
            <w:r>
              <w:rPr>
                <w:rFonts w:hint="default" w:ascii="Times New Roman" w:hAnsi="Times New Roman" w:eastAsia="宋体" w:cs="Times New Roman"/>
                <w:i w:val="0"/>
                <w:iCs w:val="0"/>
                <w:color w:val="000000"/>
                <w:kern w:val="0"/>
                <w:sz w:val="21"/>
                <w:szCs w:val="21"/>
                <w:u w:val="none"/>
                <w:lang w:val="en-US" w:eastAsia="zh-CN" w:bidi="ar"/>
              </w:rPr>
              <w:t>G2-6-5</w:t>
            </w:r>
          </w:p>
        </w:tc>
        <w:tc>
          <w:tcPr>
            <w:tcW w:w="853" w:type="pct"/>
            <w:vMerge w:val="restart"/>
            <w:vAlign w:val="center"/>
          </w:tcPr>
          <w:p w14:paraId="2D9001D1">
            <w:pPr>
              <w:keepNext w:val="0"/>
              <w:keepLines w:val="0"/>
              <w:widowControl/>
              <w:suppressLineNumbers w:val="0"/>
              <w:jc w:val="center"/>
              <w:textAlignment w:val="center"/>
              <w:rPr>
                <w:rFonts w:eastAsia="仿宋_GB2312"/>
                <w:b/>
                <w:bCs/>
                <w:color w:val="FF0000"/>
              </w:rPr>
            </w:pPr>
            <w:r>
              <w:rPr>
                <w:rFonts w:hint="default" w:ascii="仿宋_GB2312" w:hAnsi="宋体" w:eastAsia="仿宋_GB2312" w:cs="仿宋_GB2312"/>
                <w:i w:val="0"/>
                <w:iCs w:val="0"/>
                <w:color w:val="000000"/>
                <w:kern w:val="0"/>
                <w:sz w:val="21"/>
                <w:szCs w:val="21"/>
                <w:u w:val="none"/>
                <w:lang w:val="en-US" w:eastAsia="zh-CN" w:bidi="ar"/>
              </w:rPr>
              <w:t>灌装废气</w:t>
            </w:r>
          </w:p>
        </w:tc>
        <w:tc>
          <w:tcPr>
            <w:tcW w:w="1497" w:type="pct"/>
            <w:vAlign w:val="center"/>
          </w:tcPr>
          <w:p w14:paraId="5B786151">
            <w:pPr>
              <w:keepNext w:val="0"/>
              <w:keepLines w:val="0"/>
              <w:widowControl/>
              <w:suppressLineNumbers w:val="0"/>
              <w:jc w:val="center"/>
              <w:textAlignment w:val="center"/>
              <w:rPr>
                <w:rFonts w:eastAsia="仿宋_GB2312"/>
                <w:b/>
                <w:bCs/>
                <w:color w:val="FF0000"/>
              </w:rPr>
            </w:pPr>
            <w:r>
              <w:rPr>
                <w:rFonts w:hint="default" w:ascii="Times New Roman" w:hAnsi="Times New Roman" w:eastAsia="宋体" w:cs="Times New Roman"/>
                <w:i w:val="0"/>
                <w:iCs w:val="0"/>
                <w:color w:val="000000"/>
                <w:kern w:val="0"/>
                <w:sz w:val="21"/>
                <w:szCs w:val="21"/>
                <w:u w:val="none"/>
                <w:lang w:val="en-US" w:eastAsia="zh-CN" w:bidi="ar"/>
              </w:rPr>
              <w:t>DMSO</w:t>
            </w:r>
          </w:p>
        </w:tc>
        <w:tc>
          <w:tcPr>
            <w:tcW w:w="1105" w:type="pct"/>
            <w:vAlign w:val="center"/>
          </w:tcPr>
          <w:p w14:paraId="5D80578C">
            <w:pPr>
              <w:keepNext w:val="0"/>
              <w:keepLines w:val="0"/>
              <w:widowControl/>
              <w:suppressLineNumbers w:val="0"/>
              <w:jc w:val="center"/>
              <w:textAlignment w:val="center"/>
              <w:rPr>
                <w:rFonts w:eastAsia="仿宋_GB2312"/>
                <w:b/>
                <w:bCs/>
                <w:color w:val="FF0000"/>
              </w:rPr>
            </w:pPr>
            <w:r>
              <w:rPr>
                <w:rFonts w:hint="default" w:ascii="Times New Roman" w:hAnsi="Times New Roman" w:eastAsia="宋体" w:cs="Times New Roman"/>
                <w:i w:val="0"/>
                <w:iCs w:val="0"/>
                <w:color w:val="000000"/>
                <w:kern w:val="0"/>
                <w:sz w:val="21"/>
                <w:szCs w:val="21"/>
                <w:u w:val="none"/>
                <w:lang w:val="en-US" w:eastAsia="zh-CN" w:bidi="ar"/>
              </w:rPr>
              <w:t>0.026</w:t>
            </w:r>
          </w:p>
        </w:tc>
      </w:tr>
      <w:tr w14:paraId="67AB64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57A263DC">
            <w:pPr>
              <w:jc w:val="center"/>
              <w:rPr>
                <w:rFonts w:eastAsia="仿宋_GB2312"/>
                <w:b/>
                <w:bCs/>
                <w:color w:val="FF0000"/>
              </w:rPr>
            </w:pPr>
          </w:p>
        </w:tc>
        <w:tc>
          <w:tcPr>
            <w:tcW w:w="729" w:type="pct"/>
            <w:vMerge w:val="continue"/>
            <w:vAlign w:val="center"/>
          </w:tcPr>
          <w:p w14:paraId="2A84C851">
            <w:pPr>
              <w:jc w:val="center"/>
              <w:rPr>
                <w:rFonts w:eastAsia="仿宋_GB2312"/>
                <w:b/>
                <w:bCs/>
                <w:color w:val="FF0000"/>
              </w:rPr>
            </w:pPr>
          </w:p>
        </w:tc>
        <w:tc>
          <w:tcPr>
            <w:tcW w:w="853" w:type="pct"/>
            <w:vMerge w:val="continue"/>
            <w:vAlign w:val="center"/>
          </w:tcPr>
          <w:p w14:paraId="4830DFE7">
            <w:pPr>
              <w:jc w:val="center"/>
              <w:rPr>
                <w:rFonts w:eastAsia="仿宋_GB2312"/>
                <w:b/>
                <w:bCs/>
                <w:color w:val="FF0000"/>
              </w:rPr>
            </w:pPr>
          </w:p>
        </w:tc>
        <w:tc>
          <w:tcPr>
            <w:tcW w:w="1497" w:type="pct"/>
            <w:vAlign w:val="center"/>
          </w:tcPr>
          <w:p w14:paraId="549FFA2D">
            <w:pPr>
              <w:keepNext w:val="0"/>
              <w:keepLines w:val="0"/>
              <w:widowControl/>
              <w:suppressLineNumbers w:val="0"/>
              <w:jc w:val="center"/>
              <w:textAlignment w:val="center"/>
              <w:rPr>
                <w:rFonts w:eastAsia="仿宋_GB2312"/>
                <w:b/>
                <w:bCs/>
                <w:color w:val="FF0000"/>
              </w:rPr>
            </w:pPr>
            <w:r>
              <w:rPr>
                <w:rFonts w:hint="default" w:ascii="仿宋_GB2312" w:hAnsi="宋体" w:eastAsia="仿宋_GB2312" w:cs="仿宋_GB2312"/>
                <w:i w:val="0"/>
                <w:iCs w:val="0"/>
                <w:color w:val="000000"/>
                <w:kern w:val="0"/>
                <w:sz w:val="21"/>
                <w:szCs w:val="21"/>
                <w:u w:val="none"/>
                <w:lang w:val="en-US" w:eastAsia="zh-CN" w:bidi="ar"/>
              </w:rPr>
              <w:t>其他有机物</w:t>
            </w:r>
          </w:p>
        </w:tc>
        <w:tc>
          <w:tcPr>
            <w:tcW w:w="1105" w:type="pct"/>
            <w:vAlign w:val="center"/>
          </w:tcPr>
          <w:p w14:paraId="25392F72">
            <w:pPr>
              <w:keepNext w:val="0"/>
              <w:keepLines w:val="0"/>
              <w:widowControl/>
              <w:suppressLineNumbers w:val="0"/>
              <w:jc w:val="center"/>
              <w:textAlignment w:val="center"/>
              <w:rPr>
                <w:rFonts w:eastAsia="仿宋_GB2312"/>
                <w:b/>
                <w:bCs/>
                <w:color w:val="FF0000"/>
              </w:rPr>
            </w:pPr>
            <w:r>
              <w:rPr>
                <w:rFonts w:hint="default" w:ascii="Times New Roman" w:hAnsi="Times New Roman" w:eastAsia="宋体" w:cs="Times New Roman"/>
                <w:i w:val="0"/>
                <w:iCs w:val="0"/>
                <w:color w:val="000000"/>
                <w:kern w:val="0"/>
                <w:sz w:val="21"/>
                <w:szCs w:val="21"/>
                <w:u w:val="none"/>
                <w:lang w:val="en-US" w:eastAsia="zh-CN" w:bidi="ar"/>
              </w:rPr>
              <w:t>0.0002</w:t>
            </w:r>
          </w:p>
        </w:tc>
      </w:tr>
      <w:tr w14:paraId="5E5627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263F3F6C">
            <w:pPr>
              <w:jc w:val="center"/>
              <w:rPr>
                <w:rFonts w:eastAsia="仿宋_GB2312"/>
                <w:b/>
                <w:bCs/>
                <w:color w:val="FF0000"/>
              </w:rPr>
            </w:pPr>
          </w:p>
        </w:tc>
        <w:tc>
          <w:tcPr>
            <w:tcW w:w="729" w:type="pct"/>
            <w:vMerge w:val="restart"/>
            <w:vAlign w:val="center"/>
          </w:tcPr>
          <w:p w14:paraId="5EA04585">
            <w:pPr>
              <w:keepNext w:val="0"/>
              <w:keepLines w:val="0"/>
              <w:widowControl/>
              <w:suppressLineNumbers w:val="0"/>
              <w:jc w:val="center"/>
              <w:textAlignment w:val="center"/>
              <w:rPr>
                <w:rFonts w:eastAsia="仿宋_GB2312"/>
                <w:b/>
                <w:bCs/>
                <w:color w:val="FF0000"/>
              </w:rPr>
            </w:pPr>
            <w:r>
              <w:rPr>
                <w:rFonts w:hint="default" w:ascii="Times New Roman" w:hAnsi="Times New Roman" w:eastAsia="宋体" w:cs="Times New Roman"/>
                <w:i w:val="0"/>
                <w:iCs w:val="0"/>
                <w:color w:val="000000"/>
                <w:kern w:val="0"/>
                <w:sz w:val="21"/>
                <w:szCs w:val="21"/>
                <w:u w:val="none"/>
                <w:lang w:val="en-US" w:eastAsia="zh-CN" w:bidi="ar"/>
              </w:rPr>
              <w:t>G2-7-1</w:t>
            </w:r>
          </w:p>
        </w:tc>
        <w:tc>
          <w:tcPr>
            <w:tcW w:w="853" w:type="pct"/>
            <w:vMerge w:val="restart"/>
            <w:vAlign w:val="center"/>
          </w:tcPr>
          <w:p w14:paraId="71BD3D31">
            <w:pPr>
              <w:keepNext w:val="0"/>
              <w:keepLines w:val="0"/>
              <w:widowControl/>
              <w:suppressLineNumbers w:val="0"/>
              <w:jc w:val="center"/>
              <w:textAlignment w:val="center"/>
              <w:rPr>
                <w:rFonts w:eastAsia="仿宋_GB2312"/>
                <w:b/>
                <w:bCs/>
                <w:color w:val="FF0000"/>
              </w:rPr>
            </w:pPr>
            <w:r>
              <w:rPr>
                <w:rFonts w:hint="default" w:ascii="仿宋_GB2312" w:hAnsi="宋体" w:eastAsia="仿宋_GB2312" w:cs="仿宋_GB2312"/>
                <w:i w:val="0"/>
                <w:iCs w:val="0"/>
                <w:color w:val="000000"/>
                <w:kern w:val="0"/>
                <w:sz w:val="21"/>
                <w:szCs w:val="21"/>
                <w:u w:val="none"/>
                <w:lang w:val="en-US" w:eastAsia="zh-CN" w:bidi="ar"/>
              </w:rPr>
              <w:t>投料废气</w:t>
            </w:r>
          </w:p>
        </w:tc>
        <w:tc>
          <w:tcPr>
            <w:tcW w:w="1497" w:type="pct"/>
            <w:vAlign w:val="center"/>
          </w:tcPr>
          <w:p w14:paraId="5207AC31">
            <w:pPr>
              <w:keepNext w:val="0"/>
              <w:keepLines w:val="0"/>
              <w:widowControl/>
              <w:suppressLineNumbers w:val="0"/>
              <w:jc w:val="center"/>
              <w:textAlignment w:val="center"/>
              <w:rPr>
                <w:rFonts w:eastAsia="仿宋_GB2312"/>
                <w:b/>
                <w:bCs/>
                <w:color w:val="FF0000"/>
              </w:rPr>
            </w:pPr>
            <w:r>
              <w:rPr>
                <w:rFonts w:hint="default" w:ascii="仿宋_GB2312" w:hAnsi="宋体" w:eastAsia="仿宋_GB2312" w:cs="仿宋_GB2312"/>
                <w:i w:val="0"/>
                <w:iCs w:val="0"/>
                <w:color w:val="000000"/>
                <w:kern w:val="0"/>
                <w:sz w:val="21"/>
                <w:szCs w:val="21"/>
                <w:u w:val="none"/>
                <w:lang w:val="en-US" w:eastAsia="zh-CN" w:bidi="ar"/>
              </w:rPr>
              <w:t>丁醇</w:t>
            </w:r>
          </w:p>
        </w:tc>
        <w:tc>
          <w:tcPr>
            <w:tcW w:w="1105" w:type="pct"/>
            <w:vAlign w:val="center"/>
          </w:tcPr>
          <w:p w14:paraId="1CE00773">
            <w:pPr>
              <w:keepNext w:val="0"/>
              <w:keepLines w:val="0"/>
              <w:widowControl/>
              <w:suppressLineNumbers w:val="0"/>
              <w:jc w:val="center"/>
              <w:textAlignment w:val="center"/>
              <w:rPr>
                <w:rFonts w:eastAsia="仿宋_GB2312"/>
                <w:b/>
                <w:bCs/>
                <w:color w:val="FF0000"/>
              </w:rPr>
            </w:pPr>
            <w:r>
              <w:rPr>
                <w:rFonts w:hint="default" w:ascii="Times New Roman" w:hAnsi="Times New Roman" w:eastAsia="宋体" w:cs="Times New Roman"/>
                <w:i w:val="0"/>
                <w:iCs w:val="0"/>
                <w:color w:val="000000"/>
                <w:kern w:val="0"/>
                <w:sz w:val="21"/>
                <w:szCs w:val="21"/>
                <w:u w:val="none"/>
                <w:lang w:val="en-US" w:eastAsia="zh-CN" w:bidi="ar"/>
              </w:rPr>
              <w:t>0.0025</w:t>
            </w:r>
          </w:p>
        </w:tc>
      </w:tr>
      <w:tr w14:paraId="4F5644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2966E09A">
            <w:pPr>
              <w:jc w:val="center"/>
              <w:rPr>
                <w:rFonts w:eastAsia="仿宋_GB2312"/>
                <w:b/>
                <w:bCs/>
                <w:color w:val="FF0000"/>
              </w:rPr>
            </w:pPr>
          </w:p>
        </w:tc>
        <w:tc>
          <w:tcPr>
            <w:tcW w:w="729" w:type="pct"/>
            <w:vMerge w:val="continue"/>
            <w:vAlign w:val="center"/>
          </w:tcPr>
          <w:p w14:paraId="3881CFEC">
            <w:pPr>
              <w:jc w:val="center"/>
              <w:rPr>
                <w:rFonts w:eastAsia="仿宋_GB2312"/>
                <w:b/>
                <w:bCs/>
                <w:color w:val="FF0000"/>
              </w:rPr>
            </w:pPr>
          </w:p>
        </w:tc>
        <w:tc>
          <w:tcPr>
            <w:tcW w:w="853" w:type="pct"/>
            <w:vMerge w:val="continue"/>
            <w:vAlign w:val="center"/>
          </w:tcPr>
          <w:p w14:paraId="4444BD79">
            <w:pPr>
              <w:jc w:val="center"/>
              <w:rPr>
                <w:rFonts w:eastAsia="仿宋_GB2312"/>
                <w:b/>
                <w:bCs/>
                <w:color w:val="FF0000"/>
              </w:rPr>
            </w:pPr>
          </w:p>
        </w:tc>
        <w:tc>
          <w:tcPr>
            <w:tcW w:w="1497" w:type="pct"/>
            <w:vAlign w:val="center"/>
          </w:tcPr>
          <w:p w14:paraId="02A744ED">
            <w:pPr>
              <w:keepNext w:val="0"/>
              <w:keepLines w:val="0"/>
              <w:widowControl/>
              <w:suppressLineNumbers w:val="0"/>
              <w:jc w:val="center"/>
              <w:textAlignment w:val="center"/>
              <w:rPr>
                <w:rFonts w:eastAsia="仿宋_GB2312"/>
                <w:b/>
                <w:bCs/>
                <w:color w:val="FF0000"/>
              </w:rPr>
            </w:pPr>
            <w:r>
              <w:rPr>
                <w:rFonts w:hint="default" w:ascii="仿宋_GB2312" w:hAnsi="宋体" w:eastAsia="仿宋_GB2312" w:cs="仿宋_GB2312"/>
                <w:i w:val="0"/>
                <w:iCs w:val="0"/>
                <w:color w:val="000000"/>
                <w:kern w:val="0"/>
                <w:sz w:val="21"/>
                <w:szCs w:val="21"/>
                <w:u w:val="none"/>
                <w:lang w:val="en-US" w:eastAsia="zh-CN" w:bidi="ar"/>
              </w:rPr>
              <w:t>辛醇</w:t>
            </w:r>
          </w:p>
        </w:tc>
        <w:tc>
          <w:tcPr>
            <w:tcW w:w="1105" w:type="pct"/>
            <w:vAlign w:val="center"/>
          </w:tcPr>
          <w:p w14:paraId="21148920">
            <w:pPr>
              <w:keepNext w:val="0"/>
              <w:keepLines w:val="0"/>
              <w:widowControl/>
              <w:suppressLineNumbers w:val="0"/>
              <w:jc w:val="center"/>
              <w:textAlignment w:val="center"/>
              <w:rPr>
                <w:rFonts w:eastAsia="仿宋_GB2312"/>
                <w:b/>
                <w:bCs/>
                <w:color w:val="FF0000"/>
              </w:rPr>
            </w:pPr>
            <w:r>
              <w:rPr>
                <w:rFonts w:hint="default" w:ascii="Times New Roman" w:hAnsi="Times New Roman" w:eastAsia="宋体" w:cs="Times New Roman"/>
                <w:i w:val="0"/>
                <w:iCs w:val="0"/>
                <w:color w:val="000000"/>
                <w:kern w:val="0"/>
                <w:sz w:val="21"/>
                <w:szCs w:val="21"/>
                <w:u w:val="none"/>
                <w:lang w:val="en-US" w:eastAsia="zh-CN" w:bidi="ar"/>
              </w:rPr>
              <w:t>0.0008</w:t>
            </w:r>
          </w:p>
        </w:tc>
      </w:tr>
      <w:tr w14:paraId="677DAD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27E8B8F3">
            <w:pPr>
              <w:jc w:val="center"/>
              <w:rPr>
                <w:rFonts w:eastAsia="仿宋_GB2312"/>
                <w:b/>
                <w:bCs/>
                <w:color w:val="FF0000"/>
              </w:rPr>
            </w:pPr>
          </w:p>
        </w:tc>
        <w:tc>
          <w:tcPr>
            <w:tcW w:w="729" w:type="pct"/>
            <w:vMerge w:val="continue"/>
            <w:vAlign w:val="center"/>
          </w:tcPr>
          <w:p w14:paraId="15286CCB">
            <w:pPr>
              <w:jc w:val="center"/>
              <w:rPr>
                <w:rFonts w:eastAsia="仿宋_GB2312"/>
                <w:b/>
                <w:bCs/>
                <w:color w:val="FF0000"/>
              </w:rPr>
            </w:pPr>
          </w:p>
        </w:tc>
        <w:tc>
          <w:tcPr>
            <w:tcW w:w="853" w:type="pct"/>
            <w:vMerge w:val="continue"/>
            <w:vAlign w:val="center"/>
          </w:tcPr>
          <w:p w14:paraId="16DC5B81">
            <w:pPr>
              <w:jc w:val="center"/>
              <w:rPr>
                <w:rFonts w:eastAsia="仿宋_GB2312"/>
                <w:b/>
                <w:bCs/>
                <w:color w:val="FF0000"/>
              </w:rPr>
            </w:pPr>
          </w:p>
        </w:tc>
        <w:tc>
          <w:tcPr>
            <w:tcW w:w="1497" w:type="pct"/>
            <w:vAlign w:val="center"/>
          </w:tcPr>
          <w:p w14:paraId="34FD190F">
            <w:pPr>
              <w:keepNext w:val="0"/>
              <w:keepLines w:val="0"/>
              <w:widowControl/>
              <w:suppressLineNumbers w:val="0"/>
              <w:jc w:val="center"/>
              <w:textAlignment w:val="center"/>
              <w:rPr>
                <w:rFonts w:eastAsia="仿宋_GB2312"/>
                <w:b/>
                <w:bCs/>
                <w:color w:val="FF0000"/>
              </w:rPr>
            </w:pPr>
            <w:r>
              <w:rPr>
                <w:rFonts w:hint="default" w:ascii="Times New Roman" w:hAnsi="Times New Roman" w:eastAsia="宋体" w:cs="Times New Roman"/>
                <w:i w:val="0"/>
                <w:iCs w:val="0"/>
                <w:color w:val="000000"/>
                <w:kern w:val="0"/>
                <w:sz w:val="21"/>
                <w:szCs w:val="21"/>
                <w:u w:val="none"/>
                <w:lang w:val="en-US" w:eastAsia="zh-CN" w:bidi="ar"/>
              </w:rPr>
              <w:t>2,4-</w:t>
            </w:r>
            <w:r>
              <w:rPr>
                <w:rFonts w:hint="default" w:ascii="仿宋_GB2312" w:hAnsi="Times New Roman" w:eastAsia="仿宋_GB2312" w:cs="仿宋_GB2312"/>
                <w:i w:val="0"/>
                <w:iCs w:val="0"/>
                <w:color w:val="000000"/>
                <w:kern w:val="0"/>
                <w:sz w:val="21"/>
                <w:szCs w:val="21"/>
                <w:u w:val="none"/>
                <w:lang w:val="en-US" w:eastAsia="zh-CN" w:bidi="ar"/>
              </w:rPr>
              <w:t>二甲基己烷</w:t>
            </w:r>
          </w:p>
        </w:tc>
        <w:tc>
          <w:tcPr>
            <w:tcW w:w="1105" w:type="pct"/>
            <w:vAlign w:val="center"/>
          </w:tcPr>
          <w:p w14:paraId="15CCA977">
            <w:pPr>
              <w:keepNext w:val="0"/>
              <w:keepLines w:val="0"/>
              <w:widowControl/>
              <w:suppressLineNumbers w:val="0"/>
              <w:jc w:val="center"/>
              <w:textAlignment w:val="center"/>
              <w:rPr>
                <w:rFonts w:eastAsia="仿宋_GB2312"/>
                <w:b/>
                <w:bCs/>
                <w:color w:val="FF0000"/>
              </w:rPr>
            </w:pPr>
            <w:r>
              <w:rPr>
                <w:rFonts w:hint="default" w:ascii="Times New Roman" w:hAnsi="Times New Roman" w:eastAsia="宋体" w:cs="Times New Roman"/>
                <w:i w:val="0"/>
                <w:iCs w:val="0"/>
                <w:color w:val="000000"/>
                <w:kern w:val="0"/>
                <w:sz w:val="21"/>
                <w:szCs w:val="21"/>
                <w:u w:val="none"/>
                <w:lang w:val="en-US" w:eastAsia="zh-CN" w:bidi="ar"/>
              </w:rPr>
              <w:t>0.0008</w:t>
            </w:r>
          </w:p>
        </w:tc>
      </w:tr>
      <w:tr w14:paraId="582AB4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675D9258">
            <w:pPr>
              <w:jc w:val="center"/>
              <w:rPr>
                <w:rFonts w:eastAsia="仿宋_GB2312"/>
                <w:b/>
                <w:bCs/>
                <w:color w:val="FF0000"/>
              </w:rPr>
            </w:pPr>
          </w:p>
        </w:tc>
        <w:tc>
          <w:tcPr>
            <w:tcW w:w="729" w:type="pct"/>
            <w:vMerge w:val="continue"/>
            <w:vAlign w:val="center"/>
          </w:tcPr>
          <w:p w14:paraId="5FBA4AC8">
            <w:pPr>
              <w:jc w:val="center"/>
              <w:rPr>
                <w:rFonts w:eastAsia="仿宋_GB2312"/>
                <w:b/>
                <w:bCs/>
                <w:color w:val="FF0000"/>
              </w:rPr>
            </w:pPr>
          </w:p>
        </w:tc>
        <w:tc>
          <w:tcPr>
            <w:tcW w:w="853" w:type="pct"/>
            <w:vMerge w:val="continue"/>
            <w:vAlign w:val="center"/>
          </w:tcPr>
          <w:p w14:paraId="42C9678A">
            <w:pPr>
              <w:jc w:val="center"/>
              <w:rPr>
                <w:rFonts w:eastAsia="仿宋_GB2312"/>
                <w:b/>
                <w:bCs/>
                <w:color w:val="FF0000"/>
              </w:rPr>
            </w:pPr>
          </w:p>
        </w:tc>
        <w:tc>
          <w:tcPr>
            <w:tcW w:w="1497" w:type="pct"/>
            <w:vAlign w:val="center"/>
          </w:tcPr>
          <w:p w14:paraId="53767D14">
            <w:pPr>
              <w:keepNext w:val="0"/>
              <w:keepLines w:val="0"/>
              <w:widowControl/>
              <w:suppressLineNumbers w:val="0"/>
              <w:jc w:val="center"/>
              <w:textAlignment w:val="center"/>
              <w:rPr>
                <w:rFonts w:eastAsia="仿宋_GB2312"/>
                <w:b/>
                <w:bCs/>
                <w:color w:val="FF0000"/>
              </w:rPr>
            </w:pPr>
            <w:r>
              <w:rPr>
                <w:rFonts w:hint="default" w:ascii="仿宋_GB2312" w:hAnsi="宋体" w:eastAsia="仿宋_GB2312" w:cs="仿宋_GB2312"/>
                <w:i w:val="0"/>
                <w:iCs w:val="0"/>
                <w:color w:val="000000"/>
                <w:kern w:val="0"/>
                <w:sz w:val="21"/>
                <w:szCs w:val="21"/>
                <w:u w:val="none"/>
                <w:lang w:val="en-US" w:eastAsia="zh-CN" w:bidi="ar"/>
              </w:rPr>
              <w:t>其他有机物</w:t>
            </w:r>
          </w:p>
        </w:tc>
        <w:tc>
          <w:tcPr>
            <w:tcW w:w="1105" w:type="pct"/>
            <w:vAlign w:val="center"/>
          </w:tcPr>
          <w:p w14:paraId="318BFAEA">
            <w:pPr>
              <w:keepNext w:val="0"/>
              <w:keepLines w:val="0"/>
              <w:widowControl/>
              <w:suppressLineNumbers w:val="0"/>
              <w:jc w:val="center"/>
              <w:textAlignment w:val="center"/>
              <w:rPr>
                <w:rFonts w:eastAsia="仿宋_GB2312"/>
                <w:b/>
                <w:bCs/>
                <w:color w:val="FF0000"/>
              </w:rPr>
            </w:pPr>
            <w:r>
              <w:rPr>
                <w:rFonts w:hint="default" w:ascii="Times New Roman" w:hAnsi="Times New Roman" w:eastAsia="宋体" w:cs="Times New Roman"/>
                <w:i w:val="0"/>
                <w:iCs w:val="0"/>
                <w:color w:val="000000"/>
                <w:kern w:val="0"/>
                <w:sz w:val="21"/>
                <w:szCs w:val="21"/>
                <w:u w:val="none"/>
                <w:lang w:val="en-US" w:eastAsia="zh-CN" w:bidi="ar"/>
              </w:rPr>
              <w:t>0.0001</w:t>
            </w:r>
          </w:p>
        </w:tc>
      </w:tr>
      <w:tr w14:paraId="6B883D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0F713553">
            <w:pPr>
              <w:jc w:val="center"/>
              <w:rPr>
                <w:rFonts w:eastAsia="仿宋_GB2312"/>
                <w:b/>
                <w:bCs/>
                <w:color w:val="FF0000"/>
              </w:rPr>
            </w:pPr>
          </w:p>
        </w:tc>
        <w:tc>
          <w:tcPr>
            <w:tcW w:w="729" w:type="pct"/>
            <w:vMerge w:val="restart"/>
            <w:vAlign w:val="center"/>
          </w:tcPr>
          <w:p w14:paraId="392CE422">
            <w:pPr>
              <w:keepNext w:val="0"/>
              <w:keepLines w:val="0"/>
              <w:widowControl/>
              <w:suppressLineNumbers w:val="0"/>
              <w:jc w:val="center"/>
              <w:textAlignment w:val="center"/>
              <w:rPr>
                <w:rFonts w:eastAsia="仿宋_GB2312"/>
                <w:b/>
                <w:bCs/>
                <w:color w:val="FF0000"/>
              </w:rPr>
            </w:pPr>
            <w:r>
              <w:rPr>
                <w:rFonts w:hint="default" w:ascii="Times New Roman" w:hAnsi="Times New Roman" w:eastAsia="宋体" w:cs="Times New Roman"/>
                <w:i w:val="0"/>
                <w:iCs w:val="0"/>
                <w:color w:val="000000"/>
                <w:kern w:val="0"/>
                <w:sz w:val="21"/>
                <w:szCs w:val="21"/>
                <w:u w:val="none"/>
                <w:lang w:val="en-US" w:eastAsia="zh-CN" w:bidi="ar"/>
              </w:rPr>
              <w:t>G2-7-5</w:t>
            </w:r>
          </w:p>
        </w:tc>
        <w:tc>
          <w:tcPr>
            <w:tcW w:w="853" w:type="pct"/>
            <w:vMerge w:val="restart"/>
            <w:vAlign w:val="center"/>
          </w:tcPr>
          <w:p w14:paraId="6EC88C57">
            <w:pPr>
              <w:keepNext w:val="0"/>
              <w:keepLines w:val="0"/>
              <w:widowControl/>
              <w:suppressLineNumbers w:val="0"/>
              <w:jc w:val="center"/>
              <w:textAlignment w:val="center"/>
              <w:rPr>
                <w:rFonts w:eastAsia="仿宋_GB2312"/>
                <w:b/>
                <w:bCs/>
                <w:color w:val="FF0000"/>
              </w:rPr>
            </w:pPr>
            <w:r>
              <w:rPr>
                <w:rFonts w:hint="default" w:ascii="仿宋_GB2312" w:hAnsi="宋体" w:eastAsia="仿宋_GB2312" w:cs="仿宋_GB2312"/>
                <w:i w:val="0"/>
                <w:iCs w:val="0"/>
                <w:color w:val="000000"/>
                <w:kern w:val="0"/>
                <w:sz w:val="21"/>
                <w:szCs w:val="21"/>
                <w:u w:val="none"/>
                <w:lang w:val="en-US" w:eastAsia="zh-CN" w:bidi="ar"/>
              </w:rPr>
              <w:t>灌装废气</w:t>
            </w:r>
          </w:p>
        </w:tc>
        <w:tc>
          <w:tcPr>
            <w:tcW w:w="1497" w:type="pct"/>
            <w:vAlign w:val="center"/>
          </w:tcPr>
          <w:p w14:paraId="381E8534">
            <w:pPr>
              <w:keepNext w:val="0"/>
              <w:keepLines w:val="0"/>
              <w:widowControl/>
              <w:suppressLineNumbers w:val="0"/>
              <w:jc w:val="center"/>
              <w:textAlignment w:val="center"/>
              <w:rPr>
                <w:rFonts w:eastAsia="仿宋_GB2312"/>
                <w:b/>
                <w:bCs/>
                <w:color w:val="FF0000"/>
              </w:rPr>
            </w:pPr>
            <w:r>
              <w:rPr>
                <w:rFonts w:hint="default" w:ascii="仿宋_GB2312" w:hAnsi="宋体" w:eastAsia="仿宋_GB2312" w:cs="仿宋_GB2312"/>
                <w:i w:val="0"/>
                <w:iCs w:val="0"/>
                <w:color w:val="000000"/>
                <w:kern w:val="0"/>
                <w:sz w:val="21"/>
                <w:szCs w:val="21"/>
                <w:u w:val="none"/>
                <w:lang w:val="en-US" w:eastAsia="zh-CN" w:bidi="ar"/>
              </w:rPr>
              <w:t>丁醇</w:t>
            </w:r>
          </w:p>
        </w:tc>
        <w:tc>
          <w:tcPr>
            <w:tcW w:w="1105" w:type="pct"/>
            <w:vAlign w:val="center"/>
          </w:tcPr>
          <w:p w14:paraId="50D51D9A">
            <w:pPr>
              <w:keepNext w:val="0"/>
              <w:keepLines w:val="0"/>
              <w:widowControl/>
              <w:suppressLineNumbers w:val="0"/>
              <w:jc w:val="center"/>
              <w:textAlignment w:val="center"/>
              <w:rPr>
                <w:rFonts w:eastAsia="仿宋_GB2312"/>
                <w:b/>
                <w:bCs/>
                <w:color w:val="FF0000"/>
              </w:rPr>
            </w:pPr>
            <w:r>
              <w:rPr>
                <w:rFonts w:hint="default" w:ascii="Times New Roman" w:hAnsi="Times New Roman" w:eastAsia="宋体" w:cs="Times New Roman"/>
                <w:i w:val="0"/>
                <w:iCs w:val="0"/>
                <w:color w:val="000000"/>
                <w:kern w:val="0"/>
                <w:sz w:val="21"/>
                <w:szCs w:val="21"/>
                <w:u w:val="none"/>
                <w:lang w:val="en-US" w:eastAsia="zh-CN" w:bidi="ar"/>
              </w:rPr>
              <w:t>0.003</w:t>
            </w:r>
          </w:p>
        </w:tc>
      </w:tr>
      <w:tr w14:paraId="469F31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1E84BAF8">
            <w:pPr>
              <w:jc w:val="center"/>
              <w:rPr>
                <w:rFonts w:eastAsia="仿宋_GB2312"/>
                <w:b/>
                <w:bCs/>
                <w:color w:val="FF0000"/>
              </w:rPr>
            </w:pPr>
          </w:p>
        </w:tc>
        <w:tc>
          <w:tcPr>
            <w:tcW w:w="729" w:type="pct"/>
            <w:vMerge w:val="continue"/>
            <w:vAlign w:val="center"/>
          </w:tcPr>
          <w:p w14:paraId="6BEC345F">
            <w:pPr>
              <w:jc w:val="center"/>
              <w:rPr>
                <w:rFonts w:eastAsia="仿宋_GB2312"/>
                <w:b/>
                <w:bCs/>
                <w:color w:val="FF0000"/>
              </w:rPr>
            </w:pPr>
          </w:p>
        </w:tc>
        <w:tc>
          <w:tcPr>
            <w:tcW w:w="853" w:type="pct"/>
            <w:vMerge w:val="continue"/>
            <w:vAlign w:val="center"/>
          </w:tcPr>
          <w:p w14:paraId="583E1666">
            <w:pPr>
              <w:jc w:val="center"/>
              <w:rPr>
                <w:rFonts w:eastAsia="仿宋_GB2312"/>
                <w:b/>
                <w:bCs/>
                <w:color w:val="FF0000"/>
              </w:rPr>
            </w:pPr>
          </w:p>
        </w:tc>
        <w:tc>
          <w:tcPr>
            <w:tcW w:w="1497" w:type="pct"/>
            <w:vAlign w:val="center"/>
          </w:tcPr>
          <w:p w14:paraId="6E417CA2">
            <w:pPr>
              <w:keepNext w:val="0"/>
              <w:keepLines w:val="0"/>
              <w:widowControl/>
              <w:suppressLineNumbers w:val="0"/>
              <w:jc w:val="center"/>
              <w:textAlignment w:val="center"/>
              <w:rPr>
                <w:rFonts w:eastAsia="仿宋_GB2312"/>
                <w:b/>
                <w:bCs/>
                <w:color w:val="FF0000"/>
              </w:rPr>
            </w:pPr>
            <w:r>
              <w:rPr>
                <w:rFonts w:hint="default" w:ascii="仿宋_GB2312" w:hAnsi="宋体" w:eastAsia="仿宋_GB2312" w:cs="仿宋_GB2312"/>
                <w:i w:val="0"/>
                <w:iCs w:val="0"/>
                <w:color w:val="000000"/>
                <w:kern w:val="0"/>
                <w:sz w:val="21"/>
                <w:szCs w:val="21"/>
                <w:u w:val="none"/>
                <w:lang w:val="en-US" w:eastAsia="zh-CN" w:bidi="ar"/>
              </w:rPr>
              <w:t>辛醇</w:t>
            </w:r>
          </w:p>
        </w:tc>
        <w:tc>
          <w:tcPr>
            <w:tcW w:w="1105" w:type="pct"/>
            <w:vAlign w:val="center"/>
          </w:tcPr>
          <w:p w14:paraId="1B417D48">
            <w:pPr>
              <w:keepNext w:val="0"/>
              <w:keepLines w:val="0"/>
              <w:widowControl/>
              <w:suppressLineNumbers w:val="0"/>
              <w:jc w:val="center"/>
              <w:textAlignment w:val="center"/>
              <w:rPr>
                <w:rFonts w:eastAsia="仿宋_GB2312"/>
                <w:b/>
                <w:bCs/>
                <w:color w:val="FF0000"/>
              </w:rPr>
            </w:pPr>
            <w:r>
              <w:rPr>
                <w:rFonts w:hint="default" w:ascii="Times New Roman" w:hAnsi="Times New Roman" w:eastAsia="宋体" w:cs="Times New Roman"/>
                <w:i w:val="0"/>
                <w:iCs w:val="0"/>
                <w:color w:val="000000"/>
                <w:kern w:val="0"/>
                <w:sz w:val="21"/>
                <w:szCs w:val="21"/>
                <w:u w:val="none"/>
                <w:lang w:val="en-US" w:eastAsia="zh-CN" w:bidi="ar"/>
              </w:rPr>
              <w:t>0.00112</w:t>
            </w:r>
          </w:p>
        </w:tc>
      </w:tr>
      <w:tr w14:paraId="1D5E71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054336A7">
            <w:pPr>
              <w:jc w:val="center"/>
              <w:rPr>
                <w:rFonts w:eastAsia="仿宋_GB2312"/>
                <w:b/>
                <w:bCs/>
                <w:color w:val="FF0000"/>
              </w:rPr>
            </w:pPr>
          </w:p>
        </w:tc>
        <w:tc>
          <w:tcPr>
            <w:tcW w:w="729" w:type="pct"/>
            <w:vMerge w:val="continue"/>
            <w:vAlign w:val="center"/>
          </w:tcPr>
          <w:p w14:paraId="4776EE5D">
            <w:pPr>
              <w:jc w:val="center"/>
              <w:rPr>
                <w:rFonts w:eastAsia="仿宋_GB2312"/>
                <w:b/>
                <w:bCs/>
                <w:color w:val="FF0000"/>
              </w:rPr>
            </w:pPr>
          </w:p>
        </w:tc>
        <w:tc>
          <w:tcPr>
            <w:tcW w:w="853" w:type="pct"/>
            <w:vMerge w:val="continue"/>
            <w:vAlign w:val="center"/>
          </w:tcPr>
          <w:p w14:paraId="6D4B2FE6">
            <w:pPr>
              <w:jc w:val="center"/>
              <w:rPr>
                <w:rFonts w:eastAsia="仿宋_GB2312"/>
                <w:b/>
                <w:bCs/>
                <w:color w:val="FF0000"/>
              </w:rPr>
            </w:pPr>
          </w:p>
        </w:tc>
        <w:tc>
          <w:tcPr>
            <w:tcW w:w="1497" w:type="pct"/>
            <w:vAlign w:val="center"/>
          </w:tcPr>
          <w:p w14:paraId="04DE8F37">
            <w:pPr>
              <w:keepNext w:val="0"/>
              <w:keepLines w:val="0"/>
              <w:widowControl/>
              <w:suppressLineNumbers w:val="0"/>
              <w:jc w:val="center"/>
              <w:textAlignment w:val="center"/>
              <w:rPr>
                <w:rFonts w:eastAsia="仿宋_GB2312"/>
                <w:b/>
                <w:bCs/>
                <w:color w:val="FF0000"/>
              </w:rPr>
            </w:pPr>
            <w:r>
              <w:rPr>
                <w:rFonts w:hint="default" w:ascii="Times New Roman" w:hAnsi="Times New Roman" w:eastAsia="宋体" w:cs="Times New Roman"/>
                <w:i w:val="0"/>
                <w:iCs w:val="0"/>
                <w:color w:val="000000"/>
                <w:kern w:val="0"/>
                <w:sz w:val="21"/>
                <w:szCs w:val="21"/>
                <w:u w:val="none"/>
                <w:lang w:val="en-US" w:eastAsia="zh-CN" w:bidi="ar"/>
              </w:rPr>
              <w:t>2,4-</w:t>
            </w:r>
            <w:r>
              <w:rPr>
                <w:rFonts w:hint="default" w:ascii="仿宋_GB2312" w:hAnsi="Times New Roman" w:eastAsia="仿宋_GB2312" w:cs="仿宋_GB2312"/>
                <w:i w:val="0"/>
                <w:iCs w:val="0"/>
                <w:color w:val="000000"/>
                <w:kern w:val="0"/>
                <w:sz w:val="21"/>
                <w:szCs w:val="21"/>
                <w:u w:val="none"/>
                <w:lang w:val="en-US" w:eastAsia="zh-CN" w:bidi="ar"/>
              </w:rPr>
              <w:t>二甲基己烷</w:t>
            </w:r>
          </w:p>
        </w:tc>
        <w:tc>
          <w:tcPr>
            <w:tcW w:w="1105" w:type="pct"/>
            <w:vAlign w:val="center"/>
          </w:tcPr>
          <w:p w14:paraId="77688DE6">
            <w:pPr>
              <w:keepNext w:val="0"/>
              <w:keepLines w:val="0"/>
              <w:widowControl/>
              <w:suppressLineNumbers w:val="0"/>
              <w:jc w:val="center"/>
              <w:textAlignment w:val="center"/>
              <w:rPr>
                <w:rFonts w:eastAsia="仿宋_GB2312"/>
                <w:b/>
                <w:bCs/>
                <w:color w:val="FF0000"/>
              </w:rPr>
            </w:pPr>
            <w:r>
              <w:rPr>
                <w:rFonts w:hint="default" w:ascii="Times New Roman" w:hAnsi="Times New Roman" w:eastAsia="宋体" w:cs="Times New Roman"/>
                <w:i w:val="0"/>
                <w:iCs w:val="0"/>
                <w:color w:val="000000"/>
                <w:kern w:val="0"/>
                <w:sz w:val="21"/>
                <w:szCs w:val="21"/>
                <w:u w:val="none"/>
                <w:lang w:val="en-US" w:eastAsia="zh-CN" w:bidi="ar"/>
              </w:rPr>
              <w:t>0.00001</w:t>
            </w:r>
          </w:p>
        </w:tc>
      </w:tr>
      <w:tr w14:paraId="43C6BA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6D663CE5">
            <w:pPr>
              <w:jc w:val="center"/>
              <w:rPr>
                <w:rFonts w:eastAsia="仿宋_GB2312"/>
                <w:b/>
                <w:bCs/>
                <w:color w:val="FF0000"/>
              </w:rPr>
            </w:pPr>
          </w:p>
        </w:tc>
        <w:tc>
          <w:tcPr>
            <w:tcW w:w="729" w:type="pct"/>
            <w:vMerge w:val="continue"/>
            <w:vAlign w:val="center"/>
          </w:tcPr>
          <w:p w14:paraId="10A5446D">
            <w:pPr>
              <w:jc w:val="center"/>
              <w:rPr>
                <w:rFonts w:eastAsia="仿宋_GB2312"/>
                <w:b/>
                <w:bCs/>
                <w:color w:val="FF0000"/>
              </w:rPr>
            </w:pPr>
          </w:p>
        </w:tc>
        <w:tc>
          <w:tcPr>
            <w:tcW w:w="853" w:type="pct"/>
            <w:vMerge w:val="continue"/>
            <w:vAlign w:val="center"/>
          </w:tcPr>
          <w:p w14:paraId="11D04B15">
            <w:pPr>
              <w:jc w:val="center"/>
              <w:rPr>
                <w:rFonts w:eastAsia="仿宋_GB2312"/>
                <w:b/>
                <w:bCs/>
                <w:color w:val="FF0000"/>
              </w:rPr>
            </w:pPr>
          </w:p>
        </w:tc>
        <w:tc>
          <w:tcPr>
            <w:tcW w:w="1497" w:type="pct"/>
            <w:vAlign w:val="center"/>
          </w:tcPr>
          <w:p w14:paraId="76E8BA2B">
            <w:pPr>
              <w:keepNext w:val="0"/>
              <w:keepLines w:val="0"/>
              <w:widowControl/>
              <w:suppressLineNumbers w:val="0"/>
              <w:jc w:val="center"/>
              <w:textAlignment w:val="center"/>
              <w:rPr>
                <w:rFonts w:eastAsia="仿宋_GB2312"/>
                <w:b/>
                <w:bCs/>
                <w:color w:val="FF0000"/>
              </w:rPr>
            </w:pPr>
            <w:r>
              <w:rPr>
                <w:rFonts w:hint="default" w:ascii="仿宋_GB2312" w:hAnsi="宋体" w:eastAsia="仿宋_GB2312" w:cs="仿宋_GB2312"/>
                <w:i w:val="0"/>
                <w:iCs w:val="0"/>
                <w:color w:val="000000"/>
                <w:kern w:val="0"/>
                <w:sz w:val="21"/>
                <w:szCs w:val="21"/>
                <w:u w:val="none"/>
                <w:lang w:val="en-US" w:eastAsia="zh-CN" w:bidi="ar"/>
              </w:rPr>
              <w:t>其他有机物</w:t>
            </w:r>
          </w:p>
        </w:tc>
        <w:tc>
          <w:tcPr>
            <w:tcW w:w="1105" w:type="pct"/>
            <w:vAlign w:val="center"/>
          </w:tcPr>
          <w:p w14:paraId="4EDFA4F2">
            <w:pPr>
              <w:keepNext w:val="0"/>
              <w:keepLines w:val="0"/>
              <w:widowControl/>
              <w:suppressLineNumbers w:val="0"/>
              <w:jc w:val="center"/>
              <w:textAlignment w:val="center"/>
              <w:rPr>
                <w:rFonts w:eastAsia="仿宋_GB2312"/>
                <w:b/>
                <w:bCs/>
                <w:color w:val="FF0000"/>
              </w:rPr>
            </w:pPr>
            <w:r>
              <w:rPr>
                <w:rFonts w:hint="default" w:ascii="Times New Roman" w:hAnsi="Times New Roman" w:eastAsia="宋体" w:cs="Times New Roman"/>
                <w:i w:val="0"/>
                <w:iCs w:val="0"/>
                <w:color w:val="000000"/>
                <w:kern w:val="0"/>
                <w:sz w:val="21"/>
                <w:szCs w:val="21"/>
                <w:u w:val="none"/>
                <w:lang w:val="en-US" w:eastAsia="zh-CN" w:bidi="ar"/>
              </w:rPr>
              <w:t>0.00001</w:t>
            </w:r>
          </w:p>
        </w:tc>
      </w:tr>
      <w:tr w14:paraId="0F3D41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5D19D3A4">
            <w:pPr>
              <w:jc w:val="center"/>
              <w:rPr>
                <w:rFonts w:eastAsia="仿宋_GB2312"/>
                <w:b/>
                <w:bCs/>
                <w:color w:val="FF0000"/>
              </w:rPr>
            </w:pPr>
          </w:p>
        </w:tc>
        <w:tc>
          <w:tcPr>
            <w:tcW w:w="729" w:type="pct"/>
            <w:vMerge w:val="restart"/>
            <w:vAlign w:val="center"/>
          </w:tcPr>
          <w:p w14:paraId="2E18B504">
            <w:pPr>
              <w:keepNext w:val="0"/>
              <w:keepLines w:val="0"/>
              <w:widowControl/>
              <w:suppressLineNumbers w:val="0"/>
              <w:jc w:val="center"/>
              <w:textAlignment w:val="center"/>
              <w:rPr>
                <w:rFonts w:eastAsia="仿宋_GB2312"/>
                <w:b/>
                <w:bCs/>
                <w:color w:val="FF0000"/>
              </w:rPr>
            </w:pPr>
            <w:r>
              <w:rPr>
                <w:rFonts w:hint="default" w:ascii="Times New Roman" w:hAnsi="Times New Roman" w:eastAsia="宋体" w:cs="Times New Roman"/>
                <w:i w:val="0"/>
                <w:iCs w:val="0"/>
                <w:color w:val="000000"/>
                <w:kern w:val="0"/>
                <w:sz w:val="21"/>
                <w:szCs w:val="21"/>
                <w:u w:val="none"/>
                <w:lang w:val="en-US" w:eastAsia="zh-CN" w:bidi="ar"/>
              </w:rPr>
              <w:t>G2-8-1</w:t>
            </w:r>
          </w:p>
        </w:tc>
        <w:tc>
          <w:tcPr>
            <w:tcW w:w="853" w:type="pct"/>
            <w:vMerge w:val="restart"/>
            <w:vAlign w:val="center"/>
          </w:tcPr>
          <w:p w14:paraId="68503EA0">
            <w:pPr>
              <w:keepNext w:val="0"/>
              <w:keepLines w:val="0"/>
              <w:widowControl/>
              <w:suppressLineNumbers w:val="0"/>
              <w:jc w:val="center"/>
              <w:textAlignment w:val="center"/>
              <w:rPr>
                <w:rFonts w:eastAsia="仿宋_GB2312"/>
                <w:b/>
                <w:bCs/>
                <w:color w:val="FF0000"/>
              </w:rPr>
            </w:pPr>
            <w:r>
              <w:rPr>
                <w:rFonts w:hint="default" w:ascii="仿宋_GB2312" w:hAnsi="宋体" w:eastAsia="仿宋_GB2312" w:cs="仿宋_GB2312"/>
                <w:i w:val="0"/>
                <w:iCs w:val="0"/>
                <w:color w:val="000000"/>
                <w:kern w:val="0"/>
                <w:sz w:val="21"/>
                <w:szCs w:val="21"/>
                <w:u w:val="none"/>
                <w:lang w:val="en-US" w:eastAsia="zh-CN" w:bidi="ar"/>
              </w:rPr>
              <w:t>投料废气</w:t>
            </w:r>
          </w:p>
        </w:tc>
        <w:tc>
          <w:tcPr>
            <w:tcW w:w="1497" w:type="pct"/>
            <w:vAlign w:val="center"/>
          </w:tcPr>
          <w:p w14:paraId="52930CA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21"/>
                <w:szCs w:val="21"/>
                <w:u w:val="none"/>
                <w:lang w:val="en-US" w:eastAsia="zh-CN" w:bidi="ar"/>
              </w:rPr>
              <w:t>碳九</w:t>
            </w:r>
          </w:p>
        </w:tc>
        <w:tc>
          <w:tcPr>
            <w:tcW w:w="1105" w:type="pct"/>
            <w:vAlign w:val="center"/>
          </w:tcPr>
          <w:p w14:paraId="5B14D81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0.0026</w:t>
            </w:r>
          </w:p>
        </w:tc>
      </w:tr>
      <w:tr w14:paraId="788096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41A6319F">
            <w:pPr>
              <w:jc w:val="center"/>
              <w:rPr>
                <w:rFonts w:eastAsia="仿宋_GB2312"/>
                <w:b/>
                <w:bCs/>
                <w:color w:val="FF0000"/>
              </w:rPr>
            </w:pPr>
          </w:p>
        </w:tc>
        <w:tc>
          <w:tcPr>
            <w:tcW w:w="729" w:type="pct"/>
            <w:vMerge w:val="continue"/>
            <w:vAlign w:val="center"/>
          </w:tcPr>
          <w:p w14:paraId="1AC1F169">
            <w:pPr>
              <w:jc w:val="center"/>
              <w:rPr>
                <w:rFonts w:eastAsia="仿宋_GB2312"/>
                <w:b/>
                <w:bCs/>
                <w:color w:val="FF0000"/>
              </w:rPr>
            </w:pPr>
          </w:p>
        </w:tc>
        <w:tc>
          <w:tcPr>
            <w:tcW w:w="853" w:type="pct"/>
            <w:vMerge w:val="continue"/>
            <w:vAlign w:val="center"/>
          </w:tcPr>
          <w:p w14:paraId="2BB441AD">
            <w:pPr>
              <w:jc w:val="center"/>
              <w:rPr>
                <w:rFonts w:eastAsia="仿宋_GB2312"/>
                <w:b/>
                <w:bCs/>
                <w:color w:val="FF0000"/>
              </w:rPr>
            </w:pPr>
          </w:p>
        </w:tc>
        <w:tc>
          <w:tcPr>
            <w:tcW w:w="1497" w:type="pct"/>
            <w:vAlign w:val="center"/>
          </w:tcPr>
          <w:p w14:paraId="6D2BD27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21"/>
                <w:szCs w:val="21"/>
                <w:u w:val="none"/>
                <w:lang w:val="en-US" w:eastAsia="zh-CN" w:bidi="ar"/>
              </w:rPr>
              <w:t>苯乙烯</w:t>
            </w:r>
          </w:p>
        </w:tc>
        <w:tc>
          <w:tcPr>
            <w:tcW w:w="1105" w:type="pct"/>
            <w:vAlign w:val="center"/>
          </w:tcPr>
          <w:p w14:paraId="5A66C7F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0.0005</w:t>
            </w:r>
          </w:p>
        </w:tc>
      </w:tr>
      <w:tr w14:paraId="11AEAE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7112B558">
            <w:pPr>
              <w:jc w:val="center"/>
              <w:rPr>
                <w:rFonts w:eastAsia="仿宋_GB2312"/>
                <w:b/>
                <w:bCs/>
                <w:color w:val="FF0000"/>
              </w:rPr>
            </w:pPr>
          </w:p>
        </w:tc>
        <w:tc>
          <w:tcPr>
            <w:tcW w:w="729" w:type="pct"/>
            <w:vMerge w:val="continue"/>
            <w:vAlign w:val="center"/>
          </w:tcPr>
          <w:p w14:paraId="54E39BCE">
            <w:pPr>
              <w:jc w:val="center"/>
              <w:rPr>
                <w:rFonts w:eastAsia="仿宋_GB2312"/>
                <w:b/>
                <w:bCs/>
                <w:color w:val="FF0000"/>
              </w:rPr>
            </w:pPr>
          </w:p>
        </w:tc>
        <w:tc>
          <w:tcPr>
            <w:tcW w:w="853" w:type="pct"/>
            <w:vMerge w:val="continue"/>
            <w:vAlign w:val="center"/>
          </w:tcPr>
          <w:p w14:paraId="27FD607C">
            <w:pPr>
              <w:jc w:val="center"/>
              <w:rPr>
                <w:rFonts w:eastAsia="仿宋_GB2312"/>
                <w:b/>
                <w:bCs/>
                <w:color w:val="FF0000"/>
              </w:rPr>
            </w:pPr>
          </w:p>
        </w:tc>
        <w:tc>
          <w:tcPr>
            <w:tcW w:w="1497" w:type="pct"/>
            <w:vAlign w:val="center"/>
          </w:tcPr>
          <w:p w14:paraId="0E315AF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w:t>
            </w:r>
            <w:r>
              <w:rPr>
                <w:rFonts w:hint="default" w:ascii="仿宋_GB2312" w:hAnsi="Times New Roman" w:eastAsia="仿宋_GB2312" w:cs="仿宋_GB2312"/>
                <w:i w:val="0"/>
                <w:iCs w:val="0"/>
                <w:color w:val="000000"/>
                <w:kern w:val="0"/>
                <w:sz w:val="21"/>
                <w:szCs w:val="21"/>
                <w:u w:val="none"/>
                <w:lang w:val="en-US" w:eastAsia="zh-CN" w:bidi="ar"/>
              </w:rPr>
              <w:t>异丙基</w:t>
            </w:r>
            <w:r>
              <w:rPr>
                <w:rFonts w:hint="default" w:ascii="Times New Roman" w:hAnsi="Times New Roman" w:eastAsia="宋体" w:cs="Times New Roman"/>
                <w:i w:val="0"/>
                <w:iCs w:val="0"/>
                <w:color w:val="000000"/>
                <w:kern w:val="0"/>
                <w:sz w:val="21"/>
                <w:szCs w:val="21"/>
                <w:u w:val="none"/>
                <w:lang w:val="en-US" w:eastAsia="zh-CN" w:bidi="ar"/>
              </w:rPr>
              <w:t>-1-</w:t>
            </w:r>
            <w:r>
              <w:rPr>
                <w:rFonts w:hint="default" w:ascii="仿宋_GB2312" w:hAnsi="Times New Roman" w:eastAsia="仿宋_GB2312" w:cs="仿宋_GB2312"/>
                <w:i w:val="0"/>
                <w:iCs w:val="0"/>
                <w:color w:val="000000"/>
                <w:kern w:val="0"/>
                <w:sz w:val="21"/>
                <w:szCs w:val="21"/>
                <w:u w:val="none"/>
                <w:lang w:val="en-US" w:eastAsia="zh-CN" w:bidi="ar"/>
              </w:rPr>
              <w:t>甲氧基</w:t>
            </w:r>
            <w:r>
              <w:rPr>
                <w:rFonts w:hint="default" w:ascii="Times New Roman" w:hAnsi="Times New Roman" w:eastAsia="宋体" w:cs="Times New Roman"/>
                <w:i w:val="0"/>
                <w:iCs w:val="0"/>
                <w:color w:val="000000"/>
                <w:kern w:val="0"/>
                <w:sz w:val="21"/>
                <w:szCs w:val="21"/>
                <w:u w:val="none"/>
                <w:lang w:val="en-US" w:eastAsia="zh-CN" w:bidi="ar"/>
              </w:rPr>
              <w:t>-4-</w:t>
            </w:r>
            <w:r>
              <w:rPr>
                <w:rFonts w:hint="default" w:ascii="仿宋_GB2312" w:hAnsi="Times New Roman" w:eastAsia="仿宋_GB2312" w:cs="仿宋_GB2312"/>
                <w:i w:val="0"/>
                <w:iCs w:val="0"/>
                <w:color w:val="000000"/>
                <w:kern w:val="0"/>
                <w:sz w:val="21"/>
                <w:szCs w:val="21"/>
                <w:u w:val="none"/>
                <w:lang w:val="en-US" w:eastAsia="zh-CN" w:bidi="ar"/>
              </w:rPr>
              <w:t>甲基苯</w:t>
            </w:r>
          </w:p>
        </w:tc>
        <w:tc>
          <w:tcPr>
            <w:tcW w:w="1105" w:type="pct"/>
            <w:vAlign w:val="center"/>
          </w:tcPr>
          <w:p w14:paraId="2A66D81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0.00004</w:t>
            </w:r>
          </w:p>
        </w:tc>
      </w:tr>
      <w:tr w14:paraId="60CC29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1730DFEF">
            <w:pPr>
              <w:jc w:val="center"/>
              <w:rPr>
                <w:rFonts w:eastAsia="仿宋_GB2312"/>
                <w:b/>
                <w:bCs/>
                <w:color w:val="FF0000"/>
              </w:rPr>
            </w:pPr>
          </w:p>
        </w:tc>
        <w:tc>
          <w:tcPr>
            <w:tcW w:w="729" w:type="pct"/>
            <w:vMerge w:val="continue"/>
            <w:vAlign w:val="center"/>
          </w:tcPr>
          <w:p w14:paraId="7E2FC6FC">
            <w:pPr>
              <w:jc w:val="center"/>
              <w:rPr>
                <w:rFonts w:eastAsia="仿宋_GB2312"/>
                <w:b/>
                <w:bCs/>
                <w:color w:val="FF0000"/>
              </w:rPr>
            </w:pPr>
          </w:p>
        </w:tc>
        <w:tc>
          <w:tcPr>
            <w:tcW w:w="853" w:type="pct"/>
            <w:vMerge w:val="continue"/>
            <w:vAlign w:val="center"/>
          </w:tcPr>
          <w:p w14:paraId="1CD3718A">
            <w:pPr>
              <w:jc w:val="center"/>
              <w:rPr>
                <w:rFonts w:eastAsia="仿宋_GB2312"/>
                <w:b/>
                <w:bCs/>
                <w:color w:val="FF0000"/>
              </w:rPr>
            </w:pPr>
          </w:p>
        </w:tc>
        <w:tc>
          <w:tcPr>
            <w:tcW w:w="1497" w:type="pct"/>
            <w:vAlign w:val="center"/>
          </w:tcPr>
          <w:p w14:paraId="3CCFB5F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21"/>
                <w:szCs w:val="21"/>
                <w:u w:val="none"/>
                <w:lang w:val="en-US" w:eastAsia="zh-CN" w:bidi="ar"/>
              </w:rPr>
              <w:t>其他有机物</w:t>
            </w:r>
          </w:p>
        </w:tc>
        <w:tc>
          <w:tcPr>
            <w:tcW w:w="1105" w:type="pct"/>
            <w:vAlign w:val="center"/>
          </w:tcPr>
          <w:p w14:paraId="1CA5068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0.0001</w:t>
            </w:r>
          </w:p>
        </w:tc>
      </w:tr>
      <w:tr w14:paraId="7772FD8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68FF2A54">
            <w:pPr>
              <w:jc w:val="center"/>
              <w:rPr>
                <w:rFonts w:eastAsia="仿宋_GB2312"/>
                <w:b/>
                <w:bCs/>
                <w:color w:val="FF0000"/>
              </w:rPr>
            </w:pPr>
          </w:p>
        </w:tc>
        <w:tc>
          <w:tcPr>
            <w:tcW w:w="729" w:type="pct"/>
            <w:vMerge w:val="restart"/>
            <w:vAlign w:val="center"/>
          </w:tcPr>
          <w:p w14:paraId="5EDEF0D1">
            <w:pPr>
              <w:keepNext w:val="0"/>
              <w:keepLines w:val="0"/>
              <w:widowControl/>
              <w:suppressLineNumbers w:val="0"/>
              <w:jc w:val="center"/>
              <w:textAlignment w:val="center"/>
              <w:rPr>
                <w:rFonts w:eastAsia="仿宋_GB2312"/>
                <w:b/>
                <w:bCs/>
                <w:color w:val="FF0000"/>
              </w:rPr>
            </w:pPr>
            <w:r>
              <w:rPr>
                <w:rFonts w:hint="default" w:ascii="Times New Roman" w:hAnsi="Times New Roman" w:eastAsia="宋体" w:cs="Times New Roman"/>
                <w:i w:val="0"/>
                <w:iCs w:val="0"/>
                <w:color w:val="000000"/>
                <w:kern w:val="0"/>
                <w:sz w:val="21"/>
                <w:szCs w:val="21"/>
                <w:u w:val="none"/>
                <w:lang w:val="en-US" w:eastAsia="zh-CN" w:bidi="ar"/>
              </w:rPr>
              <w:t>G2-8-5</w:t>
            </w:r>
          </w:p>
        </w:tc>
        <w:tc>
          <w:tcPr>
            <w:tcW w:w="853" w:type="pct"/>
            <w:vMerge w:val="restart"/>
            <w:vAlign w:val="center"/>
          </w:tcPr>
          <w:p w14:paraId="5AD3F015">
            <w:pPr>
              <w:keepNext w:val="0"/>
              <w:keepLines w:val="0"/>
              <w:widowControl/>
              <w:suppressLineNumbers w:val="0"/>
              <w:jc w:val="center"/>
              <w:textAlignment w:val="center"/>
              <w:rPr>
                <w:rFonts w:eastAsia="仿宋_GB2312"/>
                <w:b/>
                <w:bCs/>
                <w:color w:val="FF0000"/>
              </w:rPr>
            </w:pPr>
            <w:r>
              <w:rPr>
                <w:rFonts w:hint="default" w:ascii="仿宋_GB2312" w:hAnsi="宋体" w:eastAsia="仿宋_GB2312" w:cs="仿宋_GB2312"/>
                <w:i w:val="0"/>
                <w:iCs w:val="0"/>
                <w:color w:val="000000"/>
                <w:kern w:val="0"/>
                <w:sz w:val="21"/>
                <w:szCs w:val="21"/>
                <w:u w:val="none"/>
                <w:lang w:val="en-US" w:eastAsia="zh-CN" w:bidi="ar"/>
              </w:rPr>
              <w:t>灌装废气</w:t>
            </w:r>
          </w:p>
        </w:tc>
        <w:tc>
          <w:tcPr>
            <w:tcW w:w="1497" w:type="pct"/>
            <w:vAlign w:val="center"/>
          </w:tcPr>
          <w:p w14:paraId="45E36EE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21"/>
                <w:szCs w:val="21"/>
                <w:u w:val="none"/>
                <w:lang w:val="en-US" w:eastAsia="zh-CN" w:bidi="ar"/>
              </w:rPr>
              <w:t>碳九</w:t>
            </w:r>
          </w:p>
        </w:tc>
        <w:tc>
          <w:tcPr>
            <w:tcW w:w="1105" w:type="pct"/>
            <w:vAlign w:val="center"/>
          </w:tcPr>
          <w:p w14:paraId="30F1F53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0.004</w:t>
            </w:r>
          </w:p>
        </w:tc>
      </w:tr>
      <w:tr w14:paraId="35DDCC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2F35C9EC">
            <w:pPr>
              <w:jc w:val="center"/>
              <w:rPr>
                <w:rFonts w:eastAsia="仿宋_GB2312"/>
                <w:b/>
                <w:bCs/>
                <w:color w:val="FF0000"/>
              </w:rPr>
            </w:pPr>
          </w:p>
        </w:tc>
        <w:tc>
          <w:tcPr>
            <w:tcW w:w="729" w:type="pct"/>
            <w:vMerge w:val="continue"/>
            <w:vAlign w:val="center"/>
          </w:tcPr>
          <w:p w14:paraId="2862147A">
            <w:pPr>
              <w:jc w:val="center"/>
              <w:rPr>
                <w:rFonts w:eastAsia="仿宋_GB2312"/>
                <w:b/>
                <w:bCs/>
                <w:color w:val="FF0000"/>
              </w:rPr>
            </w:pPr>
          </w:p>
        </w:tc>
        <w:tc>
          <w:tcPr>
            <w:tcW w:w="853" w:type="pct"/>
            <w:vMerge w:val="continue"/>
            <w:vAlign w:val="center"/>
          </w:tcPr>
          <w:p w14:paraId="4E4E40C5">
            <w:pPr>
              <w:jc w:val="center"/>
              <w:rPr>
                <w:rFonts w:eastAsia="仿宋_GB2312"/>
                <w:b/>
                <w:bCs/>
                <w:color w:val="FF0000"/>
              </w:rPr>
            </w:pPr>
          </w:p>
        </w:tc>
        <w:tc>
          <w:tcPr>
            <w:tcW w:w="1497" w:type="pct"/>
            <w:vAlign w:val="center"/>
          </w:tcPr>
          <w:p w14:paraId="5C21DFA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21"/>
                <w:szCs w:val="21"/>
                <w:u w:val="none"/>
                <w:lang w:val="en-US" w:eastAsia="zh-CN" w:bidi="ar"/>
              </w:rPr>
              <w:t>苯乙烯</w:t>
            </w:r>
          </w:p>
        </w:tc>
        <w:tc>
          <w:tcPr>
            <w:tcW w:w="1105" w:type="pct"/>
            <w:vAlign w:val="center"/>
          </w:tcPr>
          <w:p w14:paraId="35C6957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0.001</w:t>
            </w:r>
          </w:p>
        </w:tc>
      </w:tr>
      <w:tr w14:paraId="651475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1A32A77A">
            <w:pPr>
              <w:jc w:val="center"/>
              <w:rPr>
                <w:rFonts w:eastAsia="仿宋_GB2312"/>
                <w:b/>
                <w:bCs/>
                <w:color w:val="FF0000"/>
              </w:rPr>
            </w:pPr>
          </w:p>
        </w:tc>
        <w:tc>
          <w:tcPr>
            <w:tcW w:w="729" w:type="pct"/>
            <w:vMerge w:val="continue"/>
            <w:vAlign w:val="center"/>
          </w:tcPr>
          <w:p w14:paraId="60E5E766">
            <w:pPr>
              <w:jc w:val="center"/>
              <w:rPr>
                <w:rFonts w:eastAsia="仿宋_GB2312"/>
                <w:b/>
                <w:bCs/>
                <w:color w:val="FF0000"/>
              </w:rPr>
            </w:pPr>
          </w:p>
        </w:tc>
        <w:tc>
          <w:tcPr>
            <w:tcW w:w="853" w:type="pct"/>
            <w:vMerge w:val="continue"/>
            <w:vAlign w:val="center"/>
          </w:tcPr>
          <w:p w14:paraId="33FE7A99">
            <w:pPr>
              <w:jc w:val="center"/>
              <w:rPr>
                <w:rFonts w:eastAsia="仿宋_GB2312"/>
                <w:b/>
                <w:bCs/>
                <w:color w:val="FF0000"/>
              </w:rPr>
            </w:pPr>
          </w:p>
        </w:tc>
        <w:tc>
          <w:tcPr>
            <w:tcW w:w="1497" w:type="pct"/>
            <w:vAlign w:val="center"/>
          </w:tcPr>
          <w:p w14:paraId="2F5DADA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w:t>
            </w:r>
            <w:r>
              <w:rPr>
                <w:rFonts w:hint="default" w:ascii="仿宋_GB2312" w:hAnsi="Times New Roman" w:eastAsia="仿宋_GB2312" w:cs="仿宋_GB2312"/>
                <w:i w:val="0"/>
                <w:iCs w:val="0"/>
                <w:color w:val="000000"/>
                <w:kern w:val="0"/>
                <w:sz w:val="21"/>
                <w:szCs w:val="21"/>
                <w:u w:val="none"/>
                <w:lang w:val="en-US" w:eastAsia="zh-CN" w:bidi="ar"/>
              </w:rPr>
              <w:t>异丙基</w:t>
            </w:r>
            <w:r>
              <w:rPr>
                <w:rFonts w:hint="default" w:ascii="Times New Roman" w:hAnsi="Times New Roman" w:eastAsia="宋体" w:cs="Times New Roman"/>
                <w:i w:val="0"/>
                <w:iCs w:val="0"/>
                <w:color w:val="000000"/>
                <w:kern w:val="0"/>
                <w:sz w:val="21"/>
                <w:szCs w:val="21"/>
                <w:u w:val="none"/>
                <w:lang w:val="en-US" w:eastAsia="zh-CN" w:bidi="ar"/>
              </w:rPr>
              <w:t>-1-</w:t>
            </w:r>
            <w:r>
              <w:rPr>
                <w:rFonts w:hint="default" w:ascii="仿宋_GB2312" w:hAnsi="Times New Roman" w:eastAsia="仿宋_GB2312" w:cs="仿宋_GB2312"/>
                <w:i w:val="0"/>
                <w:iCs w:val="0"/>
                <w:color w:val="000000"/>
                <w:kern w:val="0"/>
                <w:sz w:val="21"/>
                <w:szCs w:val="21"/>
                <w:u w:val="none"/>
                <w:lang w:val="en-US" w:eastAsia="zh-CN" w:bidi="ar"/>
              </w:rPr>
              <w:t>甲氧基</w:t>
            </w:r>
            <w:r>
              <w:rPr>
                <w:rFonts w:hint="default" w:ascii="Times New Roman" w:hAnsi="Times New Roman" w:eastAsia="宋体" w:cs="Times New Roman"/>
                <w:i w:val="0"/>
                <w:iCs w:val="0"/>
                <w:color w:val="000000"/>
                <w:kern w:val="0"/>
                <w:sz w:val="21"/>
                <w:szCs w:val="21"/>
                <w:u w:val="none"/>
                <w:lang w:val="en-US" w:eastAsia="zh-CN" w:bidi="ar"/>
              </w:rPr>
              <w:t>-4-</w:t>
            </w:r>
            <w:r>
              <w:rPr>
                <w:rFonts w:hint="default" w:ascii="仿宋_GB2312" w:hAnsi="Times New Roman" w:eastAsia="仿宋_GB2312" w:cs="仿宋_GB2312"/>
                <w:i w:val="0"/>
                <w:iCs w:val="0"/>
                <w:color w:val="000000"/>
                <w:kern w:val="0"/>
                <w:sz w:val="21"/>
                <w:szCs w:val="21"/>
                <w:u w:val="none"/>
                <w:lang w:val="en-US" w:eastAsia="zh-CN" w:bidi="ar"/>
              </w:rPr>
              <w:t>甲基苯</w:t>
            </w:r>
          </w:p>
        </w:tc>
        <w:tc>
          <w:tcPr>
            <w:tcW w:w="1105" w:type="pct"/>
            <w:vAlign w:val="center"/>
          </w:tcPr>
          <w:p w14:paraId="0119874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0.00001</w:t>
            </w:r>
          </w:p>
        </w:tc>
      </w:tr>
      <w:tr w14:paraId="5FF283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026FC6AE">
            <w:pPr>
              <w:jc w:val="center"/>
              <w:rPr>
                <w:rFonts w:eastAsia="仿宋_GB2312"/>
                <w:b/>
                <w:bCs/>
                <w:color w:val="FF0000"/>
              </w:rPr>
            </w:pPr>
          </w:p>
        </w:tc>
        <w:tc>
          <w:tcPr>
            <w:tcW w:w="729" w:type="pct"/>
            <w:vMerge w:val="continue"/>
            <w:vAlign w:val="center"/>
          </w:tcPr>
          <w:p w14:paraId="02765B60">
            <w:pPr>
              <w:jc w:val="center"/>
              <w:rPr>
                <w:rFonts w:eastAsia="仿宋_GB2312"/>
                <w:b/>
                <w:bCs/>
                <w:color w:val="FF0000"/>
              </w:rPr>
            </w:pPr>
          </w:p>
        </w:tc>
        <w:tc>
          <w:tcPr>
            <w:tcW w:w="853" w:type="pct"/>
            <w:vMerge w:val="continue"/>
            <w:vAlign w:val="center"/>
          </w:tcPr>
          <w:p w14:paraId="6E22D093">
            <w:pPr>
              <w:jc w:val="center"/>
              <w:rPr>
                <w:rFonts w:eastAsia="仿宋_GB2312"/>
                <w:b/>
                <w:bCs/>
                <w:color w:val="FF0000"/>
              </w:rPr>
            </w:pPr>
          </w:p>
        </w:tc>
        <w:tc>
          <w:tcPr>
            <w:tcW w:w="1497" w:type="pct"/>
            <w:vAlign w:val="center"/>
          </w:tcPr>
          <w:p w14:paraId="73C45AE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21"/>
                <w:szCs w:val="21"/>
                <w:u w:val="none"/>
                <w:lang w:val="en-US" w:eastAsia="zh-CN" w:bidi="ar"/>
              </w:rPr>
              <w:t>其他有机物</w:t>
            </w:r>
          </w:p>
        </w:tc>
        <w:tc>
          <w:tcPr>
            <w:tcW w:w="1105" w:type="pct"/>
            <w:vAlign w:val="center"/>
          </w:tcPr>
          <w:p w14:paraId="74D2ECE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0.00001</w:t>
            </w:r>
          </w:p>
        </w:tc>
      </w:tr>
      <w:tr w14:paraId="239D60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67B8E06E">
            <w:pPr>
              <w:jc w:val="center"/>
              <w:rPr>
                <w:rFonts w:eastAsia="仿宋_GB2312"/>
                <w:b/>
                <w:bCs/>
                <w:color w:val="FF0000"/>
              </w:rPr>
            </w:pPr>
          </w:p>
        </w:tc>
        <w:tc>
          <w:tcPr>
            <w:tcW w:w="729" w:type="pct"/>
            <w:vAlign w:val="center"/>
          </w:tcPr>
          <w:p w14:paraId="0AE30808">
            <w:pPr>
              <w:keepNext w:val="0"/>
              <w:keepLines w:val="0"/>
              <w:widowControl/>
              <w:suppressLineNumbers w:val="0"/>
              <w:jc w:val="center"/>
              <w:textAlignment w:val="center"/>
              <w:rPr>
                <w:rFonts w:eastAsia="仿宋_GB2312"/>
                <w:b/>
                <w:bCs/>
                <w:color w:val="FF0000"/>
              </w:rPr>
            </w:pPr>
            <w:r>
              <w:rPr>
                <w:rFonts w:hint="default" w:ascii="Times New Roman" w:hAnsi="Times New Roman" w:eastAsia="宋体" w:cs="Times New Roman"/>
                <w:i w:val="0"/>
                <w:iCs w:val="0"/>
                <w:color w:val="000000"/>
                <w:kern w:val="0"/>
                <w:sz w:val="21"/>
                <w:szCs w:val="21"/>
                <w:u w:val="none"/>
                <w:lang w:val="en-US" w:eastAsia="zh-CN" w:bidi="ar"/>
              </w:rPr>
              <w:t>G2-9-1</w:t>
            </w:r>
          </w:p>
        </w:tc>
        <w:tc>
          <w:tcPr>
            <w:tcW w:w="853" w:type="pct"/>
            <w:vAlign w:val="center"/>
          </w:tcPr>
          <w:p w14:paraId="51609D78">
            <w:pPr>
              <w:keepNext w:val="0"/>
              <w:keepLines w:val="0"/>
              <w:widowControl/>
              <w:suppressLineNumbers w:val="0"/>
              <w:jc w:val="center"/>
              <w:textAlignment w:val="center"/>
              <w:rPr>
                <w:rFonts w:eastAsia="仿宋_GB2312"/>
                <w:b/>
                <w:bCs/>
                <w:color w:val="FF0000"/>
              </w:rPr>
            </w:pPr>
            <w:r>
              <w:rPr>
                <w:rFonts w:hint="default" w:ascii="仿宋_GB2312" w:hAnsi="宋体" w:eastAsia="仿宋_GB2312" w:cs="仿宋_GB2312"/>
                <w:i w:val="0"/>
                <w:iCs w:val="0"/>
                <w:color w:val="000000"/>
                <w:kern w:val="0"/>
                <w:sz w:val="21"/>
                <w:szCs w:val="21"/>
                <w:u w:val="none"/>
                <w:lang w:val="en-US" w:eastAsia="zh-CN" w:bidi="ar"/>
              </w:rPr>
              <w:t>投料废气</w:t>
            </w:r>
          </w:p>
        </w:tc>
        <w:tc>
          <w:tcPr>
            <w:tcW w:w="1497" w:type="pct"/>
            <w:vAlign w:val="center"/>
          </w:tcPr>
          <w:p w14:paraId="2680DAB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21"/>
                <w:szCs w:val="21"/>
                <w:u w:val="none"/>
                <w:lang w:val="en-US" w:eastAsia="zh-CN" w:bidi="ar"/>
              </w:rPr>
              <w:t>二乙二醇</w:t>
            </w:r>
          </w:p>
        </w:tc>
        <w:tc>
          <w:tcPr>
            <w:tcW w:w="1105" w:type="pct"/>
            <w:vAlign w:val="center"/>
          </w:tcPr>
          <w:p w14:paraId="51334CC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0.0005</w:t>
            </w:r>
          </w:p>
        </w:tc>
      </w:tr>
      <w:tr w14:paraId="599824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1F48F514">
            <w:pPr>
              <w:jc w:val="center"/>
              <w:rPr>
                <w:rFonts w:eastAsia="仿宋_GB2312"/>
                <w:b/>
                <w:bCs/>
                <w:color w:val="FF0000"/>
              </w:rPr>
            </w:pPr>
          </w:p>
        </w:tc>
        <w:tc>
          <w:tcPr>
            <w:tcW w:w="729" w:type="pct"/>
            <w:vAlign w:val="center"/>
          </w:tcPr>
          <w:p w14:paraId="5A606FC3">
            <w:pPr>
              <w:keepNext w:val="0"/>
              <w:keepLines w:val="0"/>
              <w:widowControl/>
              <w:suppressLineNumbers w:val="0"/>
              <w:jc w:val="center"/>
              <w:textAlignment w:val="center"/>
              <w:rPr>
                <w:rFonts w:eastAsia="仿宋_GB2312"/>
                <w:b/>
                <w:bCs/>
                <w:color w:val="FF0000"/>
              </w:rPr>
            </w:pPr>
            <w:r>
              <w:rPr>
                <w:rFonts w:hint="default" w:ascii="Times New Roman" w:hAnsi="Times New Roman" w:eastAsia="宋体" w:cs="Times New Roman"/>
                <w:i w:val="0"/>
                <w:iCs w:val="0"/>
                <w:color w:val="000000"/>
                <w:kern w:val="0"/>
                <w:sz w:val="21"/>
                <w:szCs w:val="21"/>
                <w:u w:val="none"/>
                <w:lang w:val="en-US" w:eastAsia="zh-CN" w:bidi="ar"/>
              </w:rPr>
              <w:t>G2-9-5</w:t>
            </w:r>
          </w:p>
        </w:tc>
        <w:tc>
          <w:tcPr>
            <w:tcW w:w="853" w:type="pct"/>
            <w:vAlign w:val="center"/>
          </w:tcPr>
          <w:p w14:paraId="033F67C6">
            <w:pPr>
              <w:keepNext w:val="0"/>
              <w:keepLines w:val="0"/>
              <w:widowControl/>
              <w:suppressLineNumbers w:val="0"/>
              <w:jc w:val="center"/>
              <w:textAlignment w:val="center"/>
              <w:rPr>
                <w:rFonts w:eastAsia="仿宋_GB2312"/>
                <w:b/>
                <w:bCs/>
                <w:color w:val="FF0000"/>
              </w:rPr>
            </w:pPr>
            <w:r>
              <w:rPr>
                <w:rFonts w:hint="default" w:ascii="仿宋_GB2312" w:hAnsi="宋体" w:eastAsia="仿宋_GB2312" w:cs="仿宋_GB2312"/>
                <w:i w:val="0"/>
                <w:iCs w:val="0"/>
                <w:color w:val="000000"/>
                <w:kern w:val="0"/>
                <w:sz w:val="21"/>
                <w:szCs w:val="21"/>
                <w:u w:val="none"/>
                <w:lang w:val="en-US" w:eastAsia="zh-CN" w:bidi="ar"/>
              </w:rPr>
              <w:t>灌装废气</w:t>
            </w:r>
          </w:p>
        </w:tc>
        <w:tc>
          <w:tcPr>
            <w:tcW w:w="1497" w:type="pct"/>
            <w:vAlign w:val="center"/>
          </w:tcPr>
          <w:p w14:paraId="70376EA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21"/>
                <w:szCs w:val="21"/>
                <w:u w:val="none"/>
                <w:lang w:val="en-US" w:eastAsia="zh-CN" w:bidi="ar"/>
              </w:rPr>
              <w:t>二乙二醇</w:t>
            </w:r>
          </w:p>
        </w:tc>
        <w:tc>
          <w:tcPr>
            <w:tcW w:w="1105" w:type="pct"/>
            <w:vAlign w:val="center"/>
          </w:tcPr>
          <w:p w14:paraId="6C67733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0.0036</w:t>
            </w:r>
          </w:p>
        </w:tc>
      </w:tr>
      <w:tr w14:paraId="4718AF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7229527E">
            <w:pPr>
              <w:jc w:val="center"/>
              <w:rPr>
                <w:rFonts w:eastAsia="仿宋_GB2312"/>
                <w:b/>
                <w:bCs/>
                <w:color w:val="FF0000"/>
              </w:rPr>
            </w:pPr>
          </w:p>
        </w:tc>
        <w:tc>
          <w:tcPr>
            <w:tcW w:w="729" w:type="pct"/>
            <w:vMerge w:val="restart"/>
            <w:vAlign w:val="center"/>
          </w:tcPr>
          <w:p w14:paraId="6505622B">
            <w:pPr>
              <w:keepNext w:val="0"/>
              <w:keepLines w:val="0"/>
              <w:widowControl/>
              <w:suppressLineNumbers w:val="0"/>
              <w:jc w:val="center"/>
              <w:textAlignment w:val="center"/>
              <w:rPr>
                <w:rFonts w:eastAsia="仿宋_GB2312"/>
                <w:b/>
                <w:bCs/>
                <w:color w:val="FF0000"/>
              </w:rPr>
            </w:pPr>
            <w:r>
              <w:rPr>
                <w:rFonts w:hint="default" w:ascii="Times New Roman" w:hAnsi="Times New Roman" w:eastAsia="宋体" w:cs="Times New Roman"/>
                <w:i w:val="0"/>
                <w:iCs w:val="0"/>
                <w:color w:val="000000"/>
                <w:kern w:val="0"/>
                <w:sz w:val="21"/>
                <w:szCs w:val="21"/>
                <w:u w:val="none"/>
                <w:lang w:val="en-US" w:eastAsia="zh-CN" w:bidi="ar"/>
              </w:rPr>
              <w:t>G2-10-1</w:t>
            </w:r>
          </w:p>
        </w:tc>
        <w:tc>
          <w:tcPr>
            <w:tcW w:w="853" w:type="pct"/>
            <w:vMerge w:val="restart"/>
            <w:vAlign w:val="center"/>
          </w:tcPr>
          <w:p w14:paraId="572C9499">
            <w:pPr>
              <w:keepNext w:val="0"/>
              <w:keepLines w:val="0"/>
              <w:widowControl/>
              <w:suppressLineNumbers w:val="0"/>
              <w:jc w:val="center"/>
              <w:textAlignment w:val="center"/>
              <w:rPr>
                <w:rFonts w:eastAsia="仿宋_GB2312"/>
                <w:b/>
                <w:bCs/>
                <w:color w:val="FF0000"/>
              </w:rPr>
            </w:pPr>
            <w:r>
              <w:rPr>
                <w:rFonts w:hint="default" w:ascii="仿宋_GB2312" w:hAnsi="宋体" w:eastAsia="仿宋_GB2312" w:cs="仿宋_GB2312"/>
                <w:i w:val="0"/>
                <w:iCs w:val="0"/>
                <w:color w:val="000000"/>
                <w:kern w:val="0"/>
                <w:sz w:val="21"/>
                <w:szCs w:val="21"/>
                <w:u w:val="none"/>
                <w:lang w:val="en-US" w:eastAsia="zh-CN" w:bidi="ar"/>
              </w:rPr>
              <w:t>投料废气</w:t>
            </w:r>
          </w:p>
        </w:tc>
        <w:tc>
          <w:tcPr>
            <w:tcW w:w="1497" w:type="pct"/>
            <w:vAlign w:val="center"/>
          </w:tcPr>
          <w:p w14:paraId="073795A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21"/>
                <w:szCs w:val="21"/>
                <w:u w:val="none"/>
                <w:lang w:val="en-US" w:eastAsia="zh-CN" w:bidi="ar"/>
              </w:rPr>
              <w:t>环己烷</w:t>
            </w:r>
          </w:p>
        </w:tc>
        <w:tc>
          <w:tcPr>
            <w:tcW w:w="1105" w:type="pct"/>
            <w:vAlign w:val="center"/>
          </w:tcPr>
          <w:p w14:paraId="6299E04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0.0114</w:t>
            </w:r>
          </w:p>
        </w:tc>
      </w:tr>
      <w:tr w14:paraId="1F9ADF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19208219">
            <w:pPr>
              <w:jc w:val="center"/>
              <w:rPr>
                <w:rFonts w:eastAsia="仿宋_GB2312"/>
                <w:b/>
                <w:bCs/>
                <w:color w:val="FF0000"/>
              </w:rPr>
            </w:pPr>
          </w:p>
        </w:tc>
        <w:tc>
          <w:tcPr>
            <w:tcW w:w="729" w:type="pct"/>
            <w:vMerge w:val="continue"/>
            <w:vAlign w:val="center"/>
          </w:tcPr>
          <w:p w14:paraId="7512C326">
            <w:pPr>
              <w:jc w:val="center"/>
              <w:rPr>
                <w:rFonts w:eastAsia="仿宋_GB2312"/>
                <w:b/>
                <w:bCs/>
                <w:color w:val="FF0000"/>
              </w:rPr>
            </w:pPr>
          </w:p>
        </w:tc>
        <w:tc>
          <w:tcPr>
            <w:tcW w:w="853" w:type="pct"/>
            <w:vMerge w:val="continue"/>
            <w:vAlign w:val="center"/>
          </w:tcPr>
          <w:p w14:paraId="0F6D2D14">
            <w:pPr>
              <w:jc w:val="center"/>
              <w:rPr>
                <w:rFonts w:eastAsia="仿宋_GB2312"/>
                <w:b/>
                <w:bCs/>
                <w:color w:val="FF0000"/>
              </w:rPr>
            </w:pPr>
          </w:p>
        </w:tc>
        <w:tc>
          <w:tcPr>
            <w:tcW w:w="1497" w:type="pct"/>
            <w:vAlign w:val="center"/>
          </w:tcPr>
          <w:p w14:paraId="4B9F846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21"/>
                <w:szCs w:val="21"/>
                <w:u w:val="none"/>
                <w:lang w:val="en-US" w:eastAsia="zh-CN" w:bidi="ar"/>
              </w:rPr>
              <w:t>乙醇</w:t>
            </w:r>
          </w:p>
        </w:tc>
        <w:tc>
          <w:tcPr>
            <w:tcW w:w="1105" w:type="pct"/>
            <w:vAlign w:val="center"/>
          </w:tcPr>
          <w:p w14:paraId="0C8E3B5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0.0003</w:t>
            </w:r>
          </w:p>
        </w:tc>
      </w:tr>
      <w:tr w14:paraId="55BCBC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61F88B22">
            <w:pPr>
              <w:jc w:val="center"/>
              <w:rPr>
                <w:rFonts w:eastAsia="仿宋_GB2312"/>
                <w:b/>
                <w:bCs/>
                <w:color w:val="FF0000"/>
              </w:rPr>
            </w:pPr>
          </w:p>
        </w:tc>
        <w:tc>
          <w:tcPr>
            <w:tcW w:w="729" w:type="pct"/>
            <w:vMerge w:val="continue"/>
            <w:vAlign w:val="center"/>
          </w:tcPr>
          <w:p w14:paraId="6DF7AAAB">
            <w:pPr>
              <w:jc w:val="center"/>
              <w:rPr>
                <w:rFonts w:eastAsia="仿宋_GB2312"/>
                <w:b/>
                <w:bCs/>
                <w:color w:val="FF0000"/>
              </w:rPr>
            </w:pPr>
          </w:p>
        </w:tc>
        <w:tc>
          <w:tcPr>
            <w:tcW w:w="853" w:type="pct"/>
            <w:vMerge w:val="continue"/>
            <w:vAlign w:val="center"/>
          </w:tcPr>
          <w:p w14:paraId="412A4E30">
            <w:pPr>
              <w:jc w:val="center"/>
              <w:rPr>
                <w:rFonts w:eastAsia="仿宋_GB2312"/>
                <w:b/>
                <w:bCs/>
                <w:color w:val="FF0000"/>
              </w:rPr>
            </w:pPr>
          </w:p>
        </w:tc>
        <w:tc>
          <w:tcPr>
            <w:tcW w:w="1497" w:type="pct"/>
            <w:vAlign w:val="center"/>
          </w:tcPr>
          <w:p w14:paraId="56A2DA4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21"/>
                <w:szCs w:val="21"/>
                <w:u w:val="none"/>
                <w:lang w:val="en-US" w:eastAsia="zh-CN" w:bidi="ar"/>
              </w:rPr>
              <w:t>其他有机物</w:t>
            </w:r>
          </w:p>
        </w:tc>
        <w:tc>
          <w:tcPr>
            <w:tcW w:w="1105" w:type="pct"/>
            <w:vAlign w:val="center"/>
          </w:tcPr>
          <w:p w14:paraId="4B4A750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0.0006</w:t>
            </w:r>
          </w:p>
        </w:tc>
      </w:tr>
      <w:tr w14:paraId="5DA0DB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3435D019">
            <w:pPr>
              <w:jc w:val="center"/>
              <w:rPr>
                <w:rFonts w:eastAsia="仿宋_GB2312"/>
                <w:b/>
                <w:bCs/>
                <w:color w:val="FF0000"/>
              </w:rPr>
            </w:pPr>
          </w:p>
        </w:tc>
        <w:tc>
          <w:tcPr>
            <w:tcW w:w="729" w:type="pct"/>
            <w:vMerge w:val="restart"/>
            <w:vAlign w:val="center"/>
          </w:tcPr>
          <w:p w14:paraId="2A419711">
            <w:pPr>
              <w:keepNext w:val="0"/>
              <w:keepLines w:val="0"/>
              <w:widowControl/>
              <w:suppressLineNumbers w:val="0"/>
              <w:jc w:val="center"/>
              <w:textAlignment w:val="center"/>
              <w:rPr>
                <w:rFonts w:eastAsia="仿宋_GB2312"/>
                <w:b/>
                <w:bCs/>
                <w:color w:val="FF0000"/>
              </w:rPr>
            </w:pPr>
            <w:r>
              <w:rPr>
                <w:rFonts w:hint="default" w:ascii="Times New Roman" w:hAnsi="Times New Roman" w:eastAsia="宋体" w:cs="Times New Roman"/>
                <w:i w:val="0"/>
                <w:iCs w:val="0"/>
                <w:color w:val="000000"/>
                <w:kern w:val="0"/>
                <w:sz w:val="21"/>
                <w:szCs w:val="21"/>
                <w:u w:val="none"/>
                <w:lang w:val="en-US" w:eastAsia="zh-CN" w:bidi="ar"/>
              </w:rPr>
              <w:t>G2-10-5</w:t>
            </w:r>
          </w:p>
        </w:tc>
        <w:tc>
          <w:tcPr>
            <w:tcW w:w="853" w:type="pct"/>
            <w:vMerge w:val="restart"/>
            <w:vAlign w:val="center"/>
          </w:tcPr>
          <w:p w14:paraId="42CFF282">
            <w:pPr>
              <w:keepNext w:val="0"/>
              <w:keepLines w:val="0"/>
              <w:widowControl/>
              <w:suppressLineNumbers w:val="0"/>
              <w:jc w:val="center"/>
              <w:textAlignment w:val="center"/>
              <w:rPr>
                <w:rFonts w:eastAsia="仿宋_GB2312"/>
                <w:b/>
                <w:bCs/>
                <w:color w:val="FF0000"/>
              </w:rPr>
            </w:pPr>
            <w:r>
              <w:rPr>
                <w:rFonts w:hint="default" w:ascii="仿宋_GB2312" w:hAnsi="宋体" w:eastAsia="仿宋_GB2312" w:cs="仿宋_GB2312"/>
                <w:i w:val="0"/>
                <w:iCs w:val="0"/>
                <w:color w:val="000000"/>
                <w:kern w:val="0"/>
                <w:sz w:val="21"/>
                <w:szCs w:val="21"/>
                <w:u w:val="none"/>
                <w:lang w:val="en-US" w:eastAsia="zh-CN" w:bidi="ar"/>
              </w:rPr>
              <w:t>灌装废气</w:t>
            </w:r>
          </w:p>
        </w:tc>
        <w:tc>
          <w:tcPr>
            <w:tcW w:w="1497" w:type="pct"/>
            <w:vAlign w:val="center"/>
          </w:tcPr>
          <w:p w14:paraId="1B34D05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21"/>
                <w:szCs w:val="21"/>
                <w:u w:val="none"/>
                <w:lang w:val="en-US" w:eastAsia="zh-CN" w:bidi="ar"/>
              </w:rPr>
              <w:t>环己烷</w:t>
            </w:r>
          </w:p>
        </w:tc>
        <w:tc>
          <w:tcPr>
            <w:tcW w:w="1105" w:type="pct"/>
            <w:vAlign w:val="center"/>
          </w:tcPr>
          <w:p w14:paraId="394ECE2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0.016</w:t>
            </w:r>
          </w:p>
        </w:tc>
      </w:tr>
      <w:tr w14:paraId="79EB64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570E9C50">
            <w:pPr>
              <w:jc w:val="center"/>
              <w:rPr>
                <w:rFonts w:eastAsia="仿宋_GB2312"/>
                <w:b/>
                <w:bCs/>
                <w:color w:val="FF0000"/>
              </w:rPr>
            </w:pPr>
          </w:p>
        </w:tc>
        <w:tc>
          <w:tcPr>
            <w:tcW w:w="729" w:type="pct"/>
            <w:vMerge w:val="continue"/>
            <w:vAlign w:val="center"/>
          </w:tcPr>
          <w:p w14:paraId="090D0E08">
            <w:pPr>
              <w:jc w:val="center"/>
              <w:rPr>
                <w:rFonts w:eastAsia="仿宋_GB2312"/>
                <w:b/>
                <w:bCs/>
                <w:color w:val="FF0000"/>
              </w:rPr>
            </w:pPr>
          </w:p>
        </w:tc>
        <w:tc>
          <w:tcPr>
            <w:tcW w:w="853" w:type="pct"/>
            <w:vMerge w:val="continue"/>
            <w:vAlign w:val="center"/>
          </w:tcPr>
          <w:p w14:paraId="2204B77D">
            <w:pPr>
              <w:jc w:val="center"/>
              <w:rPr>
                <w:rFonts w:eastAsia="仿宋_GB2312"/>
                <w:b/>
                <w:bCs/>
                <w:color w:val="FF0000"/>
              </w:rPr>
            </w:pPr>
          </w:p>
        </w:tc>
        <w:tc>
          <w:tcPr>
            <w:tcW w:w="1497" w:type="pct"/>
            <w:vAlign w:val="center"/>
          </w:tcPr>
          <w:p w14:paraId="502AE9B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21"/>
                <w:szCs w:val="21"/>
                <w:u w:val="none"/>
                <w:lang w:val="en-US" w:eastAsia="zh-CN" w:bidi="ar"/>
              </w:rPr>
              <w:t>乙醇</w:t>
            </w:r>
          </w:p>
        </w:tc>
        <w:tc>
          <w:tcPr>
            <w:tcW w:w="1105" w:type="pct"/>
            <w:vAlign w:val="center"/>
          </w:tcPr>
          <w:p w14:paraId="63BD231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0.00001</w:t>
            </w:r>
          </w:p>
        </w:tc>
      </w:tr>
      <w:tr w14:paraId="6051D7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36F6A068">
            <w:pPr>
              <w:jc w:val="center"/>
              <w:rPr>
                <w:rFonts w:eastAsia="仿宋_GB2312"/>
                <w:b/>
                <w:bCs/>
                <w:color w:val="FF0000"/>
              </w:rPr>
            </w:pPr>
          </w:p>
        </w:tc>
        <w:tc>
          <w:tcPr>
            <w:tcW w:w="729" w:type="pct"/>
            <w:vMerge w:val="continue"/>
            <w:vAlign w:val="center"/>
          </w:tcPr>
          <w:p w14:paraId="2BFCD50B">
            <w:pPr>
              <w:jc w:val="center"/>
              <w:rPr>
                <w:rFonts w:eastAsia="仿宋_GB2312"/>
                <w:b/>
                <w:bCs/>
                <w:color w:val="FF0000"/>
              </w:rPr>
            </w:pPr>
          </w:p>
        </w:tc>
        <w:tc>
          <w:tcPr>
            <w:tcW w:w="853" w:type="pct"/>
            <w:vMerge w:val="continue"/>
            <w:vAlign w:val="center"/>
          </w:tcPr>
          <w:p w14:paraId="2E4BBAED">
            <w:pPr>
              <w:jc w:val="center"/>
              <w:rPr>
                <w:rFonts w:eastAsia="仿宋_GB2312"/>
                <w:b/>
                <w:bCs/>
                <w:color w:val="FF0000"/>
              </w:rPr>
            </w:pPr>
          </w:p>
        </w:tc>
        <w:tc>
          <w:tcPr>
            <w:tcW w:w="1497" w:type="pct"/>
            <w:vAlign w:val="center"/>
          </w:tcPr>
          <w:p w14:paraId="04CA625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21"/>
                <w:szCs w:val="21"/>
                <w:u w:val="none"/>
                <w:lang w:val="en-US" w:eastAsia="zh-CN" w:bidi="ar"/>
              </w:rPr>
              <w:t>其他有机物</w:t>
            </w:r>
          </w:p>
        </w:tc>
        <w:tc>
          <w:tcPr>
            <w:tcW w:w="1105" w:type="pct"/>
            <w:vAlign w:val="center"/>
          </w:tcPr>
          <w:p w14:paraId="15BF4A4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0.00005</w:t>
            </w:r>
          </w:p>
        </w:tc>
      </w:tr>
      <w:tr w14:paraId="7D9CC6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54D8B901">
            <w:pPr>
              <w:jc w:val="center"/>
              <w:rPr>
                <w:rFonts w:eastAsia="仿宋_GB2312"/>
                <w:b/>
                <w:bCs/>
                <w:color w:val="FF0000"/>
              </w:rPr>
            </w:pPr>
          </w:p>
        </w:tc>
        <w:tc>
          <w:tcPr>
            <w:tcW w:w="729" w:type="pct"/>
            <w:vMerge w:val="restart"/>
            <w:vAlign w:val="center"/>
          </w:tcPr>
          <w:p w14:paraId="1639AB95">
            <w:pPr>
              <w:keepNext w:val="0"/>
              <w:keepLines w:val="0"/>
              <w:widowControl/>
              <w:suppressLineNumbers w:val="0"/>
              <w:jc w:val="center"/>
              <w:textAlignment w:val="center"/>
              <w:rPr>
                <w:rFonts w:eastAsia="仿宋_GB2312"/>
                <w:b/>
                <w:bCs/>
                <w:color w:val="FF0000"/>
              </w:rPr>
            </w:pPr>
            <w:r>
              <w:rPr>
                <w:rFonts w:hint="default" w:ascii="Times New Roman" w:hAnsi="Times New Roman" w:eastAsia="宋体" w:cs="Times New Roman"/>
                <w:i w:val="0"/>
                <w:iCs w:val="0"/>
                <w:color w:val="000000"/>
                <w:kern w:val="0"/>
                <w:sz w:val="21"/>
                <w:szCs w:val="21"/>
                <w:u w:val="none"/>
                <w:lang w:val="en-US" w:eastAsia="zh-CN" w:bidi="ar"/>
              </w:rPr>
              <w:t>G2-11-1</w:t>
            </w:r>
          </w:p>
        </w:tc>
        <w:tc>
          <w:tcPr>
            <w:tcW w:w="853" w:type="pct"/>
            <w:vMerge w:val="restart"/>
            <w:vAlign w:val="center"/>
          </w:tcPr>
          <w:p w14:paraId="3AC5703F">
            <w:pPr>
              <w:keepNext w:val="0"/>
              <w:keepLines w:val="0"/>
              <w:widowControl/>
              <w:suppressLineNumbers w:val="0"/>
              <w:jc w:val="center"/>
              <w:textAlignment w:val="center"/>
              <w:rPr>
                <w:rFonts w:eastAsia="仿宋_GB2312"/>
                <w:b/>
                <w:bCs/>
                <w:color w:val="FF0000"/>
              </w:rPr>
            </w:pPr>
            <w:r>
              <w:rPr>
                <w:rFonts w:hint="default" w:ascii="仿宋_GB2312" w:hAnsi="宋体" w:eastAsia="仿宋_GB2312" w:cs="仿宋_GB2312"/>
                <w:i w:val="0"/>
                <w:iCs w:val="0"/>
                <w:color w:val="000000"/>
                <w:kern w:val="0"/>
                <w:sz w:val="21"/>
                <w:szCs w:val="21"/>
                <w:u w:val="none"/>
                <w:lang w:val="en-US" w:eastAsia="zh-CN" w:bidi="ar"/>
              </w:rPr>
              <w:t>投料废气</w:t>
            </w:r>
          </w:p>
        </w:tc>
        <w:tc>
          <w:tcPr>
            <w:tcW w:w="1497" w:type="pct"/>
            <w:vAlign w:val="center"/>
          </w:tcPr>
          <w:p w14:paraId="4A56E03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21"/>
                <w:szCs w:val="21"/>
                <w:u w:val="none"/>
                <w:lang w:val="en-US" w:eastAsia="zh-CN" w:bidi="ar"/>
              </w:rPr>
              <w:t>己烷</w:t>
            </w:r>
          </w:p>
        </w:tc>
        <w:tc>
          <w:tcPr>
            <w:tcW w:w="1105" w:type="pct"/>
            <w:vAlign w:val="center"/>
          </w:tcPr>
          <w:p w14:paraId="0FB611F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0.004</w:t>
            </w:r>
          </w:p>
        </w:tc>
      </w:tr>
      <w:tr w14:paraId="1BB169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724698F2">
            <w:pPr>
              <w:jc w:val="center"/>
              <w:rPr>
                <w:rFonts w:eastAsia="仿宋_GB2312"/>
                <w:b/>
                <w:bCs/>
                <w:color w:val="FF0000"/>
              </w:rPr>
            </w:pPr>
          </w:p>
        </w:tc>
        <w:tc>
          <w:tcPr>
            <w:tcW w:w="729" w:type="pct"/>
            <w:vMerge w:val="continue"/>
            <w:vAlign w:val="center"/>
          </w:tcPr>
          <w:p w14:paraId="3DDA15D7">
            <w:pPr>
              <w:jc w:val="center"/>
              <w:rPr>
                <w:rFonts w:eastAsia="仿宋_GB2312"/>
                <w:b/>
                <w:bCs/>
                <w:color w:val="FF0000"/>
              </w:rPr>
            </w:pPr>
          </w:p>
        </w:tc>
        <w:tc>
          <w:tcPr>
            <w:tcW w:w="853" w:type="pct"/>
            <w:vMerge w:val="continue"/>
            <w:vAlign w:val="center"/>
          </w:tcPr>
          <w:p w14:paraId="495CE2A7">
            <w:pPr>
              <w:jc w:val="center"/>
              <w:rPr>
                <w:rFonts w:eastAsia="仿宋_GB2312"/>
                <w:b/>
                <w:bCs/>
                <w:color w:val="FF0000"/>
              </w:rPr>
            </w:pPr>
          </w:p>
        </w:tc>
        <w:tc>
          <w:tcPr>
            <w:tcW w:w="1497" w:type="pct"/>
            <w:vAlign w:val="center"/>
          </w:tcPr>
          <w:p w14:paraId="23C666B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21"/>
                <w:szCs w:val="21"/>
                <w:u w:val="none"/>
                <w:lang w:val="en-US" w:eastAsia="zh-CN" w:bidi="ar"/>
              </w:rPr>
              <w:t>其他有机物</w:t>
            </w:r>
          </w:p>
        </w:tc>
        <w:tc>
          <w:tcPr>
            <w:tcW w:w="1105" w:type="pct"/>
            <w:vAlign w:val="center"/>
          </w:tcPr>
          <w:p w14:paraId="3BD7741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0.00004</w:t>
            </w:r>
          </w:p>
        </w:tc>
      </w:tr>
      <w:tr w14:paraId="0EE45B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7E1CE62C">
            <w:pPr>
              <w:jc w:val="center"/>
              <w:rPr>
                <w:rFonts w:eastAsia="仿宋_GB2312"/>
                <w:b/>
                <w:bCs/>
                <w:color w:val="FF0000"/>
              </w:rPr>
            </w:pPr>
          </w:p>
        </w:tc>
        <w:tc>
          <w:tcPr>
            <w:tcW w:w="729" w:type="pct"/>
            <w:vMerge w:val="restart"/>
            <w:vAlign w:val="center"/>
          </w:tcPr>
          <w:p w14:paraId="5A37E75E">
            <w:pPr>
              <w:keepNext w:val="0"/>
              <w:keepLines w:val="0"/>
              <w:widowControl/>
              <w:suppressLineNumbers w:val="0"/>
              <w:jc w:val="center"/>
              <w:textAlignment w:val="center"/>
              <w:rPr>
                <w:rFonts w:eastAsia="仿宋_GB2312"/>
                <w:b/>
                <w:bCs/>
                <w:color w:val="FF0000"/>
              </w:rPr>
            </w:pPr>
            <w:r>
              <w:rPr>
                <w:rFonts w:hint="default" w:ascii="Times New Roman" w:hAnsi="Times New Roman" w:eastAsia="宋体" w:cs="Times New Roman"/>
                <w:i w:val="0"/>
                <w:iCs w:val="0"/>
                <w:color w:val="000000"/>
                <w:kern w:val="0"/>
                <w:sz w:val="21"/>
                <w:szCs w:val="21"/>
                <w:u w:val="none"/>
                <w:lang w:val="en-US" w:eastAsia="zh-CN" w:bidi="ar"/>
              </w:rPr>
              <w:t>G2-11-5</w:t>
            </w:r>
          </w:p>
        </w:tc>
        <w:tc>
          <w:tcPr>
            <w:tcW w:w="853" w:type="pct"/>
            <w:vMerge w:val="restart"/>
            <w:vAlign w:val="center"/>
          </w:tcPr>
          <w:p w14:paraId="1554B9E2">
            <w:pPr>
              <w:keepNext w:val="0"/>
              <w:keepLines w:val="0"/>
              <w:widowControl/>
              <w:suppressLineNumbers w:val="0"/>
              <w:jc w:val="center"/>
              <w:textAlignment w:val="center"/>
              <w:rPr>
                <w:rFonts w:eastAsia="仿宋_GB2312"/>
                <w:b/>
                <w:bCs/>
                <w:color w:val="FF0000"/>
              </w:rPr>
            </w:pPr>
            <w:r>
              <w:rPr>
                <w:rFonts w:hint="default" w:ascii="仿宋_GB2312" w:hAnsi="宋体" w:eastAsia="仿宋_GB2312" w:cs="仿宋_GB2312"/>
                <w:i w:val="0"/>
                <w:iCs w:val="0"/>
                <w:color w:val="000000"/>
                <w:kern w:val="0"/>
                <w:sz w:val="21"/>
                <w:szCs w:val="21"/>
                <w:u w:val="none"/>
                <w:lang w:val="en-US" w:eastAsia="zh-CN" w:bidi="ar"/>
              </w:rPr>
              <w:t>灌装废气</w:t>
            </w:r>
          </w:p>
        </w:tc>
        <w:tc>
          <w:tcPr>
            <w:tcW w:w="1497" w:type="pct"/>
            <w:vAlign w:val="center"/>
          </w:tcPr>
          <w:p w14:paraId="6C741DA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21"/>
                <w:szCs w:val="21"/>
                <w:u w:val="none"/>
                <w:lang w:val="en-US" w:eastAsia="zh-CN" w:bidi="ar"/>
              </w:rPr>
              <w:t>己烷</w:t>
            </w:r>
          </w:p>
        </w:tc>
        <w:tc>
          <w:tcPr>
            <w:tcW w:w="1105" w:type="pct"/>
            <w:vAlign w:val="center"/>
          </w:tcPr>
          <w:p w14:paraId="02F7E9C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0.007</w:t>
            </w:r>
          </w:p>
        </w:tc>
      </w:tr>
      <w:tr w14:paraId="61875F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02E911C9">
            <w:pPr>
              <w:jc w:val="center"/>
              <w:rPr>
                <w:rFonts w:eastAsia="仿宋_GB2312"/>
                <w:b/>
                <w:bCs/>
                <w:color w:val="FF0000"/>
              </w:rPr>
            </w:pPr>
          </w:p>
        </w:tc>
        <w:tc>
          <w:tcPr>
            <w:tcW w:w="729" w:type="pct"/>
            <w:vMerge w:val="continue"/>
            <w:vAlign w:val="center"/>
          </w:tcPr>
          <w:p w14:paraId="7AB47F13">
            <w:pPr>
              <w:jc w:val="center"/>
              <w:rPr>
                <w:rFonts w:eastAsia="仿宋_GB2312"/>
                <w:b/>
                <w:bCs/>
                <w:color w:val="FF0000"/>
              </w:rPr>
            </w:pPr>
          </w:p>
        </w:tc>
        <w:tc>
          <w:tcPr>
            <w:tcW w:w="853" w:type="pct"/>
            <w:vMerge w:val="continue"/>
            <w:vAlign w:val="center"/>
          </w:tcPr>
          <w:p w14:paraId="4E1E98A6">
            <w:pPr>
              <w:jc w:val="center"/>
              <w:rPr>
                <w:rFonts w:eastAsia="仿宋_GB2312"/>
                <w:b/>
                <w:bCs/>
                <w:color w:val="FF0000"/>
              </w:rPr>
            </w:pPr>
          </w:p>
        </w:tc>
        <w:tc>
          <w:tcPr>
            <w:tcW w:w="1497" w:type="pct"/>
            <w:vAlign w:val="center"/>
          </w:tcPr>
          <w:p w14:paraId="25AD9C3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21"/>
                <w:szCs w:val="21"/>
                <w:u w:val="none"/>
                <w:lang w:val="en-US" w:eastAsia="zh-CN" w:bidi="ar"/>
              </w:rPr>
              <w:t>其他有机物</w:t>
            </w:r>
          </w:p>
        </w:tc>
        <w:tc>
          <w:tcPr>
            <w:tcW w:w="1105" w:type="pct"/>
            <w:vAlign w:val="center"/>
          </w:tcPr>
          <w:p w14:paraId="566A2D6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w:t>
            </w:r>
          </w:p>
        </w:tc>
      </w:tr>
      <w:tr w14:paraId="503D9D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17B911E7">
            <w:pPr>
              <w:jc w:val="center"/>
              <w:rPr>
                <w:rFonts w:eastAsia="仿宋_GB2312"/>
                <w:b/>
                <w:bCs/>
                <w:color w:val="FF0000"/>
              </w:rPr>
            </w:pPr>
          </w:p>
        </w:tc>
        <w:tc>
          <w:tcPr>
            <w:tcW w:w="729" w:type="pct"/>
            <w:vMerge w:val="restart"/>
            <w:vAlign w:val="center"/>
          </w:tcPr>
          <w:p w14:paraId="4F3A2674">
            <w:pPr>
              <w:keepNext w:val="0"/>
              <w:keepLines w:val="0"/>
              <w:widowControl/>
              <w:suppressLineNumbers w:val="0"/>
              <w:jc w:val="center"/>
              <w:textAlignment w:val="center"/>
              <w:rPr>
                <w:rFonts w:eastAsia="仿宋_GB2312"/>
                <w:b/>
                <w:bCs/>
                <w:color w:val="FF0000"/>
              </w:rPr>
            </w:pPr>
            <w:r>
              <w:rPr>
                <w:rFonts w:hint="default" w:ascii="Times New Roman" w:hAnsi="Times New Roman" w:eastAsia="宋体" w:cs="Times New Roman"/>
                <w:i w:val="0"/>
                <w:iCs w:val="0"/>
                <w:color w:val="000000"/>
                <w:kern w:val="0"/>
                <w:sz w:val="21"/>
                <w:szCs w:val="21"/>
                <w:u w:val="none"/>
                <w:lang w:val="en-US" w:eastAsia="zh-CN" w:bidi="ar"/>
              </w:rPr>
              <w:t>G2-12-1</w:t>
            </w:r>
          </w:p>
        </w:tc>
        <w:tc>
          <w:tcPr>
            <w:tcW w:w="853" w:type="pct"/>
            <w:vMerge w:val="restart"/>
            <w:vAlign w:val="center"/>
          </w:tcPr>
          <w:p w14:paraId="3DE2EACF">
            <w:pPr>
              <w:keepNext w:val="0"/>
              <w:keepLines w:val="0"/>
              <w:widowControl/>
              <w:suppressLineNumbers w:val="0"/>
              <w:jc w:val="center"/>
              <w:textAlignment w:val="center"/>
              <w:rPr>
                <w:rFonts w:eastAsia="仿宋_GB2312"/>
                <w:b/>
                <w:bCs/>
                <w:color w:val="FF0000"/>
              </w:rPr>
            </w:pPr>
            <w:r>
              <w:rPr>
                <w:rFonts w:hint="default" w:ascii="仿宋_GB2312" w:hAnsi="宋体" w:eastAsia="仿宋_GB2312" w:cs="仿宋_GB2312"/>
                <w:i w:val="0"/>
                <w:iCs w:val="0"/>
                <w:color w:val="000000"/>
                <w:kern w:val="0"/>
                <w:sz w:val="21"/>
                <w:szCs w:val="21"/>
                <w:u w:val="none"/>
                <w:lang w:val="en-US" w:eastAsia="zh-CN" w:bidi="ar"/>
              </w:rPr>
              <w:t>投料废气</w:t>
            </w:r>
          </w:p>
        </w:tc>
        <w:tc>
          <w:tcPr>
            <w:tcW w:w="1497" w:type="pct"/>
            <w:vAlign w:val="center"/>
          </w:tcPr>
          <w:p w14:paraId="18949AB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21"/>
                <w:szCs w:val="21"/>
                <w:u w:val="none"/>
                <w:lang w:val="en-US" w:eastAsia="zh-CN" w:bidi="ar"/>
              </w:rPr>
              <w:t>异丙苯</w:t>
            </w:r>
          </w:p>
        </w:tc>
        <w:tc>
          <w:tcPr>
            <w:tcW w:w="1105" w:type="pct"/>
            <w:vAlign w:val="center"/>
          </w:tcPr>
          <w:p w14:paraId="7821B97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0.00074</w:t>
            </w:r>
          </w:p>
        </w:tc>
      </w:tr>
      <w:tr w14:paraId="17B5212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73355936">
            <w:pPr>
              <w:jc w:val="center"/>
              <w:rPr>
                <w:rFonts w:eastAsia="仿宋_GB2312"/>
                <w:b/>
                <w:bCs/>
                <w:color w:val="FF0000"/>
              </w:rPr>
            </w:pPr>
          </w:p>
        </w:tc>
        <w:tc>
          <w:tcPr>
            <w:tcW w:w="729" w:type="pct"/>
            <w:vMerge w:val="continue"/>
            <w:vAlign w:val="center"/>
          </w:tcPr>
          <w:p w14:paraId="37B8F731">
            <w:pPr>
              <w:jc w:val="center"/>
              <w:rPr>
                <w:rFonts w:eastAsia="仿宋_GB2312"/>
                <w:b/>
                <w:bCs/>
                <w:color w:val="FF0000"/>
              </w:rPr>
            </w:pPr>
          </w:p>
        </w:tc>
        <w:tc>
          <w:tcPr>
            <w:tcW w:w="853" w:type="pct"/>
            <w:vMerge w:val="continue"/>
            <w:vAlign w:val="center"/>
          </w:tcPr>
          <w:p w14:paraId="445D07F5">
            <w:pPr>
              <w:jc w:val="center"/>
              <w:rPr>
                <w:rFonts w:eastAsia="仿宋_GB2312"/>
                <w:b/>
                <w:bCs/>
                <w:color w:val="FF0000"/>
              </w:rPr>
            </w:pPr>
          </w:p>
        </w:tc>
        <w:tc>
          <w:tcPr>
            <w:tcW w:w="1497" w:type="pct"/>
            <w:vAlign w:val="center"/>
          </w:tcPr>
          <w:p w14:paraId="58C6194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21"/>
                <w:szCs w:val="21"/>
                <w:u w:val="none"/>
                <w:lang w:val="en-US" w:eastAsia="zh-CN" w:bidi="ar"/>
              </w:rPr>
              <w:t>二异丙苯</w:t>
            </w:r>
          </w:p>
        </w:tc>
        <w:tc>
          <w:tcPr>
            <w:tcW w:w="1105" w:type="pct"/>
            <w:vAlign w:val="center"/>
          </w:tcPr>
          <w:p w14:paraId="3AF8816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0.00001</w:t>
            </w:r>
          </w:p>
        </w:tc>
      </w:tr>
      <w:tr w14:paraId="4EAE798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740D2809">
            <w:pPr>
              <w:jc w:val="center"/>
              <w:rPr>
                <w:rFonts w:eastAsia="仿宋_GB2312"/>
                <w:b/>
                <w:bCs/>
                <w:color w:val="FF0000"/>
              </w:rPr>
            </w:pPr>
          </w:p>
        </w:tc>
        <w:tc>
          <w:tcPr>
            <w:tcW w:w="729" w:type="pct"/>
            <w:vMerge w:val="continue"/>
            <w:vAlign w:val="center"/>
          </w:tcPr>
          <w:p w14:paraId="3B1A30BC">
            <w:pPr>
              <w:jc w:val="center"/>
              <w:rPr>
                <w:rFonts w:eastAsia="仿宋_GB2312"/>
                <w:b/>
                <w:bCs/>
                <w:color w:val="FF0000"/>
              </w:rPr>
            </w:pPr>
          </w:p>
        </w:tc>
        <w:tc>
          <w:tcPr>
            <w:tcW w:w="853" w:type="pct"/>
            <w:vMerge w:val="continue"/>
            <w:vAlign w:val="center"/>
          </w:tcPr>
          <w:p w14:paraId="575B3257">
            <w:pPr>
              <w:jc w:val="center"/>
              <w:rPr>
                <w:rFonts w:eastAsia="仿宋_GB2312"/>
                <w:b/>
                <w:bCs/>
                <w:color w:val="FF0000"/>
              </w:rPr>
            </w:pPr>
          </w:p>
        </w:tc>
        <w:tc>
          <w:tcPr>
            <w:tcW w:w="1497" w:type="pct"/>
            <w:vAlign w:val="center"/>
          </w:tcPr>
          <w:p w14:paraId="47572C3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21"/>
                <w:szCs w:val="21"/>
                <w:u w:val="none"/>
                <w:lang w:val="en-US" w:eastAsia="zh-CN" w:bidi="ar"/>
              </w:rPr>
              <w:t>乙苯</w:t>
            </w:r>
          </w:p>
        </w:tc>
        <w:tc>
          <w:tcPr>
            <w:tcW w:w="1105" w:type="pct"/>
            <w:vAlign w:val="center"/>
          </w:tcPr>
          <w:p w14:paraId="556D972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0.00001</w:t>
            </w:r>
          </w:p>
        </w:tc>
      </w:tr>
      <w:tr w14:paraId="1C66498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340" w:hRule="atLeast"/>
          <w:tblHeader/>
          <w:jc w:val="center"/>
        </w:trPr>
        <w:tc>
          <w:tcPr>
            <w:tcW w:w="814" w:type="pct"/>
            <w:vMerge w:val="continue"/>
            <w:vAlign w:val="center"/>
          </w:tcPr>
          <w:p w14:paraId="261311A7">
            <w:pPr>
              <w:jc w:val="center"/>
              <w:rPr>
                <w:rFonts w:eastAsia="仿宋_GB2312"/>
                <w:b/>
                <w:bCs/>
                <w:color w:val="FF0000"/>
              </w:rPr>
            </w:pPr>
          </w:p>
        </w:tc>
        <w:tc>
          <w:tcPr>
            <w:tcW w:w="729" w:type="pct"/>
            <w:vMerge w:val="continue"/>
            <w:vAlign w:val="center"/>
          </w:tcPr>
          <w:p w14:paraId="3045CAA1">
            <w:pPr>
              <w:jc w:val="center"/>
              <w:rPr>
                <w:rFonts w:eastAsia="仿宋_GB2312"/>
                <w:b/>
                <w:bCs/>
                <w:color w:val="FF0000"/>
              </w:rPr>
            </w:pPr>
          </w:p>
        </w:tc>
        <w:tc>
          <w:tcPr>
            <w:tcW w:w="853" w:type="pct"/>
            <w:vMerge w:val="continue"/>
            <w:vAlign w:val="center"/>
          </w:tcPr>
          <w:p w14:paraId="0B1D3A8E">
            <w:pPr>
              <w:jc w:val="center"/>
              <w:rPr>
                <w:rFonts w:eastAsia="仿宋_GB2312"/>
                <w:b/>
                <w:bCs/>
                <w:color w:val="FF0000"/>
              </w:rPr>
            </w:pPr>
          </w:p>
        </w:tc>
        <w:tc>
          <w:tcPr>
            <w:tcW w:w="1497" w:type="pct"/>
            <w:vAlign w:val="center"/>
          </w:tcPr>
          <w:p w14:paraId="6428E82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21"/>
                <w:szCs w:val="21"/>
                <w:u w:val="none"/>
                <w:lang w:val="en-US" w:eastAsia="zh-CN" w:bidi="ar"/>
              </w:rPr>
              <w:t>正丙苯</w:t>
            </w:r>
          </w:p>
        </w:tc>
        <w:tc>
          <w:tcPr>
            <w:tcW w:w="1105" w:type="pct"/>
            <w:vAlign w:val="center"/>
          </w:tcPr>
          <w:p w14:paraId="1122B0B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0.00001</w:t>
            </w:r>
          </w:p>
        </w:tc>
      </w:tr>
      <w:tr w14:paraId="5226BC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1B4AB56D">
            <w:pPr>
              <w:jc w:val="center"/>
              <w:rPr>
                <w:rFonts w:eastAsia="仿宋_GB2312"/>
                <w:b/>
                <w:bCs/>
                <w:color w:val="FF0000"/>
              </w:rPr>
            </w:pPr>
          </w:p>
        </w:tc>
        <w:tc>
          <w:tcPr>
            <w:tcW w:w="729" w:type="pct"/>
            <w:vMerge w:val="continue"/>
            <w:vAlign w:val="center"/>
          </w:tcPr>
          <w:p w14:paraId="3F74D4FD">
            <w:pPr>
              <w:jc w:val="center"/>
              <w:rPr>
                <w:rFonts w:eastAsia="仿宋_GB2312"/>
                <w:b/>
                <w:bCs/>
                <w:color w:val="FF0000"/>
              </w:rPr>
            </w:pPr>
          </w:p>
        </w:tc>
        <w:tc>
          <w:tcPr>
            <w:tcW w:w="853" w:type="pct"/>
            <w:vMerge w:val="continue"/>
            <w:vAlign w:val="center"/>
          </w:tcPr>
          <w:p w14:paraId="0383CE58">
            <w:pPr>
              <w:jc w:val="center"/>
              <w:rPr>
                <w:rFonts w:eastAsia="仿宋_GB2312"/>
                <w:b/>
                <w:bCs/>
                <w:color w:val="FF0000"/>
              </w:rPr>
            </w:pPr>
          </w:p>
        </w:tc>
        <w:tc>
          <w:tcPr>
            <w:tcW w:w="1497" w:type="pct"/>
            <w:vAlign w:val="center"/>
          </w:tcPr>
          <w:p w14:paraId="5D93FE2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21"/>
                <w:szCs w:val="21"/>
                <w:u w:val="none"/>
                <w:lang w:val="en-US" w:eastAsia="zh-CN" w:bidi="ar"/>
              </w:rPr>
              <w:t>其他有机物</w:t>
            </w:r>
          </w:p>
        </w:tc>
        <w:tc>
          <w:tcPr>
            <w:tcW w:w="1105" w:type="pct"/>
            <w:vAlign w:val="center"/>
          </w:tcPr>
          <w:p w14:paraId="30080E4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0.00001</w:t>
            </w:r>
          </w:p>
        </w:tc>
      </w:tr>
      <w:tr w14:paraId="1122F36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48BA4BFF">
            <w:pPr>
              <w:jc w:val="center"/>
              <w:rPr>
                <w:rFonts w:eastAsia="仿宋_GB2312"/>
                <w:b/>
                <w:bCs/>
                <w:color w:val="FF0000"/>
              </w:rPr>
            </w:pPr>
          </w:p>
        </w:tc>
        <w:tc>
          <w:tcPr>
            <w:tcW w:w="729" w:type="pct"/>
            <w:vMerge w:val="restart"/>
            <w:vAlign w:val="center"/>
          </w:tcPr>
          <w:p w14:paraId="5312038E">
            <w:pPr>
              <w:keepNext w:val="0"/>
              <w:keepLines w:val="0"/>
              <w:widowControl/>
              <w:suppressLineNumbers w:val="0"/>
              <w:jc w:val="center"/>
              <w:textAlignment w:val="center"/>
              <w:rPr>
                <w:rFonts w:eastAsia="仿宋_GB2312"/>
                <w:b/>
                <w:bCs/>
                <w:color w:val="FF0000"/>
              </w:rPr>
            </w:pPr>
            <w:r>
              <w:rPr>
                <w:rFonts w:hint="default" w:ascii="Times New Roman" w:hAnsi="Times New Roman" w:eastAsia="宋体" w:cs="Times New Roman"/>
                <w:i w:val="0"/>
                <w:iCs w:val="0"/>
                <w:color w:val="000000"/>
                <w:kern w:val="0"/>
                <w:sz w:val="21"/>
                <w:szCs w:val="21"/>
                <w:u w:val="none"/>
                <w:lang w:val="en-US" w:eastAsia="zh-CN" w:bidi="ar"/>
              </w:rPr>
              <w:t>G2-12-5</w:t>
            </w:r>
          </w:p>
        </w:tc>
        <w:tc>
          <w:tcPr>
            <w:tcW w:w="853" w:type="pct"/>
            <w:vMerge w:val="restart"/>
            <w:vAlign w:val="center"/>
          </w:tcPr>
          <w:p w14:paraId="20DD717B">
            <w:pPr>
              <w:keepNext w:val="0"/>
              <w:keepLines w:val="0"/>
              <w:widowControl/>
              <w:suppressLineNumbers w:val="0"/>
              <w:jc w:val="center"/>
              <w:textAlignment w:val="center"/>
              <w:rPr>
                <w:rFonts w:eastAsia="仿宋_GB2312"/>
                <w:b/>
                <w:bCs/>
                <w:color w:val="FF0000"/>
              </w:rPr>
            </w:pPr>
            <w:r>
              <w:rPr>
                <w:rFonts w:hint="default" w:ascii="仿宋_GB2312" w:hAnsi="宋体" w:eastAsia="仿宋_GB2312" w:cs="仿宋_GB2312"/>
                <w:i w:val="0"/>
                <w:iCs w:val="0"/>
                <w:color w:val="000000"/>
                <w:kern w:val="0"/>
                <w:sz w:val="21"/>
                <w:szCs w:val="21"/>
                <w:u w:val="none"/>
                <w:lang w:val="en-US" w:eastAsia="zh-CN" w:bidi="ar"/>
              </w:rPr>
              <w:t>灌装废气</w:t>
            </w:r>
          </w:p>
        </w:tc>
        <w:tc>
          <w:tcPr>
            <w:tcW w:w="1497" w:type="pct"/>
            <w:vAlign w:val="center"/>
          </w:tcPr>
          <w:p w14:paraId="340BEA8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21"/>
                <w:szCs w:val="21"/>
                <w:u w:val="none"/>
                <w:lang w:val="en-US" w:eastAsia="zh-CN" w:bidi="ar"/>
              </w:rPr>
              <w:t>异丙苯</w:t>
            </w:r>
          </w:p>
        </w:tc>
        <w:tc>
          <w:tcPr>
            <w:tcW w:w="1105" w:type="pct"/>
            <w:vAlign w:val="center"/>
          </w:tcPr>
          <w:p w14:paraId="1B9E9A6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0.003</w:t>
            </w:r>
          </w:p>
        </w:tc>
      </w:tr>
      <w:tr w14:paraId="20142F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0ED226D5">
            <w:pPr>
              <w:jc w:val="center"/>
              <w:rPr>
                <w:rFonts w:eastAsia="仿宋_GB2312"/>
                <w:b/>
                <w:bCs/>
                <w:color w:val="FF0000"/>
              </w:rPr>
            </w:pPr>
          </w:p>
        </w:tc>
        <w:tc>
          <w:tcPr>
            <w:tcW w:w="729" w:type="pct"/>
            <w:vMerge w:val="continue"/>
            <w:vAlign w:val="center"/>
          </w:tcPr>
          <w:p w14:paraId="7C274A62">
            <w:pPr>
              <w:jc w:val="center"/>
              <w:rPr>
                <w:rFonts w:eastAsia="仿宋_GB2312"/>
                <w:b/>
                <w:bCs/>
                <w:color w:val="FF0000"/>
              </w:rPr>
            </w:pPr>
          </w:p>
        </w:tc>
        <w:tc>
          <w:tcPr>
            <w:tcW w:w="853" w:type="pct"/>
            <w:vMerge w:val="continue"/>
            <w:vAlign w:val="center"/>
          </w:tcPr>
          <w:p w14:paraId="0197C80F">
            <w:pPr>
              <w:jc w:val="center"/>
              <w:rPr>
                <w:rFonts w:eastAsia="仿宋_GB2312"/>
                <w:b/>
                <w:bCs/>
                <w:color w:val="FF0000"/>
              </w:rPr>
            </w:pPr>
          </w:p>
        </w:tc>
        <w:tc>
          <w:tcPr>
            <w:tcW w:w="1497" w:type="pct"/>
            <w:vAlign w:val="center"/>
          </w:tcPr>
          <w:p w14:paraId="79C19C1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21"/>
                <w:szCs w:val="21"/>
                <w:u w:val="none"/>
                <w:lang w:val="en-US" w:eastAsia="zh-CN" w:bidi="ar"/>
              </w:rPr>
              <w:t>二异丙苯</w:t>
            </w:r>
          </w:p>
        </w:tc>
        <w:tc>
          <w:tcPr>
            <w:tcW w:w="1105" w:type="pct"/>
            <w:vAlign w:val="center"/>
          </w:tcPr>
          <w:p w14:paraId="234C54D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0.000001</w:t>
            </w:r>
          </w:p>
        </w:tc>
      </w:tr>
      <w:tr w14:paraId="1EA987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1617F08F">
            <w:pPr>
              <w:jc w:val="center"/>
              <w:rPr>
                <w:rFonts w:eastAsia="仿宋_GB2312"/>
                <w:b/>
                <w:bCs/>
                <w:color w:val="FF0000"/>
              </w:rPr>
            </w:pPr>
          </w:p>
        </w:tc>
        <w:tc>
          <w:tcPr>
            <w:tcW w:w="729" w:type="pct"/>
            <w:vMerge w:val="continue"/>
            <w:vAlign w:val="center"/>
          </w:tcPr>
          <w:p w14:paraId="0AFC7251">
            <w:pPr>
              <w:jc w:val="center"/>
              <w:rPr>
                <w:rFonts w:eastAsia="仿宋_GB2312"/>
                <w:b/>
                <w:bCs/>
                <w:color w:val="FF0000"/>
              </w:rPr>
            </w:pPr>
          </w:p>
        </w:tc>
        <w:tc>
          <w:tcPr>
            <w:tcW w:w="853" w:type="pct"/>
            <w:vMerge w:val="continue"/>
            <w:vAlign w:val="center"/>
          </w:tcPr>
          <w:p w14:paraId="5E7D691E">
            <w:pPr>
              <w:jc w:val="center"/>
              <w:rPr>
                <w:rFonts w:eastAsia="仿宋_GB2312"/>
                <w:b/>
                <w:bCs/>
                <w:color w:val="FF0000"/>
              </w:rPr>
            </w:pPr>
          </w:p>
        </w:tc>
        <w:tc>
          <w:tcPr>
            <w:tcW w:w="1497" w:type="pct"/>
            <w:vAlign w:val="center"/>
          </w:tcPr>
          <w:p w14:paraId="4F4792E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21"/>
                <w:szCs w:val="21"/>
                <w:u w:val="none"/>
                <w:lang w:val="en-US" w:eastAsia="zh-CN" w:bidi="ar"/>
              </w:rPr>
              <w:t>乙苯</w:t>
            </w:r>
          </w:p>
        </w:tc>
        <w:tc>
          <w:tcPr>
            <w:tcW w:w="1105" w:type="pct"/>
            <w:vAlign w:val="center"/>
          </w:tcPr>
          <w:p w14:paraId="0A7AF47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0.000001</w:t>
            </w:r>
          </w:p>
        </w:tc>
      </w:tr>
      <w:tr w14:paraId="0B1537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375A8943">
            <w:pPr>
              <w:jc w:val="center"/>
              <w:rPr>
                <w:rFonts w:eastAsia="仿宋_GB2312"/>
                <w:b/>
                <w:bCs/>
                <w:color w:val="FF0000"/>
              </w:rPr>
            </w:pPr>
          </w:p>
        </w:tc>
        <w:tc>
          <w:tcPr>
            <w:tcW w:w="729" w:type="pct"/>
            <w:vMerge w:val="continue"/>
            <w:vAlign w:val="center"/>
          </w:tcPr>
          <w:p w14:paraId="170FE322">
            <w:pPr>
              <w:jc w:val="center"/>
              <w:rPr>
                <w:rFonts w:eastAsia="仿宋_GB2312"/>
                <w:b/>
                <w:bCs/>
                <w:color w:val="FF0000"/>
              </w:rPr>
            </w:pPr>
          </w:p>
        </w:tc>
        <w:tc>
          <w:tcPr>
            <w:tcW w:w="853" w:type="pct"/>
            <w:vMerge w:val="continue"/>
            <w:vAlign w:val="center"/>
          </w:tcPr>
          <w:p w14:paraId="3BEED6B5">
            <w:pPr>
              <w:jc w:val="center"/>
              <w:rPr>
                <w:rFonts w:eastAsia="仿宋_GB2312"/>
                <w:b/>
                <w:bCs/>
                <w:color w:val="FF0000"/>
              </w:rPr>
            </w:pPr>
          </w:p>
        </w:tc>
        <w:tc>
          <w:tcPr>
            <w:tcW w:w="1497" w:type="pct"/>
            <w:vAlign w:val="center"/>
          </w:tcPr>
          <w:p w14:paraId="37A14DF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21"/>
                <w:szCs w:val="21"/>
                <w:u w:val="none"/>
                <w:lang w:val="en-US" w:eastAsia="zh-CN" w:bidi="ar"/>
              </w:rPr>
              <w:t>正丙苯</w:t>
            </w:r>
          </w:p>
        </w:tc>
        <w:tc>
          <w:tcPr>
            <w:tcW w:w="1105" w:type="pct"/>
            <w:vAlign w:val="center"/>
          </w:tcPr>
          <w:p w14:paraId="7101027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0.000001</w:t>
            </w:r>
          </w:p>
        </w:tc>
      </w:tr>
      <w:tr w14:paraId="512CFC5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30A54A61">
            <w:pPr>
              <w:jc w:val="center"/>
              <w:rPr>
                <w:rFonts w:eastAsia="仿宋_GB2312"/>
                <w:b/>
                <w:bCs/>
                <w:color w:val="FF0000"/>
              </w:rPr>
            </w:pPr>
          </w:p>
        </w:tc>
        <w:tc>
          <w:tcPr>
            <w:tcW w:w="729" w:type="pct"/>
            <w:vMerge w:val="continue"/>
            <w:vAlign w:val="center"/>
          </w:tcPr>
          <w:p w14:paraId="72895603">
            <w:pPr>
              <w:jc w:val="center"/>
              <w:rPr>
                <w:rFonts w:eastAsia="仿宋_GB2312"/>
                <w:b/>
                <w:bCs/>
                <w:color w:val="FF0000"/>
              </w:rPr>
            </w:pPr>
          </w:p>
        </w:tc>
        <w:tc>
          <w:tcPr>
            <w:tcW w:w="853" w:type="pct"/>
            <w:vMerge w:val="continue"/>
            <w:vAlign w:val="center"/>
          </w:tcPr>
          <w:p w14:paraId="0923A1B4">
            <w:pPr>
              <w:jc w:val="center"/>
              <w:rPr>
                <w:rFonts w:eastAsia="仿宋_GB2312"/>
                <w:b/>
                <w:bCs/>
                <w:color w:val="FF0000"/>
              </w:rPr>
            </w:pPr>
          </w:p>
        </w:tc>
        <w:tc>
          <w:tcPr>
            <w:tcW w:w="1497" w:type="pct"/>
            <w:vAlign w:val="center"/>
          </w:tcPr>
          <w:p w14:paraId="5D31373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21"/>
                <w:szCs w:val="21"/>
                <w:u w:val="none"/>
                <w:lang w:val="en-US" w:eastAsia="zh-CN" w:bidi="ar"/>
              </w:rPr>
              <w:t>其他有机物</w:t>
            </w:r>
          </w:p>
        </w:tc>
        <w:tc>
          <w:tcPr>
            <w:tcW w:w="1105" w:type="pct"/>
            <w:vAlign w:val="center"/>
          </w:tcPr>
          <w:p w14:paraId="626F312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0.000001</w:t>
            </w:r>
          </w:p>
        </w:tc>
      </w:tr>
      <w:tr w14:paraId="175062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7FEA9164">
            <w:pPr>
              <w:jc w:val="center"/>
              <w:rPr>
                <w:rFonts w:eastAsia="仿宋_GB2312"/>
                <w:b/>
                <w:bCs/>
                <w:color w:val="FF0000"/>
              </w:rPr>
            </w:pPr>
          </w:p>
        </w:tc>
        <w:tc>
          <w:tcPr>
            <w:tcW w:w="729" w:type="pct"/>
            <w:vMerge w:val="restart"/>
            <w:vAlign w:val="center"/>
          </w:tcPr>
          <w:p w14:paraId="58109B82">
            <w:pPr>
              <w:keepNext w:val="0"/>
              <w:keepLines w:val="0"/>
              <w:widowControl/>
              <w:suppressLineNumbers w:val="0"/>
              <w:jc w:val="center"/>
              <w:textAlignment w:val="center"/>
              <w:rPr>
                <w:rFonts w:eastAsia="仿宋_GB2312"/>
                <w:b/>
                <w:bCs/>
                <w:color w:val="FF0000"/>
              </w:rPr>
            </w:pPr>
            <w:r>
              <w:rPr>
                <w:rFonts w:hint="default" w:ascii="Times New Roman" w:hAnsi="Times New Roman" w:eastAsia="宋体" w:cs="Times New Roman"/>
                <w:i w:val="0"/>
                <w:iCs w:val="0"/>
                <w:color w:val="000000"/>
                <w:kern w:val="0"/>
                <w:sz w:val="21"/>
                <w:szCs w:val="21"/>
                <w:u w:val="none"/>
                <w:lang w:val="en-US" w:eastAsia="zh-CN" w:bidi="ar"/>
              </w:rPr>
              <w:t>G2-13-1</w:t>
            </w:r>
          </w:p>
        </w:tc>
        <w:tc>
          <w:tcPr>
            <w:tcW w:w="853" w:type="pct"/>
            <w:vMerge w:val="restart"/>
            <w:vAlign w:val="center"/>
          </w:tcPr>
          <w:p w14:paraId="7F5B7682">
            <w:pPr>
              <w:keepNext w:val="0"/>
              <w:keepLines w:val="0"/>
              <w:widowControl/>
              <w:suppressLineNumbers w:val="0"/>
              <w:jc w:val="center"/>
              <w:textAlignment w:val="center"/>
              <w:rPr>
                <w:rFonts w:eastAsia="仿宋_GB2312"/>
                <w:b/>
                <w:bCs/>
                <w:color w:val="FF0000"/>
              </w:rPr>
            </w:pPr>
            <w:r>
              <w:rPr>
                <w:rFonts w:hint="default" w:ascii="仿宋_GB2312" w:hAnsi="宋体" w:eastAsia="仿宋_GB2312" w:cs="仿宋_GB2312"/>
                <w:i w:val="0"/>
                <w:iCs w:val="0"/>
                <w:color w:val="000000"/>
                <w:kern w:val="0"/>
                <w:sz w:val="21"/>
                <w:szCs w:val="21"/>
                <w:u w:val="none"/>
                <w:lang w:val="en-US" w:eastAsia="zh-CN" w:bidi="ar"/>
              </w:rPr>
              <w:t>投料废气</w:t>
            </w:r>
          </w:p>
        </w:tc>
        <w:tc>
          <w:tcPr>
            <w:tcW w:w="1497" w:type="pct"/>
            <w:vAlign w:val="center"/>
          </w:tcPr>
          <w:p w14:paraId="2262FDE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21"/>
                <w:szCs w:val="21"/>
                <w:u w:val="none"/>
                <w:lang w:val="en-US" w:eastAsia="zh-CN" w:bidi="ar"/>
              </w:rPr>
              <w:t>苯酚</w:t>
            </w:r>
          </w:p>
        </w:tc>
        <w:tc>
          <w:tcPr>
            <w:tcW w:w="1105" w:type="pct"/>
            <w:vAlign w:val="center"/>
          </w:tcPr>
          <w:p w14:paraId="4D6BAF6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0.0006</w:t>
            </w:r>
          </w:p>
        </w:tc>
      </w:tr>
      <w:tr w14:paraId="67C7EF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68D1BE0B">
            <w:pPr>
              <w:jc w:val="center"/>
              <w:rPr>
                <w:rFonts w:eastAsia="仿宋_GB2312"/>
                <w:b/>
                <w:bCs/>
                <w:color w:val="FF0000"/>
              </w:rPr>
            </w:pPr>
          </w:p>
        </w:tc>
        <w:tc>
          <w:tcPr>
            <w:tcW w:w="729" w:type="pct"/>
            <w:vMerge w:val="continue"/>
            <w:vAlign w:val="center"/>
          </w:tcPr>
          <w:p w14:paraId="0B532170">
            <w:pPr>
              <w:jc w:val="center"/>
              <w:rPr>
                <w:rFonts w:eastAsia="仿宋_GB2312"/>
                <w:b/>
                <w:bCs/>
                <w:color w:val="FF0000"/>
              </w:rPr>
            </w:pPr>
          </w:p>
        </w:tc>
        <w:tc>
          <w:tcPr>
            <w:tcW w:w="853" w:type="pct"/>
            <w:vMerge w:val="continue"/>
            <w:vAlign w:val="center"/>
          </w:tcPr>
          <w:p w14:paraId="7E3180C9">
            <w:pPr>
              <w:jc w:val="center"/>
              <w:rPr>
                <w:rFonts w:eastAsia="仿宋_GB2312"/>
                <w:b/>
                <w:bCs/>
                <w:color w:val="FF0000"/>
              </w:rPr>
            </w:pPr>
          </w:p>
        </w:tc>
        <w:tc>
          <w:tcPr>
            <w:tcW w:w="1497" w:type="pct"/>
            <w:vAlign w:val="center"/>
          </w:tcPr>
          <w:p w14:paraId="285AFE6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21"/>
                <w:szCs w:val="21"/>
                <w:u w:val="none"/>
                <w:lang w:val="en-US" w:eastAsia="zh-CN" w:bidi="ar"/>
              </w:rPr>
              <w:t>其他有机物</w:t>
            </w:r>
          </w:p>
        </w:tc>
        <w:tc>
          <w:tcPr>
            <w:tcW w:w="1105" w:type="pct"/>
            <w:vAlign w:val="center"/>
          </w:tcPr>
          <w:p w14:paraId="776212E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0.00002</w:t>
            </w:r>
          </w:p>
        </w:tc>
      </w:tr>
      <w:tr w14:paraId="5539C2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521C278C">
            <w:pPr>
              <w:jc w:val="center"/>
              <w:rPr>
                <w:rFonts w:eastAsia="仿宋_GB2312"/>
                <w:b/>
                <w:bCs/>
                <w:color w:val="FF0000"/>
              </w:rPr>
            </w:pPr>
          </w:p>
        </w:tc>
        <w:tc>
          <w:tcPr>
            <w:tcW w:w="729" w:type="pct"/>
            <w:vMerge w:val="restart"/>
            <w:vAlign w:val="center"/>
          </w:tcPr>
          <w:p w14:paraId="17C95BB6">
            <w:pPr>
              <w:keepNext w:val="0"/>
              <w:keepLines w:val="0"/>
              <w:widowControl/>
              <w:suppressLineNumbers w:val="0"/>
              <w:jc w:val="center"/>
              <w:textAlignment w:val="center"/>
              <w:rPr>
                <w:rFonts w:eastAsia="仿宋_GB2312"/>
                <w:b/>
                <w:bCs/>
                <w:color w:val="FF0000"/>
              </w:rPr>
            </w:pPr>
            <w:r>
              <w:rPr>
                <w:rFonts w:hint="default" w:ascii="Times New Roman" w:hAnsi="Times New Roman" w:eastAsia="宋体" w:cs="Times New Roman"/>
                <w:i w:val="0"/>
                <w:iCs w:val="0"/>
                <w:color w:val="000000"/>
                <w:kern w:val="0"/>
                <w:sz w:val="21"/>
                <w:szCs w:val="21"/>
                <w:u w:val="none"/>
                <w:lang w:val="en-US" w:eastAsia="zh-CN" w:bidi="ar"/>
              </w:rPr>
              <w:t>G2-13-5</w:t>
            </w:r>
          </w:p>
        </w:tc>
        <w:tc>
          <w:tcPr>
            <w:tcW w:w="853" w:type="pct"/>
            <w:vMerge w:val="restart"/>
            <w:vAlign w:val="center"/>
          </w:tcPr>
          <w:p w14:paraId="483BE0F9">
            <w:pPr>
              <w:keepNext w:val="0"/>
              <w:keepLines w:val="0"/>
              <w:widowControl/>
              <w:suppressLineNumbers w:val="0"/>
              <w:jc w:val="center"/>
              <w:textAlignment w:val="center"/>
              <w:rPr>
                <w:rFonts w:eastAsia="仿宋_GB2312"/>
                <w:b/>
                <w:bCs/>
                <w:color w:val="FF0000"/>
              </w:rPr>
            </w:pPr>
            <w:r>
              <w:rPr>
                <w:rFonts w:hint="default" w:ascii="仿宋_GB2312" w:hAnsi="宋体" w:eastAsia="仿宋_GB2312" w:cs="仿宋_GB2312"/>
                <w:i w:val="0"/>
                <w:iCs w:val="0"/>
                <w:color w:val="000000"/>
                <w:kern w:val="0"/>
                <w:sz w:val="21"/>
                <w:szCs w:val="21"/>
                <w:u w:val="none"/>
                <w:lang w:val="en-US" w:eastAsia="zh-CN" w:bidi="ar"/>
              </w:rPr>
              <w:t>灌装废气</w:t>
            </w:r>
          </w:p>
        </w:tc>
        <w:tc>
          <w:tcPr>
            <w:tcW w:w="1497" w:type="pct"/>
            <w:vAlign w:val="center"/>
          </w:tcPr>
          <w:p w14:paraId="7B53E02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21"/>
                <w:szCs w:val="21"/>
                <w:u w:val="none"/>
                <w:lang w:val="en-US" w:eastAsia="zh-CN" w:bidi="ar"/>
              </w:rPr>
              <w:t>苯酚</w:t>
            </w:r>
          </w:p>
        </w:tc>
        <w:tc>
          <w:tcPr>
            <w:tcW w:w="1105" w:type="pct"/>
            <w:vAlign w:val="center"/>
          </w:tcPr>
          <w:p w14:paraId="636F1A7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0.003</w:t>
            </w:r>
          </w:p>
        </w:tc>
      </w:tr>
      <w:tr w14:paraId="2B88A7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1958DB20">
            <w:pPr>
              <w:jc w:val="center"/>
              <w:rPr>
                <w:rFonts w:eastAsia="仿宋_GB2312"/>
                <w:b/>
                <w:bCs/>
                <w:color w:val="FF0000"/>
              </w:rPr>
            </w:pPr>
          </w:p>
        </w:tc>
        <w:tc>
          <w:tcPr>
            <w:tcW w:w="729" w:type="pct"/>
            <w:vMerge w:val="continue"/>
            <w:vAlign w:val="center"/>
          </w:tcPr>
          <w:p w14:paraId="5B138F8E">
            <w:pPr>
              <w:jc w:val="center"/>
              <w:rPr>
                <w:rFonts w:eastAsia="仿宋_GB2312"/>
                <w:b/>
                <w:bCs/>
                <w:color w:val="FF0000"/>
              </w:rPr>
            </w:pPr>
          </w:p>
        </w:tc>
        <w:tc>
          <w:tcPr>
            <w:tcW w:w="853" w:type="pct"/>
            <w:vMerge w:val="continue"/>
            <w:vAlign w:val="center"/>
          </w:tcPr>
          <w:p w14:paraId="586B870A">
            <w:pPr>
              <w:jc w:val="center"/>
              <w:rPr>
                <w:rFonts w:eastAsia="仿宋_GB2312"/>
                <w:b/>
                <w:bCs/>
                <w:color w:val="FF0000"/>
              </w:rPr>
            </w:pPr>
          </w:p>
        </w:tc>
        <w:tc>
          <w:tcPr>
            <w:tcW w:w="1497" w:type="pct"/>
            <w:vAlign w:val="center"/>
          </w:tcPr>
          <w:p w14:paraId="5DEFA68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21"/>
                <w:szCs w:val="21"/>
                <w:u w:val="none"/>
                <w:lang w:val="en-US" w:eastAsia="zh-CN" w:bidi="ar"/>
              </w:rPr>
              <w:t>其他有机物</w:t>
            </w:r>
          </w:p>
        </w:tc>
        <w:tc>
          <w:tcPr>
            <w:tcW w:w="1105" w:type="pct"/>
            <w:vAlign w:val="center"/>
          </w:tcPr>
          <w:p w14:paraId="30669DE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0.00001</w:t>
            </w:r>
          </w:p>
        </w:tc>
      </w:tr>
      <w:tr w14:paraId="1957FB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54C730C3">
            <w:pPr>
              <w:jc w:val="center"/>
              <w:rPr>
                <w:rFonts w:eastAsia="仿宋_GB2312"/>
                <w:b/>
                <w:bCs/>
                <w:color w:val="FF0000"/>
              </w:rPr>
            </w:pPr>
          </w:p>
        </w:tc>
        <w:tc>
          <w:tcPr>
            <w:tcW w:w="729" w:type="pct"/>
            <w:vMerge w:val="restart"/>
            <w:vAlign w:val="center"/>
          </w:tcPr>
          <w:p w14:paraId="18E1DDE7">
            <w:pPr>
              <w:keepNext w:val="0"/>
              <w:keepLines w:val="0"/>
              <w:widowControl/>
              <w:suppressLineNumbers w:val="0"/>
              <w:jc w:val="center"/>
              <w:textAlignment w:val="center"/>
              <w:rPr>
                <w:rFonts w:eastAsia="仿宋_GB2312"/>
                <w:b/>
                <w:bCs/>
                <w:color w:val="FF0000"/>
              </w:rPr>
            </w:pPr>
            <w:r>
              <w:rPr>
                <w:rFonts w:hint="default" w:ascii="Times New Roman" w:hAnsi="Times New Roman" w:eastAsia="宋体" w:cs="Times New Roman"/>
                <w:i w:val="0"/>
                <w:iCs w:val="0"/>
                <w:color w:val="000000"/>
                <w:kern w:val="0"/>
                <w:sz w:val="21"/>
                <w:szCs w:val="21"/>
                <w:u w:val="none"/>
                <w:lang w:val="en-US" w:eastAsia="zh-CN" w:bidi="ar"/>
              </w:rPr>
              <w:t>G3-1-1</w:t>
            </w:r>
          </w:p>
        </w:tc>
        <w:tc>
          <w:tcPr>
            <w:tcW w:w="853" w:type="pct"/>
            <w:vMerge w:val="restart"/>
            <w:vAlign w:val="center"/>
          </w:tcPr>
          <w:p w14:paraId="02DDECBC">
            <w:pPr>
              <w:keepNext w:val="0"/>
              <w:keepLines w:val="0"/>
              <w:widowControl/>
              <w:suppressLineNumbers w:val="0"/>
              <w:jc w:val="center"/>
              <w:textAlignment w:val="center"/>
              <w:rPr>
                <w:rFonts w:eastAsia="仿宋_GB2312"/>
                <w:b/>
                <w:bCs/>
                <w:color w:val="FF0000"/>
              </w:rPr>
            </w:pPr>
            <w:r>
              <w:rPr>
                <w:rFonts w:hint="default" w:ascii="仿宋_GB2312" w:hAnsi="宋体" w:eastAsia="仿宋_GB2312" w:cs="仿宋_GB2312"/>
                <w:i w:val="0"/>
                <w:iCs w:val="0"/>
                <w:color w:val="000000"/>
                <w:kern w:val="0"/>
                <w:sz w:val="21"/>
                <w:szCs w:val="21"/>
                <w:u w:val="none"/>
                <w:lang w:val="en-US" w:eastAsia="zh-CN" w:bidi="ar"/>
              </w:rPr>
              <w:t>投料废气</w:t>
            </w:r>
          </w:p>
        </w:tc>
        <w:tc>
          <w:tcPr>
            <w:tcW w:w="1497" w:type="pct"/>
            <w:vAlign w:val="center"/>
          </w:tcPr>
          <w:p w14:paraId="3147B87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21"/>
                <w:szCs w:val="21"/>
                <w:u w:val="none"/>
                <w:lang w:val="en-US" w:eastAsia="zh-CN" w:bidi="ar"/>
              </w:rPr>
              <w:t>丁酮</w:t>
            </w:r>
          </w:p>
        </w:tc>
        <w:tc>
          <w:tcPr>
            <w:tcW w:w="1105" w:type="pct"/>
            <w:vAlign w:val="center"/>
          </w:tcPr>
          <w:p w14:paraId="303FE60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0.003</w:t>
            </w:r>
          </w:p>
        </w:tc>
      </w:tr>
      <w:tr w14:paraId="7674DC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56A756A1">
            <w:pPr>
              <w:jc w:val="center"/>
              <w:rPr>
                <w:rFonts w:eastAsia="仿宋_GB2312"/>
                <w:b/>
                <w:bCs/>
                <w:color w:val="FF0000"/>
              </w:rPr>
            </w:pPr>
          </w:p>
        </w:tc>
        <w:tc>
          <w:tcPr>
            <w:tcW w:w="729" w:type="pct"/>
            <w:vMerge w:val="continue"/>
            <w:vAlign w:val="center"/>
          </w:tcPr>
          <w:p w14:paraId="5EB96989">
            <w:pPr>
              <w:jc w:val="center"/>
              <w:rPr>
                <w:rFonts w:eastAsia="仿宋_GB2312"/>
                <w:b/>
                <w:bCs/>
                <w:color w:val="FF0000"/>
              </w:rPr>
            </w:pPr>
          </w:p>
        </w:tc>
        <w:tc>
          <w:tcPr>
            <w:tcW w:w="853" w:type="pct"/>
            <w:vMerge w:val="continue"/>
            <w:vAlign w:val="center"/>
          </w:tcPr>
          <w:p w14:paraId="4FDCD939">
            <w:pPr>
              <w:jc w:val="center"/>
              <w:rPr>
                <w:rFonts w:eastAsia="仿宋_GB2312"/>
                <w:b/>
                <w:bCs/>
                <w:color w:val="FF0000"/>
              </w:rPr>
            </w:pPr>
          </w:p>
        </w:tc>
        <w:tc>
          <w:tcPr>
            <w:tcW w:w="1497" w:type="pct"/>
            <w:vAlign w:val="center"/>
          </w:tcPr>
          <w:p w14:paraId="23AF6F5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21"/>
                <w:szCs w:val="21"/>
                <w:u w:val="none"/>
                <w:lang w:val="en-US" w:eastAsia="zh-CN" w:bidi="ar"/>
              </w:rPr>
              <w:t>丁醇</w:t>
            </w:r>
          </w:p>
        </w:tc>
        <w:tc>
          <w:tcPr>
            <w:tcW w:w="1105" w:type="pct"/>
            <w:vAlign w:val="center"/>
          </w:tcPr>
          <w:p w14:paraId="3C33F1C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0.00001</w:t>
            </w:r>
          </w:p>
        </w:tc>
      </w:tr>
      <w:tr w14:paraId="227B64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44CC4E5E">
            <w:pPr>
              <w:jc w:val="center"/>
              <w:rPr>
                <w:rFonts w:eastAsia="仿宋_GB2312"/>
                <w:b/>
                <w:bCs/>
                <w:color w:val="FF0000"/>
              </w:rPr>
            </w:pPr>
          </w:p>
        </w:tc>
        <w:tc>
          <w:tcPr>
            <w:tcW w:w="729" w:type="pct"/>
            <w:vMerge w:val="continue"/>
            <w:vAlign w:val="center"/>
          </w:tcPr>
          <w:p w14:paraId="13AAFA4E">
            <w:pPr>
              <w:jc w:val="center"/>
              <w:rPr>
                <w:rFonts w:eastAsia="仿宋_GB2312"/>
                <w:b/>
                <w:bCs/>
                <w:color w:val="FF0000"/>
              </w:rPr>
            </w:pPr>
          </w:p>
        </w:tc>
        <w:tc>
          <w:tcPr>
            <w:tcW w:w="853" w:type="pct"/>
            <w:vMerge w:val="continue"/>
            <w:vAlign w:val="center"/>
          </w:tcPr>
          <w:p w14:paraId="1662C2FC">
            <w:pPr>
              <w:jc w:val="center"/>
              <w:rPr>
                <w:rFonts w:eastAsia="仿宋_GB2312"/>
                <w:b/>
                <w:bCs/>
                <w:color w:val="FF0000"/>
              </w:rPr>
            </w:pPr>
          </w:p>
        </w:tc>
        <w:tc>
          <w:tcPr>
            <w:tcW w:w="1497" w:type="pct"/>
            <w:vAlign w:val="center"/>
          </w:tcPr>
          <w:p w14:paraId="58C9FDE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21"/>
                <w:szCs w:val="21"/>
                <w:u w:val="none"/>
                <w:lang w:val="en-US" w:eastAsia="zh-CN" w:bidi="ar"/>
              </w:rPr>
              <w:t>其他有机物</w:t>
            </w:r>
          </w:p>
        </w:tc>
        <w:tc>
          <w:tcPr>
            <w:tcW w:w="1105" w:type="pct"/>
            <w:vAlign w:val="center"/>
          </w:tcPr>
          <w:p w14:paraId="790199A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0.00004</w:t>
            </w:r>
          </w:p>
        </w:tc>
      </w:tr>
      <w:tr w14:paraId="65EA84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3DDDA5D6">
            <w:pPr>
              <w:jc w:val="center"/>
              <w:rPr>
                <w:rFonts w:eastAsia="仿宋_GB2312"/>
                <w:b/>
                <w:bCs/>
                <w:color w:val="FF0000"/>
              </w:rPr>
            </w:pPr>
          </w:p>
        </w:tc>
        <w:tc>
          <w:tcPr>
            <w:tcW w:w="729" w:type="pct"/>
            <w:vMerge w:val="restart"/>
            <w:vAlign w:val="center"/>
          </w:tcPr>
          <w:p w14:paraId="262528DE">
            <w:pPr>
              <w:keepNext w:val="0"/>
              <w:keepLines w:val="0"/>
              <w:widowControl/>
              <w:suppressLineNumbers w:val="0"/>
              <w:jc w:val="center"/>
              <w:textAlignment w:val="center"/>
              <w:rPr>
                <w:rFonts w:eastAsia="仿宋_GB2312"/>
                <w:b/>
                <w:bCs/>
                <w:color w:val="FF0000"/>
              </w:rPr>
            </w:pPr>
            <w:r>
              <w:rPr>
                <w:rFonts w:hint="default" w:ascii="Times New Roman" w:hAnsi="Times New Roman" w:eastAsia="宋体" w:cs="Times New Roman"/>
                <w:i w:val="0"/>
                <w:iCs w:val="0"/>
                <w:color w:val="000000"/>
                <w:kern w:val="0"/>
                <w:sz w:val="21"/>
                <w:szCs w:val="21"/>
                <w:u w:val="none"/>
                <w:lang w:val="en-US" w:eastAsia="zh-CN" w:bidi="ar"/>
              </w:rPr>
              <w:t>G3-1-5</w:t>
            </w:r>
          </w:p>
        </w:tc>
        <w:tc>
          <w:tcPr>
            <w:tcW w:w="853" w:type="pct"/>
            <w:vMerge w:val="restart"/>
            <w:vAlign w:val="center"/>
          </w:tcPr>
          <w:p w14:paraId="2B01B6B0">
            <w:pPr>
              <w:keepNext w:val="0"/>
              <w:keepLines w:val="0"/>
              <w:widowControl/>
              <w:suppressLineNumbers w:val="0"/>
              <w:jc w:val="center"/>
              <w:textAlignment w:val="center"/>
              <w:rPr>
                <w:rFonts w:eastAsia="仿宋_GB2312"/>
                <w:b/>
                <w:bCs/>
                <w:color w:val="FF0000"/>
              </w:rPr>
            </w:pPr>
            <w:r>
              <w:rPr>
                <w:rFonts w:hint="default" w:ascii="仿宋_GB2312" w:hAnsi="宋体" w:eastAsia="仿宋_GB2312" w:cs="仿宋_GB2312"/>
                <w:i w:val="0"/>
                <w:iCs w:val="0"/>
                <w:color w:val="000000"/>
                <w:kern w:val="0"/>
                <w:sz w:val="21"/>
                <w:szCs w:val="21"/>
                <w:u w:val="none"/>
                <w:lang w:val="en-US" w:eastAsia="zh-CN" w:bidi="ar"/>
              </w:rPr>
              <w:t>灌装废气</w:t>
            </w:r>
          </w:p>
        </w:tc>
        <w:tc>
          <w:tcPr>
            <w:tcW w:w="1497" w:type="pct"/>
            <w:vAlign w:val="center"/>
          </w:tcPr>
          <w:p w14:paraId="1D2516B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21"/>
                <w:szCs w:val="21"/>
                <w:u w:val="none"/>
                <w:lang w:val="en-US" w:eastAsia="zh-CN" w:bidi="ar"/>
              </w:rPr>
              <w:t>丁酮</w:t>
            </w:r>
          </w:p>
        </w:tc>
        <w:tc>
          <w:tcPr>
            <w:tcW w:w="1105" w:type="pct"/>
            <w:vAlign w:val="center"/>
          </w:tcPr>
          <w:p w14:paraId="1C1E79C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0.004</w:t>
            </w:r>
          </w:p>
        </w:tc>
      </w:tr>
      <w:tr w14:paraId="0A3C40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54BA13B0">
            <w:pPr>
              <w:jc w:val="center"/>
              <w:rPr>
                <w:rFonts w:eastAsia="仿宋_GB2312"/>
                <w:b/>
                <w:bCs/>
                <w:color w:val="FF0000"/>
              </w:rPr>
            </w:pPr>
          </w:p>
        </w:tc>
        <w:tc>
          <w:tcPr>
            <w:tcW w:w="729" w:type="pct"/>
            <w:vMerge w:val="continue"/>
            <w:vAlign w:val="center"/>
          </w:tcPr>
          <w:p w14:paraId="3A992C95">
            <w:pPr>
              <w:jc w:val="center"/>
              <w:rPr>
                <w:rFonts w:eastAsia="仿宋_GB2312"/>
                <w:b/>
                <w:bCs/>
                <w:color w:val="FF0000"/>
              </w:rPr>
            </w:pPr>
          </w:p>
        </w:tc>
        <w:tc>
          <w:tcPr>
            <w:tcW w:w="853" w:type="pct"/>
            <w:vMerge w:val="continue"/>
            <w:vAlign w:val="center"/>
          </w:tcPr>
          <w:p w14:paraId="083A9B1A">
            <w:pPr>
              <w:jc w:val="center"/>
              <w:rPr>
                <w:rFonts w:eastAsia="仿宋_GB2312"/>
                <w:b/>
                <w:bCs/>
                <w:color w:val="FF0000"/>
              </w:rPr>
            </w:pPr>
          </w:p>
        </w:tc>
        <w:tc>
          <w:tcPr>
            <w:tcW w:w="1497" w:type="pct"/>
            <w:vAlign w:val="center"/>
          </w:tcPr>
          <w:p w14:paraId="133CD11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21"/>
                <w:szCs w:val="21"/>
                <w:u w:val="none"/>
                <w:lang w:val="en-US" w:eastAsia="zh-CN" w:bidi="ar"/>
              </w:rPr>
              <w:t>丁醇</w:t>
            </w:r>
          </w:p>
        </w:tc>
        <w:tc>
          <w:tcPr>
            <w:tcW w:w="1105" w:type="pct"/>
            <w:vAlign w:val="center"/>
          </w:tcPr>
          <w:p w14:paraId="0F828CE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0.00001</w:t>
            </w:r>
          </w:p>
        </w:tc>
      </w:tr>
      <w:tr w14:paraId="7563CA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08EA4E3E">
            <w:pPr>
              <w:jc w:val="center"/>
              <w:rPr>
                <w:rFonts w:eastAsia="仿宋_GB2312"/>
                <w:b/>
                <w:bCs/>
                <w:color w:val="FF0000"/>
              </w:rPr>
            </w:pPr>
          </w:p>
        </w:tc>
        <w:tc>
          <w:tcPr>
            <w:tcW w:w="729" w:type="pct"/>
            <w:vMerge w:val="restart"/>
            <w:vAlign w:val="center"/>
          </w:tcPr>
          <w:p w14:paraId="0B01D237">
            <w:pPr>
              <w:keepNext w:val="0"/>
              <w:keepLines w:val="0"/>
              <w:widowControl/>
              <w:suppressLineNumbers w:val="0"/>
              <w:jc w:val="center"/>
              <w:textAlignment w:val="center"/>
              <w:rPr>
                <w:rFonts w:eastAsia="仿宋_GB2312"/>
                <w:b/>
                <w:bCs/>
                <w:color w:val="FF0000"/>
              </w:rPr>
            </w:pPr>
            <w:r>
              <w:rPr>
                <w:rFonts w:hint="default" w:ascii="Times New Roman" w:hAnsi="Times New Roman" w:eastAsia="宋体" w:cs="Times New Roman"/>
                <w:i w:val="0"/>
                <w:iCs w:val="0"/>
                <w:color w:val="000000"/>
                <w:kern w:val="0"/>
                <w:sz w:val="21"/>
                <w:szCs w:val="21"/>
                <w:u w:val="none"/>
                <w:lang w:val="en-US" w:eastAsia="zh-CN" w:bidi="ar"/>
              </w:rPr>
              <w:t>G3-2-1</w:t>
            </w:r>
          </w:p>
        </w:tc>
        <w:tc>
          <w:tcPr>
            <w:tcW w:w="853" w:type="pct"/>
            <w:vMerge w:val="restart"/>
            <w:vAlign w:val="center"/>
          </w:tcPr>
          <w:p w14:paraId="70DE2955">
            <w:pPr>
              <w:keepNext w:val="0"/>
              <w:keepLines w:val="0"/>
              <w:widowControl/>
              <w:suppressLineNumbers w:val="0"/>
              <w:jc w:val="center"/>
              <w:textAlignment w:val="center"/>
              <w:rPr>
                <w:rFonts w:eastAsia="仿宋_GB2312"/>
                <w:b/>
                <w:bCs/>
                <w:color w:val="FF0000"/>
              </w:rPr>
            </w:pPr>
            <w:r>
              <w:rPr>
                <w:rFonts w:hint="default" w:ascii="仿宋_GB2312" w:hAnsi="宋体" w:eastAsia="仿宋_GB2312" w:cs="仿宋_GB2312"/>
                <w:i w:val="0"/>
                <w:iCs w:val="0"/>
                <w:color w:val="000000"/>
                <w:kern w:val="0"/>
                <w:sz w:val="21"/>
                <w:szCs w:val="21"/>
                <w:u w:val="none"/>
                <w:lang w:val="en-US" w:eastAsia="zh-CN" w:bidi="ar"/>
              </w:rPr>
              <w:t>投料废气</w:t>
            </w:r>
          </w:p>
        </w:tc>
        <w:tc>
          <w:tcPr>
            <w:tcW w:w="1497" w:type="pct"/>
            <w:vAlign w:val="center"/>
          </w:tcPr>
          <w:p w14:paraId="0A01E55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21"/>
                <w:szCs w:val="21"/>
                <w:u w:val="none"/>
                <w:lang w:val="en-US" w:eastAsia="zh-CN" w:bidi="ar"/>
              </w:rPr>
              <w:t>四氢呋喃</w:t>
            </w:r>
          </w:p>
        </w:tc>
        <w:tc>
          <w:tcPr>
            <w:tcW w:w="1105" w:type="pct"/>
            <w:vAlign w:val="center"/>
          </w:tcPr>
          <w:p w14:paraId="7FEF587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0.065</w:t>
            </w:r>
          </w:p>
        </w:tc>
      </w:tr>
      <w:tr w14:paraId="4D8C58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0F1E1CEA">
            <w:pPr>
              <w:jc w:val="center"/>
              <w:rPr>
                <w:rFonts w:eastAsia="仿宋_GB2312"/>
                <w:b/>
                <w:bCs/>
                <w:color w:val="FF0000"/>
              </w:rPr>
            </w:pPr>
          </w:p>
        </w:tc>
        <w:tc>
          <w:tcPr>
            <w:tcW w:w="729" w:type="pct"/>
            <w:vMerge w:val="continue"/>
            <w:vAlign w:val="center"/>
          </w:tcPr>
          <w:p w14:paraId="4163F658">
            <w:pPr>
              <w:jc w:val="center"/>
              <w:rPr>
                <w:rFonts w:eastAsia="仿宋_GB2312"/>
                <w:b/>
                <w:bCs/>
                <w:color w:val="FF0000"/>
              </w:rPr>
            </w:pPr>
          </w:p>
        </w:tc>
        <w:tc>
          <w:tcPr>
            <w:tcW w:w="853" w:type="pct"/>
            <w:vMerge w:val="continue"/>
            <w:vAlign w:val="center"/>
          </w:tcPr>
          <w:p w14:paraId="600E8BC5">
            <w:pPr>
              <w:jc w:val="center"/>
              <w:rPr>
                <w:rFonts w:eastAsia="仿宋_GB2312"/>
                <w:b/>
                <w:bCs/>
                <w:color w:val="FF0000"/>
              </w:rPr>
            </w:pPr>
          </w:p>
        </w:tc>
        <w:tc>
          <w:tcPr>
            <w:tcW w:w="1497" w:type="pct"/>
            <w:vAlign w:val="center"/>
          </w:tcPr>
          <w:p w14:paraId="5673063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21"/>
                <w:szCs w:val="21"/>
                <w:u w:val="none"/>
                <w:lang w:val="en-US" w:eastAsia="zh-CN" w:bidi="ar"/>
              </w:rPr>
              <w:t>其他有机物</w:t>
            </w:r>
          </w:p>
        </w:tc>
        <w:tc>
          <w:tcPr>
            <w:tcW w:w="1105" w:type="pct"/>
            <w:vAlign w:val="center"/>
          </w:tcPr>
          <w:p w14:paraId="3AD8298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0.001</w:t>
            </w:r>
          </w:p>
        </w:tc>
      </w:tr>
      <w:tr w14:paraId="4D4BBC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12DB742D">
            <w:pPr>
              <w:jc w:val="center"/>
              <w:rPr>
                <w:rFonts w:eastAsia="仿宋_GB2312"/>
                <w:b/>
                <w:bCs/>
                <w:color w:val="FF0000"/>
              </w:rPr>
            </w:pPr>
          </w:p>
        </w:tc>
        <w:tc>
          <w:tcPr>
            <w:tcW w:w="729" w:type="pct"/>
            <w:vAlign w:val="center"/>
          </w:tcPr>
          <w:p w14:paraId="561675CC">
            <w:pPr>
              <w:keepNext w:val="0"/>
              <w:keepLines w:val="0"/>
              <w:widowControl/>
              <w:suppressLineNumbers w:val="0"/>
              <w:jc w:val="center"/>
              <w:textAlignment w:val="center"/>
              <w:rPr>
                <w:rFonts w:eastAsia="仿宋_GB2312"/>
                <w:b/>
                <w:bCs/>
                <w:color w:val="FF0000"/>
              </w:rPr>
            </w:pPr>
            <w:r>
              <w:rPr>
                <w:rFonts w:hint="default" w:ascii="Times New Roman" w:hAnsi="Times New Roman" w:eastAsia="宋体" w:cs="Times New Roman"/>
                <w:i w:val="0"/>
                <w:iCs w:val="0"/>
                <w:color w:val="000000"/>
                <w:kern w:val="0"/>
                <w:sz w:val="21"/>
                <w:szCs w:val="21"/>
                <w:u w:val="none"/>
                <w:lang w:val="en-US" w:eastAsia="zh-CN" w:bidi="ar"/>
              </w:rPr>
              <w:t>G3-2-5</w:t>
            </w:r>
          </w:p>
        </w:tc>
        <w:tc>
          <w:tcPr>
            <w:tcW w:w="853" w:type="pct"/>
            <w:vAlign w:val="center"/>
          </w:tcPr>
          <w:p w14:paraId="4214B9B3">
            <w:pPr>
              <w:keepNext w:val="0"/>
              <w:keepLines w:val="0"/>
              <w:widowControl/>
              <w:suppressLineNumbers w:val="0"/>
              <w:jc w:val="center"/>
              <w:textAlignment w:val="center"/>
              <w:rPr>
                <w:rFonts w:eastAsia="仿宋_GB2312"/>
                <w:b/>
                <w:bCs/>
                <w:color w:val="FF0000"/>
              </w:rPr>
            </w:pPr>
            <w:r>
              <w:rPr>
                <w:rFonts w:hint="default" w:ascii="仿宋_GB2312" w:hAnsi="宋体" w:eastAsia="仿宋_GB2312" w:cs="仿宋_GB2312"/>
                <w:i w:val="0"/>
                <w:iCs w:val="0"/>
                <w:color w:val="000000"/>
                <w:kern w:val="0"/>
                <w:sz w:val="21"/>
                <w:szCs w:val="21"/>
                <w:u w:val="none"/>
                <w:lang w:val="en-US" w:eastAsia="zh-CN" w:bidi="ar"/>
              </w:rPr>
              <w:t>灌装废气</w:t>
            </w:r>
          </w:p>
        </w:tc>
        <w:tc>
          <w:tcPr>
            <w:tcW w:w="1497" w:type="pct"/>
            <w:vAlign w:val="center"/>
          </w:tcPr>
          <w:p w14:paraId="3CC9545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21"/>
                <w:szCs w:val="21"/>
                <w:u w:val="none"/>
                <w:lang w:val="en-US" w:eastAsia="zh-CN" w:bidi="ar"/>
              </w:rPr>
              <w:t>四氢呋喃</w:t>
            </w:r>
          </w:p>
        </w:tc>
        <w:tc>
          <w:tcPr>
            <w:tcW w:w="1105" w:type="pct"/>
            <w:vAlign w:val="center"/>
          </w:tcPr>
          <w:p w14:paraId="1E166B4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0.083</w:t>
            </w:r>
          </w:p>
        </w:tc>
      </w:tr>
      <w:tr w14:paraId="5DA863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3BAA5F8D">
            <w:pPr>
              <w:jc w:val="center"/>
              <w:rPr>
                <w:rFonts w:eastAsia="仿宋_GB2312"/>
                <w:b/>
                <w:bCs/>
                <w:color w:val="FF0000"/>
              </w:rPr>
            </w:pPr>
          </w:p>
        </w:tc>
        <w:tc>
          <w:tcPr>
            <w:tcW w:w="729" w:type="pct"/>
            <w:vMerge w:val="restart"/>
            <w:vAlign w:val="center"/>
          </w:tcPr>
          <w:p w14:paraId="060DE23B">
            <w:pPr>
              <w:keepNext w:val="0"/>
              <w:keepLines w:val="0"/>
              <w:widowControl/>
              <w:suppressLineNumbers w:val="0"/>
              <w:jc w:val="center"/>
              <w:textAlignment w:val="center"/>
              <w:rPr>
                <w:rFonts w:eastAsia="仿宋_GB2312"/>
                <w:b/>
                <w:bCs/>
                <w:color w:val="FF0000"/>
              </w:rPr>
            </w:pPr>
            <w:r>
              <w:rPr>
                <w:rFonts w:hint="default" w:ascii="Times New Roman" w:hAnsi="Times New Roman" w:eastAsia="宋体" w:cs="Times New Roman"/>
                <w:i w:val="0"/>
                <w:iCs w:val="0"/>
                <w:color w:val="000000"/>
                <w:kern w:val="0"/>
                <w:sz w:val="21"/>
                <w:szCs w:val="21"/>
                <w:u w:val="none"/>
                <w:lang w:val="en-US" w:eastAsia="zh-CN" w:bidi="ar"/>
              </w:rPr>
              <w:t>G3-3-1</w:t>
            </w:r>
          </w:p>
        </w:tc>
        <w:tc>
          <w:tcPr>
            <w:tcW w:w="853" w:type="pct"/>
            <w:vMerge w:val="restart"/>
            <w:vAlign w:val="center"/>
          </w:tcPr>
          <w:p w14:paraId="60DED464">
            <w:pPr>
              <w:keepNext w:val="0"/>
              <w:keepLines w:val="0"/>
              <w:widowControl/>
              <w:suppressLineNumbers w:val="0"/>
              <w:jc w:val="center"/>
              <w:textAlignment w:val="center"/>
              <w:rPr>
                <w:rFonts w:eastAsia="仿宋_GB2312"/>
                <w:b/>
                <w:bCs/>
                <w:color w:val="FF0000"/>
              </w:rPr>
            </w:pPr>
            <w:r>
              <w:rPr>
                <w:rFonts w:hint="default" w:ascii="仿宋_GB2312" w:hAnsi="宋体" w:eastAsia="仿宋_GB2312" w:cs="仿宋_GB2312"/>
                <w:i w:val="0"/>
                <w:iCs w:val="0"/>
                <w:color w:val="000000"/>
                <w:kern w:val="0"/>
                <w:sz w:val="21"/>
                <w:szCs w:val="21"/>
                <w:u w:val="none"/>
                <w:lang w:val="en-US" w:eastAsia="zh-CN" w:bidi="ar"/>
              </w:rPr>
              <w:t>投料废气</w:t>
            </w:r>
          </w:p>
        </w:tc>
        <w:tc>
          <w:tcPr>
            <w:tcW w:w="1497" w:type="pct"/>
            <w:vAlign w:val="center"/>
          </w:tcPr>
          <w:p w14:paraId="1FB2B7B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21"/>
                <w:szCs w:val="21"/>
                <w:u w:val="none"/>
                <w:lang w:val="en-US" w:eastAsia="zh-CN" w:bidi="ar"/>
              </w:rPr>
              <w:t>乙酸乙酯</w:t>
            </w:r>
          </w:p>
        </w:tc>
        <w:tc>
          <w:tcPr>
            <w:tcW w:w="1105" w:type="pct"/>
            <w:vAlign w:val="center"/>
          </w:tcPr>
          <w:p w14:paraId="5CADFA8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0.034</w:t>
            </w:r>
          </w:p>
        </w:tc>
      </w:tr>
      <w:tr w14:paraId="595BA8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748C763D">
            <w:pPr>
              <w:jc w:val="center"/>
              <w:rPr>
                <w:rFonts w:eastAsia="仿宋_GB2312"/>
                <w:b/>
                <w:bCs/>
                <w:color w:val="FF0000"/>
              </w:rPr>
            </w:pPr>
          </w:p>
        </w:tc>
        <w:tc>
          <w:tcPr>
            <w:tcW w:w="729" w:type="pct"/>
            <w:vMerge w:val="continue"/>
            <w:vAlign w:val="center"/>
          </w:tcPr>
          <w:p w14:paraId="53D6BA8E">
            <w:pPr>
              <w:jc w:val="center"/>
              <w:rPr>
                <w:rFonts w:eastAsia="仿宋_GB2312"/>
                <w:b/>
                <w:bCs/>
                <w:color w:val="FF0000"/>
              </w:rPr>
            </w:pPr>
          </w:p>
        </w:tc>
        <w:tc>
          <w:tcPr>
            <w:tcW w:w="853" w:type="pct"/>
            <w:vMerge w:val="continue"/>
            <w:vAlign w:val="center"/>
          </w:tcPr>
          <w:p w14:paraId="511018C5">
            <w:pPr>
              <w:jc w:val="center"/>
              <w:rPr>
                <w:rFonts w:eastAsia="仿宋_GB2312"/>
                <w:b/>
                <w:bCs/>
                <w:color w:val="FF0000"/>
              </w:rPr>
            </w:pPr>
          </w:p>
        </w:tc>
        <w:tc>
          <w:tcPr>
            <w:tcW w:w="1497" w:type="pct"/>
            <w:vAlign w:val="center"/>
          </w:tcPr>
          <w:p w14:paraId="4EEFCC5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21"/>
                <w:szCs w:val="21"/>
                <w:u w:val="none"/>
                <w:lang w:val="en-US" w:eastAsia="zh-CN" w:bidi="ar"/>
              </w:rPr>
              <w:t>乙醇</w:t>
            </w:r>
          </w:p>
        </w:tc>
        <w:tc>
          <w:tcPr>
            <w:tcW w:w="1105" w:type="pct"/>
            <w:vAlign w:val="center"/>
          </w:tcPr>
          <w:p w14:paraId="309C1EC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0.00002</w:t>
            </w:r>
          </w:p>
        </w:tc>
      </w:tr>
      <w:tr w14:paraId="7676CE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47194E60">
            <w:pPr>
              <w:jc w:val="center"/>
              <w:rPr>
                <w:rFonts w:eastAsia="仿宋_GB2312"/>
                <w:b/>
                <w:bCs/>
                <w:color w:val="FF0000"/>
              </w:rPr>
            </w:pPr>
          </w:p>
        </w:tc>
        <w:tc>
          <w:tcPr>
            <w:tcW w:w="729" w:type="pct"/>
            <w:vMerge w:val="continue"/>
            <w:vAlign w:val="center"/>
          </w:tcPr>
          <w:p w14:paraId="1D593E25">
            <w:pPr>
              <w:jc w:val="center"/>
              <w:rPr>
                <w:rFonts w:eastAsia="仿宋_GB2312"/>
                <w:b/>
                <w:bCs/>
                <w:color w:val="FF0000"/>
              </w:rPr>
            </w:pPr>
          </w:p>
        </w:tc>
        <w:tc>
          <w:tcPr>
            <w:tcW w:w="853" w:type="pct"/>
            <w:vMerge w:val="continue"/>
            <w:vAlign w:val="center"/>
          </w:tcPr>
          <w:p w14:paraId="24CCA047">
            <w:pPr>
              <w:jc w:val="center"/>
              <w:rPr>
                <w:rFonts w:eastAsia="仿宋_GB2312"/>
                <w:b/>
                <w:bCs/>
                <w:color w:val="FF0000"/>
              </w:rPr>
            </w:pPr>
          </w:p>
        </w:tc>
        <w:tc>
          <w:tcPr>
            <w:tcW w:w="1497" w:type="pct"/>
            <w:vAlign w:val="center"/>
          </w:tcPr>
          <w:p w14:paraId="6A20F72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21"/>
                <w:szCs w:val="21"/>
                <w:u w:val="none"/>
                <w:lang w:val="en-US" w:eastAsia="zh-CN" w:bidi="ar"/>
              </w:rPr>
              <w:t>其他有机物</w:t>
            </w:r>
          </w:p>
        </w:tc>
        <w:tc>
          <w:tcPr>
            <w:tcW w:w="1105" w:type="pct"/>
            <w:vAlign w:val="center"/>
          </w:tcPr>
          <w:p w14:paraId="21EBD7E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0.0004</w:t>
            </w:r>
          </w:p>
        </w:tc>
      </w:tr>
      <w:tr w14:paraId="128AA8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70822B9D">
            <w:pPr>
              <w:jc w:val="center"/>
              <w:rPr>
                <w:rFonts w:eastAsia="仿宋_GB2312"/>
                <w:b/>
                <w:bCs/>
                <w:color w:val="FF0000"/>
              </w:rPr>
            </w:pPr>
          </w:p>
        </w:tc>
        <w:tc>
          <w:tcPr>
            <w:tcW w:w="729" w:type="pct"/>
            <w:vMerge w:val="restart"/>
            <w:vAlign w:val="center"/>
          </w:tcPr>
          <w:p w14:paraId="6B413DB2">
            <w:pPr>
              <w:keepNext w:val="0"/>
              <w:keepLines w:val="0"/>
              <w:widowControl/>
              <w:suppressLineNumbers w:val="0"/>
              <w:jc w:val="center"/>
              <w:textAlignment w:val="center"/>
              <w:rPr>
                <w:rFonts w:eastAsia="仿宋_GB2312"/>
                <w:b/>
                <w:bCs/>
                <w:color w:val="FF0000"/>
              </w:rPr>
            </w:pPr>
            <w:r>
              <w:rPr>
                <w:rFonts w:hint="default" w:ascii="Times New Roman" w:hAnsi="Times New Roman" w:eastAsia="宋体" w:cs="Times New Roman"/>
                <w:i w:val="0"/>
                <w:iCs w:val="0"/>
                <w:color w:val="000000"/>
                <w:kern w:val="0"/>
                <w:sz w:val="21"/>
                <w:szCs w:val="21"/>
                <w:u w:val="none"/>
                <w:lang w:val="en-US" w:eastAsia="zh-CN" w:bidi="ar"/>
              </w:rPr>
              <w:t>G3-3-5</w:t>
            </w:r>
          </w:p>
        </w:tc>
        <w:tc>
          <w:tcPr>
            <w:tcW w:w="853" w:type="pct"/>
            <w:vMerge w:val="restart"/>
            <w:vAlign w:val="center"/>
          </w:tcPr>
          <w:p w14:paraId="516687C2">
            <w:pPr>
              <w:keepNext w:val="0"/>
              <w:keepLines w:val="0"/>
              <w:widowControl/>
              <w:suppressLineNumbers w:val="0"/>
              <w:jc w:val="center"/>
              <w:textAlignment w:val="center"/>
              <w:rPr>
                <w:rFonts w:eastAsia="仿宋_GB2312"/>
                <w:b/>
                <w:bCs/>
                <w:color w:val="FF0000"/>
              </w:rPr>
            </w:pPr>
            <w:r>
              <w:rPr>
                <w:rFonts w:hint="default" w:ascii="仿宋_GB2312" w:hAnsi="宋体" w:eastAsia="仿宋_GB2312" w:cs="仿宋_GB2312"/>
                <w:i w:val="0"/>
                <w:iCs w:val="0"/>
                <w:color w:val="000000"/>
                <w:kern w:val="0"/>
                <w:sz w:val="21"/>
                <w:szCs w:val="21"/>
                <w:u w:val="none"/>
                <w:lang w:val="en-US" w:eastAsia="zh-CN" w:bidi="ar"/>
              </w:rPr>
              <w:t>灌装废气</w:t>
            </w:r>
          </w:p>
        </w:tc>
        <w:tc>
          <w:tcPr>
            <w:tcW w:w="1497" w:type="pct"/>
            <w:vAlign w:val="center"/>
          </w:tcPr>
          <w:p w14:paraId="3A80586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21"/>
                <w:szCs w:val="21"/>
                <w:u w:val="none"/>
                <w:lang w:val="en-US" w:eastAsia="zh-CN" w:bidi="ar"/>
              </w:rPr>
              <w:t>乙酸乙酯</w:t>
            </w:r>
          </w:p>
        </w:tc>
        <w:tc>
          <w:tcPr>
            <w:tcW w:w="1105" w:type="pct"/>
            <w:vAlign w:val="center"/>
          </w:tcPr>
          <w:p w14:paraId="4074D36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0.049</w:t>
            </w:r>
          </w:p>
        </w:tc>
      </w:tr>
      <w:tr w14:paraId="50ECE7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19055018">
            <w:pPr>
              <w:jc w:val="center"/>
              <w:rPr>
                <w:rFonts w:eastAsia="仿宋_GB2312"/>
                <w:b/>
                <w:bCs/>
                <w:color w:val="FF0000"/>
              </w:rPr>
            </w:pPr>
          </w:p>
        </w:tc>
        <w:tc>
          <w:tcPr>
            <w:tcW w:w="729" w:type="pct"/>
            <w:vMerge w:val="continue"/>
            <w:vAlign w:val="center"/>
          </w:tcPr>
          <w:p w14:paraId="2B2981E0">
            <w:pPr>
              <w:jc w:val="center"/>
              <w:rPr>
                <w:rFonts w:eastAsia="仿宋_GB2312"/>
                <w:b/>
                <w:bCs/>
                <w:color w:val="FF0000"/>
              </w:rPr>
            </w:pPr>
          </w:p>
        </w:tc>
        <w:tc>
          <w:tcPr>
            <w:tcW w:w="853" w:type="pct"/>
            <w:vMerge w:val="continue"/>
            <w:vAlign w:val="center"/>
          </w:tcPr>
          <w:p w14:paraId="3B8E5837">
            <w:pPr>
              <w:jc w:val="center"/>
              <w:rPr>
                <w:rFonts w:eastAsia="仿宋_GB2312"/>
                <w:b/>
                <w:bCs/>
                <w:color w:val="FF0000"/>
              </w:rPr>
            </w:pPr>
          </w:p>
        </w:tc>
        <w:tc>
          <w:tcPr>
            <w:tcW w:w="1497" w:type="pct"/>
            <w:vAlign w:val="center"/>
          </w:tcPr>
          <w:p w14:paraId="37B1658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21"/>
                <w:szCs w:val="21"/>
                <w:u w:val="none"/>
                <w:lang w:val="en-US" w:eastAsia="zh-CN" w:bidi="ar"/>
              </w:rPr>
              <w:t>乙醇</w:t>
            </w:r>
          </w:p>
        </w:tc>
        <w:tc>
          <w:tcPr>
            <w:tcW w:w="1105" w:type="pct"/>
            <w:vAlign w:val="center"/>
          </w:tcPr>
          <w:p w14:paraId="20B8CE2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0.00002</w:t>
            </w:r>
          </w:p>
        </w:tc>
      </w:tr>
      <w:tr w14:paraId="2C146F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39641BB1">
            <w:pPr>
              <w:jc w:val="center"/>
              <w:rPr>
                <w:rFonts w:eastAsia="仿宋_GB2312"/>
                <w:b/>
                <w:bCs/>
                <w:color w:val="FF0000"/>
              </w:rPr>
            </w:pPr>
          </w:p>
        </w:tc>
        <w:tc>
          <w:tcPr>
            <w:tcW w:w="729" w:type="pct"/>
            <w:vMerge w:val="restart"/>
            <w:vAlign w:val="center"/>
          </w:tcPr>
          <w:p w14:paraId="44059860">
            <w:pPr>
              <w:keepNext w:val="0"/>
              <w:keepLines w:val="0"/>
              <w:widowControl/>
              <w:suppressLineNumbers w:val="0"/>
              <w:jc w:val="center"/>
              <w:textAlignment w:val="center"/>
              <w:rPr>
                <w:rFonts w:eastAsia="仿宋_GB2312"/>
                <w:b/>
                <w:bCs/>
                <w:color w:val="FF0000"/>
              </w:rPr>
            </w:pPr>
            <w:r>
              <w:rPr>
                <w:rFonts w:hint="default" w:ascii="Times New Roman" w:hAnsi="Times New Roman" w:eastAsia="宋体" w:cs="Times New Roman"/>
                <w:i w:val="0"/>
                <w:iCs w:val="0"/>
                <w:color w:val="000000"/>
                <w:kern w:val="0"/>
                <w:sz w:val="21"/>
                <w:szCs w:val="21"/>
                <w:u w:val="none"/>
                <w:lang w:val="en-US" w:eastAsia="zh-CN" w:bidi="ar"/>
              </w:rPr>
              <w:t>G3-4-1</w:t>
            </w:r>
          </w:p>
        </w:tc>
        <w:tc>
          <w:tcPr>
            <w:tcW w:w="853" w:type="pct"/>
            <w:vMerge w:val="restart"/>
            <w:vAlign w:val="center"/>
          </w:tcPr>
          <w:p w14:paraId="2AC013AF">
            <w:pPr>
              <w:keepNext w:val="0"/>
              <w:keepLines w:val="0"/>
              <w:widowControl/>
              <w:suppressLineNumbers w:val="0"/>
              <w:jc w:val="center"/>
              <w:textAlignment w:val="center"/>
              <w:rPr>
                <w:rFonts w:eastAsia="仿宋_GB2312"/>
                <w:b/>
                <w:bCs/>
                <w:color w:val="FF0000"/>
              </w:rPr>
            </w:pPr>
            <w:r>
              <w:rPr>
                <w:rFonts w:hint="default" w:ascii="仿宋_GB2312" w:hAnsi="宋体" w:eastAsia="仿宋_GB2312" w:cs="仿宋_GB2312"/>
                <w:i w:val="0"/>
                <w:iCs w:val="0"/>
                <w:color w:val="000000"/>
                <w:kern w:val="0"/>
                <w:sz w:val="21"/>
                <w:szCs w:val="21"/>
                <w:u w:val="none"/>
                <w:lang w:val="en-US" w:eastAsia="zh-CN" w:bidi="ar"/>
              </w:rPr>
              <w:t>投料废气</w:t>
            </w:r>
          </w:p>
        </w:tc>
        <w:tc>
          <w:tcPr>
            <w:tcW w:w="1497" w:type="pct"/>
            <w:vAlign w:val="center"/>
          </w:tcPr>
          <w:p w14:paraId="2BD0717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21"/>
                <w:szCs w:val="21"/>
                <w:u w:val="none"/>
                <w:lang w:val="en-US" w:eastAsia="zh-CN" w:bidi="ar"/>
              </w:rPr>
              <w:t>乙酸丁酯</w:t>
            </w:r>
          </w:p>
        </w:tc>
        <w:tc>
          <w:tcPr>
            <w:tcW w:w="1105" w:type="pct"/>
            <w:vAlign w:val="center"/>
          </w:tcPr>
          <w:p w14:paraId="5C9E488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0.036</w:t>
            </w:r>
          </w:p>
        </w:tc>
      </w:tr>
      <w:tr w14:paraId="796DC3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0944792A">
            <w:pPr>
              <w:jc w:val="center"/>
              <w:rPr>
                <w:rFonts w:eastAsia="仿宋_GB2312"/>
                <w:b/>
                <w:bCs/>
                <w:color w:val="FF0000"/>
              </w:rPr>
            </w:pPr>
          </w:p>
        </w:tc>
        <w:tc>
          <w:tcPr>
            <w:tcW w:w="729" w:type="pct"/>
            <w:vMerge w:val="continue"/>
            <w:vAlign w:val="center"/>
          </w:tcPr>
          <w:p w14:paraId="68613380">
            <w:pPr>
              <w:jc w:val="center"/>
              <w:rPr>
                <w:rFonts w:eastAsia="仿宋_GB2312"/>
                <w:b/>
                <w:bCs/>
                <w:color w:val="FF0000"/>
              </w:rPr>
            </w:pPr>
          </w:p>
        </w:tc>
        <w:tc>
          <w:tcPr>
            <w:tcW w:w="853" w:type="pct"/>
            <w:vMerge w:val="continue"/>
            <w:vAlign w:val="center"/>
          </w:tcPr>
          <w:p w14:paraId="44FEA5DD">
            <w:pPr>
              <w:jc w:val="center"/>
              <w:rPr>
                <w:rFonts w:eastAsia="仿宋_GB2312"/>
                <w:b/>
                <w:bCs/>
                <w:color w:val="FF0000"/>
              </w:rPr>
            </w:pPr>
          </w:p>
        </w:tc>
        <w:tc>
          <w:tcPr>
            <w:tcW w:w="1497" w:type="pct"/>
            <w:vAlign w:val="center"/>
          </w:tcPr>
          <w:p w14:paraId="1FE6C96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21"/>
                <w:szCs w:val="21"/>
                <w:u w:val="none"/>
                <w:lang w:val="en-US" w:eastAsia="zh-CN" w:bidi="ar"/>
              </w:rPr>
              <w:t>正丁醇</w:t>
            </w:r>
          </w:p>
        </w:tc>
        <w:tc>
          <w:tcPr>
            <w:tcW w:w="1105" w:type="pct"/>
            <w:vAlign w:val="center"/>
          </w:tcPr>
          <w:p w14:paraId="2217952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0.0002</w:t>
            </w:r>
          </w:p>
        </w:tc>
      </w:tr>
      <w:tr w14:paraId="0D0FBF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71DE7734">
            <w:pPr>
              <w:jc w:val="center"/>
              <w:rPr>
                <w:rFonts w:eastAsia="仿宋_GB2312"/>
                <w:b/>
                <w:bCs/>
                <w:color w:val="FF0000"/>
              </w:rPr>
            </w:pPr>
          </w:p>
        </w:tc>
        <w:tc>
          <w:tcPr>
            <w:tcW w:w="729" w:type="pct"/>
            <w:vMerge w:val="continue"/>
            <w:vAlign w:val="center"/>
          </w:tcPr>
          <w:p w14:paraId="2D35EB46">
            <w:pPr>
              <w:jc w:val="center"/>
              <w:rPr>
                <w:rFonts w:eastAsia="仿宋_GB2312"/>
                <w:b/>
                <w:bCs/>
                <w:color w:val="FF0000"/>
              </w:rPr>
            </w:pPr>
          </w:p>
        </w:tc>
        <w:tc>
          <w:tcPr>
            <w:tcW w:w="853" w:type="pct"/>
            <w:vMerge w:val="continue"/>
            <w:vAlign w:val="center"/>
          </w:tcPr>
          <w:p w14:paraId="6459DCB0">
            <w:pPr>
              <w:jc w:val="center"/>
              <w:rPr>
                <w:rFonts w:eastAsia="仿宋_GB2312"/>
                <w:b/>
                <w:bCs/>
                <w:color w:val="FF0000"/>
              </w:rPr>
            </w:pPr>
          </w:p>
        </w:tc>
        <w:tc>
          <w:tcPr>
            <w:tcW w:w="1497" w:type="pct"/>
            <w:vAlign w:val="center"/>
          </w:tcPr>
          <w:p w14:paraId="411BE6D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21"/>
                <w:szCs w:val="21"/>
                <w:u w:val="none"/>
                <w:lang w:val="en-US" w:eastAsia="zh-CN" w:bidi="ar"/>
              </w:rPr>
              <w:t>其他有机物</w:t>
            </w:r>
          </w:p>
        </w:tc>
        <w:tc>
          <w:tcPr>
            <w:tcW w:w="1105" w:type="pct"/>
            <w:vAlign w:val="center"/>
          </w:tcPr>
          <w:p w14:paraId="6225EAC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0.0006</w:t>
            </w:r>
          </w:p>
        </w:tc>
      </w:tr>
      <w:tr w14:paraId="1C47B0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24CB17E4">
            <w:pPr>
              <w:jc w:val="center"/>
              <w:rPr>
                <w:rFonts w:eastAsia="仿宋_GB2312"/>
                <w:b/>
                <w:bCs/>
                <w:color w:val="FF0000"/>
              </w:rPr>
            </w:pPr>
          </w:p>
        </w:tc>
        <w:tc>
          <w:tcPr>
            <w:tcW w:w="729" w:type="pct"/>
            <w:vMerge w:val="restart"/>
            <w:vAlign w:val="center"/>
          </w:tcPr>
          <w:p w14:paraId="5257FEB9">
            <w:pPr>
              <w:keepNext w:val="0"/>
              <w:keepLines w:val="0"/>
              <w:widowControl/>
              <w:suppressLineNumbers w:val="0"/>
              <w:jc w:val="center"/>
              <w:textAlignment w:val="center"/>
              <w:rPr>
                <w:rFonts w:eastAsia="仿宋_GB2312"/>
                <w:b/>
                <w:bCs/>
                <w:color w:val="FF0000"/>
              </w:rPr>
            </w:pPr>
            <w:r>
              <w:rPr>
                <w:rFonts w:hint="default" w:ascii="Times New Roman" w:hAnsi="Times New Roman" w:eastAsia="宋体" w:cs="Times New Roman"/>
                <w:i w:val="0"/>
                <w:iCs w:val="0"/>
                <w:color w:val="000000"/>
                <w:kern w:val="0"/>
                <w:sz w:val="21"/>
                <w:szCs w:val="21"/>
                <w:u w:val="none"/>
                <w:lang w:val="en-US" w:eastAsia="zh-CN" w:bidi="ar"/>
              </w:rPr>
              <w:t>G3-4-5</w:t>
            </w:r>
          </w:p>
        </w:tc>
        <w:tc>
          <w:tcPr>
            <w:tcW w:w="853" w:type="pct"/>
            <w:vMerge w:val="restart"/>
            <w:vAlign w:val="center"/>
          </w:tcPr>
          <w:p w14:paraId="46D67FA8">
            <w:pPr>
              <w:keepNext w:val="0"/>
              <w:keepLines w:val="0"/>
              <w:widowControl/>
              <w:suppressLineNumbers w:val="0"/>
              <w:jc w:val="center"/>
              <w:textAlignment w:val="center"/>
              <w:rPr>
                <w:rFonts w:eastAsia="仿宋_GB2312"/>
                <w:b/>
                <w:bCs/>
                <w:color w:val="FF0000"/>
              </w:rPr>
            </w:pPr>
            <w:r>
              <w:rPr>
                <w:rFonts w:hint="default" w:ascii="仿宋_GB2312" w:hAnsi="宋体" w:eastAsia="仿宋_GB2312" w:cs="仿宋_GB2312"/>
                <w:i w:val="0"/>
                <w:iCs w:val="0"/>
                <w:color w:val="000000"/>
                <w:kern w:val="0"/>
                <w:sz w:val="21"/>
                <w:szCs w:val="21"/>
                <w:u w:val="none"/>
                <w:lang w:val="en-US" w:eastAsia="zh-CN" w:bidi="ar"/>
              </w:rPr>
              <w:t>灌装废气</w:t>
            </w:r>
          </w:p>
        </w:tc>
        <w:tc>
          <w:tcPr>
            <w:tcW w:w="1497" w:type="pct"/>
            <w:vAlign w:val="center"/>
          </w:tcPr>
          <w:p w14:paraId="6F995BE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21"/>
                <w:szCs w:val="21"/>
                <w:u w:val="none"/>
                <w:lang w:val="en-US" w:eastAsia="zh-CN" w:bidi="ar"/>
              </w:rPr>
              <w:t>乙酸丁酯</w:t>
            </w:r>
          </w:p>
        </w:tc>
        <w:tc>
          <w:tcPr>
            <w:tcW w:w="1105" w:type="pct"/>
            <w:vAlign w:val="center"/>
          </w:tcPr>
          <w:p w14:paraId="4A602CA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0.053</w:t>
            </w:r>
          </w:p>
        </w:tc>
      </w:tr>
      <w:tr w14:paraId="3F6B9D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552C2860">
            <w:pPr>
              <w:jc w:val="center"/>
              <w:rPr>
                <w:rFonts w:eastAsia="仿宋_GB2312"/>
                <w:b/>
                <w:bCs/>
                <w:color w:val="FF0000"/>
              </w:rPr>
            </w:pPr>
          </w:p>
        </w:tc>
        <w:tc>
          <w:tcPr>
            <w:tcW w:w="729" w:type="pct"/>
            <w:vMerge w:val="continue"/>
            <w:vAlign w:val="center"/>
          </w:tcPr>
          <w:p w14:paraId="4C278269">
            <w:pPr>
              <w:jc w:val="center"/>
              <w:rPr>
                <w:rFonts w:eastAsia="仿宋_GB2312"/>
                <w:b/>
                <w:bCs/>
                <w:color w:val="FF0000"/>
              </w:rPr>
            </w:pPr>
          </w:p>
        </w:tc>
        <w:tc>
          <w:tcPr>
            <w:tcW w:w="853" w:type="pct"/>
            <w:vMerge w:val="continue"/>
            <w:vAlign w:val="center"/>
          </w:tcPr>
          <w:p w14:paraId="60A6BD2C">
            <w:pPr>
              <w:jc w:val="center"/>
              <w:rPr>
                <w:rFonts w:eastAsia="仿宋_GB2312"/>
                <w:b/>
                <w:bCs/>
                <w:color w:val="FF0000"/>
              </w:rPr>
            </w:pPr>
          </w:p>
        </w:tc>
        <w:tc>
          <w:tcPr>
            <w:tcW w:w="1497" w:type="pct"/>
            <w:vAlign w:val="center"/>
          </w:tcPr>
          <w:p w14:paraId="613C5F5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21"/>
                <w:szCs w:val="21"/>
                <w:u w:val="none"/>
                <w:lang w:val="en-US" w:eastAsia="zh-CN" w:bidi="ar"/>
              </w:rPr>
              <w:t>正丁醇</w:t>
            </w:r>
          </w:p>
        </w:tc>
        <w:tc>
          <w:tcPr>
            <w:tcW w:w="1105" w:type="pct"/>
            <w:vAlign w:val="center"/>
          </w:tcPr>
          <w:p w14:paraId="0D9C3BD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0.0002</w:t>
            </w:r>
          </w:p>
        </w:tc>
      </w:tr>
      <w:tr w14:paraId="4B69E0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12A579C7">
            <w:pPr>
              <w:jc w:val="center"/>
              <w:rPr>
                <w:rFonts w:eastAsia="仿宋_GB2312"/>
                <w:b/>
                <w:bCs/>
                <w:color w:val="FF0000"/>
              </w:rPr>
            </w:pPr>
          </w:p>
        </w:tc>
        <w:tc>
          <w:tcPr>
            <w:tcW w:w="729" w:type="pct"/>
            <w:vMerge w:val="restart"/>
            <w:vAlign w:val="center"/>
          </w:tcPr>
          <w:p w14:paraId="5839E47F">
            <w:pPr>
              <w:keepNext w:val="0"/>
              <w:keepLines w:val="0"/>
              <w:widowControl/>
              <w:suppressLineNumbers w:val="0"/>
              <w:jc w:val="center"/>
              <w:textAlignment w:val="center"/>
              <w:rPr>
                <w:rFonts w:eastAsia="仿宋_GB2312"/>
                <w:b/>
                <w:bCs/>
                <w:color w:val="FF0000"/>
              </w:rPr>
            </w:pPr>
            <w:r>
              <w:rPr>
                <w:rFonts w:hint="default" w:ascii="Times New Roman" w:hAnsi="Times New Roman" w:eastAsia="宋体" w:cs="Times New Roman"/>
                <w:i w:val="0"/>
                <w:iCs w:val="0"/>
                <w:color w:val="000000"/>
                <w:kern w:val="0"/>
                <w:sz w:val="21"/>
                <w:szCs w:val="21"/>
                <w:u w:val="none"/>
                <w:lang w:val="en-US" w:eastAsia="zh-CN" w:bidi="ar"/>
              </w:rPr>
              <w:t>G3-5-1</w:t>
            </w:r>
          </w:p>
        </w:tc>
        <w:tc>
          <w:tcPr>
            <w:tcW w:w="853" w:type="pct"/>
            <w:vMerge w:val="restart"/>
            <w:vAlign w:val="center"/>
          </w:tcPr>
          <w:p w14:paraId="5FFAAB00">
            <w:pPr>
              <w:keepNext w:val="0"/>
              <w:keepLines w:val="0"/>
              <w:widowControl/>
              <w:suppressLineNumbers w:val="0"/>
              <w:jc w:val="center"/>
              <w:textAlignment w:val="center"/>
              <w:rPr>
                <w:rFonts w:eastAsia="仿宋_GB2312"/>
                <w:b/>
                <w:bCs/>
                <w:color w:val="FF0000"/>
              </w:rPr>
            </w:pPr>
            <w:r>
              <w:rPr>
                <w:rFonts w:hint="default" w:ascii="仿宋_GB2312" w:hAnsi="宋体" w:eastAsia="仿宋_GB2312" w:cs="仿宋_GB2312"/>
                <w:i w:val="0"/>
                <w:iCs w:val="0"/>
                <w:color w:val="000000"/>
                <w:kern w:val="0"/>
                <w:sz w:val="21"/>
                <w:szCs w:val="21"/>
                <w:u w:val="none"/>
                <w:lang w:val="en-US" w:eastAsia="zh-CN" w:bidi="ar"/>
              </w:rPr>
              <w:t>投料废气</w:t>
            </w:r>
          </w:p>
        </w:tc>
        <w:tc>
          <w:tcPr>
            <w:tcW w:w="1497" w:type="pct"/>
            <w:vAlign w:val="center"/>
          </w:tcPr>
          <w:p w14:paraId="59C44E3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21"/>
                <w:szCs w:val="21"/>
                <w:u w:val="none"/>
                <w:lang w:val="en-US" w:eastAsia="zh-CN" w:bidi="ar"/>
              </w:rPr>
              <w:t>乙醇</w:t>
            </w:r>
          </w:p>
        </w:tc>
        <w:tc>
          <w:tcPr>
            <w:tcW w:w="1105" w:type="pct"/>
            <w:vAlign w:val="center"/>
          </w:tcPr>
          <w:p w14:paraId="2BDF204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0.098</w:t>
            </w:r>
          </w:p>
        </w:tc>
      </w:tr>
      <w:tr w14:paraId="660E60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7767A91C">
            <w:pPr>
              <w:jc w:val="center"/>
              <w:rPr>
                <w:rFonts w:eastAsia="仿宋_GB2312"/>
                <w:b/>
                <w:bCs/>
                <w:color w:val="FF0000"/>
              </w:rPr>
            </w:pPr>
          </w:p>
        </w:tc>
        <w:tc>
          <w:tcPr>
            <w:tcW w:w="729" w:type="pct"/>
            <w:vMerge w:val="continue"/>
            <w:vAlign w:val="center"/>
          </w:tcPr>
          <w:p w14:paraId="55533216">
            <w:pPr>
              <w:jc w:val="center"/>
              <w:rPr>
                <w:rFonts w:eastAsia="仿宋_GB2312"/>
                <w:b/>
                <w:bCs/>
                <w:color w:val="FF0000"/>
              </w:rPr>
            </w:pPr>
          </w:p>
        </w:tc>
        <w:tc>
          <w:tcPr>
            <w:tcW w:w="853" w:type="pct"/>
            <w:vMerge w:val="continue"/>
            <w:vAlign w:val="center"/>
          </w:tcPr>
          <w:p w14:paraId="6029B928">
            <w:pPr>
              <w:jc w:val="center"/>
              <w:rPr>
                <w:rFonts w:eastAsia="仿宋_GB2312"/>
                <w:b/>
                <w:bCs/>
                <w:color w:val="FF0000"/>
              </w:rPr>
            </w:pPr>
          </w:p>
        </w:tc>
        <w:tc>
          <w:tcPr>
            <w:tcW w:w="1497" w:type="pct"/>
            <w:vAlign w:val="center"/>
          </w:tcPr>
          <w:p w14:paraId="0FF8FBC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21"/>
                <w:szCs w:val="21"/>
                <w:u w:val="none"/>
                <w:lang w:val="en-US" w:eastAsia="zh-CN" w:bidi="ar"/>
              </w:rPr>
              <w:t>甲醇</w:t>
            </w:r>
          </w:p>
        </w:tc>
        <w:tc>
          <w:tcPr>
            <w:tcW w:w="1105" w:type="pct"/>
            <w:vAlign w:val="center"/>
          </w:tcPr>
          <w:p w14:paraId="15F82D6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0.00002</w:t>
            </w:r>
          </w:p>
        </w:tc>
      </w:tr>
      <w:tr w14:paraId="021D5A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5FF5C141">
            <w:pPr>
              <w:jc w:val="center"/>
              <w:rPr>
                <w:rFonts w:eastAsia="仿宋_GB2312"/>
                <w:b/>
                <w:bCs/>
                <w:color w:val="FF0000"/>
              </w:rPr>
            </w:pPr>
          </w:p>
        </w:tc>
        <w:tc>
          <w:tcPr>
            <w:tcW w:w="729" w:type="pct"/>
            <w:vMerge w:val="continue"/>
            <w:vAlign w:val="center"/>
          </w:tcPr>
          <w:p w14:paraId="1A045F49">
            <w:pPr>
              <w:jc w:val="center"/>
              <w:rPr>
                <w:rFonts w:eastAsia="仿宋_GB2312"/>
                <w:b/>
                <w:bCs/>
                <w:color w:val="FF0000"/>
              </w:rPr>
            </w:pPr>
          </w:p>
        </w:tc>
        <w:tc>
          <w:tcPr>
            <w:tcW w:w="853" w:type="pct"/>
            <w:vMerge w:val="continue"/>
            <w:vAlign w:val="center"/>
          </w:tcPr>
          <w:p w14:paraId="0C55B665">
            <w:pPr>
              <w:jc w:val="center"/>
              <w:rPr>
                <w:rFonts w:eastAsia="仿宋_GB2312"/>
                <w:b/>
                <w:bCs/>
                <w:color w:val="FF0000"/>
              </w:rPr>
            </w:pPr>
          </w:p>
        </w:tc>
        <w:tc>
          <w:tcPr>
            <w:tcW w:w="1497" w:type="pct"/>
            <w:vAlign w:val="center"/>
          </w:tcPr>
          <w:p w14:paraId="3B90466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21"/>
                <w:szCs w:val="21"/>
                <w:u w:val="none"/>
                <w:lang w:val="en-US" w:eastAsia="zh-CN" w:bidi="ar"/>
              </w:rPr>
              <w:t>其他有机物</w:t>
            </w:r>
          </w:p>
        </w:tc>
        <w:tc>
          <w:tcPr>
            <w:tcW w:w="1105" w:type="pct"/>
            <w:vAlign w:val="center"/>
          </w:tcPr>
          <w:p w14:paraId="6875555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0.002</w:t>
            </w:r>
          </w:p>
        </w:tc>
      </w:tr>
      <w:tr w14:paraId="74E4B9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40E0F78E">
            <w:pPr>
              <w:jc w:val="center"/>
              <w:rPr>
                <w:rFonts w:eastAsia="仿宋_GB2312"/>
                <w:b/>
                <w:bCs/>
                <w:color w:val="FF0000"/>
              </w:rPr>
            </w:pPr>
          </w:p>
        </w:tc>
        <w:tc>
          <w:tcPr>
            <w:tcW w:w="729" w:type="pct"/>
            <w:vMerge w:val="restart"/>
            <w:vAlign w:val="center"/>
          </w:tcPr>
          <w:p w14:paraId="7E5D7D93">
            <w:pPr>
              <w:keepNext w:val="0"/>
              <w:keepLines w:val="0"/>
              <w:widowControl/>
              <w:suppressLineNumbers w:val="0"/>
              <w:jc w:val="center"/>
              <w:textAlignment w:val="center"/>
              <w:rPr>
                <w:rFonts w:eastAsia="仿宋_GB2312"/>
                <w:b/>
                <w:bCs/>
                <w:color w:val="FF0000"/>
              </w:rPr>
            </w:pPr>
            <w:r>
              <w:rPr>
                <w:rFonts w:hint="default" w:ascii="Times New Roman" w:hAnsi="Times New Roman" w:eastAsia="宋体" w:cs="Times New Roman"/>
                <w:i w:val="0"/>
                <w:iCs w:val="0"/>
                <w:color w:val="000000"/>
                <w:kern w:val="0"/>
                <w:sz w:val="21"/>
                <w:szCs w:val="21"/>
                <w:u w:val="none"/>
                <w:lang w:val="en-US" w:eastAsia="zh-CN" w:bidi="ar"/>
              </w:rPr>
              <w:t>G3-5-5</w:t>
            </w:r>
          </w:p>
        </w:tc>
        <w:tc>
          <w:tcPr>
            <w:tcW w:w="853" w:type="pct"/>
            <w:vMerge w:val="restart"/>
            <w:vAlign w:val="center"/>
          </w:tcPr>
          <w:p w14:paraId="23E68BB6">
            <w:pPr>
              <w:keepNext w:val="0"/>
              <w:keepLines w:val="0"/>
              <w:widowControl/>
              <w:suppressLineNumbers w:val="0"/>
              <w:jc w:val="center"/>
              <w:textAlignment w:val="center"/>
              <w:rPr>
                <w:rFonts w:eastAsia="仿宋_GB2312"/>
                <w:b/>
                <w:bCs/>
                <w:color w:val="FF0000"/>
              </w:rPr>
            </w:pPr>
            <w:r>
              <w:rPr>
                <w:rFonts w:hint="default" w:ascii="仿宋_GB2312" w:hAnsi="宋体" w:eastAsia="仿宋_GB2312" w:cs="仿宋_GB2312"/>
                <w:i w:val="0"/>
                <w:iCs w:val="0"/>
                <w:color w:val="000000"/>
                <w:kern w:val="0"/>
                <w:sz w:val="21"/>
                <w:szCs w:val="21"/>
                <w:u w:val="none"/>
                <w:lang w:val="en-US" w:eastAsia="zh-CN" w:bidi="ar"/>
              </w:rPr>
              <w:t>灌装废气</w:t>
            </w:r>
          </w:p>
        </w:tc>
        <w:tc>
          <w:tcPr>
            <w:tcW w:w="1497" w:type="pct"/>
            <w:vAlign w:val="center"/>
          </w:tcPr>
          <w:p w14:paraId="71EFE0D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21"/>
                <w:szCs w:val="21"/>
                <w:u w:val="none"/>
                <w:lang w:val="en-US" w:eastAsia="zh-CN" w:bidi="ar"/>
              </w:rPr>
              <w:t>乙醇</w:t>
            </w:r>
          </w:p>
        </w:tc>
        <w:tc>
          <w:tcPr>
            <w:tcW w:w="1105" w:type="pct"/>
            <w:vAlign w:val="center"/>
          </w:tcPr>
          <w:p w14:paraId="4A3D57B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0.143</w:t>
            </w:r>
          </w:p>
        </w:tc>
      </w:tr>
      <w:tr w14:paraId="23F955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33633A9C">
            <w:pPr>
              <w:jc w:val="center"/>
              <w:rPr>
                <w:rFonts w:eastAsia="仿宋_GB2312"/>
                <w:b/>
                <w:bCs/>
                <w:color w:val="FF0000"/>
              </w:rPr>
            </w:pPr>
          </w:p>
        </w:tc>
        <w:tc>
          <w:tcPr>
            <w:tcW w:w="729" w:type="pct"/>
            <w:vMerge w:val="continue"/>
            <w:vAlign w:val="center"/>
          </w:tcPr>
          <w:p w14:paraId="11439767">
            <w:pPr>
              <w:jc w:val="center"/>
              <w:rPr>
                <w:rFonts w:eastAsia="仿宋_GB2312"/>
                <w:b/>
                <w:bCs/>
                <w:color w:val="FF0000"/>
              </w:rPr>
            </w:pPr>
          </w:p>
        </w:tc>
        <w:tc>
          <w:tcPr>
            <w:tcW w:w="853" w:type="pct"/>
            <w:vMerge w:val="continue"/>
            <w:vAlign w:val="center"/>
          </w:tcPr>
          <w:p w14:paraId="229B9906">
            <w:pPr>
              <w:jc w:val="center"/>
              <w:rPr>
                <w:rFonts w:eastAsia="仿宋_GB2312"/>
                <w:b/>
                <w:bCs/>
                <w:color w:val="FF0000"/>
              </w:rPr>
            </w:pPr>
          </w:p>
        </w:tc>
        <w:tc>
          <w:tcPr>
            <w:tcW w:w="1497" w:type="pct"/>
            <w:vAlign w:val="center"/>
          </w:tcPr>
          <w:p w14:paraId="1ADF9DA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21"/>
                <w:szCs w:val="21"/>
                <w:u w:val="none"/>
                <w:lang w:val="en-US" w:eastAsia="zh-CN" w:bidi="ar"/>
              </w:rPr>
              <w:t>甲醇</w:t>
            </w:r>
          </w:p>
        </w:tc>
        <w:tc>
          <w:tcPr>
            <w:tcW w:w="1105" w:type="pct"/>
            <w:vAlign w:val="center"/>
          </w:tcPr>
          <w:p w14:paraId="65F3584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0.00002</w:t>
            </w:r>
          </w:p>
        </w:tc>
      </w:tr>
      <w:tr w14:paraId="0FE329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5423B775">
            <w:pPr>
              <w:jc w:val="center"/>
              <w:rPr>
                <w:rFonts w:eastAsia="仿宋_GB2312"/>
                <w:b/>
                <w:bCs/>
                <w:color w:val="FF0000"/>
              </w:rPr>
            </w:pPr>
          </w:p>
        </w:tc>
        <w:tc>
          <w:tcPr>
            <w:tcW w:w="729" w:type="pct"/>
            <w:vMerge w:val="restart"/>
            <w:vAlign w:val="center"/>
          </w:tcPr>
          <w:p w14:paraId="7BB44DF6">
            <w:pPr>
              <w:keepNext w:val="0"/>
              <w:keepLines w:val="0"/>
              <w:widowControl/>
              <w:suppressLineNumbers w:val="0"/>
              <w:jc w:val="center"/>
              <w:textAlignment w:val="center"/>
              <w:rPr>
                <w:rFonts w:eastAsia="仿宋_GB2312"/>
                <w:b/>
                <w:bCs/>
                <w:color w:val="FF0000"/>
              </w:rPr>
            </w:pPr>
            <w:r>
              <w:rPr>
                <w:rFonts w:hint="default" w:ascii="Times New Roman" w:hAnsi="Times New Roman" w:eastAsia="宋体" w:cs="Times New Roman"/>
                <w:i w:val="0"/>
                <w:iCs w:val="0"/>
                <w:color w:val="000000"/>
                <w:kern w:val="0"/>
                <w:sz w:val="21"/>
                <w:szCs w:val="21"/>
                <w:u w:val="none"/>
                <w:lang w:val="en-US" w:eastAsia="zh-CN" w:bidi="ar"/>
              </w:rPr>
              <w:t>G3-6-1</w:t>
            </w:r>
          </w:p>
        </w:tc>
        <w:tc>
          <w:tcPr>
            <w:tcW w:w="853" w:type="pct"/>
            <w:vMerge w:val="restart"/>
            <w:vAlign w:val="center"/>
          </w:tcPr>
          <w:p w14:paraId="128DC020">
            <w:pPr>
              <w:keepNext w:val="0"/>
              <w:keepLines w:val="0"/>
              <w:widowControl/>
              <w:suppressLineNumbers w:val="0"/>
              <w:jc w:val="center"/>
              <w:textAlignment w:val="center"/>
              <w:rPr>
                <w:rFonts w:eastAsia="仿宋_GB2312"/>
                <w:b/>
                <w:bCs/>
                <w:color w:val="FF0000"/>
              </w:rPr>
            </w:pPr>
            <w:r>
              <w:rPr>
                <w:rFonts w:hint="default" w:ascii="仿宋_GB2312" w:hAnsi="宋体" w:eastAsia="仿宋_GB2312" w:cs="仿宋_GB2312"/>
                <w:i w:val="0"/>
                <w:iCs w:val="0"/>
                <w:color w:val="000000"/>
                <w:kern w:val="0"/>
                <w:sz w:val="21"/>
                <w:szCs w:val="21"/>
                <w:u w:val="none"/>
                <w:lang w:val="en-US" w:eastAsia="zh-CN" w:bidi="ar"/>
              </w:rPr>
              <w:t>投料废气</w:t>
            </w:r>
          </w:p>
        </w:tc>
        <w:tc>
          <w:tcPr>
            <w:tcW w:w="1497" w:type="pct"/>
            <w:vAlign w:val="center"/>
          </w:tcPr>
          <w:p w14:paraId="39DFA50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21"/>
                <w:szCs w:val="21"/>
                <w:u w:val="none"/>
                <w:lang w:val="en-US" w:eastAsia="zh-CN" w:bidi="ar"/>
              </w:rPr>
              <w:t>丙二醇单甲醚</w:t>
            </w:r>
          </w:p>
        </w:tc>
        <w:tc>
          <w:tcPr>
            <w:tcW w:w="1105" w:type="pct"/>
            <w:vAlign w:val="center"/>
          </w:tcPr>
          <w:p w14:paraId="1A03436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0.011</w:t>
            </w:r>
          </w:p>
        </w:tc>
      </w:tr>
      <w:tr w14:paraId="219604E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1AEF3956">
            <w:pPr>
              <w:jc w:val="center"/>
              <w:rPr>
                <w:rFonts w:eastAsia="仿宋_GB2312"/>
                <w:b/>
                <w:bCs/>
                <w:color w:val="FF0000"/>
              </w:rPr>
            </w:pPr>
          </w:p>
        </w:tc>
        <w:tc>
          <w:tcPr>
            <w:tcW w:w="729" w:type="pct"/>
            <w:vMerge w:val="continue"/>
            <w:vAlign w:val="center"/>
          </w:tcPr>
          <w:p w14:paraId="37E7D1B6">
            <w:pPr>
              <w:jc w:val="center"/>
              <w:rPr>
                <w:rFonts w:eastAsia="仿宋_GB2312"/>
                <w:b/>
                <w:bCs/>
                <w:color w:val="FF0000"/>
              </w:rPr>
            </w:pPr>
          </w:p>
        </w:tc>
        <w:tc>
          <w:tcPr>
            <w:tcW w:w="853" w:type="pct"/>
            <w:vMerge w:val="continue"/>
            <w:vAlign w:val="center"/>
          </w:tcPr>
          <w:p w14:paraId="6C585801">
            <w:pPr>
              <w:jc w:val="center"/>
              <w:rPr>
                <w:rFonts w:eastAsia="仿宋_GB2312"/>
                <w:b/>
                <w:bCs/>
                <w:color w:val="FF0000"/>
              </w:rPr>
            </w:pPr>
          </w:p>
        </w:tc>
        <w:tc>
          <w:tcPr>
            <w:tcW w:w="1497" w:type="pct"/>
            <w:vAlign w:val="center"/>
          </w:tcPr>
          <w:p w14:paraId="5AD5746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w:t>
            </w:r>
            <w:r>
              <w:rPr>
                <w:rFonts w:hint="default" w:ascii="仿宋_GB2312" w:hAnsi="Times New Roman" w:eastAsia="仿宋_GB2312" w:cs="仿宋_GB2312"/>
                <w:i w:val="0"/>
                <w:iCs w:val="0"/>
                <w:color w:val="000000"/>
                <w:kern w:val="0"/>
                <w:sz w:val="21"/>
                <w:szCs w:val="21"/>
                <w:u w:val="none"/>
                <w:lang w:val="en-US" w:eastAsia="zh-CN" w:bidi="ar"/>
              </w:rPr>
              <w:t>甲氧基</w:t>
            </w:r>
            <w:r>
              <w:rPr>
                <w:rFonts w:hint="default" w:ascii="Times New Roman" w:hAnsi="Times New Roman" w:eastAsia="宋体" w:cs="Times New Roman"/>
                <w:i w:val="0"/>
                <w:iCs w:val="0"/>
                <w:color w:val="000000"/>
                <w:kern w:val="0"/>
                <w:sz w:val="21"/>
                <w:szCs w:val="21"/>
                <w:u w:val="none"/>
                <w:lang w:val="en-US" w:eastAsia="zh-CN" w:bidi="ar"/>
              </w:rPr>
              <w:t>-1-</w:t>
            </w:r>
            <w:r>
              <w:rPr>
                <w:rFonts w:hint="default" w:ascii="仿宋_GB2312" w:hAnsi="Times New Roman" w:eastAsia="仿宋_GB2312" w:cs="仿宋_GB2312"/>
                <w:i w:val="0"/>
                <w:iCs w:val="0"/>
                <w:color w:val="000000"/>
                <w:kern w:val="0"/>
                <w:sz w:val="21"/>
                <w:szCs w:val="21"/>
                <w:u w:val="none"/>
                <w:lang w:val="en-US" w:eastAsia="zh-CN" w:bidi="ar"/>
              </w:rPr>
              <w:t>丙醇</w:t>
            </w:r>
          </w:p>
        </w:tc>
        <w:tc>
          <w:tcPr>
            <w:tcW w:w="1105" w:type="pct"/>
            <w:vAlign w:val="center"/>
          </w:tcPr>
          <w:p w14:paraId="4FE1C26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0.0001</w:t>
            </w:r>
          </w:p>
        </w:tc>
      </w:tr>
      <w:tr w14:paraId="590B13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1875F172">
            <w:pPr>
              <w:jc w:val="center"/>
              <w:rPr>
                <w:rFonts w:eastAsia="仿宋_GB2312"/>
                <w:b/>
                <w:bCs/>
                <w:color w:val="FF0000"/>
              </w:rPr>
            </w:pPr>
          </w:p>
        </w:tc>
        <w:tc>
          <w:tcPr>
            <w:tcW w:w="729" w:type="pct"/>
            <w:vMerge w:val="continue"/>
            <w:vAlign w:val="center"/>
          </w:tcPr>
          <w:p w14:paraId="1979EEAC">
            <w:pPr>
              <w:jc w:val="center"/>
              <w:rPr>
                <w:rFonts w:eastAsia="仿宋_GB2312"/>
                <w:b/>
                <w:bCs/>
                <w:color w:val="FF0000"/>
              </w:rPr>
            </w:pPr>
          </w:p>
        </w:tc>
        <w:tc>
          <w:tcPr>
            <w:tcW w:w="853" w:type="pct"/>
            <w:vMerge w:val="continue"/>
            <w:vAlign w:val="center"/>
          </w:tcPr>
          <w:p w14:paraId="7CC06C3F">
            <w:pPr>
              <w:jc w:val="center"/>
              <w:rPr>
                <w:rFonts w:eastAsia="仿宋_GB2312"/>
                <w:b/>
                <w:bCs/>
                <w:color w:val="FF0000"/>
              </w:rPr>
            </w:pPr>
          </w:p>
        </w:tc>
        <w:tc>
          <w:tcPr>
            <w:tcW w:w="1497" w:type="pct"/>
            <w:vAlign w:val="center"/>
          </w:tcPr>
          <w:p w14:paraId="1EEBC03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21"/>
                <w:szCs w:val="21"/>
                <w:u w:val="none"/>
                <w:lang w:val="en-US" w:eastAsia="zh-CN" w:bidi="ar"/>
              </w:rPr>
              <w:t>其他有机物</w:t>
            </w:r>
          </w:p>
        </w:tc>
        <w:tc>
          <w:tcPr>
            <w:tcW w:w="1105" w:type="pct"/>
            <w:vAlign w:val="center"/>
          </w:tcPr>
          <w:p w14:paraId="334289E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0.0001</w:t>
            </w:r>
          </w:p>
        </w:tc>
      </w:tr>
      <w:tr w14:paraId="71436C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007B962F">
            <w:pPr>
              <w:jc w:val="center"/>
              <w:rPr>
                <w:rFonts w:eastAsia="仿宋_GB2312"/>
                <w:b/>
                <w:bCs/>
                <w:color w:val="FF0000"/>
              </w:rPr>
            </w:pPr>
          </w:p>
        </w:tc>
        <w:tc>
          <w:tcPr>
            <w:tcW w:w="729" w:type="pct"/>
            <w:vMerge w:val="restart"/>
            <w:vAlign w:val="center"/>
          </w:tcPr>
          <w:p w14:paraId="1E9AD073">
            <w:pPr>
              <w:keepNext w:val="0"/>
              <w:keepLines w:val="0"/>
              <w:widowControl/>
              <w:suppressLineNumbers w:val="0"/>
              <w:jc w:val="center"/>
              <w:textAlignment w:val="center"/>
              <w:rPr>
                <w:rFonts w:eastAsia="仿宋_GB2312"/>
                <w:b/>
                <w:bCs/>
                <w:color w:val="FF0000"/>
              </w:rPr>
            </w:pPr>
            <w:r>
              <w:rPr>
                <w:rFonts w:hint="default" w:ascii="Times New Roman" w:hAnsi="Times New Roman" w:eastAsia="宋体" w:cs="Times New Roman"/>
                <w:i w:val="0"/>
                <w:iCs w:val="0"/>
                <w:color w:val="000000"/>
                <w:kern w:val="0"/>
                <w:sz w:val="21"/>
                <w:szCs w:val="21"/>
                <w:u w:val="none"/>
                <w:lang w:val="en-US" w:eastAsia="zh-CN" w:bidi="ar"/>
              </w:rPr>
              <w:t>G3-6-5</w:t>
            </w:r>
          </w:p>
        </w:tc>
        <w:tc>
          <w:tcPr>
            <w:tcW w:w="853" w:type="pct"/>
            <w:vMerge w:val="restart"/>
            <w:vAlign w:val="center"/>
          </w:tcPr>
          <w:p w14:paraId="00CBE901">
            <w:pPr>
              <w:keepNext w:val="0"/>
              <w:keepLines w:val="0"/>
              <w:widowControl/>
              <w:suppressLineNumbers w:val="0"/>
              <w:jc w:val="center"/>
              <w:textAlignment w:val="center"/>
              <w:rPr>
                <w:rFonts w:eastAsia="仿宋_GB2312"/>
                <w:b/>
                <w:bCs/>
                <w:color w:val="FF0000"/>
              </w:rPr>
            </w:pPr>
            <w:r>
              <w:rPr>
                <w:rFonts w:hint="default" w:ascii="仿宋_GB2312" w:hAnsi="宋体" w:eastAsia="仿宋_GB2312" w:cs="仿宋_GB2312"/>
                <w:i w:val="0"/>
                <w:iCs w:val="0"/>
                <w:color w:val="000000"/>
                <w:kern w:val="0"/>
                <w:sz w:val="21"/>
                <w:szCs w:val="21"/>
                <w:u w:val="none"/>
                <w:lang w:val="en-US" w:eastAsia="zh-CN" w:bidi="ar"/>
              </w:rPr>
              <w:t>灌装废气</w:t>
            </w:r>
          </w:p>
        </w:tc>
        <w:tc>
          <w:tcPr>
            <w:tcW w:w="1497" w:type="pct"/>
            <w:vAlign w:val="center"/>
          </w:tcPr>
          <w:p w14:paraId="0DF84A2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21"/>
                <w:szCs w:val="21"/>
                <w:u w:val="none"/>
                <w:lang w:val="en-US" w:eastAsia="zh-CN" w:bidi="ar"/>
              </w:rPr>
              <w:t>丙二醇单甲醚</w:t>
            </w:r>
          </w:p>
        </w:tc>
        <w:tc>
          <w:tcPr>
            <w:tcW w:w="1105" w:type="pct"/>
            <w:vAlign w:val="center"/>
          </w:tcPr>
          <w:p w14:paraId="54630A7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0.018</w:t>
            </w:r>
          </w:p>
        </w:tc>
      </w:tr>
      <w:tr w14:paraId="574C718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7A2A9C54">
            <w:pPr>
              <w:jc w:val="center"/>
              <w:rPr>
                <w:rFonts w:eastAsia="仿宋_GB2312"/>
                <w:b/>
                <w:bCs/>
                <w:color w:val="FF0000"/>
              </w:rPr>
            </w:pPr>
          </w:p>
        </w:tc>
        <w:tc>
          <w:tcPr>
            <w:tcW w:w="729" w:type="pct"/>
            <w:vMerge w:val="continue"/>
            <w:vAlign w:val="center"/>
          </w:tcPr>
          <w:p w14:paraId="12C8D632">
            <w:pPr>
              <w:jc w:val="center"/>
              <w:rPr>
                <w:rFonts w:eastAsia="仿宋_GB2312"/>
                <w:b/>
                <w:bCs/>
                <w:color w:val="FF0000"/>
              </w:rPr>
            </w:pPr>
          </w:p>
        </w:tc>
        <w:tc>
          <w:tcPr>
            <w:tcW w:w="853" w:type="pct"/>
            <w:vMerge w:val="continue"/>
            <w:vAlign w:val="center"/>
          </w:tcPr>
          <w:p w14:paraId="10B064E0">
            <w:pPr>
              <w:jc w:val="center"/>
              <w:rPr>
                <w:rFonts w:eastAsia="仿宋_GB2312"/>
                <w:b/>
                <w:bCs/>
                <w:color w:val="FF0000"/>
              </w:rPr>
            </w:pPr>
          </w:p>
        </w:tc>
        <w:tc>
          <w:tcPr>
            <w:tcW w:w="1497" w:type="pct"/>
            <w:vAlign w:val="center"/>
          </w:tcPr>
          <w:p w14:paraId="16E1920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w:t>
            </w:r>
            <w:r>
              <w:rPr>
                <w:rFonts w:hint="default" w:ascii="仿宋_GB2312" w:hAnsi="Times New Roman" w:eastAsia="仿宋_GB2312" w:cs="仿宋_GB2312"/>
                <w:i w:val="0"/>
                <w:iCs w:val="0"/>
                <w:color w:val="000000"/>
                <w:kern w:val="0"/>
                <w:sz w:val="21"/>
                <w:szCs w:val="21"/>
                <w:u w:val="none"/>
                <w:lang w:val="en-US" w:eastAsia="zh-CN" w:bidi="ar"/>
              </w:rPr>
              <w:t>甲氧基</w:t>
            </w:r>
            <w:r>
              <w:rPr>
                <w:rFonts w:hint="default" w:ascii="Times New Roman" w:hAnsi="Times New Roman" w:eastAsia="宋体" w:cs="Times New Roman"/>
                <w:i w:val="0"/>
                <w:iCs w:val="0"/>
                <w:color w:val="000000"/>
                <w:kern w:val="0"/>
                <w:sz w:val="21"/>
                <w:szCs w:val="21"/>
                <w:u w:val="none"/>
                <w:lang w:val="en-US" w:eastAsia="zh-CN" w:bidi="ar"/>
              </w:rPr>
              <w:t>-1-</w:t>
            </w:r>
            <w:r>
              <w:rPr>
                <w:rFonts w:hint="default" w:ascii="仿宋_GB2312" w:hAnsi="Times New Roman" w:eastAsia="仿宋_GB2312" w:cs="仿宋_GB2312"/>
                <w:i w:val="0"/>
                <w:iCs w:val="0"/>
                <w:color w:val="000000"/>
                <w:kern w:val="0"/>
                <w:sz w:val="21"/>
                <w:szCs w:val="21"/>
                <w:u w:val="none"/>
                <w:lang w:val="en-US" w:eastAsia="zh-CN" w:bidi="ar"/>
              </w:rPr>
              <w:t>丙醇</w:t>
            </w:r>
          </w:p>
        </w:tc>
        <w:tc>
          <w:tcPr>
            <w:tcW w:w="1105" w:type="pct"/>
            <w:vAlign w:val="center"/>
          </w:tcPr>
          <w:p w14:paraId="013CEFC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0.0001</w:t>
            </w:r>
          </w:p>
        </w:tc>
      </w:tr>
      <w:tr w14:paraId="58C423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109C92B4">
            <w:pPr>
              <w:jc w:val="center"/>
              <w:rPr>
                <w:rFonts w:eastAsia="仿宋_GB2312"/>
                <w:b/>
                <w:bCs/>
                <w:color w:val="FF0000"/>
              </w:rPr>
            </w:pPr>
          </w:p>
        </w:tc>
        <w:tc>
          <w:tcPr>
            <w:tcW w:w="729" w:type="pct"/>
            <w:vMerge w:val="restart"/>
            <w:vAlign w:val="center"/>
          </w:tcPr>
          <w:p w14:paraId="3A49EA74">
            <w:pPr>
              <w:keepNext w:val="0"/>
              <w:keepLines w:val="0"/>
              <w:widowControl/>
              <w:suppressLineNumbers w:val="0"/>
              <w:jc w:val="center"/>
              <w:textAlignment w:val="center"/>
              <w:rPr>
                <w:rFonts w:eastAsia="仿宋_GB2312"/>
                <w:b/>
                <w:bCs/>
                <w:color w:val="FF0000"/>
              </w:rPr>
            </w:pPr>
            <w:r>
              <w:rPr>
                <w:rFonts w:hint="default" w:ascii="Times New Roman" w:hAnsi="Times New Roman" w:eastAsia="宋体" w:cs="Times New Roman"/>
                <w:i w:val="0"/>
                <w:iCs w:val="0"/>
                <w:color w:val="000000"/>
                <w:kern w:val="0"/>
                <w:sz w:val="21"/>
                <w:szCs w:val="21"/>
                <w:u w:val="none"/>
                <w:lang w:val="en-US" w:eastAsia="zh-CN" w:bidi="ar"/>
              </w:rPr>
              <w:t>G3-7-1</w:t>
            </w:r>
          </w:p>
        </w:tc>
        <w:tc>
          <w:tcPr>
            <w:tcW w:w="853" w:type="pct"/>
            <w:vMerge w:val="restart"/>
            <w:vAlign w:val="center"/>
          </w:tcPr>
          <w:p w14:paraId="68E5D81A">
            <w:pPr>
              <w:keepNext w:val="0"/>
              <w:keepLines w:val="0"/>
              <w:widowControl/>
              <w:suppressLineNumbers w:val="0"/>
              <w:jc w:val="center"/>
              <w:textAlignment w:val="center"/>
              <w:rPr>
                <w:rFonts w:eastAsia="仿宋_GB2312"/>
                <w:b/>
                <w:bCs/>
                <w:color w:val="FF0000"/>
              </w:rPr>
            </w:pPr>
            <w:r>
              <w:rPr>
                <w:rFonts w:hint="default" w:ascii="仿宋_GB2312" w:hAnsi="宋体" w:eastAsia="仿宋_GB2312" w:cs="仿宋_GB2312"/>
                <w:i w:val="0"/>
                <w:iCs w:val="0"/>
                <w:color w:val="000000"/>
                <w:kern w:val="0"/>
                <w:sz w:val="21"/>
                <w:szCs w:val="21"/>
                <w:u w:val="none"/>
                <w:lang w:val="en-US" w:eastAsia="zh-CN" w:bidi="ar"/>
              </w:rPr>
              <w:t>投料废气</w:t>
            </w:r>
          </w:p>
        </w:tc>
        <w:tc>
          <w:tcPr>
            <w:tcW w:w="1497" w:type="pct"/>
            <w:vAlign w:val="center"/>
          </w:tcPr>
          <w:p w14:paraId="5E91F8E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21"/>
                <w:szCs w:val="21"/>
                <w:u w:val="none"/>
                <w:lang w:val="en-US" w:eastAsia="zh-CN" w:bidi="ar"/>
              </w:rPr>
              <w:t>甲醇</w:t>
            </w:r>
          </w:p>
        </w:tc>
        <w:tc>
          <w:tcPr>
            <w:tcW w:w="1105" w:type="pct"/>
            <w:vAlign w:val="center"/>
          </w:tcPr>
          <w:p w14:paraId="1F52E33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0.182</w:t>
            </w:r>
          </w:p>
        </w:tc>
      </w:tr>
      <w:tr w14:paraId="367C84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3489D892">
            <w:pPr>
              <w:jc w:val="center"/>
              <w:rPr>
                <w:rFonts w:eastAsia="仿宋_GB2312"/>
                <w:b/>
                <w:bCs/>
                <w:color w:val="FF0000"/>
              </w:rPr>
            </w:pPr>
          </w:p>
        </w:tc>
        <w:tc>
          <w:tcPr>
            <w:tcW w:w="729" w:type="pct"/>
            <w:vMerge w:val="continue"/>
            <w:vAlign w:val="center"/>
          </w:tcPr>
          <w:p w14:paraId="4AF04C22">
            <w:pPr>
              <w:jc w:val="center"/>
              <w:rPr>
                <w:rFonts w:eastAsia="仿宋_GB2312"/>
                <w:b/>
                <w:bCs/>
                <w:color w:val="FF0000"/>
              </w:rPr>
            </w:pPr>
          </w:p>
        </w:tc>
        <w:tc>
          <w:tcPr>
            <w:tcW w:w="853" w:type="pct"/>
            <w:vMerge w:val="continue"/>
            <w:vAlign w:val="center"/>
          </w:tcPr>
          <w:p w14:paraId="0A242652">
            <w:pPr>
              <w:jc w:val="center"/>
              <w:rPr>
                <w:rFonts w:eastAsia="仿宋_GB2312"/>
                <w:b/>
                <w:bCs/>
                <w:color w:val="FF0000"/>
              </w:rPr>
            </w:pPr>
          </w:p>
        </w:tc>
        <w:tc>
          <w:tcPr>
            <w:tcW w:w="1497" w:type="pct"/>
            <w:vAlign w:val="center"/>
          </w:tcPr>
          <w:p w14:paraId="05F1D13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21"/>
                <w:szCs w:val="21"/>
                <w:u w:val="none"/>
                <w:lang w:val="en-US" w:eastAsia="zh-CN" w:bidi="ar"/>
              </w:rPr>
              <w:t>其他有机物</w:t>
            </w:r>
          </w:p>
        </w:tc>
        <w:tc>
          <w:tcPr>
            <w:tcW w:w="1105" w:type="pct"/>
            <w:vAlign w:val="center"/>
          </w:tcPr>
          <w:p w14:paraId="45547A7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0.002</w:t>
            </w:r>
          </w:p>
        </w:tc>
      </w:tr>
      <w:tr w14:paraId="373339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4A1192F6">
            <w:pPr>
              <w:jc w:val="center"/>
              <w:rPr>
                <w:rFonts w:eastAsia="仿宋_GB2312"/>
                <w:b/>
                <w:bCs/>
                <w:color w:val="FF0000"/>
              </w:rPr>
            </w:pPr>
          </w:p>
        </w:tc>
        <w:tc>
          <w:tcPr>
            <w:tcW w:w="729" w:type="pct"/>
            <w:vAlign w:val="center"/>
          </w:tcPr>
          <w:p w14:paraId="166A8C30">
            <w:pPr>
              <w:keepNext w:val="0"/>
              <w:keepLines w:val="0"/>
              <w:widowControl/>
              <w:suppressLineNumbers w:val="0"/>
              <w:jc w:val="center"/>
              <w:textAlignment w:val="center"/>
              <w:rPr>
                <w:rFonts w:eastAsia="仿宋_GB2312"/>
                <w:b/>
                <w:bCs/>
                <w:color w:val="FF0000"/>
              </w:rPr>
            </w:pPr>
            <w:r>
              <w:rPr>
                <w:rFonts w:hint="default" w:ascii="Times New Roman" w:hAnsi="Times New Roman" w:eastAsia="宋体" w:cs="Times New Roman"/>
                <w:i w:val="0"/>
                <w:iCs w:val="0"/>
                <w:color w:val="000000"/>
                <w:kern w:val="0"/>
                <w:sz w:val="21"/>
                <w:szCs w:val="21"/>
                <w:u w:val="none"/>
                <w:lang w:val="en-US" w:eastAsia="zh-CN" w:bidi="ar"/>
              </w:rPr>
              <w:t>G3-7-5</w:t>
            </w:r>
          </w:p>
        </w:tc>
        <w:tc>
          <w:tcPr>
            <w:tcW w:w="853" w:type="pct"/>
            <w:vAlign w:val="center"/>
          </w:tcPr>
          <w:p w14:paraId="1093BA27">
            <w:pPr>
              <w:keepNext w:val="0"/>
              <w:keepLines w:val="0"/>
              <w:widowControl/>
              <w:suppressLineNumbers w:val="0"/>
              <w:jc w:val="center"/>
              <w:textAlignment w:val="center"/>
              <w:rPr>
                <w:rFonts w:eastAsia="仿宋_GB2312"/>
                <w:b/>
                <w:bCs/>
                <w:color w:val="FF0000"/>
              </w:rPr>
            </w:pPr>
            <w:r>
              <w:rPr>
                <w:rFonts w:hint="default" w:ascii="仿宋_GB2312" w:hAnsi="宋体" w:eastAsia="仿宋_GB2312" w:cs="仿宋_GB2312"/>
                <w:i w:val="0"/>
                <w:iCs w:val="0"/>
                <w:color w:val="000000"/>
                <w:kern w:val="0"/>
                <w:sz w:val="21"/>
                <w:szCs w:val="21"/>
                <w:u w:val="none"/>
                <w:lang w:val="en-US" w:eastAsia="zh-CN" w:bidi="ar"/>
              </w:rPr>
              <w:t>灌装废气</w:t>
            </w:r>
          </w:p>
        </w:tc>
        <w:tc>
          <w:tcPr>
            <w:tcW w:w="1497" w:type="pct"/>
            <w:vAlign w:val="center"/>
          </w:tcPr>
          <w:p w14:paraId="4D70CB3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21"/>
                <w:szCs w:val="21"/>
                <w:u w:val="none"/>
                <w:lang w:val="en-US" w:eastAsia="zh-CN" w:bidi="ar"/>
              </w:rPr>
              <w:t>甲醇</w:t>
            </w:r>
          </w:p>
        </w:tc>
        <w:tc>
          <w:tcPr>
            <w:tcW w:w="1105" w:type="pct"/>
            <w:vAlign w:val="center"/>
          </w:tcPr>
          <w:p w14:paraId="211B318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0.266</w:t>
            </w:r>
          </w:p>
        </w:tc>
      </w:tr>
      <w:tr w14:paraId="48255E9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1485BE9D">
            <w:pPr>
              <w:jc w:val="center"/>
              <w:rPr>
                <w:rFonts w:eastAsia="仿宋_GB2312"/>
                <w:b/>
                <w:bCs/>
                <w:color w:val="FF0000"/>
              </w:rPr>
            </w:pPr>
          </w:p>
        </w:tc>
        <w:tc>
          <w:tcPr>
            <w:tcW w:w="729" w:type="pct"/>
            <w:vMerge w:val="restart"/>
            <w:vAlign w:val="center"/>
          </w:tcPr>
          <w:p w14:paraId="292A7D65">
            <w:pPr>
              <w:keepNext w:val="0"/>
              <w:keepLines w:val="0"/>
              <w:widowControl/>
              <w:suppressLineNumbers w:val="0"/>
              <w:jc w:val="center"/>
              <w:textAlignment w:val="center"/>
              <w:rPr>
                <w:rFonts w:eastAsia="仿宋_GB2312"/>
                <w:b/>
                <w:bCs/>
                <w:color w:val="FF0000"/>
              </w:rPr>
            </w:pPr>
            <w:r>
              <w:rPr>
                <w:rFonts w:hint="default" w:ascii="Times New Roman" w:hAnsi="Times New Roman" w:eastAsia="宋体" w:cs="Times New Roman"/>
                <w:i w:val="0"/>
                <w:iCs w:val="0"/>
                <w:color w:val="000000"/>
                <w:kern w:val="0"/>
                <w:sz w:val="21"/>
                <w:szCs w:val="21"/>
                <w:u w:val="none"/>
                <w:lang w:val="en-US" w:eastAsia="zh-CN" w:bidi="ar"/>
              </w:rPr>
              <w:t>G3-8-1</w:t>
            </w:r>
          </w:p>
        </w:tc>
        <w:tc>
          <w:tcPr>
            <w:tcW w:w="853" w:type="pct"/>
            <w:vMerge w:val="restart"/>
            <w:vAlign w:val="center"/>
          </w:tcPr>
          <w:p w14:paraId="444DEB6D">
            <w:pPr>
              <w:keepNext w:val="0"/>
              <w:keepLines w:val="0"/>
              <w:widowControl/>
              <w:suppressLineNumbers w:val="0"/>
              <w:jc w:val="center"/>
              <w:textAlignment w:val="center"/>
              <w:rPr>
                <w:rFonts w:eastAsia="仿宋_GB2312"/>
                <w:b/>
                <w:bCs/>
                <w:color w:val="FF0000"/>
              </w:rPr>
            </w:pPr>
            <w:r>
              <w:rPr>
                <w:rFonts w:hint="default" w:ascii="仿宋_GB2312" w:hAnsi="宋体" w:eastAsia="仿宋_GB2312" w:cs="仿宋_GB2312"/>
                <w:i w:val="0"/>
                <w:iCs w:val="0"/>
                <w:color w:val="000000"/>
                <w:kern w:val="0"/>
                <w:sz w:val="21"/>
                <w:szCs w:val="21"/>
                <w:u w:val="none"/>
                <w:lang w:val="en-US" w:eastAsia="zh-CN" w:bidi="ar"/>
              </w:rPr>
              <w:t>投料废气</w:t>
            </w:r>
          </w:p>
        </w:tc>
        <w:tc>
          <w:tcPr>
            <w:tcW w:w="1497" w:type="pct"/>
            <w:vAlign w:val="center"/>
          </w:tcPr>
          <w:p w14:paraId="5B84CF9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21"/>
                <w:szCs w:val="21"/>
                <w:u w:val="none"/>
                <w:lang w:val="en-US" w:eastAsia="zh-CN" w:bidi="ar"/>
              </w:rPr>
              <w:t>乙腈</w:t>
            </w:r>
          </w:p>
        </w:tc>
        <w:tc>
          <w:tcPr>
            <w:tcW w:w="1105" w:type="pct"/>
            <w:vAlign w:val="center"/>
          </w:tcPr>
          <w:p w14:paraId="62BA715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0.182</w:t>
            </w:r>
          </w:p>
        </w:tc>
      </w:tr>
      <w:tr w14:paraId="16A315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01D2843A">
            <w:pPr>
              <w:jc w:val="center"/>
              <w:rPr>
                <w:rFonts w:eastAsia="仿宋_GB2312"/>
                <w:b/>
                <w:bCs/>
                <w:color w:val="FF0000"/>
              </w:rPr>
            </w:pPr>
          </w:p>
        </w:tc>
        <w:tc>
          <w:tcPr>
            <w:tcW w:w="729" w:type="pct"/>
            <w:vMerge w:val="continue"/>
            <w:vAlign w:val="center"/>
          </w:tcPr>
          <w:p w14:paraId="1A881541">
            <w:pPr>
              <w:jc w:val="center"/>
              <w:rPr>
                <w:rFonts w:eastAsia="仿宋_GB2312"/>
                <w:b/>
                <w:bCs/>
                <w:color w:val="FF0000"/>
              </w:rPr>
            </w:pPr>
          </w:p>
        </w:tc>
        <w:tc>
          <w:tcPr>
            <w:tcW w:w="853" w:type="pct"/>
            <w:vMerge w:val="continue"/>
            <w:vAlign w:val="center"/>
          </w:tcPr>
          <w:p w14:paraId="1CDF5F04">
            <w:pPr>
              <w:jc w:val="center"/>
              <w:rPr>
                <w:rFonts w:eastAsia="仿宋_GB2312"/>
                <w:b/>
                <w:bCs/>
                <w:color w:val="FF0000"/>
              </w:rPr>
            </w:pPr>
          </w:p>
        </w:tc>
        <w:tc>
          <w:tcPr>
            <w:tcW w:w="1497" w:type="pct"/>
            <w:vAlign w:val="center"/>
          </w:tcPr>
          <w:p w14:paraId="18DAD7D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21"/>
                <w:szCs w:val="21"/>
                <w:u w:val="none"/>
                <w:lang w:val="en-US" w:eastAsia="zh-CN" w:bidi="ar"/>
              </w:rPr>
              <w:t>丙腈</w:t>
            </w:r>
          </w:p>
        </w:tc>
        <w:tc>
          <w:tcPr>
            <w:tcW w:w="1105" w:type="pct"/>
            <w:vAlign w:val="center"/>
          </w:tcPr>
          <w:p w14:paraId="1C8C130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0.0002</w:t>
            </w:r>
          </w:p>
        </w:tc>
      </w:tr>
      <w:tr w14:paraId="6C8228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21FEABBF">
            <w:pPr>
              <w:jc w:val="center"/>
              <w:rPr>
                <w:rFonts w:eastAsia="仿宋_GB2312"/>
                <w:b/>
                <w:bCs/>
                <w:color w:val="FF0000"/>
              </w:rPr>
            </w:pPr>
          </w:p>
        </w:tc>
        <w:tc>
          <w:tcPr>
            <w:tcW w:w="729" w:type="pct"/>
            <w:vMerge w:val="continue"/>
            <w:vAlign w:val="center"/>
          </w:tcPr>
          <w:p w14:paraId="1D7087BC">
            <w:pPr>
              <w:jc w:val="center"/>
              <w:rPr>
                <w:rFonts w:eastAsia="仿宋_GB2312"/>
                <w:b/>
                <w:bCs/>
                <w:color w:val="FF0000"/>
              </w:rPr>
            </w:pPr>
          </w:p>
        </w:tc>
        <w:tc>
          <w:tcPr>
            <w:tcW w:w="853" w:type="pct"/>
            <w:vMerge w:val="continue"/>
            <w:vAlign w:val="center"/>
          </w:tcPr>
          <w:p w14:paraId="2770E4FF">
            <w:pPr>
              <w:jc w:val="center"/>
              <w:rPr>
                <w:rFonts w:eastAsia="仿宋_GB2312"/>
                <w:b/>
                <w:bCs/>
                <w:color w:val="FF0000"/>
              </w:rPr>
            </w:pPr>
          </w:p>
        </w:tc>
        <w:tc>
          <w:tcPr>
            <w:tcW w:w="1497" w:type="pct"/>
            <w:vAlign w:val="center"/>
          </w:tcPr>
          <w:p w14:paraId="25CFF0B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21"/>
                <w:szCs w:val="21"/>
                <w:u w:val="none"/>
                <w:lang w:val="en-US" w:eastAsia="zh-CN" w:bidi="ar"/>
              </w:rPr>
              <w:t>其他有机物</w:t>
            </w:r>
          </w:p>
        </w:tc>
        <w:tc>
          <w:tcPr>
            <w:tcW w:w="1105" w:type="pct"/>
            <w:vAlign w:val="center"/>
          </w:tcPr>
          <w:p w14:paraId="18FDCC2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0.003</w:t>
            </w:r>
          </w:p>
        </w:tc>
      </w:tr>
      <w:tr w14:paraId="5FDEFC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322C1942">
            <w:pPr>
              <w:jc w:val="center"/>
              <w:rPr>
                <w:rFonts w:eastAsia="仿宋_GB2312"/>
                <w:b/>
                <w:bCs/>
                <w:color w:val="FF0000"/>
              </w:rPr>
            </w:pPr>
          </w:p>
        </w:tc>
        <w:tc>
          <w:tcPr>
            <w:tcW w:w="729" w:type="pct"/>
            <w:vMerge w:val="restart"/>
            <w:vAlign w:val="center"/>
          </w:tcPr>
          <w:p w14:paraId="48F3AC7F">
            <w:pPr>
              <w:keepNext w:val="0"/>
              <w:keepLines w:val="0"/>
              <w:widowControl/>
              <w:suppressLineNumbers w:val="0"/>
              <w:jc w:val="center"/>
              <w:textAlignment w:val="center"/>
              <w:rPr>
                <w:rFonts w:eastAsia="仿宋_GB2312"/>
                <w:b/>
                <w:bCs/>
                <w:color w:val="FF0000"/>
              </w:rPr>
            </w:pPr>
            <w:r>
              <w:rPr>
                <w:rFonts w:hint="default" w:ascii="Times New Roman" w:hAnsi="Times New Roman" w:eastAsia="宋体" w:cs="Times New Roman"/>
                <w:i w:val="0"/>
                <w:iCs w:val="0"/>
                <w:color w:val="000000"/>
                <w:kern w:val="0"/>
                <w:sz w:val="21"/>
                <w:szCs w:val="21"/>
                <w:u w:val="none"/>
                <w:lang w:val="en-US" w:eastAsia="zh-CN" w:bidi="ar"/>
              </w:rPr>
              <w:t>G3-8-5</w:t>
            </w:r>
          </w:p>
        </w:tc>
        <w:tc>
          <w:tcPr>
            <w:tcW w:w="853" w:type="pct"/>
            <w:vMerge w:val="restart"/>
            <w:vAlign w:val="center"/>
          </w:tcPr>
          <w:p w14:paraId="1EE5E720">
            <w:pPr>
              <w:keepNext w:val="0"/>
              <w:keepLines w:val="0"/>
              <w:widowControl/>
              <w:suppressLineNumbers w:val="0"/>
              <w:jc w:val="center"/>
              <w:textAlignment w:val="center"/>
              <w:rPr>
                <w:rFonts w:eastAsia="仿宋_GB2312"/>
                <w:b/>
                <w:bCs/>
                <w:color w:val="FF0000"/>
              </w:rPr>
            </w:pPr>
            <w:r>
              <w:rPr>
                <w:rFonts w:hint="default" w:ascii="仿宋_GB2312" w:hAnsi="宋体" w:eastAsia="仿宋_GB2312" w:cs="仿宋_GB2312"/>
                <w:i w:val="0"/>
                <w:iCs w:val="0"/>
                <w:color w:val="000000"/>
                <w:kern w:val="0"/>
                <w:sz w:val="21"/>
                <w:szCs w:val="21"/>
                <w:u w:val="none"/>
                <w:lang w:val="en-US" w:eastAsia="zh-CN" w:bidi="ar"/>
              </w:rPr>
              <w:t>灌装废气</w:t>
            </w:r>
          </w:p>
        </w:tc>
        <w:tc>
          <w:tcPr>
            <w:tcW w:w="1497" w:type="pct"/>
            <w:vAlign w:val="center"/>
          </w:tcPr>
          <w:p w14:paraId="4FF80BA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21"/>
                <w:szCs w:val="21"/>
                <w:u w:val="none"/>
                <w:lang w:val="en-US" w:eastAsia="zh-CN" w:bidi="ar"/>
              </w:rPr>
              <w:t>乙腈</w:t>
            </w:r>
          </w:p>
        </w:tc>
        <w:tc>
          <w:tcPr>
            <w:tcW w:w="1105" w:type="pct"/>
            <w:vAlign w:val="center"/>
          </w:tcPr>
          <w:p w14:paraId="5958431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0.265</w:t>
            </w:r>
          </w:p>
        </w:tc>
      </w:tr>
      <w:tr w14:paraId="5DF025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680F0215">
            <w:pPr>
              <w:jc w:val="center"/>
              <w:rPr>
                <w:rFonts w:eastAsia="仿宋_GB2312"/>
                <w:b/>
                <w:bCs/>
                <w:color w:val="FF0000"/>
              </w:rPr>
            </w:pPr>
          </w:p>
        </w:tc>
        <w:tc>
          <w:tcPr>
            <w:tcW w:w="729" w:type="pct"/>
            <w:vMerge w:val="continue"/>
            <w:vAlign w:val="center"/>
          </w:tcPr>
          <w:p w14:paraId="7CCB0CCB">
            <w:pPr>
              <w:jc w:val="center"/>
              <w:rPr>
                <w:rFonts w:eastAsia="仿宋_GB2312"/>
                <w:b/>
                <w:bCs/>
                <w:color w:val="FF0000"/>
              </w:rPr>
            </w:pPr>
          </w:p>
        </w:tc>
        <w:tc>
          <w:tcPr>
            <w:tcW w:w="853" w:type="pct"/>
            <w:vMerge w:val="continue"/>
            <w:vAlign w:val="center"/>
          </w:tcPr>
          <w:p w14:paraId="24FB0AE8">
            <w:pPr>
              <w:jc w:val="center"/>
              <w:rPr>
                <w:rFonts w:eastAsia="仿宋_GB2312"/>
                <w:b/>
                <w:bCs/>
                <w:color w:val="FF0000"/>
              </w:rPr>
            </w:pPr>
          </w:p>
        </w:tc>
        <w:tc>
          <w:tcPr>
            <w:tcW w:w="1497" w:type="pct"/>
            <w:vAlign w:val="center"/>
          </w:tcPr>
          <w:p w14:paraId="25AE50A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21"/>
                <w:szCs w:val="21"/>
                <w:u w:val="none"/>
                <w:lang w:val="en-US" w:eastAsia="zh-CN" w:bidi="ar"/>
              </w:rPr>
              <w:t>丙腈</w:t>
            </w:r>
          </w:p>
        </w:tc>
        <w:tc>
          <w:tcPr>
            <w:tcW w:w="1105" w:type="pct"/>
            <w:vAlign w:val="center"/>
          </w:tcPr>
          <w:p w14:paraId="4F641CE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0.0002</w:t>
            </w:r>
          </w:p>
        </w:tc>
      </w:tr>
      <w:tr w14:paraId="3A6DCA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72536667">
            <w:pPr>
              <w:jc w:val="center"/>
              <w:rPr>
                <w:rFonts w:eastAsia="仿宋_GB2312"/>
                <w:b/>
                <w:bCs/>
                <w:color w:val="FF0000"/>
              </w:rPr>
            </w:pPr>
          </w:p>
        </w:tc>
        <w:tc>
          <w:tcPr>
            <w:tcW w:w="729" w:type="pct"/>
            <w:vMerge w:val="restart"/>
            <w:vAlign w:val="center"/>
          </w:tcPr>
          <w:p w14:paraId="75DA6A9E">
            <w:pPr>
              <w:keepNext w:val="0"/>
              <w:keepLines w:val="0"/>
              <w:widowControl/>
              <w:suppressLineNumbers w:val="0"/>
              <w:jc w:val="center"/>
              <w:textAlignment w:val="center"/>
              <w:rPr>
                <w:rFonts w:eastAsia="仿宋_GB2312"/>
                <w:b/>
                <w:bCs/>
                <w:color w:val="FF0000"/>
              </w:rPr>
            </w:pPr>
            <w:r>
              <w:rPr>
                <w:rFonts w:hint="default" w:ascii="Times New Roman" w:hAnsi="Times New Roman" w:eastAsia="宋体" w:cs="Times New Roman"/>
                <w:i w:val="0"/>
                <w:iCs w:val="0"/>
                <w:color w:val="000000"/>
                <w:kern w:val="0"/>
                <w:sz w:val="21"/>
                <w:szCs w:val="21"/>
                <w:u w:val="none"/>
                <w:lang w:val="en-US" w:eastAsia="zh-CN" w:bidi="ar"/>
              </w:rPr>
              <w:t>G3-9-1</w:t>
            </w:r>
          </w:p>
        </w:tc>
        <w:tc>
          <w:tcPr>
            <w:tcW w:w="853" w:type="pct"/>
            <w:vMerge w:val="restart"/>
            <w:vAlign w:val="center"/>
          </w:tcPr>
          <w:p w14:paraId="1A1E5C97">
            <w:pPr>
              <w:keepNext w:val="0"/>
              <w:keepLines w:val="0"/>
              <w:widowControl/>
              <w:suppressLineNumbers w:val="0"/>
              <w:jc w:val="center"/>
              <w:textAlignment w:val="center"/>
              <w:rPr>
                <w:rFonts w:eastAsia="仿宋_GB2312"/>
                <w:b/>
                <w:bCs/>
                <w:color w:val="FF0000"/>
              </w:rPr>
            </w:pPr>
            <w:r>
              <w:rPr>
                <w:rFonts w:hint="default" w:ascii="仿宋_GB2312" w:hAnsi="宋体" w:eastAsia="仿宋_GB2312" w:cs="仿宋_GB2312"/>
                <w:i w:val="0"/>
                <w:iCs w:val="0"/>
                <w:color w:val="000000"/>
                <w:kern w:val="0"/>
                <w:sz w:val="21"/>
                <w:szCs w:val="21"/>
                <w:u w:val="none"/>
                <w:lang w:val="en-US" w:eastAsia="zh-CN" w:bidi="ar"/>
              </w:rPr>
              <w:t>投料废气</w:t>
            </w:r>
          </w:p>
        </w:tc>
        <w:tc>
          <w:tcPr>
            <w:tcW w:w="1497" w:type="pct"/>
            <w:vAlign w:val="center"/>
          </w:tcPr>
          <w:p w14:paraId="79FD6F4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DMF</w:t>
            </w:r>
          </w:p>
        </w:tc>
        <w:tc>
          <w:tcPr>
            <w:tcW w:w="1105" w:type="pct"/>
            <w:vAlign w:val="center"/>
          </w:tcPr>
          <w:p w14:paraId="512FAC4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0.022</w:t>
            </w:r>
          </w:p>
        </w:tc>
      </w:tr>
      <w:tr w14:paraId="57DD02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075A9DB3">
            <w:pPr>
              <w:jc w:val="center"/>
              <w:rPr>
                <w:rFonts w:eastAsia="仿宋_GB2312"/>
                <w:b/>
                <w:bCs/>
                <w:color w:val="FF0000"/>
              </w:rPr>
            </w:pPr>
          </w:p>
        </w:tc>
        <w:tc>
          <w:tcPr>
            <w:tcW w:w="729" w:type="pct"/>
            <w:vMerge w:val="continue"/>
            <w:vAlign w:val="center"/>
          </w:tcPr>
          <w:p w14:paraId="1539A973">
            <w:pPr>
              <w:jc w:val="center"/>
              <w:rPr>
                <w:rFonts w:eastAsia="仿宋_GB2312"/>
                <w:b/>
                <w:bCs/>
                <w:color w:val="FF0000"/>
              </w:rPr>
            </w:pPr>
          </w:p>
        </w:tc>
        <w:tc>
          <w:tcPr>
            <w:tcW w:w="853" w:type="pct"/>
            <w:vMerge w:val="continue"/>
            <w:vAlign w:val="center"/>
          </w:tcPr>
          <w:p w14:paraId="43FBECE6">
            <w:pPr>
              <w:jc w:val="center"/>
              <w:rPr>
                <w:rFonts w:eastAsia="仿宋_GB2312"/>
                <w:b/>
                <w:bCs/>
                <w:color w:val="FF0000"/>
              </w:rPr>
            </w:pPr>
          </w:p>
        </w:tc>
        <w:tc>
          <w:tcPr>
            <w:tcW w:w="1497" w:type="pct"/>
            <w:vAlign w:val="center"/>
          </w:tcPr>
          <w:p w14:paraId="7D96419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21"/>
                <w:szCs w:val="21"/>
                <w:u w:val="none"/>
                <w:lang w:val="en-US" w:eastAsia="zh-CN" w:bidi="ar"/>
              </w:rPr>
              <w:t>其他有机物</w:t>
            </w:r>
          </w:p>
        </w:tc>
        <w:tc>
          <w:tcPr>
            <w:tcW w:w="1105" w:type="pct"/>
            <w:vAlign w:val="center"/>
          </w:tcPr>
          <w:p w14:paraId="293C080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0.0003</w:t>
            </w:r>
          </w:p>
        </w:tc>
      </w:tr>
      <w:tr w14:paraId="488048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7ADEF74E">
            <w:pPr>
              <w:jc w:val="center"/>
              <w:rPr>
                <w:rFonts w:eastAsia="仿宋_GB2312"/>
                <w:b/>
                <w:bCs/>
                <w:color w:val="FF0000"/>
              </w:rPr>
            </w:pPr>
          </w:p>
        </w:tc>
        <w:tc>
          <w:tcPr>
            <w:tcW w:w="729" w:type="pct"/>
            <w:vAlign w:val="center"/>
          </w:tcPr>
          <w:p w14:paraId="6853EEEC">
            <w:pPr>
              <w:keepNext w:val="0"/>
              <w:keepLines w:val="0"/>
              <w:widowControl/>
              <w:suppressLineNumbers w:val="0"/>
              <w:jc w:val="center"/>
              <w:textAlignment w:val="center"/>
              <w:rPr>
                <w:rFonts w:eastAsia="仿宋_GB2312"/>
                <w:b/>
                <w:bCs/>
                <w:color w:val="FF0000"/>
              </w:rPr>
            </w:pPr>
            <w:r>
              <w:rPr>
                <w:rFonts w:hint="default" w:ascii="Times New Roman" w:hAnsi="Times New Roman" w:eastAsia="宋体" w:cs="Times New Roman"/>
                <w:i w:val="0"/>
                <w:iCs w:val="0"/>
                <w:color w:val="000000"/>
                <w:kern w:val="0"/>
                <w:sz w:val="21"/>
                <w:szCs w:val="21"/>
                <w:u w:val="none"/>
                <w:lang w:val="en-US" w:eastAsia="zh-CN" w:bidi="ar"/>
              </w:rPr>
              <w:t>G3-9-5</w:t>
            </w:r>
          </w:p>
        </w:tc>
        <w:tc>
          <w:tcPr>
            <w:tcW w:w="853" w:type="pct"/>
            <w:vAlign w:val="center"/>
          </w:tcPr>
          <w:p w14:paraId="35B3EE79">
            <w:pPr>
              <w:keepNext w:val="0"/>
              <w:keepLines w:val="0"/>
              <w:widowControl/>
              <w:suppressLineNumbers w:val="0"/>
              <w:jc w:val="center"/>
              <w:textAlignment w:val="center"/>
              <w:rPr>
                <w:rFonts w:eastAsia="仿宋_GB2312"/>
                <w:b/>
                <w:bCs/>
                <w:color w:val="FF0000"/>
              </w:rPr>
            </w:pPr>
            <w:r>
              <w:rPr>
                <w:rFonts w:hint="default" w:ascii="仿宋_GB2312" w:hAnsi="宋体" w:eastAsia="仿宋_GB2312" w:cs="仿宋_GB2312"/>
                <w:i w:val="0"/>
                <w:iCs w:val="0"/>
                <w:color w:val="000000"/>
                <w:kern w:val="0"/>
                <w:sz w:val="21"/>
                <w:szCs w:val="21"/>
                <w:u w:val="none"/>
                <w:lang w:val="en-US" w:eastAsia="zh-CN" w:bidi="ar"/>
              </w:rPr>
              <w:t>灌装废气</w:t>
            </w:r>
          </w:p>
        </w:tc>
        <w:tc>
          <w:tcPr>
            <w:tcW w:w="1497" w:type="pct"/>
            <w:vAlign w:val="center"/>
          </w:tcPr>
          <w:p w14:paraId="0ABB227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DMF</w:t>
            </w:r>
          </w:p>
        </w:tc>
        <w:tc>
          <w:tcPr>
            <w:tcW w:w="1105" w:type="pct"/>
            <w:vAlign w:val="center"/>
          </w:tcPr>
          <w:p w14:paraId="12587E1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0.032</w:t>
            </w:r>
          </w:p>
        </w:tc>
      </w:tr>
      <w:tr w14:paraId="24ED14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653884C7">
            <w:pPr>
              <w:jc w:val="center"/>
              <w:rPr>
                <w:rFonts w:eastAsia="仿宋_GB2312"/>
                <w:b/>
                <w:bCs/>
                <w:color w:val="FF0000"/>
              </w:rPr>
            </w:pPr>
          </w:p>
        </w:tc>
        <w:tc>
          <w:tcPr>
            <w:tcW w:w="729" w:type="pct"/>
            <w:vMerge w:val="restart"/>
            <w:vAlign w:val="center"/>
          </w:tcPr>
          <w:p w14:paraId="7182B31C">
            <w:pPr>
              <w:keepNext w:val="0"/>
              <w:keepLines w:val="0"/>
              <w:widowControl/>
              <w:suppressLineNumbers w:val="0"/>
              <w:jc w:val="center"/>
              <w:textAlignment w:val="center"/>
              <w:rPr>
                <w:rFonts w:eastAsia="仿宋_GB2312"/>
                <w:b/>
                <w:bCs/>
                <w:color w:val="FF0000"/>
              </w:rPr>
            </w:pPr>
            <w:r>
              <w:rPr>
                <w:rFonts w:hint="default" w:ascii="Times New Roman" w:hAnsi="Times New Roman" w:eastAsia="宋体" w:cs="Times New Roman"/>
                <w:i w:val="0"/>
                <w:iCs w:val="0"/>
                <w:color w:val="000000"/>
                <w:kern w:val="0"/>
                <w:sz w:val="21"/>
                <w:szCs w:val="21"/>
                <w:u w:val="none"/>
                <w:lang w:val="en-US" w:eastAsia="zh-CN" w:bidi="ar"/>
              </w:rPr>
              <w:t>G3-10-1</w:t>
            </w:r>
          </w:p>
        </w:tc>
        <w:tc>
          <w:tcPr>
            <w:tcW w:w="853" w:type="pct"/>
            <w:vMerge w:val="restart"/>
            <w:vAlign w:val="center"/>
          </w:tcPr>
          <w:p w14:paraId="15864999">
            <w:pPr>
              <w:keepNext w:val="0"/>
              <w:keepLines w:val="0"/>
              <w:widowControl/>
              <w:suppressLineNumbers w:val="0"/>
              <w:jc w:val="center"/>
              <w:textAlignment w:val="center"/>
              <w:rPr>
                <w:rFonts w:eastAsia="仿宋_GB2312"/>
                <w:b/>
                <w:bCs/>
                <w:color w:val="FF0000"/>
              </w:rPr>
            </w:pPr>
            <w:r>
              <w:rPr>
                <w:rFonts w:hint="default" w:ascii="仿宋_GB2312" w:hAnsi="宋体" w:eastAsia="仿宋_GB2312" w:cs="仿宋_GB2312"/>
                <w:i w:val="0"/>
                <w:iCs w:val="0"/>
                <w:color w:val="000000"/>
                <w:kern w:val="0"/>
                <w:sz w:val="21"/>
                <w:szCs w:val="21"/>
                <w:u w:val="none"/>
                <w:lang w:val="en-US" w:eastAsia="zh-CN" w:bidi="ar"/>
              </w:rPr>
              <w:t>投料废气</w:t>
            </w:r>
          </w:p>
        </w:tc>
        <w:tc>
          <w:tcPr>
            <w:tcW w:w="1497" w:type="pct"/>
            <w:vAlign w:val="center"/>
          </w:tcPr>
          <w:p w14:paraId="4797694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21"/>
                <w:szCs w:val="21"/>
                <w:u w:val="none"/>
                <w:lang w:val="en-US" w:eastAsia="zh-CN" w:bidi="ar"/>
              </w:rPr>
              <w:t>环己酮</w:t>
            </w:r>
          </w:p>
        </w:tc>
        <w:tc>
          <w:tcPr>
            <w:tcW w:w="1105" w:type="pct"/>
            <w:vAlign w:val="center"/>
          </w:tcPr>
          <w:p w14:paraId="059A569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0.001</w:t>
            </w:r>
          </w:p>
        </w:tc>
      </w:tr>
      <w:tr w14:paraId="4FC54F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15090435">
            <w:pPr>
              <w:jc w:val="center"/>
              <w:rPr>
                <w:rFonts w:eastAsia="仿宋_GB2312"/>
                <w:b/>
                <w:bCs/>
                <w:color w:val="FF0000"/>
              </w:rPr>
            </w:pPr>
          </w:p>
        </w:tc>
        <w:tc>
          <w:tcPr>
            <w:tcW w:w="729" w:type="pct"/>
            <w:vMerge w:val="continue"/>
            <w:vAlign w:val="center"/>
          </w:tcPr>
          <w:p w14:paraId="4602664E">
            <w:pPr>
              <w:jc w:val="center"/>
              <w:rPr>
                <w:rFonts w:eastAsia="仿宋_GB2312"/>
                <w:b/>
                <w:bCs/>
                <w:color w:val="FF0000"/>
              </w:rPr>
            </w:pPr>
          </w:p>
        </w:tc>
        <w:tc>
          <w:tcPr>
            <w:tcW w:w="853" w:type="pct"/>
            <w:vMerge w:val="continue"/>
            <w:vAlign w:val="center"/>
          </w:tcPr>
          <w:p w14:paraId="66B311D5">
            <w:pPr>
              <w:jc w:val="center"/>
              <w:rPr>
                <w:rFonts w:eastAsia="仿宋_GB2312"/>
                <w:b/>
                <w:bCs/>
                <w:color w:val="FF0000"/>
              </w:rPr>
            </w:pPr>
          </w:p>
        </w:tc>
        <w:tc>
          <w:tcPr>
            <w:tcW w:w="1497" w:type="pct"/>
            <w:vAlign w:val="center"/>
          </w:tcPr>
          <w:p w14:paraId="240F890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21"/>
                <w:szCs w:val="21"/>
                <w:u w:val="none"/>
                <w:lang w:val="en-US" w:eastAsia="zh-CN" w:bidi="ar"/>
              </w:rPr>
              <w:t>其他有机物</w:t>
            </w:r>
          </w:p>
        </w:tc>
        <w:tc>
          <w:tcPr>
            <w:tcW w:w="1105" w:type="pct"/>
            <w:vAlign w:val="center"/>
          </w:tcPr>
          <w:p w14:paraId="1F99A7C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0.0001</w:t>
            </w:r>
          </w:p>
        </w:tc>
      </w:tr>
      <w:tr w14:paraId="3A7815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44881FAC">
            <w:pPr>
              <w:jc w:val="center"/>
              <w:rPr>
                <w:rFonts w:eastAsia="仿宋_GB2312"/>
                <w:b/>
                <w:bCs/>
                <w:color w:val="FF0000"/>
              </w:rPr>
            </w:pPr>
          </w:p>
        </w:tc>
        <w:tc>
          <w:tcPr>
            <w:tcW w:w="729" w:type="pct"/>
            <w:vAlign w:val="center"/>
          </w:tcPr>
          <w:p w14:paraId="0780104B">
            <w:pPr>
              <w:keepNext w:val="0"/>
              <w:keepLines w:val="0"/>
              <w:widowControl/>
              <w:suppressLineNumbers w:val="0"/>
              <w:jc w:val="center"/>
              <w:textAlignment w:val="center"/>
              <w:rPr>
                <w:rFonts w:eastAsia="仿宋_GB2312"/>
                <w:b/>
                <w:bCs/>
                <w:color w:val="FF0000"/>
              </w:rPr>
            </w:pPr>
            <w:r>
              <w:rPr>
                <w:rFonts w:hint="default" w:ascii="Times New Roman" w:hAnsi="Times New Roman" w:eastAsia="宋体" w:cs="Times New Roman"/>
                <w:i w:val="0"/>
                <w:iCs w:val="0"/>
                <w:color w:val="000000"/>
                <w:kern w:val="0"/>
                <w:sz w:val="21"/>
                <w:szCs w:val="21"/>
                <w:u w:val="none"/>
                <w:lang w:val="en-US" w:eastAsia="zh-CN" w:bidi="ar"/>
              </w:rPr>
              <w:t>G3-10-5</w:t>
            </w:r>
          </w:p>
        </w:tc>
        <w:tc>
          <w:tcPr>
            <w:tcW w:w="853" w:type="pct"/>
            <w:vAlign w:val="center"/>
          </w:tcPr>
          <w:p w14:paraId="6103FCAA">
            <w:pPr>
              <w:keepNext w:val="0"/>
              <w:keepLines w:val="0"/>
              <w:widowControl/>
              <w:suppressLineNumbers w:val="0"/>
              <w:jc w:val="center"/>
              <w:textAlignment w:val="center"/>
              <w:rPr>
                <w:rFonts w:eastAsia="仿宋_GB2312"/>
                <w:b/>
                <w:bCs/>
                <w:color w:val="FF0000"/>
              </w:rPr>
            </w:pPr>
            <w:r>
              <w:rPr>
                <w:rFonts w:hint="default" w:ascii="仿宋_GB2312" w:hAnsi="宋体" w:eastAsia="仿宋_GB2312" w:cs="仿宋_GB2312"/>
                <w:i w:val="0"/>
                <w:iCs w:val="0"/>
                <w:color w:val="000000"/>
                <w:kern w:val="0"/>
                <w:sz w:val="21"/>
                <w:szCs w:val="21"/>
                <w:u w:val="none"/>
                <w:lang w:val="en-US" w:eastAsia="zh-CN" w:bidi="ar"/>
              </w:rPr>
              <w:t>灌装废气</w:t>
            </w:r>
          </w:p>
        </w:tc>
        <w:tc>
          <w:tcPr>
            <w:tcW w:w="1497" w:type="pct"/>
            <w:vAlign w:val="center"/>
          </w:tcPr>
          <w:p w14:paraId="3E2988D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21"/>
                <w:szCs w:val="21"/>
                <w:u w:val="none"/>
                <w:lang w:val="en-US" w:eastAsia="zh-CN" w:bidi="ar"/>
              </w:rPr>
              <w:t>环己酮</w:t>
            </w:r>
          </w:p>
        </w:tc>
        <w:tc>
          <w:tcPr>
            <w:tcW w:w="1105" w:type="pct"/>
            <w:vAlign w:val="center"/>
          </w:tcPr>
          <w:p w14:paraId="4EBB971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0.002</w:t>
            </w:r>
          </w:p>
        </w:tc>
      </w:tr>
      <w:tr w14:paraId="75B7DC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232E40D9">
            <w:pPr>
              <w:jc w:val="center"/>
              <w:rPr>
                <w:rFonts w:eastAsia="仿宋_GB2312"/>
                <w:b/>
                <w:bCs/>
                <w:color w:val="FF0000"/>
              </w:rPr>
            </w:pPr>
          </w:p>
        </w:tc>
        <w:tc>
          <w:tcPr>
            <w:tcW w:w="729" w:type="pct"/>
            <w:vMerge w:val="restart"/>
            <w:vAlign w:val="center"/>
          </w:tcPr>
          <w:p w14:paraId="4A1D038E">
            <w:pPr>
              <w:keepNext w:val="0"/>
              <w:keepLines w:val="0"/>
              <w:widowControl/>
              <w:suppressLineNumbers w:val="0"/>
              <w:jc w:val="center"/>
              <w:textAlignment w:val="center"/>
              <w:rPr>
                <w:rFonts w:eastAsia="仿宋_GB2312"/>
                <w:b/>
                <w:bCs/>
                <w:color w:val="FF0000"/>
              </w:rPr>
            </w:pPr>
            <w:r>
              <w:rPr>
                <w:rFonts w:hint="default" w:ascii="Times New Roman" w:hAnsi="Times New Roman" w:eastAsia="宋体" w:cs="Times New Roman"/>
                <w:i w:val="0"/>
                <w:iCs w:val="0"/>
                <w:color w:val="000000"/>
                <w:kern w:val="0"/>
                <w:sz w:val="21"/>
                <w:szCs w:val="21"/>
                <w:u w:val="none"/>
                <w:lang w:val="en-US" w:eastAsia="zh-CN" w:bidi="ar"/>
              </w:rPr>
              <w:t>G3-11-1</w:t>
            </w:r>
          </w:p>
        </w:tc>
        <w:tc>
          <w:tcPr>
            <w:tcW w:w="853" w:type="pct"/>
            <w:vMerge w:val="restart"/>
            <w:vAlign w:val="center"/>
          </w:tcPr>
          <w:p w14:paraId="1E0F101A">
            <w:pPr>
              <w:keepNext w:val="0"/>
              <w:keepLines w:val="0"/>
              <w:widowControl/>
              <w:suppressLineNumbers w:val="0"/>
              <w:jc w:val="center"/>
              <w:textAlignment w:val="center"/>
              <w:rPr>
                <w:rFonts w:eastAsia="仿宋_GB2312"/>
                <w:b/>
                <w:bCs/>
                <w:color w:val="FF0000"/>
              </w:rPr>
            </w:pPr>
            <w:r>
              <w:rPr>
                <w:rFonts w:hint="default" w:ascii="仿宋_GB2312" w:hAnsi="宋体" w:eastAsia="仿宋_GB2312" w:cs="仿宋_GB2312"/>
                <w:i w:val="0"/>
                <w:iCs w:val="0"/>
                <w:color w:val="000000"/>
                <w:kern w:val="0"/>
                <w:sz w:val="21"/>
                <w:szCs w:val="21"/>
                <w:u w:val="none"/>
                <w:lang w:val="en-US" w:eastAsia="zh-CN" w:bidi="ar"/>
              </w:rPr>
              <w:t>投料废气</w:t>
            </w:r>
          </w:p>
        </w:tc>
        <w:tc>
          <w:tcPr>
            <w:tcW w:w="1497" w:type="pct"/>
            <w:vAlign w:val="center"/>
          </w:tcPr>
          <w:p w14:paraId="67D3BBC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21"/>
                <w:szCs w:val="21"/>
                <w:u w:val="none"/>
                <w:lang w:val="en-US" w:eastAsia="zh-CN" w:bidi="ar"/>
              </w:rPr>
              <w:t>环戊酮</w:t>
            </w:r>
          </w:p>
        </w:tc>
        <w:tc>
          <w:tcPr>
            <w:tcW w:w="1105" w:type="pct"/>
            <w:vAlign w:val="center"/>
          </w:tcPr>
          <w:p w14:paraId="1D4F9A3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0.006</w:t>
            </w:r>
          </w:p>
        </w:tc>
      </w:tr>
      <w:tr w14:paraId="07960D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6A32B0D9">
            <w:pPr>
              <w:jc w:val="center"/>
              <w:rPr>
                <w:rFonts w:eastAsia="仿宋_GB2312"/>
                <w:b/>
                <w:bCs/>
                <w:color w:val="FF0000"/>
              </w:rPr>
            </w:pPr>
          </w:p>
        </w:tc>
        <w:tc>
          <w:tcPr>
            <w:tcW w:w="729" w:type="pct"/>
            <w:vMerge w:val="continue"/>
            <w:vAlign w:val="center"/>
          </w:tcPr>
          <w:p w14:paraId="7E3B054B">
            <w:pPr>
              <w:jc w:val="center"/>
              <w:rPr>
                <w:rFonts w:eastAsia="仿宋_GB2312"/>
                <w:b/>
                <w:bCs/>
                <w:color w:val="FF0000"/>
              </w:rPr>
            </w:pPr>
          </w:p>
        </w:tc>
        <w:tc>
          <w:tcPr>
            <w:tcW w:w="853" w:type="pct"/>
            <w:vMerge w:val="continue"/>
            <w:vAlign w:val="center"/>
          </w:tcPr>
          <w:p w14:paraId="7596FFB8">
            <w:pPr>
              <w:jc w:val="center"/>
              <w:rPr>
                <w:rFonts w:eastAsia="仿宋_GB2312"/>
                <w:b/>
                <w:bCs/>
                <w:color w:val="FF0000"/>
              </w:rPr>
            </w:pPr>
          </w:p>
        </w:tc>
        <w:tc>
          <w:tcPr>
            <w:tcW w:w="1497" w:type="pct"/>
            <w:vAlign w:val="center"/>
          </w:tcPr>
          <w:p w14:paraId="7C5B8D2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21"/>
                <w:szCs w:val="21"/>
                <w:u w:val="none"/>
                <w:lang w:val="en-US" w:eastAsia="zh-CN" w:bidi="ar"/>
              </w:rPr>
              <w:t>其他有机物</w:t>
            </w:r>
          </w:p>
        </w:tc>
        <w:tc>
          <w:tcPr>
            <w:tcW w:w="1105" w:type="pct"/>
            <w:vAlign w:val="center"/>
          </w:tcPr>
          <w:p w14:paraId="1B1AAE9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0.0001</w:t>
            </w:r>
          </w:p>
        </w:tc>
      </w:tr>
      <w:tr w14:paraId="5EA6A0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5637FC1A">
            <w:pPr>
              <w:jc w:val="center"/>
              <w:rPr>
                <w:rFonts w:eastAsia="仿宋_GB2312"/>
                <w:b/>
                <w:bCs/>
                <w:color w:val="FF0000"/>
              </w:rPr>
            </w:pPr>
          </w:p>
        </w:tc>
        <w:tc>
          <w:tcPr>
            <w:tcW w:w="729" w:type="pct"/>
            <w:vAlign w:val="center"/>
          </w:tcPr>
          <w:p w14:paraId="3DB13C1A">
            <w:pPr>
              <w:keepNext w:val="0"/>
              <w:keepLines w:val="0"/>
              <w:widowControl/>
              <w:suppressLineNumbers w:val="0"/>
              <w:jc w:val="center"/>
              <w:textAlignment w:val="center"/>
              <w:rPr>
                <w:rFonts w:eastAsia="仿宋_GB2312"/>
                <w:b/>
                <w:bCs/>
                <w:color w:val="FF0000"/>
              </w:rPr>
            </w:pPr>
            <w:r>
              <w:rPr>
                <w:rFonts w:hint="default" w:ascii="Times New Roman" w:hAnsi="Times New Roman" w:eastAsia="宋体" w:cs="Times New Roman"/>
                <w:i w:val="0"/>
                <w:iCs w:val="0"/>
                <w:color w:val="000000"/>
                <w:kern w:val="0"/>
                <w:sz w:val="21"/>
                <w:szCs w:val="21"/>
                <w:u w:val="none"/>
                <w:lang w:val="en-US" w:eastAsia="zh-CN" w:bidi="ar"/>
              </w:rPr>
              <w:t>G3-11-5</w:t>
            </w:r>
          </w:p>
        </w:tc>
        <w:tc>
          <w:tcPr>
            <w:tcW w:w="853" w:type="pct"/>
            <w:vAlign w:val="center"/>
          </w:tcPr>
          <w:p w14:paraId="3474A239">
            <w:pPr>
              <w:keepNext w:val="0"/>
              <w:keepLines w:val="0"/>
              <w:widowControl/>
              <w:suppressLineNumbers w:val="0"/>
              <w:jc w:val="center"/>
              <w:textAlignment w:val="center"/>
              <w:rPr>
                <w:rFonts w:eastAsia="仿宋_GB2312"/>
                <w:b/>
                <w:bCs/>
                <w:color w:val="FF0000"/>
              </w:rPr>
            </w:pPr>
            <w:r>
              <w:rPr>
                <w:rFonts w:hint="default" w:ascii="仿宋_GB2312" w:hAnsi="宋体" w:eastAsia="仿宋_GB2312" w:cs="仿宋_GB2312"/>
                <w:i w:val="0"/>
                <w:iCs w:val="0"/>
                <w:color w:val="000000"/>
                <w:kern w:val="0"/>
                <w:sz w:val="21"/>
                <w:szCs w:val="21"/>
                <w:u w:val="none"/>
                <w:lang w:val="en-US" w:eastAsia="zh-CN" w:bidi="ar"/>
              </w:rPr>
              <w:t>灌装废气</w:t>
            </w:r>
          </w:p>
        </w:tc>
        <w:tc>
          <w:tcPr>
            <w:tcW w:w="1497" w:type="pct"/>
            <w:vAlign w:val="center"/>
          </w:tcPr>
          <w:p w14:paraId="52DEE80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21"/>
                <w:szCs w:val="21"/>
                <w:u w:val="none"/>
                <w:lang w:val="en-US" w:eastAsia="zh-CN" w:bidi="ar"/>
              </w:rPr>
              <w:t>环戊酮</w:t>
            </w:r>
          </w:p>
        </w:tc>
        <w:tc>
          <w:tcPr>
            <w:tcW w:w="1105" w:type="pct"/>
            <w:vAlign w:val="center"/>
          </w:tcPr>
          <w:p w14:paraId="4A86034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0.007</w:t>
            </w:r>
          </w:p>
        </w:tc>
      </w:tr>
      <w:tr w14:paraId="1FA8FF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0614CEF0">
            <w:pPr>
              <w:jc w:val="center"/>
              <w:rPr>
                <w:rFonts w:eastAsia="仿宋_GB2312"/>
                <w:b/>
                <w:bCs/>
                <w:color w:val="FF0000"/>
              </w:rPr>
            </w:pPr>
          </w:p>
        </w:tc>
        <w:tc>
          <w:tcPr>
            <w:tcW w:w="729" w:type="pct"/>
            <w:vMerge w:val="restart"/>
            <w:vAlign w:val="center"/>
          </w:tcPr>
          <w:p w14:paraId="3ADF2F63">
            <w:pPr>
              <w:keepNext w:val="0"/>
              <w:keepLines w:val="0"/>
              <w:widowControl/>
              <w:suppressLineNumbers w:val="0"/>
              <w:jc w:val="center"/>
              <w:textAlignment w:val="center"/>
              <w:rPr>
                <w:rFonts w:eastAsia="仿宋_GB2312"/>
                <w:b/>
                <w:bCs/>
                <w:color w:val="FF0000"/>
              </w:rPr>
            </w:pPr>
            <w:r>
              <w:rPr>
                <w:rFonts w:hint="default" w:ascii="Times New Roman" w:hAnsi="Times New Roman" w:eastAsia="宋体" w:cs="Times New Roman"/>
                <w:i w:val="0"/>
                <w:iCs w:val="0"/>
                <w:color w:val="000000"/>
                <w:kern w:val="0"/>
                <w:sz w:val="21"/>
                <w:szCs w:val="21"/>
                <w:u w:val="none"/>
                <w:lang w:val="en-US" w:eastAsia="zh-CN" w:bidi="ar"/>
              </w:rPr>
              <w:t>G3-12-1</w:t>
            </w:r>
          </w:p>
        </w:tc>
        <w:tc>
          <w:tcPr>
            <w:tcW w:w="853" w:type="pct"/>
            <w:vMerge w:val="restart"/>
            <w:vAlign w:val="center"/>
          </w:tcPr>
          <w:p w14:paraId="7DA5BEB0">
            <w:pPr>
              <w:keepNext w:val="0"/>
              <w:keepLines w:val="0"/>
              <w:widowControl/>
              <w:suppressLineNumbers w:val="0"/>
              <w:jc w:val="center"/>
              <w:textAlignment w:val="center"/>
              <w:rPr>
                <w:rFonts w:eastAsia="仿宋_GB2312"/>
                <w:b/>
                <w:bCs/>
                <w:color w:val="FF0000"/>
              </w:rPr>
            </w:pPr>
            <w:r>
              <w:rPr>
                <w:rFonts w:hint="default" w:ascii="仿宋_GB2312" w:hAnsi="宋体" w:eastAsia="仿宋_GB2312" w:cs="仿宋_GB2312"/>
                <w:i w:val="0"/>
                <w:iCs w:val="0"/>
                <w:color w:val="000000"/>
                <w:kern w:val="0"/>
                <w:sz w:val="21"/>
                <w:szCs w:val="21"/>
                <w:u w:val="none"/>
                <w:lang w:val="en-US" w:eastAsia="zh-CN" w:bidi="ar"/>
              </w:rPr>
              <w:t>投料废气</w:t>
            </w:r>
          </w:p>
        </w:tc>
        <w:tc>
          <w:tcPr>
            <w:tcW w:w="1497" w:type="pct"/>
            <w:vAlign w:val="center"/>
          </w:tcPr>
          <w:p w14:paraId="3B9465D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21"/>
                <w:szCs w:val="21"/>
                <w:u w:val="none"/>
                <w:lang w:val="en-US" w:eastAsia="zh-CN" w:bidi="ar"/>
              </w:rPr>
              <w:t>乙酸甲酯</w:t>
            </w:r>
          </w:p>
        </w:tc>
        <w:tc>
          <w:tcPr>
            <w:tcW w:w="1105" w:type="pct"/>
            <w:vAlign w:val="center"/>
          </w:tcPr>
          <w:p w14:paraId="75C1339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0.006</w:t>
            </w:r>
          </w:p>
        </w:tc>
      </w:tr>
      <w:tr w14:paraId="26315E5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213117B9">
            <w:pPr>
              <w:jc w:val="center"/>
              <w:rPr>
                <w:rFonts w:eastAsia="仿宋_GB2312"/>
                <w:b/>
                <w:bCs/>
                <w:color w:val="FF0000"/>
              </w:rPr>
            </w:pPr>
          </w:p>
        </w:tc>
        <w:tc>
          <w:tcPr>
            <w:tcW w:w="729" w:type="pct"/>
            <w:vMerge w:val="continue"/>
            <w:vAlign w:val="center"/>
          </w:tcPr>
          <w:p w14:paraId="4491DE17">
            <w:pPr>
              <w:jc w:val="center"/>
              <w:rPr>
                <w:rFonts w:eastAsia="仿宋_GB2312"/>
                <w:b/>
                <w:bCs/>
                <w:color w:val="FF0000"/>
              </w:rPr>
            </w:pPr>
          </w:p>
        </w:tc>
        <w:tc>
          <w:tcPr>
            <w:tcW w:w="853" w:type="pct"/>
            <w:vMerge w:val="continue"/>
            <w:vAlign w:val="center"/>
          </w:tcPr>
          <w:p w14:paraId="4495830C">
            <w:pPr>
              <w:jc w:val="center"/>
              <w:rPr>
                <w:rFonts w:eastAsia="仿宋_GB2312"/>
                <w:b/>
                <w:bCs/>
                <w:color w:val="FF0000"/>
              </w:rPr>
            </w:pPr>
          </w:p>
        </w:tc>
        <w:tc>
          <w:tcPr>
            <w:tcW w:w="1497" w:type="pct"/>
            <w:vAlign w:val="center"/>
          </w:tcPr>
          <w:p w14:paraId="28DB804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21"/>
                <w:szCs w:val="21"/>
                <w:u w:val="none"/>
                <w:lang w:val="en-US" w:eastAsia="zh-CN" w:bidi="ar"/>
              </w:rPr>
              <w:t>甲醇</w:t>
            </w:r>
          </w:p>
        </w:tc>
        <w:tc>
          <w:tcPr>
            <w:tcW w:w="1105" w:type="pct"/>
            <w:vAlign w:val="center"/>
          </w:tcPr>
          <w:p w14:paraId="3A17327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0.00004</w:t>
            </w:r>
          </w:p>
        </w:tc>
      </w:tr>
      <w:tr w14:paraId="182E36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4834B5E2">
            <w:pPr>
              <w:jc w:val="center"/>
              <w:rPr>
                <w:rFonts w:eastAsia="仿宋_GB2312"/>
                <w:b/>
                <w:bCs/>
                <w:color w:val="FF0000"/>
              </w:rPr>
            </w:pPr>
          </w:p>
        </w:tc>
        <w:tc>
          <w:tcPr>
            <w:tcW w:w="729" w:type="pct"/>
            <w:vMerge w:val="continue"/>
            <w:vAlign w:val="center"/>
          </w:tcPr>
          <w:p w14:paraId="7ADDF028">
            <w:pPr>
              <w:jc w:val="center"/>
              <w:rPr>
                <w:rFonts w:eastAsia="仿宋_GB2312"/>
                <w:b/>
                <w:bCs/>
                <w:color w:val="FF0000"/>
              </w:rPr>
            </w:pPr>
          </w:p>
        </w:tc>
        <w:tc>
          <w:tcPr>
            <w:tcW w:w="853" w:type="pct"/>
            <w:vMerge w:val="continue"/>
            <w:vAlign w:val="center"/>
          </w:tcPr>
          <w:p w14:paraId="2B96B408">
            <w:pPr>
              <w:jc w:val="center"/>
              <w:rPr>
                <w:rFonts w:eastAsia="仿宋_GB2312"/>
                <w:b/>
                <w:bCs/>
                <w:color w:val="FF0000"/>
              </w:rPr>
            </w:pPr>
          </w:p>
        </w:tc>
        <w:tc>
          <w:tcPr>
            <w:tcW w:w="1497" w:type="pct"/>
            <w:vAlign w:val="center"/>
          </w:tcPr>
          <w:p w14:paraId="7189951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21"/>
                <w:szCs w:val="21"/>
                <w:u w:val="none"/>
                <w:lang w:val="en-US" w:eastAsia="zh-CN" w:bidi="ar"/>
              </w:rPr>
              <w:t>其他有机物</w:t>
            </w:r>
          </w:p>
        </w:tc>
        <w:tc>
          <w:tcPr>
            <w:tcW w:w="1105" w:type="pct"/>
            <w:vAlign w:val="center"/>
          </w:tcPr>
          <w:p w14:paraId="553DD66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0.0001</w:t>
            </w:r>
          </w:p>
        </w:tc>
      </w:tr>
      <w:tr w14:paraId="4472E77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4439ABB5">
            <w:pPr>
              <w:jc w:val="center"/>
              <w:rPr>
                <w:rFonts w:eastAsia="仿宋_GB2312"/>
                <w:b/>
                <w:bCs/>
                <w:color w:val="FF0000"/>
              </w:rPr>
            </w:pPr>
          </w:p>
        </w:tc>
        <w:tc>
          <w:tcPr>
            <w:tcW w:w="729" w:type="pct"/>
            <w:vMerge w:val="restart"/>
            <w:vAlign w:val="center"/>
          </w:tcPr>
          <w:p w14:paraId="4824ACAE">
            <w:pPr>
              <w:keepNext w:val="0"/>
              <w:keepLines w:val="0"/>
              <w:widowControl/>
              <w:suppressLineNumbers w:val="0"/>
              <w:jc w:val="center"/>
              <w:textAlignment w:val="center"/>
              <w:rPr>
                <w:rFonts w:eastAsia="仿宋_GB2312"/>
                <w:b/>
                <w:bCs/>
                <w:color w:val="FF0000"/>
              </w:rPr>
            </w:pPr>
            <w:r>
              <w:rPr>
                <w:rFonts w:hint="default" w:ascii="Times New Roman" w:hAnsi="Times New Roman" w:eastAsia="宋体" w:cs="Times New Roman"/>
                <w:i w:val="0"/>
                <w:iCs w:val="0"/>
                <w:color w:val="000000"/>
                <w:kern w:val="0"/>
                <w:sz w:val="21"/>
                <w:szCs w:val="21"/>
                <w:u w:val="none"/>
                <w:lang w:val="en-US" w:eastAsia="zh-CN" w:bidi="ar"/>
              </w:rPr>
              <w:t>G3-12-5</w:t>
            </w:r>
          </w:p>
        </w:tc>
        <w:tc>
          <w:tcPr>
            <w:tcW w:w="853" w:type="pct"/>
            <w:vMerge w:val="restart"/>
            <w:vAlign w:val="center"/>
          </w:tcPr>
          <w:p w14:paraId="2E856F19">
            <w:pPr>
              <w:keepNext w:val="0"/>
              <w:keepLines w:val="0"/>
              <w:widowControl/>
              <w:suppressLineNumbers w:val="0"/>
              <w:jc w:val="center"/>
              <w:textAlignment w:val="center"/>
              <w:rPr>
                <w:rFonts w:eastAsia="仿宋_GB2312"/>
                <w:b/>
                <w:bCs/>
                <w:color w:val="FF0000"/>
              </w:rPr>
            </w:pPr>
            <w:r>
              <w:rPr>
                <w:rFonts w:hint="default" w:ascii="仿宋_GB2312" w:hAnsi="宋体" w:eastAsia="仿宋_GB2312" w:cs="仿宋_GB2312"/>
                <w:i w:val="0"/>
                <w:iCs w:val="0"/>
                <w:color w:val="000000"/>
                <w:kern w:val="0"/>
                <w:sz w:val="21"/>
                <w:szCs w:val="21"/>
                <w:u w:val="none"/>
                <w:lang w:val="en-US" w:eastAsia="zh-CN" w:bidi="ar"/>
              </w:rPr>
              <w:t>灌装废气</w:t>
            </w:r>
          </w:p>
        </w:tc>
        <w:tc>
          <w:tcPr>
            <w:tcW w:w="1497" w:type="pct"/>
            <w:vAlign w:val="center"/>
          </w:tcPr>
          <w:p w14:paraId="4D7A615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21"/>
                <w:szCs w:val="21"/>
                <w:u w:val="none"/>
                <w:lang w:val="en-US" w:eastAsia="zh-CN" w:bidi="ar"/>
              </w:rPr>
              <w:t>乙酸甲酯</w:t>
            </w:r>
          </w:p>
        </w:tc>
        <w:tc>
          <w:tcPr>
            <w:tcW w:w="1105" w:type="pct"/>
            <w:vAlign w:val="center"/>
          </w:tcPr>
          <w:p w14:paraId="7FE2DEE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0.008</w:t>
            </w:r>
          </w:p>
        </w:tc>
      </w:tr>
      <w:tr w14:paraId="21FD50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6CCDA23D">
            <w:pPr>
              <w:jc w:val="center"/>
              <w:rPr>
                <w:rFonts w:eastAsia="仿宋_GB2312"/>
                <w:b/>
                <w:bCs/>
                <w:color w:val="FF0000"/>
              </w:rPr>
            </w:pPr>
          </w:p>
        </w:tc>
        <w:tc>
          <w:tcPr>
            <w:tcW w:w="729" w:type="pct"/>
            <w:vMerge w:val="continue"/>
            <w:vAlign w:val="center"/>
          </w:tcPr>
          <w:p w14:paraId="026B0BBF">
            <w:pPr>
              <w:jc w:val="center"/>
              <w:rPr>
                <w:rFonts w:eastAsia="仿宋_GB2312"/>
                <w:b/>
                <w:bCs/>
                <w:color w:val="FF0000"/>
              </w:rPr>
            </w:pPr>
          </w:p>
        </w:tc>
        <w:tc>
          <w:tcPr>
            <w:tcW w:w="853" w:type="pct"/>
            <w:vMerge w:val="continue"/>
            <w:vAlign w:val="center"/>
          </w:tcPr>
          <w:p w14:paraId="57ABCABE">
            <w:pPr>
              <w:jc w:val="center"/>
              <w:rPr>
                <w:rFonts w:eastAsia="仿宋_GB2312"/>
                <w:b/>
                <w:bCs/>
                <w:color w:val="FF0000"/>
              </w:rPr>
            </w:pPr>
          </w:p>
        </w:tc>
        <w:tc>
          <w:tcPr>
            <w:tcW w:w="1497" w:type="pct"/>
            <w:vAlign w:val="center"/>
          </w:tcPr>
          <w:p w14:paraId="773DAFD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21"/>
                <w:szCs w:val="21"/>
                <w:u w:val="none"/>
                <w:lang w:val="en-US" w:eastAsia="zh-CN" w:bidi="ar"/>
              </w:rPr>
              <w:t>甲醇</w:t>
            </w:r>
          </w:p>
        </w:tc>
        <w:tc>
          <w:tcPr>
            <w:tcW w:w="1105" w:type="pct"/>
            <w:vAlign w:val="center"/>
          </w:tcPr>
          <w:p w14:paraId="62845DA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0.00004</w:t>
            </w:r>
          </w:p>
        </w:tc>
      </w:tr>
      <w:tr w14:paraId="05B3508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6568E60E">
            <w:pPr>
              <w:jc w:val="center"/>
              <w:rPr>
                <w:rFonts w:eastAsia="仿宋_GB2312"/>
                <w:b/>
                <w:bCs/>
                <w:color w:val="FF0000"/>
              </w:rPr>
            </w:pPr>
          </w:p>
        </w:tc>
        <w:tc>
          <w:tcPr>
            <w:tcW w:w="729" w:type="pct"/>
            <w:vMerge w:val="restart"/>
            <w:vAlign w:val="center"/>
          </w:tcPr>
          <w:p w14:paraId="187FBC2D">
            <w:pPr>
              <w:keepNext w:val="0"/>
              <w:keepLines w:val="0"/>
              <w:widowControl/>
              <w:suppressLineNumbers w:val="0"/>
              <w:jc w:val="center"/>
              <w:textAlignment w:val="center"/>
              <w:rPr>
                <w:rFonts w:eastAsia="仿宋_GB2312"/>
                <w:b/>
                <w:bCs/>
                <w:color w:val="FF0000"/>
              </w:rPr>
            </w:pPr>
            <w:r>
              <w:rPr>
                <w:rFonts w:hint="default" w:ascii="Times New Roman" w:hAnsi="Times New Roman" w:eastAsia="宋体" w:cs="Times New Roman"/>
                <w:i w:val="0"/>
                <w:iCs w:val="0"/>
                <w:color w:val="000000"/>
                <w:kern w:val="0"/>
                <w:sz w:val="21"/>
                <w:szCs w:val="21"/>
                <w:u w:val="none"/>
                <w:lang w:val="en-US" w:eastAsia="zh-CN" w:bidi="ar"/>
              </w:rPr>
              <w:t>G3-13-1</w:t>
            </w:r>
          </w:p>
        </w:tc>
        <w:tc>
          <w:tcPr>
            <w:tcW w:w="853" w:type="pct"/>
            <w:vMerge w:val="restart"/>
            <w:vAlign w:val="center"/>
          </w:tcPr>
          <w:p w14:paraId="4CE3AEC9">
            <w:pPr>
              <w:keepNext w:val="0"/>
              <w:keepLines w:val="0"/>
              <w:widowControl/>
              <w:suppressLineNumbers w:val="0"/>
              <w:jc w:val="center"/>
              <w:textAlignment w:val="center"/>
              <w:rPr>
                <w:rFonts w:eastAsia="仿宋_GB2312"/>
                <w:b/>
                <w:bCs/>
                <w:color w:val="FF0000"/>
              </w:rPr>
            </w:pPr>
            <w:r>
              <w:rPr>
                <w:rFonts w:hint="default" w:ascii="仿宋_GB2312" w:hAnsi="宋体" w:eastAsia="仿宋_GB2312" w:cs="仿宋_GB2312"/>
                <w:i w:val="0"/>
                <w:iCs w:val="0"/>
                <w:color w:val="000000"/>
                <w:kern w:val="0"/>
                <w:sz w:val="21"/>
                <w:szCs w:val="21"/>
                <w:u w:val="none"/>
                <w:lang w:val="en-US" w:eastAsia="zh-CN" w:bidi="ar"/>
              </w:rPr>
              <w:t>投料废气</w:t>
            </w:r>
          </w:p>
        </w:tc>
        <w:tc>
          <w:tcPr>
            <w:tcW w:w="1497" w:type="pct"/>
            <w:vAlign w:val="center"/>
          </w:tcPr>
          <w:p w14:paraId="127ADF0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w:t>
            </w:r>
            <w:r>
              <w:rPr>
                <w:rFonts w:hint="default" w:ascii="仿宋_GB2312" w:hAnsi="Times New Roman" w:eastAsia="仿宋_GB2312" w:cs="仿宋_GB2312"/>
                <w:i w:val="0"/>
                <w:iCs w:val="0"/>
                <w:color w:val="000000"/>
                <w:kern w:val="0"/>
                <w:sz w:val="21"/>
                <w:szCs w:val="21"/>
                <w:u w:val="none"/>
                <w:lang w:val="en-US" w:eastAsia="zh-CN" w:bidi="ar"/>
              </w:rPr>
              <w:t>甲基四氢呋喃</w:t>
            </w:r>
          </w:p>
        </w:tc>
        <w:tc>
          <w:tcPr>
            <w:tcW w:w="1105" w:type="pct"/>
            <w:vAlign w:val="center"/>
          </w:tcPr>
          <w:p w14:paraId="59C2E98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0.032</w:t>
            </w:r>
          </w:p>
        </w:tc>
      </w:tr>
      <w:tr w14:paraId="604436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233989AC">
            <w:pPr>
              <w:jc w:val="center"/>
              <w:rPr>
                <w:rFonts w:eastAsia="仿宋_GB2312"/>
                <w:b/>
                <w:bCs/>
                <w:color w:val="FF0000"/>
              </w:rPr>
            </w:pPr>
          </w:p>
        </w:tc>
        <w:tc>
          <w:tcPr>
            <w:tcW w:w="729" w:type="pct"/>
            <w:vMerge w:val="continue"/>
            <w:vAlign w:val="center"/>
          </w:tcPr>
          <w:p w14:paraId="531511B2">
            <w:pPr>
              <w:jc w:val="center"/>
              <w:rPr>
                <w:rFonts w:eastAsia="仿宋_GB2312"/>
                <w:b/>
                <w:bCs/>
                <w:color w:val="FF0000"/>
              </w:rPr>
            </w:pPr>
          </w:p>
        </w:tc>
        <w:tc>
          <w:tcPr>
            <w:tcW w:w="853" w:type="pct"/>
            <w:vMerge w:val="continue"/>
            <w:vAlign w:val="center"/>
          </w:tcPr>
          <w:p w14:paraId="1A354323">
            <w:pPr>
              <w:jc w:val="center"/>
              <w:rPr>
                <w:rFonts w:eastAsia="仿宋_GB2312"/>
                <w:b/>
                <w:bCs/>
                <w:color w:val="FF0000"/>
              </w:rPr>
            </w:pPr>
          </w:p>
        </w:tc>
        <w:tc>
          <w:tcPr>
            <w:tcW w:w="1497" w:type="pct"/>
            <w:vAlign w:val="center"/>
          </w:tcPr>
          <w:p w14:paraId="6C58DAF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21"/>
                <w:szCs w:val="21"/>
                <w:u w:val="none"/>
                <w:lang w:val="en-US" w:eastAsia="zh-CN" w:bidi="ar"/>
              </w:rPr>
              <w:t>其他有机物</w:t>
            </w:r>
          </w:p>
        </w:tc>
        <w:tc>
          <w:tcPr>
            <w:tcW w:w="1105" w:type="pct"/>
            <w:vAlign w:val="center"/>
          </w:tcPr>
          <w:p w14:paraId="6A332CA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0.0003</w:t>
            </w:r>
          </w:p>
        </w:tc>
      </w:tr>
      <w:tr w14:paraId="1FA34B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7D66181B">
            <w:pPr>
              <w:jc w:val="center"/>
              <w:rPr>
                <w:rFonts w:eastAsia="仿宋_GB2312"/>
                <w:b/>
                <w:bCs/>
                <w:color w:val="FF0000"/>
              </w:rPr>
            </w:pPr>
          </w:p>
        </w:tc>
        <w:tc>
          <w:tcPr>
            <w:tcW w:w="729" w:type="pct"/>
            <w:vAlign w:val="center"/>
          </w:tcPr>
          <w:p w14:paraId="6374B0B1">
            <w:pPr>
              <w:keepNext w:val="0"/>
              <w:keepLines w:val="0"/>
              <w:widowControl/>
              <w:suppressLineNumbers w:val="0"/>
              <w:jc w:val="center"/>
              <w:textAlignment w:val="center"/>
              <w:rPr>
                <w:rFonts w:eastAsia="仿宋_GB2312"/>
                <w:b/>
                <w:bCs/>
                <w:color w:val="FF0000"/>
              </w:rPr>
            </w:pPr>
            <w:r>
              <w:rPr>
                <w:rFonts w:hint="default" w:ascii="Times New Roman" w:hAnsi="Times New Roman" w:eastAsia="宋体" w:cs="Times New Roman"/>
                <w:i w:val="0"/>
                <w:iCs w:val="0"/>
                <w:color w:val="000000"/>
                <w:kern w:val="0"/>
                <w:sz w:val="21"/>
                <w:szCs w:val="21"/>
                <w:u w:val="none"/>
                <w:lang w:val="en-US" w:eastAsia="zh-CN" w:bidi="ar"/>
              </w:rPr>
              <w:t>G3-13-5</w:t>
            </w:r>
          </w:p>
        </w:tc>
        <w:tc>
          <w:tcPr>
            <w:tcW w:w="853" w:type="pct"/>
            <w:vAlign w:val="center"/>
          </w:tcPr>
          <w:p w14:paraId="6F1B502F">
            <w:pPr>
              <w:keepNext w:val="0"/>
              <w:keepLines w:val="0"/>
              <w:widowControl/>
              <w:suppressLineNumbers w:val="0"/>
              <w:jc w:val="center"/>
              <w:textAlignment w:val="center"/>
              <w:rPr>
                <w:rFonts w:eastAsia="仿宋_GB2312"/>
                <w:b/>
                <w:bCs/>
                <w:color w:val="FF0000"/>
              </w:rPr>
            </w:pPr>
            <w:r>
              <w:rPr>
                <w:rFonts w:hint="default" w:ascii="仿宋_GB2312" w:hAnsi="宋体" w:eastAsia="仿宋_GB2312" w:cs="仿宋_GB2312"/>
                <w:i w:val="0"/>
                <w:iCs w:val="0"/>
                <w:color w:val="000000"/>
                <w:kern w:val="0"/>
                <w:sz w:val="21"/>
                <w:szCs w:val="21"/>
                <w:u w:val="none"/>
                <w:lang w:val="en-US" w:eastAsia="zh-CN" w:bidi="ar"/>
              </w:rPr>
              <w:t>灌装废气</w:t>
            </w:r>
          </w:p>
        </w:tc>
        <w:tc>
          <w:tcPr>
            <w:tcW w:w="1497" w:type="pct"/>
            <w:vAlign w:val="center"/>
          </w:tcPr>
          <w:p w14:paraId="521EC61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w:t>
            </w:r>
            <w:r>
              <w:rPr>
                <w:rFonts w:hint="default" w:ascii="仿宋_GB2312" w:hAnsi="Times New Roman" w:eastAsia="仿宋_GB2312" w:cs="仿宋_GB2312"/>
                <w:i w:val="0"/>
                <w:iCs w:val="0"/>
                <w:color w:val="000000"/>
                <w:kern w:val="0"/>
                <w:sz w:val="21"/>
                <w:szCs w:val="21"/>
                <w:u w:val="none"/>
                <w:lang w:val="en-US" w:eastAsia="zh-CN" w:bidi="ar"/>
              </w:rPr>
              <w:t>甲基四氢呋喃</w:t>
            </w:r>
          </w:p>
        </w:tc>
        <w:tc>
          <w:tcPr>
            <w:tcW w:w="1105" w:type="pct"/>
            <w:vAlign w:val="center"/>
          </w:tcPr>
          <w:p w14:paraId="66BBFBE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0.027</w:t>
            </w:r>
          </w:p>
        </w:tc>
      </w:tr>
      <w:tr w14:paraId="5D2B8C7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212E3BB2">
            <w:pPr>
              <w:jc w:val="center"/>
              <w:rPr>
                <w:rFonts w:eastAsia="仿宋_GB2312"/>
                <w:b/>
                <w:bCs/>
                <w:color w:val="FF0000"/>
              </w:rPr>
            </w:pPr>
          </w:p>
        </w:tc>
        <w:tc>
          <w:tcPr>
            <w:tcW w:w="729" w:type="pct"/>
            <w:vMerge w:val="restart"/>
            <w:vAlign w:val="center"/>
          </w:tcPr>
          <w:p w14:paraId="7FE58A1E">
            <w:pPr>
              <w:keepNext w:val="0"/>
              <w:keepLines w:val="0"/>
              <w:widowControl/>
              <w:suppressLineNumbers w:val="0"/>
              <w:jc w:val="center"/>
              <w:textAlignment w:val="center"/>
              <w:rPr>
                <w:rFonts w:eastAsia="仿宋_GB2312"/>
                <w:b/>
                <w:bCs/>
                <w:color w:val="FF0000"/>
              </w:rPr>
            </w:pPr>
            <w:r>
              <w:rPr>
                <w:rFonts w:hint="default" w:ascii="Times New Roman" w:hAnsi="Times New Roman" w:eastAsia="宋体" w:cs="Times New Roman"/>
                <w:i w:val="0"/>
                <w:iCs w:val="0"/>
                <w:color w:val="000000"/>
                <w:kern w:val="0"/>
                <w:sz w:val="21"/>
                <w:szCs w:val="21"/>
                <w:u w:val="none"/>
                <w:lang w:val="en-US" w:eastAsia="zh-CN" w:bidi="ar"/>
              </w:rPr>
              <w:t>G3-14-1</w:t>
            </w:r>
          </w:p>
        </w:tc>
        <w:tc>
          <w:tcPr>
            <w:tcW w:w="853" w:type="pct"/>
            <w:vMerge w:val="restart"/>
            <w:vAlign w:val="center"/>
          </w:tcPr>
          <w:p w14:paraId="3DAD7CF4">
            <w:pPr>
              <w:keepNext w:val="0"/>
              <w:keepLines w:val="0"/>
              <w:widowControl/>
              <w:suppressLineNumbers w:val="0"/>
              <w:jc w:val="center"/>
              <w:textAlignment w:val="center"/>
              <w:rPr>
                <w:rFonts w:eastAsia="仿宋_GB2312"/>
                <w:b/>
                <w:bCs/>
                <w:color w:val="FF0000"/>
              </w:rPr>
            </w:pPr>
            <w:r>
              <w:rPr>
                <w:rFonts w:hint="default" w:ascii="仿宋_GB2312" w:hAnsi="宋体" w:eastAsia="仿宋_GB2312" w:cs="仿宋_GB2312"/>
                <w:i w:val="0"/>
                <w:iCs w:val="0"/>
                <w:color w:val="000000"/>
                <w:kern w:val="0"/>
                <w:sz w:val="21"/>
                <w:szCs w:val="21"/>
                <w:u w:val="none"/>
                <w:lang w:val="en-US" w:eastAsia="zh-CN" w:bidi="ar"/>
              </w:rPr>
              <w:t>投料废气</w:t>
            </w:r>
          </w:p>
        </w:tc>
        <w:tc>
          <w:tcPr>
            <w:tcW w:w="1497" w:type="pct"/>
            <w:vAlign w:val="center"/>
          </w:tcPr>
          <w:p w14:paraId="7103A43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21"/>
                <w:szCs w:val="21"/>
                <w:u w:val="none"/>
                <w:lang w:val="en-US" w:eastAsia="zh-CN" w:bidi="ar"/>
              </w:rPr>
              <w:t>甲基叔丁基醚</w:t>
            </w:r>
          </w:p>
        </w:tc>
        <w:tc>
          <w:tcPr>
            <w:tcW w:w="1105" w:type="pct"/>
            <w:vAlign w:val="center"/>
          </w:tcPr>
          <w:p w14:paraId="350362F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0.012</w:t>
            </w:r>
          </w:p>
        </w:tc>
      </w:tr>
      <w:tr w14:paraId="356B315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620DB9B5">
            <w:pPr>
              <w:jc w:val="center"/>
              <w:rPr>
                <w:rFonts w:eastAsia="仿宋_GB2312"/>
                <w:b/>
                <w:bCs/>
                <w:color w:val="FF0000"/>
              </w:rPr>
            </w:pPr>
          </w:p>
        </w:tc>
        <w:tc>
          <w:tcPr>
            <w:tcW w:w="729" w:type="pct"/>
            <w:vMerge w:val="continue"/>
            <w:vAlign w:val="center"/>
          </w:tcPr>
          <w:p w14:paraId="4540AF3D">
            <w:pPr>
              <w:jc w:val="center"/>
              <w:rPr>
                <w:rFonts w:eastAsia="仿宋_GB2312"/>
                <w:b/>
                <w:bCs/>
                <w:color w:val="FF0000"/>
              </w:rPr>
            </w:pPr>
          </w:p>
        </w:tc>
        <w:tc>
          <w:tcPr>
            <w:tcW w:w="853" w:type="pct"/>
            <w:vMerge w:val="continue"/>
            <w:vAlign w:val="center"/>
          </w:tcPr>
          <w:p w14:paraId="3568AFD0">
            <w:pPr>
              <w:jc w:val="center"/>
              <w:rPr>
                <w:rFonts w:eastAsia="仿宋_GB2312"/>
                <w:b/>
                <w:bCs/>
                <w:color w:val="FF0000"/>
              </w:rPr>
            </w:pPr>
          </w:p>
        </w:tc>
        <w:tc>
          <w:tcPr>
            <w:tcW w:w="1497" w:type="pct"/>
            <w:vAlign w:val="center"/>
          </w:tcPr>
          <w:p w14:paraId="5AA190E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21"/>
                <w:szCs w:val="21"/>
                <w:u w:val="none"/>
                <w:lang w:val="en-US" w:eastAsia="zh-CN" w:bidi="ar"/>
              </w:rPr>
              <w:t>甲醇</w:t>
            </w:r>
          </w:p>
        </w:tc>
        <w:tc>
          <w:tcPr>
            <w:tcW w:w="1105" w:type="pct"/>
            <w:vAlign w:val="center"/>
          </w:tcPr>
          <w:p w14:paraId="206FA51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0.00003</w:t>
            </w:r>
          </w:p>
        </w:tc>
      </w:tr>
      <w:tr w14:paraId="1657AE2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0008C39F">
            <w:pPr>
              <w:jc w:val="center"/>
              <w:rPr>
                <w:rFonts w:eastAsia="仿宋_GB2312"/>
                <w:b/>
                <w:bCs/>
                <w:color w:val="FF0000"/>
              </w:rPr>
            </w:pPr>
          </w:p>
        </w:tc>
        <w:tc>
          <w:tcPr>
            <w:tcW w:w="729" w:type="pct"/>
            <w:vMerge w:val="continue"/>
            <w:vAlign w:val="center"/>
          </w:tcPr>
          <w:p w14:paraId="3E319EE8">
            <w:pPr>
              <w:jc w:val="center"/>
              <w:rPr>
                <w:rFonts w:eastAsia="仿宋_GB2312"/>
                <w:b/>
                <w:bCs/>
                <w:color w:val="FF0000"/>
              </w:rPr>
            </w:pPr>
          </w:p>
        </w:tc>
        <w:tc>
          <w:tcPr>
            <w:tcW w:w="853" w:type="pct"/>
            <w:vMerge w:val="continue"/>
            <w:vAlign w:val="center"/>
          </w:tcPr>
          <w:p w14:paraId="033F1759">
            <w:pPr>
              <w:jc w:val="center"/>
              <w:rPr>
                <w:rFonts w:eastAsia="仿宋_GB2312"/>
                <w:b/>
                <w:bCs/>
                <w:color w:val="FF0000"/>
              </w:rPr>
            </w:pPr>
          </w:p>
        </w:tc>
        <w:tc>
          <w:tcPr>
            <w:tcW w:w="1497" w:type="pct"/>
            <w:vAlign w:val="center"/>
          </w:tcPr>
          <w:p w14:paraId="0E0850C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21"/>
                <w:szCs w:val="21"/>
                <w:u w:val="none"/>
                <w:lang w:val="en-US" w:eastAsia="zh-CN" w:bidi="ar"/>
              </w:rPr>
              <w:t>叔丁醇</w:t>
            </w:r>
          </w:p>
        </w:tc>
        <w:tc>
          <w:tcPr>
            <w:tcW w:w="1105" w:type="pct"/>
            <w:vAlign w:val="center"/>
          </w:tcPr>
          <w:p w14:paraId="342CFFC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0.00004</w:t>
            </w:r>
          </w:p>
        </w:tc>
      </w:tr>
      <w:tr w14:paraId="375209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115B96A0">
            <w:pPr>
              <w:jc w:val="center"/>
              <w:rPr>
                <w:rFonts w:eastAsia="仿宋_GB2312"/>
                <w:b/>
                <w:bCs/>
                <w:color w:val="FF0000"/>
              </w:rPr>
            </w:pPr>
          </w:p>
        </w:tc>
        <w:tc>
          <w:tcPr>
            <w:tcW w:w="729" w:type="pct"/>
            <w:vMerge w:val="continue"/>
            <w:vAlign w:val="center"/>
          </w:tcPr>
          <w:p w14:paraId="35BF1F1D">
            <w:pPr>
              <w:jc w:val="center"/>
              <w:rPr>
                <w:rFonts w:eastAsia="仿宋_GB2312"/>
                <w:b/>
                <w:bCs/>
                <w:color w:val="FF0000"/>
              </w:rPr>
            </w:pPr>
          </w:p>
        </w:tc>
        <w:tc>
          <w:tcPr>
            <w:tcW w:w="853" w:type="pct"/>
            <w:vMerge w:val="continue"/>
            <w:vAlign w:val="center"/>
          </w:tcPr>
          <w:p w14:paraId="0558CD49">
            <w:pPr>
              <w:jc w:val="center"/>
              <w:rPr>
                <w:rFonts w:eastAsia="仿宋_GB2312"/>
                <w:b/>
                <w:bCs/>
                <w:color w:val="FF0000"/>
              </w:rPr>
            </w:pPr>
          </w:p>
        </w:tc>
        <w:tc>
          <w:tcPr>
            <w:tcW w:w="1497" w:type="pct"/>
            <w:vAlign w:val="center"/>
          </w:tcPr>
          <w:p w14:paraId="546C646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21"/>
                <w:szCs w:val="21"/>
                <w:u w:val="none"/>
                <w:lang w:val="en-US" w:eastAsia="zh-CN" w:bidi="ar"/>
              </w:rPr>
              <w:t>甲基仲丁基醚</w:t>
            </w:r>
          </w:p>
        </w:tc>
        <w:tc>
          <w:tcPr>
            <w:tcW w:w="1105" w:type="pct"/>
            <w:vAlign w:val="center"/>
          </w:tcPr>
          <w:p w14:paraId="4A4894C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0.00003</w:t>
            </w:r>
          </w:p>
        </w:tc>
      </w:tr>
      <w:tr w14:paraId="08D044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769402BB">
            <w:pPr>
              <w:jc w:val="center"/>
              <w:rPr>
                <w:rFonts w:eastAsia="仿宋_GB2312"/>
                <w:b/>
                <w:bCs/>
                <w:color w:val="FF0000"/>
              </w:rPr>
            </w:pPr>
          </w:p>
        </w:tc>
        <w:tc>
          <w:tcPr>
            <w:tcW w:w="729" w:type="pct"/>
            <w:vMerge w:val="continue"/>
            <w:vAlign w:val="center"/>
          </w:tcPr>
          <w:p w14:paraId="45FBDDB0">
            <w:pPr>
              <w:jc w:val="center"/>
              <w:rPr>
                <w:rFonts w:eastAsia="仿宋_GB2312"/>
                <w:b/>
                <w:bCs/>
                <w:color w:val="FF0000"/>
              </w:rPr>
            </w:pPr>
          </w:p>
        </w:tc>
        <w:tc>
          <w:tcPr>
            <w:tcW w:w="853" w:type="pct"/>
            <w:vMerge w:val="continue"/>
            <w:vAlign w:val="center"/>
          </w:tcPr>
          <w:p w14:paraId="5684D3E3">
            <w:pPr>
              <w:jc w:val="center"/>
              <w:rPr>
                <w:rFonts w:eastAsia="仿宋_GB2312"/>
                <w:b/>
                <w:bCs/>
                <w:color w:val="FF0000"/>
              </w:rPr>
            </w:pPr>
          </w:p>
        </w:tc>
        <w:tc>
          <w:tcPr>
            <w:tcW w:w="1497" w:type="pct"/>
            <w:vAlign w:val="center"/>
          </w:tcPr>
          <w:p w14:paraId="727BED0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21"/>
                <w:szCs w:val="21"/>
                <w:u w:val="none"/>
                <w:lang w:val="en-US" w:eastAsia="zh-CN" w:bidi="ar"/>
              </w:rPr>
              <w:t>其他有机物</w:t>
            </w:r>
          </w:p>
        </w:tc>
        <w:tc>
          <w:tcPr>
            <w:tcW w:w="1105" w:type="pct"/>
            <w:vAlign w:val="center"/>
          </w:tcPr>
          <w:p w14:paraId="0566416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0.0001</w:t>
            </w:r>
          </w:p>
        </w:tc>
      </w:tr>
      <w:tr w14:paraId="53E825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5BAE3B17">
            <w:pPr>
              <w:jc w:val="center"/>
              <w:rPr>
                <w:rFonts w:eastAsia="仿宋_GB2312"/>
                <w:b/>
                <w:bCs/>
                <w:color w:val="FF0000"/>
              </w:rPr>
            </w:pPr>
          </w:p>
        </w:tc>
        <w:tc>
          <w:tcPr>
            <w:tcW w:w="729" w:type="pct"/>
            <w:vMerge w:val="restart"/>
            <w:vAlign w:val="center"/>
          </w:tcPr>
          <w:p w14:paraId="61C434F3">
            <w:pPr>
              <w:keepNext w:val="0"/>
              <w:keepLines w:val="0"/>
              <w:widowControl/>
              <w:suppressLineNumbers w:val="0"/>
              <w:jc w:val="center"/>
              <w:textAlignment w:val="center"/>
              <w:rPr>
                <w:rFonts w:eastAsia="仿宋_GB2312"/>
                <w:b/>
                <w:bCs/>
                <w:color w:val="FF0000"/>
              </w:rPr>
            </w:pPr>
            <w:r>
              <w:rPr>
                <w:rFonts w:hint="default" w:ascii="Times New Roman" w:hAnsi="Times New Roman" w:eastAsia="宋体" w:cs="Times New Roman"/>
                <w:i w:val="0"/>
                <w:iCs w:val="0"/>
                <w:color w:val="000000"/>
                <w:kern w:val="0"/>
                <w:sz w:val="21"/>
                <w:szCs w:val="21"/>
                <w:u w:val="none"/>
                <w:lang w:val="en-US" w:eastAsia="zh-CN" w:bidi="ar"/>
              </w:rPr>
              <w:t>G3-14-5</w:t>
            </w:r>
          </w:p>
        </w:tc>
        <w:tc>
          <w:tcPr>
            <w:tcW w:w="853" w:type="pct"/>
            <w:vMerge w:val="restart"/>
            <w:vAlign w:val="center"/>
          </w:tcPr>
          <w:p w14:paraId="5C0F7658">
            <w:pPr>
              <w:keepNext w:val="0"/>
              <w:keepLines w:val="0"/>
              <w:widowControl/>
              <w:suppressLineNumbers w:val="0"/>
              <w:jc w:val="center"/>
              <w:textAlignment w:val="center"/>
              <w:rPr>
                <w:rFonts w:eastAsia="仿宋_GB2312"/>
                <w:b/>
                <w:bCs/>
                <w:color w:val="FF0000"/>
              </w:rPr>
            </w:pPr>
            <w:r>
              <w:rPr>
                <w:rFonts w:hint="default" w:ascii="仿宋_GB2312" w:hAnsi="宋体" w:eastAsia="仿宋_GB2312" w:cs="仿宋_GB2312"/>
                <w:i w:val="0"/>
                <w:iCs w:val="0"/>
                <w:color w:val="000000"/>
                <w:kern w:val="0"/>
                <w:sz w:val="21"/>
                <w:szCs w:val="21"/>
                <w:u w:val="none"/>
                <w:lang w:val="en-US" w:eastAsia="zh-CN" w:bidi="ar"/>
              </w:rPr>
              <w:t>灌装废气</w:t>
            </w:r>
          </w:p>
        </w:tc>
        <w:tc>
          <w:tcPr>
            <w:tcW w:w="1497" w:type="pct"/>
            <w:vAlign w:val="center"/>
          </w:tcPr>
          <w:p w14:paraId="292EF5D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21"/>
                <w:szCs w:val="21"/>
                <w:u w:val="none"/>
                <w:lang w:val="en-US" w:eastAsia="zh-CN" w:bidi="ar"/>
              </w:rPr>
              <w:t>甲基叔丁基醚</w:t>
            </w:r>
          </w:p>
        </w:tc>
        <w:tc>
          <w:tcPr>
            <w:tcW w:w="1105" w:type="pct"/>
            <w:vAlign w:val="center"/>
          </w:tcPr>
          <w:p w14:paraId="615FF8E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0.018</w:t>
            </w:r>
          </w:p>
        </w:tc>
      </w:tr>
      <w:tr w14:paraId="14123E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3FB154E1">
            <w:pPr>
              <w:jc w:val="center"/>
              <w:rPr>
                <w:rFonts w:eastAsia="仿宋_GB2312"/>
                <w:b/>
                <w:bCs/>
                <w:color w:val="FF0000"/>
              </w:rPr>
            </w:pPr>
          </w:p>
        </w:tc>
        <w:tc>
          <w:tcPr>
            <w:tcW w:w="729" w:type="pct"/>
            <w:vMerge w:val="continue"/>
            <w:vAlign w:val="center"/>
          </w:tcPr>
          <w:p w14:paraId="145374DF">
            <w:pPr>
              <w:jc w:val="center"/>
              <w:rPr>
                <w:rFonts w:eastAsia="仿宋_GB2312"/>
                <w:b/>
                <w:bCs/>
                <w:color w:val="FF0000"/>
              </w:rPr>
            </w:pPr>
          </w:p>
        </w:tc>
        <w:tc>
          <w:tcPr>
            <w:tcW w:w="853" w:type="pct"/>
            <w:vMerge w:val="continue"/>
            <w:vAlign w:val="center"/>
          </w:tcPr>
          <w:p w14:paraId="3FF0C515">
            <w:pPr>
              <w:jc w:val="center"/>
              <w:rPr>
                <w:rFonts w:eastAsia="仿宋_GB2312"/>
                <w:b/>
                <w:bCs/>
                <w:color w:val="FF0000"/>
              </w:rPr>
            </w:pPr>
          </w:p>
        </w:tc>
        <w:tc>
          <w:tcPr>
            <w:tcW w:w="1497" w:type="pct"/>
            <w:vAlign w:val="center"/>
          </w:tcPr>
          <w:p w14:paraId="555D265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21"/>
                <w:szCs w:val="21"/>
                <w:u w:val="none"/>
                <w:lang w:val="en-US" w:eastAsia="zh-CN" w:bidi="ar"/>
              </w:rPr>
              <w:t>甲醇</w:t>
            </w:r>
          </w:p>
        </w:tc>
        <w:tc>
          <w:tcPr>
            <w:tcW w:w="1105" w:type="pct"/>
            <w:vAlign w:val="center"/>
          </w:tcPr>
          <w:p w14:paraId="2E1006A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0.00004</w:t>
            </w:r>
          </w:p>
        </w:tc>
      </w:tr>
      <w:tr w14:paraId="54DB22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56825A1E">
            <w:pPr>
              <w:jc w:val="center"/>
              <w:rPr>
                <w:rFonts w:eastAsia="仿宋_GB2312"/>
                <w:b/>
                <w:bCs/>
                <w:color w:val="FF0000"/>
              </w:rPr>
            </w:pPr>
          </w:p>
        </w:tc>
        <w:tc>
          <w:tcPr>
            <w:tcW w:w="729" w:type="pct"/>
            <w:vMerge w:val="continue"/>
            <w:vAlign w:val="center"/>
          </w:tcPr>
          <w:p w14:paraId="558BD85A">
            <w:pPr>
              <w:jc w:val="center"/>
              <w:rPr>
                <w:rFonts w:eastAsia="仿宋_GB2312"/>
                <w:b/>
                <w:bCs/>
                <w:color w:val="FF0000"/>
              </w:rPr>
            </w:pPr>
          </w:p>
        </w:tc>
        <w:tc>
          <w:tcPr>
            <w:tcW w:w="853" w:type="pct"/>
            <w:vMerge w:val="continue"/>
            <w:vAlign w:val="center"/>
          </w:tcPr>
          <w:p w14:paraId="0512C9D2">
            <w:pPr>
              <w:jc w:val="center"/>
              <w:rPr>
                <w:rFonts w:eastAsia="仿宋_GB2312"/>
                <w:b/>
                <w:bCs/>
                <w:color w:val="FF0000"/>
              </w:rPr>
            </w:pPr>
          </w:p>
        </w:tc>
        <w:tc>
          <w:tcPr>
            <w:tcW w:w="1497" w:type="pct"/>
            <w:vAlign w:val="center"/>
          </w:tcPr>
          <w:p w14:paraId="45ED47A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21"/>
                <w:szCs w:val="21"/>
                <w:u w:val="none"/>
                <w:lang w:val="en-US" w:eastAsia="zh-CN" w:bidi="ar"/>
              </w:rPr>
              <w:t>叔丁醇</w:t>
            </w:r>
          </w:p>
        </w:tc>
        <w:tc>
          <w:tcPr>
            <w:tcW w:w="1105" w:type="pct"/>
            <w:vAlign w:val="center"/>
          </w:tcPr>
          <w:p w14:paraId="635600B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0.0001</w:t>
            </w:r>
          </w:p>
        </w:tc>
      </w:tr>
      <w:tr w14:paraId="5340F4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2508C051">
            <w:pPr>
              <w:jc w:val="center"/>
              <w:rPr>
                <w:rFonts w:eastAsia="仿宋_GB2312"/>
                <w:b/>
                <w:bCs/>
                <w:color w:val="FF0000"/>
              </w:rPr>
            </w:pPr>
          </w:p>
        </w:tc>
        <w:tc>
          <w:tcPr>
            <w:tcW w:w="729" w:type="pct"/>
            <w:vMerge w:val="continue"/>
            <w:vAlign w:val="center"/>
          </w:tcPr>
          <w:p w14:paraId="4F8DC52B">
            <w:pPr>
              <w:jc w:val="center"/>
              <w:rPr>
                <w:rFonts w:eastAsia="仿宋_GB2312"/>
                <w:b/>
                <w:bCs/>
                <w:color w:val="FF0000"/>
              </w:rPr>
            </w:pPr>
          </w:p>
        </w:tc>
        <w:tc>
          <w:tcPr>
            <w:tcW w:w="853" w:type="pct"/>
            <w:vMerge w:val="continue"/>
            <w:vAlign w:val="center"/>
          </w:tcPr>
          <w:p w14:paraId="239FEBD2">
            <w:pPr>
              <w:jc w:val="center"/>
              <w:rPr>
                <w:rFonts w:eastAsia="仿宋_GB2312"/>
                <w:b/>
                <w:bCs/>
                <w:color w:val="FF0000"/>
              </w:rPr>
            </w:pPr>
          </w:p>
        </w:tc>
        <w:tc>
          <w:tcPr>
            <w:tcW w:w="1497" w:type="pct"/>
            <w:vAlign w:val="center"/>
          </w:tcPr>
          <w:p w14:paraId="6752011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21"/>
                <w:szCs w:val="21"/>
                <w:u w:val="none"/>
                <w:lang w:val="en-US" w:eastAsia="zh-CN" w:bidi="ar"/>
              </w:rPr>
              <w:t>甲基仲丁基醚</w:t>
            </w:r>
          </w:p>
        </w:tc>
        <w:tc>
          <w:tcPr>
            <w:tcW w:w="1105" w:type="pct"/>
            <w:vAlign w:val="center"/>
          </w:tcPr>
          <w:p w14:paraId="61E3C0E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0.00005</w:t>
            </w:r>
          </w:p>
        </w:tc>
      </w:tr>
      <w:tr w14:paraId="76FBE0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60D54BA7">
            <w:pPr>
              <w:jc w:val="center"/>
              <w:rPr>
                <w:rFonts w:eastAsia="仿宋_GB2312"/>
                <w:b/>
                <w:bCs/>
                <w:color w:val="FF0000"/>
              </w:rPr>
            </w:pPr>
          </w:p>
        </w:tc>
        <w:tc>
          <w:tcPr>
            <w:tcW w:w="729" w:type="pct"/>
            <w:vMerge w:val="restart"/>
            <w:vAlign w:val="center"/>
          </w:tcPr>
          <w:p w14:paraId="7F82BEE0">
            <w:pPr>
              <w:keepNext w:val="0"/>
              <w:keepLines w:val="0"/>
              <w:widowControl/>
              <w:suppressLineNumbers w:val="0"/>
              <w:jc w:val="center"/>
              <w:textAlignment w:val="center"/>
              <w:rPr>
                <w:rFonts w:eastAsia="仿宋_GB2312"/>
                <w:b/>
                <w:bCs/>
                <w:color w:val="FF0000"/>
              </w:rPr>
            </w:pPr>
            <w:r>
              <w:rPr>
                <w:rFonts w:hint="default" w:ascii="Times New Roman" w:hAnsi="Times New Roman" w:eastAsia="宋体" w:cs="Times New Roman"/>
                <w:i w:val="0"/>
                <w:iCs w:val="0"/>
                <w:color w:val="000000"/>
                <w:kern w:val="0"/>
                <w:sz w:val="21"/>
                <w:szCs w:val="21"/>
                <w:u w:val="none"/>
                <w:lang w:val="en-US" w:eastAsia="zh-CN" w:bidi="ar"/>
              </w:rPr>
              <w:t>G3-15-1</w:t>
            </w:r>
          </w:p>
        </w:tc>
        <w:tc>
          <w:tcPr>
            <w:tcW w:w="853" w:type="pct"/>
            <w:vMerge w:val="restart"/>
            <w:vAlign w:val="center"/>
          </w:tcPr>
          <w:p w14:paraId="7CF316C4">
            <w:pPr>
              <w:keepNext w:val="0"/>
              <w:keepLines w:val="0"/>
              <w:widowControl/>
              <w:suppressLineNumbers w:val="0"/>
              <w:jc w:val="center"/>
              <w:textAlignment w:val="center"/>
              <w:rPr>
                <w:rFonts w:eastAsia="仿宋_GB2312"/>
                <w:b/>
                <w:bCs/>
                <w:color w:val="FF0000"/>
              </w:rPr>
            </w:pPr>
            <w:r>
              <w:rPr>
                <w:rFonts w:hint="default" w:ascii="仿宋_GB2312" w:hAnsi="宋体" w:eastAsia="仿宋_GB2312" w:cs="仿宋_GB2312"/>
                <w:i w:val="0"/>
                <w:iCs w:val="0"/>
                <w:color w:val="000000"/>
                <w:kern w:val="0"/>
                <w:sz w:val="21"/>
                <w:szCs w:val="21"/>
                <w:u w:val="none"/>
                <w:lang w:val="en-US" w:eastAsia="zh-CN" w:bidi="ar"/>
              </w:rPr>
              <w:t>投料废气</w:t>
            </w:r>
          </w:p>
        </w:tc>
        <w:tc>
          <w:tcPr>
            <w:tcW w:w="1497" w:type="pct"/>
            <w:vAlign w:val="center"/>
          </w:tcPr>
          <w:p w14:paraId="03BE058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21"/>
                <w:szCs w:val="21"/>
                <w:u w:val="none"/>
                <w:lang w:val="en-US" w:eastAsia="zh-CN" w:bidi="ar"/>
              </w:rPr>
              <w:t>丙二醇甲醚醋酸酯</w:t>
            </w:r>
          </w:p>
        </w:tc>
        <w:tc>
          <w:tcPr>
            <w:tcW w:w="1105" w:type="pct"/>
            <w:vAlign w:val="center"/>
          </w:tcPr>
          <w:p w14:paraId="2D33DA8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0.008</w:t>
            </w:r>
          </w:p>
        </w:tc>
      </w:tr>
      <w:tr w14:paraId="72041D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3B430ECF">
            <w:pPr>
              <w:jc w:val="center"/>
              <w:rPr>
                <w:rFonts w:eastAsia="仿宋_GB2312"/>
                <w:b/>
                <w:bCs/>
                <w:color w:val="FF0000"/>
              </w:rPr>
            </w:pPr>
          </w:p>
        </w:tc>
        <w:tc>
          <w:tcPr>
            <w:tcW w:w="729" w:type="pct"/>
            <w:vMerge w:val="continue"/>
            <w:vAlign w:val="center"/>
          </w:tcPr>
          <w:p w14:paraId="05AA8378">
            <w:pPr>
              <w:jc w:val="center"/>
              <w:rPr>
                <w:rFonts w:eastAsia="仿宋_GB2312"/>
                <w:b/>
                <w:bCs/>
                <w:color w:val="FF0000"/>
              </w:rPr>
            </w:pPr>
          </w:p>
        </w:tc>
        <w:tc>
          <w:tcPr>
            <w:tcW w:w="853" w:type="pct"/>
            <w:vMerge w:val="continue"/>
            <w:vAlign w:val="center"/>
          </w:tcPr>
          <w:p w14:paraId="0AC89731">
            <w:pPr>
              <w:jc w:val="center"/>
              <w:rPr>
                <w:rFonts w:eastAsia="仿宋_GB2312"/>
                <w:b/>
                <w:bCs/>
                <w:color w:val="FF0000"/>
              </w:rPr>
            </w:pPr>
          </w:p>
        </w:tc>
        <w:tc>
          <w:tcPr>
            <w:tcW w:w="1497" w:type="pct"/>
            <w:vAlign w:val="center"/>
          </w:tcPr>
          <w:p w14:paraId="63C3837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w:t>
            </w:r>
            <w:r>
              <w:rPr>
                <w:rFonts w:hint="default" w:ascii="仿宋_GB2312" w:hAnsi="Times New Roman" w:eastAsia="仿宋_GB2312" w:cs="仿宋_GB2312"/>
                <w:i w:val="0"/>
                <w:iCs w:val="0"/>
                <w:color w:val="000000"/>
                <w:kern w:val="0"/>
                <w:sz w:val="21"/>
                <w:szCs w:val="21"/>
                <w:u w:val="none"/>
                <w:lang w:val="en-US" w:eastAsia="zh-CN" w:bidi="ar"/>
              </w:rPr>
              <w:t>甲氧基</w:t>
            </w:r>
            <w:r>
              <w:rPr>
                <w:rFonts w:hint="default" w:ascii="Times New Roman" w:hAnsi="Times New Roman" w:eastAsia="宋体" w:cs="Times New Roman"/>
                <w:i w:val="0"/>
                <w:iCs w:val="0"/>
                <w:color w:val="000000"/>
                <w:kern w:val="0"/>
                <w:sz w:val="21"/>
                <w:szCs w:val="21"/>
                <w:u w:val="none"/>
                <w:lang w:val="en-US" w:eastAsia="zh-CN" w:bidi="ar"/>
              </w:rPr>
              <w:t>-1-</w:t>
            </w:r>
            <w:r>
              <w:rPr>
                <w:rFonts w:hint="default" w:ascii="仿宋_GB2312" w:hAnsi="Times New Roman" w:eastAsia="仿宋_GB2312" w:cs="仿宋_GB2312"/>
                <w:i w:val="0"/>
                <w:iCs w:val="0"/>
                <w:color w:val="000000"/>
                <w:kern w:val="0"/>
                <w:sz w:val="21"/>
                <w:szCs w:val="21"/>
                <w:u w:val="none"/>
                <w:lang w:val="en-US" w:eastAsia="zh-CN" w:bidi="ar"/>
              </w:rPr>
              <w:t>丙醇乙酸酯</w:t>
            </w:r>
          </w:p>
        </w:tc>
        <w:tc>
          <w:tcPr>
            <w:tcW w:w="1105" w:type="pct"/>
            <w:vAlign w:val="center"/>
          </w:tcPr>
          <w:p w14:paraId="6531696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0.00002</w:t>
            </w:r>
          </w:p>
        </w:tc>
      </w:tr>
      <w:tr w14:paraId="7284F4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08FC494D">
            <w:pPr>
              <w:jc w:val="center"/>
              <w:rPr>
                <w:rFonts w:eastAsia="仿宋_GB2312"/>
                <w:b/>
                <w:bCs/>
                <w:color w:val="FF0000"/>
              </w:rPr>
            </w:pPr>
          </w:p>
        </w:tc>
        <w:tc>
          <w:tcPr>
            <w:tcW w:w="729" w:type="pct"/>
            <w:vMerge w:val="continue"/>
            <w:vAlign w:val="center"/>
          </w:tcPr>
          <w:p w14:paraId="193C7DE8">
            <w:pPr>
              <w:jc w:val="center"/>
              <w:rPr>
                <w:rFonts w:eastAsia="仿宋_GB2312"/>
                <w:b/>
                <w:bCs/>
                <w:color w:val="FF0000"/>
              </w:rPr>
            </w:pPr>
          </w:p>
        </w:tc>
        <w:tc>
          <w:tcPr>
            <w:tcW w:w="853" w:type="pct"/>
            <w:vMerge w:val="continue"/>
            <w:vAlign w:val="center"/>
          </w:tcPr>
          <w:p w14:paraId="10FAC6C1">
            <w:pPr>
              <w:jc w:val="center"/>
              <w:rPr>
                <w:rFonts w:eastAsia="仿宋_GB2312"/>
                <w:b/>
                <w:bCs/>
                <w:color w:val="FF0000"/>
              </w:rPr>
            </w:pPr>
          </w:p>
        </w:tc>
        <w:tc>
          <w:tcPr>
            <w:tcW w:w="1497" w:type="pct"/>
            <w:vAlign w:val="center"/>
          </w:tcPr>
          <w:p w14:paraId="02B4905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21"/>
                <w:szCs w:val="21"/>
                <w:u w:val="none"/>
                <w:lang w:val="en-US" w:eastAsia="zh-CN" w:bidi="ar"/>
              </w:rPr>
              <w:t>其他有机物</w:t>
            </w:r>
          </w:p>
        </w:tc>
        <w:tc>
          <w:tcPr>
            <w:tcW w:w="1105" w:type="pct"/>
            <w:vAlign w:val="center"/>
          </w:tcPr>
          <w:p w14:paraId="6ABB6A6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0.0001</w:t>
            </w:r>
          </w:p>
        </w:tc>
      </w:tr>
      <w:tr w14:paraId="47A554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2CC16D12">
            <w:pPr>
              <w:jc w:val="center"/>
              <w:rPr>
                <w:rFonts w:eastAsia="仿宋_GB2312"/>
                <w:b/>
                <w:bCs/>
                <w:color w:val="FF0000"/>
              </w:rPr>
            </w:pPr>
          </w:p>
        </w:tc>
        <w:tc>
          <w:tcPr>
            <w:tcW w:w="729" w:type="pct"/>
            <w:vMerge w:val="restart"/>
            <w:vAlign w:val="center"/>
          </w:tcPr>
          <w:p w14:paraId="21CDDE95">
            <w:pPr>
              <w:keepNext w:val="0"/>
              <w:keepLines w:val="0"/>
              <w:widowControl/>
              <w:suppressLineNumbers w:val="0"/>
              <w:jc w:val="center"/>
              <w:textAlignment w:val="center"/>
              <w:rPr>
                <w:rFonts w:eastAsia="仿宋_GB2312"/>
                <w:b/>
                <w:bCs/>
                <w:color w:val="FF0000"/>
              </w:rPr>
            </w:pPr>
            <w:r>
              <w:rPr>
                <w:rFonts w:hint="default" w:ascii="Times New Roman" w:hAnsi="Times New Roman" w:eastAsia="宋体" w:cs="Times New Roman"/>
                <w:i w:val="0"/>
                <w:iCs w:val="0"/>
                <w:color w:val="000000"/>
                <w:kern w:val="0"/>
                <w:sz w:val="21"/>
                <w:szCs w:val="21"/>
                <w:u w:val="none"/>
                <w:lang w:val="en-US" w:eastAsia="zh-CN" w:bidi="ar"/>
              </w:rPr>
              <w:t>G3-15-5</w:t>
            </w:r>
          </w:p>
        </w:tc>
        <w:tc>
          <w:tcPr>
            <w:tcW w:w="853" w:type="pct"/>
            <w:vMerge w:val="restart"/>
            <w:vAlign w:val="center"/>
          </w:tcPr>
          <w:p w14:paraId="198A7945">
            <w:pPr>
              <w:keepNext w:val="0"/>
              <w:keepLines w:val="0"/>
              <w:widowControl/>
              <w:suppressLineNumbers w:val="0"/>
              <w:jc w:val="center"/>
              <w:textAlignment w:val="center"/>
              <w:rPr>
                <w:rFonts w:eastAsia="仿宋_GB2312"/>
                <w:b/>
                <w:bCs/>
                <w:color w:val="FF0000"/>
              </w:rPr>
            </w:pPr>
            <w:r>
              <w:rPr>
                <w:rFonts w:hint="default" w:ascii="仿宋_GB2312" w:hAnsi="宋体" w:eastAsia="仿宋_GB2312" w:cs="仿宋_GB2312"/>
                <w:i w:val="0"/>
                <w:iCs w:val="0"/>
                <w:color w:val="000000"/>
                <w:kern w:val="0"/>
                <w:sz w:val="21"/>
                <w:szCs w:val="21"/>
                <w:u w:val="none"/>
                <w:lang w:val="en-US" w:eastAsia="zh-CN" w:bidi="ar"/>
              </w:rPr>
              <w:t>灌装废气</w:t>
            </w:r>
          </w:p>
        </w:tc>
        <w:tc>
          <w:tcPr>
            <w:tcW w:w="1497" w:type="pct"/>
            <w:vAlign w:val="center"/>
          </w:tcPr>
          <w:p w14:paraId="4E7D2B0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21"/>
                <w:szCs w:val="21"/>
                <w:u w:val="none"/>
                <w:lang w:val="en-US" w:eastAsia="zh-CN" w:bidi="ar"/>
              </w:rPr>
              <w:t>丙二醇甲醚醋酸酯</w:t>
            </w:r>
          </w:p>
        </w:tc>
        <w:tc>
          <w:tcPr>
            <w:tcW w:w="1105" w:type="pct"/>
            <w:vAlign w:val="center"/>
          </w:tcPr>
          <w:p w14:paraId="158A2B0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0.012</w:t>
            </w:r>
          </w:p>
        </w:tc>
      </w:tr>
      <w:tr w14:paraId="0B1517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5811D022">
            <w:pPr>
              <w:jc w:val="center"/>
              <w:rPr>
                <w:rFonts w:eastAsia="仿宋_GB2312"/>
                <w:b/>
                <w:bCs/>
                <w:color w:val="FF0000"/>
              </w:rPr>
            </w:pPr>
          </w:p>
        </w:tc>
        <w:tc>
          <w:tcPr>
            <w:tcW w:w="729" w:type="pct"/>
            <w:vMerge w:val="continue"/>
            <w:vAlign w:val="center"/>
          </w:tcPr>
          <w:p w14:paraId="468DF58E">
            <w:pPr>
              <w:jc w:val="center"/>
              <w:rPr>
                <w:rFonts w:eastAsia="仿宋_GB2312"/>
                <w:b/>
                <w:bCs/>
                <w:color w:val="FF0000"/>
              </w:rPr>
            </w:pPr>
          </w:p>
        </w:tc>
        <w:tc>
          <w:tcPr>
            <w:tcW w:w="853" w:type="pct"/>
            <w:vMerge w:val="continue"/>
            <w:vAlign w:val="center"/>
          </w:tcPr>
          <w:p w14:paraId="2E77E07F">
            <w:pPr>
              <w:jc w:val="center"/>
              <w:rPr>
                <w:rFonts w:eastAsia="仿宋_GB2312"/>
                <w:b/>
                <w:bCs/>
                <w:color w:val="FF0000"/>
              </w:rPr>
            </w:pPr>
          </w:p>
        </w:tc>
        <w:tc>
          <w:tcPr>
            <w:tcW w:w="1497" w:type="pct"/>
            <w:vAlign w:val="center"/>
          </w:tcPr>
          <w:p w14:paraId="0354162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w:t>
            </w:r>
            <w:r>
              <w:rPr>
                <w:rFonts w:hint="default" w:ascii="仿宋_GB2312" w:hAnsi="Times New Roman" w:eastAsia="仿宋_GB2312" w:cs="仿宋_GB2312"/>
                <w:i w:val="0"/>
                <w:iCs w:val="0"/>
                <w:color w:val="000000"/>
                <w:kern w:val="0"/>
                <w:sz w:val="21"/>
                <w:szCs w:val="21"/>
                <w:u w:val="none"/>
                <w:lang w:val="en-US" w:eastAsia="zh-CN" w:bidi="ar"/>
              </w:rPr>
              <w:t>甲氧基</w:t>
            </w:r>
            <w:r>
              <w:rPr>
                <w:rFonts w:hint="default" w:ascii="Times New Roman" w:hAnsi="Times New Roman" w:eastAsia="宋体" w:cs="Times New Roman"/>
                <w:i w:val="0"/>
                <w:iCs w:val="0"/>
                <w:color w:val="000000"/>
                <w:kern w:val="0"/>
                <w:sz w:val="21"/>
                <w:szCs w:val="21"/>
                <w:u w:val="none"/>
                <w:lang w:val="en-US" w:eastAsia="zh-CN" w:bidi="ar"/>
              </w:rPr>
              <w:t>-1-</w:t>
            </w:r>
            <w:r>
              <w:rPr>
                <w:rFonts w:hint="default" w:ascii="仿宋_GB2312" w:hAnsi="Times New Roman" w:eastAsia="仿宋_GB2312" w:cs="仿宋_GB2312"/>
                <w:i w:val="0"/>
                <w:iCs w:val="0"/>
                <w:color w:val="000000"/>
                <w:kern w:val="0"/>
                <w:sz w:val="21"/>
                <w:szCs w:val="21"/>
                <w:u w:val="none"/>
                <w:lang w:val="en-US" w:eastAsia="zh-CN" w:bidi="ar"/>
              </w:rPr>
              <w:t>丙醇乙酸酯</w:t>
            </w:r>
          </w:p>
        </w:tc>
        <w:tc>
          <w:tcPr>
            <w:tcW w:w="1105" w:type="pct"/>
            <w:vAlign w:val="center"/>
          </w:tcPr>
          <w:p w14:paraId="24A063D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0.00003</w:t>
            </w:r>
          </w:p>
        </w:tc>
      </w:tr>
      <w:tr w14:paraId="217629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5973C93A">
            <w:pPr>
              <w:jc w:val="center"/>
              <w:rPr>
                <w:rFonts w:eastAsia="仿宋_GB2312"/>
                <w:b/>
                <w:bCs/>
                <w:color w:val="FF0000"/>
              </w:rPr>
            </w:pPr>
          </w:p>
        </w:tc>
        <w:tc>
          <w:tcPr>
            <w:tcW w:w="729" w:type="pct"/>
            <w:vAlign w:val="center"/>
          </w:tcPr>
          <w:p w14:paraId="5ADC1EF2">
            <w:pPr>
              <w:keepNext w:val="0"/>
              <w:keepLines w:val="0"/>
              <w:widowControl/>
              <w:suppressLineNumbers w:val="0"/>
              <w:jc w:val="center"/>
              <w:textAlignment w:val="center"/>
              <w:rPr>
                <w:rFonts w:eastAsia="仿宋_GB2312"/>
                <w:b/>
                <w:bCs/>
                <w:color w:val="FF0000"/>
              </w:rPr>
            </w:pPr>
            <w:r>
              <w:rPr>
                <w:rFonts w:hint="default" w:ascii="Times New Roman" w:hAnsi="Times New Roman" w:eastAsia="宋体" w:cs="Times New Roman"/>
                <w:i w:val="0"/>
                <w:iCs w:val="0"/>
                <w:color w:val="000000"/>
                <w:kern w:val="0"/>
                <w:sz w:val="21"/>
                <w:szCs w:val="21"/>
                <w:u w:val="none"/>
                <w:lang w:val="en-US" w:eastAsia="zh-CN" w:bidi="ar"/>
              </w:rPr>
              <w:t>G4-1-1</w:t>
            </w:r>
          </w:p>
        </w:tc>
        <w:tc>
          <w:tcPr>
            <w:tcW w:w="853" w:type="pct"/>
            <w:vAlign w:val="center"/>
          </w:tcPr>
          <w:p w14:paraId="372AA7CB">
            <w:pPr>
              <w:keepNext w:val="0"/>
              <w:keepLines w:val="0"/>
              <w:widowControl/>
              <w:suppressLineNumbers w:val="0"/>
              <w:jc w:val="center"/>
              <w:textAlignment w:val="center"/>
              <w:rPr>
                <w:rFonts w:eastAsia="仿宋_GB2312"/>
                <w:b/>
                <w:bCs/>
                <w:color w:val="FF0000"/>
              </w:rPr>
            </w:pPr>
            <w:r>
              <w:rPr>
                <w:rFonts w:hint="default" w:ascii="仿宋_GB2312" w:hAnsi="宋体" w:eastAsia="仿宋_GB2312" w:cs="仿宋_GB2312"/>
                <w:i w:val="0"/>
                <w:iCs w:val="0"/>
                <w:color w:val="000000"/>
                <w:kern w:val="0"/>
                <w:sz w:val="21"/>
                <w:szCs w:val="21"/>
                <w:u w:val="none"/>
                <w:lang w:val="en-US" w:eastAsia="zh-CN" w:bidi="ar"/>
              </w:rPr>
              <w:t>投料废气</w:t>
            </w:r>
          </w:p>
        </w:tc>
        <w:tc>
          <w:tcPr>
            <w:tcW w:w="1497" w:type="pct"/>
            <w:vAlign w:val="center"/>
          </w:tcPr>
          <w:p w14:paraId="0D5AC2D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21"/>
                <w:szCs w:val="21"/>
                <w:u w:val="none"/>
                <w:lang w:val="en-US" w:eastAsia="zh-CN" w:bidi="ar"/>
              </w:rPr>
              <w:t>乙醇</w:t>
            </w:r>
          </w:p>
        </w:tc>
        <w:tc>
          <w:tcPr>
            <w:tcW w:w="1105" w:type="pct"/>
            <w:vAlign w:val="center"/>
          </w:tcPr>
          <w:p w14:paraId="6A40A4A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0.02</w:t>
            </w:r>
          </w:p>
        </w:tc>
      </w:tr>
      <w:tr w14:paraId="3C158E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6097ED14">
            <w:pPr>
              <w:jc w:val="center"/>
              <w:rPr>
                <w:rFonts w:eastAsia="仿宋_GB2312"/>
                <w:b/>
                <w:bCs/>
                <w:color w:val="FF0000"/>
              </w:rPr>
            </w:pPr>
          </w:p>
        </w:tc>
        <w:tc>
          <w:tcPr>
            <w:tcW w:w="729" w:type="pct"/>
            <w:vAlign w:val="center"/>
          </w:tcPr>
          <w:p w14:paraId="0CF47E80">
            <w:pPr>
              <w:keepNext w:val="0"/>
              <w:keepLines w:val="0"/>
              <w:widowControl/>
              <w:suppressLineNumbers w:val="0"/>
              <w:jc w:val="center"/>
              <w:textAlignment w:val="center"/>
              <w:rPr>
                <w:rFonts w:eastAsia="仿宋_GB2312"/>
                <w:b/>
                <w:bCs/>
                <w:color w:val="FF0000"/>
              </w:rPr>
            </w:pPr>
            <w:r>
              <w:rPr>
                <w:rFonts w:hint="default" w:ascii="Times New Roman" w:hAnsi="Times New Roman" w:eastAsia="宋体" w:cs="Times New Roman"/>
                <w:i w:val="0"/>
                <w:iCs w:val="0"/>
                <w:color w:val="000000"/>
                <w:kern w:val="0"/>
                <w:sz w:val="21"/>
                <w:szCs w:val="21"/>
                <w:u w:val="none"/>
                <w:lang w:val="en-US" w:eastAsia="zh-CN" w:bidi="ar"/>
              </w:rPr>
              <w:t>G4-1-4</w:t>
            </w:r>
          </w:p>
        </w:tc>
        <w:tc>
          <w:tcPr>
            <w:tcW w:w="853" w:type="pct"/>
            <w:vAlign w:val="center"/>
          </w:tcPr>
          <w:p w14:paraId="30C0E662">
            <w:pPr>
              <w:keepNext w:val="0"/>
              <w:keepLines w:val="0"/>
              <w:widowControl/>
              <w:suppressLineNumbers w:val="0"/>
              <w:jc w:val="center"/>
              <w:textAlignment w:val="center"/>
              <w:rPr>
                <w:rFonts w:eastAsia="仿宋_GB2312"/>
                <w:b/>
                <w:bCs/>
                <w:color w:val="FF0000"/>
              </w:rPr>
            </w:pPr>
            <w:r>
              <w:rPr>
                <w:rFonts w:hint="default" w:ascii="仿宋_GB2312" w:hAnsi="宋体" w:eastAsia="仿宋_GB2312" w:cs="仿宋_GB2312"/>
                <w:i w:val="0"/>
                <w:iCs w:val="0"/>
                <w:color w:val="000000"/>
                <w:kern w:val="0"/>
                <w:sz w:val="21"/>
                <w:szCs w:val="21"/>
                <w:u w:val="none"/>
                <w:lang w:val="en-US" w:eastAsia="zh-CN" w:bidi="ar"/>
              </w:rPr>
              <w:t>灌装废气</w:t>
            </w:r>
          </w:p>
        </w:tc>
        <w:tc>
          <w:tcPr>
            <w:tcW w:w="1497" w:type="pct"/>
            <w:vAlign w:val="center"/>
          </w:tcPr>
          <w:p w14:paraId="46159AD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21"/>
                <w:szCs w:val="21"/>
                <w:u w:val="none"/>
                <w:lang w:val="en-US" w:eastAsia="zh-CN" w:bidi="ar"/>
              </w:rPr>
              <w:t>乙醇</w:t>
            </w:r>
          </w:p>
        </w:tc>
        <w:tc>
          <w:tcPr>
            <w:tcW w:w="1105" w:type="pct"/>
            <w:vAlign w:val="center"/>
          </w:tcPr>
          <w:p w14:paraId="081CE7C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0.029</w:t>
            </w:r>
          </w:p>
        </w:tc>
      </w:tr>
      <w:tr w14:paraId="64CECE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3EF9436C">
            <w:pPr>
              <w:jc w:val="center"/>
              <w:rPr>
                <w:rFonts w:eastAsia="仿宋_GB2312"/>
                <w:b/>
                <w:bCs/>
                <w:color w:val="FF0000"/>
              </w:rPr>
            </w:pPr>
          </w:p>
        </w:tc>
        <w:tc>
          <w:tcPr>
            <w:tcW w:w="729" w:type="pct"/>
            <w:vAlign w:val="center"/>
          </w:tcPr>
          <w:p w14:paraId="4AA8261A">
            <w:pPr>
              <w:keepNext w:val="0"/>
              <w:keepLines w:val="0"/>
              <w:widowControl/>
              <w:suppressLineNumbers w:val="0"/>
              <w:jc w:val="center"/>
              <w:textAlignment w:val="center"/>
              <w:rPr>
                <w:rFonts w:eastAsia="仿宋_GB2312"/>
                <w:b/>
                <w:bCs/>
                <w:color w:val="FF0000"/>
              </w:rPr>
            </w:pPr>
            <w:r>
              <w:rPr>
                <w:rFonts w:hint="default" w:ascii="Times New Roman" w:hAnsi="Times New Roman" w:eastAsia="宋体" w:cs="Times New Roman"/>
                <w:i w:val="0"/>
                <w:iCs w:val="0"/>
                <w:color w:val="000000"/>
                <w:kern w:val="0"/>
                <w:sz w:val="21"/>
                <w:szCs w:val="21"/>
                <w:u w:val="none"/>
                <w:lang w:val="en-US" w:eastAsia="zh-CN" w:bidi="ar"/>
              </w:rPr>
              <w:t>G4-2-1</w:t>
            </w:r>
          </w:p>
        </w:tc>
        <w:tc>
          <w:tcPr>
            <w:tcW w:w="853" w:type="pct"/>
            <w:vAlign w:val="center"/>
          </w:tcPr>
          <w:p w14:paraId="3C39262A">
            <w:pPr>
              <w:keepNext w:val="0"/>
              <w:keepLines w:val="0"/>
              <w:widowControl/>
              <w:suppressLineNumbers w:val="0"/>
              <w:jc w:val="center"/>
              <w:textAlignment w:val="center"/>
              <w:rPr>
                <w:rFonts w:eastAsia="仿宋_GB2312"/>
                <w:b/>
                <w:bCs/>
                <w:color w:val="FF0000"/>
              </w:rPr>
            </w:pPr>
            <w:r>
              <w:rPr>
                <w:rFonts w:hint="default" w:ascii="仿宋_GB2312" w:hAnsi="宋体" w:eastAsia="仿宋_GB2312" w:cs="仿宋_GB2312"/>
                <w:i w:val="0"/>
                <w:iCs w:val="0"/>
                <w:color w:val="000000"/>
                <w:kern w:val="0"/>
                <w:sz w:val="21"/>
                <w:szCs w:val="21"/>
                <w:u w:val="none"/>
                <w:lang w:val="en-US" w:eastAsia="zh-CN" w:bidi="ar"/>
              </w:rPr>
              <w:t>投料废气</w:t>
            </w:r>
          </w:p>
        </w:tc>
        <w:tc>
          <w:tcPr>
            <w:tcW w:w="1497" w:type="pct"/>
            <w:vAlign w:val="center"/>
          </w:tcPr>
          <w:p w14:paraId="5AA2BB9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21"/>
                <w:szCs w:val="21"/>
                <w:u w:val="none"/>
                <w:lang w:val="en-US" w:eastAsia="zh-CN" w:bidi="ar"/>
              </w:rPr>
              <w:t>甲醇</w:t>
            </w:r>
          </w:p>
        </w:tc>
        <w:tc>
          <w:tcPr>
            <w:tcW w:w="1105" w:type="pct"/>
            <w:vAlign w:val="center"/>
          </w:tcPr>
          <w:p w14:paraId="02B117A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0.029</w:t>
            </w:r>
          </w:p>
        </w:tc>
      </w:tr>
      <w:tr w14:paraId="0A616C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62929A57">
            <w:pPr>
              <w:jc w:val="center"/>
              <w:rPr>
                <w:rFonts w:eastAsia="仿宋_GB2312"/>
                <w:b/>
                <w:bCs/>
                <w:color w:val="FF0000"/>
              </w:rPr>
            </w:pPr>
          </w:p>
        </w:tc>
        <w:tc>
          <w:tcPr>
            <w:tcW w:w="729" w:type="pct"/>
            <w:vAlign w:val="center"/>
          </w:tcPr>
          <w:p w14:paraId="33B7FB56">
            <w:pPr>
              <w:keepNext w:val="0"/>
              <w:keepLines w:val="0"/>
              <w:widowControl/>
              <w:suppressLineNumbers w:val="0"/>
              <w:jc w:val="center"/>
              <w:textAlignment w:val="center"/>
              <w:rPr>
                <w:rFonts w:eastAsia="仿宋_GB2312"/>
                <w:b/>
                <w:bCs/>
                <w:color w:val="FF0000"/>
              </w:rPr>
            </w:pPr>
            <w:r>
              <w:rPr>
                <w:rFonts w:hint="default" w:ascii="Times New Roman" w:hAnsi="Times New Roman" w:eastAsia="宋体" w:cs="Times New Roman"/>
                <w:i w:val="0"/>
                <w:iCs w:val="0"/>
                <w:color w:val="000000"/>
                <w:kern w:val="0"/>
                <w:sz w:val="21"/>
                <w:szCs w:val="21"/>
                <w:u w:val="none"/>
                <w:lang w:val="en-US" w:eastAsia="zh-CN" w:bidi="ar"/>
              </w:rPr>
              <w:t>G4-2-4</w:t>
            </w:r>
          </w:p>
        </w:tc>
        <w:tc>
          <w:tcPr>
            <w:tcW w:w="853" w:type="pct"/>
            <w:vAlign w:val="center"/>
          </w:tcPr>
          <w:p w14:paraId="37114777">
            <w:pPr>
              <w:keepNext w:val="0"/>
              <w:keepLines w:val="0"/>
              <w:widowControl/>
              <w:suppressLineNumbers w:val="0"/>
              <w:jc w:val="center"/>
              <w:textAlignment w:val="center"/>
              <w:rPr>
                <w:rFonts w:eastAsia="仿宋_GB2312"/>
                <w:b/>
                <w:bCs/>
                <w:color w:val="FF0000"/>
              </w:rPr>
            </w:pPr>
            <w:r>
              <w:rPr>
                <w:rFonts w:hint="default" w:ascii="仿宋_GB2312" w:hAnsi="宋体" w:eastAsia="仿宋_GB2312" w:cs="仿宋_GB2312"/>
                <w:i w:val="0"/>
                <w:iCs w:val="0"/>
                <w:color w:val="000000"/>
                <w:kern w:val="0"/>
                <w:sz w:val="21"/>
                <w:szCs w:val="21"/>
                <w:u w:val="none"/>
                <w:lang w:val="en-US" w:eastAsia="zh-CN" w:bidi="ar"/>
              </w:rPr>
              <w:t>灌装废气</w:t>
            </w:r>
          </w:p>
        </w:tc>
        <w:tc>
          <w:tcPr>
            <w:tcW w:w="1497" w:type="pct"/>
            <w:vAlign w:val="center"/>
          </w:tcPr>
          <w:p w14:paraId="6085D4B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21"/>
                <w:szCs w:val="21"/>
                <w:u w:val="none"/>
                <w:lang w:val="en-US" w:eastAsia="zh-CN" w:bidi="ar"/>
              </w:rPr>
              <w:t>甲醇</w:t>
            </w:r>
          </w:p>
        </w:tc>
        <w:tc>
          <w:tcPr>
            <w:tcW w:w="1105" w:type="pct"/>
            <w:vAlign w:val="center"/>
          </w:tcPr>
          <w:p w14:paraId="2E33BF2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0.042</w:t>
            </w:r>
          </w:p>
        </w:tc>
      </w:tr>
      <w:tr w14:paraId="797915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6A4CCF38">
            <w:pPr>
              <w:jc w:val="center"/>
              <w:rPr>
                <w:rFonts w:eastAsia="仿宋_GB2312"/>
                <w:b/>
                <w:bCs/>
                <w:color w:val="FF0000"/>
              </w:rPr>
            </w:pPr>
          </w:p>
        </w:tc>
        <w:tc>
          <w:tcPr>
            <w:tcW w:w="729" w:type="pct"/>
            <w:vAlign w:val="center"/>
          </w:tcPr>
          <w:p w14:paraId="7667AFE6">
            <w:pPr>
              <w:keepNext w:val="0"/>
              <w:keepLines w:val="0"/>
              <w:widowControl/>
              <w:suppressLineNumbers w:val="0"/>
              <w:jc w:val="center"/>
              <w:textAlignment w:val="center"/>
              <w:rPr>
                <w:rFonts w:eastAsia="仿宋_GB2312"/>
                <w:b/>
                <w:bCs/>
                <w:color w:val="FF0000"/>
              </w:rPr>
            </w:pPr>
            <w:r>
              <w:rPr>
                <w:rFonts w:hint="default" w:ascii="Times New Roman" w:hAnsi="Times New Roman" w:eastAsia="宋体" w:cs="Times New Roman"/>
                <w:i w:val="0"/>
                <w:iCs w:val="0"/>
                <w:color w:val="000000"/>
                <w:kern w:val="0"/>
                <w:sz w:val="21"/>
                <w:szCs w:val="21"/>
                <w:u w:val="none"/>
                <w:lang w:val="en-US" w:eastAsia="zh-CN" w:bidi="ar"/>
              </w:rPr>
              <w:t>G4-3-1</w:t>
            </w:r>
          </w:p>
        </w:tc>
        <w:tc>
          <w:tcPr>
            <w:tcW w:w="853" w:type="pct"/>
            <w:vAlign w:val="center"/>
          </w:tcPr>
          <w:p w14:paraId="066A6D08">
            <w:pPr>
              <w:keepNext w:val="0"/>
              <w:keepLines w:val="0"/>
              <w:widowControl/>
              <w:suppressLineNumbers w:val="0"/>
              <w:jc w:val="center"/>
              <w:textAlignment w:val="center"/>
              <w:rPr>
                <w:rFonts w:eastAsia="仿宋_GB2312"/>
                <w:b/>
                <w:bCs/>
                <w:color w:val="FF0000"/>
              </w:rPr>
            </w:pPr>
            <w:r>
              <w:rPr>
                <w:rFonts w:hint="default" w:ascii="仿宋_GB2312" w:hAnsi="宋体" w:eastAsia="仿宋_GB2312" w:cs="仿宋_GB2312"/>
                <w:i w:val="0"/>
                <w:iCs w:val="0"/>
                <w:color w:val="000000"/>
                <w:kern w:val="0"/>
                <w:sz w:val="21"/>
                <w:szCs w:val="21"/>
                <w:u w:val="none"/>
                <w:lang w:val="en-US" w:eastAsia="zh-CN" w:bidi="ar"/>
              </w:rPr>
              <w:t>投料废气</w:t>
            </w:r>
          </w:p>
        </w:tc>
        <w:tc>
          <w:tcPr>
            <w:tcW w:w="1497" w:type="pct"/>
            <w:vAlign w:val="center"/>
          </w:tcPr>
          <w:p w14:paraId="4A2E303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DMF</w:t>
            </w:r>
          </w:p>
        </w:tc>
        <w:tc>
          <w:tcPr>
            <w:tcW w:w="1105" w:type="pct"/>
            <w:vAlign w:val="center"/>
          </w:tcPr>
          <w:p w14:paraId="52C01AE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w:t>
            </w:r>
            <w:r>
              <w:rPr>
                <w:rFonts w:hint="eastAsia" w:cs="Times New Roman"/>
                <w:i w:val="0"/>
                <w:iCs w:val="0"/>
                <w:color w:val="000000"/>
                <w:kern w:val="0"/>
                <w:sz w:val="21"/>
                <w:szCs w:val="21"/>
                <w:u w:val="none"/>
                <w:lang w:val="en-US" w:eastAsia="zh-CN" w:bidi="ar"/>
              </w:rPr>
              <w:t>3</w:t>
            </w:r>
            <w:r>
              <w:rPr>
                <w:rFonts w:hint="default" w:ascii="Times New Roman" w:hAnsi="Times New Roman" w:eastAsia="宋体" w:cs="Times New Roman"/>
                <w:i w:val="0"/>
                <w:iCs w:val="0"/>
                <w:color w:val="000000"/>
                <w:kern w:val="0"/>
                <w:sz w:val="21"/>
                <w:szCs w:val="21"/>
                <w:u w:val="none"/>
                <w:lang w:val="en-US" w:eastAsia="zh-CN" w:bidi="ar"/>
              </w:rPr>
              <w:t>2</w:t>
            </w:r>
          </w:p>
        </w:tc>
      </w:tr>
      <w:tr w14:paraId="7E41C6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14" w:type="pct"/>
            <w:vMerge w:val="continue"/>
            <w:vAlign w:val="center"/>
          </w:tcPr>
          <w:p w14:paraId="3D541911">
            <w:pPr>
              <w:jc w:val="center"/>
              <w:rPr>
                <w:rFonts w:eastAsia="仿宋_GB2312"/>
                <w:b/>
                <w:bCs/>
                <w:color w:val="FF0000"/>
              </w:rPr>
            </w:pPr>
          </w:p>
        </w:tc>
        <w:tc>
          <w:tcPr>
            <w:tcW w:w="729" w:type="pct"/>
            <w:vAlign w:val="center"/>
          </w:tcPr>
          <w:p w14:paraId="7F619F61">
            <w:pPr>
              <w:keepNext w:val="0"/>
              <w:keepLines w:val="0"/>
              <w:widowControl/>
              <w:suppressLineNumbers w:val="0"/>
              <w:jc w:val="center"/>
              <w:textAlignment w:val="center"/>
              <w:rPr>
                <w:rFonts w:eastAsia="仿宋_GB2312"/>
                <w:b/>
                <w:bCs/>
                <w:color w:val="FF0000"/>
              </w:rPr>
            </w:pPr>
            <w:r>
              <w:rPr>
                <w:rFonts w:hint="default" w:ascii="Times New Roman" w:hAnsi="Times New Roman" w:eastAsia="宋体" w:cs="Times New Roman"/>
                <w:i w:val="0"/>
                <w:iCs w:val="0"/>
                <w:color w:val="000000"/>
                <w:kern w:val="0"/>
                <w:sz w:val="21"/>
                <w:szCs w:val="21"/>
                <w:u w:val="none"/>
                <w:lang w:val="en-US" w:eastAsia="zh-CN" w:bidi="ar"/>
              </w:rPr>
              <w:t>G4-3-4</w:t>
            </w:r>
          </w:p>
        </w:tc>
        <w:tc>
          <w:tcPr>
            <w:tcW w:w="853" w:type="pct"/>
            <w:vAlign w:val="center"/>
          </w:tcPr>
          <w:p w14:paraId="6CBB7612">
            <w:pPr>
              <w:keepNext w:val="0"/>
              <w:keepLines w:val="0"/>
              <w:widowControl/>
              <w:suppressLineNumbers w:val="0"/>
              <w:jc w:val="center"/>
              <w:textAlignment w:val="center"/>
              <w:rPr>
                <w:rFonts w:eastAsia="仿宋_GB2312"/>
                <w:b/>
                <w:bCs/>
                <w:color w:val="FF0000"/>
              </w:rPr>
            </w:pPr>
            <w:r>
              <w:rPr>
                <w:rFonts w:hint="default" w:ascii="仿宋_GB2312" w:hAnsi="宋体" w:eastAsia="仿宋_GB2312" w:cs="仿宋_GB2312"/>
                <w:i w:val="0"/>
                <w:iCs w:val="0"/>
                <w:color w:val="000000"/>
                <w:kern w:val="0"/>
                <w:sz w:val="21"/>
                <w:szCs w:val="21"/>
                <w:u w:val="none"/>
                <w:lang w:val="en-US" w:eastAsia="zh-CN" w:bidi="ar"/>
              </w:rPr>
              <w:t>灌装废气</w:t>
            </w:r>
          </w:p>
        </w:tc>
        <w:tc>
          <w:tcPr>
            <w:tcW w:w="1497" w:type="pct"/>
            <w:vAlign w:val="center"/>
          </w:tcPr>
          <w:p w14:paraId="6A5C1FD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DMF</w:t>
            </w:r>
          </w:p>
        </w:tc>
        <w:tc>
          <w:tcPr>
            <w:tcW w:w="1105" w:type="pct"/>
            <w:vAlign w:val="center"/>
          </w:tcPr>
          <w:p w14:paraId="46ED2CB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w:t>
            </w:r>
            <w:r>
              <w:rPr>
                <w:rFonts w:hint="eastAsia" w:cs="Times New Roman"/>
                <w:i w:val="0"/>
                <w:iCs w:val="0"/>
                <w:color w:val="000000"/>
                <w:kern w:val="0"/>
                <w:sz w:val="21"/>
                <w:szCs w:val="21"/>
                <w:u w:val="none"/>
                <w:lang w:val="en-US" w:eastAsia="zh-CN" w:bidi="ar"/>
              </w:rPr>
              <w:t>4</w:t>
            </w:r>
            <w:r>
              <w:rPr>
                <w:rFonts w:hint="default" w:ascii="Times New Roman" w:hAnsi="Times New Roman" w:eastAsia="宋体" w:cs="Times New Roman"/>
                <w:i w:val="0"/>
                <w:iCs w:val="0"/>
                <w:color w:val="000000"/>
                <w:kern w:val="0"/>
                <w:sz w:val="21"/>
                <w:szCs w:val="21"/>
                <w:u w:val="none"/>
                <w:lang w:val="en-US" w:eastAsia="zh-CN" w:bidi="ar"/>
              </w:rPr>
              <w:t>1</w:t>
            </w:r>
          </w:p>
        </w:tc>
      </w:tr>
      <w:tr w14:paraId="310EEC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2396" w:type="pct"/>
            <w:gridSpan w:val="3"/>
            <w:vAlign w:val="center"/>
          </w:tcPr>
          <w:p w14:paraId="504AEE2B">
            <w:pPr>
              <w:widowControl/>
              <w:spacing w:line="300" w:lineRule="exact"/>
              <w:jc w:val="center"/>
              <w:rPr>
                <w:rFonts w:ascii="Times New Roman" w:hAnsi="Times New Roman" w:eastAsia="仿宋_GB2312" w:cs="Times New Roman"/>
                <w:color w:val="auto"/>
                <w:kern w:val="0"/>
                <w:sz w:val="21"/>
                <w:szCs w:val="21"/>
                <w:lang w:val="en-US" w:eastAsia="zh-CN" w:bidi="ar-SA"/>
              </w:rPr>
            </w:pPr>
            <w:r>
              <w:rPr>
                <w:rFonts w:eastAsia="仿宋_GB2312"/>
                <w:color w:val="auto"/>
                <w:kern w:val="0"/>
                <w:szCs w:val="21"/>
              </w:rPr>
              <w:t>实验室</w:t>
            </w:r>
          </w:p>
        </w:tc>
        <w:tc>
          <w:tcPr>
            <w:tcW w:w="1497" w:type="pct"/>
            <w:shd w:val="clear" w:color="auto" w:fill="auto"/>
            <w:vAlign w:val="center"/>
          </w:tcPr>
          <w:p w14:paraId="7F72873F">
            <w:pPr>
              <w:widowControl/>
              <w:spacing w:line="300" w:lineRule="exact"/>
              <w:jc w:val="center"/>
              <w:rPr>
                <w:rFonts w:hint="default" w:ascii="Times New Roman" w:hAnsi="Times New Roman" w:eastAsia="仿宋_GB2312" w:cs="Times New Roman"/>
                <w:color w:val="auto"/>
                <w:kern w:val="0"/>
                <w:sz w:val="21"/>
                <w:szCs w:val="21"/>
                <w:lang w:val="en-US" w:eastAsia="zh-CN" w:bidi="ar-SA"/>
              </w:rPr>
            </w:pPr>
            <w:r>
              <w:rPr>
                <w:rFonts w:eastAsia="仿宋_GB2312"/>
                <w:color w:val="auto"/>
                <w:kern w:val="0"/>
                <w:szCs w:val="21"/>
              </w:rPr>
              <w:t>非甲烷总烃</w:t>
            </w:r>
          </w:p>
        </w:tc>
        <w:tc>
          <w:tcPr>
            <w:tcW w:w="1105" w:type="pct"/>
            <w:shd w:val="clear" w:color="auto" w:fill="auto"/>
            <w:vAlign w:val="center"/>
          </w:tcPr>
          <w:p w14:paraId="08C31357">
            <w:pPr>
              <w:widowControl/>
              <w:spacing w:line="300" w:lineRule="exact"/>
              <w:jc w:val="center"/>
              <w:rPr>
                <w:rFonts w:hint="default" w:ascii="Times New Roman" w:hAnsi="Times New Roman" w:eastAsia="仿宋_GB2312" w:cs="Times New Roman"/>
                <w:color w:val="auto"/>
                <w:kern w:val="0"/>
                <w:sz w:val="21"/>
                <w:szCs w:val="21"/>
                <w:lang w:val="en-US" w:eastAsia="zh-CN" w:bidi="ar-SA"/>
              </w:rPr>
            </w:pPr>
            <w:r>
              <w:rPr>
                <w:rFonts w:eastAsia="仿宋_GB2312"/>
                <w:color w:val="auto"/>
                <w:kern w:val="0"/>
                <w:szCs w:val="21"/>
              </w:rPr>
              <w:t>0.03</w:t>
            </w:r>
          </w:p>
        </w:tc>
      </w:tr>
      <w:tr w14:paraId="715C59F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2396" w:type="pct"/>
            <w:gridSpan w:val="3"/>
            <w:vAlign w:val="center"/>
          </w:tcPr>
          <w:p w14:paraId="05BE12D8">
            <w:pPr>
              <w:widowControl/>
              <w:spacing w:line="300" w:lineRule="exact"/>
              <w:jc w:val="center"/>
              <w:rPr>
                <w:rFonts w:ascii="Times New Roman" w:hAnsi="Times New Roman" w:eastAsia="仿宋_GB2312" w:cs="Times New Roman"/>
                <w:color w:val="auto"/>
                <w:kern w:val="0"/>
                <w:sz w:val="21"/>
                <w:szCs w:val="21"/>
                <w:lang w:val="en-US" w:eastAsia="zh-CN" w:bidi="ar-SA"/>
              </w:rPr>
            </w:pPr>
            <w:r>
              <w:rPr>
                <w:rFonts w:eastAsia="仿宋_GB2312"/>
                <w:color w:val="auto"/>
                <w:kern w:val="0"/>
                <w:szCs w:val="21"/>
              </w:rPr>
              <w:t>1#仓库</w:t>
            </w:r>
          </w:p>
        </w:tc>
        <w:tc>
          <w:tcPr>
            <w:tcW w:w="1497" w:type="pct"/>
            <w:shd w:val="clear" w:color="auto" w:fill="auto"/>
            <w:vAlign w:val="center"/>
          </w:tcPr>
          <w:p w14:paraId="7D4F396E">
            <w:pPr>
              <w:widowControl/>
              <w:spacing w:line="300" w:lineRule="exact"/>
              <w:jc w:val="center"/>
              <w:rPr>
                <w:rFonts w:hint="default" w:ascii="Times New Roman" w:hAnsi="Times New Roman" w:eastAsia="仿宋_GB2312" w:cs="Times New Roman"/>
                <w:color w:val="auto"/>
                <w:kern w:val="0"/>
                <w:sz w:val="21"/>
                <w:szCs w:val="21"/>
                <w:lang w:val="en-US" w:eastAsia="zh-CN" w:bidi="ar-SA"/>
              </w:rPr>
            </w:pPr>
            <w:r>
              <w:rPr>
                <w:rFonts w:eastAsia="仿宋_GB2312"/>
                <w:color w:val="auto"/>
                <w:kern w:val="0"/>
                <w:szCs w:val="21"/>
              </w:rPr>
              <w:t>非甲烷总烃</w:t>
            </w:r>
          </w:p>
        </w:tc>
        <w:tc>
          <w:tcPr>
            <w:tcW w:w="1105" w:type="pct"/>
            <w:shd w:val="clear" w:color="auto" w:fill="auto"/>
            <w:vAlign w:val="center"/>
          </w:tcPr>
          <w:p w14:paraId="3B56EBF7">
            <w:pPr>
              <w:widowControl/>
              <w:spacing w:line="300" w:lineRule="exact"/>
              <w:jc w:val="center"/>
              <w:rPr>
                <w:rFonts w:hint="default" w:ascii="Times New Roman" w:hAnsi="Times New Roman" w:eastAsia="仿宋_GB2312" w:cs="Times New Roman"/>
                <w:color w:val="auto"/>
                <w:kern w:val="0"/>
                <w:sz w:val="21"/>
                <w:szCs w:val="21"/>
                <w:lang w:val="en-US" w:eastAsia="zh-CN" w:bidi="ar-SA"/>
              </w:rPr>
            </w:pPr>
            <w:r>
              <w:rPr>
                <w:rFonts w:eastAsia="仿宋_GB2312"/>
                <w:color w:val="auto"/>
                <w:kern w:val="0"/>
                <w:szCs w:val="21"/>
              </w:rPr>
              <w:t>0.01</w:t>
            </w:r>
          </w:p>
        </w:tc>
      </w:tr>
      <w:tr w14:paraId="0B5B93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2396" w:type="pct"/>
            <w:gridSpan w:val="3"/>
            <w:vAlign w:val="center"/>
          </w:tcPr>
          <w:p w14:paraId="0EA0CE70">
            <w:pPr>
              <w:widowControl/>
              <w:spacing w:line="300" w:lineRule="exact"/>
              <w:jc w:val="center"/>
              <w:rPr>
                <w:rFonts w:ascii="Times New Roman" w:hAnsi="Times New Roman" w:eastAsia="仿宋_GB2312" w:cs="Times New Roman"/>
                <w:color w:val="auto"/>
                <w:kern w:val="0"/>
                <w:sz w:val="21"/>
                <w:szCs w:val="21"/>
                <w:lang w:val="en-US" w:eastAsia="zh-CN" w:bidi="ar-SA"/>
              </w:rPr>
            </w:pPr>
            <w:r>
              <w:rPr>
                <w:rFonts w:hint="eastAsia" w:eastAsia="仿宋_GB2312"/>
                <w:color w:val="auto"/>
                <w:kern w:val="0"/>
                <w:szCs w:val="21"/>
                <w:lang w:val="en-US" w:eastAsia="zh-CN"/>
              </w:rPr>
              <w:t>3</w:t>
            </w:r>
            <w:r>
              <w:rPr>
                <w:rFonts w:eastAsia="仿宋_GB2312"/>
                <w:color w:val="auto"/>
                <w:kern w:val="0"/>
                <w:szCs w:val="21"/>
              </w:rPr>
              <w:t>#仓库</w:t>
            </w:r>
          </w:p>
        </w:tc>
        <w:tc>
          <w:tcPr>
            <w:tcW w:w="1497" w:type="pct"/>
            <w:shd w:val="clear" w:color="auto" w:fill="auto"/>
            <w:vAlign w:val="center"/>
          </w:tcPr>
          <w:p w14:paraId="60C72D8A">
            <w:pPr>
              <w:widowControl/>
              <w:spacing w:line="300" w:lineRule="exact"/>
              <w:jc w:val="center"/>
              <w:rPr>
                <w:rFonts w:hint="default" w:ascii="Times New Roman" w:hAnsi="Times New Roman" w:eastAsia="仿宋_GB2312" w:cs="Times New Roman"/>
                <w:color w:val="auto"/>
                <w:kern w:val="0"/>
                <w:sz w:val="21"/>
                <w:szCs w:val="21"/>
                <w:lang w:val="en-US" w:eastAsia="zh-CN" w:bidi="ar-SA"/>
              </w:rPr>
            </w:pPr>
            <w:r>
              <w:rPr>
                <w:rFonts w:eastAsia="仿宋_GB2312"/>
                <w:color w:val="auto"/>
                <w:kern w:val="0"/>
                <w:szCs w:val="21"/>
              </w:rPr>
              <w:t>非甲烷总烃</w:t>
            </w:r>
          </w:p>
        </w:tc>
        <w:tc>
          <w:tcPr>
            <w:tcW w:w="1105" w:type="pct"/>
            <w:shd w:val="clear" w:color="auto" w:fill="auto"/>
            <w:vAlign w:val="center"/>
          </w:tcPr>
          <w:p w14:paraId="63C63B36">
            <w:pPr>
              <w:widowControl/>
              <w:spacing w:line="300" w:lineRule="exact"/>
              <w:jc w:val="center"/>
              <w:rPr>
                <w:rFonts w:hint="default" w:ascii="Times New Roman" w:hAnsi="Times New Roman" w:eastAsia="仿宋_GB2312" w:cs="Times New Roman"/>
                <w:color w:val="auto"/>
                <w:kern w:val="0"/>
                <w:sz w:val="21"/>
                <w:szCs w:val="21"/>
                <w:lang w:val="en-US" w:eastAsia="zh-CN" w:bidi="ar-SA"/>
              </w:rPr>
            </w:pPr>
            <w:r>
              <w:rPr>
                <w:rFonts w:eastAsia="仿宋_GB2312"/>
                <w:color w:val="auto"/>
                <w:kern w:val="0"/>
                <w:szCs w:val="21"/>
              </w:rPr>
              <w:t>0.01</w:t>
            </w:r>
          </w:p>
        </w:tc>
      </w:tr>
      <w:tr w14:paraId="426EB05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2396" w:type="pct"/>
            <w:gridSpan w:val="3"/>
            <w:vAlign w:val="center"/>
          </w:tcPr>
          <w:p w14:paraId="2FA972D3">
            <w:pPr>
              <w:widowControl/>
              <w:spacing w:line="300" w:lineRule="exact"/>
              <w:jc w:val="center"/>
              <w:rPr>
                <w:rFonts w:ascii="Times New Roman" w:hAnsi="Times New Roman" w:eastAsia="仿宋_GB2312" w:cs="Times New Roman"/>
                <w:color w:val="auto"/>
                <w:kern w:val="0"/>
                <w:sz w:val="21"/>
                <w:szCs w:val="21"/>
                <w:lang w:val="en-US" w:eastAsia="zh-CN" w:bidi="ar-SA"/>
              </w:rPr>
            </w:pPr>
            <w:r>
              <w:rPr>
                <w:rFonts w:hint="eastAsia" w:eastAsia="仿宋_GB2312"/>
                <w:color w:val="auto"/>
                <w:kern w:val="0"/>
                <w:szCs w:val="21"/>
                <w:lang w:val="en-US" w:eastAsia="zh-CN"/>
              </w:rPr>
              <w:t>5</w:t>
            </w:r>
            <w:r>
              <w:rPr>
                <w:rFonts w:eastAsia="仿宋_GB2312"/>
                <w:color w:val="auto"/>
                <w:kern w:val="0"/>
                <w:szCs w:val="21"/>
              </w:rPr>
              <w:t>#仓库</w:t>
            </w:r>
          </w:p>
        </w:tc>
        <w:tc>
          <w:tcPr>
            <w:tcW w:w="1497" w:type="pct"/>
            <w:shd w:val="clear" w:color="auto" w:fill="auto"/>
            <w:vAlign w:val="center"/>
          </w:tcPr>
          <w:p w14:paraId="6CB6DC1E">
            <w:pPr>
              <w:widowControl/>
              <w:spacing w:line="300" w:lineRule="exact"/>
              <w:jc w:val="center"/>
              <w:rPr>
                <w:rFonts w:hint="default" w:ascii="Times New Roman" w:hAnsi="Times New Roman" w:eastAsia="仿宋_GB2312" w:cs="Times New Roman"/>
                <w:color w:val="auto"/>
                <w:kern w:val="0"/>
                <w:sz w:val="21"/>
                <w:szCs w:val="21"/>
                <w:lang w:val="en-US" w:eastAsia="zh-CN" w:bidi="ar-SA"/>
              </w:rPr>
            </w:pPr>
            <w:r>
              <w:rPr>
                <w:rFonts w:eastAsia="仿宋_GB2312"/>
                <w:color w:val="auto"/>
                <w:kern w:val="0"/>
                <w:szCs w:val="21"/>
              </w:rPr>
              <w:t>非甲烷总烃</w:t>
            </w:r>
          </w:p>
        </w:tc>
        <w:tc>
          <w:tcPr>
            <w:tcW w:w="1105" w:type="pct"/>
            <w:shd w:val="clear" w:color="auto" w:fill="auto"/>
            <w:vAlign w:val="center"/>
          </w:tcPr>
          <w:p w14:paraId="1FF898AB">
            <w:pPr>
              <w:widowControl/>
              <w:spacing w:line="300" w:lineRule="exact"/>
              <w:jc w:val="center"/>
              <w:rPr>
                <w:rFonts w:hint="default" w:ascii="Times New Roman" w:hAnsi="Times New Roman" w:eastAsia="仿宋_GB2312" w:cs="Times New Roman"/>
                <w:color w:val="auto"/>
                <w:kern w:val="0"/>
                <w:sz w:val="21"/>
                <w:szCs w:val="21"/>
                <w:lang w:val="en-US" w:eastAsia="zh-CN" w:bidi="ar-SA"/>
              </w:rPr>
            </w:pPr>
            <w:r>
              <w:rPr>
                <w:rFonts w:eastAsia="仿宋_GB2312"/>
                <w:color w:val="auto"/>
                <w:kern w:val="0"/>
                <w:szCs w:val="21"/>
              </w:rPr>
              <w:t>0.0</w:t>
            </w:r>
            <w:r>
              <w:rPr>
                <w:rFonts w:hint="eastAsia" w:eastAsia="仿宋_GB2312"/>
                <w:color w:val="auto"/>
                <w:kern w:val="0"/>
                <w:szCs w:val="21"/>
                <w:lang w:val="en-US" w:eastAsia="zh-CN"/>
              </w:rPr>
              <w:t>1</w:t>
            </w:r>
          </w:p>
        </w:tc>
      </w:tr>
      <w:tr w14:paraId="00865B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2396" w:type="pct"/>
            <w:gridSpan w:val="3"/>
            <w:vAlign w:val="center"/>
          </w:tcPr>
          <w:p w14:paraId="36646E35">
            <w:pPr>
              <w:widowControl/>
              <w:spacing w:line="300" w:lineRule="exact"/>
              <w:jc w:val="center"/>
              <w:rPr>
                <w:rFonts w:ascii="Times New Roman" w:hAnsi="Times New Roman" w:eastAsia="仿宋_GB2312" w:cs="Times New Roman"/>
                <w:color w:val="auto"/>
                <w:kern w:val="0"/>
                <w:sz w:val="21"/>
                <w:szCs w:val="21"/>
                <w:lang w:val="en-US" w:eastAsia="zh-CN" w:bidi="ar-SA"/>
              </w:rPr>
            </w:pPr>
            <w:r>
              <w:rPr>
                <w:rFonts w:eastAsia="仿宋_GB2312"/>
                <w:color w:val="auto"/>
                <w:kern w:val="0"/>
                <w:szCs w:val="21"/>
              </w:rPr>
              <w:t>分拣暂存间</w:t>
            </w:r>
          </w:p>
        </w:tc>
        <w:tc>
          <w:tcPr>
            <w:tcW w:w="1497" w:type="pct"/>
            <w:shd w:val="clear" w:color="auto" w:fill="auto"/>
            <w:vAlign w:val="center"/>
          </w:tcPr>
          <w:p w14:paraId="4CD51A5B">
            <w:pPr>
              <w:widowControl/>
              <w:spacing w:line="300" w:lineRule="exact"/>
              <w:jc w:val="center"/>
              <w:rPr>
                <w:rFonts w:hint="default" w:ascii="Times New Roman" w:hAnsi="Times New Roman" w:eastAsia="仿宋_GB2312" w:cs="Times New Roman"/>
                <w:color w:val="auto"/>
                <w:kern w:val="0"/>
                <w:sz w:val="21"/>
                <w:szCs w:val="21"/>
                <w:lang w:val="en-US" w:eastAsia="zh-CN" w:bidi="ar-SA"/>
              </w:rPr>
            </w:pPr>
            <w:r>
              <w:rPr>
                <w:rFonts w:eastAsia="仿宋_GB2312"/>
                <w:color w:val="auto"/>
                <w:kern w:val="0"/>
                <w:szCs w:val="21"/>
              </w:rPr>
              <w:t>非甲烷总烃</w:t>
            </w:r>
          </w:p>
        </w:tc>
        <w:tc>
          <w:tcPr>
            <w:tcW w:w="1105" w:type="pct"/>
            <w:shd w:val="clear" w:color="auto" w:fill="auto"/>
            <w:vAlign w:val="center"/>
          </w:tcPr>
          <w:p w14:paraId="1C1560DC">
            <w:pPr>
              <w:widowControl/>
              <w:spacing w:line="300" w:lineRule="exact"/>
              <w:jc w:val="center"/>
              <w:rPr>
                <w:rFonts w:hint="default" w:ascii="Times New Roman" w:hAnsi="Times New Roman" w:eastAsia="仿宋_GB2312" w:cs="Times New Roman"/>
                <w:color w:val="auto"/>
                <w:kern w:val="0"/>
                <w:sz w:val="21"/>
                <w:szCs w:val="21"/>
                <w:lang w:val="en-US" w:eastAsia="zh-CN" w:bidi="ar-SA"/>
              </w:rPr>
            </w:pPr>
            <w:r>
              <w:rPr>
                <w:rFonts w:eastAsia="仿宋_GB2312"/>
                <w:color w:val="auto"/>
                <w:kern w:val="0"/>
                <w:szCs w:val="21"/>
              </w:rPr>
              <w:t>0.0</w:t>
            </w:r>
            <w:r>
              <w:rPr>
                <w:rFonts w:hint="eastAsia" w:eastAsia="仿宋_GB2312"/>
                <w:color w:val="auto"/>
                <w:kern w:val="0"/>
                <w:szCs w:val="21"/>
                <w:lang w:val="en-US" w:eastAsia="zh-CN"/>
              </w:rPr>
              <w:t>1</w:t>
            </w:r>
          </w:p>
        </w:tc>
      </w:tr>
      <w:tr w14:paraId="29450A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2396" w:type="pct"/>
            <w:gridSpan w:val="3"/>
            <w:vMerge w:val="restart"/>
            <w:vAlign w:val="center"/>
          </w:tcPr>
          <w:p w14:paraId="309E9ECE">
            <w:pPr>
              <w:widowControl/>
              <w:spacing w:line="300" w:lineRule="exact"/>
              <w:jc w:val="center"/>
              <w:rPr>
                <w:rFonts w:hint="default" w:ascii="Times New Roman" w:hAnsi="Times New Roman" w:eastAsia="仿宋_GB2312" w:cs="Times New Roman"/>
                <w:color w:val="auto"/>
                <w:kern w:val="0"/>
                <w:sz w:val="21"/>
                <w:szCs w:val="21"/>
                <w:lang w:val="en-US" w:eastAsia="zh-CN" w:bidi="ar-SA"/>
              </w:rPr>
            </w:pPr>
            <w:r>
              <w:rPr>
                <w:rFonts w:hint="eastAsia" w:eastAsia="仿宋_GB2312" w:cs="Times New Roman"/>
                <w:color w:val="auto"/>
                <w:kern w:val="0"/>
                <w:sz w:val="21"/>
                <w:szCs w:val="21"/>
                <w:lang w:val="en-US" w:eastAsia="zh-CN" w:bidi="ar-SA"/>
              </w:rPr>
              <w:t>污水站</w:t>
            </w:r>
          </w:p>
        </w:tc>
        <w:tc>
          <w:tcPr>
            <w:tcW w:w="1497" w:type="pct"/>
            <w:shd w:val="clear" w:color="auto" w:fill="auto"/>
            <w:vAlign w:val="center"/>
          </w:tcPr>
          <w:p w14:paraId="2A9ADDEE">
            <w:pPr>
              <w:widowControl/>
              <w:spacing w:line="300" w:lineRule="exact"/>
              <w:jc w:val="center"/>
              <w:rPr>
                <w:rFonts w:hint="default" w:ascii="Times New Roman" w:hAnsi="Times New Roman" w:eastAsia="仿宋_GB2312" w:cs="Times New Roman"/>
                <w:color w:val="auto"/>
                <w:kern w:val="0"/>
                <w:sz w:val="21"/>
                <w:szCs w:val="21"/>
                <w:lang w:val="en-US" w:eastAsia="zh-CN" w:bidi="ar-SA"/>
              </w:rPr>
            </w:pPr>
            <w:r>
              <w:rPr>
                <w:rFonts w:hint="eastAsia" w:eastAsia="仿宋_GB2312"/>
                <w:color w:val="auto"/>
                <w:kern w:val="0"/>
                <w:szCs w:val="21"/>
                <w:lang w:val="en-US" w:eastAsia="zh-CN"/>
              </w:rPr>
              <w:t>氨</w:t>
            </w:r>
          </w:p>
        </w:tc>
        <w:tc>
          <w:tcPr>
            <w:tcW w:w="1105" w:type="pct"/>
            <w:shd w:val="clear" w:color="auto" w:fill="auto"/>
            <w:vAlign w:val="center"/>
          </w:tcPr>
          <w:p w14:paraId="3006E14D">
            <w:pPr>
              <w:widowControl/>
              <w:spacing w:line="300" w:lineRule="exact"/>
              <w:jc w:val="center"/>
              <w:rPr>
                <w:rFonts w:hint="default" w:ascii="Times New Roman" w:hAnsi="Times New Roman" w:eastAsia="仿宋_GB2312" w:cs="Times New Roman"/>
                <w:color w:val="auto"/>
                <w:kern w:val="0"/>
                <w:sz w:val="21"/>
                <w:szCs w:val="21"/>
                <w:lang w:val="en-US" w:eastAsia="zh-CN" w:bidi="ar-SA"/>
              </w:rPr>
            </w:pPr>
            <w:r>
              <w:rPr>
                <w:rFonts w:hint="eastAsia" w:eastAsia="仿宋_GB2312"/>
                <w:color w:val="auto"/>
                <w:kern w:val="0"/>
                <w:szCs w:val="21"/>
                <w:lang w:val="en-US" w:eastAsia="zh-CN"/>
              </w:rPr>
              <w:t>0.01</w:t>
            </w:r>
          </w:p>
        </w:tc>
      </w:tr>
      <w:tr w14:paraId="487C9A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2396" w:type="pct"/>
            <w:gridSpan w:val="3"/>
            <w:vMerge w:val="continue"/>
            <w:vAlign w:val="center"/>
          </w:tcPr>
          <w:p w14:paraId="2814E6DF">
            <w:pPr>
              <w:widowControl/>
              <w:spacing w:line="300" w:lineRule="exact"/>
              <w:jc w:val="center"/>
              <w:rPr>
                <w:rFonts w:hint="default" w:ascii="Times New Roman" w:hAnsi="Times New Roman" w:eastAsia="仿宋_GB2312" w:cs="Times New Roman"/>
                <w:color w:val="auto"/>
                <w:kern w:val="0"/>
                <w:sz w:val="21"/>
                <w:szCs w:val="21"/>
                <w:lang w:val="en-US" w:eastAsia="zh-CN" w:bidi="ar-SA"/>
              </w:rPr>
            </w:pPr>
          </w:p>
        </w:tc>
        <w:tc>
          <w:tcPr>
            <w:tcW w:w="1497" w:type="pct"/>
            <w:shd w:val="clear" w:color="auto" w:fill="auto"/>
            <w:vAlign w:val="center"/>
          </w:tcPr>
          <w:p w14:paraId="19D5305A">
            <w:pPr>
              <w:widowControl/>
              <w:spacing w:line="300" w:lineRule="exact"/>
              <w:jc w:val="center"/>
              <w:rPr>
                <w:rFonts w:hint="default" w:ascii="Times New Roman" w:hAnsi="Times New Roman" w:eastAsia="仿宋_GB2312" w:cs="Times New Roman"/>
                <w:color w:val="auto"/>
                <w:kern w:val="0"/>
                <w:sz w:val="21"/>
                <w:szCs w:val="21"/>
                <w:lang w:val="en-US" w:eastAsia="zh-CN" w:bidi="ar-SA"/>
              </w:rPr>
            </w:pPr>
            <w:r>
              <w:rPr>
                <w:rFonts w:hint="eastAsia" w:eastAsia="仿宋_GB2312"/>
                <w:color w:val="auto"/>
                <w:kern w:val="0"/>
                <w:szCs w:val="21"/>
                <w:lang w:val="en-US" w:eastAsia="zh-CN"/>
              </w:rPr>
              <w:t>硫化氢</w:t>
            </w:r>
          </w:p>
        </w:tc>
        <w:tc>
          <w:tcPr>
            <w:tcW w:w="1105" w:type="pct"/>
            <w:shd w:val="clear" w:color="auto" w:fill="auto"/>
            <w:vAlign w:val="center"/>
          </w:tcPr>
          <w:p w14:paraId="6F1B3DA5">
            <w:pPr>
              <w:widowControl/>
              <w:spacing w:line="300" w:lineRule="exact"/>
              <w:jc w:val="center"/>
              <w:rPr>
                <w:rFonts w:hint="default" w:ascii="Times New Roman" w:hAnsi="Times New Roman" w:eastAsia="仿宋_GB2312" w:cs="Times New Roman"/>
                <w:color w:val="auto"/>
                <w:kern w:val="0"/>
                <w:sz w:val="21"/>
                <w:szCs w:val="21"/>
                <w:lang w:val="en-US" w:eastAsia="zh-CN" w:bidi="ar-SA"/>
              </w:rPr>
            </w:pPr>
            <w:r>
              <w:rPr>
                <w:rFonts w:hint="eastAsia" w:eastAsia="仿宋_GB2312"/>
                <w:color w:val="auto"/>
                <w:kern w:val="0"/>
                <w:szCs w:val="21"/>
                <w:lang w:val="en-US" w:eastAsia="zh-CN"/>
              </w:rPr>
              <w:t>0.001</w:t>
            </w:r>
          </w:p>
        </w:tc>
      </w:tr>
      <w:tr w14:paraId="142621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2396" w:type="pct"/>
            <w:gridSpan w:val="3"/>
            <w:vMerge w:val="continue"/>
            <w:vAlign w:val="center"/>
          </w:tcPr>
          <w:p w14:paraId="7D7A4F31">
            <w:pPr>
              <w:widowControl/>
              <w:spacing w:line="300" w:lineRule="exact"/>
              <w:jc w:val="center"/>
              <w:rPr>
                <w:rFonts w:hint="eastAsia" w:ascii="Times New Roman" w:hAnsi="Times New Roman" w:eastAsia="仿宋_GB2312" w:cs="Times New Roman"/>
                <w:color w:val="auto"/>
                <w:kern w:val="0"/>
                <w:sz w:val="21"/>
                <w:szCs w:val="21"/>
                <w:lang w:val="en-US" w:eastAsia="zh-CN" w:bidi="ar-SA"/>
              </w:rPr>
            </w:pPr>
          </w:p>
        </w:tc>
        <w:tc>
          <w:tcPr>
            <w:tcW w:w="1497" w:type="pct"/>
            <w:shd w:val="clear" w:color="auto" w:fill="auto"/>
            <w:vAlign w:val="center"/>
          </w:tcPr>
          <w:p w14:paraId="74974EAF">
            <w:pPr>
              <w:widowControl/>
              <w:spacing w:line="300" w:lineRule="exact"/>
              <w:jc w:val="center"/>
              <w:rPr>
                <w:rFonts w:hint="default" w:ascii="Times New Roman" w:hAnsi="Times New Roman" w:eastAsia="仿宋_GB2312" w:cs="Times New Roman"/>
                <w:color w:val="auto"/>
                <w:kern w:val="0"/>
                <w:sz w:val="21"/>
                <w:szCs w:val="21"/>
                <w:lang w:val="en-US" w:eastAsia="zh-CN" w:bidi="ar-SA"/>
              </w:rPr>
            </w:pPr>
            <w:r>
              <w:rPr>
                <w:rFonts w:hint="eastAsia" w:eastAsia="仿宋_GB2312"/>
                <w:color w:val="auto"/>
                <w:kern w:val="0"/>
                <w:szCs w:val="21"/>
                <w:lang w:val="en-US" w:eastAsia="zh-CN"/>
              </w:rPr>
              <w:t>非甲烷总烃</w:t>
            </w:r>
          </w:p>
        </w:tc>
        <w:tc>
          <w:tcPr>
            <w:tcW w:w="1105" w:type="pct"/>
            <w:shd w:val="clear" w:color="auto" w:fill="auto"/>
            <w:vAlign w:val="center"/>
          </w:tcPr>
          <w:p w14:paraId="6F3634B0">
            <w:pPr>
              <w:widowControl/>
              <w:spacing w:line="300" w:lineRule="exact"/>
              <w:jc w:val="center"/>
              <w:rPr>
                <w:rFonts w:hint="default" w:ascii="Times New Roman" w:hAnsi="Times New Roman" w:eastAsia="仿宋_GB2312" w:cs="Times New Roman"/>
                <w:color w:val="auto"/>
                <w:kern w:val="0"/>
                <w:sz w:val="21"/>
                <w:szCs w:val="21"/>
                <w:lang w:val="en-US" w:eastAsia="zh-CN" w:bidi="ar-SA"/>
              </w:rPr>
            </w:pPr>
            <w:r>
              <w:rPr>
                <w:rFonts w:hint="eastAsia" w:eastAsia="仿宋_GB2312"/>
                <w:color w:val="auto"/>
                <w:kern w:val="0"/>
                <w:szCs w:val="21"/>
                <w:lang w:val="en-US" w:eastAsia="zh-CN"/>
              </w:rPr>
              <w:t>0.03</w:t>
            </w:r>
          </w:p>
        </w:tc>
      </w:tr>
      <w:bookmarkEnd w:id="62"/>
    </w:tbl>
    <w:p w14:paraId="481F51A1">
      <w:pPr>
        <w:adjustRightInd w:val="0"/>
        <w:snapToGrid w:val="0"/>
        <w:spacing w:line="500" w:lineRule="exact"/>
        <w:ind w:firstLine="560" w:firstLineChars="200"/>
        <w:rPr>
          <w:rFonts w:eastAsia="仿宋_GB2312"/>
          <w:color w:val="auto"/>
          <w:sz w:val="28"/>
          <w:szCs w:val="28"/>
        </w:rPr>
      </w:pPr>
      <w:r>
        <w:rPr>
          <w:rFonts w:eastAsia="仿宋_GB2312"/>
          <w:color w:val="auto"/>
          <w:sz w:val="28"/>
          <w:szCs w:val="28"/>
        </w:rPr>
        <w:t>本项目无组织废气排放汇总情况见表3.</w:t>
      </w:r>
      <w:r>
        <w:rPr>
          <w:rFonts w:hint="eastAsia" w:eastAsia="仿宋_GB2312"/>
          <w:color w:val="auto"/>
          <w:sz w:val="28"/>
          <w:szCs w:val="28"/>
          <w:lang w:val="en-US" w:eastAsia="zh-CN"/>
        </w:rPr>
        <w:t>9</w:t>
      </w:r>
      <w:r>
        <w:rPr>
          <w:rFonts w:eastAsia="仿宋_GB2312"/>
          <w:color w:val="auto"/>
          <w:sz w:val="28"/>
          <w:szCs w:val="28"/>
        </w:rPr>
        <w:t>-5。</w:t>
      </w:r>
    </w:p>
    <w:p w14:paraId="748B5B90">
      <w:pPr>
        <w:adjustRightInd w:val="0"/>
        <w:snapToGrid w:val="0"/>
        <w:spacing w:line="500" w:lineRule="exact"/>
        <w:jc w:val="center"/>
        <w:rPr>
          <w:rFonts w:eastAsia="仿宋_GB2312"/>
          <w:b/>
          <w:color w:val="auto"/>
          <w:sz w:val="24"/>
          <w:szCs w:val="22"/>
        </w:rPr>
      </w:pPr>
      <w:r>
        <w:rPr>
          <w:rFonts w:eastAsia="仿宋_GB2312"/>
          <w:b/>
          <w:color w:val="auto"/>
          <w:sz w:val="24"/>
          <w:szCs w:val="22"/>
        </w:rPr>
        <w:t>表3.</w:t>
      </w:r>
      <w:r>
        <w:rPr>
          <w:rFonts w:hint="eastAsia" w:eastAsia="仿宋_GB2312"/>
          <w:b/>
          <w:color w:val="auto"/>
          <w:sz w:val="24"/>
          <w:szCs w:val="22"/>
          <w:lang w:val="en-US" w:eastAsia="zh-CN"/>
        </w:rPr>
        <w:t>9</w:t>
      </w:r>
      <w:r>
        <w:rPr>
          <w:rFonts w:eastAsia="仿宋_GB2312"/>
          <w:b/>
          <w:color w:val="auto"/>
          <w:sz w:val="24"/>
          <w:szCs w:val="22"/>
        </w:rPr>
        <w:t>-5  本项目无组织废气排放汇总情况表</w:t>
      </w:r>
    </w:p>
    <w:tbl>
      <w:tblPr>
        <w:tblStyle w:val="88"/>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385"/>
        <w:gridCol w:w="2069"/>
        <w:gridCol w:w="1276"/>
        <w:gridCol w:w="1323"/>
        <w:gridCol w:w="1192"/>
        <w:gridCol w:w="1277"/>
      </w:tblGrid>
      <w:tr w14:paraId="4C0BC9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12" w:type="pct"/>
            <w:vAlign w:val="center"/>
          </w:tcPr>
          <w:p w14:paraId="2144877E">
            <w:pPr>
              <w:jc w:val="center"/>
              <w:rPr>
                <w:rFonts w:eastAsia="仿宋_GB2312"/>
                <w:b/>
                <w:bCs/>
                <w:color w:val="auto"/>
                <w:szCs w:val="21"/>
              </w:rPr>
            </w:pPr>
            <w:r>
              <w:rPr>
                <w:rFonts w:eastAsia="仿宋_GB2312"/>
                <w:b/>
                <w:bCs/>
                <w:color w:val="auto"/>
                <w:szCs w:val="21"/>
              </w:rPr>
              <w:t>产生源</w:t>
            </w:r>
          </w:p>
        </w:tc>
        <w:tc>
          <w:tcPr>
            <w:tcW w:w="1213" w:type="pct"/>
            <w:vAlign w:val="center"/>
          </w:tcPr>
          <w:p w14:paraId="5D0EC111">
            <w:pPr>
              <w:jc w:val="center"/>
              <w:rPr>
                <w:rFonts w:eastAsia="仿宋_GB2312"/>
                <w:b/>
                <w:bCs/>
                <w:color w:val="auto"/>
                <w:szCs w:val="21"/>
              </w:rPr>
            </w:pPr>
            <w:r>
              <w:rPr>
                <w:rFonts w:eastAsia="仿宋_GB2312"/>
                <w:b/>
                <w:bCs/>
                <w:color w:val="auto"/>
                <w:szCs w:val="21"/>
              </w:rPr>
              <w:t>污染物名称</w:t>
            </w:r>
          </w:p>
        </w:tc>
        <w:tc>
          <w:tcPr>
            <w:tcW w:w="748" w:type="pct"/>
            <w:vAlign w:val="center"/>
          </w:tcPr>
          <w:p w14:paraId="1A119048">
            <w:pPr>
              <w:snapToGrid w:val="0"/>
              <w:spacing w:line="320" w:lineRule="exact"/>
              <w:jc w:val="center"/>
              <w:rPr>
                <w:rFonts w:eastAsia="仿宋_GB2312"/>
                <w:b/>
                <w:bCs/>
                <w:color w:val="auto"/>
                <w:szCs w:val="21"/>
              </w:rPr>
            </w:pPr>
            <w:r>
              <w:rPr>
                <w:rFonts w:eastAsia="仿宋_GB2312"/>
                <w:b/>
                <w:bCs/>
                <w:color w:val="auto"/>
                <w:szCs w:val="21"/>
              </w:rPr>
              <w:t>最大排放速率（kg/h）</w:t>
            </w:r>
          </w:p>
        </w:tc>
        <w:tc>
          <w:tcPr>
            <w:tcW w:w="776" w:type="pct"/>
            <w:vAlign w:val="center"/>
          </w:tcPr>
          <w:p w14:paraId="2ED8CB3C">
            <w:pPr>
              <w:snapToGrid w:val="0"/>
              <w:spacing w:line="320" w:lineRule="exact"/>
              <w:jc w:val="center"/>
              <w:rPr>
                <w:rFonts w:eastAsia="仿宋_GB2312"/>
                <w:b/>
                <w:bCs/>
                <w:color w:val="auto"/>
                <w:szCs w:val="21"/>
              </w:rPr>
            </w:pPr>
            <w:r>
              <w:rPr>
                <w:rFonts w:eastAsia="仿宋_GB2312"/>
                <w:b/>
                <w:bCs/>
                <w:color w:val="auto"/>
                <w:szCs w:val="21"/>
              </w:rPr>
              <w:t>排放量(t/a)</w:t>
            </w:r>
          </w:p>
        </w:tc>
        <w:tc>
          <w:tcPr>
            <w:tcW w:w="699" w:type="pct"/>
            <w:vAlign w:val="center"/>
          </w:tcPr>
          <w:p w14:paraId="4DF995A9">
            <w:pPr>
              <w:snapToGrid w:val="0"/>
              <w:spacing w:line="320" w:lineRule="exact"/>
              <w:jc w:val="center"/>
              <w:rPr>
                <w:rFonts w:eastAsia="仿宋_GB2312"/>
                <w:b/>
                <w:bCs/>
                <w:color w:val="auto"/>
                <w:szCs w:val="21"/>
              </w:rPr>
            </w:pPr>
            <w:r>
              <w:rPr>
                <w:rFonts w:eastAsia="仿宋_GB2312"/>
                <w:b/>
                <w:bCs/>
                <w:color w:val="auto"/>
                <w:szCs w:val="21"/>
              </w:rPr>
              <w:t>面源面积(m</w:t>
            </w:r>
            <w:r>
              <w:rPr>
                <w:rFonts w:eastAsia="仿宋_GB2312"/>
                <w:b/>
                <w:bCs/>
                <w:color w:val="auto"/>
                <w:szCs w:val="21"/>
                <w:vertAlign w:val="superscript"/>
              </w:rPr>
              <w:t>2</w:t>
            </w:r>
            <w:r>
              <w:rPr>
                <w:rFonts w:eastAsia="仿宋_GB2312"/>
                <w:b/>
                <w:bCs/>
                <w:color w:val="auto"/>
                <w:szCs w:val="21"/>
              </w:rPr>
              <w:t>)</w:t>
            </w:r>
          </w:p>
        </w:tc>
        <w:tc>
          <w:tcPr>
            <w:tcW w:w="749" w:type="pct"/>
            <w:vAlign w:val="center"/>
          </w:tcPr>
          <w:p w14:paraId="7AEF5E91">
            <w:pPr>
              <w:snapToGrid w:val="0"/>
              <w:spacing w:line="320" w:lineRule="exact"/>
              <w:jc w:val="center"/>
              <w:rPr>
                <w:rFonts w:eastAsia="仿宋_GB2312"/>
                <w:b/>
                <w:bCs/>
                <w:color w:val="auto"/>
                <w:szCs w:val="21"/>
              </w:rPr>
            </w:pPr>
            <w:r>
              <w:rPr>
                <w:rFonts w:eastAsia="仿宋_GB2312"/>
                <w:b/>
                <w:bCs/>
                <w:color w:val="auto"/>
                <w:szCs w:val="21"/>
              </w:rPr>
              <w:t>面源高度(m)</w:t>
            </w:r>
          </w:p>
        </w:tc>
      </w:tr>
      <w:tr w14:paraId="4856AA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12" w:type="pct"/>
            <w:vMerge w:val="restart"/>
            <w:vAlign w:val="center"/>
          </w:tcPr>
          <w:p w14:paraId="7B357225">
            <w:pPr>
              <w:jc w:val="center"/>
              <w:rPr>
                <w:rFonts w:eastAsia="仿宋_GB2312"/>
                <w:color w:val="FF0000"/>
                <w:kern w:val="0"/>
                <w:szCs w:val="21"/>
              </w:rPr>
            </w:pPr>
            <w:r>
              <w:rPr>
                <w:rFonts w:eastAsia="仿宋_GB2312"/>
                <w:color w:val="auto"/>
                <w:kern w:val="0"/>
                <w:szCs w:val="21"/>
              </w:rPr>
              <w:t>B-7车间</w:t>
            </w:r>
          </w:p>
        </w:tc>
        <w:tc>
          <w:tcPr>
            <w:tcW w:w="1213" w:type="pct"/>
            <w:shd w:val="clear" w:color="auto" w:fill="auto"/>
            <w:vAlign w:val="center"/>
          </w:tcPr>
          <w:p w14:paraId="4C68EEFA">
            <w:pPr>
              <w:adjustRightInd w:val="0"/>
              <w:snapToGrid w:val="0"/>
              <w:spacing w:line="320" w:lineRule="exact"/>
              <w:jc w:val="center"/>
              <w:rPr>
                <w:rFonts w:ascii="Times New Roman" w:hAnsi="Times New Roman" w:eastAsia="仿宋_GB2312" w:cs="Times New Roman"/>
                <w:color w:val="auto"/>
                <w:kern w:val="2"/>
                <w:sz w:val="21"/>
                <w:szCs w:val="21"/>
                <w:lang w:val="en-US" w:eastAsia="zh-CN" w:bidi="ar-SA"/>
              </w:rPr>
            </w:pPr>
            <w:r>
              <w:rPr>
                <w:rFonts w:eastAsia="仿宋_GB2312"/>
                <w:color w:val="auto"/>
                <w:szCs w:val="21"/>
              </w:rPr>
              <w:t>NMP</w:t>
            </w:r>
          </w:p>
        </w:tc>
        <w:tc>
          <w:tcPr>
            <w:tcW w:w="748" w:type="pct"/>
            <w:vAlign w:val="center"/>
          </w:tcPr>
          <w:p w14:paraId="70A4B845">
            <w:pPr>
              <w:jc w:val="center"/>
              <w:rPr>
                <w:rFonts w:hint="eastAsia" w:ascii="Times New Roman" w:hAnsi="Times New Roman" w:eastAsia="仿宋_GB2312" w:cs="Times New Roman"/>
                <w:color w:val="auto"/>
                <w:kern w:val="0"/>
                <w:szCs w:val="21"/>
                <w:lang w:val="en-US" w:eastAsia="zh-CN"/>
              </w:rPr>
            </w:pPr>
            <w:r>
              <w:rPr>
                <w:rFonts w:hint="eastAsia" w:ascii="Times New Roman" w:hAnsi="Times New Roman" w:eastAsia="仿宋_GB2312" w:cs="Times New Roman"/>
                <w:color w:val="auto"/>
                <w:kern w:val="0"/>
                <w:szCs w:val="21"/>
                <w:lang w:val="en-US" w:eastAsia="zh-CN"/>
              </w:rPr>
              <w:t>0.0271</w:t>
            </w:r>
          </w:p>
        </w:tc>
        <w:tc>
          <w:tcPr>
            <w:tcW w:w="776" w:type="pct"/>
            <w:vAlign w:val="center"/>
          </w:tcPr>
          <w:p w14:paraId="7A3E2BE5">
            <w:pPr>
              <w:jc w:val="center"/>
              <w:rPr>
                <w:rFonts w:hint="default" w:eastAsia="仿宋_GB2312"/>
                <w:color w:val="auto"/>
                <w:szCs w:val="21"/>
                <w:lang w:val="en-US" w:eastAsia="zh-CN"/>
              </w:rPr>
            </w:pPr>
            <w:r>
              <w:rPr>
                <w:rFonts w:hint="eastAsia" w:eastAsia="仿宋_GB2312"/>
                <w:color w:val="auto"/>
                <w:szCs w:val="21"/>
                <w:lang w:val="en-US" w:eastAsia="zh-CN"/>
              </w:rPr>
              <w:t>0.057</w:t>
            </w:r>
          </w:p>
        </w:tc>
        <w:tc>
          <w:tcPr>
            <w:tcW w:w="699" w:type="pct"/>
            <w:vMerge w:val="restart"/>
            <w:vAlign w:val="center"/>
          </w:tcPr>
          <w:p w14:paraId="3E26E1B5">
            <w:pPr>
              <w:jc w:val="center"/>
              <w:rPr>
                <w:rFonts w:eastAsia="仿宋_GB2312"/>
                <w:color w:val="auto"/>
                <w:szCs w:val="21"/>
              </w:rPr>
            </w:pPr>
            <w:r>
              <w:rPr>
                <w:rFonts w:eastAsia="仿宋_GB2312"/>
                <w:color w:val="auto"/>
                <w:kern w:val="0"/>
                <w:szCs w:val="21"/>
              </w:rPr>
              <w:t>1000</w:t>
            </w:r>
          </w:p>
        </w:tc>
        <w:tc>
          <w:tcPr>
            <w:tcW w:w="749" w:type="pct"/>
            <w:vMerge w:val="restart"/>
            <w:vAlign w:val="center"/>
          </w:tcPr>
          <w:p w14:paraId="74ADBDC8">
            <w:pPr>
              <w:jc w:val="center"/>
              <w:rPr>
                <w:rFonts w:hint="eastAsia" w:eastAsia="仿宋_GB2312"/>
                <w:color w:val="auto"/>
                <w:szCs w:val="21"/>
                <w:lang w:eastAsia="zh-CN"/>
              </w:rPr>
            </w:pPr>
            <w:r>
              <w:rPr>
                <w:rFonts w:hint="eastAsia" w:eastAsia="仿宋_GB2312"/>
                <w:color w:val="auto"/>
                <w:kern w:val="0"/>
                <w:szCs w:val="21"/>
                <w:lang w:val="en-US" w:eastAsia="zh-CN"/>
              </w:rPr>
              <w:t>8</w:t>
            </w:r>
          </w:p>
        </w:tc>
      </w:tr>
      <w:tr w14:paraId="5D3286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12" w:type="pct"/>
            <w:vMerge w:val="continue"/>
            <w:vAlign w:val="center"/>
          </w:tcPr>
          <w:p w14:paraId="3FD6D7DF">
            <w:pPr>
              <w:jc w:val="center"/>
              <w:rPr>
                <w:rFonts w:eastAsia="仿宋_GB2312"/>
                <w:color w:val="FF0000"/>
                <w:kern w:val="0"/>
                <w:szCs w:val="21"/>
              </w:rPr>
            </w:pPr>
          </w:p>
        </w:tc>
        <w:tc>
          <w:tcPr>
            <w:tcW w:w="1213" w:type="pct"/>
            <w:shd w:val="clear" w:color="auto" w:fill="auto"/>
            <w:vAlign w:val="center"/>
          </w:tcPr>
          <w:p w14:paraId="30245FC7">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color w:val="auto"/>
                <w:szCs w:val="21"/>
              </w:rPr>
              <w:t>异丙醇</w:t>
            </w:r>
          </w:p>
        </w:tc>
        <w:tc>
          <w:tcPr>
            <w:tcW w:w="748" w:type="pct"/>
            <w:vAlign w:val="center"/>
          </w:tcPr>
          <w:p w14:paraId="7E7B1FFE">
            <w:pPr>
              <w:jc w:val="center"/>
              <w:rPr>
                <w:rFonts w:hint="eastAsia" w:ascii="Times New Roman" w:hAnsi="Times New Roman" w:eastAsia="仿宋_GB2312" w:cs="Times New Roman"/>
                <w:color w:val="auto"/>
                <w:kern w:val="0"/>
                <w:szCs w:val="21"/>
                <w:lang w:val="en-US" w:eastAsia="zh-CN"/>
              </w:rPr>
            </w:pPr>
            <w:r>
              <w:rPr>
                <w:rFonts w:hint="eastAsia" w:ascii="Times New Roman" w:hAnsi="Times New Roman" w:eastAsia="仿宋_GB2312" w:cs="Times New Roman"/>
                <w:color w:val="auto"/>
                <w:kern w:val="0"/>
                <w:szCs w:val="21"/>
                <w:lang w:val="en-US" w:eastAsia="zh-CN"/>
              </w:rPr>
              <w:t>0.0449</w:t>
            </w:r>
          </w:p>
        </w:tc>
        <w:tc>
          <w:tcPr>
            <w:tcW w:w="776" w:type="pct"/>
            <w:vAlign w:val="center"/>
          </w:tcPr>
          <w:p w14:paraId="54875725">
            <w:pPr>
              <w:jc w:val="center"/>
              <w:rPr>
                <w:rFonts w:hint="default" w:eastAsia="仿宋_GB2312"/>
                <w:bCs/>
                <w:color w:val="auto"/>
                <w:szCs w:val="21"/>
                <w:lang w:val="en-US" w:eastAsia="zh-CN"/>
              </w:rPr>
            </w:pPr>
            <w:r>
              <w:rPr>
                <w:rFonts w:hint="eastAsia" w:eastAsia="仿宋_GB2312"/>
                <w:bCs/>
                <w:color w:val="auto"/>
                <w:szCs w:val="21"/>
                <w:lang w:val="en-US" w:eastAsia="zh-CN"/>
              </w:rPr>
              <w:t>0.26</w:t>
            </w:r>
          </w:p>
        </w:tc>
        <w:tc>
          <w:tcPr>
            <w:tcW w:w="699" w:type="pct"/>
            <w:vMerge w:val="continue"/>
            <w:vAlign w:val="center"/>
          </w:tcPr>
          <w:p w14:paraId="67271AA7">
            <w:pPr>
              <w:jc w:val="center"/>
              <w:rPr>
                <w:rFonts w:eastAsia="仿宋_GB2312"/>
                <w:color w:val="FF0000"/>
                <w:szCs w:val="21"/>
              </w:rPr>
            </w:pPr>
          </w:p>
        </w:tc>
        <w:tc>
          <w:tcPr>
            <w:tcW w:w="749" w:type="pct"/>
            <w:vMerge w:val="continue"/>
            <w:vAlign w:val="center"/>
          </w:tcPr>
          <w:p w14:paraId="62366E4E">
            <w:pPr>
              <w:jc w:val="center"/>
              <w:rPr>
                <w:rFonts w:eastAsia="仿宋_GB2312"/>
                <w:color w:val="FF0000"/>
                <w:szCs w:val="21"/>
              </w:rPr>
            </w:pPr>
          </w:p>
        </w:tc>
      </w:tr>
      <w:tr w14:paraId="4A4636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12" w:type="pct"/>
            <w:vMerge w:val="continue"/>
            <w:vAlign w:val="center"/>
          </w:tcPr>
          <w:p w14:paraId="766EC461">
            <w:pPr>
              <w:jc w:val="center"/>
              <w:rPr>
                <w:rFonts w:eastAsia="仿宋_GB2312"/>
                <w:color w:val="FF0000"/>
                <w:kern w:val="0"/>
                <w:szCs w:val="21"/>
              </w:rPr>
            </w:pPr>
          </w:p>
        </w:tc>
        <w:tc>
          <w:tcPr>
            <w:tcW w:w="1213" w:type="pct"/>
            <w:shd w:val="clear" w:color="auto" w:fill="auto"/>
            <w:vAlign w:val="center"/>
          </w:tcPr>
          <w:p w14:paraId="1270A35E">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color w:val="auto"/>
                <w:szCs w:val="21"/>
              </w:rPr>
              <w:t>丁酮</w:t>
            </w:r>
          </w:p>
        </w:tc>
        <w:tc>
          <w:tcPr>
            <w:tcW w:w="748" w:type="pct"/>
            <w:vAlign w:val="center"/>
          </w:tcPr>
          <w:p w14:paraId="063816CF">
            <w:pPr>
              <w:jc w:val="center"/>
              <w:rPr>
                <w:rFonts w:hint="eastAsia" w:ascii="Times New Roman" w:hAnsi="Times New Roman" w:eastAsia="仿宋_GB2312" w:cs="Times New Roman"/>
                <w:color w:val="auto"/>
                <w:kern w:val="0"/>
                <w:szCs w:val="21"/>
                <w:lang w:val="en-US" w:eastAsia="zh-CN"/>
              </w:rPr>
            </w:pPr>
            <w:r>
              <w:rPr>
                <w:rFonts w:hint="eastAsia" w:ascii="Times New Roman" w:hAnsi="Times New Roman" w:eastAsia="仿宋_GB2312" w:cs="Times New Roman"/>
                <w:color w:val="auto"/>
                <w:kern w:val="0"/>
                <w:szCs w:val="21"/>
                <w:lang w:val="en-US" w:eastAsia="zh-CN"/>
              </w:rPr>
              <w:t>0.0370</w:t>
            </w:r>
          </w:p>
        </w:tc>
        <w:tc>
          <w:tcPr>
            <w:tcW w:w="776" w:type="pct"/>
            <w:vAlign w:val="center"/>
          </w:tcPr>
          <w:p w14:paraId="30CFA585">
            <w:pPr>
              <w:jc w:val="center"/>
              <w:rPr>
                <w:rFonts w:hint="default" w:eastAsia="仿宋_GB2312"/>
                <w:bCs/>
                <w:color w:val="auto"/>
                <w:szCs w:val="21"/>
                <w:lang w:val="en-US" w:eastAsia="zh-CN"/>
              </w:rPr>
            </w:pPr>
            <w:r>
              <w:rPr>
                <w:rFonts w:hint="eastAsia" w:eastAsia="仿宋_GB2312"/>
                <w:bCs/>
                <w:color w:val="auto"/>
                <w:szCs w:val="21"/>
                <w:lang w:val="en-US" w:eastAsia="zh-CN"/>
              </w:rPr>
              <w:t>0.0074</w:t>
            </w:r>
          </w:p>
        </w:tc>
        <w:tc>
          <w:tcPr>
            <w:tcW w:w="699" w:type="pct"/>
            <w:vMerge w:val="continue"/>
            <w:vAlign w:val="center"/>
          </w:tcPr>
          <w:p w14:paraId="290D9A23">
            <w:pPr>
              <w:jc w:val="center"/>
              <w:rPr>
                <w:rFonts w:eastAsia="仿宋_GB2312"/>
                <w:color w:val="FF0000"/>
                <w:szCs w:val="21"/>
              </w:rPr>
            </w:pPr>
          </w:p>
        </w:tc>
        <w:tc>
          <w:tcPr>
            <w:tcW w:w="749" w:type="pct"/>
            <w:vMerge w:val="continue"/>
            <w:vAlign w:val="center"/>
          </w:tcPr>
          <w:p w14:paraId="09DEFABF">
            <w:pPr>
              <w:jc w:val="center"/>
              <w:rPr>
                <w:rFonts w:eastAsia="仿宋_GB2312"/>
                <w:color w:val="FF0000"/>
                <w:szCs w:val="21"/>
              </w:rPr>
            </w:pPr>
          </w:p>
        </w:tc>
      </w:tr>
      <w:tr w14:paraId="14D54E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12" w:type="pct"/>
            <w:vMerge w:val="continue"/>
            <w:vAlign w:val="center"/>
          </w:tcPr>
          <w:p w14:paraId="02A76571">
            <w:pPr>
              <w:jc w:val="center"/>
              <w:rPr>
                <w:rFonts w:eastAsia="仿宋_GB2312"/>
                <w:color w:val="FF0000"/>
                <w:kern w:val="0"/>
                <w:szCs w:val="21"/>
              </w:rPr>
            </w:pPr>
          </w:p>
        </w:tc>
        <w:tc>
          <w:tcPr>
            <w:tcW w:w="1213" w:type="pct"/>
            <w:shd w:val="clear" w:color="auto" w:fill="auto"/>
            <w:vAlign w:val="center"/>
          </w:tcPr>
          <w:p w14:paraId="6AEB4596">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color w:val="auto"/>
                <w:szCs w:val="21"/>
              </w:rPr>
              <w:t>乙醇</w:t>
            </w:r>
          </w:p>
        </w:tc>
        <w:tc>
          <w:tcPr>
            <w:tcW w:w="748" w:type="pct"/>
            <w:vAlign w:val="center"/>
          </w:tcPr>
          <w:p w14:paraId="5ED98BC5">
            <w:pPr>
              <w:jc w:val="center"/>
              <w:rPr>
                <w:rFonts w:hint="eastAsia" w:ascii="Times New Roman" w:hAnsi="Times New Roman" w:eastAsia="仿宋_GB2312" w:cs="Times New Roman"/>
                <w:color w:val="auto"/>
                <w:kern w:val="0"/>
                <w:szCs w:val="21"/>
                <w:lang w:val="en-US" w:eastAsia="zh-CN"/>
              </w:rPr>
            </w:pPr>
            <w:r>
              <w:rPr>
                <w:rFonts w:hint="eastAsia" w:ascii="Times New Roman" w:hAnsi="Times New Roman" w:eastAsia="仿宋_GB2312" w:cs="Times New Roman"/>
                <w:color w:val="auto"/>
                <w:kern w:val="0"/>
                <w:szCs w:val="21"/>
                <w:lang w:val="en-US" w:eastAsia="zh-CN"/>
              </w:rPr>
              <w:t>0.0908</w:t>
            </w:r>
          </w:p>
        </w:tc>
        <w:tc>
          <w:tcPr>
            <w:tcW w:w="776" w:type="pct"/>
            <w:vAlign w:val="center"/>
          </w:tcPr>
          <w:p w14:paraId="5AD3F448">
            <w:pPr>
              <w:jc w:val="center"/>
              <w:rPr>
                <w:rFonts w:hint="default" w:eastAsia="仿宋_GB2312"/>
                <w:color w:val="auto"/>
                <w:kern w:val="0"/>
                <w:szCs w:val="21"/>
                <w:lang w:val="en-US" w:eastAsia="zh-CN"/>
              </w:rPr>
            </w:pPr>
            <w:r>
              <w:rPr>
                <w:rFonts w:hint="eastAsia" w:eastAsia="仿宋_GB2312"/>
                <w:color w:val="auto"/>
                <w:kern w:val="0"/>
                <w:szCs w:val="21"/>
                <w:lang w:val="en-US" w:eastAsia="zh-CN"/>
              </w:rPr>
              <w:t>0.2904</w:t>
            </w:r>
          </w:p>
        </w:tc>
        <w:tc>
          <w:tcPr>
            <w:tcW w:w="699" w:type="pct"/>
            <w:vMerge w:val="continue"/>
            <w:vAlign w:val="center"/>
          </w:tcPr>
          <w:p w14:paraId="104F67B1">
            <w:pPr>
              <w:jc w:val="center"/>
              <w:rPr>
                <w:rFonts w:eastAsia="仿宋_GB2312"/>
                <w:color w:val="FF0000"/>
                <w:szCs w:val="21"/>
              </w:rPr>
            </w:pPr>
          </w:p>
        </w:tc>
        <w:tc>
          <w:tcPr>
            <w:tcW w:w="749" w:type="pct"/>
            <w:vMerge w:val="continue"/>
            <w:vAlign w:val="center"/>
          </w:tcPr>
          <w:p w14:paraId="5149BC9A">
            <w:pPr>
              <w:jc w:val="center"/>
              <w:rPr>
                <w:rFonts w:eastAsia="仿宋_GB2312"/>
                <w:color w:val="FF0000"/>
                <w:szCs w:val="21"/>
              </w:rPr>
            </w:pPr>
          </w:p>
        </w:tc>
      </w:tr>
      <w:tr w14:paraId="55F7C1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12" w:type="pct"/>
            <w:vMerge w:val="continue"/>
            <w:vAlign w:val="center"/>
          </w:tcPr>
          <w:p w14:paraId="563E615A">
            <w:pPr>
              <w:jc w:val="center"/>
              <w:rPr>
                <w:rFonts w:eastAsia="仿宋_GB2312"/>
                <w:color w:val="FF0000"/>
                <w:kern w:val="0"/>
                <w:szCs w:val="21"/>
              </w:rPr>
            </w:pPr>
          </w:p>
        </w:tc>
        <w:tc>
          <w:tcPr>
            <w:tcW w:w="1213" w:type="pct"/>
            <w:shd w:val="clear" w:color="auto" w:fill="auto"/>
            <w:vAlign w:val="center"/>
          </w:tcPr>
          <w:p w14:paraId="32298BF8">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color w:val="auto"/>
                <w:szCs w:val="21"/>
              </w:rPr>
              <w:t>乙酸乙酯</w:t>
            </w:r>
          </w:p>
        </w:tc>
        <w:tc>
          <w:tcPr>
            <w:tcW w:w="748" w:type="pct"/>
            <w:vAlign w:val="center"/>
          </w:tcPr>
          <w:p w14:paraId="7EEB6D80">
            <w:pPr>
              <w:jc w:val="center"/>
              <w:rPr>
                <w:rFonts w:hint="default" w:ascii="Times New Roman" w:hAnsi="Times New Roman" w:eastAsia="仿宋_GB2312" w:cs="Times New Roman"/>
                <w:color w:val="auto"/>
                <w:kern w:val="0"/>
                <w:szCs w:val="21"/>
                <w:lang w:val="en-US" w:eastAsia="zh-CN"/>
              </w:rPr>
            </w:pPr>
            <w:r>
              <w:rPr>
                <w:rFonts w:hint="eastAsia" w:ascii="Times New Roman" w:hAnsi="Times New Roman" w:eastAsia="仿宋_GB2312" w:cs="Times New Roman"/>
                <w:color w:val="auto"/>
                <w:kern w:val="0"/>
                <w:szCs w:val="21"/>
                <w:lang w:val="en-US" w:eastAsia="zh-CN"/>
              </w:rPr>
              <w:t>0.</w:t>
            </w:r>
            <w:r>
              <w:rPr>
                <w:rFonts w:hint="eastAsia" w:eastAsia="仿宋_GB2312" w:cs="Times New Roman"/>
                <w:color w:val="auto"/>
                <w:kern w:val="0"/>
                <w:szCs w:val="21"/>
                <w:lang w:val="en-US" w:eastAsia="zh-CN"/>
              </w:rPr>
              <w:t>0208</w:t>
            </w:r>
          </w:p>
        </w:tc>
        <w:tc>
          <w:tcPr>
            <w:tcW w:w="776" w:type="pct"/>
            <w:vAlign w:val="center"/>
          </w:tcPr>
          <w:p w14:paraId="28D4C17C">
            <w:pPr>
              <w:jc w:val="center"/>
              <w:rPr>
                <w:rFonts w:hint="default" w:eastAsia="仿宋_GB2312"/>
                <w:color w:val="auto"/>
                <w:kern w:val="0"/>
                <w:szCs w:val="21"/>
                <w:lang w:val="en-US" w:eastAsia="zh-CN"/>
              </w:rPr>
            </w:pPr>
            <w:r>
              <w:rPr>
                <w:rFonts w:hint="eastAsia" w:eastAsia="仿宋_GB2312"/>
                <w:color w:val="auto"/>
                <w:kern w:val="0"/>
                <w:szCs w:val="21"/>
                <w:lang w:val="en-US" w:eastAsia="zh-CN"/>
              </w:rPr>
              <w:t>0.0835</w:t>
            </w:r>
          </w:p>
        </w:tc>
        <w:tc>
          <w:tcPr>
            <w:tcW w:w="699" w:type="pct"/>
            <w:vMerge w:val="continue"/>
            <w:vAlign w:val="center"/>
          </w:tcPr>
          <w:p w14:paraId="050F80CD">
            <w:pPr>
              <w:jc w:val="center"/>
              <w:rPr>
                <w:rFonts w:eastAsia="仿宋_GB2312"/>
                <w:color w:val="FF0000"/>
                <w:szCs w:val="21"/>
              </w:rPr>
            </w:pPr>
          </w:p>
        </w:tc>
        <w:tc>
          <w:tcPr>
            <w:tcW w:w="749" w:type="pct"/>
            <w:vMerge w:val="continue"/>
            <w:vAlign w:val="center"/>
          </w:tcPr>
          <w:p w14:paraId="3ECCE847">
            <w:pPr>
              <w:jc w:val="center"/>
              <w:rPr>
                <w:rFonts w:eastAsia="仿宋_GB2312"/>
                <w:color w:val="FF0000"/>
                <w:szCs w:val="21"/>
              </w:rPr>
            </w:pPr>
          </w:p>
        </w:tc>
      </w:tr>
      <w:tr w14:paraId="1EB334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12" w:type="pct"/>
            <w:vMerge w:val="continue"/>
            <w:vAlign w:val="center"/>
          </w:tcPr>
          <w:p w14:paraId="1CBEF107">
            <w:pPr>
              <w:jc w:val="center"/>
              <w:rPr>
                <w:rFonts w:eastAsia="仿宋_GB2312"/>
                <w:color w:val="FF0000"/>
                <w:kern w:val="0"/>
                <w:szCs w:val="21"/>
              </w:rPr>
            </w:pPr>
          </w:p>
        </w:tc>
        <w:tc>
          <w:tcPr>
            <w:tcW w:w="1213" w:type="pct"/>
            <w:shd w:val="clear" w:color="auto" w:fill="auto"/>
            <w:vAlign w:val="center"/>
          </w:tcPr>
          <w:p w14:paraId="64315569">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color w:val="auto"/>
                <w:szCs w:val="21"/>
              </w:rPr>
              <w:t>二氯甲烷</w:t>
            </w:r>
          </w:p>
        </w:tc>
        <w:tc>
          <w:tcPr>
            <w:tcW w:w="748" w:type="pct"/>
            <w:vAlign w:val="center"/>
          </w:tcPr>
          <w:p w14:paraId="53A67C01">
            <w:pPr>
              <w:jc w:val="center"/>
              <w:rPr>
                <w:rFonts w:hint="eastAsia" w:ascii="Times New Roman" w:hAnsi="Times New Roman" w:eastAsia="仿宋_GB2312" w:cs="Times New Roman"/>
                <w:color w:val="auto"/>
                <w:kern w:val="0"/>
                <w:szCs w:val="21"/>
                <w:lang w:val="en-US" w:eastAsia="zh-CN"/>
              </w:rPr>
            </w:pPr>
            <w:r>
              <w:rPr>
                <w:rFonts w:hint="eastAsia" w:ascii="Times New Roman" w:hAnsi="Times New Roman" w:eastAsia="仿宋_GB2312" w:cs="Times New Roman"/>
                <w:color w:val="auto"/>
                <w:kern w:val="0"/>
                <w:szCs w:val="21"/>
                <w:lang w:val="en-US" w:eastAsia="zh-CN"/>
              </w:rPr>
              <w:t>0.0520</w:t>
            </w:r>
          </w:p>
        </w:tc>
        <w:tc>
          <w:tcPr>
            <w:tcW w:w="776" w:type="pct"/>
            <w:vAlign w:val="center"/>
          </w:tcPr>
          <w:p w14:paraId="34F00A8E">
            <w:pPr>
              <w:jc w:val="center"/>
              <w:rPr>
                <w:rFonts w:hint="default" w:eastAsia="仿宋_GB2312"/>
                <w:color w:val="auto"/>
                <w:kern w:val="0"/>
                <w:szCs w:val="21"/>
                <w:lang w:val="en-US" w:eastAsia="zh-CN"/>
              </w:rPr>
            </w:pPr>
            <w:r>
              <w:rPr>
                <w:rFonts w:hint="eastAsia" w:eastAsia="仿宋_GB2312"/>
                <w:color w:val="auto"/>
                <w:kern w:val="0"/>
                <w:szCs w:val="21"/>
                <w:lang w:val="en-US" w:eastAsia="zh-CN"/>
              </w:rPr>
              <w:t>0.0624</w:t>
            </w:r>
          </w:p>
        </w:tc>
        <w:tc>
          <w:tcPr>
            <w:tcW w:w="699" w:type="pct"/>
            <w:vMerge w:val="continue"/>
            <w:vAlign w:val="center"/>
          </w:tcPr>
          <w:p w14:paraId="77D1BB68">
            <w:pPr>
              <w:jc w:val="center"/>
              <w:rPr>
                <w:rFonts w:eastAsia="仿宋_GB2312"/>
                <w:color w:val="FF0000"/>
                <w:szCs w:val="21"/>
              </w:rPr>
            </w:pPr>
          </w:p>
        </w:tc>
        <w:tc>
          <w:tcPr>
            <w:tcW w:w="749" w:type="pct"/>
            <w:vMerge w:val="continue"/>
            <w:vAlign w:val="center"/>
          </w:tcPr>
          <w:p w14:paraId="440F6C1C">
            <w:pPr>
              <w:jc w:val="center"/>
              <w:rPr>
                <w:rFonts w:eastAsia="仿宋_GB2312"/>
                <w:color w:val="FF0000"/>
                <w:szCs w:val="21"/>
              </w:rPr>
            </w:pPr>
          </w:p>
        </w:tc>
      </w:tr>
      <w:tr w14:paraId="4633AF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12" w:type="pct"/>
            <w:vMerge w:val="continue"/>
            <w:vAlign w:val="center"/>
          </w:tcPr>
          <w:p w14:paraId="5BE78EE7">
            <w:pPr>
              <w:jc w:val="center"/>
              <w:rPr>
                <w:rFonts w:eastAsia="仿宋_GB2312"/>
                <w:color w:val="FF0000"/>
                <w:kern w:val="0"/>
                <w:szCs w:val="21"/>
              </w:rPr>
            </w:pPr>
          </w:p>
        </w:tc>
        <w:tc>
          <w:tcPr>
            <w:tcW w:w="1213" w:type="pct"/>
            <w:shd w:val="clear" w:color="auto" w:fill="auto"/>
            <w:vAlign w:val="center"/>
          </w:tcPr>
          <w:p w14:paraId="5D621B18">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color w:val="auto"/>
                <w:szCs w:val="21"/>
              </w:rPr>
              <w:t>乙酸丁酯</w:t>
            </w:r>
          </w:p>
        </w:tc>
        <w:tc>
          <w:tcPr>
            <w:tcW w:w="748" w:type="pct"/>
            <w:vAlign w:val="center"/>
          </w:tcPr>
          <w:p w14:paraId="17B64622">
            <w:pPr>
              <w:jc w:val="center"/>
              <w:rPr>
                <w:rFonts w:hint="default" w:ascii="Times New Roman" w:hAnsi="Times New Roman" w:eastAsia="仿宋_GB2312" w:cs="Times New Roman"/>
                <w:color w:val="auto"/>
                <w:kern w:val="0"/>
                <w:szCs w:val="21"/>
                <w:lang w:val="en-US" w:eastAsia="zh-CN"/>
              </w:rPr>
            </w:pPr>
            <w:r>
              <w:rPr>
                <w:rFonts w:hint="eastAsia" w:ascii="Times New Roman" w:hAnsi="Times New Roman" w:eastAsia="仿宋_GB2312" w:cs="Times New Roman"/>
                <w:color w:val="auto"/>
                <w:kern w:val="0"/>
                <w:szCs w:val="21"/>
                <w:lang w:val="en-US" w:eastAsia="zh-CN"/>
              </w:rPr>
              <w:t>0.0</w:t>
            </w:r>
            <w:r>
              <w:rPr>
                <w:rFonts w:hint="eastAsia" w:eastAsia="仿宋_GB2312" w:cs="Times New Roman"/>
                <w:color w:val="auto"/>
                <w:kern w:val="0"/>
                <w:szCs w:val="21"/>
                <w:lang w:val="en-US" w:eastAsia="zh-CN"/>
              </w:rPr>
              <w:t>222</w:t>
            </w:r>
          </w:p>
        </w:tc>
        <w:tc>
          <w:tcPr>
            <w:tcW w:w="776" w:type="pct"/>
            <w:vAlign w:val="center"/>
          </w:tcPr>
          <w:p w14:paraId="46AD34BB">
            <w:pPr>
              <w:jc w:val="center"/>
              <w:rPr>
                <w:rFonts w:hint="default" w:eastAsia="仿宋_GB2312"/>
                <w:color w:val="auto"/>
                <w:kern w:val="0"/>
                <w:szCs w:val="21"/>
                <w:lang w:val="en-US" w:eastAsia="zh-CN"/>
              </w:rPr>
            </w:pPr>
            <w:r>
              <w:rPr>
                <w:rFonts w:hint="eastAsia" w:eastAsia="仿宋_GB2312"/>
                <w:color w:val="auto"/>
                <w:kern w:val="0"/>
                <w:szCs w:val="21"/>
                <w:lang w:val="en-US" w:eastAsia="zh-CN"/>
              </w:rPr>
              <w:t>0.089</w:t>
            </w:r>
          </w:p>
        </w:tc>
        <w:tc>
          <w:tcPr>
            <w:tcW w:w="699" w:type="pct"/>
            <w:vMerge w:val="continue"/>
            <w:vAlign w:val="center"/>
          </w:tcPr>
          <w:p w14:paraId="7DCCD47A">
            <w:pPr>
              <w:jc w:val="center"/>
              <w:rPr>
                <w:rFonts w:eastAsia="仿宋_GB2312"/>
                <w:color w:val="FF0000"/>
                <w:szCs w:val="21"/>
              </w:rPr>
            </w:pPr>
          </w:p>
        </w:tc>
        <w:tc>
          <w:tcPr>
            <w:tcW w:w="749" w:type="pct"/>
            <w:vMerge w:val="continue"/>
            <w:vAlign w:val="center"/>
          </w:tcPr>
          <w:p w14:paraId="360057C3">
            <w:pPr>
              <w:jc w:val="center"/>
              <w:rPr>
                <w:rFonts w:eastAsia="仿宋_GB2312"/>
                <w:color w:val="FF0000"/>
                <w:szCs w:val="21"/>
              </w:rPr>
            </w:pPr>
          </w:p>
        </w:tc>
      </w:tr>
      <w:tr w14:paraId="0AE047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12" w:type="pct"/>
            <w:vMerge w:val="continue"/>
            <w:vAlign w:val="center"/>
          </w:tcPr>
          <w:p w14:paraId="47CE7B8E">
            <w:pPr>
              <w:jc w:val="center"/>
              <w:rPr>
                <w:rFonts w:eastAsia="仿宋_GB2312"/>
                <w:color w:val="FF0000"/>
                <w:kern w:val="0"/>
                <w:szCs w:val="21"/>
              </w:rPr>
            </w:pPr>
          </w:p>
        </w:tc>
        <w:tc>
          <w:tcPr>
            <w:tcW w:w="1213" w:type="pct"/>
            <w:shd w:val="clear" w:color="auto" w:fill="auto"/>
            <w:vAlign w:val="center"/>
          </w:tcPr>
          <w:p w14:paraId="5766D286">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color w:val="auto"/>
                <w:szCs w:val="21"/>
              </w:rPr>
              <w:t>二甲苯</w:t>
            </w:r>
          </w:p>
        </w:tc>
        <w:tc>
          <w:tcPr>
            <w:tcW w:w="748" w:type="pct"/>
            <w:vAlign w:val="center"/>
          </w:tcPr>
          <w:p w14:paraId="1EA733A7">
            <w:pPr>
              <w:jc w:val="center"/>
              <w:rPr>
                <w:rFonts w:hint="eastAsia" w:ascii="Times New Roman" w:hAnsi="Times New Roman" w:eastAsia="仿宋_GB2312" w:cs="Times New Roman"/>
                <w:color w:val="auto"/>
                <w:kern w:val="0"/>
                <w:szCs w:val="21"/>
                <w:lang w:val="en-US" w:eastAsia="zh-CN"/>
              </w:rPr>
            </w:pPr>
            <w:r>
              <w:rPr>
                <w:rFonts w:hint="eastAsia" w:ascii="Times New Roman" w:hAnsi="Times New Roman" w:eastAsia="仿宋_GB2312" w:cs="Times New Roman"/>
                <w:color w:val="auto"/>
                <w:kern w:val="0"/>
                <w:szCs w:val="21"/>
                <w:lang w:val="en-US" w:eastAsia="zh-CN"/>
              </w:rPr>
              <w:t>0.0035</w:t>
            </w:r>
          </w:p>
        </w:tc>
        <w:tc>
          <w:tcPr>
            <w:tcW w:w="776" w:type="pct"/>
            <w:vAlign w:val="center"/>
          </w:tcPr>
          <w:p w14:paraId="0F754066">
            <w:pPr>
              <w:jc w:val="center"/>
              <w:rPr>
                <w:rFonts w:hint="default" w:eastAsia="仿宋_GB2312"/>
                <w:color w:val="auto"/>
                <w:kern w:val="0"/>
                <w:szCs w:val="21"/>
                <w:lang w:val="en-US" w:eastAsia="zh-CN"/>
              </w:rPr>
            </w:pPr>
            <w:r>
              <w:rPr>
                <w:rFonts w:hint="eastAsia" w:eastAsia="仿宋_GB2312"/>
                <w:color w:val="auto"/>
                <w:kern w:val="0"/>
                <w:szCs w:val="21"/>
                <w:lang w:val="en-US" w:eastAsia="zh-CN"/>
              </w:rPr>
              <w:t>0.0182</w:t>
            </w:r>
          </w:p>
        </w:tc>
        <w:tc>
          <w:tcPr>
            <w:tcW w:w="699" w:type="pct"/>
            <w:vMerge w:val="continue"/>
            <w:vAlign w:val="center"/>
          </w:tcPr>
          <w:p w14:paraId="20343B69">
            <w:pPr>
              <w:jc w:val="center"/>
              <w:rPr>
                <w:rFonts w:eastAsia="仿宋_GB2312"/>
                <w:color w:val="FF0000"/>
                <w:szCs w:val="21"/>
              </w:rPr>
            </w:pPr>
          </w:p>
        </w:tc>
        <w:tc>
          <w:tcPr>
            <w:tcW w:w="749" w:type="pct"/>
            <w:vMerge w:val="continue"/>
            <w:vAlign w:val="center"/>
          </w:tcPr>
          <w:p w14:paraId="0ED7E105">
            <w:pPr>
              <w:jc w:val="center"/>
              <w:rPr>
                <w:rFonts w:eastAsia="仿宋_GB2312"/>
                <w:color w:val="FF0000"/>
                <w:szCs w:val="21"/>
              </w:rPr>
            </w:pPr>
          </w:p>
        </w:tc>
      </w:tr>
      <w:tr w14:paraId="76147B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12" w:type="pct"/>
            <w:vMerge w:val="continue"/>
            <w:vAlign w:val="center"/>
          </w:tcPr>
          <w:p w14:paraId="591BF737">
            <w:pPr>
              <w:jc w:val="center"/>
              <w:rPr>
                <w:rFonts w:eastAsia="仿宋_GB2312"/>
                <w:color w:val="FF0000"/>
                <w:kern w:val="0"/>
                <w:szCs w:val="21"/>
              </w:rPr>
            </w:pPr>
          </w:p>
        </w:tc>
        <w:tc>
          <w:tcPr>
            <w:tcW w:w="1213" w:type="pct"/>
            <w:shd w:val="clear" w:color="auto" w:fill="auto"/>
            <w:vAlign w:val="center"/>
          </w:tcPr>
          <w:p w14:paraId="20E7D332">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color w:val="auto"/>
                <w:szCs w:val="21"/>
              </w:rPr>
              <w:t>甲苯</w:t>
            </w:r>
          </w:p>
        </w:tc>
        <w:tc>
          <w:tcPr>
            <w:tcW w:w="748" w:type="pct"/>
            <w:vAlign w:val="center"/>
          </w:tcPr>
          <w:p w14:paraId="789DF350">
            <w:pPr>
              <w:jc w:val="center"/>
              <w:rPr>
                <w:rFonts w:hint="eastAsia" w:ascii="Times New Roman" w:hAnsi="Times New Roman" w:eastAsia="仿宋_GB2312" w:cs="Times New Roman"/>
                <w:color w:val="auto"/>
                <w:kern w:val="0"/>
                <w:szCs w:val="21"/>
                <w:lang w:val="en-US" w:eastAsia="zh-CN"/>
              </w:rPr>
            </w:pPr>
            <w:r>
              <w:rPr>
                <w:rFonts w:hint="eastAsia" w:ascii="Times New Roman" w:hAnsi="Times New Roman" w:eastAsia="仿宋_GB2312" w:cs="Times New Roman"/>
                <w:color w:val="auto"/>
                <w:kern w:val="0"/>
                <w:szCs w:val="21"/>
                <w:lang w:val="en-US" w:eastAsia="zh-CN"/>
              </w:rPr>
              <w:t>0.0225</w:t>
            </w:r>
          </w:p>
        </w:tc>
        <w:tc>
          <w:tcPr>
            <w:tcW w:w="776" w:type="pct"/>
            <w:vAlign w:val="center"/>
          </w:tcPr>
          <w:p w14:paraId="5E8C2F35">
            <w:pPr>
              <w:jc w:val="center"/>
              <w:rPr>
                <w:rFonts w:hint="default" w:eastAsia="仿宋_GB2312"/>
                <w:color w:val="auto"/>
                <w:kern w:val="0"/>
                <w:szCs w:val="21"/>
                <w:lang w:val="en-US" w:eastAsia="zh-CN"/>
              </w:rPr>
            </w:pPr>
            <w:r>
              <w:rPr>
                <w:rFonts w:hint="eastAsia" w:eastAsia="仿宋_GB2312"/>
                <w:color w:val="auto"/>
                <w:kern w:val="0"/>
                <w:szCs w:val="21"/>
                <w:lang w:val="en-US" w:eastAsia="zh-CN"/>
              </w:rPr>
              <w:t>0.0676</w:t>
            </w:r>
          </w:p>
        </w:tc>
        <w:tc>
          <w:tcPr>
            <w:tcW w:w="699" w:type="pct"/>
            <w:vMerge w:val="continue"/>
            <w:vAlign w:val="center"/>
          </w:tcPr>
          <w:p w14:paraId="42FBFADE">
            <w:pPr>
              <w:jc w:val="center"/>
              <w:rPr>
                <w:rFonts w:eastAsia="仿宋_GB2312"/>
                <w:color w:val="FF0000"/>
                <w:szCs w:val="21"/>
              </w:rPr>
            </w:pPr>
          </w:p>
        </w:tc>
        <w:tc>
          <w:tcPr>
            <w:tcW w:w="749" w:type="pct"/>
            <w:vMerge w:val="continue"/>
            <w:vAlign w:val="center"/>
          </w:tcPr>
          <w:p w14:paraId="57D3DEBA">
            <w:pPr>
              <w:jc w:val="center"/>
              <w:rPr>
                <w:rFonts w:eastAsia="仿宋_GB2312"/>
                <w:color w:val="FF0000"/>
                <w:szCs w:val="21"/>
              </w:rPr>
            </w:pPr>
          </w:p>
        </w:tc>
      </w:tr>
      <w:tr w14:paraId="1BFC06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12" w:type="pct"/>
            <w:vMerge w:val="continue"/>
            <w:vAlign w:val="center"/>
          </w:tcPr>
          <w:p w14:paraId="0ADB9FEF">
            <w:pPr>
              <w:jc w:val="center"/>
              <w:rPr>
                <w:rFonts w:eastAsia="仿宋_GB2312"/>
                <w:color w:val="FF0000"/>
                <w:kern w:val="0"/>
                <w:szCs w:val="21"/>
              </w:rPr>
            </w:pPr>
          </w:p>
        </w:tc>
        <w:tc>
          <w:tcPr>
            <w:tcW w:w="1213" w:type="pct"/>
            <w:shd w:val="clear" w:color="auto" w:fill="auto"/>
            <w:vAlign w:val="center"/>
          </w:tcPr>
          <w:p w14:paraId="269355FD">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等线"/>
                <w:color w:val="auto"/>
                <w:szCs w:val="21"/>
              </w:rPr>
              <w:t>DMF</w:t>
            </w:r>
          </w:p>
        </w:tc>
        <w:tc>
          <w:tcPr>
            <w:tcW w:w="748" w:type="pct"/>
            <w:vAlign w:val="center"/>
          </w:tcPr>
          <w:p w14:paraId="7D568D4B">
            <w:pPr>
              <w:jc w:val="center"/>
              <w:rPr>
                <w:rFonts w:hint="default" w:ascii="Times New Roman" w:hAnsi="Times New Roman" w:eastAsia="仿宋_GB2312" w:cs="Times New Roman"/>
                <w:color w:val="auto"/>
                <w:kern w:val="0"/>
                <w:szCs w:val="21"/>
                <w:lang w:val="en-US" w:eastAsia="zh-CN"/>
              </w:rPr>
            </w:pPr>
            <w:r>
              <w:rPr>
                <w:rFonts w:hint="eastAsia" w:ascii="Times New Roman" w:hAnsi="Times New Roman" w:eastAsia="仿宋_GB2312" w:cs="Times New Roman"/>
                <w:color w:val="auto"/>
                <w:kern w:val="0"/>
                <w:szCs w:val="21"/>
                <w:lang w:val="en-US" w:eastAsia="zh-CN"/>
              </w:rPr>
              <w:t>0.</w:t>
            </w:r>
            <w:r>
              <w:rPr>
                <w:rFonts w:hint="eastAsia" w:eastAsia="仿宋_GB2312" w:cs="Times New Roman"/>
                <w:color w:val="auto"/>
                <w:kern w:val="0"/>
                <w:szCs w:val="21"/>
                <w:lang w:val="en-US" w:eastAsia="zh-CN"/>
              </w:rPr>
              <w:t>0146</w:t>
            </w:r>
          </w:p>
        </w:tc>
        <w:tc>
          <w:tcPr>
            <w:tcW w:w="776" w:type="pct"/>
            <w:vAlign w:val="center"/>
          </w:tcPr>
          <w:p w14:paraId="7C7773E6">
            <w:pPr>
              <w:jc w:val="center"/>
              <w:rPr>
                <w:rFonts w:hint="default" w:eastAsia="仿宋_GB2312"/>
                <w:color w:val="auto"/>
                <w:kern w:val="0"/>
                <w:szCs w:val="21"/>
                <w:lang w:val="en-US" w:eastAsia="zh-CN"/>
              </w:rPr>
            </w:pPr>
            <w:r>
              <w:rPr>
                <w:rFonts w:hint="eastAsia" w:eastAsia="仿宋_GB2312"/>
                <w:color w:val="auto"/>
                <w:kern w:val="0"/>
                <w:szCs w:val="21"/>
                <w:lang w:val="en-US" w:eastAsia="zh-CN"/>
              </w:rPr>
              <w:t>0.127</w:t>
            </w:r>
          </w:p>
        </w:tc>
        <w:tc>
          <w:tcPr>
            <w:tcW w:w="699" w:type="pct"/>
            <w:vMerge w:val="continue"/>
            <w:vAlign w:val="center"/>
          </w:tcPr>
          <w:p w14:paraId="0DA62FED">
            <w:pPr>
              <w:jc w:val="center"/>
              <w:rPr>
                <w:rFonts w:eastAsia="仿宋_GB2312"/>
                <w:color w:val="FF0000"/>
                <w:szCs w:val="21"/>
              </w:rPr>
            </w:pPr>
          </w:p>
        </w:tc>
        <w:tc>
          <w:tcPr>
            <w:tcW w:w="749" w:type="pct"/>
            <w:vMerge w:val="continue"/>
            <w:vAlign w:val="center"/>
          </w:tcPr>
          <w:p w14:paraId="3B8943D5">
            <w:pPr>
              <w:jc w:val="center"/>
              <w:rPr>
                <w:rFonts w:eastAsia="仿宋_GB2312"/>
                <w:color w:val="FF0000"/>
                <w:szCs w:val="21"/>
              </w:rPr>
            </w:pPr>
          </w:p>
        </w:tc>
      </w:tr>
      <w:tr w14:paraId="630D39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12" w:type="pct"/>
            <w:vMerge w:val="continue"/>
            <w:vAlign w:val="center"/>
          </w:tcPr>
          <w:p w14:paraId="2E9A6722">
            <w:pPr>
              <w:jc w:val="center"/>
              <w:rPr>
                <w:rFonts w:eastAsia="仿宋_GB2312"/>
                <w:color w:val="FF0000"/>
                <w:kern w:val="0"/>
                <w:szCs w:val="21"/>
              </w:rPr>
            </w:pPr>
          </w:p>
        </w:tc>
        <w:tc>
          <w:tcPr>
            <w:tcW w:w="1213" w:type="pct"/>
            <w:shd w:val="clear" w:color="auto" w:fill="auto"/>
            <w:vAlign w:val="center"/>
          </w:tcPr>
          <w:p w14:paraId="74735638">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color w:val="auto"/>
                <w:szCs w:val="21"/>
              </w:rPr>
              <w:t>环己烷</w:t>
            </w:r>
          </w:p>
        </w:tc>
        <w:tc>
          <w:tcPr>
            <w:tcW w:w="748" w:type="pct"/>
            <w:vAlign w:val="center"/>
          </w:tcPr>
          <w:p w14:paraId="07BF9E81">
            <w:pPr>
              <w:jc w:val="center"/>
              <w:rPr>
                <w:rFonts w:hint="eastAsia" w:ascii="Times New Roman" w:hAnsi="Times New Roman" w:eastAsia="仿宋_GB2312" w:cs="Times New Roman"/>
                <w:color w:val="auto"/>
                <w:kern w:val="0"/>
                <w:szCs w:val="21"/>
                <w:lang w:val="en-US" w:eastAsia="zh-CN"/>
              </w:rPr>
            </w:pPr>
            <w:r>
              <w:rPr>
                <w:rFonts w:hint="eastAsia" w:ascii="Times New Roman" w:hAnsi="Times New Roman" w:eastAsia="仿宋_GB2312" w:cs="Times New Roman"/>
                <w:color w:val="auto"/>
                <w:kern w:val="0"/>
                <w:szCs w:val="21"/>
                <w:lang w:val="en-US" w:eastAsia="zh-CN"/>
              </w:rPr>
              <w:t>0.0228</w:t>
            </w:r>
          </w:p>
        </w:tc>
        <w:tc>
          <w:tcPr>
            <w:tcW w:w="776" w:type="pct"/>
            <w:vAlign w:val="center"/>
          </w:tcPr>
          <w:p w14:paraId="5D306D97">
            <w:pPr>
              <w:jc w:val="center"/>
              <w:rPr>
                <w:rFonts w:hint="default" w:eastAsia="仿宋_GB2312"/>
                <w:color w:val="auto"/>
                <w:kern w:val="0"/>
                <w:szCs w:val="21"/>
                <w:lang w:val="en-US" w:eastAsia="zh-CN"/>
              </w:rPr>
            </w:pPr>
            <w:r>
              <w:rPr>
                <w:rFonts w:hint="eastAsia" w:eastAsia="仿宋_GB2312"/>
                <w:color w:val="auto"/>
                <w:kern w:val="0"/>
                <w:szCs w:val="21"/>
                <w:lang w:val="en-US" w:eastAsia="zh-CN"/>
              </w:rPr>
              <w:t>0.0274</w:t>
            </w:r>
          </w:p>
        </w:tc>
        <w:tc>
          <w:tcPr>
            <w:tcW w:w="699" w:type="pct"/>
            <w:vMerge w:val="continue"/>
            <w:vAlign w:val="center"/>
          </w:tcPr>
          <w:p w14:paraId="25E91293">
            <w:pPr>
              <w:jc w:val="center"/>
              <w:rPr>
                <w:rFonts w:eastAsia="仿宋_GB2312"/>
                <w:color w:val="FF0000"/>
                <w:szCs w:val="21"/>
              </w:rPr>
            </w:pPr>
          </w:p>
        </w:tc>
        <w:tc>
          <w:tcPr>
            <w:tcW w:w="749" w:type="pct"/>
            <w:vMerge w:val="continue"/>
            <w:vAlign w:val="center"/>
          </w:tcPr>
          <w:p w14:paraId="797A4746">
            <w:pPr>
              <w:jc w:val="center"/>
              <w:rPr>
                <w:rFonts w:eastAsia="仿宋_GB2312"/>
                <w:color w:val="FF0000"/>
                <w:szCs w:val="21"/>
              </w:rPr>
            </w:pPr>
          </w:p>
        </w:tc>
      </w:tr>
      <w:tr w14:paraId="345977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12" w:type="pct"/>
            <w:vMerge w:val="continue"/>
            <w:vAlign w:val="center"/>
          </w:tcPr>
          <w:p w14:paraId="0D5AFB30">
            <w:pPr>
              <w:jc w:val="center"/>
              <w:rPr>
                <w:rFonts w:eastAsia="仿宋_GB2312"/>
                <w:color w:val="FF0000"/>
                <w:kern w:val="0"/>
                <w:szCs w:val="21"/>
              </w:rPr>
            </w:pPr>
          </w:p>
        </w:tc>
        <w:tc>
          <w:tcPr>
            <w:tcW w:w="1213" w:type="pct"/>
            <w:shd w:val="clear" w:color="auto" w:fill="auto"/>
            <w:vAlign w:val="center"/>
          </w:tcPr>
          <w:p w14:paraId="76632239">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color w:val="auto"/>
                <w:szCs w:val="21"/>
              </w:rPr>
              <w:t>环己酮</w:t>
            </w:r>
          </w:p>
        </w:tc>
        <w:tc>
          <w:tcPr>
            <w:tcW w:w="748" w:type="pct"/>
            <w:vAlign w:val="center"/>
          </w:tcPr>
          <w:p w14:paraId="5424D0FA">
            <w:pPr>
              <w:jc w:val="center"/>
              <w:rPr>
                <w:rFonts w:hint="default" w:ascii="Times New Roman" w:hAnsi="Times New Roman" w:eastAsia="仿宋_GB2312" w:cs="Times New Roman"/>
                <w:color w:val="auto"/>
                <w:kern w:val="0"/>
                <w:szCs w:val="21"/>
                <w:lang w:val="en-US" w:eastAsia="zh-CN"/>
              </w:rPr>
            </w:pPr>
            <w:r>
              <w:rPr>
                <w:rFonts w:hint="eastAsia" w:ascii="Times New Roman" w:hAnsi="Times New Roman" w:eastAsia="仿宋_GB2312" w:cs="Times New Roman"/>
                <w:color w:val="auto"/>
                <w:kern w:val="0"/>
                <w:szCs w:val="21"/>
                <w:lang w:val="en-US" w:eastAsia="zh-CN"/>
              </w:rPr>
              <w:t>0.0</w:t>
            </w:r>
            <w:r>
              <w:rPr>
                <w:rFonts w:hint="eastAsia" w:eastAsia="仿宋_GB2312" w:cs="Times New Roman"/>
                <w:color w:val="auto"/>
                <w:kern w:val="0"/>
                <w:szCs w:val="21"/>
                <w:lang w:val="en-US" w:eastAsia="zh-CN"/>
              </w:rPr>
              <w:t>017</w:t>
            </w:r>
          </w:p>
        </w:tc>
        <w:tc>
          <w:tcPr>
            <w:tcW w:w="776" w:type="pct"/>
            <w:vAlign w:val="center"/>
          </w:tcPr>
          <w:p w14:paraId="2371F2CB">
            <w:pPr>
              <w:jc w:val="center"/>
              <w:rPr>
                <w:rFonts w:hint="default" w:eastAsia="仿宋_GB2312"/>
                <w:color w:val="auto"/>
                <w:kern w:val="0"/>
                <w:szCs w:val="21"/>
                <w:lang w:val="en-US" w:eastAsia="zh-CN"/>
              </w:rPr>
            </w:pPr>
            <w:r>
              <w:rPr>
                <w:rFonts w:hint="eastAsia" w:eastAsia="仿宋_GB2312"/>
                <w:color w:val="auto"/>
                <w:kern w:val="0"/>
                <w:szCs w:val="21"/>
                <w:lang w:val="en-US" w:eastAsia="zh-CN"/>
              </w:rPr>
              <w:t>0.0035</w:t>
            </w:r>
          </w:p>
        </w:tc>
        <w:tc>
          <w:tcPr>
            <w:tcW w:w="699" w:type="pct"/>
            <w:vMerge w:val="continue"/>
            <w:vAlign w:val="center"/>
          </w:tcPr>
          <w:p w14:paraId="657C25C4">
            <w:pPr>
              <w:jc w:val="center"/>
              <w:rPr>
                <w:rFonts w:eastAsia="仿宋_GB2312"/>
                <w:color w:val="FF0000"/>
                <w:szCs w:val="21"/>
              </w:rPr>
            </w:pPr>
          </w:p>
        </w:tc>
        <w:tc>
          <w:tcPr>
            <w:tcW w:w="749" w:type="pct"/>
            <w:vMerge w:val="continue"/>
            <w:vAlign w:val="center"/>
          </w:tcPr>
          <w:p w14:paraId="66C1D01B">
            <w:pPr>
              <w:jc w:val="center"/>
              <w:rPr>
                <w:rFonts w:eastAsia="仿宋_GB2312"/>
                <w:color w:val="FF0000"/>
                <w:szCs w:val="21"/>
              </w:rPr>
            </w:pPr>
          </w:p>
        </w:tc>
      </w:tr>
      <w:tr w14:paraId="407AFE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12" w:type="pct"/>
            <w:vMerge w:val="continue"/>
            <w:vAlign w:val="center"/>
          </w:tcPr>
          <w:p w14:paraId="675C4EF7">
            <w:pPr>
              <w:jc w:val="center"/>
              <w:rPr>
                <w:rFonts w:eastAsia="仿宋_GB2312"/>
                <w:color w:val="FF0000"/>
                <w:kern w:val="0"/>
                <w:szCs w:val="21"/>
              </w:rPr>
            </w:pPr>
          </w:p>
        </w:tc>
        <w:tc>
          <w:tcPr>
            <w:tcW w:w="1213" w:type="pct"/>
            <w:shd w:val="clear" w:color="auto" w:fill="auto"/>
            <w:vAlign w:val="center"/>
          </w:tcPr>
          <w:p w14:paraId="5B4E4CD2">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color w:val="auto"/>
                <w:szCs w:val="21"/>
              </w:rPr>
              <w:t>二氯乙烷</w:t>
            </w:r>
          </w:p>
        </w:tc>
        <w:tc>
          <w:tcPr>
            <w:tcW w:w="748" w:type="pct"/>
            <w:vAlign w:val="center"/>
          </w:tcPr>
          <w:p w14:paraId="65E5EE20">
            <w:pPr>
              <w:jc w:val="center"/>
              <w:rPr>
                <w:rFonts w:hint="eastAsia" w:ascii="Times New Roman" w:hAnsi="Times New Roman" w:eastAsia="仿宋_GB2312" w:cs="Times New Roman"/>
                <w:color w:val="auto"/>
                <w:kern w:val="0"/>
                <w:szCs w:val="21"/>
                <w:lang w:val="en-US" w:eastAsia="zh-CN"/>
              </w:rPr>
            </w:pPr>
            <w:r>
              <w:rPr>
                <w:rFonts w:hint="eastAsia" w:ascii="Times New Roman" w:hAnsi="Times New Roman" w:eastAsia="仿宋_GB2312" w:cs="Times New Roman"/>
                <w:color w:val="auto"/>
                <w:kern w:val="0"/>
                <w:szCs w:val="21"/>
                <w:lang w:val="en-US" w:eastAsia="zh-CN"/>
              </w:rPr>
              <w:t>0.0355</w:t>
            </w:r>
          </w:p>
        </w:tc>
        <w:tc>
          <w:tcPr>
            <w:tcW w:w="776" w:type="pct"/>
            <w:vAlign w:val="center"/>
          </w:tcPr>
          <w:p w14:paraId="40ED39A9">
            <w:pPr>
              <w:jc w:val="center"/>
              <w:rPr>
                <w:rFonts w:hint="default" w:eastAsia="仿宋_GB2312"/>
                <w:color w:val="auto"/>
                <w:kern w:val="0"/>
                <w:szCs w:val="21"/>
                <w:lang w:val="en-US" w:eastAsia="zh-CN"/>
              </w:rPr>
            </w:pPr>
            <w:r>
              <w:rPr>
                <w:rFonts w:hint="eastAsia" w:eastAsia="仿宋_GB2312"/>
                <w:color w:val="auto"/>
                <w:kern w:val="0"/>
                <w:szCs w:val="21"/>
                <w:lang w:val="en-US" w:eastAsia="zh-CN"/>
              </w:rPr>
              <w:t>0.0426</w:t>
            </w:r>
          </w:p>
        </w:tc>
        <w:tc>
          <w:tcPr>
            <w:tcW w:w="699" w:type="pct"/>
            <w:vMerge w:val="continue"/>
            <w:vAlign w:val="center"/>
          </w:tcPr>
          <w:p w14:paraId="67C9E1C8">
            <w:pPr>
              <w:jc w:val="center"/>
              <w:rPr>
                <w:rFonts w:eastAsia="仿宋_GB2312"/>
                <w:color w:val="FF0000"/>
                <w:szCs w:val="21"/>
              </w:rPr>
            </w:pPr>
          </w:p>
        </w:tc>
        <w:tc>
          <w:tcPr>
            <w:tcW w:w="749" w:type="pct"/>
            <w:vMerge w:val="continue"/>
            <w:vAlign w:val="center"/>
          </w:tcPr>
          <w:p w14:paraId="46E7AA3F">
            <w:pPr>
              <w:jc w:val="center"/>
              <w:rPr>
                <w:rFonts w:eastAsia="仿宋_GB2312"/>
                <w:color w:val="FF0000"/>
                <w:szCs w:val="21"/>
              </w:rPr>
            </w:pPr>
          </w:p>
        </w:tc>
      </w:tr>
      <w:tr w14:paraId="2472A11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12" w:type="pct"/>
            <w:vMerge w:val="continue"/>
            <w:vAlign w:val="center"/>
          </w:tcPr>
          <w:p w14:paraId="4987A58E">
            <w:pPr>
              <w:jc w:val="center"/>
              <w:rPr>
                <w:rFonts w:eastAsia="仿宋_GB2312"/>
                <w:color w:val="FF0000"/>
                <w:kern w:val="0"/>
                <w:szCs w:val="21"/>
              </w:rPr>
            </w:pPr>
          </w:p>
        </w:tc>
        <w:tc>
          <w:tcPr>
            <w:tcW w:w="1213" w:type="pct"/>
            <w:shd w:val="clear" w:color="auto" w:fill="auto"/>
            <w:vAlign w:val="center"/>
          </w:tcPr>
          <w:p w14:paraId="73E71977">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等线"/>
                <w:color w:val="auto"/>
                <w:szCs w:val="21"/>
              </w:rPr>
              <w:t>DMSO</w:t>
            </w:r>
          </w:p>
        </w:tc>
        <w:tc>
          <w:tcPr>
            <w:tcW w:w="748" w:type="pct"/>
            <w:vAlign w:val="center"/>
          </w:tcPr>
          <w:p w14:paraId="03C8E51E">
            <w:pPr>
              <w:jc w:val="center"/>
              <w:rPr>
                <w:rFonts w:hint="eastAsia" w:ascii="Times New Roman" w:hAnsi="Times New Roman" w:eastAsia="仿宋_GB2312" w:cs="Times New Roman"/>
                <w:color w:val="auto"/>
                <w:kern w:val="0"/>
                <w:szCs w:val="21"/>
                <w:lang w:val="en-US" w:eastAsia="zh-CN"/>
              </w:rPr>
            </w:pPr>
            <w:r>
              <w:rPr>
                <w:rFonts w:hint="eastAsia" w:ascii="Times New Roman" w:hAnsi="Times New Roman" w:eastAsia="仿宋_GB2312" w:cs="Times New Roman"/>
                <w:color w:val="auto"/>
                <w:kern w:val="0"/>
                <w:szCs w:val="21"/>
                <w:lang w:val="en-US" w:eastAsia="zh-CN"/>
              </w:rPr>
              <w:t>0.0077</w:t>
            </w:r>
          </w:p>
        </w:tc>
        <w:tc>
          <w:tcPr>
            <w:tcW w:w="776" w:type="pct"/>
            <w:vAlign w:val="center"/>
          </w:tcPr>
          <w:p w14:paraId="4D0A5F2D">
            <w:pPr>
              <w:jc w:val="center"/>
              <w:rPr>
                <w:rFonts w:hint="default" w:eastAsia="仿宋_GB2312"/>
                <w:color w:val="auto"/>
                <w:kern w:val="0"/>
                <w:szCs w:val="21"/>
                <w:lang w:val="en-US" w:eastAsia="zh-CN"/>
              </w:rPr>
            </w:pPr>
            <w:r>
              <w:rPr>
                <w:rFonts w:hint="eastAsia" w:eastAsia="仿宋_GB2312"/>
                <w:color w:val="auto"/>
                <w:kern w:val="0"/>
                <w:szCs w:val="21"/>
                <w:lang w:val="en-US" w:eastAsia="zh-CN"/>
              </w:rPr>
              <w:t>0.043</w:t>
            </w:r>
          </w:p>
        </w:tc>
        <w:tc>
          <w:tcPr>
            <w:tcW w:w="699" w:type="pct"/>
            <w:vMerge w:val="continue"/>
            <w:vAlign w:val="center"/>
          </w:tcPr>
          <w:p w14:paraId="21F232CB">
            <w:pPr>
              <w:jc w:val="center"/>
              <w:rPr>
                <w:rFonts w:eastAsia="仿宋_GB2312"/>
                <w:color w:val="FF0000"/>
                <w:szCs w:val="21"/>
              </w:rPr>
            </w:pPr>
          </w:p>
        </w:tc>
        <w:tc>
          <w:tcPr>
            <w:tcW w:w="749" w:type="pct"/>
            <w:vMerge w:val="continue"/>
            <w:vAlign w:val="center"/>
          </w:tcPr>
          <w:p w14:paraId="6393495F">
            <w:pPr>
              <w:jc w:val="center"/>
              <w:rPr>
                <w:rFonts w:eastAsia="仿宋_GB2312"/>
                <w:color w:val="FF0000"/>
                <w:szCs w:val="21"/>
              </w:rPr>
            </w:pPr>
          </w:p>
        </w:tc>
      </w:tr>
      <w:tr w14:paraId="5FFEB5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12" w:type="pct"/>
            <w:vMerge w:val="continue"/>
            <w:vAlign w:val="center"/>
          </w:tcPr>
          <w:p w14:paraId="5C9BF368">
            <w:pPr>
              <w:jc w:val="center"/>
              <w:rPr>
                <w:rFonts w:eastAsia="仿宋_GB2312"/>
                <w:color w:val="FF0000"/>
                <w:kern w:val="0"/>
                <w:szCs w:val="21"/>
              </w:rPr>
            </w:pPr>
          </w:p>
        </w:tc>
        <w:tc>
          <w:tcPr>
            <w:tcW w:w="1213" w:type="pct"/>
            <w:shd w:val="clear" w:color="auto" w:fill="auto"/>
            <w:vAlign w:val="center"/>
          </w:tcPr>
          <w:p w14:paraId="65D5D21E">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color w:val="auto"/>
                <w:szCs w:val="21"/>
              </w:rPr>
              <w:t>丁醇</w:t>
            </w:r>
          </w:p>
        </w:tc>
        <w:tc>
          <w:tcPr>
            <w:tcW w:w="748" w:type="pct"/>
            <w:vAlign w:val="center"/>
          </w:tcPr>
          <w:p w14:paraId="56EAB3F8">
            <w:pPr>
              <w:jc w:val="center"/>
              <w:rPr>
                <w:rFonts w:hint="eastAsia" w:ascii="Times New Roman" w:hAnsi="Times New Roman" w:eastAsia="仿宋_GB2312" w:cs="Times New Roman"/>
                <w:color w:val="auto"/>
                <w:kern w:val="0"/>
                <w:szCs w:val="21"/>
                <w:lang w:val="en-US" w:eastAsia="zh-CN"/>
              </w:rPr>
            </w:pPr>
            <w:r>
              <w:rPr>
                <w:rFonts w:hint="eastAsia" w:ascii="Times New Roman" w:hAnsi="Times New Roman" w:eastAsia="仿宋_GB2312" w:cs="Times New Roman"/>
                <w:color w:val="auto"/>
                <w:kern w:val="0"/>
                <w:szCs w:val="21"/>
                <w:lang w:val="en-US" w:eastAsia="zh-CN"/>
              </w:rPr>
              <w:t>0.0118</w:t>
            </w:r>
          </w:p>
        </w:tc>
        <w:tc>
          <w:tcPr>
            <w:tcW w:w="776" w:type="pct"/>
            <w:vAlign w:val="center"/>
          </w:tcPr>
          <w:p w14:paraId="05072097">
            <w:pPr>
              <w:jc w:val="center"/>
              <w:rPr>
                <w:rFonts w:hint="default" w:eastAsia="仿宋_GB2312"/>
                <w:color w:val="auto"/>
                <w:kern w:val="0"/>
                <w:szCs w:val="21"/>
                <w:lang w:val="en-US" w:eastAsia="zh-CN"/>
              </w:rPr>
            </w:pPr>
            <w:r>
              <w:rPr>
                <w:rFonts w:hint="eastAsia" w:eastAsia="仿宋_GB2312"/>
                <w:color w:val="auto"/>
                <w:kern w:val="0"/>
                <w:szCs w:val="21"/>
                <w:lang w:val="en-US" w:eastAsia="zh-CN"/>
              </w:rPr>
              <w:t>0.0059</w:t>
            </w:r>
          </w:p>
        </w:tc>
        <w:tc>
          <w:tcPr>
            <w:tcW w:w="699" w:type="pct"/>
            <w:vMerge w:val="continue"/>
            <w:vAlign w:val="center"/>
          </w:tcPr>
          <w:p w14:paraId="7D79FF1E">
            <w:pPr>
              <w:jc w:val="center"/>
              <w:rPr>
                <w:rFonts w:eastAsia="仿宋_GB2312"/>
                <w:color w:val="FF0000"/>
                <w:szCs w:val="21"/>
              </w:rPr>
            </w:pPr>
          </w:p>
        </w:tc>
        <w:tc>
          <w:tcPr>
            <w:tcW w:w="749" w:type="pct"/>
            <w:vMerge w:val="continue"/>
            <w:vAlign w:val="center"/>
          </w:tcPr>
          <w:p w14:paraId="4C3D1FED">
            <w:pPr>
              <w:jc w:val="center"/>
              <w:rPr>
                <w:rFonts w:eastAsia="仿宋_GB2312"/>
                <w:color w:val="FF0000"/>
                <w:szCs w:val="21"/>
              </w:rPr>
            </w:pPr>
          </w:p>
        </w:tc>
      </w:tr>
      <w:tr w14:paraId="382FC23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12" w:type="pct"/>
            <w:vMerge w:val="continue"/>
            <w:vAlign w:val="center"/>
          </w:tcPr>
          <w:p w14:paraId="49734633">
            <w:pPr>
              <w:jc w:val="center"/>
              <w:rPr>
                <w:rFonts w:eastAsia="仿宋_GB2312"/>
                <w:color w:val="FF0000"/>
                <w:kern w:val="0"/>
                <w:szCs w:val="21"/>
              </w:rPr>
            </w:pPr>
          </w:p>
        </w:tc>
        <w:tc>
          <w:tcPr>
            <w:tcW w:w="1213" w:type="pct"/>
            <w:shd w:val="clear" w:color="auto" w:fill="auto"/>
            <w:vAlign w:val="center"/>
          </w:tcPr>
          <w:p w14:paraId="6658F402">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color w:val="auto"/>
                <w:szCs w:val="21"/>
              </w:rPr>
              <w:t>辛醇</w:t>
            </w:r>
          </w:p>
        </w:tc>
        <w:tc>
          <w:tcPr>
            <w:tcW w:w="748" w:type="pct"/>
            <w:vAlign w:val="center"/>
          </w:tcPr>
          <w:p w14:paraId="7D95D6A0">
            <w:pPr>
              <w:jc w:val="center"/>
              <w:rPr>
                <w:rFonts w:hint="eastAsia" w:ascii="Times New Roman" w:hAnsi="Times New Roman" w:eastAsia="仿宋_GB2312" w:cs="Times New Roman"/>
                <w:color w:val="auto"/>
                <w:kern w:val="0"/>
                <w:szCs w:val="21"/>
                <w:lang w:val="en-US" w:eastAsia="zh-CN"/>
              </w:rPr>
            </w:pPr>
            <w:r>
              <w:rPr>
                <w:rFonts w:hint="eastAsia" w:ascii="Times New Roman" w:hAnsi="Times New Roman" w:eastAsia="仿宋_GB2312" w:cs="Times New Roman"/>
                <w:color w:val="auto"/>
                <w:kern w:val="0"/>
                <w:szCs w:val="21"/>
                <w:lang w:val="en-US" w:eastAsia="zh-CN"/>
              </w:rPr>
              <w:t>0.0038</w:t>
            </w:r>
          </w:p>
        </w:tc>
        <w:tc>
          <w:tcPr>
            <w:tcW w:w="776" w:type="pct"/>
            <w:vAlign w:val="center"/>
          </w:tcPr>
          <w:p w14:paraId="7857B986">
            <w:pPr>
              <w:jc w:val="center"/>
              <w:rPr>
                <w:rFonts w:hint="default" w:eastAsia="仿宋_GB2312"/>
                <w:color w:val="auto"/>
                <w:kern w:val="0"/>
                <w:szCs w:val="21"/>
                <w:lang w:val="en-US" w:eastAsia="zh-CN"/>
              </w:rPr>
            </w:pPr>
            <w:r>
              <w:rPr>
                <w:rFonts w:hint="eastAsia" w:eastAsia="仿宋_GB2312"/>
                <w:color w:val="auto"/>
                <w:kern w:val="0"/>
                <w:szCs w:val="21"/>
                <w:lang w:val="en-US" w:eastAsia="zh-CN"/>
              </w:rPr>
              <w:t>0.0019</w:t>
            </w:r>
          </w:p>
        </w:tc>
        <w:tc>
          <w:tcPr>
            <w:tcW w:w="699" w:type="pct"/>
            <w:vMerge w:val="continue"/>
            <w:vAlign w:val="center"/>
          </w:tcPr>
          <w:p w14:paraId="58753E31">
            <w:pPr>
              <w:jc w:val="center"/>
              <w:rPr>
                <w:rFonts w:eastAsia="仿宋_GB2312"/>
                <w:color w:val="FF0000"/>
                <w:szCs w:val="21"/>
              </w:rPr>
            </w:pPr>
          </w:p>
        </w:tc>
        <w:tc>
          <w:tcPr>
            <w:tcW w:w="749" w:type="pct"/>
            <w:vMerge w:val="continue"/>
            <w:vAlign w:val="center"/>
          </w:tcPr>
          <w:p w14:paraId="24DFC906">
            <w:pPr>
              <w:jc w:val="center"/>
              <w:rPr>
                <w:rFonts w:eastAsia="仿宋_GB2312"/>
                <w:color w:val="FF0000"/>
                <w:szCs w:val="21"/>
              </w:rPr>
            </w:pPr>
          </w:p>
        </w:tc>
      </w:tr>
      <w:tr w14:paraId="29E3E3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12" w:type="pct"/>
            <w:vMerge w:val="continue"/>
            <w:vAlign w:val="center"/>
          </w:tcPr>
          <w:p w14:paraId="1B3BC747">
            <w:pPr>
              <w:jc w:val="center"/>
              <w:rPr>
                <w:rFonts w:eastAsia="仿宋_GB2312"/>
                <w:color w:val="FF0000"/>
                <w:kern w:val="0"/>
                <w:szCs w:val="21"/>
              </w:rPr>
            </w:pPr>
          </w:p>
        </w:tc>
        <w:tc>
          <w:tcPr>
            <w:tcW w:w="1213" w:type="pct"/>
            <w:shd w:val="clear" w:color="auto" w:fill="auto"/>
            <w:vAlign w:val="center"/>
          </w:tcPr>
          <w:p w14:paraId="5F58A0D8">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color w:val="auto"/>
                <w:szCs w:val="21"/>
              </w:rPr>
              <w:t>碳九</w:t>
            </w:r>
          </w:p>
        </w:tc>
        <w:tc>
          <w:tcPr>
            <w:tcW w:w="748" w:type="pct"/>
            <w:vAlign w:val="center"/>
          </w:tcPr>
          <w:p w14:paraId="661F6532">
            <w:pPr>
              <w:jc w:val="center"/>
              <w:rPr>
                <w:rFonts w:hint="eastAsia" w:ascii="Times New Roman" w:hAnsi="Times New Roman" w:eastAsia="仿宋_GB2312" w:cs="Times New Roman"/>
                <w:color w:val="auto"/>
                <w:kern w:val="0"/>
                <w:szCs w:val="21"/>
                <w:lang w:val="en-US" w:eastAsia="zh-CN"/>
              </w:rPr>
            </w:pPr>
            <w:r>
              <w:rPr>
                <w:rFonts w:hint="eastAsia" w:ascii="Times New Roman" w:hAnsi="Times New Roman" w:eastAsia="仿宋_GB2312" w:cs="Times New Roman"/>
                <w:color w:val="auto"/>
                <w:kern w:val="0"/>
                <w:szCs w:val="21"/>
                <w:lang w:val="en-US" w:eastAsia="zh-CN"/>
              </w:rPr>
              <w:t>0.0132</w:t>
            </w:r>
          </w:p>
        </w:tc>
        <w:tc>
          <w:tcPr>
            <w:tcW w:w="776" w:type="pct"/>
            <w:vAlign w:val="center"/>
          </w:tcPr>
          <w:p w14:paraId="5D7A0A20">
            <w:pPr>
              <w:jc w:val="center"/>
              <w:rPr>
                <w:rFonts w:hint="default" w:eastAsia="仿宋_GB2312"/>
                <w:color w:val="auto"/>
                <w:kern w:val="0"/>
                <w:szCs w:val="21"/>
                <w:lang w:val="en-US" w:eastAsia="zh-CN"/>
              </w:rPr>
            </w:pPr>
            <w:r>
              <w:rPr>
                <w:rFonts w:hint="eastAsia" w:eastAsia="仿宋_GB2312"/>
                <w:color w:val="auto"/>
                <w:kern w:val="0"/>
                <w:szCs w:val="21"/>
                <w:lang w:val="en-US" w:eastAsia="zh-CN"/>
              </w:rPr>
              <w:t>0.0066</w:t>
            </w:r>
          </w:p>
        </w:tc>
        <w:tc>
          <w:tcPr>
            <w:tcW w:w="699" w:type="pct"/>
            <w:vMerge w:val="continue"/>
            <w:vAlign w:val="center"/>
          </w:tcPr>
          <w:p w14:paraId="2DE35B19">
            <w:pPr>
              <w:jc w:val="center"/>
              <w:rPr>
                <w:rFonts w:eastAsia="仿宋_GB2312"/>
                <w:color w:val="FF0000"/>
                <w:szCs w:val="21"/>
              </w:rPr>
            </w:pPr>
          </w:p>
        </w:tc>
        <w:tc>
          <w:tcPr>
            <w:tcW w:w="749" w:type="pct"/>
            <w:vMerge w:val="continue"/>
            <w:vAlign w:val="center"/>
          </w:tcPr>
          <w:p w14:paraId="062A9006">
            <w:pPr>
              <w:jc w:val="center"/>
              <w:rPr>
                <w:rFonts w:eastAsia="仿宋_GB2312"/>
                <w:color w:val="FF0000"/>
                <w:szCs w:val="21"/>
              </w:rPr>
            </w:pPr>
          </w:p>
        </w:tc>
      </w:tr>
      <w:tr w14:paraId="65D726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12" w:type="pct"/>
            <w:vMerge w:val="continue"/>
            <w:vAlign w:val="center"/>
          </w:tcPr>
          <w:p w14:paraId="26A1AE0D">
            <w:pPr>
              <w:jc w:val="center"/>
              <w:rPr>
                <w:rFonts w:eastAsia="仿宋_GB2312"/>
                <w:color w:val="FF0000"/>
                <w:kern w:val="0"/>
                <w:szCs w:val="21"/>
              </w:rPr>
            </w:pPr>
          </w:p>
        </w:tc>
        <w:tc>
          <w:tcPr>
            <w:tcW w:w="1213" w:type="pct"/>
            <w:shd w:val="clear" w:color="auto" w:fill="auto"/>
            <w:vAlign w:val="center"/>
          </w:tcPr>
          <w:p w14:paraId="239EF287">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color w:val="auto"/>
                <w:szCs w:val="21"/>
              </w:rPr>
              <w:t>苯乙烯</w:t>
            </w:r>
          </w:p>
        </w:tc>
        <w:tc>
          <w:tcPr>
            <w:tcW w:w="748" w:type="pct"/>
            <w:vAlign w:val="center"/>
          </w:tcPr>
          <w:p w14:paraId="23CAFBAA">
            <w:pPr>
              <w:jc w:val="center"/>
              <w:rPr>
                <w:rFonts w:hint="default" w:ascii="Times New Roman" w:hAnsi="Times New Roman" w:eastAsia="仿宋_GB2312" w:cs="Times New Roman"/>
                <w:color w:val="auto"/>
                <w:kern w:val="0"/>
                <w:szCs w:val="21"/>
                <w:lang w:val="en-US" w:eastAsia="zh-CN"/>
              </w:rPr>
            </w:pPr>
            <w:r>
              <w:rPr>
                <w:rFonts w:hint="eastAsia" w:ascii="Times New Roman" w:hAnsi="Times New Roman" w:eastAsia="仿宋_GB2312" w:cs="Times New Roman"/>
                <w:color w:val="auto"/>
                <w:kern w:val="0"/>
                <w:szCs w:val="21"/>
                <w:lang w:val="en-US" w:eastAsia="zh-CN"/>
              </w:rPr>
              <w:t>0.00</w:t>
            </w:r>
            <w:r>
              <w:rPr>
                <w:rFonts w:hint="eastAsia" w:eastAsia="仿宋_GB2312" w:cs="Times New Roman"/>
                <w:color w:val="auto"/>
                <w:kern w:val="0"/>
                <w:szCs w:val="21"/>
                <w:lang w:val="en-US" w:eastAsia="zh-CN"/>
              </w:rPr>
              <w:t>07</w:t>
            </w:r>
          </w:p>
        </w:tc>
        <w:tc>
          <w:tcPr>
            <w:tcW w:w="776" w:type="pct"/>
            <w:vAlign w:val="center"/>
          </w:tcPr>
          <w:p w14:paraId="3D255B56">
            <w:pPr>
              <w:jc w:val="center"/>
              <w:rPr>
                <w:rFonts w:hint="default" w:eastAsia="仿宋_GB2312"/>
                <w:color w:val="auto"/>
                <w:kern w:val="0"/>
                <w:szCs w:val="21"/>
                <w:lang w:val="en-US" w:eastAsia="zh-CN"/>
              </w:rPr>
            </w:pPr>
            <w:r>
              <w:rPr>
                <w:rFonts w:hint="eastAsia" w:eastAsia="仿宋_GB2312"/>
                <w:color w:val="auto"/>
                <w:kern w:val="0"/>
                <w:szCs w:val="21"/>
                <w:lang w:val="en-US" w:eastAsia="zh-CN"/>
              </w:rPr>
              <w:t>0.0015</w:t>
            </w:r>
          </w:p>
        </w:tc>
        <w:tc>
          <w:tcPr>
            <w:tcW w:w="699" w:type="pct"/>
            <w:vMerge w:val="continue"/>
            <w:vAlign w:val="center"/>
          </w:tcPr>
          <w:p w14:paraId="5D2DBD05">
            <w:pPr>
              <w:jc w:val="center"/>
              <w:rPr>
                <w:rFonts w:eastAsia="仿宋_GB2312"/>
                <w:color w:val="FF0000"/>
                <w:szCs w:val="21"/>
              </w:rPr>
            </w:pPr>
          </w:p>
        </w:tc>
        <w:tc>
          <w:tcPr>
            <w:tcW w:w="749" w:type="pct"/>
            <w:vMerge w:val="continue"/>
            <w:vAlign w:val="center"/>
          </w:tcPr>
          <w:p w14:paraId="3EB94D4C">
            <w:pPr>
              <w:jc w:val="center"/>
              <w:rPr>
                <w:rFonts w:eastAsia="仿宋_GB2312"/>
                <w:color w:val="FF0000"/>
                <w:szCs w:val="21"/>
              </w:rPr>
            </w:pPr>
          </w:p>
        </w:tc>
      </w:tr>
      <w:tr w14:paraId="2A4DA1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12" w:type="pct"/>
            <w:vMerge w:val="continue"/>
            <w:vAlign w:val="center"/>
          </w:tcPr>
          <w:p w14:paraId="09E6A742">
            <w:pPr>
              <w:jc w:val="center"/>
              <w:rPr>
                <w:rFonts w:eastAsia="仿宋_GB2312"/>
                <w:color w:val="FF0000"/>
                <w:kern w:val="0"/>
                <w:szCs w:val="21"/>
              </w:rPr>
            </w:pPr>
          </w:p>
        </w:tc>
        <w:tc>
          <w:tcPr>
            <w:tcW w:w="1213" w:type="pct"/>
            <w:shd w:val="clear" w:color="auto" w:fill="auto"/>
            <w:vAlign w:val="center"/>
          </w:tcPr>
          <w:p w14:paraId="70AB45AC">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color w:val="auto"/>
                <w:szCs w:val="21"/>
              </w:rPr>
              <w:t>二乙二醇</w:t>
            </w:r>
          </w:p>
        </w:tc>
        <w:tc>
          <w:tcPr>
            <w:tcW w:w="748" w:type="pct"/>
            <w:vAlign w:val="center"/>
          </w:tcPr>
          <w:p w14:paraId="759CC840">
            <w:pPr>
              <w:jc w:val="center"/>
              <w:rPr>
                <w:rFonts w:hint="eastAsia" w:ascii="Times New Roman" w:hAnsi="Times New Roman" w:eastAsia="仿宋_GB2312" w:cs="Times New Roman"/>
                <w:color w:val="auto"/>
                <w:kern w:val="0"/>
                <w:szCs w:val="21"/>
                <w:lang w:val="en-US" w:eastAsia="zh-CN"/>
              </w:rPr>
            </w:pPr>
            <w:r>
              <w:rPr>
                <w:rFonts w:hint="eastAsia" w:ascii="Times New Roman" w:hAnsi="Times New Roman" w:eastAsia="仿宋_GB2312" w:cs="Times New Roman"/>
                <w:color w:val="auto"/>
                <w:kern w:val="0"/>
                <w:szCs w:val="21"/>
                <w:lang w:val="en-US" w:eastAsia="zh-CN"/>
              </w:rPr>
              <w:t>0.0082</w:t>
            </w:r>
          </w:p>
        </w:tc>
        <w:tc>
          <w:tcPr>
            <w:tcW w:w="776" w:type="pct"/>
            <w:vAlign w:val="center"/>
          </w:tcPr>
          <w:p w14:paraId="1ABB2754">
            <w:pPr>
              <w:jc w:val="center"/>
              <w:rPr>
                <w:rFonts w:hint="default" w:eastAsia="仿宋_GB2312"/>
                <w:color w:val="auto"/>
                <w:kern w:val="0"/>
                <w:szCs w:val="21"/>
                <w:lang w:val="en-US" w:eastAsia="zh-CN"/>
              </w:rPr>
            </w:pPr>
            <w:r>
              <w:rPr>
                <w:rFonts w:hint="eastAsia" w:eastAsia="仿宋_GB2312"/>
                <w:color w:val="auto"/>
                <w:kern w:val="0"/>
                <w:szCs w:val="21"/>
                <w:lang w:val="en-US" w:eastAsia="zh-CN"/>
              </w:rPr>
              <w:t>0.0041</w:t>
            </w:r>
          </w:p>
        </w:tc>
        <w:tc>
          <w:tcPr>
            <w:tcW w:w="699" w:type="pct"/>
            <w:vMerge w:val="continue"/>
            <w:vAlign w:val="center"/>
          </w:tcPr>
          <w:p w14:paraId="18E08088">
            <w:pPr>
              <w:jc w:val="center"/>
              <w:rPr>
                <w:rFonts w:eastAsia="仿宋_GB2312"/>
                <w:color w:val="FF0000"/>
                <w:szCs w:val="21"/>
              </w:rPr>
            </w:pPr>
          </w:p>
        </w:tc>
        <w:tc>
          <w:tcPr>
            <w:tcW w:w="749" w:type="pct"/>
            <w:vMerge w:val="continue"/>
            <w:vAlign w:val="center"/>
          </w:tcPr>
          <w:p w14:paraId="77AFB207">
            <w:pPr>
              <w:jc w:val="center"/>
              <w:rPr>
                <w:rFonts w:eastAsia="仿宋_GB2312"/>
                <w:color w:val="FF0000"/>
                <w:szCs w:val="21"/>
              </w:rPr>
            </w:pPr>
          </w:p>
        </w:tc>
      </w:tr>
      <w:tr w14:paraId="0727B4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12" w:type="pct"/>
            <w:vMerge w:val="continue"/>
            <w:vAlign w:val="center"/>
          </w:tcPr>
          <w:p w14:paraId="7F3833DC">
            <w:pPr>
              <w:jc w:val="center"/>
              <w:rPr>
                <w:rFonts w:eastAsia="仿宋_GB2312"/>
                <w:color w:val="FF0000"/>
                <w:kern w:val="0"/>
                <w:szCs w:val="21"/>
              </w:rPr>
            </w:pPr>
          </w:p>
        </w:tc>
        <w:tc>
          <w:tcPr>
            <w:tcW w:w="1213" w:type="pct"/>
            <w:shd w:val="clear" w:color="auto" w:fill="auto"/>
            <w:vAlign w:val="center"/>
          </w:tcPr>
          <w:p w14:paraId="2A2A72C3">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color w:val="auto"/>
                <w:szCs w:val="21"/>
              </w:rPr>
              <w:t>四氢呋喃</w:t>
            </w:r>
          </w:p>
        </w:tc>
        <w:tc>
          <w:tcPr>
            <w:tcW w:w="748" w:type="pct"/>
            <w:vAlign w:val="center"/>
          </w:tcPr>
          <w:p w14:paraId="398175C9">
            <w:pPr>
              <w:jc w:val="center"/>
              <w:rPr>
                <w:rFonts w:hint="default" w:ascii="Times New Roman" w:hAnsi="Times New Roman" w:eastAsia="仿宋_GB2312" w:cs="Times New Roman"/>
                <w:color w:val="auto"/>
                <w:kern w:val="0"/>
                <w:szCs w:val="21"/>
                <w:lang w:val="en-US" w:eastAsia="zh-CN"/>
              </w:rPr>
            </w:pPr>
            <w:r>
              <w:rPr>
                <w:rFonts w:hint="eastAsia" w:ascii="Times New Roman" w:hAnsi="Times New Roman" w:eastAsia="仿宋_GB2312" w:cs="Times New Roman"/>
                <w:color w:val="auto"/>
                <w:kern w:val="0"/>
                <w:szCs w:val="21"/>
                <w:lang w:val="en-US" w:eastAsia="zh-CN"/>
              </w:rPr>
              <w:t>0.</w:t>
            </w:r>
            <w:r>
              <w:rPr>
                <w:rFonts w:hint="eastAsia" w:eastAsia="仿宋_GB2312" w:cs="Times New Roman"/>
                <w:color w:val="auto"/>
                <w:kern w:val="0"/>
                <w:szCs w:val="21"/>
                <w:lang w:val="en-US" w:eastAsia="zh-CN"/>
              </w:rPr>
              <w:t>037</w:t>
            </w:r>
          </w:p>
        </w:tc>
        <w:tc>
          <w:tcPr>
            <w:tcW w:w="776" w:type="pct"/>
            <w:vAlign w:val="center"/>
          </w:tcPr>
          <w:p w14:paraId="36907CC8">
            <w:pPr>
              <w:jc w:val="center"/>
              <w:rPr>
                <w:rFonts w:hint="default" w:eastAsia="仿宋_GB2312"/>
                <w:color w:val="auto"/>
                <w:kern w:val="0"/>
                <w:szCs w:val="21"/>
                <w:lang w:val="en-US" w:eastAsia="zh-CN"/>
              </w:rPr>
            </w:pPr>
            <w:r>
              <w:rPr>
                <w:rFonts w:hint="eastAsia" w:eastAsia="仿宋_GB2312"/>
                <w:color w:val="auto"/>
                <w:kern w:val="0"/>
                <w:szCs w:val="21"/>
                <w:lang w:val="en-US" w:eastAsia="zh-CN"/>
              </w:rPr>
              <w:t>0.148</w:t>
            </w:r>
          </w:p>
        </w:tc>
        <w:tc>
          <w:tcPr>
            <w:tcW w:w="699" w:type="pct"/>
            <w:vMerge w:val="continue"/>
            <w:vAlign w:val="center"/>
          </w:tcPr>
          <w:p w14:paraId="600FD98C">
            <w:pPr>
              <w:jc w:val="center"/>
              <w:rPr>
                <w:rFonts w:eastAsia="仿宋_GB2312"/>
                <w:color w:val="FF0000"/>
                <w:szCs w:val="21"/>
              </w:rPr>
            </w:pPr>
          </w:p>
        </w:tc>
        <w:tc>
          <w:tcPr>
            <w:tcW w:w="749" w:type="pct"/>
            <w:vMerge w:val="continue"/>
            <w:vAlign w:val="center"/>
          </w:tcPr>
          <w:p w14:paraId="5B19C858">
            <w:pPr>
              <w:jc w:val="center"/>
              <w:rPr>
                <w:rFonts w:eastAsia="仿宋_GB2312"/>
                <w:color w:val="FF0000"/>
                <w:szCs w:val="21"/>
              </w:rPr>
            </w:pPr>
          </w:p>
        </w:tc>
      </w:tr>
      <w:tr w14:paraId="7903C0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12" w:type="pct"/>
            <w:vMerge w:val="continue"/>
            <w:vAlign w:val="center"/>
          </w:tcPr>
          <w:p w14:paraId="19501EB3">
            <w:pPr>
              <w:jc w:val="center"/>
              <w:rPr>
                <w:rFonts w:eastAsia="仿宋_GB2312"/>
                <w:color w:val="FF0000"/>
                <w:kern w:val="0"/>
                <w:szCs w:val="21"/>
              </w:rPr>
            </w:pPr>
          </w:p>
        </w:tc>
        <w:tc>
          <w:tcPr>
            <w:tcW w:w="1213" w:type="pct"/>
            <w:shd w:val="clear" w:color="auto" w:fill="auto"/>
            <w:vAlign w:val="center"/>
          </w:tcPr>
          <w:p w14:paraId="31B68707">
            <w:pPr>
              <w:adjustRightInd w:val="0"/>
              <w:snapToGrid w:val="0"/>
              <w:spacing w:line="320" w:lineRule="exact"/>
              <w:jc w:val="center"/>
              <w:rPr>
                <w:rFonts w:ascii="Times New Roman" w:hAnsi="Times New Roman" w:eastAsia="仿宋_GB2312" w:cs="Times New Roman"/>
                <w:color w:val="auto"/>
                <w:kern w:val="2"/>
                <w:sz w:val="21"/>
                <w:szCs w:val="21"/>
                <w:lang w:val="en-US" w:eastAsia="zh-CN" w:bidi="ar-SA"/>
              </w:rPr>
            </w:pPr>
            <w:r>
              <w:rPr>
                <w:rFonts w:eastAsia="仿宋_GB2312"/>
                <w:color w:val="auto"/>
                <w:szCs w:val="21"/>
              </w:rPr>
              <w:t>甲醇</w:t>
            </w:r>
          </w:p>
        </w:tc>
        <w:tc>
          <w:tcPr>
            <w:tcW w:w="748" w:type="pct"/>
            <w:vAlign w:val="center"/>
          </w:tcPr>
          <w:p w14:paraId="4266F4C1">
            <w:pPr>
              <w:jc w:val="center"/>
              <w:rPr>
                <w:rFonts w:hint="eastAsia" w:ascii="Times New Roman" w:hAnsi="Times New Roman" w:eastAsia="仿宋_GB2312" w:cs="Times New Roman"/>
                <w:color w:val="auto"/>
                <w:kern w:val="0"/>
                <w:szCs w:val="21"/>
                <w:lang w:val="en-US" w:eastAsia="zh-CN"/>
              </w:rPr>
            </w:pPr>
            <w:r>
              <w:rPr>
                <w:rFonts w:hint="eastAsia" w:ascii="Times New Roman" w:hAnsi="Times New Roman" w:eastAsia="仿宋_GB2312" w:cs="Times New Roman"/>
                <w:color w:val="auto"/>
                <w:kern w:val="0"/>
                <w:szCs w:val="21"/>
                <w:lang w:val="en-US" w:eastAsia="zh-CN"/>
              </w:rPr>
              <w:t>0.1038</w:t>
            </w:r>
          </w:p>
        </w:tc>
        <w:tc>
          <w:tcPr>
            <w:tcW w:w="776" w:type="pct"/>
            <w:vAlign w:val="center"/>
          </w:tcPr>
          <w:p w14:paraId="02C86875">
            <w:pPr>
              <w:jc w:val="center"/>
              <w:rPr>
                <w:rFonts w:hint="default" w:eastAsia="仿宋_GB2312"/>
                <w:color w:val="auto"/>
                <w:kern w:val="0"/>
                <w:szCs w:val="21"/>
                <w:lang w:val="en-US" w:eastAsia="zh-CN"/>
              </w:rPr>
            </w:pPr>
            <w:r>
              <w:rPr>
                <w:rFonts w:hint="eastAsia" w:eastAsia="仿宋_GB2312"/>
                <w:color w:val="auto"/>
                <w:kern w:val="0"/>
                <w:szCs w:val="21"/>
                <w:lang w:val="en-US" w:eastAsia="zh-CN"/>
              </w:rPr>
              <w:t>0.5192</w:t>
            </w:r>
          </w:p>
        </w:tc>
        <w:tc>
          <w:tcPr>
            <w:tcW w:w="699" w:type="pct"/>
            <w:vMerge w:val="continue"/>
            <w:vAlign w:val="center"/>
          </w:tcPr>
          <w:p w14:paraId="5D5C09E6">
            <w:pPr>
              <w:jc w:val="center"/>
              <w:rPr>
                <w:rFonts w:eastAsia="仿宋_GB2312"/>
                <w:color w:val="FF0000"/>
                <w:szCs w:val="21"/>
              </w:rPr>
            </w:pPr>
          </w:p>
        </w:tc>
        <w:tc>
          <w:tcPr>
            <w:tcW w:w="749" w:type="pct"/>
            <w:vMerge w:val="continue"/>
            <w:vAlign w:val="center"/>
          </w:tcPr>
          <w:p w14:paraId="2EF49BA4">
            <w:pPr>
              <w:jc w:val="center"/>
              <w:rPr>
                <w:rFonts w:eastAsia="仿宋_GB2312"/>
                <w:color w:val="FF0000"/>
                <w:szCs w:val="21"/>
              </w:rPr>
            </w:pPr>
          </w:p>
        </w:tc>
      </w:tr>
      <w:tr w14:paraId="16DF4D0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12" w:type="pct"/>
            <w:vMerge w:val="continue"/>
            <w:vAlign w:val="center"/>
          </w:tcPr>
          <w:p w14:paraId="1FF59FD2">
            <w:pPr>
              <w:jc w:val="center"/>
              <w:rPr>
                <w:rFonts w:eastAsia="仿宋_GB2312"/>
                <w:color w:val="FF0000"/>
                <w:kern w:val="0"/>
                <w:szCs w:val="21"/>
              </w:rPr>
            </w:pPr>
          </w:p>
        </w:tc>
        <w:tc>
          <w:tcPr>
            <w:tcW w:w="1213" w:type="pct"/>
            <w:shd w:val="clear" w:color="auto" w:fill="auto"/>
            <w:vAlign w:val="center"/>
          </w:tcPr>
          <w:p w14:paraId="2D00FE5A">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color w:val="auto"/>
                <w:szCs w:val="21"/>
              </w:rPr>
              <w:t>乙腈</w:t>
            </w:r>
          </w:p>
        </w:tc>
        <w:tc>
          <w:tcPr>
            <w:tcW w:w="748" w:type="pct"/>
            <w:vAlign w:val="center"/>
          </w:tcPr>
          <w:p w14:paraId="1A2A8BFA">
            <w:pPr>
              <w:jc w:val="center"/>
              <w:rPr>
                <w:rFonts w:hint="default" w:ascii="Times New Roman" w:hAnsi="Times New Roman" w:eastAsia="仿宋_GB2312" w:cs="Times New Roman"/>
                <w:color w:val="auto"/>
                <w:kern w:val="0"/>
                <w:szCs w:val="21"/>
                <w:lang w:val="en-US" w:eastAsia="zh-CN"/>
              </w:rPr>
            </w:pPr>
            <w:r>
              <w:rPr>
                <w:rFonts w:hint="eastAsia" w:ascii="Times New Roman" w:hAnsi="Times New Roman" w:eastAsia="仿宋_GB2312" w:cs="Times New Roman"/>
                <w:color w:val="auto"/>
                <w:kern w:val="0"/>
                <w:szCs w:val="21"/>
                <w:lang w:val="en-US" w:eastAsia="zh-CN"/>
              </w:rPr>
              <w:t>0.0</w:t>
            </w:r>
            <w:r>
              <w:rPr>
                <w:rFonts w:hint="eastAsia" w:eastAsia="仿宋_GB2312" w:cs="Times New Roman"/>
                <w:color w:val="auto"/>
                <w:kern w:val="0"/>
                <w:szCs w:val="21"/>
                <w:lang w:val="en-US" w:eastAsia="zh-CN"/>
              </w:rPr>
              <w:t>532</w:t>
            </w:r>
          </w:p>
        </w:tc>
        <w:tc>
          <w:tcPr>
            <w:tcW w:w="776" w:type="pct"/>
            <w:vAlign w:val="center"/>
          </w:tcPr>
          <w:p w14:paraId="6D48C205">
            <w:pPr>
              <w:jc w:val="center"/>
              <w:rPr>
                <w:rFonts w:hint="default" w:eastAsia="仿宋_GB2312"/>
                <w:color w:val="auto"/>
                <w:kern w:val="0"/>
                <w:szCs w:val="21"/>
                <w:lang w:val="en-US" w:eastAsia="zh-CN"/>
              </w:rPr>
            </w:pPr>
            <w:r>
              <w:rPr>
                <w:rFonts w:hint="eastAsia" w:eastAsia="仿宋_GB2312"/>
                <w:color w:val="auto"/>
                <w:kern w:val="0"/>
                <w:szCs w:val="21"/>
                <w:lang w:val="en-US" w:eastAsia="zh-CN"/>
              </w:rPr>
              <w:t>0.447</w:t>
            </w:r>
          </w:p>
        </w:tc>
        <w:tc>
          <w:tcPr>
            <w:tcW w:w="699" w:type="pct"/>
            <w:vMerge w:val="continue"/>
            <w:vAlign w:val="center"/>
          </w:tcPr>
          <w:p w14:paraId="1B482F9B">
            <w:pPr>
              <w:jc w:val="center"/>
              <w:rPr>
                <w:rFonts w:eastAsia="仿宋_GB2312"/>
                <w:color w:val="FF0000"/>
                <w:szCs w:val="21"/>
              </w:rPr>
            </w:pPr>
          </w:p>
        </w:tc>
        <w:tc>
          <w:tcPr>
            <w:tcW w:w="749" w:type="pct"/>
            <w:vMerge w:val="continue"/>
            <w:vAlign w:val="center"/>
          </w:tcPr>
          <w:p w14:paraId="3B571577">
            <w:pPr>
              <w:jc w:val="center"/>
              <w:rPr>
                <w:rFonts w:eastAsia="仿宋_GB2312"/>
                <w:color w:val="FF0000"/>
                <w:szCs w:val="21"/>
              </w:rPr>
            </w:pPr>
          </w:p>
        </w:tc>
      </w:tr>
      <w:tr w14:paraId="3EB67D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12" w:type="pct"/>
            <w:vMerge w:val="continue"/>
            <w:vAlign w:val="center"/>
          </w:tcPr>
          <w:p w14:paraId="5F0D02D5">
            <w:pPr>
              <w:jc w:val="center"/>
              <w:rPr>
                <w:rFonts w:eastAsia="仿宋_GB2312"/>
                <w:color w:val="FF0000"/>
                <w:kern w:val="0"/>
                <w:szCs w:val="21"/>
              </w:rPr>
            </w:pPr>
          </w:p>
        </w:tc>
        <w:tc>
          <w:tcPr>
            <w:tcW w:w="1213" w:type="pct"/>
            <w:shd w:val="clear" w:color="auto" w:fill="auto"/>
            <w:vAlign w:val="center"/>
          </w:tcPr>
          <w:p w14:paraId="1C1C819C">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color w:val="auto"/>
                <w:szCs w:val="21"/>
              </w:rPr>
              <w:t>丙二醇单甲醚</w:t>
            </w:r>
          </w:p>
        </w:tc>
        <w:tc>
          <w:tcPr>
            <w:tcW w:w="748" w:type="pct"/>
            <w:vAlign w:val="center"/>
          </w:tcPr>
          <w:p w14:paraId="037E21A2">
            <w:pPr>
              <w:jc w:val="center"/>
              <w:rPr>
                <w:rFonts w:hint="eastAsia" w:ascii="Times New Roman" w:hAnsi="Times New Roman" w:eastAsia="仿宋_GB2312" w:cs="Times New Roman"/>
                <w:color w:val="auto"/>
                <w:kern w:val="0"/>
                <w:szCs w:val="21"/>
                <w:lang w:val="en-US" w:eastAsia="zh-CN"/>
              </w:rPr>
            </w:pPr>
            <w:r>
              <w:rPr>
                <w:rFonts w:hint="eastAsia" w:ascii="Times New Roman" w:hAnsi="Times New Roman" w:eastAsia="仿宋_GB2312" w:cs="Times New Roman"/>
                <w:color w:val="auto"/>
                <w:kern w:val="0"/>
                <w:szCs w:val="21"/>
                <w:lang w:val="en-US" w:eastAsia="zh-CN"/>
              </w:rPr>
              <w:t>0.0580</w:t>
            </w:r>
          </w:p>
        </w:tc>
        <w:tc>
          <w:tcPr>
            <w:tcW w:w="776" w:type="pct"/>
            <w:vAlign w:val="center"/>
          </w:tcPr>
          <w:p w14:paraId="52558026">
            <w:pPr>
              <w:jc w:val="center"/>
              <w:rPr>
                <w:rFonts w:hint="default" w:eastAsia="仿宋_GB2312"/>
                <w:color w:val="auto"/>
                <w:kern w:val="0"/>
                <w:szCs w:val="21"/>
                <w:lang w:val="en-US" w:eastAsia="zh-CN"/>
              </w:rPr>
            </w:pPr>
            <w:r>
              <w:rPr>
                <w:rFonts w:hint="eastAsia" w:eastAsia="仿宋_GB2312"/>
                <w:color w:val="auto"/>
                <w:kern w:val="0"/>
                <w:szCs w:val="21"/>
                <w:lang w:val="en-US" w:eastAsia="zh-CN"/>
              </w:rPr>
              <w:t>0.029</w:t>
            </w:r>
          </w:p>
        </w:tc>
        <w:tc>
          <w:tcPr>
            <w:tcW w:w="699" w:type="pct"/>
            <w:vMerge w:val="continue"/>
            <w:vAlign w:val="center"/>
          </w:tcPr>
          <w:p w14:paraId="55517A50">
            <w:pPr>
              <w:jc w:val="center"/>
              <w:rPr>
                <w:rFonts w:eastAsia="仿宋_GB2312"/>
                <w:color w:val="FF0000"/>
                <w:szCs w:val="21"/>
              </w:rPr>
            </w:pPr>
          </w:p>
        </w:tc>
        <w:tc>
          <w:tcPr>
            <w:tcW w:w="749" w:type="pct"/>
            <w:vMerge w:val="continue"/>
            <w:vAlign w:val="center"/>
          </w:tcPr>
          <w:p w14:paraId="59C04B69">
            <w:pPr>
              <w:jc w:val="center"/>
              <w:rPr>
                <w:rFonts w:eastAsia="仿宋_GB2312"/>
                <w:color w:val="FF0000"/>
                <w:szCs w:val="21"/>
              </w:rPr>
            </w:pPr>
          </w:p>
        </w:tc>
      </w:tr>
      <w:tr w14:paraId="09749B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12" w:type="pct"/>
            <w:vMerge w:val="continue"/>
            <w:vAlign w:val="center"/>
          </w:tcPr>
          <w:p w14:paraId="396378E8">
            <w:pPr>
              <w:jc w:val="center"/>
              <w:rPr>
                <w:rFonts w:eastAsia="仿宋_GB2312"/>
                <w:color w:val="FF0000"/>
                <w:kern w:val="0"/>
                <w:szCs w:val="21"/>
              </w:rPr>
            </w:pPr>
          </w:p>
        </w:tc>
        <w:tc>
          <w:tcPr>
            <w:tcW w:w="1213" w:type="pct"/>
            <w:shd w:val="clear" w:color="auto" w:fill="auto"/>
            <w:vAlign w:val="center"/>
          </w:tcPr>
          <w:p w14:paraId="176EBF7E">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color w:val="auto"/>
                <w:szCs w:val="21"/>
              </w:rPr>
              <w:t>环戊酮</w:t>
            </w:r>
          </w:p>
        </w:tc>
        <w:tc>
          <w:tcPr>
            <w:tcW w:w="748" w:type="pct"/>
            <w:vAlign w:val="center"/>
          </w:tcPr>
          <w:p w14:paraId="0EB503A4">
            <w:pPr>
              <w:jc w:val="center"/>
              <w:rPr>
                <w:rFonts w:hint="eastAsia" w:ascii="Times New Roman" w:hAnsi="Times New Roman" w:eastAsia="仿宋_GB2312" w:cs="Times New Roman"/>
                <w:color w:val="auto"/>
                <w:kern w:val="0"/>
                <w:szCs w:val="21"/>
                <w:lang w:val="en-US" w:eastAsia="zh-CN"/>
              </w:rPr>
            </w:pPr>
            <w:r>
              <w:rPr>
                <w:rFonts w:hint="eastAsia" w:ascii="Times New Roman" w:hAnsi="Times New Roman" w:eastAsia="仿宋_GB2312" w:cs="Times New Roman"/>
                <w:color w:val="auto"/>
                <w:kern w:val="0"/>
                <w:szCs w:val="21"/>
                <w:lang w:val="en-US" w:eastAsia="zh-CN"/>
              </w:rPr>
              <w:t>0.0650</w:t>
            </w:r>
          </w:p>
        </w:tc>
        <w:tc>
          <w:tcPr>
            <w:tcW w:w="776" w:type="pct"/>
            <w:vAlign w:val="center"/>
          </w:tcPr>
          <w:p w14:paraId="51596D43">
            <w:pPr>
              <w:jc w:val="center"/>
              <w:rPr>
                <w:rFonts w:hint="default" w:eastAsia="仿宋_GB2312"/>
                <w:color w:val="auto"/>
                <w:kern w:val="0"/>
                <w:szCs w:val="21"/>
                <w:lang w:val="en-US" w:eastAsia="zh-CN"/>
              </w:rPr>
            </w:pPr>
            <w:r>
              <w:rPr>
                <w:rFonts w:hint="eastAsia" w:eastAsia="仿宋_GB2312"/>
                <w:color w:val="auto"/>
                <w:kern w:val="0"/>
                <w:szCs w:val="21"/>
                <w:lang w:val="en-US" w:eastAsia="zh-CN"/>
              </w:rPr>
              <w:t>0.013</w:t>
            </w:r>
          </w:p>
        </w:tc>
        <w:tc>
          <w:tcPr>
            <w:tcW w:w="699" w:type="pct"/>
            <w:vMerge w:val="continue"/>
            <w:vAlign w:val="center"/>
          </w:tcPr>
          <w:p w14:paraId="6EC19681">
            <w:pPr>
              <w:jc w:val="center"/>
              <w:rPr>
                <w:rFonts w:eastAsia="仿宋_GB2312"/>
                <w:color w:val="FF0000"/>
                <w:szCs w:val="21"/>
              </w:rPr>
            </w:pPr>
          </w:p>
        </w:tc>
        <w:tc>
          <w:tcPr>
            <w:tcW w:w="749" w:type="pct"/>
            <w:vMerge w:val="continue"/>
            <w:vAlign w:val="center"/>
          </w:tcPr>
          <w:p w14:paraId="13B7B3AC">
            <w:pPr>
              <w:jc w:val="center"/>
              <w:rPr>
                <w:rFonts w:eastAsia="仿宋_GB2312"/>
                <w:color w:val="FF0000"/>
                <w:szCs w:val="21"/>
              </w:rPr>
            </w:pPr>
          </w:p>
        </w:tc>
      </w:tr>
      <w:tr w14:paraId="75A633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12" w:type="pct"/>
            <w:vMerge w:val="continue"/>
            <w:vAlign w:val="center"/>
          </w:tcPr>
          <w:p w14:paraId="5730B21C">
            <w:pPr>
              <w:jc w:val="center"/>
              <w:rPr>
                <w:rFonts w:eastAsia="仿宋_GB2312"/>
                <w:color w:val="FF0000"/>
                <w:kern w:val="0"/>
                <w:szCs w:val="21"/>
              </w:rPr>
            </w:pPr>
          </w:p>
        </w:tc>
        <w:tc>
          <w:tcPr>
            <w:tcW w:w="1213" w:type="pct"/>
            <w:shd w:val="clear" w:color="auto" w:fill="auto"/>
            <w:vAlign w:val="center"/>
          </w:tcPr>
          <w:p w14:paraId="0AD9F5BC">
            <w:pPr>
              <w:adjustRightInd w:val="0"/>
              <w:snapToGrid w:val="0"/>
              <w:spacing w:line="320" w:lineRule="exact"/>
              <w:jc w:val="center"/>
              <w:rPr>
                <w:rFonts w:ascii="Times New Roman" w:hAnsi="Times New Roman" w:eastAsia="仿宋_GB2312" w:cs="Times New Roman"/>
                <w:color w:val="auto"/>
                <w:kern w:val="2"/>
                <w:sz w:val="21"/>
                <w:szCs w:val="21"/>
                <w:lang w:val="en-US" w:eastAsia="zh-CN" w:bidi="ar-SA"/>
              </w:rPr>
            </w:pPr>
            <w:r>
              <w:rPr>
                <w:rFonts w:eastAsia="仿宋_GB2312"/>
                <w:color w:val="auto"/>
                <w:szCs w:val="21"/>
              </w:rPr>
              <w:t>乙酸甲酯</w:t>
            </w:r>
          </w:p>
        </w:tc>
        <w:tc>
          <w:tcPr>
            <w:tcW w:w="748" w:type="pct"/>
            <w:vAlign w:val="center"/>
          </w:tcPr>
          <w:p w14:paraId="0CEB672B">
            <w:pPr>
              <w:jc w:val="center"/>
              <w:rPr>
                <w:rFonts w:hint="default" w:ascii="Times New Roman" w:hAnsi="Times New Roman" w:eastAsia="仿宋_GB2312" w:cs="Times New Roman"/>
                <w:color w:val="auto"/>
                <w:kern w:val="0"/>
                <w:szCs w:val="21"/>
                <w:lang w:val="en-US" w:eastAsia="zh-CN"/>
              </w:rPr>
            </w:pPr>
            <w:r>
              <w:rPr>
                <w:rFonts w:hint="eastAsia" w:ascii="Times New Roman" w:hAnsi="Times New Roman" w:eastAsia="仿宋_GB2312" w:cs="Times New Roman"/>
                <w:color w:val="auto"/>
                <w:kern w:val="0"/>
                <w:szCs w:val="21"/>
                <w:lang w:val="en-US" w:eastAsia="zh-CN"/>
              </w:rPr>
              <w:t>0.0</w:t>
            </w:r>
            <w:r>
              <w:rPr>
                <w:rFonts w:hint="eastAsia" w:eastAsia="仿宋_GB2312" w:cs="Times New Roman"/>
                <w:color w:val="auto"/>
                <w:kern w:val="0"/>
                <w:szCs w:val="21"/>
                <w:lang w:val="en-US" w:eastAsia="zh-CN"/>
              </w:rPr>
              <w:t>035</w:t>
            </w:r>
          </w:p>
        </w:tc>
        <w:tc>
          <w:tcPr>
            <w:tcW w:w="776" w:type="pct"/>
            <w:vAlign w:val="center"/>
          </w:tcPr>
          <w:p w14:paraId="748632E5">
            <w:pPr>
              <w:jc w:val="center"/>
              <w:rPr>
                <w:rFonts w:hint="default" w:eastAsia="仿宋_GB2312"/>
                <w:color w:val="auto"/>
                <w:kern w:val="0"/>
                <w:szCs w:val="21"/>
                <w:lang w:val="en-US" w:eastAsia="zh-CN"/>
              </w:rPr>
            </w:pPr>
            <w:r>
              <w:rPr>
                <w:rFonts w:hint="eastAsia" w:eastAsia="仿宋_GB2312"/>
                <w:color w:val="auto"/>
                <w:kern w:val="0"/>
                <w:szCs w:val="21"/>
                <w:lang w:val="en-US" w:eastAsia="zh-CN"/>
              </w:rPr>
              <w:t>0.014</w:t>
            </w:r>
          </w:p>
        </w:tc>
        <w:tc>
          <w:tcPr>
            <w:tcW w:w="699" w:type="pct"/>
            <w:vMerge w:val="continue"/>
            <w:vAlign w:val="center"/>
          </w:tcPr>
          <w:p w14:paraId="33A5631C">
            <w:pPr>
              <w:jc w:val="center"/>
              <w:rPr>
                <w:rFonts w:eastAsia="仿宋_GB2312"/>
                <w:color w:val="FF0000"/>
                <w:szCs w:val="21"/>
              </w:rPr>
            </w:pPr>
          </w:p>
        </w:tc>
        <w:tc>
          <w:tcPr>
            <w:tcW w:w="749" w:type="pct"/>
            <w:vMerge w:val="continue"/>
            <w:vAlign w:val="center"/>
          </w:tcPr>
          <w:p w14:paraId="4D9CAB66">
            <w:pPr>
              <w:jc w:val="center"/>
              <w:rPr>
                <w:rFonts w:eastAsia="仿宋_GB2312"/>
                <w:color w:val="FF0000"/>
                <w:szCs w:val="21"/>
              </w:rPr>
            </w:pPr>
          </w:p>
        </w:tc>
      </w:tr>
      <w:tr w14:paraId="048DA6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12" w:type="pct"/>
            <w:vMerge w:val="continue"/>
            <w:vAlign w:val="center"/>
          </w:tcPr>
          <w:p w14:paraId="70FC2DC2">
            <w:pPr>
              <w:jc w:val="center"/>
              <w:rPr>
                <w:rFonts w:eastAsia="仿宋_GB2312"/>
                <w:color w:val="FF0000"/>
                <w:kern w:val="0"/>
                <w:szCs w:val="21"/>
              </w:rPr>
            </w:pPr>
          </w:p>
        </w:tc>
        <w:tc>
          <w:tcPr>
            <w:tcW w:w="1213" w:type="pct"/>
            <w:shd w:val="clear" w:color="auto" w:fill="auto"/>
            <w:vAlign w:val="center"/>
          </w:tcPr>
          <w:p w14:paraId="3B1241E5">
            <w:pPr>
              <w:adjustRightInd w:val="0"/>
              <w:snapToGrid w:val="0"/>
              <w:spacing w:line="320" w:lineRule="exact"/>
              <w:jc w:val="center"/>
              <w:rPr>
                <w:rFonts w:hint="eastAsia" w:ascii="Times New Roman" w:hAnsi="Times New Roman" w:eastAsia="仿宋_GB2312" w:cs="Times New Roman"/>
                <w:color w:val="auto"/>
                <w:kern w:val="2"/>
                <w:sz w:val="21"/>
                <w:szCs w:val="21"/>
                <w:lang w:val="en-US" w:eastAsia="zh-CN" w:bidi="ar-SA"/>
              </w:rPr>
            </w:pPr>
            <w:r>
              <w:rPr>
                <w:rFonts w:hint="eastAsia" w:eastAsia="仿宋_GB2312"/>
                <w:color w:val="auto"/>
                <w:szCs w:val="21"/>
                <w:lang w:val="en-US" w:eastAsia="zh-CN"/>
              </w:rPr>
              <w:t>苯酚</w:t>
            </w:r>
          </w:p>
        </w:tc>
        <w:tc>
          <w:tcPr>
            <w:tcW w:w="748" w:type="pct"/>
            <w:vAlign w:val="center"/>
          </w:tcPr>
          <w:p w14:paraId="413761A7">
            <w:pPr>
              <w:jc w:val="center"/>
              <w:rPr>
                <w:rFonts w:hint="default" w:ascii="Times New Roman" w:hAnsi="Times New Roman" w:eastAsia="仿宋_GB2312" w:cs="Times New Roman"/>
                <w:color w:val="auto"/>
                <w:kern w:val="0"/>
                <w:szCs w:val="21"/>
                <w:lang w:val="en-US" w:eastAsia="zh-CN"/>
              </w:rPr>
            </w:pPr>
            <w:r>
              <w:rPr>
                <w:rFonts w:hint="eastAsia" w:ascii="Times New Roman" w:hAnsi="Times New Roman" w:eastAsia="仿宋_GB2312" w:cs="Times New Roman"/>
                <w:color w:val="auto"/>
                <w:kern w:val="0"/>
                <w:szCs w:val="21"/>
                <w:lang w:val="en-US" w:eastAsia="zh-CN"/>
              </w:rPr>
              <w:t>0.00</w:t>
            </w:r>
            <w:r>
              <w:rPr>
                <w:rFonts w:hint="eastAsia" w:eastAsia="仿宋_GB2312" w:cs="Times New Roman"/>
                <w:color w:val="auto"/>
                <w:kern w:val="0"/>
                <w:szCs w:val="21"/>
                <w:lang w:val="en-US" w:eastAsia="zh-CN"/>
              </w:rPr>
              <w:t>18</w:t>
            </w:r>
          </w:p>
        </w:tc>
        <w:tc>
          <w:tcPr>
            <w:tcW w:w="776" w:type="pct"/>
            <w:vAlign w:val="center"/>
          </w:tcPr>
          <w:p w14:paraId="07D4DC21">
            <w:pPr>
              <w:jc w:val="center"/>
              <w:rPr>
                <w:rFonts w:hint="default" w:eastAsia="仿宋_GB2312"/>
                <w:color w:val="auto"/>
                <w:kern w:val="0"/>
                <w:szCs w:val="21"/>
                <w:lang w:val="en-US" w:eastAsia="zh-CN"/>
              </w:rPr>
            </w:pPr>
            <w:r>
              <w:rPr>
                <w:rFonts w:hint="eastAsia" w:eastAsia="仿宋_GB2312"/>
                <w:color w:val="auto"/>
                <w:kern w:val="0"/>
                <w:szCs w:val="21"/>
                <w:lang w:val="en-US" w:eastAsia="zh-CN"/>
              </w:rPr>
              <w:t>0.0036</w:t>
            </w:r>
          </w:p>
        </w:tc>
        <w:tc>
          <w:tcPr>
            <w:tcW w:w="699" w:type="pct"/>
            <w:vMerge w:val="continue"/>
            <w:vAlign w:val="center"/>
          </w:tcPr>
          <w:p w14:paraId="3D6FC36B">
            <w:pPr>
              <w:jc w:val="center"/>
              <w:rPr>
                <w:rFonts w:eastAsia="仿宋_GB2312"/>
                <w:color w:val="FF0000"/>
                <w:szCs w:val="21"/>
              </w:rPr>
            </w:pPr>
          </w:p>
        </w:tc>
        <w:tc>
          <w:tcPr>
            <w:tcW w:w="749" w:type="pct"/>
            <w:vMerge w:val="continue"/>
            <w:vAlign w:val="center"/>
          </w:tcPr>
          <w:p w14:paraId="593E0853">
            <w:pPr>
              <w:jc w:val="center"/>
              <w:rPr>
                <w:rFonts w:eastAsia="仿宋_GB2312"/>
                <w:color w:val="FF0000"/>
                <w:szCs w:val="21"/>
              </w:rPr>
            </w:pPr>
          </w:p>
        </w:tc>
      </w:tr>
      <w:tr w14:paraId="7A828D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12" w:type="pct"/>
            <w:vMerge w:val="continue"/>
            <w:vAlign w:val="center"/>
          </w:tcPr>
          <w:p w14:paraId="08AD40CC">
            <w:pPr>
              <w:jc w:val="center"/>
              <w:rPr>
                <w:rFonts w:eastAsia="仿宋_GB2312"/>
                <w:color w:val="FF0000"/>
                <w:kern w:val="0"/>
                <w:szCs w:val="21"/>
              </w:rPr>
            </w:pPr>
          </w:p>
        </w:tc>
        <w:tc>
          <w:tcPr>
            <w:tcW w:w="1213" w:type="pct"/>
            <w:shd w:val="clear" w:color="auto" w:fill="auto"/>
            <w:vAlign w:val="center"/>
          </w:tcPr>
          <w:p w14:paraId="44C1B327">
            <w:pPr>
              <w:adjustRightInd w:val="0"/>
              <w:snapToGrid w:val="0"/>
              <w:spacing w:line="320" w:lineRule="exact"/>
              <w:jc w:val="center"/>
              <w:rPr>
                <w:rFonts w:hint="default" w:ascii="Times New Roman" w:hAnsi="Times New Roman" w:eastAsia="仿宋_GB2312" w:cs="Times New Roman"/>
                <w:color w:val="auto"/>
                <w:kern w:val="2"/>
                <w:sz w:val="21"/>
                <w:szCs w:val="21"/>
                <w:lang w:val="en-US" w:eastAsia="zh-CN" w:bidi="ar-SA"/>
              </w:rPr>
            </w:pPr>
            <w:r>
              <w:rPr>
                <w:rFonts w:hint="eastAsia" w:eastAsia="仿宋_GB2312"/>
                <w:color w:val="auto"/>
                <w:szCs w:val="21"/>
                <w:lang w:val="en-US" w:eastAsia="zh-CN"/>
              </w:rPr>
              <w:t>丙二醇甲醚醋酸酯</w:t>
            </w:r>
          </w:p>
        </w:tc>
        <w:tc>
          <w:tcPr>
            <w:tcW w:w="748" w:type="pct"/>
            <w:vAlign w:val="center"/>
          </w:tcPr>
          <w:p w14:paraId="3BCA09FD">
            <w:pPr>
              <w:jc w:val="center"/>
              <w:rPr>
                <w:rFonts w:hint="eastAsia" w:ascii="Times New Roman" w:hAnsi="Times New Roman" w:eastAsia="仿宋_GB2312" w:cs="Times New Roman"/>
                <w:color w:val="auto"/>
                <w:kern w:val="0"/>
                <w:szCs w:val="21"/>
                <w:lang w:val="en-US" w:eastAsia="zh-CN"/>
              </w:rPr>
            </w:pPr>
            <w:r>
              <w:rPr>
                <w:rFonts w:hint="eastAsia" w:ascii="Times New Roman" w:hAnsi="Times New Roman" w:eastAsia="仿宋_GB2312" w:cs="Times New Roman"/>
                <w:color w:val="auto"/>
                <w:kern w:val="0"/>
                <w:szCs w:val="21"/>
                <w:lang w:val="en-US" w:eastAsia="zh-CN"/>
              </w:rPr>
              <w:t>0.0752</w:t>
            </w:r>
          </w:p>
        </w:tc>
        <w:tc>
          <w:tcPr>
            <w:tcW w:w="776" w:type="pct"/>
            <w:vAlign w:val="center"/>
          </w:tcPr>
          <w:p w14:paraId="2F25870B">
            <w:pPr>
              <w:jc w:val="center"/>
              <w:rPr>
                <w:rFonts w:hint="default" w:eastAsia="仿宋_GB2312"/>
                <w:color w:val="auto"/>
                <w:kern w:val="0"/>
                <w:szCs w:val="21"/>
                <w:lang w:val="en-US" w:eastAsia="zh-CN"/>
              </w:rPr>
            </w:pPr>
            <w:r>
              <w:rPr>
                <w:rFonts w:hint="eastAsia" w:eastAsia="仿宋_GB2312"/>
                <w:color w:val="auto"/>
                <w:kern w:val="0"/>
                <w:szCs w:val="21"/>
                <w:lang w:val="en-US" w:eastAsia="zh-CN"/>
              </w:rPr>
              <w:t>0.02</w:t>
            </w:r>
          </w:p>
        </w:tc>
        <w:tc>
          <w:tcPr>
            <w:tcW w:w="699" w:type="pct"/>
            <w:vMerge w:val="continue"/>
            <w:vAlign w:val="center"/>
          </w:tcPr>
          <w:p w14:paraId="02533C4A">
            <w:pPr>
              <w:jc w:val="center"/>
              <w:rPr>
                <w:rFonts w:eastAsia="仿宋_GB2312"/>
                <w:color w:val="FF0000"/>
                <w:szCs w:val="21"/>
              </w:rPr>
            </w:pPr>
          </w:p>
        </w:tc>
        <w:tc>
          <w:tcPr>
            <w:tcW w:w="749" w:type="pct"/>
            <w:vMerge w:val="continue"/>
            <w:vAlign w:val="center"/>
          </w:tcPr>
          <w:p w14:paraId="766A1D5B">
            <w:pPr>
              <w:jc w:val="center"/>
              <w:rPr>
                <w:rFonts w:eastAsia="仿宋_GB2312"/>
                <w:color w:val="FF0000"/>
                <w:szCs w:val="21"/>
              </w:rPr>
            </w:pPr>
          </w:p>
        </w:tc>
      </w:tr>
      <w:tr w14:paraId="4F8F751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12" w:type="pct"/>
            <w:vMerge w:val="continue"/>
            <w:vAlign w:val="center"/>
          </w:tcPr>
          <w:p w14:paraId="612EB0F0">
            <w:pPr>
              <w:jc w:val="center"/>
              <w:rPr>
                <w:rFonts w:eastAsia="仿宋_GB2312"/>
                <w:color w:val="FF0000"/>
                <w:kern w:val="0"/>
                <w:szCs w:val="21"/>
              </w:rPr>
            </w:pPr>
          </w:p>
        </w:tc>
        <w:tc>
          <w:tcPr>
            <w:tcW w:w="1213" w:type="pct"/>
            <w:shd w:val="clear" w:color="auto" w:fill="auto"/>
            <w:vAlign w:val="center"/>
          </w:tcPr>
          <w:p w14:paraId="68CAEB73">
            <w:pPr>
              <w:adjustRightInd w:val="0"/>
              <w:snapToGrid w:val="0"/>
              <w:spacing w:line="320" w:lineRule="exact"/>
              <w:jc w:val="center"/>
              <w:rPr>
                <w:rFonts w:hint="default" w:ascii="Times New Roman" w:hAnsi="Times New Roman" w:eastAsia="仿宋_GB2312" w:cs="Times New Roman"/>
                <w:color w:val="auto"/>
                <w:kern w:val="2"/>
                <w:sz w:val="21"/>
                <w:szCs w:val="21"/>
                <w:lang w:val="en-US" w:eastAsia="zh-CN" w:bidi="ar-SA"/>
              </w:rPr>
            </w:pPr>
            <w:r>
              <w:rPr>
                <w:rFonts w:hint="eastAsia" w:eastAsia="仿宋_GB2312"/>
                <w:color w:val="auto"/>
                <w:szCs w:val="21"/>
                <w:lang w:val="en-US" w:eastAsia="zh-CN"/>
              </w:rPr>
              <w:t>己烷</w:t>
            </w:r>
          </w:p>
        </w:tc>
        <w:tc>
          <w:tcPr>
            <w:tcW w:w="748" w:type="pct"/>
            <w:vAlign w:val="center"/>
          </w:tcPr>
          <w:p w14:paraId="147B2CFA">
            <w:pPr>
              <w:jc w:val="center"/>
              <w:rPr>
                <w:rFonts w:hint="eastAsia" w:ascii="Times New Roman" w:hAnsi="Times New Roman" w:eastAsia="仿宋_GB2312" w:cs="Times New Roman"/>
                <w:color w:val="auto"/>
                <w:kern w:val="0"/>
                <w:szCs w:val="21"/>
                <w:lang w:val="en-US" w:eastAsia="zh-CN"/>
              </w:rPr>
            </w:pPr>
            <w:r>
              <w:rPr>
                <w:rFonts w:hint="eastAsia" w:ascii="Times New Roman" w:hAnsi="Times New Roman" w:eastAsia="仿宋_GB2312" w:cs="Times New Roman"/>
                <w:color w:val="auto"/>
                <w:kern w:val="0"/>
                <w:szCs w:val="21"/>
                <w:lang w:val="en-US" w:eastAsia="zh-CN"/>
              </w:rPr>
              <w:t>0.0092</w:t>
            </w:r>
          </w:p>
        </w:tc>
        <w:tc>
          <w:tcPr>
            <w:tcW w:w="776" w:type="pct"/>
            <w:vAlign w:val="center"/>
          </w:tcPr>
          <w:p w14:paraId="598BE683">
            <w:pPr>
              <w:jc w:val="center"/>
              <w:rPr>
                <w:rFonts w:hint="default" w:eastAsia="仿宋_GB2312"/>
                <w:color w:val="auto"/>
                <w:kern w:val="0"/>
                <w:szCs w:val="21"/>
                <w:lang w:val="en-US" w:eastAsia="zh-CN"/>
              </w:rPr>
            </w:pPr>
            <w:r>
              <w:rPr>
                <w:rFonts w:hint="eastAsia" w:eastAsia="仿宋_GB2312"/>
                <w:color w:val="auto"/>
                <w:kern w:val="0"/>
                <w:szCs w:val="21"/>
                <w:lang w:val="en-US" w:eastAsia="zh-CN"/>
              </w:rPr>
              <w:t>0.011</w:t>
            </w:r>
          </w:p>
        </w:tc>
        <w:tc>
          <w:tcPr>
            <w:tcW w:w="699" w:type="pct"/>
            <w:vMerge w:val="continue"/>
            <w:vAlign w:val="center"/>
          </w:tcPr>
          <w:p w14:paraId="19CF1325">
            <w:pPr>
              <w:jc w:val="center"/>
              <w:rPr>
                <w:rFonts w:eastAsia="仿宋_GB2312"/>
                <w:color w:val="FF0000"/>
                <w:szCs w:val="21"/>
              </w:rPr>
            </w:pPr>
          </w:p>
        </w:tc>
        <w:tc>
          <w:tcPr>
            <w:tcW w:w="749" w:type="pct"/>
            <w:vMerge w:val="continue"/>
            <w:vAlign w:val="center"/>
          </w:tcPr>
          <w:p w14:paraId="70F91804">
            <w:pPr>
              <w:jc w:val="center"/>
              <w:rPr>
                <w:rFonts w:eastAsia="仿宋_GB2312"/>
                <w:color w:val="FF0000"/>
                <w:szCs w:val="21"/>
              </w:rPr>
            </w:pPr>
          </w:p>
        </w:tc>
      </w:tr>
      <w:tr w14:paraId="1C2F2C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12" w:type="pct"/>
            <w:vMerge w:val="continue"/>
            <w:vAlign w:val="center"/>
          </w:tcPr>
          <w:p w14:paraId="2A3058DA">
            <w:pPr>
              <w:jc w:val="center"/>
              <w:rPr>
                <w:rFonts w:eastAsia="仿宋_GB2312"/>
                <w:color w:val="FF0000"/>
                <w:kern w:val="0"/>
                <w:szCs w:val="21"/>
              </w:rPr>
            </w:pPr>
          </w:p>
        </w:tc>
        <w:tc>
          <w:tcPr>
            <w:tcW w:w="1213" w:type="pct"/>
            <w:shd w:val="clear" w:color="auto" w:fill="auto"/>
            <w:vAlign w:val="center"/>
          </w:tcPr>
          <w:p w14:paraId="152DF465">
            <w:pPr>
              <w:adjustRightInd w:val="0"/>
              <w:snapToGrid w:val="0"/>
              <w:spacing w:line="320" w:lineRule="exact"/>
              <w:jc w:val="center"/>
              <w:rPr>
                <w:rFonts w:hint="default" w:ascii="Times New Roman" w:hAnsi="Times New Roman" w:eastAsia="仿宋_GB2312" w:cs="Times New Roman"/>
                <w:color w:val="auto"/>
                <w:kern w:val="2"/>
                <w:sz w:val="21"/>
                <w:szCs w:val="21"/>
                <w:lang w:val="en-US" w:eastAsia="zh-CN" w:bidi="ar-SA"/>
              </w:rPr>
            </w:pPr>
            <w:r>
              <w:rPr>
                <w:rFonts w:hint="eastAsia" w:eastAsia="仿宋_GB2312"/>
                <w:color w:val="auto"/>
                <w:szCs w:val="21"/>
                <w:lang w:val="en-US" w:eastAsia="zh-CN"/>
              </w:rPr>
              <w:t>乙酸乙烯酯</w:t>
            </w:r>
          </w:p>
        </w:tc>
        <w:tc>
          <w:tcPr>
            <w:tcW w:w="748" w:type="pct"/>
            <w:vAlign w:val="center"/>
          </w:tcPr>
          <w:p w14:paraId="6EDE2157">
            <w:pPr>
              <w:jc w:val="center"/>
              <w:rPr>
                <w:rFonts w:hint="eastAsia" w:ascii="Times New Roman" w:hAnsi="Times New Roman" w:eastAsia="仿宋_GB2312" w:cs="Times New Roman"/>
                <w:color w:val="auto"/>
                <w:kern w:val="0"/>
                <w:szCs w:val="21"/>
                <w:lang w:val="en-US" w:eastAsia="zh-CN"/>
              </w:rPr>
            </w:pPr>
            <w:r>
              <w:rPr>
                <w:rFonts w:hint="eastAsia" w:ascii="Times New Roman" w:hAnsi="Times New Roman" w:eastAsia="仿宋_GB2312" w:cs="Times New Roman"/>
                <w:color w:val="auto"/>
                <w:kern w:val="0"/>
                <w:szCs w:val="21"/>
                <w:lang w:val="en-US" w:eastAsia="zh-CN"/>
              </w:rPr>
              <w:t>0.0038</w:t>
            </w:r>
          </w:p>
        </w:tc>
        <w:tc>
          <w:tcPr>
            <w:tcW w:w="776" w:type="pct"/>
            <w:vAlign w:val="center"/>
          </w:tcPr>
          <w:p w14:paraId="5F3FC772">
            <w:pPr>
              <w:jc w:val="center"/>
              <w:rPr>
                <w:rFonts w:hint="default" w:eastAsia="仿宋_GB2312"/>
                <w:color w:val="auto"/>
                <w:kern w:val="0"/>
                <w:szCs w:val="21"/>
                <w:lang w:val="en-US" w:eastAsia="zh-CN"/>
              </w:rPr>
            </w:pPr>
            <w:r>
              <w:rPr>
                <w:rFonts w:hint="eastAsia" w:eastAsia="仿宋_GB2312"/>
                <w:color w:val="auto"/>
                <w:kern w:val="0"/>
                <w:szCs w:val="21"/>
                <w:lang w:val="en-US" w:eastAsia="zh-CN"/>
              </w:rPr>
              <w:t>0.003</w:t>
            </w:r>
          </w:p>
        </w:tc>
        <w:tc>
          <w:tcPr>
            <w:tcW w:w="699" w:type="pct"/>
            <w:vMerge w:val="continue"/>
            <w:vAlign w:val="center"/>
          </w:tcPr>
          <w:p w14:paraId="418EFFCC">
            <w:pPr>
              <w:jc w:val="center"/>
              <w:rPr>
                <w:rFonts w:eastAsia="仿宋_GB2312"/>
                <w:color w:val="FF0000"/>
                <w:szCs w:val="21"/>
              </w:rPr>
            </w:pPr>
          </w:p>
        </w:tc>
        <w:tc>
          <w:tcPr>
            <w:tcW w:w="749" w:type="pct"/>
            <w:vMerge w:val="continue"/>
            <w:vAlign w:val="center"/>
          </w:tcPr>
          <w:p w14:paraId="29312A5F">
            <w:pPr>
              <w:jc w:val="center"/>
              <w:rPr>
                <w:rFonts w:eastAsia="仿宋_GB2312"/>
                <w:color w:val="FF0000"/>
                <w:szCs w:val="21"/>
              </w:rPr>
            </w:pPr>
          </w:p>
        </w:tc>
      </w:tr>
      <w:tr w14:paraId="511157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12" w:type="pct"/>
            <w:vMerge w:val="continue"/>
            <w:vAlign w:val="center"/>
          </w:tcPr>
          <w:p w14:paraId="342C5F45">
            <w:pPr>
              <w:jc w:val="center"/>
              <w:rPr>
                <w:rFonts w:eastAsia="仿宋_GB2312"/>
                <w:color w:val="FF0000"/>
                <w:kern w:val="0"/>
                <w:szCs w:val="21"/>
              </w:rPr>
            </w:pPr>
          </w:p>
        </w:tc>
        <w:tc>
          <w:tcPr>
            <w:tcW w:w="1213" w:type="pct"/>
            <w:shd w:val="clear" w:color="auto" w:fill="auto"/>
            <w:vAlign w:val="center"/>
          </w:tcPr>
          <w:p w14:paraId="429971A8">
            <w:pPr>
              <w:adjustRightInd w:val="0"/>
              <w:snapToGrid w:val="0"/>
              <w:spacing w:line="320" w:lineRule="exact"/>
              <w:jc w:val="center"/>
              <w:rPr>
                <w:rFonts w:hint="default" w:ascii="Times New Roman" w:hAnsi="Times New Roman" w:eastAsia="仿宋_GB2312" w:cs="Times New Roman"/>
                <w:color w:val="auto"/>
                <w:kern w:val="2"/>
                <w:sz w:val="21"/>
                <w:szCs w:val="21"/>
                <w:lang w:val="en-US" w:eastAsia="zh-CN" w:bidi="ar-SA"/>
              </w:rPr>
            </w:pPr>
            <w:r>
              <w:rPr>
                <w:rFonts w:hint="eastAsia" w:eastAsia="仿宋_GB2312"/>
                <w:color w:val="auto"/>
                <w:szCs w:val="21"/>
                <w:lang w:val="en-US" w:eastAsia="zh-CN"/>
              </w:rPr>
              <w:t>异丙苯</w:t>
            </w:r>
          </w:p>
        </w:tc>
        <w:tc>
          <w:tcPr>
            <w:tcW w:w="748" w:type="pct"/>
            <w:vAlign w:val="center"/>
          </w:tcPr>
          <w:p w14:paraId="1DD5A8C3">
            <w:pPr>
              <w:jc w:val="center"/>
              <w:rPr>
                <w:rFonts w:hint="default" w:ascii="Times New Roman" w:hAnsi="Times New Roman" w:eastAsia="仿宋_GB2312" w:cs="Times New Roman"/>
                <w:color w:val="auto"/>
                <w:kern w:val="0"/>
                <w:szCs w:val="21"/>
                <w:lang w:val="en-US" w:eastAsia="zh-CN"/>
              </w:rPr>
            </w:pPr>
            <w:r>
              <w:rPr>
                <w:rFonts w:hint="eastAsia" w:ascii="Times New Roman" w:hAnsi="Times New Roman" w:eastAsia="仿宋_GB2312" w:cs="Times New Roman"/>
                <w:color w:val="auto"/>
                <w:kern w:val="0"/>
                <w:szCs w:val="21"/>
                <w:lang w:val="en-US" w:eastAsia="zh-CN"/>
              </w:rPr>
              <w:t>0.00</w:t>
            </w:r>
            <w:r>
              <w:rPr>
                <w:rFonts w:hint="eastAsia" w:eastAsia="仿宋_GB2312" w:cs="Times New Roman"/>
                <w:color w:val="auto"/>
                <w:kern w:val="0"/>
                <w:szCs w:val="21"/>
                <w:lang w:val="en-US" w:eastAsia="zh-CN"/>
              </w:rPr>
              <w:t>18</w:t>
            </w:r>
          </w:p>
        </w:tc>
        <w:tc>
          <w:tcPr>
            <w:tcW w:w="776" w:type="pct"/>
            <w:vAlign w:val="center"/>
          </w:tcPr>
          <w:p w14:paraId="7FE88F1A">
            <w:pPr>
              <w:jc w:val="center"/>
              <w:rPr>
                <w:rFonts w:hint="default" w:eastAsia="仿宋_GB2312"/>
                <w:color w:val="auto"/>
                <w:kern w:val="0"/>
                <w:szCs w:val="21"/>
                <w:lang w:val="en-US" w:eastAsia="zh-CN"/>
              </w:rPr>
            </w:pPr>
            <w:r>
              <w:rPr>
                <w:rFonts w:hint="eastAsia" w:eastAsia="仿宋_GB2312"/>
                <w:color w:val="auto"/>
                <w:kern w:val="0"/>
                <w:szCs w:val="21"/>
                <w:lang w:val="en-US" w:eastAsia="zh-CN"/>
              </w:rPr>
              <w:t>0.0037</w:t>
            </w:r>
          </w:p>
        </w:tc>
        <w:tc>
          <w:tcPr>
            <w:tcW w:w="699" w:type="pct"/>
            <w:vMerge w:val="continue"/>
            <w:vAlign w:val="center"/>
          </w:tcPr>
          <w:p w14:paraId="793B7612">
            <w:pPr>
              <w:jc w:val="center"/>
              <w:rPr>
                <w:rFonts w:eastAsia="仿宋_GB2312"/>
                <w:color w:val="FF0000"/>
                <w:szCs w:val="21"/>
              </w:rPr>
            </w:pPr>
          </w:p>
        </w:tc>
        <w:tc>
          <w:tcPr>
            <w:tcW w:w="749" w:type="pct"/>
            <w:vMerge w:val="continue"/>
            <w:vAlign w:val="center"/>
          </w:tcPr>
          <w:p w14:paraId="299BDB58">
            <w:pPr>
              <w:jc w:val="center"/>
              <w:rPr>
                <w:rFonts w:eastAsia="仿宋_GB2312"/>
                <w:color w:val="FF0000"/>
                <w:szCs w:val="21"/>
              </w:rPr>
            </w:pPr>
          </w:p>
        </w:tc>
      </w:tr>
      <w:tr w14:paraId="758E1C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12" w:type="pct"/>
            <w:vMerge w:val="continue"/>
            <w:vAlign w:val="center"/>
          </w:tcPr>
          <w:p w14:paraId="0E804460">
            <w:pPr>
              <w:jc w:val="center"/>
              <w:rPr>
                <w:rFonts w:eastAsia="仿宋_GB2312"/>
                <w:color w:val="FF0000"/>
                <w:kern w:val="0"/>
                <w:szCs w:val="21"/>
              </w:rPr>
            </w:pPr>
          </w:p>
        </w:tc>
        <w:tc>
          <w:tcPr>
            <w:tcW w:w="1213" w:type="pct"/>
            <w:shd w:val="clear" w:color="auto" w:fill="auto"/>
            <w:vAlign w:val="center"/>
          </w:tcPr>
          <w:p w14:paraId="7B3CDDE9">
            <w:pPr>
              <w:adjustRightInd w:val="0"/>
              <w:snapToGrid w:val="0"/>
              <w:spacing w:line="320" w:lineRule="exact"/>
              <w:jc w:val="center"/>
              <w:rPr>
                <w:rFonts w:hint="eastAsia" w:ascii="Times New Roman" w:hAnsi="Times New Roman" w:eastAsia="仿宋_GB2312" w:cs="Times New Roman"/>
                <w:b/>
                <w:bCs/>
                <w:color w:val="auto"/>
                <w:kern w:val="2"/>
                <w:sz w:val="21"/>
                <w:szCs w:val="21"/>
                <w:lang w:val="en-US" w:eastAsia="zh-CN" w:bidi="ar-SA"/>
              </w:rPr>
            </w:pPr>
            <w:r>
              <w:rPr>
                <w:rFonts w:eastAsia="仿宋_GB2312"/>
                <w:color w:val="auto"/>
                <w:szCs w:val="21"/>
              </w:rPr>
              <w:t>乙酸酯类</w:t>
            </w:r>
          </w:p>
        </w:tc>
        <w:tc>
          <w:tcPr>
            <w:tcW w:w="748" w:type="pct"/>
            <w:vAlign w:val="center"/>
          </w:tcPr>
          <w:p w14:paraId="2B649F39">
            <w:pPr>
              <w:jc w:val="center"/>
              <w:rPr>
                <w:rFonts w:hint="default" w:eastAsia="仿宋_GB2312"/>
                <w:color w:val="auto"/>
                <w:szCs w:val="21"/>
                <w:lang w:val="en-US" w:eastAsia="zh-CN"/>
              </w:rPr>
            </w:pPr>
            <w:r>
              <w:rPr>
                <w:rFonts w:hint="eastAsia" w:eastAsia="仿宋_GB2312"/>
                <w:color w:val="auto"/>
                <w:szCs w:val="21"/>
                <w:lang w:val="en-US" w:eastAsia="zh-CN"/>
              </w:rPr>
              <w:t>0.2381</w:t>
            </w:r>
          </w:p>
        </w:tc>
        <w:tc>
          <w:tcPr>
            <w:tcW w:w="776" w:type="pct"/>
            <w:vAlign w:val="center"/>
          </w:tcPr>
          <w:p w14:paraId="0DCEAA64">
            <w:pPr>
              <w:jc w:val="center"/>
              <w:rPr>
                <w:rFonts w:hint="default" w:eastAsia="仿宋_GB2312"/>
                <w:color w:val="auto"/>
                <w:kern w:val="0"/>
                <w:szCs w:val="21"/>
                <w:lang w:val="en-US" w:eastAsia="zh-CN"/>
              </w:rPr>
            </w:pPr>
            <w:r>
              <w:rPr>
                <w:rFonts w:hint="eastAsia" w:eastAsia="仿宋_GB2312"/>
                <w:color w:val="auto"/>
                <w:kern w:val="0"/>
                <w:szCs w:val="21"/>
                <w:lang w:val="en-US" w:eastAsia="zh-CN"/>
              </w:rPr>
              <w:t>0.1725</w:t>
            </w:r>
          </w:p>
        </w:tc>
        <w:tc>
          <w:tcPr>
            <w:tcW w:w="699" w:type="pct"/>
            <w:vMerge w:val="continue"/>
            <w:vAlign w:val="center"/>
          </w:tcPr>
          <w:p w14:paraId="3DC96BF3">
            <w:pPr>
              <w:jc w:val="center"/>
              <w:rPr>
                <w:rFonts w:eastAsia="仿宋_GB2312"/>
                <w:color w:val="FF0000"/>
                <w:szCs w:val="21"/>
              </w:rPr>
            </w:pPr>
          </w:p>
        </w:tc>
        <w:tc>
          <w:tcPr>
            <w:tcW w:w="749" w:type="pct"/>
            <w:vMerge w:val="continue"/>
            <w:vAlign w:val="center"/>
          </w:tcPr>
          <w:p w14:paraId="4FDC9BDB">
            <w:pPr>
              <w:jc w:val="center"/>
              <w:rPr>
                <w:rFonts w:eastAsia="仿宋_GB2312"/>
                <w:color w:val="FF0000"/>
                <w:szCs w:val="21"/>
              </w:rPr>
            </w:pPr>
          </w:p>
        </w:tc>
      </w:tr>
      <w:tr w14:paraId="77FE46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12" w:type="pct"/>
            <w:vMerge w:val="continue"/>
            <w:vAlign w:val="center"/>
          </w:tcPr>
          <w:p w14:paraId="72BEFE73">
            <w:pPr>
              <w:jc w:val="center"/>
              <w:rPr>
                <w:rFonts w:eastAsia="仿宋_GB2312"/>
                <w:color w:val="FF0000"/>
                <w:kern w:val="0"/>
                <w:szCs w:val="21"/>
              </w:rPr>
            </w:pPr>
          </w:p>
        </w:tc>
        <w:tc>
          <w:tcPr>
            <w:tcW w:w="1213" w:type="pct"/>
            <w:shd w:val="clear" w:color="auto" w:fill="auto"/>
            <w:vAlign w:val="center"/>
          </w:tcPr>
          <w:p w14:paraId="5FF61673">
            <w:pPr>
              <w:adjustRightInd w:val="0"/>
              <w:snapToGrid w:val="0"/>
              <w:spacing w:line="320" w:lineRule="exact"/>
              <w:jc w:val="center"/>
              <w:rPr>
                <w:rFonts w:hint="eastAsia" w:ascii="Times New Roman" w:hAnsi="Times New Roman" w:eastAsia="仿宋_GB2312" w:cs="Times New Roman"/>
                <w:color w:val="auto"/>
                <w:kern w:val="2"/>
                <w:sz w:val="21"/>
                <w:szCs w:val="21"/>
                <w:lang w:val="en-US" w:eastAsia="zh-CN" w:bidi="ar-SA"/>
              </w:rPr>
            </w:pPr>
            <w:r>
              <w:rPr>
                <w:rFonts w:hint="eastAsia" w:eastAsia="仿宋_GB2312"/>
                <w:color w:val="auto"/>
                <w:szCs w:val="21"/>
                <w:lang w:val="en-US" w:eastAsia="zh-CN"/>
              </w:rPr>
              <w:t>苯系物</w:t>
            </w:r>
          </w:p>
        </w:tc>
        <w:tc>
          <w:tcPr>
            <w:tcW w:w="748" w:type="pct"/>
            <w:vAlign w:val="center"/>
          </w:tcPr>
          <w:p w14:paraId="651D87E3">
            <w:pPr>
              <w:jc w:val="center"/>
              <w:rPr>
                <w:rFonts w:hint="default" w:eastAsia="仿宋_GB2312"/>
                <w:color w:val="auto"/>
                <w:szCs w:val="21"/>
                <w:lang w:val="en-US" w:eastAsia="zh-CN"/>
              </w:rPr>
            </w:pPr>
            <w:r>
              <w:rPr>
                <w:rFonts w:hint="eastAsia" w:eastAsia="仿宋_GB2312"/>
                <w:color w:val="auto"/>
                <w:szCs w:val="21"/>
                <w:lang w:val="en-US" w:eastAsia="zh-CN"/>
              </w:rPr>
              <w:t>0.026</w:t>
            </w:r>
          </w:p>
        </w:tc>
        <w:tc>
          <w:tcPr>
            <w:tcW w:w="776" w:type="pct"/>
            <w:vAlign w:val="center"/>
          </w:tcPr>
          <w:p w14:paraId="1FC7AC58">
            <w:pPr>
              <w:jc w:val="center"/>
              <w:rPr>
                <w:rFonts w:hint="default" w:eastAsia="仿宋_GB2312"/>
                <w:color w:val="auto"/>
                <w:kern w:val="0"/>
                <w:szCs w:val="21"/>
                <w:lang w:val="en-US" w:eastAsia="zh-CN"/>
              </w:rPr>
            </w:pPr>
            <w:r>
              <w:rPr>
                <w:rFonts w:hint="eastAsia" w:eastAsia="仿宋_GB2312"/>
                <w:color w:val="auto"/>
                <w:kern w:val="0"/>
                <w:szCs w:val="21"/>
                <w:lang w:val="en-US" w:eastAsia="zh-CN"/>
              </w:rPr>
              <w:t>0.0858</w:t>
            </w:r>
          </w:p>
        </w:tc>
        <w:tc>
          <w:tcPr>
            <w:tcW w:w="699" w:type="pct"/>
            <w:vMerge w:val="continue"/>
            <w:vAlign w:val="center"/>
          </w:tcPr>
          <w:p w14:paraId="171542EE">
            <w:pPr>
              <w:jc w:val="center"/>
              <w:rPr>
                <w:rFonts w:eastAsia="仿宋_GB2312"/>
                <w:color w:val="FF0000"/>
                <w:szCs w:val="21"/>
              </w:rPr>
            </w:pPr>
          </w:p>
        </w:tc>
        <w:tc>
          <w:tcPr>
            <w:tcW w:w="749" w:type="pct"/>
            <w:vMerge w:val="continue"/>
            <w:vAlign w:val="center"/>
          </w:tcPr>
          <w:p w14:paraId="13C081B6">
            <w:pPr>
              <w:jc w:val="center"/>
              <w:rPr>
                <w:rFonts w:eastAsia="仿宋_GB2312"/>
                <w:color w:val="FF0000"/>
                <w:szCs w:val="21"/>
              </w:rPr>
            </w:pPr>
          </w:p>
        </w:tc>
      </w:tr>
      <w:tr w14:paraId="4213AB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12" w:type="pct"/>
            <w:vMerge w:val="continue"/>
            <w:vAlign w:val="center"/>
          </w:tcPr>
          <w:p w14:paraId="07BA407C">
            <w:pPr>
              <w:jc w:val="center"/>
              <w:rPr>
                <w:rFonts w:eastAsia="仿宋_GB2312"/>
                <w:color w:val="FF0000"/>
                <w:kern w:val="0"/>
                <w:szCs w:val="21"/>
              </w:rPr>
            </w:pPr>
          </w:p>
        </w:tc>
        <w:tc>
          <w:tcPr>
            <w:tcW w:w="1213" w:type="pct"/>
            <w:shd w:val="clear" w:color="auto" w:fill="auto"/>
            <w:vAlign w:val="center"/>
          </w:tcPr>
          <w:p w14:paraId="0B5522D2">
            <w:pPr>
              <w:adjustRightInd w:val="0"/>
              <w:snapToGrid w:val="0"/>
              <w:spacing w:line="320" w:lineRule="exact"/>
              <w:jc w:val="center"/>
              <w:rPr>
                <w:rFonts w:ascii="Times New Roman" w:hAnsi="Times New Roman" w:eastAsia="仿宋_GB2312" w:cs="Times New Roman"/>
                <w:bCs/>
                <w:color w:val="auto"/>
                <w:kern w:val="2"/>
                <w:sz w:val="21"/>
                <w:szCs w:val="21"/>
                <w:lang w:val="en-US" w:eastAsia="zh-CN" w:bidi="ar-SA"/>
              </w:rPr>
            </w:pPr>
            <w:r>
              <w:rPr>
                <w:rFonts w:eastAsia="仿宋_GB2312"/>
                <w:bCs/>
                <w:color w:val="auto"/>
                <w:szCs w:val="21"/>
              </w:rPr>
              <w:t>非甲烷总烃</w:t>
            </w:r>
          </w:p>
        </w:tc>
        <w:tc>
          <w:tcPr>
            <w:tcW w:w="748" w:type="pct"/>
            <w:vAlign w:val="center"/>
          </w:tcPr>
          <w:p w14:paraId="3AA7969F">
            <w:pPr>
              <w:jc w:val="center"/>
              <w:rPr>
                <w:rFonts w:hint="default" w:eastAsia="仿宋_GB2312"/>
                <w:color w:val="auto"/>
                <w:szCs w:val="21"/>
                <w:lang w:val="en-US" w:eastAsia="zh-CN"/>
              </w:rPr>
            </w:pPr>
            <w:r>
              <w:rPr>
                <w:rFonts w:hint="eastAsia" w:eastAsia="仿宋_GB2312"/>
                <w:color w:val="auto"/>
                <w:szCs w:val="21"/>
                <w:lang w:val="en-US" w:eastAsia="zh-CN"/>
              </w:rPr>
              <w:t>0.371</w:t>
            </w:r>
          </w:p>
        </w:tc>
        <w:tc>
          <w:tcPr>
            <w:tcW w:w="776" w:type="pct"/>
            <w:vAlign w:val="center"/>
          </w:tcPr>
          <w:p w14:paraId="66069B30">
            <w:pPr>
              <w:jc w:val="center"/>
              <w:rPr>
                <w:rFonts w:hint="default" w:eastAsia="仿宋_GB2312"/>
                <w:color w:val="auto"/>
                <w:kern w:val="0"/>
                <w:szCs w:val="21"/>
                <w:lang w:val="en-US" w:eastAsia="zh-CN"/>
              </w:rPr>
            </w:pPr>
            <w:r>
              <w:rPr>
                <w:rFonts w:hint="eastAsia" w:eastAsia="仿宋_GB2312"/>
                <w:color w:val="auto"/>
                <w:kern w:val="0"/>
                <w:szCs w:val="21"/>
                <w:lang w:val="en-US" w:eastAsia="zh-CN"/>
              </w:rPr>
              <w:t>3.1162</w:t>
            </w:r>
          </w:p>
        </w:tc>
        <w:tc>
          <w:tcPr>
            <w:tcW w:w="699" w:type="pct"/>
            <w:vMerge w:val="continue"/>
            <w:vAlign w:val="center"/>
          </w:tcPr>
          <w:p w14:paraId="5E1B2105">
            <w:pPr>
              <w:jc w:val="center"/>
              <w:rPr>
                <w:rFonts w:eastAsia="仿宋_GB2312"/>
                <w:color w:val="FF0000"/>
                <w:szCs w:val="21"/>
              </w:rPr>
            </w:pPr>
          </w:p>
        </w:tc>
        <w:tc>
          <w:tcPr>
            <w:tcW w:w="749" w:type="pct"/>
            <w:vMerge w:val="continue"/>
            <w:vAlign w:val="center"/>
          </w:tcPr>
          <w:p w14:paraId="7E2977CC">
            <w:pPr>
              <w:jc w:val="center"/>
              <w:rPr>
                <w:rFonts w:eastAsia="仿宋_GB2312"/>
                <w:color w:val="FF0000"/>
                <w:szCs w:val="21"/>
              </w:rPr>
            </w:pPr>
          </w:p>
        </w:tc>
      </w:tr>
      <w:tr w14:paraId="0B28AB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12" w:type="pct"/>
            <w:vMerge w:val="continue"/>
            <w:vAlign w:val="center"/>
          </w:tcPr>
          <w:p w14:paraId="77B33F59">
            <w:pPr>
              <w:jc w:val="center"/>
              <w:rPr>
                <w:rFonts w:eastAsia="仿宋_GB2312"/>
                <w:color w:val="FF0000"/>
                <w:kern w:val="0"/>
                <w:szCs w:val="21"/>
              </w:rPr>
            </w:pPr>
          </w:p>
        </w:tc>
        <w:tc>
          <w:tcPr>
            <w:tcW w:w="1213" w:type="pct"/>
            <w:shd w:val="clear" w:color="auto" w:fill="auto"/>
            <w:vAlign w:val="center"/>
          </w:tcPr>
          <w:p w14:paraId="154AD365">
            <w:pPr>
              <w:adjustRightInd w:val="0"/>
              <w:snapToGrid w:val="0"/>
              <w:spacing w:line="320" w:lineRule="exact"/>
              <w:jc w:val="center"/>
              <w:rPr>
                <w:rFonts w:ascii="Times New Roman" w:hAnsi="Times New Roman" w:eastAsia="仿宋_GB2312" w:cs="Times New Roman"/>
                <w:bCs/>
                <w:color w:val="auto"/>
                <w:kern w:val="2"/>
                <w:sz w:val="21"/>
                <w:szCs w:val="21"/>
                <w:lang w:val="en-US" w:eastAsia="zh-CN" w:bidi="ar-SA"/>
              </w:rPr>
            </w:pPr>
            <w:r>
              <w:rPr>
                <w:rFonts w:eastAsia="仿宋_GB2312"/>
                <w:bCs/>
                <w:color w:val="auto"/>
                <w:szCs w:val="21"/>
              </w:rPr>
              <w:t>VOCs</w:t>
            </w:r>
          </w:p>
        </w:tc>
        <w:tc>
          <w:tcPr>
            <w:tcW w:w="748" w:type="pct"/>
            <w:vAlign w:val="center"/>
          </w:tcPr>
          <w:p w14:paraId="4402B36F">
            <w:pPr>
              <w:jc w:val="center"/>
              <w:rPr>
                <w:rFonts w:hint="default" w:eastAsia="仿宋_GB2312"/>
                <w:color w:val="auto"/>
                <w:szCs w:val="21"/>
                <w:lang w:val="en-US" w:eastAsia="zh-CN"/>
              </w:rPr>
            </w:pPr>
            <w:r>
              <w:rPr>
                <w:rFonts w:hint="eastAsia" w:eastAsia="仿宋_GB2312"/>
                <w:color w:val="auto"/>
                <w:szCs w:val="21"/>
                <w:lang w:val="en-US" w:eastAsia="zh-CN"/>
              </w:rPr>
              <w:t>0.666</w:t>
            </w:r>
          </w:p>
        </w:tc>
        <w:tc>
          <w:tcPr>
            <w:tcW w:w="776" w:type="pct"/>
            <w:vAlign w:val="center"/>
          </w:tcPr>
          <w:p w14:paraId="3D6AD5BE">
            <w:pPr>
              <w:jc w:val="center"/>
              <w:rPr>
                <w:rFonts w:hint="default" w:eastAsia="仿宋_GB2312"/>
                <w:color w:val="auto"/>
                <w:kern w:val="0"/>
                <w:szCs w:val="21"/>
                <w:lang w:val="en-US" w:eastAsia="zh-CN"/>
              </w:rPr>
            </w:pPr>
            <w:r>
              <w:rPr>
                <w:rFonts w:hint="eastAsia" w:eastAsia="仿宋_GB2312"/>
                <w:color w:val="auto"/>
                <w:kern w:val="0"/>
                <w:szCs w:val="21"/>
                <w:lang w:val="en-US" w:eastAsia="zh-CN"/>
              </w:rPr>
              <w:t>5.5976</w:t>
            </w:r>
          </w:p>
        </w:tc>
        <w:tc>
          <w:tcPr>
            <w:tcW w:w="699" w:type="pct"/>
            <w:vMerge w:val="continue"/>
            <w:vAlign w:val="center"/>
          </w:tcPr>
          <w:p w14:paraId="5417ECFD">
            <w:pPr>
              <w:jc w:val="center"/>
              <w:rPr>
                <w:rFonts w:eastAsia="仿宋_GB2312"/>
                <w:color w:val="FF0000"/>
                <w:szCs w:val="21"/>
              </w:rPr>
            </w:pPr>
          </w:p>
        </w:tc>
        <w:tc>
          <w:tcPr>
            <w:tcW w:w="749" w:type="pct"/>
            <w:vMerge w:val="continue"/>
            <w:vAlign w:val="center"/>
          </w:tcPr>
          <w:p w14:paraId="4381D2FC">
            <w:pPr>
              <w:jc w:val="center"/>
              <w:rPr>
                <w:rFonts w:eastAsia="仿宋_GB2312"/>
                <w:color w:val="FF0000"/>
                <w:szCs w:val="21"/>
              </w:rPr>
            </w:pPr>
          </w:p>
        </w:tc>
      </w:tr>
      <w:tr w14:paraId="76A1C2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12" w:type="pct"/>
            <w:shd w:val="clear" w:color="auto" w:fill="auto"/>
            <w:vAlign w:val="center"/>
          </w:tcPr>
          <w:p w14:paraId="634DBCBD">
            <w:pPr>
              <w:widowControl/>
              <w:spacing w:line="300" w:lineRule="exact"/>
              <w:jc w:val="center"/>
              <w:rPr>
                <w:rFonts w:ascii="Times New Roman" w:hAnsi="Times New Roman" w:eastAsia="仿宋_GB2312" w:cs="Times New Roman"/>
                <w:color w:val="auto"/>
                <w:kern w:val="0"/>
                <w:sz w:val="21"/>
                <w:szCs w:val="21"/>
                <w:lang w:val="en-US" w:eastAsia="zh-CN" w:bidi="ar-SA"/>
              </w:rPr>
            </w:pPr>
            <w:r>
              <w:rPr>
                <w:rFonts w:eastAsia="仿宋_GB2312"/>
                <w:color w:val="auto"/>
                <w:kern w:val="0"/>
                <w:szCs w:val="21"/>
              </w:rPr>
              <w:t>实验室</w:t>
            </w:r>
          </w:p>
        </w:tc>
        <w:tc>
          <w:tcPr>
            <w:tcW w:w="1213" w:type="pct"/>
            <w:vAlign w:val="center"/>
          </w:tcPr>
          <w:p w14:paraId="384E8337">
            <w:pPr>
              <w:jc w:val="center"/>
              <w:rPr>
                <w:rFonts w:eastAsia="仿宋_GB2312"/>
                <w:color w:val="auto"/>
                <w:kern w:val="0"/>
                <w:szCs w:val="21"/>
                <w:lang w:bidi="ar"/>
              </w:rPr>
            </w:pPr>
            <w:r>
              <w:rPr>
                <w:rFonts w:eastAsia="仿宋_GB2312"/>
                <w:color w:val="auto"/>
                <w:kern w:val="0"/>
                <w:szCs w:val="21"/>
                <w:lang w:bidi="ar"/>
              </w:rPr>
              <w:t>非甲烷总烃</w:t>
            </w:r>
          </w:p>
        </w:tc>
        <w:tc>
          <w:tcPr>
            <w:tcW w:w="748" w:type="pct"/>
            <w:vAlign w:val="center"/>
          </w:tcPr>
          <w:p w14:paraId="370CA5AE">
            <w:pPr>
              <w:jc w:val="center"/>
              <w:rPr>
                <w:rFonts w:hint="eastAsia" w:ascii="Times New Roman" w:hAnsi="Times New Roman" w:eastAsia="仿宋_GB2312" w:cs="Times New Roman"/>
                <w:color w:val="auto"/>
                <w:kern w:val="0"/>
                <w:szCs w:val="21"/>
                <w:lang w:val="en-US" w:eastAsia="zh-CN"/>
              </w:rPr>
            </w:pPr>
            <w:r>
              <w:rPr>
                <w:rFonts w:hint="eastAsia" w:ascii="Times New Roman" w:hAnsi="Times New Roman" w:eastAsia="仿宋_GB2312" w:cs="Times New Roman"/>
                <w:color w:val="auto"/>
                <w:kern w:val="0"/>
                <w:szCs w:val="21"/>
                <w:lang w:val="en-US" w:eastAsia="zh-CN"/>
              </w:rPr>
              <w:t>0.0036</w:t>
            </w:r>
          </w:p>
        </w:tc>
        <w:tc>
          <w:tcPr>
            <w:tcW w:w="776" w:type="pct"/>
            <w:shd w:val="clear" w:color="auto" w:fill="auto"/>
            <w:vAlign w:val="center"/>
          </w:tcPr>
          <w:p w14:paraId="7B3CCFBC">
            <w:pPr>
              <w:widowControl/>
              <w:spacing w:line="300" w:lineRule="exact"/>
              <w:jc w:val="center"/>
              <w:rPr>
                <w:rFonts w:hint="default" w:ascii="Times New Roman" w:hAnsi="Times New Roman" w:eastAsia="仿宋_GB2312" w:cs="Times New Roman"/>
                <w:color w:val="auto"/>
                <w:kern w:val="0"/>
                <w:sz w:val="21"/>
                <w:szCs w:val="21"/>
                <w:lang w:val="en-US" w:eastAsia="zh-CN" w:bidi="ar-SA"/>
              </w:rPr>
            </w:pPr>
            <w:r>
              <w:rPr>
                <w:rFonts w:eastAsia="仿宋_GB2312"/>
                <w:color w:val="auto"/>
                <w:kern w:val="0"/>
                <w:szCs w:val="21"/>
              </w:rPr>
              <w:t>0.03</w:t>
            </w:r>
          </w:p>
        </w:tc>
        <w:tc>
          <w:tcPr>
            <w:tcW w:w="699" w:type="pct"/>
            <w:vAlign w:val="center"/>
          </w:tcPr>
          <w:p w14:paraId="66FA6318">
            <w:pPr>
              <w:jc w:val="center"/>
              <w:rPr>
                <w:rFonts w:eastAsia="仿宋_GB2312"/>
                <w:color w:val="auto"/>
                <w:kern w:val="0"/>
                <w:szCs w:val="21"/>
                <w:lang w:bidi="ar"/>
              </w:rPr>
            </w:pPr>
            <w:r>
              <w:rPr>
                <w:rFonts w:eastAsia="仿宋_GB2312"/>
                <w:color w:val="auto"/>
                <w:kern w:val="0"/>
                <w:szCs w:val="21"/>
                <w:lang w:bidi="ar"/>
              </w:rPr>
              <w:t>100</w:t>
            </w:r>
          </w:p>
        </w:tc>
        <w:tc>
          <w:tcPr>
            <w:tcW w:w="749" w:type="pct"/>
            <w:vAlign w:val="center"/>
          </w:tcPr>
          <w:p w14:paraId="2EB87D0A">
            <w:pPr>
              <w:jc w:val="center"/>
              <w:rPr>
                <w:rFonts w:eastAsia="仿宋_GB2312"/>
                <w:color w:val="auto"/>
                <w:kern w:val="0"/>
                <w:szCs w:val="21"/>
                <w:lang w:bidi="ar"/>
              </w:rPr>
            </w:pPr>
            <w:r>
              <w:rPr>
                <w:rFonts w:eastAsia="仿宋_GB2312"/>
                <w:color w:val="auto"/>
                <w:kern w:val="0"/>
                <w:szCs w:val="21"/>
                <w:lang w:bidi="ar"/>
              </w:rPr>
              <w:t>3</w:t>
            </w:r>
          </w:p>
        </w:tc>
      </w:tr>
      <w:tr w14:paraId="738C75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12" w:type="pct"/>
            <w:shd w:val="clear" w:color="auto" w:fill="auto"/>
            <w:vAlign w:val="center"/>
          </w:tcPr>
          <w:p w14:paraId="36C28CB9">
            <w:pPr>
              <w:widowControl/>
              <w:spacing w:line="300" w:lineRule="exact"/>
              <w:jc w:val="center"/>
              <w:rPr>
                <w:rFonts w:ascii="Times New Roman" w:hAnsi="Times New Roman" w:eastAsia="仿宋_GB2312" w:cs="Times New Roman"/>
                <w:color w:val="auto"/>
                <w:kern w:val="0"/>
                <w:sz w:val="21"/>
                <w:szCs w:val="21"/>
                <w:lang w:val="en-US" w:eastAsia="zh-CN" w:bidi="ar-SA"/>
              </w:rPr>
            </w:pPr>
            <w:r>
              <w:rPr>
                <w:rFonts w:eastAsia="仿宋_GB2312"/>
                <w:color w:val="auto"/>
                <w:kern w:val="0"/>
                <w:szCs w:val="21"/>
              </w:rPr>
              <w:t>1#仓库</w:t>
            </w:r>
          </w:p>
        </w:tc>
        <w:tc>
          <w:tcPr>
            <w:tcW w:w="1213" w:type="pct"/>
            <w:vAlign w:val="center"/>
          </w:tcPr>
          <w:p w14:paraId="609D7830">
            <w:pPr>
              <w:jc w:val="center"/>
              <w:rPr>
                <w:rFonts w:eastAsia="仿宋_GB2312"/>
                <w:color w:val="auto"/>
                <w:kern w:val="0"/>
                <w:szCs w:val="21"/>
                <w:lang w:bidi="ar"/>
              </w:rPr>
            </w:pPr>
            <w:r>
              <w:rPr>
                <w:rFonts w:eastAsia="仿宋_GB2312"/>
                <w:color w:val="auto"/>
                <w:kern w:val="0"/>
                <w:szCs w:val="21"/>
                <w:lang w:bidi="ar"/>
              </w:rPr>
              <w:t>非甲烷总烃</w:t>
            </w:r>
          </w:p>
        </w:tc>
        <w:tc>
          <w:tcPr>
            <w:tcW w:w="748" w:type="pct"/>
            <w:vAlign w:val="center"/>
          </w:tcPr>
          <w:p w14:paraId="1418A142">
            <w:pPr>
              <w:jc w:val="center"/>
              <w:rPr>
                <w:rFonts w:hint="eastAsia" w:ascii="Times New Roman" w:hAnsi="Times New Roman" w:eastAsia="仿宋_GB2312" w:cs="Times New Roman"/>
                <w:color w:val="auto"/>
                <w:kern w:val="0"/>
                <w:szCs w:val="21"/>
                <w:lang w:val="en-US" w:eastAsia="zh-CN"/>
              </w:rPr>
            </w:pPr>
            <w:r>
              <w:rPr>
                <w:rFonts w:hint="eastAsia" w:ascii="Times New Roman" w:hAnsi="Times New Roman" w:eastAsia="仿宋_GB2312" w:cs="Times New Roman"/>
                <w:color w:val="auto"/>
                <w:kern w:val="0"/>
                <w:szCs w:val="21"/>
                <w:lang w:val="en-US" w:eastAsia="zh-CN"/>
              </w:rPr>
              <w:t>0.0012</w:t>
            </w:r>
          </w:p>
        </w:tc>
        <w:tc>
          <w:tcPr>
            <w:tcW w:w="776" w:type="pct"/>
            <w:shd w:val="clear" w:color="auto" w:fill="auto"/>
            <w:vAlign w:val="center"/>
          </w:tcPr>
          <w:p w14:paraId="0FEF0FF6">
            <w:pPr>
              <w:widowControl/>
              <w:spacing w:line="300" w:lineRule="exact"/>
              <w:jc w:val="center"/>
              <w:rPr>
                <w:rFonts w:hint="default" w:ascii="Times New Roman" w:hAnsi="Times New Roman" w:eastAsia="仿宋_GB2312" w:cs="Times New Roman"/>
                <w:color w:val="auto"/>
                <w:kern w:val="0"/>
                <w:sz w:val="21"/>
                <w:szCs w:val="21"/>
                <w:lang w:val="en-US" w:eastAsia="zh-CN" w:bidi="ar-SA"/>
              </w:rPr>
            </w:pPr>
            <w:r>
              <w:rPr>
                <w:rFonts w:eastAsia="仿宋_GB2312"/>
                <w:color w:val="auto"/>
                <w:kern w:val="0"/>
                <w:szCs w:val="21"/>
              </w:rPr>
              <w:t>0.01</w:t>
            </w:r>
          </w:p>
        </w:tc>
        <w:tc>
          <w:tcPr>
            <w:tcW w:w="699" w:type="pct"/>
            <w:vAlign w:val="center"/>
          </w:tcPr>
          <w:p w14:paraId="6143FF92">
            <w:pPr>
              <w:widowControl/>
              <w:spacing w:line="300" w:lineRule="exact"/>
              <w:jc w:val="center"/>
              <w:rPr>
                <w:rFonts w:eastAsia="仿宋_GB2312"/>
                <w:color w:val="FF0000"/>
                <w:kern w:val="0"/>
                <w:szCs w:val="21"/>
                <w:lang w:bidi="ar"/>
              </w:rPr>
            </w:pPr>
            <w:r>
              <w:rPr>
                <w:rFonts w:eastAsia="仿宋_GB2312"/>
                <w:color w:val="auto"/>
                <w:kern w:val="0"/>
                <w:szCs w:val="21"/>
              </w:rPr>
              <w:t>606</w:t>
            </w:r>
          </w:p>
        </w:tc>
        <w:tc>
          <w:tcPr>
            <w:tcW w:w="749" w:type="pct"/>
            <w:vAlign w:val="center"/>
          </w:tcPr>
          <w:p w14:paraId="08B06E84">
            <w:pPr>
              <w:widowControl/>
              <w:spacing w:line="300" w:lineRule="exact"/>
              <w:jc w:val="center"/>
              <w:rPr>
                <w:rFonts w:eastAsia="仿宋_GB2312"/>
                <w:color w:val="FF0000"/>
                <w:kern w:val="0"/>
                <w:szCs w:val="21"/>
                <w:lang w:bidi="ar"/>
              </w:rPr>
            </w:pPr>
            <w:r>
              <w:rPr>
                <w:rFonts w:eastAsia="仿宋_GB2312"/>
                <w:color w:val="auto"/>
                <w:kern w:val="0"/>
                <w:szCs w:val="21"/>
              </w:rPr>
              <w:t>3</w:t>
            </w:r>
          </w:p>
        </w:tc>
      </w:tr>
      <w:tr w14:paraId="05FB085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12" w:type="pct"/>
            <w:shd w:val="clear" w:color="auto" w:fill="auto"/>
            <w:vAlign w:val="center"/>
          </w:tcPr>
          <w:p w14:paraId="6E8C3342">
            <w:pPr>
              <w:widowControl/>
              <w:spacing w:line="300" w:lineRule="exact"/>
              <w:jc w:val="center"/>
              <w:rPr>
                <w:rFonts w:ascii="Times New Roman" w:hAnsi="Times New Roman" w:eastAsia="仿宋_GB2312" w:cs="Times New Roman"/>
                <w:color w:val="auto"/>
                <w:kern w:val="0"/>
                <w:sz w:val="21"/>
                <w:szCs w:val="21"/>
                <w:lang w:val="en-US" w:eastAsia="zh-CN" w:bidi="ar-SA"/>
              </w:rPr>
            </w:pPr>
            <w:r>
              <w:rPr>
                <w:rFonts w:hint="eastAsia" w:eastAsia="仿宋_GB2312"/>
                <w:color w:val="auto"/>
                <w:kern w:val="0"/>
                <w:szCs w:val="21"/>
                <w:lang w:val="en-US" w:eastAsia="zh-CN"/>
              </w:rPr>
              <w:t>3</w:t>
            </w:r>
            <w:r>
              <w:rPr>
                <w:rFonts w:eastAsia="仿宋_GB2312"/>
                <w:color w:val="auto"/>
                <w:kern w:val="0"/>
                <w:szCs w:val="21"/>
              </w:rPr>
              <w:t>#仓库</w:t>
            </w:r>
          </w:p>
        </w:tc>
        <w:tc>
          <w:tcPr>
            <w:tcW w:w="1213" w:type="pct"/>
            <w:vAlign w:val="center"/>
          </w:tcPr>
          <w:p w14:paraId="13976616">
            <w:pPr>
              <w:jc w:val="center"/>
              <w:rPr>
                <w:rFonts w:eastAsia="仿宋_GB2312"/>
                <w:color w:val="auto"/>
                <w:kern w:val="0"/>
                <w:szCs w:val="21"/>
                <w:lang w:bidi="ar"/>
              </w:rPr>
            </w:pPr>
            <w:r>
              <w:rPr>
                <w:rFonts w:eastAsia="仿宋_GB2312"/>
                <w:color w:val="auto"/>
                <w:kern w:val="0"/>
                <w:szCs w:val="21"/>
                <w:lang w:bidi="ar"/>
              </w:rPr>
              <w:t>非甲烷总烃</w:t>
            </w:r>
          </w:p>
        </w:tc>
        <w:tc>
          <w:tcPr>
            <w:tcW w:w="748" w:type="pct"/>
            <w:vAlign w:val="center"/>
          </w:tcPr>
          <w:p w14:paraId="32341E41">
            <w:pPr>
              <w:jc w:val="center"/>
              <w:rPr>
                <w:rFonts w:hint="eastAsia" w:ascii="Times New Roman" w:hAnsi="Times New Roman" w:eastAsia="仿宋_GB2312" w:cs="Times New Roman"/>
                <w:color w:val="auto"/>
                <w:kern w:val="0"/>
                <w:szCs w:val="21"/>
                <w:lang w:val="en-US" w:eastAsia="zh-CN"/>
              </w:rPr>
            </w:pPr>
            <w:r>
              <w:rPr>
                <w:rFonts w:hint="eastAsia" w:ascii="Times New Roman" w:hAnsi="Times New Roman" w:eastAsia="仿宋_GB2312" w:cs="Times New Roman"/>
                <w:color w:val="auto"/>
                <w:kern w:val="0"/>
                <w:szCs w:val="21"/>
                <w:lang w:val="en-US" w:eastAsia="zh-CN"/>
              </w:rPr>
              <w:t>0.0012</w:t>
            </w:r>
          </w:p>
        </w:tc>
        <w:tc>
          <w:tcPr>
            <w:tcW w:w="776" w:type="pct"/>
            <w:shd w:val="clear" w:color="auto" w:fill="auto"/>
            <w:vAlign w:val="center"/>
          </w:tcPr>
          <w:p w14:paraId="1479694D">
            <w:pPr>
              <w:widowControl/>
              <w:spacing w:line="300" w:lineRule="exact"/>
              <w:jc w:val="center"/>
              <w:rPr>
                <w:rFonts w:hint="default" w:ascii="Times New Roman" w:hAnsi="Times New Roman" w:eastAsia="仿宋_GB2312" w:cs="Times New Roman"/>
                <w:color w:val="auto"/>
                <w:kern w:val="0"/>
                <w:sz w:val="21"/>
                <w:szCs w:val="21"/>
                <w:lang w:val="en-US" w:eastAsia="zh-CN" w:bidi="ar-SA"/>
              </w:rPr>
            </w:pPr>
            <w:r>
              <w:rPr>
                <w:rFonts w:eastAsia="仿宋_GB2312"/>
                <w:color w:val="auto"/>
                <w:kern w:val="0"/>
                <w:szCs w:val="21"/>
              </w:rPr>
              <w:t>0.01</w:t>
            </w:r>
          </w:p>
        </w:tc>
        <w:tc>
          <w:tcPr>
            <w:tcW w:w="699" w:type="pct"/>
            <w:vAlign w:val="center"/>
          </w:tcPr>
          <w:p w14:paraId="10C95F9B">
            <w:pPr>
              <w:widowControl/>
              <w:spacing w:line="300" w:lineRule="exact"/>
              <w:jc w:val="center"/>
              <w:rPr>
                <w:rFonts w:eastAsia="仿宋_GB2312"/>
                <w:color w:val="FF0000"/>
                <w:kern w:val="0"/>
                <w:szCs w:val="21"/>
                <w:lang w:bidi="ar"/>
              </w:rPr>
            </w:pPr>
            <w:r>
              <w:rPr>
                <w:rFonts w:eastAsia="仿宋_GB2312"/>
                <w:color w:val="auto"/>
                <w:kern w:val="0"/>
                <w:szCs w:val="21"/>
              </w:rPr>
              <w:t>1920</w:t>
            </w:r>
          </w:p>
        </w:tc>
        <w:tc>
          <w:tcPr>
            <w:tcW w:w="749" w:type="pct"/>
            <w:vAlign w:val="center"/>
          </w:tcPr>
          <w:p w14:paraId="18656C5E">
            <w:pPr>
              <w:widowControl/>
              <w:spacing w:line="300" w:lineRule="exact"/>
              <w:jc w:val="center"/>
              <w:rPr>
                <w:rFonts w:eastAsia="仿宋_GB2312"/>
                <w:color w:val="FF0000"/>
                <w:kern w:val="0"/>
                <w:szCs w:val="21"/>
                <w:lang w:bidi="ar"/>
              </w:rPr>
            </w:pPr>
            <w:r>
              <w:rPr>
                <w:rFonts w:eastAsia="仿宋_GB2312"/>
                <w:color w:val="auto"/>
                <w:kern w:val="0"/>
                <w:szCs w:val="21"/>
              </w:rPr>
              <w:t>3</w:t>
            </w:r>
          </w:p>
        </w:tc>
      </w:tr>
      <w:tr w14:paraId="4C7E14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12" w:type="pct"/>
            <w:shd w:val="clear" w:color="auto" w:fill="auto"/>
            <w:vAlign w:val="center"/>
          </w:tcPr>
          <w:p w14:paraId="0A7B1825">
            <w:pPr>
              <w:widowControl/>
              <w:spacing w:line="300" w:lineRule="exact"/>
              <w:jc w:val="center"/>
              <w:rPr>
                <w:rFonts w:ascii="Times New Roman" w:hAnsi="Times New Roman" w:eastAsia="仿宋_GB2312" w:cs="Times New Roman"/>
                <w:color w:val="auto"/>
                <w:kern w:val="0"/>
                <w:sz w:val="21"/>
                <w:szCs w:val="21"/>
                <w:lang w:val="en-US" w:eastAsia="zh-CN" w:bidi="ar-SA"/>
              </w:rPr>
            </w:pPr>
            <w:r>
              <w:rPr>
                <w:rFonts w:hint="eastAsia" w:eastAsia="仿宋_GB2312"/>
                <w:color w:val="auto"/>
                <w:kern w:val="0"/>
                <w:szCs w:val="21"/>
                <w:lang w:val="en-US" w:eastAsia="zh-CN"/>
              </w:rPr>
              <w:t>5</w:t>
            </w:r>
            <w:r>
              <w:rPr>
                <w:rFonts w:eastAsia="仿宋_GB2312"/>
                <w:color w:val="auto"/>
                <w:kern w:val="0"/>
                <w:szCs w:val="21"/>
              </w:rPr>
              <w:t>#仓库</w:t>
            </w:r>
          </w:p>
        </w:tc>
        <w:tc>
          <w:tcPr>
            <w:tcW w:w="1213" w:type="pct"/>
            <w:vAlign w:val="center"/>
          </w:tcPr>
          <w:p w14:paraId="2F59FB90">
            <w:pPr>
              <w:jc w:val="center"/>
              <w:rPr>
                <w:rFonts w:eastAsia="仿宋_GB2312"/>
                <w:color w:val="auto"/>
                <w:kern w:val="0"/>
                <w:szCs w:val="21"/>
                <w:lang w:bidi="ar"/>
              </w:rPr>
            </w:pPr>
            <w:r>
              <w:rPr>
                <w:rFonts w:eastAsia="仿宋_GB2312"/>
                <w:color w:val="auto"/>
                <w:kern w:val="0"/>
                <w:szCs w:val="21"/>
                <w:lang w:bidi="ar"/>
              </w:rPr>
              <w:t>非甲烷总烃</w:t>
            </w:r>
          </w:p>
        </w:tc>
        <w:tc>
          <w:tcPr>
            <w:tcW w:w="748" w:type="pct"/>
            <w:vAlign w:val="center"/>
          </w:tcPr>
          <w:p w14:paraId="2A149F07">
            <w:pPr>
              <w:jc w:val="center"/>
              <w:rPr>
                <w:rFonts w:hint="eastAsia" w:ascii="Times New Roman" w:hAnsi="Times New Roman" w:eastAsia="仿宋_GB2312" w:cs="Times New Roman"/>
                <w:color w:val="auto"/>
                <w:kern w:val="0"/>
                <w:szCs w:val="21"/>
                <w:lang w:val="en-US" w:eastAsia="zh-CN"/>
              </w:rPr>
            </w:pPr>
            <w:r>
              <w:rPr>
                <w:rFonts w:hint="eastAsia" w:ascii="Times New Roman" w:hAnsi="Times New Roman" w:eastAsia="仿宋_GB2312" w:cs="Times New Roman"/>
                <w:color w:val="auto"/>
                <w:kern w:val="0"/>
                <w:szCs w:val="21"/>
                <w:lang w:val="en-US" w:eastAsia="zh-CN"/>
              </w:rPr>
              <w:t>0.0012</w:t>
            </w:r>
          </w:p>
        </w:tc>
        <w:tc>
          <w:tcPr>
            <w:tcW w:w="776" w:type="pct"/>
            <w:shd w:val="clear" w:color="auto" w:fill="auto"/>
            <w:vAlign w:val="center"/>
          </w:tcPr>
          <w:p w14:paraId="74258F9B">
            <w:pPr>
              <w:widowControl/>
              <w:spacing w:line="300" w:lineRule="exact"/>
              <w:jc w:val="center"/>
              <w:rPr>
                <w:rFonts w:hint="default" w:ascii="Times New Roman" w:hAnsi="Times New Roman" w:eastAsia="仿宋_GB2312" w:cs="Times New Roman"/>
                <w:color w:val="auto"/>
                <w:kern w:val="0"/>
                <w:sz w:val="21"/>
                <w:szCs w:val="21"/>
                <w:lang w:val="en-US" w:eastAsia="zh-CN" w:bidi="ar-SA"/>
              </w:rPr>
            </w:pPr>
            <w:r>
              <w:rPr>
                <w:rFonts w:eastAsia="仿宋_GB2312"/>
                <w:color w:val="auto"/>
                <w:kern w:val="0"/>
                <w:szCs w:val="21"/>
              </w:rPr>
              <w:t>0.0</w:t>
            </w:r>
            <w:r>
              <w:rPr>
                <w:rFonts w:hint="eastAsia" w:eastAsia="仿宋_GB2312"/>
                <w:color w:val="auto"/>
                <w:kern w:val="0"/>
                <w:szCs w:val="21"/>
                <w:lang w:val="en-US" w:eastAsia="zh-CN"/>
              </w:rPr>
              <w:t>1</w:t>
            </w:r>
          </w:p>
        </w:tc>
        <w:tc>
          <w:tcPr>
            <w:tcW w:w="699" w:type="pct"/>
            <w:vAlign w:val="center"/>
          </w:tcPr>
          <w:p w14:paraId="600312C3">
            <w:pPr>
              <w:widowControl/>
              <w:spacing w:line="300" w:lineRule="exact"/>
              <w:jc w:val="center"/>
              <w:rPr>
                <w:rFonts w:eastAsia="仿宋_GB2312"/>
                <w:color w:val="FF0000"/>
                <w:kern w:val="0"/>
                <w:szCs w:val="21"/>
                <w:lang w:bidi="ar"/>
              </w:rPr>
            </w:pPr>
            <w:r>
              <w:rPr>
                <w:rFonts w:hint="eastAsia" w:eastAsia="仿宋_GB2312"/>
                <w:color w:val="auto"/>
                <w:kern w:val="0"/>
                <w:szCs w:val="21"/>
                <w:lang w:val="en-US" w:eastAsia="zh-CN"/>
              </w:rPr>
              <w:t>1500</w:t>
            </w:r>
          </w:p>
        </w:tc>
        <w:tc>
          <w:tcPr>
            <w:tcW w:w="749" w:type="pct"/>
            <w:vAlign w:val="center"/>
          </w:tcPr>
          <w:p w14:paraId="70F39A94">
            <w:pPr>
              <w:widowControl/>
              <w:spacing w:line="300" w:lineRule="exact"/>
              <w:jc w:val="center"/>
              <w:rPr>
                <w:rFonts w:eastAsia="仿宋_GB2312"/>
                <w:color w:val="FF0000"/>
                <w:kern w:val="0"/>
                <w:szCs w:val="21"/>
                <w:lang w:bidi="ar"/>
              </w:rPr>
            </w:pPr>
            <w:r>
              <w:rPr>
                <w:rFonts w:eastAsia="仿宋_GB2312"/>
                <w:color w:val="auto"/>
                <w:kern w:val="0"/>
                <w:szCs w:val="21"/>
              </w:rPr>
              <w:t>3</w:t>
            </w:r>
          </w:p>
        </w:tc>
      </w:tr>
      <w:tr w14:paraId="59F17B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12" w:type="pct"/>
            <w:shd w:val="clear" w:color="auto" w:fill="auto"/>
            <w:vAlign w:val="center"/>
          </w:tcPr>
          <w:p w14:paraId="1BE572B4">
            <w:pPr>
              <w:widowControl/>
              <w:spacing w:line="300" w:lineRule="exact"/>
              <w:jc w:val="center"/>
              <w:rPr>
                <w:rFonts w:ascii="Times New Roman" w:hAnsi="Times New Roman" w:eastAsia="仿宋_GB2312" w:cs="Times New Roman"/>
                <w:color w:val="auto"/>
                <w:kern w:val="0"/>
                <w:sz w:val="21"/>
                <w:szCs w:val="21"/>
                <w:lang w:val="en-US" w:eastAsia="zh-CN" w:bidi="ar-SA"/>
              </w:rPr>
            </w:pPr>
            <w:r>
              <w:rPr>
                <w:rFonts w:eastAsia="仿宋_GB2312"/>
                <w:color w:val="auto"/>
                <w:kern w:val="0"/>
                <w:szCs w:val="21"/>
              </w:rPr>
              <w:t>分拣暂存间</w:t>
            </w:r>
          </w:p>
        </w:tc>
        <w:tc>
          <w:tcPr>
            <w:tcW w:w="1213" w:type="pct"/>
            <w:vAlign w:val="center"/>
          </w:tcPr>
          <w:p w14:paraId="4C6E3510">
            <w:pPr>
              <w:jc w:val="center"/>
              <w:rPr>
                <w:rFonts w:eastAsia="仿宋_GB2312"/>
                <w:color w:val="auto"/>
                <w:kern w:val="0"/>
                <w:szCs w:val="21"/>
                <w:lang w:bidi="ar"/>
              </w:rPr>
            </w:pPr>
            <w:r>
              <w:rPr>
                <w:rFonts w:eastAsia="仿宋_GB2312"/>
                <w:color w:val="auto"/>
                <w:kern w:val="0"/>
                <w:szCs w:val="21"/>
                <w:lang w:bidi="ar"/>
              </w:rPr>
              <w:t>非甲烷总烃</w:t>
            </w:r>
          </w:p>
        </w:tc>
        <w:tc>
          <w:tcPr>
            <w:tcW w:w="748" w:type="pct"/>
            <w:vAlign w:val="center"/>
          </w:tcPr>
          <w:p w14:paraId="3AF68034">
            <w:pPr>
              <w:jc w:val="center"/>
              <w:rPr>
                <w:rFonts w:hint="eastAsia" w:ascii="Times New Roman" w:hAnsi="Times New Roman" w:eastAsia="仿宋_GB2312" w:cs="Times New Roman"/>
                <w:color w:val="auto"/>
                <w:kern w:val="0"/>
                <w:szCs w:val="21"/>
                <w:lang w:val="en-US" w:eastAsia="zh-CN"/>
              </w:rPr>
            </w:pPr>
            <w:r>
              <w:rPr>
                <w:rFonts w:hint="eastAsia" w:ascii="Times New Roman" w:hAnsi="Times New Roman" w:eastAsia="仿宋_GB2312" w:cs="Times New Roman"/>
                <w:color w:val="auto"/>
                <w:kern w:val="0"/>
                <w:szCs w:val="21"/>
                <w:lang w:val="en-US" w:eastAsia="zh-CN"/>
              </w:rPr>
              <w:t>0.0012</w:t>
            </w:r>
          </w:p>
        </w:tc>
        <w:tc>
          <w:tcPr>
            <w:tcW w:w="776" w:type="pct"/>
            <w:shd w:val="clear" w:color="auto" w:fill="auto"/>
            <w:vAlign w:val="center"/>
          </w:tcPr>
          <w:p w14:paraId="1DA1191E">
            <w:pPr>
              <w:widowControl/>
              <w:spacing w:line="300" w:lineRule="exact"/>
              <w:jc w:val="center"/>
              <w:rPr>
                <w:rFonts w:hint="default" w:ascii="Times New Roman" w:hAnsi="Times New Roman" w:eastAsia="仿宋_GB2312" w:cs="Times New Roman"/>
                <w:color w:val="auto"/>
                <w:kern w:val="0"/>
                <w:sz w:val="21"/>
                <w:szCs w:val="21"/>
                <w:lang w:val="en-US" w:eastAsia="zh-CN" w:bidi="ar-SA"/>
              </w:rPr>
            </w:pPr>
            <w:r>
              <w:rPr>
                <w:rFonts w:eastAsia="仿宋_GB2312"/>
                <w:color w:val="auto"/>
                <w:kern w:val="0"/>
                <w:szCs w:val="21"/>
              </w:rPr>
              <w:t>0.0</w:t>
            </w:r>
            <w:r>
              <w:rPr>
                <w:rFonts w:hint="eastAsia" w:eastAsia="仿宋_GB2312"/>
                <w:color w:val="auto"/>
                <w:kern w:val="0"/>
                <w:szCs w:val="21"/>
                <w:lang w:val="en-US" w:eastAsia="zh-CN"/>
              </w:rPr>
              <w:t>1</w:t>
            </w:r>
          </w:p>
        </w:tc>
        <w:tc>
          <w:tcPr>
            <w:tcW w:w="699" w:type="pct"/>
            <w:vAlign w:val="center"/>
          </w:tcPr>
          <w:p w14:paraId="484D5FA7">
            <w:pPr>
              <w:widowControl/>
              <w:spacing w:line="300" w:lineRule="exact"/>
              <w:jc w:val="center"/>
              <w:rPr>
                <w:rFonts w:eastAsia="仿宋_GB2312"/>
                <w:color w:val="FF0000"/>
                <w:kern w:val="0"/>
                <w:szCs w:val="21"/>
                <w:lang w:bidi="ar"/>
              </w:rPr>
            </w:pPr>
            <w:r>
              <w:rPr>
                <w:rFonts w:eastAsia="仿宋_GB2312"/>
                <w:color w:val="auto"/>
                <w:kern w:val="0"/>
                <w:szCs w:val="21"/>
              </w:rPr>
              <w:t>1536</w:t>
            </w:r>
          </w:p>
        </w:tc>
        <w:tc>
          <w:tcPr>
            <w:tcW w:w="749" w:type="pct"/>
            <w:vAlign w:val="center"/>
          </w:tcPr>
          <w:p w14:paraId="5B5B55A5">
            <w:pPr>
              <w:widowControl/>
              <w:spacing w:line="300" w:lineRule="exact"/>
              <w:jc w:val="center"/>
              <w:rPr>
                <w:rFonts w:eastAsia="仿宋_GB2312"/>
                <w:color w:val="FF0000"/>
                <w:kern w:val="0"/>
                <w:szCs w:val="21"/>
                <w:lang w:bidi="ar"/>
              </w:rPr>
            </w:pPr>
            <w:r>
              <w:rPr>
                <w:rFonts w:eastAsia="仿宋_GB2312"/>
                <w:color w:val="auto"/>
                <w:kern w:val="0"/>
                <w:szCs w:val="21"/>
              </w:rPr>
              <w:t>3</w:t>
            </w:r>
          </w:p>
        </w:tc>
      </w:tr>
      <w:tr w14:paraId="38769F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12" w:type="pct"/>
            <w:vMerge w:val="restart"/>
            <w:shd w:val="clear" w:color="auto" w:fill="auto"/>
            <w:vAlign w:val="center"/>
          </w:tcPr>
          <w:p w14:paraId="6884A531">
            <w:pPr>
              <w:widowControl/>
              <w:spacing w:line="300" w:lineRule="exact"/>
              <w:jc w:val="center"/>
              <w:rPr>
                <w:rFonts w:hint="eastAsia" w:eastAsia="仿宋_GB2312"/>
                <w:color w:val="auto"/>
                <w:kern w:val="0"/>
                <w:szCs w:val="21"/>
                <w:lang w:val="en-US" w:eastAsia="zh-CN"/>
              </w:rPr>
            </w:pPr>
            <w:r>
              <w:rPr>
                <w:rFonts w:hint="eastAsia" w:eastAsia="仿宋_GB2312"/>
                <w:color w:val="auto"/>
                <w:kern w:val="0"/>
                <w:szCs w:val="21"/>
                <w:lang w:val="en-US" w:eastAsia="zh-CN"/>
              </w:rPr>
              <w:t>污水站</w:t>
            </w:r>
          </w:p>
        </w:tc>
        <w:tc>
          <w:tcPr>
            <w:tcW w:w="1213" w:type="pct"/>
            <w:shd w:val="clear" w:color="auto" w:fill="auto"/>
            <w:vAlign w:val="center"/>
          </w:tcPr>
          <w:p w14:paraId="36A587DD">
            <w:pPr>
              <w:widowControl/>
              <w:spacing w:line="300" w:lineRule="exact"/>
              <w:jc w:val="center"/>
              <w:rPr>
                <w:rFonts w:hint="default" w:ascii="Times New Roman" w:hAnsi="Times New Roman" w:eastAsia="仿宋_GB2312" w:cs="Times New Roman"/>
                <w:color w:val="auto"/>
                <w:kern w:val="0"/>
                <w:sz w:val="21"/>
                <w:szCs w:val="21"/>
                <w:lang w:val="en-US" w:eastAsia="zh-CN" w:bidi="ar-SA"/>
              </w:rPr>
            </w:pPr>
            <w:r>
              <w:rPr>
                <w:rFonts w:hint="eastAsia" w:eastAsia="仿宋_GB2312"/>
                <w:color w:val="auto"/>
                <w:kern w:val="0"/>
                <w:szCs w:val="21"/>
                <w:lang w:val="en-US" w:eastAsia="zh-CN"/>
              </w:rPr>
              <w:t>氨</w:t>
            </w:r>
          </w:p>
        </w:tc>
        <w:tc>
          <w:tcPr>
            <w:tcW w:w="748" w:type="pct"/>
            <w:vAlign w:val="center"/>
          </w:tcPr>
          <w:p w14:paraId="33092B99">
            <w:pPr>
              <w:jc w:val="center"/>
              <w:rPr>
                <w:rFonts w:hint="eastAsia" w:ascii="Times New Roman" w:hAnsi="Times New Roman" w:eastAsia="仿宋_GB2312" w:cs="Times New Roman"/>
                <w:color w:val="auto"/>
                <w:kern w:val="0"/>
                <w:szCs w:val="21"/>
                <w:lang w:val="en-US" w:eastAsia="zh-CN"/>
              </w:rPr>
            </w:pPr>
            <w:r>
              <w:rPr>
                <w:rFonts w:hint="eastAsia" w:ascii="Times New Roman" w:hAnsi="Times New Roman" w:eastAsia="仿宋_GB2312" w:cs="Times New Roman"/>
                <w:color w:val="auto"/>
                <w:kern w:val="0"/>
                <w:szCs w:val="21"/>
                <w:lang w:val="en-US" w:eastAsia="zh-CN"/>
              </w:rPr>
              <w:t>0.0012</w:t>
            </w:r>
          </w:p>
        </w:tc>
        <w:tc>
          <w:tcPr>
            <w:tcW w:w="776" w:type="pct"/>
            <w:shd w:val="clear" w:color="auto" w:fill="auto"/>
            <w:vAlign w:val="center"/>
          </w:tcPr>
          <w:p w14:paraId="22C66ED4">
            <w:pPr>
              <w:widowControl/>
              <w:spacing w:line="300" w:lineRule="exact"/>
              <w:jc w:val="center"/>
              <w:rPr>
                <w:rFonts w:hint="default" w:ascii="Times New Roman" w:hAnsi="Times New Roman" w:eastAsia="仿宋_GB2312" w:cs="Times New Roman"/>
                <w:color w:val="auto"/>
                <w:kern w:val="0"/>
                <w:sz w:val="21"/>
                <w:szCs w:val="21"/>
                <w:lang w:val="en-US" w:eastAsia="zh-CN" w:bidi="ar-SA"/>
              </w:rPr>
            </w:pPr>
            <w:r>
              <w:rPr>
                <w:rFonts w:hint="eastAsia" w:eastAsia="仿宋_GB2312"/>
                <w:color w:val="auto"/>
                <w:kern w:val="0"/>
                <w:szCs w:val="21"/>
                <w:lang w:val="en-US" w:eastAsia="zh-CN"/>
              </w:rPr>
              <w:t>0.01</w:t>
            </w:r>
          </w:p>
        </w:tc>
        <w:tc>
          <w:tcPr>
            <w:tcW w:w="699" w:type="pct"/>
            <w:vMerge w:val="restart"/>
            <w:vAlign w:val="center"/>
          </w:tcPr>
          <w:p w14:paraId="4C330CA4">
            <w:pPr>
              <w:jc w:val="center"/>
              <w:rPr>
                <w:rFonts w:hint="default" w:eastAsia="仿宋_GB2312"/>
                <w:color w:val="auto"/>
                <w:kern w:val="0"/>
                <w:szCs w:val="21"/>
                <w:lang w:val="en-US" w:eastAsia="zh-CN" w:bidi="ar"/>
              </w:rPr>
            </w:pPr>
            <w:r>
              <w:rPr>
                <w:rFonts w:hint="eastAsia" w:eastAsia="仿宋_GB2312"/>
                <w:color w:val="auto"/>
                <w:kern w:val="0"/>
                <w:szCs w:val="21"/>
                <w:lang w:val="en-US" w:eastAsia="zh-CN" w:bidi="ar"/>
              </w:rPr>
              <w:t>1000</w:t>
            </w:r>
          </w:p>
        </w:tc>
        <w:tc>
          <w:tcPr>
            <w:tcW w:w="749" w:type="pct"/>
            <w:vMerge w:val="restart"/>
            <w:vAlign w:val="center"/>
          </w:tcPr>
          <w:p w14:paraId="41936115">
            <w:pPr>
              <w:jc w:val="center"/>
              <w:rPr>
                <w:rFonts w:hint="eastAsia" w:eastAsia="仿宋_GB2312"/>
                <w:color w:val="auto"/>
                <w:kern w:val="0"/>
                <w:szCs w:val="21"/>
                <w:lang w:val="en-US" w:eastAsia="zh-CN" w:bidi="ar"/>
              </w:rPr>
            </w:pPr>
            <w:r>
              <w:rPr>
                <w:rFonts w:hint="eastAsia" w:eastAsia="仿宋_GB2312"/>
                <w:color w:val="auto"/>
                <w:kern w:val="0"/>
                <w:szCs w:val="21"/>
                <w:lang w:val="en-US" w:eastAsia="zh-CN" w:bidi="ar"/>
              </w:rPr>
              <w:t>3</w:t>
            </w:r>
          </w:p>
        </w:tc>
      </w:tr>
      <w:tr w14:paraId="3C4504F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12" w:type="pct"/>
            <w:vMerge w:val="continue"/>
            <w:shd w:val="clear" w:color="auto" w:fill="auto"/>
            <w:vAlign w:val="center"/>
          </w:tcPr>
          <w:p w14:paraId="00C6246C">
            <w:pPr>
              <w:widowControl/>
              <w:spacing w:line="300" w:lineRule="exact"/>
              <w:jc w:val="center"/>
              <w:rPr>
                <w:rFonts w:eastAsia="仿宋_GB2312"/>
                <w:color w:val="auto"/>
                <w:kern w:val="0"/>
                <w:szCs w:val="21"/>
              </w:rPr>
            </w:pPr>
          </w:p>
        </w:tc>
        <w:tc>
          <w:tcPr>
            <w:tcW w:w="1213" w:type="pct"/>
            <w:shd w:val="clear" w:color="auto" w:fill="auto"/>
            <w:vAlign w:val="center"/>
          </w:tcPr>
          <w:p w14:paraId="215D9C8C">
            <w:pPr>
              <w:widowControl/>
              <w:spacing w:line="300" w:lineRule="exact"/>
              <w:jc w:val="center"/>
              <w:rPr>
                <w:rFonts w:hint="default" w:ascii="Times New Roman" w:hAnsi="Times New Roman" w:eastAsia="仿宋_GB2312" w:cs="Times New Roman"/>
                <w:color w:val="auto"/>
                <w:kern w:val="0"/>
                <w:sz w:val="21"/>
                <w:szCs w:val="21"/>
                <w:lang w:val="en-US" w:eastAsia="zh-CN" w:bidi="ar-SA"/>
              </w:rPr>
            </w:pPr>
            <w:r>
              <w:rPr>
                <w:rFonts w:hint="eastAsia" w:eastAsia="仿宋_GB2312"/>
                <w:color w:val="auto"/>
                <w:kern w:val="0"/>
                <w:szCs w:val="21"/>
                <w:lang w:val="en-US" w:eastAsia="zh-CN"/>
              </w:rPr>
              <w:t>硫化氢</w:t>
            </w:r>
          </w:p>
        </w:tc>
        <w:tc>
          <w:tcPr>
            <w:tcW w:w="748" w:type="pct"/>
            <w:vAlign w:val="center"/>
          </w:tcPr>
          <w:p w14:paraId="45983F2E">
            <w:pPr>
              <w:jc w:val="center"/>
              <w:rPr>
                <w:rFonts w:hint="eastAsia" w:ascii="Times New Roman" w:hAnsi="Times New Roman" w:eastAsia="仿宋_GB2312" w:cs="Times New Roman"/>
                <w:color w:val="auto"/>
                <w:kern w:val="0"/>
                <w:szCs w:val="21"/>
                <w:lang w:val="en-US" w:eastAsia="zh-CN"/>
              </w:rPr>
            </w:pPr>
            <w:r>
              <w:rPr>
                <w:rFonts w:hint="eastAsia" w:ascii="Times New Roman" w:hAnsi="Times New Roman" w:eastAsia="仿宋_GB2312" w:cs="Times New Roman"/>
                <w:color w:val="auto"/>
                <w:kern w:val="0"/>
                <w:szCs w:val="21"/>
                <w:lang w:val="en-US" w:eastAsia="zh-CN"/>
              </w:rPr>
              <w:t>0.00012</w:t>
            </w:r>
          </w:p>
        </w:tc>
        <w:tc>
          <w:tcPr>
            <w:tcW w:w="776" w:type="pct"/>
            <w:shd w:val="clear" w:color="auto" w:fill="auto"/>
            <w:vAlign w:val="center"/>
          </w:tcPr>
          <w:p w14:paraId="2467DE04">
            <w:pPr>
              <w:widowControl/>
              <w:spacing w:line="300" w:lineRule="exact"/>
              <w:jc w:val="center"/>
              <w:rPr>
                <w:rFonts w:hint="default" w:ascii="Times New Roman" w:hAnsi="Times New Roman" w:eastAsia="仿宋_GB2312" w:cs="Times New Roman"/>
                <w:color w:val="auto"/>
                <w:kern w:val="0"/>
                <w:sz w:val="21"/>
                <w:szCs w:val="21"/>
                <w:lang w:val="en-US" w:eastAsia="zh-CN" w:bidi="ar-SA"/>
              </w:rPr>
            </w:pPr>
            <w:r>
              <w:rPr>
                <w:rFonts w:hint="eastAsia" w:eastAsia="仿宋_GB2312"/>
                <w:color w:val="auto"/>
                <w:kern w:val="0"/>
                <w:szCs w:val="21"/>
                <w:lang w:val="en-US" w:eastAsia="zh-CN"/>
              </w:rPr>
              <w:t>0.001</w:t>
            </w:r>
          </w:p>
        </w:tc>
        <w:tc>
          <w:tcPr>
            <w:tcW w:w="699" w:type="pct"/>
            <w:vMerge w:val="continue"/>
            <w:vAlign w:val="center"/>
          </w:tcPr>
          <w:p w14:paraId="2A507F96">
            <w:pPr>
              <w:jc w:val="center"/>
              <w:rPr>
                <w:rFonts w:eastAsia="仿宋_GB2312"/>
                <w:color w:val="FF0000"/>
                <w:kern w:val="0"/>
                <w:szCs w:val="21"/>
                <w:lang w:bidi="ar"/>
              </w:rPr>
            </w:pPr>
          </w:p>
        </w:tc>
        <w:tc>
          <w:tcPr>
            <w:tcW w:w="749" w:type="pct"/>
            <w:vMerge w:val="continue"/>
            <w:vAlign w:val="center"/>
          </w:tcPr>
          <w:p w14:paraId="719ED42E">
            <w:pPr>
              <w:jc w:val="center"/>
              <w:rPr>
                <w:rFonts w:eastAsia="仿宋_GB2312"/>
                <w:color w:val="FF0000"/>
                <w:kern w:val="0"/>
                <w:szCs w:val="21"/>
                <w:lang w:bidi="ar"/>
              </w:rPr>
            </w:pPr>
          </w:p>
        </w:tc>
      </w:tr>
      <w:tr w14:paraId="78DDC4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12" w:type="pct"/>
            <w:vMerge w:val="continue"/>
            <w:shd w:val="clear" w:color="auto" w:fill="auto"/>
            <w:vAlign w:val="center"/>
          </w:tcPr>
          <w:p w14:paraId="2B4015DC">
            <w:pPr>
              <w:widowControl/>
              <w:spacing w:line="300" w:lineRule="exact"/>
              <w:jc w:val="center"/>
              <w:rPr>
                <w:rFonts w:eastAsia="仿宋_GB2312"/>
                <w:color w:val="auto"/>
                <w:kern w:val="0"/>
                <w:szCs w:val="21"/>
              </w:rPr>
            </w:pPr>
          </w:p>
        </w:tc>
        <w:tc>
          <w:tcPr>
            <w:tcW w:w="1213" w:type="pct"/>
            <w:shd w:val="clear" w:color="auto" w:fill="auto"/>
            <w:vAlign w:val="center"/>
          </w:tcPr>
          <w:p w14:paraId="1DB52974">
            <w:pPr>
              <w:widowControl/>
              <w:spacing w:line="300" w:lineRule="exact"/>
              <w:jc w:val="center"/>
              <w:rPr>
                <w:rFonts w:hint="default" w:ascii="Times New Roman" w:hAnsi="Times New Roman" w:eastAsia="仿宋_GB2312" w:cs="Times New Roman"/>
                <w:color w:val="auto"/>
                <w:kern w:val="0"/>
                <w:sz w:val="21"/>
                <w:szCs w:val="21"/>
                <w:lang w:val="en-US" w:eastAsia="zh-CN" w:bidi="ar-SA"/>
              </w:rPr>
            </w:pPr>
            <w:r>
              <w:rPr>
                <w:rFonts w:hint="eastAsia" w:eastAsia="仿宋_GB2312"/>
                <w:color w:val="auto"/>
                <w:kern w:val="0"/>
                <w:szCs w:val="21"/>
                <w:lang w:val="en-US" w:eastAsia="zh-CN"/>
              </w:rPr>
              <w:t>非甲烷总烃</w:t>
            </w:r>
          </w:p>
        </w:tc>
        <w:tc>
          <w:tcPr>
            <w:tcW w:w="748" w:type="pct"/>
            <w:vAlign w:val="center"/>
          </w:tcPr>
          <w:p w14:paraId="31ED240C">
            <w:pPr>
              <w:jc w:val="center"/>
              <w:rPr>
                <w:rFonts w:hint="eastAsia" w:ascii="Times New Roman" w:hAnsi="Times New Roman" w:eastAsia="仿宋_GB2312" w:cs="Times New Roman"/>
                <w:color w:val="auto"/>
                <w:kern w:val="0"/>
                <w:szCs w:val="21"/>
                <w:lang w:val="en-US" w:eastAsia="zh-CN"/>
              </w:rPr>
            </w:pPr>
            <w:r>
              <w:rPr>
                <w:rFonts w:hint="eastAsia" w:ascii="Times New Roman" w:hAnsi="Times New Roman" w:eastAsia="仿宋_GB2312" w:cs="Times New Roman"/>
                <w:color w:val="auto"/>
                <w:kern w:val="0"/>
                <w:szCs w:val="21"/>
                <w:lang w:val="en-US" w:eastAsia="zh-CN"/>
              </w:rPr>
              <w:t>0.0036</w:t>
            </w:r>
          </w:p>
        </w:tc>
        <w:tc>
          <w:tcPr>
            <w:tcW w:w="776" w:type="pct"/>
            <w:shd w:val="clear" w:color="auto" w:fill="auto"/>
            <w:vAlign w:val="center"/>
          </w:tcPr>
          <w:p w14:paraId="4867C87F">
            <w:pPr>
              <w:widowControl/>
              <w:spacing w:line="300" w:lineRule="exact"/>
              <w:jc w:val="center"/>
              <w:rPr>
                <w:rFonts w:hint="default" w:ascii="Times New Roman" w:hAnsi="Times New Roman" w:eastAsia="仿宋_GB2312" w:cs="Times New Roman"/>
                <w:color w:val="auto"/>
                <w:kern w:val="0"/>
                <w:sz w:val="21"/>
                <w:szCs w:val="21"/>
                <w:lang w:val="en-US" w:eastAsia="zh-CN" w:bidi="ar-SA"/>
              </w:rPr>
            </w:pPr>
            <w:r>
              <w:rPr>
                <w:rFonts w:hint="eastAsia" w:eastAsia="仿宋_GB2312"/>
                <w:color w:val="auto"/>
                <w:kern w:val="0"/>
                <w:szCs w:val="21"/>
                <w:lang w:val="en-US" w:eastAsia="zh-CN"/>
              </w:rPr>
              <w:t>0.03</w:t>
            </w:r>
          </w:p>
        </w:tc>
        <w:tc>
          <w:tcPr>
            <w:tcW w:w="699" w:type="pct"/>
            <w:vMerge w:val="continue"/>
            <w:vAlign w:val="center"/>
          </w:tcPr>
          <w:p w14:paraId="36A99F8C">
            <w:pPr>
              <w:jc w:val="center"/>
              <w:rPr>
                <w:rFonts w:eastAsia="仿宋_GB2312"/>
                <w:color w:val="FF0000"/>
                <w:kern w:val="0"/>
                <w:szCs w:val="21"/>
                <w:lang w:bidi="ar"/>
              </w:rPr>
            </w:pPr>
          </w:p>
        </w:tc>
        <w:tc>
          <w:tcPr>
            <w:tcW w:w="749" w:type="pct"/>
            <w:vMerge w:val="continue"/>
            <w:vAlign w:val="center"/>
          </w:tcPr>
          <w:p w14:paraId="6C640D7D">
            <w:pPr>
              <w:jc w:val="center"/>
              <w:rPr>
                <w:rFonts w:eastAsia="仿宋_GB2312"/>
                <w:color w:val="FF0000"/>
                <w:kern w:val="0"/>
                <w:szCs w:val="21"/>
                <w:lang w:bidi="ar"/>
              </w:rPr>
            </w:pPr>
          </w:p>
        </w:tc>
      </w:tr>
    </w:tbl>
    <w:p w14:paraId="6B21B21E">
      <w:pPr>
        <w:snapToGrid w:val="0"/>
        <w:spacing w:line="500" w:lineRule="exact"/>
        <w:ind w:firstLine="561"/>
        <w:rPr>
          <w:rFonts w:eastAsia="仿宋_GB2312"/>
          <w:color w:val="FF0000"/>
          <w:sz w:val="28"/>
          <w:szCs w:val="28"/>
        </w:rPr>
      </w:pPr>
    </w:p>
    <w:p w14:paraId="608032AA">
      <w:pPr>
        <w:snapToGrid w:val="0"/>
        <w:spacing w:line="500" w:lineRule="exact"/>
        <w:ind w:firstLine="561"/>
        <w:rPr>
          <w:rFonts w:eastAsia="仿宋_GB2312"/>
          <w:color w:val="FF0000"/>
          <w:sz w:val="28"/>
          <w:szCs w:val="28"/>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linePitch="286" w:charSpace="0"/>
        </w:sectPr>
      </w:pPr>
    </w:p>
    <w:p w14:paraId="3124835E">
      <w:pPr>
        <w:spacing w:line="500" w:lineRule="exact"/>
        <w:ind w:firstLine="281" w:firstLineChars="100"/>
        <w:jc w:val="left"/>
        <w:outlineLvl w:val="3"/>
        <w:rPr>
          <w:rFonts w:eastAsia="仿宋_GB2312"/>
          <w:b/>
          <w:bCs/>
          <w:color w:val="auto"/>
          <w:sz w:val="28"/>
          <w:szCs w:val="28"/>
        </w:rPr>
      </w:pPr>
      <w:r>
        <w:rPr>
          <w:rFonts w:eastAsia="仿宋_GB2312"/>
          <w:b/>
          <w:bCs/>
          <w:color w:val="auto"/>
          <w:sz w:val="28"/>
          <w:szCs w:val="28"/>
        </w:rPr>
        <w:t>3.</w:t>
      </w:r>
      <w:r>
        <w:rPr>
          <w:rFonts w:hint="eastAsia" w:eastAsia="仿宋_GB2312"/>
          <w:b/>
          <w:bCs/>
          <w:color w:val="auto"/>
          <w:sz w:val="28"/>
          <w:szCs w:val="28"/>
          <w:lang w:val="en-US" w:eastAsia="zh-CN"/>
        </w:rPr>
        <w:t>9</w:t>
      </w:r>
      <w:r>
        <w:rPr>
          <w:rFonts w:eastAsia="仿宋_GB2312"/>
          <w:b/>
          <w:bCs/>
          <w:color w:val="auto"/>
          <w:sz w:val="28"/>
          <w:szCs w:val="28"/>
        </w:rPr>
        <w:t>.1.3非正常工况下废气源强</w:t>
      </w:r>
    </w:p>
    <w:p w14:paraId="60D07E4B">
      <w:pPr>
        <w:adjustRightInd w:val="0"/>
        <w:snapToGrid w:val="0"/>
        <w:spacing w:line="500" w:lineRule="exact"/>
        <w:ind w:firstLine="560" w:firstLineChars="200"/>
        <w:rPr>
          <w:rFonts w:eastAsia="仿宋_GB2312"/>
          <w:color w:val="auto"/>
          <w:sz w:val="28"/>
          <w:szCs w:val="28"/>
        </w:rPr>
      </w:pPr>
      <w:r>
        <w:rPr>
          <w:rFonts w:eastAsia="仿宋_GB2312"/>
          <w:color w:val="auto"/>
          <w:sz w:val="28"/>
          <w:szCs w:val="28"/>
        </w:rPr>
        <w:t>非正常工况主要包括开车、停车、事故和检修工况，在分析本项目生产工艺的基础上可知，本项目工艺过程中存在的非正常工况主要为：</w:t>
      </w:r>
      <w:r>
        <w:rPr>
          <w:rFonts w:eastAsia="仿宋_GB2312"/>
          <w:color w:val="auto"/>
          <w:sz w:val="28"/>
          <w:szCs w:val="28"/>
        </w:rPr>
        <w:fldChar w:fldCharType="begin"/>
      </w:r>
      <w:r>
        <w:rPr>
          <w:rFonts w:eastAsia="仿宋_GB2312"/>
          <w:color w:val="auto"/>
          <w:sz w:val="28"/>
          <w:szCs w:val="28"/>
        </w:rPr>
        <w:instrText xml:space="preserve"> = 1 \* GB3 </w:instrText>
      </w:r>
      <w:r>
        <w:rPr>
          <w:rFonts w:eastAsia="仿宋_GB2312"/>
          <w:color w:val="auto"/>
          <w:sz w:val="28"/>
          <w:szCs w:val="28"/>
        </w:rPr>
        <w:fldChar w:fldCharType="separate"/>
      </w:r>
      <w:r>
        <w:rPr>
          <w:rFonts w:hint="eastAsia" w:eastAsia="仿宋_GB2312"/>
          <w:color w:val="auto"/>
          <w:sz w:val="28"/>
          <w:szCs w:val="28"/>
        </w:rPr>
        <w:t>①</w:t>
      </w:r>
      <w:r>
        <w:rPr>
          <w:rFonts w:eastAsia="仿宋_GB2312"/>
          <w:color w:val="auto"/>
          <w:sz w:val="28"/>
          <w:szCs w:val="28"/>
        </w:rPr>
        <w:fldChar w:fldCharType="end"/>
      </w:r>
      <w:r>
        <w:rPr>
          <w:rFonts w:eastAsia="仿宋_GB2312"/>
          <w:color w:val="auto"/>
          <w:sz w:val="28"/>
          <w:szCs w:val="28"/>
        </w:rPr>
        <w:t>生产过程中系统压力异常、管路流量异常，此时生产过程废气产生量可能远高于正常工况排放；</w:t>
      </w:r>
      <w:r>
        <w:rPr>
          <w:rFonts w:eastAsia="仿宋_GB2312"/>
          <w:color w:val="auto"/>
          <w:sz w:val="28"/>
          <w:szCs w:val="28"/>
        </w:rPr>
        <w:fldChar w:fldCharType="begin"/>
      </w:r>
      <w:r>
        <w:rPr>
          <w:rFonts w:eastAsia="仿宋_GB2312"/>
          <w:color w:val="auto"/>
          <w:sz w:val="28"/>
          <w:szCs w:val="28"/>
        </w:rPr>
        <w:instrText xml:space="preserve"> = 2 \* GB3 </w:instrText>
      </w:r>
      <w:r>
        <w:rPr>
          <w:rFonts w:eastAsia="仿宋_GB2312"/>
          <w:color w:val="auto"/>
          <w:sz w:val="28"/>
          <w:szCs w:val="28"/>
        </w:rPr>
        <w:fldChar w:fldCharType="separate"/>
      </w:r>
      <w:r>
        <w:rPr>
          <w:rFonts w:hint="eastAsia" w:eastAsia="仿宋_GB2312"/>
          <w:color w:val="auto"/>
          <w:sz w:val="28"/>
          <w:szCs w:val="28"/>
        </w:rPr>
        <w:t>②</w:t>
      </w:r>
      <w:r>
        <w:rPr>
          <w:rFonts w:eastAsia="仿宋_GB2312"/>
          <w:color w:val="auto"/>
          <w:sz w:val="28"/>
          <w:szCs w:val="28"/>
        </w:rPr>
        <w:fldChar w:fldCharType="end"/>
      </w:r>
      <w:r>
        <w:rPr>
          <w:rFonts w:eastAsia="仿宋_GB2312"/>
          <w:color w:val="auto"/>
          <w:sz w:val="28"/>
          <w:szCs w:val="28"/>
        </w:rPr>
        <w:t>废气的非正常排放即废气处理装置出现故障，此时工艺生产过程排放的废气将未经有效处理直接排入大气，导致有组织废气排放速率和浓度仍远高于正常工况。本项目非正常工况具体排放情况见表3.</w:t>
      </w:r>
      <w:r>
        <w:rPr>
          <w:rFonts w:hint="eastAsia" w:eastAsia="仿宋_GB2312"/>
          <w:color w:val="auto"/>
          <w:sz w:val="28"/>
          <w:szCs w:val="28"/>
          <w:lang w:val="en-US" w:eastAsia="zh-CN"/>
        </w:rPr>
        <w:t>9</w:t>
      </w:r>
      <w:r>
        <w:rPr>
          <w:rFonts w:eastAsia="仿宋_GB2312"/>
          <w:color w:val="auto"/>
          <w:sz w:val="28"/>
          <w:szCs w:val="28"/>
        </w:rPr>
        <w:t>-</w:t>
      </w:r>
      <w:r>
        <w:rPr>
          <w:rFonts w:hint="eastAsia" w:eastAsia="仿宋_GB2312"/>
          <w:color w:val="auto"/>
          <w:sz w:val="28"/>
          <w:szCs w:val="28"/>
          <w:lang w:val="en-US" w:eastAsia="zh-CN"/>
        </w:rPr>
        <w:t>6</w:t>
      </w:r>
      <w:r>
        <w:rPr>
          <w:rFonts w:eastAsia="仿宋_GB2312"/>
          <w:color w:val="auto"/>
          <w:sz w:val="28"/>
          <w:szCs w:val="28"/>
        </w:rPr>
        <w:t>。</w:t>
      </w:r>
    </w:p>
    <w:p w14:paraId="3989F896">
      <w:pPr>
        <w:widowControl/>
        <w:spacing w:line="500" w:lineRule="exact"/>
        <w:jc w:val="center"/>
        <w:rPr>
          <w:rFonts w:eastAsia="仿宋_GB2312"/>
          <w:b/>
          <w:color w:val="auto"/>
          <w:sz w:val="24"/>
        </w:rPr>
      </w:pPr>
      <w:r>
        <w:rPr>
          <w:rFonts w:eastAsia="仿宋_GB2312"/>
          <w:b/>
          <w:color w:val="auto"/>
          <w:sz w:val="24"/>
        </w:rPr>
        <w:t>表3.</w:t>
      </w:r>
      <w:r>
        <w:rPr>
          <w:rFonts w:hint="eastAsia" w:eastAsia="仿宋_GB2312"/>
          <w:b/>
          <w:color w:val="auto"/>
          <w:sz w:val="24"/>
          <w:lang w:val="en-US" w:eastAsia="zh-CN"/>
        </w:rPr>
        <w:t>9</w:t>
      </w:r>
      <w:r>
        <w:rPr>
          <w:rFonts w:eastAsia="仿宋_GB2312"/>
          <w:b/>
          <w:color w:val="auto"/>
          <w:sz w:val="24"/>
        </w:rPr>
        <w:t>-</w:t>
      </w:r>
      <w:r>
        <w:rPr>
          <w:rFonts w:hint="eastAsia" w:eastAsia="仿宋_GB2312"/>
          <w:b/>
          <w:color w:val="auto"/>
          <w:sz w:val="24"/>
          <w:lang w:val="en-US" w:eastAsia="zh-CN"/>
        </w:rPr>
        <w:t>6</w:t>
      </w:r>
      <w:r>
        <w:rPr>
          <w:rFonts w:eastAsia="仿宋_GB2312"/>
          <w:b/>
          <w:color w:val="auto"/>
          <w:sz w:val="24"/>
        </w:rPr>
        <w:t xml:space="preserve">  非正常工况下废气产生源强表</w:t>
      </w:r>
    </w:p>
    <w:tbl>
      <w:tblPr>
        <w:tblStyle w:val="88"/>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242"/>
        <w:gridCol w:w="1702"/>
        <w:gridCol w:w="1560"/>
        <w:gridCol w:w="1415"/>
        <w:gridCol w:w="1277"/>
        <w:gridCol w:w="1326"/>
      </w:tblGrid>
      <w:tr w14:paraId="641CCF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84" w:hRule="atLeast"/>
          <w:tblHeader/>
          <w:jc w:val="center"/>
        </w:trPr>
        <w:tc>
          <w:tcPr>
            <w:tcW w:w="728" w:type="pct"/>
            <w:vAlign w:val="center"/>
          </w:tcPr>
          <w:p w14:paraId="7D125733">
            <w:pPr>
              <w:snapToGrid w:val="0"/>
              <w:spacing w:line="320" w:lineRule="exact"/>
              <w:jc w:val="center"/>
              <w:rPr>
                <w:rFonts w:eastAsia="仿宋_GB2312"/>
                <w:b/>
                <w:color w:val="auto"/>
                <w:szCs w:val="21"/>
              </w:rPr>
            </w:pPr>
            <w:r>
              <w:rPr>
                <w:rFonts w:eastAsia="仿宋_GB2312"/>
                <w:b/>
                <w:color w:val="auto"/>
                <w:szCs w:val="21"/>
              </w:rPr>
              <w:t>非正常排放源</w:t>
            </w:r>
          </w:p>
        </w:tc>
        <w:tc>
          <w:tcPr>
            <w:tcW w:w="998" w:type="pct"/>
            <w:vAlign w:val="center"/>
          </w:tcPr>
          <w:p w14:paraId="43A82F05">
            <w:pPr>
              <w:adjustRightInd w:val="0"/>
              <w:snapToGrid w:val="0"/>
              <w:spacing w:line="320" w:lineRule="exact"/>
              <w:jc w:val="center"/>
              <w:rPr>
                <w:rFonts w:eastAsia="仿宋_GB2312"/>
                <w:b/>
                <w:color w:val="auto"/>
                <w:szCs w:val="21"/>
              </w:rPr>
            </w:pPr>
            <w:r>
              <w:rPr>
                <w:rFonts w:eastAsia="仿宋_GB2312"/>
                <w:b/>
                <w:color w:val="auto"/>
                <w:szCs w:val="21"/>
              </w:rPr>
              <w:t>非正常排放原因</w:t>
            </w:r>
          </w:p>
        </w:tc>
        <w:tc>
          <w:tcPr>
            <w:tcW w:w="915" w:type="pct"/>
            <w:vAlign w:val="center"/>
          </w:tcPr>
          <w:p w14:paraId="2620B772">
            <w:pPr>
              <w:snapToGrid w:val="0"/>
              <w:spacing w:line="320" w:lineRule="exact"/>
              <w:jc w:val="center"/>
              <w:rPr>
                <w:rFonts w:eastAsia="仿宋_GB2312"/>
                <w:b/>
                <w:color w:val="auto"/>
                <w:szCs w:val="21"/>
              </w:rPr>
            </w:pPr>
            <w:r>
              <w:rPr>
                <w:rFonts w:eastAsia="仿宋_GB2312"/>
                <w:b/>
                <w:color w:val="auto"/>
                <w:szCs w:val="21"/>
              </w:rPr>
              <w:t>污染物</w:t>
            </w:r>
          </w:p>
        </w:tc>
        <w:tc>
          <w:tcPr>
            <w:tcW w:w="830" w:type="pct"/>
            <w:vAlign w:val="center"/>
          </w:tcPr>
          <w:p w14:paraId="502A6814">
            <w:pPr>
              <w:adjustRightInd w:val="0"/>
              <w:snapToGrid w:val="0"/>
              <w:spacing w:line="320" w:lineRule="exact"/>
              <w:jc w:val="center"/>
              <w:rPr>
                <w:rFonts w:eastAsia="仿宋_GB2312"/>
                <w:b/>
                <w:bCs/>
                <w:color w:val="auto"/>
                <w:szCs w:val="21"/>
              </w:rPr>
            </w:pPr>
            <w:r>
              <w:rPr>
                <w:rFonts w:eastAsia="仿宋_GB2312"/>
                <w:b/>
                <w:bCs/>
                <w:color w:val="auto"/>
                <w:szCs w:val="21"/>
              </w:rPr>
              <w:t>非正常排放速率（kg/h）</w:t>
            </w:r>
          </w:p>
        </w:tc>
        <w:tc>
          <w:tcPr>
            <w:tcW w:w="749" w:type="pct"/>
            <w:vAlign w:val="center"/>
          </w:tcPr>
          <w:p w14:paraId="05E7B50A">
            <w:pPr>
              <w:adjustRightInd w:val="0"/>
              <w:snapToGrid w:val="0"/>
              <w:spacing w:line="320" w:lineRule="exact"/>
              <w:jc w:val="center"/>
              <w:rPr>
                <w:rFonts w:eastAsia="仿宋_GB2312"/>
                <w:b/>
                <w:bCs/>
                <w:color w:val="auto"/>
                <w:szCs w:val="21"/>
              </w:rPr>
            </w:pPr>
            <w:r>
              <w:rPr>
                <w:rFonts w:eastAsia="仿宋_GB2312"/>
                <w:b/>
                <w:bCs/>
                <w:color w:val="auto"/>
                <w:szCs w:val="21"/>
              </w:rPr>
              <w:t>单次持续时间（h）</w:t>
            </w:r>
          </w:p>
        </w:tc>
        <w:tc>
          <w:tcPr>
            <w:tcW w:w="777" w:type="pct"/>
            <w:vAlign w:val="center"/>
          </w:tcPr>
          <w:p w14:paraId="2518F815">
            <w:pPr>
              <w:adjustRightInd w:val="0"/>
              <w:snapToGrid w:val="0"/>
              <w:spacing w:line="320" w:lineRule="exact"/>
              <w:jc w:val="center"/>
              <w:rPr>
                <w:rFonts w:eastAsia="仿宋_GB2312"/>
                <w:b/>
                <w:bCs/>
                <w:color w:val="auto"/>
                <w:szCs w:val="21"/>
              </w:rPr>
            </w:pPr>
            <w:r>
              <w:rPr>
                <w:rFonts w:eastAsia="仿宋_GB2312"/>
                <w:b/>
                <w:bCs/>
                <w:color w:val="auto"/>
                <w:szCs w:val="21"/>
              </w:rPr>
              <w:t>年发生频次</w:t>
            </w:r>
          </w:p>
          <w:p w14:paraId="49F200FD">
            <w:pPr>
              <w:adjustRightInd w:val="0"/>
              <w:snapToGrid w:val="0"/>
              <w:spacing w:line="320" w:lineRule="exact"/>
              <w:jc w:val="center"/>
              <w:rPr>
                <w:rFonts w:eastAsia="仿宋_GB2312"/>
                <w:b/>
                <w:bCs/>
                <w:color w:val="auto"/>
                <w:szCs w:val="21"/>
              </w:rPr>
            </w:pPr>
            <w:r>
              <w:rPr>
                <w:rFonts w:eastAsia="仿宋_GB2312"/>
                <w:b/>
                <w:bCs/>
                <w:color w:val="auto"/>
                <w:szCs w:val="21"/>
              </w:rPr>
              <w:t>（次）</w:t>
            </w:r>
          </w:p>
        </w:tc>
      </w:tr>
      <w:tr w14:paraId="56F37B8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84" w:hRule="atLeast"/>
          <w:tblHeader/>
          <w:jc w:val="center"/>
        </w:trPr>
        <w:tc>
          <w:tcPr>
            <w:tcW w:w="728" w:type="pct"/>
            <w:vMerge w:val="restart"/>
            <w:vAlign w:val="center"/>
          </w:tcPr>
          <w:p w14:paraId="40407AE5">
            <w:pPr>
              <w:snapToGrid w:val="0"/>
              <w:spacing w:line="320" w:lineRule="exact"/>
              <w:jc w:val="center"/>
              <w:rPr>
                <w:rFonts w:eastAsia="仿宋_GB2312"/>
                <w:b/>
                <w:color w:val="auto"/>
                <w:szCs w:val="21"/>
              </w:rPr>
            </w:pPr>
            <w:r>
              <w:rPr>
                <w:rFonts w:eastAsia="仿宋_GB2312"/>
                <w:color w:val="auto"/>
                <w:szCs w:val="21"/>
              </w:rPr>
              <w:t>1#</w:t>
            </w:r>
            <w:r>
              <w:rPr>
                <w:rFonts w:eastAsia="仿宋_GB2312"/>
                <w:bCs/>
                <w:color w:val="auto"/>
                <w:szCs w:val="21"/>
              </w:rPr>
              <w:t>排气筒</w:t>
            </w:r>
          </w:p>
        </w:tc>
        <w:tc>
          <w:tcPr>
            <w:tcW w:w="998" w:type="pct"/>
            <w:vMerge w:val="restart"/>
            <w:vAlign w:val="center"/>
          </w:tcPr>
          <w:p w14:paraId="04B7741E">
            <w:pPr>
              <w:adjustRightInd w:val="0"/>
              <w:snapToGrid w:val="0"/>
              <w:spacing w:line="320" w:lineRule="exact"/>
              <w:jc w:val="center"/>
              <w:rPr>
                <w:rFonts w:eastAsia="仿宋_GB2312"/>
                <w:b/>
                <w:color w:val="auto"/>
                <w:szCs w:val="21"/>
              </w:rPr>
            </w:pPr>
            <w:r>
              <w:rPr>
                <w:rFonts w:eastAsia="仿宋_GB2312"/>
                <w:color w:val="auto"/>
                <w:szCs w:val="21"/>
              </w:rPr>
              <w:t>焚烧炉故障</w:t>
            </w:r>
          </w:p>
        </w:tc>
        <w:tc>
          <w:tcPr>
            <w:tcW w:w="915" w:type="pct"/>
            <w:shd w:val="clear" w:color="auto" w:fill="auto"/>
            <w:vAlign w:val="center"/>
          </w:tcPr>
          <w:p w14:paraId="0CEE5CF9">
            <w:pPr>
              <w:adjustRightInd w:val="0"/>
              <w:snapToGrid w:val="0"/>
              <w:spacing w:line="320" w:lineRule="exact"/>
              <w:jc w:val="center"/>
              <w:rPr>
                <w:rFonts w:ascii="Times New Roman" w:hAnsi="Times New Roman" w:eastAsia="仿宋_GB2312" w:cs="Times New Roman"/>
                <w:color w:val="auto"/>
                <w:kern w:val="2"/>
                <w:sz w:val="21"/>
                <w:szCs w:val="21"/>
                <w:lang w:val="en-US" w:eastAsia="zh-CN" w:bidi="ar-SA"/>
              </w:rPr>
            </w:pPr>
            <w:r>
              <w:rPr>
                <w:rFonts w:eastAsia="仿宋_GB2312"/>
                <w:color w:val="auto"/>
                <w:szCs w:val="21"/>
              </w:rPr>
              <w:t>NMP</w:t>
            </w:r>
          </w:p>
        </w:tc>
        <w:tc>
          <w:tcPr>
            <w:tcW w:w="830" w:type="pct"/>
            <w:vAlign w:val="center"/>
          </w:tcPr>
          <w:p w14:paraId="2F71672B">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0.1394</w:t>
            </w:r>
          </w:p>
        </w:tc>
        <w:tc>
          <w:tcPr>
            <w:tcW w:w="749" w:type="pct"/>
            <w:vMerge w:val="restart"/>
            <w:vAlign w:val="center"/>
          </w:tcPr>
          <w:p w14:paraId="2C8FA4A1">
            <w:pPr>
              <w:adjustRightInd w:val="0"/>
              <w:snapToGrid w:val="0"/>
              <w:spacing w:line="320" w:lineRule="exact"/>
              <w:jc w:val="center"/>
              <w:rPr>
                <w:rFonts w:eastAsia="仿宋_GB2312"/>
                <w:b/>
                <w:bCs/>
                <w:color w:val="auto"/>
                <w:szCs w:val="21"/>
              </w:rPr>
            </w:pPr>
            <w:r>
              <w:rPr>
                <w:rFonts w:eastAsia="仿宋_GB2312"/>
                <w:color w:val="auto"/>
                <w:szCs w:val="21"/>
              </w:rPr>
              <w:t>≤1</w:t>
            </w:r>
          </w:p>
        </w:tc>
        <w:tc>
          <w:tcPr>
            <w:tcW w:w="777" w:type="pct"/>
            <w:vMerge w:val="restart"/>
            <w:vAlign w:val="center"/>
          </w:tcPr>
          <w:p w14:paraId="1DAB7D52">
            <w:pPr>
              <w:adjustRightInd w:val="0"/>
              <w:snapToGrid w:val="0"/>
              <w:spacing w:line="320" w:lineRule="exact"/>
              <w:jc w:val="center"/>
              <w:rPr>
                <w:rFonts w:eastAsia="仿宋_GB2312"/>
                <w:b/>
                <w:bCs/>
                <w:color w:val="auto"/>
                <w:szCs w:val="21"/>
              </w:rPr>
            </w:pPr>
            <w:r>
              <w:rPr>
                <w:rFonts w:eastAsia="仿宋_GB2312"/>
                <w:color w:val="auto"/>
                <w:szCs w:val="21"/>
              </w:rPr>
              <w:t>≤1</w:t>
            </w:r>
          </w:p>
        </w:tc>
      </w:tr>
      <w:tr w14:paraId="63DA63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84" w:hRule="atLeast"/>
          <w:tblHeader/>
          <w:jc w:val="center"/>
        </w:trPr>
        <w:tc>
          <w:tcPr>
            <w:tcW w:w="728" w:type="pct"/>
            <w:vMerge w:val="continue"/>
            <w:vAlign w:val="center"/>
          </w:tcPr>
          <w:p w14:paraId="55D76BA5">
            <w:pPr>
              <w:snapToGrid w:val="0"/>
              <w:spacing w:line="320" w:lineRule="exact"/>
              <w:jc w:val="center"/>
              <w:rPr>
                <w:rFonts w:eastAsia="仿宋_GB2312"/>
                <w:b/>
                <w:color w:val="FF0000"/>
                <w:szCs w:val="21"/>
              </w:rPr>
            </w:pPr>
          </w:p>
        </w:tc>
        <w:tc>
          <w:tcPr>
            <w:tcW w:w="998" w:type="pct"/>
            <w:vMerge w:val="continue"/>
            <w:vAlign w:val="center"/>
          </w:tcPr>
          <w:p w14:paraId="44498536">
            <w:pPr>
              <w:adjustRightInd w:val="0"/>
              <w:snapToGrid w:val="0"/>
              <w:spacing w:line="320" w:lineRule="exact"/>
              <w:jc w:val="center"/>
              <w:rPr>
                <w:rFonts w:eastAsia="仿宋_GB2312"/>
                <w:b/>
                <w:color w:val="FF0000"/>
                <w:szCs w:val="21"/>
              </w:rPr>
            </w:pPr>
          </w:p>
        </w:tc>
        <w:tc>
          <w:tcPr>
            <w:tcW w:w="915" w:type="pct"/>
            <w:shd w:val="clear" w:color="auto" w:fill="auto"/>
            <w:vAlign w:val="center"/>
          </w:tcPr>
          <w:p w14:paraId="53885483">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color w:val="auto"/>
                <w:szCs w:val="21"/>
              </w:rPr>
              <w:t>异丙醇</w:t>
            </w:r>
          </w:p>
        </w:tc>
        <w:tc>
          <w:tcPr>
            <w:tcW w:w="830" w:type="pct"/>
            <w:vAlign w:val="center"/>
          </w:tcPr>
          <w:p w14:paraId="301F1502">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0.0898</w:t>
            </w:r>
          </w:p>
        </w:tc>
        <w:tc>
          <w:tcPr>
            <w:tcW w:w="749" w:type="pct"/>
            <w:vMerge w:val="continue"/>
            <w:vAlign w:val="center"/>
          </w:tcPr>
          <w:p w14:paraId="3375CB63">
            <w:pPr>
              <w:adjustRightInd w:val="0"/>
              <w:snapToGrid w:val="0"/>
              <w:spacing w:line="320" w:lineRule="exact"/>
              <w:jc w:val="center"/>
              <w:rPr>
                <w:rFonts w:eastAsia="仿宋_GB2312"/>
                <w:b/>
                <w:bCs/>
                <w:color w:val="FF0000"/>
                <w:szCs w:val="21"/>
              </w:rPr>
            </w:pPr>
          </w:p>
        </w:tc>
        <w:tc>
          <w:tcPr>
            <w:tcW w:w="777" w:type="pct"/>
            <w:vMerge w:val="continue"/>
            <w:vAlign w:val="center"/>
          </w:tcPr>
          <w:p w14:paraId="490870C0">
            <w:pPr>
              <w:adjustRightInd w:val="0"/>
              <w:snapToGrid w:val="0"/>
              <w:spacing w:line="320" w:lineRule="exact"/>
              <w:jc w:val="center"/>
              <w:rPr>
                <w:rFonts w:eastAsia="仿宋_GB2312"/>
                <w:b/>
                <w:bCs/>
                <w:color w:val="FF0000"/>
                <w:szCs w:val="21"/>
              </w:rPr>
            </w:pPr>
          </w:p>
        </w:tc>
      </w:tr>
      <w:tr w14:paraId="6AE39A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84" w:hRule="atLeast"/>
          <w:tblHeader/>
          <w:jc w:val="center"/>
        </w:trPr>
        <w:tc>
          <w:tcPr>
            <w:tcW w:w="728" w:type="pct"/>
            <w:vMerge w:val="continue"/>
            <w:vAlign w:val="center"/>
          </w:tcPr>
          <w:p w14:paraId="4C1A63C6">
            <w:pPr>
              <w:snapToGrid w:val="0"/>
              <w:spacing w:line="320" w:lineRule="exact"/>
              <w:jc w:val="center"/>
              <w:rPr>
                <w:rFonts w:eastAsia="仿宋_GB2312"/>
                <w:b/>
                <w:color w:val="FF0000"/>
                <w:szCs w:val="21"/>
              </w:rPr>
            </w:pPr>
          </w:p>
        </w:tc>
        <w:tc>
          <w:tcPr>
            <w:tcW w:w="998" w:type="pct"/>
            <w:vMerge w:val="continue"/>
            <w:vAlign w:val="center"/>
          </w:tcPr>
          <w:p w14:paraId="2B727AE6">
            <w:pPr>
              <w:adjustRightInd w:val="0"/>
              <w:snapToGrid w:val="0"/>
              <w:spacing w:line="320" w:lineRule="exact"/>
              <w:jc w:val="center"/>
              <w:rPr>
                <w:rFonts w:eastAsia="仿宋_GB2312"/>
                <w:b/>
                <w:color w:val="FF0000"/>
                <w:szCs w:val="21"/>
              </w:rPr>
            </w:pPr>
          </w:p>
        </w:tc>
        <w:tc>
          <w:tcPr>
            <w:tcW w:w="915" w:type="pct"/>
            <w:shd w:val="clear" w:color="auto" w:fill="auto"/>
            <w:vAlign w:val="center"/>
          </w:tcPr>
          <w:p w14:paraId="61E18678">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color w:val="auto"/>
                <w:szCs w:val="21"/>
              </w:rPr>
              <w:t>丁酮</w:t>
            </w:r>
          </w:p>
        </w:tc>
        <w:tc>
          <w:tcPr>
            <w:tcW w:w="830" w:type="pct"/>
            <w:vAlign w:val="center"/>
          </w:tcPr>
          <w:p w14:paraId="23F09D49">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1.6064</w:t>
            </w:r>
          </w:p>
        </w:tc>
        <w:tc>
          <w:tcPr>
            <w:tcW w:w="749" w:type="pct"/>
            <w:vMerge w:val="continue"/>
            <w:vAlign w:val="center"/>
          </w:tcPr>
          <w:p w14:paraId="60CEBE61">
            <w:pPr>
              <w:adjustRightInd w:val="0"/>
              <w:snapToGrid w:val="0"/>
              <w:spacing w:line="320" w:lineRule="exact"/>
              <w:jc w:val="center"/>
              <w:rPr>
                <w:rFonts w:eastAsia="仿宋_GB2312"/>
                <w:b/>
                <w:bCs/>
                <w:color w:val="FF0000"/>
                <w:szCs w:val="21"/>
              </w:rPr>
            </w:pPr>
          </w:p>
        </w:tc>
        <w:tc>
          <w:tcPr>
            <w:tcW w:w="777" w:type="pct"/>
            <w:vMerge w:val="continue"/>
            <w:vAlign w:val="center"/>
          </w:tcPr>
          <w:p w14:paraId="766A664D">
            <w:pPr>
              <w:adjustRightInd w:val="0"/>
              <w:snapToGrid w:val="0"/>
              <w:spacing w:line="320" w:lineRule="exact"/>
              <w:jc w:val="center"/>
              <w:rPr>
                <w:rFonts w:eastAsia="仿宋_GB2312"/>
                <w:b/>
                <w:bCs/>
                <w:color w:val="FF0000"/>
                <w:szCs w:val="21"/>
              </w:rPr>
            </w:pPr>
          </w:p>
        </w:tc>
      </w:tr>
      <w:tr w14:paraId="61A186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84" w:hRule="atLeast"/>
          <w:tblHeader/>
          <w:jc w:val="center"/>
        </w:trPr>
        <w:tc>
          <w:tcPr>
            <w:tcW w:w="728" w:type="pct"/>
            <w:vMerge w:val="continue"/>
            <w:vAlign w:val="center"/>
          </w:tcPr>
          <w:p w14:paraId="38B383B3">
            <w:pPr>
              <w:snapToGrid w:val="0"/>
              <w:spacing w:line="320" w:lineRule="exact"/>
              <w:jc w:val="center"/>
              <w:rPr>
                <w:rFonts w:eastAsia="仿宋_GB2312"/>
                <w:b/>
                <w:color w:val="FF0000"/>
                <w:szCs w:val="21"/>
              </w:rPr>
            </w:pPr>
          </w:p>
        </w:tc>
        <w:tc>
          <w:tcPr>
            <w:tcW w:w="998" w:type="pct"/>
            <w:vMerge w:val="continue"/>
            <w:vAlign w:val="center"/>
          </w:tcPr>
          <w:p w14:paraId="59D0316F">
            <w:pPr>
              <w:adjustRightInd w:val="0"/>
              <w:snapToGrid w:val="0"/>
              <w:spacing w:line="320" w:lineRule="exact"/>
              <w:jc w:val="center"/>
              <w:rPr>
                <w:rFonts w:eastAsia="仿宋_GB2312"/>
                <w:b/>
                <w:color w:val="FF0000"/>
                <w:szCs w:val="21"/>
              </w:rPr>
            </w:pPr>
          </w:p>
        </w:tc>
        <w:tc>
          <w:tcPr>
            <w:tcW w:w="915" w:type="pct"/>
            <w:shd w:val="clear" w:color="auto" w:fill="auto"/>
            <w:vAlign w:val="center"/>
          </w:tcPr>
          <w:p w14:paraId="23054D23">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color w:val="auto"/>
                <w:szCs w:val="21"/>
              </w:rPr>
              <w:t>乙醇</w:t>
            </w:r>
          </w:p>
        </w:tc>
        <w:tc>
          <w:tcPr>
            <w:tcW w:w="830" w:type="pct"/>
            <w:vAlign w:val="center"/>
          </w:tcPr>
          <w:p w14:paraId="1D6CFB14">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1.64</w:t>
            </w:r>
          </w:p>
        </w:tc>
        <w:tc>
          <w:tcPr>
            <w:tcW w:w="749" w:type="pct"/>
            <w:vMerge w:val="continue"/>
            <w:vAlign w:val="center"/>
          </w:tcPr>
          <w:p w14:paraId="78E8ED0D">
            <w:pPr>
              <w:adjustRightInd w:val="0"/>
              <w:snapToGrid w:val="0"/>
              <w:spacing w:line="320" w:lineRule="exact"/>
              <w:jc w:val="center"/>
              <w:rPr>
                <w:rFonts w:eastAsia="仿宋_GB2312"/>
                <w:b/>
                <w:bCs/>
                <w:color w:val="FF0000"/>
                <w:szCs w:val="21"/>
              </w:rPr>
            </w:pPr>
          </w:p>
        </w:tc>
        <w:tc>
          <w:tcPr>
            <w:tcW w:w="777" w:type="pct"/>
            <w:vMerge w:val="continue"/>
            <w:vAlign w:val="center"/>
          </w:tcPr>
          <w:p w14:paraId="1ADB142B">
            <w:pPr>
              <w:adjustRightInd w:val="0"/>
              <w:snapToGrid w:val="0"/>
              <w:spacing w:line="320" w:lineRule="exact"/>
              <w:jc w:val="center"/>
              <w:rPr>
                <w:rFonts w:eastAsia="仿宋_GB2312"/>
                <w:b/>
                <w:bCs/>
                <w:color w:val="FF0000"/>
                <w:szCs w:val="21"/>
              </w:rPr>
            </w:pPr>
          </w:p>
        </w:tc>
      </w:tr>
      <w:tr w14:paraId="3F3CB2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84" w:hRule="atLeast"/>
          <w:tblHeader/>
          <w:jc w:val="center"/>
        </w:trPr>
        <w:tc>
          <w:tcPr>
            <w:tcW w:w="728" w:type="pct"/>
            <w:vMerge w:val="continue"/>
            <w:vAlign w:val="center"/>
          </w:tcPr>
          <w:p w14:paraId="0CB642CE">
            <w:pPr>
              <w:snapToGrid w:val="0"/>
              <w:spacing w:line="320" w:lineRule="exact"/>
              <w:jc w:val="center"/>
              <w:rPr>
                <w:rFonts w:eastAsia="仿宋_GB2312"/>
                <w:b/>
                <w:color w:val="FF0000"/>
                <w:szCs w:val="21"/>
              </w:rPr>
            </w:pPr>
          </w:p>
        </w:tc>
        <w:tc>
          <w:tcPr>
            <w:tcW w:w="998" w:type="pct"/>
            <w:vMerge w:val="continue"/>
            <w:vAlign w:val="center"/>
          </w:tcPr>
          <w:p w14:paraId="472D7F6D">
            <w:pPr>
              <w:adjustRightInd w:val="0"/>
              <w:snapToGrid w:val="0"/>
              <w:spacing w:line="320" w:lineRule="exact"/>
              <w:jc w:val="center"/>
              <w:rPr>
                <w:rFonts w:eastAsia="仿宋_GB2312"/>
                <w:b/>
                <w:color w:val="FF0000"/>
                <w:szCs w:val="21"/>
              </w:rPr>
            </w:pPr>
          </w:p>
        </w:tc>
        <w:tc>
          <w:tcPr>
            <w:tcW w:w="915" w:type="pct"/>
            <w:shd w:val="clear" w:color="auto" w:fill="auto"/>
            <w:vAlign w:val="center"/>
          </w:tcPr>
          <w:p w14:paraId="377E40FB">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color w:val="auto"/>
                <w:szCs w:val="21"/>
              </w:rPr>
              <w:t>乙酸乙酯</w:t>
            </w:r>
          </w:p>
        </w:tc>
        <w:tc>
          <w:tcPr>
            <w:tcW w:w="830" w:type="pct"/>
            <w:vAlign w:val="center"/>
          </w:tcPr>
          <w:p w14:paraId="018FA27F">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2.426</w:t>
            </w:r>
          </w:p>
        </w:tc>
        <w:tc>
          <w:tcPr>
            <w:tcW w:w="749" w:type="pct"/>
            <w:vMerge w:val="continue"/>
            <w:vAlign w:val="center"/>
          </w:tcPr>
          <w:p w14:paraId="7E599649">
            <w:pPr>
              <w:adjustRightInd w:val="0"/>
              <w:snapToGrid w:val="0"/>
              <w:spacing w:line="320" w:lineRule="exact"/>
              <w:jc w:val="center"/>
              <w:rPr>
                <w:rFonts w:eastAsia="仿宋_GB2312"/>
                <w:b/>
                <w:bCs/>
                <w:color w:val="FF0000"/>
                <w:szCs w:val="21"/>
              </w:rPr>
            </w:pPr>
          </w:p>
        </w:tc>
        <w:tc>
          <w:tcPr>
            <w:tcW w:w="777" w:type="pct"/>
            <w:vMerge w:val="continue"/>
            <w:vAlign w:val="center"/>
          </w:tcPr>
          <w:p w14:paraId="4DE7588B">
            <w:pPr>
              <w:adjustRightInd w:val="0"/>
              <w:snapToGrid w:val="0"/>
              <w:spacing w:line="320" w:lineRule="exact"/>
              <w:jc w:val="center"/>
              <w:rPr>
                <w:rFonts w:eastAsia="仿宋_GB2312"/>
                <w:b/>
                <w:bCs/>
                <w:color w:val="FF0000"/>
                <w:szCs w:val="21"/>
              </w:rPr>
            </w:pPr>
          </w:p>
        </w:tc>
      </w:tr>
      <w:tr w14:paraId="5E687D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84" w:hRule="atLeast"/>
          <w:tblHeader/>
          <w:jc w:val="center"/>
        </w:trPr>
        <w:tc>
          <w:tcPr>
            <w:tcW w:w="728" w:type="pct"/>
            <w:vMerge w:val="continue"/>
            <w:vAlign w:val="center"/>
          </w:tcPr>
          <w:p w14:paraId="16A32D73">
            <w:pPr>
              <w:snapToGrid w:val="0"/>
              <w:spacing w:line="320" w:lineRule="exact"/>
              <w:jc w:val="center"/>
              <w:rPr>
                <w:rFonts w:eastAsia="仿宋_GB2312"/>
                <w:b/>
                <w:color w:val="FF0000"/>
                <w:szCs w:val="21"/>
              </w:rPr>
            </w:pPr>
          </w:p>
        </w:tc>
        <w:tc>
          <w:tcPr>
            <w:tcW w:w="998" w:type="pct"/>
            <w:vMerge w:val="continue"/>
            <w:vAlign w:val="center"/>
          </w:tcPr>
          <w:p w14:paraId="0D134E40">
            <w:pPr>
              <w:adjustRightInd w:val="0"/>
              <w:snapToGrid w:val="0"/>
              <w:spacing w:line="320" w:lineRule="exact"/>
              <w:jc w:val="center"/>
              <w:rPr>
                <w:rFonts w:eastAsia="仿宋_GB2312"/>
                <w:b/>
                <w:color w:val="FF0000"/>
                <w:szCs w:val="21"/>
              </w:rPr>
            </w:pPr>
          </w:p>
        </w:tc>
        <w:tc>
          <w:tcPr>
            <w:tcW w:w="915" w:type="pct"/>
            <w:shd w:val="clear" w:color="auto" w:fill="auto"/>
            <w:vAlign w:val="center"/>
          </w:tcPr>
          <w:p w14:paraId="38ADACF1">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color w:val="auto"/>
                <w:szCs w:val="21"/>
              </w:rPr>
              <w:t>二氯甲烷</w:t>
            </w:r>
          </w:p>
        </w:tc>
        <w:tc>
          <w:tcPr>
            <w:tcW w:w="830" w:type="pct"/>
            <w:vAlign w:val="center"/>
          </w:tcPr>
          <w:p w14:paraId="79D05C29">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0.663</w:t>
            </w:r>
          </w:p>
        </w:tc>
        <w:tc>
          <w:tcPr>
            <w:tcW w:w="749" w:type="pct"/>
            <w:vMerge w:val="continue"/>
            <w:vAlign w:val="center"/>
          </w:tcPr>
          <w:p w14:paraId="496C7D17">
            <w:pPr>
              <w:adjustRightInd w:val="0"/>
              <w:snapToGrid w:val="0"/>
              <w:spacing w:line="320" w:lineRule="exact"/>
              <w:jc w:val="center"/>
              <w:rPr>
                <w:rFonts w:eastAsia="仿宋_GB2312"/>
                <w:b/>
                <w:bCs/>
                <w:color w:val="FF0000"/>
                <w:szCs w:val="21"/>
              </w:rPr>
            </w:pPr>
          </w:p>
        </w:tc>
        <w:tc>
          <w:tcPr>
            <w:tcW w:w="777" w:type="pct"/>
            <w:vMerge w:val="continue"/>
            <w:vAlign w:val="center"/>
          </w:tcPr>
          <w:p w14:paraId="6207C048">
            <w:pPr>
              <w:adjustRightInd w:val="0"/>
              <w:snapToGrid w:val="0"/>
              <w:spacing w:line="320" w:lineRule="exact"/>
              <w:jc w:val="center"/>
              <w:rPr>
                <w:rFonts w:eastAsia="仿宋_GB2312"/>
                <w:b/>
                <w:bCs/>
                <w:color w:val="FF0000"/>
                <w:szCs w:val="21"/>
              </w:rPr>
            </w:pPr>
          </w:p>
        </w:tc>
      </w:tr>
      <w:tr w14:paraId="37DFA2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84" w:hRule="atLeast"/>
          <w:tblHeader/>
          <w:jc w:val="center"/>
        </w:trPr>
        <w:tc>
          <w:tcPr>
            <w:tcW w:w="728" w:type="pct"/>
            <w:vMerge w:val="continue"/>
            <w:vAlign w:val="center"/>
          </w:tcPr>
          <w:p w14:paraId="69AAF2F3">
            <w:pPr>
              <w:snapToGrid w:val="0"/>
              <w:spacing w:line="320" w:lineRule="exact"/>
              <w:jc w:val="center"/>
              <w:rPr>
                <w:rFonts w:eastAsia="仿宋_GB2312"/>
                <w:b/>
                <w:color w:val="FF0000"/>
                <w:szCs w:val="21"/>
              </w:rPr>
            </w:pPr>
          </w:p>
        </w:tc>
        <w:tc>
          <w:tcPr>
            <w:tcW w:w="998" w:type="pct"/>
            <w:vMerge w:val="continue"/>
            <w:vAlign w:val="center"/>
          </w:tcPr>
          <w:p w14:paraId="5E373396">
            <w:pPr>
              <w:adjustRightInd w:val="0"/>
              <w:snapToGrid w:val="0"/>
              <w:spacing w:line="320" w:lineRule="exact"/>
              <w:jc w:val="center"/>
              <w:rPr>
                <w:rFonts w:eastAsia="仿宋_GB2312"/>
                <w:b/>
                <w:color w:val="FF0000"/>
                <w:szCs w:val="21"/>
              </w:rPr>
            </w:pPr>
          </w:p>
        </w:tc>
        <w:tc>
          <w:tcPr>
            <w:tcW w:w="915" w:type="pct"/>
            <w:shd w:val="clear" w:color="auto" w:fill="auto"/>
            <w:vAlign w:val="center"/>
          </w:tcPr>
          <w:p w14:paraId="06C2DD22">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color w:val="auto"/>
                <w:szCs w:val="21"/>
              </w:rPr>
              <w:t>乙酸丁酯</w:t>
            </w:r>
          </w:p>
        </w:tc>
        <w:tc>
          <w:tcPr>
            <w:tcW w:w="830" w:type="pct"/>
            <w:vAlign w:val="center"/>
          </w:tcPr>
          <w:p w14:paraId="7CAA1A72">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1.5854</w:t>
            </w:r>
          </w:p>
        </w:tc>
        <w:tc>
          <w:tcPr>
            <w:tcW w:w="749" w:type="pct"/>
            <w:vMerge w:val="continue"/>
            <w:vAlign w:val="center"/>
          </w:tcPr>
          <w:p w14:paraId="24C570FD">
            <w:pPr>
              <w:adjustRightInd w:val="0"/>
              <w:snapToGrid w:val="0"/>
              <w:spacing w:line="320" w:lineRule="exact"/>
              <w:jc w:val="center"/>
              <w:rPr>
                <w:rFonts w:eastAsia="仿宋_GB2312"/>
                <w:b/>
                <w:bCs/>
                <w:color w:val="FF0000"/>
                <w:szCs w:val="21"/>
              </w:rPr>
            </w:pPr>
          </w:p>
        </w:tc>
        <w:tc>
          <w:tcPr>
            <w:tcW w:w="777" w:type="pct"/>
            <w:vMerge w:val="continue"/>
            <w:vAlign w:val="center"/>
          </w:tcPr>
          <w:p w14:paraId="458C7134">
            <w:pPr>
              <w:adjustRightInd w:val="0"/>
              <w:snapToGrid w:val="0"/>
              <w:spacing w:line="320" w:lineRule="exact"/>
              <w:jc w:val="center"/>
              <w:rPr>
                <w:rFonts w:eastAsia="仿宋_GB2312"/>
                <w:b/>
                <w:bCs/>
                <w:color w:val="FF0000"/>
                <w:szCs w:val="21"/>
              </w:rPr>
            </w:pPr>
          </w:p>
        </w:tc>
      </w:tr>
      <w:tr w14:paraId="6E730B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84" w:hRule="atLeast"/>
          <w:tblHeader/>
          <w:jc w:val="center"/>
        </w:trPr>
        <w:tc>
          <w:tcPr>
            <w:tcW w:w="728" w:type="pct"/>
            <w:vMerge w:val="continue"/>
            <w:vAlign w:val="center"/>
          </w:tcPr>
          <w:p w14:paraId="19761E58">
            <w:pPr>
              <w:snapToGrid w:val="0"/>
              <w:spacing w:line="320" w:lineRule="exact"/>
              <w:jc w:val="center"/>
              <w:rPr>
                <w:rFonts w:eastAsia="仿宋_GB2312"/>
                <w:b/>
                <w:color w:val="FF0000"/>
                <w:szCs w:val="21"/>
              </w:rPr>
            </w:pPr>
          </w:p>
        </w:tc>
        <w:tc>
          <w:tcPr>
            <w:tcW w:w="998" w:type="pct"/>
            <w:vMerge w:val="continue"/>
            <w:vAlign w:val="center"/>
          </w:tcPr>
          <w:p w14:paraId="6376D774">
            <w:pPr>
              <w:adjustRightInd w:val="0"/>
              <w:snapToGrid w:val="0"/>
              <w:spacing w:line="320" w:lineRule="exact"/>
              <w:jc w:val="center"/>
              <w:rPr>
                <w:rFonts w:eastAsia="仿宋_GB2312"/>
                <w:b/>
                <w:color w:val="FF0000"/>
                <w:szCs w:val="21"/>
              </w:rPr>
            </w:pPr>
          </w:p>
        </w:tc>
        <w:tc>
          <w:tcPr>
            <w:tcW w:w="915" w:type="pct"/>
            <w:shd w:val="clear" w:color="auto" w:fill="auto"/>
            <w:vAlign w:val="center"/>
          </w:tcPr>
          <w:p w14:paraId="613473E6">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color w:val="auto"/>
                <w:szCs w:val="21"/>
              </w:rPr>
              <w:t>二甲苯</w:t>
            </w:r>
          </w:p>
        </w:tc>
        <w:tc>
          <w:tcPr>
            <w:tcW w:w="830" w:type="pct"/>
            <w:vAlign w:val="center"/>
          </w:tcPr>
          <w:p w14:paraId="344F3AF0">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0.158</w:t>
            </w:r>
          </w:p>
        </w:tc>
        <w:tc>
          <w:tcPr>
            <w:tcW w:w="749" w:type="pct"/>
            <w:vMerge w:val="continue"/>
            <w:vAlign w:val="center"/>
          </w:tcPr>
          <w:p w14:paraId="5E94D0BE">
            <w:pPr>
              <w:adjustRightInd w:val="0"/>
              <w:snapToGrid w:val="0"/>
              <w:spacing w:line="320" w:lineRule="exact"/>
              <w:jc w:val="center"/>
              <w:rPr>
                <w:rFonts w:eastAsia="仿宋_GB2312"/>
                <w:b/>
                <w:bCs/>
                <w:color w:val="FF0000"/>
                <w:szCs w:val="21"/>
              </w:rPr>
            </w:pPr>
          </w:p>
        </w:tc>
        <w:tc>
          <w:tcPr>
            <w:tcW w:w="777" w:type="pct"/>
            <w:vMerge w:val="continue"/>
            <w:vAlign w:val="center"/>
          </w:tcPr>
          <w:p w14:paraId="0E18F4C6">
            <w:pPr>
              <w:adjustRightInd w:val="0"/>
              <w:snapToGrid w:val="0"/>
              <w:spacing w:line="320" w:lineRule="exact"/>
              <w:jc w:val="center"/>
              <w:rPr>
                <w:rFonts w:eastAsia="仿宋_GB2312"/>
                <w:b/>
                <w:bCs/>
                <w:color w:val="FF0000"/>
                <w:szCs w:val="21"/>
              </w:rPr>
            </w:pPr>
          </w:p>
        </w:tc>
      </w:tr>
      <w:tr w14:paraId="324413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84" w:hRule="atLeast"/>
          <w:tblHeader/>
          <w:jc w:val="center"/>
        </w:trPr>
        <w:tc>
          <w:tcPr>
            <w:tcW w:w="728" w:type="pct"/>
            <w:vMerge w:val="continue"/>
            <w:vAlign w:val="center"/>
          </w:tcPr>
          <w:p w14:paraId="4E7BB143">
            <w:pPr>
              <w:snapToGrid w:val="0"/>
              <w:spacing w:line="320" w:lineRule="exact"/>
              <w:jc w:val="center"/>
              <w:rPr>
                <w:rFonts w:eastAsia="仿宋_GB2312"/>
                <w:b/>
                <w:color w:val="FF0000"/>
                <w:szCs w:val="21"/>
              </w:rPr>
            </w:pPr>
          </w:p>
        </w:tc>
        <w:tc>
          <w:tcPr>
            <w:tcW w:w="998" w:type="pct"/>
            <w:vMerge w:val="continue"/>
            <w:vAlign w:val="center"/>
          </w:tcPr>
          <w:p w14:paraId="7A4C3260">
            <w:pPr>
              <w:adjustRightInd w:val="0"/>
              <w:snapToGrid w:val="0"/>
              <w:spacing w:line="320" w:lineRule="exact"/>
              <w:jc w:val="center"/>
              <w:rPr>
                <w:rFonts w:eastAsia="仿宋_GB2312"/>
                <w:b/>
                <w:color w:val="FF0000"/>
                <w:szCs w:val="21"/>
              </w:rPr>
            </w:pPr>
          </w:p>
        </w:tc>
        <w:tc>
          <w:tcPr>
            <w:tcW w:w="915" w:type="pct"/>
            <w:shd w:val="clear" w:color="auto" w:fill="auto"/>
            <w:vAlign w:val="center"/>
          </w:tcPr>
          <w:p w14:paraId="58358150">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color w:val="auto"/>
                <w:szCs w:val="21"/>
              </w:rPr>
              <w:t>甲苯</w:t>
            </w:r>
          </w:p>
        </w:tc>
        <w:tc>
          <w:tcPr>
            <w:tcW w:w="830" w:type="pct"/>
            <w:vAlign w:val="center"/>
          </w:tcPr>
          <w:p w14:paraId="17AEBE65">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0.3164</w:t>
            </w:r>
          </w:p>
        </w:tc>
        <w:tc>
          <w:tcPr>
            <w:tcW w:w="749" w:type="pct"/>
            <w:vMerge w:val="continue"/>
            <w:vAlign w:val="center"/>
          </w:tcPr>
          <w:p w14:paraId="25CAE47C">
            <w:pPr>
              <w:adjustRightInd w:val="0"/>
              <w:snapToGrid w:val="0"/>
              <w:spacing w:line="320" w:lineRule="exact"/>
              <w:jc w:val="center"/>
              <w:rPr>
                <w:rFonts w:eastAsia="仿宋_GB2312"/>
                <w:b/>
                <w:bCs/>
                <w:color w:val="FF0000"/>
                <w:szCs w:val="21"/>
              </w:rPr>
            </w:pPr>
          </w:p>
        </w:tc>
        <w:tc>
          <w:tcPr>
            <w:tcW w:w="777" w:type="pct"/>
            <w:vMerge w:val="continue"/>
            <w:vAlign w:val="center"/>
          </w:tcPr>
          <w:p w14:paraId="73AC40EF">
            <w:pPr>
              <w:adjustRightInd w:val="0"/>
              <w:snapToGrid w:val="0"/>
              <w:spacing w:line="320" w:lineRule="exact"/>
              <w:jc w:val="center"/>
              <w:rPr>
                <w:rFonts w:eastAsia="仿宋_GB2312"/>
                <w:b/>
                <w:bCs/>
                <w:color w:val="FF0000"/>
                <w:szCs w:val="21"/>
              </w:rPr>
            </w:pPr>
          </w:p>
        </w:tc>
      </w:tr>
      <w:tr w14:paraId="578DB5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84" w:hRule="atLeast"/>
          <w:tblHeader/>
          <w:jc w:val="center"/>
        </w:trPr>
        <w:tc>
          <w:tcPr>
            <w:tcW w:w="728" w:type="pct"/>
            <w:vMerge w:val="continue"/>
            <w:vAlign w:val="center"/>
          </w:tcPr>
          <w:p w14:paraId="78ACE6F2">
            <w:pPr>
              <w:snapToGrid w:val="0"/>
              <w:spacing w:line="320" w:lineRule="exact"/>
              <w:jc w:val="center"/>
              <w:rPr>
                <w:rFonts w:eastAsia="仿宋_GB2312"/>
                <w:b/>
                <w:color w:val="FF0000"/>
                <w:szCs w:val="21"/>
              </w:rPr>
            </w:pPr>
          </w:p>
        </w:tc>
        <w:tc>
          <w:tcPr>
            <w:tcW w:w="998" w:type="pct"/>
            <w:vMerge w:val="continue"/>
            <w:vAlign w:val="center"/>
          </w:tcPr>
          <w:p w14:paraId="1C24BCC4">
            <w:pPr>
              <w:adjustRightInd w:val="0"/>
              <w:snapToGrid w:val="0"/>
              <w:spacing w:line="320" w:lineRule="exact"/>
              <w:jc w:val="center"/>
              <w:rPr>
                <w:rFonts w:eastAsia="仿宋_GB2312"/>
                <w:b/>
                <w:color w:val="FF0000"/>
                <w:szCs w:val="21"/>
              </w:rPr>
            </w:pPr>
          </w:p>
        </w:tc>
        <w:tc>
          <w:tcPr>
            <w:tcW w:w="915" w:type="pct"/>
            <w:shd w:val="clear" w:color="auto" w:fill="auto"/>
            <w:vAlign w:val="center"/>
          </w:tcPr>
          <w:p w14:paraId="486A5F94">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等线"/>
                <w:color w:val="auto"/>
                <w:szCs w:val="21"/>
              </w:rPr>
              <w:t>DMF</w:t>
            </w:r>
          </w:p>
        </w:tc>
        <w:tc>
          <w:tcPr>
            <w:tcW w:w="830" w:type="pct"/>
            <w:vAlign w:val="center"/>
          </w:tcPr>
          <w:p w14:paraId="33E18955">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1.7172</w:t>
            </w:r>
          </w:p>
        </w:tc>
        <w:tc>
          <w:tcPr>
            <w:tcW w:w="749" w:type="pct"/>
            <w:vMerge w:val="continue"/>
            <w:vAlign w:val="center"/>
          </w:tcPr>
          <w:p w14:paraId="6E5E502D">
            <w:pPr>
              <w:adjustRightInd w:val="0"/>
              <w:snapToGrid w:val="0"/>
              <w:spacing w:line="320" w:lineRule="exact"/>
              <w:jc w:val="center"/>
              <w:rPr>
                <w:rFonts w:eastAsia="仿宋_GB2312"/>
                <w:b/>
                <w:bCs/>
                <w:color w:val="FF0000"/>
                <w:szCs w:val="21"/>
              </w:rPr>
            </w:pPr>
          </w:p>
        </w:tc>
        <w:tc>
          <w:tcPr>
            <w:tcW w:w="777" w:type="pct"/>
            <w:vMerge w:val="continue"/>
            <w:vAlign w:val="center"/>
          </w:tcPr>
          <w:p w14:paraId="3336C76F">
            <w:pPr>
              <w:adjustRightInd w:val="0"/>
              <w:snapToGrid w:val="0"/>
              <w:spacing w:line="320" w:lineRule="exact"/>
              <w:jc w:val="center"/>
              <w:rPr>
                <w:rFonts w:eastAsia="仿宋_GB2312"/>
                <w:b/>
                <w:bCs/>
                <w:color w:val="FF0000"/>
                <w:szCs w:val="21"/>
              </w:rPr>
            </w:pPr>
          </w:p>
        </w:tc>
      </w:tr>
      <w:tr w14:paraId="3FF633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84" w:hRule="atLeast"/>
          <w:tblHeader/>
          <w:jc w:val="center"/>
        </w:trPr>
        <w:tc>
          <w:tcPr>
            <w:tcW w:w="728" w:type="pct"/>
            <w:vMerge w:val="continue"/>
            <w:vAlign w:val="center"/>
          </w:tcPr>
          <w:p w14:paraId="726C86F7">
            <w:pPr>
              <w:snapToGrid w:val="0"/>
              <w:spacing w:line="320" w:lineRule="exact"/>
              <w:jc w:val="center"/>
              <w:rPr>
                <w:rFonts w:eastAsia="仿宋_GB2312"/>
                <w:b/>
                <w:color w:val="FF0000"/>
                <w:szCs w:val="21"/>
              </w:rPr>
            </w:pPr>
          </w:p>
        </w:tc>
        <w:tc>
          <w:tcPr>
            <w:tcW w:w="998" w:type="pct"/>
            <w:vMerge w:val="continue"/>
            <w:vAlign w:val="center"/>
          </w:tcPr>
          <w:p w14:paraId="4882A917">
            <w:pPr>
              <w:adjustRightInd w:val="0"/>
              <w:snapToGrid w:val="0"/>
              <w:spacing w:line="320" w:lineRule="exact"/>
              <w:jc w:val="center"/>
              <w:rPr>
                <w:rFonts w:eastAsia="仿宋_GB2312"/>
                <w:b/>
                <w:color w:val="FF0000"/>
                <w:szCs w:val="21"/>
              </w:rPr>
            </w:pPr>
          </w:p>
        </w:tc>
        <w:tc>
          <w:tcPr>
            <w:tcW w:w="915" w:type="pct"/>
            <w:shd w:val="clear" w:color="auto" w:fill="auto"/>
            <w:vAlign w:val="center"/>
          </w:tcPr>
          <w:p w14:paraId="579DBED5">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color w:val="auto"/>
                <w:szCs w:val="21"/>
              </w:rPr>
              <w:t>环己烷</w:t>
            </w:r>
          </w:p>
        </w:tc>
        <w:tc>
          <w:tcPr>
            <w:tcW w:w="830" w:type="pct"/>
            <w:vAlign w:val="center"/>
          </w:tcPr>
          <w:p w14:paraId="59AEC54C">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0.2872</w:t>
            </w:r>
          </w:p>
        </w:tc>
        <w:tc>
          <w:tcPr>
            <w:tcW w:w="749" w:type="pct"/>
            <w:vMerge w:val="continue"/>
            <w:vAlign w:val="center"/>
          </w:tcPr>
          <w:p w14:paraId="20D3DF3C">
            <w:pPr>
              <w:adjustRightInd w:val="0"/>
              <w:snapToGrid w:val="0"/>
              <w:spacing w:line="320" w:lineRule="exact"/>
              <w:jc w:val="center"/>
              <w:rPr>
                <w:rFonts w:eastAsia="仿宋_GB2312"/>
                <w:b/>
                <w:bCs/>
                <w:color w:val="FF0000"/>
                <w:szCs w:val="21"/>
              </w:rPr>
            </w:pPr>
          </w:p>
        </w:tc>
        <w:tc>
          <w:tcPr>
            <w:tcW w:w="777" w:type="pct"/>
            <w:vMerge w:val="continue"/>
            <w:vAlign w:val="center"/>
          </w:tcPr>
          <w:p w14:paraId="7B27C67A">
            <w:pPr>
              <w:adjustRightInd w:val="0"/>
              <w:snapToGrid w:val="0"/>
              <w:spacing w:line="320" w:lineRule="exact"/>
              <w:jc w:val="center"/>
              <w:rPr>
                <w:rFonts w:eastAsia="仿宋_GB2312"/>
                <w:b/>
                <w:bCs/>
                <w:color w:val="FF0000"/>
                <w:szCs w:val="21"/>
              </w:rPr>
            </w:pPr>
          </w:p>
        </w:tc>
      </w:tr>
      <w:tr w14:paraId="23B715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84" w:hRule="atLeast"/>
          <w:tblHeader/>
          <w:jc w:val="center"/>
        </w:trPr>
        <w:tc>
          <w:tcPr>
            <w:tcW w:w="728" w:type="pct"/>
            <w:vMerge w:val="continue"/>
            <w:vAlign w:val="center"/>
          </w:tcPr>
          <w:p w14:paraId="63294957">
            <w:pPr>
              <w:snapToGrid w:val="0"/>
              <w:spacing w:line="320" w:lineRule="exact"/>
              <w:jc w:val="center"/>
              <w:rPr>
                <w:rFonts w:eastAsia="仿宋_GB2312"/>
                <w:b/>
                <w:color w:val="FF0000"/>
                <w:szCs w:val="21"/>
              </w:rPr>
            </w:pPr>
          </w:p>
        </w:tc>
        <w:tc>
          <w:tcPr>
            <w:tcW w:w="998" w:type="pct"/>
            <w:vMerge w:val="continue"/>
            <w:vAlign w:val="center"/>
          </w:tcPr>
          <w:p w14:paraId="41EF721C">
            <w:pPr>
              <w:adjustRightInd w:val="0"/>
              <w:snapToGrid w:val="0"/>
              <w:spacing w:line="320" w:lineRule="exact"/>
              <w:jc w:val="center"/>
              <w:rPr>
                <w:rFonts w:eastAsia="仿宋_GB2312"/>
                <w:b/>
                <w:color w:val="FF0000"/>
                <w:szCs w:val="21"/>
              </w:rPr>
            </w:pPr>
          </w:p>
        </w:tc>
        <w:tc>
          <w:tcPr>
            <w:tcW w:w="915" w:type="pct"/>
            <w:shd w:val="clear" w:color="auto" w:fill="auto"/>
            <w:vAlign w:val="center"/>
          </w:tcPr>
          <w:p w14:paraId="19F97E68">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color w:val="auto"/>
                <w:szCs w:val="21"/>
              </w:rPr>
              <w:t>环己酮</w:t>
            </w:r>
          </w:p>
        </w:tc>
        <w:tc>
          <w:tcPr>
            <w:tcW w:w="830" w:type="pct"/>
            <w:vAlign w:val="center"/>
          </w:tcPr>
          <w:p w14:paraId="13731448">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0.4556</w:t>
            </w:r>
          </w:p>
        </w:tc>
        <w:tc>
          <w:tcPr>
            <w:tcW w:w="749" w:type="pct"/>
            <w:vMerge w:val="continue"/>
            <w:vAlign w:val="center"/>
          </w:tcPr>
          <w:p w14:paraId="40DDBFFC">
            <w:pPr>
              <w:adjustRightInd w:val="0"/>
              <w:snapToGrid w:val="0"/>
              <w:spacing w:line="320" w:lineRule="exact"/>
              <w:jc w:val="center"/>
              <w:rPr>
                <w:rFonts w:eastAsia="仿宋_GB2312"/>
                <w:b/>
                <w:bCs/>
                <w:color w:val="FF0000"/>
                <w:szCs w:val="21"/>
              </w:rPr>
            </w:pPr>
          </w:p>
        </w:tc>
        <w:tc>
          <w:tcPr>
            <w:tcW w:w="777" w:type="pct"/>
            <w:vMerge w:val="continue"/>
            <w:vAlign w:val="center"/>
          </w:tcPr>
          <w:p w14:paraId="161AF85F">
            <w:pPr>
              <w:adjustRightInd w:val="0"/>
              <w:snapToGrid w:val="0"/>
              <w:spacing w:line="320" w:lineRule="exact"/>
              <w:jc w:val="center"/>
              <w:rPr>
                <w:rFonts w:eastAsia="仿宋_GB2312"/>
                <w:b/>
                <w:bCs/>
                <w:color w:val="FF0000"/>
                <w:szCs w:val="21"/>
              </w:rPr>
            </w:pPr>
          </w:p>
        </w:tc>
      </w:tr>
      <w:tr w14:paraId="0DF07E5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84" w:hRule="atLeast"/>
          <w:tblHeader/>
          <w:jc w:val="center"/>
        </w:trPr>
        <w:tc>
          <w:tcPr>
            <w:tcW w:w="728" w:type="pct"/>
            <w:vMerge w:val="continue"/>
            <w:vAlign w:val="center"/>
          </w:tcPr>
          <w:p w14:paraId="41BFAF4E">
            <w:pPr>
              <w:snapToGrid w:val="0"/>
              <w:spacing w:line="320" w:lineRule="exact"/>
              <w:jc w:val="center"/>
              <w:rPr>
                <w:rFonts w:eastAsia="仿宋_GB2312"/>
                <w:b/>
                <w:color w:val="FF0000"/>
                <w:szCs w:val="21"/>
              </w:rPr>
            </w:pPr>
          </w:p>
        </w:tc>
        <w:tc>
          <w:tcPr>
            <w:tcW w:w="998" w:type="pct"/>
            <w:vMerge w:val="continue"/>
            <w:vAlign w:val="center"/>
          </w:tcPr>
          <w:p w14:paraId="71B50FD6">
            <w:pPr>
              <w:adjustRightInd w:val="0"/>
              <w:snapToGrid w:val="0"/>
              <w:spacing w:line="320" w:lineRule="exact"/>
              <w:jc w:val="center"/>
              <w:rPr>
                <w:rFonts w:eastAsia="仿宋_GB2312"/>
                <w:b/>
                <w:color w:val="FF0000"/>
                <w:szCs w:val="21"/>
              </w:rPr>
            </w:pPr>
          </w:p>
        </w:tc>
        <w:tc>
          <w:tcPr>
            <w:tcW w:w="915" w:type="pct"/>
            <w:shd w:val="clear" w:color="auto" w:fill="auto"/>
            <w:vAlign w:val="center"/>
          </w:tcPr>
          <w:p w14:paraId="4A2D700A">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color w:val="auto"/>
                <w:szCs w:val="21"/>
              </w:rPr>
              <w:t>二氯乙烷</w:t>
            </w:r>
          </w:p>
        </w:tc>
        <w:tc>
          <w:tcPr>
            <w:tcW w:w="830" w:type="pct"/>
            <w:vAlign w:val="center"/>
          </w:tcPr>
          <w:p w14:paraId="4C300DAB">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0.5008</w:t>
            </w:r>
          </w:p>
        </w:tc>
        <w:tc>
          <w:tcPr>
            <w:tcW w:w="749" w:type="pct"/>
            <w:vMerge w:val="continue"/>
            <w:vAlign w:val="center"/>
          </w:tcPr>
          <w:p w14:paraId="6A893162">
            <w:pPr>
              <w:adjustRightInd w:val="0"/>
              <w:snapToGrid w:val="0"/>
              <w:spacing w:line="320" w:lineRule="exact"/>
              <w:jc w:val="center"/>
              <w:rPr>
                <w:rFonts w:eastAsia="仿宋_GB2312"/>
                <w:b/>
                <w:bCs/>
                <w:color w:val="FF0000"/>
                <w:szCs w:val="21"/>
              </w:rPr>
            </w:pPr>
          </w:p>
        </w:tc>
        <w:tc>
          <w:tcPr>
            <w:tcW w:w="777" w:type="pct"/>
            <w:vMerge w:val="continue"/>
            <w:vAlign w:val="center"/>
          </w:tcPr>
          <w:p w14:paraId="2C387BC2">
            <w:pPr>
              <w:adjustRightInd w:val="0"/>
              <w:snapToGrid w:val="0"/>
              <w:spacing w:line="320" w:lineRule="exact"/>
              <w:jc w:val="center"/>
              <w:rPr>
                <w:rFonts w:eastAsia="仿宋_GB2312"/>
                <w:b/>
                <w:bCs/>
                <w:color w:val="FF0000"/>
                <w:szCs w:val="21"/>
              </w:rPr>
            </w:pPr>
          </w:p>
        </w:tc>
      </w:tr>
      <w:tr w14:paraId="676B60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84" w:hRule="atLeast"/>
          <w:tblHeader/>
          <w:jc w:val="center"/>
        </w:trPr>
        <w:tc>
          <w:tcPr>
            <w:tcW w:w="728" w:type="pct"/>
            <w:vMerge w:val="continue"/>
            <w:vAlign w:val="center"/>
          </w:tcPr>
          <w:p w14:paraId="5E2AD625">
            <w:pPr>
              <w:snapToGrid w:val="0"/>
              <w:spacing w:line="320" w:lineRule="exact"/>
              <w:jc w:val="center"/>
              <w:rPr>
                <w:rFonts w:eastAsia="仿宋_GB2312"/>
                <w:b/>
                <w:color w:val="FF0000"/>
                <w:szCs w:val="21"/>
              </w:rPr>
            </w:pPr>
          </w:p>
        </w:tc>
        <w:tc>
          <w:tcPr>
            <w:tcW w:w="998" w:type="pct"/>
            <w:vMerge w:val="continue"/>
            <w:vAlign w:val="center"/>
          </w:tcPr>
          <w:p w14:paraId="2C6638C9">
            <w:pPr>
              <w:adjustRightInd w:val="0"/>
              <w:snapToGrid w:val="0"/>
              <w:spacing w:line="320" w:lineRule="exact"/>
              <w:jc w:val="center"/>
              <w:rPr>
                <w:rFonts w:eastAsia="仿宋_GB2312"/>
                <w:b/>
                <w:color w:val="FF0000"/>
                <w:szCs w:val="21"/>
              </w:rPr>
            </w:pPr>
          </w:p>
        </w:tc>
        <w:tc>
          <w:tcPr>
            <w:tcW w:w="915" w:type="pct"/>
            <w:shd w:val="clear" w:color="auto" w:fill="auto"/>
            <w:vAlign w:val="center"/>
          </w:tcPr>
          <w:p w14:paraId="689D4DB6">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等线"/>
                <w:color w:val="auto"/>
                <w:szCs w:val="21"/>
              </w:rPr>
              <w:t>DMSO</w:t>
            </w:r>
          </w:p>
        </w:tc>
        <w:tc>
          <w:tcPr>
            <w:tcW w:w="830" w:type="pct"/>
            <w:vAlign w:val="center"/>
          </w:tcPr>
          <w:p w14:paraId="75BB1F06">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0.3984</w:t>
            </w:r>
          </w:p>
        </w:tc>
        <w:tc>
          <w:tcPr>
            <w:tcW w:w="749" w:type="pct"/>
            <w:vMerge w:val="continue"/>
            <w:vAlign w:val="center"/>
          </w:tcPr>
          <w:p w14:paraId="26A21634">
            <w:pPr>
              <w:adjustRightInd w:val="0"/>
              <w:snapToGrid w:val="0"/>
              <w:spacing w:line="320" w:lineRule="exact"/>
              <w:jc w:val="center"/>
              <w:rPr>
                <w:rFonts w:eastAsia="仿宋_GB2312"/>
                <w:b/>
                <w:bCs/>
                <w:color w:val="FF0000"/>
                <w:szCs w:val="21"/>
              </w:rPr>
            </w:pPr>
          </w:p>
        </w:tc>
        <w:tc>
          <w:tcPr>
            <w:tcW w:w="777" w:type="pct"/>
            <w:vMerge w:val="continue"/>
            <w:vAlign w:val="center"/>
          </w:tcPr>
          <w:p w14:paraId="333A8775">
            <w:pPr>
              <w:adjustRightInd w:val="0"/>
              <w:snapToGrid w:val="0"/>
              <w:spacing w:line="320" w:lineRule="exact"/>
              <w:jc w:val="center"/>
              <w:rPr>
                <w:rFonts w:eastAsia="仿宋_GB2312"/>
                <w:b/>
                <w:bCs/>
                <w:color w:val="FF0000"/>
                <w:szCs w:val="21"/>
              </w:rPr>
            </w:pPr>
          </w:p>
        </w:tc>
      </w:tr>
      <w:tr w14:paraId="332805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84" w:hRule="atLeast"/>
          <w:tblHeader/>
          <w:jc w:val="center"/>
        </w:trPr>
        <w:tc>
          <w:tcPr>
            <w:tcW w:w="728" w:type="pct"/>
            <w:vMerge w:val="continue"/>
            <w:vAlign w:val="center"/>
          </w:tcPr>
          <w:p w14:paraId="1D68D080">
            <w:pPr>
              <w:snapToGrid w:val="0"/>
              <w:spacing w:line="320" w:lineRule="exact"/>
              <w:jc w:val="center"/>
              <w:rPr>
                <w:rFonts w:eastAsia="仿宋_GB2312"/>
                <w:b/>
                <w:color w:val="FF0000"/>
                <w:szCs w:val="21"/>
              </w:rPr>
            </w:pPr>
          </w:p>
        </w:tc>
        <w:tc>
          <w:tcPr>
            <w:tcW w:w="998" w:type="pct"/>
            <w:vMerge w:val="continue"/>
            <w:vAlign w:val="center"/>
          </w:tcPr>
          <w:p w14:paraId="59137772">
            <w:pPr>
              <w:adjustRightInd w:val="0"/>
              <w:snapToGrid w:val="0"/>
              <w:spacing w:line="320" w:lineRule="exact"/>
              <w:jc w:val="center"/>
              <w:rPr>
                <w:rFonts w:eastAsia="仿宋_GB2312"/>
                <w:b/>
                <w:color w:val="FF0000"/>
                <w:szCs w:val="21"/>
              </w:rPr>
            </w:pPr>
          </w:p>
        </w:tc>
        <w:tc>
          <w:tcPr>
            <w:tcW w:w="915" w:type="pct"/>
            <w:shd w:val="clear" w:color="auto" w:fill="auto"/>
            <w:vAlign w:val="center"/>
          </w:tcPr>
          <w:p w14:paraId="5ADA2C0D">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color w:val="auto"/>
                <w:szCs w:val="21"/>
              </w:rPr>
              <w:t>丁醇</w:t>
            </w:r>
          </w:p>
        </w:tc>
        <w:tc>
          <w:tcPr>
            <w:tcW w:w="830" w:type="pct"/>
            <w:vAlign w:val="center"/>
          </w:tcPr>
          <w:p w14:paraId="7ED8CE2E">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0.1052</w:t>
            </w:r>
          </w:p>
        </w:tc>
        <w:tc>
          <w:tcPr>
            <w:tcW w:w="749" w:type="pct"/>
            <w:vMerge w:val="continue"/>
            <w:vAlign w:val="center"/>
          </w:tcPr>
          <w:p w14:paraId="5E6AA449">
            <w:pPr>
              <w:adjustRightInd w:val="0"/>
              <w:snapToGrid w:val="0"/>
              <w:spacing w:line="320" w:lineRule="exact"/>
              <w:jc w:val="center"/>
              <w:rPr>
                <w:rFonts w:eastAsia="仿宋_GB2312"/>
                <w:b/>
                <w:bCs/>
                <w:color w:val="FF0000"/>
                <w:szCs w:val="21"/>
              </w:rPr>
            </w:pPr>
          </w:p>
        </w:tc>
        <w:tc>
          <w:tcPr>
            <w:tcW w:w="777" w:type="pct"/>
            <w:vMerge w:val="continue"/>
            <w:vAlign w:val="center"/>
          </w:tcPr>
          <w:p w14:paraId="3C2D5BD0">
            <w:pPr>
              <w:adjustRightInd w:val="0"/>
              <w:snapToGrid w:val="0"/>
              <w:spacing w:line="320" w:lineRule="exact"/>
              <w:jc w:val="center"/>
              <w:rPr>
                <w:rFonts w:eastAsia="仿宋_GB2312"/>
                <w:b/>
                <w:bCs/>
                <w:color w:val="FF0000"/>
                <w:szCs w:val="21"/>
              </w:rPr>
            </w:pPr>
          </w:p>
        </w:tc>
      </w:tr>
      <w:tr w14:paraId="43D6372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84" w:hRule="atLeast"/>
          <w:tblHeader/>
          <w:jc w:val="center"/>
        </w:trPr>
        <w:tc>
          <w:tcPr>
            <w:tcW w:w="728" w:type="pct"/>
            <w:vMerge w:val="continue"/>
            <w:vAlign w:val="center"/>
          </w:tcPr>
          <w:p w14:paraId="21677ED4">
            <w:pPr>
              <w:snapToGrid w:val="0"/>
              <w:spacing w:line="320" w:lineRule="exact"/>
              <w:jc w:val="center"/>
              <w:rPr>
                <w:rFonts w:eastAsia="仿宋_GB2312"/>
                <w:b/>
                <w:color w:val="FF0000"/>
                <w:szCs w:val="21"/>
              </w:rPr>
            </w:pPr>
          </w:p>
        </w:tc>
        <w:tc>
          <w:tcPr>
            <w:tcW w:w="998" w:type="pct"/>
            <w:vMerge w:val="continue"/>
            <w:vAlign w:val="center"/>
          </w:tcPr>
          <w:p w14:paraId="1A794C81">
            <w:pPr>
              <w:adjustRightInd w:val="0"/>
              <w:snapToGrid w:val="0"/>
              <w:spacing w:line="320" w:lineRule="exact"/>
              <w:jc w:val="center"/>
              <w:rPr>
                <w:rFonts w:eastAsia="仿宋_GB2312"/>
                <w:b/>
                <w:color w:val="FF0000"/>
                <w:szCs w:val="21"/>
              </w:rPr>
            </w:pPr>
          </w:p>
        </w:tc>
        <w:tc>
          <w:tcPr>
            <w:tcW w:w="915" w:type="pct"/>
            <w:shd w:val="clear" w:color="auto" w:fill="auto"/>
            <w:vAlign w:val="center"/>
          </w:tcPr>
          <w:p w14:paraId="3A78C143">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color w:val="auto"/>
                <w:szCs w:val="21"/>
              </w:rPr>
              <w:t>辛醇</w:t>
            </w:r>
          </w:p>
        </w:tc>
        <w:tc>
          <w:tcPr>
            <w:tcW w:w="830" w:type="pct"/>
            <w:vAlign w:val="center"/>
          </w:tcPr>
          <w:p w14:paraId="459AFD5C">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0.1156</w:t>
            </w:r>
          </w:p>
        </w:tc>
        <w:tc>
          <w:tcPr>
            <w:tcW w:w="749" w:type="pct"/>
            <w:vMerge w:val="continue"/>
            <w:vAlign w:val="center"/>
          </w:tcPr>
          <w:p w14:paraId="65F679FA">
            <w:pPr>
              <w:adjustRightInd w:val="0"/>
              <w:snapToGrid w:val="0"/>
              <w:spacing w:line="320" w:lineRule="exact"/>
              <w:jc w:val="center"/>
              <w:rPr>
                <w:rFonts w:eastAsia="仿宋_GB2312"/>
                <w:b/>
                <w:bCs/>
                <w:color w:val="FF0000"/>
                <w:szCs w:val="21"/>
              </w:rPr>
            </w:pPr>
          </w:p>
        </w:tc>
        <w:tc>
          <w:tcPr>
            <w:tcW w:w="777" w:type="pct"/>
            <w:vMerge w:val="continue"/>
            <w:vAlign w:val="center"/>
          </w:tcPr>
          <w:p w14:paraId="3BB25791">
            <w:pPr>
              <w:adjustRightInd w:val="0"/>
              <w:snapToGrid w:val="0"/>
              <w:spacing w:line="320" w:lineRule="exact"/>
              <w:jc w:val="center"/>
              <w:rPr>
                <w:rFonts w:eastAsia="仿宋_GB2312"/>
                <w:b/>
                <w:bCs/>
                <w:color w:val="FF0000"/>
                <w:szCs w:val="21"/>
              </w:rPr>
            </w:pPr>
          </w:p>
        </w:tc>
      </w:tr>
      <w:tr w14:paraId="516AB5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84" w:hRule="atLeast"/>
          <w:tblHeader/>
          <w:jc w:val="center"/>
        </w:trPr>
        <w:tc>
          <w:tcPr>
            <w:tcW w:w="728" w:type="pct"/>
            <w:vMerge w:val="continue"/>
            <w:vAlign w:val="center"/>
          </w:tcPr>
          <w:p w14:paraId="0C0EDF70">
            <w:pPr>
              <w:snapToGrid w:val="0"/>
              <w:spacing w:line="320" w:lineRule="exact"/>
              <w:jc w:val="center"/>
              <w:rPr>
                <w:rFonts w:eastAsia="仿宋_GB2312"/>
                <w:b/>
                <w:color w:val="FF0000"/>
                <w:szCs w:val="21"/>
              </w:rPr>
            </w:pPr>
          </w:p>
        </w:tc>
        <w:tc>
          <w:tcPr>
            <w:tcW w:w="998" w:type="pct"/>
            <w:vMerge w:val="continue"/>
            <w:vAlign w:val="center"/>
          </w:tcPr>
          <w:p w14:paraId="319E805D">
            <w:pPr>
              <w:adjustRightInd w:val="0"/>
              <w:snapToGrid w:val="0"/>
              <w:spacing w:line="320" w:lineRule="exact"/>
              <w:jc w:val="center"/>
              <w:rPr>
                <w:rFonts w:eastAsia="仿宋_GB2312"/>
                <w:b/>
                <w:color w:val="FF0000"/>
                <w:szCs w:val="21"/>
              </w:rPr>
            </w:pPr>
          </w:p>
        </w:tc>
        <w:tc>
          <w:tcPr>
            <w:tcW w:w="915" w:type="pct"/>
            <w:shd w:val="clear" w:color="auto" w:fill="auto"/>
            <w:vAlign w:val="center"/>
          </w:tcPr>
          <w:p w14:paraId="28AF3DDD">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color w:val="auto"/>
                <w:szCs w:val="21"/>
              </w:rPr>
              <w:t>碳九</w:t>
            </w:r>
          </w:p>
        </w:tc>
        <w:tc>
          <w:tcPr>
            <w:tcW w:w="830" w:type="pct"/>
            <w:vAlign w:val="center"/>
          </w:tcPr>
          <w:p w14:paraId="65E50519">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0.1502</w:t>
            </w:r>
          </w:p>
        </w:tc>
        <w:tc>
          <w:tcPr>
            <w:tcW w:w="749" w:type="pct"/>
            <w:vMerge w:val="continue"/>
            <w:vAlign w:val="center"/>
          </w:tcPr>
          <w:p w14:paraId="1E018AAB">
            <w:pPr>
              <w:adjustRightInd w:val="0"/>
              <w:snapToGrid w:val="0"/>
              <w:spacing w:line="320" w:lineRule="exact"/>
              <w:jc w:val="center"/>
              <w:rPr>
                <w:rFonts w:eastAsia="仿宋_GB2312"/>
                <w:b/>
                <w:bCs/>
                <w:color w:val="FF0000"/>
                <w:szCs w:val="21"/>
              </w:rPr>
            </w:pPr>
          </w:p>
        </w:tc>
        <w:tc>
          <w:tcPr>
            <w:tcW w:w="777" w:type="pct"/>
            <w:vMerge w:val="continue"/>
            <w:vAlign w:val="center"/>
          </w:tcPr>
          <w:p w14:paraId="3C317BE4">
            <w:pPr>
              <w:adjustRightInd w:val="0"/>
              <w:snapToGrid w:val="0"/>
              <w:spacing w:line="320" w:lineRule="exact"/>
              <w:jc w:val="center"/>
              <w:rPr>
                <w:rFonts w:eastAsia="仿宋_GB2312"/>
                <w:b/>
                <w:bCs/>
                <w:color w:val="FF0000"/>
                <w:szCs w:val="21"/>
              </w:rPr>
            </w:pPr>
          </w:p>
        </w:tc>
      </w:tr>
      <w:tr w14:paraId="6C0E18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84" w:hRule="atLeast"/>
          <w:tblHeader/>
          <w:jc w:val="center"/>
        </w:trPr>
        <w:tc>
          <w:tcPr>
            <w:tcW w:w="728" w:type="pct"/>
            <w:vMerge w:val="continue"/>
            <w:vAlign w:val="center"/>
          </w:tcPr>
          <w:p w14:paraId="05BD95D3">
            <w:pPr>
              <w:snapToGrid w:val="0"/>
              <w:spacing w:line="320" w:lineRule="exact"/>
              <w:jc w:val="center"/>
              <w:rPr>
                <w:rFonts w:eastAsia="仿宋_GB2312"/>
                <w:b/>
                <w:color w:val="FF0000"/>
                <w:szCs w:val="21"/>
              </w:rPr>
            </w:pPr>
          </w:p>
        </w:tc>
        <w:tc>
          <w:tcPr>
            <w:tcW w:w="998" w:type="pct"/>
            <w:vMerge w:val="continue"/>
            <w:vAlign w:val="center"/>
          </w:tcPr>
          <w:p w14:paraId="5529609F">
            <w:pPr>
              <w:adjustRightInd w:val="0"/>
              <w:snapToGrid w:val="0"/>
              <w:spacing w:line="320" w:lineRule="exact"/>
              <w:jc w:val="center"/>
              <w:rPr>
                <w:rFonts w:eastAsia="仿宋_GB2312"/>
                <w:b/>
                <w:color w:val="FF0000"/>
                <w:szCs w:val="21"/>
              </w:rPr>
            </w:pPr>
          </w:p>
        </w:tc>
        <w:tc>
          <w:tcPr>
            <w:tcW w:w="915" w:type="pct"/>
            <w:shd w:val="clear" w:color="auto" w:fill="auto"/>
            <w:vAlign w:val="center"/>
          </w:tcPr>
          <w:p w14:paraId="2F6C8A9B">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color w:val="auto"/>
                <w:szCs w:val="21"/>
              </w:rPr>
              <w:t>苯乙烯</w:t>
            </w:r>
          </w:p>
        </w:tc>
        <w:tc>
          <w:tcPr>
            <w:tcW w:w="830" w:type="pct"/>
            <w:vAlign w:val="center"/>
          </w:tcPr>
          <w:p w14:paraId="720E23CA">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0.045</w:t>
            </w:r>
          </w:p>
        </w:tc>
        <w:tc>
          <w:tcPr>
            <w:tcW w:w="749" w:type="pct"/>
            <w:vMerge w:val="continue"/>
            <w:vAlign w:val="center"/>
          </w:tcPr>
          <w:p w14:paraId="237FE12A">
            <w:pPr>
              <w:adjustRightInd w:val="0"/>
              <w:snapToGrid w:val="0"/>
              <w:spacing w:line="320" w:lineRule="exact"/>
              <w:jc w:val="center"/>
              <w:rPr>
                <w:rFonts w:eastAsia="仿宋_GB2312"/>
                <w:b/>
                <w:bCs/>
                <w:color w:val="FF0000"/>
                <w:szCs w:val="21"/>
              </w:rPr>
            </w:pPr>
          </w:p>
        </w:tc>
        <w:tc>
          <w:tcPr>
            <w:tcW w:w="777" w:type="pct"/>
            <w:vMerge w:val="continue"/>
            <w:vAlign w:val="center"/>
          </w:tcPr>
          <w:p w14:paraId="7BEDC792">
            <w:pPr>
              <w:adjustRightInd w:val="0"/>
              <w:snapToGrid w:val="0"/>
              <w:spacing w:line="320" w:lineRule="exact"/>
              <w:jc w:val="center"/>
              <w:rPr>
                <w:rFonts w:eastAsia="仿宋_GB2312"/>
                <w:b/>
                <w:bCs/>
                <w:color w:val="FF0000"/>
                <w:szCs w:val="21"/>
              </w:rPr>
            </w:pPr>
          </w:p>
        </w:tc>
      </w:tr>
      <w:tr w14:paraId="5766A0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84" w:hRule="atLeast"/>
          <w:tblHeader/>
          <w:jc w:val="center"/>
        </w:trPr>
        <w:tc>
          <w:tcPr>
            <w:tcW w:w="728" w:type="pct"/>
            <w:vMerge w:val="continue"/>
            <w:vAlign w:val="center"/>
          </w:tcPr>
          <w:p w14:paraId="73D01A35">
            <w:pPr>
              <w:snapToGrid w:val="0"/>
              <w:spacing w:line="320" w:lineRule="exact"/>
              <w:jc w:val="center"/>
              <w:rPr>
                <w:rFonts w:eastAsia="仿宋_GB2312"/>
                <w:b/>
                <w:color w:val="FF0000"/>
                <w:szCs w:val="21"/>
              </w:rPr>
            </w:pPr>
          </w:p>
        </w:tc>
        <w:tc>
          <w:tcPr>
            <w:tcW w:w="998" w:type="pct"/>
            <w:vMerge w:val="continue"/>
            <w:vAlign w:val="center"/>
          </w:tcPr>
          <w:p w14:paraId="118A4663">
            <w:pPr>
              <w:adjustRightInd w:val="0"/>
              <w:snapToGrid w:val="0"/>
              <w:spacing w:line="320" w:lineRule="exact"/>
              <w:jc w:val="center"/>
              <w:rPr>
                <w:rFonts w:eastAsia="仿宋_GB2312"/>
                <w:b/>
                <w:color w:val="FF0000"/>
                <w:szCs w:val="21"/>
              </w:rPr>
            </w:pPr>
          </w:p>
        </w:tc>
        <w:tc>
          <w:tcPr>
            <w:tcW w:w="915" w:type="pct"/>
            <w:shd w:val="clear" w:color="auto" w:fill="auto"/>
            <w:vAlign w:val="center"/>
          </w:tcPr>
          <w:p w14:paraId="00BB036F">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color w:val="auto"/>
                <w:szCs w:val="21"/>
              </w:rPr>
              <w:t>二乙二醇</w:t>
            </w:r>
          </w:p>
        </w:tc>
        <w:tc>
          <w:tcPr>
            <w:tcW w:w="830" w:type="pct"/>
            <w:vAlign w:val="center"/>
          </w:tcPr>
          <w:p w14:paraId="217F6708">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0.1438</w:t>
            </w:r>
          </w:p>
        </w:tc>
        <w:tc>
          <w:tcPr>
            <w:tcW w:w="749" w:type="pct"/>
            <w:vMerge w:val="continue"/>
            <w:vAlign w:val="center"/>
          </w:tcPr>
          <w:p w14:paraId="2FA0701B">
            <w:pPr>
              <w:adjustRightInd w:val="0"/>
              <w:snapToGrid w:val="0"/>
              <w:spacing w:line="320" w:lineRule="exact"/>
              <w:jc w:val="center"/>
              <w:rPr>
                <w:rFonts w:eastAsia="仿宋_GB2312"/>
                <w:b/>
                <w:bCs/>
                <w:color w:val="FF0000"/>
                <w:szCs w:val="21"/>
              </w:rPr>
            </w:pPr>
          </w:p>
        </w:tc>
        <w:tc>
          <w:tcPr>
            <w:tcW w:w="777" w:type="pct"/>
            <w:vMerge w:val="continue"/>
            <w:vAlign w:val="center"/>
          </w:tcPr>
          <w:p w14:paraId="38F984C1">
            <w:pPr>
              <w:adjustRightInd w:val="0"/>
              <w:snapToGrid w:val="0"/>
              <w:spacing w:line="320" w:lineRule="exact"/>
              <w:jc w:val="center"/>
              <w:rPr>
                <w:rFonts w:eastAsia="仿宋_GB2312"/>
                <w:b/>
                <w:bCs/>
                <w:color w:val="FF0000"/>
                <w:szCs w:val="21"/>
              </w:rPr>
            </w:pPr>
          </w:p>
        </w:tc>
      </w:tr>
      <w:tr w14:paraId="41B1E6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84" w:hRule="atLeast"/>
          <w:tblHeader/>
          <w:jc w:val="center"/>
        </w:trPr>
        <w:tc>
          <w:tcPr>
            <w:tcW w:w="728" w:type="pct"/>
            <w:vMerge w:val="continue"/>
            <w:vAlign w:val="center"/>
          </w:tcPr>
          <w:p w14:paraId="171A53E8">
            <w:pPr>
              <w:snapToGrid w:val="0"/>
              <w:spacing w:line="320" w:lineRule="exact"/>
              <w:jc w:val="center"/>
              <w:rPr>
                <w:rFonts w:eastAsia="仿宋_GB2312"/>
                <w:b/>
                <w:color w:val="FF0000"/>
                <w:szCs w:val="21"/>
              </w:rPr>
            </w:pPr>
          </w:p>
        </w:tc>
        <w:tc>
          <w:tcPr>
            <w:tcW w:w="998" w:type="pct"/>
            <w:vMerge w:val="continue"/>
            <w:vAlign w:val="center"/>
          </w:tcPr>
          <w:p w14:paraId="6811A20D">
            <w:pPr>
              <w:adjustRightInd w:val="0"/>
              <w:snapToGrid w:val="0"/>
              <w:spacing w:line="320" w:lineRule="exact"/>
              <w:jc w:val="center"/>
              <w:rPr>
                <w:rFonts w:eastAsia="仿宋_GB2312"/>
                <w:b/>
                <w:color w:val="FF0000"/>
                <w:szCs w:val="21"/>
              </w:rPr>
            </w:pPr>
          </w:p>
        </w:tc>
        <w:tc>
          <w:tcPr>
            <w:tcW w:w="915" w:type="pct"/>
            <w:shd w:val="clear" w:color="auto" w:fill="auto"/>
            <w:vAlign w:val="center"/>
          </w:tcPr>
          <w:p w14:paraId="0782C476">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color w:val="auto"/>
                <w:szCs w:val="21"/>
              </w:rPr>
              <w:t>四氢呋喃</w:t>
            </w:r>
          </w:p>
        </w:tc>
        <w:tc>
          <w:tcPr>
            <w:tcW w:w="830" w:type="pct"/>
            <w:vAlign w:val="center"/>
          </w:tcPr>
          <w:p w14:paraId="3EB7A062">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1.9276</w:t>
            </w:r>
          </w:p>
        </w:tc>
        <w:tc>
          <w:tcPr>
            <w:tcW w:w="749" w:type="pct"/>
            <w:vMerge w:val="continue"/>
            <w:vAlign w:val="center"/>
          </w:tcPr>
          <w:p w14:paraId="2590AE50">
            <w:pPr>
              <w:adjustRightInd w:val="0"/>
              <w:snapToGrid w:val="0"/>
              <w:spacing w:line="320" w:lineRule="exact"/>
              <w:jc w:val="center"/>
              <w:rPr>
                <w:rFonts w:eastAsia="仿宋_GB2312"/>
                <w:b/>
                <w:bCs/>
                <w:color w:val="FF0000"/>
                <w:szCs w:val="21"/>
              </w:rPr>
            </w:pPr>
          </w:p>
        </w:tc>
        <w:tc>
          <w:tcPr>
            <w:tcW w:w="777" w:type="pct"/>
            <w:vMerge w:val="continue"/>
            <w:vAlign w:val="center"/>
          </w:tcPr>
          <w:p w14:paraId="3A7BFD51">
            <w:pPr>
              <w:adjustRightInd w:val="0"/>
              <w:snapToGrid w:val="0"/>
              <w:spacing w:line="320" w:lineRule="exact"/>
              <w:jc w:val="center"/>
              <w:rPr>
                <w:rFonts w:eastAsia="仿宋_GB2312"/>
                <w:b/>
                <w:bCs/>
                <w:color w:val="FF0000"/>
                <w:szCs w:val="21"/>
              </w:rPr>
            </w:pPr>
          </w:p>
        </w:tc>
      </w:tr>
      <w:tr w14:paraId="0AC613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84" w:hRule="atLeast"/>
          <w:tblHeader/>
          <w:jc w:val="center"/>
        </w:trPr>
        <w:tc>
          <w:tcPr>
            <w:tcW w:w="728" w:type="pct"/>
            <w:vMerge w:val="continue"/>
            <w:vAlign w:val="center"/>
          </w:tcPr>
          <w:p w14:paraId="60E42FFC">
            <w:pPr>
              <w:snapToGrid w:val="0"/>
              <w:spacing w:line="320" w:lineRule="exact"/>
              <w:jc w:val="center"/>
              <w:rPr>
                <w:rFonts w:eastAsia="仿宋_GB2312"/>
                <w:b/>
                <w:color w:val="FF0000"/>
                <w:szCs w:val="21"/>
              </w:rPr>
            </w:pPr>
          </w:p>
        </w:tc>
        <w:tc>
          <w:tcPr>
            <w:tcW w:w="998" w:type="pct"/>
            <w:vMerge w:val="continue"/>
            <w:vAlign w:val="center"/>
          </w:tcPr>
          <w:p w14:paraId="2D11C9F0">
            <w:pPr>
              <w:adjustRightInd w:val="0"/>
              <w:snapToGrid w:val="0"/>
              <w:spacing w:line="320" w:lineRule="exact"/>
              <w:jc w:val="center"/>
              <w:rPr>
                <w:rFonts w:eastAsia="仿宋_GB2312"/>
                <w:b/>
                <w:color w:val="FF0000"/>
                <w:szCs w:val="21"/>
              </w:rPr>
            </w:pPr>
          </w:p>
        </w:tc>
        <w:tc>
          <w:tcPr>
            <w:tcW w:w="915" w:type="pct"/>
            <w:shd w:val="clear" w:color="auto" w:fill="auto"/>
            <w:vAlign w:val="center"/>
          </w:tcPr>
          <w:p w14:paraId="1E7CCB8A">
            <w:pPr>
              <w:adjustRightInd w:val="0"/>
              <w:snapToGrid w:val="0"/>
              <w:spacing w:line="320" w:lineRule="exact"/>
              <w:jc w:val="center"/>
              <w:rPr>
                <w:rFonts w:ascii="Times New Roman" w:hAnsi="Times New Roman" w:eastAsia="仿宋_GB2312" w:cs="Times New Roman"/>
                <w:color w:val="auto"/>
                <w:kern w:val="2"/>
                <w:sz w:val="21"/>
                <w:szCs w:val="21"/>
                <w:lang w:val="en-US" w:eastAsia="zh-CN" w:bidi="ar-SA"/>
              </w:rPr>
            </w:pPr>
            <w:r>
              <w:rPr>
                <w:rFonts w:eastAsia="仿宋_GB2312"/>
                <w:color w:val="auto"/>
                <w:szCs w:val="21"/>
              </w:rPr>
              <w:t>甲醇</w:t>
            </w:r>
          </w:p>
        </w:tc>
        <w:tc>
          <w:tcPr>
            <w:tcW w:w="830" w:type="pct"/>
            <w:vAlign w:val="center"/>
          </w:tcPr>
          <w:p w14:paraId="34992E52">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1.9554</w:t>
            </w:r>
          </w:p>
        </w:tc>
        <w:tc>
          <w:tcPr>
            <w:tcW w:w="749" w:type="pct"/>
            <w:vMerge w:val="continue"/>
            <w:vAlign w:val="center"/>
          </w:tcPr>
          <w:p w14:paraId="7392DAAD">
            <w:pPr>
              <w:adjustRightInd w:val="0"/>
              <w:snapToGrid w:val="0"/>
              <w:spacing w:line="320" w:lineRule="exact"/>
              <w:jc w:val="center"/>
              <w:rPr>
                <w:rFonts w:eastAsia="仿宋_GB2312"/>
                <w:b/>
                <w:bCs/>
                <w:color w:val="FF0000"/>
                <w:szCs w:val="21"/>
              </w:rPr>
            </w:pPr>
          </w:p>
        </w:tc>
        <w:tc>
          <w:tcPr>
            <w:tcW w:w="777" w:type="pct"/>
            <w:vMerge w:val="continue"/>
            <w:vAlign w:val="center"/>
          </w:tcPr>
          <w:p w14:paraId="63DC0559">
            <w:pPr>
              <w:adjustRightInd w:val="0"/>
              <w:snapToGrid w:val="0"/>
              <w:spacing w:line="320" w:lineRule="exact"/>
              <w:jc w:val="center"/>
              <w:rPr>
                <w:rFonts w:eastAsia="仿宋_GB2312"/>
                <w:b/>
                <w:bCs/>
                <w:color w:val="FF0000"/>
                <w:szCs w:val="21"/>
              </w:rPr>
            </w:pPr>
          </w:p>
        </w:tc>
      </w:tr>
      <w:tr w14:paraId="365B36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84" w:hRule="atLeast"/>
          <w:tblHeader/>
          <w:jc w:val="center"/>
        </w:trPr>
        <w:tc>
          <w:tcPr>
            <w:tcW w:w="728" w:type="pct"/>
            <w:vMerge w:val="continue"/>
            <w:vAlign w:val="center"/>
          </w:tcPr>
          <w:p w14:paraId="6BF0A695">
            <w:pPr>
              <w:snapToGrid w:val="0"/>
              <w:spacing w:line="320" w:lineRule="exact"/>
              <w:jc w:val="center"/>
              <w:rPr>
                <w:rFonts w:eastAsia="仿宋_GB2312"/>
                <w:b/>
                <w:color w:val="FF0000"/>
                <w:szCs w:val="21"/>
              </w:rPr>
            </w:pPr>
          </w:p>
        </w:tc>
        <w:tc>
          <w:tcPr>
            <w:tcW w:w="998" w:type="pct"/>
            <w:vMerge w:val="continue"/>
            <w:vAlign w:val="center"/>
          </w:tcPr>
          <w:p w14:paraId="0A33894F">
            <w:pPr>
              <w:adjustRightInd w:val="0"/>
              <w:snapToGrid w:val="0"/>
              <w:spacing w:line="320" w:lineRule="exact"/>
              <w:jc w:val="center"/>
              <w:rPr>
                <w:rFonts w:eastAsia="仿宋_GB2312"/>
                <w:b/>
                <w:color w:val="FF0000"/>
                <w:szCs w:val="21"/>
              </w:rPr>
            </w:pPr>
          </w:p>
        </w:tc>
        <w:tc>
          <w:tcPr>
            <w:tcW w:w="915" w:type="pct"/>
            <w:shd w:val="clear" w:color="auto" w:fill="auto"/>
            <w:vAlign w:val="center"/>
          </w:tcPr>
          <w:p w14:paraId="762753D1">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color w:val="auto"/>
                <w:szCs w:val="21"/>
              </w:rPr>
              <w:t>乙腈</w:t>
            </w:r>
          </w:p>
        </w:tc>
        <w:tc>
          <w:tcPr>
            <w:tcW w:w="830" w:type="pct"/>
            <w:vAlign w:val="center"/>
          </w:tcPr>
          <w:p w14:paraId="5DC77B00">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1.7772</w:t>
            </w:r>
          </w:p>
        </w:tc>
        <w:tc>
          <w:tcPr>
            <w:tcW w:w="749" w:type="pct"/>
            <w:vMerge w:val="continue"/>
            <w:vAlign w:val="center"/>
          </w:tcPr>
          <w:p w14:paraId="48C6956D">
            <w:pPr>
              <w:adjustRightInd w:val="0"/>
              <w:snapToGrid w:val="0"/>
              <w:spacing w:line="320" w:lineRule="exact"/>
              <w:jc w:val="center"/>
              <w:rPr>
                <w:rFonts w:eastAsia="仿宋_GB2312"/>
                <w:b/>
                <w:bCs/>
                <w:color w:val="FF0000"/>
                <w:szCs w:val="21"/>
              </w:rPr>
            </w:pPr>
          </w:p>
        </w:tc>
        <w:tc>
          <w:tcPr>
            <w:tcW w:w="777" w:type="pct"/>
            <w:vMerge w:val="continue"/>
            <w:vAlign w:val="center"/>
          </w:tcPr>
          <w:p w14:paraId="055F5C0E">
            <w:pPr>
              <w:adjustRightInd w:val="0"/>
              <w:snapToGrid w:val="0"/>
              <w:spacing w:line="320" w:lineRule="exact"/>
              <w:jc w:val="center"/>
              <w:rPr>
                <w:rFonts w:eastAsia="仿宋_GB2312"/>
                <w:b/>
                <w:bCs/>
                <w:color w:val="FF0000"/>
                <w:szCs w:val="21"/>
              </w:rPr>
            </w:pPr>
          </w:p>
        </w:tc>
      </w:tr>
      <w:tr w14:paraId="08A29D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84" w:hRule="atLeast"/>
          <w:tblHeader/>
          <w:jc w:val="center"/>
        </w:trPr>
        <w:tc>
          <w:tcPr>
            <w:tcW w:w="728" w:type="pct"/>
            <w:vMerge w:val="continue"/>
            <w:vAlign w:val="center"/>
          </w:tcPr>
          <w:p w14:paraId="643F81DD">
            <w:pPr>
              <w:snapToGrid w:val="0"/>
              <w:spacing w:line="320" w:lineRule="exact"/>
              <w:jc w:val="center"/>
              <w:rPr>
                <w:rFonts w:eastAsia="仿宋_GB2312"/>
                <w:b/>
                <w:color w:val="FF0000"/>
                <w:szCs w:val="21"/>
              </w:rPr>
            </w:pPr>
          </w:p>
        </w:tc>
        <w:tc>
          <w:tcPr>
            <w:tcW w:w="998" w:type="pct"/>
            <w:vMerge w:val="continue"/>
            <w:vAlign w:val="center"/>
          </w:tcPr>
          <w:p w14:paraId="7365DD37">
            <w:pPr>
              <w:adjustRightInd w:val="0"/>
              <w:snapToGrid w:val="0"/>
              <w:spacing w:line="320" w:lineRule="exact"/>
              <w:jc w:val="center"/>
              <w:rPr>
                <w:rFonts w:eastAsia="仿宋_GB2312"/>
                <w:b/>
                <w:color w:val="FF0000"/>
                <w:szCs w:val="21"/>
              </w:rPr>
            </w:pPr>
          </w:p>
        </w:tc>
        <w:tc>
          <w:tcPr>
            <w:tcW w:w="915" w:type="pct"/>
            <w:shd w:val="clear" w:color="auto" w:fill="auto"/>
            <w:vAlign w:val="center"/>
          </w:tcPr>
          <w:p w14:paraId="25E47055">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color w:val="auto"/>
                <w:szCs w:val="21"/>
              </w:rPr>
              <w:t>丙二醇单甲醚</w:t>
            </w:r>
          </w:p>
        </w:tc>
        <w:tc>
          <w:tcPr>
            <w:tcW w:w="830" w:type="pct"/>
            <w:vAlign w:val="center"/>
          </w:tcPr>
          <w:p w14:paraId="47B62F57">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1.0898</w:t>
            </w:r>
          </w:p>
        </w:tc>
        <w:tc>
          <w:tcPr>
            <w:tcW w:w="749" w:type="pct"/>
            <w:vMerge w:val="continue"/>
            <w:vAlign w:val="center"/>
          </w:tcPr>
          <w:p w14:paraId="3342FADE">
            <w:pPr>
              <w:adjustRightInd w:val="0"/>
              <w:snapToGrid w:val="0"/>
              <w:spacing w:line="320" w:lineRule="exact"/>
              <w:jc w:val="center"/>
              <w:rPr>
                <w:rFonts w:eastAsia="仿宋_GB2312"/>
                <w:b/>
                <w:bCs/>
                <w:color w:val="FF0000"/>
                <w:szCs w:val="21"/>
              </w:rPr>
            </w:pPr>
          </w:p>
        </w:tc>
        <w:tc>
          <w:tcPr>
            <w:tcW w:w="777" w:type="pct"/>
            <w:vMerge w:val="continue"/>
            <w:vAlign w:val="center"/>
          </w:tcPr>
          <w:p w14:paraId="2B9EDD75">
            <w:pPr>
              <w:adjustRightInd w:val="0"/>
              <w:snapToGrid w:val="0"/>
              <w:spacing w:line="320" w:lineRule="exact"/>
              <w:jc w:val="center"/>
              <w:rPr>
                <w:rFonts w:eastAsia="仿宋_GB2312"/>
                <w:b/>
                <w:bCs/>
                <w:color w:val="FF0000"/>
                <w:szCs w:val="21"/>
              </w:rPr>
            </w:pPr>
          </w:p>
        </w:tc>
      </w:tr>
      <w:tr w14:paraId="0A327A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84" w:hRule="atLeast"/>
          <w:tblHeader/>
          <w:jc w:val="center"/>
        </w:trPr>
        <w:tc>
          <w:tcPr>
            <w:tcW w:w="728" w:type="pct"/>
            <w:vMerge w:val="continue"/>
            <w:vAlign w:val="center"/>
          </w:tcPr>
          <w:p w14:paraId="619197CA">
            <w:pPr>
              <w:snapToGrid w:val="0"/>
              <w:spacing w:line="320" w:lineRule="exact"/>
              <w:jc w:val="center"/>
              <w:rPr>
                <w:rFonts w:eastAsia="仿宋_GB2312"/>
                <w:b/>
                <w:color w:val="FF0000"/>
                <w:szCs w:val="21"/>
              </w:rPr>
            </w:pPr>
          </w:p>
        </w:tc>
        <w:tc>
          <w:tcPr>
            <w:tcW w:w="998" w:type="pct"/>
            <w:vMerge w:val="continue"/>
            <w:vAlign w:val="center"/>
          </w:tcPr>
          <w:p w14:paraId="2979028A">
            <w:pPr>
              <w:adjustRightInd w:val="0"/>
              <w:snapToGrid w:val="0"/>
              <w:spacing w:line="320" w:lineRule="exact"/>
              <w:jc w:val="center"/>
              <w:rPr>
                <w:rFonts w:eastAsia="仿宋_GB2312"/>
                <w:b/>
                <w:color w:val="FF0000"/>
                <w:szCs w:val="21"/>
              </w:rPr>
            </w:pPr>
          </w:p>
        </w:tc>
        <w:tc>
          <w:tcPr>
            <w:tcW w:w="915" w:type="pct"/>
            <w:shd w:val="clear" w:color="auto" w:fill="auto"/>
            <w:vAlign w:val="center"/>
          </w:tcPr>
          <w:p w14:paraId="22634007">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color w:val="auto"/>
                <w:szCs w:val="21"/>
              </w:rPr>
              <w:t>环戊酮</w:t>
            </w:r>
          </w:p>
        </w:tc>
        <w:tc>
          <w:tcPr>
            <w:tcW w:w="830" w:type="pct"/>
            <w:vAlign w:val="center"/>
          </w:tcPr>
          <w:p w14:paraId="549C027E">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1.1826</w:t>
            </w:r>
          </w:p>
        </w:tc>
        <w:tc>
          <w:tcPr>
            <w:tcW w:w="749" w:type="pct"/>
            <w:vMerge w:val="continue"/>
            <w:vAlign w:val="center"/>
          </w:tcPr>
          <w:p w14:paraId="00186D3A">
            <w:pPr>
              <w:adjustRightInd w:val="0"/>
              <w:snapToGrid w:val="0"/>
              <w:spacing w:line="320" w:lineRule="exact"/>
              <w:jc w:val="center"/>
              <w:rPr>
                <w:rFonts w:eastAsia="仿宋_GB2312"/>
                <w:b/>
                <w:bCs/>
                <w:color w:val="FF0000"/>
                <w:szCs w:val="21"/>
              </w:rPr>
            </w:pPr>
          </w:p>
        </w:tc>
        <w:tc>
          <w:tcPr>
            <w:tcW w:w="777" w:type="pct"/>
            <w:vMerge w:val="continue"/>
            <w:vAlign w:val="center"/>
          </w:tcPr>
          <w:p w14:paraId="4422E831">
            <w:pPr>
              <w:adjustRightInd w:val="0"/>
              <w:snapToGrid w:val="0"/>
              <w:spacing w:line="320" w:lineRule="exact"/>
              <w:jc w:val="center"/>
              <w:rPr>
                <w:rFonts w:eastAsia="仿宋_GB2312"/>
                <w:b/>
                <w:bCs/>
                <w:color w:val="FF0000"/>
                <w:szCs w:val="21"/>
              </w:rPr>
            </w:pPr>
          </w:p>
        </w:tc>
      </w:tr>
      <w:tr w14:paraId="37418B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84" w:hRule="atLeast"/>
          <w:tblHeader/>
          <w:jc w:val="center"/>
        </w:trPr>
        <w:tc>
          <w:tcPr>
            <w:tcW w:w="728" w:type="pct"/>
            <w:vMerge w:val="continue"/>
            <w:vAlign w:val="center"/>
          </w:tcPr>
          <w:p w14:paraId="4D8E2698">
            <w:pPr>
              <w:snapToGrid w:val="0"/>
              <w:spacing w:line="320" w:lineRule="exact"/>
              <w:jc w:val="center"/>
              <w:rPr>
                <w:rFonts w:eastAsia="仿宋_GB2312"/>
                <w:b/>
                <w:color w:val="FF0000"/>
                <w:szCs w:val="21"/>
              </w:rPr>
            </w:pPr>
          </w:p>
        </w:tc>
        <w:tc>
          <w:tcPr>
            <w:tcW w:w="998" w:type="pct"/>
            <w:vMerge w:val="continue"/>
            <w:vAlign w:val="center"/>
          </w:tcPr>
          <w:p w14:paraId="616B6E02">
            <w:pPr>
              <w:adjustRightInd w:val="0"/>
              <w:snapToGrid w:val="0"/>
              <w:spacing w:line="320" w:lineRule="exact"/>
              <w:jc w:val="center"/>
              <w:rPr>
                <w:rFonts w:eastAsia="仿宋_GB2312"/>
                <w:b/>
                <w:color w:val="FF0000"/>
                <w:szCs w:val="21"/>
              </w:rPr>
            </w:pPr>
          </w:p>
        </w:tc>
        <w:tc>
          <w:tcPr>
            <w:tcW w:w="915" w:type="pct"/>
            <w:shd w:val="clear" w:color="auto" w:fill="auto"/>
            <w:vAlign w:val="center"/>
          </w:tcPr>
          <w:p w14:paraId="716825EE">
            <w:pPr>
              <w:adjustRightInd w:val="0"/>
              <w:snapToGrid w:val="0"/>
              <w:spacing w:line="320" w:lineRule="exact"/>
              <w:jc w:val="center"/>
              <w:rPr>
                <w:rFonts w:ascii="Times New Roman" w:hAnsi="Times New Roman" w:eastAsia="仿宋_GB2312" w:cs="Times New Roman"/>
                <w:color w:val="auto"/>
                <w:kern w:val="2"/>
                <w:sz w:val="21"/>
                <w:szCs w:val="21"/>
                <w:lang w:val="en-US" w:eastAsia="zh-CN" w:bidi="ar-SA"/>
              </w:rPr>
            </w:pPr>
            <w:r>
              <w:rPr>
                <w:rFonts w:eastAsia="仿宋_GB2312"/>
                <w:color w:val="auto"/>
                <w:szCs w:val="21"/>
              </w:rPr>
              <w:t>乙酸甲酯</w:t>
            </w:r>
          </w:p>
        </w:tc>
        <w:tc>
          <w:tcPr>
            <w:tcW w:w="830" w:type="pct"/>
            <w:vAlign w:val="center"/>
          </w:tcPr>
          <w:p w14:paraId="4384082F">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1.2184</w:t>
            </w:r>
          </w:p>
        </w:tc>
        <w:tc>
          <w:tcPr>
            <w:tcW w:w="749" w:type="pct"/>
            <w:vMerge w:val="continue"/>
            <w:vAlign w:val="center"/>
          </w:tcPr>
          <w:p w14:paraId="3B3ABC21">
            <w:pPr>
              <w:adjustRightInd w:val="0"/>
              <w:snapToGrid w:val="0"/>
              <w:spacing w:line="320" w:lineRule="exact"/>
              <w:jc w:val="center"/>
              <w:rPr>
                <w:rFonts w:eastAsia="仿宋_GB2312"/>
                <w:b/>
                <w:bCs/>
                <w:color w:val="FF0000"/>
                <w:szCs w:val="21"/>
              </w:rPr>
            </w:pPr>
          </w:p>
        </w:tc>
        <w:tc>
          <w:tcPr>
            <w:tcW w:w="777" w:type="pct"/>
            <w:vMerge w:val="continue"/>
            <w:vAlign w:val="center"/>
          </w:tcPr>
          <w:p w14:paraId="57501BA6">
            <w:pPr>
              <w:adjustRightInd w:val="0"/>
              <w:snapToGrid w:val="0"/>
              <w:spacing w:line="320" w:lineRule="exact"/>
              <w:jc w:val="center"/>
              <w:rPr>
                <w:rFonts w:eastAsia="仿宋_GB2312"/>
                <w:b/>
                <w:bCs/>
                <w:color w:val="FF0000"/>
                <w:szCs w:val="21"/>
              </w:rPr>
            </w:pPr>
          </w:p>
        </w:tc>
      </w:tr>
      <w:tr w14:paraId="3ABA68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84" w:hRule="atLeast"/>
          <w:tblHeader/>
          <w:jc w:val="center"/>
        </w:trPr>
        <w:tc>
          <w:tcPr>
            <w:tcW w:w="728" w:type="pct"/>
            <w:vMerge w:val="continue"/>
            <w:vAlign w:val="center"/>
          </w:tcPr>
          <w:p w14:paraId="6881DEC0">
            <w:pPr>
              <w:snapToGrid w:val="0"/>
              <w:spacing w:line="320" w:lineRule="exact"/>
              <w:jc w:val="center"/>
              <w:rPr>
                <w:rFonts w:eastAsia="仿宋_GB2312"/>
                <w:b/>
                <w:color w:val="FF0000"/>
                <w:szCs w:val="21"/>
              </w:rPr>
            </w:pPr>
          </w:p>
        </w:tc>
        <w:tc>
          <w:tcPr>
            <w:tcW w:w="998" w:type="pct"/>
            <w:vMerge w:val="continue"/>
            <w:vAlign w:val="center"/>
          </w:tcPr>
          <w:p w14:paraId="594B4D15">
            <w:pPr>
              <w:adjustRightInd w:val="0"/>
              <w:snapToGrid w:val="0"/>
              <w:spacing w:line="320" w:lineRule="exact"/>
              <w:jc w:val="center"/>
              <w:rPr>
                <w:rFonts w:eastAsia="仿宋_GB2312"/>
                <w:b/>
                <w:color w:val="FF0000"/>
                <w:szCs w:val="21"/>
              </w:rPr>
            </w:pPr>
          </w:p>
        </w:tc>
        <w:tc>
          <w:tcPr>
            <w:tcW w:w="915" w:type="pct"/>
            <w:shd w:val="clear" w:color="auto" w:fill="auto"/>
            <w:vAlign w:val="center"/>
          </w:tcPr>
          <w:p w14:paraId="38D8F698">
            <w:pPr>
              <w:adjustRightInd w:val="0"/>
              <w:snapToGrid w:val="0"/>
              <w:spacing w:line="320" w:lineRule="exact"/>
              <w:jc w:val="center"/>
              <w:rPr>
                <w:rFonts w:hint="eastAsia" w:ascii="Times New Roman" w:hAnsi="Times New Roman" w:eastAsia="仿宋_GB2312" w:cs="Times New Roman"/>
                <w:color w:val="auto"/>
                <w:kern w:val="2"/>
                <w:sz w:val="21"/>
                <w:szCs w:val="21"/>
                <w:lang w:val="en-US" w:eastAsia="zh-CN" w:bidi="ar-SA"/>
              </w:rPr>
            </w:pPr>
            <w:r>
              <w:rPr>
                <w:rFonts w:hint="eastAsia" w:eastAsia="仿宋_GB2312"/>
                <w:color w:val="auto"/>
                <w:szCs w:val="21"/>
                <w:lang w:val="en-US" w:eastAsia="zh-CN"/>
              </w:rPr>
              <w:t>苯酚</w:t>
            </w:r>
          </w:p>
        </w:tc>
        <w:tc>
          <w:tcPr>
            <w:tcW w:w="830" w:type="pct"/>
            <w:vAlign w:val="center"/>
          </w:tcPr>
          <w:p w14:paraId="7679087F">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0.0322</w:t>
            </w:r>
          </w:p>
        </w:tc>
        <w:tc>
          <w:tcPr>
            <w:tcW w:w="749" w:type="pct"/>
            <w:vMerge w:val="continue"/>
            <w:vAlign w:val="center"/>
          </w:tcPr>
          <w:p w14:paraId="1C47E3D4">
            <w:pPr>
              <w:adjustRightInd w:val="0"/>
              <w:snapToGrid w:val="0"/>
              <w:spacing w:line="320" w:lineRule="exact"/>
              <w:jc w:val="center"/>
              <w:rPr>
                <w:rFonts w:eastAsia="仿宋_GB2312"/>
                <w:b/>
                <w:bCs/>
                <w:color w:val="FF0000"/>
                <w:szCs w:val="21"/>
              </w:rPr>
            </w:pPr>
          </w:p>
        </w:tc>
        <w:tc>
          <w:tcPr>
            <w:tcW w:w="777" w:type="pct"/>
            <w:vMerge w:val="continue"/>
            <w:vAlign w:val="center"/>
          </w:tcPr>
          <w:p w14:paraId="0CFC00E1">
            <w:pPr>
              <w:adjustRightInd w:val="0"/>
              <w:snapToGrid w:val="0"/>
              <w:spacing w:line="320" w:lineRule="exact"/>
              <w:jc w:val="center"/>
              <w:rPr>
                <w:rFonts w:eastAsia="仿宋_GB2312"/>
                <w:b/>
                <w:bCs/>
                <w:color w:val="FF0000"/>
                <w:szCs w:val="21"/>
              </w:rPr>
            </w:pPr>
          </w:p>
        </w:tc>
      </w:tr>
      <w:tr w14:paraId="438CF3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84" w:hRule="atLeast"/>
          <w:tblHeader/>
          <w:jc w:val="center"/>
        </w:trPr>
        <w:tc>
          <w:tcPr>
            <w:tcW w:w="728" w:type="pct"/>
            <w:vMerge w:val="continue"/>
            <w:vAlign w:val="center"/>
          </w:tcPr>
          <w:p w14:paraId="1C459371">
            <w:pPr>
              <w:snapToGrid w:val="0"/>
              <w:spacing w:line="320" w:lineRule="exact"/>
              <w:jc w:val="center"/>
              <w:rPr>
                <w:rFonts w:eastAsia="仿宋_GB2312"/>
                <w:b/>
                <w:color w:val="FF0000"/>
                <w:szCs w:val="21"/>
              </w:rPr>
            </w:pPr>
          </w:p>
        </w:tc>
        <w:tc>
          <w:tcPr>
            <w:tcW w:w="998" w:type="pct"/>
            <w:vMerge w:val="continue"/>
            <w:vAlign w:val="center"/>
          </w:tcPr>
          <w:p w14:paraId="3436081B">
            <w:pPr>
              <w:adjustRightInd w:val="0"/>
              <w:snapToGrid w:val="0"/>
              <w:spacing w:line="320" w:lineRule="exact"/>
              <w:jc w:val="center"/>
              <w:rPr>
                <w:rFonts w:eastAsia="仿宋_GB2312"/>
                <w:b/>
                <w:color w:val="FF0000"/>
                <w:szCs w:val="21"/>
              </w:rPr>
            </w:pPr>
          </w:p>
        </w:tc>
        <w:tc>
          <w:tcPr>
            <w:tcW w:w="915" w:type="pct"/>
            <w:shd w:val="clear" w:color="auto" w:fill="auto"/>
            <w:vAlign w:val="center"/>
          </w:tcPr>
          <w:p w14:paraId="17E1B42D">
            <w:pPr>
              <w:adjustRightInd w:val="0"/>
              <w:snapToGrid w:val="0"/>
              <w:spacing w:line="320" w:lineRule="exact"/>
              <w:jc w:val="center"/>
              <w:rPr>
                <w:rFonts w:hint="default" w:ascii="Times New Roman" w:hAnsi="Times New Roman" w:eastAsia="仿宋_GB2312" w:cs="Times New Roman"/>
                <w:color w:val="auto"/>
                <w:kern w:val="2"/>
                <w:sz w:val="21"/>
                <w:szCs w:val="21"/>
                <w:lang w:val="en-US" w:eastAsia="zh-CN" w:bidi="ar-SA"/>
              </w:rPr>
            </w:pPr>
            <w:r>
              <w:rPr>
                <w:rFonts w:hint="eastAsia" w:eastAsia="仿宋_GB2312"/>
                <w:color w:val="auto"/>
                <w:szCs w:val="21"/>
                <w:lang w:val="en-US" w:eastAsia="zh-CN"/>
              </w:rPr>
              <w:t>丙二醇甲醚醋酸酯</w:t>
            </w:r>
          </w:p>
        </w:tc>
        <w:tc>
          <w:tcPr>
            <w:tcW w:w="830" w:type="pct"/>
            <w:vAlign w:val="center"/>
          </w:tcPr>
          <w:p w14:paraId="48C9D6F2">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0.6422</w:t>
            </w:r>
          </w:p>
        </w:tc>
        <w:tc>
          <w:tcPr>
            <w:tcW w:w="749" w:type="pct"/>
            <w:vMerge w:val="continue"/>
            <w:vAlign w:val="center"/>
          </w:tcPr>
          <w:p w14:paraId="0247EF63">
            <w:pPr>
              <w:adjustRightInd w:val="0"/>
              <w:snapToGrid w:val="0"/>
              <w:spacing w:line="320" w:lineRule="exact"/>
              <w:jc w:val="center"/>
              <w:rPr>
                <w:rFonts w:eastAsia="仿宋_GB2312"/>
                <w:b/>
                <w:bCs/>
                <w:color w:val="FF0000"/>
                <w:szCs w:val="21"/>
              </w:rPr>
            </w:pPr>
          </w:p>
        </w:tc>
        <w:tc>
          <w:tcPr>
            <w:tcW w:w="777" w:type="pct"/>
            <w:vMerge w:val="continue"/>
            <w:vAlign w:val="center"/>
          </w:tcPr>
          <w:p w14:paraId="1CB76AE7">
            <w:pPr>
              <w:adjustRightInd w:val="0"/>
              <w:snapToGrid w:val="0"/>
              <w:spacing w:line="320" w:lineRule="exact"/>
              <w:jc w:val="center"/>
              <w:rPr>
                <w:rFonts w:eastAsia="仿宋_GB2312"/>
                <w:b/>
                <w:bCs/>
                <w:color w:val="FF0000"/>
                <w:szCs w:val="21"/>
              </w:rPr>
            </w:pPr>
          </w:p>
        </w:tc>
      </w:tr>
      <w:tr w14:paraId="5A1CC1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84" w:hRule="atLeast"/>
          <w:tblHeader/>
          <w:jc w:val="center"/>
        </w:trPr>
        <w:tc>
          <w:tcPr>
            <w:tcW w:w="728" w:type="pct"/>
            <w:vMerge w:val="continue"/>
            <w:vAlign w:val="center"/>
          </w:tcPr>
          <w:p w14:paraId="11707A80">
            <w:pPr>
              <w:snapToGrid w:val="0"/>
              <w:spacing w:line="320" w:lineRule="exact"/>
              <w:jc w:val="center"/>
              <w:rPr>
                <w:rFonts w:eastAsia="仿宋_GB2312"/>
                <w:b/>
                <w:color w:val="FF0000"/>
                <w:szCs w:val="21"/>
              </w:rPr>
            </w:pPr>
          </w:p>
        </w:tc>
        <w:tc>
          <w:tcPr>
            <w:tcW w:w="998" w:type="pct"/>
            <w:vMerge w:val="continue"/>
            <w:vAlign w:val="center"/>
          </w:tcPr>
          <w:p w14:paraId="2318413D">
            <w:pPr>
              <w:adjustRightInd w:val="0"/>
              <w:snapToGrid w:val="0"/>
              <w:spacing w:line="320" w:lineRule="exact"/>
              <w:jc w:val="center"/>
              <w:rPr>
                <w:rFonts w:eastAsia="仿宋_GB2312"/>
                <w:b/>
                <w:color w:val="FF0000"/>
                <w:szCs w:val="21"/>
              </w:rPr>
            </w:pPr>
          </w:p>
        </w:tc>
        <w:tc>
          <w:tcPr>
            <w:tcW w:w="915" w:type="pct"/>
            <w:shd w:val="clear" w:color="auto" w:fill="auto"/>
            <w:vAlign w:val="center"/>
          </w:tcPr>
          <w:p w14:paraId="748B9899">
            <w:pPr>
              <w:adjustRightInd w:val="0"/>
              <w:snapToGrid w:val="0"/>
              <w:spacing w:line="320" w:lineRule="exact"/>
              <w:jc w:val="center"/>
              <w:rPr>
                <w:rFonts w:hint="default" w:ascii="Times New Roman" w:hAnsi="Times New Roman" w:eastAsia="仿宋_GB2312" w:cs="Times New Roman"/>
                <w:color w:val="auto"/>
                <w:kern w:val="2"/>
                <w:sz w:val="21"/>
                <w:szCs w:val="21"/>
                <w:lang w:val="en-US" w:eastAsia="zh-CN" w:bidi="ar-SA"/>
              </w:rPr>
            </w:pPr>
            <w:r>
              <w:rPr>
                <w:rFonts w:hint="eastAsia" w:eastAsia="仿宋_GB2312"/>
                <w:color w:val="auto"/>
                <w:szCs w:val="21"/>
                <w:lang w:val="en-US" w:eastAsia="zh-CN"/>
              </w:rPr>
              <w:t>己烷</w:t>
            </w:r>
          </w:p>
        </w:tc>
        <w:tc>
          <w:tcPr>
            <w:tcW w:w="830" w:type="pct"/>
            <w:vAlign w:val="center"/>
          </w:tcPr>
          <w:p w14:paraId="2A6A24D0">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0.1782</w:t>
            </w:r>
          </w:p>
        </w:tc>
        <w:tc>
          <w:tcPr>
            <w:tcW w:w="749" w:type="pct"/>
            <w:vMerge w:val="continue"/>
            <w:vAlign w:val="center"/>
          </w:tcPr>
          <w:p w14:paraId="45130386">
            <w:pPr>
              <w:adjustRightInd w:val="0"/>
              <w:snapToGrid w:val="0"/>
              <w:spacing w:line="320" w:lineRule="exact"/>
              <w:jc w:val="center"/>
              <w:rPr>
                <w:rFonts w:eastAsia="仿宋_GB2312"/>
                <w:b/>
                <w:bCs/>
                <w:color w:val="FF0000"/>
                <w:szCs w:val="21"/>
              </w:rPr>
            </w:pPr>
          </w:p>
        </w:tc>
        <w:tc>
          <w:tcPr>
            <w:tcW w:w="777" w:type="pct"/>
            <w:vMerge w:val="continue"/>
            <w:vAlign w:val="center"/>
          </w:tcPr>
          <w:p w14:paraId="057AFBDB">
            <w:pPr>
              <w:adjustRightInd w:val="0"/>
              <w:snapToGrid w:val="0"/>
              <w:spacing w:line="320" w:lineRule="exact"/>
              <w:jc w:val="center"/>
              <w:rPr>
                <w:rFonts w:eastAsia="仿宋_GB2312"/>
                <w:b/>
                <w:bCs/>
                <w:color w:val="FF0000"/>
                <w:szCs w:val="21"/>
              </w:rPr>
            </w:pPr>
          </w:p>
        </w:tc>
      </w:tr>
      <w:tr w14:paraId="6C7EA9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84" w:hRule="atLeast"/>
          <w:tblHeader/>
          <w:jc w:val="center"/>
        </w:trPr>
        <w:tc>
          <w:tcPr>
            <w:tcW w:w="728" w:type="pct"/>
            <w:vMerge w:val="continue"/>
            <w:vAlign w:val="center"/>
          </w:tcPr>
          <w:p w14:paraId="1C3EB768">
            <w:pPr>
              <w:snapToGrid w:val="0"/>
              <w:spacing w:line="320" w:lineRule="exact"/>
              <w:jc w:val="center"/>
              <w:rPr>
                <w:rFonts w:eastAsia="仿宋_GB2312"/>
                <w:b/>
                <w:color w:val="FF0000"/>
                <w:szCs w:val="21"/>
              </w:rPr>
            </w:pPr>
          </w:p>
        </w:tc>
        <w:tc>
          <w:tcPr>
            <w:tcW w:w="998" w:type="pct"/>
            <w:vMerge w:val="continue"/>
            <w:vAlign w:val="center"/>
          </w:tcPr>
          <w:p w14:paraId="2D0ED50B">
            <w:pPr>
              <w:adjustRightInd w:val="0"/>
              <w:snapToGrid w:val="0"/>
              <w:spacing w:line="320" w:lineRule="exact"/>
              <w:jc w:val="center"/>
              <w:rPr>
                <w:rFonts w:eastAsia="仿宋_GB2312"/>
                <w:b/>
                <w:color w:val="FF0000"/>
                <w:szCs w:val="21"/>
              </w:rPr>
            </w:pPr>
          </w:p>
        </w:tc>
        <w:tc>
          <w:tcPr>
            <w:tcW w:w="915" w:type="pct"/>
            <w:shd w:val="clear" w:color="auto" w:fill="auto"/>
            <w:vAlign w:val="center"/>
          </w:tcPr>
          <w:p w14:paraId="2D0FCCAE">
            <w:pPr>
              <w:adjustRightInd w:val="0"/>
              <w:snapToGrid w:val="0"/>
              <w:spacing w:line="320" w:lineRule="exact"/>
              <w:jc w:val="center"/>
              <w:rPr>
                <w:rFonts w:hint="default" w:ascii="Times New Roman" w:hAnsi="Times New Roman" w:eastAsia="仿宋_GB2312" w:cs="Times New Roman"/>
                <w:color w:val="auto"/>
                <w:kern w:val="2"/>
                <w:sz w:val="21"/>
                <w:szCs w:val="21"/>
                <w:lang w:val="en-US" w:eastAsia="zh-CN" w:bidi="ar-SA"/>
              </w:rPr>
            </w:pPr>
            <w:r>
              <w:rPr>
                <w:rFonts w:hint="eastAsia" w:eastAsia="仿宋_GB2312"/>
                <w:color w:val="auto"/>
                <w:szCs w:val="21"/>
                <w:lang w:val="en-US" w:eastAsia="zh-CN"/>
              </w:rPr>
              <w:t>乙酸乙烯酯</w:t>
            </w:r>
          </w:p>
        </w:tc>
        <w:tc>
          <w:tcPr>
            <w:tcW w:w="830" w:type="pct"/>
            <w:vAlign w:val="center"/>
          </w:tcPr>
          <w:p w14:paraId="522C0634">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0.2706</w:t>
            </w:r>
          </w:p>
        </w:tc>
        <w:tc>
          <w:tcPr>
            <w:tcW w:w="749" w:type="pct"/>
            <w:vMerge w:val="continue"/>
            <w:vAlign w:val="center"/>
          </w:tcPr>
          <w:p w14:paraId="7DF6CE4E">
            <w:pPr>
              <w:adjustRightInd w:val="0"/>
              <w:snapToGrid w:val="0"/>
              <w:spacing w:line="320" w:lineRule="exact"/>
              <w:jc w:val="center"/>
              <w:rPr>
                <w:rFonts w:eastAsia="仿宋_GB2312"/>
                <w:b/>
                <w:bCs/>
                <w:color w:val="FF0000"/>
                <w:szCs w:val="21"/>
              </w:rPr>
            </w:pPr>
          </w:p>
        </w:tc>
        <w:tc>
          <w:tcPr>
            <w:tcW w:w="777" w:type="pct"/>
            <w:vMerge w:val="continue"/>
            <w:vAlign w:val="center"/>
          </w:tcPr>
          <w:p w14:paraId="0055893D">
            <w:pPr>
              <w:adjustRightInd w:val="0"/>
              <w:snapToGrid w:val="0"/>
              <w:spacing w:line="320" w:lineRule="exact"/>
              <w:jc w:val="center"/>
              <w:rPr>
                <w:rFonts w:eastAsia="仿宋_GB2312"/>
                <w:b/>
                <w:bCs/>
                <w:color w:val="FF0000"/>
                <w:szCs w:val="21"/>
              </w:rPr>
            </w:pPr>
          </w:p>
        </w:tc>
      </w:tr>
      <w:tr w14:paraId="4E24FC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84" w:hRule="atLeast"/>
          <w:tblHeader/>
          <w:jc w:val="center"/>
        </w:trPr>
        <w:tc>
          <w:tcPr>
            <w:tcW w:w="728" w:type="pct"/>
            <w:vMerge w:val="continue"/>
            <w:vAlign w:val="center"/>
          </w:tcPr>
          <w:p w14:paraId="522ED529">
            <w:pPr>
              <w:snapToGrid w:val="0"/>
              <w:spacing w:line="320" w:lineRule="exact"/>
              <w:jc w:val="center"/>
              <w:rPr>
                <w:rFonts w:eastAsia="仿宋_GB2312"/>
                <w:b/>
                <w:color w:val="FF0000"/>
                <w:szCs w:val="21"/>
              </w:rPr>
            </w:pPr>
          </w:p>
        </w:tc>
        <w:tc>
          <w:tcPr>
            <w:tcW w:w="998" w:type="pct"/>
            <w:vMerge w:val="continue"/>
            <w:vAlign w:val="center"/>
          </w:tcPr>
          <w:p w14:paraId="69B46BDF">
            <w:pPr>
              <w:adjustRightInd w:val="0"/>
              <w:snapToGrid w:val="0"/>
              <w:spacing w:line="320" w:lineRule="exact"/>
              <w:jc w:val="center"/>
              <w:rPr>
                <w:rFonts w:eastAsia="仿宋_GB2312"/>
                <w:b/>
                <w:color w:val="FF0000"/>
                <w:szCs w:val="21"/>
              </w:rPr>
            </w:pPr>
          </w:p>
        </w:tc>
        <w:tc>
          <w:tcPr>
            <w:tcW w:w="915" w:type="pct"/>
            <w:shd w:val="clear" w:color="auto" w:fill="auto"/>
            <w:vAlign w:val="center"/>
          </w:tcPr>
          <w:p w14:paraId="499B2C05">
            <w:pPr>
              <w:adjustRightInd w:val="0"/>
              <w:snapToGrid w:val="0"/>
              <w:spacing w:line="320" w:lineRule="exact"/>
              <w:jc w:val="center"/>
              <w:rPr>
                <w:rFonts w:hint="default" w:ascii="Times New Roman" w:hAnsi="Times New Roman" w:eastAsia="仿宋_GB2312" w:cs="Times New Roman"/>
                <w:color w:val="auto"/>
                <w:kern w:val="2"/>
                <w:sz w:val="21"/>
                <w:szCs w:val="21"/>
                <w:lang w:val="en-US" w:eastAsia="zh-CN" w:bidi="ar-SA"/>
              </w:rPr>
            </w:pPr>
            <w:r>
              <w:rPr>
                <w:rFonts w:hint="eastAsia" w:eastAsia="仿宋_GB2312"/>
                <w:color w:val="auto"/>
                <w:szCs w:val="21"/>
                <w:lang w:val="en-US" w:eastAsia="zh-CN"/>
              </w:rPr>
              <w:t>异丙苯</w:t>
            </w:r>
          </w:p>
        </w:tc>
        <w:tc>
          <w:tcPr>
            <w:tcW w:w="830" w:type="pct"/>
            <w:vAlign w:val="center"/>
          </w:tcPr>
          <w:p w14:paraId="60F485C5">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0.169</w:t>
            </w:r>
          </w:p>
        </w:tc>
        <w:tc>
          <w:tcPr>
            <w:tcW w:w="749" w:type="pct"/>
            <w:vMerge w:val="continue"/>
            <w:vAlign w:val="center"/>
          </w:tcPr>
          <w:p w14:paraId="1FBCBB1F">
            <w:pPr>
              <w:adjustRightInd w:val="0"/>
              <w:snapToGrid w:val="0"/>
              <w:spacing w:line="320" w:lineRule="exact"/>
              <w:jc w:val="center"/>
              <w:rPr>
                <w:rFonts w:eastAsia="仿宋_GB2312"/>
                <w:b/>
                <w:bCs/>
                <w:color w:val="FF0000"/>
                <w:szCs w:val="21"/>
              </w:rPr>
            </w:pPr>
          </w:p>
        </w:tc>
        <w:tc>
          <w:tcPr>
            <w:tcW w:w="777" w:type="pct"/>
            <w:vMerge w:val="continue"/>
            <w:vAlign w:val="center"/>
          </w:tcPr>
          <w:p w14:paraId="266364F6">
            <w:pPr>
              <w:adjustRightInd w:val="0"/>
              <w:snapToGrid w:val="0"/>
              <w:spacing w:line="320" w:lineRule="exact"/>
              <w:jc w:val="center"/>
              <w:rPr>
                <w:rFonts w:eastAsia="仿宋_GB2312"/>
                <w:b/>
                <w:bCs/>
                <w:color w:val="FF0000"/>
                <w:szCs w:val="21"/>
              </w:rPr>
            </w:pPr>
          </w:p>
        </w:tc>
      </w:tr>
      <w:tr w14:paraId="13A078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84" w:hRule="atLeast"/>
          <w:tblHeader/>
          <w:jc w:val="center"/>
        </w:trPr>
        <w:tc>
          <w:tcPr>
            <w:tcW w:w="728" w:type="pct"/>
            <w:vMerge w:val="continue"/>
          </w:tcPr>
          <w:p w14:paraId="27533878">
            <w:pPr>
              <w:snapToGrid w:val="0"/>
              <w:spacing w:line="320" w:lineRule="exact"/>
              <w:jc w:val="center"/>
              <w:rPr>
                <w:rFonts w:eastAsia="仿宋_GB2312"/>
                <w:b/>
                <w:color w:val="FF0000"/>
                <w:szCs w:val="21"/>
              </w:rPr>
            </w:pPr>
          </w:p>
        </w:tc>
        <w:tc>
          <w:tcPr>
            <w:tcW w:w="998" w:type="pct"/>
            <w:vMerge w:val="continue"/>
          </w:tcPr>
          <w:p w14:paraId="4CF0AC49">
            <w:pPr>
              <w:adjustRightInd w:val="0"/>
              <w:snapToGrid w:val="0"/>
              <w:spacing w:line="320" w:lineRule="exact"/>
              <w:jc w:val="center"/>
              <w:rPr>
                <w:rFonts w:eastAsia="仿宋_GB2312"/>
                <w:b/>
                <w:color w:val="FF0000"/>
                <w:szCs w:val="21"/>
              </w:rPr>
            </w:pPr>
          </w:p>
        </w:tc>
        <w:tc>
          <w:tcPr>
            <w:tcW w:w="0" w:type="auto"/>
            <w:shd w:val="clear" w:color="auto" w:fill="auto"/>
            <w:vAlign w:val="center"/>
          </w:tcPr>
          <w:p w14:paraId="4EB0D67E">
            <w:pPr>
              <w:adjustRightInd w:val="0"/>
              <w:snapToGrid w:val="0"/>
              <w:spacing w:line="320" w:lineRule="exact"/>
              <w:jc w:val="center"/>
              <w:rPr>
                <w:rFonts w:hint="eastAsia" w:ascii="Times New Roman" w:hAnsi="Times New Roman" w:eastAsia="仿宋_GB2312" w:cs="Times New Roman"/>
                <w:b/>
                <w:bCs/>
                <w:color w:val="auto"/>
                <w:kern w:val="2"/>
                <w:sz w:val="21"/>
                <w:szCs w:val="21"/>
                <w:lang w:val="en-US" w:eastAsia="zh-CN" w:bidi="ar-SA"/>
              </w:rPr>
            </w:pPr>
            <w:r>
              <w:rPr>
                <w:rFonts w:eastAsia="仿宋_GB2312"/>
                <w:color w:val="auto"/>
                <w:szCs w:val="21"/>
              </w:rPr>
              <w:t>乙酸酯类</w:t>
            </w:r>
          </w:p>
        </w:tc>
        <w:tc>
          <w:tcPr>
            <w:tcW w:w="830" w:type="pct"/>
            <w:vAlign w:val="center"/>
          </w:tcPr>
          <w:p w14:paraId="590FCE1E">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4.0114</w:t>
            </w:r>
          </w:p>
        </w:tc>
        <w:tc>
          <w:tcPr>
            <w:tcW w:w="749" w:type="pct"/>
            <w:vMerge w:val="continue"/>
          </w:tcPr>
          <w:p w14:paraId="239DB5B3">
            <w:pPr>
              <w:adjustRightInd w:val="0"/>
              <w:snapToGrid w:val="0"/>
              <w:spacing w:line="320" w:lineRule="exact"/>
              <w:jc w:val="center"/>
              <w:rPr>
                <w:rFonts w:eastAsia="仿宋_GB2312"/>
                <w:b/>
                <w:bCs/>
                <w:color w:val="FF0000"/>
                <w:szCs w:val="21"/>
              </w:rPr>
            </w:pPr>
          </w:p>
        </w:tc>
        <w:tc>
          <w:tcPr>
            <w:tcW w:w="777" w:type="pct"/>
            <w:vMerge w:val="continue"/>
          </w:tcPr>
          <w:p w14:paraId="45056346">
            <w:pPr>
              <w:adjustRightInd w:val="0"/>
              <w:snapToGrid w:val="0"/>
              <w:spacing w:line="320" w:lineRule="exact"/>
              <w:jc w:val="center"/>
              <w:rPr>
                <w:rFonts w:eastAsia="仿宋_GB2312"/>
                <w:b/>
                <w:bCs/>
                <w:color w:val="FF0000"/>
                <w:szCs w:val="21"/>
              </w:rPr>
            </w:pPr>
          </w:p>
        </w:tc>
      </w:tr>
      <w:tr w14:paraId="57C58A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84" w:hRule="atLeast"/>
          <w:tblHeader/>
          <w:jc w:val="center"/>
        </w:trPr>
        <w:tc>
          <w:tcPr>
            <w:tcW w:w="728" w:type="pct"/>
            <w:vMerge w:val="continue"/>
          </w:tcPr>
          <w:p w14:paraId="441984E5">
            <w:pPr>
              <w:snapToGrid w:val="0"/>
              <w:spacing w:line="320" w:lineRule="exact"/>
              <w:jc w:val="center"/>
              <w:rPr>
                <w:rFonts w:eastAsia="仿宋_GB2312"/>
                <w:b/>
                <w:color w:val="FF0000"/>
                <w:szCs w:val="21"/>
              </w:rPr>
            </w:pPr>
          </w:p>
        </w:tc>
        <w:tc>
          <w:tcPr>
            <w:tcW w:w="998" w:type="pct"/>
            <w:vMerge w:val="continue"/>
          </w:tcPr>
          <w:p w14:paraId="0F34636B">
            <w:pPr>
              <w:adjustRightInd w:val="0"/>
              <w:snapToGrid w:val="0"/>
              <w:spacing w:line="320" w:lineRule="exact"/>
              <w:jc w:val="center"/>
              <w:rPr>
                <w:rFonts w:eastAsia="仿宋_GB2312"/>
                <w:b/>
                <w:color w:val="FF0000"/>
                <w:szCs w:val="21"/>
              </w:rPr>
            </w:pPr>
          </w:p>
        </w:tc>
        <w:tc>
          <w:tcPr>
            <w:tcW w:w="0" w:type="auto"/>
            <w:shd w:val="clear" w:color="auto" w:fill="auto"/>
            <w:vAlign w:val="center"/>
          </w:tcPr>
          <w:p w14:paraId="4094D6EA">
            <w:pPr>
              <w:adjustRightInd w:val="0"/>
              <w:snapToGrid w:val="0"/>
              <w:spacing w:line="320" w:lineRule="exact"/>
              <w:jc w:val="center"/>
              <w:rPr>
                <w:rFonts w:hint="eastAsia" w:ascii="Times New Roman" w:hAnsi="Times New Roman" w:eastAsia="仿宋_GB2312" w:cs="Times New Roman"/>
                <w:color w:val="auto"/>
                <w:kern w:val="2"/>
                <w:sz w:val="21"/>
                <w:szCs w:val="21"/>
                <w:lang w:val="en-US" w:eastAsia="zh-CN" w:bidi="ar-SA"/>
              </w:rPr>
            </w:pPr>
            <w:r>
              <w:rPr>
                <w:rFonts w:hint="eastAsia" w:eastAsia="仿宋_GB2312"/>
                <w:color w:val="auto"/>
                <w:szCs w:val="21"/>
                <w:lang w:val="en-US" w:eastAsia="zh-CN"/>
              </w:rPr>
              <w:t>苯系物</w:t>
            </w:r>
          </w:p>
        </w:tc>
        <w:tc>
          <w:tcPr>
            <w:tcW w:w="830" w:type="pct"/>
            <w:vAlign w:val="center"/>
          </w:tcPr>
          <w:p w14:paraId="30AC9B45">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0.4744</w:t>
            </w:r>
          </w:p>
        </w:tc>
        <w:tc>
          <w:tcPr>
            <w:tcW w:w="749" w:type="pct"/>
            <w:vMerge w:val="continue"/>
          </w:tcPr>
          <w:p w14:paraId="60BAC5F3">
            <w:pPr>
              <w:adjustRightInd w:val="0"/>
              <w:snapToGrid w:val="0"/>
              <w:spacing w:line="320" w:lineRule="exact"/>
              <w:jc w:val="center"/>
              <w:rPr>
                <w:rFonts w:eastAsia="仿宋_GB2312"/>
                <w:b/>
                <w:bCs/>
                <w:color w:val="FF0000"/>
                <w:szCs w:val="21"/>
              </w:rPr>
            </w:pPr>
          </w:p>
        </w:tc>
        <w:tc>
          <w:tcPr>
            <w:tcW w:w="777" w:type="pct"/>
            <w:vMerge w:val="continue"/>
          </w:tcPr>
          <w:p w14:paraId="2563267C">
            <w:pPr>
              <w:adjustRightInd w:val="0"/>
              <w:snapToGrid w:val="0"/>
              <w:spacing w:line="320" w:lineRule="exact"/>
              <w:jc w:val="center"/>
              <w:rPr>
                <w:rFonts w:eastAsia="仿宋_GB2312"/>
                <w:b/>
                <w:bCs/>
                <w:color w:val="FF0000"/>
                <w:szCs w:val="21"/>
              </w:rPr>
            </w:pPr>
          </w:p>
        </w:tc>
      </w:tr>
      <w:tr w14:paraId="1C8D7B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84" w:hRule="atLeast"/>
          <w:tblHeader/>
          <w:jc w:val="center"/>
        </w:trPr>
        <w:tc>
          <w:tcPr>
            <w:tcW w:w="728" w:type="pct"/>
            <w:vMerge w:val="continue"/>
          </w:tcPr>
          <w:p w14:paraId="2F3A7BDA">
            <w:pPr>
              <w:snapToGrid w:val="0"/>
              <w:spacing w:line="320" w:lineRule="exact"/>
              <w:jc w:val="center"/>
              <w:rPr>
                <w:rFonts w:eastAsia="仿宋_GB2312"/>
                <w:b/>
                <w:color w:val="FF0000"/>
                <w:szCs w:val="21"/>
              </w:rPr>
            </w:pPr>
          </w:p>
        </w:tc>
        <w:tc>
          <w:tcPr>
            <w:tcW w:w="998" w:type="pct"/>
            <w:vMerge w:val="continue"/>
          </w:tcPr>
          <w:p w14:paraId="39BCA5E2">
            <w:pPr>
              <w:adjustRightInd w:val="0"/>
              <w:snapToGrid w:val="0"/>
              <w:spacing w:line="320" w:lineRule="exact"/>
              <w:jc w:val="center"/>
              <w:rPr>
                <w:rFonts w:eastAsia="仿宋_GB2312"/>
                <w:b/>
                <w:color w:val="FF0000"/>
                <w:szCs w:val="21"/>
              </w:rPr>
            </w:pPr>
          </w:p>
        </w:tc>
        <w:tc>
          <w:tcPr>
            <w:tcW w:w="0" w:type="auto"/>
            <w:shd w:val="clear" w:color="auto" w:fill="auto"/>
            <w:vAlign w:val="center"/>
          </w:tcPr>
          <w:p w14:paraId="339BA357">
            <w:pPr>
              <w:adjustRightInd w:val="0"/>
              <w:snapToGrid w:val="0"/>
              <w:spacing w:line="320" w:lineRule="exact"/>
              <w:jc w:val="center"/>
              <w:rPr>
                <w:rFonts w:ascii="Times New Roman" w:hAnsi="Times New Roman" w:eastAsia="仿宋_GB2312" w:cs="Times New Roman"/>
                <w:bCs/>
                <w:color w:val="auto"/>
                <w:kern w:val="2"/>
                <w:sz w:val="21"/>
                <w:szCs w:val="21"/>
                <w:lang w:val="en-US" w:eastAsia="zh-CN" w:bidi="ar-SA"/>
              </w:rPr>
            </w:pPr>
            <w:r>
              <w:rPr>
                <w:rFonts w:eastAsia="仿宋_GB2312"/>
                <w:bCs/>
                <w:color w:val="auto"/>
                <w:szCs w:val="21"/>
              </w:rPr>
              <w:t>非甲烷总烃</w:t>
            </w:r>
          </w:p>
        </w:tc>
        <w:tc>
          <w:tcPr>
            <w:tcW w:w="830" w:type="pct"/>
            <w:vAlign w:val="center"/>
          </w:tcPr>
          <w:p w14:paraId="111A2ECD">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3.9056</w:t>
            </w:r>
          </w:p>
        </w:tc>
        <w:tc>
          <w:tcPr>
            <w:tcW w:w="749" w:type="pct"/>
            <w:vMerge w:val="continue"/>
          </w:tcPr>
          <w:p w14:paraId="4A8FAF12">
            <w:pPr>
              <w:adjustRightInd w:val="0"/>
              <w:snapToGrid w:val="0"/>
              <w:spacing w:line="320" w:lineRule="exact"/>
              <w:jc w:val="center"/>
              <w:rPr>
                <w:rFonts w:eastAsia="仿宋_GB2312"/>
                <w:b/>
                <w:bCs/>
                <w:color w:val="FF0000"/>
                <w:szCs w:val="21"/>
              </w:rPr>
            </w:pPr>
          </w:p>
        </w:tc>
        <w:tc>
          <w:tcPr>
            <w:tcW w:w="777" w:type="pct"/>
            <w:vMerge w:val="continue"/>
          </w:tcPr>
          <w:p w14:paraId="04A05DED">
            <w:pPr>
              <w:adjustRightInd w:val="0"/>
              <w:snapToGrid w:val="0"/>
              <w:spacing w:line="320" w:lineRule="exact"/>
              <w:jc w:val="center"/>
              <w:rPr>
                <w:rFonts w:eastAsia="仿宋_GB2312"/>
                <w:b/>
                <w:bCs/>
                <w:color w:val="FF0000"/>
                <w:szCs w:val="21"/>
              </w:rPr>
            </w:pPr>
          </w:p>
        </w:tc>
      </w:tr>
      <w:tr w14:paraId="3ACE1C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84" w:hRule="atLeast"/>
          <w:tblHeader/>
          <w:jc w:val="center"/>
        </w:trPr>
        <w:tc>
          <w:tcPr>
            <w:tcW w:w="728" w:type="pct"/>
            <w:vMerge w:val="continue"/>
          </w:tcPr>
          <w:p w14:paraId="76106CD0">
            <w:pPr>
              <w:snapToGrid w:val="0"/>
              <w:spacing w:line="320" w:lineRule="exact"/>
              <w:jc w:val="center"/>
              <w:rPr>
                <w:rFonts w:eastAsia="仿宋_GB2312"/>
                <w:b/>
                <w:color w:val="FF0000"/>
                <w:szCs w:val="21"/>
              </w:rPr>
            </w:pPr>
          </w:p>
        </w:tc>
        <w:tc>
          <w:tcPr>
            <w:tcW w:w="998" w:type="pct"/>
            <w:vMerge w:val="continue"/>
          </w:tcPr>
          <w:p w14:paraId="5086E782">
            <w:pPr>
              <w:adjustRightInd w:val="0"/>
              <w:snapToGrid w:val="0"/>
              <w:spacing w:line="320" w:lineRule="exact"/>
              <w:jc w:val="center"/>
              <w:rPr>
                <w:rFonts w:eastAsia="仿宋_GB2312"/>
                <w:b/>
                <w:color w:val="FF0000"/>
                <w:szCs w:val="21"/>
              </w:rPr>
            </w:pPr>
          </w:p>
        </w:tc>
        <w:tc>
          <w:tcPr>
            <w:tcW w:w="0" w:type="auto"/>
            <w:shd w:val="clear" w:color="auto" w:fill="auto"/>
            <w:vAlign w:val="center"/>
          </w:tcPr>
          <w:p w14:paraId="241B7EE9">
            <w:pPr>
              <w:adjustRightInd w:val="0"/>
              <w:snapToGrid w:val="0"/>
              <w:spacing w:line="320" w:lineRule="exact"/>
              <w:jc w:val="center"/>
              <w:rPr>
                <w:rFonts w:ascii="Times New Roman" w:hAnsi="Times New Roman" w:eastAsia="仿宋_GB2312" w:cs="Times New Roman"/>
                <w:bCs/>
                <w:color w:val="auto"/>
                <w:kern w:val="2"/>
                <w:sz w:val="21"/>
                <w:szCs w:val="21"/>
                <w:lang w:val="en-US" w:eastAsia="zh-CN" w:bidi="ar-SA"/>
              </w:rPr>
            </w:pPr>
            <w:r>
              <w:rPr>
                <w:rFonts w:eastAsia="仿宋_GB2312"/>
                <w:bCs/>
                <w:color w:val="auto"/>
                <w:szCs w:val="21"/>
              </w:rPr>
              <w:t>VOCs</w:t>
            </w:r>
          </w:p>
        </w:tc>
        <w:tc>
          <w:tcPr>
            <w:tcW w:w="830" w:type="pct"/>
            <w:vAlign w:val="center"/>
          </w:tcPr>
          <w:p w14:paraId="3D347CB7">
            <w:pPr>
              <w:adjustRightInd w:val="0"/>
              <w:snapToGrid w:val="0"/>
              <w:spacing w:line="320" w:lineRule="exact"/>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6.8854</w:t>
            </w:r>
          </w:p>
        </w:tc>
        <w:tc>
          <w:tcPr>
            <w:tcW w:w="749" w:type="pct"/>
            <w:vMerge w:val="continue"/>
          </w:tcPr>
          <w:p w14:paraId="637A9EFE">
            <w:pPr>
              <w:adjustRightInd w:val="0"/>
              <w:snapToGrid w:val="0"/>
              <w:spacing w:line="320" w:lineRule="exact"/>
              <w:jc w:val="center"/>
              <w:rPr>
                <w:rFonts w:eastAsia="仿宋_GB2312"/>
                <w:b/>
                <w:bCs/>
                <w:color w:val="FF0000"/>
                <w:szCs w:val="21"/>
              </w:rPr>
            </w:pPr>
          </w:p>
        </w:tc>
        <w:tc>
          <w:tcPr>
            <w:tcW w:w="777" w:type="pct"/>
            <w:vMerge w:val="continue"/>
          </w:tcPr>
          <w:p w14:paraId="3A902ADF">
            <w:pPr>
              <w:adjustRightInd w:val="0"/>
              <w:snapToGrid w:val="0"/>
              <w:spacing w:line="320" w:lineRule="exact"/>
              <w:jc w:val="center"/>
              <w:rPr>
                <w:rFonts w:eastAsia="仿宋_GB2312"/>
                <w:b/>
                <w:bCs/>
                <w:color w:val="FF0000"/>
                <w:szCs w:val="21"/>
              </w:rPr>
            </w:pPr>
          </w:p>
        </w:tc>
      </w:tr>
    </w:tbl>
    <w:p w14:paraId="7C06BAA0">
      <w:pPr>
        <w:spacing w:line="500" w:lineRule="exact"/>
        <w:outlineLvl w:val="3"/>
        <w:rPr>
          <w:rFonts w:eastAsia="仿宋_GB2312"/>
          <w:b/>
          <w:bCs/>
          <w:color w:val="auto"/>
          <w:sz w:val="28"/>
          <w:szCs w:val="28"/>
        </w:rPr>
      </w:pPr>
      <w:r>
        <w:rPr>
          <w:rFonts w:eastAsia="仿宋_GB2312"/>
          <w:b/>
          <w:bCs/>
          <w:color w:val="auto"/>
          <w:sz w:val="28"/>
          <w:szCs w:val="28"/>
        </w:rPr>
        <w:t>3.9.1.4交通运输移动源强</w:t>
      </w:r>
    </w:p>
    <w:p w14:paraId="2932795F">
      <w:pPr>
        <w:spacing w:line="500" w:lineRule="exact"/>
        <w:ind w:firstLine="560" w:firstLineChars="200"/>
        <w:rPr>
          <w:rFonts w:eastAsia="仿宋_GB2312"/>
          <w:bCs/>
          <w:color w:val="auto"/>
          <w:kern w:val="0"/>
          <w:sz w:val="28"/>
        </w:rPr>
      </w:pPr>
      <w:r>
        <w:rPr>
          <w:rFonts w:eastAsia="仿宋_GB2312"/>
          <w:color w:val="auto"/>
          <w:sz w:val="28"/>
          <w:szCs w:val="28"/>
        </w:rPr>
        <w:t>本项目外购的原辅料、回收的废液主要采用汽车运送，运输方式为由社会运输车辆送至厂区内，运输的交通路线主要是城市的主干道，</w:t>
      </w:r>
      <w:r>
        <w:rPr>
          <w:rFonts w:eastAsia="仿宋_GB2312"/>
          <w:bCs/>
          <w:color w:val="auto"/>
          <w:kern w:val="0"/>
          <w:sz w:val="28"/>
        </w:rPr>
        <w:t>由于本项目不新增车辆及运输频次，因此不新增NOx、CO和THC（总碳氢有机气体）的排放。</w:t>
      </w:r>
    </w:p>
    <w:p w14:paraId="1067050F">
      <w:pPr>
        <w:spacing w:line="500" w:lineRule="exact"/>
        <w:ind w:firstLine="560" w:firstLineChars="200"/>
        <w:rPr>
          <w:rFonts w:eastAsia="仿宋_GB2312"/>
          <w:color w:val="FF0000"/>
          <w:sz w:val="28"/>
          <w:szCs w:val="28"/>
        </w:rPr>
      </w:pPr>
    </w:p>
    <w:p w14:paraId="5B39D83B">
      <w:pPr>
        <w:spacing w:line="500" w:lineRule="exact"/>
        <w:ind w:firstLine="560" w:firstLineChars="200"/>
        <w:rPr>
          <w:rFonts w:eastAsia="仿宋_GB2312"/>
          <w:color w:val="FF0000"/>
          <w:sz w:val="28"/>
          <w:szCs w:val="28"/>
        </w:rPr>
      </w:pPr>
    </w:p>
    <w:p w14:paraId="552929B9">
      <w:pPr>
        <w:spacing w:line="500" w:lineRule="exact"/>
        <w:ind w:firstLine="560" w:firstLineChars="200"/>
        <w:rPr>
          <w:rFonts w:eastAsia="仿宋_GB2312"/>
          <w:bCs/>
          <w:color w:val="FF0000"/>
          <w:kern w:val="0"/>
          <w:sz w:val="28"/>
        </w:rPr>
      </w:pPr>
      <w:r>
        <w:rPr>
          <w:rFonts w:eastAsia="仿宋_GB2312"/>
          <w:bCs/>
          <w:color w:val="FF0000"/>
          <w:kern w:val="0"/>
          <w:sz w:val="28"/>
        </w:rPr>
        <w:br w:type="page"/>
      </w:r>
    </w:p>
    <w:p w14:paraId="27327354">
      <w:pPr>
        <w:pStyle w:val="6"/>
        <w:keepLines w:val="0"/>
        <w:tabs>
          <w:tab w:val="left" w:pos="709"/>
        </w:tabs>
        <w:spacing w:before="120" w:beforeLines="50" w:after="120" w:afterLines="50" w:line="500" w:lineRule="exact"/>
        <w:rPr>
          <w:rFonts w:eastAsia="仿宋_GB2312"/>
          <w:color w:val="auto"/>
          <w:sz w:val="30"/>
          <w:szCs w:val="30"/>
        </w:rPr>
      </w:pPr>
      <w:bookmarkStart w:id="63" w:name="_Toc31135"/>
      <w:r>
        <w:rPr>
          <w:rFonts w:eastAsia="仿宋_GB2312"/>
          <w:color w:val="auto"/>
          <w:sz w:val="30"/>
          <w:szCs w:val="30"/>
        </w:rPr>
        <w:t>3.9.2废水污染物源强及排放情况</w:t>
      </w:r>
      <w:bookmarkEnd w:id="63"/>
    </w:p>
    <w:p w14:paraId="5686B527">
      <w:pPr>
        <w:spacing w:line="500" w:lineRule="exact"/>
        <w:outlineLvl w:val="3"/>
        <w:rPr>
          <w:rFonts w:eastAsia="仿宋_GB2312"/>
          <w:b/>
          <w:bCs/>
          <w:color w:val="auto"/>
          <w:sz w:val="28"/>
          <w:szCs w:val="28"/>
        </w:rPr>
      </w:pPr>
      <w:r>
        <w:rPr>
          <w:rFonts w:eastAsia="仿宋_GB2312"/>
          <w:b/>
          <w:bCs/>
          <w:color w:val="auto"/>
          <w:sz w:val="28"/>
          <w:szCs w:val="28"/>
        </w:rPr>
        <w:t>3.</w:t>
      </w:r>
      <w:r>
        <w:rPr>
          <w:rFonts w:hint="eastAsia" w:eastAsia="仿宋_GB2312"/>
          <w:b/>
          <w:bCs/>
          <w:color w:val="auto"/>
          <w:sz w:val="28"/>
          <w:szCs w:val="28"/>
          <w:lang w:val="en-US" w:eastAsia="zh-CN"/>
        </w:rPr>
        <w:t>9</w:t>
      </w:r>
      <w:r>
        <w:rPr>
          <w:rFonts w:eastAsia="仿宋_GB2312"/>
          <w:b/>
          <w:bCs/>
          <w:color w:val="auto"/>
          <w:sz w:val="28"/>
          <w:szCs w:val="28"/>
        </w:rPr>
        <w:t>.</w:t>
      </w:r>
      <w:r>
        <w:rPr>
          <w:rFonts w:hint="eastAsia" w:eastAsia="仿宋_GB2312"/>
          <w:b/>
          <w:bCs/>
          <w:color w:val="auto"/>
          <w:sz w:val="28"/>
          <w:szCs w:val="28"/>
          <w:lang w:val="en-US" w:eastAsia="zh-CN"/>
        </w:rPr>
        <w:t>2</w:t>
      </w:r>
      <w:r>
        <w:rPr>
          <w:rFonts w:eastAsia="仿宋_GB2312"/>
          <w:b/>
          <w:bCs/>
          <w:color w:val="auto"/>
          <w:sz w:val="28"/>
          <w:szCs w:val="28"/>
        </w:rPr>
        <w:t>.1</w:t>
      </w:r>
      <w:r>
        <w:rPr>
          <w:rFonts w:hint="eastAsia" w:eastAsia="仿宋_GB2312"/>
          <w:b/>
          <w:bCs/>
          <w:color w:val="auto"/>
          <w:sz w:val="28"/>
          <w:szCs w:val="28"/>
          <w:lang w:eastAsia="zh-CN"/>
        </w:rPr>
        <w:t>废水污染物产生</w:t>
      </w:r>
      <w:r>
        <w:rPr>
          <w:rFonts w:eastAsia="仿宋_GB2312"/>
          <w:b/>
          <w:bCs/>
          <w:color w:val="auto"/>
          <w:sz w:val="28"/>
          <w:szCs w:val="28"/>
        </w:rPr>
        <w:t>源强</w:t>
      </w:r>
    </w:p>
    <w:p w14:paraId="1C0513FA">
      <w:pPr>
        <w:pStyle w:val="162"/>
        <w:ind w:firstLine="560"/>
        <w:jc w:val="both"/>
        <w:rPr>
          <w:rFonts w:ascii="Times New Roman"/>
          <w:b w:val="0"/>
          <w:color w:val="auto"/>
          <w:sz w:val="28"/>
          <w:szCs w:val="28"/>
        </w:rPr>
      </w:pPr>
      <w:r>
        <w:rPr>
          <w:rFonts w:ascii="Times New Roman"/>
          <w:b w:val="0"/>
          <w:color w:val="auto"/>
          <w:sz w:val="28"/>
          <w:szCs w:val="28"/>
        </w:rPr>
        <w:t>本项目</w:t>
      </w:r>
      <w:r>
        <w:rPr>
          <w:rFonts w:hint="eastAsia" w:ascii="Times New Roman"/>
          <w:b w:val="0"/>
          <w:color w:val="auto"/>
          <w:sz w:val="28"/>
          <w:szCs w:val="28"/>
          <w:lang w:val="en-US" w:eastAsia="zh-CN"/>
        </w:rPr>
        <w:t>1#循环冷却系统新增循环冷却系统排水经厂区1#污水站处理达标后接管至常州民生环保科技有限公司处理；</w:t>
      </w:r>
      <w:r>
        <w:rPr>
          <w:rFonts w:hint="eastAsia" w:ascii="Times New Roman"/>
          <w:b w:val="0"/>
          <w:color w:val="auto"/>
          <w:sz w:val="28"/>
          <w:szCs w:val="28"/>
        </w:rPr>
        <w:t>新增</w:t>
      </w:r>
      <w:r>
        <w:rPr>
          <w:rFonts w:hint="eastAsia" w:ascii="Times New Roman"/>
          <w:b w:val="0"/>
          <w:color w:val="auto"/>
          <w:sz w:val="28"/>
          <w:szCs w:val="28"/>
          <w:lang w:val="en-US" w:eastAsia="zh-CN"/>
        </w:rPr>
        <w:t>工艺废水、初期雨水和废气吸收水</w:t>
      </w:r>
      <w:r>
        <w:rPr>
          <w:rFonts w:hint="eastAsia" w:ascii="Times New Roman"/>
          <w:b w:val="0"/>
          <w:color w:val="auto"/>
          <w:sz w:val="28"/>
          <w:szCs w:val="28"/>
        </w:rPr>
        <w:t>经厂区3#污水站处理后厂区内回用，不外排</w:t>
      </w:r>
      <w:r>
        <w:rPr>
          <w:rFonts w:ascii="Times New Roman"/>
          <w:b w:val="0"/>
          <w:color w:val="auto"/>
          <w:sz w:val="28"/>
          <w:szCs w:val="28"/>
        </w:rPr>
        <w:t>。</w:t>
      </w:r>
    </w:p>
    <w:p w14:paraId="571943A9">
      <w:pPr>
        <w:spacing w:line="500" w:lineRule="exact"/>
        <w:ind w:firstLine="560" w:firstLineChars="200"/>
        <w:rPr>
          <w:rFonts w:hint="default" w:eastAsia="仿宋_GB2312"/>
          <w:color w:val="auto"/>
          <w:sz w:val="28"/>
          <w:szCs w:val="28"/>
          <w:lang w:val="en-US" w:eastAsia="zh-CN"/>
        </w:rPr>
      </w:pPr>
      <w:r>
        <w:rPr>
          <w:rFonts w:hint="eastAsia" w:eastAsia="仿宋_GB2312"/>
          <w:color w:val="auto"/>
          <w:sz w:val="28"/>
          <w:szCs w:val="28"/>
          <w:lang w:val="en-US" w:eastAsia="zh-CN"/>
        </w:rPr>
        <w:t>循环冷却水系统排水</w:t>
      </w:r>
      <w:r>
        <w:rPr>
          <w:rFonts w:hint="eastAsia" w:eastAsia="仿宋_GB2312"/>
          <w:color w:val="auto"/>
          <w:sz w:val="28"/>
          <w:szCs w:val="28"/>
          <w:lang w:eastAsia="zh-CN"/>
        </w:rPr>
        <w:t>情况</w:t>
      </w:r>
      <w:r>
        <w:rPr>
          <w:rFonts w:eastAsia="仿宋_GB2312"/>
          <w:color w:val="auto"/>
          <w:sz w:val="28"/>
          <w:szCs w:val="28"/>
        </w:rPr>
        <w:t>见表3.</w:t>
      </w:r>
      <w:r>
        <w:rPr>
          <w:rFonts w:hint="eastAsia" w:eastAsia="仿宋_GB2312"/>
          <w:color w:val="auto"/>
          <w:sz w:val="28"/>
          <w:szCs w:val="28"/>
          <w:lang w:val="en-US" w:eastAsia="zh-CN"/>
        </w:rPr>
        <w:t>9</w:t>
      </w:r>
      <w:r>
        <w:rPr>
          <w:rFonts w:eastAsia="仿宋_GB2312"/>
          <w:color w:val="auto"/>
          <w:sz w:val="28"/>
          <w:szCs w:val="28"/>
        </w:rPr>
        <w:t>-</w:t>
      </w:r>
      <w:r>
        <w:rPr>
          <w:rFonts w:hint="eastAsia" w:eastAsia="仿宋_GB2312"/>
          <w:color w:val="auto"/>
          <w:sz w:val="28"/>
          <w:szCs w:val="28"/>
          <w:lang w:val="en-US" w:eastAsia="zh-CN"/>
        </w:rPr>
        <w:t>7</w:t>
      </w:r>
      <w:r>
        <w:rPr>
          <w:rFonts w:hint="eastAsia" w:ascii="Times New Roman" w:hAnsi="Times New Roman" w:eastAsia="仿宋_GB2312" w:cs="Times New Roman"/>
          <w:color w:val="auto"/>
          <w:sz w:val="28"/>
          <w:szCs w:val="28"/>
          <w:lang w:val="en-US" w:eastAsia="zh-CN"/>
        </w:rPr>
        <w:t>；工艺废水、初期雨水和废气吸收水产生情况见表3.9-8。</w:t>
      </w:r>
    </w:p>
    <w:p w14:paraId="6445B7C5">
      <w:pPr>
        <w:pStyle w:val="404"/>
        <w:spacing w:line="500" w:lineRule="exact"/>
        <w:ind w:firstLine="0" w:firstLineChars="0"/>
        <w:jc w:val="center"/>
        <w:rPr>
          <w:rFonts w:eastAsia="仿宋_GB2312"/>
          <w:b/>
          <w:bCs/>
          <w:color w:val="auto"/>
          <w:sz w:val="24"/>
        </w:rPr>
      </w:pPr>
      <w:r>
        <w:rPr>
          <w:rFonts w:eastAsia="仿宋_GB2312"/>
          <w:b/>
          <w:bCs/>
          <w:color w:val="auto"/>
          <w:sz w:val="24"/>
        </w:rPr>
        <w:t>表</w:t>
      </w:r>
      <w:r>
        <w:rPr>
          <w:rFonts w:hint="eastAsia" w:eastAsia="仿宋_GB2312"/>
          <w:b/>
          <w:bCs/>
          <w:color w:val="auto"/>
          <w:sz w:val="24"/>
          <w:lang w:val="en-US" w:eastAsia="zh-CN"/>
        </w:rPr>
        <w:t>3.9-7</w:t>
      </w:r>
      <w:r>
        <w:rPr>
          <w:rFonts w:eastAsia="仿宋_GB2312"/>
          <w:b/>
          <w:bCs/>
          <w:color w:val="auto"/>
          <w:sz w:val="24"/>
        </w:rPr>
        <w:t xml:space="preserve">  循环冷却系统排水情况表</w:t>
      </w:r>
    </w:p>
    <w:tbl>
      <w:tblPr>
        <w:tblStyle w:val="882"/>
        <w:tblW w:w="5039"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57" w:type="dxa"/>
          <w:bottom w:w="0" w:type="dxa"/>
          <w:right w:w="57" w:type="dxa"/>
        </w:tblCellMar>
      </w:tblPr>
      <w:tblGrid>
        <w:gridCol w:w="1134"/>
        <w:gridCol w:w="888"/>
        <w:gridCol w:w="1219"/>
        <w:gridCol w:w="1284"/>
        <w:gridCol w:w="1296"/>
        <w:gridCol w:w="1219"/>
        <w:gridCol w:w="1446"/>
      </w:tblGrid>
      <w:tr w14:paraId="1E81DD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7" w:type="dxa"/>
            <w:bottom w:w="0" w:type="dxa"/>
            <w:right w:w="57" w:type="dxa"/>
          </w:tblCellMar>
        </w:tblPrEx>
        <w:trPr>
          <w:trHeight w:val="340" w:hRule="atLeast"/>
          <w:jc w:val="center"/>
        </w:trPr>
        <w:tc>
          <w:tcPr>
            <w:tcW w:w="668" w:type="pct"/>
            <w:vAlign w:val="center"/>
          </w:tcPr>
          <w:p w14:paraId="116597B8">
            <w:pPr>
              <w:widowControl/>
              <w:spacing w:line="300" w:lineRule="exact"/>
              <w:jc w:val="center"/>
              <w:rPr>
                <w:rFonts w:eastAsia="仿宋_GB2312"/>
                <w:b/>
                <w:color w:val="auto"/>
                <w:kern w:val="0"/>
                <w:szCs w:val="21"/>
              </w:rPr>
            </w:pPr>
            <w:r>
              <w:rPr>
                <w:rFonts w:eastAsia="仿宋_GB2312"/>
                <w:b/>
                <w:color w:val="auto"/>
                <w:kern w:val="0"/>
                <w:szCs w:val="21"/>
              </w:rPr>
              <w:t>废水名称</w:t>
            </w:r>
          </w:p>
        </w:tc>
        <w:tc>
          <w:tcPr>
            <w:tcW w:w="523" w:type="pct"/>
            <w:vAlign w:val="center"/>
          </w:tcPr>
          <w:p w14:paraId="430FC17D">
            <w:pPr>
              <w:widowControl/>
              <w:spacing w:line="300" w:lineRule="exact"/>
              <w:jc w:val="center"/>
              <w:rPr>
                <w:rFonts w:eastAsia="仿宋_GB2312"/>
                <w:b/>
                <w:color w:val="auto"/>
                <w:kern w:val="0"/>
                <w:szCs w:val="21"/>
              </w:rPr>
            </w:pPr>
            <w:r>
              <w:rPr>
                <w:rFonts w:eastAsia="仿宋_GB2312"/>
                <w:b/>
                <w:color w:val="auto"/>
                <w:kern w:val="0"/>
                <w:szCs w:val="21"/>
              </w:rPr>
              <w:t>废水量(m</w:t>
            </w:r>
            <w:r>
              <w:rPr>
                <w:rFonts w:eastAsia="仿宋_GB2312"/>
                <w:b/>
                <w:color w:val="auto"/>
                <w:kern w:val="0"/>
                <w:szCs w:val="21"/>
                <w:vertAlign w:val="superscript"/>
              </w:rPr>
              <w:t>3</w:t>
            </w:r>
            <w:r>
              <w:rPr>
                <w:rFonts w:eastAsia="仿宋_GB2312"/>
                <w:b/>
                <w:color w:val="auto"/>
                <w:kern w:val="0"/>
                <w:szCs w:val="21"/>
              </w:rPr>
              <w:t>/a)</w:t>
            </w:r>
          </w:p>
        </w:tc>
        <w:tc>
          <w:tcPr>
            <w:tcW w:w="718" w:type="pct"/>
            <w:vAlign w:val="center"/>
          </w:tcPr>
          <w:p w14:paraId="3135B819">
            <w:pPr>
              <w:widowControl/>
              <w:spacing w:line="300" w:lineRule="exact"/>
              <w:jc w:val="center"/>
              <w:rPr>
                <w:rFonts w:eastAsia="仿宋_GB2312"/>
                <w:b/>
                <w:color w:val="auto"/>
                <w:kern w:val="0"/>
                <w:szCs w:val="21"/>
              </w:rPr>
            </w:pPr>
            <w:r>
              <w:rPr>
                <w:rFonts w:eastAsia="仿宋_GB2312"/>
                <w:b/>
                <w:color w:val="auto"/>
                <w:kern w:val="0"/>
                <w:szCs w:val="21"/>
              </w:rPr>
              <w:t>污染物名称</w:t>
            </w:r>
          </w:p>
        </w:tc>
        <w:tc>
          <w:tcPr>
            <w:tcW w:w="756" w:type="pct"/>
            <w:vAlign w:val="center"/>
          </w:tcPr>
          <w:p w14:paraId="2A67ACFC">
            <w:pPr>
              <w:widowControl/>
              <w:spacing w:line="300" w:lineRule="exact"/>
              <w:jc w:val="center"/>
              <w:rPr>
                <w:rFonts w:eastAsia="仿宋_GB2312"/>
                <w:b/>
                <w:color w:val="auto"/>
                <w:kern w:val="0"/>
                <w:szCs w:val="21"/>
              </w:rPr>
            </w:pPr>
            <w:r>
              <w:rPr>
                <w:rFonts w:eastAsia="仿宋_GB2312"/>
                <w:b/>
                <w:color w:val="auto"/>
                <w:kern w:val="0"/>
                <w:szCs w:val="21"/>
              </w:rPr>
              <w:t>浓度(mg/L)</w:t>
            </w:r>
          </w:p>
        </w:tc>
        <w:tc>
          <w:tcPr>
            <w:tcW w:w="763" w:type="pct"/>
            <w:vAlign w:val="center"/>
          </w:tcPr>
          <w:p w14:paraId="68EA7D83">
            <w:pPr>
              <w:widowControl/>
              <w:spacing w:line="300" w:lineRule="exact"/>
              <w:jc w:val="center"/>
              <w:rPr>
                <w:rFonts w:eastAsia="仿宋_GB2312"/>
                <w:b/>
                <w:color w:val="auto"/>
                <w:kern w:val="0"/>
                <w:szCs w:val="21"/>
              </w:rPr>
            </w:pPr>
            <w:r>
              <w:rPr>
                <w:rFonts w:eastAsia="仿宋_GB2312"/>
                <w:b/>
                <w:color w:val="auto"/>
                <w:kern w:val="0"/>
                <w:szCs w:val="21"/>
              </w:rPr>
              <w:t>产生量(t/a)</w:t>
            </w:r>
          </w:p>
        </w:tc>
        <w:tc>
          <w:tcPr>
            <w:tcW w:w="718" w:type="pct"/>
            <w:vAlign w:val="center"/>
          </w:tcPr>
          <w:p w14:paraId="0D20E808">
            <w:pPr>
              <w:widowControl/>
              <w:spacing w:line="300" w:lineRule="exact"/>
              <w:jc w:val="center"/>
              <w:rPr>
                <w:rFonts w:eastAsia="仿宋_GB2312"/>
                <w:b/>
                <w:color w:val="auto"/>
                <w:kern w:val="0"/>
                <w:szCs w:val="21"/>
              </w:rPr>
            </w:pPr>
            <w:r>
              <w:rPr>
                <w:rFonts w:eastAsia="仿宋_GB2312"/>
                <w:b/>
                <w:color w:val="auto"/>
                <w:kern w:val="0"/>
                <w:szCs w:val="21"/>
              </w:rPr>
              <w:t>拟采取的处理方式</w:t>
            </w:r>
          </w:p>
        </w:tc>
        <w:tc>
          <w:tcPr>
            <w:tcW w:w="851" w:type="pct"/>
            <w:vAlign w:val="center"/>
          </w:tcPr>
          <w:p w14:paraId="3154AFB3">
            <w:pPr>
              <w:widowControl/>
              <w:spacing w:line="300" w:lineRule="exact"/>
              <w:jc w:val="center"/>
              <w:rPr>
                <w:rFonts w:eastAsia="仿宋_GB2312"/>
                <w:b/>
                <w:color w:val="auto"/>
                <w:kern w:val="0"/>
                <w:szCs w:val="21"/>
              </w:rPr>
            </w:pPr>
            <w:r>
              <w:rPr>
                <w:rFonts w:eastAsia="仿宋_GB2312"/>
                <w:b/>
                <w:color w:val="auto"/>
                <w:kern w:val="0"/>
                <w:szCs w:val="21"/>
              </w:rPr>
              <w:t>排放去向</w:t>
            </w:r>
          </w:p>
        </w:tc>
      </w:tr>
      <w:tr w14:paraId="488C8B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7" w:type="dxa"/>
            <w:bottom w:w="0" w:type="dxa"/>
            <w:right w:w="57" w:type="dxa"/>
          </w:tblCellMar>
        </w:tblPrEx>
        <w:trPr>
          <w:trHeight w:val="340" w:hRule="atLeast"/>
          <w:jc w:val="center"/>
        </w:trPr>
        <w:tc>
          <w:tcPr>
            <w:tcW w:w="668" w:type="pct"/>
            <w:vMerge w:val="restart"/>
            <w:vAlign w:val="center"/>
          </w:tcPr>
          <w:p w14:paraId="694671A4">
            <w:pPr>
              <w:widowControl/>
              <w:spacing w:line="300" w:lineRule="exact"/>
              <w:jc w:val="center"/>
              <w:rPr>
                <w:rFonts w:eastAsia="仿宋_GB2312"/>
                <w:color w:val="auto"/>
                <w:kern w:val="0"/>
                <w:szCs w:val="21"/>
              </w:rPr>
            </w:pPr>
            <w:r>
              <w:rPr>
                <w:rFonts w:eastAsia="仿宋_GB2312"/>
                <w:color w:val="auto"/>
                <w:kern w:val="0"/>
                <w:szCs w:val="21"/>
              </w:rPr>
              <w:t>循环冷却系统排水</w:t>
            </w:r>
          </w:p>
        </w:tc>
        <w:tc>
          <w:tcPr>
            <w:tcW w:w="523" w:type="pct"/>
            <w:vMerge w:val="restart"/>
            <w:vAlign w:val="center"/>
          </w:tcPr>
          <w:p w14:paraId="5519D924">
            <w:pPr>
              <w:widowControl/>
              <w:spacing w:line="300" w:lineRule="exact"/>
              <w:jc w:val="center"/>
              <w:rPr>
                <w:rFonts w:hint="default" w:eastAsia="仿宋_GB2312"/>
                <w:color w:val="auto"/>
                <w:kern w:val="0"/>
                <w:szCs w:val="21"/>
                <w:lang w:val="en-US" w:eastAsia="zh-CN"/>
              </w:rPr>
            </w:pPr>
            <w:r>
              <w:rPr>
                <w:rFonts w:hint="eastAsia" w:eastAsia="仿宋_GB2312"/>
                <w:color w:val="auto"/>
                <w:kern w:val="0"/>
                <w:szCs w:val="21"/>
                <w:lang w:val="en-US" w:eastAsia="zh-CN"/>
              </w:rPr>
              <w:t>2600</w:t>
            </w:r>
          </w:p>
        </w:tc>
        <w:tc>
          <w:tcPr>
            <w:tcW w:w="718" w:type="pct"/>
            <w:shd w:val="clear" w:color="auto" w:fill="auto"/>
            <w:vAlign w:val="center"/>
          </w:tcPr>
          <w:p w14:paraId="1EB7AEA0">
            <w:pPr>
              <w:widowControl/>
              <w:spacing w:line="300" w:lineRule="exact"/>
              <w:jc w:val="center"/>
              <w:rPr>
                <w:rFonts w:eastAsia="仿宋_GB2312"/>
                <w:color w:val="auto"/>
                <w:kern w:val="0"/>
                <w:szCs w:val="21"/>
              </w:rPr>
            </w:pPr>
            <w:r>
              <w:rPr>
                <w:rFonts w:eastAsia="仿宋_GB2312"/>
                <w:color w:val="auto"/>
                <w:kern w:val="0"/>
                <w:szCs w:val="21"/>
              </w:rPr>
              <w:t>COD</w:t>
            </w:r>
          </w:p>
        </w:tc>
        <w:tc>
          <w:tcPr>
            <w:tcW w:w="756" w:type="pct"/>
            <w:shd w:val="clear" w:color="auto" w:fill="auto"/>
            <w:vAlign w:val="center"/>
          </w:tcPr>
          <w:p w14:paraId="61F728DA">
            <w:pPr>
              <w:widowControl/>
              <w:spacing w:line="300" w:lineRule="exact"/>
              <w:jc w:val="center"/>
              <w:rPr>
                <w:rFonts w:hint="default" w:eastAsia="仿宋_GB2312"/>
                <w:color w:val="auto"/>
                <w:kern w:val="0"/>
                <w:szCs w:val="21"/>
                <w:lang w:val="en-US" w:eastAsia="zh-CN"/>
              </w:rPr>
            </w:pPr>
            <w:r>
              <w:rPr>
                <w:rFonts w:hint="eastAsia" w:eastAsia="仿宋_GB2312"/>
                <w:color w:val="auto"/>
                <w:kern w:val="0"/>
                <w:szCs w:val="21"/>
                <w:lang w:val="en-US" w:eastAsia="zh-CN"/>
              </w:rPr>
              <w:t>80</w:t>
            </w:r>
          </w:p>
        </w:tc>
        <w:tc>
          <w:tcPr>
            <w:tcW w:w="763" w:type="pct"/>
            <w:shd w:val="clear" w:color="auto" w:fill="auto"/>
            <w:vAlign w:val="center"/>
          </w:tcPr>
          <w:p w14:paraId="55A41D00">
            <w:pPr>
              <w:widowControl/>
              <w:spacing w:line="300" w:lineRule="exact"/>
              <w:jc w:val="center"/>
              <w:rPr>
                <w:rFonts w:hint="default" w:eastAsia="仿宋_GB2312"/>
                <w:color w:val="auto"/>
                <w:kern w:val="0"/>
                <w:szCs w:val="21"/>
                <w:lang w:val="en-US" w:eastAsia="zh-CN"/>
              </w:rPr>
            </w:pPr>
            <w:r>
              <w:rPr>
                <w:rFonts w:eastAsia="仿宋_GB2312"/>
                <w:color w:val="auto"/>
                <w:kern w:val="0"/>
                <w:szCs w:val="21"/>
              </w:rPr>
              <w:t>0.</w:t>
            </w:r>
            <w:r>
              <w:rPr>
                <w:rFonts w:hint="eastAsia" w:eastAsia="仿宋_GB2312"/>
                <w:color w:val="auto"/>
                <w:kern w:val="0"/>
                <w:szCs w:val="21"/>
                <w:lang w:val="en-US" w:eastAsia="zh-CN"/>
              </w:rPr>
              <w:t>21</w:t>
            </w:r>
          </w:p>
        </w:tc>
        <w:tc>
          <w:tcPr>
            <w:tcW w:w="718" w:type="pct"/>
            <w:vMerge w:val="restart"/>
            <w:vAlign w:val="center"/>
          </w:tcPr>
          <w:p w14:paraId="7E67DE1F">
            <w:pPr>
              <w:widowControl/>
              <w:spacing w:line="300" w:lineRule="exact"/>
              <w:jc w:val="center"/>
              <w:rPr>
                <w:rFonts w:hint="default" w:eastAsia="仿宋_GB2312"/>
                <w:color w:val="auto"/>
                <w:kern w:val="0"/>
                <w:szCs w:val="21"/>
                <w:lang w:val="en-US" w:eastAsia="zh-CN"/>
              </w:rPr>
            </w:pPr>
            <w:r>
              <w:rPr>
                <w:rFonts w:hint="eastAsia" w:eastAsia="仿宋_GB2312"/>
                <w:color w:val="auto"/>
                <w:kern w:val="0"/>
                <w:szCs w:val="21"/>
                <w:lang w:val="en-US" w:eastAsia="zh-CN"/>
              </w:rPr>
              <w:t>1#污水站</w:t>
            </w:r>
          </w:p>
        </w:tc>
        <w:tc>
          <w:tcPr>
            <w:tcW w:w="851" w:type="pct"/>
            <w:vMerge w:val="restart"/>
            <w:vAlign w:val="center"/>
          </w:tcPr>
          <w:p w14:paraId="5F8387A9">
            <w:pPr>
              <w:widowControl/>
              <w:spacing w:line="300" w:lineRule="exact"/>
              <w:jc w:val="center"/>
              <w:rPr>
                <w:rFonts w:hint="default" w:eastAsia="仿宋_GB2312"/>
                <w:color w:val="auto"/>
                <w:kern w:val="0"/>
                <w:szCs w:val="21"/>
                <w:lang w:val="en-US" w:eastAsia="zh-CN"/>
              </w:rPr>
            </w:pPr>
            <w:r>
              <w:rPr>
                <w:rFonts w:hint="eastAsia" w:eastAsia="仿宋_GB2312"/>
                <w:color w:val="auto"/>
                <w:kern w:val="0"/>
                <w:szCs w:val="21"/>
                <w:lang w:val="en-US" w:eastAsia="zh-CN"/>
              </w:rPr>
              <w:t>接管至常州民生环保科技有限公司</w:t>
            </w:r>
          </w:p>
        </w:tc>
      </w:tr>
      <w:tr w14:paraId="4772770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7" w:type="dxa"/>
            <w:bottom w:w="0" w:type="dxa"/>
            <w:right w:w="57" w:type="dxa"/>
          </w:tblCellMar>
        </w:tblPrEx>
        <w:trPr>
          <w:trHeight w:val="340" w:hRule="atLeast"/>
          <w:jc w:val="center"/>
        </w:trPr>
        <w:tc>
          <w:tcPr>
            <w:tcW w:w="668" w:type="pct"/>
            <w:vMerge w:val="continue"/>
            <w:vAlign w:val="center"/>
          </w:tcPr>
          <w:p w14:paraId="7F7F45B0">
            <w:pPr>
              <w:widowControl/>
              <w:spacing w:line="300" w:lineRule="exact"/>
              <w:jc w:val="center"/>
              <w:rPr>
                <w:rFonts w:eastAsia="仿宋_GB2312"/>
                <w:color w:val="auto"/>
                <w:kern w:val="0"/>
                <w:szCs w:val="21"/>
              </w:rPr>
            </w:pPr>
          </w:p>
        </w:tc>
        <w:tc>
          <w:tcPr>
            <w:tcW w:w="523" w:type="pct"/>
            <w:vMerge w:val="continue"/>
            <w:vAlign w:val="center"/>
          </w:tcPr>
          <w:p w14:paraId="41CBAC8A">
            <w:pPr>
              <w:widowControl/>
              <w:spacing w:line="300" w:lineRule="exact"/>
              <w:jc w:val="center"/>
              <w:rPr>
                <w:rFonts w:eastAsia="仿宋_GB2312"/>
                <w:color w:val="auto"/>
                <w:kern w:val="0"/>
                <w:szCs w:val="21"/>
              </w:rPr>
            </w:pPr>
          </w:p>
        </w:tc>
        <w:tc>
          <w:tcPr>
            <w:tcW w:w="718" w:type="pct"/>
            <w:shd w:val="clear" w:color="auto" w:fill="auto"/>
            <w:vAlign w:val="center"/>
          </w:tcPr>
          <w:p w14:paraId="0BF3D9EB">
            <w:pPr>
              <w:widowControl/>
              <w:spacing w:line="300" w:lineRule="exact"/>
              <w:jc w:val="center"/>
              <w:rPr>
                <w:rFonts w:eastAsia="仿宋_GB2312"/>
                <w:color w:val="auto"/>
                <w:kern w:val="0"/>
                <w:szCs w:val="21"/>
              </w:rPr>
            </w:pPr>
            <w:r>
              <w:rPr>
                <w:rFonts w:eastAsia="仿宋_GB2312"/>
                <w:color w:val="auto"/>
                <w:kern w:val="0"/>
                <w:szCs w:val="21"/>
              </w:rPr>
              <w:t>SS</w:t>
            </w:r>
          </w:p>
        </w:tc>
        <w:tc>
          <w:tcPr>
            <w:tcW w:w="756" w:type="pct"/>
            <w:shd w:val="clear" w:color="auto" w:fill="auto"/>
            <w:vAlign w:val="center"/>
          </w:tcPr>
          <w:p w14:paraId="47467ADC">
            <w:pPr>
              <w:widowControl/>
              <w:spacing w:line="300" w:lineRule="exact"/>
              <w:jc w:val="center"/>
              <w:rPr>
                <w:rFonts w:hint="default" w:eastAsia="仿宋_GB2312"/>
                <w:color w:val="auto"/>
                <w:kern w:val="0"/>
                <w:szCs w:val="21"/>
                <w:lang w:val="en-US" w:eastAsia="zh-CN"/>
              </w:rPr>
            </w:pPr>
            <w:r>
              <w:rPr>
                <w:rFonts w:hint="eastAsia" w:eastAsia="仿宋_GB2312"/>
                <w:color w:val="auto"/>
                <w:kern w:val="0"/>
                <w:szCs w:val="21"/>
                <w:lang w:val="en-US" w:eastAsia="zh-CN"/>
              </w:rPr>
              <w:t>100</w:t>
            </w:r>
          </w:p>
        </w:tc>
        <w:tc>
          <w:tcPr>
            <w:tcW w:w="763" w:type="pct"/>
            <w:shd w:val="clear" w:color="auto" w:fill="auto"/>
            <w:vAlign w:val="center"/>
          </w:tcPr>
          <w:p w14:paraId="5732D20E">
            <w:pPr>
              <w:widowControl/>
              <w:spacing w:line="300" w:lineRule="exact"/>
              <w:jc w:val="center"/>
              <w:rPr>
                <w:rFonts w:hint="default" w:eastAsia="仿宋_GB2312"/>
                <w:color w:val="auto"/>
                <w:kern w:val="0"/>
                <w:szCs w:val="21"/>
                <w:lang w:val="en-US" w:eastAsia="zh-CN"/>
              </w:rPr>
            </w:pPr>
            <w:r>
              <w:rPr>
                <w:rFonts w:eastAsia="仿宋_GB2312"/>
                <w:color w:val="auto"/>
                <w:kern w:val="0"/>
                <w:szCs w:val="21"/>
              </w:rPr>
              <w:t>0.</w:t>
            </w:r>
            <w:r>
              <w:rPr>
                <w:rFonts w:hint="eastAsia" w:eastAsia="仿宋_GB2312"/>
                <w:color w:val="auto"/>
                <w:kern w:val="0"/>
                <w:szCs w:val="21"/>
                <w:lang w:val="en-US" w:eastAsia="zh-CN"/>
              </w:rPr>
              <w:t>26</w:t>
            </w:r>
          </w:p>
        </w:tc>
        <w:tc>
          <w:tcPr>
            <w:tcW w:w="718" w:type="pct"/>
            <w:vMerge w:val="continue"/>
            <w:vAlign w:val="center"/>
          </w:tcPr>
          <w:p w14:paraId="7A01DA2A">
            <w:pPr>
              <w:pStyle w:val="163"/>
              <w:snapToGrid w:val="0"/>
              <w:ind w:firstLine="420"/>
              <w:rPr>
                <w:rFonts w:ascii="Times New Roman"/>
                <w:color w:val="FF0000"/>
              </w:rPr>
            </w:pPr>
          </w:p>
        </w:tc>
        <w:tc>
          <w:tcPr>
            <w:tcW w:w="851" w:type="pct"/>
            <w:vMerge w:val="continue"/>
            <w:vAlign w:val="center"/>
          </w:tcPr>
          <w:p w14:paraId="05753B5D">
            <w:pPr>
              <w:pStyle w:val="163"/>
              <w:snapToGrid w:val="0"/>
              <w:ind w:firstLine="420"/>
              <w:rPr>
                <w:rFonts w:ascii="Times New Roman"/>
                <w:color w:val="FF0000"/>
              </w:rPr>
            </w:pPr>
          </w:p>
        </w:tc>
      </w:tr>
    </w:tbl>
    <w:p w14:paraId="13FDDDAB">
      <w:pPr>
        <w:spacing w:line="500" w:lineRule="exact"/>
        <w:jc w:val="center"/>
        <w:rPr>
          <w:rFonts w:eastAsia="仿宋_GB2312"/>
          <w:b/>
          <w:color w:val="auto"/>
          <w:sz w:val="24"/>
        </w:rPr>
      </w:pPr>
      <w:r>
        <w:rPr>
          <w:rFonts w:eastAsia="仿宋_GB2312"/>
          <w:b/>
          <w:color w:val="auto"/>
          <w:sz w:val="24"/>
        </w:rPr>
        <w:t>表3.9-</w:t>
      </w:r>
      <w:r>
        <w:rPr>
          <w:rFonts w:hint="eastAsia" w:eastAsia="仿宋_GB2312"/>
          <w:b/>
          <w:color w:val="auto"/>
          <w:sz w:val="24"/>
          <w:lang w:val="en-US" w:eastAsia="zh-CN"/>
        </w:rPr>
        <w:t>8</w:t>
      </w:r>
      <w:r>
        <w:rPr>
          <w:rFonts w:eastAsia="仿宋_GB2312"/>
          <w:b/>
          <w:color w:val="auto"/>
          <w:sz w:val="24"/>
        </w:rPr>
        <w:t xml:space="preserve">  </w:t>
      </w:r>
      <w:r>
        <w:rPr>
          <w:rFonts w:hint="eastAsia" w:ascii="Times New Roman" w:hAnsi="Times New Roman" w:eastAsia="仿宋_GB2312" w:cs="Times New Roman"/>
          <w:b/>
          <w:color w:val="auto"/>
          <w:sz w:val="24"/>
          <w:lang w:val="en-US" w:eastAsia="zh-CN"/>
        </w:rPr>
        <w:t>工艺废水、初期雨水和废气吸收水</w:t>
      </w:r>
      <w:r>
        <w:rPr>
          <w:rFonts w:eastAsia="仿宋_GB2312"/>
          <w:b/>
          <w:color w:val="auto"/>
          <w:sz w:val="24"/>
        </w:rPr>
        <w:t>产生情况</w:t>
      </w:r>
    </w:p>
    <w:tbl>
      <w:tblPr>
        <w:tblStyle w:val="88"/>
        <w:tblpPr w:leftFromText="180" w:rightFromText="180" w:vertAnchor="text" w:tblpXSpec="center" w:tblpY="1"/>
        <w:tblOverlap w:val="never"/>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072"/>
        <w:gridCol w:w="1247"/>
        <w:gridCol w:w="1323"/>
        <w:gridCol w:w="1267"/>
        <w:gridCol w:w="1291"/>
        <w:gridCol w:w="1233"/>
        <w:gridCol w:w="1089"/>
      </w:tblGrid>
      <w:tr w14:paraId="114E98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628" w:type="pct"/>
            <w:vMerge w:val="restart"/>
            <w:shd w:val="clear" w:color="auto" w:fill="auto"/>
            <w:vAlign w:val="center"/>
          </w:tcPr>
          <w:p w14:paraId="260B07EC">
            <w:pPr>
              <w:snapToGrid w:val="0"/>
              <w:spacing w:line="320" w:lineRule="exact"/>
              <w:jc w:val="center"/>
              <w:rPr>
                <w:rFonts w:eastAsia="仿宋_GB2312"/>
                <w:b/>
                <w:color w:val="auto"/>
                <w:szCs w:val="21"/>
              </w:rPr>
            </w:pPr>
            <w:r>
              <w:rPr>
                <w:rFonts w:eastAsia="仿宋_GB2312"/>
                <w:b/>
                <w:color w:val="auto"/>
                <w:szCs w:val="21"/>
              </w:rPr>
              <w:t>废水编号</w:t>
            </w:r>
          </w:p>
        </w:tc>
        <w:tc>
          <w:tcPr>
            <w:tcW w:w="731" w:type="pct"/>
            <w:vMerge w:val="restart"/>
            <w:shd w:val="clear" w:color="auto" w:fill="auto"/>
            <w:vAlign w:val="center"/>
          </w:tcPr>
          <w:p w14:paraId="6D933858">
            <w:pPr>
              <w:snapToGrid w:val="0"/>
              <w:spacing w:line="320" w:lineRule="exact"/>
              <w:jc w:val="center"/>
              <w:rPr>
                <w:rFonts w:eastAsia="仿宋_GB2312"/>
                <w:b/>
                <w:color w:val="auto"/>
                <w:szCs w:val="21"/>
              </w:rPr>
            </w:pPr>
            <w:r>
              <w:rPr>
                <w:rFonts w:eastAsia="仿宋_GB2312"/>
                <w:b/>
                <w:color w:val="auto"/>
                <w:szCs w:val="21"/>
              </w:rPr>
              <w:t>废水来源</w:t>
            </w:r>
          </w:p>
        </w:tc>
        <w:tc>
          <w:tcPr>
            <w:tcW w:w="776" w:type="pct"/>
            <w:vMerge w:val="restart"/>
            <w:shd w:val="clear" w:color="auto" w:fill="auto"/>
            <w:vAlign w:val="center"/>
          </w:tcPr>
          <w:p w14:paraId="69FCBD5E">
            <w:pPr>
              <w:snapToGrid w:val="0"/>
              <w:spacing w:line="320" w:lineRule="exact"/>
              <w:jc w:val="center"/>
              <w:rPr>
                <w:rFonts w:eastAsia="仿宋_GB2312"/>
                <w:b/>
                <w:color w:val="auto"/>
                <w:szCs w:val="21"/>
              </w:rPr>
            </w:pPr>
            <w:r>
              <w:rPr>
                <w:rFonts w:eastAsia="仿宋_GB2312"/>
                <w:b/>
                <w:color w:val="auto"/>
                <w:szCs w:val="21"/>
              </w:rPr>
              <w:t>废水量(m</w:t>
            </w:r>
            <w:r>
              <w:rPr>
                <w:rFonts w:eastAsia="仿宋_GB2312"/>
                <w:b/>
                <w:color w:val="auto"/>
                <w:szCs w:val="21"/>
                <w:vertAlign w:val="superscript"/>
              </w:rPr>
              <w:t>3</w:t>
            </w:r>
            <w:r>
              <w:rPr>
                <w:rFonts w:eastAsia="仿宋_GB2312"/>
                <w:b/>
                <w:color w:val="auto"/>
                <w:szCs w:val="21"/>
              </w:rPr>
              <w:t>/a)</w:t>
            </w:r>
          </w:p>
        </w:tc>
        <w:tc>
          <w:tcPr>
            <w:tcW w:w="2224" w:type="pct"/>
            <w:gridSpan w:val="3"/>
            <w:shd w:val="clear" w:color="auto" w:fill="auto"/>
            <w:vAlign w:val="center"/>
          </w:tcPr>
          <w:p w14:paraId="655AAEE7">
            <w:pPr>
              <w:snapToGrid w:val="0"/>
              <w:spacing w:line="320" w:lineRule="exact"/>
              <w:jc w:val="center"/>
              <w:rPr>
                <w:rFonts w:eastAsia="仿宋_GB2312"/>
                <w:b/>
                <w:color w:val="auto"/>
                <w:szCs w:val="21"/>
              </w:rPr>
            </w:pPr>
            <w:r>
              <w:rPr>
                <w:rFonts w:eastAsia="仿宋_GB2312"/>
                <w:b/>
                <w:color w:val="auto"/>
                <w:szCs w:val="21"/>
              </w:rPr>
              <w:t>污染物产生情况</w:t>
            </w:r>
          </w:p>
        </w:tc>
        <w:tc>
          <w:tcPr>
            <w:tcW w:w="638" w:type="pct"/>
            <w:vMerge w:val="restart"/>
            <w:shd w:val="clear" w:color="auto" w:fill="auto"/>
            <w:vAlign w:val="center"/>
          </w:tcPr>
          <w:p w14:paraId="73B001E6">
            <w:pPr>
              <w:snapToGrid w:val="0"/>
              <w:spacing w:line="320" w:lineRule="exact"/>
              <w:jc w:val="center"/>
              <w:rPr>
                <w:rFonts w:eastAsia="仿宋_GB2312"/>
                <w:b/>
                <w:color w:val="auto"/>
                <w:szCs w:val="21"/>
              </w:rPr>
            </w:pPr>
            <w:r>
              <w:rPr>
                <w:rFonts w:eastAsia="仿宋_GB2312"/>
                <w:b/>
                <w:color w:val="auto"/>
                <w:szCs w:val="21"/>
              </w:rPr>
              <w:t>治理方式计排放去向</w:t>
            </w:r>
          </w:p>
        </w:tc>
      </w:tr>
      <w:tr w14:paraId="2B4CEC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628" w:type="pct"/>
            <w:vMerge w:val="continue"/>
            <w:vAlign w:val="center"/>
          </w:tcPr>
          <w:p w14:paraId="3A072A40">
            <w:pPr>
              <w:snapToGrid w:val="0"/>
              <w:spacing w:line="320" w:lineRule="exact"/>
              <w:jc w:val="center"/>
              <w:rPr>
                <w:rFonts w:eastAsia="仿宋_GB2312"/>
                <w:color w:val="FF0000"/>
                <w:szCs w:val="21"/>
              </w:rPr>
            </w:pPr>
          </w:p>
        </w:tc>
        <w:tc>
          <w:tcPr>
            <w:tcW w:w="731" w:type="pct"/>
            <w:vMerge w:val="continue"/>
            <w:vAlign w:val="center"/>
          </w:tcPr>
          <w:p w14:paraId="004F2512">
            <w:pPr>
              <w:snapToGrid w:val="0"/>
              <w:spacing w:line="320" w:lineRule="exact"/>
              <w:jc w:val="center"/>
              <w:rPr>
                <w:rFonts w:eastAsia="仿宋_GB2312"/>
                <w:color w:val="FF0000"/>
                <w:szCs w:val="21"/>
              </w:rPr>
            </w:pPr>
          </w:p>
        </w:tc>
        <w:tc>
          <w:tcPr>
            <w:tcW w:w="776" w:type="pct"/>
            <w:vMerge w:val="continue"/>
            <w:vAlign w:val="center"/>
          </w:tcPr>
          <w:p w14:paraId="6FFB72B6">
            <w:pPr>
              <w:snapToGrid w:val="0"/>
              <w:spacing w:line="320" w:lineRule="exact"/>
              <w:jc w:val="center"/>
              <w:rPr>
                <w:rFonts w:eastAsia="仿宋_GB2312"/>
                <w:color w:val="FF0000"/>
                <w:szCs w:val="21"/>
              </w:rPr>
            </w:pPr>
          </w:p>
        </w:tc>
        <w:tc>
          <w:tcPr>
            <w:tcW w:w="743" w:type="pct"/>
            <w:shd w:val="clear" w:color="auto" w:fill="auto"/>
            <w:vAlign w:val="center"/>
          </w:tcPr>
          <w:p w14:paraId="6F77CCCC">
            <w:pPr>
              <w:snapToGrid w:val="0"/>
              <w:spacing w:line="320" w:lineRule="exact"/>
              <w:jc w:val="center"/>
              <w:rPr>
                <w:rFonts w:eastAsia="仿宋_GB2312"/>
                <w:b/>
                <w:color w:val="auto"/>
                <w:szCs w:val="21"/>
              </w:rPr>
            </w:pPr>
            <w:r>
              <w:rPr>
                <w:rFonts w:eastAsia="仿宋_GB2312"/>
                <w:b/>
                <w:color w:val="auto"/>
                <w:szCs w:val="21"/>
              </w:rPr>
              <w:t>污染物名称</w:t>
            </w:r>
          </w:p>
        </w:tc>
        <w:tc>
          <w:tcPr>
            <w:tcW w:w="757" w:type="pct"/>
            <w:shd w:val="clear" w:color="auto" w:fill="auto"/>
            <w:vAlign w:val="center"/>
          </w:tcPr>
          <w:p w14:paraId="6C141D3B">
            <w:pPr>
              <w:snapToGrid w:val="0"/>
              <w:spacing w:line="320" w:lineRule="exact"/>
              <w:jc w:val="center"/>
              <w:rPr>
                <w:rFonts w:eastAsia="仿宋_GB2312"/>
                <w:b/>
                <w:color w:val="auto"/>
                <w:szCs w:val="21"/>
              </w:rPr>
            </w:pPr>
            <w:r>
              <w:rPr>
                <w:rFonts w:eastAsia="仿宋_GB2312"/>
                <w:b/>
                <w:color w:val="auto"/>
                <w:szCs w:val="21"/>
              </w:rPr>
              <w:t>产生浓度(mg/L)</w:t>
            </w:r>
          </w:p>
        </w:tc>
        <w:tc>
          <w:tcPr>
            <w:tcW w:w="723" w:type="pct"/>
            <w:shd w:val="clear" w:color="auto" w:fill="auto"/>
            <w:vAlign w:val="center"/>
          </w:tcPr>
          <w:p w14:paraId="57506F20">
            <w:pPr>
              <w:snapToGrid w:val="0"/>
              <w:spacing w:line="320" w:lineRule="exact"/>
              <w:jc w:val="center"/>
              <w:rPr>
                <w:rFonts w:eastAsia="仿宋_GB2312"/>
                <w:b/>
                <w:color w:val="auto"/>
                <w:szCs w:val="21"/>
              </w:rPr>
            </w:pPr>
            <w:r>
              <w:rPr>
                <w:rFonts w:eastAsia="仿宋_GB2312"/>
                <w:b/>
                <w:color w:val="auto"/>
                <w:szCs w:val="21"/>
              </w:rPr>
              <w:t>产生量(t/a)</w:t>
            </w:r>
          </w:p>
        </w:tc>
        <w:tc>
          <w:tcPr>
            <w:tcW w:w="638" w:type="pct"/>
            <w:vMerge w:val="continue"/>
            <w:vAlign w:val="center"/>
          </w:tcPr>
          <w:p w14:paraId="2A127802">
            <w:pPr>
              <w:snapToGrid w:val="0"/>
              <w:spacing w:line="320" w:lineRule="exact"/>
              <w:jc w:val="center"/>
              <w:rPr>
                <w:rFonts w:eastAsia="仿宋_GB2312"/>
                <w:color w:val="FF0000"/>
                <w:szCs w:val="21"/>
              </w:rPr>
            </w:pPr>
          </w:p>
        </w:tc>
      </w:tr>
      <w:tr w14:paraId="34F22F0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628" w:type="pct"/>
            <w:vMerge w:val="restart"/>
            <w:vAlign w:val="center"/>
          </w:tcPr>
          <w:p w14:paraId="379CE494">
            <w:pPr>
              <w:keepNext w:val="0"/>
              <w:keepLines w:val="0"/>
              <w:widowControl/>
              <w:suppressLineNumbers w:val="0"/>
              <w:jc w:val="center"/>
              <w:textAlignment w:val="center"/>
              <w:rPr>
                <w:rFonts w:eastAsia="仿宋_GB2312"/>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W1-1-1</w:t>
            </w:r>
          </w:p>
        </w:tc>
        <w:tc>
          <w:tcPr>
            <w:tcW w:w="731" w:type="pct"/>
            <w:vMerge w:val="restart"/>
            <w:vAlign w:val="center"/>
          </w:tcPr>
          <w:p w14:paraId="59F9D0FB">
            <w:pPr>
              <w:keepNext w:val="0"/>
              <w:keepLines w:val="0"/>
              <w:widowControl/>
              <w:suppressLineNumbers w:val="0"/>
              <w:jc w:val="center"/>
              <w:textAlignment w:val="center"/>
              <w:rPr>
                <w:rFonts w:eastAsia="仿宋_GB2312"/>
                <w:color w:val="FF0000"/>
                <w:szCs w:val="21"/>
              </w:rPr>
            </w:pPr>
            <w:r>
              <w:rPr>
                <w:rFonts w:hint="default" w:ascii="仿宋_GB2312" w:hAnsi="宋体" w:eastAsia="仿宋_GB2312" w:cs="仿宋_GB2312"/>
                <w:i w:val="0"/>
                <w:iCs w:val="0"/>
                <w:color w:val="000000"/>
                <w:kern w:val="0"/>
                <w:sz w:val="21"/>
                <w:szCs w:val="21"/>
                <w:u w:val="none"/>
                <w:lang w:val="en-US" w:eastAsia="zh-CN" w:bidi="ar"/>
              </w:rPr>
              <w:t>冷凝废水</w:t>
            </w:r>
          </w:p>
        </w:tc>
        <w:tc>
          <w:tcPr>
            <w:tcW w:w="776" w:type="pct"/>
            <w:vMerge w:val="restart"/>
            <w:vAlign w:val="center"/>
          </w:tcPr>
          <w:p w14:paraId="725F6C09">
            <w:pPr>
              <w:keepNext w:val="0"/>
              <w:keepLines w:val="0"/>
              <w:widowControl/>
              <w:suppressLineNumbers w:val="0"/>
              <w:jc w:val="center"/>
              <w:textAlignment w:val="center"/>
              <w:rPr>
                <w:rFonts w:eastAsia="仿宋_GB2312"/>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364.796</w:t>
            </w:r>
          </w:p>
        </w:tc>
        <w:tc>
          <w:tcPr>
            <w:tcW w:w="743" w:type="pct"/>
            <w:shd w:val="clear" w:color="auto" w:fill="auto"/>
            <w:vAlign w:val="center"/>
          </w:tcPr>
          <w:p w14:paraId="594C9E92">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COD</w:t>
            </w:r>
          </w:p>
        </w:tc>
        <w:tc>
          <w:tcPr>
            <w:tcW w:w="757" w:type="pct"/>
            <w:shd w:val="clear" w:color="auto" w:fill="auto"/>
            <w:vAlign w:val="center"/>
          </w:tcPr>
          <w:p w14:paraId="4866A608">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18914.68</w:t>
            </w:r>
          </w:p>
        </w:tc>
        <w:tc>
          <w:tcPr>
            <w:tcW w:w="723" w:type="pct"/>
            <w:shd w:val="clear" w:color="auto" w:fill="auto"/>
            <w:vAlign w:val="center"/>
          </w:tcPr>
          <w:p w14:paraId="25EFD328">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6.9</w:t>
            </w:r>
          </w:p>
        </w:tc>
        <w:tc>
          <w:tcPr>
            <w:tcW w:w="638" w:type="pct"/>
            <w:vMerge w:val="restart"/>
            <w:vAlign w:val="center"/>
          </w:tcPr>
          <w:p w14:paraId="2E174C2C">
            <w:pPr>
              <w:snapToGrid w:val="0"/>
              <w:spacing w:line="320" w:lineRule="exact"/>
              <w:jc w:val="center"/>
              <w:rPr>
                <w:rFonts w:eastAsia="仿宋_GB2312"/>
                <w:color w:val="FF0000"/>
                <w:szCs w:val="21"/>
              </w:rPr>
            </w:pPr>
            <w:r>
              <w:rPr>
                <w:rFonts w:eastAsia="仿宋_GB2312"/>
                <w:color w:val="auto"/>
                <w:szCs w:val="21"/>
              </w:rPr>
              <w:t>经厂区3#污水站处理后回用</w:t>
            </w:r>
          </w:p>
        </w:tc>
      </w:tr>
      <w:tr w14:paraId="3271CC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628" w:type="pct"/>
            <w:vMerge w:val="continue"/>
            <w:vAlign w:val="center"/>
          </w:tcPr>
          <w:p w14:paraId="71489688">
            <w:pPr>
              <w:jc w:val="center"/>
              <w:rPr>
                <w:rFonts w:eastAsia="仿宋_GB2312"/>
                <w:color w:val="FF0000"/>
                <w:szCs w:val="21"/>
              </w:rPr>
            </w:pPr>
          </w:p>
        </w:tc>
        <w:tc>
          <w:tcPr>
            <w:tcW w:w="731" w:type="pct"/>
            <w:vMerge w:val="continue"/>
            <w:vAlign w:val="center"/>
          </w:tcPr>
          <w:p w14:paraId="0901574B">
            <w:pPr>
              <w:jc w:val="center"/>
              <w:rPr>
                <w:rFonts w:eastAsia="仿宋_GB2312"/>
                <w:color w:val="FF0000"/>
                <w:szCs w:val="21"/>
              </w:rPr>
            </w:pPr>
          </w:p>
        </w:tc>
        <w:tc>
          <w:tcPr>
            <w:tcW w:w="776" w:type="pct"/>
            <w:vMerge w:val="continue"/>
            <w:vAlign w:val="center"/>
          </w:tcPr>
          <w:p w14:paraId="7A7E349B">
            <w:pPr>
              <w:jc w:val="center"/>
              <w:rPr>
                <w:rFonts w:eastAsia="仿宋_GB2312"/>
                <w:color w:val="FF0000"/>
                <w:szCs w:val="21"/>
              </w:rPr>
            </w:pPr>
          </w:p>
        </w:tc>
        <w:tc>
          <w:tcPr>
            <w:tcW w:w="743" w:type="pct"/>
            <w:shd w:val="clear" w:color="auto" w:fill="auto"/>
            <w:vAlign w:val="center"/>
          </w:tcPr>
          <w:p w14:paraId="0A6475E4">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NH</w:t>
            </w:r>
            <w:r>
              <w:rPr>
                <w:rFonts w:hint="default" w:ascii="Times New Roman" w:hAnsi="Times New Roman" w:eastAsia="宋体" w:cs="Times New Roman"/>
                <w:i w:val="0"/>
                <w:iCs w:val="0"/>
                <w:color w:val="000000"/>
                <w:kern w:val="0"/>
                <w:sz w:val="21"/>
                <w:szCs w:val="21"/>
                <w:u w:val="none"/>
                <w:vertAlign w:val="subscript"/>
                <w:lang w:val="en-US" w:eastAsia="zh-CN" w:bidi="ar"/>
              </w:rPr>
              <w:t>3</w:t>
            </w:r>
            <w:r>
              <w:rPr>
                <w:rFonts w:hint="default" w:ascii="Times New Roman" w:hAnsi="Times New Roman" w:eastAsia="宋体" w:cs="Times New Roman"/>
                <w:i w:val="0"/>
                <w:iCs w:val="0"/>
                <w:color w:val="000000"/>
                <w:kern w:val="0"/>
                <w:sz w:val="21"/>
                <w:szCs w:val="21"/>
                <w:u w:val="none"/>
                <w:lang w:val="en-US" w:eastAsia="zh-CN" w:bidi="ar"/>
              </w:rPr>
              <w:t>-N</w:t>
            </w:r>
          </w:p>
        </w:tc>
        <w:tc>
          <w:tcPr>
            <w:tcW w:w="757" w:type="pct"/>
            <w:shd w:val="clear" w:color="auto" w:fill="auto"/>
            <w:vAlign w:val="center"/>
          </w:tcPr>
          <w:p w14:paraId="7CD1ABAE">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30</w:t>
            </w:r>
          </w:p>
        </w:tc>
        <w:tc>
          <w:tcPr>
            <w:tcW w:w="723" w:type="pct"/>
            <w:shd w:val="clear" w:color="auto" w:fill="auto"/>
            <w:vAlign w:val="center"/>
          </w:tcPr>
          <w:p w14:paraId="02F4097D">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0.01</w:t>
            </w:r>
          </w:p>
        </w:tc>
        <w:tc>
          <w:tcPr>
            <w:tcW w:w="638" w:type="pct"/>
            <w:vMerge w:val="continue"/>
            <w:vAlign w:val="center"/>
          </w:tcPr>
          <w:p w14:paraId="21042BFE">
            <w:pPr>
              <w:snapToGrid w:val="0"/>
              <w:spacing w:line="320" w:lineRule="exact"/>
              <w:jc w:val="center"/>
              <w:rPr>
                <w:rFonts w:eastAsia="仿宋_GB2312"/>
                <w:color w:val="FF0000"/>
                <w:szCs w:val="21"/>
              </w:rPr>
            </w:pPr>
          </w:p>
        </w:tc>
      </w:tr>
      <w:tr w14:paraId="054737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628" w:type="pct"/>
            <w:vMerge w:val="continue"/>
            <w:vAlign w:val="center"/>
          </w:tcPr>
          <w:p w14:paraId="38681219">
            <w:pPr>
              <w:jc w:val="center"/>
              <w:rPr>
                <w:rFonts w:eastAsia="仿宋_GB2312"/>
                <w:color w:val="FF0000"/>
                <w:szCs w:val="21"/>
              </w:rPr>
            </w:pPr>
          </w:p>
        </w:tc>
        <w:tc>
          <w:tcPr>
            <w:tcW w:w="731" w:type="pct"/>
            <w:vMerge w:val="continue"/>
            <w:vAlign w:val="center"/>
          </w:tcPr>
          <w:p w14:paraId="6A0FEA7D">
            <w:pPr>
              <w:jc w:val="center"/>
              <w:rPr>
                <w:rFonts w:eastAsia="仿宋_GB2312"/>
                <w:color w:val="FF0000"/>
                <w:szCs w:val="21"/>
              </w:rPr>
            </w:pPr>
          </w:p>
        </w:tc>
        <w:tc>
          <w:tcPr>
            <w:tcW w:w="776" w:type="pct"/>
            <w:vMerge w:val="continue"/>
            <w:vAlign w:val="center"/>
          </w:tcPr>
          <w:p w14:paraId="12D67DA8">
            <w:pPr>
              <w:jc w:val="center"/>
              <w:rPr>
                <w:rFonts w:eastAsia="仿宋_GB2312"/>
                <w:color w:val="FF0000"/>
                <w:szCs w:val="21"/>
              </w:rPr>
            </w:pPr>
          </w:p>
        </w:tc>
        <w:tc>
          <w:tcPr>
            <w:tcW w:w="743" w:type="pct"/>
            <w:shd w:val="clear" w:color="auto" w:fill="auto"/>
            <w:vAlign w:val="center"/>
          </w:tcPr>
          <w:p w14:paraId="18828F2F">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TN</w:t>
            </w:r>
          </w:p>
        </w:tc>
        <w:tc>
          <w:tcPr>
            <w:tcW w:w="757" w:type="pct"/>
            <w:shd w:val="clear" w:color="auto" w:fill="auto"/>
            <w:vAlign w:val="center"/>
          </w:tcPr>
          <w:p w14:paraId="7DAC607E">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4468</w:t>
            </w:r>
          </w:p>
        </w:tc>
        <w:tc>
          <w:tcPr>
            <w:tcW w:w="723" w:type="pct"/>
            <w:shd w:val="clear" w:color="auto" w:fill="auto"/>
            <w:vAlign w:val="center"/>
          </w:tcPr>
          <w:p w14:paraId="674360BD">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1.63</w:t>
            </w:r>
          </w:p>
        </w:tc>
        <w:tc>
          <w:tcPr>
            <w:tcW w:w="638" w:type="pct"/>
            <w:vMerge w:val="continue"/>
            <w:vAlign w:val="center"/>
          </w:tcPr>
          <w:p w14:paraId="29B969BC">
            <w:pPr>
              <w:snapToGrid w:val="0"/>
              <w:spacing w:line="320" w:lineRule="exact"/>
              <w:jc w:val="center"/>
              <w:rPr>
                <w:rFonts w:eastAsia="仿宋_GB2312"/>
                <w:color w:val="FF0000"/>
                <w:szCs w:val="21"/>
              </w:rPr>
            </w:pPr>
          </w:p>
        </w:tc>
      </w:tr>
      <w:tr w14:paraId="78A9E5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628" w:type="pct"/>
            <w:vMerge w:val="continue"/>
            <w:vAlign w:val="center"/>
          </w:tcPr>
          <w:p w14:paraId="58077B71">
            <w:pPr>
              <w:jc w:val="center"/>
              <w:rPr>
                <w:rFonts w:eastAsia="仿宋_GB2312"/>
                <w:color w:val="FF0000"/>
                <w:szCs w:val="21"/>
              </w:rPr>
            </w:pPr>
          </w:p>
        </w:tc>
        <w:tc>
          <w:tcPr>
            <w:tcW w:w="731" w:type="pct"/>
            <w:vMerge w:val="continue"/>
            <w:vAlign w:val="center"/>
          </w:tcPr>
          <w:p w14:paraId="5CB80618">
            <w:pPr>
              <w:jc w:val="center"/>
              <w:rPr>
                <w:rFonts w:eastAsia="仿宋_GB2312"/>
                <w:color w:val="FF0000"/>
                <w:szCs w:val="21"/>
              </w:rPr>
            </w:pPr>
          </w:p>
        </w:tc>
        <w:tc>
          <w:tcPr>
            <w:tcW w:w="776" w:type="pct"/>
            <w:vMerge w:val="continue"/>
            <w:vAlign w:val="center"/>
          </w:tcPr>
          <w:p w14:paraId="03617AE9">
            <w:pPr>
              <w:jc w:val="center"/>
              <w:rPr>
                <w:rFonts w:eastAsia="仿宋_GB2312"/>
                <w:color w:val="FF0000"/>
                <w:szCs w:val="21"/>
              </w:rPr>
            </w:pPr>
          </w:p>
        </w:tc>
        <w:tc>
          <w:tcPr>
            <w:tcW w:w="743" w:type="pct"/>
            <w:shd w:val="clear" w:color="auto" w:fill="auto"/>
            <w:vAlign w:val="center"/>
          </w:tcPr>
          <w:p w14:paraId="679D51BC">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TP</w:t>
            </w:r>
          </w:p>
        </w:tc>
        <w:tc>
          <w:tcPr>
            <w:tcW w:w="757" w:type="pct"/>
            <w:shd w:val="clear" w:color="auto" w:fill="auto"/>
            <w:vAlign w:val="center"/>
          </w:tcPr>
          <w:p w14:paraId="404BDAA1">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723" w:type="pct"/>
            <w:shd w:val="clear" w:color="auto" w:fill="auto"/>
            <w:vAlign w:val="center"/>
          </w:tcPr>
          <w:p w14:paraId="466B85DE">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0.001</w:t>
            </w:r>
          </w:p>
        </w:tc>
        <w:tc>
          <w:tcPr>
            <w:tcW w:w="638" w:type="pct"/>
            <w:vMerge w:val="continue"/>
            <w:vAlign w:val="center"/>
          </w:tcPr>
          <w:p w14:paraId="28CEF889">
            <w:pPr>
              <w:snapToGrid w:val="0"/>
              <w:spacing w:line="320" w:lineRule="exact"/>
              <w:jc w:val="center"/>
              <w:rPr>
                <w:rFonts w:eastAsia="仿宋_GB2312"/>
                <w:color w:val="FF0000"/>
                <w:szCs w:val="21"/>
              </w:rPr>
            </w:pPr>
          </w:p>
        </w:tc>
      </w:tr>
      <w:tr w14:paraId="2FA6BE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628" w:type="pct"/>
            <w:vMerge w:val="restart"/>
            <w:vAlign w:val="center"/>
          </w:tcPr>
          <w:p w14:paraId="47FD0CE5">
            <w:pPr>
              <w:keepNext w:val="0"/>
              <w:keepLines w:val="0"/>
              <w:widowControl/>
              <w:suppressLineNumbers w:val="0"/>
              <w:jc w:val="center"/>
              <w:textAlignment w:val="center"/>
              <w:rPr>
                <w:rFonts w:eastAsia="仿宋_GB2312"/>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W1-2-1</w:t>
            </w:r>
          </w:p>
        </w:tc>
        <w:tc>
          <w:tcPr>
            <w:tcW w:w="731" w:type="pct"/>
            <w:vMerge w:val="restart"/>
            <w:vAlign w:val="center"/>
          </w:tcPr>
          <w:p w14:paraId="70E12DC0">
            <w:pPr>
              <w:keepNext w:val="0"/>
              <w:keepLines w:val="0"/>
              <w:widowControl/>
              <w:suppressLineNumbers w:val="0"/>
              <w:jc w:val="center"/>
              <w:textAlignment w:val="center"/>
              <w:rPr>
                <w:rFonts w:eastAsia="仿宋_GB2312"/>
                <w:color w:val="FF0000"/>
                <w:szCs w:val="21"/>
              </w:rPr>
            </w:pPr>
            <w:r>
              <w:rPr>
                <w:rFonts w:hint="default" w:ascii="仿宋_GB2312" w:hAnsi="宋体" w:eastAsia="仿宋_GB2312" w:cs="仿宋_GB2312"/>
                <w:i w:val="0"/>
                <w:iCs w:val="0"/>
                <w:color w:val="000000"/>
                <w:kern w:val="0"/>
                <w:sz w:val="21"/>
                <w:szCs w:val="21"/>
                <w:u w:val="none"/>
                <w:lang w:val="en-US" w:eastAsia="zh-CN" w:bidi="ar"/>
              </w:rPr>
              <w:t>冷凝废水</w:t>
            </w:r>
          </w:p>
        </w:tc>
        <w:tc>
          <w:tcPr>
            <w:tcW w:w="776" w:type="pct"/>
            <w:vMerge w:val="restart"/>
            <w:vAlign w:val="center"/>
          </w:tcPr>
          <w:p w14:paraId="08784CB2">
            <w:pPr>
              <w:keepNext w:val="0"/>
              <w:keepLines w:val="0"/>
              <w:widowControl/>
              <w:suppressLineNumbers w:val="0"/>
              <w:jc w:val="center"/>
              <w:textAlignment w:val="center"/>
              <w:rPr>
                <w:rFonts w:eastAsia="仿宋_GB2312"/>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8397.263</w:t>
            </w:r>
          </w:p>
        </w:tc>
        <w:tc>
          <w:tcPr>
            <w:tcW w:w="743" w:type="pct"/>
            <w:shd w:val="clear" w:color="auto" w:fill="auto"/>
            <w:vAlign w:val="center"/>
          </w:tcPr>
          <w:p w14:paraId="71137C05">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COD</w:t>
            </w:r>
          </w:p>
        </w:tc>
        <w:tc>
          <w:tcPr>
            <w:tcW w:w="757" w:type="pct"/>
            <w:shd w:val="clear" w:color="auto" w:fill="auto"/>
            <w:vAlign w:val="center"/>
          </w:tcPr>
          <w:p w14:paraId="4722E203">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17092</w:t>
            </w:r>
          </w:p>
        </w:tc>
        <w:tc>
          <w:tcPr>
            <w:tcW w:w="723" w:type="pct"/>
            <w:shd w:val="clear" w:color="auto" w:fill="auto"/>
            <w:vAlign w:val="center"/>
          </w:tcPr>
          <w:p w14:paraId="3E58B3E8">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143.53</w:t>
            </w:r>
          </w:p>
        </w:tc>
        <w:tc>
          <w:tcPr>
            <w:tcW w:w="638" w:type="pct"/>
            <w:vMerge w:val="continue"/>
            <w:vAlign w:val="center"/>
          </w:tcPr>
          <w:p w14:paraId="146A76D8">
            <w:pPr>
              <w:snapToGrid w:val="0"/>
              <w:spacing w:line="320" w:lineRule="exact"/>
              <w:jc w:val="center"/>
              <w:rPr>
                <w:rFonts w:eastAsia="仿宋_GB2312"/>
                <w:color w:val="FF0000"/>
                <w:szCs w:val="21"/>
              </w:rPr>
            </w:pPr>
          </w:p>
        </w:tc>
      </w:tr>
      <w:tr w14:paraId="438856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628" w:type="pct"/>
            <w:vMerge w:val="continue"/>
            <w:vAlign w:val="center"/>
          </w:tcPr>
          <w:p w14:paraId="2B0C6A61">
            <w:pPr>
              <w:jc w:val="center"/>
              <w:rPr>
                <w:rFonts w:eastAsia="仿宋_GB2312"/>
                <w:color w:val="FF0000"/>
                <w:szCs w:val="21"/>
              </w:rPr>
            </w:pPr>
          </w:p>
        </w:tc>
        <w:tc>
          <w:tcPr>
            <w:tcW w:w="731" w:type="pct"/>
            <w:vMerge w:val="continue"/>
            <w:vAlign w:val="center"/>
          </w:tcPr>
          <w:p w14:paraId="1D565691">
            <w:pPr>
              <w:jc w:val="center"/>
              <w:rPr>
                <w:rFonts w:eastAsia="仿宋_GB2312"/>
                <w:color w:val="FF0000"/>
                <w:szCs w:val="21"/>
              </w:rPr>
            </w:pPr>
          </w:p>
        </w:tc>
        <w:tc>
          <w:tcPr>
            <w:tcW w:w="776" w:type="pct"/>
            <w:vMerge w:val="continue"/>
            <w:vAlign w:val="center"/>
          </w:tcPr>
          <w:p w14:paraId="403CB7DB">
            <w:pPr>
              <w:jc w:val="center"/>
              <w:rPr>
                <w:rFonts w:eastAsia="仿宋_GB2312"/>
                <w:color w:val="FF0000"/>
                <w:szCs w:val="21"/>
              </w:rPr>
            </w:pPr>
          </w:p>
        </w:tc>
        <w:tc>
          <w:tcPr>
            <w:tcW w:w="743" w:type="pct"/>
            <w:shd w:val="clear" w:color="auto" w:fill="auto"/>
            <w:vAlign w:val="center"/>
          </w:tcPr>
          <w:p w14:paraId="67F07A64">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NH</w:t>
            </w:r>
            <w:r>
              <w:rPr>
                <w:rFonts w:hint="default" w:ascii="Times New Roman" w:hAnsi="Times New Roman" w:eastAsia="宋体" w:cs="Times New Roman"/>
                <w:i w:val="0"/>
                <w:iCs w:val="0"/>
                <w:color w:val="000000"/>
                <w:kern w:val="0"/>
                <w:sz w:val="21"/>
                <w:szCs w:val="21"/>
                <w:u w:val="none"/>
                <w:vertAlign w:val="subscript"/>
                <w:lang w:val="en-US" w:eastAsia="zh-CN" w:bidi="ar"/>
              </w:rPr>
              <w:t>3</w:t>
            </w:r>
            <w:r>
              <w:rPr>
                <w:rFonts w:hint="default" w:ascii="Times New Roman" w:hAnsi="Times New Roman" w:eastAsia="宋体" w:cs="Times New Roman"/>
                <w:i w:val="0"/>
                <w:iCs w:val="0"/>
                <w:color w:val="000000"/>
                <w:kern w:val="0"/>
                <w:sz w:val="21"/>
                <w:szCs w:val="21"/>
                <w:u w:val="none"/>
                <w:lang w:val="en-US" w:eastAsia="zh-CN" w:bidi="ar"/>
              </w:rPr>
              <w:t>-N</w:t>
            </w:r>
          </w:p>
        </w:tc>
        <w:tc>
          <w:tcPr>
            <w:tcW w:w="757" w:type="pct"/>
            <w:shd w:val="clear" w:color="auto" w:fill="auto"/>
            <w:vAlign w:val="center"/>
          </w:tcPr>
          <w:p w14:paraId="73FCBD8D">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30</w:t>
            </w:r>
          </w:p>
        </w:tc>
        <w:tc>
          <w:tcPr>
            <w:tcW w:w="723" w:type="pct"/>
            <w:shd w:val="clear" w:color="auto" w:fill="auto"/>
            <w:vAlign w:val="center"/>
          </w:tcPr>
          <w:p w14:paraId="445C63F3">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0.25</w:t>
            </w:r>
          </w:p>
        </w:tc>
        <w:tc>
          <w:tcPr>
            <w:tcW w:w="638" w:type="pct"/>
            <w:vMerge w:val="continue"/>
            <w:vAlign w:val="center"/>
          </w:tcPr>
          <w:p w14:paraId="7151E4AB">
            <w:pPr>
              <w:snapToGrid w:val="0"/>
              <w:spacing w:line="320" w:lineRule="exact"/>
              <w:jc w:val="center"/>
              <w:rPr>
                <w:rFonts w:eastAsia="仿宋_GB2312"/>
                <w:color w:val="FF0000"/>
                <w:szCs w:val="21"/>
              </w:rPr>
            </w:pPr>
          </w:p>
        </w:tc>
      </w:tr>
      <w:tr w14:paraId="049497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628" w:type="pct"/>
            <w:vMerge w:val="continue"/>
            <w:vAlign w:val="center"/>
          </w:tcPr>
          <w:p w14:paraId="7E9C5C1C">
            <w:pPr>
              <w:jc w:val="center"/>
              <w:rPr>
                <w:rFonts w:eastAsia="仿宋_GB2312"/>
                <w:color w:val="FF0000"/>
                <w:szCs w:val="21"/>
              </w:rPr>
            </w:pPr>
          </w:p>
        </w:tc>
        <w:tc>
          <w:tcPr>
            <w:tcW w:w="731" w:type="pct"/>
            <w:vMerge w:val="continue"/>
            <w:vAlign w:val="center"/>
          </w:tcPr>
          <w:p w14:paraId="28761E4D">
            <w:pPr>
              <w:jc w:val="center"/>
              <w:rPr>
                <w:rFonts w:eastAsia="仿宋_GB2312"/>
                <w:color w:val="FF0000"/>
                <w:szCs w:val="21"/>
              </w:rPr>
            </w:pPr>
          </w:p>
        </w:tc>
        <w:tc>
          <w:tcPr>
            <w:tcW w:w="776" w:type="pct"/>
            <w:vMerge w:val="continue"/>
            <w:vAlign w:val="center"/>
          </w:tcPr>
          <w:p w14:paraId="23A49109">
            <w:pPr>
              <w:jc w:val="center"/>
              <w:rPr>
                <w:rFonts w:eastAsia="仿宋_GB2312"/>
                <w:color w:val="FF0000"/>
                <w:szCs w:val="21"/>
              </w:rPr>
            </w:pPr>
          </w:p>
        </w:tc>
        <w:tc>
          <w:tcPr>
            <w:tcW w:w="743" w:type="pct"/>
            <w:shd w:val="clear" w:color="auto" w:fill="auto"/>
            <w:vAlign w:val="center"/>
          </w:tcPr>
          <w:p w14:paraId="140051BF">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TN</w:t>
            </w:r>
          </w:p>
        </w:tc>
        <w:tc>
          <w:tcPr>
            <w:tcW w:w="757" w:type="pct"/>
            <w:shd w:val="clear" w:color="auto" w:fill="auto"/>
            <w:vAlign w:val="center"/>
          </w:tcPr>
          <w:p w14:paraId="4B84697F">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45</w:t>
            </w:r>
          </w:p>
        </w:tc>
        <w:tc>
          <w:tcPr>
            <w:tcW w:w="723" w:type="pct"/>
            <w:shd w:val="clear" w:color="auto" w:fill="auto"/>
            <w:vAlign w:val="center"/>
          </w:tcPr>
          <w:p w14:paraId="50B54E49">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0.376</w:t>
            </w:r>
          </w:p>
        </w:tc>
        <w:tc>
          <w:tcPr>
            <w:tcW w:w="638" w:type="pct"/>
            <w:vMerge w:val="continue"/>
            <w:vAlign w:val="center"/>
          </w:tcPr>
          <w:p w14:paraId="1820688A">
            <w:pPr>
              <w:snapToGrid w:val="0"/>
              <w:spacing w:line="320" w:lineRule="exact"/>
              <w:jc w:val="center"/>
              <w:rPr>
                <w:rFonts w:eastAsia="仿宋_GB2312"/>
                <w:color w:val="FF0000"/>
                <w:szCs w:val="21"/>
              </w:rPr>
            </w:pPr>
          </w:p>
        </w:tc>
      </w:tr>
      <w:tr w14:paraId="44E36D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628" w:type="pct"/>
            <w:vMerge w:val="continue"/>
            <w:vAlign w:val="center"/>
          </w:tcPr>
          <w:p w14:paraId="6BA4E244">
            <w:pPr>
              <w:jc w:val="center"/>
              <w:rPr>
                <w:rFonts w:eastAsia="仿宋_GB2312"/>
                <w:color w:val="FF0000"/>
                <w:szCs w:val="21"/>
              </w:rPr>
            </w:pPr>
          </w:p>
        </w:tc>
        <w:tc>
          <w:tcPr>
            <w:tcW w:w="731" w:type="pct"/>
            <w:vMerge w:val="continue"/>
            <w:vAlign w:val="center"/>
          </w:tcPr>
          <w:p w14:paraId="73376555">
            <w:pPr>
              <w:jc w:val="center"/>
              <w:rPr>
                <w:rFonts w:eastAsia="仿宋_GB2312"/>
                <w:color w:val="FF0000"/>
                <w:szCs w:val="21"/>
              </w:rPr>
            </w:pPr>
          </w:p>
        </w:tc>
        <w:tc>
          <w:tcPr>
            <w:tcW w:w="776" w:type="pct"/>
            <w:vMerge w:val="continue"/>
            <w:vAlign w:val="center"/>
          </w:tcPr>
          <w:p w14:paraId="2FA08919">
            <w:pPr>
              <w:jc w:val="center"/>
              <w:rPr>
                <w:rFonts w:eastAsia="仿宋_GB2312"/>
                <w:color w:val="FF0000"/>
                <w:szCs w:val="21"/>
              </w:rPr>
            </w:pPr>
          </w:p>
        </w:tc>
        <w:tc>
          <w:tcPr>
            <w:tcW w:w="743" w:type="pct"/>
            <w:shd w:val="clear" w:color="auto" w:fill="auto"/>
            <w:vAlign w:val="center"/>
          </w:tcPr>
          <w:p w14:paraId="0B04AAB7">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TP</w:t>
            </w:r>
          </w:p>
        </w:tc>
        <w:tc>
          <w:tcPr>
            <w:tcW w:w="757" w:type="pct"/>
            <w:shd w:val="clear" w:color="auto" w:fill="auto"/>
            <w:vAlign w:val="center"/>
          </w:tcPr>
          <w:p w14:paraId="163D4D28">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723" w:type="pct"/>
            <w:shd w:val="clear" w:color="auto" w:fill="auto"/>
            <w:vAlign w:val="center"/>
          </w:tcPr>
          <w:p w14:paraId="3466D34D">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0.025</w:t>
            </w:r>
          </w:p>
        </w:tc>
        <w:tc>
          <w:tcPr>
            <w:tcW w:w="638" w:type="pct"/>
            <w:vMerge w:val="continue"/>
            <w:vAlign w:val="center"/>
          </w:tcPr>
          <w:p w14:paraId="566D1CEC">
            <w:pPr>
              <w:snapToGrid w:val="0"/>
              <w:spacing w:line="320" w:lineRule="exact"/>
              <w:jc w:val="center"/>
              <w:rPr>
                <w:rFonts w:eastAsia="仿宋_GB2312"/>
                <w:color w:val="FF0000"/>
                <w:szCs w:val="21"/>
              </w:rPr>
            </w:pPr>
          </w:p>
        </w:tc>
      </w:tr>
      <w:tr w14:paraId="401C6B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628" w:type="pct"/>
            <w:vMerge w:val="restart"/>
            <w:vAlign w:val="center"/>
          </w:tcPr>
          <w:p w14:paraId="7A590DF7">
            <w:pPr>
              <w:keepNext w:val="0"/>
              <w:keepLines w:val="0"/>
              <w:widowControl/>
              <w:suppressLineNumbers w:val="0"/>
              <w:jc w:val="center"/>
              <w:textAlignment w:val="center"/>
              <w:rPr>
                <w:rFonts w:eastAsia="仿宋_GB2312"/>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W2-2-1</w:t>
            </w:r>
          </w:p>
        </w:tc>
        <w:tc>
          <w:tcPr>
            <w:tcW w:w="731" w:type="pct"/>
            <w:vMerge w:val="restart"/>
            <w:vAlign w:val="center"/>
          </w:tcPr>
          <w:p w14:paraId="1AFE8658">
            <w:pPr>
              <w:keepNext w:val="0"/>
              <w:keepLines w:val="0"/>
              <w:widowControl/>
              <w:suppressLineNumbers w:val="0"/>
              <w:jc w:val="center"/>
              <w:textAlignment w:val="center"/>
              <w:rPr>
                <w:rFonts w:eastAsia="仿宋_GB2312"/>
                <w:color w:val="FF0000"/>
                <w:szCs w:val="21"/>
              </w:rPr>
            </w:pPr>
            <w:r>
              <w:rPr>
                <w:rFonts w:hint="default" w:ascii="仿宋_GB2312" w:hAnsi="宋体" w:eastAsia="仿宋_GB2312" w:cs="仿宋_GB2312"/>
                <w:i w:val="0"/>
                <w:iCs w:val="0"/>
                <w:color w:val="000000"/>
                <w:kern w:val="0"/>
                <w:sz w:val="21"/>
                <w:szCs w:val="21"/>
                <w:u w:val="none"/>
                <w:lang w:val="en-US" w:eastAsia="zh-CN" w:bidi="ar"/>
              </w:rPr>
              <w:t>冷凝废水</w:t>
            </w:r>
          </w:p>
        </w:tc>
        <w:tc>
          <w:tcPr>
            <w:tcW w:w="776" w:type="pct"/>
            <w:vMerge w:val="restart"/>
            <w:vAlign w:val="center"/>
          </w:tcPr>
          <w:p w14:paraId="5421FE14">
            <w:pPr>
              <w:keepNext w:val="0"/>
              <w:keepLines w:val="0"/>
              <w:widowControl/>
              <w:suppressLineNumbers w:val="0"/>
              <w:jc w:val="center"/>
              <w:textAlignment w:val="center"/>
              <w:rPr>
                <w:rFonts w:eastAsia="仿宋_GB2312"/>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290.584</w:t>
            </w:r>
          </w:p>
        </w:tc>
        <w:tc>
          <w:tcPr>
            <w:tcW w:w="743" w:type="pct"/>
            <w:shd w:val="clear" w:color="auto" w:fill="auto"/>
            <w:vAlign w:val="center"/>
          </w:tcPr>
          <w:p w14:paraId="386562AB">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COD</w:t>
            </w:r>
          </w:p>
        </w:tc>
        <w:tc>
          <w:tcPr>
            <w:tcW w:w="757" w:type="pct"/>
            <w:shd w:val="clear" w:color="auto" w:fill="auto"/>
            <w:vAlign w:val="center"/>
          </w:tcPr>
          <w:p w14:paraId="6D016A93">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4579</w:t>
            </w:r>
          </w:p>
        </w:tc>
        <w:tc>
          <w:tcPr>
            <w:tcW w:w="723" w:type="pct"/>
            <w:shd w:val="clear" w:color="auto" w:fill="auto"/>
            <w:vAlign w:val="center"/>
          </w:tcPr>
          <w:p w14:paraId="596CC6BB">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1.3305</w:t>
            </w:r>
          </w:p>
        </w:tc>
        <w:tc>
          <w:tcPr>
            <w:tcW w:w="638" w:type="pct"/>
            <w:vMerge w:val="continue"/>
            <w:vAlign w:val="center"/>
          </w:tcPr>
          <w:p w14:paraId="06CF7312">
            <w:pPr>
              <w:snapToGrid w:val="0"/>
              <w:spacing w:line="320" w:lineRule="exact"/>
              <w:jc w:val="center"/>
              <w:rPr>
                <w:rFonts w:eastAsia="仿宋_GB2312"/>
                <w:color w:val="FF0000"/>
                <w:szCs w:val="21"/>
              </w:rPr>
            </w:pPr>
          </w:p>
        </w:tc>
      </w:tr>
      <w:tr w14:paraId="25FB47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628" w:type="pct"/>
            <w:vMerge w:val="continue"/>
            <w:vAlign w:val="center"/>
          </w:tcPr>
          <w:p w14:paraId="2402F48C">
            <w:pPr>
              <w:jc w:val="center"/>
              <w:rPr>
                <w:rFonts w:eastAsia="仿宋_GB2312"/>
                <w:color w:val="FF0000"/>
                <w:szCs w:val="21"/>
              </w:rPr>
            </w:pPr>
          </w:p>
        </w:tc>
        <w:tc>
          <w:tcPr>
            <w:tcW w:w="731" w:type="pct"/>
            <w:vMerge w:val="continue"/>
            <w:vAlign w:val="center"/>
          </w:tcPr>
          <w:p w14:paraId="35798D08">
            <w:pPr>
              <w:jc w:val="center"/>
              <w:rPr>
                <w:rFonts w:eastAsia="仿宋_GB2312"/>
                <w:color w:val="FF0000"/>
                <w:szCs w:val="21"/>
              </w:rPr>
            </w:pPr>
          </w:p>
        </w:tc>
        <w:tc>
          <w:tcPr>
            <w:tcW w:w="776" w:type="pct"/>
            <w:vMerge w:val="continue"/>
            <w:vAlign w:val="center"/>
          </w:tcPr>
          <w:p w14:paraId="3D838E7F">
            <w:pPr>
              <w:jc w:val="center"/>
              <w:rPr>
                <w:rFonts w:eastAsia="仿宋_GB2312"/>
                <w:color w:val="FF0000"/>
                <w:szCs w:val="21"/>
              </w:rPr>
            </w:pPr>
          </w:p>
        </w:tc>
        <w:tc>
          <w:tcPr>
            <w:tcW w:w="743" w:type="pct"/>
            <w:shd w:val="clear" w:color="auto" w:fill="auto"/>
            <w:vAlign w:val="center"/>
          </w:tcPr>
          <w:p w14:paraId="43E3E01A">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NH</w:t>
            </w:r>
            <w:r>
              <w:rPr>
                <w:rFonts w:hint="default" w:ascii="Times New Roman" w:hAnsi="Times New Roman" w:eastAsia="宋体" w:cs="Times New Roman"/>
                <w:i w:val="0"/>
                <w:iCs w:val="0"/>
                <w:color w:val="000000"/>
                <w:kern w:val="0"/>
                <w:sz w:val="21"/>
                <w:szCs w:val="21"/>
                <w:u w:val="none"/>
                <w:vertAlign w:val="subscript"/>
                <w:lang w:val="en-US" w:eastAsia="zh-CN" w:bidi="ar"/>
              </w:rPr>
              <w:t>3</w:t>
            </w:r>
            <w:r>
              <w:rPr>
                <w:rFonts w:hint="default" w:ascii="Times New Roman" w:hAnsi="Times New Roman" w:eastAsia="宋体" w:cs="Times New Roman"/>
                <w:i w:val="0"/>
                <w:iCs w:val="0"/>
                <w:color w:val="000000"/>
                <w:kern w:val="0"/>
                <w:sz w:val="21"/>
                <w:szCs w:val="21"/>
                <w:u w:val="none"/>
                <w:lang w:val="en-US" w:eastAsia="zh-CN" w:bidi="ar"/>
              </w:rPr>
              <w:t>-N</w:t>
            </w:r>
          </w:p>
        </w:tc>
        <w:tc>
          <w:tcPr>
            <w:tcW w:w="757" w:type="pct"/>
            <w:shd w:val="clear" w:color="auto" w:fill="auto"/>
            <w:vAlign w:val="center"/>
          </w:tcPr>
          <w:p w14:paraId="3FB1A647">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30</w:t>
            </w:r>
          </w:p>
        </w:tc>
        <w:tc>
          <w:tcPr>
            <w:tcW w:w="723" w:type="pct"/>
            <w:shd w:val="clear" w:color="auto" w:fill="auto"/>
            <w:vAlign w:val="center"/>
          </w:tcPr>
          <w:p w14:paraId="2B967D62">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0.009</w:t>
            </w:r>
          </w:p>
        </w:tc>
        <w:tc>
          <w:tcPr>
            <w:tcW w:w="638" w:type="pct"/>
            <w:vMerge w:val="continue"/>
            <w:vAlign w:val="center"/>
          </w:tcPr>
          <w:p w14:paraId="32E6890A">
            <w:pPr>
              <w:snapToGrid w:val="0"/>
              <w:spacing w:line="320" w:lineRule="exact"/>
              <w:jc w:val="center"/>
              <w:rPr>
                <w:rFonts w:eastAsia="仿宋_GB2312"/>
                <w:color w:val="FF0000"/>
                <w:szCs w:val="21"/>
              </w:rPr>
            </w:pPr>
          </w:p>
        </w:tc>
      </w:tr>
      <w:tr w14:paraId="24E9CA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628" w:type="pct"/>
            <w:vMerge w:val="continue"/>
            <w:vAlign w:val="center"/>
          </w:tcPr>
          <w:p w14:paraId="36DACCBF">
            <w:pPr>
              <w:jc w:val="center"/>
              <w:rPr>
                <w:rFonts w:eastAsia="仿宋_GB2312"/>
                <w:color w:val="FF0000"/>
                <w:szCs w:val="21"/>
              </w:rPr>
            </w:pPr>
          </w:p>
        </w:tc>
        <w:tc>
          <w:tcPr>
            <w:tcW w:w="731" w:type="pct"/>
            <w:vMerge w:val="continue"/>
            <w:vAlign w:val="center"/>
          </w:tcPr>
          <w:p w14:paraId="62B674FF">
            <w:pPr>
              <w:jc w:val="center"/>
              <w:rPr>
                <w:rFonts w:eastAsia="仿宋_GB2312"/>
                <w:color w:val="FF0000"/>
                <w:szCs w:val="21"/>
              </w:rPr>
            </w:pPr>
          </w:p>
        </w:tc>
        <w:tc>
          <w:tcPr>
            <w:tcW w:w="776" w:type="pct"/>
            <w:vMerge w:val="continue"/>
            <w:vAlign w:val="center"/>
          </w:tcPr>
          <w:p w14:paraId="6931E5AC">
            <w:pPr>
              <w:jc w:val="center"/>
              <w:rPr>
                <w:rFonts w:eastAsia="仿宋_GB2312"/>
                <w:color w:val="FF0000"/>
                <w:szCs w:val="21"/>
              </w:rPr>
            </w:pPr>
          </w:p>
        </w:tc>
        <w:tc>
          <w:tcPr>
            <w:tcW w:w="743" w:type="pct"/>
            <w:shd w:val="clear" w:color="auto" w:fill="auto"/>
            <w:vAlign w:val="center"/>
          </w:tcPr>
          <w:p w14:paraId="382CCAEB">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TN</w:t>
            </w:r>
          </w:p>
        </w:tc>
        <w:tc>
          <w:tcPr>
            <w:tcW w:w="757" w:type="pct"/>
            <w:shd w:val="clear" w:color="auto" w:fill="auto"/>
            <w:vAlign w:val="center"/>
          </w:tcPr>
          <w:p w14:paraId="60810369">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45</w:t>
            </w:r>
          </w:p>
        </w:tc>
        <w:tc>
          <w:tcPr>
            <w:tcW w:w="723" w:type="pct"/>
            <w:shd w:val="clear" w:color="auto" w:fill="auto"/>
            <w:vAlign w:val="center"/>
          </w:tcPr>
          <w:p w14:paraId="1B18C2CD">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0.013</w:t>
            </w:r>
          </w:p>
        </w:tc>
        <w:tc>
          <w:tcPr>
            <w:tcW w:w="638" w:type="pct"/>
            <w:vMerge w:val="continue"/>
            <w:vAlign w:val="center"/>
          </w:tcPr>
          <w:p w14:paraId="11861724">
            <w:pPr>
              <w:snapToGrid w:val="0"/>
              <w:spacing w:line="320" w:lineRule="exact"/>
              <w:jc w:val="center"/>
              <w:rPr>
                <w:rFonts w:eastAsia="仿宋_GB2312"/>
                <w:color w:val="FF0000"/>
                <w:szCs w:val="21"/>
              </w:rPr>
            </w:pPr>
          </w:p>
        </w:tc>
      </w:tr>
      <w:tr w14:paraId="288CDF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628" w:type="pct"/>
            <w:vMerge w:val="continue"/>
            <w:vAlign w:val="center"/>
          </w:tcPr>
          <w:p w14:paraId="025C0714">
            <w:pPr>
              <w:jc w:val="center"/>
              <w:rPr>
                <w:rFonts w:eastAsia="仿宋_GB2312"/>
                <w:color w:val="FF0000"/>
                <w:szCs w:val="21"/>
              </w:rPr>
            </w:pPr>
          </w:p>
        </w:tc>
        <w:tc>
          <w:tcPr>
            <w:tcW w:w="731" w:type="pct"/>
            <w:vMerge w:val="continue"/>
            <w:vAlign w:val="center"/>
          </w:tcPr>
          <w:p w14:paraId="54ADC577">
            <w:pPr>
              <w:jc w:val="center"/>
              <w:rPr>
                <w:rFonts w:eastAsia="仿宋_GB2312"/>
                <w:color w:val="FF0000"/>
                <w:szCs w:val="21"/>
              </w:rPr>
            </w:pPr>
          </w:p>
        </w:tc>
        <w:tc>
          <w:tcPr>
            <w:tcW w:w="776" w:type="pct"/>
            <w:vMerge w:val="continue"/>
            <w:vAlign w:val="center"/>
          </w:tcPr>
          <w:p w14:paraId="4CE01AB4">
            <w:pPr>
              <w:jc w:val="center"/>
              <w:rPr>
                <w:rFonts w:eastAsia="仿宋_GB2312"/>
                <w:color w:val="FF0000"/>
                <w:szCs w:val="21"/>
              </w:rPr>
            </w:pPr>
          </w:p>
        </w:tc>
        <w:tc>
          <w:tcPr>
            <w:tcW w:w="743" w:type="pct"/>
            <w:shd w:val="clear" w:color="auto" w:fill="auto"/>
            <w:vAlign w:val="center"/>
          </w:tcPr>
          <w:p w14:paraId="2451FF17">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TP</w:t>
            </w:r>
          </w:p>
        </w:tc>
        <w:tc>
          <w:tcPr>
            <w:tcW w:w="757" w:type="pct"/>
            <w:shd w:val="clear" w:color="auto" w:fill="auto"/>
            <w:vAlign w:val="center"/>
          </w:tcPr>
          <w:p w14:paraId="36CAF342">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723" w:type="pct"/>
            <w:shd w:val="clear" w:color="auto" w:fill="auto"/>
            <w:vAlign w:val="center"/>
          </w:tcPr>
          <w:p w14:paraId="30D6C8E3">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0.001</w:t>
            </w:r>
          </w:p>
        </w:tc>
        <w:tc>
          <w:tcPr>
            <w:tcW w:w="638" w:type="pct"/>
            <w:vMerge w:val="continue"/>
            <w:vAlign w:val="center"/>
          </w:tcPr>
          <w:p w14:paraId="0AC17F66">
            <w:pPr>
              <w:snapToGrid w:val="0"/>
              <w:spacing w:line="320" w:lineRule="exact"/>
              <w:jc w:val="center"/>
              <w:rPr>
                <w:rFonts w:eastAsia="仿宋_GB2312"/>
                <w:color w:val="FF0000"/>
                <w:szCs w:val="21"/>
              </w:rPr>
            </w:pPr>
          </w:p>
        </w:tc>
      </w:tr>
      <w:tr w14:paraId="1A8AA7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628" w:type="pct"/>
            <w:vMerge w:val="continue"/>
            <w:vAlign w:val="center"/>
          </w:tcPr>
          <w:p w14:paraId="589B3A2F">
            <w:pPr>
              <w:jc w:val="center"/>
              <w:rPr>
                <w:rFonts w:eastAsia="仿宋_GB2312"/>
                <w:color w:val="FF0000"/>
                <w:szCs w:val="21"/>
              </w:rPr>
            </w:pPr>
          </w:p>
        </w:tc>
        <w:tc>
          <w:tcPr>
            <w:tcW w:w="731" w:type="pct"/>
            <w:vMerge w:val="continue"/>
            <w:vAlign w:val="center"/>
          </w:tcPr>
          <w:p w14:paraId="7C058203">
            <w:pPr>
              <w:jc w:val="center"/>
              <w:rPr>
                <w:rFonts w:eastAsia="仿宋_GB2312"/>
                <w:color w:val="FF0000"/>
                <w:szCs w:val="21"/>
              </w:rPr>
            </w:pPr>
          </w:p>
        </w:tc>
        <w:tc>
          <w:tcPr>
            <w:tcW w:w="776" w:type="pct"/>
            <w:vMerge w:val="continue"/>
            <w:vAlign w:val="center"/>
          </w:tcPr>
          <w:p w14:paraId="1CAD1899">
            <w:pPr>
              <w:jc w:val="center"/>
              <w:rPr>
                <w:rFonts w:eastAsia="仿宋_GB2312"/>
                <w:color w:val="FF0000"/>
                <w:szCs w:val="21"/>
              </w:rPr>
            </w:pPr>
          </w:p>
        </w:tc>
        <w:tc>
          <w:tcPr>
            <w:tcW w:w="743" w:type="pct"/>
            <w:shd w:val="clear" w:color="auto" w:fill="auto"/>
            <w:vAlign w:val="center"/>
          </w:tcPr>
          <w:p w14:paraId="1B153DD0">
            <w:pPr>
              <w:keepNext w:val="0"/>
              <w:keepLines w:val="0"/>
              <w:widowControl/>
              <w:suppressLineNumbers w:val="0"/>
              <w:jc w:val="center"/>
              <w:textAlignment w:val="center"/>
              <w:rPr>
                <w:rFonts w:eastAsia="仿宋_GB2312"/>
                <w:b/>
                <w:color w:val="FF0000"/>
                <w:szCs w:val="21"/>
              </w:rPr>
            </w:pPr>
            <w:r>
              <w:rPr>
                <w:rFonts w:hint="default" w:ascii="仿宋_GB2312" w:hAnsi="宋体" w:eastAsia="仿宋_GB2312" w:cs="仿宋_GB2312"/>
                <w:i w:val="0"/>
                <w:iCs w:val="0"/>
                <w:color w:val="000000"/>
                <w:kern w:val="0"/>
                <w:sz w:val="21"/>
                <w:szCs w:val="21"/>
                <w:u w:val="none"/>
                <w:lang w:val="en-US" w:eastAsia="zh-CN" w:bidi="ar"/>
              </w:rPr>
              <w:t>甲苯</w:t>
            </w:r>
          </w:p>
        </w:tc>
        <w:tc>
          <w:tcPr>
            <w:tcW w:w="757" w:type="pct"/>
            <w:shd w:val="clear" w:color="auto" w:fill="auto"/>
            <w:vAlign w:val="center"/>
          </w:tcPr>
          <w:p w14:paraId="12640EC6">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1697</w:t>
            </w:r>
          </w:p>
        </w:tc>
        <w:tc>
          <w:tcPr>
            <w:tcW w:w="723" w:type="pct"/>
            <w:shd w:val="clear" w:color="auto" w:fill="auto"/>
            <w:vAlign w:val="center"/>
          </w:tcPr>
          <w:p w14:paraId="52EE5786">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0.493</w:t>
            </w:r>
          </w:p>
        </w:tc>
        <w:tc>
          <w:tcPr>
            <w:tcW w:w="638" w:type="pct"/>
            <w:vMerge w:val="continue"/>
            <w:vAlign w:val="center"/>
          </w:tcPr>
          <w:p w14:paraId="080B895E">
            <w:pPr>
              <w:snapToGrid w:val="0"/>
              <w:spacing w:line="320" w:lineRule="exact"/>
              <w:jc w:val="center"/>
              <w:rPr>
                <w:rFonts w:eastAsia="仿宋_GB2312"/>
                <w:color w:val="FF0000"/>
                <w:szCs w:val="21"/>
              </w:rPr>
            </w:pPr>
          </w:p>
        </w:tc>
      </w:tr>
      <w:tr w14:paraId="6DF1E8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628" w:type="pct"/>
            <w:vMerge w:val="continue"/>
            <w:vAlign w:val="center"/>
          </w:tcPr>
          <w:p w14:paraId="2933978C">
            <w:pPr>
              <w:jc w:val="center"/>
              <w:rPr>
                <w:rFonts w:eastAsia="仿宋_GB2312"/>
                <w:color w:val="FF0000"/>
                <w:szCs w:val="21"/>
              </w:rPr>
            </w:pPr>
          </w:p>
        </w:tc>
        <w:tc>
          <w:tcPr>
            <w:tcW w:w="731" w:type="pct"/>
            <w:vMerge w:val="continue"/>
            <w:vAlign w:val="center"/>
          </w:tcPr>
          <w:p w14:paraId="2C9E6C8C">
            <w:pPr>
              <w:jc w:val="center"/>
              <w:rPr>
                <w:rFonts w:eastAsia="仿宋_GB2312"/>
                <w:color w:val="FF0000"/>
                <w:szCs w:val="21"/>
              </w:rPr>
            </w:pPr>
          </w:p>
        </w:tc>
        <w:tc>
          <w:tcPr>
            <w:tcW w:w="776" w:type="pct"/>
            <w:vMerge w:val="continue"/>
            <w:vAlign w:val="center"/>
          </w:tcPr>
          <w:p w14:paraId="6D0F1DDC">
            <w:pPr>
              <w:jc w:val="center"/>
              <w:rPr>
                <w:rFonts w:eastAsia="仿宋_GB2312"/>
                <w:color w:val="FF0000"/>
                <w:szCs w:val="21"/>
              </w:rPr>
            </w:pPr>
          </w:p>
        </w:tc>
        <w:tc>
          <w:tcPr>
            <w:tcW w:w="743" w:type="pct"/>
            <w:shd w:val="clear" w:color="auto" w:fill="auto"/>
            <w:vAlign w:val="center"/>
          </w:tcPr>
          <w:p w14:paraId="0AE8C94B">
            <w:pPr>
              <w:keepNext w:val="0"/>
              <w:keepLines w:val="0"/>
              <w:widowControl/>
              <w:suppressLineNumbers w:val="0"/>
              <w:jc w:val="center"/>
              <w:textAlignment w:val="center"/>
              <w:rPr>
                <w:rFonts w:eastAsia="仿宋_GB2312"/>
                <w:b/>
                <w:color w:val="FF0000"/>
                <w:szCs w:val="21"/>
              </w:rPr>
            </w:pPr>
            <w:r>
              <w:rPr>
                <w:rFonts w:hint="default" w:ascii="仿宋_GB2312" w:hAnsi="宋体" w:eastAsia="仿宋_GB2312" w:cs="仿宋_GB2312"/>
                <w:i w:val="0"/>
                <w:iCs w:val="0"/>
                <w:color w:val="000000"/>
                <w:kern w:val="0"/>
                <w:sz w:val="21"/>
                <w:szCs w:val="21"/>
                <w:u w:val="none"/>
                <w:lang w:val="en-US" w:eastAsia="zh-CN" w:bidi="ar"/>
              </w:rPr>
              <w:t>二甲苯</w:t>
            </w:r>
          </w:p>
        </w:tc>
        <w:tc>
          <w:tcPr>
            <w:tcW w:w="757" w:type="pct"/>
            <w:shd w:val="clear" w:color="auto" w:fill="auto"/>
            <w:vAlign w:val="center"/>
          </w:tcPr>
          <w:p w14:paraId="6B02A1B5">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564</w:t>
            </w:r>
          </w:p>
        </w:tc>
        <w:tc>
          <w:tcPr>
            <w:tcW w:w="723" w:type="pct"/>
            <w:shd w:val="clear" w:color="auto" w:fill="auto"/>
            <w:vAlign w:val="center"/>
          </w:tcPr>
          <w:p w14:paraId="52073AD0">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0.164</w:t>
            </w:r>
          </w:p>
        </w:tc>
        <w:tc>
          <w:tcPr>
            <w:tcW w:w="638" w:type="pct"/>
            <w:vMerge w:val="continue"/>
            <w:vAlign w:val="center"/>
          </w:tcPr>
          <w:p w14:paraId="25278F8A">
            <w:pPr>
              <w:snapToGrid w:val="0"/>
              <w:spacing w:line="320" w:lineRule="exact"/>
              <w:jc w:val="center"/>
              <w:rPr>
                <w:rFonts w:eastAsia="仿宋_GB2312"/>
                <w:color w:val="FF0000"/>
                <w:szCs w:val="21"/>
              </w:rPr>
            </w:pPr>
          </w:p>
        </w:tc>
      </w:tr>
      <w:tr w14:paraId="773AB0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628" w:type="pct"/>
            <w:vMerge w:val="restart"/>
            <w:vAlign w:val="center"/>
          </w:tcPr>
          <w:p w14:paraId="5584DF10">
            <w:pPr>
              <w:keepNext w:val="0"/>
              <w:keepLines w:val="0"/>
              <w:widowControl/>
              <w:suppressLineNumbers w:val="0"/>
              <w:jc w:val="center"/>
              <w:textAlignment w:val="center"/>
              <w:rPr>
                <w:rFonts w:eastAsia="仿宋_GB2312"/>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W2-5-1</w:t>
            </w:r>
          </w:p>
        </w:tc>
        <w:tc>
          <w:tcPr>
            <w:tcW w:w="731" w:type="pct"/>
            <w:vMerge w:val="restart"/>
            <w:vAlign w:val="center"/>
          </w:tcPr>
          <w:p w14:paraId="21A4C065">
            <w:pPr>
              <w:keepNext w:val="0"/>
              <w:keepLines w:val="0"/>
              <w:widowControl/>
              <w:suppressLineNumbers w:val="0"/>
              <w:jc w:val="center"/>
              <w:textAlignment w:val="center"/>
              <w:rPr>
                <w:rFonts w:eastAsia="仿宋_GB2312"/>
                <w:color w:val="FF0000"/>
                <w:szCs w:val="21"/>
              </w:rPr>
            </w:pPr>
            <w:r>
              <w:rPr>
                <w:rFonts w:hint="default" w:ascii="仿宋_GB2312" w:hAnsi="宋体" w:eastAsia="仿宋_GB2312" w:cs="仿宋_GB2312"/>
                <w:i w:val="0"/>
                <w:iCs w:val="0"/>
                <w:color w:val="000000"/>
                <w:kern w:val="0"/>
                <w:sz w:val="21"/>
                <w:szCs w:val="21"/>
                <w:u w:val="none"/>
                <w:lang w:val="en-US" w:eastAsia="zh-CN" w:bidi="ar"/>
              </w:rPr>
              <w:t>冷凝废水</w:t>
            </w:r>
          </w:p>
        </w:tc>
        <w:tc>
          <w:tcPr>
            <w:tcW w:w="776" w:type="pct"/>
            <w:vMerge w:val="restart"/>
            <w:vAlign w:val="center"/>
          </w:tcPr>
          <w:p w14:paraId="4D1E85A4">
            <w:pPr>
              <w:keepNext w:val="0"/>
              <w:keepLines w:val="0"/>
              <w:widowControl/>
              <w:suppressLineNumbers w:val="0"/>
              <w:jc w:val="center"/>
              <w:textAlignment w:val="center"/>
              <w:rPr>
                <w:rFonts w:eastAsia="仿宋_GB2312"/>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103.993</w:t>
            </w:r>
          </w:p>
        </w:tc>
        <w:tc>
          <w:tcPr>
            <w:tcW w:w="743" w:type="pct"/>
            <w:shd w:val="clear" w:color="auto" w:fill="auto"/>
            <w:vAlign w:val="center"/>
          </w:tcPr>
          <w:p w14:paraId="1E9BE437">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COD</w:t>
            </w:r>
          </w:p>
        </w:tc>
        <w:tc>
          <w:tcPr>
            <w:tcW w:w="757" w:type="pct"/>
            <w:shd w:val="clear" w:color="auto" w:fill="auto"/>
            <w:vAlign w:val="center"/>
          </w:tcPr>
          <w:p w14:paraId="05AAEB83">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7327</w:t>
            </w:r>
          </w:p>
        </w:tc>
        <w:tc>
          <w:tcPr>
            <w:tcW w:w="723" w:type="pct"/>
            <w:shd w:val="clear" w:color="auto" w:fill="auto"/>
            <w:vAlign w:val="center"/>
          </w:tcPr>
          <w:p w14:paraId="50D41281">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0.762</w:t>
            </w:r>
          </w:p>
        </w:tc>
        <w:tc>
          <w:tcPr>
            <w:tcW w:w="638" w:type="pct"/>
            <w:vMerge w:val="continue"/>
            <w:vAlign w:val="center"/>
          </w:tcPr>
          <w:p w14:paraId="45BAB5E7">
            <w:pPr>
              <w:snapToGrid w:val="0"/>
              <w:spacing w:line="320" w:lineRule="exact"/>
              <w:jc w:val="center"/>
              <w:rPr>
                <w:rFonts w:eastAsia="仿宋_GB2312"/>
                <w:color w:val="FF0000"/>
                <w:szCs w:val="21"/>
              </w:rPr>
            </w:pPr>
          </w:p>
        </w:tc>
      </w:tr>
      <w:tr w14:paraId="4BE374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628" w:type="pct"/>
            <w:vMerge w:val="continue"/>
            <w:vAlign w:val="center"/>
          </w:tcPr>
          <w:p w14:paraId="444FA317">
            <w:pPr>
              <w:jc w:val="center"/>
              <w:rPr>
                <w:rFonts w:eastAsia="仿宋_GB2312"/>
                <w:color w:val="FF0000"/>
                <w:szCs w:val="21"/>
              </w:rPr>
            </w:pPr>
          </w:p>
        </w:tc>
        <w:tc>
          <w:tcPr>
            <w:tcW w:w="731" w:type="pct"/>
            <w:vMerge w:val="continue"/>
            <w:vAlign w:val="center"/>
          </w:tcPr>
          <w:p w14:paraId="25EFA8F6">
            <w:pPr>
              <w:jc w:val="center"/>
              <w:rPr>
                <w:rFonts w:eastAsia="仿宋_GB2312"/>
                <w:color w:val="FF0000"/>
                <w:szCs w:val="21"/>
              </w:rPr>
            </w:pPr>
          </w:p>
        </w:tc>
        <w:tc>
          <w:tcPr>
            <w:tcW w:w="776" w:type="pct"/>
            <w:vMerge w:val="continue"/>
            <w:vAlign w:val="center"/>
          </w:tcPr>
          <w:p w14:paraId="34EE0B2D">
            <w:pPr>
              <w:jc w:val="center"/>
              <w:rPr>
                <w:rFonts w:eastAsia="仿宋_GB2312"/>
                <w:color w:val="FF0000"/>
                <w:szCs w:val="21"/>
              </w:rPr>
            </w:pPr>
          </w:p>
        </w:tc>
        <w:tc>
          <w:tcPr>
            <w:tcW w:w="743" w:type="pct"/>
            <w:shd w:val="clear" w:color="auto" w:fill="auto"/>
            <w:vAlign w:val="center"/>
          </w:tcPr>
          <w:p w14:paraId="6E766321">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NH</w:t>
            </w:r>
            <w:r>
              <w:rPr>
                <w:rFonts w:hint="default" w:ascii="Times New Roman" w:hAnsi="Times New Roman" w:eastAsia="宋体" w:cs="Times New Roman"/>
                <w:i w:val="0"/>
                <w:iCs w:val="0"/>
                <w:color w:val="000000"/>
                <w:kern w:val="0"/>
                <w:sz w:val="21"/>
                <w:szCs w:val="21"/>
                <w:u w:val="none"/>
                <w:vertAlign w:val="subscript"/>
                <w:lang w:val="en-US" w:eastAsia="zh-CN" w:bidi="ar"/>
              </w:rPr>
              <w:t>3</w:t>
            </w:r>
            <w:r>
              <w:rPr>
                <w:rFonts w:hint="default" w:ascii="Times New Roman" w:hAnsi="Times New Roman" w:eastAsia="宋体" w:cs="Times New Roman"/>
                <w:i w:val="0"/>
                <w:iCs w:val="0"/>
                <w:color w:val="000000"/>
                <w:kern w:val="0"/>
                <w:sz w:val="21"/>
                <w:szCs w:val="21"/>
                <w:u w:val="none"/>
                <w:lang w:val="en-US" w:eastAsia="zh-CN" w:bidi="ar"/>
              </w:rPr>
              <w:t>-N</w:t>
            </w:r>
          </w:p>
        </w:tc>
        <w:tc>
          <w:tcPr>
            <w:tcW w:w="757" w:type="pct"/>
            <w:shd w:val="clear" w:color="auto" w:fill="auto"/>
            <w:vAlign w:val="center"/>
          </w:tcPr>
          <w:p w14:paraId="219AEBBD">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30</w:t>
            </w:r>
          </w:p>
        </w:tc>
        <w:tc>
          <w:tcPr>
            <w:tcW w:w="723" w:type="pct"/>
            <w:shd w:val="clear" w:color="auto" w:fill="auto"/>
            <w:vAlign w:val="center"/>
          </w:tcPr>
          <w:p w14:paraId="0AE94B09">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0.0031</w:t>
            </w:r>
          </w:p>
        </w:tc>
        <w:tc>
          <w:tcPr>
            <w:tcW w:w="638" w:type="pct"/>
            <w:vMerge w:val="continue"/>
            <w:vAlign w:val="center"/>
          </w:tcPr>
          <w:p w14:paraId="385256D3">
            <w:pPr>
              <w:snapToGrid w:val="0"/>
              <w:spacing w:line="320" w:lineRule="exact"/>
              <w:jc w:val="center"/>
              <w:rPr>
                <w:rFonts w:eastAsia="仿宋_GB2312"/>
                <w:color w:val="FF0000"/>
                <w:szCs w:val="21"/>
              </w:rPr>
            </w:pPr>
          </w:p>
        </w:tc>
      </w:tr>
      <w:tr w14:paraId="2C51E7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628" w:type="pct"/>
            <w:vMerge w:val="continue"/>
            <w:vAlign w:val="center"/>
          </w:tcPr>
          <w:p w14:paraId="151DA7A4">
            <w:pPr>
              <w:jc w:val="center"/>
              <w:rPr>
                <w:rFonts w:eastAsia="仿宋_GB2312"/>
                <w:color w:val="FF0000"/>
                <w:szCs w:val="21"/>
              </w:rPr>
            </w:pPr>
          </w:p>
        </w:tc>
        <w:tc>
          <w:tcPr>
            <w:tcW w:w="731" w:type="pct"/>
            <w:vMerge w:val="continue"/>
            <w:vAlign w:val="center"/>
          </w:tcPr>
          <w:p w14:paraId="31C1973D">
            <w:pPr>
              <w:jc w:val="center"/>
              <w:rPr>
                <w:rFonts w:eastAsia="仿宋_GB2312"/>
                <w:color w:val="FF0000"/>
                <w:szCs w:val="21"/>
              </w:rPr>
            </w:pPr>
          </w:p>
        </w:tc>
        <w:tc>
          <w:tcPr>
            <w:tcW w:w="776" w:type="pct"/>
            <w:vMerge w:val="continue"/>
            <w:vAlign w:val="center"/>
          </w:tcPr>
          <w:p w14:paraId="31815D3C">
            <w:pPr>
              <w:jc w:val="center"/>
              <w:rPr>
                <w:rFonts w:eastAsia="仿宋_GB2312"/>
                <w:color w:val="FF0000"/>
                <w:szCs w:val="21"/>
              </w:rPr>
            </w:pPr>
          </w:p>
        </w:tc>
        <w:tc>
          <w:tcPr>
            <w:tcW w:w="743" w:type="pct"/>
            <w:shd w:val="clear" w:color="auto" w:fill="auto"/>
            <w:vAlign w:val="center"/>
          </w:tcPr>
          <w:p w14:paraId="4E91C4CE">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TN</w:t>
            </w:r>
          </w:p>
        </w:tc>
        <w:tc>
          <w:tcPr>
            <w:tcW w:w="757" w:type="pct"/>
            <w:shd w:val="clear" w:color="auto" w:fill="auto"/>
            <w:vAlign w:val="center"/>
          </w:tcPr>
          <w:p w14:paraId="5F2FC795">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45</w:t>
            </w:r>
          </w:p>
        </w:tc>
        <w:tc>
          <w:tcPr>
            <w:tcW w:w="723" w:type="pct"/>
            <w:shd w:val="clear" w:color="auto" w:fill="auto"/>
            <w:vAlign w:val="center"/>
          </w:tcPr>
          <w:p w14:paraId="6C66AF48">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0.0047</w:t>
            </w:r>
          </w:p>
        </w:tc>
        <w:tc>
          <w:tcPr>
            <w:tcW w:w="638" w:type="pct"/>
            <w:vMerge w:val="continue"/>
            <w:vAlign w:val="center"/>
          </w:tcPr>
          <w:p w14:paraId="3E855724">
            <w:pPr>
              <w:snapToGrid w:val="0"/>
              <w:spacing w:line="320" w:lineRule="exact"/>
              <w:jc w:val="center"/>
              <w:rPr>
                <w:rFonts w:eastAsia="仿宋_GB2312"/>
                <w:color w:val="FF0000"/>
                <w:szCs w:val="21"/>
              </w:rPr>
            </w:pPr>
          </w:p>
        </w:tc>
      </w:tr>
      <w:tr w14:paraId="476D07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628" w:type="pct"/>
            <w:vMerge w:val="continue"/>
            <w:vAlign w:val="center"/>
          </w:tcPr>
          <w:p w14:paraId="1FCA0F4D">
            <w:pPr>
              <w:jc w:val="center"/>
              <w:rPr>
                <w:rFonts w:eastAsia="仿宋_GB2312"/>
                <w:color w:val="FF0000"/>
                <w:szCs w:val="21"/>
              </w:rPr>
            </w:pPr>
          </w:p>
        </w:tc>
        <w:tc>
          <w:tcPr>
            <w:tcW w:w="731" w:type="pct"/>
            <w:vMerge w:val="continue"/>
            <w:vAlign w:val="center"/>
          </w:tcPr>
          <w:p w14:paraId="2C2538E3">
            <w:pPr>
              <w:jc w:val="center"/>
              <w:rPr>
                <w:rFonts w:eastAsia="仿宋_GB2312"/>
                <w:color w:val="FF0000"/>
                <w:szCs w:val="21"/>
              </w:rPr>
            </w:pPr>
          </w:p>
        </w:tc>
        <w:tc>
          <w:tcPr>
            <w:tcW w:w="776" w:type="pct"/>
            <w:vMerge w:val="continue"/>
            <w:vAlign w:val="center"/>
          </w:tcPr>
          <w:p w14:paraId="5806E2D3">
            <w:pPr>
              <w:jc w:val="center"/>
              <w:rPr>
                <w:rFonts w:eastAsia="仿宋_GB2312"/>
                <w:color w:val="FF0000"/>
                <w:szCs w:val="21"/>
              </w:rPr>
            </w:pPr>
          </w:p>
        </w:tc>
        <w:tc>
          <w:tcPr>
            <w:tcW w:w="743" w:type="pct"/>
            <w:shd w:val="clear" w:color="auto" w:fill="auto"/>
            <w:vAlign w:val="center"/>
          </w:tcPr>
          <w:p w14:paraId="774A3110">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TP</w:t>
            </w:r>
          </w:p>
        </w:tc>
        <w:tc>
          <w:tcPr>
            <w:tcW w:w="757" w:type="pct"/>
            <w:shd w:val="clear" w:color="auto" w:fill="auto"/>
            <w:vAlign w:val="center"/>
          </w:tcPr>
          <w:p w14:paraId="273C2FD5">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723" w:type="pct"/>
            <w:shd w:val="clear" w:color="auto" w:fill="auto"/>
            <w:vAlign w:val="center"/>
          </w:tcPr>
          <w:p w14:paraId="0482B378">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0.0003</w:t>
            </w:r>
          </w:p>
        </w:tc>
        <w:tc>
          <w:tcPr>
            <w:tcW w:w="638" w:type="pct"/>
            <w:vMerge w:val="continue"/>
            <w:vAlign w:val="center"/>
          </w:tcPr>
          <w:p w14:paraId="6E4F0A5D">
            <w:pPr>
              <w:snapToGrid w:val="0"/>
              <w:spacing w:line="320" w:lineRule="exact"/>
              <w:jc w:val="center"/>
              <w:rPr>
                <w:rFonts w:eastAsia="仿宋_GB2312"/>
                <w:color w:val="FF0000"/>
                <w:szCs w:val="21"/>
              </w:rPr>
            </w:pPr>
          </w:p>
        </w:tc>
      </w:tr>
      <w:tr w14:paraId="1C38C6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628" w:type="pct"/>
            <w:vMerge w:val="continue"/>
            <w:vAlign w:val="center"/>
          </w:tcPr>
          <w:p w14:paraId="53E2C883">
            <w:pPr>
              <w:jc w:val="center"/>
              <w:rPr>
                <w:rFonts w:eastAsia="仿宋_GB2312"/>
                <w:color w:val="FF0000"/>
                <w:szCs w:val="21"/>
              </w:rPr>
            </w:pPr>
          </w:p>
        </w:tc>
        <w:tc>
          <w:tcPr>
            <w:tcW w:w="731" w:type="pct"/>
            <w:vMerge w:val="continue"/>
            <w:vAlign w:val="center"/>
          </w:tcPr>
          <w:p w14:paraId="58A1D9C0">
            <w:pPr>
              <w:jc w:val="center"/>
              <w:rPr>
                <w:rFonts w:eastAsia="仿宋_GB2312"/>
                <w:color w:val="FF0000"/>
                <w:szCs w:val="21"/>
              </w:rPr>
            </w:pPr>
          </w:p>
        </w:tc>
        <w:tc>
          <w:tcPr>
            <w:tcW w:w="776" w:type="pct"/>
            <w:vMerge w:val="continue"/>
            <w:vAlign w:val="center"/>
          </w:tcPr>
          <w:p w14:paraId="5BE7C677">
            <w:pPr>
              <w:jc w:val="center"/>
              <w:rPr>
                <w:rFonts w:eastAsia="仿宋_GB2312"/>
                <w:color w:val="FF0000"/>
                <w:szCs w:val="21"/>
              </w:rPr>
            </w:pPr>
          </w:p>
        </w:tc>
        <w:tc>
          <w:tcPr>
            <w:tcW w:w="743" w:type="pct"/>
            <w:shd w:val="clear" w:color="auto" w:fill="auto"/>
            <w:vAlign w:val="center"/>
          </w:tcPr>
          <w:p w14:paraId="26C26674">
            <w:pPr>
              <w:keepNext w:val="0"/>
              <w:keepLines w:val="0"/>
              <w:widowControl/>
              <w:suppressLineNumbers w:val="0"/>
              <w:jc w:val="center"/>
              <w:textAlignment w:val="center"/>
              <w:rPr>
                <w:rFonts w:eastAsia="仿宋_GB2312"/>
                <w:b/>
                <w:color w:val="FF0000"/>
                <w:szCs w:val="21"/>
              </w:rPr>
            </w:pPr>
            <w:r>
              <w:rPr>
                <w:rFonts w:hint="default" w:ascii="仿宋_GB2312" w:hAnsi="宋体" w:eastAsia="仿宋_GB2312" w:cs="仿宋_GB2312"/>
                <w:i w:val="0"/>
                <w:iCs w:val="0"/>
                <w:color w:val="000000"/>
                <w:kern w:val="0"/>
                <w:sz w:val="21"/>
                <w:szCs w:val="21"/>
                <w:u w:val="none"/>
                <w:lang w:val="en-US" w:eastAsia="zh-CN" w:bidi="ar"/>
              </w:rPr>
              <w:t>二氯乙烷</w:t>
            </w:r>
          </w:p>
        </w:tc>
        <w:tc>
          <w:tcPr>
            <w:tcW w:w="757" w:type="pct"/>
            <w:shd w:val="clear" w:color="auto" w:fill="auto"/>
            <w:vAlign w:val="center"/>
          </w:tcPr>
          <w:p w14:paraId="550FE240">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1885</w:t>
            </w:r>
          </w:p>
        </w:tc>
        <w:tc>
          <w:tcPr>
            <w:tcW w:w="723" w:type="pct"/>
            <w:shd w:val="clear" w:color="auto" w:fill="auto"/>
            <w:vAlign w:val="center"/>
          </w:tcPr>
          <w:p w14:paraId="4BD70C86">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0.196</w:t>
            </w:r>
          </w:p>
        </w:tc>
        <w:tc>
          <w:tcPr>
            <w:tcW w:w="638" w:type="pct"/>
            <w:vMerge w:val="continue"/>
            <w:vAlign w:val="center"/>
          </w:tcPr>
          <w:p w14:paraId="71F8F0AF">
            <w:pPr>
              <w:snapToGrid w:val="0"/>
              <w:spacing w:line="320" w:lineRule="exact"/>
              <w:jc w:val="center"/>
              <w:rPr>
                <w:rFonts w:eastAsia="仿宋_GB2312"/>
                <w:color w:val="FF0000"/>
                <w:szCs w:val="21"/>
              </w:rPr>
            </w:pPr>
          </w:p>
        </w:tc>
      </w:tr>
      <w:tr w14:paraId="16C260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628" w:type="pct"/>
            <w:vMerge w:val="restart"/>
            <w:vAlign w:val="center"/>
          </w:tcPr>
          <w:p w14:paraId="7DCC3237">
            <w:pPr>
              <w:keepNext w:val="0"/>
              <w:keepLines w:val="0"/>
              <w:widowControl/>
              <w:suppressLineNumbers w:val="0"/>
              <w:jc w:val="center"/>
              <w:textAlignment w:val="center"/>
              <w:rPr>
                <w:rFonts w:eastAsia="仿宋_GB2312"/>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W2-7-1</w:t>
            </w:r>
          </w:p>
        </w:tc>
        <w:tc>
          <w:tcPr>
            <w:tcW w:w="731" w:type="pct"/>
            <w:vMerge w:val="restart"/>
            <w:vAlign w:val="center"/>
          </w:tcPr>
          <w:p w14:paraId="354E6945">
            <w:pPr>
              <w:keepNext w:val="0"/>
              <w:keepLines w:val="0"/>
              <w:widowControl/>
              <w:suppressLineNumbers w:val="0"/>
              <w:jc w:val="center"/>
              <w:textAlignment w:val="center"/>
              <w:rPr>
                <w:rFonts w:eastAsia="仿宋_GB2312"/>
                <w:color w:val="FF0000"/>
                <w:szCs w:val="21"/>
              </w:rPr>
            </w:pPr>
            <w:r>
              <w:rPr>
                <w:rFonts w:hint="default" w:ascii="仿宋_GB2312" w:hAnsi="宋体" w:eastAsia="仿宋_GB2312" w:cs="仿宋_GB2312"/>
                <w:i w:val="0"/>
                <w:iCs w:val="0"/>
                <w:color w:val="000000"/>
                <w:kern w:val="0"/>
                <w:sz w:val="21"/>
                <w:szCs w:val="21"/>
                <w:u w:val="none"/>
                <w:lang w:val="en-US" w:eastAsia="zh-CN" w:bidi="ar"/>
              </w:rPr>
              <w:t>冷凝废水</w:t>
            </w:r>
          </w:p>
        </w:tc>
        <w:tc>
          <w:tcPr>
            <w:tcW w:w="776" w:type="pct"/>
            <w:vMerge w:val="restart"/>
            <w:vAlign w:val="center"/>
          </w:tcPr>
          <w:p w14:paraId="2FD1033A">
            <w:pPr>
              <w:keepNext w:val="0"/>
              <w:keepLines w:val="0"/>
              <w:widowControl/>
              <w:suppressLineNumbers w:val="0"/>
              <w:jc w:val="center"/>
              <w:textAlignment w:val="center"/>
              <w:rPr>
                <w:rFonts w:eastAsia="仿宋_GB2312"/>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177.778</w:t>
            </w:r>
          </w:p>
        </w:tc>
        <w:tc>
          <w:tcPr>
            <w:tcW w:w="743" w:type="pct"/>
            <w:shd w:val="clear" w:color="auto" w:fill="auto"/>
            <w:vAlign w:val="center"/>
          </w:tcPr>
          <w:p w14:paraId="426D3C7C">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COD</w:t>
            </w:r>
          </w:p>
        </w:tc>
        <w:tc>
          <w:tcPr>
            <w:tcW w:w="757" w:type="pct"/>
            <w:shd w:val="clear" w:color="auto" w:fill="auto"/>
            <w:vAlign w:val="center"/>
          </w:tcPr>
          <w:p w14:paraId="0923AB45">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30613</w:t>
            </w:r>
          </w:p>
        </w:tc>
        <w:tc>
          <w:tcPr>
            <w:tcW w:w="723" w:type="pct"/>
            <w:shd w:val="clear" w:color="auto" w:fill="auto"/>
            <w:vAlign w:val="center"/>
          </w:tcPr>
          <w:p w14:paraId="3F871A98">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5.442</w:t>
            </w:r>
          </w:p>
        </w:tc>
        <w:tc>
          <w:tcPr>
            <w:tcW w:w="638" w:type="pct"/>
            <w:vMerge w:val="continue"/>
            <w:vAlign w:val="center"/>
          </w:tcPr>
          <w:p w14:paraId="5E726B6D">
            <w:pPr>
              <w:snapToGrid w:val="0"/>
              <w:spacing w:line="320" w:lineRule="exact"/>
              <w:jc w:val="center"/>
              <w:rPr>
                <w:rFonts w:eastAsia="仿宋_GB2312"/>
                <w:color w:val="FF0000"/>
                <w:szCs w:val="21"/>
              </w:rPr>
            </w:pPr>
          </w:p>
        </w:tc>
      </w:tr>
      <w:tr w14:paraId="6AEC4A1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628" w:type="pct"/>
            <w:vMerge w:val="continue"/>
            <w:vAlign w:val="center"/>
          </w:tcPr>
          <w:p w14:paraId="10999EE3">
            <w:pPr>
              <w:jc w:val="center"/>
              <w:rPr>
                <w:rFonts w:eastAsia="仿宋_GB2312"/>
                <w:color w:val="FF0000"/>
                <w:szCs w:val="21"/>
              </w:rPr>
            </w:pPr>
          </w:p>
        </w:tc>
        <w:tc>
          <w:tcPr>
            <w:tcW w:w="731" w:type="pct"/>
            <w:vMerge w:val="continue"/>
            <w:vAlign w:val="center"/>
          </w:tcPr>
          <w:p w14:paraId="07B97F0B">
            <w:pPr>
              <w:jc w:val="center"/>
              <w:rPr>
                <w:rFonts w:eastAsia="仿宋_GB2312"/>
                <w:color w:val="FF0000"/>
                <w:szCs w:val="21"/>
              </w:rPr>
            </w:pPr>
          </w:p>
        </w:tc>
        <w:tc>
          <w:tcPr>
            <w:tcW w:w="776" w:type="pct"/>
            <w:vMerge w:val="continue"/>
            <w:vAlign w:val="center"/>
          </w:tcPr>
          <w:p w14:paraId="1537DF7D">
            <w:pPr>
              <w:jc w:val="center"/>
              <w:rPr>
                <w:rFonts w:eastAsia="仿宋_GB2312"/>
                <w:color w:val="FF0000"/>
                <w:szCs w:val="21"/>
              </w:rPr>
            </w:pPr>
          </w:p>
        </w:tc>
        <w:tc>
          <w:tcPr>
            <w:tcW w:w="743" w:type="pct"/>
            <w:shd w:val="clear" w:color="auto" w:fill="auto"/>
            <w:vAlign w:val="center"/>
          </w:tcPr>
          <w:p w14:paraId="3DD22A00">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NH</w:t>
            </w:r>
            <w:r>
              <w:rPr>
                <w:rFonts w:hint="default" w:ascii="Times New Roman" w:hAnsi="Times New Roman" w:eastAsia="宋体" w:cs="Times New Roman"/>
                <w:i w:val="0"/>
                <w:iCs w:val="0"/>
                <w:color w:val="000000"/>
                <w:kern w:val="0"/>
                <w:sz w:val="21"/>
                <w:szCs w:val="21"/>
                <w:u w:val="none"/>
                <w:vertAlign w:val="subscript"/>
                <w:lang w:val="en-US" w:eastAsia="zh-CN" w:bidi="ar"/>
              </w:rPr>
              <w:t>3</w:t>
            </w:r>
            <w:r>
              <w:rPr>
                <w:rFonts w:hint="default" w:ascii="Times New Roman" w:hAnsi="Times New Roman" w:eastAsia="宋体" w:cs="Times New Roman"/>
                <w:i w:val="0"/>
                <w:iCs w:val="0"/>
                <w:color w:val="000000"/>
                <w:kern w:val="0"/>
                <w:sz w:val="21"/>
                <w:szCs w:val="21"/>
                <w:u w:val="none"/>
                <w:lang w:val="en-US" w:eastAsia="zh-CN" w:bidi="ar"/>
              </w:rPr>
              <w:t>-N</w:t>
            </w:r>
          </w:p>
        </w:tc>
        <w:tc>
          <w:tcPr>
            <w:tcW w:w="757" w:type="pct"/>
            <w:shd w:val="clear" w:color="auto" w:fill="auto"/>
            <w:vAlign w:val="center"/>
          </w:tcPr>
          <w:p w14:paraId="171FCDBC">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30</w:t>
            </w:r>
          </w:p>
        </w:tc>
        <w:tc>
          <w:tcPr>
            <w:tcW w:w="723" w:type="pct"/>
            <w:shd w:val="clear" w:color="auto" w:fill="auto"/>
            <w:vAlign w:val="center"/>
          </w:tcPr>
          <w:p w14:paraId="40608472">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0.005</w:t>
            </w:r>
          </w:p>
        </w:tc>
        <w:tc>
          <w:tcPr>
            <w:tcW w:w="638" w:type="pct"/>
            <w:vMerge w:val="continue"/>
            <w:vAlign w:val="center"/>
          </w:tcPr>
          <w:p w14:paraId="5F9C930F">
            <w:pPr>
              <w:snapToGrid w:val="0"/>
              <w:spacing w:line="320" w:lineRule="exact"/>
              <w:jc w:val="center"/>
              <w:rPr>
                <w:rFonts w:eastAsia="仿宋_GB2312"/>
                <w:color w:val="FF0000"/>
                <w:szCs w:val="21"/>
              </w:rPr>
            </w:pPr>
          </w:p>
        </w:tc>
      </w:tr>
      <w:tr w14:paraId="3DE417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628" w:type="pct"/>
            <w:vMerge w:val="continue"/>
            <w:vAlign w:val="center"/>
          </w:tcPr>
          <w:p w14:paraId="24F552DF">
            <w:pPr>
              <w:jc w:val="center"/>
              <w:rPr>
                <w:rFonts w:eastAsia="仿宋_GB2312"/>
                <w:color w:val="FF0000"/>
                <w:szCs w:val="21"/>
              </w:rPr>
            </w:pPr>
          </w:p>
        </w:tc>
        <w:tc>
          <w:tcPr>
            <w:tcW w:w="731" w:type="pct"/>
            <w:vMerge w:val="continue"/>
            <w:vAlign w:val="center"/>
          </w:tcPr>
          <w:p w14:paraId="236C9D40">
            <w:pPr>
              <w:jc w:val="center"/>
              <w:rPr>
                <w:rFonts w:eastAsia="仿宋_GB2312"/>
                <w:color w:val="FF0000"/>
                <w:szCs w:val="21"/>
              </w:rPr>
            </w:pPr>
          </w:p>
        </w:tc>
        <w:tc>
          <w:tcPr>
            <w:tcW w:w="776" w:type="pct"/>
            <w:vMerge w:val="continue"/>
            <w:vAlign w:val="center"/>
          </w:tcPr>
          <w:p w14:paraId="48961D59">
            <w:pPr>
              <w:jc w:val="center"/>
              <w:rPr>
                <w:rFonts w:eastAsia="仿宋_GB2312"/>
                <w:color w:val="FF0000"/>
                <w:szCs w:val="21"/>
              </w:rPr>
            </w:pPr>
          </w:p>
        </w:tc>
        <w:tc>
          <w:tcPr>
            <w:tcW w:w="743" w:type="pct"/>
            <w:shd w:val="clear" w:color="auto" w:fill="auto"/>
            <w:vAlign w:val="center"/>
          </w:tcPr>
          <w:p w14:paraId="11C68D4E">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TN</w:t>
            </w:r>
          </w:p>
        </w:tc>
        <w:tc>
          <w:tcPr>
            <w:tcW w:w="757" w:type="pct"/>
            <w:shd w:val="clear" w:color="auto" w:fill="auto"/>
            <w:vAlign w:val="center"/>
          </w:tcPr>
          <w:p w14:paraId="62AE511D">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45</w:t>
            </w:r>
          </w:p>
        </w:tc>
        <w:tc>
          <w:tcPr>
            <w:tcW w:w="723" w:type="pct"/>
            <w:shd w:val="clear" w:color="auto" w:fill="auto"/>
            <w:vAlign w:val="center"/>
          </w:tcPr>
          <w:p w14:paraId="3374DA86">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0.008</w:t>
            </w:r>
          </w:p>
        </w:tc>
        <w:tc>
          <w:tcPr>
            <w:tcW w:w="638" w:type="pct"/>
            <w:vMerge w:val="continue"/>
            <w:vAlign w:val="center"/>
          </w:tcPr>
          <w:p w14:paraId="362C903B">
            <w:pPr>
              <w:snapToGrid w:val="0"/>
              <w:spacing w:line="320" w:lineRule="exact"/>
              <w:jc w:val="center"/>
              <w:rPr>
                <w:rFonts w:eastAsia="仿宋_GB2312"/>
                <w:color w:val="FF0000"/>
                <w:szCs w:val="21"/>
              </w:rPr>
            </w:pPr>
          </w:p>
        </w:tc>
      </w:tr>
      <w:tr w14:paraId="45C61B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628" w:type="pct"/>
            <w:vMerge w:val="continue"/>
            <w:vAlign w:val="center"/>
          </w:tcPr>
          <w:p w14:paraId="0E978E95">
            <w:pPr>
              <w:jc w:val="center"/>
              <w:rPr>
                <w:rFonts w:eastAsia="仿宋_GB2312"/>
                <w:color w:val="FF0000"/>
                <w:szCs w:val="21"/>
              </w:rPr>
            </w:pPr>
          </w:p>
        </w:tc>
        <w:tc>
          <w:tcPr>
            <w:tcW w:w="731" w:type="pct"/>
            <w:vMerge w:val="continue"/>
            <w:vAlign w:val="center"/>
          </w:tcPr>
          <w:p w14:paraId="0275D494">
            <w:pPr>
              <w:jc w:val="center"/>
              <w:rPr>
                <w:rFonts w:eastAsia="仿宋_GB2312"/>
                <w:color w:val="FF0000"/>
                <w:szCs w:val="21"/>
              </w:rPr>
            </w:pPr>
          </w:p>
        </w:tc>
        <w:tc>
          <w:tcPr>
            <w:tcW w:w="776" w:type="pct"/>
            <w:vMerge w:val="continue"/>
            <w:vAlign w:val="center"/>
          </w:tcPr>
          <w:p w14:paraId="00E31D2A">
            <w:pPr>
              <w:jc w:val="center"/>
              <w:rPr>
                <w:rFonts w:eastAsia="仿宋_GB2312"/>
                <w:color w:val="FF0000"/>
                <w:szCs w:val="21"/>
              </w:rPr>
            </w:pPr>
          </w:p>
        </w:tc>
        <w:tc>
          <w:tcPr>
            <w:tcW w:w="743" w:type="pct"/>
            <w:shd w:val="clear" w:color="auto" w:fill="auto"/>
            <w:vAlign w:val="center"/>
          </w:tcPr>
          <w:p w14:paraId="5DE5B396">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TP</w:t>
            </w:r>
          </w:p>
        </w:tc>
        <w:tc>
          <w:tcPr>
            <w:tcW w:w="757" w:type="pct"/>
            <w:shd w:val="clear" w:color="auto" w:fill="auto"/>
            <w:vAlign w:val="center"/>
          </w:tcPr>
          <w:p w14:paraId="2031070E">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723" w:type="pct"/>
            <w:shd w:val="clear" w:color="auto" w:fill="auto"/>
            <w:vAlign w:val="center"/>
          </w:tcPr>
          <w:p w14:paraId="0329241F">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0.0005</w:t>
            </w:r>
          </w:p>
        </w:tc>
        <w:tc>
          <w:tcPr>
            <w:tcW w:w="638" w:type="pct"/>
            <w:vMerge w:val="continue"/>
            <w:vAlign w:val="center"/>
          </w:tcPr>
          <w:p w14:paraId="3E996B0A">
            <w:pPr>
              <w:snapToGrid w:val="0"/>
              <w:spacing w:line="320" w:lineRule="exact"/>
              <w:jc w:val="center"/>
              <w:rPr>
                <w:rFonts w:eastAsia="仿宋_GB2312"/>
                <w:color w:val="FF0000"/>
                <w:szCs w:val="21"/>
              </w:rPr>
            </w:pPr>
          </w:p>
        </w:tc>
      </w:tr>
      <w:tr w14:paraId="3047B2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628" w:type="pct"/>
            <w:vMerge w:val="restart"/>
            <w:vAlign w:val="center"/>
          </w:tcPr>
          <w:p w14:paraId="34AC2BC6">
            <w:pPr>
              <w:keepNext w:val="0"/>
              <w:keepLines w:val="0"/>
              <w:widowControl/>
              <w:suppressLineNumbers w:val="0"/>
              <w:jc w:val="center"/>
              <w:textAlignment w:val="center"/>
              <w:rPr>
                <w:rFonts w:eastAsia="仿宋_GB2312"/>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W2-8-1</w:t>
            </w:r>
          </w:p>
        </w:tc>
        <w:tc>
          <w:tcPr>
            <w:tcW w:w="731" w:type="pct"/>
            <w:vMerge w:val="restart"/>
            <w:vAlign w:val="center"/>
          </w:tcPr>
          <w:p w14:paraId="2663BB4C">
            <w:pPr>
              <w:keepNext w:val="0"/>
              <w:keepLines w:val="0"/>
              <w:widowControl/>
              <w:suppressLineNumbers w:val="0"/>
              <w:jc w:val="center"/>
              <w:textAlignment w:val="center"/>
              <w:rPr>
                <w:rFonts w:eastAsia="仿宋_GB2312"/>
                <w:color w:val="FF0000"/>
                <w:szCs w:val="21"/>
              </w:rPr>
            </w:pPr>
            <w:r>
              <w:rPr>
                <w:rFonts w:hint="default" w:ascii="仿宋_GB2312" w:hAnsi="宋体" w:eastAsia="仿宋_GB2312" w:cs="仿宋_GB2312"/>
                <w:i w:val="0"/>
                <w:iCs w:val="0"/>
                <w:color w:val="000000"/>
                <w:kern w:val="0"/>
                <w:sz w:val="21"/>
                <w:szCs w:val="21"/>
                <w:u w:val="none"/>
                <w:lang w:val="en-US" w:eastAsia="zh-CN" w:bidi="ar"/>
              </w:rPr>
              <w:t>冷凝废水</w:t>
            </w:r>
          </w:p>
        </w:tc>
        <w:tc>
          <w:tcPr>
            <w:tcW w:w="776" w:type="pct"/>
            <w:vMerge w:val="restart"/>
            <w:vAlign w:val="center"/>
          </w:tcPr>
          <w:p w14:paraId="09331FC2">
            <w:pPr>
              <w:keepNext w:val="0"/>
              <w:keepLines w:val="0"/>
              <w:widowControl/>
              <w:suppressLineNumbers w:val="0"/>
              <w:jc w:val="center"/>
              <w:textAlignment w:val="center"/>
              <w:rPr>
                <w:rFonts w:eastAsia="仿宋_GB2312"/>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177.778</w:t>
            </w:r>
          </w:p>
        </w:tc>
        <w:tc>
          <w:tcPr>
            <w:tcW w:w="743" w:type="pct"/>
            <w:shd w:val="clear" w:color="auto" w:fill="auto"/>
            <w:vAlign w:val="center"/>
          </w:tcPr>
          <w:p w14:paraId="75339695">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COD</w:t>
            </w:r>
          </w:p>
        </w:tc>
        <w:tc>
          <w:tcPr>
            <w:tcW w:w="757" w:type="pct"/>
            <w:shd w:val="clear" w:color="auto" w:fill="auto"/>
            <w:vAlign w:val="center"/>
          </w:tcPr>
          <w:p w14:paraId="515349CB">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24881</w:t>
            </w:r>
          </w:p>
        </w:tc>
        <w:tc>
          <w:tcPr>
            <w:tcW w:w="723" w:type="pct"/>
            <w:shd w:val="clear" w:color="auto" w:fill="auto"/>
            <w:vAlign w:val="center"/>
          </w:tcPr>
          <w:p w14:paraId="5F5B50C7">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4.423</w:t>
            </w:r>
          </w:p>
        </w:tc>
        <w:tc>
          <w:tcPr>
            <w:tcW w:w="638" w:type="pct"/>
            <w:vMerge w:val="continue"/>
            <w:vAlign w:val="center"/>
          </w:tcPr>
          <w:p w14:paraId="1E3E042E">
            <w:pPr>
              <w:snapToGrid w:val="0"/>
              <w:spacing w:line="320" w:lineRule="exact"/>
              <w:jc w:val="center"/>
              <w:rPr>
                <w:rFonts w:eastAsia="仿宋_GB2312"/>
                <w:color w:val="FF0000"/>
                <w:szCs w:val="21"/>
              </w:rPr>
            </w:pPr>
          </w:p>
        </w:tc>
      </w:tr>
      <w:tr w14:paraId="705535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628" w:type="pct"/>
            <w:vMerge w:val="continue"/>
            <w:vAlign w:val="center"/>
          </w:tcPr>
          <w:p w14:paraId="06D5B63B">
            <w:pPr>
              <w:jc w:val="center"/>
              <w:rPr>
                <w:rFonts w:eastAsia="仿宋_GB2312"/>
                <w:color w:val="FF0000"/>
                <w:szCs w:val="21"/>
              </w:rPr>
            </w:pPr>
          </w:p>
        </w:tc>
        <w:tc>
          <w:tcPr>
            <w:tcW w:w="731" w:type="pct"/>
            <w:vMerge w:val="continue"/>
            <w:vAlign w:val="center"/>
          </w:tcPr>
          <w:p w14:paraId="7E8DDB88">
            <w:pPr>
              <w:jc w:val="center"/>
              <w:rPr>
                <w:rFonts w:eastAsia="仿宋_GB2312"/>
                <w:color w:val="FF0000"/>
                <w:szCs w:val="21"/>
              </w:rPr>
            </w:pPr>
          </w:p>
        </w:tc>
        <w:tc>
          <w:tcPr>
            <w:tcW w:w="776" w:type="pct"/>
            <w:vMerge w:val="continue"/>
            <w:vAlign w:val="center"/>
          </w:tcPr>
          <w:p w14:paraId="74600ABA">
            <w:pPr>
              <w:jc w:val="center"/>
              <w:rPr>
                <w:rFonts w:eastAsia="仿宋_GB2312"/>
                <w:color w:val="FF0000"/>
                <w:szCs w:val="21"/>
              </w:rPr>
            </w:pPr>
          </w:p>
        </w:tc>
        <w:tc>
          <w:tcPr>
            <w:tcW w:w="743" w:type="pct"/>
            <w:shd w:val="clear" w:color="auto" w:fill="auto"/>
            <w:vAlign w:val="center"/>
          </w:tcPr>
          <w:p w14:paraId="0E72ADAF">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NH</w:t>
            </w:r>
            <w:r>
              <w:rPr>
                <w:rFonts w:hint="default" w:ascii="Times New Roman" w:hAnsi="Times New Roman" w:eastAsia="宋体" w:cs="Times New Roman"/>
                <w:i w:val="0"/>
                <w:iCs w:val="0"/>
                <w:color w:val="000000"/>
                <w:kern w:val="0"/>
                <w:sz w:val="21"/>
                <w:szCs w:val="21"/>
                <w:u w:val="none"/>
                <w:vertAlign w:val="subscript"/>
                <w:lang w:val="en-US" w:eastAsia="zh-CN" w:bidi="ar"/>
              </w:rPr>
              <w:t>3</w:t>
            </w:r>
            <w:r>
              <w:rPr>
                <w:rFonts w:hint="default" w:ascii="Times New Roman" w:hAnsi="Times New Roman" w:eastAsia="宋体" w:cs="Times New Roman"/>
                <w:i w:val="0"/>
                <w:iCs w:val="0"/>
                <w:color w:val="000000"/>
                <w:kern w:val="0"/>
                <w:sz w:val="21"/>
                <w:szCs w:val="21"/>
                <w:u w:val="none"/>
                <w:lang w:val="en-US" w:eastAsia="zh-CN" w:bidi="ar"/>
              </w:rPr>
              <w:t>-N</w:t>
            </w:r>
          </w:p>
        </w:tc>
        <w:tc>
          <w:tcPr>
            <w:tcW w:w="757" w:type="pct"/>
            <w:shd w:val="clear" w:color="auto" w:fill="auto"/>
            <w:vAlign w:val="center"/>
          </w:tcPr>
          <w:p w14:paraId="416A4A24">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30</w:t>
            </w:r>
          </w:p>
        </w:tc>
        <w:tc>
          <w:tcPr>
            <w:tcW w:w="723" w:type="pct"/>
            <w:shd w:val="clear" w:color="auto" w:fill="auto"/>
            <w:vAlign w:val="center"/>
          </w:tcPr>
          <w:p w14:paraId="16222F69">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0.005</w:t>
            </w:r>
          </w:p>
        </w:tc>
        <w:tc>
          <w:tcPr>
            <w:tcW w:w="638" w:type="pct"/>
            <w:vMerge w:val="continue"/>
            <w:vAlign w:val="center"/>
          </w:tcPr>
          <w:p w14:paraId="20AEE02D">
            <w:pPr>
              <w:snapToGrid w:val="0"/>
              <w:spacing w:line="320" w:lineRule="exact"/>
              <w:jc w:val="center"/>
              <w:rPr>
                <w:rFonts w:eastAsia="仿宋_GB2312"/>
                <w:color w:val="FF0000"/>
                <w:szCs w:val="21"/>
              </w:rPr>
            </w:pPr>
          </w:p>
        </w:tc>
      </w:tr>
      <w:tr w14:paraId="3D5CFB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628" w:type="pct"/>
            <w:vMerge w:val="continue"/>
            <w:vAlign w:val="center"/>
          </w:tcPr>
          <w:p w14:paraId="317BAF96">
            <w:pPr>
              <w:jc w:val="center"/>
              <w:rPr>
                <w:rFonts w:eastAsia="仿宋_GB2312"/>
                <w:color w:val="FF0000"/>
                <w:szCs w:val="21"/>
              </w:rPr>
            </w:pPr>
          </w:p>
        </w:tc>
        <w:tc>
          <w:tcPr>
            <w:tcW w:w="731" w:type="pct"/>
            <w:vMerge w:val="continue"/>
            <w:vAlign w:val="center"/>
          </w:tcPr>
          <w:p w14:paraId="344D17C4">
            <w:pPr>
              <w:jc w:val="center"/>
              <w:rPr>
                <w:rFonts w:eastAsia="仿宋_GB2312"/>
                <w:color w:val="FF0000"/>
                <w:szCs w:val="21"/>
              </w:rPr>
            </w:pPr>
          </w:p>
        </w:tc>
        <w:tc>
          <w:tcPr>
            <w:tcW w:w="776" w:type="pct"/>
            <w:vMerge w:val="continue"/>
            <w:vAlign w:val="center"/>
          </w:tcPr>
          <w:p w14:paraId="27BFFC27">
            <w:pPr>
              <w:jc w:val="center"/>
              <w:rPr>
                <w:rFonts w:eastAsia="仿宋_GB2312"/>
                <w:color w:val="FF0000"/>
                <w:szCs w:val="21"/>
              </w:rPr>
            </w:pPr>
          </w:p>
        </w:tc>
        <w:tc>
          <w:tcPr>
            <w:tcW w:w="743" w:type="pct"/>
            <w:shd w:val="clear" w:color="auto" w:fill="auto"/>
            <w:vAlign w:val="center"/>
          </w:tcPr>
          <w:p w14:paraId="326C66F1">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TN</w:t>
            </w:r>
          </w:p>
        </w:tc>
        <w:tc>
          <w:tcPr>
            <w:tcW w:w="757" w:type="pct"/>
            <w:shd w:val="clear" w:color="auto" w:fill="auto"/>
            <w:vAlign w:val="center"/>
          </w:tcPr>
          <w:p w14:paraId="5A593019">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45</w:t>
            </w:r>
          </w:p>
        </w:tc>
        <w:tc>
          <w:tcPr>
            <w:tcW w:w="723" w:type="pct"/>
            <w:shd w:val="clear" w:color="auto" w:fill="auto"/>
            <w:vAlign w:val="center"/>
          </w:tcPr>
          <w:p w14:paraId="4095FDBC">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0.008</w:t>
            </w:r>
          </w:p>
        </w:tc>
        <w:tc>
          <w:tcPr>
            <w:tcW w:w="638" w:type="pct"/>
            <w:vMerge w:val="continue"/>
            <w:vAlign w:val="center"/>
          </w:tcPr>
          <w:p w14:paraId="64421535">
            <w:pPr>
              <w:snapToGrid w:val="0"/>
              <w:spacing w:line="320" w:lineRule="exact"/>
              <w:jc w:val="center"/>
              <w:rPr>
                <w:rFonts w:eastAsia="仿宋_GB2312"/>
                <w:color w:val="FF0000"/>
                <w:szCs w:val="21"/>
              </w:rPr>
            </w:pPr>
          </w:p>
        </w:tc>
      </w:tr>
      <w:tr w14:paraId="02BA91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628" w:type="pct"/>
            <w:vMerge w:val="continue"/>
            <w:vAlign w:val="center"/>
          </w:tcPr>
          <w:p w14:paraId="28E4437E">
            <w:pPr>
              <w:jc w:val="center"/>
              <w:rPr>
                <w:rFonts w:eastAsia="仿宋_GB2312"/>
                <w:color w:val="FF0000"/>
                <w:szCs w:val="21"/>
              </w:rPr>
            </w:pPr>
          </w:p>
        </w:tc>
        <w:tc>
          <w:tcPr>
            <w:tcW w:w="731" w:type="pct"/>
            <w:vMerge w:val="continue"/>
            <w:vAlign w:val="center"/>
          </w:tcPr>
          <w:p w14:paraId="4D7DCDF5">
            <w:pPr>
              <w:jc w:val="center"/>
              <w:rPr>
                <w:rFonts w:eastAsia="仿宋_GB2312"/>
                <w:color w:val="FF0000"/>
                <w:szCs w:val="21"/>
              </w:rPr>
            </w:pPr>
          </w:p>
        </w:tc>
        <w:tc>
          <w:tcPr>
            <w:tcW w:w="776" w:type="pct"/>
            <w:vMerge w:val="continue"/>
            <w:vAlign w:val="center"/>
          </w:tcPr>
          <w:p w14:paraId="6A56CCBB">
            <w:pPr>
              <w:jc w:val="center"/>
              <w:rPr>
                <w:rFonts w:eastAsia="仿宋_GB2312"/>
                <w:color w:val="FF0000"/>
                <w:szCs w:val="21"/>
              </w:rPr>
            </w:pPr>
          </w:p>
        </w:tc>
        <w:tc>
          <w:tcPr>
            <w:tcW w:w="743" w:type="pct"/>
            <w:shd w:val="clear" w:color="auto" w:fill="auto"/>
            <w:vAlign w:val="center"/>
          </w:tcPr>
          <w:p w14:paraId="69F25D72">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TP</w:t>
            </w:r>
          </w:p>
        </w:tc>
        <w:tc>
          <w:tcPr>
            <w:tcW w:w="757" w:type="pct"/>
            <w:shd w:val="clear" w:color="auto" w:fill="auto"/>
            <w:vAlign w:val="center"/>
          </w:tcPr>
          <w:p w14:paraId="4C70E2D5">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723" w:type="pct"/>
            <w:shd w:val="clear" w:color="auto" w:fill="auto"/>
            <w:vAlign w:val="center"/>
          </w:tcPr>
          <w:p w14:paraId="24B5F0BF">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0.0005</w:t>
            </w:r>
          </w:p>
        </w:tc>
        <w:tc>
          <w:tcPr>
            <w:tcW w:w="638" w:type="pct"/>
            <w:vMerge w:val="continue"/>
            <w:vAlign w:val="center"/>
          </w:tcPr>
          <w:p w14:paraId="17FE7D1C">
            <w:pPr>
              <w:snapToGrid w:val="0"/>
              <w:spacing w:line="320" w:lineRule="exact"/>
              <w:jc w:val="center"/>
              <w:rPr>
                <w:rFonts w:eastAsia="仿宋_GB2312"/>
                <w:color w:val="FF0000"/>
                <w:szCs w:val="21"/>
              </w:rPr>
            </w:pPr>
          </w:p>
        </w:tc>
      </w:tr>
      <w:tr w14:paraId="0FEFA7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628" w:type="pct"/>
            <w:vMerge w:val="continue"/>
            <w:vAlign w:val="center"/>
          </w:tcPr>
          <w:p w14:paraId="5DA567E6">
            <w:pPr>
              <w:jc w:val="center"/>
              <w:rPr>
                <w:rFonts w:eastAsia="仿宋_GB2312"/>
                <w:color w:val="FF0000"/>
                <w:szCs w:val="21"/>
              </w:rPr>
            </w:pPr>
          </w:p>
        </w:tc>
        <w:tc>
          <w:tcPr>
            <w:tcW w:w="731" w:type="pct"/>
            <w:vMerge w:val="continue"/>
            <w:vAlign w:val="center"/>
          </w:tcPr>
          <w:p w14:paraId="34CDD4F2">
            <w:pPr>
              <w:jc w:val="center"/>
              <w:rPr>
                <w:rFonts w:eastAsia="仿宋_GB2312"/>
                <w:color w:val="FF0000"/>
                <w:szCs w:val="21"/>
              </w:rPr>
            </w:pPr>
          </w:p>
        </w:tc>
        <w:tc>
          <w:tcPr>
            <w:tcW w:w="776" w:type="pct"/>
            <w:vMerge w:val="continue"/>
            <w:vAlign w:val="center"/>
          </w:tcPr>
          <w:p w14:paraId="15C09873">
            <w:pPr>
              <w:jc w:val="center"/>
              <w:rPr>
                <w:rFonts w:eastAsia="仿宋_GB2312"/>
                <w:color w:val="FF0000"/>
                <w:szCs w:val="21"/>
              </w:rPr>
            </w:pPr>
          </w:p>
        </w:tc>
        <w:tc>
          <w:tcPr>
            <w:tcW w:w="743" w:type="pct"/>
            <w:shd w:val="clear" w:color="auto" w:fill="auto"/>
            <w:vAlign w:val="center"/>
          </w:tcPr>
          <w:p w14:paraId="661AC13C">
            <w:pPr>
              <w:keepNext w:val="0"/>
              <w:keepLines w:val="0"/>
              <w:widowControl/>
              <w:suppressLineNumbers w:val="0"/>
              <w:jc w:val="center"/>
              <w:textAlignment w:val="center"/>
              <w:rPr>
                <w:rFonts w:eastAsia="仿宋_GB2312"/>
                <w:b/>
                <w:color w:val="FF0000"/>
                <w:szCs w:val="21"/>
              </w:rPr>
            </w:pPr>
            <w:r>
              <w:rPr>
                <w:rFonts w:hint="default" w:ascii="仿宋_GB2312" w:hAnsi="宋体" w:eastAsia="仿宋_GB2312" w:cs="仿宋_GB2312"/>
                <w:i w:val="0"/>
                <w:iCs w:val="0"/>
                <w:color w:val="000000"/>
                <w:kern w:val="0"/>
                <w:sz w:val="21"/>
                <w:szCs w:val="21"/>
                <w:u w:val="none"/>
                <w:lang w:val="en-US" w:eastAsia="zh-CN" w:bidi="ar"/>
              </w:rPr>
              <w:t>苯乙烯</w:t>
            </w:r>
          </w:p>
        </w:tc>
        <w:tc>
          <w:tcPr>
            <w:tcW w:w="757" w:type="pct"/>
            <w:shd w:val="clear" w:color="auto" w:fill="auto"/>
            <w:vAlign w:val="center"/>
          </w:tcPr>
          <w:p w14:paraId="5DF03526">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1149</w:t>
            </w:r>
          </w:p>
        </w:tc>
        <w:tc>
          <w:tcPr>
            <w:tcW w:w="723" w:type="pct"/>
            <w:shd w:val="clear" w:color="auto" w:fill="auto"/>
            <w:vAlign w:val="center"/>
          </w:tcPr>
          <w:p w14:paraId="0EA51E68">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0.204</w:t>
            </w:r>
          </w:p>
        </w:tc>
        <w:tc>
          <w:tcPr>
            <w:tcW w:w="638" w:type="pct"/>
            <w:vMerge w:val="continue"/>
            <w:vAlign w:val="center"/>
          </w:tcPr>
          <w:p w14:paraId="53062935">
            <w:pPr>
              <w:snapToGrid w:val="0"/>
              <w:spacing w:line="320" w:lineRule="exact"/>
              <w:jc w:val="center"/>
              <w:rPr>
                <w:rFonts w:eastAsia="仿宋_GB2312"/>
                <w:color w:val="FF0000"/>
                <w:szCs w:val="21"/>
              </w:rPr>
            </w:pPr>
          </w:p>
        </w:tc>
      </w:tr>
      <w:tr w14:paraId="72B766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628" w:type="pct"/>
            <w:vMerge w:val="restart"/>
            <w:vAlign w:val="center"/>
          </w:tcPr>
          <w:p w14:paraId="36A3FA78">
            <w:pPr>
              <w:keepNext w:val="0"/>
              <w:keepLines w:val="0"/>
              <w:widowControl/>
              <w:suppressLineNumbers w:val="0"/>
              <w:jc w:val="center"/>
              <w:textAlignment w:val="center"/>
              <w:rPr>
                <w:rFonts w:eastAsia="仿宋_GB2312"/>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W2-9-1</w:t>
            </w:r>
          </w:p>
        </w:tc>
        <w:tc>
          <w:tcPr>
            <w:tcW w:w="731" w:type="pct"/>
            <w:vMerge w:val="restart"/>
            <w:vAlign w:val="center"/>
          </w:tcPr>
          <w:p w14:paraId="71C62E27">
            <w:pPr>
              <w:keepNext w:val="0"/>
              <w:keepLines w:val="0"/>
              <w:widowControl/>
              <w:suppressLineNumbers w:val="0"/>
              <w:jc w:val="center"/>
              <w:textAlignment w:val="center"/>
              <w:rPr>
                <w:rFonts w:eastAsia="仿宋_GB2312"/>
                <w:color w:val="FF0000"/>
                <w:szCs w:val="21"/>
              </w:rPr>
            </w:pPr>
            <w:r>
              <w:rPr>
                <w:rFonts w:hint="default" w:ascii="仿宋_GB2312" w:hAnsi="宋体" w:eastAsia="仿宋_GB2312" w:cs="仿宋_GB2312"/>
                <w:i w:val="0"/>
                <w:iCs w:val="0"/>
                <w:color w:val="000000"/>
                <w:kern w:val="0"/>
                <w:sz w:val="21"/>
                <w:szCs w:val="21"/>
                <w:u w:val="none"/>
                <w:lang w:val="en-US" w:eastAsia="zh-CN" w:bidi="ar"/>
              </w:rPr>
              <w:t>冷凝废水</w:t>
            </w:r>
          </w:p>
        </w:tc>
        <w:tc>
          <w:tcPr>
            <w:tcW w:w="776" w:type="pct"/>
            <w:vMerge w:val="restart"/>
            <w:vAlign w:val="center"/>
          </w:tcPr>
          <w:p w14:paraId="2B9A2035">
            <w:pPr>
              <w:keepNext w:val="0"/>
              <w:keepLines w:val="0"/>
              <w:widowControl/>
              <w:suppressLineNumbers w:val="0"/>
              <w:jc w:val="center"/>
              <w:textAlignment w:val="center"/>
              <w:rPr>
                <w:rFonts w:eastAsia="仿宋_GB2312"/>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265.725</w:t>
            </w:r>
          </w:p>
        </w:tc>
        <w:tc>
          <w:tcPr>
            <w:tcW w:w="743" w:type="pct"/>
            <w:shd w:val="clear" w:color="auto" w:fill="auto"/>
            <w:vAlign w:val="center"/>
          </w:tcPr>
          <w:p w14:paraId="266B27D8">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COD</w:t>
            </w:r>
          </w:p>
        </w:tc>
        <w:tc>
          <w:tcPr>
            <w:tcW w:w="757" w:type="pct"/>
            <w:shd w:val="clear" w:color="auto" w:fill="auto"/>
            <w:vAlign w:val="center"/>
          </w:tcPr>
          <w:p w14:paraId="17E4D2A2">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26400</w:t>
            </w:r>
          </w:p>
        </w:tc>
        <w:tc>
          <w:tcPr>
            <w:tcW w:w="723" w:type="pct"/>
            <w:shd w:val="clear" w:color="auto" w:fill="auto"/>
            <w:vAlign w:val="center"/>
          </w:tcPr>
          <w:p w14:paraId="06D25D52">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7.015</w:t>
            </w:r>
          </w:p>
        </w:tc>
        <w:tc>
          <w:tcPr>
            <w:tcW w:w="638" w:type="pct"/>
            <w:vMerge w:val="continue"/>
            <w:vAlign w:val="center"/>
          </w:tcPr>
          <w:p w14:paraId="617FB88D">
            <w:pPr>
              <w:snapToGrid w:val="0"/>
              <w:spacing w:line="320" w:lineRule="exact"/>
              <w:jc w:val="center"/>
              <w:rPr>
                <w:rFonts w:eastAsia="仿宋_GB2312"/>
                <w:color w:val="FF0000"/>
                <w:szCs w:val="21"/>
              </w:rPr>
            </w:pPr>
          </w:p>
        </w:tc>
      </w:tr>
      <w:tr w14:paraId="63004B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628" w:type="pct"/>
            <w:vMerge w:val="continue"/>
            <w:vAlign w:val="center"/>
          </w:tcPr>
          <w:p w14:paraId="168046EF">
            <w:pPr>
              <w:jc w:val="center"/>
              <w:rPr>
                <w:rFonts w:eastAsia="仿宋_GB2312"/>
                <w:color w:val="FF0000"/>
                <w:szCs w:val="21"/>
              </w:rPr>
            </w:pPr>
          </w:p>
        </w:tc>
        <w:tc>
          <w:tcPr>
            <w:tcW w:w="731" w:type="pct"/>
            <w:vMerge w:val="continue"/>
            <w:vAlign w:val="center"/>
          </w:tcPr>
          <w:p w14:paraId="53B69287">
            <w:pPr>
              <w:jc w:val="center"/>
              <w:rPr>
                <w:rFonts w:eastAsia="仿宋_GB2312"/>
                <w:color w:val="FF0000"/>
                <w:szCs w:val="21"/>
              </w:rPr>
            </w:pPr>
          </w:p>
        </w:tc>
        <w:tc>
          <w:tcPr>
            <w:tcW w:w="776" w:type="pct"/>
            <w:vMerge w:val="continue"/>
            <w:vAlign w:val="center"/>
          </w:tcPr>
          <w:p w14:paraId="659C17F3">
            <w:pPr>
              <w:jc w:val="center"/>
              <w:rPr>
                <w:rFonts w:eastAsia="仿宋_GB2312"/>
                <w:color w:val="FF0000"/>
                <w:szCs w:val="21"/>
              </w:rPr>
            </w:pPr>
          </w:p>
        </w:tc>
        <w:tc>
          <w:tcPr>
            <w:tcW w:w="743" w:type="pct"/>
            <w:shd w:val="clear" w:color="auto" w:fill="auto"/>
            <w:vAlign w:val="center"/>
          </w:tcPr>
          <w:p w14:paraId="785BA3D6">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NH</w:t>
            </w:r>
            <w:r>
              <w:rPr>
                <w:rFonts w:hint="default" w:ascii="Times New Roman" w:hAnsi="Times New Roman" w:eastAsia="宋体" w:cs="Times New Roman"/>
                <w:i w:val="0"/>
                <w:iCs w:val="0"/>
                <w:color w:val="000000"/>
                <w:kern w:val="0"/>
                <w:sz w:val="21"/>
                <w:szCs w:val="21"/>
                <w:u w:val="none"/>
                <w:vertAlign w:val="subscript"/>
                <w:lang w:val="en-US" w:eastAsia="zh-CN" w:bidi="ar"/>
              </w:rPr>
              <w:t>3</w:t>
            </w:r>
            <w:r>
              <w:rPr>
                <w:rFonts w:hint="default" w:ascii="Times New Roman" w:hAnsi="Times New Roman" w:eastAsia="宋体" w:cs="Times New Roman"/>
                <w:i w:val="0"/>
                <w:iCs w:val="0"/>
                <w:color w:val="000000"/>
                <w:kern w:val="0"/>
                <w:sz w:val="21"/>
                <w:szCs w:val="21"/>
                <w:u w:val="none"/>
                <w:lang w:val="en-US" w:eastAsia="zh-CN" w:bidi="ar"/>
              </w:rPr>
              <w:t>-N</w:t>
            </w:r>
          </w:p>
        </w:tc>
        <w:tc>
          <w:tcPr>
            <w:tcW w:w="757" w:type="pct"/>
            <w:shd w:val="clear" w:color="auto" w:fill="auto"/>
            <w:vAlign w:val="center"/>
          </w:tcPr>
          <w:p w14:paraId="3A35F0D0">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30</w:t>
            </w:r>
          </w:p>
        </w:tc>
        <w:tc>
          <w:tcPr>
            <w:tcW w:w="723" w:type="pct"/>
            <w:shd w:val="clear" w:color="auto" w:fill="auto"/>
            <w:vAlign w:val="center"/>
          </w:tcPr>
          <w:p w14:paraId="28227572">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0.079</w:t>
            </w:r>
          </w:p>
        </w:tc>
        <w:tc>
          <w:tcPr>
            <w:tcW w:w="638" w:type="pct"/>
            <w:vMerge w:val="continue"/>
            <w:vAlign w:val="center"/>
          </w:tcPr>
          <w:p w14:paraId="63E4EBF1">
            <w:pPr>
              <w:snapToGrid w:val="0"/>
              <w:spacing w:line="320" w:lineRule="exact"/>
              <w:jc w:val="center"/>
              <w:rPr>
                <w:rFonts w:eastAsia="仿宋_GB2312"/>
                <w:color w:val="FF0000"/>
                <w:szCs w:val="21"/>
              </w:rPr>
            </w:pPr>
          </w:p>
        </w:tc>
      </w:tr>
      <w:tr w14:paraId="3CAC25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628" w:type="pct"/>
            <w:vMerge w:val="continue"/>
            <w:vAlign w:val="center"/>
          </w:tcPr>
          <w:p w14:paraId="2294D55B">
            <w:pPr>
              <w:jc w:val="center"/>
              <w:rPr>
                <w:rFonts w:eastAsia="仿宋_GB2312"/>
                <w:color w:val="FF0000"/>
                <w:szCs w:val="21"/>
              </w:rPr>
            </w:pPr>
          </w:p>
        </w:tc>
        <w:tc>
          <w:tcPr>
            <w:tcW w:w="731" w:type="pct"/>
            <w:vMerge w:val="continue"/>
            <w:vAlign w:val="center"/>
          </w:tcPr>
          <w:p w14:paraId="69FF112E">
            <w:pPr>
              <w:jc w:val="center"/>
              <w:rPr>
                <w:rFonts w:eastAsia="仿宋_GB2312"/>
                <w:color w:val="FF0000"/>
                <w:szCs w:val="21"/>
              </w:rPr>
            </w:pPr>
          </w:p>
        </w:tc>
        <w:tc>
          <w:tcPr>
            <w:tcW w:w="776" w:type="pct"/>
            <w:vMerge w:val="continue"/>
            <w:vAlign w:val="center"/>
          </w:tcPr>
          <w:p w14:paraId="469A1F34">
            <w:pPr>
              <w:jc w:val="center"/>
              <w:rPr>
                <w:rFonts w:eastAsia="仿宋_GB2312"/>
                <w:color w:val="FF0000"/>
                <w:szCs w:val="21"/>
              </w:rPr>
            </w:pPr>
          </w:p>
        </w:tc>
        <w:tc>
          <w:tcPr>
            <w:tcW w:w="743" w:type="pct"/>
            <w:shd w:val="clear" w:color="auto" w:fill="auto"/>
            <w:vAlign w:val="center"/>
          </w:tcPr>
          <w:p w14:paraId="4C734C58">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TN</w:t>
            </w:r>
          </w:p>
        </w:tc>
        <w:tc>
          <w:tcPr>
            <w:tcW w:w="757" w:type="pct"/>
            <w:shd w:val="clear" w:color="auto" w:fill="auto"/>
            <w:vAlign w:val="center"/>
          </w:tcPr>
          <w:p w14:paraId="4F166116">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45</w:t>
            </w:r>
          </w:p>
        </w:tc>
        <w:tc>
          <w:tcPr>
            <w:tcW w:w="723" w:type="pct"/>
            <w:shd w:val="clear" w:color="auto" w:fill="auto"/>
            <w:vAlign w:val="center"/>
          </w:tcPr>
          <w:p w14:paraId="47B31E3A">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0.012</w:t>
            </w:r>
          </w:p>
        </w:tc>
        <w:tc>
          <w:tcPr>
            <w:tcW w:w="638" w:type="pct"/>
            <w:vMerge w:val="continue"/>
            <w:vAlign w:val="center"/>
          </w:tcPr>
          <w:p w14:paraId="7857A021">
            <w:pPr>
              <w:snapToGrid w:val="0"/>
              <w:spacing w:line="320" w:lineRule="exact"/>
              <w:jc w:val="center"/>
              <w:rPr>
                <w:rFonts w:eastAsia="仿宋_GB2312"/>
                <w:color w:val="FF0000"/>
                <w:szCs w:val="21"/>
              </w:rPr>
            </w:pPr>
          </w:p>
        </w:tc>
      </w:tr>
      <w:tr w14:paraId="635392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628" w:type="pct"/>
            <w:vMerge w:val="continue"/>
            <w:vAlign w:val="center"/>
          </w:tcPr>
          <w:p w14:paraId="0A93AC7F">
            <w:pPr>
              <w:jc w:val="center"/>
              <w:rPr>
                <w:rFonts w:eastAsia="仿宋_GB2312"/>
                <w:color w:val="FF0000"/>
                <w:szCs w:val="21"/>
              </w:rPr>
            </w:pPr>
          </w:p>
        </w:tc>
        <w:tc>
          <w:tcPr>
            <w:tcW w:w="731" w:type="pct"/>
            <w:vMerge w:val="continue"/>
            <w:vAlign w:val="center"/>
          </w:tcPr>
          <w:p w14:paraId="5EF159F6">
            <w:pPr>
              <w:jc w:val="center"/>
              <w:rPr>
                <w:rFonts w:eastAsia="仿宋_GB2312"/>
                <w:color w:val="FF0000"/>
                <w:szCs w:val="21"/>
              </w:rPr>
            </w:pPr>
          </w:p>
        </w:tc>
        <w:tc>
          <w:tcPr>
            <w:tcW w:w="776" w:type="pct"/>
            <w:vMerge w:val="continue"/>
            <w:vAlign w:val="center"/>
          </w:tcPr>
          <w:p w14:paraId="249AC676">
            <w:pPr>
              <w:jc w:val="center"/>
              <w:rPr>
                <w:rFonts w:eastAsia="仿宋_GB2312"/>
                <w:color w:val="FF0000"/>
                <w:szCs w:val="21"/>
              </w:rPr>
            </w:pPr>
          </w:p>
        </w:tc>
        <w:tc>
          <w:tcPr>
            <w:tcW w:w="743" w:type="pct"/>
            <w:shd w:val="clear" w:color="auto" w:fill="auto"/>
            <w:vAlign w:val="center"/>
          </w:tcPr>
          <w:p w14:paraId="5E85C1EE">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TP</w:t>
            </w:r>
          </w:p>
        </w:tc>
        <w:tc>
          <w:tcPr>
            <w:tcW w:w="757" w:type="pct"/>
            <w:shd w:val="clear" w:color="auto" w:fill="auto"/>
            <w:vAlign w:val="center"/>
          </w:tcPr>
          <w:p w14:paraId="1B837CA6">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723" w:type="pct"/>
            <w:shd w:val="clear" w:color="auto" w:fill="auto"/>
            <w:vAlign w:val="center"/>
          </w:tcPr>
          <w:p w14:paraId="24A8F0CD">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0.0008</w:t>
            </w:r>
          </w:p>
        </w:tc>
        <w:tc>
          <w:tcPr>
            <w:tcW w:w="638" w:type="pct"/>
            <w:vMerge w:val="continue"/>
            <w:vAlign w:val="center"/>
          </w:tcPr>
          <w:p w14:paraId="13AC275A">
            <w:pPr>
              <w:snapToGrid w:val="0"/>
              <w:spacing w:line="320" w:lineRule="exact"/>
              <w:jc w:val="center"/>
              <w:rPr>
                <w:rFonts w:eastAsia="仿宋_GB2312"/>
                <w:color w:val="FF0000"/>
                <w:szCs w:val="21"/>
              </w:rPr>
            </w:pPr>
          </w:p>
        </w:tc>
      </w:tr>
      <w:tr w14:paraId="0D2414F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628" w:type="pct"/>
            <w:vMerge w:val="restart"/>
            <w:vAlign w:val="center"/>
          </w:tcPr>
          <w:p w14:paraId="10D4C1A8">
            <w:pPr>
              <w:keepNext w:val="0"/>
              <w:keepLines w:val="0"/>
              <w:widowControl/>
              <w:suppressLineNumbers w:val="0"/>
              <w:jc w:val="center"/>
              <w:textAlignment w:val="center"/>
              <w:rPr>
                <w:rFonts w:eastAsia="仿宋_GB2312"/>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W2-10-1</w:t>
            </w:r>
          </w:p>
        </w:tc>
        <w:tc>
          <w:tcPr>
            <w:tcW w:w="731" w:type="pct"/>
            <w:vMerge w:val="restart"/>
            <w:vAlign w:val="center"/>
          </w:tcPr>
          <w:p w14:paraId="1D2A7369">
            <w:pPr>
              <w:keepNext w:val="0"/>
              <w:keepLines w:val="0"/>
              <w:widowControl/>
              <w:suppressLineNumbers w:val="0"/>
              <w:jc w:val="center"/>
              <w:textAlignment w:val="center"/>
              <w:rPr>
                <w:rFonts w:eastAsia="仿宋_GB2312"/>
                <w:color w:val="FF0000"/>
                <w:szCs w:val="21"/>
              </w:rPr>
            </w:pPr>
            <w:r>
              <w:rPr>
                <w:rFonts w:hint="default" w:ascii="仿宋_GB2312" w:hAnsi="宋体" w:eastAsia="仿宋_GB2312" w:cs="仿宋_GB2312"/>
                <w:i w:val="0"/>
                <w:iCs w:val="0"/>
                <w:color w:val="000000"/>
                <w:kern w:val="0"/>
                <w:sz w:val="21"/>
                <w:szCs w:val="21"/>
                <w:u w:val="none"/>
                <w:lang w:val="en-US" w:eastAsia="zh-CN" w:bidi="ar"/>
              </w:rPr>
              <w:t>冷凝废水</w:t>
            </w:r>
          </w:p>
        </w:tc>
        <w:tc>
          <w:tcPr>
            <w:tcW w:w="776" w:type="pct"/>
            <w:vMerge w:val="restart"/>
            <w:vAlign w:val="center"/>
          </w:tcPr>
          <w:p w14:paraId="16AE0AD4">
            <w:pPr>
              <w:keepNext w:val="0"/>
              <w:keepLines w:val="0"/>
              <w:widowControl/>
              <w:suppressLineNumbers w:val="0"/>
              <w:jc w:val="center"/>
              <w:textAlignment w:val="center"/>
              <w:rPr>
                <w:rFonts w:eastAsia="仿宋_GB2312"/>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149.428</w:t>
            </w:r>
          </w:p>
        </w:tc>
        <w:tc>
          <w:tcPr>
            <w:tcW w:w="743" w:type="pct"/>
            <w:shd w:val="clear" w:color="auto" w:fill="auto"/>
            <w:vAlign w:val="center"/>
          </w:tcPr>
          <w:p w14:paraId="247AB372">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COD</w:t>
            </w:r>
          </w:p>
        </w:tc>
        <w:tc>
          <w:tcPr>
            <w:tcW w:w="757" w:type="pct"/>
            <w:shd w:val="clear" w:color="auto" w:fill="auto"/>
            <w:vAlign w:val="center"/>
          </w:tcPr>
          <w:p w14:paraId="67BCD848">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18099</w:t>
            </w:r>
          </w:p>
        </w:tc>
        <w:tc>
          <w:tcPr>
            <w:tcW w:w="723" w:type="pct"/>
            <w:shd w:val="clear" w:color="auto" w:fill="auto"/>
            <w:vAlign w:val="center"/>
          </w:tcPr>
          <w:p w14:paraId="72C1464A">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2.7045</w:t>
            </w:r>
          </w:p>
        </w:tc>
        <w:tc>
          <w:tcPr>
            <w:tcW w:w="638" w:type="pct"/>
            <w:vMerge w:val="continue"/>
            <w:vAlign w:val="center"/>
          </w:tcPr>
          <w:p w14:paraId="60003A51">
            <w:pPr>
              <w:snapToGrid w:val="0"/>
              <w:spacing w:line="320" w:lineRule="exact"/>
              <w:jc w:val="center"/>
              <w:rPr>
                <w:rFonts w:eastAsia="仿宋_GB2312"/>
                <w:color w:val="FF0000"/>
                <w:szCs w:val="21"/>
              </w:rPr>
            </w:pPr>
          </w:p>
        </w:tc>
      </w:tr>
      <w:tr w14:paraId="3023A9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628" w:type="pct"/>
            <w:vMerge w:val="continue"/>
            <w:vAlign w:val="center"/>
          </w:tcPr>
          <w:p w14:paraId="7C89E2E6">
            <w:pPr>
              <w:jc w:val="center"/>
              <w:rPr>
                <w:rFonts w:eastAsia="仿宋_GB2312"/>
                <w:color w:val="FF0000"/>
                <w:szCs w:val="21"/>
              </w:rPr>
            </w:pPr>
          </w:p>
        </w:tc>
        <w:tc>
          <w:tcPr>
            <w:tcW w:w="731" w:type="pct"/>
            <w:vMerge w:val="continue"/>
            <w:vAlign w:val="center"/>
          </w:tcPr>
          <w:p w14:paraId="7D89008A">
            <w:pPr>
              <w:jc w:val="center"/>
              <w:rPr>
                <w:rFonts w:eastAsia="仿宋_GB2312"/>
                <w:color w:val="FF0000"/>
                <w:szCs w:val="21"/>
              </w:rPr>
            </w:pPr>
          </w:p>
        </w:tc>
        <w:tc>
          <w:tcPr>
            <w:tcW w:w="776" w:type="pct"/>
            <w:vMerge w:val="continue"/>
            <w:vAlign w:val="center"/>
          </w:tcPr>
          <w:p w14:paraId="2A91D9F8">
            <w:pPr>
              <w:jc w:val="center"/>
              <w:rPr>
                <w:rFonts w:eastAsia="仿宋_GB2312"/>
                <w:color w:val="FF0000"/>
                <w:szCs w:val="21"/>
              </w:rPr>
            </w:pPr>
          </w:p>
        </w:tc>
        <w:tc>
          <w:tcPr>
            <w:tcW w:w="743" w:type="pct"/>
            <w:shd w:val="clear" w:color="auto" w:fill="auto"/>
            <w:vAlign w:val="center"/>
          </w:tcPr>
          <w:p w14:paraId="0984C68F">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NH</w:t>
            </w:r>
            <w:r>
              <w:rPr>
                <w:rFonts w:hint="default" w:ascii="Times New Roman" w:hAnsi="Times New Roman" w:eastAsia="宋体" w:cs="Times New Roman"/>
                <w:i w:val="0"/>
                <w:iCs w:val="0"/>
                <w:color w:val="000000"/>
                <w:kern w:val="0"/>
                <w:sz w:val="21"/>
                <w:szCs w:val="21"/>
                <w:u w:val="none"/>
                <w:vertAlign w:val="subscript"/>
                <w:lang w:val="en-US" w:eastAsia="zh-CN" w:bidi="ar"/>
              </w:rPr>
              <w:t>3</w:t>
            </w:r>
            <w:r>
              <w:rPr>
                <w:rFonts w:hint="default" w:ascii="Times New Roman" w:hAnsi="Times New Roman" w:eastAsia="宋体" w:cs="Times New Roman"/>
                <w:i w:val="0"/>
                <w:iCs w:val="0"/>
                <w:color w:val="000000"/>
                <w:kern w:val="0"/>
                <w:sz w:val="21"/>
                <w:szCs w:val="21"/>
                <w:u w:val="none"/>
                <w:lang w:val="en-US" w:eastAsia="zh-CN" w:bidi="ar"/>
              </w:rPr>
              <w:t>-N</w:t>
            </w:r>
          </w:p>
        </w:tc>
        <w:tc>
          <w:tcPr>
            <w:tcW w:w="757" w:type="pct"/>
            <w:shd w:val="clear" w:color="auto" w:fill="auto"/>
            <w:vAlign w:val="center"/>
          </w:tcPr>
          <w:p w14:paraId="28A9F866">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30</w:t>
            </w:r>
          </w:p>
        </w:tc>
        <w:tc>
          <w:tcPr>
            <w:tcW w:w="723" w:type="pct"/>
            <w:shd w:val="clear" w:color="auto" w:fill="auto"/>
            <w:vAlign w:val="center"/>
          </w:tcPr>
          <w:p w14:paraId="6F828628">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0.0045</w:t>
            </w:r>
          </w:p>
        </w:tc>
        <w:tc>
          <w:tcPr>
            <w:tcW w:w="638" w:type="pct"/>
            <w:vMerge w:val="continue"/>
            <w:vAlign w:val="center"/>
          </w:tcPr>
          <w:p w14:paraId="10B6ED46">
            <w:pPr>
              <w:snapToGrid w:val="0"/>
              <w:spacing w:line="320" w:lineRule="exact"/>
              <w:jc w:val="center"/>
              <w:rPr>
                <w:rFonts w:eastAsia="仿宋_GB2312"/>
                <w:color w:val="FF0000"/>
                <w:szCs w:val="21"/>
              </w:rPr>
            </w:pPr>
          </w:p>
        </w:tc>
      </w:tr>
      <w:tr w14:paraId="48981C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628" w:type="pct"/>
            <w:vMerge w:val="continue"/>
            <w:vAlign w:val="center"/>
          </w:tcPr>
          <w:p w14:paraId="7EA75089">
            <w:pPr>
              <w:jc w:val="center"/>
              <w:rPr>
                <w:rFonts w:eastAsia="仿宋_GB2312"/>
                <w:color w:val="FF0000"/>
                <w:szCs w:val="21"/>
              </w:rPr>
            </w:pPr>
          </w:p>
        </w:tc>
        <w:tc>
          <w:tcPr>
            <w:tcW w:w="731" w:type="pct"/>
            <w:vMerge w:val="continue"/>
            <w:vAlign w:val="center"/>
          </w:tcPr>
          <w:p w14:paraId="28072700">
            <w:pPr>
              <w:jc w:val="center"/>
              <w:rPr>
                <w:rFonts w:eastAsia="仿宋_GB2312"/>
                <w:color w:val="FF0000"/>
                <w:szCs w:val="21"/>
              </w:rPr>
            </w:pPr>
          </w:p>
        </w:tc>
        <w:tc>
          <w:tcPr>
            <w:tcW w:w="776" w:type="pct"/>
            <w:vMerge w:val="continue"/>
            <w:vAlign w:val="center"/>
          </w:tcPr>
          <w:p w14:paraId="2A5C882E">
            <w:pPr>
              <w:jc w:val="center"/>
              <w:rPr>
                <w:rFonts w:eastAsia="仿宋_GB2312"/>
                <w:color w:val="FF0000"/>
                <w:szCs w:val="21"/>
              </w:rPr>
            </w:pPr>
          </w:p>
        </w:tc>
        <w:tc>
          <w:tcPr>
            <w:tcW w:w="743" w:type="pct"/>
            <w:shd w:val="clear" w:color="auto" w:fill="auto"/>
            <w:vAlign w:val="center"/>
          </w:tcPr>
          <w:p w14:paraId="1D49D128">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TN</w:t>
            </w:r>
          </w:p>
        </w:tc>
        <w:tc>
          <w:tcPr>
            <w:tcW w:w="757" w:type="pct"/>
            <w:shd w:val="clear" w:color="auto" w:fill="auto"/>
            <w:vAlign w:val="center"/>
          </w:tcPr>
          <w:p w14:paraId="46583BB9">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45</w:t>
            </w:r>
          </w:p>
        </w:tc>
        <w:tc>
          <w:tcPr>
            <w:tcW w:w="723" w:type="pct"/>
            <w:shd w:val="clear" w:color="auto" w:fill="auto"/>
            <w:vAlign w:val="center"/>
          </w:tcPr>
          <w:p w14:paraId="01117C79">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0.0067</w:t>
            </w:r>
          </w:p>
        </w:tc>
        <w:tc>
          <w:tcPr>
            <w:tcW w:w="638" w:type="pct"/>
            <w:vMerge w:val="continue"/>
            <w:vAlign w:val="center"/>
          </w:tcPr>
          <w:p w14:paraId="5555312C">
            <w:pPr>
              <w:snapToGrid w:val="0"/>
              <w:spacing w:line="320" w:lineRule="exact"/>
              <w:jc w:val="center"/>
              <w:rPr>
                <w:rFonts w:eastAsia="仿宋_GB2312"/>
                <w:color w:val="FF0000"/>
                <w:szCs w:val="21"/>
              </w:rPr>
            </w:pPr>
          </w:p>
        </w:tc>
      </w:tr>
      <w:tr w14:paraId="043145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628" w:type="pct"/>
            <w:vMerge w:val="continue"/>
            <w:vAlign w:val="center"/>
          </w:tcPr>
          <w:p w14:paraId="5A70A92E">
            <w:pPr>
              <w:jc w:val="center"/>
              <w:rPr>
                <w:rFonts w:eastAsia="仿宋_GB2312"/>
                <w:color w:val="FF0000"/>
                <w:szCs w:val="21"/>
              </w:rPr>
            </w:pPr>
          </w:p>
        </w:tc>
        <w:tc>
          <w:tcPr>
            <w:tcW w:w="731" w:type="pct"/>
            <w:vMerge w:val="continue"/>
            <w:vAlign w:val="center"/>
          </w:tcPr>
          <w:p w14:paraId="35710042">
            <w:pPr>
              <w:jc w:val="center"/>
              <w:rPr>
                <w:rFonts w:eastAsia="仿宋_GB2312"/>
                <w:color w:val="FF0000"/>
                <w:szCs w:val="21"/>
              </w:rPr>
            </w:pPr>
          </w:p>
        </w:tc>
        <w:tc>
          <w:tcPr>
            <w:tcW w:w="776" w:type="pct"/>
            <w:vMerge w:val="continue"/>
            <w:vAlign w:val="center"/>
          </w:tcPr>
          <w:p w14:paraId="0DC2B232">
            <w:pPr>
              <w:jc w:val="center"/>
              <w:rPr>
                <w:rFonts w:eastAsia="仿宋_GB2312"/>
                <w:color w:val="FF0000"/>
                <w:szCs w:val="21"/>
              </w:rPr>
            </w:pPr>
          </w:p>
        </w:tc>
        <w:tc>
          <w:tcPr>
            <w:tcW w:w="743" w:type="pct"/>
            <w:shd w:val="clear" w:color="auto" w:fill="auto"/>
            <w:vAlign w:val="center"/>
          </w:tcPr>
          <w:p w14:paraId="0AF60164">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TP</w:t>
            </w:r>
          </w:p>
        </w:tc>
        <w:tc>
          <w:tcPr>
            <w:tcW w:w="757" w:type="pct"/>
            <w:shd w:val="clear" w:color="auto" w:fill="auto"/>
            <w:vAlign w:val="center"/>
          </w:tcPr>
          <w:p w14:paraId="2532F514">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723" w:type="pct"/>
            <w:shd w:val="clear" w:color="auto" w:fill="auto"/>
            <w:vAlign w:val="center"/>
          </w:tcPr>
          <w:p w14:paraId="702A3B22">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0.0004</w:t>
            </w:r>
          </w:p>
        </w:tc>
        <w:tc>
          <w:tcPr>
            <w:tcW w:w="638" w:type="pct"/>
            <w:vMerge w:val="continue"/>
            <w:vAlign w:val="center"/>
          </w:tcPr>
          <w:p w14:paraId="055A0786">
            <w:pPr>
              <w:snapToGrid w:val="0"/>
              <w:spacing w:line="320" w:lineRule="exact"/>
              <w:jc w:val="center"/>
              <w:rPr>
                <w:rFonts w:eastAsia="仿宋_GB2312"/>
                <w:color w:val="FF0000"/>
                <w:szCs w:val="21"/>
              </w:rPr>
            </w:pPr>
          </w:p>
        </w:tc>
      </w:tr>
      <w:tr w14:paraId="4D9D40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628" w:type="pct"/>
            <w:vMerge w:val="restart"/>
            <w:vAlign w:val="center"/>
          </w:tcPr>
          <w:p w14:paraId="16E8741A">
            <w:pPr>
              <w:keepNext w:val="0"/>
              <w:keepLines w:val="0"/>
              <w:widowControl/>
              <w:suppressLineNumbers w:val="0"/>
              <w:jc w:val="center"/>
              <w:textAlignment w:val="center"/>
              <w:rPr>
                <w:rFonts w:eastAsia="仿宋_GB2312"/>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W3-1-1</w:t>
            </w:r>
          </w:p>
        </w:tc>
        <w:tc>
          <w:tcPr>
            <w:tcW w:w="731" w:type="pct"/>
            <w:vMerge w:val="restart"/>
            <w:vAlign w:val="center"/>
          </w:tcPr>
          <w:p w14:paraId="678CF32A">
            <w:pPr>
              <w:keepNext w:val="0"/>
              <w:keepLines w:val="0"/>
              <w:widowControl/>
              <w:suppressLineNumbers w:val="0"/>
              <w:jc w:val="center"/>
              <w:textAlignment w:val="center"/>
              <w:rPr>
                <w:rFonts w:eastAsia="仿宋_GB2312"/>
                <w:color w:val="FF0000"/>
                <w:szCs w:val="21"/>
              </w:rPr>
            </w:pPr>
            <w:r>
              <w:rPr>
                <w:rFonts w:hint="default" w:ascii="仿宋_GB2312" w:hAnsi="宋体" w:eastAsia="仿宋_GB2312" w:cs="仿宋_GB2312"/>
                <w:i w:val="0"/>
                <w:iCs w:val="0"/>
                <w:color w:val="000000"/>
                <w:kern w:val="0"/>
                <w:sz w:val="21"/>
                <w:szCs w:val="21"/>
                <w:u w:val="none"/>
                <w:lang w:val="en-US" w:eastAsia="zh-CN" w:bidi="ar"/>
              </w:rPr>
              <w:t>冷凝废水</w:t>
            </w:r>
          </w:p>
        </w:tc>
        <w:tc>
          <w:tcPr>
            <w:tcW w:w="776" w:type="pct"/>
            <w:vMerge w:val="restart"/>
            <w:vAlign w:val="center"/>
          </w:tcPr>
          <w:p w14:paraId="601C1B4B">
            <w:pPr>
              <w:keepNext w:val="0"/>
              <w:keepLines w:val="0"/>
              <w:widowControl/>
              <w:suppressLineNumbers w:val="0"/>
              <w:jc w:val="center"/>
              <w:textAlignment w:val="center"/>
              <w:rPr>
                <w:rFonts w:eastAsia="仿宋_GB2312"/>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36.553</w:t>
            </w:r>
          </w:p>
        </w:tc>
        <w:tc>
          <w:tcPr>
            <w:tcW w:w="743" w:type="pct"/>
            <w:shd w:val="clear" w:color="auto" w:fill="auto"/>
            <w:vAlign w:val="center"/>
          </w:tcPr>
          <w:p w14:paraId="344F8B69">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COD</w:t>
            </w:r>
          </w:p>
        </w:tc>
        <w:tc>
          <w:tcPr>
            <w:tcW w:w="757" w:type="pct"/>
            <w:shd w:val="clear" w:color="auto" w:fill="auto"/>
            <w:vAlign w:val="center"/>
          </w:tcPr>
          <w:p w14:paraId="6B05758D">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30093</w:t>
            </w:r>
          </w:p>
        </w:tc>
        <w:tc>
          <w:tcPr>
            <w:tcW w:w="723" w:type="pct"/>
            <w:shd w:val="clear" w:color="auto" w:fill="auto"/>
            <w:vAlign w:val="center"/>
          </w:tcPr>
          <w:p w14:paraId="250490A7">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1.1</w:t>
            </w:r>
          </w:p>
        </w:tc>
        <w:tc>
          <w:tcPr>
            <w:tcW w:w="638" w:type="pct"/>
            <w:vMerge w:val="continue"/>
            <w:vAlign w:val="center"/>
          </w:tcPr>
          <w:p w14:paraId="0FBFE170">
            <w:pPr>
              <w:snapToGrid w:val="0"/>
              <w:spacing w:line="320" w:lineRule="exact"/>
              <w:jc w:val="center"/>
              <w:rPr>
                <w:rFonts w:eastAsia="仿宋_GB2312"/>
                <w:color w:val="FF0000"/>
                <w:szCs w:val="21"/>
              </w:rPr>
            </w:pPr>
          </w:p>
        </w:tc>
      </w:tr>
      <w:tr w14:paraId="05A60E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628" w:type="pct"/>
            <w:vMerge w:val="continue"/>
            <w:vAlign w:val="center"/>
          </w:tcPr>
          <w:p w14:paraId="0D378005">
            <w:pPr>
              <w:jc w:val="center"/>
              <w:rPr>
                <w:rFonts w:eastAsia="仿宋_GB2312"/>
                <w:color w:val="FF0000"/>
                <w:szCs w:val="21"/>
              </w:rPr>
            </w:pPr>
          </w:p>
        </w:tc>
        <w:tc>
          <w:tcPr>
            <w:tcW w:w="731" w:type="pct"/>
            <w:vMerge w:val="continue"/>
            <w:vAlign w:val="center"/>
          </w:tcPr>
          <w:p w14:paraId="21FF166A">
            <w:pPr>
              <w:jc w:val="center"/>
              <w:rPr>
                <w:rFonts w:eastAsia="仿宋_GB2312"/>
                <w:color w:val="FF0000"/>
                <w:szCs w:val="21"/>
              </w:rPr>
            </w:pPr>
          </w:p>
        </w:tc>
        <w:tc>
          <w:tcPr>
            <w:tcW w:w="776" w:type="pct"/>
            <w:vMerge w:val="continue"/>
            <w:vAlign w:val="center"/>
          </w:tcPr>
          <w:p w14:paraId="639EDD7D">
            <w:pPr>
              <w:jc w:val="center"/>
              <w:rPr>
                <w:rFonts w:eastAsia="仿宋_GB2312"/>
                <w:color w:val="FF0000"/>
                <w:szCs w:val="21"/>
              </w:rPr>
            </w:pPr>
          </w:p>
        </w:tc>
        <w:tc>
          <w:tcPr>
            <w:tcW w:w="743" w:type="pct"/>
            <w:shd w:val="clear" w:color="auto" w:fill="auto"/>
            <w:vAlign w:val="center"/>
          </w:tcPr>
          <w:p w14:paraId="33E02AFB">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NH</w:t>
            </w:r>
            <w:r>
              <w:rPr>
                <w:rFonts w:hint="default" w:ascii="Times New Roman" w:hAnsi="Times New Roman" w:eastAsia="宋体" w:cs="Times New Roman"/>
                <w:i w:val="0"/>
                <w:iCs w:val="0"/>
                <w:color w:val="000000"/>
                <w:kern w:val="0"/>
                <w:sz w:val="21"/>
                <w:szCs w:val="21"/>
                <w:u w:val="none"/>
                <w:vertAlign w:val="subscript"/>
                <w:lang w:val="en-US" w:eastAsia="zh-CN" w:bidi="ar"/>
              </w:rPr>
              <w:t>3</w:t>
            </w:r>
            <w:r>
              <w:rPr>
                <w:rFonts w:hint="default" w:ascii="Times New Roman" w:hAnsi="Times New Roman" w:eastAsia="宋体" w:cs="Times New Roman"/>
                <w:i w:val="0"/>
                <w:iCs w:val="0"/>
                <w:color w:val="000000"/>
                <w:kern w:val="0"/>
                <w:sz w:val="21"/>
                <w:szCs w:val="21"/>
                <w:u w:val="none"/>
                <w:lang w:val="en-US" w:eastAsia="zh-CN" w:bidi="ar"/>
              </w:rPr>
              <w:t>-N</w:t>
            </w:r>
          </w:p>
        </w:tc>
        <w:tc>
          <w:tcPr>
            <w:tcW w:w="757" w:type="pct"/>
            <w:shd w:val="clear" w:color="auto" w:fill="auto"/>
            <w:vAlign w:val="center"/>
          </w:tcPr>
          <w:p w14:paraId="7D693B8A">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30</w:t>
            </w:r>
          </w:p>
        </w:tc>
        <w:tc>
          <w:tcPr>
            <w:tcW w:w="723" w:type="pct"/>
            <w:shd w:val="clear" w:color="auto" w:fill="auto"/>
            <w:vAlign w:val="center"/>
          </w:tcPr>
          <w:p w14:paraId="37676E59">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0.001</w:t>
            </w:r>
          </w:p>
        </w:tc>
        <w:tc>
          <w:tcPr>
            <w:tcW w:w="638" w:type="pct"/>
            <w:vMerge w:val="continue"/>
            <w:vAlign w:val="center"/>
          </w:tcPr>
          <w:p w14:paraId="543EECD3">
            <w:pPr>
              <w:snapToGrid w:val="0"/>
              <w:spacing w:line="320" w:lineRule="exact"/>
              <w:jc w:val="center"/>
              <w:rPr>
                <w:rFonts w:eastAsia="仿宋_GB2312"/>
                <w:color w:val="FF0000"/>
                <w:szCs w:val="21"/>
              </w:rPr>
            </w:pPr>
          </w:p>
        </w:tc>
      </w:tr>
      <w:tr w14:paraId="37FFD6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628" w:type="pct"/>
            <w:vMerge w:val="continue"/>
            <w:vAlign w:val="center"/>
          </w:tcPr>
          <w:p w14:paraId="79FE496D">
            <w:pPr>
              <w:jc w:val="center"/>
              <w:rPr>
                <w:rFonts w:eastAsia="仿宋_GB2312"/>
                <w:color w:val="FF0000"/>
                <w:szCs w:val="21"/>
              </w:rPr>
            </w:pPr>
          </w:p>
        </w:tc>
        <w:tc>
          <w:tcPr>
            <w:tcW w:w="731" w:type="pct"/>
            <w:vMerge w:val="continue"/>
            <w:vAlign w:val="center"/>
          </w:tcPr>
          <w:p w14:paraId="79424AF3">
            <w:pPr>
              <w:jc w:val="center"/>
              <w:rPr>
                <w:rFonts w:eastAsia="仿宋_GB2312"/>
                <w:color w:val="FF0000"/>
                <w:szCs w:val="21"/>
              </w:rPr>
            </w:pPr>
          </w:p>
        </w:tc>
        <w:tc>
          <w:tcPr>
            <w:tcW w:w="776" w:type="pct"/>
            <w:vMerge w:val="continue"/>
            <w:vAlign w:val="center"/>
          </w:tcPr>
          <w:p w14:paraId="1B08EF7D">
            <w:pPr>
              <w:jc w:val="center"/>
              <w:rPr>
                <w:rFonts w:eastAsia="仿宋_GB2312"/>
                <w:color w:val="FF0000"/>
                <w:szCs w:val="21"/>
              </w:rPr>
            </w:pPr>
          </w:p>
        </w:tc>
        <w:tc>
          <w:tcPr>
            <w:tcW w:w="743" w:type="pct"/>
            <w:shd w:val="clear" w:color="auto" w:fill="auto"/>
            <w:vAlign w:val="center"/>
          </w:tcPr>
          <w:p w14:paraId="5BD4CB10">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TN</w:t>
            </w:r>
          </w:p>
        </w:tc>
        <w:tc>
          <w:tcPr>
            <w:tcW w:w="757" w:type="pct"/>
            <w:shd w:val="clear" w:color="auto" w:fill="auto"/>
            <w:vAlign w:val="center"/>
          </w:tcPr>
          <w:p w14:paraId="64D2F8B4">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45</w:t>
            </w:r>
          </w:p>
        </w:tc>
        <w:tc>
          <w:tcPr>
            <w:tcW w:w="723" w:type="pct"/>
            <w:shd w:val="clear" w:color="auto" w:fill="auto"/>
            <w:vAlign w:val="center"/>
          </w:tcPr>
          <w:p w14:paraId="64336581">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0.0016</w:t>
            </w:r>
          </w:p>
        </w:tc>
        <w:tc>
          <w:tcPr>
            <w:tcW w:w="638" w:type="pct"/>
            <w:vMerge w:val="continue"/>
            <w:vAlign w:val="center"/>
          </w:tcPr>
          <w:p w14:paraId="34CC406C">
            <w:pPr>
              <w:snapToGrid w:val="0"/>
              <w:spacing w:line="320" w:lineRule="exact"/>
              <w:jc w:val="center"/>
              <w:rPr>
                <w:rFonts w:eastAsia="仿宋_GB2312"/>
                <w:color w:val="FF0000"/>
                <w:szCs w:val="21"/>
              </w:rPr>
            </w:pPr>
          </w:p>
        </w:tc>
      </w:tr>
      <w:tr w14:paraId="708FDE8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628" w:type="pct"/>
            <w:vMerge w:val="continue"/>
            <w:vAlign w:val="center"/>
          </w:tcPr>
          <w:p w14:paraId="1CD374C7">
            <w:pPr>
              <w:jc w:val="center"/>
              <w:rPr>
                <w:rFonts w:eastAsia="仿宋_GB2312"/>
                <w:color w:val="FF0000"/>
                <w:szCs w:val="21"/>
              </w:rPr>
            </w:pPr>
          </w:p>
        </w:tc>
        <w:tc>
          <w:tcPr>
            <w:tcW w:w="731" w:type="pct"/>
            <w:vMerge w:val="continue"/>
            <w:vAlign w:val="center"/>
          </w:tcPr>
          <w:p w14:paraId="76986350">
            <w:pPr>
              <w:jc w:val="center"/>
              <w:rPr>
                <w:rFonts w:eastAsia="仿宋_GB2312"/>
                <w:color w:val="FF0000"/>
                <w:szCs w:val="21"/>
              </w:rPr>
            </w:pPr>
          </w:p>
        </w:tc>
        <w:tc>
          <w:tcPr>
            <w:tcW w:w="776" w:type="pct"/>
            <w:vMerge w:val="continue"/>
            <w:vAlign w:val="center"/>
          </w:tcPr>
          <w:p w14:paraId="4C203F0B">
            <w:pPr>
              <w:jc w:val="center"/>
              <w:rPr>
                <w:rFonts w:eastAsia="仿宋_GB2312"/>
                <w:color w:val="FF0000"/>
                <w:szCs w:val="21"/>
              </w:rPr>
            </w:pPr>
          </w:p>
        </w:tc>
        <w:tc>
          <w:tcPr>
            <w:tcW w:w="743" w:type="pct"/>
            <w:shd w:val="clear" w:color="auto" w:fill="auto"/>
            <w:vAlign w:val="center"/>
          </w:tcPr>
          <w:p w14:paraId="33CB75AB">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TP</w:t>
            </w:r>
          </w:p>
        </w:tc>
        <w:tc>
          <w:tcPr>
            <w:tcW w:w="757" w:type="pct"/>
            <w:shd w:val="clear" w:color="auto" w:fill="auto"/>
            <w:vAlign w:val="center"/>
          </w:tcPr>
          <w:p w14:paraId="00A498C0">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723" w:type="pct"/>
            <w:shd w:val="clear" w:color="auto" w:fill="auto"/>
            <w:vAlign w:val="center"/>
          </w:tcPr>
          <w:p w14:paraId="42763DF3">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0.0001</w:t>
            </w:r>
          </w:p>
        </w:tc>
        <w:tc>
          <w:tcPr>
            <w:tcW w:w="638" w:type="pct"/>
            <w:vMerge w:val="continue"/>
            <w:vAlign w:val="center"/>
          </w:tcPr>
          <w:p w14:paraId="4B14C5A0">
            <w:pPr>
              <w:snapToGrid w:val="0"/>
              <w:spacing w:line="320" w:lineRule="exact"/>
              <w:jc w:val="center"/>
              <w:rPr>
                <w:rFonts w:eastAsia="仿宋_GB2312"/>
                <w:color w:val="FF0000"/>
                <w:szCs w:val="21"/>
              </w:rPr>
            </w:pPr>
          </w:p>
        </w:tc>
      </w:tr>
      <w:tr w14:paraId="565A65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628" w:type="pct"/>
            <w:vMerge w:val="restart"/>
            <w:vAlign w:val="center"/>
          </w:tcPr>
          <w:p w14:paraId="2FC79BAB">
            <w:pPr>
              <w:keepNext w:val="0"/>
              <w:keepLines w:val="0"/>
              <w:widowControl/>
              <w:suppressLineNumbers w:val="0"/>
              <w:jc w:val="center"/>
              <w:textAlignment w:val="center"/>
              <w:rPr>
                <w:rFonts w:eastAsia="仿宋_GB2312"/>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W3-2-1</w:t>
            </w:r>
          </w:p>
        </w:tc>
        <w:tc>
          <w:tcPr>
            <w:tcW w:w="731" w:type="pct"/>
            <w:vMerge w:val="restart"/>
            <w:vAlign w:val="center"/>
          </w:tcPr>
          <w:p w14:paraId="30360790">
            <w:pPr>
              <w:keepNext w:val="0"/>
              <w:keepLines w:val="0"/>
              <w:widowControl/>
              <w:suppressLineNumbers w:val="0"/>
              <w:jc w:val="center"/>
              <w:textAlignment w:val="center"/>
              <w:rPr>
                <w:rFonts w:eastAsia="仿宋_GB2312"/>
                <w:color w:val="FF0000"/>
                <w:szCs w:val="21"/>
              </w:rPr>
            </w:pPr>
            <w:r>
              <w:rPr>
                <w:rFonts w:hint="default" w:ascii="仿宋_GB2312" w:hAnsi="宋体" w:eastAsia="仿宋_GB2312" w:cs="仿宋_GB2312"/>
                <w:i w:val="0"/>
                <w:iCs w:val="0"/>
                <w:color w:val="000000"/>
                <w:kern w:val="0"/>
                <w:sz w:val="21"/>
                <w:szCs w:val="21"/>
                <w:u w:val="none"/>
                <w:lang w:val="en-US" w:eastAsia="zh-CN" w:bidi="ar"/>
              </w:rPr>
              <w:t>冷凝废水</w:t>
            </w:r>
          </w:p>
        </w:tc>
        <w:tc>
          <w:tcPr>
            <w:tcW w:w="776" w:type="pct"/>
            <w:vMerge w:val="restart"/>
            <w:vAlign w:val="center"/>
          </w:tcPr>
          <w:p w14:paraId="7B9FDC45">
            <w:pPr>
              <w:keepNext w:val="0"/>
              <w:keepLines w:val="0"/>
              <w:widowControl/>
              <w:suppressLineNumbers w:val="0"/>
              <w:jc w:val="center"/>
              <w:textAlignment w:val="center"/>
              <w:rPr>
                <w:rFonts w:eastAsia="仿宋_GB2312"/>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2272.631</w:t>
            </w:r>
          </w:p>
        </w:tc>
        <w:tc>
          <w:tcPr>
            <w:tcW w:w="743" w:type="pct"/>
            <w:shd w:val="clear" w:color="auto" w:fill="auto"/>
            <w:vAlign w:val="center"/>
          </w:tcPr>
          <w:p w14:paraId="2989D0CC">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COD</w:t>
            </w:r>
          </w:p>
        </w:tc>
        <w:tc>
          <w:tcPr>
            <w:tcW w:w="757" w:type="pct"/>
            <w:shd w:val="clear" w:color="auto" w:fill="auto"/>
            <w:vAlign w:val="center"/>
          </w:tcPr>
          <w:p w14:paraId="62BFB4B9">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19904.68</w:t>
            </w:r>
          </w:p>
        </w:tc>
        <w:tc>
          <w:tcPr>
            <w:tcW w:w="723" w:type="pct"/>
            <w:shd w:val="clear" w:color="auto" w:fill="auto"/>
            <w:vAlign w:val="center"/>
          </w:tcPr>
          <w:p w14:paraId="37E54A57">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45.236</w:t>
            </w:r>
          </w:p>
        </w:tc>
        <w:tc>
          <w:tcPr>
            <w:tcW w:w="638" w:type="pct"/>
            <w:vMerge w:val="continue"/>
            <w:vAlign w:val="center"/>
          </w:tcPr>
          <w:p w14:paraId="39D85339">
            <w:pPr>
              <w:snapToGrid w:val="0"/>
              <w:spacing w:line="320" w:lineRule="exact"/>
              <w:jc w:val="center"/>
              <w:rPr>
                <w:rFonts w:eastAsia="仿宋_GB2312"/>
                <w:color w:val="FF0000"/>
                <w:szCs w:val="21"/>
              </w:rPr>
            </w:pPr>
          </w:p>
        </w:tc>
      </w:tr>
      <w:tr w14:paraId="48D2A6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628" w:type="pct"/>
            <w:vMerge w:val="continue"/>
            <w:vAlign w:val="center"/>
          </w:tcPr>
          <w:p w14:paraId="1DB1977A">
            <w:pPr>
              <w:jc w:val="center"/>
              <w:rPr>
                <w:rFonts w:eastAsia="仿宋_GB2312"/>
                <w:color w:val="FF0000"/>
                <w:szCs w:val="21"/>
              </w:rPr>
            </w:pPr>
          </w:p>
        </w:tc>
        <w:tc>
          <w:tcPr>
            <w:tcW w:w="731" w:type="pct"/>
            <w:vMerge w:val="continue"/>
            <w:vAlign w:val="center"/>
          </w:tcPr>
          <w:p w14:paraId="7DE7D1F0">
            <w:pPr>
              <w:jc w:val="center"/>
              <w:rPr>
                <w:rFonts w:eastAsia="仿宋_GB2312"/>
                <w:color w:val="FF0000"/>
                <w:szCs w:val="21"/>
              </w:rPr>
            </w:pPr>
          </w:p>
        </w:tc>
        <w:tc>
          <w:tcPr>
            <w:tcW w:w="776" w:type="pct"/>
            <w:vMerge w:val="continue"/>
            <w:vAlign w:val="center"/>
          </w:tcPr>
          <w:p w14:paraId="4145CF2D">
            <w:pPr>
              <w:jc w:val="center"/>
              <w:rPr>
                <w:rFonts w:eastAsia="仿宋_GB2312"/>
                <w:color w:val="FF0000"/>
                <w:szCs w:val="21"/>
              </w:rPr>
            </w:pPr>
          </w:p>
        </w:tc>
        <w:tc>
          <w:tcPr>
            <w:tcW w:w="743" w:type="pct"/>
            <w:shd w:val="clear" w:color="auto" w:fill="auto"/>
            <w:vAlign w:val="center"/>
          </w:tcPr>
          <w:p w14:paraId="3ECA56C6">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NH</w:t>
            </w:r>
            <w:r>
              <w:rPr>
                <w:rFonts w:hint="default" w:ascii="Times New Roman" w:hAnsi="Times New Roman" w:eastAsia="宋体" w:cs="Times New Roman"/>
                <w:i w:val="0"/>
                <w:iCs w:val="0"/>
                <w:color w:val="000000"/>
                <w:kern w:val="0"/>
                <w:sz w:val="21"/>
                <w:szCs w:val="21"/>
                <w:u w:val="none"/>
                <w:vertAlign w:val="subscript"/>
                <w:lang w:val="en-US" w:eastAsia="zh-CN" w:bidi="ar"/>
              </w:rPr>
              <w:t>3</w:t>
            </w:r>
            <w:r>
              <w:rPr>
                <w:rFonts w:hint="default" w:ascii="Times New Roman" w:hAnsi="Times New Roman" w:eastAsia="宋体" w:cs="Times New Roman"/>
                <w:i w:val="0"/>
                <w:iCs w:val="0"/>
                <w:color w:val="000000"/>
                <w:kern w:val="0"/>
                <w:sz w:val="21"/>
                <w:szCs w:val="21"/>
                <w:u w:val="none"/>
                <w:lang w:val="en-US" w:eastAsia="zh-CN" w:bidi="ar"/>
              </w:rPr>
              <w:t>-N</w:t>
            </w:r>
          </w:p>
        </w:tc>
        <w:tc>
          <w:tcPr>
            <w:tcW w:w="757" w:type="pct"/>
            <w:shd w:val="clear" w:color="auto" w:fill="auto"/>
            <w:vAlign w:val="center"/>
          </w:tcPr>
          <w:p w14:paraId="5E70BFE6">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30</w:t>
            </w:r>
          </w:p>
        </w:tc>
        <w:tc>
          <w:tcPr>
            <w:tcW w:w="723" w:type="pct"/>
            <w:shd w:val="clear" w:color="auto" w:fill="auto"/>
            <w:vAlign w:val="center"/>
          </w:tcPr>
          <w:p w14:paraId="75605A36">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0.07</w:t>
            </w:r>
          </w:p>
        </w:tc>
        <w:tc>
          <w:tcPr>
            <w:tcW w:w="638" w:type="pct"/>
            <w:vMerge w:val="continue"/>
            <w:vAlign w:val="center"/>
          </w:tcPr>
          <w:p w14:paraId="7E34934D">
            <w:pPr>
              <w:snapToGrid w:val="0"/>
              <w:spacing w:line="320" w:lineRule="exact"/>
              <w:jc w:val="center"/>
              <w:rPr>
                <w:rFonts w:eastAsia="仿宋_GB2312"/>
                <w:color w:val="FF0000"/>
                <w:szCs w:val="21"/>
              </w:rPr>
            </w:pPr>
          </w:p>
        </w:tc>
      </w:tr>
      <w:tr w14:paraId="284C7C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628" w:type="pct"/>
            <w:vMerge w:val="continue"/>
            <w:vAlign w:val="center"/>
          </w:tcPr>
          <w:p w14:paraId="6254B1FF">
            <w:pPr>
              <w:jc w:val="center"/>
              <w:rPr>
                <w:rFonts w:eastAsia="仿宋_GB2312"/>
                <w:color w:val="FF0000"/>
                <w:szCs w:val="21"/>
              </w:rPr>
            </w:pPr>
          </w:p>
        </w:tc>
        <w:tc>
          <w:tcPr>
            <w:tcW w:w="731" w:type="pct"/>
            <w:vMerge w:val="continue"/>
            <w:vAlign w:val="center"/>
          </w:tcPr>
          <w:p w14:paraId="3B334765">
            <w:pPr>
              <w:jc w:val="center"/>
              <w:rPr>
                <w:rFonts w:eastAsia="仿宋_GB2312"/>
                <w:color w:val="FF0000"/>
                <w:szCs w:val="21"/>
              </w:rPr>
            </w:pPr>
          </w:p>
        </w:tc>
        <w:tc>
          <w:tcPr>
            <w:tcW w:w="776" w:type="pct"/>
            <w:vMerge w:val="continue"/>
            <w:vAlign w:val="center"/>
          </w:tcPr>
          <w:p w14:paraId="0616B191">
            <w:pPr>
              <w:jc w:val="center"/>
              <w:rPr>
                <w:rFonts w:eastAsia="仿宋_GB2312"/>
                <w:color w:val="FF0000"/>
                <w:szCs w:val="21"/>
              </w:rPr>
            </w:pPr>
          </w:p>
        </w:tc>
        <w:tc>
          <w:tcPr>
            <w:tcW w:w="743" w:type="pct"/>
            <w:shd w:val="clear" w:color="auto" w:fill="auto"/>
            <w:vAlign w:val="center"/>
          </w:tcPr>
          <w:p w14:paraId="7EFB6093">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TN</w:t>
            </w:r>
          </w:p>
        </w:tc>
        <w:tc>
          <w:tcPr>
            <w:tcW w:w="757" w:type="pct"/>
            <w:shd w:val="clear" w:color="auto" w:fill="auto"/>
            <w:vAlign w:val="center"/>
          </w:tcPr>
          <w:p w14:paraId="3CE477AC">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45</w:t>
            </w:r>
          </w:p>
        </w:tc>
        <w:tc>
          <w:tcPr>
            <w:tcW w:w="723" w:type="pct"/>
            <w:shd w:val="clear" w:color="auto" w:fill="auto"/>
            <w:vAlign w:val="center"/>
          </w:tcPr>
          <w:p w14:paraId="2287A657">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0.1</w:t>
            </w:r>
          </w:p>
        </w:tc>
        <w:tc>
          <w:tcPr>
            <w:tcW w:w="638" w:type="pct"/>
            <w:vMerge w:val="continue"/>
            <w:vAlign w:val="center"/>
          </w:tcPr>
          <w:p w14:paraId="5F74EEEA">
            <w:pPr>
              <w:snapToGrid w:val="0"/>
              <w:spacing w:line="320" w:lineRule="exact"/>
              <w:jc w:val="center"/>
              <w:rPr>
                <w:rFonts w:eastAsia="仿宋_GB2312"/>
                <w:color w:val="FF0000"/>
                <w:szCs w:val="21"/>
              </w:rPr>
            </w:pPr>
          </w:p>
        </w:tc>
      </w:tr>
      <w:tr w14:paraId="533E73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628" w:type="pct"/>
            <w:vMerge w:val="continue"/>
            <w:vAlign w:val="center"/>
          </w:tcPr>
          <w:p w14:paraId="54A0DEDD">
            <w:pPr>
              <w:jc w:val="center"/>
              <w:rPr>
                <w:rFonts w:eastAsia="仿宋_GB2312"/>
                <w:color w:val="FF0000"/>
                <w:szCs w:val="21"/>
              </w:rPr>
            </w:pPr>
          </w:p>
        </w:tc>
        <w:tc>
          <w:tcPr>
            <w:tcW w:w="731" w:type="pct"/>
            <w:vMerge w:val="continue"/>
            <w:vAlign w:val="center"/>
          </w:tcPr>
          <w:p w14:paraId="4CF00E39">
            <w:pPr>
              <w:jc w:val="center"/>
              <w:rPr>
                <w:rFonts w:eastAsia="仿宋_GB2312"/>
                <w:color w:val="FF0000"/>
                <w:szCs w:val="21"/>
              </w:rPr>
            </w:pPr>
          </w:p>
        </w:tc>
        <w:tc>
          <w:tcPr>
            <w:tcW w:w="776" w:type="pct"/>
            <w:vMerge w:val="continue"/>
            <w:vAlign w:val="center"/>
          </w:tcPr>
          <w:p w14:paraId="17999BA5">
            <w:pPr>
              <w:jc w:val="center"/>
              <w:rPr>
                <w:rFonts w:eastAsia="仿宋_GB2312"/>
                <w:color w:val="FF0000"/>
                <w:szCs w:val="21"/>
              </w:rPr>
            </w:pPr>
          </w:p>
        </w:tc>
        <w:tc>
          <w:tcPr>
            <w:tcW w:w="743" w:type="pct"/>
            <w:shd w:val="clear" w:color="auto" w:fill="auto"/>
            <w:vAlign w:val="center"/>
          </w:tcPr>
          <w:p w14:paraId="400B68B1">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TP</w:t>
            </w:r>
          </w:p>
        </w:tc>
        <w:tc>
          <w:tcPr>
            <w:tcW w:w="757" w:type="pct"/>
            <w:shd w:val="clear" w:color="auto" w:fill="auto"/>
            <w:vAlign w:val="center"/>
          </w:tcPr>
          <w:p w14:paraId="03C5B561">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723" w:type="pct"/>
            <w:shd w:val="clear" w:color="auto" w:fill="auto"/>
            <w:vAlign w:val="center"/>
          </w:tcPr>
          <w:p w14:paraId="182E9D5D">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0.007</w:t>
            </w:r>
          </w:p>
        </w:tc>
        <w:tc>
          <w:tcPr>
            <w:tcW w:w="638" w:type="pct"/>
            <w:vMerge w:val="continue"/>
            <w:vAlign w:val="center"/>
          </w:tcPr>
          <w:p w14:paraId="3C1C2B6D">
            <w:pPr>
              <w:snapToGrid w:val="0"/>
              <w:spacing w:line="320" w:lineRule="exact"/>
              <w:jc w:val="center"/>
              <w:rPr>
                <w:rFonts w:eastAsia="仿宋_GB2312"/>
                <w:color w:val="FF0000"/>
                <w:szCs w:val="21"/>
              </w:rPr>
            </w:pPr>
          </w:p>
        </w:tc>
      </w:tr>
      <w:tr w14:paraId="431E47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628" w:type="pct"/>
            <w:vMerge w:val="restart"/>
            <w:vAlign w:val="center"/>
          </w:tcPr>
          <w:p w14:paraId="412940A5">
            <w:pPr>
              <w:keepNext w:val="0"/>
              <w:keepLines w:val="0"/>
              <w:widowControl/>
              <w:suppressLineNumbers w:val="0"/>
              <w:jc w:val="center"/>
              <w:textAlignment w:val="center"/>
              <w:rPr>
                <w:rFonts w:eastAsia="仿宋_GB2312"/>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W3-3-1</w:t>
            </w:r>
          </w:p>
        </w:tc>
        <w:tc>
          <w:tcPr>
            <w:tcW w:w="731" w:type="pct"/>
            <w:vMerge w:val="restart"/>
            <w:vAlign w:val="center"/>
          </w:tcPr>
          <w:p w14:paraId="1013DD2D">
            <w:pPr>
              <w:keepNext w:val="0"/>
              <w:keepLines w:val="0"/>
              <w:widowControl/>
              <w:suppressLineNumbers w:val="0"/>
              <w:jc w:val="center"/>
              <w:textAlignment w:val="center"/>
              <w:rPr>
                <w:rFonts w:eastAsia="仿宋_GB2312"/>
                <w:color w:val="FF0000"/>
                <w:szCs w:val="21"/>
              </w:rPr>
            </w:pPr>
            <w:r>
              <w:rPr>
                <w:rFonts w:hint="default" w:ascii="仿宋_GB2312" w:hAnsi="宋体" w:eastAsia="仿宋_GB2312" w:cs="仿宋_GB2312"/>
                <w:i w:val="0"/>
                <w:iCs w:val="0"/>
                <w:color w:val="000000"/>
                <w:kern w:val="0"/>
                <w:sz w:val="21"/>
                <w:szCs w:val="21"/>
                <w:u w:val="none"/>
                <w:lang w:val="en-US" w:eastAsia="zh-CN" w:bidi="ar"/>
              </w:rPr>
              <w:t>冷凝废水</w:t>
            </w:r>
          </w:p>
        </w:tc>
        <w:tc>
          <w:tcPr>
            <w:tcW w:w="776" w:type="pct"/>
            <w:vMerge w:val="restart"/>
            <w:vAlign w:val="center"/>
          </w:tcPr>
          <w:p w14:paraId="3E053AA1">
            <w:pPr>
              <w:keepNext w:val="0"/>
              <w:keepLines w:val="0"/>
              <w:widowControl/>
              <w:suppressLineNumbers w:val="0"/>
              <w:jc w:val="center"/>
              <w:textAlignment w:val="center"/>
              <w:rPr>
                <w:rFonts w:eastAsia="仿宋_GB2312"/>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500.777</w:t>
            </w:r>
          </w:p>
        </w:tc>
        <w:tc>
          <w:tcPr>
            <w:tcW w:w="743" w:type="pct"/>
            <w:shd w:val="clear" w:color="auto" w:fill="auto"/>
            <w:vAlign w:val="center"/>
          </w:tcPr>
          <w:p w14:paraId="045AEA8E">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COD</w:t>
            </w:r>
          </w:p>
        </w:tc>
        <w:tc>
          <w:tcPr>
            <w:tcW w:w="757" w:type="pct"/>
            <w:shd w:val="clear" w:color="auto" w:fill="auto"/>
            <w:vAlign w:val="center"/>
          </w:tcPr>
          <w:p w14:paraId="234ED045">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23965</w:t>
            </w:r>
          </w:p>
        </w:tc>
        <w:tc>
          <w:tcPr>
            <w:tcW w:w="723" w:type="pct"/>
            <w:shd w:val="clear" w:color="auto" w:fill="auto"/>
            <w:vAlign w:val="center"/>
          </w:tcPr>
          <w:p w14:paraId="31F51BD2">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9.972</w:t>
            </w:r>
          </w:p>
        </w:tc>
        <w:tc>
          <w:tcPr>
            <w:tcW w:w="638" w:type="pct"/>
            <w:vMerge w:val="continue"/>
            <w:vAlign w:val="center"/>
          </w:tcPr>
          <w:p w14:paraId="7DEDC7D4">
            <w:pPr>
              <w:snapToGrid w:val="0"/>
              <w:spacing w:line="320" w:lineRule="exact"/>
              <w:jc w:val="center"/>
              <w:rPr>
                <w:rFonts w:eastAsia="仿宋_GB2312"/>
                <w:color w:val="FF0000"/>
                <w:szCs w:val="21"/>
              </w:rPr>
            </w:pPr>
          </w:p>
        </w:tc>
      </w:tr>
      <w:tr w14:paraId="7BD824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628" w:type="pct"/>
            <w:vMerge w:val="continue"/>
            <w:vAlign w:val="center"/>
          </w:tcPr>
          <w:p w14:paraId="1B0D7206">
            <w:pPr>
              <w:jc w:val="center"/>
              <w:rPr>
                <w:rFonts w:eastAsia="仿宋_GB2312"/>
                <w:color w:val="FF0000"/>
                <w:szCs w:val="21"/>
              </w:rPr>
            </w:pPr>
          </w:p>
        </w:tc>
        <w:tc>
          <w:tcPr>
            <w:tcW w:w="731" w:type="pct"/>
            <w:vMerge w:val="continue"/>
            <w:vAlign w:val="center"/>
          </w:tcPr>
          <w:p w14:paraId="4529AA54">
            <w:pPr>
              <w:jc w:val="center"/>
              <w:rPr>
                <w:rFonts w:eastAsia="仿宋_GB2312"/>
                <w:color w:val="FF0000"/>
                <w:szCs w:val="21"/>
              </w:rPr>
            </w:pPr>
          </w:p>
        </w:tc>
        <w:tc>
          <w:tcPr>
            <w:tcW w:w="776" w:type="pct"/>
            <w:vMerge w:val="continue"/>
            <w:vAlign w:val="center"/>
          </w:tcPr>
          <w:p w14:paraId="1C24F461">
            <w:pPr>
              <w:jc w:val="center"/>
              <w:rPr>
                <w:rFonts w:eastAsia="仿宋_GB2312"/>
                <w:color w:val="FF0000"/>
                <w:szCs w:val="21"/>
              </w:rPr>
            </w:pPr>
          </w:p>
        </w:tc>
        <w:tc>
          <w:tcPr>
            <w:tcW w:w="743" w:type="pct"/>
            <w:shd w:val="clear" w:color="auto" w:fill="auto"/>
            <w:vAlign w:val="center"/>
          </w:tcPr>
          <w:p w14:paraId="72B206C3">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NH</w:t>
            </w:r>
            <w:r>
              <w:rPr>
                <w:rFonts w:hint="default" w:ascii="Times New Roman" w:hAnsi="Times New Roman" w:eastAsia="宋体" w:cs="Times New Roman"/>
                <w:i w:val="0"/>
                <w:iCs w:val="0"/>
                <w:color w:val="000000"/>
                <w:kern w:val="0"/>
                <w:sz w:val="21"/>
                <w:szCs w:val="21"/>
                <w:u w:val="none"/>
                <w:vertAlign w:val="subscript"/>
                <w:lang w:val="en-US" w:eastAsia="zh-CN" w:bidi="ar"/>
              </w:rPr>
              <w:t>3</w:t>
            </w:r>
            <w:r>
              <w:rPr>
                <w:rFonts w:hint="default" w:ascii="Times New Roman" w:hAnsi="Times New Roman" w:eastAsia="宋体" w:cs="Times New Roman"/>
                <w:i w:val="0"/>
                <w:iCs w:val="0"/>
                <w:color w:val="000000"/>
                <w:kern w:val="0"/>
                <w:sz w:val="21"/>
                <w:szCs w:val="21"/>
                <w:u w:val="none"/>
                <w:lang w:val="en-US" w:eastAsia="zh-CN" w:bidi="ar"/>
              </w:rPr>
              <w:t>-N</w:t>
            </w:r>
          </w:p>
        </w:tc>
        <w:tc>
          <w:tcPr>
            <w:tcW w:w="757" w:type="pct"/>
            <w:shd w:val="clear" w:color="auto" w:fill="auto"/>
            <w:vAlign w:val="center"/>
          </w:tcPr>
          <w:p w14:paraId="3EDAFB08">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30</w:t>
            </w:r>
          </w:p>
        </w:tc>
        <w:tc>
          <w:tcPr>
            <w:tcW w:w="723" w:type="pct"/>
            <w:shd w:val="clear" w:color="auto" w:fill="auto"/>
            <w:vAlign w:val="center"/>
          </w:tcPr>
          <w:p w14:paraId="21051E2B">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0.015</w:t>
            </w:r>
          </w:p>
        </w:tc>
        <w:tc>
          <w:tcPr>
            <w:tcW w:w="638" w:type="pct"/>
            <w:vMerge w:val="continue"/>
            <w:vAlign w:val="center"/>
          </w:tcPr>
          <w:p w14:paraId="335A4210">
            <w:pPr>
              <w:snapToGrid w:val="0"/>
              <w:spacing w:line="320" w:lineRule="exact"/>
              <w:jc w:val="center"/>
              <w:rPr>
                <w:rFonts w:eastAsia="仿宋_GB2312"/>
                <w:color w:val="FF0000"/>
                <w:szCs w:val="21"/>
              </w:rPr>
            </w:pPr>
          </w:p>
        </w:tc>
      </w:tr>
      <w:tr w14:paraId="2FCE0E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628" w:type="pct"/>
            <w:vMerge w:val="continue"/>
            <w:vAlign w:val="center"/>
          </w:tcPr>
          <w:p w14:paraId="356AD51F">
            <w:pPr>
              <w:jc w:val="center"/>
              <w:rPr>
                <w:rFonts w:eastAsia="仿宋_GB2312"/>
                <w:color w:val="FF0000"/>
                <w:szCs w:val="21"/>
              </w:rPr>
            </w:pPr>
          </w:p>
        </w:tc>
        <w:tc>
          <w:tcPr>
            <w:tcW w:w="731" w:type="pct"/>
            <w:vMerge w:val="continue"/>
            <w:vAlign w:val="center"/>
          </w:tcPr>
          <w:p w14:paraId="712AF8E4">
            <w:pPr>
              <w:jc w:val="center"/>
              <w:rPr>
                <w:rFonts w:eastAsia="仿宋_GB2312"/>
                <w:color w:val="FF0000"/>
                <w:szCs w:val="21"/>
              </w:rPr>
            </w:pPr>
          </w:p>
        </w:tc>
        <w:tc>
          <w:tcPr>
            <w:tcW w:w="776" w:type="pct"/>
            <w:vMerge w:val="continue"/>
            <w:vAlign w:val="center"/>
          </w:tcPr>
          <w:p w14:paraId="433DAA58">
            <w:pPr>
              <w:jc w:val="center"/>
              <w:rPr>
                <w:rFonts w:eastAsia="仿宋_GB2312"/>
                <w:color w:val="FF0000"/>
                <w:szCs w:val="21"/>
              </w:rPr>
            </w:pPr>
          </w:p>
        </w:tc>
        <w:tc>
          <w:tcPr>
            <w:tcW w:w="743" w:type="pct"/>
            <w:shd w:val="clear" w:color="auto" w:fill="auto"/>
            <w:vAlign w:val="center"/>
          </w:tcPr>
          <w:p w14:paraId="20775D7B">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TN</w:t>
            </w:r>
          </w:p>
        </w:tc>
        <w:tc>
          <w:tcPr>
            <w:tcW w:w="757" w:type="pct"/>
            <w:shd w:val="clear" w:color="auto" w:fill="auto"/>
            <w:vAlign w:val="center"/>
          </w:tcPr>
          <w:p w14:paraId="0E7C385F">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45</w:t>
            </w:r>
          </w:p>
        </w:tc>
        <w:tc>
          <w:tcPr>
            <w:tcW w:w="723" w:type="pct"/>
            <w:shd w:val="clear" w:color="auto" w:fill="auto"/>
            <w:vAlign w:val="center"/>
          </w:tcPr>
          <w:p w14:paraId="038E80DC">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0.02</w:t>
            </w:r>
          </w:p>
        </w:tc>
        <w:tc>
          <w:tcPr>
            <w:tcW w:w="638" w:type="pct"/>
            <w:vMerge w:val="continue"/>
            <w:vAlign w:val="center"/>
          </w:tcPr>
          <w:p w14:paraId="72F752AB">
            <w:pPr>
              <w:snapToGrid w:val="0"/>
              <w:spacing w:line="320" w:lineRule="exact"/>
              <w:jc w:val="center"/>
              <w:rPr>
                <w:rFonts w:eastAsia="仿宋_GB2312"/>
                <w:color w:val="FF0000"/>
                <w:szCs w:val="21"/>
              </w:rPr>
            </w:pPr>
          </w:p>
        </w:tc>
      </w:tr>
      <w:tr w14:paraId="0FA880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628" w:type="pct"/>
            <w:vMerge w:val="continue"/>
            <w:vAlign w:val="center"/>
          </w:tcPr>
          <w:p w14:paraId="260B9AFA">
            <w:pPr>
              <w:jc w:val="center"/>
              <w:rPr>
                <w:rFonts w:eastAsia="仿宋_GB2312"/>
                <w:color w:val="FF0000"/>
                <w:szCs w:val="21"/>
              </w:rPr>
            </w:pPr>
          </w:p>
        </w:tc>
        <w:tc>
          <w:tcPr>
            <w:tcW w:w="731" w:type="pct"/>
            <w:vMerge w:val="continue"/>
            <w:vAlign w:val="center"/>
          </w:tcPr>
          <w:p w14:paraId="1834EA99">
            <w:pPr>
              <w:jc w:val="center"/>
              <w:rPr>
                <w:rFonts w:eastAsia="仿宋_GB2312"/>
                <w:color w:val="FF0000"/>
                <w:szCs w:val="21"/>
              </w:rPr>
            </w:pPr>
          </w:p>
        </w:tc>
        <w:tc>
          <w:tcPr>
            <w:tcW w:w="776" w:type="pct"/>
            <w:vMerge w:val="continue"/>
            <w:vAlign w:val="center"/>
          </w:tcPr>
          <w:p w14:paraId="611FE9C9">
            <w:pPr>
              <w:jc w:val="center"/>
              <w:rPr>
                <w:rFonts w:eastAsia="仿宋_GB2312"/>
                <w:color w:val="FF0000"/>
                <w:szCs w:val="21"/>
              </w:rPr>
            </w:pPr>
          </w:p>
        </w:tc>
        <w:tc>
          <w:tcPr>
            <w:tcW w:w="743" w:type="pct"/>
            <w:shd w:val="clear" w:color="auto" w:fill="auto"/>
            <w:vAlign w:val="center"/>
          </w:tcPr>
          <w:p w14:paraId="61BADA23">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TP</w:t>
            </w:r>
          </w:p>
        </w:tc>
        <w:tc>
          <w:tcPr>
            <w:tcW w:w="757" w:type="pct"/>
            <w:shd w:val="clear" w:color="auto" w:fill="auto"/>
            <w:vAlign w:val="center"/>
          </w:tcPr>
          <w:p w14:paraId="64D66485">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723" w:type="pct"/>
            <w:shd w:val="clear" w:color="auto" w:fill="auto"/>
            <w:vAlign w:val="center"/>
          </w:tcPr>
          <w:p w14:paraId="2668DCAF">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0.0015</w:t>
            </w:r>
          </w:p>
        </w:tc>
        <w:tc>
          <w:tcPr>
            <w:tcW w:w="638" w:type="pct"/>
            <w:vMerge w:val="continue"/>
            <w:vAlign w:val="center"/>
          </w:tcPr>
          <w:p w14:paraId="6761589B">
            <w:pPr>
              <w:snapToGrid w:val="0"/>
              <w:spacing w:line="320" w:lineRule="exact"/>
              <w:jc w:val="center"/>
              <w:rPr>
                <w:rFonts w:eastAsia="仿宋_GB2312"/>
                <w:color w:val="FF0000"/>
                <w:szCs w:val="21"/>
              </w:rPr>
            </w:pPr>
          </w:p>
        </w:tc>
      </w:tr>
      <w:tr w14:paraId="64DC05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628" w:type="pct"/>
            <w:vMerge w:val="restart"/>
            <w:vAlign w:val="center"/>
          </w:tcPr>
          <w:p w14:paraId="2B4B8227">
            <w:pPr>
              <w:keepNext w:val="0"/>
              <w:keepLines w:val="0"/>
              <w:widowControl/>
              <w:suppressLineNumbers w:val="0"/>
              <w:jc w:val="center"/>
              <w:textAlignment w:val="center"/>
              <w:rPr>
                <w:rFonts w:eastAsia="仿宋_GB2312"/>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W3-4-1</w:t>
            </w:r>
          </w:p>
        </w:tc>
        <w:tc>
          <w:tcPr>
            <w:tcW w:w="731" w:type="pct"/>
            <w:vMerge w:val="restart"/>
            <w:vAlign w:val="center"/>
          </w:tcPr>
          <w:p w14:paraId="0FF3069E">
            <w:pPr>
              <w:keepNext w:val="0"/>
              <w:keepLines w:val="0"/>
              <w:widowControl/>
              <w:suppressLineNumbers w:val="0"/>
              <w:jc w:val="center"/>
              <w:textAlignment w:val="center"/>
              <w:rPr>
                <w:rFonts w:eastAsia="仿宋_GB2312"/>
                <w:color w:val="FF0000"/>
                <w:szCs w:val="21"/>
              </w:rPr>
            </w:pPr>
            <w:r>
              <w:rPr>
                <w:rFonts w:hint="default" w:ascii="仿宋_GB2312" w:hAnsi="宋体" w:eastAsia="仿宋_GB2312" w:cs="仿宋_GB2312"/>
                <w:i w:val="0"/>
                <w:iCs w:val="0"/>
                <w:color w:val="000000"/>
                <w:kern w:val="0"/>
                <w:sz w:val="21"/>
                <w:szCs w:val="21"/>
                <w:u w:val="none"/>
                <w:lang w:val="en-US" w:eastAsia="zh-CN" w:bidi="ar"/>
              </w:rPr>
              <w:t>冷凝废水</w:t>
            </w:r>
          </w:p>
        </w:tc>
        <w:tc>
          <w:tcPr>
            <w:tcW w:w="776" w:type="pct"/>
            <w:vMerge w:val="restart"/>
            <w:vAlign w:val="center"/>
          </w:tcPr>
          <w:p w14:paraId="330A433C">
            <w:pPr>
              <w:keepNext w:val="0"/>
              <w:keepLines w:val="0"/>
              <w:widowControl/>
              <w:suppressLineNumbers w:val="0"/>
              <w:jc w:val="center"/>
              <w:textAlignment w:val="center"/>
              <w:rPr>
                <w:rFonts w:eastAsia="仿宋_GB2312"/>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274.155</w:t>
            </w:r>
          </w:p>
        </w:tc>
        <w:tc>
          <w:tcPr>
            <w:tcW w:w="743" w:type="pct"/>
            <w:shd w:val="clear" w:color="auto" w:fill="auto"/>
            <w:vAlign w:val="center"/>
          </w:tcPr>
          <w:p w14:paraId="462A85C0">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COD</w:t>
            </w:r>
          </w:p>
        </w:tc>
        <w:tc>
          <w:tcPr>
            <w:tcW w:w="757" w:type="pct"/>
            <w:shd w:val="clear" w:color="auto" w:fill="auto"/>
            <w:vAlign w:val="center"/>
          </w:tcPr>
          <w:p w14:paraId="7B6ED34A">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27396</w:t>
            </w:r>
          </w:p>
        </w:tc>
        <w:tc>
          <w:tcPr>
            <w:tcW w:w="723" w:type="pct"/>
            <w:shd w:val="clear" w:color="auto" w:fill="auto"/>
            <w:vAlign w:val="center"/>
          </w:tcPr>
          <w:p w14:paraId="1CD7E69E">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7.51</w:t>
            </w:r>
          </w:p>
        </w:tc>
        <w:tc>
          <w:tcPr>
            <w:tcW w:w="638" w:type="pct"/>
            <w:vMerge w:val="continue"/>
            <w:vAlign w:val="center"/>
          </w:tcPr>
          <w:p w14:paraId="1FEA74B5">
            <w:pPr>
              <w:snapToGrid w:val="0"/>
              <w:spacing w:line="320" w:lineRule="exact"/>
              <w:jc w:val="center"/>
              <w:rPr>
                <w:rFonts w:eastAsia="仿宋_GB2312"/>
                <w:color w:val="FF0000"/>
                <w:szCs w:val="21"/>
              </w:rPr>
            </w:pPr>
          </w:p>
        </w:tc>
      </w:tr>
      <w:tr w14:paraId="11BBF11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628" w:type="pct"/>
            <w:vMerge w:val="continue"/>
            <w:vAlign w:val="center"/>
          </w:tcPr>
          <w:p w14:paraId="3155E08C">
            <w:pPr>
              <w:jc w:val="center"/>
              <w:rPr>
                <w:rFonts w:eastAsia="仿宋_GB2312"/>
                <w:color w:val="FF0000"/>
                <w:szCs w:val="21"/>
              </w:rPr>
            </w:pPr>
          </w:p>
        </w:tc>
        <w:tc>
          <w:tcPr>
            <w:tcW w:w="731" w:type="pct"/>
            <w:vMerge w:val="continue"/>
            <w:vAlign w:val="center"/>
          </w:tcPr>
          <w:p w14:paraId="42A47AD4">
            <w:pPr>
              <w:jc w:val="center"/>
              <w:rPr>
                <w:rFonts w:eastAsia="仿宋_GB2312"/>
                <w:color w:val="FF0000"/>
                <w:szCs w:val="21"/>
              </w:rPr>
            </w:pPr>
          </w:p>
        </w:tc>
        <w:tc>
          <w:tcPr>
            <w:tcW w:w="776" w:type="pct"/>
            <w:vMerge w:val="continue"/>
            <w:vAlign w:val="center"/>
          </w:tcPr>
          <w:p w14:paraId="28F6B255">
            <w:pPr>
              <w:jc w:val="center"/>
              <w:rPr>
                <w:rFonts w:eastAsia="仿宋_GB2312"/>
                <w:color w:val="FF0000"/>
                <w:szCs w:val="21"/>
              </w:rPr>
            </w:pPr>
          </w:p>
        </w:tc>
        <w:tc>
          <w:tcPr>
            <w:tcW w:w="743" w:type="pct"/>
            <w:shd w:val="clear" w:color="auto" w:fill="auto"/>
            <w:vAlign w:val="center"/>
          </w:tcPr>
          <w:p w14:paraId="15C9E978">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NH</w:t>
            </w:r>
            <w:r>
              <w:rPr>
                <w:rFonts w:hint="default" w:ascii="Times New Roman" w:hAnsi="Times New Roman" w:eastAsia="宋体" w:cs="Times New Roman"/>
                <w:i w:val="0"/>
                <w:iCs w:val="0"/>
                <w:color w:val="000000"/>
                <w:kern w:val="0"/>
                <w:sz w:val="21"/>
                <w:szCs w:val="21"/>
                <w:u w:val="none"/>
                <w:vertAlign w:val="subscript"/>
                <w:lang w:val="en-US" w:eastAsia="zh-CN" w:bidi="ar"/>
              </w:rPr>
              <w:t>3</w:t>
            </w:r>
            <w:r>
              <w:rPr>
                <w:rFonts w:hint="default" w:ascii="Times New Roman" w:hAnsi="Times New Roman" w:eastAsia="宋体" w:cs="Times New Roman"/>
                <w:i w:val="0"/>
                <w:iCs w:val="0"/>
                <w:color w:val="000000"/>
                <w:kern w:val="0"/>
                <w:sz w:val="21"/>
                <w:szCs w:val="21"/>
                <w:u w:val="none"/>
                <w:lang w:val="en-US" w:eastAsia="zh-CN" w:bidi="ar"/>
              </w:rPr>
              <w:t>-N</w:t>
            </w:r>
          </w:p>
        </w:tc>
        <w:tc>
          <w:tcPr>
            <w:tcW w:w="757" w:type="pct"/>
            <w:shd w:val="clear" w:color="auto" w:fill="auto"/>
            <w:vAlign w:val="center"/>
          </w:tcPr>
          <w:p w14:paraId="299412BE">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30</w:t>
            </w:r>
          </w:p>
        </w:tc>
        <w:tc>
          <w:tcPr>
            <w:tcW w:w="723" w:type="pct"/>
            <w:shd w:val="clear" w:color="auto" w:fill="auto"/>
            <w:vAlign w:val="center"/>
          </w:tcPr>
          <w:p w14:paraId="161D1FA0">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0.008</w:t>
            </w:r>
          </w:p>
        </w:tc>
        <w:tc>
          <w:tcPr>
            <w:tcW w:w="638" w:type="pct"/>
            <w:vMerge w:val="continue"/>
            <w:vAlign w:val="center"/>
          </w:tcPr>
          <w:p w14:paraId="2C1D0D31">
            <w:pPr>
              <w:snapToGrid w:val="0"/>
              <w:spacing w:line="320" w:lineRule="exact"/>
              <w:jc w:val="center"/>
              <w:rPr>
                <w:rFonts w:eastAsia="仿宋_GB2312"/>
                <w:color w:val="FF0000"/>
                <w:szCs w:val="21"/>
              </w:rPr>
            </w:pPr>
          </w:p>
        </w:tc>
      </w:tr>
      <w:tr w14:paraId="01671F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628" w:type="pct"/>
            <w:vMerge w:val="continue"/>
            <w:vAlign w:val="center"/>
          </w:tcPr>
          <w:p w14:paraId="58ECB7BE">
            <w:pPr>
              <w:jc w:val="center"/>
              <w:rPr>
                <w:rFonts w:eastAsia="仿宋_GB2312"/>
                <w:color w:val="FF0000"/>
                <w:szCs w:val="21"/>
              </w:rPr>
            </w:pPr>
          </w:p>
        </w:tc>
        <w:tc>
          <w:tcPr>
            <w:tcW w:w="731" w:type="pct"/>
            <w:vMerge w:val="continue"/>
            <w:vAlign w:val="center"/>
          </w:tcPr>
          <w:p w14:paraId="07EF4A6A">
            <w:pPr>
              <w:jc w:val="center"/>
              <w:rPr>
                <w:rFonts w:eastAsia="仿宋_GB2312"/>
                <w:color w:val="FF0000"/>
                <w:szCs w:val="21"/>
              </w:rPr>
            </w:pPr>
          </w:p>
        </w:tc>
        <w:tc>
          <w:tcPr>
            <w:tcW w:w="776" w:type="pct"/>
            <w:vMerge w:val="continue"/>
            <w:vAlign w:val="center"/>
          </w:tcPr>
          <w:p w14:paraId="2C95AD6B">
            <w:pPr>
              <w:jc w:val="center"/>
              <w:rPr>
                <w:rFonts w:eastAsia="仿宋_GB2312"/>
                <w:color w:val="FF0000"/>
                <w:szCs w:val="21"/>
              </w:rPr>
            </w:pPr>
          </w:p>
        </w:tc>
        <w:tc>
          <w:tcPr>
            <w:tcW w:w="743" w:type="pct"/>
            <w:shd w:val="clear" w:color="auto" w:fill="auto"/>
            <w:vAlign w:val="center"/>
          </w:tcPr>
          <w:p w14:paraId="410EAE4F">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TN</w:t>
            </w:r>
          </w:p>
        </w:tc>
        <w:tc>
          <w:tcPr>
            <w:tcW w:w="757" w:type="pct"/>
            <w:shd w:val="clear" w:color="auto" w:fill="auto"/>
            <w:vAlign w:val="center"/>
          </w:tcPr>
          <w:p w14:paraId="71009F50">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45</w:t>
            </w:r>
          </w:p>
        </w:tc>
        <w:tc>
          <w:tcPr>
            <w:tcW w:w="723" w:type="pct"/>
            <w:shd w:val="clear" w:color="auto" w:fill="auto"/>
            <w:vAlign w:val="center"/>
          </w:tcPr>
          <w:p w14:paraId="1390F04A">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0.012</w:t>
            </w:r>
          </w:p>
        </w:tc>
        <w:tc>
          <w:tcPr>
            <w:tcW w:w="638" w:type="pct"/>
            <w:vMerge w:val="continue"/>
            <w:vAlign w:val="center"/>
          </w:tcPr>
          <w:p w14:paraId="6D2A92E0">
            <w:pPr>
              <w:snapToGrid w:val="0"/>
              <w:spacing w:line="320" w:lineRule="exact"/>
              <w:jc w:val="center"/>
              <w:rPr>
                <w:rFonts w:eastAsia="仿宋_GB2312"/>
                <w:color w:val="FF0000"/>
                <w:szCs w:val="21"/>
              </w:rPr>
            </w:pPr>
          </w:p>
        </w:tc>
      </w:tr>
      <w:tr w14:paraId="11EF60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628" w:type="pct"/>
            <w:vMerge w:val="continue"/>
            <w:vAlign w:val="center"/>
          </w:tcPr>
          <w:p w14:paraId="56F5D8A6">
            <w:pPr>
              <w:jc w:val="center"/>
              <w:rPr>
                <w:rFonts w:eastAsia="仿宋_GB2312"/>
                <w:color w:val="FF0000"/>
                <w:szCs w:val="21"/>
              </w:rPr>
            </w:pPr>
          </w:p>
        </w:tc>
        <w:tc>
          <w:tcPr>
            <w:tcW w:w="731" w:type="pct"/>
            <w:vMerge w:val="continue"/>
            <w:vAlign w:val="center"/>
          </w:tcPr>
          <w:p w14:paraId="2D0B6FFC">
            <w:pPr>
              <w:jc w:val="center"/>
              <w:rPr>
                <w:rFonts w:eastAsia="仿宋_GB2312"/>
                <w:color w:val="FF0000"/>
                <w:szCs w:val="21"/>
              </w:rPr>
            </w:pPr>
          </w:p>
        </w:tc>
        <w:tc>
          <w:tcPr>
            <w:tcW w:w="776" w:type="pct"/>
            <w:vMerge w:val="continue"/>
            <w:vAlign w:val="center"/>
          </w:tcPr>
          <w:p w14:paraId="49DCAA74">
            <w:pPr>
              <w:jc w:val="center"/>
              <w:rPr>
                <w:rFonts w:eastAsia="仿宋_GB2312"/>
                <w:color w:val="FF0000"/>
                <w:szCs w:val="21"/>
              </w:rPr>
            </w:pPr>
          </w:p>
        </w:tc>
        <w:tc>
          <w:tcPr>
            <w:tcW w:w="743" w:type="pct"/>
            <w:shd w:val="clear" w:color="auto" w:fill="auto"/>
            <w:vAlign w:val="center"/>
          </w:tcPr>
          <w:p w14:paraId="3DB2E88E">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TP</w:t>
            </w:r>
          </w:p>
        </w:tc>
        <w:tc>
          <w:tcPr>
            <w:tcW w:w="757" w:type="pct"/>
            <w:shd w:val="clear" w:color="auto" w:fill="auto"/>
            <w:vAlign w:val="center"/>
          </w:tcPr>
          <w:p w14:paraId="003A0596">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723" w:type="pct"/>
            <w:shd w:val="clear" w:color="auto" w:fill="auto"/>
            <w:vAlign w:val="center"/>
          </w:tcPr>
          <w:p w14:paraId="4188C2E2">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0.001</w:t>
            </w:r>
          </w:p>
        </w:tc>
        <w:tc>
          <w:tcPr>
            <w:tcW w:w="638" w:type="pct"/>
            <w:vMerge w:val="continue"/>
            <w:vAlign w:val="center"/>
          </w:tcPr>
          <w:p w14:paraId="27AC02BA">
            <w:pPr>
              <w:snapToGrid w:val="0"/>
              <w:spacing w:line="320" w:lineRule="exact"/>
              <w:jc w:val="center"/>
              <w:rPr>
                <w:rFonts w:eastAsia="仿宋_GB2312"/>
                <w:color w:val="FF0000"/>
                <w:szCs w:val="21"/>
              </w:rPr>
            </w:pPr>
          </w:p>
        </w:tc>
      </w:tr>
      <w:tr w14:paraId="081EC9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628" w:type="pct"/>
            <w:vMerge w:val="restart"/>
            <w:vAlign w:val="center"/>
          </w:tcPr>
          <w:p w14:paraId="3718440F">
            <w:pPr>
              <w:keepNext w:val="0"/>
              <w:keepLines w:val="0"/>
              <w:widowControl/>
              <w:suppressLineNumbers w:val="0"/>
              <w:jc w:val="center"/>
              <w:textAlignment w:val="center"/>
              <w:rPr>
                <w:rFonts w:eastAsia="仿宋_GB2312"/>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W3-5-1</w:t>
            </w:r>
          </w:p>
        </w:tc>
        <w:tc>
          <w:tcPr>
            <w:tcW w:w="731" w:type="pct"/>
            <w:vMerge w:val="restart"/>
            <w:vAlign w:val="center"/>
          </w:tcPr>
          <w:p w14:paraId="2F9FEF25">
            <w:pPr>
              <w:keepNext w:val="0"/>
              <w:keepLines w:val="0"/>
              <w:widowControl/>
              <w:suppressLineNumbers w:val="0"/>
              <w:jc w:val="center"/>
              <w:textAlignment w:val="center"/>
              <w:rPr>
                <w:rFonts w:eastAsia="仿宋_GB2312"/>
                <w:color w:val="FF0000"/>
                <w:szCs w:val="21"/>
              </w:rPr>
            </w:pPr>
            <w:r>
              <w:rPr>
                <w:rFonts w:hint="default" w:ascii="仿宋_GB2312" w:hAnsi="宋体" w:eastAsia="仿宋_GB2312" w:cs="仿宋_GB2312"/>
                <w:i w:val="0"/>
                <w:iCs w:val="0"/>
                <w:color w:val="000000"/>
                <w:kern w:val="0"/>
                <w:sz w:val="21"/>
                <w:szCs w:val="21"/>
                <w:u w:val="none"/>
                <w:lang w:val="en-US" w:eastAsia="zh-CN" w:bidi="ar"/>
              </w:rPr>
              <w:t>冷凝废水</w:t>
            </w:r>
          </w:p>
        </w:tc>
        <w:tc>
          <w:tcPr>
            <w:tcW w:w="776" w:type="pct"/>
            <w:vMerge w:val="restart"/>
            <w:vAlign w:val="center"/>
          </w:tcPr>
          <w:p w14:paraId="7AA4617C">
            <w:pPr>
              <w:keepNext w:val="0"/>
              <w:keepLines w:val="0"/>
              <w:widowControl/>
              <w:suppressLineNumbers w:val="0"/>
              <w:jc w:val="center"/>
              <w:textAlignment w:val="center"/>
              <w:rPr>
                <w:rFonts w:eastAsia="仿宋_GB2312"/>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9435.338</w:t>
            </w:r>
          </w:p>
        </w:tc>
        <w:tc>
          <w:tcPr>
            <w:tcW w:w="743" w:type="pct"/>
            <w:shd w:val="clear" w:color="auto" w:fill="auto"/>
            <w:vAlign w:val="center"/>
          </w:tcPr>
          <w:p w14:paraId="5DE546CD">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COD</w:t>
            </w:r>
          </w:p>
        </w:tc>
        <w:tc>
          <w:tcPr>
            <w:tcW w:w="757" w:type="pct"/>
            <w:shd w:val="clear" w:color="auto" w:fill="auto"/>
            <w:vAlign w:val="center"/>
          </w:tcPr>
          <w:p w14:paraId="13F8DEC0">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27862</w:t>
            </w:r>
          </w:p>
        </w:tc>
        <w:tc>
          <w:tcPr>
            <w:tcW w:w="723" w:type="pct"/>
            <w:shd w:val="clear" w:color="auto" w:fill="auto"/>
            <w:vAlign w:val="center"/>
          </w:tcPr>
          <w:p w14:paraId="5764221D">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262.89</w:t>
            </w:r>
          </w:p>
        </w:tc>
        <w:tc>
          <w:tcPr>
            <w:tcW w:w="638" w:type="pct"/>
            <w:vMerge w:val="continue"/>
            <w:vAlign w:val="center"/>
          </w:tcPr>
          <w:p w14:paraId="5F756F83">
            <w:pPr>
              <w:snapToGrid w:val="0"/>
              <w:spacing w:line="320" w:lineRule="exact"/>
              <w:jc w:val="center"/>
              <w:rPr>
                <w:rFonts w:eastAsia="仿宋_GB2312"/>
                <w:color w:val="FF0000"/>
                <w:szCs w:val="21"/>
              </w:rPr>
            </w:pPr>
          </w:p>
        </w:tc>
      </w:tr>
      <w:tr w14:paraId="1FB2F9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628" w:type="pct"/>
            <w:vMerge w:val="continue"/>
            <w:vAlign w:val="center"/>
          </w:tcPr>
          <w:p w14:paraId="69CBD0B7">
            <w:pPr>
              <w:jc w:val="center"/>
              <w:rPr>
                <w:rFonts w:eastAsia="仿宋_GB2312"/>
                <w:color w:val="FF0000"/>
                <w:szCs w:val="21"/>
              </w:rPr>
            </w:pPr>
          </w:p>
        </w:tc>
        <w:tc>
          <w:tcPr>
            <w:tcW w:w="731" w:type="pct"/>
            <w:vMerge w:val="continue"/>
            <w:vAlign w:val="center"/>
          </w:tcPr>
          <w:p w14:paraId="6D929250">
            <w:pPr>
              <w:jc w:val="center"/>
              <w:rPr>
                <w:rFonts w:eastAsia="仿宋_GB2312"/>
                <w:color w:val="FF0000"/>
                <w:szCs w:val="21"/>
              </w:rPr>
            </w:pPr>
          </w:p>
        </w:tc>
        <w:tc>
          <w:tcPr>
            <w:tcW w:w="776" w:type="pct"/>
            <w:vMerge w:val="continue"/>
            <w:vAlign w:val="center"/>
          </w:tcPr>
          <w:p w14:paraId="70934281">
            <w:pPr>
              <w:jc w:val="center"/>
              <w:rPr>
                <w:rFonts w:eastAsia="仿宋_GB2312"/>
                <w:color w:val="FF0000"/>
                <w:szCs w:val="21"/>
              </w:rPr>
            </w:pPr>
          </w:p>
        </w:tc>
        <w:tc>
          <w:tcPr>
            <w:tcW w:w="743" w:type="pct"/>
            <w:shd w:val="clear" w:color="auto" w:fill="auto"/>
            <w:vAlign w:val="center"/>
          </w:tcPr>
          <w:p w14:paraId="0A785B47">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NH</w:t>
            </w:r>
            <w:r>
              <w:rPr>
                <w:rFonts w:hint="default" w:ascii="Times New Roman" w:hAnsi="Times New Roman" w:eastAsia="宋体" w:cs="Times New Roman"/>
                <w:i w:val="0"/>
                <w:iCs w:val="0"/>
                <w:color w:val="000000"/>
                <w:kern w:val="0"/>
                <w:sz w:val="21"/>
                <w:szCs w:val="21"/>
                <w:u w:val="none"/>
                <w:vertAlign w:val="subscript"/>
                <w:lang w:val="en-US" w:eastAsia="zh-CN" w:bidi="ar"/>
              </w:rPr>
              <w:t>3</w:t>
            </w:r>
            <w:r>
              <w:rPr>
                <w:rFonts w:hint="default" w:ascii="Times New Roman" w:hAnsi="Times New Roman" w:eastAsia="宋体" w:cs="Times New Roman"/>
                <w:i w:val="0"/>
                <w:iCs w:val="0"/>
                <w:color w:val="000000"/>
                <w:kern w:val="0"/>
                <w:sz w:val="21"/>
                <w:szCs w:val="21"/>
                <w:u w:val="none"/>
                <w:lang w:val="en-US" w:eastAsia="zh-CN" w:bidi="ar"/>
              </w:rPr>
              <w:t>-N</w:t>
            </w:r>
          </w:p>
        </w:tc>
        <w:tc>
          <w:tcPr>
            <w:tcW w:w="757" w:type="pct"/>
            <w:shd w:val="clear" w:color="auto" w:fill="auto"/>
            <w:vAlign w:val="center"/>
          </w:tcPr>
          <w:p w14:paraId="3DB0C915">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30</w:t>
            </w:r>
          </w:p>
        </w:tc>
        <w:tc>
          <w:tcPr>
            <w:tcW w:w="723" w:type="pct"/>
            <w:shd w:val="clear" w:color="auto" w:fill="auto"/>
            <w:vAlign w:val="center"/>
          </w:tcPr>
          <w:p w14:paraId="2E4C418A">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0.283</w:t>
            </w:r>
          </w:p>
        </w:tc>
        <w:tc>
          <w:tcPr>
            <w:tcW w:w="638" w:type="pct"/>
            <w:vMerge w:val="continue"/>
            <w:vAlign w:val="center"/>
          </w:tcPr>
          <w:p w14:paraId="1089D85E">
            <w:pPr>
              <w:snapToGrid w:val="0"/>
              <w:spacing w:line="320" w:lineRule="exact"/>
              <w:jc w:val="center"/>
              <w:rPr>
                <w:rFonts w:eastAsia="仿宋_GB2312"/>
                <w:color w:val="FF0000"/>
                <w:szCs w:val="21"/>
              </w:rPr>
            </w:pPr>
          </w:p>
        </w:tc>
      </w:tr>
      <w:tr w14:paraId="6F7292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628" w:type="pct"/>
            <w:vMerge w:val="continue"/>
            <w:vAlign w:val="center"/>
          </w:tcPr>
          <w:p w14:paraId="4344CDD0">
            <w:pPr>
              <w:jc w:val="center"/>
              <w:rPr>
                <w:rFonts w:eastAsia="仿宋_GB2312"/>
                <w:color w:val="FF0000"/>
                <w:szCs w:val="21"/>
              </w:rPr>
            </w:pPr>
          </w:p>
        </w:tc>
        <w:tc>
          <w:tcPr>
            <w:tcW w:w="731" w:type="pct"/>
            <w:vMerge w:val="continue"/>
            <w:vAlign w:val="center"/>
          </w:tcPr>
          <w:p w14:paraId="7A20417F">
            <w:pPr>
              <w:jc w:val="center"/>
              <w:rPr>
                <w:rFonts w:eastAsia="仿宋_GB2312"/>
                <w:color w:val="FF0000"/>
                <w:szCs w:val="21"/>
              </w:rPr>
            </w:pPr>
          </w:p>
        </w:tc>
        <w:tc>
          <w:tcPr>
            <w:tcW w:w="776" w:type="pct"/>
            <w:vMerge w:val="continue"/>
            <w:vAlign w:val="center"/>
          </w:tcPr>
          <w:p w14:paraId="4ECFF805">
            <w:pPr>
              <w:jc w:val="center"/>
              <w:rPr>
                <w:rFonts w:eastAsia="仿宋_GB2312"/>
                <w:color w:val="FF0000"/>
                <w:szCs w:val="21"/>
              </w:rPr>
            </w:pPr>
          </w:p>
        </w:tc>
        <w:tc>
          <w:tcPr>
            <w:tcW w:w="743" w:type="pct"/>
            <w:shd w:val="clear" w:color="auto" w:fill="auto"/>
            <w:vAlign w:val="center"/>
          </w:tcPr>
          <w:p w14:paraId="1B6C2600">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TN</w:t>
            </w:r>
          </w:p>
        </w:tc>
        <w:tc>
          <w:tcPr>
            <w:tcW w:w="757" w:type="pct"/>
            <w:shd w:val="clear" w:color="auto" w:fill="auto"/>
            <w:vAlign w:val="center"/>
          </w:tcPr>
          <w:p w14:paraId="2E2AF755">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45</w:t>
            </w:r>
          </w:p>
        </w:tc>
        <w:tc>
          <w:tcPr>
            <w:tcW w:w="723" w:type="pct"/>
            <w:shd w:val="clear" w:color="auto" w:fill="auto"/>
            <w:vAlign w:val="center"/>
          </w:tcPr>
          <w:p w14:paraId="13C47F3F">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0.424</w:t>
            </w:r>
          </w:p>
        </w:tc>
        <w:tc>
          <w:tcPr>
            <w:tcW w:w="638" w:type="pct"/>
            <w:vMerge w:val="continue"/>
            <w:vAlign w:val="center"/>
          </w:tcPr>
          <w:p w14:paraId="67638BD0">
            <w:pPr>
              <w:snapToGrid w:val="0"/>
              <w:spacing w:line="320" w:lineRule="exact"/>
              <w:jc w:val="center"/>
              <w:rPr>
                <w:rFonts w:eastAsia="仿宋_GB2312"/>
                <w:color w:val="FF0000"/>
                <w:szCs w:val="21"/>
              </w:rPr>
            </w:pPr>
          </w:p>
        </w:tc>
      </w:tr>
      <w:tr w14:paraId="592849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628" w:type="pct"/>
            <w:vMerge w:val="continue"/>
            <w:vAlign w:val="center"/>
          </w:tcPr>
          <w:p w14:paraId="191C1D73">
            <w:pPr>
              <w:jc w:val="center"/>
              <w:rPr>
                <w:rFonts w:eastAsia="仿宋_GB2312"/>
                <w:color w:val="FF0000"/>
                <w:szCs w:val="21"/>
              </w:rPr>
            </w:pPr>
          </w:p>
        </w:tc>
        <w:tc>
          <w:tcPr>
            <w:tcW w:w="731" w:type="pct"/>
            <w:vMerge w:val="continue"/>
            <w:vAlign w:val="center"/>
          </w:tcPr>
          <w:p w14:paraId="154649C1">
            <w:pPr>
              <w:jc w:val="center"/>
              <w:rPr>
                <w:rFonts w:eastAsia="仿宋_GB2312"/>
                <w:color w:val="FF0000"/>
                <w:szCs w:val="21"/>
              </w:rPr>
            </w:pPr>
          </w:p>
        </w:tc>
        <w:tc>
          <w:tcPr>
            <w:tcW w:w="776" w:type="pct"/>
            <w:vMerge w:val="continue"/>
            <w:vAlign w:val="center"/>
          </w:tcPr>
          <w:p w14:paraId="7BFD45C4">
            <w:pPr>
              <w:jc w:val="center"/>
              <w:rPr>
                <w:rFonts w:eastAsia="仿宋_GB2312"/>
                <w:color w:val="FF0000"/>
                <w:szCs w:val="21"/>
              </w:rPr>
            </w:pPr>
          </w:p>
        </w:tc>
        <w:tc>
          <w:tcPr>
            <w:tcW w:w="743" w:type="pct"/>
            <w:shd w:val="clear" w:color="auto" w:fill="auto"/>
            <w:vAlign w:val="center"/>
          </w:tcPr>
          <w:p w14:paraId="27E01AC7">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TP</w:t>
            </w:r>
          </w:p>
        </w:tc>
        <w:tc>
          <w:tcPr>
            <w:tcW w:w="757" w:type="pct"/>
            <w:shd w:val="clear" w:color="auto" w:fill="auto"/>
            <w:vAlign w:val="center"/>
          </w:tcPr>
          <w:p w14:paraId="067E83A3">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723" w:type="pct"/>
            <w:shd w:val="clear" w:color="auto" w:fill="auto"/>
            <w:vAlign w:val="center"/>
          </w:tcPr>
          <w:p w14:paraId="20CE513B">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0.028</w:t>
            </w:r>
          </w:p>
        </w:tc>
        <w:tc>
          <w:tcPr>
            <w:tcW w:w="638" w:type="pct"/>
            <w:vMerge w:val="continue"/>
            <w:vAlign w:val="center"/>
          </w:tcPr>
          <w:p w14:paraId="141F7FD8">
            <w:pPr>
              <w:snapToGrid w:val="0"/>
              <w:spacing w:line="320" w:lineRule="exact"/>
              <w:jc w:val="center"/>
              <w:rPr>
                <w:rFonts w:eastAsia="仿宋_GB2312"/>
                <w:color w:val="FF0000"/>
                <w:szCs w:val="21"/>
              </w:rPr>
            </w:pPr>
          </w:p>
        </w:tc>
      </w:tr>
      <w:tr w14:paraId="03C6BF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628" w:type="pct"/>
            <w:vMerge w:val="restart"/>
            <w:vAlign w:val="center"/>
          </w:tcPr>
          <w:p w14:paraId="17BDC066">
            <w:pPr>
              <w:keepNext w:val="0"/>
              <w:keepLines w:val="0"/>
              <w:widowControl/>
              <w:suppressLineNumbers w:val="0"/>
              <w:jc w:val="center"/>
              <w:textAlignment w:val="center"/>
              <w:rPr>
                <w:rFonts w:eastAsia="仿宋_GB2312"/>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W3-6-1</w:t>
            </w:r>
          </w:p>
        </w:tc>
        <w:tc>
          <w:tcPr>
            <w:tcW w:w="731" w:type="pct"/>
            <w:vMerge w:val="restart"/>
            <w:vAlign w:val="center"/>
          </w:tcPr>
          <w:p w14:paraId="3D51E439">
            <w:pPr>
              <w:keepNext w:val="0"/>
              <w:keepLines w:val="0"/>
              <w:widowControl/>
              <w:suppressLineNumbers w:val="0"/>
              <w:jc w:val="center"/>
              <w:textAlignment w:val="center"/>
              <w:rPr>
                <w:rFonts w:eastAsia="仿宋_GB2312"/>
                <w:color w:val="FF0000"/>
                <w:szCs w:val="21"/>
              </w:rPr>
            </w:pPr>
            <w:r>
              <w:rPr>
                <w:rFonts w:hint="default" w:ascii="仿宋_GB2312" w:hAnsi="宋体" w:eastAsia="仿宋_GB2312" w:cs="仿宋_GB2312"/>
                <w:i w:val="0"/>
                <w:iCs w:val="0"/>
                <w:color w:val="000000"/>
                <w:kern w:val="0"/>
                <w:sz w:val="21"/>
                <w:szCs w:val="21"/>
                <w:u w:val="none"/>
                <w:lang w:val="en-US" w:eastAsia="zh-CN" w:bidi="ar"/>
              </w:rPr>
              <w:t>冷凝废水</w:t>
            </w:r>
          </w:p>
        </w:tc>
        <w:tc>
          <w:tcPr>
            <w:tcW w:w="776" w:type="pct"/>
            <w:vMerge w:val="restart"/>
            <w:vAlign w:val="center"/>
          </w:tcPr>
          <w:p w14:paraId="30A2A934">
            <w:pPr>
              <w:keepNext w:val="0"/>
              <w:keepLines w:val="0"/>
              <w:widowControl/>
              <w:suppressLineNumbers w:val="0"/>
              <w:jc w:val="center"/>
              <w:textAlignment w:val="center"/>
              <w:rPr>
                <w:rFonts w:eastAsia="仿宋_GB2312"/>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621.292</w:t>
            </w:r>
          </w:p>
        </w:tc>
        <w:tc>
          <w:tcPr>
            <w:tcW w:w="743" w:type="pct"/>
            <w:shd w:val="clear" w:color="auto" w:fill="auto"/>
            <w:vAlign w:val="center"/>
          </w:tcPr>
          <w:p w14:paraId="70D338B7">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COD</w:t>
            </w:r>
          </w:p>
        </w:tc>
        <w:tc>
          <w:tcPr>
            <w:tcW w:w="757" w:type="pct"/>
            <w:shd w:val="clear" w:color="auto" w:fill="auto"/>
            <w:vAlign w:val="center"/>
          </w:tcPr>
          <w:p w14:paraId="06CA2ABB">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26863</w:t>
            </w:r>
          </w:p>
        </w:tc>
        <w:tc>
          <w:tcPr>
            <w:tcW w:w="723" w:type="pct"/>
            <w:shd w:val="clear" w:color="auto" w:fill="auto"/>
            <w:vAlign w:val="center"/>
          </w:tcPr>
          <w:p w14:paraId="6716F918">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16.69</w:t>
            </w:r>
          </w:p>
        </w:tc>
        <w:tc>
          <w:tcPr>
            <w:tcW w:w="638" w:type="pct"/>
            <w:vMerge w:val="continue"/>
            <w:vAlign w:val="center"/>
          </w:tcPr>
          <w:p w14:paraId="07015EB6">
            <w:pPr>
              <w:snapToGrid w:val="0"/>
              <w:spacing w:line="320" w:lineRule="exact"/>
              <w:jc w:val="center"/>
              <w:rPr>
                <w:rFonts w:eastAsia="仿宋_GB2312"/>
                <w:color w:val="FF0000"/>
                <w:szCs w:val="21"/>
              </w:rPr>
            </w:pPr>
          </w:p>
        </w:tc>
      </w:tr>
      <w:tr w14:paraId="05687D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628" w:type="pct"/>
            <w:vMerge w:val="continue"/>
            <w:vAlign w:val="center"/>
          </w:tcPr>
          <w:p w14:paraId="02FE620E">
            <w:pPr>
              <w:jc w:val="center"/>
              <w:rPr>
                <w:rFonts w:eastAsia="仿宋_GB2312"/>
                <w:color w:val="FF0000"/>
                <w:szCs w:val="21"/>
              </w:rPr>
            </w:pPr>
          </w:p>
        </w:tc>
        <w:tc>
          <w:tcPr>
            <w:tcW w:w="731" w:type="pct"/>
            <w:vMerge w:val="continue"/>
            <w:vAlign w:val="center"/>
          </w:tcPr>
          <w:p w14:paraId="1ADF94C9">
            <w:pPr>
              <w:jc w:val="center"/>
              <w:rPr>
                <w:rFonts w:eastAsia="仿宋_GB2312"/>
                <w:color w:val="FF0000"/>
                <w:szCs w:val="21"/>
              </w:rPr>
            </w:pPr>
          </w:p>
        </w:tc>
        <w:tc>
          <w:tcPr>
            <w:tcW w:w="776" w:type="pct"/>
            <w:vMerge w:val="continue"/>
            <w:vAlign w:val="center"/>
          </w:tcPr>
          <w:p w14:paraId="2D87F185">
            <w:pPr>
              <w:jc w:val="center"/>
              <w:rPr>
                <w:rFonts w:eastAsia="仿宋_GB2312"/>
                <w:color w:val="FF0000"/>
                <w:szCs w:val="21"/>
              </w:rPr>
            </w:pPr>
          </w:p>
        </w:tc>
        <w:tc>
          <w:tcPr>
            <w:tcW w:w="743" w:type="pct"/>
            <w:shd w:val="clear" w:color="auto" w:fill="auto"/>
            <w:vAlign w:val="center"/>
          </w:tcPr>
          <w:p w14:paraId="4B97DA36">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NH</w:t>
            </w:r>
            <w:r>
              <w:rPr>
                <w:rFonts w:hint="default" w:ascii="Times New Roman" w:hAnsi="Times New Roman" w:eastAsia="宋体" w:cs="Times New Roman"/>
                <w:i w:val="0"/>
                <w:iCs w:val="0"/>
                <w:color w:val="000000"/>
                <w:kern w:val="0"/>
                <w:sz w:val="21"/>
                <w:szCs w:val="21"/>
                <w:u w:val="none"/>
                <w:vertAlign w:val="subscript"/>
                <w:lang w:val="en-US" w:eastAsia="zh-CN" w:bidi="ar"/>
              </w:rPr>
              <w:t>3</w:t>
            </w:r>
            <w:r>
              <w:rPr>
                <w:rFonts w:hint="default" w:ascii="Times New Roman" w:hAnsi="Times New Roman" w:eastAsia="宋体" w:cs="Times New Roman"/>
                <w:i w:val="0"/>
                <w:iCs w:val="0"/>
                <w:color w:val="000000"/>
                <w:kern w:val="0"/>
                <w:sz w:val="21"/>
                <w:szCs w:val="21"/>
                <w:u w:val="none"/>
                <w:lang w:val="en-US" w:eastAsia="zh-CN" w:bidi="ar"/>
              </w:rPr>
              <w:t>-N</w:t>
            </w:r>
          </w:p>
        </w:tc>
        <w:tc>
          <w:tcPr>
            <w:tcW w:w="757" w:type="pct"/>
            <w:shd w:val="clear" w:color="auto" w:fill="auto"/>
            <w:vAlign w:val="center"/>
          </w:tcPr>
          <w:p w14:paraId="78F983CD">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30</w:t>
            </w:r>
          </w:p>
        </w:tc>
        <w:tc>
          <w:tcPr>
            <w:tcW w:w="723" w:type="pct"/>
            <w:shd w:val="clear" w:color="auto" w:fill="auto"/>
            <w:vAlign w:val="center"/>
          </w:tcPr>
          <w:p w14:paraId="32841B8D">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0.018</w:t>
            </w:r>
          </w:p>
        </w:tc>
        <w:tc>
          <w:tcPr>
            <w:tcW w:w="638" w:type="pct"/>
            <w:vMerge w:val="continue"/>
            <w:vAlign w:val="center"/>
          </w:tcPr>
          <w:p w14:paraId="0DB6E2A6">
            <w:pPr>
              <w:snapToGrid w:val="0"/>
              <w:spacing w:line="320" w:lineRule="exact"/>
              <w:jc w:val="center"/>
              <w:rPr>
                <w:rFonts w:eastAsia="仿宋_GB2312"/>
                <w:color w:val="FF0000"/>
                <w:szCs w:val="21"/>
              </w:rPr>
            </w:pPr>
          </w:p>
        </w:tc>
      </w:tr>
      <w:tr w14:paraId="7E1027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628" w:type="pct"/>
            <w:vMerge w:val="continue"/>
            <w:vAlign w:val="center"/>
          </w:tcPr>
          <w:p w14:paraId="78520FA7">
            <w:pPr>
              <w:jc w:val="center"/>
              <w:rPr>
                <w:rFonts w:eastAsia="仿宋_GB2312"/>
                <w:color w:val="FF0000"/>
                <w:szCs w:val="21"/>
              </w:rPr>
            </w:pPr>
          </w:p>
        </w:tc>
        <w:tc>
          <w:tcPr>
            <w:tcW w:w="731" w:type="pct"/>
            <w:vMerge w:val="continue"/>
            <w:vAlign w:val="center"/>
          </w:tcPr>
          <w:p w14:paraId="02128378">
            <w:pPr>
              <w:jc w:val="center"/>
              <w:rPr>
                <w:rFonts w:eastAsia="仿宋_GB2312"/>
                <w:color w:val="FF0000"/>
                <w:szCs w:val="21"/>
              </w:rPr>
            </w:pPr>
          </w:p>
        </w:tc>
        <w:tc>
          <w:tcPr>
            <w:tcW w:w="776" w:type="pct"/>
            <w:vMerge w:val="continue"/>
            <w:vAlign w:val="center"/>
          </w:tcPr>
          <w:p w14:paraId="5B929306">
            <w:pPr>
              <w:jc w:val="center"/>
              <w:rPr>
                <w:rFonts w:eastAsia="仿宋_GB2312"/>
                <w:color w:val="FF0000"/>
                <w:szCs w:val="21"/>
              </w:rPr>
            </w:pPr>
          </w:p>
        </w:tc>
        <w:tc>
          <w:tcPr>
            <w:tcW w:w="743" w:type="pct"/>
            <w:shd w:val="clear" w:color="auto" w:fill="auto"/>
            <w:vAlign w:val="center"/>
          </w:tcPr>
          <w:p w14:paraId="497ECF29">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TN</w:t>
            </w:r>
          </w:p>
        </w:tc>
        <w:tc>
          <w:tcPr>
            <w:tcW w:w="757" w:type="pct"/>
            <w:shd w:val="clear" w:color="auto" w:fill="auto"/>
            <w:vAlign w:val="center"/>
          </w:tcPr>
          <w:p w14:paraId="65C31E99">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45</w:t>
            </w:r>
          </w:p>
        </w:tc>
        <w:tc>
          <w:tcPr>
            <w:tcW w:w="723" w:type="pct"/>
            <w:shd w:val="clear" w:color="auto" w:fill="auto"/>
            <w:vAlign w:val="center"/>
          </w:tcPr>
          <w:p w14:paraId="5F5748DD">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0.027</w:t>
            </w:r>
          </w:p>
        </w:tc>
        <w:tc>
          <w:tcPr>
            <w:tcW w:w="638" w:type="pct"/>
            <w:vMerge w:val="continue"/>
            <w:vAlign w:val="center"/>
          </w:tcPr>
          <w:p w14:paraId="4AC8DF2F">
            <w:pPr>
              <w:snapToGrid w:val="0"/>
              <w:spacing w:line="320" w:lineRule="exact"/>
              <w:jc w:val="center"/>
              <w:rPr>
                <w:rFonts w:eastAsia="仿宋_GB2312"/>
                <w:color w:val="FF0000"/>
                <w:szCs w:val="21"/>
              </w:rPr>
            </w:pPr>
          </w:p>
        </w:tc>
      </w:tr>
      <w:tr w14:paraId="445B9D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628" w:type="pct"/>
            <w:vMerge w:val="continue"/>
            <w:vAlign w:val="center"/>
          </w:tcPr>
          <w:p w14:paraId="6BA990A0">
            <w:pPr>
              <w:jc w:val="center"/>
              <w:rPr>
                <w:rFonts w:eastAsia="仿宋_GB2312"/>
                <w:color w:val="FF0000"/>
                <w:szCs w:val="21"/>
              </w:rPr>
            </w:pPr>
          </w:p>
        </w:tc>
        <w:tc>
          <w:tcPr>
            <w:tcW w:w="731" w:type="pct"/>
            <w:vMerge w:val="continue"/>
            <w:vAlign w:val="center"/>
          </w:tcPr>
          <w:p w14:paraId="2A57A801">
            <w:pPr>
              <w:jc w:val="center"/>
              <w:rPr>
                <w:rFonts w:eastAsia="仿宋_GB2312"/>
                <w:color w:val="FF0000"/>
                <w:szCs w:val="21"/>
              </w:rPr>
            </w:pPr>
          </w:p>
        </w:tc>
        <w:tc>
          <w:tcPr>
            <w:tcW w:w="776" w:type="pct"/>
            <w:vMerge w:val="continue"/>
            <w:vAlign w:val="center"/>
          </w:tcPr>
          <w:p w14:paraId="34276F8E">
            <w:pPr>
              <w:jc w:val="center"/>
              <w:rPr>
                <w:rFonts w:eastAsia="仿宋_GB2312"/>
                <w:color w:val="FF0000"/>
                <w:szCs w:val="21"/>
              </w:rPr>
            </w:pPr>
          </w:p>
        </w:tc>
        <w:tc>
          <w:tcPr>
            <w:tcW w:w="743" w:type="pct"/>
            <w:shd w:val="clear" w:color="auto" w:fill="auto"/>
            <w:vAlign w:val="center"/>
          </w:tcPr>
          <w:p w14:paraId="68ECD5E8">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TP</w:t>
            </w:r>
          </w:p>
        </w:tc>
        <w:tc>
          <w:tcPr>
            <w:tcW w:w="757" w:type="pct"/>
            <w:shd w:val="clear" w:color="auto" w:fill="auto"/>
            <w:vAlign w:val="center"/>
          </w:tcPr>
          <w:p w14:paraId="0291BBFA">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723" w:type="pct"/>
            <w:shd w:val="clear" w:color="auto" w:fill="auto"/>
            <w:vAlign w:val="center"/>
          </w:tcPr>
          <w:p w14:paraId="6625AB91">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0.002</w:t>
            </w:r>
          </w:p>
        </w:tc>
        <w:tc>
          <w:tcPr>
            <w:tcW w:w="638" w:type="pct"/>
            <w:vMerge w:val="continue"/>
            <w:vAlign w:val="center"/>
          </w:tcPr>
          <w:p w14:paraId="7466BF03">
            <w:pPr>
              <w:snapToGrid w:val="0"/>
              <w:spacing w:line="320" w:lineRule="exact"/>
              <w:jc w:val="center"/>
              <w:rPr>
                <w:rFonts w:eastAsia="仿宋_GB2312"/>
                <w:color w:val="FF0000"/>
                <w:szCs w:val="21"/>
              </w:rPr>
            </w:pPr>
          </w:p>
        </w:tc>
      </w:tr>
      <w:tr w14:paraId="14DA9BE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628" w:type="pct"/>
            <w:vMerge w:val="restart"/>
            <w:vAlign w:val="center"/>
          </w:tcPr>
          <w:p w14:paraId="6B72572C">
            <w:pPr>
              <w:keepNext w:val="0"/>
              <w:keepLines w:val="0"/>
              <w:widowControl/>
              <w:suppressLineNumbers w:val="0"/>
              <w:jc w:val="center"/>
              <w:textAlignment w:val="center"/>
              <w:rPr>
                <w:rFonts w:eastAsia="仿宋_GB2312"/>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W3-7-1</w:t>
            </w:r>
          </w:p>
        </w:tc>
        <w:tc>
          <w:tcPr>
            <w:tcW w:w="731" w:type="pct"/>
            <w:vMerge w:val="restart"/>
            <w:vAlign w:val="center"/>
          </w:tcPr>
          <w:p w14:paraId="5F57A597">
            <w:pPr>
              <w:keepNext w:val="0"/>
              <w:keepLines w:val="0"/>
              <w:widowControl/>
              <w:suppressLineNumbers w:val="0"/>
              <w:jc w:val="center"/>
              <w:textAlignment w:val="center"/>
              <w:rPr>
                <w:rFonts w:eastAsia="仿宋_GB2312"/>
                <w:color w:val="FF0000"/>
                <w:szCs w:val="21"/>
              </w:rPr>
            </w:pPr>
            <w:r>
              <w:rPr>
                <w:rFonts w:hint="default" w:ascii="仿宋_GB2312" w:hAnsi="宋体" w:eastAsia="仿宋_GB2312" w:cs="仿宋_GB2312"/>
                <w:i w:val="0"/>
                <w:iCs w:val="0"/>
                <w:color w:val="000000"/>
                <w:kern w:val="0"/>
                <w:sz w:val="21"/>
                <w:szCs w:val="21"/>
                <w:u w:val="none"/>
                <w:lang w:val="en-US" w:eastAsia="zh-CN" w:bidi="ar"/>
              </w:rPr>
              <w:t>冷凝废水</w:t>
            </w:r>
          </w:p>
        </w:tc>
        <w:tc>
          <w:tcPr>
            <w:tcW w:w="776" w:type="pct"/>
            <w:vMerge w:val="restart"/>
            <w:vAlign w:val="center"/>
          </w:tcPr>
          <w:p w14:paraId="1A4A5C67">
            <w:pPr>
              <w:keepNext w:val="0"/>
              <w:keepLines w:val="0"/>
              <w:widowControl/>
              <w:suppressLineNumbers w:val="0"/>
              <w:jc w:val="center"/>
              <w:textAlignment w:val="center"/>
              <w:rPr>
                <w:rFonts w:eastAsia="仿宋_GB2312"/>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10079.92</w:t>
            </w:r>
          </w:p>
        </w:tc>
        <w:tc>
          <w:tcPr>
            <w:tcW w:w="743" w:type="pct"/>
            <w:shd w:val="clear" w:color="auto" w:fill="auto"/>
            <w:vAlign w:val="center"/>
          </w:tcPr>
          <w:p w14:paraId="269155D4">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COD</w:t>
            </w:r>
          </w:p>
        </w:tc>
        <w:tc>
          <w:tcPr>
            <w:tcW w:w="757" w:type="pct"/>
            <w:shd w:val="clear" w:color="auto" w:fill="auto"/>
            <w:vAlign w:val="center"/>
          </w:tcPr>
          <w:p w14:paraId="20655572">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20893</w:t>
            </w:r>
          </w:p>
        </w:tc>
        <w:tc>
          <w:tcPr>
            <w:tcW w:w="723" w:type="pct"/>
            <w:shd w:val="clear" w:color="auto" w:fill="auto"/>
            <w:vAlign w:val="center"/>
          </w:tcPr>
          <w:p w14:paraId="448C65A2">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209.82</w:t>
            </w:r>
          </w:p>
        </w:tc>
        <w:tc>
          <w:tcPr>
            <w:tcW w:w="638" w:type="pct"/>
            <w:vMerge w:val="continue"/>
            <w:vAlign w:val="center"/>
          </w:tcPr>
          <w:p w14:paraId="0EF1B332">
            <w:pPr>
              <w:snapToGrid w:val="0"/>
              <w:spacing w:line="320" w:lineRule="exact"/>
              <w:jc w:val="center"/>
              <w:rPr>
                <w:rFonts w:eastAsia="仿宋_GB2312"/>
                <w:color w:val="FF0000"/>
                <w:szCs w:val="21"/>
              </w:rPr>
            </w:pPr>
          </w:p>
        </w:tc>
      </w:tr>
      <w:tr w14:paraId="4E651B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628" w:type="pct"/>
            <w:vMerge w:val="continue"/>
            <w:vAlign w:val="center"/>
          </w:tcPr>
          <w:p w14:paraId="0882C27E">
            <w:pPr>
              <w:jc w:val="center"/>
              <w:rPr>
                <w:rFonts w:eastAsia="仿宋_GB2312"/>
                <w:color w:val="FF0000"/>
                <w:szCs w:val="21"/>
              </w:rPr>
            </w:pPr>
          </w:p>
        </w:tc>
        <w:tc>
          <w:tcPr>
            <w:tcW w:w="731" w:type="pct"/>
            <w:vMerge w:val="continue"/>
            <w:vAlign w:val="center"/>
          </w:tcPr>
          <w:p w14:paraId="10DAF79C">
            <w:pPr>
              <w:jc w:val="center"/>
              <w:rPr>
                <w:rFonts w:eastAsia="仿宋_GB2312"/>
                <w:color w:val="FF0000"/>
                <w:szCs w:val="21"/>
              </w:rPr>
            </w:pPr>
          </w:p>
        </w:tc>
        <w:tc>
          <w:tcPr>
            <w:tcW w:w="776" w:type="pct"/>
            <w:vMerge w:val="continue"/>
            <w:vAlign w:val="center"/>
          </w:tcPr>
          <w:p w14:paraId="44F8F361">
            <w:pPr>
              <w:jc w:val="center"/>
              <w:rPr>
                <w:rFonts w:eastAsia="仿宋_GB2312"/>
                <w:color w:val="FF0000"/>
                <w:szCs w:val="21"/>
              </w:rPr>
            </w:pPr>
          </w:p>
        </w:tc>
        <w:tc>
          <w:tcPr>
            <w:tcW w:w="743" w:type="pct"/>
            <w:shd w:val="clear" w:color="auto" w:fill="auto"/>
            <w:vAlign w:val="center"/>
          </w:tcPr>
          <w:p w14:paraId="6FB83F40">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NH</w:t>
            </w:r>
            <w:r>
              <w:rPr>
                <w:rFonts w:hint="default" w:ascii="Times New Roman" w:hAnsi="Times New Roman" w:eastAsia="宋体" w:cs="Times New Roman"/>
                <w:i w:val="0"/>
                <w:iCs w:val="0"/>
                <w:color w:val="000000"/>
                <w:kern w:val="0"/>
                <w:sz w:val="21"/>
                <w:szCs w:val="21"/>
                <w:u w:val="none"/>
                <w:vertAlign w:val="subscript"/>
                <w:lang w:val="en-US" w:eastAsia="zh-CN" w:bidi="ar"/>
              </w:rPr>
              <w:t>3</w:t>
            </w:r>
            <w:r>
              <w:rPr>
                <w:rFonts w:hint="default" w:ascii="Times New Roman" w:hAnsi="Times New Roman" w:eastAsia="宋体" w:cs="Times New Roman"/>
                <w:i w:val="0"/>
                <w:iCs w:val="0"/>
                <w:color w:val="000000"/>
                <w:kern w:val="0"/>
                <w:sz w:val="21"/>
                <w:szCs w:val="21"/>
                <w:u w:val="none"/>
                <w:lang w:val="en-US" w:eastAsia="zh-CN" w:bidi="ar"/>
              </w:rPr>
              <w:t>-N</w:t>
            </w:r>
          </w:p>
        </w:tc>
        <w:tc>
          <w:tcPr>
            <w:tcW w:w="757" w:type="pct"/>
            <w:shd w:val="clear" w:color="auto" w:fill="auto"/>
            <w:vAlign w:val="center"/>
          </w:tcPr>
          <w:p w14:paraId="7DA6381E">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30</w:t>
            </w:r>
          </w:p>
        </w:tc>
        <w:tc>
          <w:tcPr>
            <w:tcW w:w="723" w:type="pct"/>
            <w:shd w:val="clear" w:color="auto" w:fill="auto"/>
            <w:vAlign w:val="center"/>
          </w:tcPr>
          <w:p w14:paraId="0D9E4947">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0.3</w:t>
            </w:r>
          </w:p>
        </w:tc>
        <w:tc>
          <w:tcPr>
            <w:tcW w:w="638" w:type="pct"/>
            <w:vMerge w:val="continue"/>
            <w:vAlign w:val="center"/>
          </w:tcPr>
          <w:p w14:paraId="66764430">
            <w:pPr>
              <w:snapToGrid w:val="0"/>
              <w:spacing w:line="320" w:lineRule="exact"/>
              <w:jc w:val="center"/>
              <w:rPr>
                <w:rFonts w:eastAsia="仿宋_GB2312"/>
                <w:color w:val="FF0000"/>
                <w:szCs w:val="21"/>
              </w:rPr>
            </w:pPr>
          </w:p>
        </w:tc>
      </w:tr>
      <w:tr w14:paraId="2010AD8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628" w:type="pct"/>
            <w:vMerge w:val="continue"/>
            <w:vAlign w:val="center"/>
          </w:tcPr>
          <w:p w14:paraId="47B7B5D3">
            <w:pPr>
              <w:jc w:val="center"/>
              <w:rPr>
                <w:rFonts w:eastAsia="仿宋_GB2312"/>
                <w:color w:val="FF0000"/>
                <w:szCs w:val="21"/>
              </w:rPr>
            </w:pPr>
          </w:p>
        </w:tc>
        <w:tc>
          <w:tcPr>
            <w:tcW w:w="731" w:type="pct"/>
            <w:vMerge w:val="continue"/>
            <w:vAlign w:val="center"/>
          </w:tcPr>
          <w:p w14:paraId="6CE5F35A">
            <w:pPr>
              <w:jc w:val="center"/>
              <w:rPr>
                <w:rFonts w:eastAsia="仿宋_GB2312"/>
                <w:color w:val="FF0000"/>
                <w:szCs w:val="21"/>
              </w:rPr>
            </w:pPr>
          </w:p>
        </w:tc>
        <w:tc>
          <w:tcPr>
            <w:tcW w:w="776" w:type="pct"/>
            <w:vMerge w:val="continue"/>
            <w:vAlign w:val="center"/>
          </w:tcPr>
          <w:p w14:paraId="452B785E">
            <w:pPr>
              <w:jc w:val="center"/>
              <w:rPr>
                <w:rFonts w:eastAsia="仿宋_GB2312"/>
                <w:color w:val="FF0000"/>
                <w:szCs w:val="21"/>
              </w:rPr>
            </w:pPr>
          </w:p>
        </w:tc>
        <w:tc>
          <w:tcPr>
            <w:tcW w:w="743" w:type="pct"/>
            <w:shd w:val="clear" w:color="auto" w:fill="auto"/>
            <w:vAlign w:val="center"/>
          </w:tcPr>
          <w:p w14:paraId="1ECAEFDC">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TN</w:t>
            </w:r>
          </w:p>
        </w:tc>
        <w:tc>
          <w:tcPr>
            <w:tcW w:w="757" w:type="pct"/>
            <w:shd w:val="clear" w:color="auto" w:fill="auto"/>
            <w:vAlign w:val="center"/>
          </w:tcPr>
          <w:p w14:paraId="366C4479">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45</w:t>
            </w:r>
          </w:p>
        </w:tc>
        <w:tc>
          <w:tcPr>
            <w:tcW w:w="723" w:type="pct"/>
            <w:shd w:val="clear" w:color="auto" w:fill="auto"/>
            <w:vAlign w:val="center"/>
          </w:tcPr>
          <w:p w14:paraId="44AE7800">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0.45</w:t>
            </w:r>
          </w:p>
        </w:tc>
        <w:tc>
          <w:tcPr>
            <w:tcW w:w="638" w:type="pct"/>
            <w:vMerge w:val="continue"/>
            <w:vAlign w:val="center"/>
          </w:tcPr>
          <w:p w14:paraId="2B04B828">
            <w:pPr>
              <w:snapToGrid w:val="0"/>
              <w:spacing w:line="320" w:lineRule="exact"/>
              <w:jc w:val="center"/>
              <w:rPr>
                <w:rFonts w:eastAsia="仿宋_GB2312"/>
                <w:color w:val="FF0000"/>
                <w:szCs w:val="21"/>
              </w:rPr>
            </w:pPr>
          </w:p>
        </w:tc>
      </w:tr>
      <w:tr w14:paraId="764C71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628" w:type="pct"/>
            <w:vMerge w:val="continue"/>
            <w:vAlign w:val="center"/>
          </w:tcPr>
          <w:p w14:paraId="2636F15E">
            <w:pPr>
              <w:jc w:val="center"/>
              <w:rPr>
                <w:rFonts w:eastAsia="仿宋_GB2312"/>
                <w:color w:val="FF0000"/>
                <w:szCs w:val="21"/>
              </w:rPr>
            </w:pPr>
          </w:p>
        </w:tc>
        <w:tc>
          <w:tcPr>
            <w:tcW w:w="731" w:type="pct"/>
            <w:vMerge w:val="continue"/>
            <w:vAlign w:val="center"/>
          </w:tcPr>
          <w:p w14:paraId="545AA561">
            <w:pPr>
              <w:jc w:val="center"/>
              <w:rPr>
                <w:rFonts w:eastAsia="仿宋_GB2312"/>
                <w:color w:val="FF0000"/>
                <w:szCs w:val="21"/>
              </w:rPr>
            </w:pPr>
          </w:p>
        </w:tc>
        <w:tc>
          <w:tcPr>
            <w:tcW w:w="776" w:type="pct"/>
            <w:vMerge w:val="continue"/>
            <w:vAlign w:val="center"/>
          </w:tcPr>
          <w:p w14:paraId="580454FE">
            <w:pPr>
              <w:jc w:val="center"/>
              <w:rPr>
                <w:rFonts w:eastAsia="仿宋_GB2312"/>
                <w:color w:val="FF0000"/>
                <w:szCs w:val="21"/>
              </w:rPr>
            </w:pPr>
          </w:p>
        </w:tc>
        <w:tc>
          <w:tcPr>
            <w:tcW w:w="743" w:type="pct"/>
            <w:shd w:val="clear" w:color="auto" w:fill="auto"/>
            <w:vAlign w:val="center"/>
          </w:tcPr>
          <w:p w14:paraId="51DCC2C2">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TP</w:t>
            </w:r>
          </w:p>
        </w:tc>
        <w:tc>
          <w:tcPr>
            <w:tcW w:w="757" w:type="pct"/>
            <w:shd w:val="clear" w:color="auto" w:fill="auto"/>
            <w:vAlign w:val="center"/>
          </w:tcPr>
          <w:p w14:paraId="57344A72">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723" w:type="pct"/>
            <w:shd w:val="clear" w:color="auto" w:fill="auto"/>
            <w:vAlign w:val="center"/>
          </w:tcPr>
          <w:p w14:paraId="5F2A682C">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0.03</w:t>
            </w:r>
          </w:p>
        </w:tc>
        <w:tc>
          <w:tcPr>
            <w:tcW w:w="638" w:type="pct"/>
            <w:vMerge w:val="continue"/>
            <w:vAlign w:val="center"/>
          </w:tcPr>
          <w:p w14:paraId="605F9DB6">
            <w:pPr>
              <w:snapToGrid w:val="0"/>
              <w:spacing w:line="320" w:lineRule="exact"/>
              <w:jc w:val="center"/>
              <w:rPr>
                <w:rFonts w:eastAsia="仿宋_GB2312"/>
                <w:color w:val="FF0000"/>
                <w:szCs w:val="21"/>
              </w:rPr>
            </w:pPr>
          </w:p>
        </w:tc>
      </w:tr>
      <w:tr w14:paraId="7E45E6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628" w:type="pct"/>
            <w:vMerge w:val="restart"/>
            <w:vAlign w:val="center"/>
          </w:tcPr>
          <w:p w14:paraId="5D6392AF">
            <w:pPr>
              <w:keepNext w:val="0"/>
              <w:keepLines w:val="0"/>
              <w:widowControl/>
              <w:suppressLineNumbers w:val="0"/>
              <w:jc w:val="center"/>
              <w:textAlignment w:val="center"/>
              <w:rPr>
                <w:rFonts w:eastAsia="仿宋_GB2312"/>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W3-8-1</w:t>
            </w:r>
          </w:p>
        </w:tc>
        <w:tc>
          <w:tcPr>
            <w:tcW w:w="731" w:type="pct"/>
            <w:vMerge w:val="restart"/>
            <w:vAlign w:val="center"/>
          </w:tcPr>
          <w:p w14:paraId="5A0760DE">
            <w:pPr>
              <w:keepNext w:val="0"/>
              <w:keepLines w:val="0"/>
              <w:widowControl/>
              <w:suppressLineNumbers w:val="0"/>
              <w:jc w:val="center"/>
              <w:textAlignment w:val="center"/>
              <w:rPr>
                <w:rFonts w:eastAsia="仿宋_GB2312"/>
                <w:color w:val="FF0000"/>
                <w:szCs w:val="21"/>
              </w:rPr>
            </w:pPr>
            <w:r>
              <w:rPr>
                <w:rFonts w:hint="default" w:ascii="仿宋_GB2312" w:hAnsi="宋体" w:eastAsia="仿宋_GB2312" w:cs="仿宋_GB2312"/>
                <w:i w:val="0"/>
                <w:iCs w:val="0"/>
                <w:color w:val="000000"/>
                <w:kern w:val="0"/>
                <w:sz w:val="21"/>
                <w:szCs w:val="21"/>
                <w:u w:val="none"/>
                <w:lang w:val="en-US" w:eastAsia="zh-CN" w:bidi="ar"/>
              </w:rPr>
              <w:t>冷凝废水</w:t>
            </w:r>
          </w:p>
        </w:tc>
        <w:tc>
          <w:tcPr>
            <w:tcW w:w="776" w:type="pct"/>
            <w:vMerge w:val="restart"/>
            <w:vAlign w:val="center"/>
          </w:tcPr>
          <w:p w14:paraId="50911BE6">
            <w:pPr>
              <w:keepNext w:val="0"/>
              <w:keepLines w:val="0"/>
              <w:widowControl/>
              <w:suppressLineNumbers w:val="0"/>
              <w:jc w:val="center"/>
              <w:textAlignment w:val="center"/>
              <w:rPr>
                <w:rFonts w:eastAsia="仿宋_GB2312"/>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15965.598</w:t>
            </w:r>
          </w:p>
        </w:tc>
        <w:tc>
          <w:tcPr>
            <w:tcW w:w="743" w:type="pct"/>
            <w:shd w:val="clear" w:color="auto" w:fill="auto"/>
            <w:vAlign w:val="center"/>
          </w:tcPr>
          <w:p w14:paraId="1AF30155">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COD</w:t>
            </w:r>
          </w:p>
        </w:tc>
        <w:tc>
          <w:tcPr>
            <w:tcW w:w="757" w:type="pct"/>
            <w:shd w:val="clear" w:color="auto" w:fill="auto"/>
            <w:vAlign w:val="center"/>
          </w:tcPr>
          <w:p w14:paraId="157A0336">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20896</w:t>
            </w:r>
          </w:p>
        </w:tc>
        <w:tc>
          <w:tcPr>
            <w:tcW w:w="723" w:type="pct"/>
            <w:shd w:val="clear" w:color="auto" w:fill="auto"/>
            <w:vAlign w:val="center"/>
          </w:tcPr>
          <w:p w14:paraId="14D28DE3">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332.41</w:t>
            </w:r>
          </w:p>
        </w:tc>
        <w:tc>
          <w:tcPr>
            <w:tcW w:w="638" w:type="pct"/>
            <w:vMerge w:val="continue"/>
            <w:vAlign w:val="center"/>
          </w:tcPr>
          <w:p w14:paraId="64E2383C">
            <w:pPr>
              <w:snapToGrid w:val="0"/>
              <w:spacing w:line="320" w:lineRule="exact"/>
              <w:jc w:val="center"/>
              <w:rPr>
                <w:rFonts w:eastAsia="仿宋_GB2312"/>
                <w:color w:val="FF0000"/>
                <w:szCs w:val="21"/>
              </w:rPr>
            </w:pPr>
          </w:p>
        </w:tc>
      </w:tr>
      <w:tr w14:paraId="6B2F6A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628" w:type="pct"/>
            <w:vMerge w:val="continue"/>
            <w:vAlign w:val="center"/>
          </w:tcPr>
          <w:p w14:paraId="5C1B1A7D">
            <w:pPr>
              <w:jc w:val="center"/>
              <w:rPr>
                <w:rFonts w:eastAsia="仿宋_GB2312"/>
                <w:color w:val="FF0000"/>
                <w:szCs w:val="21"/>
              </w:rPr>
            </w:pPr>
          </w:p>
        </w:tc>
        <w:tc>
          <w:tcPr>
            <w:tcW w:w="731" w:type="pct"/>
            <w:vMerge w:val="continue"/>
            <w:vAlign w:val="center"/>
          </w:tcPr>
          <w:p w14:paraId="531E1B9C">
            <w:pPr>
              <w:jc w:val="center"/>
              <w:rPr>
                <w:rFonts w:eastAsia="仿宋_GB2312"/>
                <w:color w:val="FF0000"/>
                <w:szCs w:val="21"/>
              </w:rPr>
            </w:pPr>
          </w:p>
        </w:tc>
        <w:tc>
          <w:tcPr>
            <w:tcW w:w="776" w:type="pct"/>
            <w:vMerge w:val="continue"/>
            <w:vAlign w:val="center"/>
          </w:tcPr>
          <w:p w14:paraId="08C91EE7">
            <w:pPr>
              <w:jc w:val="center"/>
              <w:rPr>
                <w:rFonts w:eastAsia="仿宋_GB2312"/>
                <w:color w:val="FF0000"/>
                <w:szCs w:val="21"/>
              </w:rPr>
            </w:pPr>
          </w:p>
        </w:tc>
        <w:tc>
          <w:tcPr>
            <w:tcW w:w="743" w:type="pct"/>
            <w:shd w:val="clear" w:color="auto" w:fill="auto"/>
            <w:vAlign w:val="center"/>
          </w:tcPr>
          <w:p w14:paraId="12E73A68">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NH</w:t>
            </w:r>
            <w:r>
              <w:rPr>
                <w:rFonts w:hint="default" w:ascii="Times New Roman" w:hAnsi="Times New Roman" w:eastAsia="宋体" w:cs="Times New Roman"/>
                <w:i w:val="0"/>
                <w:iCs w:val="0"/>
                <w:color w:val="000000"/>
                <w:kern w:val="0"/>
                <w:sz w:val="21"/>
                <w:szCs w:val="21"/>
                <w:u w:val="none"/>
                <w:vertAlign w:val="subscript"/>
                <w:lang w:val="en-US" w:eastAsia="zh-CN" w:bidi="ar"/>
              </w:rPr>
              <w:t>3</w:t>
            </w:r>
            <w:r>
              <w:rPr>
                <w:rFonts w:hint="default" w:ascii="Times New Roman" w:hAnsi="Times New Roman" w:eastAsia="宋体" w:cs="Times New Roman"/>
                <w:i w:val="0"/>
                <w:iCs w:val="0"/>
                <w:color w:val="000000"/>
                <w:kern w:val="0"/>
                <w:sz w:val="21"/>
                <w:szCs w:val="21"/>
                <w:u w:val="none"/>
                <w:lang w:val="en-US" w:eastAsia="zh-CN" w:bidi="ar"/>
              </w:rPr>
              <w:t>-N</w:t>
            </w:r>
          </w:p>
        </w:tc>
        <w:tc>
          <w:tcPr>
            <w:tcW w:w="757" w:type="pct"/>
            <w:shd w:val="clear" w:color="auto" w:fill="auto"/>
            <w:vAlign w:val="center"/>
          </w:tcPr>
          <w:p w14:paraId="3F780087">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30</w:t>
            </w:r>
          </w:p>
        </w:tc>
        <w:tc>
          <w:tcPr>
            <w:tcW w:w="723" w:type="pct"/>
            <w:shd w:val="clear" w:color="auto" w:fill="auto"/>
            <w:vAlign w:val="center"/>
          </w:tcPr>
          <w:p w14:paraId="6C7255FD">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0.477</w:t>
            </w:r>
          </w:p>
        </w:tc>
        <w:tc>
          <w:tcPr>
            <w:tcW w:w="638" w:type="pct"/>
            <w:vMerge w:val="continue"/>
            <w:vAlign w:val="center"/>
          </w:tcPr>
          <w:p w14:paraId="360DD85A">
            <w:pPr>
              <w:snapToGrid w:val="0"/>
              <w:spacing w:line="320" w:lineRule="exact"/>
              <w:jc w:val="center"/>
              <w:rPr>
                <w:rFonts w:eastAsia="仿宋_GB2312"/>
                <w:color w:val="FF0000"/>
                <w:szCs w:val="21"/>
              </w:rPr>
            </w:pPr>
          </w:p>
        </w:tc>
      </w:tr>
      <w:tr w14:paraId="09A8D1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628" w:type="pct"/>
            <w:vMerge w:val="continue"/>
            <w:vAlign w:val="center"/>
          </w:tcPr>
          <w:p w14:paraId="765A00D1">
            <w:pPr>
              <w:jc w:val="center"/>
              <w:rPr>
                <w:rFonts w:eastAsia="仿宋_GB2312"/>
                <w:color w:val="FF0000"/>
                <w:szCs w:val="21"/>
              </w:rPr>
            </w:pPr>
          </w:p>
        </w:tc>
        <w:tc>
          <w:tcPr>
            <w:tcW w:w="731" w:type="pct"/>
            <w:vMerge w:val="continue"/>
            <w:vAlign w:val="center"/>
          </w:tcPr>
          <w:p w14:paraId="03197C32">
            <w:pPr>
              <w:jc w:val="center"/>
              <w:rPr>
                <w:rFonts w:eastAsia="仿宋_GB2312"/>
                <w:color w:val="FF0000"/>
                <w:szCs w:val="21"/>
              </w:rPr>
            </w:pPr>
          </w:p>
        </w:tc>
        <w:tc>
          <w:tcPr>
            <w:tcW w:w="776" w:type="pct"/>
            <w:vMerge w:val="continue"/>
            <w:vAlign w:val="center"/>
          </w:tcPr>
          <w:p w14:paraId="2898DDB3">
            <w:pPr>
              <w:jc w:val="center"/>
              <w:rPr>
                <w:rFonts w:eastAsia="仿宋_GB2312"/>
                <w:color w:val="FF0000"/>
                <w:szCs w:val="21"/>
              </w:rPr>
            </w:pPr>
          </w:p>
        </w:tc>
        <w:tc>
          <w:tcPr>
            <w:tcW w:w="743" w:type="pct"/>
            <w:shd w:val="clear" w:color="auto" w:fill="auto"/>
            <w:vAlign w:val="center"/>
          </w:tcPr>
          <w:p w14:paraId="28A855E1">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TN</w:t>
            </w:r>
          </w:p>
        </w:tc>
        <w:tc>
          <w:tcPr>
            <w:tcW w:w="757" w:type="pct"/>
            <w:shd w:val="clear" w:color="auto" w:fill="auto"/>
            <w:vAlign w:val="center"/>
          </w:tcPr>
          <w:p w14:paraId="6CC5D373">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3308</w:t>
            </w:r>
          </w:p>
        </w:tc>
        <w:tc>
          <w:tcPr>
            <w:tcW w:w="723" w:type="pct"/>
            <w:shd w:val="clear" w:color="auto" w:fill="auto"/>
            <w:vAlign w:val="center"/>
          </w:tcPr>
          <w:p w14:paraId="4BA9E13F">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52.63</w:t>
            </w:r>
          </w:p>
        </w:tc>
        <w:tc>
          <w:tcPr>
            <w:tcW w:w="638" w:type="pct"/>
            <w:vMerge w:val="continue"/>
            <w:vAlign w:val="center"/>
          </w:tcPr>
          <w:p w14:paraId="06FFB2DB">
            <w:pPr>
              <w:snapToGrid w:val="0"/>
              <w:spacing w:line="320" w:lineRule="exact"/>
              <w:jc w:val="center"/>
              <w:rPr>
                <w:rFonts w:eastAsia="仿宋_GB2312"/>
                <w:color w:val="FF0000"/>
                <w:szCs w:val="21"/>
              </w:rPr>
            </w:pPr>
          </w:p>
        </w:tc>
      </w:tr>
      <w:tr w14:paraId="0A7886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628" w:type="pct"/>
            <w:vMerge w:val="continue"/>
            <w:vAlign w:val="center"/>
          </w:tcPr>
          <w:p w14:paraId="4FCAC6BE">
            <w:pPr>
              <w:jc w:val="center"/>
              <w:rPr>
                <w:rFonts w:eastAsia="仿宋_GB2312"/>
                <w:color w:val="FF0000"/>
                <w:szCs w:val="21"/>
              </w:rPr>
            </w:pPr>
          </w:p>
        </w:tc>
        <w:tc>
          <w:tcPr>
            <w:tcW w:w="731" w:type="pct"/>
            <w:vMerge w:val="continue"/>
            <w:vAlign w:val="center"/>
          </w:tcPr>
          <w:p w14:paraId="200656C8">
            <w:pPr>
              <w:jc w:val="center"/>
              <w:rPr>
                <w:rFonts w:eastAsia="仿宋_GB2312"/>
                <w:color w:val="FF0000"/>
                <w:szCs w:val="21"/>
              </w:rPr>
            </w:pPr>
          </w:p>
        </w:tc>
        <w:tc>
          <w:tcPr>
            <w:tcW w:w="776" w:type="pct"/>
            <w:vMerge w:val="continue"/>
            <w:vAlign w:val="center"/>
          </w:tcPr>
          <w:p w14:paraId="7994BF2D">
            <w:pPr>
              <w:jc w:val="center"/>
              <w:rPr>
                <w:rFonts w:eastAsia="仿宋_GB2312"/>
                <w:color w:val="FF0000"/>
                <w:szCs w:val="21"/>
              </w:rPr>
            </w:pPr>
          </w:p>
        </w:tc>
        <w:tc>
          <w:tcPr>
            <w:tcW w:w="743" w:type="pct"/>
            <w:shd w:val="clear" w:color="auto" w:fill="auto"/>
            <w:vAlign w:val="center"/>
          </w:tcPr>
          <w:p w14:paraId="64465F46">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TP</w:t>
            </w:r>
          </w:p>
        </w:tc>
        <w:tc>
          <w:tcPr>
            <w:tcW w:w="757" w:type="pct"/>
            <w:shd w:val="clear" w:color="auto" w:fill="auto"/>
            <w:vAlign w:val="center"/>
          </w:tcPr>
          <w:p w14:paraId="04545A5B">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723" w:type="pct"/>
            <w:shd w:val="clear" w:color="auto" w:fill="auto"/>
            <w:vAlign w:val="center"/>
          </w:tcPr>
          <w:p w14:paraId="060AF994">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0.043</w:t>
            </w:r>
          </w:p>
        </w:tc>
        <w:tc>
          <w:tcPr>
            <w:tcW w:w="638" w:type="pct"/>
            <w:vMerge w:val="continue"/>
            <w:vAlign w:val="center"/>
          </w:tcPr>
          <w:p w14:paraId="3559BB8C">
            <w:pPr>
              <w:snapToGrid w:val="0"/>
              <w:spacing w:line="320" w:lineRule="exact"/>
              <w:jc w:val="center"/>
              <w:rPr>
                <w:rFonts w:eastAsia="仿宋_GB2312"/>
                <w:color w:val="FF0000"/>
                <w:szCs w:val="21"/>
              </w:rPr>
            </w:pPr>
          </w:p>
        </w:tc>
      </w:tr>
      <w:tr w14:paraId="29F262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628" w:type="pct"/>
            <w:vMerge w:val="restart"/>
            <w:vAlign w:val="center"/>
          </w:tcPr>
          <w:p w14:paraId="46BBF697">
            <w:pPr>
              <w:keepNext w:val="0"/>
              <w:keepLines w:val="0"/>
              <w:widowControl/>
              <w:suppressLineNumbers w:val="0"/>
              <w:jc w:val="center"/>
              <w:textAlignment w:val="center"/>
              <w:rPr>
                <w:rFonts w:eastAsia="仿宋_GB2312"/>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W3-9-1</w:t>
            </w:r>
          </w:p>
        </w:tc>
        <w:tc>
          <w:tcPr>
            <w:tcW w:w="731" w:type="pct"/>
            <w:vMerge w:val="restart"/>
            <w:vAlign w:val="center"/>
          </w:tcPr>
          <w:p w14:paraId="24B8A4AC">
            <w:pPr>
              <w:keepNext w:val="0"/>
              <w:keepLines w:val="0"/>
              <w:widowControl/>
              <w:suppressLineNumbers w:val="0"/>
              <w:jc w:val="center"/>
              <w:textAlignment w:val="center"/>
              <w:rPr>
                <w:rFonts w:eastAsia="仿宋_GB2312"/>
                <w:color w:val="FF0000"/>
                <w:szCs w:val="21"/>
              </w:rPr>
            </w:pPr>
            <w:r>
              <w:rPr>
                <w:rFonts w:hint="default" w:ascii="仿宋_GB2312" w:hAnsi="宋体" w:eastAsia="仿宋_GB2312" w:cs="仿宋_GB2312"/>
                <w:i w:val="0"/>
                <w:iCs w:val="0"/>
                <w:color w:val="000000"/>
                <w:kern w:val="0"/>
                <w:sz w:val="21"/>
                <w:szCs w:val="21"/>
                <w:u w:val="none"/>
                <w:lang w:val="en-US" w:eastAsia="zh-CN" w:bidi="ar"/>
              </w:rPr>
              <w:t>冷凝废水</w:t>
            </w:r>
          </w:p>
        </w:tc>
        <w:tc>
          <w:tcPr>
            <w:tcW w:w="776" w:type="pct"/>
            <w:vMerge w:val="restart"/>
            <w:vAlign w:val="center"/>
          </w:tcPr>
          <w:p w14:paraId="06C10DEC">
            <w:pPr>
              <w:keepNext w:val="0"/>
              <w:keepLines w:val="0"/>
              <w:widowControl/>
              <w:suppressLineNumbers w:val="0"/>
              <w:jc w:val="center"/>
              <w:textAlignment w:val="center"/>
              <w:rPr>
                <w:rFonts w:eastAsia="仿宋_GB2312"/>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619.907</w:t>
            </w:r>
          </w:p>
        </w:tc>
        <w:tc>
          <w:tcPr>
            <w:tcW w:w="743" w:type="pct"/>
            <w:shd w:val="clear" w:color="auto" w:fill="auto"/>
            <w:vAlign w:val="center"/>
          </w:tcPr>
          <w:p w14:paraId="01816B5E">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COD</w:t>
            </w:r>
          </w:p>
        </w:tc>
        <w:tc>
          <w:tcPr>
            <w:tcW w:w="757" w:type="pct"/>
            <w:shd w:val="clear" w:color="auto" w:fill="auto"/>
            <w:vAlign w:val="center"/>
          </w:tcPr>
          <w:p w14:paraId="6973774C">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22101</w:t>
            </w:r>
          </w:p>
        </w:tc>
        <w:tc>
          <w:tcPr>
            <w:tcW w:w="723" w:type="pct"/>
            <w:shd w:val="clear" w:color="auto" w:fill="auto"/>
            <w:vAlign w:val="center"/>
          </w:tcPr>
          <w:p w14:paraId="2D1BE2BC">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13.7</w:t>
            </w:r>
          </w:p>
        </w:tc>
        <w:tc>
          <w:tcPr>
            <w:tcW w:w="638" w:type="pct"/>
            <w:vMerge w:val="continue"/>
            <w:vAlign w:val="center"/>
          </w:tcPr>
          <w:p w14:paraId="48A9E7F3">
            <w:pPr>
              <w:snapToGrid w:val="0"/>
              <w:spacing w:line="320" w:lineRule="exact"/>
              <w:jc w:val="center"/>
              <w:rPr>
                <w:rFonts w:eastAsia="仿宋_GB2312"/>
                <w:color w:val="FF0000"/>
                <w:szCs w:val="21"/>
              </w:rPr>
            </w:pPr>
          </w:p>
        </w:tc>
      </w:tr>
      <w:tr w14:paraId="2715805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628" w:type="pct"/>
            <w:vMerge w:val="continue"/>
            <w:vAlign w:val="center"/>
          </w:tcPr>
          <w:p w14:paraId="464F7E02">
            <w:pPr>
              <w:jc w:val="center"/>
              <w:rPr>
                <w:rFonts w:eastAsia="仿宋_GB2312"/>
                <w:color w:val="FF0000"/>
                <w:szCs w:val="21"/>
              </w:rPr>
            </w:pPr>
          </w:p>
        </w:tc>
        <w:tc>
          <w:tcPr>
            <w:tcW w:w="731" w:type="pct"/>
            <w:vMerge w:val="continue"/>
            <w:vAlign w:val="center"/>
          </w:tcPr>
          <w:p w14:paraId="02D2C1C0">
            <w:pPr>
              <w:jc w:val="center"/>
              <w:rPr>
                <w:rFonts w:eastAsia="仿宋_GB2312"/>
                <w:color w:val="FF0000"/>
                <w:szCs w:val="21"/>
              </w:rPr>
            </w:pPr>
          </w:p>
        </w:tc>
        <w:tc>
          <w:tcPr>
            <w:tcW w:w="776" w:type="pct"/>
            <w:vMerge w:val="continue"/>
            <w:vAlign w:val="center"/>
          </w:tcPr>
          <w:p w14:paraId="0486394F">
            <w:pPr>
              <w:jc w:val="center"/>
              <w:rPr>
                <w:rFonts w:eastAsia="仿宋_GB2312"/>
                <w:color w:val="FF0000"/>
                <w:szCs w:val="21"/>
              </w:rPr>
            </w:pPr>
          </w:p>
        </w:tc>
        <w:tc>
          <w:tcPr>
            <w:tcW w:w="743" w:type="pct"/>
            <w:shd w:val="clear" w:color="auto" w:fill="auto"/>
            <w:vAlign w:val="center"/>
          </w:tcPr>
          <w:p w14:paraId="0B069E6F">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NH</w:t>
            </w:r>
            <w:r>
              <w:rPr>
                <w:rFonts w:hint="default" w:ascii="Times New Roman" w:hAnsi="Times New Roman" w:eastAsia="宋体" w:cs="Times New Roman"/>
                <w:i w:val="0"/>
                <w:iCs w:val="0"/>
                <w:color w:val="000000"/>
                <w:kern w:val="0"/>
                <w:sz w:val="21"/>
                <w:szCs w:val="21"/>
                <w:u w:val="none"/>
                <w:vertAlign w:val="subscript"/>
                <w:lang w:val="en-US" w:eastAsia="zh-CN" w:bidi="ar"/>
              </w:rPr>
              <w:t>3</w:t>
            </w:r>
            <w:r>
              <w:rPr>
                <w:rFonts w:hint="default" w:ascii="Times New Roman" w:hAnsi="Times New Roman" w:eastAsia="宋体" w:cs="Times New Roman"/>
                <w:i w:val="0"/>
                <w:iCs w:val="0"/>
                <w:color w:val="000000"/>
                <w:kern w:val="0"/>
                <w:sz w:val="21"/>
                <w:szCs w:val="21"/>
                <w:u w:val="none"/>
                <w:lang w:val="en-US" w:eastAsia="zh-CN" w:bidi="ar"/>
              </w:rPr>
              <w:t>-N</w:t>
            </w:r>
          </w:p>
        </w:tc>
        <w:tc>
          <w:tcPr>
            <w:tcW w:w="757" w:type="pct"/>
            <w:shd w:val="clear" w:color="auto" w:fill="auto"/>
            <w:vAlign w:val="center"/>
          </w:tcPr>
          <w:p w14:paraId="106DA169">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30</w:t>
            </w:r>
          </w:p>
        </w:tc>
        <w:tc>
          <w:tcPr>
            <w:tcW w:w="723" w:type="pct"/>
            <w:shd w:val="clear" w:color="auto" w:fill="auto"/>
            <w:vAlign w:val="center"/>
          </w:tcPr>
          <w:p w14:paraId="57F1F40F">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0.018</w:t>
            </w:r>
          </w:p>
        </w:tc>
        <w:tc>
          <w:tcPr>
            <w:tcW w:w="638" w:type="pct"/>
            <w:vMerge w:val="continue"/>
            <w:vAlign w:val="center"/>
          </w:tcPr>
          <w:p w14:paraId="737FB604">
            <w:pPr>
              <w:snapToGrid w:val="0"/>
              <w:spacing w:line="320" w:lineRule="exact"/>
              <w:jc w:val="center"/>
              <w:rPr>
                <w:rFonts w:eastAsia="仿宋_GB2312"/>
                <w:color w:val="FF0000"/>
                <w:szCs w:val="21"/>
              </w:rPr>
            </w:pPr>
          </w:p>
        </w:tc>
      </w:tr>
      <w:tr w14:paraId="64FFBA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628" w:type="pct"/>
            <w:vMerge w:val="continue"/>
            <w:vAlign w:val="center"/>
          </w:tcPr>
          <w:p w14:paraId="66F079A7">
            <w:pPr>
              <w:jc w:val="center"/>
              <w:rPr>
                <w:rFonts w:eastAsia="仿宋_GB2312"/>
                <w:color w:val="FF0000"/>
                <w:szCs w:val="21"/>
              </w:rPr>
            </w:pPr>
          </w:p>
        </w:tc>
        <w:tc>
          <w:tcPr>
            <w:tcW w:w="731" w:type="pct"/>
            <w:vMerge w:val="continue"/>
            <w:vAlign w:val="center"/>
          </w:tcPr>
          <w:p w14:paraId="6F5D6477">
            <w:pPr>
              <w:jc w:val="center"/>
              <w:rPr>
                <w:rFonts w:eastAsia="仿宋_GB2312"/>
                <w:color w:val="FF0000"/>
                <w:szCs w:val="21"/>
              </w:rPr>
            </w:pPr>
          </w:p>
        </w:tc>
        <w:tc>
          <w:tcPr>
            <w:tcW w:w="776" w:type="pct"/>
            <w:vMerge w:val="continue"/>
            <w:vAlign w:val="center"/>
          </w:tcPr>
          <w:p w14:paraId="08714F3D">
            <w:pPr>
              <w:jc w:val="center"/>
              <w:rPr>
                <w:rFonts w:eastAsia="仿宋_GB2312"/>
                <w:color w:val="FF0000"/>
                <w:szCs w:val="21"/>
              </w:rPr>
            </w:pPr>
          </w:p>
        </w:tc>
        <w:tc>
          <w:tcPr>
            <w:tcW w:w="743" w:type="pct"/>
            <w:shd w:val="clear" w:color="auto" w:fill="auto"/>
            <w:vAlign w:val="center"/>
          </w:tcPr>
          <w:p w14:paraId="3D3DF36F">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TN</w:t>
            </w:r>
          </w:p>
        </w:tc>
        <w:tc>
          <w:tcPr>
            <w:tcW w:w="757" w:type="pct"/>
            <w:shd w:val="clear" w:color="auto" w:fill="auto"/>
            <w:vAlign w:val="center"/>
          </w:tcPr>
          <w:p w14:paraId="1DAEB5F9">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1752</w:t>
            </w:r>
          </w:p>
        </w:tc>
        <w:tc>
          <w:tcPr>
            <w:tcW w:w="723" w:type="pct"/>
            <w:shd w:val="clear" w:color="auto" w:fill="auto"/>
            <w:vAlign w:val="center"/>
          </w:tcPr>
          <w:p w14:paraId="3076EA79">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1.086</w:t>
            </w:r>
          </w:p>
        </w:tc>
        <w:tc>
          <w:tcPr>
            <w:tcW w:w="638" w:type="pct"/>
            <w:vMerge w:val="continue"/>
            <w:vAlign w:val="center"/>
          </w:tcPr>
          <w:p w14:paraId="75701E53">
            <w:pPr>
              <w:snapToGrid w:val="0"/>
              <w:spacing w:line="320" w:lineRule="exact"/>
              <w:jc w:val="center"/>
              <w:rPr>
                <w:rFonts w:eastAsia="仿宋_GB2312"/>
                <w:color w:val="FF0000"/>
                <w:szCs w:val="21"/>
              </w:rPr>
            </w:pPr>
          </w:p>
        </w:tc>
      </w:tr>
      <w:tr w14:paraId="122450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628" w:type="pct"/>
            <w:vMerge w:val="continue"/>
            <w:vAlign w:val="center"/>
          </w:tcPr>
          <w:p w14:paraId="0C07D562">
            <w:pPr>
              <w:jc w:val="center"/>
              <w:rPr>
                <w:rFonts w:eastAsia="仿宋_GB2312"/>
                <w:color w:val="FF0000"/>
                <w:szCs w:val="21"/>
              </w:rPr>
            </w:pPr>
          </w:p>
        </w:tc>
        <w:tc>
          <w:tcPr>
            <w:tcW w:w="731" w:type="pct"/>
            <w:vMerge w:val="continue"/>
            <w:vAlign w:val="center"/>
          </w:tcPr>
          <w:p w14:paraId="1579EA22">
            <w:pPr>
              <w:jc w:val="center"/>
              <w:rPr>
                <w:rFonts w:eastAsia="仿宋_GB2312"/>
                <w:color w:val="FF0000"/>
                <w:szCs w:val="21"/>
              </w:rPr>
            </w:pPr>
          </w:p>
        </w:tc>
        <w:tc>
          <w:tcPr>
            <w:tcW w:w="776" w:type="pct"/>
            <w:vMerge w:val="continue"/>
            <w:vAlign w:val="center"/>
          </w:tcPr>
          <w:p w14:paraId="31E41DEE">
            <w:pPr>
              <w:jc w:val="center"/>
              <w:rPr>
                <w:rFonts w:eastAsia="仿宋_GB2312"/>
                <w:color w:val="FF0000"/>
                <w:szCs w:val="21"/>
              </w:rPr>
            </w:pPr>
          </w:p>
        </w:tc>
        <w:tc>
          <w:tcPr>
            <w:tcW w:w="743" w:type="pct"/>
            <w:shd w:val="clear" w:color="auto" w:fill="auto"/>
            <w:vAlign w:val="center"/>
          </w:tcPr>
          <w:p w14:paraId="01210FDB">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TP</w:t>
            </w:r>
          </w:p>
        </w:tc>
        <w:tc>
          <w:tcPr>
            <w:tcW w:w="757" w:type="pct"/>
            <w:shd w:val="clear" w:color="auto" w:fill="auto"/>
            <w:vAlign w:val="center"/>
          </w:tcPr>
          <w:p w14:paraId="78D3441C">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723" w:type="pct"/>
            <w:shd w:val="clear" w:color="auto" w:fill="auto"/>
            <w:vAlign w:val="center"/>
          </w:tcPr>
          <w:p w14:paraId="29F674B1">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0.002</w:t>
            </w:r>
          </w:p>
        </w:tc>
        <w:tc>
          <w:tcPr>
            <w:tcW w:w="638" w:type="pct"/>
            <w:vMerge w:val="continue"/>
            <w:vAlign w:val="center"/>
          </w:tcPr>
          <w:p w14:paraId="4829A0E5">
            <w:pPr>
              <w:snapToGrid w:val="0"/>
              <w:spacing w:line="320" w:lineRule="exact"/>
              <w:jc w:val="center"/>
              <w:rPr>
                <w:rFonts w:eastAsia="仿宋_GB2312"/>
                <w:color w:val="FF0000"/>
                <w:szCs w:val="21"/>
              </w:rPr>
            </w:pPr>
          </w:p>
        </w:tc>
      </w:tr>
      <w:tr w14:paraId="3608D9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628" w:type="pct"/>
            <w:vMerge w:val="restart"/>
            <w:vAlign w:val="center"/>
          </w:tcPr>
          <w:p w14:paraId="62C55B6E">
            <w:pPr>
              <w:keepNext w:val="0"/>
              <w:keepLines w:val="0"/>
              <w:widowControl/>
              <w:suppressLineNumbers w:val="0"/>
              <w:jc w:val="center"/>
              <w:textAlignment w:val="center"/>
              <w:rPr>
                <w:rFonts w:eastAsia="仿宋_GB2312"/>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W3-10-1</w:t>
            </w:r>
          </w:p>
        </w:tc>
        <w:tc>
          <w:tcPr>
            <w:tcW w:w="731" w:type="pct"/>
            <w:vMerge w:val="restart"/>
            <w:vAlign w:val="center"/>
          </w:tcPr>
          <w:p w14:paraId="24BC2BFB">
            <w:pPr>
              <w:keepNext w:val="0"/>
              <w:keepLines w:val="0"/>
              <w:widowControl/>
              <w:suppressLineNumbers w:val="0"/>
              <w:jc w:val="center"/>
              <w:textAlignment w:val="center"/>
              <w:rPr>
                <w:rFonts w:eastAsia="仿宋_GB2312"/>
                <w:color w:val="FF0000"/>
                <w:szCs w:val="21"/>
              </w:rPr>
            </w:pPr>
            <w:r>
              <w:rPr>
                <w:rFonts w:hint="default" w:ascii="仿宋_GB2312" w:hAnsi="宋体" w:eastAsia="仿宋_GB2312" w:cs="仿宋_GB2312"/>
                <w:i w:val="0"/>
                <w:iCs w:val="0"/>
                <w:color w:val="000000"/>
                <w:kern w:val="0"/>
                <w:sz w:val="21"/>
                <w:szCs w:val="21"/>
                <w:u w:val="none"/>
                <w:lang w:val="en-US" w:eastAsia="zh-CN" w:bidi="ar"/>
              </w:rPr>
              <w:t>冷凝废水</w:t>
            </w:r>
          </w:p>
        </w:tc>
        <w:tc>
          <w:tcPr>
            <w:tcW w:w="776" w:type="pct"/>
            <w:vMerge w:val="restart"/>
            <w:vAlign w:val="center"/>
          </w:tcPr>
          <w:p w14:paraId="64771E5E">
            <w:pPr>
              <w:keepNext w:val="0"/>
              <w:keepLines w:val="0"/>
              <w:widowControl/>
              <w:suppressLineNumbers w:val="0"/>
              <w:jc w:val="center"/>
              <w:textAlignment w:val="center"/>
              <w:rPr>
                <w:rFonts w:eastAsia="仿宋_GB2312"/>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82.891</w:t>
            </w:r>
          </w:p>
        </w:tc>
        <w:tc>
          <w:tcPr>
            <w:tcW w:w="743" w:type="pct"/>
            <w:shd w:val="clear" w:color="auto" w:fill="auto"/>
            <w:vAlign w:val="center"/>
          </w:tcPr>
          <w:p w14:paraId="52CB943A">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COD</w:t>
            </w:r>
          </w:p>
        </w:tc>
        <w:tc>
          <w:tcPr>
            <w:tcW w:w="757" w:type="pct"/>
            <w:shd w:val="clear" w:color="auto" w:fill="auto"/>
            <w:vAlign w:val="center"/>
          </w:tcPr>
          <w:p w14:paraId="56E0044F">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31970</w:t>
            </w:r>
          </w:p>
        </w:tc>
        <w:tc>
          <w:tcPr>
            <w:tcW w:w="723" w:type="pct"/>
            <w:shd w:val="clear" w:color="auto" w:fill="auto"/>
            <w:vAlign w:val="center"/>
          </w:tcPr>
          <w:p w14:paraId="4B007803">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2.65</w:t>
            </w:r>
          </w:p>
        </w:tc>
        <w:tc>
          <w:tcPr>
            <w:tcW w:w="638" w:type="pct"/>
            <w:vMerge w:val="continue"/>
            <w:vAlign w:val="center"/>
          </w:tcPr>
          <w:p w14:paraId="188784CA">
            <w:pPr>
              <w:snapToGrid w:val="0"/>
              <w:spacing w:line="320" w:lineRule="exact"/>
              <w:jc w:val="center"/>
              <w:rPr>
                <w:rFonts w:eastAsia="仿宋_GB2312"/>
                <w:color w:val="FF0000"/>
                <w:szCs w:val="21"/>
              </w:rPr>
            </w:pPr>
          </w:p>
        </w:tc>
      </w:tr>
      <w:tr w14:paraId="3150408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628" w:type="pct"/>
            <w:vMerge w:val="continue"/>
            <w:vAlign w:val="center"/>
          </w:tcPr>
          <w:p w14:paraId="3DD60DC1">
            <w:pPr>
              <w:jc w:val="center"/>
              <w:rPr>
                <w:rFonts w:eastAsia="仿宋_GB2312"/>
                <w:color w:val="FF0000"/>
                <w:szCs w:val="21"/>
              </w:rPr>
            </w:pPr>
          </w:p>
        </w:tc>
        <w:tc>
          <w:tcPr>
            <w:tcW w:w="731" w:type="pct"/>
            <w:vMerge w:val="continue"/>
            <w:vAlign w:val="center"/>
          </w:tcPr>
          <w:p w14:paraId="36AB4642">
            <w:pPr>
              <w:jc w:val="center"/>
              <w:rPr>
                <w:rFonts w:eastAsia="仿宋_GB2312"/>
                <w:color w:val="FF0000"/>
                <w:szCs w:val="21"/>
              </w:rPr>
            </w:pPr>
          </w:p>
        </w:tc>
        <w:tc>
          <w:tcPr>
            <w:tcW w:w="776" w:type="pct"/>
            <w:vMerge w:val="continue"/>
            <w:vAlign w:val="center"/>
          </w:tcPr>
          <w:p w14:paraId="11CDAEEE">
            <w:pPr>
              <w:jc w:val="center"/>
              <w:rPr>
                <w:rFonts w:eastAsia="仿宋_GB2312"/>
                <w:color w:val="FF0000"/>
                <w:szCs w:val="21"/>
              </w:rPr>
            </w:pPr>
          </w:p>
        </w:tc>
        <w:tc>
          <w:tcPr>
            <w:tcW w:w="743" w:type="pct"/>
            <w:shd w:val="clear" w:color="auto" w:fill="auto"/>
            <w:vAlign w:val="center"/>
          </w:tcPr>
          <w:p w14:paraId="57362D83">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NH</w:t>
            </w:r>
            <w:r>
              <w:rPr>
                <w:rFonts w:hint="default" w:ascii="Times New Roman" w:hAnsi="Times New Roman" w:eastAsia="宋体" w:cs="Times New Roman"/>
                <w:i w:val="0"/>
                <w:iCs w:val="0"/>
                <w:color w:val="000000"/>
                <w:kern w:val="0"/>
                <w:sz w:val="21"/>
                <w:szCs w:val="21"/>
                <w:u w:val="none"/>
                <w:vertAlign w:val="subscript"/>
                <w:lang w:val="en-US" w:eastAsia="zh-CN" w:bidi="ar"/>
              </w:rPr>
              <w:t>3</w:t>
            </w:r>
            <w:r>
              <w:rPr>
                <w:rFonts w:hint="default" w:ascii="Times New Roman" w:hAnsi="Times New Roman" w:eastAsia="宋体" w:cs="Times New Roman"/>
                <w:i w:val="0"/>
                <w:iCs w:val="0"/>
                <w:color w:val="000000"/>
                <w:kern w:val="0"/>
                <w:sz w:val="21"/>
                <w:szCs w:val="21"/>
                <w:u w:val="none"/>
                <w:lang w:val="en-US" w:eastAsia="zh-CN" w:bidi="ar"/>
              </w:rPr>
              <w:t>-N</w:t>
            </w:r>
          </w:p>
        </w:tc>
        <w:tc>
          <w:tcPr>
            <w:tcW w:w="757" w:type="pct"/>
            <w:shd w:val="clear" w:color="auto" w:fill="auto"/>
            <w:vAlign w:val="center"/>
          </w:tcPr>
          <w:p w14:paraId="211EBB91">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30</w:t>
            </w:r>
          </w:p>
        </w:tc>
        <w:tc>
          <w:tcPr>
            <w:tcW w:w="723" w:type="pct"/>
            <w:shd w:val="clear" w:color="auto" w:fill="auto"/>
            <w:vAlign w:val="center"/>
          </w:tcPr>
          <w:p w14:paraId="0B811C32">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0.002</w:t>
            </w:r>
          </w:p>
        </w:tc>
        <w:tc>
          <w:tcPr>
            <w:tcW w:w="638" w:type="pct"/>
            <w:vMerge w:val="continue"/>
            <w:vAlign w:val="center"/>
          </w:tcPr>
          <w:p w14:paraId="425813B7">
            <w:pPr>
              <w:snapToGrid w:val="0"/>
              <w:spacing w:line="320" w:lineRule="exact"/>
              <w:jc w:val="center"/>
              <w:rPr>
                <w:rFonts w:eastAsia="仿宋_GB2312"/>
                <w:color w:val="FF0000"/>
                <w:szCs w:val="21"/>
              </w:rPr>
            </w:pPr>
          </w:p>
        </w:tc>
      </w:tr>
      <w:tr w14:paraId="2927E81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628" w:type="pct"/>
            <w:vMerge w:val="continue"/>
            <w:vAlign w:val="center"/>
          </w:tcPr>
          <w:p w14:paraId="7FFE6525">
            <w:pPr>
              <w:jc w:val="center"/>
              <w:rPr>
                <w:rFonts w:eastAsia="仿宋_GB2312"/>
                <w:color w:val="FF0000"/>
                <w:szCs w:val="21"/>
              </w:rPr>
            </w:pPr>
          </w:p>
        </w:tc>
        <w:tc>
          <w:tcPr>
            <w:tcW w:w="731" w:type="pct"/>
            <w:vMerge w:val="continue"/>
            <w:vAlign w:val="center"/>
          </w:tcPr>
          <w:p w14:paraId="2F837E9D">
            <w:pPr>
              <w:jc w:val="center"/>
              <w:rPr>
                <w:rFonts w:eastAsia="仿宋_GB2312"/>
                <w:color w:val="FF0000"/>
                <w:szCs w:val="21"/>
              </w:rPr>
            </w:pPr>
          </w:p>
        </w:tc>
        <w:tc>
          <w:tcPr>
            <w:tcW w:w="776" w:type="pct"/>
            <w:vMerge w:val="continue"/>
            <w:vAlign w:val="center"/>
          </w:tcPr>
          <w:p w14:paraId="7A2060D7">
            <w:pPr>
              <w:jc w:val="center"/>
              <w:rPr>
                <w:rFonts w:eastAsia="仿宋_GB2312"/>
                <w:color w:val="FF0000"/>
                <w:szCs w:val="21"/>
              </w:rPr>
            </w:pPr>
          </w:p>
        </w:tc>
        <w:tc>
          <w:tcPr>
            <w:tcW w:w="743" w:type="pct"/>
            <w:shd w:val="clear" w:color="auto" w:fill="auto"/>
            <w:vAlign w:val="center"/>
          </w:tcPr>
          <w:p w14:paraId="3B0681D7">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TN</w:t>
            </w:r>
          </w:p>
        </w:tc>
        <w:tc>
          <w:tcPr>
            <w:tcW w:w="757" w:type="pct"/>
            <w:shd w:val="clear" w:color="auto" w:fill="auto"/>
            <w:vAlign w:val="center"/>
          </w:tcPr>
          <w:p w14:paraId="57526546">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45</w:t>
            </w:r>
          </w:p>
        </w:tc>
        <w:tc>
          <w:tcPr>
            <w:tcW w:w="723" w:type="pct"/>
            <w:shd w:val="clear" w:color="auto" w:fill="auto"/>
            <w:vAlign w:val="center"/>
          </w:tcPr>
          <w:p w14:paraId="16DE3AFC">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0.003</w:t>
            </w:r>
          </w:p>
        </w:tc>
        <w:tc>
          <w:tcPr>
            <w:tcW w:w="638" w:type="pct"/>
            <w:vMerge w:val="continue"/>
            <w:vAlign w:val="center"/>
          </w:tcPr>
          <w:p w14:paraId="2B148949">
            <w:pPr>
              <w:snapToGrid w:val="0"/>
              <w:spacing w:line="320" w:lineRule="exact"/>
              <w:jc w:val="center"/>
              <w:rPr>
                <w:rFonts w:eastAsia="仿宋_GB2312"/>
                <w:color w:val="FF0000"/>
                <w:szCs w:val="21"/>
              </w:rPr>
            </w:pPr>
          </w:p>
        </w:tc>
      </w:tr>
      <w:tr w14:paraId="1B14E5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628" w:type="pct"/>
            <w:vMerge w:val="continue"/>
            <w:vAlign w:val="center"/>
          </w:tcPr>
          <w:p w14:paraId="5E838635">
            <w:pPr>
              <w:jc w:val="center"/>
              <w:rPr>
                <w:rFonts w:eastAsia="仿宋_GB2312"/>
                <w:color w:val="FF0000"/>
                <w:szCs w:val="21"/>
              </w:rPr>
            </w:pPr>
          </w:p>
        </w:tc>
        <w:tc>
          <w:tcPr>
            <w:tcW w:w="731" w:type="pct"/>
            <w:vMerge w:val="continue"/>
            <w:vAlign w:val="center"/>
          </w:tcPr>
          <w:p w14:paraId="265DFD76">
            <w:pPr>
              <w:jc w:val="center"/>
              <w:rPr>
                <w:rFonts w:eastAsia="仿宋_GB2312"/>
                <w:color w:val="FF0000"/>
                <w:szCs w:val="21"/>
              </w:rPr>
            </w:pPr>
          </w:p>
        </w:tc>
        <w:tc>
          <w:tcPr>
            <w:tcW w:w="776" w:type="pct"/>
            <w:vMerge w:val="continue"/>
            <w:vAlign w:val="center"/>
          </w:tcPr>
          <w:p w14:paraId="258304B9">
            <w:pPr>
              <w:jc w:val="center"/>
              <w:rPr>
                <w:rFonts w:eastAsia="仿宋_GB2312"/>
                <w:color w:val="FF0000"/>
                <w:szCs w:val="21"/>
              </w:rPr>
            </w:pPr>
          </w:p>
        </w:tc>
        <w:tc>
          <w:tcPr>
            <w:tcW w:w="743" w:type="pct"/>
            <w:shd w:val="clear" w:color="auto" w:fill="auto"/>
            <w:vAlign w:val="center"/>
          </w:tcPr>
          <w:p w14:paraId="6B6380BD">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TP</w:t>
            </w:r>
          </w:p>
        </w:tc>
        <w:tc>
          <w:tcPr>
            <w:tcW w:w="757" w:type="pct"/>
            <w:shd w:val="clear" w:color="auto" w:fill="auto"/>
            <w:vAlign w:val="center"/>
          </w:tcPr>
          <w:p w14:paraId="04346BEC">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723" w:type="pct"/>
            <w:shd w:val="clear" w:color="auto" w:fill="auto"/>
            <w:vAlign w:val="center"/>
          </w:tcPr>
          <w:p w14:paraId="3CF7381C">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0.0002</w:t>
            </w:r>
          </w:p>
        </w:tc>
        <w:tc>
          <w:tcPr>
            <w:tcW w:w="638" w:type="pct"/>
            <w:vMerge w:val="continue"/>
            <w:vAlign w:val="center"/>
          </w:tcPr>
          <w:p w14:paraId="09585946">
            <w:pPr>
              <w:snapToGrid w:val="0"/>
              <w:spacing w:line="320" w:lineRule="exact"/>
              <w:jc w:val="center"/>
              <w:rPr>
                <w:rFonts w:eastAsia="仿宋_GB2312"/>
                <w:color w:val="FF0000"/>
                <w:szCs w:val="21"/>
              </w:rPr>
            </w:pPr>
          </w:p>
        </w:tc>
      </w:tr>
      <w:tr w14:paraId="4E6909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628" w:type="pct"/>
            <w:vMerge w:val="restart"/>
            <w:vAlign w:val="center"/>
          </w:tcPr>
          <w:p w14:paraId="4FFC780C">
            <w:pPr>
              <w:keepNext w:val="0"/>
              <w:keepLines w:val="0"/>
              <w:widowControl/>
              <w:suppressLineNumbers w:val="0"/>
              <w:jc w:val="center"/>
              <w:textAlignment w:val="center"/>
              <w:rPr>
                <w:rFonts w:eastAsia="仿宋_GB2312"/>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W3-11-1</w:t>
            </w:r>
          </w:p>
        </w:tc>
        <w:tc>
          <w:tcPr>
            <w:tcW w:w="731" w:type="pct"/>
            <w:vMerge w:val="restart"/>
            <w:vAlign w:val="center"/>
          </w:tcPr>
          <w:p w14:paraId="371CD6A1">
            <w:pPr>
              <w:keepNext w:val="0"/>
              <w:keepLines w:val="0"/>
              <w:widowControl/>
              <w:suppressLineNumbers w:val="0"/>
              <w:jc w:val="center"/>
              <w:textAlignment w:val="center"/>
              <w:rPr>
                <w:rFonts w:eastAsia="仿宋_GB2312"/>
                <w:color w:val="FF0000"/>
                <w:szCs w:val="21"/>
              </w:rPr>
            </w:pPr>
            <w:r>
              <w:rPr>
                <w:rFonts w:hint="default" w:ascii="仿宋_GB2312" w:hAnsi="宋体" w:eastAsia="仿宋_GB2312" w:cs="仿宋_GB2312"/>
                <w:i w:val="0"/>
                <w:iCs w:val="0"/>
                <w:color w:val="000000"/>
                <w:kern w:val="0"/>
                <w:sz w:val="21"/>
                <w:szCs w:val="21"/>
                <w:u w:val="none"/>
                <w:lang w:val="en-US" w:eastAsia="zh-CN" w:bidi="ar"/>
              </w:rPr>
              <w:t>冷凝废水</w:t>
            </w:r>
          </w:p>
        </w:tc>
        <w:tc>
          <w:tcPr>
            <w:tcW w:w="776" w:type="pct"/>
            <w:vMerge w:val="restart"/>
            <w:vAlign w:val="center"/>
          </w:tcPr>
          <w:p w14:paraId="595CB198">
            <w:pPr>
              <w:keepNext w:val="0"/>
              <w:keepLines w:val="0"/>
              <w:widowControl/>
              <w:suppressLineNumbers w:val="0"/>
              <w:jc w:val="center"/>
              <w:textAlignment w:val="center"/>
              <w:rPr>
                <w:rFonts w:eastAsia="仿宋_GB2312"/>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226.963</w:t>
            </w:r>
          </w:p>
        </w:tc>
        <w:tc>
          <w:tcPr>
            <w:tcW w:w="743" w:type="pct"/>
            <w:shd w:val="clear" w:color="auto" w:fill="auto"/>
            <w:vAlign w:val="center"/>
          </w:tcPr>
          <w:p w14:paraId="2DED1AF8">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COD</w:t>
            </w:r>
          </w:p>
        </w:tc>
        <w:tc>
          <w:tcPr>
            <w:tcW w:w="757" w:type="pct"/>
            <w:shd w:val="clear" w:color="auto" w:fill="auto"/>
            <w:vAlign w:val="center"/>
          </w:tcPr>
          <w:p w14:paraId="277DCD59">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29432</w:t>
            </w:r>
          </w:p>
        </w:tc>
        <w:tc>
          <w:tcPr>
            <w:tcW w:w="723" w:type="pct"/>
            <w:shd w:val="clear" w:color="auto" w:fill="auto"/>
            <w:vAlign w:val="center"/>
          </w:tcPr>
          <w:p w14:paraId="7ACEACD2">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6.68</w:t>
            </w:r>
          </w:p>
        </w:tc>
        <w:tc>
          <w:tcPr>
            <w:tcW w:w="638" w:type="pct"/>
            <w:vMerge w:val="continue"/>
            <w:vAlign w:val="center"/>
          </w:tcPr>
          <w:p w14:paraId="2D320DA2">
            <w:pPr>
              <w:snapToGrid w:val="0"/>
              <w:spacing w:line="320" w:lineRule="exact"/>
              <w:jc w:val="center"/>
              <w:rPr>
                <w:rFonts w:eastAsia="仿宋_GB2312"/>
                <w:color w:val="FF0000"/>
                <w:szCs w:val="21"/>
              </w:rPr>
            </w:pPr>
          </w:p>
        </w:tc>
      </w:tr>
      <w:tr w14:paraId="3160C1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628" w:type="pct"/>
            <w:vMerge w:val="continue"/>
            <w:vAlign w:val="center"/>
          </w:tcPr>
          <w:p w14:paraId="400ADDFE">
            <w:pPr>
              <w:jc w:val="center"/>
              <w:rPr>
                <w:rFonts w:eastAsia="仿宋_GB2312"/>
                <w:color w:val="FF0000"/>
                <w:szCs w:val="21"/>
              </w:rPr>
            </w:pPr>
          </w:p>
        </w:tc>
        <w:tc>
          <w:tcPr>
            <w:tcW w:w="731" w:type="pct"/>
            <w:vMerge w:val="continue"/>
            <w:vAlign w:val="center"/>
          </w:tcPr>
          <w:p w14:paraId="2F8990F6">
            <w:pPr>
              <w:jc w:val="center"/>
              <w:rPr>
                <w:rFonts w:eastAsia="仿宋_GB2312"/>
                <w:color w:val="FF0000"/>
                <w:szCs w:val="21"/>
              </w:rPr>
            </w:pPr>
          </w:p>
        </w:tc>
        <w:tc>
          <w:tcPr>
            <w:tcW w:w="776" w:type="pct"/>
            <w:vMerge w:val="continue"/>
            <w:vAlign w:val="center"/>
          </w:tcPr>
          <w:p w14:paraId="4356B8DA">
            <w:pPr>
              <w:jc w:val="center"/>
              <w:rPr>
                <w:rFonts w:eastAsia="仿宋_GB2312"/>
                <w:color w:val="FF0000"/>
                <w:szCs w:val="21"/>
              </w:rPr>
            </w:pPr>
          </w:p>
        </w:tc>
        <w:tc>
          <w:tcPr>
            <w:tcW w:w="743" w:type="pct"/>
            <w:shd w:val="clear" w:color="auto" w:fill="auto"/>
            <w:vAlign w:val="center"/>
          </w:tcPr>
          <w:p w14:paraId="21D04FEE">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NH</w:t>
            </w:r>
            <w:r>
              <w:rPr>
                <w:rFonts w:hint="default" w:ascii="Times New Roman" w:hAnsi="Times New Roman" w:eastAsia="宋体" w:cs="Times New Roman"/>
                <w:i w:val="0"/>
                <w:iCs w:val="0"/>
                <w:color w:val="000000"/>
                <w:kern w:val="0"/>
                <w:sz w:val="21"/>
                <w:szCs w:val="21"/>
                <w:u w:val="none"/>
                <w:vertAlign w:val="subscript"/>
                <w:lang w:val="en-US" w:eastAsia="zh-CN" w:bidi="ar"/>
              </w:rPr>
              <w:t>3</w:t>
            </w:r>
            <w:r>
              <w:rPr>
                <w:rFonts w:hint="default" w:ascii="Times New Roman" w:hAnsi="Times New Roman" w:eastAsia="宋体" w:cs="Times New Roman"/>
                <w:i w:val="0"/>
                <w:iCs w:val="0"/>
                <w:color w:val="000000"/>
                <w:kern w:val="0"/>
                <w:sz w:val="21"/>
                <w:szCs w:val="21"/>
                <w:u w:val="none"/>
                <w:lang w:val="en-US" w:eastAsia="zh-CN" w:bidi="ar"/>
              </w:rPr>
              <w:t>-N</w:t>
            </w:r>
          </w:p>
        </w:tc>
        <w:tc>
          <w:tcPr>
            <w:tcW w:w="757" w:type="pct"/>
            <w:shd w:val="clear" w:color="auto" w:fill="auto"/>
            <w:vAlign w:val="center"/>
          </w:tcPr>
          <w:p w14:paraId="14E19DF5">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30</w:t>
            </w:r>
          </w:p>
        </w:tc>
        <w:tc>
          <w:tcPr>
            <w:tcW w:w="723" w:type="pct"/>
            <w:shd w:val="clear" w:color="auto" w:fill="auto"/>
            <w:vAlign w:val="center"/>
          </w:tcPr>
          <w:p w14:paraId="69D9D996">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0.007</w:t>
            </w:r>
          </w:p>
        </w:tc>
        <w:tc>
          <w:tcPr>
            <w:tcW w:w="638" w:type="pct"/>
            <w:vMerge w:val="continue"/>
            <w:vAlign w:val="center"/>
          </w:tcPr>
          <w:p w14:paraId="03B74AA1">
            <w:pPr>
              <w:snapToGrid w:val="0"/>
              <w:spacing w:line="320" w:lineRule="exact"/>
              <w:jc w:val="center"/>
              <w:rPr>
                <w:rFonts w:eastAsia="仿宋_GB2312"/>
                <w:color w:val="FF0000"/>
                <w:szCs w:val="21"/>
              </w:rPr>
            </w:pPr>
          </w:p>
        </w:tc>
      </w:tr>
      <w:tr w14:paraId="0AF032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628" w:type="pct"/>
            <w:vMerge w:val="continue"/>
            <w:vAlign w:val="center"/>
          </w:tcPr>
          <w:p w14:paraId="4A1E19FB">
            <w:pPr>
              <w:jc w:val="center"/>
              <w:rPr>
                <w:rFonts w:eastAsia="仿宋_GB2312"/>
                <w:color w:val="FF0000"/>
                <w:szCs w:val="21"/>
              </w:rPr>
            </w:pPr>
          </w:p>
        </w:tc>
        <w:tc>
          <w:tcPr>
            <w:tcW w:w="731" w:type="pct"/>
            <w:vMerge w:val="continue"/>
            <w:vAlign w:val="center"/>
          </w:tcPr>
          <w:p w14:paraId="093249BD">
            <w:pPr>
              <w:jc w:val="center"/>
              <w:rPr>
                <w:rFonts w:eastAsia="仿宋_GB2312"/>
                <w:color w:val="FF0000"/>
                <w:szCs w:val="21"/>
              </w:rPr>
            </w:pPr>
          </w:p>
        </w:tc>
        <w:tc>
          <w:tcPr>
            <w:tcW w:w="776" w:type="pct"/>
            <w:vMerge w:val="continue"/>
            <w:vAlign w:val="center"/>
          </w:tcPr>
          <w:p w14:paraId="71D862B1">
            <w:pPr>
              <w:jc w:val="center"/>
              <w:rPr>
                <w:rFonts w:eastAsia="仿宋_GB2312"/>
                <w:color w:val="FF0000"/>
                <w:szCs w:val="21"/>
              </w:rPr>
            </w:pPr>
          </w:p>
        </w:tc>
        <w:tc>
          <w:tcPr>
            <w:tcW w:w="743" w:type="pct"/>
            <w:shd w:val="clear" w:color="auto" w:fill="auto"/>
            <w:vAlign w:val="center"/>
          </w:tcPr>
          <w:p w14:paraId="3DA11E41">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TN</w:t>
            </w:r>
          </w:p>
        </w:tc>
        <w:tc>
          <w:tcPr>
            <w:tcW w:w="757" w:type="pct"/>
            <w:shd w:val="clear" w:color="auto" w:fill="auto"/>
            <w:vAlign w:val="center"/>
          </w:tcPr>
          <w:p w14:paraId="20C90061">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45</w:t>
            </w:r>
          </w:p>
        </w:tc>
        <w:tc>
          <w:tcPr>
            <w:tcW w:w="723" w:type="pct"/>
            <w:shd w:val="clear" w:color="auto" w:fill="auto"/>
            <w:vAlign w:val="center"/>
          </w:tcPr>
          <w:p w14:paraId="659B7E28">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0.01</w:t>
            </w:r>
          </w:p>
        </w:tc>
        <w:tc>
          <w:tcPr>
            <w:tcW w:w="638" w:type="pct"/>
            <w:vMerge w:val="continue"/>
            <w:vAlign w:val="center"/>
          </w:tcPr>
          <w:p w14:paraId="4F987909">
            <w:pPr>
              <w:snapToGrid w:val="0"/>
              <w:spacing w:line="320" w:lineRule="exact"/>
              <w:jc w:val="center"/>
              <w:rPr>
                <w:rFonts w:eastAsia="仿宋_GB2312"/>
                <w:color w:val="FF0000"/>
                <w:szCs w:val="21"/>
              </w:rPr>
            </w:pPr>
          </w:p>
        </w:tc>
      </w:tr>
      <w:tr w14:paraId="7F0316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628" w:type="pct"/>
            <w:vMerge w:val="continue"/>
            <w:vAlign w:val="center"/>
          </w:tcPr>
          <w:p w14:paraId="37C3FF28">
            <w:pPr>
              <w:jc w:val="center"/>
              <w:rPr>
                <w:rFonts w:eastAsia="仿宋_GB2312"/>
                <w:color w:val="FF0000"/>
                <w:szCs w:val="21"/>
              </w:rPr>
            </w:pPr>
          </w:p>
        </w:tc>
        <w:tc>
          <w:tcPr>
            <w:tcW w:w="731" w:type="pct"/>
            <w:vMerge w:val="continue"/>
            <w:vAlign w:val="center"/>
          </w:tcPr>
          <w:p w14:paraId="6527E248">
            <w:pPr>
              <w:jc w:val="center"/>
              <w:rPr>
                <w:rFonts w:eastAsia="仿宋_GB2312"/>
                <w:color w:val="FF0000"/>
                <w:szCs w:val="21"/>
              </w:rPr>
            </w:pPr>
          </w:p>
        </w:tc>
        <w:tc>
          <w:tcPr>
            <w:tcW w:w="776" w:type="pct"/>
            <w:vMerge w:val="continue"/>
            <w:vAlign w:val="center"/>
          </w:tcPr>
          <w:p w14:paraId="6F108676">
            <w:pPr>
              <w:jc w:val="center"/>
              <w:rPr>
                <w:rFonts w:eastAsia="仿宋_GB2312"/>
                <w:color w:val="FF0000"/>
                <w:szCs w:val="21"/>
              </w:rPr>
            </w:pPr>
          </w:p>
        </w:tc>
        <w:tc>
          <w:tcPr>
            <w:tcW w:w="743" w:type="pct"/>
            <w:shd w:val="clear" w:color="auto" w:fill="auto"/>
            <w:vAlign w:val="center"/>
          </w:tcPr>
          <w:p w14:paraId="01E9527F">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TP</w:t>
            </w:r>
          </w:p>
        </w:tc>
        <w:tc>
          <w:tcPr>
            <w:tcW w:w="757" w:type="pct"/>
            <w:shd w:val="clear" w:color="auto" w:fill="auto"/>
            <w:vAlign w:val="center"/>
          </w:tcPr>
          <w:p w14:paraId="4CA95434">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723" w:type="pct"/>
            <w:shd w:val="clear" w:color="auto" w:fill="auto"/>
            <w:vAlign w:val="center"/>
          </w:tcPr>
          <w:p w14:paraId="57CD198F">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0.001</w:t>
            </w:r>
          </w:p>
        </w:tc>
        <w:tc>
          <w:tcPr>
            <w:tcW w:w="638" w:type="pct"/>
            <w:vMerge w:val="continue"/>
            <w:vAlign w:val="center"/>
          </w:tcPr>
          <w:p w14:paraId="290C2F9D">
            <w:pPr>
              <w:snapToGrid w:val="0"/>
              <w:spacing w:line="320" w:lineRule="exact"/>
              <w:jc w:val="center"/>
              <w:rPr>
                <w:rFonts w:eastAsia="仿宋_GB2312"/>
                <w:color w:val="FF0000"/>
                <w:szCs w:val="21"/>
              </w:rPr>
            </w:pPr>
          </w:p>
        </w:tc>
      </w:tr>
      <w:tr w14:paraId="7FC88B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628" w:type="pct"/>
            <w:vMerge w:val="restart"/>
            <w:vAlign w:val="center"/>
          </w:tcPr>
          <w:p w14:paraId="28358CBF">
            <w:pPr>
              <w:keepNext w:val="0"/>
              <w:keepLines w:val="0"/>
              <w:widowControl/>
              <w:suppressLineNumbers w:val="0"/>
              <w:jc w:val="center"/>
              <w:textAlignment w:val="center"/>
              <w:rPr>
                <w:rFonts w:eastAsia="仿宋_GB2312"/>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W3-12-1</w:t>
            </w:r>
          </w:p>
        </w:tc>
        <w:tc>
          <w:tcPr>
            <w:tcW w:w="731" w:type="pct"/>
            <w:vMerge w:val="restart"/>
            <w:vAlign w:val="center"/>
          </w:tcPr>
          <w:p w14:paraId="27D527AC">
            <w:pPr>
              <w:keepNext w:val="0"/>
              <w:keepLines w:val="0"/>
              <w:widowControl/>
              <w:suppressLineNumbers w:val="0"/>
              <w:jc w:val="center"/>
              <w:textAlignment w:val="center"/>
              <w:rPr>
                <w:rFonts w:eastAsia="仿宋_GB2312"/>
                <w:color w:val="FF0000"/>
                <w:szCs w:val="21"/>
              </w:rPr>
            </w:pPr>
            <w:r>
              <w:rPr>
                <w:rFonts w:hint="default" w:ascii="仿宋_GB2312" w:hAnsi="宋体" w:eastAsia="仿宋_GB2312" w:cs="仿宋_GB2312"/>
                <w:i w:val="0"/>
                <w:iCs w:val="0"/>
                <w:color w:val="000000"/>
                <w:kern w:val="0"/>
                <w:sz w:val="21"/>
                <w:szCs w:val="21"/>
                <w:u w:val="none"/>
                <w:lang w:val="en-US" w:eastAsia="zh-CN" w:bidi="ar"/>
              </w:rPr>
              <w:t>冷凝废水</w:t>
            </w:r>
          </w:p>
        </w:tc>
        <w:tc>
          <w:tcPr>
            <w:tcW w:w="776" w:type="pct"/>
            <w:vMerge w:val="restart"/>
            <w:vAlign w:val="center"/>
          </w:tcPr>
          <w:p w14:paraId="3B1514E8">
            <w:pPr>
              <w:keepNext w:val="0"/>
              <w:keepLines w:val="0"/>
              <w:widowControl/>
              <w:suppressLineNumbers w:val="0"/>
              <w:jc w:val="center"/>
              <w:textAlignment w:val="center"/>
              <w:rPr>
                <w:rFonts w:eastAsia="仿宋_GB2312"/>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212.404</w:t>
            </w:r>
          </w:p>
        </w:tc>
        <w:tc>
          <w:tcPr>
            <w:tcW w:w="743" w:type="pct"/>
            <w:shd w:val="clear" w:color="auto" w:fill="auto"/>
            <w:vAlign w:val="center"/>
          </w:tcPr>
          <w:p w14:paraId="48F79EAE">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COD</w:t>
            </w:r>
          </w:p>
        </w:tc>
        <w:tc>
          <w:tcPr>
            <w:tcW w:w="757" w:type="pct"/>
            <w:shd w:val="clear" w:color="auto" w:fill="auto"/>
            <w:vAlign w:val="center"/>
          </w:tcPr>
          <w:p w14:paraId="3B63170C">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19802</w:t>
            </w:r>
          </w:p>
        </w:tc>
        <w:tc>
          <w:tcPr>
            <w:tcW w:w="723" w:type="pct"/>
            <w:shd w:val="clear" w:color="auto" w:fill="auto"/>
            <w:vAlign w:val="center"/>
          </w:tcPr>
          <w:p w14:paraId="16C26A95">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4.206</w:t>
            </w:r>
          </w:p>
        </w:tc>
        <w:tc>
          <w:tcPr>
            <w:tcW w:w="638" w:type="pct"/>
            <w:vMerge w:val="continue"/>
            <w:vAlign w:val="center"/>
          </w:tcPr>
          <w:p w14:paraId="26D6B438">
            <w:pPr>
              <w:snapToGrid w:val="0"/>
              <w:spacing w:line="320" w:lineRule="exact"/>
              <w:jc w:val="center"/>
              <w:rPr>
                <w:rFonts w:eastAsia="仿宋_GB2312"/>
                <w:color w:val="FF0000"/>
                <w:szCs w:val="21"/>
              </w:rPr>
            </w:pPr>
          </w:p>
        </w:tc>
      </w:tr>
      <w:tr w14:paraId="20BAD6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628" w:type="pct"/>
            <w:vMerge w:val="continue"/>
            <w:vAlign w:val="center"/>
          </w:tcPr>
          <w:p w14:paraId="1F819F11">
            <w:pPr>
              <w:jc w:val="center"/>
              <w:rPr>
                <w:rFonts w:eastAsia="仿宋_GB2312"/>
                <w:color w:val="FF0000"/>
                <w:szCs w:val="21"/>
              </w:rPr>
            </w:pPr>
          </w:p>
        </w:tc>
        <w:tc>
          <w:tcPr>
            <w:tcW w:w="731" w:type="pct"/>
            <w:vMerge w:val="continue"/>
            <w:vAlign w:val="center"/>
          </w:tcPr>
          <w:p w14:paraId="348B2997">
            <w:pPr>
              <w:jc w:val="center"/>
              <w:rPr>
                <w:rFonts w:eastAsia="仿宋_GB2312"/>
                <w:color w:val="FF0000"/>
                <w:szCs w:val="21"/>
              </w:rPr>
            </w:pPr>
          </w:p>
        </w:tc>
        <w:tc>
          <w:tcPr>
            <w:tcW w:w="776" w:type="pct"/>
            <w:vMerge w:val="continue"/>
            <w:vAlign w:val="center"/>
          </w:tcPr>
          <w:p w14:paraId="3254E4CA">
            <w:pPr>
              <w:jc w:val="center"/>
              <w:rPr>
                <w:rFonts w:eastAsia="仿宋_GB2312"/>
                <w:color w:val="FF0000"/>
                <w:szCs w:val="21"/>
              </w:rPr>
            </w:pPr>
          </w:p>
        </w:tc>
        <w:tc>
          <w:tcPr>
            <w:tcW w:w="743" w:type="pct"/>
            <w:shd w:val="clear" w:color="auto" w:fill="auto"/>
            <w:vAlign w:val="center"/>
          </w:tcPr>
          <w:p w14:paraId="3761F26A">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NH</w:t>
            </w:r>
            <w:r>
              <w:rPr>
                <w:rFonts w:hint="default" w:ascii="Times New Roman" w:hAnsi="Times New Roman" w:eastAsia="宋体" w:cs="Times New Roman"/>
                <w:i w:val="0"/>
                <w:iCs w:val="0"/>
                <w:color w:val="000000"/>
                <w:kern w:val="0"/>
                <w:sz w:val="21"/>
                <w:szCs w:val="21"/>
                <w:u w:val="none"/>
                <w:vertAlign w:val="subscript"/>
                <w:lang w:val="en-US" w:eastAsia="zh-CN" w:bidi="ar"/>
              </w:rPr>
              <w:t>3</w:t>
            </w:r>
            <w:r>
              <w:rPr>
                <w:rFonts w:hint="default" w:ascii="Times New Roman" w:hAnsi="Times New Roman" w:eastAsia="宋体" w:cs="Times New Roman"/>
                <w:i w:val="0"/>
                <w:iCs w:val="0"/>
                <w:color w:val="000000"/>
                <w:kern w:val="0"/>
                <w:sz w:val="21"/>
                <w:szCs w:val="21"/>
                <w:u w:val="none"/>
                <w:lang w:val="en-US" w:eastAsia="zh-CN" w:bidi="ar"/>
              </w:rPr>
              <w:t>-N</w:t>
            </w:r>
          </w:p>
        </w:tc>
        <w:tc>
          <w:tcPr>
            <w:tcW w:w="757" w:type="pct"/>
            <w:shd w:val="clear" w:color="auto" w:fill="auto"/>
            <w:vAlign w:val="center"/>
          </w:tcPr>
          <w:p w14:paraId="499D4A00">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30</w:t>
            </w:r>
          </w:p>
        </w:tc>
        <w:tc>
          <w:tcPr>
            <w:tcW w:w="723" w:type="pct"/>
            <w:shd w:val="clear" w:color="auto" w:fill="auto"/>
            <w:vAlign w:val="center"/>
          </w:tcPr>
          <w:p w14:paraId="7ABF8BC9">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0.006</w:t>
            </w:r>
          </w:p>
        </w:tc>
        <w:tc>
          <w:tcPr>
            <w:tcW w:w="638" w:type="pct"/>
            <w:vMerge w:val="continue"/>
            <w:vAlign w:val="center"/>
          </w:tcPr>
          <w:p w14:paraId="7881F48D">
            <w:pPr>
              <w:snapToGrid w:val="0"/>
              <w:spacing w:line="320" w:lineRule="exact"/>
              <w:jc w:val="center"/>
              <w:rPr>
                <w:rFonts w:eastAsia="仿宋_GB2312"/>
                <w:color w:val="FF0000"/>
                <w:szCs w:val="21"/>
              </w:rPr>
            </w:pPr>
          </w:p>
        </w:tc>
      </w:tr>
      <w:tr w14:paraId="3F91A5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628" w:type="pct"/>
            <w:vMerge w:val="continue"/>
            <w:vAlign w:val="center"/>
          </w:tcPr>
          <w:p w14:paraId="2A84041D">
            <w:pPr>
              <w:jc w:val="center"/>
              <w:rPr>
                <w:rFonts w:eastAsia="仿宋_GB2312"/>
                <w:color w:val="FF0000"/>
                <w:szCs w:val="21"/>
              </w:rPr>
            </w:pPr>
          </w:p>
        </w:tc>
        <w:tc>
          <w:tcPr>
            <w:tcW w:w="731" w:type="pct"/>
            <w:vMerge w:val="continue"/>
            <w:vAlign w:val="center"/>
          </w:tcPr>
          <w:p w14:paraId="305C3620">
            <w:pPr>
              <w:jc w:val="center"/>
              <w:rPr>
                <w:rFonts w:eastAsia="仿宋_GB2312"/>
                <w:color w:val="FF0000"/>
                <w:szCs w:val="21"/>
              </w:rPr>
            </w:pPr>
          </w:p>
        </w:tc>
        <w:tc>
          <w:tcPr>
            <w:tcW w:w="776" w:type="pct"/>
            <w:vMerge w:val="continue"/>
            <w:vAlign w:val="center"/>
          </w:tcPr>
          <w:p w14:paraId="2D75ECA4">
            <w:pPr>
              <w:jc w:val="center"/>
              <w:rPr>
                <w:rFonts w:eastAsia="仿宋_GB2312"/>
                <w:color w:val="FF0000"/>
                <w:szCs w:val="21"/>
              </w:rPr>
            </w:pPr>
          </w:p>
        </w:tc>
        <w:tc>
          <w:tcPr>
            <w:tcW w:w="743" w:type="pct"/>
            <w:shd w:val="clear" w:color="auto" w:fill="auto"/>
            <w:vAlign w:val="center"/>
          </w:tcPr>
          <w:p w14:paraId="28A296CC">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TN</w:t>
            </w:r>
          </w:p>
        </w:tc>
        <w:tc>
          <w:tcPr>
            <w:tcW w:w="757" w:type="pct"/>
            <w:shd w:val="clear" w:color="auto" w:fill="auto"/>
            <w:vAlign w:val="center"/>
          </w:tcPr>
          <w:p w14:paraId="5ED53E6F">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45</w:t>
            </w:r>
          </w:p>
        </w:tc>
        <w:tc>
          <w:tcPr>
            <w:tcW w:w="723" w:type="pct"/>
            <w:shd w:val="clear" w:color="auto" w:fill="auto"/>
            <w:vAlign w:val="center"/>
          </w:tcPr>
          <w:p w14:paraId="3F418139">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0.009</w:t>
            </w:r>
          </w:p>
        </w:tc>
        <w:tc>
          <w:tcPr>
            <w:tcW w:w="638" w:type="pct"/>
            <w:vMerge w:val="continue"/>
            <w:vAlign w:val="center"/>
          </w:tcPr>
          <w:p w14:paraId="25635B1A">
            <w:pPr>
              <w:snapToGrid w:val="0"/>
              <w:spacing w:line="320" w:lineRule="exact"/>
              <w:jc w:val="center"/>
              <w:rPr>
                <w:rFonts w:eastAsia="仿宋_GB2312"/>
                <w:color w:val="FF0000"/>
                <w:szCs w:val="21"/>
              </w:rPr>
            </w:pPr>
          </w:p>
        </w:tc>
      </w:tr>
      <w:tr w14:paraId="178A57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628" w:type="pct"/>
            <w:vMerge w:val="continue"/>
            <w:vAlign w:val="center"/>
          </w:tcPr>
          <w:p w14:paraId="70DB6F47">
            <w:pPr>
              <w:jc w:val="center"/>
              <w:rPr>
                <w:rFonts w:eastAsia="仿宋_GB2312"/>
                <w:color w:val="FF0000"/>
                <w:szCs w:val="21"/>
              </w:rPr>
            </w:pPr>
          </w:p>
        </w:tc>
        <w:tc>
          <w:tcPr>
            <w:tcW w:w="731" w:type="pct"/>
            <w:vMerge w:val="continue"/>
            <w:vAlign w:val="center"/>
          </w:tcPr>
          <w:p w14:paraId="4A929501">
            <w:pPr>
              <w:jc w:val="center"/>
              <w:rPr>
                <w:rFonts w:eastAsia="仿宋_GB2312"/>
                <w:color w:val="FF0000"/>
                <w:szCs w:val="21"/>
              </w:rPr>
            </w:pPr>
          </w:p>
        </w:tc>
        <w:tc>
          <w:tcPr>
            <w:tcW w:w="776" w:type="pct"/>
            <w:vMerge w:val="continue"/>
            <w:vAlign w:val="center"/>
          </w:tcPr>
          <w:p w14:paraId="54CCFB64">
            <w:pPr>
              <w:jc w:val="center"/>
              <w:rPr>
                <w:rFonts w:eastAsia="仿宋_GB2312"/>
                <w:color w:val="FF0000"/>
                <w:szCs w:val="21"/>
              </w:rPr>
            </w:pPr>
          </w:p>
        </w:tc>
        <w:tc>
          <w:tcPr>
            <w:tcW w:w="743" w:type="pct"/>
            <w:shd w:val="clear" w:color="auto" w:fill="auto"/>
            <w:vAlign w:val="center"/>
          </w:tcPr>
          <w:p w14:paraId="7BA06F50">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TP</w:t>
            </w:r>
          </w:p>
        </w:tc>
        <w:tc>
          <w:tcPr>
            <w:tcW w:w="757" w:type="pct"/>
            <w:shd w:val="clear" w:color="auto" w:fill="auto"/>
            <w:vAlign w:val="center"/>
          </w:tcPr>
          <w:p w14:paraId="2D9849C8">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723" w:type="pct"/>
            <w:shd w:val="clear" w:color="auto" w:fill="auto"/>
            <w:vAlign w:val="center"/>
          </w:tcPr>
          <w:p w14:paraId="0398E15A">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0.0006</w:t>
            </w:r>
          </w:p>
        </w:tc>
        <w:tc>
          <w:tcPr>
            <w:tcW w:w="638" w:type="pct"/>
            <w:vMerge w:val="continue"/>
            <w:vAlign w:val="center"/>
          </w:tcPr>
          <w:p w14:paraId="5BA14C91">
            <w:pPr>
              <w:snapToGrid w:val="0"/>
              <w:spacing w:line="320" w:lineRule="exact"/>
              <w:jc w:val="center"/>
              <w:rPr>
                <w:rFonts w:eastAsia="仿宋_GB2312"/>
                <w:color w:val="FF0000"/>
                <w:szCs w:val="21"/>
              </w:rPr>
            </w:pPr>
          </w:p>
        </w:tc>
      </w:tr>
      <w:tr w14:paraId="083FB2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628" w:type="pct"/>
            <w:vMerge w:val="restart"/>
            <w:vAlign w:val="center"/>
          </w:tcPr>
          <w:p w14:paraId="25413B49">
            <w:pPr>
              <w:keepNext w:val="0"/>
              <w:keepLines w:val="0"/>
              <w:widowControl/>
              <w:suppressLineNumbers w:val="0"/>
              <w:jc w:val="center"/>
              <w:textAlignment w:val="center"/>
              <w:rPr>
                <w:rFonts w:eastAsia="仿宋_GB2312"/>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W3-13-1</w:t>
            </w:r>
          </w:p>
        </w:tc>
        <w:tc>
          <w:tcPr>
            <w:tcW w:w="731" w:type="pct"/>
            <w:vMerge w:val="restart"/>
            <w:vAlign w:val="center"/>
          </w:tcPr>
          <w:p w14:paraId="55ED417E">
            <w:pPr>
              <w:keepNext w:val="0"/>
              <w:keepLines w:val="0"/>
              <w:widowControl/>
              <w:suppressLineNumbers w:val="0"/>
              <w:jc w:val="center"/>
              <w:textAlignment w:val="center"/>
              <w:rPr>
                <w:rFonts w:eastAsia="仿宋_GB2312"/>
                <w:color w:val="FF0000"/>
                <w:szCs w:val="21"/>
              </w:rPr>
            </w:pPr>
            <w:r>
              <w:rPr>
                <w:rFonts w:hint="default" w:ascii="仿宋_GB2312" w:hAnsi="宋体" w:eastAsia="仿宋_GB2312" w:cs="仿宋_GB2312"/>
                <w:i w:val="0"/>
                <w:iCs w:val="0"/>
                <w:color w:val="000000"/>
                <w:kern w:val="0"/>
                <w:sz w:val="21"/>
                <w:szCs w:val="21"/>
                <w:u w:val="none"/>
                <w:lang w:val="en-US" w:eastAsia="zh-CN" w:bidi="ar"/>
              </w:rPr>
              <w:t>冷凝废水</w:t>
            </w:r>
          </w:p>
        </w:tc>
        <w:tc>
          <w:tcPr>
            <w:tcW w:w="776" w:type="pct"/>
            <w:vMerge w:val="restart"/>
            <w:vAlign w:val="center"/>
          </w:tcPr>
          <w:p w14:paraId="381DF5C6">
            <w:pPr>
              <w:keepNext w:val="0"/>
              <w:keepLines w:val="0"/>
              <w:widowControl/>
              <w:suppressLineNumbers w:val="0"/>
              <w:jc w:val="center"/>
              <w:textAlignment w:val="center"/>
              <w:rPr>
                <w:rFonts w:eastAsia="仿宋_GB2312"/>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210.134</w:t>
            </w:r>
          </w:p>
        </w:tc>
        <w:tc>
          <w:tcPr>
            <w:tcW w:w="743" w:type="pct"/>
            <w:shd w:val="clear" w:color="auto" w:fill="auto"/>
            <w:vAlign w:val="center"/>
          </w:tcPr>
          <w:p w14:paraId="3A8FD79F">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COD</w:t>
            </w:r>
          </w:p>
        </w:tc>
        <w:tc>
          <w:tcPr>
            <w:tcW w:w="757" w:type="pct"/>
            <w:shd w:val="clear" w:color="auto" w:fill="auto"/>
            <w:vAlign w:val="center"/>
          </w:tcPr>
          <w:p w14:paraId="1EAB2F02">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22142</w:t>
            </w:r>
          </w:p>
        </w:tc>
        <w:tc>
          <w:tcPr>
            <w:tcW w:w="723" w:type="pct"/>
            <w:shd w:val="clear" w:color="auto" w:fill="auto"/>
            <w:vAlign w:val="center"/>
          </w:tcPr>
          <w:p w14:paraId="0413D146">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4.65</w:t>
            </w:r>
          </w:p>
        </w:tc>
        <w:tc>
          <w:tcPr>
            <w:tcW w:w="638" w:type="pct"/>
            <w:vMerge w:val="continue"/>
            <w:vAlign w:val="center"/>
          </w:tcPr>
          <w:p w14:paraId="007CE344">
            <w:pPr>
              <w:snapToGrid w:val="0"/>
              <w:spacing w:line="320" w:lineRule="exact"/>
              <w:jc w:val="center"/>
              <w:rPr>
                <w:rFonts w:eastAsia="仿宋_GB2312"/>
                <w:color w:val="FF0000"/>
                <w:szCs w:val="21"/>
              </w:rPr>
            </w:pPr>
          </w:p>
        </w:tc>
      </w:tr>
      <w:tr w14:paraId="4F85A3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628" w:type="pct"/>
            <w:vMerge w:val="continue"/>
            <w:vAlign w:val="center"/>
          </w:tcPr>
          <w:p w14:paraId="6FA6B924">
            <w:pPr>
              <w:jc w:val="center"/>
              <w:rPr>
                <w:rFonts w:eastAsia="仿宋_GB2312"/>
                <w:color w:val="FF0000"/>
                <w:szCs w:val="21"/>
              </w:rPr>
            </w:pPr>
          </w:p>
        </w:tc>
        <w:tc>
          <w:tcPr>
            <w:tcW w:w="731" w:type="pct"/>
            <w:vMerge w:val="continue"/>
            <w:vAlign w:val="center"/>
          </w:tcPr>
          <w:p w14:paraId="6DB6C88F">
            <w:pPr>
              <w:jc w:val="center"/>
              <w:rPr>
                <w:rFonts w:eastAsia="仿宋_GB2312"/>
                <w:color w:val="FF0000"/>
                <w:szCs w:val="21"/>
              </w:rPr>
            </w:pPr>
          </w:p>
        </w:tc>
        <w:tc>
          <w:tcPr>
            <w:tcW w:w="776" w:type="pct"/>
            <w:vMerge w:val="continue"/>
            <w:vAlign w:val="center"/>
          </w:tcPr>
          <w:p w14:paraId="0F62980B">
            <w:pPr>
              <w:jc w:val="center"/>
              <w:rPr>
                <w:rFonts w:eastAsia="仿宋_GB2312"/>
                <w:color w:val="FF0000"/>
                <w:szCs w:val="21"/>
              </w:rPr>
            </w:pPr>
          </w:p>
        </w:tc>
        <w:tc>
          <w:tcPr>
            <w:tcW w:w="743" w:type="pct"/>
            <w:shd w:val="clear" w:color="auto" w:fill="auto"/>
            <w:vAlign w:val="center"/>
          </w:tcPr>
          <w:p w14:paraId="564BC3BD">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NH</w:t>
            </w:r>
            <w:r>
              <w:rPr>
                <w:rFonts w:hint="default" w:ascii="Times New Roman" w:hAnsi="Times New Roman" w:eastAsia="宋体" w:cs="Times New Roman"/>
                <w:i w:val="0"/>
                <w:iCs w:val="0"/>
                <w:color w:val="000000"/>
                <w:kern w:val="0"/>
                <w:sz w:val="21"/>
                <w:szCs w:val="21"/>
                <w:u w:val="none"/>
                <w:vertAlign w:val="subscript"/>
                <w:lang w:val="en-US" w:eastAsia="zh-CN" w:bidi="ar"/>
              </w:rPr>
              <w:t>3</w:t>
            </w:r>
            <w:r>
              <w:rPr>
                <w:rFonts w:hint="default" w:ascii="Times New Roman" w:hAnsi="Times New Roman" w:eastAsia="宋体" w:cs="Times New Roman"/>
                <w:i w:val="0"/>
                <w:iCs w:val="0"/>
                <w:color w:val="000000"/>
                <w:kern w:val="0"/>
                <w:sz w:val="21"/>
                <w:szCs w:val="21"/>
                <w:u w:val="none"/>
                <w:lang w:val="en-US" w:eastAsia="zh-CN" w:bidi="ar"/>
              </w:rPr>
              <w:t>-N</w:t>
            </w:r>
          </w:p>
        </w:tc>
        <w:tc>
          <w:tcPr>
            <w:tcW w:w="757" w:type="pct"/>
            <w:shd w:val="clear" w:color="auto" w:fill="auto"/>
            <w:vAlign w:val="center"/>
          </w:tcPr>
          <w:p w14:paraId="7092F436">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30</w:t>
            </w:r>
          </w:p>
        </w:tc>
        <w:tc>
          <w:tcPr>
            <w:tcW w:w="723" w:type="pct"/>
            <w:shd w:val="clear" w:color="auto" w:fill="auto"/>
            <w:vAlign w:val="center"/>
          </w:tcPr>
          <w:p w14:paraId="2A1D20D7">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0.006</w:t>
            </w:r>
          </w:p>
        </w:tc>
        <w:tc>
          <w:tcPr>
            <w:tcW w:w="638" w:type="pct"/>
            <w:vMerge w:val="continue"/>
            <w:vAlign w:val="center"/>
          </w:tcPr>
          <w:p w14:paraId="076F4898">
            <w:pPr>
              <w:snapToGrid w:val="0"/>
              <w:spacing w:line="320" w:lineRule="exact"/>
              <w:jc w:val="center"/>
              <w:rPr>
                <w:rFonts w:eastAsia="仿宋_GB2312"/>
                <w:color w:val="FF0000"/>
                <w:szCs w:val="21"/>
              </w:rPr>
            </w:pPr>
          </w:p>
        </w:tc>
      </w:tr>
      <w:tr w14:paraId="34B1FC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628" w:type="pct"/>
            <w:vMerge w:val="continue"/>
            <w:vAlign w:val="center"/>
          </w:tcPr>
          <w:p w14:paraId="510454BE">
            <w:pPr>
              <w:jc w:val="center"/>
              <w:rPr>
                <w:rFonts w:eastAsia="仿宋_GB2312"/>
                <w:color w:val="FF0000"/>
                <w:szCs w:val="21"/>
              </w:rPr>
            </w:pPr>
          </w:p>
        </w:tc>
        <w:tc>
          <w:tcPr>
            <w:tcW w:w="731" w:type="pct"/>
            <w:vMerge w:val="continue"/>
            <w:vAlign w:val="center"/>
          </w:tcPr>
          <w:p w14:paraId="46CDB2C4">
            <w:pPr>
              <w:jc w:val="center"/>
              <w:rPr>
                <w:rFonts w:eastAsia="仿宋_GB2312"/>
                <w:color w:val="FF0000"/>
                <w:szCs w:val="21"/>
              </w:rPr>
            </w:pPr>
          </w:p>
        </w:tc>
        <w:tc>
          <w:tcPr>
            <w:tcW w:w="776" w:type="pct"/>
            <w:vMerge w:val="continue"/>
            <w:vAlign w:val="center"/>
          </w:tcPr>
          <w:p w14:paraId="63567A73">
            <w:pPr>
              <w:jc w:val="center"/>
              <w:rPr>
                <w:rFonts w:eastAsia="仿宋_GB2312"/>
                <w:color w:val="FF0000"/>
                <w:szCs w:val="21"/>
              </w:rPr>
            </w:pPr>
          </w:p>
        </w:tc>
        <w:tc>
          <w:tcPr>
            <w:tcW w:w="743" w:type="pct"/>
            <w:shd w:val="clear" w:color="auto" w:fill="auto"/>
            <w:vAlign w:val="center"/>
          </w:tcPr>
          <w:p w14:paraId="262FF4FD">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TN</w:t>
            </w:r>
          </w:p>
        </w:tc>
        <w:tc>
          <w:tcPr>
            <w:tcW w:w="757" w:type="pct"/>
            <w:shd w:val="clear" w:color="auto" w:fill="auto"/>
            <w:vAlign w:val="center"/>
          </w:tcPr>
          <w:p w14:paraId="3D9B0708">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45</w:t>
            </w:r>
          </w:p>
        </w:tc>
        <w:tc>
          <w:tcPr>
            <w:tcW w:w="723" w:type="pct"/>
            <w:shd w:val="clear" w:color="auto" w:fill="auto"/>
            <w:vAlign w:val="center"/>
          </w:tcPr>
          <w:p w14:paraId="35CC5707">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0.009</w:t>
            </w:r>
          </w:p>
        </w:tc>
        <w:tc>
          <w:tcPr>
            <w:tcW w:w="638" w:type="pct"/>
            <w:vMerge w:val="continue"/>
            <w:vAlign w:val="center"/>
          </w:tcPr>
          <w:p w14:paraId="6906F6C5">
            <w:pPr>
              <w:snapToGrid w:val="0"/>
              <w:spacing w:line="320" w:lineRule="exact"/>
              <w:jc w:val="center"/>
              <w:rPr>
                <w:rFonts w:eastAsia="仿宋_GB2312"/>
                <w:color w:val="FF0000"/>
                <w:szCs w:val="21"/>
              </w:rPr>
            </w:pPr>
          </w:p>
        </w:tc>
      </w:tr>
      <w:tr w14:paraId="7D3AC0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628" w:type="pct"/>
            <w:vMerge w:val="continue"/>
            <w:vAlign w:val="center"/>
          </w:tcPr>
          <w:p w14:paraId="1E8D37B1">
            <w:pPr>
              <w:jc w:val="center"/>
              <w:rPr>
                <w:rFonts w:eastAsia="仿宋_GB2312"/>
                <w:color w:val="FF0000"/>
                <w:szCs w:val="21"/>
              </w:rPr>
            </w:pPr>
          </w:p>
        </w:tc>
        <w:tc>
          <w:tcPr>
            <w:tcW w:w="731" w:type="pct"/>
            <w:vMerge w:val="continue"/>
            <w:vAlign w:val="center"/>
          </w:tcPr>
          <w:p w14:paraId="742DA912">
            <w:pPr>
              <w:jc w:val="center"/>
              <w:rPr>
                <w:rFonts w:eastAsia="仿宋_GB2312"/>
                <w:color w:val="FF0000"/>
                <w:szCs w:val="21"/>
              </w:rPr>
            </w:pPr>
          </w:p>
        </w:tc>
        <w:tc>
          <w:tcPr>
            <w:tcW w:w="776" w:type="pct"/>
            <w:vMerge w:val="continue"/>
            <w:vAlign w:val="center"/>
          </w:tcPr>
          <w:p w14:paraId="2C987F38">
            <w:pPr>
              <w:jc w:val="center"/>
              <w:rPr>
                <w:rFonts w:eastAsia="仿宋_GB2312"/>
                <w:color w:val="FF0000"/>
                <w:szCs w:val="21"/>
              </w:rPr>
            </w:pPr>
          </w:p>
        </w:tc>
        <w:tc>
          <w:tcPr>
            <w:tcW w:w="743" w:type="pct"/>
            <w:shd w:val="clear" w:color="auto" w:fill="auto"/>
            <w:vAlign w:val="center"/>
          </w:tcPr>
          <w:p w14:paraId="5710AD87">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TP</w:t>
            </w:r>
          </w:p>
        </w:tc>
        <w:tc>
          <w:tcPr>
            <w:tcW w:w="757" w:type="pct"/>
            <w:shd w:val="clear" w:color="auto" w:fill="auto"/>
            <w:vAlign w:val="center"/>
          </w:tcPr>
          <w:p w14:paraId="4BE49B89">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723" w:type="pct"/>
            <w:shd w:val="clear" w:color="auto" w:fill="auto"/>
            <w:vAlign w:val="center"/>
          </w:tcPr>
          <w:p w14:paraId="66FF4A24">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0.0006</w:t>
            </w:r>
          </w:p>
        </w:tc>
        <w:tc>
          <w:tcPr>
            <w:tcW w:w="638" w:type="pct"/>
            <w:vMerge w:val="continue"/>
            <w:vAlign w:val="center"/>
          </w:tcPr>
          <w:p w14:paraId="587DF870">
            <w:pPr>
              <w:snapToGrid w:val="0"/>
              <w:spacing w:line="320" w:lineRule="exact"/>
              <w:jc w:val="center"/>
              <w:rPr>
                <w:rFonts w:eastAsia="仿宋_GB2312"/>
                <w:color w:val="FF0000"/>
                <w:szCs w:val="21"/>
              </w:rPr>
            </w:pPr>
          </w:p>
        </w:tc>
      </w:tr>
      <w:tr w14:paraId="7BB17E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628" w:type="pct"/>
            <w:vMerge w:val="restart"/>
            <w:vAlign w:val="center"/>
          </w:tcPr>
          <w:p w14:paraId="46A21F32">
            <w:pPr>
              <w:keepNext w:val="0"/>
              <w:keepLines w:val="0"/>
              <w:widowControl/>
              <w:suppressLineNumbers w:val="0"/>
              <w:jc w:val="center"/>
              <w:textAlignment w:val="center"/>
              <w:rPr>
                <w:rFonts w:eastAsia="仿宋_GB2312"/>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W3-14-1</w:t>
            </w:r>
          </w:p>
        </w:tc>
        <w:tc>
          <w:tcPr>
            <w:tcW w:w="731" w:type="pct"/>
            <w:vMerge w:val="restart"/>
            <w:vAlign w:val="center"/>
          </w:tcPr>
          <w:p w14:paraId="17FB30E6">
            <w:pPr>
              <w:keepNext w:val="0"/>
              <w:keepLines w:val="0"/>
              <w:widowControl/>
              <w:suppressLineNumbers w:val="0"/>
              <w:jc w:val="center"/>
              <w:textAlignment w:val="center"/>
              <w:rPr>
                <w:rFonts w:eastAsia="仿宋_GB2312"/>
                <w:color w:val="FF0000"/>
                <w:szCs w:val="21"/>
              </w:rPr>
            </w:pPr>
            <w:r>
              <w:rPr>
                <w:rFonts w:hint="default" w:ascii="仿宋_GB2312" w:hAnsi="宋体" w:eastAsia="仿宋_GB2312" w:cs="仿宋_GB2312"/>
                <w:i w:val="0"/>
                <w:iCs w:val="0"/>
                <w:color w:val="000000"/>
                <w:kern w:val="0"/>
                <w:sz w:val="21"/>
                <w:szCs w:val="21"/>
                <w:u w:val="none"/>
                <w:lang w:val="en-US" w:eastAsia="zh-CN" w:bidi="ar"/>
              </w:rPr>
              <w:t>冷凝废水</w:t>
            </w:r>
          </w:p>
        </w:tc>
        <w:tc>
          <w:tcPr>
            <w:tcW w:w="776" w:type="pct"/>
            <w:vMerge w:val="restart"/>
            <w:vAlign w:val="center"/>
          </w:tcPr>
          <w:p w14:paraId="274B4CFA">
            <w:pPr>
              <w:keepNext w:val="0"/>
              <w:keepLines w:val="0"/>
              <w:widowControl/>
              <w:suppressLineNumbers w:val="0"/>
              <w:jc w:val="center"/>
              <w:textAlignment w:val="center"/>
              <w:rPr>
                <w:rFonts w:eastAsia="仿宋_GB2312"/>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336.911</w:t>
            </w:r>
          </w:p>
        </w:tc>
        <w:tc>
          <w:tcPr>
            <w:tcW w:w="743" w:type="pct"/>
            <w:shd w:val="clear" w:color="auto" w:fill="auto"/>
            <w:vAlign w:val="center"/>
          </w:tcPr>
          <w:p w14:paraId="543AA384">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COD</w:t>
            </w:r>
          </w:p>
        </w:tc>
        <w:tc>
          <w:tcPr>
            <w:tcW w:w="757" w:type="pct"/>
            <w:shd w:val="clear" w:color="auto" w:fill="auto"/>
            <w:vAlign w:val="center"/>
          </w:tcPr>
          <w:p w14:paraId="066E8472">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20933</w:t>
            </w:r>
          </w:p>
        </w:tc>
        <w:tc>
          <w:tcPr>
            <w:tcW w:w="723" w:type="pct"/>
            <w:shd w:val="clear" w:color="auto" w:fill="auto"/>
            <w:vAlign w:val="center"/>
          </w:tcPr>
          <w:p w14:paraId="05991D55">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7.05</w:t>
            </w:r>
          </w:p>
        </w:tc>
        <w:tc>
          <w:tcPr>
            <w:tcW w:w="638" w:type="pct"/>
            <w:vMerge w:val="continue"/>
            <w:vAlign w:val="center"/>
          </w:tcPr>
          <w:p w14:paraId="73032607">
            <w:pPr>
              <w:snapToGrid w:val="0"/>
              <w:spacing w:line="320" w:lineRule="exact"/>
              <w:jc w:val="center"/>
              <w:rPr>
                <w:rFonts w:eastAsia="仿宋_GB2312"/>
                <w:color w:val="FF0000"/>
                <w:szCs w:val="21"/>
              </w:rPr>
            </w:pPr>
          </w:p>
        </w:tc>
      </w:tr>
      <w:tr w14:paraId="13F0D0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628" w:type="pct"/>
            <w:vMerge w:val="continue"/>
            <w:vAlign w:val="center"/>
          </w:tcPr>
          <w:p w14:paraId="63920288">
            <w:pPr>
              <w:jc w:val="center"/>
              <w:rPr>
                <w:rFonts w:eastAsia="仿宋_GB2312"/>
                <w:color w:val="FF0000"/>
                <w:szCs w:val="21"/>
              </w:rPr>
            </w:pPr>
          </w:p>
        </w:tc>
        <w:tc>
          <w:tcPr>
            <w:tcW w:w="731" w:type="pct"/>
            <w:vMerge w:val="continue"/>
            <w:vAlign w:val="center"/>
          </w:tcPr>
          <w:p w14:paraId="5FAEF852">
            <w:pPr>
              <w:jc w:val="center"/>
              <w:rPr>
                <w:rFonts w:eastAsia="仿宋_GB2312"/>
                <w:color w:val="FF0000"/>
                <w:szCs w:val="21"/>
              </w:rPr>
            </w:pPr>
          </w:p>
        </w:tc>
        <w:tc>
          <w:tcPr>
            <w:tcW w:w="776" w:type="pct"/>
            <w:vMerge w:val="continue"/>
            <w:vAlign w:val="center"/>
          </w:tcPr>
          <w:p w14:paraId="6F7D8016">
            <w:pPr>
              <w:jc w:val="center"/>
              <w:rPr>
                <w:rFonts w:eastAsia="仿宋_GB2312"/>
                <w:color w:val="FF0000"/>
                <w:szCs w:val="21"/>
              </w:rPr>
            </w:pPr>
          </w:p>
        </w:tc>
        <w:tc>
          <w:tcPr>
            <w:tcW w:w="743" w:type="pct"/>
            <w:shd w:val="clear" w:color="auto" w:fill="auto"/>
            <w:vAlign w:val="center"/>
          </w:tcPr>
          <w:p w14:paraId="3AD5404C">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NH</w:t>
            </w:r>
            <w:r>
              <w:rPr>
                <w:rFonts w:hint="default" w:ascii="Times New Roman" w:hAnsi="Times New Roman" w:eastAsia="宋体" w:cs="Times New Roman"/>
                <w:i w:val="0"/>
                <w:iCs w:val="0"/>
                <w:color w:val="000000"/>
                <w:kern w:val="0"/>
                <w:sz w:val="21"/>
                <w:szCs w:val="21"/>
                <w:u w:val="none"/>
                <w:vertAlign w:val="subscript"/>
                <w:lang w:val="en-US" w:eastAsia="zh-CN" w:bidi="ar"/>
              </w:rPr>
              <w:t>3</w:t>
            </w:r>
            <w:r>
              <w:rPr>
                <w:rFonts w:hint="default" w:ascii="Times New Roman" w:hAnsi="Times New Roman" w:eastAsia="宋体" w:cs="Times New Roman"/>
                <w:i w:val="0"/>
                <w:iCs w:val="0"/>
                <w:color w:val="000000"/>
                <w:kern w:val="0"/>
                <w:sz w:val="21"/>
                <w:szCs w:val="21"/>
                <w:u w:val="none"/>
                <w:lang w:val="en-US" w:eastAsia="zh-CN" w:bidi="ar"/>
              </w:rPr>
              <w:t>-N</w:t>
            </w:r>
          </w:p>
        </w:tc>
        <w:tc>
          <w:tcPr>
            <w:tcW w:w="757" w:type="pct"/>
            <w:shd w:val="clear" w:color="auto" w:fill="auto"/>
            <w:vAlign w:val="center"/>
          </w:tcPr>
          <w:p w14:paraId="646F2B2C">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30</w:t>
            </w:r>
          </w:p>
        </w:tc>
        <w:tc>
          <w:tcPr>
            <w:tcW w:w="723" w:type="pct"/>
            <w:shd w:val="clear" w:color="auto" w:fill="auto"/>
            <w:vAlign w:val="center"/>
          </w:tcPr>
          <w:p w14:paraId="6E0B8CE3">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0.01</w:t>
            </w:r>
          </w:p>
        </w:tc>
        <w:tc>
          <w:tcPr>
            <w:tcW w:w="638" w:type="pct"/>
            <w:vMerge w:val="continue"/>
            <w:vAlign w:val="center"/>
          </w:tcPr>
          <w:p w14:paraId="364E1531">
            <w:pPr>
              <w:snapToGrid w:val="0"/>
              <w:spacing w:line="320" w:lineRule="exact"/>
              <w:jc w:val="center"/>
              <w:rPr>
                <w:rFonts w:eastAsia="仿宋_GB2312"/>
                <w:color w:val="FF0000"/>
                <w:szCs w:val="21"/>
              </w:rPr>
            </w:pPr>
          </w:p>
        </w:tc>
      </w:tr>
      <w:tr w14:paraId="3E2355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628" w:type="pct"/>
            <w:vMerge w:val="continue"/>
            <w:vAlign w:val="center"/>
          </w:tcPr>
          <w:p w14:paraId="26468419">
            <w:pPr>
              <w:jc w:val="center"/>
              <w:rPr>
                <w:rFonts w:eastAsia="仿宋_GB2312"/>
                <w:color w:val="FF0000"/>
                <w:szCs w:val="21"/>
              </w:rPr>
            </w:pPr>
          </w:p>
        </w:tc>
        <w:tc>
          <w:tcPr>
            <w:tcW w:w="731" w:type="pct"/>
            <w:vMerge w:val="continue"/>
            <w:vAlign w:val="center"/>
          </w:tcPr>
          <w:p w14:paraId="43D9F59E">
            <w:pPr>
              <w:jc w:val="center"/>
              <w:rPr>
                <w:rFonts w:eastAsia="仿宋_GB2312"/>
                <w:color w:val="FF0000"/>
                <w:szCs w:val="21"/>
              </w:rPr>
            </w:pPr>
          </w:p>
        </w:tc>
        <w:tc>
          <w:tcPr>
            <w:tcW w:w="776" w:type="pct"/>
            <w:vMerge w:val="continue"/>
            <w:vAlign w:val="center"/>
          </w:tcPr>
          <w:p w14:paraId="4F3B581B">
            <w:pPr>
              <w:jc w:val="center"/>
              <w:rPr>
                <w:rFonts w:eastAsia="仿宋_GB2312"/>
                <w:color w:val="FF0000"/>
                <w:szCs w:val="21"/>
              </w:rPr>
            </w:pPr>
          </w:p>
        </w:tc>
        <w:tc>
          <w:tcPr>
            <w:tcW w:w="743" w:type="pct"/>
            <w:shd w:val="clear" w:color="auto" w:fill="auto"/>
            <w:vAlign w:val="center"/>
          </w:tcPr>
          <w:p w14:paraId="1965D5A0">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TN</w:t>
            </w:r>
          </w:p>
        </w:tc>
        <w:tc>
          <w:tcPr>
            <w:tcW w:w="757" w:type="pct"/>
            <w:shd w:val="clear" w:color="auto" w:fill="auto"/>
            <w:vAlign w:val="center"/>
          </w:tcPr>
          <w:p w14:paraId="032B29BD">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45</w:t>
            </w:r>
          </w:p>
        </w:tc>
        <w:tc>
          <w:tcPr>
            <w:tcW w:w="723" w:type="pct"/>
            <w:shd w:val="clear" w:color="auto" w:fill="auto"/>
            <w:vAlign w:val="center"/>
          </w:tcPr>
          <w:p w14:paraId="59CC12E1">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0.015</w:t>
            </w:r>
          </w:p>
        </w:tc>
        <w:tc>
          <w:tcPr>
            <w:tcW w:w="638" w:type="pct"/>
            <w:vMerge w:val="continue"/>
            <w:vAlign w:val="center"/>
          </w:tcPr>
          <w:p w14:paraId="22262E49">
            <w:pPr>
              <w:snapToGrid w:val="0"/>
              <w:spacing w:line="320" w:lineRule="exact"/>
              <w:jc w:val="center"/>
              <w:rPr>
                <w:rFonts w:eastAsia="仿宋_GB2312"/>
                <w:color w:val="FF0000"/>
                <w:szCs w:val="21"/>
              </w:rPr>
            </w:pPr>
          </w:p>
        </w:tc>
      </w:tr>
      <w:tr w14:paraId="59EB56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628" w:type="pct"/>
            <w:vMerge w:val="continue"/>
            <w:vAlign w:val="center"/>
          </w:tcPr>
          <w:p w14:paraId="36C21BCF">
            <w:pPr>
              <w:jc w:val="center"/>
              <w:rPr>
                <w:rFonts w:eastAsia="仿宋_GB2312"/>
                <w:color w:val="FF0000"/>
                <w:szCs w:val="21"/>
              </w:rPr>
            </w:pPr>
          </w:p>
        </w:tc>
        <w:tc>
          <w:tcPr>
            <w:tcW w:w="731" w:type="pct"/>
            <w:vMerge w:val="continue"/>
            <w:vAlign w:val="center"/>
          </w:tcPr>
          <w:p w14:paraId="301D74DD">
            <w:pPr>
              <w:jc w:val="center"/>
              <w:rPr>
                <w:rFonts w:eastAsia="仿宋_GB2312"/>
                <w:color w:val="FF0000"/>
                <w:szCs w:val="21"/>
              </w:rPr>
            </w:pPr>
          </w:p>
        </w:tc>
        <w:tc>
          <w:tcPr>
            <w:tcW w:w="776" w:type="pct"/>
            <w:vMerge w:val="continue"/>
            <w:vAlign w:val="center"/>
          </w:tcPr>
          <w:p w14:paraId="168C7381">
            <w:pPr>
              <w:jc w:val="center"/>
              <w:rPr>
                <w:rFonts w:eastAsia="仿宋_GB2312"/>
                <w:color w:val="FF0000"/>
                <w:szCs w:val="21"/>
              </w:rPr>
            </w:pPr>
          </w:p>
        </w:tc>
        <w:tc>
          <w:tcPr>
            <w:tcW w:w="743" w:type="pct"/>
            <w:shd w:val="clear" w:color="auto" w:fill="auto"/>
            <w:vAlign w:val="center"/>
          </w:tcPr>
          <w:p w14:paraId="3170359F">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TP</w:t>
            </w:r>
          </w:p>
        </w:tc>
        <w:tc>
          <w:tcPr>
            <w:tcW w:w="757" w:type="pct"/>
            <w:shd w:val="clear" w:color="auto" w:fill="auto"/>
            <w:vAlign w:val="center"/>
          </w:tcPr>
          <w:p w14:paraId="07B93072">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723" w:type="pct"/>
            <w:shd w:val="clear" w:color="auto" w:fill="auto"/>
            <w:vAlign w:val="center"/>
          </w:tcPr>
          <w:p w14:paraId="6F31A7BC">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0.001</w:t>
            </w:r>
          </w:p>
        </w:tc>
        <w:tc>
          <w:tcPr>
            <w:tcW w:w="638" w:type="pct"/>
            <w:vMerge w:val="continue"/>
            <w:vAlign w:val="center"/>
          </w:tcPr>
          <w:p w14:paraId="68BA6D23">
            <w:pPr>
              <w:snapToGrid w:val="0"/>
              <w:spacing w:line="320" w:lineRule="exact"/>
              <w:jc w:val="center"/>
              <w:rPr>
                <w:rFonts w:eastAsia="仿宋_GB2312"/>
                <w:color w:val="FF0000"/>
                <w:szCs w:val="21"/>
              </w:rPr>
            </w:pPr>
          </w:p>
        </w:tc>
      </w:tr>
      <w:tr w14:paraId="395308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628" w:type="pct"/>
            <w:vMerge w:val="restart"/>
            <w:vAlign w:val="center"/>
          </w:tcPr>
          <w:p w14:paraId="606DF717">
            <w:pPr>
              <w:keepNext w:val="0"/>
              <w:keepLines w:val="0"/>
              <w:widowControl/>
              <w:suppressLineNumbers w:val="0"/>
              <w:jc w:val="center"/>
              <w:textAlignment w:val="center"/>
              <w:rPr>
                <w:rFonts w:eastAsia="仿宋_GB2312"/>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W3-15-1</w:t>
            </w:r>
          </w:p>
        </w:tc>
        <w:tc>
          <w:tcPr>
            <w:tcW w:w="731" w:type="pct"/>
            <w:vMerge w:val="restart"/>
            <w:vAlign w:val="center"/>
          </w:tcPr>
          <w:p w14:paraId="5420B1CF">
            <w:pPr>
              <w:keepNext w:val="0"/>
              <w:keepLines w:val="0"/>
              <w:widowControl/>
              <w:suppressLineNumbers w:val="0"/>
              <w:jc w:val="center"/>
              <w:textAlignment w:val="center"/>
              <w:rPr>
                <w:rFonts w:eastAsia="仿宋_GB2312"/>
                <w:color w:val="FF0000"/>
                <w:szCs w:val="21"/>
              </w:rPr>
            </w:pPr>
            <w:r>
              <w:rPr>
                <w:rFonts w:hint="default" w:ascii="仿宋_GB2312" w:hAnsi="宋体" w:eastAsia="仿宋_GB2312" w:cs="仿宋_GB2312"/>
                <w:i w:val="0"/>
                <w:iCs w:val="0"/>
                <w:color w:val="000000"/>
                <w:kern w:val="0"/>
                <w:sz w:val="21"/>
                <w:szCs w:val="21"/>
                <w:u w:val="none"/>
                <w:lang w:val="en-US" w:eastAsia="zh-CN" w:bidi="ar"/>
              </w:rPr>
              <w:t>冷凝废水</w:t>
            </w:r>
          </w:p>
        </w:tc>
        <w:tc>
          <w:tcPr>
            <w:tcW w:w="776" w:type="pct"/>
            <w:vMerge w:val="restart"/>
            <w:vAlign w:val="center"/>
          </w:tcPr>
          <w:p w14:paraId="0A780702">
            <w:pPr>
              <w:keepNext w:val="0"/>
              <w:keepLines w:val="0"/>
              <w:widowControl/>
              <w:suppressLineNumbers w:val="0"/>
              <w:jc w:val="center"/>
              <w:textAlignment w:val="center"/>
              <w:rPr>
                <w:rFonts w:eastAsia="仿宋_GB2312"/>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194.421</w:t>
            </w:r>
          </w:p>
        </w:tc>
        <w:tc>
          <w:tcPr>
            <w:tcW w:w="743" w:type="pct"/>
            <w:shd w:val="clear" w:color="auto" w:fill="auto"/>
            <w:vAlign w:val="center"/>
          </w:tcPr>
          <w:p w14:paraId="3D979A74">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COD</w:t>
            </w:r>
          </w:p>
        </w:tc>
        <w:tc>
          <w:tcPr>
            <w:tcW w:w="757" w:type="pct"/>
            <w:shd w:val="clear" w:color="auto" w:fill="auto"/>
            <w:vAlign w:val="center"/>
          </w:tcPr>
          <w:p w14:paraId="2045A5DC">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19812</w:t>
            </w:r>
          </w:p>
        </w:tc>
        <w:tc>
          <w:tcPr>
            <w:tcW w:w="723" w:type="pct"/>
            <w:shd w:val="clear" w:color="auto" w:fill="auto"/>
            <w:vAlign w:val="center"/>
          </w:tcPr>
          <w:p w14:paraId="29A2749C">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3.852</w:t>
            </w:r>
          </w:p>
        </w:tc>
        <w:tc>
          <w:tcPr>
            <w:tcW w:w="638" w:type="pct"/>
            <w:vMerge w:val="continue"/>
            <w:vAlign w:val="center"/>
          </w:tcPr>
          <w:p w14:paraId="520198FD">
            <w:pPr>
              <w:snapToGrid w:val="0"/>
              <w:spacing w:line="320" w:lineRule="exact"/>
              <w:jc w:val="center"/>
              <w:rPr>
                <w:rFonts w:eastAsia="仿宋_GB2312"/>
                <w:color w:val="FF0000"/>
                <w:szCs w:val="21"/>
              </w:rPr>
            </w:pPr>
          </w:p>
        </w:tc>
      </w:tr>
      <w:tr w14:paraId="0A97161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628" w:type="pct"/>
            <w:vMerge w:val="continue"/>
            <w:vAlign w:val="center"/>
          </w:tcPr>
          <w:p w14:paraId="30A827E3">
            <w:pPr>
              <w:jc w:val="center"/>
              <w:rPr>
                <w:rFonts w:eastAsia="仿宋_GB2312"/>
                <w:color w:val="FF0000"/>
                <w:szCs w:val="21"/>
              </w:rPr>
            </w:pPr>
          </w:p>
        </w:tc>
        <w:tc>
          <w:tcPr>
            <w:tcW w:w="731" w:type="pct"/>
            <w:vMerge w:val="continue"/>
            <w:vAlign w:val="center"/>
          </w:tcPr>
          <w:p w14:paraId="27337D8F">
            <w:pPr>
              <w:jc w:val="center"/>
              <w:rPr>
                <w:rFonts w:eastAsia="仿宋_GB2312"/>
                <w:color w:val="FF0000"/>
                <w:szCs w:val="21"/>
              </w:rPr>
            </w:pPr>
          </w:p>
        </w:tc>
        <w:tc>
          <w:tcPr>
            <w:tcW w:w="776" w:type="pct"/>
            <w:vMerge w:val="continue"/>
            <w:vAlign w:val="center"/>
          </w:tcPr>
          <w:p w14:paraId="2A87988B">
            <w:pPr>
              <w:jc w:val="center"/>
              <w:rPr>
                <w:rFonts w:eastAsia="仿宋_GB2312"/>
                <w:color w:val="FF0000"/>
                <w:szCs w:val="21"/>
              </w:rPr>
            </w:pPr>
          </w:p>
        </w:tc>
        <w:tc>
          <w:tcPr>
            <w:tcW w:w="743" w:type="pct"/>
            <w:shd w:val="clear" w:color="auto" w:fill="auto"/>
            <w:vAlign w:val="center"/>
          </w:tcPr>
          <w:p w14:paraId="12664B1C">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NH</w:t>
            </w:r>
            <w:r>
              <w:rPr>
                <w:rFonts w:hint="default" w:ascii="Times New Roman" w:hAnsi="Times New Roman" w:eastAsia="宋体" w:cs="Times New Roman"/>
                <w:i w:val="0"/>
                <w:iCs w:val="0"/>
                <w:color w:val="000000"/>
                <w:kern w:val="0"/>
                <w:sz w:val="21"/>
                <w:szCs w:val="21"/>
                <w:u w:val="none"/>
                <w:vertAlign w:val="subscript"/>
                <w:lang w:val="en-US" w:eastAsia="zh-CN" w:bidi="ar"/>
              </w:rPr>
              <w:t>3</w:t>
            </w:r>
            <w:r>
              <w:rPr>
                <w:rFonts w:hint="default" w:ascii="Times New Roman" w:hAnsi="Times New Roman" w:eastAsia="宋体" w:cs="Times New Roman"/>
                <w:i w:val="0"/>
                <w:iCs w:val="0"/>
                <w:color w:val="000000"/>
                <w:kern w:val="0"/>
                <w:sz w:val="21"/>
                <w:szCs w:val="21"/>
                <w:u w:val="none"/>
                <w:lang w:val="en-US" w:eastAsia="zh-CN" w:bidi="ar"/>
              </w:rPr>
              <w:t>-N</w:t>
            </w:r>
          </w:p>
        </w:tc>
        <w:tc>
          <w:tcPr>
            <w:tcW w:w="757" w:type="pct"/>
            <w:shd w:val="clear" w:color="auto" w:fill="auto"/>
            <w:vAlign w:val="center"/>
          </w:tcPr>
          <w:p w14:paraId="0CFAF3D0">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30</w:t>
            </w:r>
          </w:p>
        </w:tc>
        <w:tc>
          <w:tcPr>
            <w:tcW w:w="723" w:type="pct"/>
            <w:shd w:val="clear" w:color="auto" w:fill="auto"/>
            <w:vAlign w:val="center"/>
          </w:tcPr>
          <w:p w14:paraId="635B824B">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0.006</w:t>
            </w:r>
          </w:p>
        </w:tc>
        <w:tc>
          <w:tcPr>
            <w:tcW w:w="638" w:type="pct"/>
            <w:vMerge w:val="continue"/>
            <w:vAlign w:val="center"/>
          </w:tcPr>
          <w:p w14:paraId="2BC8CD59">
            <w:pPr>
              <w:snapToGrid w:val="0"/>
              <w:spacing w:line="320" w:lineRule="exact"/>
              <w:jc w:val="center"/>
              <w:rPr>
                <w:rFonts w:eastAsia="仿宋_GB2312"/>
                <w:color w:val="FF0000"/>
                <w:szCs w:val="21"/>
              </w:rPr>
            </w:pPr>
          </w:p>
        </w:tc>
      </w:tr>
      <w:tr w14:paraId="4C4A2C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628" w:type="pct"/>
            <w:vMerge w:val="continue"/>
            <w:vAlign w:val="center"/>
          </w:tcPr>
          <w:p w14:paraId="1C5002D8">
            <w:pPr>
              <w:jc w:val="center"/>
              <w:rPr>
                <w:rFonts w:eastAsia="仿宋_GB2312"/>
                <w:color w:val="FF0000"/>
                <w:szCs w:val="21"/>
              </w:rPr>
            </w:pPr>
          </w:p>
        </w:tc>
        <w:tc>
          <w:tcPr>
            <w:tcW w:w="731" w:type="pct"/>
            <w:vMerge w:val="continue"/>
            <w:vAlign w:val="center"/>
          </w:tcPr>
          <w:p w14:paraId="17666345">
            <w:pPr>
              <w:jc w:val="center"/>
              <w:rPr>
                <w:rFonts w:eastAsia="仿宋_GB2312"/>
                <w:color w:val="FF0000"/>
                <w:szCs w:val="21"/>
              </w:rPr>
            </w:pPr>
          </w:p>
        </w:tc>
        <w:tc>
          <w:tcPr>
            <w:tcW w:w="776" w:type="pct"/>
            <w:vMerge w:val="continue"/>
            <w:vAlign w:val="center"/>
          </w:tcPr>
          <w:p w14:paraId="39C1C075">
            <w:pPr>
              <w:jc w:val="center"/>
              <w:rPr>
                <w:rFonts w:eastAsia="仿宋_GB2312"/>
                <w:color w:val="FF0000"/>
                <w:szCs w:val="21"/>
              </w:rPr>
            </w:pPr>
          </w:p>
        </w:tc>
        <w:tc>
          <w:tcPr>
            <w:tcW w:w="743" w:type="pct"/>
            <w:shd w:val="clear" w:color="auto" w:fill="auto"/>
            <w:vAlign w:val="center"/>
          </w:tcPr>
          <w:p w14:paraId="47E87AB5">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TN</w:t>
            </w:r>
          </w:p>
        </w:tc>
        <w:tc>
          <w:tcPr>
            <w:tcW w:w="757" w:type="pct"/>
            <w:shd w:val="clear" w:color="auto" w:fill="auto"/>
            <w:vAlign w:val="center"/>
          </w:tcPr>
          <w:p w14:paraId="5DBBBF63">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45</w:t>
            </w:r>
          </w:p>
        </w:tc>
        <w:tc>
          <w:tcPr>
            <w:tcW w:w="723" w:type="pct"/>
            <w:shd w:val="clear" w:color="auto" w:fill="auto"/>
            <w:vAlign w:val="center"/>
          </w:tcPr>
          <w:p w14:paraId="34C8F328">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0.009</w:t>
            </w:r>
          </w:p>
        </w:tc>
        <w:tc>
          <w:tcPr>
            <w:tcW w:w="638" w:type="pct"/>
            <w:vMerge w:val="continue"/>
            <w:vAlign w:val="center"/>
          </w:tcPr>
          <w:p w14:paraId="2A47BD0A">
            <w:pPr>
              <w:snapToGrid w:val="0"/>
              <w:spacing w:line="320" w:lineRule="exact"/>
              <w:jc w:val="center"/>
              <w:rPr>
                <w:rFonts w:eastAsia="仿宋_GB2312"/>
                <w:color w:val="FF0000"/>
                <w:szCs w:val="21"/>
              </w:rPr>
            </w:pPr>
          </w:p>
        </w:tc>
      </w:tr>
      <w:tr w14:paraId="457A693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628" w:type="pct"/>
            <w:vMerge w:val="continue"/>
            <w:vAlign w:val="center"/>
          </w:tcPr>
          <w:p w14:paraId="6890F601">
            <w:pPr>
              <w:jc w:val="center"/>
              <w:rPr>
                <w:rFonts w:eastAsia="仿宋_GB2312"/>
                <w:color w:val="FF0000"/>
                <w:szCs w:val="21"/>
              </w:rPr>
            </w:pPr>
          </w:p>
        </w:tc>
        <w:tc>
          <w:tcPr>
            <w:tcW w:w="731" w:type="pct"/>
            <w:vMerge w:val="continue"/>
            <w:vAlign w:val="center"/>
          </w:tcPr>
          <w:p w14:paraId="18E7E25C">
            <w:pPr>
              <w:jc w:val="center"/>
              <w:rPr>
                <w:rFonts w:eastAsia="仿宋_GB2312"/>
                <w:color w:val="FF0000"/>
                <w:szCs w:val="21"/>
              </w:rPr>
            </w:pPr>
          </w:p>
        </w:tc>
        <w:tc>
          <w:tcPr>
            <w:tcW w:w="776" w:type="pct"/>
            <w:vMerge w:val="continue"/>
            <w:vAlign w:val="center"/>
          </w:tcPr>
          <w:p w14:paraId="2CC0E439">
            <w:pPr>
              <w:jc w:val="center"/>
              <w:rPr>
                <w:rFonts w:eastAsia="仿宋_GB2312"/>
                <w:color w:val="FF0000"/>
                <w:szCs w:val="21"/>
              </w:rPr>
            </w:pPr>
          </w:p>
        </w:tc>
        <w:tc>
          <w:tcPr>
            <w:tcW w:w="743" w:type="pct"/>
            <w:shd w:val="clear" w:color="auto" w:fill="auto"/>
            <w:vAlign w:val="center"/>
          </w:tcPr>
          <w:p w14:paraId="76BA6E1B">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TP</w:t>
            </w:r>
          </w:p>
        </w:tc>
        <w:tc>
          <w:tcPr>
            <w:tcW w:w="757" w:type="pct"/>
            <w:shd w:val="clear" w:color="auto" w:fill="auto"/>
            <w:vAlign w:val="center"/>
          </w:tcPr>
          <w:p w14:paraId="444DBB48">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723" w:type="pct"/>
            <w:shd w:val="clear" w:color="auto" w:fill="auto"/>
            <w:vAlign w:val="center"/>
          </w:tcPr>
          <w:p w14:paraId="0C262B47">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0.001</w:t>
            </w:r>
          </w:p>
        </w:tc>
        <w:tc>
          <w:tcPr>
            <w:tcW w:w="638" w:type="pct"/>
            <w:vMerge w:val="continue"/>
            <w:vAlign w:val="center"/>
          </w:tcPr>
          <w:p w14:paraId="5CA4E6C7">
            <w:pPr>
              <w:snapToGrid w:val="0"/>
              <w:spacing w:line="320" w:lineRule="exact"/>
              <w:jc w:val="center"/>
              <w:rPr>
                <w:rFonts w:eastAsia="仿宋_GB2312"/>
                <w:color w:val="FF0000"/>
                <w:szCs w:val="21"/>
              </w:rPr>
            </w:pPr>
          </w:p>
        </w:tc>
      </w:tr>
      <w:tr w14:paraId="350756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628" w:type="pct"/>
            <w:vAlign w:val="center"/>
          </w:tcPr>
          <w:p w14:paraId="551BD3DA">
            <w:pPr>
              <w:keepNext w:val="0"/>
              <w:keepLines w:val="0"/>
              <w:widowControl/>
              <w:suppressLineNumbers w:val="0"/>
              <w:jc w:val="center"/>
              <w:textAlignment w:val="center"/>
              <w:rPr>
                <w:rFonts w:eastAsia="仿宋_GB2312"/>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W4-1-1</w:t>
            </w:r>
          </w:p>
        </w:tc>
        <w:tc>
          <w:tcPr>
            <w:tcW w:w="731" w:type="pct"/>
            <w:vAlign w:val="center"/>
          </w:tcPr>
          <w:p w14:paraId="28DE4AA4">
            <w:pPr>
              <w:keepNext w:val="0"/>
              <w:keepLines w:val="0"/>
              <w:widowControl/>
              <w:suppressLineNumbers w:val="0"/>
              <w:jc w:val="center"/>
              <w:textAlignment w:val="center"/>
              <w:rPr>
                <w:rFonts w:eastAsia="仿宋_GB2312"/>
                <w:color w:val="FF0000"/>
                <w:szCs w:val="21"/>
              </w:rPr>
            </w:pPr>
            <w:r>
              <w:rPr>
                <w:rFonts w:hint="default" w:ascii="仿宋_GB2312" w:hAnsi="宋体" w:eastAsia="仿宋_GB2312" w:cs="仿宋_GB2312"/>
                <w:i w:val="0"/>
                <w:iCs w:val="0"/>
                <w:color w:val="000000"/>
                <w:kern w:val="0"/>
                <w:sz w:val="21"/>
                <w:szCs w:val="21"/>
                <w:u w:val="none"/>
                <w:lang w:val="en-US" w:eastAsia="zh-CN" w:bidi="ar"/>
              </w:rPr>
              <w:t>冷凝废水</w:t>
            </w:r>
          </w:p>
        </w:tc>
        <w:tc>
          <w:tcPr>
            <w:tcW w:w="776" w:type="pct"/>
            <w:vAlign w:val="center"/>
          </w:tcPr>
          <w:p w14:paraId="704B9F98">
            <w:pPr>
              <w:keepNext w:val="0"/>
              <w:keepLines w:val="0"/>
              <w:widowControl/>
              <w:suppressLineNumbers w:val="0"/>
              <w:jc w:val="center"/>
              <w:textAlignment w:val="center"/>
              <w:rPr>
                <w:rFonts w:eastAsia="仿宋_GB2312"/>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7737.646</w:t>
            </w:r>
          </w:p>
        </w:tc>
        <w:tc>
          <w:tcPr>
            <w:tcW w:w="743" w:type="pct"/>
            <w:shd w:val="clear" w:color="auto" w:fill="auto"/>
            <w:vAlign w:val="center"/>
          </w:tcPr>
          <w:p w14:paraId="379DF5BB">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COD</w:t>
            </w:r>
          </w:p>
        </w:tc>
        <w:tc>
          <w:tcPr>
            <w:tcW w:w="757" w:type="pct"/>
            <w:shd w:val="clear" w:color="auto" w:fill="auto"/>
            <w:vAlign w:val="center"/>
          </w:tcPr>
          <w:p w14:paraId="44E4E4C9">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16000</w:t>
            </w:r>
          </w:p>
        </w:tc>
        <w:tc>
          <w:tcPr>
            <w:tcW w:w="723" w:type="pct"/>
            <w:shd w:val="clear" w:color="auto" w:fill="auto"/>
            <w:vAlign w:val="center"/>
          </w:tcPr>
          <w:p w14:paraId="3CAF447B">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123.8</w:t>
            </w:r>
          </w:p>
        </w:tc>
        <w:tc>
          <w:tcPr>
            <w:tcW w:w="638" w:type="pct"/>
            <w:vMerge w:val="continue"/>
            <w:vAlign w:val="center"/>
          </w:tcPr>
          <w:p w14:paraId="411B1331">
            <w:pPr>
              <w:snapToGrid w:val="0"/>
              <w:spacing w:line="320" w:lineRule="exact"/>
              <w:jc w:val="center"/>
              <w:rPr>
                <w:rFonts w:eastAsia="仿宋_GB2312"/>
                <w:color w:val="FF0000"/>
                <w:szCs w:val="21"/>
              </w:rPr>
            </w:pPr>
          </w:p>
        </w:tc>
      </w:tr>
      <w:tr w14:paraId="15930F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628" w:type="pct"/>
            <w:vAlign w:val="center"/>
          </w:tcPr>
          <w:p w14:paraId="7F9619E2">
            <w:pPr>
              <w:keepNext w:val="0"/>
              <w:keepLines w:val="0"/>
              <w:widowControl/>
              <w:suppressLineNumbers w:val="0"/>
              <w:jc w:val="center"/>
              <w:textAlignment w:val="center"/>
              <w:rPr>
                <w:rFonts w:eastAsia="仿宋_GB2312"/>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W4-2-1</w:t>
            </w:r>
          </w:p>
        </w:tc>
        <w:tc>
          <w:tcPr>
            <w:tcW w:w="731" w:type="pct"/>
            <w:vAlign w:val="center"/>
          </w:tcPr>
          <w:p w14:paraId="2C7EF4D2">
            <w:pPr>
              <w:keepNext w:val="0"/>
              <w:keepLines w:val="0"/>
              <w:widowControl/>
              <w:suppressLineNumbers w:val="0"/>
              <w:jc w:val="center"/>
              <w:textAlignment w:val="center"/>
              <w:rPr>
                <w:rFonts w:eastAsia="仿宋_GB2312"/>
                <w:color w:val="FF0000"/>
                <w:szCs w:val="21"/>
              </w:rPr>
            </w:pPr>
            <w:r>
              <w:rPr>
                <w:rFonts w:hint="default" w:ascii="仿宋_GB2312" w:hAnsi="宋体" w:eastAsia="仿宋_GB2312" w:cs="仿宋_GB2312"/>
                <w:i w:val="0"/>
                <w:iCs w:val="0"/>
                <w:color w:val="000000"/>
                <w:kern w:val="0"/>
                <w:sz w:val="21"/>
                <w:szCs w:val="21"/>
                <w:u w:val="none"/>
                <w:lang w:val="en-US" w:eastAsia="zh-CN" w:bidi="ar"/>
              </w:rPr>
              <w:t>冷凝废水</w:t>
            </w:r>
          </w:p>
        </w:tc>
        <w:tc>
          <w:tcPr>
            <w:tcW w:w="776" w:type="pct"/>
            <w:vAlign w:val="center"/>
          </w:tcPr>
          <w:p w14:paraId="6ECAA3E1">
            <w:pPr>
              <w:keepNext w:val="0"/>
              <w:keepLines w:val="0"/>
              <w:widowControl/>
              <w:suppressLineNumbers w:val="0"/>
              <w:jc w:val="center"/>
              <w:textAlignment w:val="center"/>
              <w:rPr>
                <w:rFonts w:eastAsia="仿宋_GB2312"/>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8112.005</w:t>
            </w:r>
          </w:p>
        </w:tc>
        <w:tc>
          <w:tcPr>
            <w:tcW w:w="743" w:type="pct"/>
            <w:shd w:val="clear" w:color="auto" w:fill="auto"/>
            <w:vAlign w:val="center"/>
          </w:tcPr>
          <w:p w14:paraId="35C9C88B">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COD</w:t>
            </w:r>
          </w:p>
        </w:tc>
        <w:tc>
          <w:tcPr>
            <w:tcW w:w="757" w:type="pct"/>
            <w:shd w:val="clear" w:color="auto" w:fill="auto"/>
            <w:vAlign w:val="center"/>
          </w:tcPr>
          <w:p w14:paraId="5340718F">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12000</w:t>
            </w:r>
          </w:p>
        </w:tc>
        <w:tc>
          <w:tcPr>
            <w:tcW w:w="723" w:type="pct"/>
            <w:shd w:val="clear" w:color="auto" w:fill="auto"/>
            <w:vAlign w:val="center"/>
          </w:tcPr>
          <w:p w14:paraId="09747480">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97.34</w:t>
            </w:r>
          </w:p>
        </w:tc>
        <w:tc>
          <w:tcPr>
            <w:tcW w:w="638" w:type="pct"/>
            <w:vMerge w:val="continue"/>
            <w:vAlign w:val="center"/>
          </w:tcPr>
          <w:p w14:paraId="26F7DD06">
            <w:pPr>
              <w:snapToGrid w:val="0"/>
              <w:spacing w:line="320" w:lineRule="exact"/>
              <w:jc w:val="center"/>
              <w:rPr>
                <w:rFonts w:eastAsia="仿宋_GB2312"/>
                <w:color w:val="FF0000"/>
                <w:szCs w:val="21"/>
              </w:rPr>
            </w:pPr>
          </w:p>
        </w:tc>
      </w:tr>
      <w:tr w14:paraId="3252FB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628" w:type="pct"/>
            <w:vAlign w:val="center"/>
          </w:tcPr>
          <w:p w14:paraId="78F32559">
            <w:pPr>
              <w:keepNext w:val="0"/>
              <w:keepLines w:val="0"/>
              <w:widowControl/>
              <w:suppressLineNumbers w:val="0"/>
              <w:jc w:val="center"/>
              <w:textAlignment w:val="center"/>
              <w:rPr>
                <w:rFonts w:eastAsia="仿宋_GB2312"/>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W4-3-1</w:t>
            </w:r>
          </w:p>
        </w:tc>
        <w:tc>
          <w:tcPr>
            <w:tcW w:w="731" w:type="pct"/>
            <w:vAlign w:val="center"/>
          </w:tcPr>
          <w:p w14:paraId="2E0D1AEA">
            <w:pPr>
              <w:keepNext w:val="0"/>
              <w:keepLines w:val="0"/>
              <w:widowControl/>
              <w:suppressLineNumbers w:val="0"/>
              <w:jc w:val="center"/>
              <w:textAlignment w:val="center"/>
              <w:rPr>
                <w:rFonts w:eastAsia="仿宋_GB2312"/>
                <w:color w:val="FF0000"/>
                <w:szCs w:val="21"/>
              </w:rPr>
            </w:pPr>
            <w:r>
              <w:rPr>
                <w:rFonts w:hint="default" w:ascii="仿宋_GB2312" w:hAnsi="宋体" w:eastAsia="仿宋_GB2312" w:cs="仿宋_GB2312"/>
                <w:i w:val="0"/>
                <w:iCs w:val="0"/>
                <w:color w:val="000000"/>
                <w:kern w:val="0"/>
                <w:sz w:val="21"/>
                <w:szCs w:val="21"/>
                <w:u w:val="none"/>
                <w:lang w:val="en-US" w:eastAsia="zh-CN" w:bidi="ar"/>
              </w:rPr>
              <w:t>冷凝废水</w:t>
            </w:r>
          </w:p>
        </w:tc>
        <w:tc>
          <w:tcPr>
            <w:tcW w:w="776" w:type="pct"/>
            <w:vAlign w:val="center"/>
          </w:tcPr>
          <w:p w14:paraId="334EA2B3">
            <w:pPr>
              <w:keepNext w:val="0"/>
              <w:keepLines w:val="0"/>
              <w:widowControl/>
              <w:suppressLineNumbers w:val="0"/>
              <w:jc w:val="center"/>
              <w:textAlignment w:val="center"/>
              <w:rPr>
                <w:rFonts w:eastAsia="仿宋_GB2312"/>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2278.658</w:t>
            </w:r>
          </w:p>
        </w:tc>
        <w:tc>
          <w:tcPr>
            <w:tcW w:w="743" w:type="pct"/>
            <w:shd w:val="clear" w:color="auto" w:fill="auto"/>
            <w:vAlign w:val="center"/>
          </w:tcPr>
          <w:p w14:paraId="2581F1E0">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COD</w:t>
            </w:r>
          </w:p>
        </w:tc>
        <w:tc>
          <w:tcPr>
            <w:tcW w:w="757" w:type="pct"/>
            <w:shd w:val="clear" w:color="auto" w:fill="auto"/>
            <w:vAlign w:val="center"/>
          </w:tcPr>
          <w:p w14:paraId="564AA6B6">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13007</w:t>
            </w:r>
          </w:p>
        </w:tc>
        <w:tc>
          <w:tcPr>
            <w:tcW w:w="723" w:type="pct"/>
            <w:shd w:val="clear" w:color="auto" w:fill="auto"/>
            <w:vAlign w:val="center"/>
          </w:tcPr>
          <w:p w14:paraId="2C3C8D76">
            <w:pPr>
              <w:keepNext w:val="0"/>
              <w:keepLines w:val="0"/>
              <w:widowControl/>
              <w:suppressLineNumbers w:val="0"/>
              <w:jc w:val="center"/>
              <w:textAlignment w:val="center"/>
              <w:rPr>
                <w:rFonts w:eastAsia="仿宋_GB2312"/>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29.6</w:t>
            </w:r>
          </w:p>
        </w:tc>
        <w:tc>
          <w:tcPr>
            <w:tcW w:w="638" w:type="pct"/>
            <w:vMerge w:val="continue"/>
            <w:vAlign w:val="center"/>
          </w:tcPr>
          <w:p w14:paraId="648481E9">
            <w:pPr>
              <w:snapToGrid w:val="0"/>
              <w:spacing w:line="320" w:lineRule="exact"/>
              <w:jc w:val="center"/>
              <w:rPr>
                <w:rFonts w:eastAsia="仿宋_GB2312"/>
                <w:color w:val="FF0000"/>
                <w:szCs w:val="21"/>
              </w:rPr>
            </w:pPr>
          </w:p>
        </w:tc>
      </w:tr>
      <w:tr w14:paraId="534F1F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628" w:type="pct"/>
            <w:vMerge w:val="restart"/>
            <w:shd w:val="clear" w:color="auto" w:fill="auto"/>
            <w:vAlign w:val="center"/>
          </w:tcPr>
          <w:p w14:paraId="022C879E">
            <w:pPr>
              <w:widowControl/>
              <w:spacing w:line="300" w:lineRule="exact"/>
              <w:jc w:val="center"/>
              <w:rPr>
                <w:rFonts w:hint="default" w:ascii="Times New Roman" w:hAnsi="Times New Roman" w:eastAsia="仿宋_GB2312" w:cs="Times New Roman"/>
                <w:color w:val="auto"/>
                <w:kern w:val="0"/>
                <w:sz w:val="21"/>
                <w:szCs w:val="21"/>
                <w:lang w:val="en-US" w:eastAsia="zh-CN" w:bidi="ar-SA"/>
              </w:rPr>
            </w:pPr>
            <w:r>
              <w:rPr>
                <w:rFonts w:eastAsia="仿宋_GB2312"/>
                <w:color w:val="auto"/>
                <w:kern w:val="0"/>
                <w:szCs w:val="21"/>
              </w:rPr>
              <w:t>W</w:t>
            </w:r>
            <w:r>
              <w:rPr>
                <w:rFonts w:hint="eastAsia" w:eastAsia="仿宋_GB2312"/>
                <w:color w:val="auto"/>
                <w:kern w:val="0"/>
                <w:szCs w:val="21"/>
                <w:lang w:val="en-US" w:eastAsia="zh-CN"/>
              </w:rPr>
              <w:t>5</w:t>
            </w:r>
            <w:r>
              <w:rPr>
                <w:rFonts w:eastAsia="仿宋_GB2312"/>
                <w:color w:val="auto"/>
                <w:kern w:val="0"/>
                <w:szCs w:val="21"/>
              </w:rPr>
              <w:t>-1</w:t>
            </w:r>
          </w:p>
        </w:tc>
        <w:tc>
          <w:tcPr>
            <w:tcW w:w="731" w:type="pct"/>
            <w:vMerge w:val="restart"/>
            <w:shd w:val="clear" w:color="auto" w:fill="auto"/>
            <w:vAlign w:val="center"/>
          </w:tcPr>
          <w:p w14:paraId="493AC6D4">
            <w:pPr>
              <w:widowControl/>
              <w:spacing w:line="300" w:lineRule="exact"/>
              <w:jc w:val="center"/>
              <w:rPr>
                <w:rFonts w:hint="default" w:ascii="Times New Roman" w:hAnsi="Times New Roman" w:eastAsia="仿宋_GB2312" w:cs="Times New Roman"/>
                <w:color w:val="auto"/>
                <w:kern w:val="0"/>
                <w:sz w:val="21"/>
                <w:szCs w:val="21"/>
                <w:lang w:val="en-US" w:eastAsia="zh-CN" w:bidi="ar-SA"/>
              </w:rPr>
            </w:pPr>
            <w:r>
              <w:rPr>
                <w:rFonts w:eastAsia="仿宋_GB2312"/>
                <w:color w:val="auto"/>
                <w:kern w:val="0"/>
                <w:szCs w:val="21"/>
              </w:rPr>
              <w:t>冷凝废水</w:t>
            </w:r>
          </w:p>
        </w:tc>
        <w:tc>
          <w:tcPr>
            <w:tcW w:w="776" w:type="pct"/>
            <w:vMerge w:val="restart"/>
            <w:shd w:val="clear" w:color="auto" w:fill="auto"/>
            <w:vAlign w:val="center"/>
          </w:tcPr>
          <w:p w14:paraId="3697B6EF">
            <w:pPr>
              <w:widowControl/>
              <w:spacing w:line="300" w:lineRule="exact"/>
              <w:jc w:val="center"/>
              <w:rPr>
                <w:rFonts w:hint="default" w:ascii="Times New Roman" w:hAnsi="Times New Roman" w:eastAsia="仿宋_GB2312" w:cs="Times New Roman"/>
                <w:color w:val="auto"/>
                <w:kern w:val="0"/>
                <w:sz w:val="21"/>
                <w:szCs w:val="21"/>
                <w:lang w:val="en-US" w:eastAsia="zh-CN" w:bidi="ar-SA"/>
              </w:rPr>
            </w:pPr>
            <w:r>
              <w:rPr>
                <w:rFonts w:hint="eastAsia" w:eastAsia="仿宋_GB2312"/>
                <w:color w:val="auto"/>
                <w:kern w:val="0"/>
                <w:szCs w:val="21"/>
                <w:lang w:val="en-US" w:eastAsia="zh-CN"/>
              </w:rPr>
              <w:t>8580.4</w:t>
            </w:r>
          </w:p>
        </w:tc>
        <w:tc>
          <w:tcPr>
            <w:tcW w:w="743" w:type="pct"/>
            <w:shd w:val="clear" w:color="auto" w:fill="auto"/>
            <w:vAlign w:val="center"/>
          </w:tcPr>
          <w:p w14:paraId="02F52C2A">
            <w:pPr>
              <w:widowControl/>
              <w:jc w:val="center"/>
              <w:rPr>
                <w:rFonts w:hint="default" w:ascii="Times New Roman" w:hAnsi="Times New Roman" w:eastAsia="宋体" w:cs="Times New Roman"/>
                <w:color w:val="auto"/>
                <w:kern w:val="0"/>
                <w:sz w:val="21"/>
                <w:szCs w:val="21"/>
                <w:lang w:val="en-US" w:eastAsia="zh-CN" w:bidi="ar-SA"/>
              </w:rPr>
            </w:pPr>
            <w:r>
              <w:rPr>
                <w:color w:val="auto"/>
                <w:kern w:val="0"/>
                <w:szCs w:val="21"/>
              </w:rPr>
              <w:t>COD</w:t>
            </w:r>
          </w:p>
        </w:tc>
        <w:tc>
          <w:tcPr>
            <w:tcW w:w="757" w:type="pct"/>
            <w:shd w:val="clear" w:color="auto" w:fill="auto"/>
            <w:vAlign w:val="center"/>
          </w:tcPr>
          <w:p w14:paraId="0FC7A571">
            <w:pPr>
              <w:widowControl/>
              <w:spacing w:line="300" w:lineRule="exact"/>
              <w:jc w:val="center"/>
              <w:rPr>
                <w:rFonts w:hint="default" w:ascii="Times New Roman" w:hAnsi="Times New Roman" w:eastAsia="仿宋_GB2312" w:cs="Times New Roman"/>
                <w:color w:val="auto"/>
                <w:kern w:val="0"/>
                <w:sz w:val="21"/>
                <w:szCs w:val="21"/>
                <w:lang w:val="en-US" w:eastAsia="zh-CN" w:bidi="ar-SA"/>
              </w:rPr>
            </w:pPr>
            <w:r>
              <w:rPr>
                <w:rFonts w:eastAsia="仿宋_GB2312"/>
                <w:color w:val="auto"/>
                <w:kern w:val="0"/>
                <w:szCs w:val="21"/>
              </w:rPr>
              <w:t>3376.88</w:t>
            </w:r>
          </w:p>
        </w:tc>
        <w:tc>
          <w:tcPr>
            <w:tcW w:w="723" w:type="pct"/>
            <w:shd w:val="clear" w:color="auto" w:fill="auto"/>
            <w:vAlign w:val="center"/>
          </w:tcPr>
          <w:p w14:paraId="695B1705">
            <w:pPr>
              <w:widowControl/>
              <w:spacing w:line="300" w:lineRule="exact"/>
              <w:jc w:val="center"/>
              <w:rPr>
                <w:rFonts w:hint="default" w:ascii="Times New Roman" w:hAnsi="Times New Roman" w:eastAsia="仿宋_GB2312" w:cs="Times New Roman"/>
                <w:color w:val="auto"/>
                <w:kern w:val="0"/>
                <w:sz w:val="21"/>
                <w:szCs w:val="21"/>
                <w:lang w:val="en-US" w:eastAsia="zh-CN" w:bidi="ar-SA"/>
              </w:rPr>
            </w:pPr>
            <w:r>
              <w:rPr>
                <w:rFonts w:hint="eastAsia" w:eastAsia="仿宋_GB2312"/>
                <w:color w:val="auto"/>
                <w:kern w:val="0"/>
                <w:szCs w:val="21"/>
                <w:lang w:val="en-US" w:eastAsia="zh-CN"/>
              </w:rPr>
              <w:t>28.97</w:t>
            </w:r>
          </w:p>
        </w:tc>
        <w:tc>
          <w:tcPr>
            <w:tcW w:w="638" w:type="pct"/>
            <w:vMerge w:val="continue"/>
            <w:vAlign w:val="center"/>
          </w:tcPr>
          <w:p w14:paraId="296A02FE">
            <w:pPr>
              <w:snapToGrid w:val="0"/>
              <w:spacing w:line="320" w:lineRule="exact"/>
              <w:jc w:val="center"/>
              <w:rPr>
                <w:rFonts w:eastAsia="仿宋_GB2312"/>
                <w:color w:val="FF0000"/>
                <w:szCs w:val="21"/>
              </w:rPr>
            </w:pPr>
          </w:p>
        </w:tc>
      </w:tr>
      <w:tr w14:paraId="5424F38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628" w:type="pct"/>
            <w:vMerge w:val="continue"/>
            <w:vAlign w:val="center"/>
          </w:tcPr>
          <w:p w14:paraId="39C431E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c>
          <w:tcPr>
            <w:tcW w:w="731" w:type="pct"/>
            <w:vMerge w:val="continue"/>
            <w:vAlign w:val="center"/>
          </w:tcPr>
          <w:p w14:paraId="20415C5F">
            <w:pPr>
              <w:keepNext w:val="0"/>
              <w:keepLines w:val="0"/>
              <w:widowControl/>
              <w:suppressLineNumbers w:val="0"/>
              <w:jc w:val="center"/>
              <w:textAlignment w:val="center"/>
              <w:rPr>
                <w:rFonts w:hint="default" w:ascii="仿宋_GB2312" w:hAnsi="宋体" w:eastAsia="仿宋_GB2312" w:cs="仿宋_GB2312"/>
                <w:i w:val="0"/>
                <w:iCs w:val="0"/>
                <w:color w:val="000000"/>
                <w:kern w:val="0"/>
                <w:sz w:val="21"/>
                <w:szCs w:val="21"/>
                <w:u w:val="none"/>
                <w:lang w:val="en-US" w:eastAsia="zh-CN" w:bidi="ar"/>
              </w:rPr>
            </w:pPr>
          </w:p>
        </w:tc>
        <w:tc>
          <w:tcPr>
            <w:tcW w:w="776" w:type="pct"/>
            <w:vMerge w:val="continue"/>
            <w:vAlign w:val="center"/>
          </w:tcPr>
          <w:p w14:paraId="0D97ACB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c>
          <w:tcPr>
            <w:tcW w:w="743" w:type="pct"/>
            <w:shd w:val="clear" w:color="auto" w:fill="auto"/>
            <w:vAlign w:val="center"/>
          </w:tcPr>
          <w:p w14:paraId="3C9F223B">
            <w:pPr>
              <w:widowControl/>
              <w:jc w:val="center"/>
              <w:rPr>
                <w:rFonts w:hint="default" w:ascii="Times New Roman" w:hAnsi="Times New Roman" w:eastAsia="宋体" w:cs="Times New Roman"/>
                <w:color w:val="auto"/>
                <w:kern w:val="0"/>
                <w:sz w:val="21"/>
                <w:szCs w:val="21"/>
                <w:lang w:val="en-US" w:eastAsia="zh-CN" w:bidi="ar-SA"/>
              </w:rPr>
            </w:pPr>
            <w:r>
              <w:rPr>
                <w:color w:val="auto"/>
                <w:kern w:val="0"/>
                <w:szCs w:val="21"/>
              </w:rPr>
              <w:t>NH</w:t>
            </w:r>
            <w:r>
              <w:rPr>
                <w:color w:val="auto"/>
                <w:kern w:val="0"/>
                <w:szCs w:val="21"/>
                <w:vertAlign w:val="subscript"/>
              </w:rPr>
              <w:t>3</w:t>
            </w:r>
            <w:r>
              <w:rPr>
                <w:color w:val="auto"/>
                <w:kern w:val="0"/>
                <w:szCs w:val="21"/>
              </w:rPr>
              <w:t>-N</w:t>
            </w:r>
          </w:p>
        </w:tc>
        <w:tc>
          <w:tcPr>
            <w:tcW w:w="757" w:type="pct"/>
            <w:shd w:val="clear" w:color="auto" w:fill="auto"/>
            <w:vAlign w:val="center"/>
          </w:tcPr>
          <w:p w14:paraId="5FC7B59E">
            <w:pPr>
              <w:widowControl/>
              <w:spacing w:line="300" w:lineRule="exact"/>
              <w:jc w:val="center"/>
              <w:rPr>
                <w:rFonts w:hint="default" w:ascii="Times New Roman" w:hAnsi="Times New Roman" w:eastAsia="仿宋_GB2312" w:cs="Times New Roman"/>
                <w:color w:val="auto"/>
                <w:kern w:val="0"/>
                <w:sz w:val="21"/>
                <w:szCs w:val="21"/>
                <w:lang w:val="en-US" w:eastAsia="zh-CN" w:bidi="ar-SA"/>
              </w:rPr>
            </w:pPr>
            <w:r>
              <w:rPr>
                <w:rFonts w:eastAsia="仿宋_GB2312"/>
                <w:color w:val="auto"/>
                <w:kern w:val="0"/>
                <w:szCs w:val="21"/>
              </w:rPr>
              <w:t>0.5</w:t>
            </w:r>
          </w:p>
        </w:tc>
        <w:tc>
          <w:tcPr>
            <w:tcW w:w="723" w:type="pct"/>
            <w:shd w:val="clear" w:color="auto" w:fill="auto"/>
            <w:vAlign w:val="center"/>
          </w:tcPr>
          <w:p w14:paraId="707185B6">
            <w:pPr>
              <w:widowControl/>
              <w:spacing w:line="300" w:lineRule="exact"/>
              <w:jc w:val="center"/>
              <w:rPr>
                <w:rFonts w:hint="default" w:ascii="Times New Roman" w:hAnsi="Times New Roman" w:eastAsia="仿宋_GB2312" w:cs="Times New Roman"/>
                <w:color w:val="auto"/>
                <w:kern w:val="0"/>
                <w:sz w:val="21"/>
                <w:szCs w:val="21"/>
                <w:lang w:val="en-US" w:eastAsia="zh-CN" w:bidi="ar-SA"/>
              </w:rPr>
            </w:pPr>
            <w:r>
              <w:rPr>
                <w:rFonts w:eastAsia="仿宋_GB2312"/>
                <w:color w:val="auto"/>
                <w:kern w:val="0"/>
                <w:szCs w:val="21"/>
              </w:rPr>
              <w:t>0.00</w:t>
            </w:r>
            <w:r>
              <w:rPr>
                <w:rFonts w:hint="eastAsia" w:eastAsia="仿宋_GB2312"/>
                <w:color w:val="auto"/>
                <w:kern w:val="0"/>
                <w:szCs w:val="21"/>
                <w:lang w:val="en-US" w:eastAsia="zh-CN"/>
              </w:rPr>
              <w:t>4</w:t>
            </w:r>
          </w:p>
        </w:tc>
        <w:tc>
          <w:tcPr>
            <w:tcW w:w="638" w:type="pct"/>
            <w:vMerge w:val="continue"/>
            <w:vAlign w:val="center"/>
          </w:tcPr>
          <w:p w14:paraId="71814016">
            <w:pPr>
              <w:snapToGrid w:val="0"/>
              <w:spacing w:line="320" w:lineRule="exact"/>
              <w:jc w:val="center"/>
              <w:rPr>
                <w:rFonts w:eastAsia="仿宋_GB2312"/>
                <w:color w:val="FF0000"/>
                <w:szCs w:val="21"/>
              </w:rPr>
            </w:pPr>
          </w:p>
        </w:tc>
      </w:tr>
      <w:tr w14:paraId="5DA9B4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628" w:type="pct"/>
            <w:vMerge w:val="continue"/>
            <w:vAlign w:val="center"/>
          </w:tcPr>
          <w:p w14:paraId="49A158B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c>
          <w:tcPr>
            <w:tcW w:w="731" w:type="pct"/>
            <w:vMerge w:val="continue"/>
            <w:vAlign w:val="center"/>
          </w:tcPr>
          <w:p w14:paraId="7EF60635">
            <w:pPr>
              <w:keepNext w:val="0"/>
              <w:keepLines w:val="0"/>
              <w:widowControl/>
              <w:suppressLineNumbers w:val="0"/>
              <w:jc w:val="center"/>
              <w:textAlignment w:val="center"/>
              <w:rPr>
                <w:rFonts w:hint="default" w:ascii="仿宋_GB2312" w:hAnsi="宋体" w:eastAsia="仿宋_GB2312" w:cs="仿宋_GB2312"/>
                <w:i w:val="0"/>
                <w:iCs w:val="0"/>
                <w:color w:val="000000"/>
                <w:kern w:val="0"/>
                <w:sz w:val="21"/>
                <w:szCs w:val="21"/>
                <w:u w:val="none"/>
                <w:lang w:val="en-US" w:eastAsia="zh-CN" w:bidi="ar"/>
              </w:rPr>
            </w:pPr>
          </w:p>
        </w:tc>
        <w:tc>
          <w:tcPr>
            <w:tcW w:w="776" w:type="pct"/>
            <w:vMerge w:val="continue"/>
            <w:vAlign w:val="center"/>
          </w:tcPr>
          <w:p w14:paraId="51363EB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c>
          <w:tcPr>
            <w:tcW w:w="743" w:type="pct"/>
            <w:shd w:val="clear" w:color="auto" w:fill="auto"/>
            <w:vAlign w:val="center"/>
          </w:tcPr>
          <w:p w14:paraId="0B65D0DB">
            <w:pPr>
              <w:widowControl/>
              <w:jc w:val="center"/>
              <w:rPr>
                <w:rFonts w:hint="default" w:ascii="Times New Roman" w:hAnsi="Times New Roman" w:eastAsia="宋体" w:cs="Times New Roman"/>
                <w:color w:val="auto"/>
                <w:kern w:val="0"/>
                <w:sz w:val="21"/>
                <w:szCs w:val="21"/>
                <w:lang w:val="en-US" w:eastAsia="zh-CN" w:bidi="ar-SA"/>
              </w:rPr>
            </w:pPr>
            <w:r>
              <w:rPr>
                <w:color w:val="auto"/>
                <w:kern w:val="0"/>
                <w:szCs w:val="21"/>
              </w:rPr>
              <w:t>TN</w:t>
            </w:r>
          </w:p>
        </w:tc>
        <w:tc>
          <w:tcPr>
            <w:tcW w:w="757" w:type="pct"/>
            <w:shd w:val="clear" w:color="auto" w:fill="auto"/>
            <w:vAlign w:val="center"/>
          </w:tcPr>
          <w:p w14:paraId="6FFF62A3">
            <w:pPr>
              <w:widowControl/>
              <w:spacing w:line="300" w:lineRule="exact"/>
              <w:jc w:val="center"/>
              <w:rPr>
                <w:rFonts w:hint="default" w:ascii="Times New Roman" w:hAnsi="Times New Roman" w:eastAsia="仿宋_GB2312" w:cs="Times New Roman"/>
                <w:color w:val="auto"/>
                <w:kern w:val="0"/>
                <w:sz w:val="21"/>
                <w:szCs w:val="21"/>
                <w:lang w:val="en-US" w:eastAsia="zh-CN" w:bidi="ar-SA"/>
              </w:rPr>
            </w:pPr>
            <w:r>
              <w:rPr>
                <w:rFonts w:eastAsia="仿宋_GB2312"/>
                <w:color w:val="auto"/>
                <w:kern w:val="0"/>
                <w:szCs w:val="21"/>
              </w:rPr>
              <w:t>60</w:t>
            </w:r>
          </w:p>
        </w:tc>
        <w:tc>
          <w:tcPr>
            <w:tcW w:w="723" w:type="pct"/>
            <w:shd w:val="clear" w:color="auto" w:fill="auto"/>
            <w:vAlign w:val="center"/>
          </w:tcPr>
          <w:p w14:paraId="5307F9F5">
            <w:pPr>
              <w:widowControl/>
              <w:spacing w:line="300" w:lineRule="exact"/>
              <w:jc w:val="center"/>
              <w:rPr>
                <w:rFonts w:hint="default" w:ascii="Times New Roman" w:hAnsi="Times New Roman" w:eastAsia="仿宋_GB2312" w:cs="Times New Roman"/>
                <w:color w:val="auto"/>
                <w:kern w:val="0"/>
                <w:sz w:val="21"/>
                <w:szCs w:val="21"/>
                <w:lang w:val="en-US" w:eastAsia="zh-CN" w:bidi="ar-SA"/>
              </w:rPr>
            </w:pPr>
            <w:r>
              <w:rPr>
                <w:rFonts w:eastAsia="仿宋_GB2312"/>
                <w:color w:val="auto"/>
                <w:kern w:val="0"/>
                <w:szCs w:val="21"/>
              </w:rPr>
              <w:t>0.</w:t>
            </w:r>
            <w:r>
              <w:rPr>
                <w:rFonts w:hint="eastAsia" w:eastAsia="仿宋_GB2312"/>
                <w:color w:val="auto"/>
                <w:kern w:val="0"/>
                <w:szCs w:val="21"/>
                <w:lang w:val="en-US" w:eastAsia="zh-CN"/>
              </w:rPr>
              <w:t>51</w:t>
            </w:r>
          </w:p>
        </w:tc>
        <w:tc>
          <w:tcPr>
            <w:tcW w:w="638" w:type="pct"/>
            <w:vMerge w:val="continue"/>
            <w:vAlign w:val="center"/>
          </w:tcPr>
          <w:p w14:paraId="09E10BBD">
            <w:pPr>
              <w:snapToGrid w:val="0"/>
              <w:spacing w:line="320" w:lineRule="exact"/>
              <w:jc w:val="center"/>
              <w:rPr>
                <w:rFonts w:eastAsia="仿宋_GB2312"/>
                <w:color w:val="FF0000"/>
                <w:szCs w:val="21"/>
              </w:rPr>
            </w:pPr>
          </w:p>
        </w:tc>
      </w:tr>
      <w:tr w14:paraId="514849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628" w:type="pct"/>
            <w:vMerge w:val="continue"/>
            <w:vAlign w:val="center"/>
          </w:tcPr>
          <w:p w14:paraId="7FE823C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c>
          <w:tcPr>
            <w:tcW w:w="731" w:type="pct"/>
            <w:vMerge w:val="continue"/>
            <w:vAlign w:val="center"/>
          </w:tcPr>
          <w:p w14:paraId="7246011C">
            <w:pPr>
              <w:keepNext w:val="0"/>
              <w:keepLines w:val="0"/>
              <w:widowControl/>
              <w:suppressLineNumbers w:val="0"/>
              <w:jc w:val="center"/>
              <w:textAlignment w:val="center"/>
              <w:rPr>
                <w:rFonts w:hint="default" w:ascii="仿宋_GB2312" w:hAnsi="宋体" w:eastAsia="仿宋_GB2312" w:cs="仿宋_GB2312"/>
                <w:i w:val="0"/>
                <w:iCs w:val="0"/>
                <w:color w:val="000000"/>
                <w:kern w:val="0"/>
                <w:sz w:val="21"/>
                <w:szCs w:val="21"/>
                <w:u w:val="none"/>
                <w:lang w:val="en-US" w:eastAsia="zh-CN" w:bidi="ar"/>
              </w:rPr>
            </w:pPr>
          </w:p>
        </w:tc>
        <w:tc>
          <w:tcPr>
            <w:tcW w:w="776" w:type="pct"/>
            <w:vMerge w:val="continue"/>
            <w:vAlign w:val="center"/>
          </w:tcPr>
          <w:p w14:paraId="1DB3D2D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c>
          <w:tcPr>
            <w:tcW w:w="743" w:type="pct"/>
            <w:shd w:val="clear" w:color="auto" w:fill="auto"/>
            <w:vAlign w:val="center"/>
          </w:tcPr>
          <w:p w14:paraId="5EDC13C5">
            <w:pPr>
              <w:widowControl/>
              <w:jc w:val="center"/>
              <w:rPr>
                <w:rFonts w:hint="default" w:ascii="Times New Roman" w:hAnsi="Times New Roman" w:eastAsia="宋体" w:cs="Times New Roman"/>
                <w:color w:val="auto"/>
                <w:kern w:val="0"/>
                <w:sz w:val="21"/>
                <w:szCs w:val="21"/>
                <w:lang w:val="en-US" w:eastAsia="zh-CN" w:bidi="ar-SA"/>
              </w:rPr>
            </w:pPr>
            <w:r>
              <w:rPr>
                <w:color w:val="auto"/>
                <w:kern w:val="0"/>
                <w:szCs w:val="21"/>
              </w:rPr>
              <w:t>TP</w:t>
            </w:r>
          </w:p>
        </w:tc>
        <w:tc>
          <w:tcPr>
            <w:tcW w:w="757" w:type="pct"/>
            <w:shd w:val="clear" w:color="auto" w:fill="auto"/>
            <w:vAlign w:val="center"/>
          </w:tcPr>
          <w:p w14:paraId="5C7BC948">
            <w:pPr>
              <w:widowControl/>
              <w:spacing w:line="300" w:lineRule="exact"/>
              <w:jc w:val="center"/>
              <w:rPr>
                <w:rFonts w:hint="default" w:ascii="Times New Roman" w:hAnsi="Times New Roman" w:eastAsia="仿宋_GB2312" w:cs="Times New Roman"/>
                <w:color w:val="auto"/>
                <w:kern w:val="0"/>
                <w:sz w:val="21"/>
                <w:szCs w:val="21"/>
                <w:lang w:val="en-US" w:eastAsia="zh-CN" w:bidi="ar-SA"/>
              </w:rPr>
            </w:pPr>
            <w:r>
              <w:rPr>
                <w:rFonts w:eastAsia="仿宋_GB2312"/>
                <w:color w:val="auto"/>
                <w:kern w:val="0"/>
                <w:szCs w:val="21"/>
              </w:rPr>
              <w:t>1</w:t>
            </w:r>
          </w:p>
        </w:tc>
        <w:tc>
          <w:tcPr>
            <w:tcW w:w="723" w:type="pct"/>
            <w:shd w:val="clear" w:color="auto" w:fill="auto"/>
            <w:vAlign w:val="center"/>
          </w:tcPr>
          <w:p w14:paraId="37C33916">
            <w:pPr>
              <w:widowControl/>
              <w:spacing w:line="300" w:lineRule="exact"/>
              <w:jc w:val="center"/>
              <w:rPr>
                <w:rFonts w:hint="default" w:ascii="Times New Roman" w:hAnsi="Times New Roman" w:eastAsia="仿宋_GB2312" w:cs="Times New Roman"/>
                <w:color w:val="auto"/>
                <w:kern w:val="0"/>
                <w:sz w:val="21"/>
                <w:szCs w:val="21"/>
                <w:lang w:val="en-US" w:eastAsia="zh-CN" w:bidi="ar-SA"/>
              </w:rPr>
            </w:pPr>
            <w:r>
              <w:rPr>
                <w:rFonts w:eastAsia="仿宋_GB2312"/>
                <w:color w:val="auto"/>
                <w:kern w:val="0"/>
                <w:szCs w:val="21"/>
              </w:rPr>
              <w:t>0.00</w:t>
            </w:r>
            <w:r>
              <w:rPr>
                <w:rFonts w:hint="eastAsia" w:eastAsia="仿宋_GB2312"/>
                <w:color w:val="auto"/>
                <w:kern w:val="0"/>
                <w:szCs w:val="21"/>
                <w:lang w:val="en-US" w:eastAsia="zh-CN"/>
              </w:rPr>
              <w:t>8</w:t>
            </w:r>
          </w:p>
        </w:tc>
        <w:tc>
          <w:tcPr>
            <w:tcW w:w="638" w:type="pct"/>
            <w:vMerge w:val="continue"/>
            <w:vAlign w:val="center"/>
          </w:tcPr>
          <w:p w14:paraId="7D684124">
            <w:pPr>
              <w:snapToGrid w:val="0"/>
              <w:spacing w:line="320" w:lineRule="exact"/>
              <w:jc w:val="center"/>
              <w:rPr>
                <w:rFonts w:eastAsia="仿宋_GB2312"/>
                <w:color w:val="FF0000"/>
                <w:szCs w:val="21"/>
              </w:rPr>
            </w:pPr>
          </w:p>
        </w:tc>
      </w:tr>
      <w:tr w14:paraId="133EB9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628" w:type="pct"/>
            <w:vMerge w:val="restart"/>
            <w:shd w:val="clear" w:color="auto" w:fill="auto"/>
            <w:vAlign w:val="center"/>
          </w:tcPr>
          <w:p w14:paraId="1EFEBC7D">
            <w:pPr>
              <w:widowControl/>
              <w:spacing w:line="300" w:lineRule="exact"/>
              <w:jc w:val="center"/>
              <w:rPr>
                <w:rFonts w:hint="default" w:ascii="Times New Roman" w:hAnsi="Times New Roman" w:eastAsia="仿宋_GB2312" w:cs="Times New Roman"/>
                <w:color w:val="auto"/>
                <w:kern w:val="0"/>
                <w:sz w:val="21"/>
                <w:szCs w:val="21"/>
                <w:lang w:val="en-US" w:eastAsia="zh-CN" w:bidi="ar-SA"/>
              </w:rPr>
            </w:pPr>
            <w:r>
              <w:rPr>
                <w:rFonts w:eastAsia="仿宋_GB2312"/>
                <w:color w:val="auto"/>
                <w:kern w:val="0"/>
                <w:szCs w:val="21"/>
              </w:rPr>
              <w:t>W</w:t>
            </w:r>
            <w:r>
              <w:rPr>
                <w:rFonts w:hint="eastAsia" w:eastAsia="仿宋_GB2312"/>
                <w:color w:val="auto"/>
                <w:kern w:val="0"/>
                <w:szCs w:val="21"/>
                <w:lang w:val="en-US" w:eastAsia="zh-CN"/>
              </w:rPr>
              <w:t>6</w:t>
            </w:r>
            <w:r>
              <w:rPr>
                <w:rFonts w:eastAsia="仿宋_GB2312"/>
                <w:color w:val="auto"/>
                <w:kern w:val="0"/>
                <w:szCs w:val="21"/>
              </w:rPr>
              <w:t>-1</w:t>
            </w:r>
          </w:p>
        </w:tc>
        <w:tc>
          <w:tcPr>
            <w:tcW w:w="731" w:type="pct"/>
            <w:vMerge w:val="restart"/>
            <w:shd w:val="clear" w:color="auto" w:fill="auto"/>
            <w:vAlign w:val="center"/>
          </w:tcPr>
          <w:p w14:paraId="12739C86">
            <w:pPr>
              <w:widowControl/>
              <w:spacing w:line="300" w:lineRule="exact"/>
              <w:jc w:val="center"/>
              <w:rPr>
                <w:rFonts w:hint="default" w:ascii="Times New Roman" w:hAnsi="Times New Roman" w:eastAsia="仿宋_GB2312" w:cs="Times New Roman"/>
                <w:color w:val="auto"/>
                <w:kern w:val="0"/>
                <w:sz w:val="21"/>
                <w:szCs w:val="21"/>
                <w:lang w:val="en-US" w:eastAsia="zh-CN" w:bidi="ar-SA"/>
              </w:rPr>
            </w:pPr>
            <w:r>
              <w:rPr>
                <w:rFonts w:eastAsia="仿宋_GB2312"/>
                <w:color w:val="auto"/>
                <w:kern w:val="0"/>
                <w:szCs w:val="21"/>
              </w:rPr>
              <w:t>冷凝废水</w:t>
            </w:r>
          </w:p>
        </w:tc>
        <w:tc>
          <w:tcPr>
            <w:tcW w:w="776" w:type="pct"/>
            <w:vMerge w:val="restart"/>
            <w:shd w:val="clear" w:color="auto" w:fill="auto"/>
            <w:vAlign w:val="center"/>
          </w:tcPr>
          <w:p w14:paraId="6B7971A4">
            <w:pPr>
              <w:widowControl/>
              <w:spacing w:line="300" w:lineRule="exact"/>
              <w:jc w:val="center"/>
              <w:rPr>
                <w:rFonts w:hint="default" w:ascii="Times New Roman" w:hAnsi="Times New Roman" w:eastAsia="仿宋_GB2312" w:cs="Times New Roman"/>
                <w:color w:val="auto"/>
                <w:kern w:val="0"/>
                <w:sz w:val="21"/>
                <w:szCs w:val="21"/>
                <w:lang w:val="en-US" w:eastAsia="zh-CN" w:bidi="ar-SA"/>
              </w:rPr>
            </w:pPr>
            <w:r>
              <w:rPr>
                <w:rFonts w:hint="eastAsia" w:eastAsia="仿宋_GB2312"/>
                <w:color w:val="auto"/>
                <w:kern w:val="0"/>
                <w:szCs w:val="21"/>
                <w:lang w:val="en-US" w:eastAsia="zh-CN"/>
              </w:rPr>
              <w:t>448.507</w:t>
            </w:r>
          </w:p>
        </w:tc>
        <w:tc>
          <w:tcPr>
            <w:tcW w:w="743" w:type="pct"/>
            <w:shd w:val="clear" w:color="auto" w:fill="auto"/>
            <w:vAlign w:val="center"/>
          </w:tcPr>
          <w:p w14:paraId="4E00BF2D">
            <w:pPr>
              <w:widowControl/>
              <w:jc w:val="center"/>
              <w:rPr>
                <w:rFonts w:hint="default" w:ascii="Times New Roman" w:hAnsi="Times New Roman" w:eastAsia="宋体" w:cs="Times New Roman"/>
                <w:color w:val="auto"/>
                <w:kern w:val="0"/>
                <w:sz w:val="21"/>
                <w:szCs w:val="21"/>
                <w:lang w:val="en-US" w:eastAsia="zh-CN" w:bidi="ar-SA"/>
              </w:rPr>
            </w:pPr>
            <w:r>
              <w:rPr>
                <w:color w:val="auto"/>
                <w:kern w:val="0"/>
                <w:szCs w:val="21"/>
              </w:rPr>
              <w:t>COD</w:t>
            </w:r>
          </w:p>
        </w:tc>
        <w:tc>
          <w:tcPr>
            <w:tcW w:w="757" w:type="pct"/>
            <w:shd w:val="clear" w:color="auto" w:fill="auto"/>
            <w:vAlign w:val="center"/>
          </w:tcPr>
          <w:p w14:paraId="62164C67">
            <w:pPr>
              <w:widowControl/>
              <w:spacing w:line="300" w:lineRule="exact"/>
              <w:jc w:val="center"/>
              <w:rPr>
                <w:rFonts w:hint="default" w:ascii="Times New Roman" w:hAnsi="Times New Roman" w:eastAsia="仿宋_GB2312" w:cs="Times New Roman"/>
                <w:color w:val="auto"/>
                <w:kern w:val="0"/>
                <w:sz w:val="21"/>
                <w:szCs w:val="21"/>
                <w:lang w:val="en-US" w:eastAsia="zh-CN" w:bidi="ar-SA"/>
              </w:rPr>
            </w:pPr>
            <w:r>
              <w:rPr>
                <w:rFonts w:eastAsia="仿宋_GB2312"/>
                <w:color w:val="auto"/>
                <w:kern w:val="0"/>
                <w:szCs w:val="21"/>
              </w:rPr>
              <w:t>3376.88</w:t>
            </w:r>
          </w:p>
        </w:tc>
        <w:tc>
          <w:tcPr>
            <w:tcW w:w="723" w:type="pct"/>
            <w:shd w:val="clear" w:color="auto" w:fill="auto"/>
            <w:vAlign w:val="center"/>
          </w:tcPr>
          <w:p w14:paraId="4B44D7C5">
            <w:pPr>
              <w:widowControl/>
              <w:spacing w:line="300" w:lineRule="exact"/>
              <w:jc w:val="center"/>
              <w:rPr>
                <w:rFonts w:hint="default" w:ascii="Times New Roman" w:hAnsi="Times New Roman" w:eastAsia="仿宋_GB2312" w:cs="Times New Roman"/>
                <w:color w:val="auto"/>
                <w:kern w:val="0"/>
                <w:sz w:val="21"/>
                <w:szCs w:val="21"/>
                <w:lang w:val="en-US" w:eastAsia="zh-CN" w:bidi="ar-SA"/>
              </w:rPr>
            </w:pPr>
            <w:r>
              <w:rPr>
                <w:rFonts w:hint="eastAsia" w:eastAsia="仿宋_GB2312"/>
                <w:color w:val="auto"/>
                <w:kern w:val="0"/>
                <w:szCs w:val="21"/>
                <w:lang w:val="en-US" w:eastAsia="zh-CN"/>
              </w:rPr>
              <w:t>1.51</w:t>
            </w:r>
          </w:p>
        </w:tc>
        <w:tc>
          <w:tcPr>
            <w:tcW w:w="638" w:type="pct"/>
            <w:vMerge w:val="continue"/>
            <w:vAlign w:val="center"/>
          </w:tcPr>
          <w:p w14:paraId="1428E48D">
            <w:pPr>
              <w:snapToGrid w:val="0"/>
              <w:spacing w:line="320" w:lineRule="exact"/>
              <w:jc w:val="center"/>
              <w:rPr>
                <w:rFonts w:eastAsia="仿宋_GB2312"/>
                <w:color w:val="FF0000"/>
                <w:szCs w:val="21"/>
              </w:rPr>
            </w:pPr>
          </w:p>
        </w:tc>
      </w:tr>
      <w:tr w14:paraId="2DEF195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628" w:type="pct"/>
            <w:vMerge w:val="continue"/>
            <w:vAlign w:val="center"/>
          </w:tcPr>
          <w:p w14:paraId="6CA711C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c>
          <w:tcPr>
            <w:tcW w:w="731" w:type="pct"/>
            <w:vMerge w:val="continue"/>
            <w:vAlign w:val="center"/>
          </w:tcPr>
          <w:p w14:paraId="743ABB29">
            <w:pPr>
              <w:keepNext w:val="0"/>
              <w:keepLines w:val="0"/>
              <w:widowControl/>
              <w:suppressLineNumbers w:val="0"/>
              <w:jc w:val="center"/>
              <w:textAlignment w:val="center"/>
              <w:rPr>
                <w:rFonts w:hint="default" w:ascii="仿宋_GB2312" w:hAnsi="宋体" w:eastAsia="仿宋_GB2312" w:cs="仿宋_GB2312"/>
                <w:i w:val="0"/>
                <w:iCs w:val="0"/>
                <w:color w:val="000000"/>
                <w:kern w:val="0"/>
                <w:sz w:val="21"/>
                <w:szCs w:val="21"/>
                <w:u w:val="none"/>
                <w:lang w:val="en-US" w:eastAsia="zh-CN" w:bidi="ar"/>
              </w:rPr>
            </w:pPr>
          </w:p>
        </w:tc>
        <w:tc>
          <w:tcPr>
            <w:tcW w:w="776" w:type="pct"/>
            <w:vMerge w:val="continue"/>
            <w:vAlign w:val="center"/>
          </w:tcPr>
          <w:p w14:paraId="292EB6E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c>
          <w:tcPr>
            <w:tcW w:w="743" w:type="pct"/>
            <w:shd w:val="clear" w:color="auto" w:fill="auto"/>
            <w:vAlign w:val="center"/>
          </w:tcPr>
          <w:p w14:paraId="1220BFD6">
            <w:pPr>
              <w:widowControl/>
              <w:jc w:val="center"/>
              <w:rPr>
                <w:rFonts w:hint="default" w:ascii="Times New Roman" w:hAnsi="Times New Roman" w:eastAsia="宋体" w:cs="Times New Roman"/>
                <w:color w:val="auto"/>
                <w:kern w:val="0"/>
                <w:sz w:val="21"/>
                <w:szCs w:val="21"/>
                <w:lang w:val="en-US" w:eastAsia="zh-CN" w:bidi="ar-SA"/>
              </w:rPr>
            </w:pPr>
            <w:r>
              <w:rPr>
                <w:color w:val="auto"/>
                <w:kern w:val="0"/>
                <w:szCs w:val="21"/>
              </w:rPr>
              <w:t>NH</w:t>
            </w:r>
            <w:r>
              <w:rPr>
                <w:color w:val="auto"/>
                <w:kern w:val="0"/>
                <w:szCs w:val="21"/>
                <w:vertAlign w:val="subscript"/>
              </w:rPr>
              <w:t>3</w:t>
            </w:r>
            <w:r>
              <w:rPr>
                <w:color w:val="auto"/>
                <w:kern w:val="0"/>
                <w:szCs w:val="21"/>
              </w:rPr>
              <w:t>-N</w:t>
            </w:r>
          </w:p>
        </w:tc>
        <w:tc>
          <w:tcPr>
            <w:tcW w:w="757" w:type="pct"/>
            <w:shd w:val="clear" w:color="auto" w:fill="auto"/>
            <w:vAlign w:val="center"/>
          </w:tcPr>
          <w:p w14:paraId="01D69EB1">
            <w:pPr>
              <w:widowControl/>
              <w:spacing w:line="300" w:lineRule="exact"/>
              <w:jc w:val="center"/>
              <w:rPr>
                <w:rFonts w:hint="default" w:ascii="Times New Roman" w:hAnsi="Times New Roman" w:eastAsia="仿宋_GB2312" w:cs="Times New Roman"/>
                <w:color w:val="auto"/>
                <w:kern w:val="0"/>
                <w:sz w:val="21"/>
                <w:szCs w:val="21"/>
                <w:lang w:val="en-US" w:eastAsia="zh-CN" w:bidi="ar-SA"/>
              </w:rPr>
            </w:pPr>
            <w:r>
              <w:rPr>
                <w:rFonts w:eastAsia="仿宋_GB2312"/>
                <w:color w:val="auto"/>
                <w:kern w:val="0"/>
                <w:szCs w:val="21"/>
              </w:rPr>
              <w:t>0.5</w:t>
            </w:r>
          </w:p>
        </w:tc>
        <w:tc>
          <w:tcPr>
            <w:tcW w:w="723" w:type="pct"/>
            <w:shd w:val="clear" w:color="auto" w:fill="auto"/>
            <w:vAlign w:val="center"/>
          </w:tcPr>
          <w:p w14:paraId="45A4C819">
            <w:pPr>
              <w:widowControl/>
              <w:spacing w:line="300" w:lineRule="exact"/>
              <w:jc w:val="center"/>
              <w:rPr>
                <w:rFonts w:hint="default" w:ascii="Times New Roman" w:hAnsi="Times New Roman" w:eastAsia="仿宋_GB2312" w:cs="Times New Roman"/>
                <w:color w:val="auto"/>
                <w:kern w:val="0"/>
                <w:sz w:val="21"/>
                <w:szCs w:val="21"/>
                <w:lang w:val="en-US" w:eastAsia="zh-CN" w:bidi="ar-SA"/>
              </w:rPr>
            </w:pPr>
            <w:r>
              <w:rPr>
                <w:rFonts w:eastAsia="仿宋_GB2312"/>
                <w:color w:val="auto"/>
                <w:kern w:val="0"/>
                <w:szCs w:val="21"/>
              </w:rPr>
              <w:t>0.00</w:t>
            </w:r>
            <w:r>
              <w:rPr>
                <w:rFonts w:hint="eastAsia" w:eastAsia="仿宋_GB2312"/>
                <w:color w:val="auto"/>
                <w:kern w:val="0"/>
                <w:szCs w:val="21"/>
                <w:lang w:val="en-US" w:eastAsia="zh-CN"/>
              </w:rPr>
              <w:t>02</w:t>
            </w:r>
          </w:p>
        </w:tc>
        <w:tc>
          <w:tcPr>
            <w:tcW w:w="638" w:type="pct"/>
            <w:vMerge w:val="continue"/>
            <w:vAlign w:val="center"/>
          </w:tcPr>
          <w:p w14:paraId="035CC6AA">
            <w:pPr>
              <w:snapToGrid w:val="0"/>
              <w:spacing w:line="320" w:lineRule="exact"/>
              <w:jc w:val="center"/>
              <w:rPr>
                <w:rFonts w:eastAsia="仿宋_GB2312"/>
                <w:color w:val="FF0000"/>
                <w:szCs w:val="21"/>
              </w:rPr>
            </w:pPr>
          </w:p>
        </w:tc>
      </w:tr>
      <w:tr w14:paraId="1C7B9F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628" w:type="pct"/>
            <w:vMerge w:val="continue"/>
            <w:vAlign w:val="center"/>
          </w:tcPr>
          <w:p w14:paraId="0FD36A7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c>
          <w:tcPr>
            <w:tcW w:w="731" w:type="pct"/>
            <w:vMerge w:val="continue"/>
            <w:vAlign w:val="center"/>
          </w:tcPr>
          <w:p w14:paraId="41BCED64">
            <w:pPr>
              <w:keepNext w:val="0"/>
              <w:keepLines w:val="0"/>
              <w:widowControl/>
              <w:suppressLineNumbers w:val="0"/>
              <w:jc w:val="center"/>
              <w:textAlignment w:val="center"/>
              <w:rPr>
                <w:rFonts w:hint="default" w:ascii="仿宋_GB2312" w:hAnsi="宋体" w:eastAsia="仿宋_GB2312" w:cs="仿宋_GB2312"/>
                <w:i w:val="0"/>
                <w:iCs w:val="0"/>
                <w:color w:val="000000"/>
                <w:kern w:val="0"/>
                <w:sz w:val="21"/>
                <w:szCs w:val="21"/>
                <w:u w:val="none"/>
                <w:lang w:val="en-US" w:eastAsia="zh-CN" w:bidi="ar"/>
              </w:rPr>
            </w:pPr>
          </w:p>
        </w:tc>
        <w:tc>
          <w:tcPr>
            <w:tcW w:w="776" w:type="pct"/>
            <w:vMerge w:val="continue"/>
            <w:vAlign w:val="center"/>
          </w:tcPr>
          <w:p w14:paraId="15110DB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c>
          <w:tcPr>
            <w:tcW w:w="743" w:type="pct"/>
            <w:shd w:val="clear" w:color="auto" w:fill="auto"/>
            <w:vAlign w:val="center"/>
          </w:tcPr>
          <w:p w14:paraId="7D051326">
            <w:pPr>
              <w:widowControl/>
              <w:jc w:val="center"/>
              <w:rPr>
                <w:rFonts w:hint="default" w:ascii="Times New Roman" w:hAnsi="Times New Roman" w:eastAsia="宋体" w:cs="Times New Roman"/>
                <w:color w:val="auto"/>
                <w:kern w:val="0"/>
                <w:sz w:val="21"/>
                <w:szCs w:val="21"/>
                <w:lang w:val="en-US" w:eastAsia="zh-CN" w:bidi="ar-SA"/>
              </w:rPr>
            </w:pPr>
            <w:r>
              <w:rPr>
                <w:color w:val="auto"/>
                <w:kern w:val="0"/>
                <w:szCs w:val="21"/>
              </w:rPr>
              <w:t>TN</w:t>
            </w:r>
          </w:p>
        </w:tc>
        <w:tc>
          <w:tcPr>
            <w:tcW w:w="757" w:type="pct"/>
            <w:shd w:val="clear" w:color="auto" w:fill="auto"/>
            <w:vAlign w:val="center"/>
          </w:tcPr>
          <w:p w14:paraId="305B758D">
            <w:pPr>
              <w:widowControl/>
              <w:spacing w:line="300" w:lineRule="exact"/>
              <w:jc w:val="center"/>
              <w:rPr>
                <w:rFonts w:hint="default" w:ascii="Times New Roman" w:hAnsi="Times New Roman" w:eastAsia="仿宋_GB2312" w:cs="Times New Roman"/>
                <w:color w:val="auto"/>
                <w:kern w:val="0"/>
                <w:sz w:val="21"/>
                <w:szCs w:val="21"/>
                <w:lang w:val="en-US" w:eastAsia="zh-CN" w:bidi="ar-SA"/>
              </w:rPr>
            </w:pPr>
            <w:r>
              <w:rPr>
                <w:rFonts w:eastAsia="仿宋_GB2312"/>
                <w:color w:val="auto"/>
                <w:kern w:val="0"/>
                <w:szCs w:val="21"/>
              </w:rPr>
              <w:t>60</w:t>
            </w:r>
          </w:p>
        </w:tc>
        <w:tc>
          <w:tcPr>
            <w:tcW w:w="723" w:type="pct"/>
            <w:shd w:val="clear" w:color="auto" w:fill="auto"/>
            <w:vAlign w:val="center"/>
          </w:tcPr>
          <w:p w14:paraId="220A3E97">
            <w:pPr>
              <w:widowControl/>
              <w:spacing w:line="300" w:lineRule="exact"/>
              <w:jc w:val="center"/>
              <w:rPr>
                <w:rFonts w:hint="default" w:ascii="Times New Roman" w:hAnsi="Times New Roman" w:eastAsia="仿宋_GB2312" w:cs="Times New Roman"/>
                <w:color w:val="auto"/>
                <w:kern w:val="0"/>
                <w:sz w:val="21"/>
                <w:szCs w:val="21"/>
                <w:lang w:val="en-US" w:eastAsia="zh-CN" w:bidi="ar-SA"/>
              </w:rPr>
            </w:pPr>
            <w:r>
              <w:rPr>
                <w:rFonts w:eastAsia="仿宋_GB2312"/>
                <w:color w:val="auto"/>
                <w:kern w:val="0"/>
                <w:szCs w:val="21"/>
              </w:rPr>
              <w:t>0.</w:t>
            </w:r>
            <w:r>
              <w:rPr>
                <w:rFonts w:hint="eastAsia" w:eastAsia="仿宋_GB2312"/>
                <w:color w:val="auto"/>
                <w:kern w:val="0"/>
                <w:szCs w:val="21"/>
                <w:lang w:val="en-US" w:eastAsia="zh-CN"/>
              </w:rPr>
              <w:t>027</w:t>
            </w:r>
          </w:p>
        </w:tc>
        <w:tc>
          <w:tcPr>
            <w:tcW w:w="638" w:type="pct"/>
            <w:vMerge w:val="continue"/>
            <w:vAlign w:val="center"/>
          </w:tcPr>
          <w:p w14:paraId="234D34D4">
            <w:pPr>
              <w:snapToGrid w:val="0"/>
              <w:spacing w:line="320" w:lineRule="exact"/>
              <w:jc w:val="center"/>
              <w:rPr>
                <w:rFonts w:eastAsia="仿宋_GB2312"/>
                <w:color w:val="FF0000"/>
                <w:szCs w:val="21"/>
              </w:rPr>
            </w:pPr>
          </w:p>
        </w:tc>
      </w:tr>
      <w:tr w14:paraId="1FC62B5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628" w:type="pct"/>
            <w:vMerge w:val="continue"/>
            <w:vAlign w:val="center"/>
          </w:tcPr>
          <w:p w14:paraId="210843B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c>
          <w:tcPr>
            <w:tcW w:w="731" w:type="pct"/>
            <w:vMerge w:val="continue"/>
            <w:vAlign w:val="center"/>
          </w:tcPr>
          <w:p w14:paraId="411A97E4">
            <w:pPr>
              <w:keepNext w:val="0"/>
              <w:keepLines w:val="0"/>
              <w:widowControl/>
              <w:suppressLineNumbers w:val="0"/>
              <w:jc w:val="center"/>
              <w:textAlignment w:val="center"/>
              <w:rPr>
                <w:rFonts w:hint="default" w:ascii="仿宋_GB2312" w:hAnsi="宋体" w:eastAsia="仿宋_GB2312" w:cs="仿宋_GB2312"/>
                <w:i w:val="0"/>
                <w:iCs w:val="0"/>
                <w:color w:val="000000"/>
                <w:kern w:val="0"/>
                <w:sz w:val="21"/>
                <w:szCs w:val="21"/>
                <w:u w:val="none"/>
                <w:lang w:val="en-US" w:eastAsia="zh-CN" w:bidi="ar"/>
              </w:rPr>
            </w:pPr>
          </w:p>
        </w:tc>
        <w:tc>
          <w:tcPr>
            <w:tcW w:w="776" w:type="pct"/>
            <w:vMerge w:val="continue"/>
            <w:vAlign w:val="center"/>
          </w:tcPr>
          <w:p w14:paraId="3D4D6E6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c>
          <w:tcPr>
            <w:tcW w:w="743" w:type="pct"/>
            <w:shd w:val="clear" w:color="auto" w:fill="auto"/>
            <w:vAlign w:val="center"/>
          </w:tcPr>
          <w:p w14:paraId="7163B591">
            <w:pPr>
              <w:widowControl/>
              <w:jc w:val="center"/>
              <w:rPr>
                <w:rFonts w:hint="default" w:ascii="Times New Roman" w:hAnsi="Times New Roman" w:eastAsia="宋体" w:cs="Times New Roman"/>
                <w:color w:val="auto"/>
                <w:kern w:val="0"/>
                <w:sz w:val="21"/>
                <w:szCs w:val="21"/>
                <w:lang w:val="en-US" w:eastAsia="zh-CN" w:bidi="ar-SA"/>
              </w:rPr>
            </w:pPr>
            <w:r>
              <w:rPr>
                <w:color w:val="auto"/>
                <w:kern w:val="0"/>
                <w:szCs w:val="21"/>
              </w:rPr>
              <w:t>TP</w:t>
            </w:r>
          </w:p>
        </w:tc>
        <w:tc>
          <w:tcPr>
            <w:tcW w:w="757" w:type="pct"/>
            <w:shd w:val="clear" w:color="auto" w:fill="auto"/>
            <w:vAlign w:val="center"/>
          </w:tcPr>
          <w:p w14:paraId="230A59FA">
            <w:pPr>
              <w:widowControl/>
              <w:spacing w:line="300" w:lineRule="exact"/>
              <w:jc w:val="center"/>
              <w:rPr>
                <w:rFonts w:hint="default" w:ascii="Times New Roman" w:hAnsi="Times New Roman" w:eastAsia="仿宋_GB2312" w:cs="Times New Roman"/>
                <w:color w:val="auto"/>
                <w:kern w:val="0"/>
                <w:sz w:val="21"/>
                <w:szCs w:val="21"/>
                <w:lang w:val="en-US" w:eastAsia="zh-CN" w:bidi="ar-SA"/>
              </w:rPr>
            </w:pPr>
            <w:r>
              <w:rPr>
                <w:rFonts w:eastAsia="仿宋_GB2312"/>
                <w:color w:val="auto"/>
                <w:kern w:val="0"/>
                <w:szCs w:val="21"/>
              </w:rPr>
              <w:t>1</w:t>
            </w:r>
          </w:p>
        </w:tc>
        <w:tc>
          <w:tcPr>
            <w:tcW w:w="723" w:type="pct"/>
            <w:shd w:val="clear" w:color="auto" w:fill="auto"/>
            <w:vAlign w:val="center"/>
          </w:tcPr>
          <w:p w14:paraId="644AE568">
            <w:pPr>
              <w:widowControl/>
              <w:spacing w:line="300" w:lineRule="exact"/>
              <w:jc w:val="center"/>
              <w:rPr>
                <w:rFonts w:hint="default" w:ascii="Times New Roman" w:hAnsi="Times New Roman" w:eastAsia="仿宋_GB2312" w:cs="Times New Roman"/>
                <w:color w:val="auto"/>
                <w:kern w:val="0"/>
                <w:sz w:val="21"/>
                <w:szCs w:val="21"/>
                <w:lang w:val="en-US" w:eastAsia="zh-CN" w:bidi="ar-SA"/>
              </w:rPr>
            </w:pPr>
            <w:r>
              <w:rPr>
                <w:rFonts w:eastAsia="仿宋_GB2312"/>
                <w:color w:val="auto"/>
                <w:kern w:val="0"/>
                <w:szCs w:val="21"/>
              </w:rPr>
              <w:t>0.00</w:t>
            </w:r>
            <w:r>
              <w:rPr>
                <w:rFonts w:hint="eastAsia" w:eastAsia="仿宋_GB2312"/>
                <w:color w:val="auto"/>
                <w:kern w:val="0"/>
                <w:szCs w:val="21"/>
                <w:lang w:val="en-US" w:eastAsia="zh-CN"/>
              </w:rPr>
              <w:t>04</w:t>
            </w:r>
          </w:p>
        </w:tc>
        <w:tc>
          <w:tcPr>
            <w:tcW w:w="638" w:type="pct"/>
            <w:vMerge w:val="continue"/>
            <w:vAlign w:val="center"/>
          </w:tcPr>
          <w:p w14:paraId="7BA36767">
            <w:pPr>
              <w:snapToGrid w:val="0"/>
              <w:spacing w:line="320" w:lineRule="exact"/>
              <w:jc w:val="center"/>
              <w:rPr>
                <w:rFonts w:eastAsia="仿宋_GB2312"/>
                <w:color w:val="FF0000"/>
                <w:szCs w:val="21"/>
              </w:rPr>
            </w:pPr>
          </w:p>
        </w:tc>
      </w:tr>
      <w:tr w14:paraId="7891605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1360" w:type="pct"/>
            <w:gridSpan w:val="2"/>
            <w:vMerge w:val="restart"/>
            <w:vAlign w:val="center"/>
          </w:tcPr>
          <w:p w14:paraId="665A59E1">
            <w:pPr>
              <w:widowControl/>
              <w:spacing w:line="300" w:lineRule="exact"/>
              <w:jc w:val="center"/>
              <w:rPr>
                <w:rFonts w:eastAsia="仿宋_GB2312"/>
                <w:color w:val="auto"/>
                <w:kern w:val="0"/>
                <w:szCs w:val="21"/>
              </w:rPr>
            </w:pPr>
            <w:r>
              <w:rPr>
                <w:rFonts w:eastAsia="仿宋_GB2312"/>
                <w:color w:val="auto"/>
                <w:kern w:val="0"/>
                <w:szCs w:val="21"/>
              </w:rPr>
              <w:t>工艺废水汇总</w:t>
            </w:r>
          </w:p>
        </w:tc>
        <w:tc>
          <w:tcPr>
            <w:tcW w:w="776" w:type="pct"/>
            <w:vMerge w:val="restart"/>
            <w:vAlign w:val="center"/>
          </w:tcPr>
          <w:p w14:paraId="27C0F876">
            <w:pPr>
              <w:snapToGrid w:val="0"/>
              <w:spacing w:line="320" w:lineRule="exact"/>
              <w:jc w:val="center"/>
              <w:rPr>
                <w:rFonts w:hint="default" w:eastAsia="仿宋_GB2312"/>
                <w:color w:val="auto"/>
                <w:kern w:val="0"/>
                <w:szCs w:val="21"/>
                <w:lang w:val="en-US" w:eastAsia="zh-CN"/>
              </w:rPr>
            </w:pPr>
            <w:r>
              <w:rPr>
                <w:rFonts w:hint="eastAsia" w:eastAsia="仿宋_GB2312"/>
                <w:color w:val="auto"/>
                <w:kern w:val="0"/>
                <w:szCs w:val="21"/>
                <w:lang w:val="en-US" w:eastAsia="zh-CN"/>
              </w:rPr>
              <w:t>78154.456</w:t>
            </w:r>
          </w:p>
        </w:tc>
        <w:tc>
          <w:tcPr>
            <w:tcW w:w="743" w:type="pct"/>
            <w:vAlign w:val="center"/>
          </w:tcPr>
          <w:p w14:paraId="7DED860E">
            <w:pPr>
              <w:snapToGrid w:val="0"/>
              <w:spacing w:line="320" w:lineRule="exact"/>
              <w:jc w:val="center"/>
              <w:rPr>
                <w:rFonts w:eastAsia="仿宋_GB2312"/>
                <w:color w:val="auto"/>
                <w:szCs w:val="21"/>
              </w:rPr>
            </w:pPr>
            <w:r>
              <w:rPr>
                <w:rFonts w:eastAsia="仿宋_GB2312"/>
                <w:color w:val="auto"/>
                <w:szCs w:val="21"/>
              </w:rPr>
              <w:t>COD</w:t>
            </w:r>
          </w:p>
        </w:tc>
        <w:tc>
          <w:tcPr>
            <w:tcW w:w="1291" w:type="dxa"/>
            <w:vAlign w:val="bottom"/>
          </w:tcPr>
          <w:p w14:paraId="20530A8E">
            <w:pPr>
              <w:widowControl/>
              <w:spacing w:line="300" w:lineRule="exact"/>
              <w:jc w:val="center"/>
              <w:rPr>
                <w:rFonts w:hint="eastAsia" w:eastAsia="仿宋_GB2312"/>
                <w:color w:val="auto"/>
                <w:kern w:val="0"/>
                <w:szCs w:val="21"/>
                <w:lang w:val="en-US" w:eastAsia="zh-CN"/>
              </w:rPr>
            </w:pPr>
            <w:r>
              <w:rPr>
                <w:rFonts w:hint="eastAsia" w:eastAsia="仿宋_GB2312"/>
                <w:color w:val="auto"/>
                <w:kern w:val="0"/>
                <w:szCs w:val="21"/>
                <w:lang w:val="en-US" w:eastAsia="zh-CN"/>
              </w:rPr>
              <w:t>17679.6</w:t>
            </w:r>
          </w:p>
        </w:tc>
        <w:tc>
          <w:tcPr>
            <w:tcW w:w="1233" w:type="dxa"/>
            <w:vAlign w:val="bottom"/>
          </w:tcPr>
          <w:p w14:paraId="6ED0664F">
            <w:pPr>
              <w:widowControl/>
              <w:spacing w:line="300" w:lineRule="exact"/>
              <w:jc w:val="center"/>
              <w:rPr>
                <w:rFonts w:hint="default" w:eastAsia="仿宋_GB2312"/>
                <w:color w:val="auto"/>
                <w:kern w:val="0"/>
                <w:szCs w:val="21"/>
                <w:lang w:val="en-US" w:eastAsia="zh-CN"/>
              </w:rPr>
            </w:pPr>
            <w:r>
              <w:rPr>
                <w:rFonts w:hint="eastAsia" w:eastAsia="仿宋_GB2312"/>
                <w:color w:val="auto"/>
                <w:kern w:val="0"/>
                <w:szCs w:val="21"/>
                <w:lang w:val="en-US" w:eastAsia="zh-CN"/>
              </w:rPr>
              <w:t>1381.743</w:t>
            </w:r>
          </w:p>
        </w:tc>
        <w:tc>
          <w:tcPr>
            <w:tcW w:w="638" w:type="pct"/>
            <w:vMerge w:val="restart"/>
            <w:vAlign w:val="center"/>
          </w:tcPr>
          <w:p w14:paraId="5C483693">
            <w:pPr>
              <w:snapToGrid w:val="0"/>
              <w:spacing w:line="320" w:lineRule="exact"/>
              <w:jc w:val="center"/>
              <w:rPr>
                <w:rFonts w:eastAsia="仿宋_GB2312"/>
                <w:color w:val="FF0000"/>
                <w:szCs w:val="21"/>
              </w:rPr>
            </w:pPr>
            <w:r>
              <w:rPr>
                <w:rFonts w:eastAsia="仿宋_GB2312"/>
                <w:color w:val="auto"/>
                <w:szCs w:val="21"/>
              </w:rPr>
              <w:t>经厂区3#污水站处理后回用</w:t>
            </w:r>
          </w:p>
        </w:tc>
      </w:tr>
      <w:tr w14:paraId="673CBAD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1360" w:type="pct"/>
            <w:gridSpan w:val="2"/>
            <w:vMerge w:val="continue"/>
            <w:vAlign w:val="center"/>
          </w:tcPr>
          <w:p w14:paraId="0E027AAA">
            <w:pPr>
              <w:widowControl/>
              <w:spacing w:line="300" w:lineRule="exact"/>
              <w:jc w:val="center"/>
              <w:rPr>
                <w:rFonts w:eastAsia="仿宋_GB2312"/>
                <w:color w:val="FF0000"/>
                <w:kern w:val="0"/>
                <w:szCs w:val="21"/>
              </w:rPr>
            </w:pPr>
          </w:p>
        </w:tc>
        <w:tc>
          <w:tcPr>
            <w:tcW w:w="776" w:type="pct"/>
            <w:vMerge w:val="continue"/>
            <w:vAlign w:val="center"/>
          </w:tcPr>
          <w:p w14:paraId="0CCBB799">
            <w:pPr>
              <w:widowControl/>
              <w:spacing w:line="300" w:lineRule="exact"/>
              <w:jc w:val="center"/>
              <w:rPr>
                <w:rFonts w:eastAsia="仿宋_GB2312"/>
                <w:color w:val="FF0000"/>
                <w:kern w:val="0"/>
                <w:szCs w:val="21"/>
              </w:rPr>
            </w:pPr>
          </w:p>
        </w:tc>
        <w:tc>
          <w:tcPr>
            <w:tcW w:w="743" w:type="pct"/>
            <w:vAlign w:val="center"/>
          </w:tcPr>
          <w:p w14:paraId="057BCD95">
            <w:pPr>
              <w:snapToGrid w:val="0"/>
              <w:spacing w:line="320" w:lineRule="exact"/>
              <w:jc w:val="center"/>
              <w:rPr>
                <w:rFonts w:eastAsia="仿宋_GB2312"/>
                <w:color w:val="auto"/>
                <w:szCs w:val="21"/>
              </w:rPr>
            </w:pPr>
            <w:r>
              <w:rPr>
                <w:rFonts w:eastAsia="仿宋_GB2312"/>
                <w:color w:val="auto"/>
                <w:szCs w:val="21"/>
              </w:rPr>
              <w:t>NH</w:t>
            </w:r>
            <w:r>
              <w:rPr>
                <w:rFonts w:eastAsia="仿宋_GB2312"/>
                <w:color w:val="auto"/>
                <w:szCs w:val="21"/>
                <w:vertAlign w:val="subscript"/>
              </w:rPr>
              <w:t>3</w:t>
            </w:r>
            <w:r>
              <w:rPr>
                <w:rFonts w:eastAsia="仿宋_GB2312"/>
                <w:color w:val="auto"/>
                <w:szCs w:val="21"/>
              </w:rPr>
              <w:t>-N</w:t>
            </w:r>
          </w:p>
        </w:tc>
        <w:tc>
          <w:tcPr>
            <w:tcW w:w="1291" w:type="dxa"/>
            <w:vAlign w:val="bottom"/>
          </w:tcPr>
          <w:p w14:paraId="5B785457">
            <w:pPr>
              <w:widowControl/>
              <w:spacing w:line="300" w:lineRule="exact"/>
              <w:jc w:val="center"/>
              <w:rPr>
                <w:rFonts w:hint="eastAsia" w:eastAsia="仿宋_GB2312"/>
                <w:color w:val="auto"/>
                <w:kern w:val="0"/>
                <w:szCs w:val="21"/>
                <w:lang w:val="en-US" w:eastAsia="zh-CN"/>
              </w:rPr>
            </w:pPr>
            <w:r>
              <w:rPr>
                <w:rFonts w:hint="eastAsia" w:eastAsia="仿宋_GB2312"/>
                <w:color w:val="auto"/>
                <w:kern w:val="0"/>
                <w:szCs w:val="21"/>
                <w:lang w:val="en-US" w:eastAsia="zh-CN"/>
              </w:rPr>
              <w:t>20.43</w:t>
            </w:r>
          </w:p>
        </w:tc>
        <w:tc>
          <w:tcPr>
            <w:tcW w:w="1233" w:type="dxa"/>
            <w:vAlign w:val="bottom"/>
          </w:tcPr>
          <w:p w14:paraId="57CADEFC">
            <w:pPr>
              <w:widowControl/>
              <w:spacing w:line="300" w:lineRule="exact"/>
              <w:jc w:val="center"/>
              <w:rPr>
                <w:rFonts w:hint="default" w:eastAsia="仿宋_GB2312"/>
                <w:color w:val="auto"/>
                <w:kern w:val="0"/>
                <w:szCs w:val="21"/>
                <w:lang w:val="en-US" w:eastAsia="zh-CN"/>
              </w:rPr>
            </w:pPr>
            <w:r>
              <w:rPr>
                <w:rFonts w:hint="eastAsia" w:eastAsia="仿宋_GB2312"/>
                <w:color w:val="auto"/>
                <w:kern w:val="0"/>
                <w:szCs w:val="21"/>
                <w:lang w:val="en-US" w:eastAsia="zh-CN"/>
              </w:rPr>
              <w:t>1.5968</w:t>
            </w:r>
          </w:p>
        </w:tc>
        <w:tc>
          <w:tcPr>
            <w:tcW w:w="638" w:type="pct"/>
            <w:vMerge w:val="continue"/>
            <w:vAlign w:val="center"/>
          </w:tcPr>
          <w:p w14:paraId="548DC3CA">
            <w:pPr>
              <w:snapToGrid w:val="0"/>
              <w:spacing w:line="320" w:lineRule="exact"/>
              <w:jc w:val="center"/>
              <w:rPr>
                <w:rFonts w:eastAsia="仿宋_GB2312"/>
                <w:color w:val="FF0000"/>
                <w:szCs w:val="21"/>
              </w:rPr>
            </w:pPr>
          </w:p>
        </w:tc>
      </w:tr>
      <w:tr w14:paraId="11EE1C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1360" w:type="pct"/>
            <w:gridSpan w:val="2"/>
            <w:vMerge w:val="continue"/>
            <w:vAlign w:val="center"/>
          </w:tcPr>
          <w:p w14:paraId="260C2957">
            <w:pPr>
              <w:widowControl/>
              <w:spacing w:line="300" w:lineRule="exact"/>
              <w:jc w:val="center"/>
              <w:rPr>
                <w:rFonts w:eastAsia="仿宋_GB2312"/>
                <w:color w:val="FF0000"/>
                <w:kern w:val="0"/>
                <w:szCs w:val="21"/>
              </w:rPr>
            </w:pPr>
          </w:p>
        </w:tc>
        <w:tc>
          <w:tcPr>
            <w:tcW w:w="776" w:type="pct"/>
            <w:vMerge w:val="continue"/>
            <w:vAlign w:val="center"/>
          </w:tcPr>
          <w:p w14:paraId="46263E62">
            <w:pPr>
              <w:widowControl/>
              <w:spacing w:line="300" w:lineRule="exact"/>
              <w:jc w:val="center"/>
              <w:rPr>
                <w:rFonts w:eastAsia="仿宋_GB2312"/>
                <w:color w:val="FF0000"/>
                <w:kern w:val="0"/>
                <w:szCs w:val="21"/>
              </w:rPr>
            </w:pPr>
          </w:p>
        </w:tc>
        <w:tc>
          <w:tcPr>
            <w:tcW w:w="743" w:type="pct"/>
            <w:vAlign w:val="center"/>
          </w:tcPr>
          <w:p w14:paraId="2A9B0797">
            <w:pPr>
              <w:snapToGrid w:val="0"/>
              <w:spacing w:line="320" w:lineRule="exact"/>
              <w:jc w:val="center"/>
              <w:rPr>
                <w:rFonts w:eastAsia="仿宋_GB2312"/>
                <w:color w:val="auto"/>
                <w:szCs w:val="21"/>
              </w:rPr>
            </w:pPr>
            <w:r>
              <w:rPr>
                <w:rFonts w:eastAsia="仿宋_GB2312"/>
                <w:color w:val="auto"/>
                <w:szCs w:val="21"/>
              </w:rPr>
              <w:t>TN</w:t>
            </w:r>
          </w:p>
        </w:tc>
        <w:tc>
          <w:tcPr>
            <w:tcW w:w="1291" w:type="dxa"/>
            <w:vAlign w:val="bottom"/>
          </w:tcPr>
          <w:p w14:paraId="682D5A01">
            <w:pPr>
              <w:widowControl/>
              <w:spacing w:line="300" w:lineRule="exact"/>
              <w:jc w:val="center"/>
              <w:rPr>
                <w:rFonts w:hint="eastAsia" w:eastAsia="仿宋_GB2312"/>
                <w:color w:val="auto"/>
                <w:kern w:val="0"/>
                <w:szCs w:val="21"/>
                <w:lang w:val="en-US" w:eastAsia="zh-CN"/>
              </w:rPr>
            </w:pPr>
            <w:r>
              <w:rPr>
                <w:rFonts w:hint="eastAsia" w:eastAsia="仿宋_GB2312"/>
                <w:color w:val="auto"/>
                <w:kern w:val="0"/>
                <w:szCs w:val="21"/>
                <w:lang w:val="en-US" w:eastAsia="zh-CN"/>
              </w:rPr>
              <w:t>734.45</w:t>
            </w:r>
          </w:p>
        </w:tc>
        <w:tc>
          <w:tcPr>
            <w:tcW w:w="1233" w:type="dxa"/>
            <w:vAlign w:val="bottom"/>
          </w:tcPr>
          <w:p w14:paraId="41360E92">
            <w:pPr>
              <w:widowControl/>
              <w:spacing w:line="300" w:lineRule="exact"/>
              <w:jc w:val="center"/>
              <w:rPr>
                <w:rFonts w:hint="default" w:eastAsia="仿宋_GB2312"/>
                <w:color w:val="auto"/>
                <w:kern w:val="0"/>
                <w:szCs w:val="21"/>
                <w:lang w:val="en-US" w:eastAsia="zh-CN"/>
              </w:rPr>
            </w:pPr>
            <w:r>
              <w:rPr>
                <w:rFonts w:hint="eastAsia" w:eastAsia="仿宋_GB2312"/>
                <w:color w:val="auto"/>
                <w:kern w:val="0"/>
                <w:szCs w:val="21"/>
                <w:lang w:val="en-US" w:eastAsia="zh-CN"/>
              </w:rPr>
              <w:t>57.401</w:t>
            </w:r>
          </w:p>
        </w:tc>
        <w:tc>
          <w:tcPr>
            <w:tcW w:w="638" w:type="pct"/>
            <w:vMerge w:val="continue"/>
            <w:vAlign w:val="center"/>
          </w:tcPr>
          <w:p w14:paraId="0DD11F5E">
            <w:pPr>
              <w:snapToGrid w:val="0"/>
              <w:spacing w:line="320" w:lineRule="exact"/>
              <w:jc w:val="center"/>
              <w:rPr>
                <w:rFonts w:eastAsia="仿宋_GB2312"/>
                <w:color w:val="FF0000"/>
                <w:szCs w:val="21"/>
              </w:rPr>
            </w:pPr>
          </w:p>
        </w:tc>
      </w:tr>
      <w:tr w14:paraId="2B8ABB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1360" w:type="pct"/>
            <w:gridSpan w:val="2"/>
            <w:vMerge w:val="continue"/>
            <w:vAlign w:val="center"/>
          </w:tcPr>
          <w:p w14:paraId="5BF97501">
            <w:pPr>
              <w:widowControl/>
              <w:spacing w:line="300" w:lineRule="exact"/>
              <w:jc w:val="center"/>
              <w:rPr>
                <w:rFonts w:eastAsia="仿宋_GB2312"/>
                <w:color w:val="FF0000"/>
                <w:kern w:val="0"/>
                <w:szCs w:val="21"/>
              </w:rPr>
            </w:pPr>
          </w:p>
        </w:tc>
        <w:tc>
          <w:tcPr>
            <w:tcW w:w="776" w:type="pct"/>
            <w:vMerge w:val="continue"/>
            <w:vAlign w:val="center"/>
          </w:tcPr>
          <w:p w14:paraId="35C14106">
            <w:pPr>
              <w:widowControl/>
              <w:spacing w:line="300" w:lineRule="exact"/>
              <w:jc w:val="center"/>
              <w:rPr>
                <w:rFonts w:eastAsia="仿宋_GB2312"/>
                <w:color w:val="FF0000"/>
                <w:kern w:val="0"/>
                <w:szCs w:val="21"/>
              </w:rPr>
            </w:pPr>
          </w:p>
        </w:tc>
        <w:tc>
          <w:tcPr>
            <w:tcW w:w="743" w:type="pct"/>
            <w:vAlign w:val="center"/>
          </w:tcPr>
          <w:p w14:paraId="798EFBF5">
            <w:pPr>
              <w:snapToGrid w:val="0"/>
              <w:spacing w:line="320" w:lineRule="exact"/>
              <w:jc w:val="center"/>
              <w:rPr>
                <w:rFonts w:eastAsia="仿宋_GB2312"/>
                <w:color w:val="auto"/>
                <w:szCs w:val="21"/>
              </w:rPr>
            </w:pPr>
            <w:r>
              <w:rPr>
                <w:rFonts w:eastAsia="仿宋_GB2312"/>
                <w:color w:val="auto"/>
                <w:szCs w:val="21"/>
              </w:rPr>
              <w:t>TP</w:t>
            </w:r>
          </w:p>
        </w:tc>
        <w:tc>
          <w:tcPr>
            <w:tcW w:w="1291" w:type="dxa"/>
            <w:vAlign w:val="bottom"/>
          </w:tcPr>
          <w:p w14:paraId="0E5E3AE7">
            <w:pPr>
              <w:widowControl/>
              <w:spacing w:line="300" w:lineRule="exact"/>
              <w:jc w:val="center"/>
              <w:rPr>
                <w:rFonts w:hint="eastAsia" w:eastAsia="仿宋_GB2312"/>
                <w:color w:val="auto"/>
                <w:kern w:val="0"/>
                <w:szCs w:val="21"/>
                <w:lang w:val="en-US" w:eastAsia="zh-CN"/>
              </w:rPr>
            </w:pPr>
            <w:r>
              <w:rPr>
                <w:rFonts w:hint="eastAsia" w:eastAsia="仿宋_GB2312"/>
                <w:color w:val="auto"/>
                <w:kern w:val="0"/>
                <w:szCs w:val="21"/>
                <w:lang w:val="en-US" w:eastAsia="zh-CN"/>
              </w:rPr>
              <w:t>2.0</w:t>
            </w:r>
          </w:p>
        </w:tc>
        <w:tc>
          <w:tcPr>
            <w:tcW w:w="1233" w:type="dxa"/>
            <w:vAlign w:val="bottom"/>
          </w:tcPr>
          <w:p w14:paraId="0F6A9FA7">
            <w:pPr>
              <w:widowControl/>
              <w:spacing w:line="300" w:lineRule="exact"/>
              <w:jc w:val="center"/>
              <w:rPr>
                <w:rFonts w:hint="default" w:eastAsia="仿宋_GB2312"/>
                <w:color w:val="auto"/>
                <w:kern w:val="0"/>
                <w:szCs w:val="21"/>
                <w:lang w:val="en-US" w:eastAsia="zh-CN"/>
              </w:rPr>
            </w:pPr>
            <w:r>
              <w:rPr>
                <w:rFonts w:hint="eastAsia" w:eastAsia="仿宋_GB2312"/>
                <w:color w:val="auto"/>
                <w:kern w:val="0"/>
                <w:szCs w:val="21"/>
                <w:lang w:val="en-US" w:eastAsia="zh-CN"/>
              </w:rPr>
              <w:t>0.1569</w:t>
            </w:r>
          </w:p>
        </w:tc>
        <w:tc>
          <w:tcPr>
            <w:tcW w:w="638" w:type="pct"/>
            <w:vMerge w:val="continue"/>
            <w:vAlign w:val="center"/>
          </w:tcPr>
          <w:p w14:paraId="71E97B4C">
            <w:pPr>
              <w:snapToGrid w:val="0"/>
              <w:spacing w:line="320" w:lineRule="exact"/>
              <w:jc w:val="center"/>
              <w:rPr>
                <w:rFonts w:eastAsia="仿宋_GB2312"/>
                <w:color w:val="FF0000"/>
                <w:szCs w:val="21"/>
              </w:rPr>
            </w:pPr>
          </w:p>
        </w:tc>
      </w:tr>
      <w:tr w14:paraId="62084E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1360" w:type="pct"/>
            <w:gridSpan w:val="2"/>
            <w:vMerge w:val="continue"/>
            <w:vAlign w:val="center"/>
          </w:tcPr>
          <w:p w14:paraId="6A81E94F">
            <w:pPr>
              <w:widowControl/>
              <w:spacing w:line="300" w:lineRule="exact"/>
              <w:jc w:val="center"/>
              <w:rPr>
                <w:rFonts w:eastAsia="仿宋_GB2312"/>
                <w:color w:val="FF0000"/>
                <w:kern w:val="0"/>
                <w:szCs w:val="21"/>
              </w:rPr>
            </w:pPr>
          </w:p>
        </w:tc>
        <w:tc>
          <w:tcPr>
            <w:tcW w:w="776" w:type="pct"/>
            <w:vMerge w:val="continue"/>
            <w:vAlign w:val="center"/>
          </w:tcPr>
          <w:p w14:paraId="343B67B6">
            <w:pPr>
              <w:widowControl/>
              <w:spacing w:line="300" w:lineRule="exact"/>
              <w:jc w:val="center"/>
              <w:rPr>
                <w:rFonts w:eastAsia="仿宋_GB2312"/>
                <w:color w:val="FF0000"/>
                <w:kern w:val="0"/>
                <w:szCs w:val="21"/>
              </w:rPr>
            </w:pPr>
          </w:p>
        </w:tc>
        <w:tc>
          <w:tcPr>
            <w:tcW w:w="743" w:type="pct"/>
            <w:vAlign w:val="center"/>
          </w:tcPr>
          <w:p w14:paraId="5ED19DAD">
            <w:pPr>
              <w:snapToGrid w:val="0"/>
              <w:spacing w:line="320" w:lineRule="exact"/>
              <w:jc w:val="center"/>
              <w:rPr>
                <w:rFonts w:eastAsia="仿宋_GB2312"/>
                <w:color w:val="auto"/>
                <w:szCs w:val="21"/>
              </w:rPr>
            </w:pPr>
            <w:r>
              <w:rPr>
                <w:rFonts w:eastAsia="仿宋_GB2312"/>
                <w:color w:val="auto"/>
                <w:szCs w:val="21"/>
              </w:rPr>
              <w:t>甲苯</w:t>
            </w:r>
          </w:p>
        </w:tc>
        <w:tc>
          <w:tcPr>
            <w:tcW w:w="1291" w:type="dxa"/>
            <w:vAlign w:val="bottom"/>
          </w:tcPr>
          <w:p w14:paraId="375B8FFD">
            <w:pPr>
              <w:widowControl/>
              <w:spacing w:line="300" w:lineRule="exact"/>
              <w:jc w:val="center"/>
              <w:rPr>
                <w:rFonts w:hint="eastAsia" w:eastAsia="仿宋_GB2312"/>
                <w:color w:val="auto"/>
                <w:kern w:val="0"/>
                <w:szCs w:val="21"/>
                <w:lang w:val="en-US" w:eastAsia="zh-CN"/>
              </w:rPr>
            </w:pPr>
            <w:r>
              <w:rPr>
                <w:rFonts w:hint="eastAsia" w:eastAsia="仿宋_GB2312"/>
                <w:color w:val="auto"/>
                <w:kern w:val="0"/>
                <w:szCs w:val="21"/>
                <w:lang w:val="en-US" w:eastAsia="zh-CN"/>
              </w:rPr>
              <w:t>6.31</w:t>
            </w:r>
          </w:p>
        </w:tc>
        <w:tc>
          <w:tcPr>
            <w:tcW w:w="1233" w:type="dxa"/>
            <w:vAlign w:val="bottom"/>
          </w:tcPr>
          <w:p w14:paraId="015A6423">
            <w:pPr>
              <w:widowControl/>
              <w:spacing w:line="300" w:lineRule="exact"/>
              <w:jc w:val="center"/>
              <w:rPr>
                <w:rFonts w:hint="default" w:eastAsia="仿宋_GB2312"/>
                <w:color w:val="auto"/>
                <w:kern w:val="0"/>
                <w:szCs w:val="21"/>
                <w:lang w:val="en-US" w:eastAsia="zh-CN"/>
              </w:rPr>
            </w:pPr>
            <w:r>
              <w:rPr>
                <w:rFonts w:hint="eastAsia" w:eastAsia="仿宋_GB2312"/>
                <w:color w:val="auto"/>
                <w:kern w:val="0"/>
                <w:szCs w:val="21"/>
                <w:lang w:val="en-US" w:eastAsia="zh-CN"/>
              </w:rPr>
              <w:t>0.493</w:t>
            </w:r>
          </w:p>
        </w:tc>
        <w:tc>
          <w:tcPr>
            <w:tcW w:w="638" w:type="pct"/>
            <w:vMerge w:val="continue"/>
            <w:vAlign w:val="center"/>
          </w:tcPr>
          <w:p w14:paraId="7CB87785">
            <w:pPr>
              <w:snapToGrid w:val="0"/>
              <w:spacing w:line="320" w:lineRule="exact"/>
              <w:jc w:val="center"/>
              <w:rPr>
                <w:rFonts w:eastAsia="仿宋_GB2312"/>
                <w:color w:val="FF0000"/>
                <w:szCs w:val="21"/>
              </w:rPr>
            </w:pPr>
          </w:p>
        </w:tc>
      </w:tr>
      <w:tr w14:paraId="59B642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1360" w:type="pct"/>
            <w:gridSpan w:val="2"/>
            <w:vMerge w:val="continue"/>
            <w:vAlign w:val="center"/>
          </w:tcPr>
          <w:p w14:paraId="00D77092">
            <w:pPr>
              <w:widowControl/>
              <w:spacing w:line="300" w:lineRule="exact"/>
              <w:jc w:val="center"/>
              <w:rPr>
                <w:rFonts w:eastAsia="仿宋_GB2312"/>
                <w:color w:val="FF0000"/>
                <w:kern w:val="0"/>
                <w:szCs w:val="21"/>
              </w:rPr>
            </w:pPr>
          </w:p>
        </w:tc>
        <w:tc>
          <w:tcPr>
            <w:tcW w:w="776" w:type="pct"/>
            <w:vMerge w:val="continue"/>
            <w:vAlign w:val="center"/>
          </w:tcPr>
          <w:p w14:paraId="6AD03FF2">
            <w:pPr>
              <w:widowControl/>
              <w:spacing w:line="300" w:lineRule="exact"/>
              <w:jc w:val="center"/>
              <w:rPr>
                <w:rFonts w:eastAsia="仿宋_GB2312"/>
                <w:color w:val="FF0000"/>
                <w:kern w:val="0"/>
                <w:szCs w:val="21"/>
              </w:rPr>
            </w:pPr>
          </w:p>
        </w:tc>
        <w:tc>
          <w:tcPr>
            <w:tcW w:w="743" w:type="pct"/>
            <w:vAlign w:val="center"/>
          </w:tcPr>
          <w:p w14:paraId="5B16E7FA">
            <w:pPr>
              <w:snapToGrid w:val="0"/>
              <w:spacing w:line="320" w:lineRule="exact"/>
              <w:jc w:val="center"/>
              <w:rPr>
                <w:rFonts w:eastAsia="仿宋_GB2312"/>
                <w:color w:val="auto"/>
                <w:szCs w:val="21"/>
              </w:rPr>
            </w:pPr>
            <w:r>
              <w:rPr>
                <w:rFonts w:eastAsia="仿宋_GB2312"/>
                <w:color w:val="auto"/>
                <w:szCs w:val="21"/>
              </w:rPr>
              <w:t>二甲苯</w:t>
            </w:r>
          </w:p>
        </w:tc>
        <w:tc>
          <w:tcPr>
            <w:tcW w:w="1291" w:type="dxa"/>
            <w:vAlign w:val="bottom"/>
          </w:tcPr>
          <w:p w14:paraId="7A1A9D6C">
            <w:pPr>
              <w:widowControl/>
              <w:spacing w:line="300" w:lineRule="exact"/>
              <w:jc w:val="center"/>
              <w:rPr>
                <w:rFonts w:hint="eastAsia" w:eastAsia="仿宋_GB2312"/>
                <w:color w:val="auto"/>
                <w:kern w:val="0"/>
                <w:szCs w:val="21"/>
                <w:lang w:val="en-US" w:eastAsia="zh-CN"/>
              </w:rPr>
            </w:pPr>
            <w:r>
              <w:rPr>
                <w:rFonts w:hint="eastAsia" w:eastAsia="仿宋_GB2312"/>
                <w:color w:val="auto"/>
                <w:kern w:val="0"/>
                <w:szCs w:val="21"/>
                <w:lang w:val="en-US" w:eastAsia="zh-CN"/>
              </w:rPr>
              <w:t>2.1</w:t>
            </w:r>
          </w:p>
        </w:tc>
        <w:tc>
          <w:tcPr>
            <w:tcW w:w="1233" w:type="dxa"/>
            <w:vAlign w:val="bottom"/>
          </w:tcPr>
          <w:p w14:paraId="7E03C094">
            <w:pPr>
              <w:widowControl/>
              <w:spacing w:line="300" w:lineRule="exact"/>
              <w:jc w:val="center"/>
              <w:rPr>
                <w:rFonts w:hint="default" w:eastAsia="仿宋_GB2312"/>
                <w:color w:val="auto"/>
                <w:kern w:val="0"/>
                <w:szCs w:val="21"/>
                <w:lang w:val="en-US" w:eastAsia="zh-CN"/>
              </w:rPr>
            </w:pPr>
            <w:r>
              <w:rPr>
                <w:rFonts w:hint="eastAsia" w:eastAsia="仿宋_GB2312"/>
                <w:color w:val="auto"/>
                <w:kern w:val="0"/>
                <w:szCs w:val="21"/>
                <w:lang w:val="en-US" w:eastAsia="zh-CN"/>
              </w:rPr>
              <w:t>0.164</w:t>
            </w:r>
          </w:p>
        </w:tc>
        <w:tc>
          <w:tcPr>
            <w:tcW w:w="638" w:type="pct"/>
            <w:vMerge w:val="continue"/>
            <w:vAlign w:val="center"/>
          </w:tcPr>
          <w:p w14:paraId="145317C1">
            <w:pPr>
              <w:snapToGrid w:val="0"/>
              <w:spacing w:line="320" w:lineRule="exact"/>
              <w:jc w:val="center"/>
              <w:rPr>
                <w:rFonts w:eastAsia="仿宋_GB2312"/>
                <w:color w:val="FF0000"/>
                <w:szCs w:val="21"/>
              </w:rPr>
            </w:pPr>
          </w:p>
        </w:tc>
      </w:tr>
      <w:tr w14:paraId="26114B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1360" w:type="pct"/>
            <w:gridSpan w:val="2"/>
            <w:vMerge w:val="continue"/>
            <w:vAlign w:val="center"/>
          </w:tcPr>
          <w:p w14:paraId="48AD82E0">
            <w:pPr>
              <w:widowControl/>
              <w:spacing w:line="300" w:lineRule="exact"/>
              <w:jc w:val="center"/>
              <w:rPr>
                <w:rFonts w:eastAsia="仿宋_GB2312"/>
                <w:color w:val="FF0000"/>
                <w:kern w:val="0"/>
                <w:szCs w:val="21"/>
              </w:rPr>
            </w:pPr>
          </w:p>
        </w:tc>
        <w:tc>
          <w:tcPr>
            <w:tcW w:w="776" w:type="pct"/>
            <w:vMerge w:val="continue"/>
            <w:vAlign w:val="center"/>
          </w:tcPr>
          <w:p w14:paraId="0C5DB380">
            <w:pPr>
              <w:widowControl/>
              <w:spacing w:line="300" w:lineRule="exact"/>
              <w:jc w:val="center"/>
              <w:rPr>
                <w:rFonts w:eastAsia="仿宋_GB2312"/>
                <w:color w:val="FF0000"/>
                <w:kern w:val="0"/>
                <w:szCs w:val="21"/>
              </w:rPr>
            </w:pPr>
          </w:p>
        </w:tc>
        <w:tc>
          <w:tcPr>
            <w:tcW w:w="743" w:type="pct"/>
            <w:vAlign w:val="center"/>
          </w:tcPr>
          <w:p w14:paraId="7872672C">
            <w:pPr>
              <w:snapToGrid w:val="0"/>
              <w:spacing w:line="320" w:lineRule="exact"/>
              <w:jc w:val="center"/>
              <w:rPr>
                <w:rFonts w:eastAsia="仿宋_GB2312"/>
                <w:color w:val="auto"/>
                <w:szCs w:val="21"/>
              </w:rPr>
            </w:pPr>
            <w:r>
              <w:rPr>
                <w:rFonts w:eastAsia="仿宋_GB2312"/>
                <w:color w:val="auto"/>
                <w:szCs w:val="21"/>
              </w:rPr>
              <w:t>苯乙烯</w:t>
            </w:r>
          </w:p>
        </w:tc>
        <w:tc>
          <w:tcPr>
            <w:tcW w:w="1291" w:type="dxa"/>
            <w:vAlign w:val="bottom"/>
          </w:tcPr>
          <w:p w14:paraId="3F555EFD">
            <w:pPr>
              <w:widowControl/>
              <w:spacing w:line="300" w:lineRule="exact"/>
              <w:jc w:val="center"/>
              <w:rPr>
                <w:rFonts w:hint="eastAsia" w:eastAsia="仿宋_GB2312"/>
                <w:color w:val="auto"/>
                <w:kern w:val="0"/>
                <w:szCs w:val="21"/>
                <w:lang w:val="en-US" w:eastAsia="zh-CN"/>
              </w:rPr>
            </w:pPr>
            <w:r>
              <w:rPr>
                <w:rFonts w:hint="eastAsia" w:eastAsia="仿宋_GB2312"/>
                <w:color w:val="auto"/>
                <w:kern w:val="0"/>
                <w:szCs w:val="21"/>
                <w:lang w:val="en-US" w:eastAsia="zh-CN"/>
              </w:rPr>
              <w:t>2.61</w:t>
            </w:r>
          </w:p>
        </w:tc>
        <w:tc>
          <w:tcPr>
            <w:tcW w:w="1233" w:type="dxa"/>
            <w:vAlign w:val="bottom"/>
          </w:tcPr>
          <w:p w14:paraId="5802575E">
            <w:pPr>
              <w:widowControl/>
              <w:spacing w:line="300" w:lineRule="exact"/>
              <w:jc w:val="center"/>
              <w:rPr>
                <w:rFonts w:hint="default" w:eastAsia="仿宋_GB2312"/>
                <w:color w:val="auto"/>
                <w:kern w:val="0"/>
                <w:szCs w:val="21"/>
                <w:lang w:val="en-US" w:eastAsia="zh-CN"/>
              </w:rPr>
            </w:pPr>
            <w:r>
              <w:rPr>
                <w:rFonts w:hint="eastAsia" w:eastAsia="仿宋_GB2312"/>
                <w:color w:val="auto"/>
                <w:kern w:val="0"/>
                <w:szCs w:val="21"/>
                <w:lang w:val="en-US" w:eastAsia="zh-CN"/>
              </w:rPr>
              <w:t>0.204</w:t>
            </w:r>
          </w:p>
        </w:tc>
        <w:tc>
          <w:tcPr>
            <w:tcW w:w="638" w:type="pct"/>
            <w:vMerge w:val="continue"/>
            <w:vAlign w:val="center"/>
          </w:tcPr>
          <w:p w14:paraId="22CEBABE">
            <w:pPr>
              <w:snapToGrid w:val="0"/>
              <w:spacing w:line="320" w:lineRule="exact"/>
              <w:jc w:val="center"/>
              <w:rPr>
                <w:rFonts w:eastAsia="仿宋_GB2312"/>
                <w:color w:val="FF0000"/>
                <w:szCs w:val="21"/>
              </w:rPr>
            </w:pPr>
          </w:p>
        </w:tc>
      </w:tr>
      <w:tr w14:paraId="3C7E768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1360" w:type="pct"/>
            <w:gridSpan w:val="2"/>
            <w:vMerge w:val="continue"/>
            <w:vAlign w:val="center"/>
          </w:tcPr>
          <w:p w14:paraId="12A7539E">
            <w:pPr>
              <w:widowControl/>
              <w:spacing w:line="300" w:lineRule="exact"/>
              <w:jc w:val="center"/>
              <w:rPr>
                <w:rFonts w:eastAsia="仿宋_GB2312"/>
                <w:color w:val="FF0000"/>
                <w:kern w:val="0"/>
                <w:szCs w:val="21"/>
              </w:rPr>
            </w:pPr>
          </w:p>
        </w:tc>
        <w:tc>
          <w:tcPr>
            <w:tcW w:w="776" w:type="pct"/>
            <w:vMerge w:val="continue"/>
            <w:vAlign w:val="center"/>
          </w:tcPr>
          <w:p w14:paraId="500D93AA">
            <w:pPr>
              <w:widowControl/>
              <w:spacing w:line="300" w:lineRule="exact"/>
              <w:jc w:val="center"/>
              <w:rPr>
                <w:rFonts w:eastAsia="仿宋_GB2312"/>
                <w:color w:val="FF0000"/>
                <w:kern w:val="0"/>
                <w:szCs w:val="21"/>
              </w:rPr>
            </w:pPr>
          </w:p>
        </w:tc>
        <w:tc>
          <w:tcPr>
            <w:tcW w:w="743" w:type="pct"/>
            <w:vAlign w:val="center"/>
          </w:tcPr>
          <w:p w14:paraId="14F7109A">
            <w:pPr>
              <w:snapToGrid w:val="0"/>
              <w:spacing w:line="320" w:lineRule="exact"/>
              <w:jc w:val="center"/>
              <w:rPr>
                <w:rFonts w:eastAsia="仿宋_GB2312"/>
                <w:color w:val="auto"/>
                <w:szCs w:val="21"/>
              </w:rPr>
            </w:pPr>
            <w:r>
              <w:rPr>
                <w:rFonts w:eastAsia="仿宋_GB2312"/>
                <w:color w:val="auto"/>
                <w:szCs w:val="21"/>
              </w:rPr>
              <w:t>二氯乙烷</w:t>
            </w:r>
          </w:p>
        </w:tc>
        <w:tc>
          <w:tcPr>
            <w:tcW w:w="1291" w:type="dxa"/>
            <w:vAlign w:val="bottom"/>
          </w:tcPr>
          <w:p w14:paraId="44D2ECC6">
            <w:pPr>
              <w:widowControl/>
              <w:spacing w:line="300" w:lineRule="exact"/>
              <w:jc w:val="center"/>
              <w:rPr>
                <w:rFonts w:hint="eastAsia" w:eastAsia="仿宋_GB2312"/>
                <w:color w:val="auto"/>
                <w:kern w:val="0"/>
                <w:szCs w:val="21"/>
                <w:lang w:val="en-US" w:eastAsia="zh-CN"/>
              </w:rPr>
            </w:pPr>
            <w:r>
              <w:rPr>
                <w:rFonts w:hint="eastAsia" w:eastAsia="仿宋_GB2312"/>
                <w:color w:val="auto"/>
                <w:kern w:val="0"/>
                <w:szCs w:val="21"/>
                <w:lang w:val="en-US" w:eastAsia="zh-CN"/>
              </w:rPr>
              <w:t>2.51</w:t>
            </w:r>
          </w:p>
        </w:tc>
        <w:tc>
          <w:tcPr>
            <w:tcW w:w="1233" w:type="dxa"/>
            <w:vAlign w:val="bottom"/>
          </w:tcPr>
          <w:p w14:paraId="126CFE95">
            <w:pPr>
              <w:widowControl/>
              <w:spacing w:line="300" w:lineRule="exact"/>
              <w:jc w:val="center"/>
              <w:rPr>
                <w:rFonts w:hint="eastAsia" w:eastAsia="仿宋_GB2312"/>
                <w:color w:val="auto"/>
                <w:kern w:val="0"/>
                <w:szCs w:val="21"/>
                <w:lang w:eastAsia="zh-CN"/>
              </w:rPr>
            </w:pPr>
            <w:r>
              <w:rPr>
                <w:rFonts w:hint="eastAsia" w:eastAsia="仿宋_GB2312"/>
                <w:color w:val="auto"/>
                <w:kern w:val="0"/>
                <w:szCs w:val="21"/>
                <w:lang w:val="en-US" w:eastAsia="zh-CN"/>
              </w:rPr>
              <w:t>0.196</w:t>
            </w:r>
          </w:p>
        </w:tc>
        <w:tc>
          <w:tcPr>
            <w:tcW w:w="638" w:type="pct"/>
            <w:vMerge w:val="continue"/>
            <w:vAlign w:val="center"/>
          </w:tcPr>
          <w:p w14:paraId="5E3313FE">
            <w:pPr>
              <w:snapToGrid w:val="0"/>
              <w:spacing w:line="320" w:lineRule="exact"/>
              <w:jc w:val="center"/>
              <w:rPr>
                <w:rFonts w:eastAsia="仿宋_GB2312"/>
                <w:color w:val="FF0000"/>
                <w:szCs w:val="21"/>
              </w:rPr>
            </w:pPr>
          </w:p>
        </w:tc>
      </w:tr>
      <w:tr w14:paraId="4A2339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1360" w:type="pct"/>
            <w:gridSpan w:val="2"/>
            <w:vMerge w:val="restart"/>
            <w:vAlign w:val="center"/>
          </w:tcPr>
          <w:p w14:paraId="30D007DC">
            <w:pPr>
              <w:widowControl/>
              <w:spacing w:line="300" w:lineRule="exact"/>
              <w:jc w:val="center"/>
              <w:rPr>
                <w:rFonts w:eastAsia="仿宋_GB2312"/>
                <w:color w:val="FF0000"/>
                <w:kern w:val="0"/>
                <w:szCs w:val="21"/>
              </w:rPr>
            </w:pPr>
            <w:r>
              <w:rPr>
                <w:rFonts w:ascii="仿宋_GB2312" w:eastAsia="仿宋_GB2312"/>
                <w:color w:val="auto"/>
              </w:rPr>
              <w:t>初期雨水（</w:t>
            </w:r>
            <w:r>
              <w:rPr>
                <w:rFonts w:hint="eastAsia" w:ascii="仿宋_GB2312" w:eastAsia="仿宋_GB2312"/>
                <w:color w:val="auto"/>
                <w:lang w:val="en-US" w:eastAsia="zh-CN"/>
              </w:rPr>
              <w:t>中间缓冲</w:t>
            </w:r>
            <w:r>
              <w:rPr>
                <w:rFonts w:hint="eastAsia" w:ascii="仿宋_GB2312" w:eastAsia="仿宋_GB2312"/>
                <w:color w:val="auto"/>
              </w:rPr>
              <w:t>罐区</w:t>
            </w:r>
            <w:r>
              <w:rPr>
                <w:rFonts w:ascii="仿宋_GB2312" w:eastAsia="仿宋_GB2312"/>
                <w:color w:val="auto"/>
              </w:rPr>
              <w:t>）</w:t>
            </w:r>
          </w:p>
        </w:tc>
        <w:tc>
          <w:tcPr>
            <w:tcW w:w="776" w:type="pct"/>
            <w:vMerge w:val="restart"/>
            <w:shd w:val="clear" w:color="auto" w:fill="auto"/>
            <w:vAlign w:val="center"/>
          </w:tcPr>
          <w:p w14:paraId="158887F9">
            <w:pPr>
              <w:adjustRightInd w:val="0"/>
              <w:snapToGrid w:val="0"/>
              <w:spacing w:line="280" w:lineRule="exact"/>
              <w:jc w:val="center"/>
              <w:rPr>
                <w:rFonts w:hint="default" w:ascii="Times New Roman" w:hAnsi="Times New Roman" w:eastAsia="仿宋_GB2312" w:cs="Times New Roman"/>
                <w:color w:val="auto"/>
                <w:kern w:val="2"/>
                <w:sz w:val="21"/>
                <w:szCs w:val="24"/>
                <w:lang w:val="en-US" w:eastAsia="zh-CN" w:bidi="ar-SA"/>
              </w:rPr>
            </w:pPr>
            <w:r>
              <w:rPr>
                <w:rFonts w:hint="eastAsia" w:eastAsia="仿宋_GB2312"/>
                <w:color w:val="auto"/>
                <w:lang w:val="en-US" w:eastAsia="zh-CN"/>
              </w:rPr>
              <w:t>150</w:t>
            </w:r>
          </w:p>
        </w:tc>
        <w:tc>
          <w:tcPr>
            <w:tcW w:w="743" w:type="pct"/>
            <w:shd w:val="clear" w:color="auto" w:fill="auto"/>
            <w:vAlign w:val="center"/>
          </w:tcPr>
          <w:p w14:paraId="50AEC1C6">
            <w:pPr>
              <w:adjustRightInd w:val="0"/>
              <w:snapToGrid w:val="0"/>
              <w:spacing w:line="280" w:lineRule="exact"/>
              <w:jc w:val="center"/>
              <w:rPr>
                <w:rFonts w:ascii="Times New Roman" w:hAnsi="Times New Roman" w:eastAsia="仿宋_GB2312" w:cs="Times New Roman"/>
                <w:color w:val="auto"/>
                <w:kern w:val="2"/>
                <w:sz w:val="21"/>
                <w:szCs w:val="24"/>
                <w:lang w:val="en-US" w:eastAsia="zh-CN" w:bidi="ar-SA"/>
              </w:rPr>
            </w:pPr>
            <w:r>
              <w:rPr>
                <w:rFonts w:eastAsia="仿宋_GB2312"/>
                <w:color w:val="auto"/>
              </w:rPr>
              <w:t>COD</w:t>
            </w:r>
          </w:p>
        </w:tc>
        <w:tc>
          <w:tcPr>
            <w:tcW w:w="757" w:type="pct"/>
            <w:shd w:val="clear" w:color="auto" w:fill="auto"/>
            <w:vAlign w:val="center"/>
          </w:tcPr>
          <w:p w14:paraId="2DA881D0">
            <w:pPr>
              <w:adjustRightInd w:val="0"/>
              <w:snapToGrid w:val="0"/>
              <w:spacing w:line="280" w:lineRule="exact"/>
              <w:jc w:val="center"/>
              <w:rPr>
                <w:rFonts w:hint="eastAsia" w:ascii="Times New Roman" w:hAnsi="Times New Roman" w:eastAsia="仿宋_GB2312" w:cs="Times New Roman"/>
                <w:color w:val="auto"/>
                <w:kern w:val="2"/>
                <w:sz w:val="21"/>
                <w:szCs w:val="24"/>
                <w:lang w:val="en-US" w:eastAsia="zh-CN" w:bidi="ar-SA"/>
              </w:rPr>
            </w:pPr>
            <w:r>
              <w:rPr>
                <w:rFonts w:hint="eastAsia"/>
                <w:color w:val="auto"/>
                <w:szCs w:val="21"/>
                <w:lang w:val="en-US" w:eastAsia="zh-CN"/>
              </w:rPr>
              <w:t>5</w:t>
            </w:r>
            <w:r>
              <w:rPr>
                <w:color w:val="auto"/>
                <w:szCs w:val="21"/>
              </w:rPr>
              <w:t>00</w:t>
            </w:r>
          </w:p>
        </w:tc>
        <w:tc>
          <w:tcPr>
            <w:tcW w:w="723" w:type="pct"/>
            <w:shd w:val="clear" w:color="auto" w:fill="auto"/>
            <w:vAlign w:val="center"/>
          </w:tcPr>
          <w:p w14:paraId="6E5AC4EE">
            <w:pPr>
              <w:jc w:val="center"/>
              <w:rPr>
                <w:rFonts w:hint="eastAsia" w:ascii="Times New Roman" w:hAnsi="Times New Roman" w:eastAsia="仿宋_GB2312" w:cs="Times New Roman"/>
                <w:color w:val="auto"/>
                <w:kern w:val="2"/>
                <w:sz w:val="21"/>
                <w:szCs w:val="24"/>
                <w:lang w:val="en-US" w:eastAsia="zh-CN" w:bidi="ar-SA"/>
              </w:rPr>
            </w:pPr>
            <w:r>
              <w:rPr>
                <w:rFonts w:hint="eastAsia" w:eastAsia="仿宋_GB2312"/>
                <w:color w:val="auto"/>
                <w:lang w:val="en-US" w:eastAsia="zh-CN"/>
              </w:rPr>
              <w:t>0.075</w:t>
            </w:r>
          </w:p>
        </w:tc>
        <w:tc>
          <w:tcPr>
            <w:tcW w:w="638" w:type="pct"/>
            <w:vMerge w:val="continue"/>
            <w:vAlign w:val="center"/>
          </w:tcPr>
          <w:p w14:paraId="63659A9F">
            <w:pPr>
              <w:snapToGrid w:val="0"/>
              <w:spacing w:line="320" w:lineRule="exact"/>
              <w:jc w:val="center"/>
              <w:rPr>
                <w:rFonts w:eastAsia="仿宋_GB2312"/>
                <w:color w:val="FF0000"/>
                <w:szCs w:val="21"/>
              </w:rPr>
            </w:pPr>
          </w:p>
        </w:tc>
      </w:tr>
      <w:tr w14:paraId="26D701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1360" w:type="pct"/>
            <w:gridSpan w:val="2"/>
            <w:vMerge w:val="continue"/>
            <w:vAlign w:val="center"/>
          </w:tcPr>
          <w:p w14:paraId="217D36E0">
            <w:pPr>
              <w:widowControl/>
              <w:spacing w:line="300" w:lineRule="exact"/>
              <w:jc w:val="center"/>
              <w:rPr>
                <w:rFonts w:eastAsia="仿宋_GB2312"/>
                <w:color w:val="FF0000"/>
                <w:kern w:val="0"/>
                <w:szCs w:val="21"/>
              </w:rPr>
            </w:pPr>
          </w:p>
        </w:tc>
        <w:tc>
          <w:tcPr>
            <w:tcW w:w="776" w:type="pct"/>
            <w:vMerge w:val="continue"/>
            <w:vAlign w:val="center"/>
          </w:tcPr>
          <w:p w14:paraId="38F7A0E6">
            <w:pPr>
              <w:widowControl/>
              <w:spacing w:line="300" w:lineRule="exact"/>
              <w:jc w:val="center"/>
              <w:rPr>
                <w:rFonts w:eastAsia="仿宋_GB2312"/>
                <w:color w:val="FF0000"/>
                <w:kern w:val="0"/>
                <w:szCs w:val="21"/>
              </w:rPr>
            </w:pPr>
          </w:p>
        </w:tc>
        <w:tc>
          <w:tcPr>
            <w:tcW w:w="743" w:type="pct"/>
            <w:shd w:val="clear" w:color="auto" w:fill="auto"/>
            <w:vAlign w:val="center"/>
          </w:tcPr>
          <w:p w14:paraId="06D33C19">
            <w:pPr>
              <w:adjustRightInd w:val="0"/>
              <w:snapToGrid w:val="0"/>
              <w:spacing w:line="280" w:lineRule="exact"/>
              <w:jc w:val="center"/>
              <w:rPr>
                <w:rFonts w:ascii="Times New Roman" w:hAnsi="Times New Roman" w:eastAsia="仿宋_GB2312" w:cs="Times New Roman"/>
                <w:color w:val="auto"/>
                <w:kern w:val="2"/>
                <w:sz w:val="21"/>
                <w:szCs w:val="24"/>
                <w:lang w:val="en-US" w:eastAsia="zh-CN" w:bidi="ar-SA"/>
              </w:rPr>
            </w:pPr>
            <w:r>
              <w:rPr>
                <w:rFonts w:eastAsia="仿宋_GB2312"/>
                <w:color w:val="auto"/>
              </w:rPr>
              <w:t>SS</w:t>
            </w:r>
          </w:p>
        </w:tc>
        <w:tc>
          <w:tcPr>
            <w:tcW w:w="757" w:type="pct"/>
            <w:shd w:val="clear" w:color="auto" w:fill="auto"/>
            <w:vAlign w:val="center"/>
          </w:tcPr>
          <w:p w14:paraId="1D688D49">
            <w:pPr>
              <w:adjustRightInd w:val="0"/>
              <w:snapToGrid w:val="0"/>
              <w:spacing w:line="280" w:lineRule="exact"/>
              <w:jc w:val="center"/>
              <w:rPr>
                <w:rFonts w:hint="eastAsia" w:ascii="Times New Roman" w:hAnsi="Times New Roman" w:eastAsia="仿宋_GB2312" w:cs="Times New Roman"/>
                <w:color w:val="auto"/>
                <w:kern w:val="2"/>
                <w:sz w:val="21"/>
                <w:szCs w:val="24"/>
                <w:lang w:val="en-US" w:eastAsia="zh-CN" w:bidi="ar-SA"/>
              </w:rPr>
            </w:pPr>
            <w:r>
              <w:rPr>
                <w:color w:val="auto"/>
                <w:szCs w:val="21"/>
              </w:rPr>
              <w:t>300</w:t>
            </w:r>
          </w:p>
        </w:tc>
        <w:tc>
          <w:tcPr>
            <w:tcW w:w="723" w:type="pct"/>
            <w:shd w:val="clear" w:color="auto" w:fill="auto"/>
            <w:vAlign w:val="center"/>
          </w:tcPr>
          <w:p w14:paraId="4A1007BC">
            <w:pPr>
              <w:jc w:val="center"/>
              <w:rPr>
                <w:rFonts w:hint="eastAsia" w:ascii="Times New Roman" w:hAnsi="Times New Roman" w:eastAsia="仿宋_GB2312" w:cs="Times New Roman"/>
                <w:color w:val="auto"/>
                <w:kern w:val="2"/>
                <w:sz w:val="21"/>
                <w:szCs w:val="24"/>
                <w:lang w:val="en-US" w:eastAsia="zh-CN" w:bidi="ar-SA"/>
              </w:rPr>
            </w:pPr>
            <w:r>
              <w:rPr>
                <w:rFonts w:hint="eastAsia" w:eastAsia="仿宋_GB2312"/>
                <w:color w:val="auto"/>
                <w:lang w:val="en-US" w:eastAsia="zh-CN"/>
              </w:rPr>
              <w:t>0.045</w:t>
            </w:r>
          </w:p>
        </w:tc>
        <w:tc>
          <w:tcPr>
            <w:tcW w:w="638" w:type="pct"/>
            <w:vMerge w:val="continue"/>
            <w:vAlign w:val="center"/>
          </w:tcPr>
          <w:p w14:paraId="3D12703A">
            <w:pPr>
              <w:snapToGrid w:val="0"/>
              <w:spacing w:line="320" w:lineRule="exact"/>
              <w:jc w:val="center"/>
              <w:rPr>
                <w:rFonts w:eastAsia="仿宋_GB2312"/>
                <w:color w:val="FF0000"/>
                <w:szCs w:val="21"/>
              </w:rPr>
            </w:pPr>
          </w:p>
        </w:tc>
      </w:tr>
      <w:tr w14:paraId="429309E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1360" w:type="pct"/>
            <w:gridSpan w:val="2"/>
            <w:vMerge w:val="continue"/>
            <w:vAlign w:val="center"/>
          </w:tcPr>
          <w:p w14:paraId="435DA8E5">
            <w:pPr>
              <w:widowControl/>
              <w:spacing w:line="300" w:lineRule="exact"/>
              <w:jc w:val="center"/>
              <w:rPr>
                <w:rFonts w:eastAsia="仿宋_GB2312"/>
                <w:color w:val="FF0000"/>
                <w:kern w:val="0"/>
                <w:szCs w:val="21"/>
              </w:rPr>
            </w:pPr>
          </w:p>
        </w:tc>
        <w:tc>
          <w:tcPr>
            <w:tcW w:w="776" w:type="pct"/>
            <w:vMerge w:val="continue"/>
            <w:vAlign w:val="center"/>
          </w:tcPr>
          <w:p w14:paraId="01E069E8">
            <w:pPr>
              <w:widowControl/>
              <w:spacing w:line="300" w:lineRule="exact"/>
              <w:jc w:val="center"/>
              <w:rPr>
                <w:rFonts w:eastAsia="仿宋_GB2312"/>
                <w:color w:val="FF0000"/>
                <w:kern w:val="0"/>
                <w:szCs w:val="21"/>
              </w:rPr>
            </w:pPr>
          </w:p>
        </w:tc>
        <w:tc>
          <w:tcPr>
            <w:tcW w:w="743" w:type="pct"/>
            <w:shd w:val="clear" w:color="auto" w:fill="auto"/>
            <w:vAlign w:val="center"/>
          </w:tcPr>
          <w:p w14:paraId="4691CEC5">
            <w:pPr>
              <w:widowControl/>
              <w:spacing w:line="300" w:lineRule="exact"/>
              <w:jc w:val="center"/>
              <w:rPr>
                <w:rFonts w:ascii="Times New Roman" w:hAnsi="Times New Roman" w:eastAsia="仿宋_GB2312" w:cs="Times New Roman"/>
                <w:color w:val="auto"/>
                <w:kern w:val="0"/>
                <w:sz w:val="21"/>
                <w:szCs w:val="21"/>
                <w:lang w:val="en-US" w:eastAsia="zh-CN" w:bidi="ar-SA"/>
              </w:rPr>
            </w:pPr>
            <w:r>
              <w:rPr>
                <w:rFonts w:eastAsia="仿宋_GB2312"/>
                <w:color w:val="auto"/>
                <w:kern w:val="0"/>
                <w:szCs w:val="21"/>
              </w:rPr>
              <w:t>NH</w:t>
            </w:r>
            <w:r>
              <w:rPr>
                <w:rFonts w:eastAsia="仿宋_GB2312"/>
                <w:color w:val="auto"/>
                <w:kern w:val="0"/>
                <w:szCs w:val="21"/>
                <w:vertAlign w:val="subscript"/>
              </w:rPr>
              <w:t>3</w:t>
            </w:r>
            <w:r>
              <w:rPr>
                <w:rFonts w:eastAsia="仿宋_GB2312"/>
                <w:color w:val="auto"/>
                <w:kern w:val="0"/>
                <w:szCs w:val="21"/>
              </w:rPr>
              <w:t>-N</w:t>
            </w:r>
          </w:p>
        </w:tc>
        <w:tc>
          <w:tcPr>
            <w:tcW w:w="757" w:type="pct"/>
            <w:shd w:val="clear" w:color="auto" w:fill="auto"/>
            <w:vAlign w:val="center"/>
          </w:tcPr>
          <w:p w14:paraId="0C6C0E5C">
            <w:pPr>
              <w:adjustRightInd w:val="0"/>
              <w:snapToGrid w:val="0"/>
              <w:spacing w:line="280" w:lineRule="exact"/>
              <w:jc w:val="center"/>
              <w:rPr>
                <w:rFonts w:hint="eastAsia" w:ascii="Times New Roman" w:hAnsi="Times New Roman" w:eastAsia="宋体" w:cs="Times New Roman"/>
                <w:color w:val="auto"/>
                <w:kern w:val="2"/>
                <w:sz w:val="21"/>
                <w:szCs w:val="21"/>
                <w:lang w:val="en-US" w:eastAsia="zh-CN" w:bidi="ar-SA"/>
              </w:rPr>
            </w:pPr>
            <w:r>
              <w:rPr>
                <w:rFonts w:hint="eastAsia"/>
                <w:color w:val="auto"/>
                <w:szCs w:val="21"/>
                <w:lang w:val="en-US" w:eastAsia="zh-CN"/>
              </w:rPr>
              <w:t>30</w:t>
            </w:r>
          </w:p>
        </w:tc>
        <w:tc>
          <w:tcPr>
            <w:tcW w:w="723" w:type="pct"/>
            <w:shd w:val="clear" w:color="auto" w:fill="auto"/>
            <w:vAlign w:val="center"/>
          </w:tcPr>
          <w:p w14:paraId="5F123670">
            <w:pPr>
              <w:jc w:val="center"/>
              <w:rPr>
                <w:rFonts w:hint="eastAsia" w:ascii="Times New Roman" w:hAnsi="Times New Roman" w:eastAsia="宋体" w:cs="Times New Roman"/>
                <w:color w:val="auto"/>
                <w:kern w:val="2"/>
                <w:sz w:val="21"/>
                <w:szCs w:val="21"/>
                <w:lang w:val="en-US" w:eastAsia="zh-CN" w:bidi="ar-SA"/>
              </w:rPr>
            </w:pPr>
            <w:r>
              <w:rPr>
                <w:rFonts w:hint="eastAsia"/>
                <w:color w:val="auto"/>
                <w:szCs w:val="21"/>
                <w:lang w:val="en-US" w:eastAsia="zh-CN"/>
              </w:rPr>
              <w:t>0.005</w:t>
            </w:r>
          </w:p>
        </w:tc>
        <w:tc>
          <w:tcPr>
            <w:tcW w:w="638" w:type="pct"/>
            <w:vMerge w:val="continue"/>
            <w:vAlign w:val="center"/>
          </w:tcPr>
          <w:p w14:paraId="093F19D1">
            <w:pPr>
              <w:snapToGrid w:val="0"/>
              <w:spacing w:line="320" w:lineRule="exact"/>
              <w:jc w:val="center"/>
              <w:rPr>
                <w:rFonts w:eastAsia="仿宋_GB2312"/>
                <w:color w:val="FF0000"/>
                <w:szCs w:val="21"/>
              </w:rPr>
            </w:pPr>
          </w:p>
        </w:tc>
      </w:tr>
      <w:tr w14:paraId="16AA88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1360" w:type="pct"/>
            <w:gridSpan w:val="2"/>
            <w:vMerge w:val="continue"/>
            <w:vAlign w:val="center"/>
          </w:tcPr>
          <w:p w14:paraId="6CD6F0E3">
            <w:pPr>
              <w:widowControl/>
              <w:spacing w:line="300" w:lineRule="exact"/>
              <w:jc w:val="center"/>
              <w:rPr>
                <w:rFonts w:eastAsia="仿宋_GB2312"/>
                <w:color w:val="FF0000"/>
                <w:kern w:val="0"/>
                <w:szCs w:val="21"/>
              </w:rPr>
            </w:pPr>
          </w:p>
        </w:tc>
        <w:tc>
          <w:tcPr>
            <w:tcW w:w="776" w:type="pct"/>
            <w:vMerge w:val="continue"/>
            <w:vAlign w:val="center"/>
          </w:tcPr>
          <w:p w14:paraId="42B1CC0A">
            <w:pPr>
              <w:widowControl/>
              <w:spacing w:line="300" w:lineRule="exact"/>
              <w:jc w:val="center"/>
              <w:rPr>
                <w:rFonts w:eastAsia="仿宋_GB2312"/>
                <w:color w:val="FF0000"/>
                <w:kern w:val="0"/>
                <w:szCs w:val="21"/>
              </w:rPr>
            </w:pPr>
          </w:p>
        </w:tc>
        <w:tc>
          <w:tcPr>
            <w:tcW w:w="743" w:type="pct"/>
            <w:shd w:val="clear" w:color="auto" w:fill="auto"/>
            <w:vAlign w:val="center"/>
          </w:tcPr>
          <w:p w14:paraId="1C9876D0">
            <w:pPr>
              <w:widowControl/>
              <w:spacing w:line="300" w:lineRule="exact"/>
              <w:jc w:val="center"/>
              <w:rPr>
                <w:rFonts w:hint="default" w:ascii="Times New Roman" w:hAnsi="Times New Roman" w:eastAsia="仿宋_GB2312" w:cs="Times New Roman"/>
                <w:color w:val="auto"/>
                <w:kern w:val="0"/>
                <w:sz w:val="21"/>
                <w:szCs w:val="21"/>
                <w:lang w:val="en-US" w:eastAsia="zh-CN" w:bidi="ar-SA"/>
              </w:rPr>
            </w:pPr>
            <w:r>
              <w:rPr>
                <w:rFonts w:hint="eastAsia" w:eastAsia="仿宋_GB2312" w:cs="Times New Roman"/>
                <w:color w:val="auto"/>
                <w:kern w:val="0"/>
                <w:sz w:val="21"/>
                <w:szCs w:val="21"/>
                <w:lang w:val="en-US" w:eastAsia="zh-CN" w:bidi="ar-SA"/>
              </w:rPr>
              <w:t>TN</w:t>
            </w:r>
          </w:p>
        </w:tc>
        <w:tc>
          <w:tcPr>
            <w:tcW w:w="757" w:type="pct"/>
            <w:shd w:val="clear" w:color="auto" w:fill="auto"/>
            <w:vAlign w:val="center"/>
          </w:tcPr>
          <w:p w14:paraId="36C58DFB">
            <w:pPr>
              <w:adjustRightInd w:val="0"/>
              <w:snapToGrid w:val="0"/>
              <w:spacing w:line="280" w:lineRule="exact"/>
              <w:jc w:val="center"/>
              <w:rPr>
                <w:rFonts w:hint="eastAsia" w:ascii="Times New Roman" w:hAnsi="Times New Roman" w:eastAsia="宋体" w:cs="Times New Roman"/>
                <w:color w:val="auto"/>
                <w:kern w:val="2"/>
                <w:sz w:val="21"/>
                <w:szCs w:val="21"/>
                <w:lang w:val="en-US" w:eastAsia="zh-CN" w:bidi="ar-SA"/>
              </w:rPr>
            </w:pPr>
            <w:r>
              <w:rPr>
                <w:rFonts w:hint="eastAsia"/>
                <w:color w:val="auto"/>
                <w:szCs w:val="21"/>
                <w:lang w:val="en-US" w:eastAsia="zh-CN"/>
              </w:rPr>
              <w:t>45</w:t>
            </w:r>
          </w:p>
        </w:tc>
        <w:tc>
          <w:tcPr>
            <w:tcW w:w="723" w:type="pct"/>
            <w:shd w:val="clear" w:color="auto" w:fill="auto"/>
            <w:vAlign w:val="center"/>
          </w:tcPr>
          <w:p w14:paraId="04E15E88">
            <w:pPr>
              <w:jc w:val="center"/>
              <w:rPr>
                <w:rFonts w:hint="eastAsia" w:ascii="Times New Roman" w:hAnsi="Times New Roman" w:eastAsia="宋体" w:cs="Times New Roman"/>
                <w:color w:val="auto"/>
                <w:kern w:val="2"/>
                <w:sz w:val="21"/>
                <w:szCs w:val="21"/>
                <w:lang w:val="en-US" w:eastAsia="zh-CN" w:bidi="ar-SA"/>
              </w:rPr>
            </w:pPr>
            <w:r>
              <w:rPr>
                <w:rFonts w:hint="eastAsia"/>
                <w:color w:val="auto"/>
                <w:szCs w:val="21"/>
                <w:lang w:val="en-US" w:eastAsia="zh-CN"/>
              </w:rPr>
              <w:t>0.007</w:t>
            </w:r>
          </w:p>
        </w:tc>
        <w:tc>
          <w:tcPr>
            <w:tcW w:w="638" w:type="pct"/>
            <w:vMerge w:val="continue"/>
            <w:vAlign w:val="center"/>
          </w:tcPr>
          <w:p w14:paraId="242DD28E">
            <w:pPr>
              <w:snapToGrid w:val="0"/>
              <w:spacing w:line="320" w:lineRule="exact"/>
              <w:jc w:val="center"/>
              <w:rPr>
                <w:rFonts w:eastAsia="仿宋_GB2312"/>
                <w:color w:val="FF0000"/>
                <w:szCs w:val="21"/>
              </w:rPr>
            </w:pPr>
          </w:p>
        </w:tc>
      </w:tr>
      <w:tr w14:paraId="4E7B44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1360" w:type="pct"/>
            <w:gridSpan w:val="2"/>
            <w:vMerge w:val="continue"/>
            <w:vAlign w:val="center"/>
          </w:tcPr>
          <w:p w14:paraId="1E5036A1">
            <w:pPr>
              <w:widowControl/>
              <w:spacing w:line="300" w:lineRule="exact"/>
              <w:jc w:val="center"/>
              <w:rPr>
                <w:rFonts w:eastAsia="仿宋_GB2312"/>
                <w:color w:val="FF0000"/>
                <w:kern w:val="0"/>
                <w:szCs w:val="21"/>
              </w:rPr>
            </w:pPr>
          </w:p>
        </w:tc>
        <w:tc>
          <w:tcPr>
            <w:tcW w:w="776" w:type="pct"/>
            <w:vMerge w:val="continue"/>
            <w:vAlign w:val="center"/>
          </w:tcPr>
          <w:p w14:paraId="440D7715">
            <w:pPr>
              <w:widowControl/>
              <w:spacing w:line="300" w:lineRule="exact"/>
              <w:jc w:val="center"/>
              <w:rPr>
                <w:rFonts w:eastAsia="仿宋_GB2312"/>
                <w:color w:val="FF0000"/>
                <w:kern w:val="0"/>
                <w:szCs w:val="21"/>
              </w:rPr>
            </w:pPr>
          </w:p>
        </w:tc>
        <w:tc>
          <w:tcPr>
            <w:tcW w:w="743" w:type="pct"/>
            <w:shd w:val="clear" w:color="auto" w:fill="auto"/>
            <w:vAlign w:val="center"/>
          </w:tcPr>
          <w:p w14:paraId="0B5D7CC5">
            <w:pPr>
              <w:adjustRightInd w:val="0"/>
              <w:snapToGrid w:val="0"/>
              <w:spacing w:line="280" w:lineRule="exact"/>
              <w:jc w:val="center"/>
              <w:rPr>
                <w:rFonts w:ascii="Times New Roman" w:hAnsi="Times New Roman" w:eastAsia="仿宋_GB2312" w:cs="Times New Roman"/>
                <w:color w:val="auto"/>
                <w:kern w:val="2"/>
                <w:sz w:val="21"/>
                <w:szCs w:val="24"/>
                <w:lang w:val="en-US" w:eastAsia="zh-CN" w:bidi="ar-SA"/>
              </w:rPr>
            </w:pPr>
            <w:r>
              <w:rPr>
                <w:rFonts w:eastAsia="仿宋_GB2312"/>
                <w:color w:val="auto"/>
                <w:kern w:val="0"/>
                <w:szCs w:val="21"/>
              </w:rPr>
              <w:t>TP</w:t>
            </w:r>
          </w:p>
        </w:tc>
        <w:tc>
          <w:tcPr>
            <w:tcW w:w="757" w:type="pct"/>
            <w:shd w:val="clear" w:color="auto" w:fill="auto"/>
            <w:vAlign w:val="center"/>
          </w:tcPr>
          <w:p w14:paraId="563495C4">
            <w:pPr>
              <w:adjustRightInd w:val="0"/>
              <w:snapToGrid w:val="0"/>
              <w:spacing w:line="280" w:lineRule="exact"/>
              <w:jc w:val="center"/>
              <w:rPr>
                <w:rFonts w:hint="eastAsia" w:ascii="Times New Roman" w:hAnsi="Times New Roman" w:eastAsia="宋体" w:cs="Times New Roman"/>
                <w:color w:val="auto"/>
                <w:kern w:val="2"/>
                <w:sz w:val="21"/>
                <w:szCs w:val="21"/>
                <w:lang w:val="en-US" w:eastAsia="zh-CN" w:bidi="ar-SA"/>
              </w:rPr>
            </w:pPr>
            <w:r>
              <w:rPr>
                <w:rFonts w:hint="eastAsia"/>
                <w:color w:val="auto"/>
                <w:szCs w:val="21"/>
                <w:lang w:val="en-US" w:eastAsia="zh-CN"/>
              </w:rPr>
              <w:t>3</w:t>
            </w:r>
          </w:p>
        </w:tc>
        <w:tc>
          <w:tcPr>
            <w:tcW w:w="723" w:type="pct"/>
            <w:shd w:val="clear" w:color="auto" w:fill="auto"/>
            <w:vAlign w:val="center"/>
          </w:tcPr>
          <w:p w14:paraId="5BAB8C8D">
            <w:pPr>
              <w:jc w:val="center"/>
              <w:rPr>
                <w:rFonts w:hint="eastAsia" w:ascii="Times New Roman" w:hAnsi="Times New Roman" w:eastAsia="宋体" w:cs="Times New Roman"/>
                <w:color w:val="auto"/>
                <w:kern w:val="2"/>
                <w:sz w:val="21"/>
                <w:szCs w:val="21"/>
                <w:lang w:val="en-US" w:eastAsia="zh-CN" w:bidi="ar-SA"/>
              </w:rPr>
            </w:pPr>
            <w:r>
              <w:rPr>
                <w:rFonts w:hint="eastAsia"/>
                <w:color w:val="auto"/>
                <w:szCs w:val="21"/>
                <w:lang w:val="en-US" w:eastAsia="zh-CN"/>
              </w:rPr>
              <w:t>0.001</w:t>
            </w:r>
          </w:p>
        </w:tc>
        <w:tc>
          <w:tcPr>
            <w:tcW w:w="638" w:type="pct"/>
            <w:vMerge w:val="continue"/>
            <w:vAlign w:val="center"/>
          </w:tcPr>
          <w:p w14:paraId="09921CD1">
            <w:pPr>
              <w:snapToGrid w:val="0"/>
              <w:spacing w:line="320" w:lineRule="exact"/>
              <w:jc w:val="center"/>
              <w:rPr>
                <w:rFonts w:eastAsia="仿宋_GB2312"/>
                <w:color w:val="FF0000"/>
                <w:szCs w:val="21"/>
              </w:rPr>
            </w:pPr>
          </w:p>
        </w:tc>
      </w:tr>
      <w:tr w14:paraId="1D9753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1360" w:type="pct"/>
            <w:gridSpan w:val="2"/>
            <w:vMerge w:val="continue"/>
            <w:vAlign w:val="center"/>
          </w:tcPr>
          <w:p w14:paraId="51384E56">
            <w:pPr>
              <w:widowControl/>
              <w:spacing w:line="300" w:lineRule="exact"/>
              <w:jc w:val="center"/>
              <w:rPr>
                <w:rFonts w:eastAsia="仿宋_GB2312"/>
                <w:color w:val="FF0000"/>
                <w:kern w:val="0"/>
                <w:szCs w:val="21"/>
              </w:rPr>
            </w:pPr>
          </w:p>
        </w:tc>
        <w:tc>
          <w:tcPr>
            <w:tcW w:w="776" w:type="pct"/>
            <w:vMerge w:val="continue"/>
            <w:vAlign w:val="center"/>
          </w:tcPr>
          <w:p w14:paraId="64E27680">
            <w:pPr>
              <w:widowControl/>
              <w:spacing w:line="300" w:lineRule="exact"/>
              <w:jc w:val="center"/>
              <w:rPr>
                <w:rFonts w:eastAsia="仿宋_GB2312"/>
                <w:color w:val="FF0000"/>
                <w:kern w:val="0"/>
                <w:szCs w:val="21"/>
              </w:rPr>
            </w:pPr>
          </w:p>
        </w:tc>
        <w:tc>
          <w:tcPr>
            <w:tcW w:w="743" w:type="pct"/>
            <w:shd w:val="clear" w:color="auto" w:fill="auto"/>
            <w:vAlign w:val="center"/>
          </w:tcPr>
          <w:p w14:paraId="128415DA">
            <w:pPr>
              <w:adjustRightInd w:val="0"/>
              <w:snapToGrid w:val="0"/>
              <w:spacing w:line="280" w:lineRule="exact"/>
              <w:jc w:val="center"/>
              <w:rPr>
                <w:rFonts w:ascii="Times New Roman" w:hAnsi="Times New Roman" w:eastAsia="仿宋_GB2312" w:cs="Times New Roman"/>
                <w:color w:val="auto"/>
                <w:kern w:val="2"/>
                <w:sz w:val="21"/>
                <w:szCs w:val="24"/>
                <w:lang w:val="en-US" w:eastAsia="zh-CN" w:bidi="ar-SA"/>
              </w:rPr>
            </w:pPr>
            <w:r>
              <w:rPr>
                <w:rFonts w:ascii="仿宋_GB2312" w:eastAsia="仿宋_GB2312"/>
                <w:color w:val="auto"/>
              </w:rPr>
              <w:t>盐分</w:t>
            </w:r>
          </w:p>
        </w:tc>
        <w:tc>
          <w:tcPr>
            <w:tcW w:w="757" w:type="pct"/>
            <w:shd w:val="clear" w:color="auto" w:fill="auto"/>
            <w:vAlign w:val="center"/>
          </w:tcPr>
          <w:p w14:paraId="3F71F38C">
            <w:pPr>
              <w:adjustRightInd w:val="0"/>
              <w:snapToGrid w:val="0"/>
              <w:spacing w:line="280" w:lineRule="exact"/>
              <w:jc w:val="center"/>
              <w:rPr>
                <w:rFonts w:hint="eastAsia" w:ascii="Times New Roman" w:hAnsi="Times New Roman" w:eastAsia="仿宋_GB2312" w:cs="Times New Roman"/>
                <w:color w:val="auto"/>
                <w:kern w:val="2"/>
                <w:sz w:val="21"/>
                <w:szCs w:val="24"/>
                <w:lang w:val="en-US" w:eastAsia="zh-CN" w:bidi="ar-SA"/>
              </w:rPr>
            </w:pPr>
            <w:r>
              <w:rPr>
                <w:rFonts w:hint="eastAsia"/>
                <w:color w:val="auto"/>
                <w:szCs w:val="21"/>
                <w:lang w:val="en-US" w:eastAsia="zh-CN"/>
              </w:rPr>
              <w:t>5</w:t>
            </w:r>
            <w:r>
              <w:rPr>
                <w:color w:val="auto"/>
                <w:szCs w:val="21"/>
              </w:rPr>
              <w:t>00</w:t>
            </w:r>
          </w:p>
        </w:tc>
        <w:tc>
          <w:tcPr>
            <w:tcW w:w="723" w:type="pct"/>
            <w:shd w:val="clear" w:color="auto" w:fill="auto"/>
            <w:vAlign w:val="center"/>
          </w:tcPr>
          <w:p w14:paraId="74C6059C">
            <w:pPr>
              <w:widowControl/>
              <w:jc w:val="center"/>
              <w:rPr>
                <w:rFonts w:hint="eastAsia" w:ascii="Times New Roman" w:hAnsi="Times New Roman" w:eastAsia="宋体" w:cs="Times New Roman"/>
                <w:color w:val="auto"/>
                <w:kern w:val="0"/>
                <w:sz w:val="21"/>
                <w:szCs w:val="21"/>
                <w:lang w:val="en-US" w:eastAsia="zh-CN" w:bidi="ar-SA"/>
              </w:rPr>
            </w:pPr>
            <w:r>
              <w:rPr>
                <w:rFonts w:hint="eastAsia"/>
                <w:color w:val="auto"/>
                <w:kern w:val="0"/>
                <w:szCs w:val="21"/>
                <w:lang w:val="en-US" w:eastAsia="zh-CN"/>
              </w:rPr>
              <w:t>0.075</w:t>
            </w:r>
          </w:p>
        </w:tc>
        <w:tc>
          <w:tcPr>
            <w:tcW w:w="638" w:type="pct"/>
            <w:vMerge w:val="continue"/>
            <w:vAlign w:val="center"/>
          </w:tcPr>
          <w:p w14:paraId="6895B9B7">
            <w:pPr>
              <w:snapToGrid w:val="0"/>
              <w:spacing w:line="320" w:lineRule="exact"/>
              <w:jc w:val="center"/>
              <w:rPr>
                <w:rFonts w:eastAsia="仿宋_GB2312"/>
                <w:color w:val="FF0000"/>
                <w:szCs w:val="21"/>
              </w:rPr>
            </w:pPr>
          </w:p>
        </w:tc>
      </w:tr>
      <w:tr w14:paraId="18A5FB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1360" w:type="pct"/>
            <w:gridSpan w:val="2"/>
            <w:vMerge w:val="restart"/>
            <w:vAlign w:val="center"/>
          </w:tcPr>
          <w:p w14:paraId="04860B78">
            <w:pPr>
              <w:widowControl/>
              <w:spacing w:line="300" w:lineRule="exact"/>
              <w:jc w:val="center"/>
              <w:rPr>
                <w:rFonts w:hint="default" w:eastAsia="仿宋_GB2312"/>
                <w:color w:val="auto"/>
                <w:kern w:val="0"/>
                <w:szCs w:val="21"/>
                <w:lang w:val="en-US" w:eastAsia="zh-CN"/>
              </w:rPr>
            </w:pPr>
            <w:r>
              <w:rPr>
                <w:rFonts w:hint="eastAsia" w:eastAsia="仿宋_GB2312"/>
                <w:color w:val="auto"/>
                <w:kern w:val="0"/>
                <w:szCs w:val="21"/>
                <w:lang w:val="en-US" w:eastAsia="zh-CN"/>
              </w:rPr>
              <w:t>废气吸收水</w:t>
            </w:r>
          </w:p>
        </w:tc>
        <w:tc>
          <w:tcPr>
            <w:tcW w:w="776" w:type="pct"/>
            <w:vMerge w:val="restart"/>
            <w:shd w:val="clear" w:color="auto" w:fill="auto"/>
            <w:vAlign w:val="center"/>
          </w:tcPr>
          <w:p w14:paraId="77C465D7">
            <w:pPr>
              <w:widowControl/>
              <w:jc w:val="center"/>
              <w:rPr>
                <w:rFonts w:hint="default" w:ascii="Times New Roman" w:hAnsi="Times New Roman" w:eastAsia="仿宋_GB2312" w:cs="Times New Roman"/>
                <w:color w:val="auto"/>
                <w:kern w:val="0"/>
                <w:sz w:val="21"/>
                <w:szCs w:val="21"/>
                <w:lang w:val="en-US" w:eastAsia="zh-CN" w:bidi="ar-SA"/>
              </w:rPr>
            </w:pPr>
            <w:r>
              <w:rPr>
                <w:rFonts w:hint="eastAsia" w:eastAsia="仿宋_GB2312"/>
                <w:color w:val="auto"/>
                <w:kern w:val="0"/>
                <w:szCs w:val="21"/>
                <w:lang w:val="en-US" w:eastAsia="zh-CN"/>
              </w:rPr>
              <w:t>20000</w:t>
            </w:r>
          </w:p>
        </w:tc>
        <w:tc>
          <w:tcPr>
            <w:tcW w:w="743" w:type="pct"/>
            <w:shd w:val="clear" w:color="auto" w:fill="auto"/>
            <w:vAlign w:val="center"/>
          </w:tcPr>
          <w:p w14:paraId="6450DC61">
            <w:pPr>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kern w:val="0"/>
                <w:sz w:val="21"/>
                <w:szCs w:val="21"/>
                <w:lang w:val="en-US" w:eastAsia="zh-CN" w:bidi="ar-SA"/>
              </w:rPr>
            </w:pPr>
            <w:r>
              <w:rPr>
                <w:rFonts w:hint="default"/>
                <w:kern w:val="0"/>
                <w:szCs w:val="21"/>
              </w:rPr>
              <w:t>COD</w:t>
            </w:r>
          </w:p>
        </w:tc>
        <w:tc>
          <w:tcPr>
            <w:tcW w:w="757" w:type="pct"/>
            <w:shd w:val="clear" w:color="auto" w:fill="auto"/>
            <w:vAlign w:val="center"/>
          </w:tcPr>
          <w:p w14:paraId="12B60619">
            <w:pPr>
              <w:keepNext w:val="0"/>
              <w:keepLines w:val="0"/>
              <w:widowControl/>
              <w:suppressLineNumbers w:val="0"/>
              <w:spacing w:before="0" w:beforeAutospacing="0" w:after="0" w:afterAutospacing="0"/>
              <w:ind w:left="0" w:leftChars="0" w:right="0" w:rightChars="0"/>
              <w:jc w:val="center"/>
              <w:rPr>
                <w:rFonts w:hint="eastAsia" w:ascii="Times New Roman" w:hAnsi="Times New Roman" w:eastAsia="仿宋_GB2312" w:cs="Times New Roman"/>
                <w:kern w:val="0"/>
                <w:sz w:val="21"/>
                <w:szCs w:val="21"/>
                <w:lang w:val="en-US" w:eastAsia="zh-CN" w:bidi="ar-SA"/>
              </w:rPr>
            </w:pPr>
            <w:r>
              <w:rPr>
                <w:rFonts w:hint="eastAsia" w:eastAsia="仿宋_GB2312"/>
                <w:kern w:val="0"/>
                <w:szCs w:val="21"/>
                <w:lang w:val="en-US" w:eastAsia="zh-CN"/>
              </w:rPr>
              <w:t>24715</w:t>
            </w:r>
          </w:p>
        </w:tc>
        <w:tc>
          <w:tcPr>
            <w:tcW w:w="723" w:type="pct"/>
            <w:shd w:val="clear" w:color="auto" w:fill="auto"/>
            <w:vAlign w:val="center"/>
          </w:tcPr>
          <w:p w14:paraId="40D7847F">
            <w:pPr>
              <w:keepNext w:val="0"/>
              <w:keepLines w:val="0"/>
              <w:widowControl/>
              <w:suppressLineNumbers w:val="0"/>
              <w:spacing w:before="0" w:beforeAutospacing="0" w:after="0" w:afterAutospacing="0"/>
              <w:ind w:left="0" w:leftChars="0" w:right="0" w:rightChars="0"/>
              <w:jc w:val="center"/>
              <w:rPr>
                <w:rFonts w:hint="eastAsia" w:ascii="Times New Roman" w:hAnsi="Times New Roman" w:eastAsia="仿宋_GB2312" w:cs="Times New Roman"/>
                <w:kern w:val="0"/>
                <w:sz w:val="21"/>
                <w:szCs w:val="21"/>
                <w:lang w:val="en-US" w:eastAsia="zh-CN" w:bidi="ar-SA"/>
              </w:rPr>
            </w:pPr>
            <w:r>
              <w:rPr>
                <w:rFonts w:hint="eastAsia" w:eastAsia="仿宋_GB2312"/>
                <w:kern w:val="0"/>
                <w:szCs w:val="21"/>
                <w:lang w:val="en-US" w:eastAsia="zh-CN"/>
              </w:rPr>
              <w:t>494.3</w:t>
            </w:r>
          </w:p>
        </w:tc>
        <w:tc>
          <w:tcPr>
            <w:tcW w:w="638" w:type="pct"/>
            <w:vMerge w:val="continue"/>
            <w:vAlign w:val="center"/>
          </w:tcPr>
          <w:p w14:paraId="2774FCE2">
            <w:pPr>
              <w:snapToGrid w:val="0"/>
              <w:spacing w:line="320" w:lineRule="exact"/>
              <w:jc w:val="center"/>
              <w:rPr>
                <w:rFonts w:eastAsia="仿宋_GB2312"/>
                <w:color w:val="FF0000"/>
                <w:szCs w:val="21"/>
              </w:rPr>
            </w:pPr>
          </w:p>
        </w:tc>
      </w:tr>
      <w:tr w14:paraId="1CE0145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1360" w:type="pct"/>
            <w:gridSpan w:val="2"/>
            <w:vMerge w:val="continue"/>
            <w:vAlign w:val="center"/>
          </w:tcPr>
          <w:p w14:paraId="12495D23">
            <w:pPr>
              <w:widowControl/>
              <w:spacing w:line="300" w:lineRule="exact"/>
              <w:jc w:val="center"/>
              <w:rPr>
                <w:rFonts w:hint="eastAsia" w:eastAsia="仿宋_GB2312"/>
                <w:color w:val="auto"/>
                <w:kern w:val="0"/>
                <w:szCs w:val="21"/>
                <w:lang w:val="en-US" w:eastAsia="zh-CN"/>
              </w:rPr>
            </w:pPr>
          </w:p>
        </w:tc>
        <w:tc>
          <w:tcPr>
            <w:tcW w:w="776" w:type="pct"/>
            <w:vMerge w:val="continue"/>
            <w:shd w:val="clear" w:color="auto" w:fill="auto"/>
            <w:vAlign w:val="center"/>
          </w:tcPr>
          <w:p w14:paraId="0066F753">
            <w:pPr>
              <w:widowControl/>
              <w:jc w:val="center"/>
              <w:rPr>
                <w:rFonts w:hint="eastAsia" w:eastAsia="仿宋_GB2312"/>
                <w:color w:val="auto"/>
                <w:kern w:val="0"/>
                <w:szCs w:val="21"/>
                <w:lang w:val="en-US" w:eastAsia="zh-CN"/>
              </w:rPr>
            </w:pPr>
          </w:p>
        </w:tc>
        <w:tc>
          <w:tcPr>
            <w:tcW w:w="743" w:type="pct"/>
            <w:shd w:val="clear" w:color="auto" w:fill="auto"/>
            <w:vAlign w:val="center"/>
          </w:tcPr>
          <w:p w14:paraId="0C4CB2A1">
            <w:pPr>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kern w:val="0"/>
                <w:sz w:val="21"/>
                <w:szCs w:val="21"/>
                <w:lang w:val="en-US" w:eastAsia="zh-CN" w:bidi="ar-SA"/>
              </w:rPr>
            </w:pPr>
            <w:r>
              <w:rPr>
                <w:rFonts w:hint="eastAsia"/>
                <w:kern w:val="0"/>
                <w:szCs w:val="21"/>
                <w:lang w:val="en-US" w:eastAsia="zh-CN"/>
              </w:rPr>
              <w:t>SS</w:t>
            </w:r>
          </w:p>
        </w:tc>
        <w:tc>
          <w:tcPr>
            <w:tcW w:w="757" w:type="pct"/>
            <w:shd w:val="clear" w:color="auto" w:fill="auto"/>
            <w:vAlign w:val="center"/>
          </w:tcPr>
          <w:p w14:paraId="2624139C">
            <w:pPr>
              <w:keepNext w:val="0"/>
              <w:keepLines w:val="0"/>
              <w:widowControl/>
              <w:suppressLineNumbers w:val="0"/>
              <w:spacing w:before="0" w:beforeAutospacing="0" w:after="0" w:afterAutospacing="0"/>
              <w:ind w:left="0" w:leftChars="0" w:right="0" w:rightChars="0"/>
              <w:jc w:val="center"/>
              <w:rPr>
                <w:rFonts w:hint="default" w:ascii="Times New Roman" w:hAnsi="Times New Roman" w:eastAsia="仿宋_GB2312" w:cs="Times New Roman"/>
                <w:kern w:val="0"/>
                <w:sz w:val="21"/>
                <w:szCs w:val="21"/>
                <w:lang w:val="en-US" w:eastAsia="zh-CN" w:bidi="ar-SA"/>
              </w:rPr>
            </w:pPr>
            <w:r>
              <w:rPr>
                <w:rFonts w:hint="eastAsia" w:eastAsia="仿宋_GB2312"/>
                <w:kern w:val="0"/>
                <w:szCs w:val="21"/>
                <w:lang w:val="en-US" w:eastAsia="zh-CN"/>
              </w:rPr>
              <w:t>300</w:t>
            </w:r>
          </w:p>
        </w:tc>
        <w:tc>
          <w:tcPr>
            <w:tcW w:w="723" w:type="pct"/>
            <w:shd w:val="clear" w:color="auto" w:fill="auto"/>
            <w:vAlign w:val="center"/>
          </w:tcPr>
          <w:p w14:paraId="7767C9E5">
            <w:pPr>
              <w:keepNext w:val="0"/>
              <w:keepLines w:val="0"/>
              <w:widowControl/>
              <w:suppressLineNumbers w:val="0"/>
              <w:spacing w:before="0" w:beforeAutospacing="0" w:after="0" w:afterAutospacing="0"/>
              <w:ind w:left="0" w:leftChars="0" w:right="0" w:rightChars="0"/>
              <w:jc w:val="center"/>
              <w:rPr>
                <w:rFonts w:hint="default" w:ascii="Times New Roman" w:hAnsi="Times New Roman" w:eastAsia="仿宋_GB2312" w:cs="Times New Roman"/>
                <w:kern w:val="0"/>
                <w:sz w:val="21"/>
                <w:szCs w:val="21"/>
                <w:lang w:val="en-US" w:eastAsia="zh-CN" w:bidi="ar-SA"/>
              </w:rPr>
            </w:pPr>
            <w:r>
              <w:rPr>
                <w:rFonts w:hint="eastAsia" w:eastAsia="仿宋_GB2312"/>
                <w:kern w:val="0"/>
                <w:szCs w:val="21"/>
                <w:lang w:val="en-US" w:eastAsia="zh-CN"/>
              </w:rPr>
              <w:t>6</w:t>
            </w:r>
          </w:p>
        </w:tc>
        <w:tc>
          <w:tcPr>
            <w:tcW w:w="638" w:type="pct"/>
            <w:vMerge w:val="continue"/>
            <w:vAlign w:val="center"/>
          </w:tcPr>
          <w:p w14:paraId="7E0C3494">
            <w:pPr>
              <w:snapToGrid w:val="0"/>
              <w:spacing w:line="320" w:lineRule="exact"/>
              <w:jc w:val="center"/>
              <w:rPr>
                <w:rFonts w:eastAsia="仿宋_GB2312"/>
                <w:color w:val="FF0000"/>
                <w:szCs w:val="21"/>
              </w:rPr>
            </w:pPr>
          </w:p>
        </w:tc>
      </w:tr>
      <w:tr w14:paraId="773936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1360" w:type="pct"/>
            <w:gridSpan w:val="2"/>
            <w:vMerge w:val="continue"/>
            <w:vAlign w:val="center"/>
          </w:tcPr>
          <w:p w14:paraId="249362EB">
            <w:pPr>
              <w:widowControl/>
              <w:spacing w:line="300" w:lineRule="exact"/>
              <w:jc w:val="center"/>
              <w:rPr>
                <w:rFonts w:eastAsia="仿宋_GB2312"/>
                <w:color w:val="auto"/>
                <w:kern w:val="0"/>
                <w:szCs w:val="21"/>
              </w:rPr>
            </w:pPr>
          </w:p>
        </w:tc>
        <w:tc>
          <w:tcPr>
            <w:tcW w:w="776" w:type="pct"/>
            <w:vMerge w:val="continue"/>
            <w:vAlign w:val="center"/>
          </w:tcPr>
          <w:p w14:paraId="1832D664">
            <w:pPr>
              <w:widowControl/>
              <w:spacing w:line="300" w:lineRule="exact"/>
              <w:jc w:val="center"/>
              <w:rPr>
                <w:rFonts w:eastAsia="仿宋_GB2312"/>
                <w:color w:val="auto"/>
                <w:kern w:val="0"/>
                <w:szCs w:val="21"/>
              </w:rPr>
            </w:pPr>
          </w:p>
        </w:tc>
        <w:tc>
          <w:tcPr>
            <w:tcW w:w="743" w:type="pct"/>
            <w:shd w:val="clear" w:color="auto" w:fill="auto"/>
            <w:vAlign w:val="center"/>
          </w:tcPr>
          <w:p w14:paraId="45CBA10A">
            <w:pPr>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kern w:val="0"/>
                <w:sz w:val="21"/>
                <w:szCs w:val="21"/>
                <w:lang w:val="en-US" w:eastAsia="zh-CN" w:bidi="ar-SA"/>
              </w:rPr>
            </w:pPr>
            <w:r>
              <w:rPr>
                <w:rFonts w:hint="default"/>
                <w:kern w:val="0"/>
                <w:szCs w:val="21"/>
              </w:rPr>
              <w:t>NH</w:t>
            </w:r>
            <w:r>
              <w:rPr>
                <w:rFonts w:hint="default"/>
                <w:kern w:val="0"/>
                <w:szCs w:val="21"/>
                <w:vertAlign w:val="subscript"/>
              </w:rPr>
              <w:t>3</w:t>
            </w:r>
            <w:r>
              <w:rPr>
                <w:rFonts w:hint="default"/>
                <w:kern w:val="0"/>
                <w:szCs w:val="21"/>
              </w:rPr>
              <w:t>-N</w:t>
            </w:r>
          </w:p>
        </w:tc>
        <w:tc>
          <w:tcPr>
            <w:tcW w:w="757" w:type="pct"/>
            <w:shd w:val="clear" w:color="auto" w:fill="auto"/>
            <w:vAlign w:val="center"/>
          </w:tcPr>
          <w:p w14:paraId="5884B636">
            <w:pPr>
              <w:keepNext w:val="0"/>
              <w:keepLines w:val="0"/>
              <w:widowControl/>
              <w:suppressLineNumbers w:val="0"/>
              <w:spacing w:before="0" w:beforeAutospacing="0" w:after="0" w:afterAutospacing="0"/>
              <w:ind w:left="0" w:leftChars="0" w:right="0" w:rightChars="0"/>
              <w:jc w:val="center"/>
              <w:rPr>
                <w:rFonts w:hint="eastAsia" w:ascii="Times New Roman" w:hAnsi="Times New Roman" w:eastAsia="仿宋_GB2312" w:cs="Times New Roman"/>
                <w:kern w:val="0"/>
                <w:sz w:val="21"/>
                <w:szCs w:val="21"/>
                <w:lang w:val="en-US" w:eastAsia="zh-CN" w:bidi="ar-SA"/>
              </w:rPr>
            </w:pPr>
            <w:r>
              <w:rPr>
                <w:rFonts w:hint="eastAsia" w:eastAsia="仿宋_GB2312"/>
                <w:kern w:val="0"/>
                <w:szCs w:val="21"/>
                <w:lang w:val="en-US" w:eastAsia="zh-CN"/>
              </w:rPr>
              <w:t>30</w:t>
            </w:r>
          </w:p>
        </w:tc>
        <w:tc>
          <w:tcPr>
            <w:tcW w:w="723" w:type="pct"/>
            <w:shd w:val="clear" w:color="auto" w:fill="auto"/>
            <w:vAlign w:val="center"/>
          </w:tcPr>
          <w:p w14:paraId="6D7D6D0C">
            <w:pPr>
              <w:keepNext w:val="0"/>
              <w:keepLines w:val="0"/>
              <w:widowControl/>
              <w:suppressLineNumbers w:val="0"/>
              <w:spacing w:before="0" w:beforeAutospacing="0" w:after="0" w:afterAutospacing="0"/>
              <w:ind w:left="0" w:leftChars="0" w:right="0" w:rightChars="0"/>
              <w:jc w:val="center"/>
              <w:rPr>
                <w:rFonts w:hint="eastAsia" w:ascii="Times New Roman" w:hAnsi="Times New Roman" w:eastAsia="仿宋_GB2312" w:cs="Times New Roman"/>
                <w:kern w:val="0"/>
                <w:sz w:val="21"/>
                <w:szCs w:val="21"/>
                <w:lang w:val="en-US" w:eastAsia="zh-CN" w:bidi="ar-SA"/>
              </w:rPr>
            </w:pPr>
            <w:r>
              <w:rPr>
                <w:rFonts w:hint="eastAsia" w:eastAsia="仿宋_GB2312"/>
                <w:kern w:val="0"/>
                <w:szCs w:val="21"/>
                <w:lang w:val="en-US" w:eastAsia="zh-CN"/>
              </w:rPr>
              <w:t>0.6</w:t>
            </w:r>
          </w:p>
        </w:tc>
        <w:tc>
          <w:tcPr>
            <w:tcW w:w="638" w:type="pct"/>
            <w:vMerge w:val="continue"/>
            <w:vAlign w:val="center"/>
          </w:tcPr>
          <w:p w14:paraId="56093829">
            <w:pPr>
              <w:snapToGrid w:val="0"/>
              <w:spacing w:line="320" w:lineRule="exact"/>
              <w:jc w:val="center"/>
              <w:rPr>
                <w:rFonts w:eastAsia="仿宋_GB2312"/>
                <w:color w:val="FF0000"/>
                <w:szCs w:val="21"/>
              </w:rPr>
            </w:pPr>
          </w:p>
        </w:tc>
      </w:tr>
      <w:tr w14:paraId="3B7287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1360" w:type="pct"/>
            <w:gridSpan w:val="2"/>
            <w:vMerge w:val="continue"/>
            <w:vAlign w:val="center"/>
          </w:tcPr>
          <w:p w14:paraId="0914E5DD">
            <w:pPr>
              <w:widowControl/>
              <w:spacing w:line="300" w:lineRule="exact"/>
              <w:jc w:val="center"/>
              <w:rPr>
                <w:rFonts w:eastAsia="仿宋_GB2312"/>
                <w:color w:val="auto"/>
                <w:kern w:val="0"/>
                <w:szCs w:val="21"/>
              </w:rPr>
            </w:pPr>
          </w:p>
        </w:tc>
        <w:tc>
          <w:tcPr>
            <w:tcW w:w="776" w:type="pct"/>
            <w:vMerge w:val="continue"/>
            <w:vAlign w:val="center"/>
          </w:tcPr>
          <w:p w14:paraId="5F7B7DAC">
            <w:pPr>
              <w:widowControl/>
              <w:spacing w:line="300" w:lineRule="exact"/>
              <w:jc w:val="center"/>
              <w:rPr>
                <w:rFonts w:eastAsia="仿宋_GB2312"/>
                <w:color w:val="auto"/>
                <w:kern w:val="0"/>
                <w:szCs w:val="21"/>
              </w:rPr>
            </w:pPr>
          </w:p>
        </w:tc>
        <w:tc>
          <w:tcPr>
            <w:tcW w:w="743" w:type="pct"/>
            <w:shd w:val="clear" w:color="auto" w:fill="auto"/>
            <w:vAlign w:val="center"/>
          </w:tcPr>
          <w:p w14:paraId="09010383">
            <w:pPr>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kern w:val="0"/>
                <w:sz w:val="21"/>
                <w:szCs w:val="21"/>
                <w:lang w:val="en-US" w:eastAsia="zh-CN" w:bidi="ar-SA"/>
              </w:rPr>
            </w:pPr>
            <w:r>
              <w:rPr>
                <w:rFonts w:hint="default"/>
                <w:kern w:val="0"/>
                <w:szCs w:val="21"/>
              </w:rPr>
              <w:t>TN</w:t>
            </w:r>
          </w:p>
        </w:tc>
        <w:tc>
          <w:tcPr>
            <w:tcW w:w="757" w:type="pct"/>
            <w:shd w:val="clear" w:color="auto" w:fill="auto"/>
            <w:vAlign w:val="center"/>
          </w:tcPr>
          <w:p w14:paraId="698BB995">
            <w:pPr>
              <w:keepNext w:val="0"/>
              <w:keepLines w:val="0"/>
              <w:widowControl/>
              <w:suppressLineNumbers w:val="0"/>
              <w:spacing w:before="0" w:beforeAutospacing="0" w:after="0" w:afterAutospacing="0"/>
              <w:ind w:left="0" w:leftChars="0" w:right="0" w:rightChars="0"/>
              <w:jc w:val="center"/>
              <w:rPr>
                <w:rFonts w:hint="eastAsia" w:ascii="Times New Roman" w:hAnsi="Times New Roman" w:eastAsia="仿宋_GB2312" w:cs="Times New Roman"/>
                <w:kern w:val="0"/>
                <w:sz w:val="21"/>
                <w:szCs w:val="21"/>
                <w:lang w:val="en-US" w:eastAsia="zh-CN" w:bidi="ar-SA"/>
              </w:rPr>
            </w:pPr>
            <w:r>
              <w:rPr>
                <w:rFonts w:hint="eastAsia" w:eastAsia="仿宋_GB2312"/>
                <w:kern w:val="0"/>
                <w:szCs w:val="21"/>
                <w:lang w:val="en-US" w:eastAsia="zh-CN"/>
              </w:rPr>
              <w:t>1220</w:t>
            </w:r>
          </w:p>
        </w:tc>
        <w:tc>
          <w:tcPr>
            <w:tcW w:w="723" w:type="pct"/>
            <w:shd w:val="clear" w:color="auto" w:fill="auto"/>
            <w:vAlign w:val="center"/>
          </w:tcPr>
          <w:p w14:paraId="7A80AE56">
            <w:pPr>
              <w:keepNext w:val="0"/>
              <w:keepLines w:val="0"/>
              <w:widowControl/>
              <w:suppressLineNumbers w:val="0"/>
              <w:spacing w:before="0" w:beforeAutospacing="0" w:after="0" w:afterAutospacing="0"/>
              <w:ind w:left="0" w:leftChars="0" w:right="0" w:rightChars="0"/>
              <w:jc w:val="center"/>
              <w:rPr>
                <w:rFonts w:hint="eastAsia" w:ascii="Times New Roman" w:hAnsi="Times New Roman" w:eastAsia="仿宋_GB2312" w:cs="Times New Roman"/>
                <w:kern w:val="0"/>
                <w:sz w:val="21"/>
                <w:szCs w:val="21"/>
                <w:lang w:val="en-US" w:eastAsia="zh-CN" w:bidi="ar-SA"/>
              </w:rPr>
            </w:pPr>
            <w:r>
              <w:rPr>
                <w:rFonts w:hint="eastAsia" w:eastAsia="仿宋_GB2312"/>
                <w:kern w:val="0"/>
                <w:szCs w:val="21"/>
                <w:lang w:val="en-US" w:eastAsia="zh-CN"/>
              </w:rPr>
              <w:t>24.4</w:t>
            </w:r>
          </w:p>
        </w:tc>
        <w:tc>
          <w:tcPr>
            <w:tcW w:w="638" w:type="pct"/>
            <w:vMerge w:val="continue"/>
            <w:vAlign w:val="center"/>
          </w:tcPr>
          <w:p w14:paraId="20C76530">
            <w:pPr>
              <w:snapToGrid w:val="0"/>
              <w:spacing w:line="320" w:lineRule="exact"/>
              <w:jc w:val="center"/>
              <w:rPr>
                <w:rFonts w:eastAsia="仿宋_GB2312"/>
                <w:color w:val="FF0000"/>
                <w:szCs w:val="21"/>
              </w:rPr>
            </w:pPr>
          </w:p>
        </w:tc>
      </w:tr>
      <w:tr w14:paraId="5F17D1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1360" w:type="pct"/>
            <w:gridSpan w:val="2"/>
            <w:vMerge w:val="continue"/>
            <w:vAlign w:val="center"/>
          </w:tcPr>
          <w:p w14:paraId="0BAC9AFF">
            <w:pPr>
              <w:widowControl/>
              <w:spacing w:line="300" w:lineRule="exact"/>
              <w:jc w:val="center"/>
              <w:rPr>
                <w:rFonts w:eastAsia="仿宋_GB2312"/>
                <w:color w:val="FF0000"/>
                <w:kern w:val="0"/>
                <w:szCs w:val="21"/>
              </w:rPr>
            </w:pPr>
          </w:p>
        </w:tc>
        <w:tc>
          <w:tcPr>
            <w:tcW w:w="776" w:type="pct"/>
            <w:vMerge w:val="continue"/>
            <w:vAlign w:val="center"/>
          </w:tcPr>
          <w:p w14:paraId="5D05701A">
            <w:pPr>
              <w:widowControl/>
              <w:spacing w:line="300" w:lineRule="exact"/>
              <w:jc w:val="center"/>
              <w:rPr>
                <w:rFonts w:eastAsia="仿宋_GB2312"/>
                <w:color w:val="auto"/>
                <w:kern w:val="0"/>
                <w:szCs w:val="21"/>
              </w:rPr>
            </w:pPr>
          </w:p>
        </w:tc>
        <w:tc>
          <w:tcPr>
            <w:tcW w:w="743" w:type="pct"/>
            <w:shd w:val="clear" w:color="auto" w:fill="auto"/>
            <w:vAlign w:val="center"/>
          </w:tcPr>
          <w:p w14:paraId="1B393288">
            <w:pPr>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kern w:val="0"/>
                <w:sz w:val="21"/>
                <w:szCs w:val="21"/>
                <w:lang w:val="en-US" w:eastAsia="zh-CN" w:bidi="ar-SA"/>
              </w:rPr>
            </w:pPr>
            <w:r>
              <w:rPr>
                <w:rFonts w:hint="default"/>
                <w:kern w:val="0"/>
                <w:szCs w:val="21"/>
              </w:rPr>
              <w:t>TP</w:t>
            </w:r>
          </w:p>
        </w:tc>
        <w:tc>
          <w:tcPr>
            <w:tcW w:w="757" w:type="pct"/>
            <w:shd w:val="clear" w:color="auto" w:fill="auto"/>
            <w:vAlign w:val="center"/>
          </w:tcPr>
          <w:p w14:paraId="396210D7">
            <w:pPr>
              <w:keepNext w:val="0"/>
              <w:keepLines w:val="0"/>
              <w:widowControl/>
              <w:suppressLineNumbers w:val="0"/>
              <w:spacing w:before="0" w:beforeAutospacing="0" w:after="0" w:afterAutospacing="0"/>
              <w:ind w:left="0" w:leftChars="0" w:right="0" w:rightChars="0"/>
              <w:jc w:val="center"/>
              <w:rPr>
                <w:rFonts w:hint="eastAsia" w:ascii="Times New Roman" w:hAnsi="Times New Roman" w:eastAsia="仿宋_GB2312" w:cs="Times New Roman"/>
                <w:kern w:val="0"/>
                <w:sz w:val="21"/>
                <w:szCs w:val="21"/>
                <w:lang w:val="en-US" w:eastAsia="zh-CN" w:bidi="ar-SA"/>
              </w:rPr>
            </w:pPr>
            <w:r>
              <w:rPr>
                <w:rFonts w:hint="eastAsia" w:eastAsia="仿宋_GB2312"/>
                <w:kern w:val="0"/>
                <w:szCs w:val="21"/>
                <w:lang w:val="en-US" w:eastAsia="zh-CN"/>
              </w:rPr>
              <w:t>3</w:t>
            </w:r>
          </w:p>
        </w:tc>
        <w:tc>
          <w:tcPr>
            <w:tcW w:w="723" w:type="pct"/>
            <w:shd w:val="clear" w:color="auto" w:fill="auto"/>
            <w:vAlign w:val="center"/>
          </w:tcPr>
          <w:p w14:paraId="261FC289">
            <w:pPr>
              <w:keepNext w:val="0"/>
              <w:keepLines w:val="0"/>
              <w:widowControl/>
              <w:suppressLineNumbers w:val="0"/>
              <w:spacing w:before="0" w:beforeAutospacing="0" w:after="0" w:afterAutospacing="0"/>
              <w:ind w:left="0" w:leftChars="0" w:right="0" w:rightChars="0"/>
              <w:jc w:val="center"/>
              <w:rPr>
                <w:rFonts w:hint="eastAsia" w:ascii="Times New Roman" w:hAnsi="Times New Roman" w:eastAsia="仿宋_GB2312" w:cs="Times New Roman"/>
                <w:kern w:val="0"/>
                <w:sz w:val="21"/>
                <w:szCs w:val="21"/>
                <w:lang w:val="en-US" w:eastAsia="zh-CN" w:bidi="ar-SA"/>
              </w:rPr>
            </w:pPr>
            <w:r>
              <w:rPr>
                <w:rFonts w:hint="eastAsia" w:eastAsia="仿宋_GB2312"/>
                <w:kern w:val="0"/>
                <w:szCs w:val="21"/>
                <w:lang w:val="en-US" w:eastAsia="zh-CN"/>
              </w:rPr>
              <w:t>0.06</w:t>
            </w:r>
          </w:p>
        </w:tc>
        <w:tc>
          <w:tcPr>
            <w:tcW w:w="638" w:type="pct"/>
            <w:vMerge w:val="continue"/>
            <w:vAlign w:val="center"/>
          </w:tcPr>
          <w:p w14:paraId="5F2D3F5E">
            <w:pPr>
              <w:snapToGrid w:val="0"/>
              <w:spacing w:line="320" w:lineRule="exact"/>
              <w:jc w:val="center"/>
              <w:rPr>
                <w:rFonts w:eastAsia="仿宋_GB2312"/>
                <w:color w:val="FF0000"/>
                <w:szCs w:val="21"/>
              </w:rPr>
            </w:pPr>
          </w:p>
        </w:tc>
      </w:tr>
      <w:tr w14:paraId="4324D6C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1360" w:type="pct"/>
            <w:gridSpan w:val="2"/>
            <w:vMerge w:val="continue"/>
            <w:vAlign w:val="center"/>
          </w:tcPr>
          <w:p w14:paraId="444D260B">
            <w:pPr>
              <w:widowControl/>
              <w:spacing w:line="300" w:lineRule="exact"/>
              <w:jc w:val="center"/>
              <w:rPr>
                <w:rFonts w:eastAsia="仿宋_GB2312"/>
                <w:color w:val="FF0000"/>
                <w:kern w:val="0"/>
                <w:szCs w:val="21"/>
              </w:rPr>
            </w:pPr>
          </w:p>
        </w:tc>
        <w:tc>
          <w:tcPr>
            <w:tcW w:w="776" w:type="pct"/>
            <w:vMerge w:val="continue"/>
            <w:vAlign w:val="center"/>
          </w:tcPr>
          <w:p w14:paraId="1E7C554E">
            <w:pPr>
              <w:widowControl/>
              <w:spacing w:line="300" w:lineRule="exact"/>
              <w:jc w:val="center"/>
              <w:rPr>
                <w:rFonts w:eastAsia="仿宋_GB2312"/>
                <w:color w:val="auto"/>
                <w:kern w:val="0"/>
                <w:szCs w:val="21"/>
              </w:rPr>
            </w:pPr>
          </w:p>
        </w:tc>
        <w:tc>
          <w:tcPr>
            <w:tcW w:w="743" w:type="pct"/>
            <w:shd w:val="clear" w:color="auto" w:fill="auto"/>
            <w:vAlign w:val="center"/>
          </w:tcPr>
          <w:p w14:paraId="6AF49053">
            <w:pPr>
              <w:keepNext w:val="0"/>
              <w:keepLines w:val="0"/>
              <w:widowControl/>
              <w:suppressLineNumbers w:val="0"/>
              <w:spacing w:before="0" w:beforeAutospacing="0" w:after="0" w:afterAutospacing="0"/>
              <w:ind w:left="0" w:leftChars="0" w:right="0" w:rightChars="0"/>
              <w:jc w:val="center"/>
              <w:rPr>
                <w:rFonts w:hint="eastAsia" w:ascii="Times New Roman" w:hAnsi="Times New Roman" w:eastAsia="宋体" w:cs="Times New Roman"/>
                <w:kern w:val="0"/>
                <w:sz w:val="21"/>
                <w:szCs w:val="21"/>
                <w:lang w:val="en-US" w:eastAsia="zh-CN" w:bidi="ar-SA"/>
              </w:rPr>
            </w:pPr>
            <w:r>
              <w:rPr>
                <w:rFonts w:hint="eastAsia" w:ascii="方正仿宋_GB2312" w:hAnsi="方正仿宋_GB2312" w:eastAsia="方正仿宋_GB2312" w:cs="方正仿宋_GB2312"/>
                <w:kern w:val="0"/>
                <w:szCs w:val="21"/>
                <w:lang w:val="en-US" w:eastAsia="zh-CN"/>
              </w:rPr>
              <w:t>盐分</w:t>
            </w:r>
          </w:p>
        </w:tc>
        <w:tc>
          <w:tcPr>
            <w:tcW w:w="757" w:type="pct"/>
            <w:shd w:val="clear" w:color="auto" w:fill="auto"/>
            <w:vAlign w:val="center"/>
          </w:tcPr>
          <w:p w14:paraId="40DF75E8">
            <w:pPr>
              <w:keepNext w:val="0"/>
              <w:keepLines w:val="0"/>
              <w:widowControl/>
              <w:suppressLineNumbers w:val="0"/>
              <w:spacing w:before="0" w:beforeAutospacing="0" w:after="0" w:afterAutospacing="0"/>
              <w:ind w:left="0" w:leftChars="0" w:right="0" w:rightChars="0"/>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cs="Times New Roman"/>
                <w:kern w:val="0"/>
                <w:szCs w:val="21"/>
                <w:lang w:val="en-US" w:eastAsia="zh-CN"/>
              </w:rPr>
              <w:t>3000</w:t>
            </w:r>
          </w:p>
        </w:tc>
        <w:tc>
          <w:tcPr>
            <w:tcW w:w="723" w:type="pct"/>
            <w:shd w:val="clear" w:color="auto" w:fill="auto"/>
            <w:vAlign w:val="center"/>
          </w:tcPr>
          <w:p w14:paraId="49F36A19">
            <w:pPr>
              <w:keepNext w:val="0"/>
              <w:keepLines w:val="0"/>
              <w:widowControl/>
              <w:suppressLineNumbers w:val="0"/>
              <w:spacing w:before="0" w:beforeAutospacing="0" w:after="0" w:afterAutospacing="0"/>
              <w:ind w:left="0" w:leftChars="0" w:right="0" w:rightChars="0"/>
              <w:jc w:val="center"/>
              <w:rPr>
                <w:rFonts w:hint="eastAsia" w:ascii="Times New Roman" w:hAnsi="Times New Roman" w:eastAsia="宋体" w:cs="Times New Roman"/>
                <w:kern w:val="0"/>
                <w:sz w:val="21"/>
                <w:szCs w:val="21"/>
                <w:lang w:val="en-US" w:eastAsia="zh-CN" w:bidi="ar-SA"/>
              </w:rPr>
            </w:pPr>
            <w:r>
              <w:rPr>
                <w:rFonts w:hint="eastAsia" w:cs="Times New Roman"/>
                <w:kern w:val="0"/>
                <w:szCs w:val="21"/>
                <w:lang w:val="en-US" w:eastAsia="zh-CN"/>
              </w:rPr>
              <w:t>60</w:t>
            </w:r>
          </w:p>
        </w:tc>
        <w:tc>
          <w:tcPr>
            <w:tcW w:w="638" w:type="pct"/>
            <w:vMerge w:val="continue"/>
            <w:vAlign w:val="center"/>
          </w:tcPr>
          <w:p w14:paraId="0DCED135">
            <w:pPr>
              <w:snapToGrid w:val="0"/>
              <w:spacing w:line="320" w:lineRule="exact"/>
              <w:jc w:val="center"/>
              <w:rPr>
                <w:rFonts w:eastAsia="仿宋_GB2312"/>
                <w:color w:val="FF0000"/>
                <w:szCs w:val="21"/>
              </w:rPr>
            </w:pPr>
          </w:p>
        </w:tc>
      </w:tr>
      <w:tr w14:paraId="5010C3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1360" w:type="pct"/>
            <w:gridSpan w:val="2"/>
            <w:vMerge w:val="restart"/>
            <w:vAlign w:val="center"/>
          </w:tcPr>
          <w:p w14:paraId="3BA6051E">
            <w:pPr>
              <w:widowControl/>
              <w:spacing w:line="300" w:lineRule="exact"/>
              <w:jc w:val="center"/>
              <w:rPr>
                <w:rFonts w:hint="default" w:eastAsia="仿宋_GB2312"/>
                <w:color w:val="FF0000"/>
                <w:kern w:val="0"/>
                <w:szCs w:val="21"/>
                <w:lang w:val="en-US" w:eastAsia="zh-CN"/>
              </w:rPr>
            </w:pPr>
            <w:r>
              <w:rPr>
                <w:rFonts w:hint="eastAsia" w:eastAsia="仿宋_GB2312"/>
                <w:color w:val="auto"/>
                <w:kern w:val="0"/>
                <w:szCs w:val="21"/>
                <w:lang w:val="en-US" w:eastAsia="zh-CN"/>
              </w:rPr>
              <w:t>本项目新增</w:t>
            </w:r>
            <w:r>
              <w:rPr>
                <w:rFonts w:eastAsia="仿宋_GB2312"/>
                <w:color w:val="auto"/>
                <w:kern w:val="0"/>
                <w:szCs w:val="21"/>
              </w:rPr>
              <w:t>工艺废水</w:t>
            </w:r>
            <w:r>
              <w:rPr>
                <w:rFonts w:hint="eastAsia" w:eastAsia="仿宋_GB2312"/>
                <w:color w:val="auto"/>
                <w:kern w:val="0"/>
                <w:szCs w:val="21"/>
                <w:lang w:eastAsia="zh-CN"/>
              </w:rPr>
              <w:t>、</w:t>
            </w:r>
            <w:r>
              <w:rPr>
                <w:rFonts w:hint="eastAsia" w:eastAsia="仿宋_GB2312"/>
                <w:color w:val="auto"/>
                <w:kern w:val="0"/>
                <w:szCs w:val="21"/>
                <w:lang w:val="en-US" w:eastAsia="zh-CN"/>
              </w:rPr>
              <w:t>初期雨水、废气吸收水汇总</w:t>
            </w:r>
          </w:p>
        </w:tc>
        <w:tc>
          <w:tcPr>
            <w:tcW w:w="776" w:type="pct"/>
            <w:vMerge w:val="restart"/>
            <w:vAlign w:val="center"/>
          </w:tcPr>
          <w:p w14:paraId="77EC9C3F">
            <w:pPr>
              <w:widowControl/>
              <w:spacing w:line="300" w:lineRule="exact"/>
              <w:jc w:val="center"/>
              <w:rPr>
                <w:rFonts w:hint="default" w:eastAsia="仿宋_GB2312"/>
                <w:color w:val="auto"/>
                <w:kern w:val="0"/>
                <w:szCs w:val="21"/>
                <w:lang w:val="en-US" w:eastAsia="zh-CN"/>
              </w:rPr>
            </w:pPr>
            <w:r>
              <w:rPr>
                <w:rFonts w:hint="eastAsia" w:eastAsia="仿宋_GB2312"/>
                <w:color w:val="auto"/>
                <w:kern w:val="0"/>
                <w:szCs w:val="21"/>
                <w:lang w:val="en-US" w:eastAsia="zh-CN"/>
              </w:rPr>
              <w:t>98304.456</w:t>
            </w:r>
          </w:p>
        </w:tc>
        <w:tc>
          <w:tcPr>
            <w:tcW w:w="743" w:type="pct"/>
            <w:shd w:val="clear" w:color="auto" w:fill="auto"/>
            <w:vAlign w:val="center"/>
          </w:tcPr>
          <w:p w14:paraId="36F1D166">
            <w:pPr>
              <w:keepNext w:val="0"/>
              <w:keepLines w:val="0"/>
              <w:widowControl/>
              <w:suppressLineNumbers w:val="0"/>
              <w:spacing w:before="0" w:beforeAutospacing="0" w:after="0" w:afterAutospacing="0"/>
              <w:ind w:left="0" w:leftChars="0" w:right="0" w:rightChars="0"/>
              <w:jc w:val="center"/>
              <w:rPr>
                <w:rFonts w:hint="default" w:ascii="Times New Roman" w:hAnsi="Times New Roman" w:eastAsia="方正仿宋_GB2312" w:cs="Times New Roman"/>
                <w:kern w:val="0"/>
                <w:szCs w:val="21"/>
                <w:lang w:val="en-US" w:eastAsia="zh-CN"/>
              </w:rPr>
            </w:pPr>
            <w:r>
              <w:rPr>
                <w:rFonts w:hint="default" w:ascii="Times New Roman" w:hAnsi="Times New Roman" w:eastAsia="方正仿宋_GB2312" w:cs="Times New Roman"/>
                <w:kern w:val="0"/>
                <w:szCs w:val="21"/>
                <w:lang w:val="en-US" w:eastAsia="zh-CN"/>
              </w:rPr>
              <w:t>COD</w:t>
            </w:r>
          </w:p>
        </w:tc>
        <w:tc>
          <w:tcPr>
            <w:tcW w:w="1291" w:type="dxa"/>
            <w:shd w:val="clear" w:color="auto" w:fill="auto"/>
            <w:vAlign w:val="bottom"/>
          </w:tcPr>
          <w:p w14:paraId="11A739F8">
            <w:pPr>
              <w:keepNext w:val="0"/>
              <w:keepLines w:val="0"/>
              <w:widowControl/>
              <w:suppressLineNumbers w:val="0"/>
              <w:spacing w:before="0" w:beforeAutospacing="0" w:after="0" w:afterAutospacing="0"/>
              <w:ind w:left="0" w:leftChars="0" w:right="0" w:rightChars="0"/>
              <w:jc w:val="center"/>
              <w:rPr>
                <w:rFonts w:hint="default" w:ascii="Times New Roman" w:hAnsi="Times New Roman" w:eastAsia="方正仿宋_GB2312" w:cs="Times New Roman"/>
                <w:kern w:val="0"/>
                <w:szCs w:val="21"/>
                <w:lang w:val="en-US" w:eastAsia="zh-CN"/>
              </w:rPr>
            </w:pPr>
            <w:r>
              <w:rPr>
                <w:rFonts w:hint="eastAsia" w:ascii="Times New Roman" w:hAnsi="Times New Roman" w:eastAsia="方正仿宋_GB2312" w:cs="Times New Roman"/>
                <w:kern w:val="0"/>
                <w:szCs w:val="21"/>
                <w:lang w:val="en-US" w:eastAsia="zh-CN"/>
              </w:rPr>
              <w:t>19084.</w:t>
            </w:r>
            <w:r>
              <w:rPr>
                <w:rFonts w:hint="eastAsia" w:eastAsia="方正仿宋_GB2312" w:cs="Times New Roman"/>
                <w:kern w:val="0"/>
                <w:szCs w:val="21"/>
                <w:lang w:val="en-US" w:eastAsia="zh-CN"/>
              </w:rPr>
              <w:t>8</w:t>
            </w:r>
          </w:p>
        </w:tc>
        <w:tc>
          <w:tcPr>
            <w:tcW w:w="1233" w:type="dxa"/>
            <w:shd w:val="clear" w:color="auto" w:fill="auto"/>
            <w:vAlign w:val="bottom"/>
          </w:tcPr>
          <w:p w14:paraId="3B6A6408">
            <w:pPr>
              <w:keepNext w:val="0"/>
              <w:keepLines w:val="0"/>
              <w:widowControl/>
              <w:suppressLineNumbers w:val="0"/>
              <w:spacing w:before="0" w:beforeAutospacing="0" w:after="0" w:afterAutospacing="0"/>
              <w:ind w:left="0" w:leftChars="0" w:right="0" w:rightChars="0"/>
              <w:jc w:val="center"/>
              <w:rPr>
                <w:rFonts w:hint="default" w:ascii="Times New Roman" w:hAnsi="Times New Roman" w:eastAsia="方正仿宋_GB2312" w:cs="Times New Roman"/>
                <w:kern w:val="0"/>
                <w:szCs w:val="21"/>
                <w:lang w:val="en-US" w:eastAsia="zh-CN"/>
              </w:rPr>
            </w:pPr>
            <w:r>
              <w:rPr>
                <w:rFonts w:hint="eastAsia" w:ascii="Times New Roman" w:hAnsi="Times New Roman" w:eastAsia="方正仿宋_GB2312" w:cs="Times New Roman"/>
                <w:kern w:val="0"/>
                <w:szCs w:val="21"/>
                <w:lang w:val="en-US" w:eastAsia="zh-CN"/>
              </w:rPr>
              <w:t>1876.118</w:t>
            </w:r>
          </w:p>
        </w:tc>
        <w:tc>
          <w:tcPr>
            <w:tcW w:w="638" w:type="pct"/>
            <w:vMerge w:val="restart"/>
            <w:vAlign w:val="center"/>
          </w:tcPr>
          <w:p w14:paraId="618059E8">
            <w:pPr>
              <w:snapToGrid w:val="0"/>
              <w:spacing w:line="320" w:lineRule="exact"/>
              <w:jc w:val="center"/>
              <w:rPr>
                <w:rFonts w:eastAsia="仿宋_GB2312"/>
                <w:color w:val="FF0000"/>
                <w:szCs w:val="21"/>
              </w:rPr>
            </w:pPr>
            <w:r>
              <w:rPr>
                <w:rFonts w:eastAsia="仿宋_GB2312"/>
                <w:color w:val="auto"/>
                <w:szCs w:val="21"/>
              </w:rPr>
              <w:t>经厂区3#污水站处理后回用</w:t>
            </w:r>
          </w:p>
        </w:tc>
      </w:tr>
      <w:tr w14:paraId="0D2EC9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1360" w:type="pct"/>
            <w:gridSpan w:val="2"/>
            <w:vMerge w:val="continue"/>
            <w:vAlign w:val="center"/>
          </w:tcPr>
          <w:p w14:paraId="7AF16DE0">
            <w:pPr>
              <w:widowControl/>
              <w:spacing w:line="300" w:lineRule="exact"/>
              <w:jc w:val="center"/>
              <w:rPr>
                <w:rFonts w:hint="eastAsia" w:eastAsia="仿宋_GB2312"/>
                <w:color w:val="FF0000"/>
                <w:kern w:val="0"/>
                <w:szCs w:val="21"/>
                <w:lang w:val="en-US" w:eastAsia="zh-CN"/>
              </w:rPr>
            </w:pPr>
          </w:p>
        </w:tc>
        <w:tc>
          <w:tcPr>
            <w:tcW w:w="776" w:type="pct"/>
            <w:vMerge w:val="continue"/>
            <w:vAlign w:val="center"/>
          </w:tcPr>
          <w:p w14:paraId="3B687A83">
            <w:pPr>
              <w:widowControl/>
              <w:spacing w:line="300" w:lineRule="exact"/>
              <w:jc w:val="center"/>
              <w:rPr>
                <w:rFonts w:eastAsia="仿宋_GB2312"/>
                <w:color w:val="FF0000"/>
                <w:kern w:val="0"/>
                <w:szCs w:val="21"/>
              </w:rPr>
            </w:pPr>
          </w:p>
        </w:tc>
        <w:tc>
          <w:tcPr>
            <w:tcW w:w="743" w:type="pct"/>
            <w:shd w:val="clear" w:color="auto" w:fill="auto"/>
            <w:vAlign w:val="center"/>
          </w:tcPr>
          <w:p w14:paraId="1267F123">
            <w:pPr>
              <w:keepNext w:val="0"/>
              <w:keepLines w:val="0"/>
              <w:widowControl/>
              <w:suppressLineNumbers w:val="0"/>
              <w:spacing w:before="0" w:beforeAutospacing="0" w:after="0" w:afterAutospacing="0"/>
              <w:ind w:left="0" w:leftChars="0" w:right="0" w:rightChars="0"/>
              <w:jc w:val="center"/>
              <w:rPr>
                <w:rFonts w:hint="default" w:ascii="Times New Roman" w:hAnsi="Times New Roman" w:eastAsia="方正仿宋_GB2312" w:cs="Times New Roman"/>
                <w:kern w:val="0"/>
                <w:szCs w:val="21"/>
                <w:lang w:val="en-US" w:eastAsia="zh-CN"/>
              </w:rPr>
            </w:pPr>
            <w:r>
              <w:rPr>
                <w:rFonts w:hint="default" w:ascii="Times New Roman" w:hAnsi="Times New Roman" w:eastAsia="方正仿宋_GB2312" w:cs="Times New Roman"/>
                <w:kern w:val="0"/>
                <w:szCs w:val="21"/>
                <w:lang w:val="en-US" w:eastAsia="zh-CN"/>
              </w:rPr>
              <w:t>SS</w:t>
            </w:r>
          </w:p>
        </w:tc>
        <w:tc>
          <w:tcPr>
            <w:tcW w:w="1291" w:type="dxa"/>
            <w:shd w:val="clear" w:color="auto" w:fill="auto"/>
            <w:vAlign w:val="bottom"/>
          </w:tcPr>
          <w:p w14:paraId="5C93DD6C">
            <w:pPr>
              <w:keepNext w:val="0"/>
              <w:keepLines w:val="0"/>
              <w:widowControl/>
              <w:suppressLineNumbers w:val="0"/>
              <w:spacing w:before="0" w:beforeAutospacing="0" w:after="0" w:afterAutospacing="0"/>
              <w:ind w:left="0" w:leftChars="0" w:right="0" w:rightChars="0"/>
              <w:jc w:val="center"/>
              <w:rPr>
                <w:rFonts w:hint="default" w:ascii="Times New Roman" w:hAnsi="Times New Roman" w:eastAsia="方正仿宋_GB2312" w:cs="Times New Roman"/>
                <w:kern w:val="0"/>
                <w:szCs w:val="21"/>
                <w:lang w:val="en-US" w:eastAsia="zh-CN"/>
              </w:rPr>
            </w:pPr>
            <w:r>
              <w:rPr>
                <w:rFonts w:hint="eastAsia" w:ascii="Times New Roman" w:hAnsi="Times New Roman" w:eastAsia="方正仿宋_GB2312" w:cs="Times New Roman"/>
                <w:kern w:val="0"/>
                <w:szCs w:val="21"/>
                <w:lang w:val="en-US" w:eastAsia="zh-CN"/>
              </w:rPr>
              <w:t>61.49</w:t>
            </w:r>
          </w:p>
        </w:tc>
        <w:tc>
          <w:tcPr>
            <w:tcW w:w="1233" w:type="dxa"/>
            <w:shd w:val="clear" w:color="auto" w:fill="auto"/>
            <w:vAlign w:val="bottom"/>
          </w:tcPr>
          <w:p w14:paraId="5C3D321A">
            <w:pPr>
              <w:keepNext w:val="0"/>
              <w:keepLines w:val="0"/>
              <w:widowControl/>
              <w:suppressLineNumbers w:val="0"/>
              <w:spacing w:before="0" w:beforeAutospacing="0" w:after="0" w:afterAutospacing="0"/>
              <w:ind w:left="0" w:leftChars="0" w:right="0" w:rightChars="0"/>
              <w:jc w:val="center"/>
              <w:rPr>
                <w:rFonts w:hint="default" w:ascii="Times New Roman" w:hAnsi="Times New Roman" w:eastAsia="方正仿宋_GB2312" w:cs="Times New Roman"/>
                <w:kern w:val="0"/>
                <w:szCs w:val="21"/>
                <w:lang w:val="en-US" w:eastAsia="zh-CN"/>
              </w:rPr>
            </w:pPr>
            <w:r>
              <w:rPr>
                <w:rFonts w:hint="eastAsia" w:ascii="Times New Roman" w:hAnsi="Times New Roman" w:eastAsia="方正仿宋_GB2312" w:cs="Times New Roman"/>
                <w:kern w:val="0"/>
                <w:szCs w:val="21"/>
                <w:lang w:val="en-US" w:eastAsia="zh-CN"/>
              </w:rPr>
              <w:t>6.045</w:t>
            </w:r>
          </w:p>
        </w:tc>
        <w:tc>
          <w:tcPr>
            <w:tcW w:w="638" w:type="pct"/>
            <w:vMerge w:val="continue"/>
            <w:vAlign w:val="center"/>
          </w:tcPr>
          <w:p w14:paraId="74A66AAD">
            <w:pPr>
              <w:snapToGrid w:val="0"/>
              <w:spacing w:line="320" w:lineRule="exact"/>
              <w:jc w:val="center"/>
              <w:rPr>
                <w:rFonts w:eastAsia="仿宋_GB2312"/>
                <w:color w:val="FF0000"/>
                <w:szCs w:val="21"/>
              </w:rPr>
            </w:pPr>
          </w:p>
        </w:tc>
      </w:tr>
      <w:tr w14:paraId="22C6EB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1360" w:type="pct"/>
            <w:gridSpan w:val="2"/>
            <w:vMerge w:val="continue"/>
            <w:vAlign w:val="center"/>
          </w:tcPr>
          <w:p w14:paraId="0AD38E8F">
            <w:pPr>
              <w:widowControl/>
              <w:spacing w:line="300" w:lineRule="exact"/>
              <w:jc w:val="center"/>
              <w:rPr>
                <w:rFonts w:eastAsia="仿宋_GB2312"/>
                <w:color w:val="FF0000"/>
                <w:kern w:val="0"/>
                <w:szCs w:val="21"/>
              </w:rPr>
            </w:pPr>
          </w:p>
        </w:tc>
        <w:tc>
          <w:tcPr>
            <w:tcW w:w="776" w:type="pct"/>
            <w:vMerge w:val="continue"/>
            <w:vAlign w:val="center"/>
          </w:tcPr>
          <w:p w14:paraId="53DCF145">
            <w:pPr>
              <w:widowControl/>
              <w:spacing w:line="300" w:lineRule="exact"/>
              <w:jc w:val="center"/>
              <w:rPr>
                <w:rFonts w:eastAsia="仿宋_GB2312"/>
                <w:color w:val="FF0000"/>
                <w:kern w:val="0"/>
                <w:szCs w:val="21"/>
              </w:rPr>
            </w:pPr>
          </w:p>
        </w:tc>
        <w:tc>
          <w:tcPr>
            <w:tcW w:w="743" w:type="pct"/>
            <w:shd w:val="clear" w:color="auto" w:fill="auto"/>
            <w:vAlign w:val="center"/>
          </w:tcPr>
          <w:p w14:paraId="78E92C6A">
            <w:pPr>
              <w:keepNext w:val="0"/>
              <w:keepLines w:val="0"/>
              <w:widowControl/>
              <w:suppressLineNumbers w:val="0"/>
              <w:spacing w:before="0" w:beforeAutospacing="0" w:after="0" w:afterAutospacing="0"/>
              <w:ind w:left="0" w:leftChars="0" w:right="0" w:rightChars="0"/>
              <w:jc w:val="center"/>
              <w:rPr>
                <w:rFonts w:hint="default" w:ascii="Times New Roman" w:hAnsi="Times New Roman" w:eastAsia="方正仿宋_GB2312" w:cs="Times New Roman"/>
                <w:kern w:val="0"/>
                <w:szCs w:val="21"/>
                <w:lang w:val="en-US" w:eastAsia="zh-CN"/>
              </w:rPr>
            </w:pPr>
            <w:r>
              <w:rPr>
                <w:rFonts w:hint="default" w:ascii="Times New Roman" w:hAnsi="Times New Roman" w:eastAsia="方正仿宋_GB2312" w:cs="Times New Roman"/>
                <w:kern w:val="0"/>
                <w:szCs w:val="21"/>
                <w:lang w:val="en-US" w:eastAsia="zh-CN"/>
              </w:rPr>
              <w:t>NH</w:t>
            </w:r>
            <w:r>
              <w:rPr>
                <w:rFonts w:hint="default" w:ascii="Times New Roman" w:hAnsi="Times New Roman" w:eastAsia="方正仿宋_GB2312" w:cs="Times New Roman"/>
                <w:kern w:val="0"/>
                <w:szCs w:val="21"/>
                <w:vertAlign w:val="subscript"/>
                <w:lang w:val="en-US" w:eastAsia="zh-CN"/>
              </w:rPr>
              <w:t>3</w:t>
            </w:r>
            <w:r>
              <w:rPr>
                <w:rFonts w:hint="default" w:ascii="Times New Roman" w:hAnsi="Times New Roman" w:eastAsia="方正仿宋_GB2312" w:cs="Times New Roman"/>
                <w:kern w:val="0"/>
                <w:szCs w:val="21"/>
                <w:lang w:val="en-US" w:eastAsia="zh-CN"/>
              </w:rPr>
              <w:t>-N</w:t>
            </w:r>
          </w:p>
        </w:tc>
        <w:tc>
          <w:tcPr>
            <w:tcW w:w="1291" w:type="dxa"/>
            <w:shd w:val="clear" w:color="auto" w:fill="auto"/>
            <w:vAlign w:val="bottom"/>
          </w:tcPr>
          <w:p w14:paraId="0C3ED735">
            <w:pPr>
              <w:keepNext w:val="0"/>
              <w:keepLines w:val="0"/>
              <w:widowControl/>
              <w:suppressLineNumbers w:val="0"/>
              <w:spacing w:before="0" w:beforeAutospacing="0" w:after="0" w:afterAutospacing="0"/>
              <w:ind w:left="0" w:leftChars="0" w:right="0" w:rightChars="0"/>
              <w:jc w:val="center"/>
              <w:rPr>
                <w:rFonts w:hint="default" w:ascii="Times New Roman" w:hAnsi="Times New Roman" w:eastAsia="方正仿宋_GB2312" w:cs="Times New Roman"/>
                <w:kern w:val="0"/>
                <w:szCs w:val="21"/>
                <w:lang w:val="en-US" w:eastAsia="zh-CN"/>
              </w:rPr>
            </w:pPr>
            <w:r>
              <w:rPr>
                <w:rFonts w:hint="eastAsia" w:ascii="Times New Roman" w:hAnsi="Times New Roman" w:eastAsia="方正仿宋_GB2312" w:cs="Times New Roman"/>
                <w:kern w:val="0"/>
                <w:szCs w:val="21"/>
                <w:lang w:val="en-US" w:eastAsia="zh-CN"/>
              </w:rPr>
              <w:t>22.39</w:t>
            </w:r>
          </w:p>
        </w:tc>
        <w:tc>
          <w:tcPr>
            <w:tcW w:w="1233" w:type="dxa"/>
            <w:shd w:val="clear" w:color="auto" w:fill="auto"/>
            <w:vAlign w:val="bottom"/>
          </w:tcPr>
          <w:p w14:paraId="09D537DC">
            <w:pPr>
              <w:keepNext w:val="0"/>
              <w:keepLines w:val="0"/>
              <w:widowControl/>
              <w:suppressLineNumbers w:val="0"/>
              <w:spacing w:before="0" w:beforeAutospacing="0" w:after="0" w:afterAutospacing="0"/>
              <w:ind w:left="0" w:leftChars="0" w:right="0" w:rightChars="0"/>
              <w:jc w:val="center"/>
              <w:rPr>
                <w:rFonts w:hint="default" w:ascii="Times New Roman" w:hAnsi="Times New Roman" w:eastAsia="方正仿宋_GB2312" w:cs="Times New Roman"/>
                <w:kern w:val="0"/>
                <w:szCs w:val="21"/>
                <w:lang w:val="en-US" w:eastAsia="zh-CN"/>
              </w:rPr>
            </w:pPr>
            <w:r>
              <w:rPr>
                <w:rFonts w:hint="eastAsia" w:ascii="Times New Roman" w:hAnsi="Times New Roman" w:eastAsia="方正仿宋_GB2312" w:cs="Times New Roman"/>
                <w:kern w:val="0"/>
                <w:szCs w:val="21"/>
                <w:lang w:val="en-US" w:eastAsia="zh-CN"/>
              </w:rPr>
              <w:t>2.2018</w:t>
            </w:r>
          </w:p>
        </w:tc>
        <w:tc>
          <w:tcPr>
            <w:tcW w:w="638" w:type="pct"/>
            <w:vMerge w:val="continue"/>
            <w:vAlign w:val="center"/>
          </w:tcPr>
          <w:p w14:paraId="1EDD3B85">
            <w:pPr>
              <w:snapToGrid w:val="0"/>
              <w:spacing w:line="320" w:lineRule="exact"/>
              <w:jc w:val="center"/>
              <w:rPr>
                <w:rFonts w:eastAsia="仿宋_GB2312"/>
                <w:color w:val="FF0000"/>
                <w:szCs w:val="21"/>
              </w:rPr>
            </w:pPr>
          </w:p>
        </w:tc>
      </w:tr>
      <w:tr w14:paraId="6EE728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1360" w:type="pct"/>
            <w:gridSpan w:val="2"/>
            <w:vMerge w:val="continue"/>
            <w:vAlign w:val="center"/>
          </w:tcPr>
          <w:p w14:paraId="03CBD77C">
            <w:pPr>
              <w:widowControl/>
              <w:spacing w:line="300" w:lineRule="exact"/>
              <w:jc w:val="center"/>
              <w:rPr>
                <w:rFonts w:eastAsia="仿宋_GB2312"/>
                <w:color w:val="FF0000"/>
                <w:kern w:val="0"/>
                <w:szCs w:val="21"/>
              </w:rPr>
            </w:pPr>
          </w:p>
        </w:tc>
        <w:tc>
          <w:tcPr>
            <w:tcW w:w="776" w:type="pct"/>
            <w:vMerge w:val="continue"/>
            <w:vAlign w:val="center"/>
          </w:tcPr>
          <w:p w14:paraId="754E1B82">
            <w:pPr>
              <w:widowControl/>
              <w:spacing w:line="300" w:lineRule="exact"/>
              <w:jc w:val="center"/>
              <w:rPr>
                <w:rFonts w:eastAsia="仿宋_GB2312"/>
                <w:color w:val="FF0000"/>
                <w:kern w:val="0"/>
                <w:szCs w:val="21"/>
              </w:rPr>
            </w:pPr>
          </w:p>
        </w:tc>
        <w:tc>
          <w:tcPr>
            <w:tcW w:w="743" w:type="pct"/>
            <w:shd w:val="clear" w:color="auto" w:fill="auto"/>
            <w:vAlign w:val="center"/>
          </w:tcPr>
          <w:p w14:paraId="5E0FD82B">
            <w:pPr>
              <w:keepNext w:val="0"/>
              <w:keepLines w:val="0"/>
              <w:widowControl/>
              <w:suppressLineNumbers w:val="0"/>
              <w:spacing w:before="0" w:beforeAutospacing="0" w:after="0" w:afterAutospacing="0"/>
              <w:ind w:left="0" w:leftChars="0" w:right="0" w:rightChars="0"/>
              <w:jc w:val="center"/>
              <w:rPr>
                <w:rFonts w:hint="default" w:ascii="Times New Roman" w:hAnsi="Times New Roman" w:eastAsia="方正仿宋_GB2312" w:cs="Times New Roman"/>
                <w:kern w:val="0"/>
                <w:szCs w:val="21"/>
                <w:lang w:val="en-US" w:eastAsia="zh-CN"/>
              </w:rPr>
            </w:pPr>
            <w:r>
              <w:rPr>
                <w:rFonts w:hint="default" w:ascii="Times New Roman" w:hAnsi="Times New Roman" w:eastAsia="方正仿宋_GB2312" w:cs="Times New Roman"/>
                <w:kern w:val="0"/>
                <w:szCs w:val="21"/>
                <w:lang w:val="en-US" w:eastAsia="zh-CN"/>
              </w:rPr>
              <w:t>TN</w:t>
            </w:r>
          </w:p>
        </w:tc>
        <w:tc>
          <w:tcPr>
            <w:tcW w:w="1291" w:type="dxa"/>
            <w:shd w:val="clear" w:color="auto" w:fill="auto"/>
            <w:vAlign w:val="bottom"/>
          </w:tcPr>
          <w:p w14:paraId="58B8B056">
            <w:pPr>
              <w:keepNext w:val="0"/>
              <w:keepLines w:val="0"/>
              <w:widowControl/>
              <w:suppressLineNumbers w:val="0"/>
              <w:spacing w:before="0" w:beforeAutospacing="0" w:after="0" w:afterAutospacing="0"/>
              <w:ind w:left="0" w:leftChars="0" w:right="0" w:rightChars="0"/>
              <w:jc w:val="center"/>
              <w:rPr>
                <w:rFonts w:hint="default" w:ascii="Times New Roman" w:hAnsi="Times New Roman" w:eastAsia="方正仿宋_GB2312" w:cs="Times New Roman"/>
                <w:kern w:val="0"/>
                <w:szCs w:val="21"/>
                <w:lang w:val="en-US" w:eastAsia="zh-CN"/>
              </w:rPr>
            </w:pPr>
            <w:r>
              <w:rPr>
                <w:rFonts w:hint="eastAsia" w:ascii="Times New Roman" w:hAnsi="Times New Roman" w:eastAsia="方正仿宋_GB2312" w:cs="Times New Roman"/>
                <w:kern w:val="0"/>
                <w:szCs w:val="21"/>
                <w:lang w:val="en-US" w:eastAsia="zh-CN"/>
              </w:rPr>
              <w:t>832.19</w:t>
            </w:r>
          </w:p>
        </w:tc>
        <w:tc>
          <w:tcPr>
            <w:tcW w:w="1233" w:type="dxa"/>
            <w:shd w:val="clear" w:color="auto" w:fill="auto"/>
            <w:vAlign w:val="bottom"/>
          </w:tcPr>
          <w:p w14:paraId="4E563D64">
            <w:pPr>
              <w:keepNext w:val="0"/>
              <w:keepLines w:val="0"/>
              <w:widowControl/>
              <w:suppressLineNumbers w:val="0"/>
              <w:spacing w:before="0" w:beforeAutospacing="0" w:after="0" w:afterAutospacing="0"/>
              <w:ind w:left="0" w:leftChars="0" w:right="0" w:rightChars="0"/>
              <w:jc w:val="center"/>
              <w:rPr>
                <w:rFonts w:hint="default" w:ascii="Times New Roman" w:hAnsi="Times New Roman" w:eastAsia="方正仿宋_GB2312" w:cs="Times New Roman"/>
                <w:kern w:val="0"/>
                <w:szCs w:val="21"/>
                <w:lang w:val="en-US" w:eastAsia="zh-CN"/>
              </w:rPr>
            </w:pPr>
            <w:r>
              <w:rPr>
                <w:rFonts w:hint="eastAsia" w:ascii="Times New Roman" w:hAnsi="Times New Roman" w:eastAsia="方正仿宋_GB2312" w:cs="Times New Roman"/>
                <w:kern w:val="0"/>
                <w:szCs w:val="21"/>
                <w:lang w:val="en-US" w:eastAsia="zh-CN"/>
              </w:rPr>
              <w:t>81.808</w:t>
            </w:r>
          </w:p>
        </w:tc>
        <w:tc>
          <w:tcPr>
            <w:tcW w:w="638" w:type="pct"/>
            <w:vMerge w:val="continue"/>
            <w:vAlign w:val="center"/>
          </w:tcPr>
          <w:p w14:paraId="7AAE2A57">
            <w:pPr>
              <w:snapToGrid w:val="0"/>
              <w:spacing w:line="320" w:lineRule="exact"/>
              <w:jc w:val="center"/>
              <w:rPr>
                <w:rFonts w:eastAsia="仿宋_GB2312"/>
                <w:color w:val="FF0000"/>
                <w:szCs w:val="21"/>
              </w:rPr>
            </w:pPr>
          </w:p>
        </w:tc>
      </w:tr>
      <w:tr w14:paraId="00ED88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1360" w:type="pct"/>
            <w:gridSpan w:val="2"/>
            <w:vMerge w:val="continue"/>
            <w:vAlign w:val="center"/>
          </w:tcPr>
          <w:p w14:paraId="5670A2B3">
            <w:pPr>
              <w:widowControl/>
              <w:spacing w:line="300" w:lineRule="exact"/>
              <w:jc w:val="center"/>
              <w:rPr>
                <w:rFonts w:eastAsia="仿宋_GB2312"/>
                <w:color w:val="FF0000"/>
                <w:kern w:val="0"/>
                <w:szCs w:val="21"/>
              </w:rPr>
            </w:pPr>
          </w:p>
        </w:tc>
        <w:tc>
          <w:tcPr>
            <w:tcW w:w="776" w:type="pct"/>
            <w:vMerge w:val="continue"/>
            <w:vAlign w:val="center"/>
          </w:tcPr>
          <w:p w14:paraId="6605E1D6">
            <w:pPr>
              <w:widowControl/>
              <w:spacing w:line="300" w:lineRule="exact"/>
              <w:jc w:val="center"/>
              <w:rPr>
                <w:rFonts w:eastAsia="仿宋_GB2312"/>
                <w:color w:val="FF0000"/>
                <w:kern w:val="0"/>
                <w:szCs w:val="21"/>
              </w:rPr>
            </w:pPr>
          </w:p>
        </w:tc>
        <w:tc>
          <w:tcPr>
            <w:tcW w:w="743" w:type="pct"/>
            <w:shd w:val="clear" w:color="auto" w:fill="auto"/>
            <w:vAlign w:val="center"/>
          </w:tcPr>
          <w:p w14:paraId="7A41263E">
            <w:pPr>
              <w:keepNext w:val="0"/>
              <w:keepLines w:val="0"/>
              <w:widowControl/>
              <w:suppressLineNumbers w:val="0"/>
              <w:spacing w:before="0" w:beforeAutospacing="0" w:after="0" w:afterAutospacing="0"/>
              <w:ind w:left="0" w:leftChars="0" w:right="0" w:rightChars="0"/>
              <w:jc w:val="center"/>
              <w:rPr>
                <w:rFonts w:hint="default" w:ascii="Times New Roman" w:hAnsi="Times New Roman" w:eastAsia="方正仿宋_GB2312" w:cs="Times New Roman"/>
                <w:kern w:val="0"/>
                <w:szCs w:val="21"/>
                <w:lang w:val="en-US" w:eastAsia="zh-CN"/>
              </w:rPr>
            </w:pPr>
            <w:r>
              <w:rPr>
                <w:rFonts w:hint="default" w:ascii="Times New Roman" w:hAnsi="Times New Roman" w:eastAsia="方正仿宋_GB2312" w:cs="Times New Roman"/>
                <w:kern w:val="0"/>
                <w:szCs w:val="21"/>
                <w:lang w:val="en-US" w:eastAsia="zh-CN"/>
              </w:rPr>
              <w:t>TP</w:t>
            </w:r>
          </w:p>
        </w:tc>
        <w:tc>
          <w:tcPr>
            <w:tcW w:w="1291" w:type="dxa"/>
            <w:shd w:val="clear" w:color="auto" w:fill="auto"/>
            <w:vAlign w:val="bottom"/>
          </w:tcPr>
          <w:p w14:paraId="62262ABF">
            <w:pPr>
              <w:keepNext w:val="0"/>
              <w:keepLines w:val="0"/>
              <w:widowControl/>
              <w:suppressLineNumbers w:val="0"/>
              <w:spacing w:before="0" w:beforeAutospacing="0" w:after="0" w:afterAutospacing="0"/>
              <w:ind w:left="0" w:leftChars="0" w:right="0" w:rightChars="0"/>
              <w:jc w:val="center"/>
              <w:rPr>
                <w:rFonts w:hint="default" w:ascii="Times New Roman" w:hAnsi="Times New Roman" w:eastAsia="方正仿宋_GB2312" w:cs="Times New Roman"/>
                <w:kern w:val="0"/>
                <w:szCs w:val="21"/>
                <w:lang w:val="en-US" w:eastAsia="zh-CN"/>
              </w:rPr>
            </w:pPr>
            <w:r>
              <w:rPr>
                <w:rFonts w:hint="eastAsia" w:ascii="Times New Roman" w:hAnsi="Times New Roman" w:eastAsia="方正仿宋_GB2312" w:cs="Times New Roman"/>
                <w:kern w:val="0"/>
                <w:szCs w:val="21"/>
                <w:lang w:val="en-US" w:eastAsia="zh-CN"/>
              </w:rPr>
              <w:t>2.21</w:t>
            </w:r>
          </w:p>
        </w:tc>
        <w:tc>
          <w:tcPr>
            <w:tcW w:w="1233" w:type="dxa"/>
            <w:shd w:val="clear" w:color="auto" w:fill="auto"/>
            <w:vAlign w:val="bottom"/>
          </w:tcPr>
          <w:p w14:paraId="122C228E">
            <w:pPr>
              <w:keepNext w:val="0"/>
              <w:keepLines w:val="0"/>
              <w:widowControl/>
              <w:suppressLineNumbers w:val="0"/>
              <w:spacing w:before="0" w:beforeAutospacing="0" w:after="0" w:afterAutospacing="0"/>
              <w:ind w:left="0" w:leftChars="0" w:right="0" w:rightChars="0"/>
              <w:jc w:val="center"/>
              <w:rPr>
                <w:rFonts w:hint="default" w:ascii="Times New Roman" w:hAnsi="Times New Roman" w:eastAsia="方正仿宋_GB2312" w:cs="Times New Roman"/>
                <w:kern w:val="0"/>
                <w:szCs w:val="21"/>
                <w:lang w:val="en-US" w:eastAsia="zh-CN"/>
              </w:rPr>
            </w:pPr>
            <w:r>
              <w:rPr>
                <w:rFonts w:hint="eastAsia" w:ascii="Times New Roman" w:hAnsi="Times New Roman" w:eastAsia="方正仿宋_GB2312" w:cs="Times New Roman"/>
                <w:kern w:val="0"/>
                <w:szCs w:val="21"/>
                <w:lang w:val="en-US" w:eastAsia="zh-CN"/>
              </w:rPr>
              <w:t>0.2179</w:t>
            </w:r>
          </w:p>
        </w:tc>
        <w:tc>
          <w:tcPr>
            <w:tcW w:w="638" w:type="pct"/>
            <w:vMerge w:val="continue"/>
            <w:vAlign w:val="center"/>
          </w:tcPr>
          <w:p w14:paraId="15BD2E3E">
            <w:pPr>
              <w:snapToGrid w:val="0"/>
              <w:spacing w:line="320" w:lineRule="exact"/>
              <w:jc w:val="center"/>
              <w:rPr>
                <w:rFonts w:eastAsia="仿宋_GB2312"/>
                <w:color w:val="FF0000"/>
                <w:szCs w:val="21"/>
              </w:rPr>
            </w:pPr>
          </w:p>
        </w:tc>
      </w:tr>
      <w:tr w14:paraId="151202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1360" w:type="pct"/>
            <w:gridSpan w:val="2"/>
            <w:vMerge w:val="continue"/>
            <w:vAlign w:val="center"/>
          </w:tcPr>
          <w:p w14:paraId="3C1E7431">
            <w:pPr>
              <w:widowControl/>
              <w:spacing w:line="300" w:lineRule="exact"/>
              <w:jc w:val="center"/>
              <w:rPr>
                <w:rFonts w:eastAsia="仿宋_GB2312"/>
                <w:color w:val="FF0000"/>
                <w:kern w:val="0"/>
                <w:szCs w:val="21"/>
              </w:rPr>
            </w:pPr>
          </w:p>
        </w:tc>
        <w:tc>
          <w:tcPr>
            <w:tcW w:w="776" w:type="pct"/>
            <w:vMerge w:val="continue"/>
            <w:vAlign w:val="center"/>
          </w:tcPr>
          <w:p w14:paraId="049E80DB">
            <w:pPr>
              <w:widowControl/>
              <w:spacing w:line="300" w:lineRule="exact"/>
              <w:jc w:val="center"/>
              <w:rPr>
                <w:rFonts w:eastAsia="仿宋_GB2312"/>
                <w:color w:val="FF0000"/>
                <w:kern w:val="0"/>
                <w:szCs w:val="21"/>
              </w:rPr>
            </w:pPr>
          </w:p>
        </w:tc>
        <w:tc>
          <w:tcPr>
            <w:tcW w:w="743" w:type="pct"/>
            <w:shd w:val="clear" w:color="auto" w:fill="auto"/>
            <w:vAlign w:val="center"/>
          </w:tcPr>
          <w:p w14:paraId="16F7D13A">
            <w:pPr>
              <w:keepNext w:val="0"/>
              <w:keepLines w:val="0"/>
              <w:widowControl/>
              <w:suppressLineNumbers w:val="0"/>
              <w:spacing w:before="0" w:beforeAutospacing="0" w:after="0" w:afterAutospacing="0"/>
              <w:ind w:left="0" w:leftChars="0" w:right="0" w:rightChars="0"/>
              <w:jc w:val="center"/>
              <w:rPr>
                <w:rFonts w:hint="default" w:ascii="Times New Roman" w:hAnsi="Times New Roman" w:eastAsia="方正仿宋_GB2312" w:cs="Times New Roman"/>
                <w:kern w:val="0"/>
                <w:szCs w:val="21"/>
                <w:lang w:val="en-US" w:eastAsia="zh-CN"/>
              </w:rPr>
            </w:pPr>
            <w:r>
              <w:rPr>
                <w:rFonts w:hint="default" w:ascii="Times New Roman" w:hAnsi="Times New Roman" w:eastAsia="方正仿宋_GB2312" w:cs="Times New Roman"/>
                <w:kern w:val="0"/>
                <w:szCs w:val="21"/>
                <w:lang w:val="en-US" w:eastAsia="zh-CN"/>
              </w:rPr>
              <w:t>甲苯</w:t>
            </w:r>
          </w:p>
        </w:tc>
        <w:tc>
          <w:tcPr>
            <w:tcW w:w="1291" w:type="dxa"/>
            <w:shd w:val="clear" w:color="auto" w:fill="auto"/>
            <w:vAlign w:val="bottom"/>
          </w:tcPr>
          <w:p w14:paraId="3D64876B">
            <w:pPr>
              <w:keepNext w:val="0"/>
              <w:keepLines w:val="0"/>
              <w:widowControl/>
              <w:suppressLineNumbers w:val="0"/>
              <w:spacing w:before="0" w:beforeAutospacing="0" w:after="0" w:afterAutospacing="0"/>
              <w:ind w:left="0" w:leftChars="0" w:right="0" w:rightChars="0"/>
              <w:jc w:val="center"/>
              <w:rPr>
                <w:rFonts w:hint="default" w:ascii="Times New Roman" w:hAnsi="Times New Roman" w:eastAsia="方正仿宋_GB2312" w:cs="Times New Roman"/>
                <w:kern w:val="0"/>
                <w:szCs w:val="21"/>
                <w:lang w:val="en-US" w:eastAsia="zh-CN"/>
              </w:rPr>
            </w:pPr>
            <w:r>
              <w:rPr>
                <w:rFonts w:hint="eastAsia" w:ascii="Times New Roman" w:hAnsi="Times New Roman" w:eastAsia="方正仿宋_GB2312" w:cs="Times New Roman"/>
                <w:kern w:val="0"/>
                <w:szCs w:val="21"/>
                <w:lang w:val="en-US" w:eastAsia="zh-CN"/>
              </w:rPr>
              <w:t>5.015</w:t>
            </w:r>
          </w:p>
        </w:tc>
        <w:tc>
          <w:tcPr>
            <w:tcW w:w="1233" w:type="dxa"/>
            <w:shd w:val="clear" w:color="auto" w:fill="auto"/>
            <w:vAlign w:val="bottom"/>
          </w:tcPr>
          <w:p w14:paraId="130C0312">
            <w:pPr>
              <w:keepNext w:val="0"/>
              <w:keepLines w:val="0"/>
              <w:widowControl/>
              <w:suppressLineNumbers w:val="0"/>
              <w:spacing w:before="0" w:beforeAutospacing="0" w:after="0" w:afterAutospacing="0"/>
              <w:ind w:left="0" w:leftChars="0" w:right="0" w:rightChars="0"/>
              <w:jc w:val="center"/>
              <w:rPr>
                <w:rFonts w:hint="default" w:ascii="Times New Roman" w:hAnsi="Times New Roman" w:eastAsia="方正仿宋_GB2312" w:cs="Times New Roman"/>
                <w:kern w:val="0"/>
                <w:szCs w:val="21"/>
                <w:lang w:val="en-US" w:eastAsia="zh-CN"/>
              </w:rPr>
            </w:pPr>
            <w:r>
              <w:rPr>
                <w:rFonts w:hint="eastAsia" w:ascii="Times New Roman" w:hAnsi="Times New Roman" w:eastAsia="方正仿宋_GB2312" w:cs="Times New Roman"/>
                <w:kern w:val="0"/>
                <w:szCs w:val="21"/>
                <w:lang w:val="en-US" w:eastAsia="zh-CN"/>
              </w:rPr>
              <w:t>0.493</w:t>
            </w:r>
          </w:p>
        </w:tc>
        <w:tc>
          <w:tcPr>
            <w:tcW w:w="638" w:type="pct"/>
            <w:vMerge w:val="continue"/>
            <w:vAlign w:val="center"/>
          </w:tcPr>
          <w:p w14:paraId="768FEB70">
            <w:pPr>
              <w:snapToGrid w:val="0"/>
              <w:spacing w:line="320" w:lineRule="exact"/>
              <w:jc w:val="center"/>
              <w:rPr>
                <w:rFonts w:eastAsia="仿宋_GB2312"/>
                <w:color w:val="FF0000"/>
                <w:szCs w:val="21"/>
              </w:rPr>
            </w:pPr>
          </w:p>
        </w:tc>
      </w:tr>
      <w:tr w14:paraId="2BCD8A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1360" w:type="pct"/>
            <w:gridSpan w:val="2"/>
            <w:vMerge w:val="continue"/>
            <w:vAlign w:val="center"/>
          </w:tcPr>
          <w:p w14:paraId="643ECD71">
            <w:pPr>
              <w:widowControl/>
              <w:spacing w:line="300" w:lineRule="exact"/>
              <w:jc w:val="center"/>
              <w:rPr>
                <w:rFonts w:eastAsia="仿宋_GB2312"/>
                <w:color w:val="FF0000"/>
                <w:kern w:val="0"/>
                <w:szCs w:val="21"/>
              </w:rPr>
            </w:pPr>
          </w:p>
        </w:tc>
        <w:tc>
          <w:tcPr>
            <w:tcW w:w="776" w:type="pct"/>
            <w:vMerge w:val="continue"/>
            <w:vAlign w:val="center"/>
          </w:tcPr>
          <w:p w14:paraId="6E695EB3">
            <w:pPr>
              <w:widowControl/>
              <w:spacing w:line="300" w:lineRule="exact"/>
              <w:jc w:val="center"/>
              <w:rPr>
                <w:rFonts w:eastAsia="仿宋_GB2312"/>
                <w:color w:val="FF0000"/>
                <w:kern w:val="0"/>
                <w:szCs w:val="21"/>
              </w:rPr>
            </w:pPr>
          </w:p>
        </w:tc>
        <w:tc>
          <w:tcPr>
            <w:tcW w:w="743" w:type="pct"/>
            <w:shd w:val="clear" w:color="auto" w:fill="auto"/>
            <w:vAlign w:val="center"/>
          </w:tcPr>
          <w:p w14:paraId="1F0F0B1A">
            <w:pPr>
              <w:keepNext w:val="0"/>
              <w:keepLines w:val="0"/>
              <w:widowControl/>
              <w:suppressLineNumbers w:val="0"/>
              <w:spacing w:before="0" w:beforeAutospacing="0" w:after="0" w:afterAutospacing="0"/>
              <w:ind w:left="0" w:leftChars="0" w:right="0" w:rightChars="0"/>
              <w:jc w:val="center"/>
              <w:rPr>
                <w:rFonts w:hint="default" w:ascii="Times New Roman" w:hAnsi="Times New Roman" w:eastAsia="方正仿宋_GB2312" w:cs="Times New Roman"/>
                <w:kern w:val="0"/>
                <w:szCs w:val="21"/>
                <w:lang w:val="en-US" w:eastAsia="zh-CN"/>
              </w:rPr>
            </w:pPr>
            <w:r>
              <w:rPr>
                <w:rFonts w:hint="default" w:ascii="Times New Roman" w:hAnsi="Times New Roman" w:eastAsia="方正仿宋_GB2312" w:cs="Times New Roman"/>
                <w:kern w:val="0"/>
                <w:szCs w:val="21"/>
                <w:lang w:val="en-US" w:eastAsia="zh-CN"/>
              </w:rPr>
              <w:t>二甲苯</w:t>
            </w:r>
          </w:p>
        </w:tc>
        <w:tc>
          <w:tcPr>
            <w:tcW w:w="1291" w:type="dxa"/>
            <w:shd w:val="clear" w:color="auto" w:fill="auto"/>
            <w:vAlign w:val="bottom"/>
          </w:tcPr>
          <w:p w14:paraId="3DE47CE4">
            <w:pPr>
              <w:keepNext w:val="0"/>
              <w:keepLines w:val="0"/>
              <w:widowControl/>
              <w:suppressLineNumbers w:val="0"/>
              <w:spacing w:before="0" w:beforeAutospacing="0" w:after="0" w:afterAutospacing="0"/>
              <w:ind w:left="0" w:leftChars="0" w:right="0" w:rightChars="0"/>
              <w:jc w:val="center"/>
              <w:rPr>
                <w:rFonts w:hint="default" w:ascii="Times New Roman" w:hAnsi="Times New Roman" w:eastAsia="方正仿宋_GB2312" w:cs="Times New Roman"/>
                <w:kern w:val="0"/>
                <w:szCs w:val="21"/>
                <w:lang w:val="en-US" w:eastAsia="zh-CN"/>
              </w:rPr>
            </w:pPr>
            <w:r>
              <w:rPr>
                <w:rFonts w:hint="eastAsia" w:ascii="Times New Roman" w:hAnsi="Times New Roman" w:eastAsia="方正仿宋_GB2312" w:cs="Times New Roman"/>
                <w:kern w:val="0"/>
                <w:szCs w:val="21"/>
                <w:lang w:val="en-US" w:eastAsia="zh-CN"/>
              </w:rPr>
              <w:t>1.6</w:t>
            </w:r>
            <w:r>
              <w:rPr>
                <w:rFonts w:hint="eastAsia" w:eastAsia="方正仿宋_GB2312" w:cs="Times New Roman"/>
                <w:kern w:val="0"/>
                <w:szCs w:val="21"/>
                <w:lang w:val="en-US" w:eastAsia="zh-CN"/>
              </w:rPr>
              <w:t>7</w:t>
            </w:r>
          </w:p>
        </w:tc>
        <w:tc>
          <w:tcPr>
            <w:tcW w:w="1233" w:type="dxa"/>
            <w:shd w:val="clear" w:color="auto" w:fill="auto"/>
            <w:vAlign w:val="bottom"/>
          </w:tcPr>
          <w:p w14:paraId="52707DD7">
            <w:pPr>
              <w:keepNext w:val="0"/>
              <w:keepLines w:val="0"/>
              <w:widowControl/>
              <w:suppressLineNumbers w:val="0"/>
              <w:spacing w:before="0" w:beforeAutospacing="0" w:after="0" w:afterAutospacing="0"/>
              <w:ind w:left="0" w:leftChars="0" w:right="0" w:rightChars="0"/>
              <w:jc w:val="center"/>
              <w:rPr>
                <w:rFonts w:hint="default" w:ascii="Times New Roman" w:hAnsi="Times New Roman" w:eastAsia="方正仿宋_GB2312" w:cs="Times New Roman"/>
                <w:kern w:val="0"/>
                <w:szCs w:val="21"/>
                <w:lang w:val="en-US" w:eastAsia="zh-CN"/>
              </w:rPr>
            </w:pPr>
            <w:r>
              <w:rPr>
                <w:rFonts w:hint="eastAsia" w:ascii="Times New Roman" w:hAnsi="Times New Roman" w:eastAsia="方正仿宋_GB2312" w:cs="Times New Roman"/>
                <w:kern w:val="0"/>
                <w:szCs w:val="21"/>
                <w:lang w:val="en-US" w:eastAsia="zh-CN"/>
              </w:rPr>
              <w:t>0.164</w:t>
            </w:r>
          </w:p>
        </w:tc>
        <w:tc>
          <w:tcPr>
            <w:tcW w:w="638" w:type="pct"/>
            <w:vMerge w:val="continue"/>
            <w:vAlign w:val="center"/>
          </w:tcPr>
          <w:p w14:paraId="33BC3231">
            <w:pPr>
              <w:snapToGrid w:val="0"/>
              <w:spacing w:line="320" w:lineRule="exact"/>
              <w:jc w:val="center"/>
              <w:rPr>
                <w:rFonts w:eastAsia="仿宋_GB2312"/>
                <w:color w:val="FF0000"/>
                <w:szCs w:val="21"/>
              </w:rPr>
            </w:pPr>
          </w:p>
        </w:tc>
      </w:tr>
      <w:tr w14:paraId="2DCD2D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1360" w:type="pct"/>
            <w:gridSpan w:val="2"/>
            <w:vMerge w:val="continue"/>
            <w:vAlign w:val="center"/>
          </w:tcPr>
          <w:p w14:paraId="5F55F7AA">
            <w:pPr>
              <w:widowControl/>
              <w:spacing w:line="300" w:lineRule="exact"/>
              <w:jc w:val="center"/>
              <w:rPr>
                <w:rFonts w:eastAsia="仿宋_GB2312"/>
                <w:color w:val="FF0000"/>
                <w:kern w:val="0"/>
                <w:szCs w:val="21"/>
              </w:rPr>
            </w:pPr>
          </w:p>
        </w:tc>
        <w:tc>
          <w:tcPr>
            <w:tcW w:w="776" w:type="pct"/>
            <w:vMerge w:val="continue"/>
            <w:vAlign w:val="center"/>
          </w:tcPr>
          <w:p w14:paraId="08D27C09">
            <w:pPr>
              <w:widowControl/>
              <w:spacing w:line="300" w:lineRule="exact"/>
              <w:jc w:val="center"/>
              <w:rPr>
                <w:rFonts w:eastAsia="仿宋_GB2312"/>
                <w:color w:val="FF0000"/>
                <w:kern w:val="0"/>
                <w:szCs w:val="21"/>
              </w:rPr>
            </w:pPr>
          </w:p>
        </w:tc>
        <w:tc>
          <w:tcPr>
            <w:tcW w:w="743" w:type="pct"/>
            <w:shd w:val="clear" w:color="auto" w:fill="auto"/>
            <w:vAlign w:val="center"/>
          </w:tcPr>
          <w:p w14:paraId="45E69965">
            <w:pPr>
              <w:keepNext w:val="0"/>
              <w:keepLines w:val="0"/>
              <w:widowControl/>
              <w:suppressLineNumbers w:val="0"/>
              <w:spacing w:before="0" w:beforeAutospacing="0" w:after="0" w:afterAutospacing="0"/>
              <w:ind w:left="0" w:leftChars="0" w:right="0" w:rightChars="0"/>
              <w:jc w:val="center"/>
              <w:rPr>
                <w:rFonts w:hint="default" w:ascii="Times New Roman" w:hAnsi="Times New Roman" w:eastAsia="方正仿宋_GB2312" w:cs="Times New Roman"/>
                <w:kern w:val="0"/>
                <w:szCs w:val="21"/>
                <w:lang w:val="en-US" w:eastAsia="zh-CN"/>
              </w:rPr>
            </w:pPr>
            <w:r>
              <w:rPr>
                <w:rFonts w:hint="default" w:ascii="Times New Roman" w:hAnsi="Times New Roman" w:eastAsia="方正仿宋_GB2312" w:cs="Times New Roman"/>
                <w:kern w:val="0"/>
                <w:szCs w:val="21"/>
                <w:lang w:val="en-US" w:eastAsia="zh-CN"/>
              </w:rPr>
              <w:t>苯乙烯</w:t>
            </w:r>
          </w:p>
        </w:tc>
        <w:tc>
          <w:tcPr>
            <w:tcW w:w="1291" w:type="dxa"/>
            <w:shd w:val="clear" w:color="auto" w:fill="auto"/>
            <w:vAlign w:val="bottom"/>
          </w:tcPr>
          <w:p w14:paraId="5405E83F">
            <w:pPr>
              <w:keepNext w:val="0"/>
              <w:keepLines w:val="0"/>
              <w:widowControl/>
              <w:suppressLineNumbers w:val="0"/>
              <w:spacing w:before="0" w:beforeAutospacing="0" w:after="0" w:afterAutospacing="0"/>
              <w:ind w:left="0" w:leftChars="0" w:right="0" w:rightChars="0"/>
              <w:jc w:val="center"/>
              <w:rPr>
                <w:rFonts w:hint="default" w:ascii="Times New Roman" w:hAnsi="Times New Roman" w:eastAsia="方正仿宋_GB2312" w:cs="Times New Roman"/>
                <w:kern w:val="0"/>
                <w:szCs w:val="21"/>
                <w:lang w:val="en-US" w:eastAsia="zh-CN"/>
              </w:rPr>
            </w:pPr>
            <w:r>
              <w:rPr>
                <w:rFonts w:hint="eastAsia" w:ascii="Times New Roman" w:hAnsi="Times New Roman" w:eastAsia="方正仿宋_GB2312" w:cs="Times New Roman"/>
                <w:kern w:val="0"/>
                <w:szCs w:val="21"/>
                <w:lang w:val="en-US" w:eastAsia="zh-CN"/>
              </w:rPr>
              <w:t>2.07</w:t>
            </w:r>
          </w:p>
        </w:tc>
        <w:tc>
          <w:tcPr>
            <w:tcW w:w="1233" w:type="dxa"/>
            <w:shd w:val="clear" w:color="auto" w:fill="auto"/>
            <w:vAlign w:val="bottom"/>
          </w:tcPr>
          <w:p w14:paraId="462B94A6">
            <w:pPr>
              <w:keepNext w:val="0"/>
              <w:keepLines w:val="0"/>
              <w:widowControl/>
              <w:suppressLineNumbers w:val="0"/>
              <w:spacing w:before="0" w:beforeAutospacing="0" w:after="0" w:afterAutospacing="0"/>
              <w:ind w:left="0" w:leftChars="0" w:right="0" w:rightChars="0"/>
              <w:jc w:val="center"/>
              <w:rPr>
                <w:rFonts w:hint="default" w:ascii="Times New Roman" w:hAnsi="Times New Roman" w:eastAsia="方正仿宋_GB2312" w:cs="Times New Roman"/>
                <w:kern w:val="0"/>
                <w:szCs w:val="21"/>
                <w:lang w:val="en-US" w:eastAsia="zh-CN"/>
              </w:rPr>
            </w:pPr>
            <w:r>
              <w:rPr>
                <w:rFonts w:hint="eastAsia" w:ascii="Times New Roman" w:hAnsi="Times New Roman" w:eastAsia="方正仿宋_GB2312" w:cs="Times New Roman"/>
                <w:kern w:val="0"/>
                <w:szCs w:val="21"/>
                <w:lang w:val="en-US" w:eastAsia="zh-CN"/>
              </w:rPr>
              <w:t>0.204</w:t>
            </w:r>
          </w:p>
        </w:tc>
        <w:tc>
          <w:tcPr>
            <w:tcW w:w="638" w:type="pct"/>
            <w:vMerge w:val="continue"/>
            <w:vAlign w:val="center"/>
          </w:tcPr>
          <w:p w14:paraId="0320A456">
            <w:pPr>
              <w:snapToGrid w:val="0"/>
              <w:spacing w:line="320" w:lineRule="exact"/>
              <w:jc w:val="center"/>
              <w:rPr>
                <w:rFonts w:eastAsia="仿宋_GB2312"/>
                <w:color w:val="FF0000"/>
                <w:szCs w:val="21"/>
              </w:rPr>
            </w:pPr>
          </w:p>
        </w:tc>
      </w:tr>
      <w:tr w14:paraId="20AAA75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1360" w:type="pct"/>
            <w:gridSpan w:val="2"/>
            <w:vMerge w:val="continue"/>
            <w:vAlign w:val="center"/>
          </w:tcPr>
          <w:p w14:paraId="4DB89C0D">
            <w:pPr>
              <w:widowControl/>
              <w:spacing w:line="300" w:lineRule="exact"/>
              <w:jc w:val="center"/>
              <w:rPr>
                <w:rFonts w:eastAsia="仿宋_GB2312"/>
                <w:color w:val="FF0000"/>
                <w:kern w:val="0"/>
                <w:szCs w:val="21"/>
              </w:rPr>
            </w:pPr>
          </w:p>
        </w:tc>
        <w:tc>
          <w:tcPr>
            <w:tcW w:w="776" w:type="pct"/>
            <w:vMerge w:val="continue"/>
            <w:vAlign w:val="center"/>
          </w:tcPr>
          <w:p w14:paraId="20A6DE0A">
            <w:pPr>
              <w:widowControl/>
              <w:spacing w:line="300" w:lineRule="exact"/>
              <w:jc w:val="center"/>
              <w:rPr>
                <w:rFonts w:eastAsia="仿宋_GB2312"/>
                <w:color w:val="FF0000"/>
                <w:kern w:val="0"/>
                <w:szCs w:val="21"/>
              </w:rPr>
            </w:pPr>
          </w:p>
        </w:tc>
        <w:tc>
          <w:tcPr>
            <w:tcW w:w="0" w:type="auto"/>
            <w:shd w:val="clear" w:color="auto" w:fill="auto"/>
            <w:vAlign w:val="center"/>
          </w:tcPr>
          <w:p w14:paraId="50187125">
            <w:pPr>
              <w:keepNext w:val="0"/>
              <w:keepLines w:val="0"/>
              <w:widowControl/>
              <w:suppressLineNumbers w:val="0"/>
              <w:spacing w:before="0" w:beforeAutospacing="0" w:after="0" w:afterAutospacing="0"/>
              <w:ind w:left="0" w:leftChars="0" w:right="0" w:rightChars="0"/>
              <w:jc w:val="center"/>
              <w:rPr>
                <w:rFonts w:hint="default" w:ascii="Times New Roman" w:hAnsi="Times New Roman" w:eastAsia="方正仿宋_GB2312" w:cs="Times New Roman"/>
                <w:kern w:val="0"/>
                <w:szCs w:val="21"/>
                <w:lang w:val="en-US" w:eastAsia="zh-CN"/>
              </w:rPr>
            </w:pPr>
            <w:r>
              <w:rPr>
                <w:rFonts w:hint="default" w:ascii="Times New Roman" w:hAnsi="Times New Roman" w:eastAsia="方正仿宋_GB2312" w:cs="Times New Roman"/>
                <w:kern w:val="0"/>
                <w:szCs w:val="21"/>
                <w:lang w:val="en-US" w:eastAsia="zh-CN"/>
              </w:rPr>
              <w:t>二氯乙烷</w:t>
            </w:r>
          </w:p>
        </w:tc>
        <w:tc>
          <w:tcPr>
            <w:tcW w:w="1291" w:type="dxa"/>
            <w:shd w:val="clear" w:color="auto" w:fill="auto"/>
            <w:vAlign w:val="bottom"/>
          </w:tcPr>
          <w:p w14:paraId="53DD0DF5">
            <w:pPr>
              <w:keepNext w:val="0"/>
              <w:keepLines w:val="0"/>
              <w:widowControl/>
              <w:suppressLineNumbers w:val="0"/>
              <w:spacing w:before="0" w:beforeAutospacing="0" w:after="0" w:afterAutospacing="0"/>
              <w:ind w:left="0" w:leftChars="0" w:right="0" w:rightChars="0"/>
              <w:jc w:val="center"/>
              <w:rPr>
                <w:rFonts w:hint="default" w:ascii="Times New Roman" w:hAnsi="Times New Roman" w:eastAsia="方正仿宋_GB2312" w:cs="Times New Roman"/>
                <w:kern w:val="0"/>
                <w:szCs w:val="21"/>
                <w:lang w:val="en-US" w:eastAsia="zh-CN"/>
              </w:rPr>
            </w:pPr>
            <w:r>
              <w:rPr>
                <w:rFonts w:hint="eastAsia" w:ascii="Times New Roman" w:hAnsi="Times New Roman" w:eastAsia="方正仿宋_GB2312" w:cs="Times New Roman"/>
                <w:kern w:val="0"/>
                <w:szCs w:val="21"/>
                <w:lang w:val="en-US" w:eastAsia="zh-CN"/>
              </w:rPr>
              <w:t>1.99</w:t>
            </w:r>
          </w:p>
        </w:tc>
        <w:tc>
          <w:tcPr>
            <w:tcW w:w="1233" w:type="dxa"/>
            <w:shd w:val="clear" w:color="auto" w:fill="auto"/>
            <w:vAlign w:val="bottom"/>
          </w:tcPr>
          <w:p w14:paraId="1C8FE87B">
            <w:pPr>
              <w:keepNext w:val="0"/>
              <w:keepLines w:val="0"/>
              <w:widowControl/>
              <w:suppressLineNumbers w:val="0"/>
              <w:spacing w:before="0" w:beforeAutospacing="0" w:after="0" w:afterAutospacing="0"/>
              <w:ind w:left="0" w:leftChars="0" w:right="0" w:rightChars="0"/>
              <w:jc w:val="center"/>
              <w:rPr>
                <w:rFonts w:hint="default" w:ascii="Times New Roman" w:hAnsi="Times New Roman" w:eastAsia="方正仿宋_GB2312" w:cs="Times New Roman"/>
                <w:kern w:val="0"/>
                <w:szCs w:val="21"/>
                <w:lang w:val="en-US" w:eastAsia="zh-CN"/>
              </w:rPr>
            </w:pPr>
            <w:r>
              <w:rPr>
                <w:rFonts w:hint="eastAsia" w:ascii="Times New Roman" w:hAnsi="Times New Roman" w:eastAsia="方正仿宋_GB2312" w:cs="Times New Roman"/>
                <w:kern w:val="0"/>
                <w:szCs w:val="21"/>
                <w:lang w:val="en-US" w:eastAsia="zh-CN"/>
              </w:rPr>
              <w:t>0.196</w:t>
            </w:r>
          </w:p>
        </w:tc>
        <w:tc>
          <w:tcPr>
            <w:tcW w:w="638" w:type="pct"/>
            <w:vMerge w:val="continue"/>
            <w:vAlign w:val="center"/>
          </w:tcPr>
          <w:p w14:paraId="212E7190">
            <w:pPr>
              <w:snapToGrid w:val="0"/>
              <w:spacing w:line="320" w:lineRule="exact"/>
              <w:jc w:val="center"/>
              <w:rPr>
                <w:rFonts w:eastAsia="仿宋_GB2312"/>
                <w:color w:val="FF0000"/>
                <w:szCs w:val="21"/>
              </w:rPr>
            </w:pPr>
          </w:p>
        </w:tc>
      </w:tr>
      <w:tr w14:paraId="7C43C2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1360" w:type="pct"/>
            <w:gridSpan w:val="2"/>
            <w:vMerge w:val="continue"/>
            <w:vAlign w:val="center"/>
          </w:tcPr>
          <w:p w14:paraId="3338E7A0">
            <w:pPr>
              <w:widowControl/>
              <w:spacing w:line="300" w:lineRule="exact"/>
              <w:jc w:val="center"/>
              <w:rPr>
                <w:rFonts w:eastAsia="仿宋_GB2312"/>
                <w:color w:val="FF0000"/>
                <w:kern w:val="0"/>
                <w:szCs w:val="21"/>
              </w:rPr>
            </w:pPr>
          </w:p>
        </w:tc>
        <w:tc>
          <w:tcPr>
            <w:tcW w:w="776" w:type="pct"/>
            <w:vMerge w:val="continue"/>
            <w:vAlign w:val="center"/>
          </w:tcPr>
          <w:p w14:paraId="3E01A384">
            <w:pPr>
              <w:widowControl/>
              <w:spacing w:line="300" w:lineRule="exact"/>
              <w:jc w:val="center"/>
              <w:rPr>
                <w:rFonts w:eastAsia="仿宋_GB2312"/>
                <w:color w:val="FF0000"/>
                <w:kern w:val="0"/>
                <w:szCs w:val="21"/>
              </w:rPr>
            </w:pPr>
          </w:p>
        </w:tc>
        <w:tc>
          <w:tcPr>
            <w:tcW w:w="0" w:type="auto"/>
            <w:shd w:val="clear" w:color="auto" w:fill="auto"/>
            <w:vAlign w:val="center"/>
          </w:tcPr>
          <w:p w14:paraId="48CD81FB">
            <w:pPr>
              <w:keepNext w:val="0"/>
              <w:keepLines w:val="0"/>
              <w:widowControl/>
              <w:suppressLineNumbers w:val="0"/>
              <w:spacing w:before="0" w:beforeAutospacing="0" w:after="0" w:afterAutospacing="0"/>
              <w:ind w:left="0" w:leftChars="0" w:right="0" w:rightChars="0"/>
              <w:jc w:val="center"/>
              <w:rPr>
                <w:rFonts w:hint="default" w:ascii="Times New Roman" w:hAnsi="Times New Roman" w:eastAsia="方正仿宋_GB2312" w:cs="Times New Roman"/>
                <w:kern w:val="0"/>
                <w:szCs w:val="21"/>
                <w:lang w:val="en-US" w:eastAsia="zh-CN"/>
              </w:rPr>
            </w:pPr>
            <w:r>
              <w:rPr>
                <w:rFonts w:hint="default" w:ascii="Times New Roman" w:hAnsi="Times New Roman" w:eastAsia="方正仿宋_GB2312" w:cs="Times New Roman"/>
                <w:kern w:val="0"/>
                <w:szCs w:val="21"/>
                <w:lang w:val="en-US" w:eastAsia="zh-CN"/>
              </w:rPr>
              <w:t>盐分</w:t>
            </w:r>
          </w:p>
        </w:tc>
        <w:tc>
          <w:tcPr>
            <w:tcW w:w="1291" w:type="dxa"/>
            <w:shd w:val="clear" w:color="auto" w:fill="auto"/>
            <w:vAlign w:val="bottom"/>
          </w:tcPr>
          <w:p w14:paraId="6C36C31B">
            <w:pPr>
              <w:keepNext w:val="0"/>
              <w:keepLines w:val="0"/>
              <w:widowControl/>
              <w:suppressLineNumbers w:val="0"/>
              <w:spacing w:before="0" w:beforeAutospacing="0" w:after="0" w:afterAutospacing="0"/>
              <w:ind w:left="0" w:leftChars="0" w:right="0" w:rightChars="0"/>
              <w:jc w:val="center"/>
              <w:rPr>
                <w:rFonts w:hint="default" w:ascii="Times New Roman" w:hAnsi="Times New Roman" w:eastAsia="方正仿宋_GB2312" w:cs="Times New Roman"/>
                <w:kern w:val="0"/>
                <w:szCs w:val="21"/>
                <w:lang w:val="en-US" w:eastAsia="zh-CN"/>
              </w:rPr>
            </w:pPr>
            <w:r>
              <w:rPr>
                <w:rFonts w:hint="eastAsia" w:ascii="Times New Roman" w:hAnsi="Times New Roman" w:eastAsia="方正仿宋_GB2312" w:cs="Times New Roman"/>
                <w:kern w:val="0"/>
                <w:szCs w:val="21"/>
                <w:lang w:val="en-US" w:eastAsia="zh-CN"/>
              </w:rPr>
              <w:t>611.1</w:t>
            </w:r>
          </w:p>
        </w:tc>
        <w:tc>
          <w:tcPr>
            <w:tcW w:w="1233" w:type="dxa"/>
            <w:shd w:val="clear" w:color="auto" w:fill="auto"/>
            <w:vAlign w:val="bottom"/>
          </w:tcPr>
          <w:p w14:paraId="39F71ABB">
            <w:pPr>
              <w:keepNext w:val="0"/>
              <w:keepLines w:val="0"/>
              <w:widowControl/>
              <w:suppressLineNumbers w:val="0"/>
              <w:spacing w:before="0" w:beforeAutospacing="0" w:after="0" w:afterAutospacing="0"/>
              <w:ind w:left="0" w:leftChars="0" w:right="0" w:rightChars="0"/>
              <w:jc w:val="center"/>
              <w:rPr>
                <w:rFonts w:hint="default" w:ascii="Times New Roman" w:hAnsi="Times New Roman" w:eastAsia="方正仿宋_GB2312" w:cs="Times New Roman"/>
                <w:kern w:val="0"/>
                <w:szCs w:val="21"/>
                <w:lang w:val="en-US" w:eastAsia="zh-CN"/>
              </w:rPr>
            </w:pPr>
            <w:r>
              <w:rPr>
                <w:rFonts w:hint="eastAsia" w:ascii="Times New Roman" w:hAnsi="Times New Roman" w:eastAsia="方正仿宋_GB2312" w:cs="Times New Roman"/>
                <w:kern w:val="0"/>
                <w:szCs w:val="21"/>
                <w:lang w:val="en-US" w:eastAsia="zh-CN"/>
              </w:rPr>
              <w:t>60.075</w:t>
            </w:r>
          </w:p>
        </w:tc>
        <w:tc>
          <w:tcPr>
            <w:tcW w:w="638" w:type="pct"/>
            <w:vMerge w:val="continue"/>
            <w:vAlign w:val="center"/>
          </w:tcPr>
          <w:p w14:paraId="6678608A">
            <w:pPr>
              <w:snapToGrid w:val="0"/>
              <w:spacing w:line="320" w:lineRule="exact"/>
              <w:jc w:val="center"/>
              <w:rPr>
                <w:rFonts w:eastAsia="仿宋_GB2312"/>
                <w:color w:val="FF0000"/>
                <w:szCs w:val="21"/>
              </w:rPr>
            </w:pPr>
          </w:p>
        </w:tc>
      </w:tr>
    </w:tbl>
    <w:p w14:paraId="2A524DFF">
      <w:pPr>
        <w:pStyle w:val="162"/>
        <w:ind w:firstLine="560"/>
        <w:jc w:val="both"/>
        <w:rPr>
          <w:rFonts w:hint="eastAsia" w:ascii="Times New Roman"/>
          <w:b w:val="0"/>
          <w:color w:val="auto"/>
          <w:sz w:val="28"/>
          <w:szCs w:val="28"/>
          <w:lang w:val="en-US" w:eastAsia="zh-CN"/>
        </w:rPr>
      </w:pPr>
    </w:p>
    <w:p w14:paraId="5EFF70B4">
      <w:pPr>
        <w:rPr>
          <w:rFonts w:hint="eastAsia" w:ascii="Times New Roman"/>
          <w:b w:val="0"/>
          <w:color w:val="auto"/>
          <w:sz w:val="28"/>
          <w:szCs w:val="28"/>
          <w:lang w:val="en-US" w:eastAsia="zh-CN"/>
        </w:rPr>
      </w:pPr>
      <w:r>
        <w:rPr>
          <w:rFonts w:hint="eastAsia" w:ascii="Times New Roman"/>
          <w:b w:val="0"/>
          <w:color w:val="auto"/>
          <w:sz w:val="28"/>
          <w:szCs w:val="28"/>
          <w:lang w:val="en-US" w:eastAsia="zh-CN"/>
        </w:rPr>
        <w:br w:type="page"/>
      </w:r>
    </w:p>
    <w:p w14:paraId="590BDA26">
      <w:pPr>
        <w:spacing w:line="500" w:lineRule="exact"/>
        <w:outlineLvl w:val="3"/>
        <w:rPr>
          <w:rFonts w:hint="eastAsia" w:ascii="Times New Roman" w:hAnsi="Times New Roman" w:eastAsia="仿宋_GB2312" w:cs="Times New Roman"/>
          <w:b/>
          <w:bCs/>
          <w:color w:val="auto"/>
          <w:sz w:val="28"/>
          <w:szCs w:val="28"/>
          <w:lang w:val="en-US" w:eastAsia="zh-CN"/>
        </w:rPr>
      </w:pPr>
      <w:r>
        <w:rPr>
          <w:rFonts w:ascii="Times New Roman" w:hAnsi="Times New Roman" w:eastAsia="仿宋_GB2312" w:cs="Times New Roman"/>
          <w:b/>
          <w:bCs/>
          <w:color w:val="auto"/>
          <w:sz w:val="28"/>
          <w:szCs w:val="28"/>
        </w:rPr>
        <w:t>3.</w:t>
      </w:r>
      <w:r>
        <w:rPr>
          <w:rFonts w:hint="eastAsia" w:ascii="Times New Roman" w:hAnsi="Times New Roman" w:eastAsia="仿宋_GB2312" w:cs="Times New Roman"/>
          <w:b/>
          <w:bCs/>
          <w:color w:val="auto"/>
          <w:sz w:val="28"/>
          <w:szCs w:val="28"/>
          <w:lang w:val="en-US" w:eastAsia="zh-CN"/>
        </w:rPr>
        <w:t>9</w:t>
      </w:r>
      <w:r>
        <w:rPr>
          <w:rFonts w:ascii="Times New Roman" w:hAnsi="Times New Roman" w:eastAsia="仿宋_GB2312" w:cs="Times New Roman"/>
          <w:b/>
          <w:bCs/>
          <w:color w:val="auto"/>
          <w:sz w:val="28"/>
          <w:szCs w:val="28"/>
        </w:rPr>
        <w:t>.</w:t>
      </w:r>
      <w:r>
        <w:rPr>
          <w:rFonts w:hint="eastAsia" w:ascii="Times New Roman" w:hAnsi="Times New Roman" w:eastAsia="仿宋_GB2312" w:cs="Times New Roman"/>
          <w:b/>
          <w:bCs/>
          <w:color w:val="auto"/>
          <w:sz w:val="28"/>
          <w:szCs w:val="28"/>
          <w:lang w:val="en-US" w:eastAsia="zh-CN"/>
        </w:rPr>
        <w:t>2</w:t>
      </w:r>
      <w:r>
        <w:rPr>
          <w:rFonts w:ascii="Times New Roman" w:hAnsi="Times New Roman" w:eastAsia="仿宋_GB2312" w:cs="Times New Roman"/>
          <w:b/>
          <w:bCs/>
          <w:color w:val="auto"/>
          <w:sz w:val="28"/>
          <w:szCs w:val="28"/>
        </w:rPr>
        <w:t>.</w:t>
      </w:r>
      <w:r>
        <w:rPr>
          <w:rFonts w:hint="eastAsia" w:ascii="Times New Roman" w:hAnsi="Times New Roman" w:eastAsia="仿宋_GB2312" w:cs="Times New Roman"/>
          <w:b/>
          <w:bCs/>
          <w:color w:val="auto"/>
          <w:sz w:val="28"/>
          <w:szCs w:val="28"/>
          <w:lang w:val="en-US" w:eastAsia="zh-CN"/>
        </w:rPr>
        <w:t>2</w:t>
      </w:r>
      <w:r>
        <w:rPr>
          <w:rFonts w:hint="eastAsia" w:ascii="Times New Roman" w:hAnsi="Times New Roman" w:eastAsia="仿宋_GB2312" w:cs="Times New Roman"/>
          <w:b/>
          <w:bCs/>
          <w:color w:val="auto"/>
          <w:sz w:val="28"/>
          <w:szCs w:val="28"/>
          <w:lang w:eastAsia="zh-CN"/>
        </w:rPr>
        <w:t>废水污染物排放情况</w:t>
      </w:r>
    </w:p>
    <w:p w14:paraId="0A6015B1">
      <w:pPr>
        <w:pStyle w:val="162"/>
        <w:ind w:firstLine="560"/>
        <w:jc w:val="both"/>
        <w:rPr>
          <w:rFonts w:hint="default" w:ascii="Times New Roman"/>
          <w:b w:val="0"/>
          <w:color w:val="auto"/>
          <w:sz w:val="28"/>
          <w:szCs w:val="28"/>
          <w:lang w:val="en-US" w:eastAsia="zh-CN"/>
        </w:rPr>
      </w:pPr>
      <w:r>
        <w:rPr>
          <w:rFonts w:hint="eastAsia" w:ascii="Times New Roman"/>
          <w:b w:val="0"/>
          <w:color w:val="auto"/>
          <w:sz w:val="28"/>
          <w:szCs w:val="28"/>
          <w:lang w:val="en-US" w:eastAsia="zh-CN"/>
        </w:rPr>
        <w:t>新增循环冷却水经厂区1#污水站处理后接管至常州民生环保科技有限公司，处理前后废水情况如下表：</w:t>
      </w:r>
    </w:p>
    <w:p w14:paraId="2E4503BA">
      <w:pPr>
        <w:tabs>
          <w:tab w:val="left" w:pos="1425"/>
        </w:tabs>
        <w:spacing w:line="480" w:lineRule="exact"/>
        <w:jc w:val="center"/>
        <w:rPr>
          <w:rFonts w:eastAsia="仿宋_GB2312"/>
          <w:b/>
          <w:bCs/>
          <w:color w:val="auto"/>
          <w:kern w:val="0"/>
          <w:sz w:val="24"/>
          <w:szCs w:val="28"/>
        </w:rPr>
      </w:pPr>
      <w:r>
        <w:rPr>
          <w:rFonts w:eastAsia="仿宋_GB2312"/>
          <w:b/>
          <w:bCs/>
          <w:color w:val="auto"/>
          <w:kern w:val="0"/>
          <w:sz w:val="24"/>
          <w:szCs w:val="28"/>
        </w:rPr>
        <w:t>表</w:t>
      </w:r>
      <w:r>
        <w:rPr>
          <w:rFonts w:hint="eastAsia" w:eastAsia="仿宋_GB2312"/>
          <w:b/>
          <w:bCs/>
          <w:color w:val="auto"/>
          <w:kern w:val="0"/>
          <w:sz w:val="24"/>
          <w:szCs w:val="28"/>
          <w:lang w:val="en-US" w:eastAsia="zh-CN"/>
        </w:rPr>
        <w:t>3.9-10</w:t>
      </w:r>
      <w:r>
        <w:rPr>
          <w:rFonts w:eastAsia="仿宋_GB2312"/>
          <w:b/>
          <w:bCs/>
          <w:color w:val="auto"/>
          <w:kern w:val="0"/>
          <w:sz w:val="24"/>
          <w:szCs w:val="28"/>
        </w:rPr>
        <w:t xml:space="preserve">  </w:t>
      </w:r>
      <w:r>
        <w:rPr>
          <w:rFonts w:hint="eastAsia" w:eastAsia="仿宋_GB2312"/>
          <w:b/>
          <w:bCs/>
          <w:color w:val="auto"/>
          <w:kern w:val="0"/>
          <w:sz w:val="24"/>
          <w:szCs w:val="28"/>
        </w:rPr>
        <w:t>废水处理后</w:t>
      </w:r>
      <w:r>
        <w:rPr>
          <w:rFonts w:eastAsia="仿宋_GB2312"/>
          <w:b/>
          <w:bCs/>
          <w:color w:val="auto"/>
          <w:kern w:val="0"/>
          <w:sz w:val="24"/>
          <w:szCs w:val="28"/>
        </w:rPr>
        <w:t>水质情况</w:t>
      </w:r>
    </w:p>
    <w:tbl>
      <w:tblPr>
        <w:tblStyle w:val="88"/>
        <w:tblW w:w="4998"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95"/>
        <w:gridCol w:w="1087"/>
        <w:gridCol w:w="1143"/>
        <w:gridCol w:w="1011"/>
        <w:gridCol w:w="1143"/>
        <w:gridCol w:w="1085"/>
        <w:gridCol w:w="1115"/>
        <w:gridCol w:w="940"/>
      </w:tblGrid>
      <w:tr w14:paraId="7DDF70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12" w:hRule="atLeast"/>
          <w:jc w:val="center"/>
        </w:trPr>
        <w:tc>
          <w:tcPr>
            <w:tcW w:w="583" w:type="pct"/>
            <w:vMerge w:val="restart"/>
            <w:vAlign w:val="center"/>
          </w:tcPr>
          <w:p w14:paraId="3CA3D154">
            <w:pPr>
              <w:keepNext w:val="0"/>
              <w:keepLines w:val="0"/>
              <w:suppressLineNumbers w:val="0"/>
              <w:spacing w:before="0" w:beforeAutospacing="0" w:after="0" w:afterAutospacing="0"/>
              <w:ind w:left="0" w:right="0"/>
              <w:jc w:val="center"/>
              <w:rPr>
                <w:rFonts w:hint="default" w:eastAsia="仿宋_GB2312"/>
                <w:b/>
                <w:color w:val="auto"/>
                <w:szCs w:val="21"/>
                <w:lang w:val="en-US" w:eastAsia="zh-CN"/>
              </w:rPr>
            </w:pPr>
            <w:r>
              <w:rPr>
                <w:rFonts w:hint="eastAsia" w:eastAsia="仿宋_GB2312"/>
                <w:b/>
                <w:color w:val="auto"/>
                <w:szCs w:val="21"/>
                <w:lang w:val="en-US" w:eastAsia="zh-CN"/>
              </w:rPr>
              <w:t>污染物名称</w:t>
            </w:r>
          </w:p>
        </w:tc>
        <w:tc>
          <w:tcPr>
            <w:tcW w:w="1902" w:type="pct"/>
            <w:gridSpan w:val="3"/>
            <w:vAlign w:val="center"/>
          </w:tcPr>
          <w:p w14:paraId="45A8CE18">
            <w:pPr>
              <w:keepNext w:val="0"/>
              <w:keepLines w:val="0"/>
              <w:suppressLineNumbers w:val="0"/>
              <w:spacing w:before="0" w:beforeAutospacing="0" w:after="0" w:afterAutospacing="0"/>
              <w:ind w:left="0" w:right="0"/>
              <w:jc w:val="center"/>
              <w:rPr>
                <w:rFonts w:hint="default" w:eastAsia="仿宋_GB2312"/>
                <w:b/>
                <w:color w:val="auto"/>
                <w:szCs w:val="21"/>
                <w:lang w:val="en-US" w:eastAsia="zh-CN"/>
              </w:rPr>
            </w:pPr>
            <w:r>
              <w:rPr>
                <w:rFonts w:hint="eastAsia" w:eastAsia="仿宋_GB2312"/>
                <w:b/>
                <w:color w:val="auto"/>
                <w:szCs w:val="21"/>
                <w:lang w:val="en-US" w:eastAsia="zh-CN"/>
              </w:rPr>
              <w:t>进水情况</w:t>
            </w:r>
          </w:p>
        </w:tc>
        <w:tc>
          <w:tcPr>
            <w:tcW w:w="670" w:type="pct"/>
            <w:vMerge w:val="restart"/>
            <w:vAlign w:val="center"/>
          </w:tcPr>
          <w:p w14:paraId="33EFFDA7">
            <w:pPr>
              <w:keepNext w:val="0"/>
              <w:keepLines w:val="0"/>
              <w:suppressLineNumbers w:val="0"/>
              <w:spacing w:before="0" w:beforeAutospacing="0" w:after="0" w:afterAutospacing="0"/>
              <w:ind w:left="0" w:right="0"/>
              <w:jc w:val="center"/>
              <w:rPr>
                <w:rFonts w:hint="default" w:eastAsia="仿宋_GB2312"/>
                <w:b/>
                <w:color w:val="auto"/>
                <w:szCs w:val="21"/>
                <w:lang w:val="en-US" w:eastAsia="zh-CN"/>
              </w:rPr>
            </w:pPr>
            <w:r>
              <w:rPr>
                <w:rFonts w:hint="eastAsia" w:eastAsia="仿宋_GB2312"/>
                <w:b/>
                <w:color w:val="auto"/>
                <w:szCs w:val="21"/>
                <w:lang w:val="en-US" w:eastAsia="zh-CN"/>
              </w:rPr>
              <w:t>治理措施</w:t>
            </w:r>
          </w:p>
        </w:tc>
        <w:tc>
          <w:tcPr>
            <w:tcW w:w="1842" w:type="pct"/>
            <w:gridSpan w:val="3"/>
            <w:vAlign w:val="center"/>
          </w:tcPr>
          <w:p w14:paraId="2C466658">
            <w:pPr>
              <w:keepNext w:val="0"/>
              <w:keepLines w:val="0"/>
              <w:suppressLineNumbers w:val="0"/>
              <w:spacing w:before="0" w:beforeAutospacing="0" w:after="0" w:afterAutospacing="0"/>
              <w:ind w:left="0" w:right="0"/>
              <w:jc w:val="center"/>
              <w:rPr>
                <w:rFonts w:hint="default" w:eastAsia="仿宋_GB2312"/>
                <w:b/>
                <w:color w:val="auto"/>
                <w:szCs w:val="21"/>
                <w:lang w:val="en-US" w:eastAsia="zh-CN"/>
              </w:rPr>
            </w:pPr>
            <w:r>
              <w:rPr>
                <w:rFonts w:hint="eastAsia" w:eastAsia="仿宋_GB2312"/>
                <w:b/>
                <w:color w:val="auto"/>
                <w:szCs w:val="21"/>
                <w:lang w:val="en-US" w:eastAsia="zh-CN"/>
              </w:rPr>
              <w:t>出水情况</w:t>
            </w:r>
          </w:p>
        </w:tc>
      </w:tr>
      <w:tr w14:paraId="551B606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12" w:hRule="atLeast"/>
          <w:jc w:val="center"/>
        </w:trPr>
        <w:tc>
          <w:tcPr>
            <w:tcW w:w="583" w:type="pct"/>
            <w:vMerge w:val="continue"/>
            <w:shd w:val="clear" w:color="auto" w:fill="auto"/>
            <w:vAlign w:val="center"/>
          </w:tcPr>
          <w:p w14:paraId="5A4FB2C1">
            <w:pPr>
              <w:keepNext w:val="0"/>
              <w:keepLines w:val="0"/>
              <w:suppressLineNumbers w:val="0"/>
              <w:snapToGrid w:val="0"/>
              <w:spacing w:before="0" w:beforeAutospacing="0" w:after="0" w:afterAutospacing="0" w:line="320" w:lineRule="exact"/>
              <w:ind w:left="0" w:leftChars="0" w:right="0" w:rightChars="0"/>
              <w:jc w:val="center"/>
              <w:rPr>
                <w:rFonts w:hint="default" w:ascii="Times New Roman" w:hAnsi="Times New Roman" w:eastAsia="仿宋_GB2312" w:cs="Times New Roman"/>
                <w:color w:val="auto"/>
                <w:kern w:val="2"/>
                <w:sz w:val="21"/>
                <w:szCs w:val="21"/>
                <w:lang w:val="en-US" w:eastAsia="zh-CN" w:bidi="ar-SA"/>
              </w:rPr>
            </w:pPr>
          </w:p>
        </w:tc>
        <w:tc>
          <w:tcPr>
            <w:tcW w:w="637" w:type="pct"/>
            <w:vAlign w:val="center"/>
          </w:tcPr>
          <w:p w14:paraId="02A93396">
            <w:pPr>
              <w:keepNext w:val="0"/>
              <w:keepLines w:val="0"/>
              <w:suppressLineNumbers w:val="0"/>
              <w:snapToGrid w:val="0"/>
              <w:spacing w:before="0" w:beforeAutospacing="0" w:after="0" w:afterAutospacing="0" w:line="320" w:lineRule="exact"/>
              <w:ind w:left="0" w:right="0"/>
              <w:jc w:val="center"/>
              <w:rPr>
                <w:rFonts w:hint="eastAsia" w:eastAsia="仿宋_GB2312"/>
                <w:color w:val="auto"/>
                <w:szCs w:val="21"/>
                <w:lang w:val="en-US" w:eastAsia="zh-CN"/>
              </w:rPr>
            </w:pPr>
            <w:r>
              <w:rPr>
                <w:rFonts w:hint="eastAsia" w:eastAsia="仿宋_GB2312"/>
                <w:b/>
                <w:bCs/>
                <w:color w:val="auto"/>
                <w:szCs w:val="21"/>
                <w:lang w:val="en-US" w:eastAsia="zh-CN"/>
              </w:rPr>
              <w:t>进水量（m</w:t>
            </w:r>
            <w:r>
              <w:rPr>
                <w:rFonts w:hint="eastAsia" w:eastAsia="仿宋_GB2312"/>
                <w:b/>
                <w:bCs/>
                <w:color w:val="auto"/>
                <w:szCs w:val="21"/>
                <w:vertAlign w:val="superscript"/>
                <w:lang w:val="en-US" w:eastAsia="zh-CN"/>
              </w:rPr>
              <w:t>3</w:t>
            </w:r>
            <w:r>
              <w:rPr>
                <w:rFonts w:hint="eastAsia" w:eastAsia="仿宋_GB2312"/>
                <w:b/>
                <w:bCs/>
                <w:color w:val="auto"/>
                <w:szCs w:val="21"/>
                <w:lang w:val="en-US" w:eastAsia="zh-CN"/>
              </w:rPr>
              <w:t>/a）</w:t>
            </w:r>
          </w:p>
        </w:tc>
        <w:tc>
          <w:tcPr>
            <w:tcW w:w="670" w:type="pct"/>
            <w:shd w:val="clear" w:color="auto" w:fill="auto"/>
            <w:vAlign w:val="center"/>
          </w:tcPr>
          <w:p w14:paraId="057F1BDB">
            <w:pPr>
              <w:keepNext w:val="0"/>
              <w:keepLines w:val="0"/>
              <w:suppressLineNumbers w:val="0"/>
              <w:spacing w:before="0" w:beforeAutospacing="0" w:after="0" w:afterAutospacing="0"/>
              <w:ind w:left="0" w:leftChars="0" w:right="0" w:rightChars="0"/>
              <w:jc w:val="center"/>
              <w:rPr>
                <w:rFonts w:hint="default" w:ascii="Times New Roman" w:hAnsi="Times New Roman" w:eastAsia="仿宋_GB2312" w:cs="Times New Roman"/>
                <w:b/>
                <w:color w:val="auto"/>
                <w:kern w:val="2"/>
                <w:sz w:val="21"/>
                <w:szCs w:val="21"/>
                <w:lang w:val="en-US" w:eastAsia="zh-CN" w:bidi="ar-SA"/>
              </w:rPr>
            </w:pPr>
            <w:r>
              <w:rPr>
                <w:rFonts w:hint="eastAsia" w:eastAsia="仿宋_GB2312"/>
                <w:b/>
                <w:color w:val="auto"/>
                <w:szCs w:val="21"/>
                <w:lang w:val="en-US" w:eastAsia="zh-CN"/>
              </w:rPr>
              <w:t>浓度</w:t>
            </w:r>
            <w:r>
              <w:rPr>
                <w:rFonts w:hint="default" w:eastAsia="仿宋_GB2312"/>
                <w:b/>
                <w:color w:val="auto"/>
                <w:szCs w:val="21"/>
              </w:rPr>
              <w:t>（mg/L）</w:t>
            </w:r>
          </w:p>
        </w:tc>
        <w:tc>
          <w:tcPr>
            <w:tcW w:w="593" w:type="pct"/>
            <w:shd w:val="clear" w:color="auto" w:fill="auto"/>
            <w:vAlign w:val="center"/>
          </w:tcPr>
          <w:p w14:paraId="0BDDB714">
            <w:pPr>
              <w:keepNext w:val="0"/>
              <w:keepLines w:val="0"/>
              <w:suppressLineNumbers w:val="0"/>
              <w:spacing w:before="0" w:beforeAutospacing="0" w:after="0" w:afterAutospacing="0"/>
              <w:ind w:left="0" w:leftChars="0" w:right="0" w:rightChars="0"/>
              <w:jc w:val="center"/>
              <w:rPr>
                <w:rFonts w:hint="default" w:ascii="Times New Roman" w:hAnsi="Times New Roman" w:eastAsia="仿宋_GB2312" w:cs="Times New Roman"/>
                <w:b/>
                <w:color w:val="auto"/>
                <w:kern w:val="2"/>
                <w:sz w:val="21"/>
                <w:szCs w:val="21"/>
                <w:lang w:val="en-US" w:eastAsia="zh-CN" w:bidi="ar-SA"/>
              </w:rPr>
            </w:pPr>
            <w:r>
              <w:rPr>
                <w:rFonts w:hint="eastAsia" w:eastAsia="仿宋_GB2312"/>
                <w:b/>
                <w:color w:val="auto"/>
                <w:szCs w:val="21"/>
                <w:lang w:val="en-US" w:eastAsia="zh-CN"/>
              </w:rPr>
              <w:t>产生量</w:t>
            </w:r>
            <w:r>
              <w:rPr>
                <w:rFonts w:hint="default" w:eastAsia="仿宋_GB2312"/>
                <w:b/>
                <w:color w:val="auto"/>
                <w:szCs w:val="21"/>
              </w:rPr>
              <w:t>（</w:t>
            </w:r>
            <w:r>
              <w:rPr>
                <w:rFonts w:hint="eastAsia" w:eastAsia="仿宋_GB2312"/>
                <w:b/>
                <w:color w:val="auto"/>
                <w:szCs w:val="21"/>
                <w:lang w:val="en-US" w:eastAsia="zh-CN"/>
              </w:rPr>
              <w:t>t/a</w:t>
            </w:r>
            <w:r>
              <w:rPr>
                <w:rFonts w:hint="default" w:eastAsia="仿宋_GB2312"/>
                <w:b/>
                <w:color w:val="auto"/>
                <w:szCs w:val="21"/>
              </w:rPr>
              <w:t>）</w:t>
            </w:r>
          </w:p>
        </w:tc>
        <w:tc>
          <w:tcPr>
            <w:tcW w:w="670" w:type="pct"/>
            <w:vMerge w:val="continue"/>
            <w:vAlign w:val="center"/>
          </w:tcPr>
          <w:p w14:paraId="5335B1E2">
            <w:pPr>
              <w:keepNext w:val="0"/>
              <w:keepLines w:val="0"/>
              <w:suppressLineNumbers w:val="0"/>
              <w:spacing w:before="0" w:beforeAutospacing="0" w:after="0" w:afterAutospacing="0"/>
              <w:ind w:left="0" w:right="0"/>
              <w:jc w:val="center"/>
              <w:rPr>
                <w:rFonts w:hint="default" w:eastAsia="仿宋_GB2312"/>
                <w:color w:val="auto"/>
                <w:szCs w:val="21"/>
              </w:rPr>
            </w:pPr>
          </w:p>
        </w:tc>
        <w:tc>
          <w:tcPr>
            <w:tcW w:w="636" w:type="pct"/>
            <w:shd w:val="clear" w:color="auto" w:fill="auto"/>
            <w:vAlign w:val="center"/>
          </w:tcPr>
          <w:p w14:paraId="1D9D8181">
            <w:pPr>
              <w:keepNext w:val="0"/>
              <w:keepLines w:val="0"/>
              <w:suppressLineNumbers w:val="0"/>
              <w:snapToGrid w:val="0"/>
              <w:spacing w:before="0" w:beforeAutospacing="0" w:after="0" w:afterAutospacing="0" w:line="320" w:lineRule="exact"/>
              <w:ind w:left="0" w:leftChars="0" w:right="0" w:rightChars="0"/>
              <w:jc w:val="center"/>
              <w:rPr>
                <w:rFonts w:hint="default" w:ascii="Times New Roman" w:hAnsi="Times New Roman" w:eastAsia="仿宋_GB2312" w:cs="Times New Roman"/>
                <w:color w:val="auto"/>
                <w:kern w:val="2"/>
                <w:sz w:val="21"/>
                <w:szCs w:val="21"/>
                <w:lang w:val="en-US" w:eastAsia="zh-CN" w:bidi="ar-SA"/>
              </w:rPr>
            </w:pPr>
            <w:r>
              <w:rPr>
                <w:rFonts w:hint="eastAsia" w:eastAsia="仿宋_GB2312"/>
                <w:b/>
                <w:bCs/>
                <w:color w:val="auto"/>
                <w:szCs w:val="21"/>
                <w:lang w:val="en-US" w:eastAsia="zh-CN"/>
              </w:rPr>
              <w:t>出水量（m</w:t>
            </w:r>
            <w:r>
              <w:rPr>
                <w:rFonts w:hint="eastAsia" w:eastAsia="仿宋_GB2312"/>
                <w:b/>
                <w:bCs/>
                <w:color w:val="auto"/>
                <w:szCs w:val="21"/>
                <w:vertAlign w:val="superscript"/>
                <w:lang w:val="en-US" w:eastAsia="zh-CN"/>
              </w:rPr>
              <w:t>3</w:t>
            </w:r>
            <w:r>
              <w:rPr>
                <w:rFonts w:hint="eastAsia" w:eastAsia="仿宋_GB2312"/>
                <w:b/>
                <w:bCs/>
                <w:color w:val="auto"/>
                <w:szCs w:val="21"/>
                <w:lang w:val="en-US" w:eastAsia="zh-CN"/>
              </w:rPr>
              <w:t>/a）</w:t>
            </w:r>
          </w:p>
        </w:tc>
        <w:tc>
          <w:tcPr>
            <w:tcW w:w="654" w:type="pct"/>
            <w:shd w:val="clear" w:color="auto" w:fill="auto"/>
            <w:vAlign w:val="center"/>
          </w:tcPr>
          <w:p w14:paraId="731790A0">
            <w:pPr>
              <w:keepNext w:val="0"/>
              <w:keepLines w:val="0"/>
              <w:suppressLineNumbers w:val="0"/>
              <w:spacing w:before="0" w:beforeAutospacing="0" w:after="0" w:afterAutospacing="0"/>
              <w:ind w:left="0" w:leftChars="0" w:right="0" w:rightChars="0"/>
              <w:jc w:val="center"/>
              <w:rPr>
                <w:rFonts w:hint="default" w:ascii="Times New Roman" w:hAnsi="Times New Roman" w:eastAsia="仿宋_GB2312" w:cs="Times New Roman"/>
                <w:b/>
                <w:color w:val="auto"/>
                <w:kern w:val="2"/>
                <w:sz w:val="21"/>
                <w:szCs w:val="21"/>
                <w:lang w:val="en-US" w:eastAsia="zh-CN" w:bidi="ar-SA"/>
              </w:rPr>
            </w:pPr>
            <w:r>
              <w:rPr>
                <w:rFonts w:hint="eastAsia" w:eastAsia="仿宋_GB2312"/>
                <w:b/>
                <w:color w:val="auto"/>
                <w:szCs w:val="21"/>
                <w:lang w:val="en-US" w:eastAsia="zh-CN"/>
              </w:rPr>
              <w:t>浓度</w:t>
            </w:r>
            <w:r>
              <w:rPr>
                <w:rFonts w:hint="default" w:eastAsia="仿宋_GB2312"/>
                <w:b/>
                <w:color w:val="auto"/>
                <w:szCs w:val="21"/>
              </w:rPr>
              <w:t>（mg/L）</w:t>
            </w:r>
          </w:p>
        </w:tc>
        <w:tc>
          <w:tcPr>
            <w:tcW w:w="551" w:type="pct"/>
            <w:shd w:val="clear" w:color="auto" w:fill="auto"/>
            <w:vAlign w:val="center"/>
          </w:tcPr>
          <w:p w14:paraId="656CAE78">
            <w:pPr>
              <w:keepNext w:val="0"/>
              <w:keepLines w:val="0"/>
              <w:suppressLineNumbers w:val="0"/>
              <w:spacing w:before="0" w:beforeAutospacing="0" w:after="0" w:afterAutospacing="0"/>
              <w:ind w:left="0" w:leftChars="0" w:right="0" w:rightChars="0"/>
              <w:jc w:val="center"/>
              <w:rPr>
                <w:rFonts w:hint="default" w:ascii="Times New Roman" w:hAnsi="Times New Roman" w:eastAsia="仿宋_GB2312" w:cs="Times New Roman"/>
                <w:b/>
                <w:color w:val="auto"/>
                <w:kern w:val="2"/>
                <w:sz w:val="21"/>
                <w:szCs w:val="21"/>
                <w:lang w:val="en-US" w:eastAsia="zh-CN" w:bidi="ar-SA"/>
              </w:rPr>
            </w:pPr>
            <w:r>
              <w:rPr>
                <w:rFonts w:hint="eastAsia" w:eastAsia="仿宋_GB2312"/>
                <w:b/>
                <w:color w:val="auto"/>
                <w:szCs w:val="21"/>
                <w:lang w:val="en-US" w:eastAsia="zh-CN"/>
              </w:rPr>
              <w:t>产生量</w:t>
            </w:r>
            <w:r>
              <w:rPr>
                <w:rFonts w:hint="default" w:eastAsia="仿宋_GB2312"/>
                <w:b/>
                <w:color w:val="auto"/>
                <w:szCs w:val="21"/>
              </w:rPr>
              <w:t>（</w:t>
            </w:r>
            <w:r>
              <w:rPr>
                <w:rFonts w:hint="eastAsia" w:eastAsia="仿宋_GB2312"/>
                <w:b/>
                <w:color w:val="auto"/>
                <w:szCs w:val="21"/>
                <w:lang w:val="en-US" w:eastAsia="zh-CN"/>
              </w:rPr>
              <w:t>t/a</w:t>
            </w:r>
            <w:r>
              <w:rPr>
                <w:rFonts w:hint="default" w:eastAsia="仿宋_GB2312"/>
                <w:b/>
                <w:color w:val="auto"/>
                <w:szCs w:val="21"/>
              </w:rPr>
              <w:t>）</w:t>
            </w:r>
          </w:p>
        </w:tc>
      </w:tr>
      <w:tr w14:paraId="677921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12" w:hRule="atLeast"/>
          <w:jc w:val="center"/>
        </w:trPr>
        <w:tc>
          <w:tcPr>
            <w:tcW w:w="583" w:type="pct"/>
            <w:shd w:val="clear" w:color="auto" w:fill="auto"/>
            <w:vAlign w:val="center"/>
          </w:tcPr>
          <w:p w14:paraId="5FD7CE3F">
            <w:pPr>
              <w:keepNext w:val="0"/>
              <w:keepLines w:val="0"/>
              <w:suppressLineNumbers w:val="0"/>
              <w:snapToGrid w:val="0"/>
              <w:spacing w:before="0" w:beforeAutospacing="0" w:after="0" w:afterAutospacing="0" w:line="320" w:lineRule="exact"/>
              <w:ind w:left="0" w:leftChars="0" w:right="0" w:rightChars="0"/>
              <w:jc w:val="center"/>
              <w:rPr>
                <w:rFonts w:hint="default" w:ascii="Times New Roman" w:hAnsi="Times New Roman" w:eastAsia="仿宋_GB2312" w:cs="Times New Roman"/>
                <w:color w:val="auto"/>
                <w:kern w:val="2"/>
                <w:sz w:val="21"/>
                <w:szCs w:val="21"/>
                <w:lang w:val="en-US" w:eastAsia="zh-CN" w:bidi="ar-SA"/>
              </w:rPr>
            </w:pPr>
            <w:r>
              <w:rPr>
                <w:rFonts w:hint="default" w:eastAsia="仿宋_GB2312"/>
                <w:color w:val="auto"/>
                <w:szCs w:val="21"/>
              </w:rPr>
              <w:t>COD</w:t>
            </w:r>
          </w:p>
        </w:tc>
        <w:tc>
          <w:tcPr>
            <w:tcW w:w="637" w:type="pct"/>
            <w:vMerge w:val="restart"/>
            <w:vAlign w:val="center"/>
          </w:tcPr>
          <w:p w14:paraId="217D6F92">
            <w:pPr>
              <w:keepNext w:val="0"/>
              <w:keepLines w:val="0"/>
              <w:suppressLineNumbers w:val="0"/>
              <w:snapToGrid w:val="0"/>
              <w:spacing w:before="0" w:beforeAutospacing="0" w:after="0" w:afterAutospacing="0" w:line="320" w:lineRule="exact"/>
              <w:ind w:left="0" w:right="0"/>
              <w:jc w:val="center"/>
              <w:rPr>
                <w:rFonts w:hint="default" w:eastAsia="仿宋_GB2312"/>
                <w:color w:val="auto"/>
                <w:szCs w:val="21"/>
                <w:lang w:val="en-US" w:eastAsia="zh-CN"/>
              </w:rPr>
            </w:pPr>
            <w:r>
              <w:rPr>
                <w:rFonts w:hint="eastAsia" w:eastAsia="仿宋_GB2312"/>
                <w:color w:val="auto"/>
                <w:szCs w:val="21"/>
                <w:lang w:val="en-US" w:eastAsia="zh-CN"/>
              </w:rPr>
              <w:t>2600</w:t>
            </w:r>
          </w:p>
        </w:tc>
        <w:tc>
          <w:tcPr>
            <w:tcW w:w="670" w:type="pct"/>
            <w:shd w:val="clear" w:color="auto" w:fill="auto"/>
            <w:vAlign w:val="center"/>
          </w:tcPr>
          <w:p w14:paraId="5888C398">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仿宋_GB2312" w:cs="Times New Roman"/>
                <w:color w:val="auto"/>
                <w:kern w:val="0"/>
                <w:sz w:val="21"/>
                <w:szCs w:val="21"/>
                <w:lang w:val="en-US" w:eastAsia="zh-CN" w:bidi="ar-SA"/>
              </w:rPr>
            </w:pPr>
            <w:r>
              <w:rPr>
                <w:rFonts w:hint="eastAsia" w:eastAsia="仿宋_GB2312"/>
                <w:color w:val="auto"/>
                <w:kern w:val="0"/>
                <w:szCs w:val="21"/>
                <w:lang w:val="en-US" w:eastAsia="zh-CN"/>
              </w:rPr>
              <w:t>80</w:t>
            </w:r>
          </w:p>
        </w:tc>
        <w:tc>
          <w:tcPr>
            <w:tcW w:w="593" w:type="pct"/>
            <w:shd w:val="clear" w:color="auto" w:fill="auto"/>
            <w:vAlign w:val="center"/>
          </w:tcPr>
          <w:p w14:paraId="0EF4C427">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仿宋_GB2312" w:cs="Times New Roman"/>
                <w:color w:val="auto"/>
                <w:kern w:val="0"/>
                <w:sz w:val="21"/>
                <w:szCs w:val="21"/>
                <w:lang w:val="en-US" w:eastAsia="zh-CN" w:bidi="ar-SA"/>
              </w:rPr>
            </w:pPr>
            <w:r>
              <w:rPr>
                <w:rFonts w:hint="default" w:eastAsia="仿宋_GB2312"/>
                <w:color w:val="auto"/>
                <w:kern w:val="0"/>
                <w:szCs w:val="21"/>
              </w:rPr>
              <w:t>0.</w:t>
            </w:r>
            <w:r>
              <w:rPr>
                <w:rFonts w:hint="eastAsia" w:eastAsia="仿宋_GB2312"/>
                <w:color w:val="auto"/>
                <w:kern w:val="0"/>
                <w:szCs w:val="21"/>
                <w:lang w:val="en-US" w:eastAsia="zh-CN"/>
              </w:rPr>
              <w:t>21</w:t>
            </w:r>
          </w:p>
        </w:tc>
        <w:tc>
          <w:tcPr>
            <w:tcW w:w="670" w:type="pct"/>
            <w:vMerge w:val="restart"/>
            <w:vAlign w:val="center"/>
          </w:tcPr>
          <w:p w14:paraId="0C7DC8E2">
            <w:pPr>
              <w:keepNext w:val="0"/>
              <w:keepLines w:val="0"/>
              <w:suppressLineNumbers w:val="0"/>
              <w:spacing w:before="0" w:beforeAutospacing="0" w:after="0" w:afterAutospacing="0"/>
              <w:ind w:left="0" w:right="0"/>
              <w:jc w:val="center"/>
              <w:rPr>
                <w:rFonts w:hint="default" w:eastAsia="仿宋_GB2312"/>
                <w:color w:val="auto"/>
                <w:szCs w:val="21"/>
                <w:lang w:val="en-US" w:eastAsia="zh-CN"/>
              </w:rPr>
            </w:pPr>
            <w:r>
              <w:rPr>
                <w:rFonts w:hint="eastAsia" w:eastAsia="仿宋_GB2312"/>
                <w:color w:val="auto"/>
                <w:szCs w:val="21"/>
                <w:lang w:val="en-US" w:eastAsia="zh-CN"/>
              </w:rPr>
              <w:t>1#污水站</w:t>
            </w:r>
          </w:p>
        </w:tc>
        <w:tc>
          <w:tcPr>
            <w:tcW w:w="636" w:type="pct"/>
            <w:vMerge w:val="restart"/>
            <w:vAlign w:val="center"/>
          </w:tcPr>
          <w:p w14:paraId="56497D11">
            <w:pPr>
              <w:keepNext w:val="0"/>
              <w:keepLines w:val="0"/>
              <w:suppressLineNumbers w:val="0"/>
              <w:spacing w:before="0" w:beforeAutospacing="0" w:after="0" w:afterAutospacing="0"/>
              <w:ind w:left="0" w:right="0"/>
              <w:jc w:val="center"/>
              <w:rPr>
                <w:rFonts w:hint="default" w:eastAsia="仿宋_GB2312"/>
                <w:color w:val="auto"/>
                <w:szCs w:val="21"/>
                <w:lang w:val="en-US" w:eastAsia="zh-CN"/>
              </w:rPr>
            </w:pPr>
            <w:r>
              <w:rPr>
                <w:rFonts w:hint="eastAsia" w:eastAsia="仿宋_GB2312"/>
                <w:color w:val="auto"/>
                <w:szCs w:val="21"/>
                <w:lang w:val="en-US" w:eastAsia="zh-CN"/>
              </w:rPr>
              <w:t>2600</w:t>
            </w:r>
          </w:p>
        </w:tc>
        <w:tc>
          <w:tcPr>
            <w:tcW w:w="654" w:type="pct"/>
            <w:vAlign w:val="center"/>
          </w:tcPr>
          <w:p w14:paraId="7B32DCA2">
            <w:pPr>
              <w:keepNext w:val="0"/>
              <w:keepLines w:val="0"/>
              <w:suppressLineNumbers w:val="0"/>
              <w:spacing w:before="0" w:beforeAutospacing="0" w:after="0" w:afterAutospacing="0"/>
              <w:ind w:left="0" w:right="0"/>
              <w:jc w:val="center"/>
              <w:rPr>
                <w:rFonts w:hint="default" w:eastAsia="仿宋_GB2312"/>
                <w:color w:val="auto"/>
                <w:szCs w:val="21"/>
              </w:rPr>
            </w:pPr>
            <w:r>
              <w:rPr>
                <w:rFonts w:hint="eastAsia" w:eastAsia="仿宋_GB2312"/>
                <w:color w:val="auto"/>
                <w:kern w:val="0"/>
                <w:szCs w:val="21"/>
                <w:lang w:val="en-US" w:eastAsia="zh-CN"/>
              </w:rPr>
              <w:t>80</w:t>
            </w:r>
          </w:p>
        </w:tc>
        <w:tc>
          <w:tcPr>
            <w:tcW w:w="551" w:type="pct"/>
            <w:shd w:val="clear" w:color="auto" w:fill="auto"/>
            <w:vAlign w:val="center"/>
          </w:tcPr>
          <w:p w14:paraId="1783157C">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仿宋_GB2312" w:cs="Times New Roman"/>
                <w:color w:val="auto"/>
                <w:kern w:val="0"/>
                <w:sz w:val="21"/>
                <w:szCs w:val="21"/>
                <w:lang w:val="en-US" w:eastAsia="zh-CN" w:bidi="ar-SA"/>
              </w:rPr>
            </w:pPr>
            <w:r>
              <w:rPr>
                <w:rFonts w:hint="default" w:eastAsia="仿宋_GB2312"/>
                <w:color w:val="auto"/>
                <w:kern w:val="0"/>
                <w:szCs w:val="21"/>
              </w:rPr>
              <w:t>0.</w:t>
            </w:r>
            <w:r>
              <w:rPr>
                <w:rFonts w:hint="eastAsia" w:eastAsia="仿宋_GB2312"/>
                <w:color w:val="auto"/>
                <w:kern w:val="0"/>
                <w:szCs w:val="21"/>
                <w:lang w:val="en-US" w:eastAsia="zh-CN"/>
              </w:rPr>
              <w:t>21</w:t>
            </w:r>
          </w:p>
        </w:tc>
      </w:tr>
      <w:tr w14:paraId="51317B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12" w:hRule="atLeast"/>
          <w:jc w:val="center"/>
        </w:trPr>
        <w:tc>
          <w:tcPr>
            <w:tcW w:w="583" w:type="pct"/>
            <w:shd w:val="clear" w:color="auto" w:fill="auto"/>
            <w:vAlign w:val="center"/>
          </w:tcPr>
          <w:p w14:paraId="6E820209">
            <w:pPr>
              <w:keepNext w:val="0"/>
              <w:keepLines w:val="0"/>
              <w:suppressLineNumbers w:val="0"/>
              <w:snapToGrid w:val="0"/>
              <w:spacing w:before="0" w:beforeAutospacing="0" w:after="0" w:afterAutospacing="0" w:line="320" w:lineRule="exact"/>
              <w:ind w:left="0" w:leftChars="0" w:right="0" w:rightChars="0"/>
              <w:jc w:val="center"/>
              <w:rPr>
                <w:rFonts w:hint="default" w:ascii="Times New Roman" w:hAnsi="Times New Roman" w:eastAsia="仿宋_GB2312" w:cs="Times New Roman"/>
                <w:color w:val="auto"/>
                <w:kern w:val="2"/>
                <w:sz w:val="21"/>
                <w:szCs w:val="21"/>
                <w:lang w:val="en-US" w:eastAsia="zh-CN" w:bidi="ar-SA"/>
              </w:rPr>
            </w:pPr>
            <w:r>
              <w:rPr>
                <w:rFonts w:hint="default" w:eastAsia="仿宋_GB2312"/>
                <w:color w:val="auto"/>
                <w:szCs w:val="21"/>
              </w:rPr>
              <w:t>SS</w:t>
            </w:r>
          </w:p>
        </w:tc>
        <w:tc>
          <w:tcPr>
            <w:tcW w:w="637" w:type="pct"/>
            <w:vMerge w:val="continue"/>
            <w:vAlign w:val="center"/>
          </w:tcPr>
          <w:p w14:paraId="3159EAF2">
            <w:pPr>
              <w:keepNext w:val="0"/>
              <w:keepLines w:val="0"/>
              <w:suppressLineNumbers w:val="0"/>
              <w:snapToGrid w:val="0"/>
              <w:spacing w:before="0" w:beforeAutospacing="0" w:after="0" w:afterAutospacing="0" w:line="320" w:lineRule="exact"/>
              <w:ind w:left="0" w:right="0"/>
              <w:jc w:val="center"/>
              <w:rPr>
                <w:rFonts w:hint="default" w:eastAsia="仿宋_GB2312"/>
                <w:color w:val="auto"/>
                <w:szCs w:val="21"/>
              </w:rPr>
            </w:pPr>
          </w:p>
        </w:tc>
        <w:tc>
          <w:tcPr>
            <w:tcW w:w="670" w:type="pct"/>
            <w:shd w:val="clear" w:color="auto" w:fill="auto"/>
            <w:vAlign w:val="center"/>
          </w:tcPr>
          <w:p w14:paraId="4AA7E680">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仿宋_GB2312" w:cs="Times New Roman"/>
                <w:color w:val="auto"/>
                <w:kern w:val="0"/>
                <w:sz w:val="21"/>
                <w:szCs w:val="21"/>
                <w:lang w:val="en-US" w:eastAsia="zh-CN" w:bidi="ar-SA"/>
              </w:rPr>
            </w:pPr>
            <w:r>
              <w:rPr>
                <w:rFonts w:hint="eastAsia" w:eastAsia="仿宋_GB2312"/>
                <w:color w:val="auto"/>
                <w:kern w:val="0"/>
                <w:szCs w:val="21"/>
                <w:lang w:val="en-US" w:eastAsia="zh-CN"/>
              </w:rPr>
              <w:t>100</w:t>
            </w:r>
          </w:p>
        </w:tc>
        <w:tc>
          <w:tcPr>
            <w:tcW w:w="593" w:type="pct"/>
            <w:shd w:val="clear" w:color="auto" w:fill="auto"/>
            <w:vAlign w:val="center"/>
          </w:tcPr>
          <w:p w14:paraId="4E2893D9">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仿宋_GB2312" w:cs="Times New Roman"/>
                <w:color w:val="auto"/>
                <w:kern w:val="0"/>
                <w:sz w:val="21"/>
                <w:szCs w:val="21"/>
                <w:lang w:val="en-US" w:eastAsia="zh-CN" w:bidi="ar-SA"/>
              </w:rPr>
            </w:pPr>
            <w:r>
              <w:rPr>
                <w:rFonts w:hint="default" w:eastAsia="仿宋_GB2312"/>
                <w:color w:val="auto"/>
                <w:kern w:val="0"/>
                <w:szCs w:val="21"/>
              </w:rPr>
              <w:t>0.</w:t>
            </w:r>
            <w:r>
              <w:rPr>
                <w:rFonts w:hint="eastAsia" w:eastAsia="仿宋_GB2312"/>
                <w:color w:val="auto"/>
                <w:kern w:val="0"/>
                <w:szCs w:val="21"/>
                <w:lang w:val="en-US" w:eastAsia="zh-CN"/>
              </w:rPr>
              <w:t>26</w:t>
            </w:r>
          </w:p>
        </w:tc>
        <w:tc>
          <w:tcPr>
            <w:tcW w:w="670" w:type="pct"/>
            <w:vMerge w:val="continue"/>
            <w:vAlign w:val="center"/>
          </w:tcPr>
          <w:p w14:paraId="2E97719E">
            <w:pPr>
              <w:keepNext w:val="0"/>
              <w:keepLines w:val="0"/>
              <w:suppressLineNumbers w:val="0"/>
              <w:spacing w:before="0" w:beforeAutospacing="0" w:after="0" w:afterAutospacing="0"/>
              <w:ind w:left="0" w:right="0"/>
              <w:jc w:val="center"/>
              <w:rPr>
                <w:rFonts w:hint="default" w:eastAsia="仿宋_GB2312"/>
                <w:color w:val="FF0000"/>
                <w:szCs w:val="21"/>
              </w:rPr>
            </w:pPr>
          </w:p>
        </w:tc>
        <w:tc>
          <w:tcPr>
            <w:tcW w:w="636" w:type="pct"/>
            <w:vMerge w:val="continue"/>
            <w:vAlign w:val="center"/>
          </w:tcPr>
          <w:p w14:paraId="60231CAD">
            <w:pPr>
              <w:keepNext w:val="0"/>
              <w:keepLines w:val="0"/>
              <w:suppressLineNumbers w:val="0"/>
              <w:spacing w:before="0" w:beforeAutospacing="0" w:after="0" w:afterAutospacing="0"/>
              <w:ind w:left="0" w:right="0"/>
              <w:jc w:val="center"/>
              <w:rPr>
                <w:rFonts w:hint="default" w:eastAsia="仿宋_GB2312"/>
                <w:color w:val="auto"/>
                <w:szCs w:val="21"/>
              </w:rPr>
            </w:pPr>
          </w:p>
        </w:tc>
        <w:tc>
          <w:tcPr>
            <w:tcW w:w="654" w:type="pct"/>
            <w:vAlign w:val="center"/>
          </w:tcPr>
          <w:p w14:paraId="06D3AC89">
            <w:pPr>
              <w:keepNext w:val="0"/>
              <w:keepLines w:val="0"/>
              <w:suppressLineNumbers w:val="0"/>
              <w:spacing w:before="0" w:beforeAutospacing="0" w:after="0" w:afterAutospacing="0"/>
              <w:ind w:left="0" w:right="0"/>
              <w:jc w:val="center"/>
              <w:rPr>
                <w:rFonts w:hint="default" w:eastAsia="仿宋_GB2312"/>
                <w:color w:val="auto"/>
                <w:szCs w:val="21"/>
                <w:lang w:val="en-US" w:eastAsia="zh-CN"/>
              </w:rPr>
            </w:pPr>
            <w:r>
              <w:rPr>
                <w:rFonts w:hint="eastAsia" w:eastAsia="仿宋_GB2312"/>
                <w:color w:val="auto"/>
                <w:szCs w:val="21"/>
                <w:lang w:val="en-US" w:eastAsia="zh-CN"/>
              </w:rPr>
              <w:t>10.3</w:t>
            </w:r>
          </w:p>
        </w:tc>
        <w:tc>
          <w:tcPr>
            <w:tcW w:w="551" w:type="pct"/>
            <w:shd w:val="clear" w:color="auto" w:fill="auto"/>
            <w:vAlign w:val="center"/>
          </w:tcPr>
          <w:p w14:paraId="63F82E2C">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仿宋_GB2312" w:cs="Times New Roman"/>
                <w:color w:val="auto"/>
                <w:kern w:val="0"/>
                <w:sz w:val="21"/>
                <w:szCs w:val="21"/>
                <w:lang w:val="en-US" w:eastAsia="zh-CN" w:bidi="ar-SA"/>
              </w:rPr>
            </w:pPr>
            <w:r>
              <w:rPr>
                <w:rFonts w:hint="default" w:eastAsia="仿宋_GB2312"/>
                <w:color w:val="auto"/>
                <w:kern w:val="0"/>
                <w:szCs w:val="21"/>
              </w:rPr>
              <w:t>0.</w:t>
            </w:r>
            <w:r>
              <w:rPr>
                <w:rFonts w:hint="eastAsia" w:eastAsia="仿宋_GB2312"/>
                <w:color w:val="auto"/>
                <w:kern w:val="0"/>
                <w:szCs w:val="21"/>
                <w:lang w:val="en-US" w:eastAsia="zh-CN"/>
              </w:rPr>
              <w:t>026</w:t>
            </w:r>
          </w:p>
        </w:tc>
      </w:tr>
    </w:tbl>
    <w:p w14:paraId="17E1405E">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both"/>
        <w:textAlignment w:val="auto"/>
        <w:rPr>
          <w:rFonts w:hint="default" w:ascii="Times New Roman" w:hAnsi="Times New Roman" w:eastAsia="仿宋_GB2312" w:cs="Times New Roman"/>
          <w:b w:val="0"/>
          <w:bCs/>
          <w:color w:val="auto"/>
          <w:kern w:val="2"/>
          <w:sz w:val="21"/>
          <w:szCs w:val="21"/>
          <w:lang w:val="en-US" w:eastAsia="zh-CN" w:bidi="ar-SA"/>
        </w:rPr>
      </w:pPr>
      <w:r>
        <w:rPr>
          <w:rFonts w:hint="eastAsia" w:ascii="Times New Roman" w:hAnsi="Times New Roman" w:eastAsia="仿宋_GB2312" w:cs="Times New Roman"/>
          <w:b w:val="0"/>
          <w:bCs/>
          <w:color w:val="auto"/>
          <w:kern w:val="2"/>
          <w:sz w:val="21"/>
          <w:szCs w:val="21"/>
          <w:lang w:val="en-US" w:eastAsia="zh-CN" w:bidi="ar-SA"/>
        </w:rPr>
        <w:t>备注：1#污水站出水浓度参照企业日常监测数据，因COD出水浓度一般高于80mg/L，因此，不考虑污水站对其去除效率。</w:t>
      </w:r>
    </w:p>
    <w:p w14:paraId="52A2F91F">
      <w:pPr>
        <w:spacing w:line="500" w:lineRule="exact"/>
        <w:jc w:val="center"/>
        <w:rPr>
          <w:rFonts w:eastAsia="仿宋_GB2312"/>
          <w:b/>
          <w:color w:val="FF0000"/>
          <w:sz w:val="24"/>
        </w:rPr>
      </w:pPr>
    </w:p>
    <w:p w14:paraId="513C0C3A">
      <w:pPr>
        <w:pStyle w:val="162"/>
        <w:ind w:firstLine="560"/>
        <w:jc w:val="both"/>
        <w:rPr>
          <w:rFonts w:ascii="Times New Roman"/>
          <w:b w:val="0"/>
          <w:color w:val="FF0000"/>
          <w:sz w:val="28"/>
          <w:szCs w:val="28"/>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linePitch="312" w:charSpace="0"/>
        </w:sectPr>
      </w:pPr>
    </w:p>
    <w:p w14:paraId="07ADF17A">
      <w:pPr>
        <w:pStyle w:val="6"/>
        <w:keepLines w:val="0"/>
        <w:tabs>
          <w:tab w:val="left" w:pos="709"/>
        </w:tabs>
        <w:spacing w:before="120" w:beforeLines="50" w:after="120" w:afterLines="50" w:line="400" w:lineRule="exact"/>
        <w:rPr>
          <w:rFonts w:eastAsia="仿宋_GB2312"/>
          <w:color w:val="auto"/>
          <w:sz w:val="30"/>
          <w:szCs w:val="30"/>
        </w:rPr>
      </w:pPr>
      <w:bookmarkStart w:id="64" w:name="_Toc9787"/>
      <w:r>
        <w:rPr>
          <w:rFonts w:eastAsia="仿宋_GB2312"/>
          <w:color w:val="auto"/>
          <w:sz w:val="30"/>
          <w:szCs w:val="30"/>
        </w:rPr>
        <w:t>3.9.3固废污染物源强及处置情况</w:t>
      </w:r>
      <w:bookmarkEnd w:id="64"/>
    </w:p>
    <w:p w14:paraId="37159815">
      <w:pPr>
        <w:spacing w:line="500" w:lineRule="exact"/>
        <w:ind w:firstLine="560" w:firstLineChars="200"/>
        <w:rPr>
          <w:rFonts w:eastAsia="仿宋_GB2312"/>
          <w:color w:val="auto"/>
          <w:sz w:val="28"/>
          <w:szCs w:val="28"/>
        </w:rPr>
      </w:pPr>
      <w:r>
        <w:rPr>
          <w:rFonts w:eastAsia="仿宋_GB2312"/>
          <w:color w:val="auto"/>
          <w:sz w:val="28"/>
          <w:szCs w:val="28"/>
        </w:rPr>
        <w:t>本项目固废产生及排放情况见表3.9-</w:t>
      </w:r>
      <w:r>
        <w:rPr>
          <w:rFonts w:hint="eastAsia" w:eastAsia="仿宋_GB2312"/>
          <w:color w:val="auto"/>
          <w:sz w:val="28"/>
          <w:szCs w:val="28"/>
          <w:lang w:val="en-US" w:eastAsia="zh-CN"/>
        </w:rPr>
        <w:t>11</w:t>
      </w:r>
      <w:r>
        <w:rPr>
          <w:rFonts w:eastAsia="仿宋_GB2312"/>
          <w:color w:val="auto"/>
          <w:sz w:val="28"/>
          <w:szCs w:val="28"/>
        </w:rPr>
        <w:t>。</w:t>
      </w:r>
    </w:p>
    <w:p w14:paraId="52783166">
      <w:pPr>
        <w:spacing w:line="500" w:lineRule="exact"/>
        <w:jc w:val="center"/>
        <w:rPr>
          <w:rFonts w:eastAsia="仿宋_GB2312"/>
          <w:b/>
          <w:color w:val="auto"/>
          <w:sz w:val="24"/>
        </w:rPr>
      </w:pPr>
      <w:r>
        <w:rPr>
          <w:rFonts w:eastAsia="仿宋_GB2312"/>
          <w:b/>
          <w:color w:val="auto"/>
          <w:sz w:val="24"/>
        </w:rPr>
        <w:t>表3.9-</w:t>
      </w:r>
      <w:r>
        <w:rPr>
          <w:rFonts w:hint="eastAsia" w:eastAsia="仿宋_GB2312"/>
          <w:b/>
          <w:color w:val="auto"/>
          <w:sz w:val="24"/>
          <w:lang w:val="en-US" w:eastAsia="zh-CN"/>
        </w:rPr>
        <w:t>11</w:t>
      </w:r>
      <w:r>
        <w:rPr>
          <w:rFonts w:eastAsia="仿宋_GB2312"/>
          <w:b/>
          <w:color w:val="auto"/>
          <w:sz w:val="24"/>
        </w:rPr>
        <w:t xml:space="preserve">  本项目固废产生及处置情况</w:t>
      </w:r>
    </w:p>
    <w:tbl>
      <w:tblPr>
        <w:tblStyle w:val="882"/>
        <w:tblW w:w="508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165"/>
        <w:gridCol w:w="916"/>
        <w:gridCol w:w="1153"/>
        <w:gridCol w:w="1659"/>
        <w:gridCol w:w="916"/>
        <w:gridCol w:w="929"/>
        <w:gridCol w:w="2126"/>
        <w:gridCol w:w="1842"/>
        <w:gridCol w:w="775"/>
        <w:gridCol w:w="848"/>
        <w:gridCol w:w="1178"/>
      </w:tblGrid>
      <w:tr w14:paraId="2D4047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40" w:hRule="atLeast"/>
          <w:jc w:val="center"/>
        </w:trPr>
        <w:tc>
          <w:tcPr>
            <w:tcW w:w="431" w:type="pct"/>
            <w:vAlign w:val="center"/>
          </w:tcPr>
          <w:p w14:paraId="680BF2BD">
            <w:pPr>
              <w:pStyle w:val="487"/>
              <w:adjustRightInd w:val="0"/>
              <w:snapToGrid w:val="0"/>
              <w:spacing w:line="320" w:lineRule="exact"/>
              <w:jc w:val="center"/>
              <w:rPr>
                <w:rFonts w:ascii="Times New Roman" w:hAnsi="Times New Roman" w:cs="Times New Roman"/>
                <w:b/>
                <w:color w:val="auto"/>
              </w:rPr>
            </w:pPr>
            <w:r>
              <w:rPr>
                <w:rFonts w:ascii="Times New Roman" w:hAnsi="Times New Roman" w:cs="Times New Roman"/>
                <w:b/>
                <w:color w:val="auto"/>
              </w:rPr>
              <w:t>固废名称</w:t>
            </w:r>
          </w:p>
        </w:tc>
        <w:tc>
          <w:tcPr>
            <w:tcW w:w="339" w:type="pct"/>
            <w:vAlign w:val="center"/>
          </w:tcPr>
          <w:p w14:paraId="2D6C30F3">
            <w:pPr>
              <w:pStyle w:val="487"/>
              <w:adjustRightInd w:val="0"/>
              <w:snapToGrid w:val="0"/>
              <w:spacing w:line="320" w:lineRule="exact"/>
              <w:jc w:val="center"/>
              <w:rPr>
                <w:rFonts w:ascii="Times New Roman" w:hAnsi="Times New Roman" w:cs="Times New Roman"/>
                <w:b/>
                <w:color w:val="auto"/>
              </w:rPr>
            </w:pPr>
            <w:r>
              <w:rPr>
                <w:rFonts w:ascii="Times New Roman" w:hAnsi="Times New Roman" w:cs="Times New Roman"/>
                <w:b/>
                <w:color w:val="auto"/>
              </w:rPr>
              <w:t>固废类别</w:t>
            </w:r>
          </w:p>
        </w:tc>
        <w:tc>
          <w:tcPr>
            <w:tcW w:w="426" w:type="pct"/>
            <w:vAlign w:val="center"/>
          </w:tcPr>
          <w:p w14:paraId="2A9EB085">
            <w:pPr>
              <w:pStyle w:val="487"/>
              <w:adjustRightInd w:val="0"/>
              <w:snapToGrid w:val="0"/>
              <w:spacing w:line="320" w:lineRule="exact"/>
              <w:jc w:val="center"/>
              <w:rPr>
                <w:rFonts w:ascii="Times New Roman" w:hAnsi="Times New Roman" w:cs="Times New Roman"/>
                <w:b/>
                <w:color w:val="auto"/>
              </w:rPr>
            </w:pPr>
            <w:r>
              <w:rPr>
                <w:rFonts w:ascii="Times New Roman" w:hAnsi="Times New Roman" w:cs="Times New Roman"/>
                <w:b/>
                <w:color w:val="auto"/>
              </w:rPr>
              <w:t>固废代码</w:t>
            </w:r>
          </w:p>
        </w:tc>
        <w:tc>
          <w:tcPr>
            <w:tcW w:w="614" w:type="pct"/>
            <w:vAlign w:val="center"/>
          </w:tcPr>
          <w:p w14:paraId="24E6BAC8">
            <w:pPr>
              <w:pStyle w:val="487"/>
              <w:adjustRightInd w:val="0"/>
              <w:snapToGrid w:val="0"/>
              <w:spacing w:line="320" w:lineRule="exact"/>
              <w:jc w:val="center"/>
              <w:rPr>
                <w:rFonts w:ascii="Times New Roman" w:hAnsi="Times New Roman" w:cs="Times New Roman"/>
                <w:b/>
                <w:color w:val="auto"/>
              </w:rPr>
            </w:pPr>
            <w:r>
              <w:rPr>
                <w:rFonts w:ascii="Times New Roman" w:hAnsi="Times New Roman" w:cs="Times New Roman"/>
                <w:b/>
                <w:color w:val="auto"/>
              </w:rPr>
              <w:t>产生量</w:t>
            </w:r>
          </w:p>
          <w:p w14:paraId="429843AD">
            <w:pPr>
              <w:pStyle w:val="487"/>
              <w:adjustRightInd w:val="0"/>
              <w:snapToGrid w:val="0"/>
              <w:spacing w:line="320" w:lineRule="exact"/>
              <w:jc w:val="center"/>
              <w:rPr>
                <w:rFonts w:ascii="Times New Roman" w:hAnsi="Times New Roman" w:cs="Times New Roman"/>
                <w:b/>
                <w:color w:val="auto"/>
              </w:rPr>
            </w:pPr>
            <w:r>
              <w:rPr>
                <w:rFonts w:ascii="Times New Roman" w:hAnsi="Times New Roman" w:cs="Times New Roman"/>
                <w:b/>
                <w:color w:val="auto"/>
              </w:rPr>
              <w:t>(t/a)</w:t>
            </w:r>
          </w:p>
        </w:tc>
        <w:tc>
          <w:tcPr>
            <w:tcW w:w="339" w:type="pct"/>
            <w:vAlign w:val="center"/>
          </w:tcPr>
          <w:p w14:paraId="66692674">
            <w:pPr>
              <w:pStyle w:val="487"/>
              <w:adjustRightInd w:val="0"/>
              <w:snapToGrid w:val="0"/>
              <w:spacing w:line="320" w:lineRule="exact"/>
              <w:jc w:val="center"/>
              <w:rPr>
                <w:rFonts w:ascii="Times New Roman" w:hAnsi="Times New Roman" w:cs="Times New Roman"/>
                <w:b/>
                <w:color w:val="auto"/>
              </w:rPr>
            </w:pPr>
            <w:r>
              <w:rPr>
                <w:rFonts w:ascii="Times New Roman" w:hAnsi="Times New Roman" w:cs="Times New Roman"/>
                <w:b/>
                <w:color w:val="auto"/>
              </w:rPr>
              <w:t>产生工序</w:t>
            </w:r>
          </w:p>
        </w:tc>
        <w:tc>
          <w:tcPr>
            <w:tcW w:w="343" w:type="pct"/>
            <w:vAlign w:val="center"/>
          </w:tcPr>
          <w:p w14:paraId="2BAB2022">
            <w:pPr>
              <w:pStyle w:val="487"/>
              <w:adjustRightInd w:val="0"/>
              <w:snapToGrid w:val="0"/>
              <w:spacing w:line="320" w:lineRule="exact"/>
              <w:jc w:val="center"/>
              <w:rPr>
                <w:rFonts w:ascii="Times New Roman" w:hAnsi="Times New Roman" w:cs="Times New Roman"/>
                <w:b/>
                <w:color w:val="auto"/>
              </w:rPr>
            </w:pPr>
            <w:r>
              <w:rPr>
                <w:rFonts w:ascii="Times New Roman" w:hAnsi="Times New Roman" w:cs="Times New Roman"/>
                <w:b/>
                <w:color w:val="auto"/>
              </w:rPr>
              <w:t>形态</w:t>
            </w:r>
          </w:p>
        </w:tc>
        <w:tc>
          <w:tcPr>
            <w:tcW w:w="786" w:type="pct"/>
            <w:vAlign w:val="center"/>
          </w:tcPr>
          <w:p w14:paraId="55C63145">
            <w:pPr>
              <w:pStyle w:val="487"/>
              <w:adjustRightInd w:val="0"/>
              <w:snapToGrid w:val="0"/>
              <w:spacing w:line="320" w:lineRule="exact"/>
              <w:jc w:val="center"/>
              <w:rPr>
                <w:rFonts w:ascii="Times New Roman" w:hAnsi="Times New Roman" w:cs="Times New Roman"/>
                <w:b/>
                <w:color w:val="auto"/>
              </w:rPr>
            </w:pPr>
            <w:r>
              <w:rPr>
                <w:rFonts w:ascii="Times New Roman" w:hAnsi="Times New Roman" w:cs="Times New Roman"/>
                <w:b/>
                <w:color w:val="auto"/>
              </w:rPr>
              <w:t>主要成分</w:t>
            </w:r>
          </w:p>
        </w:tc>
        <w:tc>
          <w:tcPr>
            <w:tcW w:w="681" w:type="pct"/>
            <w:vAlign w:val="center"/>
          </w:tcPr>
          <w:p w14:paraId="2F5CF7EA">
            <w:pPr>
              <w:pStyle w:val="487"/>
              <w:adjustRightInd w:val="0"/>
              <w:snapToGrid w:val="0"/>
              <w:spacing w:line="320" w:lineRule="exact"/>
              <w:jc w:val="center"/>
              <w:rPr>
                <w:rFonts w:ascii="Times New Roman" w:hAnsi="Times New Roman" w:cs="Times New Roman"/>
                <w:b/>
                <w:color w:val="auto"/>
              </w:rPr>
            </w:pPr>
            <w:r>
              <w:rPr>
                <w:rFonts w:ascii="Times New Roman" w:hAnsi="Times New Roman" w:cs="Times New Roman"/>
                <w:b/>
                <w:color w:val="auto"/>
              </w:rPr>
              <w:t>有害成分</w:t>
            </w:r>
          </w:p>
        </w:tc>
        <w:tc>
          <w:tcPr>
            <w:tcW w:w="286" w:type="pct"/>
            <w:vAlign w:val="center"/>
          </w:tcPr>
          <w:p w14:paraId="1C9F894D">
            <w:pPr>
              <w:pStyle w:val="487"/>
              <w:adjustRightInd w:val="0"/>
              <w:snapToGrid w:val="0"/>
              <w:spacing w:line="320" w:lineRule="exact"/>
              <w:jc w:val="center"/>
              <w:rPr>
                <w:rFonts w:ascii="Times New Roman" w:hAnsi="Times New Roman" w:cs="Times New Roman"/>
                <w:b/>
                <w:color w:val="auto"/>
              </w:rPr>
            </w:pPr>
            <w:r>
              <w:rPr>
                <w:rFonts w:ascii="Times New Roman" w:hAnsi="Times New Roman" w:cs="Times New Roman"/>
                <w:b/>
                <w:color w:val="auto"/>
              </w:rPr>
              <w:t>产废</w:t>
            </w:r>
          </w:p>
          <w:p w14:paraId="2F6318C7">
            <w:pPr>
              <w:pStyle w:val="487"/>
              <w:adjustRightInd w:val="0"/>
              <w:snapToGrid w:val="0"/>
              <w:spacing w:line="320" w:lineRule="exact"/>
              <w:jc w:val="center"/>
              <w:rPr>
                <w:rFonts w:ascii="Times New Roman" w:hAnsi="Times New Roman" w:cs="Times New Roman"/>
                <w:b/>
                <w:color w:val="auto"/>
              </w:rPr>
            </w:pPr>
            <w:r>
              <w:rPr>
                <w:rFonts w:ascii="Times New Roman" w:hAnsi="Times New Roman" w:cs="Times New Roman"/>
                <w:b/>
                <w:color w:val="auto"/>
              </w:rPr>
              <w:t>周期</w:t>
            </w:r>
          </w:p>
        </w:tc>
        <w:tc>
          <w:tcPr>
            <w:tcW w:w="313" w:type="pct"/>
            <w:vAlign w:val="center"/>
          </w:tcPr>
          <w:p w14:paraId="07BA60EA">
            <w:pPr>
              <w:pStyle w:val="487"/>
              <w:adjustRightInd w:val="0"/>
              <w:snapToGrid w:val="0"/>
              <w:spacing w:line="320" w:lineRule="exact"/>
              <w:jc w:val="center"/>
              <w:rPr>
                <w:rFonts w:ascii="Times New Roman" w:hAnsi="Times New Roman" w:cs="Times New Roman"/>
                <w:b/>
                <w:color w:val="auto"/>
              </w:rPr>
            </w:pPr>
            <w:r>
              <w:rPr>
                <w:rFonts w:ascii="Times New Roman" w:hAnsi="Times New Roman" w:cs="Times New Roman"/>
                <w:b/>
                <w:color w:val="auto"/>
              </w:rPr>
              <w:t>危险</w:t>
            </w:r>
          </w:p>
          <w:p w14:paraId="1424A396">
            <w:pPr>
              <w:pStyle w:val="487"/>
              <w:adjustRightInd w:val="0"/>
              <w:snapToGrid w:val="0"/>
              <w:spacing w:line="320" w:lineRule="exact"/>
              <w:jc w:val="center"/>
              <w:rPr>
                <w:rFonts w:ascii="Times New Roman" w:hAnsi="Times New Roman" w:cs="Times New Roman"/>
                <w:b/>
                <w:color w:val="auto"/>
              </w:rPr>
            </w:pPr>
            <w:r>
              <w:rPr>
                <w:rFonts w:ascii="Times New Roman" w:hAnsi="Times New Roman" w:cs="Times New Roman"/>
                <w:b/>
                <w:color w:val="auto"/>
              </w:rPr>
              <w:t>特性</w:t>
            </w:r>
          </w:p>
        </w:tc>
        <w:tc>
          <w:tcPr>
            <w:tcW w:w="436" w:type="pct"/>
            <w:vAlign w:val="center"/>
          </w:tcPr>
          <w:p w14:paraId="5CA47C45">
            <w:pPr>
              <w:pStyle w:val="487"/>
              <w:adjustRightInd w:val="0"/>
              <w:snapToGrid w:val="0"/>
              <w:spacing w:line="320" w:lineRule="exact"/>
              <w:jc w:val="center"/>
              <w:rPr>
                <w:rFonts w:ascii="Times New Roman" w:hAnsi="Times New Roman" w:cs="Times New Roman"/>
                <w:b/>
                <w:color w:val="auto"/>
              </w:rPr>
            </w:pPr>
            <w:r>
              <w:rPr>
                <w:rFonts w:ascii="Times New Roman" w:hAnsi="Times New Roman" w:cs="Times New Roman"/>
                <w:b/>
                <w:color w:val="auto"/>
              </w:rPr>
              <w:t>污染防治措施</w:t>
            </w:r>
          </w:p>
        </w:tc>
      </w:tr>
      <w:tr w14:paraId="2AD195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40" w:hRule="atLeast"/>
          <w:jc w:val="center"/>
        </w:trPr>
        <w:tc>
          <w:tcPr>
            <w:tcW w:w="431" w:type="pct"/>
            <w:vAlign w:val="center"/>
          </w:tcPr>
          <w:p w14:paraId="16058F97">
            <w:pPr>
              <w:widowControl/>
              <w:spacing w:line="300" w:lineRule="exact"/>
              <w:jc w:val="center"/>
              <w:rPr>
                <w:rFonts w:eastAsia="仿宋_GB2312"/>
                <w:color w:val="auto"/>
                <w:kern w:val="0"/>
                <w:szCs w:val="21"/>
              </w:rPr>
            </w:pPr>
            <w:r>
              <w:rPr>
                <w:rFonts w:eastAsia="仿宋_GB2312"/>
                <w:color w:val="auto"/>
                <w:kern w:val="0"/>
                <w:szCs w:val="21"/>
              </w:rPr>
              <w:t>过滤残渣</w:t>
            </w:r>
          </w:p>
        </w:tc>
        <w:tc>
          <w:tcPr>
            <w:tcW w:w="339" w:type="pct"/>
            <w:vAlign w:val="center"/>
          </w:tcPr>
          <w:p w14:paraId="6E626380">
            <w:pPr>
              <w:widowControl/>
              <w:spacing w:line="300" w:lineRule="exact"/>
              <w:jc w:val="center"/>
              <w:rPr>
                <w:rFonts w:eastAsia="仿宋_GB2312"/>
                <w:color w:val="auto"/>
                <w:kern w:val="0"/>
                <w:szCs w:val="21"/>
              </w:rPr>
            </w:pPr>
            <w:r>
              <w:rPr>
                <w:rFonts w:eastAsia="仿宋_GB2312"/>
                <w:color w:val="auto"/>
                <w:kern w:val="0"/>
                <w:szCs w:val="21"/>
              </w:rPr>
              <w:t>HW06</w:t>
            </w:r>
          </w:p>
        </w:tc>
        <w:tc>
          <w:tcPr>
            <w:tcW w:w="426" w:type="pct"/>
            <w:vAlign w:val="center"/>
          </w:tcPr>
          <w:p w14:paraId="4F9028EC">
            <w:pPr>
              <w:widowControl/>
              <w:spacing w:line="300" w:lineRule="exact"/>
              <w:jc w:val="center"/>
              <w:rPr>
                <w:rFonts w:eastAsia="仿宋_GB2312"/>
                <w:color w:val="auto"/>
                <w:kern w:val="0"/>
                <w:szCs w:val="21"/>
              </w:rPr>
            </w:pPr>
            <w:r>
              <w:rPr>
                <w:rFonts w:eastAsia="仿宋_GB2312"/>
                <w:color w:val="auto"/>
                <w:kern w:val="0"/>
                <w:szCs w:val="21"/>
              </w:rPr>
              <w:t>900-405-06</w:t>
            </w:r>
          </w:p>
        </w:tc>
        <w:tc>
          <w:tcPr>
            <w:tcW w:w="614" w:type="pct"/>
            <w:vAlign w:val="center"/>
          </w:tcPr>
          <w:p w14:paraId="687ED6A6">
            <w:pPr>
              <w:widowControl/>
              <w:spacing w:line="300" w:lineRule="exact"/>
              <w:jc w:val="center"/>
              <w:rPr>
                <w:rFonts w:hint="default" w:eastAsia="仿宋_GB2312"/>
                <w:color w:val="auto"/>
                <w:kern w:val="0"/>
                <w:szCs w:val="21"/>
                <w:lang w:val="en-US" w:eastAsia="zh-CN"/>
              </w:rPr>
            </w:pPr>
            <w:r>
              <w:rPr>
                <w:rFonts w:hint="eastAsia" w:eastAsia="仿宋_GB2312"/>
                <w:color w:val="auto"/>
                <w:kern w:val="0"/>
                <w:szCs w:val="21"/>
                <w:lang w:val="en-US" w:eastAsia="zh-CN"/>
              </w:rPr>
              <w:t>151.89</w:t>
            </w:r>
          </w:p>
        </w:tc>
        <w:tc>
          <w:tcPr>
            <w:tcW w:w="339" w:type="pct"/>
            <w:vAlign w:val="center"/>
          </w:tcPr>
          <w:p w14:paraId="64FD943D">
            <w:pPr>
              <w:widowControl/>
              <w:spacing w:line="300" w:lineRule="exact"/>
              <w:jc w:val="center"/>
              <w:rPr>
                <w:rFonts w:eastAsia="仿宋_GB2312"/>
                <w:color w:val="auto"/>
                <w:kern w:val="0"/>
                <w:szCs w:val="21"/>
              </w:rPr>
            </w:pPr>
            <w:r>
              <w:rPr>
                <w:rFonts w:eastAsia="仿宋_GB2312"/>
                <w:color w:val="auto"/>
                <w:kern w:val="0"/>
                <w:szCs w:val="21"/>
              </w:rPr>
              <w:t>过滤</w:t>
            </w:r>
          </w:p>
        </w:tc>
        <w:tc>
          <w:tcPr>
            <w:tcW w:w="343" w:type="pct"/>
            <w:vAlign w:val="center"/>
          </w:tcPr>
          <w:p w14:paraId="6F2CE49D">
            <w:pPr>
              <w:widowControl/>
              <w:spacing w:line="300" w:lineRule="exact"/>
              <w:jc w:val="center"/>
              <w:rPr>
                <w:rFonts w:eastAsia="仿宋_GB2312"/>
                <w:color w:val="auto"/>
                <w:kern w:val="0"/>
                <w:szCs w:val="21"/>
              </w:rPr>
            </w:pPr>
            <w:r>
              <w:rPr>
                <w:rFonts w:eastAsia="仿宋_GB2312"/>
                <w:color w:val="auto"/>
                <w:kern w:val="0"/>
                <w:szCs w:val="21"/>
              </w:rPr>
              <w:t>固态</w:t>
            </w:r>
          </w:p>
        </w:tc>
        <w:tc>
          <w:tcPr>
            <w:tcW w:w="786" w:type="pct"/>
            <w:vAlign w:val="center"/>
          </w:tcPr>
          <w:p w14:paraId="284B4FED">
            <w:pPr>
              <w:widowControl/>
              <w:spacing w:line="300" w:lineRule="exact"/>
              <w:jc w:val="center"/>
              <w:rPr>
                <w:rFonts w:eastAsia="仿宋_GB2312"/>
                <w:color w:val="auto"/>
                <w:kern w:val="0"/>
                <w:szCs w:val="21"/>
              </w:rPr>
            </w:pPr>
            <w:r>
              <w:rPr>
                <w:rFonts w:eastAsia="仿宋_GB2312"/>
                <w:color w:val="auto"/>
                <w:kern w:val="0"/>
                <w:szCs w:val="21"/>
              </w:rPr>
              <w:t>水、不挥发份、甲苯、二甲苯、乙腈等有机物</w:t>
            </w:r>
          </w:p>
        </w:tc>
        <w:tc>
          <w:tcPr>
            <w:tcW w:w="681" w:type="pct"/>
            <w:vAlign w:val="center"/>
          </w:tcPr>
          <w:p w14:paraId="6C45F85C">
            <w:pPr>
              <w:widowControl/>
              <w:spacing w:line="300" w:lineRule="exact"/>
              <w:jc w:val="center"/>
              <w:rPr>
                <w:rFonts w:eastAsia="仿宋_GB2312"/>
                <w:color w:val="auto"/>
                <w:kern w:val="0"/>
                <w:szCs w:val="21"/>
              </w:rPr>
            </w:pPr>
            <w:r>
              <w:rPr>
                <w:rFonts w:eastAsia="仿宋_GB2312"/>
                <w:color w:val="auto"/>
                <w:kern w:val="0"/>
                <w:szCs w:val="21"/>
              </w:rPr>
              <w:t>不挥发份、甲苯、二甲苯、乙腈等有机物</w:t>
            </w:r>
          </w:p>
        </w:tc>
        <w:tc>
          <w:tcPr>
            <w:tcW w:w="286" w:type="pct"/>
            <w:vAlign w:val="center"/>
          </w:tcPr>
          <w:p w14:paraId="5355C347">
            <w:pPr>
              <w:widowControl/>
              <w:spacing w:line="300" w:lineRule="exact"/>
              <w:jc w:val="center"/>
              <w:rPr>
                <w:rFonts w:eastAsia="仿宋_GB2312"/>
                <w:color w:val="auto"/>
                <w:kern w:val="0"/>
                <w:szCs w:val="21"/>
              </w:rPr>
            </w:pPr>
            <w:r>
              <w:rPr>
                <w:rFonts w:eastAsia="仿宋_GB2312"/>
                <w:color w:val="auto"/>
                <w:kern w:val="0"/>
                <w:szCs w:val="21"/>
              </w:rPr>
              <w:t>1d</w:t>
            </w:r>
          </w:p>
        </w:tc>
        <w:tc>
          <w:tcPr>
            <w:tcW w:w="313" w:type="pct"/>
            <w:vAlign w:val="center"/>
          </w:tcPr>
          <w:p w14:paraId="1C315D54">
            <w:pPr>
              <w:widowControl/>
              <w:spacing w:line="300" w:lineRule="exact"/>
              <w:jc w:val="center"/>
              <w:rPr>
                <w:rFonts w:eastAsia="仿宋_GB2312"/>
                <w:color w:val="auto"/>
                <w:kern w:val="0"/>
                <w:szCs w:val="21"/>
              </w:rPr>
            </w:pPr>
            <w:r>
              <w:rPr>
                <w:rFonts w:eastAsia="仿宋_GB2312"/>
                <w:color w:val="auto"/>
                <w:kern w:val="0"/>
                <w:szCs w:val="21"/>
              </w:rPr>
              <w:t>T/I/R</w:t>
            </w:r>
          </w:p>
        </w:tc>
        <w:tc>
          <w:tcPr>
            <w:tcW w:w="436" w:type="pct"/>
            <w:vMerge w:val="restart"/>
            <w:vAlign w:val="center"/>
          </w:tcPr>
          <w:p w14:paraId="2CD60D86">
            <w:pPr>
              <w:pStyle w:val="487"/>
              <w:adjustRightInd w:val="0"/>
              <w:snapToGrid w:val="0"/>
              <w:spacing w:line="320" w:lineRule="exact"/>
              <w:jc w:val="center"/>
              <w:rPr>
                <w:rFonts w:hint="default" w:ascii="Times New Roman" w:hAnsi="Times New Roman" w:eastAsia="仿宋_GB2312" w:cs="Times New Roman"/>
                <w:color w:val="auto"/>
                <w:lang w:val="en-US" w:eastAsia="zh-CN"/>
              </w:rPr>
            </w:pPr>
            <w:r>
              <w:rPr>
                <w:rFonts w:ascii="Times New Roman" w:hAnsi="Times New Roman" w:cs="Times New Roman"/>
                <w:color w:val="auto"/>
                <w:szCs w:val="21"/>
              </w:rPr>
              <w:t>危废堆场中分类储存，厂区焚烧炉焚烧处置</w:t>
            </w:r>
            <w:r>
              <w:rPr>
                <w:rFonts w:hint="eastAsia" w:ascii="Times New Roman" w:hAnsi="Times New Roman" w:cs="Times New Roman"/>
                <w:color w:val="auto"/>
                <w:szCs w:val="21"/>
                <w:lang w:val="en-US" w:eastAsia="zh-CN"/>
              </w:rPr>
              <w:t>/委外处置</w:t>
            </w:r>
          </w:p>
        </w:tc>
      </w:tr>
      <w:tr w14:paraId="504708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40" w:hRule="atLeast"/>
          <w:jc w:val="center"/>
        </w:trPr>
        <w:tc>
          <w:tcPr>
            <w:tcW w:w="431" w:type="pct"/>
            <w:vAlign w:val="center"/>
          </w:tcPr>
          <w:p w14:paraId="455CCA49">
            <w:pPr>
              <w:widowControl/>
              <w:spacing w:line="300" w:lineRule="exact"/>
              <w:jc w:val="center"/>
              <w:rPr>
                <w:rFonts w:hint="default" w:eastAsia="仿宋_GB2312"/>
                <w:color w:val="auto"/>
                <w:kern w:val="0"/>
                <w:szCs w:val="21"/>
                <w:lang w:val="en-US" w:eastAsia="zh-CN"/>
              </w:rPr>
            </w:pPr>
            <w:r>
              <w:rPr>
                <w:rFonts w:eastAsia="仿宋_GB2312"/>
                <w:color w:val="auto"/>
                <w:kern w:val="0"/>
                <w:szCs w:val="21"/>
              </w:rPr>
              <w:t>精馏残渣</w:t>
            </w:r>
            <w:r>
              <w:rPr>
                <w:rFonts w:hint="eastAsia" w:eastAsia="仿宋_GB2312"/>
                <w:color w:val="auto"/>
                <w:kern w:val="0"/>
                <w:szCs w:val="21"/>
                <w:lang w:val="en-US" w:eastAsia="zh-CN"/>
              </w:rPr>
              <w:t>/残液</w:t>
            </w:r>
          </w:p>
        </w:tc>
        <w:tc>
          <w:tcPr>
            <w:tcW w:w="339" w:type="pct"/>
            <w:vAlign w:val="center"/>
          </w:tcPr>
          <w:p w14:paraId="13C92BC3">
            <w:pPr>
              <w:widowControl/>
              <w:spacing w:line="300" w:lineRule="exact"/>
              <w:jc w:val="center"/>
              <w:rPr>
                <w:rFonts w:eastAsia="仿宋_GB2312"/>
                <w:color w:val="auto"/>
                <w:kern w:val="0"/>
                <w:szCs w:val="21"/>
              </w:rPr>
            </w:pPr>
            <w:r>
              <w:rPr>
                <w:rFonts w:eastAsia="仿宋_GB2312"/>
                <w:color w:val="auto"/>
                <w:kern w:val="0"/>
                <w:szCs w:val="21"/>
              </w:rPr>
              <w:t>HW06</w:t>
            </w:r>
          </w:p>
        </w:tc>
        <w:tc>
          <w:tcPr>
            <w:tcW w:w="426" w:type="pct"/>
            <w:vAlign w:val="center"/>
          </w:tcPr>
          <w:p w14:paraId="27A09821">
            <w:pPr>
              <w:widowControl/>
              <w:spacing w:line="300" w:lineRule="exact"/>
              <w:jc w:val="center"/>
              <w:rPr>
                <w:rFonts w:eastAsia="仿宋_GB2312"/>
                <w:color w:val="auto"/>
                <w:kern w:val="0"/>
                <w:szCs w:val="21"/>
              </w:rPr>
            </w:pPr>
            <w:r>
              <w:rPr>
                <w:rFonts w:eastAsia="仿宋_GB2312"/>
                <w:color w:val="auto"/>
                <w:kern w:val="0"/>
                <w:szCs w:val="21"/>
              </w:rPr>
              <w:t>900-407-06</w:t>
            </w:r>
          </w:p>
        </w:tc>
        <w:tc>
          <w:tcPr>
            <w:tcW w:w="614" w:type="pct"/>
            <w:vAlign w:val="center"/>
          </w:tcPr>
          <w:p w14:paraId="56F8FDFB">
            <w:pPr>
              <w:widowControl/>
              <w:spacing w:line="300" w:lineRule="exact"/>
              <w:jc w:val="center"/>
              <w:rPr>
                <w:rFonts w:hint="default" w:eastAsia="仿宋_GB2312"/>
                <w:color w:val="auto"/>
                <w:kern w:val="0"/>
                <w:szCs w:val="21"/>
                <w:lang w:val="en-US" w:eastAsia="zh-CN"/>
              </w:rPr>
            </w:pPr>
            <w:r>
              <w:rPr>
                <w:rFonts w:hint="eastAsia" w:eastAsia="仿宋_GB2312"/>
                <w:color w:val="auto"/>
                <w:kern w:val="0"/>
                <w:szCs w:val="21"/>
                <w:lang w:val="en-US" w:eastAsia="zh-CN"/>
              </w:rPr>
              <w:t>10985.92</w:t>
            </w:r>
          </w:p>
        </w:tc>
        <w:tc>
          <w:tcPr>
            <w:tcW w:w="339" w:type="pct"/>
            <w:vAlign w:val="center"/>
          </w:tcPr>
          <w:p w14:paraId="293477C7">
            <w:pPr>
              <w:widowControl/>
              <w:spacing w:line="300" w:lineRule="exact"/>
              <w:jc w:val="center"/>
              <w:rPr>
                <w:rFonts w:eastAsia="仿宋_GB2312"/>
                <w:color w:val="auto"/>
                <w:kern w:val="0"/>
                <w:szCs w:val="21"/>
              </w:rPr>
            </w:pPr>
            <w:r>
              <w:rPr>
                <w:rFonts w:eastAsia="仿宋_GB2312"/>
                <w:color w:val="auto"/>
                <w:kern w:val="0"/>
                <w:szCs w:val="21"/>
              </w:rPr>
              <w:t>精馏</w:t>
            </w:r>
          </w:p>
        </w:tc>
        <w:tc>
          <w:tcPr>
            <w:tcW w:w="343" w:type="pct"/>
            <w:vAlign w:val="center"/>
          </w:tcPr>
          <w:p w14:paraId="5CE3CEDB">
            <w:pPr>
              <w:widowControl/>
              <w:spacing w:line="300" w:lineRule="exact"/>
              <w:jc w:val="center"/>
              <w:rPr>
                <w:rFonts w:eastAsia="仿宋_GB2312"/>
                <w:color w:val="auto"/>
                <w:kern w:val="0"/>
                <w:szCs w:val="21"/>
              </w:rPr>
            </w:pPr>
            <w:r>
              <w:rPr>
                <w:rFonts w:eastAsia="仿宋_GB2312"/>
                <w:color w:val="auto"/>
                <w:kern w:val="0"/>
                <w:szCs w:val="21"/>
              </w:rPr>
              <w:t>固态</w:t>
            </w:r>
          </w:p>
        </w:tc>
        <w:tc>
          <w:tcPr>
            <w:tcW w:w="786" w:type="pct"/>
            <w:vAlign w:val="center"/>
          </w:tcPr>
          <w:p w14:paraId="2A837EED">
            <w:pPr>
              <w:widowControl/>
              <w:spacing w:line="300" w:lineRule="exact"/>
              <w:jc w:val="center"/>
              <w:rPr>
                <w:rFonts w:eastAsia="仿宋_GB2312"/>
                <w:color w:val="auto"/>
                <w:kern w:val="0"/>
                <w:szCs w:val="21"/>
              </w:rPr>
            </w:pPr>
            <w:r>
              <w:rPr>
                <w:rFonts w:eastAsia="仿宋_GB2312"/>
                <w:color w:val="auto"/>
                <w:kern w:val="0"/>
                <w:szCs w:val="21"/>
              </w:rPr>
              <w:t>水、不挥发份、甲苯、二甲苯、乙腈等有机物</w:t>
            </w:r>
          </w:p>
        </w:tc>
        <w:tc>
          <w:tcPr>
            <w:tcW w:w="681" w:type="pct"/>
            <w:vAlign w:val="center"/>
          </w:tcPr>
          <w:p w14:paraId="11A91BFF">
            <w:pPr>
              <w:widowControl/>
              <w:spacing w:line="300" w:lineRule="exact"/>
              <w:jc w:val="center"/>
              <w:rPr>
                <w:rFonts w:eastAsia="仿宋_GB2312"/>
                <w:color w:val="auto"/>
                <w:kern w:val="0"/>
                <w:szCs w:val="21"/>
              </w:rPr>
            </w:pPr>
            <w:r>
              <w:rPr>
                <w:rFonts w:eastAsia="仿宋_GB2312"/>
                <w:color w:val="auto"/>
                <w:kern w:val="0"/>
                <w:szCs w:val="21"/>
              </w:rPr>
              <w:t>不挥发份、甲苯、二甲苯、乙腈等有机物</w:t>
            </w:r>
          </w:p>
        </w:tc>
        <w:tc>
          <w:tcPr>
            <w:tcW w:w="286" w:type="pct"/>
            <w:vAlign w:val="center"/>
          </w:tcPr>
          <w:p w14:paraId="1FA3CD92">
            <w:pPr>
              <w:widowControl/>
              <w:spacing w:line="300" w:lineRule="exact"/>
              <w:jc w:val="center"/>
              <w:rPr>
                <w:rFonts w:eastAsia="仿宋_GB2312"/>
                <w:color w:val="auto"/>
                <w:kern w:val="0"/>
                <w:szCs w:val="21"/>
              </w:rPr>
            </w:pPr>
            <w:r>
              <w:rPr>
                <w:rFonts w:eastAsia="仿宋_GB2312"/>
                <w:color w:val="auto"/>
                <w:kern w:val="0"/>
                <w:szCs w:val="21"/>
              </w:rPr>
              <w:t>1d</w:t>
            </w:r>
          </w:p>
        </w:tc>
        <w:tc>
          <w:tcPr>
            <w:tcW w:w="313" w:type="pct"/>
            <w:vAlign w:val="center"/>
          </w:tcPr>
          <w:p w14:paraId="6A121BE6">
            <w:pPr>
              <w:widowControl/>
              <w:spacing w:line="300" w:lineRule="exact"/>
              <w:jc w:val="center"/>
              <w:rPr>
                <w:rFonts w:eastAsia="仿宋_GB2312"/>
                <w:color w:val="auto"/>
                <w:kern w:val="0"/>
                <w:szCs w:val="21"/>
              </w:rPr>
            </w:pPr>
            <w:r>
              <w:rPr>
                <w:rFonts w:eastAsia="仿宋_GB2312"/>
                <w:color w:val="auto"/>
                <w:kern w:val="0"/>
                <w:szCs w:val="21"/>
              </w:rPr>
              <w:t>T/I/R</w:t>
            </w:r>
          </w:p>
        </w:tc>
        <w:tc>
          <w:tcPr>
            <w:tcW w:w="436" w:type="pct"/>
            <w:vMerge w:val="continue"/>
            <w:vAlign w:val="center"/>
          </w:tcPr>
          <w:p w14:paraId="53C539CB">
            <w:pPr>
              <w:pStyle w:val="487"/>
              <w:adjustRightInd w:val="0"/>
              <w:snapToGrid w:val="0"/>
              <w:spacing w:line="320" w:lineRule="exact"/>
              <w:jc w:val="center"/>
              <w:rPr>
                <w:rFonts w:ascii="Times New Roman" w:hAnsi="Times New Roman" w:cs="Times New Roman"/>
                <w:color w:val="auto"/>
              </w:rPr>
            </w:pPr>
          </w:p>
        </w:tc>
      </w:tr>
      <w:tr w14:paraId="048A6B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40" w:hRule="atLeast"/>
          <w:jc w:val="center"/>
        </w:trPr>
        <w:tc>
          <w:tcPr>
            <w:tcW w:w="431" w:type="pct"/>
            <w:vAlign w:val="center"/>
          </w:tcPr>
          <w:p w14:paraId="3E83440E">
            <w:pPr>
              <w:widowControl/>
              <w:spacing w:line="300" w:lineRule="exact"/>
              <w:jc w:val="center"/>
              <w:rPr>
                <w:rFonts w:eastAsia="仿宋_GB2312"/>
                <w:color w:val="auto"/>
                <w:kern w:val="0"/>
                <w:szCs w:val="21"/>
              </w:rPr>
            </w:pPr>
            <w:r>
              <w:rPr>
                <w:rFonts w:eastAsia="仿宋_GB2312"/>
                <w:color w:val="auto"/>
                <w:kern w:val="0"/>
                <w:szCs w:val="21"/>
              </w:rPr>
              <w:t>冷凝废液</w:t>
            </w:r>
          </w:p>
        </w:tc>
        <w:tc>
          <w:tcPr>
            <w:tcW w:w="339" w:type="pct"/>
            <w:vAlign w:val="center"/>
          </w:tcPr>
          <w:p w14:paraId="4CD699BD">
            <w:pPr>
              <w:widowControl/>
              <w:spacing w:line="300" w:lineRule="exact"/>
              <w:jc w:val="center"/>
              <w:rPr>
                <w:rFonts w:eastAsia="仿宋_GB2312"/>
                <w:color w:val="auto"/>
                <w:kern w:val="0"/>
                <w:szCs w:val="21"/>
              </w:rPr>
            </w:pPr>
            <w:r>
              <w:rPr>
                <w:rFonts w:eastAsia="仿宋_GB2312"/>
                <w:color w:val="auto"/>
                <w:kern w:val="0"/>
                <w:szCs w:val="21"/>
              </w:rPr>
              <w:t>HW06</w:t>
            </w:r>
          </w:p>
        </w:tc>
        <w:tc>
          <w:tcPr>
            <w:tcW w:w="426" w:type="pct"/>
            <w:vAlign w:val="center"/>
          </w:tcPr>
          <w:p w14:paraId="5FD4BA87">
            <w:pPr>
              <w:widowControl/>
              <w:spacing w:line="300" w:lineRule="exact"/>
              <w:jc w:val="center"/>
              <w:rPr>
                <w:rFonts w:eastAsia="仿宋_GB2312"/>
                <w:color w:val="auto"/>
                <w:kern w:val="0"/>
                <w:szCs w:val="21"/>
              </w:rPr>
            </w:pPr>
            <w:r>
              <w:rPr>
                <w:rFonts w:eastAsia="仿宋_GB2312"/>
                <w:color w:val="auto"/>
                <w:kern w:val="0"/>
                <w:szCs w:val="21"/>
              </w:rPr>
              <w:t>900-404-06</w:t>
            </w:r>
          </w:p>
        </w:tc>
        <w:tc>
          <w:tcPr>
            <w:tcW w:w="614" w:type="pct"/>
            <w:vAlign w:val="center"/>
          </w:tcPr>
          <w:p w14:paraId="7F04C932">
            <w:pPr>
              <w:widowControl/>
              <w:spacing w:line="300" w:lineRule="exact"/>
              <w:jc w:val="center"/>
              <w:rPr>
                <w:rFonts w:hint="default" w:eastAsia="仿宋_GB2312"/>
                <w:color w:val="auto"/>
                <w:kern w:val="0"/>
                <w:szCs w:val="21"/>
                <w:lang w:val="en-US" w:eastAsia="zh-CN"/>
              </w:rPr>
            </w:pPr>
            <w:r>
              <w:rPr>
                <w:rFonts w:hint="eastAsia" w:eastAsia="仿宋_GB2312"/>
                <w:color w:val="auto"/>
                <w:kern w:val="0"/>
                <w:szCs w:val="21"/>
                <w:lang w:val="en-US" w:eastAsia="zh-CN"/>
              </w:rPr>
              <w:t>3754.27</w:t>
            </w:r>
          </w:p>
        </w:tc>
        <w:tc>
          <w:tcPr>
            <w:tcW w:w="339" w:type="pct"/>
            <w:vAlign w:val="center"/>
          </w:tcPr>
          <w:p w14:paraId="75A7828A">
            <w:pPr>
              <w:widowControl/>
              <w:spacing w:line="300" w:lineRule="exact"/>
              <w:jc w:val="center"/>
              <w:rPr>
                <w:rFonts w:eastAsia="仿宋_GB2312"/>
                <w:color w:val="auto"/>
                <w:kern w:val="0"/>
                <w:szCs w:val="21"/>
              </w:rPr>
            </w:pPr>
            <w:r>
              <w:rPr>
                <w:rFonts w:eastAsia="仿宋_GB2312"/>
                <w:color w:val="auto"/>
                <w:kern w:val="0"/>
                <w:szCs w:val="21"/>
              </w:rPr>
              <w:t>冷凝</w:t>
            </w:r>
          </w:p>
        </w:tc>
        <w:tc>
          <w:tcPr>
            <w:tcW w:w="343" w:type="pct"/>
            <w:vAlign w:val="center"/>
          </w:tcPr>
          <w:p w14:paraId="3647E03E">
            <w:pPr>
              <w:widowControl/>
              <w:spacing w:line="300" w:lineRule="exact"/>
              <w:jc w:val="center"/>
              <w:rPr>
                <w:rFonts w:eastAsia="仿宋_GB2312"/>
                <w:color w:val="auto"/>
                <w:kern w:val="0"/>
                <w:szCs w:val="21"/>
              </w:rPr>
            </w:pPr>
            <w:r>
              <w:rPr>
                <w:rFonts w:eastAsia="仿宋_GB2312"/>
                <w:color w:val="auto"/>
                <w:kern w:val="0"/>
                <w:szCs w:val="21"/>
              </w:rPr>
              <w:t>液态</w:t>
            </w:r>
          </w:p>
        </w:tc>
        <w:tc>
          <w:tcPr>
            <w:tcW w:w="786" w:type="pct"/>
            <w:vAlign w:val="center"/>
          </w:tcPr>
          <w:p w14:paraId="7E728AF4">
            <w:pPr>
              <w:widowControl/>
              <w:spacing w:line="300" w:lineRule="exact"/>
              <w:jc w:val="center"/>
              <w:rPr>
                <w:rFonts w:eastAsia="仿宋_GB2312"/>
                <w:color w:val="auto"/>
                <w:kern w:val="0"/>
                <w:szCs w:val="21"/>
              </w:rPr>
            </w:pPr>
            <w:r>
              <w:rPr>
                <w:rFonts w:eastAsia="仿宋_GB2312"/>
                <w:color w:val="auto"/>
                <w:kern w:val="0"/>
                <w:szCs w:val="21"/>
              </w:rPr>
              <w:t>水、甲苯、二甲苯、乙腈等有机物</w:t>
            </w:r>
          </w:p>
        </w:tc>
        <w:tc>
          <w:tcPr>
            <w:tcW w:w="681" w:type="pct"/>
            <w:vAlign w:val="center"/>
          </w:tcPr>
          <w:p w14:paraId="0B49AA14">
            <w:pPr>
              <w:widowControl/>
              <w:spacing w:line="300" w:lineRule="exact"/>
              <w:jc w:val="center"/>
              <w:rPr>
                <w:rFonts w:eastAsia="仿宋_GB2312"/>
                <w:color w:val="auto"/>
                <w:kern w:val="0"/>
                <w:szCs w:val="21"/>
              </w:rPr>
            </w:pPr>
            <w:r>
              <w:rPr>
                <w:rFonts w:eastAsia="仿宋_GB2312"/>
                <w:color w:val="auto"/>
                <w:kern w:val="0"/>
                <w:szCs w:val="21"/>
              </w:rPr>
              <w:t>甲苯、二甲苯、乙腈等有机物</w:t>
            </w:r>
          </w:p>
        </w:tc>
        <w:tc>
          <w:tcPr>
            <w:tcW w:w="286" w:type="pct"/>
            <w:vAlign w:val="center"/>
          </w:tcPr>
          <w:p w14:paraId="240E896C">
            <w:pPr>
              <w:widowControl/>
              <w:spacing w:line="300" w:lineRule="exact"/>
              <w:jc w:val="center"/>
              <w:rPr>
                <w:rFonts w:eastAsia="仿宋_GB2312"/>
                <w:color w:val="auto"/>
                <w:kern w:val="0"/>
                <w:szCs w:val="21"/>
              </w:rPr>
            </w:pPr>
            <w:r>
              <w:rPr>
                <w:rFonts w:eastAsia="仿宋_GB2312"/>
                <w:color w:val="auto"/>
                <w:kern w:val="0"/>
                <w:szCs w:val="21"/>
              </w:rPr>
              <w:t>1d</w:t>
            </w:r>
          </w:p>
        </w:tc>
        <w:tc>
          <w:tcPr>
            <w:tcW w:w="313" w:type="pct"/>
            <w:vAlign w:val="center"/>
          </w:tcPr>
          <w:p w14:paraId="5CBACB00">
            <w:pPr>
              <w:widowControl/>
              <w:spacing w:line="300" w:lineRule="exact"/>
              <w:jc w:val="center"/>
              <w:rPr>
                <w:rFonts w:eastAsia="仿宋_GB2312"/>
                <w:color w:val="auto"/>
                <w:kern w:val="0"/>
                <w:szCs w:val="21"/>
              </w:rPr>
            </w:pPr>
            <w:r>
              <w:rPr>
                <w:rFonts w:eastAsia="仿宋_GB2312"/>
                <w:color w:val="auto"/>
                <w:kern w:val="0"/>
                <w:szCs w:val="21"/>
              </w:rPr>
              <w:t>T/I/R</w:t>
            </w:r>
          </w:p>
        </w:tc>
        <w:tc>
          <w:tcPr>
            <w:tcW w:w="436" w:type="pct"/>
            <w:vMerge w:val="continue"/>
            <w:vAlign w:val="center"/>
          </w:tcPr>
          <w:p w14:paraId="050AA5E1">
            <w:pPr>
              <w:pStyle w:val="487"/>
              <w:adjustRightInd w:val="0"/>
              <w:snapToGrid w:val="0"/>
              <w:spacing w:line="320" w:lineRule="exact"/>
              <w:jc w:val="center"/>
              <w:rPr>
                <w:rFonts w:ascii="Times New Roman" w:hAnsi="Times New Roman" w:cs="Times New Roman"/>
                <w:color w:val="auto"/>
              </w:rPr>
            </w:pPr>
          </w:p>
        </w:tc>
      </w:tr>
      <w:tr w14:paraId="556F50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40" w:hRule="atLeast"/>
          <w:jc w:val="center"/>
        </w:trPr>
        <w:tc>
          <w:tcPr>
            <w:tcW w:w="431" w:type="pct"/>
            <w:vAlign w:val="center"/>
          </w:tcPr>
          <w:p w14:paraId="4D4241A8">
            <w:pPr>
              <w:widowControl/>
              <w:spacing w:line="300" w:lineRule="exact"/>
              <w:jc w:val="center"/>
              <w:rPr>
                <w:rFonts w:eastAsia="仿宋_GB2312"/>
                <w:color w:val="auto"/>
                <w:kern w:val="0"/>
                <w:szCs w:val="21"/>
              </w:rPr>
            </w:pPr>
            <w:r>
              <w:rPr>
                <w:rFonts w:eastAsia="仿宋_GB2312"/>
                <w:color w:val="auto"/>
                <w:kern w:val="0"/>
                <w:szCs w:val="21"/>
              </w:rPr>
              <w:t>压滤污泥</w:t>
            </w:r>
          </w:p>
        </w:tc>
        <w:tc>
          <w:tcPr>
            <w:tcW w:w="339" w:type="pct"/>
            <w:vAlign w:val="center"/>
          </w:tcPr>
          <w:p w14:paraId="01DDB316">
            <w:pPr>
              <w:widowControl/>
              <w:spacing w:line="300" w:lineRule="exact"/>
              <w:jc w:val="center"/>
              <w:rPr>
                <w:rFonts w:eastAsia="仿宋_GB2312"/>
                <w:color w:val="auto"/>
                <w:kern w:val="0"/>
                <w:szCs w:val="21"/>
              </w:rPr>
            </w:pPr>
            <w:r>
              <w:rPr>
                <w:rFonts w:eastAsia="仿宋_GB2312"/>
                <w:color w:val="auto"/>
                <w:kern w:val="0"/>
                <w:szCs w:val="21"/>
              </w:rPr>
              <w:t>HW06</w:t>
            </w:r>
          </w:p>
        </w:tc>
        <w:tc>
          <w:tcPr>
            <w:tcW w:w="426" w:type="pct"/>
            <w:vAlign w:val="center"/>
          </w:tcPr>
          <w:p w14:paraId="312BF96E">
            <w:pPr>
              <w:widowControl/>
              <w:spacing w:line="300" w:lineRule="exact"/>
              <w:jc w:val="center"/>
              <w:rPr>
                <w:rFonts w:eastAsia="仿宋_GB2312"/>
                <w:color w:val="auto"/>
                <w:kern w:val="0"/>
                <w:szCs w:val="21"/>
              </w:rPr>
            </w:pPr>
            <w:r>
              <w:rPr>
                <w:rFonts w:eastAsia="仿宋_GB2312"/>
                <w:color w:val="auto"/>
                <w:kern w:val="0"/>
                <w:szCs w:val="21"/>
              </w:rPr>
              <w:t>900-409-06</w:t>
            </w:r>
          </w:p>
        </w:tc>
        <w:tc>
          <w:tcPr>
            <w:tcW w:w="614" w:type="pct"/>
            <w:vAlign w:val="center"/>
          </w:tcPr>
          <w:p w14:paraId="7F0CD1C4">
            <w:pPr>
              <w:widowControl/>
              <w:spacing w:line="300" w:lineRule="exact"/>
              <w:jc w:val="center"/>
              <w:rPr>
                <w:rFonts w:hint="default" w:eastAsia="仿宋_GB2312"/>
                <w:color w:val="auto"/>
                <w:kern w:val="0"/>
                <w:szCs w:val="21"/>
                <w:lang w:val="en-US" w:eastAsia="zh-CN"/>
              </w:rPr>
            </w:pPr>
            <w:r>
              <w:rPr>
                <w:rFonts w:hint="eastAsia" w:eastAsia="仿宋_GB2312"/>
                <w:color w:val="auto"/>
                <w:kern w:val="0"/>
                <w:szCs w:val="21"/>
                <w:lang w:val="en-US" w:eastAsia="zh-CN"/>
              </w:rPr>
              <w:t>325.511</w:t>
            </w:r>
          </w:p>
        </w:tc>
        <w:tc>
          <w:tcPr>
            <w:tcW w:w="339" w:type="pct"/>
            <w:vAlign w:val="center"/>
          </w:tcPr>
          <w:p w14:paraId="29D8571F">
            <w:pPr>
              <w:widowControl/>
              <w:spacing w:line="300" w:lineRule="exact"/>
              <w:jc w:val="center"/>
              <w:rPr>
                <w:rFonts w:eastAsia="仿宋_GB2312"/>
                <w:color w:val="auto"/>
                <w:kern w:val="0"/>
                <w:szCs w:val="21"/>
              </w:rPr>
            </w:pPr>
            <w:r>
              <w:rPr>
                <w:rFonts w:eastAsia="仿宋_GB2312"/>
                <w:color w:val="auto"/>
                <w:kern w:val="0"/>
                <w:szCs w:val="21"/>
              </w:rPr>
              <w:t>板框压滤</w:t>
            </w:r>
          </w:p>
        </w:tc>
        <w:tc>
          <w:tcPr>
            <w:tcW w:w="343" w:type="pct"/>
            <w:vAlign w:val="center"/>
          </w:tcPr>
          <w:p w14:paraId="6B93111B">
            <w:pPr>
              <w:widowControl/>
              <w:spacing w:line="300" w:lineRule="exact"/>
              <w:jc w:val="center"/>
              <w:rPr>
                <w:rFonts w:eastAsia="仿宋_GB2312"/>
                <w:color w:val="auto"/>
                <w:kern w:val="0"/>
                <w:szCs w:val="21"/>
              </w:rPr>
            </w:pPr>
            <w:r>
              <w:rPr>
                <w:rFonts w:eastAsia="仿宋_GB2312"/>
                <w:color w:val="auto"/>
                <w:kern w:val="0"/>
                <w:szCs w:val="21"/>
              </w:rPr>
              <w:t>固态</w:t>
            </w:r>
          </w:p>
        </w:tc>
        <w:tc>
          <w:tcPr>
            <w:tcW w:w="786" w:type="pct"/>
            <w:vAlign w:val="center"/>
          </w:tcPr>
          <w:p w14:paraId="040438A4">
            <w:pPr>
              <w:widowControl/>
              <w:spacing w:line="300" w:lineRule="exact"/>
              <w:jc w:val="center"/>
              <w:rPr>
                <w:rFonts w:eastAsia="仿宋_GB2312"/>
                <w:color w:val="auto"/>
                <w:kern w:val="0"/>
                <w:szCs w:val="21"/>
              </w:rPr>
            </w:pPr>
            <w:r>
              <w:rPr>
                <w:rFonts w:eastAsia="仿宋_GB2312"/>
                <w:color w:val="auto"/>
                <w:kern w:val="0"/>
                <w:szCs w:val="21"/>
              </w:rPr>
              <w:t>水、有机物、盐分、杂质</w:t>
            </w:r>
          </w:p>
        </w:tc>
        <w:tc>
          <w:tcPr>
            <w:tcW w:w="681" w:type="pct"/>
            <w:vAlign w:val="center"/>
          </w:tcPr>
          <w:p w14:paraId="30FD9A8F">
            <w:pPr>
              <w:widowControl/>
              <w:spacing w:line="300" w:lineRule="exact"/>
              <w:jc w:val="center"/>
              <w:rPr>
                <w:rFonts w:eastAsia="仿宋_GB2312"/>
                <w:color w:val="auto"/>
                <w:kern w:val="0"/>
                <w:szCs w:val="21"/>
              </w:rPr>
            </w:pPr>
            <w:r>
              <w:rPr>
                <w:rFonts w:eastAsia="仿宋_GB2312"/>
                <w:color w:val="auto"/>
                <w:kern w:val="0"/>
                <w:szCs w:val="21"/>
              </w:rPr>
              <w:t>有机物、盐分、杂质</w:t>
            </w:r>
          </w:p>
        </w:tc>
        <w:tc>
          <w:tcPr>
            <w:tcW w:w="286" w:type="pct"/>
            <w:vAlign w:val="center"/>
          </w:tcPr>
          <w:p w14:paraId="0C1F3585">
            <w:pPr>
              <w:widowControl/>
              <w:spacing w:line="300" w:lineRule="exact"/>
              <w:jc w:val="center"/>
              <w:rPr>
                <w:rFonts w:eastAsia="仿宋_GB2312"/>
                <w:color w:val="auto"/>
                <w:kern w:val="0"/>
                <w:szCs w:val="21"/>
              </w:rPr>
            </w:pPr>
            <w:r>
              <w:rPr>
                <w:rFonts w:eastAsia="仿宋_GB2312"/>
                <w:color w:val="auto"/>
                <w:kern w:val="0"/>
                <w:szCs w:val="21"/>
              </w:rPr>
              <w:t>1d</w:t>
            </w:r>
          </w:p>
        </w:tc>
        <w:tc>
          <w:tcPr>
            <w:tcW w:w="313" w:type="pct"/>
            <w:vAlign w:val="center"/>
          </w:tcPr>
          <w:p w14:paraId="2454F36E">
            <w:pPr>
              <w:widowControl/>
              <w:spacing w:line="300" w:lineRule="exact"/>
              <w:jc w:val="center"/>
              <w:rPr>
                <w:rFonts w:eastAsia="仿宋_GB2312"/>
                <w:color w:val="auto"/>
                <w:kern w:val="0"/>
                <w:szCs w:val="21"/>
              </w:rPr>
            </w:pPr>
            <w:r>
              <w:rPr>
                <w:rFonts w:eastAsia="仿宋_GB2312"/>
                <w:color w:val="auto"/>
                <w:kern w:val="0"/>
                <w:szCs w:val="21"/>
              </w:rPr>
              <w:t>T</w:t>
            </w:r>
          </w:p>
        </w:tc>
        <w:tc>
          <w:tcPr>
            <w:tcW w:w="436" w:type="pct"/>
            <w:vMerge w:val="continue"/>
            <w:vAlign w:val="center"/>
          </w:tcPr>
          <w:p w14:paraId="6A0B7AB5">
            <w:pPr>
              <w:pStyle w:val="487"/>
              <w:adjustRightInd w:val="0"/>
              <w:snapToGrid w:val="0"/>
              <w:spacing w:line="320" w:lineRule="exact"/>
              <w:jc w:val="center"/>
              <w:rPr>
                <w:rFonts w:ascii="Times New Roman" w:hAnsi="Times New Roman" w:cs="Times New Roman"/>
                <w:color w:val="auto"/>
              </w:rPr>
            </w:pPr>
          </w:p>
        </w:tc>
      </w:tr>
      <w:tr w14:paraId="63F2D3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40" w:hRule="atLeast"/>
          <w:jc w:val="center"/>
        </w:trPr>
        <w:tc>
          <w:tcPr>
            <w:tcW w:w="431" w:type="pct"/>
            <w:vAlign w:val="center"/>
          </w:tcPr>
          <w:p w14:paraId="2A82CE95">
            <w:pPr>
              <w:widowControl/>
              <w:spacing w:line="300" w:lineRule="exact"/>
              <w:jc w:val="center"/>
              <w:rPr>
                <w:rFonts w:eastAsia="仿宋_GB2312"/>
                <w:color w:val="auto"/>
                <w:kern w:val="0"/>
                <w:szCs w:val="21"/>
              </w:rPr>
            </w:pPr>
            <w:r>
              <w:rPr>
                <w:rFonts w:eastAsia="仿宋_GB2312"/>
                <w:color w:val="auto"/>
                <w:kern w:val="0"/>
                <w:szCs w:val="21"/>
              </w:rPr>
              <w:t>蒸发残液</w:t>
            </w:r>
          </w:p>
        </w:tc>
        <w:tc>
          <w:tcPr>
            <w:tcW w:w="339" w:type="pct"/>
            <w:vAlign w:val="center"/>
          </w:tcPr>
          <w:p w14:paraId="773BE758">
            <w:pPr>
              <w:widowControl/>
              <w:spacing w:line="300" w:lineRule="exact"/>
              <w:jc w:val="center"/>
              <w:rPr>
                <w:rFonts w:eastAsia="仿宋_GB2312"/>
                <w:color w:val="auto"/>
                <w:kern w:val="0"/>
                <w:szCs w:val="21"/>
              </w:rPr>
            </w:pPr>
            <w:r>
              <w:rPr>
                <w:rFonts w:eastAsia="仿宋_GB2312"/>
                <w:color w:val="auto"/>
                <w:kern w:val="0"/>
                <w:szCs w:val="21"/>
              </w:rPr>
              <w:t>HW11</w:t>
            </w:r>
          </w:p>
        </w:tc>
        <w:tc>
          <w:tcPr>
            <w:tcW w:w="426" w:type="pct"/>
            <w:vAlign w:val="center"/>
          </w:tcPr>
          <w:p w14:paraId="5027042B">
            <w:pPr>
              <w:widowControl/>
              <w:spacing w:line="300" w:lineRule="exact"/>
              <w:jc w:val="center"/>
              <w:rPr>
                <w:rFonts w:ascii="Times New Roman" w:hAnsi="Times New Roman" w:eastAsia="仿宋_GB2312" w:cs="Times New Roman"/>
                <w:color w:val="auto"/>
                <w:kern w:val="0"/>
                <w:szCs w:val="21"/>
              </w:rPr>
            </w:pPr>
            <w:r>
              <w:rPr>
                <w:rFonts w:ascii="Times New Roman" w:hAnsi="Times New Roman" w:eastAsia="仿宋_GB2312" w:cs="Times New Roman"/>
                <w:color w:val="auto"/>
                <w:kern w:val="0"/>
                <w:szCs w:val="21"/>
              </w:rPr>
              <w:t>900-013-11</w:t>
            </w:r>
          </w:p>
        </w:tc>
        <w:tc>
          <w:tcPr>
            <w:tcW w:w="614" w:type="pct"/>
            <w:shd w:val="clear" w:color="auto" w:fill="auto"/>
            <w:vAlign w:val="center"/>
          </w:tcPr>
          <w:p w14:paraId="03D7C05D">
            <w:pPr>
              <w:widowControl/>
              <w:spacing w:line="300" w:lineRule="exact"/>
              <w:jc w:val="center"/>
              <w:rPr>
                <w:rFonts w:hint="default" w:ascii="Times New Roman" w:hAnsi="Times New Roman" w:eastAsia="仿宋_GB2312" w:cs="Times New Roman"/>
                <w:color w:val="auto"/>
                <w:kern w:val="0"/>
                <w:szCs w:val="21"/>
                <w:lang w:val="en-US" w:eastAsia="zh-CN"/>
              </w:rPr>
            </w:pPr>
            <w:r>
              <w:rPr>
                <w:rFonts w:hint="default" w:ascii="Times New Roman" w:hAnsi="Times New Roman" w:eastAsia="仿宋_GB2312" w:cs="Times New Roman"/>
                <w:color w:val="auto"/>
                <w:kern w:val="0"/>
                <w:szCs w:val="21"/>
                <w:lang w:val="en-US" w:eastAsia="zh-CN"/>
              </w:rPr>
              <w:t>653.828</w:t>
            </w:r>
          </w:p>
        </w:tc>
        <w:tc>
          <w:tcPr>
            <w:tcW w:w="339" w:type="pct"/>
            <w:vAlign w:val="center"/>
          </w:tcPr>
          <w:p w14:paraId="06FB61FE">
            <w:pPr>
              <w:widowControl/>
              <w:spacing w:line="300" w:lineRule="exact"/>
              <w:jc w:val="center"/>
              <w:rPr>
                <w:rFonts w:eastAsia="仿宋_GB2312"/>
                <w:color w:val="auto"/>
                <w:kern w:val="0"/>
                <w:szCs w:val="21"/>
              </w:rPr>
            </w:pPr>
            <w:r>
              <w:rPr>
                <w:rFonts w:eastAsia="仿宋_GB2312"/>
                <w:color w:val="auto"/>
                <w:kern w:val="0"/>
                <w:szCs w:val="21"/>
              </w:rPr>
              <w:t>三效蒸发</w:t>
            </w:r>
          </w:p>
        </w:tc>
        <w:tc>
          <w:tcPr>
            <w:tcW w:w="343" w:type="pct"/>
            <w:vAlign w:val="center"/>
          </w:tcPr>
          <w:p w14:paraId="74EAF535">
            <w:pPr>
              <w:widowControl/>
              <w:spacing w:line="300" w:lineRule="exact"/>
              <w:jc w:val="center"/>
              <w:rPr>
                <w:rFonts w:eastAsia="仿宋_GB2312"/>
                <w:color w:val="auto"/>
                <w:kern w:val="0"/>
                <w:szCs w:val="21"/>
              </w:rPr>
            </w:pPr>
            <w:r>
              <w:rPr>
                <w:rFonts w:eastAsia="仿宋_GB2312"/>
                <w:color w:val="auto"/>
                <w:kern w:val="0"/>
                <w:szCs w:val="21"/>
              </w:rPr>
              <w:t>液态</w:t>
            </w:r>
          </w:p>
        </w:tc>
        <w:tc>
          <w:tcPr>
            <w:tcW w:w="786" w:type="pct"/>
            <w:vAlign w:val="center"/>
          </w:tcPr>
          <w:p w14:paraId="74CDEB56">
            <w:pPr>
              <w:widowControl/>
              <w:spacing w:line="300" w:lineRule="exact"/>
              <w:jc w:val="center"/>
              <w:rPr>
                <w:rFonts w:eastAsia="仿宋_GB2312"/>
                <w:color w:val="auto"/>
                <w:kern w:val="0"/>
                <w:szCs w:val="21"/>
              </w:rPr>
            </w:pPr>
            <w:r>
              <w:rPr>
                <w:rFonts w:eastAsia="仿宋_GB2312"/>
                <w:color w:val="auto"/>
                <w:kern w:val="0"/>
                <w:szCs w:val="21"/>
              </w:rPr>
              <w:t>水、有机物、盐分、杂质</w:t>
            </w:r>
          </w:p>
        </w:tc>
        <w:tc>
          <w:tcPr>
            <w:tcW w:w="681" w:type="pct"/>
            <w:vAlign w:val="center"/>
          </w:tcPr>
          <w:p w14:paraId="1ACA3077">
            <w:pPr>
              <w:widowControl/>
              <w:spacing w:line="300" w:lineRule="exact"/>
              <w:jc w:val="center"/>
              <w:rPr>
                <w:rFonts w:eastAsia="仿宋_GB2312"/>
                <w:color w:val="auto"/>
                <w:kern w:val="0"/>
                <w:szCs w:val="21"/>
              </w:rPr>
            </w:pPr>
            <w:r>
              <w:rPr>
                <w:rFonts w:eastAsia="仿宋_GB2312"/>
                <w:color w:val="auto"/>
                <w:kern w:val="0"/>
                <w:szCs w:val="21"/>
              </w:rPr>
              <w:t>有机物、盐分、杂质</w:t>
            </w:r>
          </w:p>
        </w:tc>
        <w:tc>
          <w:tcPr>
            <w:tcW w:w="286" w:type="pct"/>
            <w:vAlign w:val="center"/>
          </w:tcPr>
          <w:p w14:paraId="59B20033">
            <w:pPr>
              <w:widowControl/>
              <w:spacing w:line="300" w:lineRule="exact"/>
              <w:jc w:val="center"/>
              <w:rPr>
                <w:rFonts w:eastAsia="仿宋_GB2312"/>
                <w:color w:val="auto"/>
                <w:kern w:val="0"/>
                <w:szCs w:val="21"/>
              </w:rPr>
            </w:pPr>
            <w:r>
              <w:rPr>
                <w:rFonts w:eastAsia="仿宋_GB2312"/>
                <w:color w:val="auto"/>
                <w:kern w:val="0"/>
                <w:szCs w:val="21"/>
              </w:rPr>
              <w:t>1d</w:t>
            </w:r>
          </w:p>
        </w:tc>
        <w:tc>
          <w:tcPr>
            <w:tcW w:w="313" w:type="pct"/>
            <w:vAlign w:val="center"/>
          </w:tcPr>
          <w:p w14:paraId="1CBE7C7F">
            <w:pPr>
              <w:widowControl/>
              <w:spacing w:line="300" w:lineRule="exact"/>
              <w:jc w:val="center"/>
              <w:rPr>
                <w:rFonts w:eastAsia="仿宋_GB2312"/>
                <w:color w:val="auto"/>
                <w:kern w:val="0"/>
                <w:szCs w:val="21"/>
              </w:rPr>
            </w:pPr>
            <w:r>
              <w:rPr>
                <w:rFonts w:eastAsia="仿宋_GB2312"/>
                <w:color w:val="auto"/>
                <w:kern w:val="0"/>
                <w:szCs w:val="21"/>
              </w:rPr>
              <w:t>T</w:t>
            </w:r>
          </w:p>
        </w:tc>
        <w:tc>
          <w:tcPr>
            <w:tcW w:w="436" w:type="pct"/>
            <w:vMerge w:val="continue"/>
            <w:vAlign w:val="center"/>
          </w:tcPr>
          <w:p w14:paraId="52BAD10D">
            <w:pPr>
              <w:pStyle w:val="487"/>
              <w:adjustRightInd w:val="0"/>
              <w:snapToGrid w:val="0"/>
              <w:spacing w:line="320" w:lineRule="exact"/>
              <w:jc w:val="center"/>
              <w:rPr>
                <w:rFonts w:ascii="Times New Roman" w:hAnsi="Times New Roman" w:cs="Times New Roman"/>
                <w:color w:val="auto"/>
              </w:rPr>
            </w:pPr>
          </w:p>
        </w:tc>
      </w:tr>
      <w:tr w14:paraId="51D519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40" w:hRule="atLeast"/>
          <w:jc w:val="center"/>
        </w:trPr>
        <w:tc>
          <w:tcPr>
            <w:tcW w:w="431" w:type="pct"/>
            <w:vAlign w:val="center"/>
          </w:tcPr>
          <w:p w14:paraId="550D64DE">
            <w:pPr>
              <w:keepNext w:val="0"/>
              <w:keepLines w:val="0"/>
              <w:widowControl/>
              <w:suppressLineNumbers w:val="0"/>
              <w:jc w:val="center"/>
              <w:textAlignment w:val="bottom"/>
              <w:rPr>
                <w:rFonts w:eastAsia="仿宋_GB2312"/>
                <w:color w:val="auto"/>
                <w:kern w:val="0"/>
                <w:szCs w:val="21"/>
              </w:rPr>
            </w:pPr>
            <w:r>
              <w:rPr>
                <w:rFonts w:hint="default" w:ascii="仿宋_GB2312" w:hAnsi="宋体" w:eastAsia="仿宋_GB2312" w:cs="仿宋_GB2312"/>
                <w:i w:val="0"/>
                <w:iCs w:val="0"/>
                <w:color w:val="auto"/>
                <w:kern w:val="0"/>
                <w:sz w:val="21"/>
                <w:szCs w:val="21"/>
                <w:u w:val="none"/>
                <w:lang w:val="en-US" w:eastAsia="zh-CN" w:bidi="ar"/>
              </w:rPr>
              <w:t>离心残渣</w:t>
            </w:r>
          </w:p>
        </w:tc>
        <w:tc>
          <w:tcPr>
            <w:tcW w:w="339" w:type="pct"/>
            <w:vAlign w:val="center"/>
          </w:tcPr>
          <w:p w14:paraId="6F28B752">
            <w:pPr>
              <w:keepNext w:val="0"/>
              <w:keepLines w:val="0"/>
              <w:widowControl/>
              <w:suppressLineNumbers w:val="0"/>
              <w:jc w:val="center"/>
              <w:textAlignment w:val="bottom"/>
              <w:rPr>
                <w:rFonts w:eastAsia="仿宋_GB2312"/>
                <w:color w:val="auto"/>
                <w:kern w:val="0"/>
                <w:szCs w:val="21"/>
              </w:rPr>
            </w:pPr>
            <w:r>
              <w:rPr>
                <w:rFonts w:hint="default" w:ascii="Times New Roman" w:hAnsi="Times New Roman" w:eastAsia="宋体" w:cs="Times New Roman"/>
                <w:i w:val="0"/>
                <w:iCs w:val="0"/>
                <w:color w:val="auto"/>
                <w:kern w:val="0"/>
                <w:sz w:val="21"/>
                <w:szCs w:val="21"/>
                <w:u w:val="none"/>
                <w:lang w:val="en-US" w:eastAsia="zh-CN" w:bidi="ar"/>
              </w:rPr>
              <w:t>HW17</w:t>
            </w:r>
          </w:p>
        </w:tc>
        <w:tc>
          <w:tcPr>
            <w:tcW w:w="426" w:type="pct"/>
            <w:vAlign w:val="center"/>
          </w:tcPr>
          <w:p w14:paraId="012EA084">
            <w:pPr>
              <w:keepNext w:val="0"/>
              <w:keepLines w:val="0"/>
              <w:widowControl/>
              <w:suppressLineNumbers w:val="0"/>
              <w:jc w:val="center"/>
              <w:textAlignment w:val="bottom"/>
              <w:rPr>
                <w:rFonts w:ascii="Times New Roman" w:hAnsi="Times New Roman" w:eastAsia="仿宋_GB2312" w:cs="Times New Roman"/>
                <w:color w:val="auto"/>
                <w:kern w:val="0"/>
                <w:szCs w:val="21"/>
              </w:rPr>
            </w:pPr>
            <w:r>
              <w:rPr>
                <w:rFonts w:hint="default" w:ascii="Times New Roman" w:hAnsi="Times New Roman" w:eastAsia="宋体" w:cs="Times New Roman"/>
                <w:i w:val="0"/>
                <w:iCs w:val="0"/>
                <w:color w:val="auto"/>
                <w:kern w:val="0"/>
                <w:sz w:val="21"/>
                <w:szCs w:val="21"/>
                <w:u w:val="none"/>
                <w:lang w:val="en-US" w:eastAsia="zh-CN" w:bidi="ar"/>
              </w:rPr>
              <w:t>336-063-17</w:t>
            </w:r>
          </w:p>
        </w:tc>
        <w:tc>
          <w:tcPr>
            <w:tcW w:w="614" w:type="pct"/>
            <w:shd w:val="clear" w:color="auto" w:fill="auto"/>
            <w:vAlign w:val="center"/>
          </w:tcPr>
          <w:p w14:paraId="3BB9CFEC">
            <w:pPr>
              <w:widowControl/>
              <w:spacing w:line="300" w:lineRule="exact"/>
              <w:jc w:val="center"/>
              <w:rPr>
                <w:rFonts w:hint="default" w:ascii="Times New Roman" w:hAnsi="Times New Roman" w:eastAsia="仿宋_GB2312" w:cs="Times New Roman"/>
                <w:color w:val="auto"/>
                <w:kern w:val="0"/>
                <w:szCs w:val="21"/>
                <w:lang w:val="en-US" w:eastAsia="zh-CN"/>
              </w:rPr>
            </w:pPr>
            <w:r>
              <w:rPr>
                <w:rFonts w:hint="default" w:ascii="Times New Roman" w:hAnsi="Times New Roman" w:eastAsia="仿宋_GB2312" w:cs="Times New Roman"/>
                <w:color w:val="auto"/>
                <w:kern w:val="0"/>
                <w:szCs w:val="21"/>
                <w:lang w:val="en-US" w:eastAsia="zh-CN"/>
              </w:rPr>
              <w:t>48.629</w:t>
            </w:r>
          </w:p>
        </w:tc>
        <w:tc>
          <w:tcPr>
            <w:tcW w:w="339" w:type="pct"/>
            <w:vAlign w:val="center"/>
          </w:tcPr>
          <w:p w14:paraId="500C2131">
            <w:pPr>
              <w:widowControl/>
              <w:spacing w:line="300" w:lineRule="exact"/>
              <w:jc w:val="center"/>
              <w:rPr>
                <w:rFonts w:hint="default" w:eastAsia="仿宋_GB2312"/>
                <w:color w:val="auto"/>
                <w:kern w:val="0"/>
                <w:szCs w:val="21"/>
                <w:lang w:val="en-US" w:eastAsia="zh-CN"/>
              </w:rPr>
            </w:pPr>
            <w:r>
              <w:rPr>
                <w:rFonts w:hint="eastAsia" w:eastAsia="仿宋_GB2312"/>
                <w:color w:val="auto"/>
                <w:kern w:val="0"/>
                <w:szCs w:val="21"/>
                <w:lang w:val="en-US" w:eastAsia="zh-CN"/>
              </w:rPr>
              <w:t>离心</w:t>
            </w:r>
          </w:p>
        </w:tc>
        <w:tc>
          <w:tcPr>
            <w:tcW w:w="343" w:type="pct"/>
            <w:vAlign w:val="center"/>
          </w:tcPr>
          <w:p w14:paraId="66F033F0">
            <w:pPr>
              <w:widowControl/>
              <w:spacing w:line="300" w:lineRule="exact"/>
              <w:jc w:val="center"/>
              <w:rPr>
                <w:rFonts w:hint="eastAsia" w:eastAsia="仿宋_GB2312"/>
                <w:color w:val="auto"/>
                <w:kern w:val="0"/>
                <w:szCs w:val="21"/>
                <w:lang w:val="en-US" w:eastAsia="zh-CN"/>
              </w:rPr>
            </w:pPr>
            <w:r>
              <w:rPr>
                <w:rFonts w:hint="eastAsia" w:eastAsia="仿宋_GB2312"/>
                <w:color w:val="auto"/>
                <w:kern w:val="0"/>
                <w:szCs w:val="21"/>
                <w:lang w:val="en-US" w:eastAsia="zh-CN"/>
              </w:rPr>
              <w:t>固态</w:t>
            </w:r>
          </w:p>
        </w:tc>
        <w:tc>
          <w:tcPr>
            <w:tcW w:w="786" w:type="pct"/>
            <w:shd w:val="clear" w:color="auto" w:fill="auto"/>
            <w:vAlign w:val="center"/>
          </w:tcPr>
          <w:p w14:paraId="133F76CC">
            <w:pPr>
              <w:widowControl/>
              <w:spacing w:line="300" w:lineRule="exact"/>
              <w:jc w:val="center"/>
              <w:rPr>
                <w:rFonts w:ascii="Times New Roman" w:hAnsi="Times New Roman" w:eastAsia="仿宋_GB2312" w:cs="Times New Roman"/>
                <w:color w:val="auto"/>
                <w:kern w:val="0"/>
                <w:sz w:val="21"/>
                <w:szCs w:val="21"/>
                <w:lang w:val="en-US" w:eastAsia="zh-CN" w:bidi="ar-SA"/>
              </w:rPr>
            </w:pPr>
            <w:r>
              <w:rPr>
                <w:rFonts w:eastAsia="仿宋_GB2312"/>
                <w:color w:val="auto"/>
                <w:kern w:val="0"/>
                <w:szCs w:val="21"/>
              </w:rPr>
              <w:t>水、有机物、盐分、杂质</w:t>
            </w:r>
          </w:p>
        </w:tc>
        <w:tc>
          <w:tcPr>
            <w:tcW w:w="681" w:type="pct"/>
            <w:shd w:val="clear" w:color="auto" w:fill="auto"/>
            <w:vAlign w:val="center"/>
          </w:tcPr>
          <w:p w14:paraId="1629425D">
            <w:pPr>
              <w:widowControl/>
              <w:spacing w:line="300" w:lineRule="exact"/>
              <w:jc w:val="center"/>
              <w:rPr>
                <w:rFonts w:ascii="Times New Roman" w:hAnsi="Times New Roman" w:eastAsia="仿宋_GB2312" w:cs="Times New Roman"/>
                <w:color w:val="auto"/>
                <w:kern w:val="0"/>
                <w:sz w:val="21"/>
                <w:szCs w:val="21"/>
                <w:lang w:val="en-US" w:eastAsia="zh-CN" w:bidi="ar-SA"/>
              </w:rPr>
            </w:pPr>
            <w:r>
              <w:rPr>
                <w:rFonts w:eastAsia="仿宋_GB2312"/>
                <w:color w:val="auto"/>
                <w:kern w:val="0"/>
                <w:szCs w:val="21"/>
              </w:rPr>
              <w:t>有机物、盐分、杂质</w:t>
            </w:r>
          </w:p>
        </w:tc>
        <w:tc>
          <w:tcPr>
            <w:tcW w:w="286" w:type="pct"/>
            <w:shd w:val="clear" w:color="auto" w:fill="auto"/>
            <w:vAlign w:val="center"/>
          </w:tcPr>
          <w:p w14:paraId="087412CF">
            <w:pPr>
              <w:widowControl/>
              <w:spacing w:line="300" w:lineRule="exact"/>
              <w:jc w:val="center"/>
              <w:rPr>
                <w:rFonts w:ascii="Times New Roman" w:hAnsi="Times New Roman" w:eastAsia="仿宋_GB2312" w:cs="Times New Roman"/>
                <w:color w:val="auto"/>
                <w:kern w:val="0"/>
                <w:sz w:val="21"/>
                <w:szCs w:val="21"/>
                <w:lang w:val="en-US" w:eastAsia="zh-CN" w:bidi="ar-SA"/>
              </w:rPr>
            </w:pPr>
            <w:r>
              <w:rPr>
                <w:rFonts w:eastAsia="仿宋_GB2312"/>
                <w:color w:val="auto"/>
                <w:kern w:val="0"/>
                <w:szCs w:val="21"/>
              </w:rPr>
              <w:t>1d</w:t>
            </w:r>
          </w:p>
        </w:tc>
        <w:tc>
          <w:tcPr>
            <w:tcW w:w="313" w:type="pct"/>
            <w:shd w:val="clear" w:color="auto" w:fill="auto"/>
            <w:vAlign w:val="center"/>
          </w:tcPr>
          <w:p w14:paraId="44E8DE6F">
            <w:pPr>
              <w:widowControl/>
              <w:spacing w:line="300" w:lineRule="exact"/>
              <w:jc w:val="center"/>
              <w:rPr>
                <w:rFonts w:ascii="Times New Roman" w:hAnsi="Times New Roman" w:eastAsia="仿宋_GB2312" w:cs="Times New Roman"/>
                <w:color w:val="auto"/>
                <w:kern w:val="0"/>
                <w:sz w:val="21"/>
                <w:szCs w:val="21"/>
                <w:lang w:val="en-US" w:eastAsia="zh-CN" w:bidi="ar-SA"/>
              </w:rPr>
            </w:pPr>
            <w:r>
              <w:rPr>
                <w:rFonts w:eastAsia="仿宋_GB2312"/>
                <w:color w:val="auto"/>
                <w:kern w:val="0"/>
                <w:szCs w:val="21"/>
              </w:rPr>
              <w:t>T</w:t>
            </w:r>
          </w:p>
        </w:tc>
        <w:tc>
          <w:tcPr>
            <w:tcW w:w="436" w:type="pct"/>
            <w:vMerge w:val="continue"/>
            <w:vAlign w:val="center"/>
          </w:tcPr>
          <w:p w14:paraId="7CF7C152">
            <w:pPr>
              <w:pStyle w:val="487"/>
              <w:adjustRightInd w:val="0"/>
              <w:snapToGrid w:val="0"/>
              <w:spacing w:line="320" w:lineRule="exact"/>
              <w:jc w:val="center"/>
              <w:rPr>
                <w:rFonts w:ascii="Times New Roman" w:hAnsi="Times New Roman" w:cs="Times New Roman"/>
                <w:color w:val="auto"/>
              </w:rPr>
            </w:pPr>
          </w:p>
        </w:tc>
      </w:tr>
      <w:tr w14:paraId="6EE828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40" w:hRule="atLeast"/>
          <w:jc w:val="center"/>
        </w:trPr>
        <w:tc>
          <w:tcPr>
            <w:tcW w:w="431" w:type="pct"/>
            <w:vAlign w:val="center"/>
          </w:tcPr>
          <w:p w14:paraId="71938E10">
            <w:pPr>
              <w:widowControl/>
              <w:spacing w:line="300" w:lineRule="exact"/>
              <w:jc w:val="center"/>
              <w:rPr>
                <w:rFonts w:hint="default" w:eastAsia="仿宋_GB2312"/>
                <w:color w:val="auto"/>
                <w:kern w:val="0"/>
                <w:szCs w:val="21"/>
                <w:lang w:val="en-US" w:eastAsia="zh-CN"/>
              </w:rPr>
            </w:pPr>
            <w:r>
              <w:rPr>
                <w:rFonts w:hint="eastAsia" w:eastAsia="仿宋_GB2312"/>
                <w:color w:val="auto"/>
                <w:kern w:val="0"/>
                <w:szCs w:val="21"/>
                <w:lang w:val="en-US" w:eastAsia="zh-CN"/>
              </w:rPr>
              <w:t>生化污泥</w:t>
            </w:r>
          </w:p>
        </w:tc>
        <w:tc>
          <w:tcPr>
            <w:tcW w:w="339" w:type="pct"/>
            <w:vAlign w:val="center"/>
          </w:tcPr>
          <w:p w14:paraId="32335F9B">
            <w:pPr>
              <w:keepNext w:val="0"/>
              <w:keepLines w:val="0"/>
              <w:suppressLineNumbers w:val="0"/>
              <w:snapToGrid w:val="0"/>
              <w:spacing w:before="0" w:beforeAutospacing="0" w:after="0" w:afterAutospacing="0" w:line="256" w:lineRule="exact"/>
              <w:ind w:left="0" w:leftChars="0" w:right="0" w:rightChars="0"/>
              <w:jc w:val="center"/>
              <w:rPr>
                <w:rFonts w:eastAsia="仿宋_GB2312"/>
                <w:color w:val="auto"/>
                <w:kern w:val="0"/>
                <w:szCs w:val="21"/>
              </w:rPr>
            </w:pPr>
            <w:r>
              <w:rPr>
                <w:rFonts w:hint="eastAsia" w:eastAsia="仿宋_GB2312"/>
                <w:bCs/>
                <w:color w:val="auto"/>
                <w:szCs w:val="21"/>
              </w:rPr>
              <w:t>HW17</w:t>
            </w:r>
          </w:p>
        </w:tc>
        <w:tc>
          <w:tcPr>
            <w:tcW w:w="426" w:type="pct"/>
            <w:vAlign w:val="center"/>
          </w:tcPr>
          <w:p w14:paraId="52931E5A">
            <w:pPr>
              <w:keepNext w:val="0"/>
              <w:keepLines w:val="0"/>
              <w:suppressLineNumbers w:val="0"/>
              <w:snapToGrid w:val="0"/>
              <w:spacing w:before="0" w:beforeAutospacing="0" w:after="0" w:afterAutospacing="0" w:line="256" w:lineRule="exact"/>
              <w:ind w:left="0" w:leftChars="0" w:right="0" w:rightChars="0"/>
              <w:jc w:val="center"/>
              <w:rPr>
                <w:rFonts w:ascii="Times New Roman" w:hAnsi="Times New Roman" w:eastAsia="仿宋_GB2312" w:cs="Times New Roman"/>
                <w:color w:val="auto"/>
                <w:kern w:val="0"/>
                <w:szCs w:val="21"/>
              </w:rPr>
            </w:pPr>
            <w:r>
              <w:rPr>
                <w:rFonts w:hint="eastAsia" w:eastAsia="仿宋_GB2312"/>
                <w:bCs/>
                <w:color w:val="auto"/>
                <w:szCs w:val="21"/>
              </w:rPr>
              <w:t>336-063-17</w:t>
            </w:r>
          </w:p>
        </w:tc>
        <w:tc>
          <w:tcPr>
            <w:tcW w:w="614" w:type="pct"/>
            <w:shd w:val="clear" w:color="auto" w:fill="auto"/>
            <w:vAlign w:val="center"/>
          </w:tcPr>
          <w:p w14:paraId="2D9CB35C">
            <w:pPr>
              <w:widowControl/>
              <w:spacing w:line="300" w:lineRule="exact"/>
              <w:jc w:val="center"/>
              <w:rPr>
                <w:rFonts w:hint="default" w:ascii="Times New Roman" w:hAnsi="Times New Roman" w:eastAsia="仿宋_GB2312" w:cs="Times New Roman"/>
                <w:color w:val="auto"/>
                <w:kern w:val="0"/>
                <w:szCs w:val="21"/>
                <w:lang w:val="en-US" w:eastAsia="zh-CN"/>
              </w:rPr>
            </w:pPr>
            <w:r>
              <w:rPr>
                <w:rFonts w:hint="eastAsia" w:ascii="Times New Roman" w:hAnsi="Times New Roman" w:eastAsia="仿宋_GB2312" w:cs="Times New Roman"/>
                <w:color w:val="auto"/>
                <w:kern w:val="0"/>
                <w:szCs w:val="21"/>
                <w:lang w:val="en-US" w:eastAsia="zh-CN"/>
              </w:rPr>
              <w:t>80</w:t>
            </w:r>
          </w:p>
        </w:tc>
        <w:tc>
          <w:tcPr>
            <w:tcW w:w="339" w:type="pct"/>
            <w:vAlign w:val="center"/>
          </w:tcPr>
          <w:p w14:paraId="0FB88105">
            <w:pPr>
              <w:widowControl/>
              <w:spacing w:line="300" w:lineRule="exact"/>
              <w:jc w:val="center"/>
              <w:rPr>
                <w:rFonts w:hint="eastAsia" w:eastAsia="仿宋_GB2312"/>
                <w:color w:val="auto"/>
                <w:kern w:val="0"/>
                <w:szCs w:val="21"/>
                <w:lang w:val="en-US" w:eastAsia="zh-CN"/>
              </w:rPr>
            </w:pPr>
            <w:r>
              <w:rPr>
                <w:rFonts w:hint="eastAsia" w:eastAsia="仿宋_GB2312"/>
                <w:color w:val="auto"/>
                <w:kern w:val="0"/>
                <w:szCs w:val="21"/>
                <w:lang w:val="en-US" w:eastAsia="zh-CN"/>
              </w:rPr>
              <w:t>污水处理</w:t>
            </w:r>
          </w:p>
        </w:tc>
        <w:tc>
          <w:tcPr>
            <w:tcW w:w="343" w:type="pct"/>
            <w:vAlign w:val="center"/>
          </w:tcPr>
          <w:p w14:paraId="276407BB">
            <w:pPr>
              <w:widowControl/>
              <w:spacing w:line="300" w:lineRule="exact"/>
              <w:jc w:val="center"/>
              <w:rPr>
                <w:rFonts w:hint="eastAsia" w:eastAsia="仿宋_GB2312"/>
                <w:color w:val="auto"/>
                <w:kern w:val="0"/>
                <w:szCs w:val="21"/>
                <w:lang w:val="en-US" w:eastAsia="zh-CN"/>
              </w:rPr>
            </w:pPr>
            <w:r>
              <w:rPr>
                <w:rFonts w:hint="eastAsia" w:eastAsia="仿宋_GB2312"/>
                <w:color w:val="auto"/>
                <w:kern w:val="0"/>
                <w:szCs w:val="21"/>
                <w:lang w:val="en-US" w:eastAsia="zh-CN"/>
              </w:rPr>
              <w:t>固态</w:t>
            </w:r>
          </w:p>
        </w:tc>
        <w:tc>
          <w:tcPr>
            <w:tcW w:w="786" w:type="pct"/>
            <w:vAlign w:val="center"/>
          </w:tcPr>
          <w:p w14:paraId="40D6DFF1">
            <w:pPr>
              <w:widowControl/>
              <w:spacing w:line="300" w:lineRule="exact"/>
              <w:jc w:val="center"/>
              <w:rPr>
                <w:rFonts w:hint="default" w:eastAsia="仿宋_GB2312"/>
                <w:color w:val="auto"/>
                <w:kern w:val="0"/>
                <w:szCs w:val="21"/>
                <w:lang w:val="en-US" w:eastAsia="zh-CN"/>
              </w:rPr>
            </w:pPr>
            <w:r>
              <w:rPr>
                <w:rFonts w:hint="eastAsia" w:eastAsia="仿宋_GB2312"/>
                <w:color w:val="auto"/>
                <w:kern w:val="0"/>
                <w:szCs w:val="21"/>
                <w:lang w:val="en-US" w:eastAsia="zh-CN"/>
              </w:rPr>
              <w:t>甲苯、二甲苯等有机物</w:t>
            </w:r>
          </w:p>
        </w:tc>
        <w:tc>
          <w:tcPr>
            <w:tcW w:w="681" w:type="pct"/>
            <w:vAlign w:val="center"/>
          </w:tcPr>
          <w:p w14:paraId="37ED5042">
            <w:pPr>
              <w:widowControl/>
              <w:spacing w:line="300" w:lineRule="exact"/>
              <w:jc w:val="center"/>
              <w:rPr>
                <w:rFonts w:eastAsia="仿宋_GB2312"/>
                <w:color w:val="auto"/>
                <w:kern w:val="0"/>
                <w:szCs w:val="21"/>
              </w:rPr>
            </w:pPr>
            <w:r>
              <w:rPr>
                <w:rFonts w:hint="eastAsia" w:eastAsia="仿宋_GB2312"/>
                <w:color w:val="auto"/>
                <w:kern w:val="0"/>
                <w:szCs w:val="21"/>
                <w:lang w:val="en-US" w:eastAsia="zh-CN"/>
              </w:rPr>
              <w:t>甲苯、二甲苯等有机物</w:t>
            </w:r>
          </w:p>
        </w:tc>
        <w:tc>
          <w:tcPr>
            <w:tcW w:w="286" w:type="pct"/>
            <w:shd w:val="clear" w:color="auto" w:fill="auto"/>
            <w:vAlign w:val="center"/>
          </w:tcPr>
          <w:p w14:paraId="447691BD">
            <w:pPr>
              <w:widowControl/>
              <w:spacing w:line="300" w:lineRule="exact"/>
              <w:jc w:val="center"/>
              <w:rPr>
                <w:rFonts w:ascii="Times New Roman" w:hAnsi="Times New Roman" w:eastAsia="仿宋_GB2312" w:cs="Times New Roman"/>
                <w:color w:val="auto"/>
                <w:kern w:val="0"/>
                <w:sz w:val="21"/>
                <w:szCs w:val="21"/>
                <w:lang w:val="en-US" w:eastAsia="zh-CN" w:bidi="ar-SA"/>
              </w:rPr>
            </w:pPr>
            <w:r>
              <w:rPr>
                <w:rFonts w:eastAsia="仿宋_GB2312"/>
                <w:color w:val="auto"/>
                <w:kern w:val="0"/>
                <w:szCs w:val="21"/>
              </w:rPr>
              <w:t>1d</w:t>
            </w:r>
          </w:p>
        </w:tc>
        <w:tc>
          <w:tcPr>
            <w:tcW w:w="313" w:type="pct"/>
            <w:shd w:val="clear" w:color="auto" w:fill="auto"/>
            <w:vAlign w:val="center"/>
          </w:tcPr>
          <w:p w14:paraId="579CB091">
            <w:pPr>
              <w:widowControl/>
              <w:spacing w:line="300" w:lineRule="exact"/>
              <w:jc w:val="center"/>
              <w:rPr>
                <w:rFonts w:ascii="Times New Roman" w:hAnsi="Times New Roman" w:eastAsia="仿宋_GB2312" w:cs="Times New Roman"/>
                <w:color w:val="auto"/>
                <w:kern w:val="0"/>
                <w:sz w:val="21"/>
                <w:szCs w:val="21"/>
                <w:lang w:val="en-US" w:eastAsia="zh-CN" w:bidi="ar-SA"/>
              </w:rPr>
            </w:pPr>
            <w:r>
              <w:rPr>
                <w:rFonts w:eastAsia="仿宋_GB2312"/>
                <w:color w:val="auto"/>
                <w:kern w:val="0"/>
                <w:szCs w:val="21"/>
              </w:rPr>
              <w:t>T</w:t>
            </w:r>
          </w:p>
        </w:tc>
        <w:tc>
          <w:tcPr>
            <w:tcW w:w="436" w:type="pct"/>
            <w:vMerge w:val="continue"/>
            <w:vAlign w:val="center"/>
          </w:tcPr>
          <w:p w14:paraId="391EAE6D">
            <w:pPr>
              <w:pStyle w:val="487"/>
              <w:adjustRightInd w:val="0"/>
              <w:snapToGrid w:val="0"/>
              <w:spacing w:line="320" w:lineRule="exact"/>
              <w:jc w:val="center"/>
              <w:rPr>
                <w:rFonts w:ascii="Times New Roman" w:hAnsi="Times New Roman" w:cs="Times New Roman"/>
                <w:color w:val="auto"/>
              </w:rPr>
            </w:pPr>
          </w:p>
        </w:tc>
      </w:tr>
      <w:tr w14:paraId="6A66F8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40" w:hRule="atLeast"/>
          <w:jc w:val="center"/>
        </w:trPr>
        <w:tc>
          <w:tcPr>
            <w:tcW w:w="431" w:type="pct"/>
            <w:vAlign w:val="center"/>
          </w:tcPr>
          <w:p w14:paraId="2E02289F">
            <w:pPr>
              <w:pStyle w:val="487"/>
              <w:adjustRightInd w:val="0"/>
              <w:snapToGrid w:val="0"/>
              <w:spacing w:line="320" w:lineRule="exact"/>
              <w:jc w:val="center"/>
              <w:rPr>
                <w:rFonts w:ascii="Times New Roman" w:hAnsi="Times New Roman" w:cs="Times New Roman"/>
                <w:color w:val="auto"/>
              </w:rPr>
            </w:pPr>
            <w:r>
              <w:rPr>
                <w:rFonts w:ascii="Times New Roman" w:hAnsi="Times New Roman" w:cs="Times New Roman"/>
                <w:color w:val="auto"/>
              </w:rPr>
              <w:t>废包装桶</w:t>
            </w:r>
          </w:p>
        </w:tc>
        <w:tc>
          <w:tcPr>
            <w:tcW w:w="339" w:type="pct"/>
            <w:vAlign w:val="center"/>
          </w:tcPr>
          <w:p w14:paraId="23DD2352">
            <w:pPr>
              <w:pStyle w:val="487"/>
              <w:adjustRightInd w:val="0"/>
              <w:snapToGrid w:val="0"/>
              <w:spacing w:line="320" w:lineRule="exact"/>
              <w:jc w:val="center"/>
              <w:rPr>
                <w:rFonts w:ascii="Times New Roman" w:hAnsi="Times New Roman" w:cs="Times New Roman"/>
                <w:color w:val="auto"/>
              </w:rPr>
            </w:pPr>
            <w:r>
              <w:rPr>
                <w:rFonts w:ascii="Times New Roman" w:hAnsi="Times New Roman" w:cs="Times New Roman"/>
                <w:color w:val="auto"/>
              </w:rPr>
              <w:t>HW49</w:t>
            </w:r>
          </w:p>
        </w:tc>
        <w:tc>
          <w:tcPr>
            <w:tcW w:w="426" w:type="pct"/>
            <w:vAlign w:val="center"/>
          </w:tcPr>
          <w:p w14:paraId="75A0C62B">
            <w:pPr>
              <w:pStyle w:val="487"/>
              <w:adjustRightInd w:val="0"/>
              <w:snapToGrid w:val="0"/>
              <w:spacing w:line="320" w:lineRule="exact"/>
              <w:jc w:val="center"/>
              <w:rPr>
                <w:rFonts w:ascii="Times New Roman" w:hAnsi="Times New Roman" w:cs="Times New Roman"/>
                <w:color w:val="auto"/>
              </w:rPr>
            </w:pPr>
            <w:r>
              <w:rPr>
                <w:rFonts w:ascii="Times New Roman" w:hAnsi="Times New Roman" w:cs="Times New Roman"/>
                <w:color w:val="auto"/>
              </w:rPr>
              <w:t>900-041-49</w:t>
            </w:r>
          </w:p>
        </w:tc>
        <w:tc>
          <w:tcPr>
            <w:tcW w:w="614" w:type="pct"/>
            <w:vAlign w:val="center"/>
          </w:tcPr>
          <w:p w14:paraId="33DF6778">
            <w:pPr>
              <w:pStyle w:val="487"/>
              <w:adjustRightInd w:val="0"/>
              <w:snapToGrid w:val="0"/>
              <w:spacing w:line="320" w:lineRule="exact"/>
              <w:jc w:val="center"/>
              <w:rPr>
                <w:rFonts w:ascii="Times New Roman" w:hAnsi="Times New Roman" w:cs="Times New Roman"/>
                <w:color w:val="auto"/>
              </w:rPr>
            </w:pPr>
            <w:r>
              <w:rPr>
                <w:rFonts w:hint="default" w:ascii="Times New Roman" w:hAnsi="Times New Roman" w:cs="Times New Roman"/>
                <w:color w:val="auto"/>
              </w:rPr>
              <w:t>200L以上规格废包装桶</w:t>
            </w:r>
            <w:r>
              <w:rPr>
                <w:rFonts w:hint="eastAsia" w:ascii="Times New Roman" w:hAnsi="Times New Roman" w:cs="Times New Roman"/>
                <w:color w:val="auto"/>
                <w:lang w:val="en-US" w:eastAsia="zh-CN"/>
              </w:rPr>
              <w:t>31</w:t>
            </w:r>
            <w:r>
              <w:rPr>
                <w:rFonts w:hint="default" w:ascii="Times New Roman" w:hAnsi="Times New Roman" w:cs="Times New Roman"/>
                <w:color w:val="auto"/>
              </w:rPr>
              <w:t>万只/年（</w:t>
            </w:r>
            <w:r>
              <w:rPr>
                <w:rFonts w:hint="eastAsia" w:ascii="Times New Roman" w:hAnsi="Times New Roman" w:cs="Times New Roman"/>
                <w:color w:val="auto"/>
                <w:lang w:val="en-US" w:eastAsia="zh-CN"/>
              </w:rPr>
              <w:t>60</w:t>
            </w:r>
            <w:r>
              <w:rPr>
                <w:rFonts w:hint="default" w:ascii="Times New Roman" w:hAnsi="Times New Roman" w:cs="Times New Roman"/>
                <w:color w:val="auto"/>
              </w:rPr>
              <w:t>00t/a），200L以下规格废包装桶</w:t>
            </w:r>
            <w:r>
              <w:rPr>
                <w:rFonts w:hint="eastAsia" w:ascii="Times New Roman" w:hAnsi="Times New Roman" w:cs="Times New Roman"/>
                <w:color w:val="auto"/>
                <w:lang w:val="en-US" w:eastAsia="zh-CN"/>
              </w:rPr>
              <w:t>138</w:t>
            </w:r>
            <w:r>
              <w:rPr>
                <w:rFonts w:hint="default" w:ascii="Times New Roman" w:hAnsi="Times New Roman" w:cs="Times New Roman"/>
                <w:color w:val="auto"/>
              </w:rPr>
              <w:t>t/a</w:t>
            </w:r>
          </w:p>
        </w:tc>
        <w:tc>
          <w:tcPr>
            <w:tcW w:w="339" w:type="pct"/>
            <w:vAlign w:val="center"/>
          </w:tcPr>
          <w:p w14:paraId="1C912636">
            <w:pPr>
              <w:pStyle w:val="487"/>
              <w:adjustRightInd w:val="0"/>
              <w:snapToGrid w:val="0"/>
              <w:spacing w:line="320" w:lineRule="exact"/>
              <w:jc w:val="center"/>
              <w:rPr>
                <w:rFonts w:ascii="Times New Roman" w:hAnsi="Times New Roman" w:cs="Times New Roman"/>
                <w:color w:val="auto"/>
              </w:rPr>
            </w:pPr>
            <w:r>
              <w:rPr>
                <w:rFonts w:ascii="Times New Roman" w:hAnsi="Times New Roman" w:cs="Times New Roman"/>
                <w:color w:val="auto"/>
              </w:rPr>
              <w:t>原料包装</w:t>
            </w:r>
          </w:p>
        </w:tc>
        <w:tc>
          <w:tcPr>
            <w:tcW w:w="343" w:type="pct"/>
            <w:vAlign w:val="center"/>
          </w:tcPr>
          <w:p w14:paraId="0773A144">
            <w:pPr>
              <w:pStyle w:val="487"/>
              <w:adjustRightInd w:val="0"/>
              <w:snapToGrid w:val="0"/>
              <w:spacing w:line="320" w:lineRule="exact"/>
              <w:jc w:val="center"/>
              <w:rPr>
                <w:rFonts w:ascii="Times New Roman" w:hAnsi="Times New Roman" w:cs="Times New Roman"/>
                <w:color w:val="auto"/>
              </w:rPr>
            </w:pPr>
            <w:r>
              <w:rPr>
                <w:rFonts w:ascii="Times New Roman" w:hAnsi="Times New Roman" w:cs="Times New Roman"/>
                <w:color w:val="auto"/>
              </w:rPr>
              <w:t>固态</w:t>
            </w:r>
          </w:p>
        </w:tc>
        <w:tc>
          <w:tcPr>
            <w:tcW w:w="786" w:type="pct"/>
            <w:vAlign w:val="center"/>
          </w:tcPr>
          <w:p w14:paraId="79FE514A">
            <w:pPr>
              <w:pStyle w:val="487"/>
              <w:adjustRightInd w:val="0"/>
              <w:snapToGrid w:val="0"/>
              <w:spacing w:line="320" w:lineRule="exact"/>
              <w:jc w:val="center"/>
              <w:rPr>
                <w:rFonts w:ascii="Times New Roman" w:hAnsi="Times New Roman" w:cs="Times New Roman"/>
                <w:color w:val="auto"/>
              </w:rPr>
            </w:pPr>
            <w:r>
              <w:rPr>
                <w:rFonts w:ascii="Times New Roman" w:hAnsi="Times New Roman" w:cs="Times New Roman"/>
                <w:color w:val="auto"/>
              </w:rPr>
              <w:t>包装桶、沾染的甲苯、乙腈、丁酮等有机物</w:t>
            </w:r>
          </w:p>
        </w:tc>
        <w:tc>
          <w:tcPr>
            <w:tcW w:w="681" w:type="pct"/>
            <w:vAlign w:val="center"/>
          </w:tcPr>
          <w:p w14:paraId="2C818ECD">
            <w:pPr>
              <w:pStyle w:val="487"/>
              <w:adjustRightInd w:val="0"/>
              <w:snapToGrid w:val="0"/>
              <w:spacing w:line="320" w:lineRule="exact"/>
              <w:jc w:val="center"/>
              <w:rPr>
                <w:rFonts w:ascii="Times New Roman" w:hAnsi="Times New Roman" w:cs="Times New Roman"/>
                <w:color w:val="auto"/>
              </w:rPr>
            </w:pPr>
            <w:r>
              <w:rPr>
                <w:rFonts w:ascii="Times New Roman" w:hAnsi="Times New Roman" w:cs="Times New Roman"/>
                <w:color w:val="auto"/>
              </w:rPr>
              <w:t>沾染的甲苯、乙腈、丁酮等有机物</w:t>
            </w:r>
          </w:p>
        </w:tc>
        <w:tc>
          <w:tcPr>
            <w:tcW w:w="286" w:type="pct"/>
            <w:vAlign w:val="center"/>
          </w:tcPr>
          <w:p w14:paraId="01501F53">
            <w:pPr>
              <w:pStyle w:val="487"/>
              <w:adjustRightInd w:val="0"/>
              <w:snapToGrid w:val="0"/>
              <w:spacing w:line="320" w:lineRule="exact"/>
              <w:jc w:val="center"/>
              <w:rPr>
                <w:rFonts w:ascii="Times New Roman" w:hAnsi="Times New Roman" w:cs="Times New Roman"/>
                <w:color w:val="auto"/>
              </w:rPr>
            </w:pPr>
            <w:r>
              <w:rPr>
                <w:rFonts w:ascii="Times New Roman" w:hAnsi="Times New Roman" w:cs="Times New Roman"/>
                <w:color w:val="auto"/>
              </w:rPr>
              <w:t>1d</w:t>
            </w:r>
          </w:p>
        </w:tc>
        <w:tc>
          <w:tcPr>
            <w:tcW w:w="313" w:type="pct"/>
            <w:vAlign w:val="center"/>
          </w:tcPr>
          <w:p w14:paraId="79CE6640">
            <w:pPr>
              <w:pStyle w:val="487"/>
              <w:adjustRightInd w:val="0"/>
              <w:snapToGrid w:val="0"/>
              <w:spacing w:line="320" w:lineRule="exact"/>
              <w:jc w:val="center"/>
              <w:rPr>
                <w:rFonts w:ascii="Times New Roman" w:hAnsi="Times New Roman" w:cs="Times New Roman"/>
                <w:color w:val="auto"/>
              </w:rPr>
            </w:pPr>
            <w:r>
              <w:rPr>
                <w:rFonts w:ascii="Times New Roman" w:hAnsi="Times New Roman" w:cs="Times New Roman"/>
                <w:color w:val="auto"/>
              </w:rPr>
              <w:t>T/In</w:t>
            </w:r>
          </w:p>
        </w:tc>
        <w:tc>
          <w:tcPr>
            <w:tcW w:w="436" w:type="pct"/>
            <w:vAlign w:val="center"/>
          </w:tcPr>
          <w:p w14:paraId="7E35A0CE">
            <w:pPr>
              <w:pStyle w:val="487"/>
              <w:adjustRightInd w:val="0"/>
              <w:snapToGrid w:val="0"/>
              <w:spacing w:line="320" w:lineRule="exact"/>
              <w:jc w:val="center"/>
              <w:rPr>
                <w:rFonts w:ascii="Times New Roman" w:hAnsi="Times New Roman" w:cs="Times New Roman"/>
                <w:color w:val="auto"/>
              </w:rPr>
            </w:pPr>
            <w:r>
              <w:rPr>
                <w:rFonts w:ascii="Times New Roman" w:hAnsi="Times New Roman" w:cs="Times New Roman"/>
                <w:color w:val="auto"/>
              </w:rPr>
              <w:t>委托有资质单位处置</w:t>
            </w:r>
          </w:p>
        </w:tc>
      </w:tr>
    </w:tbl>
    <w:p w14:paraId="2FB84D01">
      <w:pPr>
        <w:spacing w:line="500" w:lineRule="exact"/>
        <w:ind w:firstLine="560" w:firstLineChars="200"/>
        <w:jc w:val="left"/>
        <w:rPr>
          <w:rFonts w:eastAsia="仿宋_GB2312"/>
          <w:color w:val="FF0000"/>
          <w:sz w:val="28"/>
          <w:szCs w:val="28"/>
        </w:rPr>
      </w:pPr>
    </w:p>
    <w:p w14:paraId="7D41A737">
      <w:pPr>
        <w:spacing w:line="500" w:lineRule="exact"/>
        <w:ind w:firstLine="560" w:firstLineChars="200"/>
        <w:jc w:val="left"/>
        <w:rPr>
          <w:rFonts w:eastAsia="仿宋_GB2312"/>
          <w:color w:val="FF0000"/>
          <w:sz w:val="28"/>
          <w:szCs w:val="28"/>
        </w:rPr>
        <w:sectPr>
          <w:pgSz w:w="16838" w:h="11906" w:orient="landscape"/>
          <w:pgMar w:top="1440" w:right="1800" w:bottom="1440" w:left="1800" w:header="851" w:footer="992" w:gutter="0"/>
          <w:pgBorders>
            <w:top w:val="none" w:sz="0" w:space="0"/>
            <w:left w:val="none" w:sz="0" w:space="0"/>
            <w:bottom w:val="none" w:sz="0" w:space="0"/>
            <w:right w:val="none" w:sz="0" w:space="0"/>
          </w:pgBorders>
          <w:pgNumType w:fmt="decimal"/>
          <w:cols w:space="425" w:num="1"/>
          <w:docGrid w:linePitch="312" w:charSpace="0"/>
        </w:sectPr>
      </w:pPr>
    </w:p>
    <w:p w14:paraId="5AB8DED7">
      <w:pPr>
        <w:pStyle w:val="6"/>
        <w:keepLines w:val="0"/>
        <w:tabs>
          <w:tab w:val="left" w:pos="709"/>
        </w:tabs>
        <w:spacing w:before="120" w:beforeLines="50" w:after="120" w:afterLines="50" w:line="500" w:lineRule="exact"/>
        <w:rPr>
          <w:rFonts w:eastAsia="仿宋_GB2312"/>
          <w:color w:val="auto"/>
          <w:sz w:val="30"/>
          <w:szCs w:val="30"/>
        </w:rPr>
      </w:pPr>
      <w:bookmarkStart w:id="65" w:name="_Toc23824"/>
      <w:r>
        <w:rPr>
          <w:rFonts w:eastAsia="仿宋_GB2312"/>
          <w:color w:val="auto"/>
          <w:sz w:val="30"/>
          <w:szCs w:val="30"/>
        </w:rPr>
        <w:t>3.9.4噪声污染物源强及排放情况</w:t>
      </w:r>
      <w:bookmarkEnd w:id="65"/>
    </w:p>
    <w:p w14:paraId="35AFFEB1">
      <w:pPr>
        <w:tabs>
          <w:tab w:val="left" w:pos="6840"/>
        </w:tabs>
        <w:spacing w:line="500" w:lineRule="exact"/>
        <w:ind w:firstLine="560" w:firstLineChars="200"/>
        <w:rPr>
          <w:rFonts w:eastAsia="仿宋_GB2312"/>
          <w:color w:val="auto"/>
          <w:sz w:val="28"/>
          <w:szCs w:val="28"/>
        </w:rPr>
      </w:pPr>
      <w:r>
        <w:rPr>
          <w:rFonts w:eastAsia="仿宋_GB2312"/>
          <w:color w:val="auto"/>
          <w:sz w:val="28"/>
          <w:szCs w:val="28"/>
        </w:rPr>
        <w:t>本项目噪声源以机械性噪声及空气噪声为主，主要噪声源设备为冷却塔、引风机等。本项目主要噪声污染源产生情况见</w:t>
      </w:r>
      <w:r>
        <w:rPr>
          <w:rFonts w:hint="eastAsia" w:eastAsia="仿宋_GB2312"/>
          <w:color w:val="auto"/>
          <w:sz w:val="28"/>
          <w:szCs w:val="28"/>
        </w:rPr>
        <w:t>下表</w:t>
      </w:r>
      <w:r>
        <w:rPr>
          <w:rFonts w:eastAsia="仿宋_GB2312"/>
          <w:color w:val="auto"/>
          <w:sz w:val="28"/>
          <w:szCs w:val="28"/>
        </w:rPr>
        <w:t>。</w:t>
      </w:r>
    </w:p>
    <w:p w14:paraId="362C033B">
      <w:pPr>
        <w:spacing w:line="500" w:lineRule="exact"/>
        <w:jc w:val="center"/>
        <w:rPr>
          <w:rFonts w:eastAsia="仿宋_GB2312"/>
          <w:b/>
          <w:color w:val="auto"/>
          <w:sz w:val="24"/>
        </w:rPr>
      </w:pPr>
      <w:r>
        <w:rPr>
          <w:rFonts w:hint="eastAsia" w:eastAsia="仿宋_GB2312"/>
          <w:b/>
          <w:color w:val="auto"/>
          <w:sz w:val="24"/>
        </w:rPr>
        <w:t>表</w:t>
      </w:r>
      <w:r>
        <w:rPr>
          <w:rFonts w:eastAsia="仿宋_GB2312"/>
          <w:b/>
          <w:color w:val="auto"/>
          <w:sz w:val="24"/>
        </w:rPr>
        <w:t>3.</w:t>
      </w:r>
      <w:r>
        <w:rPr>
          <w:rFonts w:hint="eastAsia" w:eastAsia="仿宋_GB2312"/>
          <w:b/>
          <w:color w:val="auto"/>
          <w:sz w:val="24"/>
          <w:lang w:val="en-US" w:eastAsia="zh-CN"/>
        </w:rPr>
        <w:t>9</w:t>
      </w:r>
      <w:r>
        <w:rPr>
          <w:rFonts w:hint="eastAsia" w:eastAsia="仿宋_GB2312"/>
          <w:b/>
          <w:color w:val="auto"/>
          <w:sz w:val="24"/>
        </w:rPr>
        <w:t>-1</w:t>
      </w:r>
      <w:r>
        <w:rPr>
          <w:rFonts w:hint="eastAsia" w:eastAsia="仿宋_GB2312"/>
          <w:b/>
          <w:color w:val="auto"/>
          <w:sz w:val="24"/>
          <w:lang w:val="en-US" w:eastAsia="zh-CN"/>
        </w:rPr>
        <w:t>2</w:t>
      </w:r>
      <w:r>
        <w:rPr>
          <w:rFonts w:eastAsia="仿宋_GB2312"/>
          <w:b/>
          <w:color w:val="auto"/>
          <w:sz w:val="24"/>
        </w:rPr>
        <w:t xml:space="preserve">  </w:t>
      </w:r>
      <w:r>
        <w:rPr>
          <w:rFonts w:hint="eastAsia" w:eastAsia="仿宋_GB2312"/>
          <w:b/>
          <w:color w:val="auto"/>
          <w:sz w:val="24"/>
        </w:rPr>
        <w:t>本项目噪声源强调查清单（室外声源）</w:t>
      </w:r>
    </w:p>
    <w:tbl>
      <w:tblPr>
        <w:tblStyle w:val="882"/>
        <w:tblW w:w="5386"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57" w:type="dxa"/>
          <w:bottom w:w="0" w:type="dxa"/>
          <w:right w:w="57" w:type="dxa"/>
        </w:tblCellMar>
      </w:tblPr>
      <w:tblGrid>
        <w:gridCol w:w="694"/>
        <w:gridCol w:w="1731"/>
        <w:gridCol w:w="1503"/>
        <w:gridCol w:w="1474"/>
        <w:gridCol w:w="999"/>
        <w:gridCol w:w="1002"/>
        <w:gridCol w:w="985"/>
        <w:gridCol w:w="1005"/>
        <w:gridCol w:w="1134"/>
        <w:gridCol w:w="1492"/>
        <w:gridCol w:w="1011"/>
        <w:gridCol w:w="1353"/>
      </w:tblGrid>
      <w:tr w14:paraId="5F9090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241" w:type="pct"/>
            <w:vMerge w:val="restart"/>
            <w:tcBorders>
              <w:tl2br w:val="nil"/>
              <w:tr2bl w:val="nil"/>
            </w:tcBorders>
            <w:shd w:val="clear" w:color="auto" w:fill="auto"/>
            <w:vAlign w:val="center"/>
          </w:tcPr>
          <w:p w14:paraId="0B7D1503">
            <w:pPr>
              <w:pStyle w:val="81"/>
              <w:spacing w:beforeAutospacing="0" w:afterAutospacing="0" w:line="320" w:lineRule="exact"/>
              <w:jc w:val="center"/>
              <w:rPr>
                <w:rFonts w:eastAsia="仿宋_GB2312"/>
                <w:b/>
                <w:bCs/>
                <w:color w:val="auto"/>
                <w:sz w:val="21"/>
                <w:szCs w:val="21"/>
              </w:rPr>
            </w:pPr>
            <w:r>
              <w:rPr>
                <w:rFonts w:eastAsia="仿宋_GB2312"/>
                <w:b/>
                <w:bCs/>
                <w:color w:val="auto"/>
                <w:sz w:val="21"/>
                <w:szCs w:val="21"/>
                <w:lang w:bidi="ar"/>
              </w:rPr>
              <w:t>序号</w:t>
            </w:r>
          </w:p>
        </w:tc>
        <w:tc>
          <w:tcPr>
            <w:tcW w:w="601" w:type="pct"/>
            <w:vMerge w:val="restart"/>
            <w:tcBorders>
              <w:tl2br w:val="nil"/>
              <w:tr2bl w:val="nil"/>
            </w:tcBorders>
            <w:shd w:val="clear" w:color="auto" w:fill="auto"/>
            <w:vAlign w:val="center"/>
          </w:tcPr>
          <w:p w14:paraId="6494B154">
            <w:pPr>
              <w:pStyle w:val="81"/>
              <w:spacing w:beforeAutospacing="0" w:afterAutospacing="0" w:line="320" w:lineRule="exact"/>
              <w:jc w:val="center"/>
              <w:rPr>
                <w:rFonts w:eastAsia="仿宋_GB2312"/>
                <w:b/>
                <w:bCs/>
                <w:color w:val="auto"/>
                <w:sz w:val="21"/>
                <w:szCs w:val="21"/>
              </w:rPr>
            </w:pPr>
            <w:r>
              <w:rPr>
                <w:rFonts w:eastAsia="仿宋_GB2312"/>
                <w:b/>
                <w:bCs/>
                <w:color w:val="auto"/>
                <w:sz w:val="21"/>
                <w:szCs w:val="21"/>
                <w:lang w:bidi="ar"/>
              </w:rPr>
              <w:t>位置</w:t>
            </w:r>
          </w:p>
        </w:tc>
        <w:tc>
          <w:tcPr>
            <w:tcW w:w="522" w:type="pct"/>
            <w:vMerge w:val="restart"/>
            <w:tcBorders>
              <w:tl2br w:val="nil"/>
              <w:tr2bl w:val="nil"/>
            </w:tcBorders>
            <w:shd w:val="clear" w:color="auto" w:fill="auto"/>
            <w:vAlign w:val="center"/>
          </w:tcPr>
          <w:p w14:paraId="1BD3D46A">
            <w:pPr>
              <w:pStyle w:val="81"/>
              <w:spacing w:beforeAutospacing="0" w:afterAutospacing="0" w:line="320" w:lineRule="exact"/>
              <w:jc w:val="center"/>
              <w:rPr>
                <w:rFonts w:eastAsia="仿宋_GB2312"/>
                <w:b/>
                <w:bCs/>
                <w:color w:val="auto"/>
                <w:sz w:val="21"/>
                <w:szCs w:val="21"/>
              </w:rPr>
            </w:pPr>
            <w:r>
              <w:rPr>
                <w:rFonts w:eastAsia="仿宋_GB2312"/>
                <w:b/>
                <w:bCs/>
                <w:color w:val="auto"/>
                <w:sz w:val="21"/>
                <w:szCs w:val="21"/>
                <w:lang w:bidi="ar"/>
              </w:rPr>
              <w:t>声源名称</w:t>
            </w:r>
          </w:p>
        </w:tc>
        <w:tc>
          <w:tcPr>
            <w:tcW w:w="512" w:type="pct"/>
            <w:vMerge w:val="restart"/>
            <w:tcBorders>
              <w:tl2br w:val="nil"/>
              <w:tr2bl w:val="nil"/>
            </w:tcBorders>
            <w:shd w:val="clear" w:color="auto" w:fill="auto"/>
            <w:vAlign w:val="center"/>
          </w:tcPr>
          <w:p w14:paraId="4493A020">
            <w:pPr>
              <w:pStyle w:val="81"/>
              <w:spacing w:beforeAutospacing="0" w:afterAutospacing="0" w:line="320" w:lineRule="exact"/>
              <w:jc w:val="center"/>
              <w:rPr>
                <w:rFonts w:eastAsia="仿宋_GB2312"/>
                <w:b/>
                <w:bCs/>
                <w:color w:val="auto"/>
                <w:sz w:val="21"/>
                <w:szCs w:val="21"/>
              </w:rPr>
            </w:pPr>
            <w:r>
              <w:rPr>
                <w:rFonts w:eastAsia="仿宋_GB2312"/>
                <w:b/>
                <w:bCs/>
                <w:color w:val="auto"/>
                <w:sz w:val="21"/>
                <w:szCs w:val="21"/>
                <w:lang w:bidi="ar"/>
              </w:rPr>
              <w:t>型号</w:t>
            </w:r>
          </w:p>
        </w:tc>
        <w:tc>
          <w:tcPr>
            <w:tcW w:w="347" w:type="pct"/>
            <w:vMerge w:val="restart"/>
            <w:tcBorders>
              <w:tl2br w:val="nil"/>
              <w:tr2bl w:val="nil"/>
            </w:tcBorders>
            <w:shd w:val="clear" w:color="auto" w:fill="auto"/>
            <w:vAlign w:val="center"/>
          </w:tcPr>
          <w:p w14:paraId="2B0B21DA">
            <w:pPr>
              <w:pStyle w:val="81"/>
              <w:spacing w:beforeAutospacing="0" w:afterAutospacing="0" w:line="320" w:lineRule="exact"/>
              <w:jc w:val="center"/>
              <w:rPr>
                <w:rFonts w:eastAsia="仿宋_GB2312"/>
                <w:b/>
                <w:bCs/>
                <w:color w:val="auto"/>
                <w:sz w:val="21"/>
                <w:szCs w:val="21"/>
              </w:rPr>
            </w:pPr>
            <w:r>
              <w:rPr>
                <w:rFonts w:eastAsia="仿宋_GB2312"/>
                <w:b/>
                <w:bCs/>
                <w:color w:val="auto"/>
                <w:sz w:val="21"/>
                <w:szCs w:val="21"/>
                <w:lang w:bidi="ar"/>
              </w:rPr>
              <w:t>设备</w:t>
            </w:r>
          </w:p>
          <w:p w14:paraId="0DA5F84B">
            <w:pPr>
              <w:pStyle w:val="81"/>
              <w:spacing w:beforeAutospacing="0" w:afterAutospacing="0" w:line="320" w:lineRule="exact"/>
              <w:jc w:val="center"/>
              <w:rPr>
                <w:rFonts w:eastAsia="仿宋_GB2312"/>
                <w:b/>
                <w:bCs/>
                <w:color w:val="auto"/>
                <w:sz w:val="21"/>
                <w:szCs w:val="21"/>
              </w:rPr>
            </w:pPr>
            <w:r>
              <w:rPr>
                <w:rFonts w:eastAsia="仿宋_GB2312"/>
                <w:b/>
                <w:bCs/>
                <w:color w:val="auto"/>
                <w:sz w:val="21"/>
                <w:szCs w:val="21"/>
                <w:lang w:bidi="ar"/>
              </w:rPr>
              <w:t>台数</w:t>
            </w:r>
          </w:p>
        </w:tc>
        <w:tc>
          <w:tcPr>
            <w:tcW w:w="1039" w:type="pct"/>
            <w:gridSpan w:val="3"/>
            <w:tcBorders>
              <w:tl2br w:val="nil"/>
              <w:tr2bl w:val="nil"/>
            </w:tcBorders>
            <w:shd w:val="clear" w:color="auto" w:fill="auto"/>
            <w:vAlign w:val="center"/>
          </w:tcPr>
          <w:p w14:paraId="6C94A2C7">
            <w:pPr>
              <w:pStyle w:val="81"/>
              <w:spacing w:beforeAutospacing="0" w:afterAutospacing="0" w:line="320" w:lineRule="exact"/>
              <w:jc w:val="center"/>
              <w:rPr>
                <w:rFonts w:eastAsia="仿宋_GB2312"/>
                <w:b/>
                <w:bCs/>
                <w:color w:val="auto"/>
                <w:sz w:val="21"/>
                <w:szCs w:val="21"/>
              </w:rPr>
            </w:pPr>
            <w:r>
              <w:rPr>
                <w:rFonts w:eastAsia="仿宋_GB2312"/>
                <w:b/>
                <w:bCs/>
                <w:color w:val="auto"/>
                <w:sz w:val="21"/>
                <w:szCs w:val="21"/>
                <w:lang w:bidi="ar"/>
              </w:rPr>
              <w:t>空间相对位置/m</w:t>
            </w:r>
          </w:p>
        </w:tc>
        <w:tc>
          <w:tcPr>
            <w:tcW w:w="394" w:type="pct"/>
            <w:vMerge w:val="restart"/>
            <w:tcBorders>
              <w:tl2br w:val="nil"/>
              <w:tr2bl w:val="nil"/>
            </w:tcBorders>
            <w:shd w:val="clear" w:color="auto" w:fill="auto"/>
            <w:vAlign w:val="center"/>
          </w:tcPr>
          <w:p w14:paraId="455C7A55">
            <w:pPr>
              <w:pStyle w:val="81"/>
              <w:spacing w:beforeAutospacing="0" w:afterAutospacing="0" w:line="320" w:lineRule="exact"/>
              <w:jc w:val="center"/>
              <w:rPr>
                <w:rFonts w:eastAsia="仿宋_GB2312"/>
                <w:b/>
                <w:bCs/>
                <w:color w:val="auto"/>
                <w:sz w:val="21"/>
                <w:szCs w:val="21"/>
              </w:rPr>
            </w:pPr>
            <w:r>
              <w:rPr>
                <w:rFonts w:eastAsia="仿宋_GB2312"/>
                <w:b/>
                <w:bCs/>
                <w:color w:val="auto"/>
                <w:sz w:val="21"/>
                <w:szCs w:val="21"/>
                <w:lang w:bidi="ar"/>
              </w:rPr>
              <w:t>声源源强dB(A)</w:t>
            </w:r>
          </w:p>
        </w:tc>
        <w:tc>
          <w:tcPr>
            <w:tcW w:w="518" w:type="pct"/>
            <w:vMerge w:val="restart"/>
            <w:tcBorders>
              <w:tl2br w:val="nil"/>
              <w:tr2bl w:val="nil"/>
            </w:tcBorders>
            <w:shd w:val="clear" w:color="auto" w:fill="auto"/>
            <w:vAlign w:val="center"/>
          </w:tcPr>
          <w:p w14:paraId="1719319E">
            <w:pPr>
              <w:pStyle w:val="81"/>
              <w:spacing w:beforeAutospacing="0" w:afterAutospacing="0" w:line="320" w:lineRule="exact"/>
              <w:jc w:val="center"/>
              <w:rPr>
                <w:rFonts w:eastAsia="仿宋_GB2312"/>
                <w:b/>
                <w:bCs/>
                <w:color w:val="auto"/>
                <w:sz w:val="21"/>
                <w:szCs w:val="21"/>
              </w:rPr>
            </w:pPr>
            <w:r>
              <w:rPr>
                <w:rFonts w:eastAsia="仿宋_GB2312"/>
                <w:b/>
                <w:bCs/>
                <w:color w:val="auto"/>
                <w:sz w:val="21"/>
                <w:szCs w:val="21"/>
                <w:lang w:bidi="ar"/>
              </w:rPr>
              <w:t>声源</w:t>
            </w:r>
          </w:p>
          <w:p w14:paraId="2156A5DF">
            <w:pPr>
              <w:pStyle w:val="81"/>
              <w:spacing w:beforeAutospacing="0" w:afterAutospacing="0" w:line="320" w:lineRule="exact"/>
              <w:jc w:val="center"/>
              <w:rPr>
                <w:rFonts w:eastAsia="仿宋_GB2312"/>
                <w:b/>
                <w:bCs/>
                <w:color w:val="auto"/>
                <w:sz w:val="21"/>
                <w:szCs w:val="21"/>
              </w:rPr>
            </w:pPr>
            <w:r>
              <w:rPr>
                <w:rFonts w:eastAsia="仿宋_GB2312"/>
                <w:b/>
                <w:bCs/>
                <w:color w:val="auto"/>
                <w:sz w:val="21"/>
                <w:szCs w:val="21"/>
                <w:lang w:bidi="ar"/>
              </w:rPr>
              <w:t>控制措施</w:t>
            </w:r>
          </w:p>
        </w:tc>
        <w:tc>
          <w:tcPr>
            <w:tcW w:w="351" w:type="pct"/>
            <w:vMerge w:val="restart"/>
            <w:tcBorders>
              <w:tl2br w:val="nil"/>
              <w:tr2bl w:val="nil"/>
            </w:tcBorders>
            <w:shd w:val="clear" w:color="auto" w:fill="auto"/>
            <w:vAlign w:val="center"/>
          </w:tcPr>
          <w:p w14:paraId="600CB594">
            <w:pPr>
              <w:pStyle w:val="81"/>
              <w:spacing w:beforeAutospacing="0" w:afterAutospacing="0" w:line="320" w:lineRule="exact"/>
              <w:jc w:val="center"/>
              <w:rPr>
                <w:rFonts w:eastAsia="仿宋_GB2312"/>
                <w:b/>
                <w:bCs/>
                <w:color w:val="auto"/>
                <w:sz w:val="21"/>
                <w:szCs w:val="21"/>
              </w:rPr>
            </w:pPr>
            <w:r>
              <w:rPr>
                <w:rFonts w:eastAsia="仿宋_GB2312"/>
                <w:b/>
                <w:bCs/>
                <w:color w:val="auto"/>
                <w:sz w:val="21"/>
                <w:szCs w:val="21"/>
                <w:lang w:bidi="ar"/>
              </w:rPr>
              <w:t>运行</w:t>
            </w:r>
          </w:p>
          <w:p w14:paraId="286222F1">
            <w:pPr>
              <w:pStyle w:val="81"/>
              <w:spacing w:beforeAutospacing="0" w:afterAutospacing="0" w:line="320" w:lineRule="exact"/>
              <w:jc w:val="center"/>
              <w:rPr>
                <w:rFonts w:eastAsia="仿宋_GB2312"/>
                <w:b/>
                <w:bCs/>
                <w:color w:val="auto"/>
                <w:sz w:val="21"/>
                <w:szCs w:val="21"/>
              </w:rPr>
            </w:pPr>
            <w:r>
              <w:rPr>
                <w:rFonts w:eastAsia="仿宋_GB2312"/>
                <w:b/>
                <w:bCs/>
                <w:color w:val="auto"/>
                <w:sz w:val="21"/>
                <w:szCs w:val="21"/>
                <w:lang w:bidi="ar"/>
              </w:rPr>
              <w:t>时段</w:t>
            </w:r>
          </w:p>
        </w:tc>
        <w:tc>
          <w:tcPr>
            <w:tcW w:w="470" w:type="pct"/>
            <w:vMerge w:val="restart"/>
            <w:tcBorders>
              <w:tl2br w:val="nil"/>
              <w:tr2bl w:val="nil"/>
            </w:tcBorders>
            <w:shd w:val="clear" w:color="auto" w:fill="auto"/>
            <w:vAlign w:val="center"/>
          </w:tcPr>
          <w:p w14:paraId="6EA46C23">
            <w:pPr>
              <w:pStyle w:val="81"/>
              <w:spacing w:beforeAutospacing="0" w:afterAutospacing="0" w:line="320" w:lineRule="exact"/>
              <w:jc w:val="center"/>
              <w:rPr>
                <w:rFonts w:hint="eastAsia" w:eastAsia="仿宋_GB2312"/>
                <w:b/>
                <w:bCs/>
                <w:color w:val="auto"/>
                <w:sz w:val="21"/>
                <w:szCs w:val="21"/>
                <w:lang w:val="en-US" w:eastAsia="zh-CN" w:bidi="ar"/>
              </w:rPr>
            </w:pPr>
            <w:r>
              <w:rPr>
                <w:rFonts w:hint="eastAsia" w:eastAsia="仿宋_GB2312"/>
                <w:b/>
                <w:bCs/>
                <w:color w:val="auto"/>
                <w:sz w:val="21"/>
                <w:szCs w:val="21"/>
                <w:lang w:val="en-US" w:eastAsia="zh-CN" w:bidi="ar"/>
              </w:rPr>
              <w:t>备注</w:t>
            </w:r>
          </w:p>
        </w:tc>
      </w:tr>
      <w:tr w14:paraId="248F25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241" w:type="pct"/>
            <w:vMerge w:val="continue"/>
            <w:tcBorders>
              <w:tl2br w:val="nil"/>
              <w:tr2bl w:val="nil"/>
            </w:tcBorders>
            <w:shd w:val="clear" w:color="auto" w:fill="auto"/>
            <w:vAlign w:val="center"/>
          </w:tcPr>
          <w:p w14:paraId="46B7D04A">
            <w:pPr>
              <w:rPr>
                <w:rFonts w:eastAsia="仿宋_GB2312"/>
                <w:color w:val="auto"/>
                <w:szCs w:val="21"/>
              </w:rPr>
            </w:pPr>
          </w:p>
        </w:tc>
        <w:tc>
          <w:tcPr>
            <w:tcW w:w="601" w:type="pct"/>
            <w:vMerge w:val="continue"/>
            <w:tcBorders>
              <w:tl2br w:val="nil"/>
              <w:tr2bl w:val="nil"/>
            </w:tcBorders>
            <w:shd w:val="clear" w:color="auto" w:fill="auto"/>
            <w:vAlign w:val="center"/>
          </w:tcPr>
          <w:p w14:paraId="34F57F45">
            <w:pPr>
              <w:rPr>
                <w:rFonts w:eastAsia="仿宋_GB2312"/>
                <w:color w:val="auto"/>
                <w:szCs w:val="21"/>
              </w:rPr>
            </w:pPr>
          </w:p>
        </w:tc>
        <w:tc>
          <w:tcPr>
            <w:tcW w:w="522" w:type="pct"/>
            <w:vMerge w:val="continue"/>
            <w:tcBorders>
              <w:tl2br w:val="nil"/>
              <w:tr2bl w:val="nil"/>
            </w:tcBorders>
            <w:shd w:val="clear" w:color="auto" w:fill="auto"/>
            <w:vAlign w:val="center"/>
          </w:tcPr>
          <w:p w14:paraId="2A59EA4A">
            <w:pPr>
              <w:rPr>
                <w:rFonts w:eastAsia="仿宋_GB2312"/>
                <w:color w:val="auto"/>
                <w:szCs w:val="21"/>
              </w:rPr>
            </w:pPr>
          </w:p>
        </w:tc>
        <w:tc>
          <w:tcPr>
            <w:tcW w:w="512" w:type="pct"/>
            <w:vMerge w:val="continue"/>
            <w:tcBorders>
              <w:tl2br w:val="nil"/>
              <w:tr2bl w:val="nil"/>
            </w:tcBorders>
            <w:shd w:val="clear" w:color="auto" w:fill="auto"/>
            <w:vAlign w:val="center"/>
          </w:tcPr>
          <w:p w14:paraId="067B6BD3">
            <w:pPr>
              <w:rPr>
                <w:rFonts w:eastAsia="仿宋_GB2312"/>
                <w:color w:val="auto"/>
                <w:szCs w:val="21"/>
              </w:rPr>
            </w:pPr>
          </w:p>
        </w:tc>
        <w:tc>
          <w:tcPr>
            <w:tcW w:w="347" w:type="pct"/>
            <w:vMerge w:val="continue"/>
            <w:tcBorders>
              <w:tl2br w:val="nil"/>
              <w:tr2bl w:val="nil"/>
            </w:tcBorders>
            <w:shd w:val="clear" w:color="auto" w:fill="auto"/>
            <w:vAlign w:val="center"/>
          </w:tcPr>
          <w:p w14:paraId="45AA28AA">
            <w:pPr>
              <w:rPr>
                <w:rFonts w:eastAsia="仿宋_GB2312"/>
                <w:color w:val="auto"/>
                <w:szCs w:val="21"/>
              </w:rPr>
            </w:pPr>
          </w:p>
        </w:tc>
        <w:tc>
          <w:tcPr>
            <w:tcW w:w="348" w:type="pct"/>
            <w:tcBorders>
              <w:tl2br w:val="nil"/>
              <w:tr2bl w:val="nil"/>
            </w:tcBorders>
            <w:shd w:val="clear" w:color="auto" w:fill="auto"/>
            <w:vAlign w:val="center"/>
          </w:tcPr>
          <w:p w14:paraId="415C8D05">
            <w:pPr>
              <w:pStyle w:val="81"/>
              <w:spacing w:beforeAutospacing="0" w:afterAutospacing="0" w:line="320" w:lineRule="exact"/>
              <w:jc w:val="center"/>
              <w:rPr>
                <w:rFonts w:eastAsia="仿宋_GB2312"/>
                <w:b/>
                <w:bCs/>
                <w:color w:val="auto"/>
                <w:sz w:val="21"/>
                <w:szCs w:val="21"/>
              </w:rPr>
            </w:pPr>
            <w:r>
              <w:rPr>
                <w:rFonts w:eastAsia="仿宋_GB2312"/>
                <w:b/>
                <w:bCs/>
                <w:color w:val="auto"/>
                <w:sz w:val="21"/>
                <w:szCs w:val="21"/>
                <w:lang w:bidi="ar"/>
              </w:rPr>
              <w:t>X</w:t>
            </w:r>
          </w:p>
        </w:tc>
        <w:tc>
          <w:tcPr>
            <w:tcW w:w="342" w:type="pct"/>
            <w:tcBorders>
              <w:tl2br w:val="nil"/>
              <w:tr2bl w:val="nil"/>
            </w:tcBorders>
            <w:shd w:val="clear" w:color="auto" w:fill="auto"/>
            <w:vAlign w:val="center"/>
          </w:tcPr>
          <w:p w14:paraId="2BFCC3DE">
            <w:pPr>
              <w:pStyle w:val="81"/>
              <w:spacing w:beforeAutospacing="0" w:afterAutospacing="0" w:line="320" w:lineRule="exact"/>
              <w:jc w:val="center"/>
              <w:rPr>
                <w:rFonts w:eastAsia="仿宋_GB2312"/>
                <w:b/>
                <w:bCs/>
                <w:color w:val="auto"/>
                <w:sz w:val="21"/>
                <w:szCs w:val="21"/>
              </w:rPr>
            </w:pPr>
            <w:r>
              <w:rPr>
                <w:rFonts w:eastAsia="仿宋_GB2312"/>
                <w:b/>
                <w:bCs/>
                <w:color w:val="auto"/>
                <w:sz w:val="21"/>
                <w:szCs w:val="21"/>
                <w:lang w:bidi="ar"/>
              </w:rPr>
              <w:t>Y</w:t>
            </w:r>
          </w:p>
        </w:tc>
        <w:tc>
          <w:tcPr>
            <w:tcW w:w="348" w:type="pct"/>
            <w:tcBorders>
              <w:tl2br w:val="nil"/>
              <w:tr2bl w:val="nil"/>
            </w:tcBorders>
            <w:shd w:val="clear" w:color="auto" w:fill="auto"/>
            <w:vAlign w:val="center"/>
          </w:tcPr>
          <w:p w14:paraId="0EDC4AD3">
            <w:pPr>
              <w:pStyle w:val="81"/>
              <w:spacing w:beforeAutospacing="0" w:afterAutospacing="0" w:line="320" w:lineRule="exact"/>
              <w:jc w:val="center"/>
              <w:rPr>
                <w:rFonts w:eastAsia="仿宋_GB2312"/>
                <w:b/>
                <w:bCs/>
                <w:color w:val="auto"/>
                <w:sz w:val="21"/>
                <w:szCs w:val="21"/>
              </w:rPr>
            </w:pPr>
            <w:r>
              <w:rPr>
                <w:rFonts w:eastAsia="仿宋_GB2312"/>
                <w:b/>
                <w:bCs/>
                <w:color w:val="auto"/>
                <w:sz w:val="21"/>
                <w:szCs w:val="21"/>
                <w:lang w:bidi="ar"/>
              </w:rPr>
              <w:t>Z</w:t>
            </w:r>
          </w:p>
        </w:tc>
        <w:tc>
          <w:tcPr>
            <w:tcW w:w="394" w:type="pct"/>
            <w:vMerge w:val="continue"/>
            <w:tcBorders>
              <w:tl2br w:val="nil"/>
              <w:tr2bl w:val="nil"/>
            </w:tcBorders>
            <w:shd w:val="clear" w:color="auto" w:fill="auto"/>
            <w:vAlign w:val="center"/>
          </w:tcPr>
          <w:p w14:paraId="2A5706E9">
            <w:pPr>
              <w:rPr>
                <w:rFonts w:eastAsia="仿宋_GB2312"/>
                <w:color w:val="auto"/>
                <w:szCs w:val="21"/>
              </w:rPr>
            </w:pPr>
          </w:p>
        </w:tc>
        <w:tc>
          <w:tcPr>
            <w:tcW w:w="518" w:type="pct"/>
            <w:vMerge w:val="continue"/>
            <w:tcBorders>
              <w:tl2br w:val="nil"/>
              <w:tr2bl w:val="nil"/>
            </w:tcBorders>
            <w:shd w:val="clear" w:color="auto" w:fill="auto"/>
            <w:vAlign w:val="center"/>
          </w:tcPr>
          <w:p w14:paraId="187AE72C">
            <w:pPr>
              <w:rPr>
                <w:rFonts w:eastAsia="仿宋_GB2312"/>
                <w:color w:val="auto"/>
                <w:szCs w:val="21"/>
              </w:rPr>
            </w:pPr>
          </w:p>
        </w:tc>
        <w:tc>
          <w:tcPr>
            <w:tcW w:w="351" w:type="pct"/>
            <w:vMerge w:val="continue"/>
            <w:tcBorders>
              <w:tl2br w:val="nil"/>
              <w:tr2bl w:val="nil"/>
            </w:tcBorders>
            <w:shd w:val="clear" w:color="auto" w:fill="auto"/>
            <w:vAlign w:val="center"/>
          </w:tcPr>
          <w:p w14:paraId="51AC6AA1">
            <w:pPr>
              <w:rPr>
                <w:rFonts w:eastAsia="仿宋_GB2312"/>
                <w:color w:val="auto"/>
                <w:szCs w:val="21"/>
              </w:rPr>
            </w:pPr>
          </w:p>
        </w:tc>
        <w:tc>
          <w:tcPr>
            <w:tcW w:w="470" w:type="pct"/>
            <w:vMerge w:val="continue"/>
            <w:tcBorders>
              <w:tl2br w:val="nil"/>
              <w:tr2bl w:val="nil"/>
            </w:tcBorders>
            <w:shd w:val="clear" w:color="auto" w:fill="auto"/>
            <w:vAlign w:val="center"/>
          </w:tcPr>
          <w:p w14:paraId="120DCB92">
            <w:pPr>
              <w:rPr>
                <w:rFonts w:eastAsia="仿宋_GB2312"/>
                <w:color w:val="auto"/>
                <w:szCs w:val="21"/>
              </w:rPr>
            </w:pPr>
          </w:p>
        </w:tc>
      </w:tr>
      <w:tr w14:paraId="01E6FD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241" w:type="pct"/>
            <w:vMerge w:val="restart"/>
            <w:tcBorders>
              <w:tl2br w:val="nil"/>
              <w:tr2bl w:val="nil"/>
            </w:tcBorders>
            <w:shd w:val="clear" w:color="auto" w:fill="auto"/>
            <w:vAlign w:val="center"/>
          </w:tcPr>
          <w:p w14:paraId="38731201">
            <w:pPr>
              <w:pStyle w:val="81"/>
              <w:spacing w:beforeAutospacing="0" w:afterAutospacing="0" w:line="320" w:lineRule="exact"/>
              <w:jc w:val="center"/>
              <w:rPr>
                <w:rFonts w:eastAsia="仿宋_GB2312"/>
                <w:color w:val="auto"/>
                <w:sz w:val="21"/>
                <w:szCs w:val="21"/>
              </w:rPr>
            </w:pPr>
            <w:r>
              <w:rPr>
                <w:rFonts w:eastAsia="仿宋_GB2312"/>
                <w:color w:val="auto"/>
                <w:sz w:val="21"/>
                <w:szCs w:val="21"/>
                <w:lang w:bidi="ar"/>
              </w:rPr>
              <w:t>1</w:t>
            </w:r>
          </w:p>
        </w:tc>
        <w:tc>
          <w:tcPr>
            <w:tcW w:w="601" w:type="pct"/>
            <w:vMerge w:val="restart"/>
            <w:tcBorders>
              <w:tl2br w:val="nil"/>
              <w:tr2bl w:val="nil"/>
            </w:tcBorders>
            <w:shd w:val="clear" w:color="auto" w:fill="auto"/>
            <w:vAlign w:val="center"/>
          </w:tcPr>
          <w:p w14:paraId="088EA5AC">
            <w:pPr>
              <w:pStyle w:val="81"/>
              <w:spacing w:beforeAutospacing="0" w:afterAutospacing="0" w:line="320" w:lineRule="exact"/>
              <w:jc w:val="center"/>
              <w:rPr>
                <w:rFonts w:eastAsia="仿宋_GB2312"/>
                <w:color w:val="auto"/>
                <w:sz w:val="21"/>
                <w:szCs w:val="21"/>
              </w:rPr>
            </w:pPr>
            <w:r>
              <w:rPr>
                <w:rFonts w:hint="eastAsia" w:ascii="仿宋_GB2312" w:hAnsi="仿宋" w:eastAsia="仿宋_GB2312"/>
                <w:color w:val="auto"/>
                <w:kern w:val="2"/>
                <w:sz w:val="21"/>
              </w:rPr>
              <w:t>循环水池</w:t>
            </w:r>
          </w:p>
        </w:tc>
        <w:tc>
          <w:tcPr>
            <w:tcW w:w="522" w:type="pct"/>
            <w:tcBorders>
              <w:tl2br w:val="nil"/>
              <w:tr2bl w:val="nil"/>
            </w:tcBorders>
            <w:shd w:val="clear" w:color="auto" w:fill="auto"/>
            <w:vAlign w:val="center"/>
          </w:tcPr>
          <w:p w14:paraId="1DED09F8">
            <w:pPr>
              <w:pStyle w:val="163"/>
              <w:rPr>
                <w:rFonts w:ascii="Times New Roman"/>
                <w:color w:val="auto"/>
                <w:kern w:val="0"/>
                <w:szCs w:val="21"/>
                <w:lang w:bidi="ar"/>
              </w:rPr>
            </w:pPr>
            <w:r>
              <w:rPr>
                <w:rFonts w:hint="eastAsia" w:ascii="Times New Roman"/>
                <w:color w:val="auto"/>
                <w:kern w:val="0"/>
                <w:szCs w:val="21"/>
                <w:lang w:val="en-US" w:eastAsia="zh-CN" w:bidi="ar"/>
              </w:rPr>
              <w:t>1#冷却塔</w:t>
            </w:r>
          </w:p>
        </w:tc>
        <w:tc>
          <w:tcPr>
            <w:tcW w:w="512" w:type="pct"/>
            <w:tcBorders>
              <w:tl2br w:val="nil"/>
              <w:tr2bl w:val="nil"/>
            </w:tcBorders>
            <w:shd w:val="clear" w:color="auto" w:fill="auto"/>
            <w:vAlign w:val="center"/>
          </w:tcPr>
          <w:p w14:paraId="7CEA35E4">
            <w:pPr>
              <w:pStyle w:val="163"/>
              <w:rPr>
                <w:rFonts w:ascii="Times New Roman"/>
                <w:color w:val="auto"/>
                <w:kern w:val="0"/>
                <w:szCs w:val="21"/>
                <w:lang w:bidi="ar"/>
              </w:rPr>
            </w:pPr>
            <w:r>
              <w:rPr>
                <w:rFonts w:hint="eastAsia" w:ascii="Times New Roman"/>
                <w:color w:val="auto"/>
                <w:kern w:val="0"/>
                <w:szCs w:val="21"/>
                <w:lang w:val="en-US" w:eastAsia="zh-CN" w:bidi="ar"/>
              </w:rPr>
              <w:t>1500</w:t>
            </w:r>
            <w:r>
              <w:rPr>
                <w:rFonts w:ascii="Times New Roman"/>
                <w:color w:val="auto"/>
                <w:kern w:val="0"/>
                <w:szCs w:val="21"/>
                <w:lang w:bidi="ar"/>
              </w:rPr>
              <w:t>m³/h</w:t>
            </w:r>
          </w:p>
        </w:tc>
        <w:tc>
          <w:tcPr>
            <w:tcW w:w="347" w:type="pct"/>
            <w:tcBorders>
              <w:tl2br w:val="nil"/>
              <w:tr2bl w:val="nil"/>
            </w:tcBorders>
            <w:shd w:val="clear" w:color="auto" w:fill="auto"/>
            <w:vAlign w:val="center"/>
          </w:tcPr>
          <w:p w14:paraId="1BD51CAD">
            <w:pPr>
              <w:pStyle w:val="163"/>
              <w:rPr>
                <w:rFonts w:hint="eastAsia" w:ascii="Times New Roman" w:eastAsia="仿宋_GB2312"/>
                <w:color w:val="auto"/>
                <w:kern w:val="0"/>
                <w:szCs w:val="21"/>
                <w:lang w:eastAsia="zh-CN" w:bidi="ar"/>
              </w:rPr>
            </w:pPr>
            <w:r>
              <w:rPr>
                <w:rFonts w:hint="eastAsia" w:ascii="Times New Roman"/>
                <w:color w:val="auto"/>
                <w:kern w:val="0"/>
                <w:szCs w:val="21"/>
                <w:lang w:val="en-US" w:eastAsia="zh-CN" w:bidi="ar"/>
              </w:rPr>
              <w:t>1</w:t>
            </w:r>
          </w:p>
        </w:tc>
        <w:tc>
          <w:tcPr>
            <w:tcW w:w="348" w:type="pct"/>
            <w:tcBorders>
              <w:tl2br w:val="nil"/>
              <w:tr2bl w:val="nil"/>
            </w:tcBorders>
            <w:shd w:val="clear" w:color="auto" w:fill="auto"/>
            <w:vAlign w:val="center"/>
          </w:tcPr>
          <w:p w14:paraId="51BC271A">
            <w:pPr>
              <w:pStyle w:val="81"/>
              <w:spacing w:beforeAutospacing="0" w:afterAutospacing="0" w:line="320" w:lineRule="exact"/>
              <w:jc w:val="center"/>
              <w:rPr>
                <w:rFonts w:hint="default" w:eastAsia="仿宋_GB2312" w:hAnsiTheme="minorHAnsi"/>
                <w:color w:val="auto"/>
                <w:sz w:val="21"/>
                <w:szCs w:val="21"/>
                <w:lang w:val="en-US" w:eastAsia="zh-CN" w:bidi="ar"/>
              </w:rPr>
            </w:pPr>
            <w:r>
              <w:rPr>
                <w:rFonts w:hint="eastAsia" w:eastAsia="仿宋_GB2312" w:hAnsiTheme="minorHAnsi"/>
                <w:color w:val="auto"/>
                <w:sz w:val="21"/>
                <w:szCs w:val="21"/>
                <w:lang w:val="en-US" w:eastAsia="zh-CN" w:bidi="ar"/>
              </w:rPr>
              <w:t>239</w:t>
            </w:r>
          </w:p>
        </w:tc>
        <w:tc>
          <w:tcPr>
            <w:tcW w:w="342" w:type="pct"/>
            <w:tcBorders>
              <w:tl2br w:val="nil"/>
              <w:tr2bl w:val="nil"/>
            </w:tcBorders>
            <w:shd w:val="clear" w:color="auto" w:fill="auto"/>
            <w:vAlign w:val="center"/>
          </w:tcPr>
          <w:p w14:paraId="4588B137">
            <w:pPr>
              <w:pStyle w:val="81"/>
              <w:spacing w:beforeAutospacing="0" w:afterAutospacing="0" w:line="320" w:lineRule="exact"/>
              <w:jc w:val="center"/>
              <w:rPr>
                <w:rFonts w:hint="default" w:eastAsia="仿宋_GB2312" w:hAnsiTheme="minorHAnsi"/>
                <w:color w:val="auto"/>
                <w:sz w:val="21"/>
                <w:szCs w:val="21"/>
                <w:lang w:val="en-US" w:eastAsia="zh-CN" w:bidi="ar"/>
              </w:rPr>
            </w:pPr>
            <w:r>
              <w:rPr>
                <w:rFonts w:hint="eastAsia" w:eastAsia="仿宋_GB2312" w:hAnsiTheme="minorHAnsi"/>
                <w:color w:val="auto"/>
                <w:sz w:val="21"/>
                <w:szCs w:val="21"/>
                <w:lang w:val="en-US" w:eastAsia="zh-CN" w:bidi="ar"/>
              </w:rPr>
              <w:t>-61</w:t>
            </w:r>
          </w:p>
        </w:tc>
        <w:tc>
          <w:tcPr>
            <w:tcW w:w="348" w:type="pct"/>
            <w:tcBorders>
              <w:tl2br w:val="nil"/>
              <w:tr2bl w:val="nil"/>
            </w:tcBorders>
            <w:shd w:val="clear" w:color="auto" w:fill="auto"/>
            <w:vAlign w:val="center"/>
          </w:tcPr>
          <w:p w14:paraId="07219858">
            <w:pPr>
              <w:pStyle w:val="81"/>
              <w:spacing w:beforeAutospacing="0" w:afterAutospacing="0" w:line="320" w:lineRule="exact"/>
              <w:jc w:val="center"/>
              <w:rPr>
                <w:rFonts w:eastAsia="仿宋_GB2312" w:hAnsiTheme="minorHAnsi"/>
                <w:color w:val="auto"/>
                <w:sz w:val="21"/>
                <w:szCs w:val="21"/>
                <w:lang w:bidi="ar"/>
              </w:rPr>
            </w:pPr>
            <w:r>
              <w:rPr>
                <w:rFonts w:hint="eastAsia" w:eastAsia="仿宋_GB2312" w:hAnsiTheme="minorHAnsi"/>
                <w:color w:val="auto"/>
                <w:sz w:val="21"/>
                <w:szCs w:val="21"/>
                <w:lang w:bidi="ar"/>
              </w:rPr>
              <w:t>1</w:t>
            </w:r>
          </w:p>
        </w:tc>
        <w:tc>
          <w:tcPr>
            <w:tcW w:w="394" w:type="pct"/>
            <w:tcBorders>
              <w:tl2br w:val="nil"/>
              <w:tr2bl w:val="nil"/>
            </w:tcBorders>
            <w:shd w:val="clear" w:color="auto" w:fill="auto"/>
            <w:vAlign w:val="center"/>
          </w:tcPr>
          <w:p w14:paraId="76ECB6DA">
            <w:pPr>
              <w:pStyle w:val="81"/>
              <w:spacing w:beforeAutospacing="0" w:afterAutospacing="0" w:line="320" w:lineRule="exact"/>
              <w:jc w:val="center"/>
              <w:rPr>
                <w:rFonts w:eastAsia="仿宋_GB2312" w:hAnsiTheme="minorHAnsi"/>
                <w:color w:val="auto"/>
                <w:sz w:val="21"/>
                <w:szCs w:val="21"/>
                <w:lang w:bidi="ar"/>
              </w:rPr>
            </w:pPr>
            <w:r>
              <w:rPr>
                <w:rFonts w:eastAsia="仿宋_GB2312" w:hAnsiTheme="minorHAnsi"/>
                <w:color w:val="auto"/>
                <w:sz w:val="21"/>
                <w:szCs w:val="21"/>
                <w:lang w:bidi="ar"/>
              </w:rPr>
              <w:t>8</w:t>
            </w:r>
            <w:r>
              <w:rPr>
                <w:rFonts w:hint="eastAsia" w:eastAsia="仿宋_GB2312" w:hAnsiTheme="minorHAnsi"/>
                <w:color w:val="auto"/>
                <w:sz w:val="21"/>
                <w:szCs w:val="21"/>
                <w:lang w:bidi="ar"/>
              </w:rPr>
              <w:t>0</w:t>
            </w:r>
          </w:p>
        </w:tc>
        <w:tc>
          <w:tcPr>
            <w:tcW w:w="518" w:type="pct"/>
            <w:tcBorders>
              <w:tl2br w:val="nil"/>
              <w:tr2bl w:val="nil"/>
            </w:tcBorders>
            <w:shd w:val="clear" w:color="auto" w:fill="auto"/>
            <w:vAlign w:val="center"/>
          </w:tcPr>
          <w:p w14:paraId="55D17E11">
            <w:pPr>
              <w:pStyle w:val="81"/>
              <w:spacing w:beforeAutospacing="0" w:afterAutospacing="0" w:line="320" w:lineRule="exact"/>
              <w:jc w:val="center"/>
              <w:rPr>
                <w:rFonts w:eastAsia="仿宋_GB2312" w:hAnsiTheme="minorHAnsi"/>
                <w:color w:val="auto"/>
                <w:sz w:val="21"/>
                <w:szCs w:val="21"/>
                <w:lang w:bidi="ar"/>
              </w:rPr>
            </w:pPr>
            <w:r>
              <w:rPr>
                <w:rFonts w:eastAsia="仿宋_GB2312" w:hAnsiTheme="minorHAnsi"/>
                <w:color w:val="auto"/>
                <w:sz w:val="21"/>
                <w:szCs w:val="21"/>
                <w:lang w:bidi="ar"/>
              </w:rPr>
              <w:t>隔声、减振</w:t>
            </w:r>
          </w:p>
        </w:tc>
        <w:tc>
          <w:tcPr>
            <w:tcW w:w="351" w:type="pct"/>
            <w:tcBorders>
              <w:tl2br w:val="nil"/>
              <w:tr2bl w:val="nil"/>
            </w:tcBorders>
            <w:shd w:val="clear" w:color="auto" w:fill="auto"/>
            <w:vAlign w:val="center"/>
          </w:tcPr>
          <w:p w14:paraId="057A40FD">
            <w:pPr>
              <w:pStyle w:val="81"/>
              <w:spacing w:beforeAutospacing="0" w:afterAutospacing="0" w:line="320" w:lineRule="exact"/>
              <w:jc w:val="center"/>
              <w:rPr>
                <w:rFonts w:eastAsia="仿宋_GB2312" w:hAnsiTheme="minorHAnsi"/>
                <w:color w:val="auto"/>
                <w:sz w:val="21"/>
                <w:szCs w:val="21"/>
                <w:lang w:bidi="ar"/>
              </w:rPr>
            </w:pPr>
            <w:r>
              <w:rPr>
                <w:rFonts w:eastAsia="仿宋_GB2312" w:hAnsiTheme="minorHAnsi"/>
                <w:color w:val="auto"/>
                <w:sz w:val="21"/>
                <w:szCs w:val="21"/>
                <w:lang w:bidi="ar"/>
              </w:rPr>
              <w:t>全天</w:t>
            </w:r>
          </w:p>
        </w:tc>
        <w:tc>
          <w:tcPr>
            <w:tcW w:w="470" w:type="pct"/>
            <w:tcBorders>
              <w:tl2br w:val="nil"/>
              <w:tr2bl w:val="nil"/>
            </w:tcBorders>
            <w:shd w:val="clear" w:color="auto" w:fill="auto"/>
            <w:vAlign w:val="center"/>
          </w:tcPr>
          <w:p w14:paraId="315FCCEA">
            <w:pPr>
              <w:pStyle w:val="81"/>
              <w:spacing w:beforeAutospacing="0" w:afterAutospacing="0" w:line="320" w:lineRule="exact"/>
              <w:jc w:val="center"/>
              <w:rPr>
                <w:rFonts w:hint="eastAsia" w:eastAsia="仿宋_GB2312" w:hAnsiTheme="minorHAnsi"/>
                <w:color w:val="auto"/>
                <w:sz w:val="21"/>
                <w:szCs w:val="21"/>
                <w:lang w:val="en-US" w:eastAsia="zh-CN" w:bidi="ar"/>
              </w:rPr>
            </w:pPr>
            <w:r>
              <w:rPr>
                <w:rFonts w:hint="eastAsia" w:eastAsia="仿宋_GB2312" w:hAnsiTheme="minorHAnsi"/>
                <w:color w:val="auto"/>
                <w:sz w:val="21"/>
                <w:szCs w:val="21"/>
                <w:lang w:val="en-US" w:eastAsia="zh-CN" w:bidi="ar"/>
              </w:rPr>
              <w:t>依托现有</w:t>
            </w:r>
          </w:p>
        </w:tc>
      </w:tr>
      <w:tr w14:paraId="725438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241" w:type="pct"/>
            <w:vMerge w:val="continue"/>
            <w:tcBorders>
              <w:tl2br w:val="nil"/>
              <w:tr2bl w:val="nil"/>
            </w:tcBorders>
            <w:shd w:val="clear" w:color="auto" w:fill="auto"/>
            <w:vAlign w:val="center"/>
          </w:tcPr>
          <w:p w14:paraId="009583C2">
            <w:pPr>
              <w:pStyle w:val="163"/>
              <w:rPr>
                <w:color w:val="auto"/>
              </w:rPr>
            </w:pPr>
          </w:p>
        </w:tc>
        <w:tc>
          <w:tcPr>
            <w:tcW w:w="601" w:type="pct"/>
            <w:vMerge w:val="continue"/>
            <w:tcBorders>
              <w:tl2br w:val="nil"/>
              <w:tr2bl w:val="nil"/>
            </w:tcBorders>
            <w:shd w:val="clear" w:color="auto" w:fill="auto"/>
            <w:vAlign w:val="center"/>
          </w:tcPr>
          <w:p w14:paraId="0256B556">
            <w:pPr>
              <w:pStyle w:val="163"/>
              <w:rPr>
                <w:color w:val="auto"/>
              </w:rPr>
            </w:pPr>
          </w:p>
        </w:tc>
        <w:tc>
          <w:tcPr>
            <w:tcW w:w="522" w:type="pct"/>
            <w:tcBorders>
              <w:tl2br w:val="nil"/>
              <w:tr2bl w:val="nil"/>
            </w:tcBorders>
            <w:shd w:val="clear" w:color="auto" w:fill="auto"/>
            <w:vAlign w:val="center"/>
          </w:tcPr>
          <w:p w14:paraId="22C8F88D">
            <w:pPr>
              <w:pStyle w:val="163"/>
              <w:rPr>
                <w:rFonts w:hint="default" w:ascii="Times New Roman"/>
                <w:color w:val="auto"/>
                <w:kern w:val="0"/>
                <w:szCs w:val="21"/>
                <w:lang w:val="en-US" w:eastAsia="zh-CN" w:bidi="ar"/>
              </w:rPr>
            </w:pPr>
            <w:r>
              <w:rPr>
                <w:rFonts w:hint="eastAsia" w:ascii="Times New Roman"/>
                <w:color w:val="auto"/>
                <w:kern w:val="0"/>
                <w:szCs w:val="21"/>
                <w:lang w:val="en-US" w:eastAsia="zh-CN" w:bidi="ar"/>
              </w:rPr>
              <w:t>2#冷却塔</w:t>
            </w:r>
          </w:p>
        </w:tc>
        <w:tc>
          <w:tcPr>
            <w:tcW w:w="512" w:type="pct"/>
            <w:tcBorders>
              <w:tl2br w:val="nil"/>
              <w:tr2bl w:val="nil"/>
            </w:tcBorders>
            <w:shd w:val="clear" w:color="auto" w:fill="auto"/>
            <w:vAlign w:val="center"/>
          </w:tcPr>
          <w:p w14:paraId="6AE139D7">
            <w:pPr>
              <w:pStyle w:val="163"/>
              <w:rPr>
                <w:rFonts w:ascii="Times New Roman"/>
                <w:color w:val="auto"/>
                <w:kern w:val="0"/>
                <w:szCs w:val="21"/>
                <w:lang w:bidi="ar"/>
              </w:rPr>
            </w:pPr>
            <w:r>
              <w:rPr>
                <w:rFonts w:hint="eastAsia" w:ascii="Times New Roman"/>
                <w:color w:val="auto"/>
                <w:kern w:val="0"/>
                <w:szCs w:val="21"/>
                <w:lang w:val="en-US" w:eastAsia="zh-CN" w:bidi="ar"/>
              </w:rPr>
              <w:t>500</w:t>
            </w:r>
            <w:r>
              <w:rPr>
                <w:rFonts w:ascii="Times New Roman"/>
                <w:color w:val="auto"/>
                <w:kern w:val="0"/>
                <w:szCs w:val="21"/>
                <w:lang w:bidi="ar"/>
              </w:rPr>
              <w:t>m³/h</w:t>
            </w:r>
          </w:p>
        </w:tc>
        <w:tc>
          <w:tcPr>
            <w:tcW w:w="347" w:type="pct"/>
            <w:tcBorders>
              <w:tl2br w:val="nil"/>
              <w:tr2bl w:val="nil"/>
            </w:tcBorders>
            <w:shd w:val="clear" w:color="auto" w:fill="auto"/>
            <w:vAlign w:val="center"/>
          </w:tcPr>
          <w:p w14:paraId="17D564B1">
            <w:pPr>
              <w:pStyle w:val="163"/>
              <w:rPr>
                <w:rFonts w:hint="eastAsia" w:ascii="Times New Roman" w:eastAsia="仿宋_GB2312"/>
                <w:color w:val="auto"/>
                <w:kern w:val="0"/>
                <w:szCs w:val="21"/>
                <w:lang w:eastAsia="zh-CN" w:bidi="ar"/>
              </w:rPr>
            </w:pPr>
            <w:r>
              <w:rPr>
                <w:rFonts w:hint="eastAsia" w:ascii="Times New Roman"/>
                <w:color w:val="auto"/>
                <w:kern w:val="0"/>
                <w:szCs w:val="21"/>
                <w:lang w:val="en-US" w:eastAsia="zh-CN" w:bidi="ar"/>
              </w:rPr>
              <w:t>1</w:t>
            </w:r>
          </w:p>
        </w:tc>
        <w:tc>
          <w:tcPr>
            <w:tcW w:w="348" w:type="pct"/>
            <w:tcBorders>
              <w:tl2br w:val="nil"/>
              <w:tr2bl w:val="nil"/>
            </w:tcBorders>
            <w:shd w:val="clear" w:color="auto" w:fill="auto"/>
            <w:vAlign w:val="center"/>
          </w:tcPr>
          <w:p w14:paraId="546AD345">
            <w:pPr>
              <w:pStyle w:val="163"/>
              <w:rPr>
                <w:rFonts w:hint="default" w:ascii="Times New Roman" w:eastAsia="仿宋_GB2312" w:hAnsiTheme="minorHAnsi"/>
                <w:color w:val="auto"/>
                <w:kern w:val="0"/>
                <w:szCs w:val="21"/>
                <w:lang w:val="en-US" w:eastAsia="zh-CN" w:bidi="ar"/>
              </w:rPr>
            </w:pPr>
            <w:r>
              <w:rPr>
                <w:rFonts w:hint="eastAsia" w:ascii="Times New Roman" w:hAnsiTheme="minorHAnsi"/>
                <w:color w:val="auto"/>
                <w:kern w:val="0"/>
                <w:szCs w:val="21"/>
                <w:lang w:val="en-US" w:eastAsia="zh-CN" w:bidi="ar"/>
              </w:rPr>
              <w:t>239</w:t>
            </w:r>
          </w:p>
        </w:tc>
        <w:tc>
          <w:tcPr>
            <w:tcW w:w="342" w:type="pct"/>
            <w:tcBorders>
              <w:tl2br w:val="nil"/>
              <w:tr2bl w:val="nil"/>
            </w:tcBorders>
            <w:shd w:val="clear" w:color="auto" w:fill="auto"/>
            <w:vAlign w:val="center"/>
          </w:tcPr>
          <w:p w14:paraId="654974FD">
            <w:pPr>
              <w:pStyle w:val="163"/>
              <w:rPr>
                <w:rFonts w:hint="default" w:ascii="Times New Roman" w:eastAsia="仿宋_GB2312" w:hAnsiTheme="minorHAnsi"/>
                <w:color w:val="auto"/>
                <w:kern w:val="0"/>
                <w:szCs w:val="21"/>
                <w:lang w:val="en-US" w:eastAsia="zh-CN" w:bidi="ar"/>
              </w:rPr>
            </w:pPr>
            <w:r>
              <w:rPr>
                <w:rFonts w:hint="eastAsia" w:ascii="Times New Roman" w:hAnsiTheme="minorHAnsi"/>
                <w:color w:val="auto"/>
                <w:kern w:val="0"/>
                <w:szCs w:val="21"/>
                <w:lang w:val="en-US" w:eastAsia="zh-CN" w:bidi="ar"/>
              </w:rPr>
              <w:t>-65</w:t>
            </w:r>
          </w:p>
        </w:tc>
        <w:tc>
          <w:tcPr>
            <w:tcW w:w="348" w:type="pct"/>
            <w:tcBorders>
              <w:tl2br w:val="nil"/>
              <w:tr2bl w:val="nil"/>
            </w:tcBorders>
            <w:shd w:val="clear" w:color="auto" w:fill="auto"/>
            <w:vAlign w:val="center"/>
          </w:tcPr>
          <w:p w14:paraId="28C8C9B4">
            <w:pPr>
              <w:pStyle w:val="163"/>
              <w:rPr>
                <w:rFonts w:ascii="Times New Roman" w:hAnsiTheme="minorHAnsi"/>
                <w:color w:val="auto"/>
                <w:kern w:val="0"/>
                <w:szCs w:val="21"/>
                <w:lang w:bidi="ar"/>
              </w:rPr>
            </w:pPr>
            <w:r>
              <w:rPr>
                <w:rFonts w:hint="eastAsia" w:ascii="Times New Roman" w:hAnsiTheme="minorHAnsi"/>
                <w:color w:val="auto"/>
                <w:kern w:val="0"/>
                <w:szCs w:val="21"/>
                <w:lang w:bidi="ar"/>
              </w:rPr>
              <w:t>1</w:t>
            </w:r>
          </w:p>
        </w:tc>
        <w:tc>
          <w:tcPr>
            <w:tcW w:w="394" w:type="pct"/>
            <w:tcBorders>
              <w:tl2br w:val="nil"/>
              <w:tr2bl w:val="nil"/>
            </w:tcBorders>
            <w:shd w:val="clear" w:color="auto" w:fill="auto"/>
            <w:vAlign w:val="center"/>
          </w:tcPr>
          <w:p w14:paraId="112DB6AD">
            <w:pPr>
              <w:pStyle w:val="163"/>
              <w:rPr>
                <w:rFonts w:ascii="Times New Roman" w:hAnsiTheme="minorHAnsi"/>
                <w:color w:val="auto"/>
                <w:kern w:val="0"/>
                <w:szCs w:val="21"/>
                <w:lang w:bidi="ar"/>
              </w:rPr>
            </w:pPr>
            <w:r>
              <w:rPr>
                <w:rFonts w:ascii="Times New Roman" w:hAnsiTheme="minorHAnsi"/>
                <w:color w:val="auto"/>
                <w:kern w:val="0"/>
                <w:szCs w:val="21"/>
                <w:lang w:bidi="ar"/>
              </w:rPr>
              <w:t>8</w:t>
            </w:r>
            <w:r>
              <w:rPr>
                <w:rFonts w:hint="eastAsia" w:ascii="Times New Roman" w:hAnsiTheme="minorHAnsi"/>
                <w:color w:val="auto"/>
                <w:kern w:val="0"/>
                <w:szCs w:val="21"/>
                <w:lang w:bidi="ar"/>
              </w:rPr>
              <w:t>0</w:t>
            </w:r>
          </w:p>
        </w:tc>
        <w:tc>
          <w:tcPr>
            <w:tcW w:w="518" w:type="pct"/>
            <w:tcBorders>
              <w:tl2br w:val="nil"/>
              <w:tr2bl w:val="nil"/>
            </w:tcBorders>
            <w:shd w:val="clear" w:color="auto" w:fill="auto"/>
            <w:vAlign w:val="center"/>
          </w:tcPr>
          <w:p w14:paraId="517C62A7">
            <w:pPr>
              <w:pStyle w:val="163"/>
              <w:rPr>
                <w:rFonts w:ascii="Times New Roman" w:hAnsiTheme="minorHAnsi"/>
                <w:color w:val="auto"/>
                <w:kern w:val="0"/>
                <w:szCs w:val="21"/>
                <w:lang w:bidi="ar"/>
              </w:rPr>
            </w:pPr>
            <w:r>
              <w:rPr>
                <w:rFonts w:ascii="Times New Roman" w:hAnsiTheme="minorHAnsi"/>
                <w:color w:val="auto"/>
                <w:kern w:val="0"/>
                <w:szCs w:val="21"/>
                <w:lang w:bidi="ar"/>
              </w:rPr>
              <w:t>隔声、减振</w:t>
            </w:r>
          </w:p>
        </w:tc>
        <w:tc>
          <w:tcPr>
            <w:tcW w:w="351" w:type="pct"/>
            <w:tcBorders>
              <w:tl2br w:val="nil"/>
              <w:tr2bl w:val="nil"/>
            </w:tcBorders>
            <w:shd w:val="clear" w:color="auto" w:fill="auto"/>
            <w:vAlign w:val="center"/>
          </w:tcPr>
          <w:p w14:paraId="720383B5">
            <w:pPr>
              <w:pStyle w:val="163"/>
              <w:rPr>
                <w:rFonts w:ascii="Times New Roman" w:hAnsiTheme="minorHAnsi"/>
                <w:color w:val="auto"/>
                <w:kern w:val="0"/>
                <w:szCs w:val="21"/>
                <w:lang w:bidi="ar"/>
              </w:rPr>
            </w:pPr>
            <w:r>
              <w:rPr>
                <w:rFonts w:ascii="Times New Roman" w:hAnsiTheme="minorHAnsi"/>
                <w:color w:val="auto"/>
                <w:kern w:val="0"/>
                <w:szCs w:val="21"/>
                <w:lang w:bidi="ar"/>
              </w:rPr>
              <w:t>全天</w:t>
            </w:r>
          </w:p>
        </w:tc>
        <w:tc>
          <w:tcPr>
            <w:tcW w:w="470" w:type="pct"/>
            <w:tcBorders>
              <w:tl2br w:val="nil"/>
              <w:tr2bl w:val="nil"/>
            </w:tcBorders>
            <w:shd w:val="clear" w:color="auto" w:fill="auto"/>
            <w:vAlign w:val="center"/>
          </w:tcPr>
          <w:p w14:paraId="6F9150EB">
            <w:pPr>
              <w:pStyle w:val="163"/>
              <w:rPr>
                <w:rFonts w:ascii="Times New Roman" w:hAnsiTheme="minorHAnsi"/>
                <w:color w:val="auto"/>
                <w:kern w:val="0"/>
                <w:szCs w:val="21"/>
                <w:lang w:bidi="ar"/>
              </w:rPr>
            </w:pPr>
            <w:r>
              <w:rPr>
                <w:rFonts w:hint="eastAsia" w:eastAsia="仿宋_GB2312" w:hAnsiTheme="minorHAnsi"/>
                <w:color w:val="auto"/>
                <w:sz w:val="21"/>
                <w:szCs w:val="21"/>
                <w:lang w:val="en-US" w:eastAsia="zh-CN" w:bidi="ar"/>
              </w:rPr>
              <w:t>依托现有</w:t>
            </w:r>
          </w:p>
        </w:tc>
      </w:tr>
      <w:tr w14:paraId="0B8CF6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241" w:type="pct"/>
            <w:tcBorders>
              <w:tl2br w:val="nil"/>
              <w:tr2bl w:val="nil"/>
            </w:tcBorders>
            <w:shd w:val="clear" w:color="auto" w:fill="auto"/>
            <w:vAlign w:val="center"/>
          </w:tcPr>
          <w:p w14:paraId="71BAE862">
            <w:pPr>
              <w:pStyle w:val="81"/>
              <w:spacing w:beforeAutospacing="0" w:afterAutospacing="0" w:line="320" w:lineRule="exact"/>
              <w:jc w:val="center"/>
              <w:rPr>
                <w:rFonts w:hint="default" w:ascii="Times New Roman" w:hAnsi="Times New Roman" w:eastAsia="仿宋_GB2312" w:cs="Times New Roman"/>
                <w:color w:val="auto"/>
                <w:sz w:val="21"/>
                <w:szCs w:val="21"/>
                <w:lang w:bidi="ar"/>
              </w:rPr>
            </w:pPr>
            <w:r>
              <w:rPr>
                <w:rFonts w:hint="default" w:ascii="Times New Roman" w:hAnsi="Times New Roman" w:eastAsia="仿宋_GB2312" w:cs="Times New Roman"/>
                <w:color w:val="auto"/>
                <w:sz w:val="21"/>
                <w:szCs w:val="21"/>
                <w:lang w:bidi="ar"/>
              </w:rPr>
              <w:t>2</w:t>
            </w:r>
          </w:p>
        </w:tc>
        <w:tc>
          <w:tcPr>
            <w:tcW w:w="601" w:type="pct"/>
            <w:tcBorders>
              <w:tl2br w:val="nil"/>
              <w:tr2bl w:val="nil"/>
            </w:tcBorders>
            <w:shd w:val="clear" w:color="auto" w:fill="auto"/>
            <w:vAlign w:val="center"/>
          </w:tcPr>
          <w:p w14:paraId="1B617342">
            <w:pPr>
              <w:pStyle w:val="163"/>
              <w:rPr>
                <w:rFonts w:hint="default" w:ascii="Times New Roman" w:hAnsi="Times New Roman" w:eastAsia="仿宋_GB2312" w:cs="Times New Roman"/>
                <w:color w:val="auto"/>
                <w:lang w:val="en-US" w:eastAsia="zh-CN"/>
              </w:rPr>
            </w:pPr>
            <w:r>
              <w:rPr>
                <w:rFonts w:hint="default" w:ascii="Times New Roman" w:hAnsi="Times New Roman" w:cs="Times New Roman"/>
                <w:color w:val="auto"/>
                <w:lang w:val="en-US" w:eastAsia="zh-CN"/>
              </w:rPr>
              <w:t>DA001排气筒</w:t>
            </w:r>
          </w:p>
        </w:tc>
        <w:tc>
          <w:tcPr>
            <w:tcW w:w="522" w:type="pct"/>
            <w:tcBorders>
              <w:tl2br w:val="nil"/>
              <w:tr2bl w:val="nil"/>
            </w:tcBorders>
            <w:shd w:val="clear" w:color="auto" w:fill="auto"/>
            <w:vAlign w:val="center"/>
          </w:tcPr>
          <w:p w14:paraId="5E04D383">
            <w:pPr>
              <w:pStyle w:val="163"/>
              <w:rPr>
                <w:rFonts w:hAnsi="仿宋"/>
                <w:color w:val="auto"/>
              </w:rPr>
            </w:pPr>
            <w:r>
              <w:rPr>
                <w:rFonts w:hint="eastAsia" w:hAnsi="仿宋"/>
                <w:color w:val="auto"/>
              </w:rPr>
              <w:t>风机</w:t>
            </w:r>
          </w:p>
        </w:tc>
        <w:tc>
          <w:tcPr>
            <w:tcW w:w="512" w:type="pct"/>
            <w:tcBorders>
              <w:tl2br w:val="nil"/>
              <w:tr2bl w:val="nil"/>
            </w:tcBorders>
            <w:shd w:val="clear" w:color="auto" w:fill="auto"/>
            <w:vAlign w:val="center"/>
          </w:tcPr>
          <w:p w14:paraId="69679A60">
            <w:pPr>
              <w:pStyle w:val="163"/>
              <w:rPr>
                <w:rFonts w:ascii="Times New Roman"/>
                <w:color w:val="auto"/>
                <w:kern w:val="0"/>
                <w:szCs w:val="21"/>
                <w:lang w:bidi="ar"/>
              </w:rPr>
            </w:pPr>
            <w:r>
              <w:rPr>
                <w:rFonts w:hint="eastAsia" w:ascii="Times New Roman"/>
                <w:color w:val="auto"/>
                <w:kern w:val="0"/>
                <w:szCs w:val="21"/>
                <w:lang w:bidi="ar"/>
              </w:rPr>
              <w:t>12000</w:t>
            </w:r>
            <w:r>
              <w:rPr>
                <w:rFonts w:hint="eastAsia" w:ascii="Times New Roman"/>
                <w:color w:val="auto"/>
                <w:kern w:val="0"/>
                <w:szCs w:val="21"/>
                <w:lang w:val="en-US" w:eastAsia="zh-CN" w:bidi="ar"/>
              </w:rPr>
              <w:t>0</w:t>
            </w:r>
            <w:r>
              <w:rPr>
                <w:rFonts w:hint="eastAsia" w:ascii="Times New Roman"/>
                <w:color w:val="auto"/>
                <w:kern w:val="0"/>
                <w:szCs w:val="21"/>
                <w:lang w:bidi="ar"/>
              </w:rPr>
              <w:t>m</w:t>
            </w:r>
            <w:r>
              <w:rPr>
                <w:rFonts w:hint="eastAsia" w:ascii="Times New Roman"/>
                <w:color w:val="auto"/>
                <w:kern w:val="0"/>
                <w:szCs w:val="21"/>
                <w:vertAlign w:val="superscript"/>
                <w:lang w:bidi="ar"/>
              </w:rPr>
              <w:t>3</w:t>
            </w:r>
            <w:r>
              <w:rPr>
                <w:rFonts w:hint="eastAsia" w:ascii="Times New Roman"/>
                <w:color w:val="auto"/>
                <w:kern w:val="0"/>
                <w:szCs w:val="21"/>
                <w:lang w:bidi="ar"/>
              </w:rPr>
              <w:t>/h</w:t>
            </w:r>
          </w:p>
        </w:tc>
        <w:tc>
          <w:tcPr>
            <w:tcW w:w="347" w:type="pct"/>
            <w:tcBorders>
              <w:tl2br w:val="nil"/>
              <w:tr2bl w:val="nil"/>
            </w:tcBorders>
            <w:shd w:val="clear" w:color="auto" w:fill="auto"/>
            <w:vAlign w:val="center"/>
          </w:tcPr>
          <w:p w14:paraId="7809469A">
            <w:pPr>
              <w:pStyle w:val="163"/>
              <w:rPr>
                <w:rFonts w:hint="eastAsia" w:ascii="Times New Roman" w:eastAsia="仿宋_GB2312"/>
                <w:color w:val="auto"/>
                <w:kern w:val="0"/>
                <w:szCs w:val="21"/>
                <w:lang w:eastAsia="zh-CN" w:bidi="ar"/>
              </w:rPr>
            </w:pPr>
            <w:r>
              <w:rPr>
                <w:rFonts w:hint="eastAsia" w:ascii="Times New Roman"/>
                <w:color w:val="auto"/>
                <w:kern w:val="0"/>
                <w:szCs w:val="21"/>
                <w:lang w:val="en-US" w:eastAsia="zh-CN" w:bidi="ar"/>
              </w:rPr>
              <w:t>1</w:t>
            </w:r>
          </w:p>
        </w:tc>
        <w:tc>
          <w:tcPr>
            <w:tcW w:w="348" w:type="pct"/>
            <w:tcBorders>
              <w:tl2br w:val="nil"/>
              <w:tr2bl w:val="nil"/>
            </w:tcBorders>
            <w:shd w:val="clear" w:color="auto" w:fill="auto"/>
            <w:vAlign w:val="center"/>
          </w:tcPr>
          <w:p w14:paraId="5E8E26DB">
            <w:pPr>
              <w:pStyle w:val="81"/>
              <w:spacing w:beforeAutospacing="0" w:afterAutospacing="0" w:line="320" w:lineRule="exact"/>
              <w:jc w:val="center"/>
              <w:rPr>
                <w:rFonts w:hint="default" w:eastAsia="仿宋_GB2312" w:hAnsiTheme="minorHAnsi"/>
                <w:color w:val="auto"/>
                <w:sz w:val="21"/>
                <w:szCs w:val="21"/>
                <w:lang w:val="en-US" w:eastAsia="zh-CN" w:bidi="ar"/>
              </w:rPr>
            </w:pPr>
            <w:r>
              <w:rPr>
                <w:rFonts w:hint="eastAsia" w:eastAsia="仿宋_GB2312" w:hAnsiTheme="minorHAnsi"/>
                <w:color w:val="auto"/>
                <w:sz w:val="21"/>
                <w:szCs w:val="21"/>
                <w:lang w:val="en-US" w:eastAsia="zh-CN" w:bidi="ar"/>
              </w:rPr>
              <w:t>221</w:t>
            </w:r>
          </w:p>
        </w:tc>
        <w:tc>
          <w:tcPr>
            <w:tcW w:w="342" w:type="pct"/>
            <w:tcBorders>
              <w:tl2br w:val="nil"/>
              <w:tr2bl w:val="nil"/>
            </w:tcBorders>
            <w:shd w:val="clear" w:color="auto" w:fill="auto"/>
            <w:vAlign w:val="center"/>
          </w:tcPr>
          <w:p w14:paraId="54FB720B">
            <w:pPr>
              <w:pStyle w:val="81"/>
              <w:spacing w:beforeAutospacing="0" w:afterAutospacing="0" w:line="320" w:lineRule="exact"/>
              <w:jc w:val="center"/>
              <w:rPr>
                <w:rFonts w:hint="default" w:eastAsia="仿宋_GB2312" w:hAnsiTheme="minorHAnsi"/>
                <w:color w:val="auto"/>
                <w:sz w:val="21"/>
                <w:szCs w:val="21"/>
                <w:lang w:val="en-US" w:eastAsia="zh-CN" w:bidi="ar"/>
              </w:rPr>
            </w:pPr>
            <w:r>
              <w:rPr>
                <w:rFonts w:hint="eastAsia" w:eastAsia="仿宋_GB2312" w:hAnsiTheme="minorHAnsi"/>
                <w:color w:val="auto"/>
                <w:sz w:val="21"/>
                <w:szCs w:val="21"/>
                <w:lang w:val="en-US" w:eastAsia="zh-CN" w:bidi="ar"/>
              </w:rPr>
              <w:t>-74</w:t>
            </w:r>
          </w:p>
        </w:tc>
        <w:tc>
          <w:tcPr>
            <w:tcW w:w="348" w:type="pct"/>
            <w:tcBorders>
              <w:tl2br w:val="nil"/>
              <w:tr2bl w:val="nil"/>
            </w:tcBorders>
            <w:shd w:val="clear" w:color="auto" w:fill="auto"/>
            <w:vAlign w:val="center"/>
          </w:tcPr>
          <w:p w14:paraId="5C62CB05">
            <w:pPr>
              <w:pStyle w:val="81"/>
              <w:spacing w:beforeAutospacing="0" w:afterAutospacing="0" w:line="320" w:lineRule="exact"/>
              <w:jc w:val="center"/>
              <w:rPr>
                <w:rFonts w:eastAsia="仿宋_GB2312" w:hAnsiTheme="minorHAnsi"/>
                <w:color w:val="auto"/>
                <w:sz w:val="21"/>
                <w:szCs w:val="21"/>
                <w:lang w:bidi="ar"/>
              </w:rPr>
            </w:pPr>
            <w:r>
              <w:rPr>
                <w:rFonts w:hint="eastAsia" w:eastAsia="仿宋_GB2312" w:hAnsiTheme="minorHAnsi"/>
                <w:color w:val="auto"/>
                <w:sz w:val="21"/>
                <w:szCs w:val="21"/>
                <w:lang w:bidi="ar"/>
              </w:rPr>
              <w:t>0.5</w:t>
            </w:r>
          </w:p>
        </w:tc>
        <w:tc>
          <w:tcPr>
            <w:tcW w:w="394" w:type="pct"/>
            <w:tcBorders>
              <w:tl2br w:val="nil"/>
              <w:tr2bl w:val="nil"/>
            </w:tcBorders>
            <w:shd w:val="clear" w:color="auto" w:fill="auto"/>
            <w:vAlign w:val="center"/>
          </w:tcPr>
          <w:p w14:paraId="6855F662">
            <w:pPr>
              <w:pStyle w:val="81"/>
              <w:spacing w:beforeAutospacing="0" w:afterAutospacing="0" w:line="320" w:lineRule="exact"/>
              <w:jc w:val="center"/>
              <w:rPr>
                <w:rFonts w:eastAsia="仿宋_GB2312" w:hAnsiTheme="minorHAnsi"/>
                <w:color w:val="auto"/>
                <w:sz w:val="21"/>
                <w:szCs w:val="21"/>
                <w:lang w:bidi="ar"/>
              </w:rPr>
            </w:pPr>
            <w:r>
              <w:rPr>
                <w:rFonts w:eastAsia="仿宋_GB2312" w:hAnsiTheme="minorHAnsi"/>
                <w:color w:val="auto"/>
                <w:sz w:val="21"/>
                <w:szCs w:val="21"/>
                <w:lang w:bidi="ar"/>
              </w:rPr>
              <w:t>8</w:t>
            </w:r>
            <w:r>
              <w:rPr>
                <w:rFonts w:hint="eastAsia" w:eastAsia="仿宋_GB2312" w:hAnsiTheme="minorHAnsi"/>
                <w:color w:val="auto"/>
                <w:sz w:val="21"/>
                <w:szCs w:val="21"/>
                <w:lang w:bidi="ar"/>
              </w:rPr>
              <w:t>0</w:t>
            </w:r>
          </w:p>
        </w:tc>
        <w:tc>
          <w:tcPr>
            <w:tcW w:w="518" w:type="pct"/>
            <w:tcBorders>
              <w:tl2br w:val="nil"/>
              <w:tr2bl w:val="nil"/>
            </w:tcBorders>
            <w:shd w:val="clear" w:color="auto" w:fill="auto"/>
            <w:vAlign w:val="center"/>
          </w:tcPr>
          <w:p w14:paraId="22A50DAC">
            <w:pPr>
              <w:pStyle w:val="81"/>
              <w:spacing w:beforeAutospacing="0" w:afterAutospacing="0" w:line="320" w:lineRule="exact"/>
              <w:ind w:left="0" w:leftChars="0" w:right="0" w:rightChars="0"/>
              <w:jc w:val="center"/>
              <w:rPr>
                <w:rFonts w:ascii="Times New Roman" w:eastAsia="仿宋_GB2312" w:cs="Times New Roman" w:hAnsiTheme="minorHAnsi"/>
                <w:color w:val="auto"/>
                <w:kern w:val="0"/>
                <w:sz w:val="21"/>
                <w:szCs w:val="21"/>
                <w:lang w:val="en-US" w:eastAsia="zh-CN" w:bidi="ar"/>
              </w:rPr>
            </w:pPr>
            <w:r>
              <w:rPr>
                <w:rFonts w:eastAsia="仿宋_GB2312" w:hAnsiTheme="minorHAnsi"/>
                <w:color w:val="auto"/>
                <w:sz w:val="21"/>
                <w:szCs w:val="21"/>
                <w:lang w:bidi="ar"/>
              </w:rPr>
              <w:t>隔声、减振</w:t>
            </w:r>
          </w:p>
        </w:tc>
        <w:tc>
          <w:tcPr>
            <w:tcW w:w="351" w:type="pct"/>
            <w:tcBorders>
              <w:tl2br w:val="nil"/>
              <w:tr2bl w:val="nil"/>
            </w:tcBorders>
            <w:shd w:val="clear" w:color="auto" w:fill="auto"/>
            <w:vAlign w:val="center"/>
          </w:tcPr>
          <w:p w14:paraId="071F5FC9">
            <w:pPr>
              <w:pStyle w:val="81"/>
              <w:spacing w:beforeAutospacing="0" w:afterAutospacing="0" w:line="320" w:lineRule="exact"/>
              <w:ind w:left="0" w:leftChars="0" w:right="0" w:rightChars="0"/>
              <w:jc w:val="center"/>
              <w:rPr>
                <w:rFonts w:ascii="Times New Roman" w:eastAsia="仿宋_GB2312" w:cs="Times New Roman" w:hAnsiTheme="minorHAnsi"/>
                <w:color w:val="auto"/>
                <w:kern w:val="0"/>
                <w:sz w:val="21"/>
                <w:szCs w:val="21"/>
                <w:lang w:val="en-US" w:eastAsia="zh-CN" w:bidi="ar"/>
              </w:rPr>
            </w:pPr>
            <w:r>
              <w:rPr>
                <w:rFonts w:eastAsia="仿宋_GB2312" w:hAnsiTheme="minorHAnsi"/>
                <w:color w:val="auto"/>
                <w:sz w:val="21"/>
                <w:szCs w:val="21"/>
                <w:lang w:bidi="ar"/>
              </w:rPr>
              <w:t>全天</w:t>
            </w:r>
          </w:p>
        </w:tc>
        <w:tc>
          <w:tcPr>
            <w:tcW w:w="470" w:type="pct"/>
            <w:tcBorders>
              <w:tl2br w:val="nil"/>
              <w:tr2bl w:val="nil"/>
            </w:tcBorders>
            <w:shd w:val="clear" w:color="auto" w:fill="auto"/>
            <w:vAlign w:val="center"/>
          </w:tcPr>
          <w:p w14:paraId="78992DE1">
            <w:pPr>
              <w:pStyle w:val="81"/>
              <w:spacing w:beforeAutospacing="0" w:afterAutospacing="0" w:line="320" w:lineRule="exact"/>
              <w:ind w:left="0" w:leftChars="0" w:right="0" w:rightChars="0"/>
              <w:jc w:val="center"/>
              <w:rPr>
                <w:rFonts w:hint="eastAsia" w:ascii="Times New Roman" w:eastAsia="仿宋_GB2312" w:cs="Times New Roman" w:hAnsiTheme="minorHAnsi"/>
                <w:color w:val="auto"/>
                <w:kern w:val="0"/>
                <w:sz w:val="21"/>
                <w:szCs w:val="21"/>
                <w:lang w:val="en-US" w:eastAsia="zh-CN" w:bidi="ar"/>
              </w:rPr>
            </w:pPr>
            <w:r>
              <w:rPr>
                <w:rFonts w:hint="eastAsia" w:eastAsia="仿宋_GB2312" w:hAnsiTheme="minorHAnsi"/>
                <w:color w:val="auto"/>
                <w:sz w:val="21"/>
                <w:szCs w:val="21"/>
                <w:lang w:val="en-US" w:eastAsia="zh-CN" w:bidi="ar"/>
              </w:rPr>
              <w:t>依托现有</w:t>
            </w:r>
          </w:p>
        </w:tc>
      </w:tr>
      <w:tr w14:paraId="473CC1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241" w:type="pct"/>
            <w:tcBorders>
              <w:tl2br w:val="nil"/>
              <w:tr2bl w:val="nil"/>
            </w:tcBorders>
            <w:shd w:val="clear" w:color="auto" w:fill="auto"/>
            <w:vAlign w:val="center"/>
          </w:tcPr>
          <w:p w14:paraId="64E2A9EC">
            <w:pPr>
              <w:pStyle w:val="81"/>
              <w:spacing w:beforeAutospacing="0" w:afterAutospacing="0" w:line="320" w:lineRule="exact"/>
              <w:jc w:val="center"/>
              <w:rPr>
                <w:rFonts w:hint="default" w:ascii="Times New Roman" w:hAnsi="Times New Roman" w:eastAsia="仿宋_GB2312" w:cs="Times New Roman"/>
                <w:color w:val="auto"/>
                <w:sz w:val="21"/>
                <w:szCs w:val="21"/>
                <w:lang w:val="en-US" w:eastAsia="zh-CN" w:bidi="ar"/>
              </w:rPr>
            </w:pPr>
            <w:r>
              <w:rPr>
                <w:rFonts w:hint="default" w:ascii="Times New Roman" w:hAnsi="Times New Roman" w:eastAsia="仿宋_GB2312" w:cs="Times New Roman"/>
                <w:color w:val="auto"/>
                <w:sz w:val="21"/>
                <w:szCs w:val="21"/>
                <w:lang w:val="en-US" w:eastAsia="zh-CN" w:bidi="ar"/>
              </w:rPr>
              <w:t>3</w:t>
            </w:r>
          </w:p>
        </w:tc>
        <w:tc>
          <w:tcPr>
            <w:tcW w:w="601" w:type="pct"/>
            <w:tcBorders>
              <w:tl2br w:val="nil"/>
              <w:tr2bl w:val="nil"/>
            </w:tcBorders>
            <w:shd w:val="clear" w:color="auto" w:fill="auto"/>
            <w:vAlign w:val="center"/>
          </w:tcPr>
          <w:p w14:paraId="6BE3FA05">
            <w:pPr>
              <w:pStyle w:val="163"/>
              <w:rPr>
                <w:rFonts w:hint="default" w:ascii="Times New Roman" w:hAnsi="Times New Roman" w:cs="Times New Roman"/>
                <w:color w:val="auto"/>
              </w:rPr>
            </w:pPr>
            <w:r>
              <w:rPr>
                <w:rFonts w:hint="default" w:ascii="Times New Roman" w:hAnsi="Times New Roman" w:cs="Times New Roman"/>
                <w:color w:val="auto"/>
                <w:lang w:val="en-US" w:eastAsia="zh-CN"/>
              </w:rPr>
              <w:t>DA002排气筒</w:t>
            </w:r>
          </w:p>
        </w:tc>
        <w:tc>
          <w:tcPr>
            <w:tcW w:w="522" w:type="pct"/>
            <w:tcBorders>
              <w:tl2br w:val="nil"/>
              <w:tr2bl w:val="nil"/>
            </w:tcBorders>
            <w:shd w:val="clear" w:color="auto" w:fill="auto"/>
            <w:vAlign w:val="center"/>
          </w:tcPr>
          <w:p w14:paraId="66183125">
            <w:pPr>
              <w:pStyle w:val="163"/>
              <w:rPr>
                <w:rFonts w:hint="eastAsia" w:hAnsi="仿宋"/>
                <w:color w:val="auto"/>
              </w:rPr>
            </w:pPr>
            <w:r>
              <w:rPr>
                <w:rFonts w:hint="eastAsia" w:hAnsi="仿宋"/>
                <w:color w:val="auto"/>
              </w:rPr>
              <w:t>风机</w:t>
            </w:r>
          </w:p>
        </w:tc>
        <w:tc>
          <w:tcPr>
            <w:tcW w:w="512" w:type="pct"/>
            <w:tcBorders>
              <w:tl2br w:val="nil"/>
              <w:tr2bl w:val="nil"/>
            </w:tcBorders>
            <w:shd w:val="clear" w:color="auto" w:fill="auto"/>
            <w:vAlign w:val="center"/>
          </w:tcPr>
          <w:p w14:paraId="41F3DE23">
            <w:pPr>
              <w:pStyle w:val="163"/>
              <w:rPr>
                <w:rFonts w:hint="eastAsia" w:ascii="Times New Roman"/>
                <w:color w:val="auto"/>
                <w:kern w:val="0"/>
                <w:szCs w:val="21"/>
                <w:lang w:bidi="ar"/>
              </w:rPr>
            </w:pPr>
            <w:r>
              <w:rPr>
                <w:rFonts w:hint="eastAsia" w:ascii="Times New Roman"/>
                <w:color w:val="auto"/>
                <w:kern w:val="0"/>
                <w:szCs w:val="21"/>
                <w:lang w:val="en-US" w:eastAsia="zh-CN" w:bidi="ar"/>
              </w:rPr>
              <w:t>79</w:t>
            </w:r>
            <w:r>
              <w:rPr>
                <w:rFonts w:hint="eastAsia" w:ascii="Times New Roman"/>
                <w:color w:val="auto"/>
                <w:kern w:val="0"/>
                <w:szCs w:val="21"/>
                <w:lang w:bidi="ar"/>
              </w:rPr>
              <w:t>00</w:t>
            </w:r>
            <w:r>
              <w:rPr>
                <w:rFonts w:hint="eastAsia" w:ascii="Times New Roman"/>
                <w:color w:val="auto"/>
                <w:kern w:val="0"/>
                <w:szCs w:val="21"/>
                <w:lang w:val="en-US" w:eastAsia="zh-CN" w:bidi="ar"/>
              </w:rPr>
              <w:t>0</w:t>
            </w:r>
            <w:r>
              <w:rPr>
                <w:rFonts w:hint="eastAsia" w:ascii="Times New Roman"/>
                <w:color w:val="auto"/>
                <w:kern w:val="0"/>
                <w:szCs w:val="21"/>
                <w:lang w:bidi="ar"/>
              </w:rPr>
              <w:t>m</w:t>
            </w:r>
            <w:r>
              <w:rPr>
                <w:rFonts w:hint="eastAsia" w:ascii="Times New Roman"/>
                <w:color w:val="auto"/>
                <w:kern w:val="0"/>
                <w:szCs w:val="21"/>
                <w:vertAlign w:val="superscript"/>
                <w:lang w:bidi="ar"/>
              </w:rPr>
              <w:t>3</w:t>
            </w:r>
            <w:r>
              <w:rPr>
                <w:rFonts w:hint="eastAsia" w:ascii="Times New Roman"/>
                <w:color w:val="auto"/>
                <w:kern w:val="0"/>
                <w:szCs w:val="21"/>
                <w:lang w:bidi="ar"/>
              </w:rPr>
              <w:t>/h</w:t>
            </w:r>
          </w:p>
        </w:tc>
        <w:tc>
          <w:tcPr>
            <w:tcW w:w="347" w:type="pct"/>
            <w:tcBorders>
              <w:tl2br w:val="nil"/>
              <w:tr2bl w:val="nil"/>
            </w:tcBorders>
            <w:shd w:val="clear" w:color="auto" w:fill="auto"/>
            <w:vAlign w:val="center"/>
          </w:tcPr>
          <w:p w14:paraId="1DF8E081">
            <w:pPr>
              <w:pStyle w:val="163"/>
              <w:rPr>
                <w:rFonts w:hint="eastAsia" w:ascii="Times New Roman" w:eastAsia="仿宋_GB2312"/>
                <w:color w:val="auto"/>
                <w:kern w:val="0"/>
                <w:szCs w:val="21"/>
                <w:lang w:val="en-US" w:eastAsia="zh-CN" w:bidi="ar"/>
              </w:rPr>
            </w:pPr>
            <w:r>
              <w:rPr>
                <w:rFonts w:hint="eastAsia" w:ascii="Times New Roman"/>
                <w:color w:val="auto"/>
                <w:kern w:val="0"/>
                <w:szCs w:val="21"/>
                <w:lang w:val="en-US" w:eastAsia="zh-CN" w:bidi="ar"/>
              </w:rPr>
              <w:t>1</w:t>
            </w:r>
          </w:p>
        </w:tc>
        <w:tc>
          <w:tcPr>
            <w:tcW w:w="348" w:type="pct"/>
            <w:tcBorders>
              <w:tl2br w:val="nil"/>
              <w:tr2bl w:val="nil"/>
            </w:tcBorders>
            <w:shd w:val="clear" w:color="auto" w:fill="auto"/>
            <w:vAlign w:val="center"/>
          </w:tcPr>
          <w:p w14:paraId="0376A8DF">
            <w:pPr>
              <w:pStyle w:val="81"/>
              <w:spacing w:beforeAutospacing="0" w:afterAutospacing="0" w:line="320" w:lineRule="exact"/>
              <w:jc w:val="center"/>
              <w:rPr>
                <w:rFonts w:hint="default" w:eastAsia="仿宋_GB2312" w:hAnsiTheme="minorHAnsi"/>
                <w:color w:val="auto"/>
                <w:sz w:val="21"/>
                <w:szCs w:val="21"/>
                <w:lang w:val="en-US" w:eastAsia="zh-CN" w:bidi="ar"/>
              </w:rPr>
            </w:pPr>
            <w:r>
              <w:rPr>
                <w:rFonts w:hint="eastAsia" w:eastAsia="仿宋_GB2312" w:hAnsiTheme="minorHAnsi"/>
                <w:color w:val="auto"/>
                <w:sz w:val="21"/>
                <w:szCs w:val="21"/>
                <w:lang w:val="en-US" w:eastAsia="zh-CN" w:bidi="ar"/>
              </w:rPr>
              <w:t>45</w:t>
            </w:r>
          </w:p>
        </w:tc>
        <w:tc>
          <w:tcPr>
            <w:tcW w:w="342" w:type="pct"/>
            <w:tcBorders>
              <w:tl2br w:val="nil"/>
              <w:tr2bl w:val="nil"/>
            </w:tcBorders>
            <w:shd w:val="clear" w:color="auto" w:fill="auto"/>
            <w:vAlign w:val="center"/>
          </w:tcPr>
          <w:p w14:paraId="54C2A50F">
            <w:pPr>
              <w:pStyle w:val="81"/>
              <w:spacing w:beforeAutospacing="0" w:afterAutospacing="0" w:line="320" w:lineRule="exact"/>
              <w:jc w:val="center"/>
              <w:rPr>
                <w:rFonts w:hint="default" w:eastAsia="仿宋_GB2312" w:hAnsiTheme="minorHAnsi"/>
                <w:color w:val="auto"/>
                <w:sz w:val="21"/>
                <w:szCs w:val="21"/>
                <w:lang w:val="en-US" w:eastAsia="zh-CN" w:bidi="ar"/>
              </w:rPr>
            </w:pPr>
            <w:r>
              <w:rPr>
                <w:rFonts w:hint="eastAsia" w:eastAsia="仿宋_GB2312" w:hAnsiTheme="minorHAnsi"/>
                <w:color w:val="auto"/>
                <w:sz w:val="21"/>
                <w:szCs w:val="21"/>
                <w:lang w:val="en-US" w:eastAsia="zh-CN" w:bidi="ar"/>
              </w:rPr>
              <w:t>63</w:t>
            </w:r>
          </w:p>
        </w:tc>
        <w:tc>
          <w:tcPr>
            <w:tcW w:w="348" w:type="pct"/>
            <w:tcBorders>
              <w:tl2br w:val="nil"/>
              <w:tr2bl w:val="nil"/>
            </w:tcBorders>
            <w:shd w:val="clear" w:color="auto" w:fill="auto"/>
            <w:vAlign w:val="center"/>
          </w:tcPr>
          <w:p w14:paraId="36EA099F">
            <w:pPr>
              <w:pStyle w:val="81"/>
              <w:spacing w:beforeAutospacing="0" w:afterAutospacing="0" w:line="320" w:lineRule="exact"/>
              <w:jc w:val="center"/>
              <w:rPr>
                <w:rFonts w:hint="eastAsia" w:eastAsia="仿宋_GB2312" w:hAnsiTheme="minorHAnsi"/>
                <w:color w:val="auto"/>
                <w:sz w:val="21"/>
                <w:szCs w:val="21"/>
                <w:lang w:bidi="ar"/>
              </w:rPr>
            </w:pPr>
            <w:r>
              <w:rPr>
                <w:rFonts w:hint="eastAsia" w:eastAsia="仿宋_GB2312" w:hAnsiTheme="minorHAnsi"/>
                <w:color w:val="auto"/>
                <w:sz w:val="21"/>
                <w:szCs w:val="21"/>
                <w:lang w:bidi="ar"/>
              </w:rPr>
              <w:t>0.5</w:t>
            </w:r>
          </w:p>
        </w:tc>
        <w:tc>
          <w:tcPr>
            <w:tcW w:w="394" w:type="pct"/>
            <w:tcBorders>
              <w:tl2br w:val="nil"/>
              <w:tr2bl w:val="nil"/>
            </w:tcBorders>
            <w:shd w:val="clear" w:color="auto" w:fill="auto"/>
            <w:vAlign w:val="center"/>
          </w:tcPr>
          <w:p w14:paraId="1E07FE30">
            <w:pPr>
              <w:pStyle w:val="81"/>
              <w:spacing w:beforeAutospacing="0" w:afterAutospacing="0" w:line="320" w:lineRule="exact"/>
              <w:ind w:left="0" w:leftChars="0" w:right="0" w:rightChars="0"/>
              <w:jc w:val="center"/>
              <w:rPr>
                <w:rFonts w:ascii="Times New Roman" w:eastAsia="仿宋_GB2312" w:cs="Times New Roman" w:hAnsiTheme="minorHAnsi"/>
                <w:color w:val="auto"/>
                <w:kern w:val="0"/>
                <w:sz w:val="21"/>
                <w:szCs w:val="21"/>
                <w:lang w:val="en-US" w:eastAsia="zh-CN" w:bidi="ar"/>
              </w:rPr>
            </w:pPr>
            <w:r>
              <w:rPr>
                <w:rFonts w:eastAsia="仿宋_GB2312" w:hAnsiTheme="minorHAnsi"/>
                <w:color w:val="auto"/>
                <w:sz w:val="21"/>
                <w:szCs w:val="21"/>
                <w:lang w:bidi="ar"/>
              </w:rPr>
              <w:t>8</w:t>
            </w:r>
            <w:r>
              <w:rPr>
                <w:rFonts w:hint="eastAsia" w:eastAsia="仿宋_GB2312" w:hAnsiTheme="minorHAnsi"/>
                <w:color w:val="auto"/>
                <w:sz w:val="21"/>
                <w:szCs w:val="21"/>
                <w:lang w:bidi="ar"/>
              </w:rPr>
              <w:t>0</w:t>
            </w:r>
          </w:p>
        </w:tc>
        <w:tc>
          <w:tcPr>
            <w:tcW w:w="518" w:type="pct"/>
            <w:tcBorders>
              <w:tl2br w:val="nil"/>
              <w:tr2bl w:val="nil"/>
            </w:tcBorders>
            <w:shd w:val="clear" w:color="auto" w:fill="auto"/>
            <w:vAlign w:val="center"/>
          </w:tcPr>
          <w:p w14:paraId="24A2B446">
            <w:pPr>
              <w:pStyle w:val="163"/>
              <w:rPr>
                <w:rFonts w:ascii="Times New Roman" w:eastAsia="仿宋_GB2312" w:cs="Times New Roman" w:hAnsiTheme="minorHAnsi"/>
                <w:color w:val="auto"/>
                <w:kern w:val="0"/>
                <w:sz w:val="21"/>
                <w:szCs w:val="21"/>
                <w:lang w:val="en-US" w:eastAsia="zh-CN" w:bidi="ar"/>
              </w:rPr>
            </w:pPr>
            <w:r>
              <w:rPr>
                <w:rFonts w:ascii="Times New Roman" w:hAnsiTheme="minorHAnsi"/>
                <w:color w:val="auto"/>
                <w:kern w:val="0"/>
                <w:szCs w:val="21"/>
                <w:lang w:bidi="ar"/>
              </w:rPr>
              <w:t>隔声、减振</w:t>
            </w:r>
          </w:p>
        </w:tc>
        <w:tc>
          <w:tcPr>
            <w:tcW w:w="351" w:type="pct"/>
            <w:tcBorders>
              <w:tl2br w:val="nil"/>
              <w:tr2bl w:val="nil"/>
            </w:tcBorders>
            <w:shd w:val="clear" w:color="auto" w:fill="auto"/>
            <w:vAlign w:val="center"/>
          </w:tcPr>
          <w:p w14:paraId="760D19E4">
            <w:pPr>
              <w:pStyle w:val="163"/>
              <w:rPr>
                <w:rFonts w:ascii="Times New Roman" w:eastAsia="仿宋_GB2312" w:cs="Times New Roman" w:hAnsiTheme="minorHAnsi"/>
                <w:color w:val="auto"/>
                <w:kern w:val="0"/>
                <w:sz w:val="21"/>
                <w:szCs w:val="21"/>
                <w:lang w:val="en-US" w:eastAsia="zh-CN" w:bidi="ar"/>
              </w:rPr>
            </w:pPr>
            <w:r>
              <w:rPr>
                <w:rFonts w:ascii="Times New Roman" w:hAnsiTheme="minorHAnsi"/>
                <w:color w:val="auto"/>
                <w:kern w:val="0"/>
                <w:szCs w:val="21"/>
                <w:lang w:bidi="ar"/>
              </w:rPr>
              <w:t>全天</w:t>
            </w:r>
          </w:p>
        </w:tc>
        <w:tc>
          <w:tcPr>
            <w:tcW w:w="470" w:type="pct"/>
            <w:tcBorders>
              <w:tl2br w:val="nil"/>
              <w:tr2bl w:val="nil"/>
            </w:tcBorders>
            <w:shd w:val="clear" w:color="auto" w:fill="auto"/>
            <w:vAlign w:val="center"/>
          </w:tcPr>
          <w:p w14:paraId="0747E49A">
            <w:pPr>
              <w:pStyle w:val="163"/>
              <w:rPr>
                <w:rFonts w:ascii="Times New Roman" w:eastAsia="仿宋_GB2312" w:cs="Times New Roman" w:hAnsiTheme="minorHAnsi"/>
                <w:color w:val="auto"/>
                <w:kern w:val="0"/>
                <w:sz w:val="21"/>
                <w:szCs w:val="21"/>
                <w:lang w:val="en-US" w:eastAsia="zh-CN" w:bidi="ar"/>
              </w:rPr>
            </w:pPr>
            <w:r>
              <w:rPr>
                <w:rFonts w:hint="eastAsia" w:eastAsia="仿宋_GB2312" w:hAnsiTheme="minorHAnsi"/>
                <w:color w:val="auto"/>
                <w:sz w:val="21"/>
                <w:szCs w:val="21"/>
                <w:lang w:val="en-US" w:eastAsia="zh-CN" w:bidi="ar"/>
              </w:rPr>
              <w:t>依托现有</w:t>
            </w:r>
          </w:p>
        </w:tc>
      </w:tr>
      <w:tr w14:paraId="2839BC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241" w:type="pct"/>
            <w:tcBorders>
              <w:tl2br w:val="nil"/>
              <w:tr2bl w:val="nil"/>
            </w:tcBorders>
            <w:shd w:val="clear" w:color="auto" w:fill="auto"/>
            <w:vAlign w:val="center"/>
          </w:tcPr>
          <w:p w14:paraId="090CE5E9">
            <w:pPr>
              <w:pStyle w:val="81"/>
              <w:spacing w:beforeAutospacing="0" w:afterAutospacing="0" w:line="320" w:lineRule="exact"/>
              <w:jc w:val="center"/>
              <w:rPr>
                <w:rFonts w:hint="default" w:ascii="Times New Roman" w:hAnsi="Times New Roman" w:eastAsia="仿宋_GB2312" w:cs="Times New Roman"/>
                <w:color w:val="auto"/>
                <w:sz w:val="21"/>
                <w:szCs w:val="21"/>
                <w:lang w:val="en-US" w:eastAsia="zh-CN" w:bidi="ar"/>
              </w:rPr>
            </w:pPr>
            <w:r>
              <w:rPr>
                <w:rFonts w:hint="default" w:ascii="Times New Roman" w:hAnsi="Times New Roman" w:eastAsia="仿宋_GB2312" w:cs="Times New Roman"/>
                <w:color w:val="auto"/>
                <w:sz w:val="21"/>
                <w:szCs w:val="21"/>
                <w:lang w:val="en-US" w:eastAsia="zh-CN" w:bidi="ar"/>
              </w:rPr>
              <w:t>4</w:t>
            </w:r>
          </w:p>
        </w:tc>
        <w:tc>
          <w:tcPr>
            <w:tcW w:w="601" w:type="pct"/>
            <w:tcBorders>
              <w:tl2br w:val="nil"/>
              <w:tr2bl w:val="nil"/>
            </w:tcBorders>
            <w:shd w:val="clear" w:color="auto" w:fill="auto"/>
            <w:vAlign w:val="center"/>
          </w:tcPr>
          <w:p w14:paraId="48003AAC">
            <w:pPr>
              <w:pStyle w:val="163"/>
              <w:rPr>
                <w:rFonts w:hint="default" w:ascii="Times New Roman" w:hAnsi="Times New Roman" w:cs="Times New Roman"/>
                <w:color w:val="auto"/>
              </w:rPr>
            </w:pPr>
            <w:r>
              <w:rPr>
                <w:rFonts w:hint="default" w:ascii="Times New Roman" w:hAnsi="Times New Roman" w:cs="Times New Roman"/>
                <w:color w:val="auto"/>
                <w:lang w:val="en-US" w:eastAsia="zh-CN"/>
              </w:rPr>
              <w:t>DA004排气筒</w:t>
            </w:r>
          </w:p>
        </w:tc>
        <w:tc>
          <w:tcPr>
            <w:tcW w:w="522" w:type="pct"/>
            <w:tcBorders>
              <w:tl2br w:val="nil"/>
              <w:tr2bl w:val="nil"/>
            </w:tcBorders>
            <w:shd w:val="clear" w:color="auto" w:fill="auto"/>
            <w:vAlign w:val="center"/>
          </w:tcPr>
          <w:p w14:paraId="040A5249">
            <w:pPr>
              <w:pStyle w:val="163"/>
              <w:rPr>
                <w:rFonts w:hint="eastAsia" w:hAnsi="仿宋"/>
                <w:color w:val="auto"/>
              </w:rPr>
            </w:pPr>
            <w:r>
              <w:rPr>
                <w:rFonts w:hint="eastAsia" w:hAnsi="仿宋"/>
                <w:color w:val="auto"/>
              </w:rPr>
              <w:t>风机</w:t>
            </w:r>
          </w:p>
        </w:tc>
        <w:tc>
          <w:tcPr>
            <w:tcW w:w="512" w:type="pct"/>
            <w:tcBorders>
              <w:tl2br w:val="nil"/>
              <w:tr2bl w:val="nil"/>
            </w:tcBorders>
            <w:shd w:val="clear" w:color="auto" w:fill="auto"/>
            <w:vAlign w:val="center"/>
          </w:tcPr>
          <w:p w14:paraId="5C1DC632">
            <w:pPr>
              <w:pStyle w:val="163"/>
              <w:rPr>
                <w:rFonts w:hint="eastAsia" w:ascii="Times New Roman"/>
                <w:color w:val="auto"/>
                <w:kern w:val="0"/>
                <w:szCs w:val="21"/>
                <w:lang w:bidi="ar"/>
              </w:rPr>
            </w:pPr>
            <w:r>
              <w:rPr>
                <w:rFonts w:hint="eastAsia" w:ascii="Times New Roman"/>
                <w:color w:val="auto"/>
                <w:kern w:val="0"/>
                <w:szCs w:val="21"/>
                <w:lang w:val="en-US" w:eastAsia="zh-CN" w:bidi="ar"/>
              </w:rPr>
              <w:t>60</w:t>
            </w:r>
            <w:r>
              <w:rPr>
                <w:rFonts w:hint="eastAsia" w:ascii="Times New Roman"/>
                <w:color w:val="auto"/>
                <w:kern w:val="0"/>
                <w:szCs w:val="21"/>
                <w:lang w:bidi="ar"/>
              </w:rPr>
              <w:t>00</w:t>
            </w:r>
            <w:r>
              <w:rPr>
                <w:rFonts w:hint="eastAsia" w:ascii="Times New Roman"/>
                <w:color w:val="auto"/>
                <w:kern w:val="0"/>
                <w:szCs w:val="21"/>
                <w:lang w:val="en-US" w:eastAsia="zh-CN" w:bidi="ar"/>
              </w:rPr>
              <w:t>0</w:t>
            </w:r>
            <w:r>
              <w:rPr>
                <w:rFonts w:hint="eastAsia" w:ascii="Times New Roman"/>
                <w:color w:val="auto"/>
                <w:kern w:val="0"/>
                <w:szCs w:val="21"/>
                <w:lang w:bidi="ar"/>
              </w:rPr>
              <w:t>m</w:t>
            </w:r>
            <w:r>
              <w:rPr>
                <w:rFonts w:hint="eastAsia" w:ascii="Times New Roman"/>
                <w:color w:val="auto"/>
                <w:kern w:val="0"/>
                <w:szCs w:val="21"/>
                <w:vertAlign w:val="superscript"/>
                <w:lang w:bidi="ar"/>
              </w:rPr>
              <w:t>3</w:t>
            </w:r>
            <w:r>
              <w:rPr>
                <w:rFonts w:hint="eastAsia" w:ascii="Times New Roman"/>
                <w:color w:val="auto"/>
                <w:kern w:val="0"/>
                <w:szCs w:val="21"/>
                <w:lang w:bidi="ar"/>
              </w:rPr>
              <w:t>/h</w:t>
            </w:r>
          </w:p>
        </w:tc>
        <w:tc>
          <w:tcPr>
            <w:tcW w:w="347" w:type="pct"/>
            <w:tcBorders>
              <w:tl2br w:val="nil"/>
              <w:tr2bl w:val="nil"/>
            </w:tcBorders>
            <w:shd w:val="clear" w:color="auto" w:fill="auto"/>
            <w:vAlign w:val="center"/>
          </w:tcPr>
          <w:p w14:paraId="2300A4BE">
            <w:pPr>
              <w:pStyle w:val="163"/>
              <w:rPr>
                <w:rFonts w:hint="eastAsia" w:ascii="Times New Roman" w:eastAsia="仿宋_GB2312"/>
                <w:color w:val="auto"/>
                <w:kern w:val="0"/>
                <w:szCs w:val="21"/>
                <w:lang w:val="en-US" w:eastAsia="zh-CN" w:bidi="ar"/>
              </w:rPr>
            </w:pPr>
            <w:r>
              <w:rPr>
                <w:rFonts w:hint="eastAsia" w:ascii="Times New Roman"/>
                <w:color w:val="auto"/>
                <w:kern w:val="0"/>
                <w:szCs w:val="21"/>
                <w:lang w:val="en-US" w:eastAsia="zh-CN" w:bidi="ar"/>
              </w:rPr>
              <w:t>1</w:t>
            </w:r>
          </w:p>
        </w:tc>
        <w:tc>
          <w:tcPr>
            <w:tcW w:w="348" w:type="pct"/>
            <w:tcBorders>
              <w:tl2br w:val="nil"/>
              <w:tr2bl w:val="nil"/>
            </w:tcBorders>
            <w:shd w:val="clear" w:color="auto" w:fill="auto"/>
            <w:vAlign w:val="center"/>
          </w:tcPr>
          <w:p w14:paraId="59317BB0">
            <w:pPr>
              <w:pStyle w:val="81"/>
              <w:spacing w:beforeAutospacing="0" w:afterAutospacing="0" w:line="320" w:lineRule="exact"/>
              <w:jc w:val="center"/>
              <w:rPr>
                <w:rFonts w:hint="default" w:eastAsia="仿宋_GB2312" w:hAnsiTheme="minorHAnsi"/>
                <w:color w:val="auto"/>
                <w:sz w:val="21"/>
                <w:szCs w:val="21"/>
                <w:lang w:val="en-US" w:eastAsia="zh-CN" w:bidi="ar"/>
              </w:rPr>
            </w:pPr>
            <w:r>
              <w:rPr>
                <w:rFonts w:hint="eastAsia" w:eastAsia="仿宋_GB2312" w:hAnsiTheme="minorHAnsi"/>
                <w:color w:val="auto"/>
                <w:sz w:val="21"/>
                <w:szCs w:val="21"/>
                <w:lang w:val="en-US" w:eastAsia="zh-CN" w:bidi="ar"/>
              </w:rPr>
              <w:t>68</w:t>
            </w:r>
          </w:p>
        </w:tc>
        <w:tc>
          <w:tcPr>
            <w:tcW w:w="342" w:type="pct"/>
            <w:tcBorders>
              <w:tl2br w:val="nil"/>
              <w:tr2bl w:val="nil"/>
            </w:tcBorders>
            <w:shd w:val="clear" w:color="auto" w:fill="auto"/>
            <w:vAlign w:val="center"/>
          </w:tcPr>
          <w:p w14:paraId="51D92F1D">
            <w:pPr>
              <w:pStyle w:val="81"/>
              <w:spacing w:beforeAutospacing="0" w:afterAutospacing="0" w:line="320" w:lineRule="exact"/>
              <w:jc w:val="center"/>
              <w:rPr>
                <w:rFonts w:hint="default" w:eastAsia="仿宋_GB2312" w:hAnsiTheme="minorHAnsi"/>
                <w:color w:val="auto"/>
                <w:sz w:val="21"/>
                <w:szCs w:val="21"/>
                <w:lang w:val="en-US" w:eastAsia="zh-CN" w:bidi="ar"/>
              </w:rPr>
            </w:pPr>
            <w:r>
              <w:rPr>
                <w:rFonts w:hint="eastAsia" w:eastAsia="仿宋_GB2312" w:hAnsiTheme="minorHAnsi"/>
                <w:color w:val="auto"/>
                <w:sz w:val="21"/>
                <w:szCs w:val="21"/>
                <w:lang w:val="en-US" w:eastAsia="zh-CN" w:bidi="ar"/>
              </w:rPr>
              <w:t>101</w:t>
            </w:r>
          </w:p>
        </w:tc>
        <w:tc>
          <w:tcPr>
            <w:tcW w:w="348" w:type="pct"/>
            <w:tcBorders>
              <w:tl2br w:val="nil"/>
              <w:tr2bl w:val="nil"/>
            </w:tcBorders>
            <w:shd w:val="clear" w:color="auto" w:fill="auto"/>
            <w:vAlign w:val="center"/>
          </w:tcPr>
          <w:p w14:paraId="233935AB">
            <w:pPr>
              <w:pStyle w:val="81"/>
              <w:spacing w:beforeAutospacing="0" w:afterAutospacing="0" w:line="320" w:lineRule="exact"/>
              <w:jc w:val="center"/>
              <w:rPr>
                <w:rFonts w:hint="default" w:eastAsia="仿宋_GB2312" w:hAnsiTheme="minorHAnsi"/>
                <w:color w:val="auto"/>
                <w:sz w:val="21"/>
                <w:szCs w:val="21"/>
                <w:lang w:val="en-US" w:eastAsia="zh-CN" w:bidi="ar"/>
              </w:rPr>
            </w:pPr>
            <w:r>
              <w:rPr>
                <w:rFonts w:hint="eastAsia" w:eastAsia="仿宋_GB2312" w:hAnsiTheme="minorHAnsi"/>
                <w:color w:val="auto"/>
                <w:sz w:val="21"/>
                <w:szCs w:val="21"/>
                <w:lang w:val="en-US" w:eastAsia="zh-CN" w:bidi="ar"/>
              </w:rPr>
              <w:t>0.5</w:t>
            </w:r>
          </w:p>
        </w:tc>
        <w:tc>
          <w:tcPr>
            <w:tcW w:w="394" w:type="pct"/>
            <w:tcBorders>
              <w:tl2br w:val="nil"/>
              <w:tr2bl w:val="nil"/>
            </w:tcBorders>
            <w:shd w:val="clear" w:color="auto" w:fill="auto"/>
            <w:vAlign w:val="center"/>
          </w:tcPr>
          <w:p w14:paraId="1379F0D3">
            <w:pPr>
              <w:pStyle w:val="163"/>
              <w:rPr>
                <w:rFonts w:ascii="Times New Roman" w:eastAsia="仿宋_GB2312" w:cs="Times New Roman" w:hAnsiTheme="minorHAnsi"/>
                <w:color w:val="auto"/>
                <w:kern w:val="0"/>
                <w:sz w:val="21"/>
                <w:szCs w:val="21"/>
                <w:lang w:val="en-US" w:eastAsia="zh-CN" w:bidi="ar"/>
              </w:rPr>
            </w:pPr>
            <w:r>
              <w:rPr>
                <w:rFonts w:ascii="Times New Roman" w:hAnsiTheme="minorHAnsi"/>
                <w:color w:val="auto"/>
                <w:kern w:val="0"/>
                <w:szCs w:val="21"/>
                <w:lang w:bidi="ar"/>
              </w:rPr>
              <w:t>8</w:t>
            </w:r>
            <w:r>
              <w:rPr>
                <w:rFonts w:hint="eastAsia" w:ascii="Times New Roman" w:hAnsiTheme="minorHAnsi"/>
                <w:color w:val="auto"/>
                <w:kern w:val="0"/>
                <w:szCs w:val="21"/>
                <w:lang w:bidi="ar"/>
              </w:rPr>
              <w:t>0</w:t>
            </w:r>
          </w:p>
        </w:tc>
        <w:tc>
          <w:tcPr>
            <w:tcW w:w="518" w:type="pct"/>
            <w:tcBorders>
              <w:tl2br w:val="nil"/>
              <w:tr2bl w:val="nil"/>
            </w:tcBorders>
            <w:shd w:val="clear" w:color="auto" w:fill="auto"/>
            <w:vAlign w:val="center"/>
          </w:tcPr>
          <w:p w14:paraId="576B959B">
            <w:pPr>
              <w:pStyle w:val="81"/>
              <w:spacing w:beforeAutospacing="0" w:afterAutospacing="0" w:line="320" w:lineRule="exact"/>
              <w:ind w:left="0" w:leftChars="0" w:right="0" w:rightChars="0"/>
              <w:jc w:val="center"/>
              <w:rPr>
                <w:rFonts w:ascii="Times New Roman" w:eastAsia="仿宋_GB2312" w:cs="Times New Roman" w:hAnsiTheme="minorHAnsi"/>
                <w:color w:val="auto"/>
                <w:kern w:val="0"/>
                <w:sz w:val="21"/>
                <w:szCs w:val="21"/>
                <w:lang w:val="en-US" w:eastAsia="zh-CN" w:bidi="ar"/>
              </w:rPr>
            </w:pPr>
            <w:r>
              <w:rPr>
                <w:rFonts w:eastAsia="仿宋_GB2312" w:hAnsiTheme="minorHAnsi"/>
                <w:color w:val="auto"/>
                <w:sz w:val="21"/>
                <w:szCs w:val="21"/>
                <w:lang w:bidi="ar"/>
              </w:rPr>
              <w:t>隔声、减振</w:t>
            </w:r>
          </w:p>
        </w:tc>
        <w:tc>
          <w:tcPr>
            <w:tcW w:w="351" w:type="pct"/>
            <w:tcBorders>
              <w:tl2br w:val="nil"/>
              <w:tr2bl w:val="nil"/>
            </w:tcBorders>
            <w:shd w:val="clear" w:color="auto" w:fill="auto"/>
            <w:vAlign w:val="center"/>
          </w:tcPr>
          <w:p w14:paraId="7A7A88C9">
            <w:pPr>
              <w:pStyle w:val="81"/>
              <w:spacing w:beforeAutospacing="0" w:afterAutospacing="0" w:line="320" w:lineRule="exact"/>
              <w:ind w:left="0" w:leftChars="0" w:right="0" w:rightChars="0"/>
              <w:jc w:val="center"/>
              <w:rPr>
                <w:rFonts w:ascii="Times New Roman" w:eastAsia="仿宋_GB2312" w:cs="Times New Roman" w:hAnsiTheme="minorHAnsi"/>
                <w:color w:val="auto"/>
                <w:kern w:val="0"/>
                <w:sz w:val="21"/>
                <w:szCs w:val="21"/>
                <w:lang w:val="en-US" w:eastAsia="zh-CN" w:bidi="ar"/>
              </w:rPr>
            </w:pPr>
            <w:r>
              <w:rPr>
                <w:rFonts w:eastAsia="仿宋_GB2312" w:hAnsiTheme="minorHAnsi"/>
                <w:color w:val="auto"/>
                <w:sz w:val="21"/>
                <w:szCs w:val="21"/>
                <w:lang w:bidi="ar"/>
              </w:rPr>
              <w:t>全天</w:t>
            </w:r>
          </w:p>
        </w:tc>
        <w:tc>
          <w:tcPr>
            <w:tcW w:w="470" w:type="pct"/>
            <w:tcBorders>
              <w:tl2br w:val="nil"/>
              <w:tr2bl w:val="nil"/>
            </w:tcBorders>
            <w:shd w:val="clear" w:color="auto" w:fill="auto"/>
            <w:vAlign w:val="center"/>
          </w:tcPr>
          <w:p w14:paraId="6063737A">
            <w:pPr>
              <w:pStyle w:val="81"/>
              <w:spacing w:beforeAutospacing="0" w:afterAutospacing="0" w:line="320" w:lineRule="exact"/>
              <w:ind w:left="0" w:leftChars="0" w:right="0" w:rightChars="0"/>
              <w:jc w:val="center"/>
              <w:rPr>
                <w:rFonts w:hint="eastAsia" w:ascii="Times New Roman" w:eastAsia="仿宋_GB2312" w:cs="Times New Roman" w:hAnsiTheme="minorHAnsi"/>
                <w:color w:val="auto"/>
                <w:kern w:val="0"/>
                <w:sz w:val="21"/>
                <w:szCs w:val="21"/>
                <w:lang w:val="en-US" w:eastAsia="zh-CN" w:bidi="ar"/>
              </w:rPr>
            </w:pPr>
            <w:r>
              <w:rPr>
                <w:rFonts w:hint="eastAsia" w:eastAsia="仿宋_GB2312" w:hAnsiTheme="minorHAnsi"/>
                <w:color w:val="auto"/>
                <w:sz w:val="21"/>
                <w:szCs w:val="21"/>
                <w:lang w:val="en-US" w:eastAsia="zh-CN" w:bidi="ar"/>
              </w:rPr>
              <w:t>依托现有</w:t>
            </w:r>
          </w:p>
        </w:tc>
      </w:tr>
      <w:tr w14:paraId="358A7D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241" w:type="pct"/>
            <w:tcBorders>
              <w:tl2br w:val="nil"/>
              <w:tr2bl w:val="nil"/>
            </w:tcBorders>
            <w:shd w:val="clear" w:color="auto" w:fill="auto"/>
            <w:vAlign w:val="center"/>
          </w:tcPr>
          <w:p w14:paraId="5C7F728F">
            <w:pPr>
              <w:pStyle w:val="81"/>
              <w:spacing w:beforeAutospacing="0" w:afterAutospacing="0" w:line="320" w:lineRule="exact"/>
              <w:jc w:val="center"/>
              <w:rPr>
                <w:rFonts w:hint="default" w:ascii="Times New Roman" w:hAnsi="Times New Roman" w:eastAsia="仿宋_GB2312" w:cs="Times New Roman"/>
                <w:color w:val="auto"/>
                <w:sz w:val="21"/>
                <w:szCs w:val="21"/>
                <w:lang w:val="en-US" w:eastAsia="zh-CN" w:bidi="ar"/>
              </w:rPr>
            </w:pPr>
            <w:r>
              <w:rPr>
                <w:rFonts w:hint="default" w:ascii="Times New Roman" w:hAnsi="Times New Roman" w:eastAsia="仿宋_GB2312" w:cs="Times New Roman"/>
                <w:color w:val="auto"/>
                <w:sz w:val="21"/>
                <w:szCs w:val="21"/>
                <w:lang w:val="en-US" w:eastAsia="zh-CN" w:bidi="ar"/>
              </w:rPr>
              <w:t>5</w:t>
            </w:r>
          </w:p>
        </w:tc>
        <w:tc>
          <w:tcPr>
            <w:tcW w:w="601" w:type="pct"/>
            <w:tcBorders>
              <w:tl2br w:val="nil"/>
              <w:tr2bl w:val="nil"/>
            </w:tcBorders>
            <w:shd w:val="clear" w:color="auto" w:fill="auto"/>
            <w:vAlign w:val="center"/>
          </w:tcPr>
          <w:p w14:paraId="4D3D37F3">
            <w:pPr>
              <w:pStyle w:val="163"/>
              <w:rPr>
                <w:rFonts w:hint="default" w:ascii="Times New Roman" w:hAnsi="Times New Roman" w:cs="Times New Roman"/>
                <w:color w:val="auto"/>
              </w:rPr>
            </w:pPr>
            <w:r>
              <w:rPr>
                <w:rFonts w:hint="default" w:ascii="Times New Roman" w:hAnsi="Times New Roman" w:cs="Times New Roman"/>
                <w:color w:val="auto"/>
                <w:lang w:val="en-US" w:eastAsia="zh-CN"/>
              </w:rPr>
              <w:t>DA005排气筒</w:t>
            </w:r>
          </w:p>
        </w:tc>
        <w:tc>
          <w:tcPr>
            <w:tcW w:w="522" w:type="pct"/>
            <w:tcBorders>
              <w:tl2br w:val="nil"/>
              <w:tr2bl w:val="nil"/>
            </w:tcBorders>
            <w:shd w:val="clear" w:color="auto" w:fill="auto"/>
            <w:vAlign w:val="center"/>
          </w:tcPr>
          <w:p w14:paraId="231EB7DA">
            <w:pPr>
              <w:pStyle w:val="163"/>
              <w:rPr>
                <w:rFonts w:hint="eastAsia" w:hAnsi="仿宋"/>
                <w:color w:val="auto"/>
              </w:rPr>
            </w:pPr>
            <w:r>
              <w:rPr>
                <w:rFonts w:hint="eastAsia" w:hAnsi="仿宋"/>
                <w:color w:val="auto"/>
              </w:rPr>
              <w:t>风机</w:t>
            </w:r>
          </w:p>
        </w:tc>
        <w:tc>
          <w:tcPr>
            <w:tcW w:w="512" w:type="pct"/>
            <w:tcBorders>
              <w:tl2br w:val="nil"/>
              <w:tr2bl w:val="nil"/>
            </w:tcBorders>
            <w:shd w:val="clear" w:color="auto" w:fill="auto"/>
            <w:vAlign w:val="center"/>
          </w:tcPr>
          <w:p w14:paraId="4CBBF93A">
            <w:pPr>
              <w:pStyle w:val="163"/>
              <w:rPr>
                <w:rFonts w:hint="eastAsia" w:ascii="Times New Roman"/>
                <w:color w:val="auto"/>
                <w:kern w:val="0"/>
                <w:szCs w:val="21"/>
                <w:lang w:bidi="ar"/>
              </w:rPr>
            </w:pPr>
            <w:r>
              <w:rPr>
                <w:rFonts w:hint="eastAsia" w:ascii="Times New Roman"/>
                <w:color w:val="auto"/>
                <w:kern w:val="0"/>
                <w:szCs w:val="21"/>
                <w:lang w:val="en-US" w:eastAsia="zh-CN" w:bidi="ar"/>
              </w:rPr>
              <w:t>38</w:t>
            </w:r>
            <w:r>
              <w:rPr>
                <w:rFonts w:hint="eastAsia" w:ascii="Times New Roman"/>
                <w:color w:val="auto"/>
                <w:kern w:val="0"/>
                <w:szCs w:val="21"/>
                <w:lang w:bidi="ar"/>
              </w:rPr>
              <w:t>00</w:t>
            </w:r>
            <w:r>
              <w:rPr>
                <w:rFonts w:hint="eastAsia" w:ascii="Times New Roman"/>
                <w:color w:val="auto"/>
                <w:kern w:val="0"/>
                <w:szCs w:val="21"/>
                <w:lang w:val="en-US" w:eastAsia="zh-CN" w:bidi="ar"/>
              </w:rPr>
              <w:t>0</w:t>
            </w:r>
            <w:r>
              <w:rPr>
                <w:rFonts w:hint="eastAsia" w:ascii="Times New Roman"/>
                <w:color w:val="auto"/>
                <w:kern w:val="0"/>
                <w:szCs w:val="21"/>
                <w:lang w:bidi="ar"/>
              </w:rPr>
              <w:t>m</w:t>
            </w:r>
            <w:r>
              <w:rPr>
                <w:rFonts w:hint="eastAsia" w:ascii="Times New Roman"/>
                <w:color w:val="auto"/>
                <w:kern w:val="0"/>
                <w:szCs w:val="21"/>
                <w:vertAlign w:val="superscript"/>
                <w:lang w:bidi="ar"/>
              </w:rPr>
              <w:t>3</w:t>
            </w:r>
            <w:r>
              <w:rPr>
                <w:rFonts w:hint="eastAsia" w:ascii="Times New Roman"/>
                <w:color w:val="auto"/>
                <w:kern w:val="0"/>
                <w:szCs w:val="21"/>
                <w:lang w:bidi="ar"/>
              </w:rPr>
              <w:t>/h</w:t>
            </w:r>
          </w:p>
        </w:tc>
        <w:tc>
          <w:tcPr>
            <w:tcW w:w="347" w:type="pct"/>
            <w:tcBorders>
              <w:tl2br w:val="nil"/>
              <w:tr2bl w:val="nil"/>
            </w:tcBorders>
            <w:shd w:val="clear" w:color="auto" w:fill="auto"/>
            <w:vAlign w:val="center"/>
          </w:tcPr>
          <w:p w14:paraId="783EAC64">
            <w:pPr>
              <w:pStyle w:val="163"/>
              <w:rPr>
                <w:rFonts w:hint="eastAsia" w:ascii="Times New Roman" w:eastAsia="仿宋_GB2312"/>
                <w:color w:val="auto"/>
                <w:kern w:val="0"/>
                <w:szCs w:val="21"/>
                <w:lang w:val="en-US" w:eastAsia="zh-CN" w:bidi="ar"/>
              </w:rPr>
            </w:pPr>
            <w:r>
              <w:rPr>
                <w:rFonts w:hint="eastAsia" w:ascii="Times New Roman"/>
                <w:color w:val="auto"/>
                <w:kern w:val="0"/>
                <w:szCs w:val="21"/>
                <w:lang w:val="en-US" w:eastAsia="zh-CN" w:bidi="ar"/>
              </w:rPr>
              <w:t>1</w:t>
            </w:r>
          </w:p>
        </w:tc>
        <w:tc>
          <w:tcPr>
            <w:tcW w:w="348" w:type="pct"/>
            <w:tcBorders>
              <w:tl2br w:val="nil"/>
              <w:tr2bl w:val="nil"/>
            </w:tcBorders>
            <w:shd w:val="clear" w:color="auto" w:fill="auto"/>
            <w:vAlign w:val="center"/>
          </w:tcPr>
          <w:p w14:paraId="6A20CE17">
            <w:pPr>
              <w:pStyle w:val="81"/>
              <w:spacing w:beforeAutospacing="0" w:afterAutospacing="0" w:line="320" w:lineRule="exact"/>
              <w:jc w:val="center"/>
              <w:rPr>
                <w:rFonts w:hint="default" w:eastAsia="仿宋_GB2312" w:hAnsiTheme="minorHAnsi"/>
                <w:color w:val="auto"/>
                <w:sz w:val="21"/>
                <w:szCs w:val="21"/>
                <w:lang w:val="en-US" w:eastAsia="zh-CN" w:bidi="ar"/>
              </w:rPr>
            </w:pPr>
            <w:r>
              <w:rPr>
                <w:rFonts w:hint="eastAsia" w:eastAsia="仿宋_GB2312" w:hAnsiTheme="minorHAnsi"/>
                <w:color w:val="auto"/>
                <w:sz w:val="21"/>
                <w:szCs w:val="21"/>
                <w:lang w:val="en-US" w:eastAsia="zh-CN" w:bidi="ar"/>
              </w:rPr>
              <w:t>168</w:t>
            </w:r>
          </w:p>
        </w:tc>
        <w:tc>
          <w:tcPr>
            <w:tcW w:w="342" w:type="pct"/>
            <w:tcBorders>
              <w:tl2br w:val="nil"/>
              <w:tr2bl w:val="nil"/>
            </w:tcBorders>
            <w:shd w:val="clear" w:color="auto" w:fill="auto"/>
            <w:vAlign w:val="center"/>
          </w:tcPr>
          <w:p w14:paraId="2600785E">
            <w:pPr>
              <w:pStyle w:val="81"/>
              <w:spacing w:beforeAutospacing="0" w:afterAutospacing="0" w:line="320" w:lineRule="exact"/>
              <w:jc w:val="center"/>
              <w:rPr>
                <w:rFonts w:hint="default" w:eastAsia="仿宋_GB2312" w:hAnsiTheme="minorHAnsi"/>
                <w:color w:val="auto"/>
                <w:sz w:val="21"/>
                <w:szCs w:val="21"/>
                <w:lang w:val="en-US" w:eastAsia="zh-CN" w:bidi="ar"/>
              </w:rPr>
            </w:pPr>
            <w:r>
              <w:rPr>
                <w:rFonts w:hint="eastAsia" w:eastAsia="仿宋_GB2312" w:hAnsiTheme="minorHAnsi"/>
                <w:color w:val="auto"/>
                <w:sz w:val="21"/>
                <w:szCs w:val="21"/>
                <w:lang w:val="en-US" w:eastAsia="zh-CN" w:bidi="ar"/>
              </w:rPr>
              <w:t>87</w:t>
            </w:r>
          </w:p>
        </w:tc>
        <w:tc>
          <w:tcPr>
            <w:tcW w:w="348" w:type="pct"/>
            <w:tcBorders>
              <w:tl2br w:val="nil"/>
              <w:tr2bl w:val="nil"/>
            </w:tcBorders>
            <w:shd w:val="clear" w:color="auto" w:fill="auto"/>
            <w:vAlign w:val="center"/>
          </w:tcPr>
          <w:p w14:paraId="2789714F">
            <w:pPr>
              <w:pStyle w:val="81"/>
              <w:spacing w:beforeAutospacing="0" w:afterAutospacing="0" w:line="320" w:lineRule="exact"/>
              <w:jc w:val="center"/>
              <w:rPr>
                <w:rFonts w:hint="eastAsia" w:eastAsia="仿宋_GB2312" w:hAnsiTheme="minorHAnsi"/>
                <w:color w:val="auto"/>
                <w:sz w:val="21"/>
                <w:szCs w:val="21"/>
                <w:lang w:bidi="ar"/>
              </w:rPr>
            </w:pPr>
            <w:r>
              <w:rPr>
                <w:rFonts w:hint="eastAsia" w:eastAsia="仿宋_GB2312" w:hAnsiTheme="minorHAnsi"/>
                <w:color w:val="auto"/>
                <w:sz w:val="21"/>
                <w:szCs w:val="21"/>
                <w:lang w:val="en-US" w:eastAsia="zh-CN" w:bidi="ar"/>
              </w:rPr>
              <w:t>0.5</w:t>
            </w:r>
          </w:p>
        </w:tc>
        <w:tc>
          <w:tcPr>
            <w:tcW w:w="394" w:type="pct"/>
            <w:tcBorders>
              <w:tl2br w:val="nil"/>
              <w:tr2bl w:val="nil"/>
            </w:tcBorders>
            <w:shd w:val="clear" w:color="auto" w:fill="auto"/>
            <w:vAlign w:val="center"/>
          </w:tcPr>
          <w:p w14:paraId="3DF2876A">
            <w:pPr>
              <w:pStyle w:val="81"/>
              <w:spacing w:beforeAutospacing="0" w:afterAutospacing="0" w:line="320" w:lineRule="exact"/>
              <w:ind w:left="0" w:leftChars="0" w:right="0" w:rightChars="0"/>
              <w:jc w:val="center"/>
              <w:rPr>
                <w:rFonts w:ascii="Times New Roman" w:eastAsia="仿宋_GB2312" w:cs="Times New Roman" w:hAnsiTheme="minorHAnsi"/>
                <w:color w:val="auto"/>
                <w:kern w:val="0"/>
                <w:sz w:val="21"/>
                <w:szCs w:val="21"/>
                <w:lang w:val="en-US" w:eastAsia="zh-CN" w:bidi="ar"/>
              </w:rPr>
            </w:pPr>
            <w:r>
              <w:rPr>
                <w:rFonts w:eastAsia="仿宋_GB2312" w:hAnsiTheme="minorHAnsi"/>
                <w:color w:val="auto"/>
                <w:sz w:val="21"/>
                <w:szCs w:val="21"/>
                <w:lang w:bidi="ar"/>
              </w:rPr>
              <w:t>8</w:t>
            </w:r>
            <w:r>
              <w:rPr>
                <w:rFonts w:hint="eastAsia" w:eastAsia="仿宋_GB2312" w:hAnsiTheme="minorHAnsi"/>
                <w:color w:val="auto"/>
                <w:sz w:val="21"/>
                <w:szCs w:val="21"/>
                <w:lang w:bidi="ar"/>
              </w:rPr>
              <w:t>0</w:t>
            </w:r>
          </w:p>
        </w:tc>
        <w:tc>
          <w:tcPr>
            <w:tcW w:w="518" w:type="pct"/>
            <w:tcBorders>
              <w:tl2br w:val="nil"/>
              <w:tr2bl w:val="nil"/>
            </w:tcBorders>
            <w:shd w:val="clear" w:color="auto" w:fill="auto"/>
            <w:vAlign w:val="center"/>
          </w:tcPr>
          <w:p w14:paraId="54628C5A">
            <w:pPr>
              <w:pStyle w:val="163"/>
              <w:rPr>
                <w:rFonts w:ascii="Times New Roman" w:eastAsia="仿宋_GB2312" w:cs="Times New Roman" w:hAnsiTheme="minorHAnsi"/>
                <w:color w:val="auto"/>
                <w:kern w:val="0"/>
                <w:sz w:val="21"/>
                <w:szCs w:val="21"/>
                <w:lang w:val="en-US" w:eastAsia="zh-CN" w:bidi="ar"/>
              </w:rPr>
            </w:pPr>
            <w:r>
              <w:rPr>
                <w:rFonts w:ascii="Times New Roman" w:hAnsiTheme="minorHAnsi"/>
                <w:color w:val="auto"/>
                <w:kern w:val="0"/>
                <w:szCs w:val="21"/>
                <w:lang w:bidi="ar"/>
              </w:rPr>
              <w:t>隔声、减振</w:t>
            </w:r>
          </w:p>
        </w:tc>
        <w:tc>
          <w:tcPr>
            <w:tcW w:w="351" w:type="pct"/>
            <w:tcBorders>
              <w:tl2br w:val="nil"/>
              <w:tr2bl w:val="nil"/>
            </w:tcBorders>
            <w:shd w:val="clear" w:color="auto" w:fill="auto"/>
            <w:vAlign w:val="center"/>
          </w:tcPr>
          <w:p w14:paraId="03BC4198">
            <w:pPr>
              <w:pStyle w:val="163"/>
              <w:rPr>
                <w:rFonts w:ascii="Times New Roman" w:eastAsia="仿宋_GB2312" w:cs="Times New Roman" w:hAnsiTheme="minorHAnsi"/>
                <w:color w:val="auto"/>
                <w:kern w:val="0"/>
                <w:sz w:val="21"/>
                <w:szCs w:val="21"/>
                <w:lang w:val="en-US" w:eastAsia="zh-CN" w:bidi="ar"/>
              </w:rPr>
            </w:pPr>
            <w:r>
              <w:rPr>
                <w:rFonts w:ascii="Times New Roman" w:hAnsiTheme="minorHAnsi"/>
                <w:color w:val="auto"/>
                <w:kern w:val="0"/>
                <w:szCs w:val="21"/>
                <w:lang w:bidi="ar"/>
              </w:rPr>
              <w:t>全天</w:t>
            </w:r>
          </w:p>
        </w:tc>
        <w:tc>
          <w:tcPr>
            <w:tcW w:w="470" w:type="pct"/>
            <w:tcBorders>
              <w:tl2br w:val="nil"/>
              <w:tr2bl w:val="nil"/>
            </w:tcBorders>
            <w:shd w:val="clear" w:color="auto" w:fill="auto"/>
            <w:vAlign w:val="center"/>
          </w:tcPr>
          <w:p w14:paraId="6074A43F">
            <w:pPr>
              <w:pStyle w:val="163"/>
              <w:rPr>
                <w:rFonts w:ascii="Times New Roman" w:eastAsia="仿宋_GB2312" w:cs="Times New Roman" w:hAnsiTheme="minorHAnsi"/>
                <w:color w:val="auto"/>
                <w:kern w:val="0"/>
                <w:sz w:val="21"/>
                <w:szCs w:val="21"/>
                <w:lang w:val="en-US" w:eastAsia="zh-CN" w:bidi="ar"/>
              </w:rPr>
            </w:pPr>
            <w:r>
              <w:rPr>
                <w:rFonts w:hint="eastAsia" w:eastAsia="仿宋_GB2312" w:hAnsiTheme="minorHAnsi"/>
                <w:color w:val="auto"/>
                <w:sz w:val="21"/>
                <w:szCs w:val="21"/>
                <w:lang w:val="en-US" w:eastAsia="zh-CN" w:bidi="ar"/>
              </w:rPr>
              <w:t>依托现有</w:t>
            </w:r>
          </w:p>
        </w:tc>
      </w:tr>
    </w:tbl>
    <w:p w14:paraId="1C801EC8">
      <w:pPr>
        <w:snapToGrid w:val="0"/>
        <w:spacing w:line="320" w:lineRule="exact"/>
        <w:jc w:val="left"/>
        <w:rPr>
          <w:rFonts w:eastAsia="仿宋_GB2312"/>
          <w:b/>
          <w:bCs/>
          <w:color w:val="auto"/>
          <w:sz w:val="24"/>
        </w:rPr>
      </w:pPr>
      <w:r>
        <w:rPr>
          <w:rFonts w:hint="eastAsia" w:eastAsia="仿宋_GB2312"/>
          <w:color w:val="auto"/>
          <w:szCs w:val="21"/>
          <w:lang w:bidi="ar"/>
        </w:rPr>
        <w:t>备注：以西厂区西南角为原点建立模型坐标系，取东西向为X坐标轴、南北向为Y坐标轴。</w:t>
      </w:r>
    </w:p>
    <w:p w14:paraId="3307138F">
      <w:pPr>
        <w:spacing w:line="500" w:lineRule="exact"/>
        <w:jc w:val="center"/>
        <w:rPr>
          <w:rFonts w:eastAsia="仿宋_GB2312"/>
          <w:b/>
          <w:color w:val="auto"/>
          <w:sz w:val="24"/>
        </w:rPr>
      </w:pPr>
      <w:r>
        <w:rPr>
          <w:rFonts w:hint="eastAsia" w:eastAsia="仿宋_GB2312"/>
          <w:b/>
          <w:color w:val="auto"/>
          <w:sz w:val="24"/>
        </w:rPr>
        <w:t>表</w:t>
      </w:r>
      <w:r>
        <w:rPr>
          <w:rFonts w:eastAsia="仿宋_GB2312"/>
          <w:b/>
          <w:color w:val="auto"/>
          <w:sz w:val="24"/>
        </w:rPr>
        <w:t>3.</w:t>
      </w:r>
      <w:r>
        <w:rPr>
          <w:rFonts w:hint="eastAsia" w:eastAsia="仿宋_GB2312"/>
          <w:b/>
          <w:color w:val="auto"/>
          <w:sz w:val="24"/>
        </w:rPr>
        <w:t>4-1</w:t>
      </w:r>
      <w:r>
        <w:rPr>
          <w:rFonts w:hint="eastAsia" w:eastAsia="仿宋_GB2312"/>
          <w:b/>
          <w:color w:val="auto"/>
          <w:sz w:val="24"/>
          <w:lang w:val="en-US" w:eastAsia="zh-CN"/>
        </w:rPr>
        <w:t>3</w:t>
      </w:r>
      <w:r>
        <w:rPr>
          <w:rFonts w:eastAsia="仿宋_GB2312"/>
          <w:b/>
          <w:color w:val="auto"/>
          <w:sz w:val="24"/>
        </w:rPr>
        <w:t xml:space="preserve">  </w:t>
      </w:r>
      <w:r>
        <w:rPr>
          <w:rFonts w:hint="eastAsia" w:eastAsia="仿宋_GB2312"/>
          <w:b/>
          <w:color w:val="auto"/>
          <w:sz w:val="24"/>
        </w:rPr>
        <w:t>本项目噪声源强调查清单（室内声源）</w:t>
      </w:r>
    </w:p>
    <w:tbl>
      <w:tblPr>
        <w:tblStyle w:val="882"/>
        <w:tblW w:w="5427"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57" w:type="dxa"/>
          <w:bottom w:w="0" w:type="dxa"/>
          <w:right w:w="57" w:type="dxa"/>
        </w:tblCellMar>
      </w:tblPr>
      <w:tblGrid>
        <w:gridCol w:w="555"/>
        <w:gridCol w:w="890"/>
        <w:gridCol w:w="1218"/>
        <w:gridCol w:w="1306"/>
        <w:gridCol w:w="759"/>
        <w:gridCol w:w="704"/>
        <w:gridCol w:w="653"/>
        <w:gridCol w:w="639"/>
        <w:gridCol w:w="781"/>
        <w:gridCol w:w="858"/>
        <w:gridCol w:w="810"/>
        <w:gridCol w:w="843"/>
        <w:gridCol w:w="810"/>
        <w:gridCol w:w="932"/>
        <w:gridCol w:w="787"/>
        <w:gridCol w:w="861"/>
        <w:gridCol w:w="997"/>
      </w:tblGrid>
      <w:tr w14:paraId="73E154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192" w:type="pct"/>
            <w:vMerge w:val="restart"/>
            <w:tcBorders>
              <w:tl2br w:val="nil"/>
              <w:tr2bl w:val="nil"/>
            </w:tcBorders>
            <w:shd w:val="clear" w:color="auto" w:fill="auto"/>
            <w:tcMar>
              <w:top w:w="0" w:type="dxa"/>
              <w:left w:w="0" w:type="dxa"/>
              <w:bottom w:w="0" w:type="dxa"/>
              <w:right w:w="0" w:type="dxa"/>
            </w:tcMar>
            <w:vAlign w:val="center"/>
          </w:tcPr>
          <w:p w14:paraId="7E91794B">
            <w:pPr>
              <w:pStyle w:val="81"/>
              <w:spacing w:beforeAutospacing="0" w:afterAutospacing="0" w:line="320" w:lineRule="exact"/>
              <w:jc w:val="center"/>
              <w:rPr>
                <w:rFonts w:eastAsia="仿宋_GB2312"/>
                <w:b/>
                <w:bCs/>
                <w:color w:val="auto"/>
                <w:sz w:val="21"/>
                <w:szCs w:val="21"/>
              </w:rPr>
            </w:pPr>
            <w:r>
              <w:rPr>
                <w:rFonts w:eastAsia="仿宋_GB2312"/>
                <w:b/>
                <w:bCs/>
                <w:color w:val="auto"/>
                <w:sz w:val="21"/>
                <w:szCs w:val="21"/>
                <w:lang w:bidi="ar"/>
              </w:rPr>
              <w:t>序号</w:t>
            </w:r>
          </w:p>
        </w:tc>
        <w:tc>
          <w:tcPr>
            <w:tcW w:w="308" w:type="pct"/>
            <w:vMerge w:val="restart"/>
            <w:tcBorders>
              <w:tl2br w:val="nil"/>
              <w:tr2bl w:val="nil"/>
            </w:tcBorders>
            <w:shd w:val="clear" w:color="auto" w:fill="auto"/>
            <w:tcMar>
              <w:top w:w="0" w:type="dxa"/>
              <w:left w:w="0" w:type="dxa"/>
              <w:bottom w:w="0" w:type="dxa"/>
              <w:right w:w="0" w:type="dxa"/>
            </w:tcMar>
            <w:vAlign w:val="center"/>
          </w:tcPr>
          <w:p w14:paraId="0CFADDBE">
            <w:pPr>
              <w:pStyle w:val="81"/>
              <w:spacing w:beforeAutospacing="0" w:afterAutospacing="0" w:line="320" w:lineRule="exact"/>
              <w:jc w:val="center"/>
              <w:rPr>
                <w:rFonts w:eastAsia="仿宋_GB2312"/>
                <w:b/>
                <w:bCs/>
                <w:color w:val="auto"/>
                <w:sz w:val="21"/>
                <w:szCs w:val="21"/>
              </w:rPr>
            </w:pPr>
            <w:r>
              <w:rPr>
                <w:rFonts w:eastAsia="仿宋_GB2312"/>
                <w:b/>
                <w:bCs/>
                <w:color w:val="auto"/>
                <w:sz w:val="21"/>
                <w:szCs w:val="21"/>
                <w:lang w:bidi="ar"/>
              </w:rPr>
              <w:t>建筑物名称</w:t>
            </w:r>
          </w:p>
        </w:tc>
        <w:tc>
          <w:tcPr>
            <w:tcW w:w="422" w:type="pct"/>
            <w:vMerge w:val="restart"/>
            <w:tcBorders>
              <w:tl2br w:val="nil"/>
              <w:tr2bl w:val="nil"/>
            </w:tcBorders>
            <w:shd w:val="clear" w:color="auto" w:fill="auto"/>
            <w:tcMar>
              <w:top w:w="0" w:type="dxa"/>
              <w:left w:w="0" w:type="dxa"/>
              <w:bottom w:w="0" w:type="dxa"/>
              <w:right w:w="0" w:type="dxa"/>
            </w:tcMar>
            <w:vAlign w:val="center"/>
          </w:tcPr>
          <w:p w14:paraId="12ECACEA">
            <w:pPr>
              <w:pStyle w:val="81"/>
              <w:spacing w:beforeAutospacing="0" w:afterAutospacing="0" w:line="320" w:lineRule="exact"/>
              <w:jc w:val="center"/>
              <w:rPr>
                <w:rFonts w:eastAsia="仿宋_GB2312"/>
                <w:b/>
                <w:bCs/>
                <w:color w:val="auto"/>
                <w:sz w:val="21"/>
                <w:szCs w:val="21"/>
              </w:rPr>
            </w:pPr>
            <w:r>
              <w:rPr>
                <w:rFonts w:eastAsia="仿宋_GB2312"/>
                <w:b/>
                <w:bCs/>
                <w:color w:val="auto"/>
                <w:sz w:val="21"/>
                <w:szCs w:val="21"/>
                <w:lang w:bidi="ar"/>
              </w:rPr>
              <w:t>声源名称</w:t>
            </w:r>
          </w:p>
        </w:tc>
        <w:tc>
          <w:tcPr>
            <w:tcW w:w="453" w:type="pct"/>
            <w:vMerge w:val="restart"/>
            <w:tcBorders>
              <w:tl2br w:val="nil"/>
              <w:tr2bl w:val="nil"/>
            </w:tcBorders>
            <w:shd w:val="clear" w:color="auto" w:fill="auto"/>
            <w:tcMar>
              <w:top w:w="0" w:type="dxa"/>
              <w:left w:w="0" w:type="dxa"/>
              <w:bottom w:w="0" w:type="dxa"/>
              <w:right w:w="0" w:type="dxa"/>
            </w:tcMar>
            <w:vAlign w:val="center"/>
          </w:tcPr>
          <w:p w14:paraId="140A8F6A">
            <w:pPr>
              <w:pStyle w:val="81"/>
              <w:spacing w:beforeAutospacing="0" w:afterAutospacing="0" w:line="320" w:lineRule="exact"/>
              <w:jc w:val="center"/>
              <w:rPr>
                <w:rFonts w:eastAsia="仿宋_GB2312"/>
                <w:b/>
                <w:bCs/>
                <w:color w:val="auto"/>
                <w:sz w:val="21"/>
                <w:szCs w:val="21"/>
              </w:rPr>
            </w:pPr>
            <w:r>
              <w:rPr>
                <w:rFonts w:eastAsia="仿宋_GB2312"/>
                <w:b/>
                <w:bCs/>
                <w:color w:val="auto"/>
                <w:sz w:val="21"/>
                <w:szCs w:val="21"/>
                <w:lang w:bidi="ar"/>
              </w:rPr>
              <w:t>型号</w:t>
            </w:r>
          </w:p>
        </w:tc>
        <w:tc>
          <w:tcPr>
            <w:tcW w:w="263" w:type="pct"/>
            <w:vMerge w:val="restart"/>
            <w:tcBorders>
              <w:tl2br w:val="nil"/>
              <w:tr2bl w:val="nil"/>
            </w:tcBorders>
            <w:shd w:val="clear" w:color="auto" w:fill="auto"/>
            <w:tcMar>
              <w:top w:w="0" w:type="dxa"/>
              <w:left w:w="0" w:type="dxa"/>
              <w:bottom w:w="0" w:type="dxa"/>
              <w:right w:w="0" w:type="dxa"/>
            </w:tcMar>
            <w:vAlign w:val="center"/>
          </w:tcPr>
          <w:p w14:paraId="30A8F361">
            <w:pPr>
              <w:pStyle w:val="81"/>
              <w:spacing w:beforeAutospacing="0" w:afterAutospacing="0" w:line="320" w:lineRule="exact"/>
              <w:jc w:val="center"/>
              <w:rPr>
                <w:rFonts w:eastAsia="仿宋_GB2312"/>
                <w:b/>
                <w:bCs/>
                <w:color w:val="auto"/>
                <w:sz w:val="21"/>
                <w:szCs w:val="21"/>
              </w:rPr>
            </w:pPr>
            <w:r>
              <w:rPr>
                <w:rFonts w:eastAsia="仿宋_GB2312"/>
                <w:b/>
                <w:bCs/>
                <w:color w:val="auto"/>
                <w:sz w:val="21"/>
                <w:szCs w:val="21"/>
                <w:lang w:bidi="ar"/>
              </w:rPr>
              <w:t>设备</w:t>
            </w:r>
          </w:p>
          <w:p w14:paraId="1517C8A8">
            <w:pPr>
              <w:pStyle w:val="81"/>
              <w:spacing w:beforeAutospacing="0" w:afterAutospacing="0" w:line="320" w:lineRule="exact"/>
              <w:jc w:val="center"/>
              <w:rPr>
                <w:rFonts w:eastAsia="仿宋_GB2312"/>
                <w:b/>
                <w:bCs/>
                <w:color w:val="auto"/>
                <w:sz w:val="21"/>
                <w:szCs w:val="21"/>
              </w:rPr>
            </w:pPr>
            <w:r>
              <w:rPr>
                <w:rFonts w:eastAsia="仿宋_GB2312"/>
                <w:b/>
                <w:bCs/>
                <w:color w:val="auto"/>
                <w:sz w:val="21"/>
                <w:szCs w:val="21"/>
                <w:lang w:bidi="ar"/>
              </w:rPr>
              <w:t>台数</w:t>
            </w:r>
          </w:p>
        </w:tc>
        <w:tc>
          <w:tcPr>
            <w:tcW w:w="693" w:type="pct"/>
            <w:gridSpan w:val="3"/>
            <w:tcBorders>
              <w:tl2br w:val="nil"/>
              <w:tr2bl w:val="nil"/>
            </w:tcBorders>
            <w:shd w:val="clear" w:color="auto" w:fill="auto"/>
            <w:tcMar>
              <w:top w:w="0" w:type="dxa"/>
              <w:left w:w="0" w:type="dxa"/>
              <w:bottom w:w="0" w:type="dxa"/>
              <w:right w:w="0" w:type="dxa"/>
            </w:tcMar>
            <w:vAlign w:val="center"/>
          </w:tcPr>
          <w:p w14:paraId="7B1F5F9D">
            <w:pPr>
              <w:pStyle w:val="81"/>
              <w:spacing w:beforeAutospacing="0" w:afterAutospacing="0" w:line="320" w:lineRule="exact"/>
              <w:jc w:val="center"/>
              <w:rPr>
                <w:rFonts w:eastAsia="仿宋_GB2312"/>
                <w:b/>
                <w:bCs/>
                <w:color w:val="auto"/>
                <w:sz w:val="21"/>
                <w:szCs w:val="21"/>
              </w:rPr>
            </w:pPr>
            <w:r>
              <w:rPr>
                <w:rFonts w:eastAsia="仿宋_GB2312"/>
                <w:b/>
                <w:bCs/>
                <w:color w:val="auto"/>
                <w:sz w:val="21"/>
                <w:szCs w:val="21"/>
                <w:lang w:bidi="ar"/>
              </w:rPr>
              <w:t>空间相对位置/m</w:t>
            </w:r>
          </w:p>
        </w:tc>
        <w:tc>
          <w:tcPr>
            <w:tcW w:w="271" w:type="pct"/>
            <w:vMerge w:val="restart"/>
            <w:tcBorders>
              <w:tl2br w:val="nil"/>
              <w:tr2bl w:val="nil"/>
            </w:tcBorders>
            <w:shd w:val="clear" w:color="auto" w:fill="auto"/>
            <w:tcMar>
              <w:top w:w="0" w:type="dxa"/>
              <w:left w:w="0" w:type="dxa"/>
              <w:bottom w:w="0" w:type="dxa"/>
              <w:right w:w="0" w:type="dxa"/>
            </w:tcMar>
            <w:vAlign w:val="center"/>
          </w:tcPr>
          <w:p w14:paraId="223E62AE">
            <w:pPr>
              <w:pStyle w:val="81"/>
              <w:spacing w:beforeAutospacing="0" w:afterAutospacing="0" w:line="320" w:lineRule="exact"/>
              <w:jc w:val="center"/>
              <w:rPr>
                <w:rFonts w:eastAsia="仿宋_GB2312"/>
                <w:b/>
                <w:bCs/>
                <w:color w:val="auto"/>
                <w:sz w:val="21"/>
                <w:szCs w:val="21"/>
              </w:rPr>
            </w:pPr>
            <w:r>
              <w:rPr>
                <w:rFonts w:eastAsia="仿宋_GB2312"/>
                <w:b/>
                <w:bCs/>
                <w:color w:val="auto"/>
                <w:sz w:val="21"/>
                <w:szCs w:val="21"/>
                <w:lang w:bidi="ar"/>
              </w:rPr>
              <w:t>声源源强</w:t>
            </w:r>
          </w:p>
          <w:p w14:paraId="61A9B435">
            <w:pPr>
              <w:pStyle w:val="81"/>
              <w:spacing w:beforeAutospacing="0" w:afterAutospacing="0" w:line="320" w:lineRule="exact"/>
              <w:jc w:val="center"/>
              <w:rPr>
                <w:rFonts w:eastAsia="仿宋_GB2312"/>
                <w:b/>
                <w:bCs/>
                <w:color w:val="auto"/>
                <w:sz w:val="21"/>
                <w:szCs w:val="21"/>
              </w:rPr>
            </w:pPr>
            <w:r>
              <w:rPr>
                <w:rFonts w:eastAsia="仿宋_GB2312"/>
                <w:b/>
                <w:bCs/>
                <w:color w:val="auto"/>
                <w:sz w:val="21"/>
                <w:szCs w:val="21"/>
                <w:lang w:bidi="ar"/>
              </w:rPr>
              <w:t>dB(A)</w:t>
            </w:r>
          </w:p>
        </w:tc>
        <w:tc>
          <w:tcPr>
            <w:tcW w:w="297" w:type="pct"/>
            <w:vMerge w:val="restart"/>
            <w:tcBorders>
              <w:tl2br w:val="nil"/>
              <w:tr2bl w:val="nil"/>
            </w:tcBorders>
            <w:shd w:val="clear" w:color="auto" w:fill="auto"/>
            <w:tcMar>
              <w:top w:w="0" w:type="dxa"/>
              <w:left w:w="0" w:type="dxa"/>
              <w:bottom w:w="0" w:type="dxa"/>
              <w:right w:w="0" w:type="dxa"/>
            </w:tcMar>
            <w:vAlign w:val="center"/>
          </w:tcPr>
          <w:p w14:paraId="27CBF221">
            <w:pPr>
              <w:pStyle w:val="81"/>
              <w:spacing w:beforeAutospacing="0" w:afterAutospacing="0" w:line="320" w:lineRule="exact"/>
              <w:jc w:val="center"/>
              <w:rPr>
                <w:rFonts w:eastAsia="仿宋_GB2312"/>
                <w:b/>
                <w:bCs/>
                <w:color w:val="auto"/>
                <w:sz w:val="21"/>
                <w:szCs w:val="21"/>
              </w:rPr>
            </w:pPr>
            <w:r>
              <w:rPr>
                <w:rFonts w:eastAsia="仿宋_GB2312"/>
                <w:b/>
                <w:bCs/>
                <w:color w:val="auto"/>
                <w:sz w:val="21"/>
                <w:szCs w:val="21"/>
                <w:lang w:bidi="ar"/>
              </w:rPr>
              <w:t>声源控制措施</w:t>
            </w:r>
          </w:p>
        </w:tc>
        <w:tc>
          <w:tcPr>
            <w:tcW w:w="281" w:type="pct"/>
            <w:vMerge w:val="restart"/>
            <w:tcBorders>
              <w:tl2br w:val="nil"/>
              <w:tr2bl w:val="nil"/>
            </w:tcBorders>
            <w:shd w:val="clear" w:color="auto" w:fill="auto"/>
            <w:tcMar>
              <w:top w:w="0" w:type="dxa"/>
              <w:left w:w="0" w:type="dxa"/>
              <w:bottom w:w="0" w:type="dxa"/>
              <w:right w:w="0" w:type="dxa"/>
            </w:tcMar>
            <w:vAlign w:val="center"/>
          </w:tcPr>
          <w:p w14:paraId="4D1C222A">
            <w:pPr>
              <w:pStyle w:val="81"/>
              <w:spacing w:beforeAutospacing="0" w:afterAutospacing="0" w:line="320" w:lineRule="exact"/>
              <w:jc w:val="center"/>
              <w:rPr>
                <w:rFonts w:eastAsia="仿宋_GB2312"/>
                <w:b/>
                <w:bCs/>
                <w:color w:val="auto"/>
                <w:sz w:val="21"/>
                <w:szCs w:val="21"/>
              </w:rPr>
            </w:pPr>
            <w:r>
              <w:rPr>
                <w:rFonts w:eastAsia="仿宋_GB2312"/>
                <w:b/>
                <w:bCs/>
                <w:color w:val="auto"/>
                <w:sz w:val="21"/>
                <w:szCs w:val="20"/>
                <w:lang w:bidi="ar"/>
              </w:rPr>
              <w:t>距室内边界距离m</w:t>
            </w:r>
          </w:p>
        </w:tc>
        <w:tc>
          <w:tcPr>
            <w:tcW w:w="292" w:type="pct"/>
            <w:vMerge w:val="restart"/>
            <w:tcBorders>
              <w:tl2br w:val="nil"/>
              <w:tr2bl w:val="nil"/>
            </w:tcBorders>
            <w:shd w:val="clear" w:color="auto" w:fill="auto"/>
            <w:tcMar>
              <w:top w:w="0" w:type="dxa"/>
              <w:left w:w="0" w:type="dxa"/>
              <w:bottom w:w="0" w:type="dxa"/>
              <w:right w:w="0" w:type="dxa"/>
            </w:tcMar>
            <w:vAlign w:val="center"/>
          </w:tcPr>
          <w:p w14:paraId="43E7AA8E">
            <w:pPr>
              <w:pStyle w:val="81"/>
              <w:spacing w:beforeAutospacing="0" w:afterAutospacing="0" w:line="320" w:lineRule="exact"/>
              <w:jc w:val="center"/>
              <w:rPr>
                <w:rFonts w:eastAsia="仿宋_GB2312"/>
                <w:b/>
                <w:bCs/>
                <w:color w:val="auto"/>
                <w:sz w:val="21"/>
                <w:szCs w:val="21"/>
                <w:lang w:bidi="ar"/>
              </w:rPr>
            </w:pPr>
            <w:r>
              <w:rPr>
                <w:rFonts w:eastAsia="仿宋_GB2312"/>
                <w:b/>
                <w:bCs/>
                <w:color w:val="auto"/>
                <w:sz w:val="21"/>
                <w:szCs w:val="20"/>
                <w:lang w:bidi="ar"/>
              </w:rPr>
              <w:t>室内边界声级dB(A)</w:t>
            </w:r>
          </w:p>
        </w:tc>
        <w:tc>
          <w:tcPr>
            <w:tcW w:w="281" w:type="pct"/>
            <w:vMerge w:val="restart"/>
            <w:tcBorders>
              <w:tl2br w:val="nil"/>
              <w:tr2bl w:val="nil"/>
            </w:tcBorders>
            <w:shd w:val="clear" w:color="auto" w:fill="auto"/>
            <w:tcMar>
              <w:top w:w="0" w:type="dxa"/>
              <w:left w:w="0" w:type="dxa"/>
              <w:bottom w:w="0" w:type="dxa"/>
              <w:right w:w="0" w:type="dxa"/>
            </w:tcMar>
            <w:vAlign w:val="center"/>
          </w:tcPr>
          <w:p w14:paraId="69DE35B6">
            <w:pPr>
              <w:pStyle w:val="81"/>
              <w:spacing w:beforeAutospacing="0" w:afterAutospacing="0" w:line="320" w:lineRule="exact"/>
              <w:jc w:val="center"/>
              <w:rPr>
                <w:rFonts w:eastAsia="仿宋_GB2312"/>
                <w:b/>
                <w:bCs/>
                <w:color w:val="auto"/>
                <w:sz w:val="21"/>
                <w:szCs w:val="21"/>
              </w:rPr>
            </w:pPr>
            <w:r>
              <w:rPr>
                <w:rFonts w:eastAsia="仿宋_GB2312"/>
                <w:b/>
                <w:bCs/>
                <w:color w:val="auto"/>
                <w:sz w:val="21"/>
                <w:szCs w:val="21"/>
                <w:lang w:bidi="ar"/>
              </w:rPr>
              <w:t>运行</w:t>
            </w:r>
          </w:p>
          <w:p w14:paraId="289349EA">
            <w:pPr>
              <w:pStyle w:val="81"/>
              <w:spacing w:beforeAutospacing="0" w:afterAutospacing="0" w:line="320" w:lineRule="exact"/>
              <w:jc w:val="center"/>
              <w:rPr>
                <w:rFonts w:eastAsia="仿宋_GB2312"/>
                <w:b/>
                <w:bCs/>
                <w:color w:val="auto"/>
                <w:sz w:val="21"/>
                <w:szCs w:val="21"/>
              </w:rPr>
            </w:pPr>
            <w:r>
              <w:rPr>
                <w:rFonts w:eastAsia="仿宋_GB2312"/>
                <w:b/>
                <w:bCs/>
                <w:color w:val="auto"/>
                <w:sz w:val="21"/>
                <w:szCs w:val="21"/>
                <w:lang w:bidi="ar"/>
              </w:rPr>
              <w:t>时段</w:t>
            </w:r>
          </w:p>
        </w:tc>
        <w:tc>
          <w:tcPr>
            <w:tcW w:w="323" w:type="pct"/>
            <w:vMerge w:val="restart"/>
            <w:tcBorders>
              <w:tl2br w:val="nil"/>
              <w:tr2bl w:val="nil"/>
            </w:tcBorders>
            <w:shd w:val="clear" w:color="auto" w:fill="auto"/>
            <w:tcMar>
              <w:top w:w="0" w:type="dxa"/>
              <w:left w:w="0" w:type="dxa"/>
              <w:bottom w:w="0" w:type="dxa"/>
              <w:right w:w="0" w:type="dxa"/>
            </w:tcMar>
            <w:vAlign w:val="center"/>
          </w:tcPr>
          <w:p w14:paraId="59F5BBCC">
            <w:pPr>
              <w:pStyle w:val="81"/>
              <w:spacing w:beforeAutospacing="0" w:afterAutospacing="0" w:line="320" w:lineRule="exact"/>
              <w:jc w:val="center"/>
              <w:rPr>
                <w:rFonts w:eastAsia="仿宋_GB2312"/>
                <w:b/>
                <w:bCs/>
                <w:color w:val="auto"/>
                <w:sz w:val="21"/>
                <w:szCs w:val="21"/>
              </w:rPr>
            </w:pPr>
            <w:r>
              <w:rPr>
                <w:rFonts w:eastAsia="仿宋_GB2312"/>
                <w:b/>
                <w:bCs/>
                <w:color w:val="auto"/>
                <w:sz w:val="21"/>
                <w:szCs w:val="21"/>
                <w:lang w:bidi="ar"/>
              </w:rPr>
              <w:t>建筑物插入损失dB(A)</w:t>
            </w:r>
          </w:p>
        </w:tc>
        <w:tc>
          <w:tcPr>
            <w:tcW w:w="572" w:type="pct"/>
            <w:gridSpan w:val="2"/>
            <w:tcBorders>
              <w:tl2br w:val="nil"/>
              <w:tr2bl w:val="nil"/>
            </w:tcBorders>
            <w:shd w:val="clear" w:color="auto" w:fill="auto"/>
            <w:tcMar>
              <w:top w:w="0" w:type="dxa"/>
              <w:left w:w="0" w:type="dxa"/>
              <w:bottom w:w="0" w:type="dxa"/>
              <w:right w:w="0" w:type="dxa"/>
            </w:tcMar>
            <w:vAlign w:val="center"/>
          </w:tcPr>
          <w:p w14:paraId="1410673C">
            <w:pPr>
              <w:pStyle w:val="81"/>
              <w:spacing w:beforeAutospacing="0" w:afterAutospacing="0" w:line="320" w:lineRule="exact"/>
              <w:jc w:val="center"/>
              <w:rPr>
                <w:rFonts w:eastAsia="仿宋_GB2312"/>
                <w:b/>
                <w:bCs/>
                <w:color w:val="auto"/>
                <w:sz w:val="21"/>
                <w:szCs w:val="21"/>
              </w:rPr>
            </w:pPr>
            <w:r>
              <w:rPr>
                <w:rFonts w:eastAsia="仿宋_GB2312"/>
                <w:b/>
                <w:bCs/>
                <w:color w:val="auto"/>
                <w:sz w:val="21"/>
                <w:szCs w:val="21"/>
                <w:lang w:bidi="ar"/>
              </w:rPr>
              <w:t>建筑物外噪声</w:t>
            </w:r>
          </w:p>
        </w:tc>
        <w:tc>
          <w:tcPr>
            <w:tcW w:w="346" w:type="pct"/>
            <w:vMerge w:val="restart"/>
            <w:tcBorders>
              <w:tl2br w:val="nil"/>
              <w:tr2bl w:val="nil"/>
            </w:tcBorders>
            <w:shd w:val="clear" w:color="auto" w:fill="auto"/>
            <w:tcMar>
              <w:top w:w="0" w:type="dxa"/>
              <w:left w:w="0" w:type="dxa"/>
              <w:bottom w:w="0" w:type="dxa"/>
              <w:right w:w="0" w:type="dxa"/>
            </w:tcMar>
            <w:vAlign w:val="center"/>
          </w:tcPr>
          <w:p w14:paraId="200AFACD">
            <w:pPr>
              <w:pStyle w:val="81"/>
              <w:spacing w:beforeAutospacing="0" w:afterAutospacing="0" w:line="320" w:lineRule="exact"/>
              <w:jc w:val="center"/>
              <w:rPr>
                <w:rFonts w:hint="eastAsia" w:eastAsia="仿宋_GB2312"/>
                <w:b/>
                <w:bCs/>
                <w:color w:val="auto"/>
                <w:sz w:val="21"/>
                <w:szCs w:val="21"/>
                <w:lang w:val="en-US" w:eastAsia="zh-CN" w:bidi="ar"/>
              </w:rPr>
            </w:pPr>
            <w:r>
              <w:rPr>
                <w:rFonts w:hint="eastAsia" w:eastAsia="仿宋_GB2312"/>
                <w:b/>
                <w:bCs/>
                <w:color w:val="auto"/>
                <w:sz w:val="21"/>
                <w:szCs w:val="21"/>
                <w:lang w:val="en-US" w:eastAsia="zh-CN" w:bidi="ar"/>
              </w:rPr>
              <w:t>备注</w:t>
            </w:r>
          </w:p>
        </w:tc>
      </w:tr>
      <w:tr w14:paraId="7C8D52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192" w:type="pct"/>
            <w:vMerge w:val="continue"/>
            <w:tcBorders>
              <w:tl2br w:val="nil"/>
              <w:tr2bl w:val="nil"/>
            </w:tcBorders>
            <w:shd w:val="clear" w:color="auto" w:fill="auto"/>
            <w:tcMar>
              <w:top w:w="0" w:type="dxa"/>
              <w:left w:w="0" w:type="dxa"/>
              <w:bottom w:w="0" w:type="dxa"/>
              <w:right w:w="0" w:type="dxa"/>
            </w:tcMar>
            <w:vAlign w:val="center"/>
          </w:tcPr>
          <w:p w14:paraId="5B5BA211">
            <w:pPr>
              <w:jc w:val="center"/>
              <w:rPr>
                <w:rFonts w:eastAsia="仿宋_GB2312"/>
                <w:color w:val="auto"/>
                <w:szCs w:val="21"/>
              </w:rPr>
            </w:pPr>
          </w:p>
        </w:tc>
        <w:tc>
          <w:tcPr>
            <w:tcW w:w="308" w:type="pct"/>
            <w:vMerge w:val="continue"/>
            <w:tcBorders>
              <w:tl2br w:val="nil"/>
              <w:tr2bl w:val="nil"/>
            </w:tcBorders>
            <w:shd w:val="clear" w:color="auto" w:fill="auto"/>
            <w:tcMar>
              <w:top w:w="0" w:type="dxa"/>
              <w:left w:w="0" w:type="dxa"/>
              <w:bottom w:w="0" w:type="dxa"/>
              <w:right w:w="0" w:type="dxa"/>
            </w:tcMar>
            <w:vAlign w:val="center"/>
          </w:tcPr>
          <w:p w14:paraId="70E32752">
            <w:pPr>
              <w:jc w:val="center"/>
              <w:rPr>
                <w:rFonts w:eastAsia="仿宋_GB2312"/>
                <w:color w:val="auto"/>
                <w:szCs w:val="21"/>
              </w:rPr>
            </w:pPr>
          </w:p>
        </w:tc>
        <w:tc>
          <w:tcPr>
            <w:tcW w:w="422" w:type="pct"/>
            <w:vMerge w:val="continue"/>
            <w:tcBorders>
              <w:tl2br w:val="nil"/>
              <w:tr2bl w:val="nil"/>
            </w:tcBorders>
            <w:shd w:val="clear" w:color="auto" w:fill="auto"/>
            <w:tcMar>
              <w:top w:w="0" w:type="dxa"/>
              <w:left w:w="0" w:type="dxa"/>
              <w:bottom w:w="0" w:type="dxa"/>
              <w:right w:w="0" w:type="dxa"/>
            </w:tcMar>
            <w:vAlign w:val="center"/>
          </w:tcPr>
          <w:p w14:paraId="1508AA53">
            <w:pPr>
              <w:jc w:val="center"/>
              <w:rPr>
                <w:rFonts w:eastAsia="仿宋_GB2312"/>
                <w:color w:val="auto"/>
                <w:szCs w:val="21"/>
              </w:rPr>
            </w:pPr>
          </w:p>
        </w:tc>
        <w:tc>
          <w:tcPr>
            <w:tcW w:w="453" w:type="pct"/>
            <w:vMerge w:val="continue"/>
            <w:tcBorders>
              <w:tl2br w:val="nil"/>
              <w:tr2bl w:val="nil"/>
            </w:tcBorders>
            <w:shd w:val="clear" w:color="auto" w:fill="auto"/>
            <w:tcMar>
              <w:top w:w="0" w:type="dxa"/>
              <w:left w:w="0" w:type="dxa"/>
              <w:bottom w:w="0" w:type="dxa"/>
              <w:right w:w="0" w:type="dxa"/>
            </w:tcMar>
            <w:vAlign w:val="center"/>
          </w:tcPr>
          <w:p w14:paraId="43C3DE38">
            <w:pPr>
              <w:jc w:val="center"/>
              <w:rPr>
                <w:rFonts w:eastAsia="仿宋_GB2312"/>
                <w:color w:val="auto"/>
                <w:szCs w:val="21"/>
              </w:rPr>
            </w:pPr>
          </w:p>
        </w:tc>
        <w:tc>
          <w:tcPr>
            <w:tcW w:w="263" w:type="pct"/>
            <w:vMerge w:val="continue"/>
            <w:tcBorders>
              <w:tl2br w:val="nil"/>
              <w:tr2bl w:val="nil"/>
            </w:tcBorders>
            <w:shd w:val="clear" w:color="auto" w:fill="auto"/>
            <w:tcMar>
              <w:top w:w="0" w:type="dxa"/>
              <w:left w:w="0" w:type="dxa"/>
              <w:bottom w:w="0" w:type="dxa"/>
              <w:right w:w="0" w:type="dxa"/>
            </w:tcMar>
            <w:vAlign w:val="center"/>
          </w:tcPr>
          <w:p w14:paraId="53A46220">
            <w:pPr>
              <w:jc w:val="center"/>
              <w:rPr>
                <w:rFonts w:eastAsia="仿宋_GB2312"/>
                <w:color w:val="auto"/>
                <w:szCs w:val="21"/>
              </w:rPr>
            </w:pPr>
          </w:p>
        </w:tc>
        <w:tc>
          <w:tcPr>
            <w:tcW w:w="244" w:type="pct"/>
            <w:tcBorders>
              <w:tl2br w:val="nil"/>
              <w:tr2bl w:val="nil"/>
            </w:tcBorders>
            <w:shd w:val="clear" w:color="auto" w:fill="auto"/>
            <w:tcMar>
              <w:top w:w="0" w:type="dxa"/>
              <w:left w:w="0" w:type="dxa"/>
              <w:bottom w:w="0" w:type="dxa"/>
              <w:right w:w="0" w:type="dxa"/>
            </w:tcMar>
            <w:vAlign w:val="center"/>
          </w:tcPr>
          <w:p w14:paraId="41ABCB0F">
            <w:pPr>
              <w:pStyle w:val="81"/>
              <w:spacing w:beforeAutospacing="0" w:afterAutospacing="0" w:line="320" w:lineRule="exact"/>
              <w:jc w:val="center"/>
              <w:rPr>
                <w:rFonts w:eastAsia="仿宋_GB2312"/>
                <w:b/>
                <w:bCs/>
                <w:color w:val="auto"/>
                <w:sz w:val="21"/>
                <w:szCs w:val="21"/>
              </w:rPr>
            </w:pPr>
            <w:r>
              <w:rPr>
                <w:rFonts w:eastAsia="仿宋_GB2312"/>
                <w:b/>
                <w:bCs/>
                <w:color w:val="auto"/>
                <w:sz w:val="21"/>
                <w:szCs w:val="21"/>
                <w:lang w:bidi="ar"/>
              </w:rPr>
              <w:t>X</w:t>
            </w:r>
          </w:p>
        </w:tc>
        <w:tc>
          <w:tcPr>
            <w:tcW w:w="226" w:type="pct"/>
            <w:tcBorders>
              <w:tl2br w:val="nil"/>
              <w:tr2bl w:val="nil"/>
            </w:tcBorders>
            <w:shd w:val="clear" w:color="auto" w:fill="auto"/>
            <w:tcMar>
              <w:top w:w="0" w:type="dxa"/>
              <w:left w:w="0" w:type="dxa"/>
              <w:bottom w:w="0" w:type="dxa"/>
              <w:right w:w="0" w:type="dxa"/>
            </w:tcMar>
            <w:vAlign w:val="center"/>
          </w:tcPr>
          <w:p w14:paraId="7D7F5230">
            <w:pPr>
              <w:pStyle w:val="81"/>
              <w:spacing w:beforeAutospacing="0" w:afterAutospacing="0" w:line="320" w:lineRule="exact"/>
              <w:jc w:val="center"/>
              <w:rPr>
                <w:rFonts w:eastAsia="仿宋_GB2312"/>
                <w:b/>
                <w:bCs/>
                <w:color w:val="auto"/>
                <w:sz w:val="21"/>
                <w:szCs w:val="21"/>
              </w:rPr>
            </w:pPr>
            <w:r>
              <w:rPr>
                <w:rFonts w:eastAsia="仿宋_GB2312"/>
                <w:b/>
                <w:bCs/>
                <w:color w:val="auto"/>
                <w:sz w:val="21"/>
                <w:szCs w:val="21"/>
                <w:lang w:bidi="ar"/>
              </w:rPr>
              <w:t>Y</w:t>
            </w:r>
          </w:p>
        </w:tc>
        <w:tc>
          <w:tcPr>
            <w:tcW w:w="221" w:type="pct"/>
            <w:tcBorders>
              <w:tl2br w:val="nil"/>
              <w:tr2bl w:val="nil"/>
            </w:tcBorders>
            <w:shd w:val="clear" w:color="auto" w:fill="auto"/>
            <w:tcMar>
              <w:top w:w="0" w:type="dxa"/>
              <w:left w:w="0" w:type="dxa"/>
              <w:bottom w:w="0" w:type="dxa"/>
              <w:right w:w="0" w:type="dxa"/>
            </w:tcMar>
            <w:vAlign w:val="center"/>
          </w:tcPr>
          <w:p w14:paraId="64A094E2">
            <w:pPr>
              <w:pStyle w:val="81"/>
              <w:spacing w:beforeAutospacing="0" w:afterAutospacing="0" w:line="320" w:lineRule="exact"/>
              <w:jc w:val="center"/>
              <w:rPr>
                <w:rFonts w:eastAsia="仿宋_GB2312"/>
                <w:b/>
                <w:bCs/>
                <w:color w:val="auto"/>
                <w:sz w:val="21"/>
                <w:szCs w:val="21"/>
              </w:rPr>
            </w:pPr>
            <w:r>
              <w:rPr>
                <w:rFonts w:eastAsia="仿宋_GB2312"/>
                <w:b/>
                <w:bCs/>
                <w:color w:val="auto"/>
                <w:sz w:val="21"/>
                <w:szCs w:val="21"/>
                <w:lang w:bidi="ar"/>
              </w:rPr>
              <w:t>Z</w:t>
            </w:r>
          </w:p>
        </w:tc>
        <w:tc>
          <w:tcPr>
            <w:tcW w:w="271" w:type="pct"/>
            <w:vMerge w:val="continue"/>
            <w:tcBorders>
              <w:tl2br w:val="nil"/>
              <w:tr2bl w:val="nil"/>
            </w:tcBorders>
            <w:shd w:val="clear" w:color="auto" w:fill="auto"/>
            <w:tcMar>
              <w:top w:w="0" w:type="dxa"/>
              <w:left w:w="0" w:type="dxa"/>
              <w:bottom w:w="0" w:type="dxa"/>
              <w:right w:w="0" w:type="dxa"/>
            </w:tcMar>
            <w:vAlign w:val="center"/>
          </w:tcPr>
          <w:p w14:paraId="4C814BAD">
            <w:pPr>
              <w:jc w:val="center"/>
              <w:rPr>
                <w:rFonts w:eastAsia="仿宋_GB2312"/>
                <w:color w:val="auto"/>
                <w:szCs w:val="21"/>
              </w:rPr>
            </w:pPr>
          </w:p>
        </w:tc>
        <w:tc>
          <w:tcPr>
            <w:tcW w:w="297" w:type="pct"/>
            <w:vMerge w:val="continue"/>
            <w:tcBorders>
              <w:tl2br w:val="nil"/>
              <w:tr2bl w:val="nil"/>
            </w:tcBorders>
            <w:shd w:val="clear" w:color="auto" w:fill="auto"/>
            <w:tcMar>
              <w:top w:w="0" w:type="dxa"/>
              <w:left w:w="0" w:type="dxa"/>
              <w:bottom w:w="0" w:type="dxa"/>
              <w:right w:w="0" w:type="dxa"/>
            </w:tcMar>
            <w:vAlign w:val="center"/>
          </w:tcPr>
          <w:p w14:paraId="24599840">
            <w:pPr>
              <w:jc w:val="center"/>
              <w:rPr>
                <w:rFonts w:eastAsia="仿宋_GB2312"/>
                <w:color w:val="auto"/>
                <w:szCs w:val="21"/>
              </w:rPr>
            </w:pPr>
          </w:p>
        </w:tc>
        <w:tc>
          <w:tcPr>
            <w:tcW w:w="281" w:type="pct"/>
            <w:vMerge w:val="continue"/>
            <w:tcBorders>
              <w:tl2br w:val="nil"/>
              <w:tr2bl w:val="nil"/>
            </w:tcBorders>
            <w:shd w:val="clear" w:color="auto" w:fill="auto"/>
            <w:tcMar>
              <w:top w:w="0" w:type="dxa"/>
              <w:left w:w="0" w:type="dxa"/>
              <w:bottom w:w="0" w:type="dxa"/>
              <w:right w:w="0" w:type="dxa"/>
            </w:tcMar>
            <w:vAlign w:val="center"/>
          </w:tcPr>
          <w:p w14:paraId="6C657CB5">
            <w:pPr>
              <w:jc w:val="center"/>
              <w:rPr>
                <w:rFonts w:eastAsia="仿宋_GB2312"/>
                <w:color w:val="auto"/>
                <w:szCs w:val="21"/>
              </w:rPr>
            </w:pPr>
          </w:p>
        </w:tc>
        <w:tc>
          <w:tcPr>
            <w:tcW w:w="292" w:type="pct"/>
            <w:vMerge w:val="continue"/>
            <w:tcBorders>
              <w:tl2br w:val="nil"/>
              <w:tr2bl w:val="nil"/>
            </w:tcBorders>
            <w:shd w:val="clear" w:color="auto" w:fill="auto"/>
            <w:tcMar>
              <w:top w:w="0" w:type="dxa"/>
              <w:left w:w="0" w:type="dxa"/>
              <w:bottom w:w="0" w:type="dxa"/>
              <w:right w:w="0" w:type="dxa"/>
            </w:tcMar>
            <w:vAlign w:val="center"/>
          </w:tcPr>
          <w:p w14:paraId="3350A9BD">
            <w:pPr>
              <w:jc w:val="center"/>
              <w:rPr>
                <w:rFonts w:eastAsia="仿宋_GB2312"/>
                <w:color w:val="auto"/>
                <w:szCs w:val="21"/>
              </w:rPr>
            </w:pPr>
          </w:p>
        </w:tc>
        <w:tc>
          <w:tcPr>
            <w:tcW w:w="281" w:type="pct"/>
            <w:vMerge w:val="continue"/>
            <w:tcBorders>
              <w:tl2br w:val="nil"/>
              <w:tr2bl w:val="nil"/>
            </w:tcBorders>
            <w:shd w:val="clear" w:color="auto" w:fill="auto"/>
            <w:tcMar>
              <w:top w:w="0" w:type="dxa"/>
              <w:left w:w="0" w:type="dxa"/>
              <w:bottom w:w="0" w:type="dxa"/>
              <w:right w:w="0" w:type="dxa"/>
            </w:tcMar>
            <w:vAlign w:val="center"/>
          </w:tcPr>
          <w:p w14:paraId="49A95FE4">
            <w:pPr>
              <w:jc w:val="center"/>
              <w:rPr>
                <w:rFonts w:eastAsia="仿宋_GB2312"/>
                <w:color w:val="auto"/>
                <w:szCs w:val="21"/>
              </w:rPr>
            </w:pPr>
          </w:p>
        </w:tc>
        <w:tc>
          <w:tcPr>
            <w:tcW w:w="323" w:type="pct"/>
            <w:vMerge w:val="continue"/>
            <w:tcBorders>
              <w:tl2br w:val="nil"/>
              <w:tr2bl w:val="nil"/>
            </w:tcBorders>
            <w:shd w:val="clear" w:color="auto" w:fill="auto"/>
            <w:tcMar>
              <w:top w:w="0" w:type="dxa"/>
              <w:left w:w="0" w:type="dxa"/>
              <w:bottom w:w="0" w:type="dxa"/>
              <w:right w:w="0" w:type="dxa"/>
            </w:tcMar>
            <w:vAlign w:val="center"/>
          </w:tcPr>
          <w:p w14:paraId="3ACFD24C">
            <w:pPr>
              <w:jc w:val="center"/>
              <w:rPr>
                <w:rFonts w:eastAsia="仿宋_GB2312"/>
                <w:color w:val="auto"/>
                <w:szCs w:val="21"/>
              </w:rPr>
            </w:pPr>
          </w:p>
        </w:tc>
        <w:tc>
          <w:tcPr>
            <w:tcW w:w="273" w:type="pct"/>
            <w:tcBorders>
              <w:tl2br w:val="nil"/>
              <w:tr2bl w:val="nil"/>
            </w:tcBorders>
            <w:shd w:val="clear" w:color="auto" w:fill="auto"/>
            <w:tcMar>
              <w:top w:w="0" w:type="dxa"/>
              <w:left w:w="0" w:type="dxa"/>
              <w:bottom w:w="0" w:type="dxa"/>
              <w:right w:w="0" w:type="dxa"/>
            </w:tcMar>
            <w:vAlign w:val="center"/>
          </w:tcPr>
          <w:p w14:paraId="7E4E245E">
            <w:pPr>
              <w:pStyle w:val="81"/>
              <w:spacing w:beforeAutospacing="0" w:afterAutospacing="0" w:line="320" w:lineRule="exact"/>
              <w:jc w:val="center"/>
              <w:rPr>
                <w:rFonts w:eastAsia="仿宋_GB2312"/>
                <w:b/>
                <w:bCs/>
                <w:color w:val="auto"/>
                <w:sz w:val="21"/>
                <w:szCs w:val="21"/>
              </w:rPr>
            </w:pPr>
            <w:r>
              <w:rPr>
                <w:rFonts w:eastAsia="仿宋_GB2312"/>
                <w:b/>
                <w:bCs/>
                <w:color w:val="auto"/>
                <w:sz w:val="21"/>
                <w:szCs w:val="21"/>
                <w:lang w:bidi="ar"/>
              </w:rPr>
              <w:t>声压级dB(A)</w:t>
            </w:r>
          </w:p>
        </w:tc>
        <w:tc>
          <w:tcPr>
            <w:tcW w:w="298" w:type="pct"/>
            <w:tcBorders>
              <w:tl2br w:val="nil"/>
              <w:tr2bl w:val="nil"/>
            </w:tcBorders>
            <w:shd w:val="clear" w:color="auto" w:fill="auto"/>
            <w:tcMar>
              <w:top w:w="0" w:type="dxa"/>
              <w:left w:w="0" w:type="dxa"/>
              <w:bottom w:w="0" w:type="dxa"/>
              <w:right w:w="0" w:type="dxa"/>
            </w:tcMar>
            <w:vAlign w:val="center"/>
          </w:tcPr>
          <w:p w14:paraId="09D0479E">
            <w:pPr>
              <w:pStyle w:val="81"/>
              <w:spacing w:beforeAutospacing="0" w:afterAutospacing="0" w:line="320" w:lineRule="exact"/>
              <w:jc w:val="center"/>
              <w:rPr>
                <w:rFonts w:eastAsia="仿宋_GB2312"/>
                <w:b/>
                <w:bCs/>
                <w:color w:val="auto"/>
                <w:sz w:val="21"/>
                <w:szCs w:val="21"/>
              </w:rPr>
            </w:pPr>
            <w:r>
              <w:rPr>
                <w:rFonts w:eastAsia="仿宋_GB2312"/>
                <w:b/>
                <w:bCs/>
                <w:color w:val="auto"/>
                <w:sz w:val="21"/>
                <w:szCs w:val="21"/>
                <w:lang w:bidi="ar"/>
              </w:rPr>
              <w:t>建筑物外距离m</w:t>
            </w:r>
          </w:p>
        </w:tc>
        <w:tc>
          <w:tcPr>
            <w:tcW w:w="346" w:type="pct"/>
            <w:vMerge w:val="continue"/>
            <w:tcBorders>
              <w:tl2br w:val="nil"/>
              <w:tr2bl w:val="nil"/>
            </w:tcBorders>
            <w:shd w:val="clear" w:color="auto" w:fill="auto"/>
            <w:tcMar>
              <w:top w:w="0" w:type="dxa"/>
              <w:left w:w="0" w:type="dxa"/>
              <w:bottom w:w="0" w:type="dxa"/>
              <w:right w:w="0" w:type="dxa"/>
            </w:tcMar>
            <w:vAlign w:val="center"/>
          </w:tcPr>
          <w:p w14:paraId="00B20BA3">
            <w:pPr>
              <w:pStyle w:val="81"/>
              <w:spacing w:beforeAutospacing="0" w:afterAutospacing="0" w:line="320" w:lineRule="exact"/>
              <w:jc w:val="center"/>
              <w:rPr>
                <w:rFonts w:eastAsia="仿宋_GB2312"/>
                <w:b/>
                <w:bCs/>
                <w:color w:val="auto"/>
                <w:sz w:val="21"/>
                <w:szCs w:val="21"/>
                <w:lang w:bidi="ar"/>
              </w:rPr>
            </w:pPr>
          </w:p>
        </w:tc>
      </w:tr>
      <w:tr w14:paraId="783576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192" w:type="pct"/>
            <w:tcBorders>
              <w:tl2br w:val="nil"/>
              <w:tr2bl w:val="nil"/>
            </w:tcBorders>
            <w:shd w:val="clear" w:color="auto" w:fill="auto"/>
            <w:vAlign w:val="center"/>
          </w:tcPr>
          <w:p w14:paraId="272567DF">
            <w:pPr>
              <w:pStyle w:val="81"/>
              <w:spacing w:beforeAutospacing="0" w:afterAutospacing="0" w:line="320" w:lineRule="exact"/>
              <w:jc w:val="center"/>
              <w:rPr>
                <w:rFonts w:eastAsia="仿宋_GB2312"/>
                <w:color w:val="auto"/>
                <w:sz w:val="21"/>
                <w:szCs w:val="21"/>
              </w:rPr>
            </w:pPr>
            <w:r>
              <w:rPr>
                <w:rFonts w:eastAsia="仿宋_GB2312"/>
                <w:color w:val="auto"/>
                <w:sz w:val="21"/>
                <w:szCs w:val="21"/>
              </w:rPr>
              <w:t>1</w:t>
            </w:r>
          </w:p>
        </w:tc>
        <w:tc>
          <w:tcPr>
            <w:tcW w:w="308" w:type="pct"/>
            <w:vMerge w:val="restart"/>
            <w:tcBorders>
              <w:tl2br w:val="nil"/>
              <w:tr2bl w:val="nil"/>
            </w:tcBorders>
            <w:shd w:val="clear" w:color="auto" w:fill="auto"/>
            <w:vAlign w:val="center"/>
          </w:tcPr>
          <w:p w14:paraId="08305E5B">
            <w:pPr>
              <w:pStyle w:val="81"/>
              <w:spacing w:beforeAutospacing="0" w:afterAutospacing="0" w:line="320" w:lineRule="exact"/>
              <w:jc w:val="center"/>
              <w:rPr>
                <w:rFonts w:hint="eastAsia" w:eastAsia="仿宋_GB2312"/>
                <w:color w:val="auto"/>
                <w:kern w:val="2"/>
                <w:sz w:val="21"/>
                <w:lang w:eastAsia="zh-CN"/>
              </w:rPr>
            </w:pPr>
            <w:r>
              <w:rPr>
                <w:rFonts w:eastAsia="仿宋_GB2312"/>
                <w:color w:val="auto"/>
                <w:kern w:val="2"/>
                <w:sz w:val="21"/>
              </w:rPr>
              <w:t>公用工程</w:t>
            </w:r>
            <w:r>
              <w:rPr>
                <w:rFonts w:hint="eastAsia" w:eastAsia="仿宋_GB2312"/>
                <w:color w:val="auto"/>
                <w:kern w:val="2"/>
                <w:sz w:val="21"/>
                <w:lang w:val="en-US" w:eastAsia="zh-CN"/>
              </w:rPr>
              <w:t>车间</w:t>
            </w:r>
          </w:p>
        </w:tc>
        <w:tc>
          <w:tcPr>
            <w:tcW w:w="422" w:type="pct"/>
            <w:tcBorders>
              <w:tl2br w:val="nil"/>
              <w:tr2bl w:val="nil"/>
            </w:tcBorders>
            <w:shd w:val="clear" w:color="auto" w:fill="auto"/>
            <w:vAlign w:val="center"/>
          </w:tcPr>
          <w:p w14:paraId="7D5F33DB">
            <w:pPr>
              <w:pStyle w:val="163"/>
              <w:jc w:val="center"/>
              <w:rPr>
                <w:rFonts w:ascii="Times New Roman"/>
                <w:color w:val="auto"/>
              </w:rPr>
            </w:pPr>
            <w:r>
              <w:rPr>
                <w:rFonts w:ascii="Times New Roman"/>
                <w:color w:val="auto"/>
              </w:rPr>
              <w:t>冷冻机组</w:t>
            </w:r>
          </w:p>
        </w:tc>
        <w:tc>
          <w:tcPr>
            <w:tcW w:w="453" w:type="pct"/>
            <w:tcBorders>
              <w:tl2br w:val="nil"/>
              <w:tr2bl w:val="nil"/>
            </w:tcBorders>
            <w:shd w:val="clear" w:color="auto" w:fill="auto"/>
            <w:vAlign w:val="center"/>
          </w:tcPr>
          <w:p w14:paraId="535C9789">
            <w:pPr>
              <w:pStyle w:val="163"/>
              <w:jc w:val="center"/>
              <w:rPr>
                <w:rFonts w:hint="default" w:ascii="Times New Roman" w:eastAsia="仿宋_GB2312"/>
                <w:color w:val="auto"/>
                <w:kern w:val="0"/>
                <w:szCs w:val="21"/>
                <w:lang w:val="en-US" w:eastAsia="zh-CN" w:bidi="ar"/>
              </w:rPr>
            </w:pPr>
            <w:r>
              <w:rPr>
                <w:rFonts w:hint="eastAsia" w:ascii="Times New Roman"/>
                <w:color w:val="auto"/>
                <w:kern w:val="0"/>
                <w:szCs w:val="21"/>
                <w:lang w:val="en-US" w:eastAsia="zh-CN" w:bidi="ar"/>
              </w:rPr>
              <w:t>180万大卡</w:t>
            </w:r>
          </w:p>
        </w:tc>
        <w:tc>
          <w:tcPr>
            <w:tcW w:w="263" w:type="pct"/>
            <w:tcBorders>
              <w:tl2br w:val="nil"/>
              <w:tr2bl w:val="nil"/>
            </w:tcBorders>
            <w:shd w:val="clear" w:color="auto" w:fill="auto"/>
            <w:vAlign w:val="center"/>
          </w:tcPr>
          <w:p w14:paraId="592CCCF1">
            <w:pPr>
              <w:pStyle w:val="163"/>
              <w:jc w:val="center"/>
              <w:rPr>
                <w:rFonts w:hint="eastAsia" w:ascii="Times New Roman" w:eastAsia="仿宋_GB2312"/>
                <w:color w:val="auto"/>
                <w:kern w:val="0"/>
                <w:szCs w:val="21"/>
                <w:lang w:eastAsia="zh-CN" w:bidi="ar"/>
              </w:rPr>
            </w:pPr>
            <w:r>
              <w:rPr>
                <w:rFonts w:hint="eastAsia" w:ascii="Times New Roman"/>
                <w:color w:val="auto"/>
                <w:kern w:val="0"/>
                <w:szCs w:val="21"/>
                <w:lang w:val="en-US" w:eastAsia="zh-CN" w:bidi="ar"/>
              </w:rPr>
              <w:t>1</w:t>
            </w:r>
          </w:p>
        </w:tc>
        <w:tc>
          <w:tcPr>
            <w:tcW w:w="244" w:type="pct"/>
            <w:tcBorders>
              <w:tl2br w:val="nil"/>
              <w:tr2bl w:val="nil"/>
            </w:tcBorders>
            <w:shd w:val="clear" w:color="auto" w:fill="auto"/>
            <w:vAlign w:val="center"/>
          </w:tcPr>
          <w:p w14:paraId="2117FB87">
            <w:pPr>
              <w:pStyle w:val="163"/>
              <w:jc w:val="center"/>
              <w:rPr>
                <w:rFonts w:hint="default" w:ascii="Times New Roman" w:eastAsia="仿宋_GB2312"/>
                <w:color w:val="auto"/>
                <w:kern w:val="0"/>
                <w:szCs w:val="21"/>
                <w:lang w:val="en-US" w:eastAsia="zh-CN" w:bidi="ar"/>
              </w:rPr>
            </w:pPr>
            <w:r>
              <w:rPr>
                <w:rFonts w:hint="eastAsia" w:ascii="Times New Roman"/>
                <w:color w:val="auto"/>
                <w:kern w:val="0"/>
                <w:szCs w:val="21"/>
                <w:lang w:val="en-US" w:eastAsia="zh-CN" w:bidi="ar"/>
              </w:rPr>
              <w:t>175</w:t>
            </w:r>
          </w:p>
        </w:tc>
        <w:tc>
          <w:tcPr>
            <w:tcW w:w="226" w:type="pct"/>
            <w:tcBorders>
              <w:tl2br w:val="nil"/>
              <w:tr2bl w:val="nil"/>
            </w:tcBorders>
            <w:shd w:val="clear" w:color="auto" w:fill="auto"/>
            <w:vAlign w:val="center"/>
          </w:tcPr>
          <w:p w14:paraId="26C78976">
            <w:pPr>
              <w:pStyle w:val="163"/>
              <w:jc w:val="center"/>
              <w:rPr>
                <w:rFonts w:hint="default" w:ascii="Times New Roman" w:eastAsia="仿宋_GB2312"/>
                <w:color w:val="auto"/>
                <w:kern w:val="0"/>
                <w:szCs w:val="21"/>
                <w:lang w:val="en-US" w:eastAsia="zh-CN" w:bidi="ar"/>
              </w:rPr>
            </w:pPr>
            <w:r>
              <w:rPr>
                <w:rFonts w:hint="eastAsia" w:ascii="Times New Roman"/>
                <w:color w:val="auto"/>
                <w:kern w:val="0"/>
                <w:szCs w:val="21"/>
                <w:lang w:val="en-US" w:eastAsia="zh-CN" w:bidi="ar"/>
              </w:rPr>
              <w:t>87</w:t>
            </w:r>
          </w:p>
        </w:tc>
        <w:tc>
          <w:tcPr>
            <w:tcW w:w="221" w:type="pct"/>
            <w:tcBorders>
              <w:tl2br w:val="nil"/>
              <w:tr2bl w:val="nil"/>
            </w:tcBorders>
            <w:shd w:val="clear" w:color="auto" w:fill="auto"/>
            <w:vAlign w:val="center"/>
          </w:tcPr>
          <w:p w14:paraId="5F9FBEDB">
            <w:pPr>
              <w:pStyle w:val="163"/>
              <w:jc w:val="center"/>
              <w:rPr>
                <w:rFonts w:hint="eastAsia" w:ascii="Times New Roman" w:eastAsia="仿宋_GB2312"/>
                <w:color w:val="auto"/>
                <w:kern w:val="0"/>
                <w:szCs w:val="21"/>
                <w:lang w:eastAsia="zh-CN" w:bidi="ar"/>
              </w:rPr>
            </w:pPr>
            <w:r>
              <w:rPr>
                <w:rFonts w:hint="eastAsia" w:ascii="Times New Roman"/>
                <w:color w:val="auto"/>
                <w:kern w:val="0"/>
                <w:szCs w:val="21"/>
                <w:lang w:val="en-US" w:eastAsia="zh-CN" w:bidi="ar"/>
              </w:rPr>
              <w:t>1</w:t>
            </w:r>
          </w:p>
        </w:tc>
        <w:tc>
          <w:tcPr>
            <w:tcW w:w="271" w:type="pct"/>
            <w:tcBorders>
              <w:tl2br w:val="nil"/>
              <w:tr2bl w:val="nil"/>
            </w:tcBorders>
            <w:shd w:val="clear" w:color="auto" w:fill="auto"/>
            <w:vAlign w:val="center"/>
          </w:tcPr>
          <w:p w14:paraId="662F1FEB">
            <w:pPr>
              <w:pStyle w:val="163"/>
              <w:jc w:val="center"/>
              <w:rPr>
                <w:rFonts w:ascii="Times New Roman"/>
                <w:color w:val="auto"/>
                <w:kern w:val="0"/>
                <w:szCs w:val="21"/>
                <w:lang w:bidi="ar"/>
              </w:rPr>
            </w:pPr>
            <w:r>
              <w:rPr>
                <w:rFonts w:ascii="Times New Roman"/>
                <w:color w:val="auto"/>
                <w:kern w:val="0"/>
                <w:szCs w:val="21"/>
                <w:lang w:bidi="ar"/>
              </w:rPr>
              <w:t>85</w:t>
            </w:r>
          </w:p>
        </w:tc>
        <w:tc>
          <w:tcPr>
            <w:tcW w:w="297" w:type="pct"/>
            <w:vMerge w:val="restart"/>
            <w:tcBorders>
              <w:tl2br w:val="nil"/>
              <w:tr2bl w:val="nil"/>
            </w:tcBorders>
            <w:shd w:val="clear" w:color="auto" w:fill="auto"/>
            <w:vAlign w:val="center"/>
          </w:tcPr>
          <w:p w14:paraId="10A504BC">
            <w:pPr>
              <w:pStyle w:val="81"/>
              <w:spacing w:beforeAutospacing="0" w:afterAutospacing="0" w:line="320" w:lineRule="exact"/>
              <w:jc w:val="center"/>
              <w:rPr>
                <w:rFonts w:eastAsia="仿宋_GB2312"/>
                <w:color w:val="auto"/>
                <w:sz w:val="21"/>
                <w:szCs w:val="21"/>
              </w:rPr>
            </w:pPr>
            <w:r>
              <w:rPr>
                <w:rFonts w:eastAsia="仿宋_GB2312"/>
                <w:color w:val="auto"/>
                <w:sz w:val="21"/>
                <w:szCs w:val="21"/>
                <w:lang w:bidi="ar"/>
              </w:rPr>
              <w:t>厂房屏蔽、隔声、减振</w:t>
            </w:r>
          </w:p>
        </w:tc>
        <w:tc>
          <w:tcPr>
            <w:tcW w:w="281" w:type="pct"/>
            <w:tcBorders>
              <w:tl2br w:val="nil"/>
              <w:tr2bl w:val="nil"/>
            </w:tcBorders>
            <w:shd w:val="clear" w:color="auto" w:fill="auto"/>
            <w:vAlign w:val="center"/>
          </w:tcPr>
          <w:p w14:paraId="4026AF79">
            <w:pPr>
              <w:pStyle w:val="81"/>
              <w:spacing w:beforeAutospacing="0" w:afterAutospacing="0" w:line="320" w:lineRule="exact"/>
              <w:jc w:val="center"/>
              <w:rPr>
                <w:rFonts w:eastAsia="仿宋_GB2312"/>
                <w:color w:val="auto"/>
                <w:sz w:val="21"/>
                <w:szCs w:val="21"/>
              </w:rPr>
            </w:pPr>
            <w:r>
              <w:rPr>
                <w:rFonts w:eastAsia="仿宋_GB2312"/>
                <w:color w:val="auto"/>
                <w:sz w:val="21"/>
                <w:szCs w:val="21"/>
              </w:rPr>
              <w:t>5</w:t>
            </w:r>
          </w:p>
        </w:tc>
        <w:tc>
          <w:tcPr>
            <w:tcW w:w="292" w:type="pct"/>
            <w:tcBorders>
              <w:tl2br w:val="nil"/>
              <w:tr2bl w:val="nil"/>
            </w:tcBorders>
            <w:shd w:val="clear" w:color="auto" w:fill="auto"/>
            <w:vAlign w:val="center"/>
          </w:tcPr>
          <w:p w14:paraId="24ECD6BB">
            <w:pPr>
              <w:pStyle w:val="81"/>
              <w:spacing w:beforeAutospacing="0" w:afterAutospacing="0" w:line="320" w:lineRule="exact"/>
              <w:jc w:val="center"/>
              <w:rPr>
                <w:rFonts w:eastAsia="仿宋_GB2312"/>
                <w:color w:val="auto"/>
                <w:sz w:val="21"/>
                <w:szCs w:val="21"/>
                <w:lang w:bidi="ar"/>
              </w:rPr>
            </w:pPr>
            <w:r>
              <w:rPr>
                <w:rFonts w:eastAsia="仿宋_GB2312"/>
                <w:color w:val="auto"/>
                <w:sz w:val="21"/>
                <w:szCs w:val="21"/>
                <w:lang w:bidi="ar"/>
              </w:rPr>
              <w:t>7</w:t>
            </w:r>
            <w:r>
              <w:rPr>
                <w:rFonts w:hint="eastAsia" w:eastAsia="仿宋_GB2312"/>
                <w:color w:val="auto"/>
                <w:sz w:val="21"/>
                <w:szCs w:val="21"/>
                <w:lang w:bidi="ar"/>
              </w:rPr>
              <w:t>1</w:t>
            </w:r>
          </w:p>
        </w:tc>
        <w:tc>
          <w:tcPr>
            <w:tcW w:w="281" w:type="pct"/>
            <w:tcBorders>
              <w:tl2br w:val="nil"/>
              <w:tr2bl w:val="nil"/>
            </w:tcBorders>
            <w:shd w:val="clear" w:color="auto" w:fill="auto"/>
            <w:vAlign w:val="center"/>
          </w:tcPr>
          <w:p w14:paraId="372271EA">
            <w:pPr>
              <w:pStyle w:val="81"/>
              <w:spacing w:beforeAutospacing="0" w:afterAutospacing="0" w:line="320" w:lineRule="exact"/>
              <w:jc w:val="center"/>
              <w:rPr>
                <w:rFonts w:eastAsia="仿宋_GB2312"/>
                <w:b/>
                <w:bCs/>
                <w:color w:val="auto"/>
                <w:sz w:val="21"/>
                <w:szCs w:val="21"/>
              </w:rPr>
            </w:pPr>
            <w:r>
              <w:rPr>
                <w:rFonts w:eastAsia="仿宋_GB2312"/>
                <w:color w:val="auto"/>
                <w:sz w:val="21"/>
                <w:szCs w:val="21"/>
                <w:lang w:bidi="ar"/>
              </w:rPr>
              <w:t>全天</w:t>
            </w:r>
          </w:p>
        </w:tc>
        <w:tc>
          <w:tcPr>
            <w:tcW w:w="323" w:type="pct"/>
            <w:tcBorders>
              <w:tl2br w:val="nil"/>
              <w:tr2bl w:val="nil"/>
            </w:tcBorders>
            <w:shd w:val="clear" w:color="auto" w:fill="auto"/>
            <w:vAlign w:val="center"/>
          </w:tcPr>
          <w:p w14:paraId="13F25AA6">
            <w:pPr>
              <w:pStyle w:val="81"/>
              <w:spacing w:beforeAutospacing="0" w:afterAutospacing="0" w:line="320" w:lineRule="exact"/>
              <w:jc w:val="center"/>
              <w:rPr>
                <w:rFonts w:eastAsia="仿宋_GB2312"/>
                <w:color w:val="auto"/>
                <w:sz w:val="21"/>
                <w:szCs w:val="21"/>
              </w:rPr>
            </w:pPr>
            <w:r>
              <w:rPr>
                <w:rFonts w:eastAsia="仿宋_GB2312"/>
                <w:color w:val="auto"/>
                <w:sz w:val="21"/>
                <w:szCs w:val="21"/>
                <w:lang w:bidi="ar"/>
              </w:rPr>
              <w:t>20</w:t>
            </w:r>
          </w:p>
        </w:tc>
        <w:tc>
          <w:tcPr>
            <w:tcW w:w="273" w:type="pct"/>
            <w:tcBorders>
              <w:tl2br w:val="nil"/>
              <w:tr2bl w:val="nil"/>
            </w:tcBorders>
            <w:shd w:val="clear" w:color="auto" w:fill="auto"/>
            <w:vAlign w:val="center"/>
          </w:tcPr>
          <w:p w14:paraId="46A3FA65">
            <w:pPr>
              <w:pStyle w:val="81"/>
              <w:spacing w:beforeAutospacing="0" w:afterAutospacing="0" w:line="320" w:lineRule="exact"/>
              <w:jc w:val="center"/>
              <w:rPr>
                <w:rFonts w:eastAsia="仿宋_GB2312"/>
                <w:color w:val="auto"/>
                <w:sz w:val="21"/>
                <w:szCs w:val="21"/>
                <w:lang w:bidi="ar"/>
              </w:rPr>
            </w:pPr>
            <w:r>
              <w:rPr>
                <w:rFonts w:eastAsia="仿宋_GB2312"/>
                <w:color w:val="auto"/>
                <w:sz w:val="21"/>
                <w:szCs w:val="21"/>
                <w:lang w:bidi="ar"/>
              </w:rPr>
              <w:t>5</w:t>
            </w:r>
            <w:r>
              <w:rPr>
                <w:rFonts w:hint="eastAsia" w:eastAsia="仿宋_GB2312"/>
                <w:color w:val="auto"/>
                <w:sz w:val="21"/>
                <w:szCs w:val="21"/>
                <w:lang w:bidi="ar"/>
              </w:rPr>
              <w:t>1</w:t>
            </w:r>
          </w:p>
        </w:tc>
        <w:tc>
          <w:tcPr>
            <w:tcW w:w="298" w:type="pct"/>
            <w:tcBorders>
              <w:tl2br w:val="nil"/>
              <w:tr2bl w:val="nil"/>
            </w:tcBorders>
            <w:shd w:val="clear" w:color="auto" w:fill="auto"/>
            <w:vAlign w:val="center"/>
          </w:tcPr>
          <w:p w14:paraId="44A2543C">
            <w:pPr>
              <w:pStyle w:val="81"/>
              <w:spacing w:beforeAutospacing="0" w:afterAutospacing="0" w:line="320" w:lineRule="exact"/>
              <w:jc w:val="center"/>
              <w:rPr>
                <w:rFonts w:eastAsia="仿宋_GB2312"/>
                <w:color w:val="auto"/>
                <w:sz w:val="21"/>
                <w:szCs w:val="21"/>
              </w:rPr>
            </w:pPr>
            <w:r>
              <w:rPr>
                <w:rFonts w:eastAsia="仿宋_GB2312"/>
                <w:color w:val="auto"/>
                <w:sz w:val="21"/>
                <w:szCs w:val="21"/>
                <w:lang w:bidi="ar"/>
              </w:rPr>
              <w:t>1</w:t>
            </w:r>
          </w:p>
        </w:tc>
        <w:tc>
          <w:tcPr>
            <w:tcW w:w="346" w:type="pct"/>
            <w:tcBorders>
              <w:tl2br w:val="nil"/>
              <w:tr2bl w:val="nil"/>
            </w:tcBorders>
            <w:shd w:val="clear" w:color="auto" w:fill="auto"/>
            <w:vAlign w:val="center"/>
          </w:tcPr>
          <w:p w14:paraId="7D2C7F23">
            <w:pPr>
              <w:pStyle w:val="81"/>
              <w:spacing w:beforeAutospacing="0" w:afterAutospacing="0" w:line="320" w:lineRule="exact"/>
              <w:jc w:val="center"/>
              <w:rPr>
                <w:rFonts w:hint="eastAsia" w:eastAsia="仿宋_GB2312"/>
                <w:color w:val="auto"/>
                <w:sz w:val="21"/>
                <w:szCs w:val="21"/>
                <w:lang w:val="en-US" w:eastAsia="zh-CN" w:bidi="ar"/>
              </w:rPr>
            </w:pPr>
            <w:r>
              <w:rPr>
                <w:rFonts w:hint="eastAsia" w:eastAsia="仿宋_GB2312"/>
                <w:color w:val="auto"/>
                <w:sz w:val="21"/>
                <w:szCs w:val="21"/>
                <w:lang w:val="en-US" w:eastAsia="zh-CN" w:bidi="ar"/>
              </w:rPr>
              <w:t>新增</w:t>
            </w:r>
          </w:p>
        </w:tc>
      </w:tr>
      <w:tr w14:paraId="59F505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192" w:type="pct"/>
            <w:tcBorders>
              <w:tl2br w:val="nil"/>
              <w:tr2bl w:val="nil"/>
            </w:tcBorders>
            <w:shd w:val="clear" w:color="auto" w:fill="auto"/>
            <w:vAlign w:val="center"/>
          </w:tcPr>
          <w:p w14:paraId="44E87117">
            <w:pPr>
              <w:pStyle w:val="81"/>
              <w:spacing w:beforeAutospacing="0" w:afterAutospacing="0" w:line="320" w:lineRule="exact"/>
              <w:jc w:val="center"/>
              <w:rPr>
                <w:rFonts w:eastAsia="仿宋_GB2312"/>
                <w:color w:val="auto"/>
                <w:sz w:val="21"/>
                <w:szCs w:val="21"/>
                <w:lang w:bidi="ar"/>
              </w:rPr>
            </w:pPr>
            <w:r>
              <w:rPr>
                <w:rFonts w:eastAsia="仿宋_GB2312"/>
                <w:color w:val="auto"/>
                <w:sz w:val="21"/>
                <w:szCs w:val="21"/>
                <w:lang w:bidi="ar"/>
              </w:rPr>
              <w:t>2</w:t>
            </w:r>
          </w:p>
        </w:tc>
        <w:tc>
          <w:tcPr>
            <w:tcW w:w="308" w:type="pct"/>
            <w:vMerge w:val="continue"/>
            <w:tcBorders>
              <w:tl2br w:val="nil"/>
              <w:tr2bl w:val="nil"/>
            </w:tcBorders>
            <w:shd w:val="clear" w:color="auto" w:fill="auto"/>
            <w:vAlign w:val="center"/>
          </w:tcPr>
          <w:p w14:paraId="556FF409">
            <w:pPr>
              <w:widowControl/>
              <w:jc w:val="center"/>
              <w:textAlignment w:val="center"/>
              <w:rPr>
                <w:rFonts w:eastAsia="仿宋_GB2312"/>
                <w:color w:val="FF0000"/>
              </w:rPr>
            </w:pPr>
          </w:p>
        </w:tc>
        <w:tc>
          <w:tcPr>
            <w:tcW w:w="422" w:type="pct"/>
            <w:tcBorders>
              <w:tl2br w:val="nil"/>
              <w:tr2bl w:val="nil"/>
            </w:tcBorders>
            <w:shd w:val="clear" w:color="auto" w:fill="auto"/>
            <w:vAlign w:val="center"/>
          </w:tcPr>
          <w:p w14:paraId="47FDCEE2">
            <w:pPr>
              <w:pStyle w:val="163"/>
              <w:jc w:val="center"/>
              <w:rPr>
                <w:rFonts w:ascii="Times New Roman"/>
                <w:color w:val="auto"/>
              </w:rPr>
            </w:pPr>
            <w:r>
              <w:rPr>
                <w:rFonts w:ascii="Times New Roman"/>
                <w:color w:val="auto"/>
              </w:rPr>
              <w:t>空压机</w:t>
            </w:r>
          </w:p>
        </w:tc>
        <w:tc>
          <w:tcPr>
            <w:tcW w:w="453" w:type="pct"/>
            <w:tcBorders>
              <w:tl2br w:val="nil"/>
              <w:tr2bl w:val="nil"/>
            </w:tcBorders>
            <w:shd w:val="clear" w:color="auto" w:fill="auto"/>
            <w:vAlign w:val="center"/>
          </w:tcPr>
          <w:p w14:paraId="63210C44">
            <w:pPr>
              <w:pStyle w:val="163"/>
              <w:jc w:val="center"/>
              <w:rPr>
                <w:rFonts w:ascii="Times New Roman"/>
                <w:color w:val="auto"/>
                <w:kern w:val="0"/>
                <w:szCs w:val="21"/>
                <w:lang w:bidi="ar"/>
              </w:rPr>
            </w:pPr>
            <w:r>
              <w:rPr>
                <w:rFonts w:hint="eastAsia" w:ascii="Times New Roman"/>
                <w:color w:val="auto"/>
                <w:kern w:val="0"/>
                <w:szCs w:val="21"/>
                <w:lang w:val="en-US" w:eastAsia="zh-CN" w:bidi="ar"/>
              </w:rPr>
              <w:t>15</w:t>
            </w:r>
            <w:r>
              <w:rPr>
                <w:rFonts w:ascii="Times New Roman"/>
                <w:color w:val="auto"/>
                <w:kern w:val="0"/>
                <w:szCs w:val="21"/>
                <w:lang w:bidi="ar"/>
              </w:rPr>
              <w:t>Nm</w:t>
            </w:r>
            <w:r>
              <w:rPr>
                <w:rFonts w:ascii="Times New Roman"/>
                <w:color w:val="auto"/>
                <w:kern w:val="0"/>
                <w:szCs w:val="21"/>
                <w:vertAlign w:val="superscript"/>
                <w:lang w:bidi="ar"/>
              </w:rPr>
              <w:t>3</w:t>
            </w:r>
            <w:r>
              <w:rPr>
                <w:rFonts w:ascii="Times New Roman"/>
                <w:color w:val="auto"/>
                <w:kern w:val="0"/>
                <w:szCs w:val="21"/>
                <w:lang w:bidi="ar"/>
              </w:rPr>
              <w:t>/min</w:t>
            </w:r>
          </w:p>
        </w:tc>
        <w:tc>
          <w:tcPr>
            <w:tcW w:w="263" w:type="pct"/>
            <w:tcBorders>
              <w:tl2br w:val="nil"/>
              <w:tr2bl w:val="nil"/>
            </w:tcBorders>
            <w:shd w:val="clear" w:color="auto" w:fill="auto"/>
            <w:vAlign w:val="center"/>
          </w:tcPr>
          <w:p w14:paraId="22D844AC">
            <w:pPr>
              <w:pStyle w:val="163"/>
              <w:jc w:val="center"/>
              <w:rPr>
                <w:rFonts w:hint="eastAsia" w:ascii="Times New Roman" w:eastAsia="仿宋_GB2312"/>
                <w:color w:val="auto"/>
                <w:kern w:val="0"/>
                <w:szCs w:val="21"/>
                <w:lang w:eastAsia="zh-CN" w:bidi="ar"/>
              </w:rPr>
            </w:pPr>
            <w:r>
              <w:rPr>
                <w:rFonts w:hint="eastAsia" w:ascii="Times New Roman"/>
                <w:color w:val="auto"/>
                <w:kern w:val="0"/>
                <w:szCs w:val="21"/>
                <w:lang w:val="en-US" w:eastAsia="zh-CN" w:bidi="ar"/>
              </w:rPr>
              <w:t>1</w:t>
            </w:r>
          </w:p>
        </w:tc>
        <w:tc>
          <w:tcPr>
            <w:tcW w:w="244" w:type="pct"/>
            <w:tcBorders>
              <w:tl2br w:val="nil"/>
              <w:tr2bl w:val="nil"/>
            </w:tcBorders>
            <w:shd w:val="clear" w:color="auto" w:fill="auto"/>
            <w:vAlign w:val="center"/>
          </w:tcPr>
          <w:p w14:paraId="0348E33D">
            <w:pPr>
              <w:pStyle w:val="163"/>
              <w:jc w:val="center"/>
              <w:rPr>
                <w:rFonts w:hint="default" w:ascii="Times New Roman" w:eastAsia="仿宋_GB2312"/>
                <w:color w:val="auto"/>
                <w:kern w:val="0"/>
                <w:szCs w:val="21"/>
                <w:lang w:val="en-US" w:eastAsia="zh-CN" w:bidi="ar"/>
              </w:rPr>
            </w:pPr>
            <w:r>
              <w:rPr>
                <w:rFonts w:hint="eastAsia" w:ascii="Times New Roman"/>
                <w:color w:val="auto"/>
                <w:kern w:val="0"/>
                <w:szCs w:val="21"/>
                <w:lang w:val="en-US" w:eastAsia="zh-CN" w:bidi="ar"/>
              </w:rPr>
              <w:t>177</w:t>
            </w:r>
          </w:p>
        </w:tc>
        <w:tc>
          <w:tcPr>
            <w:tcW w:w="226" w:type="pct"/>
            <w:tcBorders>
              <w:tl2br w:val="nil"/>
              <w:tr2bl w:val="nil"/>
            </w:tcBorders>
            <w:shd w:val="clear" w:color="auto" w:fill="auto"/>
            <w:vAlign w:val="center"/>
          </w:tcPr>
          <w:p w14:paraId="5E29EE06">
            <w:pPr>
              <w:pStyle w:val="163"/>
              <w:jc w:val="center"/>
              <w:rPr>
                <w:rFonts w:hint="default" w:ascii="Times New Roman" w:eastAsia="仿宋_GB2312"/>
                <w:color w:val="auto"/>
                <w:kern w:val="0"/>
                <w:szCs w:val="21"/>
                <w:lang w:val="en-US" w:eastAsia="zh-CN" w:bidi="ar"/>
              </w:rPr>
            </w:pPr>
            <w:r>
              <w:rPr>
                <w:rFonts w:hint="eastAsia" w:ascii="Times New Roman"/>
                <w:color w:val="auto"/>
                <w:kern w:val="0"/>
                <w:szCs w:val="21"/>
                <w:lang w:val="en-US" w:eastAsia="zh-CN" w:bidi="ar"/>
              </w:rPr>
              <w:t>85</w:t>
            </w:r>
          </w:p>
        </w:tc>
        <w:tc>
          <w:tcPr>
            <w:tcW w:w="221" w:type="pct"/>
            <w:tcBorders>
              <w:tl2br w:val="nil"/>
              <w:tr2bl w:val="nil"/>
            </w:tcBorders>
            <w:shd w:val="clear" w:color="auto" w:fill="auto"/>
            <w:vAlign w:val="center"/>
          </w:tcPr>
          <w:p w14:paraId="29394755">
            <w:pPr>
              <w:pStyle w:val="163"/>
              <w:jc w:val="center"/>
              <w:rPr>
                <w:rFonts w:hint="eastAsia" w:ascii="Times New Roman" w:eastAsia="仿宋_GB2312"/>
                <w:color w:val="auto"/>
                <w:kern w:val="0"/>
                <w:szCs w:val="21"/>
                <w:lang w:eastAsia="zh-CN" w:bidi="ar"/>
              </w:rPr>
            </w:pPr>
            <w:r>
              <w:rPr>
                <w:rFonts w:hint="eastAsia" w:ascii="Times New Roman"/>
                <w:color w:val="auto"/>
                <w:kern w:val="0"/>
                <w:szCs w:val="21"/>
                <w:lang w:val="en-US" w:eastAsia="zh-CN" w:bidi="ar"/>
              </w:rPr>
              <w:t>1</w:t>
            </w:r>
          </w:p>
        </w:tc>
        <w:tc>
          <w:tcPr>
            <w:tcW w:w="271" w:type="pct"/>
            <w:tcBorders>
              <w:tl2br w:val="nil"/>
              <w:tr2bl w:val="nil"/>
            </w:tcBorders>
            <w:shd w:val="clear" w:color="auto" w:fill="auto"/>
            <w:vAlign w:val="center"/>
          </w:tcPr>
          <w:p w14:paraId="37CAD41B">
            <w:pPr>
              <w:pStyle w:val="163"/>
              <w:jc w:val="center"/>
              <w:rPr>
                <w:rFonts w:ascii="Times New Roman"/>
                <w:color w:val="auto"/>
                <w:kern w:val="0"/>
                <w:szCs w:val="21"/>
                <w:lang w:bidi="ar"/>
              </w:rPr>
            </w:pPr>
            <w:r>
              <w:rPr>
                <w:rFonts w:ascii="Times New Roman"/>
                <w:color w:val="auto"/>
                <w:kern w:val="0"/>
                <w:szCs w:val="21"/>
                <w:lang w:bidi="ar"/>
              </w:rPr>
              <w:t>85</w:t>
            </w:r>
          </w:p>
        </w:tc>
        <w:tc>
          <w:tcPr>
            <w:tcW w:w="297" w:type="pct"/>
            <w:vMerge w:val="continue"/>
            <w:tcBorders>
              <w:tl2br w:val="nil"/>
              <w:tr2bl w:val="nil"/>
            </w:tcBorders>
            <w:shd w:val="clear" w:color="auto" w:fill="auto"/>
            <w:vAlign w:val="center"/>
          </w:tcPr>
          <w:p w14:paraId="15FCBCE4">
            <w:pPr>
              <w:pStyle w:val="81"/>
              <w:spacing w:beforeAutospacing="0" w:afterAutospacing="0" w:line="320" w:lineRule="exact"/>
              <w:jc w:val="center"/>
              <w:rPr>
                <w:rFonts w:eastAsia="仿宋_GB2312"/>
                <w:color w:val="FF0000"/>
                <w:sz w:val="21"/>
                <w:szCs w:val="21"/>
                <w:lang w:bidi="ar"/>
              </w:rPr>
            </w:pPr>
          </w:p>
        </w:tc>
        <w:tc>
          <w:tcPr>
            <w:tcW w:w="281" w:type="pct"/>
            <w:tcBorders>
              <w:tl2br w:val="nil"/>
              <w:tr2bl w:val="nil"/>
            </w:tcBorders>
            <w:shd w:val="clear" w:color="auto" w:fill="auto"/>
            <w:vAlign w:val="center"/>
          </w:tcPr>
          <w:p w14:paraId="7052561F">
            <w:pPr>
              <w:pStyle w:val="81"/>
              <w:spacing w:beforeAutospacing="0" w:afterAutospacing="0" w:line="320" w:lineRule="exact"/>
              <w:jc w:val="center"/>
              <w:rPr>
                <w:rFonts w:eastAsia="仿宋_GB2312"/>
                <w:color w:val="auto"/>
                <w:sz w:val="21"/>
                <w:szCs w:val="21"/>
              </w:rPr>
            </w:pPr>
            <w:r>
              <w:rPr>
                <w:rFonts w:eastAsia="仿宋_GB2312"/>
                <w:color w:val="auto"/>
                <w:sz w:val="21"/>
                <w:szCs w:val="21"/>
              </w:rPr>
              <w:t>5</w:t>
            </w:r>
          </w:p>
        </w:tc>
        <w:tc>
          <w:tcPr>
            <w:tcW w:w="292" w:type="pct"/>
            <w:tcBorders>
              <w:tl2br w:val="nil"/>
              <w:tr2bl w:val="nil"/>
            </w:tcBorders>
            <w:shd w:val="clear" w:color="auto" w:fill="auto"/>
            <w:vAlign w:val="center"/>
          </w:tcPr>
          <w:p w14:paraId="29FA12B2">
            <w:pPr>
              <w:pStyle w:val="81"/>
              <w:spacing w:beforeAutospacing="0" w:afterAutospacing="0" w:line="320" w:lineRule="exact"/>
              <w:jc w:val="center"/>
              <w:rPr>
                <w:rFonts w:eastAsia="仿宋_GB2312"/>
                <w:color w:val="auto"/>
                <w:sz w:val="21"/>
                <w:szCs w:val="21"/>
                <w:lang w:bidi="ar"/>
              </w:rPr>
            </w:pPr>
            <w:r>
              <w:rPr>
                <w:rFonts w:eastAsia="仿宋_GB2312"/>
                <w:color w:val="auto"/>
                <w:sz w:val="21"/>
                <w:szCs w:val="21"/>
                <w:lang w:bidi="ar"/>
              </w:rPr>
              <w:t>7</w:t>
            </w:r>
            <w:r>
              <w:rPr>
                <w:rFonts w:hint="eastAsia" w:eastAsia="仿宋_GB2312"/>
                <w:color w:val="auto"/>
                <w:sz w:val="21"/>
                <w:szCs w:val="21"/>
                <w:lang w:bidi="ar"/>
              </w:rPr>
              <w:t>1</w:t>
            </w:r>
          </w:p>
        </w:tc>
        <w:tc>
          <w:tcPr>
            <w:tcW w:w="281" w:type="pct"/>
            <w:tcBorders>
              <w:tl2br w:val="nil"/>
              <w:tr2bl w:val="nil"/>
            </w:tcBorders>
            <w:shd w:val="clear" w:color="auto" w:fill="auto"/>
            <w:vAlign w:val="center"/>
          </w:tcPr>
          <w:p w14:paraId="6C9D2BE4">
            <w:pPr>
              <w:pStyle w:val="81"/>
              <w:spacing w:beforeAutospacing="0" w:afterAutospacing="0" w:line="320" w:lineRule="exact"/>
              <w:jc w:val="center"/>
              <w:rPr>
                <w:rFonts w:eastAsia="仿宋_GB2312"/>
                <w:b/>
                <w:bCs/>
                <w:color w:val="auto"/>
                <w:sz w:val="21"/>
                <w:szCs w:val="21"/>
              </w:rPr>
            </w:pPr>
            <w:r>
              <w:rPr>
                <w:rFonts w:eastAsia="仿宋_GB2312"/>
                <w:color w:val="auto"/>
                <w:sz w:val="21"/>
                <w:szCs w:val="21"/>
                <w:lang w:bidi="ar"/>
              </w:rPr>
              <w:t>全天</w:t>
            </w:r>
          </w:p>
        </w:tc>
        <w:tc>
          <w:tcPr>
            <w:tcW w:w="323" w:type="pct"/>
            <w:tcBorders>
              <w:tl2br w:val="nil"/>
              <w:tr2bl w:val="nil"/>
            </w:tcBorders>
            <w:shd w:val="clear" w:color="auto" w:fill="auto"/>
            <w:vAlign w:val="center"/>
          </w:tcPr>
          <w:p w14:paraId="6C465EE6">
            <w:pPr>
              <w:pStyle w:val="81"/>
              <w:spacing w:beforeAutospacing="0" w:afterAutospacing="0" w:line="320" w:lineRule="exact"/>
              <w:jc w:val="center"/>
              <w:rPr>
                <w:rFonts w:eastAsia="仿宋_GB2312"/>
                <w:color w:val="auto"/>
                <w:sz w:val="21"/>
                <w:szCs w:val="21"/>
              </w:rPr>
            </w:pPr>
            <w:r>
              <w:rPr>
                <w:rFonts w:eastAsia="仿宋_GB2312"/>
                <w:color w:val="auto"/>
                <w:sz w:val="21"/>
                <w:szCs w:val="21"/>
                <w:lang w:bidi="ar"/>
              </w:rPr>
              <w:t>20</w:t>
            </w:r>
          </w:p>
        </w:tc>
        <w:tc>
          <w:tcPr>
            <w:tcW w:w="273" w:type="pct"/>
            <w:tcBorders>
              <w:tl2br w:val="nil"/>
              <w:tr2bl w:val="nil"/>
            </w:tcBorders>
            <w:shd w:val="clear" w:color="auto" w:fill="auto"/>
            <w:vAlign w:val="center"/>
          </w:tcPr>
          <w:p w14:paraId="05C18F04">
            <w:pPr>
              <w:pStyle w:val="81"/>
              <w:spacing w:beforeAutospacing="0" w:afterAutospacing="0" w:line="320" w:lineRule="exact"/>
              <w:jc w:val="center"/>
              <w:rPr>
                <w:rFonts w:eastAsia="仿宋_GB2312"/>
                <w:color w:val="auto"/>
                <w:sz w:val="21"/>
                <w:szCs w:val="21"/>
                <w:lang w:bidi="ar"/>
              </w:rPr>
            </w:pPr>
            <w:r>
              <w:rPr>
                <w:rFonts w:eastAsia="仿宋_GB2312"/>
                <w:color w:val="auto"/>
                <w:sz w:val="21"/>
                <w:szCs w:val="21"/>
                <w:lang w:bidi="ar"/>
              </w:rPr>
              <w:t>5</w:t>
            </w:r>
            <w:r>
              <w:rPr>
                <w:rFonts w:hint="eastAsia" w:eastAsia="仿宋_GB2312"/>
                <w:color w:val="auto"/>
                <w:sz w:val="21"/>
                <w:szCs w:val="21"/>
                <w:lang w:bidi="ar"/>
              </w:rPr>
              <w:t>1</w:t>
            </w:r>
          </w:p>
        </w:tc>
        <w:tc>
          <w:tcPr>
            <w:tcW w:w="298" w:type="pct"/>
            <w:tcBorders>
              <w:tl2br w:val="nil"/>
              <w:tr2bl w:val="nil"/>
            </w:tcBorders>
            <w:shd w:val="clear" w:color="auto" w:fill="auto"/>
            <w:vAlign w:val="center"/>
          </w:tcPr>
          <w:p w14:paraId="707B0526">
            <w:pPr>
              <w:pStyle w:val="81"/>
              <w:spacing w:beforeAutospacing="0" w:afterAutospacing="0" w:line="320" w:lineRule="exact"/>
              <w:jc w:val="center"/>
              <w:rPr>
                <w:rFonts w:eastAsia="仿宋_GB2312"/>
                <w:color w:val="auto"/>
                <w:sz w:val="21"/>
                <w:szCs w:val="21"/>
              </w:rPr>
            </w:pPr>
            <w:r>
              <w:rPr>
                <w:rFonts w:eastAsia="仿宋_GB2312"/>
                <w:color w:val="auto"/>
                <w:sz w:val="21"/>
                <w:szCs w:val="21"/>
                <w:lang w:bidi="ar"/>
              </w:rPr>
              <w:t>1</w:t>
            </w:r>
          </w:p>
        </w:tc>
        <w:tc>
          <w:tcPr>
            <w:tcW w:w="346" w:type="pct"/>
            <w:tcBorders>
              <w:tl2br w:val="nil"/>
              <w:tr2bl w:val="nil"/>
            </w:tcBorders>
            <w:shd w:val="clear" w:color="auto" w:fill="auto"/>
            <w:vAlign w:val="center"/>
          </w:tcPr>
          <w:p w14:paraId="6088C04F">
            <w:pPr>
              <w:pStyle w:val="81"/>
              <w:spacing w:beforeAutospacing="0" w:afterAutospacing="0" w:line="320" w:lineRule="exact"/>
              <w:jc w:val="center"/>
              <w:rPr>
                <w:rFonts w:eastAsia="仿宋_GB2312"/>
                <w:color w:val="auto"/>
                <w:sz w:val="21"/>
                <w:szCs w:val="21"/>
                <w:lang w:bidi="ar"/>
              </w:rPr>
            </w:pPr>
            <w:r>
              <w:rPr>
                <w:rFonts w:hint="eastAsia" w:eastAsia="仿宋_GB2312" w:hAnsiTheme="minorHAnsi"/>
                <w:color w:val="auto"/>
                <w:sz w:val="21"/>
                <w:szCs w:val="21"/>
                <w:lang w:val="en-US" w:eastAsia="zh-CN" w:bidi="ar"/>
              </w:rPr>
              <w:t>依托现有</w:t>
            </w:r>
          </w:p>
        </w:tc>
      </w:tr>
      <w:tr w14:paraId="05B47D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192" w:type="pct"/>
            <w:tcBorders>
              <w:tl2br w:val="nil"/>
              <w:tr2bl w:val="nil"/>
            </w:tcBorders>
            <w:shd w:val="clear" w:color="auto" w:fill="auto"/>
            <w:vAlign w:val="center"/>
          </w:tcPr>
          <w:p w14:paraId="2585C036">
            <w:pPr>
              <w:pStyle w:val="81"/>
              <w:spacing w:beforeAutospacing="0" w:afterAutospacing="0" w:line="320" w:lineRule="exact"/>
              <w:jc w:val="center"/>
              <w:rPr>
                <w:rFonts w:eastAsia="仿宋_GB2312"/>
                <w:color w:val="auto"/>
                <w:sz w:val="21"/>
                <w:szCs w:val="21"/>
                <w:lang w:bidi="ar"/>
              </w:rPr>
            </w:pPr>
            <w:r>
              <w:rPr>
                <w:rFonts w:eastAsia="仿宋_GB2312"/>
                <w:color w:val="auto"/>
                <w:sz w:val="21"/>
                <w:szCs w:val="21"/>
                <w:lang w:bidi="ar"/>
              </w:rPr>
              <w:t>3</w:t>
            </w:r>
          </w:p>
        </w:tc>
        <w:tc>
          <w:tcPr>
            <w:tcW w:w="308" w:type="pct"/>
            <w:vMerge w:val="restart"/>
            <w:tcBorders>
              <w:tl2br w:val="nil"/>
              <w:tr2bl w:val="nil"/>
            </w:tcBorders>
            <w:shd w:val="clear" w:color="auto" w:fill="auto"/>
            <w:vAlign w:val="center"/>
          </w:tcPr>
          <w:p w14:paraId="3EE364AD">
            <w:pPr>
              <w:widowControl/>
              <w:jc w:val="center"/>
              <w:textAlignment w:val="center"/>
              <w:rPr>
                <w:rFonts w:eastAsia="仿宋_GB2312"/>
                <w:color w:val="auto"/>
                <w:kern w:val="0"/>
                <w:szCs w:val="21"/>
                <w:lang w:bidi="ar"/>
              </w:rPr>
            </w:pPr>
            <w:r>
              <w:rPr>
                <w:rFonts w:hint="eastAsia" w:eastAsia="仿宋_GB2312"/>
                <w:color w:val="auto"/>
                <w:kern w:val="0"/>
                <w:szCs w:val="21"/>
                <w:lang w:val="en-US" w:eastAsia="zh-CN" w:bidi="ar"/>
              </w:rPr>
              <w:t>B-7</w:t>
            </w:r>
            <w:r>
              <w:rPr>
                <w:rFonts w:eastAsia="仿宋_GB2312"/>
                <w:color w:val="auto"/>
                <w:kern w:val="0"/>
                <w:szCs w:val="21"/>
                <w:lang w:bidi="ar"/>
              </w:rPr>
              <w:t>车间</w:t>
            </w:r>
          </w:p>
        </w:tc>
        <w:tc>
          <w:tcPr>
            <w:tcW w:w="422" w:type="pct"/>
            <w:vMerge w:val="restart"/>
            <w:tcBorders>
              <w:tl2br w:val="nil"/>
              <w:tr2bl w:val="nil"/>
            </w:tcBorders>
            <w:shd w:val="clear" w:color="auto" w:fill="auto"/>
            <w:vAlign w:val="center"/>
          </w:tcPr>
          <w:p w14:paraId="309D591B">
            <w:pPr>
              <w:bidi w:val="0"/>
              <w:jc w:val="center"/>
              <w:rPr>
                <w:rFonts w:eastAsia="仿宋_GB2312"/>
                <w:color w:val="auto"/>
                <w:kern w:val="0"/>
                <w:szCs w:val="21"/>
                <w:lang w:bidi="ar"/>
              </w:rPr>
            </w:pPr>
            <w:r>
              <w:rPr>
                <w:rFonts w:hint="eastAsia" w:eastAsia="方正仿宋_GB2312" w:cs="Times New Roman"/>
                <w:color w:val="auto"/>
                <w:sz w:val="21"/>
                <w:szCs w:val="21"/>
                <w:lang w:val="en-US" w:eastAsia="zh-CN"/>
              </w:rPr>
              <w:t>连续精馏系列（</w:t>
            </w:r>
            <w:r>
              <w:rPr>
                <w:rFonts w:hint="default" w:ascii="Times New Roman" w:hAnsi="Times New Roman" w:eastAsia="方正仿宋_GB2312" w:cs="Times New Roman"/>
                <w:color w:val="auto"/>
                <w:sz w:val="21"/>
                <w:szCs w:val="21"/>
                <w:lang w:val="en-US" w:eastAsia="zh-CN"/>
              </w:rPr>
              <w:t>真空机组</w:t>
            </w:r>
            <w:r>
              <w:rPr>
                <w:rFonts w:hint="eastAsia" w:eastAsia="方正仿宋_GB2312" w:cs="Times New Roman"/>
                <w:color w:val="auto"/>
                <w:sz w:val="21"/>
                <w:szCs w:val="21"/>
                <w:lang w:val="en-US" w:eastAsia="zh-CN"/>
              </w:rPr>
              <w:t>）</w:t>
            </w:r>
          </w:p>
        </w:tc>
        <w:tc>
          <w:tcPr>
            <w:tcW w:w="453" w:type="pct"/>
            <w:vMerge w:val="restart"/>
            <w:tcBorders>
              <w:tl2br w:val="nil"/>
              <w:tr2bl w:val="nil"/>
            </w:tcBorders>
            <w:shd w:val="clear" w:color="auto" w:fill="auto"/>
            <w:vAlign w:val="center"/>
          </w:tcPr>
          <w:p w14:paraId="4FA89619">
            <w:pPr>
              <w:bidi w:val="0"/>
              <w:jc w:val="center"/>
              <w:rPr>
                <w:rFonts w:eastAsia="仿宋_GB2312"/>
                <w:color w:val="auto"/>
                <w:kern w:val="0"/>
                <w:szCs w:val="21"/>
                <w:lang w:bidi="ar"/>
              </w:rPr>
            </w:pPr>
            <w:r>
              <w:rPr>
                <w:rFonts w:hint="default" w:ascii="Times New Roman" w:hAnsi="Times New Roman" w:eastAsia="方正仿宋_GB2312" w:cs="Times New Roman"/>
                <w:color w:val="auto"/>
                <w:sz w:val="21"/>
                <w:szCs w:val="21"/>
                <w:lang w:val="en-US" w:eastAsia="zh-CN"/>
              </w:rPr>
              <w:t>Q=200L/S</w:t>
            </w:r>
            <w:r>
              <w:rPr>
                <w:rFonts w:hint="eastAsia" w:ascii="Times New Roman" w:hAnsi="Times New Roman" w:eastAsia="方正仿宋_GB2312" w:cs="Times New Roman"/>
                <w:color w:val="auto"/>
                <w:sz w:val="21"/>
                <w:szCs w:val="21"/>
                <w:lang w:val="en-US" w:eastAsia="zh-CN"/>
              </w:rPr>
              <w:t>，</w:t>
            </w:r>
            <w:r>
              <w:rPr>
                <w:rFonts w:hint="default" w:ascii="Times New Roman" w:hAnsi="Times New Roman" w:eastAsia="方正仿宋_GB2312" w:cs="Times New Roman"/>
                <w:color w:val="auto"/>
                <w:sz w:val="21"/>
                <w:szCs w:val="21"/>
                <w:lang w:val="en-US" w:eastAsia="zh-CN"/>
              </w:rPr>
              <w:t>15kw+4kw</w:t>
            </w:r>
          </w:p>
        </w:tc>
        <w:tc>
          <w:tcPr>
            <w:tcW w:w="263" w:type="pct"/>
            <w:tcBorders>
              <w:tl2br w:val="nil"/>
              <w:tr2bl w:val="nil"/>
            </w:tcBorders>
            <w:shd w:val="clear" w:color="auto" w:fill="auto"/>
            <w:vAlign w:val="center"/>
          </w:tcPr>
          <w:p w14:paraId="791CC1B4">
            <w:pPr>
              <w:widowControl/>
              <w:jc w:val="center"/>
              <w:textAlignment w:val="center"/>
              <w:rPr>
                <w:rFonts w:hint="eastAsia" w:eastAsia="仿宋_GB2312"/>
                <w:color w:val="auto"/>
                <w:kern w:val="0"/>
                <w:szCs w:val="21"/>
                <w:lang w:eastAsia="zh-CN" w:bidi="ar"/>
              </w:rPr>
            </w:pPr>
            <w:r>
              <w:rPr>
                <w:rFonts w:hint="eastAsia" w:eastAsia="仿宋_GB2312"/>
                <w:color w:val="auto"/>
                <w:kern w:val="0"/>
                <w:szCs w:val="21"/>
                <w:lang w:val="en-US" w:eastAsia="zh-CN" w:bidi="ar"/>
              </w:rPr>
              <w:t>1</w:t>
            </w:r>
          </w:p>
        </w:tc>
        <w:tc>
          <w:tcPr>
            <w:tcW w:w="244" w:type="pct"/>
            <w:tcBorders>
              <w:tl2br w:val="nil"/>
              <w:tr2bl w:val="nil"/>
            </w:tcBorders>
            <w:shd w:val="clear" w:color="auto" w:fill="auto"/>
            <w:vAlign w:val="center"/>
          </w:tcPr>
          <w:p w14:paraId="1D1F002C">
            <w:pPr>
              <w:pStyle w:val="163"/>
              <w:jc w:val="center"/>
              <w:rPr>
                <w:rFonts w:hint="default" w:ascii="Times New Roman"/>
                <w:color w:val="auto"/>
                <w:kern w:val="0"/>
                <w:szCs w:val="21"/>
                <w:lang w:val="en-US" w:eastAsia="zh-CN" w:bidi="ar"/>
              </w:rPr>
            </w:pPr>
            <w:r>
              <w:rPr>
                <w:rFonts w:hint="eastAsia" w:ascii="Times New Roman"/>
                <w:color w:val="auto"/>
                <w:kern w:val="0"/>
                <w:szCs w:val="21"/>
                <w:lang w:val="en-US" w:eastAsia="zh-CN" w:bidi="ar"/>
              </w:rPr>
              <w:t>161</w:t>
            </w:r>
          </w:p>
        </w:tc>
        <w:tc>
          <w:tcPr>
            <w:tcW w:w="226" w:type="pct"/>
            <w:tcBorders>
              <w:tl2br w:val="nil"/>
              <w:tr2bl w:val="nil"/>
            </w:tcBorders>
            <w:shd w:val="clear" w:color="auto" w:fill="auto"/>
            <w:vAlign w:val="center"/>
          </w:tcPr>
          <w:p w14:paraId="3DB78906">
            <w:pPr>
              <w:pStyle w:val="163"/>
              <w:jc w:val="center"/>
              <w:rPr>
                <w:rFonts w:hint="default" w:ascii="Times New Roman"/>
                <w:color w:val="auto"/>
                <w:kern w:val="0"/>
                <w:szCs w:val="21"/>
                <w:lang w:val="en-US" w:eastAsia="zh-CN" w:bidi="ar"/>
              </w:rPr>
            </w:pPr>
            <w:r>
              <w:rPr>
                <w:rFonts w:hint="eastAsia" w:ascii="Times New Roman"/>
                <w:color w:val="auto"/>
                <w:kern w:val="0"/>
                <w:szCs w:val="21"/>
                <w:lang w:val="en-US" w:eastAsia="zh-CN" w:bidi="ar"/>
              </w:rPr>
              <w:t>39</w:t>
            </w:r>
          </w:p>
        </w:tc>
        <w:tc>
          <w:tcPr>
            <w:tcW w:w="221" w:type="pct"/>
            <w:tcBorders>
              <w:tl2br w:val="nil"/>
              <w:tr2bl w:val="nil"/>
            </w:tcBorders>
            <w:shd w:val="clear" w:color="auto" w:fill="auto"/>
            <w:vAlign w:val="center"/>
          </w:tcPr>
          <w:p w14:paraId="03FA5D87">
            <w:pPr>
              <w:pStyle w:val="163"/>
              <w:jc w:val="center"/>
              <w:rPr>
                <w:rFonts w:hint="default" w:ascii="Times New Roman"/>
                <w:color w:val="auto"/>
                <w:kern w:val="0"/>
                <w:szCs w:val="21"/>
                <w:lang w:val="en-US" w:eastAsia="zh-CN" w:bidi="ar"/>
              </w:rPr>
            </w:pPr>
            <w:r>
              <w:rPr>
                <w:rFonts w:hint="eastAsia" w:ascii="Times New Roman"/>
                <w:color w:val="auto"/>
                <w:kern w:val="0"/>
                <w:szCs w:val="21"/>
                <w:lang w:val="en-US" w:eastAsia="zh-CN" w:bidi="ar"/>
              </w:rPr>
              <w:t>0.5</w:t>
            </w:r>
          </w:p>
        </w:tc>
        <w:tc>
          <w:tcPr>
            <w:tcW w:w="271" w:type="pct"/>
            <w:tcBorders>
              <w:tl2br w:val="nil"/>
              <w:tr2bl w:val="nil"/>
            </w:tcBorders>
            <w:shd w:val="clear" w:color="auto" w:fill="auto"/>
            <w:vAlign w:val="center"/>
          </w:tcPr>
          <w:p w14:paraId="2EB36261">
            <w:pPr>
              <w:pStyle w:val="163"/>
              <w:jc w:val="center"/>
              <w:rPr>
                <w:rFonts w:hint="eastAsia" w:ascii="Times New Roman"/>
                <w:color w:val="auto"/>
                <w:kern w:val="0"/>
                <w:szCs w:val="21"/>
                <w:lang w:val="en-US" w:eastAsia="zh-CN" w:bidi="ar"/>
              </w:rPr>
            </w:pPr>
            <w:r>
              <w:rPr>
                <w:rFonts w:hint="eastAsia" w:ascii="Times New Roman"/>
                <w:color w:val="auto"/>
                <w:kern w:val="0"/>
                <w:szCs w:val="21"/>
                <w:lang w:val="en-US" w:eastAsia="zh-CN" w:bidi="ar"/>
              </w:rPr>
              <w:t>80</w:t>
            </w:r>
          </w:p>
        </w:tc>
        <w:tc>
          <w:tcPr>
            <w:tcW w:w="297" w:type="pct"/>
            <w:vMerge w:val="continue"/>
            <w:tcBorders>
              <w:tl2br w:val="nil"/>
              <w:tr2bl w:val="nil"/>
            </w:tcBorders>
            <w:shd w:val="clear" w:color="auto" w:fill="auto"/>
            <w:vAlign w:val="center"/>
          </w:tcPr>
          <w:p w14:paraId="497464AE">
            <w:pPr>
              <w:pStyle w:val="81"/>
              <w:spacing w:beforeAutospacing="0" w:afterAutospacing="0" w:line="320" w:lineRule="exact"/>
              <w:jc w:val="center"/>
              <w:rPr>
                <w:rFonts w:eastAsia="仿宋_GB2312"/>
                <w:color w:val="FF0000"/>
                <w:sz w:val="21"/>
                <w:szCs w:val="21"/>
                <w:lang w:bidi="ar"/>
              </w:rPr>
            </w:pPr>
          </w:p>
        </w:tc>
        <w:tc>
          <w:tcPr>
            <w:tcW w:w="281" w:type="pct"/>
            <w:tcBorders>
              <w:tl2br w:val="nil"/>
              <w:tr2bl w:val="nil"/>
            </w:tcBorders>
            <w:shd w:val="clear" w:color="auto" w:fill="auto"/>
            <w:vAlign w:val="center"/>
          </w:tcPr>
          <w:p w14:paraId="06F9FE69">
            <w:pPr>
              <w:pStyle w:val="81"/>
              <w:spacing w:beforeAutospacing="0" w:afterAutospacing="0" w:line="320" w:lineRule="exact"/>
              <w:jc w:val="center"/>
              <w:rPr>
                <w:rFonts w:eastAsia="仿宋_GB2312"/>
                <w:color w:val="auto"/>
                <w:sz w:val="21"/>
                <w:szCs w:val="21"/>
              </w:rPr>
            </w:pPr>
            <w:r>
              <w:rPr>
                <w:rFonts w:eastAsia="仿宋_GB2312"/>
                <w:color w:val="auto"/>
                <w:sz w:val="21"/>
                <w:szCs w:val="21"/>
              </w:rPr>
              <w:t>5</w:t>
            </w:r>
          </w:p>
        </w:tc>
        <w:tc>
          <w:tcPr>
            <w:tcW w:w="292" w:type="pct"/>
            <w:tcBorders>
              <w:tl2br w:val="nil"/>
              <w:tr2bl w:val="nil"/>
            </w:tcBorders>
            <w:shd w:val="clear" w:color="auto" w:fill="auto"/>
            <w:vAlign w:val="center"/>
          </w:tcPr>
          <w:p w14:paraId="1E19C953">
            <w:pPr>
              <w:pStyle w:val="81"/>
              <w:spacing w:beforeAutospacing="0" w:afterAutospacing="0" w:line="320" w:lineRule="exact"/>
              <w:jc w:val="center"/>
              <w:rPr>
                <w:rFonts w:eastAsia="仿宋_GB2312"/>
                <w:color w:val="auto"/>
                <w:sz w:val="21"/>
                <w:szCs w:val="21"/>
                <w:lang w:bidi="ar"/>
              </w:rPr>
            </w:pPr>
            <w:r>
              <w:rPr>
                <w:rFonts w:eastAsia="仿宋_GB2312"/>
                <w:color w:val="auto"/>
                <w:sz w:val="21"/>
                <w:szCs w:val="21"/>
                <w:lang w:bidi="ar"/>
              </w:rPr>
              <w:t>6</w:t>
            </w:r>
            <w:r>
              <w:rPr>
                <w:rFonts w:hint="eastAsia" w:eastAsia="仿宋_GB2312"/>
                <w:color w:val="auto"/>
                <w:sz w:val="21"/>
                <w:szCs w:val="21"/>
                <w:lang w:bidi="ar"/>
              </w:rPr>
              <w:t>6</w:t>
            </w:r>
          </w:p>
        </w:tc>
        <w:tc>
          <w:tcPr>
            <w:tcW w:w="281" w:type="pct"/>
            <w:tcBorders>
              <w:tl2br w:val="nil"/>
              <w:tr2bl w:val="nil"/>
            </w:tcBorders>
            <w:shd w:val="clear" w:color="auto" w:fill="auto"/>
            <w:vAlign w:val="center"/>
          </w:tcPr>
          <w:p w14:paraId="7F08868F">
            <w:pPr>
              <w:pStyle w:val="81"/>
              <w:spacing w:beforeAutospacing="0" w:afterAutospacing="0" w:line="320" w:lineRule="exact"/>
              <w:jc w:val="center"/>
              <w:rPr>
                <w:rFonts w:eastAsia="仿宋_GB2312"/>
                <w:b/>
                <w:bCs/>
                <w:color w:val="auto"/>
                <w:sz w:val="21"/>
                <w:szCs w:val="21"/>
              </w:rPr>
            </w:pPr>
            <w:r>
              <w:rPr>
                <w:rFonts w:eastAsia="仿宋_GB2312"/>
                <w:color w:val="auto"/>
                <w:sz w:val="21"/>
                <w:szCs w:val="21"/>
                <w:lang w:bidi="ar"/>
              </w:rPr>
              <w:t>全天</w:t>
            </w:r>
          </w:p>
        </w:tc>
        <w:tc>
          <w:tcPr>
            <w:tcW w:w="323" w:type="pct"/>
            <w:tcBorders>
              <w:tl2br w:val="nil"/>
              <w:tr2bl w:val="nil"/>
            </w:tcBorders>
            <w:shd w:val="clear" w:color="auto" w:fill="auto"/>
            <w:vAlign w:val="center"/>
          </w:tcPr>
          <w:p w14:paraId="5BD250B0">
            <w:pPr>
              <w:pStyle w:val="81"/>
              <w:spacing w:beforeAutospacing="0" w:afterAutospacing="0" w:line="320" w:lineRule="exact"/>
              <w:jc w:val="center"/>
              <w:rPr>
                <w:rFonts w:eastAsia="仿宋_GB2312"/>
                <w:color w:val="auto"/>
                <w:sz w:val="21"/>
                <w:szCs w:val="21"/>
              </w:rPr>
            </w:pPr>
            <w:r>
              <w:rPr>
                <w:rFonts w:eastAsia="仿宋_GB2312"/>
                <w:color w:val="auto"/>
                <w:sz w:val="21"/>
                <w:szCs w:val="21"/>
                <w:lang w:bidi="ar"/>
              </w:rPr>
              <w:t>20</w:t>
            </w:r>
          </w:p>
        </w:tc>
        <w:tc>
          <w:tcPr>
            <w:tcW w:w="273" w:type="pct"/>
            <w:tcBorders>
              <w:tl2br w:val="nil"/>
              <w:tr2bl w:val="nil"/>
            </w:tcBorders>
            <w:shd w:val="clear" w:color="auto" w:fill="auto"/>
            <w:vAlign w:val="center"/>
          </w:tcPr>
          <w:p w14:paraId="7885CAEF">
            <w:pPr>
              <w:pStyle w:val="81"/>
              <w:spacing w:beforeAutospacing="0" w:afterAutospacing="0" w:line="320" w:lineRule="exact"/>
              <w:jc w:val="center"/>
              <w:rPr>
                <w:rFonts w:eastAsia="仿宋_GB2312"/>
                <w:color w:val="auto"/>
                <w:sz w:val="21"/>
                <w:szCs w:val="21"/>
                <w:lang w:bidi="ar"/>
              </w:rPr>
            </w:pPr>
            <w:r>
              <w:rPr>
                <w:rFonts w:eastAsia="仿宋_GB2312"/>
                <w:color w:val="auto"/>
                <w:sz w:val="21"/>
                <w:szCs w:val="21"/>
                <w:lang w:bidi="ar"/>
              </w:rPr>
              <w:t>46</w:t>
            </w:r>
          </w:p>
        </w:tc>
        <w:tc>
          <w:tcPr>
            <w:tcW w:w="298" w:type="pct"/>
            <w:tcBorders>
              <w:tl2br w:val="nil"/>
              <w:tr2bl w:val="nil"/>
            </w:tcBorders>
            <w:shd w:val="clear" w:color="auto" w:fill="auto"/>
            <w:vAlign w:val="center"/>
          </w:tcPr>
          <w:p w14:paraId="210175E7">
            <w:pPr>
              <w:pStyle w:val="81"/>
              <w:spacing w:beforeAutospacing="0" w:afterAutospacing="0" w:line="320" w:lineRule="exact"/>
              <w:jc w:val="center"/>
              <w:rPr>
                <w:rFonts w:eastAsia="仿宋_GB2312"/>
                <w:color w:val="auto"/>
                <w:sz w:val="21"/>
                <w:szCs w:val="21"/>
              </w:rPr>
            </w:pPr>
            <w:r>
              <w:rPr>
                <w:rFonts w:eastAsia="仿宋_GB2312"/>
                <w:color w:val="auto"/>
                <w:sz w:val="21"/>
                <w:szCs w:val="21"/>
                <w:lang w:bidi="ar"/>
              </w:rPr>
              <w:t>1</w:t>
            </w:r>
          </w:p>
        </w:tc>
        <w:tc>
          <w:tcPr>
            <w:tcW w:w="346" w:type="pct"/>
            <w:tcBorders>
              <w:tl2br w:val="nil"/>
              <w:tr2bl w:val="nil"/>
            </w:tcBorders>
            <w:shd w:val="clear" w:color="auto" w:fill="auto"/>
            <w:vAlign w:val="center"/>
          </w:tcPr>
          <w:p w14:paraId="0A609643">
            <w:pPr>
              <w:pStyle w:val="81"/>
              <w:spacing w:beforeAutospacing="0" w:afterAutospacing="0" w:line="320" w:lineRule="exact"/>
              <w:jc w:val="center"/>
              <w:rPr>
                <w:rFonts w:eastAsia="仿宋_GB2312"/>
                <w:color w:val="auto"/>
                <w:sz w:val="21"/>
                <w:szCs w:val="21"/>
                <w:lang w:bidi="ar"/>
              </w:rPr>
            </w:pPr>
            <w:r>
              <w:rPr>
                <w:rFonts w:hint="eastAsia" w:eastAsia="仿宋_GB2312" w:hAnsiTheme="minorHAnsi"/>
                <w:color w:val="auto"/>
                <w:sz w:val="21"/>
                <w:szCs w:val="21"/>
                <w:lang w:val="en-US" w:eastAsia="zh-CN" w:bidi="ar"/>
              </w:rPr>
              <w:t>依托现有</w:t>
            </w:r>
          </w:p>
        </w:tc>
      </w:tr>
      <w:tr w14:paraId="7D653B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192" w:type="pct"/>
            <w:tcBorders>
              <w:tl2br w:val="nil"/>
              <w:tr2bl w:val="nil"/>
            </w:tcBorders>
            <w:shd w:val="clear" w:color="auto" w:fill="auto"/>
            <w:vAlign w:val="center"/>
          </w:tcPr>
          <w:p w14:paraId="1F25E6F3">
            <w:pPr>
              <w:pStyle w:val="81"/>
              <w:spacing w:beforeAutospacing="0" w:afterAutospacing="0" w:line="320" w:lineRule="exact"/>
              <w:jc w:val="center"/>
              <w:rPr>
                <w:rFonts w:hint="eastAsia" w:eastAsia="仿宋_GB2312"/>
                <w:color w:val="auto"/>
                <w:sz w:val="21"/>
                <w:szCs w:val="21"/>
                <w:lang w:val="en-US" w:eastAsia="zh-CN" w:bidi="ar"/>
              </w:rPr>
            </w:pPr>
            <w:r>
              <w:rPr>
                <w:rFonts w:hint="eastAsia" w:eastAsia="仿宋_GB2312"/>
                <w:color w:val="auto"/>
                <w:sz w:val="21"/>
                <w:szCs w:val="21"/>
                <w:lang w:val="en-US" w:eastAsia="zh-CN" w:bidi="ar"/>
              </w:rPr>
              <w:t>4</w:t>
            </w:r>
          </w:p>
        </w:tc>
        <w:tc>
          <w:tcPr>
            <w:tcW w:w="308" w:type="pct"/>
            <w:vMerge w:val="continue"/>
            <w:tcBorders>
              <w:tl2br w:val="nil"/>
              <w:tr2bl w:val="nil"/>
            </w:tcBorders>
            <w:shd w:val="clear" w:color="auto" w:fill="auto"/>
            <w:vAlign w:val="center"/>
          </w:tcPr>
          <w:p w14:paraId="6FED8670">
            <w:pPr>
              <w:widowControl/>
              <w:jc w:val="center"/>
              <w:textAlignment w:val="center"/>
              <w:rPr>
                <w:rFonts w:hint="eastAsia" w:eastAsia="仿宋_GB2312"/>
                <w:color w:val="auto"/>
                <w:kern w:val="0"/>
                <w:szCs w:val="21"/>
                <w:lang w:val="en-US" w:eastAsia="zh-CN" w:bidi="ar"/>
              </w:rPr>
            </w:pPr>
          </w:p>
        </w:tc>
        <w:tc>
          <w:tcPr>
            <w:tcW w:w="422" w:type="pct"/>
            <w:vMerge w:val="continue"/>
            <w:tcBorders>
              <w:tl2br w:val="nil"/>
              <w:tr2bl w:val="nil"/>
            </w:tcBorders>
            <w:shd w:val="clear" w:color="auto" w:fill="auto"/>
            <w:vAlign w:val="center"/>
          </w:tcPr>
          <w:p w14:paraId="272E2C50">
            <w:pPr>
              <w:bidi w:val="0"/>
              <w:jc w:val="center"/>
              <w:rPr>
                <w:rFonts w:hint="default" w:ascii="Times New Roman" w:hAnsi="Times New Roman" w:eastAsia="方正仿宋_GB2312" w:cs="Times New Roman"/>
                <w:color w:val="auto"/>
                <w:sz w:val="21"/>
                <w:szCs w:val="21"/>
                <w:lang w:val="en-US" w:eastAsia="zh-CN"/>
              </w:rPr>
            </w:pPr>
          </w:p>
        </w:tc>
        <w:tc>
          <w:tcPr>
            <w:tcW w:w="453" w:type="pct"/>
            <w:vMerge w:val="continue"/>
            <w:tcBorders>
              <w:tl2br w:val="nil"/>
              <w:tr2bl w:val="nil"/>
            </w:tcBorders>
            <w:shd w:val="clear" w:color="auto" w:fill="auto"/>
            <w:vAlign w:val="center"/>
          </w:tcPr>
          <w:p w14:paraId="5F064CED">
            <w:pPr>
              <w:bidi w:val="0"/>
              <w:jc w:val="center"/>
              <w:rPr>
                <w:rFonts w:hint="default" w:ascii="Times New Roman" w:hAnsi="Times New Roman" w:eastAsia="方正仿宋_GB2312" w:cs="Times New Roman"/>
                <w:color w:val="auto"/>
                <w:sz w:val="21"/>
                <w:szCs w:val="21"/>
                <w:lang w:val="en-US" w:eastAsia="zh-CN"/>
              </w:rPr>
            </w:pPr>
          </w:p>
        </w:tc>
        <w:tc>
          <w:tcPr>
            <w:tcW w:w="263" w:type="pct"/>
            <w:tcBorders>
              <w:tl2br w:val="nil"/>
              <w:tr2bl w:val="nil"/>
            </w:tcBorders>
            <w:shd w:val="clear" w:color="auto" w:fill="auto"/>
            <w:vAlign w:val="center"/>
          </w:tcPr>
          <w:p w14:paraId="3093E66A">
            <w:pPr>
              <w:widowControl/>
              <w:jc w:val="center"/>
              <w:textAlignment w:val="center"/>
              <w:rPr>
                <w:rFonts w:hint="eastAsia" w:eastAsia="仿宋_GB2312"/>
                <w:color w:val="auto"/>
                <w:kern w:val="0"/>
                <w:szCs w:val="21"/>
                <w:lang w:val="en-US" w:eastAsia="zh-CN" w:bidi="ar"/>
              </w:rPr>
            </w:pPr>
            <w:r>
              <w:rPr>
                <w:rFonts w:hint="eastAsia" w:eastAsia="仿宋_GB2312"/>
                <w:color w:val="auto"/>
                <w:kern w:val="0"/>
                <w:szCs w:val="21"/>
                <w:lang w:val="en-US" w:eastAsia="zh-CN" w:bidi="ar"/>
              </w:rPr>
              <w:t>1</w:t>
            </w:r>
          </w:p>
        </w:tc>
        <w:tc>
          <w:tcPr>
            <w:tcW w:w="244" w:type="pct"/>
            <w:tcBorders>
              <w:tl2br w:val="nil"/>
              <w:tr2bl w:val="nil"/>
            </w:tcBorders>
            <w:shd w:val="clear" w:color="auto" w:fill="auto"/>
            <w:vAlign w:val="center"/>
          </w:tcPr>
          <w:p w14:paraId="3E8EB761">
            <w:pPr>
              <w:pStyle w:val="163"/>
              <w:jc w:val="center"/>
              <w:rPr>
                <w:rFonts w:hint="eastAsia" w:ascii="Times New Roman" w:hAnsi="Times New Roman" w:eastAsia="仿宋_GB2312" w:cs="Times New Roman"/>
                <w:color w:val="auto"/>
                <w:kern w:val="0"/>
                <w:sz w:val="21"/>
                <w:szCs w:val="21"/>
                <w:lang w:val="en-US" w:eastAsia="zh-CN" w:bidi="ar"/>
              </w:rPr>
            </w:pPr>
            <w:r>
              <w:rPr>
                <w:rFonts w:hint="eastAsia" w:ascii="Times New Roman"/>
                <w:color w:val="auto"/>
                <w:kern w:val="0"/>
                <w:szCs w:val="21"/>
                <w:lang w:val="en-US" w:eastAsia="zh-CN" w:bidi="ar"/>
              </w:rPr>
              <w:t>161</w:t>
            </w:r>
          </w:p>
        </w:tc>
        <w:tc>
          <w:tcPr>
            <w:tcW w:w="226" w:type="pct"/>
            <w:tcBorders>
              <w:tl2br w:val="nil"/>
              <w:tr2bl w:val="nil"/>
            </w:tcBorders>
            <w:shd w:val="clear" w:color="auto" w:fill="auto"/>
            <w:vAlign w:val="center"/>
          </w:tcPr>
          <w:p w14:paraId="25880734">
            <w:pPr>
              <w:pStyle w:val="163"/>
              <w:jc w:val="center"/>
              <w:rPr>
                <w:rFonts w:hint="default" w:ascii="Times New Roman" w:hAnsi="Times New Roman" w:eastAsia="仿宋_GB2312" w:cs="Times New Roman"/>
                <w:color w:val="auto"/>
                <w:kern w:val="0"/>
                <w:sz w:val="21"/>
                <w:szCs w:val="21"/>
                <w:lang w:val="en-US" w:eastAsia="zh-CN" w:bidi="ar"/>
              </w:rPr>
            </w:pPr>
            <w:r>
              <w:rPr>
                <w:rFonts w:hint="eastAsia" w:ascii="Times New Roman"/>
                <w:color w:val="auto"/>
                <w:kern w:val="0"/>
                <w:szCs w:val="21"/>
                <w:lang w:val="en-US" w:eastAsia="zh-CN" w:bidi="ar"/>
              </w:rPr>
              <w:t>40</w:t>
            </w:r>
          </w:p>
        </w:tc>
        <w:tc>
          <w:tcPr>
            <w:tcW w:w="221" w:type="pct"/>
            <w:tcBorders>
              <w:tl2br w:val="nil"/>
              <w:tr2bl w:val="nil"/>
            </w:tcBorders>
            <w:shd w:val="clear" w:color="auto" w:fill="auto"/>
            <w:vAlign w:val="center"/>
          </w:tcPr>
          <w:p w14:paraId="2513B65D">
            <w:pPr>
              <w:pStyle w:val="163"/>
              <w:jc w:val="center"/>
              <w:rPr>
                <w:rFonts w:hint="eastAsia" w:ascii="Times New Roman" w:hAnsi="Times New Roman" w:eastAsia="仿宋_GB2312" w:cs="Times New Roman"/>
                <w:color w:val="auto"/>
                <w:kern w:val="0"/>
                <w:sz w:val="21"/>
                <w:szCs w:val="21"/>
                <w:lang w:val="en-US" w:eastAsia="zh-CN" w:bidi="ar"/>
              </w:rPr>
            </w:pPr>
            <w:r>
              <w:rPr>
                <w:rFonts w:hint="eastAsia" w:ascii="Times New Roman"/>
                <w:color w:val="auto"/>
                <w:kern w:val="0"/>
                <w:szCs w:val="21"/>
                <w:lang w:val="en-US" w:eastAsia="zh-CN" w:bidi="ar"/>
              </w:rPr>
              <w:t>0.5</w:t>
            </w:r>
          </w:p>
        </w:tc>
        <w:tc>
          <w:tcPr>
            <w:tcW w:w="271" w:type="pct"/>
            <w:tcBorders>
              <w:tl2br w:val="nil"/>
              <w:tr2bl w:val="nil"/>
            </w:tcBorders>
            <w:shd w:val="clear" w:color="auto" w:fill="auto"/>
            <w:vAlign w:val="center"/>
          </w:tcPr>
          <w:p w14:paraId="2E02635C">
            <w:pPr>
              <w:pStyle w:val="163"/>
              <w:jc w:val="center"/>
              <w:rPr>
                <w:rFonts w:hint="default" w:ascii="Times New Roman"/>
                <w:color w:val="auto"/>
                <w:kern w:val="0"/>
                <w:szCs w:val="21"/>
                <w:lang w:val="en-US" w:eastAsia="zh-CN" w:bidi="ar"/>
              </w:rPr>
            </w:pPr>
            <w:r>
              <w:rPr>
                <w:rFonts w:hint="eastAsia" w:ascii="Times New Roman"/>
                <w:color w:val="auto"/>
                <w:kern w:val="0"/>
                <w:szCs w:val="21"/>
                <w:lang w:val="en-US" w:eastAsia="zh-CN" w:bidi="ar"/>
              </w:rPr>
              <w:t>80</w:t>
            </w:r>
          </w:p>
        </w:tc>
        <w:tc>
          <w:tcPr>
            <w:tcW w:w="297" w:type="pct"/>
            <w:vMerge w:val="continue"/>
            <w:tcBorders>
              <w:tl2br w:val="nil"/>
              <w:tr2bl w:val="nil"/>
            </w:tcBorders>
            <w:shd w:val="clear" w:color="auto" w:fill="auto"/>
            <w:vAlign w:val="center"/>
          </w:tcPr>
          <w:p w14:paraId="2F63A03C">
            <w:pPr>
              <w:pStyle w:val="81"/>
              <w:spacing w:beforeAutospacing="0" w:afterAutospacing="0" w:line="320" w:lineRule="exact"/>
              <w:jc w:val="center"/>
              <w:rPr>
                <w:rFonts w:eastAsia="仿宋_GB2312"/>
                <w:color w:val="FF0000"/>
                <w:sz w:val="21"/>
                <w:szCs w:val="21"/>
                <w:lang w:bidi="ar"/>
              </w:rPr>
            </w:pPr>
          </w:p>
        </w:tc>
        <w:tc>
          <w:tcPr>
            <w:tcW w:w="281" w:type="pct"/>
            <w:tcBorders>
              <w:tl2br w:val="nil"/>
              <w:tr2bl w:val="nil"/>
            </w:tcBorders>
            <w:shd w:val="clear" w:color="auto" w:fill="auto"/>
            <w:vAlign w:val="center"/>
          </w:tcPr>
          <w:p w14:paraId="300D6303">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rPr>
              <w:t>5</w:t>
            </w:r>
          </w:p>
        </w:tc>
        <w:tc>
          <w:tcPr>
            <w:tcW w:w="292" w:type="pct"/>
            <w:tcBorders>
              <w:tl2br w:val="nil"/>
              <w:tr2bl w:val="nil"/>
            </w:tcBorders>
            <w:shd w:val="clear" w:color="auto" w:fill="auto"/>
            <w:vAlign w:val="center"/>
          </w:tcPr>
          <w:p w14:paraId="54155997">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6</w:t>
            </w:r>
            <w:r>
              <w:rPr>
                <w:rFonts w:hint="eastAsia" w:eastAsia="仿宋_GB2312"/>
                <w:color w:val="auto"/>
                <w:sz w:val="21"/>
                <w:szCs w:val="21"/>
                <w:lang w:bidi="ar"/>
              </w:rPr>
              <w:t>6</w:t>
            </w:r>
          </w:p>
        </w:tc>
        <w:tc>
          <w:tcPr>
            <w:tcW w:w="281" w:type="pct"/>
            <w:tcBorders>
              <w:tl2br w:val="nil"/>
              <w:tr2bl w:val="nil"/>
            </w:tcBorders>
            <w:shd w:val="clear" w:color="auto" w:fill="auto"/>
            <w:vAlign w:val="center"/>
          </w:tcPr>
          <w:p w14:paraId="52D035CA">
            <w:pPr>
              <w:pStyle w:val="81"/>
              <w:spacing w:beforeAutospacing="0" w:afterAutospacing="0" w:line="320" w:lineRule="exact"/>
              <w:ind w:left="0" w:leftChars="0" w:right="0" w:rightChars="0"/>
              <w:jc w:val="center"/>
              <w:rPr>
                <w:rFonts w:ascii="Times New Roman" w:hAnsi="Times New Roman" w:eastAsia="仿宋_GB2312" w:cs="Times New Roman"/>
                <w:b/>
                <w:bCs/>
                <w:color w:val="auto"/>
                <w:kern w:val="0"/>
                <w:sz w:val="21"/>
                <w:szCs w:val="21"/>
                <w:lang w:val="en-US" w:eastAsia="zh-CN" w:bidi="ar"/>
              </w:rPr>
            </w:pPr>
            <w:r>
              <w:rPr>
                <w:rFonts w:eastAsia="仿宋_GB2312"/>
                <w:color w:val="auto"/>
                <w:sz w:val="21"/>
                <w:szCs w:val="21"/>
                <w:lang w:bidi="ar"/>
              </w:rPr>
              <w:t>全天</w:t>
            </w:r>
          </w:p>
        </w:tc>
        <w:tc>
          <w:tcPr>
            <w:tcW w:w="323" w:type="pct"/>
            <w:tcBorders>
              <w:tl2br w:val="nil"/>
              <w:tr2bl w:val="nil"/>
            </w:tcBorders>
            <w:shd w:val="clear" w:color="auto" w:fill="auto"/>
            <w:vAlign w:val="center"/>
          </w:tcPr>
          <w:p w14:paraId="794FD23C">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20</w:t>
            </w:r>
          </w:p>
        </w:tc>
        <w:tc>
          <w:tcPr>
            <w:tcW w:w="273" w:type="pct"/>
            <w:tcBorders>
              <w:tl2br w:val="nil"/>
              <w:tr2bl w:val="nil"/>
            </w:tcBorders>
            <w:shd w:val="clear" w:color="auto" w:fill="auto"/>
            <w:vAlign w:val="center"/>
          </w:tcPr>
          <w:p w14:paraId="6B0F3BFE">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46</w:t>
            </w:r>
          </w:p>
        </w:tc>
        <w:tc>
          <w:tcPr>
            <w:tcW w:w="298" w:type="pct"/>
            <w:tcBorders>
              <w:tl2br w:val="nil"/>
              <w:tr2bl w:val="nil"/>
            </w:tcBorders>
            <w:shd w:val="clear" w:color="auto" w:fill="auto"/>
            <w:vAlign w:val="center"/>
          </w:tcPr>
          <w:p w14:paraId="29598AC4">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1</w:t>
            </w:r>
          </w:p>
        </w:tc>
        <w:tc>
          <w:tcPr>
            <w:tcW w:w="346" w:type="pct"/>
            <w:tcBorders>
              <w:tl2br w:val="nil"/>
              <w:tr2bl w:val="nil"/>
            </w:tcBorders>
            <w:shd w:val="clear" w:color="auto" w:fill="auto"/>
            <w:vAlign w:val="center"/>
          </w:tcPr>
          <w:p w14:paraId="47059184">
            <w:pPr>
              <w:pStyle w:val="81"/>
              <w:spacing w:beforeAutospacing="0" w:afterAutospacing="0" w:line="320" w:lineRule="exact"/>
              <w:jc w:val="center"/>
              <w:rPr>
                <w:rFonts w:eastAsia="仿宋_GB2312"/>
                <w:color w:val="FF0000"/>
                <w:sz w:val="21"/>
                <w:szCs w:val="21"/>
                <w:lang w:bidi="ar"/>
              </w:rPr>
            </w:pPr>
            <w:r>
              <w:rPr>
                <w:rFonts w:hint="eastAsia" w:eastAsia="仿宋_GB2312" w:hAnsiTheme="minorHAnsi"/>
                <w:color w:val="auto"/>
                <w:sz w:val="21"/>
                <w:szCs w:val="21"/>
                <w:lang w:val="en-US" w:eastAsia="zh-CN" w:bidi="ar"/>
              </w:rPr>
              <w:t>依托现有</w:t>
            </w:r>
          </w:p>
        </w:tc>
      </w:tr>
      <w:tr w14:paraId="73F8CF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192" w:type="pct"/>
            <w:tcBorders>
              <w:tl2br w:val="nil"/>
              <w:tr2bl w:val="nil"/>
            </w:tcBorders>
            <w:shd w:val="clear" w:color="auto" w:fill="auto"/>
            <w:vAlign w:val="center"/>
          </w:tcPr>
          <w:p w14:paraId="2B9CD4AB">
            <w:pPr>
              <w:pStyle w:val="81"/>
              <w:spacing w:beforeAutospacing="0" w:afterAutospacing="0" w:line="320" w:lineRule="exact"/>
              <w:jc w:val="center"/>
              <w:rPr>
                <w:rFonts w:hint="eastAsia" w:eastAsia="仿宋_GB2312"/>
                <w:color w:val="auto"/>
                <w:sz w:val="21"/>
                <w:szCs w:val="21"/>
                <w:lang w:val="en-US" w:eastAsia="zh-CN" w:bidi="ar"/>
              </w:rPr>
            </w:pPr>
            <w:r>
              <w:rPr>
                <w:rFonts w:hint="eastAsia" w:eastAsia="仿宋_GB2312"/>
                <w:color w:val="auto"/>
                <w:sz w:val="21"/>
                <w:szCs w:val="21"/>
                <w:lang w:val="en-US" w:eastAsia="zh-CN" w:bidi="ar"/>
              </w:rPr>
              <w:t>5</w:t>
            </w:r>
          </w:p>
        </w:tc>
        <w:tc>
          <w:tcPr>
            <w:tcW w:w="308" w:type="pct"/>
            <w:vMerge w:val="continue"/>
            <w:tcBorders>
              <w:tl2br w:val="nil"/>
              <w:tr2bl w:val="nil"/>
            </w:tcBorders>
            <w:shd w:val="clear" w:color="auto" w:fill="auto"/>
            <w:vAlign w:val="center"/>
          </w:tcPr>
          <w:p w14:paraId="1C8C8878">
            <w:pPr>
              <w:widowControl/>
              <w:jc w:val="center"/>
              <w:textAlignment w:val="center"/>
              <w:rPr>
                <w:rFonts w:hint="eastAsia" w:eastAsia="仿宋_GB2312"/>
                <w:color w:val="auto"/>
                <w:kern w:val="0"/>
                <w:szCs w:val="21"/>
                <w:lang w:val="en-US" w:eastAsia="zh-CN" w:bidi="ar"/>
              </w:rPr>
            </w:pPr>
          </w:p>
        </w:tc>
        <w:tc>
          <w:tcPr>
            <w:tcW w:w="422" w:type="pct"/>
            <w:vMerge w:val="continue"/>
            <w:tcBorders>
              <w:tl2br w:val="nil"/>
              <w:tr2bl w:val="nil"/>
            </w:tcBorders>
            <w:shd w:val="clear" w:color="auto" w:fill="auto"/>
            <w:vAlign w:val="center"/>
          </w:tcPr>
          <w:p w14:paraId="6120CD3B">
            <w:pPr>
              <w:bidi w:val="0"/>
              <w:jc w:val="center"/>
              <w:rPr>
                <w:rFonts w:hint="default" w:ascii="Times New Roman" w:hAnsi="Times New Roman" w:eastAsia="方正仿宋_GB2312" w:cs="Times New Roman"/>
                <w:color w:val="auto"/>
                <w:sz w:val="21"/>
                <w:szCs w:val="21"/>
                <w:lang w:val="en-US" w:eastAsia="zh-CN"/>
              </w:rPr>
            </w:pPr>
          </w:p>
        </w:tc>
        <w:tc>
          <w:tcPr>
            <w:tcW w:w="453" w:type="pct"/>
            <w:vMerge w:val="continue"/>
            <w:tcBorders>
              <w:tl2br w:val="nil"/>
              <w:tr2bl w:val="nil"/>
            </w:tcBorders>
            <w:shd w:val="clear" w:color="auto" w:fill="auto"/>
            <w:vAlign w:val="center"/>
          </w:tcPr>
          <w:p w14:paraId="458A66DF">
            <w:pPr>
              <w:bidi w:val="0"/>
              <w:jc w:val="center"/>
              <w:rPr>
                <w:rFonts w:hint="default" w:ascii="Times New Roman" w:hAnsi="Times New Roman" w:eastAsia="方正仿宋_GB2312" w:cs="Times New Roman"/>
                <w:color w:val="auto"/>
                <w:sz w:val="21"/>
                <w:szCs w:val="21"/>
                <w:lang w:val="en-US" w:eastAsia="zh-CN"/>
              </w:rPr>
            </w:pPr>
          </w:p>
        </w:tc>
        <w:tc>
          <w:tcPr>
            <w:tcW w:w="263" w:type="pct"/>
            <w:tcBorders>
              <w:tl2br w:val="nil"/>
              <w:tr2bl w:val="nil"/>
            </w:tcBorders>
            <w:shd w:val="clear" w:color="auto" w:fill="auto"/>
            <w:vAlign w:val="center"/>
          </w:tcPr>
          <w:p w14:paraId="4A603DE8">
            <w:pPr>
              <w:widowControl/>
              <w:jc w:val="center"/>
              <w:textAlignment w:val="center"/>
              <w:rPr>
                <w:rFonts w:hint="eastAsia" w:eastAsia="仿宋_GB2312"/>
                <w:color w:val="auto"/>
                <w:kern w:val="0"/>
                <w:szCs w:val="21"/>
                <w:lang w:val="en-US" w:eastAsia="zh-CN" w:bidi="ar"/>
              </w:rPr>
            </w:pPr>
            <w:r>
              <w:rPr>
                <w:rFonts w:hint="eastAsia" w:eastAsia="仿宋_GB2312"/>
                <w:color w:val="auto"/>
                <w:kern w:val="0"/>
                <w:szCs w:val="21"/>
                <w:lang w:val="en-US" w:eastAsia="zh-CN" w:bidi="ar"/>
              </w:rPr>
              <w:t>1</w:t>
            </w:r>
          </w:p>
        </w:tc>
        <w:tc>
          <w:tcPr>
            <w:tcW w:w="244" w:type="pct"/>
            <w:tcBorders>
              <w:tl2br w:val="nil"/>
              <w:tr2bl w:val="nil"/>
            </w:tcBorders>
            <w:shd w:val="clear" w:color="auto" w:fill="auto"/>
            <w:vAlign w:val="center"/>
          </w:tcPr>
          <w:p w14:paraId="38D60CE3">
            <w:pPr>
              <w:pStyle w:val="163"/>
              <w:jc w:val="center"/>
              <w:rPr>
                <w:rFonts w:hint="default" w:ascii="Times New Roman" w:hAnsi="Times New Roman" w:eastAsia="仿宋_GB2312" w:cs="Times New Roman"/>
                <w:color w:val="auto"/>
                <w:kern w:val="0"/>
                <w:sz w:val="21"/>
                <w:szCs w:val="21"/>
                <w:lang w:val="en-US" w:eastAsia="zh-CN" w:bidi="ar"/>
              </w:rPr>
            </w:pPr>
            <w:r>
              <w:rPr>
                <w:rFonts w:hint="eastAsia" w:ascii="Times New Roman"/>
                <w:color w:val="auto"/>
                <w:kern w:val="0"/>
                <w:szCs w:val="21"/>
                <w:lang w:val="en-US" w:eastAsia="zh-CN" w:bidi="ar"/>
              </w:rPr>
              <w:t>162</w:t>
            </w:r>
          </w:p>
        </w:tc>
        <w:tc>
          <w:tcPr>
            <w:tcW w:w="226" w:type="pct"/>
            <w:tcBorders>
              <w:tl2br w:val="nil"/>
              <w:tr2bl w:val="nil"/>
            </w:tcBorders>
            <w:shd w:val="clear" w:color="auto" w:fill="auto"/>
            <w:vAlign w:val="center"/>
          </w:tcPr>
          <w:p w14:paraId="4AB7E4F1">
            <w:pPr>
              <w:pStyle w:val="163"/>
              <w:jc w:val="center"/>
              <w:rPr>
                <w:rFonts w:hint="default" w:ascii="Times New Roman" w:hAnsi="Times New Roman" w:eastAsia="仿宋_GB2312" w:cs="Times New Roman"/>
                <w:color w:val="auto"/>
                <w:kern w:val="0"/>
                <w:sz w:val="21"/>
                <w:szCs w:val="21"/>
                <w:lang w:val="en-US" w:eastAsia="zh-CN" w:bidi="ar"/>
              </w:rPr>
            </w:pPr>
            <w:r>
              <w:rPr>
                <w:rFonts w:hint="eastAsia" w:ascii="Times New Roman"/>
                <w:color w:val="auto"/>
                <w:kern w:val="0"/>
                <w:szCs w:val="21"/>
                <w:lang w:val="en-US" w:eastAsia="zh-CN" w:bidi="ar"/>
              </w:rPr>
              <w:t>41</w:t>
            </w:r>
          </w:p>
        </w:tc>
        <w:tc>
          <w:tcPr>
            <w:tcW w:w="221" w:type="pct"/>
            <w:tcBorders>
              <w:tl2br w:val="nil"/>
              <w:tr2bl w:val="nil"/>
            </w:tcBorders>
            <w:shd w:val="clear" w:color="auto" w:fill="auto"/>
            <w:vAlign w:val="center"/>
          </w:tcPr>
          <w:p w14:paraId="6A0C7F9D">
            <w:pPr>
              <w:pStyle w:val="163"/>
              <w:jc w:val="center"/>
              <w:rPr>
                <w:rFonts w:hint="default" w:ascii="Times New Roman" w:hAnsi="Times New Roman" w:eastAsia="仿宋_GB2312" w:cs="Times New Roman"/>
                <w:color w:val="auto"/>
                <w:kern w:val="0"/>
                <w:sz w:val="21"/>
                <w:szCs w:val="21"/>
                <w:lang w:val="en-US" w:eastAsia="zh-CN" w:bidi="ar"/>
              </w:rPr>
            </w:pPr>
            <w:r>
              <w:rPr>
                <w:rFonts w:hint="eastAsia" w:ascii="Times New Roman"/>
                <w:color w:val="auto"/>
                <w:kern w:val="0"/>
                <w:szCs w:val="21"/>
                <w:lang w:val="en-US" w:eastAsia="zh-CN" w:bidi="ar"/>
              </w:rPr>
              <w:t>0.5</w:t>
            </w:r>
          </w:p>
        </w:tc>
        <w:tc>
          <w:tcPr>
            <w:tcW w:w="271" w:type="pct"/>
            <w:tcBorders>
              <w:tl2br w:val="nil"/>
              <w:tr2bl w:val="nil"/>
            </w:tcBorders>
            <w:shd w:val="clear" w:color="auto" w:fill="auto"/>
            <w:vAlign w:val="center"/>
          </w:tcPr>
          <w:p w14:paraId="0D786AB9">
            <w:pPr>
              <w:pStyle w:val="81"/>
              <w:spacing w:beforeAutospacing="0" w:afterAutospacing="0" w:line="320" w:lineRule="exact"/>
              <w:jc w:val="center"/>
              <w:rPr>
                <w:rFonts w:eastAsia="仿宋_GB2312"/>
                <w:color w:val="FF0000"/>
                <w:sz w:val="21"/>
                <w:szCs w:val="21"/>
                <w:lang w:bidi="ar"/>
              </w:rPr>
            </w:pPr>
            <w:r>
              <w:rPr>
                <w:rFonts w:hint="eastAsia" w:ascii="Times New Roman"/>
                <w:color w:val="auto"/>
                <w:kern w:val="0"/>
                <w:szCs w:val="21"/>
                <w:lang w:val="en-US" w:eastAsia="zh-CN" w:bidi="ar"/>
              </w:rPr>
              <w:t>80</w:t>
            </w:r>
          </w:p>
        </w:tc>
        <w:tc>
          <w:tcPr>
            <w:tcW w:w="297" w:type="pct"/>
            <w:vMerge w:val="continue"/>
            <w:tcBorders>
              <w:tl2br w:val="nil"/>
              <w:tr2bl w:val="nil"/>
            </w:tcBorders>
            <w:shd w:val="clear" w:color="auto" w:fill="auto"/>
            <w:vAlign w:val="center"/>
          </w:tcPr>
          <w:p w14:paraId="4BC34E28">
            <w:pPr>
              <w:pStyle w:val="81"/>
              <w:spacing w:beforeAutospacing="0" w:afterAutospacing="0" w:line="320" w:lineRule="exact"/>
              <w:jc w:val="center"/>
              <w:rPr>
                <w:rFonts w:eastAsia="仿宋_GB2312"/>
                <w:color w:val="FF0000"/>
                <w:sz w:val="21"/>
                <w:szCs w:val="21"/>
                <w:lang w:bidi="ar"/>
              </w:rPr>
            </w:pPr>
          </w:p>
        </w:tc>
        <w:tc>
          <w:tcPr>
            <w:tcW w:w="281" w:type="pct"/>
            <w:tcBorders>
              <w:tl2br w:val="nil"/>
              <w:tr2bl w:val="nil"/>
            </w:tcBorders>
            <w:shd w:val="clear" w:color="auto" w:fill="auto"/>
            <w:vAlign w:val="center"/>
          </w:tcPr>
          <w:p w14:paraId="35B74740">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rPr>
              <w:t>5</w:t>
            </w:r>
          </w:p>
        </w:tc>
        <w:tc>
          <w:tcPr>
            <w:tcW w:w="292" w:type="pct"/>
            <w:tcBorders>
              <w:tl2br w:val="nil"/>
              <w:tr2bl w:val="nil"/>
            </w:tcBorders>
            <w:shd w:val="clear" w:color="auto" w:fill="auto"/>
            <w:vAlign w:val="center"/>
          </w:tcPr>
          <w:p w14:paraId="796EB6B0">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6</w:t>
            </w:r>
            <w:r>
              <w:rPr>
                <w:rFonts w:hint="eastAsia" w:eastAsia="仿宋_GB2312"/>
                <w:color w:val="auto"/>
                <w:sz w:val="21"/>
                <w:szCs w:val="21"/>
                <w:lang w:bidi="ar"/>
              </w:rPr>
              <w:t>6</w:t>
            </w:r>
          </w:p>
        </w:tc>
        <w:tc>
          <w:tcPr>
            <w:tcW w:w="281" w:type="pct"/>
            <w:tcBorders>
              <w:tl2br w:val="nil"/>
              <w:tr2bl w:val="nil"/>
            </w:tcBorders>
            <w:shd w:val="clear" w:color="auto" w:fill="auto"/>
            <w:vAlign w:val="center"/>
          </w:tcPr>
          <w:p w14:paraId="025C6080">
            <w:pPr>
              <w:pStyle w:val="81"/>
              <w:spacing w:beforeAutospacing="0" w:afterAutospacing="0" w:line="320" w:lineRule="exact"/>
              <w:ind w:left="0" w:leftChars="0" w:right="0" w:rightChars="0"/>
              <w:jc w:val="center"/>
              <w:rPr>
                <w:rFonts w:ascii="Times New Roman" w:hAnsi="Times New Roman" w:eastAsia="仿宋_GB2312" w:cs="Times New Roman"/>
                <w:b/>
                <w:bCs/>
                <w:color w:val="auto"/>
                <w:kern w:val="0"/>
                <w:sz w:val="21"/>
                <w:szCs w:val="21"/>
                <w:lang w:val="en-US" w:eastAsia="zh-CN" w:bidi="ar"/>
              </w:rPr>
            </w:pPr>
            <w:r>
              <w:rPr>
                <w:rFonts w:eastAsia="仿宋_GB2312"/>
                <w:color w:val="auto"/>
                <w:sz w:val="21"/>
                <w:szCs w:val="21"/>
                <w:lang w:bidi="ar"/>
              </w:rPr>
              <w:t>全天</w:t>
            </w:r>
          </w:p>
        </w:tc>
        <w:tc>
          <w:tcPr>
            <w:tcW w:w="323" w:type="pct"/>
            <w:tcBorders>
              <w:tl2br w:val="nil"/>
              <w:tr2bl w:val="nil"/>
            </w:tcBorders>
            <w:shd w:val="clear" w:color="auto" w:fill="auto"/>
            <w:vAlign w:val="center"/>
          </w:tcPr>
          <w:p w14:paraId="0F55E225">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20</w:t>
            </w:r>
          </w:p>
        </w:tc>
        <w:tc>
          <w:tcPr>
            <w:tcW w:w="273" w:type="pct"/>
            <w:tcBorders>
              <w:tl2br w:val="nil"/>
              <w:tr2bl w:val="nil"/>
            </w:tcBorders>
            <w:shd w:val="clear" w:color="auto" w:fill="auto"/>
            <w:vAlign w:val="center"/>
          </w:tcPr>
          <w:p w14:paraId="392CBB92">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46</w:t>
            </w:r>
          </w:p>
        </w:tc>
        <w:tc>
          <w:tcPr>
            <w:tcW w:w="298" w:type="pct"/>
            <w:tcBorders>
              <w:tl2br w:val="nil"/>
              <w:tr2bl w:val="nil"/>
            </w:tcBorders>
            <w:shd w:val="clear" w:color="auto" w:fill="auto"/>
            <w:vAlign w:val="center"/>
          </w:tcPr>
          <w:p w14:paraId="3CE4193D">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1</w:t>
            </w:r>
          </w:p>
        </w:tc>
        <w:tc>
          <w:tcPr>
            <w:tcW w:w="346" w:type="pct"/>
            <w:tcBorders>
              <w:tl2br w:val="nil"/>
              <w:tr2bl w:val="nil"/>
            </w:tcBorders>
            <w:shd w:val="clear" w:color="auto" w:fill="auto"/>
            <w:vAlign w:val="center"/>
          </w:tcPr>
          <w:p w14:paraId="2C9FCCBE">
            <w:pPr>
              <w:pStyle w:val="81"/>
              <w:spacing w:beforeAutospacing="0" w:afterAutospacing="0" w:line="320" w:lineRule="exact"/>
              <w:jc w:val="center"/>
              <w:rPr>
                <w:rFonts w:eastAsia="仿宋_GB2312"/>
                <w:color w:val="FF0000"/>
                <w:sz w:val="21"/>
                <w:szCs w:val="21"/>
                <w:lang w:bidi="ar"/>
              </w:rPr>
            </w:pPr>
            <w:r>
              <w:rPr>
                <w:rFonts w:hint="eastAsia" w:eastAsia="仿宋_GB2312" w:hAnsiTheme="minorHAnsi"/>
                <w:color w:val="auto"/>
                <w:sz w:val="21"/>
                <w:szCs w:val="21"/>
                <w:lang w:val="en-US" w:eastAsia="zh-CN" w:bidi="ar"/>
              </w:rPr>
              <w:t>依托现有</w:t>
            </w:r>
          </w:p>
        </w:tc>
      </w:tr>
      <w:tr w14:paraId="0A83CA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192" w:type="pct"/>
            <w:tcBorders>
              <w:tl2br w:val="nil"/>
              <w:tr2bl w:val="nil"/>
            </w:tcBorders>
            <w:shd w:val="clear" w:color="auto" w:fill="auto"/>
            <w:vAlign w:val="center"/>
          </w:tcPr>
          <w:p w14:paraId="7558AD7C">
            <w:pPr>
              <w:pStyle w:val="81"/>
              <w:spacing w:beforeAutospacing="0" w:afterAutospacing="0" w:line="320" w:lineRule="exact"/>
              <w:jc w:val="center"/>
              <w:rPr>
                <w:rFonts w:hint="eastAsia" w:eastAsia="仿宋_GB2312"/>
                <w:color w:val="auto"/>
                <w:sz w:val="21"/>
                <w:szCs w:val="21"/>
                <w:lang w:val="en-US" w:eastAsia="zh-CN" w:bidi="ar"/>
              </w:rPr>
            </w:pPr>
            <w:r>
              <w:rPr>
                <w:rFonts w:hint="eastAsia" w:eastAsia="仿宋_GB2312"/>
                <w:color w:val="auto"/>
                <w:sz w:val="21"/>
                <w:szCs w:val="21"/>
                <w:lang w:val="en-US" w:eastAsia="zh-CN" w:bidi="ar"/>
              </w:rPr>
              <w:t>6</w:t>
            </w:r>
          </w:p>
        </w:tc>
        <w:tc>
          <w:tcPr>
            <w:tcW w:w="308" w:type="pct"/>
            <w:vMerge w:val="continue"/>
            <w:tcBorders>
              <w:tl2br w:val="nil"/>
              <w:tr2bl w:val="nil"/>
            </w:tcBorders>
            <w:shd w:val="clear" w:color="auto" w:fill="auto"/>
            <w:vAlign w:val="center"/>
          </w:tcPr>
          <w:p w14:paraId="609DEE86">
            <w:pPr>
              <w:widowControl/>
              <w:jc w:val="center"/>
              <w:textAlignment w:val="center"/>
              <w:rPr>
                <w:rFonts w:hint="eastAsia" w:eastAsia="仿宋_GB2312"/>
                <w:color w:val="auto"/>
                <w:kern w:val="0"/>
                <w:szCs w:val="21"/>
                <w:lang w:val="en-US" w:eastAsia="zh-CN" w:bidi="ar"/>
              </w:rPr>
            </w:pPr>
          </w:p>
        </w:tc>
        <w:tc>
          <w:tcPr>
            <w:tcW w:w="422" w:type="pct"/>
            <w:vMerge w:val="continue"/>
            <w:tcBorders>
              <w:tl2br w:val="nil"/>
              <w:tr2bl w:val="nil"/>
            </w:tcBorders>
            <w:shd w:val="clear" w:color="auto" w:fill="auto"/>
            <w:vAlign w:val="center"/>
          </w:tcPr>
          <w:p w14:paraId="6BA6E45D">
            <w:pPr>
              <w:bidi w:val="0"/>
              <w:jc w:val="center"/>
              <w:rPr>
                <w:rFonts w:hint="default" w:ascii="Times New Roman" w:hAnsi="Times New Roman" w:eastAsia="方正仿宋_GB2312" w:cs="Times New Roman"/>
                <w:color w:val="auto"/>
                <w:sz w:val="21"/>
                <w:szCs w:val="21"/>
                <w:lang w:val="en-US" w:eastAsia="zh-CN"/>
              </w:rPr>
            </w:pPr>
          </w:p>
        </w:tc>
        <w:tc>
          <w:tcPr>
            <w:tcW w:w="453" w:type="pct"/>
            <w:vMerge w:val="continue"/>
            <w:tcBorders>
              <w:tl2br w:val="nil"/>
              <w:tr2bl w:val="nil"/>
            </w:tcBorders>
            <w:shd w:val="clear" w:color="auto" w:fill="auto"/>
            <w:vAlign w:val="center"/>
          </w:tcPr>
          <w:p w14:paraId="7CE85235">
            <w:pPr>
              <w:bidi w:val="0"/>
              <w:jc w:val="center"/>
              <w:rPr>
                <w:rFonts w:hint="default" w:ascii="Times New Roman" w:hAnsi="Times New Roman" w:eastAsia="方正仿宋_GB2312" w:cs="Times New Roman"/>
                <w:color w:val="auto"/>
                <w:sz w:val="21"/>
                <w:szCs w:val="21"/>
                <w:lang w:val="en-US" w:eastAsia="zh-CN"/>
              </w:rPr>
            </w:pPr>
          </w:p>
        </w:tc>
        <w:tc>
          <w:tcPr>
            <w:tcW w:w="263" w:type="pct"/>
            <w:tcBorders>
              <w:tl2br w:val="nil"/>
              <w:tr2bl w:val="nil"/>
            </w:tcBorders>
            <w:shd w:val="clear" w:color="auto" w:fill="auto"/>
            <w:vAlign w:val="center"/>
          </w:tcPr>
          <w:p w14:paraId="48217591">
            <w:pPr>
              <w:widowControl/>
              <w:jc w:val="center"/>
              <w:textAlignment w:val="center"/>
              <w:rPr>
                <w:rFonts w:hint="eastAsia" w:eastAsia="仿宋_GB2312"/>
                <w:color w:val="auto"/>
                <w:kern w:val="0"/>
                <w:szCs w:val="21"/>
                <w:lang w:val="en-US" w:eastAsia="zh-CN" w:bidi="ar"/>
              </w:rPr>
            </w:pPr>
            <w:r>
              <w:rPr>
                <w:rFonts w:hint="eastAsia" w:eastAsia="仿宋_GB2312"/>
                <w:color w:val="auto"/>
                <w:kern w:val="0"/>
                <w:szCs w:val="21"/>
                <w:lang w:val="en-US" w:eastAsia="zh-CN" w:bidi="ar"/>
              </w:rPr>
              <w:t>1</w:t>
            </w:r>
          </w:p>
        </w:tc>
        <w:tc>
          <w:tcPr>
            <w:tcW w:w="244" w:type="pct"/>
            <w:tcBorders>
              <w:tl2br w:val="nil"/>
              <w:tr2bl w:val="nil"/>
            </w:tcBorders>
            <w:shd w:val="clear" w:color="auto" w:fill="auto"/>
            <w:vAlign w:val="center"/>
          </w:tcPr>
          <w:p w14:paraId="0AF738B3">
            <w:pPr>
              <w:pStyle w:val="163"/>
              <w:jc w:val="center"/>
              <w:rPr>
                <w:rFonts w:hint="default" w:ascii="Times New Roman" w:hAnsi="Times New Roman" w:eastAsia="仿宋_GB2312" w:cs="Times New Roman"/>
                <w:color w:val="auto"/>
                <w:kern w:val="0"/>
                <w:sz w:val="21"/>
                <w:szCs w:val="21"/>
                <w:lang w:val="en-US" w:eastAsia="zh-CN" w:bidi="ar"/>
              </w:rPr>
            </w:pPr>
            <w:r>
              <w:rPr>
                <w:rFonts w:hint="eastAsia" w:ascii="Times New Roman"/>
                <w:color w:val="auto"/>
                <w:kern w:val="0"/>
                <w:szCs w:val="21"/>
                <w:lang w:val="en-US" w:eastAsia="zh-CN" w:bidi="ar"/>
              </w:rPr>
              <w:t>162</w:t>
            </w:r>
          </w:p>
        </w:tc>
        <w:tc>
          <w:tcPr>
            <w:tcW w:w="226" w:type="pct"/>
            <w:tcBorders>
              <w:tl2br w:val="nil"/>
              <w:tr2bl w:val="nil"/>
            </w:tcBorders>
            <w:shd w:val="clear" w:color="auto" w:fill="auto"/>
            <w:vAlign w:val="center"/>
          </w:tcPr>
          <w:p w14:paraId="61C3EB07">
            <w:pPr>
              <w:pStyle w:val="163"/>
              <w:jc w:val="center"/>
              <w:rPr>
                <w:rFonts w:hint="default" w:ascii="Times New Roman" w:hAnsi="Times New Roman" w:eastAsia="仿宋_GB2312" w:cs="Times New Roman"/>
                <w:color w:val="auto"/>
                <w:kern w:val="0"/>
                <w:sz w:val="21"/>
                <w:szCs w:val="21"/>
                <w:lang w:val="en-US" w:eastAsia="zh-CN" w:bidi="ar"/>
              </w:rPr>
            </w:pPr>
            <w:r>
              <w:rPr>
                <w:rFonts w:hint="eastAsia" w:ascii="Times New Roman"/>
                <w:color w:val="auto"/>
                <w:kern w:val="0"/>
                <w:szCs w:val="21"/>
                <w:lang w:val="en-US" w:eastAsia="zh-CN" w:bidi="ar"/>
              </w:rPr>
              <w:t>42</w:t>
            </w:r>
          </w:p>
        </w:tc>
        <w:tc>
          <w:tcPr>
            <w:tcW w:w="221" w:type="pct"/>
            <w:tcBorders>
              <w:tl2br w:val="nil"/>
              <w:tr2bl w:val="nil"/>
            </w:tcBorders>
            <w:shd w:val="clear" w:color="auto" w:fill="auto"/>
            <w:vAlign w:val="center"/>
          </w:tcPr>
          <w:p w14:paraId="170A5182">
            <w:pPr>
              <w:pStyle w:val="163"/>
              <w:jc w:val="center"/>
              <w:rPr>
                <w:rFonts w:hint="default" w:ascii="Times New Roman" w:hAnsi="Times New Roman" w:eastAsia="仿宋_GB2312" w:cs="Times New Roman"/>
                <w:color w:val="auto"/>
                <w:kern w:val="0"/>
                <w:sz w:val="21"/>
                <w:szCs w:val="21"/>
                <w:lang w:val="en-US" w:eastAsia="zh-CN" w:bidi="ar"/>
              </w:rPr>
            </w:pPr>
            <w:r>
              <w:rPr>
                <w:rFonts w:hint="eastAsia" w:ascii="Times New Roman"/>
                <w:color w:val="auto"/>
                <w:kern w:val="0"/>
                <w:szCs w:val="21"/>
                <w:lang w:val="en-US" w:eastAsia="zh-CN" w:bidi="ar"/>
              </w:rPr>
              <w:t>0.5</w:t>
            </w:r>
          </w:p>
        </w:tc>
        <w:tc>
          <w:tcPr>
            <w:tcW w:w="271" w:type="pct"/>
            <w:tcBorders>
              <w:tl2br w:val="nil"/>
              <w:tr2bl w:val="nil"/>
            </w:tcBorders>
            <w:shd w:val="clear" w:color="auto" w:fill="auto"/>
            <w:vAlign w:val="center"/>
          </w:tcPr>
          <w:p w14:paraId="09149A52">
            <w:pPr>
              <w:pStyle w:val="81"/>
              <w:spacing w:beforeAutospacing="0" w:afterAutospacing="0" w:line="320" w:lineRule="exact"/>
              <w:jc w:val="center"/>
              <w:rPr>
                <w:rFonts w:eastAsia="仿宋_GB2312"/>
                <w:color w:val="FF0000"/>
                <w:sz w:val="21"/>
                <w:szCs w:val="21"/>
                <w:lang w:bidi="ar"/>
              </w:rPr>
            </w:pPr>
            <w:r>
              <w:rPr>
                <w:rFonts w:hint="eastAsia" w:ascii="Times New Roman"/>
                <w:color w:val="auto"/>
                <w:kern w:val="0"/>
                <w:szCs w:val="21"/>
                <w:lang w:val="en-US" w:eastAsia="zh-CN" w:bidi="ar"/>
              </w:rPr>
              <w:t>80</w:t>
            </w:r>
          </w:p>
        </w:tc>
        <w:tc>
          <w:tcPr>
            <w:tcW w:w="297" w:type="pct"/>
            <w:vMerge w:val="continue"/>
            <w:tcBorders>
              <w:tl2br w:val="nil"/>
              <w:tr2bl w:val="nil"/>
            </w:tcBorders>
            <w:shd w:val="clear" w:color="auto" w:fill="auto"/>
            <w:vAlign w:val="center"/>
          </w:tcPr>
          <w:p w14:paraId="6C581E24">
            <w:pPr>
              <w:pStyle w:val="81"/>
              <w:spacing w:beforeAutospacing="0" w:afterAutospacing="0" w:line="320" w:lineRule="exact"/>
              <w:jc w:val="center"/>
              <w:rPr>
                <w:rFonts w:eastAsia="仿宋_GB2312"/>
                <w:color w:val="FF0000"/>
                <w:sz w:val="21"/>
                <w:szCs w:val="21"/>
                <w:lang w:bidi="ar"/>
              </w:rPr>
            </w:pPr>
          </w:p>
        </w:tc>
        <w:tc>
          <w:tcPr>
            <w:tcW w:w="281" w:type="pct"/>
            <w:tcBorders>
              <w:tl2br w:val="nil"/>
              <w:tr2bl w:val="nil"/>
            </w:tcBorders>
            <w:shd w:val="clear" w:color="auto" w:fill="auto"/>
            <w:vAlign w:val="center"/>
          </w:tcPr>
          <w:p w14:paraId="0D619FCD">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rPr>
              <w:t>5</w:t>
            </w:r>
          </w:p>
        </w:tc>
        <w:tc>
          <w:tcPr>
            <w:tcW w:w="292" w:type="pct"/>
            <w:tcBorders>
              <w:tl2br w:val="nil"/>
              <w:tr2bl w:val="nil"/>
            </w:tcBorders>
            <w:shd w:val="clear" w:color="auto" w:fill="auto"/>
            <w:vAlign w:val="center"/>
          </w:tcPr>
          <w:p w14:paraId="6A0AE23B">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6</w:t>
            </w:r>
            <w:r>
              <w:rPr>
                <w:rFonts w:hint="eastAsia" w:eastAsia="仿宋_GB2312"/>
                <w:color w:val="auto"/>
                <w:sz w:val="21"/>
                <w:szCs w:val="21"/>
                <w:lang w:bidi="ar"/>
              </w:rPr>
              <w:t>6</w:t>
            </w:r>
          </w:p>
        </w:tc>
        <w:tc>
          <w:tcPr>
            <w:tcW w:w="281" w:type="pct"/>
            <w:tcBorders>
              <w:tl2br w:val="nil"/>
              <w:tr2bl w:val="nil"/>
            </w:tcBorders>
            <w:shd w:val="clear" w:color="auto" w:fill="auto"/>
            <w:vAlign w:val="center"/>
          </w:tcPr>
          <w:p w14:paraId="2A1A43D3">
            <w:pPr>
              <w:pStyle w:val="81"/>
              <w:spacing w:beforeAutospacing="0" w:afterAutospacing="0" w:line="320" w:lineRule="exact"/>
              <w:ind w:left="0" w:leftChars="0" w:right="0" w:rightChars="0"/>
              <w:jc w:val="center"/>
              <w:rPr>
                <w:rFonts w:ascii="Times New Roman" w:hAnsi="Times New Roman" w:eastAsia="仿宋_GB2312" w:cs="Times New Roman"/>
                <w:b/>
                <w:bCs/>
                <w:color w:val="auto"/>
                <w:kern w:val="0"/>
                <w:sz w:val="21"/>
                <w:szCs w:val="21"/>
                <w:lang w:val="en-US" w:eastAsia="zh-CN" w:bidi="ar"/>
              </w:rPr>
            </w:pPr>
            <w:r>
              <w:rPr>
                <w:rFonts w:eastAsia="仿宋_GB2312"/>
                <w:color w:val="auto"/>
                <w:sz w:val="21"/>
                <w:szCs w:val="21"/>
                <w:lang w:bidi="ar"/>
              </w:rPr>
              <w:t>全天</w:t>
            </w:r>
          </w:p>
        </w:tc>
        <w:tc>
          <w:tcPr>
            <w:tcW w:w="323" w:type="pct"/>
            <w:tcBorders>
              <w:tl2br w:val="nil"/>
              <w:tr2bl w:val="nil"/>
            </w:tcBorders>
            <w:shd w:val="clear" w:color="auto" w:fill="auto"/>
            <w:vAlign w:val="center"/>
          </w:tcPr>
          <w:p w14:paraId="55F31E87">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20</w:t>
            </w:r>
          </w:p>
        </w:tc>
        <w:tc>
          <w:tcPr>
            <w:tcW w:w="273" w:type="pct"/>
            <w:tcBorders>
              <w:tl2br w:val="nil"/>
              <w:tr2bl w:val="nil"/>
            </w:tcBorders>
            <w:shd w:val="clear" w:color="auto" w:fill="auto"/>
            <w:vAlign w:val="center"/>
          </w:tcPr>
          <w:p w14:paraId="2282FD26">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46</w:t>
            </w:r>
          </w:p>
        </w:tc>
        <w:tc>
          <w:tcPr>
            <w:tcW w:w="298" w:type="pct"/>
            <w:tcBorders>
              <w:tl2br w:val="nil"/>
              <w:tr2bl w:val="nil"/>
            </w:tcBorders>
            <w:shd w:val="clear" w:color="auto" w:fill="auto"/>
            <w:vAlign w:val="center"/>
          </w:tcPr>
          <w:p w14:paraId="14E809D9">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1</w:t>
            </w:r>
          </w:p>
        </w:tc>
        <w:tc>
          <w:tcPr>
            <w:tcW w:w="346" w:type="pct"/>
            <w:tcBorders>
              <w:tl2br w:val="nil"/>
              <w:tr2bl w:val="nil"/>
            </w:tcBorders>
            <w:shd w:val="clear" w:color="auto" w:fill="auto"/>
            <w:vAlign w:val="center"/>
          </w:tcPr>
          <w:p w14:paraId="626F0D98">
            <w:pPr>
              <w:pStyle w:val="81"/>
              <w:spacing w:beforeAutospacing="0" w:afterAutospacing="0" w:line="320" w:lineRule="exact"/>
              <w:jc w:val="center"/>
              <w:rPr>
                <w:rFonts w:eastAsia="仿宋_GB2312"/>
                <w:color w:val="FF0000"/>
                <w:sz w:val="21"/>
                <w:szCs w:val="21"/>
                <w:lang w:bidi="ar"/>
              </w:rPr>
            </w:pPr>
            <w:r>
              <w:rPr>
                <w:rFonts w:hint="eastAsia" w:eastAsia="仿宋_GB2312" w:hAnsiTheme="minorHAnsi"/>
                <w:color w:val="auto"/>
                <w:sz w:val="21"/>
                <w:szCs w:val="21"/>
                <w:lang w:val="en-US" w:eastAsia="zh-CN" w:bidi="ar"/>
              </w:rPr>
              <w:t>依托现有</w:t>
            </w:r>
          </w:p>
        </w:tc>
      </w:tr>
      <w:tr w14:paraId="1CF4F8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192" w:type="pct"/>
            <w:tcBorders>
              <w:tl2br w:val="nil"/>
              <w:tr2bl w:val="nil"/>
            </w:tcBorders>
            <w:shd w:val="clear" w:color="auto" w:fill="auto"/>
            <w:vAlign w:val="center"/>
          </w:tcPr>
          <w:p w14:paraId="6BAF4724">
            <w:pPr>
              <w:pStyle w:val="81"/>
              <w:spacing w:beforeAutospacing="0" w:afterAutospacing="0" w:line="320" w:lineRule="exact"/>
              <w:jc w:val="center"/>
              <w:rPr>
                <w:rFonts w:hint="eastAsia" w:eastAsia="仿宋_GB2312"/>
                <w:color w:val="auto"/>
                <w:sz w:val="21"/>
                <w:szCs w:val="21"/>
                <w:lang w:val="en-US" w:eastAsia="zh-CN" w:bidi="ar"/>
              </w:rPr>
            </w:pPr>
            <w:r>
              <w:rPr>
                <w:rFonts w:hint="eastAsia" w:eastAsia="仿宋_GB2312"/>
                <w:color w:val="auto"/>
                <w:sz w:val="21"/>
                <w:szCs w:val="21"/>
                <w:lang w:val="en-US" w:eastAsia="zh-CN" w:bidi="ar"/>
              </w:rPr>
              <w:t>7</w:t>
            </w:r>
          </w:p>
        </w:tc>
        <w:tc>
          <w:tcPr>
            <w:tcW w:w="308" w:type="pct"/>
            <w:vMerge w:val="continue"/>
            <w:tcBorders>
              <w:tl2br w:val="nil"/>
              <w:tr2bl w:val="nil"/>
            </w:tcBorders>
            <w:shd w:val="clear" w:color="auto" w:fill="auto"/>
            <w:vAlign w:val="center"/>
          </w:tcPr>
          <w:p w14:paraId="47AAE0D3">
            <w:pPr>
              <w:widowControl/>
              <w:jc w:val="center"/>
              <w:textAlignment w:val="center"/>
              <w:rPr>
                <w:rFonts w:hint="eastAsia" w:eastAsia="仿宋_GB2312"/>
                <w:color w:val="auto"/>
                <w:kern w:val="0"/>
                <w:szCs w:val="21"/>
                <w:lang w:val="en-US" w:eastAsia="zh-CN" w:bidi="ar"/>
              </w:rPr>
            </w:pPr>
          </w:p>
        </w:tc>
        <w:tc>
          <w:tcPr>
            <w:tcW w:w="422" w:type="pct"/>
            <w:vMerge w:val="continue"/>
            <w:tcBorders>
              <w:tl2br w:val="nil"/>
              <w:tr2bl w:val="nil"/>
            </w:tcBorders>
            <w:shd w:val="clear" w:color="auto" w:fill="auto"/>
            <w:vAlign w:val="center"/>
          </w:tcPr>
          <w:p w14:paraId="2C3B467B">
            <w:pPr>
              <w:bidi w:val="0"/>
              <w:jc w:val="center"/>
              <w:rPr>
                <w:rFonts w:hint="default" w:ascii="Times New Roman" w:hAnsi="Times New Roman" w:eastAsia="方正仿宋_GB2312" w:cs="Times New Roman"/>
                <w:color w:val="auto"/>
                <w:sz w:val="21"/>
                <w:szCs w:val="21"/>
                <w:lang w:val="en-US" w:eastAsia="zh-CN"/>
              </w:rPr>
            </w:pPr>
          </w:p>
        </w:tc>
        <w:tc>
          <w:tcPr>
            <w:tcW w:w="453" w:type="pct"/>
            <w:vMerge w:val="continue"/>
            <w:tcBorders>
              <w:tl2br w:val="nil"/>
              <w:tr2bl w:val="nil"/>
            </w:tcBorders>
            <w:shd w:val="clear" w:color="auto" w:fill="auto"/>
            <w:vAlign w:val="center"/>
          </w:tcPr>
          <w:p w14:paraId="64EDF951">
            <w:pPr>
              <w:bidi w:val="0"/>
              <w:jc w:val="center"/>
              <w:rPr>
                <w:rFonts w:hint="default" w:ascii="Times New Roman" w:hAnsi="Times New Roman" w:eastAsia="方正仿宋_GB2312" w:cs="Times New Roman"/>
                <w:color w:val="auto"/>
                <w:sz w:val="21"/>
                <w:szCs w:val="21"/>
                <w:lang w:val="en-US" w:eastAsia="zh-CN"/>
              </w:rPr>
            </w:pPr>
          </w:p>
        </w:tc>
        <w:tc>
          <w:tcPr>
            <w:tcW w:w="263" w:type="pct"/>
            <w:tcBorders>
              <w:tl2br w:val="nil"/>
              <w:tr2bl w:val="nil"/>
            </w:tcBorders>
            <w:shd w:val="clear" w:color="auto" w:fill="auto"/>
            <w:vAlign w:val="center"/>
          </w:tcPr>
          <w:p w14:paraId="1E7F4E0A">
            <w:pPr>
              <w:widowControl/>
              <w:jc w:val="center"/>
              <w:textAlignment w:val="center"/>
              <w:rPr>
                <w:rFonts w:hint="eastAsia" w:eastAsia="仿宋_GB2312"/>
                <w:color w:val="auto"/>
                <w:kern w:val="0"/>
                <w:szCs w:val="21"/>
                <w:lang w:val="en-US" w:eastAsia="zh-CN" w:bidi="ar"/>
              </w:rPr>
            </w:pPr>
            <w:r>
              <w:rPr>
                <w:rFonts w:hint="eastAsia" w:eastAsia="仿宋_GB2312"/>
                <w:color w:val="auto"/>
                <w:kern w:val="0"/>
                <w:szCs w:val="21"/>
                <w:lang w:val="en-US" w:eastAsia="zh-CN" w:bidi="ar"/>
              </w:rPr>
              <w:t>1</w:t>
            </w:r>
          </w:p>
        </w:tc>
        <w:tc>
          <w:tcPr>
            <w:tcW w:w="244" w:type="pct"/>
            <w:tcBorders>
              <w:tl2br w:val="nil"/>
              <w:tr2bl w:val="nil"/>
            </w:tcBorders>
            <w:shd w:val="clear" w:color="auto" w:fill="auto"/>
            <w:vAlign w:val="center"/>
          </w:tcPr>
          <w:p w14:paraId="7806F091">
            <w:pPr>
              <w:pStyle w:val="163"/>
              <w:jc w:val="center"/>
              <w:rPr>
                <w:rFonts w:hint="default" w:ascii="Times New Roman" w:hAnsi="Times New Roman" w:eastAsia="仿宋_GB2312" w:cs="Times New Roman"/>
                <w:color w:val="auto"/>
                <w:kern w:val="0"/>
                <w:sz w:val="21"/>
                <w:szCs w:val="21"/>
                <w:lang w:val="en-US" w:eastAsia="zh-CN" w:bidi="ar"/>
              </w:rPr>
            </w:pPr>
            <w:r>
              <w:rPr>
                <w:rFonts w:hint="eastAsia" w:ascii="Times New Roman"/>
                <w:color w:val="auto"/>
                <w:kern w:val="0"/>
                <w:szCs w:val="21"/>
                <w:lang w:val="en-US" w:eastAsia="zh-CN" w:bidi="ar"/>
              </w:rPr>
              <w:t>163</w:t>
            </w:r>
          </w:p>
        </w:tc>
        <w:tc>
          <w:tcPr>
            <w:tcW w:w="226" w:type="pct"/>
            <w:tcBorders>
              <w:tl2br w:val="nil"/>
              <w:tr2bl w:val="nil"/>
            </w:tcBorders>
            <w:shd w:val="clear" w:color="auto" w:fill="auto"/>
            <w:vAlign w:val="center"/>
          </w:tcPr>
          <w:p w14:paraId="750D7F5B">
            <w:pPr>
              <w:pStyle w:val="163"/>
              <w:jc w:val="center"/>
              <w:rPr>
                <w:rFonts w:hint="default" w:ascii="Times New Roman" w:hAnsi="Times New Roman" w:eastAsia="仿宋_GB2312" w:cs="Times New Roman"/>
                <w:color w:val="auto"/>
                <w:kern w:val="0"/>
                <w:sz w:val="21"/>
                <w:szCs w:val="21"/>
                <w:lang w:val="en-US" w:eastAsia="zh-CN" w:bidi="ar"/>
              </w:rPr>
            </w:pPr>
            <w:r>
              <w:rPr>
                <w:rFonts w:hint="eastAsia" w:ascii="Times New Roman"/>
                <w:color w:val="auto"/>
                <w:kern w:val="0"/>
                <w:szCs w:val="21"/>
                <w:lang w:val="en-US" w:eastAsia="zh-CN" w:bidi="ar"/>
              </w:rPr>
              <w:t>43</w:t>
            </w:r>
          </w:p>
        </w:tc>
        <w:tc>
          <w:tcPr>
            <w:tcW w:w="221" w:type="pct"/>
            <w:tcBorders>
              <w:tl2br w:val="nil"/>
              <w:tr2bl w:val="nil"/>
            </w:tcBorders>
            <w:shd w:val="clear" w:color="auto" w:fill="auto"/>
            <w:vAlign w:val="center"/>
          </w:tcPr>
          <w:p w14:paraId="27EB253A">
            <w:pPr>
              <w:pStyle w:val="163"/>
              <w:jc w:val="center"/>
              <w:rPr>
                <w:rFonts w:hint="default" w:ascii="Times New Roman" w:hAnsi="Times New Roman" w:eastAsia="仿宋_GB2312" w:cs="Times New Roman"/>
                <w:color w:val="auto"/>
                <w:kern w:val="0"/>
                <w:sz w:val="21"/>
                <w:szCs w:val="21"/>
                <w:lang w:val="en-US" w:eastAsia="zh-CN" w:bidi="ar"/>
              </w:rPr>
            </w:pPr>
            <w:r>
              <w:rPr>
                <w:rFonts w:hint="eastAsia" w:ascii="Times New Roman"/>
                <w:color w:val="auto"/>
                <w:kern w:val="0"/>
                <w:szCs w:val="21"/>
                <w:lang w:val="en-US" w:eastAsia="zh-CN" w:bidi="ar"/>
              </w:rPr>
              <w:t>0.5</w:t>
            </w:r>
          </w:p>
        </w:tc>
        <w:tc>
          <w:tcPr>
            <w:tcW w:w="271" w:type="pct"/>
            <w:tcBorders>
              <w:tl2br w:val="nil"/>
              <w:tr2bl w:val="nil"/>
            </w:tcBorders>
            <w:shd w:val="clear" w:color="auto" w:fill="auto"/>
            <w:vAlign w:val="center"/>
          </w:tcPr>
          <w:p w14:paraId="29F49853">
            <w:pPr>
              <w:pStyle w:val="81"/>
              <w:spacing w:beforeAutospacing="0" w:afterAutospacing="0" w:line="320" w:lineRule="exact"/>
              <w:jc w:val="center"/>
              <w:rPr>
                <w:rFonts w:eastAsia="仿宋_GB2312"/>
                <w:color w:val="FF0000"/>
                <w:sz w:val="21"/>
                <w:szCs w:val="21"/>
                <w:lang w:bidi="ar"/>
              </w:rPr>
            </w:pPr>
            <w:r>
              <w:rPr>
                <w:rFonts w:hint="eastAsia" w:ascii="Times New Roman"/>
                <w:color w:val="auto"/>
                <w:kern w:val="0"/>
                <w:szCs w:val="21"/>
                <w:lang w:val="en-US" w:eastAsia="zh-CN" w:bidi="ar"/>
              </w:rPr>
              <w:t>80</w:t>
            </w:r>
          </w:p>
        </w:tc>
        <w:tc>
          <w:tcPr>
            <w:tcW w:w="297" w:type="pct"/>
            <w:vMerge w:val="continue"/>
            <w:tcBorders>
              <w:tl2br w:val="nil"/>
              <w:tr2bl w:val="nil"/>
            </w:tcBorders>
            <w:shd w:val="clear" w:color="auto" w:fill="auto"/>
            <w:vAlign w:val="center"/>
          </w:tcPr>
          <w:p w14:paraId="19FA06C1">
            <w:pPr>
              <w:pStyle w:val="81"/>
              <w:spacing w:beforeAutospacing="0" w:afterAutospacing="0" w:line="320" w:lineRule="exact"/>
              <w:jc w:val="center"/>
              <w:rPr>
                <w:rFonts w:eastAsia="仿宋_GB2312"/>
                <w:color w:val="FF0000"/>
                <w:sz w:val="21"/>
                <w:szCs w:val="21"/>
                <w:lang w:bidi="ar"/>
              </w:rPr>
            </w:pPr>
          </w:p>
        </w:tc>
        <w:tc>
          <w:tcPr>
            <w:tcW w:w="281" w:type="pct"/>
            <w:tcBorders>
              <w:tl2br w:val="nil"/>
              <w:tr2bl w:val="nil"/>
            </w:tcBorders>
            <w:shd w:val="clear" w:color="auto" w:fill="auto"/>
            <w:vAlign w:val="center"/>
          </w:tcPr>
          <w:p w14:paraId="4DCF4912">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rPr>
              <w:t>5</w:t>
            </w:r>
          </w:p>
        </w:tc>
        <w:tc>
          <w:tcPr>
            <w:tcW w:w="292" w:type="pct"/>
            <w:tcBorders>
              <w:tl2br w:val="nil"/>
              <w:tr2bl w:val="nil"/>
            </w:tcBorders>
            <w:shd w:val="clear" w:color="auto" w:fill="auto"/>
            <w:vAlign w:val="center"/>
          </w:tcPr>
          <w:p w14:paraId="6C613B4A">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6</w:t>
            </w:r>
            <w:r>
              <w:rPr>
                <w:rFonts w:hint="eastAsia" w:eastAsia="仿宋_GB2312"/>
                <w:color w:val="auto"/>
                <w:sz w:val="21"/>
                <w:szCs w:val="21"/>
                <w:lang w:bidi="ar"/>
              </w:rPr>
              <w:t>6</w:t>
            </w:r>
          </w:p>
        </w:tc>
        <w:tc>
          <w:tcPr>
            <w:tcW w:w="281" w:type="pct"/>
            <w:tcBorders>
              <w:tl2br w:val="nil"/>
              <w:tr2bl w:val="nil"/>
            </w:tcBorders>
            <w:shd w:val="clear" w:color="auto" w:fill="auto"/>
            <w:vAlign w:val="center"/>
          </w:tcPr>
          <w:p w14:paraId="30A73FFE">
            <w:pPr>
              <w:pStyle w:val="81"/>
              <w:spacing w:beforeAutospacing="0" w:afterAutospacing="0" w:line="320" w:lineRule="exact"/>
              <w:ind w:left="0" w:leftChars="0" w:right="0" w:rightChars="0"/>
              <w:jc w:val="center"/>
              <w:rPr>
                <w:rFonts w:ascii="Times New Roman" w:hAnsi="Times New Roman" w:eastAsia="仿宋_GB2312" w:cs="Times New Roman"/>
                <w:b/>
                <w:bCs/>
                <w:color w:val="auto"/>
                <w:kern w:val="0"/>
                <w:sz w:val="21"/>
                <w:szCs w:val="21"/>
                <w:lang w:val="en-US" w:eastAsia="zh-CN" w:bidi="ar"/>
              </w:rPr>
            </w:pPr>
            <w:r>
              <w:rPr>
                <w:rFonts w:eastAsia="仿宋_GB2312"/>
                <w:color w:val="auto"/>
                <w:sz w:val="21"/>
                <w:szCs w:val="21"/>
                <w:lang w:bidi="ar"/>
              </w:rPr>
              <w:t>全天</w:t>
            </w:r>
          </w:p>
        </w:tc>
        <w:tc>
          <w:tcPr>
            <w:tcW w:w="323" w:type="pct"/>
            <w:tcBorders>
              <w:tl2br w:val="nil"/>
              <w:tr2bl w:val="nil"/>
            </w:tcBorders>
            <w:shd w:val="clear" w:color="auto" w:fill="auto"/>
            <w:vAlign w:val="center"/>
          </w:tcPr>
          <w:p w14:paraId="094E8D2C">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20</w:t>
            </w:r>
          </w:p>
        </w:tc>
        <w:tc>
          <w:tcPr>
            <w:tcW w:w="273" w:type="pct"/>
            <w:tcBorders>
              <w:tl2br w:val="nil"/>
              <w:tr2bl w:val="nil"/>
            </w:tcBorders>
            <w:shd w:val="clear" w:color="auto" w:fill="auto"/>
            <w:vAlign w:val="center"/>
          </w:tcPr>
          <w:p w14:paraId="2EDBA9F6">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46</w:t>
            </w:r>
          </w:p>
        </w:tc>
        <w:tc>
          <w:tcPr>
            <w:tcW w:w="298" w:type="pct"/>
            <w:tcBorders>
              <w:tl2br w:val="nil"/>
              <w:tr2bl w:val="nil"/>
            </w:tcBorders>
            <w:shd w:val="clear" w:color="auto" w:fill="auto"/>
            <w:vAlign w:val="center"/>
          </w:tcPr>
          <w:p w14:paraId="2C8219F6">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1</w:t>
            </w:r>
          </w:p>
        </w:tc>
        <w:tc>
          <w:tcPr>
            <w:tcW w:w="346" w:type="pct"/>
            <w:tcBorders>
              <w:tl2br w:val="nil"/>
              <w:tr2bl w:val="nil"/>
            </w:tcBorders>
            <w:shd w:val="clear" w:color="auto" w:fill="auto"/>
            <w:vAlign w:val="center"/>
          </w:tcPr>
          <w:p w14:paraId="14905346">
            <w:pPr>
              <w:pStyle w:val="81"/>
              <w:spacing w:beforeAutospacing="0" w:afterAutospacing="0" w:line="320" w:lineRule="exact"/>
              <w:jc w:val="center"/>
              <w:rPr>
                <w:rFonts w:eastAsia="仿宋_GB2312"/>
                <w:color w:val="FF0000"/>
                <w:sz w:val="21"/>
                <w:szCs w:val="21"/>
                <w:lang w:bidi="ar"/>
              </w:rPr>
            </w:pPr>
            <w:r>
              <w:rPr>
                <w:rFonts w:hint="eastAsia" w:eastAsia="仿宋_GB2312" w:hAnsiTheme="minorHAnsi"/>
                <w:color w:val="auto"/>
                <w:sz w:val="21"/>
                <w:szCs w:val="21"/>
                <w:lang w:val="en-US" w:eastAsia="zh-CN" w:bidi="ar"/>
              </w:rPr>
              <w:t>依托现有</w:t>
            </w:r>
          </w:p>
        </w:tc>
      </w:tr>
      <w:tr w14:paraId="7E292F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192" w:type="pct"/>
            <w:tcBorders>
              <w:tl2br w:val="nil"/>
              <w:tr2bl w:val="nil"/>
            </w:tcBorders>
            <w:shd w:val="clear" w:color="auto" w:fill="auto"/>
            <w:vAlign w:val="center"/>
          </w:tcPr>
          <w:p w14:paraId="328BFE22">
            <w:pPr>
              <w:pStyle w:val="81"/>
              <w:spacing w:beforeAutospacing="0" w:afterAutospacing="0" w:line="320" w:lineRule="exact"/>
              <w:jc w:val="center"/>
              <w:rPr>
                <w:rFonts w:hint="eastAsia" w:eastAsia="仿宋_GB2312"/>
                <w:color w:val="auto"/>
                <w:sz w:val="21"/>
                <w:szCs w:val="21"/>
                <w:lang w:val="en-US" w:eastAsia="zh-CN" w:bidi="ar"/>
              </w:rPr>
            </w:pPr>
            <w:r>
              <w:rPr>
                <w:rFonts w:hint="eastAsia" w:eastAsia="仿宋_GB2312"/>
                <w:color w:val="auto"/>
                <w:sz w:val="21"/>
                <w:szCs w:val="21"/>
                <w:lang w:val="en-US" w:eastAsia="zh-CN" w:bidi="ar"/>
              </w:rPr>
              <w:t>8</w:t>
            </w:r>
          </w:p>
        </w:tc>
        <w:tc>
          <w:tcPr>
            <w:tcW w:w="308" w:type="pct"/>
            <w:vMerge w:val="continue"/>
            <w:tcBorders>
              <w:tl2br w:val="nil"/>
              <w:tr2bl w:val="nil"/>
            </w:tcBorders>
            <w:shd w:val="clear" w:color="auto" w:fill="auto"/>
            <w:vAlign w:val="center"/>
          </w:tcPr>
          <w:p w14:paraId="4BE1A63A">
            <w:pPr>
              <w:widowControl/>
              <w:jc w:val="center"/>
              <w:textAlignment w:val="center"/>
              <w:rPr>
                <w:rFonts w:hint="eastAsia" w:eastAsia="仿宋_GB2312"/>
                <w:color w:val="auto"/>
                <w:kern w:val="0"/>
                <w:szCs w:val="21"/>
                <w:lang w:val="en-US" w:eastAsia="zh-CN" w:bidi="ar"/>
              </w:rPr>
            </w:pPr>
          </w:p>
        </w:tc>
        <w:tc>
          <w:tcPr>
            <w:tcW w:w="422" w:type="pct"/>
            <w:vMerge w:val="continue"/>
            <w:tcBorders>
              <w:tl2br w:val="nil"/>
              <w:tr2bl w:val="nil"/>
            </w:tcBorders>
            <w:shd w:val="clear" w:color="auto" w:fill="auto"/>
            <w:vAlign w:val="center"/>
          </w:tcPr>
          <w:p w14:paraId="1CA58B66">
            <w:pPr>
              <w:bidi w:val="0"/>
              <w:jc w:val="center"/>
              <w:rPr>
                <w:rFonts w:hint="default" w:ascii="Times New Roman" w:hAnsi="Times New Roman" w:eastAsia="方正仿宋_GB2312" w:cs="Times New Roman"/>
                <w:color w:val="auto"/>
                <w:sz w:val="21"/>
                <w:szCs w:val="21"/>
                <w:lang w:val="en-US" w:eastAsia="zh-CN"/>
              </w:rPr>
            </w:pPr>
          </w:p>
        </w:tc>
        <w:tc>
          <w:tcPr>
            <w:tcW w:w="453" w:type="pct"/>
            <w:vMerge w:val="continue"/>
            <w:tcBorders>
              <w:tl2br w:val="nil"/>
              <w:tr2bl w:val="nil"/>
            </w:tcBorders>
            <w:shd w:val="clear" w:color="auto" w:fill="auto"/>
            <w:vAlign w:val="center"/>
          </w:tcPr>
          <w:p w14:paraId="2AF59DEB">
            <w:pPr>
              <w:bidi w:val="0"/>
              <w:jc w:val="center"/>
              <w:rPr>
                <w:rFonts w:hint="default" w:ascii="Times New Roman" w:hAnsi="Times New Roman" w:eastAsia="方正仿宋_GB2312" w:cs="Times New Roman"/>
                <w:color w:val="auto"/>
                <w:sz w:val="21"/>
                <w:szCs w:val="21"/>
                <w:lang w:val="en-US" w:eastAsia="zh-CN"/>
              </w:rPr>
            </w:pPr>
          </w:p>
        </w:tc>
        <w:tc>
          <w:tcPr>
            <w:tcW w:w="263" w:type="pct"/>
            <w:tcBorders>
              <w:tl2br w:val="nil"/>
              <w:tr2bl w:val="nil"/>
            </w:tcBorders>
            <w:shd w:val="clear" w:color="auto" w:fill="auto"/>
            <w:vAlign w:val="center"/>
          </w:tcPr>
          <w:p w14:paraId="1BC8C8E2">
            <w:pPr>
              <w:widowControl/>
              <w:jc w:val="center"/>
              <w:textAlignment w:val="center"/>
              <w:rPr>
                <w:rFonts w:hint="eastAsia" w:eastAsia="仿宋_GB2312"/>
                <w:color w:val="auto"/>
                <w:kern w:val="0"/>
                <w:szCs w:val="21"/>
                <w:lang w:val="en-US" w:eastAsia="zh-CN" w:bidi="ar"/>
              </w:rPr>
            </w:pPr>
            <w:r>
              <w:rPr>
                <w:rFonts w:hint="eastAsia" w:eastAsia="仿宋_GB2312"/>
                <w:color w:val="auto"/>
                <w:kern w:val="0"/>
                <w:szCs w:val="21"/>
                <w:lang w:val="en-US" w:eastAsia="zh-CN" w:bidi="ar"/>
              </w:rPr>
              <w:t>1</w:t>
            </w:r>
          </w:p>
        </w:tc>
        <w:tc>
          <w:tcPr>
            <w:tcW w:w="244" w:type="pct"/>
            <w:tcBorders>
              <w:tl2br w:val="nil"/>
              <w:tr2bl w:val="nil"/>
            </w:tcBorders>
            <w:shd w:val="clear" w:color="auto" w:fill="auto"/>
            <w:vAlign w:val="center"/>
          </w:tcPr>
          <w:p w14:paraId="39F38362">
            <w:pPr>
              <w:pStyle w:val="163"/>
              <w:jc w:val="center"/>
              <w:rPr>
                <w:rFonts w:hint="default" w:ascii="Times New Roman" w:hAnsi="Times New Roman" w:eastAsia="仿宋_GB2312" w:cs="Times New Roman"/>
                <w:color w:val="auto"/>
                <w:kern w:val="0"/>
                <w:sz w:val="21"/>
                <w:szCs w:val="21"/>
                <w:lang w:val="en-US" w:eastAsia="zh-CN" w:bidi="ar"/>
              </w:rPr>
            </w:pPr>
            <w:r>
              <w:rPr>
                <w:rFonts w:hint="eastAsia" w:ascii="Times New Roman"/>
                <w:color w:val="auto"/>
                <w:kern w:val="0"/>
                <w:szCs w:val="21"/>
                <w:lang w:val="en-US" w:eastAsia="zh-CN" w:bidi="ar"/>
              </w:rPr>
              <w:t>163</w:t>
            </w:r>
          </w:p>
        </w:tc>
        <w:tc>
          <w:tcPr>
            <w:tcW w:w="226" w:type="pct"/>
            <w:tcBorders>
              <w:tl2br w:val="nil"/>
              <w:tr2bl w:val="nil"/>
            </w:tcBorders>
            <w:shd w:val="clear" w:color="auto" w:fill="auto"/>
            <w:vAlign w:val="center"/>
          </w:tcPr>
          <w:p w14:paraId="6A445A25">
            <w:pPr>
              <w:pStyle w:val="163"/>
              <w:jc w:val="center"/>
              <w:rPr>
                <w:rFonts w:hint="default" w:ascii="Times New Roman" w:hAnsi="Times New Roman" w:eastAsia="仿宋_GB2312" w:cs="Times New Roman"/>
                <w:color w:val="auto"/>
                <w:kern w:val="0"/>
                <w:sz w:val="21"/>
                <w:szCs w:val="21"/>
                <w:lang w:val="en-US" w:eastAsia="zh-CN" w:bidi="ar"/>
              </w:rPr>
            </w:pPr>
            <w:r>
              <w:rPr>
                <w:rFonts w:hint="eastAsia" w:ascii="Times New Roman"/>
                <w:color w:val="auto"/>
                <w:kern w:val="0"/>
                <w:szCs w:val="21"/>
                <w:lang w:val="en-US" w:eastAsia="zh-CN" w:bidi="ar"/>
              </w:rPr>
              <w:t>44</w:t>
            </w:r>
          </w:p>
        </w:tc>
        <w:tc>
          <w:tcPr>
            <w:tcW w:w="221" w:type="pct"/>
            <w:tcBorders>
              <w:tl2br w:val="nil"/>
              <w:tr2bl w:val="nil"/>
            </w:tcBorders>
            <w:shd w:val="clear" w:color="auto" w:fill="auto"/>
            <w:vAlign w:val="center"/>
          </w:tcPr>
          <w:p w14:paraId="14AF53F2">
            <w:pPr>
              <w:pStyle w:val="163"/>
              <w:jc w:val="center"/>
              <w:rPr>
                <w:rFonts w:hint="default" w:ascii="Times New Roman" w:hAnsi="Times New Roman" w:eastAsia="仿宋_GB2312" w:cs="Times New Roman"/>
                <w:color w:val="auto"/>
                <w:kern w:val="0"/>
                <w:sz w:val="21"/>
                <w:szCs w:val="21"/>
                <w:lang w:val="en-US" w:eastAsia="zh-CN" w:bidi="ar"/>
              </w:rPr>
            </w:pPr>
            <w:r>
              <w:rPr>
                <w:rFonts w:hint="eastAsia" w:ascii="Times New Roman"/>
                <w:color w:val="auto"/>
                <w:kern w:val="0"/>
                <w:szCs w:val="21"/>
                <w:lang w:val="en-US" w:eastAsia="zh-CN" w:bidi="ar"/>
              </w:rPr>
              <w:t>0.5</w:t>
            </w:r>
          </w:p>
        </w:tc>
        <w:tc>
          <w:tcPr>
            <w:tcW w:w="271" w:type="pct"/>
            <w:tcBorders>
              <w:tl2br w:val="nil"/>
              <w:tr2bl w:val="nil"/>
            </w:tcBorders>
            <w:shd w:val="clear" w:color="auto" w:fill="auto"/>
            <w:vAlign w:val="center"/>
          </w:tcPr>
          <w:p w14:paraId="409CEE33">
            <w:pPr>
              <w:pStyle w:val="81"/>
              <w:spacing w:beforeAutospacing="0" w:afterAutospacing="0" w:line="320" w:lineRule="exact"/>
              <w:jc w:val="center"/>
              <w:rPr>
                <w:rFonts w:eastAsia="仿宋_GB2312"/>
                <w:color w:val="FF0000"/>
                <w:sz w:val="21"/>
                <w:szCs w:val="21"/>
                <w:lang w:bidi="ar"/>
              </w:rPr>
            </w:pPr>
            <w:r>
              <w:rPr>
                <w:rFonts w:hint="eastAsia" w:ascii="Times New Roman"/>
                <w:color w:val="auto"/>
                <w:kern w:val="0"/>
                <w:szCs w:val="21"/>
                <w:lang w:val="en-US" w:eastAsia="zh-CN" w:bidi="ar"/>
              </w:rPr>
              <w:t>80</w:t>
            </w:r>
          </w:p>
        </w:tc>
        <w:tc>
          <w:tcPr>
            <w:tcW w:w="297" w:type="pct"/>
            <w:vMerge w:val="continue"/>
            <w:tcBorders>
              <w:tl2br w:val="nil"/>
              <w:tr2bl w:val="nil"/>
            </w:tcBorders>
            <w:shd w:val="clear" w:color="auto" w:fill="auto"/>
            <w:vAlign w:val="center"/>
          </w:tcPr>
          <w:p w14:paraId="3D4BC89C">
            <w:pPr>
              <w:pStyle w:val="81"/>
              <w:spacing w:beforeAutospacing="0" w:afterAutospacing="0" w:line="320" w:lineRule="exact"/>
              <w:jc w:val="center"/>
              <w:rPr>
                <w:rFonts w:eastAsia="仿宋_GB2312"/>
                <w:color w:val="FF0000"/>
                <w:sz w:val="21"/>
                <w:szCs w:val="21"/>
                <w:lang w:bidi="ar"/>
              </w:rPr>
            </w:pPr>
          </w:p>
        </w:tc>
        <w:tc>
          <w:tcPr>
            <w:tcW w:w="281" w:type="pct"/>
            <w:tcBorders>
              <w:tl2br w:val="nil"/>
              <w:tr2bl w:val="nil"/>
            </w:tcBorders>
            <w:shd w:val="clear" w:color="auto" w:fill="auto"/>
            <w:vAlign w:val="center"/>
          </w:tcPr>
          <w:p w14:paraId="3A36DA54">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rPr>
              <w:t>5</w:t>
            </w:r>
          </w:p>
        </w:tc>
        <w:tc>
          <w:tcPr>
            <w:tcW w:w="292" w:type="pct"/>
            <w:tcBorders>
              <w:tl2br w:val="nil"/>
              <w:tr2bl w:val="nil"/>
            </w:tcBorders>
            <w:shd w:val="clear" w:color="auto" w:fill="auto"/>
            <w:vAlign w:val="center"/>
          </w:tcPr>
          <w:p w14:paraId="036A7B46">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6</w:t>
            </w:r>
            <w:r>
              <w:rPr>
                <w:rFonts w:hint="eastAsia" w:eastAsia="仿宋_GB2312"/>
                <w:color w:val="auto"/>
                <w:sz w:val="21"/>
                <w:szCs w:val="21"/>
                <w:lang w:bidi="ar"/>
              </w:rPr>
              <w:t>6</w:t>
            </w:r>
          </w:p>
        </w:tc>
        <w:tc>
          <w:tcPr>
            <w:tcW w:w="281" w:type="pct"/>
            <w:tcBorders>
              <w:tl2br w:val="nil"/>
              <w:tr2bl w:val="nil"/>
            </w:tcBorders>
            <w:shd w:val="clear" w:color="auto" w:fill="auto"/>
            <w:vAlign w:val="center"/>
          </w:tcPr>
          <w:p w14:paraId="41AAB847">
            <w:pPr>
              <w:pStyle w:val="81"/>
              <w:spacing w:beforeAutospacing="0" w:afterAutospacing="0" w:line="320" w:lineRule="exact"/>
              <w:ind w:left="0" w:leftChars="0" w:right="0" w:rightChars="0"/>
              <w:jc w:val="center"/>
              <w:rPr>
                <w:rFonts w:ascii="Times New Roman" w:hAnsi="Times New Roman" w:eastAsia="仿宋_GB2312" w:cs="Times New Roman"/>
                <w:b/>
                <w:bCs/>
                <w:color w:val="auto"/>
                <w:kern w:val="0"/>
                <w:sz w:val="21"/>
                <w:szCs w:val="21"/>
                <w:lang w:val="en-US" w:eastAsia="zh-CN" w:bidi="ar"/>
              </w:rPr>
            </w:pPr>
            <w:r>
              <w:rPr>
                <w:rFonts w:eastAsia="仿宋_GB2312"/>
                <w:color w:val="auto"/>
                <w:sz w:val="21"/>
                <w:szCs w:val="21"/>
                <w:lang w:bidi="ar"/>
              </w:rPr>
              <w:t>全天</w:t>
            </w:r>
          </w:p>
        </w:tc>
        <w:tc>
          <w:tcPr>
            <w:tcW w:w="323" w:type="pct"/>
            <w:tcBorders>
              <w:tl2br w:val="nil"/>
              <w:tr2bl w:val="nil"/>
            </w:tcBorders>
            <w:shd w:val="clear" w:color="auto" w:fill="auto"/>
            <w:vAlign w:val="center"/>
          </w:tcPr>
          <w:p w14:paraId="062E75CB">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20</w:t>
            </w:r>
          </w:p>
        </w:tc>
        <w:tc>
          <w:tcPr>
            <w:tcW w:w="273" w:type="pct"/>
            <w:tcBorders>
              <w:tl2br w:val="nil"/>
              <w:tr2bl w:val="nil"/>
            </w:tcBorders>
            <w:shd w:val="clear" w:color="auto" w:fill="auto"/>
            <w:vAlign w:val="center"/>
          </w:tcPr>
          <w:p w14:paraId="53A152F0">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46</w:t>
            </w:r>
          </w:p>
        </w:tc>
        <w:tc>
          <w:tcPr>
            <w:tcW w:w="298" w:type="pct"/>
            <w:tcBorders>
              <w:tl2br w:val="nil"/>
              <w:tr2bl w:val="nil"/>
            </w:tcBorders>
            <w:shd w:val="clear" w:color="auto" w:fill="auto"/>
            <w:vAlign w:val="center"/>
          </w:tcPr>
          <w:p w14:paraId="1B484AE1">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1</w:t>
            </w:r>
          </w:p>
        </w:tc>
        <w:tc>
          <w:tcPr>
            <w:tcW w:w="346" w:type="pct"/>
            <w:tcBorders>
              <w:tl2br w:val="nil"/>
              <w:tr2bl w:val="nil"/>
            </w:tcBorders>
            <w:shd w:val="clear" w:color="auto" w:fill="auto"/>
            <w:vAlign w:val="center"/>
          </w:tcPr>
          <w:p w14:paraId="5EF2382F">
            <w:pPr>
              <w:pStyle w:val="81"/>
              <w:spacing w:beforeAutospacing="0" w:afterAutospacing="0" w:line="320" w:lineRule="exact"/>
              <w:jc w:val="center"/>
              <w:rPr>
                <w:rFonts w:eastAsia="仿宋_GB2312"/>
                <w:color w:val="FF0000"/>
                <w:sz w:val="21"/>
                <w:szCs w:val="21"/>
                <w:lang w:bidi="ar"/>
              </w:rPr>
            </w:pPr>
            <w:r>
              <w:rPr>
                <w:rFonts w:hint="eastAsia" w:eastAsia="仿宋_GB2312" w:hAnsiTheme="minorHAnsi"/>
                <w:color w:val="auto"/>
                <w:sz w:val="21"/>
                <w:szCs w:val="21"/>
                <w:lang w:val="en-US" w:eastAsia="zh-CN" w:bidi="ar"/>
              </w:rPr>
              <w:t>依托现有</w:t>
            </w:r>
          </w:p>
        </w:tc>
      </w:tr>
      <w:tr w14:paraId="5E10BA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192" w:type="pct"/>
            <w:tcBorders>
              <w:tl2br w:val="nil"/>
              <w:tr2bl w:val="nil"/>
            </w:tcBorders>
            <w:shd w:val="clear" w:color="auto" w:fill="auto"/>
            <w:vAlign w:val="center"/>
          </w:tcPr>
          <w:p w14:paraId="24E7264A">
            <w:pPr>
              <w:pStyle w:val="81"/>
              <w:spacing w:beforeAutospacing="0" w:afterAutospacing="0" w:line="320" w:lineRule="exact"/>
              <w:jc w:val="center"/>
              <w:rPr>
                <w:rFonts w:hint="default" w:eastAsia="仿宋_GB2312"/>
                <w:color w:val="auto"/>
                <w:sz w:val="21"/>
                <w:szCs w:val="21"/>
                <w:lang w:val="en-US" w:eastAsia="zh-CN" w:bidi="ar"/>
              </w:rPr>
            </w:pPr>
            <w:r>
              <w:rPr>
                <w:rFonts w:hint="eastAsia" w:eastAsia="仿宋_GB2312"/>
                <w:color w:val="auto"/>
                <w:sz w:val="21"/>
                <w:szCs w:val="21"/>
                <w:lang w:val="en-US" w:eastAsia="zh-CN" w:bidi="ar"/>
              </w:rPr>
              <w:t>9</w:t>
            </w:r>
          </w:p>
        </w:tc>
        <w:tc>
          <w:tcPr>
            <w:tcW w:w="308" w:type="pct"/>
            <w:vMerge w:val="continue"/>
            <w:tcBorders>
              <w:tl2br w:val="nil"/>
              <w:tr2bl w:val="nil"/>
            </w:tcBorders>
            <w:shd w:val="clear" w:color="auto" w:fill="auto"/>
            <w:vAlign w:val="center"/>
          </w:tcPr>
          <w:p w14:paraId="4464B57D">
            <w:pPr>
              <w:widowControl/>
              <w:jc w:val="center"/>
              <w:textAlignment w:val="center"/>
              <w:rPr>
                <w:rFonts w:hint="eastAsia" w:eastAsia="仿宋_GB2312"/>
                <w:color w:val="auto"/>
                <w:kern w:val="0"/>
                <w:szCs w:val="21"/>
                <w:lang w:val="en-US" w:eastAsia="zh-CN" w:bidi="ar"/>
              </w:rPr>
            </w:pPr>
          </w:p>
        </w:tc>
        <w:tc>
          <w:tcPr>
            <w:tcW w:w="422" w:type="pct"/>
            <w:vMerge w:val="restart"/>
            <w:tcBorders>
              <w:tl2br w:val="nil"/>
              <w:tr2bl w:val="nil"/>
            </w:tcBorders>
            <w:shd w:val="clear" w:color="auto" w:fill="auto"/>
            <w:vAlign w:val="center"/>
          </w:tcPr>
          <w:p w14:paraId="04A2FCDE">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eastAsia" w:eastAsia="方正仿宋_GB2312" w:cs="Times New Roman"/>
                <w:color w:val="000000" w:themeColor="text1"/>
                <w:sz w:val="21"/>
                <w:szCs w:val="21"/>
                <w:lang w:val="en-US" w:eastAsia="zh-CN"/>
                <w14:textFill>
                  <w14:solidFill>
                    <w14:schemeClr w14:val="tx1"/>
                  </w14:solidFill>
                </w14:textFill>
              </w:rPr>
              <w:t>间歇精馏系列（</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1#~8#塔真空泵组</w:t>
            </w:r>
            <w:r>
              <w:rPr>
                <w:rFonts w:hint="eastAsia" w:eastAsia="方正仿宋_GB2312" w:cs="Times New Roman"/>
                <w:color w:val="000000" w:themeColor="text1"/>
                <w:sz w:val="21"/>
                <w:szCs w:val="21"/>
                <w:lang w:val="en-US" w:eastAsia="zh-CN"/>
                <w14:textFill>
                  <w14:solidFill>
                    <w14:schemeClr w14:val="tx1"/>
                  </w14:solidFill>
                </w14:textFill>
              </w:rPr>
              <w:t>）</w:t>
            </w:r>
          </w:p>
        </w:tc>
        <w:tc>
          <w:tcPr>
            <w:tcW w:w="453" w:type="pct"/>
            <w:vMerge w:val="restart"/>
            <w:tcBorders>
              <w:tl2br w:val="nil"/>
              <w:tr2bl w:val="nil"/>
            </w:tcBorders>
            <w:shd w:val="clear" w:color="auto" w:fill="auto"/>
            <w:vAlign w:val="center"/>
          </w:tcPr>
          <w:p w14:paraId="223501C5">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Q=200L/S</w:t>
            </w:r>
            <w:r>
              <w:rPr>
                <w:rFonts w:hint="eastAsia" w:eastAsia="方正仿宋_GB2312" w:cs="Times New Roman"/>
                <w:color w:val="000000" w:themeColor="text1"/>
                <w:sz w:val="21"/>
                <w:szCs w:val="21"/>
                <w:lang w:val="en-US" w:eastAsia="zh-CN"/>
                <w14:textFill>
                  <w14:solidFill>
                    <w14:schemeClr w14:val="tx1"/>
                  </w14:solidFill>
                </w14:textFill>
              </w:rPr>
              <w:t>，</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15kw+4kw</w:t>
            </w:r>
          </w:p>
        </w:tc>
        <w:tc>
          <w:tcPr>
            <w:tcW w:w="263" w:type="pct"/>
            <w:tcBorders>
              <w:tl2br w:val="nil"/>
              <w:tr2bl w:val="nil"/>
            </w:tcBorders>
            <w:shd w:val="clear" w:color="auto" w:fill="auto"/>
            <w:vAlign w:val="center"/>
          </w:tcPr>
          <w:p w14:paraId="1536B9DD">
            <w:pPr>
              <w:widowControl/>
              <w:jc w:val="center"/>
              <w:textAlignment w:val="center"/>
              <w:rPr>
                <w:rFonts w:hint="default" w:eastAsia="仿宋_GB2312"/>
                <w:color w:val="auto"/>
                <w:kern w:val="0"/>
                <w:szCs w:val="21"/>
                <w:lang w:val="en-US" w:eastAsia="zh-CN" w:bidi="ar"/>
              </w:rPr>
            </w:pPr>
            <w:r>
              <w:rPr>
                <w:rFonts w:hint="eastAsia" w:eastAsia="仿宋_GB2312"/>
                <w:color w:val="auto"/>
                <w:kern w:val="0"/>
                <w:szCs w:val="21"/>
                <w:lang w:val="en-US" w:eastAsia="zh-CN" w:bidi="ar"/>
              </w:rPr>
              <w:t>1</w:t>
            </w:r>
          </w:p>
        </w:tc>
        <w:tc>
          <w:tcPr>
            <w:tcW w:w="244" w:type="pct"/>
            <w:tcBorders>
              <w:tl2br w:val="nil"/>
              <w:tr2bl w:val="nil"/>
            </w:tcBorders>
            <w:shd w:val="clear" w:color="auto" w:fill="auto"/>
            <w:vAlign w:val="center"/>
          </w:tcPr>
          <w:p w14:paraId="454A123C">
            <w:pPr>
              <w:pStyle w:val="163"/>
              <w:jc w:val="center"/>
              <w:rPr>
                <w:rFonts w:hint="default" w:ascii="Times New Roman" w:hAnsi="Times New Roman" w:eastAsia="仿宋_GB2312" w:cs="Times New Roman"/>
                <w:color w:val="auto"/>
                <w:kern w:val="0"/>
                <w:sz w:val="21"/>
                <w:szCs w:val="21"/>
                <w:lang w:val="en-US" w:eastAsia="zh-CN" w:bidi="ar"/>
              </w:rPr>
            </w:pPr>
            <w:r>
              <w:rPr>
                <w:rFonts w:hint="eastAsia" w:ascii="Times New Roman"/>
                <w:color w:val="auto"/>
                <w:kern w:val="0"/>
                <w:szCs w:val="21"/>
                <w:lang w:val="en-US" w:eastAsia="zh-CN" w:bidi="ar"/>
              </w:rPr>
              <w:t>165</w:t>
            </w:r>
          </w:p>
        </w:tc>
        <w:tc>
          <w:tcPr>
            <w:tcW w:w="226" w:type="pct"/>
            <w:tcBorders>
              <w:tl2br w:val="nil"/>
              <w:tr2bl w:val="nil"/>
            </w:tcBorders>
            <w:shd w:val="clear" w:color="auto" w:fill="auto"/>
            <w:vAlign w:val="center"/>
          </w:tcPr>
          <w:p w14:paraId="234EA895">
            <w:pPr>
              <w:pStyle w:val="163"/>
              <w:jc w:val="center"/>
              <w:rPr>
                <w:rFonts w:hint="default" w:ascii="Times New Roman" w:hAnsi="Times New Roman" w:eastAsia="仿宋_GB2312" w:cs="Times New Roman"/>
                <w:color w:val="auto"/>
                <w:kern w:val="0"/>
                <w:sz w:val="21"/>
                <w:szCs w:val="21"/>
                <w:lang w:val="en-US" w:eastAsia="zh-CN" w:bidi="ar"/>
              </w:rPr>
            </w:pPr>
            <w:r>
              <w:rPr>
                <w:rFonts w:hint="eastAsia" w:ascii="Times New Roman"/>
                <w:color w:val="auto"/>
                <w:kern w:val="0"/>
                <w:szCs w:val="21"/>
                <w:lang w:val="en-US" w:eastAsia="zh-CN" w:bidi="ar"/>
              </w:rPr>
              <w:t>44</w:t>
            </w:r>
          </w:p>
        </w:tc>
        <w:tc>
          <w:tcPr>
            <w:tcW w:w="221" w:type="pct"/>
            <w:tcBorders>
              <w:tl2br w:val="nil"/>
              <w:tr2bl w:val="nil"/>
            </w:tcBorders>
            <w:shd w:val="clear" w:color="auto" w:fill="auto"/>
            <w:vAlign w:val="center"/>
          </w:tcPr>
          <w:p w14:paraId="5B4D41A7">
            <w:pPr>
              <w:pStyle w:val="163"/>
              <w:jc w:val="center"/>
              <w:rPr>
                <w:rFonts w:hint="default" w:ascii="Times New Roman" w:hAnsi="Times New Roman" w:eastAsia="仿宋_GB2312" w:cs="Times New Roman"/>
                <w:color w:val="auto"/>
                <w:kern w:val="0"/>
                <w:sz w:val="21"/>
                <w:szCs w:val="21"/>
                <w:lang w:val="en-US" w:eastAsia="zh-CN" w:bidi="ar"/>
              </w:rPr>
            </w:pPr>
            <w:r>
              <w:rPr>
                <w:rFonts w:hint="eastAsia" w:ascii="Times New Roman"/>
                <w:color w:val="auto"/>
                <w:kern w:val="0"/>
                <w:szCs w:val="21"/>
                <w:lang w:val="en-US" w:eastAsia="zh-CN" w:bidi="ar"/>
              </w:rPr>
              <w:t>0.5</w:t>
            </w:r>
          </w:p>
        </w:tc>
        <w:tc>
          <w:tcPr>
            <w:tcW w:w="271" w:type="pct"/>
            <w:tcBorders>
              <w:tl2br w:val="nil"/>
              <w:tr2bl w:val="nil"/>
            </w:tcBorders>
            <w:shd w:val="clear" w:color="auto" w:fill="auto"/>
            <w:vAlign w:val="center"/>
          </w:tcPr>
          <w:p w14:paraId="7DB0E6BF">
            <w:pPr>
              <w:pStyle w:val="163"/>
              <w:jc w:val="center"/>
              <w:rPr>
                <w:rFonts w:hint="eastAsia" w:ascii="Times New Roman" w:hAnsi="Times New Roman" w:eastAsia="仿宋_GB2312" w:cs="Times New Roman"/>
                <w:color w:val="auto"/>
                <w:kern w:val="0"/>
                <w:sz w:val="21"/>
                <w:szCs w:val="21"/>
                <w:lang w:val="en-US" w:eastAsia="zh-CN" w:bidi="ar"/>
              </w:rPr>
            </w:pPr>
            <w:r>
              <w:rPr>
                <w:rFonts w:hint="eastAsia" w:ascii="Times New Roman"/>
                <w:color w:val="auto"/>
                <w:kern w:val="0"/>
                <w:szCs w:val="21"/>
                <w:lang w:val="en-US" w:eastAsia="zh-CN" w:bidi="ar"/>
              </w:rPr>
              <w:t>80</w:t>
            </w:r>
          </w:p>
        </w:tc>
        <w:tc>
          <w:tcPr>
            <w:tcW w:w="297" w:type="pct"/>
            <w:vMerge w:val="continue"/>
            <w:tcBorders>
              <w:tl2br w:val="nil"/>
              <w:tr2bl w:val="nil"/>
            </w:tcBorders>
            <w:shd w:val="clear" w:color="auto" w:fill="auto"/>
            <w:vAlign w:val="center"/>
          </w:tcPr>
          <w:p w14:paraId="2FB0EA10">
            <w:pPr>
              <w:pStyle w:val="81"/>
              <w:spacing w:beforeAutospacing="0" w:afterAutospacing="0" w:line="320" w:lineRule="exact"/>
              <w:jc w:val="center"/>
              <w:rPr>
                <w:rFonts w:eastAsia="仿宋_GB2312"/>
                <w:color w:val="FF0000"/>
                <w:sz w:val="21"/>
                <w:szCs w:val="21"/>
                <w:lang w:bidi="ar"/>
              </w:rPr>
            </w:pPr>
          </w:p>
        </w:tc>
        <w:tc>
          <w:tcPr>
            <w:tcW w:w="281" w:type="pct"/>
            <w:tcBorders>
              <w:tl2br w:val="nil"/>
              <w:tr2bl w:val="nil"/>
            </w:tcBorders>
            <w:shd w:val="clear" w:color="auto" w:fill="auto"/>
            <w:vAlign w:val="center"/>
          </w:tcPr>
          <w:p w14:paraId="0ACA96B2">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rPr>
              <w:t>5</w:t>
            </w:r>
          </w:p>
        </w:tc>
        <w:tc>
          <w:tcPr>
            <w:tcW w:w="292" w:type="pct"/>
            <w:tcBorders>
              <w:tl2br w:val="nil"/>
              <w:tr2bl w:val="nil"/>
            </w:tcBorders>
            <w:shd w:val="clear" w:color="auto" w:fill="auto"/>
            <w:vAlign w:val="center"/>
          </w:tcPr>
          <w:p w14:paraId="60A0DC1A">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6</w:t>
            </w:r>
            <w:r>
              <w:rPr>
                <w:rFonts w:hint="eastAsia" w:eastAsia="仿宋_GB2312"/>
                <w:color w:val="auto"/>
                <w:sz w:val="21"/>
                <w:szCs w:val="21"/>
                <w:lang w:bidi="ar"/>
              </w:rPr>
              <w:t>6</w:t>
            </w:r>
          </w:p>
        </w:tc>
        <w:tc>
          <w:tcPr>
            <w:tcW w:w="281" w:type="pct"/>
            <w:tcBorders>
              <w:tl2br w:val="nil"/>
              <w:tr2bl w:val="nil"/>
            </w:tcBorders>
            <w:shd w:val="clear" w:color="auto" w:fill="auto"/>
            <w:vAlign w:val="center"/>
          </w:tcPr>
          <w:p w14:paraId="1BC853BC">
            <w:pPr>
              <w:pStyle w:val="81"/>
              <w:spacing w:beforeAutospacing="0" w:afterAutospacing="0" w:line="320" w:lineRule="exact"/>
              <w:ind w:left="0" w:leftChars="0" w:right="0" w:rightChars="0"/>
              <w:jc w:val="center"/>
              <w:rPr>
                <w:rFonts w:ascii="Times New Roman" w:hAnsi="Times New Roman" w:eastAsia="仿宋_GB2312" w:cs="Times New Roman"/>
                <w:b/>
                <w:bCs/>
                <w:color w:val="auto"/>
                <w:kern w:val="0"/>
                <w:sz w:val="21"/>
                <w:szCs w:val="21"/>
                <w:lang w:val="en-US" w:eastAsia="zh-CN" w:bidi="ar"/>
              </w:rPr>
            </w:pPr>
            <w:r>
              <w:rPr>
                <w:rFonts w:eastAsia="仿宋_GB2312"/>
                <w:color w:val="auto"/>
                <w:sz w:val="21"/>
                <w:szCs w:val="21"/>
                <w:lang w:bidi="ar"/>
              </w:rPr>
              <w:t>全天</w:t>
            </w:r>
          </w:p>
        </w:tc>
        <w:tc>
          <w:tcPr>
            <w:tcW w:w="323" w:type="pct"/>
            <w:tcBorders>
              <w:tl2br w:val="nil"/>
              <w:tr2bl w:val="nil"/>
            </w:tcBorders>
            <w:shd w:val="clear" w:color="auto" w:fill="auto"/>
            <w:vAlign w:val="center"/>
          </w:tcPr>
          <w:p w14:paraId="4EC55EE2">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20</w:t>
            </w:r>
          </w:p>
        </w:tc>
        <w:tc>
          <w:tcPr>
            <w:tcW w:w="273" w:type="pct"/>
            <w:tcBorders>
              <w:tl2br w:val="nil"/>
              <w:tr2bl w:val="nil"/>
            </w:tcBorders>
            <w:shd w:val="clear" w:color="auto" w:fill="auto"/>
            <w:vAlign w:val="center"/>
          </w:tcPr>
          <w:p w14:paraId="64497CD3">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46</w:t>
            </w:r>
          </w:p>
        </w:tc>
        <w:tc>
          <w:tcPr>
            <w:tcW w:w="298" w:type="pct"/>
            <w:tcBorders>
              <w:tl2br w:val="nil"/>
              <w:tr2bl w:val="nil"/>
            </w:tcBorders>
            <w:shd w:val="clear" w:color="auto" w:fill="auto"/>
            <w:vAlign w:val="center"/>
          </w:tcPr>
          <w:p w14:paraId="5E7FA950">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1</w:t>
            </w:r>
          </w:p>
        </w:tc>
        <w:tc>
          <w:tcPr>
            <w:tcW w:w="346" w:type="pct"/>
            <w:tcBorders>
              <w:tl2br w:val="nil"/>
              <w:tr2bl w:val="nil"/>
            </w:tcBorders>
            <w:shd w:val="clear" w:color="auto" w:fill="auto"/>
            <w:vAlign w:val="center"/>
          </w:tcPr>
          <w:p w14:paraId="748D369D">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hint="eastAsia" w:eastAsia="仿宋_GB2312" w:hAnsiTheme="minorHAnsi"/>
                <w:color w:val="auto"/>
                <w:sz w:val="21"/>
                <w:szCs w:val="21"/>
                <w:lang w:val="en-US" w:eastAsia="zh-CN" w:bidi="ar"/>
              </w:rPr>
              <w:t>依托现有</w:t>
            </w:r>
          </w:p>
        </w:tc>
      </w:tr>
      <w:tr w14:paraId="103879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192" w:type="pct"/>
            <w:tcBorders>
              <w:tl2br w:val="nil"/>
              <w:tr2bl w:val="nil"/>
            </w:tcBorders>
            <w:shd w:val="clear" w:color="auto" w:fill="auto"/>
            <w:vAlign w:val="center"/>
          </w:tcPr>
          <w:p w14:paraId="31396A56">
            <w:pPr>
              <w:pStyle w:val="81"/>
              <w:spacing w:beforeAutospacing="0" w:afterAutospacing="0" w:line="320" w:lineRule="exact"/>
              <w:jc w:val="center"/>
              <w:rPr>
                <w:rFonts w:hint="default" w:eastAsia="仿宋_GB2312"/>
                <w:color w:val="auto"/>
                <w:sz w:val="21"/>
                <w:szCs w:val="21"/>
                <w:lang w:val="en-US" w:eastAsia="zh-CN" w:bidi="ar"/>
              </w:rPr>
            </w:pPr>
            <w:r>
              <w:rPr>
                <w:rFonts w:hint="eastAsia" w:eastAsia="仿宋_GB2312"/>
                <w:color w:val="auto"/>
                <w:sz w:val="21"/>
                <w:szCs w:val="21"/>
                <w:lang w:val="en-US" w:eastAsia="zh-CN" w:bidi="ar"/>
              </w:rPr>
              <w:t>10</w:t>
            </w:r>
          </w:p>
        </w:tc>
        <w:tc>
          <w:tcPr>
            <w:tcW w:w="308" w:type="pct"/>
            <w:vMerge w:val="continue"/>
            <w:tcBorders>
              <w:tl2br w:val="nil"/>
              <w:tr2bl w:val="nil"/>
            </w:tcBorders>
            <w:shd w:val="clear" w:color="auto" w:fill="auto"/>
            <w:vAlign w:val="center"/>
          </w:tcPr>
          <w:p w14:paraId="443160E7">
            <w:pPr>
              <w:widowControl/>
              <w:jc w:val="center"/>
              <w:textAlignment w:val="center"/>
              <w:rPr>
                <w:rFonts w:hint="eastAsia" w:eastAsia="仿宋_GB2312"/>
                <w:color w:val="auto"/>
                <w:kern w:val="0"/>
                <w:szCs w:val="21"/>
                <w:lang w:val="en-US" w:eastAsia="zh-CN" w:bidi="ar"/>
              </w:rPr>
            </w:pPr>
          </w:p>
        </w:tc>
        <w:tc>
          <w:tcPr>
            <w:tcW w:w="422" w:type="pct"/>
            <w:vMerge w:val="continue"/>
            <w:tcBorders>
              <w:tl2br w:val="nil"/>
              <w:tr2bl w:val="nil"/>
            </w:tcBorders>
            <w:shd w:val="clear" w:color="auto" w:fill="auto"/>
            <w:vAlign w:val="center"/>
          </w:tcPr>
          <w:p w14:paraId="38421F9E">
            <w:pPr>
              <w:bidi w:val="0"/>
              <w:jc w:val="center"/>
              <w:rPr>
                <w:rFonts w:hint="default" w:ascii="Times New Roman" w:hAnsi="Times New Roman" w:eastAsia="方正仿宋_GB2312" w:cs="Times New Roman"/>
                <w:color w:val="auto"/>
                <w:sz w:val="21"/>
                <w:szCs w:val="21"/>
                <w:lang w:val="en-US" w:eastAsia="zh-CN"/>
              </w:rPr>
            </w:pPr>
          </w:p>
        </w:tc>
        <w:tc>
          <w:tcPr>
            <w:tcW w:w="453" w:type="pct"/>
            <w:vMerge w:val="continue"/>
            <w:tcBorders>
              <w:tl2br w:val="nil"/>
              <w:tr2bl w:val="nil"/>
            </w:tcBorders>
            <w:shd w:val="clear" w:color="auto" w:fill="auto"/>
            <w:vAlign w:val="center"/>
          </w:tcPr>
          <w:p w14:paraId="7443AD90">
            <w:pPr>
              <w:bidi w:val="0"/>
              <w:jc w:val="center"/>
              <w:rPr>
                <w:rFonts w:hint="default" w:ascii="Times New Roman" w:hAnsi="Times New Roman" w:eastAsia="方正仿宋_GB2312" w:cs="Times New Roman"/>
                <w:color w:val="auto"/>
                <w:sz w:val="21"/>
                <w:szCs w:val="21"/>
                <w:lang w:val="en-US" w:eastAsia="zh-CN"/>
              </w:rPr>
            </w:pPr>
          </w:p>
        </w:tc>
        <w:tc>
          <w:tcPr>
            <w:tcW w:w="263" w:type="pct"/>
            <w:tcBorders>
              <w:tl2br w:val="nil"/>
              <w:tr2bl w:val="nil"/>
            </w:tcBorders>
            <w:shd w:val="clear" w:color="auto" w:fill="auto"/>
            <w:vAlign w:val="center"/>
          </w:tcPr>
          <w:p w14:paraId="2A0CDC5B">
            <w:pPr>
              <w:widowControl/>
              <w:jc w:val="center"/>
              <w:textAlignment w:val="center"/>
              <w:rPr>
                <w:rFonts w:hint="default" w:eastAsia="仿宋_GB2312"/>
                <w:color w:val="auto"/>
                <w:kern w:val="0"/>
                <w:szCs w:val="21"/>
                <w:lang w:val="en-US" w:eastAsia="zh-CN" w:bidi="ar"/>
              </w:rPr>
            </w:pPr>
            <w:r>
              <w:rPr>
                <w:rFonts w:hint="eastAsia" w:eastAsia="仿宋_GB2312"/>
                <w:color w:val="auto"/>
                <w:kern w:val="0"/>
                <w:szCs w:val="21"/>
                <w:lang w:val="en-US" w:eastAsia="zh-CN" w:bidi="ar"/>
              </w:rPr>
              <w:t>1</w:t>
            </w:r>
          </w:p>
        </w:tc>
        <w:tc>
          <w:tcPr>
            <w:tcW w:w="244" w:type="pct"/>
            <w:tcBorders>
              <w:tl2br w:val="nil"/>
              <w:tr2bl w:val="nil"/>
            </w:tcBorders>
            <w:shd w:val="clear" w:color="auto" w:fill="auto"/>
            <w:vAlign w:val="center"/>
          </w:tcPr>
          <w:p w14:paraId="06D1F635">
            <w:pPr>
              <w:pStyle w:val="163"/>
              <w:jc w:val="center"/>
              <w:rPr>
                <w:rFonts w:hint="default" w:ascii="Times New Roman" w:hAnsi="Times New Roman" w:eastAsia="仿宋_GB2312" w:cs="Times New Roman"/>
                <w:color w:val="auto"/>
                <w:kern w:val="0"/>
                <w:sz w:val="21"/>
                <w:szCs w:val="21"/>
                <w:lang w:val="en-US" w:eastAsia="zh-CN" w:bidi="ar"/>
              </w:rPr>
            </w:pPr>
            <w:r>
              <w:rPr>
                <w:rFonts w:hint="eastAsia" w:ascii="Times New Roman"/>
                <w:color w:val="auto"/>
                <w:kern w:val="0"/>
                <w:szCs w:val="21"/>
                <w:lang w:val="en-US" w:eastAsia="zh-CN" w:bidi="ar"/>
              </w:rPr>
              <w:t>165</w:t>
            </w:r>
          </w:p>
        </w:tc>
        <w:tc>
          <w:tcPr>
            <w:tcW w:w="226" w:type="pct"/>
            <w:tcBorders>
              <w:tl2br w:val="nil"/>
              <w:tr2bl w:val="nil"/>
            </w:tcBorders>
            <w:shd w:val="clear" w:color="auto" w:fill="auto"/>
            <w:vAlign w:val="center"/>
          </w:tcPr>
          <w:p w14:paraId="11492A71">
            <w:pPr>
              <w:pStyle w:val="163"/>
              <w:jc w:val="center"/>
              <w:rPr>
                <w:rFonts w:hint="default" w:ascii="Times New Roman" w:hAnsi="Times New Roman" w:eastAsia="仿宋_GB2312" w:cs="Times New Roman"/>
                <w:color w:val="auto"/>
                <w:kern w:val="0"/>
                <w:sz w:val="21"/>
                <w:szCs w:val="21"/>
                <w:lang w:val="en-US" w:eastAsia="zh-CN" w:bidi="ar"/>
              </w:rPr>
            </w:pPr>
            <w:r>
              <w:rPr>
                <w:rFonts w:hint="eastAsia" w:ascii="Times New Roman"/>
                <w:color w:val="auto"/>
                <w:kern w:val="0"/>
                <w:szCs w:val="21"/>
                <w:lang w:val="en-US" w:eastAsia="zh-CN" w:bidi="ar"/>
              </w:rPr>
              <w:t>45</w:t>
            </w:r>
          </w:p>
        </w:tc>
        <w:tc>
          <w:tcPr>
            <w:tcW w:w="221" w:type="pct"/>
            <w:tcBorders>
              <w:tl2br w:val="nil"/>
              <w:tr2bl w:val="nil"/>
            </w:tcBorders>
            <w:shd w:val="clear" w:color="auto" w:fill="auto"/>
            <w:vAlign w:val="center"/>
          </w:tcPr>
          <w:p w14:paraId="0517080F">
            <w:pPr>
              <w:pStyle w:val="163"/>
              <w:jc w:val="center"/>
              <w:rPr>
                <w:rFonts w:hint="default" w:ascii="Times New Roman" w:hAnsi="Times New Roman" w:eastAsia="仿宋_GB2312" w:cs="Times New Roman"/>
                <w:color w:val="auto"/>
                <w:kern w:val="0"/>
                <w:sz w:val="21"/>
                <w:szCs w:val="21"/>
                <w:lang w:val="en-US" w:eastAsia="zh-CN" w:bidi="ar"/>
              </w:rPr>
            </w:pPr>
            <w:r>
              <w:rPr>
                <w:rFonts w:hint="eastAsia" w:ascii="Times New Roman"/>
                <w:color w:val="auto"/>
                <w:kern w:val="0"/>
                <w:szCs w:val="21"/>
                <w:lang w:val="en-US" w:eastAsia="zh-CN" w:bidi="ar"/>
              </w:rPr>
              <w:t>0.5</w:t>
            </w:r>
          </w:p>
        </w:tc>
        <w:tc>
          <w:tcPr>
            <w:tcW w:w="271" w:type="pct"/>
            <w:tcBorders>
              <w:tl2br w:val="nil"/>
              <w:tr2bl w:val="nil"/>
            </w:tcBorders>
            <w:shd w:val="clear" w:color="auto" w:fill="auto"/>
            <w:vAlign w:val="center"/>
          </w:tcPr>
          <w:p w14:paraId="5C11D3E1">
            <w:pPr>
              <w:pStyle w:val="163"/>
              <w:jc w:val="center"/>
              <w:rPr>
                <w:rFonts w:hint="default" w:ascii="Times New Roman" w:hAnsi="Times New Roman" w:eastAsia="仿宋_GB2312" w:cs="Times New Roman"/>
                <w:color w:val="auto"/>
                <w:kern w:val="0"/>
                <w:sz w:val="21"/>
                <w:szCs w:val="21"/>
                <w:lang w:val="en-US" w:eastAsia="zh-CN" w:bidi="ar"/>
              </w:rPr>
            </w:pPr>
            <w:r>
              <w:rPr>
                <w:rFonts w:hint="eastAsia" w:ascii="Times New Roman"/>
                <w:color w:val="auto"/>
                <w:kern w:val="0"/>
                <w:szCs w:val="21"/>
                <w:lang w:val="en-US" w:eastAsia="zh-CN" w:bidi="ar"/>
              </w:rPr>
              <w:t>80</w:t>
            </w:r>
          </w:p>
        </w:tc>
        <w:tc>
          <w:tcPr>
            <w:tcW w:w="297" w:type="pct"/>
            <w:vMerge w:val="continue"/>
            <w:tcBorders>
              <w:tl2br w:val="nil"/>
              <w:tr2bl w:val="nil"/>
            </w:tcBorders>
            <w:shd w:val="clear" w:color="auto" w:fill="auto"/>
            <w:vAlign w:val="center"/>
          </w:tcPr>
          <w:p w14:paraId="30B40B3D">
            <w:pPr>
              <w:pStyle w:val="81"/>
              <w:spacing w:beforeAutospacing="0" w:afterAutospacing="0" w:line="320" w:lineRule="exact"/>
              <w:jc w:val="center"/>
              <w:rPr>
                <w:rFonts w:eastAsia="仿宋_GB2312"/>
                <w:color w:val="FF0000"/>
                <w:sz w:val="21"/>
                <w:szCs w:val="21"/>
                <w:lang w:bidi="ar"/>
              </w:rPr>
            </w:pPr>
          </w:p>
        </w:tc>
        <w:tc>
          <w:tcPr>
            <w:tcW w:w="281" w:type="pct"/>
            <w:tcBorders>
              <w:tl2br w:val="nil"/>
              <w:tr2bl w:val="nil"/>
            </w:tcBorders>
            <w:shd w:val="clear" w:color="auto" w:fill="auto"/>
            <w:vAlign w:val="center"/>
          </w:tcPr>
          <w:p w14:paraId="4142901D">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rPr>
              <w:t>5</w:t>
            </w:r>
          </w:p>
        </w:tc>
        <w:tc>
          <w:tcPr>
            <w:tcW w:w="292" w:type="pct"/>
            <w:tcBorders>
              <w:tl2br w:val="nil"/>
              <w:tr2bl w:val="nil"/>
            </w:tcBorders>
            <w:shd w:val="clear" w:color="auto" w:fill="auto"/>
            <w:vAlign w:val="center"/>
          </w:tcPr>
          <w:p w14:paraId="49890460">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6</w:t>
            </w:r>
            <w:r>
              <w:rPr>
                <w:rFonts w:hint="eastAsia" w:eastAsia="仿宋_GB2312"/>
                <w:color w:val="auto"/>
                <w:sz w:val="21"/>
                <w:szCs w:val="21"/>
                <w:lang w:bidi="ar"/>
              </w:rPr>
              <w:t>6</w:t>
            </w:r>
          </w:p>
        </w:tc>
        <w:tc>
          <w:tcPr>
            <w:tcW w:w="281" w:type="pct"/>
            <w:tcBorders>
              <w:tl2br w:val="nil"/>
              <w:tr2bl w:val="nil"/>
            </w:tcBorders>
            <w:shd w:val="clear" w:color="auto" w:fill="auto"/>
            <w:vAlign w:val="center"/>
          </w:tcPr>
          <w:p w14:paraId="29270F8F">
            <w:pPr>
              <w:pStyle w:val="81"/>
              <w:spacing w:beforeAutospacing="0" w:afterAutospacing="0" w:line="320" w:lineRule="exact"/>
              <w:ind w:left="0" w:leftChars="0" w:right="0" w:rightChars="0"/>
              <w:jc w:val="center"/>
              <w:rPr>
                <w:rFonts w:ascii="Times New Roman" w:hAnsi="Times New Roman" w:eastAsia="仿宋_GB2312" w:cs="Times New Roman"/>
                <w:b/>
                <w:bCs/>
                <w:color w:val="auto"/>
                <w:kern w:val="0"/>
                <w:sz w:val="21"/>
                <w:szCs w:val="21"/>
                <w:lang w:val="en-US" w:eastAsia="zh-CN" w:bidi="ar"/>
              </w:rPr>
            </w:pPr>
            <w:r>
              <w:rPr>
                <w:rFonts w:eastAsia="仿宋_GB2312"/>
                <w:color w:val="auto"/>
                <w:sz w:val="21"/>
                <w:szCs w:val="21"/>
                <w:lang w:bidi="ar"/>
              </w:rPr>
              <w:t>全天</w:t>
            </w:r>
          </w:p>
        </w:tc>
        <w:tc>
          <w:tcPr>
            <w:tcW w:w="323" w:type="pct"/>
            <w:tcBorders>
              <w:tl2br w:val="nil"/>
              <w:tr2bl w:val="nil"/>
            </w:tcBorders>
            <w:shd w:val="clear" w:color="auto" w:fill="auto"/>
            <w:vAlign w:val="center"/>
          </w:tcPr>
          <w:p w14:paraId="03911F75">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20</w:t>
            </w:r>
          </w:p>
        </w:tc>
        <w:tc>
          <w:tcPr>
            <w:tcW w:w="273" w:type="pct"/>
            <w:tcBorders>
              <w:tl2br w:val="nil"/>
              <w:tr2bl w:val="nil"/>
            </w:tcBorders>
            <w:shd w:val="clear" w:color="auto" w:fill="auto"/>
            <w:vAlign w:val="center"/>
          </w:tcPr>
          <w:p w14:paraId="498E327D">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46</w:t>
            </w:r>
          </w:p>
        </w:tc>
        <w:tc>
          <w:tcPr>
            <w:tcW w:w="298" w:type="pct"/>
            <w:tcBorders>
              <w:tl2br w:val="nil"/>
              <w:tr2bl w:val="nil"/>
            </w:tcBorders>
            <w:shd w:val="clear" w:color="auto" w:fill="auto"/>
            <w:vAlign w:val="center"/>
          </w:tcPr>
          <w:p w14:paraId="41D76F2D">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1</w:t>
            </w:r>
          </w:p>
        </w:tc>
        <w:tc>
          <w:tcPr>
            <w:tcW w:w="346" w:type="pct"/>
            <w:tcBorders>
              <w:tl2br w:val="nil"/>
              <w:tr2bl w:val="nil"/>
            </w:tcBorders>
            <w:shd w:val="clear" w:color="auto" w:fill="auto"/>
            <w:vAlign w:val="center"/>
          </w:tcPr>
          <w:p w14:paraId="41A2DC05">
            <w:pPr>
              <w:pStyle w:val="81"/>
              <w:spacing w:beforeAutospacing="0" w:afterAutospacing="0" w:line="320" w:lineRule="exact"/>
              <w:ind w:left="0" w:leftChars="0" w:right="0" w:rightChars="0"/>
              <w:jc w:val="center"/>
              <w:rPr>
                <w:rFonts w:ascii="Times New Roman" w:hAnsi="Times New Roman" w:eastAsia="仿宋_GB2312" w:cs="Times New Roman"/>
                <w:color w:val="FF0000"/>
                <w:kern w:val="0"/>
                <w:sz w:val="21"/>
                <w:szCs w:val="21"/>
                <w:lang w:val="en-US" w:eastAsia="zh-CN" w:bidi="ar"/>
              </w:rPr>
            </w:pPr>
            <w:r>
              <w:rPr>
                <w:rFonts w:hint="eastAsia" w:eastAsia="仿宋_GB2312" w:hAnsiTheme="minorHAnsi"/>
                <w:color w:val="auto"/>
                <w:sz w:val="21"/>
                <w:szCs w:val="21"/>
                <w:lang w:val="en-US" w:eastAsia="zh-CN" w:bidi="ar"/>
              </w:rPr>
              <w:t>依托现有</w:t>
            </w:r>
          </w:p>
        </w:tc>
      </w:tr>
      <w:tr w14:paraId="553CC5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192" w:type="pct"/>
            <w:tcBorders>
              <w:tl2br w:val="nil"/>
              <w:tr2bl w:val="nil"/>
            </w:tcBorders>
            <w:shd w:val="clear" w:color="auto" w:fill="auto"/>
            <w:vAlign w:val="center"/>
          </w:tcPr>
          <w:p w14:paraId="440A977B">
            <w:pPr>
              <w:pStyle w:val="81"/>
              <w:spacing w:beforeAutospacing="0" w:afterAutospacing="0" w:line="320" w:lineRule="exact"/>
              <w:jc w:val="center"/>
              <w:rPr>
                <w:rFonts w:hint="default" w:eastAsia="仿宋_GB2312"/>
                <w:color w:val="auto"/>
                <w:sz w:val="21"/>
                <w:szCs w:val="21"/>
                <w:lang w:val="en-US" w:eastAsia="zh-CN" w:bidi="ar"/>
              </w:rPr>
            </w:pPr>
            <w:r>
              <w:rPr>
                <w:rFonts w:hint="eastAsia" w:eastAsia="仿宋_GB2312"/>
                <w:color w:val="auto"/>
                <w:sz w:val="21"/>
                <w:szCs w:val="21"/>
                <w:lang w:val="en-US" w:eastAsia="zh-CN" w:bidi="ar"/>
              </w:rPr>
              <w:t>11</w:t>
            </w:r>
          </w:p>
        </w:tc>
        <w:tc>
          <w:tcPr>
            <w:tcW w:w="308" w:type="pct"/>
            <w:vMerge w:val="continue"/>
            <w:tcBorders>
              <w:tl2br w:val="nil"/>
              <w:tr2bl w:val="nil"/>
            </w:tcBorders>
            <w:shd w:val="clear" w:color="auto" w:fill="auto"/>
            <w:vAlign w:val="center"/>
          </w:tcPr>
          <w:p w14:paraId="32C23A39">
            <w:pPr>
              <w:widowControl/>
              <w:jc w:val="center"/>
              <w:textAlignment w:val="center"/>
              <w:rPr>
                <w:rFonts w:hint="eastAsia" w:eastAsia="仿宋_GB2312"/>
                <w:color w:val="auto"/>
                <w:kern w:val="0"/>
                <w:szCs w:val="21"/>
                <w:lang w:val="en-US" w:eastAsia="zh-CN" w:bidi="ar"/>
              </w:rPr>
            </w:pPr>
          </w:p>
        </w:tc>
        <w:tc>
          <w:tcPr>
            <w:tcW w:w="422" w:type="pct"/>
            <w:vMerge w:val="continue"/>
            <w:tcBorders>
              <w:tl2br w:val="nil"/>
              <w:tr2bl w:val="nil"/>
            </w:tcBorders>
            <w:shd w:val="clear" w:color="auto" w:fill="auto"/>
            <w:vAlign w:val="center"/>
          </w:tcPr>
          <w:p w14:paraId="0F068D37">
            <w:pPr>
              <w:bidi w:val="0"/>
              <w:jc w:val="center"/>
              <w:rPr>
                <w:rFonts w:hint="default" w:ascii="Times New Roman" w:hAnsi="Times New Roman" w:eastAsia="方正仿宋_GB2312" w:cs="Times New Roman"/>
                <w:color w:val="auto"/>
                <w:sz w:val="21"/>
                <w:szCs w:val="21"/>
                <w:lang w:val="en-US" w:eastAsia="zh-CN"/>
              </w:rPr>
            </w:pPr>
          </w:p>
        </w:tc>
        <w:tc>
          <w:tcPr>
            <w:tcW w:w="453" w:type="pct"/>
            <w:vMerge w:val="continue"/>
            <w:tcBorders>
              <w:tl2br w:val="nil"/>
              <w:tr2bl w:val="nil"/>
            </w:tcBorders>
            <w:shd w:val="clear" w:color="auto" w:fill="auto"/>
            <w:vAlign w:val="center"/>
          </w:tcPr>
          <w:p w14:paraId="56AF85F7">
            <w:pPr>
              <w:bidi w:val="0"/>
              <w:jc w:val="center"/>
              <w:rPr>
                <w:rFonts w:hint="default" w:ascii="Times New Roman" w:hAnsi="Times New Roman" w:eastAsia="方正仿宋_GB2312" w:cs="Times New Roman"/>
                <w:color w:val="auto"/>
                <w:sz w:val="21"/>
                <w:szCs w:val="21"/>
                <w:lang w:val="en-US" w:eastAsia="zh-CN"/>
              </w:rPr>
            </w:pPr>
          </w:p>
        </w:tc>
        <w:tc>
          <w:tcPr>
            <w:tcW w:w="263" w:type="pct"/>
            <w:tcBorders>
              <w:tl2br w:val="nil"/>
              <w:tr2bl w:val="nil"/>
            </w:tcBorders>
            <w:shd w:val="clear" w:color="auto" w:fill="auto"/>
            <w:vAlign w:val="center"/>
          </w:tcPr>
          <w:p w14:paraId="29856757">
            <w:pPr>
              <w:widowControl/>
              <w:jc w:val="center"/>
              <w:textAlignment w:val="center"/>
              <w:rPr>
                <w:rFonts w:hint="default" w:eastAsia="仿宋_GB2312"/>
                <w:color w:val="auto"/>
                <w:kern w:val="0"/>
                <w:szCs w:val="21"/>
                <w:lang w:val="en-US" w:eastAsia="zh-CN" w:bidi="ar"/>
              </w:rPr>
            </w:pPr>
            <w:r>
              <w:rPr>
                <w:rFonts w:hint="eastAsia" w:eastAsia="仿宋_GB2312"/>
                <w:color w:val="auto"/>
                <w:kern w:val="0"/>
                <w:szCs w:val="21"/>
                <w:lang w:val="en-US" w:eastAsia="zh-CN" w:bidi="ar"/>
              </w:rPr>
              <w:t>1</w:t>
            </w:r>
          </w:p>
        </w:tc>
        <w:tc>
          <w:tcPr>
            <w:tcW w:w="244" w:type="pct"/>
            <w:tcBorders>
              <w:tl2br w:val="nil"/>
              <w:tr2bl w:val="nil"/>
            </w:tcBorders>
            <w:shd w:val="clear" w:color="auto" w:fill="auto"/>
            <w:vAlign w:val="center"/>
          </w:tcPr>
          <w:p w14:paraId="592701EC">
            <w:pPr>
              <w:pStyle w:val="163"/>
              <w:jc w:val="center"/>
              <w:rPr>
                <w:rFonts w:hint="default" w:ascii="Times New Roman" w:hAnsi="Times New Roman" w:eastAsia="仿宋_GB2312" w:cs="Times New Roman"/>
                <w:color w:val="auto"/>
                <w:kern w:val="0"/>
                <w:sz w:val="21"/>
                <w:szCs w:val="21"/>
                <w:lang w:val="en-US" w:eastAsia="zh-CN" w:bidi="ar"/>
              </w:rPr>
            </w:pPr>
            <w:r>
              <w:rPr>
                <w:rFonts w:hint="eastAsia" w:ascii="Times New Roman"/>
                <w:color w:val="auto"/>
                <w:kern w:val="0"/>
                <w:szCs w:val="21"/>
                <w:lang w:val="en-US" w:eastAsia="zh-CN" w:bidi="ar"/>
              </w:rPr>
              <w:t>166</w:t>
            </w:r>
          </w:p>
        </w:tc>
        <w:tc>
          <w:tcPr>
            <w:tcW w:w="226" w:type="pct"/>
            <w:tcBorders>
              <w:tl2br w:val="nil"/>
              <w:tr2bl w:val="nil"/>
            </w:tcBorders>
            <w:shd w:val="clear" w:color="auto" w:fill="auto"/>
            <w:vAlign w:val="center"/>
          </w:tcPr>
          <w:p w14:paraId="0E99C220">
            <w:pPr>
              <w:pStyle w:val="163"/>
              <w:jc w:val="center"/>
              <w:rPr>
                <w:rFonts w:hint="default" w:ascii="Times New Roman" w:hAnsi="Times New Roman" w:eastAsia="仿宋_GB2312" w:cs="Times New Roman"/>
                <w:color w:val="auto"/>
                <w:kern w:val="0"/>
                <w:sz w:val="21"/>
                <w:szCs w:val="21"/>
                <w:lang w:val="en-US" w:eastAsia="zh-CN" w:bidi="ar"/>
              </w:rPr>
            </w:pPr>
            <w:r>
              <w:rPr>
                <w:rFonts w:hint="eastAsia" w:ascii="Times New Roman"/>
                <w:color w:val="auto"/>
                <w:kern w:val="0"/>
                <w:szCs w:val="21"/>
                <w:lang w:val="en-US" w:eastAsia="zh-CN" w:bidi="ar"/>
              </w:rPr>
              <w:t>46</w:t>
            </w:r>
          </w:p>
        </w:tc>
        <w:tc>
          <w:tcPr>
            <w:tcW w:w="221" w:type="pct"/>
            <w:tcBorders>
              <w:tl2br w:val="nil"/>
              <w:tr2bl w:val="nil"/>
            </w:tcBorders>
            <w:shd w:val="clear" w:color="auto" w:fill="auto"/>
            <w:vAlign w:val="center"/>
          </w:tcPr>
          <w:p w14:paraId="2BBCECF4">
            <w:pPr>
              <w:pStyle w:val="163"/>
              <w:jc w:val="center"/>
              <w:rPr>
                <w:rFonts w:hint="default" w:ascii="Times New Roman" w:hAnsi="Times New Roman" w:eastAsia="仿宋_GB2312" w:cs="Times New Roman"/>
                <w:color w:val="auto"/>
                <w:kern w:val="0"/>
                <w:sz w:val="21"/>
                <w:szCs w:val="21"/>
                <w:lang w:val="en-US" w:eastAsia="zh-CN" w:bidi="ar"/>
              </w:rPr>
            </w:pPr>
            <w:r>
              <w:rPr>
                <w:rFonts w:hint="eastAsia" w:ascii="Times New Roman"/>
                <w:color w:val="auto"/>
                <w:kern w:val="0"/>
                <w:szCs w:val="21"/>
                <w:lang w:val="en-US" w:eastAsia="zh-CN" w:bidi="ar"/>
              </w:rPr>
              <w:t>0.5</w:t>
            </w:r>
          </w:p>
        </w:tc>
        <w:tc>
          <w:tcPr>
            <w:tcW w:w="271" w:type="pct"/>
            <w:tcBorders>
              <w:tl2br w:val="nil"/>
              <w:tr2bl w:val="nil"/>
            </w:tcBorders>
            <w:shd w:val="clear" w:color="auto" w:fill="auto"/>
            <w:vAlign w:val="center"/>
          </w:tcPr>
          <w:p w14:paraId="0F019277">
            <w:pPr>
              <w:pStyle w:val="81"/>
              <w:spacing w:beforeAutospacing="0" w:afterAutospacing="0" w:line="320" w:lineRule="exact"/>
              <w:ind w:left="0" w:leftChars="0" w:right="0" w:rightChars="0"/>
              <w:jc w:val="center"/>
              <w:rPr>
                <w:rFonts w:ascii="Times New Roman" w:hAnsi="Times New Roman" w:eastAsia="仿宋_GB2312" w:cs="Times New Roman"/>
                <w:color w:val="FF0000"/>
                <w:kern w:val="0"/>
                <w:sz w:val="21"/>
                <w:szCs w:val="21"/>
                <w:lang w:val="en-US" w:eastAsia="zh-CN" w:bidi="ar"/>
              </w:rPr>
            </w:pPr>
            <w:r>
              <w:rPr>
                <w:rFonts w:hint="eastAsia" w:ascii="Times New Roman"/>
                <w:color w:val="auto"/>
                <w:kern w:val="0"/>
                <w:szCs w:val="21"/>
                <w:lang w:val="en-US" w:eastAsia="zh-CN" w:bidi="ar"/>
              </w:rPr>
              <w:t>80</w:t>
            </w:r>
          </w:p>
        </w:tc>
        <w:tc>
          <w:tcPr>
            <w:tcW w:w="297" w:type="pct"/>
            <w:vMerge w:val="continue"/>
            <w:tcBorders>
              <w:tl2br w:val="nil"/>
              <w:tr2bl w:val="nil"/>
            </w:tcBorders>
            <w:shd w:val="clear" w:color="auto" w:fill="auto"/>
            <w:vAlign w:val="center"/>
          </w:tcPr>
          <w:p w14:paraId="6D5D5B7F">
            <w:pPr>
              <w:pStyle w:val="81"/>
              <w:spacing w:beforeAutospacing="0" w:afterAutospacing="0" w:line="320" w:lineRule="exact"/>
              <w:jc w:val="center"/>
              <w:rPr>
                <w:rFonts w:eastAsia="仿宋_GB2312"/>
                <w:color w:val="FF0000"/>
                <w:sz w:val="21"/>
                <w:szCs w:val="21"/>
                <w:lang w:bidi="ar"/>
              </w:rPr>
            </w:pPr>
          </w:p>
        </w:tc>
        <w:tc>
          <w:tcPr>
            <w:tcW w:w="281" w:type="pct"/>
            <w:tcBorders>
              <w:tl2br w:val="nil"/>
              <w:tr2bl w:val="nil"/>
            </w:tcBorders>
            <w:shd w:val="clear" w:color="auto" w:fill="auto"/>
            <w:vAlign w:val="center"/>
          </w:tcPr>
          <w:p w14:paraId="2776D25A">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rPr>
              <w:t>5</w:t>
            </w:r>
          </w:p>
        </w:tc>
        <w:tc>
          <w:tcPr>
            <w:tcW w:w="292" w:type="pct"/>
            <w:tcBorders>
              <w:tl2br w:val="nil"/>
              <w:tr2bl w:val="nil"/>
            </w:tcBorders>
            <w:shd w:val="clear" w:color="auto" w:fill="auto"/>
            <w:vAlign w:val="center"/>
          </w:tcPr>
          <w:p w14:paraId="711B2B1E">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6</w:t>
            </w:r>
            <w:r>
              <w:rPr>
                <w:rFonts w:hint="eastAsia" w:eastAsia="仿宋_GB2312"/>
                <w:color w:val="auto"/>
                <w:sz w:val="21"/>
                <w:szCs w:val="21"/>
                <w:lang w:bidi="ar"/>
              </w:rPr>
              <w:t>6</w:t>
            </w:r>
          </w:p>
        </w:tc>
        <w:tc>
          <w:tcPr>
            <w:tcW w:w="281" w:type="pct"/>
            <w:tcBorders>
              <w:tl2br w:val="nil"/>
              <w:tr2bl w:val="nil"/>
            </w:tcBorders>
            <w:shd w:val="clear" w:color="auto" w:fill="auto"/>
            <w:vAlign w:val="center"/>
          </w:tcPr>
          <w:p w14:paraId="51A78BA2">
            <w:pPr>
              <w:pStyle w:val="81"/>
              <w:spacing w:beforeAutospacing="0" w:afterAutospacing="0" w:line="320" w:lineRule="exact"/>
              <w:ind w:left="0" w:leftChars="0" w:right="0" w:rightChars="0"/>
              <w:jc w:val="center"/>
              <w:rPr>
                <w:rFonts w:ascii="Times New Roman" w:hAnsi="Times New Roman" w:eastAsia="仿宋_GB2312" w:cs="Times New Roman"/>
                <w:b/>
                <w:bCs/>
                <w:color w:val="auto"/>
                <w:kern w:val="0"/>
                <w:sz w:val="21"/>
                <w:szCs w:val="21"/>
                <w:lang w:val="en-US" w:eastAsia="zh-CN" w:bidi="ar"/>
              </w:rPr>
            </w:pPr>
            <w:r>
              <w:rPr>
                <w:rFonts w:eastAsia="仿宋_GB2312"/>
                <w:color w:val="auto"/>
                <w:sz w:val="21"/>
                <w:szCs w:val="21"/>
                <w:lang w:bidi="ar"/>
              </w:rPr>
              <w:t>全天</w:t>
            </w:r>
          </w:p>
        </w:tc>
        <w:tc>
          <w:tcPr>
            <w:tcW w:w="323" w:type="pct"/>
            <w:tcBorders>
              <w:tl2br w:val="nil"/>
              <w:tr2bl w:val="nil"/>
            </w:tcBorders>
            <w:shd w:val="clear" w:color="auto" w:fill="auto"/>
            <w:vAlign w:val="center"/>
          </w:tcPr>
          <w:p w14:paraId="277488E7">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20</w:t>
            </w:r>
          </w:p>
        </w:tc>
        <w:tc>
          <w:tcPr>
            <w:tcW w:w="273" w:type="pct"/>
            <w:tcBorders>
              <w:tl2br w:val="nil"/>
              <w:tr2bl w:val="nil"/>
            </w:tcBorders>
            <w:shd w:val="clear" w:color="auto" w:fill="auto"/>
            <w:vAlign w:val="center"/>
          </w:tcPr>
          <w:p w14:paraId="45CEAF15">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46</w:t>
            </w:r>
          </w:p>
        </w:tc>
        <w:tc>
          <w:tcPr>
            <w:tcW w:w="298" w:type="pct"/>
            <w:tcBorders>
              <w:tl2br w:val="nil"/>
              <w:tr2bl w:val="nil"/>
            </w:tcBorders>
            <w:shd w:val="clear" w:color="auto" w:fill="auto"/>
            <w:vAlign w:val="center"/>
          </w:tcPr>
          <w:p w14:paraId="381344BF">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1</w:t>
            </w:r>
          </w:p>
        </w:tc>
        <w:tc>
          <w:tcPr>
            <w:tcW w:w="346" w:type="pct"/>
            <w:tcBorders>
              <w:tl2br w:val="nil"/>
              <w:tr2bl w:val="nil"/>
            </w:tcBorders>
            <w:shd w:val="clear" w:color="auto" w:fill="auto"/>
            <w:vAlign w:val="center"/>
          </w:tcPr>
          <w:p w14:paraId="43A11868">
            <w:pPr>
              <w:pStyle w:val="81"/>
              <w:spacing w:beforeAutospacing="0" w:afterAutospacing="0" w:line="320" w:lineRule="exact"/>
              <w:ind w:left="0" w:leftChars="0" w:right="0" w:rightChars="0"/>
              <w:jc w:val="center"/>
              <w:rPr>
                <w:rFonts w:ascii="Times New Roman" w:hAnsi="Times New Roman" w:eastAsia="仿宋_GB2312" w:cs="Times New Roman"/>
                <w:color w:val="FF0000"/>
                <w:kern w:val="0"/>
                <w:sz w:val="21"/>
                <w:szCs w:val="21"/>
                <w:lang w:val="en-US" w:eastAsia="zh-CN" w:bidi="ar"/>
              </w:rPr>
            </w:pPr>
            <w:r>
              <w:rPr>
                <w:rFonts w:hint="eastAsia" w:eastAsia="仿宋_GB2312" w:hAnsiTheme="minorHAnsi"/>
                <w:color w:val="auto"/>
                <w:sz w:val="21"/>
                <w:szCs w:val="21"/>
                <w:lang w:val="en-US" w:eastAsia="zh-CN" w:bidi="ar"/>
              </w:rPr>
              <w:t>依托现有</w:t>
            </w:r>
          </w:p>
        </w:tc>
      </w:tr>
      <w:tr w14:paraId="4C2D62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192" w:type="pct"/>
            <w:tcBorders>
              <w:tl2br w:val="nil"/>
              <w:tr2bl w:val="nil"/>
            </w:tcBorders>
            <w:shd w:val="clear" w:color="auto" w:fill="auto"/>
            <w:vAlign w:val="center"/>
          </w:tcPr>
          <w:p w14:paraId="1F57FB32">
            <w:pPr>
              <w:pStyle w:val="81"/>
              <w:spacing w:beforeAutospacing="0" w:afterAutospacing="0" w:line="320" w:lineRule="exact"/>
              <w:jc w:val="center"/>
              <w:rPr>
                <w:rFonts w:hint="default" w:eastAsia="仿宋_GB2312"/>
                <w:color w:val="auto"/>
                <w:sz w:val="21"/>
                <w:szCs w:val="21"/>
                <w:lang w:val="en-US" w:eastAsia="zh-CN" w:bidi="ar"/>
              </w:rPr>
            </w:pPr>
            <w:r>
              <w:rPr>
                <w:rFonts w:hint="eastAsia" w:eastAsia="仿宋_GB2312"/>
                <w:color w:val="auto"/>
                <w:sz w:val="21"/>
                <w:szCs w:val="21"/>
                <w:lang w:val="en-US" w:eastAsia="zh-CN" w:bidi="ar"/>
              </w:rPr>
              <w:t>12</w:t>
            </w:r>
          </w:p>
        </w:tc>
        <w:tc>
          <w:tcPr>
            <w:tcW w:w="308" w:type="pct"/>
            <w:vMerge w:val="continue"/>
            <w:tcBorders>
              <w:tl2br w:val="nil"/>
              <w:tr2bl w:val="nil"/>
            </w:tcBorders>
            <w:shd w:val="clear" w:color="auto" w:fill="auto"/>
            <w:vAlign w:val="center"/>
          </w:tcPr>
          <w:p w14:paraId="33FF90B7">
            <w:pPr>
              <w:widowControl/>
              <w:jc w:val="center"/>
              <w:textAlignment w:val="center"/>
              <w:rPr>
                <w:rFonts w:hint="eastAsia" w:eastAsia="仿宋_GB2312"/>
                <w:color w:val="auto"/>
                <w:kern w:val="0"/>
                <w:szCs w:val="21"/>
                <w:lang w:val="en-US" w:eastAsia="zh-CN" w:bidi="ar"/>
              </w:rPr>
            </w:pPr>
          </w:p>
        </w:tc>
        <w:tc>
          <w:tcPr>
            <w:tcW w:w="422" w:type="pct"/>
            <w:vMerge w:val="continue"/>
            <w:tcBorders>
              <w:tl2br w:val="nil"/>
              <w:tr2bl w:val="nil"/>
            </w:tcBorders>
            <w:shd w:val="clear" w:color="auto" w:fill="auto"/>
            <w:vAlign w:val="center"/>
          </w:tcPr>
          <w:p w14:paraId="51AFFCC0">
            <w:pPr>
              <w:bidi w:val="0"/>
              <w:jc w:val="center"/>
              <w:rPr>
                <w:rFonts w:hint="default" w:ascii="Times New Roman" w:hAnsi="Times New Roman" w:eastAsia="方正仿宋_GB2312" w:cs="Times New Roman"/>
                <w:color w:val="auto"/>
                <w:sz w:val="21"/>
                <w:szCs w:val="21"/>
                <w:lang w:val="en-US" w:eastAsia="zh-CN"/>
              </w:rPr>
            </w:pPr>
          </w:p>
        </w:tc>
        <w:tc>
          <w:tcPr>
            <w:tcW w:w="453" w:type="pct"/>
            <w:vMerge w:val="continue"/>
            <w:tcBorders>
              <w:tl2br w:val="nil"/>
              <w:tr2bl w:val="nil"/>
            </w:tcBorders>
            <w:shd w:val="clear" w:color="auto" w:fill="auto"/>
            <w:vAlign w:val="center"/>
          </w:tcPr>
          <w:p w14:paraId="078C0CA0">
            <w:pPr>
              <w:bidi w:val="0"/>
              <w:jc w:val="center"/>
              <w:rPr>
                <w:rFonts w:hint="default" w:ascii="Times New Roman" w:hAnsi="Times New Roman" w:eastAsia="方正仿宋_GB2312" w:cs="Times New Roman"/>
                <w:color w:val="auto"/>
                <w:sz w:val="21"/>
                <w:szCs w:val="21"/>
                <w:lang w:val="en-US" w:eastAsia="zh-CN"/>
              </w:rPr>
            </w:pPr>
          </w:p>
        </w:tc>
        <w:tc>
          <w:tcPr>
            <w:tcW w:w="263" w:type="pct"/>
            <w:tcBorders>
              <w:tl2br w:val="nil"/>
              <w:tr2bl w:val="nil"/>
            </w:tcBorders>
            <w:shd w:val="clear" w:color="auto" w:fill="auto"/>
            <w:vAlign w:val="center"/>
          </w:tcPr>
          <w:p w14:paraId="0731162D">
            <w:pPr>
              <w:widowControl/>
              <w:jc w:val="center"/>
              <w:textAlignment w:val="center"/>
              <w:rPr>
                <w:rFonts w:hint="default" w:eastAsia="仿宋_GB2312"/>
                <w:color w:val="auto"/>
                <w:kern w:val="0"/>
                <w:szCs w:val="21"/>
                <w:lang w:val="en-US" w:eastAsia="zh-CN" w:bidi="ar"/>
              </w:rPr>
            </w:pPr>
            <w:r>
              <w:rPr>
                <w:rFonts w:hint="eastAsia" w:eastAsia="仿宋_GB2312"/>
                <w:color w:val="auto"/>
                <w:kern w:val="0"/>
                <w:szCs w:val="21"/>
                <w:lang w:val="en-US" w:eastAsia="zh-CN" w:bidi="ar"/>
              </w:rPr>
              <w:t>1</w:t>
            </w:r>
          </w:p>
        </w:tc>
        <w:tc>
          <w:tcPr>
            <w:tcW w:w="244" w:type="pct"/>
            <w:tcBorders>
              <w:tl2br w:val="nil"/>
              <w:tr2bl w:val="nil"/>
            </w:tcBorders>
            <w:shd w:val="clear" w:color="auto" w:fill="auto"/>
            <w:vAlign w:val="center"/>
          </w:tcPr>
          <w:p w14:paraId="268EB4BC">
            <w:pPr>
              <w:pStyle w:val="163"/>
              <w:jc w:val="center"/>
              <w:rPr>
                <w:rFonts w:hint="default" w:ascii="Times New Roman" w:hAnsi="Times New Roman" w:eastAsia="仿宋_GB2312" w:cs="Times New Roman"/>
                <w:color w:val="auto"/>
                <w:kern w:val="0"/>
                <w:sz w:val="21"/>
                <w:szCs w:val="21"/>
                <w:lang w:val="en-US" w:eastAsia="zh-CN" w:bidi="ar"/>
              </w:rPr>
            </w:pPr>
            <w:r>
              <w:rPr>
                <w:rFonts w:hint="eastAsia" w:ascii="Times New Roman"/>
                <w:color w:val="auto"/>
                <w:kern w:val="0"/>
                <w:szCs w:val="21"/>
                <w:lang w:val="en-US" w:eastAsia="zh-CN" w:bidi="ar"/>
              </w:rPr>
              <w:t>166</w:t>
            </w:r>
          </w:p>
        </w:tc>
        <w:tc>
          <w:tcPr>
            <w:tcW w:w="226" w:type="pct"/>
            <w:tcBorders>
              <w:tl2br w:val="nil"/>
              <w:tr2bl w:val="nil"/>
            </w:tcBorders>
            <w:shd w:val="clear" w:color="auto" w:fill="auto"/>
            <w:vAlign w:val="center"/>
          </w:tcPr>
          <w:p w14:paraId="644039F4">
            <w:pPr>
              <w:pStyle w:val="163"/>
              <w:jc w:val="center"/>
              <w:rPr>
                <w:rFonts w:hint="default" w:ascii="Times New Roman" w:hAnsi="Times New Roman" w:eastAsia="仿宋_GB2312" w:cs="Times New Roman"/>
                <w:color w:val="auto"/>
                <w:kern w:val="0"/>
                <w:sz w:val="21"/>
                <w:szCs w:val="21"/>
                <w:lang w:val="en-US" w:eastAsia="zh-CN" w:bidi="ar"/>
              </w:rPr>
            </w:pPr>
            <w:r>
              <w:rPr>
                <w:rFonts w:hint="eastAsia" w:ascii="Times New Roman"/>
                <w:color w:val="auto"/>
                <w:kern w:val="0"/>
                <w:szCs w:val="21"/>
                <w:lang w:val="en-US" w:eastAsia="zh-CN" w:bidi="ar"/>
              </w:rPr>
              <w:t>46</w:t>
            </w:r>
          </w:p>
        </w:tc>
        <w:tc>
          <w:tcPr>
            <w:tcW w:w="221" w:type="pct"/>
            <w:tcBorders>
              <w:tl2br w:val="nil"/>
              <w:tr2bl w:val="nil"/>
            </w:tcBorders>
            <w:shd w:val="clear" w:color="auto" w:fill="auto"/>
            <w:vAlign w:val="center"/>
          </w:tcPr>
          <w:p w14:paraId="4EF5C7CE">
            <w:pPr>
              <w:pStyle w:val="163"/>
              <w:jc w:val="center"/>
              <w:rPr>
                <w:rFonts w:hint="default" w:ascii="Times New Roman" w:hAnsi="Times New Roman" w:eastAsia="仿宋_GB2312" w:cs="Times New Roman"/>
                <w:color w:val="auto"/>
                <w:kern w:val="0"/>
                <w:sz w:val="21"/>
                <w:szCs w:val="21"/>
                <w:lang w:val="en-US" w:eastAsia="zh-CN" w:bidi="ar"/>
              </w:rPr>
            </w:pPr>
            <w:r>
              <w:rPr>
                <w:rFonts w:hint="eastAsia" w:ascii="Times New Roman"/>
                <w:color w:val="auto"/>
                <w:kern w:val="0"/>
                <w:szCs w:val="21"/>
                <w:lang w:val="en-US" w:eastAsia="zh-CN" w:bidi="ar"/>
              </w:rPr>
              <w:t>0.5</w:t>
            </w:r>
          </w:p>
        </w:tc>
        <w:tc>
          <w:tcPr>
            <w:tcW w:w="271" w:type="pct"/>
            <w:tcBorders>
              <w:tl2br w:val="nil"/>
              <w:tr2bl w:val="nil"/>
            </w:tcBorders>
            <w:shd w:val="clear" w:color="auto" w:fill="auto"/>
            <w:vAlign w:val="center"/>
          </w:tcPr>
          <w:p w14:paraId="2225D89E">
            <w:pPr>
              <w:pStyle w:val="81"/>
              <w:spacing w:beforeAutospacing="0" w:afterAutospacing="0" w:line="320" w:lineRule="exact"/>
              <w:ind w:left="0" w:leftChars="0" w:right="0" w:rightChars="0"/>
              <w:jc w:val="center"/>
              <w:rPr>
                <w:rFonts w:ascii="Times New Roman" w:hAnsi="Times New Roman" w:eastAsia="仿宋_GB2312" w:cs="Times New Roman"/>
                <w:color w:val="FF0000"/>
                <w:kern w:val="0"/>
                <w:sz w:val="21"/>
                <w:szCs w:val="21"/>
                <w:lang w:val="en-US" w:eastAsia="zh-CN" w:bidi="ar"/>
              </w:rPr>
            </w:pPr>
            <w:r>
              <w:rPr>
                <w:rFonts w:hint="eastAsia" w:ascii="Times New Roman"/>
                <w:color w:val="auto"/>
                <w:kern w:val="0"/>
                <w:szCs w:val="21"/>
                <w:lang w:val="en-US" w:eastAsia="zh-CN" w:bidi="ar"/>
              </w:rPr>
              <w:t>80</w:t>
            </w:r>
          </w:p>
        </w:tc>
        <w:tc>
          <w:tcPr>
            <w:tcW w:w="297" w:type="pct"/>
            <w:vMerge w:val="continue"/>
            <w:tcBorders>
              <w:tl2br w:val="nil"/>
              <w:tr2bl w:val="nil"/>
            </w:tcBorders>
            <w:shd w:val="clear" w:color="auto" w:fill="auto"/>
            <w:vAlign w:val="center"/>
          </w:tcPr>
          <w:p w14:paraId="0AEA909D">
            <w:pPr>
              <w:pStyle w:val="81"/>
              <w:spacing w:beforeAutospacing="0" w:afterAutospacing="0" w:line="320" w:lineRule="exact"/>
              <w:jc w:val="center"/>
              <w:rPr>
                <w:rFonts w:eastAsia="仿宋_GB2312"/>
                <w:color w:val="FF0000"/>
                <w:sz w:val="21"/>
                <w:szCs w:val="21"/>
                <w:lang w:bidi="ar"/>
              </w:rPr>
            </w:pPr>
          </w:p>
        </w:tc>
        <w:tc>
          <w:tcPr>
            <w:tcW w:w="281" w:type="pct"/>
            <w:tcBorders>
              <w:tl2br w:val="nil"/>
              <w:tr2bl w:val="nil"/>
            </w:tcBorders>
            <w:shd w:val="clear" w:color="auto" w:fill="auto"/>
            <w:vAlign w:val="center"/>
          </w:tcPr>
          <w:p w14:paraId="6AB53C2A">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rPr>
              <w:t>5</w:t>
            </w:r>
          </w:p>
        </w:tc>
        <w:tc>
          <w:tcPr>
            <w:tcW w:w="292" w:type="pct"/>
            <w:tcBorders>
              <w:tl2br w:val="nil"/>
              <w:tr2bl w:val="nil"/>
            </w:tcBorders>
            <w:shd w:val="clear" w:color="auto" w:fill="auto"/>
            <w:vAlign w:val="center"/>
          </w:tcPr>
          <w:p w14:paraId="2D862D03">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6</w:t>
            </w:r>
            <w:r>
              <w:rPr>
                <w:rFonts w:hint="eastAsia" w:eastAsia="仿宋_GB2312"/>
                <w:color w:val="auto"/>
                <w:sz w:val="21"/>
                <w:szCs w:val="21"/>
                <w:lang w:bidi="ar"/>
              </w:rPr>
              <w:t>6</w:t>
            </w:r>
          </w:p>
        </w:tc>
        <w:tc>
          <w:tcPr>
            <w:tcW w:w="281" w:type="pct"/>
            <w:tcBorders>
              <w:tl2br w:val="nil"/>
              <w:tr2bl w:val="nil"/>
            </w:tcBorders>
            <w:shd w:val="clear" w:color="auto" w:fill="auto"/>
            <w:vAlign w:val="center"/>
          </w:tcPr>
          <w:p w14:paraId="557756D5">
            <w:pPr>
              <w:pStyle w:val="81"/>
              <w:spacing w:beforeAutospacing="0" w:afterAutospacing="0" w:line="320" w:lineRule="exact"/>
              <w:ind w:left="0" w:leftChars="0" w:right="0" w:rightChars="0"/>
              <w:jc w:val="center"/>
              <w:rPr>
                <w:rFonts w:ascii="Times New Roman" w:hAnsi="Times New Roman" w:eastAsia="仿宋_GB2312" w:cs="Times New Roman"/>
                <w:b/>
                <w:bCs/>
                <w:color w:val="auto"/>
                <w:kern w:val="0"/>
                <w:sz w:val="21"/>
                <w:szCs w:val="21"/>
                <w:lang w:val="en-US" w:eastAsia="zh-CN" w:bidi="ar"/>
              </w:rPr>
            </w:pPr>
            <w:r>
              <w:rPr>
                <w:rFonts w:eastAsia="仿宋_GB2312"/>
                <w:color w:val="auto"/>
                <w:sz w:val="21"/>
                <w:szCs w:val="21"/>
                <w:lang w:bidi="ar"/>
              </w:rPr>
              <w:t>全天</w:t>
            </w:r>
          </w:p>
        </w:tc>
        <w:tc>
          <w:tcPr>
            <w:tcW w:w="323" w:type="pct"/>
            <w:tcBorders>
              <w:tl2br w:val="nil"/>
              <w:tr2bl w:val="nil"/>
            </w:tcBorders>
            <w:shd w:val="clear" w:color="auto" w:fill="auto"/>
            <w:vAlign w:val="center"/>
          </w:tcPr>
          <w:p w14:paraId="0603209F">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20</w:t>
            </w:r>
          </w:p>
        </w:tc>
        <w:tc>
          <w:tcPr>
            <w:tcW w:w="273" w:type="pct"/>
            <w:tcBorders>
              <w:tl2br w:val="nil"/>
              <w:tr2bl w:val="nil"/>
            </w:tcBorders>
            <w:shd w:val="clear" w:color="auto" w:fill="auto"/>
            <w:vAlign w:val="center"/>
          </w:tcPr>
          <w:p w14:paraId="22111C0D">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46</w:t>
            </w:r>
          </w:p>
        </w:tc>
        <w:tc>
          <w:tcPr>
            <w:tcW w:w="298" w:type="pct"/>
            <w:tcBorders>
              <w:tl2br w:val="nil"/>
              <w:tr2bl w:val="nil"/>
            </w:tcBorders>
            <w:shd w:val="clear" w:color="auto" w:fill="auto"/>
            <w:vAlign w:val="center"/>
          </w:tcPr>
          <w:p w14:paraId="60FCAD1D">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1</w:t>
            </w:r>
          </w:p>
        </w:tc>
        <w:tc>
          <w:tcPr>
            <w:tcW w:w="346" w:type="pct"/>
            <w:tcBorders>
              <w:tl2br w:val="nil"/>
              <w:tr2bl w:val="nil"/>
            </w:tcBorders>
            <w:shd w:val="clear" w:color="auto" w:fill="auto"/>
            <w:vAlign w:val="center"/>
          </w:tcPr>
          <w:p w14:paraId="7038A607">
            <w:pPr>
              <w:pStyle w:val="81"/>
              <w:spacing w:beforeAutospacing="0" w:afterAutospacing="0" w:line="320" w:lineRule="exact"/>
              <w:ind w:left="0" w:leftChars="0" w:right="0" w:rightChars="0"/>
              <w:jc w:val="center"/>
              <w:rPr>
                <w:rFonts w:ascii="Times New Roman" w:hAnsi="Times New Roman" w:eastAsia="仿宋_GB2312" w:cs="Times New Roman"/>
                <w:color w:val="FF0000"/>
                <w:kern w:val="0"/>
                <w:sz w:val="21"/>
                <w:szCs w:val="21"/>
                <w:lang w:val="en-US" w:eastAsia="zh-CN" w:bidi="ar"/>
              </w:rPr>
            </w:pPr>
            <w:r>
              <w:rPr>
                <w:rFonts w:hint="eastAsia" w:eastAsia="仿宋_GB2312" w:hAnsiTheme="minorHAnsi"/>
                <w:color w:val="auto"/>
                <w:sz w:val="21"/>
                <w:szCs w:val="21"/>
                <w:lang w:val="en-US" w:eastAsia="zh-CN" w:bidi="ar"/>
              </w:rPr>
              <w:t>依托现有</w:t>
            </w:r>
          </w:p>
        </w:tc>
      </w:tr>
      <w:tr w14:paraId="20FEC0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192" w:type="pct"/>
            <w:tcBorders>
              <w:tl2br w:val="nil"/>
              <w:tr2bl w:val="nil"/>
            </w:tcBorders>
            <w:shd w:val="clear" w:color="auto" w:fill="auto"/>
            <w:vAlign w:val="center"/>
          </w:tcPr>
          <w:p w14:paraId="23D44D66">
            <w:pPr>
              <w:pStyle w:val="81"/>
              <w:spacing w:beforeAutospacing="0" w:afterAutospacing="0" w:line="320" w:lineRule="exact"/>
              <w:jc w:val="center"/>
              <w:rPr>
                <w:rFonts w:hint="default" w:eastAsia="仿宋_GB2312"/>
                <w:color w:val="auto"/>
                <w:sz w:val="21"/>
                <w:szCs w:val="21"/>
                <w:lang w:val="en-US" w:eastAsia="zh-CN" w:bidi="ar"/>
              </w:rPr>
            </w:pPr>
            <w:r>
              <w:rPr>
                <w:rFonts w:hint="eastAsia" w:eastAsia="仿宋_GB2312"/>
                <w:color w:val="auto"/>
                <w:sz w:val="21"/>
                <w:szCs w:val="21"/>
                <w:lang w:val="en-US" w:eastAsia="zh-CN" w:bidi="ar"/>
              </w:rPr>
              <w:t>13</w:t>
            </w:r>
          </w:p>
        </w:tc>
        <w:tc>
          <w:tcPr>
            <w:tcW w:w="308" w:type="pct"/>
            <w:vMerge w:val="continue"/>
            <w:tcBorders>
              <w:tl2br w:val="nil"/>
              <w:tr2bl w:val="nil"/>
            </w:tcBorders>
            <w:shd w:val="clear" w:color="auto" w:fill="auto"/>
            <w:vAlign w:val="center"/>
          </w:tcPr>
          <w:p w14:paraId="1A43733F">
            <w:pPr>
              <w:widowControl/>
              <w:jc w:val="center"/>
              <w:textAlignment w:val="center"/>
              <w:rPr>
                <w:rFonts w:hint="eastAsia" w:eastAsia="仿宋_GB2312"/>
                <w:color w:val="auto"/>
                <w:kern w:val="0"/>
                <w:szCs w:val="21"/>
                <w:lang w:val="en-US" w:eastAsia="zh-CN" w:bidi="ar"/>
              </w:rPr>
            </w:pPr>
          </w:p>
        </w:tc>
        <w:tc>
          <w:tcPr>
            <w:tcW w:w="422" w:type="pct"/>
            <w:vMerge w:val="continue"/>
            <w:tcBorders>
              <w:tl2br w:val="nil"/>
              <w:tr2bl w:val="nil"/>
            </w:tcBorders>
            <w:shd w:val="clear" w:color="auto" w:fill="auto"/>
            <w:vAlign w:val="center"/>
          </w:tcPr>
          <w:p w14:paraId="414F2DE3">
            <w:pPr>
              <w:bidi w:val="0"/>
              <w:jc w:val="center"/>
              <w:rPr>
                <w:rFonts w:hint="default" w:ascii="Times New Roman" w:hAnsi="Times New Roman" w:eastAsia="方正仿宋_GB2312" w:cs="Times New Roman"/>
                <w:color w:val="auto"/>
                <w:sz w:val="21"/>
                <w:szCs w:val="21"/>
                <w:lang w:val="en-US" w:eastAsia="zh-CN"/>
              </w:rPr>
            </w:pPr>
          </w:p>
        </w:tc>
        <w:tc>
          <w:tcPr>
            <w:tcW w:w="453" w:type="pct"/>
            <w:vMerge w:val="continue"/>
            <w:tcBorders>
              <w:tl2br w:val="nil"/>
              <w:tr2bl w:val="nil"/>
            </w:tcBorders>
            <w:shd w:val="clear" w:color="auto" w:fill="auto"/>
            <w:vAlign w:val="center"/>
          </w:tcPr>
          <w:p w14:paraId="05D23B08">
            <w:pPr>
              <w:bidi w:val="0"/>
              <w:jc w:val="center"/>
              <w:rPr>
                <w:rFonts w:hint="default" w:ascii="Times New Roman" w:hAnsi="Times New Roman" w:eastAsia="方正仿宋_GB2312" w:cs="Times New Roman"/>
                <w:color w:val="auto"/>
                <w:sz w:val="21"/>
                <w:szCs w:val="21"/>
                <w:lang w:val="en-US" w:eastAsia="zh-CN"/>
              </w:rPr>
            </w:pPr>
          </w:p>
        </w:tc>
        <w:tc>
          <w:tcPr>
            <w:tcW w:w="263" w:type="pct"/>
            <w:tcBorders>
              <w:tl2br w:val="nil"/>
              <w:tr2bl w:val="nil"/>
            </w:tcBorders>
            <w:shd w:val="clear" w:color="auto" w:fill="auto"/>
            <w:vAlign w:val="center"/>
          </w:tcPr>
          <w:p w14:paraId="15B4EC7C">
            <w:pPr>
              <w:widowControl/>
              <w:jc w:val="center"/>
              <w:textAlignment w:val="center"/>
              <w:rPr>
                <w:rFonts w:hint="default" w:eastAsia="仿宋_GB2312"/>
                <w:color w:val="auto"/>
                <w:kern w:val="0"/>
                <w:szCs w:val="21"/>
                <w:lang w:val="en-US" w:eastAsia="zh-CN" w:bidi="ar"/>
              </w:rPr>
            </w:pPr>
            <w:r>
              <w:rPr>
                <w:rFonts w:hint="eastAsia" w:eastAsia="仿宋_GB2312"/>
                <w:color w:val="auto"/>
                <w:kern w:val="0"/>
                <w:szCs w:val="21"/>
                <w:lang w:val="en-US" w:eastAsia="zh-CN" w:bidi="ar"/>
              </w:rPr>
              <w:t>1</w:t>
            </w:r>
          </w:p>
        </w:tc>
        <w:tc>
          <w:tcPr>
            <w:tcW w:w="244" w:type="pct"/>
            <w:tcBorders>
              <w:tl2br w:val="nil"/>
              <w:tr2bl w:val="nil"/>
            </w:tcBorders>
            <w:shd w:val="clear" w:color="auto" w:fill="auto"/>
            <w:vAlign w:val="center"/>
          </w:tcPr>
          <w:p w14:paraId="5C78E360">
            <w:pPr>
              <w:pStyle w:val="163"/>
              <w:jc w:val="center"/>
              <w:rPr>
                <w:rFonts w:hint="default" w:ascii="Times New Roman" w:hAnsi="Times New Roman" w:eastAsia="仿宋_GB2312" w:cs="Times New Roman"/>
                <w:color w:val="auto"/>
                <w:kern w:val="0"/>
                <w:sz w:val="21"/>
                <w:szCs w:val="21"/>
                <w:lang w:val="en-US" w:eastAsia="zh-CN" w:bidi="ar"/>
              </w:rPr>
            </w:pPr>
            <w:r>
              <w:rPr>
                <w:rFonts w:hint="eastAsia" w:ascii="Times New Roman"/>
                <w:color w:val="auto"/>
                <w:kern w:val="0"/>
                <w:szCs w:val="21"/>
                <w:lang w:val="en-US" w:eastAsia="zh-CN" w:bidi="ar"/>
              </w:rPr>
              <w:t>167</w:t>
            </w:r>
          </w:p>
        </w:tc>
        <w:tc>
          <w:tcPr>
            <w:tcW w:w="226" w:type="pct"/>
            <w:tcBorders>
              <w:tl2br w:val="nil"/>
              <w:tr2bl w:val="nil"/>
            </w:tcBorders>
            <w:shd w:val="clear" w:color="auto" w:fill="auto"/>
            <w:vAlign w:val="center"/>
          </w:tcPr>
          <w:p w14:paraId="04B155A4">
            <w:pPr>
              <w:pStyle w:val="163"/>
              <w:jc w:val="center"/>
              <w:rPr>
                <w:rFonts w:hint="default" w:ascii="Times New Roman" w:hAnsi="Times New Roman" w:eastAsia="仿宋_GB2312" w:cs="Times New Roman"/>
                <w:color w:val="auto"/>
                <w:kern w:val="0"/>
                <w:sz w:val="21"/>
                <w:szCs w:val="21"/>
                <w:lang w:val="en-US" w:eastAsia="zh-CN" w:bidi="ar"/>
              </w:rPr>
            </w:pPr>
            <w:r>
              <w:rPr>
                <w:rFonts w:hint="eastAsia" w:ascii="Times New Roman"/>
                <w:color w:val="auto"/>
                <w:kern w:val="0"/>
                <w:szCs w:val="21"/>
                <w:lang w:val="en-US" w:eastAsia="zh-CN" w:bidi="ar"/>
              </w:rPr>
              <w:t>47</w:t>
            </w:r>
          </w:p>
        </w:tc>
        <w:tc>
          <w:tcPr>
            <w:tcW w:w="221" w:type="pct"/>
            <w:tcBorders>
              <w:tl2br w:val="nil"/>
              <w:tr2bl w:val="nil"/>
            </w:tcBorders>
            <w:shd w:val="clear" w:color="auto" w:fill="auto"/>
            <w:vAlign w:val="center"/>
          </w:tcPr>
          <w:p w14:paraId="244D2EE6">
            <w:pPr>
              <w:pStyle w:val="163"/>
              <w:jc w:val="center"/>
              <w:rPr>
                <w:rFonts w:hint="default" w:ascii="Times New Roman" w:hAnsi="Times New Roman" w:eastAsia="仿宋_GB2312" w:cs="Times New Roman"/>
                <w:color w:val="auto"/>
                <w:kern w:val="0"/>
                <w:sz w:val="21"/>
                <w:szCs w:val="21"/>
                <w:lang w:val="en-US" w:eastAsia="zh-CN" w:bidi="ar"/>
              </w:rPr>
            </w:pPr>
            <w:r>
              <w:rPr>
                <w:rFonts w:hint="eastAsia" w:ascii="Times New Roman"/>
                <w:color w:val="auto"/>
                <w:kern w:val="0"/>
                <w:szCs w:val="21"/>
                <w:lang w:val="en-US" w:eastAsia="zh-CN" w:bidi="ar"/>
              </w:rPr>
              <w:t>0.5</w:t>
            </w:r>
          </w:p>
        </w:tc>
        <w:tc>
          <w:tcPr>
            <w:tcW w:w="271" w:type="pct"/>
            <w:tcBorders>
              <w:tl2br w:val="nil"/>
              <w:tr2bl w:val="nil"/>
            </w:tcBorders>
            <w:shd w:val="clear" w:color="auto" w:fill="auto"/>
            <w:vAlign w:val="center"/>
          </w:tcPr>
          <w:p w14:paraId="3F95A1D4">
            <w:pPr>
              <w:pStyle w:val="81"/>
              <w:spacing w:beforeAutospacing="0" w:afterAutospacing="0" w:line="320" w:lineRule="exact"/>
              <w:ind w:left="0" w:leftChars="0" w:right="0" w:rightChars="0"/>
              <w:jc w:val="center"/>
              <w:rPr>
                <w:rFonts w:ascii="Times New Roman" w:hAnsi="Times New Roman" w:eastAsia="仿宋_GB2312" w:cs="Times New Roman"/>
                <w:color w:val="FF0000"/>
                <w:kern w:val="0"/>
                <w:sz w:val="21"/>
                <w:szCs w:val="21"/>
                <w:lang w:val="en-US" w:eastAsia="zh-CN" w:bidi="ar"/>
              </w:rPr>
            </w:pPr>
            <w:r>
              <w:rPr>
                <w:rFonts w:hint="eastAsia" w:ascii="Times New Roman"/>
                <w:color w:val="auto"/>
                <w:kern w:val="0"/>
                <w:szCs w:val="21"/>
                <w:lang w:val="en-US" w:eastAsia="zh-CN" w:bidi="ar"/>
              </w:rPr>
              <w:t>80</w:t>
            </w:r>
          </w:p>
        </w:tc>
        <w:tc>
          <w:tcPr>
            <w:tcW w:w="297" w:type="pct"/>
            <w:vMerge w:val="continue"/>
            <w:tcBorders>
              <w:tl2br w:val="nil"/>
              <w:tr2bl w:val="nil"/>
            </w:tcBorders>
            <w:shd w:val="clear" w:color="auto" w:fill="auto"/>
            <w:vAlign w:val="center"/>
          </w:tcPr>
          <w:p w14:paraId="3609E621">
            <w:pPr>
              <w:pStyle w:val="81"/>
              <w:spacing w:beforeAutospacing="0" w:afterAutospacing="0" w:line="320" w:lineRule="exact"/>
              <w:jc w:val="center"/>
              <w:rPr>
                <w:rFonts w:eastAsia="仿宋_GB2312"/>
                <w:color w:val="FF0000"/>
                <w:sz w:val="21"/>
                <w:szCs w:val="21"/>
                <w:lang w:bidi="ar"/>
              </w:rPr>
            </w:pPr>
          </w:p>
        </w:tc>
        <w:tc>
          <w:tcPr>
            <w:tcW w:w="281" w:type="pct"/>
            <w:tcBorders>
              <w:tl2br w:val="nil"/>
              <w:tr2bl w:val="nil"/>
            </w:tcBorders>
            <w:shd w:val="clear" w:color="auto" w:fill="auto"/>
            <w:vAlign w:val="center"/>
          </w:tcPr>
          <w:p w14:paraId="2153EA10">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rPr>
              <w:t>5</w:t>
            </w:r>
          </w:p>
        </w:tc>
        <w:tc>
          <w:tcPr>
            <w:tcW w:w="292" w:type="pct"/>
            <w:tcBorders>
              <w:tl2br w:val="nil"/>
              <w:tr2bl w:val="nil"/>
            </w:tcBorders>
            <w:shd w:val="clear" w:color="auto" w:fill="auto"/>
            <w:vAlign w:val="center"/>
          </w:tcPr>
          <w:p w14:paraId="14FD3538">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6</w:t>
            </w:r>
            <w:r>
              <w:rPr>
                <w:rFonts w:hint="eastAsia" w:eastAsia="仿宋_GB2312"/>
                <w:color w:val="auto"/>
                <w:sz w:val="21"/>
                <w:szCs w:val="21"/>
                <w:lang w:bidi="ar"/>
              </w:rPr>
              <w:t>6</w:t>
            </w:r>
          </w:p>
        </w:tc>
        <w:tc>
          <w:tcPr>
            <w:tcW w:w="281" w:type="pct"/>
            <w:tcBorders>
              <w:tl2br w:val="nil"/>
              <w:tr2bl w:val="nil"/>
            </w:tcBorders>
            <w:shd w:val="clear" w:color="auto" w:fill="auto"/>
            <w:vAlign w:val="center"/>
          </w:tcPr>
          <w:p w14:paraId="04C79932">
            <w:pPr>
              <w:pStyle w:val="81"/>
              <w:spacing w:beforeAutospacing="0" w:afterAutospacing="0" w:line="320" w:lineRule="exact"/>
              <w:ind w:left="0" w:leftChars="0" w:right="0" w:rightChars="0"/>
              <w:jc w:val="center"/>
              <w:rPr>
                <w:rFonts w:ascii="Times New Roman" w:hAnsi="Times New Roman" w:eastAsia="仿宋_GB2312" w:cs="Times New Roman"/>
                <w:b/>
                <w:bCs/>
                <w:color w:val="auto"/>
                <w:kern w:val="0"/>
                <w:sz w:val="21"/>
                <w:szCs w:val="21"/>
                <w:lang w:val="en-US" w:eastAsia="zh-CN" w:bidi="ar"/>
              </w:rPr>
            </w:pPr>
            <w:r>
              <w:rPr>
                <w:rFonts w:eastAsia="仿宋_GB2312"/>
                <w:color w:val="auto"/>
                <w:sz w:val="21"/>
                <w:szCs w:val="21"/>
                <w:lang w:bidi="ar"/>
              </w:rPr>
              <w:t>全天</w:t>
            </w:r>
          </w:p>
        </w:tc>
        <w:tc>
          <w:tcPr>
            <w:tcW w:w="323" w:type="pct"/>
            <w:tcBorders>
              <w:tl2br w:val="nil"/>
              <w:tr2bl w:val="nil"/>
            </w:tcBorders>
            <w:shd w:val="clear" w:color="auto" w:fill="auto"/>
            <w:vAlign w:val="center"/>
          </w:tcPr>
          <w:p w14:paraId="7746FD59">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20</w:t>
            </w:r>
          </w:p>
        </w:tc>
        <w:tc>
          <w:tcPr>
            <w:tcW w:w="273" w:type="pct"/>
            <w:tcBorders>
              <w:tl2br w:val="nil"/>
              <w:tr2bl w:val="nil"/>
            </w:tcBorders>
            <w:shd w:val="clear" w:color="auto" w:fill="auto"/>
            <w:vAlign w:val="center"/>
          </w:tcPr>
          <w:p w14:paraId="39E00874">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46</w:t>
            </w:r>
          </w:p>
        </w:tc>
        <w:tc>
          <w:tcPr>
            <w:tcW w:w="298" w:type="pct"/>
            <w:tcBorders>
              <w:tl2br w:val="nil"/>
              <w:tr2bl w:val="nil"/>
            </w:tcBorders>
            <w:shd w:val="clear" w:color="auto" w:fill="auto"/>
            <w:vAlign w:val="center"/>
          </w:tcPr>
          <w:p w14:paraId="47E198B2">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1</w:t>
            </w:r>
          </w:p>
        </w:tc>
        <w:tc>
          <w:tcPr>
            <w:tcW w:w="346" w:type="pct"/>
            <w:tcBorders>
              <w:tl2br w:val="nil"/>
              <w:tr2bl w:val="nil"/>
            </w:tcBorders>
            <w:shd w:val="clear" w:color="auto" w:fill="auto"/>
            <w:vAlign w:val="center"/>
          </w:tcPr>
          <w:p w14:paraId="72D2C9FF">
            <w:pPr>
              <w:pStyle w:val="81"/>
              <w:spacing w:beforeAutospacing="0" w:afterAutospacing="0" w:line="320" w:lineRule="exact"/>
              <w:ind w:left="0" w:leftChars="0" w:right="0" w:rightChars="0"/>
              <w:jc w:val="center"/>
              <w:rPr>
                <w:rFonts w:ascii="Times New Roman" w:hAnsi="Times New Roman" w:eastAsia="仿宋_GB2312" w:cs="Times New Roman"/>
                <w:color w:val="FF0000"/>
                <w:kern w:val="0"/>
                <w:sz w:val="21"/>
                <w:szCs w:val="21"/>
                <w:lang w:val="en-US" w:eastAsia="zh-CN" w:bidi="ar"/>
              </w:rPr>
            </w:pPr>
            <w:r>
              <w:rPr>
                <w:rFonts w:hint="eastAsia" w:eastAsia="仿宋_GB2312" w:hAnsiTheme="minorHAnsi"/>
                <w:color w:val="auto"/>
                <w:sz w:val="21"/>
                <w:szCs w:val="21"/>
                <w:lang w:val="en-US" w:eastAsia="zh-CN" w:bidi="ar"/>
              </w:rPr>
              <w:t>依托现有</w:t>
            </w:r>
          </w:p>
        </w:tc>
      </w:tr>
      <w:tr w14:paraId="516A35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192" w:type="pct"/>
            <w:tcBorders>
              <w:tl2br w:val="nil"/>
              <w:tr2bl w:val="nil"/>
            </w:tcBorders>
            <w:shd w:val="clear" w:color="auto" w:fill="auto"/>
            <w:vAlign w:val="center"/>
          </w:tcPr>
          <w:p w14:paraId="4BE68FFB">
            <w:pPr>
              <w:pStyle w:val="81"/>
              <w:spacing w:beforeAutospacing="0" w:afterAutospacing="0" w:line="320" w:lineRule="exact"/>
              <w:jc w:val="center"/>
              <w:rPr>
                <w:rFonts w:hint="default" w:eastAsia="仿宋_GB2312"/>
                <w:color w:val="auto"/>
                <w:sz w:val="21"/>
                <w:szCs w:val="21"/>
                <w:lang w:val="en-US" w:eastAsia="zh-CN" w:bidi="ar"/>
              </w:rPr>
            </w:pPr>
            <w:r>
              <w:rPr>
                <w:rFonts w:hint="eastAsia" w:eastAsia="仿宋_GB2312"/>
                <w:color w:val="auto"/>
                <w:sz w:val="21"/>
                <w:szCs w:val="21"/>
                <w:lang w:val="en-US" w:eastAsia="zh-CN" w:bidi="ar"/>
              </w:rPr>
              <w:t>14</w:t>
            </w:r>
          </w:p>
        </w:tc>
        <w:tc>
          <w:tcPr>
            <w:tcW w:w="308" w:type="pct"/>
            <w:vMerge w:val="continue"/>
            <w:tcBorders>
              <w:tl2br w:val="nil"/>
              <w:tr2bl w:val="nil"/>
            </w:tcBorders>
            <w:shd w:val="clear" w:color="auto" w:fill="auto"/>
            <w:vAlign w:val="center"/>
          </w:tcPr>
          <w:p w14:paraId="41C3B818">
            <w:pPr>
              <w:widowControl/>
              <w:jc w:val="center"/>
              <w:textAlignment w:val="center"/>
              <w:rPr>
                <w:rFonts w:hint="eastAsia" w:eastAsia="仿宋_GB2312"/>
                <w:color w:val="auto"/>
                <w:kern w:val="0"/>
                <w:szCs w:val="21"/>
                <w:lang w:val="en-US" w:eastAsia="zh-CN" w:bidi="ar"/>
              </w:rPr>
            </w:pPr>
          </w:p>
        </w:tc>
        <w:tc>
          <w:tcPr>
            <w:tcW w:w="422" w:type="pct"/>
            <w:vMerge w:val="continue"/>
            <w:tcBorders>
              <w:tl2br w:val="nil"/>
              <w:tr2bl w:val="nil"/>
            </w:tcBorders>
            <w:shd w:val="clear" w:color="auto" w:fill="auto"/>
            <w:vAlign w:val="center"/>
          </w:tcPr>
          <w:p w14:paraId="024231E3">
            <w:pPr>
              <w:bidi w:val="0"/>
              <w:jc w:val="center"/>
              <w:rPr>
                <w:rFonts w:hint="default" w:ascii="Times New Roman" w:hAnsi="Times New Roman" w:eastAsia="方正仿宋_GB2312" w:cs="Times New Roman"/>
                <w:color w:val="auto"/>
                <w:sz w:val="21"/>
                <w:szCs w:val="21"/>
                <w:lang w:val="en-US" w:eastAsia="zh-CN"/>
              </w:rPr>
            </w:pPr>
          </w:p>
        </w:tc>
        <w:tc>
          <w:tcPr>
            <w:tcW w:w="453" w:type="pct"/>
            <w:vMerge w:val="continue"/>
            <w:tcBorders>
              <w:tl2br w:val="nil"/>
              <w:tr2bl w:val="nil"/>
            </w:tcBorders>
            <w:shd w:val="clear" w:color="auto" w:fill="auto"/>
            <w:vAlign w:val="center"/>
          </w:tcPr>
          <w:p w14:paraId="274DA2C2">
            <w:pPr>
              <w:bidi w:val="0"/>
              <w:jc w:val="center"/>
              <w:rPr>
                <w:rFonts w:hint="default" w:ascii="Times New Roman" w:hAnsi="Times New Roman" w:eastAsia="方正仿宋_GB2312" w:cs="Times New Roman"/>
                <w:color w:val="auto"/>
                <w:sz w:val="21"/>
                <w:szCs w:val="21"/>
                <w:lang w:val="en-US" w:eastAsia="zh-CN"/>
              </w:rPr>
            </w:pPr>
          </w:p>
        </w:tc>
        <w:tc>
          <w:tcPr>
            <w:tcW w:w="263" w:type="pct"/>
            <w:tcBorders>
              <w:tl2br w:val="nil"/>
              <w:tr2bl w:val="nil"/>
            </w:tcBorders>
            <w:shd w:val="clear" w:color="auto" w:fill="auto"/>
            <w:vAlign w:val="center"/>
          </w:tcPr>
          <w:p w14:paraId="317838DA">
            <w:pPr>
              <w:widowControl/>
              <w:jc w:val="center"/>
              <w:textAlignment w:val="center"/>
              <w:rPr>
                <w:rFonts w:hint="default" w:eastAsia="仿宋_GB2312"/>
                <w:color w:val="auto"/>
                <w:kern w:val="0"/>
                <w:szCs w:val="21"/>
                <w:lang w:val="en-US" w:eastAsia="zh-CN" w:bidi="ar"/>
              </w:rPr>
            </w:pPr>
            <w:r>
              <w:rPr>
                <w:rFonts w:hint="eastAsia" w:eastAsia="仿宋_GB2312"/>
                <w:color w:val="auto"/>
                <w:kern w:val="0"/>
                <w:szCs w:val="21"/>
                <w:lang w:val="en-US" w:eastAsia="zh-CN" w:bidi="ar"/>
              </w:rPr>
              <w:t>1</w:t>
            </w:r>
          </w:p>
        </w:tc>
        <w:tc>
          <w:tcPr>
            <w:tcW w:w="244" w:type="pct"/>
            <w:tcBorders>
              <w:tl2br w:val="nil"/>
              <w:tr2bl w:val="nil"/>
            </w:tcBorders>
            <w:shd w:val="clear" w:color="auto" w:fill="auto"/>
            <w:vAlign w:val="center"/>
          </w:tcPr>
          <w:p w14:paraId="15029B3F">
            <w:pPr>
              <w:pStyle w:val="163"/>
              <w:jc w:val="center"/>
              <w:rPr>
                <w:rFonts w:hint="default" w:ascii="Times New Roman" w:hAnsi="Times New Roman" w:eastAsia="仿宋_GB2312" w:cs="Times New Roman"/>
                <w:color w:val="auto"/>
                <w:kern w:val="0"/>
                <w:sz w:val="21"/>
                <w:szCs w:val="21"/>
                <w:lang w:val="en-US" w:eastAsia="zh-CN" w:bidi="ar"/>
              </w:rPr>
            </w:pPr>
            <w:r>
              <w:rPr>
                <w:rFonts w:hint="eastAsia" w:ascii="Times New Roman"/>
                <w:color w:val="auto"/>
                <w:kern w:val="0"/>
                <w:szCs w:val="21"/>
                <w:lang w:val="en-US" w:eastAsia="zh-CN" w:bidi="ar"/>
              </w:rPr>
              <w:t>167</w:t>
            </w:r>
          </w:p>
        </w:tc>
        <w:tc>
          <w:tcPr>
            <w:tcW w:w="226" w:type="pct"/>
            <w:tcBorders>
              <w:tl2br w:val="nil"/>
              <w:tr2bl w:val="nil"/>
            </w:tcBorders>
            <w:shd w:val="clear" w:color="auto" w:fill="auto"/>
            <w:vAlign w:val="center"/>
          </w:tcPr>
          <w:p w14:paraId="4AA47613">
            <w:pPr>
              <w:pStyle w:val="163"/>
              <w:jc w:val="center"/>
              <w:rPr>
                <w:rFonts w:hint="default" w:ascii="Times New Roman" w:hAnsi="Times New Roman" w:eastAsia="仿宋_GB2312" w:cs="Times New Roman"/>
                <w:color w:val="auto"/>
                <w:kern w:val="0"/>
                <w:sz w:val="21"/>
                <w:szCs w:val="21"/>
                <w:lang w:val="en-US" w:eastAsia="zh-CN" w:bidi="ar"/>
              </w:rPr>
            </w:pPr>
            <w:r>
              <w:rPr>
                <w:rFonts w:hint="eastAsia" w:ascii="Times New Roman"/>
                <w:color w:val="auto"/>
                <w:kern w:val="0"/>
                <w:szCs w:val="21"/>
                <w:lang w:val="en-US" w:eastAsia="zh-CN" w:bidi="ar"/>
              </w:rPr>
              <w:t>47</w:t>
            </w:r>
          </w:p>
        </w:tc>
        <w:tc>
          <w:tcPr>
            <w:tcW w:w="221" w:type="pct"/>
            <w:tcBorders>
              <w:tl2br w:val="nil"/>
              <w:tr2bl w:val="nil"/>
            </w:tcBorders>
            <w:shd w:val="clear" w:color="auto" w:fill="auto"/>
            <w:vAlign w:val="center"/>
          </w:tcPr>
          <w:p w14:paraId="4B6681D6">
            <w:pPr>
              <w:pStyle w:val="163"/>
              <w:jc w:val="center"/>
              <w:rPr>
                <w:rFonts w:hint="default" w:ascii="Times New Roman" w:hAnsi="Times New Roman" w:eastAsia="仿宋_GB2312" w:cs="Times New Roman"/>
                <w:color w:val="auto"/>
                <w:kern w:val="0"/>
                <w:sz w:val="21"/>
                <w:szCs w:val="21"/>
                <w:lang w:val="en-US" w:eastAsia="zh-CN" w:bidi="ar"/>
              </w:rPr>
            </w:pPr>
            <w:r>
              <w:rPr>
                <w:rFonts w:hint="eastAsia" w:ascii="Times New Roman"/>
                <w:color w:val="auto"/>
                <w:kern w:val="0"/>
                <w:szCs w:val="21"/>
                <w:lang w:val="en-US" w:eastAsia="zh-CN" w:bidi="ar"/>
              </w:rPr>
              <w:t>0.5</w:t>
            </w:r>
          </w:p>
        </w:tc>
        <w:tc>
          <w:tcPr>
            <w:tcW w:w="271" w:type="pct"/>
            <w:tcBorders>
              <w:tl2br w:val="nil"/>
              <w:tr2bl w:val="nil"/>
            </w:tcBorders>
            <w:shd w:val="clear" w:color="auto" w:fill="auto"/>
            <w:vAlign w:val="center"/>
          </w:tcPr>
          <w:p w14:paraId="5F3F86A2">
            <w:pPr>
              <w:pStyle w:val="81"/>
              <w:spacing w:beforeAutospacing="0" w:afterAutospacing="0" w:line="320" w:lineRule="exact"/>
              <w:ind w:left="0" w:leftChars="0" w:right="0" w:rightChars="0"/>
              <w:jc w:val="center"/>
              <w:rPr>
                <w:rFonts w:ascii="Times New Roman" w:hAnsi="Times New Roman" w:eastAsia="仿宋_GB2312" w:cs="Times New Roman"/>
                <w:color w:val="FF0000"/>
                <w:kern w:val="0"/>
                <w:sz w:val="21"/>
                <w:szCs w:val="21"/>
                <w:lang w:val="en-US" w:eastAsia="zh-CN" w:bidi="ar"/>
              </w:rPr>
            </w:pPr>
            <w:r>
              <w:rPr>
                <w:rFonts w:hint="eastAsia" w:ascii="Times New Roman"/>
                <w:color w:val="auto"/>
                <w:kern w:val="0"/>
                <w:szCs w:val="21"/>
                <w:lang w:val="en-US" w:eastAsia="zh-CN" w:bidi="ar"/>
              </w:rPr>
              <w:t>80</w:t>
            </w:r>
          </w:p>
        </w:tc>
        <w:tc>
          <w:tcPr>
            <w:tcW w:w="297" w:type="pct"/>
            <w:vMerge w:val="continue"/>
            <w:tcBorders>
              <w:tl2br w:val="nil"/>
              <w:tr2bl w:val="nil"/>
            </w:tcBorders>
            <w:shd w:val="clear" w:color="auto" w:fill="auto"/>
            <w:vAlign w:val="center"/>
          </w:tcPr>
          <w:p w14:paraId="20B49DA1">
            <w:pPr>
              <w:pStyle w:val="81"/>
              <w:spacing w:beforeAutospacing="0" w:afterAutospacing="0" w:line="320" w:lineRule="exact"/>
              <w:jc w:val="center"/>
              <w:rPr>
                <w:rFonts w:eastAsia="仿宋_GB2312"/>
                <w:color w:val="FF0000"/>
                <w:sz w:val="21"/>
                <w:szCs w:val="21"/>
                <w:lang w:bidi="ar"/>
              </w:rPr>
            </w:pPr>
          </w:p>
        </w:tc>
        <w:tc>
          <w:tcPr>
            <w:tcW w:w="281" w:type="pct"/>
            <w:tcBorders>
              <w:tl2br w:val="nil"/>
              <w:tr2bl w:val="nil"/>
            </w:tcBorders>
            <w:shd w:val="clear" w:color="auto" w:fill="auto"/>
            <w:vAlign w:val="center"/>
          </w:tcPr>
          <w:p w14:paraId="7E69AEC7">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rPr>
              <w:t>5</w:t>
            </w:r>
          </w:p>
        </w:tc>
        <w:tc>
          <w:tcPr>
            <w:tcW w:w="292" w:type="pct"/>
            <w:tcBorders>
              <w:tl2br w:val="nil"/>
              <w:tr2bl w:val="nil"/>
            </w:tcBorders>
            <w:shd w:val="clear" w:color="auto" w:fill="auto"/>
            <w:vAlign w:val="center"/>
          </w:tcPr>
          <w:p w14:paraId="5BA0B5E0">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6</w:t>
            </w:r>
            <w:r>
              <w:rPr>
                <w:rFonts w:hint="eastAsia" w:eastAsia="仿宋_GB2312"/>
                <w:color w:val="auto"/>
                <w:sz w:val="21"/>
                <w:szCs w:val="21"/>
                <w:lang w:bidi="ar"/>
              </w:rPr>
              <w:t>6</w:t>
            </w:r>
          </w:p>
        </w:tc>
        <w:tc>
          <w:tcPr>
            <w:tcW w:w="281" w:type="pct"/>
            <w:tcBorders>
              <w:tl2br w:val="nil"/>
              <w:tr2bl w:val="nil"/>
            </w:tcBorders>
            <w:shd w:val="clear" w:color="auto" w:fill="auto"/>
            <w:vAlign w:val="center"/>
          </w:tcPr>
          <w:p w14:paraId="22083596">
            <w:pPr>
              <w:pStyle w:val="81"/>
              <w:spacing w:beforeAutospacing="0" w:afterAutospacing="0" w:line="320" w:lineRule="exact"/>
              <w:ind w:left="0" w:leftChars="0" w:right="0" w:rightChars="0"/>
              <w:jc w:val="center"/>
              <w:rPr>
                <w:rFonts w:ascii="Times New Roman" w:hAnsi="Times New Roman" w:eastAsia="仿宋_GB2312" w:cs="Times New Roman"/>
                <w:b/>
                <w:bCs/>
                <w:color w:val="auto"/>
                <w:kern w:val="0"/>
                <w:sz w:val="21"/>
                <w:szCs w:val="21"/>
                <w:lang w:val="en-US" w:eastAsia="zh-CN" w:bidi="ar"/>
              </w:rPr>
            </w:pPr>
            <w:r>
              <w:rPr>
                <w:rFonts w:eastAsia="仿宋_GB2312"/>
                <w:color w:val="auto"/>
                <w:sz w:val="21"/>
                <w:szCs w:val="21"/>
                <w:lang w:bidi="ar"/>
              </w:rPr>
              <w:t>全天</w:t>
            </w:r>
          </w:p>
        </w:tc>
        <w:tc>
          <w:tcPr>
            <w:tcW w:w="323" w:type="pct"/>
            <w:tcBorders>
              <w:tl2br w:val="nil"/>
              <w:tr2bl w:val="nil"/>
            </w:tcBorders>
            <w:shd w:val="clear" w:color="auto" w:fill="auto"/>
            <w:vAlign w:val="center"/>
          </w:tcPr>
          <w:p w14:paraId="5FC2CA94">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20</w:t>
            </w:r>
          </w:p>
        </w:tc>
        <w:tc>
          <w:tcPr>
            <w:tcW w:w="273" w:type="pct"/>
            <w:tcBorders>
              <w:tl2br w:val="nil"/>
              <w:tr2bl w:val="nil"/>
            </w:tcBorders>
            <w:shd w:val="clear" w:color="auto" w:fill="auto"/>
            <w:vAlign w:val="center"/>
          </w:tcPr>
          <w:p w14:paraId="3616DC0C">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46</w:t>
            </w:r>
          </w:p>
        </w:tc>
        <w:tc>
          <w:tcPr>
            <w:tcW w:w="298" w:type="pct"/>
            <w:tcBorders>
              <w:tl2br w:val="nil"/>
              <w:tr2bl w:val="nil"/>
            </w:tcBorders>
            <w:shd w:val="clear" w:color="auto" w:fill="auto"/>
            <w:vAlign w:val="center"/>
          </w:tcPr>
          <w:p w14:paraId="3A53FC0F">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1</w:t>
            </w:r>
          </w:p>
        </w:tc>
        <w:tc>
          <w:tcPr>
            <w:tcW w:w="346" w:type="pct"/>
            <w:tcBorders>
              <w:tl2br w:val="nil"/>
              <w:tr2bl w:val="nil"/>
            </w:tcBorders>
            <w:shd w:val="clear" w:color="auto" w:fill="auto"/>
            <w:vAlign w:val="center"/>
          </w:tcPr>
          <w:p w14:paraId="0D7475C5">
            <w:pPr>
              <w:pStyle w:val="81"/>
              <w:spacing w:beforeAutospacing="0" w:afterAutospacing="0" w:line="320" w:lineRule="exact"/>
              <w:ind w:left="0" w:leftChars="0" w:right="0" w:rightChars="0"/>
              <w:jc w:val="center"/>
              <w:rPr>
                <w:rFonts w:ascii="Times New Roman" w:hAnsi="Times New Roman" w:eastAsia="仿宋_GB2312" w:cs="Times New Roman"/>
                <w:color w:val="FF0000"/>
                <w:kern w:val="0"/>
                <w:sz w:val="21"/>
                <w:szCs w:val="21"/>
                <w:lang w:val="en-US" w:eastAsia="zh-CN" w:bidi="ar"/>
              </w:rPr>
            </w:pPr>
            <w:r>
              <w:rPr>
                <w:rFonts w:hint="eastAsia" w:eastAsia="仿宋_GB2312" w:hAnsiTheme="minorHAnsi"/>
                <w:color w:val="auto"/>
                <w:sz w:val="21"/>
                <w:szCs w:val="21"/>
                <w:lang w:val="en-US" w:eastAsia="zh-CN" w:bidi="ar"/>
              </w:rPr>
              <w:t>依托现有</w:t>
            </w:r>
          </w:p>
        </w:tc>
      </w:tr>
      <w:tr w14:paraId="5C7FC4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192" w:type="pct"/>
            <w:tcBorders>
              <w:tl2br w:val="nil"/>
              <w:tr2bl w:val="nil"/>
            </w:tcBorders>
            <w:shd w:val="clear" w:color="auto" w:fill="auto"/>
            <w:vAlign w:val="center"/>
          </w:tcPr>
          <w:p w14:paraId="1FE4CEFA">
            <w:pPr>
              <w:pStyle w:val="81"/>
              <w:spacing w:beforeAutospacing="0" w:afterAutospacing="0" w:line="320" w:lineRule="exact"/>
              <w:jc w:val="center"/>
              <w:rPr>
                <w:rFonts w:hint="default" w:eastAsia="仿宋_GB2312"/>
                <w:color w:val="auto"/>
                <w:sz w:val="21"/>
                <w:szCs w:val="21"/>
                <w:lang w:val="en-US" w:eastAsia="zh-CN" w:bidi="ar"/>
              </w:rPr>
            </w:pPr>
            <w:r>
              <w:rPr>
                <w:rFonts w:hint="eastAsia" w:eastAsia="仿宋_GB2312"/>
                <w:color w:val="auto"/>
                <w:sz w:val="21"/>
                <w:szCs w:val="21"/>
                <w:lang w:val="en-US" w:eastAsia="zh-CN" w:bidi="ar"/>
              </w:rPr>
              <w:t>15</w:t>
            </w:r>
          </w:p>
        </w:tc>
        <w:tc>
          <w:tcPr>
            <w:tcW w:w="308" w:type="pct"/>
            <w:vMerge w:val="continue"/>
            <w:tcBorders>
              <w:tl2br w:val="nil"/>
              <w:tr2bl w:val="nil"/>
            </w:tcBorders>
            <w:shd w:val="clear" w:color="auto" w:fill="auto"/>
            <w:vAlign w:val="center"/>
          </w:tcPr>
          <w:p w14:paraId="5B614E97">
            <w:pPr>
              <w:widowControl/>
              <w:jc w:val="center"/>
              <w:textAlignment w:val="center"/>
              <w:rPr>
                <w:rFonts w:hint="eastAsia" w:eastAsia="仿宋_GB2312"/>
                <w:color w:val="auto"/>
                <w:kern w:val="0"/>
                <w:szCs w:val="21"/>
                <w:lang w:val="en-US" w:eastAsia="zh-CN" w:bidi="ar"/>
              </w:rPr>
            </w:pPr>
          </w:p>
        </w:tc>
        <w:tc>
          <w:tcPr>
            <w:tcW w:w="422" w:type="pct"/>
            <w:vMerge w:val="continue"/>
            <w:tcBorders>
              <w:tl2br w:val="nil"/>
              <w:tr2bl w:val="nil"/>
            </w:tcBorders>
            <w:shd w:val="clear" w:color="auto" w:fill="auto"/>
            <w:vAlign w:val="center"/>
          </w:tcPr>
          <w:p w14:paraId="01AAF96D">
            <w:pPr>
              <w:bidi w:val="0"/>
              <w:jc w:val="center"/>
              <w:rPr>
                <w:rFonts w:hint="default" w:ascii="Times New Roman" w:hAnsi="Times New Roman" w:eastAsia="方正仿宋_GB2312" w:cs="Times New Roman"/>
                <w:color w:val="auto"/>
                <w:sz w:val="21"/>
                <w:szCs w:val="21"/>
                <w:lang w:val="en-US" w:eastAsia="zh-CN"/>
              </w:rPr>
            </w:pPr>
          </w:p>
        </w:tc>
        <w:tc>
          <w:tcPr>
            <w:tcW w:w="453" w:type="pct"/>
            <w:vMerge w:val="continue"/>
            <w:tcBorders>
              <w:tl2br w:val="nil"/>
              <w:tr2bl w:val="nil"/>
            </w:tcBorders>
            <w:shd w:val="clear" w:color="auto" w:fill="auto"/>
            <w:vAlign w:val="center"/>
          </w:tcPr>
          <w:p w14:paraId="5979EA85">
            <w:pPr>
              <w:bidi w:val="0"/>
              <w:jc w:val="center"/>
              <w:rPr>
                <w:rFonts w:hint="default" w:ascii="Times New Roman" w:hAnsi="Times New Roman" w:eastAsia="方正仿宋_GB2312" w:cs="Times New Roman"/>
                <w:color w:val="auto"/>
                <w:sz w:val="21"/>
                <w:szCs w:val="21"/>
                <w:lang w:val="en-US" w:eastAsia="zh-CN"/>
              </w:rPr>
            </w:pPr>
          </w:p>
        </w:tc>
        <w:tc>
          <w:tcPr>
            <w:tcW w:w="263" w:type="pct"/>
            <w:tcBorders>
              <w:tl2br w:val="nil"/>
              <w:tr2bl w:val="nil"/>
            </w:tcBorders>
            <w:shd w:val="clear" w:color="auto" w:fill="auto"/>
            <w:vAlign w:val="center"/>
          </w:tcPr>
          <w:p w14:paraId="2D654796">
            <w:pPr>
              <w:widowControl/>
              <w:jc w:val="center"/>
              <w:textAlignment w:val="center"/>
              <w:rPr>
                <w:rFonts w:hint="default" w:eastAsia="仿宋_GB2312"/>
                <w:color w:val="auto"/>
                <w:kern w:val="0"/>
                <w:szCs w:val="21"/>
                <w:lang w:val="en-US" w:eastAsia="zh-CN" w:bidi="ar"/>
              </w:rPr>
            </w:pPr>
            <w:r>
              <w:rPr>
                <w:rFonts w:hint="eastAsia" w:eastAsia="仿宋_GB2312"/>
                <w:color w:val="auto"/>
                <w:kern w:val="0"/>
                <w:szCs w:val="21"/>
                <w:lang w:val="en-US" w:eastAsia="zh-CN" w:bidi="ar"/>
              </w:rPr>
              <w:t>1</w:t>
            </w:r>
          </w:p>
        </w:tc>
        <w:tc>
          <w:tcPr>
            <w:tcW w:w="244" w:type="pct"/>
            <w:tcBorders>
              <w:tl2br w:val="nil"/>
              <w:tr2bl w:val="nil"/>
            </w:tcBorders>
            <w:shd w:val="clear" w:color="auto" w:fill="auto"/>
            <w:vAlign w:val="center"/>
          </w:tcPr>
          <w:p w14:paraId="60D0967D">
            <w:pPr>
              <w:pStyle w:val="163"/>
              <w:jc w:val="center"/>
              <w:rPr>
                <w:rFonts w:hint="default" w:ascii="Times New Roman" w:hAnsi="Times New Roman" w:eastAsia="仿宋_GB2312" w:cs="Times New Roman"/>
                <w:color w:val="auto"/>
                <w:kern w:val="0"/>
                <w:sz w:val="21"/>
                <w:szCs w:val="21"/>
                <w:lang w:val="en-US" w:eastAsia="zh-CN" w:bidi="ar"/>
              </w:rPr>
            </w:pPr>
            <w:r>
              <w:rPr>
                <w:rFonts w:hint="eastAsia" w:ascii="Times New Roman"/>
                <w:color w:val="auto"/>
                <w:kern w:val="0"/>
                <w:szCs w:val="21"/>
                <w:lang w:val="en-US" w:eastAsia="zh-CN" w:bidi="ar"/>
              </w:rPr>
              <w:t>168</w:t>
            </w:r>
          </w:p>
        </w:tc>
        <w:tc>
          <w:tcPr>
            <w:tcW w:w="226" w:type="pct"/>
            <w:tcBorders>
              <w:tl2br w:val="nil"/>
              <w:tr2bl w:val="nil"/>
            </w:tcBorders>
            <w:shd w:val="clear" w:color="auto" w:fill="auto"/>
            <w:vAlign w:val="center"/>
          </w:tcPr>
          <w:p w14:paraId="60959063">
            <w:pPr>
              <w:pStyle w:val="163"/>
              <w:jc w:val="center"/>
              <w:rPr>
                <w:rFonts w:hint="default" w:ascii="Times New Roman" w:hAnsi="Times New Roman" w:eastAsia="仿宋_GB2312" w:cs="Times New Roman"/>
                <w:color w:val="auto"/>
                <w:kern w:val="0"/>
                <w:sz w:val="21"/>
                <w:szCs w:val="21"/>
                <w:lang w:val="en-US" w:eastAsia="zh-CN" w:bidi="ar"/>
              </w:rPr>
            </w:pPr>
            <w:r>
              <w:rPr>
                <w:rFonts w:hint="eastAsia" w:ascii="Times New Roman"/>
                <w:color w:val="auto"/>
                <w:kern w:val="0"/>
                <w:szCs w:val="21"/>
                <w:lang w:val="en-US" w:eastAsia="zh-CN" w:bidi="ar"/>
              </w:rPr>
              <w:t>47</w:t>
            </w:r>
          </w:p>
        </w:tc>
        <w:tc>
          <w:tcPr>
            <w:tcW w:w="221" w:type="pct"/>
            <w:tcBorders>
              <w:tl2br w:val="nil"/>
              <w:tr2bl w:val="nil"/>
            </w:tcBorders>
            <w:shd w:val="clear" w:color="auto" w:fill="auto"/>
            <w:vAlign w:val="center"/>
          </w:tcPr>
          <w:p w14:paraId="68951542">
            <w:pPr>
              <w:pStyle w:val="163"/>
              <w:jc w:val="center"/>
              <w:rPr>
                <w:rFonts w:hint="default" w:ascii="Times New Roman" w:hAnsi="Times New Roman" w:eastAsia="仿宋_GB2312" w:cs="Times New Roman"/>
                <w:color w:val="auto"/>
                <w:kern w:val="0"/>
                <w:sz w:val="21"/>
                <w:szCs w:val="21"/>
                <w:lang w:val="en-US" w:eastAsia="zh-CN" w:bidi="ar"/>
              </w:rPr>
            </w:pPr>
            <w:r>
              <w:rPr>
                <w:rFonts w:hint="eastAsia" w:ascii="Times New Roman"/>
                <w:color w:val="auto"/>
                <w:kern w:val="0"/>
                <w:szCs w:val="21"/>
                <w:lang w:val="en-US" w:eastAsia="zh-CN" w:bidi="ar"/>
              </w:rPr>
              <w:t>0.5</w:t>
            </w:r>
          </w:p>
        </w:tc>
        <w:tc>
          <w:tcPr>
            <w:tcW w:w="271" w:type="pct"/>
            <w:tcBorders>
              <w:tl2br w:val="nil"/>
              <w:tr2bl w:val="nil"/>
            </w:tcBorders>
            <w:shd w:val="clear" w:color="auto" w:fill="auto"/>
            <w:vAlign w:val="center"/>
          </w:tcPr>
          <w:p w14:paraId="465D2643">
            <w:pPr>
              <w:pStyle w:val="163"/>
              <w:jc w:val="center"/>
              <w:rPr>
                <w:rFonts w:hint="eastAsia" w:ascii="Times New Roman" w:hAnsi="Times New Roman" w:eastAsia="仿宋_GB2312" w:cs="Times New Roman"/>
                <w:color w:val="auto"/>
                <w:kern w:val="0"/>
                <w:sz w:val="21"/>
                <w:szCs w:val="21"/>
                <w:lang w:val="en-US" w:eastAsia="zh-CN" w:bidi="ar"/>
              </w:rPr>
            </w:pPr>
            <w:r>
              <w:rPr>
                <w:rFonts w:hint="eastAsia" w:ascii="Times New Roman"/>
                <w:color w:val="auto"/>
                <w:kern w:val="0"/>
                <w:szCs w:val="21"/>
                <w:lang w:val="en-US" w:eastAsia="zh-CN" w:bidi="ar"/>
              </w:rPr>
              <w:t>80</w:t>
            </w:r>
          </w:p>
        </w:tc>
        <w:tc>
          <w:tcPr>
            <w:tcW w:w="297" w:type="pct"/>
            <w:vMerge w:val="continue"/>
            <w:tcBorders>
              <w:tl2br w:val="nil"/>
              <w:tr2bl w:val="nil"/>
            </w:tcBorders>
            <w:shd w:val="clear" w:color="auto" w:fill="auto"/>
            <w:vAlign w:val="center"/>
          </w:tcPr>
          <w:p w14:paraId="2BD9DEDE">
            <w:pPr>
              <w:pStyle w:val="81"/>
              <w:spacing w:beforeAutospacing="0" w:afterAutospacing="0" w:line="320" w:lineRule="exact"/>
              <w:jc w:val="center"/>
              <w:rPr>
                <w:rFonts w:eastAsia="仿宋_GB2312"/>
                <w:color w:val="FF0000"/>
                <w:sz w:val="21"/>
                <w:szCs w:val="21"/>
                <w:lang w:bidi="ar"/>
              </w:rPr>
            </w:pPr>
          </w:p>
        </w:tc>
        <w:tc>
          <w:tcPr>
            <w:tcW w:w="281" w:type="pct"/>
            <w:tcBorders>
              <w:tl2br w:val="nil"/>
              <w:tr2bl w:val="nil"/>
            </w:tcBorders>
            <w:shd w:val="clear" w:color="auto" w:fill="auto"/>
            <w:vAlign w:val="center"/>
          </w:tcPr>
          <w:p w14:paraId="490A0439">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rPr>
              <w:t>5</w:t>
            </w:r>
          </w:p>
        </w:tc>
        <w:tc>
          <w:tcPr>
            <w:tcW w:w="292" w:type="pct"/>
            <w:tcBorders>
              <w:tl2br w:val="nil"/>
              <w:tr2bl w:val="nil"/>
            </w:tcBorders>
            <w:shd w:val="clear" w:color="auto" w:fill="auto"/>
            <w:vAlign w:val="center"/>
          </w:tcPr>
          <w:p w14:paraId="4ECB3DF0">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6</w:t>
            </w:r>
            <w:r>
              <w:rPr>
                <w:rFonts w:hint="eastAsia" w:eastAsia="仿宋_GB2312"/>
                <w:color w:val="auto"/>
                <w:sz w:val="21"/>
                <w:szCs w:val="21"/>
                <w:lang w:bidi="ar"/>
              </w:rPr>
              <w:t>6</w:t>
            </w:r>
          </w:p>
        </w:tc>
        <w:tc>
          <w:tcPr>
            <w:tcW w:w="281" w:type="pct"/>
            <w:tcBorders>
              <w:tl2br w:val="nil"/>
              <w:tr2bl w:val="nil"/>
            </w:tcBorders>
            <w:shd w:val="clear" w:color="auto" w:fill="auto"/>
            <w:vAlign w:val="center"/>
          </w:tcPr>
          <w:p w14:paraId="2C629528">
            <w:pPr>
              <w:pStyle w:val="81"/>
              <w:spacing w:beforeAutospacing="0" w:afterAutospacing="0" w:line="320" w:lineRule="exact"/>
              <w:ind w:left="0" w:leftChars="0" w:right="0" w:rightChars="0"/>
              <w:jc w:val="center"/>
              <w:rPr>
                <w:rFonts w:ascii="Times New Roman" w:hAnsi="Times New Roman" w:eastAsia="仿宋_GB2312" w:cs="Times New Roman"/>
                <w:b/>
                <w:bCs/>
                <w:color w:val="auto"/>
                <w:kern w:val="0"/>
                <w:sz w:val="21"/>
                <w:szCs w:val="21"/>
                <w:lang w:val="en-US" w:eastAsia="zh-CN" w:bidi="ar"/>
              </w:rPr>
            </w:pPr>
            <w:r>
              <w:rPr>
                <w:rFonts w:eastAsia="仿宋_GB2312"/>
                <w:color w:val="auto"/>
                <w:sz w:val="21"/>
                <w:szCs w:val="21"/>
                <w:lang w:bidi="ar"/>
              </w:rPr>
              <w:t>全天</w:t>
            </w:r>
          </w:p>
        </w:tc>
        <w:tc>
          <w:tcPr>
            <w:tcW w:w="323" w:type="pct"/>
            <w:tcBorders>
              <w:tl2br w:val="nil"/>
              <w:tr2bl w:val="nil"/>
            </w:tcBorders>
            <w:shd w:val="clear" w:color="auto" w:fill="auto"/>
            <w:vAlign w:val="center"/>
          </w:tcPr>
          <w:p w14:paraId="4A70EA17">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20</w:t>
            </w:r>
          </w:p>
        </w:tc>
        <w:tc>
          <w:tcPr>
            <w:tcW w:w="273" w:type="pct"/>
            <w:tcBorders>
              <w:tl2br w:val="nil"/>
              <w:tr2bl w:val="nil"/>
            </w:tcBorders>
            <w:shd w:val="clear" w:color="auto" w:fill="auto"/>
            <w:vAlign w:val="center"/>
          </w:tcPr>
          <w:p w14:paraId="64475E6C">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46</w:t>
            </w:r>
          </w:p>
        </w:tc>
        <w:tc>
          <w:tcPr>
            <w:tcW w:w="298" w:type="pct"/>
            <w:tcBorders>
              <w:tl2br w:val="nil"/>
              <w:tr2bl w:val="nil"/>
            </w:tcBorders>
            <w:shd w:val="clear" w:color="auto" w:fill="auto"/>
            <w:vAlign w:val="center"/>
          </w:tcPr>
          <w:p w14:paraId="62961D67">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1</w:t>
            </w:r>
          </w:p>
        </w:tc>
        <w:tc>
          <w:tcPr>
            <w:tcW w:w="346" w:type="pct"/>
            <w:tcBorders>
              <w:tl2br w:val="nil"/>
              <w:tr2bl w:val="nil"/>
            </w:tcBorders>
            <w:shd w:val="clear" w:color="auto" w:fill="auto"/>
            <w:vAlign w:val="center"/>
          </w:tcPr>
          <w:p w14:paraId="248973E9">
            <w:pPr>
              <w:pStyle w:val="81"/>
              <w:spacing w:beforeAutospacing="0" w:afterAutospacing="0" w:line="320" w:lineRule="exact"/>
              <w:ind w:left="0" w:leftChars="0" w:right="0" w:rightChars="0"/>
              <w:jc w:val="center"/>
              <w:rPr>
                <w:rFonts w:ascii="Times New Roman" w:hAnsi="Times New Roman" w:eastAsia="仿宋_GB2312" w:cs="Times New Roman"/>
                <w:color w:val="FF0000"/>
                <w:kern w:val="0"/>
                <w:sz w:val="21"/>
                <w:szCs w:val="21"/>
                <w:lang w:val="en-US" w:eastAsia="zh-CN" w:bidi="ar"/>
              </w:rPr>
            </w:pPr>
            <w:r>
              <w:rPr>
                <w:rFonts w:hint="eastAsia" w:eastAsia="仿宋_GB2312" w:hAnsiTheme="minorHAnsi"/>
                <w:color w:val="auto"/>
                <w:sz w:val="21"/>
                <w:szCs w:val="21"/>
                <w:lang w:val="en-US" w:eastAsia="zh-CN" w:bidi="ar"/>
              </w:rPr>
              <w:t>依托现有</w:t>
            </w:r>
          </w:p>
        </w:tc>
      </w:tr>
      <w:tr w14:paraId="3E8A59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192" w:type="pct"/>
            <w:tcBorders>
              <w:tl2br w:val="nil"/>
              <w:tr2bl w:val="nil"/>
            </w:tcBorders>
            <w:shd w:val="clear" w:color="auto" w:fill="auto"/>
            <w:vAlign w:val="center"/>
          </w:tcPr>
          <w:p w14:paraId="347DF6A0">
            <w:pPr>
              <w:pStyle w:val="81"/>
              <w:spacing w:beforeAutospacing="0" w:afterAutospacing="0" w:line="320" w:lineRule="exact"/>
              <w:jc w:val="center"/>
              <w:rPr>
                <w:rFonts w:hint="default" w:eastAsia="仿宋_GB2312"/>
                <w:color w:val="auto"/>
                <w:sz w:val="21"/>
                <w:szCs w:val="21"/>
                <w:lang w:val="en-US" w:eastAsia="zh-CN" w:bidi="ar"/>
              </w:rPr>
            </w:pPr>
            <w:r>
              <w:rPr>
                <w:rFonts w:hint="eastAsia" w:eastAsia="仿宋_GB2312"/>
                <w:color w:val="auto"/>
                <w:sz w:val="21"/>
                <w:szCs w:val="21"/>
                <w:lang w:val="en-US" w:eastAsia="zh-CN" w:bidi="ar"/>
              </w:rPr>
              <w:t>16</w:t>
            </w:r>
          </w:p>
        </w:tc>
        <w:tc>
          <w:tcPr>
            <w:tcW w:w="308" w:type="pct"/>
            <w:vMerge w:val="continue"/>
            <w:tcBorders>
              <w:tl2br w:val="nil"/>
              <w:tr2bl w:val="nil"/>
            </w:tcBorders>
            <w:shd w:val="clear" w:color="auto" w:fill="auto"/>
            <w:vAlign w:val="center"/>
          </w:tcPr>
          <w:p w14:paraId="11AC7B7B">
            <w:pPr>
              <w:widowControl/>
              <w:jc w:val="center"/>
              <w:textAlignment w:val="center"/>
              <w:rPr>
                <w:rFonts w:hint="eastAsia" w:eastAsia="仿宋_GB2312"/>
                <w:color w:val="auto"/>
                <w:kern w:val="0"/>
                <w:szCs w:val="21"/>
                <w:lang w:val="en-US" w:eastAsia="zh-CN" w:bidi="ar"/>
              </w:rPr>
            </w:pPr>
          </w:p>
        </w:tc>
        <w:tc>
          <w:tcPr>
            <w:tcW w:w="422" w:type="pct"/>
            <w:vMerge w:val="continue"/>
            <w:tcBorders>
              <w:tl2br w:val="nil"/>
              <w:tr2bl w:val="nil"/>
            </w:tcBorders>
            <w:shd w:val="clear" w:color="auto" w:fill="auto"/>
            <w:vAlign w:val="center"/>
          </w:tcPr>
          <w:p w14:paraId="65DC1B2C">
            <w:pPr>
              <w:bidi w:val="0"/>
              <w:jc w:val="center"/>
              <w:rPr>
                <w:rFonts w:hint="default" w:ascii="Times New Roman" w:hAnsi="Times New Roman" w:eastAsia="方正仿宋_GB2312" w:cs="Times New Roman"/>
                <w:color w:val="auto"/>
                <w:sz w:val="21"/>
                <w:szCs w:val="21"/>
                <w:lang w:val="en-US" w:eastAsia="zh-CN"/>
              </w:rPr>
            </w:pPr>
          </w:p>
        </w:tc>
        <w:tc>
          <w:tcPr>
            <w:tcW w:w="453" w:type="pct"/>
            <w:vMerge w:val="continue"/>
            <w:tcBorders>
              <w:tl2br w:val="nil"/>
              <w:tr2bl w:val="nil"/>
            </w:tcBorders>
            <w:shd w:val="clear" w:color="auto" w:fill="auto"/>
            <w:vAlign w:val="center"/>
          </w:tcPr>
          <w:p w14:paraId="3CDDC7E5">
            <w:pPr>
              <w:bidi w:val="0"/>
              <w:jc w:val="center"/>
              <w:rPr>
                <w:rFonts w:hint="default" w:ascii="Times New Roman" w:hAnsi="Times New Roman" w:eastAsia="方正仿宋_GB2312" w:cs="Times New Roman"/>
                <w:color w:val="auto"/>
                <w:sz w:val="21"/>
                <w:szCs w:val="21"/>
                <w:lang w:val="en-US" w:eastAsia="zh-CN"/>
              </w:rPr>
            </w:pPr>
          </w:p>
        </w:tc>
        <w:tc>
          <w:tcPr>
            <w:tcW w:w="263" w:type="pct"/>
            <w:tcBorders>
              <w:tl2br w:val="nil"/>
              <w:tr2bl w:val="nil"/>
            </w:tcBorders>
            <w:shd w:val="clear" w:color="auto" w:fill="auto"/>
            <w:vAlign w:val="center"/>
          </w:tcPr>
          <w:p w14:paraId="38327FD4">
            <w:pPr>
              <w:widowControl/>
              <w:jc w:val="center"/>
              <w:textAlignment w:val="center"/>
              <w:rPr>
                <w:rFonts w:hint="default" w:eastAsia="仿宋_GB2312"/>
                <w:color w:val="auto"/>
                <w:kern w:val="0"/>
                <w:szCs w:val="21"/>
                <w:lang w:val="en-US" w:eastAsia="zh-CN" w:bidi="ar"/>
              </w:rPr>
            </w:pPr>
            <w:r>
              <w:rPr>
                <w:rFonts w:hint="eastAsia" w:eastAsia="仿宋_GB2312"/>
                <w:color w:val="auto"/>
                <w:kern w:val="0"/>
                <w:szCs w:val="21"/>
                <w:lang w:val="en-US" w:eastAsia="zh-CN" w:bidi="ar"/>
              </w:rPr>
              <w:t>1</w:t>
            </w:r>
          </w:p>
        </w:tc>
        <w:tc>
          <w:tcPr>
            <w:tcW w:w="244" w:type="pct"/>
            <w:tcBorders>
              <w:tl2br w:val="nil"/>
              <w:tr2bl w:val="nil"/>
            </w:tcBorders>
            <w:shd w:val="clear" w:color="auto" w:fill="auto"/>
            <w:vAlign w:val="center"/>
          </w:tcPr>
          <w:p w14:paraId="036532E5">
            <w:pPr>
              <w:pStyle w:val="163"/>
              <w:jc w:val="center"/>
              <w:rPr>
                <w:rFonts w:hint="default" w:ascii="Times New Roman" w:hAnsi="Times New Roman" w:eastAsia="仿宋_GB2312" w:cs="Times New Roman"/>
                <w:color w:val="auto"/>
                <w:kern w:val="0"/>
                <w:sz w:val="21"/>
                <w:szCs w:val="21"/>
                <w:lang w:val="en-US" w:eastAsia="zh-CN" w:bidi="ar"/>
              </w:rPr>
            </w:pPr>
            <w:r>
              <w:rPr>
                <w:rFonts w:hint="eastAsia" w:ascii="Times New Roman"/>
                <w:color w:val="auto"/>
                <w:kern w:val="0"/>
                <w:szCs w:val="21"/>
                <w:lang w:val="en-US" w:eastAsia="zh-CN" w:bidi="ar"/>
              </w:rPr>
              <w:t>168</w:t>
            </w:r>
          </w:p>
        </w:tc>
        <w:tc>
          <w:tcPr>
            <w:tcW w:w="226" w:type="pct"/>
            <w:tcBorders>
              <w:tl2br w:val="nil"/>
              <w:tr2bl w:val="nil"/>
            </w:tcBorders>
            <w:shd w:val="clear" w:color="auto" w:fill="auto"/>
            <w:vAlign w:val="center"/>
          </w:tcPr>
          <w:p w14:paraId="04265FEE">
            <w:pPr>
              <w:pStyle w:val="163"/>
              <w:jc w:val="center"/>
              <w:rPr>
                <w:rFonts w:hint="default" w:ascii="Times New Roman" w:hAnsi="Times New Roman" w:eastAsia="仿宋_GB2312" w:cs="Times New Roman"/>
                <w:color w:val="auto"/>
                <w:kern w:val="0"/>
                <w:sz w:val="21"/>
                <w:szCs w:val="21"/>
                <w:lang w:val="en-US" w:eastAsia="zh-CN" w:bidi="ar"/>
              </w:rPr>
            </w:pPr>
            <w:r>
              <w:rPr>
                <w:rFonts w:hint="eastAsia" w:ascii="Times New Roman"/>
                <w:color w:val="auto"/>
                <w:kern w:val="0"/>
                <w:szCs w:val="21"/>
                <w:lang w:val="en-US" w:eastAsia="zh-CN" w:bidi="ar"/>
              </w:rPr>
              <w:t>48</w:t>
            </w:r>
          </w:p>
        </w:tc>
        <w:tc>
          <w:tcPr>
            <w:tcW w:w="221" w:type="pct"/>
            <w:tcBorders>
              <w:tl2br w:val="nil"/>
              <w:tr2bl w:val="nil"/>
            </w:tcBorders>
            <w:shd w:val="clear" w:color="auto" w:fill="auto"/>
            <w:vAlign w:val="center"/>
          </w:tcPr>
          <w:p w14:paraId="4E2CD5A9">
            <w:pPr>
              <w:pStyle w:val="163"/>
              <w:jc w:val="center"/>
              <w:rPr>
                <w:rFonts w:hint="default" w:ascii="Times New Roman" w:hAnsi="Times New Roman" w:eastAsia="仿宋_GB2312" w:cs="Times New Roman"/>
                <w:color w:val="auto"/>
                <w:kern w:val="0"/>
                <w:sz w:val="21"/>
                <w:szCs w:val="21"/>
                <w:lang w:val="en-US" w:eastAsia="zh-CN" w:bidi="ar"/>
              </w:rPr>
            </w:pPr>
            <w:r>
              <w:rPr>
                <w:rFonts w:hint="eastAsia" w:ascii="Times New Roman"/>
                <w:color w:val="auto"/>
                <w:kern w:val="0"/>
                <w:szCs w:val="21"/>
                <w:lang w:val="en-US" w:eastAsia="zh-CN" w:bidi="ar"/>
              </w:rPr>
              <w:t>0.5</w:t>
            </w:r>
          </w:p>
        </w:tc>
        <w:tc>
          <w:tcPr>
            <w:tcW w:w="271" w:type="pct"/>
            <w:tcBorders>
              <w:tl2br w:val="nil"/>
              <w:tr2bl w:val="nil"/>
            </w:tcBorders>
            <w:shd w:val="clear" w:color="auto" w:fill="auto"/>
            <w:vAlign w:val="center"/>
          </w:tcPr>
          <w:p w14:paraId="3DA30E46">
            <w:pPr>
              <w:pStyle w:val="163"/>
              <w:jc w:val="center"/>
              <w:rPr>
                <w:rFonts w:hint="default" w:ascii="Times New Roman" w:hAnsi="Times New Roman" w:eastAsia="仿宋_GB2312" w:cs="Times New Roman"/>
                <w:color w:val="auto"/>
                <w:kern w:val="0"/>
                <w:sz w:val="21"/>
                <w:szCs w:val="21"/>
                <w:lang w:val="en-US" w:eastAsia="zh-CN" w:bidi="ar"/>
              </w:rPr>
            </w:pPr>
            <w:r>
              <w:rPr>
                <w:rFonts w:hint="eastAsia" w:ascii="Times New Roman"/>
                <w:color w:val="auto"/>
                <w:kern w:val="0"/>
                <w:szCs w:val="21"/>
                <w:lang w:val="en-US" w:eastAsia="zh-CN" w:bidi="ar"/>
              </w:rPr>
              <w:t>80</w:t>
            </w:r>
          </w:p>
        </w:tc>
        <w:tc>
          <w:tcPr>
            <w:tcW w:w="297" w:type="pct"/>
            <w:vMerge w:val="continue"/>
            <w:tcBorders>
              <w:tl2br w:val="nil"/>
              <w:tr2bl w:val="nil"/>
            </w:tcBorders>
            <w:shd w:val="clear" w:color="auto" w:fill="auto"/>
            <w:vAlign w:val="center"/>
          </w:tcPr>
          <w:p w14:paraId="62B5B444">
            <w:pPr>
              <w:pStyle w:val="81"/>
              <w:spacing w:beforeAutospacing="0" w:afterAutospacing="0" w:line="320" w:lineRule="exact"/>
              <w:jc w:val="center"/>
              <w:rPr>
                <w:rFonts w:eastAsia="仿宋_GB2312"/>
                <w:color w:val="FF0000"/>
                <w:sz w:val="21"/>
                <w:szCs w:val="21"/>
                <w:lang w:bidi="ar"/>
              </w:rPr>
            </w:pPr>
          </w:p>
        </w:tc>
        <w:tc>
          <w:tcPr>
            <w:tcW w:w="281" w:type="pct"/>
            <w:tcBorders>
              <w:tl2br w:val="nil"/>
              <w:tr2bl w:val="nil"/>
            </w:tcBorders>
            <w:shd w:val="clear" w:color="auto" w:fill="auto"/>
            <w:vAlign w:val="center"/>
          </w:tcPr>
          <w:p w14:paraId="72D7CCF2">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rPr>
              <w:t>5</w:t>
            </w:r>
          </w:p>
        </w:tc>
        <w:tc>
          <w:tcPr>
            <w:tcW w:w="292" w:type="pct"/>
            <w:tcBorders>
              <w:tl2br w:val="nil"/>
              <w:tr2bl w:val="nil"/>
            </w:tcBorders>
            <w:shd w:val="clear" w:color="auto" w:fill="auto"/>
            <w:vAlign w:val="center"/>
          </w:tcPr>
          <w:p w14:paraId="35C66DEE">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6</w:t>
            </w:r>
            <w:r>
              <w:rPr>
                <w:rFonts w:hint="eastAsia" w:eastAsia="仿宋_GB2312"/>
                <w:color w:val="auto"/>
                <w:sz w:val="21"/>
                <w:szCs w:val="21"/>
                <w:lang w:bidi="ar"/>
              </w:rPr>
              <w:t>6</w:t>
            </w:r>
          </w:p>
        </w:tc>
        <w:tc>
          <w:tcPr>
            <w:tcW w:w="281" w:type="pct"/>
            <w:tcBorders>
              <w:tl2br w:val="nil"/>
              <w:tr2bl w:val="nil"/>
            </w:tcBorders>
            <w:shd w:val="clear" w:color="auto" w:fill="auto"/>
            <w:vAlign w:val="center"/>
          </w:tcPr>
          <w:p w14:paraId="5865A752">
            <w:pPr>
              <w:pStyle w:val="81"/>
              <w:spacing w:beforeAutospacing="0" w:afterAutospacing="0" w:line="320" w:lineRule="exact"/>
              <w:ind w:left="0" w:leftChars="0" w:right="0" w:rightChars="0"/>
              <w:jc w:val="center"/>
              <w:rPr>
                <w:rFonts w:ascii="Times New Roman" w:hAnsi="Times New Roman" w:eastAsia="仿宋_GB2312" w:cs="Times New Roman"/>
                <w:b/>
                <w:bCs/>
                <w:color w:val="auto"/>
                <w:kern w:val="0"/>
                <w:sz w:val="21"/>
                <w:szCs w:val="21"/>
                <w:lang w:val="en-US" w:eastAsia="zh-CN" w:bidi="ar"/>
              </w:rPr>
            </w:pPr>
            <w:r>
              <w:rPr>
                <w:rFonts w:eastAsia="仿宋_GB2312"/>
                <w:color w:val="auto"/>
                <w:sz w:val="21"/>
                <w:szCs w:val="21"/>
                <w:lang w:bidi="ar"/>
              </w:rPr>
              <w:t>全天</w:t>
            </w:r>
          </w:p>
        </w:tc>
        <w:tc>
          <w:tcPr>
            <w:tcW w:w="323" w:type="pct"/>
            <w:tcBorders>
              <w:tl2br w:val="nil"/>
              <w:tr2bl w:val="nil"/>
            </w:tcBorders>
            <w:shd w:val="clear" w:color="auto" w:fill="auto"/>
            <w:vAlign w:val="center"/>
          </w:tcPr>
          <w:p w14:paraId="2729EDB9">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20</w:t>
            </w:r>
          </w:p>
        </w:tc>
        <w:tc>
          <w:tcPr>
            <w:tcW w:w="273" w:type="pct"/>
            <w:tcBorders>
              <w:tl2br w:val="nil"/>
              <w:tr2bl w:val="nil"/>
            </w:tcBorders>
            <w:shd w:val="clear" w:color="auto" w:fill="auto"/>
            <w:vAlign w:val="center"/>
          </w:tcPr>
          <w:p w14:paraId="6C29AAC8">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46</w:t>
            </w:r>
          </w:p>
        </w:tc>
        <w:tc>
          <w:tcPr>
            <w:tcW w:w="298" w:type="pct"/>
            <w:tcBorders>
              <w:tl2br w:val="nil"/>
              <w:tr2bl w:val="nil"/>
            </w:tcBorders>
            <w:shd w:val="clear" w:color="auto" w:fill="auto"/>
            <w:vAlign w:val="center"/>
          </w:tcPr>
          <w:p w14:paraId="297EDE45">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1</w:t>
            </w:r>
          </w:p>
        </w:tc>
        <w:tc>
          <w:tcPr>
            <w:tcW w:w="346" w:type="pct"/>
            <w:tcBorders>
              <w:tl2br w:val="nil"/>
              <w:tr2bl w:val="nil"/>
            </w:tcBorders>
            <w:shd w:val="clear" w:color="auto" w:fill="auto"/>
            <w:vAlign w:val="center"/>
          </w:tcPr>
          <w:p w14:paraId="1412FB09">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hint="eastAsia" w:eastAsia="仿宋_GB2312" w:hAnsiTheme="minorHAnsi"/>
                <w:color w:val="auto"/>
                <w:sz w:val="21"/>
                <w:szCs w:val="21"/>
                <w:lang w:val="en-US" w:eastAsia="zh-CN" w:bidi="ar"/>
              </w:rPr>
              <w:t>依托现有</w:t>
            </w:r>
          </w:p>
        </w:tc>
      </w:tr>
      <w:tr w14:paraId="4DB65C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192" w:type="pct"/>
            <w:tcBorders>
              <w:tl2br w:val="nil"/>
              <w:tr2bl w:val="nil"/>
            </w:tcBorders>
            <w:shd w:val="clear" w:color="auto" w:fill="auto"/>
            <w:vAlign w:val="center"/>
          </w:tcPr>
          <w:p w14:paraId="25B8A7DA">
            <w:pPr>
              <w:pStyle w:val="81"/>
              <w:spacing w:beforeAutospacing="0" w:afterAutospacing="0" w:line="320" w:lineRule="exact"/>
              <w:jc w:val="center"/>
              <w:rPr>
                <w:rFonts w:hint="default" w:eastAsia="仿宋_GB2312"/>
                <w:color w:val="auto"/>
                <w:sz w:val="21"/>
                <w:szCs w:val="21"/>
                <w:lang w:val="en-US" w:eastAsia="zh-CN" w:bidi="ar"/>
              </w:rPr>
            </w:pPr>
            <w:r>
              <w:rPr>
                <w:rFonts w:hint="eastAsia" w:eastAsia="仿宋_GB2312"/>
                <w:color w:val="auto"/>
                <w:sz w:val="21"/>
                <w:szCs w:val="21"/>
                <w:lang w:val="en-US" w:eastAsia="zh-CN" w:bidi="ar"/>
              </w:rPr>
              <w:t>17</w:t>
            </w:r>
          </w:p>
        </w:tc>
        <w:tc>
          <w:tcPr>
            <w:tcW w:w="308" w:type="pct"/>
            <w:vMerge w:val="continue"/>
            <w:tcBorders>
              <w:tl2br w:val="nil"/>
              <w:tr2bl w:val="nil"/>
            </w:tcBorders>
            <w:shd w:val="clear" w:color="auto" w:fill="auto"/>
            <w:vAlign w:val="center"/>
          </w:tcPr>
          <w:p w14:paraId="00D26BED">
            <w:pPr>
              <w:widowControl/>
              <w:jc w:val="center"/>
              <w:textAlignment w:val="center"/>
              <w:rPr>
                <w:rFonts w:hint="eastAsia" w:eastAsia="仿宋_GB2312"/>
                <w:color w:val="auto"/>
                <w:kern w:val="0"/>
                <w:szCs w:val="21"/>
                <w:lang w:val="en-US" w:eastAsia="zh-CN" w:bidi="ar"/>
              </w:rPr>
            </w:pPr>
          </w:p>
        </w:tc>
        <w:tc>
          <w:tcPr>
            <w:tcW w:w="422" w:type="pct"/>
            <w:vMerge w:val="restart"/>
            <w:tcBorders>
              <w:tl2br w:val="nil"/>
              <w:tr2bl w:val="nil"/>
            </w:tcBorders>
            <w:shd w:val="clear" w:color="auto" w:fill="auto"/>
            <w:vAlign w:val="center"/>
          </w:tcPr>
          <w:p w14:paraId="5DFDCE2D">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eastAsia" w:eastAsia="方正仿宋_GB2312" w:cs="Times New Roman"/>
                <w:color w:val="000000" w:themeColor="text1"/>
                <w:sz w:val="21"/>
                <w:szCs w:val="21"/>
                <w:lang w:val="en-US" w:eastAsia="zh-CN"/>
                <w14:textFill>
                  <w14:solidFill>
                    <w14:schemeClr w14:val="tx1"/>
                  </w14:solidFill>
                </w14:textFill>
              </w:rPr>
              <w:t>膜处理+连续精馏系列（</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真空泵组</w:t>
            </w:r>
            <w:r>
              <w:rPr>
                <w:rFonts w:hint="eastAsia" w:eastAsia="方正仿宋_GB2312" w:cs="Times New Roman"/>
                <w:color w:val="000000" w:themeColor="text1"/>
                <w:sz w:val="21"/>
                <w:szCs w:val="21"/>
                <w:lang w:val="en-US" w:eastAsia="zh-CN"/>
                <w14:textFill>
                  <w14:solidFill>
                    <w14:schemeClr w14:val="tx1"/>
                  </w14:solidFill>
                </w14:textFill>
              </w:rPr>
              <w:t>）</w:t>
            </w:r>
          </w:p>
        </w:tc>
        <w:tc>
          <w:tcPr>
            <w:tcW w:w="453" w:type="pct"/>
            <w:vMerge w:val="restart"/>
            <w:tcBorders>
              <w:tl2br w:val="nil"/>
              <w:tr2bl w:val="nil"/>
            </w:tcBorders>
            <w:shd w:val="clear" w:color="auto" w:fill="auto"/>
            <w:vAlign w:val="center"/>
          </w:tcPr>
          <w:p w14:paraId="15FFC217">
            <w:pPr>
              <w:bidi w:val="0"/>
              <w:jc w:val="center"/>
              <w:rPr>
                <w:rFonts w:hint="default" w:ascii="Times New Roman" w:hAnsi="Times New Roman" w:eastAsia="方正仿宋_GB2312" w:cs="Times New Roman"/>
                <w:kern w:val="2"/>
                <w:sz w:val="21"/>
                <w:szCs w:val="24"/>
                <w:lang w:val="en-US" w:eastAsia="zh-CN" w:bidi="ar-SA"/>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WLW200AB,W=15kw</w:t>
            </w:r>
          </w:p>
        </w:tc>
        <w:tc>
          <w:tcPr>
            <w:tcW w:w="263" w:type="pct"/>
            <w:tcBorders>
              <w:tl2br w:val="nil"/>
              <w:tr2bl w:val="nil"/>
            </w:tcBorders>
            <w:shd w:val="clear" w:color="auto" w:fill="auto"/>
            <w:vAlign w:val="center"/>
          </w:tcPr>
          <w:p w14:paraId="26F700A9">
            <w:pPr>
              <w:widowControl/>
              <w:jc w:val="center"/>
              <w:textAlignment w:val="center"/>
              <w:rPr>
                <w:rFonts w:hint="default" w:eastAsia="仿宋_GB2312"/>
                <w:color w:val="auto"/>
                <w:kern w:val="0"/>
                <w:szCs w:val="21"/>
                <w:lang w:val="en-US" w:eastAsia="zh-CN" w:bidi="ar"/>
              </w:rPr>
            </w:pPr>
            <w:r>
              <w:rPr>
                <w:rFonts w:hint="eastAsia" w:eastAsia="仿宋_GB2312"/>
                <w:color w:val="auto"/>
                <w:kern w:val="0"/>
                <w:szCs w:val="21"/>
                <w:lang w:val="en-US" w:eastAsia="zh-CN" w:bidi="ar"/>
              </w:rPr>
              <w:t>1</w:t>
            </w:r>
          </w:p>
        </w:tc>
        <w:tc>
          <w:tcPr>
            <w:tcW w:w="244" w:type="pct"/>
            <w:tcBorders>
              <w:tl2br w:val="nil"/>
              <w:tr2bl w:val="nil"/>
            </w:tcBorders>
            <w:shd w:val="clear" w:color="auto" w:fill="auto"/>
            <w:vAlign w:val="center"/>
          </w:tcPr>
          <w:p w14:paraId="413FE6E6">
            <w:pPr>
              <w:pStyle w:val="163"/>
              <w:jc w:val="center"/>
              <w:rPr>
                <w:rFonts w:hint="default" w:ascii="Times New Roman" w:hAnsi="Times New Roman" w:eastAsia="仿宋_GB2312" w:cs="Times New Roman"/>
                <w:color w:val="auto"/>
                <w:kern w:val="0"/>
                <w:sz w:val="21"/>
                <w:szCs w:val="21"/>
                <w:lang w:val="en-US" w:eastAsia="zh-CN" w:bidi="ar"/>
              </w:rPr>
            </w:pPr>
            <w:r>
              <w:rPr>
                <w:rFonts w:hint="eastAsia" w:ascii="Times New Roman"/>
                <w:color w:val="auto"/>
                <w:kern w:val="0"/>
                <w:szCs w:val="21"/>
                <w:lang w:val="en-US" w:eastAsia="zh-CN" w:bidi="ar"/>
              </w:rPr>
              <w:t>171</w:t>
            </w:r>
          </w:p>
        </w:tc>
        <w:tc>
          <w:tcPr>
            <w:tcW w:w="226" w:type="pct"/>
            <w:tcBorders>
              <w:tl2br w:val="nil"/>
              <w:tr2bl w:val="nil"/>
            </w:tcBorders>
            <w:shd w:val="clear" w:color="auto" w:fill="auto"/>
            <w:vAlign w:val="center"/>
          </w:tcPr>
          <w:p w14:paraId="2BFF6D3B">
            <w:pPr>
              <w:pStyle w:val="163"/>
              <w:jc w:val="center"/>
              <w:rPr>
                <w:rFonts w:hint="default" w:ascii="Times New Roman" w:hAnsi="Times New Roman" w:eastAsia="仿宋_GB2312" w:cs="Times New Roman"/>
                <w:color w:val="auto"/>
                <w:kern w:val="0"/>
                <w:sz w:val="21"/>
                <w:szCs w:val="21"/>
                <w:lang w:val="en-US" w:eastAsia="zh-CN" w:bidi="ar"/>
              </w:rPr>
            </w:pPr>
            <w:r>
              <w:rPr>
                <w:rFonts w:hint="eastAsia" w:ascii="Times New Roman"/>
                <w:color w:val="auto"/>
                <w:kern w:val="0"/>
                <w:szCs w:val="21"/>
                <w:lang w:val="en-US" w:eastAsia="zh-CN" w:bidi="ar"/>
              </w:rPr>
              <w:t>55</w:t>
            </w:r>
          </w:p>
        </w:tc>
        <w:tc>
          <w:tcPr>
            <w:tcW w:w="221" w:type="pct"/>
            <w:tcBorders>
              <w:tl2br w:val="nil"/>
              <w:tr2bl w:val="nil"/>
            </w:tcBorders>
            <w:shd w:val="clear" w:color="auto" w:fill="auto"/>
            <w:vAlign w:val="center"/>
          </w:tcPr>
          <w:p w14:paraId="28DA17D1">
            <w:pPr>
              <w:pStyle w:val="163"/>
              <w:jc w:val="center"/>
              <w:rPr>
                <w:rFonts w:hint="default" w:ascii="Times New Roman" w:hAnsi="Times New Roman" w:eastAsia="仿宋_GB2312" w:cs="Times New Roman"/>
                <w:color w:val="auto"/>
                <w:kern w:val="0"/>
                <w:sz w:val="21"/>
                <w:szCs w:val="21"/>
                <w:lang w:val="en-US" w:eastAsia="zh-CN" w:bidi="ar"/>
              </w:rPr>
            </w:pPr>
            <w:r>
              <w:rPr>
                <w:rFonts w:hint="eastAsia" w:ascii="Times New Roman"/>
                <w:color w:val="auto"/>
                <w:kern w:val="0"/>
                <w:szCs w:val="21"/>
                <w:lang w:val="en-US" w:eastAsia="zh-CN" w:bidi="ar"/>
              </w:rPr>
              <w:t>0.5</w:t>
            </w:r>
          </w:p>
        </w:tc>
        <w:tc>
          <w:tcPr>
            <w:tcW w:w="271" w:type="pct"/>
            <w:tcBorders>
              <w:tl2br w:val="nil"/>
              <w:tr2bl w:val="nil"/>
            </w:tcBorders>
            <w:shd w:val="clear" w:color="auto" w:fill="auto"/>
            <w:vAlign w:val="center"/>
          </w:tcPr>
          <w:p w14:paraId="6434DC85">
            <w:pPr>
              <w:pStyle w:val="81"/>
              <w:spacing w:beforeAutospacing="0" w:afterAutospacing="0" w:line="320" w:lineRule="exact"/>
              <w:ind w:left="0" w:leftChars="0" w:right="0" w:rightChars="0"/>
              <w:jc w:val="center"/>
              <w:rPr>
                <w:rFonts w:ascii="Times New Roman" w:hAnsi="Times New Roman" w:eastAsia="仿宋_GB2312" w:cs="Times New Roman"/>
                <w:color w:val="FF0000"/>
                <w:kern w:val="0"/>
                <w:sz w:val="21"/>
                <w:szCs w:val="21"/>
                <w:lang w:val="en-US" w:eastAsia="zh-CN" w:bidi="ar"/>
              </w:rPr>
            </w:pPr>
            <w:r>
              <w:rPr>
                <w:rFonts w:hint="eastAsia" w:ascii="Times New Roman"/>
                <w:color w:val="auto"/>
                <w:kern w:val="0"/>
                <w:szCs w:val="21"/>
                <w:lang w:val="en-US" w:eastAsia="zh-CN" w:bidi="ar"/>
              </w:rPr>
              <w:t>80</w:t>
            </w:r>
          </w:p>
        </w:tc>
        <w:tc>
          <w:tcPr>
            <w:tcW w:w="297" w:type="pct"/>
            <w:vMerge w:val="continue"/>
            <w:tcBorders>
              <w:tl2br w:val="nil"/>
              <w:tr2bl w:val="nil"/>
            </w:tcBorders>
            <w:shd w:val="clear" w:color="auto" w:fill="auto"/>
            <w:vAlign w:val="center"/>
          </w:tcPr>
          <w:p w14:paraId="443EEB17">
            <w:pPr>
              <w:pStyle w:val="81"/>
              <w:spacing w:beforeAutospacing="0" w:afterAutospacing="0" w:line="320" w:lineRule="exact"/>
              <w:jc w:val="center"/>
              <w:rPr>
                <w:rFonts w:eastAsia="仿宋_GB2312"/>
                <w:color w:val="FF0000"/>
                <w:sz w:val="21"/>
                <w:szCs w:val="21"/>
                <w:lang w:bidi="ar"/>
              </w:rPr>
            </w:pPr>
          </w:p>
        </w:tc>
        <w:tc>
          <w:tcPr>
            <w:tcW w:w="281" w:type="pct"/>
            <w:tcBorders>
              <w:tl2br w:val="nil"/>
              <w:tr2bl w:val="nil"/>
            </w:tcBorders>
            <w:shd w:val="clear" w:color="auto" w:fill="auto"/>
            <w:vAlign w:val="center"/>
          </w:tcPr>
          <w:p w14:paraId="49021A8C">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rPr>
              <w:t>5</w:t>
            </w:r>
          </w:p>
        </w:tc>
        <w:tc>
          <w:tcPr>
            <w:tcW w:w="292" w:type="pct"/>
            <w:tcBorders>
              <w:tl2br w:val="nil"/>
              <w:tr2bl w:val="nil"/>
            </w:tcBorders>
            <w:shd w:val="clear" w:color="auto" w:fill="auto"/>
            <w:vAlign w:val="center"/>
          </w:tcPr>
          <w:p w14:paraId="378EDDBD">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6</w:t>
            </w:r>
            <w:r>
              <w:rPr>
                <w:rFonts w:hint="eastAsia" w:eastAsia="仿宋_GB2312"/>
                <w:color w:val="auto"/>
                <w:sz w:val="21"/>
                <w:szCs w:val="21"/>
                <w:lang w:bidi="ar"/>
              </w:rPr>
              <w:t>6</w:t>
            </w:r>
          </w:p>
        </w:tc>
        <w:tc>
          <w:tcPr>
            <w:tcW w:w="281" w:type="pct"/>
            <w:tcBorders>
              <w:tl2br w:val="nil"/>
              <w:tr2bl w:val="nil"/>
            </w:tcBorders>
            <w:shd w:val="clear" w:color="auto" w:fill="auto"/>
            <w:vAlign w:val="center"/>
          </w:tcPr>
          <w:p w14:paraId="37392A8A">
            <w:pPr>
              <w:pStyle w:val="81"/>
              <w:spacing w:beforeAutospacing="0" w:afterAutospacing="0" w:line="320" w:lineRule="exact"/>
              <w:ind w:left="0" w:leftChars="0" w:right="0" w:rightChars="0"/>
              <w:jc w:val="center"/>
              <w:rPr>
                <w:rFonts w:ascii="Times New Roman" w:hAnsi="Times New Roman" w:eastAsia="仿宋_GB2312" w:cs="Times New Roman"/>
                <w:b/>
                <w:bCs/>
                <w:color w:val="auto"/>
                <w:kern w:val="0"/>
                <w:sz w:val="21"/>
                <w:szCs w:val="21"/>
                <w:lang w:val="en-US" w:eastAsia="zh-CN" w:bidi="ar"/>
              </w:rPr>
            </w:pPr>
            <w:r>
              <w:rPr>
                <w:rFonts w:eastAsia="仿宋_GB2312"/>
                <w:color w:val="auto"/>
                <w:sz w:val="21"/>
                <w:szCs w:val="21"/>
                <w:lang w:bidi="ar"/>
              </w:rPr>
              <w:t>全天</w:t>
            </w:r>
          </w:p>
        </w:tc>
        <w:tc>
          <w:tcPr>
            <w:tcW w:w="323" w:type="pct"/>
            <w:tcBorders>
              <w:tl2br w:val="nil"/>
              <w:tr2bl w:val="nil"/>
            </w:tcBorders>
            <w:shd w:val="clear" w:color="auto" w:fill="auto"/>
            <w:vAlign w:val="center"/>
          </w:tcPr>
          <w:p w14:paraId="6DB3EF92">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20</w:t>
            </w:r>
          </w:p>
        </w:tc>
        <w:tc>
          <w:tcPr>
            <w:tcW w:w="273" w:type="pct"/>
            <w:tcBorders>
              <w:tl2br w:val="nil"/>
              <w:tr2bl w:val="nil"/>
            </w:tcBorders>
            <w:shd w:val="clear" w:color="auto" w:fill="auto"/>
            <w:vAlign w:val="center"/>
          </w:tcPr>
          <w:p w14:paraId="72C9D5F1">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46</w:t>
            </w:r>
          </w:p>
        </w:tc>
        <w:tc>
          <w:tcPr>
            <w:tcW w:w="298" w:type="pct"/>
            <w:tcBorders>
              <w:tl2br w:val="nil"/>
              <w:tr2bl w:val="nil"/>
            </w:tcBorders>
            <w:shd w:val="clear" w:color="auto" w:fill="auto"/>
            <w:vAlign w:val="center"/>
          </w:tcPr>
          <w:p w14:paraId="74021357">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1</w:t>
            </w:r>
          </w:p>
        </w:tc>
        <w:tc>
          <w:tcPr>
            <w:tcW w:w="346" w:type="pct"/>
            <w:tcBorders>
              <w:tl2br w:val="nil"/>
              <w:tr2bl w:val="nil"/>
            </w:tcBorders>
            <w:shd w:val="clear" w:color="auto" w:fill="auto"/>
            <w:vAlign w:val="center"/>
          </w:tcPr>
          <w:p w14:paraId="54190787">
            <w:pPr>
              <w:pStyle w:val="81"/>
              <w:spacing w:beforeAutospacing="0" w:afterAutospacing="0" w:line="320" w:lineRule="exact"/>
              <w:ind w:left="0" w:leftChars="0" w:right="0" w:rightChars="0"/>
              <w:jc w:val="center"/>
              <w:rPr>
                <w:rFonts w:hint="default" w:ascii="Times New Roman" w:hAnsi="Times New Roman" w:eastAsia="仿宋_GB2312" w:cs="Times New Roman"/>
                <w:color w:val="auto"/>
                <w:kern w:val="0"/>
                <w:sz w:val="21"/>
                <w:szCs w:val="21"/>
                <w:lang w:val="en-US" w:eastAsia="zh-CN" w:bidi="ar"/>
              </w:rPr>
            </w:pPr>
            <w:r>
              <w:rPr>
                <w:rFonts w:hint="eastAsia" w:eastAsia="仿宋_GB2312" w:cs="Times New Roman"/>
                <w:color w:val="auto"/>
                <w:kern w:val="0"/>
                <w:sz w:val="21"/>
                <w:szCs w:val="21"/>
                <w:lang w:val="en-US" w:eastAsia="zh-CN" w:bidi="ar"/>
              </w:rPr>
              <w:t>新增</w:t>
            </w:r>
          </w:p>
        </w:tc>
      </w:tr>
      <w:tr w14:paraId="31F75A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192" w:type="pct"/>
            <w:tcBorders>
              <w:tl2br w:val="nil"/>
              <w:tr2bl w:val="nil"/>
            </w:tcBorders>
            <w:shd w:val="clear" w:color="auto" w:fill="auto"/>
            <w:vAlign w:val="center"/>
          </w:tcPr>
          <w:p w14:paraId="6C8B04C3">
            <w:pPr>
              <w:pStyle w:val="81"/>
              <w:spacing w:beforeAutospacing="0" w:afterAutospacing="0" w:line="320" w:lineRule="exact"/>
              <w:jc w:val="center"/>
              <w:rPr>
                <w:rFonts w:hint="default" w:eastAsia="仿宋_GB2312"/>
                <w:color w:val="auto"/>
                <w:sz w:val="21"/>
                <w:szCs w:val="21"/>
                <w:lang w:val="en-US" w:eastAsia="zh-CN" w:bidi="ar"/>
              </w:rPr>
            </w:pPr>
            <w:r>
              <w:rPr>
                <w:rFonts w:hint="eastAsia" w:eastAsia="仿宋_GB2312"/>
                <w:color w:val="auto"/>
                <w:sz w:val="21"/>
                <w:szCs w:val="21"/>
                <w:lang w:val="en-US" w:eastAsia="zh-CN" w:bidi="ar"/>
              </w:rPr>
              <w:t>18</w:t>
            </w:r>
          </w:p>
        </w:tc>
        <w:tc>
          <w:tcPr>
            <w:tcW w:w="308" w:type="pct"/>
            <w:vMerge w:val="continue"/>
            <w:tcBorders>
              <w:tl2br w:val="nil"/>
              <w:tr2bl w:val="nil"/>
            </w:tcBorders>
            <w:shd w:val="clear" w:color="auto" w:fill="auto"/>
            <w:vAlign w:val="center"/>
          </w:tcPr>
          <w:p w14:paraId="33D3D613">
            <w:pPr>
              <w:widowControl/>
              <w:jc w:val="center"/>
              <w:textAlignment w:val="center"/>
              <w:rPr>
                <w:rFonts w:hint="eastAsia" w:eastAsia="仿宋_GB2312"/>
                <w:color w:val="auto"/>
                <w:kern w:val="0"/>
                <w:szCs w:val="21"/>
                <w:lang w:val="en-US" w:eastAsia="zh-CN" w:bidi="ar"/>
              </w:rPr>
            </w:pPr>
          </w:p>
        </w:tc>
        <w:tc>
          <w:tcPr>
            <w:tcW w:w="422" w:type="pct"/>
            <w:vMerge w:val="continue"/>
            <w:tcBorders>
              <w:tl2br w:val="nil"/>
              <w:tr2bl w:val="nil"/>
            </w:tcBorders>
            <w:shd w:val="clear" w:color="auto" w:fill="auto"/>
            <w:vAlign w:val="center"/>
          </w:tcPr>
          <w:p w14:paraId="5CD53CA9">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p>
        </w:tc>
        <w:tc>
          <w:tcPr>
            <w:tcW w:w="453" w:type="pct"/>
            <w:vMerge w:val="continue"/>
            <w:tcBorders>
              <w:tl2br w:val="nil"/>
              <w:tr2bl w:val="nil"/>
            </w:tcBorders>
            <w:shd w:val="clear" w:color="auto" w:fill="auto"/>
            <w:vAlign w:val="center"/>
          </w:tcPr>
          <w:p w14:paraId="0B04F7B9">
            <w:pPr>
              <w:bidi w:val="0"/>
              <w:jc w:val="center"/>
              <w:rPr>
                <w:rFonts w:hint="default" w:ascii="Times New Roman" w:hAnsi="Times New Roman" w:eastAsia="方正仿宋_GB2312" w:cs="Times New Roman"/>
                <w:kern w:val="2"/>
                <w:sz w:val="21"/>
                <w:szCs w:val="24"/>
                <w:lang w:val="en-US" w:eastAsia="zh-CN" w:bidi="ar-SA"/>
              </w:rPr>
            </w:pPr>
          </w:p>
        </w:tc>
        <w:tc>
          <w:tcPr>
            <w:tcW w:w="263" w:type="pct"/>
            <w:tcBorders>
              <w:tl2br w:val="nil"/>
              <w:tr2bl w:val="nil"/>
            </w:tcBorders>
            <w:shd w:val="clear" w:color="auto" w:fill="auto"/>
            <w:vAlign w:val="center"/>
          </w:tcPr>
          <w:p w14:paraId="659163C8">
            <w:pPr>
              <w:widowControl/>
              <w:jc w:val="center"/>
              <w:textAlignment w:val="center"/>
              <w:rPr>
                <w:rFonts w:hint="default" w:eastAsia="仿宋_GB2312"/>
                <w:color w:val="auto"/>
                <w:kern w:val="0"/>
                <w:szCs w:val="21"/>
                <w:lang w:val="en-US" w:eastAsia="zh-CN" w:bidi="ar"/>
              </w:rPr>
            </w:pPr>
            <w:r>
              <w:rPr>
                <w:rFonts w:hint="eastAsia" w:eastAsia="仿宋_GB2312"/>
                <w:color w:val="auto"/>
                <w:kern w:val="0"/>
                <w:szCs w:val="21"/>
                <w:lang w:val="en-US" w:eastAsia="zh-CN" w:bidi="ar"/>
              </w:rPr>
              <w:t>1</w:t>
            </w:r>
          </w:p>
        </w:tc>
        <w:tc>
          <w:tcPr>
            <w:tcW w:w="244" w:type="pct"/>
            <w:tcBorders>
              <w:tl2br w:val="nil"/>
              <w:tr2bl w:val="nil"/>
            </w:tcBorders>
            <w:shd w:val="clear" w:color="auto" w:fill="auto"/>
            <w:vAlign w:val="center"/>
          </w:tcPr>
          <w:p w14:paraId="1A6AFD3F">
            <w:pPr>
              <w:pStyle w:val="163"/>
              <w:jc w:val="center"/>
              <w:rPr>
                <w:rFonts w:hint="default" w:ascii="Times New Roman" w:hAnsi="Times New Roman" w:eastAsia="仿宋_GB2312" w:cs="Times New Roman"/>
                <w:color w:val="auto"/>
                <w:kern w:val="0"/>
                <w:sz w:val="21"/>
                <w:szCs w:val="21"/>
                <w:lang w:val="en-US" w:eastAsia="zh-CN" w:bidi="ar"/>
              </w:rPr>
            </w:pPr>
            <w:r>
              <w:rPr>
                <w:rFonts w:hint="eastAsia" w:ascii="Times New Roman"/>
                <w:color w:val="auto"/>
                <w:kern w:val="0"/>
                <w:szCs w:val="21"/>
                <w:lang w:val="en-US" w:eastAsia="zh-CN" w:bidi="ar"/>
              </w:rPr>
              <w:t>171</w:t>
            </w:r>
          </w:p>
        </w:tc>
        <w:tc>
          <w:tcPr>
            <w:tcW w:w="226" w:type="pct"/>
            <w:tcBorders>
              <w:tl2br w:val="nil"/>
              <w:tr2bl w:val="nil"/>
            </w:tcBorders>
            <w:shd w:val="clear" w:color="auto" w:fill="auto"/>
            <w:vAlign w:val="center"/>
          </w:tcPr>
          <w:p w14:paraId="7D6FD4E0">
            <w:pPr>
              <w:pStyle w:val="163"/>
              <w:jc w:val="center"/>
              <w:rPr>
                <w:rFonts w:hint="default" w:ascii="Times New Roman" w:hAnsi="Times New Roman" w:eastAsia="仿宋_GB2312" w:cs="Times New Roman"/>
                <w:color w:val="auto"/>
                <w:kern w:val="0"/>
                <w:sz w:val="21"/>
                <w:szCs w:val="21"/>
                <w:lang w:val="en-US" w:eastAsia="zh-CN" w:bidi="ar"/>
              </w:rPr>
            </w:pPr>
            <w:r>
              <w:rPr>
                <w:rFonts w:hint="eastAsia" w:ascii="Times New Roman"/>
                <w:color w:val="auto"/>
                <w:kern w:val="0"/>
                <w:szCs w:val="21"/>
                <w:lang w:val="en-US" w:eastAsia="zh-CN" w:bidi="ar"/>
              </w:rPr>
              <w:t>56</w:t>
            </w:r>
          </w:p>
        </w:tc>
        <w:tc>
          <w:tcPr>
            <w:tcW w:w="221" w:type="pct"/>
            <w:tcBorders>
              <w:tl2br w:val="nil"/>
              <w:tr2bl w:val="nil"/>
            </w:tcBorders>
            <w:shd w:val="clear" w:color="auto" w:fill="auto"/>
            <w:vAlign w:val="center"/>
          </w:tcPr>
          <w:p w14:paraId="4385D487">
            <w:pPr>
              <w:pStyle w:val="163"/>
              <w:jc w:val="center"/>
              <w:rPr>
                <w:rFonts w:hint="default" w:ascii="Times New Roman" w:hAnsi="Times New Roman" w:eastAsia="仿宋_GB2312" w:cs="Times New Roman"/>
                <w:color w:val="auto"/>
                <w:kern w:val="0"/>
                <w:sz w:val="21"/>
                <w:szCs w:val="21"/>
                <w:lang w:val="en-US" w:eastAsia="zh-CN" w:bidi="ar"/>
              </w:rPr>
            </w:pPr>
            <w:r>
              <w:rPr>
                <w:rFonts w:hint="eastAsia" w:ascii="Times New Roman"/>
                <w:color w:val="auto"/>
                <w:kern w:val="0"/>
                <w:szCs w:val="21"/>
                <w:lang w:val="en-US" w:eastAsia="zh-CN" w:bidi="ar"/>
              </w:rPr>
              <w:t>0.5</w:t>
            </w:r>
          </w:p>
        </w:tc>
        <w:tc>
          <w:tcPr>
            <w:tcW w:w="271" w:type="pct"/>
            <w:tcBorders>
              <w:tl2br w:val="nil"/>
              <w:tr2bl w:val="nil"/>
            </w:tcBorders>
            <w:shd w:val="clear" w:color="auto" w:fill="auto"/>
            <w:vAlign w:val="center"/>
          </w:tcPr>
          <w:p w14:paraId="0B5F88B1">
            <w:pPr>
              <w:pStyle w:val="81"/>
              <w:spacing w:beforeAutospacing="0" w:afterAutospacing="0" w:line="320" w:lineRule="exact"/>
              <w:ind w:left="0" w:leftChars="0" w:right="0" w:rightChars="0"/>
              <w:jc w:val="center"/>
              <w:rPr>
                <w:rFonts w:ascii="Times New Roman" w:hAnsi="Times New Roman" w:eastAsia="仿宋_GB2312" w:cs="Times New Roman"/>
                <w:color w:val="FF0000"/>
                <w:kern w:val="0"/>
                <w:sz w:val="21"/>
                <w:szCs w:val="21"/>
                <w:lang w:val="en-US" w:eastAsia="zh-CN" w:bidi="ar"/>
              </w:rPr>
            </w:pPr>
            <w:r>
              <w:rPr>
                <w:rFonts w:hint="eastAsia" w:ascii="Times New Roman"/>
                <w:color w:val="auto"/>
                <w:kern w:val="0"/>
                <w:szCs w:val="21"/>
                <w:lang w:val="en-US" w:eastAsia="zh-CN" w:bidi="ar"/>
              </w:rPr>
              <w:t>80</w:t>
            </w:r>
          </w:p>
        </w:tc>
        <w:tc>
          <w:tcPr>
            <w:tcW w:w="297" w:type="pct"/>
            <w:vMerge w:val="continue"/>
            <w:tcBorders>
              <w:tl2br w:val="nil"/>
              <w:tr2bl w:val="nil"/>
            </w:tcBorders>
            <w:shd w:val="clear" w:color="auto" w:fill="auto"/>
            <w:vAlign w:val="center"/>
          </w:tcPr>
          <w:p w14:paraId="69457E4D">
            <w:pPr>
              <w:pStyle w:val="81"/>
              <w:spacing w:beforeAutospacing="0" w:afterAutospacing="0" w:line="320" w:lineRule="exact"/>
              <w:jc w:val="center"/>
              <w:rPr>
                <w:rFonts w:eastAsia="仿宋_GB2312"/>
                <w:color w:val="FF0000"/>
                <w:sz w:val="21"/>
                <w:szCs w:val="21"/>
                <w:lang w:bidi="ar"/>
              </w:rPr>
            </w:pPr>
          </w:p>
        </w:tc>
        <w:tc>
          <w:tcPr>
            <w:tcW w:w="281" w:type="pct"/>
            <w:tcBorders>
              <w:tl2br w:val="nil"/>
              <w:tr2bl w:val="nil"/>
            </w:tcBorders>
            <w:shd w:val="clear" w:color="auto" w:fill="auto"/>
            <w:vAlign w:val="center"/>
          </w:tcPr>
          <w:p w14:paraId="2163E19E">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rPr>
              <w:t>5</w:t>
            </w:r>
          </w:p>
        </w:tc>
        <w:tc>
          <w:tcPr>
            <w:tcW w:w="292" w:type="pct"/>
            <w:tcBorders>
              <w:tl2br w:val="nil"/>
              <w:tr2bl w:val="nil"/>
            </w:tcBorders>
            <w:shd w:val="clear" w:color="auto" w:fill="auto"/>
            <w:vAlign w:val="center"/>
          </w:tcPr>
          <w:p w14:paraId="0E406E2E">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6</w:t>
            </w:r>
            <w:r>
              <w:rPr>
                <w:rFonts w:hint="eastAsia" w:eastAsia="仿宋_GB2312"/>
                <w:color w:val="auto"/>
                <w:sz w:val="21"/>
                <w:szCs w:val="21"/>
                <w:lang w:bidi="ar"/>
              </w:rPr>
              <w:t>6</w:t>
            </w:r>
          </w:p>
        </w:tc>
        <w:tc>
          <w:tcPr>
            <w:tcW w:w="281" w:type="pct"/>
            <w:tcBorders>
              <w:tl2br w:val="nil"/>
              <w:tr2bl w:val="nil"/>
            </w:tcBorders>
            <w:shd w:val="clear" w:color="auto" w:fill="auto"/>
            <w:vAlign w:val="center"/>
          </w:tcPr>
          <w:p w14:paraId="0C55CE2B">
            <w:pPr>
              <w:pStyle w:val="81"/>
              <w:spacing w:beforeAutospacing="0" w:afterAutospacing="0" w:line="320" w:lineRule="exact"/>
              <w:ind w:left="0" w:leftChars="0" w:right="0" w:rightChars="0"/>
              <w:jc w:val="center"/>
              <w:rPr>
                <w:rFonts w:ascii="Times New Roman" w:hAnsi="Times New Roman" w:eastAsia="仿宋_GB2312" w:cs="Times New Roman"/>
                <w:b/>
                <w:bCs/>
                <w:color w:val="auto"/>
                <w:kern w:val="0"/>
                <w:sz w:val="21"/>
                <w:szCs w:val="21"/>
                <w:lang w:val="en-US" w:eastAsia="zh-CN" w:bidi="ar"/>
              </w:rPr>
            </w:pPr>
            <w:r>
              <w:rPr>
                <w:rFonts w:eastAsia="仿宋_GB2312"/>
                <w:color w:val="auto"/>
                <w:sz w:val="21"/>
                <w:szCs w:val="21"/>
                <w:lang w:bidi="ar"/>
              </w:rPr>
              <w:t>全天</w:t>
            </w:r>
          </w:p>
        </w:tc>
        <w:tc>
          <w:tcPr>
            <w:tcW w:w="323" w:type="pct"/>
            <w:tcBorders>
              <w:tl2br w:val="nil"/>
              <w:tr2bl w:val="nil"/>
            </w:tcBorders>
            <w:shd w:val="clear" w:color="auto" w:fill="auto"/>
            <w:vAlign w:val="center"/>
          </w:tcPr>
          <w:p w14:paraId="186D9BBF">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20</w:t>
            </w:r>
          </w:p>
        </w:tc>
        <w:tc>
          <w:tcPr>
            <w:tcW w:w="273" w:type="pct"/>
            <w:tcBorders>
              <w:tl2br w:val="nil"/>
              <w:tr2bl w:val="nil"/>
            </w:tcBorders>
            <w:shd w:val="clear" w:color="auto" w:fill="auto"/>
            <w:vAlign w:val="center"/>
          </w:tcPr>
          <w:p w14:paraId="43B44223">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46</w:t>
            </w:r>
          </w:p>
        </w:tc>
        <w:tc>
          <w:tcPr>
            <w:tcW w:w="298" w:type="pct"/>
            <w:tcBorders>
              <w:tl2br w:val="nil"/>
              <w:tr2bl w:val="nil"/>
            </w:tcBorders>
            <w:shd w:val="clear" w:color="auto" w:fill="auto"/>
            <w:vAlign w:val="center"/>
          </w:tcPr>
          <w:p w14:paraId="6F264801">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1</w:t>
            </w:r>
          </w:p>
        </w:tc>
        <w:tc>
          <w:tcPr>
            <w:tcW w:w="346" w:type="pct"/>
            <w:tcBorders>
              <w:tl2br w:val="nil"/>
              <w:tr2bl w:val="nil"/>
            </w:tcBorders>
            <w:shd w:val="clear" w:color="auto" w:fill="auto"/>
            <w:vAlign w:val="center"/>
          </w:tcPr>
          <w:p w14:paraId="63B4AF2E">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hint="eastAsia" w:eastAsia="仿宋_GB2312" w:cs="Times New Roman"/>
                <w:color w:val="auto"/>
                <w:kern w:val="0"/>
                <w:sz w:val="21"/>
                <w:szCs w:val="21"/>
                <w:lang w:val="en-US" w:eastAsia="zh-CN" w:bidi="ar"/>
              </w:rPr>
              <w:t>新增</w:t>
            </w:r>
          </w:p>
        </w:tc>
      </w:tr>
      <w:tr w14:paraId="25C1BC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192" w:type="pct"/>
            <w:tcBorders>
              <w:tl2br w:val="nil"/>
              <w:tr2bl w:val="nil"/>
            </w:tcBorders>
            <w:shd w:val="clear" w:color="auto" w:fill="auto"/>
            <w:vAlign w:val="center"/>
          </w:tcPr>
          <w:p w14:paraId="71FC58D7">
            <w:pPr>
              <w:pStyle w:val="81"/>
              <w:spacing w:beforeAutospacing="0" w:afterAutospacing="0" w:line="320" w:lineRule="exact"/>
              <w:jc w:val="center"/>
              <w:rPr>
                <w:rFonts w:hint="default" w:eastAsia="仿宋_GB2312"/>
                <w:color w:val="auto"/>
                <w:sz w:val="21"/>
                <w:szCs w:val="21"/>
                <w:lang w:val="en-US" w:eastAsia="zh-CN" w:bidi="ar"/>
              </w:rPr>
            </w:pPr>
            <w:r>
              <w:rPr>
                <w:rFonts w:hint="eastAsia" w:eastAsia="仿宋_GB2312"/>
                <w:color w:val="auto"/>
                <w:sz w:val="21"/>
                <w:szCs w:val="21"/>
                <w:lang w:val="en-US" w:eastAsia="zh-CN" w:bidi="ar"/>
              </w:rPr>
              <w:t>19</w:t>
            </w:r>
          </w:p>
        </w:tc>
        <w:tc>
          <w:tcPr>
            <w:tcW w:w="308" w:type="pct"/>
            <w:vMerge w:val="continue"/>
            <w:tcBorders>
              <w:tl2br w:val="nil"/>
              <w:tr2bl w:val="nil"/>
            </w:tcBorders>
            <w:shd w:val="clear" w:color="auto" w:fill="auto"/>
            <w:vAlign w:val="center"/>
          </w:tcPr>
          <w:p w14:paraId="0EA82139">
            <w:pPr>
              <w:widowControl/>
              <w:jc w:val="center"/>
              <w:textAlignment w:val="center"/>
              <w:rPr>
                <w:rFonts w:hint="eastAsia" w:eastAsia="仿宋_GB2312"/>
                <w:color w:val="auto"/>
                <w:kern w:val="0"/>
                <w:szCs w:val="21"/>
                <w:lang w:val="en-US" w:eastAsia="zh-CN" w:bidi="ar"/>
              </w:rPr>
            </w:pPr>
          </w:p>
        </w:tc>
        <w:tc>
          <w:tcPr>
            <w:tcW w:w="422" w:type="pct"/>
            <w:vMerge w:val="restart"/>
            <w:tcBorders>
              <w:tl2br w:val="nil"/>
              <w:tr2bl w:val="nil"/>
            </w:tcBorders>
            <w:shd w:val="clear" w:color="auto" w:fill="auto"/>
            <w:vAlign w:val="center"/>
          </w:tcPr>
          <w:p w14:paraId="5559DCF3">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r>
              <w:rPr>
                <w:rFonts w:hint="eastAsia" w:eastAsia="方正仿宋_GB2312" w:cs="Times New Roman"/>
                <w:color w:val="000000" w:themeColor="text1"/>
                <w:sz w:val="21"/>
                <w:szCs w:val="21"/>
                <w:lang w:val="en-US" w:eastAsia="zh-CN"/>
                <w14:textFill>
                  <w14:solidFill>
                    <w14:schemeClr w14:val="tx1"/>
                  </w14:solidFill>
                </w14:textFill>
              </w:rPr>
              <w:t>超重力精馏系列（</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真空泵组</w:t>
            </w:r>
            <w:r>
              <w:rPr>
                <w:rFonts w:hint="eastAsia" w:eastAsia="方正仿宋_GB2312" w:cs="Times New Roman"/>
                <w:color w:val="000000" w:themeColor="text1"/>
                <w:sz w:val="21"/>
                <w:szCs w:val="21"/>
                <w:lang w:val="en-US" w:eastAsia="zh-CN"/>
                <w14:textFill>
                  <w14:solidFill>
                    <w14:schemeClr w14:val="tx1"/>
                  </w14:solidFill>
                </w14:textFill>
              </w:rPr>
              <w:t>）</w:t>
            </w:r>
          </w:p>
        </w:tc>
        <w:tc>
          <w:tcPr>
            <w:tcW w:w="453" w:type="pct"/>
            <w:vMerge w:val="restart"/>
            <w:tcBorders>
              <w:tl2br w:val="nil"/>
              <w:tr2bl w:val="nil"/>
            </w:tcBorders>
            <w:shd w:val="clear" w:color="auto" w:fill="auto"/>
            <w:vAlign w:val="center"/>
          </w:tcPr>
          <w:p w14:paraId="30379EAB">
            <w:pPr>
              <w:bidi w:val="0"/>
              <w:jc w:val="center"/>
              <w:rPr>
                <w:rFonts w:hint="default" w:ascii="Times New Roman" w:hAnsi="Times New Roman" w:eastAsia="方正仿宋_GB2312" w:cs="Times New Roman"/>
                <w:snapToGrid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Q=200L/S</w:t>
            </w:r>
            <w:r>
              <w:rPr>
                <w:rFonts w:hint="eastAsia" w:ascii="Times New Roman" w:hAnsi="Times New Roman" w:eastAsia="方正仿宋_GB2312" w:cs="Times New Roman"/>
                <w:color w:val="000000" w:themeColor="text1"/>
                <w:sz w:val="21"/>
                <w:szCs w:val="21"/>
                <w:lang w:val="en-US" w:eastAsia="zh-CN"/>
                <w14:textFill>
                  <w14:solidFill>
                    <w14:schemeClr w14:val="tx1"/>
                  </w14:solidFill>
                </w14:textFill>
              </w:rPr>
              <w:t>，</w:t>
            </w:r>
            <w:r>
              <w:rPr>
                <w:rFonts w:hint="default" w:ascii="Times New Roman" w:hAnsi="Times New Roman" w:eastAsia="方正仿宋_GB2312" w:cs="Times New Roman"/>
                <w:color w:val="000000" w:themeColor="text1"/>
                <w:sz w:val="21"/>
                <w:szCs w:val="21"/>
                <w:lang w:val="en-US" w:eastAsia="zh-CN"/>
                <w14:textFill>
                  <w14:solidFill>
                    <w14:schemeClr w14:val="tx1"/>
                  </w14:solidFill>
                </w14:textFill>
              </w:rPr>
              <w:t>15kw+4kw</w:t>
            </w:r>
          </w:p>
        </w:tc>
        <w:tc>
          <w:tcPr>
            <w:tcW w:w="263" w:type="pct"/>
            <w:tcBorders>
              <w:tl2br w:val="nil"/>
              <w:tr2bl w:val="nil"/>
            </w:tcBorders>
            <w:shd w:val="clear" w:color="auto" w:fill="auto"/>
            <w:vAlign w:val="center"/>
          </w:tcPr>
          <w:p w14:paraId="23CE0A04">
            <w:pPr>
              <w:widowControl/>
              <w:jc w:val="center"/>
              <w:textAlignment w:val="center"/>
              <w:rPr>
                <w:rFonts w:hint="default" w:eastAsia="仿宋_GB2312"/>
                <w:color w:val="auto"/>
                <w:kern w:val="0"/>
                <w:szCs w:val="21"/>
                <w:lang w:val="en-US" w:eastAsia="zh-CN" w:bidi="ar"/>
              </w:rPr>
            </w:pPr>
            <w:r>
              <w:rPr>
                <w:rFonts w:hint="eastAsia" w:eastAsia="仿宋_GB2312"/>
                <w:color w:val="auto"/>
                <w:kern w:val="0"/>
                <w:szCs w:val="21"/>
                <w:lang w:val="en-US" w:eastAsia="zh-CN" w:bidi="ar"/>
              </w:rPr>
              <w:t>1</w:t>
            </w:r>
          </w:p>
        </w:tc>
        <w:tc>
          <w:tcPr>
            <w:tcW w:w="244" w:type="pct"/>
            <w:tcBorders>
              <w:tl2br w:val="nil"/>
              <w:tr2bl w:val="nil"/>
            </w:tcBorders>
            <w:shd w:val="clear" w:color="auto" w:fill="auto"/>
            <w:vAlign w:val="center"/>
          </w:tcPr>
          <w:p w14:paraId="3FE05212">
            <w:pPr>
              <w:pStyle w:val="163"/>
              <w:jc w:val="center"/>
              <w:rPr>
                <w:rFonts w:hint="default" w:ascii="Times New Roman" w:hAnsi="Times New Roman" w:eastAsia="仿宋_GB2312" w:cs="Times New Roman"/>
                <w:color w:val="auto"/>
                <w:kern w:val="0"/>
                <w:sz w:val="21"/>
                <w:szCs w:val="21"/>
                <w:lang w:val="en-US" w:eastAsia="zh-CN" w:bidi="ar"/>
              </w:rPr>
            </w:pPr>
            <w:r>
              <w:rPr>
                <w:rFonts w:hint="eastAsia" w:ascii="Times New Roman"/>
                <w:color w:val="auto"/>
                <w:kern w:val="0"/>
                <w:szCs w:val="21"/>
                <w:lang w:val="en-US" w:eastAsia="zh-CN" w:bidi="ar"/>
              </w:rPr>
              <w:t>179</w:t>
            </w:r>
          </w:p>
        </w:tc>
        <w:tc>
          <w:tcPr>
            <w:tcW w:w="226" w:type="pct"/>
            <w:tcBorders>
              <w:tl2br w:val="nil"/>
              <w:tr2bl w:val="nil"/>
            </w:tcBorders>
            <w:shd w:val="clear" w:color="auto" w:fill="auto"/>
            <w:vAlign w:val="center"/>
          </w:tcPr>
          <w:p w14:paraId="38C85258">
            <w:pPr>
              <w:pStyle w:val="163"/>
              <w:jc w:val="center"/>
              <w:rPr>
                <w:rFonts w:hint="default" w:ascii="Times New Roman" w:hAnsi="Times New Roman" w:eastAsia="仿宋_GB2312" w:cs="Times New Roman"/>
                <w:color w:val="auto"/>
                <w:kern w:val="0"/>
                <w:sz w:val="21"/>
                <w:szCs w:val="21"/>
                <w:lang w:val="en-US" w:eastAsia="zh-CN" w:bidi="ar"/>
              </w:rPr>
            </w:pPr>
            <w:r>
              <w:rPr>
                <w:rFonts w:hint="eastAsia" w:ascii="Times New Roman"/>
                <w:color w:val="auto"/>
                <w:kern w:val="0"/>
                <w:szCs w:val="21"/>
                <w:lang w:val="en-US" w:eastAsia="zh-CN" w:bidi="ar"/>
              </w:rPr>
              <w:t>78</w:t>
            </w:r>
          </w:p>
        </w:tc>
        <w:tc>
          <w:tcPr>
            <w:tcW w:w="221" w:type="pct"/>
            <w:tcBorders>
              <w:tl2br w:val="nil"/>
              <w:tr2bl w:val="nil"/>
            </w:tcBorders>
            <w:shd w:val="clear" w:color="auto" w:fill="auto"/>
            <w:vAlign w:val="center"/>
          </w:tcPr>
          <w:p w14:paraId="5734294F">
            <w:pPr>
              <w:pStyle w:val="163"/>
              <w:jc w:val="center"/>
              <w:rPr>
                <w:rFonts w:hint="default" w:ascii="Times New Roman" w:hAnsi="Times New Roman" w:eastAsia="仿宋_GB2312" w:cs="Times New Roman"/>
                <w:color w:val="auto"/>
                <w:kern w:val="0"/>
                <w:sz w:val="21"/>
                <w:szCs w:val="21"/>
                <w:lang w:val="en-US" w:eastAsia="zh-CN" w:bidi="ar"/>
              </w:rPr>
            </w:pPr>
            <w:r>
              <w:rPr>
                <w:rFonts w:hint="eastAsia" w:ascii="Times New Roman"/>
                <w:color w:val="auto"/>
                <w:kern w:val="0"/>
                <w:szCs w:val="21"/>
                <w:lang w:val="en-US" w:eastAsia="zh-CN" w:bidi="ar"/>
              </w:rPr>
              <w:t>0.5</w:t>
            </w:r>
          </w:p>
        </w:tc>
        <w:tc>
          <w:tcPr>
            <w:tcW w:w="271" w:type="pct"/>
            <w:tcBorders>
              <w:tl2br w:val="nil"/>
              <w:tr2bl w:val="nil"/>
            </w:tcBorders>
            <w:shd w:val="clear" w:color="auto" w:fill="auto"/>
            <w:vAlign w:val="center"/>
          </w:tcPr>
          <w:p w14:paraId="3C54BEFC">
            <w:pPr>
              <w:pStyle w:val="81"/>
              <w:spacing w:beforeAutospacing="0" w:afterAutospacing="0" w:line="320" w:lineRule="exact"/>
              <w:ind w:left="0" w:leftChars="0" w:right="0" w:rightChars="0"/>
              <w:jc w:val="center"/>
              <w:rPr>
                <w:rFonts w:ascii="Times New Roman" w:hAnsi="Times New Roman" w:eastAsia="仿宋_GB2312" w:cs="Times New Roman"/>
                <w:color w:val="FF0000"/>
                <w:kern w:val="0"/>
                <w:sz w:val="21"/>
                <w:szCs w:val="21"/>
                <w:lang w:val="en-US" w:eastAsia="zh-CN" w:bidi="ar"/>
              </w:rPr>
            </w:pPr>
            <w:r>
              <w:rPr>
                <w:rFonts w:hint="eastAsia" w:ascii="Times New Roman"/>
                <w:color w:val="auto"/>
                <w:kern w:val="0"/>
                <w:szCs w:val="21"/>
                <w:lang w:val="en-US" w:eastAsia="zh-CN" w:bidi="ar"/>
              </w:rPr>
              <w:t>80</w:t>
            </w:r>
          </w:p>
        </w:tc>
        <w:tc>
          <w:tcPr>
            <w:tcW w:w="297" w:type="pct"/>
            <w:vMerge w:val="continue"/>
            <w:tcBorders>
              <w:tl2br w:val="nil"/>
              <w:tr2bl w:val="nil"/>
            </w:tcBorders>
            <w:shd w:val="clear" w:color="auto" w:fill="auto"/>
            <w:vAlign w:val="center"/>
          </w:tcPr>
          <w:p w14:paraId="47C1C90F">
            <w:pPr>
              <w:pStyle w:val="81"/>
              <w:spacing w:beforeAutospacing="0" w:afterAutospacing="0" w:line="320" w:lineRule="exact"/>
              <w:jc w:val="center"/>
              <w:rPr>
                <w:rFonts w:eastAsia="仿宋_GB2312"/>
                <w:color w:val="FF0000"/>
                <w:sz w:val="21"/>
                <w:szCs w:val="21"/>
                <w:lang w:bidi="ar"/>
              </w:rPr>
            </w:pPr>
          </w:p>
        </w:tc>
        <w:tc>
          <w:tcPr>
            <w:tcW w:w="281" w:type="pct"/>
            <w:tcBorders>
              <w:tl2br w:val="nil"/>
              <w:tr2bl w:val="nil"/>
            </w:tcBorders>
            <w:shd w:val="clear" w:color="auto" w:fill="auto"/>
            <w:vAlign w:val="center"/>
          </w:tcPr>
          <w:p w14:paraId="1712522F">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rPr>
              <w:t>5</w:t>
            </w:r>
          </w:p>
        </w:tc>
        <w:tc>
          <w:tcPr>
            <w:tcW w:w="292" w:type="pct"/>
            <w:tcBorders>
              <w:tl2br w:val="nil"/>
              <w:tr2bl w:val="nil"/>
            </w:tcBorders>
            <w:shd w:val="clear" w:color="auto" w:fill="auto"/>
            <w:vAlign w:val="center"/>
          </w:tcPr>
          <w:p w14:paraId="54E675EA">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6</w:t>
            </w:r>
            <w:r>
              <w:rPr>
                <w:rFonts w:hint="eastAsia" w:eastAsia="仿宋_GB2312"/>
                <w:color w:val="auto"/>
                <w:sz w:val="21"/>
                <w:szCs w:val="21"/>
                <w:lang w:bidi="ar"/>
              </w:rPr>
              <w:t>6</w:t>
            </w:r>
          </w:p>
        </w:tc>
        <w:tc>
          <w:tcPr>
            <w:tcW w:w="281" w:type="pct"/>
            <w:tcBorders>
              <w:tl2br w:val="nil"/>
              <w:tr2bl w:val="nil"/>
            </w:tcBorders>
            <w:shd w:val="clear" w:color="auto" w:fill="auto"/>
            <w:vAlign w:val="center"/>
          </w:tcPr>
          <w:p w14:paraId="0953F455">
            <w:pPr>
              <w:pStyle w:val="81"/>
              <w:spacing w:beforeAutospacing="0" w:afterAutospacing="0" w:line="320" w:lineRule="exact"/>
              <w:ind w:left="0" w:leftChars="0" w:right="0" w:rightChars="0"/>
              <w:jc w:val="center"/>
              <w:rPr>
                <w:rFonts w:ascii="Times New Roman" w:hAnsi="Times New Roman" w:eastAsia="仿宋_GB2312" w:cs="Times New Roman"/>
                <w:b/>
                <w:bCs/>
                <w:color w:val="auto"/>
                <w:kern w:val="0"/>
                <w:sz w:val="21"/>
                <w:szCs w:val="21"/>
                <w:lang w:val="en-US" w:eastAsia="zh-CN" w:bidi="ar"/>
              </w:rPr>
            </w:pPr>
            <w:r>
              <w:rPr>
                <w:rFonts w:eastAsia="仿宋_GB2312"/>
                <w:color w:val="auto"/>
                <w:sz w:val="21"/>
                <w:szCs w:val="21"/>
                <w:lang w:bidi="ar"/>
              </w:rPr>
              <w:t>全天</w:t>
            </w:r>
          </w:p>
        </w:tc>
        <w:tc>
          <w:tcPr>
            <w:tcW w:w="323" w:type="pct"/>
            <w:tcBorders>
              <w:tl2br w:val="nil"/>
              <w:tr2bl w:val="nil"/>
            </w:tcBorders>
            <w:shd w:val="clear" w:color="auto" w:fill="auto"/>
            <w:vAlign w:val="center"/>
          </w:tcPr>
          <w:p w14:paraId="54FB0E94">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20</w:t>
            </w:r>
          </w:p>
        </w:tc>
        <w:tc>
          <w:tcPr>
            <w:tcW w:w="273" w:type="pct"/>
            <w:tcBorders>
              <w:tl2br w:val="nil"/>
              <w:tr2bl w:val="nil"/>
            </w:tcBorders>
            <w:shd w:val="clear" w:color="auto" w:fill="auto"/>
            <w:vAlign w:val="center"/>
          </w:tcPr>
          <w:p w14:paraId="535767E3">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46</w:t>
            </w:r>
          </w:p>
        </w:tc>
        <w:tc>
          <w:tcPr>
            <w:tcW w:w="298" w:type="pct"/>
            <w:tcBorders>
              <w:tl2br w:val="nil"/>
              <w:tr2bl w:val="nil"/>
            </w:tcBorders>
            <w:shd w:val="clear" w:color="auto" w:fill="auto"/>
            <w:vAlign w:val="center"/>
          </w:tcPr>
          <w:p w14:paraId="623BB10A">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1</w:t>
            </w:r>
          </w:p>
        </w:tc>
        <w:tc>
          <w:tcPr>
            <w:tcW w:w="346" w:type="pct"/>
            <w:tcBorders>
              <w:tl2br w:val="nil"/>
              <w:tr2bl w:val="nil"/>
            </w:tcBorders>
            <w:shd w:val="clear" w:color="auto" w:fill="auto"/>
            <w:vAlign w:val="center"/>
          </w:tcPr>
          <w:p w14:paraId="69BE092A">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hint="eastAsia" w:eastAsia="仿宋_GB2312" w:cs="Times New Roman"/>
                <w:color w:val="auto"/>
                <w:kern w:val="0"/>
                <w:sz w:val="21"/>
                <w:szCs w:val="21"/>
                <w:lang w:val="en-US" w:eastAsia="zh-CN" w:bidi="ar"/>
              </w:rPr>
              <w:t>新增</w:t>
            </w:r>
          </w:p>
        </w:tc>
      </w:tr>
      <w:tr w14:paraId="2BD596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192" w:type="pct"/>
            <w:tcBorders>
              <w:tl2br w:val="nil"/>
              <w:tr2bl w:val="nil"/>
            </w:tcBorders>
            <w:shd w:val="clear" w:color="auto" w:fill="auto"/>
            <w:vAlign w:val="center"/>
          </w:tcPr>
          <w:p w14:paraId="5B0D8B87">
            <w:pPr>
              <w:pStyle w:val="81"/>
              <w:spacing w:beforeAutospacing="0" w:afterAutospacing="0" w:line="320" w:lineRule="exact"/>
              <w:jc w:val="center"/>
              <w:rPr>
                <w:rFonts w:hint="default" w:eastAsia="仿宋_GB2312"/>
                <w:color w:val="auto"/>
                <w:sz w:val="21"/>
                <w:szCs w:val="21"/>
                <w:lang w:val="en-US" w:eastAsia="zh-CN" w:bidi="ar"/>
              </w:rPr>
            </w:pPr>
            <w:r>
              <w:rPr>
                <w:rFonts w:hint="eastAsia" w:eastAsia="仿宋_GB2312"/>
                <w:color w:val="auto"/>
                <w:sz w:val="21"/>
                <w:szCs w:val="21"/>
                <w:lang w:val="en-US" w:eastAsia="zh-CN" w:bidi="ar"/>
              </w:rPr>
              <w:t>20</w:t>
            </w:r>
          </w:p>
        </w:tc>
        <w:tc>
          <w:tcPr>
            <w:tcW w:w="308" w:type="pct"/>
            <w:vMerge w:val="continue"/>
            <w:tcBorders>
              <w:tl2br w:val="nil"/>
              <w:tr2bl w:val="nil"/>
            </w:tcBorders>
            <w:shd w:val="clear" w:color="auto" w:fill="auto"/>
            <w:vAlign w:val="center"/>
          </w:tcPr>
          <w:p w14:paraId="07C8BB34">
            <w:pPr>
              <w:widowControl/>
              <w:jc w:val="center"/>
              <w:textAlignment w:val="center"/>
              <w:rPr>
                <w:rFonts w:hint="eastAsia" w:eastAsia="仿宋_GB2312"/>
                <w:color w:val="auto"/>
                <w:kern w:val="0"/>
                <w:szCs w:val="21"/>
                <w:lang w:val="en-US" w:eastAsia="zh-CN" w:bidi="ar"/>
              </w:rPr>
            </w:pPr>
          </w:p>
        </w:tc>
        <w:tc>
          <w:tcPr>
            <w:tcW w:w="422" w:type="pct"/>
            <w:vMerge w:val="continue"/>
            <w:tcBorders>
              <w:tl2br w:val="nil"/>
              <w:tr2bl w:val="nil"/>
            </w:tcBorders>
            <w:shd w:val="clear" w:color="auto" w:fill="auto"/>
            <w:vAlign w:val="center"/>
          </w:tcPr>
          <w:p w14:paraId="13E26106">
            <w:pPr>
              <w:bidi w:val="0"/>
              <w:jc w:val="center"/>
              <w:rPr>
                <w:rFonts w:hint="default" w:ascii="Times New Roman" w:hAnsi="Times New Roman" w:eastAsia="方正仿宋_GB2312" w:cs="Times New Roman"/>
                <w:color w:val="000000" w:themeColor="text1"/>
                <w:kern w:val="2"/>
                <w:sz w:val="21"/>
                <w:szCs w:val="21"/>
                <w:lang w:val="en-US" w:eastAsia="zh-CN" w:bidi="ar-SA"/>
                <w14:textFill>
                  <w14:solidFill>
                    <w14:schemeClr w14:val="tx1"/>
                  </w14:solidFill>
                </w14:textFill>
              </w:rPr>
            </w:pPr>
          </w:p>
        </w:tc>
        <w:tc>
          <w:tcPr>
            <w:tcW w:w="453" w:type="pct"/>
            <w:vMerge w:val="continue"/>
            <w:tcBorders>
              <w:tl2br w:val="nil"/>
              <w:tr2bl w:val="nil"/>
            </w:tcBorders>
            <w:shd w:val="clear" w:color="auto" w:fill="auto"/>
            <w:vAlign w:val="center"/>
          </w:tcPr>
          <w:p w14:paraId="6F395E8D">
            <w:pPr>
              <w:bidi w:val="0"/>
              <w:jc w:val="center"/>
              <w:rPr>
                <w:rFonts w:hint="default" w:ascii="Times New Roman" w:hAnsi="Times New Roman" w:eastAsia="方正仿宋_GB2312" w:cs="Times New Roman"/>
                <w:snapToGrid w:val="0"/>
                <w:color w:val="000000" w:themeColor="text1"/>
                <w:kern w:val="0"/>
                <w:sz w:val="21"/>
                <w:szCs w:val="21"/>
                <w:lang w:val="en-US" w:eastAsia="zh-CN" w:bidi="ar-SA"/>
                <w14:textFill>
                  <w14:solidFill>
                    <w14:schemeClr w14:val="tx1"/>
                  </w14:solidFill>
                </w14:textFill>
              </w:rPr>
            </w:pPr>
          </w:p>
        </w:tc>
        <w:tc>
          <w:tcPr>
            <w:tcW w:w="263" w:type="pct"/>
            <w:tcBorders>
              <w:tl2br w:val="nil"/>
              <w:tr2bl w:val="nil"/>
            </w:tcBorders>
            <w:shd w:val="clear" w:color="auto" w:fill="auto"/>
            <w:vAlign w:val="center"/>
          </w:tcPr>
          <w:p w14:paraId="6F307516">
            <w:pPr>
              <w:widowControl/>
              <w:jc w:val="center"/>
              <w:textAlignment w:val="center"/>
              <w:rPr>
                <w:rFonts w:hint="default" w:eastAsia="仿宋_GB2312"/>
                <w:color w:val="auto"/>
                <w:kern w:val="0"/>
                <w:szCs w:val="21"/>
                <w:lang w:val="en-US" w:eastAsia="zh-CN" w:bidi="ar"/>
              </w:rPr>
            </w:pPr>
            <w:r>
              <w:rPr>
                <w:rFonts w:hint="eastAsia" w:eastAsia="仿宋_GB2312"/>
                <w:color w:val="auto"/>
                <w:kern w:val="0"/>
                <w:szCs w:val="21"/>
                <w:lang w:val="en-US" w:eastAsia="zh-CN" w:bidi="ar"/>
              </w:rPr>
              <w:t>1</w:t>
            </w:r>
          </w:p>
        </w:tc>
        <w:tc>
          <w:tcPr>
            <w:tcW w:w="244" w:type="pct"/>
            <w:tcBorders>
              <w:tl2br w:val="nil"/>
              <w:tr2bl w:val="nil"/>
            </w:tcBorders>
            <w:shd w:val="clear" w:color="auto" w:fill="auto"/>
            <w:vAlign w:val="center"/>
          </w:tcPr>
          <w:p w14:paraId="090A3DD6">
            <w:pPr>
              <w:pStyle w:val="163"/>
              <w:jc w:val="center"/>
              <w:rPr>
                <w:rFonts w:hint="default" w:ascii="Times New Roman" w:hAnsi="Times New Roman" w:eastAsia="仿宋_GB2312" w:cs="Times New Roman"/>
                <w:color w:val="auto"/>
                <w:kern w:val="0"/>
                <w:sz w:val="21"/>
                <w:szCs w:val="21"/>
                <w:lang w:val="en-US" w:eastAsia="zh-CN" w:bidi="ar"/>
              </w:rPr>
            </w:pPr>
            <w:r>
              <w:rPr>
                <w:rFonts w:hint="eastAsia" w:ascii="Times New Roman"/>
                <w:color w:val="auto"/>
                <w:kern w:val="0"/>
                <w:szCs w:val="21"/>
                <w:lang w:val="en-US" w:eastAsia="zh-CN" w:bidi="ar"/>
              </w:rPr>
              <w:t>179</w:t>
            </w:r>
          </w:p>
        </w:tc>
        <w:tc>
          <w:tcPr>
            <w:tcW w:w="226" w:type="pct"/>
            <w:tcBorders>
              <w:tl2br w:val="nil"/>
              <w:tr2bl w:val="nil"/>
            </w:tcBorders>
            <w:shd w:val="clear" w:color="auto" w:fill="auto"/>
            <w:vAlign w:val="center"/>
          </w:tcPr>
          <w:p w14:paraId="2D15C72C">
            <w:pPr>
              <w:pStyle w:val="163"/>
              <w:jc w:val="center"/>
              <w:rPr>
                <w:rFonts w:hint="default" w:ascii="Times New Roman" w:hAnsi="Times New Roman" w:eastAsia="仿宋_GB2312" w:cs="Times New Roman"/>
                <w:color w:val="auto"/>
                <w:kern w:val="0"/>
                <w:sz w:val="21"/>
                <w:szCs w:val="21"/>
                <w:lang w:val="en-US" w:eastAsia="zh-CN" w:bidi="ar"/>
              </w:rPr>
            </w:pPr>
            <w:r>
              <w:rPr>
                <w:rFonts w:hint="eastAsia" w:ascii="Times New Roman"/>
                <w:color w:val="auto"/>
                <w:kern w:val="0"/>
                <w:szCs w:val="21"/>
                <w:lang w:val="en-US" w:eastAsia="zh-CN" w:bidi="ar"/>
              </w:rPr>
              <w:t>78</w:t>
            </w:r>
          </w:p>
        </w:tc>
        <w:tc>
          <w:tcPr>
            <w:tcW w:w="221" w:type="pct"/>
            <w:tcBorders>
              <w:tl2br w:val="nil"/>
              <w:tr2bl w:val="nil"/>
            </w:tcBorders>
            <w:shd w:val="clear" w:color="auto" w:fill="auto"/>
            <w:vAlign w:val="center"/>
          </w:tcPr>
          <w:p w14:paraId="710FE57E">
            <w:pPr>
              <w:pStyle w:val="163"/>
              <w:jc w:val="center"/>
              <w:rPr>
                <w:rFonts w:hint="default" w:ascii="Times New Roman" w:hAnsi="Times New Roman" w:eastAsia="仿宋_GB2312" w:cs="Times New Roman"/>
                <w:color w:val="auto"/>
                <w:kern w:val="0"/>
                <w:sz w:val="21"/>
                <w:szCs w:val="21"/>
                <w:lang w:val="en-US" w:eastAsia="zh-CN" w:bidi="ar"/>
              </w:rPr>
            </w:pPr>
            <w:r>
              <w:rPr>
                <w:rFonts w:hint="eastAsia" w:ascii="Times New Roman"/>
                <w:color w:val="auto"/>
                <w:kern w:val="0"/>
                <w:szCs w:val="21"/>
                <w:lang w:val="en-US" w:eastAsia="zh-CN" w:bidi="ar"/>
              </w:rPr>
              <w:t>0.5</w:t>
            </w:r>
          </w:p>
        </w:tc>
        <w:tc>
          <w:tcPr>
            <w:tcW w:w="271" w:type="pct"/>
            <w:tcBorders>
              <w:tl2br w:val="nil"/>
              <w:tr2bl w:val="nil"/>
            </w:tcBorders>
            <w:shd w:val="clear" w:color="auto" w:fill="auto"/>
            <w:vAlign w:val="center"/>
          </w:tcPr>
          <w:p w14:paraId="3070DA1A">
            <w:pPr>
              <w:pStyle w:val="81"/>
              <w:spacing w:beforeAutospacing="0" w:afterAutospacing="0" w:line="320" w:lineRule="exact"/>
              <w:ind w:left="0" w:leftChars="0" w:right="0" w:rightChars="0"/>
              <w:jc w:val="center"/>
              <w:rPr>
                <w:rFonts w:ascii="Times New Roman" w:hAnsi="Times New Roman" w:eastAsia="仿宋_GB2312" w:cs="Times New Roman"/>
                <w:color w:val="FF0000"/>
                <w:kern w:val="0"/>
                <w:sz w:val="21"/>
                <w:szCs w:val="21"/>
                <w:lang w:val="en-US" w:eastAsia="zh-CN" w:bidi="ar"/>
              </w:rPr>
            </w:pPr>
            <w:r>
              <w:rPr>
                <w:rFonts w:hint="eastAsia" w:ascii="Times New Roman"/>
                <w:color w:val="auto"/>
                <w:kern w:val="0"/>
                <w:szCs w:val="21"/>
                <w:lang w:val="en-US" w:eastAsia="zh-CN" w:bidi="ar"/>
              </w:rPr>
              <w:t>80</w:t>
            </w:r>
          </w:p>
        </w:tc>
        <w:tc>
          <w:tcPr>
            <w:tcW w:w="297" w:type="pct"/>
            <w:vMerge w:val="continue"/>
            <w:tcBorders>
              <w:tl2br w:val="nil"/>
              <w:tr2bl w:val="nil"/>
            </w:tcBorders>
            <w:shd w:val="clear" w:color="auto" w:fill="auto"/>
            <w:vAlign w:val="center"/>
          </w:tcPr>
          <w:p w14:paraId="1D75D7AD">
            <w:pPr>
              <w:pStyle w:val="81"/>
              <w:spacing w:beforeAutospacing="0" w:afterAutospacing="0" w:line="320" w:lineRule="exact"/>
              <w:jc w:val="center"/>
              <w:rPr>
                <w:rFonts w:eastAsia="仿宋_GB2312"/>
                <w:color w:val="FF0000"/>
                <w:sz w:val="21"/>
                <w:szCs w:val="21"/>
                <w:lang w:bidi="ar"/>
              </w:rPr>
            </w:pPr>
          </w:p>
        </w:tc>
        <w:tc>
          <w:tcPr>
            <w:tcW w:w="281" w:type="pct"/>
            <w:tcBorders>
              <w:tl2br w:val="nil"/>
              <w:tr2bl w:val="nil"/>
            </w:tcBorders>
            <w:shd w:val="clear" w:color="auto" w:fill="auto"/>
            <w:vAlign w:val="center"/>
          </w:tcPr>
          <w:p w14:paraId="0C8EAA80">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rPr>
              <w:t>5</w:t>
            </w:r>
          </w:p>
        </w:tc>
        <w:tc>
          <w:tcPr>
            <w:tcW w:w="292" w:type="pct"/>
            <w:tcBorders>
              <w:tl2br w:val="nil"/>
              <w:tr2bl w:val="nil"/>
            </w:tcBorders>
            <w:shd w:val="clear" w:color="auto" w:fill="auto"/>
            <w:vAlign w:val="center"/>
          </w:tcPr>
          <w:p w14:paraId="7E91B1DA">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6</w:t>
            </w:r>
            <w:r>
              <w:rPr>
                <w:rFonts w:hint="eastAsia" w:eastAsia="仿宋_GB2312"/>
                <w:color w:val="auto"/>
                <w:sz w:val="21"/>
                <w:szCs w:val="21"/>
                <w:lang w:bidi="ar"/>
              </w:rPr>
              <w:t>6</w:t>
            </w:r>
          </w:p>
        </w:tc>
        <w:tc>
          <w:tcPr>
            <w:tcW w:w="281" w:type="pct"/>
            <w:tcBorders>
              <w:tl2br w:val="nil"/>
              <w:tr2bl w:val="nil"/>
            </w:tcBorders>
            <w:shd w:val="clear" w:color="auto" w:fill="auto"/>
            <w:vAlign w:val="center"/>
          </w:tcPr>
          <w:p w14:paraId="74550F60">
            <w:pPr>
              <w:pStyle w:val="81"/>
              <w:spacing w:beforeAutospacing="0" w:afterAutospacing="0" w:line="320" w:lineRule="exact"/>
              <w:ind w:left="0" w:leftChars="0" w:right="0" w:rightChars="0"/>
              <w:jc w:val="center"/>
              <w:rPr>
                <w:rFonts w:ascii="Times New Roman" w:hAnsi="Times New Roman" w:eastAsia="仿宋_GB2312" w:cs="Times New Roman"/>
                <w:b/>
                <w:bCs/>
                <w:color w:val="auto"/>
                <w:kern w:val="0"/>
                <w:sz w:val="21"/>
                <w:szCs w:val="21"/>
                <w:lang w:val="en-US" w:eastAsia="zh-CN" w:bidi="ar"/>
              </w:rPr>
            </w:pPr>
            <w:r>
              <w:rPr>
                <w:rFonts w:eastAsia="仿宋_GB2312"/>
                <w:color w:val="auto"/>
                <w:sz w:val="21"/>
                <w:szCs w:val="21"/>
                <w:lang w:bidi="ar"/>
              </w:rPr>
              <w:t>全天</w:t>
            </w:r>
          </w:p>
        </w:tc>
        <w:tc>
          <w:tcPr>
            <w:tcW w:w="323" w:type="pct"/>
            <w:tcBorders>
              <w:tl2br w:val="nil"/>
              <w:tr2bl w:val="nil"/>
            </w:tcBorders>
            <w:shd w:val="clear" w:color="auto" w:fill="auto"/>
            <w:vAlign w:val="center"/>
          </w:tcPr>
          <w:p w14:paraId="15C5C328">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20</w:t>
            </w:r>
          </w:p>
        </w:tc>
        <w:tc>
          <w:tcPr>
            <w:tcW w:w="273" w:type="pct"/>
            <w:tcBorders>
              <w:tl2br w:val="nil"/>
              <w:tr2bl w:val="nil"/>
            </w:tcBorders>
            <w:shd w:val="clear" w:color="auto" w:fill="auto"/>
            <w:vAlign w:val="center"/>
          </w:tcPr>
          <w:p w14:paraId="18A98789">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46</w:t>
            </w:r>
          </w:p>
        </w:tc>
        <w:tc>
          <w:tcPr>
            <w:tcW w:w="298" w:type="pct"/>
            <w:tcBorders>
              <w:tl2br w:val="nil"/>
              <w:tr2bl w:val="nil"/>
            </w:tcBorders>
            <w:shd w:val="clear" w:color="auto" w:fill="auto"/>
            <w:vAlign w:val="center"/>
          </w:tcPr>
          <w:p w14:paraId="730ABCFF">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1</w:t>
            </w:r>
          </w:p>
        </w:tc>
        <w:tc>
          <w:tcPr>
            <w:tcW w:w="346" w:type="pct"/>
            <w:tcBorders>
              <w:tl2br w:val="nil"/>
              <w:tr2bl w:val="nil"/>
            </w:tcBorders>
            <w:shd w:val="clear" w:color="auto" w:fill="auto"/>
            <w:vAlign w:val="center"/>
          </w:tcPr>
          <w:p w14:paraId="307BB412">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hint="eastAsia" w:eastAsia="仿宋_GB2312" w:cs="Times New Roman"/>
                <w:color w:val="auto"/>
                <w:kern w:val="0"/>
                <w:sz w:val="21"/>
                <w:szCs w:val="21"/>
                <w:lang w:val="en-US" w:eastAsia="zh-CN" w:bidi="ar"/>
              </w:rPr>
              <w:t>新增</w:t>
            </w:r>
          </w:p>
        </w:tc>
      </w:tr>
      <w:tr w14:paraId="39791D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192" w:type="pct"/>
            <w:tcBorders>
              <w:tl2br w:val="nil"/>
              <w:tr2bl w:val="nil"/>
            </w:tcBorders>
            <w:shd w:val="clear" w:color="auto" w:fill="auto"/>
            <w:vAlign w:val="center"/>
          </w:tcPr>
          <w:p w14:paraId="01DB08F5">
            <w:pPr>
              <w:pStyle w:val="81"/>
              <w:spacing w:beforeAutospacing="0" w:afterAutospacing="0" w:line="320" w:lineRule="exact"/>
              <w:jc w:val="center"/>
              <w:rPr>
                <w:rFonts w:hint="default" w:eastAsia="仿宋_GB2312"/>
                <w:color w:val="auto"/>
                <w:sz w:val="21"/>
                <w:szCs w:val="21"/>
                <w:lang w:val="en-US" w:eastAsia="zh-CN" w:bidi="ar"/>
              </w:rPr>
            </w:pPr>
            <w:r>
              <w:rPr>
                <w:rFonts w:hint="eastAsia" w:eastAsia="仿宋_GB2312"/>
                <w:color w:val="auto"/>
                <w:sz w:val="21"/>
                <w:szCs w:val="21"/>
                <w:lang w:val="en-US" w:eastAsia="zh-CN" w:bidi="ar"/>
              </w:rPr>
              <w:t>21</w:t>
            </w:r>
          </w:p>
        </w:tc>
        <w:tc>
          <w:tcPr>
            <w:tcW w:w="308" w:type="pct"/>
            <w:vMerge w:val="continue"/>
            <w:tcBorders>
              <w:tl2br w:val="nil"/>
              <w:tr2bl w:val="nil"/>
            </w:tcBorders>
            <w:shd w:val="clear" w:color="auto" w:fill="auto"/>
            <w:vAlign w:val="center"/>
          </w:tcPr>
          <w:p w14:paraId="43221B95">
            <w:pPr>
              <w:widowControl/>
              <w:jc w:val="center"/>
              <w:textAlignment w:val="center"/>
              <w:rPr>
                <w:rFonts w:hint="eastAsia" w:eastAsia="仿宋_GB2312"/>
                <w:color w:val="auto"/>
                <w:kern w:val="0"/>
                <w:szCs w:val="21"/>
                <w:lang w:val="en-US" w:eastAsia="zh-CN" w:bidi="ar"/>
              </w:rPr>
            </w:pPr>
          </w:p>
        </w:tc>
        <w:tc>
          <w:tcPr>
            <w:tcW w:w="422" w:type="pct"/>
            <w:vMerge w:val="continue"/>
            <w:tcBorders>
              <w:tl2br w:val="nil"/>
              <w:tr2bl w:val="nil"/>
            </w:tcBorders>
            <w:shd w:val="clear" w:color="auto" w:fill="auto"/>
            <w:vAlign w:val="center"/>
          </w:tcPr>
          <w:p w14:paraId="0E79EF3C">
            <w:pPr>
              <w:bidi w:val="0"/>
              <w:jc w:val="center"/>
              <w:rPr>
                <w:rFonts w:hint="default" w:ascii="Times New Roman" w:hAnsi="Times New Roman" w:eastAsia="方正仿宋_GB2312" w:cs="Times New Roman"/>
                <w:color w:val="auto"/>
                <w:sz w:val="21"/>
                <w:szCs w:val="21"/>
                <w:lang w:val="en-US" w:eastAsia="zh-CN"/>
              </w:rPr>
            </w:pPr>
          </w:p>
        </w:tc>
        <w:tc>
          <w:tcPr>
            <w:tcW w:w="453" w:type="pct"/>
            <w:vMerge w:val="continue"/>
            <w:tcBorders>
              <w:tl2br w:val="nil"/>
              <w:tr2bl w:val="nil"/>
            </w:tcBorders>
            <w:shd w:val="clear" w:color="auto" w:fill="auto"/>
            <w:vAlign w:val="center"/>
          </w:tcPr>
          <w:p w14:paraId="233B85AE">
            <w:pPr>
              <w:bidi w:val="0"/>
              <w:jc w:val="center"/>
              <w:rPr>
                <w:rFonts w:hint="default" w:ascii="Times New Roman" w:hAnsi="Times New Roman" w:eastAsia="方正仿宋_GB2312" w:cs="Times New Roman"/>
                <w:color w:val="auto"/>
                <w:sz w:val="21"/>
                <w:szCs w:val="21"/>
                <w:lang w:val="en-US" w:eastAsia="zh-CN"/>
              </w:rPr>
            </w:pPr>
          </w:p>
        </w:tc>
        <w:tc>
          <w:tcPr>
            <w:tcW w:w="263" w:type="pct"/>
            <w:tcBorders>
              <w:tl2br w:val="nil"/>
              <w:tr2bl w:val="nil"/>
            </w:tcBorders>
            <w:shd w:val="clear" w:color="auto" w:fill="auto"/>
            <w:vAlign w:val="center"/>
          </w:tcPr>
          <w:p w14:paraId="6963EF55">
            <w:pPr>
              <w:widowControl/>
              <w:jc w:val="center"/>
              <w:textAlignment w:val="center"/>
              <w:rPr>
                <w:rFonts w:hint="eastAsia" w:eastAsia="仿宋_GB2312"/>
                <w:color w:val="auto"/>
                <w:kern w:val="0"/>
                <w:szCs w:val="21"/>
                <w:lang w:val="en-US" w:eastAsia="zh-CN" w:bidi="ar"/>
              </w:rPr>
            </w:pPr>
            <w:r>
              <w:rPr>
                <w:rFonts w:hint="eastAsia" w:eastAsia="仿宋_GB2312"/>
                <w:color w:val="auto"/>
                <w:kern w:val="0"/>
                <w:szCs w:val="21"/>
                <w:lang w:val="en-US" w:eastAsia="zh-CN" w:bidi="ar"/>
              </w:rPr>
              <w:t>1</w:t>
            </w:r>
          </w:p>
        </w:tc>
        <w:tc>
          <w:tcPr>
            <w:tcW w:w="244" w:type="pct"/>
            <w:tcBorders>
              <w:tl2br w:val="nil"/>
              <w:tr2bl w:val="nil"/>
            </w:tcBorders>
            <w:shd w:val="clear" w:color="auto" w:fill="auto"/>
            <w:vAlign w:val="center"/>
          </w:tcPr>
          <w:p w14:paraId="143BD3B8">
            <w:pPr>
              <w:pStyle w:val="163"/>
              <w:jc w:val="center"/>
              <w:rPr>
                <w:rFonts w:hint="default" w:ascii="Times New Roman" w:hAnsi="Times New Roman" w:eastAsia="仿宋_GB2312" w:cs="Times New Roman"/>
                <w:color w:val="auto"/>
                <w:kern w:val="0"/>
                <w:sz w:val="21"/>
                <w:szCs w:val="21"/>
                <w:lang w:val="en-US" w:eastAsia="zh-CN" w:bidi="ar"/>
              </w:rPr>
            </w:pPr>
            <w:r>
              <w:rPr>
                <w:rFonts w:hint="eastAsia" w:ascii="Times New Roman"/>
                <w:color w:val="auto"/>
                <w:kern w:val="0"/>
                <w:szCs w:val="21"/>
                <w:lang w:val="en-US" w:eastAsia="zh-CN" w:bidi="ar"/>
              </w:rPr>
              <w:t>180</w:t>
            </w:r>
          </w:p>
        </w:tc>
        <w:tc>
          <w:tcPr>
            <w:tcW w:w="226" w:type="pct"/>
            <w:tcBorders>
              <w:tl2br w:val="nil"/>
              <w:tr2bl w:val="nil"/>
            </w:tcBorders>
            <w:shd w:val="clear" w:color="auto" w:fill="auto"/>
            <w:vAlign w:val="center"/>
          </w:tcPr>
          <w:p w14:paraId="675D298E">
            <w:pPr>
              <w:pStyle w:val="163"/>
              <w:jc w:val="center"/>
              <w:rPr>
                <w:rFonts w:hint="default" w:ascii="Times New Roman" w:hAnsi="Times New Roman" w:eastAsia="仿宋_GB2312" w:cs="Times New Roman"/>
                <w:color w:val="auto"/>
                <w:kern w:val="0"/>
                <w:sz w:val="21"/>
                <w:szCs w:val="21"/>
                <w:lang w:val="en-US" w:eastAsia="zh-CN" w:bidi="ar"/>
              </w:rPr>
            </w:pPr>
            <w:r>
              <w:rPr>
                <w:rFonts w:hint="eastAsia" w:ascii="Times New Roman"/>
                <w:color w:val="auto"/>
                <w:kern w:val="0"/>
                <w:szCs w:val="21"/>
                <w:lang w:val="en-US" w:eastAsia="zh-CN" w:bidi="ar"/>
              </w:rPr>
              <w:t>79</w:t>
            </w:r>
          </w:p>
        </w:tc>
        <w:tc>
          <w:tcPr>
            <w:tcW w:w="221" w:type="pct"/>
            <w:tcBorders>
              <w:tl2br w:val="nil"/>
              <w:tr2bl w:val="nil"/>
            </w:tcBorders>
            <w:shd w:val="clear" w:color="auto" w:fill="auto"/>
            <w:vAlign w:val="center"/>
          </w:tcPr>
          <w:p w14:paraId="364B7C5A">
            <w:pPr>
              <w:pStyle w:val="163"/>
              <w:jc w:val="center"/>
              <w:rPr>
                <w:rFonts w:hint="default" w:ascii="Times New Roman" w:hAnsi="Times New Roman" w:eastAsia="仿宋_GB2312" w:cs="Times New Roman"/>
                <w:color w:val="auto"/>
                <w:kern w:val="0"/>
                <w:sz w:val="21"/>
                <w:szCs w:val="21"/>
                <w:lang w:val="en-US" w:eastAsia="zh-CN" w:bidi="ar"/>
              </w:rPr>
            </w:pPr>
            <w:r>
              <w:rPr>
                <w:rFonts w:hint="eastAsia" w:ascii="Times New Roman"/>
                <w:color w:val="auto"/>
                <w:kern w:val="0"/>
                <w:szCs w:val="21"/>
                <w:lang w:val="en-US" w:eastAsia="zh-CN" w:bidi="ar"/>
              </w:rPr>
              <w:t>0.5</w:t>
            </w:r>
          </w:p>
        </w:tc>
        <w:tc>
          <w:tcPr>
            <w:tcW w:w="271" w:type="pct"/>
            <w:tcBorders>
              <w:tl2br w:val="nil"/>
              <w:tr2bl w:val="nil"/>
            </w:tcBorders>
            <w:shd w:val="clear" w:color="auto" w:fill="auto"/>
            <w:vAlign w:val="center"/>
          </w:tcPr>
          <w:p w14:paraId="2C36C798">
            <w:pPr>
              <w:pStyle w:val="81"/>
              <w:spacing w:beforeAutospacing="0" w:afterAutospacing="0" w:line="320" w:lineRule="exact"/>
              <w:ind w:left="0" w:leftChars="0" w:right="0" w:rightChars="0"/>
              <w:jc w:val="center"/>
              <w:rPr>
                <w:rFonts w:ascii="Times New Roman" w:hAnsi="Times New Roman" w:eastAsia="仿宋_GB2312" w:cs="Times New Roman"/>
                <w:color w:val="FF0000"/>
                <w:kern w:val="0"/>
                <w:sz w:val="21"/>
                <w:szCs w:val="21"/>
                <w:lang w:val="en-US" w:eastAsia="zh-CN" w:bidi="ar"/>
              </w:rPr>
            </w:pPr>
            <w:r>
              <w:rPr>
                <w:rFonts w:hint="eastAsia" w:ascii="Times New Roman"/>
                <w:color w:val="auto"/>
                <w:kern w:val="0"/>
                <w:szCs w:val="21"/>
                <w:lang w:val="en-US" w:eastAsia="zh-CN" w:bidi="ar"/>
              </w:rPr>
              <w:t>80</w:t>
            </w:r>
          </w:p>
        </w:tc>
        <w:tc>
          <w:tcPr>
            <w:tcW w:w="297" w:type="pct"/>
            <w:vMerge w:val="continue"/>
            <w:tcBorders>
              <w:tl2br w:val="nil"/>
              <w:tr2bl w:val="nil"/>
            </w:tcBorders>
            <w:shd w:val="clear" w:color="auto" w:fill="auto"/>
            <w:vAlign w:val="center"/>
          </w:tcPr>
          <w:p w14:paraId="6EE8EB9F">
            <w:pPr>
              <w:pStyle w:val="81"/>
              <w:spacing w:beforeAutospacing="0" w:afterAutospacing="0" w:line="320" w:lineRule="exact"/>
              <w:jc w:val="center"/>
              <w:rPr>
                <w:rFonts w:eastAsia="仿宋_GB2312"/>
                <w:color w:val="FF0000"/>
                <w:sz w:val="21"/>
                <w:szCs w:val="21"/>
                <w:lang w:bidi="ar"/>
              </w:rPr>
            </w:pPr>
          </w:p>
        </w:tc>
        <w:tc>
          <w:tcPr>
            <w:tcW w:w="281" w:type="pct"/>
            <w:tcBorders>
              <w:tl2br w:val="nil"/>
              <w:tr2bl w:val="nil"/>
            </w:tcBorders>
            <w:shd w:val="clear" w:color="auto" w:fill="auto"/>
            <w:vAlign w:val="center"/>
          </w:tcPr>
          <w:p w14:paraId="05FBA595">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rPr>
              <w:t>5</w:t>
            </w:r>
          </w:p>
        </w:tc>
        <w:tc>
          <w:tcPr>
            <w:tcW w:w="292" w:type="pct"/>
            <w:tcBorders>
              <w:tl2br w:val="nil"/>
              <w:tr2bl w:val="nil"/>
            </w:tcBorders>
            <w:shd w:val="clear" w:color="auto" w:fill="auto"/>
            <w:vAlign w:val="center"/>
          </w:tcPr>
          <w:p w14:paraId="1D39A0F3">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6</w:t>
            </w:r>
            <w:r>
              <w:rPr>
                <w:rFonts w:hint="eastAsia" w:eastAsia="仿宋_GB2312"/>
                <w:color w:val="auto"/>
                <w:sz w:val="21"/>
                <w:szCs w:val="21"/>
                <w:lang w:bidi="ar"/>
              </w:rPr>
              <w:t>6</w:t>
            </w:r>
          </w:p>
        </w:tc>
        <w:tc>
          <w:tcPr>
            <w:tcW w:w="281" w:type="pct"/>
            <w:tcBorders>
              <w:tl2br w:val="nil"/>
              <w:tr2bl w:val="nil"/>
            </w:tcBorders>
            <w:shd w:val="clear" w:color="auto" w:fill="auto"/>
            <w:vAlign w:val="center"/>
          </w:tcPr>
          <w:p w14:paraId="31EED66C">
            <w:pPr>
              <w:pStyle w:val="81"/>
              <w:spacing w:beforeAutospacing="0" w:afterAutospacing="0" w:line="320" w:lineRule="exact"/>
              <w:ind w:left="0" w:leftChars="0" w:right="0" w:rightChars="0"/>
              <w:jc w:val="center"/>
              <w:rPr>
                <w:rFonts w:ascii="Times New Roman" w:hAnsi="Times New Roman" w:eastAsia="仿宋_GB2312" w:cs="Times New Roman"/>
                <w:b/>
                <w:bCs/>
                <w:color w:val="auto"/>
                <w:kern w:val="0"/>
                <w:sz w:val="21"/>
                <w:szCs w:val="21"/>
                <w:lang w:val="en-US" w:eastAsia="zh-CN" w:bidi="ar"/>
              </w:rPr>
            </w:pPr>
            <w:r>
              <w:rPr>
                <w:rFonts w:eastAsia="仿宋_GB2312"/>
                <w:color w:val="auto"/>
                <w:sz w:val="21"/>
                <w:szCs w:val="21"/>
                <w:lang w:bidi="ar"/>
              </w:rPr>
              <w:t>全天</w:t>
            </w:r>
          </w:p>
        </w:tc>
        <w:tc>
          <w:tcPr>
            <w:tcW w:w="323" w:type="pct"/>
            <w:tcBorders>
              <w:tl2br w:val="nil"/>
              <w:tr2bl w:val="nil"/>
            </w:tcBorders>
            <w:shd w:val="clear" w:color="auto" w:fill="auto"/>
            <w:vAlign w:val="center"/>
          </w:tcPr>
          <w:p w14:paraId="035F9462">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20</w:t>
            </w:r>
          </w:p>
        </w:tc>
        <w:tc>
          <w:tcPr>
            <w:tcW w:w="273" w:type="pct"/>
            <w:tcBorders>
              <w:tl2br w:val="nil"/>
              <w:tr2bl w:val="nil"/>
            </w:tcBorders>
            <w:shd w:val="clear" w:color="auto" w:fill="auto"/>
            <w:vAlign w:val="center"/>
          </w:tcPr>
          <w:p w14:paraId="56E0700C">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46</w:t>
            </w:r>
          </w:p>
        </w:tc>
        <w:tc>
          <w:tcPr>
            <w:tcW w:w="298" w:type="pct"/>
            <w:tcBorders>
              <w:tl2br w:val="nil"/>
              <w:tr2bl w:val="nil"/>
            </w:tcBorders>
            <w:shd w:val="clear" w:color="auto" w:fill="auto"/>
            <w:vAlign w:val="center"/>
          </w:tcPr>
          <w:p w14:paraId="085DE001">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1</w:t>
            </w:r>
          </w:p>
        </w:tc>
        <w:tc>
          <w:tcPr>
            <w:tcW w:w="346" w:type="pct"/>
            <w:tcBorders>
              <w:tl2br w:val="nil"/>
              <w:tr2bl w:val="nil"/>
            </w:tcBorders>
            <w:shd w:val="clear" w:color="auto" w:fill="auto"/>
            <w:vAlign w:val="center"/>
          </w:tcPr>
          <w:p w14:paraId="0AB5E0FF">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hint="eastAsia" w:eastAsia="仿宋_GB2312" w:cs="Times New Roman"/>
                <w:color w:val="auto"/>
                <w:kern w:val="0"/>
                <w:sz w:val="21"/>
                <w:szCs w:val="21"/>
                <w:lang w:val="en-US" w:eastAsia="zh-CN" w:bidi="ar"/>
              </w:rPr>
              <w:t>新增</w:t>
            </w:r>
          </w:p>
        </w:tc>
      </w:tr>
      <w:tr w14:paraId="377AF9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192" w:type="pct"/>
            <w:tcBorders>
              <w:tl2br w:val="nil"/>
              <w:tr2bl w:val="nil"/>
            </w:tcBorders>
            <w:shd w:val="clear" w:color="auto" w:fill="auto"/>
            <w:vAlign w:val="center"/>
          </w:tcPr>
          <w:p w14:paraId="288C7D65">
            <w:pPr>
              <w:pStyle w:val="81"/>
              <w:spacing w:beforeAutospacing="0" w:afterAutospacing="0" w:line="320" w:lineRule="exact"/>
              <w:jc w:val="center"/>
              <w:rPr>
                <w:rFonts w:hint="default" w:eastAsia="仿宋_GB2312"/>
                <w:color w:val="auto"/>
                <w:sz w:val="21"/>
                <w:szCs w:val="21"/>
                <w:lang w:val="en-US" w:eastAsia="zh-CN" w:bidi="ar"/>
              </w:rPr>
            </w:pPr>
            <w:r>
              <w:rPr>
                <w:rFonts w:hint="eastAsia" w:eastAsia="仿宋_GB2312"/>
                <w:color w:val="auto"/>
                <w:sz w:val="21"/>
                <w:szCs w:val="21"/>
                <w:lang w:val="en-US" w:eastAsia="zh-CN" w:bidi="ar"/>
              </w:rPr>
              <w:t>22</w:t>
            </w:r>
          </w:p>
        </w:tc>
        <w:tc>
          <w:tcPr>
            <w:tcW w:w="308" w:type="pct"/>
            <w:vMerge w:val="continue"/>
            <w:tcBorders>
              <w:tl2br w:val="nil"/>
              <w:tr2bl w:val="nil"/>
            </w:tcBorders>
            <w:shd w:val="clear" w:color="auto" w:fill="auto"/>
            <w:vAlign w:val="center"/>
          </w:tcPr>
          <w:p w14:paraId="242A9B4C">
            <w:pPr>
              <w:widowControl/>
              <w:jc w:val="center"/>
              <w:textAlignment w:val="center"/>
              <w:rPr>
                <w:rFonts w:eastAsia="仿宋_GB2312"/>
                <w:color w:val="auto"/>
                <w:kern w:val="0"/>
                <w:szCs w:val="21"/>
                <w:lang w:bidi="ar"/>
              </w:rPr>
            </w:pPr>
          </w:p>
        </w:tc>
        <w:tc>
          <w:tcPr>
            <w:tcW w:w="422" w:type="pct"/>
            <w:vMerge w:val="continue"/>
            <w:tcBorders>
              <w:tl2br w:val="nil"/>
              <w:tr2bl w:val="nil"/>
            </w:tcBorders>
            <w:shd w:val="clear" w:color="auto" w:fill="auto"/>
            <w:vAlign w:val="center"/>
          </w:tcPr>
          <w:p w14:paraId="5AECFBDF">
            <w:pPr>
              <w:widowControl/>
              <w:jc w:val="center"/>
              <w:textAlignment w:val="center"/>
              <w:rPr>
                <w:rFonts w:eastAsia="仿宋_GB2312"/>
                <w:color w:val="auto"/>
                <w:kern w:val="0"/>
                <w:szCs w:val="21"/>
                <w:lang w:bidi="ar"/>
              </w:rPr>
            </w:pPr>
          </w:p>
        </w:tc>
        <w:tc>
          <w:tcPr>
            <w:tcW w:w="453" w:type="pct"/>
            <w:vMerge w:val="continue"/>
            <w:tcBorders>
              <w:tl2br w:val="nil"/>
              <w:tr2bl w:val="nil"/>
            </w:tcBorders>
            <w:shd w:val="clear" w:color="auto" w:fill="auto"/>
            <w:vAlign w:val="center"/>
          </w:tcPr>
          <w:p w14:paraId="07F654A9">
            <w:pPr>
              <w:widowControl/>
              <w:jc w:val="center"/>
              <w:textAlignment w:val="center"/>
              <w:rPr>
                <w:rFonts w:eastAsia="仿宋_GB2312"/>
                <w:color w:val="auto"/>
                <w:kern w:val="0"/>
                <w:szCs w:val="21"/>
                <w:lang w:bidi="ar"/>
              </w:rPr>
            </w:pPr>
          </w:p>
        </w:tc>
        <w:tc>
          <w:tcPr>
            <w:tcW w:w="263" w:type="pct"/>
            <w:tcBorders>
              <w:tl2br w:val="nil"/>
              <w:tr2bl w:val="nil"/>
            </w:tcBorders>
            <w:shd w:val="clear" w:color="auto" w:fill="auto"/>
            <w:vAlign w:val="center"/>
          </w:tcPr>
          <w:p w14:paraId="089AE17E">
            <w:pPr>
              <w:widowControl/>
              <w:jc w:val="center"/>
              <w:textAlignment w:val="center"/>
              <w:rPr>
                <w:rFonts w:hint="eastAsia" w:eastAsia="仿宋_GB2312"/>
                <w:color w:val="auto"/>
                <w:kern w:val="0"/>
                <w:szCs w:val="21"/>
                <w:lang w:val="en-US" w:eastAsia="zh-CN" w:bidi="ar"/>
              </w:rPr>
            </w:pPr>
            <w:r>
              <w:rPr>
                <w:rFonts w:hint="eastAsia" w:eastAsia="仿宋_GB2312"/>
                <w:color w:val="auto"/>
                <w:kern w:val="0"/>
                <w:szCs w:val="21"/>
                <w:lang w:val="en-US" w:eastAsia="zh-CN" w:bidi="ar"/>
              </w:rPr>
              <w:t>1</w:t>
            </w:r>
          </w:p>
        </w:tc>
        <w:tc>
          <w:tcPr>
            <w:tcW w:w="244" w:type="pct"/>
            <w:tcBorders>
              <w:tl2br w:val="nil"/>
              <w:tr2bl w:val="nil"/>
            </w:tcBorders>
            <w:shd w:val="clear" w:color="auto" w:fill="auto"/>
            <w:vAlign w:val="center"/>
          </w:tcPr>
          <w:p w14:paraId="184948A8">
            <w:pPr>
              <w:pStyle w:val="163"/>
              <w:jc w:val="center"/>
              <w:rPr>
                <w:rFonts w:hint="default" w:ascii="Times New Roman" w:hAnsi="Times New Roman" w:eastAsia="仿宋_GB2312" w:cs="Times New Roman"/>
                <w:color w:val="auto"/>
                <w:kern w:val="0"/>
                <w:sz w:val="21"/>
                <w:szCs w:val="21"/>
                <w:lang w:val="en-US" w:eastAsia="zh-CN" w:bidi="ar"/>
              </w:rPr>
            </w:pPr>
            <w:r>
              <w:rPr>
                <w:rFonts w:hint="eastAsia" w:ascii="Times New Roman"/>
                <w:color w:val="auto"/>
                <w:kern w:val="0"/>
                <w:szCs w:val="21"/>
                <w:lang w:val="en-US" w:eastAsia="zh-CN" w:bidi="ar"/>
              </w:rPr>
              <w:t>180</w:t>
            </w:r>
          </w:p>
        </w:tc>
        <w:tc>
          <w:tcPr>
            <w:tcW w:w="226" w:type="pct"/>
            <w:tcBorders>
              <w:tl2br w:val="nil"/>
              <w:tr2bl w:val="nil"/>
            </w:tcBorders>
            <w:shd w:val="clear" w:color="auto" w:fill="auto"/>
            <w:vAlign w:val="center"/>
          </w:tcPr>
          <w:p w14:paraId="692A3451">
            <w:pPr>
              <w:pStyle w:val="163"/>
              <w:jc w:val="center"/>
              <w:rPr>
                <w:rFonts w:hint="default" w:ascii="Times New Roman" w:hAnsi="Times New Roman" w:eastAsia="仿宋_GB2312" w:cs="Times New Roman"/>
                <w:color w:val="auto"/>
                <w:kern w:val="0"/>
                <w:sz w:val="21"/>
                <w:szCs w:val="21"/>
                <w:lang w:val="en-US" w:eastAsia="zh-CN" w:bidi="ar"/>
              </w:rPr>
            </w:pPr>
            <w:r>
              <w:rPr>
                <w:rFonts w:hint="eastAsia" w:ascii="Times New Roman"/>
                <w:color w:val="auto"/>
                <w:kern w:val="0"/>
                <w:szCs w:val="21"/>
                <w:lang w:val="en-US" w:eastAsia="zh-CN" w:bidi="ar"/>
              </w:rPr>
              <w:t>79</w:t>
            </w:r>
          </w:p>
        </w:tc>
        <w:tc>
          <w:tcPr>
            <w:tcW w:w="221" w:type="pct"/>
            <w:tcBorders>
              <w:tl2br w:val="nil"/>
              <w:tr2bl w:val="nil"/>
            </w:tcBorders>
            <w:shd w:val="clear" w:color="auto" w:fill="auto"/>
            <w:vAlign w:val="center"/>
          </w:tcPr>
          <w:p w14:paraId="547C3569">
            <w:pPr>
              <w:pStyle w:val="163"/>
              <w:jc w:val="center"/>
              <w:rPr>
                <w:rFonts w:hint="default" w:ascii="Times New Roman" w:hAnsi="Times New Roman" w:eastAsia="仿宋_GB2312" w:cs="Times New Roman"/>
                <w:color w:val="auto"/>
                <w:kern w:val="0"/>
                <w:sz w:val="21"/>
                <w:szCs w:val="21"/>
                <w:lang w:val="en-US" w:eastAsia="zh-CN" w:bidi="ar"/>
              </w:rPr>
            </w:pPr>
            <w:r>
              <w:rPr>
                <w:rFonts w:hint="eastAsia" w:ascii="Times New Roman"/>
                <w:color w:val="auto"/>
                <w:kern w:val="0"/>
                <w:szCs w:val="21"/>
                <w:lang w:val="en-US" w:eastAsia="zh-CN" w:bidi="ar"/>
              </w:rPr>
              <w:t>0.5</w:t>
            </w:r>
          </w:p>
        </w:tc>
        <w:tc>
          <w:tcPr>
            <w:tcW w:w="271" w:type="pct"/>
            <w:tcBorders>
              <w:tl2br w:val="nil"/>
              <w:tr2bl w:val="nil"/>
            </w:tcBorders>
            <w:shd w:val="clear" w:color="auto" w:fill="auto"/>
            <w:vAlign w:val="center"/>
          </w:tcPr>
          <w:p w14:paraId="04F97B0B">
            <w:pPr>
              <w:pStyle w:val="81"/>
              <w:spacing w:beforeAutospacing="0" w:afterAutospacing="0" w:line="320" w:lineRule="exact"/>
              <w:ind w:left="0" w:leftChars="0" w:right="0" w:rightChars="0"/>
              <w:jc w:val="center"/>
              <w:rPr>
                <w:rFonts w:ascii="Times New Roman" w:hAnsi="Times New Roman" w:eastAsia="仿宋_GB2312" w:cs="Times New Roman"/>
                <w:color w:val="FF0000"/>
                <w:kern w:val="0"/>
                <w:sz w:val="21"/>
                <w:szCs w:val="21"/>
                <w:lang w:val="en-US" w:eastAsia="zh-CN" w:bidi="ar"/>
              </w:rPr>
            </w:pPr>
            <w:r>
              <w:rPr>
                <w:rFonts w:hint="eastAsia" w:ascii="Times New Roman"/>
                <w:color w:val="auto"/>
                <w:kern w:val="0"/>
                <w:szCs w:val="21"/>
                <w:lang w:val="en-US" w:eastAsia="zh-CN" w:bidi="ar"/>
              </w:rPr>
              <w:t>80</w:t>
            </w:r>
          </w:p>
        </w:tc>
        <w:tc>
          <w:tcPr>
            <w:tcW w:w="297" w:type="pct"/>
            <w:vMerge w:val="continue"/>
            <w:tcBorders>
              <w:tl2br w:val="nil"/>
              <w:tr2bl w:val="nil"/>
            </w:tcBorders>
            <w:shd w:val="clear" w:color="auto" w:fill="auto"/>
            <w:vAlign w:val="center"/>
          </w:tcPr>
          <w:p w14:paraId="6917073B">
            <w:pPr>
              <w:pStyle w:val="81"/>
              <w:spacing w:beforeAutospacing="0" w:afterAutospacing="0" w:line="320" w:lineRule="exact"/>
              <w:jc w:val="center"/>
              <w:rPr>
                <w:rFonts w:eastAsia="仿宋_GB2312"/>
                <w:color w:val="FF0000"/>
                <w:sz w:val="21"/>
                <w:szCs w:val="21"/>
                <w:lang w:bidi="ar"/>
              </w:rPr>
            </w:pPr>
          </w:p>
        </w:tc>
        <w:tc>
          <w:tcPr>
            <w:tcW w:w="281" w:type="pct"/>
            <w:tcBorders>
              <w:tl2br w:val="nil"/>
              <w:tr2bl w:val="nil"/>
            </w:tcBorders>
            <w:shd w:val="clear" w:color="auto" w:fill="auto"/>
            <w:vAlign w:val="center"/>
          </w:tcPr>
          <w:p w14:paraId="5A475156">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rPr>
              <w:t>5</w:t>
            </w:r>
          </w:p>
        </w:tc>
        <w:tc>
          <w:tcPr>
            <w:tcW w:w="292" w:type="pct"/>
            <w:tcBorders>
              <w:tl2br w:val="nil"/>
              <w:tr2bl w:val="nil"/>
            </w:tcBorders>
            <w:shd w:val="clear" w:color="auto" w:fill="auto"/>
            <w:vAlign w:val="center"/>
          </w:tcPr>
          <w:p w14:paraId="419CC281">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6</w:t>
            </w:r>
            <w:r>
              <w:rPr>
                <w:rFonts w:hint="eastAsia" w:eastAsia="仿宋_GB2312"/>
                <w:color w:val="auto"/>
                <w:sz w:val="21"/>
                <w:szCs w:val="21"/>
                <w:lang w:bidi="ar"/>
              </w:rPr>
              <w:t>6</w:t>
            </w:r>
          </w:p>
        </w:tc>
        <w:tc>
          <w:tcPr>
            <w:tcW w:w="281" w:type="pct"/>
            <w:tcBorders>
              <w:tl2br w:val="nil"/>
              <w:tr2bl w:val="nil"/>
            </w:tcBorders>
            <w:shd w:val="clear" w:color="auto" w:fill="auto"/>
            <w:vAlign w:val="center"/>
          </w:tcPr>
          <w:p w14:paraId="31BF1A31">
            <w:pPr>
              <w:pStyle w:val="81"/>
              <w:spacing w:beforeAutospacing="0" w:afterAutospacing="0" w:line="320" w:lineRule="exact"/>
              <w:ind w:left="0" w:leftChars="0" w:right="0" w:rightChars="0"/>
              <w:jc w:val="center"/>
              <w:rPr>
                <w:rFonts w:ascii="Times New Roman" w:hAnsi="Times New Roman" w:eastAsia="仿宋_GB2312" w:cs="Times New Roman"/>
                <w:b/>
                <w:bCs/>
                <w:color w:val="auto"/>
                <w:kern w:val="0"/>
                <w:sz w:val="21"/>
                <w:szCs w:val="21"/>
                <w:lang w:val="en-US" w:eastAsia="zh-CN" w:bidi="ar"/>
              </w:rPr>
            </w:pPr>
            <w:r>
              <w:rPr>
                <w:rFonts w:eastAsia="仿宋_GB2312"/>
                <w:color w:val="auto"/>
                <w:sz w:val="21"/>
                <w:szCs w:val="21"/>
                <w:lang w:bidi="ar"/>
              </w:rPr>
              <w:t>全天</w:t>
            </w:r>
          </w:p>
        </w:tc>
        <w:tc>
          <w:tcPr>
            <w:tcW w:w="323" w:type="pct"/>
            <w:tcBorders>
              <w:tl2br w:val="nil"/>
              <w:tr2bl w:val="nil"/>
            </w:tcBorders>
            <w:shd w:val="clear" w:color="auto" w:fill="auto"/>
            <w:vAlign w:val="center"/>
          </w:tcPr>
          <w:p w14:paraId="11E72893">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20</w:t>
            </w:r>
          </w:p>
        </w:tc>
        <w:tc>
          <w:tcPr>
            <w:tcW w:w="273" w:type="pct"/>
            <w:tcBorders>
              <w:tl2br w:val="nil"/>
              <w:tr2bl w:val="nil"/>
            </w:tcBorders>
            <w:shd w:val="clear" w:color="auto" w:fill="auto"/>
            <w:vAlign w:val="center"/>
          </w:tcPr>
          <w:p w14:paraId="002B2C7A">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46</w:t>
            </w:r>
          </w:p>
        </w:tc>
        <w:tc>
          <w:tcPr>
            <w:tcW w:w="298" w:type="pct"/>
            <w:tcBorders>
              <w:tl2br w:val="nil"/>
              <w:tr2bl w:val="nil"/>
            </w:tcBorders>
            <w:shd w:val="clear" w:color="auto" w:fill="auto"/>
            <w:vAlign w:val="center"/>
          </w:tcPr>
          <w:p w14:paraId="75115744">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eastAsia="仿宋_GB2312"/>
                <w:color w:val="auto"/>
                <w:sz w:val="21"/>
                <w:szCs w:val="21"/>
                <w:lang w:bidi="ar"/>
              </w:rPr>
              <w:t>1</w:t>
            </w:r>
          </w:p>
        </w:tc>
        <w:tc>
          <w:tcPr>
            <w:tcW w:w="346" w:type="pct"/>
            <w:tcBorders>
              <w:tl2br w:val="nil"/>
              <w:tr2bl w:val="nil"/>
            </w:tcBorders>
            <w:shd w:val="clear" w:color="auto" w:fill="auto"/>
            <w:vAlign w:val="center"/>
          </w:tcPr>
          <w:p w14:paraId="556792DD">
            <w:pPr>
              <w:pStyle w:val="81"/>
              <w:spacing w:beforeAutospacing="0" w:afterAutospacing="0" w:line="320" w:lineRule="exact"/>
              <w:ind w:left="0" w:leftChars="0" w:right="0" w:rightChars="0"/>
              <w:jc w:val="center"/>
              <w:rPr>
                <w:rFonts w:ascii="Times New Roman" w:hAnsi="Times New Roman" w:eastAsia="仿宋_GB2312" w:cs="Times New Roman"/>
                <w:color w:val="auto"/>
                <w:kern w:val="0"/>
                <w:sz w:val="21"/>
                <w:szCs w:val="21"/>
                <w:lang w:val="en-US" w:eastAsia="zh-CN" w:bidi="ar"/>
              </w:rPr>
            </w:pPr>
            <w:r>
              <w:rPr>
                <w:rFonts w:hint="eastAsia" w:eastAsia="仿宋_GB2312" w:cs="Times New Roman"/>
                <w:color w:val="auto"/>
                <w:kern w:val="0"/>
                <w:sz w:val="21"/>
                <w:szCs w:val="21"/>
                <w:lang w:val="en-US" w:eastAsia="zh-CN" w:bidi="ar"/>
              </w:rPr>
              <w:t>新增</w:t>
            </w:r>
          </w:p>
        </w:tc>
      </w:tr>
    </w:tbl>
    <w:p w14:paraId="5A29EF8F">
      <w:pPr>
        <w:snapToGrid w:val="0"/>
        <w:spacing w:line="320" w:lineRule="exact"/>
        <w:jc w:val="left"/>
        <w:rPr>
          <w:rFonts w:eastAsia="仿宋_GB2312"/>
          <w:b/>
          <w:color w:val="auto"/>
          <w:sz w:val="24"/>
        </w:rPr>
      </w:pPr>
      <w:r>
        <w:rPr>
          <w:rFonts w:hint="eastAsia" w:eastAsia="仿宋_GB2312"/>
          <w:color w:val="auto"/>
          <w:szCs w:val="21"/>
          <w:lang w:bidi="ar"/>
        </w:rPr>
        <w:t>备注：以西厂区西南角为原点建立模型坐标系，取东西向为X坐标轴、南北向为Y坐标轴。</w:t>
      </w:r>
    </w:p>
    <w:p w14:paraId="084A20BD">
      <w:pPr>
        <w:widowControl/>
        <w:jc w:val="left"/>
        <w:rPr>
          <w:rFonts w:eastAsia="仿宋_GB2312"/>
          <w:color w:val="FF0000"/>
        </w:rPr>
      </w:pPr>
    </w:p>
    <w:p w14:paraId="1ED6AF6E">
      <w:pPr>
        <w:widowControl/>
        <w:jc w:val="left"/>
        <w:rPr>
          <w:rFonts w:eastAsia="仿宋_GB2312"/>
          <w:color w:val="FF0000"/>
        </w:rPr>
        <w:sectPr>
          <w:pgSz w:w="16838" w:h="11906" w:orient="landscape"/>
          <w:pgMar w:top="1440" w:right="1800" w:bottom="1440" w:left="1800" w:header="851" w:footer="992" w:gutter="0"/>
          <w:pgBorders>
            <w:top w:val="none" w:sz="0" w:space="0"/>
            <w:left w:val="none" w:sz="0" w:space="0"/>
            <w:bottom w:val="none" w:sz="0" w:space="0"/>
            <w:right w:val="none" w:sz="0" w:space="0"/>
          </w:pgBorders>
          <w:pgNumType w:fmt="decimal"/>
          <w:cols w:space="425" w:num="1"/>
          <w:docGrid w:linePitch="312" w:charSpace="0"/>
        </w:sectPr>
      </w:pPr>
    </w:p>
    <w:p w14:paraId="13F65BF3">
      <w:pPr>
        <w:pStyle w:val="5"/>
        <w:spacing w:before="120" w:after="120"/>
        <w:rPr>
          <w:color w:val="auto"/>
          <w:sz w:val="30"/>
          <w:szCs w:val="30"/>
        </w:rPr>
      </w:pPr>
      <w:bookmarkStart w:id="66" w:name="_Toc140174719"/>
      <w:bookmarkStart w:id="67" w:name="_Toc17602"/>
      <w:r>
        <w:rPr>
          <w:color w:val="auto"/>
          <w:sz w:val="30"/>
          <w:szCs w:val="30"/>
        </w:rPr>
        <w:t>3.10本项目污染物“两本账”汇总</w:t>
      </w:r>
      <w:bookmarkEnd w:id="66"/>
      <w:bookmarkEnd w:id="67"/>
    </w:p>
    <w:p w14:paraId="6D3229A4">
      <w:pPr>
        <w:spacing w:line="500" w:lineRule="exact"/>
        <w:ind w:firstLine="560" w:firstLineChars="200"/>
        <w:rPr>
          <w:rFonts w:eastAsia="仿宋_GB2312"/>
          <w:b/>
          <w:color w:val="auto"/>
          <w:sz w:val="24"/>
        </w:rPr>
      </w:pPr>
      <w:r>
        <w:rPr>
          <w:rFonts w:eastAsia="仿宋_GB2312"/>
          <w:color w:val="auto"/>
          <w:sz w:val="28"/>
          <w:szCs w:val="28"/>
          <w:lang w:val="zh-CN"/>
        </w:rPr>
        <w:t>本</w:t>
      </w:r>
      <w:r>
        <w:rPr>
          <w:rFonts w:eastAsia="仿宋_GB2312"/>
          <w:color w:val="auto"/>
          <w:sz w:val="28"/>
          <w:szCs w:val="28"/>
        </w:rPr>
        <w:t>项目污染物“两本账”汇总情况见表3.10-1。</w:t>
      </w:r>
    </w:p>
    <w:p w14:paraId="38746F27">
      <w:pPr>
        <w:spacing w:line="500" w:lineRule="exact"/>
        <w:jc w:val="center"/>
        <w:rPr>
          <w:rFonts w:eastAsia="仿宋_GB2312"/>
          <w:b/>
          <w:color w:val="auto"/>
          <w:sz w:val="24"/>
        </w:rPr>
      </w:pPr>
      <w:r>
        <w:rPr>
          <w:rFonts w:eastAsia="仿宋_GB2312"/>
          <w:b/>
          <w:color w:val="auto"/>
          <w:sz w:val="24"/>
        </w:rPr>
        <w:t>表3.10-1  本项目“两本账”汇总情况</w:t>
      </w:r>
    </w:p>
    <w:tbl>
      <w:tblPr>
        <w:tblStyle w:val="88"/>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970"/>
        <w:gridCol w:w="1008"/>
        <w:gridCol w:w="2131"/>
        <w:gridCol w:w="1524"/>
        <w:gridCol w:w="1524"/>
        <w:gridCol w:w="1365"/>
      </w:tblGrid>
      <w:tr w14:paraId="15EC44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1160" w:type="pct"/>
            <w:gridSpan w:val="2"/>
            <w:shd w:val="clear" w:color="auto" w:fill="auto"/>
            <w:vAlign w:val="center"/>
          </w:tcPr>
          <w:p w14:paraId="65D9030F">
            <w:pPr>
              <w:adjustRightInd w:val="0"/>
              <w:snapToGrid w:val="0"/>
              <w:spacing w:line="320" w:lineRule="exact"/>
              <w:jc w:val="center"/>
              <w:rPr>
                <w:rFonts w:eastAsia="仿宋_GB2312"/>
                <w:b/>
                <w:bCs/>
                <w:color w:val="auto"/>
                <w:szCs w:val="21"/>
              </w:rPr>
            </w:pPr>
            <w:r>
              <w:rPr>
                <w:rFonts w:eastAsia="仿宋_GB2312"/>
                <w:b/>
                <w:bCs/>
                <w:color w:val="auto"/>
                <w:szCs w:val="21"/>
              </w:rPr>
              <w:t>种类</w:t>
            </w:r>
          </w:p>
        </w:tc>
        <w:tc>
          <w:tcPr>
            <w:tcW w:w="1250" w:type="pct"/>
            <w:shd w:val="clear" w:color="auto" w:fill="auto"/>
            <w:vAlign w:val="center"/>
          </w:tcPr>
          <w:p w14:paraId="515732C3">
            <w:pPr>
              <w:adjustRightInd w:val="0"/>
              <w:snapToGrid w:val="0"/>
              <w:spacing w:line="320" w:lineRule="exact"/>
              <w:jc w:val="center"/>
              <w:rPr>
                <w:rFonts w:eastAsia="仿宋_GB2312"/>
                <w:b/>
                <w:bCs/>
                <w:color w:val="auto"/>
                <w:szCs w:val="21"/>
              </w:rPr>
            </w:pPr>
            <w:r>
              <w:rPr>
                <w:rFonts w:eastAsia="仿宋_GB2312"/>
                <w:b/>
                <w:bCs/>
                <w:color w:val="auto"/>
                <w:szCs w:val="21"/>
              </w:rPr>
              <w:t>污染物名称</w:t>
            </w:r>
          </w:p>
        </w:tc>
        <w:tc>
          <w:tcPr>
            <w:tcW w:w="894" w:type="pct"/>
            <w:shd w:val="clear" w:color="auto" w:fill="auto"/>
            <w:vAlign w:val="center"/>
          </w:tcPr>
          <w:p w14:paraId="1943344A">
            <w:pPr>
              <w:adjustRightInd w:val="0"/>
              <w:snapToGrid w:val="0"/>
              <w:spacing w:line="320" w:lineRule="exact"/>
              <w:jc w:val="center"/>
              <w:rPr>
                <w:rFonts w:eastAsia="仿宋_GB2312"/>
                <w:b/>
                <w:bCs/>
                <w:color w:val="auto"/>
                <w:szCs w:val="21"/>
              </w:rPr>
            </w:pPr>
            <w:r>
              <w:rPr>
                <w:rFonts w:eastAsia="仿宋_GB2312"/>
                <w:b/>
                <w:bCs/>
                <w:color w:val="auto"/>
                <w:szCs w:val="21"/>
              </w:rPr>
              <w:t>产生量（t/a）</w:t>
            </w:r>
          </w:p>
        </w:tc>
        <w:tc>
          <w:tcPr>
            <w:tcW w:w="894" w:type="pct"/>
            <w:shd w:val="clear" w:color="auto" w:fill="auto"/>
            <w:vAlign w:val="center"/>
          </w:tcPr>
          <w:p w14:paraId="4239BF5E">
            <w:pPr>
              <w:adjustRightInd w:val="0"/>
              <w:snapToGrid w:val="0"/>
              <w:spacing w:line="320" w:lineRule="exact"/>
              <w:jc w:val="center"/>
              <w:rPr>
                <w:rFonts w:eastAsia="仿宋_GB2312"/>
                <w:b/>
                <w:bCs/>
                <w:color w:val="auto"/>
                <w:szCs w:val="21"/>
              </w:rPr>
            </w:pPr>
            <w:r>
              <w:rPr>
                <w:rFonts w:eastAsia="仿宋_GB2312"/>
                <w:b/>
                <w:bCs/>
                <w:color w:val="auto"/>
                <w:szCs w:val="21"/>
              </w:rPr>
              <w:t>削减量（t/a）</w:t>
            </w:r>
          </w:p>
        </w:tc>
        <w:tc>
          <w:tcPr>
            <w:tcW w:w="800" w:type="pct"/>
            <w:shd w:val="clear" w:color="auto" w:fill="auto"/>
            <w:vAlign w:val="center"/>
          </w:tcPr>
          <w:p w14:paraId="3C6F53BD">
            <w:pPr>
              <w:adjustRightInd w:val="0"/>
              <w:snapToGrid w:val="0"/>
              <w:spacing w:line="320" w:lineRule="exact"/>
              <w:jc w:val="center"/>
              <w:rPr>
                <w:rFonts w:eastAsia="仿宋_GB2312"/>
                <w:b/>
                <w:bCs/>
                <w:color w:val="auto"/>
                <w:szCs w:val="21"/>
              </w:rPr>
            </w:pPr>
            <w:r>
              <w:rPr>
                <w:rFonts w:eastAsia="仿宋_GB2312"/>
                <w:b/>
                <w:bCs/>
                <w:color w:val="auto"/>
                <w:szCs w:val="21"/>
              </w:rPr>
              <w:t>排放量（t/a）</w:t>
            </w:r>
          </w:p>
        </w:tc>
      </w:tr>
      <w:tr w14:paraId="4EA967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340" w:hRule="atLeast"/>
          <w:tblHeader/>
          <w:jc w:val="center"/>
        </w:trPr>
        <w:tc>
          <w:tcPr>
            <w:tcW w:w="569" w:type="pct"/>
            <w:vMerge w:val="restart"/>
            <w:shd w:val="clear" w:color="auto" w:fill="auto"/>
            <w:vAlign w:val="center"/>
          </w:tcPr>
          <w:p w14:paraId="2404A16D">
            <w:pPr>
              <w:adjustRightInd w:val="0"/>
              <w:snapToGrid w:val="0"/>
              <w:spacing w:line="320" w:lineRule="exact"/>
              <w:jc w:val="center"/>
              <w:rPr>
                <w:rFonts w:eastAsia="仿宋_GB2312"/>
                <w:b/>
                <w:bCs/>
                <w:color w:val="auto"/>
                <w:szCs w:val="21"/>
              </w:rPr>
            </w:pPr>
            <w:r>
              <w:rPr>
                <w:rFonts w:eastAsia="仿宋_GB2312"/>
                <w:color w:val="auto"/>
                <w:szCs w:val="21"/>
              </w:rPr>
              <w:t>废气</w:t>
            </w:r>
          </w:p>
        </w:tc>
        <w:tc>
          <w:tcPr>
            <w:tcW w:w="591" w:type="pct"/>
            <w:vMerge w:val="restart"/>
            <w:shd w:val="clear" w:color="auto" w:fill="auto"/>
            <w:vAlign w:val="center"/>
          </w:tcPr>
          <w:p w14:paraId="60B1A491">
            <w:pPr>
              <w:adjustRightInd w:val="0"/>
              <w:snapToGrid w:val="0"/>
              <w:spacing w:line="320" w:lineRule="exact"/>
              <w:jc w:val="center"/>
              <w:rPr>
                <w:rFonts w:eastAsia="仿宋_GB2312"/>
                <w:bCs/>
                <w:color w:val="auto"/>
                <w:szCs w:val="21"/>
              </w:rPr>
            </w:pPr>
            <w:r>
              <w:rPr>
                <w:rFonts w:eastAsia="仿宋_GB2312"/>
                <w:bCs/>
                <w:color w:val="auto"/>
                <w:szCs w:val="21"/>
              </w:rPr>
              <w:t>有组织废气</w:t>
            </w:r>
          </w:p>
        </w:tc>
        <w:tc>
          <w:tcPr>
            <w:tcW w:w="1250" w:type="pct"/>
            <w:shd w:val="clear" w:color="auto" w:fill="auto"/>
            <w:vAlign w:val="center"/>
          </w:tcPr>
          <w:p w14:paraId="1A0343F1">
            <w:pPr>
              <w:keepNext w:val="0"/>
              <w:keepLines w:val="0"/>
              <w:widowControl/>
              <w:suppressLineNumbers w:val="0"/>
              <w:jc w:val="center"/>
              <w:textAlignment w:val="bottom"/>
              <w:rPr>
                <w:rFonts w:eastAsia="仿宋_GB2312"/>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NMP</w:t>
            </w:r>
          </w:p>
        </w:tc>
        <w:tc>
          <w:tcPr>
            <w:tcW w:w="894" w:type="pct"/>
            <w:shd w:val="clear" w:color="auto" w:fill="auto"/>
            <w:vAlign w:val="center"/>
          </w:tcPr>
          <w:p w14:paraId="0A52324C">
            <w:pPr>
              <w:adjustRightInd w:val="0"/>
              <w:snapToGrid w:val="0"/>
              <w:spacing w:line="320" w:lineRule="exact"/>
              <w:jc w:val="center"/>
              <w:rPr>
                <w:rFonts w:hint="default"/>
                <w:color w:val="auto"/>
                <w:szCs w:val="21"/>
                <w:lang w:val="en-US" w:eastAsia="zh-CN"/>
              </w:rPr>
            </w:pPr>
            <w:r>
              <w:rPr>
                <w:rFonts w:hint="eastAsia"/>
                <w:color w:val="auto"/>
                <w:szCs w:val="21"/>
                <w:lang w:val="en-US" w:eastAsia="zh-CN"/>
              </w:rPr>
              <w:t>19.143</w:t>
            </w:r>
          </w:p>
        </w:tc>
        <w:tc>
          <w:tcPr>
            <w:tcW w:w="894" w:type="pct"/>
            <w:shd w:val="clear" w:color="auto" w:fill="auto"/>
            <w:vAlign w:val="center"/>
          </w:tcPr>
          <w:p w14:paraId="0E603480">
            <w:pPr>
              <w:adjustRightInd w:val="0"/>
              <w:snapToGrid w:val="0"/>
              <w:spacing w:line="320" w:lineRule="exact"/>
              <w:jc w:val="center"/>
              <w:rPr>
                <w:rFonts w:hint="default"/>
                <w:color w:val="auto"/>
                <w:szCs w:val="21"/>
                <w:lang w:val="en-US" w:eastAsia="zh-CN"/>
              </w:rPr>
            </w:pPr>
            <w:r>
              <w:rPr>
                <w:rFonts w:hint="eastAsia"/>
                <w:color w:val="auto"/>
                <w:szCs w:val="21"/>
                <w:lang w:val="en-US" w:eastAsia="zh-CN"/>
              </w:rPr>
              <w:t>18.733</w:t>
            </w:r>
          </w:p>
        </w:tc>
        <w:tc>
          <w:tcPr>
            <w:tcW w:w="800" w:type="pct"/>
            <w:shd w:val="clear" w:color="auto" w:fill="auto"/>
            <w:vAlign w:val="center"/>
          </w:tcPr>
          <w:p w14:paraId="1BCAD065">
            <w:pPr>
              <w:adjustRightInd w:val="0"/>
              <w:snapToGrid w:val="0"/>
              <w:spacing w:line="320" w:lineRule="exact"/>
              <w:jc w:val="center"/>
              <w:rPr>
                <w:rFonts w:hint="default"/>
                <w:color w:val="auto"/>
                <w:szCs w:val="21"/>
                <w:lang w:val="en-US" w:eastAsia="zh-CN"/>
              </w:rPr>
            </w:pPr>
            <w:r>
              <w:rPr>
                <w:rFonts w:hint="eastAsia"/>
                <w:color w:val="auto"/>
                <w:szCs w:val="21"/>
                <w:lang w:val="en-US" w:eastAsia="zh-CN"/>
              </w:rPr>
              <w:t>0.41</w:t>
            </w:r>
          </w:p>
        </w:tc>
      </w:tr>
      <w:tr w14:paraId="5A8F9C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569" w:type="pct"/>
            <w:vMerge w:val="continue"/>
            <w:shd w:val="clear" w:color="auto" w:fill="auto"/>
            <w:vAlign w:val="center"/>
          </w:tcPr>
          <w:p w14:paraId="53F50EF7">
            <w:pPr>
              <w:adjustRightInd w:val="0"/>
              <w:snapToGrid w:val="0"/>
              <w:spacing w:line="320" w:lineRule="exact"/>
              <w:jc w:val="center"/>
              <w:rPr>
                <w:rFonts w:eastAsia="仿宋_GB2312"/>
                <w:color w:val="FF0000"/>
                <w:szCs w:val="21"/>
              </w:rPr>
            </w:pPr>
          </w:p>
        </w:tc>
        <w:tc>
          <w:tcPr>
            <w:tcW w:w="591" w:type="pct"/>
            <w:vMerge w:val="continue"/>
            <w:shd w:val="clear" w:color="auto" w:fill="auto"/>
            <w:vAlign w:val="center"/>
          </w:tcPr>
          <w:p w14:paraId="7B4BF5AA">
            <w:pPr>
              <w:adjustRightInd w:val="0"/>
              <w:snapToGrid w:val="0"/>
              <w:spacing w:line="320" w:lineRule="exact"/>
              <w:jc w:val="center"/>
              <w:rPr>
                <w:rFonts w:eastAsia="仿宋_GB2312"/>
                <w:bCs/>
                <w:color w:val="FF0000"/>
                <w:szCs w:val="21"/>
              </w:rPr>
            </w:pPr>
          </w:p>
        </w:tc>
        <w:tc>
          <w:tcPr>
            <w:tcW w:w="1250" w:type="pct"/>
            <w:shd w:val="clear" w:color="auto" w:fill="auto"/>
            <w:vAlign w:val="center"/>
          </w:tcPr>
          <w:p w14:paraId="2C1C7617">
            <w:pPr>
              <w:keepNext w:val="0"/>
              <w:keepLines w:val="0"/>
              <w:widowControl/>
              <w:suppressLineNumbers w:val="0"/>
              <w:jc w:val="center"/>
              <w:textAlignment w:val="bottom"/>
              <w:rPr>
                <w:rFonts w:eastAsia="仿宋_GB2312"/>
                <w:color w:val="FF0000"/>
                <w:szCs w:val="21"/>
              </w:rPr>
            </w:pPr>
            <w:r>
              <w:rPr>
                <w:rFonts w:hint="default" w:ascii="仿宋_GB2312" w:hAnsi="宋体" w:eastAsia="仿宋_GB2312" w:cs="仿宋_GB2312"/>
                <w:i w:val="0"/>
                <w:iCs w:val="0"/>
                <w:color w:val="000000"/>
                <w:kern w:val="0"/>
                <w:sz w:val="21"/>
                <w:szCs w:val="21"/>
                <w:u w:val="none"/>
                <w:lang w:val="en-US" w:eastAsia="zh-CN" w:bidi="ar"/>
              </w:rPr>
              <w:t>异丙醇</w:t>
            </w:r>
          </w:p>
        </w:tc>
        <w:tc>
          <w:tcPr>
            <w:tcW w:w="894" w:type="pct"/>
            <w:shd w:val="clear" w:color="auto" w:fill="auto"/>
            <w:vAlign w:val="center"/>
          </w:tcPr>
          <w:p w14:paraId="5AEB2998">
            <w:pPr>
              <w:adjustRightInd w:val="0"/>
              <w:snapToGrid w:val="0"/>
              <w:spacing w:line="320" w:lineRule="exact"/>
              <w:jc w:val="center"/>
              <w:rPr>
                <w:rFonts w:hint="default"/>
                <w:color w:val="auto"/>
                <w:szCs w:val="21"/>
                <w:lang w:val="en-US" w:eastAsia="zh-CN"/>
              </w:rPr>
            </w:pPr>
            <w:r>
              <w:rPr>
                <w:rFonts w:hint="eastAsia"/>
                <w:color w:val="auto"/>
                <w:szCs w:val="21"/>
                <w:lang w:val="en-US" w:eastAsia="zh-CN"/>
              </w:rPr>
              <w:t>46.566</w:t>
            </w:r>
          </w:p>
        </w:tc>
        <w:tc>
          <w:tcPr>
            <w:tcW w:w="894" w:type="pct"/>
            <w:shd w:val="clear" w:color="auto" w:fill="auto"/>
            <w:vAlign w:val="center"/>
          </w:tcPr>
          <w:p w14:paraId="0AA792E0">
            <w:pPr>
              <w:adjustRightInd w:val="0"/>
              <w:snapToGrid w:val="0"/>
              <w:spacing w:line="320" w:lineRule="exact"/>
              <w:jc w:val="center"/>
              <w:rPr>
                <w:rFonts w:hint="default"/>
                <w:color w:val="auto"/>
                <w:szCs w:val="21"/>
                <w:lang w:val="en-US" w:eastAsia="zh-CN"/>
              </w:rPr>
            </w:pPr>
            <w:r>
              <w:rPr>
                <w:rFonts w:hint="eastAsia"/>
                <w:color w:val="auto"/>
                <w:szCs w:val="21"/>
                <w:lang w:val="en-US" w:eastAsia="zh-CN"/>
              </w:rPr>
              <w:t>45.066</w:t>
            </w:r>
          </w:p>
        </w:tc>
        <w:tc>
          <w:tcPr>
            <w:tcW w:w="800" w:type="pct"/>
            <w:shd w:val="clear" w:color="auto" w:fill="auto"/>
            <w:vAlign w:val="center"/>
          </w:tcPr>
          <w:p w14:paraId="59BA4901">
            <w:pPr>
              <w:adjustRightInd w:val="0"/>
              <w:snapToGrid w:val="0"/>
              <w:spacing w:line="320" w:lineRule="exact"/>
              <w:jc w:val="center"/>
              <w:rPr>
                <w:rFonts w:hint="default"/>
                <w:color w:val="auto"/>
                <w:szCs w:val="21"/>
                <w:lang w:val="en-US" w:eastAsia="zh-CN"/>
              </w:rPr>
            </w:pPr>
            <w:r>
              <w:rPr>
                <w:rFonts w:hint="eastAsia"/>
                <w:color w:val="auto"/>
                <w:szCs w:val="21"/>
                <w:lang w:val="en-US" w:eastAsia="zh-CN"/>
              </w:rPr>
              <w:t>1.5</w:t>
            </w:r>
          </w:p>
        </w:tc>
      </w:tr>
      <w:tr w14:paraId="723A47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569" w:type="pct"/>
            <w:vMerge w:val="continue"/>
            <w:shd w:val="clear" w:color="auto" w:fill="auto"/>
            <w:vAlign w:val="center"/>
          </w:tcPr>
          <w:p w14:paraId="52852491">
            <w:pPr>
              <w:adjustRightInd w:val="0"/>
              <w:snapToGrid w:val="0"/>
              <w:spacing w:line="320" w:lineRule="exact"/>
              <w:jc w:val="center"/>
              <w:rPr>
                <w:rFonts w:eastAsia="仿宋_GB2312"/>
                <w:color w:val="FF0000"/>
                <w:szCs w:val="21"/>
              </w:rPr>
            </w:pPr>
          </w:p>
        </w:tc>
        <w:tc>
          <w:tcPr>
            <w:tcW w:w="591" w:type="pct"/>
            <w:vMerge w:val="continue"/>
            <w:shd w:val="clear" w:color="auto" w:fill="auto"/>
            <w:vAlign w:val="center"/>
          </w:tcPr>
          <w:p w14:paraId="58D8A60A">
            <w:pPr>
              <w:adjustRightInd w:val="0"/>
              <w:snapToGrid w:val="0"/>
              <w:spacing w:line="320" w:lineRule="exact"/>
              <w:jc w:val="center"/>
              <w:rPr>
                <w:rFonts w:eastAsia="仿宋_GB2312"/>
                <w:bCs/>
                <w:color w:val="FF0000"/>
                <w:szCs w:val="21"/>
              </w:rPr>
            </w:pPr>
          </w:p>
        </w:tc>
        <w:tc>
          <w:tcPr>
            <w:tcW w:w="1250" w:type="pct"/>
            <w:shd w:val="clear" w:color="auto" w:fill="auto"/>
            <w:vAlign w:val="center"/>
          </w:tcPr>
          <w:p w14:paraId="0A66C5E5">
            <w:pPr>
              <w:keepNext w:val="0"/>
              <w:keepLines w:val="0"/>
              <w:widowControl/>
              <w:suppressLineNumbers w:val="0"/>
              <w:jc w:val="center"/>
              <w:textAlignment w:val="bottom"/>
              <w:rPr>
                <w:rFonts w:eastAsia="等线"/>
                <w:color w:val="FF0000"/>
                <w:szCs w:val="21"/>
              </w:rPr>
            </w:pPr>
            <w:r>
              <w:rPr>
                <w:rFonts w:hint="default" w:ascii="仿宋_GB2312" w:hAnsi="宋体" w:eastAsia="仿宋_GB2312" w:cs="仿宋_GB2312"/>
                <w:i w:val="0"/>
                <w:iCs w:val="0"/>
                <w:color w:val="000000"/>
                <w:kern w:val="0"/>
                <w:sz w:val="21"/>
                <w:szCs w:val="21"/>
                <w:u w:val="none"/>
                <w:lang w:val="en-US" w:eastAsia="zh-CN" w:bidi="ar"/>
              </w:rPr>
              <w:t>丁酮</w:t>
            </w:r>
          </w:p>
        </w:tc>
        <w:tc>
          <w:tcPr>
            <w:tcW w:w="894" w:type="pct"/>
            <w:shd w:val="clear" w:color="auto" w:fill="auto"/>
            <w:vAlign w:val="center"/>
          </w:tcPr>
          <w:p w14:paraId="23C2AA20">
            <w:pPr>
              <w:adjustRightInd w:val="0"/>
              <w:snapToGrid w:val="0"/>
              <w:spacing w:line="320" w:lineRule="exact"/>
              <w:jc w:val="center"/>
              <w:rPr>
                <w:rFonts w:hint="default"/>
                <w:color w:val="auto"/>
                <w:szCs w:val="21"/>
                <w:lang w:val="en-US" w:eastAsia="zh-CN"/>
              </w:rPr>
            </w:pPr>
            <w:r>
              <w:rPr>
                <w:rFonts w:hint="eastAsia"/>
                <w:color w:val="auto"/>
                <w:szCs w:val="21"/>
                <w:lang w:val="en-US" w:eastAsia="zh-CN"/>
              </w:rPr>
              <w:t>8.577</w:t>
            </w:r>
          </w:p>
        </w:tc>
        <w:tc>
          <w:tcPr>
            <w:tcW w:w="894" w:type="pct"/>
            <w:shd w:val="clear" w:color="auto" w:fill="auto"/>
            <w:vAlign w:val="center"/>
          </w:tcPr>
          <w:p w14:paraId="7E054F7C">
            <w:pPr>
              <w:adjustRightInd w:val="0"/>
              <w:snapToGrid w:val="0"/>
              <w:spacing w:line="320" w:lineRule="exact"/>
              <w:jc w:val="center"/>
              <w:rPr>
                <w:rFonts w:hint="default"/>
                <w:color w:val="auto"/>
                <w:szCs w:val="21"/>
                <w:lang w:val="en-US" w:eastAsia="zh-CN"/>
              </w:rPr>
            </w:pPr>
            <w:r>
              <w:rPr>
                <w:rFonts w:hint="eastAsia"/>
                <w:color w:val="auto"/>
                <w:szCs w:val="21"/>
                <w:lang w:val="en-US" w:eastAsia="zh-CN"/>
              </w:rPr>
              <w:t>8.457</w:t>
            </w:r>
          </w:p>
        </w:tc>
        <w:tc>
          <w:tcPr>
            <w:tcW w:w="800" w:type="pct"/>
            <w:shd w:val="clear" w:color="auto" w:fill="auto"/>
            <w:vAlign w:val="center"/>
          </w:tcPr>
          <w:p w14:paraId="2CC73B4A">
            <w:pPr>
              <w:adjustRightInd w:val="0"/>
              <w:snapToGrid w:val="0"/>
              <w:spacing w:line="320" w:lineRule="exact"/>
              <w:jc w:val="center"/>
              <w:rPr>
                <w:rFonts w:hint="default"/>
                <w:color w:val="auto"/>
                <w:szCs w:val="21"/>
                <w:lang w:val="en-US" w:eastAsia="zh-CN"/>
              </w:rPr>
            </w:pPr>
            <w:r>
              <w:rPr>
                <w:rFonts w:hint="eastAsia"/>
                <w:color w:val="auto"/>
                <w:szCs w:val="21"/>
                <w:lang w:val="en-US" w:eastAsia="zh-CN"/>
              </w:rPr>
              <w:t>0.12</w:t>
            </w:r>
          </w:p>
        </w:tc>
      </w:tr>
      <w:tr w14:paraId="4AB9E05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569" w:type="pct"/>
            <w:vMerge w:val="continue"/>
            <w:shd w:val="clear" w:color="auto" w:fill="auto"/>
            <w:vAlign w:val="center"/>
          </w:tcPr>
          <w:p w14:paraId="40D3B7C8">
            <w:pPr>
              <w:adjustRightInd w:val="0"/>
              <w:snapToGrid w:val="0"/>
              <w:spacing w:line="320" w:lineRule="exact"/>
              <w:jc w:val="center"/>
              <w:rPr>
                <w:rFonts w:eastAsia="仿宋_GB2312"/>
                <w:b/>
                <w:bCs/>
                <w:color w:val="FF0000"/>
                <w:szCs w:val="21"/>
              </w:rPr>
            </w:pPr>
          </w:p>
        </w:tc>
        <w:tc>
          <w:tcPr>
            <w:tcW w:w="591" w:type="pct"/>
            <w:vMerge w:val="continue"/>
            <w:shd w:val="clear" w:color="auto" w:fill="auto"/>
            <w:vAlign w:val="center"/>
          </w:tcPr>
          <w:p w14:paraId="153E45B5">
            <w:pPr>
              <w:adjustRightInd w:val="0"/>
              <w:snapToGrid w:val="0"/>
              <w:spacing w:line="320" w:lineRule="exact"/>
              <w:jc w:val="center"/>
              <w:rPr>
                <w:rFonts w:eastAsia="仿宋_GB2312"/>
                <w:bCs/>
                <w:color w:val="FF0000"/>
                <w:szCs w:val="21"/>
              </w:rPr>
            </w:pPr>
          </w:p>
        </w:tc>
        <w:tc>
          <w:tcPr>
            <w:tcW w:w="1250" w:type="pct"/>
            <w:shd w:val="clear" w:color="auto" w:fill="auto"/>
            <w:vAlign w:val="center"/>
          </w:tcPr>
          <w:p w14:paraId="1104E043">
            <w:pPr>
              <w:keepNext w:val="0"/>
              <w:keepLines w:val="0"/>
              <w:widowControl/>
              <w:suppressLineNumbers w:val="0"/>
              <w:jc w:val="center"/>
              <w:textAlignment w:val="bottom"/>
              <w:rPr>
                <w:rFonts w:eastAsia="仿宋_GB2312"/>
                <w:bCs/>
                <w:color w:val="FF0000"/>
                <w:szCs w:val="21"/>
              </w:rPr>
            </w:pPr>
            <w:r>
              <w:rPr>
                <w:rFonts w:hint="default" w:ascii="仿宋_GB2312" w:hAnsi="宋体" w:eastAsia="仿宋_GB2312" w:cs="仿宋_GB2312"/>
                <w:i w:val="0"/>
                <w:iCs w:val="0"/>
                <w:color w:val="000000"/>
                <w:kern w:val="0"/>
                <w:sz w:val="21"/>
                <w:szCs w:val="21"/>
                <w:u w:val="none"/>
                <w:lang w:val="en-US" w:eastAsia="zh-CN" w:bidi="ar"/>
              </w:rPr>
              <w:t>乙醇</w:t>
            </w:r>
          </w:p>
        </w:tc>
        <w:tc>
          <w:tcPr>
            <w:tcW w:w="894" w:type="pct"/>
            <w:shd w:val="clear" w:color="auto" w:fill="auto"/>
            <w:vAlign w:val="center"/>
          </w:tcPr>
          <w:p w14:paraId="031C23F7">
            <w:pPr>
              <w:adjustRightInd w:val="0"/>
              <w:snapToGrid w:val="0"/>
              <w:spacing w:line="320" w:lineRule="exact"/>
              <w:jc w:val="center"/>
              <w:rPr>
                <w:rFonts w:hint="default"/>
                <w:color w:val="auto"/>
                <w:szCs w:val="21"/>
                <w:lang w:val="en-US" w:eastAsia="zh-CN"/>
              </w:rPr>
            </w:pPr>
            <w:r>
              <w:rPr>
                <w:rFonts w:hint="eastAsia"/>
                <w:color w:val="auto"/>
                <w:szCs w:val="21"/>
                <w:lang w:val="en-US" w:eastAsia="zh-CN"/>
              </w:rPr>
              <w:t>288.011</w:t>
            </w:r>
          </w:p>
        </w:tc>
        <w:tc>
          <w:tcPr>
            <w:tcW w:w="894" w:type="pct"/>
            <w:shd w:val="clear" w:color="auto" w:fill="auto"/>
            <w:vAlign w:val="center"/>
          </w:tcPr>
          <w:p w14:paraId="699C61FE">
            <w:pPr>
              <w:adjustRightInd w:val="0"/>
              <w:snapToGrid w:val="0"/>
              <w:spacing w:line="320" w:lineRule="exact"/>
              <w:jc w:val="center"/>
              <w:rPr>
                <w:rFonts w:hint="default"/>
                <w:color w:val="auto"/>
                <w:szCs w:val="21"/>
                <w:lang w:val="en-US" w:eastAsia="zh-CN"/>
              </w:rPr>
            </w:pPr>
            <w:r>
              <w:rPr>
                <w:rFonts w:hint="eastAsia"/>
                <w:color w:val="auto"/>
                <w:szCs w:val="21"/>
                <w:lang w:val="en-US" w:eastAsia="zh-CN"/>
              </w:rPr>
              <w:t>283.981</w:t>
            </w:r>
          </w:p>
        </w:tc>
        <w:tc>
          <w:tcPr>
            <w:tcW w:w="800" w:type="pct"/>
            <w:shd w:val="clear" w:color="auto" w:fill="auto"/>
            <w:vAlign w:val="center"/>
          </w:tcPr>
          <w:p w14:paraId="2F682E02">
            <w:pPr>
              <w:adjustRightInd w:val="0"/>
              <w:snapToGrid w:val="0"/>
              <w:spacing w:line="320" w:lineRule="exact"/>
              <w:jc w:val="center"/>
              <w:rPr>
                <w:rFonts w:hint="default"/>
                <w:color w:val="auto"/>
                <w:szCs w:val="21"/>
                <w:lang w:val="en-US" w:eastAsia="zh-CN"/>
              </w:rPr>
            </w:pPr>
            <w:r>
              <w:rPr>
                <w:rFonts w:hint="eastAsia"/>
                <w:color w:val="auto"/>
                <w:szCs w:val="21"/>
                <w:lang w:val="en-US" w:eastAsia="zh-CN"/>
              </w:rPr>
              <w:t>4.03</w:t>
            </w:r>
          </w:p>
        </w:tc>
      </w:tr>
      <w:tr w14:paraId="00CFCA7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569" w:type="pct"/>
            <w:vMerge w:val="continue"/>
            <w:shd w:val="clear" w:color="auto" w:fill="auto"/>
            <w:vAlign w:val="center"/>
          </w:tcPr>
          <w:p w14:paraId="57DF31E1">
            <w:pPr>
              <w:adjustRightInd w:val="0"/>
              <w:snapToGrid w:val="0"/>
              <w:spacing w:line="320" w:lineRule="exact"/>
              <w:jc w:val="center"/>
              <w:rPr>
                <w:rFonts w:eastAsia="仿宋_GB2312"/>
                <w:b/>
                <w:bCs/>
                <w:color w:val="FF0000"/>
                <w:szCs w:val="21"/>
              </w:rPr>
            </w:pPr>
          </w:p>
        </w:tc>
        <w:tc>
          <w:tcPr>
            <w:tcW w:w="591" w:type="pct"/>
            <w:vMerge w:val="continue"/>
            <w:shd w:val="clear" w:color="auto" w:fill="auto"/>
            <w:vAlign w:val="center"/>
          </w:tcPr>
          <w:p w14:paraId="28897642">
            <w:pPr>
              <w:adjustRightInd w:val="0"/>
              <w:snapToGrid w:val="0"/>
              <w:spacing w:line="320" w:lineRule="exact"/>
              <w:jc w:val="center"/>
              <w:rPr>
                <w:rFonts w:eastAsia="仿宋_GB2312"/>
                <w:bCs/>
                <w:color w:val="FF0000"/>
                <w:szCs w:val="21"/>
              </w:rPr>
            </w:pPr>
          </w:p>
        </w:tc>
        <w:tc>
          <w:tcPr>
            <w:tcW w:w="1250" w:type="pct"/>
            <w:shd w:val="clear" w:color="auto" w:fill="auto"/>
            <w:vAlign w:val="center"/>
          </w:tcPr>
          <w:p w14:paraId="3C8A7C92">
            <w:pPr>
              <w:keepNext w:val="0"/>
              <w:keepLines w:val="0"/>
              <w:widowControl/>
              <w:suppressLineNumbers w:val="0"/>
              <w:jc w:val="center"/>
              <w:textAlignment w:val="bottom"/>
              <w:rPr>
                <w:rFonts w:eastAsia="仿宋_GB2312"/>
                <w:bCs/>
                <w:color w:val="FF0000"/>
                <w:szCs w:val="21"/>
              </w:rPr>
            </w:pPr>
            <w:r>
              <w:rPr>
                <w:rFonts w:hint="default" w:ascii="仿宋_GB2312" w:hAnsi="宋体" w:eastAsia="仿宋_GB2312" w:cs="仿宋_GB2312"/>
                <w:i w:val="0"/>
                <w:iCs w:val="0"/>
                <w:color w:val="000000"/>
                <w:kern w:val="0"/>
                <w:sz w:val="21"/>
                <w:szCs w:val="21"/>
                <w:u w:val="none"/>
                <w:lang w:val="en-US" w:eastAsia="zh-CN" w:bidi="ar"/>
              </w:rPr>
              <w:t>乙酸乙酯</w:t>
            </w:r>
          </w:p>
        </w:tc>
        <w:tc>
          <w:tcPr>
            <w:tcW w:w="894" w:type="pct"/>
            <w:shd w:val="clear" w:color="auto" w:fill="auto"/>
            <w:vAlign w:val="center"/>
          </w:tcPr>
          <w:p w14:paraId="27D9C887">
            <w:pPr>
              <w:adjustRightInd w:val="0"/>
              <w:snapToGrid w:val="0"/>
              <w:spacing w:line="320" w:lineRule="exact"/>
              <w:jc w:val="center"/>
              <w:rPr>
                <w:rFonts w:hint="default"/>
                <w:color w:val="auto"/>
                <w:szCs w:val="21"/>
                <w:lang w:val="en-US" w:eastAsia="zh-CN"/>
              </w:rPr>
            </w:pPr>
            <w:r>
              <w:rPr>
                <w:rFonts w:hint="eastAsia"/>
                <w:color w:val="auto"/>
                <w:szCs w:val="21"/>
                <w:lang w:val="en-US" w:eastAsia="zh-CN"/>
              </w:rPr>
              <w:t>81.599</w:t>
            </w:r>
          </w:p>
        </w:tc>
        <w:tc>
          <w:tcPr>
            <w:tcW w:w="894" w:type="pct"/>
            <w:shd w:val="clear" w:color="auto" w:fill="auto"/>
            <w:vAlign w:val="center"/>
          </w:tcPr>
          <w:p w14:paraId="68EEB490">
            <w:pPr>
              <w:adjustRightInd w:val="0"/>
              <w:snapToGrid w:val="0"/>
              <w:spacing w:line="320" w:lineRule="exact"/>
              <w:jc w:val="center"/>
              <w:rPr>
                <w:rFonts w:hint="default"/>
                <w:color w:val="auto"/>
                <w:szCs w:val="21"/>
                <w:lang w:val="en-US" w:eastAsia="zh-CN"/>
              </w:rPr>
            </w:pPr>
            <w:r>
              <w:rPr>
                <w:rFonts w:hint="eastAsia"/>
                <w:color w:val="auto"/>
                <w:szCs w:val="21"/>
                <w:lang w:val="en-US" w:eastAsia="zh-CN"/>
              </w:rPr>
              <w:t>80.459</w:t>
            </w:r>
          </w:p>
        </w:tc>
        <w:tc>
          <w:tcPr>
            <w:tcW w:w="800" w:type="pct"/>
            <w:shd w:val="clear" w:color="auto" w:fill="auto"/>
            <w:vAlign w:val="center"/>
          </w:tcPr>
          <w:p w14:paraId="2891EA21">
            <w:pPr>
              <w:adjustRightInd w:val="0"/>
              <w:snapToGrid w:val="0"/>
              <w:spacing w:line="320" w:lineRule="exact"/>
              <w:jc w:val="center"/>
              <w:rPr>
                <w:rFonts w:hint="default"/>
                <w:color w:val="auto"/>
                <w:szCs w:val="21"/>
                <w:lang w:val="en-US" w:eastAsia="zh-CN"/>
              </w:rPr>
            </w:pPr>
            <w:r>
              <w:rPr>
                <w:rFonts w:hint="eastAsia"/>
                <w:color w:val="auto"/>
                <w:szCs w:val="21"/>
                <w:lang w:val="en-US" w:eastAsia="zh-CN"/>
              </w:rPr>
              <w:t>1.14</w:t>
            </w:r>
          </w:p>
        </w:tc>
      </w:tr>
      <w:tr w14:paraId="2DDFCD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569" w:type="pct"/>
            <w:vMerge w:val="continue"/>
            <w:shd w:val="clear" w:color="auto" w:fill="auto"/>
            <w:vAlign w:val="center"/>
          </w:tcPr>
          <w:p w14:paraId="3E96B582">
            <w:pPr>
              <w:adjustRightInd w:val="0"/>
              <w:snapToGrid w:val="0"/>
              <w:spacing w:line="320" w:lineRule="exact"/>
              <w:jc w:val="center"/>
              <w:rPr>
                <w:rFonts w:eastAsia="仿宋_GB2312"/>
                <w:b/>
                <w:bCs/>
                <w:color w:val="FF0000"/>
                <w:szCs w:val="21"/>
              </w:rPr>
            </w:pPr>
          </w:p>
        </w:tc>
        <w:tc>
          <w:tcPr>
            <w:tcW w:w="591" w:type="pct"/>
            <w:vMerge w:val="continue"/>
            <w:shd w:val="clear" w:color="auto" w:fill="auto"/>
            <w:vAlign w:val="center"/>
          </w:tcPr>
          <w:p w14:paraId="36BE0F40">
            <w:pPr>
              <w:adjustRightInd w:val="0"/>
              <w:snapToGrid w:val="0"/>
              <w:spacing w:line="320" w:lineRule="exact"/>
              <w:jc w:val="center"/>
              <w:rPr>
                <w:rFonts w:eastAsia="仿宋_GB2312"/>
                <w:bCs/>
                <w:color w:val="FF0000"/>
                <w:szCs w:val="21"/>
              </w:rPr>
            </w:pPr>
          </w:p>
        </w:tc>
        <w:tc>
          <w:tcPr>
            <w:tcW w:w="1250" w:type="pct"/>
            <w:shd w:val="clear" w:color="auto" w:fill="auto"/>
            <w:vAlign w:val="center"/>
          </w:tcPr>
          <w:p w14:paraId="345BD315">
            <w:pPr>
              <w:keepNext w:val="0"/>
              <w:keepLines w:val="0"/>
              <w:widowControl/>
              <w:suppressLineNumbers w:val="0"/>
              <w:jc w:val="center"/>
              <w:textAlignment w:val="bottom"/>
              <w:rPr>
                <w:rFonts w:eastAsia="仿宋_GB2312"/>
                <w:bCs/>
                <w:color w:val="FF0000"/>
                <w:szCs w:val="21"/>
              </w:rPr>
            </w:pPr>
            <w:r>
              <w:rPr>
                <w:rFonts w:hint="default" w:ascii="仿宋_GB2312" w:hAnsi="宋体" w:eastAsia="仿宋_GB2312" w:cs="仿宋_GB2312"/>
                <w:i w:val="0"/>
                <w:iCs w:val="0"/>
                <w:color w:val="000000"/>
                <w:kern w:val="0"/>
                <w:sz w:val="21"/>
                <w:szCs w:val="21"/>
                <w:u w:val="none"/>
                <w:lang w:val="en-US" w:eastAsia="zh-CN" w:bidi="ar"/>
              </w:rPr>
              <w:t>二氯甲烷</w:t>
            </w:r>
          </w:p>
        </w:tc>
        <w:tc>
          <w:tcPr>
            <w:tcW w:w="894" w:type="pct"/>
            <w:shd w:val="clear" w:color="auto" w:fill="auto"/>
            <w:vAlign w:val="center"/>
          </w:tcPr>
          <w:p w14:paraId="41BD9562">
            <w:pPr>
              <w:adjustRightInd w:val="0"/>
              <w:snapToGrid w:val="0"/>
              <w:spacing w:line="320" w:lineRule="exact"/>
              <w:jc w:val="center"/>
              <w:rPr>
                <w:rFonts w:hint="default"/>
                <w:color w:val="auto"/>
                <w:szCs w:val="21"/>
                <w:lang w:val="en-US" w:eastAsia="zh-CN"/>
              </w:rPr>
            </w:pPr>
            <w:r>
              <w:rPr>
                <w:rFonts w:hint="eastAsia"/>
                <w:color w:val="auto"/>
                <w:szCs w:val="21"/>
                <w:lang w:val="en-US" w:eastAsia="zh-CN"/>
              </w:rPr>
              <w:t>45.459</w:t>
            </w:r>
          </w:p>
        </w:tc>
        <w:tc>
          <w:tcPr>
            <w:tcW w:w="894" w:type="pct"/>
            <w:shd w:val="clear" w:color="auto" w:fill="auto"/>
            <w:vAlign w:val="center"/>
          </w:tcPr>
          <w:p w14:paraId="2118B8C1">
            <w:pPr>
              <w:adjustRightInd w:val="0"/>
              <w:snapToGrid w:val="0"/>
              <w:spacing w:line="320" w:lineRule="exact"/>
              <w:jc w:val="center"/>
              <w:rPr>
                <w:rFonts w:hint="default"/>
                <w:color w:val="auto"/>
                <w:szCs w:val="21"/>
                <w:lang w:val="en-US" w:eastAsia="zh-CN"/>
              </w:rPr>
            </w:pPr>
            <w:r>
              <w:rPr>
                <w:rFonts w:hint="eastAsia"/>
                <w:color w:val="auto"/>
                <w:szCs w:val="21"/>
                <w:lang w:val="en-US" w:eastAsia="zh-CN"/>
              </w:rPr>
              <w:t>44.759</w:t>
            </w:r>
          </w:p>
        </w:tc>
        <w:tc>
          <w:tcPr>
            <w:tcW w:w="800" w:type="pct"/>
            <w:shd w:val="clear" w:color="auto" w:fill="auto"/>
            <w:vAlign w:val="center"/>
          </w:tcPr>
          <w:p w14:paraId="4C748A05">
            <w:pPr>
              <w:adjustRightInd w:val="0"/>
              <w:snapToGrid w:val="0"/>
              <w:spacing w:line="320" w:lineRule="exact"/>
              <w:jc w:val="center"/>
              <w:rPr>
                <w:rFonts w:hint="default"/>
                <w:color w:val="auto"/>
                <w:szCs w:val="21"/>
                <w:lang w:val="en-US" w:eastAsia="zh-CN"/>
              </w:rPr>
            </w:pPr>
            <w:r>
              <w:rPr>
                <w:rFonts w:hint="eastAsia"/>
                <w:color w:val="auto"/>
                <w:szCs w:val="21"/>
                <w:lang w:val="en-US" w:eastAsia="zh-CN"/>
              </w:rPr>
              <w:t>0.7</w:t>
            </w:r>
          </w:p>
        </w:tc>
      </w:tr>
      <w:tr w14:paraId="1B36E3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569" w:type="pct"/>
            <w:vMerge w:val="continue"/>
            <w:shd w:val="clear" w:color="auto" w:fill="auto"/>
            <w:vAlign w:val="center"/>
          </w:tcPr>
          <w:p w14:paraId="7DE3AE88">
            <w:pPr>
              <w:adjustRightInd w:val="0"/>
              <w:snapToGrid w:val="0"/>
              <w:spacing w:line="320" w:lineRule="exact"/>
              <w:jc w:val="center"/>
              <w:rPr>
                <w:rFonts w:eastAsia="仿宋_GB2312"/>
                <w:b/>
                <w:bCs/>
                <w:color w:val="FF0000"/>
                <w:szCs w:val="21"/>
              </w:rPr>
            </w:pPr>
          </w:p>
        </w:tc>
        <w:tc>
          <w:tcPr>
            <w:tcW w:w="591" w:type="pct"/>
            <w:vMerge w:val="continue"/>
            <w:shd w:val="clear" w:color="auto" w:fill="auto"/>
            <w:vAlign w:val="center"/>
          </w:tcPr>
          <w:p w14:paraId="22AB9B6F">
            <w:pPr>
              <w:adjustRightInd w:val="0"/>
              <w:snapToGrid w:val="0"/>
              <w:spacing w:line="320" w:lineRule="exact"/>
              <w:jc w:val="center"/>
              <w:rPr>
                <w:rFonts w:eastAsia="仿宋_GB2312"/>
                <w:bCs/>
                <w:color w:val="FF0000"/>
                <w:szCs w:val="21"/>
              </w:rPr>
            </w:pPr>
          </w:p>
        </w:tc>
        <w:tc>
          <w:tcPr>
            <w:tcW w:w="1250" w:type="pct"/>
            <w:shd w:val="clear" w:color="auto" w:fill="auto"/>
            <w:vAlign w:val="center"/>
          </w:tcPr>
          <w:p w14:paraId="2C76A6E6">
            <w:pPr>
              <w:keepNext w:val="0"/>
              <w:keepLines w:val="0"/>
              <w:widowControl/>
              <w:suppressLineNumbers w:val="0"/>
              <w:jc w:val="center"/>
              <w:textAlignment w:val="bottom"/>
              <w:rPr>
                <w:rFonts w:eastAsia="仿宋_GB2312"/>
                <w:bCs/>
                <w:color w:val="FF0000"/>
                <w:szCs w:val="21"/>
              </w:rPr>
            </w:pPr>
            <w:r>
              <w:rPr>
                <w:rFonts w:hint="default" w:ascii="仿宋_GB2312" w:hAnsi="宋体" w:eastAsia="仿宋_GB2312" w:cs="仿宋_GB2312"/>
                <w:i w:val="0"/>
                <w:iCs w:val="0"/>
                <w:color w:val="000000"/>
                <w:kern w:val="0"/>
                <w:sz w:val="21"/>
                <w:szCs w:val="21"/>
                <w:u w:val="none"/>
                <w:lang w:val="en-US" w:eastAsia="zh-CN" w:bidi="ar"/>
              </w:rPr>
              <w:t>乙酸丁酯</w:t>
            </w:r>
          </w:p>
        </w:tc>
        <w:tc>
          <w:tcPr>
            <w:tcW w:w="894" w:type="pct"/>
            <w:shd w:val="clear" w:color="auto" w:fill="auto"/>
            <w:vAlign w:val="center"/>
          </w:tcPr>
          <w:p w14:paraId="5EED9A86">
            <w:pPr>
              <w:adjustRightInd w:val="0"/>
              <w:snapToGrid w:val="0"/>
              <w:spacing w:line="320" w:lineRule="exact"/>
              <w:jc w:val="center"/>
              <w:rPr>
                <w:rFonts w:hint="default"/>
                <w:color w:val="auto"/>
                <w:szCs w:val="21"/>
                <w:lang w:val="en-US" w:eastAsia="zh-CN"/>
              </w:rPr>
            </w:pPr>
            <w:r>
              <w:rPr>
                <w:rFonts w:hint="eastAsia"/>
                <w:color w:val="auto"/>
                <w:szCs w:val="21"/>
                <w:lang w:val="en-US" w:eastAsia="zh-CN"/>
              </w:rPr>
              <w:t>81.883</w:t>
            </w:r>
          </w:p>
        </w:tc>
        <w:tc>
          <w:tcPr>
            <w:tcW w:w="894" w:type="pct"/>
            <w:shd w:val="clear" w:color="auto" w:fill="auto"/>
            <w:vAlign w:val="center"/>
          </w:tcPr>
          <w:p w14:paraId="5C4DDFC5">
            <w:pPr>
              <w:adjustRightInd w:val="0"/>
              <w:snapToGrid w:val="0"/>
              <w:spacing w:line="320" w:lineRule="exact"/>
              <w:jc w:val="center"/>
              <w:rPr>
                <w:rFonts w:hint="default"/>
                <w:color w:val="auto"/>
                <w:szCs w:val="21"/>
                <w:lang w:val="en-US" w:eastAsia="zh-CN"/>
              </w:rPr>
            </w:pPr>
            <w:r>
              <w:rPr>
                <w:rFonts w:hint="eastAsia"/>
                <w:color w:val="auto"/>
                <w:szCs w:val="21"/>
                <w:lang w:val="en-US" w:eastAsia="zh-CN"/>
              </w:rPr>
              <w:t>80.713</w:t>
            </w:r>
          </w:p>
        </w:tc>
        <w:tc>
          <w:tcPr>
            <w:tcW w:w="800" w:type="pct"/>
            <w:shd w:val="clear" w:color="auto" w:fill="auto"/>
            <w:vAlign w:val="center"/>
          </w:tcPr>
          <w:p w14:paraId="328E6148">
            <w:pPr>
              <w:adjustRightInd w:val="0"/>
              <w:snapToGrid w:val="0"/>
              <w:spacing w:line="320" w:lineRule="exact"/>
              <w:jc w:val="center"/>
              <w:rPr>
                <w:rFonts w:hint="default"/>
                <w:color w:val="auto"/>
                <w:szCs w:val="21"/>
                <w:lang w:val="en-US" w:eastAsia="zh-CN"/>
              </w:rPr>
            </w:pPr>
            <w:r>
              <w:rPr>
                <w:rFonts w:hint="eastAsia"/>
                <w:color w:val="auto"/>
                <w:szCs w:val="21"/>
                <w:lang w:val="en-US" w:eastAsia="zh-CN"/>
              </w:rPr>
              <w:t>1.17</w:t>
            </w:r>
          </w:p>
        </w:tc>
      </w:tr>
      <w:tr w14:paraId="3D54F0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569" w:type="pct"/>
            <w:vMerge w:val="continue"/>
            <w:shd w:val="clear" w:color="auto" w:fill="auto"/>
            <w:vAlign w:val="center"/>
          </w:tcPr>
          <w:p w14:paraId="23BE642C">
            <w:pPr>
              <w:adjustRightInd w:val="0"/>
              <w:snapToGrid w:val="0"/>
              <w:spacing w:line="320" w:lineRule="exact"/>
              <w:jc w:val="center"/>
              <w:rPr>
                <w:rFonts w:eastAsia="仿宋_GB2312"/>
                <w:b/>
                <w:bCs/>
                <w:color w:val="FF0000"/>
                <w:szCs w:val="21"/>
              </w:rPr>
            </w:pPr>
          </w:p>
        </w:tc>
        <w:tc>
          <w:tcPr>
            <w:tcW w:w="591" w:type="pct"/>
            <w:vMerge w:val="continue"/>
            <w:shd w:val="clear" w:color="auto" w:fill="auto"/>
            <w:vAlign w:val="center"/>
          </w:tcPr>
          <w:p w14:paraId="5A15B497">
            <w:pPr>
              <w:adjustRightInd w:val="0"/>
              <w:snapToGrid w:val="0"/>
              <w:spacing w:line="320" w:lineRule="exact"/>
              <w:jc w:val="center"/>
              <w:rPr>
                <w:rFonts w:eastAsia="仿宋_GB2312"/>
                <w:bCs/>
                <w:color w:val="FF0000"/>
                <w:szCs w:val="21"/>
              </w:rPr>
            </w:pPr>
          </w:p>
        </w:tc>
        <w:tc>
          <w:tcPr>
            <w:tcW w:w="1250" w:type="pct"/>
            <w:shd w:val="clear" w:color="auto" w:fill="auto"/>
            <w:vAlign w:val="center"/>
          </w:tcPr>
          <w:p w14:paraId="0DBDDF13">
            <w:pPr>
              <w:keepNext w:val="0"/>
              <w:keepLines w:val="0"/>
              <w:widowControl/>
              <w:suppressLineNumbers w:val="0"/>
              <w:jc w:val="center"/>
              <w:textAlignment w:val="bottom"/>
              <w:rPr>
                <w:rFonts w:eastAsia="仿宋_GB2312"/>
                <w:bCs/>
                <w:color w:val="FF0000"/>
                <w:szCs w:val="21"/>
              </w:rPr>
            </w:pPr>
            <w:r>
              <w:rPr>
                <w:rFonts w:hint="default" w:ascii="仿宋_GB2312" w:hAnsi="宋体" w:eastAsia="仿宋_GB2312" w:cs="仿宋_GB2312"/>
                <w:i w:val="0"/>
                <w:iCs w:val="0"/>
                <w:color w:val="000000"/>
                <w:kern w:val="0"/>
                <w:sz w:val="21"/>
                <w:szCs w:val="21"/>
                <w:u w:val="none"/>
                <w:lang w:val="en-US" w:eastAsia="zh-CN" w:bidi="ar"/>
              </w:rPr>
              <w:t>二甲苯</w:t>
            </w:r>
          </w:p>
        </w:tc>
        <w:tc>
          <w:tcPr>
            <w:tcW w:w="894" w:type="pct"/>
            <w:shd w:val="clear" w:color="auto" w:fill="auto"/>
            <w:vAlign w:val="center"/>
          </w:tcPr>
          <w:p w14:paraId="482383B0">
            <w:pPr>
              <w:adjustRightInd w:val="0"/>
              <w:snapToGrid w:val="0"/>
              <w:spacing w:line="320" w:lineRule="exact"/>
              <w:jc w:val="center"/>
              <w:rPr>
                <w:rFonts w:hint="default"/>
                <w:color w:val="auto"/>
                <w:szCs w:val="21"/>
                <w:lang w:val="en-US" w:eastAsia="zh-CN"/>
              </w:rPr>
            </w:pPr>
            <w:r>
              <w:rPr>
                <w:rFonts w:hint="eastAsia"/>
                <w:color w:val="auto"/>
                <w:szCs w:val="21"/>
                <w:lang w:val="en-US" w:eastAsia="zh-CN"/>
              </w:rPr>
              <w:t>50.199</w:t>
            </w:r>
          </w:p>
        </w:tc>
        <w:tc>
          <w:tcPr>
            <w:tcW w:w="894" w:type="pct"/>
            <w:shd w:val="clear" w:color="auto" w:fill="auto"/>
            <w:vAlign w:val="center"/>
          </w:tcPr>
          <w:p w14:paraId="157FE216">
            <w:pPr>
              <w:adjustRightInd w:val="0"/>
              <w:snapToGrid w:val="0"/>
              <w:spacing w:line="320" w:lineRule="exact"/>
              <w:jc w:val="center"/>
              <w:rPr>
                <w:rFonts w:hint="default"/>
                <w:color w:val="auto"/>
                <w:szCs w:val="21"/>
                <w:lang w:val="en-US" w:eastAsia="zh-CN"/>
              </w:rPr>
            </w:pPr>
            <w:r>
              <w:rPr>
                <w:rFonts w:hint="eastAsia"/>
                <w:color w:val="auto"/>
                <w:szCs w:val="21"/>
                <w:lang w:val="en-US" w:eastAsia="zh-CN"/>
              </w:rPr>
              <w:t>49.339</w:t>
            </w:r>
          </w:p>
        </w:tc>
        <w:tc>
          <w:tcPr>
            <w:tcW w:w="800" w:type="pct"/>
            <w:shd w:val="clear" w:color="auto" w:fill="auto"/>
            <w:vAlign w:val="center"/>
          </w:tcPr>
          <w:p w14:paraId="66113617">
            <w:pPr>
              <w:adjustRightInd w:val="0"/>
              <w:snapToGrid w:val="0"/>
              <w:spacing w:line="320" w:lineRule="exact"/>
              <w:jc w:val="center"/>
              <w:rPr>
                <w:rFonts w:hint="default"/>
                <w:color w:val="auto"/>
                <w:szCs w:val="21"/>
                <w:lang w:val="en-US" w:eastAsia="zh-CN"/>
              </w:rPr>
            </w:pPr>
            <w:r>
              <w:rPr>
                <w:rFonts w:hint="eastAsia"/>
                <w:color w:val="auto"/>
                <w:szCs w:val="21"/>
                <w:lang w:val="en-US" w:eastAsia="zh-CN"/>
              </w:rPr>
              <w:t>0.86</w:t>
            </w:r>
          </w:p>
        </w:tc>
      </w:tr>
      <w:tr w14:paraId="56E19E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569" w:type="pct"/>
            <w:vMerge w:val="continue"/>
            <w:shd w:val="clear" w:color="auto" w:fill="auto"/>
            <w:vAlign w:val="center"/>
          </w:tcPr>
          <w:p w14:paraId="7EA92653">
            <w:pPr>
              <w:adjustRightInd w:val="0"/>
              <w:snapToGrid w:val="0"/>
              <w:spacing w:line="320" w:lineRule="exact"/>
              <w:jc w:val="center"/>
              <w:rPr>
                <w:rFonts w:eastAsia="仿宋_GB2312"/>
                <w:b/>
                <w:bCs/>
                <w:color w:val="FF0000"/>
                <w:szCs w:val="21"/>
              </w:rPr>
            </w:pPr>
          </w:p>
        </w:tc>
        <w:tc>
          <w:tcPr>
            <w:tcW w:w="591" w:type="pct"/>
            <w:vMerge w:val="continue"/>
            <w:shd w:val="clear" w:color="auto" w:fill="auto"/>
            <w:vAlign w:val="center"/>
          </w:tcPr>
          <w:p w14:paraId="3A302867">
            <w:pPr>
              <w:adjustRightInd w:val="0"/>
              <w:snapToGrid w:val="0"/>
              <w:spacing w:line="320" w:lineRule="exact"/>
              <w:jc w:val="center"/>
              <w:rPr>
                <w:rFonts w:eastAsia="仿宋_GB2312"/>
                <w:bCs/>
                <w:color w:val="FF0000"/>
                <w:szCs w:val="21"/>
              </w:rPr>
            </w:pPr>
          </w:p>
        </w:tc>
        <w:tc>
          <w:tcPr>
            <w:tcW w:w="1250" w:type="pct"/>
            <w:shd w:val="clear" w:color="auto" w:fill="auto"/>
            <w:vAlign w:val="center"/>
          </w:tcPr>
          <w:p w14:paraId="648AC0C5">
            <w:pPr>
              <w:keepNext w:val="0"/>
              <w:keepLines w:val="0"/>
              <w:widowControl/>
              <w:suppressLineNumbers w:val="0"/>
              <w:jc w:val="center"/>
              <w:textAlignment w:val="bottom"/>
              <w:rPr>
                <w:rFonts w:eastAsia="仿宋_GB2312"/>
                <w:bCs/>
                <w:color w:val="FF0000"/>
                <w:szCs w:val="21"/>
              </w:rPr>
            </w:pPr>
            <w:r>
              <w:rPr>
                <w:rFonts w:hint="default" w:ascii="仿宋_GB2312" w:hAnsi="宋体" w:eastAsia="仿宋_GB2312" w:cs="仿宋_GB2312"/>
                <w:i w:val="0"/>
                <w:iCs w:val="0"/>
                <w:color w:val="000000"/>
                <w:kern w:val="0"/>
                <w:sz w:val="21"/>
                <w:szCs w:val="21"/>
                <w:u w:val="none"/>
                <w:lang w:val="en-US" w:eastAsia="zh-CN" w:bidi="ar"/>
              </w:rPr>
              <w:t>甲苯</w:t>
            </w:r>
          </w:p>
        </w:tc>
        <w:tc>
          <w:tcPr>
            <w:tcW w:w="894" w:type="pct"/>
            <w:shd w:val="clear" w:color="auto" w:fill="auto"/>
            <w:vAlign w:val="center"/>
          </w:tcPr>
          <w:p w14:paraId="3A123F1A">
            <w:pPr>
              <w:adjustRightInd w:val="0"/>
              <w:snapToGrid w:val="0"/>
              <w:spacing w:line="320" w:lineRule="exact"/>
              <w:jc w:val="center"/>
              <w:rPr>
                <w:rFonts w:hint="default"/>
                <w:color w:val="auto"/>
                <w:szCs w:val="21"/>
                <w:lang w:val="en-US" w:eastAsia="zh-CN"/>
              </w:rPr>
            </w:pPr>
            <w:r>
              <w:rPr>
                <w:rFonts w:hint="eastAsia"/>
                <w:color w:val="auto"/>
                <w:szCs w:val="21"/>
                <w:lang w:val="en-US" w:eastAsia="zh-CN"/>
              </w:rPr>
              <w:t>55.1</w:t>
            </w:r>
          </w:p>
        </w:tc>
        <w:tc>
          <w:tcPr>
            <w:tcW w:w="894" w:type="pct"/>
            <w:shd w:val="clear" w:color="auto" w:fill="auto"/>
            <w:vAlign w:val="center"/>
          </w:tcPr>
          <w:p w14:paraId="690B93BF">
            <w:pPr>
              <w:adjustRightInd w:val="0"/>
              <w:snapToGrid w:val="0"/>
              <w:spacing w:line="320" w:lineRule="exact"/>
              <w:jc w:val="center"/>
              <w:rPr>
                <w:rFonts w:hint="default"/>
                <w:color w:val="auto"/>
                <w:szCs w:val="21"/>
                <w:lang w:val="en-US" w:eastAsia="zh-CN"/>
              </w:rPr>
            </w:pPr>
            <w:r>
              <w:rPr>
                <w:rFonts w:hint="eastAsia"/>
                <w:color w:val="auto"/>
                <w:szCs w:val="21"/>
                <w:lang w:val="en-US" w:eastAsia="zh-CN"/>
              </w:rPr>
              <w:t>54.28</w:t>
            </w:r>
          </w:p>
        </w:tc>
        <w:tc>
          <w:tcPr>
            <w:tcW w:w="800" w:type="pct"/>
            <w:shd w:val="clear" w:color="auto" w:fill="auto"/>
            <w:vAlign w:val="center"/>
          </w:tcPr>
          <w:p w14:paraId="7C2FF547">
            <w:pPr>
              <w:adjustRightInd w:val="0"/>
              <w:snapToGrid w:val="0"/>
              <w:spacing w:line="320" w:lineRule="exact"/>
              <w:jc w:val="center"/>
              <w:rPr>
                <w:rFonts w:hint="default"/>
                <w:color w:val="auto"/>
                <w:szCs w:val="21"/>
                <w:lang w:val="en-US" w:eastAsia="zh-CN"/>
              </w:rPr>
            </w:pPr>
            <w:r>
              <w:rPr>
                <w:rFonts w:hint="eastAsia"/>
                <w:color w:val="auto"/>
                <w:szCs w:val="21"/>
                <w:lang w:val="en-US" w:eastAsia="zh-CN"/>
              </w:rPr>
              <w:t>0.82</w:t>
            </w:r>
          </w:p>
        </w:tc>
      </w:tr>
      <w:tr w14:paraId="208EB63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569" w:type="pct"/>
            <w:vMerge w:val="continue"/>
            <w:shd w:val="clear" w:color="auto" w:fill="auto"/>
            <w:vAlign w:val="center"/>
          </w:tcPr>
          <w:p w14:paraId="2886A7C4">
            <w:pPr>
              <w:adjustRightInd w:val="0"/>
              <w:snapToGrid w:val="0"/>
              <w:spacing w:line="320" w:lineRule="exact"/>
              <w:jc w:val="center"/>
              <w:rPr>
                <w:rFonts w:eastAsia="仿宋_GB2312"/>
                <w:b/>
                <w:bCs/>
                <w:color w:val="FF0000"/>
                <w:szCs w:val="21"/>
              </w:rPr>
            </w:pPr>
          </w:p>
        </w:tc>
        <w:tc>
          <w:tcPr>
            <w:tcW w:w="591" w:type="pct"/>
            <w:vMerge w:val="continue"/>
            <w:shd w:val="clear" w:color="auto" w:fill="auto"/>
            <w:vAlign w:val="center"/>
          </w:tcPr>
          <w:p w14:paraId="50DED595">
            <w:pPr>
              <w:adjustRightInd w:val="0"/>
              <w:snapToGrid w:val="0"/>
              <w:spacing w:line="320" w:lineRule="exact"/>
              <w:jc w:val="center"/>
              <w:rPr>
                <w:rFonts w:eastAsia="仿宋_GB2312"/>
                <w:bCs/>
                <w:color w:val="FF0000"/>
                <w:szCs w:val="21"/>
              </w:rPr>
            </w:pPr>
          </w:p>
        </w:tc>
        <w:tc>
          <w:tcPr>
            <w:tcW w:w="1250" w:type="pct"/>
            <w:shd w:val="clear" w:color="auto" w:fill="auto"/>
            <w:vAlign w:val="center"/>
          </w:tcPr>
          <w:p w14:paraId="0FB484A2">
            <w:pPr>
              <w:keepNext w:val="0"/>
              <w:keepLines w:val="0"/>
              <w:widowControl/>
              <w:suppressLineNumbers w:val="0"/>
              <w:jc w:val="center"/>
              <w:textAlignment w:val="bottom"/>
              <w:rPr>
                <w:rFonts w:eastAsia="仿宋_GB2312"/>
                <w:bCs/>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DMF</w:t>
            </w:r>
          </w:p>
        </w:tc>
        <w:tc>
          <w:tcPr>
            <w:tcW w:w="894" w:type="pct"/>
            <w:shd w:val="clear" w:color="auto" w:fill="auto"/>
            <w:vAlign w:val="center"/>
          </w:tcPr>
          <w:p w14:paraId="1B50E39D">
            <w:pPr>
              <w:adjustRightInd w:val="0"/>
              <w:snapToGrid w:val="0"/>
              <w:spacing w:line="320" w:lineRule="exact"/>
              <w:jc w:val="center"/>
              <w:rPr>
                <w:rFonts w:hint="default"/>
                <w:color w:val="auto"/>
                <w:szCs w:val="21"/>
                <w:lang w:val="en-US" w:eastAsia="zh-CN"/>
              </w:rPr>
            </w:pPr>
            <w:r>
              <w:rPr>
                <w:rFonts w:hint="eastAsia"/>
                <w:color w:val="auto"/>
                <w:szCs w:val="21"/>
                <w:lang w:val="en-US" w:eastAsia="zh-CN"/>
              </w:rPr>
              <w:t>182.129</w:t>
            </w:r>
          </w:p>
        </w:tc>
        <w:tc>
          <w:tcPr>
            <w:tcW w:w="894" w:type="pct"/>
            <w:shd w:val="clear" w:color="auto" w:fill="auto"/>
            <w:vAlign w:val="center"/>
          </w:tcPr>
          <w:p w14:paraId="0938D0AF">
            <w:pPr>
              <w:adjustRightInd w:val="0"/>
              <w:snapToGrid w:val="0"/>
              <w:spacing w:line="320" w:lineRule="exact"/>
              <w:jc w:val="center"/>
              <w:rPr>
                <w:rFonts w:hint="default"/>
                <w:color w:val="auto"/>
                <w:szCs w:val="21"/>
                <w:lang w:val="en-US" w:eastAsia="zh-CN"/>
              </w:rPr>
            </w:pPr>
            <w:r>
              <w:rPr>
                <w:rFonts w:hint="eastAsia"/>
                <w:color w:val="auto"/>
                <w:szCs w:val="21"/>
                <w:lang w:val="en-US" w:eastAsia="zh-CN"/>
              </w:rPr>
              <w:t>179.489</w:t>
            </w:r>
          </w:p>
        </w:tc>
        <w:tc>
          <w:tcPr>
            <w:tcW w:w="800" w:type="pct"/>
            <w:shd w:val="clear" w:color="auto" w:fill="auto"/>
            <w:vAlign w:val="center"/>
          </w:tcPr>
          <w:p w14:paraId="63AA8A76">
            <w:pPr>
              <w:adjustRightInd w:val="0"/>
              <w:snapToGrid w:val="0"/>
              <w:spacing w:line="320" w:lineRule="exact"/>
              <w:jc w:val="center"/>
              <w:rPr>
                <w:rFonts w:hint="default"/>
                <w:color w:val="auto"/>
                <w:szCs w:val="21"/>
                <w:lang w:val="en-US" w:eastAsia="zh-CN"/>
              </w:rPr>
            </w:pPr>
            <w:r>
              <w:rPr>
                <w:rFonts w:hint="eastAsia"/>
                <w:color w:val="auto"/>
                <w:szCs w:val="21"/>
                <w:lang w:val="en-US" w:eastAsia="zh-CN"/>
              </w:rPr>
              <w:t>2.64</w:t>
            </w:r>
          </w:p>
        </w:tc>
      </w:tr>
      <w:tr w14:paraId="11D8AF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569" w:type="pct"/>
            <w:vMerge w:val="continue"/>
            <w:shd w:val="clear" w:color="auto" w:fill="auto"/>
            <w:vAlign w:val="center"/>
          </w:tcPr>
          <w:p w14:paraId="1DF25F83">
            <w:pPr>
              <w:adjustRightInd w:val="0"/>
              <w:snapToGrid w:val="0"/>
              <w:spacing w:line="320" w:lineRule="exact"/>
              <w:jc w:val="center"/>
              <w:rPr>
                <w:rFonts w:eastAsia="仿宋_GB2312"/>
                <w:b/>
                <w:bCs/>
                <w:color w:val="FF0000"/>
                <w:szCs w:val="21"/>
              </w:rPr>
            </w:pPr>
          </w:p>
        </w:tc>
        <w:tc>
          <w:tcPr>
            <w:tcW w:w="591" w:type="pct"/>
            <w:vMerge w:val="continue"/>
            <w:shd w:val="clear" w:color="auto" w:fill="auto"/>
            <w:vAlign w:val="center"/>
          </w:tcPr>
          <w:p w14:paraId="7646E925">
            <w:pPr>
              <w:adjustRightInd w:val="0"/>
              <w:snapToGrid w:val="0"/>
              <w:spacing w:line="320" w:lineRule="exact"/>
              <w:jc w:val="center"/>
              <w:rPr>
                <w:rFonts w:eastAsia="仿宋_GB2312"/>
                <w:bCs/>
                <w:color w:val="FF0000"/>
                <w:szCs w:val="21"/>
              </w:rPr>
            </w:pPr>
          </w:p>
        </w:tc>
        <w:tc>
          <w:tcPr>
            <w:tcW w:w="1250" w:type="pct"/>
            <w:shd w:val="clear" w:color="auto" w:fill="auto"/>
            <w:vAlign w:val="center"/>
          </w:tcPr>
          <w:p w14:paraId="196B385D">
            <w:pPr>
              <w:keepNext w:val="0"/>
              <w:keepLines w:val="0"/>
              <w:widowControl/>
              <w:suppressLineNumbers w:val="0"/>
              <w:jc w:val="center"/>
              <w:textAlignment w:val="bottom"/>
              <w:rPr>
                <w:rFonts w:eastAsia="仿宋_GB2312"/>
                <w:bCs/>
                <w:color w:val="FF0000"/>
                <w:szCs w:val="21"/>
              </w:rPr>
            </w:pPr>
            <w:r>
              <w:rPr>
                <w:rFonts w:hint="default" w:ascii="仿宋_GB2312" w:hAnsi="宋体" w:eastAsia="仿宋_GB2312" w:cs="仿宋_GB2312"/>
                <w:i w:val="0"/>
                <w:iCs w:val="0"/>
                <w:color w:val="000000"/>
                <w:kern w:val="0"/>
                <w:sz w:val="21"/>
                <w:szCs w:val="21"/>
                <w:u w:val="none"/>
                <w:lang w:val="en-US" w:eastAsia="zh-CN" w:bidi="ar"/>
              </w:rPr>
              <w:t>环己烷</w:t>
            </w:r>
          </w:p>
        </w:tc>
        <w:tc>
          <w:tcPr>
            <w:tcW w:w="894" w:type="pct"/>
            <w:shd w:val="clear" w:color="auto" w:fill="auto"/>
            <w:vAlign w:val="center"/>
          </w:tcPr>
          <w:p w14:paraId="415E0E71">
            <w:pPr>
              <w:adjustRightInd w:val="0"/>
              <w:snapToGrid w:val="0"/>
              <w:spacing w:line="320" w:lineRule="exact"/>
              <w:jc w:val="center"/>
              <w:rPr>
                <w:rFonts w:hint="default"/>
                <w:color w:val="auto"/>
                <w:szCs w:val="21"/>
                <w:lang w:val="en-US" w:eastAsia="zh-CN"/>
              </w:rPr>
            </w:pPr>
            <w:r>
              <w:rPr>
                <w:rFonts w:hint="eastAsia"/>
                <w:color w:val="auto"/>
                <w:szCs w:val="21"/>
                <w:lang w:val="en-US" w:eastAsia="zh-CN"/>
              </w:rPr>
              <w:t>23.775</w:t>
            </w:r>
          </w:p>
        </w:tc>
        <w:tc>
          <w:tcPr>
            <w:tcW w:w="894" w:type="pct"/>
            <w:shd w:val="clear" w:color="auto" w:fill="auto"/>
            <w:vAlign w:val="center"/>
          </w:tcPr>
          <w:p w14:paraId="505CE9E7">
            <w:pPr>
              <w:adjustRightInd w:val="0"/>
              <w:snapToGrid w:val="0"/>
              <w:spacing w:line="320" w:lineRule="exact"/>
              <w:jc w:val="center"/>
              <w:rPr>
                <w:rFonts w:hint="default"/>
                <w:color w:val="auto"/>
                <w:szCs w:val="21"/>
                <w:lang w:val="en-US" w:eastAsia="zh-CN"/>
              </w:rPr>
            </w:pPr>
            <w:r>
              <w:rPr>
                <w:rFonts w:hint="eastAsia"/>
                <w:color w:val="auto"/>
                <w:szCs w:val="21"/>
                <w:lang w:val="en-US" w:eastAsia="zh-CN"/>
              </w:rPr>
              <w:t>23.425</w:t>
            </w:r>
          </w:p>
        </w:tc>
        <w:tc>
          <w:tcPr>
            <w:tcW w:w="800" w:type="pct"/>
            <w:shd w:val="clear" w:color="auto" w:fill="auto"/>
            <w:vAlign w:val="center"/>
          </w:tcPr>
          <w:p w14:paraId="17862F7E">
            <w:pPr>
              <w:adjustRightInd w:val="0"/>
              <w:snapToGrid w:val="0"/>
              <w:spacing w:line="320" w:lineRule="exact"/>
              <w:jc w:val="center"/>
              <w:rPr>
                <w:rFonts w:hint="default"/>
                <w:color w:val="auto"/>
                <w:szCs w:val="21"/>
                <w:lang w:val="en-US" w:eastAsia="zh-CN"/>
              </w:rPr>
            </w:pPr>
            <w:r>
              <w:rPr>
                <w:rFonts w:hint="eastAsia"/>
                <w:color w:val="auto"/>
                <w:szCs w:val="21"/>
                <w:lang w:val="en-US" w:eastAsia="zh-CN"/>
              </w:rPr>
              <w:t>0.35</w:t>
            </w:r>
          </w:p>
        </w:tc>
      </w:tr>
      <w:tr w14:paraId="29D0F3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569" w:type="pct"/>
            <w:vMerge w:val="continue"/>
            <w:shd w:val="clear" w:color="auto" w:fill="auto"/>
            <w:vAlign w:val="center"/>
          </w:tcPr>
          <w:p w14:paraId="40DDC3DC">
            <w:pPr>
              <w:adjustRightInd w:val="0"/>
              <w:snapToGrid w:val="0"/>
              <w:spacing w:line="320" w:lineRule="exact"/>
              <w:jc w:val="center"/>
              <w:rPr>
                <w:rFonts w:eastAsia="仿宋_GB2312"/>
                <w:b/>
                <w:bCs/>
                <w:color w:val="FF0000"/>
                <w:szCs w:val="21"/>
              </w:rPr>
            </w:pPr>
          </w:p>
        </w:tc>
        <w:tc>
          <w:tcPr>
            <w:tcW w:w="591" w:type="pct"/>
            <w:vMerge w:val="continue"/>
            <w:shd w:val="clear" w:color="auto" w:fill="auto"/>
            <w:vAlign w:val="center"/>
          </w:tcPr>
          <w:p w14:paraId="16AFAE15">
            <w:pPr>
              <w:adjustRightInd w:val="0"/>
              <w:snapToGrid w:val="0"/>
              <w:spacing w:line="320" w:lineRule="exact"/>
              <w:jc w:val="center"/>
              <w:rPr>
                <w:rFonts w:eastAsia="仿宋_GB2312"/>
                <w:bCs/>
                <w:color w:val="FF0000"/>
                <w:szCs w:val="21"/>
              </w:rPr>
            </w:pPr>
          </w:p>
        </w:tc>
        <w:tc>
          <w:tcPr>
            <w:tcW w:w="1250" w:type="pct"/>
            <w:shd w:val="clear" w:color="auto" w:fill="auto"/>
            <w:vAlign w:val="center"/>
          </w:tcPr>
          <w:p w14:paraId="6CB62954">
            <w:pPr>
              <w:keepNext w:val="0"/>
              <w:keepLines w:val="0"/>
              <w:widowControl/>
              <w:suppressLineNumbers w:val="0"/>
              <w:jc w:val="center"/>
              <w:textAlignment w:val="bottom"/>
              <w:rPr>
                <w:rFonts w:eastAsia="仿宋_GB2312"/>
                <w:bCs/>
                <w:color w:val="FF0000"/>
                <w:szCs w:val="21"/>
              </w:rPr>
            </w:pPr>
            <w:r>
              <w:rPr>
                <w:rFonts w:hint="default" w:ascii="仿宋_GB2312" w:hAnsi="宋体" w:eastAsia="仿宋_GB2312" w:cs="仿宋_GB2312"/>
                <w:i w:val="0"/>
                <w:iCs w:val="0"/>
                <w:color w:val="000000"/>
                <w:kern w:val="0"/>
                <w:sz w:val="21"/>
                <w:szCs w:val="21"/>
                <w:u w:val="none"/>
                <w:lang w:val="en-US" w:eastAsia="zh-CN" w:bidi="ar"/>
              </w:rPr>
              <w:t>环己酮</w:t>
            </w:r>
          </w:p>
        </w:tc>
        <w:tc>
          <w:tcPr>
            <w:tcW w:w="894" w:type="pct"/>
            <w:shd w:val="clear" w:color="auto" w:fill="auto"/>
            <w:vAlign w:val="center"/>
          </w:tcPr>
          <w:p w14:paraId="235C6338">
            <w:pPr>
              <w:adjustRightInd w:val="0"/>
              <w:snapToGrid w:val="0"/>
              <w:spacing w:line="320" w:lineRule="exact"/>
              <w:jc w:val="center"/>
              <w:rPr>
                <w:rFonts w:hint="default"/>
                <w:color w:val="auto"/>
                <w:szCs w:val="21"/>
                <w:lang w:val="en-US" w:eastAsia="zh-CN"/>
              </w:rPr>
            </w:pPr>
            <w:r>
              <w:rPr>
                <w:rFonts w:hint="eastAsia"/>
                <w:color w:val="auto"/>
                <w:szCs w:val="21"/>
                <w:lang w:val="en-US" w:eastAsia="zh-CN"/>
              </w:rPr>
              <w:t>3.462</w:t>
            </w:r>
          </w:p>
        </w:tc>
        <w:tc>
          <w:tcPr>
            <w:tcW w:w="894" w:type="pct"/>
            <w:shd w:val="clear" w:color="auto" w:fill="auto"/>
            <w:vAlign w:val="center"/>
          </w:tcPr>
          <w:p w14:paraId="2A571DCF">
            <w:pPr>
              <w:adjustRightInd w:val="0"/>
              <w:snapToGrid w:val="0"/>
              <w:spacing w:line="320" w:lineRule="exact"/>
              <w:jc w:val="center"/>
              <w:rPr>
                <w:rFonts w:hint="default"/>
                <w:color w:val="auto"/>
                <w:szCs w:val="21"/>
                <w:lang w:val="en-US" w:eastAsia="zh-CN"/>
              </w:rPr>
            </w:pPr>
            <w:r>
              <w:rPr>
                <w:rFonts w:hint="eastAsia"/>
                <w:color w:val="auto"/>
                <w:szCs w:val="21"/>
                <w:lang w:val="en-US" w:eastAsia="zh-CN"/>
              </w:rPr>
              <w:t>3.412</w:t>
            </w:r>
          </w:p>
        </w:tc>
        <w:tc>
          <w:tcPr>
            <w:tcW w:w="800" w:type="pct"/>
            <w:shd w:val="clear" w:color="auto" w:fill="auto"/>
            <w:vAlign w:val="center"/>
          </w:tcPr>
          <w:p w14:paraId="6B1F4618">
            <w:pPr>
              <w:adjustRightInd w:val="0"/>
              <w:snapToGrid w:val="0"/>
              <w:spacing w:line="320" w:lineRule="exact"/>
              <w:jc w:val="center"/>
              <w:rPr>
                <w:rFonts w:hint="default"/>
                <w:color w:val="auto"/>
                <w:szCs w:val="21"/>
                <w:lang w:val="en-US" w:eastAsia="zh-CN"/>
              </w:rPr>
            </w:pPr>
            <w:r>
              <w:rPr>
                <w:rFonts w:hint="eastAsia"/>
                <w:color w:val="auto"/>
                <w:szCs w:val="21"/>
                <w:lang w:val="en-US" w:eastAsia="zh-CN"/>
              </w:rPr>
              <w:t>0.05</w:t>
            </w:r>
          </w:p>
        </w:tc>
      </w:tr>
      <w:tr w14:paraId="78C46A1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569" w:type="pct"/>
            <w:vMerge w:val="continue"/>
            <w:shd w:val="clear" w:color="auto" w:fill="auto"/>
            <w:vAlign w:val="center"/>
          </w:tcPr>
          <w:p w14:paraId="2C34EF40">
            <w:pPr>
              <w:adjustRightInd w:val="0"/>
              <w:snapToGrid w:val="0"/>
              <w:spacing w:line="320" w:lineRule="exact"/>
              <w:jc w:val="center"/>
              <w:rPr>
                <w:rFonts w:eastAsia="仿宋_GB2312"/>
                <w:b/>
                <w:bCs/>
                <w:color w:val="FF0000"/>
                <w:szCs w:val="21"/>
              </w:rPr>
            </w:pPr>
          </w:p>
        </w:tc>
        <w:tc>
          <w:tcPr>
            <w:tcW w:w="591" w:type="pct"/>
            <w:vMerge w:val="continue"/>
            <w:shd w:val="clear" w:color="auto" w:fill="auto"/>
            <w:vAlign w:val="center"/>
          </w:tcPr>
          <w:p w14:paraId="7E76E989">
            <w:pPr>
              <w:adjustRightInd w:val="0"/>
              <w:snapToGrid w:val="0"/>
              <w:spacing w:line="320" w:lineRule="exact"/>
              <w:jc w:val="center"/>
              <w:rPr>
                <w:rFonts w:eastAsia="仿宋_GB2312"/>
                <w:bCs/>
                <w:color w:val="FF0000"/>
                <w:szCs w:val="21"/>
              </w:rPr>
            </w:pPr>
          </w:p>
        </w:tc>
        <w:tc>
          <w:tcPr>
            <w:tcW w:w="1250" w:type="pct"/>
            <w:shd w:val="clear" w:color="auto" w:fill="auto"/>
            <w:vAlign w:val="center"/>
          </w:tcPr>
          <w:p w14:paraId="49B25D40">
            <w:pPr>
              <w:keepNext w:val="0"/>
              <w:keepLines w:val="0"/>
              <w:widowControl/>
              <w:suppressLineNumbers w:val="0"/>
              <w:jc w:val="center"/>
              <w:textAlignment w:val="bottom"/>
              <w:rPr>
                <w:rFonts w:eastAsia="等线"/>
                <w:color w:val="FF0000"/>
                <w:szCs w:val="21"/>
              </w:rPr>
            </w:pPr>
            <w:r>
              <w:rPr>
                <w:rFonts w:hint="default" w:ascii="仿宋_GB2312" w:hAnsi="宋体" w:eastAsia="仿宋_GB2312" w:cs="仿宋_GB2312"/>
                <w:i w:val="0"/>
                <w:iCs w:val="0"/>
                <w:color w:val="000000"/>
                <w:kern w:val="0"/>
                <w:sz w:val="21"/>
                <w:szCs w:val="21"/>
                <w:u w:val="none"/>
                <w:lang w:val="en-US" w:eastAsia="zh-CN" w:bidi="ar"/>
              </w:rPr>
              <w:t>二氯乙烷</w:t>
            </w:r>
          </w:p>
        </w:tc>
        <w:tc>
          <w:tcPr>
            <w:tcW w:w="894" w:type="pct"/>
            <w:shd w:val="clear" w:color="auto" w:fill="auto"/>
            <w:vAlign w:val="center"/>
          </w:tcPr>
          <w:p w14:paraId="2AAE5CCA">
            <w:pPr>
              <w:adjustRightInd w:val="0"/>
              <w:snapToGrid w:val="0"/>
              <w:spacing w:line="320" w:lineRule="exact"/>
              <w:jc w:val="center"/>
              <w:rPr>
                <w:rFonts w:hint="default"/>
                <w:color w:val="auto"/>
                <w:szCs w:val="21"/>
                <w:lang w:val="en-US" w:eastAsia="zh-CN"/>
              </w:rPr>
            </w:pPr>
            <w:r>
              <w:rPr>
                <w:rFonts w:hint="eastAsia"/>
                <w:color w:val="auto"/>
                <w:szCs w:val="21"/>
                <w:lang w:val="en-US" w:eastAsia="zh-CN"/>
              </w:rPr>
              <w:t>37.339</w:t>
            </w:r>
          </w:p>
        </w:tc>
        <w:tc>
          <w:tcPr>
            <w:tcW w:w="894" w:type="pct"/>
            <w:shd w:val="clear" w:color="auto" w:fill="auto"/>
            <w:vAlign w:val="center"/>
          </w:tcPr>
          <w:p w14:paraId="4A958F2B">
            <w:pPr>
              <w:adjustRightInd w:val="0"/>
              <w:snapToGrid w:val="0"/>
              <w:spacing w:line="320" w:lineRule="exact"/>
              <w:jc w:val="center"/>
              <w:rPr>
                <w:rFonts w:hint="eastAsia"/>
                <w:color w:val="auto"/>
                <w:szCs w:val="21"/>
                <w:lang w:val="en-US" w:eastAsia="zh-CN"/>
              </w:rPr>
            </w:pPr>
            <w:r>
              <w:rPr>
                <w:rFonts w:hint="eastAsia"/>
                <w:color w:val="auto"/>
                <w:szCs w:val="21"/>
                <w:lang w:val="en-US" w:eastAsia="zh-CN"/>
              </w:rPr>
              <w:t>36.799</w:t>
            </w:r>
          </w:p>
        </w:tc>
        <w:tc>
          <w:tcPr>
            <w:tcW w:w="800" w:type="pct"/>
            <w:shd w:val="clear" w:color="auto" w:fill="auto"/>
            <w:vAlign w:val="center"/>
          </w:tcPr>
          <w:p w14:paraId="20031125">
            <w:pPr>
              <w:adjustRightInd w:val="0"/>
              <w:snapToGrid w:val="0"/>
              <w:spacing w:line="320" w:lineRule="exact"/>
              <w:jc w:val="center"/>
              <w:rPr>
                <w:rFonts w:hint="default"/>
                <w:color w:val="auto"/>
                <w:szCs w:val="21"/>
                <w:lang w:val="en-US" w:eastAsia="zh-CN"/>
              </w:rPr>
            </w:pPr>
            <w:r>
              <w:rPr>
                <w:rFonts w:hint="eastAsia"/>
                <w:color w:val="auto"/>
                <w:szCs w:val="21"/>
                <w:lang w:val="en-US" w:eastAsia="zh-CN"/>
              </w:rPr>
              <w:t>0.54</w:t>
            </w:r>
          </w:p>
        </w:tc>
      </w:tr>
      <w:tr w14:paraId="7261BF5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569" w:type="pct"/>
            <w:vMerge w:val="continue"/>
            <w:shd w:val="clear" w:color="auto" w:fill="auto"/>
            <w:vAlign w:val="center"/>
          </w:tcPr>
          <w:p w14:paraId="303F3996">
            <w:pPr>
              <w:adjustRightInd w:val="0"/>
              <w:snapToGrid w:val="0"/>
              <w:spacing w:line="320" w:lineRule="exact"/>
              <w:jc w:val="center"/>
              <w:rPr>
                <w:rFonts w:eastAsia="仿宋_GB2312"/>
                <w:b/>
                <w:bCs/>
                <w:color w:val="FF0000"/>
                <w:szCs w:val="21"/>
              </w:rPr>
            </w:pPr>
          </w:p>
        </w:tc>
        <w:tc>
          <w:tcPr>
            <w:tcW w:w="591" w:type="pct"/>
            <w:vMerge w:val="continue"/>
            <w:shd w:val="clear" w:color="auto" w:fill="auto"/>
            <w:vAlign w:val="center"/>
          </w:tcPr>
          <w:p w14:paraId="61618948">
            <w:pPr>
              <w:adjustRightInd w:val="0"/>
              <w:snapToGrid w:val="0"/>
              <w:spacing w:line="320" w:lineRule="exact"/>
              <w:jc w:val="center"/>
              <w:rPr>
                <w:rFonts w:eastAsia="仿宋_GB2312"/>
                <w:bCs/>
                <w:color w:val="FF0000"/>
                <w:szCs w:val="21"/>
              </w:rPr>
            </w:pPr>
          </w:p>
        </w:tc>
        <w:tc>
          <w:tcPr>
            <w:tcW w:w="1250" w:type="pct"/>
            <w:shd w:val="clear" w:color="auto" w:fill="auto"/>
            <w:vAlign w:val="center"/>
          </w:tcPr>
          <w:p w14:paraId="00B0C413">
            <w:pPr>
              <w:keepNext w:val="0"/>
              <w:keepLines w:val="0"/>
              <w:widowControl/>
              <w:suppressLineNumbers w:val="0"/>
              <w:jc w:val="center"/>
              <w:textAlignment w:val="bottom"/>
              <w:rPr>
                <w:rFonts w:eastAsia="等线"/>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DMSO</w:t>
            </w:r>
          </w:p>
        </w:tc>
        <w:tc>
          <w:tcPr>
            <w:tcW w:w="894" w:type="pct"/>
            <w:shd w:val="clear" w:color="auto" w:fill="auto"/>
            <w:vAlign w:val="center"/>
          </w:tcPr>
          <w:p w14:paraId="0563A974">
            <w:pPr>
              <w:adjustRightInd w:val="0"/>
              <w:snapToGrid w:val="0"/>
              <w:spacing w:line="320" w:lineRule="exact"/>
              <w:jc w:val="center"/>
              <w:rPr>
                <w:rFonts w:hint="default"/>
                <w:color w:val="auto"/>
                <w:szCs w:val="21"/>
                <w:lang w:val="en-US" w:eastAsia="zh-CN"/>
              </w:rPr>
            </w:pPr>
            <w:r>
              <w:rPr>
                <w:rFonts w:hint="eastAsia"/>
                <w:color w:val="auto"/>
                <w:szCs w:val="21"/>
                <w:lang w:val="en-US" w:eastAsia="zh-CN"/>
              </w:rPr>
              <w:t>131.108</w:t>
            </w:r>
          </w:p>
        </w:tc>
        <w:tc>
          <w:tcPr>
            <w:tcW w:w="894" w:type="pct"/>
            <w:shd w:val="clear" w:color="auto" w:fill="auto"/>
            <w:vAlign w:val="center"/>
          </w:tcPr>
          <w:p w14:paraId="2C277834">
            <w:pPr>
              <w:adjustRightInd w:val="0"/>
              <w:snapToGrid w:val="0"/>
              <w:spacing w:line="320" w:lineRule="exact"/>
              <w:jc w:val="center"/>
              <w:rPr>
                <w:rFonts w:hint="eastAsia"/>
                <w:color w:val="auto"/>
                <w:szCs w:val="21"/>
                <w:lang w:val="en-US" w:eastAsia="zh-CN"/>
              </w:rPr>
            </w:pPr>
            <w:r>
              <w:rPr>
                <w:rFonts w:hint="eastAsia"/>
                <w:color w:val="auto"/>
                <w:szCs w:val="21"/>
                <w:lang w:val="en-US" w:eastAsia="zh-CN"/>
              </w:rPr>
              <w:t>128.928</w:t>
            </w:r>
          </w:p>
        </w:tc>
        <w:tc>
          <w:tcPr>
            <w:tcW w:w="800" w:type="pct"/>
            <w:shd w:val="clear" w:color="auto" w:fill="auto"/>
            <w:vAlign w:val="center"/>
          </w:tcPr>
          <w:p w14:paraId="4E2D199A">
            <w:pPr>
              <w:adjustRightInd w:val="0"/>
              <w:snapToGrid w:val="0"/>
              <w:spacing w:line="320" w:lineRule="exact"/>
              <w:jc w:val="center"/>
              <w:rPr>
                <w:rFonts w:hint="default"/>
                <w:color w:val="auto"/>
                <w:szCs w:val="21"/>
                <w:lang w:val="en-US" w:eastAsia="zh-CN"/>
              </w:rPr>
            </w:pPr>
            <w:r>
              <w:rPr>
                <w:rFonts w:hint="eastAsia"/>
                <w:color w:val="auto"/>
                <w:szCs w:val="21"/>
                <w:lang w:val="en-US" w:eastAsia="zh-CN"/>
              </w:rPr>
              <w:t>2.18</w:t>
            </w:r>
          </w:p>
        </w:tc>
      </w:tr>
      <w:tr w14:paraId="7122C18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569" w:type="pct"/>
            <w:vMerge w:val="continue"/>
            <w:shd w:val="clear" w:color="auto" w:fill="auto"/>
            <w:vAlign w:val="center"/>
          </w:tcPr>
          <w:p w14:paraId="103F451E">
            <w:pPr>
              <w:adjustRightInd w:val="0"/>
              <w:snapToGrid w:val="0"/>
              <w:spacing w:line="320" w:lineRule="exact"/>
              <w:jc w:val="center"/>
              <w:rPr>
                <w:rFonts w:eastAsia="仿宋_GB2312"/>
                <w:b/>
                <w:bCs/>
                <w:color w:val="FF0000"/>
                <w:szCs w:val="21"/>
              </w:rPr>
            </w:pPr>
          </w:p>
        </w:tc>
        <w:tc>
          <w:tcPr>
            <w:tcW w:w="591" w:type="pct"/>
            <w:vMerge w:val="continue"/>
            <w:shd w:val="clear" w:color="auto" w:fill="auto"/>
            <w:vAlign w:val="center"/>
          </w:tcPr>
          <w:p w14:paraId="778EA3B6">
            <w:pPr>
              <w:adjustRightInd w:val="0"/>
              <w:snapToGrid w:val="0"/>
              <w:spacing w:line="320" w:lineRule="exact"/>
              <w:jc w:val="center"/>
              <w:rPr>
                <w:rFonts w:eastAsia="仿宋_GB2312"/>
                <w:bCs/>
                <w:color w:val="FF0000"/>
                <w:szCs w:val="21"/>
              </w:rPr>
            </w:pPr>
          </w:p>
        </w:tc>
        <w:tc>
          <w:tcPr>
            <w:tcW w:w="1250" w:type="pct"/>
            <w:shd w:val="clear" w:color="auto" w:fill="auto"/>
            <w:vAlign w:val="center"/>
          </w:tcPr>
          <w:p w14:paraId="2E0C595B">
            <w:pPr>
              <w:keepNext w:val="0"/>
              <w:keepLines w:val="0"/>
              <w:widowControl/>
              <w:suppressLineNumbers w:val="0"/>
              <w:jc w:val="center"/>
              <w:textAlignment w:val="bottom"/>
              <w:rPr>
                <w:rFonts w:eastAsia="等线"/>
                <w:color w:val="FF0000"/>
                <w:szCs w:val="21"/>
              </w:rPr>
            </w:pPr>
            <w:r>
              <w:rPr>
                <w:rFonts w:hint="default" w:ascii="仿宋_GB2312" w:hAnsi="宋体" w:eastAsia="仿宋_GB2312" w:cs="仿宋_GB2312"/>
                <w:i w:val="0"/>
                <w:iCs w:val="0"/>
                <w:color w:val="000000"/>
                <w:kern w:val="0"/>
                <w:sz w:val="21"/>
                <w:szCs w:val="21"/>
                <w:u w:val="none"/>
                <w:lang w:val="en-US" w:eastAsia="zh-CN" w:bidi="ar"/>
              </w:rPr>
              <w:t>丁醇</w:t>
            </w:r>
          </w:p>
        </w:tc>
        <w:tc>
          <w:tcPr>
            <w:tcW w:w="894" w:type="pct"/>
            <w:shd w:val="clear" w:color="auto" w:fill="auto"/>
            <w:vAlign w:val="center"/>
          </w:tcPr>
          <w:p w14:paraId="42FCCE79">
            <w:pPr>
              <w:adjustRightInd w:val="0"/>
              <w:snapToGrid w:val="0"/>
              <w:spacing w:line="320" w:lineRule="exact"/>
              <w:jc w:val="center"/>
              <w:rPr>
                <w:rFonts w:hint="default"/>
                <w:color w:val="auto"/>
                <w:szCs w:val="21"/>
                <w:lang w:val="en-US" w:eastAsia="zh-CN"/>
              </w:rPr>
            </w:pPr>
            <w:r>
              <w:rPr>
                <w:rFonts w:hint="eastAsia"/>
                <w:color w:val="auto"/>
                <w:szCs w:val="21"/>
                <w:lang w:val="en-US" w:eastAsia="zh-CN"/>
              </w:rPr>
              <w:t>3.572</w:t>
            </w:r>
          </w:p>
        </w:tc>
        <w:tc>
          <w:tcPr>
            <w:tcW w:w="894" w:type="pct"/>
            <w:shd w:val="clear" w:color="auto" w:fill="auto"/>
            <w:vAlign w:val="center"/>
          </w:tcPr>
          <w:p w14:paraId="1024E46B">
            <w:pPr>
              <w:adjustRightInd w:val="0"/>
              <w:snapToGrid w:val="0"/>
              <w:spacing w:line="320" w:lineRule="exact"/>
              <w:jc w:val="center"/>
              <w:rPr>
                <w:rFonts w:hint="eastAsia"/>
                <w:color w:val="auto"/>
                <w:szCs w:val="21"/>
                <w:lang w:val="en-US" w:eastAsia="zh-CN"/>
              </w:rPr>
            </w:pPr>
            <w:r>
              <w:rPr>
                <w:rFonts w:hint="eastAsia"/>
                <w:color w:val="auto"/>
                <w:szCs w:val="21"/>
                <w:lang w:val="en-US" w:eastAsia="zh-CN"/>
              </w:rPr>
              <w:t>3.512</w:t>
            </w:r>
          </w:p>
        </w:tc>
        <w:tc>
          <w:tcPr>
            <w:tcW w:w="800" w:type="pct"/>
            <w:shd w:val="clear" w:color="auto" w:fill="auto"/>
            <w:vAlign w:val="center"/>
          </w:tcPr>
          <w:p w14:paraId="24D5A079">
            <w:pPr>
              <w:adjustRightInd w:val="0"/>
              <w:snapToGrid w:val="0"/>
              <w:spacing w:line="320" w:lineRule="exact"/>
              <w:jc w:val="center"/>
              <w:rPr>
                <w:rFonts w:hint="default"/>
                <w:color w:val="auto"/>
                <w:szCs w:val="21"/>
                <w:lang w:val="en-US" w:eastAsia="zh-CN"/>
              </w:rPr>
            </w:pPr>
            <w:r>
              <w:rPr>
                <w:rFonts w:hint="eastAsia"/>
                <w:color w:val="auto"/>
                <w:szCs w:val="21"/>
                <w:lang w:val="en-US" w:eastAsia="zh-CN"/>
              </w:rPr>
              <w:t>0.06</w:t>
            </w:r>
          </w:p>
        </w:tc>
      </w:tr>
      <w:tr w14:paraId="4DF8B4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569" w:type="pct"/>
            <w:vMerge w:val="continue"/>
            <w:shd w:val="clear" w:color="auto" w:fill="auto"/>
            <w:vAlign w:val="center"/>
          </w:tcPr>
          <w:p w14:paraId="08B00FF0">
            <w:pPr>
              <w:adjustRightInd w:val="0"/>
              <w:snapToGrid w:val="0"/>
              <w:spacing w:line="320" w:lineRule="exact"/>
              <w:jc w:val="center"/>
              <w:rPr>
                <w:rFonts w:eastAsia="仿宋_GB2312"/>
                <w:b/>
                <w:bCs/>
                <w:color w:val="FF0000"/>
                <w:szCs w:val="21"/>
              </w:rPr>
            </w:pPr>
          </w:p>
        </w:tc>
        <w:tc>
          <w:tcPr>
            <w:tcW w:w="591" w:type="pct"/>
            <w:vMerge w:val="continue"/>
            <w:shd w:val="clear" w:color="auto" w:fill="auto"/>
            <w:vAlign w:val="center"/>
          </w:tcPr>
          <w:p w14:paraId="0F3A3B8E">
            <w:pPr>
              <w:adjustRightInd w:val="0"/>
              <w:snapToGrid w:val="0"/>
              <w:spacing w:line="320" w:lineRule="exact"/>
              <w:jc w:val="center"/>
              <w:rPr>
                <w:rFonts w:eastAsia="仿宋_GB2312"/>
                <w:bCs/>
                <w:color w:val="FF0000"/>
                <w:szCs w:val="21"/>
              </w:rPr>
            </w:pPr>
          </w:p>
        </w:tc>
        <w:tc>
          <w:tcPr>
            <w:tcW w:w="1250" w:type="pct"/>
            <w:shd w:val="clear" w:color="auto" w:fill="auto"/>
            <w:vAlign w:val="center"/>
          </w:tcPr>
          <w:p w14:paraId="27B0EE64">
            <w:pPr>
              <w:keepNext w:val="0"/>
              <w:keepLines w:val="0"/>
              <w:widowControl/>
              <w:suppressLineNumbers w:val="0"/>
              <w:jc w:val="center"/>
              <w:textAlignment w:val="bottom"/>
              <w:rPr>
                <w:rFonts w:eastAsia="等线"/>
                <w:color w:val="FF0000"/>
                <w:szCs w:val="21"/>
              </w:rPr>
            </w:pPr>
            <w:r>
              <w:rPr>
                <w:rFonts w:hint="default" w:ascii="仿宋_GB2312" w:hAnsi="宋体" w:eastAsia="仿宋_GB2312" w:cs="仿宋_GB2312"/>
                <w:i w:val="0"/>
                <w:iCs w:val="0"/>
                <w:color w:val="000000"/>
                <w:kern w:val="0"/>
                <w:sz w:val="21"/>
                <w:szCs w:val="21"/>
                <w:u w:val="none"/>
                <w:lang w:val="en-US" w:eastAsia="zh-CN" w:bidi="ar"/>
              </w:rPr>
              <w:t>辛醇</w:t>
            </w:r>
          </w:p>
        </w:tc>
        <w:tc>
          <w:tcPr>
            <w:tcW w:w="894" w:type="pct"/>
            <w:shd w:val="clear" w:color="auto" w:fill="auto"/>
            <w:vAlign w:val="center"/>
          </w:tcPr>
          <w:p w14:paraId="6FF0C38C">
            <w:pPr>
              <w:adjustRightInd w:val="0"/>
              <w:snapToGrid w:val="0"/>
              <w:spacing w:line="320" w:lineRule="exact"/>
              <w:jc w:val="center"/>
              <w:rPr>
                <w:rFonts w:hint="default"/>
                <w:color w:val="auto"/>
                <w:szCs w:val="21"/>
                <w:lang w:val="en-US" w:eastAsia="zh-CN"/>
              </w:rPr>
            </w:pPr>
            <w:r>
              <w:rPr>
                <w:rFonts w:hint="eastAsia"/>
                <w:color w:val="auto"/>
                <w:szCs w:val="21"/>
                <w:lang w:val="en-US" w:eastAsia="zh-CN"/>
              </w:rPr>
              <w:t>3.204</w:t>
            </w:r>
          </w:p>
        </w:tc>
        <w:tc>
          <w:tcPr>
            <w:tcW w:w="894" w:type="pct"/>
            <w:shd w:val="clear" w:color="auto" w:fill="auto"/>
            <w:vAlign w:val="center"/>
          </w:tcPr>
          <w:p w14:paraId="39FF0A35">
            <w:pPr>
              <w:adjustRightInd w:val="0"/>
              <w:snapToGrid w:val="0"/>
              <w:spacing w:line="320" w:lineRule="exact"/>
              <w:jc w:val="center"/>
              <w:rPr>
                <w:rFonts w:hint="eastAsia"/>
                <w:color w:val="auto"/>
                <w:szCs w:val="21"/>
                <w:lang w:val="en-US" w:eastAsia="zh-CN"/>
              </w:rPr>
            </w:pPr>
            <w:r>
              <w:rPr>
                <w:rFonts w:hint="eastAsia"/>
                <w:color w:val="auto"/>
                <w:szCs w:val="21"/>
                <w:lang w:val="en-US" w:eastAsia="zh-CN"/>
              </w:rPr>
              <w:t>3.164</w:t>
            </w:r>
          </w:p>
        </w:tc>
        <w:tc>
          <w:tcPr>
            <w:tcW w:w="800" w:type="pct"/>
            <w:shd w:val="clear" w:color="auto" w:fill="auto"/>
            <w:vAlign w:val="center"/>
          </w:tcPr>
          <w:p w14:paraId="0C43AF24">
            <w:pPr>
              <w:adjustRightInd w:val="0"/>
              <w:snapToGrid w:val="0"/>
              <w:spacing w:line="320" w:lineRule="exact"/>
              <w:jc w:val="center"/>
              <w:rPr>
                <w:rFonts w:hint="default"/>
                <w:color w:val="auto"/>
                <w:szCs w:val="21"/>
                <w:lang w:val="en-US" w:eastAsia="zh-CN"/>
              </w:rPr>
            </w:pPr>
            <w:r>
              <w:rPr>
                <w:rFonts w:hint="eastAsia"/>
                <w:color w:val="auto"/>
                <w:szCs w:val="21"/>
                <w:lang w:val="en-US" w:eastAsia="zh-CN"/>
              </w:rPr>
              <w:t>0.04</w:t>
            </w:r>
          </w:p>
        </w:tc>
      </w:tr>
      <w:tr w14:paraId="7644E8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569" w:type="pct"/>
            <w:vMerge w:val="continue"/>
            <w:shd w:val="clear" w:color="auto" w:fill="auto"/>
            <w:vAlign w:val="center"/>
          </w:tcPr>
          <w:p w14:paraId="648FDB30">
            <w:pPr>
              <w:adjustRightInd w:val="0"/>
              <w:snapToGrid w:val="0"/>
              <w:spacing w:line="320" w:lineRule="exact"/>
              <w:jc w:val="center"/>
              <w:rPr>
                <w:rFonts w:eastAsia="仿宋_GB2312"/>
                <w:b/>
                <w:bCs/>
                <w:color w:val="FF0000"/>
                <w:szCs w:val="21"/>
              </w:rPr>
            </w:pPr>
          </w:p>
        </w:tc>
        <w:tc>
          <w:tcPr>
            <w:tcW w:w="591" w:type="pct"/>
            <w:vMerge w:val="continue"/>
            <w:shd w:val="clear" w:color="auto" w:fill="auto"/>
            <w:vAlign w:val="center"/>
          </w:tcPr>
          <w:p w14:paraId="774B3E25">
            <w:pPr>
              <w:adjustRightInd w:val="0"/>
              <w:snapToGrid w:val="0"/>
              <w:spacing w:line="320" w:lineRule="exact"/>
              <w:jc w:val="center"/>
              <w:rPr>
                <w:rFonts w:eastAsia="仿宋_GB2312"/>
                <w:bCs/>
                <w:color w:val="FF0000"/>
                <w:szCs w:val="21"/>
              </w:rPr>
            </w:pPr>
          </w:p>
        </w:tc>
        <w:tc>
          <w:tcPr>
            <w:tcW w:w="1250" w:type="pct"/>
            <w:shd w:val="clear" w:color="auto" w:fill="auto"/>
            <w:vAlign w:val="center"/>
          </w:tcPr>
          <w:p w14:paraId="77566CFC">
            <w:pPr>
              <w:keepNext w:val="0"/>
              <w:keepLines w:val="0"/>
              <w:widowControl/>
              <w:suppressLineNumbers w:val="0"/>
              <w:jc w:val="center"/>
              <w:textAlignment w:val="bottom"/>
              <w:rPr>
                <w:rFonts w:eastAsia="等线"/>
                <w:color w:val="FF0000"/>
                <w:szCs w:val="21"/>
              </w:rPr>
            </w:pPr>
            <w:r>
              <w:rPr>
                <w:rFonts w:hint="default" w:ascii="仿宋_GB2312" w:hAnsi="宋体" w:eastAsia="仿宋_GB2312" w:cs="仿宋_GB2312"/>
                <w:i w:val="0"/>
                <w:iCs w:val="0"/>
                <w:color w:val="000000"/>
                <w:kern w:val="0"/>
                <w:sz w:val="21"/>
                <w:szCs w:val="21"/>
                <w:u w:val="none"/>
                <w:lang w:val="en-US" w:eastAsia="zh-CN" w:bidi="ar"/>
              </w:rPr>
              <w:t>碳九</w:t>
            </w:r>
          </w:p>
        </w:tc>
        <w:tc>
          <w:tcPr>
            <w:tcW w:w="894" w:type="pct"/>
            <w:shd w:val="clear" w:color="auto" w:fill="auto"/>
            <w:vAlign w:val="center"/>
          </w:tcPr>
          <w:p w14:paraId="045EF1A1">
            <w:pPr>
              <w:adjustRightInd w:val="0"/>
              <w:snapToGrid w:val="0"/>
              <w:spacing w:line="320" w:lineRule="exact"/>
              <w:jc w:val="center"/>
              <w:rPr>
                <w:rFonts w:hint="default"/>
                <w:color w:val="auto"/>
                <w:szCs w:val="21"/>
                <w:lang w:val="en-US" w:eastAsia="zh-CN"/>
              </w:rPr>
            </w:pPr>
            <w:r>
              <w:rPr>
                <w:rFonts w:hint="eastAsia"/>
                <w:color w:val="auto"/>
                <w:szCs w:val="21"/>
                <w:lang w:val="en-US" w:eastAsia="zh-CN"/>
              </w:rPr>
              <w:t>4.019</w:t>
            </w:r>
          </w:p>
        </w:tc>
        <w:tc>
          <w:tcPr>
            <w:tcW w:w="894" w:type="pct"/>
            <w:shd w:val="clear" w:color="auto" w:fill="auto"/>
            <w:vAlign w:val="center"/>
          </w:tcPr>
          <w:p w14:paraId="64B544D7">
            <w:pPr>
              <w:adjustRightInd w:val="0"/>
              <w:snapToGrid w:val="0"/>
              <w:spacing w:line="320" w:lineRule="exact"/>
              <w:jc w:val="center"/>
              <w:rPr>
                <w:rFonts w:hint="eastAsia"/>
                <w:color w:val="auto"/>
                <w:szCs w:val="21"/>
                <w:lang w:val="en-US" w:eastAsia="zh-CN"/>
              </w:rPr>
            </w:pPr>
            <w:r>
              <w:rPr>
                <w:rFonts w:hint="eastAsia"/>
                <w:color w:val="auto"/>
                <w:szCs w:val="21"/>
                <w:lang w:val="en-US" w:eastAsia="zh-CN"/>
              </w:rPr>
              <w:t>3.959</w:t>
            </w:r>
          </w:p>
        </w:tc>
        <w:tc>
          <w:tcPr>
            <w:tcW w:w="800" w:type="pct"/>
            <w:shd w:val="clear" w:color="auto" w:fill="auto"/>
            <w:vAlign w:val="center"/>
          </w:tcPr>
          <w:p w14:paraId="0E91AFDD">
            <w:pPr>
              <w:adjustRightInd w:val="0"/>
              <w:snapToGrid w:val="0"/>
              <w:spacing w:line="320" w:lineRule="exact"/>
              <w:jc w:val="center"/>
              <w:rPr>
                <w:rFonts w:hint="default"/>
                <w:color w:val="auto"/>
                <w:szCs w:val="21"/>
                <w:lang w:val="en-US" w:eastAsia="zh-CN"/>
              </w:rPr>
            </w:pPr>
            <w:r>
              <w:rPr>
                <w:rFonts w:hint="eastAsia"/>
                <w:color w:val="auto"/>
                <w:szCs w:val="21"/>
                <w:lang w:val="en-US" w:eastAsia="zh-CN"/>
              </w:rPr>
              <w:t>0.06</w:t>
            </w:r>
          </w:p>
        </w:tc>
      </w:tr>
      <w:tr w14:paraId="33A11B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569" w:type="pct"/>
            <w:vMerge w:val="continue"/>
            <w:shd w:val="clear" w:color="auto" w:fill="auto"/>
            <w:vAlign w:val="center"/>
          </w:tcPr>
          <w:p w14:paraId="78D62930">
            <w:pPr>
              <w:adjustRightInd w:val="0"/>
              <w:snapToGrid w:val="0"/>
              <w:spacing w:line="320" w:lineRule="exact"/>
              <w:jc w:val="center"/>
              <w:rPr>
                <w:rFonts w:eastAsia="仿宋_GB2312"/>
                <w:b/>
                <w:bCs/>
                <w:color w:val="FF0000"/>
                <w:szCs w:val="21"/>
              </w:rPr>
            </w:pPr>
          </w:p>
        </w:tc>
        <w:tc>
          <w:tcPr>
            <w:tcW w:w="591" w:type="pct"/>
            <w:vMerge w:val="continue"/>
            <w:shd w:val="clear" w:color="auto" w:fill="auto"/>
            <w:vAlign w:val="center"/>
          </w:tcPr>
          <w:p w14:paraId="3720CA17">
            <w:pPr>
              <w:adjustRightInd w:val="0"/>
              <w:snapToGrid w:val="0"/>
              <w:spacing w:line="320" w:lineRule="exact"/>
              <w:jc w:val="center"/>
              <w:rPr>
                <w:rFonts w:eastAsia="仿宋_GB2312"/>
                <w:bCs/>
                <w:color w:val="FF0000"/>
                <w:szCs w:val="21"/>
              </w:rPr>
            </w:pPr>
          </w:p>
        </w:tc>
        <w:tc>
          <w:tcPr>
            <w:tcW w:w="1250" w:type="pct"/>
            <w:shd w:val="clear" w:color="auto" w:fill="auto"/>
            <w:vAlign w:val="center"/>
          </w:tcPr>
          <w:p w14:paraId="6EB3ABC6">
            <w:pPr>
              <w:keepNext w:val="0"/>
              <w:keepLines w:val="0"/>
              <w:widowControl/>
              <w:suppressLineNumbers w:val="0"/>
              <w:jc w:val="center"/>
              <w:textAlignment w:val="bottom"/>
              <w:rPr>
                <w:rFonts w:eastAsia="等线"/>
                <w:color w:val="FF0000"/>
                <w:szCs w:val="21"/>
              </w:rPr>
            </w:pPr>
            <w:r>
              <w:rPr>
                <w:rFonts w:hint="default" w:ascii="仿宋_GB2312" w:hAnsi="宋体" w:eastAsia="仿宋_GB2312" w:cs="仿宋_GB2312"/>
                <w:i w:val="0"/>
                <w:iCs w:val="0"/>
                <w:color w:val="000000"/>
                <w:kern w:val="0"/>
                <w:sz w:val="21"/>
                <w:szCs w:val="21"/>
                <w:u w:val="none"/>
                <w:lang w:val="en-US" w:eastAsia="zh-CN" w:bidi="ar"/>
              </w:rPr>
              <w:t>苯乙烯</w:t>
            </w:r>
          </w:p>
        </w:tc>
        <w:tc>
          <w:tcPr>
            <w:tcW w:w="894" w:type="pct"/>
            <w:shd w:val="clear" w:color="auto" w:fill="auto"/>
            <w:vAlign w:val="center"/>
          </w:tcPr>
          <w:p w14:paraId="435803D4">
            <w:pPr>
              <w:adjustRightInd w:val="0"/>
              <w:snapToGrid w:val="0"/>
              <w:spacing w:line="320" w:lineRule="exact"/>
              <w:jc w:val="center"/>
              <w:rPr>
                <w:rFonts w:hint="default"/>
                <w:color w:val="auto"/>
                <w:szCs w:val="21"/>
                <w:lang w:val="en-US" w:eastAsia="zh-CN"/>
              </w:rPr>
            </w:pPr>
            <w:r>
              <w:rPr>
                <w:rFonts w:hint="eastAsia"/>
                <w:color w:val="auto"/>
                <w:szCs w:val="21"/>
                <w:lang w:val="en-US" w:eastAsia="zh-CN"/>
              </w:rPr>
              <w:t>1.1495</w:t>
            </w:r>
          </w:p>
        </w:tc>
        <w:tc>
          <w:tcPr>
            <w:tcW w:w="894" w:type="pct"/>
            <w:shd w:val="clear" w:color="auto" w:fill="auto"/>
            <w:vAlign w:val="center"/>
          </w:tcPr>
          <w:p w14:paraId="55375779">
            <w:pPr>
              <w:adjustRightInd w:val="0"/>
              <w:snapToGrid w:val="0"/>
              <w:spacing w:line="320" w:lineRule="exact"/>
              <w:jc w:val="center"/>
              <w:rPr>
                <w:rFonts w:hint="eastAsia"/>
                <w:color w:val="auto"/>
                <w:szCs w:val="21"/>
                <w:lang w:val="en-US" w:eastAsia="zh-CN"/>
              </w:rPr>
            </w:pPr>
            <w:r>
              <w:rPr>
                <w:rFonts w:hint="eastAsia"/>
                <w:color w:val="auto"/>
                <w:szCs w:val="21"/>
                <w:lang w:val="en-US" w:eastAsia="zh-CN"/>
              </w:rPr>
              <w:t>1.1295</w:t>
            </w:r>
          </w:p>
        </w:tc>
        <w:tc>
          <w:tcPr>
            <w:tcW w:w="800" w:type="pct"/>
            <w:shd w:val="clear" w:color="auto" w:fill="auto"/>
            <w:vAlign w:val="center"/>
          </w:tcPr>
          <w:p w14:paraId="249799C3">
            <w:pPr>
              <w:adjustRightInd w:val="0"/>
              <w:snapToGrid w:val="0"/>
              <w:spacing w:line="320" w:lineRule="exact"/>
              <w:jc w:val="center"/>
              <w:rPr>
                <w:rFonts w:hint="default"/>
                <w:color w:val="auto"/>
                <w:szCs w:val="21"/>
                <w:lang w:val="en-US" w:eastAsia="zh-CN"/>
              </w:rPr>
            </w:pPr>
            <w:r>
              <w:rPr>
                <w:rFonts w:hint="eastAsia"/>
                <w:color w:val="auto"/>
                <w:szCs w:val="21"/>
                <w:lang w:val="en-US" w:eastAsia="zh-CN"/>
              </w:rPr>
              <w:t>0.02</w:t>
            </w:r>
          </w:p>
        </w:tc>
      </w:tr>
      <w:tr w14:paraId="232EE1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569" w:type="pct"/>
            <w:vMerge w:val="continue"/>
            <w:shd w:val="clear" w:color="auto" w:fill="auto"/>
            <w:vAlign w:val="center"/>
          </w:tcPr>
          <w:p w14:paraId="58C5C431">
            <w:pPr>
              <w:adjustRightInd w:val="0"/>
              <w:snapToGrid w:val="0"/>
              <w:spacing w:line="320" w:lineRule="exact"/>
              <w:jc w:val="center"/>
              <w:rPr>
                <w:rFonts w:eastAsia="仿宋_GB2312"/>
                <w:b/>
                <w:bCs/>
                <w:color w:val="FF0000"/>
                <w:szCs w:val="21"/>
              </w:rPr>
            </w:pPr>
          </w:p>
        </w:tc>
        <w:tc>
          <w:tcPr>
            <w:tcW w:w="591" w:type="pct"/>
            <w:vMerge w:val="continue"/>
            <w:shd w:val="clear" w:color="auto" w:fill="auto"/>
            <w:vAlign w:val="center"/>
          </w:tcPr>
          <w:p w14:paraId="6C52311D">
            <w:pPr>
              <w:adjustRightInd w:val="0"/>
              <w:snapToGrid w:val="0"/>
              <w:spacing w:line="320" w:lineRule="exact"/>
              <w:jc w:val="center"/>
              <w:rPr>
                <w:rFonts w:eastAsia="仿宋_GB2312"/>
                <w:bCs/>
                <w:color w:val="FF0000"/>
                <w:szCs w:val="21"/>
              </w:rPr>
            </w:pPr>
          </w:p>
        </w:tc>
        <w:tc>
          <w:tcPr>
            <w:tcW w:w="1250" w:type="pct"/>
            <w:shd w:val="clear" w:color="auto" w:fill="auto"/>
            <w:vAlign w:val="center"/>
          </w:tcPr>
          <w:p w14:paraId="7EEBC42E">
            <w:pPr>
              <w:keepNext w:val="0"/>
              <w:keepLines w:val="0"/>
              <w:widowControl/>
              <w:suppressLineNumbers w:val="0"/>
              <w:jc w:val="center"/>
              <w:textAlignment w:val="bottom"/>
              <w:rPr>
                <w:rFonts w:eastAsia="等线"/>
                <w:color w:val="FF0000"/>
                <w:szCs w:val="21"/>
              </w:rPr>
            </w:pPr>
            <w:r>
              <w:rPr>
                <w:rFonts w:hint="default" w:ascii="仿宋_GB2312" w:hAnsi="宋体" w:eastAsia="仿宋_GB2312" w:cs="仿宋_GB2312"/>
                <w:i w:val="0"/>
                <w:iCs w:val="0"/>
                <w:color w:val="000000"/>
                <w:kern w:val="0"/>
                <w:sz w:val="21"/>
                <w:szCs w:val="21"/>
                <w:u w:val="none"/>
                <w:lang w:val="en-US" w:eastAsia="zh-CN" w:bidi="ar"/>
              </w:rPr>
              <w:t>二乙二醇</w:t>
            </w:r>
          </w:p>
        </w:tc>
        <w:tc>
          <w:tcPr>
            <w:tcW w:w="894" w:type="pct"/>
            <w:shd w:val="clear" w:color="auto" w:fill="auto"/>
            <w:vAlign w:val="center"/>
          </w:tcPr>
          <w:p w14:paraId="058C39A7">
            <w:pPr>
              <w:adjustRightInd w:val="0"/>
              <w:snapToGrid w:val="0"/>
              <w:spacing w:line="320" w:lineRule="exact"/>
              <w:jc w:val="center"/>
              <w:rPr>
                <w:rFonts w:hint="default"/>
                <w:color w:val="auto"/>
                <w:szCs w:val="21"/>
                <w:lang w:val="en-US" w:eastAsia="zh-CN"/>
              </w:rPr>
            </w:pPr>
            <w:r>
              <w:rPr>
                <w:rFonts w:hint="eastAsia"/>
                <w:color w:val="auto"/>
                <w:szCs w:val="21"/>
                <w:lang w:val="en-US" w:eastAsia="zh-CN"/>
              </w:rPr>
              <w:t>3.7637</w:t>
            </w:r>
          </w:p>
        </w:tc>
        <w:tc>
          <w:tcPr>
            <w:tcW w:w="894" w:type="pct"/>
            <w:shd w:val="clear" w:color="auto" w:fill="auto"/>
            <w:vAlign w:val="center"/>
          </w:tcPr>
          <w:p w14:paraId="60012FCB">
            <w:pPr>
              <w:adjustRightInd w:val="0"/>
              <w:snapToGrid w:val="0"/>
              <w:spacing w:line="320" w:lineRule="exact"/>
              <w:jc w:val="center"/>
              <w:rPr>
                <w:rFonts w:hint="eastAsia"/>
                <w:color w:val="auto"/>
                <w:szCs w:val="21"/>
                <w:lang w:val="en-US" w:eastAsia="zh-CN"/>
              </w:rPr>
            </w:pPr>
            <w:r>
              <w:rPr>
                <w:rFonts w:hint="eastAsia"/>
                <w:color w:val="auto"/>
                <w:szCs w:val="21"/>
                <w:lang w:val="en-US" w:eastAsia="zh-CN"/>
              </w:rPr>
              <w:t>3.7137</w:t>
            </w:r>
          </w:p>
        </w:tc>
        <w:tc>
          <w:tcPr>
            <w:tcW w:w="800" w:type="pct"/>
            <w:shd w:val="clear" w:color="auto" w:fill="auto"/>
            <w:vAlign w:val="center"/>
          </w:tcPr>
          <w:p w14:paraId="5490BDAA">
            <w:pPr>
              <w:adjustRightInd w:val="0"/>
              <w:snapToGrid w:val="0"/>
              <w:spacing w:line="320" w:lineRule="exact"/>
              <w:jc w:val="center"/>
              <w:rPr>
                <w:rFonts w:hint="default"/>
                <w:color w:val="auto"/>
                <w:szCs w:val="21"/>
                <w:lang w:val="en-US" w:eastAsia="zh-CN"/>
              </w:rPr>
            </w:pPr>
            <w:r>
              <w:rPr>
                <w:rFonts w:hint="eastAsia"/>
                <w:color w:val="auto"/>
                <w:szCs w:val="21"/>
                <w:lang w:val="en-US" w:eastAsia="zh-CN"/>
              </w:rPr>
              <w:t>0.05</w:t>
            </w:r>
          </w:p>
        </w:tc>
      </w:tr>
      <w:tr w14:paraId="395ED4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569" w:type="pct"/>
            <w:vMerge w:val="continue"/>
            <w:shd w:val="clear" w:color="auto" w:fill="auto"/>
            <w:vAlign w:val="center"/>
          </w:tcPr>
          <w:p w14:paraId="7D94BDA5">
            <w:pPr>
              <w:adjustRightInd w:val="0"/>
              <w:snapToGrid w:val="0"/>
              <w:spacing w:line="320" w:lineRule="exact"/>
              <w:jc w:val="center"/>
              <w:rPr>
                <w:rFonts w:eastAsia="仿宋_GB2312"/>
                <w:b/>
                <w:bCs/>
                <w:color w:val="FF0000"/>
                <w:szCs w:val="21"/>
              </w:rPr>
            </w:pPr>
          </w:p>
        </w:tc>
        <w:tc>
          <w:tcPr>
            <w:tcW w:w="591" w:type="pct"/>
            <w:vMerge w:val="continue"/>
            <w:shd w:val="clear" w:color="auto" w:fill="auto"/>
            <w:vAlign w:val="center"/>
          </w:tcPr>
          <w:p w14:paraId="71492915">
            <w:pPr>
              <w:adjustRightInd w:val="0"/>
              <w:snapToGrid w:val="0"/>
              <w:spacing w:line="320" w:lineRule="exact"/>
              <w:jc w:val="center"/>
              <w:rPr>
                <w:rFonts w:eastAsia="仿宋_GB2312"/>
                <w:bCs/>
                <w:color w:val="FF0000"/>
                <w:szCs w:val="21"/>
              </w:rPr>
            </w:pPr>
          </w:p>
        </w:tc>
        <w:tc>
          <w:tcPr>
            <w:tcW w:w="1250" w:type="pct"/>
            <w:shd w:val="clear" w:color="auto" w:fill="auto"/>
            <w:vAlign w:val="center"/>
          </w:tcPr>
          <w:p w14:paraId="4DFD7869">
            <w:pPr>
              <w:keepNext w:val="0"/>
              <w:keepLines w:val="0"/>
              <w:widowControl/>
              <w:suppressLineNumbers w:val="0"/>
              <w:jc w:val="center"/>
              <w:textAlignment w:val="bottom"/>
              <w:rPr>
                <w:rFonts w:eastAsia="等线"/>
                <w:color w:val="FF0000"/>
                <w:szCs w:val="21"/>
              </w:rPr>
            </w:pPr>
            <w:r>
              <w:rPr>
                <w:rFonts w:hint="default" w:ascii="仿宋_GB2312" w:hAnsi="宋体" w:eastAsia="仿宋_GB2312" w:cs="仿宋_GB2312"/>
                <w:i w:val="0"/>
                <w:iCs w:val="0"/>
                <w:color w:val="000000"/>
                <w:kern w:val="0"/>
                <w:sz w:val="21"/>
                <w:szCs w:val="21"/>
                <w:u w:val="none"/>
                <w:lang w:val="en-US" w:eastAsia="zh-CN" w:bidi="ar"/>
              </w:rPr>
              <w:t>四氢呋喃</w:t>
            </w:r>
          </w:p>
        </w:tc>
        <w:tc>
          <w:tcPr>
            <w:tcW w:w="894" w:type="pct"/>
            <w:shd w:val="clear" w:color="auto" w:fill="auto"/>
            <w:vAlign w:val="center"/>
          </w:tcPr>
          <w:p w14:paraId="4F9BF0F6">
            <w:pPr>
              <w:adjustRightInd w:val="0"/>
              <w:snapToGrid w:val="0"/>
              <w:spacing w:line="320" w:lineRule="exact"/>
              <w:jc w:val="center"/>
              <w:rPr>
                <w:rFonts w:hint="default"/>
                <w:color w:val="auto"/>
                <w:szCs w:val="21"/>
                <w:lang w:val="en-US" w:eastAsia="zh-CN"/>
              </w:rPr>
            </w:pPr>
            <w:r>
              <w:rPr>
                <w:rFonts w:hint="eastAsia"/>
                <w:color w:val="auto"/>
                <w:szCs w:val="21"/>
                <w:lang w:val="en-US" w:eastAsia="zh-CN"/>
              </w:rPr>
              <w:t>139.423</w:t>
            </w:r>
          </w:p>
        </w:tc>
        <w:tc>
          <w:tcPr>
            <w:tcW w:w="894" w:type="pct"/>
            <w:shd w:val="clear" w:color="auto" w:fill="auto"/>
            <w:vAlign w:val="center"/>
          </w:tcPr>
          <w:p w14:paraId="1480138A">
            <w:pPr>
              <w:adjustRightInd w:val="0"/>
              <w:snapToGrid w:val="0"/>
              <w:spacing w:line="320" w:lineRule="exact"/>
              <w:jc w:val="center"/>
              <w:rPr>
                <w:rFonts w:hint="eastAsia"/>
                <w:color w:val="auto"/>
                <w:szCs w:val="21"/>
                <w:lang w:val="en-US" w:eastAsia="zh-CN"/>
              </w:rPr>
            </w:pPr>
            <w:r>
              <w:rPr>
                <w:rFonts w:hint="eastAsia"/>
                <w:color w:val="auto"/>
                <w:szCs w:val="21"/>
                <w:lang w:val="en-US" w:eastAsia="zh-CN"/>
              </w:rPr>
              <w:t>137.433</w:t>
            </w:r>
          </w:p>
        </w:tc>
        <w:tc>
          <w:tcPr>
            <w:tcW w:w="800" w:type="pct"/>
            <w:shd w:val="clear" w:color="auto" w:fill="auto"/>
            <w:vAlign w:val="center"/>
          </w:tcPr>
          <w:p w14:paraId="3FE403C0">
            <w:pPr>
              <w:adjustRightInd w:val="0"/>
              <w:snapToGrid w:val="0"/>
              <w:spacing w:line="320" w:lineRule="exact"/>
              <w:jc w:val="center"/>
              <w:rPr>
                <w:rFonts w:hint="default"/>
                <w:color w:val="auto"/>
                <w:szCs w:val="21"/>
                <w:lang w:val="en-US" w:eastAsia="zh-CN"/>
              </w:rPr>
            </w:pPr>
            <w:r>
              <w:rPr>
                <w:rFonts w:hint="eastAsia"/>
                <w:color w:val="auto"/>
                <w:szCs w:val="21"/>
                <w:lang w:val="en-US" w:eastAsia="zh-CN"/>
              </w:rPr>
              <w:t>1.99</w:t>
            </w:r>
          </w:p>
        </w:tc>
      </w:tr>
      <w:tr w14:paraId="1E0027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569" w:type="pct"/>
            <w:vMerge w:val="continue"/>
            <w:shd w:val="clear" w:color="auto" w:fill="auto"/>
            <w:vAlign w:val="center"/>
          </w:tcPr>
          <w:p w14:paraId="79805A3F">
            <w:pPr>
              <w:adjustRightInd w:val="0"/>
              <w:snapToGrid w:val="0"/>
              <w:spacing w:line="320" w:lineRule="exact"/>
              <w:jc w:val="center"/>
              <w:rPr>
                <w:rFonts w:eastAsia="仿宋_GB2312"/>
                <w:b/>
                <w:bCs/>
                <w:color w:val="FF0000"/>
                <w:szCs w:val="21"/>
              </w:rPr>
            </w:pPr>
          </w:p>
        </w:tc>
        <w:tc>
          <w:tcPr>
            <w:tcW w:w="591" w:type="pct"/>
            <w:vMerge w:val="continue"/>
            <w:shd w:val="clear" w:color="auto" w:fill="auto"/>
            <w:vAlign w:val="center"/>
          </w:tcPr>
          <w:p w14:paraId="1C53FAF5">
            <w:pPr>
              <w:adjustRightInd w:val="0"/>
              <w:snapToGrid w:val="0"/>
              <w:spacing w:line="320" w:lineRule="exact"/>
              <w:jc w:val="center"/>
              <w:rPr>
                <w:rFonts w:eastAsia="仿宋_GB2312"/>
                <w:bCs/>
                <w:color w:val="FF0000"/>
                <w:szCs w:val="21"/>
              </w:rPr>
            </w:pPr>
          </w:p>
        </w:tc>
        <w:tc>
          <w:tcPr>
            <w:tcW w:w="1250" w:type="pct"/>
            <w:shd w:val="clear" w:color="auto" w:fill="auto"/>
            <w:vAlign w:val="center"/>
          </w:tcPr>
          <w:p w14:paraId="2EB8E3BD">
            <w:pPr>
              <w:keepNext w:val="0"/>
              <w:keepLines w:val="0"/>
              <w:widowControl/>
              <w:suppressLineNumbers w:val="0"/>
              <w:jc w:val="center"/>
              <w:textAlignment w:val="bottom"/>
              <w:rPr>
                <w:rFonts w:eastAsia="等线"/>
                <w:color w:val="FF0000"/>
                <w:szCs w:val="21"/>
              </w:rPr>
            </w:pPr>
            <w:r>
              <w:rPr>
                <w:rFonts w:hint="default" w:ascii="仿宋_GB2312" w:hAnsi="宋体" w:eastAsia="仿宋_GB2312" w:cs="仿宋_GB2312"/>
                <w:i w:val="0"/>
                <w:iCs w:val="0"/>
                <w:color w:val="000000"/>
                <w:kern w:val="0"/>
                <w:sz w:val="21"/>
                <w:szCs w:val="21"/>
                <w:u w:val="none"/>
                <w:lang w:val="en-US" w:eastAsia="zh-CN" w:bidi="ar"/>
              </w:rPr>
              <w:t>甲醇</w:t>
            </w:r>
          </w:p>
        </w:tc>
        <w:tc>
          <w:tcPr>
            <w:tcW w:w="894" w:type="pct"/>
            <w:shd w:val="clear" w:color="auto" w:fill="auto"/>
            <w:vAlign w:val="center"/>
          </w:tcPr>
          <w:p w14:paraId="7B0F586C">
            <w:pPr>
              <w:adjustRightInd w:val="0"/>
              <w:snapToGrid w:val="0"/>
              <w:spacing w:line="320" w:lineRule="exact"/>
              <w:jc w:val="center"/>
              <w:rPr>
                <w:rFonts w:hint="default"/>
                <w:color w:val="auto"/>
                <w:szCs w:val="21"/>
                <w:lang w:val="en-US" w:eastAsia="zh-CN"/>
              </w:rPr>
            </w:pPr>
            <w:r>
              <w:rPr>
                <w:rFonts w:hint="eastAsia"/>
                <w:color w:val="auto"/>
                <w:szCs w:val="21"/>
                <w:lang w:val="en-US" w:eastAsia="zh-CN"/>
              </w:rPr>
              <w:t>456.916</w:t>
            </w:r>
          </w:p>
        </w:tc>
        <w:tc>
          <w:tcPr>
            <w:tcW w:w="894" w:type="pct"/>
            <w:shd w:val="clear" w:color="auto" w:fill="auto"/>
            <w:vAlign w:val="center"/>
          </w:tcPr>
          <w:p w14:paraId="3DA2BDD6">
            <w:pPr>
              <w:adjustRightInd w:val="0"/>
              <w:snapToGrid w:val="0"/>
              <w:spacing w:line="320" w:lineRule="exact"/>
              <w:jc w:val="center"/>
              <w:rPr>
                <w:rFonts w:hint="eastAsia"/>
                <w:color w:val="auto"/>
                <w:szCs w:val="21"/>
                <w:lang w:val="en-US" w:eastAsia="zh-CN"/>
              </w:rPr>
            </w:pPr>
            <w:r>
              <w:rPr>
                <w:rFonts w:hint="eastAsia"/>
                <w:color w:val="auto"/>
                <w:szCs w:val="21"/>
                <w:lang w:val="en-US" w:eastAsia="zh-CN"/>
              </w:rPr>
              <w:t>450.286</w:t>
            </w:r>
          </w:p>
        </w:tc>
        <w:tc>
          <w:tcPr>
            <w:tcW w:w="800" w:type="pct"/>
            <w:shd w:val="clear" w:color="auto" w:fill="auto"/>
            <w:vAlign w:val="center"/>
          </w:tcPr>
          <w:p w14:paraId="0C51F554">
            <w:pPr>
              <w:adjustRightInd w:val="0"/>
              <w:snapToGrid w:val="0"/>
              <w:spacing w:line="320" w:lineRule="exact"/>
              <w:jc w:val="center"/>
              <w:rPr>
                <w:rFonts w:hint="default"/>
                <w:color w:val="auto"/>
                <w:szCs w:val="21"/>
                <w:lang w:val="en-US" w:eastAsia="zh-CN"/>
              </w:rPr>
            </w:pPr>
            <w:r>
              <w:rPr>
                <w:rFonts w:hint="eastAsia"/>
                <w:color w:val="auto"/>
                <w:szCs w:val="21"/>
                <w:lang w:val="en-US" w:eastAsia="zh-CN"/>
              </w:rPr>
              <w:t>6.63</w:t>
            </w:r>
          </w:p>
        </w:tc>
      </w:tr>
      <w:tr w14:paraId="222EF2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569" w:type="pct"/>
            <w:vMerge w:val="continue"/>
            <w:shd w:val="clear" w:color="auto" w:fill="auto"/>
            <w:vAlign w:val="center"/>
          </w:tcPr>
          <w:p w14:paraId="0D0BF89C">
            <w:pPr>
              <w:adjustRightInd w:val="0"/>
              <w:snapToGrid w:val="0"/>
              <w:spacing w:line="320" w:lineRule="exact"/>
              <w:jc w:val="center"/>
              <w:rPr>
                <w:rFonts w:eastAsia="仿宋_GB2312"/>
                <w:b/>
                <w:bCs/>
                <w:color w:val="FF0000"/>
                <w:szCs w:val="21"/>
              </w:rPr>
            </w:pPr>
          </w:p>
        </w:tc>
        <w:tc>
          <w:tcPr>
            <w:tcW w:w="591" w:type="pct"/>
            <w:vMerge w:val="continue"/>
            <w:shd w:val="clear" w:color="auto" w:fill="auto"/>
            <w:vAlign w:val="center"/>
          </w:tcPr>
          <w:p w14:paraId="65CCEA82">
            <w:pPr>
              <w:adjustRightInd w:val="0"/>
              <w:snapToGrid w:val="0"/>
              <w:spacing w:line="320" w:lineRule="exact"/>
              <w:jc w:val="center"/>
              <w:rPr>
                <w:rFonts w:eastAsia="仿宋_GB2312"/>
                <w:bCs/>
                <w:color w:val="FF0000"/>
                <w:szCs w:val="21"/>
              </w:rPr>
            </w:pPr>
          </w:p>
        </w:tc>
        <w:tc>
          <w:tcPr>
            <w:tcW w:w="1250" w:type="pct"/>
            <w:shd w:val="clear" w:color="auto" w:fill="auto"/>
            <w:vAlign w:val="center"/>
          </w:tcPr>
          <w:p w14:paraId="2F155E24">
            <w:pPr>
              <w:keepNext w:val="0"/>
              <w:keepLines w:val="0"/>
              <w:widowControl/>
              <w:suppressLineNumbers w:val="0"/>
              <w:jc w:val="center"/>
              <w:textAlignment w:val="bottom"/>
              <w:rPr>
                <w:rFonts w:eastAsia="等线"/>
                <w:color w:val="FF0000"/>
                <w:szCs w:val="21"/>
              </w:rPr>
            </w:pPr>
            <w:r>
              <w:rPr>
                <w:rFonts w:hint="default" w:ascii="仿宋_GB2312" w:hAnsi="宋体" w:eastAsia="仿宋_GB2312" w:cs="仿宋_GB2312"/>
                <w:i w:val="0"/>
                <w:iCs w:val="0"/>
                <w:color w:val="000000"/>
                <w:kern w:val="0"/>
                <w:sz w:val="21"/>
                <w:szCs w:val="21"/>
                <w:u w:val="none"/>
                <w:lang w:val="en-US" w:eastAsia="zh-CN" w:bidi="ar"/>
              </w:rPr>
              <w:t>乙腈</w:t>
            </w:r>
          </w:p>
        </w:tc>
        <w:tc>
          <w:tcPr>
            <w:tcW w:w="894" w:type="pct"/>
            <w:shd w:val="clear" w:color="auto" w:fill="auto"/>
            <w:vAlign w:val="center"/>
          </w:tcPr>
          <w:p w14:paraId="22133580">
            <w:pPr>
              <w:adjustRightInd w:val="0"/>
              <w:snapToGrid w:val="0"/>
              <w:spacing w:line="320" w:lineRule="exact"/>
              <w:jc w:val="center"/>
              <w:rPr>
                <w:rFonts w:hint="default"/>
                <w:color w:val="auto"/>
                <w:szCs w:val="21"/>
                <w:lang w:val="en-US" w:eastAsia="zh-CN"/>
              </w:rPr>
            </w:pPr>
            <w:r>
              <w:rPr>
                <w:rFonts w:hint="eastAsia"/>
                <w:color w:val="auto"/>
                <w:szCs w:val="21"/>
                <w:lang w:val="en-US" w:eastAsia="zh-CN"/>
              </w:rPr>
              <w:t>440.743</w:t>
            </w:r>
          </w:p>
        </w:tc>
        <w:tc>
          <w:tcPr>
            <w:tcW w:w="894" w:type="pct"/>
            <w:shd w:val="clear" w:color="auto" w:fill="auto"/>
            <w:vAlign w:val="center"/>
          </w:tcPr>
          <w:p w14:paraId="40EC849B">
            <w:pPr>
              <w:adjustRightInd w:val="0"/>
              <w:snapToGrid w:val="0"/>
              <w:spacing w:line="320" w:lineRule="exact"/>
              <w:jc w:val="center"/>
              <w:rPr>
                <w:rFonts w:hint="eastAsia"/>
                <w:color w:val="auto"/>
                <w:szCs w:val="21"/>
                <w:lang w:val="en-US" w:eastAsia="zh-CN"/>
              </w:rPr>
            </w:pPr>
            <w:r>
              <w:rPr>
                <w:rFonts w:hint="eastAsia"/>
                <w:color w:val="auto"/>
                <w:szCs w:val="21"/>
                <w:lang w:val="en-US" w:eastAsia="zh-CN"/>
              </w:rPr>
              <w:t>434.563</w:t>
            </w:r>
          </w:p>
        </w:tc>
        <w:tc>
          <w:tcPr>
            <w:tcW w:w="800" w:type="pct"/>
            <w:shd w:val="clear" w:color="auto" w:fill="auto"/>
            <w:vAlign w:val="center"/>
          </w:tcPr>
          <w:p w14:paraId="27311882">
            <w:pPr>
              <w:adjustRightInd w:val="0"/>
              <w:snapToGrid w:val="0"/>
              <w:spacing w:line="320" w:lineRule="exact"/>
              <w:jc w:val="center"/>
              <w:rPr>
                <w:rFonts w:hint="default"/>
                <w:color w:val="auto"/>
                <w:szCs w:val="21"/>
                <w:lang w:val="en-US" w:eastAsia="zh-CN"/>
              </w:rPr>
            </w:pPr>
            <w:r>
              <w:rPr>
                <w:rFonts w:hint="eastAsia"/>
                <w:color w:val="auto"/>
                <w:szCs w:val="21"/>
                <w:lang w:val="en-US" w:eastAsia="zh-CN"/>
              </w:rPr>
              <w:t>6.18</w:t>
            </w:r>
          </w:p>
        </w:tc>
      </w:tr>
      <w:tr w14:paraId="6E6F4C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569" w:type="pct"/>
            <w:vMerge w:val="continue"/>
            <w:shd w:val="clear" w:color="auto" w:fill="auto"/>
            <w:vAlign w:val="center"/>
          </w:tcPr>
          <w:p w14:paraId="68F06D0F">
            <w:pPr>
              <w:adjustRightInd w:val="0"/>
              <w:snapToGrid w:val="0"/>
              <w:spacing w:line="320" w:lineRule="exact"/>
              <w:jc w:val="center"/>
              <w:rPr>
                <w:rFonts w:eastAsia="仿宋_GB2312"/>
                <w:b/>
                <w:bCs/>
                <w:color w:val="FF0000"/>
                <w:szCs w:val="21"/>
              </w:rPr>
            </w:pPr>
          </w:p>
        </w:tc>
        <w:tc>
          <w:tcPr>
            <w:tcW w:w="591" w:type="pct"/>
            <w:vMerge w:val="continue"/>
            <w:shd w:val="clear" w:color="auto" w:fill="auto"/>
            <w:vAlign w:val="center"/>
          </w:tcPr>
          <w:p w14:paraId="7631B467">
            <w:pPr>
              <w:adjustRightInd w:val="0"/>
              <w:snapToGrid w:val="0"/>
              <w:spacing w:line="320" w:lineRule="exact"/>
              <w:jc w:val="center"/>
              <w:rPr>
                <w:rFonts w:eastAsia="仿宋_GB2312"/>
                <w:bCs/>
                <w:color w:val="FF0000"/>
                <w:szCs w:val="21"/>
              </w:rPr>
            </w:pPr>
          </w:p>
        </w:tc>
        <w:tc>
          <w:tcPr>
            <w:tcW w:w="1250" w:type="pct"/>
            <w:shd w:val="clear" w:color="auto" w:fill="auto"/>
            <w:vAlign w:val="center"/>
          </w:tcPr>
          <w:p w14:paraId="41BC5537">
            <w:pPr>
              <w:keepNext w:val="0"/>
              <w:keepLines w:val="0"/>
              <w:widowControl/>
              <w:suppressLineNumbers w:val="0"/>
              <w:jc w:val="center"/>
              <w:textAlignment w:val="bottom"/>
              <w:rPr>
                <w:rFonts w:eastAsia="等线"/>
                <w:color w:val="FF0000"/>
                <w:szCs w:val="21"/>
              </w:rPr>
            </w:pPr>
            <w:r>
              <w:rPr>
                <w:rFonts w:hint="default" w:ascii="仿宋_GB2312" w:hAnsi="宋体" w:eastAsia="仿宋_GB2312" w:cs="仿宋_GB2312"/>
                <w:i w:val="0"/>
                <w:iCs w:val="0"/>
                <w:color w:val="000000"/>
                <w:kern w:val="0"/>
                <w:sz w:val="21"/>
                <w:szCs w:val="21"/>
                <w:u w:val="none"/>
                <w:lang w:val="en-US" w:eastAsia="zh-CN" w:bidi="ar"/>
              </w:rPr>
              <w:t>丙二醇单甲醚</w:t>
            </w:r>
          </w:p>
        </w:tc>
        <w:tc>
          <w:tcPr>
            <w:tcW w:w="894" w:type="pct"/>
            <w:shd w:val="clear" w:color="auto" w:fill="auto"/>
            <w:vAlign w:val="center"/>
          </w:tcPr>
          <w:p w14:paraId="3EABBE7F">
            <w:pPr>
              <w:adjustRightInd w:val="0"/>
              <w:snapToGrid w:val="0"/>
              <w:spacing w:line="320" w:lineRule="exact"/>
              <w:jc w:val="center"/>
              <w:rPr>
                <w:rFonts w:hint="default"/>
                <w:color w:val="auto"/>
                <w:szCs w:val="21"/>
                <w:lang w:val="en-US" w:eastAsia="zh-CN"/>
              </w:rPr>
            </w:pPr>
            <w:r>
              <w:rPr>
                <w:rFonts w:hint="eastAsia"/>
                <w:color w:val="auto"/>
                <w:szCs w:val="21"/>
                <w:lang w:val="en-US" w:eastAsia="zh-CN"/>
              </w:rPr>
              <w:t>21.191</w:t>
            </w:r>
          </w:p>
        </w:tc>
        <w:tc>
          <w:tcPr>
            <w:tcW w:w="894" w:type="pct"/>
            <w:shd w:val="clear" w:color="auto" w:fill="auto"/>
            <w:vAlign w:val="center"/>
          </w:tcPr>
          <w:p w14:paraId="497DFFC3">
            <w:pPr>
              <w:adjustRightInd w:val="0"/>
              <w:snapToGrid w:val="0"/>
              <w:spacing w:line="320" w:lineRule="exact"/>
              <w:jc w:val="center"/>
              <w:rPr>
                <w:rFonts w:hint="eastAsia"/>
                <w:color w:val="auto"/>
                <w:szCs w:val="21"/>
                <w:lang w:val="en-US" w:eastAsia="zh-CN"/>
              </w:rPr>
            </w:pPr>
            <w:r>
              <w:rPr>
                <w:rFonts w:hint="eastAsia"/>
                <w:color w:val="auto"/>
                <w:szCs w:val="21"/>
                <w:lang w:val="en-US" w:eastAsia="zh-CN"/>
              </w:rPr>
              <w:t>20.871</w:t>
            </w:r>
          </w:p>
        </w:tc>
        <w:tc>
          <w:tcPr>
            <w:tcW w:w="800" w:type="pct"/>
            <w:shd w:val="clear" w:color="auto" w:fill="auto"/>
            <w:vAlign w:val="center"/>
          </w:tcPr>
          <w:p w14:paraId="42EDECD4">
            <w:pPr>
              <w:adjustRightInd w:val="0"/>
              <w:snapToGrid w:val="0"/>
              <w:spacing w:line="320" w:lineRule="exact"/>
              <w:jc w:val="center"/>
              <w:rPr>
                <w:rFonts w:hint="default"/>
                <w:color w:val="auto"/>
                <w:szCs w:val="21"/>
                <w:lang w:val="en-US" w:eastAsia="zh-CN"/>
              </w:rPr>
            </w:pPr>
            <w:r>
              <w:rPr>
                <w:rFonts w:hint="eastAsia"/>
                <w:color w:val="auto"/>
                <w:szCs w:val="21"/>
                <w:lang w:val="en-US" w:eastAsia="zh-CN"/>
              </w:rPr>
              <w:t>0.32</w:t>
            </w:r>
          </w:p>
        </w:tc>
      </w:tr>
      <w:tr w14:paraId="4BE8446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569" w:type="pct"/>
            <w:vMerge w:val="continue"/>
            <w:shd w:val="clear" w:color="auto" w:fill="auto"/>
            <w:vAlign w:val="center"/>
          </w:tcPr>
          <w:p w14:paraId="1AA42890">
            <w:pPr>
              <w:adjustRightInd w:val="0"/>
              <w:snapToGrid w:val="0"/>
              <w:spacing w:line="320" w:lineRule="exact"/>
              <w:jc w:val="center"/>
              <w:rPr>
                <w:rFonts w:eastAsia="仿宋_GB2312"/>
                <w:b/>
                <w:bCs/>
                <w:color w:val="FF0000"/>
                <w:szCs w:val="21"/>
              </w:rPr>
            </w:pPr>
          </w:p>
        </w:tc>
        <w:tc>
          <w:tcPr>
            <w:tcW w:w="591" w:type="pct"/>
            <w:vMerge w:val="continue"/>
            <w:shd w:val="clear" w:color="auto" w:fill="auto"/>
            <w:vAlign w:val="center"/>
          </w:tcPr>
          <w:p w14:paraId="50B1FF6C">
            <w:pPr>
              <w:adjustRightInd w:val="0"/>
              <w:snapToGrid w:val="0"/>
              <w:spacing w:line="320" w:lineRule="exact"/>
              <w:jc w:val="center"/>
              <w:rPr>
                <w:rFonts w:eastAsia="仿宋_GB2312"/>
                <w:bCs/>
                <w:color w:val="FF0000"/>
                <w:szCs w:val="21"/>
              </w:rPr>
            </w:pPr>
          </w:p>
        </w:tc>
        <w:tc>
          <w:tcPr>
            <w:tcW w:w="1250" w:type="pct"/>
            <w:shd w:val="clear" w:color="auto" w:fill="auto"/>
            <w:vAlign w:val="center"/>
          </w:tcPr>
          <w:p w14:paraId="0DB63276">
            <w:pPr>
              <w:keepNext w:val="0"/>
              <w:keepLines w:val="0"/>
              <w:widowControl/>
              <w:suppressLineNumbers w:val="0"/>
              <w:jc w:val="center"/>
              <w:textAlignment w:val="bottom"/>
              <w:rPr>
                <w:rFonts w:eastAsia="等线"/>
                <w:color w:val="FF0000"/>
                <w:szCs w:val="21"/>
              </w:rPr>
            </w:pPr>
            <w:r>
              <w:rPr>
                <w:rFonts w:hint="default" w:ascii="仿宋_GB2312" w:hAnsi="宋体" w:eastAsia="仿宋_GB2312" w:cs="仿宋_GB2312"/>
                <w:i w:val="0"/>
                <w:iCs w:val="0"/>
                <w:color w:val="000000"/>
                <w:kern w:val="0"/>
                <w:sz w:val="21"/>
                <w:szCs w:val="21"/>
                <w:u w:val="none"/>
                <w:lang w:val="en-US" w:eastAsia="zh-CN" w:bidi="ar"/>
              </w:rPr>
              <w:t>环戊酮</w:t>
            </w:r>
          </w:p>
        </w:tc>
        <w:tc>
          <w:tcPr>
            <w:tcW w:w="894" w:type="pct"/>
            <w:shd w:val="clear" w:color="auto" w:fill="auto"/>
            <w:vAlign w:val="center"/>
          </w:tcPr>
          <w:p w14:paraId="1250A3AE">
            <w:pPr>
              <w:adjustRightInd w:val="0"/>
              <w:snapToGrid w:val="0"/>
              <w:spacing w:line="320" w:lineRule="exact"/>
              <w:jc w:val="center"/>
              <w:rPr>
                <w:rFonts w:hint="default"/>
                <w:color w:val="auto"/>
                <w:szCs w:val="21"/>
                <w:lang w:val="en-US" w:eastAsia="zh-CN"/>
              </w:rPr>
            </w:pPr>
            <w:r>
              <w:rPr>
                <w:rFonts w:hint="eastAsia"/>
                <w:color w:val="auto"/>
                <w:szCs w:val="21"/>
                <w:lang w:val="en-US" w:eastAsia="zh-CN"/>
              </w:rPr>
              <w:t>13.078</w:t>
            </w:r>
          </w:p>
        </w:tc>
        <w:tc>
          <w:tcPr>
            <w:tcW w:w="894" w:type="pct"/>
            <w:shd w:val="clear" w:color="auto" w:fill="auto"/>
            <w:vAlign w:val="center"/>
          </w:tcPr>
          <w:p w14:paraId="519425A7">
            <w:pPr>
              <w:adjustRightInd w:val="0"/>
              <w:snapToGrid w:val="0"/>
              <w:spacing w:line="320" w:lineRule="exact"/>
              <w:jc w:val="center"/>
              <w:rPr>
                <w:rFonts w:hint="eastAsia"/>
                <w:color w:val="auto"/>
                <w:szCs w:val="21"/>
                <w:lang w:val="en-US" w:eastAsia="zh-CN"/>
              </w:rPr>
            </w:pPr>
            <w:r>
              <w:rPr>
                <w:rFonts w:hint="eastAsia"/>
                <w:color w:val="auto"/>
                <w:szCs w:val="21"/>
                <w:lang w:val="en-US" w:eastAsia="zh-CN"/>
              </w:rPr>
              <w:t>12.898</w:t>
            </w:r>
          </w:p>
        </w:tc>
        <w:tc>
          <w:tcPr>
            <w:tcW w:w="800" w:type="pct"/>
            <w:shd w:val="clear" w:color="auto" w:fill="auto"/>
            <w:vAlign w:val="center"/>
          </w:tcPr>
          <w:p w14:paraId="25AC49D1">
            <w:pPr>
              <w:adjustRightInd w:val="0"/>
              <w:snapToGrid w:val="0"/>
              <w:spacing w:line="320" w:lineRule="exact"/>
              <w:jc w:val="center"/>
              <w:rPr>
                <w:rFonts w:hint="default"/>
                <w:color w:val="auto"/>
                <w:szCs w:val="21"/>
                <w:lang w:val="en-US" w:eastAsia="zh-CN"/>
              </w:rPr>
            </w:pPr>
            <w:r>
              <w:rPr>
                <w:rFonts w:hint="eastAsia"/>
                <w:color w:val="auto"/>
                <w:szCs w:val="21"/>
                <w:lang w:val="en-US" w:eastAsia="zh-CN"/>
              </w:rPr>
              <w:t>0.18</w:t>
            </w:r>
          </w:p>
        </w:tc>
      </w:tr>
      <w:tr w14:paraId="144ED1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569" w:type="pct"/>
            <w:vMerge w:val="continue"/>
            <w:shd w:val="clear" w:color="auto" w:fill="auto"/>
            <w:vAlign w:val="center"/>
          </w:tcPr>
          <w:p w14:paraId="1C02ED75">
            <w:pPr>
              <w:adjustRightInd w:val="0"/>
              <w:snapToGrid w:val="0"/>
              <w:spacing w:line="320" w:lineRule="exact"/>
              <w:jc w:val="center"/>
              <w:rPr>
                <w:rFonts w:eastAsia="仿宋_GB2312"/>
                <w:b/>
                <w:bCs/>
                <w:color w:val="FF0000"/>
                <w:szCs w:val="21"/>
              </w:rPr>
            </w:pPr>
          </w:p>
        </w:tc>
        <w:tc>
          <w:tcPr>
            <w:tcW w:w="591" w:type="pct"/>
            <w:vMerge w:val="continue"/>
            <w:shd w:val="clear" w:color="auto" w:fill="auto"/>
            <w:vAlign w:val="center"/>
          </w:tcPr>
          <w:p w14:paraId="7774D0E9">
            <w:pPr>
              <w:adjustRightInd w:val="0"/>
              <w:snapToGrid w:val="0"/>
              <w:spacing w:line="320" w:lineRule="exact"/>
              <w:jc w:val="center"/>
              <w:rPr>
                <w:rFonts w:eastAsia="仿宋_GB2312"/>
                <w:bCs/>
                <w:color w:val="FF0000"/>
                <w:szCs w:val="21"/>
              </w:rPr>
            </w:pPr>
          </w:p>
        </w:tc>
        <w:tc>
          <w:tcPr>
            <w:tcW w:w="1250" w:type="pct"/>
            <w:shd w:val="clear" w:color="auto" w:fill="auto"/>
            <w:vAlign w:val="center"/>
          </w:tcPr>
          <w:p w14:paraId="4EE284AF">
            <w:pPr>
              <w:keepNext w:val="0"/>
              <w:keepLines w:val="0"/>
              <w:widowControl/>
              <w:suppressLineNumbers w:val="0"/>
              <w:jc w:val="center"/>
              <w:textAlignment w:val="bottom"/>
              <w:rPr>
                <w:rFonts w:eastAsia="等线"/>
                <w:color w:val="FF0000"/>
                <w:szCs w:val="21"/>
              </w:rPr>
            </w:pPr>
            <w:r>
              <w:rPr>
                <w:rFonts w:hint="default" w:ascii="仿宋_GB2312" w:hAnsi="宋体" w:eastAsia="仿宋_GB2312" w:cs="仿宋_GB2312"/>
                <w:i w:val="0"/>
                <w:iCs w:val="0"/>
                <w:color w:val="000000"/>
                <w:kern w:val="0"/>
                <w:sz w:val="21"/>
                <w:szCs w:val="21"/>
                <w:u w:val="none"/>
                <w:lang w:val="en-US" w:eastAsia="zh-CN" w:bidi="ar"/>
              </w:rPr>
              <w:t>乙酸甲酯</w:t>
            </w:r>
          </w:p>
        </w:tc>
        <w:tc>
          <w:tcPr>
            <w:tcW w:w="894" w:type="pct"/>
            <w:shd w:val="clear" w:color="auto" w:fill="auto"/>
            <w:vAlign w:val="center"/>
          </w:tcPr>
          <w:p w14:paraId="01BBA8BB">
            <w:pPr>
              <w:adjustRightInd w:val="0"/>
              <w:snapToGrid w:val="0"/>
              <w:spacing w:line="320" w:lineRule="exact"/>
              <w:jc w:val="center"/>
              <w:rPr>
                <w:color w:val="auto"/>
                <w:szCs w:val="21"/>
              </w:rPr>
            </w:pPr>
            <w:r>
              <w:rPr>
                <w:rFonts w:hint="eastAsia"/>
                <w:color w:val="auto"/>
                <w:szCs w:val="21"/>
                <w:lang w:val="en-US" w:eastAsia="zh-CN"/>
              </w:rPr>
              <w:t>16.715</w:t>
            </w:r>
          </w:p>
        </w:tc>
        <w:tc>
          <w:tcPr>
            <w:tcW w:w="894" w:type="pct"/>
            <w:shd w:val="clear" w:color="auto" w:fill="auto"/>
            <w:vAlign w:val="center"/>
          </w:tcPr>
          <w:p w14:paraId="7B2D7858">
            <w:pPr>
              <w:adjustRightInd w:val="0"/>
              <w:snapToGrid w:val="0"/>
              <w:spacing w:line="320" w:lineRule="exact"/>
              <w:jc w:val="center"/>
              <w:rPr>
                <w:rFonts w:hint="eastAsia"/>
                <w:color w:val="auto"/>
                <w:szCs w:val="21"/>
              </w:rPr>
            </w:pPr>
            <w:r>
              <w:rPr>
                <w:rFonts w:hint="eastAsia"/>
                <w:color w:val="auto"/>
                <w:szCs w:val="21"/>
                <w:lang w:val="en-US" w:eastAsia="zh-CN"/>
              </w:rPr>
              <w:t>16.495</w:t>
            </w:r>
          </w:p>
        </w:tc>
        <w:tc>
          <w:tcPr>
            <w:tcW w:w="800" w:type="pct"/>
            <w:shd w:val="clear" w:color="auto" w:fill="auto"/>
            <w:vAlign w:val="center"/>
          </w:tcPr>
          <w:p w14:paraId="49895AC7">
            <w:pPr>
              <w:adjustRightInd w:val="0"/>
              <w:snapToGrid w:val="0"/>
              <w:spacing w:line="320" w:lineRule="exact"/>
              <w:jc w:val="center"/>
              <w:rPr>
                <w:color w:val="auto"/>
                <w:szCs w:val="21"/>
              </w:rPr>
            </w:pPr>
            <w:r>
              <w:rPr>
                <w:rFonts w:hint="eastAsia"/>
                <w:color w:val="auto"/>
                <w:szCs w:val="21"/>
                <w:lang w:val="en-US" w:eastAsia="zh-CN"/>
              </w:rPr>
              <w:t>0.22</w:t>
            </w:r>
          </w:p>
        </w:tc>
      </w:tr>
      <w:tr w14:paraId="0CBFC0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569" w:type="pct"/>
            <w:vMerge w:val="continue"/>
            <w:shd w:val="clear" w:color="auto" w:fill="auto"/>
            <w:vAlign w:val="center"/>
          </w:tcPr>
          <w:p w14:paraId="6B0AB5EF">
            <w:pPr>
              <w:adjustRightInd w:val="0"/>
              <w:snapToGrid w:val="0"/>
              <w:spacing w:line="320" w:lineRule="exact"/>
              <w:jc w:val="center"/>
              <w:rPr>
                <w:rFonts w:eastAsia="仿宋_GB2312"/>
                <w:b/>
                <w:bCs/>
                <w:color w:val="FF0000"/>
                <w:szCs w:val="21"/>
              </w:rPr>
            </w:pPr>
          </w:p>
        </w:tc>
        <w:tc>
          <w:tcPr>
            <w:tcW w:w="591" w:type="pct"/>
            <w:vMerge w:val="continue"/>
            <w:shd w:val="clear" w:color="auto" w:fill="auto"/>
            <w:vAlign w:val="center"/>
          </w:tcPr>
          <w:p w14:paraId="594907D0">
            <w:pPr>
              <w:adjustRightInd w:val="0"/>
              <w:snapToGrid w:val="0"/>
              <w:spacing w:line="320" w:lineRule="exact"/>
              <w:jc w:val="center"/>
              <w:rPr>
                <w:rFonts w:eastAsia="仿宋_GB2312"/>
                <w:bCs/>
                <w:color w:val="FF0000"/>
                <w:szCs w:val="21"/>
              </w:rPr>
            </w:pPr>
          </w:p>
        </w:tc>
        <w:tc>
          <w:tcPr>
            <w:tcW w:w="1250" w:type="pct"/>
            <w:shd w:val="clear" w:color="auto" w:fill="auto"/>
            <w:vAlign w:val="center"/>
          </w:tcPr>
          <w:p w14:paraId="61BD9499">
            <w:pPr>
              <w:keepNext w:val="0"/>
              <w:keepLines w:val="0"/>
              <w:widowControl/>
              <w:suppressLineNumbers w:val="0"/>
              <w:jc w:val="center"/>
              <w:textAlignment w:val="bottom"/>
              <w:rPr>
                <w:rFonts w:eastAsia="仿宋_GB2312"/>
                <w:bCs/>
                <w:color w:val="FF0000"/>
                <w:szCs w:val="21"/>
              </w:rPr>
            </w:pPr>
            <w:r>
              <w:rPr>
                <w:rFonts w:hint="default" w:ascii="仿宋_GB2312" w:hAnsi="宋体" w:eastAsia="仿宋_GB2312" w:cs="仿宋_GB2312"/>
                <w:i w:val="0"/>
                <w:iCs w:val="0"/>
                <w:color w:val="000000"/>
                <w:kern w:val="0"/>
                <w:sz w:val="21"/>
                <w:szCs w:val="21"/>
                <w:u w:val="none"/>
                <w:lang w:val="en-US" w:eastAsia="zh-CN" w:bidi="ar"/>
              </w:rPr>
              <w:t>苯酚</w:t>
            </w:r>
          </w:p>
        </w:tc>
        <w:tc>
          <w:tcPr>
            <w:tcW w:w="894" w:type="pct"/>
            <w:shd w:val="clear" w:color="auto" w:fill="auto"/>
            <w:vAlign w:val="center"/>
          </w:tcPr>
          <w:p w14:paraId="40FA89D9">
            <w:pPr>
              <w:adjustRightInd w:val="0"/>
              <w:snapToGrid w:val="0"/>
              <w:spacing w:line="320" w:lineRule="exact"/>
              <w:jc w:val="center"/>
              <w:rPr>
                <w:color w:val="auto"/>
                <w:szCs w:val="21"/>
              </w:rPr>
            </w:pPr>
            <w:r>
              <w:rPr>
                <w:rFonts w:hint="eastAsia"/>
                <w:color w:val="auto"/>
                <w:szCs w:val="21"/>
                <w:lang w:val="en-US" w:eastAsia="zh-CN"/>
              </w:rPr>
              <w:t>5.1043</w:t>
            </w:r>
          </w:p>
        </w:tc>
        <w:tc>
          <w:tcPr>
            <w:tcW w:w="894" w:type="pct"/>
            <w:shd w:val="clear" w:color="auto" w:fill="auto"/>
            <w:vAlign w:val="center"/>
          </w:tcPr>
          <w:p w14:paraId="6687229F">
            <w:pPr>
              <w:adjustRightInd w:val="0"/>
              <w:snapToGrid w:val="0"/>
              <w:spacing w:line="320" w:lineRule="exact"/>
              <w:jc w:val="center"/>
              <w:rPr>
                <w:color w:val="auto"/>
                <w:szCs w:val="21"/>
              </w:rPr>
            </w:pPr>
            <w:r>
              <w:rPr>
                <w:rFonts w:hint="eastAsia"/>
                <w:color w:val="auto"/>
                <w:szCs w:val="21"/>
                <w:lang w:val="en-US" w:eastAsia="zh-CN"/>
              </w:rPr>
              <w:t>4.9943</w:t>
            </w:r>
          </w:p>
        </w:tc>
        <w:tc>
          <w:tcPr>
            <w:tcW w:w="800" w:type="pct"/>
            <w:shd w:val="clear" w:color="auto" w:fill="auto"/>
            <w:vAlign w:val="center"/>
          </w:tcPr>
          <w:p w14:paraId="694810F7">
            <w:pPr>
              <w:adjustRightInd w:val="0"/>
              <w:snapToGrid w:val="0"/>
              <w:spacing w:line="320" w:lineRule="exact"/>
              <w:jc w:val="center"/>
              <w:rPr>
                <w:color w:val="auto"/>
                <w:szCs w:val="21"/>
              </w:rPr>
            </w:pPr>
            <w:r>
              <w:rPr>
                <w:rFonts w:hint="eastAsia"/>
                <w:color w:val="auto"/>
                <w:szCs w:val="21"/>
                <w:lang w:val="en-US" w:eastAsia="zh-CN"/>
              </w:rPr>
              <w:t>0.11</w:t>
            </w:r>
          </w:p>
        </w:tc>
      </w:tr>
      <w:tr w14:paraId="41B3618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569" w:type="pct"/>
            <w:vMerge w:val="continue"/>
            <w:shd w:val="clear" w:color="auto" w:fill="auto"/>
            <w:vAlign w:val="center"/>
          </w:tcPr>
          <w:p w14:paraId="5ABAF4A5">
            <w:pPr>
              <w:adjustRightInd w:val="0"/>
              <w:snapToGrid w:val="0"/>
              <w:spacing w:line="320" w:lineRule="exact"/>
              <w:jc w:val="center"/>
              <w:rPr>
                <w:rFonts w:eastAsia="仿宋_GB2312"/>
                <w:b/>
                <w:bCs/>
                <w:color w:val="FF0000"/>
                <w:szCs w:val="21"/>
              </w:rPr>
            </w:pPr>
          </w:p>
        </w:tc>
        <w:tc>
          <w:tcPr>
            <w:tcW w:w="591" w:type="pct"/>
            <w:vMerge w:val="continue"/>
            <w:shd w:val="clear" w:color="auto" w:fill="auto"/>
            <w:vAlign w:val="center"/>
          </w:tcPr>
          <w:p w14:paraId="0392DBF0">
            <w:pPr>
              <w:adjustRightInd w:val="0"/>
              <w:snapToGrid w:val="0"/>
              <w:spacing w:line="320" w:lineRule="exact"/>
              <w:jc w:val="center"/>
              <w:rPr>
                <w:rFonts w:eastAsia="仿宋_GB2312"/>
                <w:bCs/>
                <w:color w:val="FF0000"/>
                <w:szCs w:val="21"/>
              </w:rPr>
            </w:pPr>
          </w:p>
        </w:tc>
        <w:tc>
          <w:tcPr>
            <w:tcW w:w="1250" w:type="pct"/>
            <w:shd w:val="clear" w:color="auto" w:fill="auto"/>
            <w:vAlign w:val="center"/>
          </w:tcPr>
          <w:p w14:paraId="35218BE7">
            <w:pPr>
              <w:keepNext w:val="0"/>
              <w:keepLines w:val="0"/>
              <w:widowControl/>
              <w:suppressLineNumbers w:val="0"/>
              <w:jc w:val="center"/>
              <w:textAlignment w:val="bottom"/>
              <w:rPr>
                <w:rFonts w:eastAsia="仿宋_GB2312"/>
                <w:color w:val="FF0000"/>
                <w:szCs w:val="21"/>
              </w:rPr>
            </w:pPr>
            <w:r>
              <w:rPr>
                <w:rFonts w:hint="default" w:ascii="仿宋_GB2312" w:hAnsi="宋体" w:eastAsia="仿宋_GB2312" w:cs="仿宋_GB2312"/>
                <w:i w:val="0"/>
                <w:iCs w:val="0"/>
                <w:color w:val="000000"/>
                <w:kern w:val="0"/>
                <w:sz w:val="21"/>
                <w:szCs w:val="21"/>
                <w:u w:val="none"/>
                <w:lang w:val="en-US" w:eastAsia="zh-CN" w:bidi="ar"/>
              </w:rPr>
              <w:t>丙二醇甲醚醋酸酯</w:t>
            </w:r>
          </w:p>
        </w:tc>
        <w:tc>
          <w:tcPr>
            <w:tcW w:w="894" w:type="pct"/>
            <w:shd w:val="clear" w:color="auto" w:fill="auto"/>
            <w:vAlign w:val="center"/>
          </w:tcPr>
          <w:p w14:paraId="50D67199">
            <w:pPr>
              <w:adjustRightInd w:val="0"/>
              <w:snapToGrid w:val="0"/>
              <w:spacing w:line="320" w:lineRule="exact"/>
              <w:jc w:val="center"/>
              <w:rPr>
                <w:color w:val="auto"/>
                <w:szCs w:val="21"/>
              </w:rPr>
            </w:pPr>
            <w:r>
              <w:rPr>
                <w:rFonts w:hint="eastAsia"/>
                <w:color w:val="auto"/>
                <w:szCs w:val="21"/>
                <w:lang w:val="en-US" w:eastAsia="zh-CN"/>
              </w:rPr>
              <w:t>19.131</w:t>
            </w:r>
          </w:p>
        </w:tc>
        <w:tc>
          <w:tcPr>
            <w:tcW w:w="894" w:type="pct"/>
            <w:shd w:val="clear" w:color="auto" w:fill="auto"/>
            <w:vAlign w:val="center"/>
          </w:tcPr>
          <w:p w14:paraId="17FE2752">
            <w:pPr>
              <w:adjustRightInd w:val="0"/>
              <w:snapToGrid w:val="0"/>
              <w:spacing w:line="320" w:lineRule="exact"/>
              <w:jc w:val="center"/>
              <w:rPr>
                <w:rFonts w:hint="eastAsia"/>
                <w:color w:val="auto"/>
                <w:szCs w:val="21"/>
              </w:rPr>
            </w:pPr>
            <w:r>
              <w:rPr>
                <w:rFonts w:hint="eastAsia"/>
                <w:color w:val="auto"/>
                <w:szCs w:val="21"/>
                <w:lang w:val="en-US" w:eastAsia="zh-CN"/>
              </w:rPr>
              <w:t>18.861</w:t>
            </w:r>
          </w:p>
        </w:tc>
        <w:tc>
          <w:tcPr>
            <w:tcW w:w="800" w:type="pct"/>
            <w:shd w:val="clear" w:color="auto" w:fill="auto"/>
            <w:vAlign w:val="center"/>
          </w:tcPr>
          <w:p w14:paraId="100E2A12">
            <w:pPr>
              <w:adjustRightInd w:val="0"/>
              <w:snapToGrid w:val="0"/>
              <w:spacing w:line="320" w:lineRule="exact"/>
              <w:jc w:val="center"/>
              <w:rPr>
                <w:color w:val="auto"/>
                <w:szCs w:val="21"/>
              </w:rPr>
            </w:pPr>
            <w:r>
              <w:rPr>
                <w:rFonts w:hint="eastAsia"/>
                <w:color w:val="auto"/>
                <w:szCs w:val="21"/>
                <w:lang w:val="en-US" w:eastAsia="zh-CN"/>
              </w:rPr>
              <w:t>0.27</w:t>
            </w:r>
          </w:p>
        </w:tc>
      </w:tr>
      <w:tr w14:paraId="08EE1A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569" w:type="pct"/>
            <w:vMerge w:val="continue"/>
            <w:shd w:val="clear" w:color="auto" w:fill="auto"/>
            <w:vAlign w:val="center"/>
          </w:tcPr>
          <w:p w14:paraId="2DBB7FF0">
            <w:pPr>
              <w:adjustRightInd w:val="0"/>
              <w:snapToGrid w:val="0"/>
              <w:spacing w:line="320" w:lineRule="exact"/>
              <w:jc w:val="center"/>
              <w:rPr>
                <w:rFonts w:eastAsia="仿宋_GB2312"/>
                <w:b/>
                <w:bCs/>
                <w:color w:val="FF0000"/>
                <w:szCs w:val="21"/>
              </w:rPr>
            </w:pPr>
          </w:p>
        </w:tc>
        <w:tc>
          <w:tcPr>
            <w:tcW w:w="591" w:type="pct"/>
            <w:vMerge w:val="continue"/>
            <w:shd w:val="clear" w:color="auto" w:fill="auto"/>
            <w:vAlign w:val="center"/>
          </w:tcPr>
          <w:p w14:paraId="42B6DAF4">
            <w:pPr>
              <w:adjustRightInd w:val="0"/>
              <w:snapToGrid w:val="0"/>
              <w:spacing w:line="320" w:lineRule="exact"/>
              <w:jc w:val="center"/>
              <w:rPr>
                <w:rFonts w:eastAsia="仿宋_GB2312"/>
                <w:bCs/>
                <w:color w:val="FF0000"/>
                <w:szCs w:val="21"/>
              </w:rPr>
            </w:pPr>
          </w:p>
        </w:tc>
        <w:tc>
          <w:tcPr>
            <w:tcW w:w="1250" w:type="pct"/>
            <w:shd w:val="clear" w:color="auto" w:fill="auto"/>
            <w:vAlign w:val="center"/>
          </w:tcPr>
          <w:p w14:paraId="7BFAA28C">
            <w:pPr>
              <w:keepNext w:val="0"/>
              <w:keepLines w:val="0"/>
              <w:widowControl/>
              <w:suppressLineNumbers w:val="0"/>
              <w:jc w:val="center"/>
              <w:textAlignment w:val="bottom"/>
              <w:rPr>
                <w:rFonts w:eastAsia="仿宋_GB2312"/>
                <w:bCs/>
                <w:color w:val="FF0000"/>
                <w:szCs w:val="21"/>
              </w:rPr>
            </w:pPr>
            <w:r>
              <w:rPr>
                <w:rFonts w:hint="default" w:ascii="仿宋_GB2312" w:hAnsi="宋体" w:eastAsia="仿宋_GB2312" w:cs="仿宋_GB2312"/>
                <w:i w:val="0"/>
                <w:iCs w:val="0"/>
                <w:color w:val="000000"/>
                <w:kern w:val="0"/>
                <w:sz w:val="21"/>
                <w:szCs w:val="21"/>
                <w:u w:val="none"/>
                <w:lang w:val="en-US" w:eastAsia="zh-CN" w:bidi="ar"/>
              </w:rPr>
              <w:t>己烷</w:t>
            </w:r>
          </w:p>
        </w:tc>
        <w:tc>
          <w:tcPr>
            <w:tcW w:w="894" w:type="pct"/>
            <w:shd w:val="clear" w:color="auto" w:fill="auto"/>
            <w:vAlign w:val="center"/>
          </w:tcPr>
          <w:p w14:paraId="593AC1E1">
            <w:pPr>
              <w:adjustRightInd w:val="0"/>
              <w:snapToGrid w:val="0"/>
              <w:spacing w:line="320" w:lineRule="exact"/>
              <w:jc w:val="center"/>
              <w:rPr>
                <w:color w:val="auto"/>
                <w:szCs w:val="21"/>
              </w:rPr>
            </w:pPr>
            <w:r>
              <w:rPr>
                <w:rFonts w:hint="eastAsia"/>
                <w:color w:val="auto"/>
                <w:szCs w:val="21"/>
                <w:lang w:val="en-US" w:eastAsia="zh-CN"/>
              </w:rPr>
              <w:t>20.568</w:t>
            </w:r>
          </w:p>
        </w:tc>
        <w:tc>
          <w:tcPr>
            <w:tcW w:w="894" w:type="pct"/>
            <w:shd w:val="clear" w:color="auto" w:fill="auto"/>
            <w:vAlign w:val="center"/>
          </w:tcPr>
          <w:p w14:paraId="3E2CB9AB">
            <w:pPr>
              <w:adjustRightInd w:val="0"/>
              <w:snapToGrid w:val="0"/>
              <w:spacing w:line="320" w:lineRule="exact"/>
              <w:jc w:val="center"/>
              <w:rPr>
                <w:color w:val="auto"/>
                <w:szCs w:val="21"/>
              </w:rPr>
            </w:pPr>
            <w:r>
              <w:rPr>
                <w:rFonts w:hint="eastAsia"/>
                <w:color w:val="auto"/>
                <w:szCs w:val="21"/>
                <w:lang w:val="en-US" w:eastAsia="zh-CN"/>
              </w:rPr>
              <w:t>20.128</w:t>
            </w:r>
          </w:p>
        </w:tc>
        <w:tc>
          <w:tcPr>
            <w:tcW w:w="800" w:type="pct"/>
            <w:shd w:val="clear" w:color="auto" w:fill="auto"/>
            <w:vAlign w:val="center"/>
          </w:tcPr>
          <w:p w14:paraId="54DBA24C">
            <w:pPr>
              <w:adjustRightInd w:val="0"/>
              <w:snapToGrid w:val="0"/>
              <w:spacing w:line="320" w:lineRule="exact"/>
              <w:jc w:val="center"/>
              <w:rPr>
                <w:color w:val="auto"/>
                <w:szCs w:val="21"/>
              </w:rPr>
            </w:pPr>
            <w:r>
              <w:rPr>
                <w:rFonts w:hint="eastAsia"/>
                <w:color w:val="auto"/>
                <w:szCs w:val="21"/>
                <w:lang w:val="en-US" w:eastAsia="zh-CN"/>
              </w:rPr>
              <w:t>0.44</w:t>
            </w:r>
          </w:p>
        </w:tc>
      </w:tr>
      <w:tr w14:paraId="3005A9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569" w:type="pct"/>
            <w:vMerge w:val="continue"/>
            <w:shd w:val="clear" w:color="auto" w:fill="auto"/>
            <w:vAlign w:val="center"/>
          </w:tcPr>
          <w:p w14:paraId="318AA280">
            <w:pPr>
              <w:adjustRightInd w:val="0"/>
              <w:snapToGrid w:val="0"/>
              <w:spacing w:line="320" w:lineRule="exact"/>
              <w:jc w:val="center"/>
              <w:rPr>
                <w:rFonts w:eastAsia="仿宋_GB2312"/>
                <w:b/>
                <w:bCs/>
                <w:color w:val="FF0000"/>
                <w:szCs w:val="21"/>
              </w:rPr>
            </w:pPr>
          </w:p>
        </w:tc>
        <w:tc>
          <w:tcPr>
            <w:tcW w:w="591" w:type="pct"/>
            <w:vMerge w:val="continue"/>
            <w:shd w:val="clear" w:color="auto" w:fill="auto"/>
            <w:vAlign w:val="center"/>
          </w:tcPr>
          <w:p w14:paraId="2E88E424">
            <w:pPr>
              <w:adjustRightInd w:val="0"/>
              <w:snapToGrid w:val="0"/>
              <w:spacing w:line="320" w:lineRule="exact"/>
              <w:jc w:val="center"/>
              <w:rPr>
                <w:rFonts w:eastAsia="仿宋_GB2312"/>
                <w:bCs/>
                <w:color w:val="FF0000"/>
                <w:szCs w:val="21"/>
              </w:rPr>
            </w:pPr>
          </w:p>
        </w:tc>
        <w:tc>
          <w:tcPr>
            <w:tcW w:w="1250" w:type="pct"/>
            <w:shd w:val="clear" w:color="auto" w:fill="auto"/>
            <w:vAlign w:val="center"/>
          </w:tcPr>
          <w:p w14:paraId="54A4F22C">
            <w:pPr>
              <w:keepNext w:val="0"/>
              <w:keepLines w:val="0"/>
              <w:widowControl/>
              <w:suppressLineNumbers w:val="0"/>
              <w:jc w:val="center"/>
              <w:textAlignment w:val="bottom"/>
              <w:rPr>
                <w:rFonts w:eastAsia="仿宋_GB2312"/>
                <w:bCs/>
                <w:color w:val="FF0000"/>
                <w:szCs w:val="21"/>
              </w:rPr>
            </w:pPr>
            <w:r>
              <w:rPr>
                <w:rFonts w:hint="default" w:ascii="仿宋_GB2312" w:hAnsi="宋体" w:eastAsia="仿宋_GB2312" w:cs="仿宋_GB2312"/>
                <w:i w:val="0"/>
                <w:iCs w:val="0"/>
                <w:color w:val="000000"/>
                <w:kern w:val="0"/>
                <w:sz w:val="21"/>
                <w:szCs w:val="21"/>
                <w:u w:val="none"/>
                <w:lang w:val="en-US" w:eastAsia="zh-CN" w:bidi="ar"/>
              </w:rPr>
              <w:t>乙酸乙烯酯</w:t>
            </w:r>
          </w:p>
        </w:tc>
        <w:tc>
          <w:tcPr>
            <w:tcW w:w="894" w:type="pct"/>
            <w:shd w:val="clear" w:color="auto" w:fill="auto"/>
            <w:vAlign w:val="center"/>
          </w:tcPr>
          <w:p w14:paraId="56EB6B8F">
            <w:pPr>
              <w:adjustRightInd w:val="0"/>
              <w:snapToGrid w:val="0"/>
              <w:spacing w:line="320" w:lineRule="exact"/>
              <w:jc w:val="center"/>
              <w:rPr>
                <w:color w:val="auto"/>
                <w:szCs w:val="21"/>
              </w:rPr>
            </w:pPr>
            <w:r>
              <w:rPr>
                <w:rFonts w:hint="eastAsia"/>
                <w:color w:val="auto"/>
                <w:szCs w:val="21"/>
                <w:lang w:val="en-US" w:eastAsia="zh-CN"/>
              </w:rPr>
              <w:t>12.049</w:t>
            </w:r>
          </w:p>
        </w:tc>
        <w:tc>
          <w:tcPr>
            <w:tcW w:w="894" w:type="pct"/>
            <w:shd w:val="clear" w:color="auto" w:fill="auto"/>
            <w:vAlign w:val="center"/>
          </w:tcPr>
          <w:p w14:paraId="208A242B">
            <w:pPr>
              <w:adjustRightInd w:val="0"/>
              <w:snapToGrid w:val="0"/>
              <w:spacing w:line="320" w:lineRule="exact"/>
              <w:jc w:val="center"/>
              <w:rPr>
                <w:color w:val="auto"/>
                <w:szCs w:val="21"/>
              </w:rPr>
            </w:pPr>
            <w:r>
              <w:rPr>
                <w:rFonts w:hint="eastAsia"/>
                <w:color w:val="auto"/>
                <w:szCs w:val="21"/>
                <w:lang w:val="en-US" w:eastAsia="zh-CN"/>
              </w:rPr>
              <w:t>11.869</w:t>
            </w:r>
          </w:p>
        </w:tc>
        <w:tc>
          <w:tcPr>
            <w:tcW w:w="800" w:type="pct"/>
            <w:shd w:val="clear" w:color="auto" w:fill="auto"/>
            <w:vAlign w:val="center"/>
          </w:tcPr>
          <w:p w14:paraId="6E9A4994">
            <w:pPr>
              <w:adjustRightInd w:val="0"/>
              <w:snapToGrid w:val="0"/>
              <w:spacing w:line="320" w:lineRule="exact"/>
              <w:jc w:val="center"/>
              <w:rPr>
                <w:color w:val="auto"/>
                <w:szCs w:val="21"/>
              </w:rPr>
            </w:pPr>
            <w:r>
              <w:rPr>
                <w:rFonts w:hint="eastAsia"/>
                <w:color w:val="auto"/>
                <w:szCs w:val="21"/>
                <w:lang w:val="en-US" w:eastAsia="zh-CN"/>
              </w:rPr>
              <w:t>0.18</w:t>
            </w:r>
          </w:p>
        </w:tc>
      </w:tr>
      <w:tr w14:paraId="63E5C0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569" w:type="pct"/>
            <w:vMerge w:val="continue"/>
            <w:shd w:val="clear" w:color="auto" w:fill="auto"/>
            <w:vAlign w:val="center"/>
          </w:tcPr>
          <w:p w14:paraId="643CD699">
            <w:pPr>
              <w:adjustRightInd w:val="0"/>
              <w:snapToGrid w:val="0"/>
              <w:spacing w:line="320" w:lineRule="exact"/>
              <w:jc w:val="center"/>
              <w:rPr>
                <w:rFonts w:eastAsia="仿宋_GB2312"/>
                <w:b/>
                <w:bCs/>
                <w:color w:val="FF0000"/>
                <w:szCs w:val="21"/>
              </w:rPr>
            </w:pPr>
          </w:p>
        </w:tc>
        <w:tc>
          <w:tcPr>
            <w:tcW w:w="591" w:type="pct"/>
            <w:vMerge w:val="continue"/>
            <w:shd w:val="clear" w:color="auto" w:fill="auto"/>
            <w:vAlign w:val="center"/>
          </w:tcPr>
          <w:p w14:paraId="0D018D71">
            <w:pPr>
              <w:adjustRightInd w:val="0"/>
              <w:snapToGrid w:val="0"/>
              <w:spacing w:line="320" w:lineRule="exact"/>
              <w:jc w:val="center"/>
              <w:rPr>
                <w:rFonts w:eastAsia="仿宋_GB2312"/>
                <w:bCs/>
                <w:color w:val="FF0000"/>
                <w:szCs w:val="21"/>
              </w:rPr>
            </w:pPr>
          </w:p>
        </w:tc>
        <w:tc>
          <w:tcPr>
            <w:tcW w:w="1250" w:type="pct"/>
            <w:shd w:val="clear" w:color="auto" w:fill="auto"/>
            <w:vAlign w:val="center"/>
          </w:tcPr>
          <w:p w14:paraId="0F9BE412">
            <w:pPr>
              <w:keepNext w:val="0"/>
              <w:keepLines w:val="0"/>
              <w:widowControl/>
              <w:suppressLineNumbers w:val="0"/>
              <w:jc w:val="center"/>
              <w:textAlignment w:val="bottom"/>
              <w:rPr>
                <w:rFonts w:eastAsia="仿宋_GB2312"/>
                <w:bCs/>
                <w:color w:val="FF0000"/>
                <w:szCs w:val="21"/>
              </w:rPr>
            </w:pPr>
            <w:r>
              <w:rPr>
                <w:rFonts w:hint="default" w:ascii="仿宋_GB2312" w:hAnsi="宋体" w:eastAsia="仿宋_GB2312" w:cs="仿宋_GB2312"/>
                <w:i w:val="0"/>
                <w:iCs w:val="0"/>
                <w:color w:val="000000"/>
                <w:kern w:val="0"/>
                <w:sz w:val="21"/>
                <w:szCs w:val="21"/>
                <w:u w:val="none"/>
                <w:lang w:val="en-US" w:eastAsia="zh-CN" w:bidi="ar"/>
              </w:rPr>
              <w:t>异丙苯</w:t>
            </w:r>
          </w:p>
        </w:tc>
        <w:tc>
          <w:tcPr>
            <w:tcW w:w="894" w:type="pct"/>
            <w:shd w:val="clear" w:color="auto" w:fill="auto"/>
            <w:vAlign w:val="center"/>
          </w:tcPr>
          <w:p w14:paraId="6A894CF8">
            <w:pPr>
              <w:adjustRightInd w:val="0"/>
              <w:snapToGrid w:val="0"/>
              <w:spacing w:line="320" w:lineRule="exact"/>
              <w:jc w:val="center"/>
              <w:rPr>
                <w:color w:val="auto"/>
                <w:szCs w:val="21"/>
              </w:rPr>
            </w:pPr>
            <w:r>
              <w:rPr>
                <w:rFonts w:hint="eastAsia"/>
                <w:color w:val="auto"/>
                <w:szCs w:val="21"/>
                <w:lang w:val="en-US" w:eastAsia="zh-CN"/>
              </w:rPr>
              <w:t>5.606</w:t>
            </w:r>
          </w:p>
        </w:tc>
        <w:tc>
          <w:tcPr>
            <w:tcW w:w="894" w:type="pct"/>
            <w:shd w:val="clear" w:color="auto" w:fill="auto"/>
            <w:vAlign w:val="center"/>
          </w:tcPr>
          <w:p w14:paraId="305ABC68">
            <w:pPr>
              <w:adjustRightInd w:val="0"/>
              <w:snapToGrid w:val="0"/>
              <w:spacing w:line="320" w:lineRule="exact"/>
              <w:jc w:val="center"/>
              <w:rPr>
                <w:color w:val="auto"/>
                <w:szCs w:val="21"/>
              </w:rPr>
            </w:pPr>
            <w:r>
              <w:rPr>
                <w:rFonts w:hint="eastAsia"/>
                <w:color w:val="auto"/>
                <w:szCs w:val="21"/>
                <w:lang w:val="en-US" w:eastAsia="zh-CN"/>
              </w:rPr>
              <w:t>5.516</w:t>
            </w:r>
          </w:p>
        </w:tc>
        <w:tc>
          <w:tcPr>
            <w:tcW w:w="800" w:type="pct"/>
            <w:shd w:val="clear" w:color="auto" w:fill="auto"/>
            <w:vAlign w:val="center"/>
          </w:tcPr>
          <w:p w14:paraId="23FAB45B">
            <w:pPr>
              <w:adjustRightInd w:val="0"/>
              <w:snapToGrid w:val="0"/>
              <w:spacing w:line="320" w:lineRule="exact"/>
              <w:jc w:val="center"/>
              <w:rPr>
                <w:color w:val="auto"/>
                <w:szCs w:val="21"/>
              </w:rPr>
            </w:pPr>
            <w:r>
              <w:rPr>
                <w:rFonts w:hint="eastAsia"/>
                <w:color w:val="auto"/>
                <w:szCs w:val="21"/>
                <w:lang w:val="en-US" w:eastAsia="zh-CN"/>
              </w:rPr>
              <w:t>0.09</w:t>
            </w:r>
          </w:p>
        </w:tc>
      </w:tr>
      <w:tr w14:paraId="5659000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569" w:type="pct"/>
            <w:vMerge w:val="continue"/>
            <w:shd w:val="clear" w:color="auto" w:fill="auto"/>
            <w:vAlign w:val="center"/>
          </w:tcPr>
          <w:p w14:paraId="00292053">
            <w:pPr>
              <w:adjustRightInd w:val="0"/>
              <w:snapToGrid w:val="0"/>
              <w:spacing w:line="320" w:lineRule="exact"/>
              <w:jc w:val="center"/>
              <w:rPr>
                <w:rFonts w:eastAsia="仿宋_GB2312"/>
                <w:b/>
                <w:bCs/>
                <w:color w:val="FF0000"/>
                <w:szCs w:val="21"/>
              </w:rPr>
            </w:pPr>
          </w:p>
        </w:tc>
        <w:tc>
          <w:tcPr>
            <w:tcW w:w="591" w:type="pct"/>
            <w:vMerge w:val="continue"/>
            <w:shd w:val="clear" w:color="auto" w:fill="auto"/>
            <w:vAlign w:val="center"/>
          </w:tcPr>
          <w:p w14:paraId="44C9BA0A">
            <w:pPr>
              <w:adjustRightInd w:val="0"/>
              <w:snapToGrid w:val="0"/>
              <w:spacing w:line="320" w:lineRule="exact"/>
              <w:jc w:val="center"/>
              <w:rPr>
                <w:rFonts w:eastAsia="仿宋_GB2312"/>
                <w:bCs/>
                <w:color w:val="FF0000"/>
                <w:szCs w:val="21"/>
              </w:rPr>
            </w:pPr>
          </w:p>
        </w:tc>
        <w:tc>
          <w:tcPr>
            <w:tcW w:w="1250" w:type="pct"/>
            <w:shd w:val="clear" w:color="auto" w:fill="auto"/>
            <w:vAlign w:val="center"/>
          </w:tcPr>
          <w:p w14:paraId="09F2D9B8">
            <w:pPr>
              <w:keepNext w:val="0"/>
              <w:keepLines w:val="0"/>
              <w:widowControl/>
              <w:suppressLineNumbers w:val="0"/>
              <w:jc w:val="center"/>
              <w:textAlignment w:val="bottom"/>
              <w:rPr>
                <w:rFonts w:eastAsia="仿宋_GB2312"/>
                <w:bCs/>
                <w:color w:val="FF0000"/>
                <w:szCs w:val="21"/>
              </w:rPr>
            </w:pPr>
            <w:r>
              <w:rPr>
                <w:rFonts w:hint="default" w:ascii="仿宋_GB2312" w:hAnsi="宋体" w:eastAsia="仿宋_GB2312" w:cs="仿宋_GB2312"/>
                <w:i w:val="0"/>
                <w:iCs w:val="0"/>
                <w:color w:val="000000"/>
                <w:kern w:val="0"/>
                <w:sz w:val="21"/>
                <w:szCs w:val="21"/>
                <w:u w:val="none"/>
                <w:lang w:val="en-US" w:eastAsia="zh-CN" w:bidi="ar"/>
              </w:rPr>
              <w:t>乙酸酯类</w:t>
            </w:r>
          </w:p>
        </w:tc>
        <w:tc>
          <w:tcPr>
            <w:tcW w:w="894" w:type="pct"/>
            <w:shd w:val="clear" w:color="auto" w:fill="auto"/>
            <w:vAlign w:val="center"/>
          </w:tcPr>
          <w:p w14:paraId="44971FAA">
            <w:pPr>
              <w:adjustRightInd w:val="0"/>
              <w:snapToGrid w:val="0"/>
              <w:spacing w:line="320" w:lineRule="exact"/>
              <w:jc w:val="center"/>
              <w:rPr>
                <w:color w:val="auto"/>
                <w:szCs w:val="21"/>
              </w:rPr>
            </w:pPr>
            <w:r>
              <w:rPr>
                <w:rFonts w:hint="eastAsia"/>
                <w:color w:val="auto"/>
                <w:szCs w:val="21"/>
                <w:lang w:val="en-US" w:eastAsia="zh-CN"/>
              </w:rPr>
              <w:t>163.482</w:t>
            </w:r>
          </w:p>
        </w:tc>
        <w:tc>
          <w:tcPr>
            <w:tcW w:w="894" w:type="pct"/>
            <w:shd w:val="clear" w:color="auto" w:fill="auto"/>
            <w:vAlign w:val="center"/>
          </w:tcPr>
          <w:p w14:paraId="74A6A2F5">
            <w:pPr>
              <w:adjustRightInd w:val="0"/>
              <w:snapToGrid w:val="0"/>
              <w:spacing w:line="320" w:lineRule="exact"/>
              <w:jc w:val="center"/>
              <w:rPr>
                <w:color w:val="auto"/>
                <w:szCs w:val="21"/>
              </w:rPr>
            </w:pPr>
            <w:r>
              <w:rPr>
                <w:rFonts w:hint="eastAsia"/>
                <w:color w:val="auto"/>
                <w:szCs w:val="21"/>
                <w:lang w:val="en-US" w:eastAsia="zh-CN"/>
              </w:rPr>
              <w:t>161.172</w:t>
            </w:r>
          </w:p>
        </w:tc>
        <w:tc>
          <w:tcPr>
            <w:tcW w:w="800" w:type="pct"/>
            <w:shd w:val="clear" w:color="auto" w:fill="auto"/>
            <w:vAlign w:val="center"/>
          </w:tcPr>
          <w:p w14:paraId="37C687EA">
            <w:pPr>
              <w:adjustRightInd w:val="0"/>
              <w:snapToGrid w:val="0"/>
              <w:spacing w:line="320" w:lineRule="exact"/>
              <w:jc w:val="center"/>
              <w:rPr>
                <w:color w:val="auto"/>
                <w:szCs w:val="21"/>
              </w:rPr>
            </w:pPr>
            <w:r>
              <w:rPr>
                <w:rFonts w:hint="eastAsia"/>
                <w:color w:val="auto"/>
                <w:szCs w:val="21"/>
                <w:lang w:val="en-US" w:eastAsia="zh-CN"/>
              </w:rPr>
              <w:t>2.31</w:t>
            </w:r>
          </w:p>
        </w:tc>
      </w:tr>
      <w:tr w14:paraId="70F3EC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569" w:type="pct"/>
            <w:vMerge w:val="continue"/>
            <w:shd w:val="clear" w:color="auto" w:fill="auto"/>
            <w:vAlign w:val="center"/>
          </w:tcPr>
          <w:p w14:paraId="2F6345EB">
            <w:pPr>
              <w:adjustRightInd w:val="0"/>
              <w:snapToGrid w:val="0"/>
              <w:spacing w:line="320" w:lineRule="exact"/>
              <w:jc w:val="center"/>
              <w:rPr>
                <w:rFonts w:eastAsia="仿宋_GB2312"/>
                <w:b/>
                <w:bCs/>
                <w:color w:val="FF0000"/>
                <w:szCs w:val="21"/>
              </w:rPr>
            </w:pPr>
          </w:p>
        </w:tc>
        <w:tc>
          <w:tcPr>
            <w:tcW w:w="591" w:type="pct"/>
            <w:vMerge w:val="continue"/>
            <w:shd w:val="clear" w:color="auto" w:fill="auto"/>
            <w:vAlign w:val="center"/>
          </w:tcPr>
          <w:p w14:paraId="0E7E0A63">
            <w:pPr>
              <w:adjustRightInd w:val="0"/>
              <w:snapToGrid w:val="0"/>
              <w:spacing w:line="320" w:lineRule="exact"/>
              <w:jc w:val="center"/>
              <w:rPr>
                <w:rFonts w:eastAsia="仿宋_GB2312"/>
                <w:bCs/>
                <w:color w:val="FF0000"/>
                <w:szCs w:val="21"/>
              </w:rPr>
            </w:pPr>
          </w:p>
        </w:tc>
        <w:tc>
          <w:tcPr>
            <w:tcW w:w="1250" w:type="pct"/>
            <w:shd w:val="clear" w:color="auto" w:fill="auto"/>
            <w:vAlign w:val="center"/>
          </w:tcPr>
          <w:p w14:paraId="14612C6B">
            <w:pPr>
              <w:keepNext w:val="0"/>
              <w:keepLines w:val="0"/>
              <w:widowControl/>
              <w:suppressLineNumbers w:val="0"/>
              <w:jc w:val="center"/>
              <w:textAlignment w:val="bottom"/>
              <w:rPr>
                <w:rFonts w:eastAsia="仿宋_GB2312"/>
                <w:bCs/>
                <w:color w:val="FF0000"/>
                <w:szCs w:val="21"/>
              </w:rPr>
            </w:pPr>
            <w:r>
              <w:rPr>
                <w:rFonts w:hint="default" w:ascii="仿宋_GB2312" w:hAnsi="宋体" w:eastAsia="仿宋_GB2312" w:cs="仿宋_GB2312"/>
                <w:i w:val="0"/>
                <w:iCs w:val="0"/>
                <w:color w:val="000000"/>
                <w:kern w:val="0"/>
                <w:sz w:val="21"/>
                <w:szCs w:val="21"/>
                <w:u w:val="none"/>
                <w:lang w:val="en-US" w:eastAsia="zh-CN" w:bidi="ar"/>
              </w:rPr>
              <w:t>苯系物</w:t>
            </w:r>
          </w:p>
        </w:tc>
        <w:tc>
          <w:tcPr>
            <w:tcW w:w="894" w:type="pct"/>
            <w:shd w:val="clear" w:color="auto" w:fill="auto"/>
            <w:vAlign w:val="center"/>
          </w:tcPr>
          <w:p w14:paraId="6EF1BE0A">
            <w:pPr>
              <w:adjustRightInd w:val="0"/>
              <w:snapToGrid w:val="0"/>
              <w:spacing w:line="320" w:lineRule="exact"/>
              <w:jc w:val="center"/>
              <w:rPr>
                <w:color w:val="auto"/>
                <w:szCs w:val="21"/>
              </w:rPr>
            </w:pPr>
            <w:r>
              <w:rPr>
                <w:rFonts w:hint="eastAsia"/>
                <w:color w:val="auto"/>
                <w:szCs w:val="21"/>
                <w:lang w:val="en-US" w:eastAsia="zh-CN"/>
              </w:rPr>
              <w:t>105.299</w:t>
            </w:r>
          </w:p>
        </w:tc>
        <w:tc>
          <w:tcPr>
            <w:tcW w:w="894" w:type="pct"/>
            <w:shd w:val="clear" w:color="auto" w:fill="auto"/>
            <w:vAlign w:val="center"/>
          </w:tcPr>
          <w:p w14:paraId="4B14762D">
            <w:pPr>
              <w:adjustRightInd w:val="0"/>
              <w:snapToGrid w:val="0"/>
              <w:spacing w:line="320" w:lineRule="exact"/>
              <w:jc w:val="center"/>
              <w:rPr>
                <w:color w:val="auto"/>
                <w:szCs w:val="21"/>
              </w:rPr>
            </w:pPr>
            <w:r>
              <w:rPr>
                <w:rFonts w:hint="eastAsia"/>
                <w:color w:val="auto"/>
                <w:szCs w:val="21"/>
                <w:lang w:val="en-US" w:eastAsia="zh-CN"/>
              </w:rPr>
              <w:t>103.619</w:t>
            </w:r>
          </w:p>
        </w:tc>
        <w:tc>
          <w:tcPr>
            <w:tcW w:w="800" w:type="pct"/>
            <w:shd w:val="clear" w:color="auto" w:fill="auto"/>
            <w:vAlign w:val="center"/>
          </w:tcPr>
          <w:p w14:paraId="6B066F97">
            <w:pPr>
              <w:adjustRightInd w:val="0"/>
              <w:snapToGrid w:val="0"/>
              <w:spacing w:line="320" w:lineRule="exact"/>
              <w:jc w:val="center"/>
              <w:rPr>
                <w:color w:val="auto"/>
                <w:szCs w:val="21"/>
              </w:rPr>
            </w:pPr>
            <w:r>
              <w:rPr>
                <w:rFonts w:hint="eastAsia"/>
                <w:color w:val="auto"/>
                <w:szCs w:val="21"/>
                <w:lang w:val="en-US" w:eastAsia="zh-CN"/>
              </w:rPr>
              <w:t>1.68</w:t>
            </w:r>
          </w:p>
        </w:tc>
      </w:tr>
      <w:tr w14:paraId="155B6B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569" w:type="pct"/>
            <w:vMerge w:val="continue"/>
            <w:shd w:val="clear" w:color="auto" w:fill="auto"/>
            <w:vAlign w:val="center"/>
          </w:tcPr>
          <w:p w14:paraId="58C46255">
            <w:pPr>
              <w:adjustRightInd w:val="0"/>
              <w:snapToGrid w:val="0"/>
              <w:spacing w:line="320" w:lineRule="exact"/>
              <w:jc w:val="center"/>
              <w:rPr>
                <w:rFonts w:eastAsia="仿宋_GB2312"/>
                <w:b/>
                <w:bCs/>
                <w:color w:val="FF0000"/>
                <w:szCs w:val="21"/>
              </w:rPr>
            </w:pPr>
          </w:p>
        </w:tc>
        <w:tc>
          <w:tcPr>
            <w:tcW w:w="591" w:type="pct"/>
            <w:vMerge w:val="continue"/>
            <w:shd w:val="clear" w:color="auto" w:fill="auto"/>
            <w:vAlign w:val="center"/>
          </w:tcPr>
          <w:p w14:paraId="00FD3884">
            <w:pPr>
              <w:adjustRightInd w:val="0"/>
              <w:snapToGrid w:val="0"/>
              <w:spacing w:line="320" w:lineRule="exact"/>
              <w:jc w:val="center"/>
              <w:rPr>
                <w:rFonts w:eastAsia="仿宋_GB2312"/>
                <w:bCs/>
                <w:color w:val="FF0000"/>
                <w:szCs w:val="21"/>
              </w:rPr>
            </w:pPr>
          </w:p>
        </w:tc>
        <w:tc>
          <w:tcPr>
            <w:tcW w:w="1250" w:type="pct"/>
            <w:shd w:val="clear" w:color="auto" w:fill="auto"/>
            <w:vAlign w:val="center"/>
          </w:tcPr>
          <w:p w14:paraId="0D6DC712">
            <w:pPr>
              <w:keepNext w:val="0"/>
              <w:keepLines w:val="0"/>
              <w:widowControl/>
              <w:suppressLineNumbers w:val="0"/>
              <w:jc w:val="center"/>
              <w:textAlignment w:val="bottom"/>
              <w:rPr>
                <w:rFonts w:eastAsia="仿宋_GB2312"/>
                <w:bCs/>
                <w:color w:val="FF0000"/>
                <w:szCs w:val="21"/>
              </w:rPr>
            </w:pPr>
            <w:r>
              <w:rPr>
                <w:rFonts w:hint="default" w:ascii="仿宋_GB2312" w:hAnsi="宋体" w:eastAsia="仿宋_GB2312" w:cs="仿宋_GB2312"/>
                <w:i w:val="0"/>
                <w:iCs w:val="0"/>
                <w:color w:val="000000"/>
                <w:kern w:val="0"/>
                <w:sz w:val="21"/>
                <w:szCs w:val="21"/>
                <w:u w:val="none"/>
                <w:lang w:val="en-US" w:eastAsia="zh-CN" w:bidi="ar"/>
              </w:rPr>
              <w:t>氨</w:t>
            </w:r>
          </w:p>
        </w:tc>
        <w:tc>
          <w:tcPr>
            <w:tcW w:w="894" w:type="pct"/>
            <w:shd w:val="clear" w:color="auto" w:fill="auto"/>
            <w:vAlign w:val="center"/>
          </w:tcPr>
          <w:p w14:paraId="477AA9F9">
            <w:pPr>
              <w:adjustRightInd w:val="0"/>
              <w:snapToGrid w:val="0"/>
              <w:spacing w:line="320" w:lineRule="exact"/>
              <w:jc w:val="center"/>
              <w:rPr>
                <w:color w:val="auto"/>
                <w:szCs w:val="21"/>
              </w:rPr>
            </w:pPr>
            <w:r>
              <w:rPr>
                <w:rFonts w:hint="eastAsia"/>
                <w:color w:val="auto"/>
                <w:szCs w:val="21"/>
                <w:lang w:val="en-US" w:eastAsia="zh-CN"/>
              </w:rPr>
              <w:t>0.09</w:t>
            </w:r>
          </w:p>
        </w:tc>
        <w:tc>
          <w:tcPr>
            <w:tcW w:w="894" w:type="pct"/>
            <w:shd w:val="clear" w:color="auto" w:fill="auto"/>
            <w:vAlign w:val="center"/>
          </w:tcPr>
          <w:p w14:paraId="47D78FC8">
            <w:pPr>
              <w:adjustRightInd w:val="0"/>
              <w:snapToGrid w:val="0"/>
              <w:spacing w:line="320" w:lineRule="exact"/>
              <w:jc w:val="center"/>
              <w:rPr>
                <w:color w:val="auto"/>
                <w:szCs w:val="21"/>
              </w:rPr>
            </w:pPr>
            <w:r>
              <w:rPr>
                <w:rFonts w:hint="eastAsia"/>
                <w:color w:val="auto"/>
                <w:szCs w:val="21"/>
                <w:lang w:val="en-US" w:eastAsia="zh-CN"/>
              </w:rPr>
              <w:t>0.0855</w:t>
            </w:r>
          </w:p>
        </w:tc>
        <w:tc>
          <w:tcPr>
            <w:tcW w:w="800" w:type="pct"/>
            <w:shd w:val="clear" w:color="auto" w:fill="auto"/>
            <w:vAlign w:val="center"/>
          </w:tcPr>
          <w:p w14:paraId="33B3D767">
            <w:pPr>
              <w:adjustRightInd w:val="0"/>
              <w:snapToGrid w:val="0"/>
              <w:spacing w:line="320" w:lineRule="exact"/>
              <w:jc w:val="center"/>
              <w:rPr>
                <w:color w:val="auto"/>
                <w:szCs w:val="21"/>
              </w:rPr>
            </w:pPr>
            <w:r>
              <w:rPr>
                <w:rFonts w:hint="eastAsia"/>
                <w:color w:val="auto"/>
                <w:szCs w:val="21"/>
                <w:lang w:val="en-US" w:eastAsia="zh-CN"/>
              </w:rPr>
              <w:t>0.0045</w:t>
            </w:r>
          </w:p>
        </w:tc>
      </w:tr>
      <w:tr w14:paraId="703F82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569" w:type="pct"/>
            <w:vMerge w:val="continue"/>
            <w:shd w:val="clear" w:color="auto" w:fill="auto"/>
            <w:vAlign w:val="center"/>
          </w:tcPr>
          <w:p w14:paraId="6F473C74">
            <w:pPr>
              <w:adjustRightInd w:val="0"/>
              <w:snapToGrid w:val="0"/>
              <w:spacing w:line="320" w:lineRule="exact"/>
              <w:jc w:val="center"/>
              <w:rPr>
                <w:rFonts w:eastAsia="仿宋_GB2312"/>
                <w:b/>
                <w:bCs/>
                <w:color w:val="FF0000"/>
                <w:szCs w:val="21"/>
              </w:rPr>
            </w:pPr>
          </w:p>
        </w:tc>
        <w:tc>
          <w:tcPr>
            <w:tcW w:w="591" w:type="pct"/>
            <w:vMerge w:val="continue"/>
            <w:shd w:val="clear" w:color="auto" w:fill="auto"/>
            <w:vAlign w:val="center"/>
          </w:tcPr>
          <w:p w14:paraId="1AE72F8B">
            <w:pPr>
              <w:adjustRightInd w:val="0"/>
              <w:snapToGrid w:val="0"/>
              <w:spacing w:line="320" w:lineRule="exact"/>
              <w:jc w:val="center"/>
              <w:rPr>
                <w:rFonts w:eastAsia="仿宋_GB2312"/>
                <w:bCs/>
                <w:color w:val="FF0000"/>
                <w:szCs w:val="21"/>
              </w:rPr>
            </w:pPr>
          </w:p>
        </w:tc>
        <w:tc>
          <w:tcPr>
            <w:tcW w:w="1250" w:type="pct"/>
            <w:shd w:val="clear" w:color="auto" w:fill="auto"/>
            <w:vAlign w:val="center"/>
          </w:tcPr>
          <w:p w14:paraId="3217B5A6">
            <w:pPr>
              <w:keepNext w:val="0"/>
              <w:keepLines w:val="0"/>
              <w:widowControl/>
              <w:suppressLineNumbers w:val="0"/>
              <w:jc w:val="center"/>
              <w:textAlignment w:val="bottom"/>
              <w:rPr>
                <w:rFonts w:eastAsia="仿宋_GB2312"/>
                <w:bCs/>
                <w:color w:val="FF0000"/>
                <w:szCs w:val="21"/>
              </w:rPr>
            </w:pPr>
            <w:r>
              <w:rPr>
                <w:rFonts w:hint="default" w:ascii="仿宋_GB2312" w:hAnsi="宋体" w:eastAsia="仿宋_GB2312" w:cs="仿宋_GB2312"/>
                <w:i w:val="0"/>
                <w:iCs w:val="0"/>
                <w:color w:val="000000"/>
                <w:kern w:val="0"/>
                <w:sz w:val="21"/>
                <w:szCs w:val="21"/>
                <w:u w:val="none"/>
                <w:lang w:val="en-US" w:eastAsia="zh-CN" w:bidi="ar"/>
              </w:rPr>
              <w:t>硫化氢</w:t>
            </w:r>
          </w:p>
        </w:tc>
        <w:tc>
          <w:tcPr>
            <w:tcW w:w="894" w:type="pct"/>
            <w:shd w:val="clear" w:color="auto" w:fill="auto"/>
            <w:vAlign w:val="center"/>
          </w:tcPr>
          <w:p w14:paraId="52A06617">
            <w:pPr>
              <w:adjustRightInd w:val="0"/>
              <w:snapToGrid w:val="0"/>
              <w:spacing w:line="320" w:lineRule="exact"/>
              <w:jc w:val="center"/>
              <w:rPr>
                <w:color w:val="auto"/>
                <w:szCs w:val="21"/>
              </w:rPr>
            </w:pPr>
            <w:r>
              <w:rPr>
                <w:rFonts w:hint="eastAsia"/>
                <w:color w:val="auto"/>
                <w:szCs w:val="21"/>
                <w:lang w:val="en-US" w:eastAsia="zh-CN"/>
              </w:rPr>
              <w:t>0.009</w:t>
            </w:r>
          </w:p>
        </w:tc>
        <w:tc>
          <w:tcPr>
            <w:tcW w:w="894" w:type="pct"/>
            <w:shd w:val="clear" w:color="auto" w:fill="auto"/>
            <w:vAlign w:val="center"/>
          </w:tcPr>
          <w:p w14:paraId="6E795074">
            <w:pPr>
              <w:adjustRightInd w:val="0"/>
              <w:snapToGrid w:val="0"/>
              <w:spacing w:line="320" w:lineRule="exact"/>
              <w:jc w:val="center"/>
              <w:rPr>
                <w:color w:val="auto"/>
                <w:szCs w:val="21"/>
              </w:rPr>
            </w:pPr>
            <w:r>
              <w:rPr>
                <w:rFonts w:hint="eastAsia"/>
                <w:color w:val="auto"/>
                <w:szCs w:val="21"/>
                <w:lang w:val="en-US" w:eastAsia="zh-CN"/>
              </w:rPr>
              <w:t>0.0086</w:t>
            </w:r>
          </w:p>
        </w:tc>
        <w:tc>
          <w:tcPr>
            <w:tcW w:w="800" w:type="pct"/>
            <w:shd w:val="clear" w:color="auto" w:fill="auto"/>
            <w:vAlign w:val="center"/>
          </w:tcPr>
          <w:p w14:paraId="3F1052A6">
            <w:pPr>
              <w:adjustRightInd w:val="0"/>
              <w:snapToGrid w:val="0"/>
              <w:spacing w:line="320" w:lineRule="exact"/>
              <w:jc w:val="center"/>
              <w:rPr>
                <w:color w:val="auto"/>
                <w:szCs w:val="21"/>
              </w:rPr>
            </w:pPr>
            <w:r>
              <w:rPr>
                <w:rFonts w:hint="eastAsia"/>
                <w:color w:val="auto"/>
                <w:szCs w:val="21"/>
                <w:lang w:val="en-US" w:eastAsia="zh-CN"/>
              </w:rPr>
              <w:t>0.0004</w:t>
            </w:r>
          </w:p>
        </w:tc>
      </w:tr>
      <w:tr w14:paraId="1E0828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569" w:type="pct"/>
            <w:vMerge w:val="continue"/>
            <w:shd w:val="clear" w:color="auto" w:fill="auto"/>
            <w:vAlign w:val="center"/>
          </w:tcPr>
          <w:p w14:paraId="4F785437">
            <w:pPr>
              <w:adjustRightInd w:val="0"/>
              <w:snapToGrid w:val="0"/>
              <w:spacing w:line="320" w:lineRule="exact"/>
              <w:jc w:val="center"/>
              <w:rPr>
                <w:rFonts w:eastAsia="仿宋_GB2312"/>
                <w:b/>
                <w:bCs/>
                <w:color w:val="FF0000"/>
                <w:szCs w:val="21"/>
              </w:rPr>
            </w:pPr>
          </w:p>
        </w:tc>
        <w:tc>
          <w:tcPr>
            <w:tcW w:w="591" w:type="pct"/>
            <w:vMerge w:val="continue"/>
            <w:shd w:val="clear" w:color="auto" w:fill="auto"/>
            <w:vAlign w:val="center"/>
          </w:tcPr>
          <w:p w14:paraId="5643B1B3">
            <w:pPr>
              <w:adjustRightInd w:val="0"/>
              <w:snapToGrid w:val="0"/>
              <w:spacing w:line="320" w:lineRule="exact"/>
              <w:jc w:val="center"/>
              <w:rPr>
                <w:rFonts w:eastAsia="仿宋_GB2312"/>
                <w:bCs/>
                <w:color w:val="FF0000"/>
                <w:szCs w:val="21"/>
              </w:rPr>
            </w:pPr>
          </w:p>
        </w:tc>
        <w:tc>
          <w:tcPr>
            <w:tcW w:w="1250" w:type="pct"/>
            <w:shd w:val="clear" w:color="auto" w:fill="auto"/>
            <w:vAlign w:val="center"/>
          </w:tcPr>
          <w:p w14:paraId="7E04F332">
            <w:pPr>
              <w:keepNext w:val="0"/>
              <w:keepLines w:val="0"/>
              <w:widowControl/>
              <w:suppressLineNumbers w:val="0"/>
              <w:jc w:val="center"/>
              <w:textAlignment w:val="bottom"/>
              <w:rPr>
                <w:rFonts w:eastAsia="仿宋_GB2312"/>
                <w:bCs/>
                <w:color w:val="FF0000"/>
                <w:szCs w:val="21"/>
              </w:rPr>
            </w:pPr>
            <w:r>
              <w:rPr>
                <w:rFonts w:hint="default" w:ascii="仿宋_GB2312" w:hAnsi="宋体" w:eastAsia="仿宋_GB2312" w:cs="仿宋_GB2312"/>
                <w:i w:val="0"/>
                <w:iCs w:val="0"/>
                <w:color w:val="000000"/>
                <w:kern w:val="0"/>
                <w:sz w:val="21"/>
                <w:szCs w:val="21"/>
                <w:u w:val="none"/>
                <w:lang w:val="en-US" w:eastAsia="zh-CN" w:bidi="ar"/>
              </w:rPr>
              <w:t>非甲烷总烃</w:t>
            </w:r>
          </w:p>
        </w:tc>
        <w:tc>
          <w:tcPr>
            <w:tcW w:w="894" w:type="pct"/>
            <w:shd w:val="clear" w:color="auto" w:fill="auto"/>
            <w:vAlign w:val="center"/>
          </w:tcPr>
          <w:p w14:paraId="1EF2B6D5">
            <w:pPr>
              <w:adjustRightInd w:val="0"/>
              <w:snapToGrid w:val="0"/>
              <w:spacing w:line="320" w:lineRule="exact"/>
              <w:jc w:val="center"/>
              <w:rPr>
                <w:color w:val="auto"/>
                <w:szCs w:val="21"/>
              </w:rPr>
            </w:pPr>
            <w:r>
              <w:rPr>
                <w:rFonts w:hint="eastAsia"/>
                <w:color w:val="auto"/>
                <w:szCs w:val="21"/>
                <w:lang w:val="en-US" w:eastAsia="zh-CN"/>
              </w:rPr>
              <w:t>1337.611</w:t>
            </w:r>
          </w:p>
        </w:tc>
        <w:tc>
          <w:tcPr>
            <w:tcW w:w="894" w:type="pct"/>
            <w:shd w:val="clear" w:color="auto" w:fill="auto"/>
            <w:vAlign w:val="center"/>
          </w:tcPr>
          <w:p w14:paraId="605CD1FC">
            <w:pPr>
              <w:adjustRightInd w:val="0"/>
              <w:snapToGrid w:val="0"/>
              <w:spacing w:line="320" w:lineRule="exact"/>
              <w:jc w:val="center"/>
              <w:rPr>
                <w:color w:val="auto"/>
                <w:szCs w:val="21"/>
              </w:rPr>
            </w:pPr>
            <w:r>
              <w:rPr>
                <w:rFonts w:hint="eastAsia"/>
                <w:color w:val="auto"/>
                <w:szCs w:val="21"/>
                <w:lang w:val="en-US" w:eastAsia="zh-CN"/>
              </w:rPr>
              <w:t>1317.555</w:t>
            </w:r>
          </w:p>
        </w:tc>
        <w:tc>
          <w:tcPr>
            <w:tcW w:w="800" w:type="pct"/>
            <w:shd w:val="clear" w:color="auto" w:fill="auto"/>
            <w:vAlign w:val="center"/>
          </w:tcPr>
          <w:p w14:paraId="63F08AC2">
            <w:pPr>
              <w:adjustRightInd w:val="0"/>
              <w:snapToGrid w:val="0"/>
              <w:spacing w:line="320" w:lineRule="exact"/>
              <w:jc w:val="center"/>
              <w:rPr>
                <w:color w:val="auto"/>
                <w:szCs w:val="21"/>
              </w:rPr>
            </w:pPr>
            <w:r>
              <w:rPr>
                <w:rFonts w:hint="eastAsia"/>
                <w:color w:val="auto"/>
                <w:szCs w:val="21"/>
                <w:lang w:val="en-US" w:eastAsia="zh-CN"/>
              </w:rPr>
              <w:t>20.056</w:t>
            </w:r>
          </w:p>
        </w:tc>
      </w:tr>
      <w:tr w14:paraId="5050D1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569" w:type="pct"/>
            <w:vMerge w:val="continue"/>
            <w:shd w:val="clear" w:color="auto" w:fill="auto"/>
            <w:vAlign w:val="center"/>
          </w:tcPr>
          <w:p w14:paraId="3A195D0F">
            <w:pPr>
              <w:adjustRightInd w:val="0"/>
              <w:snapToGrid w:val="0"/>
              <w:spacing w:line="320" w:lineRule="exact"/>
              <w:jc w:val="center"/>
              <w:rPr>
                <w:rFonts w:eastAsia="仿宋_GB2312"/>
                <w:b/>
                <w:bCs/>
                <w:color w:val="FF0000"/>
                <w:szCs w:val="21"/>
              </w:rPr>
            </w:pPr>
          </w:p>
        </w:tc>
        <w:tc>
          <w:tcPr>
            <w:tcW w:w="591" w:type="pct"/>
            <w:vMerge w:val="continue"/>
            <w:shd w:val="clear" w:color="auto" w:fill="auto"/>
            <w:vAlign w:val="center"/>
          </w:tcPr>
          <w:p w14:paraId="7A13D88B">
            <w:pPr>
              <w:adjustRightInd w:val="0"/>
              <w:snapToGrid w:val="0"/>
              <w:spacing w:line="320" w:lineRule="exact"/>
              <w:jc w:val="center"/>
              <w:rPr>
                <w:rFonts w:eastAsia="仿宋_GB2312"/>
                <w:bCs/>
                <w:color w:val="FF0000"/>
                <w:szCs w:val="21"/>
              </w:rPr>
            </w:pPr>
          </w:p>
        </w:tc>
        <w:tc>
          <w:tcPr>
            <w:tcW w:w="1250" w:type="pct"/>
            <w:shd w:val="clear" w:color="auto" w:fill="auto"/>
            <w:vAlign w:val="center"/>
          </w:tcPr>
          <w:p w14:paraId="6667535D">
            <w:pPr>
              <w:keepNext w:val="0"/>
              <w:keepLines w:val="0"/>
              <w:widowControl/>
              <w:suppressLineNumbers w:val="0"/>
              <w:jc w:val="center"/>
              <w:textAlignment w:val="bottom"/>
              <w:rPr>
                <w:rFonts w:eastAsia="仿宋_GB2312"/>
                <w:bCs/>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VOCs</w:t>
            </w:r>
          </w:p>
        </w:tc>
        <w:tc>
          <w:tcPr>
            <w:tcW w:w="894" w:type="pct"/>
            <w:shd w:val="clear" w:color="auto" w:fill="auto"/>
            <w:vAlign w:val="center"/>
          </w:tcPr>
          <w:p w14:paraId="24F61531">
            <w:pPr>
              <w:adjustRightInd w:val="0"/>
              <w:snapToGrid w:val="0"/>
              <w:spacing w:line="320" w:lineRule="exact"/>
              <w:jc w:val="center"/>
              <w:rPr>
                <w:color w:val="auto"/>
                <w:szCs w:val="21"/>
              </w:rPr>
            </w:pPr>
            <w:r>
              <w:rPr>
                <w:rFonts w:hint="eastAsia"/>
                <w:color w:val="auto"/>
                <w:szCs w:val="21"/>
                <w:lang w:val="en-US" w:eastAsia="zh-CN"/>
              </w:rPr>
              <w:t>2361.059</w:t>
            </w:r>
          </w:p>
        </w:tc>
        <w:tc>
          <w:tcPr>
            <w:tcW w:w="894" w:type="pct"/>
            <w:shd w:val="clear" w:color="auto" w:fill="auto"/>
            <w:vAlign w:val="center"/>
          </w:tcPr>
          <w:p w14:paraId="0F97BCB0">
            <w:pPr>
              <w:adjustRightInd w:val="0"/>
              <w:snapToGrid w:val="0"/>
              <w:spacing w:line="320" w:lineRule="exact"/>
              <w:jc w:val="center"/>
              <w:rPr>
                <w:color w:val="auto"/>
                <w:szCs w:val="21"/>
              </w:rPr>
            </w:pPr>
            <w:r>
              <w:rPr>
                <w:rFonts w:hint="eastAsia"/>
                <w:color w:val="auto"/>
                <w:szCs w:val="21"/>
                <w:lang w:val="en-US" w:eastAsia="zh-CN"/>
              </w:rPr>
              <w:t>2325.603</w:t>
            </w:r>
          </w:p>
        </w:tc>
        <w:tc>
          <w:tcPr>
            <w:tcW w:w="800" w:type="pct"/>
            <w:shd w:val="clear" w:color="auto" w:fill="auto"/>
            <w:vAlign w:val="center"/>
          </w:tcPr>
          <w:p w14:paraId="4B2E7524">
            <w:pPr>
              <w:adjustRightInd w:val="0"/>
              <w:snapToGrid w:val="0"/>
              <w:spacing w:line="320" w:lineRule="exact"/>
              <w:jc w:val="center"/>
              <w:rPr>
                <w:color w:val="auto"/>
                <w:szCs w:val="21"/>
              </w:rPr>
            </w:pPr>
            <w:r>
              <w:rPr>
                <w:rFonts w:hint="eastAsia"/>
                <w:color w:val="auto"/>
                <w:szCs w:val="21"/>
                <w:lang w:val="en-US" w:eastAsia="zh-CN"/>
              </w:rPr>
              <w:t>35.456</w:t>
            </w:r>
          </w:p>
        </w:tc>
      </w:tr>
      <w:tr w14:paraId="71CC87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569" w:type="pct"/>
            <w:vMerge w:val="continue"/>
            <w:shd w:val="clear" w:color="auto" w:fill="auto"/>
            <w:vAlign w:val="center"/>
          </w:tcPr>
          <w:p w14:paraId="4788AD64">
            <w:pPr>
              <w:adjustRightInd w:val="0"/>
              <w:snapToGrid w:val="0"/>
              <w:spacing w:line="320" w:lineRule="exact"/>
              <w:jc w:val="center"/>
              <w:rPr>
                <w:rFonts w:eastAsia="仿宋_GB2312"/>
                <w:b/>
                <w:bCs/>
                <w:color w:val="FF0000"/>
                <w:szCs w:val="21"/>
              </w:rPr>
            </w:pPr>
          </w:p>
        </w:tc>
        <w:tc>
          <w:tcPr>
            <w:tcW w:w="591" w:type="pct"/>
            <w:vMerge w:val="continue"/>
            <w:shd w:val="clear" w:color="auto" w:fill="auto"/>
            <w:vAlign w:val="center"/>
          </w:tcPr>
          <w:p w14:paraId="6170C379">
            <w:pPr>
              <w:adjustRightInd w:val="0"/>
              <w:snapToGrid w:val="0"/>
              <w:spacing w:line="320" w:lineRule="exact"/>
              <w:jc w:val="center"/>
              <w:rPr>
                <w:rFonts w:eastAsia="仿宋_GB2312"/>
                <w:bCs/>
                <w:color w:val="FF0000"/>
                <w:szCs w:val="21"/>
              </w:rPr>
            </w:pPr>
          </w:p>
        </w:tc>
        <w:tc>
          <w:tcPr>
            <w:tcW w:w="1250" w:type="pct"/>
            <w:shd w:val="clear" w:color="auto" w:fill="auto"/>
            <w:vAlign w:val="center"/>
          </w:tcPr>
          <w:p w14:paraId="3E07D33F">
            <w:pPr>
              <w:keepNext w:val="0"/>
              <w:keepLines w:val="0"/>
              <w:widowControl/>
              <w:suppressLineNumbers w:val="0"/>
              <w:jc w:val="center"/>
              <w:textAlignment w:val="bottom"/>
              <w:rPr>
                <w:rFonts w:eastAsia="仿宋_GB2312"/>
                <w:bCs/>
                <w:color w:val="auto"/>
                <w:szCs w:val="21"/>
              </w:rPr>
            </w:pPr>
            <w:r>
              <w:rPr>
                <w:rFonts w:hint="default" w:ascii="仿宋_GB2312" w:hAnsi="宋体" w:eastAsia="仿宋_GB2312" w:cs="仿宋_GB2312"/>
                <w:i w:val="0"/>
                <w:iCs w:val="0"/>
                <w:color w:val="auto"/>
                <w:kern w:val="0"/>
                <w:sz w:val="21"/>
                <w:szCs w:val="21"/>
                <w:u w:val="none"/>
                <w:lang w:val="en-US" w:eastAsia="zh-CN" w:bidi="ar"/>
              </w:rPr>
              <w:t>二噁英</w:t>
            </w:r>
          </w:p>
        </w:tc>
        <w:tc>
          <w:tcPr>
            <w:tcW w:w="894" w:type="pct"/>
            <w:shd w:val="clear" w:color="auto" w:fill="auto"/>
            <w:vAlign w:val="center"/>
          </w:tcPr>
          <w:p w14:paraId="4D3FED01">
            <w:pPr>
              <w:adjustRightInd w:val="0"/>
              <w:snapToGrid w:val="0"/>
              <w:spacing w:line="320" w:lineRule="exact"/>
              <w:jc w:val="center"/>
              <w:rPr>
                <w:rFonts w:hint="eastAsia" w:eastAsia="仿宋_GB2312"/>
                <w:bCs/>
                <w:color w:val="auto"/>
                <w:szCs w:val="21"/>
                <w:lang w:val="en-US" w:eastAsia="zh-CN"/>
              </w:rPr>
            </w:pPr>
            <w:r>
              <w:rPr>
                <w:rFonts w:hint="eastAsia" w:eastAsia="仿宋_GB2312"/>
                <w:bCs/>
                <w:color w:val="auto"/>
                <w:szCs w:val="21"/>
                <w:lang w:val="en-US" w:eastAsia="zh-CN"/>
              </w:rPr>
              <w:t>/</w:t>
            </w:r>
          </w:p>
        </w:tc>
        <w:tc>
          <w:tcPr>
            <w:tcW w:w="894" w:type="pct"/>
            <w:shd w:val="clear" w:color="auto" w:fill="auto"/>
            <w:vAlign w:val="center"/>
          </w:tcPr>
          <w:p w14:paraId="28742664">
            <w:pPr>
              <w:adjustRightInd w:val="0"/>
              <w:snapToGrid w:val="0"/>
              <w:spacing w:line="320" w:lineRule="exact"/>
              <w:jc w:val="center"/>
              <w:rPr>
                <w:rFonts w:hint="eastAsia" w:eastAsia="宋体"/>
                <w:color w:val="auto"/>
                <w:szCs w:val="21"/>
                <w:lang w:val="en-US" w:eastAsia="zh-CN"/>
              </w:rPr>
            </w:pPr>
            <w:r>
              <w:rPr>
                <w:rFonts w:hint="eastAsia"/>
                <w:color w:val="auto"/>
                <w:szCs w:val="21"/>
                <w:lang w:val="en-US" w:eastAsia="zh-CN"/>
              </w:rPr>
              <w:t>/</w:t>
            </w:r>
          </w:p>
        </w:tc>
        <w:tc>
          <w:tcPr>
            <w:tcW w:w="800" w:type="pct"/>
            <w:shd w:val="clear" w:color="auto" w:fill="auto"/>
            <w:vAlign w:val="center"/>
          </w:tcPr>
          <w:p w14:paraId="0AF19ACE">
            <w:pPr>
              <w:adjustRightInd w:val="0"/>
              <w:snapToGrid w:val="0"/>
              <w:spacing w:line="320" w:lineRule="exact"/>
              <w:jc w:val="center"/>
              <w:rPr>
                <w:rFonts w:hint="default" w:eastAsia="仿宋_GB2312"/>
                <w:bCs/>
                <w:color w:val="auto"/>
                <w:szCs w:val="21"/>
                <w:lang w:val="en-US" w:eastAsia="zh-CN"/>
              </w:rPr>
            </w:pPr>
            <w:r>
              <w:rPr>
                <w:rFonts w:hint="eastAsia" w:eastAsia="仿宋_GB2312"/>
                <w:bCs/>
                <w:color w:val="auto"/>
                <w:szCs w:val="21"/>
                <w:lang w:val="en-US" w:eastAsia="zh-CN"/>
              </w:rPr>
              <w:t>0.02g</w:t>
            </w:r>
          </w:p>
        </w:tc>
      </w:tr>
      <w:tr w14:paraId="4CDBA2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569" w:type="pct"/>
            <w:vMerge w:val="continue"/>
            <w:shd w:val="clear" w:color="auto" w:fill="auto"/>
            <w:vAlign w:val="center"/>
          </w:tcPr>
          <w:p w14:paraId="4485FE24">
            <w:pPr>
              <w:adjustRightInd w:val="0"/>
              <w:snapToGrid w:val="0"/>
              <w:spacing w:line="320" w:lineRule="exact"/>
              <w:jc w:val="center"/>
              <w:rPr>
                <w:rFonts w:eastAsia="仿宋_GB2312"/>
                <w:b/>
                <w:bCs/>
                <w:color w:val="FF0000"/>
                <w:szCs w:val="21"/>
              </w:rPr>
            </w:pPr>
          </w:p>
        </w:tc>
        <w:tc>
          <w:tcPr>
            <w:tcW w:w="591" w:type="pct"/>
            <w:vMerge w:val="restart"/>
            <w:shd w:val="clear" w:color="auto" w:fill="auto"/>
            <w:vAlign w:val="center"/>
          </w:tcPr>
          <w:p w14:paraId="63738464">
            <w:pPr>
              <w:adjustRightInd w:val="0"/>
              <w:snapToGrid w:val="0"/>
              <w:spacing w:line="320" w:lineRule="exact"/>
              <w:jc w:val="center"/>
              <w:rPr>
                <w:rFonts w:eastAsia="仿宋_GB2312"/>
                <w:bCs/>
                <w:color w:val="auto"/>
                <w:szCs w:val="21"/>
              </w:rPr>
            </w:pPr>
            <w:r>
              <w:rPr>
                <w:rFonts w:eastAsia="仿宋_GB2312"/>
                <w:bCs/>
                <w:color w:val="auto"/>
                <w:szCs w:val="21"/>
              </w:rPr>
              <w:t>无组织废气</w:t>
            </w:r>
          </w:p>
        </w:tc>
        <w:tc>
          <w:tcPr>
            <w:tcW w:w="1250" w:type="pct"/>
            <w:shd w:val="clear" w:color="auto" w:fill="auto"/>
            <w:vAlign w:val="center"/>
          </w:tcPr>
          <w:p w14:paraId="61AADDF2">
            <w:pPr>
              <w:keepNext w:val="0"/>
              <w:keepLines w:val="0"/>
              <w:widowControl/>
              <w:suppressLineNumbers w:val="0"/>
              <w:jc w:val="center"/>
              <w:textAlignment w:val="bottom"/>
              <w:rPr>
                <w:rFonts w:ascii="Times New Roman" w:hAnsi="Times New Roman" w:eastAsia="仿宋_GB2312" w:cs="Times New Roman"/>
                <w:color w:val="auto"/>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NMP</w:t>
            </w:r>
          </w:p>
        </w:tc>
        <w:tc>
          <w:tcPr>
            <w:tcW w:w="894" w:type="pct"/>
            <w:shd w:val="clear" w:color="auto" w:fill="auto"/>
            <w:vAlign w:val="center"/>
          </w:tcPr>
          <w:p w14:paraId="73118326">
            <w:pPr>
              <w:keepNext w:val="0"/>
              <w:keepLines w:val="0"/>
              <w:widowControl/>
              <w:suppressLineNumbers w:val="0"/>
              <w:jc w:val="center"/>
              <w:textAlignment w:val="bottom"/>
              <w:rPr>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0.057</w:t>
            </w:r>
          </w:p>
        </w:tc>
        <w:tc>
          <w:tcPr>
            <w:tcW w:w="894" w:type="pct"/>
            <w:shd w:val="clear" w:color="auto" w:fill="auto"/>
            <w:vAlign w:val="center"/>
          </w:tcPr>
          <w:p w14:paraId="01E13AC6">
            <w:pPr>
              <w:adjustRightInd w:val="0"/>
              <w:snapToGrid w:val="0"/>
              <w:spacing w:line="320" w:lineRule="exact"/>
              <w:jc w:val="center"/>
              <w:rPr>
                <w:rFonts w:hint="eastAsia" w:eastAsia="宋体"/>
                <w:color w:val="auto"/>
                <w:szCs w:val="21"/>
                <w:lang w:val="en-US" w:eastAsia="zh-CN"/>
              </w:rPr>
            </w:pPr>
            <w:r>
              <w:rPr>
                <w:rFonts w:hint="eastAsia"/>
                <w:color w:val="auto"/>
                <w:szCs w:val="21"/>
                <w:lang w:val="en-US" w:eastAsia="zh-CN"/>
              </w:rPr>
              <w:t>/</w:t>
            </w:r>
          </w:p>
        </w:tc>
        <w:tc>
          <w:tcPr>
            <w:tcW w:w="800" w:type="pct"/>
            <w:shd w:val="clear" w:color="auto" w:fill="auto"/>
            <w:vAlign w:val="center"/>
          </w:tcPr>
          <w:p w14:paraId="38987C0C">
            <w:pPr>
              <w:keepNext w:val="0"/>
              <w:keepLines w:val="0"/>
              <w:widowControl/>
              <w:suppressLineNumbers w:val="0"/>
              <w:jc w:val="center"/>
              <w:textAlignment w:val="bottom"/>
              <w:rPr>
                <w:rFonts w:ascii="Times New Roman" w:hAnsi="Times New Roman" w:eastAsia="宋体" w:cs="Times New Roman"/>
                <w:b/>
                <w:color w:val="FF0000"/>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0.057</w:t>
            </w:r>
          </w:p>
        </w:tc>
      </w:tr>
      <w:tr w14:paraId="482BBD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569" w:type="pct"/>
            <w:vMerge w:val="continue"/>
            <w:shd w:val="clear" w:color="auto" w:fill="auto"/>
            <w:vAlign w:val="center"/>
          </w:tcPr>
          <w:p w14:paraId="20E63302">
            <w:pPr>
              <w:adjustRightInd w:val="0"/>
              <w:snapToGrid w:val="0"/>
              <w:spacing w:line="320" w:lineRule="exact"/>
              <w:jc w:val="center"/>
              <w:rPr>
                <w:rFonts w:eastAsia="仿宋_GB2312"/>
                <w:b/>
                <w:bCs/>
                <w:color w:val="FF0000"/>
                <w:szCs w:val="21"/>
              </w:rPr>
            </w:pPr>
          </w:p>
        </w:tc>
        <w:tc>
          <w:tcPr>
            <w:tcW w:w="591" w:type="pct"/>
            <w:vMerge w:val="continue"/>
            <w:shd w:val="clear" w:color="auto" w:fill="auto"/>
            <w:vAlign w:val="center"/>
          </w:tcPr>
          <w:p w14:paraId="3A3FA7B9">
            <w:pPr>
              <w:adjustRightInd w:val="0"/>
              <w:snapToGrid w:val="0"/>
              <w:spacing w:line="320" w:lineRule="exact"/>
              <w:jc w:val="center"/>
              <w:rPr>
                <w:rFonts w:eastAsia="仿宋_GB2312"/>
                <w:b/>
                <w:bCs/>
                <w:color w:val="auto"/>
                <w:szCs w:val="21"/>
              </w:rPr>
            </w:pPr>
          </w:p>
        </w:tc>
        <w:tc>
          <w:tcPr>
            <w:tcW w:w="1250" w:type="pct"/>
            <w:shd w:val="clear" w:color="auto" w:fill="auto"/>
            <w:vAlign w:val="center"/>
          </w:tcPr>
          <w:p w14:paraId="37122F70">
            <w:pPr>
              <w:keepNext w:val="0"/>
              <w:keepLines w:val="0"/>
              <w:widowControl/>
              <w:suppressLineNumbers w:val="0"/>
              <w:jc w:val="center"/>
              <w:textAlignment w:val="bottom"/>
              <w:rPr>
                <w:rFonts w:ascii="Times New Roman" w:hAnsi="Times New Roman" w:eastAsia="仿宋_GB2312" w:cs="Times New Roman"/>
                <w:color w:val="auto"/>
                <w:kern w:val="2"/>
                <w:sz w:val="21"/>
                <w:szCs w:val="21"/>
                <w:lang w:val="en-US" w:eastAsia="zh-CN" w:bidi="ar-SA"/>
              </w:rPr>
            </w:pPr>
            <w:r>
              <w:rPr>
                <w:rFonts w:hint="default" w:ascii="仿宋_GB2312" w:hAnsi="宋体" w:eastAsia="仿宋_GB2312" w:cs="仿宋_GB2312"/>
                <w:i w:val="0"/>
                <w:iCs w:val="0"/>
                <w:color w:val="auto"/>
                <w:kern w:val="0"/>
                <w:sz w:val="21"/>
                <w:szCs w:val="21"/>
                <w:u w:val="none"/>
                <w:lang w:val="en-US" w:eastAsia="zh-CN" w:bidi="ar"/>
              </w:rPr>
              <w:t>异丙醇</w:t>
            </w:r>
          </w:p>
        </w:tc>
        <w:tc>
          <w:tcPr>
            <w:tcW w:w="894" w:type="pct"/>
            <w:shd w:val="clear" w:color="auto" w:fill="auto"/>
            <w:vAlign w:val="center"/>
          </w:tcPr>
          <w:p w14:paraId="4FB29D40">
            <w:pPr>
              <w:keepNext w:val="0"/>
              <w:keepLines w:val="0"/>
              <w:widowControl/>
              <w:suppressLineNumbers w:val="0"/>
              <w:jc w:val="center"/>
              <w:textAlignment w:val="bottom"/>
              <w:rPr>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0.26</w:t>
            </w:r>
          </w:p>
        </w:tc>
        <w:tc>
          <w:tcPr>
            <w:tcW w:w="894" w:type="pct"/>
            <w:shd w:val="clear" w:color="auto" w:fill="auto"/>
            <w:vAlign w:val="center"/>
          </w:tcPr>
          <w:p w14:paraId="1247779F">
            <w:pPr>
              <w:adjustRightInd w:val="0"/>
              <w:snapToGrid w:val="0"/>
              <w:spacing w:line="320" w:lineRule="exact"/>
              <w:jc w:val="center"/>
              <w:rPr>
                <w:rFonts w:hint="eastAsia" w:eastAsia="宋体"/>
                <w:color w:val="auto"/>
                <w:szCs w:val="21"/>
                <w:lang w:val="en-US" w:eastAsia="zh-CN"/>
              </w:rPr>
            </w:pPr>
            <w:r>
              <w:rPr>
                <w:rFonts w:hint="eastAsia"/>
                <w:color w:val="auto"/>
                <w:szCs w:val="21"/>
                <w:lang w:val="en-US" w:eastAsia="zh-CN"/>
              </w:rPr>
              <w:t>/</w:t>
            </w:r>
          </w:p>
        </w:tc>
        <w:tc>
          <w:tcPr>
            <w:tcW w:w="800" w:type="pct"/>
            <w:shd w:val="clear" w:color="auto" w:fill="auto"/>
            <w:vAlign w:val="center"/>
          </w:tcPr>
          <w:p w14:paraId="5AC4BA4B">
            <w:pPr>
              <w:keepNext w:val="0"/>
              <w:keepLines w:val="0"/>
              <w:widowControl/>
              <w:suppressLineNumbers w:val="0"/>
              <w:jc w:val="center"/>
              <w:textAlignment w:val="bottom"/>
              <w:rPr>
                <w:rFonts w:ascii="Times New Roman" w:hAnsi="Times New Roman" w:eastAsia="宋体" w:cs="Times New Roman"/>
                <w:b/>
                <w:color w:val="FF0000"/>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0.26</w:t>
            </w:r>
          </w:p>
        </w:tc>
      </w:tr>
      <w:tr w14:paraId="5B6D1E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569" w:type="pct"/>
            <w:vMerge w:val="continue"/>
            <w:shd w:val="clear" w:color="auto" w:fill="auto"/>
            <w:vAlign w:val="center"/>
          </w:tcPr>
          <w:p w14:paraId="51133F5B">
            <w:pPr>
              <w:adjustRightInd w:val="0"/>
              <w:snapToGrid w:val="0"/>
              <w:spacing w:line="320" w:lineRule="exact"/>
              <w:jc w:val="center"/>
              <w:rPr>
                <w:rFonts w:eastAsia="仿宋_GB2312"/>
                <w:b/>
                <w:bCs/>
                <w:color w:val="FF0000"/>
                <w:szCs w:val="21"/>
              </w:rPr>
            </w:pPr>
          </w:p>
        </w:tc>
        <w:tc>
          <w:tcPr>
            <w:tcW w:w="591" w:type="pct"/>
            <w:vMerge w:val="continue"/>
            <w:shd w:val="clear" w:color="auto" w:fill="auto"/>
            <w:vAlign w:val="center"/>
          </w:tcPr>
          <w:p w14:paraId="6A72794C">
            <w:pPr>
              <w:adjustRightInd w:val="0"/>
              <w:snapToGrid w:val="0"/>
              <w:spacing w:line="320" w:lineRule="exact"/>
              <w:jc w:val="center"/>
              <w:rPr>
                <w:rFonts w:eastAsia="仿宋_GB2312"/>
                <w:b/>
                <w:bCs/>
                <w:color w:val="auto"/>
                <w:szCs w:val="21"/>
              </w:rPr>
            </w:pPr>
          </w:p>
        </w:tc>
        <w:tc>
          <w:tcPr>
            <w:tcW w:w="1250" w:type="pct"/>
            <w:shd w:val="clear" w:color="auto" w:fill="auto"/>
            <w:vAlign w:val="center"/>
          </w:tcPr>
          <w:p w14:paraId="44A44063">
            <w:pPr>
              <w:keepNext w:val="0"/>
              <w:keepLines w:val="0"/>
              <w:widowControl/>
              <w:suppressLineNumbers w:val="0"/>
              <w:jc w:val="center"/>
              <w:textAlignment w:val="bottom"/>
              <w:rPr>
                <w:rFonts w:ascii="Times New Roman" w:hAnsi="Times New Roman" w:eastAsia="等线" w:cs="Times New Roman"/>
                <w:color w:val="auto"/>
                <w:kern w:val="2"/>
                <w:sz w:val="21"/>
                <w:szCs w:val="21"/>
                <w:lang w:val="en-US" w:eastAsia="zh-CN" w:bidi="ar-SA"/>
              </w:rPr>
            </w:pPr>
            <w:r>
              <w:rPr>
                <w:rFonts w:hint="default" w:ascii="仿宋_GB2312" w:hAnsi="宋体" w:eastAsia="仿宋_GB2312" w:cs="仿宋_GB2312"/>
                <w:i w:val="0"/>
                <w:iCs w:val="0"/>
                <w:color w:val="auto"/>
                <w:kern w:val="0"/>
                <w:sz w:val="21"/>
                <w:szCs w:val="21"/>
                <w:u w:val="none"/>
                <w:lang w:val="en-US" w:eastAsia="zh-CN" w:bidi="ar"/>
              </w:rPr>
              <w:t>丁酮</w:t>
            </w:r>
          </w:p>
        </w:tc>
        <w:tc>
          <w:tcPr>
            <w:tcW w:w="894" w:type="pct"/>
            <w:shd w:val="clear" w:color="auto" w:fill="auto"/>
            <w:vAlign w:val="center"/>
          </w:tcPr>
          <w:p w14:paraId="6C46DF64">
            <w:pPr>
              <w:keepNext w:val="0"/>
              <w:keepLines w:val="0"/>
              <w:widowControl/>
              <w:suppressLineNumbers w:val="0"/>
              <w:jc w:val="center"/>
              <w:textAlignment w:val="bottom"/>
              <w:rPr>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0.0074</w:t>
            </w:r>
          </w:p>
        </w:tc>
        <w:tc>
          <w:tcPr>
            <w:tcW w:w="894" w:type="pct"/>
            <w:shd w:val="clear" w:color="auto" w:fill="auto"/>
            <w:vAlign w:val="center"/>
          </w:tcPr>
          <w:p w14:paraId="75F4FFD4">
            <w:pPr>
              <w:adjustRightInd w:val="0"/>
              <w:snapToGrid w:val="0"/>
              <w:spacing w:line="320" w:lineRule="exact"/>
              <w:jc w:val="center"/>
              <w:rPr>
                <w:rFonts w:hint="eastAsia" w:eastAsia="宋体"/>
                <w:color w:val="auto"/>
                <w:szCs w:val="21"/>
                <w:lang w:val="en-US" w:eastAsia="zh-CN"/>
              </w:rPr>
            </w:pPr>
            <w:r>
              <w:rPr>
                <w:rFonts w:hint="eastAsia"/>
                <w:color w:val="auto"/>
                <w:szCs w:val="21"/>
                <w:lang w:val="en-US" w:eastAsia="zh-CN"/>
              </w:rPr>
              <w:t>/</w:t>
            </w:r>
          </w:p>
        </w:tc>
        <w:tc>
          <w:tcPr>
            <w:tcW w:w="800" w:type="pct"/>
            <w:shd w:val="clear" w:color="auto" w:fill="auto"/>
            <w:vAlign w:val="center"/>
          </w:tcPr>
          <w:p w14:paraId="530755A3">
            <w:pPr>
              <w:keepNext w:val="0"/>
              <w:keepLines w:val="0"/>
              <w:widowControl/>
              <w:suppressLineNumbers w:val="0"/>
              <w:jc w:val="center"/>
              <w:textAlignment w:val="bottom"/>
              <w:rPr>
                <w:rFonts w:ascii="Times New Roman" w:hAnsi="Times New Roman" w:eastAsia="宋体" w:cs="Times New Roman"/>
                <w:b/>
                <w:color w:val="FF0000"/>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0.0074</w:t>
            </w:r>
          </w:p>
        </w:tc>
      </w:tr>
      <w:tr w14:paraId="0240E7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569" w:type="pct"/>
            <w:vMerge w:val="continue"/>
            <w:shd w:val="clear" w:color="auto" w:fill="auto"/>
            <w:vAlign w:val="center"/>
          </w:tcPr>
          <w:p w14:paraId="042B03D5">
            <w:pPr>
              <w:adjustRightInd w:val="0"/>
              <w:snapToGrid w:val="0"/>
              <w:spacing w:line="320" w:lineRule="exact"/>
              <w:jc w:val="center"/>
              <w:rPr>
                <w:rFonts w:eastAsia="仿宋_GB2312"/>
                <w:b/>
                <w:bCs/>
                <w:color w:val="FF0000"/>
                <w:szCs w:val="21"/>
              </w:rPr>
            </w:pPr>
          </w:p>
        </w:tc>
        <w:tc>
          <w:tcPr>
            <w:tcW w:w="591" w:type="pct"/>
            <w:vMerge w:val="continue"/>
            <w:shd w:val="clear" w:color="auto" w:fill="auto"/>
            <w:vAlign w:val="center"/>
          </w:tcPr>
          <w:p w14:paraId="013EBC4D">
            <w:pPr>
              <w:adjustRightInd w:val="0"/>
              <w:snapToGrid w:val="0"/>
              <w:spacing w:line="320" w:lineRule="exact"/>
              <w:jc w:val="center"/>
              <w:rPr>
                <w:rFonts w:eastAsia="仿宋_GB2312"/>
                <w:b/>
                <w:bCs/>
                <w:color w:val="auto"/>
                <w:szCs w:val="21"/>
              </w:rPr>
            </w:pPr>
          </w:p>
        </w:tc>
        <w:tc>
          <w:tcPr>
            <w:tcW w:w="1250" w:type="pct"/>
            <w:shd w:val="clear" w:color="auto" w:fill="auto"/>
            <w:vAlign w:val="center"/>
          </w:tcPr>
          <w:p w14:paraId="5ECA991B">
            <w:pPr>
              <w:keepNext w:val="0"/>
              <w:keepLines w:val="0"/>
              <w:widowControl/>
              <w:suppressLineNumbers w:val="0"/>
              <w:jc w:val="center"/>
              <w:textAlignment w:val="bottom"/>
              <w:rPr>
                <w:rFonts w:ascii="Times New Roman" w:hAnsi="Times New Roman" w:eastAsia="仿宋_GB2312" w:cs="Times New Roman"/>
                <w:bCs/>
                <w:color w:val="auto"/>
                <w:kern w:val="2"/>
                <w:sz w:val="21"/>
                <w:szCs w:val="21"/>
                <w:lang w:val="en-US" w:eastAsia="zh-CN" w:bidi="ar-SA"/>
              </w:rPr>
            </w:pPr>
            <w:r>
              <w:rPr>
                <w:rFonts w:hint="default" w:ascii="仿宋_GB2312" w:hAnsi="宋体" w:eastAsia="仿宋_GB2312" w:cs="仿宋_GB2312"/>
                <w:i w:val="0"/>
                <w:iCs w:val="0"/>
                <w:color w:val="auto"/>
                <w:kern w:val="0"/>
                <w:sz w:val="21"/>
                <w:szCs w:val="21"/>
                <w:u w:val="none"/>
                <w:lang w:val="en-US" w:eastAsia="zh-CN" w:bidi="ar"/>
              </w:rPr>
              <w:t>乙醇</w:t>
            </w:r>
          </w:p>
        </w:tc>
        <w:tc>
          <w:tcPr>
            <w:tcW w:w="894" w:type="pct"/>
            <w:shd w:val="clear" w:color="auto" w:fill="auto"/>
            <w:vAlign w:val="center"/>
          </w:tcPr>
          <w:p w14:paraId="1D60976C">
            <w:pPr>
              <w:keepNext w:val="0"/>
              <w:keepLines w:val="0"/>
              <w:widowControl/>
              <w:suppressLineNumbers w:val="0"/>
              <w:jc w:val="center"/>
              <w:textAlignment w:val="bottom"/>
              <w:rPr>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0.2904</w:t>
            </w:r>
          </w:p>
        </w:tc>
        <w:tc>
          <w:tcPr>
            <w:tcW w:w="894" w:type="pct"/>
            <w:shd w:val="clear" w:color="auto" w:fill="auto"/>
            <w:vAlign w:val="center"/>
          </w:tcPr>
          <w:p w14:paraId="1D9DDDC8">
            <w:pPr>
              <w:adjustRightInd w:val="0"/>
              <w:snapToGrid w:val="0"/>
              <w:spacing w:line="320" w:lineRule="exact"/>
              <w:jc w:val="center"/>
              <w:rPr>
                <w:rFonts w:hint="eastAsia" w:eastAsia="宋体"/>
                <w:color w:val="auto"/>
                <w:szCs w:val="21"/>
                <w:lang w:val="en-US" w:eastAsia="zh-CN"/>
              </w:rPr>
            </w:pPr>
            <w:r>
              <w:rPr>
                <w:rFonts w:hint="eastAsia"/>
                <w:color w:val="auto"/>
                <w:szCs w:val="21"/>
                <w:lang w:val="en-US" w:eastAsia="zh-CN"/>
              </w:rPr>
              <w:t>/</w:t>
            </w:r>
          </w:p>
        </w:tc>
        <w:tc>
          <w:tcPr>
            <w:tcW w:w="800" w:type="pct"/>
            <w:shd w:val="clear" w:color="auto" w:fill="auto"/>
            <w:vAlign w:val="center"/>
          </w:tcPr>
          <w:p w14:paraId="4C520970">
            <w:pPr>
              <w:keepNext w:val="0"/>
              <w:keepLines w:val="0"/>
              <w:widowControl/>
              <w:suppressLineNumbers w:val="0"/>
              <w:jc w:val="center"/>
              <w:textAlignment w:val="bottom"/>
              <w:rPr>
                <w:rFonts w:ascii="Times New Roman" w:hAnsi="Times New Roman" w:eastAsia="宋体" w:cs="Times New Roman"/>
                <w:b/>
                <w:color w:val="FF0000"/>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0.2904</w:t>
            </w:r>
          </w:p>
        </w:tc>
      </w:tr>
      <w:tr w14:paraId="2BC278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569" w:type="pct"/>
            <w:vMerge w:val="continue"/>
            <w:shd w:val="clear" w:color="auto" w:fill="auto"/>
            <w:vAlign w:val="center"/>
          </w:tcPr>
          <w:p w14:paraId="0F1036F1">
            <w:pPr>
              <w:adjustRightInd w:val="0"/>
              <w:snapToGrid w:val="0"/>
              <w:spacing w:line="320" w:lineRule="exact"/>
              <w:jc w:val="center"/>
              <w:rPr>
                <w:rFonts w:eastAsia="仿宋_GB2312"/>
                <w:b/>
                <w:bCs/>
                <w:color w:val="FF0000"/>
                <w:szCs w:val="21"/>
              </w:rPr>
            </w:pPr>
          </w:p>
        </w:tc>
        <w:tc>
          <w:tcPr>
            <w:tcW w:w="591" w:type="pct"/>
            <w:vMerge w:val="continue"/>
            <w:shd w:val="clear" w:color="auto" w:fill="auto"/>
            <w:vAlign w:val="center"/>
          </w:tcPr>
          <w:p w14:paraId="7C187C37">
            <w:pPr>
              <w:adjustRightInd w:val="0"/>
              <w:snapToGrid w:val="0"/>
              <w:spacing w:line="320" w:lineRule="exact"/>
              <w:jc w:val="center"/>
              <w:rPr>
                <w:rFonts w:eastAsia="仿宋_GB2312"/>
                <w:b/>
                <w:bCs/>
                <w:color w:val="auto"/>
                <w:szCs w:val="21"/>
              </w:rPr>
            </w:pPr>
          </w:p>
        </w:tc>
        <w:tc>
          <w:tcPr>
            <w:tcW w:w="1250" w:type="pct"/>
            <w:shd w:val="clear" w:color="auto" w:fill="auto"/>
            <w:vAlign w:val="center"/>
          </w:tcPr>
          <w:p w14:paraId="52623175">
            <w:pPr>
              <w:keepNext w:val="0"/>
              <w:keepLines w:val="0"/>
              <w:widowControl/>
              <w:suppressLineNumbers w:val="0"/>
              <w:jc w:val="center"/>
              <w:textAlignment w:val="bottom"/>
              <w:rPr>
                <w:rFonts w:ascii="Times New Roman" w:hAnsi="Times New Roman" w:eastAsia="仿宋_GB2312" w:cs="Times New Roman"/>
                <w:bCs/>
                <w:color w:val="auto"/>
                <w:kern w:val="2"/>
                <w:sz w:val="21"/>
                <w:szCs w:val="21"/>
                <w:lang w:val="en-US" w:eastAsia="zh-CN" w:bidi="ar-SA"/>
              </w:rPr>
            </w:pPr>
            <w:r>
              <w:rPr>
                <w:rFonts w:hint="default" w:ascii="仿宋_GB2312" w:hAnsi="宋体" w:eastAsia="仿宋_GB2312" w:cs="仿宋_GB2312"/>
                <w:i w:val="0"/>
                <w:iCs w:val="0"/>
                <w:color w:val="auto"/>
                <w:kern w:val="0"/>
                <w:sz w:val="21"/>
                <w:szCs w:val="21"/>
                <w:u w:val="none"/>
                <w:lang w:val="en-US" w:eastAsia="zh-CN" w:bidi="ar"/>
              </w:rPr>
              <w:t>乙酸乙酯</w:t>
            </w:r>
          </w:p>
        </w:tc>
        <w:tc>
          <w:tcPr>
            <w:tcW w:w="894" w:type="pct"/>
            <w:shd w:val="clear" w:color="auto" w:fill="auto"/>
            <w:vAlign w:val="center"/>
          </w:tcPr>
          <w:p w14:paraId="1C102980">
            <w:pPr>
              <w:keepNext w:val="0"/>
              <w:keepLines w:val="0"/>
              <w:widowControl/>
              <w:suppressLineNumbers w:val="0"/>
              <w:jc w:val="center"/>
              <w:textAlignment w:val="bottom"/>
              <w:rPr>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0.0835</w:t>
            </w:r>
          </w:p>
        </w:tc>
        <w:tc>
          <w:tcPr>
            <w:tcW w:w="894" w:type="pct"/>
            <w:shd w:val="clear" w:color="auto" w:fill="auto"/>
            <w:vAlign w:val="center"/>
          </w:tcPr>
          <w:p w14:paraId="3314DEBB">
            <w:pPr>
              <w:adjustRightInd w:val="0"/>
              <w:snapToGrid w:val="0"/>
              <w:spacing w:line="320" w:lineRule="exact"/>
              <w:jc w:val="center"/>
              <w:rPr>
                <w:rFonts w:hint="eastAsia" w:eastAsia="宋体"/>
                <w:b/>
                <w:color w:val="auto"/>
                <w:szCs w:val="21"/>
                <w:lang w:val="en-US" w:eastAsia="zh-CN"/>
              </w:rPr>
            </w:pPr>
            <w:r>
              <w:rPr>
                <w:rFonts w:hint="eastAsia"/>
                <w:b/>
                <w:color w:val="auto"/>
                <w:szCs w:val="21"/>
                <w:lang w:val="en-US" w:eastAsia="zh-CN"/>
              </w:rPr>
              <w:t>/</w:t>
            </w:r>
          </w:p>
        </w:tc>
        <w:tc>
          <w:tcPr>
            <w:tcW w:w="800" w:type="pct"/>
            <w:shd w:val="clear" w:color="auto" w:fill="auto"/>
            <w:vAlign w:val="center"/>
          </w:tcPr>
          <w:p w14:paraId="42B16D7F">
            <w:pPr>
              <w:keepNext w:val="0"/>
              <w:keepLines w:val="0"/>
              <w:widowControl/>
              <w:suppressLineNumbers w:val="0"/>
              <w:jc w:val="center"/>
              <w:textAlignment w:val="bottom"/>
              <w:rPr>
                <w:rFonts w:ascii="Times New Roman" w:hAnsi="Times New Roman" w:eastAsia="宋体" w:cs="Times New Roman"/>
                <w:b/>
                <w:color w:val="FF0000"/>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0.0835</w:t>
            </w:r>
          </w:p>
        </w:tc>
      </w:tr>
      <w:tr w14:paraId="4ED21F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569" w:type="pct"/>
            <w:vMerge w:val="continue"/>
            <w:shd w:val="clear" w:color="auto" w:fill="auto"/>
            <w:vAlign w:val="center"/>
          </w:tcPr>
          <w:p w14:paraId="5E95BEC2">
            <w:pPr>
              <w:adjustRightInd w:val="0"/>
              <w:snapToGrid w:val="0"/>
              <w:spacing w:line="320" w:lineRule="exact"/>
              <w:jc w:val="center"/>
              <w:rPr>
                <w:rFonts w:eastAsia="仿宋_GB2312"/>
                <w:b/>
                <w:bCs/>
                <w:color w:val="FF0000"/>
                <w:szCs w:val="21"/>
              </w:rPr>
            </w:pPr>
          </w:p>
        </w:tc>
        <w:tc>
          <w:tcPr>
            <w:tcW w:w="591" w:type="pct"/>
            <w:vMerge w:val="continue"/>
            <w:shd w:val="clear" w:color="auto" w:fill="auto"/>
            <w:vAlign w:val="center"/>
          </w:tcPr>
          <w:p w14:paraId="31C406C6">
            <w:pPr>
              <w:adjustRightInd w:val="0"/>
              <w:snapToGrid w:val="0"/>
              <w:spacing w:line="320" w:lineRule="exact"/>
              <w:jc w:val="center"/>
              <w:rPr>
                <w:rFonts w:eastAsia="仿宋_GB2312"/>
                <w:b/>
                <w:bCs/>
                <w:color w:val="auto"/>
                <w:szCs w:val="21"/>
              </w:rPr>
            </w:pPr>
          </w:p>
        </w:tc>
        <w:tc>
          <w:tcPr>
            <w:tcW w:w="1250" w:type="pct"/>
            <w:shd w:val="clear" w:color="auto" w:fill="auto"/>
            <w:vAlign w:val="center"/>
          </w:tcPr>
          <w:p w14:paraId="48449BCB">
            <w:pPr>
              <w:keepNext w:val="0"/>
              <w:keepLines w:val="0"/>
              <w:widowControl/>
              <w:suppressLineNumbers w:val="0"/>
              <w:jc w:val="center"/>
              <w:textAlignment w:val="bottom"/>
              <w:rPr>
                <w:rFonts w:ascii="Times New Roman" w:hAnsi="Times New Roman" w:eastAsia="仿宋_GB2312" w:cs="Times New Roman"/>
                <w:bCs/>
                <w:color w:val="auto"/>
                <w:kern w:val="2"/>
                <w:sz w:val="21"/>
                <w:szCs w:val="21"/>
                <w:lang w:val="en-US" w:eastAsia="zh-CN" w:bidi="ar-SA"/>
              </w:rPr>
            </w:pPr>
            <w:r>
              <w:rPr>
                <w:rFonts w:hint="default" w:ascii="仿宋_GB2312" w:hAnsi="宋体" w:eastAsia="仿宋_GB2312" w:cs="仿宋_GB2312"/>
                <w:i w:val="0"/>
                <w:iCs w:val="0"/>
                <w:color w:val="auto"/>
                <w:kern w:val="0"/>
                <w:sz w:val="21"/>
                <w:szCs w:val="21"/>
                <w:u w:val="none"/>
                <w:lang w:val="en-US" w:eastAsia="zh-CN" w:bidi="ar"/>
              </w:rPr>
              <w:t>二氯甲烷</w:t>
            </w:r>
          </w:p>
        </w:tc>
        <w:tc>
          <w:tcPr>
            <w:tcW w:w="894" w:type="pct"/>
            <w:shd w:val="clear" w:color="auto" w:fill="auto"/>
            <w:vAlign w:val="center"/>
          </w:tcPr>
          <w:p w14:paraId="0B1987A0">
            <w:pPr>
              <w:keepNext w:val="0"/>
              <w:keepLines w:val="0"/>
              <w:widowControl/>
              <w:suppressLineNumbers w:val="0"/>
              <w:jc w:val="center"/>
              <w:textAlignment w:val="bottom"/>
              <w:rPr>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0.0624</w:t>
            </w:r>
          </w:p>
        </w:tc>
        <w:tc>
          <w:tcPr>
            <w:tcW w:w="894" w:type="pct"/>
            <w:shd w:val="clear" w:color="auto" w:fill="auto"/>
            <w:vAlign w:val="center"/>
          </w:tcPr>
          <w:p w14:paraId="6D74C689">
            <w:pPr>
              <w:adjustRightInd w:val="0"/>
              <w:snapToGrid w:val="0"/>
              <w:spacing w:line="320" w:lineRule="exact"/>
              <w:jc w:val="center"/>
              <w:rPr>
                <w:rFonts w:hint="eastAsia" w:eastAsia="宋体"/>
                <w:b/>
                <w:color w:val="auto"/>
                <w:szCs w:val="21"/>
                <w:lang w:val="en-US" w:eastAsia="zh-CN"/>
              </w:rPr>
            </w:pPr>
            <w:r>
              <w:rPr>
                <w:rFonts w:hint="eastAsia"/>
                <w:b/>
                <w:color w:val="auto"/>
                <w:szCs w:val="21"/>
                <w:lang w:val="en-US" w:eastAsia="zh-CN"/>
              </w:rPr>
              <w:t>/</w:t>
            </w:r>
          </w:p>
        </w:tc>
        <w:tc>
          <w:tcPr>
            <w:tcW w:w="800" w:type="pct"/>
            <w:shd w:val="clear" w:color="auto" w:fill="auto"/>
            <w:vAlign w:val="center"/>
          </w:tcPr>
          <w:p w14:paraId="33F16590">
            <w:pPr>
              <w:keepNext w:val="0"/>
              <w:keepLines w:val="0"/>
              <w:widowControl/>
              <w:suppressLineNumbers w:val="0"/>
              <w:jc w:val="center"/>
              <w:textAlignment w:val="bottom"/>
              <w:rPr>
                <w:rFonts w:ascii="Times New Roman" w:hAnsi="Times New Roman" w:eastAsia="宋体" w:cs="Times New Roman"/>
                <w:b/>
                <w:color w:val="FF0000"/>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0.0624</w:t>
            </w:r>
          </w:p>
        </w:tc>
      </w:tr>
      <w:tr w14:paraId="2E294F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569" w:type="pct"/>
            <w:vMerge w:val="continue"/>
            <w:shd w:val="clear" w:color="auto" w:fill="auto"/>
            <w:vAlign w:val="center"/>
          </w:tcPr>
          <w:p w14:paraId="6E0D6C52">
            <w:pPr>
              <w:adjustRightInd w:val="0"/>
              <w:snapToGrid w:val="0"/>
              <w:spacing w:line="320" w:lineRule="exact"/>
              <w:jc w:val="center"/>
              <w:rPr>
                <w:rFonts w:eastAsia="仿宋_GB2312"/>
                <w:b/>
                <w:bCs/>
                <w:color w:val="FF0000"/>
                <w:szCs w:val="21"/>
              </w:rPr>
            </w:pPr>
          </w:p>
        </w:tc>
        <w:tc>
          <w:tcPr>
            <w:tcW w:w="591" w:type="pct"/>
            <w:vMerge w:val="continue"/>
            <w:shd w:val="clear" w:color="auto" w:fill="auto"/>
            <w:vAlign w:val="center"/>
          </w:tcPr>
          <w:p w14:paraId="14017510">
            <w:pPr>
              <w:adjustRightInd w:val="0"/>
              <w:snapToGrid w:val="0"/>
              <w:spacing w:line="320" w:lineRule="exact"/>
              <w:jc w:val="center"/>
              <w:rPr>
                <w:rFonts w:eastAsia="仿宋_GB2312"/>
                <w:b/>
                <w:bCs/>
                <w:color w:val="auto"/>
                <w:szCs w:val="21"/>
              </w:rPr>
            </w:pPr>
          </w:p>
        </w:tc>
        <w:tc>
          <w:tcPr>
            <w:tcW w:w="1250" w:type="pct"/>
            <w:shd w:val="clear" w:color="auto" w:fill="auto"/>
            <w:vAlign w:val="center"/>
          </w:tcPr>
          <w:p w14:paraId="16F49040">
            <w:pPr>
              <w:keepNext w:val="0"/>
              <w:keepLines w:val="0"/>
              <w:widowControl/>
              <w:suppressLineNumbers w:val="0"/>
              <w:jc w:val="center"/>
              <w:textAlignment w:val="bottom"/>
              <w:rPr>
                <w:rFonts w:ascii="Times New Roman" w:hAnsi="Times New Roman" w:eastAsia="仿宋_GB2312" w:cs="Times New Roman"/>
                <w:bCs/>
                <w:color w:val="auto"/>
                <w:kern w:val="2"/>
                <w:sz w:val="21"/>
                <w:szCs w:val="21"/>
                <w:lang w:val="en-US" w:eastAsia="zh-CN" w:bidi="ar-SA"/>
              </w:rPr>
            </w:pPr>
            <w:r>
              <w:rPr>
                <w:rFonts w:hint="default" w:ascii="仿宋_GB2312" w:hAnsi="宋体" w:eastAsia="仿宋_GB2312" w:cs="仿宋_GB2312"/>
                <w:i w:val="0"/>
                <w:iCs w:val="0"/>
                <w:color w:val="auto"/>
                <w:kern w:val="0"/>
                <w:sz w:val="21"/>
                <w:szCs w:val="21"/>
                <w:u w:val="none"/>
                <w:lang w:val="en-US" w:eastAsia="zh-CN" w:bidi="ar"/>
              </w:rPr>
              <w:t>乙酸丁酯</w:t>
            </w:r>
          </w:p>
        </w:tc>
        <w:tc>
          <w:tcPr>
            <w:tcW w:w="894" w:type="pct"/>
            <w:shd w:val="clear" w:color="auto" w:fill="auto"/>
            <w:vAlign w:val="center"/>
          </w:tcPr>
          <w:p w14:paraId="3F4EABE2">
            <w:pPr>
              <w:keepNext w:val="0"/>
              <w:keepLines w:val="0"/>
              <w:widowControl/>
              <w:suppressLineNumbers w:val="0"/>
              <w:jc w:val="center"/>
              <w:textAlignment w:val="bottom"/>
              <w:rPr>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0.089</w:t>
            </w:r>
          </w:p>
        </w:tc>
        <w:tc>
          <w:tcPr>
            <w:tcW w:w="894" w:type="pct"/>
            <w:shd w:val="clear" w:color="auto" w:fill="auto"/>
            <w:vAlign w:val="center"/>
          </w:tcPr>
          <w:p w14:paraId="4824E5A0">
            <w:pPr>
              <w:adjustRightInd w:val="0"/>
              <w:snapToGrid w:val="0"/>
              <w:spacing w:line="320" w:lineRule="exact"/>
              <w:jc w:val="center"/>
              <w:rPr>
                <w:rFonts w:hint="eastAsia" w:eastAsia="宋体"/>
                <w:b/>
                <w:color w:val="auto"/>
                <w:szCs w:val="21"/>
                <w:lang w:val="en-US" w:eastAsia="zh-CN"/>
              </w:rPr>
            </w:pPr>
            <w:r>
              <w:rPr>
                <w:rFonts w:hint="eastAsia"/>
                <w:b/>
                <w:color w:val="auto"/>
                <w:szCs w:val="21"/>
                <w:lang w:val="en-US" w:eastAsia="zh-CN"/>
              </w:rPr>
              <w:t>/</w:t>
            </w:r>
          </w:p>
        </w:tc>
        <w:tc>
          <w:tcPr>
            <w:tcW w:w="800" w:type="pct"/>
            <w:shd w:val="clear" w:color="auto" w:fill="auto"/>
            <w:vAlign w:val="center"/>
          </w:tcPr>
          <w:p w14:paraId="4A8A13E0">
            <w:pPr>
              <w:keepNext w:val="0"/>
              <w:keepLines w:val="0"/>
              <w:widowControl/>
              <w:suppressLineNumbers w:val="0"/>
              <w:jc w:val="center"/>
              <w:textAlignment w:val="bottom"/>
              <w:rPr>
                <w:rFonts w:ascii="Times New Roman" w:hAnsi="Times New Roman" w:eastAsia="宋体" w:cs="Times New Roman"/>
                <w:b/>
                <w:color w:val="FF0000"/>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0.089</w:t>
            </w:r>
          </w:p>
        </w:tc>
      </w:tr>
      <w:tr w14:paraId="4AA21B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569" w:type="pct"/>
            <w:vMerge w:val="continue"/>
            <w:shd w:val="clear" w:color="auto" w:fill="auto"/>
            <w:vAlign w:val="center"/>
          </w:tcPr>
          <w:p w14:paraId="01E21E0E">
            <w:pPr>
              <w:adjustRightInd w:val="0"/>
              <w:snapToGrid w:val="0"/>
              <w:spacing w:line="320" w:lineRule="exact"/>
              <w:jc w:val="center"/>
              <w:rPr>
                <w:rFonts w:eastAsia="仿宋_GB2312"/>
                <w:b/>
                <w:bCs/>
                <w:color w:val="FF0000"/>
                <w:szCs w:val="21"/>
              </w:rPr>
            </w:pPr>
          </w:p>
        </w:tc>
        <w:tc>
          <w:tcPr>
            <w:tcW w:w="591" w:type="pct"/>
            <w:vMerge w:val="continue"/>
            <w:shd w:val="clear" w:color="auto" w:fill="auto"/>
            <w:vAlign w:val="center"/>
          </w:tcPr>
          <w:p w14:paraId="5AA7A4C6">
            <w:pPr>
              <w:adjustRightInd w:val="0"/>
              <w:snapToGrid w:val="0"/>
              <w:spacing w:line="320" w:lineRule="exact"/>
              <w:jc w:val="center"/>
              <w:rPr>
                <w:rFonts w:eastAsia="仿宋_GB2312"/>
                <w:b/>
                <w:bCs/>
                <w:color w:val="auto"/>
                <w:szCs w:val="21"/>
              </w:rPr>
            </w:pPr>
          </w:p>
        </w:tc>
        <w:tc>
          <w:tcPr>
            <w:tcW w:w="1250" w:type="pct"/>
            <w:shd w:val="clear" w:color="auto" w:fill="auto"/>
            <w:vAlign w:val="center"/>
          </w:tcPr>
          <w:p w14:paraId="6C6927C8">
            <w:pPr>
              <w:keepNext w:val="0"/>
              <w:keepLines w:val="0"/>
              <w:widowControl/>
              <w:suppressLineNumbers w:val="0"/>
              <w:jc w:val="center"/>
              <w:textAlignment w:val="bottom"/>
              <w:rPr>
                <w:rFonts w:ascii="Times New Roman" w:hAnsi="Times New Roman" w:eastAsia="仿宋_GB2312" w:cs="Times New Roman"/>
                <w:bCs/>
                <w:color w:val="auto"/>
                <w:kern w:val="2"/>
                <w:sz w:val="21"/>
                <w:szCs w:val="21"/>
                <w:lang w:val="en-US" w:eastAsia="zh-CN" w:bidi="ar-SA"/>
              </w:rPr>
            </w:pPr>
            <w:r>
              <w:rPr>
                <w:rFonts w:hint="default" w:ascii="仿宋_GB2312" w:hAnsi="宋体" w:eastAsia="仿宋_GB2312" w:cs="仿宋_GB2312"/>
                <w:i w:val="0"/>
                <w:iCs w:val="0"/>
                <w:color w:val="auto"/>
                <w:kern w:val="0"/>
                <w:sz w:val="21"/>
                <w:szCs w:val="21"/>
                <w:u w:val="none"/>
                <w:lang w:val="en-US" w:eastAsia="zh-CN" w:bidi="ar"/>
              </w:rPr>
              <w:t>二甲苯</w:t>
            </w:r>
          </w:p>
        </w:tc>
        <w:tc>
          <w:tcPr>
            <w:tcW w:w="894" w:type="pct"/>
            <w:shd w:val="clear" w:color="auto" w:fill="auto"/>
            <w:vAlign w:val="center"/>
          </w:tcPr>
          <w:p w14:paraId="19280B0F">
            <w:pPr>
              <w:keepNext w:val="0"/>
              <w:keepLines w:val="0"/>
              <w:widowControl/>
              <w:suppressLineNumbers w:val="0"/>
              <w:jc w:val="center"/>
              <w:textAlignment w:val="bottom"/>
              <w:rPr>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0.0182</w:t>
            </w:r>
          </w:p>
        </w:tc>
        <w:tc>
          <w:tcPr>
            <w:tcW w:w="894" w:type="pct"/>
            <w:shd w:val="clear" w:color="auto" w:fill="auto"/>
            <w:vAlign w:val="center"/>
          </w:tcPr>
          <w:p w14:paraId="303D0B67">
            <w:pPr>
              <w:adjustRightInd w:val="0"/>
              <w:snapToGrid w:val="0"/>
              <w:spacing w:line="320" w:lineRule="exact"/>
              <w:jc w:val="center"/>
              <w:rPr>
                <w:rFonts w:hint="eastAsia" w:eastAsia="宋体"/>
                <w:b/>
                <w:color w:val="auto"/>
                <w:szCs w:val="21"/>
                <w:lang w:val="en-US" w:eastAsia="zh-CN"/>
              </w:rPr>
            </w:pPr>
            <w:r>
              <w:rPr>
                <w:rFonts w:hint="eastAsia"/>
                <w:b/>
                <w:color w:val="auto"/>
                <w:szCs w:val="21"/>
                <w:lang w:val="en-US" w:eastAsia="zh-CN"/>
              </w:rPr>
              <w:t>/</w:t>
            </w:r>
          </w:p>
        </w:tc>
        <w:tc>
          <w:tcPr>
            <w:tcW w:w="800" w:type="pct"/>
            <w:shd w:val="clear" w:color="auto" w:fill="auto"/>
            <w:vAlign w:val="center"/>
          </w:tcPr>
          <w:p w14:paraId="30EB36CD">
            <w:pPr>
              <w:keepNext w:val="0"/>
              <w:keepLines w:val="0"/>
              <w:widowControl/>
              <w:suppressLineNumbers w:val="0"/>
              <w:jc w:val="center"/>
              <w:textAlignment w:val="bottom"/>
              <w:rPr>
                <w:rFonts w:ascii="Times New Roman" w:hAnsi="Times New Roman" w:eastAsia="宋体" w:cs="Times New Roman"/>
                <w:b/>
                <w:color w:val="FF0000"/>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0.0182</w:t>
            </w:r>
          </w:p>
        </w:tc>
      </w:tr>
      <w:tr w14:paraId="275FBF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569" w:type="pct"/>
            <w:vMerge w:val="continue"/>
            <w:shd w:val="clear" w:color="auto" w:fill="auto"/>
            <w:vAlign w:val="center"/>
          </w:tcPr>
          <w:p w14:paraId="4810A22B">
            <w:pPr>
              <w:adjustRightInd w:val="0"/>
              <w:snapToGrid w:val="0"/>
              <w:spacing w:line="320" w:lineRule="exact"/>
              <w:jc w:val="center"/>
              <w:rPr>
                <w:rFonts w:eastAsia="仿宋_GB2312"/>
                <w:b/>
                <w:bCs/>
                <w:color w:val="FF0000"/>
                <w:szCs w:val="21"/>
              </w:rPr>
            </w:pPr>
          </w:p>
        </w:tc>
        <w:tc>
          <w:tcPr>
            <w:tcW w:w="591" w:type="pct"/>
            <w:vMerge w:val="continue"/>
            <w:shd w:val="clear" w:color="auto" w:fill="auto"/>
            <w:vAlign w:val="center"/>
          </w:tcPr>
          <w:p w14:paraId="412A35A5">
            <w:pPr>
              <w:adjustRightInd w:val="0"/>
              <w:snapToGrid w:val="0"/>
              <w:spacing w:line="320" w:lineRule="exact"/>
              <w:jc w:val="center"/>
              <w:rPr>
                <w:rFonts w:eastAsia="仿宋_GB2312"/>
                <w:b/>
                <w:bCs/>
                <w:color w:val="auto"/>
                <w:szCs w:val="21"/>
              </w:rPr>
            </w:pPr>
          </w:p>
        </w:tc>
        <w:tc>
          <w:tcPr>
            <w:tcW w:w="1250" w:type="pct"/>
            <w:shd w:val="clear" w:color="auto" w:fill="auto"/>
            <w:vAlign w:val="center"/>
          </w:tcPr>
          <w:p w14:paraId="0B58D59C">
            <w:pPr>
              <w:keepNext w:val="0"/>
              <w:keepLines w:val="0"/>
              <w:widowControl/>
              <w:suppressLineNumbers w:val="0"/>
              <w:jc w:val="center"/>
              <w:textAlignment w:val="bottom"/>
              <w:rPr>
                <w:rFonts w:ascii="Times New Roman" w:hAnsi="Times New Roman" w:eastAsia="仿宋_GB2312" w:cs="Times New Roman"/>
                <w:bCs/>
                <w:color w:val="auto"/>
                <w:kern w:val="2"/>
                <w:sz w:val="21"/>
                <w:szCs w:val="21"/>
                <w:lang w:val="en-US" w:eastAsia="zh-CN" w:bidi="ar-SA"/>
              </w:rPr>
            </w:pPr>
            <w:r>
              <w:rPr>
                <w:rFonts w:hint="default" w:ascii="仿宋_GB2312" w:hAnsi="宋体" w:eastAsia="仿宋_GB2312" w:cs="仿宋_GB2312"/>
                <w:i w:val="0"/>
                <w:iCs w:val="0"/>
                <w:color w:val="auto"/>
                <w:kern w:val="0"/>
                <w:sz w:val="21"/>
                <w:szCs w:val="21"/>
                <w:u w:val="none"/>
                <w:lang w:val="en-US" w:eastAsia="zh-CN" w:bidi="ar"/>
              </w:rPr>
              <w:t>甲苯</w:t>
            </w:r>
          </w:p>
        </w:tc>
        <w:tc>
          <w:tcPr>
            <w:tcW w:w="894" w:type="pct"/>
            <w:shd w:val="clear" w:color="auto" w:fill="auto"/>
            <w:vAlign w:val="center"/>
          </w:tcPr>
          <w:p w14:paraId="6A076CE7">
            <w:pPr>
              <w:keepNext w:val="0"/>
              <w:keepLines w:val="0"/>
              <w:widowControl/>
              <w:suppressLineNumbers w:val="0"/>
              <w:jc w:val="center"/>
              <w:textAlignment w:val="bottom"/>
              <w:rPr>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0.0676</w:t>
            </w:r>
          </w:p>
        </w:tc>
        <w:tc>
          <w:tcPr>
            <w:tcW w:w="894" w:type="pct"/>
            <w:shd w:val="clear" w:color="auto" w:fill="auto"/>
            <w:vAlign w:val="center"/>
          </w:tcPr>
          <w:p w14:paraId="39E9D2B4">
            <w:pPr>
              <w:adjustRightInd w:val="0"/>
              <w:snapToGrid w:val="0"/>
              <w:spacing w:line="320" w:lineRule="exact"/>
              <w:jc w:val="center"/>
              <w:rPr>
                <w:rFonts w:hint="eastAsia" w:eastAsia="宋体"/>
                <w:b/>
                <w:color w:val="auto"/>
                <w:szCs w:val="21"/>
                <w:lang w:val="en-US" w:eastAsia="zh-CN"/>
              </w:rPr>
            </w:pPr>
            <w:r>
              <w:rPr>
                <w:rFonts w:hint="eastAsia"/>
                <w:b/>
                <w:color w:val="auto"/>
                <w:szCs w:val="21"/>
                <w:lang w:val="en-US" w:eastAsia="zh-CN"/>
              </w:rPr>
              <w:t>/</w:t>
            </w:r>
          </w:p>
        </w:tc>
        <w:tc>
          <w:tcPr>
            <w:tcW w:w="800" w:type="pct"/>
            <w:shd w:val="clear" w:color="auto" w:fill="auto"/>
            <w:vAlign w:val="center"/>
          </w:tcPr>
          <w:p w14:paraId="5A4515BC">
            <w:pPr>
              <w:keepNext w:val="0"/>
              <w:keepLines w:val="0"/>
              <w:widowControl/>
              <w:suppressLineNumbers w:val="0"/>
              <w:jc w:val="center"/>
              <w:textAlignment w:val="bottom"/>
              <w:rPr>
                <w:rFonts w:ascii="Times New Roman" w:hAnsi="Times New Roman" w:eastAsia="宋体" w:cs="Times New Roman"/>
                <w:b/>
                <w:color w:val="FF0000"/>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0.0676</w:t>
            </w:r>
          </w:p>
        </w:tc>
      </w:tr>
      <w:tr w14:paraId="4E652AB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569" w:type="pct"/>
            <w:vMerge w:val="continue"/>
            <w:shd w:val="clear" w:color="auto" w:fill="auto"/>
            <w:vAlign w:val="center"/>
          </w:tcPr>
          <w:p w14:paraId="1F30B222">
            <w:pPr>
              <w:adjustRightInd w:val="0"/>
              <w:snapToGrid w:val="0"/>
              <w:spacing w:line="320" w:lineRule="exact"/>
              <w:jc w:val="center"/>
              <w:rPr>
                <w:rFonts w:eastAsia="仿宋_GB2312"/>
                <w:b/>
                <w:bCs/>
                <w:color w:val="FF0000"/>
                <w:szCs w:val="21"/>
              </w:rPr>
            </w:pPr>
          </w:p>
        </w:tc>
        <w:tc>
          <w:tcPr>
            <w:tcW w:w="591" w:type="pct"/>
            <w:vMerge w:val="continue"/>
            <w:shd w:val="clear" w:color="auto" w:fill="auto"/>
            <w:vAlign w:val="center"/>
          </w:tcPr>
          <w:p w14:paraId="2A2E917A">
            <w:pPr>
              <w:adjustRightInd w:val="0"/>
              <w:snapToGrid w:val="0"/>
              <w:spacing w:line="320" w:lineRule="exact"/>
              <w:jc w:val="center"/>
              <w:rPr>
                <w:rFonts w:eastAsia="仿宋_GB2312"/>
                <w:b/>
                <w:bCs/>
                <w:color w:val="auto"/>
                <w:szCs w:val="21"/>
              </w:rPr>
            </w:pPr>
          </w:p>
        </w:tc>
        <w:tc>
          <w:tcPr>
            <w:tcW w:w="1250" w:type="pct"/>
            <w:shd w:val="clear" w:color="auto" w:fill="auto"/>
            <w:vAlign w:val="center"/>
          </w:tcPr>
          <w:p w14:paraId="578FC7F7">
            <w:pPr>
              <w:keepNext w:val="0"/>
              <w:keepLines w:val="0"/>
              <w:widowControl/>
              <w:suppressLineNumbers w:val="0"/>
              <w:jc w:val="center"/>
              <w:textAlignment w:val="bottom"/>
              <w:rPr>
                <w:rFonts w:ascii="Times New Roman" w:hAnsi="Times New Roman" w:eastAsia="仿宋_GB2312" w:cs="Times New Roman"/>
                <w:bCs/>
                <w:color w:val="auto"/>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DMF</w:t>
            </w:r>
          </w:p>
        </w:tc>
        <w:tc>
          <w:tcPr>
            <w:tcW w:w="894" w:type="pct"/>
            <w:shd w:val="clear" w:color="auto" w:fill="auto"/>
            <w:vAlign w:val="center"/>
          </w:tcPr>
          <w:p w14:paraId="41F735FB">
            <w:pPr>
              <w:keepNext w:val="0"/>
              <w:keepLines w:val="0"/>
              <w:widowControl/>
              <w:suppressLineNumbers w:val="0"/>
              <w:jc w:val="center"/>
              <w:textAlignment w:val="bottom"/>
              <w:rPr>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0.127</w:t>
            </w:r>
          </w:p>
        </w:tc>
        <w:tc>
          <w:tcPr>
            <w:tcW w:w="894" w:type="pct"/>
            <w:shd w:val="clear" w:color="auto" w:fill="auto"/>
            <w:vAlign w:val="center"/>
          </w:tcPr>
          <w:p w14:paraId="43DEC390">
            <w:pPr>
              <w:adjustRightInd w:val="0"/>
              <w:snapToGrid w:val="0"/>
              <w:spacing w:line="320" w:lineRule="exact"/>
              <w:jc w:val="center"/>
              <w:rPr>
                <w:rFonts w:hint="eastAsia" w:eastAsia="宋体"/>
                <w:b/>
                <w:color w:val="auto"/>
                <w:szCs w:val="21"/>
                <w:lang w:val="en-US" w:eastAsia="zh-CN"/>
              </w:rPr>
            </w:pPr>
            <w:r>
              <w:rPr>
                <w:rFonts w:hint="eastAsia"/>
                <w:b/>
                <w:color w:val="auto"/>
                <w:szCs w:val="21"/>
                <w:lang w:val="en-US" w:eastAsia="zh-CN"/>
              </w:rPr>
              <w:t>/</w:t>
            </w:r>
          </w:p>
        </w:tc>
        <w:tc>
          <w:tcPr>
            <w:tcW w:w="800" w:type="pct"/>
            <w:shd w:val="clear" w:color="auto" w:fill="auto"/>
            <w:vAlign w:val="center"/>
          </w:tcPr>
          <w:p w14:paraId="54013BEF">
            <w:pPr>
              <w:keepNext w:val="0"/>
              <w:keepLines w:val="0"/>
              <w:widowControl/>
              <w:suppressLineNumbers w:val="0"/>
              <w:jc w:val="center"/>
              <w:textAlignment w:val="bottom"/>
              <w:rPr>
                <w:rFonts w:ascii="Times New Roman" w:hAnsi="Times New Roman" w:eastAsia="宋体" w:cs="Times New Roman"/>
                <w:b/>
                <w:color w:val="FF0000"/>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0.127</w:t>
            </w:r>
          </w:p>
        </w:tc>
      </w:tr>
      <w:tr w14:paraId="641CC0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569" w:type="pct"/>
            <w:vMerge w:val="continue"/>
            <w:shd w:val="clear" w:color="auto" w:fill="auto"/>
            <w:vAlign w:val="center"/>
          </w:tcPr>
          <w:p w14:paraId="1A25C2F2">
            <w:pPr>
              <w:adjustRightInd w:val="0"/>
              <w:snapToGrid w:val="0"/>
              <w:spacing w:line="320" w:lineRule="exact"/>
              <w:jc w:val="center"/>
              <w:rPr>
                <w:rFonts w:eastAsia="仿宋_GB2312"/>
                <w:b/>
                <w:bCs/>
                <w:color w:val="FF0000"/>
                <w:szCs w:val="21"/>
              </w:rPr>
            </w:pPr>
          </w:p>
        </w:tc>
        <w:tc>
          <w:tcPr>
            <w:tcW w:w="591" w:type="pct"/>
            <w:vMerge w:val="continue"/>
            <w:shd w:val="clear" w:color="auto" w:fill="auto"/>
            <w:vAlign w:val="center"/>
          </w:tcPr>
          <w:p w14:paraId="35B4846C">
            <w:pPr>
              <w:adjustRightInd w:val="0"/>
              <w:snapToGrid w:val="0"/>
              <w:spacing w:line="320" w:lineRule="exact"/>
              <w:jc w:val="center"/>
              <w:rPr>
                <w:rFonts w:eastAsia="仿宋_GB2312"/>
                <w:b/>
                <w:bCs/>
                <w:color w:val="auto"/>
                <w:szCs w:val="21"/>
              </w:rPr>
            </w:pPr>
          </w:p>
        </w:tc>
        <w:tc>
          <w:tcPr>
            <w:tcW w:w="1250" w:type="pct"/>
            <w:shd w:val="clear" w:color="auto" w:fill="auto"/>
            <w:vAlign w:val="center"/>
          </w:tcPr>
          <w:p w14:paraId="6948FA26">
            <w:pPr>
              <w:keepNext w:val="0"/>
              <w:keepLines w:val="0"/>
              <w:widowControl/>
              <w:suppressLineNumbers w:val="0"/>
              <w:jc w:val="center"/>
              <w:textAlignment w:val="bottom"/>
              <w:rPr>
                <w:rFonts w:ascii="Times New Roman" w:hAnsi="Times New Roman" w:eastAsia="仿宋_GB2312" w:cs="Times New Roman"/>
                <w:bCs/>
                <w:color w:val="auto"/>
                <w:kern w:val="2"/>
                <w:sz w:val="21"/>
                <w:szCs w:val="21"/>
                <w:lang w:val="en-US" w:eastAsia="zh-CN" w:bidi="ar-SA"/>
              </w:rPr>
            </w:pPr>
            <w:r>
              <w:rPr>
                <w:rFonts w:hint="default" w:ascii="仿宋_GB2312" w:hAnsi="宋体" w:eastAsia="仿宋_GB2312" w:cs="仿宋_GB2312"/>
                <w:i w:val="0"/>
                <w:iCs w:val="0"/>
                <w:color w:val="auto"/>
                <w:kern w:val="0"/>
                <w:sz w:val="21"/>
                <w:szCs w:val="21"/>
                <w:u w:val="none"/>
                <w:lang w:val="en-US" w:eastAsia="zh-CN" w:bidi="ar"/>
              </w:rPr>
              <w:t>环己烷</w:t>
            </w:r>
          </w:p>
        </w:tc>
        <w:tc>
          <w:tcPr>
            <w:tcW w:w="894" w:type="pct"/>
            <w:shd w:val="clear" w:color="auto" w:fill="auto"/>
            <w:vAlign w:val="center"/>
          </w:tcPr>
          <w:p w14:paraId="2FB1789F">
            <w:pPr>
              <w:keepNext w:val="0"/>
              <w:keepLines w:val="0"/>
              <w:widowControl/>
              <w:suppressLineNumbers w:val="0"/>
              <w:jc w:val="center"/>
              <w:textAlignment w:val="bottom"/>
              <w:rPr>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0.0274</w:t>
            </w:r>
          </w:p>
        </w:tc>
        <w:tc>
          <w:tcPr>
            <w:tcW w:w="894" w:type="pct"/>
            <w:shd w:val="clear" w:color="auto" w:fill="auto"/>
            <w:vAlign w:val="center"/>
          </w:tcPr>
          <w:p w14:paraId="466D260E">
            <w:pPr>
              <w:adjustRightInd w:val="0"/>
              <w:snapToGrid w:val="0"/>
              <w:spacing w:line="320" w:lineRule="exact"/>
              <w:jc w:val="center"/>
              <w:rPr>
                <w:rFonts w:hint="eastAsia" w:eastAsia="宋体"/>
                <w:b/>
                <w:color w:val="auto"/>
                <w:szCs w:val="21"/>
                <w:lang w:val="en-US" w:eastAsia="zh-CN"/>
              </w:rPr>
            </w:pPr>
            <w:r>
              <w:rPr>
                <w:rFonts w:hint="eastAsia"/>
                <w:b/>
                <w:color w:val="auto"/>
                <w:szCs w:val="21"/>
                <w:lang w:val="en-US" w:eastAsia="zh-CN"/>
              </w:rPr>
              <w:t>/</w:t>
            </w:r>
          </w:p>
        </w:tc>
        <w:tc>
          <w:tcPr>
            <w:tcW w:w="800" w:type="pct"/>
            <w:shd w:val="clear" w:color="auto" w:fill="auto"/>
            <w:vAlign w:val="center"/>
          </w:tcPr>
          <w:p w14:paraId="6459CD10">
            <w:pPr>
              <w:keepNext w:val="0"/>
              <w:keepLines w:val="0"/>
              <w:widowControl/>
              <w:suppressLineNumbers w:val="0"/>
              <w:jc w:val="center"/>
              <w:textAlignment w:val="bottom"/>
              <w:rPr>
                <w:rFonts w:ascii="Times New Roman" w:hAnsi="Times New Roman" w:eastAsia="宋体" w:cs="Times New Roman"/>
                <w:b/>
                <w:color w:val="FF0000"/>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0.0274</w:t>
            </w:r>
          </w:p>
        </w:tc>
      </w:tr>
      <w:tr w14:paraId="75737C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569" w:type="pct"/>
            <w:vMerge w:val="continue"/>
            <w:shd w:val="clear" w:color="auto" w:fill="auto"/>
            <w:vAlign w:val="center"/>
          </w:tcPr>
          <w:p w14:paraId="3E1E023E">
            <w:pPr>
              <w:adjustRightInd w:val="0"/>
              <w:snapToGrid w:val="0"/>
              <w:spacing w:line="320" w:lineRule="exact"/>
              <w:jc w:val="center"/>
              <w:rPr>
                <w:rFonts w:eastAsia="仿宋_GB2312"/>
                <w:b/>
                <w:bCs/>
                <w:color w:val="FF0000"/>
                <w:szCs w:val="21"/>
              </w:rPr>
            </w:pPr>
          </w:p>
        </w:tc>
        <w:tc>
          <w:tcPr>
            <w:tcW w:w="591" w:type="pct"/>
            <w:vMerge w:val="continue"/>
            <w:shd w:val="clear" w:color="auto" w:fill="auto"/>
            <w:vAlign w:val="center"/>
          </w:tcPr>
          <w:p w14:paraId="2048E914">
            <w:pPr>
              <w:adjustRightInd w:val="0"/>
              <w:snapToGrid w:val="0"/>
              <w:spacing w:line="320" w:lineRule="exact"/>
              <w:jc w:val="center"/>
              <w:rPr>
                <w:rFonts w:eastAsia="仿宋_GB2312"/>
                <w:b/>
                <w:bCs/>
                <w:color w:val="auto"/>
                <w:szCs w:val="21"/>
              </w:rPr>
            </w:pPr>
          </w:p>
        </w:tc>
        <w:tc>
          <w:tcPr>
            <w:tcW w:w="1250" w:type="pct"/>
            <w:shd w:val="clear" w:color="auto" w:fill="auto"/>
            <w:vAlign w:val="center"/>
          </w:tcPr>
          <w:p w14:paraId="282274F7">
            <w:pPr>
              <w:keepNext w:val="0"/>
              <w:keepLines w:val="0"/>
              <w:widowControl/>
              <w:suppressLineNumbers w:val="0"/>
              <w:jc w:val="center"/>
              <w:textAlignment w:val="bottom"/>
              <w:rPr>
                <w:rFonts w:ascii="Times New Roman" w:hAnsi="Times New Roman" w:eastAsia="仿宋_GB2312" w:cs="Times New Roman"/>
                <w:bCs/>
                <w:color w:val="auto"/>
                <w:kern w:val="2"/>
                <w:sz w:val="21"/>
                <w:szCs w:val="21"/>
                <w:lang w:val="en-US" w:eastAsia="zh-CN" w:bidi="ar-SA"/>
              </w:rPr>
            </w:pPr>
            <w:r>
              <w:rPr>
                <w:rFonts w:hint="default" w:ascii="仿宋_GB2312" w:hAnsi="宋体" w:eastAsia="仿宋_GB2312" w:cs="仿宋_GB2312"/>
                <w:i w:val="0"/>
                <w:iCs w:val="0"/>
                <w:color w:val="auto"/>
                <w:kern w:val="0"/>
                <w:sz w:val="21"/>
                <w:szCs w:val="21"/>
                <w:u w:val="none"/>
                <w:lang w:val="en-US" w:eastAsia="zh-CN" w:bidi="ar"/>
              </w:rPr>
              <w:t>环己酮</w:t>
            </w:r>
          </w:p>
        </w:tc>
        <w:tc>
          <w:tcPr>
            <w:tcW w:w="894" w:type="pct"/>
            <w:shd w:val="clear" w:color="auto" w:fill="auto"/>
            <w:vAlign w:val="center"/>
          </w:tcPr>
          <w:p w14:paraId="4CEDF342">
            <w:pPr>
              <w:keepNext w:val="0"/>
              <w:keepLines w:val="0"/>
              <w:widowControl/>
              <w:suppressLineNumbers w:val="0"/>
              <w:jc w:val="center"/>
              <w:textAlignment w:val="bottom"/>
              <w:rPr>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0.0035</w:t>
            </w:r>
          </w:p>
        </w:tc>
        <w:tc>
          <w:tcPr>
            <w:tcW w:w="894" w:type="pct"/>
            <w:shd w:val="clear" w:color="auto" w:fill="auto"/>
            <w:vAlign w:val="center"/>
          </w:tcPr>
          <w:p w14:paraId="5F9A0869">
            <w:pPr>
              <w:adjustRightInd w:val="0"/>
              <w:snapToGrid w:val="0"/>
              <w:spacing w:line="320" w:lineRule="exact"/>
              <w:jc w:val="center"/>
              <w:rPr>
                <w:rFonts w:hint="eastAsia" w:eastAsia="宋体"/>
                <w:b/>
                <w:color w:val="auto"/>
                <w:szCs w:val="21"/>
                <w:lang w:val="en-US" w:eastAsia="zh-CN"/>
              </w:rPr>
            </w:pPr>
            <w:r>
              <w:rPr>
                <w:rFonts w:hint="eastAsia"/>
                <w:b/>
                <w:color w:val="auto"/>
                <w:szCs w:val="21"/>
                <w:lang w:val="en-US" w:eastAsia="zh-CN"/>
              </w:rPr>
              <w:t>/</w:t>
            </w:r>
          </w:p>
        </w:tc>
        <w:tc>
          <w:tcPr>
            <w:tcW w:w="800" w:type="pct"/>
            <w:shd w:val="clear" w:color="auto" w:fill="auto"/>
            <w:vAlign w:val="center"/>
          </w:tcPr>
          <w:p w14:paraId="33419164">
            <w:pPr>
              <w:keepNext w:val="0"/>
              <w:keepLines w:val="0"/>
              <w:widowControl/>
              <w:suppressLineNumbers w:val="0"/>
              <w:jc w:val="center"/>
              <w:textAlignment w:val="bottom"/>
              <w:rPr>
                <w:rFonts w:ascii="Times New Roman" w:hAnsi="Times New Roman" w:eastAsia="宋体" w:cs="Times New Roman"/>
                <w:b/>
                <w:color w:val="FF0000"/>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0.0035</w:t>
            </w:r>
          </w:p>
        </w:tc>
      </w:tr>
      <w:tr w14:paraId="69B8BD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569" w:type="pct"/>
            <w:vMerge w:val="continue"/>
            <w:shd w:val="clear" w:color="auto" w:fill="auto"/>
            <w:vAlign w:val="center"/>
          </w:tcPr>
          <w:p w14:paraId="6A84A56A">
            <w:pPr>
              <w:adjustRightInd w:val="0"/>
              <w:snapToGrid w:val="0"/>
              <w:spacing w:line="320" w:lineRule="exact"/>
              <w:jc w:val="center"/>
              <w:rPr>
                <w:rFonts w:eastAsia="仿宋_GB2312"/>
                <w:b/>
                <w:bCs/>
                <w:color w:val="FF0000"/>
                <w:szCs w:val="21"/>
              </w:rPr>
            </w:pPr>
          </w:p>
        </w:tc>
        <w:tc>
          <w:tcPr>
            <w:tcW w:w="591" w:type="pct"/>
            <w:vMerge w:val="continue"/>
            <w:shd w:val="clear" w:color="auto" w:fill="auto"/>
            <w:vAlign w:val="center"/>
          </w:tcPr>
          <w:p w14:paraId="7DCAB609">
            <w:pPr>
              <w:adjustRightInd w:val="0"/>
              <w:snapToGrid w:val="0"/>
              <w:spacing w:line="320" w:lineRule="exact"/>
              <w:jc w:val="center"/>
              <w:rPr>
                <w:rFonts w:eastAsia="仿宋_GB2312"/>
                <w:b/>
                <w:bCs/>
                <w:color w:val="auto"/>
                <w:szCs w:val="21"/>
              </w:rPr>
            </w:pPr>
          </w:p>
        </w:tc>
        <w:tc>
          <w:tcPr>
            <w:tcW w:w="1250" w:type="pct"/>
            <w:shd w:val="clear" w:color="auto" w:fill="auto"/>
            <w:vAlign w:val="center"/>
          </w:tcPr>
          <w:p w14:paraId="64B67200">
            <w:pPr>
              <w:keepNext w:val="0"/>
              <w:keepLines w:val="0"/>
              <w:widowControl/>
              <w:suppressLineNumbers w:val="0"/>
              <w:jc w:val="center"/>
              <w:textAlignment w:val="bottom"/>
              <w:rPr>
                <w:rFonts w:ascii="Times New Roman" w:hAnsi="Times New Roman" w:eastAsia="等线" w:cs="Times New Roman"/>
                <w:color w:val="auto"/>
                <w:kern w:val="2"/>
                <w:sz w:val="21"/>
                <w:szCs w:val="21"/>
                <w:lang w:val="en-US" w:eastAsia="zh-CN" w:bidi="ar-SA"/>
              </w:rPr>
            </w:pPr>
            <w:r>
              <w:rPr>
                <w:rFonts w:hint="default" w:ascii="仿宋_GB2312" w:hAnsi="宋体" w:eastAsia="仿宋_GB2312" w:cs="仿宋_GB2312"/>
                <w:i w:val="0"/>
                <w:iCs w:val="0"/>
                <w:color w:val="auto"/>
                <w:kern w:val="0"/>
                <w:sz w:val="21"/>
                <w:szCs w:val="21"/>
                <w:u w:val="none"/>
                <w:lang w:val="en-US" w:eastAsia="zh-CN" w:bidi="ar"/>
              </w:rPr>
              <w:t>二氯乙烷</w:t>
            </w:r>
          </w:p>
        </w:tc>
        <w:tc>
          <w:tcPr>
            <w:tcW w:w="894" w:type="pct"/>
            <w:shd w:val="clear" w:color="auto" w:fill="auto"/>
            <w:vAlign w:val="center"/>
          </w:tcPr>
          <w:p w14:paraId="46405838">
            <w:pPr>
              <w:keepNext w:val="0"/>
              <w:keepLines w:val="0"/>
              <w:widowControl/>
              <w:suppressLineNumbers w:val="0"/>
              <w:jc w:val="center"/>
              <w:textAlignment w:val="bottom"/>
              <w:rPr>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0.0426</w:t>
            </w:r>
          </w:p>
        </w:tc>
        <w:tc>
          <w:tcPr>
            <w:tcW w:w="894" w:type="pct"/>
            <w:shd w:val="clear" w:color="auto" w:fill="auto"/>
            <w:vAlign w:val="center"/>
          </w:tcPr>
          <w:p w14:paraId="2D853D9A">
            <w:pPr>
              <w:adjustRightInd w:val="0"/>
              <w:snapToGrid w:val="0"/>
              <w:spacing w:line="320" w:lineRule="exact"/>
              <w:jc w:val="center"/>
              <w:rPr>
                <w:rFonts w:hint="eastAsia" w:ascii="Times New Roman" w:hAnsi="Times New Roman" w:eastAsia="宋体" w:cs="Times New Roman"/>
                <w:color w:val="auto"/>
                <w:kern w:val="2"/>
                <w:sz w:val="21"/>
                <w:szCs w:val="21"/>
                <w:lang w:val="en-US" w:eastAsia="zh-CN" w:bidi="ar-SA"/>
              </w:rPr>
            </w:pPr>
            <w:r>
              <w:rPr>
                <w:rFonts w:hint="eastAsia"/>
                <w:color w:val="auto"/>
                <w:szCs w:val="21"/>
                <w:lang w:val="en-US" w:eastAsia="zh-CN"/>
              </w:rPr>
              <w:t>/</w:t>
            </w:r>
          </w:p>
        </w:tc>
        <w:tc>
          <w:tcPr>
            <w:tcW w:w="800" w:type="pct"/>
            <w:shd w:val="clear" w:color="auto" w:fill="auto"/>
            <w:vAlign w:val="center"/>
          </w:tcPr>
          <w:p w14:paraId="6B990DF1">
            <w:pPr>
              <w:keepNext w:val="0"/>
              <w:keepLines w:val="0"/>
              <w:widowControl/>
              <w:suppressLineNumbers w:val="0"/>
              <w:jc w:val="center"/>
              <w:textAlignment w:val="bottom"/>
              <w:rPr>
                <w:rFonts w:ascii="Times New Roman" w:hAnsi="Times New Roman" w:eastAsia="宋体" w:cs="Times New Roman"/>
                <w:b/>
                <w:color w:val="FF0000"/>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0.0426</w:t>
            </w:r>
          </w:p>
        </w:tc>
      </w:tr>
      <w:tr w14:paraId="59DC73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569" w:type="pct"/>
            <w:vMerge w:val="continue"/>
            <w:shd w:val="clear" w:color="auto" w:fill="auto"/>
            <w:vAlign w:val="center"/>
          </w:tcPr>
          <w:p w14:paraId="6F5C0697">
            <w:pPr>
              <w:adjustRightInd w:val="0"/>
              <w:snapToGrid w:val="0"/>
              <w:spacing w:line="320" w:lineRule="exact"/>
              <w:jc w:val="center"/>
              <w:rPr>
                <w:rFonts w:eastAsia="仿宋_GB2312"/>
                <w:b/>
                <w:bCs/>
                <w:color w:val="FF0000"/>
                <w:szCs w:val="21"/>
              </w:rPr>
            </w:pPr>
          </w:p>
        </w:tc>
        <w:tc>
          <w:tcPr>
            <w:tcW w:w="591" w:type="pct"/>
            <w:vMerge w:val="continue"/>
            <w:shd w:val="clear" w:color="auto" w:fill="auto"/>
            <w:vAlign w:val="center"/>
          </w:tcPr>
          <w:p w14:paraId="3875BD9A">
            <w:pPr>
              <w:adjustRightInd w:val="0"/>
              <w:snapToGrid w:val="0"/>
              <w:spacing w:line="320" w:lineRule="exact"/>
              <w:jc w:val="center"/>
              <w:rPr>
                <w:rFonts w:eastAsia="仿宋_GB2312"/>
                <w:b/>
                <w:bCs/>
                <w:color w:val="auto"/>
                <w:szCs w:val="21"/>
              </w:rPr>
            </w:pPr>
          </w:p>
        </w:tc>
        <w:tc>
          <w:tcPr>
            <w:tcW w:w="1250" w:type="pct"/>
            <w:shd w:val="clear" w:color="auto" w:fill="auto"/>
            <w:vAlign w:val="center"/>
          </w:tcPr>
          <w:p w14:paraId="17F78268">
            <w:pPr>
              <w:keepNext w:val="0"/>
              <w:keepLines w:val="0"/>
              <w:widowControl/>
              <w:suppressLineNumbers w:val="0"/>
              <w:jc w:val="center"/>
              <w:textAlignment w:val="bottom"/>
              <w:rPr>
                <w:rFonts w:ascii="Times New Roman" w:hAnsi="Times New Roman" w:eastAsia="等线" w:cs="Times New Roman"/>
                <w:color w:val="auto"/>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DMSO</w:t>
            </w:r>
          </w:p>
        </w:tc>
        <w:tc>
          <w:tcPr>
            <w:tcW w:w="894" w:type="pct"/>
            <w:shd w:val="clear" w:color="auto" w:fill="auto"/>
            <w:vAlign w:val="center"/>
          </w:tcPr>
          <w:p w14:paraId="0D5291DF">
            <w:pPr>
              <w:keepNext w:val="0"/>
              <w:keepLines w:val="0"/>
              <w:widowControl/>
              <w:suppressLineNumbers w:val="0"/>
              <w:jc w:val="center"/>
              <w:textAlignment w:val="bottom"/>
              <w:rPr>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0.043</w:t>
            </w:r>
          </w:p>
        </w:tc>
        <w:tc>
          <w:tcPr>
            <w:tcW w:w="894" w:type="pct"/>
            <w:shd w:val="clear" w:color="auto" w:fill="auto"/>
            <w:vAlign w:val="center"/>
          </w:tcPr>
          <w:p w14:paraId="33B2D36E">
            <w:pPr>
              <w:adjustRightInd w:val="0"/>
              <w:snapToGrid w:val="0"/>
              <w:spacing w:line="320" w:lineRule="exact"/>
              <w:jc w:val="center"/>
              <w:rPr>
                <w:rFonts w:hint="eastAsia" w:ascii="Times New Roman" w:hAnsi="Times New Roman" w:eastAsia="宋体" w:cs="Times New Roman"/>
                <w:color w:val="auto"/>
                <w:kern w:val="2"/>
                <w:sz w:val="21"/>
                <w:szCs w:val="21"/>
                <w:lang w:val="en-US" w:eastAsia="zh-CN" w:bidi="ar-SA"/>
              </w:rPr>
            </w:pPr>
            <w:r>
              <w:rPr>
                <w:rFonts w:hint="eastAsia"/>
                <w:color w:val="auto"/>
                <w:szCs w:val="21"/>
                <w:lang w:val="en-US" w:eastAsia="zh-CN"/>
              </w:rPr>
              <w:t>/</w:t>
            </w:r>
          </w:p>
        </w:tc>
        <w:tc>
          <w:tcPr>
            <w:tcW w:w="800" w:type="pct"/>
            <w:shd w:val="clear" w:color="auto" w:fill="auto"/>
            <w:vAlign w:val="center"/>
          </w:tcPr>
          <w:p w14:paraId="6E65FE5F">
            <w:pPr>
              <w:keepNext w:val="0"/>
              <w:keepLines w:val="0"/>
              <w:widowControl/>
              <w:suppressLineNumbers w:val="0"/>
              <w:jc w:val="center"/>
              <w:textAlignment w:val="bottom"/>
              <w:rPr>
                <w:rFonts w:ascii="Times New Roman" w:hAnsi="Times New Roman" w:eastAsia="宋体" w:cs="Times New Roman"/>
                <w:b/>
                <w:color w:val="FF0000"/>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0.043</w:t>
            </w:r>
          </w:p>
        </w:tc>
      </w:tr>
      <w:tr w14:paraId="0442D5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569" w:type="pct"/>
            <w:vMerge w:val="continue"/>
            <w:shd w:val="clear" w:color="auto" w:fill="auto"/>
            <w:vAlign w:val="center"/>
          </w:tcPr>
          <w:p w14:paraId="7945129B">
            <w:pPr>
              <w:adjustRightInd w:val="0"/>
              <w:snapToGrid w:val="0"/>
              <w:spacing w:line="320" w:lineRule="exact"/>
              <w:jc w:val="center"/>
              <w:rPr>
                <w:rFonts w:eastAsia="仿宋_GB2312"/>
                <w:b/>
                <w:bCs/>
                <w:color w:val="FF0000"/>
                <w:szCs w:val="21"/>
              </w:rPr>
            </w:pPr>
          </w:p>
        </w:tc>
        <w:tc>
          <w:tcPr>
            <w:tcW w:w="591" w:type="pct"/>
            <w:vMerge w:val="continue"/>
            <w:shd w:val="clear" w:color="auto" w:fill="auto"/>
            <w:vAlign w:val="center"/>
          </w:tcPr>
          <w:p w14:paraId="69E7C7BB">
            <w:pPr>
              <w:adjustRightInd w:val="0"/>
              <w:snapToGrid w:val="0"/>
              <w:spacing w:line="320" w:lineRule="exact"/>
              <w:jc w:val="center"/>
              <w:rPr>
                <w:rFonts w:eastAsia="仿宋_GB2312"/>
                <w:b/>
                <w:bCs/>
                <w:color w:val="auto"/>
                <w:szCs w:val="21"/>
              </w:rPr>
            </w:pPr>
          </w:p>
        </w:tc>
        <w:tc>
          <w:tcPr>
            <w:tcW w:w="1250" w:type="pct"/>
            <w:shd w:val="clear" w:color="auto" w:fill="auto"/>
            <w:vAlign w:val="center"/>
          </w:tcPr>
          <w:p w14:paraId="7BE641D9">
            <w:pPr>
              <w:keepNext w:val="0"/>
              <w:keepLines w:val="0"/>
              <w:widowControl/>
              <w:suppressLineNumbers w:val="0"/>
              <w:jc w:val="center"/>
              <w:textAlignment w:val="bottom"/>
              <w:rPr>
                <w:rFonts w:ascii="Times New Roman" w:hAnsi="Times New Roman" w:eastAsia="等线" w:cs="Times New Roman"/>
                <w:color w:val="auto"/>
                <w:kern w:val="2"/>
                <w:sz w:val="21"/>
                <w:szCs w:val="21"/>
                <w:lang w:val="en-US" w:eastAsia="zh-CN" w:bidi="ar-SA"/>
              </w:rPr>
            </w:pPr>
            <w:r>
              <w:rPr>
                <w:rFonts w:hint="default" w:ascii="仿宋_GB2312" w:hAnsi="宋体" w:eastAsia="仿宋_GB2312" w:cs="仿宋_GB2312"/>
                <w:i w:val="0"/>
                <w:iCs w:val="0"/>
                <w:color w:val="auto"/>
                <w:kern w:val="0"/>
                <w:sz w:val="21"/>
                <w:szCs w:val="21"/>
                <w:u w:val="none"/>
                <w:lang w:val="en-US" w:eastAsia="zh-CN" w:bidi="ar"/>
              </w:rPr>
              <w:t>丁醇</w:t>
            </w:r>
          </w:p>
        </w:tc>
        <w:tc>
          <w:tcPr>
            <w:tcW w:w="894" w:type="pct"/>
            <w:shd w:val="clear" w:color="auto" w:fill="auto"/>
            <w:vAlign w:val="center"/>
          </w:tcPr>
          <w:p w14:paraId="4B7917C5">
            <w:pPr>
              <w:keepNext w:val="0"/>
              <w:keepLines w:val="0"/>
              <w:widowControl/>
              <w:suppressLineNumbers w:val="0"/>
              <w:jc w:val="center"/>
              <w:textAlignment w:val="bottom"/>
              <w:rPr>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0.0059</w:t>
            </w:r>
          </w:p>
        </w:tc>
        <w:tc>
          <w:tcPr>
            <w:tcW w:w="894" w:type="pct"/>
            <w:shd w:val="clear" w:color="auto" w:fill="auto"/>
            <w:vAlign w:val="center"/>
          </w:tcPr>
          <w:p w14:paraId="7F91B6CE">
            <w:pPr>
              <w:adjustRightInd w:val="0"/>
              <w:snapToGrid w:val="0"/>
              <w:spacing w:line="320" w:lineRule="exact"/>
              <w:jc w:val="center"/>
              <w:rPr>
                <w:rFonts w:hint="eastAsia" w:ascii="Times New Roman" w:hAnsi="Times New Roman" w:eastAsia="宋体" w:cs="Times New Roman"/>
                <w:color w:val="auto"/>
                <w:kern w:val="2"/>
                <w:sz w:val="21"/>
                <w:szCs w:val="21"/>
                <w:lang w:val="en-US" w:eastAsia="zh-CN" w:bidi="ar-SA"/>
              </w:rPr>
            </w:pPr>
            <w:r>
              <w:rPr>
                <w:rFonts w:hint="eastAsia"/>
                <w:color w:val="auto"/>
                <w:szCs w:val="21"/>
                <w:lang w:val="en-US" w:eastAsia="zh-CN"/>
              </w:rPr>
              <w:t>/</w:t>
            </w:r>
          </w:p>
        </w:tc>
        <w:tc>
          <w:tcPr>
            <w:tcW w:w="800" w:type="pct"/>
            <w:shd w:val="clear" w:color="auto" w:fill="auto"/>
            <w:vAlign w:val="center"/>
          </w:tcPr>
          <w:p w14:paraId="141EFFAA">
            <w:pPr>
              <w:keepNext w:val="0"/>
              <w:keepLines w:val="0"/>
              <w:widowControl/>
              <w:suppressLineNumbers w:val="0"/>
              <w:jc w:val="center"/>
              <w:textAlignment w:val="bottom"/>
              <w:rPr>
                <w:rFonts w:ascii="Times New Roman" w:hAnsi="Times New Roman" w:eastAsia="宋体" w:cs="Times New Roman"/>
                <w:b/>
                <w:color w:val="FF0000"/>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0.0059</w:t>
            </w:r>
          </w:p>
        </w:tc>
      </w:tr>
      <w:tr w14:paraId="54551C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569" w:type="pct"/>
            <w:vMerge w:val="continue"/>
            <w:shd w:val="clear" w:color="auto" w:fill="auto"/>
            <w:vAlign w:val="center"/>
          </w:tcPr>
          <w:p w14:paraId="1315D5A5">
            <w:pPr>
              <w:adjustRightInd w:val="0"/>
              <w:snapToGrid w:val="0"/>
              <w:spacing w:line="320" w:lineRule="exact"/>
              <w:jc w:val="center"/>
              <w:rPr>
                <w:rFonts w:eastAsia="仿宋_GB2312"/>
                <w:b/>
                <w:bCs/>
                <w:color w:val="FF0000"/>
                <w:szCs w:val="21"/>
              </w:rPr>
            </w:pPr>
          </w:p>
        </w:tc>
        <w:tc>
          <w:tcPr>
            <w:tcW w:w="591" w:type="pct"/>
            <w:vMerge w:val="continue"/>
            <w:shd w:val="clear" w:color="auto" w:fill="auto"/>
            <w:vAlign w:val="center"/>
          </w:tcPr>
          <w:p w14:paraId="47B1C7AC">
            <w:pPr>
              <w:adjustRightInd w:val="0"/>
              <w:snapToGrid w:val="0"/>
              <w:spacing w:line="320" w:lineRule="exact"/>
              <w:jc w:val="center"/>
              <w:rPr>
                <w:rFonts w:eastAsia="仿宋_GB2312"/>
                <w:b/>
                <w:bCs/>
                <w:color w:val="auto"/>
                <w:szCs w:val="21"/>
              </w:rPr>
            </w:pPr>
          </w:p>
        </w:tc>
        <w:tc>
          <w:tcPr>
            <w:tcW w:w="1250" w:type="pct"/>
            <w:shd w:val="clear" w:color="auto" w:fill="auto"/>
            <w:vAlign w:val="center"/>
          </w:tcPr>
          <w:p w14:paraId="0A45FC30">
            <w:pPr>
              <w:keepNext w:val="0"/>
              <w:keepLines w:val="0"/>
              <w:widowControl/>
              <w:suppressLineNumbers w:val="0"/>
              <w:jc w:val="center"/>
              <w:textAlignment w:val="bottom"/>
              <w:rPr>
                <w:rFonts w:ascii="Times New Roman" w:hAnsi="Times New Roman" w:eastAsia="等线" w:cs="Times New Roman"/>
                <w:color w:val="auto"/>
                <w:kern w:val="2"/>
                <w:sz w:val="21"/>
                <w:szCs w:val="21"/>
                <w:lang w:val="en-US" w:eastAsia="zh-CN" w:bidi="ar-SA"/>
              </w:rPr>
            </w:pPr>
            <w:r>
              <w:rPr>
                <w:rFonts w:hint="default" w:ascii="仿宋_GB2312" w:hAnsi="宋体" w:eastAsia="仿宋_GB2312" w:cs="仿宋_GB2312"/>
                <w:i w:val="0"/>
                <w:iCs w:val="0"/>
                <w:color w:val="auto"/>
                <w:kern w:val="0"/>
                <w:sz w:val="21"/>
                <w:szCs w:val="21"/>
                <w:u w:val="none"/>
                <w:lang w:val="en-US" w:eastAsia="zh-CN" w:bidi="ar"/>
              </w:rPr>
              <w:t>辛醇</w:t>
            </w:r>
          </w:p>
        </w:tc>
        <w:tc>
          <w:tcPr>
            <w:tcW w:w="894" w:type="pct"/>
            <w:shd w:val="clear" w:color="auto" w:fill="auto"/>
            <w:vAlign w:val="center"/>
          </w:tcPr>
          <w:p w14:paraId="39E863BA">
            <w:pPr>
              <w:keepNext w:val="0"/>
              <w:keepLines w:val="0"/>
              <w:widowControl/>
              <w:suppressLineNumbers w:val="0"/>
              <w:jc w:val="center"/>
              <w:textAlignment w:val="bottom"/>
              <w:rPr>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0.0019</w:t>
            </w:r>
          </w:p>
        </w:tc>
        <w:tc>
          <w:tcPr>
            <w:tcW w:w="894" w:type="pct"/>
            <w:shd w:val="clear" w:color="auto" w:fill="auto"/>
            <w:vAlign w:val="center"/>
          </w:tcPr>
          <w:p w14:paraId="2346A971">
            <w:pPr>
              <w:adjustRightInd w:val="0"/>
              <w:snapToGrid w:val="0"/>
              <w:spacing w:line="320" w:lineRule="exact"/>
              <w:jc w:val="center"/>
              <w:rPr>
                <w:rFonts w:hint="eastAsia" w:ascii="Times New Roman" w:hAnsi="Times New Roman" w:eastAsia="宋体" w:cs="Times New Roman"/>
                <w:color w:val="auto"/>
                <w:kern w:val="2"/>
                <w:sz w:val="21"/>
                <w:szCs w:val="21"/>
                <w:lang w:val="en-US" w:eastAsia="zh-CN" w:bidi="ar-SA"/>
              </w:rPr>
            </w:pPr>
            <w:r>
              <w:rPr>
                <w:rFonts w:hint="eastAsia"/>
                <w:color w:val="auto"/>
                <w:szCs w:val="21"/>
                <w:lang w:val="en-US" w:eastAsia="zh-CN"/>
              </w:rPr>
              <w:t>/</w:t>
            </w:r>
          </w:p>
        </w:tc>
        <w:tc>
          <w:tcPr>
            <w:tcW w:w="800" w:type="pct"/>
            <w:shd w:val="clear" w:color="auto" w:fill="auto"/>
            <w:vAlign w:val="center"/>
          </w:tcPr>
          <w:p w14:paraId="68DF29D7">
            <w:pPr>
              <w:keepNext w:val="0"/>
              <w:keepLines w:val="0"/>
              <w:widowControl/>
              <w:suppressLineNumbers w:val="0"/>
              <w:jc w:val="center"/>
              <w:textAlignment w:val="bottom"/>
              <w:rPr>
                <w:rFonts w:ascii="Times New Roman" w:hAnsi="Times New Roman" w:eastAsia="宋体" w:cs="Times New Roman"/>
                <w:b/>
                <w:color w:val="FF0000"/>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0.0019</w:t>
            </w:r>
          </w:p>
        </w:tc>
      </w:tr>
      <w:tr w14:paraId="1DCA87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569" w:type="pct"/>
            <w:vMerge w:val="continue"/>
            <w:shd w:val="clear" w:color="auto" w:fill="auto"/>
            <w:vAlign w:val="center"/>
          </w:tcPr>
          <w:p w14:paraId="603292CB">
            <w:pPr>
              <w:adjustRightInd w:val="0"/>
              <w:snapToGrid w:val="0"/>
              <w:spacing w:line="320" w:lineRule="exact"/>
              <w:jc w:val="center"/>
              <w:rPr>
                <w:rFonts w:eastAsia="仿宋_GB2312"/>
                <w:b/>
                <w:bCs/>
                <w:color w:val="FF0000"/>
                <w:szCs w:val="21"/>
              </w:rPr>
            </w:pPr>
          </w:p>
        </w:tc>
        <w:tc>
          <w:tcPr>
            <w:tcW w:w="591" w:type="pct"/>
            <w:vMerge w:val="continue"/>
            <w:shd w:val="clear" w:color="auto" w:fill="auto"/>
            <w:vAlign w:val="center"/>
          </w:tcPr>
          <w:p w14:paraId="0F36561B">
            <w:pPr>
              <w:adjustRightInd w:val="0"/>
              <w:snapToGrid w:val="0"/>
              <w:spacing w:line="320" w:lineRule="exact"/>
              <w:jc w:val="center"/>
              <w:rPr>
                <w:rFonts w:eastAsia="仿宋_GB2312"/>
                <w:b/>
                <w:bCs/>
                <w:color w:val="auto"/>
                <w:szCs w:val="21"/>
              </w:rPr>
            </w:pPr>
          </w:p>
        </w:tc>
        <w:tc>
          <w:tcPr>
            <w:tcW w:w="1250" w:type="pct"/>
            <w:shd w:val="clear" w:color="auto" w:fill="auto"/>
            <w:vAlign w:val="center"/>
          </w:tcPr>
          <w:p w14:paraId="329213EA">
            <w:pPr>
              <w:keepNext w:val="0"/>
              <w:keepLines w:val="0"/>
              <w:widowControl/>
              <w:suppressLineNumbers w:val="0"/>
              <w:jc w:val="center"/>
              <w:textAlignment w:val="bottom"/>
              <w:rPr>
                <w:rFonts w:ascii="Times New Roman" w:hAnsi="Times New Roman" w:eastAsia="等线" w:cs="Times New Roman"/>
                <w:color w:val="auto"/>
                <w:kern w:val="2"/>
                <w:sz w:val="21"/>
                <w:szCs w:val="21"/>
                <w:lang w:val="en-US" w:eastAsia="zh-CN" w:bidi="ar-SA"/>
              </w:rPr>
            </w:pPr>
            <w:r>
              <w:rPr>
                <w:rFonts w:hint="default" w:ascii="仿宋_GB2312" w:hAnsi="宋体" w:eastAsia="仿宋_GB2312" w:cs="仿宋_GB2312"/>
                <w:i w:val="0"/>
                <w:iCs w:val="0"/>
                <w:color w:val="auto"/>
                <w:kern w:val="0"/>
                <w:sz w:val="21"/>
                <w:szCs w:val="21"/>
                <w:u w:val="none"/>
                <w:lang w:val="en-US" w:eastAsia="zh-CN" w:bidi="ar"/>
              </w:rPr>
              <w:t>碳九</w:t>
            </w:r>
          </w:p>
        </w:tc>
        <w:tc>
          <w:tcPr>
            <w:tcW w:w="894" w:type="pct"/>
            <w:shd w:val="clear" w:color="auto" w:fill="auto"/>
            <w:vAlign w:val="center"/>
          </w:tcPr>
          <w:p w14:paraId="2912C423">
            <w:pPr>
              <w:keepNext w:val="0"/>
              <w:keepLines w:val="0"/>
              <w:widowControl/>
              <w:suppressLineNumbers w:val="0"/>
              <w:jc w:val="center"/>
              <w:textAlignment w:val="bottom"/>
              <w:rPr>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0.0066</w:t>
            </w:r>
          </w:p>
        </w:tc>
        <w:tc>
          <w:tcPr>
            <w:tcW w:w="894" w:type="pct"/>
            <w:shd w:val="clear" w:color="auto" w:fill="auto"/>
            <w:vAlign w:val="center"/>
          </w:tcPr>
          <w:p w14:paraId="4FFB3B2B">
            <w:pPr>
              <w:adjustRightInd w:val="0"/>
              <w:snapToGrid w:val="0"/>
              <w:spacing w:line="320" w:lineRule="exact"/>
              <w:jc w:val="center"/>
              <w:rPr>
                <w:rFonts w:hint="eastAsia" w:ascii="Times New Roman" w:hAnsi="Times New Roman" w:eastAsia="宋体" w:cs="Times New Roman"/>
                <w:b/>
                <w:color w:val="auto"/>
                <w:kern w:val="2"/>
                <w:sz w:val="21"/>
                <w:szCs w:val="21"/>
                <w:lang w:val="en-US" w:eastAsia="zh-CN" w:bidi="ar-SA"/>
              </w:rPr>
            </w:pPr>
            <w:r>
              <w:rPr>
                <w:rFonts w:hint="eastAsia"/>
                <w:b/>
                <w:color w:val="auto"/>
                <w:szCs w:val="21"/>
                <w:lang w:val="en-US" w:eastAsia="zh-CN"/>
              </w:rPr>
              <w:t>/</w:t>
            </w:r>
          </w:p>
        </w:tc>
        <w:tc>
          <w:tcPr>
            <w:tcW w:w="800" w:type="pct"/>
            <w:shd w:val="clear" w:color="auto" w:fill="auto"/>
            <w:vAlign w:val="center"/>
          </w:tcPr>
          <w:p w14:paraId="7419D342">
            <w:pPr>
              <w:keepNext w:val="0"/>
              <w:keepLines w:val="0"/>
              <w:widowControl/>
              <w:suppressLineNumbers w:val="0"/>
              <w:jc w:val="center"/>
              <w:textAlignment w:val="bottom"/>
              <w:rPr>
                <w:rFonts w:ascii="Times New Roman" w:hAnsi="Times New Roman" w:eastAsia="宋体" w:cs="Times New Roman"/>
                <w:b/>
                <w:color w:val="FF0000"/>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0.0066</w:t>
            </w:r>
          </w:p>
        </w:tc>
      </w:tr>
      <w:tr w14:paraId="3FC477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569" w:type="pct"/>
            <w:vMerge w:val="continue"/>
            <w:shd w:val="clear" w:color="auto" w:fill="auto"/>
            <w:vAlign w:val="center"/>
          </w:tcPr>
          <w:p w14:paraId="7DC5FB67">
            <w:pPr>
              <w:adjustRightInd w:val="0"/>
              <w:snapToGrid w:val="0"/>
              <w:spacing w:line="320" w:lineRule="exact"/>
              <w:jc w:val="center"/>
              <w:rPr>
                <w:rFonts w:eastAsia="仿宋_GB2312"/>
                <w:b/>
                <w:bCs/>
                <w:color w:val="FF0000"/>
                <w:szCs w:val="21"/>
              </w:rPr>
            </w:pPr>
          </w:p>
        </w:tc>
        <w:tc>
          <w:tcPr>
            <w:tcW w:w="591" w:type="pct"/>
            <w:vMerge w:val="continue"/>
            <w:shd w:val="clear" w:color="auto" w:fill="auto"/>
            <w:vAlign w:val="center"/>
          </w:tcPr>
          <w:p w14:paraId="2F4AA2E4">
            <w:pPr>
              <w:adjustRightInd w:val="0"/>
              <w:snapToGrid w:val="0"/>
              <w:spacing w:line="320" w:lineRule="exact"/>
              <w:jc w:val="center"/>
              <w:rPr>
                <w:rFonts w:eastAsia="仿宋_GB2312"/>
                <w:b/>
                <w:bCs/>
                <w:color w:val="FF0000"/>
                <w:szCs w:val="21"/>
              </w:rPr>
            </w:pPr>
          </w:p>
        </w:tc>
        <w:tc>
          <w:tcPr>
            <w:tcW w:w="1250" w:type="pct"/>
            <w:shd w:val="clear" w:color="auto" w:fill="auto"/>
            <w:vAlign w:val="center"/>
          </w:tcPr>
          <w:p w14:paraId="5D57E40F">
            <w:pPr>
              <w:keepNext w:val="0"/>
              <w:keepLines w:val="0"/>
              <w:widowControl/>
              <w:suppressLineNumbers w:val="0"/>
              <w:jc w:val="center"/>
              <w:textAlignment w:val="bottom"/>
              <w:rPr>
                <w:rFonts w:ascii="Times New Roman" w:hAnsi="Times New Roman" w:eastAsia="等线" w:cs="Times New Roman"/>
                <w:color w:val="FF0000"/>
                <w:kern w:val="2"/>
                <w:sz w:val="21"/>
                <w:szCs w:val="21"/>
                <w:lang w:val="en-US" w:eastAsia="zh-CN" w:bidi="ar-SA"/>
              </w:rPr>
            </w:pPr>
            <w:r>
              <w:rPr>
                <w:rFonts w:hint="default" w:ascii="仿宋_GB2312" w:hAnsi="宋体" w:eastAsia="仿宋_GB2312" w:cs="仿宋_GB2312"/>
                <w:i w:val="0"/>
                <w:iCs w:val="0"/>
                <w:color w:val="000000"/>
                <w:kern w:val="0"/>
                <w:sz w:val="21"/>
                <w:szCs w:val="21"/>
                <w:u w:val="none"/>
                <w:lang w:val="en-US" w:eastAsia="zh-CN" w:bidi="ar"/>
              </w:rPr>
              <w:t>苯乙烯</w:t>
            </w:r>
          </w:p>
        </w:tc>
        <w:tc>
          <w:tcPr>
            <w:tcW w:w="894" w:type="pct"/>
            <w:shd w:val="clear" w:color="auto" w:fill="auto"/>
            <w:vAlign w:val="center"/>
          </w:tcPr>
          <w:p w14:paraId="0FD50E7C">
            <w:pPr>
              <w:keepNext w:val="0"/>
              <w:keepLines w:val="0"/>
              <w:widowControl/>
              <w:suppressLineNumbers w:val="0"/>
              <w:jc w:val="center"/>
              <w:textAlignment w:val="bottom"/>
              <w:rPr>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0.0015</w:t>
            </w:r>
          </w:p>
        </w:tc>
        <w:tc>
          <w:tcPr>
            <w:tcW w:w="894" w:type="pct"/>
            <w:shd w:val="clear" w:color="auto" w:fill="auto"/>
            <w:vAlign w:val="center"/>
          </w:tcPr>
          <w:p w14:paraId="7B996843">
            <w:pPr>
              <w:adjustRightInd w:val="0"/>
              <w:snapToGrid w:val="0"/>
              <w:spacing w:line="320" w:lineRule="exact"/>
              <w:jc w:val="center"/>
              <w:rPr>
                <w:rFonts w:hint="eastAsia" w:ascii="Times New Roman" w:hAnsi="Times New Roman" w:eastAsia="宋体" w:cs="Times New Roman"/>
                <w:b/>
                <w:color w:val="auto"/>
                <w:kern w:val="2"/>
                <w:sz w:val="21"/>
                <w:szCs w:val="21"/>
                <w:lang w:val="en-US" w:eastAsia="zh-CN" w:bidi="ar-SA"/>
              </w:rPr>
            </w:pPr>
            <w:r>
              <w:rPr>
                <w:rFonts w:hint="eastAsia"/>
                <w:b/>
                <w:color w:val="auto"/>
                <w:szCs w:val="21"/>
                <w:lang w:val="en-US" w:eastAsia="zh-CN"/>
              </w:rPr>
              <w:t>/</w:t>
            </w:r>
          </w:p>
        </w:tc>
        <w:tc>
          <w:tcPr>
            <w:tcW w:w="800" w:type="pct"/>
            <w:shd w:val="clear" w:color="auto" w:fill="auto"/>
            <w:vAlign w:val="center"/>
          </w:tcPr>
          <w:p w14:paraId="4741BB8A">
            <w:pPr>
              <w:keepNext w:val="0"/>
              <w:keepLines w:val="0"/>
              <w:widowControl/>
              <w:suppressLineNumbers w:val="0"/>
              <w:jc w:val="center"/>
              <w:textAlignment w:val="bottom"/>
              <w:rPr>
                <w:rFonts w:ascii="Times New Roman" w:hAnsi="Times New Roman" w:eastAsia="宋体" w:cs="Times New Roman"/>
                <w:b/>
                <w:color w:val="FF0000"/>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0.0015</w:t>
            </w:r>
          </w:p>
        </w:tc>
      </w:tr>
      <w:tr w14:paraId="1EA1B9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569" w:type="pct"/>
            <w:vMerge w:val="continue"/>
            <w:shd w:val="clear" w:color="auto" w:fill="auto"/>
            <w:vAlign w:val="center"/>
          </w:tcPr>
          <w:p w14:paraId="6F377E93">
            <w:pPr>
              <w:adjustRightInd w:val="0"/>
              <w:snapToGrid w:val="0"/>
              <w:spacing w:line="320" w:lineRule="exact"/>
              <w:jc w:val="center"/>
              <w:rPr>
                <w:rFonts w:eastAsia="仿宋_GB2312"/>
                <w:b/>
                <w:bCs/>
                <w:color w:val="FF0000"/>
                <w:szCs w:val="21"/>
              </w:rPr>
            </w:pPr>
          </w:p>
        </w:tc>
        <w:tc>
          <w:tcPr>
            <w:tcW w:w="591" w:type="pct"/>
            <w:vMerge w:val="continue"/>
            <w:shd w:val="clear" w:color="auto" w:fill="auto"/>
            <w:vAlign w:val="center"/>
          </w:tcPr>
          <w:p w14:paraId="3EFFC211">
            <w:pPr>
              <w:adjustRightInd w:val="0"/>
              <w:snapToGrid w:val="0"/>
              <w:spacing w:line="320" w:lineRule="exact"/>
              <w:jc w:val="center"/>
              <w:rPr>
                <w:rFonts w:eastAsia="仿宋_GB2312"/>
                <w:b/>
                <w:bCs/>
                <w:color w:val="FF0000"/>
                <w:szCs w:val="21"/>
              </w:rPr>
            </w:pPr>
          </w:p>
        </w:tc>
        <w:tc>
          <w:tcPr>
            <w:tcW w:w="1250" w:type="pct"/>
            <w:shd w:val="clear" w:color="auto" w:fill="auto"/>
            <w:vAlign w:val="center"/>
          </w:tcPr>
          <w:p w14:paraId="74C4D8F8">
            <w:pPr>
              <w:keepNext w:val="0"/>
              <w:keepLines w:val="0"/>
              <w:widowControl/>
              <w:suppressLineNumbers w:val="0"/>
              <w:jc w:val="center"/>
              <w:textAlignment w:val="bottom"/>
              <w:rPr>
                <w:rFonts w:ascii="Times New Roman" w:hAnsi="Times New Roman" w:eastAsia="等线" w:cs="Times New Roman"/>
                <w:color w:val="FF0000"/>
                <w:kern w:val="2"/>
                <w:sz w:val="21"/>
                <w:szCs w:val="21"/>
                <w:lang w:val="en-US" w:eastAsia="zh-CN" w:bidi="ar-SA"/>
              </w:rPr>
            </w:pPr>
            <w:r>
              <w:rPr>
                <w:rFonts w:hint="default" w:ascii="仿宋_GB2312" w:hAnsi="宋体" w:eastAsia="仿宋_GB2312" w:cs="仿宋_GB2312"/>
                <w:i w:val="0"/>
                <w:iCs w:val="0"/>
                <w:color w:val="000000"/>
                <w:kern w:val="0"/>
                <w:sz w:val="21"/>
                <w:szCs w:val="21"/>
                <w:u w:val="none"/>
                <w:lang w:val="en-US" w:eastAsia="zh-CN" w:bidi="ar"/>
              </w:rPr>
              <w:t>二乙二醇</w:t>
            </w:r>
          </w:p>
        </w:tc>
        <w:tc>
          <w:tcPr>
            <w:tcW w:w="894" w:type="pct"/>
            <w:shd w:val="clear" w:color="auto" w:fill="auto"/>
            <w:vAlign w:val="center"/>
          </w:tcPr>
          <w:p w14:paraId="3EC49748">
            <w:pPr>
              <w:keepNext w:val="0"/>
              <w:keepLines w:val="0"/>
              <w:widowControl/>
              <w:suppressLineNumbers w:val="0"/>
              <w:jc w:val="center"/>
              <w:textAlignment w:val="bottom"/>
              <w:rPr>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0.0041</w:t>
            </w:r>
          </w:p>
        </w:tc>
        <w:tc>
          <w:tcPr>
            <w:tcW w:w="894" w:type="pct"/>
            <w:shd w:val="clear" w:color="auto" w:fill="auto"/>
            <w:vAlign w:val="center"/>
          </w:tcPr>
          <w:p w14:paraId="16EC824C">
            <w:pPr>
              <w:adjustRightInd w:val="0"/>
              <w:snapToGrid w:val="0"/>
              <w:spacing w:line="320" w:lineRule="exact"/>
              <w:jc w:val="center"/>
              <w:rPr>
                <w:rFonts w:hint="eastAsia" w:ascii="Times New Roman" w:hAnsi="Times New Roman" w:eastAsia="宋体" w:cs="Times New Roman"/>
                <w:b/>
                <w:color w:val="auto"/>
                <w:kern w:val="2"/>
                <w:sz w:val="21"/>
                <w:szCs w:val="21"/>
                <w:lang w:val="en-US" w:eastAsia="zh-CN" w:bidi="ar-SA"/>
              </w:rPr>
            </w:pPr>
            <w:r>
              <w:rPr>
                <w:rFonts w:hint="eastAsia"/>
                <w:b/>
                <w:color w:val="auto"/>
                <w:szCs w:val="21"/>
                <w:lang w:val="en-US" w:eastAsia="zh-CN"/>
              </w:rPr>
              <w:t>/</w:t>
            </w:r>
          </w:p>
        </w:tc>
        <w:tc>
          <w:tcPr>
            <w:tcW w:w="800" w:type="pct"/>
            <w:shd w:val="clear" w:color="auto" w:fill="auto"/>
            <w:vAlign w:val="center"/>
          </w:tcPr>
          <w:p w14:paraId="0A4F489F">
            <w:pPr>
              <w:keepNext w:val="0"/>
              <w:keepLines w:val="0"/>
              <w:widowControl/>
              <w:suppressLineNumbers w:val="0"/>
              <w:jc w:val="center"/>
              <w:textAlignment w:val="bottom"/>
              <w:rPr>
                <w:rFonts w:ascii="Times New Roman" w:hAnsi="Times New Roman" w:eastAsia="宋体" w:cs="Times New Roman"/>
                <w:b/>
                <w:color w:val="FF0000"/>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0.0041</w:t>
            </w:r>
          </w:p>
        </w:tc>
      </w:tr>
      <w:tr w14:paraId="6FFBE4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569" w:type="pct"/>
            <w:vMerge w:val="continue"/>
            <w:shd w:val="clear" w:color="auto" w:fill="auto"/>
            <w:vAlign w:val="center"/>
          </w:tcPr>
          <w:p w14:paraId="3D4DB781">
            <w:pPr>
              <w:adjustRightInd w:val="0"/>
              <w:snapToGrid w:val="0"/>
              <w:spacing w:line="320" w:lineRule="exact"/>
              <w:jc w:val="center"/>
              <w:rPr>
                <w:rFonts w:eastAsia="仿宋_GB2312"/>
                <w:b/>
                <w:bCs/>
                <w:color w:val="FF0000"/>
                <w:szCs w:val="21"/>
              </w:rPr>
            </w:pPr>
          </w:p>
        </w:tc>
        <w:tc>
          <w:tcPr>
            <w:tcW w:w="591" w:type="pct"/>
            <w:vMerge w:val="continue"/>
            <w:shd w:val="clear" w:color="auto" w:fill="auto"/>
            <w:vAlign w:val="center"/>
          </w:tcPr>
          <w:p w14:paraId="69859A1D">
            <w:pPr>
              <w:adjustRightInd w:val="0"/>
              <w:snapToGrid w:val="0"/>
              <w:spacing w:line="320" w:lineRule="exact"/>
              <w:jc w:val="center"/>
              <w:rPr>
                <w:rFonts w:eastAsia="仿宋_GB2312"/>
                <w:b/>
                <w:bCs/>
                <w:color w:val="FF0000"/>
                <w:szCs w:val="21"/>
              </w:rPr>
            </w:pPr>
          </w:p>
        </w:tc>
        <w:tc>
          <w:tcPr>
            <w:tcW w:w="1250" w:type="pct"/>
            <w:shd w:val="clear" w:color="auto" w:fill="auto"/>
            <w:vAlign w:val="center"/>
          </w:tcPr>
          <w:p w14:paraId="45764AF6">
            <w:pPr>
              <w:keepNext w:val="0"/>
              <w:keepLines w:val="0"/>
              <w:widowControl/>
              <w:suppressLineNumbers w:val="0"/>
              <w:jc w:val="center"/>
              <w:textAlignment w:val="bottom"/>
              <w:rPr>
                <w:rFonts w:ascii="Times New Roman" w:hAnsi="Times New Roman" w:eastAsia="等线" w:cs="Times New Roman"/>
                <w:color w:val="FF0000"/>
                <w:kern w:val="2"/>
                <w:sz w:val="21"/>
                <w:szCs w:val="21"/>
                <w:lang w:val="en-US" w:eastAsia="zh-CN" w:bidi="ar-SA"/>
              </w:rPr>
            </w:pPr>
            <w:r>
              <w:rPr>
                <w:rFonts w:hint="default" w:ascii="仿宋_GB2312" w:hAnsi="宋体" w:eastAsia="仿宋_GB2312" w:cs="仿宋_GB2312"/>
                <w:i w:val="0"/>
                <w:iCs w:val="0"/>
                <w:color w:val="000000"/>
                <w:kern w:val="0"/>
                <w:sz w:val="21"/>
                <w:szCs w:val="21"/>
                <w:u w:val="none"/>
                <w:lang w:val="en-US" w:eastAsia="zh-CN" w:bidi="ar"/>
              </w:rPr>
              <w:t>四氢呋喃</w:t>
            </w:r>
          </w:p>
        </w:tc>
        <w:tc>
          <w:tcPr>
            <w:tcW w:w="894" w:type="pct"/>
            <w:shd w:val="clear" w:color="auto" w:fill="auto"/>
            <w:vAlign w:val="center"/>
          </w:tcPr>
          <w:p w14:paraId="6626A5F1">
            <w:pPr>
              <w:keepNext w:val="0"/>
              <w:keepLines w:val="0"/>
              <w:widowControl/>
              <w:suppressLineNumbers w:val="0"/>
              <w:jc w:val="center"/>
              <w:textAlignment w:val="bottom"/>
              <w:rPr>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0.148</w:t>
            </w:r>
          </w:p>
        </w:tc>
        <w:tc>
          <w:tcPr>
            <w:tcW w:w="894" w:type="pct"/>
            <w:shd w:val="clear" w:color="auto" w:fill="auto"/>
            <w:vAlign w:val="center"/>
          </w:tcPr>
          <w:p w14:paraId="73B901F0">
            <w:pPr>
              <w:adjustRightInd w:val="0"/>
              <w:snapToGrid w:val="0"/>
              <w:spacing w:line="320" w:lineRule="exact"/>
              <w:jc w:val="center"/>
              <w:rPr>
                <w:rFonts w:hint="eastAsia" w:ascii="Times New Roman" w:hAnsi="Times New Roman" w:eastAsia="宋体" w:cs="Times New Roman"/>
                <w:b/>
                <w:color w:val="auto"/>
                <w:kern w:val="2"/>
                <w:sz w:val="21"/>
                <w:szCs w:val="21"/>
                <w:lang w:val="en-US" w:eastAsia="zh-CN" w:bidi="ar-SA"/>
              </w:rPr>
            </w:pPr>
            <w:r>
              <w:rPr>
                <w:rFonts w:hint="eastAsia"/>
                <w:b/>
                <w:color w:val="auto"/>
                <w:szCs w:val="21"/>
                <w:lang w:val="en-US" w:eastAsia="zh-CN"/>
              </w:rPr>
              <w:t>/</w:t>
            </w:r>
          </w:p>
        </w:tc>
        <w:tc>
          <w:tcPr>
            <w:tcW w:w="800" w:type="pct"/>
            <w:shd w:val="clear" w:color="auto" w:fill="auto"/>
            <w:vAlign w:val="center"/>
          </w:tcPr>
          <w:p w14:paraId="1B8C49E7">
            <w:pPr>
              <w:keepNext w:val="0"/>
              <w:keepLines w:val="0"/>
              <w:widowControl/>
              <w:suppressLineNumbers w:val="0"/>
              <w:jc w:val="center"/>
              <w:textAlignment w:val="bottom"/>
              <w:rPr>
                <w:rFonts w:ascii="Times New Roman" w:hAnsi="Times New Roman" w:eastAsia="宋体" w:cs="Times New Roman"/>
                <w:b/>
                <w:color w:val="FF0000"/>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0.148</w:t>
            </w:r>
          </w:p>
        </w:tc>
      </w:tr>
      <w:tr w14:paraId="4BB9300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569" w:type="pct"/>
            <w:vMerge w:val="continue"/>
            <w:shd w:val="clear" w:color="auto" w:fill="auto"/>
            <w:vAlign w:val="center"/>
          </w:tcPr>
          <w:p w14:paraId="4F5B51C4">
            <w:pPr>
              <w:adjustRightInd w:val="0"/>
              <w:snapToGrid w:val="0"/>
              <w:spacing w:line="320" w:lineRule="exact"/>
              <w:jc w:val="center"/>
              <w:rPr>
                <w:rFonts w:eastAsia="仿宋_GB2312"/>
                <w:b/>
                <w:bCs/>
                <w:color w:val="FF0000"/>
                <w:szCs w:val="21"/>
              </w:rPr>
            </w:pPr>
          </w:p>
        </w:tc>
        <w:tc>
          <w:tcPr>
            <w:tcW w:w="591" w:type="pct"/>
            <w:vMerge w:val="continue"/>
            <w:shd w:val="clear" w:color="auto" w:fill="auto"/>
            <w:vAlign w:val="center"/>
          </w:tcPr>
          <w:p w14:paraId="7E5DCFD6">
            <w:pPr>
              <w:adjustRightInd w:val="0"/>
              <w:snapToGrid w:val="0"/>
              <w:spacing w:line="320" w:lineRule="exact"/>
              <w:jc w:val="center"/>
              <w:rPr>
                <w:rFonts w:eastAsia="仿宋_GB2312"/>
                <w:b/>
                <w:bCs/>
                <w:color w:val="FF0000"/>
                <w:szCs w:val="21"/>
              </w:rPr>
            </w:pPr>
          </w:p>
        </w:tc>
        <w:tc>
          <w:tcPr>
            <w:tcW w:w="1250" w:type="pct"/>
            <w:shd w:val="clear" w:color="auto" w:fill="auto"/>
            <w:vAlign w:val="center"/>
          </w:tcPr>
          <w:p w14:paraId="127F8637">
            <w:pPr>
              <w:keepNext w:val="0"/>
              <w:keepLines w:val="0"/>
              <w:widowControl/>
              <w:suppressLineNumbers w:val="0"/>
              <w:jc w:val="center"/>
              <w:textAlignment w:val="bottom"/>
              <w:rPr>
                <w:rFonts w:ascii="Times New Roman" w:hAnsi="Times New Roman" w:eastAsia="等线" w:cs="Times New Roman"/>
                <w:color w:val="FF0000"/>
                <w:kern w:val="2"/>
                <w:sz w:val="21"/>
                <w:szCs w:val="21"/>
                <w:lang w:val="en-US" w:eastAsia="zh-CN" w:bidi="ar-SA"/>
              </w:rPr>
            </w:pPr>
            <w:r>
              <w:rPr>
                <w:rFonts w:hint="default" w:ascii="仿宋_GB2312" w:hAnsi="宋体" w:eastAsia="仿宋_GB2312" w:cs="仿宋_GB2312"/>
                <w:i w:val="0"/>
                <w:iCs w:val="0"/>
                <w:color w:val="000000"/>
                <w:kern w:val="0"/>
                <w:sz w:val="21"/>
                <w:szCs w:val="21"/>
                <w:u w:val="none"/>
                <w:lang w:val="en-US" w:eastAsia="zh-CN" w:bidi="ar"/>
              </w:rPr>
              <w:t>甲醇</w:t>
            </w:r>
          </w:p>
        </w:tc>
        <w:tc>
          <w:tcPr>
            <w:tcW w:w="894" w:type="pct"/>
            <w:shd w:val="clear" w:color="auto" w:fill="auto"/>
            <w:vAlign w:val="center"/>
          </w:tcPr>
          <w:p w14:paraId="30AA1B9D">
            <w:pPr>
              <w:keepNext w:val="0"/>
              <w:keepLines w:val="0"/>
              <w:widowControl/>
              <w:suppressLineNumbers w:val="0"/>
              <w:jc w:val="center"/>
              <w:textAlignment w:val="bottom"/>
              <w:rPr>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0.5192</w:t>
            </w:r>
          </w:p>
        </w:tc>
        <w:tc>
          <w:tcPr>
            <w:tcW w:w="894" w:type="pct"/>
            <w:shd w:val="clear" w:color="auto" w:fill="auto"/>
            <w:vAlign w:val="center"/>
          </w:tcPr>
          <w:p w14:paraId="21323808">
            <w:pPr>
              <w:adjustRightInd w:val="0"/>
              <w:snapToGrid w:val="0"/>
              <w:spacing w:line="320" w:lineRule="exact"/>
              <w:jc w:val="center"/>
              <w:rPr>
                <w:rFonts w:hint="eastAsia" w:ascii="Times New Roman" w:hAnsi="Times New Roman" w:eastAsia="宋体" w:cs="Times New Roman"/>
                <w:b/>
                <w:color w:val="auto"/>
                <w:kern w:val="2"/>
                <w:sz w:val="21"/>
                <w:szCs w:val="21"/>
                <w:lang w:val="en-US" w:eastAsia="zh-CN" w:bidi="ar-SA"/>
              </w:rPr>
            </w:pPr>
            <w:r>
              <w:rPr>
                <w:rFonts w:hint="eastAsia"/>
                <w:b/>
                <w:color w:val="auto"/>
                <w:szCs w:val="21"/>
                <w:lang w:val="en-US" w:eastAsia="zh-CN"/>
              </w:rPr>
              <w:t>/</w:t>
            </w:r>
          </w:p>
        </w:tc>
        <w:tc>
          <w:tcPr>
            <w:tcW w:w="800" w:type="pct"/>
            <w:shd w:val="clear" w:color="auto" w:fill="auto"/>
            <w:vAlign w:val="center"/>
          </w:tcPr>
          <w:p w14:paraId="4C1730CC">
            <w:pPr>
              <w:keepNext w:val="0"/>
              <w:keepLines w:val="0"/>
              <w:widowControl/>
              <w:suppressLineNumbers w:val="0"/>
              <w:jc w:val="center"/>
              <w:textAlignment w:val="bottom"/>
              <w:rPr>
                <w:rFonts w:ascii="Times New Roman" w:hAnsi="Times New Roman" w:eastAsia="宋体" w:cs="Times New Roman"/>
                <w:color w:val="FF0000"/>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0.5192</w:t>
            </w:r>
          </w:p>
        </w:tc>
      </w:tr>
      <w:tr w14:paraId="17F626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569" w:type="pct"/>
            <w:vMerge w:val="continue"/>
            <w:shd w:val="clear" w:color="auto" w:fill="auto"/>
            <w:vAlign w:val="center"/>
          </w:tcPr>
          <w:p w14:paraId="3EDBC2BE">
            <w:pPr>
              <w:adjustRightInd w:val="0"/>
              <w:snapToGrid w:val="0"/>
              <w:spacing w:line="320" w:lineRule="exact"/>
              <w:jc w:val="center"/>
              <w:rPr>
                <w:rFonts w:eastAsia="仿宋_GB2312"/>
                <w:b/>
                <w:bCs/>
                <w:color w:val="FF0000"/>
                <w:szCs w:val="21"/>
              </w:rPr>
            </w:pPr>
          </w:p>
        </w:tc>
        <w:tc>
          <w:tcPr>
            <w:tcW w:w="591" w:type="pct"/>
            <w:vMerge w:val="continue"/>
            <w:shd w:val="clear" w:color="auto" w:fill="auto"/>
            <w:vAlign w:val="center"/>
          </w:tcPr>
          <w:p w14:paraId="24D3C130">
            <w:pPr>
              <w:adjustRightInd w:val="0"/>
              <w:snapToGrid w:val="0"/>
              <w:spacing w:line="320" w:lineRule="exact"/>
              <w:jc w:val="center"/>
              <w:rPr>
                <w:rFonts w:eastAsia="仿宋_GB2312"/>
                <w:b/>
                <w:bCs/>
                <w:color w:val="FF0000"/>
                <w:szCs w:val="21"/>
              </w:rPr>
            </w:pPr>
          </w:p>
        </w:tc>
        <w:tc>
          <w:tcPr>
            <w:tcW w:w="1250" w:type="pct"/>
            <w:shd w:val="clear" w:color="auto" w:fill="auto"/>
            <w:vAlign w:val="center"/>
          </w:tcPr>
          <w:p w14:paraId="309D31AD">
            <w:pPr>
              <w:keepNext w:val="0"/>
              <w:keepLines w:val="0"/>
              <w:widowControl/>
              <w:suppressLineNumbers w:val="0"/>
              <w:jc w:val="center"/>
              <w:textAlignment w:val="bottom"/>
              <w:rPr>
                <w:rFonts w:ascii="Times New Roman" w:hAnsi="Times New Roman" w:eastAsia="等线" w:cs="Times New Roman"/>
                <w:color w:val="FF0000"/>
                <w:kern w:val="2"/>
                <w:sz w:val="21"/>
                <w:szCs w:val="21"/>
                <w:lang w:val="en-US" w:eastAsia="zh-CN" w:bidi="ar-SA"/>
              </w:rPr>
            </w:pPr>
            <w:r>
              <w:rPr>
                <w:rFonts w:hint="default" w:ascii="仿宋_GB2312" w:hAnsi="宋体" w:eastAsia="仿宋_GB2312" w:cs="仿宋_GB2312"/>
                <w:i w:val="0"/>
                <w:iCs w:val="0"/>
                <w:color w:val="000000"/>
                <w:kern w:val="0"/>
                <w:sz w:val="21"/>
                <w:szCs w:val="21"/>
                <w:u w:val="none"/>
                <w:lang w:val="en-US" w:eastAsia="zh-CN" w:bidi="ar"/>
              </w:rPr>
              <w:t>乙腈</w:t>
            </w:r>
          </w:p>
        </w:tc>
        <w:tc>
          <w:tcPr>
            <w:tcW w:w="894" w:type="pct"/>
            <w:shd w:val="clear" w:color="auto" w:fill="auto"/>
            <w:vAlign w:val="center"/>
          </w:tcPr>
          <w:p w14:paraId="04960474">
            <w:pPr>
              <w:keepNext w:val="0"/>
              <w:keepLines w:val="0"/>
              <w:widowControl/>
              <w:suppressLineNumbers w:val="0"/>
              <w:jc w:val="center"/>
              <w:textAlignment w:val="bottom"/>
              <w:rPr>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0.447</w:t>
            </w:r>
          </w:p>
        </w:tc>
        <w:tc>
          <w:tcPr>
            <w:tcW w:w="894" w:type="pct"/>
            <w:shd w:val="clear" w:color="auto" w:fill="auto"/>
            <w:vAlign w:val="center"/>
          </w:tcPr>
          <w:p w14:paraId="691443A3">
            <w:pPr>
              <w:adjustRightInd w:val="0"/>
              <w:snapToGrid w:val="0"/>
              <w:spacing w:line="320" w:lineRule="exact"/>
              <w:jc w:val="center"/>
              <w:rPr>
                <w:rFonts w:hint="eastAsia" w:ascii="Times New Roman" w:hAnsi="Times New Roman" w:eastAsia="宋体" w:cs="Times New Roman"/>
                <w:b/>
                <w:color w:val="auto"/>
                <w:kern w:val="2"/>
                <w:sz w:val="21"/>
                <w:szCs w:val="21"/>
                <w:lang w:val="en-US" w:eastAsia="zh-CN" w:bidi="ar-SA"/>
              </w:rPr>
            </w:pPr>
            <w:r>
              <w:rPr>
                <w:rFonts w:hint="eastAsia"/>
                <w:b/>
                <w:color w:val="auto"/>
                <w:szCs w:val="21"/>
                <w:lang w:val="en-US" w:eastAsia="zh-CN"/>
              </w:rPr>
              <w:t>/</w:t>
            </w:r>
          </w:p>
        </w:tc>
        <w:tc>
          <w:tcPr>
            <w:tcW w:w="800" w:type="pct"/>
            <w:shd w:val="clear" w:color="auto" w:fill="auto"/>
            <w:vAlign w:val="center"/>
          </w:tcPr>
          <w:p w14:paraId="113A0795">
            <w:pPr>
              <w:keepNext w:val="0"/>
              <w:keepLines w:val="0"/>
              <w:widowControl/>
              <w:suppressLineNumbers w:val="0"/>
              <w:jc w:val="center"/>
              <w:textAlignment w:val="bottom"/>
              <w:rPr>
                <w:rFonts w:ascii="Times New Roman" w:hAnsi="Times New Roman" w:eastAsia="宋体" w:cs="Times New Roman"/>
                <w:color w:val="FF0000"/>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0.447</w:t>
            </w:r>
          </w:p>
        </w:tc>
      </w:tr>
      <w:tr w14:paraId="2149F5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569" w:type="pct"/>
            <w:vMerge w:val="continue"/>
            <w:shd w:val="clear" w:color="auto" w:fill="auto"/>
            <w:vAlign w:val="center"/>
          </w:tcPr>
          <w:p w14:paraId="33D43B3C">
            <w:pPr>
              <w:adjustRightInd w:val="0"/>
              <w:snapToGrid w:val="0"/>
              <w:spacing w:line="320" w:lineRule="exact"/>
              <w:jc w:val="center"/>
              <w:rPr>
                <w:rFonts w:eastAsia="仿宋_GB2312"/>
                <w:b/>
                <w:bCs/>
                <w:color w:val="FF0000"/>
                <w:szCs w:val="21"/>
              </w:rPr>
            </w:pPr>
          </w:p>
        </w:tc>
        <w:tc>
          <w:tcPr>
            <w:tcW w:w="591" w:type="pct"/>
            <w:vMerge w:val="continue"/>
            <w:shd w:val="clear" w:color="auto" w:fill="auto"/>
            <w:vAlign w:val="center"/>
          </w:tcPr>
          <w:p w14:paraId="4A9A89B0">
            <w:pPr>
              <w:adjustRightInd w:val="0"/>
              <w:snapToGrid w:val="0"/>
              <w:spacing w:line="320" w:lineRule="exact"/>
              <w:jc w:val="center"/>
              <w:rPr>
                <w:rFonts w:eastAsia="仿宋_GB2312"/>
                <w:b/>
                <w:bCs/>
                <w:color w:val="FF0000"/>
                <w:szCs w:val="21"/>
              </w:rPr>
            </w:pPr>
          </w:p>
        </w:tc>
        <w:tc>
          <w:tcPr>
            <w:tcW w:w="1250" w:type="pct"/>
            <w:shd w:val="clear" w:color="auto" w:fill="auto"/>
            <w:vAlign w:val="center"/>
          </w:tcPr>
          <w:p w14:paraId="53B746D9">
            <w:pPr>
              <w:keepNext w:val="0"/>
              <w:keepLines w:val="0"/>
              <w:widowControl/>
              <w:suppressLineNumbers w:val="0"/>
              <w:jc w:val="center"/>
              <w:textAlignment w:val="bottom"/>
              <w:rPr>
                <w:rFonts w:ascii="Times New Roman" w:hAnsi="Times New Roman" w:eastAsia="等线" w:cs="Times New Roman"/>
                <w:color w:val="FF0000"/>
                <w:kern w:val="2"/>
                <w:sz w:val="21"/>
                <w:szCs w:val="21"/>
                <w:lang w:val="en-US" w:eastAsia="zh-CN" w:bidi="ar-SA"/>
              </w:rPr>
            </w:pPr>
            <w:r>
              <w:rPr>
                <w:rFonts w:hint="default" w:ascii="仿宋_GB2312" w:hAnsi="宋体" w:eastAsia="仿宋_GB2312" w:cs="仿宋_GB2312"/>
                <w:i w:val="0"/>
                <w:iCs w:val="0"/>
                <w:color w:val="000000"/>
                <w:kern w:val="0"/>
                <w:sz w:val="21"/>
                <w:szCs w:val="21"/>
                <w:u w:val="none"/>
                <w:lang w:val="en-US" w:eastAsia="zh-CN" w:bidi="ar"/>
              </w:rPr>
              <w:t>丙二醇单甲醚</w:t>
            </w:r>
          </w:p>
        </w:tc>
        <w:tc>
          <w:tcPr>
            <w:tcW w:w="894" w:type="pct"/>
            <w:shd w:val="clear" w:color="auto" w:fill="auto"/>
            <w:vAlign w:val="center"/>
          </w:tcPr>
          <w:p w14:paraId="0BB49519">
            <w:pPr>
              <w:keepNext w:val="0"/>
              <w:keepLines w:val="0"/>
              <w:widowControl/>
              <w:suppressLineNumbers w:val="0"/>
              <w:jc w:val="center"/>
              <w:textAlignment w:val="bottom"/>
              <w:rPr>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0.029</w:t>
            </w:r>
          </w:p>
        </w:tc>
        <w:tc>
          <w:tcPr>
            <w:tcW w:w="894" w:type="pct"/>
            <w:shd w:val="clear" w:color="auto" w:fill="auto"/>
            <w:vAlign w:val="center"/>
          </w:tcPr>
          <w:p w14:paraId="505881CB">
            <w:pPr>
              <w:adjustRightInd w:val="0"/>
              <w:snapToGrid w:val="0"/>
              <w:spacing w:line="320" w:lineRule="exact"/>
              <w:jc w:val="center"/>
              <w:rPr>
                <w:rFonts w:hint="eastAsia" w:ascii="Times New Roman" w:hAnsi="Times New Roman" w:eastAsia="宋体" w:cs="Times New Roman"/>
                <w:b/>
                <w:color w:val="auto"/>
                <w:kern w:val="2"/>
                <w:sz w:val="21"/>
                <w:szCs w:val="21"/>
                <w:lang w:val="en-US" w:eastAsia="zh-CN" w:bidi="ar-SA"/>
              </w:rPr>
            </w:pPr>
            <w:r>
              <w:rPr>
                <w:rFonts w:hint="eastAsia"/>
                <w:b/>
                <w:color w:val="auto"/>
                <w:szCs w:val="21"/>
                <w:lang w:val="en-US" w:eastAsia="zh-CN"/>
              </w:rPr>
              <w:t>/</w:t>
            </w:r>
          </w:p>
        </w:tc>
        <w:tc>
          <w:tcPr>
            <w:tcW w:w="800" w:type="pct"/>
            <w:shd w:val="clear" w:color="auto" w:fill="auto"/>
            <w:vAlign w:val="center"/>
          </w:tcPr>
          <w:p w14:paraId="29550937">
            <w:pPr>
              <w:keepNext w:val="0"/>
              <w:keepLines w:val="0"/>
              <w:widowControl/>
              <w:suppressLineNumbers w:val="0"/>
              <w:jc w:val="center"/>
              <w:textAlignment w:val="bottom"/>
              <w:rPr>
                <w:rFonts w:ascii="Times New Roman" w:hAnsi="Times New Roman" w:eastAsia="宋体" w:cs="Times New Roman"/>
                <w:color w:val="FF0000"/>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0.029</w:t>
            </w:r>
          </w:p>
        </w:tc>
      </w:tr>
      <w:tr w14:paraId="7AC726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569" w:type="pct"/>
            <w:vMerge w:val="continue"/>
            <w:shd w:val="clear" w:color="auto" w:fill="auto"/>
            <w:vAlign w:val="center"/>
          </w:tcPr>
          <w:p w14:paraId="2DF0E039">
            <w:pPr>
              <w:adjustRightInd w:val="0"/>
              <w:snapToGrid w:val="0"/>
              <w:spacing w:line="320" w:lineRule="exact"/>
              <w:jc w:val="center"/>
              <w:rPr>
                <w:rFonts w:eastAsia="仿宋_GB2312"/>
                <w:b/>
                <w:bCs/>
                <w:color w:val="FF0000"/>
                <w:szCs w:val="21"/>
              </w:rPr>
            </w:pPr>
          </w:p>
        </w:tc>
        <w:tc>
          <w:tcPr>
            <w:tcW w:w="591" w:type="pct"/>
            <w:vMerge w:val="continue"/>
            <w:shd w:val="clear" w:color="auto" w:fill="auto"/>
            <w:vAlign w:val="center"/>
          </w:tcPr>
          <w:p w14:paraId="3B6F4F6B">
            <w:pPr>
              <w:adjustRightInd w:val="0"/>
              <w:snapToGrid w:val="0"/>
              <w:spacing w:line="320" w:lineRule="exact"/>
              <w:jc w:val="center"/>
              <w:rPr>
                <w:rFonts w:eastAsia="仿宋_GB2312"/>
                <w:b/>
                <w:bCs/>
                <w:color w:val="FF0000"/>
                <w:szCs w:val="21"/>
              </w:rPr>
            </w:pPr>
          </w:p>
        </w:tc>
        <w:tc>
          <w:tcPr>
            <w:tcW w:w="1250" w:type="pct"/>
            <w:shd w:val="clear" w:color="auto" w:fill="auto"/>
            <w:vAlign w:val="center"/>
          </w:tcPr>
          <w:p w14:paraId="0CC2F5CF">
            <w:pPr>
              <w:keepNext w:val="0"/>
              <w:keepLines w:val="0"/>
              <w:widowControl/>
              <w:suppressLineNumbers w:val="0"/>
              <w:jc w:val="center"/>
              <w:textAlignment w:val="bottom"/>
              <w:rPr>
                <w:rFonts w:ascii="Times New Roman" w:hAnsi="Times New Roman" w:eastAsia="等线" w:cs="Times New Roman"/>
                <w:color w:val="FF0000"/>
                <w:kern w:val="2"/>
                <w:sz w:val="21"/>
                <w:szCs w:val="21"/>
                <w:lang w:val="en-US" w:eastAsia="zh-CN" w:bidi="ar-SA"/>
              </w:rPr>
            </w:pPr>
            <w:r>
              <w:rPr>
                <w:rFonts w:hint="default" w:ascii="仿宋_GB2312" w:hAnsi="宋体" w:eastAsia="仿宋_GB2312" w:cs="仿宋_GB2312"/>
                <w:i w:val="0"/>
                <w:iCs w:val="0"/>
                <w:color w:val="000000"/>
                <w:kern w:val="0"/>
                <w:sz w:val="21"/>
                <w:szCs w:val="21"/>
                <w:u w:val="none"/>
                <w:lang w:val="en-US" w:eastAsia="zh-CN" w:bidi="ar"/>
              </w:rPr>
              <w:t>环戊酮</w:t>
            </w:r>
          </w:p>
        </w:tc>
        <w:tc>
          <w:tcPr>
            <w:tcW w:w="894" w:type="pct"/>
            <w:shd w:val="clear" w:color="auto" w:fill="auto"/>
            <w:vAlign w:val="center"/>
          </w:tcPr>
          <w:p w14:paraId="0AAF1DB5">
            <w:pPr>
              <w:keepNext w:val="0"/>
              <w:keepLines w:val="0"/>
              <w:widowControl/>
              <w:suppressLineNumbers w:val="0"/>
              <w:jc w:val="center"/>
              <w:textAlignment w:val="bottom"/>
              <w:rPr>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0.013</w:t>
            </w:r>
          </w:p>
        </w:tc>
        <w:tc>
          <w:tcPr>
            <w:tcW w:w="894" w:type="pct"/>
            <w:shd w:val="clear" w:color="auto" w:fill="auto"/>
            <w:vAlign w:val="center"/>
          </w:tcPr>
          <w:p w14:paraId="7EF06D0A">
            <w:pPr>
              <w:adjustRightInd w:val="0"/>
              <w:snapToGrid w:val="0"/>
              <w:spacing w:line="320" w:lineRule="exact"/>
              <w:jc w:val="center"/>
              <w:rPr>
                <w:rFonts w:hint="eastAsia" w:ascii="Times New Roman" w:hAnsi="Times New Roman" w:eastAsia="宋体" w:cs="Times New Roman"/>
                <w:b/>
                <w:color w:val="auto"/>
                <w:kern w:val="2"/>
                <w:sz w:val="21"/>
                <w:szCs w:val="21"/>
                <w:lang w:val="en-US" w:eastAsia="zh-CN" w:bidi="ar-SA"/>
              </w:rPr>
            </w:pPr>
            <w:r>
              <w:rPr>
                <w:rFonts w:hint="eastAsia"/>
                <w:b/>
                <w:color w:val="auto"/>
                <w:szCs w:val="21"/>
                <w:lang w:val="en-US" w:eastAsia="zh-CN"/>
              </w:rPr>
              <w:t>/</w:t>
            </w:r>
          </w:p>
        </w:tc>
        <w:tc>
          <w:tcPr>
            <w:tcW w:w="800" w:type="pct"/>
            <w:shd w:val="clear" w:color="auto" w:fill="auto"/>
            <w:vAlign w:val="center"/>
          </w:tcPr>
          <w:p w14:paraId="16C9CF24">
            <w:pPr>
              <w:keepNext w:val="0"/>
              <w:keepLines w:val="0"/>
              <w:widowControl/>
              <w:suppressLineNumbers w:val="0"/>
              <w:jc w:val="center"/>
              <w:textAlignment w:val="bottom"/>
              <w:rPr>
                <w:rFonts w:ascii="Times New Roman" w:hAnsi="Times New Roman" w:eastAsia="宋体" w:cs="Times New Roman"/>
                <w:color w:val="FF0000"/>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0.013</w:t>
            </w:r>
          </w:p>
        </w:tc>
      </w:tr>
      <w:tr w14:paraId="5F9F91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569" w:type="pct"/>
            <w:vMerge w:val="continue"/>
            <w:shd w:val="clear" w:color="auto" w:fill="auto"/>
            <w:vAlign w:val="center"/>
          </w:tcPr>
          <w:p w14:paraId="1A101317">
            <w:pPr>
              <w:adjustRightInd w:val="0"/>
              <w:snapToGrid w:val="0"/>
              <w:spacing w:line="320" w:lineRule="exact"/>
              <w:jc w:val="center"/>
              <w:rPr>
                <w:rFonts w:eastAsia="仿宋_GB2312"/>
                <w:b/>
                <w:bCs/>
                <w:color w:val="FF0000"/>
                <w:szCs w:val="21"/>
              </w:rPr>
            </w:pPr>
          </w:p>
        </w:tc>
        <w:tc>
          <w:tcPr>
            <w:tcW w:w="591" w:type="pct"/>
            <w:vMerge w:val="continue"/>
            <w:shd w:val="clear" w:color="auto" w:fill="auto"/>
            <w:vAlign w:val="center"/>
          </w:tcPr>
          <w:p w14:paraId="7DA06DB9">
            <w:pPr>
              <w:adjustRightInd w:val="0"/>
              <w:snapToGrid w:val="0"/>
              <w:spacing w:line="320" w:lineRule="exact"/>
              <w:jc w:val="center"/>
              <w:rPr>
                <w:rFonts w:eastAsia="仿宋_GB2312"/>
                <w:b/>
                <w:bCs/>
                <w:color w:val="FF0000"/>
                <w:szCs w:val="21"/>
              </w:rPr>
            </w:pPr>
          </w:p>
        </w:tc>
        <w:tc>
          <w:tcPr>
            <w:tcW w:w="1250" w:type="pct"/>
            <w:shd w:val="clear" w:color="auto" w:fill="auto"/>
            <w:vAlign w:val="center"/>
          </w:tcPr>
          <w:p w14:paraId="595F58B4">
            <w:pPr>
              <w:keepNext w:val="0"/>
              <w:keepLines w:val="0"/>
              <w:widowControl/>
              <w:suppressLineNumbers w:val="0"/>
              <w:jc w:val="center"/>
              <w:textAlignment w:val="bottom"/>
              <w:rPr>
                <w:rFonts w:ascii="Times New Roman" w:hAnsi="Times New Roman" w:eastAsia="等线" w:cs="Times New Roman"/>
                <w:color w:val="FF0000"/>
                <w:kern w:val="2"/>
                <w:sz w:val="21"/>
                <w:szCs w:val="21"/>
                <w:lang w:val="en-US" w:eastAsia="zh-CN" w:bidi="ar-SA"/>
              </w:rPr>
            </w:pPr>
            <w:r>
              <w:rPr>
                <w:rFonts w:hint="default" w:ascii="仿宋_GB2312" w:hAnsi="宋体" w:eastAsia="仿宋_GB2312" w:cs="仿宋_GB2312"/>
                <w:i w:val="0"/>
                <w:iCs w:val="0"/>
                <w:color w:val="000000"/>
                <w:kern w:val="0"/>
                <w:sz w:val="21"/>
                <w:szCs w:val="21"/>
                <w:u w:val="none"/>
                <w:lang w:val="en-US" w:eastAsia="zh-CN" w:bidi="ar"/>
              </w:rPr>
              <w:t>乙酸甲酯</w:t>
            </w:r>
          </w:p>
        </w:tc>
        <w:tc>
          <w:tcPr>
            <w:tcW w:w="894" w:type="pct"/>
            <w:shd w:val="clear" w:color="auto" w:fill="auto"/>
            <w:vAlign w:val="center"/>
          </w:tcPr>
          <w:p w14:paraId="6336CB3C">
            <w:pPr>
              <w:keepNext w:val="0"/>
              <w:keepLines w:val="0"/>
              <w:widowControl/>
              <w:suppressLineNumbers w:val="0"/>
              <w:jc w:val="center"/>
              <w:textAlignment w:val="bottom"/>
              <w:rPr>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0.014</w:t>
            </w:r>
          </w:p>
        </w:tc>
        <w:tc>
          <w:tcPr>
            <w:tcW w:w="894" w:type="pct"/>
            <w:shd w:val="clear" w:color="auto" w:fill="auto"/>
            <w:vAlign w:val="center"/>
          </w:tcPr>
          <w:p w14:paraId="09153A32">
            <w:pPr>
              <w:adjustRightInd w:val="0"/>
              <w:snapToGrid w:val="0"/>
              <w:spacing w:line="320" w:lineRule="exact"/>
              <w:jc w:val="center"/>
              <w:rPr>
                <w:rFonts w:hint="eastAsia" w:ascii="Times New Roman" w:hAnsi="Times New Roman" w:eastAsia="宋体" w:cs="Times New Roman"/>
                <w:color w:val="auto"/>
                <w:kern w:val="2"/>
                <w:sz w:val="21"/>
                <w:szCs w:val="21"/>
                <w:lang w:val="en-US" w:eastAsia="zh-CN" w:bidi="ar-SA"/>
              </w:rPr>
            </w:pPr>
            <w:r>
              <w:rPr>
                <w:rFonts w:hint="eastAsia"/>
                <w:color w:val="auto"/>
                <w:szCs w:val="21"/>
                <w:lang w:val="en-US" w:eastAsia="zh-CN"/>
              </w:rPr>
              <w:t>/</w:t>
            </w:r>
          </w:p>
        </w:tc>
        <w:tc>
          <w:tcPr>
            <w:tcW w:w="800" w:type="pct"/>
            <w:shd w:val="clear" w:color="auto" w:fill="auto"/>
            <w:vAlign w:val="center"/>
          </w:tcPr>
          <w:p w14:paraId="39206F55">
            <w:pPr>
              <w:keepNext w:val="0"/>
              <w:keepLines w:val="0"/>
              <w:widowControl/>
              <w:suppressLineNumbers w:val="0"/>
              <w:jc w:val="center"/>
              <w:textAlignment w:val="bottom"/>
              <w:rPr>
                <w:rFonts w:ascii="Times New Roman" w:hAnsi="Times New Roman" w:eastAsia="宋体" w:cs="Times New Roman"/>
                <w:color w:val="FF0000"/>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0.014</w:t>
            </w:r>
          </w:p>
        </w:tc>
      </w:tr>
      <w:tr w14:paraId="0110A2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569" w:type="pct"/>
            <w:vMerge w:val="continue"/>
            <w:shd w:val="clear" w:color="auto" w:fill="auto"/>
            <w:vAlign w:val="center"/>
          </w:tcPr>
          <w:p w14:paraId="545DB93A">
            <w:pPr>
              <w:adjustRightInd w:val="0"/>
              <w:snapToGrid w:val="0"/>
              <w:spacing w:line="320" w:lineRule="exact"/>
              <w:jc w:val="center"/>
              <w:rPr>
                <w:rFonts w:eastAsia="仿宋_GB2312"/>
                <w:b/>
                <w:bCs/>
                <w:color w:val="FF0000"/>
                <w:szCs w:val="21"/>
              </w:rPr>
            </w:pPr>
          </w:p>
        </w:tc>
        <w:tc>
          <w:tcPr>
            <w:tcW w:w="591" w:type="pct"/>
            <w:vMerge w:val="continue"/>
            <w:shd w:val="clear" w:color="auto" w:fill="auto"/>
            <w:vAlign w:val="center"/>
          </w:tcPr>
          <w:p w14:paraId="51D12593">
            <w:pPr>
              <w:adjustRightInd w:val="0"/>
              <w:snapToGrid w:val="0"/>
              <w:spacing w:line="320" w:lineRule="exact"/>
              <w:jc w:val="center"/>
              <w:rPr>
                <w:rFonts w:eastAsia="仿宋_GB2312"/>
                <w:b/>
                <w:bCs/>
                <w:color w:val="FF0000"/>
                <w:szCs w:val="21"/>
              </w:rPr>
            </w:pPr>
          </w:p>
        </w:tc>
        <w:tc>
          <w:tcPr>
            <w:tcW w:w="1250" w:type="pct"/>
            <w:shd w:val="clear" w:color="auto" w:fill="auto"/>
            <w:vAlign w:val="center"/>
          </w:tcPr>
          <w:p w14:paraId="66254F62">
            <w:pPr>
              <w:keepNext w:val="0"/>
              <w:keepLines w:val="0"/>
              <w:widowControl/>
              <w:suppressLineNumbers w:val="0"/>
              <w:jc w:val="center"/>
              <w:textAlignment w:val="bottom"/>
              <w:rPr>
                <w:rFonts w:ascii="Times New Roman" w:hAnsi="Times New Roman" w:eastAsia="仿宋_GB2312" w:cs="Times New Roman"/>
                <w:bCs/>
                <w:color w:val="FF0000"/>
                <w:kern w:val="2"/>
                <w:sz w:val="21"/>
                <w:szCs w:val="21"/>
                <w:lang w:val="en-US" w:eastAsia="zh-CN" w:bidi="ar-SA"/>
              </w:rPr>
            </w:pPr>
            <w:r>
              <w:rPr>
                <w:rFonts w:hint="default" w:ascii="仿宋_GB2312" w:hAnsi="宋体" w:eastAsia="仿宋_GB2312" w:cs="仿宋_GB2312"/>
                <w:i w:val="0"/>
                <w:iCs w:val="0"/>
                <w:color w:val="000000"/>
                <w:kern w:val="0"/>
                <w:sz w:val="21"/>
                <w:szCs w:val="21"/>
                <w:u w:val="none"/>
                <w:lang w:val="en-US" w:eastAsia="zh-CN" w:bidi="ar"/>
              </w:rPr>
              <w:t>苯酚</w:t>
            </w:r>
          </w:p>
        </w:tc>
        <w:tc>
          <w:tcPr>
            <w:tcW w:w="894" w:type="pct"/>
            <w:shd w:val="clear" w:color="auto" w:fill="auto"/>
            <w:vAlign w:val="center"/>
          </w:tcPr>
          <w:p w14:paraId="6E784FAC">
            <w:pPr>
              <w:keepNext w:val="0"/>
              <w:keepLines w:val="0"/>
              <w:widowControl/>
              <w:suppressLineNumbers w:val="0"/>
              <w:jc w:val="center"/>
              <w:textAlignment w:val="bottom"/>
              <w:rPr>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0.0036</w:t>
            </w:r>
          </w:p>
        </w:tc>
        <w:tc>
          <w:tcPr>
            <w:tcW w:w="894" w:type="pct"/>
            <w:shd w:val="clear" w:color="auto" w:fill="auto"/>
            <w:vAlign w:val="center"/>
          </w:tcPr>
          <w:p w14:paraId="6BDAEA47">
            <w:pPr>
              <w:adjustRightInd w:val="0"/>
              <w:snapToGrid w:val="0"/>
              <w:spacing w:line="320" w:lineRule="exact"/>
              <w:jc w:val="center"/>
              <w:rPr>
                <w:rFonts w:hint="eastAsia" w:ascii="Times New Roman" w:hAnsi="Times New Roman" w:eastAsia="宋体" w:cs="Times New Roman"/>
                <w:color w:val="auto"/>
                <w:kern w:val="2"/>
                <w:sz w:val="21"/>
                <w:szCs w:val="21"/>
                <w:lang w:val="en-US" w:eastAsia="zh-CN" w:bidi="ar-SA"/>
              </w:rPr>
            </w:pPr>
            <w:r>
              <w:rPr>
                <w:rFonts w:hint="eastAsia"/>
                <w:color w:val="auto"/>
                <w:szCs w:val="21"/>
                <w:lang w:val="en-US" w:eastAsia="zh-CN"/>
              </w:rPr>
              <w:t>/</w:t>
            </w:r>
          </w:p>
        </w:tc>
        <w:tc>
          <w:tcPr>
            <w:tcW w:w="800" w:type="pct"/>
            <w:shd w:val="clear" w:color="auto" w:fill="auto"/>
            <w:vAlign w:val="center"/>
          </w:tcPr>
          <w:p w14:paraId="75017CEA">
            <w:pPr>
              <w:keepNext w:val="0"/>
              <w:keepLines w:val="0"/>
              <w:widowControl/>
              <w:suppressLineNumbers w:val="0"/>
              <w:jc w:val="center"/>
              <w:textAlignment w:val="bottom"/>
              <w:rPr>
                <w:rFonts w:ascii="Times New Roman" w:hAnsi="Times New Roman" w:eastAsia="宋体" w:cs="Times New Roman"/>
                <w:color w:val="FF0000"/>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0.0036</w:t>
            </w:r>
          </w:p>
        </w:tc>
      </w:tr>
      <w:tr w14:paraId="4A220F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569" w:type="pct"/>
            <w:vMerge w:val="continue"/>
            <w:shd w:val="clear" w:color="auto" w:fill="auto"/>
            <w:vAlign w:val="center"/>
          </w:tcPr>
          <w:p w14:paraId="70F74D7A">
            <w:pPr>
              <w:adjustRightInd w:val="0"/>
              <w:snapToGrid w:val="0"/>
              <w:spacing w:line="320" w:lineRule="exact"/>
              <w:jc w:val="center"/>
              <w:rPr>
                <w:rFonts w:eastAsia="仿宋_GB2312"/>
                <w:b/>
                <w:bCs/>
                <w:color w:val="FF0000"/>
                <w:szCs w:val="21"/>
              </w:rPr>
            </w:pPr>
          </w:p>
        </w:tc>
        <w:tc>
          <w:tcPr>
            <w:tcW w:w="591" w:type="pct"/>
            <w:vMerge w:val="continue"/>
            <w:shd w:val="clear" w:color="auto" w:fill="auto"/>
            <w:vAlign w:val="center"/>
          </w:tcPr>
          <w:p w14:paraId="305D67C6">
            <w:pPr>
              <w:adjustRightInd w:val="0"/>
              <w:snapToGrid w:val="0"/>
              <w:spacing w:line="320" w:lineRule="exact"/>
              <w:jc w:val="center"/>
              <w:rPr>
                <w:rFonts w:eastAsia="仿宋_GB2312"/>
                <w:b/>
                <w:bCs/>
                <w:color w:val="FF0000"/>
                <w:szCs w:val="21"/>
              </w:rPr>
            </w:pPr>
          </w:p>
        </w:tc>
        <w:tc>
          <w:tcPr>
            <w:tcW w:w="1250" w:type="pct"/>
            <w:shd w:val="clear" w:color="auto" w:fill="auto"/>
            <w:vAlign w:val="center"/>
          </w:tcPr>
          <w:p w14:paraId="1094783E">
            <w:pPr>
              <w:keepNext w:val="0"/>
              <w:keepLines w:val="0"/>
              <w:widowControl/>
              <w:suppressLineNumbers w:val="0"/>
              <w:jc w:val="center"/>
              <w:textAlignment w:val="bottom"/>
              <w:rPr>
                <w:rFonts w:ascii="Times New Roman" w:hAnsi="Times New Roman" w:eastAsia="仿宋_GB2312" w:cs="Times New Roman"/>
                <w:color w:val="FF0000"/>
                <w:kern w:val="2"/>
                <w:sz w:val="21"/>
                <w:szCs w:val="21"/>
                <w:lang w:val="en-US" w:eastAsia="zh-CN" w:bidi="ar-SA"/>
              </w:rPr>
            </w:pPr>
            <w:r>
              <w:rPr>
                <w:rFonts w:hint="default" w:ascii="仿宋_GB2312" w:hAnsi="宋体" w:eastAsia="仿宋_GB2312" w:cs="仿宋_GB2312"/>
                <w:i w:val="0"/>
                <w:iCs w:val="0"/>
                <w:color w:val="000000"/>
                <w:kern w:val="0"/>
                <w:sz w:val="21"/>
                <w:szCs w:val="21"/>
                <w:u w:val="none"/>
                <w:lang w:val="en-US" w:eastAsia="zh-CN" w:bidi="ar"/>
              </w:rPr>
              <w:t>丙二醇甲醚醋酸酯</w:t>
            </w:r>
          </w:p>
        </w:tc>
        <w:tc>
          <w:tcPr>
            <w:tcW w:w="894" w:type="pct"/>
            <w:shd w:val="clear" w:color="auto" w:fill="auto"/>
            <w:vAlign w:val="center"/>
          </w:tcPr>
          <w:p w14:paraId="75669307">
            <w:pPr>
              <w:keepNext w:val="0"/>
              <w:keepLines w:val="0"/>
              <w:widowControl/>
              <w:suppressLineNumbers w:val="0"/>
              <w:jc w:val="center"/>
              <w:textAlignment w:val="bottom"/>
              <w:rPr>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0.02</w:t>
            </w:r>
          </w:p>
        </w:tc>
        <w:tc>
          <w:tcPr>
            <w:tcW w:w="894" w:type="pct"/>
            <w:shd w:val="clear" w:color="auto" w:fill="auto"/>
            <w:vAlign w:val="center"/>
          </w:tcPr>
          <w:p w14:paraId="42A8CADD">
            <w:pPr>
              <w:adjustRightInd w:val="0"/>
              <w:snapToGrid w:val="0"/>
              <w:spacing w:line="320" w:lineRule="exact"/>
              <w:jc w:val="center"/>
              <w:rPr>
                <w:rFonts w:hint="eastAsia" w:ascii="Times New Roman" w:hAnsi="Times New Roman" w:eastAsia="宋体" w:cs="Times New Roman"/>
                <w:color w:val="auto"/>
                <w:kern w:val="2"/>
                <w:sz w:val="21"/>
                <w:szCs w:val="21"/>
                <w:lang w:val="en-US" w:eastAsia="zh-CN" w:bidi="ar-SA"/>
              </w:rPr>
            </w:pPr>
            <w:r>
              <w:rPr>
                <w:rFonts w:hint="eastAsia"/>
                <w:color w:val="auto"/>
                <w:szCs w:val="21"/>
                <w:lang w:val="en-US" w:eastAsia="zh-CN"/>
              </w:rPr>
              <w:t>/</w:t>
            </w:r>
          </w:p>
        </w:tc>
        <w:tc>
          <w:tcPr>
            <w:tcW w:w="800" w:type="pct"/>
            <w:shd w:val="clear" w:color="auto" w:fill="auto"/>
            <w:vAlign w:val="center"/>
          </w:tcPr>
          <w:p w14:paraId="1D07BC86">
            <w:pPr>
              <w:keepNext w:val="0"/>
              <w:keepLines w:val="0"/>
              <w:widowControl/>
              <w:suppressLineNumbers w:val="0"/>
              <w:jc w:val="center"/>
              <w:textAlignment w:val="bottom"/>
              <w:rPr>
                <w:rFonts w:ascii="Times New Roman" w:hAnsi="Times New Roman" w:eastAsia="宋体" w:cs="Times New Roman"/>
                <w:color w:val="FF0000"/>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0.02</w:t>
            </w:r>
          </w:p>
        </w:tc>
      </w:tr>
      <w:tr w14:paraId="643025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569" w:type="pct"/>
            <w:vMerge w:val="continue"/>
            <w:shd w:val="clear" w:color="auto" w:fill="auto"/>
            <w:vAlign w:val="center"/>
          </w:tcPr>
          <w:p w14:paraId="20BFF6B8">
            <w:pPr>
              <w:adjustRightInd w:val="0"/>
              <w:snapToGrid w:val="0"/>
              <w:spacing w:line="320" w:lineRule="exact"/>
              <w:jc w:val="center"/>
              <w:rPr>
                <w:rFonts w:eastAsia="仿宋_GB2312"/>
                <w:b/>
                <w:bCs/>
                <w:color w:val="FF0000"/>
                <w:szCs w:val="21"/>
              </w:rPr>
            </w:pPr>
          </w:p>
        </w:tc>
        <w:tc>
          <w:tcPr>
            <w:tcW w:w="591" w:type="pct"/>
            <w:vMerge w:val="continue"/>
            <w:shd w:val="clear" w:color="auto" w:fill="auto"/>
            <w:vAlign w:val="center"/>
          </w:tcPr>
          <w:p w14:paraId="0A1ED87C">
            <w:pPr>
              <w:adjustRightInd w:val="0"/>
              <w:snapToGrid w:val="0"/>
              <w:spacing w:line="320" w:lineRule="exact"/>
              <w:jc w:val="center"/>
              <w:rPr>
                <w:rFonts w:eastAsia="仿宋_GB2312"/>
                <w:b/>
                <w:bCs/>
                <w:color w:val="FF0000"/>
                <w:szCs w:val="21"/>
              </w:rPr>
            </w:pPr>
          </w:p>
        </w:tc>
        <w:tc>
          <w:tcPr>
            <w:tcW w:w="1250" w:type="pct"/>
            <w:shd w:val="clear" w:color="auto" w:fill="auto"/>
            <w:vAlign w:val="center"/>
          </w:tcPr>
          <w:p w14:paraId="734B10F9">
            <w:pPr>
              <w:keepNext w:val="0"/>
              <w:keepLines w:val="0"/>
              <w:widowControl/>
              <w:suppressLineNumbers w:val="0"/>
              <w:jc w:val="center"/>
              <w:textAlignment w:val="bottom"/>
              <w:rPr>
                <w:rFonts w:ascii="Times New Roman" w:hAnsi="Times New Roman" w:eastAsia="仿宋_GB2312" w:cs="Times New Roman"/>
                <w:bCs/>
                <w:color w:val="FF0000"/>
                <w:kern w:val="2"/>
                <w:sz w:val="21"/>
                <w:szCs w:val="21"/>
                <w:lang w:val="en-US" w:eastAsia="zh-CN" w:bidi="ar-SA"/>
              </w:rPr>
            </w:pPr>
            <w:r>
              <w:rPr>
                <w:rFonts w:hint="default" w:ascii="仿宋_GB2312" w:hAnsi="宋体" w:eastAsia="仿宋_GB2312" w:cs="仿宋_GB2312"/>
                <w:i w:val="0"/>
                <w:iCs w:val="0"/>
                <w:color w:val="000000"/>
                <w:kern w:val="0"/>
                <w:sz w:val="21"/>
                <w:szCs w:val="21"/>
                <w:u w:val="none"/>
                <w:lang w:val="en-US" w:eastAsia="zh-CN" w:bidi="ar"/>
              </w:rPr>
              <w:t>己烷</w:t>
            </w:r>
          </w:p>
        </w:tc>
        <w:tc>
          <w:tcPr>
            <w:tcW w:w="894" w:type="pct"/>
            <w:shd w:val="clear" w:color="auto" w:fill="auto"/>
            <w:vAlign w:val="center"/>
          </w:tcPr>
          <w:p w14:paraId="32E3AC80">
            <w:pPr>
              <w:keepNext w:val="0"/>
              <w:keepLines w:val="0"/>
              <w:widowControl/>
              <w:suppressLineNumbers w:val="0"/>
              <w:jc w:val="center"/>
              <w:textAlignment w:val="bottom"/>
              <w:rPr>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0.011</w:t>
            </w:r>
          </w:p>
        </w:tc>
        <w:tc>
          <w:tcPr>
            <w:tcW w:w="894" w:type="pct"/>
            <w:shd w:val="clear" w:color="auto" w:fill="auto"/>
            <w:vAlign w:val="center"/>
          </w:tcPr>
          <w:p w14:paraId="6DFF07F5">
            <w:pPr>
              <w:adjustRightInd w:val="0"/>
              <w:snapToGrid w:val="0"/>
              <w:spacing w:line="320" w:lineRule="exact"/>
              <w:jc w:val="center"/>
              <w:rPr>
                <w:rFonts w:hint="eastAsia" w:ascii="Times New Roman" w:hAnsi="Times New Roman" w:eastAsia="宋体" w:cs="Times New Roman"/>
                <w:color w:val="auto"/>
                <w:kern w:val="2"/>
                <w:sz w:val="21"/>
                <w:szCs w:val="21"/>
                <w:lang w:val="en-US" w:eastAsia="zh-CN" w:bidi="ar-SA"/>
              </w:rPr>
            </w:pPr>
            <w:r>
              <w:rPr>
                <w:rFonts w:hint="eastAsia"/>
                <w:color w:val="auto"/>
                <w:szCs w:val="21"/>
                <w:lang w:val="en-US" w:eastAsia="zh-CN"/>
              </w:rPr>
              <w:t>/</w:t>
            </w:r>
          </w:p>
        </w:tc>
        <w:tc>
          <w:tcPr>
            <w:tcW w:w="800" w:type="pct"/>
            <w:shd w:val="clear" w:color="auto" w:fill="auto"/>
            <w:vAlign w:val="center"/>
          </w:tcPr>
          <w:p w14:paraId="4368C243">
            <w:pPr>
              <w:keepNext w:val="0"/>
              <w:keepLines w:val="0"/>
              <w:widowControl/>
              <w:suppressLineNumbers w:val="0"/>
              <w:jc w:val="center"/>
              <w:textAlignment w:val="bottom"/>
              <w:rPr>
                <w:rFonts w:ascii="Times New Roman" w:hAnsi="Times New Roman" w:eastAsia="宋体" w:cs="Times New Roman"/>
                <w:color w:val="FF0000"/>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0.011</w:t>
            </w:r>
          </w:p>
        </w:tc>
      </w:tr>
      <w:tr w14:paraId="2452BE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569" w:type="pct"/>
            <w:vMerge w:val="continue"/>
            <w:shd w:val="clear" w:color="auto" w:fill="auto"/>
            <w:vAlign w:val="center"/>
          </w:tcPr>
          <w:p w14:paraId="2C0B93CC">
            <w:pPr>
              <w:adjustRightInd w:val="0"/>
              <w:snapToGrid w:val="0"/>
              <w:spacing w:line="320" w:lineRule="exact"/>
              <w:jc w:val="center"/>
              <w:rPr>
                <w:rFonts w:eastAsia="仿宋_GB2312"/>
                <w:b/>
                <w:bCs/>
                <w:color w:val="FF0000"/>
                <w:szCs w:val="21"/>
              </w:rPr>
            </w:pPr>
          </w:p>
        </w:tc>
        <w:tc>
          <w:tcPr>
            <w:tcW w:w="591" w:type="pct"/>
            <w:vMerge w:val="continue"/>
            <w:shd w:val="clear" w:color="auto" w:fill="auto"/>
            <w:vAlign w:val="center"/>
          </w:tcPr>
          <w:p w14:paraId="60CF8F34">
            <w:pPr>
              <w:adjustRightInd w:val="0"/>
              <w:snapToGrid w:val="0"/>
              <w:spacing w:line="320" w:lineRule="exact"/>
              <w:jc w:val="center"/>
              <w:rPr>
                <w:rFonts w:eastAsia="仿宋_GB2312"/>
                <w:b/>
                <w:bCs/>
                <w:color w:val="FF0000"/>
                <w:szCs w:val="21"/>
              </w:rPr>
            </w:pPr>
          </w:p>
        </w:tc>
        <w:tc>
          <w:tcPr>
            <w:tcW w:w="1250" w:type="pct"/>
            <w:shd w:val="clear" w:color="auto" w:fill="auto"/>
            <w:vAlign w:val="center"/>
          </w:tcPr>
          <w:p w14:paraId="15B5B8A0">
            <w:pPr>
              <w:keepNext w:val="0"/>
              <w:keepLines w:val="0"/>
              <w:widowControl/>
              <w:suppressLineNumbers w:val="0"/>
              <w:jc w:val="center"/>
              <w:textAlignment w:val="bottom"/>
              <w:rPr>
                <w:rFonts w:ascii="Times New Roman" w:hAnsi="Times New Roman" w:eastAsia="仿宋_GB2312" w:cs="Times New Roman"/>
                <w:bCs/>
                <w:color w:val="FF0000"/>
                <w:kern w:val="2"/>
                <w:sz w:val="21"/>
                <w:szCs w:val="21"/>
                <w:lang w:val="en-US" w:eastAsia="zh-CN" w:bidi="ar-SA"/>
              </w:rPr>
            </w:pPr>
            <w:r>
              <w:rPr>
                <w:rFonts w:hint="default" w:ascii="仿宋_GB2312" w:hAnsi="宋体" w:eastAsia="仿宋_GB2312" w:cs="仿宋_GB2312"/>
                <w:i w:val="0"/>
                <w:iCs w:val="0"/>
                <w:color w:val="000000"/>
                <w:kern w:val="0"/>
                <w:sz w:val="21"/>
                <w:szCs w:val="21"/>
                <w:u w:val="none"/>
                <w:lang w:val="en-US" w:eastAsia="zh-CN" w:bidi="ar"/>
              </w:rPr>
              <w:t>乙酸乙烯酯</w:t>
            </w:r>
          </w:p>
        </w:tc>
        <w:tc>
          <w:tcPr>
            <w:tcW w:w="894" w:type="pct"/>
            <w:shd w:val="clear" w:color="auto" w:fill="auto"/>
            <w:vAlign w:val="center"/>
          </w:tcPr>
          <w:p w14:paraId="777899D4">
            <w:pPr>
              <w:keepNext w:val="0"/>
              <w:keepLines w:val="0"/>
              <w:widowControl/>
              <w:suppressLineNumbers w:val="0"/>
              <w:jc w:val="center"/>
              <w:textAlignment w:val="bottom"/>
              <w:rPr>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0.003</w:t>
            </w:r>
          </w:p>
        </w:tc>
        <w:tc>
          <w:tcPr>
            <w:tcW w:w="894" w:type="pct"/>
            <w:shd w:val="clear" w:color="auto" w:fill="auto"/>
            <w:vAlign w:val="center"/>
          </w:tcPr>
          <w:p w14:paraId="68B253B2">
            <w:pPr>
              <w:adjustRightInd w:val="0"/>
              <w:snapToGrid w:val="0"/>
              <w:spacing w:line="320" w:lineRule="exact"/>
              <w:jc w:val="center"/>
              <w:rPr>
                <w:rFonts w:hint="eastAsia" w:ascii="Times New Roman" w:hAnsi="Times New Roman" w:eastAsia="宋体" w:cs="Times New Roman"/>
                <w:b/>
                <w:color w:val="auto"/>
                <w:kern w:val="2"/>
                <w:sz w:val="21"/>
                <w:szCs w:val="21"/>
                <w:lang w:val="en-US" w:eastAsia="zh-CN" w:bidi="ar-SA"/>
              </w:rPr>
            </w:pPr>
            <w:r>
              <w:rPr>
                <w:rFonts w:hint="eastAsia"/>
                <w:b/>
                <w:color w:val="auto"/>
                <w:szCs w:val="21"/>
                <w:lang w:val="en-US" w:eastAsia="zh-CN"/>
              </w:rPr>
              <w:t>/</w:t>
            </w:r>
          </w:p>
        </w:tc>
        <w:tc>
          <w:tcPr>
            <w:tcW w:w="800" w:type="pct"/>
            <w:shd w:val="clear" w:color="auto" w:fill="auto"/>
            <w:vAlign w:val="center"/>
          </w:tcPr>
          <w:p w14:paraId="1C41D345">
            <w:pPr>
              <w:keepNext w:val="0"/>
              <w:keepLines w:val="0"/>
              <w:widowControl/>
              <w:suppressLineNumbers w:val="0"/>
              <w:jc w:val="center"/>
              <w:textAlignment w:val="bottom"/>
              <w:rPr>
                <w:rFonts w:ascii="Times New Roman" w:hAnsi="Times New Roman" w:eastAsia="宋体" w:cs="Times New Roman"/>
                <w:b/>
                <w:color w:val="FF0000"/>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0.003</w:t>
            </w:r>
          </w:p>
        </w:tc>
      </w:tr>
      <w:tr w14:paraId="057E048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569" w:type="pct"/>
            <w:vMerge w:val="continue"/>
            <w:shd w:val="clear" w:color="auto" w:fill="auto"/>
            <w:vAlign w:val="center"/>
          </w:tcPr>
          <w:p w14:paraId="155D7D0E">
            <w:pPr>
              <w:adjustRightInd w:val="0"/>
              <w:snapToGrid w:val="0"/>
              <w:spacing w:line="320" w:lineRule="exact"/>
              <w:jc w:val="center"/>
              <w:rPr>
                <w:rFonts w:eastAsia="仿宋_GB2312"/>
                <w:b/>
                <w:bCs/>
                <w:color w:val="FF0000"/>
                <w:szCs w:val="21"/>
              </w:rPr>
            </w:pPr>
          </w:p>
        </w:tc>
        <w:tc>
          <w:tcPr>
            <w:tcW w:w="591" w:type="pct"/>
            <w:vMerge w:val="continue"/>
            <w:shd w:val="clear" w:color="auto" w:fill="auto"/>
            <w:vAlign w:val="center"/>
          </w:tcPr>
          <w:p w14:paraId="3E934D50">
            <w:pPr>
              <w:adjustRightInd w:val="0"/>
              <w:snapToGrid w:val="0"/>
              <w:spacing w:line="320" w:lineRule="exact"/>
              <w:jc w:val="center"/>
              <w:rPr>
                <w:rFonts w:eastAsia="仿宋_GB2312"/>
                <w:b/>
                <w:bCs/>
                <w:color w:val="FF0000"/>
                <w:szCs w:val="21"/>
              </w:rPr>
            </w:pPr>
          </w:p>
        </w:tc>
        <w:tc>
          <w:tcPr>
            <w:tcW w:w="1250" w:type="pct"/>
            <w:shd w:val="clear" w:color="auto" w:fill="auto"/>
            <w:vAlign w:val="center"/>
          </w:tcPr>
          <w:p w14:paraId="3409DDFD">
            <w:pPr>
              <w:keepNext w:val="0"/>
              <w:keepLines w:val="0"/>
              <w:widowControl/>
              <w:suppressLineNumbers w:val="0"/>
              <w:jc w:val="center"/>
              <w:textAlignment w:val="bottom"/>
              <w:rPr>
                <w:rFonts w:ascii="Times New Roman" w:hAnsi="Times New Roman" w:eastAsia="仿宋_GB2312" w:cs="Times New Roman"/>
                <w:bCs/>
                <w:color w:val="FF0000"/>
                <w:kern w:val="2"/>
                <w:sz w:val="21"/>
                <w:szCs w:val="21"/>
                <w:lang w:val="en-US" w:eastAsia="zh-CN" w:bidi="ar-SA"/>
              </w:rPr>
            </w:pPr>
            <w:r>
              <w:rPr>
                <w:rFonts w:hint="default" w:ascii="仿宋_GB2312" w:hAnsi="宋体" w:eastAsia="仿宋_GB2312" w:cs="仿宋_GB2312"/>
                <w:i w:val="0"/>
                <w:iCs w:val="0"/>
                <w:color w:val="000000"/>
                <w:kern w:val="0"/>
                <w:sz w:val="21"/>
                <w:szCs w:val="21"/>
                <w:u w:val="none"/>
                <w:lang w:val="en-US" w:eastAsia="zh-CN" w:bidi="ar"/>
              </w:rPr>
              <w:t>异丙苯</w:t>
            </w:r>
          </w:p>
        </w:tc>
        <w:tc>
          <w:tcPr>
            <w:tcW w:w="894" w:type="pct"/>
            <w:shd w:val="clear" w:color="auto" w:fill="auto"/>
            <w:vAlign w:val="center"/>
          </w:tcPr>
          <w:p w14:paraId="79960A46">
            <w:pPr>
              <w:keepNext w:val="0"/>
              <w:keepLines w:val="0"/>
              <w:widowControl/>
              <w:suppressLineNumbers w:val="0"/>
              <w:jc w:val="center"/>
              <w:textAlignment w:val="bottom"/>
              <w:rPr>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0.0037</w:t>
            </w:r>
          </w:p>
        </w:tc>
        <w:tc>
          <w:tcPr>
            <w:tcW w:w="894" w:type="pct"/>
            <w:shd w:val="clear" w:color="auto" w:fill="auto"/>
            <w:vAlign w:val="center"/>
          </w:tcPr>
          <w:p w14:paraId="0C1517B1">
            <w:pPr>
              <w:adjustRightInd w:val="0"/>
              <w:snapToGrid w:val="0"/>
              <w:spacing w:line="320" w:lineRule="exact"/>
              <w:jc w:val="center"/>
              <w:rPr>
                <w:rFonts w:hint="eastAsia" w:ascii="Times New Roman" w:hAnsi="Times New Roman" w:eastAsia="宋体" w:cs="Times New Roman"/>
                <w:b/>
                <w:color w:val="auto"/>
                <w:kern w:val="2"/>
                <w:sz w:val="21"/>
                <w:szCs w:val="21"/>
                <w:lang w:val="en-US" w:eastAsia="zh-CN" w:bidi="ar-SA"/>
              </w:rPr>
            </w:pPr>
            <w:r>
              <w:rPr>
                <w:rFonts w:hint="eastAsia"/>
                <w:b/>
                <w:color w:val="auto"/>
                <w:szCs w:val="21"/>
                <w:lang w:val="en-US" w:eastAsia="zh-CN"/>
              </w:rPr>
              <w:t>/</w:t>
            </w:r>
          </w:p>
        </w:tc>
        <w:tc>
          <w:tcPr>
            <w:tcW w:w="800" w:type="pct"/>
            <w:shd w:val="clear" w:color="auto" w:fill="auto"/>
            <w:vAlign w:val="center"/>
          </w:tcPr>
          <w:p w14:paraId="203AA94F">
            <w:pPr>
              <w:keepNext w:val="0"/>
              <w:keepLines w:val="0"/>
              <w:widowControl/>
              <w:suppressLineNumbers w:val="0"/>
              <w:jc w:val="center"/>
              <w:textAlignment w:val="bottom"/>
              <w:rPr>
                <w:rFonts w:ascii="Times New Roman" w:hAnsi="Times New Roman" w:eastAsia="宋体" w:cs="Times New Roman"/>
                <w:b/>
                <w:color w:val="FF0000"/>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0.0037</w:t>
            </w:r>
          </w:p>
        </w:tc>
      </w:tr>
      <w:tr w14:paraId="060732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569" w:type="pct"/>
            <w:vMerge w:val="continue"/>
            <w:shd w:val="clear" w:color="auto" w:fill="auto"/>
            <w:vAlign w:val="center"/>
          </w:tcPr>
          <w:p w14:paraId="4E809E29">
            <w:pPr>
              <w:adjustRightInd w:val="0"/>
              <w:snapToGrid w:val="0"/>
              <w:spacing w:line="320" w:lineRule="exact"/>
              <w:jc w:val="center"/>
              <w:rPr>
                <w:rFonts w:eastAsia="仿宋_GB2312"/>
                <w:b/>
                <w:bCs/>
                <w:color w:val="FF0000"/>
                <w:szCs w:val="21"/>
              </w:rPr>
            </w:pPr>
          </w:p>
        </w:tc>
        <w:tc>
          <w:tcPr>
            <w:tcW w:w="591" w:type="pct"/>
            <w:vMerge w:val="continue"/>
            <w:shd w:val="clear" w:color="auto" w:fill="auto"/>
            <w:vAlign w:val="center"/>
          </w:tcPr>
          <w:p w14:paraId="3740730C">
            <w:pPr>
              <w:adjustRightInd w:val="0"/>
              <w:snapToGrid w:val="0"/>
              <w:spacing w:line="320" w:lineRule="exact"/>
              <w:jc w:val="center"/>
              <w:rPr>
                <w:rFonts w:eastAsia="仿宋_GB2312"/>
                <w:b/>
                <w:bCs/>
                <w:color w:val="FF0000"/>
                <w:szCs w:val="21"/>
              </w:rPr>
            </w:pPr>
          </w:p>
        </w:tc>
        <w:tc>
          <w:tcPr>
            <w:tcW w:w="1250" w:type="pct"/>
            <w:shd w:val="clear" w:color="auto" w:fill="auto"/>
            <w:vAlign w:val="center"/>
          </w:tcPr>
          <w:p w14:paraId="3E8A5945">
            <w:pPr>
              <w:keepNext w:val="0"/>
              <w:keepLines w:val="0"/>
              <w:widowControl/>
              <w:suppressLineNumbers w:val="0"/>
              <w:jc w:val="center"/>
              <w:textAlignment w:val="bottom"/>
              <w:rPr>
                <w:rFonts w:ascii="Times New Roman" w:hAnsi="Times New Roman" w:eastAsia="仿宋_GB2312" w:cs="Times New Roman"/>
                <w:bCs/>
                <w:color w:val="FF0000"/>
                <w:kern w:val="2"/>
                <w:sz w:val="21"/>
                <w:szCs w:val="21"/>
                <w:lang w:val="en-US" w:eastAsia="zh-CN" w:bidi="ar-SA"/>
              </w:rPr>
            </w:pPr>
            <w:r>
              <w:rPr>
                <w:rFonts w:hint="default" w:ascii="仿宋_GB2312" w:hAnsi="宋体" w:eastAsia="仿宋_GB2312" w:cs="仿宋_GB2312"/>
                <w:i w:val="0"/>
                <w:iCs w:val="0"/>
                <w:color w:val="000000"/>
                <w:kern w:val="0"/>
                <w:sz w:val="21"/>
                <w:szCs w:val="21"/>
                <w:u w:val="none"/>
                <w:lang w:val="en-US" w:eastAsia="zh-CN" w:bidi="ar"/>
              </w:rPr>
              <w:t>乙酸酯类</w:t>
            </w:r>
          </w:p>
        </w:tc>
        <w:tc>
          <w:tcPr>
            <w:tcW w:w="894" w:type="pct"/>
            <w:shd w:val="clear" w:color="auto" w:fill="auto"/>
            <w:vAlign w:val="center"/>
          </w:tcPr>
          <w:p w14:paraId="5C8F7199">
            <w:pPr>
              <w:keepNext w:val="0"/>
              <w:keepLines w:val="0"/>
              <w:widowControl/>
              <w:suppressLineNumbers w:val="0"/>
              <w:jc w:val="center"/>
              <w:textAlignment w:val="bottom"/>
              <w:rPr>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0.1725</w:t>
            </w:r>
          </w:p>
        </w:tc>
        <w:tc>
          <w:tcPr>
            <w:tcW w:w="894" w:type="pct"/>
            <w:shd w:val="clear" w:color="auto" w:fill="auto"/>
            <w:vAlign w:val="center"/>
          </w:tcPr>
          <w:p w14:paraId="0605EA01">
            <w:pPr>
              <w:adjustRightInd w:val="0"/>
              <w:snapToGrid w:val="0"/>
              <w:spacing w:line="320" w:lineRule="exact"/>
              <w:jc w:val="center"/>
              <w:rPr>
                <w:rFonts w:hint="eastAsia" w:ascii="Times New Roman" w:hAnsi="Times New Roman" w:eastAsia="宋体" w:cs="Times New Roman"/>
                <w:b/>
                <w:color w:val="auto"/>
                <w:kern w:val="2"/>
                <w:sz w:val="21"/>
                <w:szCs w:val="21"/>
                <w:lang w:val="en-US" w:eastAsia="zh-CN" w:bidi="ar-SA"/>
              </w:rPr>
            </w:pPr>
            <w:r>
              <w:rPr>
                <w:rFonts w:hint="eastAsia"/>
                <w:b/>
                <w:color w:val="auto"/>
                <w:szCs w:val="21"/>
                <w:lang w:val="en-US" w:eastAsia="zh-CN"/>
              </w:rPr>
              <w:t>/</w:t>
            </w:r>
          </w:p>
        </w:tc>
        <w:tc>
          <w:tcPr>
            <w:tcW w:w="800" w:type="pct"/>
            <w:shd w:val="clear" w:color="auto" w:fill="auto"/>
            <w:vAlign w:val="center"/>
          </w:tcPr>
          <w:p w14:paraId="2BEEDFA9">
            <w:pPr>
              <w:keepNext w:val="0"/>
              <w:keepLines w:val="0"/>
              <w:widowControl/>
              <w:suppressLineNumbers w:val="0"/>
              <w:jc w:val="center"/>
              <w:textAlignment w:val="bottom"/>
              <w:rPr>
                <w:rFonts w:ascii="Times New Roman" w:hAnsi="Times New Roman" w:eastAsia="宋体" w:cs="Times New Roman"/>
                <w:b/>
                <w:color w:val="FF0000"/>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0.1725</w:t>
            </w:r>
          </w:p>
        </w:tc>
      </w:tr>
      <w:tr w14:paraId="5847A03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569" w:type="pct"/>
            <w:vMerge w:val="continue"/>
            <w:shd w:val="clear" w:color="auto" w:fill="auto"/>
            <w:vAlign w:val="center"/>
          </w:tcPr>
          <w:p w14:paraId="5D1CFC1B">
            <w:pPr>
              <w:adjustRightInd w:val="0"/>
              <w:snapToGrid w:val="0"/>
              <w:spacing w:line="320" w:lineRule="exact"/>
              <w:jc w:val="center"/>
              <w:rPr>
                <w:rFonts w:eastAsia="仿宋_GB2312"/>
                <w:b/>
                <w:bCs/>
                <w:color w:val="FF0000"/>
                <w:szCs w:val="21"/>
              </w:rPr>
            </w:pPr>
          </w:p>
        </w:tc>
        <w:tc>
          <w:tcPr>
            <w:tcW w:w="591" w:type="pct"/>
            <w:vMerge w:val="continue"/>
            <w:shd w:val="clear" w:color="auto" w:fill="auto"/>
            <w:vAlign w:val="center"/>
          </w:tcPr>
          <w:p w14:paraId="3C007924">
            <w:pPr>
              <w:adjustRightInd w:val="0"/>
              <w:snapToGrid w:val="0"/>
              <w:spacing w:line="320" w:lineRule="exact"/>
              <w:jc w:val="center"/>
              <w:rPr>
                <w:rFonts w:eastAsia="仿宋_GB2312"/>
                <w:b/>
                <w:bCs/>
                <w:color w:val="FF0000"/>
                <w:szCs w:val="21"/>
              </w:rPr>
            </w:pPr>
          </w:p>
        </w:tc>
        <w:tc>
          <w:tcPr>
            <w:tcW w:w="1250" w:type="pct"/>
            <w:shd w:val="clear" w:color="auto" w:fill="auto"/>
            <w:vAlign w:val="center"/>
          </w:tcPr>
          <w:p w14:paraId="7934320A">
            <w:pPr>
              <w:keepNext w:val="0"/>
              <w:keepLines w:val="0"/>
              <w:widowControl/>
              <w:suppressLineNumbers w:val="0"/>
              <w:jc w:val="center"/>
              <w:textAlignment w:val="bottom"/>
              <w:rPr>
                <w:rFonts w:ascii="Times New Roman" w:hAnsi="Times New Roman" w:eastAsia="仿宋_GB2312" w:cs="Times New Roman"/>
                <w:bCs/>
                <w:color w:val="FF0000"/>
                <w:kern w:val="2"/>
                <w:sz w:val="21"/>
                <w:szCs w:val="21"/>
                <w:lang w:val="en-US" w:eastAsia="zh-CN" w:bidi="ar-SA"/>
              </w:rPr>
            </w:pPr>
            <w:r>
              <w:rPr>
                <w:rFonts w:hint="default" w:ascii="仿宋_GB2312" w:hAnsi="宋体" w:eastAsia="仿宋_GB2312" w:cs="仿宋_GB2312"/>
                <w:i w:val="0"/>
                <w:iCs w:val="0"/>
                <w:color w:val="000000"/>
                <w:kern w:val="0"/>
                <w:sz w:val="21"/>
                <w:szCs w:val="21"/>
                <w:u w:val="none"/>
                <w:lang w:val="en-US" w:eastAsia="zh-CN" w:bidi="ar"/>
              </w:rPr>
              <w:t>苯系物</w:t>
            </w:r>
          </w:p>
        </w:tc>
        <w:tc>
          <w:tcPr>
            <w:tcW w:w="894" w:type="pct"/>
            <w:shd w:val="clear" w:color="auto" w:fill="auto"/>
            <w:vAlign w:val="center"/>
          </w:tcPr>
          <w:p w14:paraId="6270B346">
            <w:pPr>
              <w:keepNext w:val="0"/>
              <w:keepLines w:val="0"/>
              <w:widowControl/>
              <w:suppressLineNumbers w:val="0"/>
              <w:jc w:val="center"/>
              <w:textAlignment w:val="bottom"/>
              <w:rPr>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0.0858</w:t>
            </w:r>
          </w:p>
        </w:tc>
        <w:tc>
          <w:tcPr>
            <w:tcW w:w="894" w:type="pct"/>
            <w:shd w:val="clear" w:color="auto" w:fill="auto"/>
            <w:vAlign w:val="center"/>
          </w:tcPr>
          <w:p w14:paraId="189A7832">
            <w:pPr>
              <w:adjustRightInd w:val="0"/>
              <w:snapToGrid w:val="0"/>
              <w:spacing w:line="320" w:lineRule="exact"/>
              <w:jc w:val="center"/>
              <w:rPr>
                <w:rFonts w:hint="eastAsia" w:ascii="Times New Roman" w:hAnsi="Times New Roman" w:eastAsia="宋体" w:cs="Times New Roman"/>
                <w:b/>
                <w:color w:val="auto"/>
                <w:kern w:val="2"/>
                <w:sz w:val="21"/>
                <w:szCs w:val="21"/>
                <w:lang w:val="en-US" w:eastAsia="zh-CN" w:bidi="ar-SA"/>
              </w:rPr>
            </w:pPr>
            <w:r>
              <w:rPr>
                <w:rFonts w:hint="eastAsia"/>
                <w:b/>
                <w:color w:val="auto"/>
                <w:szCs w:val="21"/>
                <w:lang w:val="en-US" w:eastAsia="zh-CN"/>
              </w:rPr>
              <w:t>/</w:t>
            </w:r>
          </w:p>
        </w:tc>
        <w:tc>
          <w:tcPr>
            <w:tcW w:w="800" w:type="pct"/>
            <w:shd w:val="clear" w:color="auto" w:fill="auto"/>
            <w:vAlign w:val="center"/>
          </w:tcPr>
          <w:p w14:paraId="7901E1FD">
            <w:pPr>
              <w:keepNext w:val="0"/>
              <w:keepLines w:val="0"/>
              <w:widowControl/>
              <w:suppressLineNumbers w:val="0"/>
              <w:jc w:val="center"/>
              <w:textAlignment w:val="bottom"/>
              <w:rPr>
                <w:rFonts w:ascii="Times New Roman" w:hAnsi="Times New Roman" w:eastAsia="宋体" w:cs="Times New Roman"/>
                <w:b/>
                <w:color w:val="FF0000"/>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0.0858</w:t>
            </w:r>
          </w:p>
        </w:tc>
      </w:tr>
      <w:tr w14:paraId="695571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569" w:type="pct"/>
            <w:vMerge w:val="continue"/>
            <w:shd w:val="clear" w:color="auto" w:fill="auto"/>
            <w:vAlign w:val="center"/>
          </w:tcPr>
          <w:p w14:paraId="4EDA612E">
            <w:pPr>
              <w:adjustRightInd w:val="0"/>
              <w:snapToGrid w:val="0"/>
              <w:spacing w:line="320" w:lineRule="exact"/>
              <w:jc w:val="center"/>
              <w:rPr>
                <w:rFonts w:eastAsia="仿宋_GB2312"/>
                <w:b/>
                <w:bCs/>
                <w:color w:val="FF0000"/>
                <w:szCs w:val="21"/>
              </w:rPr>
            </w:pPr>
          </w:p>
        </w:tc>
        <w:tc>
          <w:tcPr>
            <w:tcW w:w="591" w:type="pct"/>
            <w:vMerge w:val="continue"/>
            <w:shd w:val="clear" w:color="auto" w:fill="auto"/>
            <w:vAlign w:val="center"/>
          </w:tcPr>
          <w:p w14:paraId="2ACEFD93">
            <w:pPr>
              <w:adjustRightInd w:val="0"/>
              <w:snapToGrid w:val="0"/>
              <w:spacing w:line="320" w:lineRule="exact"/>
              <w:jc w:val="center"/>
              <w:rPr>
                <w:rFonts w:eastAsia="仿宋_GB2312"/>
                <w:b/>
                <w:bCs/>
                <w:color w:val="FF0000"/>
                <w:szCs w:val="21"/>
              </w:rPr>
            </w:pPr>
          </w:p>
        </w:tc>
        <w:tc>
          <w:tcPr>
            <w:tcW w:w="1250" w:type="pct"/>
            <w:shd w:val="clear" w:color="auto" w:fill="auto"/>
            <w:vAlign w:val="center"/>
          </w:tcPr>
          <w:p w14:paraId="61E2BE67">
            <w:pPr>
              <w:keepNext w:val="0"/>
              <w:keepLines w:val="0"/>
              <w:widowControl/>
              <w:suppressLineNumbers w:val="0"/>
              <w:jc w:val="center"/>
              <w:textAlignment w:val="bottom"/>
              <w:rPr>
                <w:rFonts w:ascii="Times New Roman" w:hAnsi="Times New Roman" w:eastAsia="仿宋_GB2312" w:cs="Times New Roman"/>
                <w:bCs/>
                <w:color w:val="FF0000"/>
                <w:kern w:val="2"/>
                <w:sz w:val="21"/>
                <w:szCs w:val="21"/>
                <w:lang w:val="en-US" w:eastAsia="zh-CN" w:bidi="ar-SA"/>
              </w:rPr>
            </w:pPr>
            <w:r>
              <w:rPr>
                <w:rFonts w:hint="default" w:ascii="仿宋_GB2312" w:hAnsi="宋体" w:eastAsia="仿宋_GB2312" w:cs="仿宋_GB2312"/>
                <w:i w:val="0"/>
                <w:iCs w:val="0"/>
                <w:color w:val="000000"/>
                <w:kern w:val="0"/>
                <w:sz w:val="21"/>
                <w:szCs w:val="21"/>
                <w:u w:val="none"/>
                <w:lang w:val="en-US" w:eastAsia="zh-CN" w:bidi="ar"/>
              </w:rPr>
              <w:t>氨</w:t>
            </w:r>
          </w:p>
        </w:tc>
        <w:tc>
          <w:tcPr>
            <w:tcW w:w="894" w:type="pct"/>
            <w:shd w:val="clear" w:color="auto" w:fill="auto"/>
            <w:vAlign w:val="center"/>
          </w:tcPr>
          <w:p w14:paraId="52AF52A1">
            <w:pPr>
              <w:keepNext w:val="0"/>
              <w:keepLines w:val="0"/>
              <w:widowControl/>
              <w:suppressLineNumbers w:val="0"/>
              <w:jc w:val="center"/>
              <w:textAlignment w:val="bottom"/>
              <w:rPr>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0.01</w:t>
            </w:r>
          </w:p>
        </w:tc>
        <w:tc>
          <w:tcPr>
            <w:tcW w:w="894" w:type="pct"/>
            <w:shd w:val="clear" w:color="auto" w:fill="auto"/>
            <w:vAlign w:val="center"/>
          </w:tcPr>
          <w:p w14:paraId="2B01C2D5">
            <w:pPr>
              <w:adjustRightInd w:val="0"/>
              <w:snapToGrid w:val="0"/>
              <w:spacing w:line="320" w:lineRule="exact"/>
              <w:jc w:val="center"/>
              <w:rPr>
                <w:rFonts w:hint="eastAsia" w:ascii="Times New Roman" w:hAnsi="Times New Roman" w:eastAsia="宋体" w:cs="Times New Roman"/>
                <w:b/>
                <w:color w:val="auto"/>
                <w:kern w:val="2"/>
                <w:sz w:val="21"/>
                <w:szCs w:val="21"/>
                <w:lang w:val="en-US" w:eastAsia="zh-CN" w:bidi="ar-SA"/>
              </w:rPr>
            </w:pPr>
            <w:r>
              <w:rPr>
                <w:rFonts w:hint="eastAsia"/>
                <w:b/>
                <w:color w:val="auto"/>
                <w:szCs w:val="21"/>
                <w:lang w:val="en-US" w:eastAsia="zh-CN"/>
              </w:rPr>
              <w:t>/</w:t>
            </w:r>
          </w:p>
        </w:tc>
        <w:tc>
          <w:tcPr>
            <w:tcW w:w="800" w:type="pct"/>
            <w:shd w:val="clear" w:color="auto" w:fill="auto"/>
            <w:vAlign w:val="center"/>
          </w:tcPr>
          <w:p w14:paraId="7D9C1EC5">
            <w:pPr>
              <w:keepNext w:val="0"/>
              <w:keepLines w:val="0"/>
              <w:widowControl/>
              <w:suppressLineNumbers w:val="0"/>
              <w:jc w:val="center"/>
              <w:textAlignment w:val="bottom"/>
              <w:rPr>
                <w:rFonts w:ascii="Times New Roman" w:hAnsi="Times New Roman" w:eastAsia="宋体" w:cs="Times New Roman"/>
                <w:b/>
                <w:color w:val="FF0000"/>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0.01</w:t>
            </w:r>
          </w:p>
        </w:tc>
      </w:tr>
      <w:tr w14:paraId="7BBA63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569" w:type="pct"/>
            <w:vMerge w:val="continue"/>
            <w:shd w:val="clear" w:color="auto" w:fill="auto"/>
            <w:vAlign w:val="center"/>
          </w:tcPr>
          <w:p w14:paraId="0DDD6D44">
            <w:pPr>
              <w:adjustRightInd w:val="0"/>
              <w:snapToGrid w:val="0"/>
              <w:spacing w:line="320" w:lineRule="exact"/>
              <w:jc w:val="center"/>
              <w:rPr>
                <w:rFonts w:eastAsia="仿宋_GB2312"/>
                <w:b/>
                <w:bCs/>
                <w:color w:val="FF0000"/>
                <w:szCs w:val="21"/>
              </w:rPr>
            </w:pPr>
          </w:p>
        </w:tc>
        <w:tc>
          <w:tcPr>
            <w:tcW w:w="591" w:type="pct"/>
            <w:vMerge w:val="continue"/>
            <w:shd w:val="clear" w:color="auto" w:fill="auto"/>
            <w:vAlign w:val="center"/>
          </w:tcPr>
          <w:p w14:paraId="02B56FC5">
            <w:pPr>
              <w:adjustRightInd w:val="0"/>
              <w:snapToGrid w:val="0"/>
              <w:spacing w:line="320" w:lineRule="exact"/>
              <w:jc w:val="center"/>
              <w:rPr>
                <w:rFonts w:eastAsia="仿宋_GB2312"/>
                <w:b/>
                <w:bCs/>
                <w:color w:val="FF0000"/>
                <w:szCs w:val="21"/>
              </w:rPr>
            </w:pPr>
          </w:p>
        </w:tc>
        <w:tc>
          <w:tcPr>
            <w:tcW w:w="1250" w:type="pct"/>
            <w:shd w:val="clear" w:color="auto" w:fill="auto"/>
            <w:vAlign w:val="center"/>
          </w:tcPr>
          <w:p w14:paraId="058D9689">
            <w:pPr>
              <w:keepNext w:val="0"/>
              <w:keepLines w:val="0"/>
              <w:widowControl/>
              <w:suppressLineNumbers w:val="0"/>
              <w:jc w:val="center"/>
              <w:textAlignment w:val="bottom"/>
              <w:rPr>
                <w:rFonts w:ascii="Times New Roman" w:hAnsi="Times New Roman" w:eastAsia="仿宋_GB2312" w:cs="Times New Roman"/>
                <w:bCs/>
                <w:color w:val="FF0000"/>
                <w:kern w:val="2"/>
                <w:sz w:val="21"/>
                <w:szCs w:val="21"/>
                <w:lang w:val="en-US" w:eastAsia="zh-CN" w:bidi="ar-SA"/>
              </w:rPr>
            </w:pPr>
            <w:r>
              <w:rPr>
                <w:rFonts w:hint="default" w:ascii="仿宋_GB2312" w:hAnsi="宋体" w:eastAsia="仿宋_GB2312" w:cs="仿宋_GB2312"/>
                <w:i w:val="0"/>
                <w:iCs w:val="0"/>
                <w:color w:val="000000"/>
                <w:kern w:val="0"/>
                <w:sz w:val="21"/>
                <w:szCs w:val="21"/>
                <w:u w:val="none"/>
                <w:lang w:val="en-US" w:eastAsia="zh-CN" w:bidi="ar"/>
              </w:rPr>
              <w:t>硫化氢</w:t>
            </w:r>
          </w:p>
        </w:tc>
        <w:tc>
          <w:tcPr>
            <w:tcW w:w="894" w:type="pct"/>
            <w:shd w:val="clear" w:color="auto" w:fill="auto"/>
            <w:vAlign w:val="center"/>
          </w:tcPr>
          <w:p w14:paraId="23D4C191">
            <w:pPr>
              <w:keepNext w:val="0"/>
              <w:keepLines w:val="0"/>
              <w:widowControl/>
              <w:suppressLineNumbers w:val="0"/>
              <w:jc w:val="center"/>
              <w:textAlignment w:val="bottom"/>
              <w:rPr>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0.001</w:t>
            </w:r>
          </w:p>
        </w:tc>
        <w:tc>
          <w:tcPr>
            <w:tcW w:w="894" w:type="pct"/>
            <w:shd w:val="clear" w:color="auto" w:fill="auto"/>
            <w:vAlign w:val="center"/>
          </w:tcPr>
          <w:p w14:paraId="3412A033">
            <w:pPr>
              <w:adjustRightInd w:val="0"/>
              <w:snapToGrid w:val="0"/>
              <w:spacing w:line="320" w:lineRule="exact"/>
              <w:jc w:val="center"/>
              <w:rPr>
                <w:rFonts w:hint="eastAsia" w:ascii="Times New Roman" w:hAnsi="Times New Roman" w:eastAsia="宋体" w:cs="Times New Roman"/>
                <w:b/>
                <w:color w:val="auto"/>
                <w:kern w:val="2"/>
                <w:sz w:val="21"/>
                <w:szCs w:val="21"/>
                <w:lang w:val="en-US" w:eastAsia="zh-CN" w:bidi="ar-SA"/>
              </w:rPr>
            </w:pPr>
            <w:r>
              <w:rPr>
                <w:rFonts w:hint="eastAsia"/>
                <w:b/>
                <w:color w:val="auto"/>
                <w:szCs w:val="21"/>
                <w:lang w:val="en-US" w:eastAsia="zh-CN"/>
              </w:rPr>
              <w:t>/</w:t>
            </w:r>
          </w:p>
        </w:tc>
        <w:tc>
          <w:tcPr>
            <w:tcW w:w="800" w:type="pct"/>
            <w:shd w:val="clear" w:color="auto" w:fill="auto"/>
            <w:vAlign w:val="center"/>
          </w:tcPr>
          <w:p w14:paraId="49988886">
            <w:pPr>
              <w:keepNext w:val="0"/>
              <w:keepLines w:val="0"/>
              <w:widowControl/>
              <w:suppressLineNumbers w:val="0"/>
              <w:jc w:val="center"/>
              <w:textAlignment w:val="bottom"/>
              <w:rPr>
                <w:rFonts w:ascii="Times New Roman" w:hAnsi="Times New Roman" w:eastAsia="宋体" w:cs="Times New Roman"/>
                <w:b/>
                <w:color w:val="FF0000"/>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0.001</w:t>
            </w:r>
          </w:p>
        </w:tc>
      </w:tr>
      <w:tr w14:paraId="047B89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569" w:type="pct"/>
            <w:vMerge w:val="continue"/>
            <w:shd w:val="clear" w:color="auto" w:fill="auto"/>
            <w:vAlign w:val="center"/>
          </w:tcPr>
          <w:p w14:paraId="3888B797">
            <w:pPr>
              <w:adjustRightInd w:val="0"/>
              <w:snapToGrid w:val="0"/>
              <w:spacing w:line="320" w:lineRule="exact"/>
              <w:jc w:val="center"/>
              <w:rPr>
                <w:rFonts w:eastAsia="仿宋_GB2312"/>
                <w:b/>
                <w:bCs/>
                <w:color w:val="FF0000"/>
                <w:szCs w:val="21"/>
              </w:rPr>
            </w:pPr>
          </w:p>
        </w:tc>
        <w:tc>
          <w:tcPr>
            <w:tcW w:w="591" w:type="pct"/>
            <w:vMerge w:val="continue"/>
            <w:shd w:val="clear" w:color="auto" w:fill="auto"/>
            <w:vAlign w:val="center"/>
          </w:tcPr>
          <w:p w14:paraId="6FF7E06A">
            <w:pPr>
              <w:adjustRightInd w:val="0"/>
              <w:snapToGrid w:val="0"/>
              <w:spacing w:line="320" w:lineRule="exact"/>
              <w:jc w:val="center"/>
              <w:rPr>
                <w:rFonts w:eastAsia="仿宋_GB2312"/>
                <w:b/>
                <w:bCs/>
                <w:color w:val="FF0000"/>
                <w:szCs w:val="21"/>
              </w:rPr>
            </w:pPr>
          </w:p>
        </w:tc>
        <w:tc>
          <w:tcPr>
            <w:tcW w:w="1250" w:type="pct"/>
            <w:shd w:val="clear" w:color="auto" w:fill="auto"/>
            <w:vAlign w:val="center"/>
          </w:tcPr>
          <w:p w14:paraId="13692411">
            <w:pPr>
              <w:keepNext w:val="0"/>
              <w:keepLines w:val="0"/>
              <w:widowControl/>
              <w:suppressLineNumbers w:val="0"/>
              <w:jc w:val="center"/>
              <w:textAlignment w:val="bottom"/>
              <w:rPr>
                <w:rFonts w:ascii="Times New Roman" w:hAnsi="Times New Roman" w:eastAsia="仿宋_GB2312" w:cs="Times New Roman"/>
                <w:bCs/>
                <w:color w:val="FF0000"/>
                <w:kern w:val="2"/>
                <w:sz w:val="21"/>
                <w:szCs w:val="21"/>
                <w:lang w:val="en-US" w:eastAsia="zh-CN" w:bidi="ar-SA"/>
              </w:rPr>
            </w:pPr>
            <w:r>
              <w:rPr>
                <w:rFonts w:hint="default" w:ascii="仿宋_GB2312" w:hAnsi="宋体" w:eastAsia="仿宋_GB2312" w:cs="仿宋_GB2312"/>
                <w:i w:val="0"/>
                <w:iCs w:val="0"/>
                <w:color w:val="000000"/>
                <w:kern w:val="0"/>
                <w:sz w:val="21"/>
                <w:szCs w:val="21"/>
                <w:u w:val="none"/>
                <w:lang w:val="en-US" w:eastAsia="zh-CN" w:bidi="ar"/>
              </w:rPr>
              <w:t>非甲烷总烃</w:t>
            </w:r>
          </w:p>
        </w:tc>
        <w:tc>
          <w:tcPr>
            <w:tcW w:w="894" w:type="pct"/>
            <w:shd w:val="clear" w:color="auto" w:fill="auto"/>
            <w:vAlign w:val="center"/>
          </w:tcPr>
          <w:p w14:paraId="439966D5">
            <w:pPr>
              <w:keepNext w:val="0"/>
              <w:keepLines w:val="0"/>
              <w:widowControl/>
              <w:suppressLineNumbers w:val="0"/>
              <w:jc w:val="center"/>
              <w:textAlignment w:val="bottom"/>
              <w:rPr>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3.2162</w:t>
            </w:r>
          </w:p>
        </w:tc>
        <w:tc>
          <w:tcPr>
            <w:tcW w:w="894" w:type="pct"/>
            <w:shd w:val="clear" w:color="auto" w:fill="auto"/>
            <w:vAlign w:val="center"/>
          </w:tcPr>
          <w:p w14:paraId="6F0ADE3B">
            <w:pPr>
              <w:adjustRightInd w:val="0"/>
              <w:snapToGrid w:val="0"/>
              <w:spacing w:line="320" w:lineRule="exact"/>
              <w:jc w:val="center"/>
              <w:rPr>
                <w:rFonts w:hint="eastAsia" w:ascii="Times New Roman" w:hAnsi="Times New Roman" w:eastAsia="宋体" w:cs="Times New Roman"/>
                <w:b/>
                <w:color w:val="auto"/>
                <w:kern w:val="2"/>
                <w:sz w:val="21"/>
                <w:szCs w:val="21"/>
                <w:lang w:val="en-US" w:eastAsia="zh-CN" w:bidi="ar-SA"/>
              </w:rPr>
            </w:pPr>
            <w:r>
              <w:rPr>
                <w:rFonts w:hint="eastAsia"/>
                <w:b/>
                <w:color w:val="auto"/>
                <w:szCs w:val="21"/>
                <w:lang w:val="en-US" w:eastAsia="zh-CN"/>
              </w:rPr>
              <w:t>/</w:t>
            </w:r>
          </w:p>
        </w:tc>
        <w:tc>
          <w:tcPr>
            <w:tcW w:w="800" w:type="pct"/>
            <w:shd w:val="clear" w:color="auto" w:fill="auto"/>
            <w:vAlign w:val="center"/>
          </w:tcPr>
          <w:p w14:paraId="0EFC6A02">
            <w:pPr>
              <w:keepNext w:val="0"/>
              <w:keepLines w:val="0"/>
              <w:widowControl/>
              <w:suppressLineNumbers w:val="0"/>
              <w:jc w:val="center"/>
              <w:textAlignment w:val="bottom"/>
              <w:rPr>
                <w:rFonts w:ascii="Times New Roman" w:hAnsi="Times New Roman" w:eastAsia="宋体" w:cs="Times New Roman"/>
                <w:b/>
                <w:color w:val="FF0000"/>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3.2162</w:t>
            </w:r>
          </w:p>
        </w:tc>
      </w:tr>
      <w:tr w14:paraId="19C537B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569" w:type="pct"/>
            <w:vMerge w:val="continue"/>
            <w:shd w:val="clear" w:color="auto" w:fill="auto"/>
            <w:vAlign w:val="center"/>
          </w:tcPr>
          <w:p w14:paraId="12640960">
            <w:pPr>
              <w:adjustRightInd w:val="0"/>
              <w:snapToGrid w:val="0"/>
              <w:spacing w:line="320" w:lineRule="exact"/>
              <w:jc w:val="center"/>
              <w:rPr>
                <w:rFonts w:eastAsia="仿宋_GB2312"/>
                <w:b/>
                <w:bCs/>
                <w:color w:val="FF0000"/>
                <w:szCs w:val="21"/>
              </w:rPr>
            </w:pPr>
          </w:p>
        </w:tc>
        <w:tc>
          <w:tcPr>
            <w:tcW w:w="591" w:type="pct"/>
            <w:vMerge w:val="continue"/>
            <w:shd w:val="clear" w:color="auto" w:fill="auto"/>
            <w:vAlign w:val="center"/>
          </w:tcPr>
          <w:p w14:paraId="22C85C8D">
            <w:pPr>
              <w:adjustRightInd w:val="0"/>
              <w:snapToGrid w:val="0"/>
              <w:spacing w:line="320" w:lineRule="exact"/>
              <w:jc w:val="center"/>
              <w:rPr>
                <w:rFonts w:eastAsia="仿宋_GB2312"/>
                <w:b/>
                <w:bCs/>
                <w:color w:val="FF0000"/>
                <w:szCs w:val="21"/>
              </w:rPr>
            </w:pPr>
          </w:p>
        </w:tc>
        <w:tc>
          <w:tcPr>
            <w:tcW w:w="1250" w:type="pct"/>
            <w:shd w:val="clear" w:color="auto" w:fill="auto"/>
            <w:vAlign w:val="center"/>
          </w:tcPr>
          <w:p w14:paraId="7B935B4B">
            <w:pPr>
              <w:keepNext w:val="0"/>
              <w:keepLines w:val="0"/>
              <w:widowControl/>
              <w:suppressLineNumbers w:val="0"/>
              <w:jc w:val="center"/>
              <w:textAlignment w:val="bottom"/>
              <w:rPr>
                <w:rFonts w:ascii="Times New Roman" w:hAnsi="Times New Roman" w:eastAsia="仿宋_GB2312" w:cs="Times New Roman"/>
                <w:bCs/>
                <w:color w:val="FF0000"/>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VOCs</w:t>
            </w:r>
          </w:p>
        </w:tc>
        <w:tc>
          <w:tcPr>
            <w:tcW w:w="894" w:type="pct"/>
            <w:shd w:val="clear" w:color="auto" w:fill="auto"/>
            <w:vAlign w:val="center"/>
          </w:tcPr>
          <w:p w14:paraId="5F2256C9">
            <w:pPr>
              <w:keepNext w:val="0"/>
              <w:keepLines w:val="0"/>
              <w:widowControl/>
              <w:suppressLineNumbers w:val="0"/>
              <w:jc w:val="center"/>
              <w:textAlignment w:val="bottom"/>
              <w:rPr>
                <w:b/>
                <w:color w:val="FF0000"/>
                <w:szCs w:val="21"/>
              </w:rPr>
            </w:pPr>
            <w:r>
              <w:rPr>
                <w:rFonts w:hint="default" w:ascii="Times New Roman" w:hAnsi="Times New Roman" w:eastAsia="宋体" w:cs="Times New Roman"/>
                <w:i w:val="0"/>
                <w:iCs w:val="0"/>
                <w:color w:val="000000"/>
                <w:kern w:val="0"/>
                <w:sz w:val="21"/>
                <w:szCs w:val="21"/>
                <w:u w:val="none"/>
                <w:lang w:val="en-US" w:eastAsia="zh-CN" w:bidi="ar"/>
              </w:rPr>
              <w:t>5.6976</w:t>
            </w:r>
          </w:p>
        </w:tc>
        <w:tc>
          <w:tcPr>
            <w:tcW w:w="894" w:type="pct"/>
            <w:shd w:val="clear" w:color="auto" w:fill="auto"/>
            <w:vAlign w:val="center"/>
          </w:tcPr>
          <w:p w14:paraId="436857AD">
            <w:pPr>
              <w:adjustRightInd w:val="0"/>
              <w:snapToGrid w:val="0"/>
              <w:spacing w:line="320" w:lineRule="exact"/>
              <w:jc w:val="center"/>
              <w:rPr>
                <w:rFonts w:hint="eastAsia" w:ascii="Times New Roman" w:hAnsi="Times New Roman" w:eastAsia="宋体" w:cs="Times New Roman"/>
                <w:b/>
                <w:color w:val="auto"/>
                <w:kern w:val="2"/>
                <w:sz w:val="21"/>
                <w:szCs w:val="21"/>
                <w:lang w:val="en-US" w:eastAsia="zh-CN" w:bidi="ar-SA"/>
              </w:rPr>
            </w:pPr>
            <w:r>
              <w:rPr>
                <w:rFonts w:hint="eastAsia"/>
                <w:b/>
                <w:color w:val="auto"/>
                <w:szCs w:val="21"/>
                <w:lang w:val="en-US" w:eastAsia="zh-CN"/>
              </w:rPr>
              <w:t>/</w:t>
            </w:r>
          </w:p>
        </w:tc>
        <w:tc>
          <w:tcPr>
            <w:tcW w:w="800" w:type="pct"/>
            <w:shd w:val="clear" w:color="auto" w:fill="auto"/>
            <w:vAlign w:val="center"/>
          </w:tcPr>
          <w:p w14:paraId="14F86EF4">
            <w:pPr>
              <w:keepNext w:val="0"/>
              <w:keepLines w:val="0"/>
              <w:widowControl/>
              <w:suppressLineNumbers w:val="0"/>
              <w:jc w:val="center"/>
              <w:textAlignment w:val="bottom"/>
              <w:rPr>
                <w:rFonts w:ascii="Times New Roman" w:hAnsi="Times New Roman" w:eastAsia="宋体" w:cs="Times New Roman"/>
                <w:b/>
                <w:color w:val="FF0000"/>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5.6976</w:t>
            </w:r>
          </w:p>
        </w:tc>
      </w:tr>
      <w:tr w14:paraId="665317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1160" w:type="pct"/>
            <w:gridSpan w:val="2"/>
            <w:vMerge w:val="restart"/>
            <w:shd w:val="clear" w:color="auto" w:fill="auto"/>
            <w:vAlign w:val="center"/>
          </w:tcPr>
          <w:p w14:paraId="5C67A875">
            <w:pPr>
              <w:keepNext w:val="0"/>
              <w:keepLines w:val="0"/>
              <w:widowControl/>
              <w:suppressLineNumbers w:val="0"/>
              <w:jc w:val="center"/>
              <w:textAlignment w:val="bottom"/>
              <w:rPr>
                <w:rFonts w:hint="default" w:ascii="仿宋_GB2312" w:hAnsi="宋体" w:eastAsia="仿宋_GB2312" w:cs="仿宋_GB2312"/>
                <w:i w:val="0"/>
                <w:iCs w:val="0"/>
                <w:color w:val="000000"/>
                <w:kern w:val="0"/>
                <w:sz w:val="21"/>
                <w:szCs w:val="21"/>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接管废水</w:t>
            </w:r>
          </w:p>
        </w:tc>
        <w:tc>
          <w:tcPr>
            <w:tcW w:w="1250" w:type="pct"/>
            <w:shd w:val="clear" w:color="auto" w:fill="auto"/>
            <w:vAlign w:val="center"/>
          </w:tcPr>
          <w:p w14:paraId="2BA6F054">
            <w:pPr>
              <w:keepNext w:val="0"/>
              <w:keepLines w:val="0"/>
              <w:widowControl/>
              <w:suppressLineNumbers w:val="0"/>
              <w:jc w:val="center"/>
              <w:textAlignment w:val="bottom"/>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水量</w:t>
            </w:r>
            <w:r>
              <w:rPr>
                <w:rFonts w:hint="eastAsia" w:cs="Times New Roman"/>
                <w:i w:val="0"/>
                <w:iCs w:val="0"/>
                <w:color w:val="000000"/>
                <w:kern w:val="0"/>
                <w:sz w:val="21"/>
                <w:szCs w:val="21"/>
                <w:u w:val="none"/>
                <w:lang w:val="en-US" w:eastAsia="zh-CN" w:bidi="ar"/>
              </w:rPr>
              <w:t>（m</w:t>
            </w:r>
            <w:r>
              <w:rPr>
                <w:rFonts w:hint="eastAsia" w:cs="Times New Roman"/>
                <w:i w:val="0"/>
                <w:iCs w:val="0"/>
                <w:color w:val="000000"/>
                <w:kern w:val="0"/>
                <w:sz w:val="21"/>
                <w:szCs w:val="21"/>
                <w:u w:val="none"/>
                <w:vertAlign w:val="superscript"/>
                <w:lang w:val="en-US" w:eastAsia="zh-CN" w:bidi="ar"/>
              </w:rPr>
              <w:t>3</w:t>
            </w:r>
            <w:r>
              <w:rPr>
                <w:rFonts w:hint="eastAsia" w:cs="Times New Roman"/>
                <w:i w:val="0"/>
                <w:iCs w:val="0"/>
                <w:color w:val="000000"/>
                <w:kern w:val="0"/>
                <w:sz w:val="21"/>
                <w:szCs w:val="21"/>
                <w:u w:val="none"/>
                <w:lang w:val="en-US" w:eastAsia="zh-CN" w:bidi="ar"/>
              </w:rPr>
              <w:t>/h）</w:t>
            </w:r>
          </w:p>
        </w:tc>
        <w:tc>
          <w:tcPr>
            <w:tcW w:w="894" w:type="pct"/>
            <w:shd w:val="clear" w:color="auto" w:fill="auto"/>
            <w:vAlign w:val="center"/>
          </w:tcPr>
          <w:p w14:paraId="25BAD7CD">
            <w:pPr>
              <w:keepNext w:val="0"/>
              <w:keepLines w:val="0"/>
              <w:widowControl/>
              <w:suppressLineNumbers w:val="0"/>
              <w:jc w:val="center"/>
              <w:textAlignment w:val="bottom"/>
              <w:rPr>
                <w:rFonts w:hint="default" w:ascii="Times New Roman" w:hAnsi="Times New Roman" w:eastAsia="宋体"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2600</w:t>
            </w:r>
          </w:p>
        </w:tc>
        <w:tc>
          <w:tcPr>
            <w:tcW w:w="894" w:type="pct"/>
            <w:shd w:val="clear" w:color="auto" w:fill="auto"/>
            <w:vAlign w:val="center"/>
          </w:tcPr>
          <w:p w14:paraId="1E403D10">
            <w:pPr>
              <w:keepNext w:val="0"/>
              <w:keepLines w:val="0"/>
              <w:widowControl/>
              <w:suppressLineNumbers w:val="0"/>
              <w:jc w:val="center"/>
              <w:textAlignment w:val="bottom"/>
              <w:rPr>
                <w:rFonts w:hint="default" w:ascii="Times New Roman" w:hAnsi="Times New Roman" w:eastAsia="宋体"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w:t>
            </w:r>
          </w:p>
        </w:tc>
        <w:tc>
          <w:tcPr>
            <w:tcW w:w="800" w:type="pct"/>
            <w:shd w:val="clear" w:color="auto" w:fill="auto"/>
            <w:vAlign w:val="center"/>
          </w:tcPr>
          <w:p w14:paraId="09468334">
            <w:pPr>
              <w:keepNext w:val="0"/>
              <w:keepLines w:val="0"/>
              <w:widowControl/>
              <w:suppressLineNumbers w:val="0"/>
              <w:jc w:val="center"/>
              <w:textAlignment w:val="bottom"/>
              <w:rPr>
                <w:rFonts w:hint="eastAsia" w:ascii="Times New Roman" w:hAnsi="Times New Roman" w:eastAsia="宋体"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2600</w:t>
            </w:r>
          </w:p>
        </w:tc>
      </w:tr>
      <w:tr w14:paraId="3F06C7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1160" w:type="pct"/>
            <w:gridSpan w:val="2"/>
            <w:vMerge w:val="continue"/>
            <w:shd w:val="clear" w:color="auto" w:fill="auto"/>
            <w:vAlign w:val="center"/>
          </w:tcPr>
          <w:p w14:paraId="18A220CC">
            <w:pPr>
              <w:keepNext w:val="0"/>
              <w:keepLines w:val="0"/>
              <w:widowControl/>
              <w:suppressLineNumbers w:val="0"/>
              <w:jc w:val="center"/>
              <w:textAlignment w:val="bottom"/>
              <w:rPr>
                <w:rFonts w:hint="default" w:ascii="仿宋_GB2312" w:hAnsi="宋体" w:eastAsia="仿宋_GB2312" w:cs="仿宋_GB2312"/>
                <w:i w:val="0"/>
                <w:iCs w:val="0"/>
                <w:color w:val="000000"/>
                <w:kern w:val="0"/>
                <w:sz w:val="21"/>
                <w:szCs w:val="21"/>
                <w:u w:val="none"/>
                <w:lang w:val="en-US" w:eastAsia="zh-CN" w:bidi="ar"/>
              </w:rPr>
            </w:pPr>
          </w:p>
        </w:tc>
        <w:tc>
          <w:tcPr>
            <w:tcW w:w="1250" w:type="pct"/>
            <w:shd w:val="clear" w:color="auto" w:fill="auto"/>
            <w:vAlign w:val="center"/>
          </w:tcPr>
          <w:p w14:paraId="75D185B8">
            <w:pPr>
              <w:keepNext w:val="0"/>
              <w:keepLines w:val="0"/>
              <w:widowControl/>
              <w:suppressLineNumbers w:val="0"/>
              <w:jc w:val="center"/>
              <w:textAlignment w:val="bottom"/>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COD</w:t>
            </w:r>
          </w:p>
        </w:tc>
        <w:tc>
          <w:tcPr>
            <w:tcW w:w="894" w:type="pct"/>
            <w:shd w:val="clear" w:color="auto" w:fill="auto"/>
            <w:vAlign w:val="center"/>
          </w:tcPr>
          <w:p w14:paraId="3996E475">
            <w:pPr>
              <w:keepNext w:val="0"/>
              <w:keepLines w:val="0"/>
              <w:widowControl/>
              <w:suppressLineNumbers w:val="0"/>
              <w:spacing w:before="0" w:beforeAutospacing="0" w:after="0" w:afterAutospacing="0" w:line="300" w:lineRule="exact"/>
              <w:ind w:left="0" w:leftChars="0" w:right="0" w:rightChars="0"/>
              <w:jc w:val="center"/>
              <w:rPr>
                <w:rFonts w:hint="eastAsia" w:ascii="Times New Roman" w:hAnsi="Times New Roman" w:eastAsia="仿宋_GB2312" w:cs="Times New Roman"/>
                <w:color w:val="auto"/>
                <w:kern w:val="0"/>
                <w:sz w:val="21"/>
                <w:szCs w:val="21"/>
                <w:lang w:val="en-US" w:eastAsia="zh-CN" w:bidi="ar-SA"/>
              </w:rPr>
            </w:pPr>
            <w:r>
              <w:rPr>
                <w:rFonts w:hint="default" w:eastAsia="仿宋_GB2312"/>
                <w:color w:val="auto"/>
                <w:kern w:val="0"/>
                <w:szCs w:val="21"/>
              </w:rPr>
              <w:t>0.</w:t>
            </w:r>
            <w:r>
              <w:rPr>
                <w:rFonts w:hint="eastAsia" w:eastAsia="仿宋_GB2312"/>
                <w:color w:val="auto"/>
                <w:kern w:val="0"/>
                <w:szCs w:val="21"/>
                <w:lang w:val="en-US" w:eastAsia="zh-CN"/>
              </w:rPr>
              <w:t>21</w:t>
            </w:r>
          </w:p>
        </w:tc>
        <w:tc>
          <w:tcPr>
            <w:tcW w:w="894" w:type="pct"/>
            <w:shd w:val="clear" w:color="auto" w:fill="auto"/>
            <w:vAlign w:val="center"/>
          </w:tcPr>
          <w:p w14:paraId="013D046E">
            <w:pPr>
              <w:keepNext w:val="0"/>
              <w:keepLines w:val="0"/>
              <w:widowControl/>
              <w:suppressLineNumbers w:val="0"/>
              <w:jc w:val="center"/>
              <w:textAlignment w:val="bottom"/>
              <w:rPr>
                <w:rFonts w:hint="default" w:ascii="Times New Roman" w:hAnsi="Times New Roman" w:eastAsia="宋体"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w:t>
            </w:r>
          </w:p>
        </w:tc>
        <w:tc>
          <w:tcPr>
            <w:tcW w:w="800" w:type="pct"/>
            <w:shd w:val="clear" w:color="auto" w:fill="auto"/>
            <w:vAlign w:val="center"/>
          </w:tcPr>
          <w:p w14:paraId="5E24EA73">
            <w:pPr>
              <w:keepNext w:val="0"/>
              <w:keepLines w:val="0"/>
              <w:widowControl/>
              <w:suppressLineNumbers w:val="0"/>
              <w:spacing w:before="0" w:beforeAutospacing="0" w:after="0" w:afterAutospacing="0" w:line="300" w:lineRule="exact"/>
              <w:ind w:left="0" w:leftChars="0" w:right="0" w:rightChars="0"/>
              <w:jc w:val="center"/>
              <w:rPr>
                <w:rFonts w:hint="eastAsia" w:ascii="Times New Roman" w:hAnsi="Times New Roman" w:eastAsia="仿宋_GB2312" w:cs="Times New Roman"/>
                <w:color w:val="auto"/>
                <w:kern w:val="0"/>
                <w:sz w:val="21"/>
                <w:szCs w:val="21"/>
                <w:lang w:val="en-US" w:eastAsia="zh-CN" w:bidi="ar-SA"/>
              </w:rPr>
            </w:pPr>
            <w:r>
              <w:rPr>
                <w:rFonts w:hint="default" w:eastAsia="仿宋_GB2312"/>
                <w:color w:val="auto"/>
                <w:kern w:val="0"/>
                <w:szCs w:val="21"/>
              </w:rPr>
              <w:t>0.</w:t>
            </w:r>
            <w:r>
              <w:rPr>
                <w:rFonts w:hint="eastAsia" w:eastAsia="仿宋_GB2312"/>
                <w:color w:val="auto"/>
                <w:kern w:val="0"/>
                <w:szCs w:val="21"/>
                <w:lang w:val="en-US" w:eastAsia="zh-CN"/>
              </w:rPr>
              <w:t>21</w:t>
            </w:r>
          </w:p>
        </w:tc>
      </w:tr>
      <w:tr w14:paraId="52E0F2A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1160" w:type="pct"/>
            <w:gridSpan w:val="2"/>
            <w:vMerge w:val="continue"/>
            <w:shd w:val="clear" w:color="auto" w:fill="auto"/>
            <w:vAlign w:val="center"/>
          </w:tcPr>
          <w:p w14:paraId="7BBD5AD1">
            <w:pPr>
              <w:keepNext w:val="0"/>
              <w:keepLines w:val="0"/>
              <w:widowControl/>
              <w:suppressLineNumbers w:val="0"/>
              <w:jc w:val="center"/>
              <w:textAlignment w:val="bottom"/>
              <w:rPr>
                <w:rFonts w:hint="default" w:ascii="仿宋_GB2312" w:hAnsi="宋体" w:eastAsia="仿宋_GB2312" w:cs="仿宋_GB2312"/>
                <w:i w:val="0"/>
                <w:iCs w:val="0"/>
                <w:color w:val="000000"/>
                <w:kern w:val="0"/>
                <w:sz w:val="21"/>
                <w:szCs w:val="21"/>
                <w:u w:val="none"/>
                <w:lang w:val="en-US" w:eastAsia="zh-CN" w:bidi="ar"/>
              </w:rPr>
            </w:pPr>
          </w:p>
        </w:tc>
        <w:tc>
          <w:tcPr>
            <w:tcW w:w="1250" w:type="pct"/>
            <w:shd w:val="clear" w:color="auto" w:fill="auto"/>
            <w:vAlign w:val="center"/>
          </w:tcPr>
          <w:p w14:paraId="30648E22">
            <w:pPr>
              <w:keepNext w:val="0"/>
              <w:keepLines w:val="0"/>
              <w:widowControl/>
              <w:suppressLineNumbers w:val="0"/>
              <w:jc w:val="center"/>
              <w:textAlignment w:val="bottom"/>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SS</w:t>
            </w:r>
          </w:p>
        </w:tc>
        <w:tc>
          <w:tcPr>
            <w:tcW w:w="894" w:type="pct"/>
            <w:shd w:val="clear" w:color="auto" w:fill="auto"/>
            <w:vAlign w:val="center"/>
          </w:tcPr>
          <w:p w14:paraId="25B657A9">
            <w:pPr>
              <w:keepNext w:val="0"/>
              <w:keepLines w:val="0"/>
              <w:widowControl/>
              <w:suppressLineNumbers w:val="0"/>
              <w:spacing w:before="0" w:beforeAutospacing="0" w:after="0" w:afterAutospacing="0" w:line="300" w:lineRule="exact"/>
              <w:ind w:left="0" w:leftChars="0" w:right="0" w:rightChars="0"/>
              <w:jc w:val="center"/>
              <w:rPr>
                <w:rFonts w:hint="eastAsia" w:ascii="Times New Roman" w:hAnsi="Times New Roman" w:eastAsia="仿宋_GB2312" w:cs="Times New Roman"/>
                <w:color w:val="auto"/>
                <w:kern w:val="0"/>
                <w:sz w:val="21"/>
                <w:szCs w:val="21"/>
                <w:lang w:val="en-US" w:eastAsia="zh-CN" w:bidi="ar-SA"/>
              </w:rPr>
            </w:pPr>
            <w:r>
              <w:rPr>
                <w:rFonts w:hint="default" w:eastAsia="仿宋_GB2312"/>
                <w:color w:val="auto"/>
                <w:kern w:val="0"/>
                <w:szCs w:val="21"/>
              </w:rPr>
              <w:t>0.</w:t>
            </w:r>
            <w:r>
              <w:rPr>
                <w:rFonts w:hint="eastAsia" w:eastAsia="仿宋_GB2312"/>
                <w:color w:val="auto"/>
                <w:kern w:val="0"/>
                <w:szCs w:val="21"/>
                <w:lang w:val="en-US" w:eastAsia="zh-CN"/>
              </w:rPr>
              <w:t>26</w:t>
            </w:r>
          </w:p>
        </w:tc>
        <w:tc>
          <w:tcPr>
            <w:tcW w:w="894" w:type="pct"/>
            <w:shd w:val="clear" w:color="auto" w:fill="auto"/>
            <w:vAlign w:val="center"/>
          </w:tcPr>
          <w:p w14:paraId="6E925776">
            <w:pPr>
              <w:keepNext w:val="0"/>
              <w:keepLines w:val="0"/>
              <w:widowControl/>
              <w:suppressLineNumbers w:val="0"/>
              <w:jc w:val="center"/>
              <w:textAlignment w:val="bottom"/>
              <w:rPr>
                <w:rFonts w:hint="default" w:ascii="Times New Roman" w:hAnsi="Times New Roman" w:eastAsia="宋体"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0.234</w:t>
            </w:r>
          </w:p>
        </w:tc>
        <w:tc>
          <w:tcPr>
            <w:tcW w:w="800" w:type="pct"/>
            <w:shd w:val="clear" w:color="auto" w:fill="auto"/>
            <w:vAlign w:val="center"/>
          </w:tcPr>
          <w:p w14:paraId="3820F286">
            <w:pPr>
              <w:keepNext w:val="0"/>
              <w:keepLines w:val="0"/>
              <w:widowControl/>
              <w:suppressLineNumbers w:val="0"/>
              <w:spacing w:before="0" w:beforeAutospacing="0" w:after="0" w:afterAutospacing="0" w:line="300" w:lineRule="exact"/>
              <w:ind w:left="0" w:leftChars="0" w:right="0" w:rightChars="0"/>
              <w:jc w:val="center"/>
              <w:rPr>
                <w:rFonts w:hint="eastAsia" w:ascii="Times New Roman" w:hAnsi="Times New Roman" w:eastAsia="仿宋_GB2312" w:cs="Times New Roman"/>
                <w:color w:val="auto"/>
                <w:kern w:val="0"/>
                <w:sz w:val="21"/>
                <w:szCs w:val="21"/>
                <w:lang w:val="en-US" w:eastAsia="zh-CN" w:bidi="ar-SA"/>
              </w:rPr>
            </w:pPr>
            <w:r>
              <w:rPr>
                <w:rFonts w:hint="default" w:eastAsia="仿宋_GB2312"/>
                <w:color w:val="auto"/>
                <w:kern w:val="0"/>
                <w:szCs w:val="21"/>
              </w:rPr>
              <w:t>0.</w:t>
            </w:r>
            <w:r>
              <w:rPr>
                <w:rFonts w:hint="eastAsia" w:eastAsia="仿宋_GB2312"/>
                <w:color w:val="auto"/>
                <w:kern w:val="0"/>
                <w:szCs w:val="21"/>
                <w:lang w:val="en-US" w:eastAsia="zh-CN"/>
              </w:rPr>
              <w:t>026</w:t>
            </w:r>
          </w:p>
        </w:tc>
      </w:tr>
      <w:tr w14:paraId="74E17B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2410" w:type="pct"/>
            <w:gridSpan w:val="3"/>
            <w:shd w:val="clear" w:color="auto" w:fill="auto"/>
            <w:vAlign w:val="center"/>
          </w:tcPr>
          <w:p w14:paraId="56EEE7C3">
            <w:pPr>
              <w:adjustRightInd w:val="0"/>
              <w:snapToGrid w:val="0"/>
              <w:spacing w:line="320" w:lineRule="exact"/>
              <w:jc w:val="center"/>
              <w:rPr>
                <w:rFonts w:eastAsia="仿宋_GB2312"/>
                <w:bCs/>
                <w:color w:val="auto"/>
                <w:szCs w:val="21"/>
              </w:rPr>
            </w:pPr>
            <w:r>
              <w:rPr>
                <w:rFonts w:eastAsia="仿宋_GB2312"/>
                <w:bCs/>
                <w:color w:val="auto"/>
                <w:szCs w:val="21"/>
              </w:rPr>
              <w:t>固废</w:t>
            </w:r>
          </w:p>
        </w:tc>
        <w:tc>
          <w:tcPr>
            <w:tcW w:w="894" w:type="pct"/>
            <w:shd w:val="clear" w:color="auto" w:fill="auto"/>
            <w:vAlign w:val="center"/>
          </w:tcPr>
          <w:p w14:paraId="263DF61D">
            <w:pPr>
              <w:adjustRightInd w:val="0"/>
              <w:snapToGrid w:val="0"/>
              <w:spacing w:line="320" w:lineRule="exact"/>
              <w:jc w:val="center"/>
              <w:rPr>
                <w:rFonts w:hint="default" w:eastAsia="仿宋_GB2312"/>
                <w:bCs/>
                <w:color w:val="auto"/>
                <w:szCs w:val="21"/>
                <w:lang w:val="en-US" w:eastAsia="zh-CN"/>
              </w:rPr>
            </w:pPr>
            <w:r>
              <w:rPr>
                <w:rFonts w:hint="eastAsia" w:eastAsia="仿宋_GB2312"/>
                <w:bCs/>
                <w:color w:val="auto"/>
                <w:szCs w:val="21"/>
                <w:lang w:val="en-US" w:eastAsia="zh-CN"/>
              </w:rPr>
              <w:t>22138.048</w:t>
            </w:r>
          </w:p>
        </w:tc>
        <w:tc>
          <w:tcPr>
            <w:tcW w:w="894" w:type="pct"/>
            <w:shd w:val="clear" w:color="auto" w:fill="auto"/>
            <w:vAlign w:val="center"/>
          </w:tcPr>
          <w:p w14:paraId="32177AF2">
            <w:pPr>
              <w:adjustRightInd w:val="0"/>
              <w:snapToGrid w:val="0"/>
              <w:spacing w:line="320" w:lineRule="exact"/>
              <w:jc w:val="center"/>
              <w:rPr>
                <w:rFonts w:eastAsia="仿宋_GB2312"/>
                <w:bCs/>
                <w:color w:val="auto"/>
                <w:szCs w:val="21"/>
              </w:rPr>
            </w:pPr>
            <w:r>
              <w:rPr>
                <w:rFonts w:hint="eastAsia" w:eastAsia="仿宋_GB2312"/>
                <w:bCs/>
                <w:color w:val="auto"/>
                <w:szCs w:val="21"/>
                <w:lang w:val="en-US" w:eastAsia="zh-CN"/>
              </w:rPr>
              <w:t>22138.048</w:t>
            </w:r>
          </w:p>
        </w:tc>
        <w:tc>
          <w:tcPr>
            <w:tcW w:w="800" w:type="pct"/>
            <w:shd w:val="clear" w:color="auto" w:fill="auto"/>
            <w:vAlign w:val="center"/>
          </w:tcPr>
          <w:p w14:paraId="49D46989">
            <w:pPr>
              <w:adjustRightInd w:val="0"/>
              <w:snapToGrid w:val="0"/>
              <w:spacing w:line="320" w:lineRule="exact"/>
              <w:jc w:val="center"/>
              <w:rPr>
                <w:rFonts w:eastAsia="仿宋_GB2312"/>
                <w:bCs/>
                <w:color w:val="auto"/>
                <w:szCs w:val="21"/>
              </w:rPr>
            </w:pPr>
            <w:r>
              <w:rPr>
                <w:rFonts w:eastAsia="仿宋_GB2312"/>
                <w:color w:val="auto"/>
                <w:szCs w:val="21"/>
              </w:rPr>
              <w:t>0</w:t>
            </w:r>
          </w:p>
        </w:tc>
      </w:tr>
    </w:tbl>
    <w:p w14:paraId="3C61CB6E">
      <w:pPr>
        <w:spacing w:line="320" w:lineRule="exact"/>
        <w:rPr>
          <w:rFonts w:eastAsia="仿宋_GB2312"/>
          <w:color w:val="FF0000"/>
          <w:szCs w:val="21"/>
          <w:highlight w:val="yellow"/>
        </w:rPr>
      </w:pPr>
    </w:p>
    <w:p w14:paraId="54F731B0">
      <w:pPr>
        <w:spacing w:line="320" w:lineRule="exact"/>
        <w:rPr>
          <w:rFonts w:eastAsia="仿宋_GB2312"/>
          <w:color w:val="FF0000"/>
          <w:szCs w:val="21"/>
          <w:highlight w:val="yellow"/>
        </w:rPr>
      </w:pPr>
    </w:p>
    <w:p w14:paraId="2A3A1E61">
      <w:pPr>
        <w:spacing w:line="320" w:lineRule="exact"/>
        <w:rPr>
          <w:rFonts w:eastAsia="仿宋_GB2312"/>
          <w:color w:val="FF0000"/>
          <w:szCs w:val="21"/>
          <w:highlight w:val="yellow"/>
        </w:rPr>
      </w:pPr>
    </w:p>
    <w:p w14:paraId="12AC493B">
      <w:pPr>
        <w:spacing w:line="320" w:lineRule="exact"/>
        <w:rPr>
          <w:rFonts w:eastAsia="仿宋_GB2312"/>
          <w:color w:val="FF0000"/>
          <w:szCs w:val="21"/>
          <w:highlight w:val="yellow"/>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linePitch="312" w:charSpace="0"/>
        </w:sectPr>
      </w:pPr>
    </w:p>
    <w:p w14:paraId="768215AD">
      <w:pPr>
        <w:pStyle w:val="5"/>
        <w:spacing w:before="120" w:after="120"/>
        <w:rPr>
          <w:color w:val="auto"/>
          <w:sz w:val="30"/>
          <w:szCs w:val="30"/>
        </w:rPr>
      </w:pPr>
      <w:bookmarkStart w:id="68" w:name="_Toc25230"/>
      <w:bookmarkStart w:id="69" w:name="_Toc140174720"/>
      <w:r>
        <w:rPr>
          <w:color w:val="auto"/>
          <w:sz w:val="30"/>
          <w:szCs w:val="30"/>
        </w:rPr>
        <w:t>3.11本项目建成后全厂污染物排放情况</w:t>
      </w:r>
      <w:bookmarkEnd w:id="68"/>
      <w:bookmarkEnd w:id="69"/>
    </w:p>
    <w:p w14:paraId="7786855B">
      <w:pPr>
        <w:spacing w:line="500" w:lineRule="exact"/>
        <w:ind w:firstLine="560" w:firstLineChars="200"/>
        <w:rPr>
          <w:rFonts w:eastAsia="仿宋_GB2312"/>
          <w:color w:val="auto"/>
          <w:sz w:val="28"/>
          <w:szCs w:val="28"/>
          <w:lang w:val="zh-CN"/>
        </w:rPr>
      </w:pPr>
      <w:r>
        <w:rPr>
          <w:rFonts w:eastAsia="仿宋_GB2312"/>
          <w:color w:val="auto"/>
          <w:sz w:val="28"/>
          <w:szCs w:val="28"/>
          <w:lang w:val="zh-CN"/>
        </w:rPr>
        <w:t>本项目建成后全厂污染物排放变化情况见表3.11-1。</w:t>
      </w:r>
    </w:p>
    <w:p w14:paraId="7EB6E978">
      <w:pPr>
        <w:spacing w:line="500" w:lineRule="exact"/>
        <w:ind w:firstLine="482" w:firstLineChars="200"/>
        <w:jc w:val="center"/>
        <w:rPr>
          <w:rFonts w:eastAsia="仿宋_GB2312"/>
          <w:b/>
          <w:color w:val="auto"/>
          <w:sz w:val="24"/>
        </w:rPr>
      </w:pPr>
      <w:r>
        <w:rPr>
          <w:rFonts w:eastAsia="仿宋_GB2312"/>
          <w:b/>
          <w:color w:val="auto"/>
          <w:sz w:val="24"/>
        </w:rPr>
        <w:t>表3.11-1  本项目建成后全厂污染物排放情况</w:t>
      </w:r>
      <w:r>
        <w:rPr>
          <w:rFonts w:hint="eastAsia" w:eastAsia="仿宋_GB2312"/>
          <w:b/>
          <w:color w:val="auto"/>
          <w:sz w:val="24"/>
        </w:rPr>
        <w:t xml:space="preserve"> </w:t>
      </w:r>
      <w:r>
        <w:rPr>
          <w:rFonts w:eastAsia="仿宋_GB2312"/>
          <w:b/>
          <w:color w:val="auto"/>
          <w:sz w:val="24"/>
        </w:rPr>
        <w:t>（单位：t/a）</w:t>
      </w:r>
    </w:p>
    <w:tbl>
      <w:tblPr>
        <w:tblStyle w:val="88"/>
        <w:tblW w:w="5332"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868"/>
        <w:gridCol w:w="2041"/>
        <w:gridCol w:w="1375"/>
        <w:gridCol w:w="1151"/>
        <w:gridCol w:w="1151"/>
        <w:gridCol w:w="1152"/>
        <w:gridCol w:w="1152"/>
      </w:tblGrid>
      <w:tr w14:paraId="1C4CE8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88" w:type="pct"/>
            <w:shd w:val="clear" w:color="auto" w:fill="auto"/>
            <w:tcMar>
              <w:top w:w="15" w:type="dxa"/>
              <w:left w:w="15" w:type="dxa"/>
              <w:bottom w:w="0" w:type="dxa"/>
              <w:right w:w="15" w:type="dxa"/>
            </w:tcMar>
            <w:vAlign w:val="center"/>
          </w:tcPr>
          <w:p w14:paraId="4DBF7CF7">
            <w:pPr>
              <w:widowControl/>
              <w:spacing w:line="240" w:lineRule="exact"/>
              <w:jc w:val="center"/>
              <w:rPr>
                <w:rFonts w:eastAsia="仿宋_GB2312"/>
                <w:b/>
                <w:bCs/>
                <w:kern w:val="0"/>
                <w:szCs w:val="21"/>
              </w:rPr>
            </w:pPr>
            <w:r>
              <w:rPr>
                <w:rFonts w:eastAsia="仿宋_GB2312"/>
                <w:b/>
                <w:bCs/>
                <w:kern w:val="0"/>
                <w:szCs w:val="21"/>
              </w:rPr>
              <w:t>类别</w:t>
            </w:r>
          </w:p>
        </w:tc>
        <w:tc>
          <w:tcPr>
            <w:tcW w:w="1147" w:type="pct"/>
            <w:shd w:val="clear" w:color="auto" w:fill="auto"/>
            <w:tcMar>
              <w:top w:w="15" w:type="dxa"/>
              <w:left w:w="15" w:type="dxa"/>
              <w:bottom w:w="0" w:type="dxa"/>
              <w:right w:w="15" w:type="dxa"/>
            </w:tcMar>
            <w:vAlign w:val="center"/>
          </w:tcPr>
          <w:p w14:paraId="31D98A52">
            <w:pPr>
              <w:widowControl/>
              <w:spacing w:line="240" w:lineRule="exact"/>
              <w:jc w:val="center"/>
              <w:rPr>
                <w:rFonts w:eastAsia="仿宋_GB2312"/>
                <w:b/>
                <w:bCs/>
                <w:kern w:val="0"/>
                <w:szCs w:val="21"/>
              </w:rPr>
            </w:pPr>
            <w:r>
              <w:rPr>
                <w:rFonts w:eastAsia="仿宋_GB2312"/>
                <w:b/>
                <w:bCs/>
                <w:kern w:val="0"/>
                <w:szCs w:val="21"/>
              </w:rPr>
              <w:t>污染物</w:t>
            </w:r>
          </w:p>
        </w:tc>
        <w:tc>
          <w:tcPr>
            <w:tcW w:w="773" w:type="pct"/>
            <w:shd w:val="clear" w:color="auto" w:fill="auto"/>
            <w:vAlign w:val="center"/>
          </w:tcPr>
          <w:p w14:paraId="3EAA8EDB">
            <w:pPr>
              <w:widowControl/>
              <w:spacing w:line="240" w:lineRule="exact"/>
              <w:jc w:val="center"/>
              <w:rPr>
                <w:rFonts w:ascii="Times New Roman" w:hAnsi="Times New Roman" w:eastAsia="仿宋_GB2312" w:cs="Times New Roman"/>
                <w:b/>
                <w:bCs/>
                <w:color w:val="auto"/>
                <w:kern w:val="0"/>
                <w:sz w:val="21"/>
                <w:szCs w:val="21"/>
                <w:lang w:val="en-US" w:eastAsia="zh-CN" w:bidi="ar-SA"/>
              </w:rPr>
            </w:pPr>
            <w:r>
              <w:rPr>
                <w:rFonts w:eastAsia="仿宋_GB2312"/>
                <w:b/>
                <w:bCs/>
                <w:color w:val="auto"/>
                <w:kern w:val="0"/>
                <w:szCs w:val="21"/>
              </w:rPr>
              <w:t>原有项目总排放量</w:t>
            </w:r>
          </w:p>
        </w:tc>
        <w:tc>
          <w:tcPr>
            <w:tcW w:w="647" w:type="pct"/>
            <w:shd w:val="clear" w:color="auto" w:fill="auto"/>
            <w:vAlign w:val="center"/>
          </w:tcPr>
          <w:p w14:paraId="1726AC3E">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b/>
                <w:bCs/>
                <w:color w:val="auto"/>
                <w:kern w:val="0"/>
                <w:szCs w:val="21"/>
              </w:rPr>
              <w:t>“以新带老”削减量</w:t>
            </w:r>
          </w:p>
        </w:tc>
        <w:tc>
          <w:tcPr>
            <w:tcW w:w="647" w:type="pct"/>
            <w:shd w:val="clear" w:color="auto" w:fill="auto"/>
            <w:vAlign w:val="center"/>
          </w:tcPr>
          <w:p w14:paraId="4DBCB53D">
            <w:pPr>
              <w:adjustRightInd w:val="0"/>
              <w:snapToGrid w:val="0"/>
              <w:spacing w:line="320" w:lineRule="exact"/>
              <w:jc w:val="center"/>
              <w:rPr>
                <w:rFonts w:ascii="Times New Roman" w:hAnsi="Times New Roman" w:eastAsia="仿宋_GB2312" w:cs="Times New Roman"/>
                <w:b/>
                <w:bCs/>
                <w:color w:val="auto"/>
                <w:kern w:val="2"/>
                <w:sz w:val="21"/>
                <w:szCs w:val="21"/>
                <w:lang w:val="en-US" w:eastAsia="zh-CN" w:bidi="ar-SA"/>
              </w:rPr>
            </w:pPr>
            <w:r>
              <w:rPr>
                <w:rFonts w:eastAsia="仿宋_GB2312"/>
                <w:b/>
                <w:bCs/>
                <w:color w:val="auto"/>
                <w:szCs w:val="21"/>
              </w:rPr>
              <w:t>本项目排放量（t/a）</w:t>
            </w:r>
          </w:p>
        </w:tc>
        <w:tc>
          <w:tcPr>
            <w:tcW w:w="647" w:type="pct"/>
            <w:shd w:val="clear" w:color="auto" w:fill="auto"/>
            <w:vAlign w:val="center"/>
          </w:tcPr>
          <w:p w14:paraId="0F52A716">
            <w:pPr>
              <w:widowControl/>
              <w:spacing w:line="280" w:lineRule="exact"/>
              <w:jc w:val="center"/>
              <w:rPr>
                <w:rFonts w:ascii="Times New Roman" w:hAnsi="Times New Roman" w:eastAsia="仿宋_GB2312" w:cs="Times New Roman"/>
                <w:b/>
                <w:bCs/>
                <w:color w:val="auto"/>
                <w:kern w:val="0"/>
                <w:sz w:val="21"/>
                <w:szCs w:val="21"/>
                <w:lang w:val="en-US" w:eastAsia="zh-CN" w:bidi="ar-SA"/>
              </w:rPr>
            </w:pPr>
            <w:r>
              <w:rPr>
                <w:rFonts w:eastAsia="仿宋_GB2312"/>
                <w:b/>
                <w:bCs/>
                <w:color w:val="auto"/>
                <w:kern w:val="0"/>
                <w:szCs w:val="21"/>
              </w:rPr>
              <w:t>全厂排放量</w:t>
            </w:r>
          </w:p>
        </w:tc>
        <w:tc>
          <w:tcPr>
            <w:tcW w:w="647" w:type="pct"/>
            <w:shd w:val="clear" w:color="auto" w:fill="auto"/>
            <w:vAlign w:val="center"/>
          </w:tcPr>
          <w:p w14:paraId="1A0A3094">
            <w:pPr>
              <w:widowControl/>
              <w:spacing w:line="280" w:lineRule="exact"/>
              <w:jc w:val="center"/>
              <w:rPr>
                <w:rFonts w:ascii="Times New Roman" w:hAnsi="Times New Roman" w:eastAsia="仿宋_GB2312" w:cs="Times New Roman"/>
                <w:b/>
                <w:bCs/>
                <w:color w:val="auto"/>
                <w:kern w:val="0"/>
                <w:sz w:val="21"/>
                <w:szCs w:val="21"/>
                <w:lang w:val="en-US" w:eastAsia="zh-CN" w:bidi="ar-SA"/>
              </w:rPr>
            </w:pPr>
            <w:r>
              <w:rPr>
                <w:rFonts w:eastAsia="仿宋_GB2312"/>
                <w:b/>
                <w:bCs/>
                <w:color w:val="auto"/>
                <w:kern w:val="0"/>
                <w:szCs w:val="21"/>
              </w:rPr>
              <w:t>扩建前后增减量</w:t>
            </w:r>
          </w:p>
        </w:tc>
      </w:tr>
      <w:tr w14:paraId="6060065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88" w:type="pct"/>
            <w:vMerge w:val="restart"/>
            <w:shd w:val="clear" w:color="auto" w:fill="auto"/>
            <w:tcMar>
              <w:top w:w="15" w:type="dxa"/>
              <w:left w:w="15" w:type="dxa"/>
              <w:bottom w:w="0" w:type="dxa"/>
              <w:right w:w="15" w:type="dxa"/>
            </w:tcMar>
            <w:vAlign w:val="center"/>
          </w:tcPr>
          <w:p w14:paraId="773E7CCB">
            <w:pPr>
              <w:widowControl/>
              <w:spacing w:line="240" w:lineRule="exact"/>
              <w:jc w:val="center"/>
              <w:rPr>
                <w:rFonts w:eastAsia="仿宋_GB2312"/>
                <w:kern w:val="0"/>
                <w:szCs w:val="21"/>
              </w:rPr>
            </w:pPr>
            <w:r>
              <w:rPr>
                <w:rFonts w:eastAsia="仿宋_GB2312"/>
                <w:kern w:val="0"/>
                <w:szCs w:val="21"/>
              </w:rPr>
              <w:t>有组织废气</w:t>
            </w:r>
          </w:p>
        </w:tc>
        <w:tc>
          <w:tcPr>
            <w:tcW w:w="1147" w:type="pct"/>
            <w:shd w:val="clear" w:color="auto" w:fill="auto"/>
            <w:tcMar>
              <w:top w:w="15" w:type="dxa"/>
              <w:left w:w="15" w:type="dxa"/>
              <w:bottom w:w="0" w:type="dxa"/>
              <w:right w:w="15" w:type="dxa"/>
            </w:tcMar>
            <w:vAlign w:val="center"/>
          </w:tcPr>
          <w:p w14:paraId="79324389">
            <w:pPr>
              <w:widowControl/>
              <w:spacing w:line="240" w:lineRule="exact"/>
              <w:jc w:val="center"/>
              <w:rPr>
                <w:rFonts w:eastAsia="仿宋_GB2312"/>
                <w:kern w:val="0"/>
                <w:szCs w:val="21"/>
              </w:rPr>
            </w:pPr>
            <w:r>
              <w:rPr>
                <w:rFonts w:eastAsia="仿宋_GB2312"/>
                <w:kern w:val="0"/>
                <w:szCs w:val="21"/>
              </w:rPr>
              <w:t>SO</w:t>
            </w:r>
            <w:r>
              <w:rPr>
                <w:rFonts w:eastAsia="仿宋_GB2312"/>
                <w:kern w:val="0"/>
                <w:szCs w:val="21"/>
                <w:vertAlign w:val="subscript"/>
              </w:rPr>
              <w:t>2</w:t>
            </w:r>
          </w:p>
        </w:tc>
        <w:tc>
          <w:tcPr>
            <w:tcW w:w="773" w:type="pct"/>
            <w:vAlign w:val="center"/>
          </w:tcPr>
          <w:p w14:paraId="3A9B2ACF">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55.341</w:t>
            </w:r>
          </w:p>
        </w:tc>
        <w:tc>
          <w:tcPr>
            <w:tcW w:w="647" w:type="pct"/>
            <w:vAlign w:val="center"/>
          </w:tcPr>
          <w:p w14:paraId="66F9A37C">
            <w:pPr>
              <w:keepNext w:val="0"/>
              <w:keepLines w:val="0"/>
              <w:widowControl/>
              <w:suppressLineNumbers w:val="0"/>
              <w:jc w:val="center"/>
              <w:textAlignment w:val="bottom"/>
              <w:rPr>
                <w:rFonts w:eastAsia="仿宋_GB2312"/>
                <w:kern w:val="0"/>
                <w:szCs w:val="21"/>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647" w:type="pct"/>
            <w:vAlign w:val="center"/>
          </w:tcPr>
          <w:p w14:paraId="0BAE1897">
            <w:pPr>
              <w:keepNext w:val="0"/>
              <w:keepLines w:val="0"/>
              <w:widowControl/>
              <w:suppressLineNumbers w:val="0"/>
              <w:jc w:val="center"/>
              <w:textAlignment w:val="bottom"/>
              <w:rPr>
                <w:rFonts w:eastAsia="仿宋_GB2312"/>
                <w:kern w:val="0"/>
                <w:szCs w:val="21"/>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647" w:type="pct"/>
            <w:vAlign w:val="center"/>
          </w:tcPr>
          <w:p w14:paraId="24059720">
            <w:pPr>
              <w:keepNext w:val="0"/>
              <w:keepLines w:val="0"/>
              <w:widowControl/>
              <w:suppressLineNumbers w:val="0"/>
              <w:jc w:val="center"/>
              <w:textAlignment w:val="bottom"/>
              <w:rPr>
                <w:rFonts w:eastAsia="仿宋_GB2312"/>
                <w:kern w:val="0"/>
                <w:szCs w:val="21"/>
              </w:rPr>
            </w:pPr>
            <w:r>
              <w:rPr>
                <w:rFonts w:hint="default" w:ascii="Times New Roman" w:hAnsi="Times New Roman" w:eastAsia="宋体" w:cs="Times New Roman"/>
                <w:i w:val="0"/>
                <w:iCs w:val="0"/>
                <w:color w:val="000000"/>
                <w:kern w:val="0"/>
                <w:sz w:val="21"/>
                <w:szCs w:val="21"/>
                <w:u w:val="none"/>
                <w:lang w:val="en-US" w:eastAsia="zh-CN" w:bidi="ar"/>
              </w:rPr>
              <w:t>55.341</w:t>
            </w:r>
          </w:p>
        </w:tc>
        <w:tc>
          <w:tcPr>
            <w:tcW w:w="647" w:type="pct"/>
            <w:vAlign w:val="center"/>
          </w:tcPr>
          <w:p w14:paraId="021032A9">
            <w:pPr>
              <w:keepNext w:val="0"/>
              <w:keepLines w:val="0"/>
              <w:widowControl/>
              <w:suppressLineNumbers w:val="0"/>
              <w:jc w:val="center"/>
              <w:textAlignment w:val="bottom"/>
              <w:rPr>
                <w:rFonts w:eastAsia="仿宋_GB2312"/>
                <w:kern w:val="0"/>
                <w:szCs w:val="21"/>
              </w:rPr>
            </w:pPr>
            <w:r>
              <w:rPr>
                <w:rFonts w:hint="default" w:ascii="Times New Roman" w:hAnsi="Times New Roman" w:eastAsia="宋体" w:cs="Times New Roman"/>
                <w:i w:val="0"/>
                <w:iCs w:val="0"/>
                <w:color w:val="000000"/>
                <w:kern w:val="0"/>
                <w:sz w:val="21"/>
                <w:szCs w:val="21"/>
                <w:u w:val="none"/>
                <w:lang w:val="en-US" w:eastAsia="zh-CN" w:bidi="ar"/>
              </w:rPr>
              <w:t>0</w:t>
            </w:r>
          </w:p>
        </w:tc>
      </w:tr>
      <w:tr w14:paraId="5C00BA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88" w:type="pct"/>
            <w:vMerge w:val="continue"/>
            <w:shd w:val="clear" w:color="auto" w:fill="auto"/>
            <w:vAlign w:val="center"/>
          </w:tcPr>
          <w:p w14:paraId="08464CB9">
            <w:pPr>
              <w:widowControl/>
              <w:spacing w:line="240" w:lineRule="exact"/>
              <w:jc w:val="center"/>
              <w:rPr>
                <w:rFonts w:eastAsia="仿宋_GB2312"/>
                <w:kern w:val="0"/>
                <w:szCs w:val="21"/>
              </w:rPr>
            </w:pPr>
          </w:p>
        </w:tc>
        <w:tc>
          <w:tcPr>
            <w:tcW w:w="1147" w:type="pct"/>
            <w:shd w:val="clear" w:color="auto" w:fill="auto"/>
            <w:tcMar>
              <w:top w:w="15" w:type="dxa"/>
              <w:left w:w="15" w:type="dxa"/>
              <w:bottom w:w="0" w:type="dxa"/>
              <w:right w:w="15" w:type="dxa"/>
            </w:tcMar>
            <w:vAlign w:val="center"/>
          </w:tcPr>
          <w:p w14:paraId="1E3702EB">
            <w:pPr>
              <w:widowControl/>
              <w:spacing w:line="240" w:lineRule="exact"/>
              <w:jc w:val="center"/>
              <w:rPr>
                <w:rFonts w:eastAsia="仿宋_GB2312"/>
                <w:kern w:val="0"/>
                <w:szCs w:val="21"/>
              </w:rPr>
            </w:pPr>
            <w:r>
              <w:rPr>
                <w:rFonts w:eastAsia="仿宋_GB2312"/>
                <w:kern w:val="0"/>
                <w:szCs w:val="21"/>
              </w:rPr>
              <w:t>CO</w:t>
            </w:r>
          </w:p>
        </w:tc>
        <w:tc>
          <w:tcPr>
            <w:tcW w:w="773" w:type="pct"/>
            <w:vAlign w:val="center"/>
          </w:tcPr>
          <w:p w14:paraId="75B115DC">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37.104</w:t>
            </w:r>
          </w:p>
        </w:tc>
        <w:tc>
          <w:tcPr>
            <w:tcW w:w="647" w:type="pct"/>
            <w:vAlign w:val="center"/>
          </w:tcPr>
          <w:p w14:paraId="125B54D5">
            <w:pPr>
              <w:keepNext w:val="0"/>
              <w:keepLines w:val="0"/>
              <w:widowControl/>
              <w:suppressLineNumbers w:val="0"/>
              <w:jc w:val="center"/>
              <w:textAlignment w:val="bottom"/>
              <w:rPr>
                <w:rFonts w:eastAsia="仿宋_GB2312"/>
                <w:kern w:val="0"/>
                <w:szCs w:val="21"/>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647" w:type="pct"/>
            <w:vAlign w:val="center"/>
          </w:tcPr>
          <w:p w14:paraId="3D27A34F">
            <w:pPr>
              <w:keepNext w:val="0"/>
              <w:keepLines w:val="0"/>
              <w:widowControl/>
              <w:suppressLineNumbers w:val="0"/>
              <w:jc w:val="center"/>
              <w:textAlignment w:val="bottom"/>
              <w:rPr>
                <w:rFonts w:eastAsia="仿宋_GB2312"/>
                <w:kern w:val="0"/>
                <w:szCs w:val="21"/>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647" w:type="pct"/>
            <w:vAlign w:val="center"/>
          </w:tcPr>
          <w:p w14:paraId="06285C68">
            <w:pPr>
              <w:keepNext w:val="0"/>
              <w:keepLines w:val="0"/>
              <w:widowControl/>
              <w:suppressLineNumbers w:val="0"/>
              <w:jc w:val="center"/>
              <w:textAlignment w:val="bottom"/>
              <w:rPr>
                <w:rFonts w:eastAsia="仿宋_GB2312"/>
                <w:kern w:val="0"/>
                <w:szCs w:val="21"/>
              </w:rPr>
            </w:pPr>
            <w:r>
              <w:rPr>
                <w:rFonts w:hint="default" w:ascii="Times New Roman" w:hAnsi="Times New Roman" w:eastAsia="宋体" w:cs="Times New Roman"/>
                <w:i w:val="0"/>
                <w:iCs w:val="0"/>
                <w:color w:val="000000"/>
                <w:kern w:val="0"/>
                <w:sz w:val="21"/>
                <w:szCs w:val="21"/>
                <w:u w:val="none"/>
                <w:lang w:val="en-US" w:eastAsia="zh-CN" w:bidi="ar"/>
              </w:rPr>
              <w:t>37.104</w:t>
            </w:r>
          </w:p>
        </w:tc>
        <w:tc>
          <w:tcPr>
            <w:tcW w:w="647" w:type="pct"/>
            <w:vAlign w:val="center"/>
          </w:tcPr>
          <w:p w14:paraId="2C99B5D4">
            <w:pPr>
              <w:keepNext w:val="0"/>
              <w:keepLines w:val="0"/>
              <w:widowControl/>
              <w:suppressLineNumbers w:val="0"/>
              <w:jc w:val="center"/>
              <w:textAlignment w:val="bottom"/>
              <w:rPr>
                <w:rFonts w:eastAsia="仿宋_GB2312"/>
                <w:kern w:val="0"/>
                <w:szCs w:val="21"/>
              </w:rPr>
            </w:pPr>
            <w:r>
              <w:rPr>
                <w:rFonts w:hint="default" w:ascii="Times New Roman" w:hAnsi="Times New Roman" w:eastAsia="宋体" w:cs="Times New Roman"/>
                <w:i w:val="0"/>
                <w:iCs w:val="0"/>
                <w:color w:val="000000"/>
                <w:kern w:val="0"/>
                <w:sz w:val="21"/>
                <w:szCs w:val="21"/>
                <w:u w:val="none"/>
                <w:lang w:val="en-US" w:eastAsia="zh-CN" w:bidi="ar"/>
              </w:rPr>
              <w:t>0</w:t>
            </w:r>
          </w:p>
        </w:tc>
      </w:tr>
      <w:tr w14:paraId="3912C1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88" w:type="pct"/>
            <w:vMerge w:val="continue"/>
            <w:shd w:val="clear" w:color="auto" w:fill="auto"/>
            <w:vAlign w:val="center"/>
          </w:tcPr>
          <w:p w14:paraId="0D957F3F">
            <w:pPr>
              <w:widowControl/>
              <w:spacing w:line="240" w:lineRule="exact"/>
              <w:jc w:val="center"/>
              <w:rPr>
                <w:rFonts w:eastAsia="仿宋_GB2312"/>
                <w:kern w:val="0"/>
                <w:szCs w:val="21"/>
              </w:rPr>
            </w:pPr>
          </w:p>
        </w:tc>
        <w:tc>
          <w:tcPr>
            <w:tcW w:w="1147" w:type="pct"/>
            <w:shd w:val="clear" w:color="auto" w:fill="auto"/>
            <w:tcMar>
              <w:top w:w="15" w:type="dxa"/>
              <w:left w:w="15" w:type="dxa"/>
              <w:bottom w:w="0" w:type="dxa"/>
              <w:right w:w="15" w:type="dxa"/>
            </w:tcMar>
            <w:vAlign w:val="center"/>
          </w:tcPr>
          <w:p w14:paraId="0F5D5BB8">
            <w:pPr>
              <w:widowControl/>
              <w:spacing w:line="240" w:lineRule="exact"/>
              <w:jc w:val="center"/>
              <w:rPr>
                <w:rFonts w:eastAsia="仿宋_GB2312"/>
                <w:kern w:val="0"/>
                <w:szCs w:val="21"/>
              </w:rPr>
            </w:pPr>
            <w:r>
              <w:rPr>
                <w:rFonts w:eastAsia="仿宋_GB2312"/>
                <w:kern w:val="0"/>
                <w:szCs w:val="21"/>
              </w:rPr>
              <w:t>NO</w:t>
            </w:r>
            <w:r>
              <w:rPr>
                <w:rFonts w:eastAsia="仿宋_GB2312"/>
                <w:kern w:val="0"/>
                <w:szCs w:val="21"/>
                <w:vertAlign w:val="subscript"/>
              </w:rPr>
              <w:t>x</w:t>
            </w:r>
          </w:p>
        </w:tc>
        <w:tc>
          <w:tcPr>
            <w:tcW w:w="773" w:type="pct"/>
            <w:vAlign w:val="center"/>
          </w:tcPr>
          <w:p w14:paraId="4FFBA839">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121.036</w:t>
            </w:r>
          </w:p>
        </w:tc>
        <w:tc>
          <w:tcPr>
            <w:tcW w:w="647" w:type="pct"/>
            <w:vAlign w:val="center"/>
          </w:tcPr>
          <w:p w14:paraId="1ABD392F">
            <w:pPr>
              <w:keepNext w:val="0"/>
              <w:keepLines w:val="0"/>
              <w:widowControl/>
              <w:suppressLineNumbers w:val="0"/>
              <w:jc w:val="center"/>
              <w:textAlignment w:val="bottom"/>
              <w:rPr>
                <w:rFonts w:eastAsia="仿宋_GB2312"/>
                <w:kern w:val="0"/>
                <w:szCs w:val="21"/>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647" w:type="pct"/>
            <w:vAlign w:val="center"/>
          </w:tcPr>
          <w:p w14:paraId="1AE65869">
            <w:pPr>
              <w:keepNext w:val="0"/>
              <w:keepLines w:val="0"/>
              <w:widowControl/>
              <w:suppressLineNumbers w:val="0"/>
              <w:jc w:val="center"/>
              <w:textAlignment w:val="bottom"/>
              <w:rPr>
                <w:rFonts w:eastAsia="仿宋_GB2312"/>
                <w:kern w:val="0"/>
                <w:szCs w:val="21"/>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647" w:type="pct"/>
            <w:vAlign w:val="center"/>
          </w:tcPr>
          <w:p w14:paraId="27320F3A">
            <w:pPr>
              <w:keepNext w:val="0"/>
              <w:keepLines w:val="0"/>
              <w:widowControl/>
              <w:suppressLineNumbers w:val="0"/>
              <w:jc w:val="center"/>
              <w:textAlignment w:val="bottom"/>
              <w:rPr>
                <w:rFonts w:eastAsia="仿宋_GB2312"/>
                <w:kern w:val="0"/>
                <w:szCs w:val="21"/>
              </w:rPr>
            </w:pPr>
            <w:r>
              <w:rPr>
                <w:rFonts w:hint="default" w:ascii="Times New Roman" w:hAnsi="Times New Roman" w:eastAsia="宋体" w:cs="Times New Roman"/>
                <w:i w:val="0"/>
                <w:iCs w:val="0"/>
                <w:color w:val="000000"/>
                <w:kern w:val="0"/>
                <w:sz w:val="21"/>
                <w:szCs w:val="21"/>
                <w:u w:val="none"/>
                <w:lang w:val="en-US" w:eastAsia="zh-CN" w:bidi="ar"/>
              </w:rPr>
              <w:t>121.036</w:t>
            </w:r>
          </w:p>
        </w:tc>
        <w:tc>
          <w:tcPr>
            <w:tcW w:w="647" w:type="pct"/>
            <w:vAlign w:val="center"/>
          </w:tcPr>
          <w:p w14:paraId="4F495E8A">
            <w:pPr>
              <w:keepNext w:val="0"/>
              <w:keepLines w:val="0"/>
              <w:widowControl/>
              <w:suppressLineNumbers w:val="0"/>
              <w:jc w:val="center"/>
              <w:textAlignment w:val="bottom"/>
              <w:rPr>
                <w:rFonts w:eastAsia="仿宋_GB2312"/>
                <w:kern w:val="0"/>
                <w:szCs w:val="21"/>
              </w:rPr>
            </w:pPr>
            <w:r>
              <w:rPr>
                <w:rFonts w:hint="default" w:ascii="Times New Roman" w:hAnsi="Times New Roman" w:eastAsia="宋体" w:cs="Times New Roman"/>
                <w:i w:val="0"/>
                <w:iCs w:val="0"/>
                <w:color w:val="000000"/>
                <w:kern w:val="0"/>
                <w:sz w:val="21"/>
                <w:szCs w:val="21"/>
                <w:u w:val="none"/>
                <w:lang w:val="en-US" w:eastAsia="zh-CN" w:bidi="ar"/>
              </w:rPr>
              <w:t>0</w:t>
            </w:r>
          </w:p>
        </w:tc>
      </w:tr>
      <w:tr w14:paraId="78F4C1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88" w:type="pct"/>
            <w:vMerge w:val="continue"/>
            <w:shd w:val="clear" w:color="auto" w:fill="auto"/>
            <w:vAlign w:val="center"/>
          </w:tcPr>
          <w:p w14:paraId="32027665">
            <w:pPr>
              <w:widowControl/>
              <w:spacing w:line="240" w:lineRule="exact"/>
              <w:jc w:val="center"/>
              <w:rPr>
                <w:rFonts w:eastAsia="仿宋_GB2312"/>
                <w:kern w:val="0"/>
                <w:szCs w:val="21"/>
              </w:rPr>
            </w:pPr>
          </w:p>
        </w:tc>
        <w:tc>
          <w:tcPr>
            <w:tcW w:w="1147" w:type="pct"/>
            <w:shd w:val="clear" w:color="auto" w:fill="auto"/>
            <w:tcMar>
              <w:top w:w="15" w:type="dxa"/>
              <w:left w:w="15" w:type="dxa"/>
              <w:bottom w:w="0" w:type="dxa"/>
              <w:right w:w="15" w:type="dxa"/>
            </w:tcMar>
            <w:vAlign w:val="center"/>
          </w:tcPr>
          <w:p w14:paraId="16C48486">
            <w:pPr>
              <w:widowControl/>
              <w:spacing w:line="240" w:lineRule="exact"/>
              <w:jc w:val="center"/>
              <w:rPr>
                <w:rFonts w:eastAsia="仿宋_GB2312"/>
                <w:kern w:val="0"/>
                <w:szCs w:val="21"/>
              </w:rPr>
            </w:pPr>
            <w:r>
              <w:rPr>
                <w:rFonts w:eastAsia="仿宋_GB2312"/>
                <w:kern w:val="0"/>
                <w:szCs w:val="21"/>
              </w:rPr>
              <w:t>HF</w:t>
            </w:r>
          </w:p>
        </w:tc>
        <w:tc>
          <w:tcPr>
            <w:tcW w:w="773" w:type="pct"/>
            <w:vAlign w:val="center"/>
          </w:tcPr>
          <w:p w14:paraId="5F935FB2">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1.7394</w:t>
            </w:r>
          </w:p>
        </w:tc>
        <w:tc>
          <w:tcPr>
            <w:tcW w:w="647" w:type="pct"/>
            <w:vAlign w:val="center"/>
          </w:tcPr>
          <w:p w14:paraId="00CEF752">
            <w:pPr>
              <w:keepNext w:val="0"/>
              <w:keepLines w:val="0"/>
              <w:widowControl/>
              <w:suppressLineNumbers w:val="0"/>
              <w:jc w:val="center"/>
              <w:textAlignment w:val="bottom"/>
              <w:rPr>
                <w:rFonts w:eastAsia="仿宋_GB2312"/>
                <w:kern w:val="0"/>
                <w:szCs w:val="21"/>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647" w:type="pct"/>
            <w:vAlign w:val="center"/>
          </w:tcPr>
          <w:p w14:paraId="5F8FA748">
            <w:pPr>
              <w:keepNext w:val="0"/>
              <w:keepLines w:val="0"/>
              <w:widowControl/>
              <w:suppressLineNumbers w:val="0"/>
              <w:jc w:val="center"/>
              <w:textAlignment w:val="bottom"/>
              <w:rPr>
                <w:rFonts w:eastAsia="仿宋_GB2312"/>
                <w:kern w:val="0"/>
                <w:szCs w:val="21"/>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647" w:type="pct"/>
            <w:vAlign w:val="center"/>
          </w:tcPr>
          <w:p w14:paraId="7190698F">
            <w:pPr>
              <w:keepNext w:val="0"/>
              <w:keepLines w:val="0"/>
              <w:widowControl/>
              <w:suppressLineNumbers w:val="0"/>
              <w:jc w:val="center"/>
              <w:textAlignment w:val="bottom"/>
              <w:rPr>
                <w:rFonts w:eastAsia="仿宋_GB2312"/>
                <w:kern w:val="0"/>
                <w:szCs w:val="21"/>
              </w:rPr>
            </w:pPr>
            <w:r>
              <w:rPr>
                <w:rFonts w:hint="default" w:ascii="Times New Roman" w:hAnsi="Times New Roman" w:eastAsia="宋体" w:cs="Times New Roman"/>
                <w:i w:val="0"/>
                <w:iCs w:val="0"/>
                <w:color w:val="000000"/>
                <w:kern w:val="0"/>
                <w:sz w:val="21"/>
                <w:szCs w:val="21"/>
                <w:u w:val="none"/>
                <w:lang w:val="en-US" w:eastAsia="zh-CN" w:bidi="ar"/>
              </w:rPr>
              <w:t>1.7394</w:t>
            </w:r>
          </w:p>
        </w:tc>
        <w:tc>
          <w:tcPr>
            <w:tcW w:w="647" w:type="pct"/>
            <w:vAlign w:val="center"/>
          </w:tcPr>
          <w:p w14:paraId="5C6A03AD">
            <w:pPr>
              <w:keepNext w:val="0"/>
              <w:keepLines w:val="0"/>
              <w:widowControl/>
              <w:suppressLineNumbers w:val="0"/>
              <w:jc w:val="center"/>
              <w:textAlignment w:val="bottom"/>
              <w:rPr>
                <w:rFonts w:eastAsia="仿宋_GB2312"/>
                <w:kern w:val="0"/>
                <w:szCs w:val="21"/>
              </w:rPr>
            </w:pPr>
            <w:r>
              <w:rPr>
                <w:rFonts w:hint="default" w:ascii="Times New Roman" w:hAnsi="Times New Roman" w:eastAsia="宋体" w:cs="Times New Roman"/>
                <w:i w:val="0"/>
                <w:iCs w:val="0"/>
                <w:color w:val="000000"/>
                <w:kern w:val="0"/>
                <w:sz w:val="21"/>
                <w:szCs w:val="21"/>
                <w:u w:val="none"/>
                <w:lang w:val="en-US" w:eastAsia="zh-CN" w:bidi="ar"/>
              </w:rPr>
              <w:t>0</w:t>
            </w:r>
          </w:p>
        </w:tc>
      </w:tr>
      <w:tr w14:paraId="5FFB90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88" w:type="pct"/>
            <w:vMerge w:val="continue"/>
            <w:shd w:val="clear" w:color="auto" w:fill="auto"/>
            <w:vAlign w:val="center"/>
          </w:tcPr>
          <w:p w14:paraId="61705640">
            <w:pPr>
              <w:widowControl/>
              <w:spacing w:line="240" w:lineRule="exact"/>
              <w:jc w:val="center"/>
              <w:rPr>
                <w:rFonts w:eastAsia="仿宋_GB2312"/>
                <w:kern w:val="0"/>
                <w:szCs w:val="21"/>
                <w:highlight w:val="yellow"/>
              </w:rPr>
            </w:pPr>
          </w:p>
        </w:tc>
        <w:tc>
          <w:tcPr>
            <w:tcW w:w="1147" w:type="pct"/>
            <w:shd w:val="clear" w:color="auto" w:fill="auto"/>
            <w:tcMar>
              <w:top w:w="15" w:type="dxa"/>
              <w:left w:w="15" w:type="dxa"/>
              <w:bottom w:w="0" w:type="dxa"/>
              <w:right w:w="15" w:type="dxa"/>
            </w:tcMar>
            <w:vAlign w:val="center"/>
          </w:tcPr>
          <w:p w14:paraId="10E296D3">
            <w:pPr>
              <w:widowControl/>
              <w:spacing w:line="240" w:lineRule="exact"/>
              <w:jc w:val="center"/>
              <w:rPr>
                <w:rFonts w:eastAsia="仿宋_GB2312"/>
                <w:kern w:val="0"/>
                <w:szCs w:val="21"/>
              </w:rPr>
            </w:pPr>
            <w:r>
              <w:rPr>
                <w:rFonts w:eastAsia="仿宋_GB2312"/>
                <w:kern w:val="0"/>
                <w:szCs w:val="21"/>
              </w:rPr>
              <w:t>颗粒物（烟粉尘）</w:t>
            </w:r>
          </w:p>
        </w:tc>
        <w:tc>
          <w:tcPr>
            <w:tcW w:w="773" w:type="pct"/>
            <w:vAlign w:val="center"/>
          </w:tcPr>
          <w:p w14:paraId="43039942">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17.822</w:t>
            </w:r>
          </w:p>
        </w:tc>
        <w:tc>
          <w:tcPr>
            <w:tcW w:w="647" w:type="pct"/>
            <w:vAlign w:val="center"/>
          </w:tcPr>
          <w:p w14:paraId="4031244C">
            <w:pPr>
              <w:keepNext w:val="0"/>
              <w:keepLines w:val="0"/>
              <w:widowControl/>
              <w:suppressLineNumbers w:val="0"/>
              <w:jc w:val="center"/>
              <w:textAlignment w:val="bottom"/>
              <w:rPr>
                <w:rFonts w:eastAsia="仿宋_GB2312"/>
                <w:kern w:val="0"/>
                <w:szCs w:val="21"/>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647" w:type="pct"/>
            <w:vAlign w:val="center"/>
          </w:tcPr>
          <w:p w14:paraId="7E5900F9">
            <w:pPr>
              <w:keepNext w:val="0"/>
              <w:keepLines w:val="0"/>
              <w:widowControl/>
              <w:suppressLineNumbers w:val="0"/>
              <w:jc w:val="center"/>
              <w:textAlignment w:val="bottom"/>
              <w:rPr>
                <w:rFonts w:eastAsia="仿宋_GB2312"/>
                <w:kern w:val="0"/>
                <w:szCs w:val="21"/>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647" w:type="pct"/>
            <w:vAlign w:val="center"/>
          </w:tcPr>
          <w:p w14:paraId="76DCB3F0">
            <w:pPr>
              <w:keepNext w:val="0"/>
              <w:keepLines w:val="0"/>
              <w:widowControl/>
              <w:suppressLineNumbers w:val="0"/>
              <w:jc w:val="center"/>
              <w:textAlignment w:val="bottom"/>
              <w:rPr>
                <w:rFonts w:eastAsia="仿宋_GB2312"/>
                <w:kern w:val="0"/>
                <w:szCs w:val="21"/>
              </w:rPr>
            </w:pPr>
            <w:r>
              <w:rPr>
                <w:rFonts w:hint="default" w:ascii="Times New Roman" w:hAnsi="Times New Roman" w:eastAsia="宋体" w:cs="Times New Roman"/>
                <w:i w:val="0"/>
                <w:iCs w:val="0"/>
                <w:color w:val="000000"/>
                <w:kern w:val="0"/>
                <w:sz w:val="21"/>
                <w:szCs w:val="21"/>
                <w:u w:val="none"/>
                <w:lang w:val="en-US" w:eastAsia="zh-CN" w:bidi="ar"/>
              </w:rPr>
              <w:t>17.822</w:t>
            </w:r>
          </w:p>
        </w:tc>
        <w:tc>
          <w:tcPr>
            <w:tcW w:w="647" w:type="pct"/>
            <w:vAlign w:val="center"/>
          </w:tcPr>
          <w:p w14:paraId="03E32057">
            <w:pPr>
              <w:keepNext w:val="0"/>
              <w:keepLines w:val="0"/>
              <w:widowControl/>
              <w:suppressLineNumbers w:val="0"/>
              <w:jc w:val="center"/>
              <w:textAlignment w:val="bottom"/>
              <w:rPr>
                <w:rFonts w:eastAsia="仿宋_GB2312"/>
                <w:kern w:val="0"/>
                <w:szCs w:val="21"/>
              </w:rPr>
            </w:pPr>
            <w:r>
              <w:rPr>
                <w:rFonts w:hint="default" w:ascii="Times New Roman" w:hAnsi="Times New Roman" w:eastAsia="宋体" w:cs="Times New Roman"/>
                <w:i w:val="0"/>
                <w:iCs w:val="0"/>
                <w:color w:val="000000"/>
                <w:kern w:val="0"/>
                <w:sz w:val="21"/>
                <w:szCs w:val="21"/>
                <w:u w:val="none"/>
                <w:lang w:val="en-US" w:eastAsia="zh-CN" w:bidi="ar"/>
              </w:rPr>
              <w:t>0</w:t>
            </w:r>
          </w:p>
        </w:tc>
      </w:tr>
      <w:tr w14:paraId="0F7995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88" w:type="pct"/>
            <w:vMerge w:val="continue"/>
            <w:shd w:val="clear" w:color="auto" w:fill="auto"/>
            <w:vAlign w:val="center"/>
          </w:tcPr>
          <w:p w14:paraId="327439F9">
            <w:pPr>
              <w:widowControl/>
              <w:spacing w:line="240" w:lineRule="exact"/>
              <w:jc w:val="center"/>
              <w:rPr>
                <w:rFonts w:eastAsia="仿宋_GB2312"/>
                <w:kern w:val="0"/>
                <w:szCs w:val="21"/>
                <w:highlight w:val="yellow"/>
              </w:rPr>
            </w:pPr>
          </w:p>
        </w:tc>
        <w:tc>
          <w:tcPr>
            <w:tcW w:w="1147" w:type="pct"/>
            <w:shd w:val="clear" w:color="auto" w:fill="auto"/>
            <w:tcMar>
              <w:top w:w="15" w:type="dxa"/>
              <w:left w:w="15" w:type="dxa"/>
              <w:bottom w:w="0" w:type="dxa"/>
              <w:right w:w="15" w:type="dxa"/>
            </w:tcMar>
            <w:vAlign w:val="center"/>
          </w:tcPr>
          <w:p w14:paraId="40CB9219">
            <w:pPr>
              <w:widowControl/>
              <w:spacing w:line="240" w:lineRule="exact"/>
              <w:jc w:val="center"/>
              <w:rPr>
                <w:rFonts w:eastAsia="仿宋_GB2312"/>
                <w:kern w:val="0"/>
                <w:szCs w:val="21"/>
              </w:rPr>
            </w:pPr>
            <w:r>
              <w:rPr>
                <w:rFonts w:eastAsia="仿宋_GB2312"/>
                <w:kern w:val="0"/>
                <w:szCs w:val="21"/>
              </w:rPr>
              <w:t>硫酸雾</w:t>
            </w:r>
          </w:p>
        </w:tc>
        <w:tc>
          <w:tcPr>
            <w:tcW w:w="773" w:type="pct"/>
            <w:vAlign w:val="center"/>
          </w:tcPr>
          <w:p w14:paraId="019FD370">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0.6043</w:t>
            </w:r>
          </w:p>
        </w:tc>
        <w:tc>
          <w:tcPr>
            <w:tcW w:w="647" w:type="pct"/>
            <w:vAlign w:val="center"/>
          </w:tcPr>
          <w:p w14:paraId="6BEAD39B">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647" w:type="pct"/>
            <w:vAlign w:val="center"/>
          </w:tcPr>
          <w:p w14:paraId="7081BD89">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647" w:type="pct"/>
            <w:vAlign w:val="center"/>
          </w:tcPr>
          <w:p w14:paraId="6D9D368D">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0.6043</w:t>
            </w:r>
          </w:p>
        </w:tc>
        <w:tc>
          <w:tcPr>
            <w:tcW w:w="647" w:type="pct"/>
            <w:vAlign w:val="center"/>
          </w:tcPr>
          <w:p w14:paraId="7391F4B3">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w:t>
            </w:r>
          </w:p>
        </w:tc>
      </w:tr>
      <w:tr w14:paraId="7EAF7E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88" w:type="pct"/>
            <w:vMerge w:val="continue"/>
            <w:shd w:val="clear" w:color="auto" w:fill="auto"/>
            <w:vAlign w:val="center"/>
          </w:tcPr>
          <w:p w14:paraId="4591D78C">
            <w:pPr>
              <w:widowControl/>
              <w:spacing w:line="240" w:lineRule="exact"/>
              <w:jc w:val="center"/>
              <w:rPr>
                <w:rFonts w:eastAsia="仿宋_GB2312"/>
                <w:kern w:val="0"/>
                <w:szCs w:val="21"/>
                <w:highlight w:val="yellow"/>
              </w:rPr>
            </w:pPr>
          </w:p>
        </w:tc>
        <w:tc>
          <w:tcPr>
            <w:tcW w:w="1147" w:type="pct"/>
            <w:shd w:val="clear" w:color="auto" w:fill="auto"/>
            <w:tcMar>
              <w:top w:w="15" w:type="dxa"/>
              <w:left w:w="15" w:type="dxa"/>
              <w:bottom w:w="0" w:type="dxa"/>
              <w:right w:w="15" w:type="dxa"/>
            </w:tcMar>
            <w:vAlign w:val="center"/>
          </w:tcPr>
          <w:p w14:paraId="79C085D8">
            <w:pPr>
              <w:widowControl/>
              <w:spacing w:line="240" w:lineRule="exact"/>
              <w:jc w:val="center"/>
              <w:rPr>
                <w:rFonts w:eastAsia="仿宋_GB2312"/>
                <w:kern w:val="0"/>
                <w:szCs w:val="21"/>
              </w:rPr>
            </w:pPr>
            <w:r>
              <w:rPr>
                <w:rFonts w:eastAsia="仿宋_GB2312"/>
                <w:kern w:val="0"/>
                <w:szCs w:val="21"/>
              </w:rPr>
              <w:t>HCl</w:t>
            </w:r>
          </w:p>
        </w:tc>
        <w:tc>
          <w:tcPr>
            <w:tcW w:w="773" w:type="pct"/>
            <w:vAlign w:val="center"/>
          </w:tcPr>
          <w:p w14:paraId="66BF19C7">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14.0591</w:t>
            </w:r>
          </w:p>
        </w:tc>
        <w:tc>
          <w:tcPr>
            <w:tcW w:w="647" w:type="pct"/>
            <w:vAlign w:val="center"/>
          </w:tcPr>
          <w:p w14:paraId="6E09526E">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647" w:type="pct"/>
            <w:vAlign w:val="center"/>
          </w:tcPr>
          <w:p w14:paraId="018751EC">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647" w:type="pct"/>
            <w:vAlign w:val="center"/>
          </w:tcPr>
          <w:p w14:paraId="42BED7A3">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14.0591</w:t>
            </w:r>
          </w:p>
        </w:tc>
        <w:tc>
          <w:tcPr>
            <w:tcW w:w="647" w:type="pct"/>
            <w:vAlign w:val="center"/>
          </w:tcPr>
          <w:p w14:paraId="2D94ECFD">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w:t>
            </w:r>
          </w:p>
        </w:tc>
      </w:tr>
      <w:tr w14:paraId="540A05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88" w:type="pct"/>
            <w:vMerge w:val="continue"/>
            <w:shd w:val="clear" w:color="auto" w:fill="auto"/>
            <w:vAlign w:val="center"/>
          </w:tcPr>
          <w:p w14:paraId="7EBC692B">
            <w:pPr>
              <w:widowControl/>
              <w:spacing w:line="240" w:lineRule="exact"/>
              <w:jc w:val="center"/>
              <w:rPr>
                <w:rFonts w:eastAsia="仿宋_GB2312"/>
                <w:kern w:val="0"/>
                <w:szCs w:val="21"/>
                <w:highlight w:val="yellow"/>
              </w:rPr>
            </w:pPr>
          </w:p>
        </w:tc>
        <w:tc>
          <w:tcPr>
            <w:tcW w:w="1147" w:type="pct"/>
            <w:shd w:val="clear" w:color="auto" w:fill="auto"/>
            <w:tcMar>
              <w:top w:w="15" w:type="dxa"/>
              <w:left w:w="15" w:type="dxa"/>
              <w:bottom w:w="0" w:type="dxa"/>
              <w:right w:w="15" w:type="dxa"/>
            </w:tcMar>
            <w:vAlign w:val="center"/>
          </w:tcPr>
          <w:p w14:paraId="348C8C88">
            <w:pPr>
              <w:widowControl/>
              <w:spacing w:line="240" w:lineRule="exact"/>
              <w:jc w:val="center"/>
              <w:rPr>
                <w:rFonts w:eastAsia="仿宋_GB2312"/>
                <w:kern w:val="0"/>
                <w:szCs w:val="21"/>
              </w:rPr>
            </w:pPr>
            <w:r>
              <w:rPr>
                <w:rFonts w:eastAsia="仿宋_GB2312"/>
                <w:kern w:val="0"/>
                <w:szCs w:val="21"/>
              </w:rPr>
              <w:t>硝酸雾</w:t>
            </w:r>
          </w:p>
        </w:tc>
        <w:tc>
          <w:tcPr>
            <w:tcW w:w="773" w:type="pct"/>
            <w:vAlign w:val="center"/>
          </w:tcPr>
          <w:p w14:paraId="2105C56A">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0.3714</w:t>
            </w:r>
          </w:p>
        </w:tc>
        <w:tc>
          <w:tcPr>
            <w:tcW w:w="647" w:type="pct"/>
            <w:vAlign w:val="center"/>
          </w:tcPr>
          <w:p w14:paraId="47A8C121">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647" w:type="pct"/>
            <w:vAlign w:val="center"/>
          </w:tcPr>
          <w:p w14:paraId="530159FE">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647" w:type="pct"/>
            <w:vAlign w:val="center"/>
          </w:tcPr>
          <w:p w14:paraId="7F1BEF95">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0.3714</w:t>
            </w:r>
          </w:p>
        </w:tc>
        <w:tc>
          <w:tcPr>
            <w:tcW w:w="647" w:type="pct"/>
            <w:vAlign w:val="center"/>
          </w:tcPr>
          <w:p w14:paraId="043FA1D7">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w:t>
            </w:r>
          </w:p>
        </w:tc>
      </w:tr>
      <w:tr w14:paraId="26576C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88" w:type="pct"/>
            <w:vMerge w:val="continue"/>
            <w:shd w:val="clear" w:color="auto" w:fill="auto"/>
            <w:vAlign w:val="center"/>
          </w:tcPr>
          <w:p w14:paraId="44715245">
            <w:pPr>
              <w:widowControl/>
              <w:spacing w:line="240" w:lineRule="exact"/>
              <w:jc w:val="center"/>
              <w:rPr>
                <w:rFonts w:eastAsia="仿宋_GB2312"/>
                <w:kern w:val="0"/>
                <w:szCs w:val="21"/>
                <w:highlight w:val="yellow"/>
              </w:rPr>
            </w:pPr>
          </w:p>
        </w:tc>
        <w:tc>
          <w:tcPr>
            <w:tcW w:w="1147" w:type="pct"/>
            <w:shd w:val="clear" w:color="auto" w:fill="auto"/>
            <w:tcMar>
              <w:top w:w="15" w:type="dxa"/>
              <w:left w:w="15" w:type="dxa"/>
              <w:bottom w:w="0" w:type="dxa"/>
              <w:right w:w="15" w:type="dxa"/>
            </w:tcMar>
            <w:vAlign w:val="center"/>
          </w:tcPr>
          <w:p w14:paraId="5AD2BBA2">
            <w:pPr>
              <w:widowControl/>
              <w:spacing w:line="240" w:lineRule="exact"/>
              <w:jc w:val="center"/>
              <w:rPr>
                <w:rFonts w:eastAsia="仿宋_GB2312"/>
                <w:kern w:val="0"/>
                <w:szCs w:val="21"/>
              </w:rPr>
            </w:pPr>
            <w:r>
              <w:rPr>
                <w:rFonts w:eastAsia="仿宋_GB2312"/>
                <w:kern w:val="0"/>
                <w:szCs w:val="21"/>
              </w:rPr>
              <w:t>氰化氢</w:t>
            </w:r>
          </w:p>
        </w:tc>
        <w:tc>
          <w:tcPr>
            <w:tcW w:w="773" w:type="pct"/>
            <w:vAlign w:val="center"/>
          </w:tcPr>
          <w:p w14:paraId="6EE8F87A">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0.02</w:t>
            </w:r>
          </w:p>
        </w:tc>
        <w:tc>
          <w:tcPr>
            <w:tcW w:w="647" w:type="pct"/>
            <w:vAlign w:val="center"/>
          </w:tcPr>
          <w:p w14:paraId="3F0EE94C">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647" w:type="pct"/>
            <w:vAlign w:val="center"/>
          </w:tcPr>
          <w:p w14:paraId="7B84DCB1">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647" w:type="pct"/>
            <w:vAlign w:val="center"/>
          </w:tcPr>
          <w:p w14:paraId="4E74F2E1">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0.02</w:t>
            </w:r>
          </w:p>
        </w:tc>
        <w:tc>
          <w:tcPr>
            <w:tcW w:w="647" w:type="pct"/>
            <w:vAlign w:val="center"/>
          </w:tcPr>
          <w:p w14:paraId="71F0CBBC">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w:t>
            </w:r>
          </w:p>
        </w:tc>
      </w:tr>
      <w:tr w14:paraId="592587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88" w:type="pct"/>
            <w:vMerge w:val="continue"/>
            <w:shd w:val="clear" w:color="auto" w:fill="auto"/>
            <w:vAlign w:val="center"/>
          </w:tcPr>
          <w:p w14:paraId="0696254E">
            <w:pPr>
              <w:widowControl/>
              <w:spacing w:line="240" w:lineRule="exact"/>
              <w:jc w:val="center"/>
              <w:rPr>
                <w:rFonts w:eastAsia="仿宋_GB2312"/>
                <w:kern w:val="0"/>
                <w:szCs w:val="21"/>
                <w:highlight w:val="yellow"/>
              </w:rPr>
            </w:pPr>
          </w:p>
        </w:tc>
        <w:tc>
          <w:tcPr>
            <w:tcW w:w="1147" w:type="pct"/>
            <w:shd w:val="clear" w:color="auto" w:fill="auto"/>
            <w:tcMar>
              <w:top w:w="15" w:type="dxa"/>
              <w:left w:w="15" w:type="dxa"/>
              <w:bottom w:w="0" w:type="dxa"/>
              <w:right w:w="15" w:type="dxa"/>
            </w:tcMar>
            <w:vAlign w:val="center"/>
          </w:tcPr>
          <w:p w14:paraId="2A40FEBF">
            <w:pPr>
              <w:widowControl/>
              <w:spacing w:line="240" w:lineRule="exact"/>
              <w:jc w:val="center"/>
              <w:rPr>
                <w:rFonts w:eastAsia="仿宋_GB2312"/>
                <w:kern w:val="0"/>
                <w:szCs w:val="21"/>
              </w:rPr>
            </w:pPr>
            <w:r>
              <w:rPr>
                <w:rFonts w:eastAsia="仿宋_GB2312"/>
                <w:kern w:val="0"/>
                <w:szCs w:val="21"/>
              </w:rPr>
              <w:t>铬酸雾</w:t>
            </w:r>
          </w:p>
        </w:tc>
        <w:tc>
          <w:tcPr>
            <w:tcW w:w="773" w:type="pct"/>
            <w:vAlign w:val="center"/>
          </w:tcPr>
          <w:p w14:paraId="7B687477">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0.001</w:t>
            </w:r>
          </w:p>
        </w:tc>
        <w:tc>
          <w:tcPr>
            <w:tcW w:w="647" w:type="pct"/>
            <w:vAlign w:val="center"/>
          </w:tcPr>
          <w:p w14:paraId="733F843F">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647" w:type="pct"/>
            <w:vAlign w:val="center"/>
          </w:tcPr>
          <w:p w14:paraId="76DEC411">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647" w:type="pct"/>
            <w:vAlign w:val="center"/>
          </w:tcPr>
          <w:p w14:paraId="14FB7216">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0.001</w:t>
            </w:r>
          </w:p>
        </w:tc>
        <w:tc>
          <w:tcPr>
            <w:tcW w:w="647" w:type="pct"/>
            <w:vAlign w:val="center"/>
          </w:tcPr>
          <w:p w14:paraId="10AB10BE">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w:t>
            </w:r>
          </w:p>
        </w:tc>
      </w:tr>
      <w:tr w14:paraId="40A198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88" w:type="pct"/>
            <w:vMerge w:val="continue"/>
            <w:shd w:val="clear" w:color="auto" w:fill="auto"/>
            <w:vAlign w:val="center"/>
          </w:tcPr>
          <w:p w14:paraId="333A0C57">
            <w:pPr>
              <w:widowControl/>
              <w:spacing w:line="240" w:lineRule="exact"/>
              <w:jc w:val="center"/>
              <w:rPr>
                <w:rFonts w:eastAsia="仿宋_GB2312"/>
                <w:kern w:val="0"/>
                <w:szCs w:val="21"/>
                <w:highlight w:val="yellow"/>
              </w:rPr>
            </w:pPr>
          </w:p>
        </w:tc>
        <w:tc>
          <w:tcPr>
            <w:tcW w:w="1147" w:type="pct"/>
            <w:shd w:val="clear" w:color="auto" w:fill="auto"/>
            <w:tcMar>
              <w:top w:w="15" w:type="dxa"/>
              <w:left w:w="15" w:type="dxa"/>
              <w:bottom w:w="0" w:type="dxa"/>
              <w:right w:w="15" w:type="dxa"/>
            </w:tcMar>
            <w:vAlign w:val="center"/>
          </w:tcPr>
          <w:p w14:paraId="09C44EFA">
            <w:pPr>
              <w:widowControl/>
              <w:spacing w:line="240" w:lineRule="exact"/>
              <w:jc w:val="center"/>
              <w:rPr>
                <w:rFonts w:eastAsia="仿宋_GB2312"/>
                <w:kern w:val="0"/>
                <w:szCs w:val="21"/>
              </w:rPr>
            </w:pPr>
            <w:r>
              <w:rPr>
                <w:rFonts w:eastAsia="仿宋_GB2312"/>
                <w:kern w:val="0"/>
                <w:szCs w:val="21"/>
              </w:rPr>
              <w:t>异丙醇</w:t>
            </w:r>
          </w:p>
        </w:tc>
        <w:tc>
          <w:tcPr>
            <w:tcW w:w="773" w:type="pct"/>
            <w:vAlign w:val="center"/>
          </w:tcPr>
          <w:p w14:paraId="68DF56F3">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1.39764</w:t>
            </w:r>
          </w:p>
        </w:tc>
        <w:tc>
          <w:tcPr>
            <w:tcW w:w="647" w:type="pct"/>
            <w:vAlign w:val="center"/>
          </w:tcPr>
          <w:p w14:paraId="439436F8">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0.39</w:t>
            </w:r>
          </w:p>
        </w:tc>
        <w:tc>
          <w:tcPr>
            <w:tcW w:w="647" w:type="pct"/>
            <w:vAlign w:val="center"/>
          </w:tcPr>
          <w:p w14:paraId="0FD1BC2E">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1.5</w:t>
            </w:r>
          </w:p>
        </w:tc>
        <w:tc>
          <w:tcPr>
            <w:tcW w:w="647" w:type="pct"/>
            <w:vAlign w:val="center"/>
          </w:tcPr>
          <w:p w14:paraId="67781789">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2.50764</w:t>
            </w:r>
          </w:p>
        </w:tc>
        <w:tc>
          <w:tcPr>
            <w:tcW w:w="647" w:type="pct"/>
            <w:vAlign w:val="center"/>
          </w:tcPr>
          <w:p w14:paraId="7D5B276C">
            <w:pPr>
              <w:keepNext w:val="0"/>
              <w:keepLines w:val="0"/>
              <w:widowControl/>
              <w:suppressLineNumbers w:val="0"/>
              <w:jc w:val="center"/>
              <w:textAlignment w:val="bottom"/>
              <w:rPr>
                <w:szCs w:val="21"/>
              </w:rPr>
            </w:pPr>
            <w:r>
              <w:rPr>
                <w:rFonts w:hint="eastAsia"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1.11</w:t>
            </w:r>
          </w:p>
        </w:tc>
      </w:tr>
      <w:tr w14:paraId="248BC7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88" w:type="pct"/>
            <w:vMerge w:val="continue"/>
            <w:shd w:val="clear" w:color="auto" w:fill="auto"/>
            <w:vAlign w:val="center"/>
          </w:tcPr>
          <w:p w14:paraId="65701594">
            <w:pPr>
              <w:widowControl/>
              <w:spacing w:line="240" w:lineRule="exact"/>
              <w:jc w:val="center"/>
              <w:rPr>
                <w:rFonts w:eastAsia="仿宋_GB2312"/>
                <w:kern w:val="0"/>
                <w:szCs w:val="21"/>
                <w:highlight w:val="yellow"/>
              </w:rPr>
            </w:pPr>
          </w:p>
        </w:tc>
        <w:tc>
          <w:tcPr>
            <w:tcW w:w="1147" w:type="pct"/>
            <w:shd w:val="clear" w:color="auto" w:fill="auto"/>
            <w:tcMar>
              <w:top w:w="15" w:type="dxa"/>
              <w:left w:w="15" w:type="dxa"/>
              <w:bottom w:w="0" w:type="dxa"/>
              <w:right w:w="15" w:type="dxa"/>
            </w:tcMar>
            <w:vAlign w:val="center"/>
          </w:tcPr>
          <w:p w14:paraId="33BE46BD">
            <w:pPr>
              <w:widowControl/>
              <w:spacing w:line="240" w:lineRule="exact"/>
              <w:jc w:val="center"/>
              <w:rPr>
                <w:rFonts w:eastAsia="仿宋_GB2312"/>
                <w:kern w:val="0"/>
                <w:szCs w:val="21"/>
              </w:rPr>
            </w:pPr>
            <w:r>
              <w:rPr>
                <w:rFonts w:eastAsia="仿宋_GB2312"/>
                <w:kern w:val="0"/>
                <w:szCs w:val="21"/>
              </w:rPr>
              <w:t>甲醛</w:t>
            </w:r>
          </w:p>
        </w:tc>
        <w:tc>
          <w:tcPr>
            <w:tcW w:w="773" w:type="pct"/>
            <w:vAlign w:val="center"/>
          </w:tcPr>
          <w:p w14:paraId="777A3749">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0.045</w:t>
            </w:r>
          </w:p>
        </w:tc>
        <w:tc>
          <w:tcPr>
            <w:tcW w:w="647" w:type="pct"/>
            <w:vAlign w:val="center"/>
          </w:tcPr>
          <w:p w14:paraId="0A5D688D">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647" w:type="pct"/>
            <w:vAlign w:val="center"/>
          </w:tcPr>
          <w:p w14:paraId="554EB52F">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647" w:type="pct"/>
            <w:vAlign w:val="center"/>
          </w:tcPr>
          <w:p w14:paraId="7D5D642C">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0.045</w:t>
            </w:r>
          </w:p>
        </w:tc>
        <w:tc>
          <w:tcPr>
            <w:tcW w:w="647" w:type="pct"/>
            <w:vAlign w:val="center"/>
          </w:tcPr>
          <w:p w14:paraId="570FC734">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w:t>
            </w:r>
          </w:p>
        </w:tc>
      </w:tr>
      <w:tr w14:paraId="302253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88" w:type="pct"/>
            <w:vMerge w:val="continue"/>
            <w:shd w:val="clear" w:color="auto" w:fill="auto"/>
            <w:vAlign w:val="center"/>
          </w:tcPr>
          <w:p w14:paraId="5D17459D">
            <w:pPr>
              <w:widowControl/>
              <w:spacing w:line="240" w:lineRule="exact"/>
              <w:jc w:val="center"/>
              <w:rPr>
                <w:rFonts w:eastAsia="仿宋_GB2312"/>
                <w:kern w:val="0"/>
                <w:szCs w:val="21"/>
                <w:highlight w:val="yellow"/>
              </w:rPr>
            </w:pPr>
          </w:p>
        </w:tc>
        <w:tc>
          <w:tcPr>
            <w:tcW w:w="1147" w:type="pct"/>
            <w:shd w:val="clear" w:color="auto" w:fill="auto"/>
            <w:tcMar>
              <w:top w:w="15" w:type="dxa"/>
              <w:left w:w="15" w:type="dxa"/>
              <w:bottom w:w="0" w:type="dxa"/>
              <w:right w:w="15" w:type="dxa"/>
            </w:tcMar>
            <w:vAlign w:val="center"/>
          </w:tcPr>
          <w:p w14:paraId="51B98D53">
            <w:pPr>
              <w:widowControl/>
              <w:spacing w:line="240" w:lineRule="exact"/>
              <w:jc w:val="center"/>
              <w:rPr>
                <w:rFonts w:eastAsia="仿宋_GB2312"/>
                <w:kern w:val="0"/>
                <w:szCs w:val="21"/>
              </w:rPr>
            </w:pPr>
            <w:r>
              <w:rPr>
                <w:rFonts w:eastAsia="仿宋_GB2312"/>
                <w:kern w:val="0"/>
                <w:szCs w:val="21"/>
              </w:rPr>
              <w:t>甲苯</w:t>
            </w:r>
          </w:p>
        </w:tc>
        <w:tc>
          <w:tcPr>
            <w:tcW w:w="773" w:type="pct"/>
            <w:vAlign w:val="center"/>
          </w:tcPr>
          <w:p w14:paraId="1DE37C08">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0.544</w:t>
            </w:r>
          </w:p>
        </w:tc>
        <w:tc>
          <w:tcPr>
            <w:tcW w:w="647" w:type="pct"/>
            <w:vAlign w:val="center"/>
          </w:tcPr>
          <w:p w14:paraId="78AD027C">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0.24</w:t>
            </w:r>
          </w:p>
        </w:tc>
        <w:tc>
          <w:tcPr>
            <w:tcW w:w="647" w:type="pct"/>
            <w:vAlign w:val="center"/>
          </w:tcPr>
          <w:p w14:paraId="047A84C9">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0.82</w:t>
            </w:r>
          </w:p>
        </w:tc>
        <w:tc>
          <w:tcPr>
            <w:tcW w:w="647" w:type="pct"/>
            <w:vAlign w:val="center"/>
          </w:tcPr>
          <w:p w14:paraId="61269ED9">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1.124</w:t>
            </w:r>
          </w:p>
        </w:tc>
        <w:tc>
          <w:tcPr>
            <w:tcW w:w="647" w:type="pct"/>
            <w:vAlign w:val="center"/>
          </w:tcPr>
          <w:p w14:paraId="485EC1E7">
            <w:pPr>
              <w:keepNext w:val="0"/>
              <w:keepLines w:val="0"/>
              <w:widowControl/>
              <w:suppressLineNumbers w:val="0"/>
              <w:jc w:val="center"/>
              <w:textAlignment w:val="bottom"/>
              <w:rPr>
                <w:szCs w:val="21"/>
              </w:rPr>
            </w:pPr>
            <w:r>
              <w:rPr>
                <w:rFonts w:hint="eastAsia"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0.58</w:t>
            </w:r>
          </w:p>
        </w:tc>
      </w:tr>
      <w:tr w14:paraId="25C96A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88" w:type="pct"/>
            <w:vMerge w:val="continue"/>
            <w:shd w:val="clear" w:color="auto" w:fill="auto"/>
            <w:vAlign w:val="center"/>
          </w:tcPr>
          <w:p w14:paraId="18BEB9B2">
            <w:pPr>
              <w:widowControl/>
              <w:spacing w:line="240" w:lineRule="exact"/>
              <w:jc w:val="center"/>
              <w:rPr>
                <w:rFonts w:eastAsia="仿宋_GB2312"/>
                <w:kern w:val="0"/>
                <w:szCs w:val="21"/>
                <w:highlight w:val="yellow"/>
              </w:rPr>
            </w:pPr>
          </w:p>
        </w:tc>
        <w:tc>
          <w:tcPr>
            <w:tcW w:w="1147" w:type="pct"/>
            <w:shd w:val="clear" w:color="auto" w:fill="auto"/>
            <w:tcMar>
              <w:top w:w="15" w:type="dxa"/>
              <w:left w:w="15" w:type="dxa"/>
              <w:bottom w:w="0" w:type="dxa"/>
              <w:right w:w="15" w:type="dxa"/>
            </w:tcMar>
            <w:vAlign w:val="center"/>
          </w:tcPr>
          <w:p w14:paraId="60CB95FD">
            <w:pPr>
              <w:widowControl/>
              <w:spacing w:line="240" w:lineRule="exact"/>
              <w:jc w:val="center"/>
              <w:rPr>
                <w:rFonts w:eastAsia="仿宋_GB2312"/>
                <w:kern w:val="0"/>
                <w:szCs w:val="21"/>
              </w:rPr>
            </w:pPr>
            <w:r>
              <w:rPr>
                <w:rFonts w:eastAsia="仿宋_GB2312"/>
                <w:kern w:val="0"/>
                <w:szCs w:val="21"/>
              </w:rPr>
              <w:t>二甲苯</w:t>
            </w:r>
          </w:p>
        </w:tc>
        <w:tc>
          <w:tcPr>
            <w:tcW w:w="773" w:type="pct"/>
            <w:vAlign w:val="center"/>
          </w:tcPr>
          <w:p w14:paraId="7D2CC0B4">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0.503</w:t>
            </w:r>
          </w:p>
        </w:tc>
        <w:tc>
          <w:tcPr>
            <w:tcW w:w="647" w:type="pct"/>
            <w:vAlign w:val="center"/>
          </w:tcPr>
          <w:p w14:paraId="7F28F0F5">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0.19</w:t>
            </w:r>
          </w:p>
        </w:tc>
        <w:tc>
          <w:tcPr>
            <w:tcW w:w="647" w:type="pct"/>
            <w:vAlign w:val="center"/>
          </w:tcPr>
          <w:p w14:paraId="0F2C6AF5">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0.86</w:t>
            </w:r>
          </w:p>
        </w:tc>
        <w:tc>
          <w:tcPr>
            <w:tcW w:w="647" w:type="pct"/>
            <w:vAlign w:val="center"/>
          </w:tcPr>
          <w:p w14:paraId="272399DD">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1.173</w:t>
            </w:r>
          </w:p>
        </w:tc>
        <w:tc>
          <w:tcPr>
            <w:tcW w:w="647" w:type="pct"/>
            <w:vAlign w:val="center"/>
          </w:tcPr>
          <w:p w14:paraId="3452024E">
            <w:pPr>
              <w:keepNext w:val="0"/>
              <w:keepLines w:val="0"/>
              <w:widowControl/>
              <w:suppressLineNumbers w:val="0"/>
              <w:jc w:val="center"/>
              <w:textAlignment w:val="bottom"/>
              <w:rPr>
                <w:szCs w:val="21"/>
              </w:rPr>
            </w:pPr>
            <w:r>
              <w:rPr>
                <w:rFonts w:hint="eastAsia"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0.67</w:t>
            </w:r>
          </w:p>
        </w:tc>
      </w:tr>
      <w:tr w14:paraId="732C0D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88" w:type="pct"/>
            <w:vMerge w:val="continue"/>
            <w:shd w:val="clear" w:color="auto" w:fill="auto"/>
            <w:vAlign w:val="center"/>
          </w:tcPr>
          <w:p w14:paraId="6A3A6021">
            <w:pPr>
              <w:widowControl/>
              <w:spacing w:line="240" w:lineRule="exact"/>
              <w:jc w:val="center"/>
              <w:rPr>
                <w:rFonts w:eastAsia="仿宋_GB2312"/>
                <w:kern w:val="0"/>
                <w:szCs w:val="21"/>
                <w:highlight w:val="yellow"/>
              </w:rPr>
            </w:pPr>
          </w:p>
        </w:tc>
        <w:tc>
          <w:tcPr>
            <w:tcW w:w="1147" w:type="pct"/>
            <w:shd w:val="clear" w:color="auto" w:fill="auto"/>
            <w:tcMar>
              <w:top w:w="15" w:type="dxa"/>
              <w:left w:w="15" w:type="dxa"/>
              <w:bottom w:w="0" w:type="dxa"/>
              <w:right w:w="15" w:type="dxa"/>
            </w:tcMar>
            <w:vAlign w:val="center"/>
          </w:tcPr>
          <w:p w14:paraId="375809E1">
            <w:pPr>
              <w:widowControl/>
              <w:spacing w:line="240" w:lineRule="exact"/>
              <w:jc w:val="center"/>
              <w:rPr>
                <w:rFonts w:eastAsia="仿宋_GB2312"/>
                <w:kern w:val="0"/>
                <w:szCs w:val="21"/>
              </w:rPr>
            </w:pPr>
            <w:r>
              <w:rPr>
                <w:rFonts w:eastAsia="仿宋_GB2312"/>
                <w:kern w:val="0"/>
                <w:szCs w:val="21"/>
              </w:rPr>
              <w:t>乙酸乙酯</w:t>
            </w:r>
          </w:p>
        </w:tc>
        <w:tc>
          <w:tcPr>
            <w:tcW w:w="773" w:type="pct"/>
            <w:vAlign w:val="center"/>
          </w:tcPr>
          <w:p w14:paraId="1FB29331">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0.776</w:t>
            </w:r>
          </w:p>
        </w:tc>
        <w:tc>
          <w:tcPr>
            <w:tcW w:w="647" w:type="pct"/>
            <w:vAlign w:val="center"/>
          </w:tcPr>
          <w:p w14:paraId="1B067CB2">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0.34</w:t>
            </w:r>
          </w:p>
        </w:tc>
        <w:tc>
          <w:tcPr>
            <w:tcW w:w="647" w:type="pct"/>
            <w:vAlign w:val="center"/>
          </w:tcPr>
          <w:p w14:paraId="2F39913E">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1.14</w:t>
            </w:r>
          </w:p>
        </w:tc>
        <w:tc>
          <w:tcPr>
            <w:tcW w:w="647" w:type="pct"/>
            <w:vAlign w:val="center"/>
          </w:tcPr>
          <w:p w14:paraId="1C9543DF">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1.576</w:t>
            </w:r>
          </w:p>
        </w:tc>
        <w:tc>
          <w:tcPr>
            <w:tcW w:w="647" w:type="pct"/>
            <w:vAlign w:val="center"/>
          </w:tcPr>
          <w:p w14:paraId="4EECDAAB">
            <w:pPr>
              <w:keepNext w:val="0"/>
              <w:keepLines w:val="0"/>
              <w:widowControl/>
              <w:suppressLineNumbers w:val="0"/>
              <w:jc w:val="center"/>
              <w:textAlignment w:val="bottom"/>
              <w:rPr>
                <w:szCs w:val="21"/>
              </w:rPr>
            </w:pPr>
            <w:r>
              <w:rPr>
                <w:rFonts w:hint="eastAsia"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0.8</w:t>
            </w:r>
          </w:p>
        </w:tc>
      </w:tr>
      <w:tr w14:paraId="044410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88" w:type="pct"/>
            <w:vMerge w:val="continue"/>
            <w:shd w:val="clear" w:color="auto" w:fill="auto"/>
            <w:vAlign w:val="center"/>
          </w:tcPr>
          <w:p w14:paraId="3DFB5DA2">
            <w:pPr>
              <w:widowControl/>
              <w:spacing w:line="240" w:lineRule="exact"/>
              <w:jc w:val="center"/>
              <w:rPr>
                <w:rFonts w:eastAsia="仿宋_GB2312"/>
                <w:kern w:val="0"/>
                <w:szCs w:val="21"/>
                <w:highlight w:val="yellow"/>
              </w:rPr>
            </w:pPr>
          </w:p>
        </w:tc>
        <w:tc>
          <w:tcPr>
            <w:tcW w:w="1147" w:type="pct"/>
            <w:shd w:val="clear" w:color="auto" w:fill="auto"/>
            <w:tcMar>
              <w:top w:w="15" w:type="dxa"/>
              <w:left w:w="15" w:type="dxa"/>
              <w:bottom w:w="0" w:type="dxa"/>
              <w:right w:w="15" w:type="dxa"/>
            </w:tcMar>
            <w:vAlign w:val="center"/>
          </w:tcPr>
          <w:p w14:paraId="3040FDBD">
            <w:pPr>
              <w:widowControl/>
              <w:spacing w:line="240" w:lineRule="exact"/>
              <w:jc w:val="center"/>
              <w:rPr>
                <w:rFonts w:eastAsia="仿宋_GB2312"/>
                <w:kern w:val="0"/>
                <w:szCs w:val="21"/>
              </w:rPr>
            </w:pPr>
            <w:r>
              <w:rPr>
                <w:rFonts w:eastAsia="仿宋_GB2312"/>
                <w:kern w:val="0"/>
                <w:szCs w:val="21"/>
              </w:rPr>
              <w:t>乙酸丁酯</w:t>
            </w:r>
          </w:p>
        </w:tc>
        <w:tc>
          <w:tcPr>
            <w:tcW w:w="773" w:type="pct"/>
            <w:vAlign w:val="center"/>
          </w:tcPr>
          <w:p w14:paraId="259E9249">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0.588</w:t>
            </w:r>
          </w:p>
        </w:tc>
        <w:tc>
          <w:tcPr>
            <w:tcW w:w="647" w:type="pct"/>
            <w:vAlign w:val="center"/>
          </w:tcPr>
          <w:p w14:paraId="7C5AE885">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0.14</w:t>
            </w:r>
          </w:p>
        </w:tc>
        <w:tc>
          <w:tcPr>
            <w:tcW w:w="647" w:type="pct"/>
            <w:vAlign w:val="center"/>
          </w:tcPr>
          <w:p w14:paraId="1A656E01">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1.17</w:t>
            </w:r>
          </w:p>
        </w:tc>
        <w:tc>
          <w:tcPr>
            <w:tcW w:w="647" w:type="pct"/>
            <w:vAlign w:val="center"/>
          </w:tcPr>
          <w:p w14:paraId="1890A801">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1.618</w:t>
            </w:r>
          </w:p>
        </w:tc>
        <w:tc>
          <w:tcPr>
            <w:tcW w:w="647" w:type="pct"/>
            <w:vAlign w:val="center"/>
          </w:tcPr>
          <w:p w14:paraId="4D68A78B">
            <w:pPr>
              <w:keepNext w:val="0"/>
              <w:keepLines w:val="0"/>
              <w:widowControl/>
              <w:suppressLineNumbers w:val="0"/>
              <w:jc w:val="center"/>
              <w:textAlignment w:val="bottom"/>
              <w:rPr>
                <w:szCs w:val="21"/>
              </w:rPr>
            </w:pPr>
            <w:r>
              <w:rPr>
                <w:rFonts w:hint="eastAsia"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1.03</w:t>
            </w:r>
          </w:p>
        </w:tc>
      </w:tr>
      <w:tr w14:paraId="1A5110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88" w:type="pct"/>
            <w:vMerge w:val="continue"/>
            <w:shd w:val="clear" w:color="auto" w:fill="auto"/>
            <w:vAlign w:val="center"/>
          </w:tcPr>
          <w:p w14:paraId="6C2D6B27">
            <w:pPr>
              <w:widowControl/>
              <w:spacing w:line="240" w:lineRule="exact"/>
              <w:jc w:val="center"/>
              <w:rPr>
                <w:rFonts w:eastAsia="仿宋_GB2312"/>
                <w:kern w:val="0"/>
                <w:szCs w:val="21"/>
                <w:highlight w:val="yellow"/>
              </w:rPr>
            </w:pPr>
          </w:p>
        </w:tc>
        <w:tc>
          <w:tcPr>
            <w:tcW w:w="1147" w:type="pct"/>
            <w:shd w:val="clear" w:color="auto" w:fill="auto"/>
            <w:tcMar>
              <w:top w:w="15" w:type="dxa"/>
              <w:left w:w="15" w:type="dxa"/>
              <w:bottom w:w="0" w:type="dxa"/>
              <w:right w:w="15" w:type="dxa"/>
            </w:tcMar>
            <w:vAlign w:val="center"/>
          </w:tcPr>
          <w:p w14:paraId="6E0CC0F4">
            <w:pPr>
              <w:widowControl/>
              <w:spacing w:line="240" w:lineRule="exact"/>
              <w:jc w:val="center"/>
              <w:rPr>
                <w:rFonts w:eastAsia="仿宋_GB2312"/>
                <w:kern w:val="0"/>
                <w:szCs w:val="21"/>
              </w:rPr>
            </w:pPr>
            <w:r>
              <w:rPr>
                <w:rFonts w:eastAsia="仿宋_GB2312"/>
                <w:kern w:val="0"/>
                <w:szCs w:val="21"/>
              </w:rPr>
              <w:t>二丙酮醇</w:t>
            </w:r>
          </w:p>
        </w:tc>
        <w:tc>
          <w:tcPr>
            <w:tcW w:w="773" w:type="pct"/>
            <w:vAlign w:val="center"/>
          </w:tcPr>
          <w:p w14:paraId="7432BB8A">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0.00344</w:t>
            </w:r>
          </w:p>
        </w:tc>
        <w:tc>
          <w:tcPr>
            <w:tcW w:w="647" w:type="pct"/>
            <w:vAlign w:val="center"/>
          </w:tcPr>
          <w:p w14:paraId="135B0C35">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647" w:type="pct"/>
            <w:vAlign w:val="center"/>
          </w:tcPr>
          <w:p w14:paraId="4FD6B1DB">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647" w:type="pct"/>
            <w:vAlign w:val="center"/>
          </w:tcPr>
          <w:p w14:paraId="0717DCCF">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0.00344</w:t>
            </w:r>
          </w:p>
        </w:tc>
        <w:tc>
          <w:tcPr>
            <w:tcW w:w="647" w:type="pct"/>
            <w:vAlign w:val="center"/>
          </w:tcPr>
          <w:p w14:paraId="656F1591">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w:t>
            </w:r>
          </w:p>
        </w:tc>
      </w:tr>
      <w:tr w14:paraId="3C0E76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88" w:type="pct"/>
            <w:vMerge w:val="continue"/>
            <w:shd w:val="clear" w:color="auto" w:fill="auto"/>
            <w:vAlign w:val="center"/>
          </w:tcPr>
          <w:p w14:paraId="7647786D">
            <w:pPr>
              <w:widowControl/>
              <w:spacing w:line="240" w:lineRule="exact"/>
              <w:jc w:val="center"/>
              <w:rPr>
                <w:rFonts w:eastAsia="仿宋_GB2312"/>
                <w:kern w:val="0"/>
                <w:szCs w:val="21"/>
                <w:highlight w:val="yellow"/>
              </w:rPr>
            </w:pPr>
          </w:p>
        </w:tc>
        <w:tc>
          <w:tcPr>
            <w:tcW w:w="1147" w:type="pct"/>
            <w:shd w:val="clear" w:color="auto" w:fill="auto"/>
            <w:tcMar>
              <w:top w:w="15" w:type="dxa"/>
              <w:left w:w="15" w:type="dxa"/>
              <w:bottom w:w="0" w:type="dxa"/>
              <w:right w:w="15" w:type="dxa"/>
            </w:tcMar>
            <w:vAlign w:val="center"/>
          </w:tcPr>
          <w:p w14:paraId="55A241B7">
            <w:pPr>
              <w:widowControl/>
              <w:spacing w:line="240" w:lineRule="exact"/>
              <w:jc w:val="center"/>
              <w:rPr>
                <w:rFonts w:eastAsia="仿宋_GB2312"/>
                <w:kern w:val="0"/>
                <w:szCs w:val="21"/>
              </w:rPr>
            </w:pPr>
            <w:r>
              <w:rPr>
                <w:rFonts w:eastAsia="仿宋_GB2312"/>
                <w:kern w:val="0"/>
                <w:szCs w:val="21"/>
              </w:rPr>
              <w:t>丙酮</w:t>
            </w:r>
          </w:p>
        </w:tc>
        <w:tc>
          <w:tcPr>
            <w:tcW w:w="773" w:type="pct"/>
            <w:vAlign w:val="center"/>
          </w:tcPr>
          <w:p w14:paraId="3C0DA82E">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0.03564</w:t>
            </w:r>
          </w:p>
        </w:tc>
        <w:tc>
          <w:tcPr>
            <w:tcW w:w="647" w:type="pct"/>
            <w:vAlign w:val="center"/>
          </w:tcPr>
          <w:p w14:paraId="4FBDCB1C">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647" w:type="pct"/>
            <w:vAlign w:val="center"/>
          </w:tcPr>
          <w:p w14:paraId="03D9F296">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647" w:type="pct"/>
            <w:vAlign w:val="center"/>
          </w:tcPr>
          <w:p w14:paraId="66EE87C4">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0.03564</w:t>
            </w:r>
          </w:p>
        </w:tc>
        <w:tc>
          <w:tcPr>
            <w:tcW w:w="647" w:type="pct"/>
            <w:vAlign w:val="center"/>
          </w:tcPr>
          <w:p w14:paraId="0B26F593">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w:t>
            </w:r>
          </w:p>
        </w:tc>
      </w:tr>
      <w:tr w14:paraId="15DE10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88" w:type="pct"/>
            <w:vMerge w:val="continue"/>
            <w:shd w:val="clear" w:color="auto" w:fill="auto"/>
            <w:vAlign w:val="center"/>
          </w:tcPr>
          <w:p w14:paraId="7BABB3A3">
            <w:pPr>
              <w:widowControl/>
              <w:spacing w:line="240" w:lineRule="exact"/>
              <w:jc w:val="center"/>
              <w:rPr>
                <w:rFonts w:eastAsia="仿宋_GB2312"/>
                <w:kern w:val="0"/>
                <w:szCs w:val="21"/>
                <w:highlight w:val="yellow"/>
              </w:rPr>
            </w:pPr>
          </w:p>
        </w:tc>
        <w:tc>
          <w:tcPr>
            <w:tcW w:w="1147" w:type="pct"/>
            <w:shd w:val="clear" w:color="auto" w:fill="auto"/>
            <w:tcMar>
              <w:top w:w="15" w:type="dxa"/>
              <w:left w:w="15" w:type="dxa"/>
              <w:bottom w:w="0" w:type="dxa"/>
              <w:right w:w="15" w:type="dxa"/>
            </w:tcMar>
            <w:vAlign w:val="center"/>
          </w:tcPr>
          <w:p w14:paraId="4E5B2ED1">
            <w:pPr>
              <w:widowControl/>
              <w:spacing w:line="240" w:lineRule="exact"/>
              <w:jc w:val="center"/>
              <w:rPr>
                <w:rFonts w:eastAsia="仿宋_GB2312"/>
                <w:kern w:val="0"/>
                <w:szCs w:val="21"/>
              </w:rPr>
            </w:pPr>
            <w:r>
              <w:rPr>
                <w:rFonts w:eastAsia="仿宋_GB2312"/>
                <w:kern w:val="0"/>
                <w:szCs w:val="21"/>
              </w:rPr>
              <w:t>N-甲基吡咯烷酮</w:t>
            </w:r>
          </w:p>
        </w:tc>
        <w:tc>
          <w:tcPr>
            <w:tcW w:w="773" w:type="pct"/>
            <w:vAlign w:val="center"/>
          </w:tcPr>
          <w:p w14:paraId="5D9E2F38">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0.22412</w:t>
            </w:r>
          </w:p>
        </w:tc>
        <w:tc>
          <w:tcPr>
            <w:tcW w:w="647" w:type="pct"/>
            <w:vAlign w:val="center"/>
          </w:tcPr>
          <w:p w14:paraId="3047A2B1">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0.22</w:t>
            </w:r>
          </w:p>
        </w:tc>
        <w:tc>
          <w:tcPr>
            <w:tcW w:w="647" w:type="pct"/>
            <w:vAlign w:val="center"/>
          </w:tcPr>
          <w:p w14:paraId="56BC858F">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0.41</w:t>
            </w:r>
          </w:p>
        </w:tc>
        <w:tc>
          <w:tcPr>
            <w:tcW w:w="647" w:type="pct"/>
            <w:vAlign w:val="center"/>
          </w:tcPr>
          <w:p w14:paraId="7B6ABF86">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0.41412</w:t>
            </w:r>
          </w:p>
        </w:tc>
        <w:tc>
          <w:tcPr>
            <w:tcW w:w="647" w:type="pct"/>
            <w:vAlign w:val="center"/>
          </w:tcPr>
          <w:p w14:paraId="407ADD18">
            <w:pPr>
              <w:keepNext w:val="0"/>
              <w:keepLines w:val="0"/>
              <w:widowControl/>
              <w:suppressLineNumbers w:val="0"/>
              <w:jc w:val="center"/>
              <w:textAlignment w:val="bottom"/>
              <w:rPr>
                <w:szCs w:val="21"/>
              </w:rPr>
            </w:pPr>
            <w:r>
              <w:rPr>
                <w:rFonts w:hint="eastAsia"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0.19</w:t>
            </w:r>
          </w:p>
        </w:tc>
      </w:tr>
      <w:tr w14:paraId="09FD8D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88" w:type="pct"/>
            <w:vMerge w:val="continue"/>
            <w:shd w:val="clear" w:color="auto" w:fill="auto"/>
            <w:vAlign w:val="center"/>
          </w:tcPr>
          <w:p w14:paraId="5680D92B">
            <w:pPr>
              <w:widowControl/>
              <w:spacing w:line="240" w:lineRule="exact"/>
              <w:jc w:val="center"/>
              <w:rPr>
                <w:rFonts w:eastAsia="仿宋_GB2312"/>
                <w:kern w:val="0"/>
                <w:szCs w:val="21"/>
                <w:highlight w:val="yellow"/>
              </w:rPr>
            </w:pPr>
          </w:p>
        </w:tc>
        <w:tc>
          <w:tcPr>
            <w:tcW w:w="1147" w:type="pct"/>
            <w:shd w:val="clear" w:color="auto" w:fill="auto"/>
            <w:tcMar>
              <w:top w:w="15" w:type="dxa"/>
              <w:left w:w="15" w:type="dxa"/>
              <w:bottom w:w="0" w:type="dxa"/>
              <w:right w:w="15" w:type="dxa"/>
            </w:tcMar>
            <w:vAlign w:val="center"/>
          </w:tcPr>
          <w:p w14:paraId="03ED5874">
            <w:pPr>
              <w:widowControl/>
              <w:spacing w:line="240" w:lineRule="exact"/>
              <w:jc w:val="center"/>
              <w:rPr>
                <w:rFonts w:eastAsia="仿宋_GB2312"/>
                <w:kern w:val="0"/>
                <w:szCs w:val="21"/>
              </w:rPr>
            </w:pPr>
            <w:r>
              <w:rPr>
                <w:rFonts w:eastAsia="仿宋_GB2312"/>
                <w:kern w:val="0"/>
                <w:szCs w:val="21"/>
              </w:rPr>
              <w:t>四氢呋喃</w:t>
            </w:r>
          </w:p>
        </w:tc>
        <w:tc>
          <w:tcPr>
            <w:tcW w:w="773" w:type="pct"/>
            <w:vAlign w:val="center"/>
          </w:tcPr>
          <w:p w14:paraId="2C7CD09F">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0.4112</w:t>
            </w:r>
          </w:p>
        </w:tc>
        <w:tc>
          <w:tcPr>
            <w:tcW w:w="647" w:type="pct"/>
            <w:vAlign w:val="center"/>
          </w:tcPr>
          <w:p w14:paraId="5B1C3507">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0.41</w:t>
            </w:r>
          </w:p>
        </w:tc>
        <w:tc>
          <w:tcPr>
            <w:tcW w:w="647" w:type="pct"/>
            <w:vAlign w:val="center"/>
          </w:tcPr>
          <w:p w14:paraId="33702978">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1.99</w:t>
            </w:r>
          </w:p>
        </w:tc>
        <w:tc>
          <w:tcPr>
            <w:tcW w:w="647" w:type="pct"/>
            <w:vAlign w:val="center"/>
          </w:tcPr>
          <w:p w14:paraId="6952AC07">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1.9912</w:t>
            </w:r>
          </w:p>
        </w:tc>
        <w:tc>
          <w:tcPr>
            <w:tcW w:w="647" w:type="pct"/>
            <w:vAlign w:val="center"/>
          </w:tcPr>
          <w:p w14:paraId="33F22E4A">
            <w:pPr>
              <w:keepNext w:val="0"/>
              <w:keepLines w:val="0"/>
              <w:widowControl/>
              <w:suppressLineNumbers w:val="0"/>
              <w:jc w:val="center"/>
              <w:textAlignment w:val="bottom"/>
              <w:rPr>
                <w:szCs w:val="21"/>
              </w:rPr>
            </w:pPr>
            <w:r>
              <w:rPr>
                <w:rFonts w:hint="eastAsia"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1.58</w:t>
            </w:r>
          </w:p>
        </w:tc>
      </w:tr>
      <w:tr w14:paraId="2C4F50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88" w:type="pct"/>
            <w:vMerge w:val="continue"/>
            <w:shd w:val="clear" w:color="auto" w:fill="auto"/>
            <w:vAlign w:val="center"/>
          </w:tcPr>
          <w:p w14:paraId="3D2C11BC">
            <w:pPr>
              <w:widowControl/>
              <w:spacing w:line="240" w:lineRule="exact"/>
              <w:jc w:val="center"/>
              <w:rPr>
                <w:rFonts w:eastAsia="仿宋_GB2312"/>
                <w:kern w:val="0"/>
                <w:szCs w:val="21"/>
                <w:highlight w:val="yellow"/>
              </w:rPr>
            </w:pPr>
          </w:p>
        </w:tc>
        <w:tc>
          <w:tcPr>
            <w:tcW w:w="1147" w:type="pct"/>
            <w:shd w:val="clear" w:color="auto" w:fill="auto"/>
            <w:tcMar>
              <w:top w:w="15" w:type="dxa"/>
              <w:left w:w="15" w:type="dxa"/>
              <w:bottom w:w="0" w:type="dxa"/>
              <w:right w:w="15" w:type="dxa"/>
            </w:tcMar>
            <w:vAlign w:val="center"/>
          </w:tcPr>
          <w:p w14:paraId="2D23B6C7">
            <w:pPr>
              <w:widowControl/>
              <w:spacing w:line="240" w:lineRule="exact"/>
              <w:jc w:val="center"/>
              <w:rPr>
                <w:rFonts w:eastAsia="仿宋_GB2312"/>
                <w:kern w:val="0"/>
                <w:szCs w:val="21"/>
              </w:rPr>
            </w:pPr>
            <w:r>
              <w:rPr>
                <w:rFonts w:eastAsia="仿宋_GB2312"/>
                <w:kern w:val="0"/>
                <w:szCs w:val="21"/>
              </w:rPr>
              <w:t>丁酮</w:t>
            </w:r>
          </w:p>
        </w:tc>
        <w:tc>
          <w:tcPr>
            <w:tcW w:w="773" w:type="pct"/>
            <w:vAlign w:val="center"/>
          </w:tcPr>
          <w:p w14:paraId="0C062F14">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0.0912</w:t>
            </w:r>
          </w:p>
        </w:tc>
        <w:tc>
          <w:tcPr>
            <w:tcW w:w="647" w:type="pct"/>
            <w:vAlign w:val="center"/>
          </w:tcPr>
          <w:p w14:paraId="1DE52CDB">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0.07</w:t>
            </w:r>
          </w:p>
        </w:tc>
        <w:tc>
          <w:tcPr>
            <w:tcW w:w="647" w:type="pct"/>
            <w:vAlign w:val="center"/>
          </w:tcPr>
          <w:p w14:paraId="7ECB97F2">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0.12</w:t>
            </w:r>
          </w:p>
        </w:tc>
        <w:tc>
          <w:tcPr>
            <w:tcW w:w="647" w:type="pct"/>
            <w:vAlign w:val="center"/>
          </w:tcPr>
          <w:p w14:paraId="1FF8EBDC">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0.1412</w:t>
            </w:r>
          </w:p>
        </w:tc>
        <w:tc>
          <w:tcPr>
            <w:tcW w:w="647" w:type="pct"/>
            <w:vAlign w:val="center"/>
          </w:tcPr>
          <w:p w14:paraId="36EE4154">
            <w:pPr>
              <w:keepNext w:val="0"/>
              <w:keepLines w:val="0"/>
              <w:widowControl/>
              <w:suppressLineNumbers w:val="0"/>
              <w:jc w:val="center"/>
              <w:textAlignment w:val="bottom"/>
              <w:rPr>
                <w:szCs w:val="21"/>
              </w:rPr>
            </w:pPr>
            <w:r>
              <w:rPr>
                <w:rFonts w:hint="eastAsia"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0.05</w:t>
            </w:r>
          </w:p>
        </w:tc>
      </w:tr>
      <w:tr w14:paraId="06E483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88" w:type="pct"/>
            <w:vMerge w:val="continue"/>
            <w:shd w:val="clear" w:color="auto" w:fill="auto"/>
            <w:vAlign w:val="center"/>
          </w:tcPr>
          <w:p w14:paraId="44B0E372">
            <w:pPr>
              <w:widowControl/>
              <w:spacing w:line="240" w:lineRule="exact"/>
              <w:jc w:val="center"/>
              <w:rPr>
                <w:rFonts w:eastAsia="仿宋_GB2312"/>
                <w:kern w:val="0"/>
                <w:szCs w:val="21"/>
                <w:highlight w:val="yellow"/>
              </w:rPr>
            </w:pPr>
          </w:p>
        </w:tc>
        <w:tc>
          <w:tcPr>
            <w:tcW w:w="1147" w:type="pct"/>
            <w:shd w:val="clear" w:color="auto" w:fill="auto"/>
            <w:tcMar>
              <w:top w:w="15" w:type="dxa"/>
              <w:left w:w="15" w:type="dxa"/>
              <w:bottom w:w="0" w:type="dxa"/>
              <w:right w:w="15" w:type="dxa"/>
            </w:tcMar>
            <w:vAlign w:val="center"/>
          </w:tcPr>
          <w:p w14:paraId="50044869">
            <w:pPr>
              <w:widowControl/>
              <w:spacing w:line="240" w:lineRule="exact"/>
              <w:jc w:val="center"/>
              <w:rPr>
                <w:rFonts w:eastAsia="仿宋_GB2312"/>
                <w:kern w:val="0"/>
                <w:szCs w:val="21"/>
              </w:rPr>
            </w:pPr>
            <w:r>
              <w:rPr>
                <w:rFonts w:eastAsia="仿宋_GB2312"/>
                <w:kern w:val="0"/>
                <w:szCs w:val="21"/>
              </w:rPr>
              <w:t>丙二醇单甲醚</w:t>
            </w:r>
          </w:p>
        </w:tc>
        <w:tc>
          <w:tcPr>
            <w:tcW w:w="773" w:type="pct"/>
            <w:vAlign w:val="center"/>
          </w:tcPr>
          <w:p w14:paraId="0FF0E535">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0.30069</w:t>
            </w:r>
          </w:p>
        </w:tc>
        <w:tc>
          <w:tcPr>
            <w:tcW w:w="647" w:type="pct"/>
            <w:vAlign w:val="center"/>
          </w:tcPr>
          <w:p w14:paraId="3E1BBF4C">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0.29</w:t>
            </w:r>
          </w:p>
        </w:tc>
        <w:tc>
          <w:tcPr>
            <w:tcW w:w="647" w:type="pct"/>
            <w:vAlign w:val="center"/>
          </w:tcPr>
          <w:p w14:paraId="0EB9F15E">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0.32</w:t>
            </w:r>
          </w:p>
        </w:tc>
        <w:tc>
          <w:tcPr>
            <w:tcW w:w="647" w:type="pct"/>
            <w:vAlign w:val="center"/>
          </w:tcPr>
          <w:p w14:paraId="40A5F27C">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0.33069</w:t>
            </w:r>
          </w:p>
        </w:tc>
        <w:tc>
          <w:tcPr>
            <w:tcW w:w="647" w:type="pct"/>
            <w:vAlign w:val="center"/>
          </w:tcPr>
          <w:p w14:paraId="63EB6C45">
            <w:pPr>
              <w:keepNext w:val="0"/>
              <w:keepLines w:val="0"/>
              <w:widowControl/>
              <w:suppressLineNumbers w:val="0"/>
              <w:jc w:val="center"/>
              <w:textAlignment w:val="bottom"/>
              <w:rPr>
                <w:szCs w:val="21"/>
              </w:rPr>
            </w:pPr>
            <w:r>
              <w:rPr>
                <w:rFonts w:hint="eastAsia"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0.03</w:t>
            </w:r>
          </w:p>
        </w:tc>
      </w:tr>
      <w:tr w14:paraId="7532A6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88" w:type="pct"/>
            <w:vMerge w:val="continue"/>
            <w:shd w:val="clear" w:color="auto" w:fill="auto"/>
            <w:vAlign w:val="center"/>
          </w:tcPr>
          <w:p w14:paraId="3B65C7EC">
            <w:pPr>
              <w:widowControl/>
              <w:spacing w:line="240" w:lineRule="exact"/>
              <w:jc w:val="center"/>
              <w:rPr>
                <w:rFonts w:eastAsia="仿宋_GB2312"/>
                <w:kern w:val="0"/>
                <w:szCs w:val="21"/>
                <w:highlight w:val="yellow"/>
              </w:rPr>
            </w:pPr>
          </w:p>
        </w:tc>
        <w:tc>
          <w:tcPr>
            <w:tcW w:w="1147" w:type="pct"/>
            <w:shd w:val="clear" w:color="auto" w:fill="auto"/>
            <w:tcMar>
              <w:top w:w="15" w:type="dxa"/>
              <w:left w:w="15" w:type="dxa"/>
              <w:bottom w:w="0" w:type="dxa"/>
              <w:right w:w="15" w:type="dxa"/>
            </w:tcMar>
            <w:vAlign w:val="center"/>
          </w:tcPr>
          <w:p w14:paraId="0C25F612">
            <w:pPr>
              <w:widowControl/>
              <w:spacing w:line="240" w:lineRule="exact"/>
              <w:jc w:val="center"/>
              <w:rPr>
                <w:rFonts w:eastAsia="仿宋_GB2312"/>
                <w:kern w:val="0"/>
                <w:szCs w:val="21"/>
              </w:rPr>
            </w:pPr>
            <w:r>
              <w:rPr>
                <w:rFonts w:eastAsia="仿宋_GB2312"/>
                <w:kern w:val="0"/>
                <w:szCs w:val="21"/>
              </w:rPr>
              <w:t>乙二醇</w:t>
            </w:r>
          </w:p>
        </w:tc>
        <w:tc>
          <w:tcPr>
            <w:tcW w:w="773" w:type="pct"/>
            <w:vAlign w:val="center"/>
          </w:tcPr>
          <w:p w14:paraId="637D2610">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0.1974</w:t>
            </w:r>
          </w:p>
        </w:tc>
        <w:tc>
          <w:tcPr>
            <w:tcW w:w="647" w:type="pct"/>
            <w:vAlign w:val="center"/>
          </w:tcPr>
          <w:p w14:paraId="53F3D8F7">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0.05</w:t>
            </w:r>
          </w:p>
        </w:tc>
        <w:tc>
          <w:tcPr>
            <w:tcW w:w="647" w:type="pct"/>
            <w:vAlign w:val="center"/>
          </w:tcPr>
          <w:p w14:paraId="7DAADCE2">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647" w:type="pct"/>
            <w:vAlign w:val="center"/>
          </w:tcPr>
          <w:p w14:paraId="5911A925">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0.1474</w:t>
            </w:r>
          </w:p>
        </w:tc>
        <w:tc>
          <w:tcPr>
            <w:tcW w:w="647" w:type="pct"/>
            <w:vAlign w:val="center"/>
          </w:tcPr>
          <w:p w14:paraId="279A2EFD">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-0.05</w:t>
            </w:r>
          </w:p>
        </w:tc>
      </w:tr>
      <w:tr w14:paraId="1AC5FC6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88" w:type="pct"/>
            <w:vMerge w:val="continue"/>
            <w:shd w:val="clear" w:color="auto" w:fill="auto"/>
            <w:vAlign w:val="center"/>
          </w:tcPr>
          <w:p w14:paraId="7D1C9237">
            <w:pPr>
              <w:widowControl/>
              <w:spacing w:line="240" w:lineRule="exact"/>
              <w:jc w:val="center"/>
              <w:rPr>
                <w:rFonts w:eastAsia="仿宋_GB2312"/>
                <w:kern w:val="0"/>
                <w:szCs w:val="21"/>
                <w:highlight w:val="yellow"/>
              </w:rPr>
            </w:pPr>
          </w:p>
        </w:tc>
        <w:tc>
          <w:tcPr>
            <w:tcW w:w="1147" w:type="pct"/>
            <w:shd w:val="clear" w:color="auto" w:fill="auto"/>
            <w:tcMar>
              <w:top w:w="15" w:type="dxa"/>
              <w:left w:w="15" w:type="dxa"/>
              <w:bottom w:w="0" w:type="dxa"/>
              <w:right w:w="15" w:type="dxa"/>
            </w:tcMar>
            <w:vAlign w:val="center"/>
          </w:tcPr>
          <w:p w14:paraId="441C10C8">
            <w:pPr>
              <w:widowControl/>
              <w:spacing w:line="240" w:lineRule="exact"/>
              <w:jc w:val="center"/>
              <w:rPr>
                <w:rFonts w:eastAsia="仿宋_GB2312"/>
                <w:kern w:val="0"/>
                <w:szCs w:val="21"/>
              </w:rPr>
            </w:pPr>
            <w:r>
              <w:rPr>
                <w:rFonts w:eastAsia="仿宋_GB2312"/>
                <w:kern w:val="0"/>
                <w:szCs w:val="21"/>
              </w:rPr>
              <w:t>二丁醚</w:t>
            </w:r>
          </w:p>
        </w:tc>
        <w:tc>
          <w:tcPr>
            <w:tcW w:w="773" w:type="pct"/>
            <w:vAlign w:val="center"/>
          </w:tcPr>
          <w:p w14:paraId="5927BB4F">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0.00137</w:t>
            </w:r>
          </w:p>
        </w:tc>
        <w:tc>
          <w:tcPr>
            <w:tcW w:w="647" w:type="pct"/>
            <w:vAlign w:val="center"/>
          </w:tcPr>
          <w:p w14:paraId="6240FD03">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647" w:type="pct"/>
            <w:vAlign w:val="center"/>
          </w:tcPr>
          <w:p w14:paraId="0FE1F1CD">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647" w:type="pct"/>
            <w:vAlign w:val="center"/>
          </w:tcPr>
          <w:p w14:paraId="13529D48">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0.00137</w:t>
            </w:r>
          </w:p>
        </w:tc>
        <w:tc>
          <w:tcPr>
            <w:tcW w:w="647" w:type="pct"/>
            <w:vAlign w:val="center"/>
          </w:tcPr>
          <w:p w14:paraId="02B784A3">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w:t>
            </w:r>
          </w:p>
        </w:tc>
      </w:tr>
      <w:tr w14:paraId="527222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88" w:type="pct"/>
            <w:vMerge w:val="continue"/>
            <w:shd w:val="clear" w:color="auto" w:fill="auto"/>
            <w:vAlign w:val="center"/>
          </w:tcPr>
          <w:p w14:paraId="50250BF5">
            <w:pPr>
              <w:widowControl/>
              <w:spacing w:line="240" w:lineRule="exact"/>
              <w:jc w:val="center"/>
              <w:rPr>
                <w:rFonts w:eastAsia="仿宋_GB2312"/>
                <w:kern w:val="0"/>
                <w:szCs w:val="21"/>
                <w:highlight w:val="yellow"/>
              </w:rPr>
            </w:pPr>
          </w:p>
        </w:tc>
        <w:tc>
          <w:tcPr>
            <w:tcW w:w="1147" w:type="pct"/>
            <w:shd w:val="clear" w:color="auto" w:fill="auto"/>
            <w:tcMar>
              <w:top w:w="15" w:type="dxa"/>
              <w:left w:w="15" w:type="dxa"/>
              <w:bottom w:w="0" w:type="dxa"/>
              <w:right w:w="15" w:type="dxa"/>
            </w:tcMar>
            <w:vAlign w:val="center"/>
          </w:tcPr>
          <w:p w14:paraId="392ABE1B">
            <w:pPr>
              <w:widowControl/>
              <w:spacing w:line="240" w:lineRule="exact"/>
              <w:jc w:val="center"/>
              <w:rPr>
                <w:rFonts w:eastAsia="仿宋_GB2312"/>
                <w:kern w:val="0"/>
                <w:szCs w:val="21"/>
              </w:rPr>
            </w:pPr>
            <w:r>
              <w:rPr>
                <w:rFonts w:eastAsia="仿宋_GB2312"/>
                <w:kern w:val="0"/>
                <w:szCs w:val="21"/>
              </w:rPr>
              <w:t>甲醇</w:t>
            </w:r>
          </w:p>
        </w:tc>
        <w:tc>
          <w:tcPr>
            <w:tcW w:w="773" w:type="pct"/>
            <w:vAlign w:val="center"/>
          </w:tcPr>
          <w:p w14:paraId="2D32850F">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1.0486</w:t>
            </w:r>
          </w:p>
        </w:tc>
        <w:tc>
          <w:tcPr>
            <w:tcW w:w="647" w:type="pct"/>
            <w:vAlign w:val="center"/>
          </w:tcPr>
          <w:p w14:paraId="293FE78E">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1.04</w:t>
            </w:r>
          </w:p>
        </w:tc>
        <w:tc>
          <w:tcPr>
            <w:tcW w:w="647" w:type="pct"/>
            <w:vAlign w:val="center"/>
          </w:tcPr>
          <w:p w14:paraId="08D19682">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6.63</w:t>
            </w:r>
          </w:p>
        </w:tc>
        <w:tc>
          <w:tcPr>
            <w:tcW w:w="647" w:type="pct"/>
            <w:vAlign w:val="center"/>
          </w:tcPr>
          <w:p w14:paraId="56851E2A">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6.6386</w:t>
            </w:r>
          </w:p>
        </w:tc>
        <w:tc>
          <w:tcPr>
            <w:tcW w:w="647" w:type="pct"/>
            <w:vAlign w:val="center"/>
          </w:tcPr>
          <w:p w14:paraId="738732E9">
            <w:pPr>
              <w:keepNext w:val="0"/>
              <w:keepLines w:val="0"/>
              <w:widowControl/>
              <w:suppressLineNumbers w:val="0"/>
              <w:jc w:val="center"/>
              <w:textAlignment w:val="bottom"/>
              <w:rPr>
                <w:szCs w:val="21"/>
              </w:rPr>
            </w:pPr>
            <w:r>
              <w:rPr>
                <w:rFonts w:hint="eastAsia"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5.59</w:t>
            </w:r>
          </w:p>
        </w:tc>
      </w:tr>
      <w:tr w14:paraId="3D3100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88" w:type="pct"/>
            <w:vMerge w:val="continue"/>
            <w:shd w:val="clear" w:color="auto" w:fill="auto"/>
            <w:vAlign w:val="center"/>
          </w:tcPr>
          <w:p w14:paraId="44C88918">
            <w:pPr>
              <w:widowControl/>
              <w:spacing w:line="240" w:lineRule="exact"/>
              <w:jc w:val="center"/>
              <w:rPr>
                <w:rFonts w:eastAsia="仿宋_GB2312"/>
                <w:kern w:val="0"/>
                <w:szCs w:val="21"/>
                <w:highlight w:val="yellow"/>
              </w:rPr>
            </w:pPr>
          </w:p>
        </w:tc>
        <w:tc>
          <w:tcPr>
            <w:tcW w:w="1147" w:type="pct"/>
            <w:shd w:val="clear" w:color="auto" w:fill="auto"/>
            <w:tcMar>
              <w:top w:w="15" w:type="dxa"/>
              <w:left w:w="15" w:type="dxa"/>
              <w:bottom w:w="0" w:type="dxa"/>
              <w:right w:w="15" w:type="dxa"/>
            </w:tcMar>
            <w:vAlign w:val="center"/>
          </w:tcPr>
          <w:p w14:paraId="3E2934A1">
            <w:pPr>
              <w:widowControl/>
              <w:spacing w:line="240" w:lineRule="exact"/>
              <w:jc w:val="center"/>
              <w:rPr>
                <w:rFonts w:eastAsia="仿宋_GB2312"/>
                <w:kern w:val="0"/>
                <w:szCs w:val="21"/>
              </w:rPr>
            </w:pPr>
            <w:r>
              <w:rPr>
                <w:rFonts w:eastAsia="仿宋_GB2312"/>
                <w:kern w:val="0"/>
                <w:szCs w:val="21"/>
              </w:rPr>
              <w:t>氨</w:t>
            </w:r>
          </w:p>
        </w:tc>
        <w:tc>
          <w:tcPr>
            <w:tcW w:w="773" w:type="pct"/>
            <w:vAlign w:val="center"/>
          </w:tcPr>
          <w:p w14:paraId="6F21E23A">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1.5238</w:t>
            </w:r>
          </w:p>
        </w:tc>
        <w:tc>
          <w:tcPr>
            <w:tcW w:w="647" w:type="pct"/>
            <w:vAlign w:val="center"/>
          </w:tcPr>
          <w:p w14:paraId="621A1718">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647" w:type="pct"/>
            <w:vAlign w:val="center"/>
          </w:tcPr>
          <w:p w14:paraId="04A8FDAC">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0.0045</w:t>
            </w:r>
          </w:p>
        </w:tc>
        <w:tc>
          <w:tcPr>
            <w:tcW w:w="647" w:type="pct"/>
            <w:vAlign w:val="center"/>
          </w:tcPr>
          <w:p w14:paraId="4253CAAE">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1.5283</w:t>
            </w:r>
          </w:p>
        </w:tc>
        <w:tc>
          <w:tcPr>
            <w:tcW w:w="647" w:type="pct"/>
            <w:vAlign w:val="center"/>
          </w:tcPr>
          <w:p w14:paraId="2D965833">
            <w:pPr>
              <w:keepNext w:val="0"/>
              <w:keepLines w:val="0"/>
              <w:widowControl/>
              <w:suppressLineNumbers w:val="0"/>
              <w:jc w:val="center"/>
              <w:textAlignment w:val="bottom"/>
              <w:rPr>
                <w:szCs w:val="21"/>
              </w:rPr>
            </w:pPr>
            <w:r>
              <w:rPr>
                <w:rFonts w:hint="eastAsia"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0.0045</w:t>
            </w:r>
          </w:p>
        </w:tc>
      </w:tr>
      <w:tr w14:paraId="74CF48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88" w:type="pct"/>
            <w:vMerge w:val="continue"/>
            <w:shd w:val="clear" w:color="auto" w:fill="auto"/>
            <w:vAlign w:val="center"/>
          </w:tcPr>
          <w:p w14:paraId="12446146">
            <w:pPr>
              <w:widowControl/>
              <w:spacing w:line="240" w:lineRule="exact"/>
              <w:jc w:val="center"/>
              <w:rPr>
                <w:rFonts w:eastAsia="仿宋_GB2312"/>
                <w:kern w:val="0"/>
                <w:szCs w:val="21"/>
                <w:highlight w:val="yellow"/>
              </w:rPr>
            </w:pPr>
          </w:p>
        </w:tc>
        <w:tc>
          <w:tcPr>
            <w:tcW w:w="1147" w:type="pct"/>
            <w:shd w:val="clear" w:color="auto" w:fill="auto"/>
            <w:tcMar>
              <w:top w:w="15" w:type="dxa"/>
              <w:left w:w="15" w:type="dxa"/>
              <w:bottom w:w="0" w:type="dxa"/>
              <w:right w:w="15" w:type="dxa"/>
            </w:tcMar>
            <w:vAlign w:val="center"/>
          </w:tcPr>
          <w:p w14:paraId="2FB3DC24">
            <w:pPr>
              <w:widowControl/>
              <w:spacing w:line="240" w:lineRule="exact"/>
              <w:jc w:val="center"/>
              <w:rPr>
                <w:rFonts w:eastAsia="仿宋_GB2312"/>
                <w:kern w:val="0"/>
                <w:szCs w:val="21"/>
              </w:rPr>
            </w:pPr>
            <w:r>
              <w:rPr>
                <w:rFonts w:eastAsia="仿宋_GB2312"/>
                <w:kern w:val="0"/>
                <w:szCs w:val="21"/>
              </w:rPr>
              <w:t>硫化氢</w:t>
            </w:r>
          </w:p>
        </w:tc>
        <w:tc>
          <w:tcPr>
            <w:tcW w:w="773" w:type="pct"/>
            <w:vAlign w:val="center"/>
          </w:tcPr>
          <w:p w14:paraId="15BEFE5B">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0.206</w:t>
            </w:r>
          </w:p>
        </w:tc>
        <w:tc>
          <w:tcPr>
            <w:tcW w:w="647" w:type="pct"/>
            <w:vAlign w:val="center"/>
          </w:tcPr>
          <w:p w14:paraId="18F13D2D">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647" w:type="pct"/>
            <w:vAlign w:val="center"/>
          </w:tcPr>
          <w:p w14:paraId="106EF821">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0.0004</w:t>
            </w:r>
          </w:p>
        </w:tc>
        <w:tc>
          <w:tcPr>
            <w:tcW w:w="647" w:type="pct"/>
            <w:vAlign w:val="center"/>
          </w:tcPr>
          <w:p w14:paraId="67DFB7CD">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0.2064</w:t>
            </w:r>
          </w:p>
        </w:tc>
        <w:tc>
          <w:tcPr>
            <w:tcW w:w="647" w:type="pct"/>
            <w:vAlign w:val="center"/>
          </w:tcPr>
          <w:p w14:paraId="62B9D068">
            <w:pPr>
              <w:keepNext w:val="0"/>
              <w:keepLines w:val="0"/>
              <w:widowControl/>
              <w:suppressLineNumbers w:val="0"/>
              <w:jc w:val="center"/>
              <w:textAlignment w:val="bottom"/>
              <w:rPr>
                <w:szCs w:val="21"/>
              </w:rPr>
            </w:pPr>
            <w:r>
              <w:rPr>
                <w:rFonts w:hint="eastAsia"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0.0004</w:t>
            </w:r>
          </w:p>
        </w:tc>
      </w:tr>
      <w:tr w14:paraId="753DD0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88" w:type="pct"/>
            <w:vMerge w:val="continue"/>
            <w:shd w:val="clear" w:color="auto" w:fill="auto"/>
            <w:vAlign w:val="center"/>
          </w:tcPr>
          <w:p w14:paraId="20FAF6EE">
            <w:pPr>
              <w:widowControl/>
              <w:spacing w:line="240" w:lineRule="exact"/>
              <w:jc w:val="center"/>
              <w:rPr>
                <w:rFonts w:eastAsia="仿宋_GB2312"/>
                <w:kern w:val="0"/>
                <w:szCs w:val="21"/>
                <w:highlight w:val="yellow"/>
              </w:rPr>
            </w:pPr>
          </w:p>
        </w:tc>
        <w:tc>
          <w:tcPr>
            <w:tcW w:w="1147" w:type="pct"/>
            <w:shd w:val="clear" w:color="auto" w:fill="auto"/>
            <w:tcMar>
              <w:top w:w="15" w:type="dxa"/>
              <w:left w:w="15" w:type="dxa"/>
              <w:bottom w:w="0" w:type="dxa"/>
              <w:right w:w="15" w:type="dxa"/>
            </w:tcMar>
            <w:vAlign w:val="center"/>
          </w:tcPr>
          <w:p w14:paraId="47B36661">
            <w:pPr>
              <w:widowControl/>
              <w:spacing w:line="240" w:lineRule="exact"/>
              <w:jc w:val="center"/>
              <w:rPr>
                <w:rFonts w:eastAsia="仿宋_GB2312"/>
                <w:kern w:val="0"/>
                <w:szCs w:val="21"/>
              </w:rPr>
            </w:pPr>
            <w:r>
              <w:rPr>
                <w:rFonts w:eastAsia="仿宋_GB2312"/>
                <w:kern w:val="0"/>
                <w:szCs w:val="21"/>
              </w:rPr>
              <w:t>乙醇</w:t>
            </w:r>
          </w:p>
        </w:tc>
        <w:tc>
          <w:tcPr>
            <w:tcW w:w="773" w:type="pct"/>
            <w:vAlign w:val="center"/>
          </w:tcPr>
          <w:p w14:paraId="0795674B">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0.34</w:t>
            </w:r>
          </w:p>
        </w:tc>
        <w:tc>
          <w:tcPr>
            <w:tcW w:w="647" w:type="pct"/>
            <w:vAlign w:val="center"/>
          </w:tcPr>
          <w:p w14:paraId="22DDD74F">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0.33</w:t>
            </w:r>
          </w:p>
        </w:tc>
        <w:tc>
          <w:tcPr>
            <w:tcW w:w="647" w:type="pct"/>
            <w:vAlign w:val="center"/>
          </w:tcPr>
          <w:p w14:paraId="1BDCABD8">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4.03</w:t>
            </w:r>
          </w:p>
        </w:tc>
        <w:tc>
          <w:tcPr>
            <w:tcW w:w="647" w:type="pct"/>
            <w:vAlign w:val="center"/>
          </w:tcPr>
          <w:p w14:paraId="4A5419E9">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4.04</w:t>
            </w:r>
          </w:p>
        </w:tc>
        <w:tc>
          <w:tcPr>
            <w:tcW w:w="647" w:type="pct"/>
            <w:vAlign w:val="center"/>
          </w:tcPr>
          <w:p w14:paraId="62AC8937">
            <w:pPr>
              <w:keepNext w:val="0"/>
              <w:keepLines w:val="0"/>
              <w:widowControl/>
              <w:suppressLineNumbers w:val="0"/>
              <w:jc w:val="center"/>
              <w:textAlignment w:val="bottom"/>
              <w:rPr>
                <w:szCs w:val="21"/>
              </w:rPr>
            </w:pPr>
            <w:r>
              <w:rPr>
                <w:rFonts w:hint="eastAsia"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3.7</w:t>
            </w:r>
          </w:p>
        </w:tc>
      </w:tr>
      <w:tr w14:paraId="0A739E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88" w:type="pct"/>
            <w:vMerge w:val="continue"/>
            <w:shd w:val="clear" w:color="auto" w:fill="auto"/>
            <w:vAlign w:val="center"/>
          </w:tcPr>
          <w:p w14:paraId="1DF7C312">
            <w:pPr>
              <w:widowControl/>
              <w:spacing w:line="240" w:lineRule="exact"/>
              <w:jc w:val="center"/>
              <w:rPr>
                <w:rFonts w:eastAsia="仿宋_GB2312"/>
                <w:kern w:val="0"/>
                <w:szCs w:val="21"/>
                <w:highlight w:val="yellow"/>
              </w:rPr>
            </w:pPr>
          </w:p>
        </w:tc>
        <w:tc>
          <w:tcPr>
            <w:tcW w:w="1147" w:type="pct"/>
            <w:shd w:val="clear" w:color="auto" w:fill="auto"/>
            <w:tcMar>
              <w:top w:w="15" w:type="dxa"/>
              <w:left w:w="15" w:type="dxa"/>
              <w:bottom w:w="0" w:type="dxa"/>
              <w:right w:w="15" w:type="dxa"/>
            </w:tcMar>
            <w:vAlign w:val="center"/>
          </w:tcPr>
          <w:p w14:paraId="558ADB0E">
            <w:pPr>
              <w:widowControl/>
              <w:spacing w:line="240" w:lineRule="exact"/>
              <w:jc w:val="center"/>
              <w:rPr>
                <w:rFonts w:eastAsia="仿宋_GB2312"/>
                <w:kern w:val="0"/>
                <w:szCs w:val="21"/>
              </w:rPr>
            </w:pPr>
            <w:r>
              <w:rPr>
                <w:rFonts w:eastAsia="仿宋_GB2312"/>
                <w:kern w:val="0"/>
                <w:szCs w:val="21"/>
              </w:rPr>
              <w:t>乙腈</w:t>
            </w:r>
          </w:p>
        </w:tc>
        <w:tc>
          <w:tcPr>
            <w:tcW w:w="773" w:type="pct"/>
            <w:vAlign w:val="center"/>
          </w:tcPr>
          <w:p w14:paraId="16CAA103">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0.222</w:t>
            </w:r>
          </w:p>
        </w:tc>
        <w:tc>
          <w:tcPr>
            <w:tcW w:w="647" w:type="pct"/>
            <w:vAlign w:val="center"/>
          </w:tcPr>
          <w:p w14:paraId="592A2FB1">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0.22</w:t>
            </w:r>
          </w:p>
        </w:tc>
        <w:tc>
          <w:tcPr>
            <w:tcW w:w="647" w:type="pct"/>
            <w:vAlign w:val="center"/>
          </w:tcPr>
          <w:p w14:paraId="60812983">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6.18</w:t>
            </w:r>
          </w:p>
        </w:tc>
        <w:tc>
          <w:tcPr>
            <w:tcW w:w="647" w:type="pct"/>
            <w:vAlign w:val="center"/>
          </w:tcPr>
          <w:p w14:paraId="7D7890F4">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6.182</w:t>
            </w:r>
          </w:p>
        </w:tc>
        <w:tc>
          <w:tcPr>
            <w:tcW w:w="647" w:type="pct"/>
            <w:vAlign w:val="center"/>
          </w:tcPr>
          <w:p w14:paraId="561D8CBF">
            <w:pPr>
              <w:keepNext w:val="0"/>
              <w:keepLines w:val="0"/>
              <w:widowControl/>
              <w:suppressLineNumbers w:val="0"/>
              <w:jc w:val="center"/>
              <w:textAlignment w:val="bottom"/>
              <w:rPr>
                <w:szCs w:val="21"/>
              </w:rPr>
            </w:pPr>
            <w:r>
              <w:rPr>
                <w:rFonts w:hint="eastAsia"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5.96</w:t>
            </w:r>
          </w:p>
        </w:tc>
      </w:tr>
      <w:tr w14:paraId="336DA8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88" w:type="pct"/>
            <w:vMerge w:val="continue"/>
            <w:shd w:val="clear" w:color="auto" w:fill="auto"/>
            <w:vAlign w:val="center"/>
          </w:tcPr>
          <w:p w14:paraId="480C2F8F">
            <w:pPr>
              <w:widowControl/>
              <w:spacing w:line="240" w:lineRule="exact"/>
              <w:jc w:val="center"/>
              <w:rPr>
                <w:rFonts w:eastAsia="仿宋_GB2312"/>
                <w:kern w:val="0"/>
                <w:szCs w:val="21"/>
                <w:highlight w:val="yellow"/>
              </w:rPr>
            </w:pPr>
          </w:p>
        </w:tc>
        <w:tc>
          <w:tcPr>
            <w:tcW w:w="1147" w:type="pct"/>
            <w:shd w:val="clear" w:color="auto" w:fill="auto"/>
            <w:tcMar>
              <w:top w:w="15" w:type="dxa"/>
              <w:left w:w="15" w:type="dxa"/>
              <w:bottom w:w="0" w:type="dxa"/>
              <w:right w:w="15" w:type="dxa"/>
            </w:tcMar>
            <w:vAlign w:val="center"/>
          </w:tcPr>
          <w:p w14:paraId="256075E4">
            <w:pPr>
              <w:widowControl/>
              <w:spacing w:line="240" w:lineRule="exact"/>
              <w:jc w:val="center"/>
              <w:rPr>
                <w:rFonts w:eastAsia="仿宋_GB2312"/>
                <w:kern w:val="0"/>
                <w:szCs w:val="21"/>
              </w:rPr>
            </w:pPr>
            <w:r>
              <w:rPr>
                <w:rFonts w:eastAsia="仿宋_GB2312"/>
                <w:kern w:val="0"/>
                <w:szCs w:val="21"/>
              </w:rPr>
              <w:t>丙二醇</w:t>
            </w:r>
          </w:p>
        </w:tc>
        <w:tc>
          <w:tcPr>
            <w:tcW w:w="773" w:type="pct"/>
            <w:vAlign w:val="center"/>
          </w:tcPr>
          <w:p w14:paraId="6B62AF1B">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0.437</w:t>
            </w:r>
          </w:p>
        </w:tc>
        <w:tc>
          <w:tcPr>
            <w:tcW w:w="647" w:type="pct"/>
            <w:vAlign w:val="center"/>
          </w:tcPr>
          <w:p w14:paraId="0F1FE5FB">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647" w:type="pct"/>
            <w:vAlign w:val="center"/>
          </w:tcPr>
          <w:p w14:paraId="267F061B">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647" w:type="pct"/>
            <w:vAlign w:val="center"/>
          </w:tcPr>
          <w:p w14:paraId="1894C75F">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0.437</w:t>
            </w:r>
          </w:p>
        </w:tc>
        <w:tc>
          <w:tcPr>
            <w:tcW w:w="647" w:type="pct"/>
            <w:vAlign w:val="center"/>
          </w:tcPr>
          <w:p w14:paraId="7AD5568B">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w:t>
            </w:r>
          </w:p>
        </w:tc>
      </w:tr>
      <w:tr w14:paraId="4064AB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88" w:type="pct"/>
            <w:vMerge w:val="continue"/>
            <w:shd w:val="clear" w:color="auto" w:fill="auto"/>
            <w:vAlign w:val="center"/>
          </w:tcPr>
          <w:p w14:paraId="54276438">
            <w:pPr>
              <w:widowControl/>
              <w:spacing w:line="240" w:lineRule="exact"/>
              <w:jc w:val="center"/>
              <w:rPr>
                <w:rFonts w:eastAsia="仿宋_GB2312"/>
                <w:kern w:val="0"/>
                <w:szCs w:val="21"/>
                <w:highlight w:val="yellow"/>
              </w:rPr>
            </w:pPr>
          </w:p>
        </w:tc>
        <w:tc>
          <w:tcPr>
            <w:tcW w:w="1147" w:type="pct"/>
            <w:shd w:val="clear" w:color="auto" w:fill="auto"/>
            <w:tcMar>
              <w:top w:w="15" w:type="dxa"/>
              <w:left w:w="15" w:type="dxa"/>
              <w:bottom w:w="0" w:type="dxa"/>
              <w:right w:w="15" w:type="dxa"/>
            </w:tcMar>
            <w:vAlign w:val="center"/>
          </w:tcPr>
          <w:p w14:paraId="46073BE5">
            <w:pPr>
              <w:widowControl/>
              <w:spacing w:line="240" w:lineRule="exact"/>
              <w:jc w:val="center"/>
              <w:rPr>
                <w:rFonts w:eastAsia="仿宋_GB2312"/>
                <w:kern w:val="0"/>
                <w:szCs w:val="21"/>
              </w:rPr>
            </w:pPr>
            <w:r>
              <w:rPr>
                <w:rFonts w:hint="eastAsia" w:eastAsia="仿宋_GB2312"/>
                <w:kern w:val="0"/>
                <w:szCs w:val="21"/>
              </w:rPr>
              <w:t>二甘醇</w:t>
            </w:r>
          </w:p>
        </w:tc>
        <w:tc>
          <w:tcPr>
            <w:tcW w:w="773" w:type="pct"/>
            <w:vAlign w:val="center"/>
          </w:tcPr>
          <w:p w14:paraId="4149A3A8">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0.6</w:t>
            </w:r>
          </w:p>
        </w:tc>
        <w:tc>
          <w:tcPr>
            <w:tcW w:w="647" w:type="pct"/>
            <w:vAlign w:val="center"/>
          </w:tcPr>
          <w:p w14:paraId="04106036">
            <w:pPr>
              <w:keepNext w:val="0"/>
              <w:keepLines w:val="0"/>
              <w:widowControl/>
              <w:suppressLineNumbers w:val="0"/>
              <w:jc w:val="center"/>
              <w:textAlignment w:val="bottom"/>
              <w:rPr>
                <w:rFonts w:hint="eastAsia"/>
                <w:szCs w:val="21"/>
              </w:rPr>
            </w:pPr>
            <w:r>
              <w:rPr>
                <w:rFonts w:hint="eastAsia" w:ascii="宋体" w:hAnsi="宋体" w:eastAsia="宋体" w:cs="宋体"/>
                <w:i w:val="0"/>
                <w:iCs w:val="0"/>
                <w:color w:val="000000"/>
                <w:kern w:val="0"/>
                <w:sz w:val="21"/>
                <w:szCs w:val="21"/>
                <w:u w:val="none"/>
                <w:lang w:val="en-US" w:eastAsia="zh-CN" w:bidi="ar"/>
              </w:rPr>
              <w:t>0</w:t>
            </w:r>
          </w:p>
        </w:tc>
        <w:tc>
          <w:tcPr>
            <w:tcW w:w="647" w:type="pct"/>
            <w:vAlign w:val="center"/>
          </w:tcPr>
          <w:p w14:paraId="7A36EB93">
            <w:pPr>
              <w:keepNext w:val="0"/>
              <w:keepLines w:val="0"/>
              <w:widowControl/>
              <w:suppressLineNumbers w:val="0"/>
              <w:jc w:val="center"/>
              <w:textAlignment w:val="bottom"/>
              <w:rPr>
                <w:rFonts w:hint="eastAsia"/>
                <w:szCs w:val="21"/>
              </w:rPr>
            </w:pPr>
            <w:r>
              <w:rPr>
                <w:rFonts w:hint="eastAsia" w:ascii="宋体" w:hAnsi="宋体" w:eastAsia="宋体" w:cs="宋体"/>
                <w:i w:val="0"/>
                <w:iCs w:val="0"/>
                <w:color w:val="000000"/>
                <w:kern w:val="0"/>
                <w:sz w:val="21"/>
                <w:szCs w:val="21"/>
                <w:u w:val="none"/>
                <w:lang w:val="en-US" w:eastAsia="zh-CN" w:bidi="ar"/>
              </w:rPr>
              <w:t>0</w:t>
            </w:r>
          </w:p>
        </w:tc>
        <w:tc>
          <w:tcPr>
            <w:tcW w:w="647" w:type="pct"/>
            <w:vAlign w:val="center"/>
          </w:tcPr>
          <w:p w14:paraId="594C5618">
            <w:pPr>
              <w:keepNext w:val="0"/>
              <w:keepLines w:val="0"/>
              <w:widowControl/>
              <w:suppressLineNumbers w:val="0"/>
              <w:jc w:val="center"/>
              <w:textAlignment w:val="bottom"/>
              <w:rPr>
                <w:rFonts w:hint="eastAsia"/>
                <w:szCs w:val="21"/>
              </w:rPr>
            </w:pPr>
            <w:r>
              <w:rPr>
                <w:rFonts w:hint="default" w:ascii="Times New Roman" w:hAnsi="Times New Roman" w:eastAsia="宋体" w:cs="Times New Roman"/>
                <w:i w:val="0"/>
                <w:iCs w:val="0"/>
                <w:color w:val="000000"/>
                <w:kern w:val="0"/>
                <w:sz w:val="21"/>
                <w:szCs w:val="21"/>
                <w:u w:val="none"/>
                <w:lang w:val="en-US" w:eastAsia="zh-CN" w:bidi="ar"/>
              </w:rPr>
              <w:t>0.6</w:t>
            </w:r>
          </w:p>
        </w:tc>
        <w:tc>
          <w:tcPr>
            <w:tcW w:w="647" w:type="pct"/>
            <w:vAlign w:val="center"/>
          </w:tcPr>
          <w:p w14:paraId="22BB9993">
            <w:pPr>
              <w:keepNext w:val="0"/>
              <w:keepLines w:val="0"/>
              <w:widowControl/>
              <w:suppressLineNumbers w:val="0"/>
              <w:jc w:val="center"/>
              <w:textAlignment w:val="bottom"/>
              <w:rPr>
                <w:rFonts w:hint="eastAsia"/>
                <w:szCs w:val="21"/>
              </w:rPr>
            </w:pPr>
            <w:r>
              <w:rPr>
                <w:rFonts w:hint="default" w:ascii="Times New Roman" w:hAnsi="Times New Roman" w:eastAsia="宋体" w:cs="Times New Roman"/>
                <w:i w:val="0"/>
                <w:iCs w:val="0"/>
                <w:color w:val="000000"/>
                <w:kern w:val="0"/>
                <w:sz w:val="21"/>
                <w:szCs w:val="21"/>
                <w:u w:val="none"/>
                <w:lang w:val="en-US" w:eastAsia="zh-CN" w:bidi="ar"/>
              </w:rPr>
              <w:t>0</w:t>
            </w:r>
          </w:p>
        </w:tc>
      </w:tr>
      <w:tr w14:paraId="3F889B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88" w:type="pct"/>
            <w:vMerge w:val="continue"/>
            <w:shd w:val="clear" w:color="auto" w:fill="auto"/>
            <w:vAlign w:val="center"/>
          </w:tcPr>
          <w:p w14:paraId="70A97626">
            <w:pPr>
              <w:widowControl/>
              <w:spacing w:line="240" w:lineRule="exact"/>
              <w:jc w:val="center"/>
              <w:rPr>
                <w:rFonts w:eastAsia="仿宋_GB2312"/>
                <w:kern w:val="0"/>
                <w:szCs w:val="21"/>
                <w:highlight w:val="yellow"/>
              </w:rPr>
            </w:pPr>
          </w:p>
        </w:tc>
        <w:tc>
          <w:tcPr>
            <w:tcW w:w="1147" w:type="pct"/>
            <w:shd w:val="clear" w:color="auto" w:fill="auto"/>
            <w:tcMar>
              <w:top w:w="15" w:type="dxa"/>
              <w:left w:w="15" w:type="dxa"/>
              <w:bottom w:w="0" w:type="dxa"/>
              <w:right w:w="15" w:type="dxa"/>
            </w:tcMar>
            <w:vAlign w:val="center"/>
          </w:tcPr>
          <w:p w14:paraId="5B154F21">
            <w:pPr>
              <w:widowControl/>
              <w:spacing w:line="240" w:lineRule="exact"/>
              <w:jc w:val="center"/>
              <w:rPr>
                <w:rFonts w:eastAsia="仿宋_GB2312"/>
                <w:kern w:val="0"/>
                <w:szCs w:val="21"/>
              </w:rPr>
            </w:pPr>
            <w:r>
              <w:rPr>
                <w:rFonts w:hint="eastAsia" w:eastAsia="仿宋_GB2312"/>
                <w:kern w:val="0"/>
                <w:szCs w:val="21"/>
              </w:rPr>
              <w:t>二乙二醇</w:t>
            </w:r>
          </w:p>
        </w:tc>
        <w:tc>
          <w:tcPr>
            <w:tcW w:w="773" w:type="pct"/>
            <w:vAlign w:val="center"/>
          </w:tcPr>
          <w:p w14:paraId="2D03EB5A">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0.6</w:t>
            </w:r>
          </w:p>
        </w:tc>
        <w:tc>
          <w:tcPr>
            <w:tcW w:w="647" w:type="pct"/>
            <w:vAlign w:val="center"/>
          </w:tcPr>
          <w:p w14:paraId="569EB77B">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0.06</w:t>
            </w:r>
          </w:p>
        </w:tc>
        <w:tc>
          <w:tcPr>
            <w:tcW w:w="647" w:type="pct"/>
            <w:vAlign w:val="center"/>
          </w:tcPr>
          <w:p w14:paraId="106BAF91">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0.05</w:t>
            </w:r>
          </w:p>
        </w:tc>
        <w:tc>
          <w:tcPr>
            <w:tcW w:w="647" w:type="pct"/>
            <w:vAlign w:val="center"/>
          </w:tcPr>
          <w:p w14:paraId="4F849ACE">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0.59</w:t>
            </w:r>
          </w:p>
        </w:tc>
        <w:tc>
          <w:tcPr>
            <w:tcW w:w="647" w:type="pct"/>
            <w:vAlign w:val="center"/>
          </w:tcPr>
          <w:p w14:paraId="127FA824">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-0.01</w:t>
            </w:r>
          </w:p>
        </w:tc>
      </w:tr>
      <w:tr w14:paraId="50315B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88" w:type="pct"/>
            <w:vMerge w:val="continue"/>
            <w:shd w:val="clear" w:color="auto" w:fill="auto"/>
            <w:vAlign w:val="center"/>
          </w:tcPr>
          <w:p w14:paraId="1BBF6441">
            <w:pPr>
              <w:widowControl/>
              <w:spacing w:line="240" w:lineRule="exact"/>
              <w:jc w:val="center"/>
              <w:rPr>
                <w:rFonts w:eastAsia="仿宋_GB2312"/>
                <w:kern w:val="0"/>
                <w:szCs w:val="21"/>
                <w:highlight w:val="yellow"/>
              </w:rPr>
            </w:pPr>
          </w:p>
        </w:tc>
        <w:tc>
          <w:tcPr>
            <w:tcW w:w="1147" w:type="pct"/>
            <w:shd w:val="clear" w:color="auto" w:fill="auto"/>
            <w:tcMar>
              <w:top w:w="15" w:type="dxa"/>
              <w:left w:w="15" w:type="dxa"/>
              <w:bottom w:w="0" w:type="dxa"/>
              <w:right w:w="15" w:type="dxa"/>
            </w:tcMar>
            <w:vAlign w:val="center"/>
          </w:tcPr>
          <w:p w14:paraId="2E09FB8A">
            <w:pPr>
              <w:widowControl/>
              <w:spacing w:line="240" w:lineRule="exact"/>
              <w:jc w:val="center"/>
              <w:rPr>
                <w:rFonts w:eastAsia="仿宋_GB2312"/>
                <w:kern w:val="0"/>
                <w:szCs w:val="21"/>
              </w:rPr>
            </w:pPr>
            <w:r>
              <w:rPr>
                <w:rFonts w:eastAsia="仿宋_GB2312"/>
                <w:kern w:val="0"/>
                <w:szCs w:val="21"/>
              </w:rPr>
              <w:t>己二酸</w:t>
            </w:r>
          </w:p>
        </w:tc>
        <w:tc>
          <w:tcPr>
            <w:tcW w:w="773" w:type="pct"/>
            <w:vAlign w:val="center"/>
          </w:tcPr>
          <w:p w14:paraId="05107C5C">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0.12</w:t>
            </w:r>
          </w:p>
        </w:tc>
        <w:tc>
          <w:tcPr>
            <w:tcW w:w="647" w:type="pct"/>
            <w:vAlign w:val="center"/>
          </w:tcPr>
          <w:p w14:paraId="5AF84210">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647" w:type="pct"/>
            <w:vAlign w:val="center"/>
          </w:tcPr>
          <w:p w14:paraId="5328C1DD">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647" w:type="pct"/>
            <w:vAlign w:val="center"/>
          </w:tcPr>
          <w:p w14:paraId="0164228C">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0.12</w:t>
            </w:r>
          </w:p>
        </w:tc>
        <w:tc>
          <w:tcPr>
            <w:tcW w:w="647" w:type="pct"/>
            <w:vAlign w:val="center"/>
          </w:tcPr>
          <w:p w14:paraId="30C056ED">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w:t>
            </w:r>
          </w:p>
        </w:tc>
      </w:tr>
      <w:tr w14:paraId="3C830B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88" w:type="pct"/>
            <w:vMerge w:val="continue"/>
            <w:shd w:val="clear" w:color="auto" w:fill="auto"/>
            <w:vAlign w:val="center"/>
          </w:tcPr>
          <w:p w14:paraId="010666A5">
            <w:pPr>
              <w:widowControl/>
              <w:spacing w:line="240" w:lineRule="exact"/>
              <w:jc w:val="center"/>
              <w:rPr>
                <w:rFonts w:eastAsia="仿宋_GB2312"/>
                <w:kern w:val="0"/>
                <w:szCs w:val="21"/>
                <w:highlight w:val="yellow"/>
              </w:rPr>
            </w:pPr>
          </w:p>
        </w:tc>
        <w:tc>
          <w:tcPr>
            <w:tcW w:w="1147" w:type="pct"/>
            <w:shd w:val="clear" w:color="auto" w:fill="auto"/>
            <w:tcMar>
              <w:top w:w="15" w:type="dxa"/>
              <w:left w:w="15" w:type="dxa"/>
              <w:bottom w:w="0" w:type="dxa"/>
              <w:right w:w="15" w:type="dxa"/>
            </w:tcMar>
            <w:vAlign w:val="center"/>
          </w:tcPr>
          <w:p w14:paraId="2227570B">
            <w:pPr>
              <w:widowControl/>
              <w:spacing w:line="240" w:lineRule="exact"/>
              <w:jc w:val="center"/>
              <w:rPr>
                <w:rFonts w:eastAsia="仿宋_GB2312"/>
                <w:kern w:val="0"/>
                <w:szCs w:val="21"/>
              </w:rPr>
            </w:pPr>
            <w:r>
              <w:rPr>
                <w:rFonts w:eastAsia="仿宋_GB2312"/>
                <w:kern w:val="0"/>
                <w:szCs w:val="21"/>
              </w:rPr>
              <w:t>醋酸</w:t>
            </w:r>
          </w:p>
        </w:tc>
        <w:tc>
          <w:tcPr>
            <w:tcW w:w="773" w:type="pct"/>
            <w:vAlign w:val="center"/>
          </w:tcPr>
          <w:p w14:paraId="4D2B2CB5">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0.007</w:t>
            </w:r>
          </w:p>
        </w:tc>
        <w:tc>
          <w:tcPr>
            <w:tcW w:w="647" w:type="pct"/>
            <w:vAlign w:val="center"/>
          </w:tcPr>
          <w:p w14:paraId="67255365">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647" w:type="pct"/>
            <w:vAlign w:val="center"/>
          </w:tcPr>
          <w:p w14:paraId="44D26777">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647" w:type="pct"/>
            <w:vAlign w:val="center"/>
          </w:tcPr>
          <w:p w14:paraId="7A8D0151">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0.007</w:t>
            </w:r>
          </w:p>
        </w:tc>
        <w:tc>
          <w:tcPr>
            <w:tcW w:w="647" w:type="pct"/>
            <w:vAlign w:val="center"/>
          </w:tcPr>
          <w:p w14:paraId="08CEF3F3">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w:t>
            </w:r>
          </w:p>
        </w:tc>
      </w:tr>
      <w:tr w14:paraId="6C464B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88" w:type="pct"/>
            <w:vMerge w:val="continue"/>
            <w:shd w:val="clear" w:color="auto" w:fill="auto"/>
            <w:vAlign w:val="center"/>
          </w:tcPr>
          <w:p w14:paraId="229A2930">
            <w:pPr>
              <w:widowControl/>
              <w:spacing w:line="240" w:lineRule="exact"/>
              <w:jc w:val="center"/>
              <w:rPr>
                <w:rFonts w:eastAsia="仿宋_GB2312"/>
                <w:kern w:val="0"/>
                <w:szCs w:val="21"/>
                <w:highlight w:val="yellow"/>
              </w:rPr>
            </w:pPr>
          </w:p>
        </w:tc>
        <w:tc>
          <w:tcPr>
            <w:tcW w:w="1147" w:type="pct"/>
            <w:shd w:val="clear" w:color="auto" w:fill="auto"/>
            <w:tcMar>
              <w:top w:w="15" w:type="dxa"/>
              <w:left w:w="15" w:type="dxa"/>
              <w:bottom w:w="0" w:type="dxa"/>
              <w:right w:w="15" w:type="dxa"/>
            </w:tcMar>
            <w:vAlign w:val="center"/>
          </w:tcPr>
          <w:p w14:paraId="5A7AEAFA">
            <w:pPr>
              <w:widowControl/>
              <w:spacing w:line="240" w:lineRule="exact"/>
              <w:jc w:val="center"/>
              <w:rPr>
                <w:rFonts w:eastAsia="仿宋_GB2312"/>
                <w:kern w:val="0"/>
                <w:szCs w:val="21"/>
              </w:rPr>
            </w:pPr>
            <w:r>
              <w:rPr>
                <w:rFonts w:eastAsia="仿宋_GB2312"/>
                <w:kern w:val="0"/>
                <w:szCs w:val="21"/>
              </w:rPr>
              <w:t>甲基异丁基酮</w:t>
            </w:r>
          </w:p>
        </w:tc>
        <w:tc>
          <w:tcPr>
            <w:tcW w:w="773" w:type="pct"/>
            <w:vAlign w:val="center"/>
          </w:tcPr>
          <w:p w14:paraId="39822973">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0.012</w:t>
            </w:r>
          </w:p>
        </w:tc>
        <w:tc>
          <w:tcPr>
            <w:tcW w:w="647" w:type="pct"/>
            <w:vAlign w:val="center"/>
          </w:tcPr>
          <w:p w14:paraId="62F1C8C1">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647" w:type="pct"/>
            <w:vAlign w:val="center"/>
          </w:tcPr>
          <w:p w14:paraId="3200E2DC">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647" w:type="pct"/>
            <w:vAlign w:val="center"/>
          </w:tcPr>
          <w:p w14:paraId="378FC0BF">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0.012</w:t>
            </w:r>
          </w:p>
        </w:tc>
        <w:tc>
          <w:tcPr>
            <w:tcW w:w="647" w:type="pct"/>
            <w:vAlign w:val="center"/>
          </w:tcPr>
          <w:p w14:paraId="3D0B3976">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w:t>
            </w:r>
          </w:p>
        </w:tc>
      </w:tr>
      <w:tr w14:paraId="6EF9E5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88" w:type="pct"/>
            <w:vMerge w:val="continue"/>
            <w:shd w:val="clear" w:color="auto" w:fill="auto"/>
            <w:vAlign w:val="center"/>
          </w:tcPr>
          <w:p w14:paraId="1058DDDB">
            <w:pPr>
              <w:widowControl/>
              <w:spacing w:line="240" w:lineRule="exact"/>
              <w:jc w:val="center"/>
              <w:rPr>
                <w:rFonts w:eastAsia="仿宋_GB2312"/>
                <w:kern w:val="0"/>
                <w:szCs w:val="21"/>
                <w:highlight w:val="yellow"/>
              </w:rPr>
            </w:pPr>
          </w:p>
        </w:tc>
        <w:tc>
          <w:tcPr>
            <w:tcW w:w="1147" w:type="pct"/>
            <w:shd w:val="clear" w:color="auto" w:fill="auto"/>
            <w:tcMar>
              <w:top w:w="15" w:type="dxa"/>
              <w:left w:w="15" w:type="dxa"/>
              <w:bottom w:w="0" w:type="dxa"/>
              <w:right w:w="15" w:type="dxa"/>
            </w:tcMar>
            <w:vAlign w:val="center"/>
          </w:tcPr>
          <w:p w14:paraId="5DB7D343">
            <w:pPr>
              <w:widowControl/>
              <w:spacing w:line="240" w:lineRule="exact"/>
              <w:jc w:val="center"/>
              <w:rPr>
                <w:rFonts w:eastAsia="仿宋_GB2312"/>
                <w:kern w:val="0"/>
                <w:szCs w:val="21"/>
              </w:rPr>
            </w:pPr>
            <w:r>
              <w:rPr>
                <w:rFonts w:eastAsia="仿宋_GB2312"/>
                <w:kern w:val="0"/>
                <w:szCs w:val="21"/>
              </w:rPr>
              <w:t>二氯甲烷</w:t>
            </w:r>
          </w:p>
        </w:tc>
        <w:tc>
          <w:tcPr>
            <w:tcW w:w="773" w:type="pct"/>
            <w:vAlign w:val="center"/>
          </w:tcPr>
          <w:p w14:paraId="63B0B4B8">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0.528</w:t>
            </w:r>
          </w:p>
        </w:tc>
        <w:tc>
          <w:tcPr>
            <w:tcW w:w="647" w:type="pct"/>
            <w:vAlign w:val="center"/>
          </w:tcPr>
          <w:p w14:paraId="4FDD3A5E">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0.46</w:t>
            </w:r>
          </w:p>
        </w:tc>
        <w:tc>
          <w:tcPr>
            <w:tcW w:w="647" w:type="pct"/>
            <w:vAlign w:val="center"/>
          </w:tcPr>
          <w:p w14:paraId="610E0A50">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0.7</w:t>
            </w:r>
          </w:p>
        </w:tc>
        <w:tc>
          <w:tcPr>
            <w:tcW w:w="647" w:type="pct"/>
            <w:vAlign w:val="center"/>
          </w:tcPr>
          <w:p w14:paraId="0ECEEBAC">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0.768</w:t>
            </w:r>
          </w:p>
        </w:tc>
        <w:tc>
          <w:tcPr>
            <w:tcW w:w="647" w:type="pct"/>
            <w:vAlign w:val="center"/>
          </w:tcPr>
          <w:p w14:paraId="2D65FC40">
            <w:pPr>
              <w:keepNext w:val="0"/>
              <w:keepLines w:val="0"/>
              <w:widowControl/>
              <w:suppressLineNumbers w:val="0"/>
              <w:jc w:val="center"/>
              <w:textAlignment w:val="bottom"/>
              <w:rPr>
                <w:szCs w:val="21"/>
              </w:rPr>
            </w:pPr>
            <w:r>
              <w:rPr>
                <w:rFonts w:hint="eastAsia"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0.24</w:t>
            </w:r>
          </w:p>
        </w:tc>
      </w:tr>
      <w:tr w14:paraId="1EAC10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88" w:type="pct"/>
            <w:vMerge w:val="continue"/>
            <w:shd w:val="clear" w:color="auto" w:fill="auto"/>
            <w:vAlign w:val="center"/>
          </w:tcPr>
          <w:p w14:paraId="4E7C6041">
            <w:pPr>
              <w:widowControl/>
              <w:spacing w:line="240" w:lineRule="exact"/>
              <w:jc w:val="center"/>
              <w:rPr>
                <w:rFonts w:eastAsia="仿宋_GB2312"/>
                <w:kern w:val="0"/>
                <w:szCs w:val="21"/>
                <w:highlight w:val="yellow"/>
              </w:rPr>
            </w:pPr>
          </w:p>
        </w:tc>
        <w:tc>
          <w:tcPr>
            <w:tcW w:w="1147" w:type="pct"/>
            <w:shd w:val="clear" w:color="auto" w:fill="auto"/>
            <w:tcMar>
              <w:top w:w="15" w:type="dxa"/>
              <w:left w:w="15" w:type="dxa"/>
              <w:bottom w:w="0" w:type="dxa"/>
              <w:right w:w="15" w:type="dxa"/>
            </w:tcMar>
            <w:vAlign w:val="center"/>
          </w:tcPr>
          <w:p w14:paraId="479A276E">
            <w:pPr>
              <w:widowControl/>
              <w:spacing w:line="240" w:lineRule="exact"/>
              <w:jc w:val="center"/>
              <w:rPr>
                <w:rFonts w:eastAsia="仿宋_GB2312"/>
                <w:kern w:val="0"/>
                <w:szCs w:val="21"/>
              </w:rPr>
            </w:pPr>
            <w:r>
              <w:rPr>
                <w:rFonts w:eastAsia="仿宋_GB2312"/>
                <w:kern w:val="0"/>
                <w:szCs w:val="21"/>
              </w:rPr>
              <w:t>二氯乙烷</w:t>
            </w:r>
          </w:p>
        </w:tc>
        <w:tc>
          <w:tcPr>
            <w:tcW w:w="773" w:type="pct"/>
            <w:vAlign w:val="center"/>
          </w:tcPr>
          <w:p w14:paraId="6885DD73">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0.407</w:t>
            </w:r>
          </w:p>
        </w:tc>
        <w:tc>
          <w:tcPr>
            <w:tcW w:w="647" w:type="pct"/>
            <w:vAlign w:val="center"/>
          </w:tcPr>
          <w:p w14:paraId="4D885E68">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0.37</w:t>
            </w:r>
          </w:p>
        </w:tc>
        <w:tc>
          <w:tcPr>
            <w:tcW w:w="647" w:type="pct"/>
            <w:vAlign w:val="center"/>
          </w:tcPr>
          <w:p w14:paraId="01C416A1">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0.54</w:t>
            </w:r>
          </w:p>
        </w:tc>
        <w:tc>
          <w:tcPr>
            <w:tcW w:w="647" w:type="pct"/>
            <w:vAlign w:val="center"/>
          </w:tcPr>
          <w:p w14:paraId="6CF7234B">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0.577</w:t>
            </w:r>
          </w:p>
        </w:tc>
        <w:tc>
          <w:tcPr>
            <w:tcW w:w="647" w:type="pct"/>
            <w:vAlign w:val="center"/>
          </w:tcPr>
          <w:p w14:paraId="3C5067B3">
            <w:pPr>
              <w:keepNext w:val="0"/>
              <w:keepLines w:val="0"/>
              <w:widowControl/>
              <w:suppressLineNumbers w:val="0"/>
              <w:jc w:val="center"/>
              <w:textAlignment w:val="bottom"/>
              <w:rPr>
                <w:szCs w:val="21"/>
              </w:rPr>
            </w:pPr>
            <w:r>
              <w:rPr>
                <w:rFonts w:hint="eastAsia"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0.17</w:t>
            </w:r>
          </w:p>
        </w:tc>
      </w:tr>
      <w:tr w14:paraId="616050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88" w:type="pct"/>
            <w:vMerge w:val="continue"/>
            <w:shd w:val="clear" w:color="auto" w:fill="auto"/>
            <w:vAlign w:val="center"/>
          </w:tcPr>
          <w:p w14:paraId="7004F342">
            <w:pPr>
              <w:widowControl/>
              <w:spacing w:line="240" w:lineRule="exact"/>
              <w:jc w:val="center"/>
              <w:rPr>
                <w:rFonts w:eastAsia="仿宋_GB2312"/>
                <w:kern w:val="0"/>
                <w:szCs w:val="21"/>
                <w:highlight w:val="yellow"/>
              </w:rPr>
            </w:pPr>
          </w:p>
        </w:tc>
        <w:tc>
          <w:tcPr>
            <w:tcW w:w="1147" w:type="pct"/>
            <w:shd w:val="clear" w:color="auto" w:fill="auto"/>
            <w:tcMar>
              <w:top w:w="15" w:type="dxa"/>
              <w:left w:w="15" w:type="dxa"/>
              <w:bottom w:w="0" w:type="dxa"/>
              <w:right w:w="15" w:type="dxa"/>
            </w:tcMar>
            <w:vAlign w:val="center"/>
          </w:tcPr>
          <w:p w14:paraId="3D72C40A">
            <w:pPr>
              <w:widowControl/>
              <w:spacing w:line="240" w:lineRule="exact"/>
              <w:jc w:val="center"/>
              <w:rPr>
                <w:rFonts w:eastAsia="仿宋_GB2312"/>
                <w:kern w:val="0"/>
                <w:szCs w:val="21"/>
              </w:rPr>
            </w:pPr>
            <w:r>
              <w:rPr>
                <w:rFonts w:eastAsia="仿宋_GB2312"/>
                <w:kern w:val="0"/>
                <w:szCs w:val="21"/>
              </w:rPr>
              <w:t>丙三醇</w:t>
            </w:r>
          </w:p>
        </w:tc>
        <w:tc>
          <w:tcPr>
            <w:tcW w:w="773" w:type="pct"/>
            <w:vAlign w:val="center"/>
          </w:tcPr>
          <w:p w14:paraId="73F0385A">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0.945</w:t>
            </w:r>
          </w:p>
        </w:tc>
        <w:tc>
          <w:tcPr>
            <w:tcW w:w="647" w:type="pct"/>
            <w:vAlign w:val="center"/>
          </w:tcPr>
          <w:p w14:paraId="01F2B6D8">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647" w:type="pct"/>
            <w:vAlign w:val="center"/>
          </w:tcPr>
          <w:p w14:paraId="72A7BD53">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647" w:type="pct"/>
            <w:vAlign w:val="center"/>
          </w:tcPr>
          <w:p w14:paraId="2C2E1AFA">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0.945</w:t>
            </w:r>
          </w:p>
        </w:tc>
        <w:tc>
          <w:tcPr>
            <w:tcW w:w="647" w:type="pct"/>
            <w:vAlign w:val="center"/>
          </w:tcPr>
          <w:p w14:paraId="46B04662">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w:t>
            </w:r>
          </w:p>
        </w:tc>
      </w:tr>
      <w:tr w14:paraId="3BBCB1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88" w:type="pct"/>
            <w:vMerge w:val="continue"/>
            <w:shd w:val="clear" w:color="auto" w:fill="auto"/>
            <w:vAlign w:val="center"/>
          </w:tcPr>
          <w:p w14:paraId="391A58EF">
            <w:pPr>
              <w:widowControl/>
              <w:spacing w:line="240" w:lineRule="exact"/>
              <w:jc w:val="center"/>
              <w:rPr>
                <w:rFonts w:eastAsia="仿宋_GB2312"/>
                <w:kern w:val="0"/>
                <w:szCs w:val="21"/>
                <w:highlight w:val="yellow"/>
              </w:rPr>
            </w:pPr>
          </w:p>
        </w:tc>
        <w:tc>
          <w:tcPr>
            <w:tcW w:w="1147" w:type="pct"/>
            <w:shd w:val="clear" w:color="auto" w:fill="auto"/>
            <w:noWrap/>
            <w:tcMar>
              <w:top w:w="15" w:type="dxa"/>
              <w:left w:w="15" w:type="dxa"/>
              <w:bottom w:w="0" w:type="dxa"/>
              <w:right w:w="15" w:type="dxa"/>
            </w:tcMar>
            <w:vAlign w:val="center"/>
          </w:tcPr>
          <w:p w14:paraId="44AA9C5B">
            <w:pPr>
              <w:widowControl/>
              <w:spacing w:line="240" w:lineRule="exact"/>
              <w:jc w:val="center"/>
              <w:rPr>
                <w:rFonts w:eastAsia="仿宋_GB2312"/>
                <w:kern w:val="0"/>
                <w:szCs w:val="21"/>
              </w:rPr>
            </w:pPr>
            <w:r>
              <w:rPr>
                <w:rFonts w:eastAsia="仿宋_GB2312"/>
                <w:kern w:val="0"/>
                <w:szCs w:val="21"/>
              </w:rPr>
              <w:t>正庚烷</w:t>
            </w:r>
          </w:p>
        </w:tc>
        <w:tc>
          <w:tcPr>
            <w:tcW w:w="773" w:type="pct"/>
            <w:vAlign w:val="center"/>
          </w:tcPr>
          <w:p w14:paraId="06B05AA1">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0.2</w:t>
            </w:r>
          </w:p>
        </w:tc>
        <w:tc>
          <w:tcPr>
            <w:tcW w:w="647" w:type="pct"/>
            <w:vAlign w:val="center"/>
          </w:tcPr>
          <w:p w14:paraId="3CAF891C">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0.2</w:t>
            </w:r>
          </w:p>
        </w:tc>
        <w:tc>
          <w:tcPr>
            <w:tcW w:w="647" w:type="pct"/>
            <w:vAlign w:val="center"/>
          </w:tcPr>
          <w:p w14:paraId="5C98D5AF">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647" w:type="pct"/>
            <w:vAlign w:val="center"/>
          </w:tcPr>
          <w:p w14:paraId="70094ABD">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647" w:type="pct"/>
            <w:vAlign w:val="center"/>
          </w:tcPr>
          <w:p w14:paraId="265EA153">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-0.2</w:t>
            </w:r>
          </w:p>
        </w:tc>
      </w:tr>
      <w:tr w14:paraId="24DB2D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88" w:type="pct"/>
            <w:vMerge w:val="continue"/>
            <w:shd w:val="clear" w:color="auto" w:fill="auto"/>
            <w:vAlign w:val="center"/>
          </w:tcPr>
          <w:p w14:paraId="5BB7DA46">
            <w:pPr>
              <w:widowControl/>
              <w:spacing w:line="240" w:lineRule="exact"/>
              <w:jc w:val="center"/>
              <w:rPr>
                <w:rFonts w:eastAsia="仿宋_GB2312"/>
                <w:kern w:val="0"/>
                <w:szCs w:val="21"/>
                <w:highlight w:val="yellow"/>
              </w:rPr>
            </w:pPr>
          </w:p>
        </w:tc>
        <w:tc>
          <w:tcPr>
            <w:tcW w:w="1147" w:type="pct"/>
            <w:shd w:val="clear" w:color="auto" w:fill="auto"/>
            <w:noWrap/>
            <w:tcMar>
              <w:top w:w="15" w:type="dxa"/>
              <w:left w:w="15" w:type="dxa"/>
              <w:bottom w:w="0" w:type="dxa"/>
              <w:right w:w="15" w:type="dxa"/>
            </w:tcMar>
            <w:vAlign w:val="center"/>
          </w:tcPr>
          <w:p w14:paraId="39C8B50E">
            <w:pPr>
              <w:widowControl/>
              <w:spacing w:line="240" w:lineRule="exact"/>
              <w:jc w:val="center"/>
              <w:rPr>
                <w:rFonts w:eastAsia="仿宋_GB2312"/>
                <w:kern w:val="0"/>
                <w:szCs w:val="21"/>
              </w:rPr>
            </w:pPr>
            <w:r>
              <w:rPr>
                <w:rFonts w:eastAsia="仿宋_GB2312"/>
                <w:kern w:val="0"/>
                <w:szCs w:val="21"/>
              </w:rPr>
              <w:t>己烷</w:t>
            </w:r>
          </w:p>
        </w:tc>
        <w:tc>
          <w:tcPr>
            <w:tcW w:w="773" w:type="pct"/>
            <w:vAlign w:val="center"/>
          </w:tcPr>
          <w:p w14:paraId="08CB711A">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0.012</w:t>
            </w:r>
          </w:p>
        </w:tc>
        <w:tc>
          <w:tcPr>
            <w:tcW w:w="647" w:type="pct"/>
            <w:vAlign w:val="center"/>
          </w:tcPr>
          <w:p w14:paraId="25D2E69E">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647" w:type="pct"/>
            <w:vAlign w:val="center"/>
          </w:tcPr>
          <w:p w14:paraId="3AAC14C8">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0.44</w:t>
            </w:r>
          </w:p>
        </w:tc>
        <w:tc>
          <w:tcPr>
            <w:tcW w:w="647" w:type="pct"/>
            <w:vAlign w:val="center"/>
          </w:tcPr>
          <w:p w14:paraId="11B6AFCB">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0.452</w:t>
            </w:r>
          </w:p>
        </w:tc>
        <w:tc>
          <w:tcPr>
            <w:tcW w:w="647" w:type="pct"/>
            <w:vAlign w:val="center"/>
          </w:tcPr>
          <w:p w14:paraId="7FDD09B7">
            <w:pPr>
              <w:keepNext w:val="0"/>
              <w:keepLines w:val="0"/>
              <w:widowControl/>
              <w:suppressLineNumbers w:val="0"/>
              <w:jc w:val="center"/>
              <w:textAlignment w:val="bottom"/>
              <w:rPr>
                <w:szCs w:val="21"/>
              </w:rPr>
            </w:pPr>
            <w:r>
              <w:rPr>
                <w:rFonts w:hint="eastAsia"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0.44</w:t>
            </w:r>
          </w:p>
        </w:tc>
      </w:tr>
      <w:tr w14:paraId="5AB1507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88" w:type="pct"/>
            <w:vMerge w:val="continue"/>
            <w:shd w:val="clear" w:color="auto" w:fill="auto"/>
            <w:vAlign w:val="center"/>
          </w:tcPr>
          <w:p w14:paraId="4B259C20">
            <w:pPr>
              <w:widowControl/>
              <w:spacing w:line="240" w:lineRule="exact"/>
              <w:jc w:val="center"/>
              <w:rPr>
                <w:rFonts w:eastAsia="仿宋_GB2312"/>
                <w:kern w:val="0"/>
                <w:szCs w:val="21"/>
                <w:highlight w:val="yellow"/>
              </w:rPr>
            </w:pPr>
          </w:p>
        </w:tc>
        <w:tc>
          <w:tcPr>
            <w:tcW w:w="1147" w:type="pct"/>
            <w:shd w:val="clear" w:color="auto" w:fill="auto"/>
            <w:noWrap/>
            <w:tcMar>
              <w:top w:w="15" w:type="dxa"/>
              <w:left w:w="15" w:type="dxa"/>
              <w:bottom w:w="0" w:type="dxa"/>
              <w:right w:w="15" w:type="dxa"/>
            </w:tcMar>
            <w:vAlign w:val="center"/>
          </w:tcPr>
          <w:p w14:paraId="6FD5C554">
            <w:pPr>
              <w:widowControl/>
              <w:spacing w:line="240" w:lineRule="exact"/>
              <w:jc w:val="center"/>
              <w:rPr>
                <w:rFonts w:eastAsia="仿宋_GB2312"/>
                <w:kern w:val="0"/>
                <w:szCs w:val="21"/>
              </w:rPr>
            </w:pPr>
            <w:r>
              <w:rPr>
                <w:rFonts w:eastAsia="仿宋_GB2312"/>
                <w:kern w:val="0"/>
                <w:szCs w:val="21"/>
              </w:rPr>
              <w:t>二甲基甲酰胺</w:t>
            </w:r>
          </w:p>
        </w:tc>
        <w:tc>
          <w:tcPr>
            <w:tcW w:w="773" w:type="pct"/>
            <w:vAlign w:val="center"/>
          </w:tcPr>
          <w:p w14:paraId="1E2FFAF3">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0.18542</w:t>
            </w:r>
          </w:p>
        </w:tc>
        <w:tc>
          <w:tcPr>
            <w:tcW w:w="647" w:type="pct"/>
            <w:vAlign w:val="center"/>
          </w:tcPr>
          <w:p w14:paraId="313039B6">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0.13</w:t>
            </w:r>
          </w:p>
        </w:tc>
        <w:tc>
          <w:tcPr>
            <w:tcW w:w="647" w:type="pct"/>
            <w:vAlign w:val="center"/>
          </w:tcPr>
          <w:p w14:paraId="3AA82381">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2.64</w:t>
            </w:r>
          </w:p>
        </w:tc>
        <w:tc>
          <w:tcPr>
            <w:tcW w:w="647" w:type="pct"/>
            <w:vAlign w:val="center"/>
          </w:tcPr>
          <w:p w14:paraId="58794578">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2.69542</w:t>
            </w:r>
          </w:p>
        </w:tc>
        <w:tc>
          <w:tcPr>
            <w:tcW w:w="647" w:type="pct"/>
            <w:vAlign w:val="center"/>
          </w:tcPr>
          <w:p w14:paraId="2D21C8AD">
            <w:pPr>
              <w:keepNext w:val="0"/>
              <w:keepLines w:val="0"/>
              <w:widowControl/>
              <w:suppressLineNumbers w:val="0"/>
              <w:jc w:val="center"/>
              <w:textAlignment w:val="bottom"/>
              <w:rPr>
                <w:szCs w:val="21"/>
              </w:rPr>
            </w:pPr>
            <w:r>
              <w:rPr>
                <w:rFonts w:hint="eastAsia"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2.51</w:t>
            </w:r>
          </w:p>
        </w:tc>
      </w:tr>
      <w:tr w14:paraId="76B40E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88" w:type="pct"/>
            <w:vMerge w:val="continue"/>
            <w:shd w:val="clear" w:color="auto" w:fill="auto"/>
            <w:vAlign w:val="center"/>
          </w:tcPr>
          <w:p w14:paraId="6EC06C36">
            <w:pPr>
              <w:widowControl/>
              <w:spacing w:line="240" w:lineRule="exact"/>
              <w:jc w:val="center"/>
              <w:rPr>
                <w:rFonts w:eastAsia="仿宋_GB2312"/>
                <w:kern w:val="0"/>
                <w:szCs w:val="21"/>
                <w:highlight w:val="yellow"/>
              </w:rPr>
            </w:pPr>
          </w:p>
        </w:tc>
        <w:tc>
          <w:tcPr>
            <w:tcW w:w="1147" w:type="pct"/>
            <w:shd w:val="clear" w:color="auto" w:fill="auto"/>
            <w:tcMar>
              <w:top w:w="15" w:type="dxa"/>
              <w:left w:w="15" w:type="dxa"/>
              <w:bottom w:w="0" w:type="dxa"/>
              <w:right w:w="15" w:type="dxa"/>
            </w:tcMar>
            <w:vAlign w:val="center"/>
          </w:tcPr>
          <w:p w14:paraId="7818B6A5">
            <w:pPr>
              <w:widowControl/>
              <w:spacing w:line="240" w:lineRule="exact"/>
              <w:jc w:val="center"/>
              <w:rPr>
                <w:rFonts w:eastAsia="仿宋_GB2312"/>
                <w:kern w:val="0"/>
                <w:szCs w:val="21"/>
              </w:rPr>
            </w:pPr>
            <w:r>
              <w:rPr>
                <w:rFonts w:eastAsia="仿宋_GB2312"/>
                <w:kern w:val="0"/>
                <w:szCs w:val="21"/>
              </w:rPr>
              <w:t>二</w:t>
            </w:r>
            <w:r>
              <w:rPr>
                <w:kern w:val="0"/>
                <w:szCs w:val="21"/>
              </w:rPr>
              <w:t>噁</w:t>
            </w:r>
            <w:r>
              <w:rPr>
                <w:rFonts w:eastAsia="仿宋_GB2312"/>
                <w:kern w:val="0"/>
                <w:szCs w:val="21"/>
              </w:rPr>
              <w:t>英类（g/a TEQ）</w:t>
            </w:r>
          </w:p>
        </w:tc>
        <w:tc>
          <w:tcPr>
            <w:tcW w:w="773" w:type="pct"/>
            <w:vAlign w:val="center"/>
          </w:tcPr>
          <w:p w14:paraId="7664CAFC">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0.05552</w:t>
            </w:r>
          </w:p>
        </w:tc>
        <w:tc>
          <w:tcPr>
            <w:tcW w:w="647" w:type="pct"/>
            <w:vAlign w:val="center"/>
          </w:tcPr>
          <w:p w14:paraId="69E12FA8">
            <w:pPr>
              <w:keepNext w:val="0"/>
              <w:keepLines w:val="0"/>
              <w:widowControl/>
              <w:suppressLineNumbers w:val="0"/>
              <w:jc w:val="center"/>
              <w:textAlignment w:val="bottom"/>
              <w:rPr>
                <w:rFonts w:eastAsia="仿宋_GB2312"/>
                <w:kern w:val="0"/>
                <w:szCs w:val="21"/>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647" w:type="pct"/>
            <w:vAlign w:val="center"/>
          </w:tcPr>
          <w:p w14:paraId="3B86D46F">
            <w:pPr>
              <w:keepNext w:val="0"/>
              <w:keepLines w:val="0"/>
              <w:widowControl/>
              <w:suppressLineNumbers w:val="0"/>
              <w:jc w:val="center"/>
              <w:textAlignment w:val="bottom"/>
              <w:rPr>
                <w:rFonts w:eastAsia="仿宋_GB2312"/>
                <w:kern w:val="0"/>
                <w:szCs w:val="21"/>
              </w:rPr>
            </w:pPr>
            <w:r>
              <w:rPr>
                <w:rFonts w:hint="default" w:ascii="Times New Roman" w:hAnsi="Times New Roman" w:eastAsia="宋体" w:cs="Times New Roman"/>
                <w:i w:val="0"/>
                <w:iCs w:val="0"/>
                <w:color w:val="000000"/>
                <w:kern w:val="0"/>
                <w:sz w:val="21"/>
                <w:szCs w:val="21"/>
                <w:u w:val="none"/>
                <w:lang w:val="en-US" w:eastAsia="zh-CN" w:bidi="ar"/>
              </w:rPr>
              <w:t>0.02</w:t>
            </w:r>
          </w:p>
        </w:tc>
        <w:tc>
          <w:tcPr>
            <w:tcW w:w="647" w:type="pct"/>
            <w:vAlign w:val="center"/>
          </w:tcPr>
          <w:p w14:paraId="12FF4824">
            <w:pPr>
              <w:keepNext w:val="0"/>
              <w:keepLines w:val="0"/>
              <w:widowControl/>
              <w:suppressLineNumbers w:val="0"/>
              <w:jc w:val="center"/>
              <w:textAlignment w:val="bottom"/>
              <w:rPr>
                <w:rFonts w:eastAsia="仿宋_GB2312"/>
                <w:kern w:val="0"/>
                <w:szCs w:val="21"/>
              </w:rPr>
            </w:pPr>
            <w:r>
              <w:rPr>
                <w:rFonts w:hint="default" w:ascii="Times New Roman" w:hAnsi="Times New Roman" w:eastAsia="宋体" w:cs="Times New Roman"/>
                <w:i w:val="0"/>
                <w:iCs w:val="0"/>
                <w:color w:val="000000"/>
                <w:kern w:val="0"/>
                <w:sz w:val="21"/>
                <w:szCs w:val="21"/>
                <w:u w:val="none"/>
                <w:lang w:val="en-US" w:eastAsia="zh-CN" w:bidi="ar"/>
              </w:rPr>
              <w:t>0.07552</w:t>
            </w:r>
          </w:p>
        </w:tc>
        <w:tc>
          <w:tcPr>
            <w:tcW w:w="647" w:type="pct"/>
            <w:vAlign w:val="center"/>
          </w:tcPr>
          <w:p w14:paraId="08C016FA">
            <w:pPr>
              <w:keepNext w:val="0"/>
              <w:keepLines w:val="0"/>
              <w:widowControl/>
              <w:suppressLineNumbers w:val="0"/>
              <w:jc w:val="center"/>
              <w:textAlignment w:val="bottom"/>
              <w:rPr>
                <w:rFonts w:eastAsia="仿宋_GB2312"/>
                <w:kern w:val="0"/>
                <w:szCs w:val="21"/>
              </w:rPr>
            </w:pPr>
            <w:r>
              <w:rPr>
                <w:rFonts w:hint="eastAsia"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0.02</w:t>
            </w:r>
          </w:p>
        </w:tc>
      </w:tr>
      <w:tr w14:paraId="4B4C27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88" w:type="pct"/>
            <w:vMerge w:val="continue"/>
            <w:shd w:val="clear" w:color="auto" w:fill="auto"/>
            <w:vAlign w:val="center"/>
          </w:tcPr>
          <w:p w14:paraId="6DA5B4C8">
            <w:pPr>
              <w:widowControl/>
              <w:spacing w:line="240" w:lineRule="exact"/>
              <w:jc w:val="center"/>
              <w:rPr>
                <w:rFonts w:eastAsia="仿宋_GB2312"/>
                <w:kern w:val="0"/>
                <w:szCs w:val="21"/>
                <w:highlight w:val="yellow"/>
              </w:rPr>
            </w:pPr>
          </w:p>
        </w:tc>
        <w:tc>
          <w:tcPr>
            <w:tcW w:w="1147" w:type="pct"/>
            <w:shd w:val="clear" w:color="auto" w:fill="auto"/>
            <w:tcMar>
              <w:top w:w="15" w:type="dxa"/>
              <w:left w:w="15" w:type="dxa"/>
              <w:bottom w:w="0" w:type="dxa"/>
              <w:right w:w="15" w:type="dxa"/>
            </w:tcMar>
            <w:vAlign w:val="center"/>
          </w:tcPr>
          <w:p w14:paraId="332EA424">
            <w:pPr>
              <w:widowControl/>
              <w:spacing w:line="240" w:lineRule="exact"/>
              <w:jc w:val="center"/>
              <w:rPr>
                <w:rFonts w:eastAsia="仿宋_GB2312"/>
                <w:kern w:val="0"/>
                <w:szCs w:val="21"/>
              </w:rPr>
            </w:pPr>
            <w:r>
              <w:rPr>
                <w:rFonts w:eastAsia="仿宋_GB2312"/>
                <w:kern w:val="0"/>
                <w:szCs w:val="21"/>
              </w:rPr>
              <w:t>环己烷</w:t>
            </w:r>
          </w:p>
        </w:tc>
        <w:tc>
          <w:tcPr>
            <w:tcW w:w="773" w:type="pct"/>
            <w:vAlign w:val="center"/>
          </w:tcPr>
          <w:p w14:paraId="64A21CF7">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0.12</w:t>
            </w:r>
          </w:p>
        </w:tc>
        <w:tc>
          <w:tcPr>
            <w:tcW w:w="647" w:type="pct"/>
            <w:vAlign w:val="center"/>
          </w:tcPr>
          <w:p w14:paraId="19144654">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0.12</w:t>
            </w:r>
          </w:p>
        </w:tc>
        <w:tc>
          <w:tcPr>
            <w:tcW w:w="647" w:type="pct"/>
            <w:vAlign w:val="center"/>
          </w:tcPr>
          <w:p w14:paraId="4534C3D0">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0.35</w:t>
            </w:r>
          </w:p>
        </w:tc>
        <w:tc>
          <w:tcPr>
            <w:tcW w:w="647" w:type="pct"/>
            <w:vAlign w:val="center"/>
          </w:tcPr>
          <w:p w14:paraId="69E9C5BF">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0.35</w:t>
            </w:r>
          </w:p>
        </w:tc>
        <w:tc>
          <w:tcPr>
            <w:tcW w:w="647" w:type="pct"/>
            <w:vAlign w:val="center"/>
          </w:tcPr>
          <w:p w14:paraId="5293C65A">
            <w:pPr>
              <w:keepNext w:val="0"/>
              <w:keepLines w:val="0"/>
              <w:widowControl/>
              <w:suppressLineNumbers w:val="0"/>
              <w:jc w:val="center"/>
              <w:textAlignment w:val="bottom"/>
              <w:rPr>
                <w:szCs w:val="21"/>
              </w:rPr>
            </w:pPr>
            <w:r>
              <w:rPr>
                <w:rFonts w:hint="eastAsia"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0.23</w:t>
            </w:r>
          </w:p>
        </w:tc>
      </w:tr>
      <w:tr w14:paraId="6A2308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88" w:type="pct"/>
            <w:vMerge w:val="continue"/>
            <w:shd w:val="clear" w:color="auto" w:fill="auto"/>
            <w:vAlign w:val="center"/>
          </w:tcPr>
          <w:p w14:paraId="43C344D4">
            <w:pPr>
              <w:widowControl/>
              <w:spacing w:line="240" w:lineRule="exact"/>
              <w:jc w:val="center"/>
              <w:rPr>
                <w:rFonts w:eastAsia="仿宋_GB2312"/>
                <w:kern w:val="0"/>
                <w:szCs w:val="21"/>
                <w:highlight w:val="yellow"/>
              </w:rPr>
            </w:pPr>
          </w:p>
        </w:tc>
        <w:tc>
          <w:tcPr>
            <w:tcW w:w="1147" w:type="pct"/>
            <w:shd w:val="clear" w:color="auto" w:fill="auto"/>
            <w:tcMar>
              <w:top w:w="15" w:type="dxa"/>
              <w:left w:w="15" w:type="dxa"/>
              <w:bottom w:w="0" w:type="dxa"/>
              <w:right w:w="15" w:type="dxa"/>
            </w:tcMar>
            <w:vAlign w:val="center"/>
          </w:tcPr>
          <w:p w14:paraId="2AE39970">
            <w:pPr>
              <w:widowControl/>
              <w:spacing w:line="240" w:lineRule="exact"/>
              <w:jc w:val="center"/>
              <w:rPr>
                <w:rFonts w:eastAsia="仿宋_GB2312"/>
                <w:kern w:val="0"/>
                <w:szCs w:val="21"/>
              </w:rPr>
            </w:pPr>
            <w:r>
              <w:rPr>
                <w:rFonts w:eastAsia="仿宋_GB2312"/>
                <w:kern w:val="0"/>
                <w:szCs w:val="21"/>
              </w:rPr>
              <w:t>环己酮</w:t>
            </w:r>
          </w:p>
        </w:tc>
        <w:tc>
          <w:tcPr>
            <w:tcW w:w="773" w:type="pct"/>
            <w:vAlign w:val="center"/>
          </w:tcPr>
          <w:p w14:paraId="51DA4E2B">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0.04</w:t>
            </w:r>
          </w:p>
        </w:tc>
        <w:tc>
          <w:tcPr>
            <w:tcW w:w="647" w:type="pct"/>
            <w:vAlign w:val="center"/>
          </w:tcPr>
          <w:p w14:paraId="4FE3CD55">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0.04</w:t>
            </w:r>
          </w:p>
        </w:tc>
        <w:tc>
          <w:tcPr>
            <w:tcW w:w="647" w:type="pct"/>
            <w:vAlign w:val="center"/>
          </w:tcPr>
          <w:p w14:paraId="6277E580">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0.05</w:t>
            </w:r>
          </w:p>
        </w:tc>
        <w:tc>
          <w:tcPr>
            <w:tcW w:w="647" w:type="pct"/>
            <w:vAlign w:val="center"/>
          </w:tcPr>
          <w:p w14:paraId="2FE52FE9">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0.05</w:t>
            </w:r>
          </w:p>
        </w:tc>
        <w:tc>
          <w:tcPr>
            <w:tcW w:w="647" w:type="pct"/>
            <w:vAlign w:val="center"/>
          </w:tcPr>
          <w:p w14:paraId="568F15A1">
            <w:pPr>
              <w:keepNext w:val="0"/>
              <w:keepLines w:val="0"/>
              <w:widowControl/>
              <w:suppressLineNumbers w:val="0"/>
              <w:jc w:val="center"/>
              <w:textAlignment w:val="bottom"/>
              <w:rPr>
                <w:szCs w:val="21"/>
              </w:rPr>
            </w:pPr>
            <w:r>
              <w:rPr>
                <w:rFonts w:hint="eastAsia"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0.01</w:t>
            </w:r>
          </w:p>
        </w:tc>
      </w:tr>
      <w:tr w14:paraId="63825B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88" w:type="pct"/>
            <w:vMerge w:val="continue"/>
            <w:shd w:val="clear" w:color="auto" w:fill="auto"/>
            <w:vAlign w:val="center"/>
          </w:tcPr>
          <w:p w14:paraId="58A72EF3">
            <w:pPr>
              <w:widowControl/>
              <w:spacing w:line="240" w:lineRule="exact"/>
              <w:jc w:val="center"/>
              <w:rPr>
                <w:rFonts w:eastAsia="仿宋_GB2312"/>
                <w:kern w:val="0"/>
                <w:szCs w:val="21"/>
                <w:highlight w:val="yellow"/>
              </w:rPr>
            </w:pPr>
          </w:p>
        </w:tc>
        <w:tc>
          <w:tcPr>
            <w:tcW w:w="1147" w:type="pct"/>
            <w:shd w:val="clear" w:color="auto" w:fill="auto"/>
            <w:tcMar>
              <w:top w:w="15" w:type="dxa"/>
              <w:left w:w="15" w:type="dxa"/>
              <w:bottom w:w="0" w:type="dxa"/>
              <w:right w:w="15" w:type="dxa"/>
            </w:tcMar>
            <w:vAlign w:val="center"/>
          </w:tcPr>
          <w:p w14:paraId="073493FC">
            <w:pPr>
              <w:widowControl/>
              <w:spacing w:line="240" w:lineRule="exact"/>
              <w:jc w:val="center"/>
              <w:rPr>
                <w:rFonts w:eastAsia="仿宋_GB2312"/>
                <w:kern w:val="0"/>
                <w:szCs w:val="21"/>
              </w:rPr>
            </w:pPr>
            <w:r>
              <w:rPr>
                <w:rFonts w:eastAsia="仿宋_GB2312"/>
                <w:kern w:val="0"/>
                <w:szCs w:val="21"/>
              </w:rPr>
              <w:t>二甲基亚砜</w:t>
            </w:r>
          </w:p>
        </w:tc>
        <w:tc>
          <w:tcPr>
            <w:tcW w:w="773" w:type="pct"/>
            <w:vAlign w:val="center"/>
          </w:tcPr>
          <w:p w14:paraId="64BA98D3">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0.05</w:t>
            </w:r>
          </w:p>
        </w:tc>
        <w:tc>
          <w:tcPr>
            <w:tcW w:w="647" w:type="pct"/>
            <w:vAlign w:val="center"/>
          </w:tcPr>
          <w:p w14:paraId="040A1781">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0.05</w:t>
            </w:r>
          </w:p>
        </w:tc>
        <w:tc>
          <w:tcPr>
            <w:tcW w:w="647" w:type="pct"/>
            <w:vAlign w:val="center"/>
          </w:tcPr>
          <w:p w14:paraId="12820987">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2.18</w:t>
            </w:r>
          </w:p>
        </w:tc>
        <w:tc>
          <w:tcPr>
            <w:tcW w:w="647" w:type="pct"/>
            <w:vAlign w:val="center"/>
          </w:tcPr>
          <w:p w14:paraId="000F35D3">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2.18</w:t>
            </w:r>
          </w:p>
        </w:tc>
        <w:tc>
          <w:tcPr>
            <w:tcW w:w="647" w:type="pct"/>
            <w:vAlign w:val="center"/>
          </w:tcPr>
          <w:p w14:paraId="27EBAFCC">
            <w:pPr>
              <w:keepNext w:val="0"/>
              <w:keepLines w:val="0"/>
              <w:widowControl/>
              <w:suppressLineNumbers w:val="0"/>
              <w:jc w:val="center"/>
              <w:textAlignment w:val="bottom"/>
              <w:rPr>
                <w:szCs w:val="21"/>
              </w:rPr>
            </w:pPr>
            <w:r>
              <w:rPr>
                <w:rFonts w:hint="eastAsia"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2.13</w:t>
            </w:r>
          </w:p>
        </w:tc>
      </w:tr>
      <w:tr w14:paraId="1A2968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88" w:type="pct"/>
            <w:vMerge w:val="continue"/>
            <w:shd w:val="clear" w:color="auto" w:fill="auto"/>
            <w:vAlign w:val="center"/>
          </w:tcPr>
          <w:p w14:paraId="1C5B8CE4">
            <w:pPr>
              <w:widowControl/>
              <w:spacing w:line="240" w:lineRule="exact"/>
              <w:jc w:val="center"/>
              <w:rPr>
                <w:rFonts w:eastAsia="仿宋_GB2312"/>
                <w:kern w:val="0"/>
                <w:szCs w:val="21"/>
                <w:highlight w:val="yellow"/>
              </w:rPr>
            </w:pPr>
          </w:p>
        </w:tc>
        <w:tc>
          <w:tcPr>
            <w:tcW w:w="1147" w:type="pct"/>
            <w:shd w:val="clear" w:color="auto" w:fill="auto"/>
            <w:tcMar>
              <w:top w:w="15" w:type="dxa"/>
              <w:left w:w="15" w:type="dxa"/>
              <w:bottom w:w="0" w:type="dxa"/>
              <w:right w:w="15" w:type="dxa"/>
            </w:tcMar>
            <w:vAlign w:val="center"/>
          </w:tcPr>
          <w:p w14:paraId="72E52792">
            <w:pPr>
              <w:widowControl/>
              <w:spacing w:line="240" w:lineRule="exact"/>
              <w:jc w:val="center"/>
              <w:rPr>
                <w:rFonts w:eastAsia="仿宋_GB2312"/>
                <w:kern w:val="0"/>
                <w:szCs w:val="21"/>
              </w:rPr>
            </w:pPr>
            <w:r>
              <w:rPr>
                <w:rFonts w:eastAsia="仿宋_GB2312"/>
                <w:kern w:val="0"/>
                <w:szCs w:val="21"/>
              </w:rPr>
              <w:t>丁醇</w:t>
            </w:r>
          </w:p>
        </w:tc>
        <w:tc>
          <w:tcPr>
            <w:tcW w:w="773" w:type="pct"/>
            <w:vAlign w:val="center"/>
          </w:tcPr>
          <w:p w14:paraId="7322C5AC">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0.22</w:t>
            </w:r>
          </w:p>
        </w:tc>
        <w:tc>
          <w:tcPr>
            <w:tcW w:w="647" w:type="pct"/>
            <w:vAlign w:val="center"/>
          </w:tcPr>
          <w:p w14:paraId="7197AF9E">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0.22</w:t>
            </w:r>
          </w:p>
        </w:tc>
        <w:tc>
          <w:tcPr>
            <w:tcW w:w="647" w:type="pct"/>
            <w:vAlign w:val="center"/>
          </w:tcPr>
          <w:p w14:paraId="42A6B6E5">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0.06</w:t>
            </w:r>
          </w:p>
        </w:tc>
        <w:tc>
          <w:tcPr>
            <w:tcW w:w="647" w:type="pct"/>
            <w:vAlign w:val="center"/>
          </w:tcPr>
          <w:p w14:paraId="56E89055">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0.06</w:t>
            </w:r>
          </w:p>
        </w:tc>
        <w:tc>
          <w:tcPr>
            <w:tcW w:w="647" w:type="pct"/>
            <w:vAlign w:val="center"/>
          </w:tcPr>
          <w:p w14:paraId="4DE866D3">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-0.16</w:t>
            </w:r>
          </w:p>
        </w:tc>
      </w:tr>
      <w:tr w14:paraId="7DA9251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88" w:type="pct"/>
            <w:vMerge w:val="continue"/>
            <w:shd w:val="clear" w:color="auto" w:fill="auto"/>
            <w:vAlign w:val="center"/>
          </w:tcPr>
          <w:p w14:paraId="5312EDFC">
            <w:pPr>
              <w:widowControl/>
              <w:spacing w:line="240" w:lineRule="exact"/>
              <w:jc w:val="center"/>
              <w:rPr>
                <w:rFonts w:eastAsia="仿宋_GB2312"/>
                <w:kern w:val="0"/>
                <w:szCs w:val="21"/>
                <w:highlight w:val="yellow"/>
              </w:rPr>
            </w:pPr>
          </w:p>
        </w:tc>
        <w:tc>
          <w:tcPr>
            <w:tcW w:w="1147" w:type="pct"/>
            <w:shd w:val="clear" w:color="auto" w:fill="auto"/>
            <w:tcMar>
              <w:top w:w="15" w:type="dxa"/>
              <w:left w:w="15" w:type="dxa"/>
              <w:bottom w:w="0" w:type="dxa"/>
              <w:right w:w="15" w:type="dxa"/>
            </w:tcMar>
            <w:vAlign w:val="center"/>
          </w:tcPr>
          <w:p w14:paraId="162641A4">
            <w:pPr>
              <w:widowControl/>
              <w:spacing w:line="240" w:lineRule="exact"/>
              <w:jc w:val="center"/>
              <w:rPr>
                <w:rFonts w:eastAsia="仿宋_GB2312"/>
                <w:kern w:val="0"/>
                <w:szCs w:val="21"/>
              </w:rPr>
            </w:pPr>
            <w:r>
              <w:rPr>
                <w:rFonts w:eastAsia="仿宋_GB2312"/>
                <w:kern w:val="0"/>
                <w:szCs w:val="21"/>
              </w:rPr>
              <w:t>辛醇</w:t>
            </w:r>
          </w:p>
        </w:tc>
        <w:tc>
          <w:tcPr>
            <w:tcW w:w="773" w:type="pct"/>
            <w:vAlign w:val="center"/>
          </w:tcPr>
          <w:p w14:paraId="2F93F519">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0.22</w:t>
            </w:r>
          </w:p>
        </w:tc>
        <w:tc>
          <w:tcPr>
            <w:tcW w:w="647" w:type="pct"/>
            <w:vAlign w:val="center"/>
          </w:tcPr>
          <w:p w14:paraId="19159D5D">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0.22</w:t>
            </w:r>
          </w:p>
        </w:tc>
        <w:tc>
          <w:tcPr>
            <w:tcW w:w="647" w:type="pct"/>
            <w:vAlign w:val="center"/>
          </w:tcPr>
          <w:p w14:paraId="38ED489D">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0.04</w:t>
            </w:r>
          </w:p>
        </w:tc>
        <w:tc>
          <w:tcPr>
            <w:tcW w:w="647" w:type="pct"/>
            <w:vAlign w:val="center"/>
          </w:tcPr>
          <w:p w14:paraId="2446C1FA">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0.04</w:t>
            </w:r>
          </w:p>
        </w:tc>
        <w:tc>
          <w:tcPr>
            <w:tcW w:w="647" w:type="pct"/>
            <w:vAlign w:val="center"/>
          </w:tcPr>
          <w:p w14:paraId="565AA1C4">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-0.18</w:t>
            </w:r>
          </w:p>
        </w:tc>
      </w:tr>
      <w:tr w14:paraId="39BE0C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88" w:type="pct"/>
            <w:vMerge w:val="continue"/>
            <w:shd w:val="clear" w:color="auto" w:fill="auto"/>
            <w:vAlign w:val="center"/>
          </w:tcPr>
          <w:p w14:paraId="1AAF6B3C">
            <w:pPr>
              <w:widowControl/>
              <w:spacing w:line="240" w:lineRule="exact"/>
              <w:jc w:val="center"/>
              <w:rPr>
                <w:rFonts w:eastAsia="仿宋_GB2312"/>
                <w:kern w:val="0"/>
                <w:szCs w:val="21"/>
                <w:highlight w:val="yellow"/>
              </w:rPr>
            </w:pPr>
          </w:p>
        </w:tc>
        <w:tc>
          <w:tcPr>
            <w:tcW w:w="1147" w:type="pct"/>
            <w:shd w:val="clear" w:color="auto" w:fill="auto"/>
            <w:tcMar>
              <w:top w:w="15" w:type="dxa"/>
              <w:left w:w="15" w:type="dxa"/>
              <w:bottom w:w="0" w:type="dxa"/>
              <w:right w:w="15" w:type="dxa"/>
            </w:tcMar>
            <w:vAlign w:val="center"/>
          </w:tcPr>
          <w:p w14:paraId="3FE050A6">
            <w:pPr>
              <w:widowControl/>
              <w:spacing w:line="240" w:lineRule="exact"/>
              <w:jc w:val="center"/>
              <w:rPr>
                <w:rFonts w:eastAsia="仿宋_GB2312"/>
                <w:kern w:val="0"/>
                <w:szCs w:val="21"/>
              </w:rPr>
            </w:pPr>
            <w:r>
              <w:rPr>
                <w:rFonts w:eastAsia="仿宋_GB2312"/>
                <w:kern w:val="0"/>
                <w:szCs w:val="21"/>
              </w:rPr>
              <w:t>碳九</w:t>
            </w:r>
          </w:p>
        </w:tc>
        <w:tc>
          <w:tcPr>
            <w:tcW w:w="773" w:type="pct"/>
            <w:vAlign w:val="center"/>
          </w:tcPr>
          <w:p w14:paraId="0E976F64">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0.16</w:t>
            </w:r>
          </w:p>
        </w:tc>
        <w:tc>
          <w:tcPr>
            <w:tcW w:w="647" w:type="pct"/>
            <w:vAlign w:val="center"/>
          </w:tcPr>
          <w:p w14:paraId="61A1D041">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0.16</w:t>
            </w:r>
          </w:p>
        </w:tc>
        <w:tc>
          <w:tcPr>
            <w:tcW w:w="647" w:type="pct"/>
            <w:vAlign w:val="center"/>
          </w:tcPr>
          <w:p w14:paraId="1037D5E6">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0.06</w:t>
            </w:r>
          </w:p>
        </w:tc>
        <w:tc>
          <w:tcPr>
            <w:tcW w:w="647" w:type="pct"/>
            <w:vAlign w:val="center"/>
          </w:tcPr>
          <w:p w14:paraId="3E8578C3">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0.06</w:t>
            </w:r>
          </w:p>
        </w:tc>
        <w:tc>
          <w:tcPr>
            <w:tcW w:w="647" w:type="pct"/>
            <w:vAlign w:val="center"/>
          </w:tcPr>
          <w:p w14:paraId="64A1B499">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-0.1</w:t>
            </w:r>
          </w:p>
        </w:tc>
      </w:tr>
      <w:tr w14:paraId="3750D6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88" w:type="pct"/>
            <w:vMerge w:val="continue"/>
            <w:shd w:val="clear" w:color="auto" w:fill="auto"/>
            <w:vAlign w:val="center"/>
          </w:tcPr>
          <w:p w14:paraId="7500DE38">
            <w:pPr>
              <w:widowControl/>
              <w:spacing w:line="240" w:lineRule="exact"/>
              <w:jc w:val="center"/>
              <w:rPr>
                <w:rFonts w:eastAsia="仿宋_GB2312"/>
                <w:kern w:val="0"/>
                <w:szCs w:val="21"/>
                <w:highlight w:val="yellow"/>
              </w:rPr>
            </w:pPr>
          </w:p>
        </w:tc>
        <w:tc>
          <w:tcPr>
            <w:tcW w:w="1147" w:type="pct"/>
            <w:shd w:val="clear" w:color="auto" w:fill="auto"/>
            <w:tcMar>
              <w:top w:w="15" w:type="dxa"/>
              <w:left w:w="15" w:type="dxa"/>
              <w:bottom w:w="0" w:type="dxa"/>
              <w:right w:w="15" w:type="dxa"/>
            </w:tcMar>
            <w:vAlign w:val="center"/>
          </w:tcPr>
          <w:p w14:paraId="649789F3">
            <w:pPr>
              <w:widowControl/>
              <w:spacing w:line="240" w:lineRule="exact"/>
              <w:jc w:val="center"/>
              <w:rPr>
                <w:rFonts w:eastAsia="仿宋_GB2312"/>
                <w:kern w:val="0"/>
                <w:szCs w:val="21"/>
              </w:rPr>
            </w:pPr>
            <w:r>
              <w:rPr>
                <w:rFonts w:eastAsia="仿宋_GB2312"/>
                <w:kern w:val="0"/>
                <w:szCs w:val="21"/>
              </w:rPr>
              <w:t>苯乙烯</w:t>
            </w:r>
          </w:p>
        </w:tc>
        <w:tc>
          <w:tcPr>
            <w:tcW w:w="773" w:type="pct"/>
            <w:vAlign w:val="center"/>
          </w:tcPr>
          <w:p w14:paraId="4DE18049">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0.05</w:t>
            </w:r>
          </w:p>
        </w:tc>
        <w:tc>
          <w:tcPr>
            <w:tcW w:w="647" w:type="pct"/>
            <w:vAlign w:val="center"/>
          </w:tcPr>
          <w:p w14:paraId="15533373">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0.05</w:t>
            </w:r>
          </w:p>
        </w:tc>
        <w:tc>
          <w:tcPr>
            <w:tcW w:w="647" w:type="pct"/>
            <w:vAlign w:val="center"/>
          </w:tcPr>
          <w:p w14:paraId="18F983C0">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0.02</w:t>
            </w:r>
          </w:p>
        </w:tc>
        <w:tc>
          <w:tcPr>
            <w:tcW w:w="647" w:type="pct"/>
            <w:vAlign w:val="center"/>
          </w:tcPr>
          <w:p w14:paraId="1C74EB39">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0.02</w:t>
            </w:r>
          </w:p>
        </w:tc>
        <w:tc>
          <w:tcPr>
            <w:tcW w:w="647" w:type="pct"/>
            <w:vAlign w:val="center"/>
          </w:tcPr>
          <w:p w14:paraId="29BA1CB8">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-0.03</w:t>
            </w:r>
          </w:p>
        </w:tc>
      </w:tr>
      <w:tr w14:paraId="2AC32D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88" w:type="pct"/>
            <w:vMerge w:val="continue"/>
            <w:shd w:val="clear" w:color="auto" w:fill="auto"/>
            <w:vAlign w:val="center"/>
          </w:tcPr>
          <w:p w14:paraId="3B8E06C6">
            <w:pPr>
              <w:widowControl/>
              <w:spacing w:line="240" w:lineRule="exact"/>
              <w:jc w:val="center"/>
              <w:rPr>
                <w:rFonts w:eastAsia="仿宋_GB2312"/>
                <w:kern w:val="0"/>
                <w:szCs w:val="21"/>
                <w:highlight w:val="yellow"/>
              </w:rPr>
            </w:pPr>
          </w:p>
        </w:tc>
        <w:tc>
          <w:tcPr>
            <w:tcW w:w="1147" w:type="pct"/>
            <w:shd w:val="clear" w:color="auto" w:fill="auto"/>
            <w:tcMar>
              <w:top w:w="15" w:type="dxa"/>
              <w:left w:w="15" w:type="dxa"/>
              <w:bottom w:w="0" w:type="dxa"/>
              <w:right w:w="15" w:type="dxa"/>
            </w:tcMar>
            <w:vAlign w:val="center"/>
          </w:tcPr>
          <w:p w14:paraId="5207AAD4">
            <w:pPr>
              <w:widowControl/>
              <w:spacing w:line="240" w:lineRule="exact"/>
              <w:jc w:val="center"/>
              <w:rPr>
                <w:rFonts w:eastAsia="仿宋_GB2312"/>
                <w:kern w:val="0"/>
                <w:szCs w:val="21"/>
              </w:rPr>
            </w:pPr>
            <w:r>
              <w:rPr>
                <w:rFonts w:eastAsia="仿宋_GB2312"/>
                <w:kern w:val="0"/>
                <w:szCs w:val="21"/>
              </w:rPr>
              <w:t>环戊酮</w:t>
            </w:r>
          </w:p>
        </w:tc>
        <w:tc>
          <w:tcPr>
            <w:tcW w:w="773" w:type="pct"/>
            <w:vAlign w:val="center"/>
          </w:tcPr>
          <w:p w14:paraId="5E197016">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0.13</w:t>
            </w:r>
          </w:p>
        </w:tc>
        <w:tc>
          <w:tcPr>
            <w:tcW w:w="647" w:type="pct"/>
            <w:vAlign w:val="center"/>
          </w:tcPr>
          <w:p w14:paraId="48AE1B07">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0.12</w:t>
            </w:r>
          </w:p>
        </w:tc>
        <w:tc>
          <w:tcPr>
            <w:tcW w:w="647" w:type="pct"/>
            <w:vAlign w:val="center"/>
          </w:tcPr>
          <w:p w14:paraId="38DF5775">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0.18</w:t>
            </w:r>
          </w:p>
        </w:tc>
        <w:tc>
          <w:tcPr>
            <w:tcW w:w="647" w:type="pct"/>
            <w:vAlign w:val="center"/>
          </w:tcPr>
          <w:p w14:paraId="5F27AC46">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0.19</w:t>
            </w:r>
          </w:p>
        </w:tc>
        <w:tc>
          <w:tcPr>
            <w:tcW w:w="647" w:type="pct"/>
            <w:vAlign w:val="center"/>
          </w:tcPr>
          <w:p w14:paraId="336C1C0A">
            <w:pPr>
              <w:keepNext w:val="0"/>
              <w:keepLines w:val="0"/>
              <w:widowControl/>
              <w:suppressLineNumbers w:val="0"/>
              <w:jc w:val="center"/>
              <w:textAlignment w:val="bottom"/>
              <w:rPr>
                <w:szCs w:val="21"/>
              </w:rPr>
            </w:pPr>
            <w:r>
              <w:rPr>
                <w:rFonts w:hint="eastAsia"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0.06</w:t>
            </w:r>
          </w:p>
        </w:tc>
      </w:tr>
      <w:tr w14:paraId="439B26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88" w:type="pct"/>
            <w:vMerge w:val="continue"/>
            <w:shd w:val="clear" w:color="auto" w:fill="auto"/>
            <w:vAlign w:val="center"/>
          </w:tcPr>
          <w:p w14:paraId="5E6F0461">
            <w:pPr>
              <w:widowControl/>
              <w:spacing w:line="240" w:lineRule="exact"/>
              <w:jc w:val="center"/>
              <w:rPr>
                <w:rFonts w:eastAsia="仿宋_GB2312"/>
                <w:kern w:val="0"/>
                <w:szCs w:val="21"/>
                <w:highlight w:val="yellow"/>
              </w:rPr>
            </w:pPr>
          </w:p>
        </w:tc>
        <w:tc>
          <w:tcPr>
            <w:tcW w:w="1147" w:type="pct"/>
            <w:shd w:val="clear" w:color="auto" w:fill="auto"/>
            <w:tcMar>
              <w:top w:w="15" w:type="dxa"/>
              <w:left w:w="15" w:type="dxa"/>
              <w:bottom w:w="0" w:type="dxa"/>
              <w:right w:w="15" w:type="dxa"/>
            </w:tcMar>
            <w:vAlign w:val="center"/>
          </w:tcPr>
          <w:p w14:paraId="17DFD973">
            <w:pPr>
              <w:widowControl/>
              <w:spacing w:line="240" w:lineRule="exact"/>
              <w:jc w:val="center"/>
              <w:rPr>
                <w:rFonts w:eastAsia="仿宋_GB2312"/>
                <w:kern w:val="0"/>
                <w:szCs w:val="21"/>
              </w:rPr>
            </w:pPr>
            <w:r>
              <w:rPr>
                <w:rFonts w:eastAsia="仿宋_GB2312"/>
                <w:kern w:val="0"/>
                <w:szCs w:val="21"/>
              </w:rPr>
              <w:t>乙酸甲酯</w:t>
            </w:r>
          </w:p>
        </w:tc>
        <w:tc>
          <w:tcPr>
            <w:tcW w:w="773" w:type="pct"/>
            <w:vAlign w:val="center"/>
          </w:tcPr>
          <w:p w14:paraId="3F92E0F3">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0.23</w:t>
            </w:r>
          </w:p>
        </w:tc>
        <w:tc>
          <w:tcPr>
            <w:tcW w:w="647" w:type="pct"/>
            <w:vAlign w:val="center"/>
          </w:tcPr>
          <w:p w14:paraId="50E9601A">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0.23</w:t>
            </w:r>
          </w:p>
        </w:tc>
        <w:tc>
          <w:tcPr>
            <w:tcW w:w="647" w:type="pct"/>
            <w:vAlign w:val="center"/>
          </w:tcPr>
          <w:p w14:paraId="47716383">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0.22</w:t>
            </w:r>
          </w:p>
        </w:tc>
        <w:tc>
          <w:tcPr>
            <w:tcW w:w="647" w:type="pct"/>
            <w:vAlign w:val="center"/>
          </w:tcPr>
          <w:p w14:paraId="3AD4EB30">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0.22</w:t>
            </w:r>
          </w:p>
        </w:tc>
        <w:tc>
          <w:tcPr>
            <w:tcW w:w="647" w:type="pct"/>
            <w:vAlign w:val="center"/>
          </w:tcPr>
          <w:p w14:paraId="573355E5">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-0.01</w:t>
            </w:r>
          </w:p>
        </w:tc>
      </w:tr>
      <w:tr w14:paraId="559A6B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88" w:type="pct"/>
            <w:vMerge w:val="continue"/>
            <w:shd w:val="clear" w:color="auto" w:fill="auto"/>
            <w:vAlign w:val="center"/>
          </w:tcPr>
          <w:p w14:paraId="23881ED4">
            <w:pPr>
              <w:widowControl/>
              <w:spacing w:line="240" w:lineRule="exact"/>
              <w:jc w:val="center"/>
              <w:rPr>
                <w:rFonts w:eastAsia="仿宋_GB2312"/>
                <w:kern w:val="0"/>
                <w:szCs w:val="21"/>
                <w:highlight w:val="yellow"/>
              </w:rPr>
            </w:pPr>
          </w:p>
        </w:tc>
        <w:tc>
          <w:tcPr>
            <w:tcW w:w="1147" w:type="pct"/>
            <w:shd w:val="clear" w:color="auto" w:fill="auto"/>
            <w:tcMar>
              <w:top w:w="15" w:type="dxa"/>
              <w:left w:w="15" w:type="dxa"/>
              <w:bottom w:w="0" w:type="dxa"/>
              <w:right w:w="15" w:type="dxa"/>
            </w:tcMar>
            <w:vAlign w:val="center"/>
          </w:tcPr>
          <w:p w14:paraId="5226BCD9">
            <w:pPr>
              <w:keepNext w:val="0"/>
              <w:keepLines w:val="0"/>
              <w:widowControl/>
              <w:suppressLineNumbers w:val="0"/>
              <w:jc w:val="center"/>
              <w:textAlignment w:val="bottom"/>
              <w:rPr>
                <w:rFonts w:eastAsia="仿宋_GB2312"/>
                <w:color w:val="auto"/>
                <w:kern w:val="0"/>
                <w:szCs w:val="21"/>
              </w:rPr>
            </w:pPr>
            <w:r>
              <w:rPr>
                <w:rFonts w:hint="default" w:ascii="仿宋_GB2312" w:hAnsi="宋体" w:eastAsia="仿宋_GB2312" w:cs="仿宋_GB2312"/>
                <w:i w:val="0"/>
                <w:iCs w:val="0"/>
                <w:color w:val="auto"/>
                <w:kern w:val="0"/>
                <w:sz w:val="21"/>
                <w:szCs w:val="21"/>
                <w:u w:val="none"/>
                <w:lang w:val="en-US" w:eastAsia="zh-CN" w:bidi="ar"/>
              </w:rPr>
              <w:t>苯酚</w:t>
            </w:r>
          </w:p>
        </w:tc>
        <w:tc>
          <w:tcPr>
            <w:tcW w:w="773" w:type="pct"/>
            <w:vAlign w:val="center"/>
          </w:tcPr>
          <w:p w14:paraId="3F7B4076">
            <w:pPr>
              <w:keepNext w:val="0"/>
              <w:keepLines w:val="0"/>
              <w:widowControl/>
              <w:suppressLineNumbers w:val="0"/>
              <w:jc w:val="center"/>
              <w:textAlignment w:val="bottom"/>
              <w:rPr>
                <w:color w:val="auto"/>
                <w:szCs w:val="21"/>
              </w:rPr>
            </w:pPr>
            <w:r>
              <w:rPr>
                <w:rFonts w:hint="default" w:ascii="Times New Roman" w:hAnsi="Times New Roman" w:eastAsia="宋体" w:cs="Times New Roman"/>
                <w:i w:val="0"/>
                <w:iCs w:val="0"/>
                <w:color w:val="auto"/>
                <w:kern w:val="0"/>
                <w:sz w:val="21"/>
                <w:szCs w:val="21"/>
                <w:u w:val="none"/>
                <w:lang w:val="en-US" w:eastAsia="zh-CN" w:bidi="ar"/>
              </w:rPr>
              <w:t>0</w:t>
            </w:r>
          </w:p>
        </w:tc>
        <w:tc>
          <w:tcPr>
            <w:tcW w:w="647" w:type="pct"/>
            <w:vAlign w:val="center"/>
          </w:tcPr>
          <w:p w14:paraId="208197C9">
            <w:pPr>
              <w:keepNext w:val="0"/>
              <w:keepLines w:val="0"/>
              <w:widowControl/>
              <w:suppressLineNumbers w:val="0"/>
              <w:jc w:val="center"/>
              <w:textAlignment w:val="bottom"/>
              <w:rPr>
                <w:color w:val="auto"/>
                <w:szCs w:val="21"/>
              </w:rPr>
            </w:pPr>
            <w:r>
              <w:rPr>
                <w:rFonts w:hint="default" w:ascii="Times New Roman" w:hAnsi="Times New Roman" w:eastAsia="宋体" w:cs="Times New Roman"/>
                <w:i w:val="0"/>
                <w:iCs w:val="0"/>
                <w:color w:val="auto"/>
                <w:kern w:val="0"/>
                <w:sz w:val="21"/>
                <w:szCs w:val="21"/>
                <w:u w:val="none"/>
                <w:lang w:val="en-US" w:eastAsia="zh-CN" w:bidi="ar"/>
              </w:rPr>
              <w:t>0</w:t>
            </w:r>
          </w:p>
        </w:tc>
        <w:tc>
          <w:tcPr>
            <w:tcW w:w="647" w:type="pct"/>
            <w:vAlign w:val="center"/>
          </w:tcPr>
          <w:p w14:paraId="62689234">
            <w:pPr>
              <w:keepNext w:val="0"/>
              <w:keepLines w:val="0"/>
              <w:widowControl/>
              <w:suppressLineNumbers w:val="0"/>
              <w:jc w:val="center"/>
              <w:textAlignment w:val="bottom"/>
              <w:rPr>
                <w:color w:val="auto"/>
                <w:szCs w:val="21"/>
              </w:rPr>
            </w:pPr>
            <w:r>
              <w:rPr>
                <w:rFonts w:hint="default" w:ascii="Times New Roman" w:hAnsi="Times New Roman" w:eastAsia="宋体" w:cs="Times New Roman"/>
                <w:i w:val="0"/>
                <w:iCs w:val="0"/>
                <w:color w:val="auto"/>
                <w:kern w:val="0"/>
                <w:sz w:val="21"/>
                <w:szCs w:val="21"/>
                <w:u w:val="none"/>
                <w:lang w:val="en-US" w:eastAsia="zh-CN" w:bidi="ar"/>
              </w:rPr>
              <w:t>0.11</w:t>
            </w:r>
          </w:p>
        </w:tc>
        <w:tc>
          <w:tcPr>
            <w:tcW w:w="647" w:type="pct"/>
            <w:vAlign w:val="center"/>
          </w:tcPr>
          <w:p w14:paraId="04EA517E">
            <w:pPr>
              <w:keepNext w:val="0"/>
              <w:keepLines w:val="0"/>
              <w:widowControl/>
              <w:suppressLineNumbers w:val="0"/>
              <w:jc w:val="center"/>
              <w:textAlignment w:val="bottom"/>
              <w:rPr>
                <w:color w:val="auto"/>
                <w:szCs w:val="21"/>
              </w:rPr>
            </w:pPr>
            <w:r>
              <w:rPr>
                <w:rFonts w:hint="default" w:ascii="Times New Roman" w:hAnsi="Times New Roman" w:eastAsia="宋体" w:cs="Times New Roman"/>
                <w:i w:val="0"/>
                <w:iCs w:val="0"/>
                <w:color w:val="auto"/>
                <w:kern w:val="0"/>
                <w:sz w:val="21"/>
                <w:szCs w:val="21"/>
                <w:u w:val="none"/>
                <w:lang w:val="en-US" w:eastAsia="zh-CN" w:bidi="ar"/>
              </w:rPr>
              <w:t>0.11</w:t>
            </w:r>
          </w:p>
        </w:tc>
        <w:tc>
          <w:tcPr>
            <w:tcW w:w="647" w:type="pct"/>
            <w:vAlign w:val="center"/>
          </w:tcPr>
          <w:p w14:paraId="49229B73">
            <w:pPr>
              <w:keepNext w:val="0"/>
              <w:keepLines w:val="0"/>
              <w:widowControl/>
              <w:suppressLineNumbers w:val="0"/>
              <w:jc w:val="center"/>
              <w:textAlignment w:val="bottom"/>
              <w:rPr>
                <w:szCs w:val="21"/>
              </w:rPr>
            </w:pPr>
            <w:r>
              <w:rPr>
                <w:rFonts w:hint="eastAsia"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0.11</w:t>
            </w:r>
          </w:p>
        </w:tc>
      </w:tr>
      <w:tr w14:paraId="401B8C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88" w:type="pct"/>
            <w:vMerge w:val="continue"/>
            <w:shd w:val="clear" w:color="auto" w:fill="auto"/>
            <w:vAlign w:val="center"/>
          </w:tcPr>
          <w:p w14:paraId="02DB16BF">
            <w:pPr>
              <w:widowControl/>
              <w:spacing w:line="240" w:lineRule="exact"/>
              <w:jc w:val="center"/>
              <w:rPr>
                <w:rFonts w:eastAsia="仿宋_GB2312"/>
                <w:kern w:val="0"/>
                <w:szCs w:val="21"/>
                <w:highlight w:val="yellow"/>
              </w:rPr>
            </w:pPr>
          </w:p>
        </w:tc>
        <w:tc>
          <w:tcPr>
            <w:tcW w:w="1147" w:type="pct"/>
            <w:shd w:val="clear" w:color="auto" w:fill="auto"/>
            <w:tcMar>
              <w:top w:w="15" w:type="dxa"/>
              <w:left w:w="15" w:type="dxa"/>
              <w:bottom w:w="0" w:type="dxa"/>
              <w:right w:w="15" w:type="dxa"/>
            </w:tcMar>
            <w:vAlign w:val="center"/>
          </w:tcPr>
          <w:p w14:paraId="4EE81B30">
            <w:pPr>
              <w:keepNext w:val="0"/>
              <w:keepLines w:val="0"/>
              <w:widowControl/>
              <w:suppressLineNumbers w:val="0"/>
              <w:jc w:val="center"/>
              <w:textAlignment w:val="bottom"/>
              <w:rPr>
                <w:rFonts w:eastAsia="仿宋_GB2312"/>
                <w:color w:val="auto"/>
                <w:kern w:val="0"/>
                <w:szCs w:val="21"/>
              </w:rPr>
            </w:pPr>
            <w:r>
              <w:rPr>
                <w:rFonts w:hint="default" w:ascii="仿宋_GB2312" w:hAnsi="宋体" w:eastAsia="仿宋_GB2312" w:cs="仿宋_GB2312"/>
                <w:i w:val="0"/>
                <w:iCs w:val="0"/>
                <w:color w:val="auto"/>
                <w:kern w:val="0"/>
                <w:sz w:val="21"/>
                <w:szCs w:val="21"/>
                <w:u w:val="none"/>
                <w:lang w:val="en-US" w:eastAsia="zh-CN" w:bidi="ar"/>
              </w:rPr>
              <w:t>丙二醇甲醚醋酸酯</w:t>
            </w:r>
          </w:p>
        </w:tc>
        <w:tc>
          <w:tcPr>
            <w:tcW w:w="773" w:type="pct"/>
            <w:vAlign w:val="center"/>
          </w:tcPr>
          <w:p w14:paraId="135B5AF6">
            <w:pPr>
              <w:keepNext w:val="0"/>
              <w:keepLines w:val="0"/>
              <w:widowControl/>
              <w:suppressLineNumbers w:val="0"/>
              <w:jc w:val="center"/>
              <w:textAlignment w:val="bottom"/>
              <w:rPr>
                <w:color w:val="auto"/>
                <w:szCs w:val="21"/>
              </w:rPr>
            </w:pPr>
            <w:r>
              <w:rPr>
                <w:rFonts w:hint="default" w:ascii="Times New Roman" w:hAnsi="Times New Roman" w:eastAsia="宋体" w:cs="Times New Roman"/>
                <w:i w:val="0"/>
                <w:iCs w:val="0"/>
                <w:color w:val="auto"/>
                <w:kern w:val="0"/>
                <w:sz w:val="21"/>
                <w:szCs w:val="21"/>
                <w:u w:val="none"/>
                <w:lang w:val="en-US" w:eastAsia="zh-CN" w:bidi="ar"/>
              </w:rPr>
              <w:t>0</w:t>
            </w:r>
          </w:p>
        </w:tc>
        <w:tc>
          <w:tcPr>
            <w:tcW w:w="647" w:type="pct"/>
            <w:vAlign w:val="center"/>
          </w:tcPr>
          <w:p w14:paraId="7FA00483">
            <w:pPr>
              <w:keepNext w:val="0"/>
              <w:keepLines w:val="0"/>
              <w:widowControl/>
              <w:suppressLineNumbers w:val="0"/>
              <w:jc w:val="center"/>
              <w:textAlignment w:val="bottom"/>
              <w:rPr>
                <w:color w:val="auto"/>
                <w:szCs w:val="21"/>
              </w:rPr>
            </w:pPr>
            <w:r>
              <w:rPr>
                <w:rFonts w:hint="default" w:ascii="Times New Roman" w:hAnsi="Times New Roman" w:eastAsia="宋体" w:cs="Times New Roman"/>
                <w:i w:val="0"/>
                <w:iCs w:val="0"/>
                <w:color w:val="auto"/>
                <w:kern w:val="0"/>
                <w:sz w:val="21"/>
                <w:szCs w:val="21"/>
                <w:u w:val="none"/>
                <w:lang w:val="en-US" w:eastAsia="zh-CN" w:bidi="ar"/>
              </w:rPr>
              <w:t>0</w:t>
            </w:r>
          </w:p>
        </w:tc>
        <w:tc>
          <w:tcPr>
            <w:tcW w:w="647" w:type="pct"/>
            <w:vAlign w:val="center"/>
          </w:tcPr>
          <w:p w14:paraId="267FD091">
            <w:pPr>
              <w:keepNext w:val="0"/>
              <w:keepLines w:val="0"/>
              <w:widowControl/>
              <w:suppressLineNumbers w:val="0"/>
              <w:jc w:val="center"/>
              <w:textAlignment w:val="bottom"/>
              <w:rPr>
                <w:color w:val="auto"/>
                <w:szCs w:val="21"/>
              </w:rPr>
            </w:pPr>
            <w:r>
              <w:rPr>
                <w:rFonts w:hint="default" w:ascii="Times New Roman" w:hAnsi="Times New Roman" w:eastAsia="宋体" w:cs="Times New Roman"/>
                <w:i w:val="0"/>
                <w:iCs w:val="0"/>
                <w:color w:val="auto"/>
                <w:kern w:val="0"/>
                <w:sz w:val="21"/>
                <w:szCs w:val="21"/>
                <w:u w:val="none"/>
                <w:lang w:val="en-US" w:eastAsia="zh-CN" w:bidi="ar"/>
              </w:rPr>
              <w:t>0.27</w:t>
            </w:r>
          </w:p>
        </w:tc>
        <w:tc>
          <w:tcPr>
            <w:tcW w:w="647" w:type="pct"/>
            <w:vAlign w:val="center"/>
          </w:tcPr>
          <w:p w14:paraId="173B60EB">
            <w:pPr>
              <w:keepNext w:val="0"/>
              <w:keepLines w:val="0"/>
              <w:widowControl/>
              <w:suppressLineNumbers w:val="0"/>
              <w:jc w:val="center"/>
              <w:textAlignment w:val="bottom"/>
              <w:rPr>
                <w:color w:val="auto"/>
                <w:szCs w:val="21"/>
              </w:rPr>
            </w:pPr>
            <w:r>
              <w:rPr>
                <w:rFonts w:hint="default" w:ascii="Times New Roman" w:hAnsi="Times New Roman" w:eastAsia="宋体" w:cs="Times New Roman"/>
                <w:i w:val="0"/>
                <w:iCs w:val="0"/>
                <w:color w:val="auto"/>
                <w:kern w:val="0"/>
                <w:sz w:val="21"/>
                <w:szCs w:val="21"/>
                <w:u w:val="none"/>
                <w:lang w:val="en-US" w:eastAsia="zh-CN" w:bidi="ar"/>
              </w:rPr>
              <w:t>0.27</w:t>
            </w:r>
          </w:p>
        </w:tc>
        <w:tc>
          <w:tcPr>
            <w:tcW w:w="647" w:type="pct"/>
            <w:vAlign w:val="center"/>
          </w:tcPr>
          <w:p w14:paraId="2B8D653F">
            <w:pPr>
              <w:keepNext w:val="0"/>
              <w:keepLines w:val="0"/>
              <w:widowControl/>
              <w:suppressLineNumbers w:val="0"/>
              <w:jc w:val="center"/>
              <w:textAlignment w:val="bottom"/>
              <w:rPr>
                <w:szCs w:val="21"/>
              </w:rPr>
            </w:pPr>
            <w:r>
              <w:rPr>
                <w:rFonts w:hint="eastAsia"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0.27</w:t>
            </w:r>
          </w:p>
        </w:tc>
      </w:tr>
      <w:tr w14:paraId="0D0E05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88" w:type="pct"/>
            <w:vMerge w:val="continue"/>
            <w:shd w:val="clear" w:color="auto" w:fill="auto"/>
            <w:vAlign w:val="center"/>
          </w:tcPr>
          <w:p w14:paraId="42F4847A">
            <w:pPr>
              <w:widowControl/>
              <w:spacing w:line="240" w:lineRule="exact"/>
              <w:jc w:val="center"/>
              <w:rPr>
                <w:rFonts w:eastAsia="仿宋_GB2312"/>
                <w:kern w:val="0"/>
                <w:szCs w:val="21"/>
                <w:highlight w:val="yellow"/>
              </w:rPr>
            </w:pPr>
          </w:p>
        </w:tc>
        <w:tc>
          <w:tcPr>
            <w:tcW w:w="1147" w:type="pct"/>
            <w:shd w:val="clear" w:color="auto" w:fill="auto"/>
            <w:tcMar>
              <w:top w:w="15" w:type="dxa"/>
              <w:left w:w="15" w:type="dxa"/>
              <w:bottom w:w="0" w:type="dxa"/>
              <w:right w:w="15" w:type="dxa"/>
            </w:tcMar>
            <w:vAlign w:val="center"/>
          </w:tcPr>
          <w:p w14:paraId="7650401F">
            <w:pPr>
              <w:keepNext w:val="0"/>
              <w:keepLines w:val="0"/>
              <w:widowControl/>
              <w:suppressLineNumbers w:val="0"/>
              <w:jc w:val="center"/>
              <w:textAlignment w:val="bottom"/>
              <w:rPr>
                <w:rFonts w:eastAsia="仿宋_GB2312"/>
                <w:color w:val="auto"/>
                <w:kern w:val="0"/>
                <w:szCs w:val="21"/>
              </w:rPr>
            </w:pPr>
            <w:r>
              <w:rPr>
                <w:rFonts w:hint="default" w:ascii="仿宋_GB2312" w:hAnsi="宋体" w:eastAsia="仿宋_GB2312" w:cs="仿宋_GB2312"/>
                <w:i w:val="0"/>
                <w:iCs w:val="0"/>
                <w:color w:val="auto"/>
                <w:kern w:val="0"/>
                <w:sz w:val="21"/>
                <w:szCs w:val="21"/>
                <w:u w:val="none"/>
                <w:lang w:val="en-US" w:eastAsia="zh-CN" w:bidi="ar"/>
              </w:rPr>
              <w:t>乙酸乙烯酯</w:t>
            </w:r>
          </w:p>
        </w:tc>
        <w:tc>
          <w:tcPr>
            <w:tcW w:w="773" w:type="pct"/>
            <w:vAlign w:val="center"/>
          </w:tcPr>
          <w:p w14:paraId="1ED05CE9">
            <w:pPr>
              <w:keepNext w:val="0"/>
              <w:keepLines w:val="0"/>
              <w:widowControl/>
              <w:suppressLineNumbers w:val="0"/>
              <w:jc w:val="center"/>
              <w:textAlignment w:val="bottom"/>
              <w:rPr>
                <w:color w:val="auto"/>
                <w:szCs w:val="21"/>
              </w:rPr>
            </w:pPr>
            <w:r>
              <w:rPr>
                <w:rFonts w:hint="default" w:ascii="Times New Roman" w:hAnsi="Times New Roman" w:eastAsia="宋体" w:cs="Times New Roman"/>
                <w:i w:val="0"/>
                <w:iCs w:val="0"/>
                <w:color w:val="auto"/>
                <w:kern w:val="0"/>
                <w:sz w:val="21"/>
                <w:szCs w:val="21"/>
                <w:u w:val="none"/>
                <w:lang w:val="en-US" w:eastAsia="zh-CN" w:bidi="ar"/>
              </w:rPr>
              <w:t>0</w:t>
            </w:r>
          </w:p>
        </w:tc>
        <w:tc>
          <w:tcPr>
            <w:tcW w:w="647" w:type="pct"/>
            <w:vAlign w:val="center"/>
          </w:tcPr>
          <w:p w14:paraId="4D83CC64">
            <w:pPr>
              <w:keepNext w:val="0"/>
              <w:keepLines w:val="0"/>
              <w:widowControl/>
              <w:suppressLineNumbers w:val="0"/>
              <w:jc w:val="center"/>
              <w:textAlignment w:val="bottom"/>
              <w:rPr>
                <w:color w:val="auto"/>
                <w:szCs w:val="21"/>
              </w:rPr>
            </w:pPr>
            <w:r>
              <w:rPr>
                <w:rFonts w:hint="default" w:ascii="Times New Roman" w:hAnsi="Times New Roman" w:eastAsia="宋体" w:cs="Times New Roman"/>
                <w:i w:val="0"/>
                <w:iCs w:val="0"/>
                <w:color w:val="auto"/>
                <w:kern w:val="0"/>
                <w:sz w:val="21"/>
                <w:szCs w:val="21"/>
                <w:u w:val="none"/>
                <w:lang w:val="en-US" w:eastAsia="zh-CN" w:bidi="ar"/>
              </w:rPr>
              <w:t>0</w:t>
            </w:r>
          </w:p>
        </w:tc>
        <w:tc>
          <w:tcPr>
            <w:tcW w:w="647" w:type="pct"/>
            <w:vAlign w:val="center"/>
          </w:tcPr>
          <w:p w14:paraId="0702E5CA">
            <w:pPr>
              <w:keepNext w:val="0"/>
              <w:keepLines w:val="0"/>
              <w:widowControl/>
              <w:suppressLineNumbers w:val="0"/>
              <w:jc w:val="center"/>
              <w:textAlignment w:val="bottom"/>
              <w:rPr>
                <w:color w:val="auto"/>
                <w:szCs w:val="21"/>
              </w:rPr>
            </w:pPr>
            <w:r>
              <w:rPr>
                <w:rFonts w:hint="default" w:ascii="Times New Roman" w:hAnsi="Times New Roman" w:eastAsia="宋体" w:cs="Times New Roman"/>
                <w:i w:val="0"/>
                <w:iCs w:val="0"/>
                <w:color w:val="auto"/>
                <w:kern w:val="0"/>
                <w:sz w:val="21"/>
                <w:szCs w:val="21"/>
                <w:u w:val="none"/>
                <w:lang w:val="en-US" w:eastAsia="zh-CN" w:bidi="ar"/>
              </w:rPr>
              <w:t>0.18</w:t>
            </w:r>
          </w:p>
        </w:tc>
        <w:tc>
          <w:tcPr>
            <w:tcW w:w="647" w:type="pct"/>
            <w:vAlign w:val="center"/>
          </w:tcPr>
          <w:p w14:paraId="78B56CC0">
            <w:pPr>
              <w:keepNext w:val="0"/>
              <w:keepLines w:val="0"/>
              <w:widowControl/>
              <w:suppressLineNumbers w:val="0"/>
              <w:jc w:val="center"/>
              <w:textAlignment w:val="bottom"/>
              <w:rPr>
                <w:color w:val="auto"/>
                <w:szCs w:val="21"/>
              </w:rPr>
            </w:pPr>
            <w:r>
              <w:rPr>
                <w:rFonts w:hint="default" w:ascii="Times New Roman" w:hAnsi="Times New Roman" w:eastAsia="宋体" w:cs="Times New Roman"/>
                <w:i w:val="0"/>
                <w:iCs w:val="0"/>
                <w:color w:val="auto"/>
                <w:kern w:val="0"/>
                <w:sz w:val="21"/>
                <w:szCs w:val="21"/>
                <w:u w:val="none"/>
                <w:lang w:val="en-US" w:eastAsia="zh-CN" w:bidi="ar"/>
              </w:rPr>
              <w:t>0.18</w:t>
            </w:r>
          </w:p>
        </w:tc>
        <w:tc>
          <w:tcPr>
            <w:tcW w:w="647" w:type="pct"/>
            <w:vAlign w:val="center"/>
          </w:tcPr>
          <w:p w14:paraId="78179F06">
            <w:pPr>
              <w:keepNext w:val="0"/>
              <w:keepLines w:val="0"/>
              <w:widowControl/>
              <w:suppressLineNumbers w:val="0"/>
              <w:jc w:val="center"/>
              <w:textAlignment w:val="bottom"/>
              <w:rPr>
                <w:szCs w:val="21"/>
              </w:rPr>
            </w:pPr>
            <w:r>
              <w:rPr>
                <w:rFonts w:hint="eastAsia"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0.18</w:t>
            </w:r>
          </w:p>
        </w:tc>
      </w:tr>
      <w:tr w14:paraId="7525FB8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88" w:type="pct"/>
            <w:vMerge w:val="continue"/>
            <w:shd w:val="clear" w:color="auto" w:fill="auto"/>
            <w:vAlign w:val="center"/>
          </w:tcPr>
          <w:p w14:paraId="65141E0F">
            <w:pPr>
              <w:widowControl/>
              <w:spacing w:line="240" w:lineRule="exact"/>
              <w:jc w:val="center"/>
              <w:rPr>
                <w:rFonts w:eastAsia="仿宋_GB2312"/>
                <w:kern w:val="0"/>
                <w:szCs w:val="21"/>
                <w:highlight w:val="yellow"/>
              </w:rPr>
            </w:pPr>
          </w:p>
        </w:tc>
        <w:tc>
          <w:tcPr>
            <w:tcW w:w="1147" w:type="pct"/>
            <w:shd w:val="clear" w:color="auto" w:fill="auto"/>
            <w:tcMar>
              <w:top w:w="15" w:type="dxa"/>
              <w:left w:w="15" w:type="dxa"/>
              <w:bottom w:w="0" w:type="dxa"/>
              <w:right w:w="15" w:type="dxa"/>
            </w:tcMar>
            <w:vAlign w:val="center"/>
          </w:tcPr>
          <w:p w14:paraId="34EEB163">
            <w:pPr>
              <w:keepNext w:val="0"/>
              <w:keepLines w:val="0"/>
              <w:widowControl/>
              <w:suppressLineNumbers w:val="0"/>
              <w:jc w:val="center"/>
              <w:textAlignment w:val="bottom"/>
              <w:rPr>
                <w:rFonts w:eastAsia="仿宋_GB2312"/>
                <w:color w:val="auto"/>
                <w:kern w:val="0"/>
                <w:szCs w:val="21"/>
              </w:rPr>
            </w:pPr>
            <w:r>
              <w:rPr>
                <w:rFonts w:hint="default" w:ascii="仿宋_GB2312" w:hAnsi="宋体" w:eastAsia="仿宋_GB2312" w:cs="仿宋_GB2312"/>
                <w:i w:val="0"/>
                <w:iCs w:val="0"/>
                <w:color w:val="auto"/>
                <w:kern w:val="0"/>
                <w:sz w:val="21"/>
                <w:szCs w:val="21"/>
                <w:u w:val="none"/>
                <w:lang w:val="en-US" w:eastAsia="zh-CN" w:bidi="ar"/>
              </w:rPr>
              <w:t>异丙苯</w:t>
            </w:r>
          </w:p>
        </w:tc>
        <w:tc>
          <w:tcPr>
            <w:tcW w:w="773" w:type="pct"/>
            <w:vAlign w:val="center"/>
          </w:tcPr>
          <w:p w14:paraId="568CC585">
            <w:pPr>
              <w:keepNext w:val="0"/>
              <w:keepLines w:val="0"/>
              <w:widowControl/>
              <w:suppressLineNumbers w:val="0"/>
              <w:jc w:val="center"/>
              <w:textAlignment w:val="bottom"/>
              <w:rPr>
                <w:color w:val="auto"/>
                <w:szCs w:val="21"/>
              </w:rPr>
            </w:pPr>
            <w:r>
              <w:rPr>
                <w:rFonts w:hint="default" w:ascii="Times New Roman" w:hAnsi="Times New Roman" w:eastAsia="宋体" w:cs="Times New Roman"/>
                <w:i w:val="0"/>
                <w:iCs w:val="0"/>
                <w:color w:val="auto"/>
                <w:kern w:val="0"/>
                <w:sz w:val="21"/>
                <w:szCs w:val="21"/>
                <w:u w:val="none"/>
                <w:lang w:val="en-US" w:eastAsia="zh-CN" w:bidi="ar"/>
              </w:rPr>
              <w:t>0</w:t>
            </w:r>
          </w:p>
        </w:tc>
        <w:tc>
          <w:tcPr>
            <w:tcW w:w="647" w:type="pct"/>
            <w:vAlign w:val="center"/>
          </w:tcPr>
          <w:p w14:paraId="125A076F">
            <w:pPr>
              <w:keepNext w:val="0"/>
              <w:keepLines w:val="0"/>
              <w:widowControl/>
              <w:suppressLineNumbers w:val="0"/>
              <w:jc w:val="center"/>
              <w:textAlignment w:val="bottom"/>
              <w:rPr>
                <w:color w:val="auto"/>
                <w:szCs w:val="21"/>
              </w:rPr>
            </w:pPr>
            <w:r>
              <w:rPr>
                <w:rFonts w:hint="default" w:ascii="Times New Roman" w:hAnsi="Times New Roman" w:eastAsia="宋体" w:cs="Times New Roman"/>
                <w:i w:val="0"/>
                <w:iCs w:val="0"/>
                <w:color w:val="auto"/>
                <w:kern w:val="0"/>
                <w:sz w:val="21"/>
                <w:szCs w:val="21"/>
                <w:u w:val="none"/>
                <w:lang w:val="en-US" w:eastAsia="zh-CN" w:bidi="ar"/>
              </w:rPr>
              <w:t>0</w:t>
            </w:r>
          </w:p>
        </w:tc>
        <w:tc>
          <w:tcPr>
            <w:tcW w:w="647" w:type="pct"/>
            <w:vAlign w:val="center"/>
          </w:tcPr>
          <w:p w14:paraId="7BCC5F31">
            <w:pPr>
              <w:keepNext w:val="0"/>
              <w:keepLines w:val="0"/>
              <w:widowControl/>
              <w:suppressLineNumbers w:val="0"/>
              <w:jc w:val="center"/>
              <w:textAlignment w:val="bottom"/>
              <w:rPr>
                <w:color w:val="auto"/>
                <w:szCs w:val="21"/>
              </w:rPr>
            </w:pPr>
            <w:r>
              <w:rPr>
                <w:rFonts w:hint="default" w:ascii="Times New Roman" w:hAnsi="Times New Roman" w:eastAsia="宋体" w:cs="Times New Roman"/>
                <w:i w:val="0"/>
                <w:iCs w:val="0"/>
                <w:color w:val="auto"/>
                <w:kern w:val="0"/>
                <w:sz w:val="21"/>
                <w:szCs w:val="21"/>
                <w:u w:val="none"/>
                <w:lang w:val="en-US" w:eastAsia="zh-CN" w:bidi="ar"/>
              </w:rPr>
              <w:t>0.09</w:t>
            </w:r>
          </w:p>
        </w:tc>
        <w:tc>
          <w:tcPr>
            <w:tcW w:w="647" w:type="pct"/>
            <w:vAlign w:val="center"/>
          </w:tcPr>
          <w:p w14:paraId="627E7A5F">
            <w:pPr>
              <w:keepNext w:val="0"/>
              <w:keepLines w:val="0"/>
              <w:widowControl/>
              <w:suppressLineNumbers w:val="0"/>
              <w:jc w:val="center"/>
              <w:textAlignment w:val="bottom"/>
              <w:rPr>
                <w:color w:val="auto"/>
                <w:szCs w:val="21"/>
              </w:rPr>
            </w:pPr>
            <w:r>
              <w:rPr>
                <w:rFonts w:hint="default" w:ascii="Times New Roman" w:hAnsi="Times New Roman" w:eastAsia="宋体" w:cs="Times New Roman"/>
                <w:i w:val="0"/>
                <w:iCs w:val="0"/>
                <w:color w:val="auto"/>
                <w:kern w:val="0"/>
                <w:sz w:val="21"/>
                <w:szCs w:val="21"/>
                <w:u w:val="none"/>
                <w:lang w:val="en-US" w:eastAsia="zh-CN" w:bidi="ar"/>
              </w:rPr>
              <w:t>0.09</w:t>
            </w:r>
          </w:p>
        </w:tc>
        <w:tc>
          <w:tcPr>
            <w:tcW w:w="647" w:type="pct"/>
            <w:vAlign w:val="center"/>
          </w:tcPr>
          <w:p w14:paraId="589C7F4F">
            <w:pPr>
              <w:keepNext w:val="0"/>
              <w:keepLines w:val="0"/>
              <w:widowControl/>
              <w:suppressLineNumbers w:val="0"/>
              <w:jc w:val="center"/>
              <w:textAlignment w:val="bottom"/>
              <w:rPr>
                <w:szCs w:val="21"/>
              </w:rPr>
            </w:pPr>
            <w:r>
              <w:rPr>
                <w:rFonts w:hint="eastAsia"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0.09</w:t>
            </w:r>
          </w:p>
        </w:tc>
      </w:tr>
      <w:tr w14:paraId="2AC3588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88" w:type="pct"/>
            <w:vMerge w:val="continue"/>
            <w:shd w:val="clear" w:color="auto" w:fill="auto"/>
            <w:vAlign w:val="center"/>
          </w:tcPr>
          <w:p w14:paraId="44D932A4">
            <w:pPr>
              <w:widowControl/>
              <w:spacing w:line="240" w:lineRule="exact"/>
              <w:jc w:val="center"/>
              <w:rPr>
                <w:rFonts w:eastAsia="仿宋_GB2312"/>
                <w:kern w:val="0"/>
                <w:szCs w:val="21"/>
                <w:highlight w:val="yellow"/>
              </w:rPr>
            </w:pPr>
          </w:p>
        </w:tc>
        <w:tc>
          <w:tcPr>
            <w:tcW w:w="1147" w:type="pct"/>
            <w:shd w:val="clear" w:color="auto" w:fill="auto"/>
            <w:tcMar>
              <w:top w:w="15" w:type="dxa"/>
              <w:left w:w="15" w:type="dxa"/>
              <w:bottom w:w="0" w:type="dxa"/>
              <w:right w:w="15" w:type="dxa"/>
            </w:tcMar>
            <w:vAlign w:val="center"/>
          </w:tcPr>
          <w:p w14:paraId="3AFA95E8">
            <w:pPr>
              <w:widowControl/>
              <w:spacing w:line="240" w:lineRule="exact"/>
              <w:jc w:val="center"/>
              <w:rPr>
                <w:rFonts w:eastAsia="仿宋_GB2312"/>
                <w:color w:val="auto"/>
                <w:kern w:val="0"/>
                <w:szCs w:val="21"/>
              </w:rPr>
            </w:pPr>
            <w:r>
              <w:rPr>
                <w:rFonts w:eastAsia="仿宋_GB2312"/>
                <w:color w:val="auto"/>
                <w:kern w:val="0"/>
                <w:szCs w:val="21"/>
              </w:rPr>
              <w:t>非甲烷总烃</w:t>
            </w:r>
          </w:p>
        </w:tc>
        <w:tc>
          <w:tcPr>
            <w:tcW w:w="773" w:type="pct"/>
            <w:vAlign w:val="center"/>
          </w:tcPr>
          <w:p w14:paraId="2E3F676D">
            <w:pPr>
              <w:keepNext w:val="0"/>
              <w:keepLines w:val="0"/>
              <w:widowControl/>
              <w:suppressLineNumbers w:val="0"/>
              <w:jc w:val="center"/>
              <w:textAlignment w:val="bottom"/>
              <w:rPr>
                <w:rFonts w:hint="eastAsia"/>
                <w:color w:val="auto"/>
                <w:szCs w:val="21"/>
              </w:rPr>
            </w:pPr>
            <w:r>
              <w:rPr>
                <w:rFonts w:hint="default" w:ascii="Times New Roman" w:hAnsi="Times New Roman" w:eastAsia="宋体" w:cs="Times New Roman"/>
                <w:i w:val="0"/>
                <w:iCs w:val="0"/>
                <w:color w:val="auto"/>
                <w:kern w:val="0"/>
                <w:sz w:val="21"/>
                <w:szCs w:val="21"/>
                <w:u w:val="none"/>
                <w:lang w:val="en-US" w:eastAsia="zh-CN" w:bidi="ar"/>
              </w:rPr>
              <w:t>7.29236</w:t>
            </w:r>
          </w:p>
        </w:tc>
        <w:tc>
          <w:tcPr>
            <w:tcW w:w="647" w:type="pct"/>
            <w:vAlign w:val="center"/>
          </w:tcPr>
          <w:p w14:paraId="0B7DF964">
            <w:pPr>
              <w:keepNext w:val="0"/>
              <w:keepLines w:val="0"/>
              <w:widowControl/>
              <w:suppressLineNumbers w:val="0"/>
              <w:jc w:val="center"/>
              <w:textAlignment w:val="bottom"/>
              <w:rPr>
                <w:rFonts w:hint="default"/>
                <w:color w:val="auto"/>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4.21</w:t>
            </w:r>
          </w:p>
        </w:tc>
        <w:tc>
          <w:tcPr>
            <w:tcW w:w="647" w:type="pct"/>
            <w:vAlign w:val="center"/>
          </w:tcPr>
          <w:p w14:paraId="63665838">
            <w:pPr>
              <w:keepNext w:val="0"/>
              <w:keepLines w:val="0"/>
              <w:widowControl/>
              <w:suppressLineNumbers w:val="0"/>
              <w:jc w:val="center"/>
              <w:textAlignment w:val="bottom"/>
              <w:rPr>
                <w:rFonts w:hint="default"/>
                <w:color w:val="auto"/>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20.056</w:t>
            </w:r>
          </w:p>
        </w:tc>
        <w:tc>
          <w:tcPr>
            <w:tcW w:w="647" w:type="pct"/>
            <w:vAlign w:val="center"/>
          </w:tcPr>
          <w:p w14:paraId="586B4C7F">
            <w:pPr>
              <w:keepNext w:val="0"/>
              <w:keepLines w:val="0"/>
              <w:widowControl/>
              <w:suppressLineNumbers w:val="0"/>
              <w:jc w:val="center"/>
              <w:textAlignment w:val="bottom"/>
              <w:rPr>
                <w:rFonts w:hint="default"/>
                <w:color w:val="auto"/>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23.13836</w:t>
            </w:r>
          </w:p>
        </w:tc>
        <w:tc>
          <w:tcPr>
            <w:tcW w:w="647" w:type="pct"/>
            <w:vAlign w:val="center"/>
          </w:tcPr>
          <w:p w14:paraId="566843C3">
            <w:pPr>
              <w:keepNext w:val="0"/>
              <w:keepLines w:val="0"/>
              <w:widowControl/>
              <w:suppressLineNumbers w:val="0"/>
              <w:jc w:val="center"/>
              <w:textAlignment w:val="bottom"/>
              <w:rPr>
                <w:rFonts w:hint="default"/>
                <w:szCs w:val="21"/>
                <w:lang w:val="en-US" w:eastAsia="zh-CN"/>
              </w:rPr>
            </w:pPr>
            <w:r>
              <w:rPr>
                <w:rFonts w:hint="eastAsia"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15.846</w:t>
            </w:r>
          </w:p>
        </w:tc>
      </w:tr>
      <w:tr w14:paraId="5E3E84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88" w:type="pct"/>
            <w:vMerge w:val="continue"/>
            <w:shd w:val="clear" w:color="auto" w:fill="auto"/>
            <w:vAlign w:val="center"/>
          </w:tcPr>
          <w:p w14:paraId="6A029CE7">
            <w:pPr>
              <w:widowControl/>
              <w:spacing w:line="240" w:lineRule="exact"/>
              <w:jc w:val="center"/>
              <w:rPr>
                <w:rFonts w:eastAsia="仿宋_GB2312"/>
                <w:kern w:val="0"/>
                <w:szCs w:val="21"/>
                <w:highlight w:val="yellow"/>
              </w:rPr>
            </w:pPr>
          </w:p>
        </w:tc>
        <w:tc>
          <w:tcPr>
            <w:tcW w:w="1147" w:type="pct"/>
            <w:shd w:val="clear" w:color="auto" w:fill="auto"/>
            <w:tcMar>
              <w:top w:w="15" w:type="dxa"/>
              <w:left w:w="15" w:type="dxa"/>
              <w:bottom w:w="0" w:type="dxa"/>
              <w:right w:w="15" w:type="dxa"/>
            </w:tcMar>
            <w:vAlign w:val="center"/>
          </w:tcPr>
          <w:p w14:paraId="7F3E990E">
            <w:pPr>
              <w:widowControl/>
              <w:spacing w:line="240" w:lineRule="exact"/>
              <w:jc w:val="center"/>
              <w:rPr>
                <w:rFonts w:eastAsia="仿宋_GB2312"/>
                <w:color w:val="auto"/>
                <w:kern w:val="0"/>
                <w:szCs w:val="21"/>
              </w:rPr>
            </w:pPr>
            <w:r>
              <w:rPr>
                <w:rFonts w:eastAsia="仿宋_GB2312"/>
                <w:color w:val="auto"/>
                <w:kern w:val="0"/>
                <w:szCs w:val="21"/>
              </w:rPr>
              <w:t>VOCs</w:t>
            </w:r>
          </w:p>
        </w:tc>
        <w:tc>
          <w:tcPr>
            <w:tcW w:w="773" w:type="pct"/>
            <w:vAlign w:val="center"/>
          </w:tcPr>
          <w:p w14:paraId="7CB92070">
            <w:pPr>
              <w:keepNext w:val="0"/>
              <w:keepLines w:val="0"/>
              <w:widowControl/>
              <w:suppressLineNumbers w:val="0"/>
              <w:jc w:val="center"/>
              <w:textAlignment w:val="bottom"/>
              <w:rPr>
                <w:rFonts w:hint="eastAsia"/>
                <w:color w:val="auto"/>
                <w:szCs w:val="21"/>
              </w:rPr>
            </w:pPr>
            <w:r>
              <w:rPr>
                <w:rFonts w:hint="default" w:ascii="Times New Roman" w:hAnsi="Times New Roman" w:eastAsia="宋体" w:cs="Times New Roman"/>
                <w:i w:val="0"/>
                <w:iCs w:val="0"/>
                <w:color w:val="auto"/>
                <w:kern w:val="0"/>
                <w:sz w:val="21"/>
                <w:szCs w:val="21"/>
                <w:u w:val="none"/>
                <w:lang w:val="en-US" w:eastAsia="zh-CN" w:bidi="ar"/>
              </w:rPr>
              <w:t>12.79236</w:t>
            </w:r>
          </w:p>
        </w:tc>
        <w:tc>
          <w:tcPr>
            <w:tcW w:w="647" w:type="pct"/>
            <w:vAlign w:val="center"/>
          </w:tcPr>
          <w:p w14:paraId="6BE55206">
            <w:pPr>
              <w:keepNext w:val="0"/>
              <w:keepLines w:val="0"/>
              <w:widowControl/>
              <w:suppressLineNumbers w:val="0"/>
              <w:jc w:val="center"/>
              <w:textAlignment w:val="bottom"/>
              <w:rPr>
                <w:rFonts w:hint="default"/>
                <w:color w:val="auto"/>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7.75</w:t>
            </w:r>
          </w:p>
        </w:tc>
        <w:tc>
          <w:tcPr>
            <w:tcW w:w="647" w:type="pct"/>
            <w:vAlign w:val="center"/>
          </w:tcPr>
          <w:p w14:paraId="2C867E80">
            <w:pPr>
              <w:keepNext w:val="0"/>
              <w:keepLines w:val="0"/>
              <w:widowControl/>
              <w:suppressLineNumbers w:val="0"/>
              <w:jc w:val="center"/>
              <w:textAlignment w:val="bottom"/>
              <w:rPr>
                <w:rFonts w:hint="default"/>
                <w:color w:val="auto"/>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35.456</w:t>
            </w:r>
          </w:p>
        </w:tc>
        <w:tc>
          <w:tcPr>
            <w:tcW w:w="647" w:type="pct"/>
            <w:vAlign w:val="center"/>
          </w:tcPr>
          <w:p w14:paraId="7BEBFA48">
            <w:pPr>
              <w:keepNext w:val="0"/>
              <w:keepLines w:val="0"/>
              <w:widowControl/>
              <w:suppressLineNumbers w:val="0"/>
              <w:jc w:val="center"/>
              <w:textAlignment w:val="bottom"/>
              <w:rPr>
                <w:rFonts w:hint="default"/>
                <w:color w:val="auto"/>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40.49836</w:t>
            </w:r>
          </w:p>
        </w:tc>
        <w:tc>
          <w:tcPr>
            <w:tcW w:w="647" w:type="pct"/>
            <w:vAlign w:val="center"/>
          </w:tcPr>
          <w:p w14:paraId="6A64A1E0">
            <w:pPr>
              <w:keepNext w:val="0"/>
              <w:keepLines w:val="0"/>
              <w:widowControl/>
              <w:suppressLineNumbers w:val="0"/>
              <w:jc w:val="center"/>
              <w:textAlignment w:val="bottom"/>
              <w:rPr>
                <w:rFonts w:hint="default"/>
                <w:szCs w:val="21"/>
                <w:lang w:val="en-US" w:eastAsia="zh-CN"/>
              </w:rPr>
            </w:pPr>
            <w:r>
              <w:rPr>
                <w:rFonts w:hint="eastAsia"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27.706</w:t>
            </w:r>
          </w:p>
        </w:tc>
      </w:tr>
      <w:tr w14:paraId="468386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88" w:type="pct"/>
            <w:vMerge w:val="continue"/>
            <w:shd w:val="clear" w:color="auto" w:fill="auto"/>
            <w:vAlign w:val="center"/>
          </w:tcPr>
          <w:p w14:paraId="061A232B">
            <w:pPr>
              <w:widowControl/>
              <w:spacing w:line="240" w:lineRule="exact"/>
              <w:jc w:val="center"/>
              <w:rPr>
                <w:rFonts w:eastAsia="仿宋_GB2312"/>
                <w:kern w:val="0"/>
                <w:szCs w:val="21"/>
                <w:highlight w:val="yellow"/>
              </w:rPr>
            </w:pPr>
          </w:p>
        </w:tc>
        <w:tc>
          <w:tcPr>
            <w:tcW w:w="1147" w:type="pct"/>
            <w:shd w:val="clear" w:color="auto" w:fill="auto"/>
            <w:tcMar>
              <w:top w:w="15" w:type="dxa"/>
              <w:left w:w="15" w:type="dxa"/>
              <w:bottom w:w="0" w:type="dxa"/>
              <w:right w:w="15" w:type="dxa"/>
            </w:tcMar>
            <w:vAlign w:val="center"/>
          </w:tcPr>
          <w:p w14:paraId="304473D1">
            <w:pPr>
              <w:widowControl/>
              <w:spacing w:line="240" w:lineRule="exact"/>
              <w:jc w:val="center"/>
              <w:rPr>
                <w:rFonts w:eastAsia="仿宋_GB2312"/>
                <w:kern w:val="0"/>
                <w:szCs w:val="21"/>
              </w:rPr>
            </w:pPr>
            <w:r>
              <w:rPr>
                <w:rFonts w:eastAsia="仿宋_GB2312"/>
                <w:kern w:val="0"/>
                <w:szCs w:val="21"/>
              </w:rPr>
              <w:t>汞</w:t>
            </w:r>
          </w:p>
        </w:tc>
        <w:tc>
          <w:tcPr>
            <w:tcW w:w="773" w:type="pct"/>
            <w:vAlign w:val="center"/>
          </w:tcPr>
          <w:p w14:paraId="1F28D227">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0.023</w:t>
            </w:r>
          </w:p>
        </w:tc>
        <w:tc>
          <w:tcPr>
            <w:tcW w:w="647" w:type="pct"/>
            <w:vAlign w:val="center"/>
          </w:tcPr>
          <w:p w14:paraId="74BDB052">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647" w:type="pct"/>
            <w:vAlign w:val="center"/>
          </w:tcPr>
          <w:p w14:paraId="08C25347">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647" w:type="pct"/>
            <w:vAlign w:val="center"/>
          </w:tcPr>
          <w:p w14:paraId="360194F2">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0.023</w:t>
            </w:r>
          </w:p>
        </w:tc>
        <w:tc>
          <w:tcPr>
            <w:tcW w:w="647" w:type="pct"/>
            <w:vAlign w:val="center"/>
          </w:tcPr>
          <w:p w14:paraId="001048F9">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w:t>
            </w:r>
          </w:p>
        </w:tc>
      </w:tr>
      <w:tr w14:paraId="168BC6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88" w:type="pct"/>
            <w:vMerge w:val="continue"/>
            <w:shd w:val="clear" w:color="auto" w:fill="auto"/>
            <w:vAlign w:val="center"/>
          </w:tcPr>
          <w:p w14:paraId="01469D37">
            <w:pPr>
              <w:widowControl/>
              <w:spacing w:line="240" w:lineRule="exact"/>
              <w:jc w:val="center"/>
              <w:rPr>
                <w:rFonts w:eastAsia="仿宋_GB2312"/>
                <w:kern w:val="0"/>
                <w:szCs w:val="21"/>
                <w:highlight w:val="yellow"/>
              </w:rPr>
            </w:pPr>
          </w:p>
        </w:tc>
        <w:tc>
          <w:tcPr>
            <w:tcW w:w="1147" w:type="pct"/>
            <w:shd w:val="clear" w:color="auto" w:fill="auto"/>
            <w:tcMar>
              <w:top w:w="15" w:type="dxa"/>
              <w:left w:w="15" w:type="dxa"/>
              <w:bottom w:w="0" w:type="dxa"/>
              <w:right w:w="15" w:type="dxa"/>
            </w:tcMar>
            <w:vAlign w:val="center"/>
          </w:tcPr>
          <w:p w14:paraId="5D3C6158">
            <w:pPr>
              <w:widowControl/>
              <w:spacing w:line="240" w:lineRule="exact"/>
              <w:jc w:val="center"/>
              <w:rPr>
                <w:rFonts w:eastAsia="仿宋_GB2312"/>
                <w:kern w:val="0"/>
                <w:szCs w:val="21"/>
              </w:rPr>
            </w:pPr>
            <w:r>
              <w:rPr>
                <w:rFonts w:eastAsia="仿宋_GB2312"/>
                <w:kern w:val="0"/>
                <w:szCs w:val="21"/>
              </w:rPr>
              <w:t>镉</w:t>
            </w:r>
          </w:p>
        </w:tc>
        <w:tc>
          <w:tcPr>
            <w:tcW w:w="773" w:type="pct"/>
            <w:vAlign w:val="center"/>
          </w:tcPr>
          <w:p w14:paraId="14247D50">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0.023</w:t>
            </w:r>
          </w:p>
        </w:tc>
        <w:tc>
          <w:tcPr>
            <w:tcW w:w="647" w:type="pct"/>
            <w:vAlign w:val="center"/>
          </w:tcPr>
          <w:p w14:paraId="0E7D0538">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647" w:type="pct"/>
            <w:vAlign w:val="center"/>
          </w:tcPr>
          <w:p w14:paraId="27B4AD9E">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647" w:type="pct"/>
            <w:vAlign w:val="center"/>
          </w:tcPr>
          <w:p w14:paraId="4496A03E">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0.023</w:t>
            </w:r>
          </w:p>
        </w:tc>
        <w:tc>
          <w:tcPr>
            <w:tcW w:w="647" w:type="pct"/>
            <w:vAlign w:val="center"/>
          </w:tcPr>
          <w:p w14:paraId="04E3A963">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w:t>
            </w:r>
          </w:p>
        </w:tc>
      </w:tr>
      <w:tr w14:paraId="4FFEFE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88" w:type="pct"/>
            <w:vMerge w:val="continue"/>
            <w:shd w:val="clear" w:color="auto" w:fill="auto"/>
            <w:vAlign w:val="center"/>
          </w:tcPr>
          <w:p w14:paraId="630BFE3D">
            <w:pPr>
              <w:widowControl/>
              <w:spacing w:line="240" w:lineRule="exact"/>
              <w:jc w:val="center"/>
              <w:rPr>
                <w:rFonts w:eastAsia="仿宋_GB2312"/>
                <w:kern w:val="0"/>
                <w:szCs w:val="21"/>
                <w:highlight w:val="yellow"/>
              </w:rPr>
            </w:pPr>
          </w:p>
        </w:tc>
        <w:tc>
          <w:tcPr>
            <w:tcW w:w="1147" w:type="pct"/>
            <w:shd w:val="clear" w:color="auto" w:fill="auto"/>
            <w:tcMar>
              <w:top w:w="15" w:type="dxa"/>
              <w:left w:w="15" w:type="dxa"/>
              <w:bottom w:w="0" w:type="dxa"/>
              <w:right w:w="15" w:type="dxa"/>
            </w:tcMar>
            <w:vAlign w:val="center"/>
          </w:tcPr>
          <w:p w14:paraId="785D875E">
            <w:pPr>
              <w:widowControl/>
              <w:spacing w:line="240" w:lineRule="exact"/>
              <w:jc w:val="center"/>
              <w:rPr>
                <w:rFonts w:eastAsia="仿宋_GB2312"/>
                <w:kern w:val="0"/>
                <w:szCs w:val="21"/>
              </w:rPr>
            </w:pPr>
            <w:r>
              <w:rPr>
                <w:rFonts w:eastAsia="仿宋_GB2312"/>
                <w:kern w:val="0"/>
                <w:szCs w:val="21"/>
              </w:rPr>
              <w:t>铅</w:t>
            </w:r>
          </w:p>
        </w:tc>
        <w:tc>
          <w:tcPr>
            <w:tcW w:w="773" w:type="pct"/>
            <w:vAlign w:val="center"/>
          </w:tcPr>
          <w:p w14:paraId="51F17777">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0.232</w:t>
            </w:r>
          </w:p>
        </w:tc>
        <w:tc>
          <w:tcPr>
            <w:tcW w:w="647" w:type="pct"/>
            <w:vAlign w:val="center"/>
          </w:tcPr>
          <w:p w14:paraId="27139B8A">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647" w:type="pct"/>
            <w:vAlign w:val="center"/>
          </w:tcPr>
          <w:p w14:paraId="4D2EC4FF">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647" w:type="pct"/>
            <w:vAlign w:val="center"/>
          </w:tcPr>
          <w:p w14:paraId="1D1EA708">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0.232</w:t>
            </w:r>
          </w:p>
        </w:tc>
        <w:tc>
          <w:tcPr>
            <w:tcW w:w="647" w:type="pct"/>
            <w:vAlign w:val="center"/>
          </w:tcPr>
          <w:p w14:paraId="513638F4">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w:t>
            </w:r>
          </w:p>
        </w:tc>
      </w:tr>
      <w:tr w14:paraId="5DCC43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88" w:type="pct"/>
            <w:vMerge w:val="continue"/>
            <w:shd w:val="clear" w:color="auto" w:fill="auto"/>
            <w:vAlign w:val="center"/>
          </w:tcPr>
          <w:p w14:paraId="653EC33E">
            <w:pPr>
              <w:widowControl/>
              <w:spacing w:line="240" w:lineRule="exact"/>
              <w:jc w:val="center"/>
              <w:rPr>
                <w:rFonts w:eastAsia="仿宋_GB2312"/>
                <w:kern w:val="0"/>
                <w:szCs w:val="21"/>
                <w:highlight w:val="yellow"/>
              </w:rPr>
            </w:pPr>
          </w:p>
        </w:tc>
        <w:tc>
          <w:tcPr>
            <w:tcW w:w="1147" w:type="pct"/>
            <w:shd w:val="clear" w:color="auto" w:fill="auto"/>
            <w:tcMar>
              <w:top w:w="15" w:type="dxa"/>
              <w:left w:w="15" w:type="dxa"/>
              <w:bottom w:w="0" w:type="dxa"/>
              <w:right w:w="15" w:type="dxa"/>
            </w:tcMar>
            <w:vAlign w:val="center"/>
          </w:tcPr>
          <w:p w14:paraId="18C1DB6C">
            <w:pPr>
              <w:widowControl/>
              <w:spacing w:line="240" w:lineRule="exact"/>
              <w:jc w:val="center"/>
              <w:rPr>
                <w:rFonts w:eastAsia="仿宋_GB2312"/>
                <w:kern w:val="0"/>
                <w:szCs w:val="21"/>
              </w:rPr>
            </w:pPr>
            <w:r>
              <w:rPr>
                <w:rFonts w:eastAsia="仿宋_GB2312"/>
                <w:kern w:val="0"/>
                <w:szCs w:val="21"/>
              </w:rPr>
              <w:t>砷</w:t>
            </w:r>
          </w:p>
        </w:tc>
        <w:tc>
          <w:tcPr>
            <w:tcW w:w="773" w:type="pct"/>
            <w:vAlign w:val="center"/>
          </w:tcPr>
          <w:p w14:paraId="185ECB7F">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0.062</w:t>
            </w:r>
          </w:p>
        </w:tc>
        <w:tc>
          <w:tcPr>
            <w:tcW w:w="647" w:type="pct"/>
            <w:vAlign w:val="center"/>
          </w:tcPr>
          <w:p w14:paraId="55B96A99">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647" w:type="pct"/>
            <w:vAlign w:val="center"/>
          </w:tcPr>
          <w:p w14:paraId="44DA957F">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647" w:type="pct"/>
            <w:vAlign w:val="center"/>
          </w:tcPr>
          <w:p w14:paraId="3F5CCD77">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0.062</w:t>
            </w:r>
          </w:p>
        </w:tc>
        <w:tc>
          <w:tcPr>
            <w:tcW w:w="647" w:type="pct"/>
            <w:vAlign w:val="center"/>
          </w:tcPr>
          <w:p w14:paraId="27435DDA">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w:t>
            </w:r>
          </w:p>
        </w:tc>
      </w:tr>
      <w:tr w14:paraId="66DFD3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88" w:type="pct"/>
            <w:vMerge w:val="continue"/>
            <w:shd w:val="clear" w:color="auto" w:fill="auto"/>
            <w:vAlign w:val="center"/>
          </w:tcPr>
          <w:p w14:paraId="106D63CA">
            <w:pPr>
              <w:widowControl/>
              <w:spacing w:line="240" w:lineRule="exact"/>
              <w:jc w:val="center"/>
              <w:rPr>
                <w:rFonts w:eastAsia="仿宋_GB2312"/>
                <w:kern w:val="0"/>
                <w:szCs w:val="21"/>
                <w:highlight w:val="yellow"/>
              </w:rPr>
            </w:pPr>
          </w:p>
        </w:tc>
        <w:tc>
          <w:tcPr>
            <w:tcW w:w="1147" w:type="pct"/>
            <w:shd w:val="clear" w:color="auto" w:fill="auto"/>
            <w:tcMar>
              <w:top w:w="15" w:type="dxa"/>
              <w:left w:w="15" w:type="dxa"/>
              <w:bottom w:w="0" w:type="dxa"/>
              <w:right w:w="15" w:type="dxa"/>
            </w:tcMar>
            <w:vAlign w:val="center"/>
          </w:tcPr>
          <w:p w14:paraId="7637037B">
            <w:pPr>
              <w:widowControl/>
              <w:spacing w:line="240" w:lineRule="exact"/>
              <w:jc w:val="center"/>
              <w:rPr>
                <w:rFonts w:eastAsia="仿宋_GB2312"/>
                <w:kern w:val="0"/>
                <w:szCs w:val="21"/>
              </w:rPr>
            </w:pPr>
            <w:r>
              <w:rPr>
                <w:rFonts w:eastAsia="仿宋_GB2312"/>
                <w:kern w:val="0"/>
                <w:szCs w:val="21"/>
              </w:rPr>
              <w:t>铬</w:t>
            </w:r>
          </w:p>
        </w:tc>
        <w:tc>
          <w:tcPr>
            <w:tcW w:w="773" w:type="pct"/>
            <w:vAlign w:val="center"/>
          </w:tcPr>
          <w:p w14:paraId="46E700EB">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0.272</w:t>
            </w:r>
          </w:p>
        </w:tc>
        <w:tc>
          <w:tcPr>
            <w:tcW w:w="647" w:type="pct"/>
            <w:vAlign w:val="center"/>
          </w:tcPr>
          <w:p w14:paraId="15FD1C66">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647" w:type="pct"/>
            <w:vAlign w:val="center"/>
          </w:tcPr>
          <w:p w14:paraId="28A29838">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647" w:type="pct"/>
            <w:vAlign w:val="center"/>
          </w:tcPr>
          <w:p w14:paraId="193011FD">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0.272</w:t>
            </w:r>
          </w:p>
        </w:tc>
        <w:tc>
          <w:tcPr>
            <w:tcW w:w="647" w:type="pct"/>
            <w:vAlign w:val="center"/>
          </w:tcPr>
          <w:p w14:paraId="2617241A">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w:t>
            </w:r>
          </w:p>
        </w:tc>
      </w:tr>
      <w:tr w14:paraId="64EF14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88" w:type="pct"/>
            <w:vMerge w:val="continue"/>
            <w:shd w:val="clear" w:color="auto" w:fill="auto"/>
            <w:vAlign w:val="center"/>
          </w:tcPr>
          <w:p w14:paraId="45BBB2AA">
            <w:pPr>
              <w:widowControl/>
              <w:spacing w:line="240" w:lineRule="exact"/>
              <w:jc w:val="center"/>
              <w:rPr>
                <w:rFonts w:eastAsia="仿宋_GB2312"/>
                <w:kern w:val="0"/>
                <w:szCs w:val="21"/>
                <w:highlight w:val="yellow"/>
              </w:rPr>
            </w:pPr>
          </w:p>
        </w:tc>
        <w:tc>
          <w:tcPr>
            <w:tcW w:w="1147" w:type="pct"/>
            <w:shd w:val="clear" w:color="auto" w:fill="auto"/>
            <w:tcMar>
              <w:top w:w="15" w:type="dxa"/>
              <w:left w:w="15" w:type="dxa"/>
              <w:bottom w:w="0" w:type="dxa"/>
              <w:right w:w="15" w:type="dxa"/>
            </w:tcMar>
            <w:vAlign w:val="center"/>
          </w:tcPr>
          <w:p w14:paraId="3E8AA4B4">
            <w:pPr>
              <w:widowControl/>
              <w:spacing w:line="240" w:lineRule="exact"/>
              <w:jc w:val="center"/>
              <w:rPr>
                <w:rFonts w:eastAsia="仿宋_GB2312"/>
                <w:kern w:val="0"/>
                <w:szCs w:val="21"/>
              </w:rPr>
            </w:pPr>
            <w:r>
              <w:rPr>
                <w:rFonts w:eastAsia="仿宋_GB2312"/>
                <w:kern w:val="0"/>
                <w:szCs w:val="21"/>
              </w:rPr>
              <w:t>Sn+Sb+Cu+Mn+Ni</w:t>
            </w:r>
          </w:p>
        </w:tc>
        <w:tc>
          <w:tcPr>
            <w:tcW w:w="773" w:type="pct"/>
            <w:vAlign w:val="center"/>
          </w:tcPr>
          <w:p w14:paraId="1FD78541">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1.037</w:t>
            </w:r>
          </w:p>
        </w:tc>
        <w:tc>
          <w:tcPr>
            <w:tcW w:w="647" w:type="pct"/>
            <w:vAlign w:val="center"/>
          </w:tcPr>
          <w:p w14:paraId="55CE167E">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647" w:type="pct"/>
            <w:vAlign w:val="center"/>
          </w:tcPr>
          <w:p w14:paraId="49F28A91">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647" w:type="pct"/>
            <w:vAlign w:val="center"/>
          </w:tcPr>
          <w:p w14:paraId="75C6D3C9">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1.037</w:t>
            </w:r>
          </w:p>
        </w:tc>
        <w:tc>
          <w:tcPr>
            <w:tcW w:w="647" w:type="pct"/>
            <w:vAlign w:val="center"/>
          </w:tcPr>
          <w:p w14:paraId="61D13AA2">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w:t>
            </w:r>
          </w:p>
        </w:tc>
      </w:tr>
      <w:tr w14:paraId="0F86F6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88" w:type="pct"/>
            <w:vMerge w:val="restart"/>
            <w:shd w:val="clear" w:color="auto" w:fill="auto"/>
            <w:tcMar>
              <w:top w:w="15" w:type="dxa"/>
              <w:left w:w="15" w:type="dxa"/>
              <w:bottom w:w="0" w:type="dxa"/>
              <w:right w:w="15" w:type="dxa"/>
            </w:tcMar>
            <w:vAlign w:val="center"/>
          </w:tcPr>
          <w:p w14:paraId="3C57C4C4">
            <w:pPr>
              <w:widowControl/>
              <w:spacing w:line="240" w:lineRule="exact"/>
              <w:jc w:val="center"/>
              <w:rPr>
                <w:rFonts w:eastAsia="仿宋_GB2312"/>
                <w:kern w:val="0"/>
                <w:szCs w:val="21"/>
                <w:highlight w:val="yellow"/>
              </w:rPr>
            </w:pPr>
            <w:r>
              <w:rPr>
                <w:rFonts w:eastAsia="仿宋_GB2312"/>
                <w:kern w:val="0"/>
                <w:szCs w:val="21"/>
              </w:rPr>
              <w:t>无组织废气</w:t>
            </w:r>
          </w:p>
        </w:tc>
        <w:tc>
          <w:tcPr>
            <w:tcW w:w="1147" w:type="pct"/>
            <w:shd w:val="clear" w:color="auto" w:fill="auto"/>
            <w:tcMar>
              <w:top w:w="15" w:type="dxa"/>
              <w:left w:w="15" w:type="dxa"/>
              <w:bottom w:w="0" w:type="dxa"/>
              <w:right w:w="15" w:type="dxa"/>
            </w:tcMar>
            <w:vAlign w:val="center"/>
          </w:tcPr>
          <w:p w14:paraId="7E77DDD8">
            <w:pPr>
              <w:widowControl/>
              <w:spacing w:line="240" w:lineRule="exact"/>
              <w:jc w:val="center"/>
              <w:rPr>
                <w:rFonts w:eastAsia="仿宋_GB2312"/>
                <w:kern w:val="0"/>
                <w:szCs w:val="21"/>
                <w:highlight w:val="yellow"/>
              </w:rPr>
            </w:pPr>
            <w:r>
              <w:rPr>
                <w:rFonts w:eastAsia="仿宋_GB2312"/>
                <w:kern w:val="0"/>
                <w:szCs w:val="21"/>
              </w:rPr>
              <w:t>颗粒物（烟粉尘）</w:t>
            </w:r>
          </w:p>
        </w:tc>
        <w:tc>
          <w:tcPr>
            <w:tcW w:w="773" w:type="pct"/>
            <w:vAlign w:val="center"/>
          </w:tcPr>
          <w:p w14:paraId="3702FCDC">
            <w:pPr>
              <w:keepNext w:val="0"/>
              <w:keepLines w:val="0"/>
              <w:widowControl/>
              <w:suppressLineNumbers w:val="0"/>
              <w:jc w:val="center"/>
              <w:textAlignment w:val="bottom"/>
              <w:rPr>
                <w:b/>
                <w:szCs w:val="21"/>
                <w:highlight w:val="yellow"/>
              </w:rPr>
            </w:pPr>
            <w:r>
              <w:rPr>
                <w:rFonts w:hint="default" w:ascii="Times New Roman" w:hAnsi="Times New Roman" w:eastAsia="宋体" w:cs="Times New Roman"/>
                <w:i w:val="0"/>
                <w:iCs w:val="0"/>
                <w:color w:val="000000"/>
                <w:kern w:val="0"/>
                <w:sz w:val="21"/>
                <w:szCs w:val="21"/>
                <w:u w:val="none"/>
                <w:lang w:val="en-US" w:eastAsia="zh-CN" w:bidi="ar"/>
              </w:rPr>
              <w:t>1.36</w:t>
            </w:r>
          </w:p>
        </w:tc>
        <w:tc>
          <w:tcPr>
            <w:tcW w:w="647" w:type="pct"/>
            <w:vAlign w:val="center"/>
          </w:tcPr>
          <w:p w14:paraId="5B07A990">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647" w:type="pct"/>
            <w:vAlign w:val="center"/>
          </w:tcPr>
          <w:p w14:paraId="1423BEB0">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647" w:type="pct"/>
            <w:vAlign w:val="center"/>
          </w:tcPr>
          <w:p w14:paraId="258F91BE">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1.36</w:t>
            </w:r>
          </w:p>
        </w:tc>
        <w:tc>
          <w:tcPr>
            <w:tcW w:w="647" w:type="pct"/>
            <w:vAlign w:val="center"/>
          </w:tcPr>
          <w:p w14:paraId="0DF0FA73">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w:t>
            </w:r>
          </w:p>
        </w:tc>
      </w:tr>
      <w:tr w14:paraId="6682BC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88" w:type="pct"/>
            <w:vMerge w:val="continue"/>
            <w:shd w:val="clear" w:color="auto" w:fill="auto"/>
            <w:vAlign w:val="center"/>
          </w:tcPr>
          <w:p w14:paraId="6CEC6ADC">
            <w:pPr>
              <w:widowControl/>
              <w:spacing w:line="240" w:lineRule="exact"/>
              <w:jc w:val="center"/>
              <w:rPr>
                <w:rFonts w:eastAsia="仿宋_GB2312"/>
                <w:kern w:val="0"/>
                <w:szCs w:val="21"/>
                <w:highlight w:val="yellow"/>
              </w:rPr>
            </w:pPr>
          </w:p>
        </w:tc>
        <w:tc>
          <w:tcPr>
            <w:tcW w:w="1147" w:type="pct"/>
            <w:shd w:val="clear" w:color="auto" w:fill="auto"/>
            <w:tcMar>
              <w:top w:w="15" w:type="dxa"/>
              <w:left w:w="15" w:type="dxa"/>
              <w:bottom w:w="0" w:type="dxa"/>
              <w:right w:w="15" w:type="dxa"/>
            </w:tcMar>
            <w:vAlign w:val="center"/>
          </w:tcPr>
          <w:p w14:paraId="1CAC1777">
            <w:pPr>
              <w:widowControl/>
              <w:spacing w:line="240" w:lineRule="exact"/>
              <w:jc w:val="center"/>
              <w:rPr>
                <w:rFonts w:eastAsia="仿宋_GB2312"/>
                <w:kern w:val="0"/>
                <w:szCs w:val="21"/>
                <w:highlight w:val="yellow"/>
              </w:rPr>
            </w:pPr>
            <w:r>
              <w:rPr>
                <w:rFonts w:eastAsia="仿宋_GB2312"/>
                <w:kern w:val="0"/>
                <w:szCs w:val="21"/>
              </w:rPr>
              <w:t>HCl</w:t>
            </w:r>
          </w:p>
        </w:tc>
        <w:tc>
          <w:tcPr>
            <w:tcW w:w="773" w:type="pct"/>
            <w:vAlign w:val="center"/>
          </w:tcPr>
          <w:p w14:paraId="6943E434">
            <w:pPr>
              <w:keepNext w:val="0"/>
              <w:keepLines w:val="0"/>
              <w:widowControl/>
              <w:suppressLineNumbers w:val="0"/>
              <w:jc w:val="center"/>
              <w:textAlignment w:val="bottom"/>
              <w:rPr>
                <w:b/>
                <w:szCs w:val="21"/>
                <w:highlight w:val="yellow"/>
              </w:rPr>
            </w:pPr>
            <w:r>
              <w:rPr>
                <w:rFonts w:hint="default" w:ascii="Times New Roman" w:hAnsi="Times New Roman" w:eastAsia="宋体" w:cs="Times New Roman"/>
                <w:i w:val="0"/>
                <w:iCs w:val="0"/>
                <w:color w:val="000000"/>
                <w:kern w:val="0"/>
                <w:sz w:val="21"/>
                <w:szCs w:val="21"/>
                <w:u w:val="none"/>
                <w:lang w:val="en-US" w:eastAsia="zh-CN" w:bidi="ar"/>
              </w:rPr>
              <w:t>0.2</w:t>
            </w:r>
          </w:p>
        </w:tc>
        <w:tc>
          <w:tcPr>
            <w:tcW w:w="647" w:type="pct"/>
            <w:vAlign w:val="center"/>
          </w:tcPr>
          <w:p w14:paraId="6D011821">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647" w:type="pct"/>
            <w:vAlign w:val="center"/>
          </w:tcPr>
          <w:p w14:paraId="1A47C008">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647" w:type="pct"/>
            <w:vAlign w:val="center"/>
          </w:tcPr>
          <w:p w14:paraId="5FDD4908">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0.2</w:t>
            </w:r>
          </w:p>
        </w:tc>
        <w:tc>
          <w:tcPr>
            <w:tcW w:w="647" w:type="pct"/>
            <w:vAlign w:val="center"/>
          </w:tcPr>
          <w:p w14:paraId="3EC34C09">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w:t>
            </w:r>
          </w:p>
        </w:tc>
      </w:tr>
      <w:tr w14:paraId="2B80C1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88" w:type="pct"/>
            <w:vMerge w:val="continue"/>
            <w:shd w:val="clear" w:color="auto" w:fill="auto"/>
            <w:vAlign w:val="center"/>
          </w:tcPr>
          <w:p w14:paraId="2467B4C2">
            <w:pPr>
              <w:widowControl/>
              <w:spacing w:line="240" w:lineRule="exact"/>
              <w:jc w:val="center"/>
              <w:rPr>
                <w:rFonts w:eastAsia="仿宋_GB2312"/>
                <w:kern w:val="0"/>
                <w:szCs w:val="21"/>
                <w:highlight w:val="yellow"/>
              </w:rPr>
            </w:pPr>
          </w:p>
        </w:tc>
        <w:tc>
          <w:tcPr>
            <w:tcW w:w="1147" w:type="pct"/>
            <w:shd w:val="clear" w:color="auto" w:fill="auto"/>
            <w:tcMar>
              <w:top w:w="15" w:type="dxa"/>
              <w:left w:w="15" w:type="dxa"/>
              <w:bottom w:w="0" w:type="dxa"/>
              <w:right w:w="15" w:type="dxa"/>
            </w:tcMar>
            <w:vAlign w:val="center"/>
          </w:tcPr>
          <w:p w14:paraId="0229D2DF">
            <w:pPr>
              <w:widowControl/>
              <w:spacing w:line="240" w:lineRule="exact"/>
              <w:jc w:val="center"/>
              <w:rPr>
                <w:rFonts w:eastAsia="仿宋_GB2312"/>
                <w:kern w:val="0"/>
                <w:szCs w:val="21"/>
                <w:highlight w:val="yellow"/>
              </w:rPr>
            </w:pPr>
            <w:r>
              <w:rPr>
                <w:rFonts w:eastAsia="仿宋_GB2312"/>
                <w:kern w:val="0"/>
                <w:szCs w:val="21"/>
              </w:rPr>
              <w:t>硝酸雾</w:t>
            </w:r>
          </w:p>
        </w:tc>
        <w:tc>
          <w:tcPr>
            <w:tcW w:w="773" w:type="pct"/>
            <w:vAlign w:val="center"/>
          </w:tcPr>
          <w:p w14:paraId="6ECF87C1">
            <w:pPr>
              <w:keepNext w:val="0"/>
              <w:keepLines w:val="0"/>
              <w:widowControl/>
              <w:suppressLineNumbers w:val="0"/>
              <w:jc w:val="center"/>
              <w:textAlignment w:val="bottom"/>
              <w:rPr>
                <w:b/>
                <w:szCs w:val="21"/>
                <w:highlight w:val="yellow"/>
              </w:rPr>
            </w:pPr>
            <w:r>
              <w:rPr>
                <w:rFonts w:hint="default" w:ascii="Times New Roman" w:hAnsi="Times New Roman" w:eastAsia="宋体" w:cs="Times New Roman"/>
                <w:i w:val="0"/>
                <w:iCs w:val="0"/>
                <w:color w:val="000000"/>
                <w:kern w:val="0"/>
                <w:sz w:val="21"/>
                <w:szCs w:val="21"/>
                <w:u w:val="none"/>
                <w:lang w:val="en-US" w:eastAsia="zh-CN" w:bidi="ar"/>
              </w:rPr>
              <w:t>0.63</w:t>
            </w:r>
          </w:p>
        </w:tc>
        <w:tc>
          <w:tcPr>
            <w:tcW w:w="647" w:type="pct"/>
            <w:vAlign w:val="center"/>
          </w:tcPr>
          <w:p w14:paraId="0F37B234">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647" w:type="pct"/>
            <w:vAlign w:val="center"/>
          </w:tcPr>
          <w:p w14:paraId="0F123378">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647" w:type="pct"/>
            <w:vAlign w:val="center"/>
          </w:tcPr>
          <w:p w14:paraId="75CCB98A">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0.63</w:t>
            </w:r>
          </w:p>
        </w:tc>
        <w:tc>
          <w:tcPr>
            <w:tcW w:w="647" w:type="pct"/>
            <w:vAlign w:val="center"/>
          </w:tcPr>
          <w:p w14:paraId="696F9E78">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w:t>
            </w:r>
          </w:p>
        </w:tc>
      </w:tr>
      <w:tr w14:paraId="11F853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88" w:type="pct"/>
            <w:vMerge w:val="continue"/>
            <w:shd w:val="clear" w:color="auto" w:fill="auto"/>
            <w:vAlign w:val="center"/>
          </w:tcPr>
          <w:p w14:paraId="4DE8F283">
            <w:pPr>
              <w:widowControl/>
              <w:spacing w:line="240" w:lineRule="exact"/>
              <w:jc w:val="center"/>
              <w:rPr>
                <w:rFonts w:eastAsia="仿宋_GB2312"/>
                <w:kern w:val="0"/>
                <w:szCs w:val="21"/>
                <w:highlight w:val="yellow"/>
              </w:rPr>
            </w:pPr>
          </w:p>
        </w:tc>
        <w:tc>
          <w:tcPr>
            <w:tcW w:w="1147" w:type="pct"/>
            <w:shd w:val="clear" w:color="auto" w:fill="auto"/>
            <w:tcMar>
              <w:top w:w="15" w:type="dxa"/>
              <w:left w:w="15" w:type="dxa"/>
              <w:bottom w:w="0" w:type="dxa"/>
              <w:right w:w="15" w:type="dxa"/>
            </w:tcMar>
            <w:vAlign w:val="center"/>
          </w:tcPr>
          <w:p w14:paraId="52A66496">
            <w:pPr>
              <w:widowControl/>
              <w:spacing w:line="240" w:lineRule="exact"/>
              <w:jc w:val="center"/>
              <w:rPr>
                <w:rFonts w:eastAsia="仿宋_GB2312"/>
                <w:kern w:val="0"/>
                <w:szCs w:val="21"/>
                <w:highlight w:val="yellow"/>
              </w:rPr>
            </w:pPr>
            <w:r>
              <w:rPr>
                <w:rFonts w:eastAsia="仿宋_GB2312"/>
                <w:kern w:val="0"/>
                <w:szCs w:val="21"/>
              </w:rPr>
              <w:t>氰化氢</w:t>
            </w:r>
          </w:p>
        </w:tc>
        <w:tc>
          <w:tcPr>
            <w:tcW w:w="773" w:type="pct"/>
            <w:vAlign w:val="center"/>
          </w:tcPr>
          <w:p w14:paraId="35AA84E5">
            <w:pPr>
              <w:keepNext w:val="0"/>
              <w:keepLines w:val="0"/>
              <w:widowControl/>
              <w:suppressLineNumbers w:val="0"/>
              <w:jc w:val="center"/>
              <w:textAlignment w:val="bottom"/>
              <w:rPr>
                <w:b/>
                <w:szCs w:val="21"/>
                <w:highlight w:val="yellow"/>
              </w:rPr>
            </w:pPr>
            <w:r>
              <w:rPr>
                <w:rFonts w:hint="default" w:ascii="Times New Roman" w:hAnsi="Times New Roman" w:eastAsia="宋体" w:cs="Times New Roman"/>
                <w:i w:val="0"/>
                <w:iCs w:val="0"/>
                <w:color w:val="000000"/>
                <w:kern w:val="0"/>
                <w:sz w:val="21"/>
                <w:szCs w:val="21"/>
                <w:u w:val="none"/>
                <w:lang w:val="en-US" w:eastAsia="zh-CN" w:bidi="ar"/>
              </w:rPr>
              <w:t>0.05</w:t>
            </w:r>
          </w:p>
        </w:tc>
        <w:tc>
          <w:tcPr>
            <w:tcW w:w="647" w:type="pct"/>
            <w:vAlign w:val="center"/>
          </w:tcPr>
          <w:p w14:paraId="3B4FFF70">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647" w:type="pct"/>
            <w:vAlign w:val="center"/>
          </w:tcPr>
          <w:p w14:paraId="52ED454E">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647" w:type="pct"/>
            <w:vAlign w:val="center"/>
          </w:tcPr>
          <w:p w14:paraId="09106A86">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0.05</w:t>
            </w:r>
          </w:p>
        </w:tc>
        <w:tc>
          <w:tcPr>
            <w:tcW w:w="647" w:type="pct"/>
            <w:vAlign w:val="center"/>
          </w:tcPr>
          <w:p w14:paraId="08E2933C">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w:t>
            </w:r>
          </w:p>
        </w:tc>
      </w:tr>
      <w:tr w14:paraId="6EA3E9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88" w:type="pct"/>
            <w:vMerge w:val="continue"/>
            <w:shd w:val="clear" w:color="auto" w:fill="auto"/>
            <w:vAlign w:val="center"/>
          </w:tcPr>
          <w:p w14:paraId="71EFBD96">
            <w:pPr>
              <w:widowControl/>
              <w:spacing w:line="240" w:lineRule="exact"/>
              <w:jc w:val="center"/>
              <w:rPr>
                <w:rFonts w:eastAsia="仿宋_GB2312"/>
                <w:kern w:val="0"/>
                <w:szCs w:val="21"/>
                <w:highlight w:val="yellow"/>
              </w:rPr>
            </w:pPr>
          </w:p>
        </w:tc>
        <w:tc>
          <w:tcPr>
            <w:tcW w:w="1147" w:type="pct"/>
            <w:shd w:val="clear" w:color="auto" w:fill="auto"/>
            <w:tcMar>
              <w:top w:w="15" w:type="dxa"/>
              <w:left w:w="15" w:type="dxa"/>
              <w:bottom w:w="0" w:type="dxa"/>
              <w:right w:w="15" w:type="dxa"/>
            </w:tcMar>
            <w:vAlign w:val="center"/>
          </w:tcPr>
          <w:p w14:paraId="3DF37DC4">
            <w:pPr>
              <w:widowControl/>
              <w:spacing w:line="240" w:lineRule="exact"/>
              <w:jc w:val="center"/>
              <w:rPr>
                <w:rFonts w:eastAsia="仿宋_GB2312"/>
                <w:kern w:val="0"/>
                <w:szCs w:val="21"/>
                <w:highlight w:val="yellow"/>
              </w:rPr>
            </w:pPr>
            <w:r>
              <w:rPr>
                <w:rFonts w:eastAsia="仿宋_GB2312"/>
                <w:kern w:val="0"/>
                <w:szCs w:val="21"/>
              </w:rPr>
              <w:t>铬酸雾</w:t>
            </w:r>
          </w:p>
        </w:tc>
        <w:tc>
          <w:tcPr>
            <w:tcW w:w="773" w:type="pct"/>
            <w:vAlign w:val="center"/>
          </w:tcPr>
          <w:p w14:paraId="6018512B">
            <w:pPr>
              <w:keepNext w:val="0"/>
              <w:keepLines w:val="0"/>
              <w:widowControl/>
              <w:suppressLineNumbers w:val="0"/>
              <w:jc w:val="center"/>
              <w:textAlignment w:val="bottom"/>
              <w:rPr>
                <w:b/>
                <w:szCs w:val="21"/>
                <w:highlight w:val="yellow"/>
              </w:rPr>
            </w:pPr>
            <w:r>
              <w:rPr>
                <w:rFonts w:hint="default" w:ascii="Times New Roman" w:hAnsi="Times New Roman" w:eastAsia="宋体" w:cs="Times New Roman"/>
                <w:i w:val="0"/>
                <w:iCs w:val="0"/>
                <w:color w:val="000000"/>
                <w:kern w:val="0"/>
                <w:sz w:val="21"/>
                <w:szCs w:val="21"/>
                <w:u w:val="none"/>
                <w:lang w:val="en-US" w:eastAsia="zh-CN" w:bidi="ar"/>
              </w:rPr>
              <w:t>0.0034</w:t>
            </w:r>
          </w:p>
        </w:tc>
        <w:tc>
          <w:tcPr>
            <w:tcW w:w="647" w:type="pct"/>
            <w:vAlign w:val="center"/>
          </w:tcPr>
          <w:p w14:paraId="733E009E">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647" w:type="pct"/>
            <w:vAlign w:val="center"/>
          </w:tcPr>
          <w:p w14:paraId="7678849F">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647" w:type="pct"/>
            <w:vAlign w:val="center"/>
          </w:tcPr>
          <w:p w14:paraId="7A6FBF13">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0.0034</w:t>
            </w:r>
          </w:p>
        </w:tc>
        <w:tc>
          <w:tcPr>
            <w:tcW w:w="647" w:type="pct"/>
            <w:vAlign w:val="center"/>
          </w:tcPr>
          <w:p w14:paraId="678AAC54">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w:t>
            </w:r>
          </w:p>
        </w:tc>
      </w:tr>
      <w:tr w14:paraId="4E654D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88" w:type="pct"/>
            <w:vMerge w:val="continue"/>
            <w:shd w:val="clear" w:color="auto" w:fill="auto"/>
            <w:vAlign w:val="center"/>
          </w:tcPr>
          <w:p w14:paraId="3F38CFFE">
            <w:pPr>
              <w:widowControl/>
              <w:spacing w:line="240" w:lineRule="exact"/>
              <w:jc w:val="center"/>
              <w:rPr>
                <w:rFonts w:eastAsia="仿宋_GB2312"/>
                <w:kern w:val="0"/>
                <w:szCs w:val="21"/>
                <w:highlight w:val="yellow"/>
              </w:rPr>
            </w:pPr>
          </w:p>
        </w:tc>
        <w:tc>
          <w:tcPr>
            <w:tcW w:w="1147" w:type="pct"/>
            <w:shd w:val="clear" w:color="auto" w:fill="auto"/>
            <w:tcMar>
              <w:top w:w="15" w:type="dxa"/>
              <w:left w:w="15" w:type="dxa"/>
              <w:bottom w:w="0" w:type="dxa"/>
              <w:right w:w="15" w:type="dxa"/>
            </w:tcMar>
            <w:vAlign w:val="center"/>
          </w:tcPr>
          <w:p w14:paraId="3A8B2B3B">
            <w:pPr>
              <w:widowControl/>
              <w:spacing w:line="240" w:lineRule="exact"/>
              <w:jc w:val="center"/>
              <w:rPr>
                <w:rFonts w:eastAsia="仿宋_GB2312"/>
                <w:kern w:val="0"/>
                <w:szCs w:val="21"/>
                <w:highlight w:val="yellow"/>
              </w:rPr>
            </w:pPr>
            <w:r>
              <w:rPr>
                <w:rFonts w:eastAsia="仿宋_GB2312"/>
                <w:kern w:val="0"/>
                <w:szCs w:val="21"/>
              </w:rPr>
              <w:t>甲醛</w:t>
            </w:r>
          </w:p>
        </w:tc>
        <w:tc>
          <w:tcPr>
            <w:tcW w:w="773" w:type="pct"/>
            <w:vAlign w:val="center"/>
          </w:tcPr>
          <w:p w14:paraId="53DE3934">
            <w:pPr>
              <w:keepNext w:val="0"/>
              <w:keepLines w:val="0"/>
              <w:widowControl/>
              <w:suppressLineNumbers w:val="0"/>
              <w:jc w:val="center"/>
              <w:textAlignment w:val="bottom"/>
              <w:rPr>
                <w:b/>
                <w:szCs w:val="21"/>
                <w:highlight w:val="yellow"/>
              </w:rPr>
            </w:pPr>
            <w:r>
              <w:rPr>
                <w:rFonts w:hint="default" w:ascii="Times New Roman" w:hAnsi="Times New Roman" w:eastAsia="宋体" w:cs="Times New Roman"/>
                <w:i w:val="0"/>
                <w:iCs w:val="0"/>
                <w:color w:val="000000"/>
                <w:kern w:val="0"/>
                <w:sz w:val="21"/>
                <w:szCs w:val="21"/>
                <w:u w:val="none"/>
                <w:lang w:val="en-US" w:eastAsia="zh-CN" w:bidi="ar"/>
              </w:rPr>
              <w:t>0.02</w:t>
            </w:r>
          </w:p>
        </w:tc>
        <w:tc>
          <w:tcPr>
            <w:tcW w:w="647" w:type="pct"/>
            <w:vAlign w:val="center"/>
          </w:tcPr>
          <w:p w14:paraId="4BE0723F">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647" w:type="pct"/>
            <w:vAlign w:val="center"/>
          </w:tcPr>
          <w:p w14:paraId="65C0FFCE">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647" w:type="pct"/>
            <w:vAlign w:val="center"/>
          </w:tcPr>
          <w:p w14:paraId="49DCA812">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0.02</w:t>
            </w:r>
          </w:p>
        </w:tc>
        <w:tc>
          <w:tcPr>
            <w:tcW w:w="647" w:type="pct"/>
            <w:vAlign w:val="center"/>
          </w:tcPr>
          <w:p w14:paraId="16025DE0">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w:t>
            </w:r>
          </w:p>
        </w:tc>
      </w:tr>
      <w:tr w14:paraId="1C5B0F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88" w:type="pct"/>
            <w:vMerge w:val="continue"/>
            <w:shd w:val="clear" w:color="auto" w:fill="auto"/>
            <w:vAlign w:val="center"/>
          </w:tcPr>
          <w:p w14:paraId="1C4D0EBF">
            <w:pPr>
              <w:widowControl/>
              <w:spacing w:line="240" w:lineRule="exact"/>
              <w:jc w:val="center"/>
              <w:rPr>
                <w:rFonts w:eastAsia="仿宋_GB2312"/>
                <w:kern w:val="0"/>
                <w:szCs w:val="21"/>
                <w:highlight w:val="yellow"/>
              </w:rPr>
            </w:pPr>
          </w:p>
        </w:tc>
        <w:tc>
          <w:tcPr>
            <w:tcW w:w="1147" w:type="pct"/>
            <w:shd w:val="clear" w:color="auto" w:fill="auto"/>
            <w:tcMar>
              <w:top w:w="15" w:type="dxa"/>
              <w:left w:w="15" w:type="dxa"/>
              <w:bottom w:w="0" w:type="dxa"/>
              <w:right w:w="15" w:type="dxa"/>
            </w:tcMar>
            <w:vAlign w:val="center"/>
          </w:tcPr>
          <w:p w14:paraId="1A5A18B0">
            <w:pPr>
              <w:widowControl/>
              <w:spacing w:line="240" w:lineRule="exact"/>
              <w:jc w:val="center"/>
              <w:rPr>
                <w:rFonts w:eastAsia="仿宋_GB2312"/>
                <w:kern w:val="0"/>
                <w:szCs w:val="21"/>
                <w:highlight w:val="yellow"/>
              </w:rPr>
            </w:pPr>
            <w:r>
              <w:rPr>
                <w:rFonts w:eastAsia="仿宋_GB2312"/>
                <w:kern w:val="0"/>
                <w:szCs w:val="21"/>
              </w:rPr>
              <w:t>二丙酮醇</w:t>
            </w:r>
          </w:p>
        </w:tc>
        <w:tc>
          <w:tcPr>
            <w:tcW w:w="773" w:type="pct"/>
            <w:vAlign w:val="center"/>
          </w:tcPr>
          <w:p w14:paraId="1AE7C33A">
            <w:pPr>
              <w:keepNext w:val="0"/>
              <w:keepLines w:val="0"/>
              <w:widowControl/>
              <w:suppressLineNumbers w:val="0"/>
              <w:jc w:val="center"/>
              <w:textAlignment w:val="bottom"/>
              <w:rPr>
                <w:b/>
                <w:szCs w:val="21"/>
                <w:highlight w:val="yellow"/>
              </w:rPr>
            </w:pPr>
            <w:r>
              <w:rPr>
                <w:rFonts w:hint="default" w:ascii="Times New Roman" w:hAnsi="Times New Roman" w:eastAsia="宋体" w:cs="Times New Roman"/>
                <w:i w:val="0"/>
                <w:iCs w:val="0"/>
                <w:color w:val="000000"/>
                <w:kern w:val="0"/>
                <w:sz w:val="21"/>
                <w:szCs w:val="21"/>
                <w:u w:val="none"/>
                <w:lang w:val="en-US" w:eastAsia="zh-CN" w:bidi="ar"/>
              </w:rPr>
              <w:t>0.00231</w:t>
            </w:r>
          </w:p>
        </w:tc>
        <w:tc>
          <w:tcPr>
            <w:tcW w:w="647" w:type="pct"/>
            <w:vAlign w:val="center"/>
          </w:tcPr>
          <w:p w14:paraId="05CEF33D">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647" w:type="pct"/>
            <w:vAlign w:val="center"/>
          </w:tcPr>
          <w:p w14:paraId="099F9AF6">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647" w:type="pct"/>
            <w:vAlign w:val="center"/>
          </w:tcPr>
          <w:p w14:paraId="42BD7340">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0.00231</w:t>
            </w:r>
          </w:p>
        </w:tc>
        <w:tc>
          <w:tcPr>
            <w:tcW w:w="647" w:type="pct"/>
            <w:vAlign w:val="center"/>
          </w:tcPr>
          <w:p w14:paraId="271F4997">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w:t>
            </w:r>
          </w:p>
        </w:tc>
      </w:tr>
      <w:tr w14:paraId="545174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88" w:type="pct"/>
            <w:vMerge w:val="continue"/>
            <w:shd w:val="clear" w:color="auto" w:fill="auto"/>
            <w:vAlign w:val="center"/>
          </w:tcPr>
          <w:p w14:paraId="30BE09F5">
            <w:pPr>
              <w:widowControl/>
              <w:spacing w:line="240" w:lineRule="exact"/>
              <w:jc w:val="center"/>
              <w:rPr>
                <w:rFonts w:eastAsia="仿宋_GB2312"/>
                <w:kern w:val="0"/>
                <w:szCs w:val="21"/>
                <w:highlight w:val="yellow"/>
              </w:rPr>
            </w:pPr>
          </w:p>
        </w:tc>
        <w:tc>
          <w:tcPr>
            <w:tcW w:w="1147" w:type="pct"/>
            <w:shd w:val="clear" w:color="auto" w:fill="auto"/>
            <w:tcMar>
              <w:top w:w="15" w:type="dxa"/>
              <w:left w:w="15" w:type="dxa"/>
              <w:bottom w:w="0" w:type="dxa"/>
              <w:right w:w="15" w:type="dxa"/>
            </w:tcMar>
            <w:vAlign w:val="center"/>
          </w:tcPr>
          <w:p w14:paraId="3580930D">
            <w:pPr>
              <w:widowControl/>
              <w:spacing w:line="240" w:lineRule="exact"/>
              <w:jc w:val="center"/>
              <w:rPr>
                <w:rFonts w:eastAsia="仿宋_GB2312"/>
                <w:kern w:val="0"/>
                <w:szCs w:val="21"/>
                <w:highlight w:val="yellow"/>
              </w:rPr>
            </w:pPr>
            <w:r>
              <w:rPr>
                <w:rFonts w:eastAsia="仿宋_GB2312"/>
                <w:kern w:val="0"/>
                <w:szCs w:val="21"/>
              </w:rPr>
              <w:t>丙酮</w:t>
            </w:r>
          </w:p>
        </w:tc>
        <w:tc>
          <w:tcPr>
            <w:tcW w:w="773" w:type="pct"/>
            <w:vAlign w:val="center"/>
          </w:tcPr>
          <w:p w14:paraId="0F655991">
            <w:pPr>
              <w:keepNext w:val="0"/>
              <w:keepLines w:val="0"/>
              <w:widowControl/>
              <w:suppressLineNumbers w:val="0"/>
              <w:jc w:val="center"/>
              <w:textAlignment w:val="bottom"/>
              <w:rPr>
                <w:b/>
                <w:szCs w:val="21"/>
                <w:highlight w:val="yellow"/>
              </w:rPr>
            </w:pPr>
            <w:r>
              <w:rPr>
                <w:rFonts w:hint="default" w:ascii="Times New Roman" w:hAnsi="Times New Roman" w:eastAsia="宋体" w:cs="Times New Roman"/>
                <w:i w:val="0"/>
                <w:iCs w:val="0"/>
                <w:color w:val="000000"/>
                <w:kern w:val="0"/>
                <w:sz w:val="21"/>
                <w:szCs w:val="21"/>
                <w:u w:val="none"/>
                <w:lang w:val="en-US" w:eastAsia="zh-CN" w:bidi="ar"/>
              </w:rPr>
              <w:t>0.05709</w:t>
            </w:r>
          </w:p>
        </w:tc>
        <w:tc>
          <w:tcPr>
            <w:tcW w:w="647" w:type="pct"/>
            <w:vAlign w:val="center"/>
          </w:tcPr>
          <w:p w14:paraId="7EC6A16E">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647" w:type="pct"/>
            <w:vAlign w:val="center"/>
          </w:tcPr>
          <w:p w14:paraId="264B1429">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647" w:type="pct"/>
            <w:vAlign w:val="center"/>
          </w:tcPr>
          <w:p w14:paraId="6B0F1095">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0.05709</w:t>
            </w:r>
          </w:p>
        </w:tc>
        <w:tc>
          <w:tcPr>
            <w:tcW w:w="647" w:type="pct"/>
            <w:vAlign w:val="center"/>
          </w:tcPr>
          <w:p w14:paraId="480EB2D4">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w:t>
            </w:r>
          </w:p>
        </w:tc>
      </w:tr>
      <w:tr w14:paraId="29278C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88" w:type="pct"/>
            <w:vMerge w:val="continue"/>
            <w:shd w:val="clear" w:color="auto" w:fill="auto"/>
            <w:vAlign w:val="center"/>
          </w:tcPr>
          <w:p w14:paraId="71D21703">
            <w:pPr>
              <w:widowControl/>
              <w:spacing w:line="240" w:lineRule="exact"/>
              <w:jc w:val="center"/>
              <w:rPr>
                <w:rFonts w:eastAsia="仿宋_GB2312"/>
                <w:kern w:val="0"/>
                <w:szCs w:val="21"/>
                <w:highlight w:val="yellow"/>
              </w:rPr>
            </w:pPr>
          </w:p>
        </w:tc>
        <w:tc>
          <w:tcPr>
            <w:tcW w:w="1147" w:type="pct"/>
            <w:shd w:val="clear" w:color="auto" w:fill="auto"/>
            <w:tcMar>
              <w:top w:w="15" w:type="dxa"/>
              <w:left w:w="15" w:type="dxa"/>
              <w:bottom w:w="0" w:type="dxa"/>
              <w:right w:w="15" w:type="dxa"/>
            </w:tcMar>
            <w:vAlign w:val="center"/>
          </w:tcPr>
          <w:p w14:paraId="5B440C24">
            <w:pPr>
              <w:widowControl/>
              <w:spacing w:line="240" w:lineRule="exact"/>
              <w:jc w:val="center"/>
              <w:rPr>
                <w:rFonts w:eastAsia="仿宋_GB2312"/>
                <w:kern w:val="0"/>
                <w:szCs w:val="21"/>
                <w:highlight w:val="yellow"/>
              </w:rPr>
            </w:pPr>
            <w:r>
              <w:rPr>
                <w:rFonts w:eastAsia="仿宋_GB2312"/>
                <w:kern w:val="0"/>
                <w:szCs w:val="21"/>
              </w:rPr>
              <w:t>N-甲基吡咯烷酮</w:t>
            </w:r>
          </w:p>
        </w:tc>
        <w:tc>
          <w:tcPr>
            <w:tcW w:w="773" w:type="pct"/>
            <w:vAlign w:val="center"/>
          </w:tcPr>
          <w:p w14:paraId="00072507">
            <w:pPr>
              <w:keepNext w:val="0"/>
              <w:keepLines w:val="0"/>
              <w:widowControl/>
              <w:suppressLineNumbers w:val="0"/>
              <w:jc w:val="center"/>
              <w:textAlignment w:val="bottom"/>
              <w:rPr>
                <w:b/>
                <w:szCs w:val="21"/>
                <w:highlight w:val="yellow"/>
              </w:rPr>
            </w:pPr>
            <w:r>
              <w:rPr>
                <w:rFonts w:hint="default" w:ascii="Times New Roman" w:hAnsi="Times New Roman" w:eastAsia="宋体" w:cs="Times New Roman"/>
                <w:i w:val="0"/>
                <w:iCs w:val="0"/>
                <w:color w:val="000000"/>
                <w:kern w:val="0"/>
                <w:sz w:val="21"/>
                <w:szCs w:val="21"/>
                <w:u w:val="none"/>
                <w:lang w:val="en-US" w:eastAsia="zh-CN" w:bidi="ar"/>
              </w:rPr>
              <w:t>0.13746</w:t>
            </w:r>
          </w:p>
        </w:tc>
        <w:tc>
          <w:tcPr>
            <w:tcW w:w="647" w:type="pct"/>
            <w:vAlign w:val="center"/>
          </w:tcPr>
          <w:p w14:paraId="491841F7">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0.084</w:t>
            </w:r>
          </w:p>
        </w:tc>
        <w:tc>
          <w:tcPr>
            <w:tcW w:w="647" w:type="pct"/>
            <w:vAlign w:val="center"/>
          </w:tcPr>
          <w:p w14:paraId="6D0DABD3">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0.057</w:t>
            </w:r>
          </w:p>
        </w:tc>
        <w:tc>
          <w:tcPr>
            <w:tcW w:w="647" w:type="pct"/>
            <w:vAlign w:val="center"/>
          </w:tcPr>
          <w:p w14:paraId="7FC5CEAC">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0.11046</w:t>
            </w:r>
          </w:p>
        </w:tc>
        <w:tc>
          <w:tcPr>
            <w:tcW w:w="647" w:type="pct"/>
            <w:vAlign w:val="center"/>
          </w:tcPr>
          <w:p w14:paraId="103CECC2">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-0.027</w:t>
            </w:r>
          </w:p>
        </w:tc>
      </w:tr>
      <w:tr w14:paraId="3BCA02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88" w:type="pct"/>
            <w:vMerge w:val="continue"/>
            <w:shd w:val="clear" w:color="auto" w:fill="auto"/>
            <w:vAlign w:val="center"/>
          </w:tcPr>
          <w:p w14:paraId="1F9679BB">
            <w:pPr>
              <w:widowControl/>
              <w:spacing w:line="240" w:lineRule="exact"/>
              <w:jc w:val="center"/>
              <w:rPr>
                <w:rFonts w:eastAsia="仿宋_GB2312"/>
                <w:kern w:val="0"/>
                <w:szCs w:val="21"/>
                <w:highlight w:val="yellow"/>
              </w:rPr>
            </w:pPr>
          </w:p>
        </w:tc>
        <w:tc>
          <w:tcPr>
            <w:tcW w:w="1147" w:type="pct"/>
            <w:shd w:val="clear" w:color="auto" w:fill="auto"/>
            <w:tcMar>
              <w:top w:w="15" w:type="dxa"/>
              <w:left w:w="15" w:type="dxa"/>
              <w:bottom w:w="0" w:type="dxa"/>
              <w:right w:w="15" w:type="dxa"/>
            </w:tcMar>
            <w:vAlign w:val="center"/>
          </w:tcPr>
          <w:p w14:paraId="2340B90D">
            <w:pPr>
              <w:widowControl/>
              <w:spacing w:line="240" w:lineRule="exact"/>
              <w:jc w:val="center"/>
              <w:rPr>
                <w:rFonts w:eastAsia="仿宋_GB2312"/>
                <w:kern w:val="0"/>
                <w:szCs w:val="21"/>
                <w:highlight w:val="yellow"/>
              </w:rPr>
            </w:pPr>
            <w:r>
              <w:rPr>
                <w:rFonts w:eastAsia="仿宋_GB2312"/>
                <w:kern w:val="0"/>
                <w:szCs w:val="21"/>
              </w:rPr>
              <w:t>异丙醇</w:t>
            </w:r>
          </w:p>
        </w:tc>
        <w:tc>
          <w:tcPr>
            <w:tcW w:w="773" w:type="pct"/>
            <w:vAlign w:val="center"/>
          </w:tcPr>
          <w:p w14:paraId="57889747">
            <w:pPr>
              <w:keepNext w:val="0"/>
              <w:keepLines w:val="0"/>
              <w:widowControl/>
              <w:suppressLineNumbers w:val="0"/>
              <w:jc w:val="center"/>
              <w:textAlignment w:val="bottom"/>
              <w:rPr>
                <w:b/>
                <w:szCs w:val="21"/>
                <w:highlight w:val="yellow"/>
              </w:rPr>
            </w:pPr>
            <w:r>
              <w:rPr>
                <w:rFonts w:hint="default" w:ascii="Times New Roman" w:hAnsi="Times New Roman" w:eastAsia="宋体" w:cs="Times New Roman"/>
                <w:i w:val="0"/>
                <w:iCs w:val="0"/>
                <w:color w:val="000000"/>
                <w:kern w:val="0"/>
                <w:sz w:val="21"/>
                <w:szCs w:val="21"/>
                <w:u w:val="none"/>
                <w:lang w:val="en-US" w:eastAsia="zh-CN" w:bidi="ar"/>
              </w:rPr>
              <w:t>1.34809</w:t>
            </w:r>
          </w:p>
        </w:tc>
        <w:tc>
          <w:tcPr>
            <w:tcW w:w="647" w:type="pct"/>
            <w:vAlign w:val="center"/>
          </w:tcPr>
          <w:p w14:paraId="445C8025">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0.254</w:t>
            </w:r>
          </w:p>
        </w:tc>
        <w:tc>
          <w:tcPr>
            <w:tcW w:w="647" w:type="pct"/>
            <w:vAlign w:val="center"/>
          </w:tcPr>
          <w:p w14:paraId="3D2476EA">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0.26</w:t>
            </w:r>
          </w:p>
        </w:tc>
        <w:tc>
          <w:tcPr>
            <w:tcW w:w="647" w:type="pct"/>
            <w:vAlign w:val="center"/>
          </w:tcPr>
          <w:p w14:paraId="578BB68D">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1.35409</w:t>
            </w:r>
          </w:p>
        </w:tc>
        <w:tc>
          <w:tcPr>
            <w:tcW w:w="647" w:type="pct"/>
            <w:vAlign w:val="center"/>
          </w:tcPr>
          <w:p w14:paraId="43B52737">
            <w:pPr>
              <w:keepNext w:val="0"/>
              <w:keepLines w:val="0"/>
              <w:widowControl/>
              <w:suppressLineNumbers w:val="0"/>
              <w:jc w:val="center"/>
              <w:textAlignment w:val="bottom"/>
              <w:rPr>
                <w:szCs w:val="21"/>
              </w:rPr>
            </w:pPr>
            <w:r>
              <w:rPr>
                <w:rFonts w:hint="eastAsia"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0.006</w:t>
            </w:r>
          </w:p>
        </w:tc>
      </w:tr>
      <w:tr w14:paraId="503CAD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88" w:type="pct"/>
            <w:vMerge w:val="continue"/>
            <w:shd w:val="clear" w:color="auto" w:fill="auto"/>
            <w:vAlign w:val="center"/>
          </w:tcPr>
          <w:p w14:paraId="35697387">
            <w:pPr>
              <w:widowControl/>
              <w:spacing w:line="240" w:lineRule="exact"/>
              <w:jc w:val="center"/>
              <w:rPr>
                <w:rFonts w:eastAsia="仿宋_GB2312"/>
                <w:kern w:val="0"/>
                <w:szCs w:val="21"/>
                <w:highlight w:val="yellow"/>
              </w:rPr>
            </w:pPr>
          </w:p>
        </w:tc>
        <w:tc>
          <w:tcPr>
            <w:tcW w:w="1147" w:type="pct"/>
            <w:shd w:val="clear" w:color="auto" w:fill="auto"/>
            <w:tcMar>
              <w:top w:w="15" w:type="dxa"/>
              <w:left w:w="15" w:type="dxa"/>
              <w:bottom w:w="0" w:type="dxa"/>
              <w:right w:w="15" w:type="dxa"/>
            </w:tcMar>
            <w:vAlign w:val="center"/>
          </w:tcPr>
          <w:p w14:paraId="3E4A6897">
            <w:pPr>
              <w:widowControl/>
              <w:spacing w:line="240" w:lineRule="exact"/>
              <w:jc w:val="center"/>
              <w:rPr>
                <w:rFonts w:eastAsia="仿宋_GB2312"/>
                <w:kern w:val="0"/>
                <w:szCs w:val="21"/>
                <w:highlight w:val="yellow"/>
              </w:rPr>
            </w:pPr>
            <w:r>
              <w:rPr>
                <w:rFonts w:eastAsia="仿宋_GB2312"/>
                <w:kern w:val="0"/>
                <w:szCs w:val="21"/>
              </w:rPr>
              <w:t>四氢呋喃</w:t>
            </w:r>
          </w:p>
        </w:tc>
        <w:tc>
          <w:tcPr>
            <w:tcW w:w="773" w:type="pct"/>
            <w:vAlign w:val="center"/>
          </w:tcPr>
          <w:p w14:paraId="53F4C595">
            <w:pPr>
              <w:keepNext w:val="0"/>
              <w:keepLines w:val="0"/>
              <w:widowControl/>
              <w:suppressLineNumbers w:val="0"/>
              <w:jc w:val="center"/>
              <w:textAlignment w:val="bottom"/>
              <w:rPr>
                <w:b/>
                <w:szCs w:val="21"/>
                <w:highlight w:val="yellow"/>
              </w:rPr>
            </w:pPr>
            <w:r>
              <w:rPr>
                <w:rFonts w:hint="default" w:ascii="Times New Roman" w:hAnsi="Times New Roman" w:eastAsia="宋体" w:cs="Times New Roman"/>
                <w:i w:val="0"/>
                <w:iCs w:val="0"/>
                <w:color w:val="000000"/>
                <w:kern w:val="0"/>
                <w:sz w:val="21"/>
                <w:szCs w:val="21"/>
                <w:u w:val="none"/>
                <w:lang w:val="en-US" w:eastAsia="zh-CN" w:bidi="ar"/>
              </w:rPr>
              <w:t>0.07685</w:t>
            </w:r>
          </w:p>
        </w:tc>
        <w:tc>
          <w:tcPr>
            <w:tcW w:w="647" w:type="pct"/>
            <w:vAlign w:val="center"/>
          </w:tcPr>
          <w:p w14:paraId="1ADC9D46">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0.07</w:t>
            </w:r>
          </w:p>
        </w:tc>
        <w:tc>
          <w:tcPr>
            <w:tcW w:w="647" w:type="pct"/>
            <w:vAlign w:val="center"/>
          </w:tcPr>
          <w:p w14:paraId="6FC88744">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0.148</w:t>
            </w:r>
          </w:p>
        </w:tc>
        <w:tc>
          <w:tcPr>
            <w:tcW w:w="647" w:type="pct"/>
            <w:vAlign w:val="center"/>
          </w:tcPr>
          <w:p w14:paraId="7DA7C958">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0.15485</w:t>
            </w:r>
          </w:p>
        </w:tc>
        <w:tc>
          <w:tcPr>
            <w:tcW w:w="647" w:type="pct"/>
            <w:vAlign w:val="center"/>
          </w:tcPr>
          <w:p w14:paraId="56EA81F0">
            <w:pPr>
              <w:keepNext w:val="0"/>
              <w:keepLines w:val="0"/>
              <w:widowControl/>
              <w:suppressLineNumbers w:val="0"/>
              <w:jc w:val="center"/>
              <w:textAlignment w:val="bottom"/>
              <w:rPr>
                <w:szCs w:val="21"/>
              </w:rPr>
            </w:pPr>
            <w:r>
              <w:rPr>
                <w:rFonts w:hint="eastAsia"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0.078</w:t>
            </w:r>
          </w:p>
        </w:tc>
      </w:tr>
      <w:tr w14:paraId="45021D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88" w:type="pct"/>
            <w:vMerge w:val="continue"/>
            <w:shd w:val="clear" w:color="auto" w:fill="auto"/>
            <w:vAlign w:val="center"/>
          </w:tcPr>
          <w:p w14:paraId="0110C609">
            <w:pPr>
              <w:widowControl/>
              <w:spacing w:line="240" w:lineRule="exact"/>
              <w:jc w:val="center"/>
              <w:rPr>
                <w:rFonts w:eastAsia="仿宋_GB2312"/>
                <w:kern w:val="0"/>
                <w:szCs w:val="21"/>
                <w:highlight w:val="yellow"/>
              </w:rPr>
            </w:pPr>
          </w:p>
        </w:tc>
        <w:tc>
          <w:tcPr>
            <w:tcW w:w="1147" w:type="pct"/>
            <w:shd w:val="clear" w:color="auto" w:fill="auto"/>
            <w:tcMar>
              <w:top w:w="15" w:type="dxa"/>
              <w:left w:w="15" w:type="dxa"/>
              <w:bottom w:w="0" w:type="dxa"/>
              <w:right w:w="15" w:type="dxa"/>
            </w:tcMar>
            <w:vAlign w:val="center"/>
          </w:tcPr>
          <w:p w14:paraId="1670E9B9">
            <w:pPr>
              <w:widowControl/>
              <w:spacing w:line="240" w:lineRule="exact"/>
              <w:jc w:val="center"/>
              <w:rPr>
                <w:rFonts w:eastAsia="仿宋_GB2312"/>
                <w:kern w:val="0"/>
                <w:szCs w:val="21"/>
                <w:highlight w:val="yellow"/>
              </w:rPr>
            </w:pPr>
            <w:r>
              <w:rPr>
                <w:rFonts w:eastAsia="仿宋_GB2312"/>
                <w:kern w:val="0"/>
                <w:szCs w:val="21"/>
              </w:rPr>
              <w:t>丁酮</w:t>
            </w:r>
          </w:p>
        </w:tc>
        <w:tc>
          <w:tcPr>
            <w:tcW w:w="773" w:type="pct"/>
            <w:vAlign w:val="center"/>
          </w:tcPr>
          <w:p w14:paraId="07E41A64">
            <w:pPr>
              <w:keepNext w:val="0"/>
              <w:keepLines w:val="0"/>
              <w:widowControl/>
              <w:suppressLineNumbers w:val="0"/>
              <w:jc w:val="center"/>
              <w:textAlignment w:val="bottom"/>
              <w:rPr>
                <w:b/>
                <w:szCs w:val="21"/>
                <w:highlight w:val="yellow"/>
              </w:rPr>
            </w:pPr>
            <w:r>
              <w:rPr>
                <w:rFonts w:hint="default" w:ascii="Times New Roman" w:hAnsi="Times New Roman" w:eastAsia="宋体" w:cs="Times New Roman"/>
                <w:i w:val="0"/>
                <w:iCs w:val="0"/>
                <w:color w:val="000000"/>
                <w:kern w:val="0"/>
                <w:sz w:val="21"/>
                <w:szCs w:val="21"/>
                <w:u w:val="none"/>
                <w:lang w:val="en-US" w:eastAsia="zh-CN" w:bidi="ar"/>
              </w:rPr>
              <w:t>0.02885</w:t>
            </w:r>
          </w:p>
        </w:tc>
        <w:tc>
          <w:tcPr>
            <w:tcW w:w="647" w:type="pct"/>
            <w:vAlign w:val="center"/>
          </w:tcPr>
          <w:p w14:paraId="19F5F1D3">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0.014</w:t>
            </w:r>
          </w:p>
        </w:tc>
        <w:tc>
          <w:tcPr>
            <w:tcW w:w="647" w:type="pct"/>
            <w:vAlign w:val="center"/>
          </w:tcPr>
          <w:p w14:paraId="635124FE">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0.0074</w:t>
            </w:r>
          </w:p>
        </w:tc>
        <w:tc>
          <w:tcPr>
            <w:tcW w:w="647" w:type="pct"/>
            <w:vAlign w:val="center"/>
          </w:tcPr>
          <w:p w14:paraId="4FD5E4E2">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0.02225</w:t>
            </w:r>
          </w:p>
        </w:tc>
        <w:tc>
          <w:tcPr>
            <w:tcW w:w="647" w:type="pct"/>
            <w:vAlign w:val="center"/>
          </w:tcPr>
          <w:p w14:paraId="0D6717C2">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-0.0066</w:t>
            </w:r>
          </w:p>
        </w:tc>
      </w:tr>
      <w:tr w14:paraId="520E2F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88" w:type="pct"/>
            <w:vMerge w:val="continue"/>
            <w:shd w:val="clear" w:color="auto" w:fill="auto"/>
            <w:vAlign w:val="center"/>
          </w:tcPr>
          <w:p w14:paraId="19AD5B3F">
            <w:pPr>
              <w:widowControl/>
              <w:spacing w:line="240" w:lineRule="exact"/>
              <w:jc w:val="center"/>
              <w:rPr>
                <w:rFonts w:eastAsia="仿宋_GB2312"/>
                <w:kern w:val="0"/>
                <w:szCs w:val="21"/>
                <w:highlight w:val="yellow"/>
              </w:rPr>
            </w:pPr>
          </w:p>
        </w:tc>
        <w:tc>
          <w:tcPr>
            <w:tcW w:w="1147" w:type="pct"/>
            <w:shd w:val="clear" w:color="auto" w:fill="auto"/>
            <w:tcMar>
              <w:top w:w="15" w:type="dxa"/>
              <w:left w:w="15" w:type="dxa"/>
              <w:bottom w:w="0" w:type="dxa"/>
              <w:right w:w="15" w:type="dxa"/>
            </w:tcMar>
            <w:vAlign w:val="center"/>
          </w:tcPr>
          <w:p w14:paraId="19CDA613">
            <w:pPr>
              <w:widowControl/>
              <w:spacing w:line="240" w:lineRule="exact"/>
              <w:jc w:val="center"/>
              <w:rPr>
                <w:rFonts w:eastAsia="仿宋_GB2312"/>
                <w:kern w:val="0"/>
                <w:szCs w:val="21"/>
                <w:highlight w:val="yellow"/>
              </w:rPr>
            </w:pPr>
            <w:r>
              <w:rPr>
                <w:rFonts w:eastAsia="仿宋_GB2312"/>
                <w:kern w:val="0"/>
                <w:szCs w:val="21"/>
              </w:rPr>
              <w:t>丙二醇单甲醚</w:t>
            </w:r>
          </w:p>
        </w:tc>
        <w:tc>
          <w:tcPr>
            <w:tcW w:w="773" w:type="pct"/>
            <w:vAlign w:val="center"/>
          </w:tcPr>
          <w:p w14:paraId="26B0C9DB">
            <w:pPr>
              <w:keepNext w:val="0"/>
              <w:keepLines w:val="0"/>
              <w:widowControl/>
              <w:suppressLineNumbers w:val="0"/>
              <w:jc w:val="center"/>
              <w:textAlignment w:val="bottom"/>
              <w:rPr>
                <w:b/>
                <w:szCs w:val="21"/>
                <w:highlight w:val="yellow"/>
              </w:rPr>
            </w:pPr>
            <w:r>
              <w:rPr>
                <w:rFonts w:hint="default" w:ascii="Times New Roman" w:hAnsi="Times New Roman" w:eastAsia="宋体" w:cs="Times New Roman"/>
                <w:i w:val="0"/>
                <w:iCs w:val="0"/>
                <w:color w:val="000000"/>
                <w:kern w:val="0"/>
                <w:sz w:val="21"/>
                <w:szCs w:val="21"/>
                <w:u w:val="none"/>
                <w:lang w:val="en-US" w:eastAsia="zh-CN" w:bidi="ar"/>
              </w:rPr>
              <w:t>0.061455</w:t>
            </w:r>
          </w:p>
        </w:tc>
        <w:tc>
          <w:tcPr>
            <w:tcW w:w="647" w:type="pct"/>
            <w:vAlign w:val="center"/>
          </w:tcPr>
          <w:p w14:paraId="412F06A3">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0.051</w:t>
            </w:r>
          </w:p>
        </w:tc>
        <w:tc>
          <w:tcPr>
            <w:tcW w:w="647" w:type="pct"/>
            <w:vAlign w:val="center"/>
          </w:tcPr>
          <w:p w14:paraId="3FFE7E96">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0.029</w:t>
            </w:r>
          </w:p>
        </w:tc>
        <w:tc>
          <w:tcPr>
            <w:tcW w:w="647" w:type="pct"/>
            <w:vAlign w:val="center"/>
          </w:tcPr>
          <w:p w14:paraId="197BA85B">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0.039455</w:t>
            </w:r>
          </w:p>
        </w:tc>
        <w:tc>
          <w:tcPr>
            <w:tcW w:w="647" w:type="pct"/>
            <w:vAlign w:val="center"/>
          </w:tcPr>
          <w:p w14:paraId="651C666D">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-0.022</w:t>
            </w:r>
          </w:p>
        </w:tc>
      </w:tr>
      <w:tr w14:paraId="1060F6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88" w:type="pct"/>
            <w:vMerge w:val="continue"/>
            <w:shd w:val="clear" w:color="auto" w:fill="auto"/>
            <w:vAlign w:val="center"/>
          </w:tcPr>
          <w:p w14:paraId="68F0617E">
            <w:pPr>
              <w:widowControl/>
              <w:spacing w:line="240" w:lineRule="exact"/>
              <w:jc w:val="center"/>
              <w:rPr>
                <w:rFonts w:eastAsia="仿宋_GB2312"/>
                <w:kern w:val="0"/>
                <w:szCs w:val="21"/>
                <w:highlight w:val="yellow"/>
              </w:rPr>
            </w:pPr>
          </w:p>
        </w:tc>
        <w:tc>
          <w:tcPr>
            <w:tcW w:w="1147" w:type="pct"/>
            <w:shd w:val="clear" w:color="auto" w:fill="auto"/>
            <w:tcMar>
              <w:top w:w="15" w:type="dxa"/>
              <w:left w:w="15" w:type="dxa"/>
              <w:bottom w:w="0" w:type="dxa"/>
              <w:right w:w="15" w:type="dxa"/>
            </w:tcMar>
            <w:vAlign w:val="center"/>
          </w:tcPr>
          <w:p w14:paraId="790D6A2F">
            <w:pPr>
              <w:widowControl/>
              <w:spacing w:line="240" w:lineRule="exact"/>
              <w:jc w:val="center"/>
              <w:rPr>
                <w:rFonts w:eastAsia="仿宋_GB2312"/>
                <w:kern w:val="0"/>
                <w:szCs w:val="21"/>
                <w:highlight w:val="yellow"/>
              </w:rPr>
            </w:pPr>
            <w:r>
              <w:rPr>
                <w:rFonts w:eastAsia="仿宋_GB2312"/>
                <w:kern w:val="0"/>
                <w:szCs w:val="21"/>
              </w:rPr>
              <w:t>乙二醇</w:t>
            </w:r>
          </w:p>
        </w:tc>
        <w:tc>
          <w:tcPr>
            <w:tcW w:w="773" w:type="pct"/>
            <w:vAlign w:val="center"/>
          </w:tcPr>
          <w:p w14:paraId="236421CE">
            <w:pPr>
              <w:keepNext w:val="0"/>
              <w:keepLines w:val="0"/>
              <w:widowControl/>
              <w:suppressLineNumbers w:val="0"/>
              <w:jc w:val="center"/>
              <w:textAlignment w:val="bottom"/>
              <w:rPr>
                <w:b/>
                <w:szCs w:val="21"/>
                <w:highlight w:val="yellow"/>
              </w:rPr>
            </w:pPr>
            <w:r>
              <w:rPr>
                <w:rFonts w:hint="default" w:ascii="Times New Roman" w:hAnsi="Times New Roman" w:eastAsia="宋体" w:cs="Times New Roman"/>
                <w:i w:val="0"/>
                <w:iCs w:val="0"/>
                <w:color w:val="000000"/>
                <w:kern w:val="0"/>
                <w:sz w:val="21"/>
                <w:szCs w:val="21"/>
                <w:u w:val="none"/>
                <w:lang w:val="en-US" w:eastAsia="zh-CN" w:bidi="ar"/>
              </w:rPr>
              <w:t>1.19398</w:t>
            </w:r>
          </w:p>
        </w:tc>
        <w:tc>
          <w:tcPr>
            <w:tcW w:w="647" w:type="pct"/>
            <w:vAlign w:val="center"/>
          </w:tcPr>
          <w:p w14:paraId="24958543">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0.187</w:t>
            </w:r>
          </w:p>
        </w:tc>
        <w:tc>
          <w:tcPr>
            <w:tcW w:w="647" w:type="pct"/>
            <w:vAlign w:val="center"/>
          </w:tcPr>
          <w:p w14:paraId="3CB03AD5">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647" w:type="pct"/>
            <w:vAlign w:val="center"/>
          </w:tcPr>
          <w:p w14:paraId="31D52F20">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1.00698</w:t>
            </w:r>
          </w:p>
        </w:tc>
        <w:tc>
          <w:tcPr>
            <w:tcW w:w="647" w:type="pct"/>
            <w:vAlign w:val="center"/>
          </w:tcPr>
          <w:p w14:paraId="597D0314">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-0.187</w:t>
            </w:r>
          </w:p>
        </w:tc>
      </w:tr>
      <w:tr w14:paraId="595618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88" w:type="pct"/>
            <w:vMerge w:val="continue"/>
            <w:shd w:val="clear" w:color="auto" w:fill="auto"/>
            <w:vAlign w:val="center"/>
          </w:tcPr>
          <w:p w14:paraId="7CCD1F8A">
            <w:pPr>
              <w:widowControl/>
              <w:spacing w:line="240" w:lineRule="exact"/>
              <w:jc w:val="center"/>
              <w:rPr>
                <w:rFonts w:eastAsia="仿宋_GB2312"/>
                <w:kern w:val="0"/>
                <w:szCs w:val="21"/>
                <w:highlight w:val="yellow"/>
              </w:rPr>
            </w:pPr>
          </w:p>
        </w:tc>
        <w:tc>
          <w:tcPr>
            <w:tcW w:w="1147" w:type="pct"/>
            <w:shd w:val="clear" w:color="auto" w:fill="auto"/>
            <w:tcMar>
              <w:top w:w="15" w:type="dxa"/>
              <w:left w:w="15" w:type="dxa"/>
              <w:bottom w:w="0" w:type="dxa"/>
              <w:right w:w="15" w:type="dxa"/>
            </w:tcMar>
            <w:vAlign w:val="center"/>
          </w:tcPr>
          <w:p w14:paraId="1759242A">
            <w:pPr>
              <w:widowControl/>
              <w:spacing w:line="240" w:lineRule="exact"/>
              <w:jc w:val="center"/>
              <w:rPr>
                <w:rFonts w:eastAsia="仿宋_GB2312"/>
                <w:kern w:val="0"/>
                <w:szCs w:val="21"/>
                <w:highlight w:val="yellow"/>
              </w:rPr>
            </w:pPr>
            <w:r>
              <w:rPr>
                <w:rFonts w:eastAsia="仿宋_GB2312"/>
                <w:kern w:val="0"/>
                <w:szCs w:val="21"/>
              </w:rPr>
              <w:t>二丁醚</w:t>
            </w:r>
          </w:p>
        </w:tc>
        <w:tc>
          <w:tcPr>
            <w:tcW w:w="773" w:type="pct"/>
            <w:vAlign w:val="center"/>
          </w:tcPr>
          <w:p w14:paraId="5376BDE7">
            <w:pPr>
              <w:keepNext w:val="0"/>
              <w:keepLines w:val="0"/>
              <w:widowControl/>
              <w:suppressLineNumbers w:val="0"/>
              <w:jc w:val="center"/>
              <w:textAlignment w:val="bottom"/>
              <w:rPr>
                <w:b/>
                <w:szCs w:val="21"/>
                <w:highlight w:val="yellow"/>
              </w:rPr>
            </w:pPr>
            <w:r>
              <w:rPr>
                <w:rFonts w:hint="default" w:ascii="Times New Roman" w:hAnsi="Times New Roman" w:eastAsia="宋体" w:cs="Times New Roman"/>
                <w:i w:val="0"/>
                <w:iCs w:val="0"/>
                <w:color w:val="000000"/>
                <w:kern w:val="0"/>
                <w:sz w:val="21"/>
                <w:szCs w:val="21"/>
                <w:u w:val="none"/>
                <w:lang w:val="en-US" w:eastAsia="zh-CN" w:bidi="ar"/>
              </w:rPr>
              <w:t>0.0009</w:t>
            </w:r>
          </w:p>
        </w:tc>
        <w:tc>
          <w:tcPr>
            <w:tcW w:w="647" w:type="pct"/>
            <w:vAlign w:val="center"/>
          </w:tcPr>
          <w:p w14:paraId="399E13E3">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647" w:type="pct"/>
            <w:vAlign w:val="center"/>
          </w:tcPr>
          <w:p w14:paraId="3226C072">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647" w:type="pct"/>
            <w:vAlign w:val="center"/>
          </w:tcPr>
          <w:p w14:paraId="4BB8B885">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0.0009</w:t>
            </w:r>
          </w:p>
        </w:tc>
        <w:tc>
          <w:tcPr>
            <w:tcW w:w="647" w:type="pct"/>
            <w:vAlign w:val="center"/>
          </w:tcPr>
          <w:p w14:paraId="145CEFA6">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w:t>
            </w:r>
          </w:p>
        </w:tc>
      </w:tr>
      <w:tr w14:paraId="52E1E7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88" w:type="pct"/>
            <w:vMerge w:val="continue"/>
            <w:shd w:val="clear" w:color="auto" w:fill="auto"/>
            <w:vAlign w:val="center"/>
          </w:tcPr>
          <w:p w14:paraId="1AAF3B6A">
            <w:pPr>
              <w:widowControl/>
              <w:spacing w:line="240" w:lineRule="exact"/>
              <w:jc w:val="center"/>
              <w:rPr>
                <w:rFonts w:eastAsia="仿宋_GB2312"/>
                <w:kern w:val="0"/>
                <w:szCs w:val="21"/>
                <w:highlight w:val="yellow"/>
              </w:rPr>
            </w:pPr>
          </w:p>
        </w:tc>
        <w:tc>
          <w:tcPr>
            <w:tcW w:w="1147" w:type="pct"/>
            <w:shd w:val="clear" w:color="auto" w:fill="auto"/>
            <w:tcMar>
              <w:top w:w="15" w:type="dxa"/>
              <w:left w:w="15" w:type="dxa"/>
              <w:bottom w:w="0" w:type="dxa"/>
              <w:right w:w="15" w:type="dxa"/>
            </w:tcMar>
            <w:vAlign w:val="center"/>
          </w:tcPr>
          <w:p w14:paraId="1245FA57">
            <w:pPr>
              <w:widowControl/>
              <w:spacing w:line="240" w:lineRule="exact"/>
              <w:jc w:val="center"/>
              <w:rPr>
                <w:rFonts w:eastAsia="仿宋_GB2312"/>
                <w:kern w:val="0"/>
                <w:szCs w:val="21"/>
                <w:highlight w:val="yellow"/>
              </w:rPr>
            </w:pPr>
            <w:r>
              <w:rPr>
                <w:rFonts w:eastAsia="仿宋_GB2312"/>
                <w:kern w:val="0"/>
                <w:szCs w:val="21"/>
              </w:rPr>
              <w:t>甲醇</w:t>
            </w:r>
          </w:p>
        </w:tc>
        <w:tc>
          <w:tcPr>
            <w:tcW w:w="773" w:type="pct"/>
            <w:vAlign w:val="center"/>
          </w:tcPr>
          <w:p w14:paraId="51951725">
            <w:pPr>
              <w:keepNext w:val="0"/>
              <w:keepLines w:val="0"/>
              <w:widowControl/>
              <w:suppressLineNumbers w:val="0"/>
              <w:jc w:val="center"/>
              <w:textAlignment w:val="bottom"/>
              <w:rPr>
                <w:b/>
                <w:szCs w:val="21"/>
                <w:highlight w:val="yellow"/>
              </w:rPr>
            </w:pPr>
            <w:r>
              <w:rPr>
                <w:rFonts w:hint="default" w:ascii="Times New Roman" w:hAnsi="Times New Roman" w:eastAsia="宋体" w:cs="Times New Roman"/>
                <w:i w:val="0"/>
                <w:iCs w:val="0"/>
                <w:color w:val="000000"/>
                <w:kern w:val="0"/>
                <w:sz w:val="21"/>
                <w:szCs w:val="21"/>
                <w:u w:val="none"/>
                <w:lang w:val="en-US" w:eastAsia="zh-CN" w:bidi="ar"/>
              </w:rPr>
              <w:t>0.24006</w:t>
            </w:r>
          </w:p>
        </w:tc>
        <w:tc>
          <w:tcPr>
            <w:tcW w:w="647" w:type="pct"/>
            <w:vAlign w:val="center"/>
          </w:tcPr>
          <w:p w14:paraId="014C206C">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0.184</w:t>
            </w:r>
          </w:p>
        </w:tc>
        <w:tc>
          <w:tcPr>
            <w:tcW w:w="647" w:type="pct"/>
            <w:vAlign w:val="center"/>
          </w:tcPr>
          <w:p w14:paraId="73587221">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0.5192</w:t>
            </w:r>
          </w:p>
        </w:tc>
        <w:tc>
          <w:tcPr>
            <w:tcW w:w="647" w:type="pct"/>
            <w:vAlign w:val="center"/>
          </w:tcPr>
          <w:p w14:paraId="411224D9">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0.57526</w:t>
            </w:r>
          </w:p>
        </w:tc>
        <w:tc>
          <w:tcPr>
            <w:tcW w:w="647" w:type="pct"/>
            <w:vAlign w:val="center"/>
          </w:tcPr>
          <w:p w14:paraId="203016E1">
            <w:pPr>
              <w:keepNext w:val="0"/>
              <w:keepLines w:val="0"/>
              <w:widowControl/>
              <w:suppressLineNumbers w:val="0"/>
              <w:jc w:val="center"/>
              <w:textAlignment w:val="bottom"/>
              <w:rPr>
                <w:szCs w:val="21"/>
              </w:rPr>
            </w:pPr>
            <w:r>
              <w:rPr>
                <w:rFonts w:hint="eastAsia"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0.3352</w:t>
            </w:r>
          </w:p>
        </w:tc>
      </w:tr>
      <w:tr w14:paraId="14DC8C7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88" w:type="pct"/>
            <w:vMerge w:val="continue"/>
            <w:shd w:val="clear" w:color="auto" w:fill="auto"/>
            <w:vAlign w:val="center"/>
          </w:tcPr>
          <w:p w14:paraId="2B809DB7">
            <w:pPr>
              <w:widowControl/>
              <w:spacing w:line="240" w:lineRule="exact"/>
              <w:jc w:val="center"/>
              <w:rPr>
                <w:rFonts w:eastAsia="仿宋_GB2312"/>
                <w:kern w:val="0"/>
                <w:szCs w:val="21"/>
                <w:highlight w:val="yellow"/>
              </w:rPr>
            </w:pPr>
          </w:p>
        </w:tc>
        <w:tc>
          <w:tcPr>
            <w:tcW w:w="1147" w:type="pct"/>
            <w:shd w:val="clear" w:color="auto" w:fill="auto"/>
            <w:tcMar>
              <w:top w:w="15" w:type="dxa"/>
              <w:left w:w="15" w:type="dxa"/>
              <w:bottom w:w="0" w:type="dxa"/>
              <w:right w:w="15" w:type="dxa"/>
            </w:tcMar>
            <w:vAlign w:val="center"/>
          </w:tcPr>
          <w:p w14:paraId="2B0B3920">
            <w:pPr>
              <w:widowControl/>
              <w:spacing w:line="240" w:lineRule="exact"/>
              <w:jc w:val="center"/>
              <w:rPr>
                <w:rFonts w:eastAsia="仿宋_GB2312"/>
                <w:kern w:val="0"/>
                <w:szCs w:val="21"/>
                <w:highlight w:val="yellow"/>
              </w:rPr>
            </w:pPr>
            <w:r>
              <w:rPr>
                <w:rFonts w:eastAsia="仿宋_GB2312"/>
                <w:kern w:val="0"/>
                <w:szCs w:val="21"/>
              </w:rPr>
              <w:t>硫酸雾</w:t>
            </w:r>
          </w:p>
        </w:tc>
        <w:tc>
          <w:tcPr>
            <w:tcW w:w="773" w:type="pct"/>
            <w:vAlign w:val="center"/>
          </w:tcPr>
          <w:p w14:paraId="06252384">
            <w:pPr>
              <w:keepNext w:val="0"/>
              <w:keepLines w:val="0"/>
              <w:widowControl/>
              <w:suppressLineNumbers w:val="0"/>
              <w:jc w:val="center"/>
              <w:textAlignment w:val="bottom"/>
              <w:rPr>
                <w:b/>
                <w:szCs w:val="21"/>
                <w:highlight w:val="yellow"/>
              </w:rPr>
            </w:pPr>
            <w:r>
              <w:rPr>
                <w:rFonts w:hint="default" w:ascii="Times New Roman" w:hAnsi="Times New Roman" w:eastAsia="宋体" w:cs="Times New Roman"/>
                <w:i w:val="0"/>
                <w:iCs w:val="0"/>
                <w:color w:val="000000"/>
                <w:kern w:val="0"/>
                <w:sz w:val="21"/>
                <w:szCs w:val="21"/>
                <w:u w:val="none"/>
                <w:lang w:val="en-US" w:eastAsia="zh-CN" w:bidi="ar"/>
              </w:rPr>
              <w:t>1.43119</w:t>
            </w:r>
          </w:p>
        </w:tc>
        <w:tc>
          <w:tcPr>
            <w:tcW w:w="647" w:type="pct"/>
            <w:vAlign w:val="center"/>
          </w:tcPr>
          <w:p w14:paraId="314BBE4C">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647" w:type="pct"/>
            <w:vAlign w:val="center"/>
          </w:tcPr>
          <w:p w14:paraId="290BA6D6">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647" w:type="pct"/>
            <w:vAlign w:val="center"/>
          </w:tcPr>
          <w:p w14:paraId="05A233AA">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1.43119</w:t>
            </w:r>
          </w:p>
        </w:tc>
        <w:tc>
          <w:tcPr>
            <w:tcW w:w="647" w:type="pct"/>
            <w:vAlign w:val="center"/>
          </w:tcPr>
          <w:p w14:paraId="3B142994">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w:t>
            </w:r>
          </w:p>
        </w:tc>
      </w:tr>
      <w:tr w14:paraId="30F010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88" w:type="pct"/>
            <w:vMerge w:val="continue"/>
            <w:shd w:val="clear" w:color="auto" w:fill="auto"/>
            <w:vAlign w:val="center"/>
          </w:tcPr>
          <w:p w14:paraId="151B0901">
            <w:pPr>
              <w:widowControl/>
              <w:spacing w:line="240" w:lineRule="exact"/>
              <w:jc w:val="center"/>
              <w:rPr>
                <w:rFonts w:eastAsia="仿宋_GB2312"/>
                <w:kern w:val="0"/>
                <w:szCs w:val="21"/>
                <w:highlight w:val="yellow"/>
              </w:rPr>
            </w:pPr>
          </w:p>
        </w:tc>
        <w:tc>
          <w:tcPr>
            <w:tcW w:w="1147" w:type="pct"/>
            <w:shd w:val="clear" w:color="auto" w:fill="auto"/>
            <w:tcMar>
              <w:top w:w="15" w:type="dxa"/>
              <w:left w:w="15" w:type="dxa"/>
              <w:bottom w:w="0" w:type="dxa"/>
              <w:right w:w="15" w:type="dxa"/>
            </w:tcMar>
            <w:vAlign w:val="center"/>
          </w:tcPr>
          <w:p w14:paraId="56F647B8">
            <w:pPr>
              <w:widowControl/>
              <w:spacing w:line="240" w:lineRule="exact"/>
              <w:jc w:val="center"/>
              <w:rPr>
                <w:rFonts w:eastAsia="仿宋_GB2312"/>
                <w:kern w:val="0"/>
                <w:szCs w:val="21"/>
                <w:highlight w:val="yellow"/>
              </w:rPr>
            </w:pPr>
            <w:r>
              <w:rPr>
                <w:rFonts w:eastAsia="仿宋_GB2312"/>
                <w:kern w:val="0"/>
                <w:szCs w:val="21"/>
              </w:rPr>
              <w:t>二氯甲烷</w:t>
            </w:r>
          </w:p>
        </w:tc>
        <w:tc>
          <w:tcPr>
            <w:tcW w:w="773" w:type="pct"/>
            <w:vAlign w:val="center"/>
          </w:tcPr>
          <w:p w14:paraId="5300AA07">
            <w:pPr>
              <w:keepNext w:val="0"/>
              <w:keepLines w:val="0"/>
              <w:widowControl/>
              <w:suppressLineNumbers w:val="0"/>
              <w:jc w:val="center"/>
              <w:textAlignment w:val="bottom"/>
              <w:rPr>
                <w:b/>
                <w:szCs w:val="21"/>
                <w:highlight w:val="yellow"/>
              </w:rPr>
            </w:pPr>
            <w:r>
              <w:rPr>
                <w:rFonts w:hint="default" w:ascii="Times New Roman" w:hAnsi="Times New Roman" w:eastAsia="宋体" w:cs="Times New Roman"/>
                <w:i w:val="0"/>
                <w:iCs w:val="0"/>
                <w:color w:val="000000"/>
                <w:kern w:val="0"/>
                <w:sz w:val="21"/>
                <w:szCs w:val="21"/>
                <w:u w:val="none"/>
                <w:lang w:val="en-US" w:eastAsia="zh-CN" w:bidi="ar"/>
              </w:rPr>
              <w:t>0.132</w:t>
            </w:r>
          </w:p>
        </w:tc>
        <w:tc>
          <w:tcPr>
            <w:tcW w:w="647" w:type="pct"/>
            <w:vAlign w:val="center"/>
          </w:tcPr>
          <w:p w14:paraId="7A7526D9">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0.125</w:t>
            </w:r>
          </w:p>
        </w:tc>
        <w:tc>
          <w:tcPr>
            <w:tcW w:w="647" w:type="pct"/>
            <w:vAlign w:val="center"/>
          </w:tcPr>
          <w:p w14:paraId="6A3A95CC">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0.0624</w:t>
            </w:r>
          </w:p>
        </w:tc>
        <w:tc>
          <w:tcPr>
            <w:tcW w:w="647" w:type="pct"/>
            <w:vAlign w:val="center"/>
          </w:tcPr>
          <w:p w14:paraId="2D94579C">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0.0694</w:t>
            </w:r>
          </w:p>
        </w:tc>
        <w:tc>
          <w:tcPr>
            <w:tcW w:w="647" w:type="pct"/>
            <w:vAlign w:val="center"/>
          </w:tcPr>
          <w:p w14:paraId="7DE31F46">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-0.0626</w:t>
            </w:r>
          </w:p>
        </w:tc>
      </w:tr>
      <w:tr w14:paraId="64BBB8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88" w:type="pct"/>
            <w:vMerge w:val="continue"/>
            <w:shd w:val="clear" w:color="auto" w:fill="auto"/>
            <w:vAlign w:val="center"/>
          </w:tcPr>
          <w:p w14:paraId="3690C60F">
            <w:pPr>
              <w:widowControl/>
              <w:spacing w:line="240" w:lineRule="exact"/>
              <w:jc w:val="center"/>
              <w:rPr>
                <w:rFonts w:eastAsia="仿宋_GB2312"/>
                <w:kern w:val="0"/>
                <w:szCs w:val="21"/>
                <w:highlight w:val="yellow"/>
              </w:rPr>
            </w:pPr>
          </w:p>
        </w:tc>
        <w:tc>
          <w:tcPr>
            <w:tcW w:w="1147" w:type="pct"/>
            <w:shd w:val="clear" w:color="auto" w:fill="auto"/>
            <w:tcMar>
              <w:top w:w="15" w:type="dxa"/>
              <w:left w:w="15" w:type="dxa"/>
              <w:bottom w:w="0" w:type="dxa"/>
              <w:right w:w="15" w:type="dxa"/>
            </w:tcMar>
            <w:vAlign w:val="center"/>
          </w:tcPr>
          <w:p w14:paraId="4D3006B5">
            <w:pPr>
              <w:widowControl/>
              <w:spacing w:line="240" w:lineRule="exact"/>
              <w:jc w:val="center"/>
              <w:rPr>
                <w:rFonts w:eastAsia="仿宋_GB2312"/>
                <w:kern w:val="0"/>
                <w:szCs w:val="21"/>
                <w:highlight w:val="yellow"/>
              </w:rPr>
            </w:pPr>
            <w:r>
              <w:rPr>
                <w:rFonts w:eastAsia="仿宋_GB2312"/>
                <w:kern w:val="0"/>
                <w:szCs w:val="21"/>
              </w:rPr>
              <w:t>二氯乙烷</w:t>
            </w:r>
          </w:p>
        </w:tc>
        <w:tc>
          <w:tcPr>
            <w:tcW w:w="773" w:type="pct"/>
            <w:vAlign w:val="center"/>
          </w:tcPr>
          <w:p w14:paraId="4C9926C4">
            <w:pPr>
              <w:keepNext w:val="0"/>
              <w:keepLines w:val="0"/>
              <w:widowControl/>
              <w:suppressLineNumbers w:val="0"/>
              <w:jc w:val="center"/>
              <w:textAlignment w:val="bottom"/>
              <w:rPr>
                <w:b/>
                <w:szCs w:val="21"/>
                <w:highlight w:val="yellow"/>
              </w:rPr>
            </w:pPr>
            <w:r>
              <w:rPr>
                <w:rFonts w:hint="default" w:ascii="Times New Roman" w:hAnsi="Times New Roman" w:eastAsia="宋体" w:cs="Times New Roman"/>
                <w:i w:val="0"/>
                <w:iCs w:val="0"/>
                <w:color w:val="000000"/>
                <w:kern w:val="0"/>
                <w:sz w:val="21"/>
                <w:szCs w:val="21"/>
                <w:u w:val="none"/>
                <w:lang w:val="en-US" w:eastAsia="zh-CN" w:bidi="ar"/>
              </w:rPr>
              <w:t>0.09</w:t>
            </w:r>
          </w:p>
        </w:tc>
        <w:tc>
          <w:tcPr>
            <w:tcW w:w="647" w:type="pct"/>
            <w:vAlign w:val="center"/>
          </w:tcPr>
          <w:p w14:paraId="32B332F5">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0.086</w:t>
            </w:r>
          </w:p>
        </w:tc>
        <w:tc>
          <w:tcPr>
            <w:tcW w:w="647" w:type="pct"/>
            <w:vAlign w:val="center"/>
          </w:tcPr>
          <w:p w14:paraId="2487EF32">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0.0426</w:t>
            </w:r>
          </w:p>
        </w:tc>
        <w:tc>
          <w:tcPr>
            <w:tcW w:w="647" w:type="pct"/>
            <w:vAlign w:val="center"/>
          </w:tcPr>
          <w:p w14:paraId="7BC2DDFF">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0.0466</w:t>
            </w:r>
          </w:p>
        </w:tc>
        <w:tc>
          <w:tcPr>
            <w:tcW w:w="647" w:type="pct"/>
            <w:vAlign w:val="center"/>
          </w:tcPr>
          <w:p w14:paraId="2CCDBECB">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-0.0434</w:t>
            </w:r>
          </w:p>
        </w:tc>
      </w:tr>
      <w:tr w14:paraId="1CC11C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88" w:type="pct"/>
            <w:vMerge w:val="continue"/>
            <w:shd w:val="clear" w:color="auto" w:fill="auto"/>
            <w:vAlign w:val="center"/>
          </w:tcPr>
          <w:p w14:paraId="023DBC4D">
            <w:pPr>
              <w:widowControl/>
              <w:spacing w:line="240" w:lineRule="exact"/>
              <w:jc w:val="center"/>
              <w:rPr>
                <w:rFonts w:eastAsia="仿宋_GB2312"/>
                <w:kern w:val="0"/>
                <w:szCs w:val="21"/>
                <w:highlight w:val="yellow"/>
              </w:rPr>
            </w:pPr>
          </w:p>
        </w:tc>
        <w:tc>
          <w:tcPr>
            <w:tcW w:w="1147" w:type="pct"/>
            <w:shd w:val="clear" w:color="auto" w:fill="auto"/>
            <w:tcMar>
              <w:top w:w="15" w:type="dxa"/>
              <w:left w:w="15" w:type="dxa"/>
              <w:bottom w:w="0" w:type="dxa"/>
              <w:right w:w="15" w:type="dxa"/>
            </w:tcMar>
            <w:vAlign w:val="center"/>
          </w:tcPr>
          <w:p w14:paraId="72E6DF53">
            <w:pPr>
              <w:widowControl/>
              <w:spacing w:line="240" w:lineRule="exact"/>
              <w:jc w:val="center"/>
              <w:rPr>
                <w:rFonts w:eastAsia="仿宋_GB2312"/>
                <w:kern w:val="0"/>
                <w:szCs w:val="21"/>
                <w:highlight w:val="yellow"/>
              </w:rPr>
            </w:pPr>
            <w:r>
              <w:rPr>
                <w:rFonts w:eastAsia="仿宋_GB2312"/>
                <w:kern w:val="0"/>
                <w:szCs w:val="21"/>
              </w:rPr>
              <w:t>乙醇</w:t>
            </w:r>
          </w:p>
        </w:tc>
        <w:tc>
          <w:tcPr>
            <w:tcW w:w="773" w:type="pct"/>
            <w:vAlign w:val="center"/>
          </w:tcPr>
          <w:p w14:paraId="5F15FFB9">
            <w:pPr>
              <w:keepNext w:val="0"/>
              <w:keepLines w:val="0"/>
              <w:widowControl/>
              <w:suppressLineNumbers w:val="0"/>
              <w:jc w:val="center"/>
              <w:textAlignment w:val="bottom"/>
              <w:rPr>
                <w:b/>
                <w:szCs w:val="21"/>
                <w:highlight w:val="yellow"/>
              </w:rPr>
            </w:pPr>
            <w:r>
              <w:rPr>
                <w:rFonts w:hint="default" w:ascii="Times New Roman" w:hAnsi="Times New Roman" w:eastAsia="宋体" w:cs="Times New Roman"/>
                <w:i w:val="0"/>
                <w:iCs w:val="0"/>
                <w:color w:val="000000"/>
                <w:kern w:val="0"/>
                <w:sz w:val="21"/>
                <w:szCs w:val="21"/>
                <w:u w:val="none"/>
                <w:lang w:val="en-US" w:eastAsia="zh-CN" w:bidi="ar"/>
              </w:rPr>
              <w:t>0.124</w:t>
            </w:r>
          </w:p>
        </w:tc>
        <w:tc>
          <w:tcPr>
            <w:tcW w:w="647" w:type="pct"/>
            <w:vAlign w:val="center"/>
          </w:tcPr>
          <w:p w14:paraId="20C71ACC">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0.061</w:t>
            </w:r>
          </w:p>
        </w:tc>
        <w:tc>
          <w:tcPr>
            <w:tcW w:w="647" w:type="pct"/>
            <w:vAlign w:val="center"/>
          </w:tcPr>
          <w:p w14:paraId="31C09633">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0.2904</w:t>
            </w:r>
          </w:p>
        </w:tc>
        <w:tc>
          <w:tcPr>
            <w:tcW w:w="647" w:type="pct"/>
            <w:vAlign w:val="center"/>
          </w:tcPr>
          <w:p w14:paraId="4DB032F4">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0.3534</w:t>
            </w:r>
          </w:p>
        </w:tc>
        <w:tc>
          <w:tcPr>
            <w:tcW w:w="647" w:type="pct"/>
            <w:vAlign w:val="center"/>
          </w:tcPr>
          <w:p w14:paraId="31598076">
            <w:pPr>
              <w:keepNext w:val="0"/>
              <w:keepLines w:val="0"/>
              <w:widowControl/>
              <w:suppressLineNumbers w:val="0"/>
              <w:jc w:val="center"/>
              <w:textAlignment w:val="bottom"/>
              <w:rPr>
                <w:szCs w:val="21"/>
              </w:rPr>
            </w:pPr>
            <w:r>
              <w:rPr>
                <w:rFonts w:hint="eastAsia"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0.2294</w:t>
            </w:r>
          </w:p>
        </w:tc>
      </w:tr>
      <w:tr w14:paraId="71193B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88" w:type="pct"/>
            <w:vMerge w:val="continue"/>
            <w:shd w:val="clear" w:color="auto" w:fill="auto"/>
            <w:vAlign w:val="center"/>
          </w:tcPr>
          <w:p w14:paraId="0B710B77">
            <w:pPr>
              <w:widowControl/>
              <w:spacing w:line="240" w:lineRule="exact"/>
              <w:jc w:val="center"/>
              <w:rPr>
                <w:rFonts w:eastAsia="仿宋_GB2312"/>
                <w:kern w:val="0"/>
                <w:szCs w:val="21"/>
                <w:highlight w:val="yellow"/>
              </w:rPr>
            </w:pPr>
          </w:p>
        </w:tc>
        <w:tc>
          <w:tcPr>
            <w:tcW w:w="1147" w:type="pct"/>
            <w:shd w:val="clear" w:color="auto" w:fill="auto"/>
            <w:tcMar>
              <w:top w:w="15" w:type="dxa"/>
              <w:left w:w="15" w:type="dxa"/>
              <w:bottom w:w="0" w:type="dxa"/>
              <w:right w:w="15" w:type="dxa"/>
            </w:tcMar>
            <w:vAlign w:val="center"/>
          </w:tcPr>
          <w:p w14:paraId="46B22DD7">
            <w:pPr>
              <w:widowControl/>
              <w:spacing w:line="240" w:lineRule="exact"/>
              <w:jc w:val="center"/>
              <w:rPr>
                <w:rFonts w:eastAsia="仿宋_GB2312"/>
                <w:kern w:val="0"/>
                <w:szCs w:val="21"/>
                <w:highlight w:val="yellow"/>
              </w:rPr>
            </w:pPr>
            <w:r>
              <w:rPr>
                <w:rFonts w:eastAsia="仿宋_GB2312"/>
                <w:kern w:val="0"/>
                <w:szCs w:val="21"/>
              </w:rPr>
              <w:t>乙腈</w:t>
            </w:r>
          </w:p>
        </w:tc>
        <w:tc>
          <w:tcPr>
            <w:tcW w:w="773" w:type="pct"/>
            <w:vAlign w:val="center"/>
          </w:tcPr>
          <w:p w14:paraId="32A0F28D">
            <w:pPr>
              <w:keepNext w:val="0"/>
              <w:keepLines w:val="0"/>
              <w:widowControl/>
              <w:suppressLineNumbers w:val="0"/>
              <w:jc w:val="center"/>
              <w:textAlignment w:val="bottom"/>
              <w:rPr>
                <w:b/>
                <w:szCs w:val="21"/>
                <w:highlight w:val="yellow"/>
              </w:rPr>
            </w:pPr>
            <w:r>
              <w:rPr>
                <w:rFonts w:hint="default" w:ascii="Times New Roman" w:hAnsi="Times New Roman" w:eastAsia="宋体" w:cs="Times New Roman"/>
                <w:i w:val="0"/>
                <w:iCs w:val="0"/>
                <w:color w:val="000000"/>
                <w:kern w:val="0"/>
                <w:sz w:val="21"/>
                <w:szCs w:val="21"/>
                <w:u w:val="none"/>
                <w:lang w:val="en-US" w:eastAsia="zh-CN" w:bidi="ar"/>
              </w:rPr>
              <w:t>0.039</w:t>
            </w:r>
          </w:p>
        </w:tc>
        <w:tc>
          <w:tcPr>
            <w:tcW w:w="647" w:type="pct"/>
            <w:vAlign w:val="center"/>
          </w:tcPr>
          <w:p w14:paraId="21E62F89">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0.035</w:t>
            </w:r>
          </w:p>
        </w:tc>
        <w:tc>
          <w:tcPr>
            <w:tcW w:w="647" w:type="pct"/>
            <w:vAlign w:val="center"/>
          </w:tcPr>
          <w:p w14:paraId="75E0F1DC">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0.447</w:t>
            </w:r>
          </w:p>
        </w:tc>
        <w:tc>
          <w:tcPr>
            <w:tcW w:w="647" w:type="pct"/>
            <w:vAlign w:val="center"/>
          </w:tcPr>
          <w:p w14:paraId="39C5A14D">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0.451</w:t>
            </w:r>
          </w:p>
        </w:tc>
        <w:tc>
          <w:tcPr>
            <w:tcW w:w="647" w:type="pct"/>
            <w:vAlign w:val="center"/>
          </w:tcPr>
          <w:p w14:paraId="5F468662">
            <w:pPr>
              <w:keepNext w:val="0"/>
              <w:keepLines w:val="0"/>
              <w:widowControl/>
              <w:suppressLineNumbers w:val="0"/>
              <w:jc w:val="center"/>
              <w:textAlignment w:val="bottom"/>
              <w:rPr>
                <w:szCs w:val="21"/>
              </w:rPr>
            </w:pPr>
            <w:r>
              <w:rPr>
                <w:rFonts w:hint="eastAsia"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0.412</w:t>
            </w:r>
          </w:p>
        </w:tc>
      </w:tr>
      <w:tr w14:paraId="621755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88" w:type="pct"/>
            <w:vMerge w:val="continue"/>
            <w:shd w:val="clear" w:color="auto" w:fill="auto"/>
            <w:vAlign w:val="center"/>
          </w:tcPr>
          <w:p w14:paraId="3AB6C468">
            <w:pPr>
              <w:widowControl/>
              <w:spacing w:line="240" w:lineRule="exact"/>
              <w:jc w:val="center"/>
              <w:rPr>
                <w:rFonts w:eastAsia="仿宋_GB2312"/>
                <w:kern w:val="0"/>
                <w:szCs w:val="21"/>
                <w:highlight w:val="yellow"/>
              </w:rPr>
            </w:pPr>
          </w:p>
        </w:tc>
        <w:tc>
          <w:tcPr>
            <w:tcW w:w="1147" w:type="pct"/>
            <w:shd w:val="clear" w:color="auto" w:fill="auto"/>
            <w:tcMar>
              <w:top w:w="15" w:type="dxa"/>
              <w:left w:w="15" w:type="dxa"/>
              <w:bottom w:w="0" w:type="dxa"/>
              <w:right w:w="15" w:type="dxa"/>
            </w:tcMar>
            <w:vAlign w:val="center"/>
          </w:tcPr>
          <w:p w14:paraId="3630C3D1">
            <w:pPr>
              <w:widowControl/>
              <w:spacing w:line="240" w:lineRule="exact"/>
              <w:jc w:val="center"/>
              <w:rPr>
                <w:rFonts w:eastAsia="仿宋_GB2312"/>
                <w:kern w:val="0"/>
                <w:szCs w:val="21"/>
                <w:highlight w:val="yellow"/>
              </w:rPr>
            </w:pPr>
            <w:r>
              <w:rPr>
                <w:rFonts w:eastAsia="仿宋_GB2312"/>
                <w:kern w:val="0"/>
                <w:szCs w:val="21"/>
              </w:rPr>
              <w:t>丙二醇</w:t>
            </w:r>
          </w:p>
        </w:tc>
        <w:tc>
          <w:tcPr>
            <w:tcW w:w="773" w:type="pct"/>
            <w:vAlign w:val="center"/>
          </w:tcPr>
          <w:p w14:paraId="58FCC292">
            <w:pPr>
              <w:keepNext w:val="0"/>
              <w:keepLines w:val="0"/>
              <w:widowControl/>
              <w:suppressLineNumbers w:val="0"/>
              <w:jc w:val="center"/>
              <w:textAlignment w:val="bottom"/>
              <w:rPr>
                <w:b/>
                <w:szCs w:val="21"/>
                <w:highlight w:val="yellow"/>
              </w:rPr>
            </w:pPr>
            <w:r>
              <w:rPr>
                <w:rFonts w:hint="default" w:ascii="Times New Roman" w:hAnsi="Times New Roman" w:eastAsia="宋体" w:cs="Times New Roman"/>
                <w:i w:val="0"/>
                <w:iCs w:val="0"/>
                <w:color w:val="000000"/>
                <w:kern w:val="0"/>
                <w:sz w:val="21"/>
                <w:szCs w:val="21"/>
                <w:u w:val="none"/>
                <w:lang w:val="en-US" w:eastAsia="zh-CN" w:bidi="ar"/>
              </w:rPr>
              <w:t>0.0283</w:t>
            </w:r>
          </w:p>
        </w:tc>
        <w:tc>
          <w:tcPr>
            <w:tcW w:w="647" w:type="pct"/>
            <w:vAlign w:val="center"/>
          </w:tcPr>
          <w:p w14:paraId="0D17A5C8">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647" w:type="pct"/>
            <w:vAlign w:val="center"/>
          </w:tcPr>
          <w:p w14:paraId="02B2F1E0">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647" w:type="pct"/>
            <w:vAlign w:val="center"/>
          </w:tcPr>
          <w:p w14:paraId="45339766">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0.0283</w:t>
            </w:r>
          </w:p>
        </w:tc>
        <w:tc>
          <w:tcPr>
            <w:tcW w:w="647" w:type="pct"/>
            <w:vAlign w:val="center"/>
          </w:tcPr>
          <w:p w14:paraId="70354214">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w:t>
            </w:r>
          </w:p>
        </w:tc>
      </w:tr>
      <w:tr w14:paraId="3F58321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88" w:type="pct"/>
            <w:vMerge w:val="continue"/>
            <w:shd w:val="clear" w:color="auto" w:fill="auto"/>
            <w:vAlign w:val="center"/>
          </w:tcPr>
          <w:p w14:paraId="6D1759BD">
            <w:pPr>
              <w:widowControl/>
              <w:spacing w:line="240" w:lineRule="exact"/>
              <w:jc w:val="center"/>
              <w:rPr>
                <w:rFonts w:eastAsia="仿宋_GB2312"/>
                <w:kern w:val="0"/>
                <w:szCs w:val="21"/>
                <w:highlight w:val="yellow"/>
              </w:rPr>
            </w:pPr>
          </w:p>
        </w:tc>
        <w:tc>
          <w:tcPr>
            <w:tcW w:w="1147" w:type="pct"/>
            <w:shd w:val="clear" w:color="auto" w:fill="auto"/>
            <w:tcMar>
              <w:top w:w="15" w:type="dxa"/>
              <w:left w:w="15" w:type="dxa"/>
              <w:bottom w:w="0" w:type="dxa"/>
              <w:right w:w="15" w:type="dxa"/>
            </w:tcMar>
            <w:vAlign w:val="center"/>
          </w:tcPr>
          <w:p w14:paraId="361FD23A">
            <w:pPr>
              <w:widowControl/>
              <w:spacing w:line="240" w:lineRule="exact"/>
              <w:jc w:val="center"/>
              <w:rPr>
                <w:rFonts w:eastAsia="仿宋_GB2312"/>
                <w:kern w:val="0"/>
                <w:szCs w:val="21"/>
                <w:highlight w:val="yellow"/>
              </w:rPr>
            </w:pPr>
            <w:r>
              <w:rPr>
                <w:rFonts w:eastAsia="仿宋_GB2312"/>
                <w:kern w:val="0"/>
                <w:szCs w:val="21"/>
              </w:rPr>
              <w:t>醋酸</w:t>
            </w:r>
          </w:p>
        </w:tc>
        <w:tc>
          <w:tcPr>
            <w:tcW w:w="773" w:type="pct"/>
            <w:vAlign w:val="center"/>
          </w:tcPr>
          <w:p w14:paraId="39BA97B6">
            <w:pPr>
              <w:keepNext w:val="0"/>
              <w:keepLines w:val="0"/>
              <w:widowControl/>
              <w:suppressLineNumbers w:val="0"/>
              <w:jc w:val="center"/>
              <w:textAlignment w:val="bottom"/>
              <w:rPr>
                <w:b/>
                <w:szCs w:val="21"/>
                <w:highlight w:val="yellow"/>
              </w:rPr>
            </w:pPr>
            <w:r>
              <w:rPr>
                <w:rFonts w:hint="default" w:ascii="Times New Roman" w:hAnsi="Times New Roman" w:eastAsia="宋体" w:cs="Times New Roman"/>
                <w:i w:val="0"/>
                <w:iCs w:val="0"/>
                <w:color w:val="000000"/>
                <w:kern w:val="0"/>
                <w:sz w:val="21"/>
                <w:szCs w:val="21"/>
                <w:u w:val="none"/>
                <w:lang w:val="en-US" w:eastAsia="zh-CN" w:bidi="ar"/>
              </w:rPr>
              <w:t>0.009</w:t>
            </w:r>
          </w:p>
        </w:tc>
        <w:tc>
          <w:tcPr>
            <w:tcW w:w="647" w:type="pct"/>
            <w:vAlign w:val="center"/>
          </w:tcPr>
          <w:p w14:paraId="2C302E0C">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647" w:type="pct"/>
            <w:vAlign w:val="center"/>
          </w:tcPr>
          <w:p w14:paraId="0A93A75C">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647" w:type="pct"/>
            <w:vAlign w:val="center"/>
          </w:tcPr>
          <w:p w14:paraId="390DEB3A">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0.009</w:t>
            </w:r>
          </w:p>
        </w:tc>
        <w:tc>
          <w:tcPr>
            <w:tcW w:w="647" w:type="pct"/>
            <w:vAlign w:val="center"/>
          </w:tcPr>
          <w:p w14:paraId="2D88B537">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w:t>
            </w:r>
          </w:p>
        </w:tc>
      </w:tr>
      <w:tr w14:paraId="24EBA4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88" w:type="pct"/>
            <w:vMerge w:val="continue"/>
            <w:shd w:val="clear" w:color="auto" w:fill="auto"/>
            <w:vAlign w:val="center"/>
          </w:tcPr>
          <w:p w14:paraId="6250E730">
            <w:pPr>
              <w:widowControl/>
              <w:spacing w:line="240" w:lineRule="exact"/>
              <w:jc w:val="center"/>
              <w:rPr>
                <w:rFonts w:eastAsia="仿宋_GB2312"/>
                <w:kern w:val="0"/>
                <w:szCs w:val="21"/>
                <w:highlight w:val="yellow"/>
              </w:rPr>
            </w:pPr>
          </w:p>
        </w:tc>
        <w:tc>
          <w:tcPr>
            <w:tcW w:w="1147" w:type="pct"/>
            <w:shd w:val="clear" w:color="auto" w:fill="auto"/>
            <w:tcMar>
              <w:top w:w="15" w:type="dxa"/>
              <w:left w:w="15" w:type="dxa"/>
              <w:bottom w:w="0" w:type="dxa"/>
              <w:right w:w="15" w:type="dxa"/>
            </w:tcMar>
            <w:vAlign w:val="center"/>
          </w:tcPr>
          <w:p w14:paraId="716190E1">
            <w:pPr>
              <w:widowControl/>
              <w:spacing w:line="240" w:lineRule="exact"/>
              <w:jc w:val="center"/>
              <w:rPr>
                <w:rFonts w:eastAsia="仿宋_GB2312"/>
                <w:kern w:val="0"/>
                <w:szCs w:val="21"/>
                <w:highlight w:val="yellow"/>
              </w:rPr>
            </w:pPr>
            <w:r>
              <w:rPr>
                <w:rFonts w:eastAsia="仿宋_GB2312"/>
                <w:kern w:val="0"/>
                <w:szCs w:val="21"/>
              </w:rPr>
              <w:t>己烷</w:t>
            </w:r>
          </w:p>
        </w:tc>
        <w:tc>
          <w:tcPr>
            <w:tcW w:w="773" w:type="pct"/>
            <w:vAlign w:val="center"/>
          </w:tcPr>
          <w:p w14:paraId="0DE5D695">
            <w:pPr>
              <w:keepNext w:val="0"/>
              <w:keepLines w:val="0"/>
              <w:widowControl/>
              <w:suppressLineNumbers w:val="0"/>
              <w:jc w:val="center"/>
              <w:textAlignment w:val="bottom"/>
              <w:rPr>
                <w:b/>
                <w:szCs w:val="21"/>
                <w:highlight w:val="yellow"/>
              </w:rPr>
            </w:pPr>
            <w:r>
              <w:rPr>
                <w:rFonts w:hint="default" w:ascii="Times New Roman" w:hAnsi="Times New Roman" w:eastAsia="宋体" w:cs="Times New Roman"/>
                <w:i w:val="0"/>
                <w:iCs w:val="0"/>
                <w:color w:val="000000"/>
                <w:kern w:val="0"/>
                <w:sz w:val="21"/>
                <w:szCs w:val="21"/>
                <w:u w:val="none"/>
                <w:lang w:val="en-US" w:eastAsia="zh-CN" w:bidi="ar"/>
              </w:rPr>
              <w:t>0.011</w:t>
            </w:r>
          </w:p>
        </w:tc>
        <w:tc>
          <w:tcPr>
            <w:tcW w:w="647" w:type="pct"/>
            <w:vAlign w:val="center"/>
          </w:tcPr>
          <w:p w14:paraId="766CC995">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647" w:type="pct"/>
            <w:vAlign w:val="center"/>
          </w:tcPr>
          <w:p w14:paraId="5C9F446A">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0.011</w:t>
            </w:r>
          </w:p>
        </w:tc>
        <w:tc>
          <w:tcPr>
            <w:tcW w:w="647" w:type="pct"/>
            <w:vAlign w:val="center"/>
          </w:tcPr>
          <w:p w14:paraId="32168382">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0.022</w:t>
            </w:r>
          </w:p>
        </w:tc>
        <w:tc>
          <w:tcPr>
            <w:tcW w:w="647" w:type="pct"/>
            <w:vAlign w:val="center"/>
          </w:tcPr>
          <w:p w14:paraId="745F1774">
            <w:pPr>
              <w:keepNext w:val="0"/>
              <w:keepLines w:val="0"/>
              <w:widowControl/>
              <w:suppressLineNumbers w:val="0"/>
              <w:jc w:val="center"/>
              <w:textAlignment w:val="bottom"/>
              <w:rPr>
                <w:szCs w:val="21"/>
              </w:rPr>
            </w:pPr>
            <w:r>
              <w:rPr>
                <w:rFonts w:hint="eastAsia"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0.011</w:t>
            </w:r>
          </w:p>
        </w:tc>
      </w:tr>
      <w:tr w14:paraId="7529D9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88" w:type="pct"/>
            <w:vMerge w:val="continue"/>
            <w:shd w:val="clear" w:color="auto" w:fill="auto"/>
            <w:vAlign w:val="center"/>
          </w:tcPr>
          <w:p w14:paraId="60B7D6E8">
            <w:pPr>
              <w:widowControl/>
              <w:spacing w:line="240" w:lineRule="exact"/>
              <w:jc w:val="center"/>
              <w:rPr>
                <w:rFonts w:eastAsia="仿宋_GB2312"/>
                <w:kern w:val="0"/>
                <w:szCs w:val="21"/>
                <w:highlight w:val="yellow"/>
              </w:rPr>
            </w:pPr>
          </w:p>
        </w:tc>
        <w:tc>
          <w:tcPr>
            <w:tcW w:w="1147" w:type="pct"/>
            <w:shd w:val="clear" w:color="auto" w:fill="auto"/>
            <w:tcMar>
              <w:top w:w="15" w:type="dxa"/>
              <w:left w:w="15" w:type="dxa"/>
              <w:bottom w:w="0" w:type="dxa"/>
              <w:right w:w="15" w:type="dxa"/>
            </w:tcMar>
            <w:vAlign w:val="center"/>
          </w:tcPr>
          <w:p w14:paraId="237B3794">
            <w:pPr>
              <w:widowControl/>
              <w:spacing w:line="240" w:lineRule="exact"/>
              <w:jc w:val="center"/>
              <w:rPr>
                <w:rFonts w:eastAsia="仿宋_GB2312"/>
                <w:kern w:val="0"/>
                <w:szCs w:val="21"/>
                <w:highlight w:val="yellow"/>
              </w:rPr>
            </w:pPr>
            <w:r>
              <w:rPr>
                <w:rFonts w:eastAsia="仿宋_GB2312"/>
                <w:kern w:val="0"/>
                <w:szCs w:val="21"/>
              </w:rPr>
              <w:t>正庚烷</w:t>
            </w:r>
          </w:p>
        </w:tc>
        <w:tc>
          <w:tcPr>
            <w:tcW w:w="773" w:type="pct"/>
            <w:vAlign w:val="center"/>
          </w:tcPr>
          <w:p w14:paraId="501CD89C">
            <w:pPr>
              <w:keepNext w:val="0"/>
              <w:keepLines w:val="0"/>
              <w:widowControl/>
              <w:suppressLineNumbers w:val="0"/>
              <w:jc w:val="center"/>
              <w:textAlignment w:val="bottom"/>
              <w:rPr>
                <w:b/>
                <w:szCs w:val="21"/>
                <w:highlight w:val="yellow"/>
              </w:rPr>
            </w:pPr>
            <w:r>
              <w:rPr>
                <w:rFonts w:hint="default" w:ascii="Times New Roman" w:hAnsi="Times New Roman" w:eastAsia="宋体" w:cs="Times New Roman"/>
                <w:i w:val="0"/>
                <w:iCs w:val="0"/>
                <w:color w:val="000000"/>
                <w:kern w:val="0"/>
                <w:sz w:val="21"/>
                <w:szCs w:val="21"/>
                <w:u w:val="none"/>
                <w:lang w:val="en-US" w:eastAsia="zh-CN" w:bidi="ar"/>
              </w:rPr>
              <w:t>0.036</w:t>
            </w:r>
          </w:p>
        </w:tc>
        <w:tc>
          <w:tcPr>
            <w:tcW w:w="647" w:type="pct"/>
            <w:vAlign w:val="center"/>
          </w:tcPr>
          <w:p w14:paraId="2A9CBAFF">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0.028</w:t>
            </w:r>
          </w:p>
        </w:tc>
        <w:tc>
          <w:tcPr>
            <w:tcW w:w="647" w:type="pct"/>
            <w:vAlign w:val="center"/>
          </w:tcPr>
          <w:p w14:paraId="4E6CBEAE">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647" w:type="pct"/>
            <w:vAlign w:val="center"/>
          </w:tcPr>
          <w:p w14:paraId="2362B9A1">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0.008</w:t>
            </w:r>
          </w:p>
        </w:tc>
        <w:tc>
          <w:tcPr>
            <w:tcW w:w="647" w:type="pct"/>
            <w:vAlign w:val="center"/>
          </w:tcPr>
          <w:p w14:paraId="2C1809DF">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-0.028</w:t>
            </w:r>
          </w:p>
        </w:tc>
      </w:tr>
      <w:tr w14:paraId="3BA8F11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88" w:type="pct"/>
            <w:vMerge w:val="continue"/>
            <w:shd w:val="clear" w:color="auto" w:fill="auto"/>
            <w:vAlign w:val="center"/>
          </w:tcPr>
          <w:p w14:paraId="19A71E21">
            <w:pPr>
              <w:widowControl/>
              <w:spacing w:line="240" w:lineRule="exact"/>
              <w:jc w:val="center"/>
              <w:rPr>
                <w:rFonts w:eastAsia="仿宋_GB2312"/>
                <w:kern w:val="0"/>
                <w:szCs w:val="21"/>
                <w:highlight w:val="yellow"/>
              </w:rPr>
            </w:pPr>
          </w:p>
        </w:tc>
        <w:tc>
          <w:tcPr>
            <w:tcW w:w="1147" w:type="pct"/>
            <w:shd w:val="clear" w:color="auto" w:fill="auto"/>
            <w:tcMar>
              <w:top w:w="15" w:type="dxa"/>
              <w:left w:w="15" w:type="dxa"/>
              <w:bottom w:w="0" w:type="dxa"/>
              <w:right w:w="15" w:type="dxa"/>
            </w:tcMar>
            <w:vAlign w:val="center"/>
          </w:tcPr>
          <w:p w14:paraId="3DAD3DB6">
            <w:pPr>
              <w:widowControl/>
              <w:spacing w:line="240" w:lineRule="exact"/>
              <w:jc w:val="center"/>
              <w:rPr>
                <w:rFonts w:eastAsia="仿宋_GB2312"/>
                <w:kern w:val="0"/>
                <w:szCs w:val="21"/>
                <w:highlight w:val="yellow"/>
              </w:rPr>
            </w:pPr>
            <w:r>
              <w:rPr>
                <w:rFonts w:eastAsia="仿宋_GB2312"/>
                <w:kern w:val="0"/>
                <w:szCs w:val="21"/>
              </w:rPr>
              <w:t>乙酸乙酯</w:t>
            </w:r>
          </w:p>
        </w:tc>
        <w:tc>
          <w:tcPr>
            <w:tcW w:w="773" w:type="pct"/>
            <w:vAlign w:val="center"/>
          </w:tcPr>
          <w:p w14:paraId="6041E884">
            <w:pPr>
              <w:keepNext w:val="0"/>
              <w:keepLines w:val="0"/>
              <w:widowControl/>
              <w:suppressLineNumbers w:val="0"/>
              <w:jc w:val="center"/>
              <w:textAlignment w:val="bottom"/>
              <w:rPr>
                <w:b/>
                <w:szCs w:val="21"/>
                <w:highlight w:val="yellow"/>
              </w:rPr>
            </w:pPr>
            <w:r>
              <w:rPr>
                <w:rFonts w:hint="default" w:ascii="Times New Roman" w:hAnsi="Times New Roman" w:eastAsia="宋体" w:cs="Times New Roman"/>
                <w:i w:val="0"/>
                <w:iCs w:val="0"/>
                <w:color w:val="000000"/>
                <w:kern w:val="0"/>
                <w:sz w:val="21"/>
                <w:szCs w:val="21"/>
                <w:u w:val="none"/>
                <w:lang w:val="en-US" w:eastAsia="zh-CN" w:bidi="ar"/>
              </w:rPr>
              <w:t>0.296</w:t>
            </w:r>
          </w:p>
        </w:tc>
        <w:tc>
          <w:tcPr>
            <w:tcW w:w="647" w:type="pct"/>
            <w:vAlign w:val="center"/>
          </w:tcPr>
          <w:p w14:paraId="08C0986F">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0.083</w:t>
            </w:r>
          </w:p>
        </w:tc>
        <w:tc>
          <w:tcPr>
            <w:tcW w:w="647" w:type="pct"/>
            <w:vAlign w:val="center"/>
          </w:tcPr>
          <w:p w14:paraId="6041C6F5">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0.0835</w:t>
            </w:r>
          </w:p>
        </w:tc>
        <w:tc>
          <w:tcPr>
            <w:tcW w:w="647" w:type="pct"/>
            <w:vAlign w:val="center"/>
          </w:tcPr>
          <w:p w14:paraId="5EAEC777">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0.2965</w:t>
            </w:r>
          </w:p>
        </w:tc>
        <w:tc>
          <w:tcPr>
            <w:tcW w:w="647" w:type="pct"/>
            <w:vAlign w:val="center"/>
          </w:tcPr>
          <w:p w14:paraId="04DEE542">
            <w:pPr>
              <w:keepNext w:val="0"/>
              <w:keepLines w:val="0"/>
              <w:widowControl/>
              <w:suppressLineNumbers w:val="0"/>
              <w:jc w:val="center"/>
              <w:textAlignment w:val="bottom"/>
              <w:rPr>
                <w:szCs w:val="21"/>
              </w:rPr>
            </w:pPr>
            <w:r>
              <w:rPr>
                <w:rFonts w:hint="eastAsia"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0.0005</w:t>
            </w:r>
          </w:p>
        </w:tc>
      </w:tr>
      <w:tr w14:paraId="05D740B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88" w:type="pct"/>
            <w:vMerge w:val="continue"/>
            <w:shd w:val="clear" w:color="auto" w:fill="auto"/>
            <w:vAlign w:val="center"/>
          </w:tcPr>
          <w:p w14:paraId="503C84B6">
            <w:pPr>
              <w:widowControl/>
              <w:spacing w:line="240" w:lineRule="exact"/>
              <w:jc w:val="center"/>
              <w:rPr>
                <w:rFonts w:eastAsia="仿宋_GB2312"/>
                <w:kern w:val="0"/>
                <w:szCs w:val="21"/>
                <w:highlight w:val="yellow"/>
              </w:rPr>
            </w:pPr>
          </w:p>
        </w:tc>
        <w:tc>
          <w:tcPr>
            <w:tcW w:w="1147" w:type="pct"/>
            <w:shd w:val="clear" w:color="auto" w:fill="auto"/>
            <w:tcMar>
              <w:top w:w="15" w:type="dxa"/>
              <w:left w:w="15" w:type="dxa"/>
              <w:bottom w:w="0" w:type="dxa"/>
              <w:right w:w="15" w:type="dxa"/>
            </w:tcMar>
            <w:vAlign w:val="center"/>
          </w:tcPr>
          <w:p w14:paraId="79E1CDD5">
            <w:pPr>
              <w:widowControl/>
              <w:spacing w:line="240" w:lineRule="exact"/>
              <w:jc w:val="center"/>
              <w:rPr>
                <w:rFonts w:eastAsia="仿宋_GB2312"/>
                <w:kern w:val="0"/>
                <w:szCs w:val="21"/>
                <w:highlight w:val="yellow"/>
              </w:rPr>
            </w:pPr>
            <w:r>
              <w:rPr>
                <w:rFonts w:eastAsia="仿宋_GB2312"/>
                <w:kern w:val="0"/>
                <w:szCs w:val="21"/>
              </w:rPr>
              <w:t>石油醚</w:t>
            </w:r>
          </w:p>
        </w:tc>
        <w:tc>
          <w:tcPr>
            <w:tcW w:w="773" w:type="pct"/>
            <w:vAlign w:val="center"/>
          </w:tcPr>
          <w:p w14:paraId="2EA259F4">
            <w:pPr>
              <w:keepNext w:val="0"/>
              <w:keepLines w:val="0"/>
              <w:widowControl/>
              <w:suppressLineNumbers w:val="0"/>
              <w:jc w:val="center"/>
              <w:textAlignment w:val="bottom"/>
              <w:rPr>
                <w:b/>
                <w:szCs w:val="21"/>
                <w:highlight w:val="yellow"/>
              </w:rPr>
            </w:pPr>
            <w:r>
              <w:rPr>
                <w:rFonts w:hint="default" w:ascii="Times New Roman" w:hAnsi="Times New Roman" w:eastAsia="宋体" w:cs="Times New Roman"/>
                <w:i w:val="0"/>
                <w:iCs w:val="0"/>
                <w:color w:val="000000"/>
                <w:kern w:val="0"/>
                <w:sz w:val="21"/>
                <w:szCs w:val="21"/>
                <w:u w:val="none"/>
                <w:lang w:val="en-US" w:eastAsia="zh-CN" w:bidi="ar"/>
              </w:rPr>
              <w:t>0.004</w:t>
            </w:r>
          </w:p>
        </w:tc>
        <w:tc>
          <w:tcPr>
            <w:tcW w:w="647" w:type="pct"/>
            <w:vAlign w:val="center"/>
          </w:tcPr>
          <w:p w14:paraId="55B28ACC">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647" w:type="pct"/>
            <w:vAlign w:val="center"/>
          </w:tcPr>
          <w:p w14:paraId="6C0E52F5">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647" w:type="pct"/>
            <w:vAlign w:val="center"/>
          </w:tcPr>
          <w:p w14:paraId="49582B61">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0.004</w:t>
            </w:r>
          </w:p>
        </w:tc>
        <w:tc>
          <w:tcPr>
            <w:tcW w:w="647" w:type="pct"/>
            <w:vAlign w:val="center"/>
          </w:tcPr>
          <w:p w14:paraId="6E8BE9F7">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w:t>
            </w:r>
          </w:p>
        </w:tc>
      </w:tr>
      <w:tr w14:paraId="6CD38D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88" w:type="pct"/>
            <w:vMerge w:val="continue"/>
            <w:shd w:val="clear" w:color="auto" w:fill="auto"/>
            <w:vAlign w:val="center"/>
          </w:tcPr>
          <w:p w14:paraId="6F20043C">
            <w:pPr>
              <w:widowControl/>
              <w:spacing w:line="240" w:lineRule="exact"/>
              <w:jc w:val="center"/>
              <w:rPr>
                <w:rFonts w:eastAsia="仿宋_GB2312"/>
                <w:kern w:val="0"/>
                <w:szCs w:val="21"/>
                <w:highlight w:val="yellow"/>
              </w:rPr>
            </w:pPr>
          </w:p>
        </w:tc>
        <w:tc>
          <w:tcPr>
            <w:tcW w:w="1147" w:type="pct"/>
            <w:shd w:val="clear" w:color="auto" w:fill="auto"/>
            <w:tcMar>
              <w:top w:w="15" w:type="dxa"/>
              <w:left w:w="15" w:type="dxa"/>
              <w:bottom w:w="0" w:type="dxa"/>
              <w:right w:w="15" w:type="dxa"/>
            </w:tcMar>
            <w:vAlign w:val="center"/>
          </w:tcPr>
          <w:p w14:paraId="6D574D49">
            <w:pPr>
              <w:widowControl/>
              <w:spacing w:line="240" w:lineRule="exact"/>
              <w:jc w:val="center"/>
              <w:rPr>
                <w:rFonts w:eastAsia="仿宋_GB2312"/>
                <w:kern w:val="0"/>
                <w:szCs w:val="21"/>
                <w:highlight w:val="yellow"/>
              </w:rPr>
            </w:pPr>
            <w:r>
              <w:rPr>
                <w:rFonts w:eastAsia="仿宋_GB2312"/>
                <w:kern w:val="0"/>
                <w:szCs w:val="21"/>
              </w:rPr>
              <w:t>甲苯</w:t>
            </w:r>
          </w:p>
        </w:tc>
        <w:tc>
          <w:tcPr>
            <w:tcW w:w="773" w:type="pct"/>
            <w:vAlign w:val="center"/>
          </w:tcPr>
          <w:p w14:paraId="596ABEE1">
            <w:pPr>
              <w:keepNext w:val="0"/>
              <w:keepLines w:val="0"/>
              <w:widowControl/>
              <w:suppressLineNumbers w:val="0"/>
              <w:jc w:val="center"/>
              <w:textAlignment w:val="bottom"/>
              <w:rPr>
                <w:b/>
                <w:szCs w:val="21"/>
                <w:highlight w:val="yellow"/>
              </w:rPr>
            </w:pPr>
            <w:r>
              <w:rPr>
                <w:rFonts w:hint="default" w:ascii="Times New Roman" w:hAnsi="Times New Roman" w:eastAsia="宋体" w:cs="Times New Roman"/>
                <w:i w:val="0"/>
                <w:iCs w:val="0"/>
                <w:color w:val="000000"/>
                <w:kern w:val="0"/>
                <w:sz w:val="21"/>
                <w:szCs w:val="21"/>
                <w:u w:val="none"/>
                <w:lang w:val="en-US" w:eastAsia="zh-CN" w:bidi="ar"/>
              </w:rPr>
              <w:t>0.271</w:t>
            </w:r>
          </w:p>
        </w:tc>
        <w:tc>
          <w:tcPr>
            <w:tcW w:w="647" w:type="pct"/>
            <w:vAlign w:val="center"/>
          </w:tcPr>
          <w:p w14:paraId="0A0FDCB1">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0.06</w:t>
            </w:r>
          </w:p>
        </w:tc>
        <w:tc>
          <w:tcPr>
            <w:tcW w:w="647" w:type="pct"/>
            <w:vAlign w:val="center"/>
          </w:tcPr>
          <w:p w14:paraId="5CC8FB62">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0.0676</w:t>
            </w:r>
          </w:p>
        </w:tc>
        <w:tc>
          <w:tcPr>
            <w:tcW w:w="647" w:type="pct"/>
            <w:vAlign w:val="center"/>
          </w:tcPr>
          <w:p w14:paraId="745B1F38">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0.2786</w:t>
            </w:r>
          </w:p>
        </w:tc>
        <w:tc>
          <w:tcPr>
            <w:tcW w:w="647" w:type="pct"/>
            <w:vAlign w:val="center"/>
          </w:tcPr>
          <w:p w14:paraId="4D00E57F">
            <w:pPr>
              <w:keepNext w:val="0"/>
              <w:keepLines w:val="0"/>
              <w:widowControl/>
              <w:suppressLineNumbers w:val="0"/>
              <w:jc w:val="center"/>
              <w:textAlignment w:val="bottom"/>
              <w:rPr>
                <w:szCs w:val="21"/>
              </w:rPr>
            </w:pPr>
            <w:r>
              <w:rPr>
                <w:rFonts w:hint="eastAsia"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0.0076</w:t>
            </w:r>
          </w:p>
        </w:tc>
      </w:tr>
      <w:tr w14:paraId="04D4948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88" w:type="pct"/>
            <w:vMerge w:val="continue"/>
            <w:shd w:val="clear" w:color="auto" w:fill="auto"/>
            <w:vAlign w:val="center"/>
          </w:tcPr>
          <w:p w14:paraId="3BFC1DFD">
            <w:pPr>
              <w:widowControl/>
              <w:spacing w:line="240" w:lineRule="exact"/>
              <w:jc w:val="center"/>
              <w:rPr>
                <w:rFonts w:eastAsia="仿宋_GB2312"/>
                <w:kern w:val="0"/>
                <w:szCs w:val="21"/>
                <w:highlight w:val="yellow"/>
              </w:rPr>
            </w:pPr>
          </w:p>
        </w:tc>
        <w:tc>
          <w:tcPr>
            <w:tcW w:w="1147" w:type="pct"/>
            <w:shd w:val="clear" w:color="auto" w:fill="auto"/>
            <w:tcMar>
              <w:top w:w="15" w:type="dxa"/>
              <w:left w:w="15" w:type="dxa"/>
              <w:bottom w:w="0" w:type="dxa"/>
              <w:right w:w="15" w:type="dxa"/>
            </w:tcMar>
            <w:vAlign w:val="center"/>
          </w:tcPr>
          <w:p w14:paraId="7F96195F">
            <w:pPr>
              <w:widowControl/>
              <w:spacing w:line="240" w:lineRule="exact"/>
              <w:jc w:val="center"/>
              <w:rPr>
                <w:rFonts w:eastAsia="仿宋_GB2312"/>
                <w:kern w:val="0"/>
                <w:szCs w:val="21"/>
                <w:highlight w:val="yellow"/>
              </w:rPr>
            </w:pPr>
            <w:r>
              <w:rPr>
                <w:rFonts w:eastAsia="仿宋_GB2312"/>
                <w:kern w:val="0"/>
                <w:szCs w:val="21"/>
              </w:rPr>
              <w:t>二甲苯</w:t>
            </w:r>
          </w:p>
        </w:tc>
        <w:tc>
          <w:tcPr>
            <w:tcW w:w="773" w:type="pct"/>
            <w:vAlign w:val="center"/>
          </w:tcPr>
          <w:p w14:paraId="285A63CA">
            <w:pPr>
              <w:keepNext w:val="0"/>
              <w:keepLines w:val="0"/>
              <w:widowControl/>
              <w:suppressLineNumbers w:val="0"/>
              <w:jc w:val="center"/>
              <w:textAlignment w:val="bottom"/>
              <w:rPr>
                <w:b/>
                <w:szCs w:val="21"/>
                <w:highlight w:val="yellow"/>
              </w:rPr>
            </w:pPr>
            <w:r>
              <w:rPr>
                <w:rFonts w:hint="default" w:ascii="Times New Roman" w:hAnsi="Times New Roman" w:eastAsia="宋体" w:cs="Times New Roman"/>
                <w:i w:val="0"/>
                <w:iCs w:val="0"/>
                <w:color w:val="000000"/>
                <w:kern w:val="0"/>
                <w:sz w:val="21"/>
                <w:szCs w:val="21"/>
                <w:u w:val="none"/>
                <w:lang w:val="en-US" w:eastAsia="zh-CN" w:bidi="ar"/>
              </w:rPr>
              <w:t>0.265</w:t>
            </w:r>
          </w:p>
        </w:tc>
        <w:tc>
          <w:tcPr>
            <w:tcW w:w="647" w:type="pct"/>
            <w:vAlign w:val="center"/>
          </w:tcPr>
          <w:p w14:paraId="7401BBEC">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0.04</w:t>
            </w:r>
          </w:p>
        </w:tc>
        <w:tc>
          <w:tcPr>
            <w:tcW w:w="647" w:type="pct"/>
            <w:vAlign w:val="center"/>
          </w:tcPr>
          <w:p w14:paraId="51503F61">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0.0182</w:t>
            </w:r>
          </w:p>
        </w:tc>
        <w:tc>
          <w:tcPr>
            <w:tcW w:w="647" w:type="pct"/>
            <w:vAlign w:val="center"/>
          </w:tcPr>
          <w:p w14:paraId="0980E88A">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0.2432</w:t>
            </w:r>
          </w:p>
        </w:tc>
        <w:tc>
          <w:tcPr>
            <w:tcW w:w="647" w:type="pct"/>
            <w:vAlign w:val="center"/>
          </w:tcPr>
          <w:p w14:paraId="09788375">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-0.0218</w:t>
            </w:r>
          </w:p>
        </w:tc>
      </w:tr>
      <w:tr w14:paraId="05BAF2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88" w:type="pct"/>
            <w:vMerge w:val="continue"/>
            <w:shd w:val="clear" w:color="auto" w:fill="auto"/>
            <w:vAlign w:val="center"/>
          </w:tcPr>
          <w:p w14:paraId="0DA2C0E2">
            <w:pPr>
              <w:widowControl/>
              <w:spacing w:line="240" w:lineRule="exact"/>
              <w:jc w:val="center"/>
              <w:rPr>
                <w:rFonts w:eastAsia="仿宋_GB2312"/>
                <w:kern w:val="0"/>
                <w:szCs w:val="21"/>
                <w:highlight w:val="yellow"/>
              </w:rPr>
            </w:pPr>
          </w:p>
        </w:tc>
        <w:tc>
          <w:tcPr>
            <w:tcW w:w="1147" w:type="pct"/>
            <w:shd w:val="clear" w:color="auto" w:fill="auto"/>
            <w:tcMar>
              <w:top w:w="15" w:type="dxa"/>
              <w:left w:w="15" w:type="dxa"/>
              <w:bottom w:w="0" w:type="dxa"/>
              <w:right w:w="15" w:type="dxa"/>
            </w:tcMar>
            <w:vAlign w:val="center"/>
          </w:tcPr>
          <w:p w14:paraId="109847F4">
            <w:pPr>
              <w:widowControl/>
              <w:spacing w:line="240" w:lineRule="exact"/>
              <w:jc w:val="center"/>
              <w:rPr>
                <w:rFonts w:eastAsia="仿宋_GB2312"/>
                <w:kern w:val="0"/>
                <w:szCs w:val="21"/>
                <w:highlight w:val="yellow"/>
              </w:rPr>
            </w:pPr>
            <w:r>
              <w:rPr>
                <w:rFonts w:eastAsia="仿宋_GB2312"/>
                <w:kern w:val="0"/>
                <w:szCs w:val="21"/>
              </w:rPr>
              <w:t>乙酸丁酯</w:t>
            </w:r>
          </w:p>
        </w:tc>
        <w:tc>
          <w:tcPr>
            <w:tcW w:w="773" w:type="pct"/>
            <w:vAlign w:val="center"/>
          </w:tcPr>
          <w:p w14:paraId="2417E1EC">
            <w:pPr>
              <w:keepNext w:val="0"/>
              <w:keepLines w:val="0"/>
              <w:widowControl/>
              <w:suppressLineNumbers w:val="0"/>
              <w:jc w:val="center"/>
              <w:textAlignment w:val="bottom"/>
              <w:rPr>
                <w:b/>
                <w:szCs w:val="21"/>
                <w:highlight w:val="yellow"/>
              </w:rPr>
            </w:pPr>
            <w:r>
              <w:rPr>
                <w:rFonts w:hint="default" w:ascii="Times New Roman" w:hAnsi="Times New Roman" w:eastAsia="宋体" w:cs="Times New Roman"/>
                <w:i w:val="0"/>
                <w:iCs w:val="0"/>
                <w:color w:val="000000"/>
                <w:kern w:val="0"/>
                <w:sz w:val="21"/>
                <w:szCs w:val="21"/>
                <w:u w:val="none"/>
                <w:lang w:val="en-US" w:eastAsia="zh-CN" w:bidi="ar"/>
              </w:rPr>
              <w:t>0.24</w:t>
            </w:r>
          </w:p>
        </w:tc>
        <w:tc>
          <w:tcPr>
            <w:tcW w:w="647" w:type="pct"/>
            <w:vAlign w:val="center"/>
          </w:tcPr>
          <w:p w14:paraId="57B49F07">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0.022</w:t>
            </w:r>
          </w:p>
        </w:tc>
        <w:tc>
          <w:tcPr>
            <w:tcW w:w="647" w:type="pct"/>
            <w:vAlign w:val="center"/>
          </w:tcPr>
          <w:p w14:paraId="480372C9">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0.089</w:t>
            </w:r>
          </w:p>
        </w:tc>
        <w:tc>
          <w:tcPr>
            <w:tcW w:w="647" w:type="pct"/>
            <w:vAlign w:val="center"/>
          </w:tcPr>
          <w:p w14:paraId="3107296B">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0.307</w:t>
            </w:r>
          </w:p>
        </w:tc>
        <w:tc>
          <w:tcPr>
            <w:tcW w:w="647" w:type="pct"/>
            <w:vAlign w:val="center"/>
          </w:tcPr>
          <w:p w14:paraId="721B6D5D">
            <w:pPr>
              <w:keepNext w:val="0"/>
              <w:keepLines w:val="0"/>
              <w:widowControl/>
              <w:suppressLineNumbers w:val="0"/>
              <w:jc w:val="center"/>
              <w:textAlignment w:val="bottom"/>
              <w:rPr>
                <w:szCs w:val="21"/>
              </w:rPr>
            </w:pPr>
            <w:r>
              <w:rPr>
                <w:rFonts w:hint="eastAsia"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0.067</w:t>
            </w:r>
          </w:p>
        </w:tc>
      </w:tr>
      <w:tr w14:paraId="1F54F8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88" w:type="pct"/>
            <w:vMerge w:val="continue"/>
            <w:shd w:val="clear" w:color="auto" w:fill="auto"/>
            <w:vAlign w:val="center"/>
          </w:tcPr>
          <w:p w14:paraId="5B75A489">
            <w:pPr>
              <w:widowControl/>
              <w:spacing w:line="240" w:lineRule="exact"/>
              <w:jc w:val="center"/>
              <w:rPr>
                <w:rFonts w:eastAsia="仿宋_GB2312"/>
                <w:kern w:val="0"/>
                <w:szCs w:val="21"/>
                <w:highlight w:val="yellow"/>
              </w:rPr>
            </w:pPr>
          </w:p>
        </w:tc>
        <w:tc>
          <w:tcPr>
            <w:tcW w:w="1147" w:type="pct"/>
            <w:shd w:val="clear" w:color="auto" w:fill="auto"/>
            <w:tcMar>
              <w:top w:w="15" w:type="dxa"/>
              <w:left w:w="15" w:type="dxa"/>
              <w:bottom w:w="0" w:type="dxa"/>
              <w:right w:w="15" w:type="dxa"/>
            </w:tcMar>
            <w:vAlign w:val="center"/>
          </w:tcPr>
          <w:p w14:paraId="65B0E1B1">
            <w:pPr>
              <w:widowControl/>
              <w:spacing w:line="240" w:lineRule="exact"/>
              <w:jc w:val="center"/>
              <w:rPr>
                <w:rFonts w:eastAsia="仿宋_GB2312"/>
                <w:kern w:val="0"/>
                <w:szCs w:val="21"/>
              </w:rPr>
            </w:pPr>
            <w:r>
              <w:rPr>
                <w:rFonts w:eastAsia="仿宋_GB2312"/>
                <w:kern w:val="0"/>
                <w:szCs w:val="21"/>
              </w:rPr>
              <w:t>二甘醇</w:t>
            </w:r>
          </w:p>
        </w:tc>
        <w:tc>
          <w:tcPr>
            <w:tcW w:w="773" w:type="pct"/>
            <w:vAlign w:val="center"/>
          </w:tcPr>
          <w:p w14:paraId="039B646B">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0.00879</w:t>
            </w:r>
          </w:p>
        </w:tc>
        <w:tc>
          <w:tcPr>
            <w:tcW w:w="647" w:type="pct"/>
            <w:vAlign w:val="center"/>
          </w:tcPr>
          <w:p w14:paraId="28D20BEC">
            <w:pPr>
              <w:keepNext w:val="0"/>
              <w:keepLines w:val="0"/>
              <w:widowControl/>
              <w:suppressLineNumbers w:val="0"/>
              <w:jc w:val="center"/>
              <w:textAlignment w:val="bottom"/>
              <w:rPr>
                <w:rFonts w:eastAsia="仿宋_GB2312"/>
                <w:kern w:val="0"/>
                <w:szCs w:val="21"/>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647" w:type="pct"/>
            <w:vAlign w:val="center"/>
          </w:tcPr>
          <w:p w14:paraId="2646E5E8">
            <w:pPr>
              <w:keepNext w:val="0"/>
              <w:keepLines w:val="0"/>
              <w:widowControl/>
              <w:suppressLineNumbers w:val="0"/>
              <w:jc w:val="center"/>
              <w:textAlignment w:val="bottom"/>
              <w:rPr>
                <w:rFonts w:eastAsia="仿宋_GB2312"/>
                <w:kern w:val="0"/>
                <w:szCs w:val="21"/>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647" w:type="pct"/>
            <w:vAlign w:val="center"/>
          </w:tcPr>
          <w:p w14:paraId="157EAA07">
            <w:pPr>
              <w:keepNext w:val="0"/>
              <w:keepLines w:val="0"/>
              <w:widowControl/>
              <w:suppressLineNumbers w:val="0"/>
              <w:jc w:val="center"/>
              <w:textAlignment w:val="bottom"/>
              <w:rPr>
                <w:rFonts w:eastAsia="仿宋_GB2312"/>
                <w:kern w:val="0"/>
                <w:szCs w:val="21"/>
              </w:rPr>
            </w:pPr>
            <w:r>
              <w:rPr>
                <w:rFonts w:hint="default" w:ascii="Times New Roman" w:hAnsi="Times New Roman" w:eastAsia="宋体" w:cs="Times New Roman"/>
                <w:i w:val="0"/>
                <w:iCs w:val="0"/>
                <w:color w:val="000000"/>
                <w:kern w:val="0"/>
                <w:sz w:val="21"/>
                <w:szCs w:val="21"/>
                <w:u w:val="none"/>
                <w:lang w:val="en-US" w:eastAsia="zh-CN" w:bidi="ar"/>
              </w:rPr>
              <w:t>0.00879</w:t>
            </w:r>
          </w:p>
        </w:tc>
        <w:tc>
          <w:tcPr>
            <w:tcW w:w="647" w:type="pct"/>
            <w:vAlign w:val="center"/>
          </w:tcPr>
          <w:p w14:paraId="7DC41D35">
            <w:pPr>
              <w:keepNext w:val="0"/>
              <w:keepLines w:val="0"/>
              <w:widowControl/>
              <w:suppressLineNumbers w:val="0"/>
              <w:jc w:val="center"/>
              <w:textAlignment w:val="bottom"/>
              <w:rPr>
                <w:rFonts w:eastAsia="仿宋_GB2312"/>
                <w:kern w:val="0"/>
                <w:szCs w:val="21"/>
              </w:rPr>
            </w:pPr>
            <w:r>
              <w:rPr>
                <w:rFonts w:hint="default" w:ascii="Times New Roman" w:hAnsi="Times New Roman" w:eastAsia="宋体" w:cs="Times New Roman"/>
                <w:i w:val="0"/>
                <w:iCs w:val="0"/>
                <w:color w:val="000000"/>
                <w:kern w:val="0"/>
                <w:sz w:val="21"/>
                <w:szCs w:val="21"/>
                <w:u w:val="none"/>
                <w:lang w:val="en-US" w:eastAsia="zh-CN" w:bidi="ar"/>
              </w:rPr>
              <w:t>0</w:t>
            </w:r>
          </w:p>
        </w:tc>
      </w:tr>
      <w:tr w14:paraId="4D1956B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88" w:type="pct"/>
            <w:vMerge w:val="continue"/>
            <w:shd w:val="clear" w:color="auto" w:fill="auto"/>
            <w:vAlign w:val="center"/>
          </w:tcPr>
          <w:p w14:paraId="5E1799B0">
            <w:pPr>
              <w:widowControl/>
              <w:spacing w:line="240" w:lineRule="exact"/>
              <w:jc w:val="center"/>
              <w:rPr>
                <w:rFonts w:eastAsia="仿宋_GB2312"/>
                <w:kern w:val="0"/>
                <w:szCs w:val="21"/>
                <w:highlight w:val="yellow"/>
              </w:rPr>
            </w:pPr>
          </w:p>
        </w:tc>
        <w:tc>
          <w:tcPr>
            <w:tcW w:w="1147" w:type="pct"/>
            <w:shd w:val="clear" w:color="auto" w:fill="auto"/>
            <w:tcMar>
              <w:top w:w="15" w:type="dxa"/>
              <w:left w:w="15" w:type="dxa"/>
              <w:bottom w:w="0" w:type="dxa"/>
              <w:right w:w="15" w:type="dxa"/>
            </w:tcMar>
            <w:vAlign w:val="center"/>
          </w:tcPr>
          <w:p w14:paraId="2395F15C">
            <w:pPr>
              <w:widowControl/>
              <w:spacing w:line="240" w:lineRule="exact"/>
              <w:jc w:val="center"/>
              <w:rPr>
                <w:rFonts w:eastAsia="仿宋_GB2312"/>
                <w:kern w:val="0"/>
                <w:szCs w:val="21"/>
                <w:highlight w:val="yellow"/>
              </w:rPr>
            </w:pPr>
            <w:r>
              <w:rPr>
                <w:rFonts w:hint="eastAsia" w:eastAsia="仿宋_GB2312"/>
                <w:kern w:val="0"/>
                <w:szCs w:val="21"/>
              </w:rPr>
              <w:t>二乙二醇</w:t>
            </w:r>
          </w:p>
        </w:tc>
        <w:tc>
          <w:tcPr>
            <w:tcW w:w="773" w:type="pct"/>
            <w:vAlign w:val="center"/>
          </w:tcPr>
          <w:p w14:paraId="2CAF6399">
            <w:pPr>
              <w:keepNext w:val="0"/>
              <w:keepLines w:val="0"/>
              <w:widowControl/>
              <w:suppressLineNumbers w:val="0"/>
              <w:jc w:val="center"/>
              <w:textAlignment w:val="bottom"/>
              <w:rPr>
                <w:b/>
                <w:szCs w:val="21"/>
                <w:highlight w:val="yellow"/>
              </w:rPr>
            </w:pPr>
            <w:r>
              <w:rPr>
                <w:rFonts w:hint="default" w:ascii="Times New Roman" w:hAnsi="Times New Roman" w:eastAsia="宋体" w:cs="Times New Roman"/>
                <w:i w:val="0"/>
                <w:iCs w:val="0"/>
                <w:color w:val="000000"/>
                <w:kern w:val="0"/>
                <w:sz w:val="21"/>
                <w:szCs w:val="21"/>
                <w:u w:val="none"/>
                <w:lang w:val="en-US" w:eastAsia="zh-CN" w:bidi="ar"/>
              </w:rPr>
              <w:t>0.01879</w:t>
            </w:r>
          </w:p>
        </w:tc>
        <w:tc>
          <w:tcPr>
            <w:tcW w:w="647" w:type="pct"/>
            <w:vAlign w:val="center"/>
          </w:tcPr>
          <w:p w14:paraId="6C1A8DDC">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0.01</w:t>
            </w:r>
          </w:p>
        </w:tc>
        <w:tc>
          <w:tcPr>
            <w:tcW w:w="647" w:type="pct"/>
            <w:vAlign w:val="center"/>
          </w:tcPr>
          <w:p w14:paraId="2ACBB865">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0.0041</w:t>
            </w:r>
          </w:p>
        </w:tc>
        <w:tc>
          <w:tcPr>
            <w:tcW w:w="647" w:type="pct"/>
            <w:vAlign w:val="center"/>
          </w:tcPr>
          <w:p w14:paraId="11149F68">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0.01289</w:t>
            </w:r>
          </w:p>
        </w:tc>
        <w:tc>
          <w:tcPr>
            <w:tcW w:w="647" w:type="pct"/>
            <w:vAlign w:val="center"/>
          </w:tcPr>
          <w:p w14:paraId="5C75618E">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-0.0059</w:t>
            </w:r>
          </w:p>
        </w:tc>
      </w:tr>
      <w:tr w14:paraId="718EDF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88" w:type="pct"/>
            <w:vMerge w:val="continue"/>
            <w:shd w:val="clear" w:color="auto" w:fill="auto"/>
            <w:vAlign w:val="center"/>
          </w:tcPr>
          <w:p w14:paraId="3EDE7F62">
            <w:pPr>
              <w:widowControl/>
              <w:spacing w:line="240" w:lineRule="exact"/>
              <w:jc w:val="center"/>
              <w:rPr>
                <w:rFonts w:eastAsia="仿宋_GB2312"/>
                <w:kern w:val="0"/>
                <w:szCs w:val="21"/>
                <w:highlight w:val="yellow"/>
              </w:rPr>
            </w:pPr>
          </w:p>
        </w:tc>
        <w:tc>
          <w:tcPr>
            <w:tcW w:w="1147" w:type="pct"/>
            <w:shd w:val="clear" w:color="auto" w:fill="auto"/>
            <w:tcMar>
              <w:top w:w="15" w:type="dxa"/>
              <w:left w:w="15" w:type="dxa"/>
              <w:bottom w:w="0" w:type="dxa"/>
              <w:right w:w="15" w:type="dxa"/>
            </w:tcMar>
            <w:vAlign w:val="center"/>
          </w:tcPr>
          <w:p w14:paraId="7158469B">
            <w:pPr>
              <w:widowControl/>
              <w:spacing w:line="240" w:lineRule="exact"/>
              <w:jc w:val="center"/>
              <w:rPr>
                <w:rFonts w:eastAsia="仿宋_GB2312"/>
                <w:kern w:val="0"/>
                <w:szCs w:val="21"/>
                <w:highlight w:val="yellow"/>
              </w:rPr>
            </w:pPr>
            <w:r>
              <w:rPr>
                <w:rFonts w:eastAsia="仿宋_GB2312"/>
                <w:kern w:val="0"/>
                <w:szCs w:val="21"/>
              </w:rPr>
              <w:t>丙三醇</w:t>
            </w:r>
          </w:p>
        </w:tc>
        <w:tc>
          <w:tcPr>
            <w:tcW w:w="773" w:type="pct"/>
            <w:vAlign w:val="center"/>
          </w:tcPr>
          <w:p w14:paraId="5AEE893D">
            <w:pPr>
              <w:keepNext w:val="0"/>
              <w:keepLines w:val="0"/>
              <w:widowControl/>
              <w:suppressLineNumbers w:val="0"/>
              <w:jc w:val="center"/>
              <w:textAlignment w:val="bottom"/>
              <w:rPr>
                <w:b/>
                <w:szCs w:val="21"/>
                <w:highlight w:val="yellow"/>
              </w:rPr>
            </w:pPr>
            <w:r>
              <w:rPr>
                <w:rFonts w:hint="default" w:ascii="Times New Roman" w:hAnsi="Times New Roman" w:eastAsia="宋体" w:cs="Times New Roman"/>
                <w:i w:val="0"/>
                <w:iCs w:val="0"/>
                <w:color w:val="000000"/>
                <w:kern w:val="0"/>
                <w:sz w:val="21"/>
                <w:szCs w:val="21"/>
                <w:u w:val="none"/>
                <w:lang w:val="en-US" w:eastAsia="zh-CN" w:bidi="ar"/>
              </w:rPr>
              <w:t>0.035</w:t>
            </w:r>
          </w:p>
        </w:tc>
        <w:tc>
          <w:tcPr>
            <w:tcW w:w="647" w:type="pct"/>
            <w:vAlign w:val="center"/>
          </w:tcPr>
          <w:p w14:paraId="4CF5F4F4">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647" w:type="pct"/>
            <w:vAlign w:val="center"/>
          </w:tcPr>
          <w:p w14:paraId="1578EB3A">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647" w:type="pct"/>
            <w:vAlign w:val="center"/>
          </w:tcPr>
          <w:p w14:paraId="0F3BD38B">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0.035</w:t>
            </w:r>
          </w:p>
        </w:tc>
        <w:tc>
          <w:tcPr>
            <w:tcW w:w="647" w:type="pct"/>
            <w:vAlign w:val="center"/>
          </w:tcPr>
          <w:p w14:paraId="504E4AB0">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w:t>
            </w:r>
          </w:p>
        </w:tc>
      </w:tr>
      <w:tr w14:paraId="5278D57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88" w:type="pct"/>
            <w:vMerge w:val="continue"/>
            <w:shd w:val="clear" w:color="auto" w:fill="auto"/>
            <w:vAlign w:val="center"/>
          </w:tcPr>
          <w:p w14:paraId="258375EE">
            <w:pPr>
              <w:widowControl/>
              <w:spacing w:line="240" w:lineRule="exact"/>
              <w:jc w:val="center"/>
              <w:rPr>
                <w:rFonts w:eastAsia="仿宋_GB2312"/>
                <w:kern w:val="0"/>
                <w:szCs w:val="21"/>
                <w:highlight w:val="yellow"/>
              </w:rPr>
            </w:pPr>
          </w:p>
        </w:tc>
        <w:tc>
          <w:tcPr>
            <w:tcW w:w="1147" w:type="pct"/>
            <w:shd w:val="clear" w:color="auto" w:fill="auto"/>
            <w:tcMar>
              <w:top w:w="15" w:type="dxa"/>
              <w:left w:w="15" w:type="dxa"/>
              <w:bottom w:w="0" w:type="dxa"/>
              <w:right w:w="15" w:type="dxa"/>
            </w:tcMar>
            <w:vAlign w:val="center"/>
          </w:tcPr>
          <w:p w14:paraId="2F24C920">
            <w:pPr>
              <w:widowControl/>
              <w:spacing w:line="240" w:lineRule="exact"/>
              <w:jc w:val="center"/>
              <w:rPr>
                <w:rFonts w:eastAsia="仿宋_GB2312"/>
                <w:kern w:val="0"/>
                <w:szCs w:val="21"/>
                <w:highlight w:val="yellow"/>
              </w:rPr>
            </w:pPr>
            <w:r>
              <w:rPr>
                <w:rFonts w:eastAsia="仿宋_GB2312"/>
                <w:kern w:val="0"/>
                <w:szCs w:val="21"/>
              </w:rPr>
              <w:t>氨</w:t>
            </w:r>
          </w:p>
        </w:tc>
        <w:tc>
          <w:tcPr>
            <w:tcW w:w="773" w:type="pct"/>
            <w:vAlign w:val="center"/>
          </w:tcPr>
          <w:p w14:paraId="3F7E239B">
            <w:pPr>
              <w:keepNext w:val="0"/>
              <w:keepLines w:val="0"/>
              <w:widowControl/>
              <w:suppressLineNumbers w:val="0"/>
              <w:jc w:val="center"/>
              <w:textAlignment w:val="bottom"/>
              <w:rPr>
                <w:b/>
                <w:szCs w:val="21"/>
                <w:highlight w:val="yellow"/>
              </w:rPr>
            </w:pPr>
            <w:r>
              <w:rPr>
                <w:rFonts w:hint="default" w:ascii="Times New Roman" w:hAnsi="Times New Roman" w:eastAsia="宋体" w:cs="Times New Roman"/>
                <w:i w:val="0"/>
                <w:iCs w:val="0"/>
                <w:color w:val="000000"/>
                <w:kern w:val="0"/>
                <w:sz w:val="21"/>
                <w:szCs w:val="21"/>
                <w:u w:val="none"/>
                <w:lang w:val="en-US" w:eastAsia="zh-CN" w:bidi="ar"/>
              </w:rPr>
              <w:t>0.465</w:t>
            </w:r>
          </w:p>
        </w:tc>
        <w:tc>
          <w:tcPr>
            <w:tcW w:w="647" w:type="pct"/>
            <w:vAlign w:val="center"/>
          </w:tcPr>
          <w:p w14:paraId="12F7058E">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647" w:type="pct"/>
            <w:vAlign w:val="center"/>
          </w:tcPr>
          <w:p w14:paraId="21B5F90A">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0.01</w:t>
            </w:r>
          </w:p>
        </w:tc>
        <w:tc>
          <w:tcPr>
            <w:tcW w:w="647" w:type="pct"/>
            <w:vAlign w:val="center"/>
          </w:tcPr>
          <w:p w14:paraId="085C6617">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0.475</w:t>
            </w:r>
          </w:p>
        </w:tc>
        <w:tc>
          <w:tcPr>
            <w:tcW w:w="647" w:type="pct"/>
            <w:vAlign w:val="center"/>
          </w:tcPr>
          <w:p w14:paraId="25615E4C">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0.01</w:t>
            </w:r>
          </w:p>
        </w:tc>
      </w:tr>
      <w:tr w14:paraId="4A4826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88" w:type="pct"/>
            <w:vMerge w:val="continue"/>
            <w:shd w:val="clear" w:color="auto" w:fill="auto"/>
            <w:vAlign w:val="center"/>
          </w:tcPr>
          <w:p w14:paraId="6DE5FE87">
            <w:pPr>
              <w:widowControl/>
              <w:spacing w:line="240" w:lineRule="exact"/>
              <w:jc w:val="center"/>
              <w:rPr>
                <w:rFonts w:eastAsia="仿宋_GB2312"/>
                <w:kern w:val="0"/>
                <w:szCs w:val="21"/>
                <w:highlight w:val="yellow"/>
              </w:rPr>
            </w:pPr>
          </w:p>
        </w:tc>
        <w:tc>
          <w:tcPr>
            <w:tcW w:w="1147" w:type="pct"/>
            <w:shd w:val="clear" w:color="auto" w:fill="auto"/>
            <w:tcMar>
              <w:top w:w="15" w:type="dxa"/>
              <w:left w:w="15" w:type="dxa"/>
              <w:bottom w:w="0" w:type="dxa"/>
              <w:right w:w="15" w:type="dxa"/>
            </w:tcMar>
            <w:vAlign w:val="center"/>
          </w:tcPr>
          <w:p w14:paraId="7C47DE6A">
            <w:pPr>
              <w:widowControl/>
              <w:spacing w:line="240" w:lineRule="exact"/>
              <w:jc w:val="center"/>
              <w:rPr>
                <w:rFonts w:eastAsia="仿宋_GB2312"/>
                <w:kern w:val="0"/>
                <w:szCs w:val="21"/>
                <w:highlight w:val="yellow"/>
              </w:rPr>
            </w:pPr>
            <w:r>
              <w:rPr>
                <w:rFonts w:eastAsia="仿宋_GB2312"/>
                <w:kern w:val="0"/>
                <w:szCs w:val="21"/>
              </w:rPr>
              <w:t>硫化氢</w:t>
            </w:r>
          </w:p>
        </w:tc>
        <w:tc>
          <w:tcPr>
            <w:tcW w:w="773" w:type="pct"/>
            <w:vAlign w:val="center"/>
          </w:tcPr>
          <w:p w14:paraId="5A26C45D">
            <w:pPr>
              <w:keepNext w:val="0"/>
              <w:keepLines w:val="0"/>
              <w:widowControl/>
              <w:suppressLineNumbers w:val="0"/>
              <w:jc w:val="center"/>
              <w:textAlignment w:val="bottom"/>
              <w:rPr>
                <w:b/>
                <w:szCs w:val="21"/>
                <w:highlight w:val="yellow"/>
              </w:rPr>
            </w:pPr>
            <w:r>
              <w:rPr>
                <w:rFonts w:hint="default" w:ascii="Times New Roman" w:hAnsi="Times New Roman" w:eastAsia="宋体" w:cs="Times New Roman"/>
                <w:i w:val="0"/>
                <w:iCs w:val="0"/>
                <w:color w:val="000000"/>
                <w:kern w:val="0"/>
                <w:sz w:val="21"/>
                <w:szCs w:val="21"/>
                <w:u w:val="none"/>
                <w:lang w:val="en-US" w:eastAsia="zh-CN" w:bidi="ar"/>
              </w:rPr>
              <w:t>0.0318</w:t>
            </w:r>
          </w:p>
        </w:tc>
        <w:tc>
          <w:tcPr>
            <w:tcW w:w="647" w:type="pct"/>
            <w:vAlign w:val="center"/>
          </w:tcPr>
          <w:p w14:paraId="30F0C318">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647" w:type="pct"/>
            <w:vAlign w:val="center"/>
          </w:tcPr>
          <w:p w14:paraId="529FD154">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0.001</w:t>
            </w:r>
          </w:p>
        </w:tc>
        <w:tc>
          <w:tcPr>
            <w:tcW w:w="647" w:type="pct"/>
            <w:vAlign w:val="center"/>
          </w:tcPr>
          <w:p w14:paraId="1D30952E">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0.0328</w:t>
            </w:r>
          </w:p>
        </w:tc>
        <w:tc>
          <w:tcPr>
            <w:tcW w:w="647" w:type="pct"/>
            <w:vAlign w:val="center"/>
          </w:tcPr>
          <w:p w14:paraId="5014A3B1">
            <w:pPr>
              <w:keepNext w:val="0"/>
              <w:keepLines w:val="0"/>
              <w:widowControl/>
              <w:suppressLineNumbers w:val="0"/>
              <w:jc w:val="center"/>
              <w:textAlignment w:val="bottom"/>
              <w:rPr>
                <w:szCs w:val="21"/>
              </w:rPr>
            </w:pPr>
            <w:r>
              <w:rPr>
                <w:rFonts w:hint="eastAsia"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0.001</w:t>
            </w:r>
          </w:p>
        </w:tc>
      </w:tr>
      <w:tr w14:paraId="58975D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88" w:type="pct"/>
            <w:vMerge w:val="continue"/>
            <w:shd w:val="clear" w:color="auto" w:fill="auto"/>
            <w:vAlign w:val="center"/>
          </w:tcPr>
          <w:p w14:paraId="4604616A">
            <w:pPr>
              <w:widowControl/>
              <w:spacing w:line="240" w:lineRule="exact"/>
              <w:jc w:val="center"/>
              <w:rPr>
                <w:rFonts w:eastAsia="仿宋_GB2312"/>
                <w:kern w:val="0"/>
                <w:szCs w:val="21"/>
                <w:highlight w:val="yellow"/>
              </w:rPr>
            </w:pPr>
          </w:p>
        </w:tc>
        <w:tc>
          <w:tcPr>
            <w:tcW w:w="1147" w:type="pct"/>
            <w:shd w:val="clear" w:color="auto" w:fill="auto"/>
            <w:tcMar>
              <w:top w:w="15" w:type="dxa"/>
              <w:left w:w="15" w:type="dxa"/>
              <w:bottom w:w="0" w:type="dxa"/>
              <w:right w:w="15" w:type="dxa"/>
            </w:tcMar>
            <w:vAlign w:val="center"/>
          </w:tcPr>
          <w:p w14:paraId="649E17DD">
            <w:pPr>
              <w:widowControl/>
              <w:spacing w:line="240" w:lineRule="exact"/>
              <w:jc w:val="center"/>
              <w:rPr>
                <w:rFonts w:eastAsia="仿宋_GB2312"/>
                <w:kern w:val="0"/>
                <w:szCs w:val="21"/>
                <w:highlight w:val="yellow"/>
              </w:rPr>
            </w:pPr>
            <w:r>
              <w:rPr>
                <w:rFonts w:eastAsia="仿宋_GB2312"/>
                <w:kern w:val="0"/>
                <w:szCs w:val="21"/>
              </w:rPr>
              <w:t>环己烷</w:t>
            </w:r>
          </w:p>
        </w:tc>
        <w:tc>
          <w:tcPr>
            <w:tcW w:w="773" w:type="pct"/>
            <w:vAlign w:val="center"/>
          </w:tcPr>
          <w:p w14:paraId="1FCA48C6">
            <w:pPr>
              <w:keepNext w:val="0"/>
              <w:keepLines w:val="0"/>
              <w:widowControl/>
              <w:suppressLineNumbers w:val="0"/>
              <w:jc w:val="center"/>
              <w:textAlignment w:val="bottom"/>
              <w:rPr>
                <w:b/>
                <w:szCs w:val="21"/>
                <w:highlight w:val="yellow"/>
              </w:rPr>
            </w:pPr>
            <w:r>
              <w:rPr>
                <w:rFonts w:hint="default" w:ascii="Times New Roman" w:hAnsi="Times New Roman" w:eastAsia="宋体" w:cs="Times New Roman"/>
                <w:i w:val="0"/>
                <w:iCs w:val="0"/>
                <w:color w:val="000000"/>
                <w:kern w:val="0"/>
                <w:sz w:val="21"/>
                <w:szCs w:val="21"/>
                <w:u w:val="none"/>
                <w:lang w:val="en-US" w:eastAsia="zh-CN" w:bidi="ar"/>
              </w:rPr>
              <w:t>0.029</w:t>
            </w:r>
          </w:p>
        </w:tc>
        <w:tc>
          <w:tcPr>
            <w:tcW w:w="647" w:type="pct"/>
            <w:vAlign w:val="center"/>
          </w:tcPr>
          <w:p w14:paraId="4F983A0C">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0.029</w:t>
            </w:r>
          </w:p>
        </w:tc>
        <w:tc>
          <w:tcPr>
            <w:tcW w:w="647" w:type="pct"/>
            <w:vAlign w:val="center"/>
          </w:tcPr>
          <w:p w14:paraId="1ACE1016">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0.0274</w:t>
            </w:r>
          </w:p>
        </w:tc>
        <w:tc>
          <w:tcPr>
            <w:tcW w:w="647" w:type="pct"/>
            <w:vAlign w:val="center"/>
          </w:tcPr>
          <w:p w14:paraId="25BBBCE5">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0.0274</w:t>
            </w:r>
          </w:p>
        </w:tc>
        <w:tc>
          <w:tcPr>
            <w:tcW w:w="647" w:type="pct"/>
            <w:vAlign w:val="center"/>
          </w:tcPr>
          <w:p w14:paraId="6B16F377">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-0.0016</w:t>
            </w:r>
          </w:p>
        </w:tc>
      </w:tr>
      <w:tr w14:paraId="01679D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88" w:type="pct"/>
            <w:vMerge w:val="continue"/>
            <w:shd w:val="clear" w:color="auto" w:fill="auto"/>
            <w:vAlign w:val="center"/>
          </w:tcPr>
          <w:p w14:paraId="1E64CE45">
            <w:pPr>
              <w:widowControl/>
              <w:spacing w:line="240" w:lineRule="exact"/>
              <w:jc w:val="center"/>
              <w:rPr>
                <w:rFonts w:eastAsia="仿宋_GB2312"/>
                <w:kern w:val="0"/>
                <w:szCs w:val="21"/>
                <w:highlight w:val="yellow"/>
              </w:rPr>
            </w:pPr>
          </w:p>
        </w:tc>
        <w:tc>
          <w:tcPr>
            <w:tcW w:w="1147" w:type="pct"/>
            <w:shd w:val="clear" w:color="auto" w:fill="auto"/>
            <w:tcMar>
              <w:top w:w="15" w:type="dxa"/>
              <w:left w:w="15" w:type="dxa"/>
              <w:bottom w:w="0" w:type="dxa"/>
              <w:right w:w="15" w:type="dxa"/>
            </w:tcMar>
            <w:vAlign w:val="center"/>
          </w:tcPr>
          <w:p w14:paraId="14884915">
            <w:pPr>
              <w:widowControl/>
              <w:spacing w:line="240" w:lineRule="exact"/>
              <w:jc w:val="center"/>
              <w:rPr>
                <w:rFonts w:eastAsia="仿宋_GB2312"/>
                <w:kern w:val="0"/>
                <w:szCs w:val="21"/>
                <w:highlight w:val="yellow"/>
              </w:rPr>
            </w:pPr>
            <w:r>
              <w:rPr>
                <w:rFonts w:eastAsia="仿宋_GB2312"/>
                <w:kern w:val="0"/>
                <w:szCs w:val="21"/>
              </w:rPr>
              <w:t>环己酮</w:t>
            </w:r>
          </w:p>
        </w:tc>
        <w:tc>
          <w:tcPr>
            <w:tcW w:w="773" w:type="pct"/>
            <w:vAlign w:val="center"/>
          </w:tcPr>
          <w:p w14:paraId="17D375E7">
            <w:pPr>
              <w:keepNext w:val="0"/>
              <w:keepLines w:val="0"/>
              <w:widowControl/>
              <w:suppressLineNumbers w:val="0"/>
              <w:jc w:val="center"/>
              <w:textAlignment w:val="bottom"/>
              <w:rPr>
                <w:b/>
                <w:szCs w:val="21"/>
                <w:highlight w:val="yellow"/>
              </w:rPr>
            </w:pPr>
            <w:r>
              <w:rPr>
                <w:rFonts w:hint="default" w:ascii="Times New Roman" w:hAnsi="Times New Roman" w:eastAsia="宋体" w:cs="Times New Roman"/>
                <w:i w:val="0"/>
                <w:iCs w:val="0"/>
                <w:color w:val="000000"/>
                <w:kern w:val="0"/>
                <w:sz w:val="21"/>
                <w:szCs w:val="21"/>
                <w:u w:val="none"/>
                <w:lang w:val="en-US" w:eastAsia="zh-CN" w:bidi="ar"/>
              </w:rPr>
              <w:t>0.04</w:t>
            </w:r>
          </w:p>
        </w:tc>
        <w:tc>
          <w:tcPr>
            <w:tcW w:w="647" w:type="pct"/>
            <w:vAlign w:val="center"/>
          </w:tcPr>
          <w:p w14:paraId="24FE9EA7">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0.038</w:t>
            </w:r>
          </w:p>
        </w:tc>
        <w:tc>
          <w:tcPr>
            <w:tcW w:w="647" w:type="pct"/>
            <w:vAlign w:val="center"/>
          </w:tcPr>
          <w:p w14:paraId="7157B3E2">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0.0035</w:t>
            </w:r>
          </w:p>
        </w:tc>
        <w:tc>
          <w:tcPr>
            <w:tcW w:w="647" w:type="pct"/>
            <w:vAlign w:val="center"/>
          </w:tcPr>
          <w:p w14:paraId="7965AE84">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0.0055</w:t>
            </w:r>
          </w:p>
        </w:tc>
        <w:tc>
          <w:tcPr>
            <w:tcW w:w="647" w:type="pct"/>
            <w:vAlign w:val="center"/>
          </w:tcPr>
          <w:p w14:paraId="2513E052">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-0.0345</w:t>
            </w:r>
          </w:p>
        </w:tc>
      </w:tr>
      <w:tr w14:paraId="21DD38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88" w:type="pct"/>
            <w:vMerge w:val="continue"/>
            <w:shd w:val="clear" w:color="auto" w:fill="auto"/>
            <w:vAlign w:val="center"/>
          </w:tcPr>
          <w:p w14:paraId="2D7445CB">
            <w:pPr>
              <w:widowControl/>
              <w:spacing w:line="240" w:lineRule="exact"/>
              <w:jc w:val="center"/>
              <w:rPr>
                <w:rFonts w:eastAsia="仿宋_GB2312"/>
                <w:kern w:val="0"/>
                <w:szCs w:val="21"/>
                <w:highlight w:val="yellow"/>
              </w:rPr>
            </w:pPr>
          </w:p>
        </w:tc>
        <w:tc>
          <w:tcPr>
            <w:tcW w:w="1147" w:type="pct"/>
            <w:shd w:val="clear" w:color="auto" w:fill="auto"/>
            <w:tcMar>
              <w:top w:w="15" w:type="dxa"/>
              <w:left w:w="15" w:type="dxa"/>
              <w:bottom w:w="0" w:type="dxa"/>
              <w:right w:w="15" w:type="dxa"/>
            </w:tcMar>
            <w:vAlign w:val="center"/>
          </w:tcPr>
          <w:p w14:paraId="488B3F15">
            <w:pPr>
              <w:widowControl/>
              <w:spacing w:line="240" w:lineRule="exact"/>
              <w:jc w:val="center"/>
              <w:rPr>
                <w:rFonts w:eastAsia="仿宋_GB2312"/>
                <w:kern w:val="0"/>
                <w:szCs w:val="21"/>
                <w:highlight w:val="yellow"/>
              </w:rPr>
            </w:pPr>
            <w:r>
              <w:rPr>
                <w:rFonts w:eastAsia="仿宋_GB2312"/>
                <w:kern w:val="0"/>
                <w:szCs w:val="21"/>
              </w:rPr>
              <w:t>二甲基亚砜</w:t>
            </w:r>
          </w:p>
        </w:tc>
        <w:tc>
          <w:tcPr>
            <w:tcW w:w="773" w:type="pct"/>
            <w:vAlign w:val="center"/>
          </w:tcPr>
          <w:p w14:paraId="3DAF68A7">
            <w:pPr>
              <w:keepNext w:val="0"/>
              <w:keepLines w:val="0"/>
              <w:widowControl/>
              <w:suppressLineNumbers w:val="0"/>
              <w:jc w:val="center"/>
              <w:textAlignment w:val="bottom"/>
              <w:rPr>
                <w:b/>
                <w:szCs w:val="21"/>
                <w:highlight w:val="yellow"/>
              </w:rPr>
            </w:pPr>
            <w:r>
              <w:rPr>
                <w:rFonts w:hint="default" w:ascii="Times New Roman" w:hAnsi="Times New Roman" w:eastAsia="宋体" w:cs="Times New Roman"/>
                <w:i w:val="0"/>
                <w:iCs w:val="0"/>
                <w:color w:val="000000"/>
                <w:kern w:val="0"/>
                <w:sz w:val="21"/>
                <w:szCs w:val="21"/>
                <w:u w:val="none"/>
                <w:lang w:val="en-US" w:eastAsia="zh-CN" w:bidi="ar"/>
              </w:rPr>
              <w:t>0.015</w:t>
            </w:r>
          </w:p>
        </w:tc>
        <w:tc>
          <w:tcPr>
            <w:tcW w:w="647" w:type="pct"/>
            <w:vAlign w:val="center"/>
          </w:tcPr>
          <w:p w14:paraId="0242198F">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0.015</w:t>
            </w:r>
          </w:p>
        </w:tc>
        <w:tc>
          <w:tcPr>
            <w:tcW w:w="647" w:type="pct"/>
            <w:vAlign w:val="center"/>
          </w:tcPr>
          <w:p w14:paraId="65783AA5">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0.043</w:t>
            </w:r>
          </w:p>
        </w:tc>
        <w:tc>
          <w:tcPr>
            <w:tcW w:w="647" w:type="pct"/>
            <w:vAlign w:val="center"/>
          </w:tcPr>
          <w:p w14:paraId="3E1FB0F0">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0.043</w:t>
            </w:r>
          </w:p>
        </w:tc>
        <w:tc>
          <w:tcPr>
            <w:tcW w:w="647" w:type="pct"/>
            <w:vAlign w:val="center"/>
          </w:tcPr>
          <w:p w14:paraId="70B2BEBC">
            <w:pPr>
              <w:keepNext w:val="0"/>
              <w:keepLines w:val="0"/>
              <w:widowControl/>
              <w:suppressLineNumbers w:val="0"/>
              <w:jc w:val="center"/>
              <w:textAlignment w:val="bottom"/>
              <w:rPr>
                <w:szCs w:val="21"/>
              </w:rPr>
            </w:pPr>
            <w:r>
              <w:rPr>
                <w:rFonts w:hint="eastAsia"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0.028</w:t>
            </w:r>
          </w:p>
        </w:tc>
      </w:tr>
      <w:tr w14:paraId="5E6BC9D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88" w:type="pct"/>
            <w:vMerge w:val="continue"/>
            <w:shd w:val="clear" w:color="auto" w:fill="auto"/>
            <w:vAlign w:val="center"/>
          </w:tcPr>
          <w:p w14:paraId="23E28DDC">
            <w:pPr>
              <w:widowControl/>
              <w:spacing w:line="240" w:lineRule="exact"/>
              <w:jc w:val="center"/>
              <w:rPr>
                <w:rFonts w:eastAsia="仿宋_GB2312"/>
                <w:kern w:val="0"/>
                <w:szCs w:val="21"/>
                <w:highlight w:val="yellow"/>
              </w:rPr>
            </w:pPr>
          </w:p>
        </w:tc>
        <w:tc>
          <w:tcPr>
            <w:tcW w:w="1147" w:type="pct"/>
            <w:shd w:val="clear" w:color="auto" w:fill="auto"/>
            <w:tcMar>
              <w:top w:w="15" w:type="dxa"/>
              <w:left w:w="15" w:type="dxa"/>
              <w:bottom w:w="0" w:type="dxa"/>
              <w:right w:w="15" w:type="dxa"/>
            </w:tcMar>
            <w:vAlign w:val="center"/>
          </w:tcPr>
          <w:p w14:paraId="73BED97E">
            <w:pPr>
              <w:widowControl/>
              <w:spacing w:line="240" w:lineRule="exact"/>
              <w:jc w:val="center"/>
              <w:rPr>
                <w:rFonts w:eastAsia="仿宋_GB2312"/>
                <w:kern w:val="0"/>
                <w:szCs w:val="21"/>
                <w:highlight w:val="yellow"/>
              </w:rPr>
            </w:pPr>
            <w:r>
              <w:rPr>
                <w:rFonts w:eastAsia="仿宋_GB2312"/>
                <w:kern w:val="0"/>
                <w:szCs w:val="21"/>
              </w:rPr>
              <w:t>丁醇</w:t>
            </w:r>
          </w:p>
        </w:tc>
        <w:tc>
          <w:tcPr>
            <w:tcW w:w="773" w:type="pct"/>
            <w:vAlign w:val="center"/>
          </w:tcPr>
          <w:p w14:paraId="1BDC6CA8">
            <w:pPr>
              <w:keepNext w:val="0"/>
              <w:keepLines w:val="0"/>
              <w:widowControl/>
              <w:suppressLineNumbers w:val="0"/>
              <w:jc w:val="center"/>
              <w:textAlignment w:val="bottom"/>
              <w:rPr>
                <w:b/>
                <w:szCs w:val="21"/>
                <w:highlight w:val="yellow"/>
              </w:rPr>
            </w:pPr>
            <w:r>
              <w:rPr>
                <w:rFonts w:hint="default" w:ascii="Times New Roman" w:hAnsi="Times New Roman" w:eastAsia="宋体" w:cs="Times New Roman"/>
                <w:i w:val="0"/>
                <w:iCs w:val="0"/>
                <w:color w:val="000000"/>
                <w:kern w:val="0"/>
                <w:sz w:val="21"/>
                <w:szCs w:val="21"/>
                <w:u w:val="none"/>
                <w:lang w:val="en-US" w:eastAsia="zh-CN" w:bidi="ar"/>
              </w:rPr>
              <w:t>0.085</w:t>
            </w:r>
          </w:p>
        </w:tc>
        <w:tc>
          <w:tcPr>
            <w:tcW w:w="647" w:type="pct"/>
            <w:vAlign w:val="center"/>
          </w:tcPr>
          <w:p w14:paraId="7F760964">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0.085</w:t>
            </w:r>
          </w:p>
        </w:tc>
        <w:tc>
          <w:tcPr>
            <w:tcW w:w="647" w:type="pct"/>
            <w:vAlign w:val="center"/>
          </w:tcPr>
          <w:p w14:paraId="23F6EEB7">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0.0059</w:t>
            </w:r>
          </w:p>
        </w:tc>
        <w:tc>
          <w:tcPr>
            <w:tcW w:w="647" w:type="pct"/>
            <w:vAlign w:val="center"/>
          </w:tcPr>
          <w:p w14:paraId="062A2A8A">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0.0059</w:t>
            </w:r>
          </w:p>
        </w:tc>
        <w:tc>
          <w:tcPr>
            <w:tcW w:w="647" w:type="pct"/>
            <w:vAlign w:val="center"/>
          </w:tcPr>
          <w:p w14:paraId="722449AD">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-0.0791</w:t>
            </w:r>
          </w:p>
        </w:tc>
      </w:tr>
      <w:tr w14:paraId="7E443A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88" w:type="pct"/>
            <w:vMerge w:val="continue"/>
            <w:shd w:val="clear" w:color="auto" w:fill="auto"/>
            <w:vAlign w:val="center"/>
          </w:tcPr>
          <w:p w14:paraId="7488D2BA">
            <w:pPr>
              <w:widowControl/>
              <w:spacing w:line="240" w:lineRule="exact"/>
              <w:jc w:val="center"/>
              <w:rPr>
                <w:rFonts w:eastAsia="仿宋_GB2312"/>
                <w:kern w:val="0"/>
                <w:szCs w:val="21"/>
                <w:highlight w:val="yellow"/>
              </w:rPr>
            </w:pPr>
          </w:p>
        </w:tc>
        <w:tc>
          <w:tcPr>
            <w:tcW w:w="1147" w:type="pct"/>
            <w:shd w:val="clear" w:color="auto" w:fill="auto"/>
            <w:tcMar>
              <w:top w:w="15" w:type="dxa"/>
              <w:left w:w="15" w:type="dxa"/>
              <w:bottom w:w="0" w:type="dxa"/>
              <w:right w:w="15" w:type="dxa"/>
            </w:tcMar>
            <w:vAlign w:val="center"/>
          </w:tcPr>
          <w:p w14:paraId="6F9CDAFB">
            <w:pPr>
              <w:widowControl/>
              <w:spacing w:line="240" w:lineRule="exact"/>
              <w:jc w:val="center"/>
              <w:rPr>
                <w:rFonts w:eastAsia="仿宋_GB2312"/>
                <w:kern w:val="0"/>
                <w:szCs w:val="21"/>
                <w:highlight w:val="yellow"/>
              </w:rPr>
            </w:pPr>
            <w:r>
              <w:rPr>
                <w:rFonts w:eastAsia="仿宋_GB2312"/>
                <w:kern w:val="0"/>
                <w:szCs w:val="21"/>
              </w:rPr>
              <w:t>辛醇</w:t>
            </w:r>
          </w:p>
        </w:tc>
        <w:tc>
          <w:tcPr>
            <w:tcW w:w="773" w:type="pct"/>
            <w:vAlign w:val="center"/>
          </w:tcPr>
          <w:p w14:paraId="43425CCF">
            <w:pPr>
              <w:keepNext w:val="0"/>
              <w:keepLines w:val="0"/>
              <w:widowControl/>
              <w:suppressLineNumbers w:val="0"/>
              <w:jc w:val="center"/>
              <w:textAlignment w:val="bottom"/>
              <w:rPr>
                <w:b/>
                <w:szCs w:val="21"/>
                <w:highlight w:val="yellow"/>
              </w:rPr>
            </w:pPr>
            <w:r>
              <w:rPr>
                <w:rFonts w:hint="default" w:ascii="Times New Roman" w:hAnsi="Times New Roman" w:eastAsia="宋体" w:cs="Times New Roman"/>
                <w:i w:val="0"/>
                <w:iCs w:val="0"/>
                <w:color w:val="000000"/>
                <w:kern w:val="0"/>
                <w:sz w:val="21"/>
                <w:szCs w:val="21"/>
                <w:u w:val="none"/>
                <w:lang w:val="en-US" w:eastAsia="zh-CN" w:bidi="ar"/>
              </w:rPr>
              <w:t>0.027</w:t>
            </w:r>
          </w:p>
        </w:tc>
        <w:tc>
          <w:tcPr>
            <w:tcW w:w="647" w:type="pct"/>
            <w:vAlign w:val="center"/>
          </w:tcPr>
          <w:p w14:paraId="313D12D6">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0.027</w:t>
            </w:r>
          </w:p>
        </w:tc>
        <w:tc>
          <w:tcPr>
            <w:tcW w:w="647" w:type="pct"/>
            <w:vAlign w:val="center"/>
          </w:tcPr>
          <w:p w14:paraId="3054F072">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0.0019</w:t>
            </w:r>
          </w:p>
        </w:tc>
        <w:tc>
          <w:tcPr>
            <w:tcW w:w="647" w:type="pct"/>
            <w:vAlign w:val="center"/>
          </w:tcPr>
          <w:p w14:paraId="48515439">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0.0019</w:t>
            </w:r>
          </w:p>
        </w:tc>
        <w:tc>
          <w:tcPr>
            <w:tcW w:w="647" w:type="pct"/>
            <w:vAlign w:val="center"/>
          </w:tcPr>
          <w:p w14:paraId="59F7627A">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-0.0251</w:t>
            </w:r>
          </w:p>
        </w:tc>
      </w:tr>
      <w:tr w14:paraId="74C5A4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88" w:type="pct"/>
            <w:vMerge w:val="continue"/>
            <w:shd w:val="clear" w:color="auto" w:fill="auto"/>
            <w:vAlign w:val="center"/>
          </w:tcPr>
          <w:p w14:paraId="1BDEA5AB">
            <w:pPr>
              <w:widowControl/>
              <w:spacing w:line="240" w:lineRule="exact"/>
              <w:jc w:val="center"/>
              <w:rPr>
                <w:rFonts w:eastAsia="仿宋_GB2312"/>
                <w:kern w:val="0"/>
                <w:szCs w:val="21"/>
                <w:highlight w:val="yellow"/>
              </w:rPr>
            </w:pPr>
          </w:p>
        </w:tc>
        <w:tc>
          <w:tcPr>
            <w:tcW w:w="1147" w:type="pct"/>
            <w:shd w:val="clear" w:color="auto" w:fill="auto"/>
            <w:tcMar>
              <w:top w:w="15" w:type="dxa"/>
              <w:left w:w="15" w:type="dxa"/>
              <w:bottom w:w="0" w:type="dxa"/>
              <w:right w:w="15" w:type="dxa"/>
            </w:tcMar>
            <w:vAlign w:val="center"/>
          </w:tcPr>
          <w:p w14:paraId="025B5473">
            <w:pPr>
              <w:widowControl/>
              <w:spacing w:line="240" w:lineRule="exact"/>
              <w:jc w:val="center"/>
              <w:rPr>
                <w:rFonts w:eastAsia="仿宋_GB2312"/>
                <w:kern w:val="0"/>
                <w:szCs w:val="21"/>
                <w:highlight w:val="yellow"/>
              </w:rPr>
            </w:pPr>
            <w:r>
              <w:rPr>
                <w:rFonts w:eastAsia="仿宋_GB2312"/>
                <w:kern w:val="0"/>
                <w:szCs w:val="21"/>
              </w:rPr>
              <w:t>碳九</w:t>
            </w:r>
          </w:p>
        </w:tc>
        <w:tc>
          <w:tcPr>
            <w:tcW w:w="773" w:type="pct"/>
            <w:vAlign w:val="center"/>
          </w:tcPr>
          <w:p w14:paraId="1EB0DF67">
            <w:pPr>
              <w:keepNext w:val="0"/>
              <w:keepLines w:val="0"/>
              <w:widowControl/>
              <w:suppressLineNumbers w:val="0"/>
              <w:jc w:val="center"/>
              <w:textAlignment w:val="bottom"/>
              <w:rPr>
                <w:b/>
                <w:szCs w:val="21"/>
                <w:highlight w:val="yellow"/>
              </w:rPr>
            </w:pPr>
            <w:r>
              <w:rPr>
                <w:rFonts w:hint="default" w:ascii="Times New Roman" w:hAnsi="Times New Roman" w:eastAsia="宋体" w:cs="Times New Roman"/>
                <w:i w:val="0"/>
                <w:iCs w:val="0"/>
                <w:color w:val="000000"/>
                <w:kern w:val="0"/>
                <w:sz w:val="21"/>
                <w:szCs w:val="21"/>
                <w:u w:val="none"/>
                <w:lang w:val="en-US" w:eastAsia="zh-CN" w:bidi="ar"/>
              </w:rPr>
              <w:t>0.051</w:t>
            </w:r>
          </w:p>
        </w:tc>
        <w:tc>
          <w:tcPr>
            <w:tcW w:w="647" w:type="pct"/>
            <w:vAlign w:val="center"/>
          </w:tcPr>
          <w:p w14:paraId="5AF9C099">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0.051</w:t>
            </w:r>
          </w:p>
        </w:tc>
        <w:tc>
          <w:tcPr>
            <w:tcW w:w="647" w:type="pct"/>
            <w:vAlign w:val="center"/>
          </w:tcPr>
          <w:p w14:paraId="6CC580A9">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0.0066</w:t>
            </w:r>
          </w:p>
        </w:tc>
        <w:tc>
          <w:tcPr>
            <w:tcW w:w="647" w:type="pct"/>
            <w:vAlign w:val="center"/>
          </w:tcPr>
          <w:p w14:paraId="4297039A">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0.0066</w:t>
            </w:r>
          </w:p>
        </w:tc>
        <w:tc>
          <w:tcPr>
            <w:tcW w:w="647" w:type="pct"/>
            <w:vAlign w:val="center"/>
          </w:tcPr>
          <w:p w14:paraId="6E5A91A7">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-0.0444</w:t>
            </w:r>
          </w:p>
        </w:tc>
      </w:tr>
      <w:tr w14:paraId="149E365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88" w:type="pct"/>
            <w:vMerge w:val="continue"/>
            <w:shd w:val="clear" w:color="auto" w:fill="auto"/>
            <w:vAlign w:val="center"/>
          </w:tcPr>
          <w:p w14:paraId="6E3AB695">
            <w:pPr>
              <w:widowControl/>
              <w:spacing w:line="240" w:lineRule="exact"/>
              <w:jc w:val="center"/>
              <w:rPr>
                <w:rFonts w:eastAsia="仿宋_GB2312"/>
                <w:kern w:val="0"/>
                <w:szCs w:val="21"/>
                <w:highlight w:val="yellow"/>
              </w:rPr>
            </w:pPr>
          </w:p>
        </w:tc>
        <w:tc>
          <w:tcPr>
            <w:tcW w:w="1147" w:type="pct"/>
            <w:shd w:val="clear" w:color="auto" w:fill="auto"/>
            <w:tcMar>
              <w:top w:w="15" w:type="dxa"/>
              <w:left w:w="15" w:type="dxa"/>
              <w:bottom w:w="0" w:type="dxa"/>
              <w:right w:w="15" w:type="dxa"/>
            </w:tcMar>
            <w:vAlign w:val="center"/>
          </w:tcPr>
          <w:p w14:paraId="617D76CA">
            <w:pPr>
              <w:widowControl/>
              <w:spacing w:line="240" w:lineRule="exact"/>
              <w:jc w:val="center"/>
              <w:rPr>
                <w:rFonts w:eastAsia="仿宋_GB2312"/>
                <w:kern w:val="0"/>
                <w:szCs w:val="21"/>
                <w:highlight w:val="yellow"/>
              </w:rPr>
            </w:pPr>
            <w:r>
              <w:rPr>
                <w:rFonts w:eastAsia="仿宋_GB2312"/>
                <w:kern w:val="0"/>
                <w:szCs w:val="21"/>
              </w:rPr>
              <w:t>苯乙烯</w:t>
            </w:r>
          </w:p>
        </w:tc>
        <w:tc>
          <w:tcPr>
            <w:tcW w:w="773" w:type="pct"/>
            <w:vAlign w:val="center"/>
          </w:tcPr>
          <w:p w14:paraId="3AB3978D">
            <w:pPr>
              <w:keepNext w:val="0"/>
              <w:keepLines w:val="0"/>
              <w:widowControl/>
              <w:suppressLineNumbers w:val="0"/>
              <w:jc w:val="center"/>
              <w:textAlignment w:val="bottom"/>
              <w:rPr>
                <w:b/>
                <w:szCs w:val="21"/>
                <w:highlight w:val="yellow"/>
              </w:rPr>
            </w:pPr>
            <w:r>
              <w:rPr>
                <w:rFonts w:hint="default" w:ascii="Times New Roman" w:hAnsi="Times New Roman" w:eastAsia="宋体" w:cs="Times New Roman"/>
                <w:i w:val="0"/>
                <w:iCs w:val="0"/>
                <w:color w:val="000000"/>
                <w:kern w:val="0"/>
                <w:sz w:val="21"/>
                <w:szCs w:val="21"/>
                <w:u w:val="none"/>
                <w:lang w:val="en-US" w:eastAsia="zh-CN" w:bidi="ar"/>
              </w:rPr>
              <w:t>0.01</w:t>
            </w:r>
          </w:p>
        </w:tc>
        <w:tc>
          <w:tcPr>
            <w:tcW w:w="647" w:type="pct"/>
            <w:vAlign w:val="center"/>
          </w:tcPr>
          <w:p w14:paraId="40676931">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0.01</w:t>
            </w:r>
          </w:p>
        </w:tc>
        <w:tc>
          <w:tcPr>
            <w:tcW w:w="647" w:type="pct"/>
            <w:vAlign w:val="center"/>
          </w:tcPr>
          <w:p w14:paraId="5B9BC637">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0.0015</w:t>
            </w:r>
          </w:p>
        </w:tc>
        <w:tc>
          <w:tcPr>
            <w:tcW w:w="647" w:type="pct"/>
            <w:vAlign w:val="center"/>
          </w:tcPr>
          <w:p w14:paraId="7FF092CB">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0.0015</w:t>
            </w:r>
          </w:p>
        </w:tc>
        <w:tc>
          <w:tcPr>
            <w:tcW w:w="647" w:type="pct"/>
            <w:vAlign w:val="center"/>
          </w:tcPr>
          <w:p w14:paraId="5A006AD9">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-0.0085</w:t>
            </w:r>
          </w:p>
        </w:tc>
      </w:tr>
      <w:tr w14:paraId="1F3AFC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88" w:type="pct"/>
            <w:vMerge w:val="continue"/>
            <w:shd w:val="clear" w:color="auto" w:fill="auto"/>
            <w:vAlign w:val="center"/>
          </w:tcPr>
          <w:p w14:paraId="474F109C">
            <w:pPr>
              <w:widowControl/>
              <w:spacing w:line="240" w:lineRule="exact"/>
              <w:jc w:val="center"/>
              <w:rPr>
                <w:rFonts w:eastAsia="仿宋_GB2312"/>
                <w:kern w:val="0"/>
                <w:szCs w:val="21"/>
                <w:highlight w:val="yellow"/>
              </w:rPr>
            </w:pPr>
          </w:p>
        </w:tc>
        <w:tc>
          <w:tcPr>
            <w:tcW w:w="1147" w:type="pct"/>
            <w:shd w:val="clear" w:color="auto" w:fill="auto"/>
            <w:tcMar>
              <w:top w:w="15" w:type="dxa"/>
              <w:left w:w="15" w:type="dxa"/>
              <w:bottom w:w="0" w:type="dxa"/>
              <w:right w:w="15" w:type="dxa"/>
            </w:tcMar>
            <w:vAlign w:val="center"/>
          </w:tcPr>
          <w:p w14:paraId="7FB40C31">
            <w:pPr>
              <w:widowControl/>
              <w:spacing w:line="240" w:lineRule="exact"/>
              <w:jc w:val="center"/>
              <w:rPr>
                <w:rFonts w:eastAsia="仿宋_GB2312"/>
                <w:kern w:val="0"/>
                <w:szCs w:val="21"/>
                <w:highlight w:val="yellow"/>
              </w:rPr>
            </w:pPr>
            <w:r>
              <w:rPr>
                <w:rFonts w:eastAsia="仿宋_GB2312"/>
                <w:kern w:val="0"/>
                <w:szCs w:val="21"/>
              </w:rPr>
              <w:t>环戊酮</w:t>
            </w:r>
          </w:p>
        </w:tc>
        <w:tc>
          <w:tcPr>
            <w:tcW w:w="773" w:type="pct"/>
            <w:vAlign w:val="center"/>
          </w:tcPr>
          <w:p w14:paraId="2D07E857">
            <w:pPr>
              <w:keepNext w:val="0"/>
              <w:keepLines w:val="0"/>
              <w:widowControl/>
              <w:suppressLineNumbers w:val="0"/>
              <w:jc w:val="center"/>
              <w:textAlignment w:val="bottom"/>
              <w:rPr>
                <w:b/>
                <w:szCs w:val="21"/>
                <w:highlight w:val="yellow"/>
              </w:rPr>
            </w:pPr>
            <w:r>
              <w:rPr>
                <w:rFonts w:hint="default" w:ascii="Times New Roman" w:hAnsi="Times New Roman" w:eastAsia="宋体" w:cs="Times New Roman"/>
                <w:i w:val="0"/>
                <w:iCs w:val="0"/>
                <w:color w:val="000000"/>
                <w:kern w:val="0"/>
                <w:sz w:val="21"/>
                <w:szCs w:val="21"/>
                <w:u w:val="none"/>
                <w:lang w:val="en-US" w:eastAsia="zh-CN" w:bidi="ar"/>
              </w:rPr>
              <w:t>0.035</w:t>
            </w:r>
          </w:p>
        </w:tc>
        <w:tc>
          <w:tcPr>
            <w:tcW w:w="647" w:type="pct"/>
            <w:vAlign w:val="center"/>
          </w:tcPr>
          <w:p w14:paraId="4CFAB84A">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0.028</w:t>
            </w:r>
          </w:p>
        </w:tc>
        <w:tc>
          <w:tcPr>
            <w:tcW w:w="647" w:type="pct"/>
            <w:vAlign w:val="center"/>
          </w:tcPr>
          <w:p w14:paraId="5DCB6905">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0.013</w:t>
            </w:r>
          </w:p>
        </w:tc>
        <w:tc>
          <w:tcPr>
            <w:tcW w:w="647" w:type="pct"/>
            <w:vAlign w:val="center"/>
          </w:tcPr>
          <w:p w14:paraId="01DD3C96">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0.02</w:t>
            </w:r>
          </w:p>
        </w:tc>
        <w:tc>
          <w:tcPr>
            <w:tcW w:w="647" w:type="pct"/>
            <w:vAlign w:val="center"/>
          </w:tcPr>
          <w:p w14:paraId="59F8E63A">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-0.015</w:t>
            </w:r>
          </w:p>
        </w:tc>
      </w:tr>
      <w:tr w14:paraId="61C900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88" w:type="pct"/>
            <w:vMerge w:val="continue"/>
            <w:shd w:val="clear" w:color="auto" w:fill="auto"/>
            <w:vAlign w:val="center"/>
          </w:tcPr>
          <w:p w14:paraId="6F73D3AE">
            <w:pPr>
              <w:widowControl/>
              <w:spacing w:line="240" w:lineRule="exact"/>
              <w:jc w:val="center"/>
              <w:rPr>
                <w:rFonts w:eastAsia="仿宋_GB2312"/>
                <w:kern w:val="0"/>
                <w:szCs w:val="21"/>
                <w:highlight w:val="yellow"/>
              </w:rPr>
            </w:pPr>
          </w:p>
        </w:tc>
        <w:tc>
          <w:tcPr>
            <w:tcW w:w="1147" w:type="pct"/>
            <w:shd w:val="clear" w:color="auto" w:fill="auto"/>
            <w:tcMar>
              <w:top w:w="15" w:type="dxa"/>
              <w:left w:w="15" w:type="dxa"/>
              <w:bottom w:w="0" w:type="dxa"/>
              <w:right w:w="15" w:type="dxa"/>
            </w:tcMar>
            <w:vAlign w:val="center"/>
          </w:tcPr>
          <w:p w14:paraId="7876B704">
            <w:pPr>
              <w:widowControl/>
              <w:spacing w:line="240" w:lineRule="exact"/>
              <w:jc w:val="center"/>
              <w:rPr>
                <w:rFonts w:eastAsia="仿宋_GB2312"/>
                <w:kern w:val="0"/>
                <w:szCs w:val="21"/>
                <w:highlight w:val="yellow"/>
              </w:rPr>
            </w:pPr>
            <w:r>
              <w:rPr>
                <w:rFonts w:eastAsia="仿宋_GB2312"/>
                <w:kern w:val="0"/>
                <w:szCs w:val="21"/>
              </w:rPr>
              <w:t>乙酸甲酯</w:t>
            </w:r>
          </w:p>
        </w:tc>
        <w:tc>
          <w:tcPr>
            <w:tcW w:w="773" w:type="pct"/>
            <w:vAlign w:val="center"/>
          </w:tcPr>
          <w:p w14:paraId="6A6117F6">
            <w:pPr>
              <w:keepNext w:val="0"/>
              <w:keepLines w:val="0"/>
              <w:widowControl/>
              <w:suppressLineNumbers w:val="0"/>
              <w:jc w:val="center"/>
              <w:textAlignment w:val="bottom"/>
              <w:rPr>
                <w:b/>
                <w:szCs w:val="21"/>
                <w:highlight w:val="yellow"/>
              </w:rPr>
            </w:pPr>
            <w:r>
              <w:rPr>
                <w:rFonts w:hint="default" w:ascii="Times New Roman" w:hAnsi="Times New Roman" w:eastAsia="宋体" w:cs="Times New Roman"/>
                <w:i w:val="0"/>
                <w:iCs w:val="0"/>
                <w:color w:val="000000"/>
                <w:kern w:val="0"/>
                <w:sz w:val="21"/>
                <w:szCs w:val="21"/>
                <w:u w:val="none"/>
                <w:lang w:val="en-US" w:eastAsia="zh-CN" w:bidi="ar"/>
              </w:rPr>
              <w:t>0.029</w:t>
            </w:r>
          </w:p>
        </w:tc>
        <w:tc>
          <w:tcPr>
            <w:tcW w:w="647" w:type="pct"/>
            <w:vAlign w:val="center"/>
          </w:tcPr>
          <w:p w14:paraId="098D323D">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0.026</w:t>
            </w:r>
          </w:p>
        </w:tc>
        <w:tc>
          <w:tcPr>
            <w:tcW w:w="647" w:type="pct"/>
            <w:vAlign w:val="center"/>
          </w:tcPr>
          <w:p w14:paraId="0A93CB24">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0.014</w:t>
            </w:r>
          </w:p>
        </w:tc>
        <w:tc>
          <w:tcPr>
            <w:tcW w:w="647" w:type="pct"/>
            <w:vAlign w:val="center"/>
          </w:tcPr>
          <w:p w14:paraId="71B8B183">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0.017</w:t>
            </w:r>
          </w:p>
        </w:tc>
        <w:tc>
          <w:tcPr>
            <w:tcW w:w="647" w:type="pct"/>
            <w:vAlign w:val="center"/>
          </w:tcPr>
          <w:p w14:paraId="23ABF78E">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-0.012</w:t>
            </w:r>
          </w:p>
        </w:tc>
      </w:tr>
      <w:tr w14:paraId="495650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88" w:type="pct"/>
            <w:vMerge w:val="continue"/>
            <w:shd w:val="clear" w:color="auto" w:fill="auto"/>
            <w:vAlign w:val="center"/>
          </w:tcPr>
          <w:p w14:paraId="2A148EB2">
            <w:pPr>
              <w:widowControl/>
              <w:spacing w:line="240" w:lineRule="exact"/>
              <w:jc w:val="center"/>
              <w:rPr>
                <w:rFonts w:eastAsia="仿宋_GB2312"/>
                <w:kern w:val="0"/>
                <w:szCs w:val="21"/>
                <w:highlight w:val="yellow"/>
              </w:rPr>
            </w:pPr>
          </w:p>
        </w:tc>
        <w:tc>
          <w:tcPr>
            <w:tcW w:w="1147" w:type="pct"/>
            <w:shd w:val="clear" w:color="auto" w:fill="auto"/>
            <w:tcMar>
              <w:top w:w="15" w:type="dxa"/>
              <w:left w:w="15" w:type="dxa"/>
              <w:bottom w:w="0" w:type="dxa"/>
              <w:right w:w="15" w:type="dxa"/>
            </w:tcMar>
            <w:vAlign w:val="center"/>
          </w:tcPr>
          <w:p w14:paraId="0BBD25FE">
            <w:pPr>
              <w:widowControl/>
              <w:spacing w:line="240" w:lineRule="exact"/>
              <w:jc w:val="center"/>
              <w:rPr>
                <w:rFonts w:eastAsia="仿宋_GB2312"/>
                <w:kern w:val="0"/>
                <w:szCs w:val="21"/>
                <w:highlight w:val="yellow"/>
              </w:rPr>
            </w:pPr>
            <w:r>
              <w:rPr>
                <w:rFonts w:eastAsia="仿宋_GB2312"/>
                <w:kern w:val="0"/>
                <w:szCs w:val="21"/>
              </w:rPr>
              <w:t>二甲基甲酰胺</w:t>
            </w:r>
          </w:p>
        </w:tc>
        <w:tc>
          <w:tcPr>
            <w:tcW w:w="773" w:type="pct"/>
            <w:vAlign w:val="center"/>
          </w:tcPr>
          <w:p w14:paraId="2DFEC616">
            <w:pPr>
              <w:keepNext w:val="0"/>
              <w:keepLines w:val="0"/>
              <w:widowControl/>
              <w:suppressLineNumbers w:val="0"/>
              <w:jc w:val="center"/>
              <w:textAlignment w:val="bottom"/>
              <w:rPr>
                <w:b/>
                <w:szCs w:val="21"/>
                <w:highlight w:val="yellow"/>
              </w:rPr>
            </w:pPr>
            <w:r>
              <w:rPr>
                <w:rFonts w:hint="default" w:ascii="Times New Roman" w:hAnsi="Times New Roman" w:eastAsia="宋体" w:cs="Times New Roman"/>
                <w:i w:val="0"/>
                <w:iCs w:val="0"/>
                <w:color w:val="000000"/>
                <w:kern w:val="0"/>
                <w:sz w:val="21"/>
                <w:szCs w:val="21"/>
                <w:u w:val="none"/>
                <w:lang w:val="en-US" w:eastAsia="zh-CN" w:bidi="ar"/>
              </w:rPr>
              <w:t>0.024</w:t>
            </w:r>
          </w:p>
        </w:tc>
        <w:tc>
          <w:tcPr>
            <w:tcW w:w="647" w:type="pct"/>
            <w:vAlign w:val="center"/>
          </w:tcPr>
          <w:p w14:paraId="0F673AE4">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0.024</w:t>
            </w:r>
          </w:p>
        </w:tc>
        <w:tc>
          <w:tcPr>
            <w:tcW w:w="647" w:type="pct"/>
            <w:vAlign w:val="center"/>
          </w:tcPr>
          <w:p w14:paraId="12B5E122">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0.127</w:t>
            </w:r>
          </w:p>
        </w:tc>
        <w:tc>
          <w:tcPr>
            <w:tcW w:w="647" w:type="pct"/>
            <w:vAlign w:val="center"/>
          </w:tcPr>
          <w:p w14:paraId="56D788AB">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0.127</w:t>
            </w:r>
          </w:p>
        </w:tc>
        <w:tc>
          <w:tcPr>
            <w:tcW w:w="647" w:type="pct"/>
            <w:vAlign w:val="center"/>
          </w:tcPr>
          <w:p w14:paraId="21D9F885">
            <w:pPr>
              <w:keepNext w:val="0"/>
              <w:keepLines w:val="0"/>
              <w:widowControl/>
              <w:suppressLineNumbers w:val="0"/>
              <w:jc w:val="center"/>
              <w:textAlignment w:val="bottom"/>
              <w:rPr>
                <w:szCs w:val="21"/>
              </w:rPr>
            </w:pPr>
            <w:r>
              <w:rPr>
                <w:rFonts w:hint="eastAsia"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0.103</w:t>
            </w:r>
          </w:p>
        </w:tc>
      </w:tr>
      <w:tr w14:paraId="4918A7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88" w:type="pct"/>
            <w:vMerge w:val="continue"/>
            <w:shd w:val="clear" w:color="auto" w:fill="auto"/>
            <w:vAlign w:val="center"/>
          </w:tcPr>
          <w:p w14:paraId="36EA3846">
            <w:pPr>
              <w:widowControl/>
              <w:spacing w:line="240" w:lineRule="exact"/>
              <w:jc w:val="center"/>
              <w:rPr>
                <w:rFonts w:eastAsia="仿宋_GB2312"/>
                <w:kern w:val="0"/>
                <w:szCs w:val="21"/>
                <w:highlight w:val="yellow"/>
              </w:rPr>
            </w:pPr>
          </w:p>
          <w:p w14:paraId="7237616D">
            <w:pPr>
              <w:pStyle w:val="2"/>
              <w:jc w:val="center"/>
            </w:pPr>
          </w:p>
        </w:tc>
        <w:tc>
          <w:tcPr>
            <w:tcW w:w="1147" w:type="pct"/>
            <w:shd w:val="clear" w:color="auto" w:fill="auto"/>
            <w:tcMar>
              <w:top w:w="15" w:type="dxa"/>
              <w:left w:w="15" w:type="dxa"/>
              <w:bottom w:w="0" w:type="dxa"/>
              <w:right w:w="15" w:type="dxa"/>
            </w:tcMar>
            <w:vAlign w:val="center"/>
          </w:tcPr>
          <w:p w14:paraId="693C4B71">
            <w:pPr>
              <w:keepNext w:val="0"/>
              <w:keepLines w:val="0"/>
              <w:widowControl/>
              <w:suppressLineNumbers w:val="0"/>
              <w:jc w:val="center"/>
              <w:textAlignment w:val="bottom"/>
              <w:rPr>
                <w:rFonts w:eastAsia="仿宋_GB2312"/>
                <w:color w:val="auto"/>
                <w:kern w:val="0"/>
                <w:szCs w:val="21"/>
              </w:rPr>
            </w:pPr>
            <w:r>
              <w:rPr>
                <w:rFonts w:hint="default" w:ascii="仿宋_GB2312" w:hAnsi="宋体" w:eastAsia="仿宋_GB2312" w:cs="仿宋_GB2312"/>
                <w:i w:val="0"/>
                <w:iCs w:val="0"/>
                <w:color w:val="auto"/>
                <w:kern w:val="0"/>
                <w:sz w:val="21"/>
                <w:szCs w:val="21"/>
                <w:u w:val="none"/>
                <w:lang w:val="en-US" w:eastAsia="zh-CN" w:bidi="ar"/>
              </w:rPr>
              <w:t>苯酚</w:t>
            </w:r>
          </w:p>
        </w:tc>
        <w:tc>
          <w:tcPr>
            <w:tcW w:w="773" w:type="pct"/>
            <w:vAlign w:val="center"/>
          </w:tcPr>
          <w:p w14:paraId="2447ED42">
            <w:pPr>
              <w:keepNext w:val="0"/>
              <w:keepLines w:val="0"/>
              <w:widowControl/>
              <w:suppressLineNumbers w:val="0"/>
              <w:jc w:val="center"/>
              <w:textAlignment w:val="bottom"/>
              <w:rPr>
                <w:color w:val="auto"/>
                <w:szCs w:val="21"/>
              </w:rPr>
            </w:pPr>
            <w:r>
              <w:rPr>
                <w:rFonts w:hint="default" w:ascii="Times New Roman" w:hAnsi="Times New Roman" w:eastAsia="宋体" w:cs="Times New Roman"/>
                <w:i w:val="0"/>
                <w:iCs w:val="0"/>
                <w:color w:val="auto"/>
                <w:kern w:val="0"/>
                <w:sz w:val="21"/>
                <w:szCs w:val="21"/>
                <w:u w:val="none"/>
                <w:lang w:val="en-US" w:eastAsia="zh-CN" w:bidi="ar"/>
              </w:rPr>
              <w:t>0</w:t>
            </w:r>
          </w:p>
        </w:tc>
        <w:tc>
          <w:tcPr>
            <w:tcW w:w="647" w:type="pct"/>
            <w:vAlign w:val="center"/>
          </w:tcPr>
          <w:p w14:paraId="65C9F39E">
            <w:pPr>
              <w:keepNext w:val="0"/>
              <w:keepLines w:val="0"/>
              <w:widowControl/>
              <w:suppressLineNumbers w:val="0"/>
              <w:jc w:val="center"/>
              <w:textAlignment w:val="bottom"/>
              <w:rPr>
                <w:color w:val="auto"/>
                <w:szCs w:val="21"/>
              </w:rPr>
            </w:pPr>
            <w:r>
              <w:rPr>
                <w:rFonts w:hint="default" w:ascii="Times New Roman" w:hAnsi="Times New Roman" w:eastAsia="宋体" w:cs="Times New Roman"/>
                <w:i w:val="0"/>
                <w:iCs w:val="0"/>
                <w:color w:val="auto"/>
                <w:kern w:val="0"/>
                <w:sz w:val="21"/>
                <w:szCs w:val="21"/>
                <w:u w:val="none"/>
                <w:lang w:val="en-US" w:eastAsia="zh-CN" w:bidi="ar"/>
              </w:rPr>
              <w:t>0</w:t>
            </w:r>
          </w:p>
        </w:tc>
        <w:tc>
          <w:tcPr>
            <w:tcW w:w="647" w:type="pct"/>
            <w:vAlign w:val="center"/>
          </w:tcPr>
          <w:p w14:paraId="477031F0">
            <w:pPr>
              <w:keepNext w:val="0"/>
              <w:keepLines w:val="0"/>
              <w:widowControl/>
              <w:suppressLineNumbers w:val="0"/>
              <w:jc w:val="center"/>
              <w:textAlignment w:val="bottom"/>
              <w:rPr>
                <w:color w:val="auto"/>
                <w:szCs w:val="21"/>
              </w:rPr>
            </w:pPr>
            <w:r>
              <w:rPr>
                <w:rFonts w:hint="default" w:ascii="Times New Roman" w:hAnsi="Times New Roman" w:eastAsia="宋体" w:cs="Times New Roman"/>
                <w:i w:val="0"/>
                <w:iCs w:val="0"/>
                <w:color w:val="auto"/>
                <w:kern w:val="0"/>
                <w:sz w:val="21"/>
                <w:szCs w:val="21"/>
                <w:u w:val="none"/>
                <w:lang w:val="en-US" w:eastAsia="zh-CN" w:bidi="ar"/>
              </w:rPr>
              <w:t>0.0036</w:t>
            </w:r>
          </w:p>
        </w:tc>
        <w:tc>
          <w:tcPr>
            <w:tcW w:w="647" w:type="pct"/>
            <w:vAlign w:val="center"/>
          </w:tcPr>
          <w:p w14:paraId="2AB83F27">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0.0036</w:t>
            </w:r>
          </w:p>
        </w:tc>
        <w:tc>
          <w:tcPr>
            <w:tcW w:w="647" w:type="pct"/>
            <w:vAlign w:val="center"/>
          </w:tcPr>
          <w:p w14:paraId="50E90E8D">
            <w:pPr>
              <w:keepNext w:val="0"/>
              <w:keepLines w:val="0"/>
              <w:widowControl/>
              <w:suppressLineNumbers w:val="0"/>
              <w:jc w:val="center"/>
              <w:textAlignment w:val="bottom"/>
              <w:rPr>
                <w:szCs w:val="21"/>
              </w:rPr>
            </w:pPr>
            <w:r>
              <w:rPr>
                <w:rFonts w:hint="eastAsia"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0.0036</w:t>
            </w:r>
          </w:p>
        </w:tc>
      </w:tr>
      <w:tr w14:paraId="5EF853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88" w:type="pct"/>
            <w:vMerge w:val="continue"/>
            <w:shd w:val="clear" w:color="auto" w:fill="auto"/>
            <w:vAlign w:val="center"/>
          </w:tcPr>
          <w:p w14:paraId="21A8EA22">
            <w:pPr>
              <w:pStyle w:val="2"/>
              <w:jc w:val="center"/>
            </w:pPr>
          </w:p>
        </w:tc>
        <w:tc>
          <w:tcPr>
            <w:tcW w:w="1147" w:type="pct"/>
            <w:shd w:val="clear" w:color="auto" w:fill="auto"/>
            <w:tcMar>
              <w:top w:w="15" w:type="dxa"/>
              <w:left w:w="15" w:type="dxa"/>
              <w:bottom w:w="0" w:type="dxa"/>
              <w:right w:w="15" w:type="dxa"/>
            </w:tcMar>
            <w:vAlign w:val="center"/>
          </w:tcPr>
          <w:p w14:paraId="586C2F09">
            <w:pPr>
              <w:keepNext w:val="0"/>
              <w:keepLines w:val="0"/>
              <w:widowControl/>
              <w:suppressLineNumbers w:val="0"/>
              <w:jc w:val="center"/>
              <w:textAlignment w:val="bottom"/>
              <w:rPr>
                <w:rFonts w:eastAsia="仿宋_GB2312"/>
                <w:color w:val="auto"/>
                <w:kern w:val="0"/>
                <w:szCs w:val="21"/>
              </w:rPr>
            </w:pPr>
            <w:r>
              <w:rPr>
                <w:rFonts w:hint="default" w:ascii="仿宋_GB2312" w:hAnsi="宋体" w:eastAsia="仿宋_GB2312" w:cs="仿宋_GB2312"/>
                <w:i w:val="0"/>
                <w:iCs w:val="0"/>
                <w:color w:val="auto"/>
                <w:kern w:val="0"/>
                <w:sz w:val="21"/>
                <w:szCs w:val="21"/>
                <w:u w:val="none"/>
                <w:lang w:val="en-US" w:eastAsia="zh-CN" w:bidi="ar"/>
              </w:rPr>
              <w:t>丙二醇甲醚醋酸酯</w:t>
            </w:r>
          </w:p>
        </w:tc>
        <w:tc>
          <w:tcPr>
            <w:tcW w:w="773" w:type="pct"/>
            <w:vAlign w:val="center"/>
          </w:tcPr>
          <w:p w14:paraId="36196FC6">
            <w:pPr>
              <w:keepNext w:val="0"/>
              <w:keepLines w:val="0"/>
              <w:widowControl/>
              <w:suppressLineNumbers w:val="0"/>
              <w:jc w:val="center"/>
              <w:textAlignment w:val="bottom"/>
              <w:rPr>
                <w:color w:val="auto"/>
                <w:szCs w:val="21"/>
              </w:rPr>
            </w:pPr>
            <w:r>
              <w:rPr>
                <w:rFonts w:hint="default" w:ascii="Times New Roman" w:hAnsi="Times New Roman" w:eastAsia="宋体" w:cs="Times New Roman"/>
                <w:i w:val="0"/>
                <w:iCs w:val="0"/>
                <w:color w:val="auto"/>
                <w:kern w:val="0"/>
                <w:sz w:val="21"/>
                <w:szCs w:val="21"/>
                <w:u w:val="none"/>
                <w:lang w:val="en-US" w:eastAsia="zh-CN" w:bidi="ar"/>
              </w:rPr>
              <w:t>0</w:t>
            </w:r>
          </w:p>
        </w:tc>
        <w:tc>
          <w:tcPr>
            <w:tcW w:w="647" w:type="pct"/>
            <w:vAlign w:val="center"/>
          </w:tcPr>
          <w:p w14:paraId="0CBEB897">
            <w:pPr>
              <w:keepNext w:val="0"/>
              <w:keepLines w:val="0"/>
              <w:widowControl/>
              <w:suppressLineNumbers w:val="0"/>
              <w:jc w:val="center"/>
              <w:textAlignment w:val="bottom"/>
              <w:rPr>
                <w:color w:val="auto"/>
                <w:szCs w:val="21"/>
              </w:rPr>
            </w:pPr>
            <w:r>
              <w:rPr>
                <w:rFonts w:hint="default" w:ascii="Times New Roman" w:hAnsi="Times New Roman" w:eastAsia="宋体" w:cs="Times New Roman"/>
                <w:i w:val="0"/>
                <w:iCs w:val="0"/>
                <w:color w:val="auto"/>
                <w:kern w:val="0"/>
                <w:sz w:val="21"/>
                <w:szCs w:val="21"/>
                <w:u w:val="none"/>
                <w:lang w:val="en-US" w:eastAsia="zh-CN" w:bidi="ar"/>
              </w:rPr>
              <w:t>0</w:t>
            </w:r>
          </w:p>
        </w:tc>
        <w:tc>
          <w:tcPr>
            <w:tcW w:w="647" w:type="pct"/>
            <w:vAlign w:val="center"/>
          </w:tcPr>
          <w:p w14:paraId="78D33D21">
            <w:pPr>
              <w:keepNext w:val="0"/>
              <w:keepLines w:val="0"/>
              <w:widowControl/>
              <w:suppressLineNumbers w:val="0"/>
              <w:jc w:val="center"/>
              <w:textAlignment w:val="bottom"/>
              <w:rPr>
                <w:color w:val="auto"/>
                <w:szCs w:val="21"/>
              </w:rPr>
            </w:pPr>
            <w:r>
              <w:rPr>
                <w:rFonts w:hint="default" w:ascii="Times New Roman" w:hAnsi="Times New Roman" w:eastAsia="宋体" w:cs="Times New Roman"/>
                <w:i w:val="0"/>
                <w:iCs w:val="0"/>
                <w:color w:val="auto"/>
                <w:kern w:val="0"/>
                <w:sz w:val="21"/>
                <w:szCs w:val="21"/>
                <w:u w:val="none"/>
                <w:lang w:val="en-US" w:eastAsia="zh-CN" w:bidi="ar"/>
              </w:rPr>
              <w:t>0.02</w:t>
            </w:r>
          </w:p>
        </w:tc>
        <w:tc>
          <w:tcPr>
            <w:tcW w:w="647" w:type="pct"/>
            <w:vAlign w:val="center"/>
          </w:tcPr>
          <w:p w14:paraId="049DF1C0">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0.02</w:t>
            </w:r>
          </w:p>
        </w:tc>
        <w:tc>
          <w:tcPr>
            <w:tcW w:w="647" w:type="pct"/>
            <w:vAlign w:val="center"/>
          </w:tcPr>
          <w:p w14:paraId="2B1BE2CF">
            <w:pPr>
              <w:keepNext w:val="0"/>
              <w:keepLines w:val="0"/>
              <w:widowControl/>
              <w:suppressLineNumbers w:val="0"/>
              <w:jc w:val="center"/>
              <w:textAlignment w:val="bottom"/>
              <w:rPr>
                <w:szCs w:val="21"/>
              </w:rPr>
            </w:pPr>
            <w:r>
              <w:rPr>
                <w:rFonts w:hint="eastAsia"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0.02</w:t>
            </w:r>
          </w:p>
        </w:tc>
      </w:tr>
      <w:tr w14:paraId="27B04C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88" w:type="pct"/>
            <w:vMerge w:val="continue"/>
            <w:shd w:val="clear" w:color="auto" w:fill="auto"/>
            <w:vAlign w:val="center"/>
          </w:tcPr>
          <w:p w14:paraId="06616BC7">
            <w:pPr>
              <w:pStyle w:val="2"/>
              <w:jc w:val="center"/>
            </w:pPr>
          </w:p>
        </w:tc>
        <w:tc>
          <w:tcPr>
            <w:tcW w:w="1147" w:type="pct"/>
            <w:shd w:val="clear" w:color="auto" w:fill="auto"/>
            <w:tcMar>
              <w:top w:w="15" w:type="dxa"/>
              <w:left w:w="15" w:type="dxa"/>
              <w:bottom w:w="0" w:type="dxa"/>
              <w:right w:w="15" w:type="dxa"/>
            </w:tcMar>
            <w:vAlign w:val="center"/>
          </w:tcPr>
          <w:p w14:paraId="2634953D">
            <w:pPr>
              <w:keepNext w:val="0"/>
              <w:keepLines w:val="0"/>
              <w:widowControl/>
              <w:suppressLineNumbers w:val="0"/>
              <w:jc w:val="center"/>
              <w:textAlignment w:val="bottom"/>
              <w:rPr>
                <w:rFonts w:eastAsia="仿宋_GB2312"/>
                <w:color w:val="auto"/>
                <w:kern w:val="0"/>
                <w:szCs w:val="21"/>
              </w:rPr>
            </w:pPr>
            <w:r>
              <w:rPr>
                <w:rFonts w:hint="default" w:ascii="仿宋_GB2312" w:hAnsi="宋体" w:eastAsia="仿宋_GB2312" w:cs="仿宋_GB2312"/>
                <w:i w:val="0"/>
                <w:iCs w:val="0"/>
                <w:color w:val="auto"/>
                <w:kern w:val="0"/>
                <w:sz w:val="21"/>
                <w:szCs w:val="21"/>
                <w:u w:val="none"/>
                <w:lang w:val="en-US" w:eastAsia="zh-CN" w:bidi="ar"/>
              </w:rPr>
              <w:t>乙酸乙烯酯</w:t>
            </w:r>
          </w:p>
        </w:tc>
        <w:tc>
          <w:tcPr>
            <w:tcW w:w="773" w:type="pct"/>
            <w:vAlign w:val="center"/>
          </w:tcPr>
          <w:p w14:paraId="00DDAB24">
            <w:pPr>
              <w:keepNext w:val="0"/>
              <w:keepLines w:val="0"/>
              <w:widowControl/>
              <w:suppressLineNumbers w:val="0"/>
              <w:jc w:val="center"/>
              <w:textAlignment w:val="bottom"/>
              <w:rPr>
                <w:color w:val="auto"/>
                <w:szCs w:val="21"/>
              </w:rPr>
            </w:pPr>
            <w:r>
              <w:rPr>
                <w:rFonts w:hint="default" w:ascii="Times New Roman" w:hAnsi="Times New Roman" w:eastAsia="宋体" w:cs="Times New Roman"/>
                <w:i w:val="0"/>
                <w:iCs w:val="0"/>
                <w:color w:val="auto"/>
                <w:kern w:val="0"/>
                <w:sz w:val="21"/>
                <w:szCs w:val="21"/>
                <w:u w:val="none"/>
                <w:lang w:val="en-US" w:eastAsia="zh-CN" w:bidi="ar"/>
              </w:rPr>
              <w:t>0</w:t>
            </w:r>
          </w:p>
        </w:tc>
        <w:tc>
          <w:tcPr>
            <w:tcW w:w="647" w:type="pct"/>
            <w:vAlign w:val="center"/>
          </w:tcPr>
          <w:p w14:paraId="4FCC8901">
            <w:pPr>
              <w:keepNext w:val="0"/>
              <w:keepLines w:val="0"/>
              <w:widowControl/>
              <w:suppressLineNumbers w:val="0"/>
              <w:jc w:val="center"/>
              <w:textAlignment w:val="bottom"/>
              <w:rPr>
                <w:color w:val="auto"/>
                <w:szCs w:val="21"/>
              </w:rPr>
            </w:pPr>
            <w:r>
              <w:rPr>
                <w:rFonts w:hint="default" w:ascii="Times New Roman" w:hAnsi="Times New Roman" w:eastAsia="宋体" w:cs="Times New Roman"/>
                <w:i w:val="0"/>
                <w:iCs w:val="0"/>
                <w:color w:val="auto"/>
                <w:kern w:val="0"/>
                <w:sz w:val="21"/>
                <w:szCs w:val="21"/>
                <w:u w:val="none"/>
                <w:lang w:val="en-US" w:eastAsia="zh-CN" w:bidi="ar"/>
              </w:rPr>
              <w:t>0</w:t>
            </w:r>
          </w:p>
        </w:tc>
        <w:tc>
          <w:tcPr>
            <w:tcW w:w="647" w:type="pct"/>
            <w:vAlign w:val="center"/>
          </w:tcPr>
          <w:p w14:paraId="1C75E040">
            <w:pPr>
              <w:keepNext w:val="0"/>
              <w:keepLines w:val="0"/>
              <w:widowControl/>
              <w:suppressLineNumbers w:val="0"/>
              <w:jc w:val="center"/>
              <w:textAlignment w:val="bottom"/>
              <w:rPr>
                <w:color w:val="auto"/>
                <w:szCs w:val="21"/>
              </w:rPr>
            </w:pPr>
            <w:r>
              <w:rPr>
                <w:rFonts w:hint="default" w:ascii="Times New Roman" w:hAnsi="Times New Roman" w:eastAsia="宋体" w:cs="Times New Roman"/>
                <w:i w:val="0"/>
                <w:iCs w:val="0"/>
                <w:color w:val="auto"/>
                <w:kern w:val="0"/>
                <w:sz w:val="21"/>
                <w:szCs w:val="21"/>
                <w:u w:val="none"/>
                <w:lang w:val="en-US" w:eastAsia="zh-CN" w:bidi="ar"/>
              </w:rPr>
              <w:t>0.003</w:t>
            </w:r>
          </w:p>
        </w:tc>
        <w:tc>
          <w:tcPr>
            <w:tcW w:w="647" w:type="pct"/>
            <w:vAlign w:val="center"/>
          </w:tcPr>
          <w:p w14:paraId="0E1278F7">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0.003</w:t>
            </w:r>
          </w:p>
        </w:tc>
        <w:tc>
          <w:tcPr>
            <w:tcW w:w="647" w:type="pct"/>
            <w:vAlign w:val="center"/>
          </w:tcPr>
          <w:p w14:paraId="10E51AEF">
            <w:pPr>
              <w:keepNext w:val="0"/>
              <w:keepLines w:val="0"/>
              <w:widowControl/>
              <w:suppressLineNumbers w:val="0"/>
              <w:jc w:val="center"/>
              <w:textAlignment w:val="bottom"/>
              <w:rPr>
                <w:szCs w:val="21"/>
              </w:rPr>
            </w:pPr>
            <w:r>
              <w:rPr>
                <w:rFonts w:hint="eastAsia"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0.003</w:t>
            </w:r>
          </w:p>
        </w:tc>
      </w:tr>
      <w:tr w14:paraId="43A657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88" w:type="pct"/>
            <w:vMerge w:val="continue"/>
            <w:shd w:val="clear" w:color="auto" w:fill="auto"/>
            <w:vAlign w:val="center"/>
          </w:tcPr>
          <w:p w14:paraId="2633C43A">
            <w:pPr>
              <w:widowControl/>
              <w:spacing w:line="240" w:lineRule="exact"/>
              <w:jc w:val="center"/>
              <w:rPr>
                <w:rFonts w:eastAsia="仿宋_GB2312"/>
                <w:kern w:val="0"/>
                <w:szCs w:val="21"/>
                <w:highlight w:val="yellow"/>
              </w:rPr>
            </w:pPr>
          </w:p>
        </w:tc>
        <w:tc>
          <w:tcPr>
            <w:tcW w:w="1147" w:type="pct"/>
            <w:shd w:val="clear" w:color="auto" w:fill="auto"/>
            <w:tcMar>
              <w:top w:w="15" w:type="dxa"/>
              <w:left w:w="15" w:type="dxa"/>
              <w:bottom w:w="0" w:type="dxa"/>
              <w:right w:w="15" w:type="dxa"/>
            </w:tcMar>
            <w:vAlign w:val="center"/>
          </w:tcPr>
          <w:p w14:paraId="28F9CBE8">
            <w:pPr>
              <w:keepNext w:val="0"/>
              <w:keepLines w:val="0"/>
              <w:widowControl/>
              <w:suppressLineNumbers w:val="0"/>
              <w:jc w:val="center"/>
              <w:textAlignment w:val="bottom"/>
              <w:rPr>
                <w:rFonts w:eastAsia="仿宋_GB2312"/>
                <w:color w:val="auto"/>
                <w:kern w:val="0"/>
                <w:szCs w:val="21"/>
              </w:rPr>
            </w:pPr>
            <w:r>
              <w:rPr>
                <w:rFonts w:hint="default" w:ascii="仿宋_GB2312" w:hAnsi="宋体" w:eastAsia="仿宋_GB2312" w:cs="仿宋_GB2312"/>
                <w:i w:val="0"/>
                <w:iCs w:val="0"/>
                <w:color w:val="auto"/>
                <w:kern w:val="0"/>
                <w:sz w:val="21"/>
                <w:szCs w:val="21"/>
                <w:u w:val="none"/>
                <w:lang w:val="en-US" w:eastAsia="zh-CN" w:bidi="ar"/>
              </w:rPr>
              <w:t>异丙苯</w:t>
            </w:r>
          </w:p>
        </w:tc>
        <w:tc>
          <w:tcPr>
            <w:tcW w:w="773" w:type="pct"/>
            <w:vAlign w:val="center"/>
          </w:tcPr>
          <w:p w14:paraId="29B6D634">
            <w:pPr>
              <w:keepNext w:val="0"/>
              <w:keepLines w:val="0"/>
              <w:widowControl/>
              <w:suppressLineNumbers w:val="0"/>
              <w:jc w:val="center"/>
              <w:textAlignment w:val="bottom"/>
              <w:rPr>
                <w:color w:val="auto"/>
                <w:szCs w:val="21"/>
              </w:rPr>
            </w:pPr>
            <w:r>
              <w:rPr>
                <w:rFonts w:hint="default" w:ascii="Times New Roman" w:hAnsi="Times New Roman" w:eastAsia="宋体" w:cs="Times New Roman"/>
                <w:i w:val="0"/>
                <w:iCs w:val="0"/>
                <w:color w:val="auto"/>
                <w:kern w:val="0"/>
                <w:sz w:val="21"/>
                <w:szCs w:val="21"/>
                <w:u w:val="none"/>
                <w:lang w:val="en-US" w:eastAsia="zh-CN" w:bidi="ar"/>
              </w:rPr>
              <w:t>0</w:t>
            </w:r>
          </w:p>
        </w:tc>
        <w:tc>
          <w:tcPr>
            <w:tcW w:w="647" w:type="pct"/>
            <w:vAlign w:val="center"/>
          </w:tcPr>
          <w:p w14:paraId="69A0B214">
            <w:pPr>
              <w:keepNext w:val="0"/>
              <w:keepLines w:val="0"/>
              <w:widowControl/>
              <w:suppressLineNumbers w:val="0"/>
              <w:jc w:val="center"/>
              <w:textAlignment w:val="bottom"/>
              <w:rPr>
                <w:color w:val="auto"/>
                <w:szCs w:val="21"/>
              </w:rPr>
            </w:pPr>
            <w:r>
              <w:rPr>
                <w:rFonts w:hint="default" w:ascii="Times New Roman" w:hAnsi="Times New Roman" w:eastAsia="宋体" w:cs="Times New Roman"/>
                <w:i w:val="0"/>
                <w:iCs w:val="0"/>
                <w:color w:val="auto"/>
                <w:kern w:val="0"/>
                <w:sz w:val="21"/>
                <w:szCs w:val="21"/>
                <w:u w:val="none"/>
                <w:lang w:val="en-US" w:eastAsia="zh-CN" w:bidi="ar"/>
              </w:rPr>
              <w:t>0</w:t>
            </w:r>
          </w:p>
        </w:tc>
        <w:tc>
          <w:tcPr>
            <w:tcW w:w="647" w:type="pct"/>
            <w:vAlign w:val="center"/>
          </w:tcPr>
          <w:p w14:paraId="24C402B5">
            <w:pPr>
              <w:keepNext w:val="0"/>
              <w:keepLines w:val="0"/>
              <w:widowControl/>
              <w:suppressLineNumbers w:val="0"/>
              <w:jc w:val="center"/>
              <w:textAlignment w:val="bottom"/>
              <w:rPr>
                <w:color w:val="auto"/>
                <w:szCs w:val="21"/>
              </w:rPr>
            </w:pPr>
            <w:r>
              <w:rPr>
                <w:rFonts w:hint="default" w:ascii="Times New Roman" w:hAnsi="Times New Roman" w:eastAsia="宋体" w:cs="Times New Roman"/>
                <w:i w:val="0"/>
                <w:iCs w:val="0"/>
                <w:color w:val="auto"/>
                <w:kern w:val="0"/>
                <w:sz w:val="21"/>
                <w:szCs w:val="21"/>
                <w:u w:val="none"/>
                <w:lang w:val="en-US" w:eastAsia="zh-CN" w:bidi="ar"/>
              </w:rPr>
              <w:t>0.0037</w:t>
            </w:r>
          </w:p>
        </w:tc>
        <w:tc>
          <w:tcPr>
            <w:tcW w:w="647" w:type="pct"/>
            <w:vAlign w:val="center"/>
          </w:tcPr>
          <w:p w14:paraId="05A54D2E">
            <w:pPr>
              <w:keepNext w:val="0"/>
              <w:keepLines w:val="0"/>
              <w:widowControl/>
              <w:suppressLineNumbers w:val="0"/>
              <w:jc w:val="center"/>
              <w:textAlignment w:val="bottom"/>
              <w:rPr>
                <w:szCs w:val="21"/>
              </w:rPr>
            </w:pPr>
            <w:r>
              <w:rPr>
                <w:rFonts w:hint="default" w:ascii="Times New Roman" w:hAnsi="Times New Roman" w:eastAsia="宋体" w:cs="Times New Roman"/>
                <w:i w:val="0"/>
                <w:iCs w:val="0"/>
                <w:color w:val="000000"/>
                <w:kern w:val="0"/>
                <w:sz w:val="21"/>
                <w:szCs w:val="21"/>
                <w:u w:val="none"/>
                <w:lang w:val="en-US" w:eastAsia="zh-CN" w:bidi="ar"/>
              </w:rPr>
              <w:t>0.0037</w:t>
            </w:r>
          </w:p>
        </w:tc>
        <w:tc>
          <w:tcPr>
            <w:tcW w:w="647" w:type="pct"/>
            <w:vAlign w:val="center"/>
          </w:tcPr>
          <w:p w14:paraId="0555A2D5">
            <w:pPr>
              <w:keepNext w:val="0"/>
              <w:keepLines w:val="0"/>
              <w:widowControl/>
              <w:suppressLineNumbers w:val="0"/>
              <w:jc w:val="center"/>
              <w:textAlignment w:val="bottom"/>
              <w:rPr>
                <w:szCs w:val="21"/>
              </w:rPr>
            </w:pPr>
            <w:r>
              <w:rPr>
                <w:rFonts w:hint="eastAsia"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0.0037</w:t>
            </w:r>
          </w:p>
        </w:tc>
      </w:tr>
      <w:tr w14:paraId="23713D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88" w:type="pct"/>
            <w:vMerge w:val="continue"/>
            <w:shd w:val="clear" w:color="auto" w:fill="auto"/>
            <w:vAlign w:val="center"/>
          </w:tcPr>
          <w:p w14:paraId="0A11D4EA">
            <w:pPr>
              <w:widowControl/>
              <w:spacing w:line="240" w:lineRule="exact"/>
              <w:jc w:val="center"/>
              <w:rPr>
                <w:rFonts w:eastAsia="仿宋_GB2312"/>
                <w:kern w:val="0"/>
                <w:szCs w:val="21"/>
                <w:highlight w:val="yellow"/>
              </w:rPr>
            </w:pPr>
          </w:p>
        </w:tc>
        <w:tc>
          <w:tcPr>
            <w:tcW w:w="1147" w:type="pct"/>
            <w:shd w:val="clear" w:color="auto" w:fill="auto"/>
            <w:tcMar>
              <w:top w:w="15" w:type="dxa"/>
              <w:left w:w="15" w:type="dxa"/>
              <w:bottom w:w="0" w:type="dxa"/>
              <w:right w:w="15" w:type="dxa"/>
            </w:tcMar>
            <w:vAlign w:val="center"/>
          </w:tcPr>
          <w:p w14:paraId="36C50591">
            <w:pPr>
              <w:widowControl/>
              <w:spacing w:line="240" w:lineRule="exact"/>
              <w:jc w:val="center"/>
              <w:rPr>
                <w:rFonts w:eastAsia="仿宋_GB2312"/>
                <w:color w:val="auto"/>
                <w:kern w:val="0"/>
                <w:szCs w:val="21"/>
                <w:highlight w:val="yellow"/>
              </w:rPr>
            </w:pPr>
            <w:r>
              <w:rPr>
                <w:rFonts w:eastAsia="仿宋_GB2312"/>
                <w:color w:val="auto"/>
                <w:kern w:val="0"/>
                <w:szCs w:val="21"/>
              </w:rPr>
              <w:t>非甲烷总烃</w:t>
            </w:r>
          </w:p>
        </w:tc>
        <w:tc>
          <w:tcPr>
            <w:tcW w:w="773" w:type="pct"/>
            <w:vAlign w:val="center"/>
          </w:tcPr>
          <w:p w14:paraId="3425D8A4">
            <w:pPr>
              <w:keepNext w:val="0"/>
              <w:keepLines w:val="0"/>
              <w:widowControl/>
              <w:suppressLineNumbers w:val="0"/>
              <w:jc w:val="center"/>
              <w:textAlignment w:val="bottom"/>
              <w:rPr>
                <w:rFonts w:hint="eastAsia"/>
                <w:color w:val="auto"/>
                <w:szCs w:val="21"/>
              </w:rPr>
            </w:pPr>
            <w:r>
              <w:rPr>
                <w:rFonts w:hint="default" w:ascii="Times New Roman" w:hAnsi="Times New Roman" w:eastAsia="宋体" w:cs="Times New Roman"/>
                <w:i w:val="0"/>
                <w:iCs w:val="0"/>
                <w:color w:val="auto"/>
                <w:kern w:val="0"/>
                <w:sz w:val="21"/>
                <w:szCs w:val="21"/>
                <w:u w:val="none"/>
                <w:lang w:val="en-US" w:eastAsia="zh-CN" w:bidi="ar"/>
              </w:rPr>
              <w:t>3.44723</w:t>
            </w:r>
          </w:p>
        </w:tc>
        <w:tc>
          <w:tcPr>
            <w:tcW w:w="647" w:type="pct"/>
            <w:vAlign w:val="center"/>
          </w:tcPr>
          <w:p w14:paraId="7F3E45FB">
            <w:pPr>
              <w:keepNext w:val="0"/>
              <w:keepLines w:val="0"/>
              <w:widowControl/>
              <w:suppressLineNumbers w:val="0"/>
              <w:jc w:val="center"/>
              <w:textAlignment w:val="bottom"/>
              <w:rPr>
                <w:rFonts w:hint="default"/>
                <w:color w:val="auto"/>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0.928</w:t>
            </w:r>
          </w:p>
        </w:tc>
        <w:tc>
          <w:tcPr>
            <w:tcW w:w="647" w:type="pct"/>
            <w:vAlign w:val="center"/>
          </w:tcPr>
          <w:p w14:paraId="394B3FD8">
            <w:pPr>
              <w:keepNext w:val="0"/>
              <w:keepLines w:val="0"/>
              <w:widowControl/>
              <w:suppressLineNumbers w:val="0"/>
              <w:jc w:val="center"/>
              <w:textAlignment w:val="bottom"/>
              <w:rPr>
                <w:rFonts w:hint="default"/>
                <w:color w:val="auto"/>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3.2162</w:t>
            </w:r>
          </w:p>
        </w:tc>
        <w:tc>
          <w:tcPr>
            <w:tcW w:w="647" w:type="pct"/>
            <w:vAlign w:val="center"/>
          </w:tcPr>
          <w:p w14:paraId="6F0CE72D">
            <w:pPr>
              <w:keepNext w:val="0"/>
              <w:keepLines w:val="0"/>
              <w:widowControl/>
              <w:suppressLineNumbers w:val="0"/>
              <w:jc w:val="center"/>
              <w:textAlignment w:val="bottom"/>
              <w:rPr>
                <w:rFonts w:hint="default"/>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5.73543</w:t>
            </w:r>
          </w:p>
        </w:tc>
        <w:tc>
          <w:tcPr>
            <w:tcW w:w="647" w:type="pct"/>
            <w:vAlign w:val="center"/>
          </w:tcPr>
          <w:p w14:paraId="2A0D942C">
            <w:pPr>
              <w:keepNext w:val="0"/>
              <w:keepLines w:val="0"/>
              <w:widowControl/>
              <w:suppressLineNumbers w:val="0"/>
              <w:jc w:val="center"/>
              <w:textAlignment w:val="bottom"/>
              <w:rPr>
                <w:rFonts w:hint="default"/>
                <w:szCs w:val="21"/>
                <w:lang w:val="en-US" w:eastAsia="zh-CN"/>
              </w:rPr>
            </w:pPr>
            <w:r>
              <w:rPr>
                <w:rFonts w:hint="eastAsia"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2.2882</w:t>
            </w:r>
          </w:p>
        </w:tc>
      </w:tr>
      <w:tr w14:paraId="5FC4A1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88" w:type="pct"/>
            <w:vMerge w:val="continue"/>
            <w:shd w:val="clear" w:color="auto" w:fill="auto"/>
            <w:vAlign w:val="center"/>
          </w:tcPr>
          <w:p w14:paraId="26DDE475">
            <w:pPr>
              <w:widowControl/>
              <w:spacing w:line="240" w:lineRule="exact"/>
              <w:jc w:val="center"/>
              <w:rPr>
                <w:rFonts w:eastAsia="仿宋_GB2312"/>
                <w:kern w:val="0"/>
                <w:szCs w:val="21"/>
                <w:highlight w:val="yellow"/>
              </w:rPr>
            </w:pPr>
          </w:p>
        </w:tc>
        <w:tc>
          <w:tcPr>
            <w:tcW w:w="1147" w:type="pct"/>
            <w:shd w:val="clear" w:color="auto" w:fill="auto"/>
            <w:tcMar>
              <w:top w:w="15" w:type="dxa"/>
              <w:left w:w="15" w:type="dxa"/>
              <w:bottom w:w="0" w:type="dxa"/>
              <w:right w:w="15" w:type="dxa"/>
            </w:tcMar>
            <w:vAlign w:val="center"/>
          </w:tcPr>
          <w:p w14:paraId="04EF40AE">
            <w:pPr>
              <w:widowControl/>
              <w:spacing w:line="240" w:lineRule="exact"/>
              <w:jc w:val="center"/>
              <w:rPr>
                <w:rFonts w:eastAsia="仿宋_GB2312"/>
                <w:color w:val="auto"/>
                <w:kern w:val="0"/>
                <w:szCs w:val="21"/>
                <w:highlight w:val="yellow"/>
              </w:rPr>
            </w:pPr>
            <w:r>
              <w:rPr>
                <w:rFonts w:eastAsia="仿宋_GB2312"/>
                <w:color w:val="auto"/>
                <w:kern w:val="0"/>
                <w:szCs w:val="21"/>
              </w:rPr>
              <w:t>VOCs</w:t>
            </w:r>
          </w:p>
        </w:tc>
        <w:tc>
          <w:tcPr>
            <w:tcW w:w="773" w:type="pct"/>
            <w:vAlign w:val="center"/>
          </w:tcPr>
          <w:p w14:paraId="29EF68B9">
            <w:pPr>
              <w:keepNext w:val="0"/>
              <w:keepLines w:val="0"/>
              <w:widowControl/>
              <w:suppressLineNumbers w:val="0"/>
              <w:jc w:val="center"/>
              <w:textAlignment w:val="bottom"/>
              <w:rPr>
                <w:rFonts w:hint="eastAsia"/>
                <w:color w:val="auto"/>
                <w:szCs w:val="21"/>
              </w:rPr>
            </w:pPr>
            <w:r>
              <w:rPr>
                <w:rFonts w:hint="default" w:ascii="Times New Roman" w:hAnsi="Times New Roman" w:eastAsia="宋体" w:cs="Times New Roman"/>
                <w:i w:val="0"/>
                <w:iCs w:val="0"/>
                <w:color w:val="auto"/>
                <w:kern w:val="0"/>
                <w:sz w:val="21"/>
                <w:szCs w:val="21"/>
                <w:u w:val="none"/>
                <w:lang w:val="en-US" w:eastAsia="zh-CN" w:bidi="ar"/>
              </w:rPr>
              <w:t>5.72823</w:t>
            </w:r>
          </w:p>
        </w:tc>
        <w:tc>
          <w:tcPr>
            <w:tcW w:w="647" w:type="pct"/>
            <w:vAlign w:val="center"/>
          </w:tcPr>
          <w:p w14:paraId="42F21321">
            <w:pPr>
              <w:keepNext w:val="0"/>
              <w:keepLines w:val="0"/>
              <w:widowControl/>
              <w:suppressLineNumbers w:val="0"/>
              <w:jc w:val="center"/>
              <w:textAlignment w:val="bottom"/>
              <w:rPr>
                <w:rFonts w:hint="default"/>
                <w:color w:val="auto"/>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1.785</w:t>
            </w:r>
          </w:p>
        </w:tc>
        <w:tc>
          <w:tcPr>
            <w:tcW w:w="647" w:type="pct"/>
            <w:vAlign w:val="center"/>
          </w:tcPr>
          <w:p w14:paraId="26B8D0C7">
            <w:pPr>
              <w:keepNext w:val="0"/>
              <w:keepLines w:val="0"/>
              <w:widowControl/>
              <w:suppressLineNumbers w:val="0"/>
              <w:jc w:val="center"/>
              <w:textAlignment w:val="bottom"/>
              <w:rPr>
                <w:rFonts w:hint="default"/>
                <w:color w:val="auto"/>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5.6976</w:t>
            </w:r>
          </w:p>
        </w:tc>
        <w:tc>
          <w:tcPr>
            <w:tcW w:w="647" w:type="pct"/>
            <w:vAlign w:val="center"/>
          </w:tcPr>
          <w:p w14:paraId="0027D183">
            <w:pPr>
              <w:keepNext w:val="0"/>
              <w:keepLines w:val="0"/>
              <w:widowControl/>
              <w:suppressLineNumbers w:val="0"/>
              <w:jc w:val="center"/>
              <w:textAlignment w:val="bottom"/>
              <w:rPr>
                <w:rFonts w:hint="default"/>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9.64083</w:t>
            </w:r>
          </w:p>
        </w:tc>
        <w:tc>
          <w:tcPr>
            <w:tcW w:w="647" w:type="pct"/>
            <w:vAlign w:val="center"/>
          </w:tcPr>
          <w:p w14:paraId="5A7DBEF2">
            <w:pPr>
              <w:keepNext w:val="0"/>
              <w:keepLines w:val="0"/>
              <w:widowControl/>
              <w:suppressLineNumbers w:val="0"/>
              <w:jc w:val="center"/>
              <w:textAlignment w:val="bottom"/>
              <w:rPr>
                <w:rFonts w:hint="default"/>
                <w:szCs w:val="21"/>
                <w:lang w:val="en-US" w:eastAsia="zh-CN"/>
              </w:rPr>
            </w:pPr>
            <w:r>
              <w:rPr>
                <w:rFonts w:hint="eastAsia"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3.9126</w:t>
            </w:r>
          </w:p>
        </w:tc>
      </w:tr>
      <w:tr w14:paraId="1BE922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88" w:type="pct"/>
            <w:vMerge w:val="restart"/>
            <w:shd w:val="clear" w:color="auto" w:fill="auto"/>
            <w:tcMar>
              <w:top w:w="15" w:type="dxa"/>
              <w:left w:w="15" w:type="dxa"/>
              <w:bottom w:w="0" w:type="dxa"/>
              <w:right w:w="15" w:type="dxa"/>
            </w:tcMar>
            <w:vAlign w:val="center"/>
          </w:tcPr>
          <w:p w14:paraId="48DB85A8">
            <w:pPr>
              <w:widowControl/>
              <w:spacing w:line="240" w:lineRule="exact"/>
              <w:jc w:val="center"/>
              <w:rPr>
                <w:rFonts w:eastAsia="仿宋_GB2312"/>
                <w:kern w:val="0"/>
                <w:szCs w:val="21"/>
              </w:rPr>
            </w:pPr>
            <w:r>
              <w:rPr>
                <w:rFonts w:eastAsia="仿宋_GB2312"/>
                <w:kern w:val="0"/>
                <w:szCs w:val="21"/>
              </w:rPr>
              <w:t>废水</w:t>
            </w:r>
          </w:p>
          <w:p w14:paraId="484D7592">
            <w:pPr>
              <w:widowControl/>
              <w:spacing w:line="240" w:lineRule="exact"/>
              <w:jc w:val="center"/>
              <w:rPr>
                <w:rFonts w:eastAsia="仿宋_GB2312"/>
                <w:kern w:val="0"/>
                <w:szCs w:val="21"/>
              </w:rPr>
            </w:pPr>
            <w:r>
              <w:rPr>
                <w:rFonts w:eastAsia="仿宋_GB2312"/>
                <w:kern w:val="0"/>
                <w:szCs w:val="21"/>
              </w:rPr>
              <w:t>（接管）</w:t>
            </w:r>
          </w:p>
        </w:tc>
        <w:tc>
          <w:tcPr>
            <w:tcW w:w="1147" w:type="pct"/>
            <w:shd w:val="clear" w:color="auto" w:fill="auto"/>
            <w:tcMar>
              <w:top w:w="15" w:type="dxa"/>
              <w:left w:w="15" w:type="dxa"/>
              <w:bottom w:w="0" w:type="dxa"/>
              <w:right w:w="15" w:type="dxa"/>
            </w:tcMar>
            <w:vAlign w:val="center"/>
          </w:tcPr>
          <w:p w14:paraId="788E7F34">
            <w:pPr>
              <w:widowControl/>
              <w:spacing w:line="240" w:lineRule="exact"/>
              <w:jc w:val="center"/>
              <w:rPr>
                <w:rFonts w:eastAsia="仿宋_GB2312"/>
                <w:color w:val="auto"/>
                <w:kern w:val="0"/>
                <w:szCs w:val="21"/>
              </w:rPr>
            </w:pPr>
            <w:r>
              <w:rPr>
                <w:rFonts w:eastAsia="仿宋_GB2312"/>
                <w:color w:val="auto"/>
                <w:kern w:val="0"/>
                <w:szCs w:val="21"/>
              </w:rPr>
              <w:t>废水量</w:t>
            </w:r>
            <w:r>
              <w:rPr>
                <w:rFonts w:hint="eastAsia" w:eastAsia="仿宋_GB2312"/>
                <w:color w:val="auto"/>
                <w:kern w:val="0"/>
                <w:szCs w:val="21"/>
              </w:rPr>
              <w:t>（m</w:t>
            </w:r>
            <w:r>
              <w:rPr>
                <w:rFonts w:hint="eastAsia" w:eastAsia="仿宋_GB2312"/>
                <w:color w:val="auto"/>
                <w:kern w:val="0"/>
                <w:szCs w:val="21"/>
                <w:vertAlign w:val="superscript"/>
              </w:rPr>
              <w:t>3</w:t>
            </w:r>
            <w:r>
              <w:rPr>
                <w:rFonts w:hint="eastAsia" w:eastAsia="仿宋_GB2312"/>
                <w:color w:val="auto"/>
                <w:kern w:val="0"/>
                <w:szCs w:val="21"/>
              </w:rPr>
              <w:t>/a）</w:t>
            </w:r>
          </w:p>
        </w:tc>
        <w:tc>
          <w:tcPr>
            <w:tcW w:w="773" w:type="pct"/>
            <w:vAlign w:val="center"/>
          </w:tcPr>
          <w:p w14:paraId="2B961AEB">
            <w:pPr>
              <w:keepNext w:val="0"/>
              <w:keepLines w:val="0"/>
              <w:widowControl/>
              <w:suppressLineNumbers w:val="0"/>
              <w:jc w:val="center"/>
              <w:textAlignment w:val="bottom"/>
              <w:rPr>
                <w:rFonts w:hint="default" w:eastAsia="仿宋_GB2312"/>
                <w:color w:val="auto"/>
                <w:kern w:val="0"/>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283840.17</w:t>
            </w:r>
          </w:p>
        </w:tc>
        <w:tc>
          <w:tcPr>
            <w:tcW w:w="647" w:type="pct"/>
            <w:vAlign w:val="center"/>
          </w:tcPr>
          <w:p w14:paraId="35F2C7AE">
            <w:pPr>
              <w:keepNext w:val="0"/>
              <w:keepLines w:val="0"/>
              <w:widowControl/>
              <w:suppressLineNumbers w:val="0"/>
              <w:jc w:val="center"/>
              <w:textAlignment w:val="bottom"/>
              <w:rPr>
                <w:rFonts w:hint="eastAsia" w:eastAsia="仿宋_GB2312"/>
                <w:color w:val="auto"/>
                <w:kern w:val="0"/>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w:t>
            </w:r>
          </w:p>
        </w:tc>
        <w:tc>
          <w:tcPr>
            <w:tcW w:w="647" w:type="pct"/>
            <w:vAlign w:val="center"/>
          </w:tcPr>
          <w:p w14:paraId="02BB7DEC">
            <w:pPr>
              <w:keepNext w:val="0"/>
              <w:keepLines w:val="0"/>
              <w:widowControl/>
              <w:suppressLineNumbers w:val="0"/>
              <w:jc w:val="center"/>
              <w:textAlignment w:val="bottom"/>
              <w:rPr>
                <w:rFonts w:hint="eastAsia" w:eastAsia="仿宋_GB2312"/>
                <w:color w:val="auto"/>
                <w:kern w:val="0"/>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2600</w:t>
            </w:r>
          </w:p>
        </w:tc>
        <w:tc>
          <w:tcPr>
            <w:tcW w:w="647" w:type="pct"/>
            <w:vAlign w:val="center"/>
          </w:tcPr>
          <w:p w14:paraId="13C8AF31">
            <w:pPr>
              <w:keepNext w:val="0"/>
              <w:keepLines w:val="0"/>
              <w:widowControl/>
              <w:suppressLineNumbers w:val="0"/>
              <w:jc w:val="center"/>
              <w:textAlignment w:val="bottom"/>
              <w:rPr>
                <w:rFonts w:hint="eastAsia" w:eastAsia="仿宋_GB2312"/>
                <w:color w:val="auto"/>
                <w:kern w:val="0"/>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286440.17</w:t>
            </w:r>
          </w:p>
        </w:tc>
        <w:tc>
          <w:tcPr>
            <w:tcW w:w="647" w:type="pct"/>
            <w:vAlign w:val="center"/>
          </w:tcPr>
          <w:p w14:paraId="0572F3A8">
            <w:pPr>
              <w:keepNext w:val="0"/>
              <w:keepLines w:val="0"/>
              <w:widowControl/>
              <w:suppressLineNumbers w:val="0"/>
              <w:jc w:val="center"/>
              <w:textAlignment w:val="bottom"/>
              <w:rPr>
                <w:rFonts w:hint="eastAsia" w:eastAsia="仿宋_GB2312"/>
                <w:color w:val="auto"/>
                <w:kern w:val="0"/>
                <w:szCs w:val="21"/>
                <w:lang w:val="en-US" w:eastAsia="zh-CN"/>
              </w:rPr>
            </w:pPr>
            <w:r>
              <w:rPr>
                <w:rFonts w:hint="eastAsia"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2600</w:t>
            </w:r>
          </w:p>
        </w:tc>
      </w:tr>
      <w:tr w14:paraId="2FD061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88" w:type="pct"/>
            <w:vMerge w:val="continue"/>
            <w:shd w:val="clear" w:color="auto" w:fill="auto"/>
            <w:vAlign w:val="center"/>
          </w:tcPr>
          <w:p w14:paraId="217DD941">
            <w:pPr>
              <w:widowControl/>
              <w:spacing w:line="240" w:lineRule="exact"/>
              <w:jc w:val="center"/>
              <w:rPr>
                <w:rFonts w:eastAsia="仿宋_GB2312"/>
                <w:kern w:val="0"/>
                <w:szCs w:val="21"/>
              </w:rPr>
            </w:pPr>
          </w:p>
        </w:tc>
        <w:tc>
          <w:tcPr>
            <w:tcW w:w="1147" w:type="pct"/>
            <w:shd w:val="clear" w:color="auto" w:fill="auto"/>
            <w:tcMar>
              <w:top w:w="15" w:type="dxa"/>
              <w:left w:w="15" w:type="dxa"/>
              <w:bottom w:w="0" w:type="dxa"/>
              <w:right w:w="15" w:type="dxa"/>
            </w:tcMar>
            <w:vAlign w:val="center"/>
          </w:tcPr>
          <w:p w14:paraId="3C1852D3">
            <w:pPr>
              <w:widowControl/>
              <w:spacing w:line="240" w:lineRule="exact"/>
              <w:jc w:val="center"/>
              <w:rPr>
                <w:rFonts w:eastAsia="仿宋_GB2312"/>
                <w:kern w:val="0"/>
                <w:szCs w:val="21"/>
              </w:rPr>
            </w:pPr>
            <w:r>
              <w:rPr>
                <w:rFonts w:eastAsia="仿宋_GB2312"/>
                <w:kern w:val="0"/>
                <w:szCs w:val="21"/>
              </w:rPr>
              <w:t>COD</w:t>
            </w:r>
          </w:p>
        </w:tc>
        <w:tc>
          <w:tcPr>
            <w:tcW w:w="773" w:type="pct"/>
            <w:vAlign w:val="center"/>
          </w:tcPr>
          <w:p w14:paraId="69EB20DA">
            <w:pPr>
              <w:keepNext w:val="0"/>
              <w:keepLines w:val="0"/>
              <w:widowControl/>
              <w:suppressLineNumbers w:val="0"/>
              <w:jc w:val="center"/>
              <w:textAlignment w:val="bottom"/>
              <w:rPr>
                <w:rFonts w:hint="default" w:eastAsia="仿宋_GB2312"/>
                <w:color w:val="auto"/>
                <w:kern w:val="0"/>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67.4394</w:t>
            </w:r>
          </w:p>
        </w:tc>
        <w:tc>
          <w:tcPr>
            <w:tcW w:w="647" w:type="pct"/>
            <w:vAlign w:val="center"/>
          </w:tcPr>
          <w:p w14:paraId="53E6B9FB">
            <w:pPr>
              <w:keepNext w:val="0"/>
              <w:keepLines w:val="0"/>
              <w:widowControl/>
              <w:suppressLineNumbers w:val="0"/>
              <w:jc w:val="center"/>
              <w:textAlignment w:val="bottom"/>
              <w:rPr>
                <w:rFonts w:hint="eastAsia" w:eastAsia="仿宋_GB2312"/>
                <w:color w:val="auto"/>
                <w:kern w:val="0"/>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647" w:type="pct"/>
            <w:vAlign w:val="center"/>
          </w:tcPr>
          <w:p w14:paraId="2E4211DC">
            <w:pPr>
              <w:keepNext w:val="0"/>
              <w:keepLines w:val="0"/>
              <w:widowControl/>
              <w:suppressLineNumbers w:val="0"/>
              <w:jc w:val="center"/>
              <w:textAlignment w:val="bottom"/>
              <w:rPr>
                <w:rFonts w:hint="eastAsia" w:eastAsia="仿宋_GB2312"/>
                <w:color w:val="auto"/>
                <w:kern w:val="0"/>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0.21</w:t>
            </w:r>
          </w:p>
        </w:tc>
        <w:tc>
          <w:tcPr>
            <w:tcW w:w="647" w:type="pct"/>
            <w:vAlign w:val="center"/>
          </w:tcPr>
          <w:p w14:paraId="2FC33925">
            <w:pPr>
              <w:keepNext w:val="0"/>
              <w:keepLines w:val="0"/>
              <w:widowControl/>
              <w:suppressLineNumbers w:val="0"/>
              <w:jc w:val="center"/>
              <w:textAlignment w:val="bottom"/>
              <w:rPr>
                <w:rFonts w:hint="eastAsia" w:eastAsia="仿宋_GB2312"/>
                <w:color w:val="auto"/>
                <w:kern w:val="0"/>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67.6494</w:t>
            </w:r>
          </w:p>
        </w:tc>
        <w:tc>
          <w:tcPr>
            <w:tcW w:w="647" w:type="pct"/>
            <w:vAlign w:val="center"/>
          </w:tcPr>
          <w:p w14:paraId="20C585F8">
            <w:pPr>
              <w:keepNext w:val="0"/>
              <w:keepLines w:val="0"/>
              <w:widowControl/>
              <w:suppressLineNumbers w:val="0"/>
              <w:jc w:val="center"/>
              <w:textAlignment w:val="bottom"/>
              <w:rPr>
                <w:rFonts w:hint="eastAsia" w:eastAsia="仿宋_GB2312"/>
                <w:color w:val="auto"/>
                <w:kern w:val="0"/>
                <w:szCs w:val="21"/>
                <w:lang w:val="en-US" w:eastAsia="zh-CN"/>
              </w:rPr>
            </w:pPr>
            <w:r>
              <w:rPr>
                <w:rFonts w:hint="eastAsia"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0.21</w:t>
            </w:r>
          </w:p>
        </w:tc>
      </w:tr>
      <w:tr w14:paraId="3AB8EF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88" w:type="pct"/>
            <w:vMerge w:val="continue"/>
            <w:shd w:val="clear" w:color="auto" w:fill="auto"/>
            <w:vAlign w:val="center"/>
          </w:tcPr>
          <w:p w14:paraId="326D2181">
            <w:pPr>
              <w:widowControl/>
              <w:spacing w:line="240" w:lineRule="exact"/>
              <w:jc w:val="center"/>
              <w:rPr>
                <w:rFonts w:eastAsia="仿宋_GB2312"/>
                <w:kern w:val="0"/>
                <w:szCs w:val="21"/>
              </w:rPr>
            </w:pPr>
          </w:p>
        </w:tc>
        <w:tc>
          <w:tcPr>
            <w:tcW w:w="1147" w:type="pct"/>
            <w:shd w:val="clear" w:color="auto" w:fill="auto"/>
            <w:tcMar>
              <w:top w:w="15" w:type="dxa"/>
              <w:left w:w="15" w:type="dxa"/>
              <w:bottom w:w="0" w:type="dxa"/>
              <w:right w:w="15" w:type="dxa"/>
            </w:tcMar>
            <w:vAlign w:val="center"/>
          </w:tcPr>
          <w:p w14:paraId="15BE685D">
            <w:pPr>
              <w:widowControl/>
              <w:spacing w:line="240" w:lineRule="exact"/>
              <w:jc w:val="center"/>
              <w:rPr>
                <w:rFonts w:eastAsia="仿宋_GB2312"/>
                <w:kern w:val="0"/>
                <w:szCs w:val="21"/>
              </w:rPr>
            </w:pPr>
            <w:r>
              <w:rPr>
                <w:rFonts w:eastAsia="仿宋_GB2312"/>
                <w:kern w:val="0"/>
                <w:szCs w:val="21"/>
              </w:rPr>
              <w:t>SS</w:t>
            </w:r>
          </w:p>
        </w:tc>
        <w:tc>
          <w:tcPr>
            <w:tcW w:w="773" w:type="pct"/>
            <w:vAlign w:val="center"/>
          </w:tcPr>
          <w:p w14:paraId="1B243107">
            <w:pPr>
              <w:keepNext w:val="0"/>
              <w:keepLines w:val="0"/>
              <w:widowControl/>
              <w:suppressLineNumbers w:val="0"/>
              <w:jc w:val="center"/>
              <w:textAlignment w:val="bottom"/>
              <w:rPr>
                <w:rFonts w:hint="default" w:eastAsia="仿宋_GB2312"/>
                <w:color w:val="auto"/>
                <w:kern w:val="0"/>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31.0367</w:t>
            </w:r>
          </w:p>
        </w:tc>
        <w:tc>
          <w:tcPr>
            <w:tcW w:w="647" w:type="pct"/>
            <w:vAlign w:val="center"/>
          </w:tcPr>
          <w:p w14:paraId="29D6C659">
            <w:pPr>
              <w:keepNext w:val="0"/>
              <w:keepLines w:val="0"/>
              <w:widowControl/>
              <w:suppressLineNumbers w:val="0"/>
              <w:jc w:val="center"/>
              <w:textAlignment w:val="bottom"/>
              <w:rPr>
                <w:rFonts w:hint="eastAsia" w:eastAsia="仿宋_GB2312"/>
                <w:color w:val="auto"/>
                <w:kern w:val="0"/>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647" w:type="pct"/>
            <w:vAlign w:val="center"/>
          </w:tcPr>
          <w:p w14:paraId="5484AE15">
            <w:pPr>
              <w:keepNext w:val="0"/>
              <w:keepLines w:val="0"/>
              <w:widowControl/>
              <w:suppressLineNumbers w:val="0"/>
              <w:jc w:val="center"/>
              <w:textAlignment w:val="bottom"/>
              <w:rPr>
                <w:rFonts w:hint="eastAsia" w:eastAsia="仿宋_GB2312"/>
                <w:color w:val="auto"/>
                <w:kern w:val="0"/>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0.026</w:t>
            </w:r>
          </w:p>
        </w:tc>
        <w:tc>
          <w:tcPr>
            <w:tcW w:w="647" w:type="pct"/>
            <w:vAlign w:val="center"/>
          </w:tcPr>
          <w:p w14:paraId="06572717">
            <w:pPr>
              <w:keepNext w:val="0"/>
              <w:keepLines w:val="0"/>
              <w:widowControl/>
              <w:suppressLineNumbers w:val="0"/>
              <w:jc w:val="center"/>
              <w:textAlignment w:val="bottom"/>
              <w:rPr>
                <w:rFonts w:hint="eastAsia" w:eastAsia="仿宋_GB2312"/>
                <w:color w:val="auto"/>
                <w:kern w:val="0"/>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31.0627</w:t>
            </w:r>
          </w:p>
        </w:tc>
        <w:tc>
          <w:tcPr>
            <w:tcW w:w="647" w:type="pct"/>
            <w:vAlign w:val="center"/>
          </w:tcPr>
          <w:p w14:paraId="35A48B71">
            <w:pPr>
              <w:keepNext w:val="0"/>
              <w:keepLines w:val="0"/>
              <w:widowControl/>
              <w:suppressLineNumbers w:val="0"/>
              <w:jc w:val="center"/>
              <w:textAlignment w:val="bottom"/>
              <w:rPr>
                <w:rFonts w:hint="eastAsia" w:eastAsia="仿宋_GB2312"/>
                <w:color w:val="auto"/>
                <w:kern w:val="0"/>
                <w:szCs w:val="21"/>
                <w:lang w:val="en-US" w:eastAsia="zh-CN"/>
              </w:rPr>
            </w:pPr>
            <w:r>
              <w:rPr>
                <w:rFonts w:hint="eastAsia"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0.026</w:t>
            </w:r>
          </w:p>
        </w:tc>
      </w:tr>
      <w:tr w14:paraId="3F4A9D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88" w:type="pct"/>
            <w:vMerge w:val="continue"/>
            <w:shd w:val="clear" w:color="auto" w:fill="auto"/>
            <w:vAlign w:val="center"/>
          </w:tcPr>
          <w:p w14:paraId="073A1F19">
            <w:pPr>
              <w:widowControl/>
              <w:spacing w:line="240" w:lineRule="exact"/>
              <w:jc w:val="center"/>
              <w:rPr>
                <w:rFonts w:eastAsia="仿宋_GB2312"/>
                <w:kern w:val="0"/>
                <w:szCs w:val="21"/>
              </w:rPr>
            </w:pPr>
          </w:p>
        </w:tc>
        <w:tc>
          <w:tcPr>
            <w:tcW w:w="1147" w:type="pct"/>
            <w:shd w:val="clear" w:color="auto" w:fill="auto"/>
            <w:tcMar>
              <w:top w:w="15" w:type="dxa"/>
              <w:left w:w="15" w:type="dxa"/>
              <w:bottom w:w="0" w:type="dxa"/>
              <w:right w:w="15" w:type="dxa"/>
            </w:tcMar>
            <w:vAlign w:val="center"/>
          </w:tcPr>
          <w:p w14:paraId="2BC59CD7">
            <w:pPr>
              <w:widowControl/>
              <w:spacing w:line="240" w:lineRule="exact"/>
              <w:jc w:val="center"/>
              <w:rPr>
                <w:rFonts w:eastAsia="仿宋_GB2312"/>
                <w:kern w:val="0"/>
                <w:szCs w:val="21"/>
              </w:rPr>
            </w:pPr>
            <w:r>
              <w:rPr>
                <w:rFonts w:eastAsia="仿宋_GB2312"/>
                <w:kern w:val="0"/>
                <w:szCs w:val="21"/>
              </w:rPr>
              <w:t>NH</w:t>
            </w:r>
            <w:r>
              <w:rPr>
                <w:rFonts w:eastAsia="仿宋_GB2312"/>
                <w:kern w:val="0"/>
                <w:szCs w:val="21"/>
                <w:vertAlign w:val="subscript"/>
              </w:rPr>
              <w:t>3</w:t>
            </w:r>
            <w:r>
              <w:rPr>
                <w:rFonts w:eastAsia="仿宋_GB2312"/>
                <w:kern w:val="0"/>
                <w:szCs w:val="21"/>
              </w:rPr>
              <w:t>-N</w:t>
            </w:r>
          </w:p>
        </w:tc>
        <w:tc>
          <w:tcPr>
            <w:tcW w:w="773" w:type="pct"/>
            <w:vAlign w:val="center"/>
          </w:tcPr>
          <w:p w14:paraId="512BA745">
            <w:pPr>
              <w:keepNext w:val="0"/>
              <w:keepLines w:val="0"/>
              <w:widowControl/>
              <w:suppressLineNumbers w:val="0"/>
              <w:jc w:val="center"/>
              <w:textAlignment w:val="bottom"/>
              <w:rPr>
                <w:rFonts w:eastAsia="仿宋_GB2312"/>
                <w:color w:val="auto"/>
                <w:kern w:val="0"/>
                <w:szCs w:val="21"/>
              </w:rPr>
            </w:pPr>
            <w:r>
              <w:rPr>
                <w:rFonts w:hint="default" w:ascii="Times New Roman" w:hAnsi="Times New Roman" w:eastAsia="宋体" w:cs="Times New Roman"/>
                <w:i w:val="0"/>
                <w:iCs w:val="0"/>
                <w:color w:val="000000"/>
                <w:kern w:val="0"/>
                <w:sz w:val="21"/>
                <w:szCs w:val="21"/>
                <w:u w:val="none"/>
                <w:lang w:val="en-US" w:eastAsia="zh-CN" w:bidi="ar"/>
              </w:rPr>
              <w:t>0.4182</w:t>
            </w:r>
          </w:p>
        </w:tc>
        <w:tc>
          <w:tcPr>
            <w:tcW w:w="647" w:type="pct"/>
            <w:vAlign w:val="center"/>
          </w:tcPr>
          <w:p w14:paraId="030C7C1B">
            <w:pPr>
              <w:keepNext w:val="0"/>
              <w:keepLines w:val="0"/>
              <w:widowControl/>
              <w:suppressLineNumbers w:val="0"/>
              <w:jc w:val="center"/>
              <w:textAlignment w:val="bottom"/>
              <w:rPr>
                <w:rFonts w:eastAsia="仿宋_GB2312"/>
                <w:color w:val="auto"/>
                <w:kern w:val="0"/>
                <w:szCs w:val="21"/>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647" w:type="pct"/>
            <w:vAlign w:val="center"/>
          </w:tcPr>
          <w:p w14:paraId="614E9D26">
            <w:pPr>
              <w:keepNext w:val="0"/>
              <w:keepLines w:val="0"/>
              <w:widowControl/>
              <w:suppressLineNumbers w:val="0"/>
              <w:jc w:val="center"/>
              <w:textAlignment w:val="bottom"/>
              <w:rPr>
                <w:rFonts w:eastAsia="仿宋_GB2312"/>
                <w:color w:val="auto"/>
                <w:kern w:val="0"/>
                <w:szCs w:val="21"/>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647" w:type="pct"/>
            <w:vAlign w:val="center"/>
          </w:tcPr>
          <w:p w14:paraId="52F79462">
            <w:pPr>
              <w:keepNext w:val="0"/>
              <w:keepLines w:val="0"/>
              <w:widowControl/>
              <w:suppressLineNumbers w:val="0"/>
              <w:jc w:val="center"/>
              <w:textAlignment w:val="bottom"/>
              <w:rPr>
                <w:rFonts w:eastAsia="仿宋_GB2312"/>
                <w:color w:val="auto"/>
                <w:kern w:val="0"/>
                <w:szCs w:val="21"/>
              </w:rPr>
            </w:pPr>
            <w:r>
              <w:rPr>
                <w:rFonts w:hint="default" w:ascii="Times New Roman" w:hAnsi="Times New Roman" w:eastAsia="宋体" w:cs="Times New Roman"/>
                <w:i w:val="0"/>
                <w:iCs w:val="0"/>
                <w:color w:val="000000"/>
                <w:kern w:val="0"/>
                <w:sz w:val="21"/>
                <w:szCs w:val="21"/>
                <w:u w:val="none"/>
                <w:lang w:val="en-US" w:eastAsia="zh-CN" w:bidi="ar"/>
              </w:rPr>
              <w:t>0.4182</w:t>
            </w:r>
          </w:p>
        </w:tc>
        <w:tc>
          <w:tcPr>
            <w:tcW w:w="647" w:type="pct"/>
            <w:vAlign w:val="center"/>
          </w:tcPr>
          <w:p w14:paraId="18DB6CAC">
            <w:pPr>
              <w:keepNext w:val="0"/>
              <w:keepLines w:val="0"/>
              <w:widowControl/>
              <w:suppressLineNumbers w:val="0"/>
              <w:jc w:val="center"/>
              <w:textAlignment w:val="bottom"/>
              <w:rPr>
                <w:rFonts w:eastAsia="仿宋_GB2312"/>
                <w:color w:val="auto"/>
                <w:kern w:val="0"/>
                <w:szCs w:val="21"/>
              </w:rPr>
            </w:pPr>
            <w:r>
              <w:rPr>
                <w:rFonts w:hint="default" w:ascii="Times New Roman" w:hAnsi="Times New Roman" w:eastAsia="宋体" w:cs="Times New Roman"/>
                <w:i w:val="0"/>
                <w:iCs w:val="0"/>
                <w:color w:val="000000"/>
                <w:kern w:val="0"/>
                <w:sz w:val="21"/>
                <w:szCs w:val="21"/>
                <w:u w:val="none"/>
                <w:lang w:val="en-US" w:eastAsia="zh-CN" w:bidi="ar"/>
              </w:rPr>
              <w:t>0</w:t>
            </w:r>
          </w:p>
        </w:tc>
      </w:tr>
      <w:tr w14:paraId="22B724F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88" w:type="pct"/>
            <w:vMerge w:val="continue"/>
            <w:shd w:val="clear" w:color="auto" w:fill="auto"/>
            <w:vAlign w:val="center"/>
          </w:tcPr>
          <w:p w14:paraId="05D2416E">
            <w:pPr>
              <w:widowControl/>
              <w:spacing w:line="240" w:lineRule="exact"/>
              <w:jc w:val="center"/>
              <w:rPr>
                <w:rFonts w:eastAsia="仿宋_GB2312"/>
                <w:kern w:val="0"/>
                <w:szCs w:val="21"/>
              </w:rPr>
            </w:pPr>
          </w:p>
        </w:tc>
        <w:tc>
          <w:tcPr>
            <w:tcW w:w="1147" w:type="pct"/>
            <w:shd w:val="clear" w:color="auto" w:fill="auto"/>
            <w:tcMar>
              <w:top w:w="15" w:type="dxa"/>
              <w:left w:w="15" w:type="dxa"/>
              <w:bottom w:w="0" w:type="dxa"/>
              <w:right w:w="15" w:type="dxa"/>
            </w:tcMar>
            <w:vAlign w:val="center"/>
          </w:tcPr>
          <w:p w14:paraId="115AA8E9">
            <w:pPr>
              <w:widowControl/>
              <w:spacing w:line="240" w:lineRule="exact"/>
              <w:jc w:val="center"/>
              <w:rPr>
                <w:rFonts w:eastAsia="仿宋_GB2312"/>
                <w:kern w:val="0"/>
                <w:szCs w:val="21"/>
              </w:rPr>
            </w:pPr>
            <w:r>
              <w:rPr>
                <w:rFonts w:eastAsia="仿宋_GB2312"/>
                <w:kern w:val="0"/>
                <w:szCs w:val="21"/>
              </w:rPr>
              <w:t>TP</w:t>
            </w:r>
          </w:p>
        </w:tc>
        <w:tc>
          <w:tcPr>
            <w:tcW w:w="773" w:type="pct"/>
            <w:vAlign w:val="center"/>
          </w:tcPr>
          <w:p w14:paraId="559CDA4B">
            <w:pPr>
              <w:keepNext w:val="0"/>
              <w:keepLines w:val="0"/>
              <w:widowControl/>
              <w:suppressLineNumbers w:val="0"/>
              <w:jc w:val="center"/>
              <w:textAlignment w:val="bottom"/>
              <w:rPr>
                <w:rFonts w:eastAsia="仿宋_GB2312"/>
                <w:color w:val="auto"/>
                <w:kern w:val="0"/>
                <w:szCs w:val="21"/>
              </w:rPr>
            </w:pPr>
            <w:r>
              <w:rPr>
                <w:rFonts w:hint="default" w:ascii="Times New Roman" w:hAnsi="Times New Roman" w:eastAsia="宋体" w:cs="Times New Roman"/>
                <w:i w:val="0"/>
                <w:iCs w:val="0"/>
                <w:color w:val="000000"/>
                <w:kern w:val="0"/>
                <w:sz w:val="21"/>
                <w:szCs w:val="21"/>
                <w:u w:val="none"/>
                <w:lang w:val="en-US" w:eastAsia="zh-CN" w:bidi="ar"/>
              </w:rPr>
              <w:t>0.08182</w:t>
            </w:r>
          </w:p>
        </w:tc>
        <w:tc>
          <w:tcPr>
            <w:tcW w:w="647" w:type="pct"/>
            <w:vAlign w:val="center"/>
          </w:tcPr>
          <w:p w14:paraId="14741682">
            <w:pPr>
              <w:keepNext w:val="0"/>
              <w:keepLines w:val="0"/>
              <w:widowControl/>
              <w:suppressLineNumbers w:val="0"/>
              <w:jc w:val="center"/>
              <w:textAlignment w:val="bottom"/>
              <w:rPr>
                <w:rFonts w:eastAsia="仿宋_GB2312"/>
                <w:color w:val="auto"/>
                <w:kern w:val="0"/>
                <w:szCs w:val="21"/>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647" w:type="pct"/>
            <w:vAlign w:val="center"/>
          </w:tcPr>
          <w:p w14:paraId="1C54872B">
            <w:pPr>
              <w:keepNext w:val="0"/>
              <w:keepLines w:val="0"/>
              <w:widowControl/>
              <w:suppressLineNumbers w:val="0"/>
              <w:jc w:val="center"/>
              <w:textAlignment w:val="bottom"/>
              <w:rPr>
                <w:rFonts w:eastAsia="仿宋_GB2312"/>
                <w:color w:val="auto"/>
                <w:kern w:val="0"/>
                <w:szCs w:val="21"/>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647" w:type="pct"/>
            <w:vAlign w:val="center"/>
          </w:tcPr>
          <w:p w14:paraId="197E392C">
            <w:pPr>
              <w:keepNext w:val="0"/>
              <w:keepLines w:val="0"/>
              <w:widowControl/>
              <w:suppressLineNumbers w:val="0"/>
              <w:jc w:val="center"/>
              <w:textAlignment w:val="bottom"/>
              <w:rPr>
                <w:rFonts w:eastAsia="仿宋_GB2312"/>
                <w:color w:val="auto"/>
                <w:kern w:val="0"/>
                <w:szCs w:val="21"/>
              </w:rPr>
            </w:pPr>
            <w:r>
              <w:rPr>
                <w:rFonts w:hint="default" w:ascii="Times New Roman" w:hAnsi="Times New Roman" w:eastAsia="宋体" w:cs="Times New Roman"/>
                <w:i w:val="0"/>
                <w:iCs w:val="0"/>
                <w:color w:val="000000"/>
                <w:kern w:val="0"/>
                <w:sz w:val="21"/>
                <w:szCs w:val="21"/>
                <w:u w:val="none"/>
                <w:lang w:val="en-US" w:eastAsia="zh-CN" w:bidi="ar"/>
              </w:rPr>
              <w:t>0.08182</w:t>
            </w:r>
          </w:p>
        </w:tc>
        <w:tc>
          <w:tcPr>
            <w:tcW w:w="647" w:type="pct"/>
            <w:vAlign w:val="center"/>
          </w:tcPr>
          <w:p w14:paraId="167CA29B">
            <w:pPr>
              <w:keepNext w:val="0"/>
              <w:keepLines w:val="0"/>
              <w:widowControl/>
              <w:suppressLineNumbers w:val="0"/>
              <w:jc w:val="center"/>
              <w:textAlignment w:val="bottom"/>
              <w:rPr>
                <w:rFonts w:eastAsia="仿宋_GB2312"/>
                <w:color w:val="auto"/>
                <w:kern w:val="0"/>
                <w:szCs w:val="21"/>
              </w:rPr>
            </w:pPr>
            <w:r>
              <w:rPr>
                <w:rFonts w:hint="default" w:ascii="Times New Roman" w:hAnsi="Times New Roman" w:eastAsia="宋体" w:cs="Times New Roman"/>
                <w:i w:val="0"/>
                <w:iCs w:val="0"/>
                <w:color w:val="000000"/>
                <w:kern w:val="0"/>
                <w:sz w:val="21"/>
                <w:szCs w:val="21"/>
                <w:u w:val="none"/>
                <w:lang w:val="en-US" w:eastAsia="zh-CN" w:bidi="ar"/>
              </w:rPr>
              <w:t>0</w:t>
            </w:r>
          </w:p>
        </w:tc>
      </w:tr>
      <w:tr w14:paraId="2EE20F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88" w:type="pct"/>
            <w:vMerge w:val="continue"/>
            <w:shd w:val="clear" w:color="auto" w:fill="auto"/>
            <w:vAlign w:val="center"/>
          </w:tcPr>
          <w:p w14:paraId="103C338F">
            <w:pPr>
              <w:widowControl/>
              <w:spacing w:line="240" w:lineRule="exact"/>
              <w:jc w:val="center"/>
              <w:rPr>
                <w:rFonts w:eastAsia="仿宋_GB2312"/>
                <w:kern w:val="0"/>
                <w:szCs w:val="21"/>
              </w:rPr>
            </w:pPr>
          </w:p>
        </w:tc>
        <w:tc>
          <w:tcPr>
            <w:tcW w:w="1147" w:type="pct"/>
            <w:shd w:val="clear" w:color="auto" w:fill="auto"/>
            <w:tcMar>
              <w:top w:w="15" w:type="dxa"/>
              <w:left w:w="15" w:type="dxa"/>
              <w:bottom w:w="0" w:type="dxa"/>
              <w:right w:w="15" w:type="dxa"/>
            </w:tcMar>
            <w:vAlign w:val="center"/>
          </w:tcPr>
          <w:p w14:paraId="3234C7EB">
            <w:pPr>
              <w:widowControl/>
              <w:spacing w:line="240" w:lineRule="exact"/>
              <w:jc w:val="center"/>
              <w:rPr>
                <w:rFonts w:eastAsia="仿宋_GB2312"/>
                <w:kern w:val="0"/>
                <w:szCs w:val="21"/>
              </w:rPr>
            </w:pPr>
            <w:r>
              <w:rPr>
                <w:rFonts w:eastAsia="仿宋_GB2312"/>
                <w:kern w:val="0"/>
                <w:szCs w:val="21"/>
              </w:rPr>
              <w:t>甲苯</w:t>
            </w:r>
          </w:p>
        </w:tc>
        <w:tc>
          <w:tcPr>
            <w:tcW w:w="773" w:type="pct"/>
            <w:vAlign w:val="center"/>
          </w:tcPr>
          <w:p w14:paraId="66F357C8">
            <w:pPr>
              <w:keepNext w:val="0"/>
              <w:keepLines w:val="0"/>
              <w:widowControl/>
              <w:suppressLineNumbers w:val="0"/>
              <w:jc w:val="center"/>
              <w:textAlignment w:val="bottom"/>
              <w:rPr>
                <w:rFonts w:eastAsia="仿宋_GB2312"/>
                <w:color w:val="auto"/>
                <w:kern w:val="0"/>
                <w:szCs w:val="21"/>
              </w:rPr>
            </w:pPr>
            <w:r>
              <w:rPr>
                <w:rFonts w:hint="default" w:ascii="Times New Roman" w:hAnsi="Times New Roman" w:eastAsia="宋体" w:cs="Times New Roman"/>
                <w:i w:val="0"/>
                <w:iCs w:val="0"/>
                <w:color w:val="000000"/>
                <w:kern w:val="0"/>
                <w:sz w:val="21"/>
                <w:szCs w:val="21"/>
                <w:u w:val="none"/>
                <w:lang w:val="en-US" w:eastAsia="zh-CN" w:bidi="ar"/>
              </w:rPr>
              <w:t>0.0029</w:t>
            </w:r>
          </w:p>
        </w:tc>
        <w:tc>
          <w:tcPr>
            <w:tcW w:w="647" w:type="pct"/>
            <w:vAlign w:val="center"/>
          </w:tcPr>
          <w:p w14:paraId="287F8E93">
            <w:pPr>
              <w:keepNext w:val="0"/>
              <w:keepLines w:val="0"/>
              <w:widowControl/>
              <w:suppressLineNumbers w:val="0"/>
              <w:jc w:val="center"/>
              <w:textAlignment w:val="bottom"/>
              <w:rPr>
                <w:rFonts w:eastAsia="仿宋_GB2312"/>
                <w:color w:val="auto"/>
                <w:kern w:val="0"/>
                <w:szCs w:val="21"/>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647" w:type="pct"/>
            <w:vAlign w:val="center"/>
          </w:tcPr>
          <w:p w14:paraId="15EAEEBF">
            <w:pPr>
              <w:keepNext w:val="0"/>
              <w:keepLines w:val="0"/>
              <w:widowControl/>
              <w:suppressLineNumbers w:val="0"/>
              <w:jc w:val="center"/>
              <w:textAlignment w:val="bottom"/>
              <w:rPr>
                <w:rFonts w:eastAsia="仿宋_GB2312"/>
                <w:color w:val="auto"/>
                <w:kern w:val="0"/>
                <w:szCs w:val="21"/>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647" w:type="pct"/>
            <w:vAlign w:val="center"/>
          </w:tcPr>
          <w:p w14:paraId="0D1E3114">
            <w:pPr>
              <w:keepNext w:val="0"/>
              <w:keepLines w:val="0"/>
              <w:widowControl/>
              <w:suppressLineNumbers w:val="0"/>
              <w:jc w:val="center"/>
              <w:textAlignment w:val="bottom"/>
              <w:rPr>
                <w:rFonts w:eastAsia="仿宋_GB2312"/>
                <w:color w:val="auto"/>
                <w:kern w:val="0"/>
                <w:szCs w:val="21"/>
              </w:rPr>
            </w:pPr>
            <w:r>
              <w:rPr>
                <w:rFonts w:hint="default" w:ascii="Times New Roman" w:hAnsi="Times New Roman" w:eastAsia="宋体" w:cs="Times New Roman"/>
                <w:i w:val="0"/>
                <w:iCs w:val="0"/>
                <w:color w:val="000000"/>
                <w:kern w:val="0"/>
                <w:sz w:val="21"/>
                <w:szCs w:val="21"/>
                <w:u w:val="none"/>
                <w:lang w:val="en-US" w:eastAsia="zh-CN" w:bidi="ar"/>
              </w:rPr>
              <w:t>0.0029</w:t>
            </w:r>
          </w:p>
        </w:tc>
        <w:tc>
          <w:tcPr>
            <w:tcW w:w="647" w:type="pct"/>
            <w:vAlign w:val="center"/>
          </w:tcPr>
          <w:p w14:paraId="4CA4084B">
            <w:pPr>
              <w:keepNext w:val="0"/>
              <w:keepLines w:val="0"/>
              <w:widowControl/>
              <w:suppressLineNumbers w:val="0"/>
              <w:jc w:val="center"/>
              <w:textAlignment w:val="bottom"/>
              <w:rPr>
                <w:rFonts w:eastAsia="仿宋_GB2312"/>
                <w:color w:val="auto"/>
                <w:kern w:val="0"/>
                <w:szCs w:val="21"/>
              </w:rPr>
            </w:pPr>
            <w:r>
              <w:rPr>
                <w:rFonts w:hint="default" w:ascii="Times New Roman" w:hAnsi="Times New Roman" w:eastAsia="宋体" w:cs="Times New Roman"/>
                <w:i w:val="0"/>
                <w:iCs w:val="0"/>
                <w:color w:val="000000"/>
                <w:kern w:val="0"/>
                <w:sz w:val="21"/>
                <w:szCs w:val="21"/>
                <w:u w:val="none"/>
                <w:lang w:val="en-US" w:eastAsia="zh-CN" w:bidi="ar"/>
              </w:rPr>
              <w:t>0</w:t>
            </w:r>
          </w:p>
        </w:tc>
      </w:tr>
      <w:tr w14:paraId="68E9FA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88" w:type="pct"/>
            <w:vMerge w:val="continue"/>
            <w:shd w:val="clear" w:color="auto" w:fill="auto"/>
            <w:vAlign w:val="center"/>
          </w:tcPr>
          <w:p w14:paraId="0574116F">
            <w:pPr>
              <w:widowControl/>
              <w:spacing w:line="240" w:lineRule="exact"/>
              <w:jc w:val="center"/>
              <w:rPr>
                <w:rFonts w:eastAsia="仿宋_GB2312"/>
                <w:kern w:val="0"/>
                <w:szCs w:val="21"/>
              </w:rPr>
            </w:pPr>
          </w:p>
        </w:tc>
        <w:tc>
          <w:tcPr>
            <w:tcW w:w="1147" w:type="pct"/>
            <w:shd w:val="clear" w:color="auto" w:fill="auto"/>
            <w:tcMar>
              <w:top w:w="15" w:type="dxa"/>
              <w:left w:w="15" w:type="dxa"/>
              <w:bottom w:w="0" w:type="dxa"/>
              <w:right w:w="15" w:type="dxa"/>
            </w:tcMar>
            <w:vAlign w:val="center"/>
          </w:tcPr>
          <w:p w14:paraId="5C6AD4D4">
            <w:pPr>
              <w:widowControl/>
              <w:spacing w:line="240" w:lineRule="exact"/>
              <w:jc w:val="center"/>
              <w:rPr>
                <w:rFonts w:eastAsia="仿宋_GB2312"/>
                <w:kern w:val="0"/>
                <w:szCs w:val="21"/>
              </w:rPr>
            </w:pPr>
            <w:r>
              <w:rPr>
                <w:rFonts w:eastAsia="仿宋_GB2312"/>
                <w:kern w:val="0"/>
                <w:szCs w:val="21"/>
              </w:rPr>
              <w:t>二甲苯</w:t>
            </w:r>
          </w:p>
        </w:tc>
        <w:tc>
          <w:tcPr>
            <w:tcW w:w="773" w:type="pct"/>
            <w:vAlign w:val="center"/>
          </w:tcPr>
          <w:p w14:paraId="1BB36A10">
            <w:pPr>
              <w:keepNext w:val="0"/>
              <w:keepLines w:val="0"/>
              <w:widowControl/>
              <w:suppressLineNumbers w:val="0"/>
              <w:jc w:val="center"/>
              <w:textAlignment w:val="bottom"/>
              <w:rPr>
                <w:rFonts w:eastAsia="仿宋_GB2312"/>
                <w:color w:val="auto"/>
                <w:kern w:val="0"/>
                <w:szCs w:val="21"/>
              </w:rPr>
            </w:pPr>
            <w:r>
              <w:rPr>
                <w:rFonts w:hint="default" w:ascii="Times New Roman" w:hAnsi="Times New Roman" w:eastAsia="宋体" w:cs="Times New Roman"/>
                <w:i w:val="0"/>
                <w:iCs w:val="0"/>
                <w:color w:val="000000"/>
                <w:kern w:val="0"/>
                <w:sz w:val="21"/>
                <w:szCs w:val="21"/>
                <w:u w:val="none"/>
                <w:lang w:val="en-US" w:eastAsia="zh-CN" w:bidi="ar"/>
              </w:rPr>
              <w:t>0.00241</w:t>
            </w:r>
          </w:p>
        </w:tc>
        <w:tc>
          <w:tcPr>
            <w:tcW w:w="647" w:type="pct"/>
            <w:vAlign w:val="center"/>
          </w:tcPr>
          <w:p w14:paraId="47FFFD6C">
            <w:pPr>
              <w:keepNext w:val="0"/>
              <w:keepLines w:val="0"/>
              <w:widowControl/>
              <w:suppressLineNumbers w:val="0"/>
              <w:jc w:val="center"/>
              <w:textAlignment w:val="bottom"/>
              <w:rPr>
                <w:rFonts w:eastAsia="仿宋_GB2312"/>
                <w:color w:val="auto"/>
                <w:kern w:val="0"/>
                <w:szCs w:val="21"/>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647" w:type="pct"/>
            <w:vAlign w:val="center"/>
          </w:tcPr>
          <w:p w14:paraId="31C8531C">
            <w:pPr>
              <w:keepNext w:val="0"/>
              <w:keepLines w:val="0"/>
              <w:widowControl/>
              <w:suppressLineNumbers w:val="0"/>
              <w:jc w:val="center"/>
              <w:textAlignment w:val="bottom"/>
              <w:rPr>
                <w:rFonts w:eastAsia="仿宋_GB2312"/>
                <w:color w:val="auto"/>
                <w:kern w:val="0"/>
                <w:szCs w:val="21"/>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647" w:type="pct"/>
            <w:vAlign w:val="center"/>
          </w:tcPr>
          <w:p w14:paraId="4D3F728A">
            <w:pPr>
              <w:keepNext w:val="0"/>
              <w:keepLines w:val="0"/>
              <w:widowControl/>
              <w:suppressLineNumbers w:val="0"/>
              <w:jc w:val="center"/>
              <w:textAlignment w:val="bottom"/>
              <w:rPr>
                <w:rFonts w:eastAsia="仿宋_GB2312"/>
                <w:color w:val="auto"/>
                <w:kern w:val="0"/>
                <w:szCs w:val="21"/>
              </w:rPr>
            </w:pPr>
            <w:r>
              <w:rPr>
                <w:rFonts w:hint="default" w:ascii="Times New Roman" w:hAnsi="Times New Roman" w:eastAsia="宋体" w:cs="Times New Roman"/>
                <w:i w:val="0"/>
                <w:iCs w:val="0"/>
                <w:color w:val="000000"/>
                <w:kern w:val="0"/>
                <w:sz w:val="21"/>
                <w:szCs w:val="21"/>
                <w:u w:val="none"/>
                <w:lang w:val="en-US" w:eastAsia="zh-CN" w:bidi="ar"/>
              </w:rPr>
              <w:t>0.00241</w:t>
            </w:r>
          </w:p>
        </w:tc>
        <w:tc>
          <w:tcPr>
            <w:tcW w:w="647" w:type="pct"/>
            <w:vAlign w:val="center"/>
          </w:tcPr>
          <w:p w14:paraId="0D5D1010">
            <w:pPr>
              <w:keepNext w:val="0"/>
              <w:keepLines w:val="0"/>
              <w:widowControl/>
              <w:suppressLineNumbers w:val="0"/>
              <w:jc w:val="center"/>
              <w:textAlignment w:val="bottom"/>
              <w:rPr>
                <w:rFonts w:eastAsia="仿宋_GB2312"/>
                <w:color w:val="auto"/>
                <w:kern w:val="0"/>
                <w:szCs w:val="21"/>
              </w:rPr>
            </w:pPr>
            <w:r>
              <w:rPr>
                <w:rFonts w:hint="default" w:ascii="Times New Roman" w:hAnsi="Times New Roman" w:eastAsia="宋体" w:cs="Times New Roman"/>
                <w:i w:val="0"/>
                <w:iCs w:val="0"/>
                <w:color w:val="000000"/>
                <w:kern w:val="0"/>
                <w:sz w:val="21"/>
                <w:szCs w:val="21"/>
                <w:u w:val="none"/>
                <w:lang w:val="en-US" w:eastAsia="zh-CN" w:bidi="ar"/>
              </w:rPr>
              <w:t>0</w:t>
            </w:r>
          </w:p>
        </w:tc>
      </w:tr>
      <w:tr w14:paraId="667029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88" w:type="pct"/>
            <w:vMerge w:val="continue"/>
            <w:shd w:val="clear" w:color="auto" w:fill="auto"/>
            <w:vAlign w:val="center"/>
          </w:tcPr>
          <w:p w14:paraId="73B73778">
            <w:pPr>
              <w:widowControl/>
              <w:spacing w:line="240" w:lineRule="exact"/>
              <w:jc w:val="center"/>
              <w:rPr>
                <w:rFonts w:eastAsia="仿宋_GB2312"/>
                <w:kern w:val="0"/>
                <w:szCs w:val="21"/>
              </w:rPr>
            </w:pPr>
          </w:p>
        </w:tc>
        <w:tc>
          <w:tcPr>
            <w:tcW w:w="1147" w:type="pct"/>
            <w:shd w:val="clear" w:color="auto" w:fill="auto"/>
            <w:tcMar>
              <w:top w:w="15" w:type="dxa"/>
              <w:left w:w="15" w:type="dxa"/>
              <w:bottom w:w="0" w:type="dxa"/>
              <w:right w:w="15" w:type="dxa"/>
            </w:tcMar>
            <w:vAlign w:val="center"/>
          </w:tcPr>
          <w:p w14:paraId="254C4FC7">
            <w:pPr>
              <w:widowControl/>
              <w:spacing w:line="240" w:lineRule="exact"/>
              <w:jc w:val="center"/>
              <w:rPr>
                <w:rFonts w:eastAsia="仿宋_GB2312"/>
                <w:kern w:val="0"/>
                <w:szCs w:val="21"/>
              </w:rPr>
            </w:pPr>
            <w:r>
              <w:rPr>
                <w:rFonts w:eastAsia="仿宋_GB2312"/>
                <w:kern w:val="0"/>
                <w:szCs w:val="21"/>
              </w:rPr>
              <w:t>石油类</w:t>
            </w:r>
          </w:p>
        </w:tc>
        <w:tc>
          <w:tcPr>
            <w:tcW w:w="773" w:type="pct"/>
            <w:vAlign w:val="center"/>
          </w:tcPr>
          <w:p w14:paraId="30AFFE13">
            <w:pPr>
              <w:keepNext w:val="0"/>
              <w:keepLines w:val="0"/>
              <w:widowControl/>
              <w:suppressLineNumbers w:val="0"/>
              <w:jc w:val="center"/>
              <w:textAlignment w:val="bottom"/>
              <w:rPr>
                <w:rFonts w:eastAsia="仿宋_GB2312"/>
                <w:color w:val="auto"/>
                <w:kern w:val="0"/>
                <w:szCs w:val="21"/>
              </w:rPr>
            </w:pPr>
            <w:r>
              <w:rPr>
                <w:rFonts w:hint="default" w:ascii="Times New Roman" w:hAnsi="Times New Roman" w:eastAsia="宋体" w:cs="Times New Roman"/>
                <w:i w:val="0"/>
                <w:iCs w:val="0"/>
                <w:color w:val="000000"/>
                <w:kern w:val="0"/>
                <w:sz w:val="21"/>
                <w:szCs w:val="21"/>
                <w:u w:val="none"/>
                <w:lang w:val="en-US" w:eastAsia="zh-CN" w:bidi="ar"/>
              </w:rPr>
              <w:t>1.1</w:t>
            </w:r>
          </w:p>
        </w:tc>
        <w:tc>
          <w:tcPr>
            <w:tcW w:w="647" w:type="pct"/>
            <w:vAlign w:val="center"/>
          </w:tcPr>
          <w:p w14:paraId="6BABB407">
            <w:pPr>
              <w:keepNext w:val="0"/>
              <w:keepLines w:val="0"/>
              <w:widowControl/>
              <w:suppressLineNumbers w:val="0"/>
              <w:jc w:val="center"/>
              <w:textAlignment w:val="bottom"/>
              <w:rPr>
                <w:rFonts w:eastAsia="仿宋_GB2312"/>
                <w:color w:val="auto"/>
                <w:kern w:val="0"/>
                <w:szCs w:val="21"/>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647" w:type="pct"/>
            <w:vAlign w:val="center"/>
          </w:tcPr>
          <w:p w14:paraId="6D5E1B76">
            <w:pPr>
              <w:keepNext w:val="0"/>
              <w:keepLines w:val="0"/>
              <w:widowControl/>
              <w:suppressLineNumbers w:val="0"/>
              <w:jc w:val="center"/>
              <w:textAlignment w:val="bottom"/>
              <w:rPr>
                <w:rFonts w:eastAsia="仿宋_GB2312"/>
                <w:color w:val="auto"/>
                <w:kern w:val="0"/>
                <w:szCs w:val="21"/>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647" w:type="pct"/>
            <w:vAlign w:val="center"/>
          </w:tcPr>
          <w:p w14:paraId="6A18F105">
            <w:pPr>
              <w:keepNext w:val="0"/>
              <w:keepLines w:val="0"/>
              <w:widowControl/>
              <w:suppressLineNumbers w:val="0"/>
              <w:jc w:val="center"/>
              <w:textAlignment w:val="bottom"/>
              <w:rPr>
                <w:rFonts w:eastAsia="仿宋_GB2312"/>
                <w:color w:val="auto"/>
                <w:kern w:val="0"/>
                <w:szCs w:val="21"/>
              </w:rPr>
            </w:pPr>
            <w:r>
              <w:rPr>
                <w:rFonts w:hint="default" w:ascii="Times New Roman" w:hAnsi="Times New Roman" w:eastAsia="宋体" w:cs="Times New Roman"/>
                <w:i w:val="0"/>
                <w:iCs w:val="0"/>
                <w:color w:val="000000"/>
                <w:kern w:val="0"/>
                <w:sz w:val="21"/>
                <w:szCs w:val="21"/>
                <w:u w:val="none"/>
                <w:lang w:val="en-US" w:eastAsia="zh-CN" w:bidi="ar"/>
              </w:rPr>
              <w:t>1.1</w:t>
            </w:r>
          </w:p>
        </w:tc>
        <w:tc>
          <w:tcPr>
            <w:tcW w:w="647" w:type="pct"/>
            <w:vAlign w:val="center"/>
          </w:tcPr>
          <w:p w14:paraId="28CB3226">
            <w:pPr>
              <w:keepNext w:val="0"/>
              <w:keepLines w:val="0"/>
              <w:widowControl/>
              <w:suppressLineNumbers w:val="0"/>
              <w:jc w:val="center"/>
              <w:textAlignment w:val="bottom"/>
              <w:rPr>
                <w:rFonts w:eastAsia="仿宋_GB2312"/>
                <w:color w:val="auto"/>
                <w:kern w:val="0"/>
                <w:szCs w:val="21"/>
              </w:rPr>
            </w:pPr>
            <w:r>
              <w:rPr>
                <w:rFonts w:hint="default" w:ascii="Times New Roman" w:hAnsi="Times New Roman" w:eastAsia="宋体" w:cs="Times New Roman"/>
                <w:i w:val="0"/>
                <w:iCs w:val="0"/>
                <w:color w:val="000000"/>
                <w:kern w:val="0"/>
                <w:sz w:val="21"/>
                <w:szCs w:val="21"/>
                <w:u w:val="none"/>
                <w:lang w:val="en-US" w:eastAsia="zh-CN" w:bidi="ar"/>
              </w:rPr>
              <w:t>0</w:t>
            </w:r>
          </w:p>
        </w:tc>
      </w:tr>
      <w:tr w14:paraId="4B34C7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88" w:type="pct"/>
            <w:vMerge w:val="continue"/>
            <w:shd w:val="clear" w:color="auto" w:fill="auto"/>
            <w:vAlign w:val="center"/>
          </w:tcPr>
          <w:p w14:paraId="2CCC41BB">
            <w:pPr>
              <w:widowControl/>
              <w:spacing w:line="240" w:lineRule="exact"/>
              <w:jc w:val="center"/>
              <w:rPr>
                <w:rFonts w:eastAsia="仿宋_GB2312"/>
                <w:kern w:val="0"/>
                <w:szCs w:val="21"/>
              </w:rPr>
            </w:pPr>
          </w:p>
        </w:tc>
        <w:tc>
          <w:tcPr>
            <w:tcW w:w="1147" w:type="pct"/>
            <w:shd w:val="clear" w:color="auto" w:fill="auto"/>
            <w:tcMar>
              <w:top w:w="15" w:type="dxa"/>
              <w:left w:w="15" w:type="dxa"/>
              <w:bottom w:w="0" w:type="dxa"/>
              <w:right w:w="15" w:type="dxa"/>
            </w:tcMar>
            <w:vAlign w:val="center"/>
          </w:tcPr>
          <w:p w14:paraId="3B628A2A">
            <w:pPr>
              <w:widowControl/>
              <w:spacing w:line="240" w:lineRule="exact"/>
              <w:jc w:val="center"/>
              <w:rPr>
                <w:rFonts w:eastAsia="仿宋_GB2312"/>
                <w:kern w:val="0"/>
                <w:szCs w:val="21"/>
              </w:rPr>
            </w:pPr>
            <w:r>
              <w:rPr>
                <w:rFonts w:eastAsia="仿宋_GB2312"/>
                <w:kern w:val="0"/>
                <w:szCs w:val="21"/>
              </w:rPr>
              <w:t>铜</w:t>
            </w:r>
          </w:p>
        </w:tc>
        <w:tc>
          <w:tcPr>
            <w:tcW w:w="773" w:type="pct"/>
            <w:vAlign w:val="center"/>
          </w:tcPr>
          <w:p w14:paraId="6039D4FD">
            <w:pPr>
              <w:keepNext w:val="0"/>
              <w:keepLines w:val="0"/>
              <w:widowControl/>
              <w:suppressLineNumbers w:val="0"/>
              <w:jc w:val="center"/>
              <w:textAlignment w:val="bottom"/>
              <w:rPr>
                <w:rFonts w:eastAsia="仿宋_GB2312"/>
                <w:color w:val="auto"/>
                <w:kern w:val="0"/>
                <w:szCs w:val="21"/>
              </w:rPr>
            </w:pPr>
            <w:r>
              <w:rPr>
                <w:rFonts w:hint="default" w:ascii="Times New Roman" w:hAnsi="Times New Roman" w:eastAsia="宋体" w:cs="Times New Roman"/>
                <w:i w:val="0"/>
                <w:iCs w:val="0"/>
                <w:color w:val="000000"/>
                <w:kern w:val="0"/>
                <w:sz w:val="21"/>
                <w:szCs w:val="21"/>
                <w:u w:val="none"/>
                <w:lang w:val="en-US" w:eastAsia="zh-CN" w:bidi="ar"/>
              </w:rPr>
              <w:t>0.08</w:t>
            </w:r>
          </w:p>
        </w:tc>
        <w:tc>
          <w:tcPr>
            <w:tcW w:w="647" w:type="pct"/>
            <w:vAlign w:val="center"/>
          </w:tcPr>
          <w:p w14:paraId="3C1998C8">
            <w:pPr>
              <w:keepNext w:val="0"/>
              <w:keepLines w:val="0"/>
              <w:widowControl/>
              <w:suppressLineNumbers w:val="0"/>
              <w:jc w:val="center"/>
              <w:textAlignment w:val="bottom"/>
              <w:rPr>
                <w:rFonts w:eastAsia="仿宋_GB2312"/>
                <w:color w:val="auto"/>
                <w:kern w:val="0"/>
                <w:szCs w:val="21"/>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647" w:type="pct"/>
            <w:vAlign w:val="center"/>
          </w:tcPr>
          <w:p w14:paraId="48755D59">
            <w:pPr>
              <w:keepNext w:val="0"/>
              <w:keepLines w:val="0"/>
              <w:widowControl/>
              <w:suppressLineNumbers w:val="0"/>
              <w:jc w:val="center"/>
              <w:textAlignment w:val="bottom"/>
              <w:rPr>
                <w:rFonts w:eastAsia="仿宋_GB2312"/>
                <w:color w:val="auto"/>
                <w:kern w:val="0"/>
                <w:szCs w:val="21"/>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647" w:type="pct"/>
            <w:vAlign w:val="center"/>
          </w:tcPr>
          <w:p w14:paraId="24BB71D8">
            <w:pPr>
              <w:keepNext w:val="0"/>
              <w:keepLines w:val="0"/>
              <w:widowControl/>
              <w:suppressLineNumbers w:val="0"/>
              <w:jc w:val="center"/>
              <w:textAlignment w:val="bottom"/>
              <w:rPr>
                <w:rFonts w:eastAsia="仿宋_GB2312"/>
                <w:color w:val="auto"/>
                <w:kern w:val="0"/>
                <w:szCs w:val="21"/>
              </w:rPr>
            </w:pPr>
            <w:r>
              <w:rPr>
                <w:rFonts w:hint="default" w:ascii="Times New Roman" w:hAnsi="Times New Roman" w:eastAsia="宋体" w:cs="Times New Roman"/>
                <w:i w:val="0"/>
                <w:iCs w:val="0"/>
                <w:color w:val="000000"/>
                <w:kern w:val="0"/>
                <w:sz w:val="21"/>
                <w:szCs w:val="21"/>
                <w:u w:val="none"/>
                <w:lang w:val="en-US" w:eastAsia="zh-CN" w:bidi="ar"/>
              </w:rPr>
              <w:t>0.08</w:t>
            </w:r>
          </w:p>
        </w:tc>
        <w:tc>
          <w:tcPr>
            <w:tcW w:w="647" w:type="pct"/>
            <w:vAlign w:val="center"/>
          </w:tcPr>
          <w:p w14:paraId="1C787856">
            <w:pPr>
              <w:keepNext w:val="0"/>
              <w:keepLines w:val="0"/>
              <w:widowControl/>
              <w:suppressLineNumbers w:val="0"/>
              <w:jc w:val="center"/>
              <w:textAlignment w:val="bottom"/>
              <w:rPr>
                <w:rFonts w:eastAsia="仿宋_GB2312"/>
                <w:color w:val="auto"/>
                <w:kern w:val="0"/>
                <w:szCs w:val="21"/>
              </w:rPr>
            </w:pPr>
            <w:r>
              <w:rPr>
                <w:rFonts w:hint="default" w:ascii="Times New Roman" w:hAnsi="Times New Roman" w:eastAsia="宋体" w:cs="Times New Roman"/>
                <w:i w:val="0"/>
                <w:iCs w:val="0"/>
                <w:color w:val="000000"/>
                <w:kern w:val="0"/>
                <w:sz w:val="21"/>
                <w:szCs w:val="21"/>
                <w:u w:val="none"/>
                <w:lang w:val="en-US" w:eastAsia="zh-CN" w:bidi="ar"/>
              </w:rPr>
              <w:t>0</w:t>
            </w:r>
          </w:p>
        </w:tc>
      </w:tr>
      <w:tr w14:paraId="044842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88" w:type="pct"/>
            <w:vMerge w:val="continue"/>
            <w:shd w:val="clear" w:color="auto" w:fill="auto"/>
            <w:vAlign w:val="center"/>
          </w:tcPr>
          <w:p w14:paraId="2FBA3881">
            <w:pPr>
              <w:widowControl/>
              <w:spacing w:line="240" w:lineRule="exact"/>
              <w:jc w:val="center"/>
              <w:rPr>
                <w:rFonts w:eastAsia="仿宋_GB2312"/>
                <w:kern w:val="0"/>
                <w:szCs w:val="21"/>
              </w:rPr>
            </w:pPr>
          </w:p>
        </w:tc>
        <w:tc>
          <w:tcPr>
            <w:tcW w:w="1147" w:type="pct"/>
            <w:shd w:val="clear" w:color="auto" w:fill="auto"/>
            <w:tcMar>
              <w:top w:w="15" w:type="dxa"/>
              <w:left w:w="15" w:type="dxa"/>
              <w:bottom w:w="0" w:type="dxa"/>
              <w:right w:w="15" w:type="dxa"/>
            </w:tcMar>
            <w:vAlign w:val="center"/>
          </w:tcPr>
          <w:p w14:paraId="6430A3EE">
            <w:pPr>
              <w:widowControl/>
              <w:spacing w:line="240" w:lineRule="exact"/>
              <w:jc w:val="center"/>
              <w:rPr>
                <w:rFonts w:eastAsia="仿宋_GB2312"/>
                <w:kern w:val="0"/>
                <w:szCs w:val="21"/>
              </w:rPr>
            </w:pPr>
            <w:r>
              <w:rPr>
                <w:rFonts w:eastAsia="仿宋_GB2312"/>
                <w:kern w:val="0"/>
                <w:szCs w:val="21"/>
              </w:rPr>
              <w:t>镍</w:t>
            </w:r>
          </w:p>
        </w:tc>
        <w:tc>
          <w:tcPr>
            <w:tcW w:w="773" w:type="pct"/>
            <w:vAlign w:val="center"/>
          </w:tcPr>
          <w:p w14:paraId="4CF33416">
            <w:pPr>
              <w:keepNext w:val="0"/>
              <w:keepLines w:val="0"/>
              <w:widowControl/>
              <w:suppressLineNumbers w:val="0"/>
              <w:jc w:val="center"/>
              <w:textAlignment w:val="bottom"/>
              <w:rPr>
                <w:rFonts w:eastAsia="仿宋_GB2312"/>
                <w:color w:val="auto"/>
                <w:kern w:val="0"/>
                <w:szCs w:val="21"/>
              </w:rPr>
            </w:pPr>
            <w:r>
              <w:rPr>
                <w:rFonts w:hint="default" w:ascii="Times New Roman" w:hAnsi="Times New Roman" w:eastAsia="宋体" w:cs="Times New Roman"/>
                <w:i w:val="0"/>
                <w:iCs w:val="0"/>
                <w:color w:val="000000"/>
                <w:kern w:val="0"/>
                <w:sz w:val="21"/>
                <w:szCs w:val="21"/>
                <w:u w:val="none"/>
                <w:lang w:val="en-US" w:eastAsia="zh-CN" w:bidi="ar"/>
              </w:rPr>
              <w:t>0.003</w:t>
            </w:r>
          </w:p>
        </w:tc>
        <w:tc>
          <w:tcPr>
            <w:tcW w:w="647" w:type="pct"/>
            <w:vAlign w:val="center"/>
          </w:tcPr>
          <w:p w14:paraId="12A48077">
            <w:pPr>
              <w:keepNext w:val="0"/>
              <w:keepLines w:val="0"/>
              <w:widowControl/>
              <w:suppressLineNumbers w:val="0"/>
              <w:jc w:val="center"/>
              <w:textAlignment w:val="bottom"/>
              <w:rPr>
                <w:rFonts w:eastAsia="仿宋_GB2312"/>
                <w:color w:val="auto"/>
                <w:kern w:val="0"/>
                <w:szCs w:val="21"/>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647" w:type="pct"/>
            <w:vAlign w:val="center"/>
          </w:tcPr>
          <w:p w14:paraId="0B85C8EA">
            <w:pPr>
              <w:keepNext w:val="0"/>
              <w:keepLines w:val="0"/>
              <w:widowControl/>
              <w:suppressLineNumbers w:val="0"/>
              <w:jc w:val="center"/>
              <w:textAlignment w:val="bottom"/>
              <w:rPr>
                <w:rFonts w:eastAsia="仿宋_GB2312"/>
                <w:color w:val="auto"/>
                <w:kern w:val="0"/>
                <w:szCs w:val="21"/>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647" w:type="pct"/>
            <w:vAlign w:val="center"/>
          </w:tcPr>
          <w:p w14:paraId="30542546">
            <w:pPr>
              <w:keepNext w:val="0"/>
              <w:keepLines w:val="0"/>
              <w:widowControl/>
              <w:suppressLineNumbers w:val="0"/>
              <w:jc w:val="center"/>
              <w:textAlignment w:val="bottom"/>
              <w:rPr>
                <w:rFonts w:eastAsia="仿宋_GB2312"/>
                <w:color w:val="auto"/>
                <w:kern w:val="0"/>
                <w:szCs w:val="21"/>
              </w:rPr>
            </w:pPr>
            <w:r>
              <w:rPr>
                <w:rFonts w:hint="default" w:ascii="Times New Roman" w:hAnsi="Times New Roman" w:eastAsia="宋体" w:cs="Times New Roman"/>
                <w:i w:val="0"/>
                <w:iCs w:val="0"/>
                <w:color w:val="000000"/>
                <w:kern w:val="0"/>
                <w:sz w:val="21"/>
                <w:szCs w:val="21"/>
                <w:u w:val="none"/>
                <w:lang w:val="en-US" w:eastAsia="zh-CN" w:bidi="ar"/>
              </w:rPr>
              <w:t>0.003</w:t>
            </w:r>
          </w:p>
        </w:tc>
        <w:tc>
          <w:tcPr>
            <w:tcW w:w="647" w:type="pct"/>
            <w:vAlign w:val="center"/>
          </w:tcPr>
          <w:p w14:paraId="2C71D61B">
            <w:pPr>
              <w:keepNext w:val="0"/>
              <w:keepLines w:val="0"/>
              <w:widowControl/>
              <w:suppressLineNumbers w:val="0"/>
              <w:jc w:val="center"/>
              <w:textAlignment w:val="bottom"/>
              <w:rPr>
                <w:rFonts w:eastAsia="仿宋_GB2312"/>
                <w:color w:val="auto"/>
                <w:kern w:val="0"/>
                <w:szCs w:val="21"/>
              </w:rPr>
            </w:pPr>
            <w:r>
              <w:rPr>
                <w:rFonts w:hint="default" w:ascii="Times New Roman" w:hAnsi="Times New Roman" w:eastAsia="宋体" w:cs="Times New Roman"/>
                <w:i w:val="0"/>
                <w:iCs w:val="0"/>
                <w:color w:val="000000"/>
                <w:kern w:val="0"/>
                <w:sz w:val="21"/>
                <w:szCs w:val="21"/>
                <w:u w:val="none"/>
                <w:lang w:val="en-US" w:eastAsia="zh-CN" w:bidi="ar"/>
              </w:rPr>
              <w:t>0</w:t>
            </w:r>
          </w:p>
        </w:tc>
      </w:tr>
      <w:tr w14:paraId="773460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88" w:type="pct"/>
            <w:vMerge w:val="continue"/>
            <w:shd w:val="clear" w:color="auto" w:fill="auto"/>
            <w:vAlign w:val="center"/>
          </w:tcPr>
          <w:p w14:paraId="6665C6A3">
            <w:pPr>
              <w:widowControl/>
              <w:spacing w:line="240" w:lineRule="exact"/>
              <w:jc w:val="center"/>
              <w:rPr>
                <w:rFonts w:eastAsia="仿宋_GB2312"/>
                <w:kern w:val="0"/>
                <w:szCs w:val="21"/>
              </w:rPr>
            </w:pPr>
          </w:p>
        </w:tc>
        <w:tc>
          <w:tcPr>
            <w:tcW w:w="1147" w:type="pct"/>
            <w:shd w:val="clear" w:color="auto" w:fill="auto"/>
            <w:tcMar>
              <w:top w:w="15" w:type="dxa"/>
              <w:left w:w="15" w:type="dxa"/>
              <w:bottom w:w="0" w:type="dxa"/>
              <w:right w:w="15" w:type="dxa"/>
            </w:tcMar>
            <w:vAlign w:val="center"/>
          </w:tcPr>
          <w:p w14:paraId="0027E764">
            <w:pPr>
              <w:widowControl/>
              <w:spacing w:line="240" w:lineRule="exact"/>
              <w:jc w:val="center"/>
              <w:rPr>
                <w:rFonts w:eastAsia="仿宋_GB2312"/>
                <w:kern w:val="0"/>
                <w:szCs w:val="21"/>
              </w:rPr>
            </w:pPr>
            <w:r>
              <w:rPr>
                <w:rFonts w:eastAsia="仿宋_GB2312"/>
                <w:kern w:val="0"/>
                <w:szCs w:val="21"/>
              </w:rPr>
              <w:t>锌</w:t>
            </w:r>
          </w:p>
        </w:tc>
        <w:tc>
          <w:tcPr>
            <w:tcW w:w="773" w:type="pct"/>
            <w:vAlign w:val="center"/>
          </w:tcPr>
          <w:p w14:paraId="2D509F65">
            <w:pPr>
              <w:keepNext w:val="0"/>
              <w:keepLines w:val="0"/>
              <w:widowControl/>
              <w:suppressLineNumbers w:val="0"/>
              <w:jc w:val="center"/>
              <w:textAlignment w:val="bottom"/>
              <w:rPr>
                <w:rFonts w:eastAsia="仿宋_GB2312"/>
                <w:color w:val="auto"/>
                <w:kern w:val="0"/>
                <w:szCs w:val="21"/>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647" w:type="pct"/>
            <w:vAlign w:val="center"/>
          </w:tcPr>
          <w:p w14:paraId="3620C7F0">
            <w:pPr>
              <w:keepNext w:val="0"/>
              <w:keepLines w:val="0"/>
              <w:widowControl/>
              <w:suppressLineNumbers w:val="0"/>
              <w:jc w:val="center"/>
              <w:textAlignment w:val="bottom"/>
              <w:rPr>
                <w:rFonts w:eastAsia="仿宋_GB2312"/>
                <w:color w:val="auto"/>
                <w:kern w:val="0"/>
                <w:szCs w:val="21"/>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647" w:type="pct"/>
            <w:vAlign w:val="center"/>
          </w:tcPr>
          <w:p w14:paraId="1AD86D42">
            <w:pPr>
              <w:keepNext w:val="0"/>
              <w:keepLines w:val="0"/>
              <w:widowControl/>
              <w:suppressLineNumbers w:val="0"/>
              <w:jc w:val="center"/>
              <w:textAlignment w:val="bottom"/>
              <w:rPr>
                <w:rFonts w:eastAsia="仿宋_GB2312"/>
                <w:color w:val="auto"/>
                <w:kern w:val="0"/>
                <w:szCs w:val="21"/>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647" w:type="pct"/>
            <w:vAlign w:val="center"/>
          </w:tcPr>
          <w:p w14:paraId="4654CD14">
            <w:pPr>
              <w:keepNext w:val="0"/>
              <w:keepLines w:val="0"/>
              <w:widowControl/>
              <w:suppressLineNumbers w:val="0"/>
              <w:jc w:val="center"/>
              <w:textAlignment w:val="bottom"/>
              <w:rPr>
                <w:rFonts w:eastAsia="仿宋_GB2312"/>
                <w:color w:val="auto"/>
                <w:kern w:val="0"/>
                <w:szCs w:val="21"/>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647" w:type="pct"/>
            <w:vAlign w:val="center"/>
          </w:tcPr>
          <w:p w14:paraId="2A3AF1C1">
            <w:pPr>
              <w:keepNext w:val="0"/>
              <w:keepLines w:val="0"/>
              <w:widowControl/>
              <w:suppressLineNumbers w:val="0"/>
              <w:jc w:val="center"/>
              <w:textAlignment w:val="bottom"/>
              <w:rPr>
                <w:rFonts w:eastAsia="仿宋_GB2312"/>
                <w:color w:val="auto"/>
                <w:kern w:val="0"/>
                <w:szCs w:val="21"/>
              </w:rPr>
            </w:pPr>
            <w:r>
              <w:rPr>
                <w:rFonts w:hint="default" w:ascii="Times New Roman" w:hAnsi="Times New Roman" w:eastAsia="宋体" w:cs="Times New Roman"/>
                <w:i w:val="0"/>
                <w:iCs w:val="0"/>
                <w:color w:val="000000"/>
                <w:kern w:val="0"/>
                <w:sz w:val="21"/>
                <w:szCs w:val="21"/>
                <w:u w:val="none"/>
                <w:lang w:val="en-US" w:eastAsia="zh-CN" w:bidi="ar"/>
              </w:rPr>
              <w:t>0</w:t>
            </w:r>
          </w:p>
        </w:tc>
      </w:tr>
      <w:tr w14:paraId="62ECF3A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88" w:type="pct"/>
            <w:vMerge w:val="continue"/>
            <w:shd w:val="clear" w:color="auto" w:fill="auto"/>
            <w:vAlign w:val="center"/>
          </w:tcPr>
          <w:p w14:paraId="3FA71A31">
            <w:pPr>
              <w:widowControl/>
              <w:spacing w:line="240" w:lineRule="exact"/>
              <w:jc w:val="center"/>
              <w:rPr>
                <w:rFonts w:eastAsia="仿宋_GB2312"/>
                <w:kern w:val="0"/>
                <w:szCs w:val="21"/>
              </w:rPr>
            </w:pPr>
          </w:p>
        </w:tc>
        <w:tc>
          <w:tcPr>
            <w:tcW w:w="1147" w:type="pct"/>
            <w:shd w:val="clear" w:color="auto" w:fill="auto"/>
            <w:tcMar>
              <w:top w:w="15" w:type="dxa"/>
              <w:left w:w="15" w:type="dxa"/>
              <w:bottom w:w="0" w:type="dxa"/>
              <w:right w:w="15" w:type="dxa"/>
            </w:tcMar>
            <w:vAlign w:val="center"/>
          </w:tcPr>
          <w:p w14:paraId="4F7878F2">
            <w:pPr>
              <w:widowControl/>
              <w:spacing w:line="240" w:lineRule="exact"/>
              <w:jc w:val="center"/>
              <w:rPr>
                <w:rFonts w:eastAsia="仿宋_GB2312"/>
                <w:kern w:val="0"/>
                <w:szCs w:val="21"/>
              </w:rPr>
            </w:pPr>
            <w:r>
              <w:rPr>
                <w:rFonts w:eastAsia="仿宋_GB2312"/>
                <w:kern w:val="0"/>
                <w:szCs w:val="21"/>
              </w:rPr>
              <w:t>锡</w:t>
            </w:r>
          </w:p>
        </w:tc>
        <w:tc>
          <w:tcPr>
            <w:tcW w:w="773" w:type="pct"/>
            <w:vAlign w:val="center"/>
          </w:tcPr>
          <w:p w14:paraId="35E5B521">
            <w:pPr>
              <w:keepNext w:val="0"/>
              <w:keepLines w:val="0"/>
              <w:widowControl/>
              <w:suppressLineNumbers w:val="0"/>
              <w:jc w:val="center"/>
              <w:textAlignment w:val="bottom"/>
              <w:rPr>
                <w:rFonts w:eastAsia="仿宋_GB2312"/>
                <w:kern w:val="0"/>
                <w:szCs w:val="21"/>
              </w:rPr>
            </w:pPr>
            <w:r>
              <w:rPr>
                <w:rFonts w:hint="default" w:ascii="Times New Roman" w:hAnsi="Times New Roman" w:eastAsia="宋体" w:cs="Times New Roman"/>
                <w:i w:val="0"/>
                <w:iCs w:val="0"/>
                <w:color w:val="000000"/>
                <w:kern w:val="0"/>
                <w:sz w:val="21"/>
                <w:szCs w:val="21"/>
                <w:u w:val="none"/>
                <w:lang w:val="en-US" w:eastAsia="zh-CN" w:bidi="ar"/>
              </w:rPr>
              <w:t>0.2</w:t>
            </w:r>
          </w:p>
        </w:tc>
        <w:tc>
          <w:tcPr>
            <w:tcW w:w="647" w:type="pct"/>
            <w:vAlign w:val="center"/>
          </w:tcPr>
          <w:p w14:paraId="74A110B3">
            <w:pPr>
              <w:keepNext w:val="0"/>
              <w:keepLines w:val="0"/>
              <w:widowControl/>
              <w:suppressLineNumbers w:val="0"/>
              <w:jc w:val="center"/>
              <w:textAlignment w:val="bottom"/>
              <w:rPr>
                <w:rFonts w:eastAsia="仿宋_GB2312"/>
                <w:kern w:val="0"/>
                <w:szCs w:val="21"/>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647" w:type="pct"/>
            <w:vAlign w:val="center"/>
          </w:tcPr>
          <w:p w14:paraId="147187B6">
            <w:pPr>
              <w:keepNext w:val="0"/>
              <w:keepLines w:val="0"/>
              <w:widowControl/>
              <w:suppressLineNumbers w:val="0"/>
              <w:jc w:val="center"/>
              <w:textAlignment w:val="bottom"/>
              <w:rPr>
                <w:rFonts w:eastAsia="仿宋_GB2312"/>
                <w:kern w:val="0"/>
                <w:szCs w:val="21"/>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647" w:type="pct"/>
            <w:vAlign w:val="center"/>
          </w:tcPr>
          <w:p w14:paraId="359F53FB">
            <w:pPr>
              <w:keepNext w:val="0"/>
              <w:keepLines w:val="0"/>
              <w:widowControl/>
              <w:suppressLineNumbers w:val="0"/>
              <w:jc w:val="center"/>
              <w:textAlignment w:val="bottom"/>
              <w:rPr>
                <w:rFonts w:eastAsia="仿宋_GB2312"/>
                <w:kern w:val="0"/>
                <w:szCs w:val="21"/>
              </w:rPr>
            </w:pPr>
            <w:r>
              <w:rPr>
                <w:rFonts w:hint="default" w:ascii="Times New Roman" w:hAnsi="Times New Roman" w:eastAsia="宋体" w:cs="Times New Roman"/>
                <w:i w:val="0"/>
                <w:iCs w:val="0"/>
                <w:color w:val="000000"/>
                <w:kern w:val="0"/>
                <w:sz w:val="21"/>
                <w:szCs w:val="21"/>
                <w:u w:val="none"/>
                <w:lang w:val="en-US" w:eastAsia="zh-CN" w:bidi="ar"/>
              </w:rPr>
              <w:t>0.2</w:t>
            </w:r>
          </w:p>
        </w:tc>
        <w:tc>
          <w:tcPr>
            <w:tcW w:w="647" w:type="pct"/>
            <w:vAlign w:val="center"/>
          </w:tcPr>
          <w:p w14:paraId="17B0E476">
            <w:pPr>
              <w:keepNext w:val="0"/>
              <w:keepLines w:val="0"/>
              <w:widowControl/>
              <w:suppressLineNumbers w:val="0"/>
              <w:jc w:val="center"/>
              <w:textAlignment w:val="bottom"/>
              <w:rPr>
                <w:rFonts w:eastAsia="仿宋_GB2312"/>
                <w:kern w:val="0"/>
                <w:szCs w:val="21"/>
              </w:rPr>
            </w:pPr>
            <w:r>
              <w:rPr>
                <w:rFonts w:hint="default" w:ascii="Times New Roman" w:hAnsi="Times New Roman" w:eastAsia="宋体" w:cs="Times New Roman"/>
                <w:i w:val="0"/>
                <w:iCs w:val="0"/>
                <w:color w:val="000000"/>
                <w:kern w:val="0"/>
                <w:sz w:val="21"/>
                <w:szCs w:val="21"/>
                <w:u w:val="none"/>
                <w:lang w:val="en-US" w:eastAsia="zh-CN" w:bidi="ar"/>
              </w:rPr>
              <w:t>0</w:t>
            </w:r>
          </w:p>
        </w:tc>
      </w:tr>
      <w:tr w14:paraId="730DE5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88" w:type="pct"/>
            <w:vMerge w:val="continue"/>
            <w:shd w:val="clear" w:color="auto" w:fill="auto"/>
            <w:vAlign w:val="center"/>
          </w:tcPr>
          <w:p w14:paraId="05FAE130">
            <w:pPr>
              <w:widowControl/>
              <w:spacing w:line="240" w:lineRule="exact"/>
              <w:jc w:val="center"/>
              <w:rPr>
                <w:rFonts w:eastAsia="仿宋_GB2312"/>
                <w:kern w:val="0"/>
                <w:szCs w:val="21"/>
              </w:rPr>
            </w:pPr>
          </w:p>
        </w:tc>
        <w:tc>
          <w:tcPr>
            <w:tcW w:w="1147" w:type="pct"/>
            <w:shd w:val="clear" w:color="auto" w:fill="auto"/>
            <w:tcMar>
              <w:top w:w="15" w:type="dxa"/>
              <w:left w:w="15" w:type="dxa"/>
              <w:bottom w:w="0" w:type="dxa"/>
              <w:right w:w="15" w:type="dxa"/>
            </w:tcMar>
            <w:vAlign w:val="center"/>
          </w:tcPr>
          <w:p w14:paraId="7528581A">
            <w:pPr>
              <w:widowControl/>
              <w:spacing w:line="240" w:lineRule="exact"/>
              <w:jc w:val="center"/>
              <w:rPr>
                <w:rFonts w:eastAsia="仿宋_GB2312"/>
                <w:kern w:val="0"/>
                <w:szCs w:val="21"/>
              </w:rPr>
            </w:pPr>
            <w:r>
              <w:rPr>
                <w:rFonts w:eastAsia="仿宋_GB2312"/>
                <w:kern w:val="0"/>
                <w:szCs w:val="21"/>
              </w:rPr>
              <w:t>六价铬</w:t>
            </w:r>
          </w:p>
        </w:tc>
        <w:tc>
          <w:tcPr>
            <w:tcW w:w="773" w:type="pct"/>
            <w:vAlign w:val="center"/>
          </w:tcPr>
          <w:p w14:paraId="4B8F8E49">
            <w:pPr>
              <w:keepNext w:val="0"/>
              <w:keepLines w:val="0"/>
              <w:widowControl/>
              <w:suppressLineNumbers w:val="0"/>
              <w:jc w:val="center"/>
              <w:textAlignment w:val="bottom"/>
              <w:rPr>
                <w:rFonts w:eastAsia="仿宋_GB2312"/>
                <w:kern w:val="0"/>
                <w:szCs w:val="21"/>
              </w:rPr>
            </w:pPr>
            <w:r>
              <w:rPr>
                <w:rFonts w:hint="default" w:ascii="Times New Roman" w:hAnsi="Times New Roman" w:eastAsia="宋体" w:cs="Times New Roman"/>
                <w:i w:val="0"/>
                <w:iCs w:val="0"/>
                <w:color w:val="000000"/>
                <w:kern w:val="0"/>
                <w:sz w:val="21"/>
                <w:szCs w:val="21"/>
                <w:u w:val="none"/>
                <w:lang w:val="en-US" w:eastAsia="zh-CN" w:bidi="ar"/>
              </w:rPr>
              <w:t>0.001</w:t>
            </w:r>
          </w:p>
        </w:tc>
        <w:tc>
          <w:tcPr>
            <w:tcW w:w="647" w:type="pct"/>
            <w:vAlign w:val="center"/>
          </w:tcPr>
          <w:p w14:paraId="7BF87C20">
            <w:pPr>
              <w:keepNext w:val="0"/>
              <w:keepLines w:val="0"/>
              <w:widowControl/>
              <w:suppressLineNumbers w:val="0"/>
              <w:jc w:val="center"/>
              <w:textAlignment w:val="bottom"/>
              <w:rPr>
                <w:rFonts w:eastAsia="仿宋_GB2312"/>
                <w:kern w:val="0"/>
                <w:szCs w:val="21"/>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647" w:type="pct"/>
            <w:vAlign w:val="center"/>
          </w:tcPr>
          <w:p w14:paraId="4B48E129">
            <w:pPr>
              <w:keepNext w:val="0"/>
              <w:keepLines w:val="0"/>
              <w:widowControl/>
              <w:suppressLineNumbers w:val="0"/>
              <w:jc w:val="center"/>
              <w:textAlignment w:val="bottom"/>
              <w:rPr>
                <w:rFonts w:eastAsia="仿宋_GB2312"/>
                <w:kern w:val="0"/>
                <w:szCs w:val="21"/>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647" w:type="pct"/>
            <w:vAlign w:val="center"/>
          </w:tcPr>
          <w:p w14:paraId="5BAC9D7D">
            <w:pPr>
              <w:keepNext w:val="0"/>
              <w:keepLines w:val="0"/>
              <w:widowControl/>
              <w:suppressLineNumbers w:val="0"/>
              <w:jc w:val="center"/>
              <w:textAlignment w:val="bottom"/>
              <w:rPr>
                <w:rFonts w:eastAsia="仿宋_GB2312"/>
                <w:kern w:val="0"/>
                <w:szCs w:val="21"/>
              </w:rPr>
            </w:pPr>
            <w:r>
              <w:rPr>
                <w:rFonts w:hint="default" w:ascii="Times New Roman" w:hAnsi="Times New Roman" w:eastAsia="宋体" w:cs="Times New Roman"/>
                <w:i w:val="0"/>
                <w:iCs w:val="0"/>
                <w:color w:val="000000"/>
                <w:kern w:val="0"/>
                <w:sz w:val="21"/>
                <w:szCs w:val="21"/>
                <w:u w:val="none"/>
                <w:lang w:val="en-US" w:eastAsia="zh-CN" w:bidi="ar"/>
              </w:rPr>
              <w:t>0.001</w:t>
            </w:r>
          </w:p>
        </w:tc>
        <w:tc>
          <w:tcPr>
            <w:tcW w:w="647" w:type="pct"/>
            <w:vAlign w:val="center"/>
          </w:tcPr>
          <w:p w14:paraId="0AA4A4D6">
            <w:pPr>
              <w:keepNext w:val="0"/>
              <w:keepLines w:val="0"/>
              <w:widowControl/>
              <w:suppressLineNumbers w:val="0"/>
              <w:jc w:val="center"/>
              <w:textAlignment w:val="bottom"/>
              <w:rPr>
                <w:rFonts w:eastAsia="仿宋_GB2312"/>
                <w:kern w:val="0"/>
                <w:szCs w:val="21"/>
              </w:rPr>
            </w:pPr>
            <w:r>
              <w:rPr>
                <w:rFonts w:hint="default" w:ascii="Times New Roman" w:hAnsi="Times New Roman" w:eastAsia="宋体" w:cs="Times New Roman"/>
                <w:i w:val="0"/>
                <w:iCs w:val="0"/>
                <w:color w:val="000000"/>
                <w:kern w:val="0"/>
                <w:sz w:val="21"/>
                <w:szCs w:val="21"/>
                <w:u w:val="none"/>
                <w:lang w:val="en-US" w:eastAsia="zh-CN" w:bidi="ar"/>
              </w:rPr>
              <w:t>0</w:t>
            </w:r>
          </w:p>
        </w:tc>
      </w:tr>
      <w:tr w14:paraId="7B8775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88" w:type="pct"/>
            <w:vMerge w:val="continue"/>
            <w:shd w:val="clear" w:color="auto" w:fill="auto"/>
            <w:vAlign w:val="center"/>
          </w:tcPr>
          <w:p w14:paraId="15E4E1BA">
            <w:pPr>
              <w:widowControl/>
              <w:spacing w:line="240" w:lineRule="exact"/>
              <w:jc w:val="center"/>
              <w:rPr>
                <w:rFonts w:eastAsia="仿宋_GB2312"/>
                <w:kern w:val="0"/>
                <w:szCs w:val="21"/>
              </w:rPr>
            </w:pPr>
          </w:p>
        </w:tc>
        <w:tc>
          <w:tcPr>
            <w:tcW w:w="1147" w:type="pct"/>
            <w:shd w:val="clear" w:color="auto" w:fill="auto"/>
            <w:tcMar>
              <w:top w:w="15" w:type="dxa"/>
              <w:left w:w="15" w:type="dxa"/>
              <w:bottom w:w="0" w:type="dxa"/>
              <w:right w:w="15" w:type="dxa"/>
            </w:tcMar>
            <w:vAlign w:val="center"/>
          </w:tcPr>
          <w:p w14:paraId="02ED859C">
            <w:pPr>
              <w:widowControl/>
              <w:spacing w:line="240" w:lineRule="exact"/>
              <w:jc w:val="center"/>
              <w:rPr>
                <w:rFonts w:eastAsia="仿宋_GB2312"/>
                <w:kern w:val="0"/>
                <w:szCs w:val="21"/>
              </w:rPr>
            </w:pPr>
            <w:r>
              <w:rPr>
                <w:rFonts w:eastAsia="仿宋_GB2312"/>
                <w:kern w:val="0"/>
                <w:szCs w:val="21"/>
              </w:rPr>
              <w:t>总铬</w:t>
            </w:r>
          </w:p>
        </w:tc>
        <w:tc>
          <w:tcPr>
            <w:tcW w:w="773" w:type="pct"/>
            <w:vAlign w:val="center"/>
          </w:tcPr>
          <w:p w14:paraId="337741E7">
            <w:pPr>
              <w:keepNext w:val="0"/>
              <w:keepLines w:val="0"/>
              <w:widowControl/>
              <w:suppressLineNumbers w:val="0"/>
              <w:jc w:val="center"/>
              <w:textAlignment w:val="bottom"/>
              <w:rPr>
                <w:rFonts w:eastAsia="仿宋_GB2312"/>
                <w:kern w:val="0"/>
                <w:szCs w:val="21"/>
              </w:rPr>
            </w:pPr>
            <w:r>
              <w:rPr>
                <w:rFonts w:hint="default" w:ascii="Times New Roman" w:hAnsi="Times New Roman" w:eastAsia="宋体" w:cs="Times New Roman"/>
                <w:i w:val="0"/>
                <w:iCs w:val="0"/>
                <w:color w:val="000000"/>
                <w:kern w:val="0"/>
                <w:sz w:val="21"/>
                <w:szCs w:val="21"/>
                <w:u w:val="none"/>
                <w:lang w:val="en-US" w:eastAsia="zh-CN" w:bidi="ar"/>
              </w:rPr>
              <w:t>0.003</w:t>
            </w:r>
          </w:p>
        </w:tc>
        <w:tc>
          <w:tcPr>
            <w:tcW w:w="647" w:type="pct"/>
            <w:vAlign w:val="center"/>
          </w:tcPr>
          <w:p w14:paraId="4B47CFAF">
            <w:pPr>
              <w:keepNext w:val="0"/>
              <w:keepLines w:val="0"/>
              <w:widowControl/>
              <w:suppressLineNumbers w:val="0"/>
              <w:jc w:val="center"/>
              <w:textAlignment w:val="bottom"/>
              <w:rPr>
                <w:rFonts w:eastAsia="仿宋_GB2312"/>
                <w:kern w:val="0"/>
                <w:szCs w:val="21"/>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647" w:type="pct"/>
            <w:vAlign w:val="center"/>
          </w:tcPr>
          <w:p w14:paraId="3D83839D">
            <w:pPr>
              <w:keepNext w:val="0"/>
              <w:keepLines w:val="0"/>
              <w:widowControl/>
              <w:suppressLineNumbers w:val="0"/>
              <w:jc w:val="center"/>
              <w:textAlignment w:val="bottom"/>
              <w:rPr>
                <w:rFonts w:eastAsia="仿宋_GB2312"/>
                <w:kern w:val="0"/>
                <w:szCs w:val="21"/>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647" w:type="pct"/>
            <w:vAlign w:val="center"/>
          </w:tcPr>
          <w:p w14:paraId="6A58ACF1">
            <w:pPr>
              <w:keepNext w:val="0"/>
              <w:keepLines w:val="0"/>
              <w:widowControl/>
              <w:suppressLineNumbers w:val="0"/>
              <w:jc w:val="center"/>
              <w:textAlignment w:val="bottom"/>
              <w:rPr>
                <w:rFonts w:eastAsia="仿宋_GB2312"/>
                <w:kern w:val="0"/>
                <w:szCs w:val="21"/>
              </w:rPr>
            </w:pPr>
            <w:r>
              <w:rPr>
                <w:rFonts w:hint="default" w:ascii="Times New Roman" w:hAnsi="Times New Roman" w:eastAsia="宋体" w:cs="Times New Roman"/>
                <w:i w:val="0"/>
                <w:iCs w:val="0"/>
                <w:color w:val="000000"/>
                <w:kern w:val="0"/>
                <w:sz w:val="21"/>
                <w:szCs w:val="21"/>
                <w:u w:val="none"/>
                <w:lang w:val="en-US" w:eastAsia="zh-CN" w:bidi="ar"/>
              </w:rPr>
              <w:t>0.003</w:t>
            </w:r>
          </w:p>
        </w:tc>
        <w:tc>
          <w:tcPr>
            <w:tcW w:w="647" w:type="pct"/>
            <w:vAlign w:val="center"/>
          </w:tcPr>
          <w:p w14:paraId="44F2C3E7">
            <w:pPr>
              <w:keepNext w:val="0"/>
              <w:keepLines w:val="0"/>
              <w:widowControl/>
              <w:suppressLineNumbers w:val="0"/>
              <w:jc w:val="center"/>
              <w:textAlignment w:val="bottom"/>
              <w:rPr>
                <w:rFonts w:eastAsia="仿宋_GB2312"/>
                <w:kern w:val="0"/>
                <w:szCs w:val="21"/>
              </w:rPr>
            </w:pPr>
            <w:r>
              <w:rPr>
                <w:rFonts w:hint="default" w:ascii="Times New Roman" w:hAnsi="Times New Roman" w:eastAsia="宋体" w:cs="Times New Roman"/>
                <w:i w:val="0"/>
                <w:iCs w:val="0"/>
                <w:color w:val="000000"/>
                <w:kern w:val="0"/>
                <w:sz w:val="21"/>
                <w:szCs w:val="21"/>
                <w:u w:val="none"/>
                <w:lang w:val="en-US" w:eastAsia="zh-CN" w:bidi="ar"/>
              </w:rPr>
              <w:t>0</w:t>
            </w:r>
          </w:p>
        </w:tc>
      </w:tr>
      <w:tr w14:paraId="55CA30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88" w:type="pct"/>
            <w:vMerge w:val="continue"/>
            <w:shd w:val="clear" w:color="auto" w:fill="auto"/>
            <w:vAlign w:val="center"/>
          </w:tcPr>
          <w:p w14:paraId="42DDC130">
            <w:pPr>
              <w:widowControl/>
              <w:spacing w:line="240" w:lineRule="exact"/>
              <w:jc w:val="center"/>
              <w:rPr>
                <w:rFonts w:eastAsia="仿宋_GB2312"/>
                <w:kern w:val="0"/>
                <w:szCs w:val="21"/>
              </w:rPr>
            </w:pPr>
          </w:p>
        </w:tc>
        <w:tc>
          <w:tcPr>
            <w:tcW w:w="1147" w:type="pct"/>
            <w:shd w:val="clear" w:color="auto" w:fill="auto"/>
            <w:tcMar>
              <w:top w:w="15" w:type="dxa"/>
              <w:left w:w="15" w:type="dxa"/>
              <w:bottom w:w="0" w:type="dxa"/>
              <w:right w:w="15" w:type="dxa"/>
            </w:tcMar>
            <w:vAlign w:val="center"/>
          </w:tcPr>
          <w:p w14:paraId="5BDE902B">
            <w:pPr>
              <w:widowControl/>
              <w:spacing w:line="240" w:lineRule="exact"/>
              <w:jc w:val="center"/>
              <w:rPr>
                <w:rFonts w:eastAsia="仿宋_GB2312"/>
                <w:kern w:val="0"/>
                <w:szCs w:val="21"/>
              </w:rPr>
            </w:pPr>
            <w:r>
              <w:rPr>
                <w:rFonts w:eastAsia="仿宋_GB2312"/>
                <w:kern w:val="0"/>
                <w:szCs w:val="21"/>
              </w:rPr>
              <w:t>氰化物</w:t>
            </w:r>
          </w:p>
        </w:tc>
        <w:tc>
          <w:tcPr>
            <w:tcW w:w="773" w:type="pct"/>
            <w:vAlign w:val="center"/>
          </w:tcPr>
          <w:p w14:paraId="31B1AB45">
            <w:pPr>
              <w:keepNext w:val="0"/>
              <w:keepLines w:val="0"/>
              <w:widowControl/>
              <w:suppressLineNumbers w:val="0"/>
              <w:jc w:val="center"/>
              <w:textAlignment w:val="bottom"/>
              <w:rPr>
                <w:rFonts w:eastAsia="仿宋_GB2312"/>
                <w:kern w:val="0"/>
                <w:szCs w:val="21"/>
              </w:rPr>
            </w:pPr>
            <w:r>
              <w:rPr>
                <w:rFonts w:hint="default" w:ascii="Times New Roman" w:hAnsi="Times New Roman" w:eastAsia="宋体" w:cs="Times New Roman"/>
                <w:i w:val="0"/>
                <w:iCs w:val="0"/>
                <w:color w:val="000000"/>
                <w:kern w:val="0"/>
                <w:sz w:val="21"/>
                <w:szCs w:val="21"/>
                <w:u w:val="none"/>
                <w:lang w:val="en-US" w:eastAsia="zh-CN" w:bidi="ar"/>
              </w:rPr>
              <w:t>0.06</w:t>
            </w:r>
          </w:p>
        </w:tc>
        <w:tc>
          <w:tcPr>
            <w:tcW w:w="647" w:type="pct"/>
            <w:vAlign w:val="center"/>
          </w:tcPr>
          <w:p w14:paraId="174251BB">
            <w:pPr>
              <w:keepNext w:val="0"/>
              <w:keepLines w:val="0"/>
              <w:widowControl/>
              <w:suppressLineNumbers w:val="0"/>
              <w:jc w:val="center"/>
              <w:textAlignment w:val="bottom"/>
              <w:rPr>
                <w:rFonts w:eastAsia="仿宋_GB2312"/>
                <w:kern w:val="0"/>
                <w:szCs w:val="21"/>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647" w:type="pct"/>
            <w:vAlign w:val="center"/>
          </w:tcPr>
          <w:p w14:paraId="6F6DA6F0">
            <w:pPr>
              <w:keepNext w:val="0"/>
              <w:keepLines w:val="0"/>
              <w:widowControl/>
              <w:suppressLineNumbers w:val="0"/>
              <w:jc w:val="center"/>
              <w:textAlignment w:val="bottom"/>
              <w:rPr>
                <w:rFonts w:eastAsia="仿宋_GB2312"/>
                <w:kern w:val="0"/>
                <w:szCs w:val="21"/>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647" w:type="pct"/>
            <w:vAlign w:val="center"/>
          </w:tcPr>
          <w:p w14:paraId="2ECE81D3">
            <w:pPr>
              <w:keepNext w:val="0"/>
              <w:keepLines w:val="0"/>
              <w:widowControl/>
              <w:suppressLineNumbers w:val="0"/>
              <w:jc w:val="center"/>
              <w:textAlignment w:val="bottom"/>
              <w:rPr>
                <w:rFonts w:eastAsia="仿宋_GB2312"/>
                <w:kern w:val="0"/>
                <w:szCs w:val="21"/>
              </w:rPr>
            </w:pPr>
            <w:r>
              <w:rPr>
                <w:rFonts w:hint="default" w:ascii="Times New Roman" w:hAnsi="Times New Roman" w:eastAsia="宋体" w:cs="Times New Roman"/>
                <w:i w:val="0"/>
                <w:iCs w:val="0"/>
                <w:color w:val="000000"/>
                <w:kern w:val="0"/>
                <w:sz w:val="21"/>
                <w:szCs w:val="21"/>
                <w:u w:val="none"/>
                <w:lang w:val="en-US" w:eastAsia="zh-CN" w:bidi="ar"/>
              </w:rPr>
              <w:t>0.06</w:t>
            </w:r>
          </w:p>
        </w:tc>
        <w:tc>
          <w:tcPr>
            <w:tcW w:w="647" w:type="pct"/>
            <w:vAlign w:val="center"/>
          </w:tcPr>
          <w:p w14:paraId="59D967B7">
            <w:pPr>
              <w:keepNext w:val="0"/>
              <w:keepLines w:val="0"/>
              <w:widowControl/>
              <w:suppressLineNumbers w:val="0"/>
              <w:jc w:val="center"/>
              <w:textAlignment w:val="bottom"/>
              <w:rPr>
                <w:rFonts w:eastAsia="仿宋_GB2312"/>
                <w:kern w:val="0"/>
                <w:szCs w:val="21"/>
              </w:rPr>
            </w:pPr>
            <w:r>
              <w:rPr>
                <w:rFonts w:hint="default" w:ascii="Times New Roman" w:hAnsi="Times New Roman" w:eastAsia="宋体" w:cs="Times New Roman"/>
                <w:i w:val="0"/>
                <w:iCs w:val="0"/>
                <w:color w:val="000000"/>
                <w:kern w:val="0"/>
                <w:sz w:val="21"/>
                <w:szCs w:val="21"/>
                <w:u w:val="none"/>
                <w:lang w:val="en-US" w:eastAsia="zh-CN" w:bidi="ar"/>
              </w:rPr>
              <w:t>0</w:t>
            </w:r>
          </w:p>
        </w:tc>
      </w:tr>
      <w:tr w14:paraId="298BE9D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88" w:type="pct"/>
            <w:vMerge w:val="continue"/>
            <w:shd w:val="clear" w:color="auto" w:fill="auto"/>
            <w:vAlign w:val="center"/>
          </w:tcPr>
          <w:p w14:paraId="3C5CD60E">
            <w:pPr>
              <w:widowControl/>
              <w:spacing w:line="240" w:lineRule="exact"/>
              <w:jc w:val="center"/>
              <w:rPr>
                <w:rFonts w:eastAsia="仿宋_GB2312"/>
                <w:kern w:val="0"/>
                <w:szCs w:val="21"/>
              </w:rPr>
            </w:pPr>
          </w:p>
        </w:tc>
        <w:tc>
          <w:tcPr>
            <w:tcW w:w="1147" w:type="pct"/>
            <w:shd w:val="clear" w:color="auto" w:fill="auto"/>
            <w:tcMar>
              <w:top w:w="15" w:type="dxa"/>
              <w:left w:w="15" w:type="dxa"/>
              <w:bottom w:w="0" w:type="dxa"/>
              <w:right w:w="15" w:type="dxa"/>
            </w:tcMar>
            <w:vAlign w:val="center"/>
          </w:tcPr>
          <w:p w14:paraId="75EB5D3A">
            <w:pPr>
              <w:widowControl/>
              <w:spacing w:line="240" w:lineRule="exact"/>
              <w:jc w:val="center"/>
              <w:rPr>
                <w:rFonts w:eastAsia="仿宋_GB2312"/>
                <w:kern w:val="0"/>
                <w:szCs w:val="21"/>
              </w:rPr>
            </w:pPr>
            <w:r>
              <w:rPr>
                <w:rFonts w:eastAsia="仿宋_GB2312"/>
                <w:kern w:val="0"/>
                <w:szCs w:val="21"/>
              </w:rPr>
              <w:t>总银</w:t>
            </w:r>
          </w:p>
        </w:tc>
        <w:tc>
          <w:tcPr>
            <w:tcW w:w="773" w:type="pct"/>
            <w:vAlign w:val="center"/>
          </w:tcPr>
          <w:p w14:paraId="1D33312E">
            <w:pPr>
              <w:keepNext w:val="0"/>
              <w:keepLines w:val="0"/>
              <w:widowControl/>
              <w:suppressLineNumbers w:val="0"/>
              <w:jc w:val="center"/>
              <w:textAlignment w:val="bottom"/>
              <w:rPr>
                <w:rFonts w:eastAsia="仿宋_GB2312"/>
                <w:kern w:val="0"/>
                <w:szCs w:val="21"/>
              </w:rPr>
            </w:pPr>
            <w:r>
              <w:rPr>
                <w:rFonts w:hint="default" w:ascii="Times New Roman" w:hAnsi="Times New Roman" w:eastAsia="宋体" w:cs="Times New Roman"/>
                <w:i w:val="0"/>
                <w:iCs w:val="0"/>
                <w:color w:val="000000"/>
                <w:kern w:val="0"/>
                <w:sz w:val="21"/>
                <w:szCs w:val="21"/>
                <w:u w:val="none"/>
                <w:lang w:val="en-US" w:eastAsia="zh-CN" w:bidi="ar"/>
              </w:rPr>
              <w:t>0.003</w:t>
            </w:r>
          </w:p>
        </w:tc>
        <w:tc>
          <w:tcPr>
            <w:tcW w:w="647" w:type="pct"/>
            <w:vAlign w:val="center"/>
          </w:tcPr>
          <w:p w14:paraId="30721610">
            <w:pPr>
              <w:keepNext w:val="0"/>
              <w:keepLines w:val="0"/>
              <w:widowControl/>
              <w:suppressLineNumbers w:val="0"/>
              <w:jc w:val="center"/>
              <w:textAlignment w:val="bottom"/>
              <w:rPr>
                <w:rFonts w:eastAsia="仿宋_GB2312"/>
                <w:kern w:val="0"/>
                <w:szCs w:val="21"/>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647" w:type="pct"/>
            <w:vAlign w:val="center"/>
          </w:tcPr>
          <w:p w14:paraId="2C18A942">
            <w:pPr>
              <w:keepNext w:val="0"/>
              <w:keepLines w:val="0"/>
              <w:widowControl/>
              <w:suppressLineNumbers w:val="0"/>
              <w:jc w:val="center"/>
              <w:textAlignment w:val="bottom"/>
              <w:rPr>
                <w:rFonts w:eastAsia="仿宋_GB2312"/>
                <w:kern w:val="0"/>
                <w:szCs w:val="21"/>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647" w:type="pct"/>
            <w:vAlign w:val="center"/>
          </w:tcPr>
          <w:p w14:paraId="128CCA3D">
            <w:pPr>
              <w:keepNext w:val="0"/>
              <w:keepLines w:val="0"/>
              <w:widowControl/>
              <w:suppressLineNumbers w:val="0"/>
              <w:jc w:val="center"/>
              <w:textAlignment w:val="bottom"/>
              <w:rPr>
                <w:rFonts w:eastAsia="仿宋_GB2312"/>
                <w:kern w:val="0"/>
                <w:szCs w:val="21"/>
              </w:rPr>
            </w:pPr>
            <w:r>
              <w:rPr>
                <w:rFonts w:hint="default" w:ascii="Times New Roman" w:hAnsi="Times New Roman" w:eastAsia="宋体" w:cs="Times New Roman"/>
                <w:i w:val="0"/>
                <w:iCs w:val="0"/>
                <w:color w:val="000000"/>
                <w:kern w:val="0"/>
                <w:sz w:val="21"/>
                <w:szCs w:val="21"/>
                <w:u w:val="none"/>
                <w:lang w:val="en-US" w:eastAsia="zh-CN" w:bidi="ar"/>
              </w:rPr>
              <w:t>0.003</w:t>
            </w:r>
          </w:p>
        </w:tc>
        <w:tc>
          <w:tcPr>
            <w:tcW w:w="647" w:type="pct"/>
            <w:vAlign w:val="center"/>
          </w:tcPr>
          <w:p w14:paraId="79616701">
            <w:pPr>
              <w:keepNext w:val="0"/>
              <w:keepLines w:val="0"/>
              <w:widowControl/>
              <w:suppressLineNumbers w:val="0"/>
              <w:jc w:val="center"/>
              <w:textAlignment w:val="bottom"/>
              <w:rPr>
                <w:rFonts w:eastAsia="仿宋_GB2312"/>
                <w:kern w:val="0"/>
                <w:szCs w:val="21"/>
              </w:rPr>
            </w:pPr>
            <w:r>
              <w:rPr>
                <w:rFonts w:hint="default" w:ascii="Times New Roman" w:hAnsi="Times New Roman" w:eastAsia="宋体" w:cs="Times New Roman"/>
                <w:i w:val="0"/>
                <w:iCs w:val="0"/>
                <w:color w:val="000000"/>
                <w:kern w:val="0"/>
                <w:sz w:val="21"/>
                <w:szCs w:val="21"/>
                <w:u w:val="none"/>
                <w:lang w:val="en-US" w:eastAsia="zh-CN" w:bidi="ar"/>
              </w:rPr>
              <w:t>0</w:t>
            </w:r>
          </w:p>
        </w:tc>
      </w:tr>
      <w:tr w14:paraId="7FC159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88" w:type="pct"/>
            <w:vMerge w:val="continue"/>
            <w:shd w:val="clear" w:color="auto" w:fill="auto"/>
            <w:vAlign w:val="center"/>
          </w:tcPr>
          <w:p w14:paraId="74DD211B">
            <w:pPr>
              <w:widowControl/>
              <w:spacing w:line="240" w:lineRule="exact"/>
              <w:jc w:val="center"/>
              <w:rPr>
                <w:rFonts w:eastAsia="仿宋_GB2312"/>
                <w:kern w:val="0"/>
                <w:szCs w:val="21"/>
              </w:rPr>
            </w:pPr>
          </w:p>
        </w:tc>
        <w:tc>
          <w:tcPr>
            <w:tcW w:w="1147" w:type="pct"/>
            <w:shd w:val="clear" w:color="auto" w:fill="auto"/>
            <w:tcMar>
              <w:top w:w="15" w:type="dxa"/>
              <w:left w:w="15" w:type="dxa"/>
              <w:bottom w:w="0" w:type="dxa"/>
              <w:right w:w="15" w:type="dxa"/>
            </w:tcMar>
            <w:vAlign w:val="center"/>
          </w:tcPr>
          <w:p w14:paraId="026D2E95">
            <w:pPr>
              <w:widowControl/>
              <w:spacing w:line="240" w:lineRule="exact"/>
              <w:jc w:val="center"/>
              <w:rPr>
                <w:rFonts w:eastAsia="仿宋_GB2312"/>
                <w:kern w:val="0"/>
                <w:szCs w:val="21"/>
              </w:rPr>
            </w:pPr>
            <w:r>
              <w:rPr>
                <w:rFonts w:eastAsia="仿宋_GB2312"/>
                <w:kern w:val="0"/>
                <w:szCs w:val="21"/>
              </w:rPr>
              <w:t>盐分</w:t>
            </w:r>
          </w:p>
        </w:tc>
        <w:tc>
          <w:tcPr>
            <w:tcW w:w="773" w:type="pct"/>
            <w:vAlign w:val="center"/>
          </w:tcPr>
          <w:p w14:paraId="7AC871C7">
            <w:pPr>
              <w:keepNext w:val="0"/>
              <w:keepLines w:val="0"/>
              <w:widowControl/>
              <w:suppressLineNumbers w:val="0"/>
              <w:jc w:val="center"/>
              <w:textAlignment w:val="bottom"/>
              <w:rPr>
                <w:rFonts w:eastAsia="仿宋_GB2312"/>
                <w:kern w:val="0"/>
                <w:szCs w:val="21"/>
              </w:rPr>
            </w:pPr>
            <w:r>
              <w:rPr>
                <w:rFonts w:hint="default" w:ascii="Times New Roman" w:hAnsi="Times New Roman" w:eastAsia="宋体" w:cs="Times New Roman"/>
                <w:i w:val="0"/>
                <w:iCs w:val="0"/>
                <w:color w:val="000000"/>
                <w:kern w:val="0"/>
                <w:sz w:val="21"/>
                <w:szCs w:val="21"/>
                <w:u w:val="none"/>
                <w:lang w:val="en-US" w:eastAsia="zh-CN" w:bidi="ar"/>
              </w:rPr>
              <w:t>16.72</w:t>
            </w:r>
          </w:p>
        </w:tc>
        <w:tc>
          <w:tcPr>
            <w:tcW w:w="647" w:type="pct"/>
            <w:vAlign w:val="center"/>
          </w:tcPr>
          <w:p w14:paraId="11BEDD9A">
            <w:pPr>
              <w:keepNext w:val="0"/>
              <w:keepLines w:val="0"/>
              <w:widowControl/>
              <w:suppressLineNumbers w:val="0"/>
              <w:jc w:val="center"/>
              <w:textAlignment w:val="bottom"/>
              <w:rPr>
                <w:rFonts w:eastAsia="仿宋_GB2312"/>
                <w:kern w:val="0"/>
                <w:szCs w:val="21"/>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647" w:type="pct"/>
            <w:vAlign w:val="center"/>
          </w:tcPr>
          <w:p w14:paraId="3FEFB34B">
            <w:pPr>
              <w:keepNext w:val="0"/>
              <w:keepLines w:val="0"/>
              <w:widowControl/>
              <w:suppressLineNumbers w:val="0"/>
              <w:jc w:val="center"/>
              <w:textAlignment w:val="bottom"/>
              <w:rPr>
                <w:rFonts w:eastAsia="仿宋_GB2312"/>
                <w:kern w:val="0"/>
                <w:szCs w:val="21"/>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647" w:type="pct"/>
            <w:vAlign w:val="center"/>
          </w:tcPr>
          <w:p w14:paraId="281520C8">
            <w:pPr>
              <w:keepNext w:val="0"/>
              <w:keepLines w:val="0"/>
              <w:widowControl/>
              <w:suppressLineNumbers w:val="0"/>
              <w:jc w:val="center"/>
              <w:textAlignment w:val="bottom"/>
              <w:rPr>
                <w:rFonts w:eastAsia="仿宋_GB2312"/>
                <w:kern w:val="0"/>
                <w:szCs w:val="21"/>
              </w:rPr>
            </w:pPr>
            <w:r>
              <w:rPr>
                <w:rFonts w:hint="default" w:ascii="Times New Roman" w:hAnsi="Times New Roman" w:eastAsia="宋体" w:cs="Times New Roman"/>
                <w:i w:val="0"/>
                <w:iCs w:val="0"/>
                <w:color w:val="000000"/>
                <w:kern w:val="0"/>
                <w:sz w:val="21"/>
                <w:szCs w:val="21"/>
                <w:u w:val="none"/>
                <w:lang w:val="en-US" w:eastAsia="zh-CN" w:bidi="ar"/>
              </w:rPr>
              <w:t>16.72</w:t>
            </w:r>
          </w:p>
        </w:tc>
        <w:tc>
          <w:tcPr>
            <w:tcW w:w="647" w:type="pct"/>
            <w:vAlign w:val="center"/>
          </w:tcPr>
          <w:p w14:paraId="76EAA0C7">
            <w:pPr>
              <w:keepNext w:val="0"/>
              <w:keepLines w:val="0"/>
              <w:widowControl/>
              <w:suppressLineNumbers w:val="0"/>
              <w:jc w:val="center"/>
              <w:textAlignment w:val="bottom"/>
              <w:rPr>
                <w:rFonts w:eastAsia="仿宋_GB2312"/>
                <w:kern w:val="0"/>
                <w:szCs w:val="21"/>
              </w:rPr>
            </w:pPr>
            <w:r>
              <w:rPr>
                <w:rFonts w:hint="default" w:ascii="Times New Roman" w:hAnsi="Times New Roman" w:eastAsia="宋体" w:cs="Times New Roman"/>
                <w:i w:val="0"/>
                <w:iCs w:val="0"/>
                <w:color w:val="000000"/>
                <w:kern w:val="0"/>
                <w:sz w:val="21"/>
                <w:szCs w:val="21"/>
                <w:u w:val="none"/>
                <w:lang w:val="en-US" w:eastAsia="zh-CN" w:bidi="ar"/>
              </w:rPr>
              <w:t>0</w:t>
            </w:r>
          </w:p>
        </w:tc>
      </w:tr>
    </w:tbl>
    <w:p w14:paraId="55D73C15">
      <w:pPr>
        <w:rPr>
          <w:rFonts w:eastAsia="仿宋_GB2312"/>
          <w:b/>
          <w:color w:val="auto"/>
          <w:sz w:val="24"/>
        </w:rPr>
      </w:pPr>
    </w:p>
    <w:p w14:paraId="08403CFE">
      <w:pPr>
        <w:pStyle w:val="2"/>
        <w:rPr>
          <w:rFonts w:eastAsia="仿宋_GB2312"/>
          <w:b/>
          <w:color w:val="auto"/>
          <w:sz w:val="24"/>
        </w:rPr>
      </w:pPr>
    </w:p>
    <w:p w14:paraId="64DC0FC1">
      <w:pPr>
        <w:rPr>
          <w:rFonts w:eastAsia="仿宋_GB2312"/>
          <w:b/>
          <w:color w:val="auto"/>
          <w:sz w:val="24"/>
        </w:rPr>
      </w:pPr>
    </w:p>
    <w:p w14:paraId="2B6D0EC1">
      <w:pPr>
        <w:pStyle w:val="2"/>
      </w:pPr>
    </w:p>
    <w:p w14:paraId="422D1C01">
      <w:pPr>
        <w:spacing w:line="500" w:lineRule="exact"/>
        <w:ind w:firstLine="482" w:firstLineChars="200"/>
        <w:jc w:val="center"/>
        <w:rPr>
          <w:rFonts w:eastAsia="仿宋_GB2312"/>
          <w:b/>
          <w:color w:val="FF0000"/>
          <w:sz w:val="24"/>
        </w:rPr>
      </w:pPr>
    </w:p>
    <w:p w14:paraId="57983BDC">
      <w:pPr>
        <w:spacing w:line="500" w:lineRule="exact"/>
        <w:ind w:firstLine="482" w:firstLineChars="200"/>
        <w:jc w:val="center"/>
        <w:rPr>
          <w:rFonts w:eastAsia="仿宋_GB2312"/>
          <w:b/>
          <w:color w:val="FF0000"/>
          <w:sz w:val="24"/>
        </w:rPr>
      </w:pPr>
    </w:p>
    <w:p w14:paraId="063D5D8A">
      <w:pPr>
        <w:spacing w:line="500" w:lineRule="exact"/>
        <w:ind w:firstLine="482" w:firstLineChars="200"/>
        <w:jc w:val="center"/>
        <w:rPr>
          <w:rFonts w:eastAsia="仿宋_GB2312"/>
          <w:b/>
          <w:color w:val="FF0000"/>
          <w:sz w:val="24"/>
        </w:rPr>
      </w:pPr>
    </w:p>
    <w:p w14:paraId="7B3A18D9">
      <w:pPr>
        <w:spacing w:line="500" w:lineRule="exact"/>
        <w:ind w:firstLine="482" w:firstLineChars="200"/>
        <w:jc w:val="center"/>
        <w:rPr>
          <w:rFonts w:eastAsia="仿宋_GB2312"/>
          <w:b/>
          <w:color w:val="FF0000"/>
          <w:sz w:val="24"/>
        </w:rPr>
      </w:pPr>
    </w:p>
    <w:p w14:paraId="7ED832FE">
      <w:pPr>
        <w:spacing w:line="500" w:lineRule="exact"/>
        <w:ind w:firstLine="482" w:firstLineChars="200"/>
        <w:jc w:val="center"/>
        <w:rPr>
          <w:rFonts w:eastAsia="仿宋_GB2312"/>
          <w:b/>
          <w:color w:val="FF0000"/>
          <w:sz w:val="24"/>
        </w:rPr>
      </w:pPr>
    </w:p>
    <w:bookmarkEnd w:id="0"/>
    <w:bookmarkEnd w:id="1"/>
    <w:bookmarkEnd w:id="2"/>
    <w:bookmarkEnd w:id="3"/>
    <w:bookmarkEnd w:id="4"/>
    <w:bookmarkEnd w:id="5"/>
    <w:bookmarkEnd w:id="6"/>
    <w:bookmarkEnd w:id="7"/>
    <w:bookmarkEnd w:id="8"/>
    <w:bookmarkEnd w:id="9"/>
    <w:bookmarkEnd w:id="10"/>
    <w:bookmarkEnd w:id="11"/>
    <w:bookmarkEnd w:id="12"/>
    <w:bookmarkEnd w:id="13"/>
    <w:p w14:paraId="47292559">
      <w:pPr>
        <w:spacing w:line="500" w:lineRule="exact"/>
        <w:ind w:firstLine="482" w:firstLineChars="200"/>
        <w:jc w:val="center"/>
        <w:rPr>
          <w:rFonts w:eastAsia="仿宋_GB2312"/>
          <w:b/>
          <w:color w:val="FF0000"/>
          <w:sz w:val="24"/>
        </w:rPr>
      </w:pPr>
    </w:p>
    <w:sectPr>
      <w:headerReference r:id="rId12" w:type="even"/>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C94C9F14-7782-4573-80FD-2CBB8FA01997}"/>
  </w:font>
  <w:font w:name="仿宋_GB2312">
    <w:altName w:val="仿宋"/>
    <w:panose1 w:val="00000000000000000000"/>
    <w:charset w:val="86"/>
    <w:family w:val="modern"/>
    <w:pitch w:val="default"/>
    <w:sig w:usb0="00000000" w:usb1="00000000" w:usb2="00000000" w:usb3="00000000" w:csb0="00040000" w:csb1="00000000"/>
    <w:embedRegular r:id="rId2" w:fontKey="{6EEAEC74-2295-4E36-9C66-77573214B38F}"/>
  </w:font>
  <w:font w:name="仿宋">
    <w:panose1 w:val="02010609060101010101"/>
    <w:charset w:val="86"/>
    <w:family w:val="modern"/>
    <w:pitch w:val="default"/>
    <w:sig w:usb0="800002BF" w:usb1="38CF7CFA" w:usb2="00000016" w:usb3="00000000" w:csb0="00040001" w:csb1="00000000"/>
    <w:embedRegular r:id="rId3" w:fontKey="{E87C336E-F594-401B-87F5-38CA8BC2B586}"/>
  </w:font>
  <w:font w:name="Book Antiqua">
    <w:altName w:val="Segoe Print"/>
    <w:panose1 w:val="00000000000000000000"/>
    <w:charset w:val="00"/>
    <w:family w:val="roman"/>
    <w:pitch w:val="default"/>
    <w:sig w:usb0="00000000" w:usb1="00000000" w:usb2="00000000" w:usb3="00000000" w:csb0="2000009F" w:csb1="DFD70000"/>
  </w:font>
  <w:font w:name="Segoe Print">
    <w:panose1 w:val="02000600000000000000"/>
    <w:charset w:val="00"/>
    <w:family w:val="auto"/>
    <w:pitch w:val="default"/>
    <w:sig w:usb0="0000028F" w:usb1="00000000" w:usb2="00000000" w:usb3="00000000" w:csb0="2000009F" w:csb1="47010000"/>
  </w:font>
  <w:font w:name="楷体_GB2312">
    <w:altName w:val="楷体"/>
    <w:panose1 w:val="00000000000000000000"/>
    <w:charset w:val="86"/>
    <w:family w:val="modern"/>
    <w:pitch w:val="default"/>
    <w:sig w:usb0="00000000" w:usb1="00000000" w:usb2="00000000" w:usb3="00000000" w:csb0="00040000" w:csb1="00000000"/>
    <w:embedRegular r:id="rId4" w:fontKey="{1DE5AAA1-2648-4CD3-8F66-5B31B9196C19}"/>
  </w:font>
  <w:font w:name="楷体">
    <w:panose1 w:val="02010609060101010101"/>
    <w:charset w:val="86"/>
    <w:family w:val="modern"/>
    <w:pitch w:val="default"/>
    <w:sig w:usb0="800002BF" w:usb1="38CF7CFA" w:usb2="00000016" w:usb3="00000000" w:csb0="00040001" w:csb1="00000000"/>
  </w:font>
  <w:font w:name="Arial Unicode MS">
    <w:panose1 w:val="020B0604020202020204"/>
    <w:charset w:val="86"/>
    <w:family w:val="swiss"/>
    <w:pitch w:val="default"/>
    <w:sig w:usb0="FFFFFFFF" w:usb1="E9FFFFFF" w:usb2="0000003F" w:usb3="00000000" w:csb0="603F01FF" w:csb1="FFFF0000"/>
  </w:font>
  <w:font w:name="Tms Rmn">
    <w:altName w:val="Segoe Print"/>
    <w:panose1 w:val="02020603040505020304"/>
    <w:charset w:val="00"/>
    <w:family w:val="roman"/>
    <w:pitch w:val="default"/>
    <w:sig w:usb0="00000000" w:usb1="00000000" w:usb2="00000000" w:usb3="00000000" w:csb0="00000001" w:csb1="00000000"/>
  </w:font>
  <w:font w:name="隶书">
    <w:panose1 w:val="02010509060101010101"/>
    <w:charset w:val="86"/>
    <w:family w:val="modern"/>
    <w:pitch w:val="default"/>
    <w:sig w:usb0="00000001" w:usb1="080E0000" w:usb2="00000000" w:usb3="00000000" w:csb0="00040000" w:csb1="00000000"/>
  </w:font>
  <w:font w:name="幼圆">
    <w:panose1 w:val="02010509060101010101"/>
    <w:charset w:val="86"/>
    <w:family w:val="modern"/>
    <w:pitch w:val="default"/>
    <w:sig w:usb0="00000001" w:usb1="080E0000" w:usb2="00000000" w:usb3="00000000" w:csb0="00040000" w:csb1="00000000"/>
  </w:font>
  <w:font w:name="..">
    <w:altName w:val="黑体"/>
    <w:panose1 w:val="00000000000000000000"/>
    <w:charset w:val="86"/>
    <w:family w:val="auto"/>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TimesNewRoman">
    <w:altName w:val="Times New Roman"/>
    <w:panose1 w:val="00000000000000000000"/>
    <w:charset w:val="00"/>
    <w:family w:val="roman"/>
    <w:pitch w:val="default"/>
    <w:sig w:usb0="00000000" w:usb1="00000000" w:usb2="00000010" w:usb3="00000000" w:csb0="00040001" w:csb1="00000000"/>
  </w:font>
  <w:font w:name="Arial Narrow">
    <w:altName w:val="Arial"/>
    <w:panose1 w:val="00000000000000000000"/>
    <w:charset w:val="00"/>
    <w:family w:val="swiss"/>
    <w:pitch w:val="default"/>
    <w:sig w:usb0="00000000" w:usb1="00000000" w:usb2="00000000" w:usb3="00000000" w:csb0="2000009F" w:csb1="DFD70000"/>
  </w:font>
  <w:font w:name="Arial Black">
    <w:panose1 w:val="020B0A04020102020204"/>
    <w:charset w:val="00"/>
    <w:family w:val="swiss"/>
    <w:pitch w:val="default"/>
    <w:sig w:usb0="A00002AF" w:usb1="400078FB" w:usb2="00000000" w:usb3="00000000" w:csb0="6000009F" w:csb1="DFD70000"/>
  </w:font>
  <w:font w:name="StempelGaramond Roman">
    <w:altName w:val="Times New Roman"/>
    <w:panose1 w:val="00000000000000000000"/>
    <w:charset w:val="00"/>
    <w:family w:val="roman"/>
    <w:pitch w:val="default"/>
    <w:sig w:usb0="00000000" w:usb1="00000000" w:usb2="00000000" w:usb3="00000000" w:csb0="00000001" w:csb1="00000000"/>
  </w:font>
  <w:font w:name="ˎ̥">
    <w:altName w:val="Times New Roman"/>
    <w:panose1 w:val="00000000000000000000"/>
    <w:charset w:val="00"/>
    <w:family w:val="roman"/>
    <w:pitch w:val="default"/>
    <w:sig w:usb0="00000000" w:usb1="00000000" w:usb2="00000000" w:usb3="00000000" w:csb0="00040001" w:csb1="00000000"/>
  </w:font>
  <w:font w:name="Times">
    <w:altName w:val="Times New Roman"/>
    <w:panose1 w:val="02020603050405020304"/>
    <w:charset w:val="00"/>
    <w:family w:val="roman"/>
    <w:pitch w:val="default"/>
    <w:sig w:usb0="00000000" w:usb1="00000000" w:usb2="00000009" w:usb3="00000000" w:csb0="000001FF" w:csb1="00000000"/>
    <w:embedRegular r:id="rId5" w:fontKey="{C6D7A1A6-9F16-473B-A1DF-E9C5E136B612}"/>
  </w:font>
  <w:font w:name="Plotter">
    <w:altName w:val="Tahoma"/>
    <w:panose1 w:val="00000000000000000000"/>
    <w:charset w:val="00"/>
    <w:family w:val="roman"/>
    <w:pitch w:val="default"/>
    <w:sig w:usb0="00000000" w:usb1="00000000" w:usb2="0000006E" w:usb3="00000000" w:csb0="81632469" w:csb1="BFF7D18D"/>
  </w:font>
  <w:font w:name="GB2312">
    <w:altName w:val="Times New Roman"/>
    <w:panose1 w:val="00000000000000000000"/>
    <w:charset w:val="00"/>
    <w:family w:val="roman"/>
    <w:pitch w:val="default"/>
    <w:sig w:usb0="00000000" w:usb1="00000000" w:usb2="00000000" w:usb3="00000000" w:csb0="00040001" w:csb1="00000000"/>
  </w:font>
  <w:font w:name="Cambria">
    <w:panose1 w:val="02040503050406030204"/>
    <w:charset w:val="00"/>
    <w:family w:val="roman"/>
    <w:pitch w:val="default"/>
    <w:sig w:usb0="E00006FF" w:usb1="420024FF" w:usb2="02000000" w:usb3="00000000" w:csb0="2000019F" w:csb1="00000000"/>
  </w:font>
  <w:font w:name="新宋体">
    <w:panose1 w:val="02010609030101010101"/>
    <w:charset w:val="86"/>
    <w:family w:val="modern"/>
    <w:pitch w:val="default"/>
    <w:sig w:usb0="00000203" w:usb1="288F0000" w:usb2="00000006" w:usb3="00000000" w:csb0="00040001" w:csb1="00000000"/>
  </w:font>
  <w:font w:name="·s²Ó©úÅé">
    <w:altName w:val="Microsoft JhengHei"/>
    <w:panose1 w:val="00000000000000000000"/>
    <w:charset w:val="88"/>
    <w:family w:val="auto"/>
    <w:pitch w:val="default"/>
    <w:sig w:usb0="00000000" w:usb1="00000000" w:usb2="00000010" w:usb3="00000000" w:csb0="00100000" w:csb1="00000000"/>
  </w:font>
  <w:font w:name="Microsoft JhengHei">
    <w:panose1 w:val="020B0604030504040204"/>
    <w:charset w:val="88"/>
    <w:family w:val="auto"/>
    <w:pitch w:val="default"/>
    <w:sig w:usb0="000002A7" w:usb1="28CF4400" w:usb2="00000016" w:usb3="00000000" w:csb0="00100009" w:csb1="00000000"/>
  </w:font>
  <w:font w:name="文鼎CS大宋">
    <w:altName w:val="宋体"/>
    <w:panose1 w:val="00000000000000000000"/>
    <w:charset w:val="86"/>
    <w:family w:val="modern"/>
    <w:pitch w:val="default"/>
    <w:sig w:usb0="00000000" w:usb1="00000000" w:usb2="00000010" w:usb3="00000000" w:csb0="00040000" w:csb1="00000000"/>
  </w:font>
  <w:font w:name="华文仿宋">
    <w:panose1 w:val="02010600040101010101"/>
    <w:charset w:val="86"/>
    <w:family w:val="auto"/>
    <w:pitch w:val="default"/>
    <w:sig w:usb0="00000287" w:usb1="080F0000" w:usb2="00000000" w:usb3="00000000" w:csb0="0004009F" w:csb1="DFD70000"/>
  </w:font>
  <w:font w:name="Verdana">
    <w:panose1 w:val="020B0604030504040204"/>
    <w:charset w:val="00"/>
    <w:family w:val="swiss"/>
    <w:pitch w:val="default"/>
    <w:sig w:usb0="A00006FF" w:usb1="4000205B" w:usb2="00000010" w:usb3="00000000" w:csb0="2000019F" w:csb1="00000000"/>
  </w:font>
  <w:font w:name="方正仿宋_GBK">
    <w:panose1 w:val="02000000000000000000"/>
    <w:charset w:val="86"/>
    <w:family w:val="script"/>
    <w:pitch w:val="default"/>
    <w:sig w:usb0="A00002BF" w:usb1="38CF7CFA" w:usb2="00082016" w:usb3="00000000" w:csb0="00040001" w:csb1="00000000"/>
  </w:font>
  <w:font w:name="华文中宋">
    <w:panose1 w:val="02010600040101010101"/>
    <w:charset w:val="86"/>
    <w:family w:val="auto"/>
    <w:pitch w:val="default"/>
    <w:sig w:usb0="00000287" w:usb1="080F0000" w:usb2="00000000" w:usb3="00000000" w:csb0="0004009F" w:csb1="DFD70000"/>
  </w:font>
  <w:font w:name="方正楷体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embedRegular r:id="rId6" w:fontKey="{D9E5C850-E16D-4EDB-A9B6-B23D767EA148}"/>
  </w:font>
  <w:font w:name="MingLiU">
    <w:altName w:val="PMingLiU-ExtB"/>
    <w:panose1 w:val="02010609000101010101"/>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仿宋体">
    <w:altName w:val="宋体"/>
    <w:panose1 w:val="00000000000000000000"/>
    <w:charset w:val="86"/>
    <w:family w:val="roman"/>
    <w:pitch w:val="default"/>
    <w:sig w:usb0="00000000" w:usb1="00000000" w:usb2="00000010" w:usb3="00000000" w:csb0="00040000" w:csb1="00000000"/>
  </w:font>
  <w:font w:name="Impact">
    <w:panose1 w:val="020B0806030902050204"/>
    <w:charset w:val="00"/>
    <w:family w:val="swiss"/>
    <w:pitch w:val="default"/>
    <w:sig w:usb0="00000287" w:usb1="00000000" w:usb2="00000000" w:usb3="00000000" w:csb0="2000009F" w:csb1="DFD70000"/>
  </w:font>
  <w:font w:name="全真楷書">
    <w:altName w:val="宋体"/>
    <w:panose1 w:val="00000000000000000000"/>
    <w:charset w:val="88"/>
    <w:family w:val="modern"/>
    <w:pitch w:val="default"/>
    <w:sig w:usb0="00000000" w:usb1="00000000" w:usb2="00000010" w:usb3="00000000" w:csb0="00100000" w:csb1="00000000"/>
  </w:font>
  <w:font w:name="Dutch801 Rm BT">
    <w:altName w:val="Times New Roman"/>
    <w:panose1 w:val="00000000000000000000"/>
    <w:charset w:val="00"/>
    <w:family w:val="roman"/>
    <w:pitch w:val="default"/>
    <w:sig w:usb0="00000000" w:usb1="00000000" w:usb2="00000000" w:usb3="00000000" w:csb0="00000000" w:csb1="00000000"/>
  </w:font>
  <w:font w:name="Garamond">
    <w:altName w:val="PMingLiU-ExtB"/>
    <w:panose1 w:val="00000000000000000000"/>
    <w:charset w:val="00"/>
    <w:family w:val="roman"/>
    <w:pitch w:val="default"/>
    <w:sig w:usb0="00000000" w:usb1="00000000" w:usb2="00000000" w:usb3="00000000" w:csb0="0000009F" w:csb1="DFD70000"/>
  </w:font>
  <w:font w:name="文鼎CS书宋二">
    <w:altName w:val="宋体"/>
    <w:panose1 w:val="00000000000000000000"/>
    <w:charset w:val="86"/>
    <w:family w:val="modern"/>
    <w:pitch w:val="default"/>
    <w:sig w:usb0="00000000" w:usb1="00000000" w:usb2="00000010" w:usb3="00000000" w:csb0="00040000" w:csb1="00000000"/>
  </w:font>
  <w:font w:name="Century">
    <w:panose1 w:val="02040604050505020304"/>
    <w:charset w:val="00"/>
    <w:family w:val="roman"/>
    <w:pitch w:val="default"/>
    <w:sig w:usb0="00000287" w:usb1="00000000" w:usb2="00000000" w:usb3="00000000" w:csb0="2000009F" w:csb1="DFD70000"/>
  </w:font>
  <w:font w:name="汉鼎简特宋">
    <w:altName w:val="宋体"/>
    <w:panose1 w:val="00000000000000000000"/>
    <w:charset w:val="86"/>
    <w:family w:val="modern"/>
    <w:pitch w:val="default"/>
    <w:sig w:usb0="00000000" w:usb1="00000000" w:usb2="00000010" w:usb3="00000000" w:csb0="00040000" w:csb1="00000000"/>
  </w:font>
  <w:font w:name="Angsana New">
    <w:altName w:val="Times New Roman"/>
    <w:panose1 w:val="02020603050405020304"/>
    <w:charset w:val="00"/>
    <w:family w:val="roman"/>
    <w:pitch w:val="default"/>
    <w:sig w:usb0="00000000" w:usb1="00000000" w:usb2="00000000" w:usb3="00000000" w:csb0="00010001" w:csb1="00000000"/>
  </w:font>
  <w:font w:name="华文楷体">
    <w:panose1 w:val="02010600040101010101"/>
    <w:charset w:val="86"/>
    <w:family w:val="auto"/>
    <w:pitch w:val="default"/>
    <w:sig w:usb0="00000287" w:usb1="080F0000" w:usb2="00000000" w:usb3="00000000" w:csb0="0004009F" w:csb1="DFD70000"/>
  </w:font>
  <w:font w:name="Times New Roman;Symbol;Arial;婼">
    <w:altName w:val="黑体"/>
    <w:panose1 w:val="00000000000000000000"/>
    <w:charset w:val="86"/>
    <w:family w:val="auto"/>
    <w:pitch w:val="default"/>
    <w:sig w:usb0="00000000" w:usb1="00000000" w:usb2="00000010" w:usb3="00000000" w:csb0="00040000" w:csb1="00000000"/>
  </w:font>
  <w:font w:name="汉鼎简书宋">
    <w:altName w:val="宋体"/>
    <w:panose1 w:val="00000000000000000000"/>
    <w:charset w:val="86"/>
    <w:family w:val="modern"/>
    <w:pitch w:val="default"/>
    <w:sig w:usb0="00000000" w:usb1="00000000" w:usb2="00000010" w:usb3="00000000" w:csb0="00040000" w:csb1="00000000"/>
  </w:font>
  <w:font w:name="方正小标宋_GBK">
    <w:altName w:val="微软雅黑"/>
    <w:panose1 w:val="00000000000000000000"/>
    <w:charset w:val="86"/>
    <w:family w:val="script"/>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embedRegular r:id="rId7" w:fontKey="{0457AB02-7C6D-4FA8-BD17-457030BB5F46}"/>
  </w:font>
  <w:font w:name="方正仿宋_GB2312">
    <w:panose1 w:val="02000000000000000000"/>
    <w:charset w:val="86"/>
    <w:family w:val="auto"/>
    <w:pitch w:val="default"/>
    <w:sig w:usb0="A00002BF" w:usb1="184F6CFA" w:usb2="00000012" w:usb3="00000000" w:csb0="00040001" w:csb1="00000000"/>
    <w:embedRegular r:id="rId8" w:fontKey="{359F9229-F420-4CAA-8085-BDE8D97A0802}"/>
  </w:font>
  <w:font w:name="KSOFE44F9426">
    <w:panose1 w:val="02010609060101010101"/>
    <w:charset w:val="86"/>
    <w:family w:val="auto"/>
    <w:pitch w:val="default"/>
    <w:sig w:usb0="00000001" w:usb1="00000000" w:usb2="00000000" w:usb3="00000000" w:csb0="00040001" w:csb1="00000000"/>
  </w:font>
  <w:font w:name="Microsoft YaHei UI">
    <w:panose1 w:val="020B0503020204020204"/>
    <w:charset w:val="86"/>
    <w:family w:val="auto"/>
    <w:pitch w:val="default"/>
    <w:sig w:usb0="80000287" w:usb1="2ACF3C50"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96185636"/>
      <w:showingPlcHdr/>
    </w:sdtPr>
    <w:sdtContent>
      <w:p w14:paraId="1CC81E47">
        <w:pPr>
          <w:pStyle w:val="56"/>
          <w:jc w:val="center"/>
        </w:pPr>
        <w:r>
          <w:rPr>
            <w:rFonts w:hint="eastAsia"/>
            <w:lang w:eastAsia="zh-CN"/>
          </w:rPr>
          <w:t xml:space="preserve">     </w:t>
        </w:r>
      </w:p>
    </w:sdtContent>
  </w:sdt>
  <w:p w14:paraId="443E43CA">
    <w:pPr>
      <w:pStyle w:val="5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06B8E4">
    <w:pPr>
      <w:pStyle w:val="56"/>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8E47CD">
                          <w:pPr>
                            <w:pStyle w:val="5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28E47CD">
                    <w:pPr>
                      <w:pStyle w:val="56"/>
                    </w:pPr>
                    <w:r>
                      <w:fldChar w:fldCharType="begin"/>
                    </w:r>
                    <w:r>
                      <w:instrText xml:space="preserve"> PAGE  \* MERGEFORMAT </w:instrText>
                    </w:r>
                    <w:r>
                      <w:fldChar w:fldCharType="separate"/>
                    </w:r>
                    <w:r>
                      <w:t>1</w:t>
                    </w:r>
                    <w:r>
                      <w:fldChar w:fldCharType="end"/>
                    </w:r>
                  </w:p>
                </w:txbxContent>
              </v:textbox>
            </v:shape>
          </w:pict>
        </mc:Fallback>
      </mc:AlternateContent>
    </w:r>
    <w:sdt>
      <w:sdtPr>
        <w:id w:val="147458093"/>
      </w:sdtPr>
      <w:sdtContent/>
    </w:sdt>
  </w:p>
  <w:p w14:paraId="73426C1D">
    <w:pPr>
      <w:pStyle w:val="5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579589">
    <w:pPr>
      <w:pStyle w:val="56"/>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EC7A44">
                          <w:pPr>
                            <w:pStyle w:val="56"/>
                            <w:jc w:val="center"/>
                          </w:pPr>
                          <w:r>
                            <w:fldChar w:fldCharType="begin"/>
                          </w:r>
                          <w:r>
                            <w:instrText xml:space="preserve"> PAGE   \* MERGEFORMAT </w:instrText>
                          </w:r>
                          <w:r>
                            <w:fldChar w:fldCharType="separate"/>
                          </w:r>
                          <w:r>
                            <w:rPr>
                              <w:lang w:val="zh-CN"/>
                            </w:rPr>
                            <w:t>10</w:t>
                          </w:r>
                          <w:r>
                            <w:rPr>
                              <w:lang w:val="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FEC7A44">
                    <w:pPr>
                      <w:pStyle w:val="56"/>
                      <w:jc w:val="center"/>
                    </w:pPr>
                    <w:r>
                      <w:fldChar w:fldCharType="begin"/>
                    </w:r>
                    <w:r>
                      <w:instrText xml:space="preserve"> PAGE   \* MERGEFORMAT </w:instrText>
                    </w:r>
                    <w:r>
                      <w:fldChar w:fldCharType="separate"/>
                    </w:r>
                    <w:r>
                      <w:rPr>
                        <w:lang w:val="zh-CN"/>
                      </w:rPr>
                      <w:t>10</w:t>
                    </w:r>
                    <w:r>
                      <w:rPr>
                        <w:lang w:val="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944821">
    <w:pPr>
      <w:pStyle w:val="56"/>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E4011B">
                          <w:pPr>
                            <w:pStyle w:val="56"/>
                            <w:jc w:val="center"/>
                          </w:pPr>
                          <w:r>
                            <w:fldChar w:fldCharType="begin"/>
                          </w:r>
                          <w:r>
                            <w:instrText xml:space="preserve"> PAGE   \* MERGEFORMAT </w:instrText>
                          </w:r>
                          <w:r>
                            <w:fldChar w:fldCharType="separate"/>
                          </w:r>
                          <w:r>
                            <w:rPr>
                              <w:lang w:val="zh-CN"/>
                            </w:rPr>
                            <w:t>14</w:t>
                          </w:r>
                          <w:r>
                            <w:rPr>
                              <w:lang w:val="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5E4011B">
                    <w:pPr>
                      <w:pStyle w:val="56"/>
                      <w:jc w:val="center"/>
                    </w:pPr>
                    <w:r>
                      <w:fldChar w:fldCharType="begin"/>
                    </w:r>
                    <w:r>
                      <w:instrText xml:space="preserve"> PAGE   \* MERGEFORMAT </w:instrText>
                    </w:r>
                    <w:r>
                      <w:fldChar w:fldCharType="separate"/>
                    </w:r>
                    <w:r>
                      <w:rPr>
                        <w:lang w:val="zh-CN"/>
                      </w:rPr>
                      <w:t>14</w:t>
                    </w:r>
                    <w:r>
                      <w:rPr>
                        <w:lang w:val="zh-C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95616D">
    <w:pPr>
      <w:pStyle w:val="56"/>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0E9FF9">
                          <w:pPr>
                            <w:pStyle w:val="56"/>
                            <w:jc w:val="center"/>
                          </w:pPr>
                          <w:r>
                            <w:fldChar w:fldCharType="begin"/>
                          </w:r>
                          <w:r>
                            <w:instrText xml:space="preserve"> PAGE   \* MERGEFORMAT </w:instrText>
                          </w:r>
                          <w:r>
                            <w:fldChar w:fldCharType="separate"/>
                          </w:r>
                          <w:r>
                            <w:rPr>
                              <w:lang w:val="zh-CN"/>
                            </w:rPr>
                            <w:t>54</w:t>
                          </w:r>
                          <w:r>
                            <w:rPr>
                              <w:lang w:val="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080E9FF9">
                    <w:pPr>
                      <w:pStyle w:val="56"/>
                      <w:jc w:val="center"/>
                    </w:pPr>
                    <w:r>
                      <w:fldChar w:fldCharType="begin"/>
                    </w:r>
                    <w:r>
                      <w:instrText xml:space="preserve"> PAGE   \* MERGEFORMAT </w:instrText>
                    </w:r>
                    <w:r>
                      <w:fldChar w:fldCharType="separate"/>
                    </w:r>
                    <w:r>
                      <w:rPr>
                        <w:lang w:val="zh-CN"/>
                      </w:rPr>
                      <w:t>54</w:t>
                    </w:r>
                    <w:r>
                      <w:rPr>
                        <w:lang w:val="zh-CN"/>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709D3B">
    <w:pPr>
      <w:pStyle w:val="56"/>
      <w:jc w:val="cente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616006">
                          <w:pPr>
                            <w:pStyle w:val="56"/>
                            <w:jc w:val="center"/>
                          </w:pPr>
                          <w:r>
                            <w:fldChar w:fldCharType="begin"/>
                          </w:r>
                          <w:r>
                            <w:instrText xml:space="preserve"> PAGE   \* MERGEFORMAT </w:instrText>
                          </w:r>
                          <w:r>
                            <w:fldChar w:fldCharType="separate"/>
                          </w:r>
                          <w:r>
                            <w:rPr>
                              <w:lang w:val="zh-CN"/>
                            </w:rPr>
                            <w:t>179</w:t>
                          </w:r>
                          <w:r>
                            <w:rPr>
                              <w:lang w:val="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49616006">
                    <w:pPr>
                      <w:pStyle w:val="56"/>
                      <w:jc w:val="center"/>
                    </w:pPr>
                    <w:r>
                      <w:fldChar w:fldCharType="begin"/>
                    </w:r>
                    <w:r>
                      <w:instrText xml:space="preserve"> PAGE   \* MERGEFORMAT </w:instrText>
                    </w:r>
                    <w:r>
                      <w:fldChar w:fldCharType="separate"/>
                    </w:r>
                    <w:r>
                      <w:rPr>
                        <w:lang w:val="zh-CN"/>
                      </w:rPr>
                      <w:t>179</w:t>
                    </w:r>
                    <w:r>
                      <w:rPr>
                        <w:lang w:val="zh-CN"/>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4E2426">
    <w:pPr>
      <w:pStyle w:val="56"/>
      <w:jc w:val="cente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9C905E">
                          <w:pPr>
                            <w:pStyle w:val="56"/>
                            <w:jc w:val="center"/>
                          </w:pPr>
                          <w:r>
                            <w:fldChar w:fldCharType="begin"/>
                          </w:r>
                          <w:r>
                            <w:instrText xml:space="preserve"> PAGE   \* MERGEFORMAT </w:instrText>
                          </w:r>
                          <w:r>
                            <w:fldChar w:fldCharType="separate"/>
                          </w:r>
                          <w:r>
                            <w:rPr>
                              <w:lang w:val="zh-CN"/>
                            </w:rPr>
                            <w:t>656</w:t>
                          </w:r>
                          <w:r>
                            <w:rPr>
                              <w:lang w:val="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As4fc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Czh9zICAABjBAAADgAAAAAAAAABACAAAAAfAQAAZHJzL2Uyb0RvYy54bWxQSwUG&#10;AAAAAAYABgBZAQAAwwUAAAAA&#10;">
              <v:fill on="f" focussize="0,0"/>
              <v:stroke on="f" weight="0.5pt"/>
              <v:imagedata o:title=""/>
              <o:lock v:ext="edit" aspectratio="f"/>
              <v:textbox inset="0mm,0mm,0mm,0mm" style="mso-fit-shape-to-text:t;">
                <w:txbxContent>
                  <w:p w14:paraId="609C905E">
                    <w:pPr>
                      <w:pStyle w:val="56"/>
                      <w:jc w:val="center"/>
                    </w:pPr>
                    <w:r>
                      <w:fldChar w:fldCharType="begin"/>
                    </w:r>
                    <w:r>
                      <w:instrText xml:space="preserve"> PAGE   \* MERGEFORMAT </w:instrText>
                    </w:r>
                    <w:r>
                      <w:fldChar w:fldCharType="separate"/>
                    </w:r>
                    <w:r>
                      <w:rPr>
                        <w:lang w:val="zh-CN"/>
                      </w:rPr>
                      <w:t>656</w:t>
                    </w:r>
                    <w:r>
                      <w:rPr>
                        <w:lang w:val="zh-CN"/>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5052B3">
    <w:pPr>
      <w:pStyle w:val="185"/>
      <w:ind w:right="360"/>
      <w:jc w:val="center"/>
      <w:rPr>
        <w:sz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3A8E6D">
                          <w:pPr>
                            <w:pStyle w:val="185"/>
                            <w:ind w:right="360"/>
                            <w:jc w:val="center"/>
                          </w:pPr>
                          <w:r>
                            <w:rPr>
                              <w:rStyle w:val="136"/>
                              <w:sz w:val="18"/>
                              <w:szCs w:val="18"/>
                            </w:rPr>
                            <w:fldChar w:fldCharType="begin"/>
                          </w:r>
                          <w:r>
                            <w:rPr>
                              <w:rStyle w:val="136"/>
                              <w:sz w:val="18"/>
                              <w:szCs w:val="18"/>
                            </w:rPr>
                            <w:instrText xml:space="preserve"> PAGE </w:instrText>
                          </w:r>
                          <w:r>
                            <w:rPr>
                              <w:rStyle w:val="136"/>
                              <w:sz w:val="18"/>
                              <w:szCs w:val="18"/>
                            </w:rPr>
                            <w:fldChar w:fldCharType="separate"/>
                          </w:r>
                          <w:r>
                            <w:rPr>
                              <w:rStyle w:val="136"/>
                              <w:sz w:val="18"/>
                              <w:szCs w:val="18"/>
                            </w:rPr>
                            <w:t>711</w:t>
                          </w:r>
                          <w:r>
                            <w:rPr>
                              <w:rStyle w:val="136"/>
                              <w:sz w:val="18"/>
                              <w:szCs w:val="1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KEdhgz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KEdhgzAgAAYwQAAA4AAAAAAAAAAQAgAAAAHwEAAGRycy9lMm9Eb2MueG1sUEsF&#10;BgAAAAAGAAYAWQEAAMQFAAAAAA==&#10;">
              <v:fill on="f" focussize="0,0"/>
              <v:stroke on="f" weight="0.5pt"/>
              <v:imagedata o:title=""/>
              <o:lock v:ext="edit" aspectratio="f"/>
              <v:textbox inset="0mm,0mm,0mm,0mm" style="mso-fit-shape-to-text:t;">
                <w:txbxContent>
                  <w:p w14:paraId="353A8E6D">
                    <w:pPr>
                      <w:pStyle w:val="185"/>
                      <w:ind w:right="360"/>
                      <w:jc w:val="center"/>
                    </w:pPr>
                    <w:r>
                      <w:rPr>
                        <w:rStyle w:val="136"/>
                        <w:sz w:val="18"/>
                        <w:szCs w:val="18"/>
                      </w:rPr>
                      <w:fldChar w:fldCharType="begin"/>
                    </w:r>
                    <w:r>
                      <w:rPr>
                        <w:rStyle w:val="136"/>
                        <w:sz w:val="18"/>
                        <w:szCs w:val="18"/>
                      </w:rPr>
                      <w:instrText xml:space="preserve"> PAGE </w:instrText>
                    </w:r>
                    <w:r>
                      <w:rPr>
                        <w:rStyle w:val="136"/>
                        <w:sz w:val="18"/>
                        <w:szCs w:val="18"/>
                      </w:rPr>
                      <w:fldChar w:fldCharType="separate"/>
                    </w:r>
                    <w:r>
                      <w:rPr>
                        <w:rStyle w:val="136"/>
                        <w:sz w:val="18"/>
                        <w:szCs w:val="18"/>
                      </w:rPr>
                      <w:t>711</w:t>
                    </w:r>
                    <w:r>
                      <w:rPr>
                        <w:rStyle w:val="136"/>
                        <w:sz w:val="18"/>
                        <w:szCs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D082D0"/>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BDD940">
    <w:pPr>
      <w:pStyle w:val="58"/>
    </w:pPr>
    <w:r>
      <w:rPr>
        <w:rFonts w:hint="eastAsia" w:eastAsia="楷体_GB2312"/>
      </w:rPr>
      <w:t>富德（常州）能源化工发展有限公司年产30万吨聚丙烯项目                  15 结论和建议</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DE24578"/>
    <w:multiLevelType w:val="multilevel"/>
    <w:tmpl w:val="0DE24578"/>
    <w:lvl w:ilvl="0" w:tentative="0">
      <w:start w:val="1"/>
      <w:numFmt w:val="decimal"/>
      <w:lvlText w:val="%1."/>
      <w:lvlJc w:val="left"/>
      <w:pPr>
        <w:tabs>
          <w:tab w:val="left" w:pos="720"/>
        </w:tabs>
        <w:ind w:left="720" w:hanging="360"/>
      </w:pPr>
    </w:lvl>
    <w:lvl w:ilvl="1" w:tentative="0">
      <w:start w:val="1"/>
      <w:numFmt w:val="bullet"/>
      <w:pStyle w:val="381"/>
      <w:lvlText w:val=""/>
      <w:lvlJc w:val="left"/>
      <w:pPr>
        <w:tabs>
          <w:tab w:val="left" w:pos="1437"/>
        </w:tabs>
        <w:ind w:left="1437" w:hanging="357"/>
      </w:pPr>
      <w:rPr>
        <w:rFonts w:hint="default" w:ascii="Symbol" w:hAnsi="Symbol"/>
      </w:r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1">
    <w:nsid w:val="21915D5D"/>
    <w:multiLevelType w:val="multilevel"/>
    <w:tmpl w:val="21915D5D"/>
    <w:lvl w:ilvl="0" w:tentative="0">
      <w:start w:val="1"/>
      <w:numFmt w:val="bullet"/>
      <w:pStyle w:val="373"/>
      <w:lvlText w:val=""/>
      <w:lvlJc w:val="left"/>
      <w:pPr>
        <w:tabs>
          <w:tab w:val="left" w:pos="360"/>
        </w:tabs>
        <w:ind w:left="357" w:hanging="357"/>
      </w:pPr>
      <w:rPr>
        <w:rFonts w:hint="default" w:ascii="Symbol" w:hAnsi="Symbol"/>
        <w:position w:val="0"/>
      </w:rPr>
    </w:lvl>
    <w:lvl w:ilvl="1" w:tentative="0">
      <w:start w:val="1"/>
      <w:numFmt w:val="bullet"/>
      <w:lvlText w:val=""/>
      <w:lvlJc w:val="left"/>
      <w:pPr>
        <w:tabs>
          <w:tab w:val="left" w:pos="720"/>
        </w:tabs>
        <w:ind w:left="720" w:hanging="363"/>
      </w:pPr>
      <w:rPr>
        <w:rFonts w:hint="default" w:ascii="Symbol" w:hAnsi="Symbol"/>
      </w:rPr>
    </w:lvl>
    <w:lvl w:ilvl="2" w:tentative="0">
      <w:start w:val="1"/>
      <w:numFmt w:val="bullet"/>
      <w:lvlText w:val=""/>
      <w:lvlJc w:val="left"/>
      <w:pPr>
        <w:tabs>
          <w:tab w:val="left" w:pos="1077"/>
        </w:tabs>
        <w:ind w:left="1077" w:hanging="357"/>
      </w:pPr>
      <w:rPr>
        <w:rFonts w:hint="default" w:ascii="Symbol" w:hAnsi="Symbol"/>
      </w:rPr>
    </w:lvl>
    <w:lvl w:ilvl="3" w:tentative="0">
      <w:start w:val="1"/>
      <w:numFmt w:val="none"/>
      <w:suff w:val="nothing"/>
      <w:lvlText w:val=""/>
      <w:lvlJc w:val="left"/>
      <w:pPr>
        <w:ind w:left="0" w:firstLine="0"/>
      </w:pPr>
      <w:rPr>
        <w:rFonts w:hint="default"/>
      </w:rPr>
    </w:lvl>
    <w:lvl w:ilvl="4" w:tentative="0">
      <w:start w:val="1"/>
      <w:numFmt w:val="none"/>
      <w:suff w:val="nothing"/>
      <w:lvlText w:val=""/>
      <w:lvlJc w:val="left"/>
      <w:pPr>
        <w:ind w:left="0" w:firstLine="0"/>
      </w:pPr>
      <w:rPr>
        <w:rFonts w:hint="default"/>
      </w:rPr>
    </w:lvl>
    <w:lvl w:ilvl="5" w:tentative="0">
      <w:start w:val="1"/>
      <w:numFmt w:val="none"/>
      <w:suff w:val="nothing"/>
      <w:lvlText w:val=""/>
      <w:lvlJc w:val="left"/>
      <w:pPr>
        <w:ind w:left="0" w:firstLine="0"/>
      </w:pPr>
      <w:rPr>
        <w:rFonts w:hint="default"/>
      </w:rPr>
    </w:lvl>
    <w:lvl w:ilvl="6" w:tentative="0">
      <w:start w:val="1"/>
      <w:numFmt w:val="none"/>
      <w:suff w:val="nothing"/>
      <w:lvlText w:val=""/>
      <w:lvlJc w:val="left"/>
      <w:pPr>
        <w:ind w:left="0" w:firstLine="0"/>
      </w:pPr>
      <w:rPr>
        <w:rFonts w:hint="default"/>
      </w:rPr>
    </w:lvl>
    <w:lvl w:ilvl="7" w:tentative="0">
      <w:start w:val="1"/>
      <w:numFmt w:val="none"/>
      <w:suff w:val="nothing"/>
      <w:lvlText w:val=""/>
      <w:lvlJc w:val="left"/>
      <w:pPr>
        <w:ind w:left="0" w:firstLine="0"/>
      </w:pPr>
      <w:rPr>
        <w:rFonts w:hint="default"/>
      </w:rPr>
    </w:lvl>
    <w:lvl w:ilvl="8" w:tentative="0">
      <w:start w:val="1"/>
      <w:numFmt w:val="none"/>
      <w:suff w:val="nothing"/>
      <w:lvlText w:val=""/>
      <w:lvlJc w:val="left"/>
      <w:pPr>
        <w:ind w:left="0" w:firstLine="0"/>
      </w:pPr>
      <w:rPr>
        <w:rFonts w:hint="default"/>
      </w:rPr>
    </w:lvl>
  </w:abstractNum>
  <w:abstractNum w:abstractNumId="2">
    <w:nsid w:val="2733117F"/>
    <w:multiLevelType w:val="multilevel"/>
    <w:tmpl w:val="2733117F"/>
    <w:lvl w:ilvl="0" w:tentative="0">
      <w:start w:val="1"/>
      <w:numFmt w:val="decimal"/>
      <w:pStyle w:val="302"/>
      <w:lvlText w:val="%1"/>
      <w:lvlJc w:val="left"/>
      <w:pPr>
        <w:tabs>
          <w:tab w:val="left" w:pos="432"/>
        </w:tabs>
        <w:ind w:left="432" w:hanging="432"/>
      </w:pPr>
      <w:rPr>
        <w:rFonts w:hint="eastAsia"/>
      </w:rPr>
    </w:lvl>
    <w:lvl w:ilvl="1" w:tentative="0">
      <w:start w:val="1"/>
      <w:numFmt w:val="decimal"/>
      <w:pStyle w:val="303"/>
      <w:lvlText w:val="%1.%2"/>
      <w:lvlJc w:val="left"/>
      <w:pPr>
        <w:tabs>
          <w:tab w:val="left" w:pos="720"/>
        </w:tabs>
        <w:ind w:left="397" w:hanging="397"/>
      </w:pPr>
      <w:rPr>
        <w:rFonts w:hint="eastAsia" w:eastAsia="仿宋_GB2312"/>
      </w:rPr>
    </w:lvl>
    <w:lvl w:ilvl="2" w:tentative="0">
      <w:start w:val="1"/>
      <w:numFmt w:val="decimal"/>
      <w:pStyle w:val="304"/>
      <w:lvlText w:val="%1.%2.%3"/>
      <w:lvlJc w:val="left"/>
      <w:pPr>
        <w:tabs>
          <w:tab w:val="left" w:pos="1021"/>
        </w:tabs>
        <w:ind w:left="1021" w:hanging="1021"/>
      </w:pPr>
      <w:rPr>
        <w:rFonts w:hint="default" w:ascii="Times New Roman" w:hAnsi="Times New Roman" w:eastAsia="宋体"/>
        <w:b/>
        <w:i w:val="0"/>
        <w:sz w:val="24"/>
        <w:szCs w:val="24"/>
      </w:rPr>
    </w:lvl>
    <w:lvl w:ilvl="3" w:tentative="0">
      <w:start w:val="1"/>
      <w:numFmt w:val="decimal"/>
      <w:pStyle w:val="305"/>
      <w:lvlText w:val="%1.%2.%3.%4"/>
      <w:lvlJc w:val="left"/>
      <w:pPr>
        <w:tabs>
          <w:tab w:val="left" w:pos="1247"/>
        </w:tabs>
        <w:ind w:left="964" w:hanging="964"/>
      </w:pPr>
      <w:rPr>
        <w:rFonts w:hint="default" w:ascii="Times New Roman" w:hAnsi="Times New Roman" w:eastAsia="宋体"/>
        <w:sz w:val="24"/>
        <w:szCs w:val="24"/>
      </w:rPr>
    </w:lvl>
    <w:lvl w:ilvl="4" w:tentative="0">
      <w:start w:val="1"/>
      <w:numFmt w:val="decimal"/>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3">
    <w:nsid w:val="3A9D4FB6"/>
    <w:multiLevelType w:val="singleLevel"/>
    <w:tmpl w:val="3A9D4FB6"/>
    <w:lvl w:ilvl="0" w:tentative="0">
      <w:start w:val="1"/>
      <w:numFmt w:val="decimal"/>
      <w:pStyle w:val="154"/>
      <w:lvlText w:val="%1."/>
      <w:lvlJc w:val="left"/>
      <w:pPr>
        <w:tabs>
          <w:tab w:val="left" w:pos="2040"/>
        </w:tabs>
        <w:ind w:left="2040" w:leftChars="800" w:hanging="360" w:hangingChars="20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7"/>
  <w:embedTrueTypeFonts/>
  <w:saveSubsetFonts/>
  <w:bordersDoNotSurroundHeader w:val="0"/>
  <w:bordersDoNotSurroundFooter w:val="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A5MzZjNDUzMDllYzJkODVjNjc5M2JmY2JlOGMwYTcifQ=="/>
  </w:docVars>
  <w:rsids>
    <w:rsidRoot w:val="00172A27"/>
    <w:rsid w:val="0000012E"/>
    <w:rsid w:val="0000023D"/>
    <w:rsid w:val="00000733"/>
    <w:rsid w:val="000009DF"/>
    <w:rsid w:val="00000B1A"/>
    <w:rsid w:val="00001330"/>
    <w:rsid w:val="00001333"/>
    <w:rsid w:val="00001395"/>
    <w:rsid w:val="000014E5"/>
    <w:rsid w:val="0000155A"/>
    <w:rsid w:val="00001864"/>
    <w:rsid w:val="00001AB7"/>
    <w:rsid w:val="00001AEC"/>
    <w:rsid w:val="00001B05"/>
    <w:rsid w:val="00001B3B"/>
    <w:rsid w:val="00001BF8"/>
    <w:rsid w:val="00002055"/>
    <w:rsid w:val="000021AD"/>
    <w:rsid w:val="00002403"/>
    <w:rsid w:val="00002686"/>
    <w:rsid w:val="00002714"/>
    <w:rsid w:val="00002731"/>
    <w:rsid w:val="000028DD"/>
    <w:rsid w:val="00002990"/>
    <w:rsid w:val="00002BA6"/>
    <w:rsid w:val="00002D9E"/>
    <w:rsid w:val="000032C5"/>
    <w:rsid w:val="00003335"/>
    <w:rsid w:val="0000358E"/>
    <w:rsid w:val="000036C3"/>
    <w:rsid w:val="00003957"/>
    <w:rsid w:val="00003A8F"/>
    <w:rsid w:val="00003B49"/>
    <w:rsid w:val="00003F30"/>
    <w:rsid w:val="00003F85"/>
    <w:rsid w:val="00004014"/>
    <w:rsid w:val="00004197"/>
    <w:rsid w:val="000042F0"/>
    <w:rsid w:val="00004372"/>
    <w:rsid w:val="000043BD"/>
    <w:rsid w:val="00004810"/>
    <w:rsid w:val="00004869"/>
    <w:rsid w:val="000049EC"/>
    <w:rsid w:val="00004B76"/>
    <w:rsid w:val="00004BC2"/>
    <w:rsid w:val="00004DF8"/>
    <w:rsid w:val="00004E6C"/>
    <w:rsid w:val="00004F31"/>
    <w:rsid w:val="00004F5D"/>
    <w:rsid w:val="00005248"/>
    <w:rsid w:val="000054E8"/>
    <w:rsid w:val="0000553A"/>
    <w:rsid w:val="00005632"/>
    <w:rsid w:val="0000581E"/>
    <w:rsid w:val="000059E1"/>
    <w:rsid w:val="00005A8C"/>
    <w:rsid w:val="00005B0E"/>
    <w:rsid w:val="00005B75"/>
    <w:rsid w:val="00005EE4"/>
    <w:rsid w:val="00005F4C"/>
    <w:rsid w:val="00005F77"/>
    <w:rsid w:val="00006984"/>
    <w:rsid w:val="000069E7"/>
    <w:rsid w:val="00006C8B"/>
    <w:rsid w:val="00007697"/>
    <w:rsid w:val="000078D7"/>
    <w:rsid w:val="00007A49"/>
    <w:rsid w:val="00007E18"/>
    <w:rsid w:val="00007ED3"/>
    <w:rsid w:val="00007FEE"/>
    <w:rsid w:val="00007FF4"/>
    <w:rsid w:val="00010118"/>
    <w:rsid w:val="000103DE"/>
    <w:rsid w:val="00010445"/>
    <w:rsid w:val="000107C1"/>
    <w:rsid w:val="000107C6"/>
    <w:rsid w:val="000108B2"/>
    <w:rsid w:val="00010B7A"/>
    <w:rsid w:val="00010B8B"/>
    <w:rsid w:val="000113B7"/>
    <w:rsid w:val="000113FB"/>
    <w:rsid w:val="00011511"/>
    <w:rsid w:val="000115A4"/>
    <w:rsid w:val="000117D5"/>
    <w:rsid w:val="00011874"/>
    <w:rsid w:val="00011917"/>
    <w:rsid w:val="00011BBF"/>
    <w:rsid w:val="00011BE8"/>
    <w:rsid w:val="00011BF6"/>
    <w:rsid w:val="000120B6"/>
    <w:rsid w:val="0001212D"/>
    <w:rsid w:val="00012308"/>
    <w:rsid w:val="000124F5"/>
    <w:rsid w:val="000125A2"/>
    <w:rsid w:val="00012877"/>
    <w:rsid w:val="000128B9"/>
    <w:rsid w:val="000128C5"/>
    <w:rsid w:val="00012F60"/>
    <w:rsid w:val="0001383D"/>
    <w:rsid w:val="00013C2B"/>
    <w:rsid w:val="00013DBC"/>
    <w:rsid w:val="00013EAA"/>
    <w:rsid w:val="00014111"/>
    <w:rsid w:val="000143E8"/>
    <w:rsid w:val="00014405"/>
    <w:rsid w:val="00014409"/>
    <w:rsid w:val="00014625"/>
    <w:rsid w:val="000149D0"/>
    <w:rsid w:val="00014E14"/>
    <w:rsid w:val="00015108"/>
    <w:rsid w:val="00015CFF"/>
    <w:rsid w:val="000160AE"/>
    <w:rsid w:val="000165E3"/>
    <w:rsid w:val="00016993"/>
    <w:rsid w:val="00016A30"/>
    <w:rsid w:val="00016B04"/>
    <w:rsid w:val="00016D30"/>
    <w:rsid w:val="00016F8E"/>
    <w:rsid w:val="000173F4"/>
    <w:rsid w:val="0001746D"/>
    <w:rsid w:val="00017A21"/>
    <w:rsid w:val="00017BC7"/>
    <w:rsid w:val="00017D5B"/>
    <w:rsid w:val="00017EAA"/>
    <w:rsid w:val="00020413"/>
    <w:rsid w:val="0002046A"/>
    <w:rsid w:val="000206B4"/>
    <w:rsid w:val="0002095E"/>
    <w:rsid w:val="0002099D"/>
    <w:rsid w:val="00020D46"/>
    <w:rsid w:val="00021987"/>
    <w:rsid w:val="00021B53"/>
    <w:rsid w:val="0002217A"/>
    <w:rsid w:val="000221F1"/>
    <w:rsid w:val="000225CB"/>
    <w:rsid w:val="000227C0"/>
    <w:rsid w:val="000227D3"/>
    <w:rsid w:val="00022D87"/>
    <w:rsid w:val="00022F13"/>
    <w:rsid w:val="00023455"/>
    <w:rsid w:val="000239A0"/>
    <w:rsid w:val="00023AC1"/>
    <w:rsid w:val="00023E99"/>
    <w:rsid w:val="00023EFD"/>
    <w:rsid w:val="00023F35"/>
    <w:rsid w:val="0002439A"/>
    <w:rsid w:val="0002439D"/>
    <w:rsid w:val="0002452F"/>
    <w:rsid w:val="00024555"/>
    <w:rsid w:val="0002462C"/>
    <w:rsid w:val="00024821"/>
    <w:rsid w:val="0002488E"/>
    <w:rsid w:val="00024AA8"/>
    <w:rsid w:val="00024B83"/>
    <w:rsid w:val="00024C56"/>
    <w:rsid w:val="00024E50"/>
    <w:rsid w:val="00024F3A"/>
    <w:rsid w:val="00025006"/>
    <w:rsid w:val="00025023"/>
    <w:rsid w:val="000256BA"/>
    <w:rsid w:val="000257BD"/>
    <w:rsid w:val="000259FF"/>
    <w:rsid w:val="00025A75"/>
    <w:rsid w:val="00025A83"/>
    <w:rsid w:val="00025C6C"/>
    <w:rsid w:val="00025C6D"/>
    <w:rsid w:val="00025E31"/>
    <w:rsid w:val="00025F97"/>
    <w:rsid w:val="000260A2"/>
    <w:rsid w:val="000267AD"/>
    <w:rsid w:val="000267B8"/>
    <w:rsid w:val="00026ED0"/>
    <w:rsid w:val="000270C7"/>
    <w:rsid w:val="00027394"/>
    <w:rsid w:val="000275A8"/>
    <w:rsid w:val="00027922"/>
    <w:rsid w:val="00027948"/>
    <w:rsid w:val="00027AE9"/>
    <w:rsid w:val="00027B27"/>
    <w:rsid w:val="00027B78"/>
    <w:rsid w:val="00027C2E"/>
    <w:rsid w:val="00027DAD"/>
    <w:rsid w:val="00027E10"/>
    <w:rsid w:val="0003004C"/>
    <w:rsid w:val="000302A8"/>
    <w:rsid w:val="0003035F"/>
    <w:rsid w:val="000303C6"/>
    <w:rsid w:val="000303EA"/>
    <w:rsid w:val="0003042E"/>
    <w:rsid w:val="00030AFC"/>
    <w:rsid w:val="00030B46"/>
    <w:rsid w:val="00030CEC"/>
    <w:rsid w:val="00030D60"/>
    <w:rsid w:val="00030D9F"/>
    <w:rsid w:val="00030F30"/>
    <w:rsid w:val="000310EF"/>
    <w:rsid w:val="000311BE"/>
    <w:rsid w:val="000314DD"/>
    <w:rsid w:val="0003150B"/>
    <w:rsid w:val="000317E2"/>
    <w:rsid w:val="00031988"/>
    <w:rsid w:val="00031A59"/>
    <w:rsid w:val="00031F42"/>
    <w:rsid w:val="0003207F"/>
    <w:rsid w:val="00032483"/>
    <w:rsid w:val="00032645"/>
    <w:rsid w:val="00032A3D"/>
    <w:rsid w:val="00032B66"/>
    <w:rsid w:val="00032D86"/>
    <w:rsid w:val="00033486"/>
    <w:rsid w:val="00033BE3"/>
    <w:rsid w:val="00033CF4"/>
    <w:rsid w:val="00033CF6"/>
    <w:rsid w:val="00033DB4"/>
    <w:rsid w:val="00033F96"/>
    <w:rsid w:val="00034285"/>
    <w:rsid w:val="00034368"/>
    <w:rsid w:val="00034431"/>
    <w:rsid w:val="0003465D"/>
    <w:rsid w:val="000347CA"/>
    <w:rsid w:val="0003491A"/>
    <w:rsid w:val="00034E12"/>
    <w:rsid w:val="00034FBF"/>
    <w:rsid w:val="00035106"/>
    <w:rsid w:val="0003544D"/>
    <w:rsid w:val="0003564F"/>
    <w:rsid w:val="0003597C"/>
    <w:rsid w:val="00035A21"/>
    <w:rsid w:val="00035BBE"/>
    <w:rsid w:val="00035C75"/>
    <w:rsid w:val="0003609B"/>
    <w:rsid w:val="00036124"/>
    <w:rsid w:val="0003619F"/>
    <w:rsid w:val="0003622F"/>
    <w:rsid w:val="00036423"/>
    <w:rsid w:val="00036560"/>
    <w:rsid w:val="00036895"/>
    <w:rsid w:val="0003699C"/>
    <w:rsid w:val="000369B7"/>
    <w:rsid w:val="00036A38"/>
    <w:rsid w:val="00036CB3"/>
    <w:rsid w:val="00036E73"/>
    <w:rsid w:val="00037005"/>
    <w:rsid w:val="00037196"/>
    <w:rsid w:val="0003731E"/>
    <w:rsid w:val="000375E5"/>
    <w:rsid w:val="000377C6"/>
    <w:rsid w:val="000379CD"/>
    <w:rsid w:val="00037B4E"/>
    <w:rsid w:val="00037B6F"/>
    <w:rsid w:val="00037C83"/>
    <w:rsid w:val="00037CFB"/>
    <w:rsid w:val="00037DD0"/>
    <w:rsid w:val="00037E96"/>
    <w:rsid w:val="00040008"/>
    <w:rsid w:val="00040361"/>
    <w:rsid w:val="00040971"/>
    <w:rsid w:val="00040A8C"/>
    <w:rsid w:val="00040B85"/>
    <w:rsid w:val="00040C16"/>
    <w:rsid w:val="00040CC5"/>
    <w:rsid w:val="00040E88"/>
    <w:rsid w:val="0004147E"/>
    <w:rsid w:val="00041557"/>
    <w:rsid w:val="000416C0"/>
    <w:rsid w:val="00041C77"/>
    <w:rsid w:val="00041E34"/>
    <w:rsid w:val="00041F0D"/>
    <w:rsid w:val="00041F78"/>
    <w:rsid w:val="0004207E"/>
    <w:rsid w:val="0004246A"/>
    <w:rsid w:val="000428D3"/>
    <w:rsid w:val="00042BC1"/>
    <w:rsid w:val="00042C1E"/>
    <w:rsid w:val="00042CCD"/>
    <w:rsid w:val="0004300F"/>
    <w:rsid w:val="00043015"/>
    <w:rsid w:val="0004310A"/>
    <w:rsid w:val="00043144"/>
    <w:rsid w:val="00043595"/>
    <w:rsid w:val="000437C4"/>
    <w:rsid w:val="00043818"/>
    <w:rsid w:val="00043832"/>
    <w:rsid w:val="000438BB"/>
    <w:rsid w:val="00043D90"/>
    <w:rsid w:val="00044468"/>
    <w:rsid w:val="0004446E"/>
    <w:rsid w:val="0004456A"/>
    <w:rsid w:val="00044585"/>
    <w:rsid w:val="000445A5"/>
    <w:rsid w:val="000445CB"/>
    <w:rsid w:val="00044677"/>
    <w:rsid w:val="00044806"/>
    <w:rsid w:val="00044AB9"/>
    <w:rsid w:val="00045043"/>
    <w:rsid w:val="00045213"/>
    <w:rsid w:val="0004522C"/>
    <w:rsid w:val="00045544"/>
    <w:rsid w:val="00045568"/>
    <w:rsid w:val="0004563B"/>
    <w:rsid w:val="00045656"/>
    <w:rsid w:val="0004584C"/>
    <w:rsid w:val="0004587E"/>
    <w:rsid w:val="00045A8C"/>
    <w:rsid w:val="00045D09"/>
    <w:rsid w:val="00045D3B"/>
    <w:rsid w:val="00045F36"/>
    <w:rsid w:val="00045FBD"/>
    <w:rsid w:val="0004603E"/>
    <w:rsid w:val="0004613B"/>
    <w:rsid w:val="00046141"/>
    <w:rsid w:val="000461B2"/>
    <w:rsid w:val="00046697"/>
    <w:rsid w:val="0004687A"/>
    <w:rsid w:val="0004687B"/>
    <w:rsid w:val="00046929"/>
    <w:rsid w:val="00046AF7"/>
    <w:rsid w:val="00046B88"/>
    <w:rsid w:val="00046D25"/>
    <w:rsid w:val="00046E02"/>
    <w:rsid w:val="00046E0A"/>
    <w:rsid w:val="00046E84"/>
    <w:rsid w:val="00046F28"/>
    <w:rsid w:val="00046F7E"/>
    <w:rsid w:val="00047019"/>
    <w:rsid w:val="00047098"/>
    <w:rsid w:val="00047150"/>
    <w:rsid w:val="00047240"/>
    <w:rsid w:val="000476E3"/>
    <w:rsid w:val="00047873"/>
    <w:rsid w:val="0004788A"/>
    <w:rsid w:val="00047BA7"/>
    <w:rsid w:val="00047C99"/>
    <w:rsid w:val="00047DC3"/>
    <w:rsid w:val="00050364"/>
    <w:rsid w:val="00050417"/>
    <w:rsid w:val="000504A7"/>
    <w:rsid w:val="00050630"/>
    <w:rsid w:val="000507A2"/>
    <w:rsid w:val="0005083B"/>
    <w:rsid w:val="0005088C"/>
    <w:rsid w:val="00050B22"/>
    <w:rsid w:val="00050B2E"/>
    <w:rsid w:val="00050B69"/>
    <w:rsid w:val="00050C55"/>
    <w:rsid w:val="00051570"/>
    <w:rsid w:val="00051640"/>
    <w:rsid w:val="000517E9"/>
    <w:rsid w:val="00051917"/>
    <w:rsid w:val="00051DA5"/>
    <w:rsid w:val="00051DC9"/>
    <w:rsid w:val="000524FC"/>
    <w:rsid w:val="00052681"/>
    <w:rsid w:val="00052918"/>
    <w:rsid w:val="00052CEF"/>
    <w:rsid w:val="00052F69"/>
    <w:rsid w:val="00052FA2"/>
    <w:rsid w:val="00052FB0"/>
    <w:rsid w:val="0005307A"/>
    <w:rsid w:val="000536EE"/>
    <w:rsid w:val="00053C3D"/>
    <w:rsid w:val="00053E7A"/>
    <w:rsid w:val="00054094"/>
    <w:rsid w:val="0005493B"/>
    <w:rsid w:val="000549A3"/>
    <w:rsid w:val="00054B4F"/>
    <w:rsid w:val="00054CE3"/>
    <w:rsid w:val="00054CFA"/>
    <w:rsid w:val="00054F87"/>
    <w:rsid w:val="00055073"/>
    <w:rsid w:val="00055214"/>
    <w:rsid w:val="0005521E"/>
    <w:rsid w:val="000553E3"/>
    <w:rsid w:val="000556FD"/>
    <w:rsid w:val="0005578F"/>
    <w:rsid w:val="00055861"/>
    <w:rsid w:val="00055C19"/>
    <w:rsid w:val="00055F44"/>
    <w:rsid w:val="00055FB1"/>
    <w:rsid w:val="00056588"/>
    <w:rsid w:val="000566BF"/>
    <w:rsid w:val="0005678F"/>
    <w:rsid w:val="0005685A"/>
    <w:rsid w:val="00056B6D"/>
    <w:rsid w:val="00056CDC"/>
    <w:rsid w:val="00056E46"/>
    <w:rsid w:val="00056F6C"/>
    <w:rsid w:val="00056FF9"/>
    <w:rsid w:val="000570E7"/>
    <w:rsid w:val="000571B3"/>
    <w:rsid w:val="000571E6"/>
    <w:rsid w:val="000572C2"/>
    <w:rsid w:val="00057328"/>
    <w:rsid w:val="000573CD"/>
    <w:rsid w:val="0005755C"/>
    <w:rsid w:val="00057D85"/>
    <w:rsid w:val="00057E2F"/>
    <w:rsid w:val="00057E55"/>
    <w:rsid w:val="000600EB"/>
    <w:rsid w:val="000602BF"/>
    <w:rsid w:val="00060358"/>
    <w:rsid w:val="00060539"/>
    <w:rsid w:val="00060959"/>
    <w:rsid w:val="00060A5A"/>
    <w:rsid w:val="00060C9C"/>
    <w:rsid w:val="00060CF3"/>
    <w:rsid w:val="00060E7F"/>
    <w:rsid w:val="00060F5B"/>
    <w:rsid w:val="00061520"/>
    <w:rsid w:val="000615D3"/>
    <w:rsid w:val="0006175C"/>
    <w:rsid w:val="000617C5"/>
    <w:rsid w:val="000619AC"/>
    <w:rsid w:val="00061C44"/>
    <w:rsid w:val="00061CB2"/>
    <w:rsid w:val="00061E59"/>
    <w:rsid w:val="00061F4B"/>
    <w:rsid w:val="00062332"/>
    <w:rsid w:val="00062676"/>
    <w:rsid w:val="0006280B"/>
    <w:rsid w:val="000628F2"/>
    <w:rsid w:val="00062ACB"/>
    <w:rsid w:val="00062B2F"/>
    <w:rsid w:val="00062B52"/>
    <w:rsid w:val="00062EDA"/>
    <w:rsid w:val="000630D9"/>
    <w:rsid w:val="00063307"/>
    <w:rsid w:val="000633C7"/>
    <w:rsid w:val="000634EE"/>
    <w:rsid w:val="00063D72"/>
    <w:rsid w:val="00063EF9"/>
    <w:rsid w:val="00063FDE"/>
    <w:rsid w:val="00064336"/>
    <w:rsid w:val="000645C7"/>
    <w:rsid w:val="00064650"/>
    <w:rsid w:val="00064863"/>
    <w:rsid w:val="000648FA"/>
    <w:rsid w:val="00064A30"/>
    <w:rsid w:val="00064ACD"/>
    <w:rsid w:val="00064B47"/>
    <w:rsid w:val="00064C42"/>
    <w:rsid w:val="00064D96"/>
    <w:rsid w:val="00064E49"/>
    <w:rsid w:val="00064EA9"/>
    <w:rsid w:val="00064EC3"/>
    <w:rsid w:val="0006533E"/>
    <w:rsid w:val="00065503"/>
    <w:rsid w:val="0006560A"/>
    <w:rsid w:val="000657E4"/>
    <w:rsid w:val="00065AFF"/>
    <w:rsid w:val="00065B8D"/>
    <w:rsid w:val="00065C72"/>
    <w:rsid w:val="00065EAE"/>
    <w:rsid w:val="00065F28"/>
    <w:rsid w:val="00065F66"/>
    <w:rsid w:val="00066050"/>
    <w:rsid w:val="000661CC"/>
    <w:rsid w:val="00066422"/>
    <w:rsid w:val="0006643A"/>
    <w:rsid w:val="00066470"/>
    <w:rsid w:val="00066CB5"/>
    <w:rsid w:val="00066CDC"/>
    <w:rsid w:val="00066D2F"/>
    <w:rsid w:val="00066D62"/>
    <w:rsid w:val="00066E19"/>
    <w:rsid w:val="00066E7E"/>
    <w:rsid w:val="000670A1"/>
    <w:rsid w:val="000670E3"/>
    <w:rsid w:val="000673F6"/>
    <w:rsid w:val="00067494"/>
    <w:rsid w:val="0006756A"/>
    <w:rsid w:val="00067656"/>
    <w:rsid w:val="00067BA5"/>
    <w:rsid w:val="000700D2"/>
    <w:rsid w:val="0007016A"/>
    <w:rsid w:val="000702C7"/>
    <w:rsid w:val="000702F0"/>
    <w:rsid w:val="000706E9"/>
    <w:rsid w:val="00070718"/>
    <w:rsid w:val="000709B5"/>
    <w:rsid w:val="00070AEC"/>
    <w:rsid w:val="00070B16"/>
    <w:rsid w:val="00070D3C"/>
    <w:rsid w:val="00070D55"/>
    <w:rsid w:val="00070FEE"/>
    <w:rsid w:val="00071021"/>
    <w:rsid w:val="00071601"/>
    <w:rsid w:val="00071944"/>
    <w:rsid w:val="00071C54"/>
    <w:rsid w:val="00071EA9"/>
    <w:rsid w:val="00072353"/>
    <w:rsid w:val="00072514"/>
    <w:rsid w:val="00072A68"/>
    <w:rsid w:val="00072E44"/>
    <w:rsid w:val="00072E50"/>
    <w:rsid w:val="00073371"/>
    <w:rsid w:val="00073483"/>
    <w:rsid w:val="0007359A"/>
    <w:rsid w:val="000736F0"/>
    <w:rsid w:val="00073708"/>
    <w:rsid w:val="000737DD"/>
    <w:rsid w:val="00073A20"/>
    <w:rsid w:val="00073BAD"/>
    <w:rsid w:val="00073CCA"/>
    <w:rsid w:val="00073DBF"/>
    <w:rsid w:val="000740B9"/>
    <w:rsid w:val="000741B2"/>
    <w:rsid w:val="000742BD"/>
    <w:rsid w:val="00074710"/>
    <w:rsid w:val="00074739"/>
    <w:rsid w:val="0007492D"/>
    <w:rsid w:val="00074940"/>
    <w:rsid w:val="0007497E"/>
    <w:rsid w:val="00074F6F"/>
    <w:rsid w:val="00074F7E"/>
    <w:rsid w:val="00075568"/>
    <w:rsid w:val="0007573B"/>
    <w:rsid w:val="00075AEA"/>
    <w:rsid w:val="00075B43"/>
    <w:rsid w:val="00075E4D"/>
    <w:rsid w:val="00075ED2"/>
    <w:rsid w:val="00075F53"/>
    <w:rsid w:val="00075FFF"/>
    <w:rsid w:val="00076055"/>
    <w:rsid w:val="000760B9"/>
    <w:rsid w:val="0007635A"/>
    <w:rsid w:val="0007660A"/>
    <w:rsid w:val="00076692"/>
    <w:rsid w:val="000767F9"/>
    <w:rsid w:val="0007692C"/>
    <w:rsid w:val="00076DF0"/>
    <w:rsid w:val="00076E8D"/>
    <w:rsid w:val="00076FAC"/>
    <w:rsid w:val="000772E6"/>
    <w:rsid w:val="00077352"/>
    <w:rsid w:val="000775DF"/>
    <w:rsid w:val="00077CC8"/>
    <w:rsid w:val="00077DCF"/>
    <w:rsid w:val="00077DD1"/>
    <w:rsid w:val="00077E8A"/>
    <w:rsid w:val="00080140"/>
    <w:rsid w:val="0008038B"/>
    <w:rsid w:val="00080451"/>
    <w:rsid w:val="000805FB"/>
    <w:rsid w:val="000808C3"/>
    <w:rsid w:val="00080A0E"/>
    <w:rsid w:val="00080A67"/>
    <w:rsid w:val="00080B9C"/>
    <w:rsid w:val="00080BD7"/>
    <w:rsid w:val="00080F14"/>
    <w:rsid w:val="00080F98"/>
    <w:rsid w:val="00081053"/>
    <w:rsid w:val="0008108B"/>
    <w:rsid w:val="0008117E"/>
    <w:rsid w:val="0008175B"/>
    <w:rsid w:val="00081BFE"/>
    <w:rsid w:val="00081FAE"/>
    <w:rsid w:val="0008203B"/>
    <w:rsid w:val="000820E2"/>
    <w:rsid w:val="000822A5"/>
    <w:rsid w:val="00082344"/>
    <w:rsid w:val="000824B0"/>
    <w:rsid w:val="00082888"/>
    <w:rsid w:val="000828AF"/>
    <w:rsid w:val="00082DB0"/>
    <w:rsid w:val="00083011"/>
    <w:rsid w:val="0008328F"/>
    <w:rsid w:val="00083331"/>
    <w:rsid w:val="0008340F"/>
    <w:rsid w:val="00083417"/>
    <w:rsid w:val="000834FF"/>
    <w:rsid w:val="000835EA"/>
    <w:rsid w:val="00083782"/>
    <w:rsid w:val="00083876"/>
    <w:rsid w:val="00083DC1"/>
    <w:rsid w:val="00083EA1"/>
    <w:rsid w:val="00084213"/>
    <w:rsid w:val="0008443C"/>
    <w:rsid w:val="0008470E"/>
    <w:rsid w:val="00084788"/>
    <w:rsid w:val="000849AA"/>
    <w:rsid w:val="00084FA6"/>
    <w:rsid w:val="000853C4"/>
    <w:rsid w:val="00085554"/>
    <w:rsid w:val="000855E6"/>
    <w:rsid w:val="00085806"/>
    <w:rsid w:val="000858F9"/>
    <w:rsid w:val="00085BCE"/>
    <w:rsid w:val="00085D10"/>
    <w:rsid w:val="00085DCE"/>
    <w:rsid w:val="000862F4"/>
    <w:rsid w:val="00086435"/>
    <w:rsid w:val="000865F9"/>
    <w:rsid w:val="000866EB"/>
    <w:rsid w:val="00086777"/>
    <w:rsid w:val="000867D5"/>
    <w:rsid w:val="00086936"/>
    <w:rsid w:val="00086E33"/>
    <w:rsid w:val="00086F8B"/>
    <w:rsid w:val="00087045"/>
    <w:rsid w:val="000871BB"/>
    <w:rsid w:val="00087998"/>
    <w:rsid w:val="00087F0A"/>
    <w:rsid w:val="00090C72"/>
    <w:rsid w:val="00090F15"/>
    <w:rsid w:val="000914E5"/>
    <w:rsid w:val="00091657"/>
    <w:rsid w:val="00091662"/>
    <w:rsid w:val="000916F2"/>
    <w:rsid w:val="00091790"/>
    <w:rsid w:val="000918F4"/>
    <w:rsid w:val="00091DF1"/>
    <w:rsid w:val="00091E69"/>
    <w:rsid w:val="00091F5A"/>
    <w:rsid w:val="000926C1"/>
    <w:rsid w:val="000926EB"/>
    <w:rsid w:val="00092711"/>
    <w:rsid w:val="0009272F"/>
    <w:rsid w:val="00092748"/>
    <w:rsid w:val="00092798"/>
    <w:rsid w:val="000928BF"/>
    <w:rsid w:val="000928DF"/>
    <w:rsid w:val="00092BCC"/>
    <w:rsid w:val="00092C82"/>
    <w:rsid w:val="000931D1"/>
    <w:rsid w:val="00093237"/>
    <w:rsid w:val="000932B0"/>
    <w:rsid w:val="0009335C"/>
    <w:rsid w:val="00093562"/>
    <w:rsid w:val="000935E7"/>
    <w:rsid w:val="000938F5"/>
    <w:rsid w:val="00093A94"/>
    <w:rsid w:val="00093C91"/>
    <w:rsid w:val="00094299"/>
    <w:rsid w:val="000942F3"/>
    <w:rsid w:val="00094562"/>
    <w:rsid w:val="000949D1"/>
    <w:rsid w:val="00094A2F"/>
    <w:rsid w:val="00094A6B"/>
    <w:rsid w:val="00095342"/>
    <w:rsid w:val="000955E4"/>
    <w:rsid w:val="0009574A"/>
    <w:rsid w:val="000958FB"/>
    <w:rsid w:val="00095B3A"/>
    <w:rsid w:val="00095BD1"/>
    <w:rsid w:val="00095CE8"/>
    <w:rsid w:val="00095E3B"/>
    <w:rsid w:val="00096353"/>
    <w:rsid w:val="00096397"/>
    <w:rsid w:val="000965FE"/>
    <w:rsid w:val="00096A7D"/>
    <w:rsid w:val="00096A88"/>
    <w:rsid w:val="00096C92"/>
    <w:rsid w:val="00096DE9"/>
    <w:rsid w:val="00096FE1"/>
    <w:rsid w:val="000971BB"/>
    <w:rsid w:val="00097846"/>
    <w:rsid w:val="00097B2B"/>
    <w:rsid w:val="00097C7A"/>
    <w:rsid w:val="000A02D9"/>
    <w:rsid w:val="000A048A"/>
    <w:rsid w:val="000A0682"/>
    <w:rsid w:val="000A076F"/>
    <w:rsid w:val="000A080D"/>
    <w:rsid w:val="000A09EE"/>
    <w:rsid w:val="000A0A66"/>
    <w:rsid w:val="000A0B4B"/>
    <w:rsid w:val="000A0EBF"/>
    <w:rsid w:val="000A0EFF"/>
    <w:rsid w:val="000A1007"/>
    <w:rsid w:val="000A12A3"/>
    <w:rsid w:val="000A1324"/>
    <w:rsid w:val="000A149A"/>
    <w:rsid w:val="000A14EA"/>
    <w:rsid w:val="000A1AEE"/>
    <w:rsid w:val="000A1C41"/>
    <w:rsid w:val="000A2177"/>
    <w:rsid w:val="000A22B6"/>
    <w:rsid w:val="000A22C9"/>
    <w:rsid w:val="000A2426"/>
    <w:rsid w:val="000A243E"/>
    <w:rsid w:val="000A245D"/>
    <w:rsid w:val="000A25D0"/>
    <w:rsid w:val="000A28CA"/>
    <w:rsid w:val="000A2A85"/>
    <w:rsid w:val="000A2E79"/>
    <w:rsid w:val="000A2FF7"/>
    <w:rsid w:val="000A3AB5"/>
    <w:rsid w:val="000A3CEF"/>
    <w:rsid w:val="000A3EB3"/>
    <w:rsid w:val="000A3F7C"/>
    <w:rsid w:val="000A4178"/>
    <w:rsid w:val="000A42EF"/>
    <w:rsid w:val="000A4315"/>
    <w:rsid w:val="000A4971"/>
    <w:rsid w:val="000A4AA9"/>
    <w:rsid w:val="000A4EF2"/>
    <w:rsid w:val="000A5067"/>
    <w:rsid w:val="000A51F6"/>
    <w:rsid w:val="000A5231"/>
    <w:rsid w:val="000A53D8"/>
    <w:rsid w:val="000A5DAA"/>
    <w:rsid w:val="000A632D"/>
    <w:rsid w:val="000A6471"/>
    <w:rsid w:val="000A65C9"/>
    <w:rsid w:val="000A65CE"/>
    <w:rsid w:val="000A683A"/>
    <w:rsid w:val="000A69C2"/>
    <w:rsid w:val="000A6D7E"/>
    <w:rsid w:val="000A7769"/>
    <w:rsid w:val="000A77CA"/>
    <w:rsid w:val="000A790F"/>
    <w:rsid w:val="000A7A62"/>
    <w:rsid w:val="000A7C21"/>
    <w:rsid w:val="000A7C75"/>
    <w:rsid w:val="000B0032"/>
    <w:rsid w:val="000B0150"/>
    <w:rsid w:val="000B0173"/>
    <w:rsid w:val="000B025C"/>
    <w:rsid w:val="000B06E2"/>
    <w:rsid w:val="000B0930"/>
    <w:rsid w:val="000B093E"/>
    <w:rsid w:val="000B09E4"/>
    <w:rsid w:val="000B09E5"/>
    <w:rsid w:val="000B0A4F"/>
    <w:rsid w:val="000B0AFC"/>
    <w:rsid w:val="000B0CEF"/>
    <w:rsid w:val="000B0D2E"/>
    <w:rsid w:val="000B0FAD"/>
    <w:rsid w:val="000B117C"/>
    <w:rsid w:val="000B11CB"/>
    <w:rsid w:val="000B121C"/>
    <w:rsid w:val="000B196C"/>
    <w:rsid w:val="000B1A24"/>
    <w:rsid w:val="000B1A62"/>
    <w:rsid w:val="000B1A9A"/>
    <w:rsid w:val="000B1B65"/>
    <w:rsid w:val="000B1FCE"/>
    <w:rsid w:val="000B229A"/>
    <w:rsid w:val="000B22C6"/>
    <w:rsid w:val="000B24A3"/>
    <w:rsid w:val="000B2863"/>
    <w:rsid w:val="000B28FE"/>
    <w:rsid w:val="000B298A"/>
    <w:rsid w:val="000B2B74"/>
    <w:rsid w:val="000B2E0C"/>
    <w:rsid w:val="000B2EDD"/>
    <w:rsid w:val="000B30C5"/>
    <w:rsid w:val="000B34A5"/>
    <w:rsid w:val="000B3576"/>
    <w:rsid w:val="000B35DF"/>
    <w:rsid w:val="000B405F"/>
    <w:rsid w:val="000B4572"/>
    <w:rsid w:val="000B46FB"/>
    <w:rsid w:val="000B4C14"/>
    <w:rsid w:val="000B5099"/>
    <w:rsid w:val="000B511C"/>
    <w:rsid w:val="000B53F3"/>
    <w:rsid w:val="000B5415"/>
    <w:rsid w:val="000B561B"/>
    <w:rsid w:val="000B5AF8"/>
    <w:rsid w:val="000B5B95"/>
    <w:rsid w:val="000B5BCE"/>
    <w:rsid w:val="000B5DB5"/>
    <w:rsid w:val="000B5EC1"/>
    <w:rsid w:val="000B5FB1"/>
    <w:rsid w:val="000B6189"/>
    <w:rsid w:val="000B6416"/>
    <w:rsid w:val="000B6ED1"/>
    <w:rsid w:val="000B6F61"/>
    <w:rsid w:val="000B7008"/>
    <w:rsid w:val="000B70A5"/>
    <w:rsid w:val="000B7303"/>
    <w:rsid w:val="000B74CF"/>
    <w:rsid w:val="000B796F"/>
    <w:rsid w:val="000B798D"/>
    <w:rsid w:val="000B7B07"/>
    <w:rsid w:val="000B7EF1"/>
    <w:rsid w:val="000B7F4D"/>
    <w:rsid w:val="000C0092"/>
    <w:rsid w:val="000C01AE"/>
    <w:rsid w:val="000C033B"/>
    <w:rsid w:val="000C0394"/>
    <w:rsid w:val="000C06FB"/>
    <w:rsid w:val="000C0703"/>
    <w:rsid w:val="000C0926"/>
    <w:rsid w:val="000C099F"/>
    <w:rsid w:val="000C0A38"/>
    <w:rsid w:val="000C0C1F"/>
    <w:rsid w:val="000C11F5"/>
    <w:rsid w:val="000C12BA"/>
    <w:rsid w:val="000C153C"/>
    <w:rsid w:val="000C163D"/>
    <w:rsid w:val="000C179D"/>
    <w:rsid w:val="000C196C"/>
    <w:rsid w:val="000C1B31"/>
    <w:rsid w:val="000C1CA3"/>
    <w:rsid w:val="000C1D32"/>
    <w:rsid w:val="000C1D77"/>
    <w:rsid w:val="000C1F39"/>
    <w:rsid w:val="000C2035"/>
    <w:rsid w:val="000C2365"/>
    <w:rsid w:val="000C24E5"/>
    <w:rsid w:val="000C25D1"/>
    <w:rsid w:val="000C26E1"/>
    <w:rsid w:val="000C28F6"/>
    <w:rsid w:val="000C2AF0"/>
    <w:rsid w:val="000C2C42"/>
    <w:rsid w:val="000C2E5F"/>
    <w:rsid w:val="000C2ECE"/>
    <w:rsid w:val="000C2F63"/>
    <w:rsid w:val="000C3050"/>
    <w:rsid w:val="000C3092"/>
    <w:rsid w:val="000C311C"/>
    <w:rsid w:val="000C3137"/>
    <w:rsid w:val="000C31B7"/>
    <w:rsid w:val="000C3514"/>
    <w:rsid w:val="000C3538"/>
    <w:rsid w:val="000C3684"/>
    <w:rsid w:val="000C397C"/>
    <w:rsid w:val="000C3A71"/>
    <w:rsid w:val="000C4152"/>
    <w:rsid w:val="000C45A3"/>
    <w:rsid w:val="000C4964"/>
    <w:rsid w:val="000C4D95"/>
    <w:rsid w:val="000C4DA0"/>
    <w:rsid w:val="000C4DF5"/>
    <w:rsid w:val="000C519A"/>
    <w:rsid w:val="000C5723"/>
    <w:rsid w:val="000C57B0"/>
    <w:rsid w:val="000C5AF1"/>
    <w:rsid w:val="000C5E37"/>
    <w:rsid w:val="000C5F68"/>
    <w:rsid w:val="000C60F1"/>
    <w:rsid w:val="000C652A"/>
    <w:rsid w:val="000C6531"/>
    <w:rsid w:val="000C66C2"/>
    <w:rsid w:val="000C66CE"/>
    <w:rsid w:val="000C671C"/>
    <w:rsid w:val="000C6824"/>
    <w:rsid w:val="000C684E"/>
    <w:rsid w:val="000C6956"/>
    <w:rsid w:val="000C6AFB"/>
    <w:rsid w:val="000C6BB5"/>
    <w:rsid w:val="000C6C9D"/>
    <w:rsid w:val="000C6FF4"/>
    <w:rsid w:val="000C710D"/>
    <w:rsid w:val="000C7297"/>
    <w:rsid w:val="000C7334"/>
    <w:rsid w:val="000C7364"/>
    <w:rsid w:val="000C73B3"/>
    <w:rsid w:val="000C73FD"/>
    <w:rsid w:val="000C760D"/>
    <w:rsid w:val="000C7C75"/>
    <w:rsid w:val="000C7D21"/>
    <w:rsid w:val="000C7E66"/>
    <w:rsid w:val="000C7E9C"/>
    <w:rsid w:val="000C7F1B"/>
    <w:rsid w:val="000D000B"/>
    <w:rsid w:val="000D07D3"/>
    <w:rsid w:val="000D0970"/>
    <w:rsid w:val="000D0BA9"/>
    <w:rsid w:val="000D0CDD"/>
    <w:rsid w:val="000D0D06"/>
    <w:rsid w:val="000D13CC"/>
    <w:rsid w:val="000D14B4"/>
    <w:rsid w:val="000D1585"/>
    <w:rsid w:val="000D1A45"/>
    <w:rsid w:val="000D1AA8"/>
    <w:rsid w:val="000D1B4B"/>
    <w:rsid w:val="000D218E"/>
    <w:rsid w:val="000D2567"/>
    <w:rsid w:val="000D299B"/>
    <w:rsid w:val="000D2FD4"/>
    <w:rsid w:val="000D329D"/>
    <w:rsid w:val="000D33B0"/>
    <w:rsid w:val="000D350F"/>
    <w:rsid w:val="000D3529"/>
    <w:rsid w:val="000D371A"/>
    <w:rsid w:val="000D3D18"/>
    <w:rsid w:val="000D3D20"/>
    <w:rsid w:val="000D3D52"/>
    <w:rsid w:val="000D40F2"/>
    <w:rsid w:val="000D4124"/>
    <w:rsid w:val="000D43F5"/>
    <w:rsid w:val="000D4410"/>
    <w:rsid w:val="000D4520"/>
    <w:rsid w:val="000D4C24"/>
    <w:rsid w:val="000D4C5E"/>
    <w:rsid w:val="000D4CBA"/>
    <w:rsid w:val="000D4DED"/>
    <w:rsid w:val="000D4E42"/>
    <w:rsid w:val="000D512A"/>
    <w:rsid w:val="000D5423"/>
    <w:rsid w:val="000D55C2"/>
    <w:rsid w:val="000D59A2"/>
    <w:rsid w:val="000D59D4"/>
    <w:rsid w:val="000D60A1"/>
    <w:rsid w:val="000D60F3"/>
    <w:rsid w:val="000D6157"/>
    <w:rsid w:val="000D618C"/>
    <w:rsid w:val="000D619E"/>
    <w:rsid w:val="000D63B6"/>
    <w:rsid w:val="000D643E"/>
    <w:rsid w:val="000D66B0"/>
    <w:rsid w:val="000D6779"/>
    <w:rsid w:val="000D6A4D"/>
    <w:rsid w:val="000D6C2D"/>
    <w:rsid w:val="000D6FF4"/>
    <w:rsid w:val="000D7305"/>
    <w:rsid w:val="000D739D"/>
    <w:rsid w:val="000D73BA"/>
    <w:rsid w:val="000D746A"/>
    <w:rsid w:val="000D7C13"/>
    <w:rsid w:val="000D7DCA"/>
    <w:rsid w:val="000D7EA9"/>
    <w:rsid w:val="000D7F55"/>
    <w:rsid w:val="000E01A6"/>
    <w:rsid w:val="000E048B"/>
    <w:rsid w:val="000E05BA"/>
    <w:rsid w:val="000E0AB8"/>
    <w:rsid w:val="000E0B90"/>
    <w:rsid w:val="000E10BF"/>
    <w:rsid w:val="000E118B"/>
    <w:rsid w:val="000E160E"/>
    <w:rsid w:val="000E1B8D"/>
    <w:rsid w:val="000E1EB9"/>
    <w:rsid w:val="000E1F43"/>
    <w:rsid w:val="000E1F6F"/>
    <w:rsid w:val="000E1FC6"/>
    <w:rsid w:val="000E1FD7"/>
    <w:rsid w:val="000E211F"/>
    <w:rsid w:val="000E2949"/>
    <w:rsid w:val="000E2AC9"/>
    <w:rsid w:val="000E2AE9"/>
    <w:rsid w:val="000E2B40"/>
    <w:rsid w:val="000E2B64"/>
    <w:rsid w:val="000E2D0D"/>
    <w:rsid w:val="000E2E03"/>
    <w:rsid w:val="000E2EBC"/>
    <w:rsid w:val="000E2F3B"/>
    <w:rsid w:val="000E3084"/>
    <w:rsid w:val="000E312C"/>
    <w:rsid w:val="000E32E0"/>
    <w:rsid w:val="000E339F"/>
    <w:rsid w:val="000E3417"/>
    <w:rsid w:val="000E3A29"/>
    <w:rsid w:val="000E3A4A"/>
    <w:rsid w:val="000E3B68"/>
    <w:rsid w:val="000E401E"/>
    <w:rsid w:val="000E410E"/>
    <w:rsid w:val="000E434D"/>
    <w:rsid w:val="000E442F"/>
    <w:rsid w:val="000E4636"/>
    <w:rsid w:val="000E4789"/>
    <w:rsid w:val="000E48DF"/>
    <w:rsid w:val="000E4BBC"/>
    <w:rsid w:val="000E4D27"/>
    <w:rsid w:val="000E5010"/>
    <w:rsid w:val="000E50D2"/>
    <w:rsid w:val="000E5288"/>
    <w:rsid w:val="000E5D84"/>
    <w:rsid w:val="000E5F1F"/>
    <w:rsid w:val="000E621A"/>
    <w:rsid w:val="000E67B8"/>
    <w:rsid w:val="000E688D"/>
    <w:rsid w:val="000E69B7"/>
    <w:rsid w:val="000E69FA"/>
    <w:rsid w:val="000E704C"/>
    <w:rsid w:val="000E70CA"/>
    <w:rsid w:val="000E70D4"/>
    <w:rsid w:val="000E756B"/>
    <w:rsid w:val="000E758C"/>
    <w:rsid w:val="000E7864"/>
    <w:rsid w:val="000E79CC"/>
    <w:rsid w:val="000E7BF4"/>
    <w:rsid w:val="000F01AE"/>
    <w:rsid w:val="000F01C8"/>
    <w:rsid w:val="000F022B"/>
    <w:rsid w:val="000F0261"/>
    <w:rsid w:val="000F0964"/>
    <w:rsid w:val="000F0A01"/>
    <w:rsid w:val="000F0DC0"/>
    <w:rsid w:val="000F0EFC"/>
    <w:rsid w:val="000F1346"/>
    <w:rsid w:val="000F154B"/>
    <w:rsid w:val="000F1781"/>
    <w:rsid w:val="000F21B6"/>
    <w:rsid w:val="000F2770"/>
    <w:rsid w:val="000F2A0C"/>
    <w:rsid w:val="000F3219"/>
    <w:rsid w:val="000F32B9"/>
    <w:rsid w:val="000F3348"/>
    <w:rsid w:val="000F338F"/>
    <w:rsid w:val="000F350F"/>
    <w:rsid w:val="000F3E17"/>
    <w:rsid w:val="000F4602"/>
    <w:rsid w:val="000F4912"/>
    <w:rsid w:val="000F4964"/>
    <w:rsid w:val="000F49E2"/>
    <w:rsid w:val="000F4A5B"/>
    <w:rsid w:val="000F4D39"/>
    <w:rsid w:val="000F4DCE"/>
    <w:rsid w:val="000F4DF5"/>
    <w:rsid w:val="000F5021"/>
    <w:rsid w:val="000F5152"/>
    <w:rsid w:val="000F53C1"/>
    <w:rsid w:val="000F5747"/>
    <w:rsid w:val="000F5958"/>
    <w:rsid w:val="000F6185"/>
    <w:rsid w:val="000F63C0"/>
    <w:rsid w:val="000F642B"/>
    <w:rsid w:val="000F64A3"/>
    <w:rsid w:val="000F6781"/>
    <w:rsid w:val="000F6B8D"/>
    <w:rsid w:val="000F6FEA"/>
    <w:rsid w:val="000F7031"/>
    <w:rsid w:val="000F70F8"/>
    <w:rsid w:val="000F74CA"/>
    <w:rsid w:val="000F75F3"/>
    <w:rsid w:val="000F77AC"/>
    <w:rsid w:val="000F7AF7"/>
    <w:rsid w:val="000F7C1E"/>
    <w:rsid w:val="000F7C56"/>
    <w:rsid w:val="000F7C65"/>
    <w:rsid w:val="000F7C72"/>
    <w:rsid w:val="000F7C9A"/>
    <w:rsid w:val="000F7EBD"/>
    <w:rsid w:val="000F7F56"/>
    <w:rsid w:val="000F7F65"/>
    <w:rsid w:val="000F7F90"/>
    <w:rsid w:val="000F7FB0"/>
    <w:rsid w:val="000F7FE7"/>
    <w:rsid w:val="00100412"/>
    <w:rsid w:val="00100546"/>
    <w:rsid w:val="00100936"/>
    <w:rsid w:val="00100980"/>
    <w:rsid w:val="001009AD"/>
    <w:rsid w:val="00100AAE"/>
    <w:rsid w:val="00100BB8"/>
    <w:rsid w:val="00100C09"/>
    <w:rsid w:val="00100EB2"/>
    <w:rsid w:val="00101030"/>
    <w:rsid w:val="001011B0"/>
    <w:rsid w:val="001013E9"/>
    <w:rsid w:val="00101421"/>
    <w:rsid w:val="00101447"/>
    <w:rsid w:val="00101467"/>
    <w:rsid w:val="001016B8"/>
    <w:rsid w:val="001017F3"/>
    <w:rsid w:val="00101C5F"/>
    <w:rsid w:val="001020AE"/>
    <w:rsid w:val="0010221E"/>
    <w:rsid w:val="0010235E"/>
    <w:rsid w:val="0010278C"/>
    <w:rsid w:val="00102830"/>
    <w:rsid w:val="0010299E"/>
    <w:rsid w:val="00102B35"/>
    <w:rsid w:val="00102EAE"/>
    <w:rsid w:val="00102F05"/>
    <w:rsid w:val="00102FBE"/>
    <w:rsid w:val="0010304B"/>
    <w:rsid w:val="001033EA"/>
    <w:rsid w:val="00103575"/>
    <w:rsid w:val="00103696"/>
    <w:rsid w:val="00103712"/>
    <w:rsid w:val="001039C3"/>
    <w:rsid w:val="001039D3"/>
    <w:rsid w:val="001039F2"/>
    <w:rsid w:val="00103C61"/>
    <w:rsid w:val="00103FB0"/>
    <w:rsid w:val="001042CA"/>
    <w:rsid w:val="0010460D"/>
    <w:rsid w:val="0010492B"/>
    <w:rsid w:val="00104B1D"/>
    <w:rsid w:val="00104B1F"/>
    <w:rsid w:val="00104BAC"/>
    <w:rsid w:val="00104E9F"/>
    <w:rsid w:val="00104F7F"/>
    <w:rsid w:val="00105191"/>
    <w:rsid w:val="001051EA"/>
    <w:rsid w:val="00105491"/>
    <w:rsid w:val="001054B7"/>
    <w:rsid w:val="00105516"/>
    <w:rsid w:val="001056D6"/>
    <w:rsid w:val="001058E3"/>
    <w:rsid w:val="001060C4"/>
    <w:rsid w:val="001060C8"/>
    <w:rsid w:val="001065A1"/>
    <w:rsid w:val="001066A5"/>
    <w:rsid w:val="00106867"/>
    <w:rsid w:val="00106A46"/>
    <w:rsid w:val="00106BBB"/>
    <w:rsid w:val="00106D83"/>
    <w:rsid w:val="00106F81"/>
    <w:rsid w:val="0010702E"/>
    <w:rsid w:val="00107160"/>
    <w:rsid w:val="001072DA"/>
    <w:rsid w:val="001073A0"/>
    <w:rsid w:val="00107572"/>
    <w:rsid w:val="0010761C"/>
    <w:rsid w:val="001076E6"/>
    <w:rsid w:val="00107936"/>
    <w:rsid w:val="00107CD7"/>
    <w:rsid w:val="00107D1A"/>
    <w:rsid w:val="0011018B"/>
    <w:rsid w:val="001103CC"/>
    <w:rsid w:val="001106D1"/>
    <w:rsid w:val="001106F0"/>
    <w:rsid w:val="00110810"/>
    <w:rsid w:val="001108CC"/>
    <w:rsid w:val="00110F84"/>
    <w:rsid w:val="0011103A"/>
    <w:rsid w:val="001113A9"/>
    <w:rsid w:val="001114CC"/>
    <w:rsid w:val="00111832"/>
    <w:rsid w:val="00111EA0"/>
    <w:rsid w:val="00112105"/>
    <w:rsid w:val="00112198"/>
    <w:rsid w:val="00112813"/>
    <w:rsid w:val="0011282F"/>
    <w:rsid w:val="001128DB"/>
    <w:rsid w:val="00112959"/>
    <w:rsid w:val="001129FE"/>
    <w:rsid w:val="00112BFD"/>
    <w:rsid w:val="00112C57"/>
    <w:rsid w:val="00112F44"/>
    <w:rsid w:val="00112FE1"/>
    <w:rsid w:val="00113058"/>
    <w:rsid w:val="001130DC"/>
    <w:rsid w:val="00113306"/>
    <w:rsid w:val="0011337F"/>
    <w:rsid w:val="0011347A"/>
    <w:rsid w:val="001134D9"/>
    <w:rsid w:val="001136F4"/>
    <w:rsid w:val="001139B8"/>
    <w:rsid w:val="001139BD"/>
    <w:rsid w:val="00113A03"/>
    <w:rsid w:val="00113DEA"/>
    <w:rsid w:val="00114361"/>
    <w:rsid w:val="001144F0"/>
    <w:rsid w:val="0011470A"/>
    <w:rsid w:val="0011480F"/>
    <w:rsid w:val="00114823"/>
    <w:rsid w:val="0011494E"/>
    <w:rsid w:val="00114ADF"/>
    <w:rsid w:val="00114B1D"/>
    <w:rsid w:val="00114CB1"/>
    <w:rsid w:val="00114EFD"/>
    <w:rsid w:val="00114F3B"/>
    <w:rsid w:val="00114F7E"/>
    <w:rsid w:val="0011519A"/>
    <w:rsid w:val="0011525B"/>
    <w:rsid w:val="00115540"/>
    <w:rsid w:val="001155B7"/>
    <w:rsid w:val="0011585B"/>
    <w:rsid w:val="00115DB5"/>
    <w:rsid w:val="00115EA4"/>
    <w:rsid w:val="0011609C"/>
    <w:rsid w:val="001164C1"/>
    <w:rsid w:val="00116670"/>
    <w:rsid w:val="001166FB"/>
    <w:rsid w:val="00116924"/>
    <w:rsid w:val="00116BC9"/>
    <w:rsid w:val="00116D0B"/>
    <w:rsid w:val="00116E57"/>
    <w:rsid w:val="0011704E"/>
    <w:rsid w:val="00117188"/>
    <w:rsid w:val="0011731E"/>
    <w:rsid w:val="00117793"/>
    <w:rsid w:val="001177EB"/>
    <w:rsid w:val="00117AB5"/>
    <w:rsid w:val="00117E45"/>
    <w:rsid w:val="0012014F"/>
    <w:rsid w:val="00120B72"/>
    <w:rsid w:val="001211AD"/>
    <w:rsid w:val="001212FB"/>
    <w:rsid w:val="0012131A"/>
    <w:rsid w:val="001214B4"/>
    <w:rsid w:val="00121509"/>
    <w:rsid w:val="001216AC"/>
    <w:rsid w:val="0012182B"/>
    <w:rsid w:val="00121B77"/>
    <w:rsid w:val="001220B3"/>
    <w:rsid w:val="00122346"/>
    <w:rsid w:val="001229F3"/>
    <w:rsid w:val="00122BF5"/>
    <w:rsid w:val="00122DBF"/>
    <w:rsid w:val="0012310B"/>
    <w:rsid w:val="00123158"/>
    <w:rsid w:val="00123247"/>
    <w:rsid w:val="001236ED"/>
    <w:rsid w:val="001238A9"/>
    <w:rsid w:val="00123C0B"/>
    <w:rsid w:val="00123C49"/>
    <w:rsid w:val="00123E93"/>
    <w:rsid w:val="00123EE9"/>
    <w:rsid w:val="00123F6A"/>
    <w:rsid w:val="001240A0"/>
    <w:rsid w:val="00124151"/>
    <w:rsid w:val="0012425F"/>
    <w:rsid w:val="001243B1"/>
    <w:rsid w:val="001243EE"/>
    <w:rsid w:val="001248FA"/>
    <w:rsid w:val="00124945"/>
    <w:rsid w:val="00124B22"/>
    <w:rsid w:val="00124FCD"/>
    <w:rsid w:val="00125115"/>
    <w:rsid w:val="00125209"/>
    <w:rsid w:val="001252C4"/>
    <w:rsid w:val="00125431"/>
    <w:rsid w:val="00125640"/>
    <w:rsid w:val="001256DF"/>
    <w:rsid w:val="00125708"/>
    <w:rsid w:val="001259DF"/>
    <w:rsid w:val="00125D1B"/>
    <w:rsid w:val="00126134"/>
    <w:rsid w:val="00126141"/>
    <w:rsid w:val="00126210"/>
    <w:rsid w:val="001262CD"/>
    <w:rsid w:val="00126847"/>
    <w:rsid w:val="0012687A"/>
    <w:rsid w:val="001268DC"/>
    <w:rsid w:val="001269B1"/>
    <w:rsid w:val="00126E49"/>
    <w:rsid w:val="001270E8"/>
    <w:rsid w:val="0012731F"/>
    <w:rsid w:val="00127429"/>
    <w:rsid w:val="0012746B"/>
    <w:rsid w:val="0012785E"/>
    <w:rsid w:val="001278AB"/>
    <w:rsid w:val="001278FF"/>
    <w:rsid w:val="00127A71"/>
    <w:rsid w:val="00127CE5"/>
    <w:rsid w:val="00127E2A"/>
    <w:rsid w:val="00127EB7"/>
    <w:rsid w:val="00130262"/>
    <w:rsid w:val="0013032A"/>
    <w:rsid w:val="00130463"/>
    <w:rsid w:val="00130534"/>
    <w:rsid w:val="001307E0"/>
    <w:rsid w:val="001308A9"/>
    <w:rsid w:val="00130904"/>
    <w:rsid w:val="00130AE8"/>
    <w:rsid w:val="00130CCA"/>
    <w:rsid w:val="00130DCF"/>
    <w:rsid w:val="00130E98"/>
    <w:rsid w:val="00130EC5"/>
    <w:rsid w:val="001313A4"/>
    <w:rsid w:val="0013155E"/>
    <w:rsid w:val="00131949"/>
    <w:rsid w:val="00131F94"/>
    <w:rsid w:val="001322C4"/>
    <w:rsid w:val="00132452"/>
    <w:rsid w:val="001324E1"/>
    <w:rsid w:val="001327EC"/>
    <w:rsid w:val="00132802"/>
    <w:rsid w:val="001329BE"/>
    <w:rsid w:val="001329C6"/>
    <w:rsid w:val="00133144"/>
    <w:rsid w:val="00133289"/>
    <w:rsid w:val="00133513"/>
    <w:rsid w:val="0013361A"/>
    <w:rsid w:val="00133710"/>
    <w:rsid w:val="00133747"/>
    <w:rsid w:val="00133836"/>
    <w:rsid w:val="00133CF0"/>
    <w:rsid w:val="00133D94"/>
    <w:rsid w:val="001340DE"/>
    <w:rsid w:val="001342BD"/>
    <w:rsid w:val="001344DA"/>
    <w:rsid w:val="00134528"/>
    <w:rsid w:val="00134594"/>
    <w:rsid w:val="001346E5"/>
    <w:rsid w:val="0013476A"/>
    <w:rsid w:val="0013478D"/>
    <w:rsid w:val="00134807"/>
    <w:rsid w:val="00134A22"/>
    <w:rsid w:val="00134F52"/>
    <w:rsid w:val="00134F73"/>
    <w:rsid w:val="00135423"/>
    <w:rsid w:val="0013566A"/>
    <w:rsid w:val="00135A74"/>
    <w:rsid w:val="00135AB4"/>
    <w:rsid w:val="001360E4"/>
    <w:rsid w:val="00136435"/>
    <w:rsid w:val="0013670D"/>
    <w:rsid w:val="001368B0"/>
    <w:rsid w:val="0013696D"/>
    <w:rsid w:val="001369B3"/>
    <w:rsid w:val="001369E6"/>
    <w:rsid w:val="00136B55"/>
    <w:rsid w:val="00137086"/>
    <w:rsid w:val="001373DD"/>
    <w:rsid w:val="00137528"/>
    <w:rsid w:val="0013775C"/>
    <w:rsid w:val="00137801"/>
    <w:rsid w:val="0013796D"/>
    <w:rsid w:val="00137992"/>
    <w:rsid w:val="001379B4"/>
    <w:rsid w:val="00137C74"/>
    <w:rsid w:val="00137C8D"/>
    <w:rsid w:val="00137F47"/>
    <w:rsid w:val="00137FF4"/>
    <w:rsid w:val="001400CD"/>
    <w:rsid w:val="00140219"/>
    <w:rsid w:val="0014027A"/>
    <w:rsid w:val="001402F1"/>
    <w:rsid w:val="00141147"/>
    <w:rsid w:val="001411B6"/>
    <w:rsid w:val="0014144D"/>
    <w:rsid w:val="001414F4"/>
    <w:rsid w:val="0014154E"/>
    <w:rsid w:val="00141734"/>
    <w:rsid w:val="00141BAD"/>
    <w:rsid w:val="00141C7D"/>
    <w:rsid w:val="00141D52"/>
    <w:rsid w:val="00141F34"/>
    <w:rsid w:val="00141FED"/>
    <w:rsid w:val="0014228E"/>
    <w:rsid w:val="00142318"/>
    <w:rsid w:val="00142956"/>
    <w:rsid w:val="00142A7B"/>
    <w:rsid w:val="00142C40"/>
    <w:rsid w:val="00142C5C"/>
    <w:rsid w:val="00142D9A"/>
    <w:rsid w:val="00142DFD"/>
    <w:rsid w:val="00142E23"/>
    <w:rsid w:val="001434CB"/>
    <w:rsid w:val="001437C4"/>
    <w:rsid w:val="001439A3"/>
    <w:rsid w:val="00143A35"/>
    <w:rsid w:val="00143A7A"/>
    <w:rsid w:val="00143AA3"/>
    <w:rsid w:val="00143AAC"/>
    <w:rsid w:val="00143C1A"/>
    <w:rsid w:val="00143C3C"/>
    <w:rsid w:val="00143CBD"/>
    <w:rsid w:val="00143E75"/>
    <w:rsid w:val="00143EBE"/>
    <w:rsid w:val="0014404A"/>
    <w:rsid w:val="001442AC"/>
    <w:rsid w:val="0014438F"/>
    <w:rsid w:val="001443E7"/>
    <w:rsid w:val="00144503"/>
    <w:rsid w:val="00144515"/>
    <w:rsid w:val="00144567"/>
    <w:rsid w:val="00144623"/>
    <w:rsid w:val="001447A1"/>
    <w:rsid w:val="001449A1"/>
    <w:rsid w:val="001449AB"/>
    <w:rsid w:val="00144B1B"/>
    <w:rsid w:val="00144DAD"/>
    <w:rsid w:val="00144EF6"/>
    <w:rsid w:val="00144F43"/>
    <w:rsid w:val="001452CE"/>
    <w:rsid w:val="00145451"/>
    <w:rsid w:val="001455BA"/>
    <w:rsid w:val="001459D3"/>
    <w:rsid w:val="00145E44"/>
    <w:rsid w:val="0014649F"/>
    <w:rsid w:val="00146692"/>
    <w:rsid w:val="001469F2"/>
    <w:rsid w:val="00146AFE"/>
    <w:rsid w:val="0014704A"/>
    <w:rsid w:val="0014709B"/>
    <w:rsid w:val="00147242"/>
    <w:rsid w:val="001475E9"/>
    <w:rsid w:val="00147827"/>
    <w:rsid w:val="00147884"/>
    <w:rsid w:val="001478B7"/>
    <w:rsid w:val="001478D8"/>
    <w:rsid w:val="00147C22"/>
    <w:rsid w:val="00147EFA"/>
    <w:rsid w:val="0015001B"/>
    <w:rsid w:val="001500A9"/>
    <w:rsid w:val="00150D98"/>
    <w:rsid w:val="00150E0C"/>
    <w:rsid w:val="00150F2D"/>
    <w:rsid w:val="001510B7"/>
    <w:rsid w:val="001511AB"/>
    <w:rsid w:val="00151346"/>
    <w:rsid w:val="0015137D"/>
    <w:rsid w:val="001513E2"/>
    <w:rsid w:val="001518B4"/>
    <w:rsid w:val="00151DC7"/>
    <w:rsid w:val="0015259E"/>
    <w:rsid w:val="001525B1"/>
    <w:rsid w:val="001527E2"/>
    <w:rsid w:val="00152AF7"/>
    <w:rsid w:val="00152BDD"/>
    <w:rsid w:val="00152C09"/>
    <w:rsid w:val="00152C35"/>
    <w:rsid w:val="00152DBA"/>
    <w:rsid w:val="00152F33"/>
    <w:rsid w:val="0015302E"/>
    <w:rsid w:val="00153073"/>
    <w:rsid w:val="00153257"/>
    <w:rsid w:val="0015356D"/>
    <w:rsid w:val="001535A2"/>
    <w:rsid w:val="00153920"/>
    <w:rsid w:val="001539FA"/>
    <w:rsid w:val="00153B7C"/>
    <w:rsid w:val="00153DED"/>
    <w:rsid w:val="00153FBE"/>
    <w:rsid w:val="0015415A"/>
    <w:rsid w:val="001545FC"/>
    <w:rsid w:val="001548A2"/>
    <w:rsid w:val="001549BE"/>
    <w:rsid w:val="00154AB5"/>
    <w:rsid w:val="00154C5B"/>
    <w:rsid w:val="00154D48"/>
    <w:rsid w:val="00154F3A"/>
    <w:rsid w:val="0015514A"/>
    <w:rsid w:val="0015519F"/>
    <w:rsid w:val="001551B4"/>
    <w:rsid w:val="00155288"/>
    <w:rsid w:val="00155630"/>
    <w:rsid w:val="00155648"/>
    <w:rsid w:val="00155C05"/>
    <w:rsid w:val="00155CAC"/>
    <w:rsid w:val="00155DDC"/>
    <w:rsid w:val="00155F6F"/>
    <w:rsid w:val="001560C8"/>
    <w:rsid w:val="00156268"/>
    <w:rsid w:val="001562C5"/>
    <w:rsid w:val="00156374"/>
    <w:rsid w:val="00156737"/>
    <w:rsid w:val="00157377"/>
    <w:rsid w:val="001574C6"/>
    <w:rsid w:val="00157879"/>
    <w:rsid w:val="00157953"/>
    <w:rsid w:val="001579D2"/>
    <w:rsid w:val="00157A6A"/>
    <w:rsid w:val="00157C7B"/>
    <w:rsid w:val="00157D52"/>
    <w:rsid w:val="00157F66"/>
    <w:rsid w:val="00157F7A"/>
    <w:rsid w:val="00160074"/>
    <w:rsid w:val="0016049C"/>
    <w:rsid w:val="001604E3"/>
    <w:rsid w:val="00160826"/>
    <w:rsid w:val="001608CC"/>
    <w:rsid w:val="0016090A"/>
    <w:rsid w:val="00160931"/>
    <w:rsid w:val="00160A14"/>
    <w:rsid w:val="001610DE"/>
    <w:rsid w:val="00161142"/>
    <w:rsid w:val="001611C2"/>
    <w:rsid w:val="00161520"/>
    <w:rsid w:val="00161652"/>
    <w:rsid w:val="00161918"/>
    <w:rsid w:val="001619FB"/>
    <w:rsid w:val="00161B6F"/>
    <w:rsid w:val="00161C5A"/>
    <w:rsid w:val="00161C6A"/>
    <w:rsid w:val="00161E1D"/>
    <w:rsid w:val="001621B6"/>
    <w:rsid w:val="0016232A"/>
    <w:rsid w:val="00162692"/>
    <w:rsid w:val="001626D4"/>
    <w:rsid w:val="00162BBF"/>
    <w:rsid w:val="00162E4C"/>
    <w:rsid w:val="00163357"/>
    <w:rsid w:val="00163D55"/>
    <w:rsid w:val="0016403F"/>
    <w:rsid w:val="00164428"/>
    <w:rsid w:val="001645A0"/>
    <w:rsid w:val="00164869"/>
    <w:rsid w:val="00164CBA"/>
    <w:rsid w:val="00164FBC"/>
    <w:rsid w:val="00165013"/>
    <w:rsid w:val="00165073"/>
    <w:rsid w:val="0016537F"/>
    <w:rsid w:val="001658FC"/>
    <w:rsid w:val="00165B46"/>
    <w:rsid w:val="00165C38"/>
    <w:rsid w:val="00166303"/>
    <w:rsid w:val="0016642B"/>
    <w:rsid w:val="00166506"/>
    <w:rsid w:val="00166679"/>
    <w:rsid w:val="001667C9"/>
    <w:rsid w:val="00166A9A"/>
    <w:rsid w:val="00166C25"/>
    <w:rsid w:val="00166D53"/>
    <w:rsid w:val="00166E38"/>
    <w:rsid w:val="00166EB1"/>
    <w:rsid w:val="00166F9D"/>
    <w:rsid w:val="00167161"/>
    <w:rsid w:val="001675F4"/>
    <w:rsid w:val="00167658"/>
    <w:rsid w:val="001676E4"/>
    <w:rsid w:val="001676F7"/>
    <w:rsid w:val="0016773D"/>
    <w:rsid w:val="0016777E"/>
    <w:rsid w:val="001677A5"/>
    <w:rsid w:val="00167881"/>
    <w:rsid w:val="001678F5"/>
    <w:rsid w:val="00167985"/>
    <w:rsid w:val="00167DAB"/>
    <w:rsid w:val="00167F8B"/>
    <w:rsid w:val="00167FC8"/>
    <w:rsid w:val="00170046"/>
    <w:rsid w:val="00170068"/>
    <w:rsid w:val="00170193"/>
    <w:rsid w:val="001701AA"/>
    <w:rsid w:val="0017059E"/>
    <w:rsid w:val="001705E8"/>
    <w:rsid w:val="001709FF"/>
    <w:rsid w:val="00170A2C"/>
    <w:rsid w:val="00170A7A"/>
    <w:rsid w:val="00170DE4"/>
    <w:rsid w:val="00170EB9"/>
    <w:rsid w:val="00170EBA"/>
    <w:rsid w:val="001711F5"/>
    <w:rsid w:val="00171371"/>
    <w:rsid w:val="00171823"/>
    <w:rsid w:val="00171D68"/>
    <w:rsid w:val="00171DB7"/>
    <w:rsid w:val="00171FD5"/>
    <w:rsid w:val="00171FFB"/>
    <w:rsid w:val="00171FFD"/>
    <w:rsid w:val="001722DB"/>
    <w:rsid w:val="00172582"/>
    <w:rsid w:val="001725A0"/>
    <w:rsid w:val="00172730"/>
    <w:rsid w:val="001727DF"/>
    <w:rsid w:val="0017284D"/>
    <w:rsid w:val="00172904"/>
    <w:rsid w:val="00172A27"/>
    <w:rsid w:val="00172EE4"/>
    <w:rsid w:val="0017355F"/>
    <w:rsid w:val="0017373D"/>
    <w:rsid w:val="0017375E"/>
    <w:rsid w:val="001737B5"/>
    <w:rsid w:val="001737E3"/>
    <w:rsid w:val="001737EB"/>
    <w:rsid w:val="00173BDC"/>
    <w:rsid w:val="00173C28"/>
    <w:rsid w:val="00174515"/>
    <w:rsid w:val="00174519"/>
    <w:rsid w:val="00174810"/>
    <w:rsid w:val="00174823"/>
    <w:rsid w:val="00174A7C"/>
    <w:rsid w:val="00174B59"/>
    <w:rsid w:val="00174CF6"/>
    <w:rsid w:val="00174E27"/>
    <w:rsid w:val="0017510E"/>
    <w:rsid w:val="00175172"/>
    <w:rsid w:val="00175339"/>
    <w:rsid w:val="001753E6"/>
    <w:rsid w:val="00175457"/>
    <w:rsid w:val="001755FD"/>
    <w:rsid w:val="00175964"/>
    <w:rsid w:val="001759BD"/>
    <w:rsid w:val="00175C8E"/>
    <w:rsid w:val="00175E5A"/>
    <w:rsid w:val="00175EFE"/>
    <w:rsid w:val="00175FFF"/>
    <w:rsid w:val="0017610A"/>
    <w:rsid w:val="00176350"/>
    <w:rsid w:val="00176363"/>
    <w:rsid w:val="00176721"/>
    <w:rsid w:val="00176A58"/>
    <w:rsid w:val="00176C9A"/>
    <w:rsid w:val="00176DE2"/>
    <w:rsid w:val="00176E29"/>
    <w:rsid w:val="0017711B"/>
    <w:rsid w:val="00177152"/>
    <w:rsid w:val="00177490"/>
    <w:rsid w:val="001775B5"/>
    <w:rsid w:val="00177675"/>
    <w:rsid w:val="0017772C"/>
    <w:rsid w:val="00177B6F"/>
    <w:rsid w:val="00177E9A"/>
    <w:rsid w:val="00177FB8"/>
    <w:rsid w:val="00180213"/>
    <w:rsid w:val="00180279"/>
    <w:rsid w:val="0018042E"/>
    <w:rsid w:val="00180658"/>
    <w:rsid w:val="001806F6"/>
    <w:rsid w:val="001809F3"/>
    <w:rsid w:val="00181088"/>
    <w:rsid w:val="001810AC"/>
    <w:rsid w:val="00181240"/>
    <w:rsid w:val="001812C2"/>
    <w:rsid w:val="001812CB"/>
    <w:rsid w:val="00181401"/>
    <w:rsid w:val="001814A9"/>
    <w:rsid w:val="001815B2"/>
    <w:rsid w:val="00181694"/>
    <w:rsid w:val="00181846"/>
    <w:rsid w:val="00181F23"/>
    <w:rsid w:val="0018261B"/>
    <w:rsid w:val="0018272C"/>
    <w:rsid w:val="00182789"/>
    <w:rsid w:val="001827C9"/>
    <w:rsid w:val="00182B30"/>
    <w:rsid w:val="00182BC0"/>
    <w:rsid w:val="0018309B"/>
    <w:rsid w:val="001832A0"/>
    <w:rsid w:val="001834FD"/>
    <w:rsid w:val="0018354F"/>
    <w:rsid w:val="0018375B"/>
    <w:rsid w:val="00183766"/>
    <w:rsid w:val="00183F21"/>
    <w:rsid w:val="00183F72"/>
    <w:rsid w:val="00184413"/>
    <w:rsid w:val="001847AD"/>
    <w:rsid w:val="00184C45"/>
    <w:rsid w:val="00185304"/>
    <w:rsid w:val="001854A0"/>
    <w:rsid w:val="00185587"/>
    <w:rsid w:val="00185716"/>
    <w:rsid w:val="00185878"/>
    <w:rsid w:val="00185BDD"/>
    <w:rsid w:val="00185EFD"/>
    <w:rsid w:val="00185FB3"/>
    <w:rsid w:val="00186115"/>
    <w:rsid w:val="001861AE"/>
    <w:rsid w:val="001861C0"/>
    <w:rsid w:val="0018623D"/>
    <w:rsid w:val="001862C4"/>
    <w:rsid w:val="00186698"/>
    <w:rsid w:val="00186790"/>
    <w:rsid w:val="00186879"/>
    <w:rsid w:val="00186A42"/>
    <w:rsid w:val="00186B3A"/>
    <w:rsid w:val="00186F1D"/>
    <w:rsid w:val="00186FE8"/>
    <w:rsid w:val="0018708E"/>
    <w:rsid w:val="001872BE"/>
    <w:rsid w:val="001875F3"/>
    <w:rsid w:val="0018763C"/>
    <w:rsid w:val="00187818"/>
    <w:rsid w:val="0018788D"/>
    <w:rsid w:val="00187913"/>
    <w:rsid w:val="00187935"/>
    <w:rsid w:val="00187B34"/>
    <w:rsid w:val="00187C8C"/>
    <w:rsid w:val="00187E33"/>
    <w:rsid w:val="00187F3F"/>
    <w:rsid w:val="00187FAA"/>
    <w:rsid w:val="00190154"/>
    <w:rsid w:val="00190503"/>
    <w:rsid w:val="00190621"/>
    <w:rsid w:val="00190748"/>
    <w:rsid w:val="00190855"/>
    <w:rsid w:val="00190A74"/>
    <w:rsid w:val="00190ADE"/>
    <w:rsid w:val="00190B91"/>
    <w:rsid w:val="00190D51"/>
    <w:rsid w:val="00190DE1"/>
    <w:rsid w:val="00190FCB"/>
    <w:rsid w:val="00191125"/>
    <w:rsid w:val="0019134C"/>
    <w:rsid w:val="001914FA"/>
    <w:rsid w:val="001915F9"/>
    <w:rsid w:val="00191658"/>
    <w:rsid w:val="001916CE"/>
    <w:rsid w:val="00191705"/>
    <w:rsid w:val="001919B3"/>
    <w:rsid w:val="00191A48"/>
    <w:rsid w:val="00191C31"/>
    <w:rsid w:val="00191D42"/>
    <w:rsid w:val="00191FCD"/>
    <w:rsid w:val="001922C6"/>
    <w:rsid w:val="00192387"/>
    <w:rsid w:val="0019255B"/>
    <w:rsid w:val="0019274D"/>
    <w:rsid w:val="0019285C"/>
    <w:rsid w:val="00192B23"/>
    <w:rsid w:val="00192B2A"/>
    <w:rsid w:val="00192C54"/>
    <w:rsid w:val="00192CDE"/>
    <w:rsid w:val="00192DE7"/>
    <w:rsid w:val="00192F30"/>
    <w:rsid w:val="001931AA"/>
    <w:rsid w:val="001933EE"/>
    <w:rsid w:val="00193B4B"/>
    <w:rsid w:val="00193D9B"/>
    <w:rsid w:val="00193EC4"/>
    <w:rsid w:val="001942A8"/>
    <w:rsid w:val="0019453B"/>
    <w:rsid w:val="00194540"/>
    <w:rsid w:val="00194575"/>
    <w:rsid w:val="00194603"/>
    <w:rsid w:val="0019499F"/>
    <w:rsid w:val="001949CE"/>
    <w:rsid w:val="00194D4F"/>
    <w:rsid w:val="00194EF9"/>
    <w:rsid w:val="00195101"/>
    <w:rsid w:val="00195411"/>
    <w:rsid w:val="001954FA"/>
    <w:rsid w:val="00195AEB"/>
    <w:rsid w:val="00195FD3"/>
    <w:rsid w:val="0019604A"/>
    <w:rsid w:val="00196694"/>
    <w:rsid w:val="00196706"/>
    <w:rsid w:val="00196759"/>
    <w:rsid w:val="00196826"/>
    <w:rsid w:val="00196A3A"/>
    <w:rsid w:val="00196DE2"/>
    <w:rsid w:val="00196E6A"/>
    <w:rsid w:val="001973EA"/>
    <w:rsid w:val="00197596"/>
    <w:rsid w:val="00197600"/>
    <w:rsid w:val="001976A9"/>
    <w:rsid w:val="001977B0"/>
    <w:rsid w:val="00197A43"/>
    <w:rsid w:val="00197BE8"/>
    <w:rsid w:val="00197D26"/>
    <w:rsid w:val="00197E79"/>
    <w:rsid w:val="00197F3C"/>
    <w:rsid w:val="00197FCE"/>
    <w:rsid w:val="001A01F4"/>
    <w:rsid w:val="001A05DD"/>
    <w:rsid w:val="001A05FF"/>
    <w:rsid w:val="001A060C"/>
    <w:rsid w:val="001A0630"/>
    <w:rsid w:val="001A0636"/>
    <w:rsid w:val="001A093A"/>
    <w:rsid w:val="001A0B9F"/>
    <w:rsid w:val="001A0DBD"/>
    <w:rsid w:val="001A0F57"/>
    <w:rsid w:val="001A1743"/>
    <w:rsid w:val="001A19AE"/>
    <w:rsid w:val="001A1B16"/>
    <w:rsid w:val="001A1BBA"/>
    <w:rsid w:val="001A21D3"/>
    <w:rsid w:val="001A232E"/>
    <w:rsid w:val="001A257B"/>
    <w:rsid w:val="001A25E7"/>
    <w:rsid w:val="001A29A5"/>
    <w:rsid w:val="001A2BA8"/>
    <w:rsid w:val="001A2BDD"/>
    <w:rsid w:val="001A2E56"/>
    <w:rsid w:val="001A3072"/>
    <w:rsid w:val="001A35A4"/>
    <w:rsid w:val="001A38E7"/>
    <w:rsid w:val="001A3B4D"/>
    <w:rsid w:val="001A40EC"/>
    <w:rsid w:val="001A4104"/>
    <w:rsid w:val="001A4BF0"/>
    <w:rsid w:val="001A5024"/>
    <w:rsid w:val="001A51D6"/>
    <w:rsid w:val="001A59FC"/>
    <w:rsid w:val="001A5AEF"/>
    <w:rsid w:val="001A5E12"/>
    <w:rsid w:val="001A5E64"/>
    <w:rsid w:val="001A5F1C"/>
    <w:rsid w:val="001A5FEF"/>
    <w:rsid w:val="001A604D"/>
    <w:rsid w:val="001A6128"/>
    <w:rsid w:val="001A69F7"/>
    <w:rsid w:val="001A6B1A"/>
    <w:rsid w:val="001A6B52"/>
    <w:rsid w:val="001A6B76"/>
    <w:rsid w:val="001A6B8B"/>
    <w:rsid w:val="001A6C09"/>
    <w:rsid w:val="001A6E6E"/>
    <w:rsid w:val="001A6EEA"/>
    <w:rsid w:val="001A6F7D"/>
    <w:rsid w:val="001A6FD6"/>
    <w:rsid w:val="001A7279"/>
    <w:rsid w:val="001A73CC"/>
    <w:rsid w:val="001A7BC3"/>
    <w:rsid w:val="001A7CBF"/>
    <w:rsid w:val="001A7DDF"/>
    <w:rsid w:val="001A7F87"/>
    <w:rsid w:val="001B0012"/>
    <w:rsid w:val="001B0059"/>
    <w:rsid w:val="001B00AA"/>
    <w:rsid w:val="001B059A"/>
    <w:rsid w:val="001B068B"/>
    <w:rsid w:val="001B096D"/>
    <w:rsid w:val="001B0CFB"/>
    <w:rsid w:val="001B0DD7"/>
    <w:rsid w:val="001B10E7"/>
    <w:rsid w:val="001B12F8"/>
    <w:rsid w:val="001B13F1"/>
    <w:rsid w:val="001B14DF"/>
    <w:rsid w:val="001B1678"/>
    <w:rsid w:val="001B19BD"/>
    <w:rsid w:val="001B1AC2"/>
    <w:rsid w:val="001B2055"/>
    <w:rsid w:val="001B233A"/>
    <w:rsid w:val="001B25C9"/>
    <w:rsid w:val="001B2799"/>
    <w:rsid w:val="001B2A32"/>
    <w:rsid w:val="001B2B64"/>
    <w:rsid w:val="001B312F"/>
    <w:rsid w:val="001B340C"/>
    <w:rsid w:val="001B34A7"/>
    <w:rsid w:val="001B3502"/>
    <w:rsid w:val="001B3953"/>
    <w:rsid w:val="001B3B1A"/>
    <w:rsid w:val="001B3F1E"/>
    <w:rsid w:val="001B409C"/>
    <w:rsid w:val="001B4393"/>
    <w:rsid w:val="001B4751"/>
    <w:rsid w:val="001B480A"/>
    <w:rsid w:val="001B4828"/>
    <w:rsid w:val="001B48FB"/>
    <w:rsid w:val="001B4D14"/>
    <w:rsid w:val="001B4DB7"/>
    <w:rsid w:val="001B4DBD"/>
    <w:rsid w:val="001B4DE1"/>
    <w:rsid w:val="001B4FE6"/>
    <w:rsid w:val="001B50CF"/>
    <w:rsid w:val="001B53C5"/>
    <w:rsid w:val="001B540C"/>
    <w:rsid w:val="001B5479"/>
    <w:rsid w:val="001B57A5"/>
    <w:rsid w:val="001B580D"/>
    <w:rsid w:val="001B59F4"/>
    <w:rsid w:val="001B5ADE"/>
    <w:rsid w:val="001B5DC9"/>
    <w:rsid w:val="001B5EF4"/>
    <w:rsid w:val="001B6012"/>
    <w:rsid w:val="001B638F"/>
    <w:rsid w:val="001B66C2"/>
    <w:rsid w:val="001B67AE"/>
    <w:rsid w:val="001B68C1"/>
    <w:rsid w:val="001B6A1B"/>
    <w:rsid w:val="001B6E7D"/>
    <w:rsid w:val="001B6EFC"/>
    <w:rsid w:val="001B7083"/>
    <w:rsid w:val="001B7280"/>
    <w:rsid w:val="001B7321"/>
    <w:rsid w:val="001B73DF"/>
    <w:rsid w:val="001B789C"/>
    <w:rsid w:val="001B79C5"/>
    <w:rsid w:val="001B7C60"/>
    <w:rsid w:val="001C01A0"/>
    <w:rsid w:val="001C046B"/>
    <w:rsid w:val="001C0F7C"/>
    <w:rsid w:val="001C13C2"/>
    <w:rsid w:val="001C16F3"/>
    <w:rsid w:val="001C172E"/>
    <w:rsid w:val="001C1742"/>
    <w:rsid w:val="001C1773"/>
    <w:rsid w:val="001C1776"/>
    <w:rsid w:val="001C1945"/>
    <w:rsid w:val="001C1AEC"/>
    <w:rsid w:val="001C1E80"/>
    <w:rsid w:val="001C1EC1"/>
    <w:rsid w:val="001C20B7"/>
    <w:rsid w:val="001C23B7"/>
    <w:rsid w:val="001C2490"/>
    <w:rsid w:val="001C26CB"/>
    <w:rsid w:val="001C26DD"/>
    <w:rsid w:val="001C2730"/>
    <w:rsid w:val="001C27B6"/>
    <w:rsid w:val="001C2BC5"/>
    <w:rsid w:val="001C2C8E"/>
    <w:rsid w:val="001C2D63"/>
    <w:rsid w:val="001C3088"/>
    <w:rsid w:val="001C3285"/>
    <w:rsid w:val="001C3319"/>
    <w:rsid w:val="001C3429"/>
    <w:rsid w:val="001C36C9"/>
    <w:rsid w:val="001C38D2"/>
    <w:rsid w:val="001C3C3B"/>
    <w:rsid w:val="001C3D97"/>
    <w:rsid w:val="001C3DFA"/>
    <w:rsid w:val="001C42D5"/>
    <w:rsid w:val="001C4310"/>
    <w:rsid w:val="001C4493"/>
    <w:rsid w:val="001C44E3"/>
    <w:rsid w:val="001C450F"/>
    <w:rsid w:val="001C48FC"/>
    <w:rsid w:val="001C4A27"/>
    <w:rsid w:val="001C4AEC"/>
    <w:rsid w:val="001C5029"/>
    <w:rsid w:val="001C55A8"/>
    <w:rsid w:val="001C55FE"/>
    <w:rsid w:val="001C5758"/>
    <w:rsid w:val="001C5963"/>
    <w:rsid w:val="001C5A45"/>
    <w:rsid w:val="001C6149"/>
    <w:rsid w:val="001C61C5"/>
    <w:rsid w:val="001C6857"/>
    <w:rsid w:val="001C6A32"/>
    <w:rsid w:val="001C6A94"/>
    <w:rsid w:val="001C6EC9"/>
    <w:rsid w:val="001C7076"/>
    <w:rsid w:val="001C70D6"/>
    <w:rsid w:val="001C73B3"/>
    <w:rsid w:val="001C73D8"/>
    <w:rsid w:val="001C7487"/>
    <w:rsid w:val="001C7488"/>
    <w:rsid w:val="001C7721"/>
    <w:rsid w:val="001C793C"/>
    <w:rsid w:val="001C796A"/>
    <w:rsid w:val="001C7A86"/>
    <w:rsid w:val="001C7A87"/>
    <w:rsid w:val="001C7DD2"/>
    <w:rsid w:val="001C7F4D"/>
    <w:rsid w:val="001C7F95"/>
    <w:rsid w:val="001D00D4"/>
    <w:rsid w:val="001D0216"/>
    <w:rsid w:val="001D0330"/>
    <w:rsid w:val="001D04BB"/>
    <w:rsid w:val="001D0700"/>
    <w:rsid w:val="001D07CB"/>
    <w:rsid w:val="001D0839"/>
    <w:rsid w:val="001D086A"/>
    <w:rsid w:val="001D09B9"/>
    <w:rsid w:val="001D0ACE"/>
    <w:rsid w:val="001D0AE6"/>
    <w:rsid w:val="001D0B14"/>
    <w:rsid w:val="001D0C9D"/>
    <w:rsid w:val="001D10AF"/>
    <w:rsid w:val="001D1171"/>
    <w:rsid w:val="001D11F6"/>
    <w:rsid w:val="001D1224"/>
    <w:rsid w:val="001D1571"/>
    <w:rsid w:val="001D19F3"/>
    <w:rsid w:val="001D1A0D"/>
    <w:rsid w:val="001D1A28"/>
    <w:rsid w:val="001D1A8B"/>
    <w:rsid w:val="001D1AB5"/>
    <w:rsid w:val="001D1ACC"/>
    <w:rsid w:val="001D1D55"/>
    <w:rsid w:val="001D1F15"/>
    <w:rsid w:val="001D1F71"/>
    <w:rsid w:val="001D2F35"/>
    <w:rsid w:val="001D30C7"/>
    <w:rsid w:val="001D32DA"/>
    <w:rsid w:val="001D33CE"/>
    <w:rsid w:val="001D3464"/>
    <w:rsid w:val="001D350F"/>
    <w:rsid w:val="001D3C96"/>
    <w:rsid w:val="001D3FE6"/>
    <w:rsid w:val="001D41D8"/>
    <w:rsid w:val="001D42AB"/>
    <w:rsid w:val="001D4537"/>
    <w:rsid w:val="001D476E"/>
    <w:rsid w:val="001D4778"/>
    <w:rsid w:val="001D4A95"/>
    <w:rsid w:val="001D4BE3"/>
    <w:rsid w:val="001D5315"/>
    <w:rsid w:val="001D59D9"/>
    <w:rsid w:val="001D5D2D"/>
    <w:rsid w:val="001D5F3F"/>
    <w:rsid w:val="001D6080"/>
    <w:rsid w:val="001D6140"/>
    <w:rsid w:val="001D6180"/>
    <w:rsid w:val="001D624C"/>
    <w:rsid w:val="001D62CA"/>
    <w:rsid w:val="001D68DE"/>
    <w:rsid w:val="001D68E0"/>
    <w:rsid w:val="001D6B74"/>
    <w:rsid w:val="001D6FDF"/>
    <w:rsid w:val="001D6FE0"/>
    <w:rsid w:val="001D7169"/>
    <w:rsid w:val="001D74F4"/>
    <w:rsid w:val="001D7574"/>
    <w:rsid w:val="001D7601"/>
    <w:rsid w:val="001D7B4F"/>
    <w:rsid w:val="001D7D11"/>
    <w:rsid w:val="001D7F8E"/>
    <w:rsid w:val="001E0092"/>
    <w:rsid w:val="001E027F"/>
    <w:rsid w:val="001E0310"/>
    <w:rsid w:val="001E0701"/>
    <w:rsid w:val="001E073D"/>
    <w:rsid w:val="001E09F7"/>
    <w:rsid w:val="001E0A53"/>
    <w:rsid w:val="001E0C9B"/>
    <w:rsid w:val="001E155B"/>
    <w:rsid w:val="001E167B"/>
    <w:rsid w:val="001E170D"/>
    <w:rsid w:val="001E1824"/>
    <w:rsid w:val="001E1879"/>
    <w:rsid w:val="001E1AB5"/>
    <w:rsid w:val="001E1E77"/>
    <w:rsid w:val="001E1F0E"/>
    <w:rsid w:val="001E2191"/>
    <w:rsid w:val="001E28CD"/>
    <w:rsid w:val="001E2AAB"/>
    <w:rsid w:val="001E2ECC"/>
    <w:rsid w:val="001E35BD"/>
    <w:rsid w:val="001E3779"/>
    <w:rsid w:val="001E3D7B"/>
    <w:rsid w:val="001E3E55"/>
    <w:rsid w:val="001E4195"/>
    <w:rsid w:val="001E4204"/>
    <w:rsid w:val="001E42FC"/>
    <w:rsid w:val="001E4536"/>
    <w:rsid w:val="001E4A66"/>
    <w:rsid w:val="001E4BDF"/>
    <w:rsid w:val="001E4C37"/>
    <w:rsid w:val="001E4C74"/>
    <w:rsid w:val="001E53E4"/>
    <w:rsid w:val="001E561A"/>
    <w:rsid w:val="001E56DE"/>
    <w:rsid w:val="001E5999"/>
    <w:rsid w:val="001E5C3A"/>
    <w:rsid w:val="001E6159"/>
    <w:rsid w:val="001E65D0"/>
    <w:rsid w:val="001E66A3"/>
    <w:rsid w:val="001E67DE"/>
    <w:rsid w:val="001E6AB4"/>
    <w:rsid w:val="001E6D79"/>
    <w:rsid w:val="001E74C3"/>
    <w:rsid w:val="001E7658"/>
    <w:rsid w:val="001E7A6A"/>
    <w:rsid w:val="001E7A99"/>
    <w:rsid w:val="001E7C64"/>
    <w:rsid w:val="001E7F02"/>
    <w:rsid w:val="001F02A0"/>
    <w:rsid w:val="001F033B"/>
    <w:rsid w:val="001F0797"/>
    <w:rsid w:val="001F08CD"/>
    <w:rsid w:val="001F0AD8"/>
    <w:rsid w:val="001F0B86"/>
    <w:rsid w:val="001F105E"/>
    <w:rsid w:val="001F1265"/>
    <w:rsid w:val="001F17E1"/>
    <w:rsid w:val="001F187B"/>
    <w:rsid w:val="001F1F2B"/>
    <w:rsid w:val="001F23B5"/>
    <w:rsid w:val="001F23D2"/>
    <w:rsid w:val="001F27ED"/>
    <w:rsid w:val="001F2992"/>
    <w:rsid w:val="001F2A52"/>
    <w:rsid w:val="001F2BDB"/>
    <w:rsid w:val="001F2D3C"/>
    <w:rsid w:val="001F3049"/>
    <w:rsid w:val="001F307B"/>
    <w:rsid w:val="001F3116"/>
    <w:rsid w:val="001F3490"/>
    <w:rsid w:val="001F36AF"/>
    <w:rsid w:val="001F3977"/>
    <w:rsid w:val="001F3AE1"/>
    <w:rsid w:val="001F3AE4"/>
    <w:rsid w:val="001F3BA1"/>
    <w:rsid w:val="001F3BBC"/>
    <w:rsid w:val="001F425D"/>
    <w:rsid w:val="001F5212"/>
    <w:rsid w:val="001F522F"/>
    <w:rsid w:val="001F545D"/>
    <w:rsid w:val="001F554E"/>
    <w:rsid w:val="001F55B1"/>
    <w:rsid w:val="001F563E"/>
    <w:rsid w:val="001F56EA"/>
    <w:rsid w:val="001F59B5"/>
    <w:rsid w:val="001F5A85"/>
    <w:rsid w:val="001F5AA2"/>
    <w:rsid w:val="001F5C01"/>
    <w:rsid w:val="001F5CAC"/>
    <w:rsid w:val="001F652F"/>
    <w:rsid w:val="001F6841"/>
    <w:rsid w:val="001F6D19"/>
    <w:rsid w:val="001F6D7B"/>
    <w:rsid w:val="001F6FFA"/>
    <w:rsid w:val="001F7081"/>
    <w:rsid w:val="001F74F4"/>
    <w:rsid w:val="001F7A7E"/>
    <w:rsid w:val="001F7C11"/>
    <w:rsid w:val="001F7FE1"/>
    <w:rsid w:val="00200173"/>
    <w:rsid w:val="002005C3"/>
    <w:rsid w:val="002008A9"/>
    <w:rsid w:val="002008EF"/>
    <w:rsid w:val="00200BA1"/>
    <w:rsid w:val="00200D02"/>
    <w:rsid w:val="00200DB1"/>
    <w:rsid w:val="00200EF3"/>
    <w:rsid w:val="00200F7B"/>
    <w:rsid w:val="00201139"/>
    <w:rsid w:val="00201232"/>
    <w:rsid w:val="00201817"/>
    <w:rsid w:val="00201B4B"/>
    <w:rsid w:val="00201C2B"/>
    <w:rsid w:val="00201DF5"/>
    <w:rsid w:val="00201E66"/>
    <w:rsid w:val="00201E8B"/>
    <w:rsid w:val="00202586"/>
    <w:rsid w:val="002025D1"/>
    <w:rsid w:val="00202693"/>
    <w:rsid w:val="002026D0"/>
    <w:rsid w:val="002027EE"/>
    <w:rsid w:val="00202816"/>
    <w:rsid w:val="0020289F"/>
    <w:rsid w:val="00202910"/>
    <w:rsid w:val="00202C5C"/>
    <w:rsid w:val="00202CA4"/>
    <w:rsid w:val="00202CE8"/>
    <w:rsid w:val="00202D47"/>
    <w:rsid w:val="002031E1"/>
    <w:rsid w:val="00203590"/>
    <w:rsid w:val="00203A11"/>
    <w:rsid w:val="00203B4F"/>
    <w:rsid w:val="00203BBB"/>
    <w:rsid w:val="00203EF5"/>
    <w:rsid w:val="00203F15"/>
    <w:rsid w:val="00203FB3"/>
    <w:rsid w:val="002040E0"/>
    <w:rsid w:val="00204797"/>
    <w:rsid w:val="00204A60"/>
    <w:rsid w:val="00204B4E"/>
    <w:rsid w:val="00204C52"/>
    <w:rsid w:val="0020500E"/>
    <w:rsid w:val="00205073"/>
    <w:rsid w:val="00205351"/>
    <w:rsid w:val="002053DC"/>
    <w:rsid w:val="0020553B"/>
    <w:rsid w:val="0020558D"/>
    <w:rsid w:val="0020569F"/>
    <w:rsid w:val="002057BB"/>
    <w:rsid w:val="002058A1"/>
    <w:rsid w:val="00205CA3"/>
    <w:rsid w:val="00205DCB"/>
    <w:rsid w:val="00205F93"/>
    <w:rsid w:val="002062A4"/>
    <w:rsid w:val="002065E7"/>
    <w:rsid w:val="002068B4"/>
    <w:rsid w:val="002069A1"/>
    <w:rsid w:val="00206CA6"/>
    <w:rsid w:val="00206DCC"/>
    <w:rsid w:val="00206FB4"/>
    <w:rsid w:val="0020773A"/>
    <w:rsid w:val="00207777"/>
    <w:rsid w:val="0020779C"/>
    <w:rsid w:val="002078E8"/>
    <w:rsid w:val="0020790B"/>
    <w:rsid w:val="00207C09"/>
    <w:rsid w:val="00207EAB"/>
    <w:rsid w:val="00207F73"/>
    <w:rsid w:val="00210411"/>
    <w:rsid w:val="00210836"/>
    <w:rsid w:val="00210B50"/>
    <w:rsid w:val="00210CF4"/>
    <w:rsid w:val="00210D4D"/>
    <w:rsid w:val="00210F3B"/>
    <w:rsid w:val="00210FC8"/>
    <w:rsid w:val="0021144F"/>
    <w:rsid w:val="0021164F"/>
    <w:rsid w:val="00211811"/>
    <w:rsid w:val="00212269"/>
    <w:rsid w:val="002122FC"/>
    <w:rsid w:val="002123A0"/>
    <w:rsid w:val="00212573"/>
    <w:rsid w:val="0021263F"/>
    <w:rsid w:val="002126ED"/>
    <w:rsid w:val="0021273C"/>
    <w:rsid w:val="002128E1"/>
    <w:rsid w:val="00212AC3"/>
    <w:rsid w:val="00212B6D"/>
    <w:rsid w:val="00212EB1"/>
    <w:rsid w:val="00213047"/>
    <w:rsid w:val="0021312B"/>
    <w:rsid w:val="002131B0"/>
    <w:rsid w:val="0021368F"/>
    <w:rsid w:val="002136C6"/>
    <w:rsid w:val="00213971"/>
    <w:rsid w:val="00213A28"/>
    <w:rsid w:val="00213C5D"/>
    <w:rsid w:val="00213CF1"/>
    <w:rsid w:val="00213CF4"/>
    <w:rsid w:val="00213D92"/>
    <w:rsid w:val="00213E94"/>
    <w:rsid w:val="0021429B"/>
    <w:rsid w:val="002142F3"/>
    <w:rsid w:val="002143C0"/>
    <w:rsid w:val="002145B1"/>
    <w:rsid w:val="002149BA"/>
    <w:rsid w:val="002149FA"/>
    <w:rsid w:val="00214E7A"/>
    <w:rsid w:val="00214EE0"/>
    <w:rsid w:val="00215075"/>
    <w:rsid w:val="00215352"/>
    <w:rsid w:val="00215404"/>
    <w:rsid w:val="002154D7"/>
    <w:rsid w:val="0021596C"/>
    <w:rsid w:val="00215A00"/>
    <w:rsid w:val="00215B8E"/>
    <w:rsid w:val="00215C7A"/>
    <w:rsid w:val="00215D3C"/>
    <w:rsid w:val="002161CD"/>
    <w:rsid w:val="0021650D"/>
    <w:rsid w:val="002165E4"/>
    <w:rsid w:val="00216644"/>
    <w:rsid w:val="00216683"/>
    <w:rsid w:val="0021681C"/>
    <w:rsid w:val="00216DEB"/>
    <w:rsid w:val="00216E59"/>
    <w:rsid w:val="002171FA"/>
    <w:rsid w:val="0021762E"/>
    <w:rsid w:val="002176F1"/>
    <w:rsid w:val="0021779F"/>
    <w:rsid w:val="002177C9"/>
    <w:rsid w:val="0021798F"/>
    <w:rsid w:val="002179B9"/>
    <w:rsid w:val="002179BF"/>
    <w:rsid w:val="0022030C"/>
    <w:rsid w:val="002204B3"/>
    <w:rsid w:val="002208C8"/>
    <w:rsid w:val="00220D78"/>
    <w:rsid w:val="00220E9E"/>
    <w:rsid w:val="00221071"/>
    <w:rsid w:val="002210C6"/>
    <w:rsid w:val="002211B7"/>
    <w:rsid w:val="002213EE"/>
    <w:rsid w:val="00221642"/>
    <w:rsid w:val="002216E1"/>
    <w:rsid w:val="002218E0"/>
    <w:rsid w:val="002219BD"/>
    <w:rsid w:val="00221BF7"/>
    <w:rsid w:val="00221C5E"/>
    <w:rsid w:val="00221F22"/>
    <w:rsid w:val="00221FC3"/>
    <w:rsid w:val="0022203B"/>
    <w:rsid w:val="002221A8"/>
    <w:rsid w:val="00222263"/>
    <w:rsid w:val="00222432"/>
    <w:rsid w:val="00222443"/>
    <w:rsid w:val="00222493"/>
    <w:rsid w:val="002224EE"/>
    <w:rsid w:val="002229C2"/>
    <w:rsid w:val="00222C9F"/>
    <w:rsid w:val="00222CAE"/>
    <w:rsid w:val="00222D24"/>
    <w:rsid w:val="00222F36"/>
    <w:rsid w:val="00223480"/>
    <w:rsid w:val="00223627"/>
    <w:rsid w:val="002237F1"/>
    <w:rsid w:val="0022392A"/>
    <w:rsid w:val="00223C3D"/>
    <w:rsid w:val="00223C4F"/>
    <w:rsid w:val="00223E56"/>
    <w:rsid w:val="00223F85"/>
    <w:rsid w:val="00224089"/>
    <w:rsid w:val="002241A7"/>
    <w:rsid w:val="00224282"/>
    <w:rsid w:val="002246C8"/>
    <w:rsid w:val="00224760"/>
    <w:rsid w:val="00224AD0"/>
    <w:rsid w:val="00224BB9"/>
    <w:rsid w:val="00224C2B"/>
    <w:rsid w:val="00224E4D"/>
    <w:rsid w:val="00224EE2"/>
    <w:rsid w:val="00224F03"/>
    <w:rsid w:val="002250F3"/>
    <w:rsid w:val="002250F8"/>
    <w:rsid w:val="002251D3"/>
    <w:rsid w:val="00225228"/>
    <w:rsid w:val="0022524D"/>
    <w:rsid w:val="00225456"/>
    <w:rsid w:val="00225462"/>
    <w:rsid w:val="002257E1"/>
    <w:rsid w:val="002258FF"/>
    <w:rsid w:val="00225A01"/>
    <w:rsid w:val="00225DF0"/>
    <w:rsid w:val="00225F0F"/>
    <w:rsid w:val="002263FC"/>
    <w:rsid w:val="0022645A"/>
    <w:rsid w:val="0022647F"/>
    <w:rsid w:val="002264F0"/>
    <w:rsid w:val="00226662"/>
    <w:rsid w:val="0022671A"/>
    <w:rsid w:val="00226A92"/>
    <w:rsid w:val="00226E3E"/>
    <w:rsid w:val="00226F54"/>
    <w:rsid w:val="00227251"/>
    <w:rsid w:val="0022736C"/>
    <w:rsid w:val="002274E8"/>
    <w:rsid w:val="00227551"/>
    <w:rsid w:val="0022760E"/>
    <w:rsid w:val="0022783B"/>
    <w:rsid w:val="00227894"/>
    <w:rsid w:val="00227FD0"/>
    <w:rsid w:val="00230347"/>
    <w:rsid w:val="002303D7"/>
    <w:rsid w:val="00230685"/>
    <w:rsid w:val="002306D5"/>
    <w:rsid w:val="0023098C"/>
    <w:rsid w:val="00230C29"/>
    <w:rsid w:val="00230C39"/>
    <w:rsid w:val="00230C5B"/>
    <w:rsid w:val="00230E3F"/>
    <w:rsid w:val="00230E8C"/>
    <w:rsid w:val="0023103F"/>
    <w:rsid w:val="0023134B"/>
    <w:rsid w:val="0023192E"/>
    <w:rsid w:val="002319A7"/>
    <w:rsid w:val="00231A4D"/>
    <w:rsid w:val="00231ACA"/>
    <w:rsid w:val="00231CA4"/>
    <w:rsid w:val="00231CD0"/>
    <w:rsid w:val="00232294"/>
    <w:rsid w:val="0023239C"/>
    <w:rsid w:val="002329E8"/>
    <w:rsid w:val="002332CA"/>
    <w:rsid w:val="002333FE"/>
    <w:rsid w:val="00233453"/>
    <w:rsid w:val="00233622"/>
    <w:rsid w:val="00233814"/>
    <w:rsid w:val="0023399A"/>
    <w:rsid w:val="002339C9"/>
    <w:rsid w:val="00233A8D"/>
    <w:rsid w:val="00233AE2"/>
    <w:rsid w:val="00233E6F"/>
    <w:rsid w:val="0023450D"/>
    <w:rsid w:val="002346BA"/>
    <w:rsid w:val="0023476B"/>
    <w:rsid w:val="0023488D"/>
    <w:rsid w:val="00234A14"/>
    <w:rsid w:val="00234A58"/>
    <w:rsid w:val="00234A6F"/>
    <w:rsid w:val="00234BC8"/>
    <w:rsid w:val="00234FBC"/>
    <w:rsid w:val="00235024"/>
    <w:rsid w:val="002350D3"/>
    <w:rsid w:val="002354C3"/>
    <w:rsid w:val="002355E8"/>
    <w:rsid w:val="0023596D"/>
    <w:rsid w:val="00235991"/>
    <w:rsid w:val="00235A7A"/>
    <w:rsid w:val="00235E7C"/>
    <w:rsid w:val="00235FCD"/>
    <w:rsid w:val="00235FFB"/>
    <w:rsid w:val="002362A9"/>
    <w:rsid w:val="002362F5"/>
    <w:rsid w:val="0023630D"/>
    <w:rsid w:val="00236662"/>
    <w:rsid w:val="002366FA"/>
    <w:rsid w:val="00236A19"/>
    <w:rsid w:val="00236CE9"/>
    <w:rsid w:val="00237303"/>
    <w:rsid w:val="0023749B"/>
    <w:rsid w:val="002377AB"/>
    <w:rsid w:val="00237890"/>
    <w:rsid w:val="00237BD5"/>
    <w:rsid w:val="00237EB4"/>
    <w:rsid w:val="00240232"/>
    <w:rsid w:val="00240260"/>
    <w:rsid w:val="00240A62"/>
    <w:rsid w:val="00240B91"/>
    <w:rsid w:val="00240D10"/>
    <w:rsid w:val="002410F8"/>
    <w:rsid w:val="00241374"/>
    <w:rsid w:val="00241851"/>
    <w:rsid w:val="00241BD0"/>
    <w:rsid w:val="00241D59"/>
    <w:rsid w:val="00241DAC"/>
    <w:rsid w:val="002421ED"/>
    <w:rsid w:val="002423B9"/>
    <w:rsid w:val="0024288D"/>
    <w:rsid w:val="00242B8F"/>
    <w:rsid w:val="00242D4C"/>
    <w:rsid w:val="00242D77"/>
    <w:rsid w:val="00242F50"/>
    <w:rsid w:val="00243293"/>
    <w:rsid w:val="002432FB"/>
    <w:rsid w:val="00243353"/>
    <w:rsid w:val="00243360"/>
    <w:rsid w:val="002436E6"/>
    <w:rsid w:val="0024385D"/>
    <w:rsid w:val="002439A8"/>
    <w:rsid w:val="00243BED"/>
    <w:rsid w:val="00243C85"/>
    <w:rsid w:val="002441C5"/>
    <w:rsid w:val="00244229"/>
    <w:rsid w:val="0024441D"/>
    <w:rsid w:val="00244853"/>
    <w:rsid w:val="00244A13"/>
    <w:rsid w:val="0024507D"/>
    <w:rsid w:val="002456B6"/>
    <w:rsid w:val="0024579C"/>
    <w:rsid w:val="002457C7"/>
    <w:rsid w:val="002458F2"/>
    <w:rsid w:val="00245ACE"/>
    <w:rsid w:val="00245E28"/>
    <w:rsid w:val="0024602C"/>
    <w:rsid w:val="00246080"/>
    <w:rsid w:val="002468CF"/>
    <w:rsid w:val="00246BDF"/>
    <w:rsid w:val="00246C18"/>
    <w:rsid w:val="00246D29"/>
    <w:rsid w:val="00246D9C"/>
    <w:rsid w:val="00246E20"/>
    <w:rsid w:val="00246F8A"/>
    <w:rsid w:val="00247488"/>
    <w:rsid w:val="00247789"/>
    <w:rsid w:val="00247AED"/>
    <w:rsid w:val="00247C91"/>
    <w:rsid w:val="00247D57"/>
    <w:rsid w:val="00247DAC"/>
    <w:rsid w:val="002500D1"/>
    <w:rsid w:val="002501C6"/>
    <w:rsid w:val="00250449"/>
    <w:rsid w:val="0025078A"/>
    <w:rsid w:val="002507D7"/>
    <w:rsid w:val="002508B3"/>
    <w:rsid w:val="00250D06"/>
    <w:rsid w:val="00250E91"/>
    <w:rsid w:val="00250EF0"/>
    <w:rsid w:val="0025124A"/>
    <w:rsid w:val="00251292"/>
    <w:rsid w:val="002514F1"/>
    <w:rsid w:val="00251681"/>
    <w:rsid w:val="002516C8"/>
    <w:rsid w:val="00251715"/>
    <w:rsid w:val="002518F8"/>
    <w:rsid w:val="00251C65"/>
    <w:rsid w:val="00251E21"/>
    <w:rsid w:val="00252189"/>
    <w:rsid w:val="002522C1"/>
    <w:rsid w:val="00252372"/>
    <w:rsid w:val="00252386"/>
    <w:rsid w:val="0025262A"/>
    <w:rsid w:val="0025263D"/>
    <w:rsid w:val="002529B5"/>
    <w:rsid w:val="00252DDB"/>
    <w:rsid w:val="00253274"/>
    <w:rsid w:val="00253605"/>
    <w:rsid w:val="0025366B"/>
    <w:rsid w:val="00253688"/>
    <w:rsid w:val="002537A4"/>
    <w:rsid w:val="0025384A"/>
    <w:rsid w:val="0025397A"/>
    <w:rsid w:val="00253C7C"/>
    <w:rsid w:val="00253DAE"/>
    <w:rsid w:val="00253E0A"/>
    <w:rsid w:val="00253EEE"/>
    <w:rsid w:val="00253FCC"/>
    <w:rsid w:val="002540A2"/>
    <w:rsid w:val="002541DC"/>
    <w:rsid w:val="002543B3"/>
    <w:rsid w:val="00254DF8"/>
    <w:rsid w:val="00254E61"/>
    <w:rsid w:val="00254FCB"/>
    <w:rsid w:val="00255253"/>
    <w:rsid w:val="00255A06"/>
    <w:rsid w:val="00255BE1"/>
    <w:rsid w:val="00255C51"/>
    <w:rsid w:val="00255CEC"/>
    <w:rsid w:val="00255F39"/>
    <w:rsid w:val="00256012"/>
    <w:rsid w:val="0025608A"/>
    <w:rsid w:val="002560B8"/>
    <w:rsid w:val="002563F5"/>
    <w:rsid w:val="00256525"/>
    <w:rsid w:val="0025671B"/>
    <w:rsid w:val="002569E7"/>
    <w:rsid w:val="00256ADE"/>
    <w:rsid w:val="002578A1"/>
    <w:rsid w:val="00257A4F"/>
    <w:rsid w:val="00257B20"/>
    <w:rsid w:val="00257F1A"/>
    <w:rsid w:val="00260238"/>
    <w:rsid w:val="00260320"/>
    <w:rsid w:val="0026057B"/>
    <w:rsid w:val="0026065E"/>
    <w:rsid w:val="00260837"/>
    <w:rsid w:val="00260873"/>
    <w:rsid w:val="00260A79"/>
    <w:rsid w:val="00260CEC"/>
    <w:rsid w:val="00260E33"/>
    <w:rsid w:val="0026110A"/>
    <w:rsid w:val="00261124"/>
    <w:rsid w:val="00261B4B"/>
    <w:rsid w:val="00261CA7"/>
    <w:rsid w:val="00261D3A"/>
    <w:rsid w:val="00261D98"/>
    <w:rsid w:val="00261F37"/>
    <w:rsid w:val="0026227A"/>
    <w:rsid w:val="002625DE"/>
    <w:rsid w:val="0026261C"/>
    <w:rsid w:val="002627A9"/>
    <w:rsid w:val="002627CE"/>
    <w:rsid w:val="00262AE1"/>
    <w:rsid w:val="0026331D"/>
    <w:rsid w:val="00263359"/>
    <w:rsid w:val="00263740"/>
    <w:rsid w:val="00263890"/>
    <w:rsid w:val="00263F92"/>
    <w:rsid w:val="00263FDD"/>
    <w:rsid w:val="0026416C"/>
    <w:rsid w:val="0026422C"/>
    <w:rsid w:val="00264254"/>
    <w:rsid w:val="002646C1"/>
    <w:rsid w:val="00264B96"/>
    <w:rsid w:val="00264F40"/>
    <w:rsid w:val="00265113"/>
    <w:rsid w:val="0026514C"/>
    <w:rsid w:val="002653D9"/>
    <w:rsid w:val="002655F0"/>
    <w:rsid w:val="002656C6"/>
    <w:rsid w:val="00265775"/>
    <w:rsid w:val="00265D49"/>
    <w:rsid w:val="00265DA2"/>
    <w:rsid w:val="00265E04"/>
    <w:rsid w:val="00265F60"/>
    <w:rsid w:val="00266800"/>
    <w:rsid w:val="00266A62"/>
    <w:rsid w:val="00266D0B"/>
    <w:rsid w:val="00266D8A"/>
    <w:rsid w:val="00266F5E"/>
    <w:rsid w:val="002678D2"/>
    <w:rsid w:val="002700AB"/>
    <w:rsid w:val="0027028F"/>
    <w:rsid w:val="002703DA"/>
    <w:rsid w:val="0027047D"/>
    <w:rsid w:val="002707E3"/>
    <w:rsid w:val="00270966"/>
    <w:rsid w:val="00270972"/>
    <w:rsid w:val="00270AA7"/>
    <w:rsid w:val="00270AEC"/>
    <w:rsid w:val="00270E93"/>
    <w:rsid w:val="0027109F"/>
    <w:rsid w:val="0027128B"/>
    <w:rsid w:val="0027131A"/>
    <w:rsid w:val="0027136E"/>
    <w:rsid w:val="00271396"/>
    <w:rsid w:val="002718AA"/>
    <w:rsid w:val="00271C20"/>
    <w:rsid w:val="00272067"/>
    <w:rsid w:val="00272251"/>
    <w:rsid w:val="002723FE"/>
    <w:rsid w:val="00272416"/>
    <w:rsid w:val="00272621"/>
    <w:rsid w:val="002726BA"/>
    <w:rsid w:val="0027278C"/>
    <w:rsid w:val="002728A3"/>
    <w:rsid w:val="00272B47"/>
    <w:rsid w:val="00272C63"/>
    <w:rsid w:val="00272C78"/>
    <w:rsid w:val="00272D6B"/>
    <w:rsid w:val="00272D79"/>
    <w:rsid w:val="00272DE5"/>
    <w:rsid w:val="00272E0A"/>
    <w:rsid w:val="00272E66"/>
    <w:rsid w:val="00272FBC"/>
    <w:rsid w:val="0027308B"/>
    <w:rsid w:val="00273147"/>
    <w:rsid w:val="00273972"/>
    <w:rsid w:val="00273992"/>
    <w:rsid w:val="00273BB0"/>
    <w:rsid w:val="00273F67"/>
    <w:rsid w:val="00274135"/>
    <w:rsid w:val="002744D3"/>
    <w:rsid w:val="002745E5"/>
    <w:rsid w:val="00274762"/>
    <w:rsid w:val="002747A7"/>
    <w:rsid w:val="002747E1"/>
    <w:rsid w:val="00274A89"/>
    <w:rsid w:val="00274A90"/>
    <w:rsid w:val="00274BC9"/>
    <w:rsid w:val="00274C63"/>
    <w:rsid w:val="00274CD8"/>
    <w:rsid w:val="00275036"/>
    <w:rsid w:val="0027528E"/>
    <w:rsid w:val="002752B2"/>
    <w:rsid w:val="002754E8"/>
    <w:rsid w:val="002756BB"/>
    <w:rsid w:val="00275710"/>
    <w:rsid w:val="0027572D"/>
    <w:rsid w:val="00275820"/>
    <w:rsid w:val="00275C53"/>
    <w:rsid w:val="00275DB3"/>
    <w:rsid w:val="0027622A"/>
    <w:rsid w:val="00276531"/>
    <w:rsid w:val="002769A2"/>
    <w:rsid w:val="002769E3"/>
    <w:rsid w:val="00276C54"/>
    <w:rsid w:val="00276E76"/>
    <w:rsid w:val="00276F08"/>
    <w:rsid w:val="00276FC7"/>
    <w:rsid w:val="0027703E"/>
    <w:rsid w:val="00277153"/>
    <w:rsid w:val="0027724E"/>
    <w:rsid w:val="002773AD"/>
    <w:rsid w:val="0027756C"/>
    <w:rsid w:val="002777A7"/>
    <w:rsid w:val="00277831"/>
    <w:rsid w:val="0027786A"/>
    <w:rsid w:val="002778D8"/>
    <w:rsid w:val="002779E4"/>
    <w:rsid w:val="00277ADC"/>
    <w:rsid w:val="00277B62"/>
    <w:rsid w:val="00277C5D"/>
    <w:rsid w:val="00277DE3"/>
    <w:rsid w:val="00277F4E"/>
    <w:rsid w:val="00280085"/>
    <w:rsid w:val="00280298"/>
    <w:rsid w:val="0028035B"/>
    <w:rsid w:val="0028050E"/>
    <w:rsid w:val="00280554"/>
    <w:rsid w:val="002805AB"/>
    <w:rsid w:val="00280692"/>
    <w:rsid w:val="00280A3D"/>
    <w:rsid w:val="00280F35"/>
    <w:rsid w:val="00280FD6"/>
    <w:rsid w:val="002813FC"/>
    <w:rsid w:val="00281935"/>
    <w:rsid w:val="00281BEE"/>
    <w:rsid w:val="002821B9"/>
    <w:rsid w:val="00282290"/>
    <w:rsid w:val="00282298"/>
    <w:rsid w:val="0028229D"/>
    <w:rsid w:val="00282412"/>
    <w:rsid w:val="002825CC"/>
    <w:rsid w:val="00282829"/>
    <w:rsid w:val="00282927"/>
    <w:rsid w:val="0028299F"/>
    <w:rsid w:val="00282ABB"/>
    <w:rsid w:val="00283036"/>
    <w:rsid w:val="002831B7"/>
    <w:rsid w:val="002831CF"/>
    <w:rsid w:val="00283215"/>
    <w:rsid w:val="00283397"/>
    <w:rsid w:val="0028347F"/>
    <w:rsid w:val="002834E6"/>
    <w:rsid w:val="002837CA"/>
    <w:rsid w:val="00283981"/>
    <w:rsid w:val="00283B8F"/>
    <w:rsid w:val="00283F33"/>
    <w:rsid w:val="00283FA2"/>
    <w:rsid w:val="0028416C"/>
    <w:rsid w:val="002841B5"/>
    <w:rsid w:val="00284677"/>
    <w:rsid w:val="00284A53"/>
    <w:rsid w:val="00284AA3"/>
    <w:rsid w:val="00284C96"/>
    <w:rsid w:val="00284CAD"/>
    <w:rsid w:val="00284E20"/>
    <w:rsid w:val="00284EC8"/>
    <w:rsid w:val="00285015"/>
    <w:rsid w:val="00285046"/>
    <w:rsid w:val="0028588A"/>
    <w:rsid w:val="00285C33"/>
    <w:rsid w:val="00285C61"/>
    <w:rsid w:val="00285FD5"/>
    <w:rsid w:val="00286194"/>
    <w:rsid w:val="002861E1"/>
    <w:rsid w:val="002863E0"/>
    <w:rsid w:val="00286695"/>
    <w:rsid w:val="00286A41"/>
    <w:rsid w:val="00286A6B"/>
    <w:rsid w:val="00286F98"/>
    <w:rsid w:val="00287189"/>
    <w:rsid w:val="00287479"/>
    <w:rsid w:val="002874BD"/>
    <w:rsid w:val="00287594"/>
    <w:rsid w:val="002876DD"/>
    <w:rsid w:val="002879E9"/>
    <w:rsid w:val="00287CDF"/>
    <w:rsid w:val="0029008E"/>
    <w:rsid w:val="002903C1"/>
    <w:rsid w:val="002903DF"/>
    <w:rsid w:val="00290470"/>
    <w:rsid w:val="00290616"/>
    <w:rsid w:val="002906B3"/>
    <w:rsid w:val="00290940"/>
    <w:rsid w:val="00290CD3"/>
    <w:rsid w:val="00290EBC"/>
    <w:rsid w:val="00290FD0"/>
    <w:rsid w:val="0029109A"/>
    <w:rsid w:val="0029118C"/>
    <w:rsid w:val="0029148C"/>
    <w:rsid w:val="002919C7"/>
    <w:rsid w:val="00291A32"/>
    <w:rsid w:val="00291A5B"/>
    <w:rsid w:val="00291E34"/>
    <w:rsid w:val="00291F5B"/>
    <w:rsid w:val="0029208C"/>
    <w:rsid w:val="002921C8"/>
    <w:rsid w:val="002922A5"/>
    <w:rsid w:val="0029268C"/>
    <w:rsid w:val="00292C31"/>
    <w:rsid w:val="00292C40"/>
    <w:rsid w:val="00292CC2"/>
    <w:rsid w:val="00292D32"/>
    <w:rsid w:val="002930C8"/>
    <w:rsid w:val="00293B4C"/>
    <w:rsid w:val="00293C47"/>
    <w:rsid w:val="00294265"/>
    <w:rsid w:val="0029427A"/>
    <w:rsid w:val="0029458B"/>
    <w:rsid w:val="0029475E"/>
    <w:rsid w:val="00294900"/>
    <w:rsid w:val="002949E1"/>
    <w:rsid w:val="00294A5D"/>
    <w:rsid w:val="00294B12"/>
    <w:rsid w:val="00294FD3"/>
    <w:rsid w:val="002952BD"/>
    <w:rsid w:val="00295351"/>
    <w:rsid w:val="002953B1"/>
    <w:rsid w:val="002953BB"/>
    <w:rsid w:val="0029547E"/>
    <w:rsid w:val="00295660"/>
    <w:rsid w:val="002956F8"/>
    <w:rsid w:val="0029577C"/>
    <w:rsid w:val="00295793"/>
    <w:rsid w:val="00295B64"/>
    <w:rsid w:val="00295BB9"/>
    <w:rsid w:val="00295C2F"/>
    <w:rsid w:val="00295DDE"/>
    <w:rsid w:val="00295F37"/>
    <w:rsid w:val="00295F73"/>
    <w:rsid w:val="00296266"/>
    <w:rsid w:val="00296631"/>
    <w:rsid w:val="002968FB"/>
    <w:rsid w:val="00296A29"/>
    <w:rsid w:val="00296AF3"/>
    <w:rsid w:val="00296C6F"/>
    <w:rsid w:val="00296D18"/>
    <w:rsid w:val="00296F3A"/>
    <w:rsid w:val="002970FC"/>
    <w:rsid w:val="0029710D"/>
    <w:rsid w:val="002971B8"/>
    <w:rsid w:val="00297741"/>
    <w:rsid w:val="00297A54"/>
    <w:rsid w:val="00297A79"/>
    <w:rsid w:val="00297C5E"/>
    <w:rsid w:val="00297E08"/>
    <w:rsid w:val="002A0014"/>
    <w:rsid w:val="002A02A0"/>
    <w:rsid w:val="002A0441"/>
    <w:rsid w:val="002A04A6"/>
    <w:rsid w:val="002A05AE"/>
    <w:rsid w:val="002A09F2"/>
    <w:rsid w:val="002A0B46"/>
    <w:rsid w:val="002A0F34"/>
    <w:rsid w:val="002A112C"/>
    <w:rsid w:val="002A12BF"/>
    <w:rsid w:val="002A1381"/>
    <w:rsid w:val="002A1732"/>
    <w:rsid w:val="002A1B50"/>
    <w:rsid w:val="002A21F0"/>
    <w:rsid w:val="002A22B2"/>
    <w:rsid w:val="002A2992"/>
    <w:rsid w:val="002A2AAF"/>
    <w:rsid w:val="002A2E90"/>
    <w:rsid w:val="002A2EB9"/>
    <w:rsid w:val="002A2EF9"/>
    <w:rsid w:val="002A2F65"/>
    <w:rsid w:val="002A304A"/>
    <w:rsid w:val="002A346D"/>
    <w:rsid w:val="002A36D3"/>
    <w:rsid w:val="002A38B2"/>
    <w:rsid w:val="002A3A60"/>
    <w:rsid w:val="002A3C55"/>
    <w:rsid w:val="002A3EA9"/>
    <w:rsid w:val="002A41F0"/>
    <w:rsid w:val="002A424F"/>
    <w:rsid w:val="002A4296"/>
    <w:rsid w:val="002A430A"/>
    <w:rsid w:val="002A4462"/>
    <w:rsid w:val="002A44FB"/>
    <w:rsid w:val="002A4524"/>
    <w:rsid w:val="002A4526"/>
    <w:rsid w:val="002A4590"/>
    <w:rsid w:val="002A4D2D"/>
    <w:rsid w:val="002A4D33"/>
    <w:rsid w:val="002A4D73"/>
    <w:rsid w:val="002A4DE8"/>
    <w:rsid w:val="002A5842"/>
    <w:rsid w:val="002A58A6"/>
    <w:rsid w:val="002A5944"/>
    <w:rsid w:val="002A5AF0"/>
    <w:rsid w:val="002A5B7D"/>
    <w:rsid w:val="002A5D6F"/>
    <w:rsid w:val="002A5D7F"/>
    <w:rsid w:val="002A5EF0"/>
    <w:rsid w:val="002A6026"/>
    <w:rsid w:val="002A63BB"/>
    <w:rsid w:val="002A63D0"/>
    <w:rsid w:val="002A63F8"/>
    <w:rsid w:val="002A6584"/>
    <w:rsid w:val="002A669F"/>
    <w:rsid w:val="002A6992"/>
    <w:rsid w:val="002A6A03"/>
    <w:rsid w:val="002A6C0B"/>
    <w:rsid w:val="002A7000"/>
    <w:rsid w:val="002A731C"/>
    <w:rsid w:val="002A73EB"/>
    <w:rsid w:val="002A74B5"/>
    <w:rsid w:val="002A74E7"/>
    <w:rsid w:val="002A765A"/>
    <w:rsid w:val="002A7A38"/>
    <w:rsid w:val="002A7CAF"/>
    <w:rsid w:val="002A7DD3"/>
    <w:rsid w:val="002A7F90"/>
    <w:rsid w:val="002B001A"/>
    <w:rsid w:val="002B0071"/>
    <w:rsid w:val="002B05AD"/>
    <w:rsid w:val="002B0743"/>
    <w:rsid w:val="002B0843"/>
    <w:rsid w:val="002B0AD1"/>
    <w:rsid w:val="002B10FF"/>
    <w:rsid w:val="002B13BC"/>
    <w:rsid w:val="002B142F"/>
    <w:rsid w:val="002B14D0"/>
    <w:rsid w:val="002B1585"/>
    <w:rsid w:val="002B1592"/>
    <w:rsid w:val="002B1660"/>
    <w:rsid w:val="002B16DB"/>
    <w:rsid w:val="002B1A86"/>
    <w:rsid w:val="002B1D33"/>
    <w:rsid w:val="002B1D4F"/>
    <w:rsid w:val="002B205E"/>
    <w:rsid w:val="002B24BB"/>
    <w:rsid w:val="002B2642"/>
    <w:rsid w:val="002B28B7"/>
    <w:rsid w:val="002B2EE0"/>
    <w:rsid w:val="002B2F19"/>
    <w:rsid w:val="002B2F5F"/>
    <w:rsid w:val="002B2FA9"/>
    <w:rsid w:val="002B3072"/>
    <w:rsid w:val="002B33E3"/>
    <w:rsid w:val="002B3603"/>
    <w:rsid w:val="002B37DB"/>
    <w:rsid w:val="002B3964"/>
    <w:rsid w:val="002B397A"/>
    <w:rsid w:val="002B3A12"/>
    <w:rsid w:val="002B3A41"/>
    <w:rsid w:val="002B3B12"/>
    <w:rsid w:val="002B3B5E"/>
    <w:rsid w:val="002B4037"/>
    <w:rsid w:val="002B407F"/>
    <w:rsid w:val="002B4720"/>
    <w:rsid w:val="002B4C22"/>
    <w:rsid w:val="002B4CCA"/>
    <w:rsid w:val="002B4E94"/>
    <w:rsid w:val="002B4F7D"/>
    <w:rsid w:val="002B5407"/>
    <w:rsid w:val="002B5587"/>
    <w:rsid w:val="002B587D"/>
    <w:rsid w:val="002B5965"/>
    <w:rsid w:val="002B59B4"/>
    <w:rsid w:val="002B5A2A"/>
    <w:rsid w:val="002B6140"/>
    <w:rsid w:val="002B61B6"/>
    <w:rsid w:val="002B61D6"/>
    <w:rsid w:val="002B658F"/>
    <w:rsid w:val="002B6851"/>
    <w:rsid w:val="002B6BAF"/>
    <w:rsid w:val="002B6D8F"/>
    <w:rsid w:val="002B7195"/>
    <w:rsid w:val="002B750C"/>
    <w:rsid w:val="002B763B"/>
    <w:rsid w:val="002B76CD"/>
    <w:rsid w:val="002B7849"/>
    <w:rsid w:val="002B7A4C"/>
    <w:rsid w:val="002B7D1A"/>
    <w:rsid w:val="002C00AC"/>
    <w:rsid w:val="002C00CE"/>
    <w:rsid w:val="002C04B3"/>
    <w:rsid w:val="002C04F4"/>
    <w:rsid w:val="002C0882"/>
    <w:rsid w:val="002C0B17"/>
    <w:rsid w:val="002C0B18"/>
    <w:rsid w:val="002C0BF9"/>
    <w:rsid w:val="002C0E28"/>
    <w:rsid w:val="002C0F7F"/>
    <w:rsid w:val="002C1546"/>
    <w:rsid w:val="002C1564"/>
    <w:rsid w:val="002C158A"/>
    <w:rsid w:val="002C1770"/>
    <w:rsid w:val="002C19BD"/>
    <w:rsid w:val="002C19C1"/>
    <w:rsid w:val="002C1CF2"/>
    <w:rsid w:val="002C1D43"/>
    <w:rsid w:val="002C1D71"/>
    <w:rsid w:val="002C1F4D"/>
    <w:rsid w:val="002C206A"/>
    <w:rsid w:val="002C2113"/>
    <w:rsid w:val="002C25B6"/>
    <w:rsid w:val="002C27E5"/>
    <w:rsid w:val="002C2A21"/>
    <w:rsid w:val="002C2B63"/>
    <w:rsid w:val="002C2BDF"/>
    <w:rsid w:val="002C2CEA"/>
    <w:rsid w:val="002C2D60"/>
    <w:rsid w:val="002C2DF1"/>
    <w:rsid w:val="002C2E57"/>
    <w:rsid w:val="002C2EE0"/>
    <w:rsid w:val="002C2F18"/>
    <w:rsid w:val="002C3136"/>
    <w:rsid w:val="002C326B"/>
    <w:rsid w:val="002C393D"/>
    <w:rsid w:val="002C3A93"/>
    <w:rsid w:val="002C3AE2"/>
    <w:rsid w:val="002C3B45"/>
    <w:rsid w:val="002C3CB8"/>
    <w:rsid w:val="002C3D48"/>
    <w:rsid w:val="002C3DCC"/>
    <w:rsid w:val="002C4014"/>
    <w:rsid w:val="002C4279"/>
    <w:rsid w:val="002C458B"/>
    <w:rsid w:val="002C45A1"/>
    <w:rsid w:val="002C46EC"/>
    <w:rsid w:val="002C4A47"/>
    <w:rsid w:val="002C4C97"/>
    <w:rsid w:val="002C4D2C"/>
    <w:rsid w:val="002C4DF8"/>
    <w:rsid w:val="002C519D"/>
    <w:rsid w:val="002C54FA"/>
    <w:rsid w:val="002C5517"/>
    <w:rsid w:val="002C5974"/>
    <w:rsid w:val="002C5C03"/>
    <w:rsid w:val="002C5DF3"/>
    <w:rsid w:val="002C5E9A"/>
    <w:rsid w:val="002C6019"/>
    <w:rsid w:val="002C6085"/>
    <w:rsid w:val="002C69E9"/>
    <w:rsid w:val="002C6D65"/>
    <w:rsid w:val="002C6DEC"/>
    <w:rsid w:val="002C6DF9"/>
    <w:rsid w:val="002C6E06"/>
    <w:rsid w:val="002C6EAE"/>
    <w:rsid w:val="002C6F31"/>
    <w:rsid w:val="002C732B"/>
    <w:rsid w:val="002C7362"/>
    <w:rsid w:val="002C73DB"/>
    <w:rsid w:val="002C7541"/>
    <w:rsid w:val="002C7566"/>
    <w:rsid w:val="002C78EC"/>
    <w:rsid w:val="002C7B7F"/>
    <w:rsid w:val="002C7C04"/>
    <w:rsid w:val="002C7D07"/>
    <w:rsid w:val="002C7D47"/>
    <w:rsid w:val="002C7DA5"/>
    <w:rsid w:val="002C7E1D"/>
    <w:rsid w:val="002C7EB2"/>
    <w:rsid w:val="002C7EF0"/>
    <w:rsid w:val="002D0070"/>
    <w:rsid w:val="002D0976"/>
    <w:rsid w:val="002D133C"/>
    <w:rsid w:val="002D176B"/>
    <w:rsid w:val="002D1890"/>
    <w:rsid w:val="002D1AF5"/>
    <w:rsid w:val="002D1C66"/>
    <w:rsid w:val="002D1FC5"/>
    <w:rsid w:val="002D215A"/>
    <w:rsid w:val="002D2274"/>
    <w:rsid w:val="002D2338"/>
    <w:rsid w:val="002D236E"/>
    <w:rsid w:val="002D2C59"/>
    <w:rsid w:val="002D2CA8"/>
    <w:rsid w:val="002D2D19"/>
    <w:rsid w:val="002D2DE9"/>
    <w:rsid w:val="002D2E24"/>
    <w:rsid w:val="002D311B"/>
    <w:rsid w:val="002D34AF"/>
    <w:rsid w:val="002D3836"/>
    <w:rsid w:val="002D3DAA"/>
    <w:rsid w:val="002D3F24"/>
    <w:rsid w:val="002D3FFC"/>
    <w:rsid w:val="002D4110"/>
    <w:rsid w:val="002D4259"/>
    <w:rsid w:val="002D43A0"/>
    <w:rsid w:val="002D4814"/>
    <w:rsid w:val="002D49EB"/>
    <w:rsid w:val="002D4B47"/>
    <w:rsid w:val="002D4BF9"/>
    <w:rsid w:val="002D4DF0"/>
    <w:rsid w:val="002D4E0F"/>
    <w:rsid w:val="002D4E71"/>
    <w:rsid w:val="002D4F3C"/>
    <w:rsid w:val="002D5075"/>
    <w:rsid w:val="002D51FB"/>
    <w:rsid w:val="002D54E0"/>
    <w:rsid w:val="002D59C0"/>
    <w:rsid w:val="002D59E8"/>
    <w:rsid w:val="002D5CBB"/>
    <w:rsid w:val="002D5CC7"/>
    <w:rsid w:val="002D5DF4"/>
    <w:rsid w:val="002D5E5A"/>
    <w:rsid w:val="002D5E78"/>
    <w:rsid w:val="002D6194"/>
    <w:rsid w:val="002D62D7"/>
    <w:rsid w:val="002D65BC"/>
    <w:rsid w:val="002D6601"/>
    <w:rsid w:val="002D6874"/>
    <w:rsid w:val="002D6EC7"/>
    <w:rsid w:val="002D7012"/>
    <w:rsid w:val="002D710D"/>
    <w:rsid w:val="002D7136"/>
    <w:rsid w:val="002D722F"/>
    <w:rsid w:val="002D728A"/>
    <w:rsid w:val="002D729B"/>
    <w:rsid w:val="002D75CE"/>
    <w:rsid w:val="002D768D"/>
    <w:rsid w:val="002D78ED"/>
    <w:rsid w:val="002D7DEE"/>
    <w:rsid w:val="002D7FE2"/>
    <w:rsid w:val="002E0058"/>
    <w:rsid w:val="002E060A"/>
    <w:rsid w:val="002E0755"/>
    <w:rsid w:val="002E0998"/>
    <w:rsid w:val="002E0B3B"/>
    <w:rsid w:val="002E0BCD"/>
    <w:rsid w:val="002E0F94"/>
    <w:rsid w:val="002E10A2"/>
    <w:rsid w:val="002E145A"/>
    <w:rsid w:val="002E1483"/>
    <w:rsid w:val="002E18E7"/>
    <w:rsid w:val="002E18EB"/>
    <w:rsid w:val="002E1EAC"/>
    <w:rsid w:val="002E1F21"/>
    <w:rsid w:val="002E2109"/>
    <w:rsid w:val="002E229C"/>
    <w:rsid w:val="002E24CD"/>
    <w:rsid w:val="002E2516"/>
    <w:rsid w:val="002E26C5"/>
    <w:rsid w:val="002E2812"/>
    <w:rsid w:val="002E2971"/>
    <w:rsid w:val="002E2E22"/>
    <w:rsid w:val="002E2ED3"/>
    <w:rsid w:val="002E2EE2"/>
    <w:rsid w:val="002E31BA"/>
    <w:rsid w:val="002E34C8"/>
    <w:rsid w:val="002E3653"/>
    <w:rsid w:val="002E36A4"/>
    <w:rsid w:val="002E384A"/>
    <w:rsid w:val="002E3959"/>
    <w:rsid w:val="002E3CC5"/>
    <w:rsid w:val="002E3E66"/>
    <w:rsid w:val="002E3E7D"/>
    <w:rsid w:val="002E3E81"/>
    <w:rsid w:val="002E40FF"/>
    <w:rsid w:val="002E42BE"/>
    <w:rsid w:val="002E430A"/>
    <w:rsid w:val="002E4312"/>
    <w:rsid w:val="002E44F0"/>
    <w:rsid w:val="002E4664"/>
    <w:rsid w:val="002E4C08"/>
    <w:rsid w:val="002E4CD4"/>
    <w:rsid w:val="002E4DA2"/>
    <w:rsid w:val="002E4F6A"/>
    <w:rsid w:val="002E56AD"/>
    <w:rsid w:val="002E56E7"/>
    <w:rsid w:val="002E5793"/>
    <w:rsid w:val="002E5B0D"/>
    <w:rsid w:val="002E5B63"/>
    <w:rsid w:val="002E5CB7"/>
    <w:rsid w:val="002E5CD2"/>
    <w:rsid w:val="002E5CF3"/>
    <w:rsid w:val="002E5CF6"/>
    <w:rsid w:val="002E61B3"/>
    <w:rsid w:val="002E6581"/>
    <w:rsid w:val="002E662B"/>
    <w:rsid w:val="002E66D8"/>
    <w:rsid w:val="002E68D1"/>
    <w:rsid w:val="002E6B92"/>
    <w:rsid w:val="002E6C5A"/>
    <w:rsid w:val="002E6DE0"/>
    <w:rsid w:val="002E6E6F"/>
    <w:rsid w:val="002E6F57"/>
    <w:rsid w:val="002E709A"/>
    <w:rsid w:val="002E7122"/>
    <w:rsid w:val="002E74D1"/>
    <w:rsid w:val="002E76D9"/>
    <w:rsid w:val="002E7760"/>
    <w:rsid w:val="002E77DF"/>
    <w:rsid w:val="002E7914"/>
    <w:rsid w:val="002E7A80"/>
    <w:rsid w:val="002E7AEB"/>
    <w:rsid w:val="002F0165"/>
    <w:rsid w:val="002F023A"/>
    <w:rsid w:val="002F0314"/>
    <w:rsid w:val="002F04C2"/>
    <w:rsid w:val="002F050F"/>
    <w:rsid w:val="002F0643"/>
    <w:rsid w:val="002F068A"/>
    <w:rsid w:val="002F06D1"/>
    <w:rsid w:val="002F0873"/>
    <w:rsid w:val="002F0A95"/>
    <w:rsid w:val="002F0AA4"/>
    <w:rsid w:val="002F0AC4"/>
    <w:rsid w:val="002F0B60"/>
    <w:rsid w:val="002F1393"/>
    <w:rsid w:val="002F16C8"/>
    <w:rsid w:val="002F16DD"/>
    <w:rsid w:val="002F1732"/>
    <w:rsid w:val="002F1796"/>
    <w:rsid w:val="002F1AE8"/>
    <w:rsid w:val="002F1B34"/>
    <w:rsid w:val="002F1DCC"/>
    <w:rsid w:val="002F1ECD"/>
    <w:rsid w:val="002F1FD3"/>
    <w:rsid w:val="002F1FF3"/>
    <w:rsid w:val="002F288A"/>
    <w:rsid w:val="002F2AAD"/>
    <w:rsid w:val="002F2C32"/>
    <w:rsid w:val="002F2C3F"/>
    <w:rsid w:val="002F2EEE"/>
    <w:rsid w:val="002F2F53"/>
    <w:rsid w:val="002F33CE"/>
    <w:rsid w:val="002F369F"/>
    <w:rsid w:val="002F39DF"/>
    <w:rsid w:val="002F3DBF"/>
    <w:rsid w:val="002F4136"/>
    <w:rsid w:val="002F43E4"/>
    <w:rsid w:val="002F440B"/>
    <w:rsid w:val="002F47B6"/>
    <w:rsid w:val="002F47BC"/>
    <w:rsid w:val="002F4E37"/>
    <w:rsid w:val="002F5066"/>
    <w:rsid w:val="002F512B"/>
    <w:rsid w:val="002F584F"/>
    <w:rsid w:val="002F5C4A"/>
    <w:rsid w:val="002F5DEF"/>
    <w:rsid w:val="002F5F9F"/>
    <w:rsid w:val="002F6078"/>
    <w:rsid w:val="002F6902"/>
    <w:rsid w:val="002F6A5C"/>
    <w:rsid w:val="002F6E94"/>
    <w:rsid w:val="002F6F86"/>
    <w:rsid w:val="002F7026"/>
    <w:rsid w:val="002F7036"/>
    <w:rsid w:val="002F7102"/>
    <w:rsid w:val="002F731E"/>
    <w:rsid w:val="002F7355"/>
    <w:rsid w:val="002F74BE"/>
    <w:rsid w:val="002F74E9"/>
    <w:rsid w:val="002F74EE"/>
    <w:rsid w:val="002F7618"/>
    <w:rsid w:val="002F77BC"/>
    <w:rsid w:val="002F77F8"/>
    <w:rsid w:val="002F7B0C"/>
    <w:rsid w:val="002F7FA7"/>
    <w:rsid w:val="003002DC"/>
    <w:rsid w:val="003005E0"/>
    <w:rsid w:val="0030092D"/>
    <w:rsid w:val="00300C23"/>
    <w:rsid w:val="00300E64"/>
    <w:rsid w:val="00301271"/>
    <w:rsid w:val="0030153C"/>
    <w:rsid w:val="00301552"/>
    <w:rsid w:val="00301766"/>
    <w:rsid w:val="003018E4"/>
    <w:rsid w:val="00301932"/>
    <w:rsid w:val="00301ADB"/>
    <w:rsid w:val="00301C59"/>
    <w:rsid w:val="00301E30"/>
    <w:rsid w:val="003020B3"/>
    <w:rsid w:val="0030222B"/>
    <w:rsid w:val="00302368"/>
    <w:rsid w:val="0030239B"/>
    <w:rsid w:val="0030295F"/>
    <w:rsid w:val="00302A8D"/>
    <w:rsid w:val="00302E3D"/>
    <w:rsid w:val="00302E8D"/>
    <w:rsid w:val="00302EB8"/>
    <w:rsid w:val="00302F87"/>
    <w:rsid w:val="0030308F"/>
    <w:rsid w:val="003031BF"/>
    <w:rsid w:val="003033E7"/>
    <w:rsid w:val="0030358A"/>
    <w:rsid w:val="003035EF"/>
    <w:rsid w:val="00304500"/>
    <w:rsid w:val="003045C8"/>
    <w:rsid w:val="00304652"/>
    <w:rsid w:val="0030474A"/>
    <w:rsid w:val="00304851"/>
    <w:rsid w:val="003049FD"/>
    <w:rsid w:val="00304BD2"/>
    <w:rsid w:val="00304F80"/>
    <w:rsid w:val="003051A5"/>
    <w:rsid w:val="003051BB"/>
    <w:rsid w:val="0030520F"/>
    <w:rsid w:val="00305288"/>
    <w:rsid w:val="0030529E"/>
    <w:rsid w:val="003052CB"/>
    <w:rsid w:val="0030530F"/>
    <w:rsid w:val="003053C6"/>
    <w:rsid w:val="00305411"/>
    <w:rsid w:val="003055A6"/>
    <w:rsid w:val="003058E9"/>
    <w:rsid w:val="00305925"/>
    <w:rsid w:val="003060F7"/>
    <w:rsid w:val="00306162"/>
    <w:rsid w:val="003062A7"/>
    <w:rsid w:val="00306A6F"/>
    <w:rsid w:val="00306B62"/>
    <w:rsid w:val="00306B65"/>
    <w:rsid w:val="00306D6C"/>
    <w:rsid w:val="0030701C"/>
    <w:rsid w:val="0030708B"/>
    <w:rsid w:val="003077CE"/>
    <w:rsid w:val="00307ABF"/>
    <w:rsid w:val="00307B4C"/>
    <w:rsid w:val="00307E06"/>
    <w:rsid w:val="003100B6"/>
    <w:rsid w:val="003106F7"/>
    <w:rsid w:val="003108CA"/>
    <w:rsid w:val="00310908"/>
    <w:rsid w:val="0031189C"/>
    <w:rsid w:val="003119DB"/>
    <w:rsid w:val="00311AD6"/>
    <w:rsid w:val="00311C7D"/>
    <w:rsid w:val="00311F08"/>
    <w:rsid w:val="00312144"/>
    <w:rsid w:val="00312952"/>
    <w:rsid w:val="00312E85"/>
    <w:rsid w:val="00312F8B"/>
    <w:rsid w:val="00313194"/>
    <w:rsid w:val="00313235"/>
    <w:rsid w:val="00313275"/>
    <w:rsid w:val="00313308"/>
    <w:rsid w:val="003133C7"/>
    <w:rsid w:val="003135D9"/>
    <w:rsid w:val="003136AF"/>
    <w:rsid w:val="00313960"/>
    <w:rsid w:val="00313A44"/>
    <w:rsid w:val="00313BB2"/>
    <w:rsid w:val="003140F0"/>
    <w:rsid w:val="00314182"/>
    <w:rsid w:val="003146E9"/>
    <w:rsid w:val="003149A9"/>
    <w:rsid w:val="003149F8"/>
    <w:rsid w:val="00314A15"/>
    <w:rsid w:val="00314A24"/>
    <w:rsid w:val="00314A82"/>
    <w:rsid w:val="00314ABC"/>
    <w:rsid w:val="00314C6A"/>
    <w:rsid w:val="00315009"/>
    <w:rsid w:val="0031535C"/>
    <w:rsid w:val="003153AE"/>
    <w:rsid w:val="003153BC"/>
    <w:rsid w:val="0031553B"/>
    <w:rsid w:val="0031585D"/>
    <w:rsid w:val="003159AF"/>
    <w:rsid w:val="00316137"/>
    <w:rsid w:val="0031615F"/>
    <w:rsid w:val="003162AF"/>
    <w:rsid w:val="0031662A"/>
    <w:rsid w:val="003168BE"/>
    <w:rsid w:val="00316964"/>
    <w:rsid w:val="00316999"/>
    <w:rsid w:val="00316C89"/>
    <w:rsid w:val="00316EDA"/>
    <w:rsid w:val="00317183"/>
    <w:rsid w:val="003171EF"/>
    <w:rsid w:val="003174D5"/>
    <w:rsid w:val="003175B3"/>
    <w:rsid w:val="0031772B"/>
    <w:rsid w:val="0031774F"/>
    <w:rsid w:val="003177E4"/>
    <w:rsid w:val="00317A1D"/>
    <w:rsid w:val="00317B18"/>
    <w:rsid w:val="00317F6F"/>
    <w:rsid w:val="003202BA"/>
    <w:rsid w:val="003203A2"/>
    <w:rsid w:val="003203F5"/>
    <w:rsid w:val="00320584"/>
    <w:rsid w:val="003205F0"/>
    <w:rsid w:val="00320603"/>
    <w:rsid w:val="00320635"/>
    <w:rsid w:val="0032090A"/>
    <w:rsid w:val="00320B1F"/>
    <w:rsid w:val="00320C54"/>
    <w:rsid w:val="00320D01"/>
    <w:rsid w:val="00320D7B"/>
    <w:rsid w:val="00320DAC"/>
    <w:rsid w:val="00320E17"/>
    <w:rsid w:val="00321412"/>
    <w:rsid w:val="003215D7"/>
    <w:rsid w:val="0032160B"/>
    <w:rsid w:val="003216A1"/>
    <w:rsid w:val="00321857"/>
    <w:rsid w:val="0032192C"/>
    <w:rsid w:val="00321AB7"/>
    <w:rsid w:val="00321B2F"/>
    <w:rsid w:val="00321D13"/>
    <w:rsid w:val="00321E6F"/>
    <w:rsid w:val="00322075"/>
    <w:rsid w:val="0032226B"/>
    <w:rsid w:val="003223A7"/>
    <w:rsid w:val="003225A7"/>
    <w:rsid w:val="003225E2"/>
    <w:rsid w:val="00322855"/>
    <w:rsid w:val="0032295A"/>
    <w:rsid w:val="00322A68"/>
    <w:rsid w:val="00322BBC"/>
    <w:rsid w:val="003231FF"/>
    <w:rsid w:val="00323298"/>
    <w:rsid w:val="00323440"/>
    <w:rsid w:val="0032367C"/>
    <w:rsid w:val="003236CE"/>
    <w:rsid w:val="00323C51"/>
    <w:rsid w:val="00323D1C"/>
    <w:rsid w:val="00323FE8"/>
    <w:rsid w:val="0032422E"/>
    <w:rsid w:val="0032431D"/>
    <w:rsid w:val="003244F5"/>
    <w:rsid w:val="0032456A"/>
    <w:rsid w:val="003249DF"/>
    <w:rsid w:val="00324A90"/>
    <w:rsid w:val="00325064"/>
    <w:rsid w:val="003251DE"/>
    <w:rsid w:val="00325206"/>
    <w:rsid w:val="003252E3"/>
    <w:rsid w:val="00325617"/>
    <w:rsid w:val="00325642"/>
    <w:rsid w:val="00325828"/>
    <w:rsid w:val="00325926"/>
    <w:rsid w:val="00325B01"/>
    <w:rsid w:val="00325D02"/>
    <w:rsid w:val="00325F89"/>
    <w:rsid w:val="00325FB2"/>
    <w:rsid w:val="003265F1"/>
    <w:rsid w:val="003267CB"/>
    <w:rsid w:val="00326AB5"/>
    <w:rsid w:val="00326C09"/>
    <w:rsid w:val="00326D9F"/>
    <w:rsid w:val="003273B0"/>
    <w:rsid w:val="00327745"/>
    <w:rsid w:val="003278FC"/>
    <w:rsid w:val="0032793E"/>
    <w:rsid w:val="00327AF9"/>
    <w:rsid w:val="00327E0E"/>
    <w:rsid w:val="00327FA6"/>
    <w:rsid w:val="00330244"/>
    <w:rsid w:val="003303D3"/>
    <w:rsid w:val="00330519"/>
    <w:rsid w:val="00330B68"/>
    <w:rsid w:val="00330B7B"/>
    <w:rsid w:val="00330D11"/>
    <w:rsid w:val="00330EC0"/>
    <w:rsid w:val="00331164"/>
    <w:rsid w:val="00331345"/>
    <w:rsid w:val="003317E3"/>
    <w:rsid w:val="00331A93"/>
    <w:rsid w:val="00331A9E"/>
    <w:rsid w:val="00331B4E"/>
    <w:rsid w:val="00331D80"/>
    <w:rsid w:val="00331E47"/>
    <w:rsid w:val="00331F6D"/>
    <w:rsid w:val="0033256C"/>
    <w:rsid w:val="00332682"/>
    <w:rsid w:val="003326FF"/>
    <w:rsid w:val="0033276D"/>
    <w:rsid w:val="00332ABE"/>
    <w:rsid w:val="00332BE4"/>
    <w:rsid w:val="00333243"/>
    <w:rsid w:val="003334E7"/>
    <w:rsid w:val="00333807"/>
    <w:rsid w:val="003338A1"/>
    <w:rsid w:val="00333985"/>
    <w:rsid w:val="00333A94"/>
    <w:rsid w:val="00333B03"/>
    <w:rsid w:val="00333BC7"/>
    <w:rsid w:val="00333BF7"/>
    <w:rsid w:val="00333C0E"/>
    <w:rsid w:val="00333F35"/>
    <w:rsid w:val="00334167"/>
    <w:rsid w:val="00334214"/>
    <w:rsid w:val="00334283"/>
    <w:rsid w:val="003342F9"/>
    <w:rsid w:val="00334651"/>
    <w:rsid w:val="0033490E"/>
    <w:rsid w:val="00334AD6"/>
    <w:rsid w:val="00334B38"/>
    <w:rsid w:val="00334D1A"/>
    <w:rsid w:val="00334ED5"/>
    <w:rsid w:val="003351AD"/>
    <w:rsid w:val="0033546D"/>
    <w:rsid w:val="003354BB"/>
    <w:rsid w:val="00335A90"/>
    <w:rsid w:val="003360E9"/>
    <w:rsid w:val="00336281"/>
    <w:rsid w:val="00336414"/>
    <w:rsid w:val="003366A3"/>
    <w:rsid w:val="003366ED"/>
    <w:rsid w:val="0033690D"/>
    <w:rsid w:val="00336950"/>
    <w:rsid w:val="00336955"/>
    <w:rsid w:val="00336C25"/>
    <w:rsid w:val="00336E93"/>
    <w:rsid w:val="00336FBA"/>
    <w:rsid w:val="003370E9"/>
    <w:rsid w:val="0033731C"/>
    <w:rsid w:val="003373D1"/>
    <w:rsid w:val="0033744C"/>
    <w:rsid w:val="00337454"/>
    <w:rsid w:val="003374FD"/>
    <w:rsid w:val="00337520"/>
    <w:rsid w:val="00337654"/>
    <w:rsid w:val="00337664"/>
    <w:rsid w:val="00337858"/>
    <w:rsid w:val="003379B4"/>
    <w:rsid w:val="00337ABC"/>
    <w:rsid w:val="00337E23"/>
    <w:rsid w:val="00340A33"/>
    <w:rsid w:val="00340E07"/>
    <w:rsid w:val="00340F57"/>
    <w:rsid w:val="00340FCC"/>
    <w:rsid w:val="0034130C"/>
    <w:rsid w:val="00341636"/>
    <w:rsid w:val="0034171F"/>
    <w:rsid w:val="00341756"/>
    <w:rsid w:val="003418CA"/>
    <w:rsid w:val="00341A40"/>
    <w:rsid w:val="00341ABD"/>
    <w:rsid w:val="00341CA2"/>
    <w:rsid w:val="00341EE3"/>
    <w:rsid w:val="003423FC"/>
    <w:rsid w:val="00342587"/>
    <w:rsid w:val="00342AE9"/>
    <w:rsid w:val="00342B5D"/>
    <w:rsid w:val="00342E04"/>
    <w:rsid w:val="003430C6"/>
    <w:rsid w:val="00343545"/>
    <w:rsid w:val="003435CB"/>
    <w:rsid w:val="00343940"/>
    <w:rsid w:val="00343DDA"/>
    <w:rsid w:val="003441C6"/>
    <w:rsid w:val="0034446B"/>
    <w:rsid w:val="00344575"/>
    <w:rsid w:val="003445C5"/>
    <w:rsid w:val="0034496D"/>
    <w:rsid w:val="00344D3B"/>
    <w:rsid w:val="00344DE2"/>
    <w:rsid w:val="00344EC8"/>
    <w:rsid w:val="00345105"/>
    <w:rsid w:val="00345154"/>
    <w:rsid w:val="0034525D"/>
    <w:rsid w:val="0034530A"/>
    <w:rsid w:val="0034535E"/>
    <w:rsid w:val="0034535F"/>
    <w:rsid w:val="003456F1"/>
    <w:rsid w:val="003457D4"/>
    <w:rsid w:val="0034586C"/>
    <w:rsid w:val="0034595F"/>
    <w:rsid w:val="00345ACD"/>
    <w:rsid w:val="00345B56"/>
    <w:rsid w:val="00346035"/>
    <w:rsid w:val="00346265"/>
    <w:rsid w:val="0034637D"/>
    <w:rsid w:val="00346477"/>
    <w:rsid w:val="00346544"/>
    <w:rsid w:val="00346A2F"/>
    <w:rsid w:val="00346DCA"/>
    <w:rsid w:val="00346F15"/>
    <w:rsid w:val="003477F0"/>
    <w:rsid w:val="00347802"/>
    <w:rsid w:val="00347E84"/>
    <w:rsid w:val="00350228"/>
    <w:rsid w:val="003506CE"/>
    <w:rsid w:val="003507BC"/>
    <w:rsid w:val="003508B5"/>
    <w:rsid w:val="00350A90"/>
    <w:rsid w:val="00350C39"/>
    <w:rsid w:val="00350D0E"/>
    <w:rsid w:val="00350F00"/>
    <w:rsid w:val="00350F30"/>
    <w:rsid w:val="00350F5C"/>
    <w:rsid w:val="003512E4"/>
    <w:rsid w:val="00351488"/>
    <w:rsid w:val="0035154F"/>
    <w:rsid w:val="00351562"/>
    <w:rsid w:val="003516FD"/>
    <w:rsid w:val="00351820"/>
    <w:rsid w:val="003519B3"/>
    <w:rsid w:val="00352571"/>
    <w:rsid w:val="003526C1"/>
    <w:rsid w:val="0035282F"/>
    <w:rsid w:val="00352945"/>
    <w:rsid w:val="00352A52"/>
    <w:rsid w:val="00352A67"/>
    <w:rsid w:val="00352C3A"/>
    <w:rsid w:val="00352D33"/>
    <w:rsid w:val="00352DA3"/>
    <w:rsid w:val="00352DC8"/>
    <w:rsid w:val="00352DD8"/>
    <w:rsid w:val="00352E6B"/>
    <w:rsid w:val="0035370F"/>
    <w:rsid w:val="0035383E"/>
    <w:rsid w:val="00353B65"/>
    <w:rsid w:val="00353BDA"/>
    <w:rsid w:val="00353CE5"/>
    <w:rsid w:val="00354038"/>
    <w:rsid w:val="00354174"/>
    <w:rsid w:val="0035424B"/>
    <w:rsid w:val="003543CD"/>
    <w:rsid w:val="0035470C"/>
    <w:rsid w:val="00354879"/>
    <w:rsid w:val="0035496A"/>
    <w:rsid w:val="003549AB"/>
    <w:rsid w:val="00355024"/>
    <w:rsid w:val="00355145"/>
    <w:rsid w:val="0035519D"/>
    <w:rsid w:val="003554B9"/>
    <w:rsid w:val="00355535"/>
    <w:rsid w:val="00355548"/>
    <w:rsid w:val="003557AB"/>
    <w:rsid w:val="00355991"/>
    <w:rsid w:val="00355B35"/>
    <w:rsid w:val="00355CD9"/>
    <w:rsid w:val="00355F2B"/>
    <w:rsid w:val="0035631F"/>
    <w:rsid w:val="003563A3"/>
    <w:rsid w:val="00356411"/>
    <w:rsid w:val="003568B0"/>
    <w:rsid w:val="00356AC9"/>
    <w:rsid w:val="00356B5C"/>
    <w:rsid w:val="00356D8D"/>
    <w:rsid w:val="0035705D"/>
    <w:rsid w:val="00357183"/>
    <w:rsid w:val="003573B2"/>
    <w:rsid w:val="00357408"/>
    <w:rsid w:val="00357424"/>
    <w:rsid w:val="00357821"/>
    <w:rsid w:val="00357914"/>
    <w:rsid w:val="00357971"/>
    <w:rsid w:val="003579EB"/>
    <w:rsid w:val="00357AFD"/>
    <w:rsid w:val="00357F44"/>
    <w:rsid w:val="00357FE3"/>
    <w:rsid w:val="00360079"/>
    <w:rsid w:val="00360295"/>
    <w:rsid w:val="003604D2"/>
    <w:rsid w:val="0036058B"/>
    <w:rsid w:val="00360668"/>
    <w:rsid w:val="00360894"/>
    <w:rsid w:val="00360895"/>
    <w:rsid w:val="00360A07"/>
    <w:rsid w:val="00360D65"/>
    <w:rsid w:val="0036102A"/>
    <w:rsid w:val="00361051"/>
    <w:rsid w:val="0036109C"/>
    <w:rsid w:val="00361543"/>
    <w:rsid w:val="003617C5"/>
    <w:rsid w:val="0036199B"/>
    <w:rsid w:val="00361A63"/>
    <w:rsid w:val="00361A76"/>
    <w:rsid w:val="00361BAC"/>
    <w:rsid w:val="00361BB2"/>
    <w:rsid w:val="00361D20"/>
    <w:rsid w:val="00361F99"/>
    <w:rsid w:val="0036218E"/>
    <w:rsid w:val="00362283"/>
    <w:rsid w:val="003625B3"/>
    <w:rsid w:val="003626E7"/>
    <w:rsid w:val="003628DC"/>
    <w:rsid w:val="00362976"/>
    <w:rsid w:val="00362AD8"/>
    <w:rsid w:val="00362CC8"/>
    <w:rsid w:val="00362CE1"/>
    <w:rsid w:val="003633A0"/>
    <w:rsid w:val="003638DD"/>
    <w:rsid w:val="00363BED"/>
    <w:rsid w:val="00363CDC"/>
    <w:rsid w:val="00363D38"/>
    <w:rsid w:val="00364366"/>
    <w:rsid w:val="003644B4"/>
    <w:rsid w:val="003647BC"/>
    <w:rsid w:val="00364AF0"/>
    <w:rsid w:val="00364B2F"/>
    <w:rsid w:val="00364D48"/>
    <w:rsid w:val="00364DB7"/>
    <w:rsid w:val="00364E3D"/>
    <w:rsid w:val="00364F87"/>
    <w:rsid w:val="00365399"/>
    <w:rsid w:val="00365457"/>
    <w:rsid w:val="0036548E"/>
    <w:rsid w:val="003654B6"/>
    <w:rsid w:val="0036563A"/>
    <w:rsid w:val="003658BD"/>
    <w:rsid w:val="00365A72"/>
    <w:rsid w:val="00365A8D"/>
    <w:rsid w:val="00365FE4"/>
    <w:rsid w:val="0036629B"/>
    <w:rsid w:val="0036633A"/>
    <w:rsid w:val="00366613"/>
    <w:rsid w:val="0036682E"/>
    <w:rsid w:val="003668F1"/>
    <w:rsid w:val="00366A18"/>
    <w:rsid w:val="00366BD5"/>
    <w:rsid w:val="003671B1"/>
    <w:rsid w:val="00367220"/>
    <w:rsid w:val="00367395"/>
    <w:rsid w:val="003674B0"/>
    <w:rsid w:val="0036760D"/>
    <w:rsid w:val="00367750"/>
    <w:rsid w:val="00367925"/>
    <w:rsid w:val="00367CAC"/>
    <w:rsid w:val="00367D86"/>
    <w:rsid w:val="00367EB7"/>
    <w:rsid w:val="00367FCC"/>
    <w:rsid w:val="00370042"/>
    <w:rsid w:val="00370054"/>
    <w:rsid w:val="003701B2"/>
    <w:rsid w:val="00370579"/>
    <w:rsid w:val="003708F3"/>
    <w:rsid w:val="00370AF2"/>
    <w:rsid w:val="00370B3C"/>
    <w:rsid w:val="00370D2A"/>
    <w:rsid w:val="00370E28"/>
    <w:rsid w:val="00370EEE"/>
    <w:rsid w:val="00371022"/>
    <w:rsid w:val="00371045"/>
    <w:rsid w:val="00371104"/>
    <w:rsid w:val="0037112A"/>
    <w:rsid w:val="003711A4"/>
    <w:rsid w:val="003714C4"/>
    <w:rsid w:val="003715DA"/>
    <w:rsid w:val="003718DE"/>
    <w:rsid w:val="00371984"/>
    <w:rsid w:val="00371DBB"/>
    <w:rsid w:val="00371E48"/>
    <w:rsid w:val="003723B1"/>
    <w:rsid w:val="0037249A"/>
    <w:rsid w:val="003726B6"/>
    <w:rsid w:val="003726EF"/>
    <w:rsid w:val="00372704"/>
    <w:rsid w:val="00372BFF"/>
    <w:rsid w:val="00372D55"/>
    <w:rsid w:val="00372E1D"/>
    <w:rsid w:val="003732EC"/>
    <w:rsid w:val="00373480"/>
    <w:rsid w:val="003738F4"/>
    <w:rsid w:val="00373963"/>
    <w:rsid w:val="00373E62"/>
    <w:rsid w:val="00373EB4"/>
    <w:rsid w:val="00373F1E"/>
    <w:rsid w:val="00373F4E"/>
    <w:rsid w:val="00374453"/>
    <w:rsid w:val="0037474F"/>
    <w:rsid w:val="00374778"/>
    <w:rsid w:val="0037479F"/>
    <w:rsid w:val="003747BE"/>
    <w:rsid w:val="00374803"/>
    <w:rsid w:val="00374807"/>
    <w:rsid w:val="003748E8"/>
    <w:rsid w:val="00374D5D"/>
    <w:rsid w:val="00374E2A"/>
    <w:rsid w:val="00375035"/>
    <w:rsid w:val="00375169"/>
    <w:rsid w:val="003752BC"/>
    <w:rsid w:val="003753E3"/>
    <w:rsid w:val="003759EF"/>
    <w:rsid w:val="00375B76"/>
    <w:rsid w:val="00375E99"/>
    <w:rsid w:val="00376293"/>
    <w:rsid w:val="00376301"/>
    <w:rsid w:val="00376724"/>
    <w:rsid w:val="00376FE5"/>
    <w:rsid w:val="0037711B"/>
    <w:rsid w:val="0037727C"/>
    <w:rsid w:val="0037756A"/>
    <w:rsid w:val="003776E6"/>
    <w:rsid w:val="00377725"/>
    <w:rsid w:val="00377760"/>
    <w:rsid w:val="00377849"/>
    <w:rsid w:val="00377A25"/>
    <w:rsid w:val="00380331"/>
    <w:rsid w:val="00380514"/>
    <w:rsid w:val="00380906"/>
    <w:rsid w:val="00380BF4"/>
    <w:rsid w:val="00380FA2"/>
    <w:rsid w:val="003811DF"/>
    <w:rsid w:val="003812CD"/>
    <w:rsid w:val="00381A56"/>
    <w:rsid w:val="00381FAE"/>
    <w:rsid w:val="003822E8"/>
    <w:rsid w:val="003823C6"/>
    <w:rsid w:val="0038277F"/>
    <w:rsid w:val="003827F1"/>
    <w:rsid w:val="00382808"/>
    <w:rsid w:val="003828F9"/>
    <w:rsid w:val="00382B26"/>
    <w:rsid w:val="00382DCF"/>
    <w:rsid w:val="00382FE3"/>
    <w:rsid w:val="00383100"/>
    <w:rsid w:val="003833FE"/>
    <w:rsid w:val="003834D6"/>
    <w:rsid w:val="0038353F"/>
    <w:rsid w:val="003838F4"/>
    <w:rsid w:val="00383B57"/>
    <w:rsid w:val="00383E99"/>
    <w:rsid w:val="003840C2"/>
    <w:rsid w:val="003845D0"/>
    <w:rsid w:val="00384B11"/>
    <w:rsid w:val="00384B50"/>
    <w:rsid w:val="00384B60"/>
    <w:rsid w:val="00384B99"/>
    <w:rsid w:val="00384BE0"/>
    <w:rsid w:val="00384E12"/>
    <w:rsid w:val="00384E92"/>
    <w:rsid w:val="00384F40"/>
    <w:rsid w:val="003851A2"/>
    <w:rsid w:val="00385AD2"/>
    <w:rsid w:val="00385DD8"/>
    <w:rsid w:val="00385F03"/>
    <w:rsid w:val="003860F7"/>
    <w:rsid w:val="00386111"/>
    <w:rsid w:val="00386342"/>
    <w:rsid w:val="0038665E"/>
    <w:rsid w:val="00386722"/>
    <w:rsid w:val="003867B2"/>
    <w:rsid w:val="00386B75"/>
    <w:rsid w:val="00386BCD"/>
    <w:rsid w:val="00386CD5"/>
    <w:rsid w:val="00386DBB"/>
    <w:rsid w:val="00386E07"/>
    <w:rsid w:val="003870D3"/>
    <w:rsid w:val="00387369"/>
    <w:rsid w:val="003873C9"/>
    <w:rsid w:val="0038756C"/>
    <w:rsid w:val="00387634"/>
    <w:rsid w:val="003876B8"/>
    <w:rsid w:val="00387A7F"/>
    <w:rsid w:val="00387F12"/>
    <w:rsid w:val="00390369"/>
    <w:rsid w:val="00390376"/>
    <w:rsid w:val="003904CD"/>
    <w:rsid w:val="0039050C"/>
    <w:rsid w:val="00390F5B"/>
    <w:rsid w:val="003915A2"/>
    <w:rsid w:val="003915FC"/>
    <w:rsid w:val="003917F2"/>
    <w:rsid w:val="003918A9"/>
    <w:rsid w:val="003918C7"/>
    <w:rsid w:val="00391AB4"/>
    <w:rsid w:val="00391BE8"/>
    <w:rsid w:val="00392320"/>
    <w:rsid w:val="003925E6"/>
    <w:rsid w:val="0039293D"/>
    <w:rsid w:val="0039296A"/>
    <w:rsid w:val="003929B9"/>
    <w:rsid w:val="00392A65"/>
    <w:rsid w:val="00392E4F"/>
    <w:rsid w:val="00392EEA"/>
    <w:rsid w:val="00392F47"/>
    <w:rsid w:val="00393197"/>
    <w:rsid w:val="00393707"/>
    <w:rsid w:val="003939C6"/>
    <w:rsid w:val="003939CA"/>
    <w:rsid w:val="00393C20"/>
    <w:rsid w:val="00394510"/>
    <w:rsid w:val="00394596"/>
    <w:rsid w:val="00394C7F"/>
    <w:rsid w:val="00394DFB"/>
    <w:rsid w:val="00394E63"/>
    <w:rsid w:val="00395109"/>
    <w:rsid w:val="00395176"/>
    <w:rsid w:val="00395555"/>
    <w:rsid w:val="00395754"/>
    <w:rsid w:val="003958E4"/>
    <w:rsid w:val="00395C02"/>
    <w:rsid w:val="00395C1B"/>
    <w:rsid w:val="00395C24"/>
    <w:rsid w:val="00395DD6"/>
    <w:rsid w:val="00395E43"/>
    <w:rsid w:val="00396198"/>
    <w:rsid w:val="003961F7"/>
    <w:rsid w:val="00396AD2"/>
    <w:rsid w:val="00396BEB"/>
    <w:rsid w:val="00396E9F"/>
    <w:rsid w:val="00397009"/>
    <w:rsid w:val="00397123"/>
    <w:rsid w:val="003972A2"/>
    <w:rsid w:val="00397A0F"/>
    <w:rsid w:val="00397BD4"/>
    <w:rsid w:val="00397C17"/>
    <w:rsid w:val="00397E57"/>
    <w:rsid w:val="00397E70"/>
    <w:rsid w:val="00397F87"/>
    <w:rsid w:val="00397FE5"/>
    <w:rsid w:val="003A0021"/>
    <w:rsid w:val="003A0145"/>
    <w:rsid w:val="003A021F"/>
    <w:rsid w:val="003A027B"/>
    <w:rsid w:val="003A0576"/>
    <w:rsid w:val="003A065B"/>
    <w:rsid w:val="003A0697"/>
    <w:rsid w:val="003A08DE"/>
    <w:rsid w:val="003A0B7C"/>
    <w:rsid w:val="003A0B7E"/>
    <w:rsid w:val="003A0BBA"/>
    <w:rsid w:val="003A0C03"/>
    <w:rsid w:val="003A0E52"/>
    <w:rsid w:val="003A1605"/>
    <w:rsid w:val="003A182F"/>
    <w:rsid w:val="003A1861"/>
    <w:rsid w:val="003A18EF"/>
    <w:rsid w:val="003A1986"/>
    <w:rsid w:val="003A1C6B"/>
    <w:rsid w:val="003A1D8A"/>
    <w:rsid w:val="003A1E49"/>
    <w:rsid w:val="003A1EEC"/>
    <w:rsid w:val="003A2043"/>
    <w:rsid w:val="003A224D"/>
    <w:rsid w:val="003A2CAE"/>
    <w:rsid w:val="003A2CD9"/>
    <w:rsid w:val="003A2E61"/>
    <w:rsid w:val="003A30B6"/>
    <w:rsid w:val="003A315E"/>
    <w:rsid w:val="003A325E"/>
    <w:rsid w:val="003A3426"/>
    <w:rsid w:val="003A35DA"/>
    <w:rsid w:val="003A362D"/>
    <w:rsid w:val="003A3ACA"/>
    <w:rsid w:val="003A3BE4"/>
    <w:rsid w:val="003A3D9E"/>
    <w:rsid w:val="003A3FE3"/>
    <w:rsid w:val="003A41D3"/>
    <w:rsid w:val="003A41F6"/>
    <w:rsid w:val="003A4337"/>
    <w:rsid w:val="003A441B"/>
    <w:rsid w:val="003A4583"/>
    <w:rsid w:val="003A4739"/>
    <w:rsid w:val="003A48F9"/>
    <w:rsid w:val="003A4B1B"/>
    <w:rsid w:val="003A4BDE"/>
    <w:rsid w:val="003A4E1D"/>
    <w:rsid w:val="003A4F74"/>
    <w:rsid w:val="003A4FA9"/>
    <w:rsid w:val="003A51F2"/>
    <w:rsid w:val="003A5287"/>
    <w:rsid w:val="003A566B"/>
    <w:rsid w:val="003A5688"/>
    <w:rsid w:val="003A570B"/>
    <w:rsid w:val="003A5B10"/>
    <w:rsid w:val="003A5C58"/>
    <w:rsid w:val="003A5D1E"/>
    <w:rsid w:val="003A5D83"/>
    <w:rsid w:val="003A5EBB"/>
    <w:rsid w:val="003A5FF1"/>
    <w:rsid w:val="003A602D"/>
    <w:rsid w:val="003A6072"/>
    <w:rsid w:val="003A612A"/>
    <w:rsid w:val="003A612E"/>
    <w:rsid w:val="003A626E"/>
    <w:rsid w:val="003A63F4"/>
    <w:rsid w:val="003A64A1"/>
    <w:rsid w:val="003A66EB"/>
    <w:rsid w:val="003A6759"/>
    <w:rsid w:val="003A67F7"/>
    <w:rsid w:val="003A6A8B"/>
    <w:rsid w:val="003A6C82"/>
    <w:rsid w:val="003A6D4A"/>
    <w:rsid w:val="003A6FFC"/>
    <w:rsid w:val="003A7176"/>
    <w:rsid w:val="003A72BB"/>
    <w:rsid w:val="003A75AB"/>
    <w:rsid w:val="003A7C98"/>
    <w:rsid w:val="003A7E9D"/>
    <w:rsid w:val="003B0115"/>
    <w:rsid w:val="003B0185"/>
    <w:rsid w:val="003B04E6"/>
    <w:rsid w:val="003B05F6"/>
    <w:rsid w:val="003B0CE0"/>
    <w:rsid w:val="003B1192"/>
    <w:rsid w:val="003B1389"/>
    <w:rsid w:val="003B14AE"/>
    <w:rsid w:val="003B15FC"/>
    <w:rsid w:val="003B17BE"/>
    <w:rsid w:val="003B19FF"/>
    <w:rsid w:val="003B1D2A"/>
    <w:rsid w:val="003B2202"/>
    <w:rsid w:val="003B23CE"/>
    <w:rsid w:val="003B252C"/>
    <w:rsid w:val="003B25E3"/>
    <w:rsid w:val="003B2859"/>
    <w:rsid w:val="003B2EC4"/>
    <w:rsid w:val="003B3737"/>
    <w:rsid w:val="003B382E"/>
    <w:rsid w:val="003B3AE9"/>
    <w:rsid w:val="003B3C74"/>
    <w:rsid w:val="003B3D3E"/>
    <w:rsid w:val="003B466F"/>
    <w:rsid w:val="003B47CA"/>
    <w:rsid w:val="003B4B82"/>
    <w:rsid w:val="003B4D56"/>
    <w:rsid w:val="003B4F43"/>
    <w:rsid w:val="003B5036"/>
    <w:rsid w:val="003B522C"/>
    <w:rsid w:val="003B559A"/>
    <w:rsid w:val="003B55C2"/>
    <w:rsid w:val="003B58FF"/>
    <w:rsid w:val="003B5A37"/>
    <w:rsid w:val="003B5D25"/>
    <w:rsid w:val="003B6059"/>
    <w:rsid w:val="003B60A2"/>
    <w:rsid w:val="003B60D3"/>
    <w:rsid w:val="003B622D"/>
    <w:rsid w:val="003B633C"/>
    <w:rsid w:val="003B633F"/>
    <w:rsid w:val="003B64D8"/>
    <w:rsid w:val="003B666B"/>
    <w:rsid w:val="003B68E1"/>
    <w:rsid w:val="003B69BF"/>
    <w:rsid w:val="003B6B31"/>
    <w:rsid w:val="003B6D3C"/>
    <w:rsid w:val="003B70C4"/>
    <w:rsid w:val="003B79B8"/>
    <w:rsid w:val="003B79C7"/>
    <w:rsid w:val="003B7A75"/>
    <w:rsid w:val="003B7BD2"/>
    <w:rsid w:val="003B7CB2"/>
    <w:rsid w:val="003B7EC0"/>
    <w:rsid w:val="003C00EB"/>
    <w:rsid w:val="003C0729"/>
    <w:rsid w:val="003C09BA"/>
    <w:rsid w:val="003C0A6C"/>
    <w:rsid w:val="003C10E8"/>
    <w:rsid w:val="003C1375"/>
    <w:rsid w:val="003C142E"/>
    <w:rsid w:val="003C168E"/>
    <w:rsid w:val="003C16BC"/>
    <w:rsid w:val="003C1732"/>
    <w:rsid w:val="003C1829"/>
    <w:rsid w:val="003C19B9"/>
    <w:rsid w:val="003C1CE8"/>
    <w:rsid w:val="003C1D5F"/>
    <w:rsid w:val="003C1D88"/>
    <w:rsid w:val="003C1E8E"/>
    <w:rsid w:val="003C1EC3"/>
    <w:rsid w:val="003C2004"/>
    <w:rsid w:val="003C210F"/>
    <w:rsid w:val="003C21C8"/>
    <w:rsid w:val="003C2573"/>
    <w:rsid w:val="003C28F9"/>
    <w:rsid w:val="003C296B"/>
    <w:rsid w:val="003C29F8"/>
    <w:rsid w:val="003C2B97"/>
    <w:rsid w:val="003C2BAF"/>
    <w:rsid w:val="003C2BBF"/>
    <w:rsid w:val="003C2D25"/>
    <w:rsid w:val="003C30FA"/>
    <w:rsid w:val="003C338C"/>
    <w:rsid w:val="003C3448"/>
    <w:rsid w:val="003C35E6"/>
    <w:rsid w:val="003C37E1"/>
    <w:rsid w:val="003C39B9"/>
    <w:rsid w:val="003C3A1D"/>
    <w:rsid w:val="003C3A5A"/>
    <w:rsid w:val="003C3AC2"/>
    <w:rsid w:val="003C3BFC"/>
    <w:rsid w:val="003C3CFD"/>
    <w:rsid w:val="003C3F59"/>
    <w:rsid w:val="003C4151"/>
    <w:rsid w:val="003C4297"/>
    <w:rsid w:val="003C43A4"/>
    <w:rsid w:val="003C43CA"/>
    <w:rsid w:val="003C4BBC"/>
    <w:rsid w:val="003C4C17"/>
    <w:rsid w:val="003C5526"/>
    <w:rsid w:val="003C59A7"/>
    <w:rsid w:val="003C5ED0"/>
    <w:rsid w:val="003C5FD2"/>
    <w:rsid w:val="003C5FD3"/>
    <w:rsid w:val="003C6352"/>
    <w:rsid w:val="003C6425"/>
    <w:rsid w:val="003C684E"/>
    <w:rsid w:val="003C6983"/>
    <w:rsid w:val="003C69EC"/>
    <w:rsid w:val="003C6ADE"/>
    <w:rsid w:val="003C6C4D"/>
    <w:rsid w:val="003C6D3B"/>
    <w:rsid w:val="003C6F50"/>
    <w:rsid w:val="003C7109"/>
    <w:rsid w:val="003C7143"/>
    <w:rsid w:val="003C7632"/>
    <w:rsid w:val="003C7736"/>
    <w:rsid w:val="003C7971"/>
    <w:rsid w:val="003C7A1C"/>
    <w:rsid w:val="003C7F16"/>
    <w:rsid w:val="003D00DC"/>
    <w:rsid w:val="003D06CF"/>
    <w:rsid w:val="003D09CF"/>
    <w:rsid w:val="003D0ABD"/>
    <w:rsid w:val="003D0AC2"/>
    <w:rsid w:val="003D0B95"/>
    <w:rsid w:val="003D0D67"/>
    <w:rsid w:val="003D10CE"/>
    <w:rsid w:val="003D16AF"/>
    <w:rsid w:val="003D1DA6"/>
    <w:rsid w:val="003D1F9C"/>
    <w:rsid w:val="003D1FC7"/>
    <w:rsid w:val="003D21DC"/>
    <w:rsid w:val="003D225A"/>
    <w:rsid w:val="003D24C4"/>
    <w:rsid w:val="003D25C0"/>
    <w:rsid w:val="003D28A8"/>
    <w:rsid w:val="003D2A97"/>
    <w:rsid w:val="003D2FF1"/>
    <w:rsid w:val="003D321C"/>
    <w:rsid w:val="003D32D0"/>
    <w:rsid w:val="003D3358"/>
    <w:rsid w:val="003D3626"/>
    <w:rsid w:val="003D38F8"/>
    <w:rsid w:val="003D3935"/>
    <w:rsid w:val="003D3C57"/>
    <w:rsid w:val="003D3D4D"/>
    <w:rsid w:val="003D3DC1"/>
    <w:rsid w:val="003D44BA"/>
    <w:rsid w:val="003D48E4"/>
    <w:rsid w:val="003D490C"/>
    <w:rsid w:val="003D49EC"/>
    <w:rsid w:val="003D4E1E"/>
    <w:rsid w:val="003D4E7B"/>
    <w:rsid w:val="003D5292"/>
    <w:rsid w:val="003D53B7"/>
    <w:rsid w:val="003D54D3"/>
    <w:rsid w:val="003D550F"/>
    <w:rsid w:val="003D55AB"/>
    <w:rsid w:val="003D5891"/>
    <w:rsid w:val="003D5ACA"/>
    <w:rsid w:val="003D5F52"/>
    <w:rsid w:val="003D6357"/>
    <w:rsid w:val="003D66EF"/>
    <w:rsid w:val="003D6791"/>
    <w:rsid w:val="003D6795"/>
    <w:rsid w:val="003D69FA"/>
    <w:rsid w:val="003D6A85"/>
    <w:rsid w:val="003D6AD5"/>
    <w:rsid w:val="003D6AF2"/>
    <w:rsid w:val="003D7097"/>
    <w:rsid w:val="003D74B2"/>
    <w:rsid w:val="003D7561"/>
    <w:rsid w:val="003D75FC"/>
    <w:rsid w:val="003D7812"/>
    <w:rsid w:val="003D78EB"/>
    <w:rsid w:val="003D7F5C"/>
    <w:rsid w:val="003E0016"/>
    <w:rsid w:val="003E0395"/>
    <w:rsid w:val="003E05BF"/>
    <w:rsid w:val="003E0645"/>
    <w:rsid w:val="003E08AD"/>
    <w:rsid w:val="003E0978"/>
    <w:rsid w:val="003E0B39"/>
    <w:rsid w:val="003E0DCE"/>
    <w:rsid w:val="003E0E1D"/>
    <w:rsid w:val="003E0ED6"/>
    <w:rsid w:val="003E1018"/>
    <w:rsid w:val="003E1485"/>
    <w:rsid w:val="003E162A"/>
    <w:rsid w:val="003E18BC"/>
    <w:rsid w:val="003E1A4E"/>
    <w:rsid w:val="003E1A95"/>
    <w:rsid w:val="003E1CD6"/>
    <w:rsid w:val="003E1CF6"/>
    <w:rsid w:val="003E20F4"/>
    <w:rsid w:val="003E2201"/>
    <w:rsid w:val="003E2651"/>
    <w:rsid w:val="003E27D1"/>
    <w:rsid w:val="003E2881"/>
    <w:rsid w:val="003E2889"/>
    <w:rsid w:val="003E2E0A"/>
    <w:rsid w:val="003E2E8F"/>
    <w:rsid w:val="003E2F86"/>
    <w:rsid w:val="003E2FAD"/>
    <w:rsid w:val="003E3090"/>
    <w:rsid w:val="003E3180"/>
    <w:rsid w:val="003E333A"/>
    <w:rsid w:val="003E3900"/>
    <w:rsid w:val="003E3A30"/>
    <w:rsid w:val="003E3A63"/>
    <w:rsid w:val="003E3B70"/>
    <w:rsid w:val="003E3B73"/>
    <w:rsid w:val="003E3BD0"/>
    <w:rsid w:val="003E3E04"/>
    <w:rsid w:val="003E3E8D"/>
    <w:rsid w:val="003E3F63"/>
    <w:rsid w:val="003E407E"/>
    <w:rsid w:val="003E41A1"/>
    <w:rsid w:val="003E439E"/>
    <w:rsid w:val="003E485E"/>
    <w:rsid w:val="003E4BF8"/>
    <w:rsid w:val="003E4CCA"/>
    <w:rsid w:val="003E4FB6"/>
    <w:rsid w:val="003E4FC5"/>
    <w:rsid w:val="003E4FD0"/>
    <w:rsid w:val="003E5149"/>
    <w:rsid w:val="003E537C"/>
    <w:rsid w:val="003E54CE"/>
    <w:rsid w:val="003E5697"/>
    <w:rsid w:val="003E579D"/>
    <w:rsid w:val="003E5845"/>
    <w:rsid w:val="003E5AD4"/>
    <w:rsid w:val="003E5CC6"/>
    <w:rsid w:val="003E5D10"/>
    <w:rsid w:val="003E5DE4"/>
    <w:rsid w:val="003E6AE1"/>
    <w:rsid w:val="003E6DF8"/>
    <w:rsid w:val="003E7119"/>
    <w:rsid w:val="003E711B"/>
    <w:rsid w:val="003E7364"/>
    <w:rsid w:val="003E76B2"/>
    <w:rsid w:val="003E76E2"/>
    <w:rsid w:val="003E7B3A"/>
    <w:rsid w:val="003E7D9C"/>
    <w:rsid w:val="003E7E49"/>
    <w:rsid w:val="003E7FA9"/>
    <w:rsid w:val="003E7FF4"/>
    <w:rsid w:val="003F00B9"/>
    <w:rsid w:val="003F043B"/>
    <w:rsid w:val="003F04CB"/>
    <w:rsid w:val="003F051A"/>
    <w:rsid w:val="003F0950"/>
    <w:rsid w:val="003F0CA3"/>
    <w:rsid w:val="003F0DDB"/>
    <w:rsid w:val="003F116C"/>
    <w:rsid w:val="003F11C5"/>
    <w:rsid w:val="003F138C"/>
    <w:rsid w:val="003F193A"/>
    <w:rsid w:val="003F19E0"/>
    <w:rsid w:val="003F1F3F"/>
    <w:rsid w:val="003F1FE4"/>
    <w:rsid w:val="003F1FED"/>
    <w:rsid w:val="003F219A"/>
    <w:rsid w:val="003F25D8"/>
    <w:rsid w:val="003F299A"/>
    <w:rsid w:val="003F2B47"/>
    <w:rsid w:val="003F2B60"/>
    <w:rsid w:val="003F2D8A"/>
    <w:rsid w:val="003F2D8F"/>
    <w:rsid w:val="003F2DA1"/>
    <w:rsid w:val="003F2EDC"/>
    <w:rsid w:val="003F300E"/>
    <w:rsid w:val="003F32BE"/>
    <w:rsid w:val="003F3C0B"/>
    <w:rsid w:val="003F3CC4"/>
    <w:rsid w:val="003F41E1"/>
    <w:rsid w:val="003F44D5"/>
    <w:rsid w:val="003F47AB"/>
    <w:rsid w:val="003F48E0"/>
    <w:rsid w:val="003F4A91"/>
    <w:rsid w:val="003F4E2F"/>
    <w:rsid w:val="003F51E9"/>
    <w:rsid w:val="003F52BF"/>
    <w:rsid w:val="003F54FF"/>
    <w:rsid w:val="003F55B3"/>
    <w:rsid w:val="003F584E"/>
    <w:rsid w:val="003F5EC5"/>
    <w:rsid w:val="003F5F58"/>
    <w:rsid w:val="003F61A6"/>
    <w:rsid w:val="003F62A0"/>
    <w:rsid w:val="003F62DC"/>
    <w:rsid w:val="003F6472"/>
    <w:rsid w:val="003F6723"/>
    <w:rsid w:val="003F6B16"/>
    <w:rsid w:val="003F6C7A"/>
    <w:rsid w:val="003F6E69"/>
    <w:rsid w:val="003F6F89"/>
    <w:rsid w:val="003F714B"/>
    <w:rsid w:val="003F71BD"/>
    <w:rsid w:val="003F77B1"/>
    <w:rsid w:val="003F7AC5"/>
    <w:rsid w:val="003F7E37"/>
    <w:rsid w:val="003F7F9A"/>
    <w:rsid w:val="004001D4"/>
    <w:rsid w:val="004001E5"/>
    <w:rsid w:val="0040026F"/>
    <w:rsid w:val="00400776"/>
    <w:rsid w:val="00400D53"/>
    <w:rsid w:val="00400F4D"/>
    <w:rsid w:val="00401597"/>
    <w:rsid w:val="00401874"/>
    <w:rsid w:val="004018CE"/>
    <w:rsid w:val="00401956"/>
    <w:rsid w:val="00401C3E"/>
    <w:rsid w:val="00401DC9"/>
    <w:rsid w:val="004021B0"/>
    <w:rsid w:val="0040237A"/>
    <w:rsid w:val="004027D4"/>
    <w:rsid w:val="00402962"/>
    <w:rsid w:val="00402BAE"/>
    <w:rsid w:val="00402E32"/>
    <w:rsid w:val="00403786"/>
    <w:rsid w:val="00403B7A"/>
    <w:rsid w:val="00403BCA"/>
    <w:rsid w:val="00403F9E"/>
    <w:rsid w:val="00403FED"/>
    <w:rsid w:val="004041C1"/>
    <w:rsid w:val="004041E1"/>
    <w:rsid w:val="0040439F"/>
    <w:rsid w:val="00404493"/>
    <w:rsid w:val="004045A5"/>
    <w:rsid w:val="004046AD"/>
    <w:rsid w:val="00404728"/>
    <w:rsid w:val="004048E5"/>
    <w:rsid w:val="00404916"/>
    <w:rsid w:val="004049B8"/>
    <w:rsid w:val="00404A0E"/>
    <w:rsid w:val="00404A5B"/>
    <w:rsid w:val="00404CAB"/>
    <w:rsid w:val="004051ED"/>
    <w:rsid w:val="00405207"/>
    <w:rsid w:val="0040525D"/>
    <w:rsid w:val="00405276"/>
    <w:rsid w:val="00405356"/>
    <w:rsid w:val="0040536C"/>
    <w:rsid w:val="00405496"/>
    <w:rsid w:val="004054C9"/>
    <w:rsid w:val="0040553C"/>
    <w:rsid w:val="00405593"/>
    <w:rsid w:val="00405623"/>
    <w:rsid w:val="00405699"/>
    <w:rsid w:val="004056A2"/>
    <w:rsid w:val="0040589E"/>
    <w:rsid w:val="00405A48"/>
    <w:rsid w:val="00405C3B"/>
    <w:rsid w:val="00405E56"/>
    <w:rsid w:val="00405E90"/>
    <w:rsid w:val="00405E9D"/>
    <w:rsid w:val="00405EDB"/>
    <w:rsid w:val="00405F9F"/>
    <w:rsid w:val="0040613B"/>
    <w:rsid w:val="004061DE"/>
    <w:rsid w:val="004063DA"/>
    <w:rsid w:val="004064BB"/>
    <w:rsid w:val="0040666E"/>
    <w:rsid w:val="00406CDD"/>
    <w:rsid w:val="00406CEE"/>
    <w:rsid w:val="00406F78"/>
    <w:rsid w:val="004072AD"/>
    <w:rsid w:val="004074B4"/>
    <w:rsid w:val="00407797"/>
    <w:rsid w:val="004079DA"/>
    <w:rsid w:val="00407BE6"/>
    <w:rsid w:val="00407D68"/>
    <w:rsid w:val="004100CF"/>
    <w:rsid w:val="00410444"/>
    <w:rsid w:val="0041053A"/>
    <w:rsid w:val="00410640"/>
    <w:rsid w:val="004109EE"/>
    <w:rsid w:val="00410C0A"/>
    <w:rsid w:val="00410E3D"/>
    <w:rsid w:val="00410F5D"/>
    <w:rsid w:val="004111B9"/>
    <w:rsid w:val="00411794"/>
    <w:rsid w:val="00411A21"/>
    <w:rsid w:val="00411EFE"/>
    <w:rsid w:val="00412181"/>
    <w:rsid w:val="00412227"/>
    <w:rsid w:val="00412234"/>
    <w:rsid w:val="0041232C"/>
    <w:rsid w:val="0041242D"/>
    <w:rsid w:val="0041252A"/>
    <w:rsid w:val="004126D9"/>
    <w:rsid w:val="004128A1"/>
    <w:rsid w:val="00412A12"/>
    <w:rsid w:val="0041316F"/>
    <w:rsid w:val="0041319E"/>
    <w:rsid w:val="00413336"/>
    <w:rsid w:val="004134FB"/>
    <w:rsid w:val="00413600"/>
    <w:rsid w:val="004136AD"/>
    <w:rsid w:val="00413961"/>
    <w:rsid w:val="00413EF0"/>
    <w:rsid w:val="00414067"/>
    <w:rsid w:val="004142F9"/>
    <w:rsid w:val="00414B55"/>
    <w:rsid w:val="00414DF2"/>
    <w:rsid w:val="00414F8D"/>
    <w:rsid w:val="00414FFA"/>
    <w:rsid w:val="0041515C"/>
    <w:rsid w:val="00415249"/>
    <w:rsid w:val="004157FC"/>
    <w:rsid w:val="0041586E"/>
    <w:rsid w:val="00415932"/>
    <w:rsid w:val="00415A61"/>
    <w:rsid w:val="00415B06"/>
    <w:rsid w:val="00415D38"/>
    <w:rsid w:val="00415E11"/>
    <w:rsid w:val="00415E7B"/>
    <w:rsid w:val="00415F2F"/>
    <w:rsid w:val="0041620A"/>
    <w:rsid w:val="0041674A"/>
    <w:rsid w:val="004167DD"/>
    <w:rsid w:val="004167E0"/>
    <w:rsid w:val="004168FA"/>
    <w:rsid w:val="00416986"/>
    <w:rsid w:val="00416AF9"/>
    <w:rsid w:val="00416B25"/>
    <w:rsid w:val="00417401"/>
    <w:rsid w:val="00417641"/>
    <w:rsid w:val="004179AF"/>
    <w:rsid w:val="004179B9"/>
    <w:rsid w:val="00417DD3"/>
    <w:rsid w:val="00417E18"/>
    <w:rsid w:val="00417F58"/>
    <w:rsid w:val="0042060E"/>
    <w:rsid w:val="00420A15"/>
    <w:rsid w:val="00420E4A"/>
    <w:rsid w:val="00421119"/>
    <w:rsid w:val="0042112A"/>
    <w:rsid w:val="004212C9"/>
    <w:rsid w:val="004214B5"/>
    <w:rsid w:val="0042159A"/>
    <w:rsid w:val="004218A7"/>
    <w:rsid w:val="00421956"/>
    <w:rsid w:val="00421CC6"/>
    <w:rsid w:val="00421E91"/>
    <w:rsid w:val="00421E9D"/>
    <w:rsid w:val="00421EBD"/>
    <w:rsid w:val="00421FED"/>
    <w:rsid w:val="00422439"/>
    <w:rsid w:val="0042265D"/>
    <w:rsid w:val="004226A0"/>
    <w:rsid w:val="00422A42"/>
    <w:rsid w:val="00422E41"/>
    <w:rsid w:val="00422E51"/>
    <w:rsid w:val="00422FA1"/>
    <w:rsid w:val="00422FC1"/>
    <w:rsid w:val="00422FE3"/>
    <w:rsid w:val="0042306F"/>
    <w:rsid w:val="00423585"/>
    <w:rsid w:val="00423696"/>
    <w:rsid w:val="00423723"/>
    <w:rsid w:val="004238DC"/>
    <w:rsid w:val="00423B09"/>
    <w:rsid w:val="00423C97"/>
    <w:rsid w:val="00423CF8"/>
    <w:rsid w:val="00424288"/>
    <w:rsid w:val="00424786"/>
    <w:rsid w:val="00424873"/>
    <w:rsid w:val="00424ACD"/>
    <w:rsid w:val="00424B30"/>
    <w:rsid w:val="00424CDC"/>
    <w:rsid w:val="00424D58"/>
    <w:rsid w:val="00424E4F"/>
    <w:rsid w:val="004253CD"/>
    <w:rsid w:val="004259DE"/>
    <w:rsid w:val="00425D05"/>
    <w:rsid w:val="00425E51"/>
    <w:rsid w:val="00425F0A"/>
    <w:rsid w:val="00426382"/>
    <w:rsid w:val="004267F6"/>
    <w:rsid w:val="00426999"/>
    <w:rsid w:val="00426A96"/>
    <w:rsid w:val="00426B6D"/>
    <w:rsid w:val="00426D11"/>
    <w:rsid w:val="00426ED6"/>
    <w:rsid w:val="00426F3B"/>
    <w:rsid w:val="00426F8B"/>
    <w:rsid w:val="0042710D"/>
    <w:rsid w:val="00427416"/>
    <w:rsid w:val="0042747D"/>
    <w:rsid w:val="00427634"/>
    <w:rsid w:val="00427651"/>
    <w:rsid w:val="004277B1"/>
    <w:rsid w:val="004278C7"/>
    <w:rsid w:val="00427ABB"/>
    <w:rsid w:val="00427CD8"/>
    <w:rsid w:val="0043006B"/>
    <w:rsid w:val="0043045F"/>
    <w:rsid w:val="004305C1"/>
    <w:rsid w:val="004307D7"/>
    <w:rsid w:val="00430B24"/>
    <w:rsid w:val="00430DA3"/>
    <w:rsid w:val="004311CA"/>
    <w:rsid w:val="004313B4"/>
    <w:rsid w:val="00431608"/>
    <w:rsid w:val="00431722"/>
    <w:rsid w:val="00431829"/>
    <w:rsid w:val="0043193D"/>
    <w:rsid w:val="00432040"/>
    <w:rsid w:val="00432069"/>
    <w:rsid w:val="004321CF"/>
    <w:rsid w:val="0043256C"/>
    <w:rsid w:val="004325FC"/>
    <w:rsid w:val="00432615"/>
    <w:rsid w:val="004326C0"/>
    <w:rsid w:val="004327EB"/>
    <w:rsid w:val="00432887"/>
    <w:rsid w:val="004328B9"/>
    <w:rsid w:val="0043307F"/>
    <w:rsid w:val="0043326E"/>
    <w:rsid w:val="004332C8"/>
    <w:rsid w:val="004332E1"/>
    <w:rsid w:val="004333F9"/>
    <w:rsid w:val="00433A8A"/>
    <w:rsid w:val="00433A8B"/>
    <w:rsid w:val="00433ACD"/>
    <w:rsid w:val="00433C94"/>
    <w:rsid w:val="004344E0"/>
    <w:rsid w:val="00434646"/>
    <w:rsid w:val="004349CF"/>
    <w:rsid w:val="004349EF"/>
    <w:rsid w:val="00434A05"/>
    <w:rsid w:val="00434F1D"/>
    <w:rsid w:val="00434FBF"/>
    <w:rsid w:val="004351FE"/>
    <w:rsid w:val="00435278"/>
    <w:rsid w:val="004352CA"/>
    <w:rsid w:val="004356CD"/>
    <w:rsid w:val="00435742"/>
    <w:rsid w:val="00435E2F"/>
    <w:rsid w:val="00435E3F"/>
    <w:rsid w:val="00435E9A"/>
    <w:rsid w:val="00435F63"/>
    <w:rsid w:val="00436490"/>
    <w:rsid w:val="00436630"/>
    <w:rsid w:val="004366B6"/>
    <w:rsid w:val="00436E52"/>
    <w:rsid w:val="00436F17"/>
    <w:rsid w:val="00436F4C"/>
    <w:rsid w:val="0043724D"/>
    <w:rsid w:val="00437297"/>
    <w:rsid w:val="00437843"/>
    <w:rsid w:val="0043793C"/>
    <w:rsid w:val="004379C8"/>
    <w:rsid w:val="00437D2B"/>
    <w:rsid w:val="00437E8A"/>
    <w:rsid w:val="004400AC"/>
    <w:rsid w:val="004402CA"/>
    <w:rsid w:val="004403E5"/>
    <w:rsid w:val="00440598"/>
    <w:rsid w:val="0044063E"/>
    <w:rsid w:val="00440B7C"/>
    <w:rsid w:val="00440DE8"/>
    <w:rsid w:val="00440F32"/>
    <w:rsid w:val="004411AE"/>
    <w:rsid w:val="00441418"/>
    <w:rsid w:val="004415F6"/>
    <w:rsid w:val="00441782"/>
    <w:rsid w:val="00441B54"/>
    <w:rsid w:val="00441CE1"/>
    <w:rsid w:val="00441DC6"/>
    <w:rsid w:val="00441FFF"/>
    <w:rsid w:val="00442017"/>
    <w:rsid w:val="004420A6"/>
    <w:rsid w:val="0044227D"/>
    <w:rsid w:val="004424DF"/>
    <w:rsid w:val="0044251D"/>
    <w:rsid w:val="004428DD"/>
    <w:rsid w:val="00442EA0"/>
    <w:rsid w:val="00442EBF"/>
    <w:rsid w:val="004430E7"/>
    <w:rsid w:val="00443170"/>
    <w:rsid w:val="0044318B"/>
    <w:rsid w:val="0044336D"/>
    <w:rsid w:val="004433A1"/>
    <w:rsid w:val="004434B1"/>
    <w:rsid w:val="004435F3"/>
    <w:rsid w:val="00443857"/>
    <w:rsid w:val="0044387A"/>
    <w:rsid w:val="004439C1"/>
    <w:rsid w:val="00443BEA"/>
    <w:rsid w:val="00443D8A"/>
    <w:rsid w:val="00443F8B"/>
    <w:rsid w:val="00444127"/>
    <w:rsid w:val="004442A8"/>
    <w:rsid w:val="00444304"/>
    <w:rsid w:val="00444505"/>
    <w:rsid w:val="00444997"/>
    <w:rsid w:val="004449CF"/>
    <w:rsid w:val="00444A9F"/>
    <w:rsid w:val="00444F1F"/>
    <w:rsid w:val="0044521F"/>
    <w:rsid w:val="004455B2"/>
    <w:rsid w:val="004456A9"/>
    <w:rsid w:val="004458DC"/>
    <w:rsid w:val="00445B21"/>
    <w:rsid w:val="00445BC6"/>
    <w:rsid w:val="00445CA7"/>
    <w:rsid w:val="00445EB9"/>
    <w:rsid w:val="00445F1B"/>
    <w:rsid w:val="00445F43"/>
    <w:rsid w:val="00446150"/>
    <w:rsid w:val="00446270"/>
    <w:rsid w:val="004464D9"/>
    <w:rsid w:val="004469AB"/>
    <w:rsid w:val="00446CB2"/>
    <w:rsid w:val="00446CBF"/>
    <w:rsid w:val="004474FE"/>
    <w:rsid w:val="00447660"/>
    <w:rsid w:val="004476DE"/>
    <w:rsid w:val="004476E3"/>
    <w:rsid w:val="004477F2"/>
    <w:rsid w:val="004479CB"/>
    <w:rsid w:val="00447A7B"/>
    <w:rsid w:val="00447B24"/>
    <w:rsid w:val="00447E65"/>
    <w:rsid w:val="00447E85"/>
    <w:rsid w:val="00447EBD"/>
    <w:rsid w:val="00447F33"/>
    <w:rsid w:val="0045028B"/>
    <w:rsid w:val="004502AE"/>
    <w:rsid w:val="004503EC"/>
    <w:rsid w:val="00450799"/>
    <w:rsid w:val="004507E4"/>
    <w:rsid w:val="0045089B"/>
    <w:rsid w:val="0045095C"/>
    <w:rsid w:val="00450A05"/>
    <w:rsid w:val="00450AD4"/>
    <w:rsid w:val="00450AE0"/>
    <w:rsid w:val="00450CEC"/>
    <w:rsid w:val="00450DBD"/>
    <w:rsid w:val="00450E13"/>
    <w:rsid w:val="00450E2F"/>
    <w:rsid w:val="00451053"/>
    <w:rsid w:val="0045131C"/>
    <w:rsid w:val="0045137B"/>
    <w:rsid w:val="00451398"/>
    <w:rsid w:val="004513EB"/>
    <w:rsid w:val="00451729"/>
    <w:rsid w:val="004519C6"/>
    <w:rsid w:val="00451AD2"/>
    <w:rsid w:val="00451E58"/>
    <w:rsid w:val="00451FAD"/>
    <w:rsid w:val="004520E7"/>
    <w:rsid w:val="004521EE"/>
    <w:rsid w:val="0045220F"/>
    <w:rsid w:val="00452232"/>
    <w:rsid w:val="00452781"/>
    <w:rsid w:val="004527CC"/>
    <w:rsid w:val="00452825"/>
    <w:rsid w:val="004529F7"/>
    <w:rsid w:val="00452DBD"/>
    <w:rsid w:val="00452F5B"/>
    <w:rsid w:val="0045342E"/>
    <w:rsid w:val="004535E1"/>
    <w:rsid w:val="004536C0"/>
    <w:rsid w:val="00453715"/>
    <w:rsid w:val="00453837"/>
    <w:rsid w:val="00453875"/>
    <w:rsid w:val="00453BCF"/>
    <w:rsid w:val="00454258"/>
    <w:rsid w:val="00454365"/>
    <w:rsid w:val="0045447B"/>
    <w:rsid w:val="004544D4"/>
    <w:rsid w:val="004545C0"/>
    <w:rsid w:val="004548A4"/>
    <w:rsid w:val="00454A5A"/>
    <w:rsid w:val="00454B7D"/>
    <w:rsid w:val="00454BD1"/>
    <w:rsid w:val="00454EA0"/>
    <w:rsid w:val="004552CF"/>
    <w:rsid w:val="0045533A"/>
    <w:rsid w:val="0045548A"/>
    <w:rsid w:val="0045580B"/>
    <w:rsid w:val="00455B8C"/>
    <w:rsid w:val="00455C41"/>
    <w:rsid w:val="00455DCF"/>
    <w:rsid w:val="004561BC"/>
    <w:rsid w:val="0045622A"/>
    <w:rsid w:val="004562BB"/>
    <w:rsid w:val="0045694A"/>
    <w:rsid w:val="00457277"/>
    <w:rsid w:val="004572A5"/>
    <w:rsid w:val="004573C7"/>
    <w:rsid w:val="00457636"/>
    <w:rsid w:val="00457C36"/>
    <w:rsid w:val="00457E15"/>
    <w:rsid w:val="00457F42"/>
    <w:rsid w:val="00457F76"/>
    <w:rsid w:val="0046030E"/>
    <w:rsid w:val="00460504"/>
    <w:rsid w:val="00460668"/>
    <w:rsid w:val="00460AB3"/>
    <w:rsid w:val="00461171"/>
    <w:rsid w:val="00461261"/>
    <w:rsid w:val="004613CF"/>
    <w:rsid w:val="00461526"/>
    <w:rsid w:val="004615E1"/>
    <w:rsid w:val="00461B71"/>
    <w:rsid w:val="00461C35"/>
    <w:rsid w:val="00461F0F"/>
    <w:rsid w:val="0046208D"/>
    <w:rsid w:val="00462115"/>
    <w:rsid w:val="004621DA"/>
    <w:rsid w:val="00462293"/>
    <w:rsid w:val="00462351"/>
    <w:rsid w:val="0046250B"/>
    <w:rsid w:val="00462875"/>
    <w:rsid w:val="004628AA"/>
    <w:rsid w:val="0046294C"/>
    <w:rsid w:val="00462BA9"/>
    <w:rsid w:val="00462F45"/>
    <w:rsid w:val="0046302F"/>
    <w:rsid w:val="00463129"/>
    <w:rsid w:val="0046330B"/>
    <w:rsid w:val="00464192"/>
    <w:rsid w:val="004641EA"/>
    <w:rsid w:val="004642A6"/>
    <w:rsid w:val="004644F1"/>
    <w:rsid w:val="00464986"/>
    <w:rsid w:val="00464E5D"/>
    <w:rsid w:val="00464EE2"/>
    <w:rsid w:val="004650DC"/>
    <w:rsid w:val="0046529C"/>
    <w:rsid w:val="0046564A"/>
    <w:rsid w:val="004656C3"/>
    <w:rsid w:val="00465828"/>
    <w:rsid w:val="00465CA6"/>
    <w:rsid w:val="00465F11"/>
    <w:rsid w:val="0046606D"/>
    <w:rsid w:val="0046620A"/>
    <w:rsid w:val="004662D9"/>
    <w:rsid w:val="00466396"/>
    <w:rsid w:val="00466597"/>
    <w:rsid w:val="004666C3"/>
    <w:rsid w:val="0046691D"/>
    <w:rsid w:val="00466936"/>
    <w:rsid w:val="00466D66"/>
    <w:rsid w:val="00466F11"/>
    <w:rsid w:val="0046708C"/>
    <w:rsid w:val="004672DD"/>
    <w:rsid w:val="00467407"/>
    <w:rsid w:val="004675BB"/>
    <w:rsid w:val="00467656"/>
    <w:rsid w:val="00467661"/>
    <w:rsid w:val="0046787F"/>
    <w:rsid w:val="004678C7"/>
    <w:rsid w:val="00467A2A"/>
    <w:rsid w:val="00467CAD"/>
    <w:rsid w:val="00467CB5"/>
    <w:rsid w:val="00467E2D"/>
    <w:rsid w:val="0047020C"/>
    <w:rsid w:val="00470381"/>
    <w:rsid w:val="004707B3"/>
    <w:rsid w:val="00470A0A"/>
    <w:rsid w:val="00470D3E"/>
    <w:rsid w:val="00471015"/>
    <w:rsid w:val="0047128A"/>
    <w:rsid w:val="004715B6"/>
    <w:rsid w:val="004718A7"/>
    <w:rsid w:val="004718D9"/>
    <w:rsid w:val="00471AF6"/>
    <w:rsid w:val="00471C67"/>
    <w:rsid w:val="00471CCD"/>
    <w:rsid w:val="00471F35"/>
    <w:rsid w:val="00471FAA"/>
    <w:rsid w:val="00472122"/>
    <w:rsid w:val="0047215E"/>
    <w:rsid w:val="00472252"/>
    <w:rsid w:val="004727A2"/>
    <w:rsid w:val="004727AC"/>
    <w:rsid w:val="00472B6A"/>
    <w:rsid w:val="00472BEC"/>
    <w:rsid w:val="00473150"/>
    <w:rsid w:val="004731BD"/>
    <w:rsid w:val="0047320B"/>
    <w:rsid w:val="004732D8"/>
    <w:rsid w:val="00473319"/>
    <w:rsid w:val="0047368E"/>
    <w:rsid w:val="0047379D"/>
    <w:rsid w:val="0047408C"/>
    <w:rsid w:val="00474213"/>
    <w:rsid w:val="00474327"/>
    <w:rsid w:val="00474437"/>
    <w:rsid w:val="004745E4"/>
    <w:rsid w:val="00474685"/>
    <w:rsid w:val="00474750"/>
    <w:rsid w:val="004748A4"/>
    <w:rsid w:val="004748A9"/>
    <w:rsid w:val="00474AFF"/>
    <w:rsid w:val="00474CFC"/>
    <w:rsid w:val="00474DA6"/>
    <w:rsid w:val="00474DFB"/>
    <w:rsid w:val="00474F07"/>
    <w:rsid w:val="0047502C"/>
    <w:rsid w:val="00475128"/>
    <w:rsid w:val="00475258"/>
    <w:rsid w:val="004752D9"/>
    <w:rsid w:val="004753EE"/>
    <w:rsid w:val="0047551A"/>
    <w:rsid w:val="004757E2"/>
    <w:rsid w:val="00475840"/>
    <w:rsid w:val="00475942"/>
    <w:rsid w:val="0047596D"/>
    <w:rsid w:val="004759C1"/>
    <w:rsid w:val="00475F21"/>
    <w:rsid w:val="00476009"/>
    <w:rsid w:val="00476745"/>
    <w:rsid w:val="0047685E"/>
    <w:rsid w:val="00476889"/>
    <w:rsid w:val="00476A3A"/>
    <w:rsid w:val="00476A78"/>
    <w:rsid w:val="00476BC6"/>
    <w:rsid w:val="004771B2"/>
    <w:rsid w:val="00477355"/>
    <w:rsid w:val="0047757D"/>
    <w:rsid w:val="00477B9D"/>
    <w:rsid w:val="00477C7C"/>
    <w:rsid w:val="00480397"/>
    <w:rsid w:val="00480413"/>
    <w:rsid w:val="004804D6"/>
    <w:rsid w:val="0048053B"/>
    <w:rsid w:val="00480616"/>
    <w:rsid w:val="004806B7"/>
    <w:rsid w:val="004806FB"/>
    <w:rsid w:val="0048074D"/>
    <w:rsid w:val="0048095C"/>
    <w:rsid w:val="00480BED"/>
    <w:rsid w:val="00480CDF"/>
    <w:rsid w:val="00480D68"/>
    <w:rsid w:val="00480F4D"/>
    <w:rsid w:val="004811B7"/>
    <w:rsid w:val="00481211"/>
    <w:rsid w:val="004815B7"/>
    <w:rsid w:val="00481750"/>
    <w:rsid w:val="00481983"/>
    <w:rsid w:val="004820D2"/>
    <w:rsid w:val="00482165"/>
    <w:rsid w:val="0048219D"/>
    <w:rsid w:val="00482228"/>
    <w:rsid w:val="004822CC"/>
    <w:rsid w:val="00482586"/>
    <w:rsid w:val="00482678"/>
    <w:rsid w:val="0048282B"/>
    <w:rsid w:val="00482896"/>
    <w:rsid w:val="004829CA"/>
    <w:rsid w:val="00482AF4"/>
    <w:rsid w:val="00482C17"/>
    <w:rsid w:val="00482C97"/>
    <w:rsid w:val="00482FA7"/>
    <w:rsid w:val="0048340D"/>
    <w:rsid w:val="0048342F"/>
    <w:rsid w:val="004834B5"/>
    <w:rsid w:val="0048364E"/>
    <w:rsid w:val="004836A5"/>
    <w:rsid w:val="00483777"/>
    <w:rsid w:val="0048377C"/>
    <w:rsid w:val="004837AE"/>
    <w:rsid w:val="004839BE"/>
    <w:rsid w:val="00483A09"/>
    <w:rsid w:val="00483AE9"/>
    <w:rsid w:val="00483E2F"/>
    <w:rsid w:val="00483E7F"/>
    <w:rsid w:val="00484724"/>
    <w:rsid w:val="0048487D"/>
    <w:rsid w:val="004849EA"/>
    <w:rsid w:val="00484A9B"/>
    <w:rsid w:val="00484AF8"/>
    <w:rsid w:val="00484BE7"/>
    <w:rsid w:val="0048503E"/>
    <w:rsid w:val="004850A3"/>
    <w:rsid w:val="004851D4"/>
    <w:rsid w:val="0048527A"/>
    <w:rsid w:val="004852B6"/>
    <w:rsid w:val="0048547F"/>
    <w:rsid w:val="00485584"/>
    <w:rsid w:val="00485794"/>
    <w:rsid w:val="00485C5D"/>
    <w:rsid w:val="00485D8D"/>
    <w:rsid w:val="00485E95"/>
    <w:rsid w:val="0048644C"/>
    <w:rsid w:val="0048655B"/>
    <w:rsid w:val="004866C2"/>
    <w:rsid w:val="00486964"/>
    <w:rsid w:val="00486B53"/>
    <w:rsid w:val="00486C3C"/>
    <w:rsid w:val="00486E88"/>
    <w:rsid w:val="00486E9D"/>
    <w:rsid w:val="00486EBA"/>
    <w:rsid w:val="00486F17"/>
    <w:rsid w:val="0048722B"/>
    <w:rsid w:val="0048726E"/>
    <w:rsid w:val="0048736E"/>
    <w:rsid w:val="004877D0"/>
    <w:rsid w:val="0048783A"/>
    <w:rsid w:val="00487C9E"/>
    <w:rsid w:val="0049018C"/>
    <w:rsid w:val="00490190"/>
    <w:rsid w:val="00490213"/>
    <w:rsid w:val="0049070D"/>
    <w:rsid w:val="0049082B"/>
    <w:rsid w:val="0049089E"/>
    <w:rsid w:val="00490DB0"/>
    <w:rsid w:val="00491381"/>
    <w:rsid w:val="0049139D"/>
    <w:rsid w:val="004916C6"/>
    <w:rsid w:val="0049181F"/>
    <w:rsid w:val="00491C49"/>
    <w:rsid w:val="00491ECF"/>
    <w:rsid w:val="004920F8"/>
    <w:rsid w:val="0049210D"/>
    <w:rsid w:val="004922D2"/>
    <w:rsid w:val="004923D7"/>
    <w:rsid w:val="0049276C"/>
    <w:rsid w:val="00492780"/>
    <w:rsid w:val="00492981"/>
    <w:rsid w:val="00492BD4"/>
    <w:rsid w:val="00492CAD"/>
    <w:rsid w:val="00492E40"/>
    <w:rsid w:val="00492FBA"/>
    <w:rsid w:val="004930E9"/>
    <w:rsid w:val="0049323A"/>
    <w:rsid w:val="00493304"/>
    <w:rsid w:val="004935D9"/>
    <w:rsid w:val="00493955"/>
    <w:rsid w:val="00493B46"/>
    <w:rsid w:val="00493D65"/>
    <w:rsid w:val="00493EB8"/>
    <w:rsid w:val="004942C3"/>
    <w:rsid w:val="00494445"/>
    <w:rsid w:val="00494624"/>
    <w:rsid w:val="004949C3"/>
    <w:rsid w:val="00494DBC"/>
    <w:rsid w:val="00494F0B"/>
    <w:rsid w:val="00494F4E"/>
    <w:rsid w:val="00494FB0"/>
    <w:rsid w:val="00494FD2"/>
    <w:rsid w:val="004951D9"/>
    <w:rsid w:val="004955DD"/>
    <w:rsid w:val="0049565D"/>
    <w:rsid w:val="00495956"/>
    <w:rsid w:val="00495A1D"/>
    <w:rsid w:val="00495AE4"/>
    <w:rsid w:val="00495EB4"/>
    <w:rsid w:val="004960B5"/>
    <w:rsid w:val="00496270"/>
    <w:rsid w:val="00496390"/>
    <w:rsid w:val="004965E2"/>
    <w:rsid w:val="00496609"/>
    <w:rsid w:val="004968A5"/>
    <w:rsid w:val="00496A87"/>
    <w:rsid w:val="00496C73"/>
    <w:rsid w:val="00496E5C"/>
    <w:rsid w:val="00497038"/>
    <w:rsid w:val="00497090"/>
    <w:rsid w:val="00497576"/>
    <w:rsid w:val="0049773C"/>
    <w:rsid w:val="00497B1A"/>
    <w:rsid w:val="00497D56"/>
    <w:rsid w:val="004A011D"/>
    <w:rsid w:val="004A012A"/>
    <w:rsid w:val="004A01C2"/>
    <w:rsid w:val="004A03E1"/>
    <w:rsid w:val="004A03EC"/>
    <w:rsid w:val="004A0555"/>
    <w:rsid w:val="004A0735"/>
    <w:rsid w:val="004A07D6"/>
    <w:rsid w:val="004A0BD8"/>
    <w:rsid w:val="004A0E51"/>
    <w:rsid w:val="004A1685"/>
    <w:rsid w:val="004A1698"/>
    <w:rsid w:val="004A1A53"/>
    <w:rsid w:val="004A1B07"/>
    <w:rsid w:val="004A1F45"/>
    <w:rsid w:val="004A215E"/>
    <w:rsid w:val="004A23C6"/>
    <w:rsid w:val="004A26C2"/>
    <w:rsid w:val="004A2A7D"/>
    <w:rsid w:val="004A2D62"/>
    <w:rsid w:val="004A3458"/>
    <w:rsid w:val="004A36C3"/>
    <w:rsid w:val="004A3C33"/>
    <w:rsid w:val="004A41C4"/>
    <w:rsid w:val="004A4654"/>
    <w:rsid w:val="004A473D"/>
    <w:rsid w:val="004A498B"/>
    <w:rsid w:val="004A4AB8"/>
    <w:rsid w:val="004A4C2C"/>
    <w:rsid w:val="004A4C8E"/>
    <w:rsid w:val="004A4CF7"/>
    <w:rsid w:val="004A4D9A"/>
    <w:rsid w:val="004A4EBE"/>
    <w:rsid w:val="004A4F17"/>
    <w:rsid w:val="004A50C5"/>
    <w:rsid w:val="004A50D7"/>
    <w:rsid w:val="004A54F6"/>
    <w:rsid w:val="004A59C5"/>
    <w:rsid w:val="004A5AD0"/>
    <w:rsid w:val="004A5BFA"/>
    <w:rsid w:val="004A6119"/>
    <w:rsid w:val="004A61A4"/>
    <w:rsid w:val="004A62C4"/>
    <w:rsid w:val="004A643F"/>
    <w:rsid w:val="004A665D"/>
    <w:rsid w:val="004A6A30"/>
    <w:rsid w:val="004A6DC0"/>
    <w:rsid w:val="004A6F98"/>
    <w:rsid w:val="004A6FDB"/>
    <w:rsid w:val="004A7099"/>
    <w:rsid w:val="004A716D"/>
    <w:rsid w:val="004A7172"/>
    <w:rsid w:val="004A721C"/>
    <w:rsid w:val="004A72A7"/>
    <w:rsid w:val="004A7380"/>
    <w:rsid w:val="004A7532"/>
    <w:rsid w:val="004A756D"/>
    <w:rsid w:val="004A7840"/>
    <w:rsid w:val="004A78E9"/>
    <w:rsid w:val="004A7AE7"/>
    <w:rsid w:val="004A7B8B"/>
    <w:rsid w:val="004A7CA8"/>
    <w:rsid w:val="004B00B3"/>
    <w:rsid w:val="004B00F9"/>
    <w:rsid w:val="004B0160"/>
    <w:rsid w:val="004B01E2"/>
    <w:rsid w:val="004B030E"/>
    <w:rsid w:val="004B0320"/>
    <w:rsid w:val="004B0472"/>
    <w:rsid w:val="004B04E8"/>
    <w:rsid w:val="004B0806"/>
    <w:rsid w:val="004B0DA9"/>
    <w:rsid w:val="004B0DAF"/>
    <w:rsid w:val="004B0DC8"/>
    <w:rsid w:val="004B11AA"/>
    <w:rsid w:val="004B1547"/>
    <w:rsid w:val="004B1C68"/>
    <w:rsid w:val="004B1DB2"/>
    <w:rsid w:val="004B21DD"/>
    <w:rsid w:val="004B22AE"/>
    <w:rsid w:val="004B22FE"/>
    <w:rsid w:val="004B2328"/>
    <w:rsid w:val="004B256E"/>
    <w:rsid w:val="004B265E"/>
    <w:rsid w:val="004B27F2"/>
    <w:rsid w:val="004B2A81"/>
    <w:rsid w:val="004B2AC3"/>
    <w:rsid w:val="004B2CAA"/>
    <w:rsid w:val="004B2DCE"/>
    <w:rsid w:val="004B30CE"/>
    <w:rsid w:val="004B32A7"/>
    <w:rsid w:val="004B33F2"/>
    <w:rsid w:val="004B3525"/>
    <w:rsid w:val="004B36B0"/>
    <w:rsid w:val="004B37A1"/>
    <w:rsid w:val="004B39A0"/>
    <w:rsid w:val="004B3A99"/>
    <w:rsid w:val="004B3BC7"/>
    <w:rsid w:val="004B3FA1"/>
    <w:rsid w:val="004B3FED"/>
    <w:rsid w:val="004B44F8"/>
    <w:rsid w:val="004B48B0"/>
    <w:rsid w:val="004B4AF8"/>
    <w:rsid w:val="004B4B12"/>
    <w:rsid w:val="004B4F30"/>
    <w:rsid w:val="004B52EE"/>
    <w:rsid w:val="004B57C6"/>
    <w:rsid w:val="004B5992"/>
    <w:rsid w:val="004B5BAA"/>
    <w:rsid w:val="004B5F7D"/>
    <w:rsid w:val="004B60F8"/>
    <w:rsid w:val="004B6550"/>
    <w:rsid w:val="004B67DC"/>
    <w:rsid w:val="004B6B4A"/>
    <w:rsid w:val="004B6C9C"/>
    <w:rsid w:val="004B6F0B"/>
    <w:rsid w:val="004B7220"/>
    <w:rsid w:val="004B7439"/>
    <w:rsid w:val="004B75D5"/>
    <w:rsid w:val="004B774D"/>
    <w:rsid w:val="004B780E"/>
    <w:rsid w:val="004B7AA2"/>
    <w:rsid w:val="004B7F08"/>
    <w:rsid w:val="004B7F1C"/>
    <w:rsid w:val="004C07FC"/>
    <w:rsid w:val="004C0B23"/>
    <w:rsid w:val="004C107A"/>
    <w:rsid w:val="004C109A"/>
    <w:rsid w:val="004C12EB"/>
    <w:rsid w:val="004C1689"/>
    <w:rsid w:val="004C173A"/>
    <w:rsid w:val="004C1A5D"/>
    <w:rsid w:val="004C1DE5"/>
    <w:rsid w:val="004C269A"/>
    <w:rsid w:val="004C27F5"/>
    <w:rsid w:val="004C28F2"/>
    <w:rsid w:val="004C2FCD"/>
    <w:rsid w:val="004C3125"/>
    <w:rsid w:val="004C327B"/>
    <w:rsid w:val="004C3460"/>
    <w:rsid w:val="004C34EF"/>
    <w:rsid w:val="004C3514"/>
    <w:rsid w:val="004C3691"/>
    <w:rsid w:val="004C36C0"/>
    <w:rsid w:val="004C39AF"/>
    <w:rsid w:val="004C39CC"/>
    <w:rsid w:val="004C3C59"/>
    <w:rsid w:val="004C427E"/>
    <w:rsid w:val="004C43D2"/>
    <w:rsid w:val="004C45FA"/>
    <w:rsid w:val="004C49A4"/>
    <w:rsid w:val="004C4BCA"/>
    <w:rsid w:val="004C4DBA"/>
    <w:rsid w:val="004C4FD0"/>
    <w:rsid w:val="004C53CE"/>
    <w:rsid w:val="004C5475"/>
    <w:rsid w:val="004C55C9"/>
    <w:rsid w:val="004C57A6"/>
    <w:rsid w:val="004C59FD"/>
    <w:rsid w:val="004C5BBA"/>
    <w:rsid w:val="004C6052"/>
    <w:rsid w:val="004C62A2"/>
    <w:rsid w:val="004C6405"/>
    <w:rsid w:val="004C6861"/>
    <w:rsid w:val="004C68FE"/>
    <w:rsid w:val="004C6B5A"/>
    <w:rsid w:val="004C6C07"/>
    <w:rsid w:val="004C6E09"/>
    <w:rsid w:val="004C6F72"/>
    <w:rsid w:val="004C728B"/>
    <w:rsid w:val="004C7864"/>
    <w:rsid w:val="004C7D30"/>
    <w:rsid w:val="004C7ECD"/>
    <w:rsid w:val="004D003D"/>
    <w:rsid w:val="004D0598"/>
    <w:rsid w:val="004D0838"/>
    <w:rsid w:val="004D099F"/>
    <w:rsid w:val="004D0A6C"/>
    <w:rsid w:val="004D0C04"/>
    <w:rsid w:val="004D0C17"/>
    <w:rsid w:val="004D0F7F"/>
    <w:rsid w:val="004D1285"/>
    <w:rsid w:val="004D137B"/>
    <w:rsid w:val="004D140B"/>
    <w:rsid w:val="004D1458"/>
    <w:rsid w:val="004D15E0"/>
    <w:rsid w:val="004D175B"/>
    <w:rsid w:val="004D198E"/>
    <w:rsid w:val="004D1A00"/>
    <w:rsid w:val="004D1D20"/>
    <w:rsid w:val="004D1D94"/>
    <w:rsid w:val="004D1E86"/>
    <w:rsid w:val="004D1EC9"/>
    <w:rsid w:val="004D229B"/>
    <w:rsid w:val="004D22B9"/>
    <w:rsid w:val="004D279D"/>
    <w:rsid w:val="004D27C2"/>
    <w:rsid w:val="004D2CF5"/>
    <w:rsid w:val="004D2D4D"/>
    <w:rsid w:val="004D2ED0"/>
    <w:rsid w:val="004D3005"/>
    <w:rsid w:val="004D338C"/>
    <w:rsid w:val="004D3726"/>
    <w:rsid w:val="004D3754"/>
    <w:rsid w:val="004D37D7"/>
    <w:rsid w:val="004D390C"/>
    <w:rsid w:val="004D3A0B"/>
    <w:rsid w:val="004D3AE3"/>
    <w:rsid w:val="004D3B91"/>
    <w:rsid w:val="004D3C95"/>
    <w:rsid w:val="004D3D96"/>
    <w:rsid w:val="004D3E15"/>
    <w:rsid w:val="004D4026"/>
    <w:rsid w:val="004D4179"/>
    <w:rsid w:val="004D4E7D"/>
    <w:rsid w:val="004D52F4"/>
    <w:rsid w:val="004D5624"/>
    <w:rsid w:val="004D5759"/>
    <w:rsid w:val="004D5777"/>
    <w:rsid w:val="004D579C"/>
    <w:rsid w:val="004D58D7"/>
    <w:rsid w:val="004D5CEC"/>
    <w:rsid w:val="004D5DCB"/>
    <w:rsid w:val="004D5E1C"/>
    <w:rsid w:val="004D6259"/>
    <w:rsid w:val="004D649F"/>
    <w:rsid w:val="004D6AB6"/>
    <w:rsid w:val="004D6B1B"/>
    <w:rsid w:val="004D6B4D"/>
    <w:rsid w:val="004D6C49"/>
    <w:rsid w:val="004D6D8A"/>
    <w:rsid w:val="004D6E7C"/>
    <w:rsid w:val="004D7223"/>
    <w:rsid w:val="004D73DB"/>
    <w:rsid w:val="004D7822"/>
    <w:rsid w:val="004D78B2"/>
    <w:rsid w:val="004D7C11"/>
    <w:rsid w:val="004D7CD3"/>
    <w:rsid w:val="004D7DC2"/>
    <w:rsid w:val="004D7DDD"/>
    <w:rsid w:val="004D7E74"/>
    <w:rsid w:val="004D7E7D"/>
    <w:rsid w:val="004D7EA8"/>
    <w:rsid w:val="004D7F40"/>
    <w:rsid w:val="004E00C2"/>
    <w:rsid w:val="004E0B13"/>
    <w:rsid w:val="004E0BC0"/>
    <w:rsid w:val="004E0D49"/>
    <w:rsid w:val="004E0F96"/>
    <w:rsid w:val="004E1305"/>
    <w:rsid w:val="004E1359"/>
    <w:rsid w:val="004E1360"/>
    <w:rsid w:val="004E1618"/>
    <w:rsid w:val="004E18ED"/>
    <w:rsid w:val="004E1973"/>
    <w:rsid w:val="004E19C1"/>
    <w:rsid w:val="004E1B75"/>
    <w:rsid w:val="004E1C74"/>
    <w:rsid w:val="004E1DA9"/>
    <w:rsid w:val="004E1E62"/>
    <w:rsid w:val="004E21B2"/>
    <w:rsid w:val="004E22E0"/>
    <w:rsid w:val="004E2380"/>
    <w:rsid w:val="004E2832"/>
    <w:rsid w:val="004E2B78"/>
    <w:rsid w:val="004E2BF0"/>
    <w:rsid w:val="004E32DD"/>
    <w:rsid w:val="004E3AFC"/>
    <w:rsid w:val="004E3BAF"/>
    <w:rsid w:val="004E3C8F"/>
    <w:rsid w:val="004E3D14"/>
    <w:rsid w:val="004E3F77"/>
    <w:rsid w:val="004E402B"/>
    <w:rsid w:val="004E40BF"/>
    <w:rsid w:val="004E414D"/>
    <w:rsid w:val="004E4382"/>
    <w:rsid w:val="004E47EE"/>
    <w:rsid w:val="004E4A3A"/>
    <w:rsid w:val="004E4B27"/>
    <w:rsid w:val="004E4E0C"/>
    <w:rsid w:val="004E4E55"/>
    <w:rsid w:val="004E4F7A"/>
    <w:rsid w:val="004E508B"/>
    <w:rsid w:val="004E5269"/>
    <w:rsid w:val="004E57B5"/>
    <w:rsid w:val="004E5933"/>
    <w:rsid w:val="004E59B8"/>
    <w:rsid w:val="004E59C4"/>
    <w:rsid w:val="004E5AF6"/>
    <w:rsid w:val="004E5B73"/>
    <w:rsid w:val="004E5ECD"/>
    <w:rsid w:val="004E66E4"/>
    <w:rsid w:val="004E6BDC"/>
    <w:rsid w:val="004E70AD"/>
    <w:rsid w:val="004E71C2"/>
    <w:rsid w:val="004E71F5"/>
    <w:rsid w:val="004E7524"/>
    <w:rsid w:val="004E75BB"/>
    <w:rsid w:val="004E763A"/>
    <w:rsid w:val="004E79B2"/>
    <w:rsid w:val="004E7C9A"/>
    <w:rsid w:val="004E7CC9"/>
    <w:rsid w:val="004E7D3A"/>
    <w:rsid w:val="004E7D52"/>
    <w:rsid w:val="004E7DBF"/>
    <w:rsid w:val="004E7E7A"/>
    <w:rsid w:val="004F0103"/>
    <w:rsid w:val="004F022D"/>
    <w:rsid w:val="004F0963"/>
    <w:rsid w:val="004F0A58"/>
    <w:rsid w:val="004F0BF8"/>
    <w:rsid w:val="004F0D0A"/>
    <w:rsid w:val="004F0F30"/>
    <w:rsid w:val="004F0FE8"/>
    <w:rsid w:val="004F1047"/>
    <w:rsid w:val="004F120C"/>
    <w:rsid w:val="004F1528"/>
    <w:rsid w:val="004F167B"/>
    <w:rsid w:val="004F1B28"/>
    <w:rsid w:val="004F1BCF"/>
    <w:rsid w:val="004F1D16"/>
    <w:rsid w:val="004F1EEC"/>
    <w:rsid w:val="004F2481"/>
    <w:rsid w:val="004F29CE"/>
    <w:rsid w:val="004F2C1A"/>
    <w:rsid w:val="004F2CF1"/>
    <w:rsid w:val="004F2DB1"/>
    <w:rsid w:val="004F2E1E"/>
    <w:rsid w:val="004F2F7B"/>
    <w:rsid w:val="004F3258"/>
    <w:rsid w:val="004F38D6"/>
    <w:rsid w:val="004F3A4B"/>
    <w:rsid w:val="004F3AEF"/>
    <w:rsid w:val="004F3B40"/>
    <w:rsid w:val="004F3CA9"/>
    <w:rsid w:val="004F3D35"/>
    <w:rsid w:val="004F3EA8"/>
    <w:rsid w:val="004F3FE3"/>
    <w:rsid w:val="004F43A0"/>
    <w:rsid w:val="004F4633"/>
    <w:rsid w:val="004F46E0"/>
    <w:rsid w:val="004F47E6"/>
    <w:rsid w:val="004F48C9"/>
    <w:rsid w:val="004F48F1"/>
    <w:rsid w:val="004F4E3B"/>
    <w:rsid w:val="004F510C"/>
    <w:rsid w:val="004F57E8"/>
    <w:rsid w:val="004F5960"/>
    <w:rsid w:val="004F5D65"/>
    <w:rsid w:val="004F5E8E"/>
    <w:rsid w:val="004F60F4"/>
    <w:rsid w:val="004F6126"/>
    <w:rsid w:val="004F64A2"/>
    <w:rsid w:val="004F67DA"/>
    <w:rsid w:val="004F682B"/>
    <w:rsid w:val="004F6C41"/>
    <w:rsid w:val="004F6DC0"/>
    <w:rsid w:val="004F722B"/>
    <w:rsid w:val="004F7246"/>
    <w:rsid w:val="004F73E4"/>
    <w:rsid w:val="004F7839"/>
    <w:rsid w:val="004F7AE6"/>
    <w:rsid w:val="004F7AFF"/>
    <w:rsid w:val="004F7E15"/>
    <w:rsid w:val="004F7EEA"/>
    <w:rsid w:val="004F7EF9"/>
    <w:rsid w:val="005003B8"/>
    <w:rsid w:val="00500501"/>
    <w:rsid w:val="005005F8"/>
    <w:rsid w:val="005007FB"/>
    <w:rsid w:val="005009CE"/>
    <w:rsid w:val="005009F5"/>
    <w:rsid w:val="00500BE8"/>
    <w:rsid w:val="00500C32"/>
    <w:rsid w:val="00500C43"/>
    <w:rsid w:val="00501289"/>
    <w:rsid w:val="0050147A"/>
    <w:rsid w:val="00501638"/>
    <w:rsid w:val="0050164F"/>
    <w:rsid w:val="005016D7"/>
    <w:rsid w:val="005017E9"/>
    <w:rsid w:val="00501A25"/>
    <w:rsid w:val="00501C9C"/>
    <w:rsid w:val="00501E16"/>
    <w:rsid w:val="005020FB"/>
    <w:rsid w:val="005025CC"/>
    <w:rsid w:val="005025E9"/>
    <w:rsid w:val="0050267A"/>
    <w:rsid w:val="00502AD2"/>
    <w:rsid w:val="00502F3B"/>
    <w:rsid w:val="00502F3C"/>
    <w:rsid w:val="00502FCA"/>
    <w:rsid w:val="00502FF8"/>
    <w:rsid w:val="005030DB"/>
    <w:rsid w:val="00503180"/>
    <w:rsid w:val="00503315"/>
    <w:rsid w:val="005037F1"/>
    <w:rsid w:val="00503A64"/>
    <w:rsid w:val="00503AE0"/>
    <w:rsid w:val="00503B54"/>
    <w:rsid w:val="00503D42"/>
    <w:rsid w:val="00503FFC"/>
    <w:rsid w:val="005042FE"/>
    <w:rsid w:val="005044A4"/>
    <w:rsid w:val="00504531"/>
    <w:rsid w:val="00504564"/>
    <w:rsid w:val="0050466B"/>
    <w:rsid w:val="005048E6"/>
    <w:rsid w:val="0050496E"/>
    <w:rsid w:val="005049F2"/>
    <w:rsid w:val="00504A64"/>
    <w:rsid w:val="00504CCA"/>
    <w:rsid w:val="00505004"/>
    <w:rsid w:val="00505320"/>
    <w:rsid w:val="00505544"/>
    <w:rsid w:val="00505567"/>
    <w:rsid w:val="005058DC"/>
    <w:rsid w:val="00505B5C"/>
    <w:rsid w:val="00505D78"/>
    <w:rsid w:val="00505ED1"/>
    <w:rsid w:val="005063A7"/>
    <w:rsid w:val="005063E6"/>
    <w:rsid w:val="005066F5"/>
    <w:rsid w:val="00506760"/>
    <w:rsid w:val="00506881"/>
    <w:rsid w:val="00506B94"/>
    <w:rsid w:val="00506CBB"/>
    <w:rsid w:val="00506D0F"/>
    <w:rsid w:val="00506E5C"/>
    <w:rsid w:val="00506F55"/>
    <w:rsid w:val="0050788C"/>
    <w:rsid w:val="00507ABB"/>
    <w:rsid w:val="00507D96"/>
    <w:rsid w:val="00507F65"/>
    <w:rsid w:val="00507FF8"/>
    <w:rsid w:val="0051026E"/>
    <w:rsid w:val="0051032D"/>
    <w:rsid w:val="0051047C"/>
    <w:rsid w:val="005105BE"/>
    <w:rsid w:val="00510695"/>
    <w:rsid w:val="005106DC"/>
    <w:rsid w:val="00510AD2"/>
    <w:rsid w:val="00510CD3"/>
    <w:rsid w:val="00510DBC"/>
    <w:rsid w:val="00510DD8"/>
    <w:rsid w:val="00510F82"/>
    <w:rsid w:val="00511219"/>
    <w:rsid w:val="0051138F"/>
    <w:rsid w:val="005118B7"/>
    <w:rsid w:val="00511DE2"/>
    <w:rsid w:val="00511E28"/>
    <w:rsid w:val="005120B2"/>
    <w:rsid w:val="0051225F"/>
    <w:rsid w:val="005123E1"/>
    <w:rsid w:val="0051274F"/>
    <w:rsid w:val="005129AE"/>
    <w:rsid w:val="00512A35"/>
    <w:rsid w:val="00512B0D"/>
    <w:rsid w:val="00512BA5"/>
    <w:rsid w:val="00512D58"/>
    <w:rsid w:val="00513046"/>
    <w:rsid w:val="005133FE"/>
    <w:rsid w:val="005134C3"/>
    <w:rsid w:val="005134CD"/>
    <w:rsid w:val="005136EB"/>
    <w:rsid w:val="00513900"/>
    <w:rsid w:val="00513B8C"/>
    <w:rsid w:val="00513F32"/>
    <w:rsid w:val="005140A2"/>
    <w:rsid w:val="005142BE"/>
    <w:rsid w:val="005144EE"/>
    <w:rsid w:val="00514519"/>
    <w:rsid w:val="00514643"/>
    <w:rsid w:val="00514FC3"/>
    <w:rsid w:val="00514FDF"/>
    <w:rsid w:val="005150DE"/>
    <w:rsid w:val="00515277"/>
    <w:rsid w:val="00515604"/>
    <w:rsid w:val="00515719"/>
    <w:rsid w:val="00515931"/>
    <w:rsid w:val="00515ADF"/>
    <w:rsid w:val="00515F22"/>
    <w:rsid w:val="005161B0"/>
    <w:rsid w:val="0051689C"/>
    <w:rsid w:val="0051689F"/>
    <w:rsid w:val="00516B64"/>
    <w:rsid w:val="00516DB8"/>
    <w:rsid w:val="005171B9"/>
    <w:rsid w:val="0051763B"/>
    <w:rsid w:val="00517951"/>
    <w:rsid w:val="005179AA"/>
    <w:rsid w:val="00517AE4"/>
    <w:rsid w:val="00517CA2"/>
    <w:rsid w:val="00517D0F"/>
    <w:rsid w:val="00520178"/>
    <w:rsid w:val="005201A0"/>
    <w:rsid w:val="0052027A"/>
    <w:rsid w:val="005202CB"/>
    <w:rsid w:val="00520430"/>
    <w:rsid w:val="0052043C"/>
    <w:rsid w:val="005206DE"/>
    <w:rsid w:val="00520734"/>
    <w:rsid w:val="00520932"/>
    <w:rsid w:val="00520943"/>
    <w:rsid w:val="005209C8"/>
    <w:rsid w:val="00520DDB"/>
    <w:rsid w:val="00521172"/>
    <w:rsid w:val="00521644"/>
    <w:rsid w:val="005216D3"/>
    <w:rsid w:val="005218D1"/>
    <w:rsid w:val="005218DC"/>
    <w:rsid w:val="00521A56"/>
    <w:rsid w:val="00521D9B"/>
    <w:rsid w:val="00521F51"/>
    <w:rsid w:val="005220C7"/>
    <w:rsid w:val="005222B8"/>
    <w:rsid w:val="005223AA"/>
    <w:rsid w:val="00522433"/>
    <w:rsid w:val="0052261F"/>
    <w:rsid w:val="00522C45"/>
    <w:rsid w:val="00522E14"/>
    <w:rsid w:val="0052321A"/>
    <w:rsid w:val="0052344C"/>
    <w:rsid w:val="00523547"/>
    <w:rsid w:val="00523791"/>
    <w:rsid w:val="00523893"/>
    <w:rsid w:val="00523DC5"/>
    <w:rsid w:val="00523DD8"/>
    <w:rsid w:val="00523DE1"/>
    <w:rsid w:val="00523E9C"/>
    <w:rsid w:val="005242C0"/>
    <w:rsid w:val="00524486"/>
    <w:rsid w:val="00524653"/>
    <w:rsid w:val="00524CB5"/>
    <w:rsid w:val="00524E32"/>
    <w:rsid w:val="00525056"/>
    <w:rsid w:val="0052507C"/>
    <w:rsid w:val="005251D6"/>
    <w:rsid w:val="00525228"/>
    <w:rsid w:val="005253ED"/>
    <w:rsid w:val="00525BD2"/>
    <w:rsid w:val="00525D58"/>
    <w:rsid w:val="00525DA4"/>
    <w:rsid w:val="00525EC1"/>
    <w:rsid w:val="00525FC5"/>
    <w:rsid w:val="005260CC"/>
    <w:rsid w:val="0052616B"/>
    <w:rsid w:val="005262D2"/>
    <w:rsid w:val="005267C1"/>
    <w:rsid w:val="005268F2"/>
    <w:rsid w:val="00526955"/>
    <w:rsid w:val="00526992"/>
    <w:rsid w:val="00526A6E"/>
    <w:rsid w:val="0052700B"/>
    <w:rsid w:val="005274FF"/>
    <w:rsid w:val="0052756F"/>
    <w:rsid w:val="0052775C"/>
    <w:rsid w:val="00527811"/>
    <w:rsid w:val="0052796F"/>
    <w:rsid w:val="005279ED"/>
    <w:rsid w:val="00530013"/>
    <w:rsid w:val="005302E2"/>
    <w:rsid w:val="005307F3"/>
    <w:rsid w:val="0053082D"/>
    <w:rsid w:val="00530A43"/>
    <w:rsid w:val="00530BF1"/>
    <w:rsid w:val="00530D08"/>
    <w:rsid w:val="00530DB0"/>
    <w:rsid w:val="00530DDD"/>
    <w:rsid w:val="00530E08"/>
    <w:rsid w:val="00530EFA"/>
    <w:rsid w:val="0053102F"/>
    <w:rsid w:val="005311E1"/>
    <w:rsid w:val="005312D4"/>
    <w:rsid w:val="005315F6"/>
    <w:rsid w:val="005318F1"/>
    <w:rsid w:val="005319F4"/>
    <w:rsid w:val="00531B29"/>
    <w:rsid w:val="0053204C"/>
    <w:rsid w:val="00532200"/>
    <w:rsid w:val="00532AE8"/>
    <w:rsid w:val="00533458"/>
    <w:rsid w:val="00533633"/>
    <w:rsid w:val="005338F8"/>
    <w:rsid w:val="00533D3C"/>
    <w:rsid w:val="00533D75"/>
    <w:rsid w:val="00534026"/>
    <w:rsid w:val="0053424A"/>
    <w:rsid w:val="005342DF"/>
    <w:rsid w:val="00534867"/>
    <w:rsid w:val="00534A9F"/>
    <w:rsid w:val="00534ADA"/>
    <w:rsid w:val="00534B48"/>
    <w:rsid w:val="00534B6A"/>
    <w:rsid w:val="00534C51"/>
    <w:rsid w:val="00534D16"/>
    <w:rsid w:val="00534D6E"/>
    <w:rsid w:val="00534D9D"/>
    <w:rsid w:val="00534E41"/>
    <w:rsid w:val="00534E63"/>
    <w:rsid w:val="00535451"/>
    <w:rsid w:val="00535587"/>
    <w:rsid w:val="00535678"/>
    <w:rsid w:val="005357E7"/>
    <w:rsid w:val="005358C8"/>
    <w:rsid w:val="005358DD"/>
    <w:rsid w:val="00535AF2"/>
    <w:rsid w:val="00535BA3"/>
    <w:rsid w:val="00535CB2"/>
    <w:rsid w:val="00535DDF"/>
    <w:rsid w:val="005360C7"/>
    <w:rsid w:val="00536314"/>
    <w:rsid w:val="005367A6"/>
    <w:rsid w:val="00536A2A"/>
    <w:rsid w:val="00536A5B"/>
    <w:rsid w:val="00536B97"/>
    <w:rsid w:val="00537129"/>
    <w:rsid w:val="00537525"/>
    <w:rsid w:val="005376DE"/>
    <w:rsid w:val="00537814"/>
    <w:rsid w:val="00537D96"/>
    <w:rsid w:val="00537E64"/>
    <w:rsid w:val="00540076"/>
    <w:rsid w:val="0054007D"/>
    <w:rsid w:val="00540152"/>
    <w:rsid w:val="00540414"/>
    <w:rsid w:val="00540501"/>
    <w:rsid w:val="005405B9"/>
    <w:rsid w:val="005407D7"/>
    <w:rsid w:val="00540839"/>
    <w:rsid w:val="005408C3"/>
    <w:rsid w:val="005409FE"/>
    <w:rsid w:val="00540A3C"/>
    <w:rsid w:val="00540DE1"/>
    <w:rsid w:val="00541152"/>
    <w:rsid w:val="005412FF"/>
    <w:rsid w:val="0054157E"/>
    <w:rsid w:val="00541796"/>
    <w:rsid w:val="0054185C"/>
    <w:rsid w:val="005418EF"/>
    <w:rsid w:val="00541B3D"/>
    <w:rsid w:val="00541CA2"/>
    <w:rsid w:val="00541CEC"/>
    <w:rsid w:val="00541D88"/>
    <w:rsid w:val="00541DEC"/>
    <w:rsid w:val="00542132"/>
    <w:rsid w:val="0054273E"/>
    <w:rsid w:val="00542C16"/>
    <w:rsid w:val="00542F11"/>
    <w:rsid w:val="00543326"/>
    <w:rsid w:val="00543594"/>
    <w:rsid w:val="005436FB"/>
    <w:rsid w:val="005437CC"/>
    <w:rsid w:val="005439A1"/>
    <w:rsid w:val="00543A99"/>
    <w:rsid w:val="00543C42"/>
    <w:rsid w:val="00543E22"/>
    <w:rsid w:val="005440AC"/>
    <w:rsid w:val="005440D5"/>
    <w:rsid w:val="005441BC"/>
    <w:rsid w:val="005449B3"/>
    <w:rsid w:val="00544C3D"/>
    <w:rsid w:val="00544DDA"/>
    <w:rsid w:val="00544FFD"/>
    <w:rsid w:val="00545026"/>
    <w:rsid w:val="00545459"/>
    <w:rsid w:val="00545E01"/>
    <w:rsid w:val="00545E44"/>
    <w:rsid w:val="00545F16"/>
    <w:rsid w:val="00546084"/>
    <w:rsid w:val="00546211"/>
    <w:rsid w:val="005465DB"/>
    <w:rsid w:val="00546621"/>
    <w:rsid w:val="005467E6"/>
    <w:rsid w:val="00546A9B"/>
    <w:rsid w:val="00546B2E"/>
    <w:rsid w:val="00546CD0"/>
    <w:rsid w:val="00546D1D"/>
    <w:rsid w:val="00546D4A"/>
    <w:rsid w:val="005472E0"/>
    <w:rsid w:val="00547463"/>
    <w:rsid w:val="00547923"/>
    <w:rsid w:val="00547971"/>
    <w:rsid w:val="005479D9"/>
    <w:rsid w:val="005479F4"/>
    <w:rsid w:val="00547A69"/>
    <w:rsid w:val="00547EDC"/>
    <w:rsid w:val="00550267"/>
    <w:rsid w:val="005503A2"/>
    <w:rsid w:val="00550681"/>
    <w:rsid w:val="0055073D"/>
    <w:rsid w:val="00550885"/>
    <w:rsid w:val="00550E23"/>
    <w:rsid w:val="00550FBE"/>
    <w:rsid w:val="00550FEE"/>
    <w:rsid w:val="00551010"/>
    <w:rsid w:val="0055138A"/>
    <w:rsid w:val="00551413"/>
    <w:rsid w:val="005515A6"/>
    <w:rsid w:val="005517E1"/>
    <w:rsid w:val="00551D7A"/>
    <w:rsid w:val="00551FB3"/>
    <w:rsid w:val="005521E1"/>
    <w:rsid w:val="005522C5"/>
    <w:rsid w:val="0055230B"/>
    <w:rsid w:val="00552316"/>
    <w:rsid w:val="005523A8"/>
    <w:rsid w:val="005523AD"/>
    <w:rsid w:val="0055277C"/>
    <w:rsid w:val="00552AA8"/>
    <w:rsid w:val="00552D91"/>
    <w:rsid w:val="00552DC4"/>
    <w:rsid w:val="00553080"/>
    <w:rsid w:val="0055310B"/>
    <w:rsid w:val="0055343E"/>
    <w:rsid w:val="00553A41"/>
    <w:rsid w:val="005540B8"/>
    <w:rsid w:val="00554153"/>
    <w:rsid w:val="0055457E"/>
    <w:rsid w:val="00554718"/>
    <w:rsid w:val="00554735"/>
    <w:rsid w:val="00554814"/>
    <w:rsid w:val="0055484C"/>
    <w:rsid w:val="005548A3"/>
    <w:rsid w:val="00554A90"/>
    <w:rsid w:val="00554C19"/>
    <w:rsid w:val="00554D4B"/>
    <w:rsid w:val="005551B0"/>
    <w:rsid w:val="0055548C"/>
    <w:rsid w:val="0055582F"/>
    <w:rsid w:val="0055589D"/>
    <w:rsid w:val="00555A1D"/>
    <w:rsid w:val="00555A88"/>
    <w:rsid w:val="00555E19"/>
    <w:rsid w:val="0055610C"/>
    <w:rsid w:val="0055644C"/>
    <w:rsid w:val="00556484"/>
    <w:rsid w:val="005564A8"/>
    <w:rsid w:val="00556533"/>
    <w:rsid w:val="005567C9"/>
    <w:rsid w:val="0055683E"/>
    <w:rsid w:val="005569FC"/>
    <w:rsid w:val="00556A6C"/>
    <w:rsid w:val="00556D31"/>
    <w:rsid w:val="00556DBC"/>
    <w:rsid w:val="00556F55"/>
    <w:rsid w:val="0055724D"/>
    <w:rsid w:val="005572A6"/>
    <w:rsid w:val="005572BE"/>
    <w:rsid w:val="0055737A"/>
    <w:rsid w:val="005578EE"/>
    <w:rsid w:val="005579AE"/>
    <w:rsid w:val="00560784"/>
    <w:rsid w:val="005607D2"/>
    <w:rsid w:val="0056098F"/>
    <w:rsid w:val="005609AB"/>
    <w:rsid w:val="005609C1"/>
    <w:rsid w:val="00560CA6"/>
    <w:rsid w:val="00560D30"/>
    <w:rsid w:val="00561703"/>
    <w:rsid w:val="0056172B"/>
    <w:rsid w:val="005618F9"/>
    <w:rsid w:val="00561B68"/>
    <w:rsid w:val="00561FBA"/>
    <w:rsid w:val="0056281C"/>
    <w:rsid w:val="0056296E"/>
    <w:rsid w:val="00562A2C"/>
    <w:rsid w:val="00562BD3"/>
    <w:rsid w:val="00562C48"/>
    <w:rsid w:val="00562EE3"/>
    <w:rsid w:val="00562F79"/>
    <w:rsid w:val="00562FD2"/>
    <w:rsid w:val="0056328C"/>
    <w:rsid w:val="005633E4"/>
    <w:rsid w:val="00563707"/>
    <w:rsid w:val="00563B51"/>
    <w:rsid w:val="00563C11"/>
    <w:rsid w:val="00563DB5"/>
    <w:rsid w:val="005647BC"/>
    <w:rsid w:val="00564926"/>
    <w:rsid w:val="00564FEC"/>
    <w:rsid w:val="00565144"/>
    <w:rsid w:val="00565544"/>
    <w:rsid w:val="0056578A"/>
    <w:rsid w:val="00565ADD"/>
    <w:rsid w:val="00565B9A"/>
    <w:rsid w:val="00565DD2"/>
    <w:rsid w:val="00565E64"/>
    <w:rsid w:val="00566168"/>
    <w:rsid w:val="0056634E"/>
    <w:rsid w:val="0056689D"/>
    <w:rsid w:val="005668C0"/>
    <w:rsid w:val="00566930"/>
    <w:rsid w:val="005669EE"/>
    <w:rsid w:val="005671F8"/>
    <w:rsid w:val="0056746F"/>
    <w:rsid w:val="005679A1"/>
    <w:rsid w:val="00567D4B"/>
    <w:rsid w:val="00567F0F"/>
    <w:rsid w:val="005704D9"/>
    <w:rsid w:val="0057052A"/>
    <w:rsid w:val="005705AF"/>
    <w:rsid w:val="0057069F"/>
    <w:rsid w:val="00570752"/>
    <w:rsid w:val="00570755"/>
    <w:rsid w:val="0057076A"/>
    <w:rsid w:val="00570A09"/>
    <w:rsid w:val="00570CD3"/>
    <w:rsid w:val="00570DAA"/>
    <w:rsid w:val="005713E7"/>
    <w:rsid w:val="0057165B"/>
    <w:rsid w:val="00571662"/>
    <w:rsid w:val="00571930"/>
    <w:rsid w:val="00571C05"/>
    <w:rsid w:val="00571D12"/>
    <w:rsid w:val="00571FC7"/>
    <w:rsid w:val="00572017"/>
    <w:rsid w:val="0057217D"/>
    <w:rsid w:val="005721F8"/>
    <w:rsid w:val="005725C8"/>
    <w:rsid w:val="00572621"/>
    <w:rsid w:val="005728FB"/>
    <w:rsid w:val="00572DB1"/>
    <w:rsid w:val="00572E05"/>
    <w:rsid w:val="0057331C"/>
    <w:rsid w:val="00573420"/>
    <w:rsid w:val="00573481"/>
    <w:rsid w:val="005734A6"/>
    <w:rsid w:val="005734AB"/>
    <w:rsid w:val="005735C2"/>
    <w:rsid w:val="005736A6"/>
    <w:rsid w:val="0057378B"/>
    <w:rsid w:val="005737A6"/>
    <w:rsid w:val="00573EDF"/>
    <w:rsid w:val="00574049"/>
    <w:rsid w:val="005741C3"/>
    <w:rsid w:val="0057436F"/>
    <w:rsid w:val="005744FA"/>
    <w:rsid w:val="0057453B"/>
    <w:rsid w:val="005745C1"/>
    <w:rsid w:val="00574768"/>
    <w:rsid w:val="00574829"/>
    <w:rsid w:val="005748BC"/>
    <w:rsid w:val="005748C2"/>
    <w:rsid w:val="0057490B"/>
    <w:rsid w:val="0057499A"/>
    <w:rsid w:val="00574AFB"/>
    <w:rsid w:val="00574B62"/>
    <w:rsid w:val="00574BA1"/>
    <w:rsid w:val="00574BC1"/>
    <w:rsid w:val="00574D25"/>
    <w:rsid w:val="00574D43"/>
    <w:rsid w:val="005751CC"/>
    <w:rsid w:val="005754ED"/>
    <w:rsid w:val="005758F9"/>
    <w:rsid w:val="00575915"/>
    <w:rsid w:val="00575B4A"/>
    <w:rsid w:val="00575DB4"/>
    <w:rsid w:val="00575FB2"/>
    <w:rsid w:val="005761C4"/>
    <w:rsid w:val="005762A7"/>
    <w:rsid w:val="005767AB"/>
    <w:rsid w:val="0057694A"/>
    <w:rsid w:val="00576ECE"/>
    <w:rsid w:val="00576FA7"/>
    <w:rsid w:val="005770F3"/>
    <w:rsid w:val="00577158"/>
    <w:rsid w:val="005771AF"/>
    <w:rsid w:val="00577754"/>
    <w:rsid w:val="00577A7C"/>
    <w:rsid w:val="00577BC7"/>
    <w:rsid w:val="00577D44"/>
    <w:rsid w:val="00577E79"/>
    <w:rsid w:val="00577EAB"/>
    <w:rsid w:val="00577F27"/>
    <w:rsid w:val="00577F92"/>
    <w:rsid w:val="00577FB0"/>
    <w:rsid w:val="00577FB3"/>
    <w:rsid w:val="00580614"/>
    <w:rsid w:val="00580905"/>
    <w:rsid w:val="00580ABF"/>
    <w:rsid w:val="00580BCD"/>
    <w:rsid w:val="00581158"/>
    <w:rsid w:val="005817E7"/>
    <w:rsid w:val="00581894"/>
    <w:rsid w:val="00581C39"/>
    <w:rsid w:val="00581D6E"/>
    <w:rsid w:val="0058213C"/>
    <w:rsid w:val="00582231"/>
    <w:rsid w:val="0058252B"/>
    <w:rsid w:val="005829C5"/>
    <w:rsid w:val="00582F5B"/>
    <w:rsid w:val="0058329D"/>
    <w:rsid w:val="005839BD"/>
    <w:rsid w:val="00583ACB"/>
    <w:rsid w:val="00583BBD"/>
    <w:rsid w:val="00583CD8"/>
    <w:rsid w:val="00583D23"/>
    <w:rsid w:val="00583DF0"/>
    <w:rsid w:val="00584027"/>
    <w:rsid w:val="005840F0"/>
    <w:rsid w:val="0058431F"/>
    <w:rsid w:val="00584ECF"/>
    <w:rsid w:val="00584FEF"/>
    <w:rsid w:val="005852F3"/>
    <w:rsid w:val="0058542B"/>
    <w:rsid w:val="00585588"/>
    <w:rsid w:val="00585958"/>
    <w:rsid w:val="00585995"/>
    <w:rsid w:val="00585B3D"/>
    <w:rsid w:val="00585B55"/>
    <w:rsid w:val="00585C6D"/>
    <w:rsid w:val="00585CCD"/>
    <w:rsid w:val="00585F16"/>
    <w:rsid w:val="00586206"/>
    <w:rsid w:val="005862CB"/>
    <w:rsid w:val="00586DB9"/>
    <w:rsid w:val="005870A4"/>
    <w:rsid w:val="0058777C"/>
    <w:rsid w:val="00587816"/>
    <w:rsid w:val="005878B3"/>
    <w:rsid w:val="00587BCE"/>
    <w:rsid w:val="00587C53"/>
    <w:rsid w:val="00587E87"/>
    <w:rsid w:val="00587EBF"/>
    <w:rsid w:val="00587F66"/>
    <w:rsid w:val="005900B8"/>
    <w:rsid w:val="00590223"/>
    <w:rsid w:val="0059022E"/>
    <w:rsid w:val="0059033A"/>
    <w:rsid w:val="00590461"/>
    <w:rsid w:val="0059052D"/>
    <w:rsid w:val="00590DEF"/>
    <w:rsid w:val="005910B4"/>
    <w:rsid w:val="005910EF"/>
    <w:rsid w:val="005915FB"/>
    <w:rsid w:val="00591A94"/>
    <w:rsid w:val="00591B5E"/>
    <w:rsid w:val="00592096"/>
    <w:rsid w:val="005920DA"/>
    <w:rsid w:val="0059224B"/>
    <w:rsid w:val="0059260A"/>
    <w:rsid w:val="00592812"/>
    <w:rsid w:val="00592B20"/>
    <w:rsid w:val="00592C57"/>
    <w:rsid w:val="00592D5F"/>
    <w:rsid w:val="00592D84"/>
    <w:rsid w:val="005931C1"/>
    <w:rsid w:val="0059328F"/>
    <w:rsid w:val="005935B4"/>
    <w:rsid w:val="0059368A"/>
    <w:rsid w:val="00593750"/>
    <w:rsid w:val="0059389F"/>
    <w:rsid w:val="005938A2"/>
    <w:rsid w:val="00593A8B"/>
    <w:rsid w:val="00593EAD"/>
    <w:rsid w:val="0059403F"/>
    <w:rsid w:val="005941B9"/>
    <w:rsid w:val="005941CE"/>
    <w:rsid w:val="00594415"/>
    <w:rsid w:val="005944DD"/>
    <w:rsid w:val="00594510"/>
    <w:rsid w:val="00594810"/>
    <w:rsid w:val="00594C1E"/>
    <w:rsid w:val="00594F3A"/>
    <w:rsid w:val="005950D9"/>
    <w:rsid w:val="0059538F"/>
    <w:rsid w:val="0059575D"/>
    <w:rsid w:val="00595A14"/>
    <w:rsid w:val="00595CBA"/>
    <w:rsid w:val="005960C1"/>
    <w:rsid w:val="0059622F"/>
    <w:rsid w:val="00596321"/>
    <w:rsid w:val="0059649F"/>
    <w:rsid w:val="005964AC"/>
    <w:rsid w:val="00596636"/>
    <w:rsid w:val="0059683D"/>
    <w:rsid w:val="0059690C"/>
    <w:rsid w:val="00596B3A"/>
    <w:rsid w:val="00596B4D"/>
    <w:rsid w:val="00596C9A"/>
    <w:rsid w:val="00597092"/>
    <w:rsid w:val="00597461"/>
    <w:rsid w:val="00597683"/>
    <w:rsid w:val="005976EE"/>
    <w:rsid w:val="00597E07"/>
    <w:rsid w:val="00597F84"/>
    <w:rsid w:val="005A00BD"/>
    <w:rsid w:val="005A020B"/>
    <w:rsid w:val="005A03D0"/>
    <w:rsid w:val="005A0445"/>
    <w:rsid w:val="005A04F2"/>
    <w:rsid w:val="005A05D0"/>
    <w:rsid w:val="005A05EC"/>
    <w:rsid w:val="005A076D"/>
    <w:rsid w:val="005A0936"/>
    <w:rsid w:val="005A0AA0"/>
    <w:rsid w:val="005A0ABE"/>
    <w:rsid w:val="005A0AD9"/>
    <w:rsid w:val="005A0B53"/>
    <w:rsid w:val="005A0C6B"/>
    <w:rsid w:val="005A0DB0"/>
    <w:rsid w:val="005A0E74"/>
    <w:rsid w:val="005A1417"/>
    <w:rsid w:val="005A1661"/>
    <w:rsid w:val="005A1A55"/>
    <w:rsid w:val="005A1A58"/>
    <w:rsid w:val="005A1B00"/>
    <w:rsid w:val="005A1B26"/>
    <w:rsid w:val="005A1D8D"/>
    <w:rsid w:val="005A1E1A"/>
    <w:rsid w:val="005A1F21"/>
    <w:rsid w:val="005A1F4B"/>
    <w:rsid w:val="005A1F75"/>
    <w:rsid w:val="005A21AB"/>
    <w:rsid w:val="005A21B0"/>
    <w:rsid w:val="005A23C9"/>
    <w:rsid w:val="005A25D5"/>
    <w:rsid w:val="005A2656"/>
    <w:rsid w:val="005A266D"/>
    <w:rsid w:val="005A2779"/>
    <w:rsid w:val="005A2A46"/>
    <w:rsid w:val="005A2C56"/>
    <w:rsid w:val="005A2EAD"/>
    <w:rsid w:val="005A2EEF"/>
    <w:rsid w:val="005A2F27"/>
    <w:rsid w:val="005A3038"/>
    <w:rsid w:val="005A30F8"/>
    <w:rsid w:val="005A3451"/>
    <w:rsid w:val="005A3762"/>
    <w:rsid w:val="005A3786"/>
    <w:rsid w:val="005A3EED"/>
    <w:rsid w:val="005A4054"/>
    <w:rsid w:val="005A411F"/>
    <w:rsid w:val="005A4270"/>
    <w:rsid w:val="005A4279"/>
    <w:rsid w:val="005A448A"/>
    <w:rsid w:val="005A4939"/>
    <w:rsid w:val="005A4C9D"/>
    <w:rsid w:val="005A4D00"/>
    <w:rsid w:val="005A4D7D"/>
    <w:rsid w:val="005A4DA3"/>
    <w:rsid w:val="005A4E65"/>
    <w:rsid w:val="005A4EAA"/>
    <w:rsid w:val="005A50DA"/>
    <w:rsid w:val="005A5308"/>
    <w:rsid w:val="005A55E6"/>
    <w:rsid w:val="005A5735"/>
    <w:rsid w:val="005A58FE"/>
    <w:rsid w:val="005A5C06"/>
    <w:rsid w:val="005A5F1D"/>
    <w:rsid w:val="005A60D0"/>
    <w:rsid w:val="005A61D4"/>
    <w:rsid w:val="005A6285"/>
    <w:rsid w:val="005A644C"/>
    <w:rsid w:val="005A64D7"/>
    <w:rsid w:val="005A6694"/>
    <w:rsid w:val="005A6805"/>
    <w:rsid w:val="005A69FD"/>
    <w:rsid w:val="005A6A16"/>
    <w:rsid w:val="005A6AB9"/>
    <w:rsid w:val="005A6E40"/>
    <w:rsid w:val="005A6FFD"/>
    <w:rsid w:val="005A710A"/>
    <w:rsid w:val="005A71EF"/>
    <w:rsid w:val="005A721E"/>
    <w:rsid w:val="005A72BB"/>
    <w:rsid w:val="005A74D7"/>
    <w:rsid w:val="005A7927"/>
    <w:rsid w:val="005A7953"/>
    <w:rsid w:val="005A7C81"/>
    <w:rsid w:val="005A7DED"/>
    <w:rsid w:val="005A7EF0"/>
    <w:rsid w:val="005B007B"/>
    <w:rsid w:val="005B02B1"/>
    <w:rsid w:val="005B03F9"/>
    <w:rsid w:val="005B04FB"/>
    <w:rsid w:val="005B07C8"/>
    <w:rsid w:val="005B089A"/>
    <w:rsid w:val="005B0C26"/>
    <w:rsid w:val="005B0CE3"/>
    <w:rsid w:val="005B112D"/>
    <w:rsid w:val="005B115B"/>
    <w:rsid w:val="005B18D4"/>
    <w:rsid w:val="005B18DE"/>
    <w:rsid w:val="005B1DD7"/>
    <w:rsid w:val="005B2551"/>
    <w:rsid w:val="005B2A3D"/>
    <w:rsid w:val="005B2A65"/>
    <w:rsid w:val="005B2AED"/>
    <w:rsid w:val="005B2BF2"/>
    <w:rsid w:val="005B30DF"/>
    <w:rsid w:val="005B34CD"/>
    <w:rsid w:val="005B37C7"/>
    <w:rsid w:val="005B39DC"/>
    <w:rsid w:val="005B3D63"/>
    <w:rsid w:val="005B4190"/>
    <w:rsid w:val="005B41BD"/>
    <w:rsid w:val="005B43EC"/>
    <w:rsid w:val="005B4465"/>
    <w:rsid w:val="005B4490"/>
    <w:rsid w:val="005B452E"/>
    <w:rsid w:val="005B45B4"/>
    <w:rsid w:val="005B46FB"/>
    <w:rsid w:val="005B47A3"/>
    <w:rsid w:val="005B4865"/>
    <w:rsid w:val="005B4BE3"/>
    <w:rsid w:val="005B4CA7"/>
    <w:rsid w:val="005B4F0F"/>
    <w:rsid w:val="005B4FA7"/>
    <w:rsid w:val="005B52D4"/>
    <w:rsid w:val="005B5560"/>
    <w:rsid w:val="005B5578"/>
    <w:rsid w:val="005B565F"/>
    <w:rsid w:val="005B570F"/>
    <w:rsid w:val="005B5819"/>
    <w:rsid w:val="005B5821"/>
    <w:rsid w:val="005B586B"/>
    <w:rsid w:val="005B594F"/>
    <w:rsid w:val="005B5E55"/>
    <w:rsid w:val="005B63B9"/>
    <w:rsid w:val="005B647D"/>
    <w:rsid w:val="005B65AB"/>
    <w:rsid w:val="005B6856"/>
    <w:rsid w:val="005B69A9"/>
    <w:rsid w:val="005B6CD3"/>
    <w:rsid w:val="005B6D9F"/>
    <w:rsid w:val="005B6FD2"/>
    <w:rsid w:val="005B7228"/>
    <w:rsid w:val="005B73B8"/>
    <w:rsid w:val="005B77DD"/>
    <w:rsid w:val="005B7A2A"/>
    <w:rsid w:val="005B7AFE"/>
    <w:rsid w:val="005B7D28"/>
    <w:rsid w:val="005B7ECE"/>
    <w:rsid w:val="005B7FB2"/>
    <w:rsid w:val="005C01EA"/>
    <w:rsid w:val="005C0375"/>
    <w:rsid w:val="005C0693"/>
    <w:rsid w:val="005C0720"/>
    <w:rsid w:val="005C0CED"/>
    <w:rsid w:val="005C0EA5"/>
    <w:rsid w:val="005C10E2"/>
    <w:rsid w:val="005C1226"/>
    <w:rsid w:val="005C12CB"/>
    <w:rsid w:val="005C137F"/>
    <w:rsid w:val="005C140E"/>
    <w:rsid w:val="005C176F"/>
    <w:rsid w:val="005C1866"/>
    <w:rsid w:val="005C1B1C"/>
    <w:rsid w:val="005C1BF5"/>
    <w:rsid w:val="005C1DDF"/>
    <w:rsid w:val="005C1F6C"/>
    <w:rsid w:val="005C2041"/>
    <w:rsid w:val="005C2361"/>
    <w:rsid w:val="005C2375"/>
    <w:rsid w:val="005C2492"/>
    <w:rsid w:val="005C252A"/>
    <w:rsid w:val="005C2815"/>
    <w:rsid w:val="005C2887"/>
    <w:rsid w:val="005C2B02"/>
    <w:rsid w:val="005C2F7B"/>
    <w:rsid w:val="005C3298"/>
    <w:rsid w:val="005C334A"/>
    <w:rsid w:val="005C360B"/>
    <w:rsid w:val="005C3618"/>
    <w:rsid w:val="005C38EA"/>
    <w:rsid w:val="005C3959"/>
    <w:rsid w:val="005C39B7"/>
    <w:rsid w:val="005C3A5F"/>
    <w:rsid w:val="005C3AEF"/>
    <w:rsid w:val="005C3BBB"/>
    <w:rsid w:val="005C3C2E"/>
    <w:rsid w:val="005C3DF9"/>
    <w:rsid w:val="005C44AD"/>
    <w:rsid w:val="005C45A7"/>
    <w:rsid w:val="005C4B50"/>
    <w:rsid w:val="005C516B"/>
    <w:rsid w:val="005C52E4"/>
    <w:rsid w:val="005C5371"/>
    <w:rsid w:val="005C56C3"/>
    <w:rsid w:val="005C570C"/>
    <w:rsid w:val="005C571C"/>
    <w:rsid w:val="005C59D2"/>
    <w:rsid w:val="005C5B6F"/>
    <w:rsid w:val="005C6190"/>
    <w:rsid w:val="005C61FB"/>
    <w:rsid w:val="005C646E"/>
    <w:rsid w:val="005C672F"/>
    <w:rsid w:val="005C6862"/>
    <w:rsid w:val="005C6946"/>
    <w:rsid w:val="005C6EEB"/>
    <w:rsid w:val="005C7255"/>
    <w:rsid w:val="005C7270"/>
    <w:rsid w:val="005C73AA"/>
    <w:rsid w:val="005C75F7"/>
    <w:rsid w:val="005C763D"/>
    <w:rsid w:val="005C78A6"/>
    <w:rsid w:val="005C7C07"/>
    <w:rsid w:val="005C7D85"/>
    <w:rsid w:val="005C7EB8"/>
    <w:rsid w:val="005C7FA8"/>
    <w:rsid w:val="005D020C"/>
    <w:rsid w:val="005D02D9"/>
    <w:rsid w:val="005D033D"/>
    <w:rsid w:val="005D07FA"/>
    <w:rsid w:val="005D0A04"/>
    <w:rsid w:val="005D0A79"/>
    <w:rsid w:val="005D0AEE"/>
    <w:rsid w:val="005D0BBF"/>
    <w:rsid w:val="005D0FD9"/>
    <w:rsid w:val="005D11CB"/>
    <w:rsid w:val="005D11D4"/>
    <w:rsid w:val="005D127E"/>
    <w:rsid w:val="005D140E"/>
    <w:rsid w:val="005D14CE"/>
    <w:rsid w:val="005D14ED"/>
    <w:rsid w:val="005D1585"/>
    <w:rsid w:val="005D19E8"/>
    <w:rsid w:val="005D1E4D"/>
    <w:rsid w:val="005D1E5C"/>
    <w:rsid w:val="005D1F39"/>
    <w:rsid w:val="005D1F7F"/>
    <w:rsid w:val="005D1FD5"/>
    <w:rsid w:val="005D22F1"/>
    <w:rsid w:val="005D23CD"/>
    <w:rsid w:val="005D2593"/>
    <w:rsid w:val="005D2808"/>
    <w:rsid w:val="005D2890"/>
    <w:rsid w:val="005D2D10"/>
    <w:rsid w:val="005D3305"/>
    <w:rsid w:val="005D3364"/>
    <w:rsid w:val="005D344D"/>
    <w:rsid w:val="005D35B6"/>
    <w:rsid w:val="005D3CC8"/>
    <w:rsid w:val="005D3CF0"/>
    <w:rsid w:val="005D3F9F"/>
    <w:rsid w:val="005D4124"/>
    <w:rsid w:val="005D4F94"/>
    <w:rsid w:val="005D5033"/>
    <w:rsid w:val="005D512C"/>
    <w:rsid w:val="005D5306"/>
    <w:rsid w:val="005D5634"/>
    <w:rsid w:val="005D5639"/>
    <w:rsid w:val="005D572D"/>
    <w:rsid w:val="005D57CB"/>
    <w:rsid w:val="005D57E5"/>
    <w:rsid w:val="005D5AC4"/>
    <w:rsid w:val="005D5B7F"/>
    <w:rsid w:val="005D5FF0"/>
    <w:rsid w:val="005D6223"/>
    <w:rsid w:val="005D6304"/>
    <w:rsid w:val="005D637C"/>
    <w:rsid w:val="005D6426"/>
    <w:rsid w:val="005D6509"/>
    <w:rsid w:val="005D6613"/>
    <w:rsid w:val="005D6C5E"/>
    <w:rsid w:val="005D6F5F"/>
    <w:rsid w:val="005D6FEB"/>
    <w:rsid w:val="005D7053"/>
    <w:rsid w:val="005D739F"/>
    <w:rsid w:val="005D771D"/>
    <w:rsid w:val="005D7A1D"/>
    <w:rsid w:val="005D7E32"/>
    <w:rsid w:val="005D7F19"/>
    <w:rsid w:val="005E0060"/>
    <w:rsid w:val="005E03A5"/>
    <w:rsid w:val="005E0491"/>
    <w:rsid w:val="005E0966"/>
    <w:rsid w:val="005E097E"/>
    <w:rsid w:val="005E0DD8"/>
    <w:rsid w:val="005E0F1B"/>
    <w:rsid w:val="005E0FE9"/>
    <w:rsid w:val="005E103A"/>
    <w:rsid w:val="005E116B"/>
    <w:rsid w:val="005E1202"/>
    <w:rsid w:val="005E16C1"/>
    <w:rsid w:val="005E1845"/>
    <w:rsid w:val="005E18F1"/>
    <w:rsid w:val="005E1D7B"/>
    <w:rsid w:val="005E1EAC"/>
    <w:rsid w:val="005E22D7"/>
    <w:rsid w:val="005E2422"/>
    <w:rsid w:val="005E2790"/>
    <w:rsid w:val="005E30A1"/>
    <w:rsid w:val="005E31E9"/>
    <w:rsid w:val="005E3275"/>
    <w:rsid w:val="005E34D4"/>
    <w:rsid w:val="005E360B"/>
    <w:rsid w:val="005E3791"/>
    <w:rsid w:val="005E3929"/>
    <w:rsid w:val="005E3F07"/>
    <w:rsid w:val="005E3F7E"/>
    <w:rsid w:val="005E40A3"/>
    <w:rsid w:val="005E433A"/>
    <w:rsid w:val="005E43A5"/>
    <w:rsid w:val="005E4433"/>
    <w:rsid w:val="005E4886"/>
    <w:rsid w:val="005E49C0"/>
    <w:rsid w:val="005E5009"/>
    <w:rsid w:val="005E50AE"/>
    <w:rsid w:val="005E5292"/>
    <w:rsid w:val="005E52CC"/>
    <w:rsid w:val="005E53DD"/>
    <w:rsid w:val="005E54AD"/>
    <w:rsid w:val="005E54DB"/>
    <w:rsid w:val="005E608A"/>
    <w:rsid w:val="005E60B2"/>
    <w:rsid w:val="005E624B"/>
    <w:rsid w:val="005E64E2"/>
    <w:rsid w:val="005E6580"/>
    <w:rsid w:val="005E665F"/>
    <w:rsid w:val="005E691A"/>
    <w:rsid w:val="005E69BF"/>
    <w:rsid w:val="005E6A21"/>
    <w:rsid w:val="005E7162"/>
    <w:rsid w:val="005E7448"/>
    <w:rsid w:val="005E7455"/>
    <w:rsid w:val="005E7535"/>
    <w:rsid w:val="005E79C0"/>
    <w:rsid w:val="005E7A0D"/>
    <w:rsid w:val="005E7A76"/>
    <w:rsid w:val="005E7B6D"/>
    <w:rsid w:val="005E7FAC"/>
    <w:rsid w:val="005F0000"/>
    <w:rsid w:val="005F00DF"/>
    <w:rsid w:val="005F024B"/>
    <w:rsid w:val="005F106B"/>
    <w:rsid w:val="005F1104"/>
    <w:rsid w:val="005F11B3"/>
    <w:rsid w:val="005F1247"/>
    <w:rsid w:val="005F15F1"/>
    <w:rsid w:val="005F161D"/>
    <w:rsid w:val="005F165E"/>
    <w:rsid w:val="005F1ADF"/>
    <w:rsid w:val="005F1B2F"/>
    <w:rsid w:val="005F1BEB"/>
    <w:rsid w:val="005F207A"/>
    <w:rsid w:val="005F236C"/>
    <w:rsid w:val="005F237F"/>
    <w:rsid w:val="005F23BC"/>
    <w:rsid w:val="005F241E"/>
    <w:rsid w:val="005F267F"/>
    <w:rsid w:val="005F2D07"/>
    <w:rsid w:val="005F2E77"/>
    <w:rsid w:val="005F2F07"/>
    <w:rsid w:val="005F2F72"/>
    <w:rsid w:val="005F2F79"/>
    <w:rsid w:val="005F2FB4"/>
    <w:rsid w:val="005F31AE"/>
    <w:rsid w:val="005F31B3"/>
    <w:rsid w:val="005F321B"/>
    <w:rsid w:val="005F34FE"/>
    <w:rsid w:val="005F35FF"/>
    <w:rsid w:val="005F371F"/>
    <w:rsid w:val="005F3765"/>
    <w:rsid w:val="005F3B1B"/>
    <w:rsid w:val="005F3C3B"/>
    <w:rsid w:val="005F40CE"/>
    <w:rsid w:val="005F4797"/>
    <w:rsid w:val="005F485E"/>
    <w:rsid w:val="005F4939"/>
    <w:rsid w:val="005F4F2D"/>
    <w:rsid w:val="005F4F84"/>
    <w:rsid w:val="005F5085"/>
    <w:rsid w:val="005F5201"/>
    <w:rsid w:val="005F52ED"/>
    <w:rsid w:val="005F538A"/>
    <w:rsid w:val="005F539F"/>
    <w:rsid w:val="005F56B9"/>
    <w:rsid w:val="005F56FD"/>
    <w:rsid w:val="005F5711"/>
    <w:rsid w:val="005F593C"/>
    <w:rsid w:val="005F5A8A"/>
    <w:rsid w:val="005F5C6D"/>
    <w:rsid w:val="005F5FCE"/>
    <w:rsid w:val="005F6149"/>
    <w:rsid w:val="005F6187"/>
    <w:rsid w:val="005F6598"/>
    <w:rsid w:val="005F6825"/>
    <w:rsid w:val="005F68F9"/>
    <w:rsid w:val="005F6912"/>
    <w:rsid w:val="005F6BFD"/>
    <w:rsid w:val="005F6DBA"/>
    <w:rsid w:val="005F6E5B"/>
    <w:rsid w:val="005F70B5"/>
    <w:rsid w:val="005F7A32"/>
    <w:rsid w:val="005F7BF2"/>
    <w:rsid w:val="005F7CE0"/>
    <w:rsid w:val="005F7ED5"/>
    <w:rsid w:val="005F7EFE"/>
    <w:rsid w:val="005F7F35"/>
    <w:rsid w:val="00600009"/>
    <w:rsid w:val="006003E0"/>
    <w:rsid w:val="0060094F"/>
    <w:rsid w:val="0060097B"/>
    <w:rsid w:val="00601070"/>
    <w:rsid w:val="00601085"/>
    <w:rsid w:val="00601180"/>
    <w:rsid w:val="006012D5"/>
    <w:rsid w:val="00601410"/>
    <w:rsid w:val="00601C8C"/>
    <w:rsid w:val="00601D70"/>
    <w:rsid w:val="00601E0E"/>
    <w:rsid w:val="00601F92"/>
    <w:rsid w:val="00602203"/>
    <w:rsid w:val="006022FC"/>
    <w:rsid w:val="00602350"/>
    <w:rsid w:val="00602431"/>
    <w:rsid w:val="00602610"/>
    <w:rsid w:val="0060285B"/>
    <w:rsid w:val="0060293C"/>
    <w:rsid w:val="00602A2C"/>
    <w:rsid w:val="00602B07"/>
    <w:rsid w:val="00602E8B"/>
    <w:rsid w:val="00602FA3"/>
    <w:rsid w:val="00603699"/>
    <w:rsid w:val="00603A53"/>
    <w:rsid w:val="00603D54"/>
    <w:rsid w:val="00603D63"/>
    <w:rsid w:val="00603D6A"/>
    <w:rsid w:val="00603EB3"/>
    <w:rsid w:val="00603FD1"/>
    <w:rsid w:val="00604006"/>
    <w:rsid w:val="0060408A"/>
    <w:rsid w:val="0060451C"/>
    <w:rsid w:val="006049EB"/>
    <w:rsid w:val="00604A3D"/>
    <w:rsid w:val="00604B4C"/>
    <w:rsid w:val="00604B64"/>
    <w:rsid w:val="006051AD"/>
    <w:rsid w:val="006054DD"/>
    <w:rsid w:val="00605A5F"/>
    <w:rsid w:val="00605B71"/>
    <w:rsid w:val="00605D34"/>
    <w:rsid w:val="006061DB"/>
    <w:rsid w:val="0060623C"/>
    <w:rsid w:val="00606B7B"/>
    <w:rsid w:val="00606CBC"/>
    <w:rsid w:val="00606D47"/>
    <w:rsid w:val="00606D73"/>
    <w:rsid w:val="00606FE8"/>
    <w:rsid w:val="0060702A"/>
    <w:rsid w:val="00607BAF"/>
    <w:rsid w:val="00607E5D"/>
    <w:rsid w:val="00607EAC"/>
    <w:rsid w:val="0061058A"/>
    <w:rsid w:val="00610C0A"/>
    <w:rsid w:val="00610EC6"/>
    <w:rsid w:val="00610F8F"/>
    <w:rsid w:val="0061102B"/>
    <w:rsid w:val="006111E0"/>
    <w:rsid w:val="0061162A"/>
    <w:rsid w:val="006116B6"/>
    <w:rsid w:val="0061185A"/>
    <w:rsid w:val="00611949"/>
    <w:rsid w:val="00611FA7"/>
    <w:rsid w:val="0061227C"/>
    <w:rsid w:val="0061245E"/>
    <w:rsid w:val="00612587"/>
    <w:rsid w:val="0061259A"/>
    <w:rsid w:val="00612B4D"/>
    <w:rsid w:val="00612BD4"/>
    <w:rsid w:val="00612DDF"/>
    <w:rsid w:val="00612F71"/>
    <w:rsid w:val="006130E5"/>
    <w:rsid w:val="0061317E"/>
    <w:rsid w:val="006131E6"/>
    <w:rsid w:val="00613527"/>
    <w:rsid w:val="00613590"/>
    <w:rsid w:val="00613721"/>
    <w:rsid w:val="00613DA2"/>
    <w:rsid w:val="0061426D"/>
    <w:rsid w:val="0061431D"/>
    <w:rsid w:val="0061434D"/>
    <w:rsid w:val="006144C3"/>
    <w:rsid w:val="0061480E"/>
    <w:rsid w:val="00614851"/>
    <w:rsid w:val="0061493D"/>
    <w:rsid w:val="006149BE"/>
    <w:rsid w:val="00614C64"/>
    <w:rsid w:val="00614C8B"/>
    <w:rsid w:val="00614CB4"/>
    <w:rsid w:val="00614D31"/>
    <w:rsid w:val="00614F37"/>
    <w:rsid w:val="00615076"/>
    <w:rsid w:val="006150A2"/>
    <w:rsid w:val="00615443"/>
    <w:rsid w:val="006155FE"/>
    <w:rsid w:val="006156E7"/>
    <w:rsid w:val="00615872"/>
    <w:rsid w:val="006159E7"/>
    <w:rsid w:val="00615A3A"/>
    <w:rsid w:val="00615E36"/>
    <w:rsid w:val="006162B9"/>
    <w:rsid w:val="00616714"/>
    <w:rsid w:val="00616D55"/>
    <w:rsid w:val="00616DAC"/>
    <w:rsid w:val="00617101"/>
    <w:rsid w:val="0061750C"/>
    <w:rsid w:val="00617567"/>
    <w:rsid w:val="00617598"/>
    <w:rsid w:val="00617648"/>
    <w:rsid w:val="00617946"/>
    <w:rsid w:val="00617A85"/>
    <w:rsid w:val="00617CB3"/>
    <w:rsid w:val="00617D62"/>
    <w:rsid w:val="00617EDA"/>
    <w:rsid w:val="00620051"/>
    <w:rsid w:val="00620106"/>
    <w:rsid w:val="006203F8"/>
    <w:rsid w:val="00620497"/>
    <w:rsid w:val="006205E2"/>
    <w:rsid w:val="0062066A"/>
    <w:rsid w:val="0062098D"/>
    <w:rsid w:val="006209A2"/>
    <w:rsid w:val="006209C1"/>
    <w:rsid w:val="00620BEE"/>
    <w:rsid w:val="00620F35"/>
    <w:rsid w:val="00620FCE"/>
    <w:rsid w:val="0062117D"/>
    <w:rsid w:val="006211AA"/>
    <w:rsid w:val="00621255"/>
    <w:rsid w:val="0062188E"/>
    <w:rsid w:val="00621B50"/>
    <w:rsid w:val="00621D6F"/>
    <w:rsid w:val="00621D84"/>
    <w:rsid w:val="00621F02"/>
    <w:rsid w:val="0062205E"/>
    <w:rsid w:val="0062209D"/>
    <w:rsid w:val="006221FE"/>
    <w:rsid w:val="00622417"/>
    <w:rsid w:val="00622821"/>
    <w:rsid w:val="00622D7B"/>
    <w:rsid w:val="00622DCF"/>
    <w:rsid w:val="00622E93"/>
    <w:rsid w:val="00622FC9"/>
    <w:rsid w:val="0062321D"/>
    <w:rsid w:val="00623471"/>
    <w:rsid w:val="0062357E"/>
    <w:rsid w:val="0062367B"/>
    <w:rsid w:val="006238D7"/>
    <w:rsid w:val="00623A46"/>
    <w:rsid w:val="00624142"/>
    <w:rsid w:val="006242A5"/>
    <w:rsid w:val="006242D6"/>
    <w:rsid w:val="00624382"/>
    <w:rsid w:val="00624742"/>
    <w:rsid w:val="006249E4"/>
    <w:rsid w:val="00624A53"/>
    <w:rsid w:val="00624ECB"/>
    <w:rsid w:val="00624FD3"/>
    <w:rsid w:val="006250D3"/>
    <w:rsid w:val="00625140"/>
    <w:rsid w:val="006251C2"/>
    <w:rsid w:val="006256A5"/>
    <w:rsid w:val="00625764"/>
    <w:rsid w:val="00625D02"/>
    <w:rsid w:val="0062601E"/>
    <w:rsid w:val="0062616F"/>
    <w:rsid w:val="006266FB"/>
    <w:rsid w:val="0062671A"/>
    <w:rsid w:val="00626745"/>
    <w:rsid w:val="00626784"/>
    <w:rsid w:val="0062683D"/>
    <w:rsid w:val="00626961"/>
    <w:rsid w:val="00626D66"/>
    <w:rsid w:val="00627035"/>
    <w:rsid w:val="0062718A"/>
    <w:rsid w:val="00627274"/>
    <w:rsid w:val="00627561"/>
    <w:rsid w:val="00627859"/>
    <w:rsid w:val="0062786B"/>
    <w:rsid w:val="00627BB8"/>
    <w:rsid w:val="00627BF1"/>
    <w:rsid w:val="00627C57"/>
    <w:rsid w:val="00627CDD"/>
    <w:rsid w:val="00627D5B"/>
    <w:rsid w:val="00627F93"/>
    <w:rsid w:val="006305B4"/>
    <w:rsid w:val="006308C9"/>
    <w:rsid w:val="006308F1"/>
    <w:rsid w:val="0063106B"/>
    <w:rsid w:val="006311F6"/>
    <w:rsid w:val="00631740"/>
    <w:rsid w:val="00631990"/>
    <w:rsid w:val="00631C59"/>
    <w:rsid w:val="00631D2A"/>
    <w:rsid w:val="00631F8B"/>
    <w:rsid w:val="0063209D"/>
    <w:rsid w:val="00632329"/>
    <w:rsid w:val="00632815"/>
    <w:rsid w:val="006329C4"/>
    <w:rsid w:val="00633684"/>
    <w:rsid w:val="006338DC"/>
    <w:rsid w:val="00633A1D"/>
    <w:rsid w:val="00633BC1"/>
    <w:rsid w:val="00634039"/>
    <w:rsid w:val="00634376"/>
    <w:rsid w:val="00634561"/>
    <w:rsid w:val="006347F7"/>
    <w:rsid w:val="00634923"/>
    <w:rsid w:val="00634A78"/>
    <w:rsid w:val="00634E2D"/>
    <w:rsid w:val="00634F54"/>
    <w:rsid w:val="0063555C"/>
    <w:rsid w:val="0063565B"/>
    <w:rsid w:val="0063579B"/>
    <w:rsid w:val="006357EC"/>
    <w:rsid w:val="0063588E"/>
    <w:rsid w:val="00635C6C"/>
    <w:rsid w:val="00635C87"/>
    <w:rsid w:val="00635DFE"/>
    <w:rsid w:val="00635F0C"/>
    <w:rsid w:val="00636262"/>
    <w:rsid w:val="006363FC"/>
    <w:rsid w:val="00636496"/>
    <w:rsid w:val="006368BD"/>
    <w:rsid w:val="00636B32"/>
    <w:rsid w:val="00636DC1"/>
    <w:rsid w:val="00636F0D"/>
    <w:rsid w:val="00637132"/>
    <w:rsid w:val="006371D3"/>
    <w:rsid w:val="00637229"/>
    <w:rsid w:val="00637262"/>
    <w:rsid w:val="00637444"/>
    <w:rsid w:val="0063761D"/>
    <w:rsid w:val="00637982"/>
    <w:rsid w:val="006379EC"/>
    <w:rsid w:val="00637A05"/>
    <w:rsid w:val="00637D3A"/>
    <w:rsid w:val="00637DA7"/>
    <w:rsid w:val="00637E85"/>
    <w:rsid w:val="0064019F"/>
    <w:rsid w:val="006401CE"/>
    <w:rsid w:val="0064020F"/>
    <w:rsid w:val="00640669"/>
    <w:rsid w:val="00640874"/>
    <w:rsid w:val="00640AFD"/>
    <w:rsid w:val="00640BB0"/>
    <w:rsid w:val="00640CDF"/>
    <w:rsid w:val="006413B7"/>
    <w:rsid w:val="006414A4"/>
    <w:rsid w:val="00641500"/>
    <w:rsid w:val="006415A3"/>
    <w:rsid w:val="0064175F"/>
    <w:rsid w:val="00641922"/>
    <w:rsid w:val="00641E0C"/>
    <w:rsid w:val="00641F0F"/>
    <w:rsid w:val="00642130"/>
    <w:rsid w:val="00642162"/>
    <w:rsid w:val="00642581"/>
    <w:rsid w:val="00642650"/>
    <w:rsid w:val="006427E8"/>
    <w:rsid w:val="00642964"/>
    <w:rsid w:val="00642C2A"/>
    <w:rsid w:val="00642D57"/>
    <w:rsid w:val="00642D87"/>
    <w:rsid w:val="00643070"/>
    <w:rsid w:val="00643228"/>
    <w:rsid w:val="006439CE"/>
    <w:rsid w:val="006439D8"/>
    <w:rsid w:val="00643A6A"/>
    <w:rsid w:val="006440A9"/>
    <w:rsid w:val="00644128"/>
    <w:rsid w:val="006441BC"/>
    <w:rsid w:val="006441CC"/>
    <w:rsid w:val="006443A1"/>
    <w:rsid w:val="006447CA"/>
    <w:rsid w:val="00644979"/>
    <w:rsid w:val="0064497B"/>
    <w:rsid w:val="00644AFA"/>
    <w:rsid w:val="00644C41"/>
    <w:rsid w:val="00644F36"/>
    <w:rsid w:val="0064517A"/>
    <w:rsid w:val="00645225"/>
    <w:rsid w:val="0064531A"/>
    <w:rsid w:val="00645379"/>
    <w:rsid w:val="006458E5"/>
    <w:rsid w:val="00645D10"/>
    <w:rsid w:val="00645FFF"/>
    <w:rsid w:val="006460A0"/>
    <w:rsid w:val="00646277"/>
    <w:rsid w:val="00646290"/>
    <w:rsid w:val="0064655E"/>
    <w:rsid w:val="00646856"/>
    <w:rsid w:val="006468C2"/>
    <w:rsid w:val="006469D7"/>
    <w:rsid w:val="00646AF1"/>
    <w:rsid w:val="00646C83"/>
    <w:rsid w:val="00647148"/>
    <w:rsid w:val="0064721E"/>
    <w:rsid w:val="0064730E"/>
    <w:rsid w:val="006474B8"/>
    <w:rsid w:val="006476FA"/>
    <w:rsid w:val="0064798D"/>
    <w:rsid w:val="00647A8B"/>
    <w:rsid w:val="00647B97"/>
    <w:rsid w:val="00647DD0"/>
    <w:rsid w:val="00647F5C"/>
    <w:rsid w:val="00650107"/>
    <w:rsid w:val="0065012F"/>
    <w:rsid w:val="006502D0"/>
    <w:rsid w:val="006504F6"/>
    <w:rsid w:val="006507E3"/>
    <w:rsid w:val="00650C39"/>
    <w:rsid w:val="00650ECD"/>
    <w:rsid w:val="00650F8D"/>
    <w:rsid w:val="006510CD"/>
    <w:rsid w:val="00651162"/>
    <w:rsid w:val="006512AB"/>
    <w:rsid w:val="006513CF"/>
    <w:rsid w:val="006517E4"/>
    <w:rsid w:val="0065193D"/>
    <w:rsid w:val="006523A0"/>
    <w:rsid w:val="0065247B"/>
    <w:rsid w:val="006525FE"/>
    <w:rsid w:val="00652872"/>
    <w:rsid w:val="00652A8C"/>
    <w:rsid w:val="00652ABC"/>
    <w:rsid w:val="00652BDF"/>
    <w:rsid w:val="00652E24"/>
    <w:rsid w:val="0065315C"/>
    <w:rsid w:val="006533C7"/>
    <w:rsid w:val="00653D25"/>
    <w:rsid w:val="00654161"/>
    <w:rsid w:val="006541F2"/>
    <w:rsid w:val="006542E5"/>
    <w:rsid w:val="00654794"/>
    <w:rsid w:val="00654A5E"/>
    <w:rsid w:val="00654B17"/>
    <w:rsid w:val="00654BD4"/>
    <w:rsid w:val="00654D9E"/>
    <w:rsid w:val="0065519B"/>
    <w:rsid w:val="00655688"/>
    <w:rsid w:val="006559E4"/>
    <w:rsid w:val="00655B5F"/>
    <w:rsid w:val="00655B86"/>
    <w:rsid w:val="00655D37"/>
    <w:rsid w:val="006569B2"/>
    <w:rsid w:val="00656D35"/>
    <w:rsid w:val="006571C3"/>
    <w:rsid w:val="0065721B"/>
    <w:rsid w:val="00657233"/>
    <w:rsid w:val="00657539"/>
    <w:rsid w:val="00657B55"/>
    <w:rsid w:val="00657F4D"/>
    <w:rsid w:val="0066027E"/>
    <w:rsid w:val="0066055D"/>
    <w:rsid w:val="006609E0"/>
    <w:rsid w:val="00660C1E"/>
    <w:rsid w:val="00660F44"/>
    <w:rsid w:val="00660FE9"/>
    <w:rsid w:val="00661145"/>
    <w:rsid w:val="006611DE"/>
    <w:rsid w:val="0066135C"/>
    <w:rsid w:val="0066137F"/>
    <w:rsid w:val="00661598"/>
    <w:rsid w:val="00661B2C"/>
    <w:rsid w:val="00661D73"/>
    <w:rsid w:val="00661D92"/>
    <w:rsid w:val="00661ECE"/>
    <w:rsid w:val="00662280"/>
    <w:rsid w:val="00662361"/>
    <w:rsid w:val="00662675"/>
    <w:rsid w:val="006626DA"/>
    <w:rsid w:val="00662D8B"/>
    <w:rsid w:val="00662E0A"/>
    <w:rsid w:val="006630A6"/>
    <w:rsid w:val="00663122"/>
    <w:rsid w:val="00663543"/>
    <w:rsid w:val="00663594"/>
    <w:rsid w:val="006636E5"/>
    <w:rsid w:val="006637A1"/>
    <w:rsid w:val="00663BDF"/>
    <w:rsid w:val="00663C1D"/>
    <w:rsid w:val="00663EA2"/>
    <w:rsid w:val="006640A0"/>
    <w:rsid w:val="006641F6"/>
    <w:rsid w:val="006642D2"/>
    <w:rsid w:val="006643D1"/>
    <w:rsid w:val="00664666"/>
    <w:rsid w:val="0066473C"/>
    <w:rsid w:val="0066479B"/>
    <w:rsid w:val="00664EB7"/>
    <w:rsid w:val="006653DE"/>
    <w:rsid w:val="006653E6"/>
    <w:rsid w:val="00665476"/>
    <w:rsid w:val="0066555E"/>
    <w:rsid w:val="00665798"/>
    <w:rsid w:val="006658B3"/>
    <w:rsid w:val="00665A2E"/>
    <w:rsid w:val="00665AC1"/>
    <w:rsid w:val="00665D3D"/>
    <w:rsid w:val="00665DCF"/>
    <w:rsid w:val="00665E8D"/>
    <w:rsid w:val="006660B6"/>
    <w:rsid w:val="006660DA"/>
    <w:rsid w:val="006660EB"/>
    <w:rsid w:val="006661D0"/>
    <w:rsid w:val="00666D46"/>
    <w:rsid w:val="00666F62"/>
    <w:rsid w:val="00666F8D"/>
    <w:rsid w:val="00667170"/>
    <w:rsid w:val="00667308"/>
    <w:rsid w:val="006673C5"/>
    <w:rsid w:val="00667435"/>
    <w:rsid w:val="00667498"/>
    <w:rsid w:val="00667861"/>
    <w:rsid w:val="006679B8"/>
    <w:rsid w:val="0067058A"/>
    <w:rsid w:val="006706C4"/>
    <w:rsid w:val="00670717"/>
    <w:rsid w:val="00670750"/>
    <w:rsid w:val="006708D1"/>
    <w:rsid w:val="0067090F"/>
    <w:rsid w:val="00670916"/>
    <w:rsid w:val="0067091C"/>
    <w:rsid w:val="00670927"/>
    <w:rsid w:val="0067094B"/>
    <w:rsid w:val="006709C1"/>
    <w:rsid w:val="00670A2F"/>
    <w:rsid w:val="00670B99"/>
    <w:rsid w:val="00670D02"/>
    <w:rsid w:val="00670E7B"/>
    <w:rsid w:val="0067113A"/>
    <w:rsid w:val="0067122A"/>
    <w:rsid w:val="006719A4"/>
    <w:rsid w:val="006720F4"/>
    <w:rsid w:val="0067265C"/>
    <w:rsid w:val="0067266E"/>
    <w:rsid w:val="006727F3"/>
    <w:rsid w:val="00672A2F"/>
    <w:rsid w:val="00672C13"/>
    <w:rsid w:val="00672DF0"/>
    <w:rsid w:val="0067313D"/>
    <w:rsid w:val="0067314B"/>
    <w:rsid w:val="006731E4"/>
    <w:rsid w:val="00673302"/>
    <w:rsid w:val="00673381"/>
    <w:rsid w:val="006733A8"/>
    <w:rsid w:val="00673408"/>
    <w:rsid w:val="006734C2"/>
    <w:rsid w:val="006737C0"/>
    <w:rsid w:val="00673B01"/>
    <w:rsid w:val="00673BED"/>
    <w:rsid w:val="00674611"/>
    <w:rsid w:val="00674667"/>
    <w:rsid w:val="0067467E"/>
    <w:rsid w:val="00674C50"/>
    <w:rsid w:val="006751A2"/>
    <w:rsid w:val="006752A4"/>
    <w:rsid w:val="006754D0"/>
    <w:rsid w:val="006755D2"/>
    <w:rsid w:val="0067562E"/>
    <w:rsid w:val="006756FD"/>
    <w:rsid w:val="006759B5"/>
    <w:rsid w:val="006759C9"/>
    <w:rsid w:val="006763BF"/>
    <w:rsid w:val="006767A0"/>
    <w:rsid w:val="006769E2"/>
    <w:rsid w:val="00676B81"/>
    <w:rsid w:val="00676B9A"/>
    <w:rsid w:val="00676CAC"/>
    <w:rsid w:val="00676DA5"/>
    <w:rsid w:val="006770C2"/>
    <w:rsid w:val="006770CD"/>
    <w:rsid w:val="006775E1"/>
    <w:rsid w:val="00677840"/>
    <w:rsid w:val="006779C4"/>
    <w:rsid w:val="00677A66"/>
    <w:rsid w:val="00677B01"/>
    <w:rsid w:val="0068083E"/>
    <w:rsid w:val="00680A7E"/>
    <w:rsid w:val="00680B2E"/>
    <w:rsid w:val="00680C44"/>
    <w:rsid w:val="00680D15"/>
    <w:rsid w:val="00680D3C"/>
    <w:rsid w:val="00680F87"/>
    <w:rsid w:val="006813F3"/>
    <w:rsid w:val="0068153D"/>
    <w:rsid w:val="00681892"/>
    <w:rsid w:val="00681AF8"/>
    <w:rsid w:val="00681C62"/>
    <w:rsid w:val="00681EC3"/>
    <w:rsid w:val="0068213C"/>
    <w:rsid w:val="006821E0"/>
    <w:rsid w:val="006823BB"/>
    <w:rsid w:val="006824F1"/>
    <w:rsid w:val="0068257C"/>
    <w:rsid w:val="006825F4"/>
    <w:rsid w:val="00682772"/>
    <w:rsid w:val="0068279A"/>
    <w:rsid w:val="00682872"/>
    <w:rsid w:val="00682938"/>
    <w:rsid w:val="006829F9"/>
    <w:rsid w:val="006829FD"/>
    <w:rsid w:val="00682B04"/>
    <w:rsid w:val="00682B0A"/>
    <w:rsid w:val="00682B70"/>
    <w:rsid w:val="00682CCC"/>
    <w:rsid w:val="00682FC6"/>
    <w:rsid w:val="006831A4"/>
    <w:rsid w:val="006834AC"/>
    <w:rsid w:val="00683630"/>
    <w:rsid w:val="006837F0"/>
    <w:rsid w:val="00683861"/>
    <w:rsid w:val="006838BE"/>
    <w:rsid w:val="00683A3B"/>
    <w:rsid w:val="00683A3C"/>
    <w:rsid w:val="00683A6C"/>
    <w:rsid w:val="006842EA"/>
    <w:rsid w:val="006848AB"/>
    <w:rsid w:val="0068505A"/>
    <w:rsid w:val="0068519B"/>
    <w:rsid w:val="00685927"/>
    <w:rsid w:val="00685960"/>
    <w:rsid w:val="006859BE"/>
    <w:rsid w:val="00685ABF"/>
    <w:rsid w:val="00685CC2"/>
    <w:rsid w:val="00685CE7"/>
    <w:rsid w:val="00686402"/>
    <w:rsid w:val="00686685"/>
    <w:rsid w:val="00686716"/>
    <w:rsid w:val="00686850"/>
    <w:rsid w:val="00686963"/>
    <w:rsid w:val="006869DF"/>
    <w:rsid w:val="00686AFA"/>
    <w:rsid w:val="00686B29"/>
    <w:rsid w:val="00686C62"/>
    <w:rsid w:val="00686EEA"/>
    <w:rsid w:val="0068709B"/>
    <w:rsid w:val="00687270"/>
    <w:rsid w:val="00687322"/>
    <w:rsid w:val="006873C2"/>
    <w:rsid w:val="00687479"/>
    <w:rsid w:val="00687617"/>
    <w:rsid w:val="00687D4A"/>
    <w:rsid w:val="00687F74"/>
    <w:rsid w:val="00687FDE"/>
    <w:rsid w:val="00687FF6"/>
    <w:rsid w:val="006900B2"/>
    <w:rsid w:val="006900CD"/>
    <w:rsid w:val="006902B3"/>
    <w:rsid w:val="006904F8"/>
    <w:rsid w:val="00690510"/>
    <w:rsid w:val="006905AE"/>
    <w:rsid w:val="00690CCF"/>
    <w:rsid w:val="006910DE"/>
    <w:rsid w:val="006910E3"/>
    <w:rsid w:val="00691396"/>
    <w:rsid w:val="006914BB"/>
    <w:rsid w:val="006914D4"/>
    <w:rsid w:val="00691649"/>
    <w:rsid w:val="00691683"/>
    <w:rsid w:val="0069179B"/>
    <w:rsid w:val="00691817"/>
    <w:rsid w:val="00691844"/>
    <w:rsid w:val="00691B48"/>
    <w:rsid w:val="00691C04"/>
    <w:rsid w:val="00691D76"/>
    <w:rsid w:val="00691EF6"/>
    <w:rsid w:val="00691F16"/>
    <w:rsid w:val="00692316"/>
    <w:rsid w:val="0069242A"/>
    <w:rsid w:val="006926BB"/>
    <w:rsid w:val="00692765"/>
    <w:rsid w:val="00692CB8"/>
    <w:rsid w:val="00692DDD"/>
    <w:rsid w:val="0069303B"/>
    <w:rsid w:val="006933BF"/>
    <w:rsid w:val="0069342F"/>
    <w:rsid w:val="006934E8"/>
    <w:rsid w:val="006939E7"/>
    <w:rsid w:val="00693CF3"/>
    <w:rsid w:val="00693FE9"/>
    <w:rsid w:val="006941CF"/>
    <w:rsid w:val="00694613"/>
    <w:rsid w:val="0069477A"/>
    <w:rsid w:val="00694950"/>
    <w:rsid w:val="00694D72"/>
    <w:rsid w:val="00695737"/>
    <w:rsid w:val="00695785"/>
    <w:rsid w:val="006958AE"/>
    <w:rsid w:val="0069612D"/>
    <w:rsid w:val="00696290"/>
    <w:rsid w:val="0069666C"/>
    <w:rsid w:val="006966D2"/>
    <w:rsid w:val="0069682A"/>
    <w:rsid w:val="0069693F"/>
    <w:rsid w:val="0069699E"/>
    <w:rsid w:val="00696B92"/>
    <w:rsid w:val="00696BB4"/>
    <w:rsid w:val="00696D56"/>
    <w:rsid w:val="00696E79"/>
    <w:rsid w:val="00697034"/>
    <w:rsid w:val="006971CB"/>
    <w:rsid w:val="006971F7"/>
    <w:rsid w:val="006972D7"/>
    <w:rsid w:val="006972E1"/>
    <w:rsid w:val="0069731F"/>
    <w:rsid w:val="0069741C"/>
    <w:rsid w:val="006974CE"/>
    <w:rsid w:val="006974ED"/>
    <w:rsid w:val="00697C5F"/>
    <w:rsid w:val="00697D95"/>
    <w:rsid w:val="00697DA1"/>
    <w:rsid w:val="00697DCE"/>
    <w:rsid w:val="00697E39"/>
    <w:rsid w:val="006A017A"/>
    <w:rsid w:val="006A09D8"/>
    <w:rsid w:val="006A0B9A"/>
    <w:rsid w:val="006A0C59"/>
    <w:rsid w:val="006A0E59"/>
    <w:rsid w:val="006A0FFC"/>
    <w:rsid w:val="006A12E4"/>
    <w:rsid w:val="006A1336"/>
    <w:rsid w:val="006A1427"/>
    <w:rsid w:val="006A1565"/>
    <w:rsid w:val="006A165F"/>
    <w:rsid w:val="006A1759"/>
    <w:rsid w:val="006A1762"/>
    <w:rsid w:val="006A1829"/>
    <w:rsid w:val="006A1883"/>
    <w:rsid w:val="006A1896"/>
    <w:rsid w:val="006A1F10"/>
    <w:rsid w:val="006A2035"/>
    <w:rsid w:val="006A211B"/>
    <w:rsid w:val="006A2237"/>
    <w:rsid w:val="006A251D"/>
    <w:rsid w:val="006A25C8"/>
    <w:rsid w:val="006A28C8"/>
    <w:rsid w:val="006A2AA7"/>
    <w:rsid w:val="006A2D0F"/>
    <w:rsid w:val="006A2D95"/>
    <w:rsid w:val="006A2E1E"/>
    <w:rsid w:val="006A2E27"/>
    <w:rsid w:val="006A3192"/>
    <w:rsid w:val="006A328A"/>
    <w:rsid w:val="006A32B4"/>
    <w:rsid w:val="006A32DA"/>
    <w:rsid w:val="006A32DF"/>
    <w:rsid w:val="006A33E0"/>
    <w:rsid w:val="006A3404"/>
    <w:rsid w:val="006A34AF"/>
    <w:rsid w:val="006A34E0"/>
    <w:rsid w:val="006A353C"/>
    <w:rsid w:val="006A36CF"/>
    <w:rsid w:val="006A3AF8"/>
    <w:rsid w:val="006A3E19"/>
    <w:rsid w:val="006A3FE0"/>
    <w:rsid w:val="006A43EC"/>
    <w:rsid w:val="006A4559"/>
    <w:rsid w:val="006A45C9"/>
    <w:rsid w:val="006A48CA"/>
    <w:rsid w:val="006A4AA5"/>
    <w:rsid w:val="006A4B25"/>
    <w:rsid w:val="006A4BB5"/>
    <w:rsid w:val="006A4D86"/>
    <w:rsid w:val="006A4FEA"/>
    <w:rsid w:val="006A5152"/>
    <w:rsid w:val="006A53E7"/>
    <w:rsid w:val="006A55C0"/>
    <w:rsid w:val="006A57C6"/>
    <w:rsid w:val="006A57F8"/>
    <w:rsid w:val="006A5D70"/>
    <w:rsid w:val="006A5DBE"/>
    <w:rsid w:val="006A5E7A"/>
    <w:rsid w:val="006A5FF7"/>
    <w:rsid w:val="006A5FFC"/>
    <w:rsid w:val="006A6187"/>
    <w:rsid w:val="006A6206"/>
    <w:rsid w:val="006A6794"/>
    <w:rsid w:val="006A69C4"/>
    <w:rsid w:val="006A6A1C"/>
    <w:rsid w:val="006A6BE0"/>
    <w:rsid w:val="006A70F6"/>
    <w:rsid w:val="006A7178"/>
    <w:rsid w:val="006A7500"/>
    <w:rsid w:val="006A757B"/>
    <w:rsid w:val="006A7669"/>
    <w:rsid w:val="006A76D6"/>
    <w:rsid w:val="006A773D"/>
    <w:rsid w:val="006A7872"/>
    <w:rsid w:val="006A7ADB"/>
    <w:rsid w:val="006A7B05"/>
    <w:rsid w:val="006A7C15"/>
    <w:rsid w:val="006A7CEC"/>
    <w:rsid w:val="006A7E9B"/>
    <w:rsid w:val="006B0005"/>
    <w:rsid w:val="006B0054"/>
    <w:rsid w:val="006B0169"/>
    <w:rsid w:val="006B0176"/>
    <w:rsid w:val="006B049F"/>
    <w:rsid w:val="006B078C"/>
    <w:rsid w:val="006B08D3"/>
    <w:rsid w:val="006B0C6D"/>
    <w:rsid w:val="006B10A2"/>
    <w:rsid w:val="006B189B"/>
    <w:rsid w:val="006B1A20"/>
    <w:rsid w:val="006B1ACF"/>
    <w:rsid w:val="006B1E9C"/>
    <w:rsid w:val="006B1EE1"/>
    <w:rsid w:val="006B1F13"/>
    <w:rsid w:val="006B1FE2"/>
    <w:rsid w:val="006B221F"/>
    <w:rsid w:val="006B2654"/>
    <w:rsid w:val="006B2744"/>
    <w:rsid w:val="006B2768"/>
    <w:rsid w:val="006B2827"/>
    <w:rsid w:val="006B285D"/>
    <w:rsid w:val="006B2980"/>
    <w:rsid w:val="006B2B29"/>
    <w:rsid w:val="006B2C3F"/>
    <w:rsid w:val="006B2C46"/>
    <w:rsid w:val="006B3027"/>
    <w:rsid w:val="006B3163"/>
    <w:rsid w:val="006B33E9"/>
    <w:rsid w:val="006B344E"/>
    <w:rsid w:val="006B381E"/>
    <w:rsid w:val="006B3C9C"/>
    <w:rsid w:val="006B3CA0"/>
    <w:rsid w:val="006B3D52"/>
    <w:rsid w:val="006B3E0F"/>
    <w:rsid w:val="006B3E1F"/>
    <w:rsid w:val="006B45ED"/>
    <w:rsid w:val="006B4631"/>
    <w:rsid w:val="006B46E0"/>
    <w:rsid w:val="006B49D8"/>
    <w:rsid w:val="006B4A4E"/>
    <w:rsid w:val="006B4B90"/>
    <w:rsid w:val="006B4D65"/>
    <w:rsid w:val="006B50A2"/>
    <w:rsid w:val="006B50E1"/>
    <w:rsid w:val="006B5534"/>
    <w:rsid w:val="006B5A28"/>
    <w:rsid w:val="006B5A64"/>
    <w:rsid w:val="006B5D8A"/>
    <w:rsid w:val="006B5DC3"/>
    <w:rsid w:val="006B5E37"/>
    <w:rsid w:val="006B61BC"/>
    <w:rsid w:val="006B61C5"/>
    <w:rsid w:val="006B61E4"/>
    <w:rsid w:val="006B632B"/>
    <w:rsid w:val="006B6408"/>
    <w:rsid w:val="006B665D"/>
    <w:rsid w:val="006B680F"/>
    <w:rsid w:val="006B68A1"/>
    <w:rsid w:val="006B6B4F"/>
    <w:rsid w:val="006B6FC5"/>
    <w:rsid w:val="006B7893"/>
    <w:rsid w:val="006B79CA"/>
    <w:rsid w:val="006B7E15"/>
    <w:rsid w:val="006C0337"/>
    <w:rsid w:val="006C06EE"/>
    <w:rsid w:val="006C089B"/>
    <w:rsid w:val="006C0A24"/>
    <w:rsid w:val="006C0D2B"/>
    <w:rsid w:val="006C1514"/>
    <w:rsid w:val="006C151C"/>
    <w:rsid w:val="006C1766"/>
    <w:rsid w:val="006C186E"/>
    <w:rsid w:val="006C187D"/>
    <w:rsid w:val="006C204F"/>
    <w:rsid w:val="006C20E3"/>
    <w:rsid w:val="006C223E"/>
    <w:rsid w:val="006C224C"/>
    <w:rsid w:val="006C24DC"/>
    <w:rsid w:val="006C2786"/>
    <w:rsid w:val="006C2854"/>
    <w:rsid w:val="006C2955"/>
    <w:rsid w:val="006C2B34"/>
    <w:rsid w:val="006C2BFF"/>
    <w:rsid w:val="006C30B0"/>
    <w:rsid w:val="006C32C0"/>
    <w:rsid w:val="006C32F9"/>
    <w:rsid w:val="006C3464"/>
    <w:rsid w:val="006C3616"/>
    <w:rsid w:val="006C39BD"/>
    <w:rsid w:val="006C3FEF"/>
    <w:rsid w:val="006C40DB"/>
    <w:rsid w:val="006C4243"/>
    <w:rsid w:val="006C466F"/>
    <w:rsid w:val="006C493C"/>
    <w:rsid w:val="006C4D1C"/>
    <w:rsid w:val="006C4E78"/>
    <w:rsid w:val="006C5318"/>
    <w:rsid w:val="006C5558"/>
    <w:rsid w:val="006C55E6"/>
    <w:rsid w:val="006C5710"/>
    <w:rsid w:val="006C5D18"/>
    <w:rsid w:val="006C5F37"/>
    <w:rsid w:val="006C6075"/>
    <w:rsid w:val="006C6101"/>
    <w:rsid w:val="006C62C3"/>
    <w:rsid w:val="006C63EA"/>
    <w:rsid w:val="006C6432"/>
    <w:rsid w:val="006C68D3"/>
    <w:rsid w:val="006C737C"/>
    <w:rsid w:val="006C743C"/>
    <w:rsid w:val="006C75D2"/>
    <w:rsid w:val="006C7629"/>
    <w:rsid w:val="006C7677"/>
    <w:rsid w:val="006C7838"/>
    <w:rsid w:val="006C7B7D"/>
    <w:rsid w:val="006C7CB5"/>
    <w:rsid w:val="006C7D5B"/>
    <w:rsid w:val="006D057B"/>
    <w:rsid w:val="006D0CB4"/>
    <w:rsid w:val="006D0E2C"/>
    <w:rsid w:val="006D0F2B"/>
    <w:rsid w:val="006D1E26"/>
    <w:rsid w:val="006D1EC6"/>
    <w:rsid w:val="006D20ED"/>
    <w:rsid w:val="006D2397"/>
    <w:rsid w:val="006D2893"/>
    <w:rsid w:val="006D29C6"/>
    <w:rsid w:val="006D2A30"/>
    <w:rsid w:val="006D2E73"/>
    <w:rsid w:val="006D2FA1"/>
    <w:rsid w:val="006D2FF2"/>
    <w:rsid w:val="006D3C93"/>
    <w:rsid w:val="006D3CC8"/>
    <w:rsid w:val="006D3D95"/>
    <w:rsid w:val="006D3E17"/>
    <w:rsid w:val="006D3E5E"/>
    <w:rsid w:val="006D3EB9"/>
    <w:rsid w:val="006D422B"/>
    <w:rsid w:val="006D445C"/>
    <w:rsid w:val="006D4486"/>
    <w:rsid w:val="006D4A66"/>
    <w:rsid w:val="006D4E3C"/>
    <w:rsid w:val="006D4FFF"/>
    <w:rsid w:val="006D50DF"/>
    <w:rsid w:val="006D53CF"/>
    <w:rsid w:val="006D542B"/>
    <w:rsid w:val="006D5579"/>
    <w:rsid w:val="006D583A"/>
    <w:rsid w:val="006D5877"/>
    <w:rsid w:val="006D5DE5"/>
    <w:rsid w:val="006D5F68"/>
    <w:rsid w:val="006D6233"/>
    <w:rsid w:val="006D63F1"/>
    <w:rsid w:val="006D63FB"/>
    <w:rsid w:val="006D65F3"/>
    <w:rsid w:val="006D69D4"/>
    <w:rsid w:val="006D6C72"/>
    <w:rsid w:val="006D6CD0"/>
    <w:rsid w:val="006D70AE"/>
    <w:rsid w:val="006D7187"/>
    <w:rsid w:val="006D7307"/>
    <w:rsid w:val="006D754E"/>
    <w:rsid w:val="006D76B3"/>
    <w:rsid w:val="006D778D"/>
    <w:rsid w:val="006D7F82"/>
    <w:rsid w:val="006D7FE4"/>
    <w:rsid w:val="006E02FC"/>
    <w:rsid w:val="006E0348"/>
    <w:rsid w:val="006E0416"/>
    <w:rsid w:val="006E0442"/>
    <w:rsid w:val="006E0945"/>
    <w:rsid w:val="006E0979"/>
    <w:rsid w:val="006E0A30"/>
    <w:rsid w:val="006E0A7E"/>
    <w:rsid w:val="006E105D"/>
    <w:rsid w:val="006E138E"/>
    <w:rsid w:val="006E13DB"/>
    <w:rsid w:val="006E16F0"/>
    <w:rsid w:val="006E1E19"/>
    <w:rsid w:val="006E1E63"/>
    <w:rsid w:val="006E2172"/>
    <w:rsid w:val="006E22B0"/>
    <w:rsid w:val="006E22B6"/>
    <w:rsid w:val="006E23CB"/>
    <w:rsid w:val="006E23CC"/>
    <w:rsid w:val="006E245B"/>
    <w:rsid w:val="006E255E"/>
    <w:rsid w:val="006E25DB"/>
    <w:rsid w:val="006E266E"/>
    <w:rsid w:val="006E2797"/>
    <w:rsid w:val="006E29E8"/>
    <w:rsid w:val="006E2AC3"/>
    <w:rsid w:val="006E2B58"/>
    <w:rsid w:val="006E2F6C"/>
    <w:rsid w:val="006E2F84"/>
    <w:rsid w:val="006E3725"/>
    <w:rsid w:val="006E3B30"/>
    <w:rsid w:val="006E3CA7"/>
    <w:rsid w:val="006E3E12"/>
    <w:rsid w:val="006E3E32"/>
    <w:rsid w:val="006E42D8"/>
    <w:rsid w:val="006E4476"/>
    <w:rsid w:val="006E44C6"/>
    <w:rsid w:val="006E459A"/>
    <w:rsid w:val="006E48E1"/>
    <w:rsid w:val="006E498E"/>
    <w:rsid w:val="006E4B80"/>
    <w:rsid w:val="006E4BE9"/>
    <w:rsid w:val="006E4C54"/>
    <w:rsid w:val="006E4DDF"/>
    <w:rsid w:val="006E505B"/>
    <w:rsid w:val="006E50C7"/>
    <w:rsid w:val="006E511C"/>
    <w:rsid w:val="006E52C7"/>
    <w:rsid w:val="006E52F0"/>
    <w:rsid w:val="006E549C"/>
    <w:rsid w:val="006E56DE"/>
    <w:rsid w:val="006E5720"/>
    <w:rsid w:val="006E573D"/>
    <w:rsid w:val="006E58B6"/>
    <w:rsid w:val="006E58C0"/>
    <w:rsid w:val="006E59E5"/>
    <w:rsid w:val="006E5BEB"/>
    <w:rsid w:val="006E6271"/>
    <w:rsid w:val="006E6600"/>
    <w:rsid w:val="006E6773"/>
    <w:rsid w:val="006E6A2A"/>
    <w:rsid w:val="006E6A4F"/>
    <w:rsid w:val="006E6F74"/>
    <w:rsid w:val="006E7014"/>
    <w:rsid w:val="006E70F4"/>
    <w:rsid w:val="006E71C9"/>
    <w:rsid w:val="006E7257"/>
    <w:rsid w:val="006E72F9"/>
    <w:rsid w:val="006E73E2"/>
    <w:rsid w:val="006E79AD"/>
    <w:rsid w:val="006E7AA0"/>
    <w:rsid w:val="006E7BAF"/>
    <w:rsid w:val="006E7D1D"/>
    <w:rsid w:val="006E7D36"/>
    <w:rsid w:val="006E7EDB"/>
    <w:rsid w:val="006E7FF1"/>
    <w:rsid w:val="006F0015"/>
    <w:rsid w:val="006F0023"/>
    <w:rsid w:val="006F00A9"/>
    <w:rsid w:val="006F00E5"/>
    <w:rsid w:val="006F03D5"/>
    <w:rsid w:val="006F03F7"/>
    <w:rsid w:val="006F06F1"/>
    <w:rsid w:val="006F08F3"/>
    <w:rsid w:val="006F107B"/>
    <w:rsid w:val="006F119B"/>
    <w:rsid w:val="006F1310"/>
    <w:rsid w:val="006F1704"/>
    <w:rsid w:val="006F1708"/>
    <w:rsid w:val="006F170E"/>
    <w:rsid w:val="006F1A54"/>
    <w:rsid w:val="006F1EFA"/>
    <w:rsid w:val="006F1FF5"/>
    <w:rsid w:val="006F2132"/>
    <w:rsid w:val="006F2317"/>
    <w:rsid w:val="006F2883"/>
    <w:rsid w:val="006F2A32"/>
    <w:rsid w:val="006F2AA0"/>
    <w:rsid w:val="006F2B2D"/>
    <w:rsid w:val="006F2B92"/>
    <w:rsid w:val="006F2E83"/>
    <w:rsid w:val="006F2F7C"/>
    <w:rsid w:val="006F3353"/>
    <w:rsid w:val="006F345C"/>
    <w:rsid w:val="006F371D"/>
    <w:rsid w:val="006F3B71"/>
    <w:rsid w:val="006F3D73"/>
    <w:rsid w:val="006F3F26"/>
    <w:rsid w:val="006F3F9B"/>
    <w:rsid w:val="006F4251"/>
    <w:rsid w:val="006F42F4"/>
    <w:rsid w:val="006F4585"/>
    <w:rsid w:val="006F470E"/>
    <w:rsid w:val="006F4898"/>
    <w:rsid w:val="006F489C"/>
    <w:rsid w:val="006F4D74"/>
    <w:rsid w:val="006F4DA9"/>
    <w:rsid w:val="006F5033"/>
    <w:rsid w:val="006F53C4"/>
    <w:rsid w:val="006F570F"/>
    <w:rsid w:val="006F57BA"/>
    <w:rsid w:val="006F5B91"/>
    <w:rsid w:val="006F5D1F"/>
    <w:rsid w:val="006F5E56"/>
    <w:rsid w:val="006F5F57"/>
    <w:rsid w:val="006F5F8D"/>
    <w:rsid w:val="006F6210"/>
    <w:rsid w:val="006F6329"/>
    <w:rsid w:val="006F6431"/>
    <w:rsid w:val="006F677D"/>
    <w:rsid w:val="006F6793"/>
    <w:rsid w:val="006F67D8"/>
    <w:rsid w:val="006F68D4"/>
    <w:rsid w:val="006F6A89"/>
    <w:rsid w:val="006F6B46"/>
    <w:rsid w:val="006F6BB0"/>
    <w:rsid w:val="006F6DFB"/>
    <w:rsid w:val="006F7046"/>
    <w:rsid w:val="006F7397"/>
    <w:rsid w:val="006F78EF"/>
    <w:rsid w:val="006F7BCD"/>
    <w:rsid w:val="006F7E49"/>
    <w:rsid w:val="0070001C"/>
    <w:rsid w:val="007000DF"/>
    <w:rsid w:val="00700213"/>
    <w:rsid w:val="0070026F"/>
    <w:rsid w:val="00700E3E"/>
    <w:rsid w:val="00700FDE"/>
    <w:rsid w:val="007010A6"/>
    <w:rsid w:val="00701128"/>
    <w:rsid w:val="00701144"/>
    <w:rsid w:val="00701422"/>
    <w:rsid w:val="00701BAC"/>
    <w:rsid w:val="00701C92"/>
    <w:rsid w:val="00701F9B"/>
    <w:rsid w:val="007020C4"/>
    <w:rsid w:val="007020EB"/>
    <w:rsid w:val="00702450"/>
    <w:rsid w:val="00702688"/>
    <w:rsid w:val="0070299C"/>
    <w:rsid w:val="00702E3B"/>
    <w:rsid w:val="00702E56"/>
    <w:rsid w:val="00703214"/>
    <w:rsid w:val="00703306"/>
    <w:rsid w:val="00703589"/>
    <w:rsid w:val="007037B5"/>
    <w:rsid w:val="00703A22"/>
    <w:rsid w:val="00703BB8"/>
    <w:rsid w:val="00703BE1"/>
    <w:rsid w:val="007040B5"/>
    <w:rsid w:val="00704117"/>
    <w:rsid w:val="0070438F"/>
    <w:rsid w:val="007044C9"/>
    <w:rsid w:val="00704683"/>
    <w:rsid w:val="00704790"/>
    <w:rsid w:val="00704C80"/>
    <w:rsid w:val="00704CFB"/>
    <w:rsid w:val="00704D61"/>
    <w:rsid w:val="007054AF"/>
    <w:rsid w:val="00705578"/>
    <w:rsid w:val="00705667"/>
    <w:rsid w:val="0070573E"/>
    <w:rsid w:val="0070577A"/>
    <w:rsid w:val="00705B99"/>
    <w:rsid w:val="00705BBA"/>
    <w:rsid w:val="00705E2F"/>
    <w:rsid w:val="00705F14"/>
    <w:rsid w:val="00705FFE"/>
    <w:rsid w:val="00706120"/>
    <w:rsid w:val="00706173"/>
    <w:rsid w:val="007061DA"/>
    <w:rsid w:val="00706316"/>
    <w:rsid w:val="00706531"/>
    <w:rsid w:val="0070668C"/>
    <w:rsid w:val="00706796"/>
    <w:rsid w:val="007068CF"/>
    <w:rsid w:val="007068E7"/>
    <w:rsid w:val="00706A02"/>
    <w:rsid w:val="00706DDE"/>
    <w:rsid w:val="00706E52"/>
    <w:rsid w:val="00706E8E"/>
    <w:rsid w:val="00706F38"/>
    <w:rsid w:val="00707007"/>
    <w:rsid w:val="00707172"/>
    <w:rsid w:val="0070766F"/>
    <w:rsid w:val="0070772F"/>
    <w:rsid w:val="007077FB"/>
    <w:rsid w:val="00707A36"/>
    <w:rsid w:val="00707B0E"/>
    <w:rsid w:val="00707B52"/>
    <w:rsid w:val="00707B7E"/>
    <w:rsid w:val="00707E80"/>
    <w:rsid w:val="00707F5D"/>
    <w:rsid w:val="0071055A"/>
    <w:rsid w:val="00710606"/>
    <w:rsid w:val="00710952"/>
    <w:rsid w:val="00710A3D"/>
    <w:rsid w:val="00710AC5"/>
    <w:rsid w:val="00710D66"/>
    <w:rsid w:val="00710D77"/>
    <w:rsid w:val="00711111"/>
    <w:rsid w:val="0071128B"/>
    <w:rsid w:val="00711452"/>
    <w:rsid w:val="0071146E"/>
    <w:rsid w:val="007118DC"/>
    <w:rsid w:val="00711A3A"/>
    <w:rsid w:val="00711B1D"/>
    <w:rsid w:val="00711DE1"/>
    <w:rsid w:val="00711F6D"/>
    <w:rsid w:val="0071209D"/>
    <w:rsid w:val="007126F8"/>
    <w:rsid w:val="00712AE0"/>
    <w:rsid w:val="00712BBE"/>
    <w:rsid w:val="00712ED1"/>
    <w:rsid w:val="00713168"/>
    <w:rsid w:val="00713380"/>
    <w:rsid w:val="00713696"/>
    <w:rsid w:val="007136AD"/>
    <w:rsid w:val="0071381A"/>
    <w:rsid w:val="00713D60"/>
    <w:rsid w:val="00713D72"/>
    <w:rsid w:val="00713DC2"/>
    <w:rsid w:val="00713E71"/>
    <w:rsid w:val="00714104"/>
    <w:rsid w:val="00714591"/>
    <w:rsid w:val="00714B70"/>
    <w:rsid w:val="00714B99"/>
    <w:rsid w:val="00714D08"/>
    <w:rsid w:val="00714D3C"/>
    <w:rsid w:val="00714D90"/>
    <w:rsid w:val="00714DC3"/>
    <w:rsid w:val="00714F81"/>
    <w:rsid w:val="00715067"/>
    <w:rsid w:val="0071509B"/>
    <w:rsid w:val="007153F3"/>
    <w:rsid w:val="00715D18"/>
    <w:rsid w:val="00715DC8"/>
    <w:rsid w:val="00715E65"/>
    <w:rsid w:val="00715FFF"/>
    <w:rsid w:val="0071604A"/>
    <w:rsid w:val="00716109"/>
    <w:rsid w:val="0071625C"/>
    <w:rsid w:val="0071631D"/>
    <w:rsid w:val="007163B5"/>
    <w:rsid w:val="00716430"/>
    <w:rsid w:val="00716715"/>
    <w:rsid w:val="00716920"/>
    <w:rsid w:val="00716BF9"/>
    <w:rsid w:val="00716DA8"/>
    <w:rsid w:val="00716ED1"/>
    <w:rsid w:val="00716EFF"/>
    <w:rsid w:val="00716F83"/>
    <w:rsid w:val="0071717B"/>
    <w:rsid w:val="00717208"/>
    <w:rsid w:val="00717209"/>
    <w:rsid w:val="00717226"/>
    <w:rsid w:val="0071732A"/>
    <w:rsid w:val="00717456"/>
    <w:rsid w:val="00717529"/>
    <w:rsid w:val="007176E3"/>
    <w:rsid w:val="0071793B"/>
    <w:rsid w:val="0071799B"/>
    <w:rsid w:val="007179B5"/>
    <w:rsid w:val="00717AE7"/>
    <w:rsid w:val="00717B1E"/>
    <w:rsid w:val="00717F6A"/>
    <w:rsid w:val="0072051F"/>
    <w:rsid w:val="007207A8"/>
    <w:rsid w:val="00720C5A"/>
    <w:rsid w:val="00720D01"/>
    <w:rsid w:val="00720E26"/>
    <w:rsid w:val="0072166D"/>
    <w:rsid w:val="00721A55"/>
    <w:rsid w:val="00721AFF"/>
    <w:rsid w:val="00721C24"/>
    <w:rsid w:val="00721CFC"/>
    <w:rsid w:val="00721F7B"/>
    <w:rsid w:val="00722114"/>
    <w:rsid w:val="00722306"/>
    <w:rsid w:val="00722364"/>
    <w:rsid w:val="00722471"/>
    <w:rsid w:val="0072275A"/>
    <w:rsid w:val="00722BBD"/>
    <w:rsid w:val="00722E29"/>
    <w:rsid w:val="00722E2B"/>
    <w:rsid w:val="00722E5D"/>
    <w:rsid w:val="00722F1B"/>
    <w:rsid w:val="00723465"/>
    <w:rsid w:val="00723574"/>
    <w:rsid w:val="0072384E"/>
    <w:rsid w:val="00723B64"/>
    <w:rsid w:val="00723BF0"/>
    <w:rsid w:val="0072433F"/>
    <w:rsid w:val="00724786"/>
    <w:rsid w:val="0072479C"/>
    <w:rsid w:val="00724AD2"/>
    <w:rsid w:val="00724C05"/>
    <w:rsid w:val="00724CCA"/>
    <w:rsid w:val="007250D4"/>
    <w:rsid w:val="00725147"/>
    <w:rsid w:val="00725479"/>
    <w:rsid w:val="007255D4"/>
    <w:rsid w:val="00725747"/>
    <w:rsid w:val="007259D6"/>
    <w:rsid w:val="00725D62"/>
    <w:rsid w:val="00725E99"/>
    <w:rsid w:val="00725EF5"/>
    <w:rsid w:val="00725F99"/>
    <w:rsid w:val="0072603F"/>
    <w:rsid w:val="00726118"/>
    <w:rsid w:val="00726206"/>
    <w:rsid w:val="00726276"/>
    <w:rsid w:val="007263B5"/>
    <w:rsid w:val="0072649A"/>
    <w:rsid w:val="00726542"/>
    <w:rsid w:val="007266BD"/>
    <w:rsid w:val="00726C35"/>
    <w:rsid w:val="0072738B"/>
    <w:rsid w:val="007274D8"/>
    <w:rsid w:val="0072798C"/>
    <w:rsid w:val="007279C9"/>
    <w:rsid w:val="00727AA4"/>
    <w:rsid w:val="00727B67"/>
    <w:rsid w:val="00727CCF"/>
    <w:rsid w:val="00727DA5"/>
    <w:rsid w:val="0073010C"/>
    <w:rsid w:val="00730132"/>
    <w:rsid w:val="00730289"/>
    <w:rsid w:val="00730395"/>
    <w:rsid w:val="0073065B"/>
    <w:rsid w:val="00730836"/>
    <w:rsid w:val="007308E6"/>
    <w:rsid w:val="00730C49"/>
    <w:rsid w:val="00730D46"/>
    <w:rsid w:val="00730EAC"/>
    <w:rsid w:val="00731072"/>
    <w:rsid w:val="007311B5"/>
    <w:rsid w:val="007314D8"/>
    <w:rsid w:val="00731571"/>
    <w:rsid w:val="007315E9"/>
    <w:rsid w:val="007316B7"/>
    <w:rsid w:val="00731785"/>
    <w:rsid w:val="0073185D"/>
    <w:rsid w:val="007318AC"/>
    <w:rsid w:val="00731922"/>
    <w:rsid w:val="00731994"/>
    <w:rsid w:val="00731A59"/>
    <w:rsid w:val="00731BAA"/>
    <w:rsid w:val="00731E1C"/>
    <w:rsid w:val="007322F2"/>
    <w:rsid w:val="007327A8"/>
    <w:rsid w:val="00732806"/>
    <w:rsid w:val="0073284B"/>
    <w:rsid w:val="007330D7"/>
    <w:rsid w:val="007331A2"/>
    <w:rsid w:val="00733428"/>
    <w:rsid w:val="00733432"/>
    <w:rsid w:val="007334D9"/>
    <w:rsid w:val="00733548"/>
    <w:rsid w:val="007335E2"/>
    <w:rsid w:val="00733688"/>
    <w:rsid w:val="007336E7"/>
    <w:rsid w:val="007337B3"/>
    <w:rsid w:val="00733942"/>
    <w:rsid w:val="0073396C"/>
    <w:rsid w:val="007339EC"/>
    <w:rsid w:val="00733BCF"/>
    <w:rsid w:val="00733C12"/>
    <w:rsid w:val="00733EBA"/>
    <w:rsid w:val="0073402C"/>
    <w:rsid w:val="007340B8"/>
    <w:rsid w:val="00734520"/>
    <w:rsid w:val="0073452F"/>
    <w:rsid w:val="007345B0"/>
    <w:rsid w:val="0073485A"/>
    <w:rsid w:val="00734AC5"/>
    <w:rsid w:val="00734B1B"/>
    <w:rsid w:val="00734DE7"/>
    <w:rsid w:val="00734E56"/>
    <w:rsid w:val="00734EA4"/>
    <w:rsid w:val="0073516D"/>
    <w:rsid w:val="007353DF"/>
    <w:rsid w:val="0073575B"/>
    <w:rsid w:val="00735CCF"/>
    <w:rsid w:val="00735CDC"/>
    <w:rsid w:val="00735F67"/>
    <w:rsid w:val="007367C1"/>
    <w:rsid w:val="00736820"/>
    <w:rsid w:val="00736992"/>
    <w:rsid w:val="007369C3"/>
    <w:rsid w:val="00736D98"/>
    <w:rsid w:val="007374DC"/>
    <w:rsid w:val="0073790A"/>
    <w:rsid w:val="0073792D"/>
    <w:rsid w:val="00737A4D"/>
    <w:rsid w:val="00737C74"/>
    <w:rsid w:val="00737D3E"/>
    <w:rsid w:val="00737E7C"/>
    <w:rsid w:val="00737F76"/>
    <w:rsid w:val="0074024A"/>
    <w:rsid w:val="00740618"/>
    <w:rsid w:val="00740687"/>
    <w:rsid w:val="0074071F"/>
    <w:rsid w:val="007408FD"/>
    <w:rsid w:val="00740DDF"/>
    <w:rsid w:val="0074161E"/>
    <w:rsid w:val="007419BC"/>
    <w:rsid w:val="00741AA6"/>
    <w:rsid w:val="00741C2F"/>
    <w:rsid w:val="007423E6"/>
    <w:rsid w:val="00742623"/>
    <w:rsid w:val="007426E3"/>
    <w:rsid w:val="00742A7B"/>
    <w:rsid w:val="00742B05"/>
    <w:rsid w:val="00742B2F"/>
    <w:rsid w:val="00742BAD"/>
    <w:rsid w:val="00742D50"/>
    <w:rsid w:val="007434C0"/>
    <w:rsid w:val="00743614"/>
    <w:rsid w:val="00743A59"/>
    <w:rsid w:val="00743AB0"/>
    <w:rsid w:val="00743B97"/>
    <w:rsid w:val="00743C71"/>
    <w:rsid w:val="00743D09"/>
    <w:rsid w:val="00743E5B"/>
    <w:rsid w:val="00743F15"/>
    <w:rsid w:val="00744169"/>
    <w:rsid w:val="00744427"/>
    <w:rsid w:val="0074453C"/>
    <w:rsid w:val="00744593"/>
    <w:rsid w:val="00744625"/>
    <w:rsid w:val="00744983"/>
    <w:rsid w:val="00744A19"/>
    <w:rsid w:val="0074506F"/>
    <w:rsid w:val="00745171"/>
    <w:rsid w:val="00745313"/>
    <w:rsid w:val="0074535D"/>
    <w:rsid w:val="007455EE"/>
    <w:rsid w:val="00745F3C"/>
    <w:rsid w:val="00746243"/>
    <w:rsid w:val="0074663F"/>
    <w:rsid w:val="007467A7"/>
    <w:rsid w:val="00746AE6"/>
    <w:rsid w:val="00746D63"/>
    <w:rsid w:val="00747146"/>
    <w:rsid w:val="00747747"/>
    <w:rsid w:val="00747B5E"/>
    <w:rsid w:val="00750141"/>
    <w:rsid w:val="007505B4"/>
    <w:rsid w:val="00750652"/>
    <w:rsid w:val="0075077E"/>
    <w:rsid w:val="007507AE"/>
    <w:rsid w:val="00750914"/>
    <w:rsid w:val="00750A5D"/>
    <w:rsid w:val="00750AFB"/>
    <w:rsid w:val="00750B19"/>
    <w:rsid w:val="00750DCF"/>
    <w:rsid w:val="00750E3D"/>
    <w:rsid w:val="00750ECB"/>
    <w:rsid w:val="0075113B"/>
    <w:rsid w:val="0075140A"/>
    <w:rsid w:val="0075167D"/>
    <w:rsid w:val="00751A80"/>
    <w:rsid w:val="00751B3B"/>
    <w:rsid w:val="00751CB8"/>
    <w:rsid w:val="00751D49"/>
    <w:rsid w:val="0075206B"/>
    <w:rsid w:val="0075211A"/>
    <w:rsid w:val="00752279"/>
    <w:rsid w:val="0075233E"/>
    <w:rsid w:val="007523F7"/>
    <w:rsid w:val="00752553"/>
    <w:rsid w:val="00752800"/>
    <w:rsid w:val="0075289A"/>
    <w:rsid w:val="00752A75"/>
    <w:rsid w:val="00752EA4"/>
    <w:rsid w:val="007530CF"/>
    <w:rsid w:val="0075310F"/>
    <w:rsid w:val="00753179"/>
    <w:rsid w:val="007531A9"/>
    <w:rsid w:val="007531CB"/>
    <w:rsid w:val="0075366C"/>
    <w:rsid w:val="00753790"/>
    <w:rsid w:val="0075386C"/>
    <w:rsid w:val="007538A1"/>
    <w:rsid w:val="00753AF0"/>
    <w:rsid w:val="00753B17"/>
    <w:rsid w:val="00753B8A"/>
    <w:rsid w:val="00753D69"/>
    <w:rsid w:val="00753E3F"/>
    <w:rsid w:val="00753F61"/>
    <w:rsid w:val="007543D5"/>
    <w:rsid w:val="0075453C"/>
    <w:rsid w:val="007545B9"/>
    <w:rsid w:val="00754996"/>
    <w:rsid w:val="00754AA5"/>
    <w:rsid w:val="00754C3A"/>
    <w:rsid w:val="00754CBC"/>
    <w:rsid w:val="00754D58"/>
    <w:rsid w:val="00754E63"/>
    <w:rsid w:val="00754EF9"/>
    <w:rsid w:val="00754FEB"/>
    <w:rsid w:val="007550A2"/>
    <w:rsid w:val="00755214"/>
    <w:rsid w:val="007553A9"/>
    <w:rsid w:val="00755739"/>
    <w:rsid w:val="00755796"/>
    <w:rsid w:val="00755A1D"/>
    <w:rsid w:val="007569B2"/>
    <w:rsid w:val="00756FD1"/>
    <w:rsid w:val="00757184"/>
    <w:rsid w:val="007572BB"/>
    <w:rsid w:val="00757545"/>
    <w:rsid w:val="007575E4"/>
    <w:rsid w:val="00757953"/>
    <w:rsid w:val="00757F2F"/>
    <w:rsid w:val="0076010D"/>
    <w:rsid w:val="00760260"/>
    <w:rsid w:val="00760373"/>
    <w:rsid w:val="00760388"/>
    <w:rsid w:val="007603C1"/>
    <w:rsid w:val="00760729"/>
    <w:rsid w:val="0076076C"/>
    <w:rsid w:val="00760885"/>
    <w:rsid w:val="00760B39"/>
    <w:rsid w:val="00760EB9"/>
    <w:rsid w:val="00761171"/>
    <w:rsid w:val="00761185"/>
    <w:rsid w:val="0076124D"/>
    <w:rsid w:val="007614B4"/>
    <w:rsid w:val="0076172E"/>
    <w:rsid w:val="00761A23"/>
    <w:rsid w:val="00761B03"/>
    <w:rsid w:val="00761C57"/>
    <w:rsid w:val="007620A1"/>
    <w:rsid w:val="007621C0"/>
    <w:rsid w:val="00762426"/>
    <w:rsid w:val="00762499"/>
    <w:rsid w:val="0076250E"/>
    <w:rsid w:val="0076252C"/>
    <w:rsid w:val="007626B0"/>
    <w:rsid w:val="007626B6"/>
    <w:rsid w:val="007626EE"/>
    <w:rsid w:val="00762922"/>
    <w:rsid w:val="0076293D"/>
    <w:rsid w:val="007629FF"/>
    <w:rsid w:val="00762B09"/>
    <w:rsid w:val="00762C54"/>
    <w:rsid w:val="0076310E"/>
    <w:rsid w:val="00763BEB"/>
    <w:rsid w:val="00763C4D"/>
    <w:rsid w:val="00763D02"/>
    <w:rsid w:val="00763F62"/>
    <w:rsid w:val="0076415A"/>
    <w:rsid w:val="007641B3"/>
    <w:rsid w:val="00764486"/>
    <w:rsid w:val="00764593"/>
    <w:rsid w:val="007645DE"/>
    <w:rsid w:val="0076462A"/>
    <w:rsid w:val="007647B2"/>
    <w:rsid w:val="007647F7"/>
    <w:rsid w:val="007649B2"/>
    <w:rsid w:val="00764AF4"/>
    <w:rsid w:val="00764C27"/>
    <w:rsid w:val="007650AE"/>
    <w:rsid w:val="0076524E"/>
    <w:rsid w:val="00765287"/>
    <w:rsid w:val="007656A6"/>
    <w:rsid w:val="0076577F"/>
    <w:rsid w:val="00765854"/>
    <w:rsid w:val="0076595C"/>
    <w:rsid w:val="00765A8D"/>
    <w:rsid w:val="00765FD6"/>
    <w:rsid w:val="007662B8"/>
    <w:rsid w:val="0076679D"/>
    <w:rsid w:val="0076682A"/>
    <w:rsid w:val="0076694B"/>
    <w:rsid w:val="00766CAA"/>
    <w:rsid w:val="00766DE1"/>
    <w:rsid w:val="00766F2F"/>
    <w:rsid w:val="007671C1"/>
    <w:rsid w:val="00767206"/>
    <w:rsid w:val="007674F9"/>
    <w:rsid w:val="00767503"/>
    <w:rsid w:val="00767979"/>
    <w:rsid w:val="00767B46"/>
    <w:rsid w:val="00767B97"/>
    <w:rsid w:val="00767B99"/>
    <w:rsid w:val="00767BCF"/>
    <w:rsid w:val="00767D0F"/>
    <w:rsid w:val="00767F2E"/>
    <w:rsid w:val="007702F8"/>
    <w:rsid w:val="00770398"/>
    <w:rsid w:val="00770489"/>
    <w:rsid w:val="00770815"/>
    <w:rsid w:val="007709A9"/>
    <w:rsid w:val="00770CC6"/>
    <w:rsid w:val="0077123C"/>
    <w:rsid w:val="007713AC"/>
    <w:rsid w:val="0077148C"/>
    <w:rsid w:val="007714A1"/>
    <w:rsid w:val="007717EB"/>
    <w:rsid w:val="00771D5C"/>
    <w:rsid w:val="00771FBF"/>
    <w:rsid w:val="0077221C"/>
    <w:rsid w:val="00772338"/>
    <w:rsid w:val="007723EB"/>
    <w:rsid w:val="0077275C"/>
    <w:rsid w:val="0077278B"/>
    <w:rsid w:val="00772828"/>
    <w:rsid w:val="00772A2E"/>
    <w:rsid w:val="00772CAD"/>
    <w:rsid w:val="00772DDD"/>
    <w:rsid w:val="00772E86"/>
    <w:rsid w:val="00772FF5"/>
    <w:rsid w:val="0077306C"/>
    <w:rsid w:val="007730A8"/>
    <w:rsid w:val="0077312B"/>
    <w:rsid w:val="00773691"/>
    <w:rsid w:val="00773867"/>
    <w:rsid w:val="007738BE"/>
    <w:rsid w:val="00773C9C"/>
    <w:rsid w:val="00773FE3"/>
    <w:rsid w:val="007740E3"/>
    <w:rsid w:val="00774134"/>
    <w:rsid w:val="00774589"/>
    <w:rsid w:val="007745EE"/>
    <w:rsid w:val="007747A9"/>
    <w:rsid w:val="00774B44"/>
    <w:rsid w:val="00774C4D"/>
    <w:rsid w:val="00774D37"/>
    <w:rsid w:val="00774ECD"/>
    <w:rsid w:val="0077577F"/>
    <w:rsid w:val="0077585E"/>
    <w:rsid w:val="00775A80"/>
    <w:rsid w:val="00775B20"/>
    <w:rsid w:val="00775D82"/>
    <w:rsid w:val="00775E2B"/>
    <w:rsid w:val="00776039"/>
    <w:rsid w:val="00776392"/>
    <w:rsid w:val="00776402"/>
    <w:rsid w:val="00776485"/>
    <w:rsid w:val="007766C4"/>
    <w:rsid w:val="00776718"/>
    <w:rsid w:val="00776777"/>
    <w:rsid w:val="007769C1"/>
    <w:rsid w:val="00776CF2"/>
    <w:rsid w:val="00777062"/>
    <w:rsid w:val="00777134"/>
    <w:rsid w:val="00777288"/>
    <w:rsid w:val="007772F3"/>
    <w:rsid w:val="0077737D"/>
    <w:rsid w:val="00777440"/>
    <w:rsid w:val="0077764B"/>
    <w:rsid w:val="007778B9"/>
    <w:rsid w:val="00777957"/>
    <w:rsid w:val="00777B0C"/>
    <w:rsid w:val="00777C8B"/>
    <w:rsid w:val="00777CF6"/>
    <w:rsid w:val="00777F01"/>
    <w:rsid w:val="00777F95"/>
    <w:rsid w:val="00780068"/>
    <w:rsid w:val="00780110"/>
    <w:rsid w:val="007801A0"/>
    <w:rsid w:val="00780772"/>
    <w:rsid w:val="0078089A"/>
    <w:rsid w:val="007809FA"/>
    <w:rsid w:val="00780AA5"/>
    <w:rsid w:val="00780BAC"/>
    <w:rsid w:val="00780C0D"/>
    <w:rsid w:val="00780C91"/>
    <w:rsid w:val="00780F62"/>
    <w:rsid w:val="0078124E"/>
    <w:rsid w:val="007816DC"/>
    <w:rsid w:val="0078179B"/>
    <w:rsid w:val="007818FC"/>
    <w:rsid w:val="00781A9C"/>
    <w:rsid w:val="00781B82"/>
    <w:rsid w:val="00781C06"/>
    <w:rsid w:val="00781C74"/>
    <w:rsid w:val="00781DB9"/>
    <w:rsid w:val="00781F5E"/>
    <w:rsid w:val="007820A2"/>
    <w:rsid w:val="007820A3"/>
    <w:rsid w:val="00782149"/>
    <w:rsid w:val="00782227"/>
    <w:rsid w:val="0078225B"/>
    <w:rsid w:val="007823A0"/>
    <w:rsid w:val="007825ED"/>
    <w:rsid w:val="00782720"/>
    <w:rsid w:val="00782917"/>
    <w:rsid w:val="00782AFA"/>
    <w:rsid w:val="00782B14"/>
    <w:rsid w:val="00782E39"/>
    <w:rsid w:val="00782F7A"/>
    <w:rsid w:val="0078333C"/>
    <w:rsid w:val="00783527"/>
    <w:rsid w:val="00783576"/>
    <w:rsid w:val="0078362D"/>
    <w:rsid w:val="00783791"/>
    <w:rsid w:val="007838B4"/>
    <w:rsid w:val="00783A63"/>
    <w:rsid w:val="00783BDC"/>
    <w:rsid w:val="00783C5E"/>
    <w:rsid w:val="00783D9C"/>
    <w:rsid w:val="00783EA7"/>
    <w:rsid w:val="00784106"/>
    <w:rsid w:val="00784178"/>
    <w:rsid w:val="007844A1"/>
    <w:rsid w:val="00784C65"/>
    <w:rsid w:val="00784EC5"/>
    <w:rsid w:val="007854C4"/>
    <w:rsid w:val="007859E9"/>
    <w:rsid w:val="00785BE6"/>
    <w:rsid w:val="00785CAF"/>
    <w:rsid w:val="00785D78"/>
    <w:rsid w:val="00785EF9"/>
    <w:rsid w:val="00785FA7"/>
    <w:rsid w:val="00786365"/>
    <w:rsid w:val="0078647D"/>
    <w:rsid w:val="00786A46"/>
    <w:rsid w:val="00786B6C"/>
    <w:rsid w:val="00786BD5"/>
    <w:rsid w:val="00786C08"/>
    <w:rsid w:val="00786E39"/>
    <w:rsid w:val="00786EF2"/>
    <w:rsid w:val="00786FC2"/>
    <w:rsid w:val="007871A2"/>
    <w:rsid w:val="00787259"/>
    <w:rsid w:val="0078770B"/>
    <w:rsid w:val="0078777C"/>
    <w:rsid w:val="00787BC8"/>
    <w:rsid w:val="00787D6C"/>
    <w:rsid w:val="0079040F"/>
    <w:rsid w:val="0079070C"/>
    <w:rsid w:val="007907D6"/>
    <w:rsid w:val="007907DC"/>
    <w:rsid w:val="00790B62"/>
    <w:rsid w:val="00790BA7"/>
    <w:rsid w:val="00790D2D"/>
    <w:rsid w:val="00791166"/>
    <w:rsid w:val="007912CA"/>
    <w:rsid w:val="0079164E"/>
    <w:rsid w:val="007916F5"/>
    <w:rsid w:val="00791768"/>
    <w:rsid w:val="0079176B"/>
    <w:rsid w:val="00791A72"/>
    <w:rsid w:val="00791BDB"/>
    <w:rsid w:val="00791DB4"/>
    <w:rsid w:val="00792006"/>
    <w:rsid w:val="00792108"/>
    <w:rsid w:val="00792308"/>
    <w:rsid w:val="00792354"/>
    <w:rsid w:val="0079241C"/>
    <w:rsid w:val="0079269D"/>
    <w:rsid w:val="00792AC6"/>
    <w:rsid w:val="00792FDD"/>
    <w:rsid w:val="00793438"/>
    <w:rsid w:val="0079387D"/>
    <w:rsid w:val="00793936"/>
    <w:rsid w:val="00793AA6"/>
    <w:rsid w:val="00793B2D"/>
    <w:rsid w:val="00793C10"/>
    <w:rsid w:val="00793E3C"/>
    <w:rsid w:val="00794161"/>
    <w:rsid w:val="007941AB"/>
    <w:rsid w:val="00794363"/>
    <w:rsid w:val="0079466B"/>
    <w:rsid w:val="00794670"/>
    <w:rsid w:val="0079472E"/>
    <w:rsid w:val="007947DE"/>
    <w:rsid w:val="0079491D"/>
    <w:rsid w:val="00794A02"/>
    <w:rsid w:val="00794ADC"/>
    <w:rsid w:val="00794C35"/>
    <w:rsid w:val="00794CB6"/>
    <w:rsid w:val="00794E5B"/>
    <w:rsid w:val="007950A9"/>
    <w:rsid w:val="00795349"/>
    <w:rsid w:val="0079536F"/>
    <w:rsid w:val="007953A1"/>
    <w:rsid w:val="0079542B"/>
    <w:rsid w:val="007956DE"/>
    <w:rsid w:val="007956F3"/>
    <w:rsid w:val="007957CC"/>
    <w:rsid w:val="00795875"/>
    <w:rsid w:val="00795AD8"/>
    <w:rsid w:val="00795BDB"/>
    <w:rsid w:val="00795E06"/>
    <w:rsid w:val="00795EDF"/>
    <w:rsid w:val="00795F4F"/>
    <w:rsid w:val="00796038"/>
    <w:rsid w:val="007960CF"/>
    <w:rsid w:val="007961E3"/>
    <w:rsid w:val="007962C0"/>
    <w:rsid w:val="00796331"/>
    <w:rsid w:val="007969BC"/>
    <w:rsid w:val="0079716B"/>
    <w:rsid w:val="00797224"/>
    <w:rsid w:val="007972F5"/>
    <w:rsid w:val="007973C6"/>
    <w:rsid w:val="0079768E"/>
    <w:rsid w:val="007976E9"/>
    <w:rsid w:val="0079784F"/>
    <w:rsid w:val="00797898"/>
    <w:rsid w:val="00797DB6"/>
    <w:rsid w:val="00797DF4"/>
    <w:rsid w:val="007A010C"/>
    <w:rsid w:val="007A0342"/>
    <w:rsid w:val="007A03EA"/>
    <w:rsid w:val="007A0530"/>
    <w:rsid w:val="007A06E3"/>
    <w:rsid w:val="007A0791"/>
    <w:rsid w:val="007A08D6"/>
    <w:rsid w:val="007A0DC4"/>
    <w:rsid w:val="007A0FD9"/>
    <w:rsid w:val="007A1035"/>
    <w:rsid w:val="007A157A"/>
    <w:rsid w:val="007A16EA"/>
    <w:rsid w:val="007A1727"/>
    <w:rsid w:val="007A1772"/>
    <w:rsid w:val="007A191B"/>
    <w:rsid w:val="007A1C7C"/>
    <w:rsid w:val="007A21B5"/>
    <w:rsid w:val="007A21CC"/>
    <w:rsid w:val="007A21DE"/>
    <w:rsid w:val="007A2406"/>
    <w:rsid w:val="007A2785"/>
    <w:rsid w:val="007A2AB5"/>
    <w:rsid w:val="007A2AFD"/>
    <w:rsid w:val="007A2DFE"/>
    <w:rsid w:val="007A2F05"/>
    <w:rsid w:val="007A2F41"/>
    <w:rsid w:val="007A32ED"/>
    <w:rsid w:val="007A38FA"/>
    <w:rsid w:val="007A3BD6"/>
    <w:rsid w:val="007A3CD4"/>
    <w:rsid w:val="007A4361"/>
    <w:rsid w:val="007A441C"/>
    <w:rsid w:val="007A46FE"/>
    <w:rsid w:val="007A4784"/>
    <w:rsid w:val="007A4A5A"/>
    <w:rsid w:val="007A4B04"/>
    <w:rsid w:val="007A4B56"/>
    <w:rsid w:val="007A4D16"/>
    <w:rsid w:val="007A535B"/>
    <w:rsid w:val="007A5530"/>
    <w:rsid w:val="007A56A4"/>
    <w:rsid w:val="007A57D9"/>
    <w:rsid w:val="007A58D2"/>
    <w:rsid w:val="007A597E"/>
    <w:rsid w:val="007A5989"/>
    <w:rsid w:val="007A5A43"/>
    <w:rsid w:val="007A5AB9"/>
    <w:rsid w:val="007A5C83"/>
    <w:rsid w:val="007A5CB6"/>
    <w:rsid w:val="007A5DC5"/>
    <w:rsid w:val="007A639C"/>
    <w:rsid w:val="007A648C"/>
    <w:rsid w:val="007A69B2"/>
    <w:rsid w:val="007A6B6E"/>
    <w:rsid w:val="007A6C05"/>
    <w:rsid w:val="007A6C23"/>
    <w:rsid w:val="007A70AC"/>
    <w:rsid w:val="007A70B4"/>
    <w:rsid w:val="007A748F"/>
    <w:rsid w:val="007A75CE"/>
    <w:rsid w:val="007A76EF"/>
    <w:rsid w:val="007A7957"/>
    <w:rsid w:val="007A796C"/>
    <w:rsid w:val="007A79C5"/>
    <w:rsid w:val="007A79F7"/>
    <w:rsid w:val="007A7A84"/>
    <w:rsid w:val="007A7E96"/>
    <w:rsid w:val="007B00A7"/>
    <w:rsid w:val="007B0227"/>
    <w:rsid w:val="007B07CB"/>
    <w:rsid w:val="007B0ACE"/>
    <w:rsid w:val="007B0DE0"/>
    <w:rsid w:val="007B0DE6"/>
    <w:rsid w:val="007B0E31"/>
    <w:rsid w:val="007B0ECE"/>
    <w:rsid w:val="007B0FDA"/>
    <w:rsid w:val="007B120C"/>
    <w:rsid w:val="007B140A"/>
    <w:rsid w:val="007B146E"/>
    <w:rsid w:val="007B14DB"/>
    <w:rsid w:val="007B1B9F"/>
    <w:rsid w:val="007B1E11"/>
    <w:rsid w:val="007B25A2"/>
    <w:rsid w:val="007B2613"/>
    <w:rsid w:val="007B2969"/>
    <w:rsid w:val="007B2AC5"/>
    <w:rsid w:val="007B2D18"/>
    <w:rsid w:val="007B2F44"/>
    <w:rsid w:val="007B2F93"/>
    <w:rsid w:val="007B3093"/>
    <w:rsid w:val="007B3171"/>
    <w:rsid w:val="007B322A"/>
    <w:rsid w:val="007B355C"/>
    <w:rsid w:val="007B3A38"/>
    <w:rsid w:val="007B3CC1"/>
    <w:rsid w:val="007B3D22"/>
    <w:rsid w:val="007B3E3B"/>
    <w:rsid w:val="007B3FE3"/>
    <w:rsid w:val="007B41E5"/>
    <w:rsid w:val="007B4213"/>
    <w:rsid w:val="007B42DD"/>
    <w:rsid w:val="007B4690"/>
    <w:rsid w:val="007B46EB"/>
    <w:rsid w:val="007B4745"/>
    <w:rsid w:val="007B476E"/>
    <w:rsid w:val="007B4875"/>
    <w:rsid w:val="007B4A1D"/>
    <w:rsid w:val="007B4D66"/>
    <w:rsid w:val="007B4EE5"/>
    <w:rsid w:val="007B4EF2"/>
    <w:rsid w:val="007B5401"/>
    <w:rsid w:val="007B5560"/>
    <w:rsid w:val="007B5566"/>
    <w:rsid w:val="007B58D8"/>
    <w:rsid w:val="007B58DD"/>
    <w:rsid w:val="007B5C60"/>
    <w:rsid w:val="007B5DBE"/>
    <w:rsid w:val="007B5EFA"/>
    <w:rsid w:val="007B5F39"/>
    <w:rsid w:val="007B60E1"/>
    <w:rsid w:val="007B6287"/>
    <w:rsid w:val="007B63D3"/>
    <w:rsid w:val="007B685A"/>
    <w:rsid w:val="007B68DD"/>
    <w:rsid w:val="007B6912"/>
    <w:rsid w:val="007B691D"/>
    <w:rsid w:val="007B6924"/>
    <w:rsid w:val="007B6B37"/>
    <w:rsid w:val="007B6CBE"/>
    <w:rsid w:val="007B6CC9"/>
    <w:rsid w:val="007B7356"/>
    <w:rsid w:val="007B7946"/>
    <w:rsid w:val="007B799A"/>
    <w:rsid w:val="007B7BF3"/>
    <w:rsid w:val="007B7C36"/>
    <w:rsid w:val="007C0042"/>
    <w:rsid w:val="007C01B3"/>
    <w:rsid w:val="007C0339"/>
    <w:rsid w:val="007C0494"/>
    <w:rsid w:val="007C04A3"/>
    <w:rsid w:val="007C085E"/>
    <w:rsid w:val="007C093F"/>
    <w:rsid w:val="007C0AC4"/>
    <w:rsid w:val="007C10AE"/>
    <w:rsid w:val="007C126B"/>
    <w:rsid w:val="007C1300"/>
    <w:rsid w:val="007C1349"/>
    <w:rsid w:val="007C1458"/>
    <w:rsid w:val="007C1512"/>
    <w:rsid w:val="007C167A"/>
    <w:rsid w:val="007C1811"/>
    <w:rsid w:val="007C1999"/>
    <w:rsid w:val="007C1BEC"/>
    <w:rsid w:val="007C20F1"/>
    <w:rsid w:val="007C22E6"/>
    <w:rsid w:val="007C2354"/>
    <w:rsid w:val="007C23CD"/>
    <w:rsid w:val="007C25A4"/>
    <w:rsid w:val="007C25F0"/>
    <w:rsid w:val="007C2820"/>
    <w:rsid w:val="007C2C8C"/>
    <w:rsid w:val="007C2D54"/>
    <w:rsid w:val="007C2F24"/>
    <w:rsid w:val="007C31B7"/>
    <w:rsid w:val="007C3252"/>
    <w:rsid w:val="007C3297"/>
    <w:rsid w:val="007C32BB"/>
    <w:rsid w:val="007C34F5"/>
    <w:rsid w:val="007C3714"/>
    <w:rsid w:val="007C3792"/>
    <w:rsid w:val="007C381F"/>
    <w:rsid w:val="007C3B76"/>
    <w:rsid w:val="007C3C9F"/>
    <w:rsid w:val="007C3D40"/>
    <w:rsid w:val="007C44BB"/>
    <w:rsid w:val="007C44E4"/>
    <w:rsid w:val="007C4B12"/>
    <w:rsid w:val="007C4C45"/>
    <w:rsid w:val="007C4E9F"/>
    <w:rsid w:val="007C500F"/>
    <w:rsid w:val="007C5081"/>
    <w:rsid w:val="007C5517"/>
    <w:rsid w:val="007C5A71"/>
    <w:rsid w:val="007C5A9E"/>
    <w:rsid w:val="007C5C54"/>
    <w:rsid w:val="007C5DDA"/>
    <w:rsid w:val="007C5EEB"/>
    <w:rsid w:val="007C5FD8"/>
    <w:rsid w:val="007C66C0"/>
    <w:rsid w:val="007C675C"/>
    <w:rsid w:val="007C696B"/>
    <w:rsid w:val="007C6CD5"/>
    <w:rsid w:val="007C6CE7"/>
    <w:rsid w:val="007C6CEB"/>
    <w:rsid w:val="007C6F83"/>
    <w:rsid w:val="007C6FB1"/>
    <w:rsid w:val="007C71DA"/>
    <w:rsid w:val="007C76A2"/>
    <w:rsid w:val="007C774F"/>
    <w:rsid w:val="007C77BD"/>
    <w:rsid w:val="007C78B5"/>
    <w:rsid w:val="007C7BD1"/>
    <w:rsid w:val="007C7CEF"/>
    <w:rsid w:val="007C7DBC"/>
    <w:rsid w:val="007D0443"/>
    <w:rsid w:val="007D0448"/>
    <w:rsid w:val="007D0467"/>
    <w:rsid w:val="007D081F"/>
    <w:rsid w:val="007D0BBE"/>
    <w:rsid w:val="007D0C24"/>
    <w:rsid w:val="007D0C51"/>
    <w:rsid w:val="007D0CA3"/>
    <w:rsid w:val="007D0EEA"/>
    <w:rsid w:val="007D1095"/>
    <w:rsid w:val="007D11BB"/>
    <w:rsid w:val="007D16A1"/>
    <w:rsid w:val="007D16F3"/>
    <w:rsid w:val="007D19ED"/>
    <w:rsid w:val="007D1D0D"/>
    <w:rsid w:val="007D1DFE"/>
    <w:rsid w:val="007D207A"/>
    <w:rsid w:val="007D2162"/>
    <w:rsid w:val="007D286C"/>
    <w:rsid w:val="007D28F4"/>
    <w:rsid w:val="007D2B7F"/>
    <w:rsid w:val="007D2CEA"/>
    <w:rsid w:val="007D2DDD"/>
    <w:rsid w:val="007D3506"/>
    <w:rsid w:val="007D350E"/>
    <w:rsid w:val="007D4070"/>
    <w:rsid w:val="007D451A"/>
    <w:rsid w:val="007D486B"/>
    <w:rsid w:val="007D48FB"/>
    <w:rsid w:val="007D499D"/>
    <w:rsid w:val="007D4A05"/>
    <w:rsid w:val="007D4CE7"/>
    <w:rsid w:val="007D4D73"/>
    <w:rsid w:val="007D4DD3"/>
    <w:rsid w:val="007D50AB"/>
    <w:rsid w:val="007D571C"/>
    <w:rsid w:val="007D58C4"/>
    <w:rsid w:val="007D60AC"/>
    <w:rsid w:val="007D6182"/>
    <w:rsid w:val="007D62CE"/>
    <w:rsid w:val="007D65A6"/>
    <w:rsid w:val="007D6649"/>
    <w:rsid w:val="007D665E"/>
    <w:rsid w:val="007D67F0"/>
    <w:rsid w:val="007D6C0C"/>
    <w:rsid w:val="007D6FEC"/>
    <w:rsid w:val="007D71AF"/>
    <w:rsid w:val="007D7493"/>
    <w:rsid w:val="007D76A5"/>
    <w:rsid w:val="007D76C1"/>
    <w:rsid w:val="007D7A4B"/>
    <w:rsid w:val="007D7C8B"/>
    <w:rsid w:val="007D7E81"/>
    <w:rsid w:val="007E050F"/>
    <w:rsid w:val="007E08C4"/>
    <w:rsid w:val="007E0BD7"/>
    <w:rsid w:val="007E0BE2"/>
    <w:rsid w:val="007E0D5C"/>
    <w:rsid w:val="007E0E84"/>
    <w:rsid w:val="007E0FFC"/>
    <w:rsid w:val="007E115F"/>
    <w:rsid w:val="007E1176"/>
    <w:rsid w:val="007E13FC"/>
    <w:rsid w:val="007E13FD"/>
    <w:rsid w:val="007E1536"/>
    <w:rsid w:val="007E180A"/>
    <w:rsid w:val="007E1851"/>
    <w:rsid w:val="007E19CB"/>
    <w:rsid w:val="007E1C45"/>
    <w:rsid w:val="007E1E3E"/>
    <w:rsid w:val="007E1F7F"/>
    <w:rsid w:val="007E2B1F"/>
    <w:rsid w:val="007E2BF7"/>
    <w:rsid w:val="007E2D4B"/>
    <w:rsid w:val="007E2F30"/>
    <w:rsid w:val="007E309B"/>
    <w:rsid w:val="007E32DB"/>
    <w:rsid w:val="007E3440"/>
    <w:rsid w:val="007E3737"/>
    <w:rsid w:val="007E388D"/>
    <w:rsid w:val="007E3A4B"/>
    <w:rsid w:val="007E3AAE"/>
    <w:rsid w:val="007E3B7D"/>
    <w:rsid w:val="007E3B9A"/>
    <w:rsid w:val="007E3E0E"/>
    <w:rsid w:val="007E3EB5"/>
    <w:rsid w:val="007E3F3C"/>
    <w:rsid w:val="007E4065"/>
    <w:rsid w:val="007E4147"/>
    <w:rsid w:val="007E417A"/>
    <w:rsid w:val="007E45C7"/>
    <w:rsid w:val="007E4943"/>
    <w:rsid w:val="007E4ACE"/>
    <w:rsid w:val="007E4E39"/>
    <w:rsid w:val="007E4FE5"/>
    <w:rsid w:val="007E5057"/>
    <w:rsid w:val="007E568D"/>
    <w:rsid w:val="007E56C1"/>
    <w:rsid w:val="007E5A53"/>
    <w:rsid w:val="007E5B75"/>
    <w:rsid w:val="007E5C19"/>
    <w:rsid w:val="007E604D"/>
    <w:rsid w:val="007E620B"/>
    <w:rsid w:val="007E62B9"/>
    <w:rsid w:val="007E6379"/>
    <w:rsid w:val="007E683F"/>
    <w:rsid w:val="007E68D4"/>
    <w:rsid w:val="007E6914"/>
    <w:rsid w:val="007E6ADE"/>
    <w:rsid w:val="007E6B52"/>
    <w:rsid w:val="007E6D33"/>
    <w:rsid w:val="007E742D"/>
    <w:rsid w:val="007E779B"/>
    <w:rsid w:val="007E781F"/>
    <w:rsid w:val="007E78C1"/>
    <w:rsid w:val="007E79A8"/>
    <w:rsid w:val="007E79AA"/>
    <w:rsid w:val="007E7A5E"/>
    <w:rsid w:val="007E7B2C"/>
    <w:rsid w:val="007E7E2D"/>
    <w:rsid w:val="007E7FFD"/>
    <w:rsid w:val="007F032D"/>
    <w:rsid w:val="007F04EC"/>
    <w:rsid w:val="007F067B"/>
    <w:rsid w:val="007F0E53"/>
    <w:rsid w:val="007F0E60"/>
    <w:rsid w:val="007F0EE0"/>
    <w:rsid w:val="007F0F8A"/>
    <w:rsid w:val="007F10FF"/>
    <w:rsid w:val="007F1216"/>
    <w:rsid w:val="007F1250"/>
    <w:rsid w:val="007F1325"/>
    <w:rsid w:val="007F1349"/>
    <w:rsid w:val="007F156C"/>
    <w:rsid w:val="007F1589"/>
    <w:rsid w:val="007F18A3"/>
    <w:rsid w:val="007F1A23"/>
    <w:rsid w:val="007F1A5A"/>
    <w:rsid w:val="007F1A9B"/>
    <w:rsid w:val="007F1B57"/>
    <w:rsid w:val="007F1C78"/>
    <w:rsid w:val="007F1D1F"/>
    <w:rsid w:val="007F1E80"/>
    <w:rsid w:val="007F2106"/>
    <w:rsid w:val="007F235A"/>
    <w:rsid w:val="007F2396"/>
    <w:rsid w:val="007F23B5"/>
    <w:rsid w:val="007F2467"/>
    <w:rsid w:val="007F266B"/>
    <w:rsid w:val="007F2815"/>
    <w:rsid w:val="007F281A"/>
    <w:rsid w:val="007F2974"/>
    <w:rsid w:val="007F2998"/>
    <w:rsid w:val="007F2F1A"/>
    <w:rsid w:val="007F3089"/>
    <w:rsid w:val="007F31F5"/>
    <w:rsid w:val="007F342A"/>
    <w:rsid w:val="007F36F2"/>
    <w:rsid w:val="007F36F3"/>
    <w:rsid w:val="007F3715"/>
    <w:rsid w:val="007F3A10"/>
    <w:rsid w:val="007F3BB5"/>
    <w:rsid w:val="007F3E1A"/>
    <w:rsid w:val="007F3E8F"/>
    <w:rsid w:val="007F430F"/>
    <w:rsid w:val="007F4E8B"/>
    <w:rsid w:val="007F504F"/>
    <w:rsid w:val="007F5087"/>
    <w:rsid w:val="007F52DC"/>
    <w:rsid w:val="007F533D"/>
    <w:rsid w:val="007F54C9"/>
    <w:rsid w:val="007F572E"/>
    <w:rsid w:val="007F60CB"/>
    <w:rsid w:val="007F6432"/>
    <w:rsid w:val="007F6C75"/>
    <w:rsid w:val="007F6D4A"/>
    <w:rsid w:val="007F6D94"/>
    <w:rsid w:val="007F6EFB"/>
    <w:rsid w:val="007F713D"/>
    <w:rsid w:val="007F717D"/>
    <w:rsid w:val="007F7365"/>
    <w:rsid w:val="007F7413"/>
    <w:rsid w:val="007F75C6"/>
    <w:rsid w:val="007F7684"/>
    <w:rsid w:val="007F76DC"/>
    <w:rsid w:val="007F7C57"/>
    <w:rsid w:val="007F7D5E"/>
    <w:rsid w:val="007F7DD9"/>
    <w:rsid w:val="007F7E1B"/>
    <w:rsid w:val="007F7F36"/>
    <w:rsid w:val="0080004D"/>
    <w:rsid w:val="008000A1"/>
    <w:rsid w:val="008006FF"/>
    <w:rsid w:val="00800835"/>
    <w:rsid w:val="00800ABE"/>
    <w:rsid w:val="00800D44"/>
    <w:rsid w:val="00800DB8"/>
    <w:rsid w:val="00800DB9"/>
    <w:rsid w:val="008011BB"/>
    <w:rsid w:val="00801235"/>
    <w:rsid w:val="00801297"/>
    <w:rsid w:val="00801337"/>
    <w:rsid w:val="008013E4"/>
    <w:rsid w:val="00801684"/>
    <w:rsid w:val="008019E0"/>
    <w:rsid w:val="00801FDA"/>
    <w:rsid w:val="00802200"/>
    <w:rsid w:val="00802208"/>
    <w:rsid w:val="00802515"/>
    <w:rsid w:val="00802626"/>
    <w:rsid w:val="00802796"/>
    <w:rsid w:val="0080280D"/>
    <w:rsid w:val="008029E0"/>
    <w:rsid w:val="008029E6"/>
    <w:rsid w:val="00802B79"/>
    <w:rsid w:val="00802BC1"/>
    <w:rsid w:val="00802D99"/>
    <w:rsid w:val="00802FD8"/>
    <w:rsid w:val="00803048"/>
    <w:rsid w:val="00803394"/>
    <w:rsid w:val="0080350B"/>
    <w:rsid w:val="00803709"/>
    <w:rsid w:val="00803E10"/>
    <w:rsid w:val="00803F11"/>
    <w:rsid w:val="00803F51"/>
    <w:rsid w:val="00803FAD"/>
    <w:rsid w:val="00804112"/>
    <w:rsid w:val="0080423D"/>
    <w:rsid w:val="00804C9D"/>
    <w:rsid w:val="00804CF8"/>
    <w:rsid w:val="00804D27"/>
    <w:rsid w:val="00804DA3"/>
    <w:rsid w:val="00805017"/>
    <w:rsid w:val="0080534B"/>
    <w:rsid w:val="00805464"/>
    <w:rsid w:val="00805674"/>
    <w:rsid w:val="0080568B"/>
    <w:rsid w:val="00805752"/>
    <w:rsid w:val="00805B45"/>
    <w:rsid w:val="00805D30"/>
    <w:rsid w:val="00805F3E"/>
    <w:rsid w:val="00805F48"/>
    <w:rsid w:val="00805F9D"/>
    <w:rsid w:val="00806387"/>
    <w:rsid w:val="008063FC"/>
    <w:rsid w:val="00806853"/>
    <w:rsid w:val="00806B30"/>
    <w:rsid w:val="00806C9D"/>
    <w:rsid w:val="00807335"/>
    <w:rsid w:val="00807360"/>
    <w:rsid w:val="00807489"/>
    <w:rsid w:val="00807B3D"/>
    <w:rsid w:val="00807B41"/>
    <w:rsid w:val="00807BB5"/>
    <w:rsid w:val="00807BD9"/>
    <w:rsid w:val="00807CD3"/>
    <w:rsid w:val="008103C7"/>
    <w:rsid w:val="0081050D"/>
    <w:rsid w:val="008105B3"/>
    <w:rsid w:val="008106AD"/>
    <w:rsid w:val="008106BD"/>
    <w:rsid w:val="00810736"/>
    <w:rsid w:val="00810817"/>
    <w:rsid w:val="00810A64"/>
    <w:rsid w:val="00810CC6"/>
    <w:rsid w:val="00810DFA"/>
    <w:rsid w:val="00810F21"/>
    <w:rsid w:val="00811353"/>
    <w:rsid w:val="00811C6D"/>
    <w:rsid w:val="00811DD4"/>
    <w:rsid w:val="00811F07"/>
    <w:rsid w:val="00811FA6"/>
    <w:rsid w:val="00812082"/>
    <w:rsid w:val="008125DC"/>
    <w:rsid w:val="00812ACF"/>
    <w:rsid w:val="00812C1E"/>
    <w:rsid w:val="008134D1"/>
    <w:rsid w:val="00813753"/>
    <w:rsid w:val="00813AA0"/>
    <w:rsid w:val="00813FF0"/>
    <w:rsid w:val="0081404E"/>
    <w:rsid w:val="008141A2"/>
    <w:rsid w:val="008141D3"/>
    <w:rsid w:val="00814357"/>
    <w:rsid w:val="008144C6"/>
    <w:rsid w:val="00814662"/>
    <w:rsid w:val="0081467B"/>
    <w:rsid w:val="008147DC"/>
    <w:rsid w:val="00814942"/>
    <w:rsid w:val="00814A26"/>
    <w:rsid w:val="00814A87"/>
    <w:rsid w:val="00814ADE"/>
    <w:rsid w:val="00814ED0"/>
    <w:rsid w:val="00815363"/>
    <w:rsid w:val="0081543A"/>
    <w:rsid w:val="008155B4"/>
    <w:rsid w:val="008157A3"/>
    <w:rsid w:val="008157EC"/>
    <w:rsid w:val="008159A4"/>
    <w:rsid w:val="00815ACC"/>
    <w:rsid w:val="00815D34"/>
    <w:rsid w:val="00815D64"/>
    <w:rsid w:val="0081611E"/>
    <w:rsid w:val="00816128"/>
    <w:rsid w:val="00816140"/>
    <w:rsid w:val="0081628B"/>
    <w:rsid w:val="00816411"/>
    <w:rsid w:val="008164FC"/>
    <w:rsid w:val="00816656"/>
    <w:rsid w:val="00816AB0"/>
    <w:rsid w:val="00816CBE"/>
    <w:rsid w:val="00816E79"/>
    <w:rsid w:val="0081703B"/>
    <w:rsid w:val="008170C5"/>
    <w:rsid w:val="008171EA"/>
    <w:rsid w:val="00817207"/>
    <w:rsid w:val="00817314"/>
    <w:rsid w:val="00817417"/>
    <w:rsid w:val="00817687"/>
    <w:rsid w:val="0081780D"/>
    <w:rsid w:val="00817A68"/>
    <w:rsid w:val="00817AE9"/>
    <w:rsid w:val="00817D52"/>
    <w:rsid w:val="00817EA6"/>
    <w:rsid w:val="00820114"/>
    <w:rsid w:val="00820714"/>
    <w:rsid w:val="00820B89"/>
    <w:rsid w:val="00820D2D"/>
    <w:rsid w:val="00820ED1"/>
    <w:rsid w:val="00820F29"/>
    <w:rsid w:val="00821152"/>
    <w:rsid w:val="00821200"/>
    <w:rsid w:val="00821240"/>
    <w:rsid w:val="008217CB"/>
    <w:rsid w:val="00821964"/>
    <w:rsid w:val="00821C6F"/>
    <w:rsid w:val="00821E0A"/>
    <w:rsid w:val="008220D4"/>
    <w:rsid w:val="00822524"/>
    <w:rsid w:val="00822805"/>
    <w:rsid w:val="00822A4E"/>
    <w:rsid w:val="00822E2F"/>
    <w:rsid w:val="008230BB"/>
    <w:rsid w:val="008231F5"/>
    <w:rsid w:val="008232FB"/>
    <w:rsid w:val="0082337D"/>
    <w:rsid w:val="00823399"/>
    <w:rsid w:val="008234C6"/>
    <w:rsid w:val="00823740"/>
    <w:rsid w:val="00823783"/>
    <w:rsid w:val="008239C7"/>
    <w:rsid w:val="00823B15"/>
    <w:rsid w:val="00823DD5"/>
    <w:rsid w:val="00823F49"/>
    <w:rsid w:val="0082409D"/>
    <w:rsid w:val="0082417A"/>
    <w:rsid w:val="00824228"/>
    <w:rsid w:val="0082438A"/>
    <w:rsid w:val="00824578"/>
    <w:rsid w:val="008247D0"/>
    <w:rsid w:val="00824A2B"/>
    <w:rsid w:val="00824AB3"/>
    <w:rsid w:val="00824E9C"/>
    <w:rsid w:val="00824FEE"/>
    <w:rsid w:val="008251A6"/>
    <w:rsid w:val="00825276"/>
    <w:rsid w:val="00825311"/>
    <w:rsid w:val="008253F0"/>
    <w:rsid w:val="008254DB"/>
    <w:rsid w:val="008259EB"/>
    <w:rsid w:val="00825C85"/>
    <w:rsid w:val="00825CE1"/>
    <w:rsid w:val="00825DBB"/>
    <w:rsid w:val="00825E08"/>
    <w:rsid w:val="00825EF0"/>
    <w:rsid w:val="008261A8"/>
    <w:rsid w:val="008262A8"/>
    <w:rsid w:val="00826632"/>
    <w:rsid w:val="008270F8"/>
    <w:rsid w:val="008274AE"/>
    <w:rsid w:val="00827509"/>
    <w:rsid w:val="0082754C"/>
    <w:rsid w:val="00827689"/>
    <w:rsid w:val="00827A21"/>
    <w:rsid w:val="00827E8A"/>
    <w:rsid w:val="00830153"/>
    <w:rsid w:val="00830335"/>
    <w:rsid w:val="00830337"/>
    <w:rsid w:val="008306CD"/>
    <w:rsid w:val="0083080A"/>
    <w:rsid w:val="0083096B"/>
    <w:rsid w:val="00830CD2"/>
    <w:rsid w:val="00830D42"/>
    <w:rsid w:val="008311F6"/>
    <w:rsid w:val="00831275"/>
    <w:rsid w:val="00831583"/>
    <w:rsid w:val="00831624"/>
    <w:rsid w:val="00831764"/>
    <w:rsid w:val="00831862"/>
    <w:rsid w:val="0083186E"/>
    <w:rsid w:val="008318F1"/>
    <w:rsid w:val="008319F8"/>
    <w:rsid w:val="00831D46"/>
    <w:rsid w:val="00832441"/>
    <w:rsid w:val="00832456"/>
    <w:rsid w:val="0083272B"/>
    <w:rsid w:val="0083286F"/>
    <w:rsid w:val="00832876"/>
    <w:rsid w:val="00832A7B"/>
    <w:rsid w:val="00832A9E"/>
    <w:rsid w:val="00832BC9"/>
    <w:rsid w:val="00832BF6"/>
    <w:rsid w:val="008330AD"/>
    <w:rsid w:val="0083355B"/>
    <w:rsid w:val="008338A1"/>
    <w:rsid w:val="00833A51"/>
    <w:rsid w:val="00833EA7"/>
    <w:rsid w:val="00833FC6"/>
    <w:rsid w:val="00834002"/>
    <w:rsid w:val="008344D2"/>
    <w:rsid w:val="00834522"/>
    <w:rsid w:val="008347D4"/>
    <w:rsid w:val="00834A32"/>
    <w:rsid w:val="00834E4E"/>
    <w:rsid w:val="00835140"/>
    <w:rsid w:val="0083566E"/>
    <w:rsid w:val="008357B2"/>
    <w:rsid w:val="00835B1C"/>
    <w:rsid w:val="00835CDB"/>
    <w:rsid w:val="00835DDB"/>
    <w:rsid w:val="00835E45"/>
    <w:rsid w:val="00835FA3"/>
    <w:rsid w:val="0083607C"/>
    <w:rsid w:val="008360CF"/>
    <w:rsid w:val="008365E3"/>
    <w:rsid w:val="0083696E"/>
    <w:rsid w:val="00837027"/>
    <w:rsid w:val="0083728F"/>
    <w:rsid w:val="008372D0"/>
    <w:rsid w:val="00837425"/>
    <w:rsid w:val="00837628"/>
    <w:rsid w:val="008379F4"/>
    <w:rsid w:val="00837AA0"/>
    <w:rsid w:val="00837B60"/>
    <w:rsid w:val="00837C9F"/>
    <w:rsid w:val="00837D73"/>
    <w:rsid w:val="00837FF3"/>
    <w:rsid w:val="0084005A"/>
    <w:rsid w:val="00840117"/>
    <w:rsid w:val="008404DF"/>
    <w:rsid w:val="008405CD"/>
    <w:rsid w:val="0084061A"/>
    <w:rsid w:val="00840837"/>
    <w:rsid w:val="00840968"/>
    <w:rsid w:val="00840A08"/>
    <w:rsid w:val="00840AC6"/>
    <w:rsid w:val="00840C21"/>
    <w:rsid w:val="00840C4C"/>
    <w:rsid w:val="00840FC4"/>
    <w:rsid w:val="0084116E"/>
    <w:rsid w:val="0084156B"/>
    <w:rsid w:val="008416B7"/>
    <w:rsid w:val="008418CC"/>
    <w:rsid w:val="0084196E"/>
    <w:rsid w:val="00841C54"/>
    <w:rsid w:val="00842010"/>
    <w:rsid w:val="008420FA"/>
    <w:rsid w:val="008421EC"/>
    <w:rsid w:val="00842293"/>
    <w:rsid w:val="00842483"/>
    <w:rsid w:val="0084277C"/>
    <w:rsid w:val="008429AD"/>
    <w:rsid w:val="00842DAA"/>
    <w:rsid w:val="00842F90"/>
    <w:rsid w:val="008432A5"/>
    <w:rsid w:val="008432C0"/>
    <w:rsid w:val="0084332C"/>
    <w:rsid w:val="0084333D"/>
    <w:rsid w:val="008433EE"/>
    <w:rsid w:val="0084348B"/>
    <w:rsid w:val="008435F5"/>
    <w:rsid w:val="00843925"/>
    <w:rsid w:val="00843FA8"/>
    <w:rsid w:val="00844327"/>
    <w:rsid w:val="008443A8"/>
    <w:rsid w:val="008445AE"/>
    <w:rsid w:val="00844693"/>
    <w:rsid w:val="008447DF"/>
    <w:rsid w:val="00844965"/>
    <w:rsid w:val="00844B85"/>
    <w:rsid w:val="00844C06"/>
    <w:rsid w:val="0084512B"/>
    <w:rsid w:val="00845274"/>
    <w:rsid w:val="008452CF"/>
    <w:rsid w:val="00845596"/>
    <w:rsid w:val="0084559E"/>
    <w:rsid w:val="00845C3C"/>
    <w:rsid w:val="00845CAC"/>
    <w:rsid w:val="00845F9B"/>
    <w:rsid w:val="008464AC"/>
    <w:rsid w:val="00846556"/>
    <w:rsid w:val="008465FF"/>
    <w:rsid w:val="00846612"/>
    <w:rsid w:val="0084675E"/>
    <w:rsid w:val="00846791"/>
    <w:rsid w:val="00846A83"/>
    <w:rsid w:val="00846C2C"/>
    <w:rsid w:val="00846ECC"/>
    <w:rsid w:val="0084719A"/>
    <w:rsid w:val="008471A5"/>
    <w:rsid w:val="0084725D"/>
    <w:rsid w:val="0084737E"/>
    <w:rsid w:val="008473BD"/>
    <w:rsid w:val="008475A5"/>
    <w:rsid w:val="00847A81"/>
    <w:rsid w:val="00847B5B"/>
    <w:rsid w:val="00847C2D"/>
    <w:rsid w:val="00847D7C"/>
    <w:rsid w:val="00847E4D"/>
    <w:rsid w:val="00847E54"/>
    <w:rsid w:val="00847F88"/>
    <w:rsid w:val="00850072"/>
    <w:rsid w:val="0085014D"/>
    <w:rsid w:val="008503CC"/>
    <w:rsid w:val="008504C4"/>
    <w:rsid w:val="00850848"/>
    <w:rsid w:val="008513C9"/>
    <w:rsid w:val="00851716"/>
    <w:rsid w:val="0085181D"/>
    <w:rsid w:val="00851965"/>
    <w:rsid w:val="00851C27"/>
    <w:rsid w:val="00851C32"/>
    <w:rsid w:val="00851E1C"/>
    <w:rsid w:val="00851E56"/>
    <w:rsid w:val="00851EBD"/>
    <w:rsid w:val="00851F0E"/>
    <w:rsid w:val="00851F38"/>
    <w:rsid w:val="008524A5"/>
    <w:rsid w:val="008525BE"/>
    <w:rsid w:val="0085293A"/>
    <w:rsid w:val="0085298E"/>
    <w:rsid w:val="00852D2A"/>
    <w:rsid w:val="00852E49"/>
    <w:rsid w:val="00853011"/>
    <w:rsid w:val="00853571"/>
    <w:rsid w:val="00853A30"/>
    <w:rsid w:val="00853A58"/>
    <w:rsid w:val="00853C64"/>
    <w:rsid w:val="00853F1A"/>
    <w:rsid w:val="00853F64"/>
    <w:rsid w:val="00854186"/>
    <w:rsid w:val="008541A6"/>
    <w:rsid w:val="00854318"/>
    <w:rsid w:val="0085449F"/>
    <w:rsid w:val="008544D5"/>
    <w:rsid w:val="008545D0"/>
    <w:rsid w:val="008545F1"/>
    <w:rsid w:val="008545FC"/>
    <w:rsid w:val="0085462F"/>
    <w:rsid w:val="00854649"/>
    <w:rsid w:val="008547FF"/>
    <w:rsid w:val="008548B4"/>
    <w:rsid w:val="00854BC9"/>
    <w:rsid w:val="00855131"/>
    <w:rsid w:val="0085566F"/>
    <w:rsid w:val="0085572A"/>
    <w:rsid w:val="00855885"/>
    <w:rsid w:val="008559C9"/>
    <w:rsid w:val="00855B90"/>
    <w:rsid w:val="00855D7E"/>
    <w:rsid w:val="00855E0B"/>
    <w:rsid w:val="00855E5B"/>
    <w:rsid w:val="0085615C"/>
    <w:rsid w:val="0085628E"/>
    <w:rsid w:val="0085649D"/>
    <w:rsid w:val="00856701"/>
    <w:rsid w:val="008567CE"/>
    <w:rsid w:val="0085687C"/>
    <w:rsid w:val="00856A55"/>
    <w:rsid w:val="00856AAD"/>
    <w:rsid w:val="00856B71"/>
    <w:rsid w:val="00856C42"/>
    <w:rsid w:val="00856C7D"/>
    <w:rsid w:val="008575C9"/>
    <w:rsid w:val="00857D15"/>
    <w:rsid w:val="00857F51"/>
    <w:rsid w:val="00857F7A"/>
    <w:rsid w:val="008602EA"/>
    <w:rsid w:val="0086049A"/>
    <w:rsid w:val="008605AD"/>
    <w:rsid w:val="0086087B"/>
    <w:rsid w:val="008608FE"/>
    <w:rsid w:val="008609AE"/>
    <w:rsid w:val="00860A8F"/>
    <w:rsid w:val="00860B14"/>
    <w:rsid w:val="00860DAE"/>
    <w:rsid w:val="00860DD7"/>
    <w:rsid w:val="00860E93"/>
    <w:rsid w:val="00860F90"/>
    <w:rsid w:val="00860FC7"/>
    <w:rsid w:val="008610D4"/>
    <w:rsid w:val="00861520"/>
    <w:rsid w:val="008615C0"/>
    <w:rsid w:val="00861761"/>
    <w:rsid w:val="0086178A"/>
    <w:rsid w:val="008618E8"/>
    <w:rsid w:val="00861913"/>
    <w:rsid w:val="00861998"/>
    <w:rsid w:val="00861D5B"/>
    <w:rsid w:val="0086229D"/>
    <w:rsid w:val="008623FC"/>
    <w:rsid w:val="0086290E"/>
    <w:rsid w:val="00862A0C"/>
    <w:rsid w:val="00862BFA"/>
    <w:rsid w:val="00862C28"/>
    <w:rsid w:val="00862CF9"/>
    <w:rsid w:val="00862DAE"/>
    <w:rsid w:val="00862E6C"/>
    <w:rsid w:val="00862EEB"/>
    <w:rsid w:val="0086314C"/>
    <w:rsid w:val="00863164"/>
    <w:rsid w:val="008631CA"/>
    <w:rsid w:val="008633EB"/>
    <w:rsid w:val="0086358B"/>
    <w:rsid w:val="008636F5"/>
    <w:rsid w:val="0086370D"/>
    <w:rsid w:val="00863982"/>
    <w:rsid w:val="00863A1F"/>
    <w:rsid w:val="00863C0B"/>
    <w:rsid w:val="00863D32"/>
    <w:rsid w:val="00863DEA"/>
    <w:rsid w:val="00863EBC"/>
    <w:rsid w:val="0086408A"/>
    <w:rsid w:val="00864217"/>
    <w:rsid w:val="00864389"/>
    <w:rsid w:val="008645B9"/>
    <w:rsid w:val="0086471C"/>
    <w:rsid w:val="0086481B"/>
    <w:rsid w:val="0086487F"/>
    <w:rsid w:val="00864947"/>
    <w:rsid w:val="0086495C"/>
    <w:rsid w:val="00864A78"/>
    <w:rsid w:val="00864C1F"/>
    <w:rsid w:val="00864EEF"/>
    <w:rsid w:val="008651B0"/>
    <w:rsid w:val="00865393"/>
    <w:rsid w:val="008653C7"/>
    <w:rsid w:val="008653D6"/>
    <w:rsid w:val="008655DD"/>
    <w:rsid w:val="00865733"/>
    <w:rsid w:val="00865B22"/>
    <w:rsid w:val="00865C2B"/>
    <w:rsid w:val="00865ECF"/>
    <w:rsid w:val="0086602A"/>
    <w:rsid w:val="00866219"/>
    <w:rsid w:val="00866221"/>
    <w:rsid w:val="00866241"/>
    <w:rsid w:val="008662E3"/>
    <w:rsid w:val="00866983"/>
    <w:rsid w:val="00866E31"/>
    <w:rsid w:val="008670A0"/>
    <w:rsid w:val="0086767A"/>
    <w:rsid w:val="008677E3"/>
    <w:rsid w:val="008678D0"/>
    <w:rsid w:val="00867A03"/>
    <w:rsid w:val="00867C6E"/>
    <w:rsid w:val="00867CC8"/>
    <w:rsid w:val="00867F38"/>
    <w:rsid w:val="00867FFE"/>
    <w:rsid w:val="00870212"/>
    <w:rsid w:val="008702A4"/>
    <w:rsid w:val="008706CA"/>
    <w:rsid w:val="008706D0"/>
    <w:rsid w:val="00870968"/>
    <w:rsid w:val="00870A39"/>
    <w:rsid w:val="00870DC2"/>
    <w:rsid w:val="00870E58"/>
    <w:rsid w:val="00871360"/>
    <w:rsid w:val="00871410"/>
    <w:rsid w:val="00871616"/>
    <w:rsid w:val="00871883"/>
    <w:rsid w:val="008719B9"/>
    <w:rsid w:val="00871DC4"/>
    <w:rsid w:val="00871E79"/>
    <w:rsid w:val="00872009"/>
    <w:rsid w:val="008720E1"/>
    <w:rsid w:val="008721CC"/>
    <w:rsid w:val="00872224"/>
    <w:rsid w:val="008722DC"/>
    <w:rsid w:val="0087269B"/>
    <w:rsid w:val="00872AB5"/>
    <w:rsid w:val="00873058"/>
    <w:rsid w:val="008731DA"/>
    <w:rsid w:val="008732B6"/>
    <w:rsid w:val="00873324"/>
    <w:rsid w:val="0087338C"/>
    <w:rsid w:val="00873637"/>
    <w:rsid w:val="00873878"/>
    <w:rsid w:val="00873917"/>
    <w:rsid w:val="00873926"/>
    <w:rsid w:val="00873983"/>
    <w:rsid w:val="00873B45"/>
    <w:rsid w:val="00873BC3"/>
    <w:rsid w:val="00873C16"/>
    <w:rsid w:val="00873D94"/>
    <w:rsid w:val="0087424F"/>
    <w:rsid w:val="008747E7"/>
    <w:rsid w:val="00874833"/>
    <w:rsid w:val="0087489C"/>
    <w:rsid w:val="00874968"/>
    <w:rsid w:val="0087498C"/>
    <w:rsid w:val="00874CED"/>
    <w:rsid w:val="00874E0F"/>
    <w:rsid w:val="00874E3B"/>
    <w:rsid w:val="00874EB9"/>
    <w:rsid w:val="00874F5A"/>
    <w:rsid w:val="0087515A"/>
    <w:rsid w:val="0087533B"/>
    <w:rsid w:val="00875577"/>
    <w:rsid w:val="008756F1"/>
    <w:rsid w:val="00875ACA"/>
    <w:rsid w:val="00875E9E"/>
    <w:rsid w:val="00875FA8"/>
    <w:rsid w:val="0087607A"/>
    <w:rsid w:val="0087674B"/>
    <w:rsid w:val="008768A8"/>
    <w:rsid w:val="008768D4"/>
    <w:rsid w:val="00876A46"/>
    <w:rsid w:val="00876B3E"/>
    <w:rsid w:val="00876CC7"/>
    <w:rsid w:val="00876DEC"/>
    <w:rsid w:val="00876FAD"/>
    <w:rsid w:val="008771CF"/>
    <w:rsid w:val="0087723D"/>
    <w:rsid w:val="00877260"/>
    <w:rsid w:val="008773AF"/>
    <w:rsid w:val="008773C0"/>
    <w:rsid w:val="00877461"/>
    <w:rsid w:val="008776F0"/>
    <w:rsid w:val="008778A7"/>
    <w:rsid w:val="00877CD4"/>
    <w:rsid w:val="00877DC2"/>
    <w:rsid w:val="00877FB7"/>
    <w:rsid w:val="0088007A"/>
    <w:rsid w:val="008802D4"/>
    <w:rsid w:val="00880625"/>
    <w:rsid w:val="00880882"/>
    <w:rsid w:val="00880C1D"/>
    <w:rsid w:val="00880F63"/>
    <w:rsid w:val="00881059"/>
    <w:rsid w:val="00881292"/>
    <w:rsid w:val="008813A0"/>
    <w:rsid w:val="0088143D"/>
    <w:rsid w:val="00881761"/>
    <w:rsid w:val="0088183A"/>
    <w:rsid w:val="00881B1F"/>
    <w:rsid w:val="00881C5D"/>
    <w:rsid w:val="00881E16"/>
    <w:rsid w:val="00881FE1"/>
    <w:rsid w:val="008820C9"/>
    <w:rsid w:val="008821D1"/>
    <w:rsid w:val="00882249"/>
    <w:rsid w:val="00882507"/>
    <w:rsid w:val="00882829"/>
    <w:rsid w:val="00882927"/>
    <w:rsid w:val="008829DD"/>
    <w:rsid w:val="00882F7E"/>
    <w:rsid w:val="0088321E"/>
    <w:rsid w:val="00883860"/>
    <w:rsid w:val="00883A85"/>
    <w:rsid w:val="00883FE0"/>
    <w:rsid w:val="00884168"/>
    <w:rsid w:val="0088432B"/>
    <w:rsid w:val="008846D3"/>
    <w:rsid w:val="0088480C"/>
    <w:rsid w:val="0088492F"/>
    <w:rsid w:val="00884A34"/>
    <w:rsid w:val="00884C28"/>
    <w:rsid w:val="00885194"/>
    <w:rsid w:val="00885446"/>
    <w:rsid w:val="00885626"/>
    <w:rsid w:val="008857D7"/>
    <w:rsid w:val="008858C2"/>
    <w:rsid w:val="008859DA"/>
    <w:rsid w:val="00885B42"/>
    <w:rsid w:val="00885B9B"/>
    <w:rsid w:val="00885CA7"/>
    <w:rsid w:val="00885D0B"/>
    <w:rsid w:val="00885E28"/>
    <w:rsid w:val="00885EA0"/>
    <w:rsid w:val="00885EF9"/>
    <w:rsid w:val="008862BB"/>
    <w:rsid w:val="00886AF1"/>
    <w:rsid w:val="00886BAB"/>
    <w:rsid w:val="0088740F"/>
    <w:rsid w:val="008875DF"/>
    <w:rsid w:val="0088762A"/>
    <w:rsid w:val="00887D41"/>
    <w:rsid w:val="00887E87"/>
    <w:rsid w:val="00887F97"/>
    <w:rsid w:val="00890182"/>
    <w:rsid w:val="008901EA"/>
    <w:rsid w:val="00890316"/>
    <w:rsid w:val="00890325"/>
    <w:rsid w:val="00890334"/>
    <w:rsid w:val="00890766"/>
    <w:rsid w:val="00890834"/>
    <w:rsid w:val="00890C89"/>
    <w:rsid w:val="00890D37"/>
    <w:rsid w:val="00890EC3"/>
    <w:rsid w:val="00890F01"/>
    <w:rsid w:val="00890F52"/>
    <w:rsid w:val="00890FD5"/>
    <w:rsid w:val="00891168"/>
    <w:rsid w:val="0089117D"/>
    <w:rsid w:val="008911ED"/>
    <w:rsid w:val="0089141E"/>
    <w:rsid w:val="008914A1"/>
    <w:rsid w:val="0089168C"/>
    <w:rsid w:val="00891F56"/>
    <w:rsid w:val="00891FDE"/>
    <w:rsid w:val="00892082"/>
    <w:rsid w:val="00892130"/>
    <w:rsid w:val="008922C5"/>
    <w:rsid w:val="0089255D"/>
    <w:rsid w:val="00892935"/>
    <w:rsid w:val="00893035"/>
    <w:rsid w:val="008932E1"/>
    <w:rsid w:val="008932EB"/>
    <w:rsid w:val="00893476"/>
    <w:rsid w:val="0089375E"/>
    <w:rsid w:val="00893763"/>
    <w:rsid w:val="00893B68"/>
    <w:rsid w:val="00893C6D"/>
    <w:rsid w:val="00893D09"/>
    <w:rsid w:val="00893E24"/>
    <w:rsid w:val="00893E75"/>
    <w:rsid w:val="00893F9D"/>
    <w:rsid w:val="00894197"/>
    <w:rsid w:val="008942D9"/>
    <w:rsid w:val="00894604"/>
    <w:rsid w:val="00894836"/>
    <w:rsid w:val="008948C6"/>
    <w:rsid w:val="00894A88"/>
    <w:rsid w:val="00894C24"/>
    <w:rsid w:val="00894DCF"/>
    <w:rsid w:val="00894DDF"/>
    <w:rsid w:val="00894F1E"/>
    <w:rsid w:val="00895090"/>
    <w:rsid w:val="00895244"/>
    <w:rsid w:val="0089531D"/>
    <w:rsid w:val="00895363"/>
    <w:rsid w:val="008956F8"/>
    <w:rsid w:val="00895727"/>
    <w:rsid w:val="00895BA0"/>
    <w:rsid w:val="00895C8C"/>
    <w:rsid w:val="00896511"/>
    <w:rsid w:val="0089662F"/>
    <w:rsid w:val="00896843"/>
    <w:rsid w:val="00896881"/>
    <w:rsid w:val="00896947"/>
    <w:rsid w:val="00896A2F"/>
    <w:rsid w:val="00896B88"/>
    <w:rsid w:val="00896CC3"/>
    <w:rsid w:val="00896DBD"/>
    <w:rsid w:val="00896FCA"/>
    <w:rsid w:val="00896FF9"/>
    <w:rsid w:val="00897071"/>
    <w:rsid w:val="008970FC"/>
    <w:rsid w:val="00897342"/>
    <w:rsid w:val="008977AE"/>
    <w:rsid w:val="0089781E"/>
    <w:rsid w:val="00897899"/>
    <w:rsid w:val="00897B4E"/>
    <w:rsid w:val="008A0043"/>
    <w:rsid w:val="008A01B4"/>
    <w:rsid w:val="008A028D"/>
    <w:rsid w:val="008A0391"/>
    <w:rsid w:val="008A0440"/>
    <w:rsid w:val="008A0684"/>
    <w:rsid w:val="008A0692"/>
    <w:rsid w:val="008A075A"/>
    <w:rsid w:val="008A0791"/>
    <w:rsid w:val="008A0A8D"/>
    <w:rsid w:val="008A11C2"/>
    <w:rsid w:val="008A16AE"/>
    <w:rsid w:val="008A1870"/>
    <w:rsid w:val="008A1AFA"/>
    <w:rsid w:val="008A1E68"/>
    <w:rsid w:val="008A1F82"/>
    <w:rsid w:val="008A202A"/>
    <w:rsid w:val="008A21BA"/>
    <w:rsid w:val="008A21F3"/>
    <w:rsid w:val="008A22CB"/>
    <w:rsid w:val="008A2458"/>
    <w:rsid w:val="008A26E2"/>
    <w:rsid w:val="008A28CD"/>
    <w:rsid w:val="008A2B41"/>
    <w:rsid w:val="008A2C12"/>
    <w:rsid w:val="008A2EB9"/>
    <w:rsid w:val="008A3514"/>
    <w:rsid w:val="008A3603"/>
    <w:rsid w:val="008A3629"/>
    <w:rsid w:val="008A3647"/>
    <w:rsid w:val="008A3896"/>
    <w:rsid w:val="008A38F9"/>
    <w:rsid w:val="008A3CC1"/>
    <w:rsid w:val="008A4006"/>
    <w:rsid w:val="008A41CF"/>
    <w:rsid w:val="008A47F7"/>
    <w:rsid w:val="008A4D8F"/>
    <w:rsid w:val="008A4E24"/>
    <w:rsid w:val="008A4EBC"/>
    <w:rsid w:val="008A4F0E"/>
    <w:rsid w:val="008A51CE"/>
    <w:rsid w:val="008A5426"/>
    <w:rsid w:val="008A5592"/>
    <w:rsid w:val="008A5789"/>
    <w:rsid w:val="008A580A"/>
    <w:rsid w:val="008A582D"/>
    <w:rsid w:val="008A58DB"/>
    <w:rsid w:val="008A5B21"/>
    <w:rsid w:val="008A5C6C"/>
    <w:rsid w:val="008A5D35"/>
    <w:rsid w:val="008A5EEE"/>
    <w:rsid w:val="008A6062"/>
    <w:rsid w:val="008A6203"/>
    <w:rsid w:val="008A62E3"/>
    <w:rsid w:val="008A6886"/>
    <w:rsid w:val="008A69A3"/>
    <w:rsid w:val="008A6AFD"/>
    <w:rsid w:val="008A6D37"/>
    <w:rsid w:val="008A6EB4"/>
    <w:rsid w:val="008A7573"/>
    <w:rsid w:val="008A75DF"/>
    <w:rsid w:val="008A76DE"/>
    <w:rsid w:val="008A7AE0"/>
    <w:rsid w:val="008A7B6D"/>
    <w:rsid w:val="008A7EB7"/>
    <w:rsid w:val="008A7EF1"/>
    <w:rsid w:val="008A7FD7"/>
    <w:rsid w:val="008B02B1"/>
    <w:rsid w:val="008B034C"/>
    <w:rsid w:val="008B03CF"/>
    <w:rsid w:val="008B0500"/>
    <w:rsid w:val="008B0697"/>
    <w:rsid w:val="008B08F1"/>
    <w:rsid w:val="008B096E"/>
    <w:rsid w:val="008B0A6F"/>
    <w:rsid w:val="008B0FE9"/>
    <w:rsid w:val="008B1003"/>
    <w:rsid w:val="008B138F"/>
    <w:rsid w:val="008B1488"/>
    <w:rsid w:val="008B1E84"/>
    <w:rsid w:val="008B1EFC"/>
    <w:rsid w:val="008B1FDB"/>
    <w:rsid w:val="008B2193"/>
    <w:rsid w:val="008B241A"/>
    <w:rsid w:val="008B27BF"/>
    <w:rsid w:val="008B2811"/>
    <w:rsid w:val="008B2C13"/>
    <w:rsid w:val="008B2EAC"/>
    <w:rsid w:val="008B3000"/>
    <w:rsid w:val="008B3076"/>
    <w:rsid w:val="008B31B9"/>
    <w:rsid w:val="008B332C"/>
    <w:rsid w:val="008B3440"/>
    <w:rsid w:val="008B3827"/>
    <w:rsid w:val="008B3956"/>
    <w:rsid w:val="008B3BFC"/>
    <w:rsid w:val="008B3C37"/>
    <w:rsid w:val="008B40C6"/>
    <w:rsid w:val="008B44F6"/>
    <w:rsid w:val="008B45C5"/>
    <w:rsid w:val="008B47C2"/>
    <w:rsid w:val="008B4904"/>
    <w:rsid w:val="008B492B"/>
    <w:rsid w:val="008B4A3C"/>
    <w:rsid w:val="008B4AB2"/>
    <w:rsid w:val="008B4BD3"/>
    <w:rsid w:val="008B4F1E"/>
    <w:rsid w:val="008B53CB"/>
    <w:rsid w:val="008B5479"/>
    <w:rsid w:val="008B5557"/>
    <w:rsid w:val="008B5630"/>
    <w:rsid w:val="008B5812"/>
    <w:rsid w:val="008B59CC"/>
    <w:rsid w:val="008B5DF9"/>
    <w:rsid w:val="008B5E2B"/>
    <w:rsid w:val="008B5FAD"/>
    <w:rsid w:val="008B6029"/>
    <w:rsid w:val="008B6288"/>
    <w:rsid w:val="008B628B"/>
    <w:rsid w:val="008B62FF"/>
    <w:rsid w:val="008B64E9"/>
    <w:rsid w:val="008B6535"/>
    <w:rsid w:val="008B691D"/>
    <w:rsid w:val="008B6C20"/>
    <w:rsid w:val="008B6E65"/>
    <w:rsid w:val="008B70FA"/>
    <w:rsid w:val="008B7136"/>
    <w:rsid w:val="008B749F"/>
    <w:rsid w:val="008B7819"/>
    <w:rsid w:val="008B797E"/>
    <w:rsid w:val="008B79B9"/>
    <w:rsid w:val="008B7DC2"/>
    <w:rsid w:val="008B7F93"/>
    <w:rsid w:val="008C04CD"/>
    <w:rsid w:val="008C051E"/>
    <w:rsid w:val="008C0950"/>
    <w:rsid w:val="008C09F8"/>
    <w:rsid w:val="008C0D47"/>
    <w:rsid w:val="008C0D86"/>
    <w:rsid w:val="008C1112"/>
    <w:rsid w:val="008C1136"/>
    <w:rsid w:val="008C131E"/>
    <w:rsid w:val="008C141D"/>
    <w:rsid w:val="008C15A4"/>
    <w:rsid w:val="008C183F"/>
    <w:rsid w:val="008C1B76"/>
    <w:rsid w:val="008C1C38"/>
    <w:rsid w:val="008C1C76"/>
    <w:rsid w:val="008C1DE5"/>
    <w:rsid w:val="008C1FF1"/>
    <w:rsid w:val="008C2117"/>
    <w:rsid w:val="008C234C"/>
    <w:rsid w:val="008C254F"/>
    <w:rsid w:val="008C2726"/>
    <w:rsid w:val="008C2870"/>
    <w:rsid w:val="008C29AA"/>
    <w:rsid w:val="008C2CD6"/>
    <w:rsid w:val="008C2DC3"/>
    <w:rsid w:val="008C3137"/>
    <w:rsid w:val="008C31A9"/>
    <w:rsid w:val="008C3848"/>
    <w:rsid w:val="008C3857"/>
    <w:rsid w:val="008C3A9E"/>
    <w:rsid w:val="008C40E1"/>
    <w:rsid w:val="008C41FF"/>
    <w:rsid w:val="008C422C"/>
    <w:rsid w:val="008C4542"/>
    <w:rsid w:val="008C4688"/>
    <w:rsid w:val="008C48EB"/>
    <w:rsid w:val="008C4C36"/>
    <w:rsid w:val="008C4E98"/>
    <w:rsid w:val="008C4EAE"/>
    <w:rsid w:val="008C50BB"/>
    <w:rsid w:val="008C50F3"/>
    <w:rsid w:val="008C57FB"/>
    <w:rsid w:val="008C5800"/>
    <w:rsid w:val="008C59B2"/>
    <w:rsid w:val="008C5F9D"/>
    <w:rsid w:val="008C6401"/>
    <w:rsid w:val="008C6557"/>
    <w:rsid w:val="008C66D4"/>
    <w:rsid w:val="008C686E"/>
    <w:rsid w:val="008C6902"/>
    <w:rsid w:val="008C6BA0"/>
    <w:rsid w:val="008C6C1B"/>
    <w:rsid w:val="008C72DC"/>
    <w:rsid w:val="008C73BC"/>
    <w:rsid w:val="008C75E7"/>
    <w:rsid w:val="008C75FE"/>
    <w:rsid w:val="008C7611"/>
    <w:rsid w:val="008C773A"/>
    <w:rsid w:val="008C7897"/>
    <w:rsid w:val="008D075C"/>
    <w:rsid w:val="008D0A70"/>
    <w:rsid w:val="008D0ACD"/>
    <w:rsid w:val="008D0B61"/>
    <w:rsid w:val="008D0BF0"/>
    <w:rsid w:val="008D1141"/>
    <w:rsid w:val="008D1243"/>
    <w:rsid w:val="008D1451"/>
    <w:rsid w:val="008D1701"/>
    <w:rsid w:val="008D1BCC"/>
    <w:rsid w:val="008D1C92"/>
    <w:rsid w:val="008D1F9C"/>
    <w:rsid w:val="008D202F"/>
    <w:rsid w:val="008D24AE"/>
    <w:rsid w:val="008D27D1"/>
    <w:rsid w:val="008D2834"/>
    <w:rsid w:val="008D2F91"/>
    <w:rsid w:val="008D30BA"/>
    <w:rsid w:val="008D319D"/>
    <w:rsid w:val="008D3315"/>
    <w:rsid w:val="008D33FE"/>
    <w:rsid w:val="008D35EA"/>
    <w:rsid w:val="008D3784"/>
    <w:rsid w:val="008D38B5"/>
    <w:rsid w:val="008D3A43"/>
    <w:rsid w:val="008D3F14"/>
    <w:rsid w:val="008D4058"/>
    <w:rsid w:val="008D40EB"/>
    <w:rsid w:val="008D42C1"/>
    <w:rsid w:val="008D42DC"/>
    <w:rsid w:val="008D455C"/>
    <w:rsid w:val="008D474E"/>
    <w:rsid w:val="008D4767"/>
    <w:rsid w:val="008D48D6"/>
    <w:rsid w:val="008D49F2"/>
    <w:rsid w:val="008D4A3D"/>
    <w:rsid w:val="008D4B30"/>
    <w:rsid w:val="008D4E6F"/>
    <w:rsid w:val="008D4F06"/>
    <w:rsid w:val="008D4F3F"/>
    <w:rsid w:val="008D51A0"/>
    <w:rsid w:val="008D53F0"/>
    <w:rsid w:val="008D54EB"/>
    <w:rsid w:val="008D5559"/>
    <w:rsid w:val="008D5972"/>
    <w:rsid w:val="008D598A"/>
    <w:rsid w:val="008D5EC7"/>
    <w:rsid w:val="008D5ED0"/>
    <w:rsid w:val="008D5F0B"/>
    <w:rsid w:val="008D5F23"/>
    <w:rsid w:val="008D6072"/>
    <w:rsid w:val="008D6090"/>
    <w:rsid w:val="008D60D0"/>
    <w:rsid w:val="008D62DB"/>
    <w:rsid w:val="008D631E"/>
    <w:rsid w:val="008D63CB"/>
    <w:rsid w:val="008D63E1"/>
    <w:rsid w:val="008D672A"/>
    <w:rsid w:val="008D6960"/>
    <w:rsid w:val="008D6AD8"/>
    <w:rsid w:val="008D6D3B"/>
    <w:rsid w:val="008D6E75"/>
    <w:rsid w:val="008D6F3A"/>
    <w:rsid w:val="008D6FC0"/>
    <w:rsid w:val="008D6FCF"/>
    <w:rsid w:val="008D6FD9"/>
    <w:rsid w:val="008D72C0"/>
    <w:rsid w:val="008D7554"/>
    <w:rsid w:val="008D7591"/>
    <w:rsid w:val="008D77EA"/>
    <w:rsid w:val="008D7D17"/>
    <w:rsid w:val="008D7D37"/>
    <w:rsid w:val="008D7D48"/>
    <w:rsid w:val="008D7DA4"/>
    <w:rsid w:val="008E0786"/>
    <w:rsid w:val="008E0909"/>
    <w:rsid w:val="008E0E82"/>
    <w:rsid w:val="008E1276"/>
    <w:rsid w:val="008E16DC"/>
    <w:rsid w:val="008E176C"/>
    <w:rsid w:val="008E18C5"/>
    <w:rsid w:val="008E1F3E"/>
    <w:rsid w:val="008E1F3F"/>
    <w:rsid w:val="008E2130"/>
    <w:rsid w:val="008E213D"/>
    <w:rsid w:val="008E22D3"/>
    <w:rsid w:val="008E25D8"/>
    <w:rsid w:val="008E25F7"/>
    <w:rsid w:val="008E2613"/>
    <w:rsid w:val="008E2C0D"/>
    <w:rsid w:val="008E2E0E"/>
    <w:rsid w:val="008E30AB"/>
    <w:rsid w:val="008E3203"/>
    <w:rsid w:val="008E3246"/>
    <w:rsid w:val="008E39EB"/>
    <w:rsid w:val="008E3A6A"/>
    <w:rsid w:val="008E3B12"/>
    <w:rsid w:val="008E4173"/>
    <w:rsid w:val="008E46DB"/>
    <w:rsid w:val="008E47C9"/>
    <w:rsid w:val="008E4B11"/>
    <w:rsid w:val="008E510D"/>
    <w:rsid w:val="008E51E3"/>
    <w:rsid w:val="008E5280"/>
    <w:rsid w:val="008E534E"/>
    <w:rsid w:val="008E55F9"/>
    <w:rsid w:val="008E57C2"/>
    <w:rsid w:val="008E58BD"/>
    <w:rsid w:val="008E592C"/>
    <w:rsid w:val="008E5C91"/>
    <w:rsid w:val="008E5CD1"/>
    <w:rsid w:val="008E5EBC"/>
    <w:rsid w:val="008E66D1"/>
    <w:rsid w:val="008E6964"/>
    <w:rsid w:val="008E73B0"/>
    <w:rsid w:val="008E759C"/>
    <w:rsid w:val="008E76DB"/>
    <w:rsid w:val="008E773E"/>
    <w:rsid w:val="008E77EC"/>
    <w:rsid w:val="008E7B86"/>
    <w:rsid w:val="008E7C42"/>
    <w:rsid w:val="008E7DDD"/>
    <w:rsid w:val="008E7F12"/>
    <w:rsid w:val="008F04EC"/>
    <w:rsid w:val="008F0564"/>
    <w:rsid w:val="008F059A"/>
    <w:rsid w:val="008F064D"/>
    <w:rsid w:val="008F0C36"/>
    <w:rsid w:val="008F0D31"/>
    <w:rsid w:val="008F0ECD"/>
    <w:rsid w:val="008F1097"/>
    <w:rsid w:val="008F11F9"/>
    <w:rsid w:val="008F1677"/>
    <w:rsid w:val="008F1C19"/>
    <w:rsid w:val="008F1D00"/>
    <w:rsid w:val="008F209A"/>
    <w:rsid w:val="008F2272"/>
    <w:rsid w:val="008F241F"/>
    <w:rsid w:val="008F2422"/>
    <w:rsid w:val="008F2516"/>
    <w:rsid w:val="008F272A"/>
    <w:rsid w:val="008F274D"/>
    <w:rsid w:val="008F276C"/>
    <w:rsid w:val="008F2A0E"/>
    <w:rsid w:val="008F2A3D"/>
    <w:rsid w:val="008F2C27"/>
    <w:rsid w:val="008F2D3C"/>
    <w:rsid w:val="008F2D71"/>
    <w:rsid w:val="008F2DC2"/>
    <w:rsid w:val="008F2E26"/>
    <w:rsid w:val="008F2F00"/>
    <w:rsid w:val="008F31D6"/>
    <w:rsid w:val="008F320F"/>
    <w:rsid w:val="008F3223"/>
    <w:rsid w:val="008F33D3"/>
    <w:rsid w:val="008F3560"/>
    <w:rsid w:val="008F35F2"/>
    <w:rsid w:val="008F38DA"/>
    <w:rsid w:val="008F3976"/>
    <w:rsid w:val="008F4239"/>
    <w:rsid w:val="008F4381"/>
    <w:rsid w:val="008F4A82"/>
    <w:rsid w:val="008F4CDD"/>
    <w:rsid w:val="008F4DEF"/>
    <w:rsid w:val="008F50A2"/>
    <w:rsid w:val="008F554E"/>
    <w:rsid w:val="008F5791"/>
    <w:rsid w:val="008F588E"/>
    <w:rsid w:val="008F5B29"/>
    <w:rsid w:val="008F5CA9"/>
    <w:rsid w:val="008F5CBF"/>
    <w:rsid w:val="008F5E02"/>
    <w:rsid w:val="008F5E68"/>
    <w:rsid w:val="008F5F9F"/>
    <w:rsid w:val="008F5FCB"/>
    <w:rsid w:val="008F62A9"/>
    <w:rsid w:val="008F630A"/>
    <w:rsid w:val="008F6327"/>
    <w:rsid w:val="008F633D"/>
    <w:rsid w:val="008F63A2"/>
    <w:rsid w:val="008F660E"/>
    <w:rsid w:val="008F67C7"/>
    <w:rsid w:val="008F682B"/>
    <w:rsid w:val="008F6BF5"/>
    <w:rsid w:val="008F6CAB"/>
    <w:rsid w:val="008F7156"/>
    <w:rsid w:val="008F740C"/>
    <w:rsid w:val="008F7498"/>
    <w:rsid w:val="008F7563"/>
    <w:rsid w:val="008F77B0"/>
    <w:rsid w:val="008F7A1A"/>
    <w:rsid w:val="008F7C13"/>
    <w:rsid w:val="008F7C86"/>
    <w:rsid w:val="008F7DBF"/>
    <w:rsid w:val="008F7E23"/>
    <w:rsid w:val="009005F6"/>
    <w:rsid w:val="0090078A"/>
    <w:rsid w:val="009007C5"/>
    <w:rsid w:val="00900841"/>
    <w:rsid w:val="00900C4B"/>
    <w:rsid w:val="00900C92"/>
    <w:rsid w:val="0090120E"/>
    <w:rsid w:val="00901231"/>
    <w:rsid w:val="0090127D"/>
    <w:rsid w:val="009014FC"/>
    <w:rsid w:val="0090163A"/>
    <w:rsid w:val="009017A6"/>
    <w:rsid w:val="00901804"/>
    <w:rsid w:val="0090181E"/>
    <w:rsid w:val="00901A9D"/>
    <w:rsid w:val="00901ACE"/>
    <w:rsid w:val="00901B10"/>
    <w:rsid w:val="00901BB4"/>
    <w:rsid w:val="00901DC8"/>
    <w:rsid w:val="00901F82"/>
    <w:rsid w:val="009021E6"/>
    <w:rsid w:val="009022E4"/>
    <w:rsid w:val="009023DD"/>
    <w:rsid w:val="00902405"/>
    <w:rsid w:val="00902408"/>
    <w:rsid w:val="00902421"/>
    <w:rsid w:val="00902427"/>
    <w:rsid w:val="00902461"/>
    <w:rsid w:val="009024E4"/>
    <w:rsid w:val="009024E5"/>
    <w:rsid w:val="009025D9"/>
    <w:rsid w:val="00902755"/>
    <w:rsid w:val="009029CC"/>
    <w:rsid w:val="00902A29"/>
    <w:rsid w:val="00902CA3"/>
    <w:rsid w:val="00902EF9"/>
    <w:rsid w:val="00903148"/>
    <w:rsid w:val="0090343B"/>
    <w:rsid w:val="00903564"/>
    <w:rsid w:val="00903864"/>
    <w:rsid w:val="00903882"/>
    <w:rsid w:val="009038BC"/>
    <w:rsid w:val="00903B27"/>
    <w:rsid w:val="00903CE9"/>
    <w:rsid w:val="00903D13"/>
    <w:rsid w:val="00903D14"/>
    <w:rsid w:val="00903F5E"/>
    <w:rsid w:val="00904023"/>
    <w:rsid w:val="0090402A"/>
    <w:rsid w:val="009041DB"/>
    <w:rsid w:val="009042F0"/>
    <w:rsid w:val="00904307"/>
    <w:rsid w:val="0090471D"/>
    <w:rsid w:val="0090472D"/>
    <w:rsid w:val="009049E5"/>
    <w:rsid w:val="00904D10"/>
    <w:rsid w:val="00904D1E"/>
    <w:rsid w:val="0090549D"/>
    <w:rsid w:val="009056A7"/>
    <w:rsid w:val="009056A9"/>
    <w:rsid w:val="00905925"/>
    <w:rsid w:val="00905959"/>
    <w:rsid w:val="00905972"/>
    <w:rsid w:val="00905A7B"/>
    <w:rsid w:val="00905D06"/>
    <w:rsid w:val="00905F1F"/>
    <w:rsid w:val="00905F22"/>
    <w:rsid w:val="00906024"/>
    <w:rsid w:val="0090678C"/>
    <w:rsid w:val="009067CE"/>
    <w:rsid w:val="00906878"/>
    <w:rsid w:val="009069C6"/>
    <w:rsid w:val="00906BD5"/>
    <w:rsid w:val="00906C1A"/>
    <w:rsid w:val="00906C6E"/>
    <w:rsid w:val="00906D45"/>
    <w:rsid w:val="0090700D"/>
    <w:rsid w:val="0090702E"/>
    <w:rsid w:val="009076ED"/>
    <w:rsid w:val="0090793D"/>
    <w:rsid w:val="00907A20"/>
    <w:rsid w:val="00907AF8"/>
    <w:rsid w:val="00907B41"/>
    <w:rsid w:val="00907E3E"/>
    <w:rsid w:val="00910038"/>
    <w:rsid w:val="009100BB"/>
    <w:rsid w:val="009100DE"/>
    <w:rsid w:val="00910215"/>
    <w:rsid w:val="0091053B"/>
    <w:rsid w:val="0091075F"/>
    <w:rsid w:val="00910892"/>
    <w:rsid w:val="00910897"/>
    <w:rsid w:val="00910943"/>
    <w:rsid w:val="00910C53"/>
    <w:rsid w:val="00910D74"/>
    <w:rsid w:val="00911232"/>
    <w:rsid w:val="00911285"/>
    <w:rsid w:val="0091186D"/>
    <w:rsid w:val="00911AEC"/>
    <w:rsid w:val="00911E96"/>
    <w:rsid w:val="00912300"/>
    <w:rsid w:val="00912364"/>
    <w:rsid w:val="00912809"/>
    <w:rsid w:val="009128C9"/>
    <w:rsid w:val="00912BA3"/>
    <w:rsid w:val="00912C56"/>
    <w:rsid w:val="00912EF1"/>
    <w:rsid w:val="00912FC7"/>
    <w:rsid w:val="009133BE"/>
    <w:rsid w:val="009136F0"/>
    <w:rsid w:val="00913812"/>
    <w:rsid w:val="00913894"/>
    <w:rsid w:val="00913BA0"/>
    <w:rsid w:val="00913CC4"/>
    <w:rsid w:val="00914174"/>
    <w:rsid w:val="009141E3"/>
    <w:rsid w:val="009143A0"/>
    <w:rsid w:val="009144C0"/>
    <w:rsid w:val="009147D4"/>
    <w:rsid w:val="00914AC1"/>
    <w:rsid w:val="00914B5F"/>
    <w:rsid w:val="00914CB2"/>
    <w:rsid w:val="00914E0B"/>
    <w:rsid w:val="00914EFB"/>
    <w:rsid w:val="00914FC6"/>
    <w:rsid w:val="009153B9"/>
    <w:rsid w:val="00915748"/>
    <w:rsid w:val="00915957"/>
    <w:rsid w:val="00915BDB"/>
    <w:rsid w:val="00915BED"/>
    <w:rsid w:val="009160BA"/>
    <w:rsid w:val="00916146"/>
    <w:rsid w:val="009161B1"/>
    <w:rsid w:val="009163A4"/>
    <w:rsid w:val="009165FC"/>
    <w:rsid w:val="00916709"/>
    <w:rsid w:val="00916717"/>
    <w:rsid w:val="009168C2"/>
    <w:rsid w:val="00916A70"/>
    <w:rsid w:val="00916B6F"/>
    <w:rsid w:val="00916E1D"/>
    <w:rsid w:val="00916E48"/>
    <w:rsid w:val="00916E72"/>
    <w:rsid w:val="009170B0"/>
    <w:rsid w:val="00917101"/>
    <w:rsid w:val="00917157"/>
    <w:rsid w:val="0091772D"/>
    <w:rsid w:val="00917746"/>
    <w:rsid w:val="0092043B"/>
    <w:rsid w:val="00920592"/>
    <w:rsid w:val="009207B7"/>
    <w:rsid w:val="00920845"/>
    <w:rsid w:val="00920BA4"/>
    <w:rsid w:val="00920D50"/>
    <w:rsid w:val="00921336"/>
    <w:rsid w:val="009213AF"/>
    <w:rsid w:val="0092167B"/>
    <w:rsid w:val="0092191D"/>
    <w:rsid w:val="00921A53"/>
    <w:rsid w:val="00921DED"/>
    <w:rsid w:val="00921E7D"/>
    <w:rsid w:val="00921ED5"/>
    <w:rsid w:val="00921F58"/>
    <w:rsid w:val="009220BD"/>
    <w:rsid w:val="009224CE"/>
    <w:rsid w:val="00922653"/>
    <w:rsid w:val="009226AD"/>
    <w:rsid w:val="009226DB"/>
    <w:rsid w:val="009228EF"/>
    <w:rsid w:val="00922A20"/>
    <w:rsid w:val="00922B0F"/>
    <w:rsid w:val="00922B3A"/>
    <w:rsid w:val="00922F6B"/>
    <w:rsid w:val="009230C1"/>
    <w:rsid w:val="009230F1"/>
    <w:rsid w:val="00923171"/>
    <w:rsid w:val="009231A2"/>
    <w:rsid w:val="009235B1"/>
    <w:rsid w:val="0092367F"/>
    <w:rsid w:val="00923CE5"/>
    <w:rsid w:val="00923CF2"/>
    <w:rsid w:val="00924036"/>
    <w:rsid w:val="009242B8"/>
    <w:rsid w:val="00924755"/>
    <w:rsid w:val="00924923"/>
    <w:rsid w:val="00924A1E"/>
    <w:rsid w:val="00924A37"/>
    <w:rsid w:val="00924AC6"/>
    <w:rsid w:val="00924CB6"/>
    <w:rsid w:val="00924E29"/>
    <w:rsid w:val="00924E6E"/>
    <w:rsid w:val="00925192"/>
    <w:rsid w:val="00925619"/>
    <w:rsid w:val="0092567B"/>
    <w:rsid w:val="00925741"/>
    <w:rsid w:val="0092586F"/>
    <w:rsid w:val="00925A69"/>
    <w:rsid w:val="00925A8D"/>
    <w:rsid w:val="00925BAA"/>
    <w:rsid w:val="00925DBE"/>
    <w:rsid w:val="00925E5D"/>
    <w:rsid w:val="00925F3A"/>
    <w:rsid w:val="00925F9F"/>
    <w:rsid w:val="009260C3"/>
    <w:rsid w:val="00926106"/>
    <w:rsid w:val="00926259"/>
    <w:rsid w:val="00926331"/>
    <w:rsid w:val="009265C6"/>
    <w:rsid w:val="00926686"/>
    <w:rsid w:val="009269EF"/>
    <w:rsid w:val="00926BB3"/>
    <w:rsid w:val="00926F3D"/>
    <w:rsid w:val="0092712F"/>
    <w:rsid w:val="009279C5"/>
    <w:rsid w:val="00927C75"/>
    <w:rsid w:val="00927C7A"/>
    <w:rsid w:val="00927D9F"/>
    <w:rsid w:val="00927E4D"/>
    <w:rsid w:val="00927E9E"/>
    <w:rsid w:val="00927ECF"/>
    <w:rsid w:val="00927FD9"/>
    <w:rsid w:val="00930072"/>
    <w:rsid w:val="00930524"/>
    <w:rsid w:val="00930557"/>
    <w:rsid w:val="009305FD"/>
    <w:rsid w:val="0093061E"/>
    <w:rsid w:val="009306C8"/>
    <w:rsid w:val="00930721"/>
    <w:rsid w:val="009307BB"/>
    <w:rsid w:val="00930DB8"/>
    <w:rsid w:val="00930DFC"/>
    <w:rsid w:val="00930E65"/>
    <w:rsid w:val="00931026"/>
    <w:rsid w:val="009319CB"/>
    <w:rsid w:val="00931A3F"/>
    <w:rsid w:val="00931A6A"/>
    <w:rsid w:val="009320B0"/>
    <w:rsid w:val="00932500"/>
    <w:rsid w:val="009327F3"/>
    <w:rsid w:val="0093282C"/>
    <w:rsid w:val="009329E2"/>
    <w:rsid w:val="00932B17"/>
    <w:rsid w:val="00932C23"/>
    <w:rsid w:val="00932DAE"/>
    <w:rsid w:val="009337BE"/>
    <w:rsid w:val="00933933"/>
    <w:rsid w:val="00933B22"/>
    <w:rsid w:val="00933E76"/>
    <w:rsid w:val="00933F91"/>
    <w:rsid w:val="00934275"/>
    <w:rsid w:val="009342B9"/>
    <w:rsid w:val="0093436F"/>
    <w:rsid w:val="00934832"/>
    <w:rsid w:val="0093492A"/>
    <w:rsid w:val="00934A44"/>
    <w:rsid w:val="00934D72"/>
    <w:rsid w:val="00934DC7"/>
    <w:rsid w:val="00934F58"/>
    <w:rsid w:val="00935220"/>
    <w:rsid w:val="009354AF"/>
    <w:rsid w:val="009355B7"/>
    <w:rsid w:val="00935622"/>
    <w:rsid w:val="0093563F"/>
    <w:rsid w:val="009356C6"/>
    <w:rsid w:val="00935C3A"/>
    <w:rsid w:val="00935E1C"/>
    <w:rsid w:val="00935ECE"/>
    <w:rsid w:val="00935F62"/>
    <w:rsid w:val="00936005"/>
    <w:rsid w:val="00936195"/>
    <w:rsid w:val="009368C9"/>
    <w:rsid w:val="009368EB"/>
    <w:rsid w:val="00936C38"/>
    <w:rsid w:val="00937008"/>
    <w:rsid w:val="0093705A"/>
    <w:rsid w:val="00937093"/>
    <w:rsid w:val="009370A5"/>
    <w:rsid w:val="009371CB"/>
    <w:rsid w:val="0093764B"/>
    <w:rsid w:val="009376D0"/>
    <w:rsid w:val="009377A9"/>
    <w:rsid w:val="009377E0"/>
    <w:rsid w:val="00937BAC"/>
    <w:rsid w:val="00937C9F"/>
    <w:rsid w:val="00937E93"/>
    <w:rsid w:val="00940542"/>
    <w:rsid w:val="00940A2C"/>
    <w:rsid w:val="00940CD1"/>
    <w:rsid w:val="00940D52"/>
    <w:rsid w:val="00940E94"/>
    <w:rsid w:val="00940EC9"/>
    <w:rsid w:val="0094123E"/>
    <w:rsid w:val="00941376"/>
    <w:rsid w:val="0094140A"/>
    <w:rsid w:val="00941603"/>
    <w:rsid w:val="009417A3"/>
    <w:rsid w:val="0094199E"/>
    <w:rsid w:val="00941E5C"/>
    <w:rsid w:val="00941EB9"/>
    <w:rsid w:val="00941EEA"/>
    <w:rsid w:val="00941F4F"/>
    <w:rsid w:val="00942082"/>
    <w:rsid w:val="0094208D"/>
    <w:rsid w:val="009427FD"/>
    <w:rsid w:val="00942882"/>
    <w:rsid w:val="00942897"/>
    <w:rsid w:val="00942BCF"/>
    <w:rsid w:val="00942D58"/>
    <w:rsid w:val="0094316A"/>
    <w:rsid w:val="00943380"/>
    <w:rsid w:val="0094339B"/>
    <w:rsid w:val="009434B7"/>
    <w:rsid w:val="009434D3"/>
    <w:rsid w:val="009435EE"/>
    <w:rsid w:val="0094365E"/>
    <w:rsid w:val="009439EC"/>
    <w:rsid w:val="00943A57"/>
    <w:rsid w:val="00944033"/>
    <w:rsid w:val="009440A2"/>
    <w:rsid w:val="009445BC"/>
    <w:rsid w:val="0094480B"/>
    <w:rsid w:val="00944A6B"/>
    <w:rsid w:val="00944E1C"/>
    <w:rsid w:val="00944F60"/>
    <w:rsid w:val="00944FB5"/>
    <w:rsid w:val="009451D1"/>
    <w:rsid w:val="009454D3"/>
    <w:rsid w:val="00945534"/>
    <w:rsid w:val="0094573B"/>
    <w:rsid w:val="00945903"/>
    <w:rsid w:val="00945A08"/>
    <w:rsid w:val="00945BA4"/>
    <w:rsid w:val="00945BE8"/>
    <w:rsid w:val="00946139"/>
    <w:rsid w:val="00946252"/>
    <w:rsid w:val="009466C9"/>
    <w:rsid w:val="00946757"/>
    <w:rsid w:val="009468BA"/>
    <w:rsid w:val="00946906"/>
    <w:rsid w:val="00946986"/>
    <w:rsid w:val="009469D4"/>
    <w:rsid w:val="00946E2A"/>
    <w:rsid w:val="00946E41"/>
    <w:rsid w:val="00946F84"/>
    <w:rsid w:val="009471AC"/>
    <w:rsid w:val="009471F6"/>
    <w:rsid w:val="009472CA"/>
    <w:rsid w:val="009474A2"/>
    <w:rsid w:val="009474DA"/>
    <w:rsid w:val="0094761A"/>
    <w:rsid w:val="00947882"/>
    <w:rsid w:val="009478A2"/>
    <w:rsid w:val="009479CC"/>
    <w:rsid w:val="00947BB1"/>
    <w:rsid w:val="00947FCB"/>
    <w:rsid w:val="0095016D"/>
    <w:rsid w:val="0095023C"/>
    <w:rsid w:val="00950240"/>
    <w:rsid w:val="0095034A"/>
    <w:rsid w:val="009504F3"/>
    <w:rsid w:val="0095084D"/>
    <w:rsid w:val="009509E3"/>
    <w:rsid w:val="00950A41"/>
    <w:rsid w:val="00950A7D"/>
    <w:rsid w:val="00950C98"/>
    <w:rsid w:val="00950FA8"/>
    <w:rsid w:val="009510CE"/>
    <w:rsid w:val="00951164"/>
    <w:rsid w:val="00951462"/>
    <w:rsid w:val="009518F6"/>
    <w:rsid w:val="0095192D"/>
    <w:rsid w:val="009519AD"/>
    <w:rsid w:val="00951A57"/>
    <w:rsid w:val="00951C3F"/>
    <w:rsid w:val="00951D92"/>
    <w:rsid w:val="009520D1"/>
    <w:rsid w:val="009520DB"/>
    <w:rsid w:val="00952155"/>
    <w:rsid w:val="00952330"/>
    <w:rsid w:val="009523EF"/>
    <w:rsid w:val="009526C3"/>
    <w:rsid w:val="009527EE"/>
    <w:rsid w:val="009529D5"/>
    <w:rsid w:val="00952B91"/>
    <w:rsid w:val="00952C20"/>
    <w:rsid w:val="00952EE6"/>
    <w:rsid w:val="0095303D"/>
    <w:rsid w:val="0095320C"/>
    <w:rsid w:val="009534DC"/>
    <w:rsid w:val="0095370E"/>
    <w:rsid w:val="00953CE2"/>
    <w:rsid w:val="00953CFA"/>
    <w:rsid w:val="00953D7A"/>
    <w:rsid w:val="00953DB1"/>
    <w:rsid w:val="00953EBB"/>
    <w:rsid w:val="009541BA"/>
    <w:rsid w:val="009542DD"/>
    <w:rsid w:val="00954473"/>
    <w:rsid w:val="0095457F"/>
    <w:rsid w:val="009545E1"/>
    <w:rsid w:val="009546D0"/>
    <w:rsid w:val="00954A5B"/>
    <w:rsid w:val="00954AA1"/>
    <w:rsid w:val="00954C7A"/>
    <w:rsid w:val="00954DA5"/>
    <w:rsid w:val="00954EAA"/>
    <w:rsid w:val="00955069"/>
    <w:rsid w:val="0095528B"/>
    <w:rsid w:val="0095533E"/>
    <w:rsid w:val="00955349"/>
    <w:rsid w:val="0095535D"/>
    <w:rsid w:val="00955370"/>
    <w:rsid w:val="009553D1"/>
    <w:rsid w:val="00955430"/>
    <w:rsid w:val="00955F23"/>
    <w:rsid w:val="0095612D"/>
    <w:rsid w:val="0095620C"/>
    <w:rsid w:val="0095666A"/>
    <w:rsid w:val="009566ED"/>
    <w:rsid w:val="00956C40"/>
    <w:rsid w:val="00956CF1"/>
    <w:rsid w:val="00957045"/>
    <w:rsid w:val="00957678"/>
    <w:rsid w:val="00957B39"/>
    <w:rsid w:val="00957BFB"/>
    <w:rsid w:val="00957C2E"/>
    <w:rsid w:val="00957E89"/>
    <w:rsid w:val="00960053"/>
    <w:rsid w:val="009601D3"/>
    <w:rsid w:val="00960570"/>
    <w:rsid w:val="0096059F"/>
    <w:rsid w:val="009605E5"/>
    <w:rsid w:val="009607D7"/>
    <w:rsid w:val="00960A0F"/>
    <w:rsid w:val="00960C12"/>
    <w:rsid w:val="00960D53"/>
    <w:rsid w:val="00960DB9"/>
    <w:rsid w:val="0096103D"/>
    <w:rsid w:val="009610FD"/>
    <w:rsid w:val="0096157F"/>
    <w:rsid w:val="009615C3"/>
    <w:rsid w:val="00961ADF"/>
    <w:rsid w:val="00961B12"/>
    <w:rsid w:val="00961B9D"/>
    <w:rsid w:val="00961C6A"/>
    <w:rsid w:val="00961D1B"/>
    <w:rsid w:val="0096200D"/>
    <w:rsid w:val="009625D3"/>
    <w:rsid w:val="0096287B"/>
    <w:rsid w:val="00963548"/>
    <w:rsid w:val="00963D52"/>
    <w:rsid w:val="00963EEC"/>
    <w:rsid w:val="00964191"/>
    <w:rsid w:val="00964440"/>
    <w:rsid w:val="009646DB"/>
    <w:rsid w:val="009649E3"/>
    <w:rsid w:val="00964B56"/>
    <w:rsid w:val="00964B80"/>
    <w:rsid w:val="00964B8C"/>
    <w:rsid w:val="00964D20"/>
    <w:rsid w:val="0096516F"/>
    <w:rsid w:val="00965262"/>
    <w:rsid w:val="009652D5"/>
    <w:rsid w:val="00966105"/>
    <w:rsid w:val="00966AC8"/>
    <w:rsid w:val="00966BEE"/>
    <w:rsid w:val="00966C44"/>
    <w:rsid w:val="00966D67"/>
    <w:rsid w:val="00966D93"/>
    <w:rsid w:val="00966F51"/>
    <w:rsid w:val="009672EB"/>
    <w:rsid w:val="00967341"/>
    <w:rsid w:val="0096736D"/>
    <w:rsid w:val="009675D3"/>
    <w:rsid w:val="00967764"/>
    <w:rsid w:val="009677A7"/>
    <w:rsid w:val="009678E7"/>
    <w:rsid w:val="00967A5E"/>
    <w:rsid w:val="00967B34"/>
    <w:rsid w:val="00970050"/>
    <w:rsid w:val="009701CC"/>
    <w:rsid w:val="009703F5"/>
    <w:rsid w:val="00970431"/>
    <w:rsid w:val="0097047A"/>
    <w:rsid w:val="00970544"/>
    <w:rsid w:val="00970A2F"/>
    <w:rsid w:val="00970A61"/>
    <w:rsid w:val="00970B39"/>
    <w:rsid w:val="00970BD3"/>
    <w:rsid w:val="00970D68"/>
    <w:rsid w:val="00970DB3"/>
    <w:rsid w:val="00970DB4"/>
    <w:rsid w:val="00970E64"/>
    <w:rsid w:val="00970F74"/>
    <w:rsid w:val="00971047"/>
    <w:rsid w:val="0097106D"/>
    <w:rsid w:val="00971210"/>
    <w:rsid w:val="00971263"/>
    <w:rsid w:val="009712D8"/>
    <w:rsid w:val="00971481"/>
    <w:rsid w:val="00971629"/>
    <w:rsid w:val="009716FB"/>
    <w:rsid w:val="00971971"/>
    <w:rsid w:val="00971C72"/>
    <w:rsid w:val="00971D14"/>
    <w:rsid w:val="00971EE4"/>
    <w:rsid w:val="00972036"/>
    <w:rsid w:val="0097231A"/>
    <w:rsid w:val="00972740"/>
    <w:rsid w:val="00972836"/>
    <w:rsid w:val="0097297F"/>
    <w:rsid w:val="009729CC"/>
    <w:rsid w:val="00972B5F"/>
    <w:rsid w:val="009730F9"/>
    <w:rsid w:val="00973233"/>
    <w:rsid w:val="0097333B"/>
    <w:rsid w:val="009735C8"/>
    <w:rsid w:val="00973662"/>
    <w:rsid w:val="00973665"/>
    <w:rsid w:val="00973B6F"/>
    <w:rsid w:val="009740A2"/>
    <w:rsid w:val="0097410D"/>
    <w:rsid w:val="0097431E"/>
    <w:rsid w:val="009746E9"/>
    <w:rsid w:val="009747A9"/>
    <w:rsid w:val="009748F2"/>
    <w:rsid w:val="00974AA7"/>
    <w:rsid w:val="00974C61"/>
    <w:rsid w:val="00974C75"/>
    <w:rsid w:val="00974CA6"/>
    <w:rsid w:val="009750B5"/>
    <w:rsid w:val="009750DF"/>
    <w:rsid w:val="009754B4"/>
    <w:rsid w:val="00975553"/>
    <w:rsid w:val="009755A5"/>
    <w:rsid w:val="00975955"/>
    <w:rsid w:val="00975D63"/>
    <w:rsid w:val="00975F4D"/>
    <w:rsid w:val="00976029"/>
    <w:rsid w:val="0097629B"/>
    <w:rsid w:val="00976674"/>
    <w:rsid w:val="009766DF"/>
    <w:rsid w:val="0097680D"/>
    <w:rsid w:val="00976FE0"/>
    <w:rsid w:val="00976FFB"/>
    <w:rsid w:val="009770B3"/>
    <w:rsid w:val="009771FA"/>
    <w:rsid w:val="00977CF7"/>
    <w:rsid w:val="00977DBE"/>
    <w:rsid w:val="00977EA9"/>
    <w:rsid w:val="009808A7"/>
    <w:rsid w:val="009808B5"/>
    <w:rsid w:val="009809D4"/>
    <w:rsid w:val="00980DE8"/>
    <w:rsid w:val="0098130E"/>
    <w:rsid w:val="00981432"/>
    <w:rsid w:val="009818CD"/>
    <w:rsid w:val="00981C00"/>
    <w:rsid w:val="00981E6A"/>
    <w:rsid w:val="00981E85"/>
    <w:rsid w:val="0098222F"/>
    <w:rsid w:val="00982500"/>
    <w:rsid w:val="00982519"/>
    <w:rsid w:val="009828A9"/>
    <w:rsid w:val="00982BA0"/>
    <w:rsid w:val="00982FB6"/>
    <w:rsid w:val="009832B0"/>
    <w:rsid w:val="00983B14"/>
    <w:rsid w:val="00983BA7"/>
    <w:rsid w:val="00983BD6"/>
    <w:rsid w:val="00983DAD"/>
    <w:rsid w:val="0098403C"/>
    <w:rsid w:val="00984065"/>
    <w:rsid w:val="0098411B"/>
    <w:rsid w:val="009841C4"/>
    <w:rsid w:val="00984383"/>
    <w:rsid w:val="0098439F"/>
    <w:rsid w:val="009843A4"/>
    <w:rsid w:val="009843DD"/>
    <w:rsid w:val="009847C7"/>
    <w:rsid w:val="00984BA4"/>
    <w:rsid w:val="00984E7B"/>
    <w:rsid w:val="00984EBE"/>
    <w:rsid w:val="00984FD2"/>
    <w:rsid w:val="00985129"/>
    <w:rsid w:val="00985219"/>
    <w:rsid w:val="00985529"/>
    <w:rsid w:val="00985779"/>
    <w:rsid w:val="00985844"/>
    <w:rsid w:val="00985AD5"/>
    <w:rsid w:val="00985C57"/>
    <w:rsid w:val="00985F17"/>
    <w:rsid w:val="0098605B"/>
    <w:rsid w:val="009863EF"/>
    <w:rsid w:val="00986403"/>
    <w:rsid w:val="00986480"/>
    <w:rsid w:val="009866A2"/>
    <w:rsid w:val="0098699E"/>
    <w:rsid w:val="00986E6F"/>
    <w:rsid w:val="00986EA5"/>
    <w:rsid w:val="00986EA8"/>
    <w:rsid w:val="009871C5"/>
    <w:rsid w:val="0098722C"/>
    <w:rsid w:val="009872B0"/>
    <w:rsid w:val="009872FC"/>
    <w:rsid w:val="009873BB"/>
    <w:rsid w:val="0098742A"/>
    <w:rsid w:val="009874DC"/>
    <w:rsid w:val="0098752D"/>
    <w:rsid w:val="0098781E"/>
    <w:rsid w:val="00987D27"/>
    <w:rsid w:val="00990178"/>
    <w:rsid w:val="00990401"/>
    <w:rsid w:val="00990567"/>
    <w:rsid w:val="009905A6"/>
    <w:rsid w:val="00990AA8"/>
    <w:rsid w:val="00990D0B"/>
    <w:rsid w:val="00990DA8"/>
    <w:rsid w:val="00990E78"/>
    <w:rsid w:val="009910A0"/>
    <w:rsid w:val="0099154A"/>
    <w:rsid w:val="009916C7"/>
    <w:rsid w:val="00991B84"/>
    <w:rsid w:val="00991E0D"/>
    <w:rsid w:val="00991E1B"/>
    <w:rsid w:val="00991E3C"/>
    <w:rsid w:val="00992107"/>
    <w:rsid w:val="00992478"/>
    <w:rsid w:val="00992751"/>
    <w:rsid w:val="009927B5"/>
    <w:rsid w:val="00992AA8"/>
    <w:rsid w:val="00992ABF"/>
    <w:rsid w:val="00992B0C"/>
    <w:rsid w:val="00992CD6"/>
    <w:rsid w:val="00992E07"/>
    <w:rsid w:val="0099315D"/>
    <w:rsid w:val="009933C3"/>
    <w:rsid w:val="00993A8B"/>
    <w:rsid w:val="00993CE5"/>
    <w:rsid w:val="009946E5"/>
    <w:rsid w:val="0099483B"/>
    <w:rsid w:val="00994A96"/>
    <w:rsid w:val="00994AEB"/>
    <w:rsid w:val="00994BA0"/>
    <w:rsid w:val="00994BAE"/>
    <w:rsid w:val="009953C7"/>
    <w:rsid w:val="009959F7"/>
    <w:rsid w:val="00995ADA"/>
    <w:rsid w:val="00995BBC"/>
    <w:rsid w:val="00995EF8"/>
    <w:rsid w:val="0099602F"/>
    <w:rsid w:val="0099675D"/>
    <w:rsid w:val="00996826"/>
    <w:rsid w:val="00996869"/>
    <w:rsid w:val="00996932"/>
    <w:rsid w:val="00996ACD"/>
    <w:rsid w:val="00997266"/>
    <w:rsid w:val="00997999"/>
    <w:rsid w:val="00997B9E"/>
    <w:rsid w:val="009A01DA"/>
    <w:rsid w:val="009A05D7"/>
    <w:rsid w:val="009A06D3"/>
    <w:rsid w:val="009A07DD"/>
    <w:rsid w:val="009A0944"/>
    <w:rsid w:val="009A0CFE"/>
    <w:rsid w:val="009A0F03"/>
    <w:rsid w:val="009A10AC"/>
    <w:rsid w:val="009A187F"/>
    <w:rsid w:val="009A1B0C"/>
    <w:rsid w:val="009A1B39"/>
    <w:rsid w:val="009A1BB2"/>
    <w:rsid w:val="009A1E00"/>
    <w:rsid w:val="009A1F73"/>
    <w:rsid w:val="009A202B"/>
    <w:rsid w:val="009A208C"/>
    <w:rsid w:val="009A2178"/>
    <w:rsid w:val="009A22A0"/>
    <w:rsid w:val="009A245F"/>
    <w:rsid w:val="009A2634"/>
    <w:rsid w:val="009A297F"/>
    <w:rsid w:val="009A2A53"/>
    <w:rsid w:val="009A2A9D"/>
    <w:rsid w:val="009A2BE5"/>
    <w:rsid w:val="009A2CAF"/>
    <w:rsid w:val="009A2FF9"/>
    <w:rsid w:val="009A312B"/>
    <w:rsid w:val="009A380C"/>
    <w:rsid w:val="009A3D4D"/>
    <w:rsid w:val="009A3E7E"/>
    <w:rsid w:val="009A3F2E"/>
    <w:rsid w:val="009A45C5"/>
    <w:rsid w:val="009A486A"/>
    <w:rsid w:val="009A4C05"/>
    <w:rsid w:val="009A4C2F"/>
    <w:rsid w:val="009A4F8A"/>
    <w:rsid w:val="009A50CC"/>
    <w:rsid w:val="009A51A2"/>
    <w:rsid w:val="009A5365"/>
    <w:rsid w:val="009A5504"/>
    <w:rsid w:val="009A575A"/>
    <w:rsid w:val="009A57D6"/>
    <w:rsid w:val="009A57F7"/>
    <w:rsid w:val="009A58F7"/>
    <w:rsid w:val="009A5A1D"/>
    <w:rsid w:val="009A5C67"/>
    <w:rsid w:val="009A5DDB"/>
    <w:rsid w:val="009A626E"/>
    <w:rsid w:val="009A695D"/>
    <w:rsid w:val="009A6B32"/>
    <w:rsid w:val="009A759A"/>
    <w:rsid w:val="009A75C2"/>
    <w:rsid w:val="009A75C4"/>
    <w:rsid w:val="009A766B"/>
    <w:rsid w:val="009A7904"/>
    <w:rsid w:val="009A790E"/>
    <w:rsid w:val="009B026B"/>
    <w:rsid w:val="009B0676"/>
    <w:rsid w:val="009B0A8A"/>
    <w:rsid w:val="009B0AA6"/>
    <w:rsid w:val="009B0E11"/>
    <w:rsid w:val="009B0F3E"/>
    <w:rsid w:val="009B0FE7"/>
    <w:rsid w:val="009B1210"/>
    <w:rsid w:val="009B1292"/>
    <w:rsid w:val="009B14AE"/>
    <w:rsid w:val="009B1598"/>
    <w:rsid w:val="009B1D54"/>
    <w:rsid w:val="009B205B"/>
    <w:rsid w:val="009B2067"/>
    <w:rsid w:val="009B20FA"/>
    <w:rsid w:val="009B225A"/>
    <w:rsid w:val="009B258B"/>
    <w:rsid w:val="009B25FB"/>
    <w:rsid w:val="009B26A0"/>
    <w:rsid w:val="009B2702"/>
    <w:rsid w:val="009B2CB2"/>
    <w:rsid w:val="009B2F24"/>
    <w:rsid w:val="009B2F3F"/>
    <w:rsid w:val="009B313C"/>
    <w:rsid w:val="009B3259"/>
    <w:rsid w:val="009B332D"/>
    <w:rsid w:val="009B3467"/>
    <w:rsid w:val="009B34F4"/>
    <w:rsid w:val="009B36BF"/>
    <w:rsid w:val="009B3895"/>
    <w:rsid w:val="009B3F04"/>
    <w:rsid w:val="009B418B"/>
    <w:rsid w:val="009B445D"/>
    <w:rsid w:val="009B452C"/>
    <w:rsid w:val="009B45CB"/>
    <w:rsid w:val="009B494D"/>
    <w:rsid w:val="009B4F71"/>
    <w:rsid w:val="009B501D"/>
    <w:rsid w:val="009B503E"/>
    <w:rsid w:val="009B50C6"/>
    <w:rsid w:val="009B524F"/>
    <w:rsid w:val="009B5254"/>
    <w:rsid w:val="009B5504"/>
    <w:rsid w:val="009B5A41"/>
    <w:rsid w:val="009B5AB1"/>
    <w:rsid w:val="009B5B2B"/>
    <w:rsid w:val="009B5BE2"/>
    <w:rsid w:val="009B60F4"/>
    <w:rsid w:val="009B61AB"/>
    <w:rsid w:val="009B6460"/>
    <w:rsid w:val="009B6473"/>
    <w:rsid w:val="009B677D"/>
    <w:rsid w:val="009B6842"/>
    <w:rsid w:val="009B6BED"/>
    <w:rsid w:val="009B6F37"/>
    <w:rsid w:val="009B71B4"/>
    <w:rsid w:val="009B7431"/>
    <w:rsid w:val="009B74AC"/>
    <w:rsid w:val="009B7628"/>
    <w:rsid w:val="009B780D"/>
    <w:rsid w:val="009B788C"/>
    <w:rsid w:val="009B794C"/>
    <w:rsid w:val="009B7B0C"/>
    <w:rsid w:val="009B7B60"/>
    <w:rsid w:val="009B7C37"/>
    <w:rsid w:val="009C0075"/>
    <w:rsid w:val="009C01B5"/>
    <w:rsid w:val="009C03D5"/>
    <w:rsid w:val="009C044C"/>
    <w:rsid w:val="009C04B7"/>
    <w:rsid w:val="009C050E"/>
    <w:rsid w:val="009C075B"/>
    <w:rsid w:val="009C0761"/>
    <w:rsid w:val="009C0795"/>
    <w:rsid w:val="009C0D13"/>
    <w:rsid w:val="009C0F14"/>
    <w:rsid w:val="009C0F37"/>
    <w:rsid w:val="009C10F4"/>
    <w:rsid w:val="009C1134"/>
    <w:rsid w:val="009C14A6"/>
    <w:rsid w:val="009C1555"/>
    <w:rsid w:val="009C163C"/>
    <w:rsid w:val="009C1652"/>
    <w:rsid w:val="009C1C3C"/>
    <w:rsid w:val="009C1D83"/>
    <w:rsid w:val="009C1DDF"/>
    <w:rsid w:val="009C1F12"/>
    <w:rsid w:val="009C20F4"/>
    <w:rsid w:val="009C22CA"/>
    <w:rsid w:val="009C29A6"/>
    <w:rsid w:val="009C2BAF"/>
    <w:rsid w:val="009C2C2E"/>
    <w:rsid w:val="009C31FA"/>
    <w:rsid w:val="009C3257"/>
    <w:rsid w:val="009C3731"/>
    <w:rsid w:val="009C3A4B"/>
    <w:rsid w:val="009C3DC1"/>
    <w:rsid w:val="009C4089"/>
    <w:rsid w:val="009C434A"/>
    <w:rsid w:val="009C4387"/>
    <w:rsid w:val="009C452E"/>
    <w:rsid w:val="009C4637"/>
    <w:rsid w:val="009C466D"/>
    <w:rsid w:val="009C477C"/>
    <w:rsid w:val="009C47F4"/>
    <w:rsid w:val="009C492F"/>
    <w:rsid w:val="009C49FE"/>
    <w:rsid w:val="009C4BCF"/>
    <w:rsid w:val="009C4BD8"/>
    <w:rsid w:val="009C4C01"/>
    <w:rsid w:val="009C4E3F"/>
    <w:rsid w:val="009C5457"/>
    <w:rsid w:val="009C57E2"/>
    <w:rsid w:val="009C591C"/>
    <w:rsid w:val="009C5D52"/>
    <w:rsid w:val="009C6089"/>
    <w:rsid w:val="009C60AD"/>
    <w:rsid w:val="009C6351"/>
    <w:rsid w:val="009C6425"/>
    <w:rsid w:val="009C656D"/>
    <w:rsid w:val="009C6859"/>
    <w:rsid w:val="009C69BE"/>
    <w:rsid w:val="009C6AFF"/>
    <w:rsid w:val="009C6E9B"/>
    <w:rsid w:val="009C6F5A"/>
    <w:rsid w:val="009C7000"/>
    <w:rsid w:val="009C753A"/>
    <w:rsid w:val="009C793A"/>
    <w:rsid w:val="009C7EF5"/>
    <w:rsid w:val="009D0089"/>
    <w:rsid w:val="009D06EF"/>
    <w:rsid w:val="009D0731"/>
    <w:rsid w:val="009D08B6"/>
    <w:rsid w:val="009D0CD2"/>
    <w:rsid w:val="009D0EA5"/>
    <w:rsid w:val="009D0EB2"/>
    <w:rsid w:val="009D1152"/>
    <w:rsid w:val="009D117C"/>
    <w:rsid w:val="009D1420"/>
    <w:rsid w:val="009D190F"/>
    <w:rsid w:val="009D1C0D"/>
    <w:rsid w:val="009D1F58"/>
    <w:rsid w:val="009D1FDD"/>
    <w:rsid w:val="009D201B"/>
    <w:rsid w:val="009D24E1"/>
    <w:rsid w:val="009D2871"/>
    <w:rsid w:val="009D2EB8"/>
    <w:rsid w:val="009D317C"/>
    <w:rsid w:val="009D3332"/>
    <w:rsid w:val="009D333E"/>
    <w:rsid w:val="009D348C"/>
    <w:rsid w:val="009D369A"/>
    <w:rsid w:val="009D36D6"/>
    <w:rsid w:val="009D398F"/>
    <w:rsid w:val="009D3ADF"/>
    <w:rsid w:val="009D3B60"/>
    <w:rsid w:val="009D3C94"/>
    <w:rsid w:val="009D3DCC"/>
    <w:rsid w:val="009D4062"/>
    <w:rsid w:val="009D406B"/>
    <w:rsid w:val="009D408D"/>
    <w:rsid w:val="009D42C1"/>
    <w:rsid w:val="009D481F"/>
    <w:rsid w:val="009D489B"/>
    <w:rsid w:val="009D490F"/>
    <w:rsid w:val="009D4B67"/>
    <w:rsid w:val="009D4BD8"/>
    <w:rsid w:val="009D4DA9"/>
    <w:rsid w:val="009D4DC7"/>
    <w:rsid w:val="009D4F12"/>
    <w:rsid w:val="009D5017"/>
    <w:rsid w:val="009D516D"/>
    <w:rsid w:val="009D56FF"/>
    <w:rsid w:val="009D589F"/>
    <w:rsid w:val="009D5AC9"/>
    <w:rsid w:val="009D5B27"/>
    <w:rsid w:val="009D5D17"/>
    <w:rsid w:val="009D604C"/>
    <w:rsid w:val="009D6114"/>
    <w:rsid w:val="009D6186"/>
    <w:rsid w:val="009D6218"/>
    <w:rsid w:val="009D628F"/>
    <w:rsid w:val="009D62DE"/>
    <w:rsid w:val="009D636E"/>
    <w:rsid w:val="009D6829"/>
    <w:rsid w:val="009D6D96"/>
    <w:rsid w:val="009D6E8C"/>
    <w:rsid w:val="009D710C"/>
    <w:rsid w:val="009D718A"/>
    <w:rsid w:val="009D7208"/>
    <w:rsid w:val="009D7236"/>
    <w:rsid w:val="009D73A8"/>
    <w:rsid w:val="009D74B9"/>
    <w:rsid w:val="009D77CB"/>
    <w:rsid w:val="009D7AA6"/>
    <w:rsid w:val="009D7F69"/>
    <w:rsid w:val="009D7FCD"/>
    <w:rsid w:val="009E01C2"/>
    <w:rsid w:val="009E022E"/>
    <w:rsid w:val="009E034D"/>
    <w:rsid w:val="009E0654"/>
    <w:rsid w:val="009E0B3F"/>
    <w:rsid w:val="009E0E4D"/>
    <w:rsid w:val="009E10E5"/>
    <w:rsid w:val="009E12C5"/>
    <w:rsid w:val="009E134F"/>
    <w:rsid w:val="009E154A"/>
    <w:rsid w:val="009E15EC"/>
    <w:rsid w:val="009E18ED"/>
    <w:rsid w:val="009E1F20"/>
    <w:rsid w:val="009E2163"/>
    <w:rsid w:val="009E2289"/>
    <w:rsid w:val="009E235D"/>
    <w:rsid w:val="009E2398"/>
    <w:rsid w:val="009E2642"/>
    <w:rsid w:val="009E27D3"/>
    <w:rsid w:val="009E2A49"/>
    <w:rsid w:val="009E2D7B"/>
    <w:rsid w:val="009E2D97"/>
    <w:rsid w:val="009E2FD9"/>
    <w:rsid w:val="009E3083"/>
    <w:rsid w:val="009E30B7"/>
    <w:rsid w:val="009E327F"/>
    <w:rsid w:val="009E335F"/>
    <w:rsid w:val="009E34A7"/>
    <w:rsid w:val="009E34E3"/>
    <w:rsid w:val="009E369D"/>
    <w:rsid w:val="009E3891"/>
    <w:rsid w:val="009E38C9"/>
    <w:rsid w:val="009E3E57"/>
    <w:rsid w:val="009E41F5"/>
    <w:rsid w:val="009E477B"/>
    <w:rsid w:val="009E4830"/>
    <w:rsid w:val="009E4C7C"/>
    <w:rsid w:val="009E4EFC"/>
    <w:rsid w:val="009E5363"/>
    <w:rsid w:val="009E5451"/>
    <w:rsid w:val="009E5465"/>
    <w:rsid w:val="009E5710"/>
    <w:rsid w:val="009E5910"/>
    <w:rsid w:val="009E59BF"/>
    <w:rsid w:val="009E59CF"/>
    <w:rsid w:val="009E5F9E"/>
    <w:rsid w:val="009E5FB7"/>
    <w:rsid w:val="009E618F"/>
    <w:rsid w:val="009E62AF"/>
    <w:rsid w:val="009E6317"/>
    <w:rsid w:val="009E6495"/>
    <w:rsid w:val="009E6AA1"/>
    <w:rsid w:val="009E6B1D"/>
    <w:rsid w:val="009E6BEA"/>
    <w:rsid w:val="009E6D00"/>
    <w:rsid w:val="009E6EE8"/>
    <w:rsid w:val="009E71A3"/>
    <w:rsid w:val="009E769E"/>
    <w:rsid w:val="009E7897"/>
    <w:rsid w:val="009E78BB"/>
    <w:rsid w:val="009E79E1"/>
    <w:rsid w:val="009E7CC6"/>
    <w:rsid w:val="009E7CD7"/>
    <w:rsid w:val="009E7CDA"/>
    <w:rsid w:val="009F0023"/>
    <w:rsid w:val="009F0091"/>
    <w:rsid w:val="009F0547"/>
    <w:rsid w:val="009F079D"/>
    <w:rsid w:val="009F0882"/>
    <w:rsid w:val="009F0ABC"/>
    <w:rsid w:val="009F0C33"/>
    <w:rsid w:val="009F0CB6"/>
    <w:rsid w:val="009F0D5A"/>
    <w:rsid w:val="009F0DCC"/>
    <w:rsid w:val="009F0F44"/>
    <w:rsid w:val="009F1087"/>
    <w:rsid w:val="009F119B"/>
    <w:rsid w:val="009F1499"/>
    <w:rsid w:val="009F1BCB"/>
    <w:rsid w:val="009F1E04"/>
    <w:rsid w:val="009F22A6"/>
    <w:rsid w:val="009F2347"/>
    <w:rsid w:val="009F24A8"/>
    <w:rsid w:val="009F251F"/>
    <w:rsid w:val="009F2606"/>
    <w:rsid w:val="009F27C9"/>
    <w:rsid w:val="009F2846"/>
    <w:rsid w:val="009F2BA3"/>
    <w:rsid w:val="009F2C52"/>
    <w:rsid w:val="009F2E08"/>
    <w:rsid w:val="009F2F54"/>
    <w:rsid w:val="009F3121"/>
    <w:rsid w:val="009F330B"/>
    <w:rsid w:val="009F3788"/>
    <w:rsid w:val="009F39A9"/>
    <w:rsid w:val="009F3A0B"/>
    <w:rsid w:val="009F3ABD"/>
    <w:rsid w:val="009F3BA8"/>
    <w:rsid w:val="009F3CF6"/>
    <w:rsid w:val="009F3D91"/>
    <w:rsid w:val="009F3E62"/>
    <w:rsid w:val="009F400B"/>
    <w:rsid w:val="009F45B1"/>
    <w:rsid w:val="009F4888"/>
    <w:rsid w:val="009F488F"/>
    <w:rsid w:val="009F4AAE"/>
    <w:rsid w:val="009F4DB5"/>
    <w:rsid w:val="009F50B3"/>
    <w:rsid w:val="009F528D"/>
    <w:rsid w:val="009F54EC"/>
    <w:rsid w:val="009F582C"/>
    <w:rsid w:val="009F5B81"/>
    <w:rsid w:val="009F5BB4"/>
    <w:rsid w:val="009F5C75"/>
    <w:rsid w:val="009F5E1D"/>
    <w:rsid w:val="009F60B2"/>
    <w:rsid w:val="009F652A"/>
    <w:rsid w:val="009F67E0"/>
    <w:rsid w:val="009F68B8"/>
    <w:rsid w:val="009F68CA"/>
    <w:rsid w:val="009F69BF"/>
    <w:rsid w:val="009F6BD9"/>
    <w:rsid w:val="009F6C80"/>
    <w:rsid w:val="009F6E6B"/>
    <w:rsid w:val="009F6FE4"/>
    <w:rsid w:val="009F70F6"/>
    <w:rsid w:val="009F7427"/>
    <w:rsid w:val="009F742B"/>
    <w:rsid w:val="009F7A3D"/>
    <w:rsid w:val="009F7EAD"/>
    <w:rsid w:val="009F7F9C"/>
    <w:rsid w:val="00A00095"/>
    <w:rsid w:val="00A00241"/>
    <w:rsid w:val="00A002E3"/>
    <w:rsid w:val="00A003A2"/>
    <w:rsid w:val="00A003E6"/>
    <w:rsid w:val="00A00474"/>
    <w:rsid w:val="00A00511"/>
    <w:rsid w:val="00A0059F"/>
    <w:rsid w:val="00A007DE"/>
    <w:rsid w:val="00A00960"/>
    <w:rsid w:val="00A009D2"/>
    <w:rsid w:val="00A00F74"/>
    <w:rsid w:val="00A015A4"/>
    <w:rsid w:val="00A015A8"/>
    <w:rsid w:val="00A017D6"/>
    <w:rsid w:val="00A0195C"/>
    <w:rsid w:val="00A01994"/>
    <w:rsid w:val="00A019A5"/>
    <w:rsid w:val="00A01D58"/>
    <w:rsid w:val="00A01F1B"/>
    <w:rsid w:val="00A0239B"/>
    <w:rsid w:val="00A0239E"/>
    <w:rsid w:val="00A0278C"/>
    <w:rsid w:val="00A02B7F"/>
    <w:rsid w:val="00A02BB1"/>
    <w:rsid w:val="00A0316E"/>
    <w:rsid w:val="00A034E6"/>
    <w:rsid w:val="00A034FB"/>
    <w:rsid w:val="00A037C3"/>
    <w:rsid w:val="00A038BF"/>
    <w:rsid w:val="00A03D63"/>
    <w:rsid w:val="00A03E9E"/>
    <w:rsid w:val="00A03F05"/>
    <w:rsid w:val="00A03FF9"/>
    <w:rsid w:val="00A040AA"/>
    <w:rsid w:val="00A041D8"/>
    <w:rsid w:val="00A04223"/>
    <w:rsid w:val="00A04329"/>
    <w:rsid w:val="00A04630"/>
    <w:rsid w:val="00A04737"/>
    <w:rsid w:val="00A04ACF"/>
    <w:rsid w:val="00A04F41"/>
    <w:rsid w:val="00A050F6"/>
    <w:rsid w:val="00A050FA"/>
    <w:rsid w:val="00A053CA"/>
    <w:rsid w:val="00A05594"/>
    <w:rsid w:val="00A055F7"/>
    <w:rsid w:val="00A05674"/>
    <w:rsid w:val="00A05765"/>
    <w:rsid w:val="00A05A5D"/>
    <w:rsid w:val="00A05A87"/>
    <w:rsid w:val="00A05B89"/>
    <w:rsid w:val="00A0623A"/>
    <w:rsid w:val="00A0638C"/>
    <w:rsid w:val="00A0639D"/>
    <w:rsid w:val="00A06587"/>
    <w:rsid w:val="00A06A0B"/>
    <w:rsid w:val="00A06AE5"/>
    <w:rsid w:val="00A07090"/>
    <w:rsid w:val="00A0709D"/>
    <w:rsid w:val="00A070FD"/>
    <w:rsid w:val="00A07428"/>
    <w:rsid w:val="00A0743A"/>
    <w:rsid w:val="00A0785A"/>
    <w:rsid w:val="00A07B5E"/>
    <w:rsid w:val="00A07BD1"/>
    <w:rsid w:val="00A07CD1"/>
    <w:rsid w:val="00A07EF2"/>
    <w:rsid w:val="00A10312"/>
    <w:rsid w:val="00A1051C"/>
    <w:rsid w:val="00A10621"/>
    <w:rsid w:val="00A108A8"/>
    <w:rsid w:val="00A10D4E"/>
    <w:rsid w:val="00A10E25"/>
    <w:rsid w:val="00A11181"/>
    <w:rsid w:val="00A1138A"/>
    <w:rsid w:val="00A11523"/>
    <w:rsid w:val="00A115B9"/>
    <w:rsid w:val="00A11B06"/>
    <w:rsid w:val="00A11D4C"/>
    <w:rsid w:val="00A11DD5"/>
    <w:rsid w:val="00A12184"/>
    <w:rsid w:val="00A1243C"/>
    <w:rsid w:val="00A12734"/>
    <w:rsid w:val="00A12B33"/>
    <w:rsid w:val="00A12C3B"/>
    <w:rsid w:val="00A12C59"/>
    <w:rsid w:val="00A12C86"/>
    <w:rsid w:val="00A12E1F"/>
    <w:rsid w:val="00A12F56"/>
    <w:rsid w:val="00A1310E"/>
    <w:rsid w:val="00A131E1"/>
    <w:rsid w:val="00A1325D"/>
    <w:rsid w:val="00A132B2"/>
    <w:rsid w:val="00A135FA"/>
    <w:rsid w:val="00A137F4"/>
    <w:rsid w:val="00A13B98"/>
    <w:rsid w:val="00A13BCD"/>
    <w:rsid w:val="00A14197"/>
    <w:rsid w:val="00A14220"/>
    <w:rsid w:val="00A145CD"/>
    <w:rsid w:val="00A14791"/>
    <w:rsid w:val="00A15006"/>
    <w:rsid w:val="00A1506D"/>
    <w:rsid w:val="00A150A5"/>
    <w:rsid w:val="00A151FE"/>
    <w:rsid w:val="00A15349"/>
    <w:rsid w:val="00A15504"/>
    <w:rsid w:val="00A157CD"/>
    <w:rsid w:val="00A15971"/>
    <w:rsid w:val="00A15A63"/>
    <w:rsid w:val="00A15EB0"/>
    <w:rsid w:val="00A15FE4"/>
    <w:rsid w:val="00A1600A"/>
    <w:rsid w:val="00A164BC"/>
    <w:rsid w:val="00A1652E"/>
    <w:rsid w:val="00A16619"/>
    <w:rsid w:val="00A16680"/>
    <w:rsid w:val="00A1676A"/>
    <w:rsid w:val="00A16806"/>
    <w:rsid w:val="00A1690C"/>
    <w:rsid w:val="00A16C1F"/>
    <w:rsid w:val="00A16CE0"/>
    <w:rsid w:val="00A16D73"/>
    <w:rsid w:val="00A16F7D"/>
    <w:rsid w:val="00A16FD7"/>
    <w:rsid w:val="00A170FC"/>
    <w:rsid w:val="00A17109"/>
    <w:rsid w:val="00A17299"/>
    <w:rsid w:val="00A172B3"/>
    <w:rsid w:val="00A17341"/>
    <w:rsid w:val="00A174A8"/>
    <w:rsid w:val="00A17626"/>
    <w:rsid w:val="00A17637"/>
    <w:rsid w:val="00A1763F"/>
    <w:rsid w:val="00A178AA"/>
    <w:rsid w:val="00A17943"/>
    <w:rsid w:val="00A17B23"/>
    <w:rsid w:val="00A17B2D"/>
    <w:rsid w:val="00A17C7D"/>
    <w:rsid w:val="00A17D8D"/>
    <w:rsid w:val="00A17DFE"/>
    <w:rsid w:val="00A17F39"/>
    <w:rsid w:val="00A17F63"/>
    <w:rsid w:val="00A2014E"/>
    <w:rsid w:val="00A201F9"/>
    <w:rsid w:val="00A20287"/>
    <w:rsid w:val="00A202EE"/>
    <w:rsid w:val="00A20380"/>
    <w:rsid w:val="00A20B80"/>
    <w:rsid w:val="00A20B85"/>
    <w:rsid w:val="00A20BB5"/>
    <w:rsid w:val="00A20BD3"/>
    <w:rsid w:val="00A21024"/>
    <w:rsid w:val="00A215F5"/>
    <w:rsid w:val="00A21AB8"/>
    <w:rsid w:val="00A21B48"/>
    <w:rsid w:val="00A21C70"/>
    <w:rsid w:val="00A220B1"/>
    <w:rsid w:val="00A223C6"/>
    <w:rsid w:val="00A224FC"/>
    <w:rsid w:val="00A22766"/>
    <w:rsid w:val="00A2277D"/>
    <w:rsid w:val="00A22A21"/>
    <w:rsid w:val="00A22E5A"/>
    <w:rsid w:val="00A22E74"/>
    <w:rsid w:val="00A23032"/>
    <w:rsid w:val="00A233A8"/>
    <w:rsid w:val="00A23401"/>
    <w:rsid w:val="00A23699"/>
    <w:rsid w:val="00A23743"/>
    <w:rsid w:val="00A237D6"/>
    <w:rsid w:val="00A23A04"/>
    <w:rsid w:val="00A23A57"/>
    <w:rsid w:val="00A23E53"/>
    <w:rsid w:val="00A23E85"/>
    <w:rsid w:val="00A23FA9"/>
    <w:rsid w:val="00A23FD2"/>
    <w:rsid w:val="00A241D8"/>
    <w:rsid w:val="00A242F2"/>
    <w:rsid w:val="00A2441A"/>
    <w:rsid w:val="00A24476"/>
    <w:rsid w:val="00A244D3"/>
    <w:rsid w:val="00A2475B"/>
    <w:rsid w:val="00A24C9A"/>
    <w:rsid w:val="00A254BD"/>
    <w:rsid w:val="00A25781"/>
    <w:rsid w:val="00A25813"/>
    <w:rsid w:val="00A25FF8"/>
    <w:rsid w:val="00A260A0"/>
    <w:rsid w:val="00A2620B"/>
    <w:rsid w:val="00A262C6"/>
    <w:rsid w:val="00A26473"/>
    <w:rsid w:val="00A264BF"/>
    <w:rsid w:val="00A266C2"/>
    <w:rsid w:val="00A266F3"/>
    <w:rsid w:val="00A26CAB"/>
    <w:rsid w:val="00A27311"/>
    <w:rsid w:val="00A2739A"/>
    <w:rsid w:val="00A2772D"/>
    <w:rsid w:val="00A27755"/>
    <w:rsid w:val="00A2778A"/>
    <w:rsid w:val="00A279DE"/>
    <w:rsid w:val="00A27C8B"/>
    <w:rsid w:val="00A27E80"/>
    <w:rsid w:val="00A27F1E"/>
    <w:rsid w:val="00A30030"/>
    <w:rsid w:val="00A305A6"/>
    <w:rsid w:val="00A305FD"/>
    <w:rsid w:val="00A3089D"/>
    <w:rsid w:val="00A308AA"/>
    <w:rsid w:val="00A3091C"/>
    <w:rsid w:val="00A309A8"/>
    <w:rsid w:val="00A30B03"/>
    <w:rsid w:val="00A30B15"/>
    <w:rsid w:val="00A30D88"/>
    <w:rsid w:val="00A30EAE"/>
    <w:rsid w:val="00A312CE"/>
    <w:rsid w:val="00A3154B"/>
    <w:rsid w:val="00A3178A"/>
    <w:rsid w:val="00A3185F"/>
    <w:rsid w:val="00A31ABD"/>
    <w:rsid w:val="00A31B7A"/>
    <w:rsid w:val="00A31BA3"/>
    <w:rsid w:val="00A31BDB"/>
    <w:rsid w:val="00A31F07"/>
    <w:rsid w:val="00A3206F"/>
    <w:rsid w:val="00A321D8"/>
    <w:rsid w:val="00A322A9"/>
    <w:rsid w:val="00A3232A"/>
    <w:rsid w:val="00A32558"/>
    <w:rsid w:val="00A32770"/>
    <w:rsid w:val="00A32964"/>
    <w:rsid w:val="00A329B0"/>
    <w:rsid w:val="00A32AD7"/>
    <w:rsid w:val="00A32D3A"/>
    <w:rsid w:val="00A330C0"/>
    <w:rsid w:val="00A33122"/>
    <w:rsid w:val="00A33175"/>
    <w:rsid w:val="00A33233"/>
    <w:rsid w:val="00A334AC"/>
    <w:rsid w:val="00A334B7"/>
    <w:rsid w:val="00A33B38"/>
    <w:rsid w:val="00A33C46"/>
    <w:rsid w:val="00A33C79"/>
    <w:rsid w:val="00A33CB4"/>
    <w:rsid w:val="00A33D0A"/>
    <w:rsid w:val="00A33DD2"/>
    <w:rsid w:val="00A33E73"/>
    <w:rsid w:val="00A33F9F"/>
    <w:rsid w:val="00A340BA"/>
    <w:rsid w:val="00A3468C"/>
    <w:rsid w:val="00A34B47"/>
    <w:rsid w:val="00A34CE9"/>
    <w:rsid w:val="00A34D4D"/>
    <w:rsid w:val="00A3501E"/>
    <w:rsid w:val="00A35043"/>
    <w:rsid w:val="00A353D4"/>
    <w:rsid w:val="00A355A2"/>
    <w:rsid w:val="00A356CF"/>
    <w:rsid w:val="00A35818"/>
    <w:rsid w:val="00A35B71"/>
    <w:rsid w:val="00A35D8C"/>
    <w:rsid w:val="00A35E5E"/>
    <w:rsid w:val="00A35E8F"/>
    <w:rsid w:val="00A35F07"/>
    <w:rsid w:val="00A3606E"/>
    <w:rsid w:val="00A362EC"/>
    <w:rsid w:val="00A36428"/>
    <w:rsid w:val="00A36939"/>
    <w:rsid w:val="00A3699B"/>
    <w:rsid w:val="00A36A66"/>
    <w:rsid w:val="00A36CAF"/>
    <w:rsid w:val="00A36E3A"/>
    <w:rsid w:val="00A370DE"/>
    <w:rsid w:val="00A372B2"/>
    <w:rsid w:val="00A376E2"/>
    <w:rsid w:val="00A377D7"/>
    <w:rsid w:val="00A3784D"/>
    <w:rsid w:val="00A37A73"/>
    <w:rsid w:val="00A37A97"/>
    <w:rsid w:val="00A37D9C"/>
    <w:rsid w:val="00A4009A"/>
    <w:rsid w:val="00A400CA"/>
    <w:rsid w:val="00A40304"/>
    <w:rsid w:val="00A40716"/>
    <w:rsid w:val="00A40743"/>
    <w:rsid w:val="00A40869"/>
    <w:rsid w:val="00A4087C"/>
    <w:rsid w:val="00A40D7F"/>
    <w:rsid w:val="00A411A3"/>
    <w:rsid w:val="00A411A5"/>
    <w:rsid w:val="00A4120B"/>
    <w:rsid w:val="00A415D2"/>
    <w:rsid w:val="00A417F9"/>
    <w:rsid w:val="00A41BE0"/>
    <w:rsid w:val="00A41CCD"/>
    <w:rsid w:val="00A41E50"/>
    <w:rsid w:val="00A41FAA"/>
    <w:rsid w:val="00A41FAB"/>
    <w:rsid w:val="00A42234"/>
    <w:rsid w:val="00A42526"/>
    <w:rsid w:val="00A425CF"/>
    <w:rsid w:val="00A4262E"/>
    <w:rsid w:val="00A42778"/>
    <w:rsid w:val="00A42979"/>
    <w:rsid w:val="00A42A16"/>
    <w:rsid w:val="00A42C85"/>
    <w:rsid w:val="00A43082"/>
    <w:rsid w:val="00A43960"/>
    <w:rsid w:val="00A43D8A"/>
    <w:rsid w:val="00A4423B"/>
    <w:rsid w:val="00A442B7"/>
    <w:rsid w:val="00A445E1"/>
    <w:rsid w:val="00A446A9"/>
    <w:rsid w:val="00A4477A"/>
    <w:rsid w:val="00A4477C"/>
    <w:rsid w:val="00A449FD"/>
    <w:rsid w:val="00A44A8C"/>
    <w:rsid w:val="00A44D4B"/>
    <w:rsid w:val="00A44E0E"/>
    <w:rsid w:val="00A44F20"/>
    <w:rsid w:val="00A45534"/>
    <w:rsid w:val="00A45658"/>
    <w:rsid w:val="00A45719"/>
    <w:rsid w:val="00A45C08"/>
    <w:rsid w:val="00A45C67"/>
    <w:rsid w:val="00A45D2F"/>
    <w:rsid w:val="00A45E3E"/>
    <w:rsid w:val="00A45F40"/>
    <w:rsid w:val="00A45F7D"/>
    <w:rsid w:val="00A45FD5"/>
    <w:rsid w:val="00A4634D"/>
    <w:rsid w:val="00A4637B"/>
    <w:rsid w:val="00A469AA"/>
    <w:rsid w:val="00A46EDC"/>
    <w:rsid w:val="00A4714D"/>
    <w:rsid w:val="00A47520"/>
    <w:rsid w:val="00A47540"/>
    <w:rsid w:val="00A477C7"/>
    <w:rsid w:val="00A47E8F"/>
    <w:rsid w:val="00A50030"/>
    <w:rsid w:val="00A5042B"/>
    <w:rsid w:val="00A5057B"/>
    <w:rsid w:val="00A50846"/>
    <w:rsid w:val="00A50D9B"/>
    <w:rsid w:val="00A50E28"/>
    <w:rsid w:val="00A50EF7"/>
    <w:rsid w:val="00A510BC"/>
    <w:rsid w:val="00A5119F"/>
    <w:rsid w:val="00A51858"/>
    <w:rsid w:val="00A51860"/>
    <w:rsid w:val="00A519C0"/>
    <w:rsid w:val="00A519F7"/>
    <w:rsid w:val="00A51B7F"/>
    <w:rsid w:val="00A51E48"/>
    <w:rsid w:val="00A51E7E"/>
    <w:rsid w:val="00A51F68"/>
    <w:rsid w:val="00A51FC3"/>
    <w:rsid w:val="00A521AE"/>
    <w:rsid w:val="00A5232D"/>
    <w:rsid w:val="00A52788"/>
    <w:rsid w:val="00A5280D"/>
    <w:rsid w:val="00A5314E"/>
    <w:rsid w:val="00A5344B"/>
    <w:rsid w:val="00A53617"/>
    <w:rsid w:val="00A537E0"/>
    <w:rsid w:val="00A5381C"/>
    <w:rsid w:val="00A538EA"/>
    <w:rsid w:val="00A539D6"/>
    <w:rsid w:val="00A53AAE"/>
    <w:rsid w:val="00A53C42"/>
    <w:rsid w:val="00A53DBA"/>
    <w:rsid w:val="00A53E46"/>
    <w:rsid w:val="00A54293"/>
    <w:rsid w:val="00A54382"/>
    <w:rsid w:val="00A543F1"/>
    <w:rsid w:val="00A54469"/>
    <w:rsid w:val="00A544B1"/>
    <w:rsid w:val="00A54F27"/>
    <w:rsid w:val="00A5520A"/>
    <w:rsid w:val="00A55308"/>
    <w:rsid w:val="00A55985"/>
    <w:rsid w:val="00A559A1"/>
    <w:rsid w:val="00A559D4"/>
    <w:rsid w:val="00A55A17"/>
    <w:rsid w:val="00A55B87"/>
    <w:rsid w:val="00A55C22"/>
    <w:rsid w:val="00A55D7B"/>
    <w:rsid w:val="00A55DBB"/>
    <w:rsid w:val="00A55F7E"/>
    <w:rsid w:val="00A561B9"/>
    <w:rsid w:val="00A563C1"/>
    <w:rsid w:val="00A5650C"/>
    <w:rsid w:val="00A5680E"/>
    <w:rsid w:val="00A56884"/>
    <w:rsid w:val="00A568CF"/>
    <w:rsid w:val="00A56A0E"/>
    <w:rsid w:val="00A56A56"/>
    <w:rsid w:val="00A56C91"/>
    <w:rsid w:val="00A56D17"/>
    <w:rsid w:val="00A56D1A"/>
    <w:rsid w:val="00A56D7C"/>
    <w:rsid w:val="00A56F20"/>
    <w:rsid w:val="00A5708A"/>
    <w:rsid w:val="00A57168"/>
    <w:rsid w:val="00A574A6"/>
    <w:rsid w:val="00A57B22"/>
    <w:rsid w:val="00A57C0E"/>
    <w:rsid w:val="00A57EE8"/>
    <w:rsid w:val="00A57F31"/>
    <w:rsid w:val="00A60079"/>
    <w:rsid w:val="00A602A2"/>
    <w:rsid w:val="00A60643"/>
    <w:rsid w:val="00A60892"/>
    <w:rsid w:val="00A60D08"/>
    <w:rsid w:val="00A60D49"/>
    <w:rsid w:val="00A60DD3"/>
    <w:rsid w:val="00A60DEC"/>
    <w:rsid w:val="00A60E2C"/>
    <w:rsid w:val="00A612D2"/>
    <w:rsid w:val="00A6181A"/>
    <w:rsid w:val="00A61937"/>
    <w:rsid w:val="00A61CF5"/>
    <w:rsid w:val="00A61EA4"/>
    <w:rsid w:val="00A62020"/>
    <w:rsid w:val="00A6219F"/>
    <w:rsid w:val="00A621EA"/>
    <w:rsid w:val="00A623A2"/>
    <w:rsid w:val="00A62EB6"/>
    <w:rsid w:val="00A62F58"/>
    <w:rsid w:val="00A62F60"/>
    <w:rsid w:val="00A6305A"/>
    <w:rsid w:val="00A63618"/>
    <w:rsid w:val="00A63671"/>
    <w:rsid w:val="00A636A3"/>
    <w:rsid w:val="00A63872"/>
    <w:rsid w:val="00A63A1B"/>
    <w:rsid w:val="00A63B1F"/>
    <w:rsid w:val="00A63C30"/>
    <w:rsid w:val="00A63C37"/>
    <w:rsid w:val="00A63EC6"/>
    <w:rsid w:val="00A63F82"/>
    <w:rsid w:val="00A63F98"/>
    <w:rsid w:val="00A641D9"/>
    <w:rsid w:val="00A64344"/>
    <w:rsid w:val="00A64649"/>
    <w:rsid w:val="00A6491A"/>
    <w:rsid w:val="00A64A45"/>
    <w:rsid w:val="00A64D07"/>
    <w:rsid w:val="00A64E54"/>
    <w:rsid w:val="00A64FD7"/>
    <w:rsid w:val="00A650BE"/>
    <w:rsid w:val="00A65502"/>
    <w:rsid w:val="00A65BC7"/>
    <w:rsid w:val="00A65E94"/>
    <w:rsid w:val="00A65EC3"/>
    <w:rsid w:val="00A65EEA"/>
    <w:rsid w:val="00A66290"/>
    <w:rsid w:val="00A66409"/>
    <w:rsid w:val="00A66790"/>
    <w:rsid w:val="00A668B9"/>
    <w:rsid w:val="00A66990"/>
    <w:rsid w:val="00A66CAC"/>
    <w:rsid w:val="00A66EBF"/>
    <w:rsid w:val="00A66F63"/>
    <w:rsid w:val="00A66FF3"/>
    <w:rsid w:val="00A67654"/>
    <w:rsid w:val="00A6770C"/>
    <w:rsid w:val="00A67BD1"/>
    <w:rsid w:val="00A7035A"/>
    <w:rsid w:val="00A706D5"/>
    <w:rsid w:val="00A70C77"/>
    <w:rsid w:val="00A70DCF"/>
    <w:rsid w:val="00A70FBC"/>
    <w:rsid w:val="00A717F6"/>
    <w:rsid w:val="00A71873"/>
    <w:rsid w:val="00A71958"/>
    <w:rsid w:val="00A71AE2"/>
    <w:rsid w:val="00A71D40"/>
    <w:rsid w:val="00A71DBF"/>
    <w:rsid w:val="00A71EB6"/>
    <w:rsid w:val="00A7250A"/>
    <w:rsid w:val="00A72600"/>
    <w:rsid w:val="00A7260F"/>
    <w:rsid w:val="00A728C7"/>
    <w:rsid w:val="00A72A86"/>
    <w:rsid w:val="00A72B8E"/>
    <w:rsid w:val="00A72E49"/>
    <w:rsid w:val="00A72ED2"/>
    <w:rsid w:val="00A73063"/>
    <w:rsid w:val="00A73225"/>
    <w:rsid w:val="00A73798"/>
    <w:rsid w:val="00A73A9D"/>
    <w:rsid w:val="00A73AC1"/>
    <w:rsid w:val="00A73FA1"/>
    <w:rsid w:val="00A73FFE"/>
    <w:rsid w:val="00A740D0"/>
    <w:rsid w:val="00A74269"/>
    <w:rsid w:val="00A743EB"/>
    <w:rsid w:val="00A745BC"/>
    <w:rsid w:val="00A745C6"/>
    <w:rsid w:val="00A746E9"/>
    <w:rsid w:val="00A74A79"/>
    <w:rsid w:val="00A74C0A"/>
    <w:rsid w:val="00A74D6F"/>
    <w:rsid w:val="00A74DDE"/>
    <w:rsid w:val="00A751A0"/>
    <w:rsid w:val="00A75205"/>
    <w:rsid w:val="00A7531F"/>
    <w:rsid w:val="00A75463"/>
    <w:rsid w:val="00A757A1"/>
    <w:rsid w:val="00A758B3"/>
    <w:rsid w:val="00A758BF"/>
    <w:rsid w:val="00A759E0"/>
    <w:rsid w:val="00A763E6"/>
    <w:rsid w:val="00A76630"/>
    <w:rsid w:val="00A766D3"/>
    <w:rsid w:val="00A767DC"/>
    <w:rsid w:val="00A76A12"/>
    <w:rsid w:val="00A76B63"/>
    <w:rsid w:val="00A76C6A"/>
    <w:rsid w:val="00A76CC0"/>
    <w:rsid w:val="00A76F64"/>
    <w:rsid w:val="00A770F2"/>
    <w:rsid w:val="00A7715B"/>
    <w:rsid w:val="00A7741B"/>
    <w:rsid w:val="00A774BD"/>
    <w:rsid w:val="00A776B7"/>
    <w:rsid w:val="00A77800"/>
    <w:rsid w:val="00A7781D"/>
    <w:rsid w:val="00A77C9A"/>
    <w:rsid w:val="00A77E20"/>
    <w:rsid w:val="00A77F5F"/>
    <w:rsid w:val="00A77F6A"/>
    <w:rsid w:val="00A80487"/>
    <w:rsid w:val="00A804F5"/>
    <w:rsid w:val="00A80520"/>
    <w:rsid w:val="00A808CB"/>
    <w:rsid w:val="00A80C0C"/>
    <w:rsid w:val="00A80C9A"/>
    <w:rsid w:val="00A80CCA"/>
    <w:rsid w:val="00A81100"/>
    <w:rsid w:val="00A81243"/>
    <w:rsid w:val="00A81273"/>
    <w:rsid w:val="00A81302"/>
    <w:rsid w:val="00A813C1"/>
    <w:rsid w:val="00A814D5"/>
    <w:rsid w:val="00A814EC"/>
    <w:rsid w:val="00A81550"/>
    <w:rsid w:val="00A815D5"/>
    <w:rsid w:val="00A816D4"/>
    <w:rsid w:val="00A817AB"/>
    <w:rsid w:val="00A818CE"/>
    <w:rsid w:val="00A81BB5"/>
    <w:rsid w:val="00A81BED"/>
    <w:rsid w:val="00A81C43"/>
    <w:rsid w:val="00A81ED5"/>
    <w:rsid w:val="00A820AC"/>
    <w:rsid w:val="00A82376"/>
    <w:rsid w:val="00A8237C"/>
    <w:rsid w:val="00A823BD"/>
    <w:rsid w:val="00A82630"/>
    <w:rsid w:val="00A827C0"/>
    <w:rsid w:val="00A828AA"/>
    <w:rsid w:val="00A82BFA"/>
    <w:rsid w:val="00A82C28"/>
    <w:rsid w:val="00A82FF9"/>
    <w:rsid w:val="00A83044"/>
    <w:rsid w:val="00A830D4"/>
    <w:rsid w:val="00A8332E"/>
    <w:rsid w:val="00A833FC"/>
    <w:rsid w:val="00A83515"/>
    <w:rsid w:val="00A8351F"/>
    <w:rsid w:val="00A83668"/>
    <w:rsid w:val="00A83B33"/>
    <w:rsid w:val="00A83DB5"/>
    <w:rsid w:val="00A84186"/>
    <w:rsid w:val="00A84294"/>
    <w:rsid w:val="00A843C4"/>
    <w:rsid w:val="00A844D3"/>
    <w:rsid w:val="00A84530"/>
    <w:rsid w:val="00A845BC"/>
    <w:rsid w:val="00A84784"/>
    <w:rsid w:val="00A84852"/>
    <w:rsid w:val="00A8486D"/>
    <w:rsid w:val="00A84A79"/>
    <w:rsid w:val="00A84B5D"/>
    <w:rsid w:val="00A84CA1"/>
    <w:rsid w:val="00A8504C"/>
    <w:rsid w:val="00A8528E"/>
    <w:rsid w:val="00A855F6"/>
    <w:rsid w:val="00A8562F"/>
    <w:rsid w:val="00A857F9"/>
    <w:rsid w:val="00A8586F"/>
    <w:rsid w:val="00A85A47"/>
    <w:rsid w:val="00A85BC3"/>
    <w:rsid w:val="00A85CEE"/>
    <w:rsid w:val="00A85DBD"/>
    <w:rsid w:val="00A85E80"/>
    <w:rsid w:val="00A86161"/>
    <w:rsid w:val="00A861EE"/>
    <w:rsid w:val="00A863ED"/>
    <w:rsid w:val="00A86499"/>
    <w:rsid w:val="00A86600"/>
    <w:rsid w:val="00A86F09"/>
    <w:rsid w:val="00A86F17"/>
    <w:rsid w:val="00A87117"/>
    <w:rsid w:val="00A8721C"/>
    <w:rsid w:val="00A87287"/>
    <w:rsid w:val="00A87709"/>
    <w:rsid w:val="00A87CE5"/>
    <w:rsid w:val="00A87E41"/>
    <w:rsid w:val="00A87EE1"/>
    <w:rsid w:val="00A90013"/>
    <w:rsid w:val="00A903A1"/>
    <w:rsid w:val="00A90537"/>
    <w:rsid w:val="00A9063A"/>
    <w:rsid w:val="00A9074F"/>
    <w:rsid w:val="00A908CE"/>
    <w:rsid w:val="00A90968"/>
    <w:rsid w:val="00A909FA"/>
    <w:rsid w:val="00A90C84"/>
    <w:rsid w:val="00A90DAA"/>
    <w:rsid w:val="00A90DB2"/>
    <w:rsid w:val="00A90DBD"/>
    <w:rsid w:val="00A90E38"/>
    <w:rsid w:val="00A90E3F"/>
    <w:rsid w:val="00A91321"/>
    <w:rsid w:val="00A9139F"/>
    <w:rsid w:val="00A91472"/>
    <w:rsid w:val="00A914A9"/>
    <w:rsid w:val="00A9191B"/>
    <w:rsid w:val="00A919B4"/>
    <w:rsid w:val="00A91A1C"/>
    <w:rsid w:val="00A91B22"/>
    <w:rsid w:val="00A91C37"/>
    <w:rsid w:val="00A91C39"/>
    <w:rsid w:val="00A91C75"/>
    <w:rsid w:val="00A91C7C"/>
    <w:rsid w:val="00A91ECF"/>
    <w:rsid w:val="00A91FFF"/>
    <w:rsid w:val="00A922E6"/>
    <w:rsid w:val="00A925C5"/>
    <w:rsid w:val="00A92744"/>
    <w:rsid w:val="00A92BE9"/>
    <w:rsid w:val="00A92BF4"/>
    <w:rsid w:val="00A92C0D"/>
    <w:rsid w:val="00A92C97"/>
    <w:rsid w:val="00A92D0C"/>
    <w:rsid w:val="00A93462"/>
    <w:rsid w:val="00A9368F"/>
    <w:rsid w:val="00A939DB"/>
    <w:rsid w:val="00A93D26"/>
    <w:rsid w:val="00A93D9B"/>
    <w:rsid w:val="00A9433F"/>
    <w:rsid w:val="00A94488"/>
    <w:rsid w:val="00A945B4"/>
    <w:rsid w:val="00A94757"/>
    <w:rsid w:val="00A9479F"/>
    <w:rsid w:val="00A947A2"/>
    <w:rsid w:val="00A94D5F"/>
    <w:rsid w:val="00A94E76"/>
    <w:rsid w:val="00A94EDC"/>
    <w:rsid w:val="00A94F61"/>
    <w:rsid w:val="00A94FF8"/>
    <w:rsid w:val="00A95044"/>
    <w:rsid w:val="00A9504D"/>
    <w:rsid w:val="00A9505B"/>
    <w:rsid w:val="00A95066"/>
    <w:rsid w:val="00A952F5"/>
    <w:rsid w:val="00A9542C"/>
    <w:rsid w:val="00A9543E"/>
    <w:rsid w:val="00A955FA"/>
    <w:rsid w:val="00A95A63"/>
    <w:rsid w:val="00A95D7E"/>
    <w:rsid w:val="00A963F9"/>
    <w:rsid w:val="00A9646A"/>
    <w:rsid w:val="00A96727"/>
    <w:rsid w:val="00A9692A"/>
    <w:rsid w:val="00A96DCB"/>
    <w:rsid w:val="00A970DD"/>
    <w:rsid w:val="00A97919"/>
    <w:rsid w:val="00A979D0"/>
    <w:rsid w:val="00A97A23"/>
    <w:rsid w:val="00A97A66"/>
    <w:rsid w:val="00A97A6A"/>
    <w:rsid w:val="00A97BE1"/>
    <w:rsid w:val="00A97F13"/>
    <w:rsid w:val="00AA012C"/>
    <w:rsid w:val="00AA03E0"/>
    <w:rsid w:val="00AA0485"/>
    <w:rsid w:val="00AA0E7F"/>
    <w:rsid w:val="00AA1106"/>
    <w:rsid w:val="00AA114A"/>
    <w:rsid w:val="00AA136F"/>
    <w:rsid w:val="00AA13D3"/>
    <w:rsid w:val="00AA1889"/>
    <w:rsid w:val="00AA1947"/>
    <w:rsid w:val="00AA1BA5"/>
    <w:rsid w:val="00AA1F9A"/>
    <w:rsid w:val="00AA2517"/>
    <w:rsid w:val="00AA2619"/>
    <w:rsid w:val="00AA2C58"/>
    <w:rsid w:val="00AA2C87"/>
    <w:rsid w:val="00AA2F3E"/>
    <w:rsid w:val="00AA2F6F"/>
    <w:rsid w:val="00AA32E4"/>
    <w:rsid w:val="00AA358E"/>
    <w:rsid w:val="00AA364D"/>
    <w:rsid w:val="00AA3BB3"/>
    <w:rsid w:val="00AA3F9B"/>
    <w:rsid w:val="00AA40ED"/>
    <w:rsid w:val="00AA430A"/>
    <w:rsid w:val="00AA44E7"/>
    <w:rsid w:val="00AA4749"/>
    <w:rsid w:val="00AA50C6"/>
    <w:rsid w:val="00AA522E"/>
    <w:rsid w:val="00AA5479"/>
    <w:rsid w:val="00AA55A7"/>
    <w:rsid w:val="00AA55E6"/>
    <w:rsid w:val="00AA5607"/>
    <w:rsid w:val="00AA560E"/>
    <w:rsid w:val="00AA56AD"/>
    <w:rsid w:val="00AA58A2"/>
    <w:rsid w:val="00AA5AED"/>
    <w:rsid w:val="00AA5ED2"/>
    <w:rsid w:val="00AA6393"/>
    <w:rsid w:val="00AA647F"/>
    <w:rsid w:val="00AA64BF"/>
    <w:rsid w:val="00AA66ED"/>
    <w:rsid w:val="00AA6A30"/>
    <w:rsid w:val="00AA6BE1"/>
    <w:rsid w:val="00AA6CC0"/>
    <w:rsid w:val="00AA6E3A"/>
    <w:rsid w:val="00AA7144"/>
    <w:rsid w:val="00AA7605"/>
    <w:rsid w:val="00AA7766"/>
    <w:rsid w:val="00AA7953"/>
    <w:rsid w:val="00AA7960"/>
    <w:rsid w:val="00AA7CBF"/>
    <w:rsid w:val="00AA7E80"/>
    <w:rsid w:val="00AB01EE"/>
    <w:rsid w:val="00AB0245"/>
    <w:rsid w:val="00AB02A7"/>
    <w:rsid w:val="00AB0561"/>
    <w:rsid w:val="00AB069A"/>
    <w:rsid w:val="00AB073E"/>
    <w:rsid w:val="00AB096E"/>
    <w:rsid w:val="00AB0B11"/>
    <w:rsid w:val="00AB0BB0"/>
    <w:rsid w:val="00AB0D46"/>
    <w:rsid w:val="00AB0EF4"/>
    <w:rsid w:val="00AB0FC5"/>
    <w:rsid w:val="00AB0FD4"/>
    <w:rsid w:val="00AB13DE"/>
    <w:rsid w:val="00AB1558"/>
    <w:rsid w:val="00AB15AD"/>
    <w:rsid w:val="00AB1681"/>
    <w:rsid w:val="00AB1775"/>
    <w:rsid w:val="00AB1823"/>
    <w:rsid w:val="00AB1B65"/>
    <w:rsid w:val="00AB1BB6"/>
    <w:rsid w:val="00AB1CFD"/>
    <w:rsid w:val="00AB1D6B"/>
    <w:rsid w:val="00AB1D74"/>
    <w:rsid w:val="00AB1E8D"/>
    <w:rsid w:val="00AB1E95"/>
    <w:rsid w:val="00AB2078"/>
    <w:rsid w:val="00AB2098"/>
    <w:rsid w:val="00AB264B"/>
    <w:rsid w:val="00AB2837"/>
    <w:rsid w:val="00AB28F8"/>
    <w:rsid w:val="00AB2BD6"/>
    <w:rsid w:val="00AB2DCF"/>
    <w:rsid w:val="00AB2F6B"/>
    <w:rsid w:val="00AB2F7F"/>
    <w:rsid w:val="00AB2F91"/>
    <w:rsid w:val="00AB2FFC"/>
    <w:rsid w:val="00AB3050"/>
    <w:rsid w:val="00AB3203"/>
    <w:rsid w:val="00AB3BEC"/>
    <w:rsid w:val="00AB3CC9"/>
    <w:rsid w:val="00AB4263"/>
    <w:rsid w:val="00AB427E"/>
    <w:rsid w:val="00AB4552"/>
    <w:rsid w:val="00AB4621"/>
    <w:rsid w:val="00AB4780"/>
    <w:rsid w:val="00AB4AA7"/>
    <w:rsid w:val="00AB4BE1"/>
    <w:rsid w:val="00AB4BF8"/>
    <w:rsid w:val="00AB4C9B"/>
    <w:rsid w:val="00AB4D98"/>
    <w:rsid w:val="00AB4FB1"/>
    <w:rsid w:val="00AB505B"/>
    <w:rsid w:val="00AB50BE"/>
    <w:rsid w:val="00AB539B"/>
    <w:rsid w:val="00AB5428"/>
    <w:rsid w:val="00AB5499"/>
    <w:rsid w:val="00AB58E7"/>
    <w:rsid w:val="00AB5AAC"/>
    <w:rsid w:val="00AB5BD8"/>
    <w:rsid w:val="00AB5CFE"/>
    <w:rsid w:val="00AB5D20"/>
    <w:rsid w:val="00AB5DDD"/>
    <w:rsid w:val="00AB613E"/>
    <w:rsid w:val="00AB6251"/>
    <w:rsid w:val="00AB63A2"/>
    <w:rsid w:val="00AB659E"/>
    <w:rsid w:val="00AB66F1"/>
    <w:rsid w:val="00AB6850"/>
    <w:rsid w:val="00AB68AD"/>
    <w:rsid w:val="00AB6A28"/>
    <w:rsid w:val="00AB6B19"/>
    <w:rsid w:val="00AB7372"/>
    <w:rsid w:val="00AB7B3A"/>
    <w:rsid w:val="00AB7C54"/>
    <w:rsid w:val="00AB7C5C"/>
    <w:rsid w:val="00AB7CD0"/>
    <w:rsid w:val="00AB7D2B"/>
    <w:rsid w:val="00AC0301"/>
    <w:rsid w:val="00AC03E1"/>
    <w:rsid w:val="00AC084A"/>
    <w:rsid w:val="00AC0954"/>
    <w:rsid w:val="00AC0B9F"/>
    <w:rsid w:val="00AC0C98"/>
    <w:rsid w:val="00AC10AA"/>
    <w:rsid w:val="00AC13E5"/>
    <w:rsid w:val="00AC14C8"/>
    <w:rsid w:val="00AC1C8E"/>
    <w:rsid w:val="00AC1EB7"/>
    <w:rsid w:val="00AC204B"/>
    <w:rsid w:val="00AC2194"/>
    <w:rsid w:val="00AC229A"/>
    <w:rsid w:val="00AC23A6"/>
    <w:rsid w:val="00AC252C"/>
    <w:rsid w:val="00AC2831"/>
    <w:rsid w:val="00AC2B03"/>
    <w:rsid w:val="00AC2D89"/>
    <w:rsid w:val="00AC2EE8"/>
    <w:rsid w:val="00AC3587"/>
    <w:rsid w:val="00AC35CD"/>
    <w:rsid w:val="00AC3CF6"/>
    <w:rsid w:val="00AC3D81"/>
    <w:rsid w:val="00AC3F4B"/>
    <w:rsid w:val="00AC3FAE"/>
    <w:rsid w:val="00AC40ED"/>
    <w:rsid w:val="00AC4193"/>
    <w:rsid w:val="00AC49A0"/>
    <w:rsid w:val="00AC4B9B"/>
    <w:rsid w:val="00AC4C22"/>
    <w:rsid w:val="00AC4CD3"/>
    <w:rsid w:val="00AC4D8F"/>
    <w:rsid w:val="00AC4DBC"/>
    <w:rsid w:val="00AC4F50"/>
    <w:rsid w:val="00AC4F69"/>
    <w:rsid w:val="00AC502E"/>
    <w:rsid w:val="00AC5490"/>
    <w:rsid w:val="00AC552B"/>
    <w:rsid w:val="00AC585B"/>
    <w:rsid w:val="00AC59A2"/>
    <w:rsid w:val="00AC5B69"/>
    <w:rsid w:val="00AC5BEE"/>
    <w:rsid w:val="00AC5C60"/>
    <w:rsid w:val="00AC6083"/>
    <w:rsid w:val="00AC6085"/>
    <w:rsid w:val="00AC616C"/>
    <w:rsid w:val="00AC61D9"/>
    <w:rsid w:val="00AC6222"/>
    <w:rsid w:val="00AC63F5"/>
    <w:rsid w:val="00AC6733"/>
    <w:rsid w:val="00AC6965"/>
    <w:rsid w:val="00AC69AE"/>
    <w:rsid w:val="00AC6DAB"/>
    <w:rsid w:val="00AC6EC4"/>
    <w:rsid w:val="00AC7247"/>
    <w:rsid w:val="00AC724F"/>
    <w:rsid w:val="00AC7480"/>
    <w:rsid w:val="00AC7483"/>
    <w:rsid w:val="00AC7493"/>
    <w:rsid w:val="00AC788F"/>
    <w:rsid w:val="00AC7937"/>
    <w:rsid w:val="00AC795C"/>
    <w:rsid w:val="00AC7DD5"/>
    <w:rsid w:val="00AC7E09"/>
    <w:rsid w:val="00AC7E31"/>
    <w:rsid w:val="00AD07AF"/>
    <w:rsid w:val="00AD0B04"/>
    <w:rsid w:val="00AD0C6A"/>
    <w:rsid w:val="00AD0CC6"/>
    <w:rsid w:val="00AD0D43"/>
    <w:rsid w:val="00AD0F11"/>
    <w:rsid w:val="00AD1289"/>
    <w:rsid w:val="00AD142C"/>
    <w:rsid w:val="00AD1697"/>
    <w:rsid w:val="00AD1E42"/>
    <w:rsid w:val="00AD2021"/>
    <w:rsid w:val="00AD20B2"/>
    <w:rsid w:val="00AD238A"/>
    <w:rsid w:val="00AD240A"/>
    <w:rsid w:val="00AD24AA"/>
    <w:rsid w:val="00AD253B"/>
    <w:rsid w:val="00AD2683"/>
    <w:rsid w:val="00AD28C2"/>
    <w:rsid w:val="00AD2B65"/>
    <w:rsid w:val="00AD2C31"/>
    <w:rsid w:val="00AD2E7F"/>
    <w:rsid w:val="00AD2FE6"/>
    <w:rsid w:val="00AD3003"/>
    <w:rsid w:val="00AD3224"/>
    <w:rsid w:val="00AD32A7"/>
    <w:rsid w:val="00AD33DC"/>
    <w:rsid w:val="00AD3B5E"/>
    <w:rsid w:val="00AD3B77"/>
    <w:rsid w:val="00AD3F95"/>
    <w:rsid w:val="00AD3FB9"/>
    <w:rsid w:val="00AD3FDF"/>
    <w:rsid w:val="00AD3FFD"/>
    <w:rsid w:val="00AD436C"/>
    <w:rsid w:val="00AD484C"/>
    <w:rsid w:val="00AD4936"/>
    <w:rsid w:val="00AD4AF6"/>
    <w:rsid w:val="00AD4C42"/>
    <w:rsid w:val="00AD4CC2"/>
    <w:rsid w:val="00AD4D42"/>
    <w:rsid w:val="00AD4DC9"/>
    <w:rsid w:val="00AD4DF4"/>
    <w:rsid w:val="00AD526D"/>
    <w:rsid w:val="00AD532E"/>
    <w:rsid w:val="00AD53AB"/>
    <w:rsid w:val="00AD5400"/>
    <w:rsid w:val="00AD54FA"/>
    <w:rsid w:val="00AD5941"/>
    <w:rsid w:val="00AD5977"/>
    <w:rsid w:val="00AD5FE2"/>
    <w:rsid w:val="00AD61B8"/>
    <w:rsid w:val="00AD6221"/>
    <w:rsid w:val="00AD63A6"/>
    <w:rsid w:val="00AD65C2"/>
    <w:rsid w:val="00AD66BF"/>
    <w:rsid w:val="00AD66D0"/>
    <w:rsid w:val="00AD66E6"/>
    <w:rsid w:val="00AD676F"/>
    <w:rsid w:val="00AD69FB"/>
    <w:rsid w:val="00AD6BC0"/>
    <w:rsid w:val="00AD6EED"/>
    <w:rsid w:val="00AD6F59"/>
    <w:rsid w:val="00AD7099"/>
    <w:rsid w:val="00AD730E"/>
    <w:rsid w:val="00AD7663"/>
    <w:rsid w:val="00AD779A"/>
    <w:rsid w:val="00AD78DB"/>
    <w:rsid w:val="00AD7DF8"/>
    <w:rsid w:val="00AD7F0A"/>
    <w:rsid w:val="00AE05EA"/>
    <w:rsid w:val="00AE0C57"/>
    <w:rsid w:val="00AE0D3A"/>
    <w:rsid w:val="00AE0E42"/>
    <w:rsid w:val="00AE0ECC"/>
    <w:rsid w:val="00AE0F0D"/>
    <w:rsid w:val="00AE1312"/>
    <w:rsid w:val="00AE1455"/>
    <w:rsid w:val="00AE14B1"/>
    <w:rsid w:val="00AE160E"/>
    <w:rsid w:val="00AE189D"/>
    <w:rsid w:val="00AE1CE3"/>
    <w:rsid w:val="00AE1E18"/>
    <w:rsid w:val="00AE2341"/>
    <w:rsid w:val="00AE2B0D"/>
    <w:rsid w:val="00AE2BC5"/>
    <w:rsid w:val="00AE2BE4"/>
    <w:rsid w:val="00AE2F57"/>
    <w:rsid w:val="00AE30DE"/>
    <w:rsid w:val="00AE31DC"/>
    <w:rsid w:val="00AE326D"/>
    <w:rsid w:val="00AE33FB"/>
    <w:rsid w:val="00AE369C"/>
    <w:rsid w:val="00AE3726"/>
    <w:rsid w:val="00AE3BAD"/>
    <w:rsid w:val="00AE3CD4"/>
    <w:rsid w:val="00AE3DCF"/>
    <w:rsid w:val="00AE3E13"/>
    <w:rsid w:val="00AE3F8D"/>
    <w:rsid w:val="00AE44B5"/>
    <w:rsid w:val="00AE450A"/>
    <w:rsid w:val="00AE453B"/>
    <w:rsid w:val="00AE466D"/>
    <w:rsid w:val="00AE467F"/>
    <w:rsid w:val="00AE47E9"/>
    <w:rsid w:val="00AE498A"/>
    <w:rsid w:val="00AE4A99"/>
    <w:rsid w:val="00AE4C97"/>
    <w:rsid w:val="00AE4D58"/>
    <w:rsid w:val="00AE4D64"/>
    <w:rsid w:val="00AE4DB8"/>
    <w:rsid w:val="00AE4F45"/>
    <w:rsid w:val="00AE4F8B"/>
    <w:rsid w:val="00AE53F9"/>
    <w:rsid w:val="00AE5740"/>
    <w:rsid w:val="00AE579D"/>
    <w:rsid w:val="00AE5900"/>
    <w:rsid w:val="00AE5B95"/>
    <w:rsid w:val="00AE5E5C"/>
    <w:rsid w:val="00AE5F1D"/>
    <w:rsid w:val="00AE6097"/>
    <w:rsid w:val="00AE6378"/>
    <w:rsid w:val="00AE65A1"/>
    <w:rsid w:val="00AE6B21"/>
    <w:rsid w:val="00AE6BE1"/>
    <w:rsid w:val="00AE6D51"/>
    <w:rsid w:val="00AE6F0E"/>
    <w:rsid w:val="00AE7018"/>
    <w:rsid w:val="00AE7446"/>
    <w:rsid w:val="00AE74B3"/>
    <w:rsid w:val="00AE74D7"/>
    <w:rsid w:val="00AE79A9"/>
    <w:rsid w:val="00AE7A1E"/>
    <w:rsid w:val="00AE7B28"/>
    <w:rsid w:val="00AE7D2E"/>
    <w:rsid w:val="00AF02E4"/>
    <w:rsid w:val="00AF03E6"/>
    <w:rsid w:val="00AF0570"/>
    <w:rsid w:val="00AF0986"/>
    <w:rsid w:val="00AF128F"/>
    <w:rsid w:val="00AF13FC"/>
    <w:rsid w:val="00AF171F"/>
    <w:rsid w:val="00AF18CA"/>
    <w:rsid w:val="00AF1A3D"/>
    <w:rsid w:val="00AF2069"/>
    <w:rsid w:val="00AF20F5"/>
    <w:rsid w:val="00AF21DD"/>
    <w:rsid w:val="00AF227B"/>
    <w:rsid w:val="00AF23F4"/>
    <w:rsid w:val="00AF2765"/>
    <w:rsid w:val="00AF29A2"/>
    <w:rsid w:val="00AF29DF"/>
    <w:rsid w:val="00AF2A2B"/>
    <w:rsid w:val="00AF2A38"/>
    <w:rsid w:val="00AF2A5D"/>
    <w:rsid w:val="00AF2C23"/>
    <w:rsid w:val="00AF2D2D"/>
    <w:rsid w:val="00AF2D86"/>
    <w:rsid w:val="00AF2DA3"/>
    <w:rsid w:val="00AF2E53"/>
    <w:rsid w:val="00AF2FA5"/>
    <w:rsid w:val="00AF3310"/>
    <w:rsid w:val="00AF344E"/>
    <w:rsid w:val="00AF3459"/>
    <w:rsid w:val="00AF3759"/>
    <w:rsid w:val="00AF398F"/>
    <w:rsid w:val="00AF418A"/>
    <w:rsid w:val="00AF4593"/>
    <w:rsid w:val="00AF45A6"/>
    <w:rsid w:val="00AF45CF"/>
    <w:rsid w:val="00AF48DF"/>
    <w:rsid w:val="00AF4A50"/>
    <w:rsid w:val="00AF50A6"/>
    <w:rsid w:val="00AF522B"/>
    <w:rsid w:val="00AF5587"/>
    <w:rsid w:val="00AF5D35"/>
    <w:rsid w:val="00AF6239"/>
    <w:rsid w:val="00AF6604"/>
    <w:rsid w:val="00AF68F9"/>
    <w:rsid w:val="00AF6AAB"/>
    <w:rsid w:val="00AF6FAB"/>
    <w:rsid w:val="00AF70BF"/>
    <w:rsid w:val="00AF7101"/>
    <w:rsid w:val="00AF721E"/>
    <w:rsid w:val="00AF7476"/>
    <w:rsid w:val="00AF75D4"/>
    <w:rsid w:val="00AF76F2"/>
    <w:rsid w:val="00AF7B23"/>
    <w:rsid w:val="00AF7EEE"/>
    <w:rsid w:val="00B00001"/>
    <w:rsid w:val="00B00140"/>
    <w:rsid w:val="00B002AB"/>
    <w:rsid w:val="00B0049D"/>
    <w:rsid w:val="00B00C97"/>
    <w:rsid w:val="00B00FEF"/>
    <w:rsid w:val="00B013E2"/>
    <w:rsid w:val="00B01C8F"/>
    <w:rsid w:val="00B01D04"/>
    <w:rsid w:val="00B01E6F"/>
    <w:rsid w:val="00B02165"/>
    <w:rsid w:val="00B021E4"/>
    <w:rsid w:val="00B025B8"/>
    <w:rsid w:val="00B02917"/>
    <w:rsid w:val="00B02BAC"/>
    <w:rsid w:val="00B02BFC"/>
    <w:rsid w:val="00B03088"/>
    <w:rsid w:val="00B030D7"/>
    <w:rsid w:val="00B032B4"/>
    <w:rsid w:val="00B0339B"/>
    <w:rsid w:val="00B033EB"/>
    <w:rsid w:val="00B03579"/>
    <w:rsid w:val="00B036A4"/>
    <w:rsid w:val="00B036C5"/>
    <w:rsid w:val="00B037C4"/>
    <w:rsid w:val="00B03980"/>
    <w:rsid w:val="00B039D6"/>
    <w:rsid w:val="00B040FB"/>
    <w:rsid w:val="00B04148"/>
    <w:rsid w:val="00B048A2"/>
    <w:rsid w:val="00B0493B"/>
    <w:rsid w:val="00B04A2A"/>
    <w:rsid w:val="00B04AD1"/>
    <w:rsid w:val="00B04BD9"/>
    <w:rsid w:val="00B04C4E"/>
    <w:rsid w:val="00B04D30"/>
    <w:rsid w:val="00B04DA3"/>
    <w:rsid w:val="00B04E9F"/>
    <w:rsid w:val="00B0504A"/>
    <w:rsid w:val="00B0551C"/>
    <w:rsid w:val="00B056F5"/>
    <w:rsid w:val="00B05854"/>
    <w:rsid w:val="00B058B7"/>
    <w:rsid w:val="00B05B07"/>
    <w:rsid w:val="00B05D21"/>
    <w:rsid w:val="00B05D9D"/>
    <w:rsid w:val="00B06178"/>
    <w:rsid w:val="00B061C4"/>
    <w:rsid w:val="00B0622F"/>
    <w:rsid w:val="00B062F1"/>
    <w:rsid w:val="00B063A2"/>
    <w:rsid w:val="00B0668F"/>
    <w:rsid w:val="00B068B0"/>
    <w:rsid w:val="00B06900"/>
    <w:rsid w:val="00B06F3C"/>
    <w:rsid w:val="00B06FF3"/>
    <w:rsid w:val="00B0739C"/>
    <w:rsid w:val="00B0746C"/>
    <w:rsid w:val="00B0752C"/>
    <w:rsid w:val="00B075C1"/>
    <w:rsid w:val="00B0781B"/>
    <w:rsid w:val="00B07909"/>
    <w:rsid w:val="00B079CA"/>
    <w:rsid w:val="00B07A6D"/>
    <w:rsid w:val="00B07EEC"/>
    <w:rsid w:val="00B10342"/>
    <w:rsid w:val="00B105BA"/>
    <w:rsid w:val="00B10906"/>
    <w:rsid w:val="00B10B54"/>
    <w:rsid w:val="00B10CB8"/>
    <w:rsid w:val="00B10F83"/>
    <w:rsid w:val="00B11062"/>
    <w:rsid w:val="00B110DE"/>
    <w:rsid w:val="00B113BC"/>
    <w:rsid w:val="00B1148C"/>
    <w:rsid w:val="00B114C5"/>
    <w:rsid w:val="00B11538"/>
    <w:rsid w:val="00B116CA"/>
    <w:rsid w:val="00B11722"/>
    <w:rsid w:val="00B11A1E"/>
    <w:rsid w:val="00B11AE9"/>
    <w:rsid w:val="00B11D1A"/>
    <w:rsid w:val="00B11F62"/>
    <w:rsid w:val="00B12052"/>
    <w:rsid w:val="00B12086"/>
    <w:rsid w:val="00B120FC"/>
    <w:rsid w:val="00B12314"/>
    <w:rsid w:val="00B127ED"/>
    <w:rsid w:val="00B1284C"/>
    <w:rsid w:val="00B12E42"/>
    <w:rsid w:val="00B12FB2"/>
    <w:rsid w:val="00B13055"/>
    <w:rsid w:val="00B1312B"/>
    <w:rsid w:val="00B1318F"/>
    <w:rsid w:val="00B13261"/>
    <w:rsid w:val="00B132B9"/>
    <w:rsid w:val="00B13313"/>
    <w:rsid w:val="00B1354A"/>
    <w:rsid w:val="00B13718"/>
    <w:rsid w:val="00B137D8"/>
    <w:rsid w:val="00B13867"/>
    <w:rsid w:val="00B13C3E"/>
    <w:rsid w:val="00B13E48"/>
    <w:rsid w:val="00B13E58"/>
    <w:rsid w:val="00B13E76"/>
    <w:rsid w:val="00B143A5"/>
    <w:rsid w:val="00B144BF"/>
    <w:rsid w:val="00B14951"/>
    <w:rsid w:val="00B14B92"/>
    <w:rsid w:val="00B14CA8"/>
    <w:rsid w:val="00B14DA8"/>
    <w:rsid w:val="00B14DF2"/>
    <w:rsid w:val="00B14E18"/>
    <w:rsid w:val="00B150BC"/>
    <w:rsid w:val="00B150D8"/>
    <w:rsid w:val="00B15329"/>
    <w:rsid w:val="00B15386"/>
    <w:rsid w:val="00B15528"/>
    <w:rsid w:val="00B157C3"/>
    <w:rsid w:val="00B15A2E"/>
    <w:rsid w:val="00B15CB0"/>
    <w:rsid w:val="00B15D5F"/>
    <w:rsid w:val="00B15DAF"/>
    <w:rsid w:val="00B15E7D"/>
    <w:rsid w:val="00B16119"/>
    <w:rsid w:val="00B161CC"/>
    <w:rsid w:val="00B16345"/>
    <w:rsid w:val="00B1636C"/>
    <w:rsid w:val="00B16799"/>
    <w:rsid w:val="00B16856"/>
    <w:rsid w:val="00B16869"/>
    <w:rsid w:val="00B16D8F"/>
    <w:rsid w:val="00B16DB5"/>
    <w:rsid w:val="00B17457"/>
    <w:rsid w:val="00B174A2"/>
    <w:rsid w:val="00B174CC"/>
    <w:rsid w:val="00B17B05"/>
    <w:rsid w:val="00B17B36"/>
    <w:rsid w:val="00B17C0F"/>
    <w:rsid w:val="00B17D6F"/>
    <w:rsid w:val="00B200D7"/>
    <w:rsid w:val="00B20188"/>
    <w:rsid w:val="00B202A5"/>
    <w:rsid w:val="00B2034E"/>
    <w:rsid w:val="00B20444"/>
    <w:rsid w:val="00B20623"/>
    <w:rsid w:val="00B2092A"/>
    <w:rsid w:val="00B21108"/>
    <w:rsid w:val="00B21167"/>
    <w:rsid w:val="00B21329"/>
    <w:rsid w:val="00B21905"/>
    <w:rsid w:val="00B2195B"/>
    <w:rsid w:val="00B21CE0"/>
    <w:rsid w:val="00B21DA9"/>
    <w:rsid w:val="00B21DF7"/>
    <w:rsid w:val="00B21EBD"/>
    <w:rsid w:val="00B21FBC"/>
    <w:rsid w:val="00B225BF"/>
    <w:rsid w:val="00B225CD"/>
    <w:rsid w:val="00B22821"/>
    <w:rsid w:val="00B22A90"/>
    <w:rsid w:val="00B22AA0"/>
    <w:rsid w:val="00B22BA4"/>
    <w:rsid w:val="00B22BBE"/>
    <w:rsid w:val="00B22E58"/>
    <w:rsid w:val="00B22E5A"/>
    <w:rsid w:val="00B22ECE"/>
    <w:rsid w:val="00B2300A"/>
    <w:rsid w:val="00B230B8"/>
    <w:rsid w:val="00B2310C"/>
    <w:rsid w:val="00B231B8"/>
    <w:rsid w:val="00B23818"/>
    <w:rsid w:val="00B23B48"/>
    <w:rsid w:val="00B23C0E"/>
    <w:rsid w:val="00B23CDA"/>
    <w:rsid w:val="00B23D93"/>
    <w:rsid w:val="00B241A9"/>
    <w:rsid w:val="00B24769"/>
    <w:rsid w:val="00B24781"/>
    <w:rsid w:val="00B24B78"/>
    <w:rsid w:val="00B24BC8"/>
    <w:rsid w:val="00B24C07"/>
    <w:rsid w:val="00B24FB0"/>
    <w:rsid w:val="00B24FD2"/>
    <w:rsid w:val="00B25079"/>
    <w:rsid w:val="00B25123"/>
    <w:rsid w:val="00B25263"/>
    <w:rsid w:val="00B25616"/>
    <w:rsid w:val="00B256FA"/>
    <w:rsid w:val="00B25B5E"/>
    <w:rsid w:val="00B25C97"/>
    <w:rsid w:val="00B260FE"/>
    <w:rsid w:val="00B261E4"/>
    <w:rsid w:val="00B2638C"/>
    <w:rsid w:val="00B265AF"/>
    <w:rsid w:val="00B2660D"/>
    <w:rsid w:val="00B2681B"/>
    <w:rsid w:val="00B26A50"/>
    <w:rsid w:val="00B26ACF"/>
    <w:rsid w:val="00B26C38"/>
    <w:rsid w:val="00B26D1D"/>
    <w:rsid w:val="00B26E4C"/>
    <w:rsid w:val="00B26ED7"/>
    <w:rsid w:val="00B26F36"/>
    <w:rsid w:val="00B26FCC"/>
    <w:rsid w:val="00B27489"/>
    <w:rsid w:val="00B275B9"/>
    <w:rsid w:val="00B276B7"/>
    <w:rsid w:val="00B27EA8"/>
    <w:rsid w:val="00B27F5D"/>
    <w:rsid w:val="00B27FD4"/>
    <w:rsid w:val="00B30707"/>
    <w:rsid w:val="00B3076E"/>
    <w:rsid w:val="00B30D88"/>
    <w:rsid w:val="00B30DC0"/>
    <w:rsid w:val="00B30E01"/>
    <w:rsid w:val="00B312C7"/>
    <w:rsid w:val="00B31334"/>
    <w:rsid w:val="00B313B1"/>
    <w:rsid w:val="00B31897"/>
    <w:rsid w:val="00B31CC5"/>
    <w:rsid w:val="00B31F81"/>
    <w:rsid w:val="00B32096"/>
    <w:rsid w:val="00B32209"/>
    <w:rsid w:val="00B32607"/>
    <w:rsid w:val="00B32CB2"/>
    <w:rsid w:val="00B32E56"/>
    <w:rsid w:val="00B32EC0"/>
    <w:rsid w:val="00B330D7"/>
    <w:rsid w:val="00B33415"/>
    <w:rsid w:val="00B34492"/>
    <w:rsid w:val="00B344B8"/>
    <w:rsid w:val="00B344E5"/>
    <w:rsid w:val="00B3451C"/>
    <w:rsid w:val="00B346E9"/>
    <w:rsid w:val="00B349F3"/>
    <w:rsid w:val="00B34B01"/>
    <w:rsid w:val="00B34B35"/>
    <w:rsid w:val="00B34BD4"/>
    <w:rsid w:val="00B35836"/>
    <w:rsid w:val="00B3583D"/>
    <w:rsid w:val="00B35878"/>
    <w:rsid w:val="00B35A39"/>
    <w:rsid w:val="00B35ACD"/>
    <w:rsid w:val="00B35B4A"/>
    <w:rsid w:val="00B35DFA"/>
    <w:rsid w:val="00B36374"/>
    <w:rsid w:val="00B36661"/>
    <w:rsid w:val="00B36997"/>
    <w:rsid w:val="00B36AEA"/>
    <w:rsid w:val="00B36CCC"/>
    <w:rsid w:val="00B36EC6"/>
    <w:rsid w:val="00B3737A"/>
    <w:rsid w:val="00B37476"/>
    <w:rsid w:val="00B374A1"/>
    <w:rsid w:val="00B377BF"/>
    <w:rsid w:val="00B37B97"/>
    <w:rsid w:val="00B37DD8"/>
    <w:rsid w:val="00B37FBC"/>
    <w:rsid w:val="00B40186"/>
    <w:rsid w:val="00B401E3"/>
    <w:rsid w:val="00B40477"/>
    <w:rsid w:val="00B40A36"/>
    <w:rsid w:val="00B40AD5"/>
    <w:rsid w:val="00B40CCE"/>
    <w:rsid w:val="00B40D63"/>
    <w:rsid w:val="00B410AB"/>
    <w:rsid w:val="00B41181"/>
    <w:rsid w:val="00B4132D"/>
    <w:rsid w:val="00B4142E"/>
    <w:rsid w:val="00B41471"/>
    <w:rsid w:val="00B41AC9"/>
    <w:rsid w:val="00B41BD7"/>
    <w:rsid w:val="00B41D36"/>
    <w:rsid w:val="00B41FF1"/>
    <w:rsid w:val="00B420D5"/>
    <w:rsid w:val="00B42274"/>
    <w:rsid w:val="00B42290"/>
    <w:rsid w:val="00B422A8"/>
    <w:rsid w:val="00B422ED"/>
    <w:rsid w:val="00B424CF"/>
    <w:rsid w:val="00B42674"/>
    <w:rsid w:val="00B4274C"/>
    <w:rsid w:val="00B42C09"/>
    <w:rsid w:val="00B43088"/>
    <w:rsid w:val="00B430B8"/>
    <w:rsid w:val="00B43577"/>
    <w:rsid w:val="00B4364D"/>
    <w:rsid w:val="00B437FF"/>
    <w:rsid w:val="00B43A87"/>
    <w:rsid w:val="00B43EB3"/>
    <w:rsid w:val="00B43FCC"/>
    <w:rsid w:val="00B4431A"/>
    <w:rsid w:val="00B44A45"/>
    <w:rsid w:val="00B44BA0"/>
    <w:rsid w:val="00B44C43"/>
    <w:rsid w:val="00B44CEA"/>
    <w:rsid w:val="00B44DE0"/>
    <w:rsid w:val="00B44E1C"/>
    <w:rsid w:val="00B44E68"/>
    <w:rsid w:val="00B44E9B"/>
    <w:rsid w:val="00B44F16"/>
    <w:rsid w:val="00B453A5"/>
    <w:rsid w:val="00B45763"/>
    <w:rsid w:val="00B459E9"/>
    <w:rsid w:val="00B45A24"/>
    <w:rsid w:val="00B45A25"/>
    <w:rsid w:val="00B45A5A"/>
    <w:rsid w:val="00B45AE3"/>
    <w:rsid w:val="00B45D38"/>
    <w:rsid w:val="00B46040"/>
    <w:rsid w:val="00B46144"/>
    <w:rsid w:val="00B46179"/>
    <w:rsid w:val="00B46229"/>
    <w:rsid w:val="00B46531"/>
    <w:rsid w:val="00B465DB"/>
    <w:rsid w:val="00B46973"/>
    <w:rsid w:val="00B46D96"/>
    <w:rsid w:val="00B46E30"/>
    <w:rsid w:val="00B47073"/>
    <w:rsid w:val="00B47107"/>
    <w:rsid w:val="00B472C0"/>
    <w:rsid w:val="00B47311"/>
    <w:rsid w:val="00B4754E"/>
    <w:rsid w:val="00B475D0"/>
    <w:rsid w:val="00B4775A"/>
    <w:rsid w:val="00B47858"/>
    <w:rsid w:val="00B478BB"/>
    <w:rsid w:val="00B47902"/>
    <w:rsid w:val="00B47C6A"/>
    <w:rsid w:val="00B47CD8"/>
    <w:rsid w:val="00B47F11"/>
    <w:rsid w:val="00B47F21"/>
    <w:rsid w:val="00B47FE0"/>
    <w:rsid w:val="00B50267"/>
    <w:rsid w:val="00B503C8"/>
    <w:rsid w:val="00B507DE"/>
    <w:rsid w:val="00B50814"/>
    <w:rsid w:val="00B5082C"/>
    <w:rsid w:val="00B50D89"/>
    <w:rsid w:val="00B50F52"/>
    <w:rsid w:val="00B51267"/>
    <w:rsid w:val="00B51660"/>
    <w:rsid w:val="00B5186D"/>
    <w:rsid w:val="00B518E7"/>
    <w:rsid w:val="00B5191D"/>
    <w:rsid w:val="00B51DDE"/>
    <w:rsid w:val="00B51DF1"/>
    <w:rsid w:val="00B520FA"/>
    <w:rsid w:val="00B523BE"/>
    <w:rsid w:val="00B523F0"/>
    <w:rsid w:val="00B5269A"/>
    <w:rsid w:val="00B52A84"/>
    <w:rsid w:val="00B52D9D"/>
    <w:rsid w:val="00B52EAA"/>
    <w:rsid w:val="00B52F21"/>
    <w:rsid w:val="00B530FF"/>
    <w:rsid w:val="00B53131"/>
    <w:rsid w:val="00B53242"/>
    <w:rsid w:val="00B53524"/>
    <w:rsid w:val="00B53591"/>
    <w:rsid w:val="00B53813"/>
    <w:rsid w:val="00B53904"/>
    <w:rsid w:val="00B539EC"/>
    <w:rsid w:val="00B53A14"/>
    <w:rsid w:val="00B53B30"/>
    <w:rsid w:val="00B53BF1"/>
    <w:rsid w:val="00B53E45"/>
    <w:rsid w:val="00B53FF0"/>
    <w:rsid w:val="00B542BA"/>
    <w:rsid w:val="00B542BF"/>
    <w:rsid w:val="00B542CD"/>
    <w:rsid w:val="00B54A7E"/>
    <w:rsid w:val="00B54D23"/>
    <w:rsid w:val="00B55090"/>
    <w:rsid w:val="00B5510D"/>
    <w:rsid w:val="00B5513B"/>
    <w:rsid w:val="00B5526F"/>
    <w:rsid w:val="00B552C0"/>
    <w:rsid w:val="00B5544F"/>
    <w:rsid w:val="00B5549E"/>
    <w:rsid w:val="00B557B0"/>
    <w:rsid w:val="00B55883"/>
    <w:rsid w:val="00B560B9"/>
    <w:rsid w:val="00B56530"/>
    <w:rsid w:val="00B5657A"/>
    <w:rsid w:val="00B56610"/>
    <w:rsid w:val="00B56C8E"/>
    <w:rsid w:val="00B56D8E"/>
    <w:rsid w:val="00B56F04"/>
    <w:rsid w:val="00B570ED"/>
    <w:rsid w:val="00B57159"/>
    <w:rsid w:val="00B5724B"/>
    <w:rsid w:val="00B572DE"/>
    <w:rsid w:val="00B5732A"/>
    <w:rsid w:val="00B57695"/>
    <w:rsid w:val="00B57906"/>
    <w:rsid w:val="00B5791D"/>
    <w:rsid w:val="00B579B6"/>
    <w:rsid w:val="00B57AF8"/>
    <w:rsid w:val="00B57D49"/>
    <w:rsid w:val="00B57F21"/>
    <w:rsid w:val="00B57F8C"/>
    <w:rsid w:val="00B600B6"/>
    <w:rsid w:val="00B6029A"/>
    <w:rsid w:val="00B60321"/>
    <w:rsid w:val="00B604F9"/>
    <w:rsid w:val="00B6063C"/>
    <w:rsid w:val="00B608DE"/>
    <w:rsid w:val="00B60B32"/>
    <w:rsid w:val="00B60D26"/>
    <w:rsid w:val="00B60EB3"/>
    <w:rsid w:val="00B60FD5"/>
    <w:rsid w:val="00B61495"/>
    <w:rsid w:val="00B61AE4"/>
    <w:rsid w:val="00B62001"/>
    <w:rsid w:val="00B62118"/>
    <w:rsid w:val="00B625CF"/>
    <w:rsid w:val="00B62CD6"/>
    <w:rsid w:val="00B62E71"/>
    <w:rsid w:val="00B630F2"/>
    <w:rsid w:val="00B63447"/>
    <w:rsid w:val="00B6385D"/>
    <w:rsid w:val="00B638D1"/>
    <w:rsid w:val="00B63A27"/>
    <w:rsid w:val="00B63A65"/>
    <w:rsid w:val="00B63D52"/>
    <w:rsid w:val="00B63E35"/>
    <w:rsid w:val="00B63ED6"/>
    <w:rsid w:val="00B63F32"/>
    <w:rsid w:val="00B63F40"/>
    <w:rsid w:val="00B63F65"/>
    <w:rsid w:val="00B63FF7"/>
    <w:rsid w:val="00B640DD"/>
    <w:rsid w:val="00B64166"/>
    <w:rsid w:val="00B642B9"/>
    <w:rsid w:val="00B6436D"/>
    <w:rsid w:val="00B6438A"/>
    <w:rsid w:val="00B646CB"/>
    <w:rsid w:val="00B649D0"/>
    <w:rsid w:val="00B64F35"/>
    <w:rsid w:val="00B64F42"/>
    <w:rsid w:val="00B64FFB"/>
    <w:rsid w:val="00B6521A"/>
    <w:rsid w:val="00B655B8"/>
    <w:rsid w:val="00B6562C"/>
    <w:rsid w:val="00B65693"/>
    <w:rsid w:val="00B65B0E"/>
    <w:rsid w:val="00B65B3F"/>
    <w:rsid w:val="00B65CF1"/>
    <w:rsid w:val="00B65D3A"/>
    <w:rsid w:val="00B65DE9"/>
    <w:rsid w:val="00B6601D"/>
    <w:rsid w:val="00B66434"/>
    <w:rsid w:val="00B665AF"/>
    <w:rsid w:val="00B6691E"/>
    <w:rsid w:val="00B66ABE"/>
    <w:rsid w:val="00B66BAF"/>
    <w:rsid w:val="00B66E60"/>
    <w:rsid w:val="00B66F2D"/>
    <w:rsid w:val="00B66F48"/>
    <w:rsid w:val="00B671DB"/>
    <w:rsid w:val="00B67A26"/>
    <w:rsid w:val="00B67B38"/>
    <w:rsid w:val="00B7002E"/>
    <w:rsid w:val="00B70272"/>
    <w:rsid w:val="00B702D0"/>
    <w:rsid w:val="00B70719"/>
    <w:rsid w:val="00B70BF3"/>
    <w:rsid w:val="00B70C22"/>
    <w:rsid w:val="00B70D31"/>
    <w:rsid w:val="00B70F59"/>
    <w:rsid w:val="00B71028"/>
    <w:rsid w:val="00B7121D"/>
    <w:rsid w:val="00B7123C"/>
    <w:rsid w:val="00B715D9"/>
    <w:rsid w:val="00B716CA"/>
    <w:rsid w:val="00B718EB"/>
    <w:rsid w:val="00B71966"/>
    <w:rsid w:val="00B71D51"/>
    <w:rsid w:val="00B71DC9"/>
    <w:rsid w:val="00B72149"/>
    <w:rsid w:val="00B72170"/>
    <w:rsid w:val="00B7247A"/>
    <w:rsid w:val="00B7289E"/>
    <w:rsid w:val="00B72AA4"/>
    <w:rsid w:val="00B72AD4"/>
    <w:rsid w:val="00B72B11"/>
    <w:rsid w:val="00B72BC0"/>
    <w:rsid w:val="00B72C12"/>
    <w:rsid w:val="00B72E46"/>
    <w:rsid w:val="00B72EA8"/>
    <w:rsid w:val="00B72FCE"/>
    <w:rsid w:val="00B735E9"/>
    <w:rsid w:val="00B73ABA"/>
    <w:rsid w:val="00B73C19"/>
    <w:rsid w:val="00B7409F"/>
    <w:rsid w:val="00B74744"/>
    <w:rsid w:val="00B7474E"/>
    <w:rsid w:val="00B74A9B"/>
    <w:rsid w:val="00B74D41"/>
    <w:rsid w:val="00B75246"/>
    <w:rsid w:val="00B75284"/>
    <w:rsid w:val="00B752DB"/>
    <w:rsid w:val="00B75B05"/>
    <w:rsid w:val="00B75C8A"/>
    <w:rsid w:val="00B75DF4"/>
    <w:rsid w:val="00B75E17"/>
    <w:rsid w:val="00B7614E"/>
    <w:rsid w:val="00B76335"/>
    <w:rsid w:val="00B7633C"/>
    <w:rsid w:val="00B7660B"/>
    <w:rsid w:val="00B766DA"/>
    <w:rsid w:val="00B76810"/>
    <w:rsid w:val="00B76846"/>
    <w:rsid w:val="00B7691D"/>
    <w:rsid w:val="00B76C90"/>
    <w:rsid w:val="00B76DA3"/>
    <w:rsid w:val="00B76DD0"/>
    <w:rsid w:val="00B76F62"/>
    <w:rsid w:val="00B77303"/>
    <w:rsid w:val="00B7734A"/>
    <w:rsid w:val="00B774B7"/>
    <w:rsid w:val="00B774E8"/>
    <w:rsid w:val="00B77638"/>
    <w:rsid w:val="00B7765F"/>
    <w:rsid w:val="00B7771D"/>
    <w:rsid w:val="00B778DE"/>
    <w:rsid w:val="00B77AF6"/>
    <w:rsid w:val="00B77B42"/>
    <w:rsid w:val="00B77BEC"/>
    <w:rsid w:val="00B77EF6"/>
    <w:rsid w:val="00B80319"/>
    <w:rsid w:val="00B80400"/>
    <w:rsid w:val="00B8053E"/>
    <w:rsid w:val="00B80B26"/>
    <w:rsid w:val="00B80B6D"/>
    <w:rsid w:val="00B80C87"/>
    <w:rsid w:val="00B80D5E"/>
    <w:rsid w:val="00B80EDD"/>
    <w:rsid w:val="00B80EE2"/>
    <w:rsid w:val="00B813F1"/>
    <w:rsid w:val="00B81780"/>
    <w:rsid w:val="00B81A3D"/>
    <w:rsid w:val="00B81AA3"/>
    <w:rsid w:val="00B81B5C"/>
    <w:rsid w:val="00B81BBB"/>
    <w:rsid w:val="00B81C9E"/>
    <w:rsid w:val="00B82025"/>
    <w:rsid w:val="00B8229B"/>
    <w:rsid w:val="00B8245F"/>
    <w:rsid w:val="00B824B9"/>
    <w:rsid w:val="00B825E1"/>
    <w:rsid w:val="00B826E0"/>
    <w:rsid w:val="00B8298F"/>
    <w:rsid w:val="00B82BF7"/>
    <w:rsid w:val="00B82DEA"/>
    <w:rsid w:val="00B830E3"/>
    <w:rsid w:val="00B83258"/>
    <w:rsid w:val="00B8348E"/>
    <w:rsid w:val="00B835BD"/>
    <w:rsid w:val="00B8363C"/>
    <w:rsid w:val="00B836DD"/>
    <w:rsid w:val="00B83A85"/>
    <w:rsid w:val="00B83B03"/>
    <w:rsid w:val="00B83D68"/>
    <w:rsid w:val="00B83E59"/>
    <w:rsid w:val="00B84143"/>
    <w:rsid w:val="00B8428E"/>
    <w:rsid w:val="00B8441A"/>
    <w:rsid w:val="00B84538"/>
    <w:rsid w:val="00B845B3"/>
    <w:rsid w:val="00B84743"/>
    <w:rsid w:val="00B8476A"/>
    <w:rsid w:val="00B84894"/>
    <w:rsid w:val="00B84AF8"/>
    <w:rsid w:val="00B85082"/>
    <w:rsid w:val="00B85269"/>
    <w:rsid w:val="00B852F7"/>
    <w:rsid w:val="00B85418"/>
    <w:rsid w:val="00B85440"/>
    <w:rsid w:val="00B8546C"/>
    <w:rsid w:val="00B8547D"/>
    <w:rsid w:val="00B85A82"/>
    <w:rsid w:val="00B85B33"/>
    <w:rsid w:val="00B85E53"/>
    <w:rsid w:val="00B85F73"/>
    <w:rsid w:val="00B85FF8"/>
    <w:rsid w:val="00B86195"/>
    <w:rsid w:val="00B8634D"/>
    <w:rsid w:val="00B864CB"/>
    <w:rsid w:val="00B8653A"/>
    <w:rsid w:val="00B8653F"/>
    <w:rsid w:val="00B86713"/>
    <w:rsid w:val="00B86897"/>
    <w:rsid w:val="00B868A0"/>
    <w:rsid w:val="00B86AF3"/>
    <w:rsid w:val="00B87058"/>
    <w:rsid w:val="00B8711B"/>
    <w:rsid w:val="00B87185"/>
    <w:rsid w:val="00B8719B"/>
    <w:rsid w:val="00B87513"/>
    <w:rsid w:val="00B87B01"/>
    <w:rsid w:val="00B87CA9"/>
    <w:rsid w:val="00B87E4E"/>
    <w:rsid w:val="00B87EB9"/>
    <w:rsid w:val="00B87F90"/>
    <w:rsid w:val="00B87FA3"/>
    <w:rsid w:val="00B9007E"/>
    <w:rsid w:val="00B9010C"/>
    <w:rsid w:val="00B901CE"/>
    <w:rsid w:val="00B90527"/>
    <w:rsid w:val="00B90DFD"/>
    <w:rsid w:val="00B90E46"/>
    <w:rsid w:val="00B91EEE"/>
    <w:rsid w:val="00B921F6"/>
    <w:rsid w:val="00B92498"/>
    <w:rsid w:val="00B92926"/>
    <w:rsid w:val="00B92A4A"/>
    <w:rsid w:val="00B92AAC"/>
    <w:rsid w:val="00B92BAC"/>
    <w:rsid w:val="00B92DD2"/>
    <w:rsid w:val="00B92E0E"/>
    <w:rsid w:val="00B92E59"/>
    <w:rsid w:val="00B92E8C"/>
    <w:rsid w:val="00B93097"/>
    <w:rsid w:val="00B9316F"/>
    <w:rsid w:val="00B931C2"/>
    <w:rsid w:val="00B931E4"/>
    <w:rsid w:val="00B93293"/>
    <w:rsid w:val="00B93364"/>
    <w:rsid w:val="00B933D2"/>
    <w:rsid w:val="00B93722"/>
    <w:rsid w:val="00B93780"/>
    <w:rsid w:val="00B937AA"/>
    <w:rsid w:val="00B93ADE"/>
    <w:rsid w:val="00B93B8F"/>
    <w:rsid w:val="00B93F4E"/>
    <w:rsid w:val="00B9403C"/>
    <w:rsid w:val="00B94146"/>
    <w:rsid w:val="00B944F9"/>
    <w:rsid w:val="00B94613"/>
    <w:rsid w:val="00B949F9"/>
    <w:rsid w:val="00B94CE2"/>
    <w:rsid w:val="00B94DB2"/>
    <w:rsid w:val="00B94E81"/>
    <w:rsid w:val="00B94F38"/>
    <w:rsid w:val="00B94F66"/>
    <w:rsid w:val="00B9509E"/>
    <w:rsid w:val="00B95122"/>
    <w:rsid w:val="00B95142"/>
    <w:rsid w:val="00B951D5"/>
    <w:rsid w:val="00B952A8"/>
    <w:rsid w:val="00B95723"/>
    <w:rsid w:val="00B957D1"/>
    <w:rsid w:val="00B958A7"/>
    <w:rsid w:val="00B9592C"/>
    <w:rsid w:val="00B95B76"/>
    <w:rsid w:val="00B962DF"/>
    <w:rsid w:val="00B968E1"/>
    <w:rsid w:val="00B96BE1"/>
    <w:rsid w:val="00B96D2A"/>
    <w:rsid w:val="00B96FF4"/>
    <w:rsid w:val="00B97145"/>
    <w:rsid w:val="00B97154"/>
    <w:rsid w:val="00B972CB"/>
    <w:rsid w:val="00B97552"/>
    <w:rsid w:val="00B978AF"/>
    <w:rsid w:val="00B97AB4"/>
    <w:rsid w:val="00B97AF5"/>
    <w:rsid w:val="00B97BEC"/>
    <w:rsid w:val="00B97F18"/>
    <w:rsid w:val="00BA01D0"/>
    <w:rsid w:val="00BA06F1"/>
    <w:rsid w:val="00BA0820"/>
    <w:rsid w:val="00BA08AC"/>
    <w:rsid w:val="00BA1486"/>
    <w:rsid w:val="00BA1542"/>
    <w:rsid w:val="00BA1560"/>
    <w:rsid w:val="00BA1700"/>
    <w:rsid w:val="00BA18FD"/>
    <w:rsid w:val="00BA1954"/>
    <w:rsid w:val="00BA1B21"/>
    <w:rsid w:val="00BA1DF4"/>
    <w:rsid w:val="00BA1EDB"/>
    <w:rsid w:val="00BA209E"/>
    <w:rsid w:val="00BA2B4B"/>
    <w:rsid w:val="00BA3083"/>
    <w:rsid w:val="00BA3121"/>
    <w:rsid w:val="00BA3150"/>
    <w:rsid w:val="00BA315A"/>
    <w:rsid w:val="00BA3566"/>
    <w:rsid w:val="00BA3665"/>
    <w:rsid w:val="00BA376C"/>
    <w:rsid w:val="00BA3CB7"/>
    <w:rsid w:val="00BA3E25"/>
    <w:rsid w:val="00BA438D"/>
    <w:rsid w:val="00BA458F"/>
    <w:rsid w:val="00BA460E"/>
    <w:rsid w:val="00BA4666"/>
    <w:rsid w:val="00BA4774"/>
    <w:rsid w:val="00BA4810"/>
    <w:rsid w:val="00BA48B5"/>
    <w:rsid w:val="00BA4C34"/>
    <w:rsid w:val="00BA4C9F"/>
    <w:rsid w:val="00BA5012"/>
    <w:rsid w:val="00BA513C"/>
    <w:rsid w:val="00BA546D"/>
    <w:rsid w:val="00BA54A8"/>
    <w:rsid w:val="00BA5505"/>
    <w:rsid w:val="00BA5564"/>
    <w:rsid w:val="00BA5799"/>
    <w:rsid w:val="00BA6338"/>
    <w:rsid w:val="00BA65F9"/>
    <w:rsid w:val="00BA6A3E"/>
    <w:rsid w:val="00BA6C9E"/>
    <w:rsid w:val="00BA6DF2"/>
    <w:rsid w:val="00BA6EFD"/>
    <w:rsid w:val="00BA6FA4"/>
    <w:rsid w:val="00BA70F0"/>
    <w:rsid w:val="00BA7405"/>
    <w:rsid w:val="00BA74AF"/>
    <w:rsid w:val="00BA76A8"/>
    <w:rsid w:val="00BA77D0"/>
    <w:rsid w:val="00BA79E4"/>
    <w:rsid w:val="00BA7A23"/>
    <w:rsid w:val="00BA7BA6"/>
    <w:rsid w:val="00BA7DE2"/>
    <w:rsid w:val="00BB01E3"/>
    <w:rsid w:val="00BB0407"/>
    <w:rsid w:val="00BB083B"/>
    <w:rsid w:val="00BB096A"/>
    <w:rsid w:val="00BB099D"/>
    <w:rsid w:val="00BB09E9"/>
    <w:rsid w:val="00BB0B3A"/>
    <w:rsid w:val="00BB0E31"/>
    <w:rsid w:val="00BB0E5E"/>
    <w:rsid w:val="00BB0E63"/>
    <w:rsid w:val="00BB10E0"/>
    <w:rsid w:val="00BB1106"/>
    <w:rsid w:val="00BB1568"/>
    <w:rsid w:val="00BB1569"/>
    <w:rsid w:val="00BB1B3E"/>
    <w:rsid w:val="00BB1B71"/>
    <w:rsid w:val="00BB1B88"/>
    <w:rsid w:val="00BB1EA5"/>
    <w:rsid w:val="00BB211C"/>
    <w:rsid w:val="00BB224D"/>
    <w:rsid w:val="00BB237E"/>
    <w:rsid w:val="00BB250C"/>
    <w:rsid w:val="00BB253B"/>
    <w:rsid w:val="00BB27D9"/>
    <w:rsid w:val="00BB27DE"/>
    <w:rsid w:val="00BB2B9A"/>
    <w:rsid w:val="00BB2BF3"/>
    <w:rsid w:val="00BB2E51"/>
    <w:rsid w:val="00BB2EB3"/>
    <w:rsid w:val="00BB3019"/>
    <w:rsid w:val="00BB30F9"/>
    <w:rsid w:val="00BB3120"/>
    <w:rsid w:val="00BB32D8"/>
    <w:rsid w:val="00BB3452"/>
    <w:rsid w:val="00BB34DA"/>
    <w:rsid w:val="00BB3559"/>
    <w:rsid w:val="00BB395F"/>
    <w:rsid w:val="00BB3CE1"/>
    <w:rsid w:val="00BB3D8E"/>
    <w:rsid w:val="00BB3E56"/>
    <w:rsid w:val="00BB3F10"/>
    <w:rsid w:val="00BB3F2A"/>
    <w:rsid w:val="00BB4080"/>
    <w:rsid w:val="00BB4459"/>
    <w:rsid w:val="00BB4633"/>
    <w:rsid w:val="00BB468A"/>
    <w:rsid w:val="00BB46CE"/>
    <w:rsid w:val="00BB4788"/>
    <w:rsid w:val="00BB494D"/>
    <w:rsid w:val="00BB4AD4"/>
    <w:rsid w:val="00BB4EB1"/>
    <w:rsid w:val="00BB55C2"/>
    <w:rsid w:val="00BB560A"/>
    <w:rsid w:val="00BB5626"/>
    <w:rsid w:val="00BB565F"/>
    <w:rsid w:val="00BB5C11"/>
    <w:rsid w:val="00BB5D9C"/>
    <w:rsid w:val="00BB612D"/>
    <w:rsid w:val="00BB628E"/>
    <w:rsid w:val="00BB6434"/>
    <w:rsid w:val="00BB64B6"/>
    <w:rsid w:val="00BB692D"/>
    <w:rsid w:val="00BB6A83"/>
    <w:rsid w:val="00BB6A8F"/>
    <w:rsid w:val="00BB6B17"/>
    <w:rsid w:val="00BB6B18"/>
    <w:rsid w:val="00BB6BC9"/>
    <w:rsid w:val="00BB6E58"/>
    <w:rsid w:val="00BB709E"/>
    <w:rsid w:val="00BB710C"/>
    <w:rsid w:val="00BB71D4"/>
    <w:rsid w:val="00BB7312"/>
    <w:rsid w:val="00BB778F"/>
    <w:rsid w:val="00BB77CA"/>
    <w:rsid w:val="00BB7995"/>
    <w:rsid w:val="00BB799D"/>
    <w:rsid w:val="00BB7A75"/>
    <w:rsid w:val="00BB7A84"/>
    <w:rsid w:val="00BB7E36"/>
    <w:rsid w:val="00BB7F8E"/>
    <w:rsid w:val="00BC0212"/>
    <w:rsid w:val="00BC027A"/>
    <w:rsid w:val="00BC045E"/>
    <w:rsid w:val="00BC05EE"/>
    <w:rsid w:val="00BC06DC"/>
    <w:rsid w:val="00BC0781"/>
    <w:rsid w:val="00BC0810"/>
    <w:rsid w:val="00BC0935"/>
    <w:rsid w:val="00BC0A54"/>
    <w:rsid w:val="00BC0AC4"/>
    <w:rsid w:val="00BC0B39"/>
    <w:rsid w:val="00BC0BA3"/>
    <w:rsid w:val="00BC0BB2"/>
    <w:rsid w:val="00BC0BF0"/>
    <w:rsid w:val="00BC0C42"/>
    <w:rsid w:val="00BC0D02"/>
    <w:rsid w:val="00BC0F02"/>
    <w:rsid w:val="00BC0F55"/>
    <w:rsid w:val="00BC104E"/>
    <w:rsid w:val="00BC1238"/>
    <w:rsid w:val="00BC175A"/>
    <w:rsid w:val="00BC1789"/>
    <w:rsid w:val="00BC188C"/>
    <w:rsid w:val="00BC1A53"/>
    <w:rsid w:val="00BC1D9C"/>
    <w:rsid w:val="00BC1E0A"/>
    <w:rsid w:val="00BC1E84"/>
    <w:rsid w:val="00BC1F41"/>
    <w:rsid w:val="00BC1F42"/>
    <w:rsid w:val="00BC1F83"/>
    <w:rsid w:val="00BC23E7"/>
    <w:rsid w:val="00BC2515"/>
    <w:rsid w:val="00BC2610"/>
    <w:rsid w:val="00BC28D2"/>
    <w:rsid w:val="00BC2EDF"/>
    <w:rsid w:val="00BC310A"/>
    <w:rsid w:val="00BC31CF"/>
    <w:rsid w:val="00BC3464"/>
    <w:rsid w:val="00BC34C2"/>
    <w:rsid w:val="00BC3548"/>
    <w:rsid w:val="00BC3A3D"/>
    <w:rsid w:val="00BC3AF5"/>
    <w:rsid w:val="00BC3BE7"/>
    <w:rsid w:val="00BC3C44"/>
    <w:rsid w:val="00BC3D3C"/>
    <w:rsid w:val="00BC3DDC"/>
    <w:rsid w:val="00BC4A23"/>
    <w:rsid w:val="00BC4C3E"/>
    <w:rsid w:val="00BC4D6B"/>
    <w:rsid w:val="00BC4E67"/>
    <w:rsid w:val="00BC4FD0"/>
    <w:rsid w:val="00BC5000"/>
    <w:rsid w:val="00BC503C"/>
    <w:rsid w:val="00BC527E"/>
    <w:rsid w:val="00BC52C4"/>
    <w:rsid w:val="00BC53D6"/>
    <w:rsid w:val="00BC5529"/>
    <w:rsid w:val="00BC5A54"/>
    <w:rsid w:val="00BC5AC3"/>
    <w:rsid w:val="00BC5F6D"/>
    <w:rsid w:val="00BC604D"/>
    <w:rsid w:val="00BC6348"/>
    <w:rsid w:val="00BC63C7"/>
    <w:rsid w:val="00BC6923"/>
    <w:rsid w:val="00BC6951"/>
    <w:rsid w:val="00BC6954"/>
    <w:rsid w:val="00BC6A96"/>
    <w:rsid w:val="00BC6AD7"/>
    <w:rsid w:val="00BC6EFC"/>
    <w:rsid w:val="00BC7171"/>
    <w:rsid w:val="00BC720E"/>
    <w:rsid w:val="00BC7223"/>
    <w:rsid w:val="00BC7745"/>
    <w:rsid w:val="00BC77F4"/>
    <w:rsid w:val="00BC7976"/>
    <w:rsid w:val="00BC7AEC"/>
    <w:rsid w:val="00BC7BF1"/>
    <w:rsid w:val="00BC7E8B"/>
    <w:rsid w:val="00BC7FB6"/>
    <w:rsid w:val="00BC7FB9"/>
    <w:rsid w:val="00BD0015"/>
    <w:rsid w:val="00BD0046"/>
    <w:rsid w:val="00BD0247"/>
    <w:rsid w:val="00BD0284"/>
    <w:rsid w:val="00BD04B1"/>
    <w:rsid w:val="00BD0A02"/>
    <w:rsid w:val="00BD0C26"/>
    <w:rsid w:val="00BD0DB2"/>
    <w:rsid w:val="00BD0EFE"/>
    <w:rsid w:val="00BD0F22"/>
    <w:rsid w:val="00BD0F94"/>
    <w:rsid w:val="00BD108A"/>
    <w:rsid w:val="00BD16D8"/>
    <w:rsid w:val="00BD182B"/>
    <w:rsid w:val="00BD18F3"/>
    <w:rsid w:val="00BD190F"/>
    <w:rsid w:val="00BD1B7C"/>
    <w:rsid w:val="00BD1BA6"/>
    <w:rsid w:val="00BD1FD7"/>
    <w:rsid w:val="00BD209C"/>
    <w:rsid w:val="00BD28BD"/>
    <w:rsid w:val="00BD2CB4"/>
    <w:rsid w:val="00BD2ECB"/>
    <w:rsid w:val="00BD3203"/>
    <w:rsid w:val="00BD3294"/>
    <w:rsid w:val="00BD32B7"/>
    <w:rsid w:val="00BD33C6"/>
    <w:rsid w:val="00BD3477"/>
    <w:rsid w:val="00BD34AE"/>
    <w:rsid w:val="00BD3C98"/>
    <w:rsid w:val="00BD3DA7"/>
    <w:rsid w:val="00BD3DA8"/>
    <w:rsid w:val="00BD404A"/>
    <w:rsid w:val="00BD43EE"/>
    <w:rsid w:val="00BD497B"/>
    <w:rsid w:val="00BD4ADF"/>
    <w:rsid w:val="00BD4CE0"/>
    <w:rsid w:val="00BD4D3C"/>
    <w:rsid w:val="00BD4D66"/>
    <w:rsid w:val="00BD4E63"/>
    <w:rsid w:val="00BD4F5B"/>
    <w:rsid w:val="00BD5048"/>
    <w:rsid w:val="00BD5186"/>
    <w:rsid w:val="00BD51E2"/>
    <w:rsid w:val="00BD5231"/>
    <w:rsid w:val="00BD523A"/>
    <w:rsid w:val="00BD5270"/>
    <w:rsid w:val="00BD5388"/>
    <w:rsid w:val="00BD58D4"/>
    <w:rsid w:val="00BD5EBB"/>
    <w:rsid w:val="00BD5FBF"/>
    <w:rsid w:val="00BD5FFF"/>
    <w:rsid w:val="00BD60B5"/>
    <w:rsid w:val="00BD60BD"/>
    <w:rsid w:val="00BD63C8"/>
    <w:rsid w:val="00BD63D7"/>
    <w:rsid w:val="00BD63ED"/>
    <w:rsid w:val="00BD6552"/>
    <w:rsid w:val="00BD66F0"/>
    <w:rsid w:val="00BD674C"/>
    <w:rsid w:val="00BD6826"/>
    <w:rsid w:val="00BD6B30"/>
    <w:rsid w:val="00BD6ED0"/>
    <w:rsid w:val="00BD6F2B"/>
    <w:rsid w:val="00BD738D"/>
    <w:rsid w:val="00BD73B5"/>
    <w:rsid w:val="00BD73C5"/>
    <w:rsid w:val="00BD7415"/>
    <w:rsid w:val="00BD749B"/>
    <w:rsid w:val="00BD759D"/>
    <w:rsid w:val="00BD76FE"/>
    <w:rsid w:val="00BD7AB2"/>
    <w:rsid w:val="00BD7D50"/>
    <w:rsid w:val="00BD7ECE"/>
    <w:rsid w:val="00BD7FBF"/>
    <w:rsid w:val="00BE0097"/>
    <w:rsid w:val="00BE0402"/>
    <w:rsid w:val="00BE0481"/>
    <w:rsid w:val="00BE07D5"/>
    <w:rsid w:val="00BE0D18"/>
    <w:rsid w:val="00BE156E"/>
    <w:rsid w:val="00BE16C3"/>
    <w:rsid w:val="00BE1991"/>
    <w:rsid w:val="00BE1B13"/>
    <w:rsid w:val="00BE1CA8"/>
    <w:rsid w:val="00BE1CBC"/>
    <w:rsid w:val="00BE1D1E"/>
    <w:rsid w:val="00BE1D38"/>
    <w:rsid w:val="00BE1DC6"/>
    <w:rsid w:val="00BE1DD0"/>
    <w:rsid w:val="00BE1DEB"/>
    <w:rsid w:val="00BE1E9B"/>
    <w:rsid w:val="00BE22D9"/>
    <w:rsid w:val="00BE2440"/>
    <w:rsid w:val="00BE2583"/>
    <w:rsid w:val="00BE277E"/>
    <w:rsid w:val="00BE291B"/>
    <w:rsid w:val="00BE2CA6"/>
    <w:rsid w:val="00BE2DE6"/>
    <w:rsid w:val="00BE2FB3"/>
    <w:rsid w:val="00BE2FE7"/>
    <w:rsid w:val="00BE307D"/>
    <w:rsid w:val="00BE31A6"/>
    <w:rsid w:val="00BE3311"/>
    <w:rsid w:val="00BE355A"/>
    <w:rsid w:val="00BE35BC"/>
    <w:rsid w:val="00BE35C4"/>
    <w:rsid w:val="00BE364C"/>
    <w:rsid w:val="00BE3866"/>
    <w:rsid w:val="00BE3949"/>
    <w:rsid w:val="00BE39A4"/>
    <w:rsid w:val="00BE3D6A"/>
    <w:rsid w:val="00BE40C4"/>
    <w:rsid w:val="00BE42A8"/>
    <w:rsid w:val="00BE456B"/>
    <w:rsid w:val="00BE4624"/>
    <w:rsid w:val="00BE4741"/>
    <w:rsid w:val="00BE47AB"/>
    <w:rsid w:val="00BE4838"/>
    <w:rsid w:val="00BE4A2C"/>
    <w:rsid w:val="00BE4AB4"/>
    <w:rsid w:val="00BE4E5E"/>
    <w:rsid w:val="00BE5133"/>
    <w:rsid w:val="00BE53FC"/>
    <w:rsid w:val="00BE568B"/>
    <w:rsid w:val="00BE5793"/>
    <w:rsid w:val="00BE592B"/>
    <w:rsid w:val="00BE59EB"/>
    <w:rsid w:val="00BE5EE8"/>
    <w:rsid w:val="00BE5F9E"/>
    <w:rsid w:val="00BE61F2"/>
    <w:rsid w:val="00BE6610"/>
    <w:rsid w:val="00BE6771"/>
    <w:rsid w:val="00BE67AE"/>
    <w:rsid w:val="00BE67C9"/>
    <w:rsid w:val="00BE6CD4"/>
    <w:rsid w:val="00BE6FC6"/>
    <w:rsid w:val="00BE755D"/>
    <w:rsid w:val="00BE7612"/>
    <w:rsid w:val="00BE7737"/>
    <w:rsid w:val="00BE7860"/>
    <w:rsid w:val="00BE795D"/>
    <w:rsid w:val="00BE7B7C"/>
    <w:rsid w:val="00BE7F72"/>
    <w:rsid w:val="00BF00E0"/>
    <w:rsid w:val="00BF0144"/>
    <w:rsid w:val="00BF077E"/>
    <w:rsid w:val="00BF0856"/>
    <w:rsid w:val="00BF09A9"/>
    <w:rsid w:val="00BF09F3"/>
    <w:rsid w:val="00BF0B54"/>
    <w:rsid w:val="00BF0BD7"/>
    <w:rsid w:val="00BF0CF3"/>
    <w:rsid w:val="00BF0D4F"/>
    <w:rsid w:val="00BF0D9C"/>
    <w:rsid w:val="00BF0E21"/>
    <w:rsid w:val="00BF1066"/>
    <w:rsid w:val="00BF116A"/>
    <w:rsid w:val="00BF1215"/>
    <w:rsid w:val="00BF1226"/>
    <w:rsid w:val="00BF1288"/>
    <w:rsid w:val="00BF12E9"/>
    <w:rsid w:val="00BF13CE"/>
    <w:rsid w:val="00BF140B"/>
    <w:rsid w:val="00BF1563"/>
    <w:rsid w:val="00BF15AB"/>
    <w:rsid w:val="00BF17C4"/>
    <w:rsid w:val="00BF1A75"/>
    <w:rsid w:val="00BF1DE6"/>
    <w:rsid w:val="00BF1DF0"/>
    <w:rsid w:val="00BF1FC5"/>
    <w:rsid w:val="00BF2039"/>
    <w:rsid w:val="00BF259E"/>
    <w:rsid w:val="00BF25E3"/>
    <w:rsid w:val="00BF261D"/>
    <w:rsid w:val="00BF27D3"/>
    <w:rsid w:val="00BF2935"/>
    <w:rsid w:val="00BF2959"/>
    <w:rsid w:val="00BF2B99"/>
    <w:rsid w:val="00BF2BED"/>
    <w:rsid w:val="00BF2DCB"/>
    <w:rsid w:val="00BF2F09"/>
    <w:rsid w:val="00BF30A2"/>
    <w:rsid w:val="00BF33AF"/>
    <w:rsid w:val="00BF352D"/>
    <w:rsid w:val="00BF3655"/>
    <w:rsid w:val="00BF37C4"/>
    <w:rsid w:val="00BF393F"/>
    <w:rsid w:val="00BF3A85"/>
    <w:rsid w:val="00BF3CA0"/>
    <w:rsid w:val="00BF4172"/>
    <w:rsid w:val="00BF4227"/>
    <w:rsid w:val="00BF4788"/>
    <w:rsid w:val="00BF47B1"/>
    <w:rsid w:val="00BF487B"/>
    <w:rsid w:val="00BF4885"/>
    <w:rsid w:val="00BF4AE0"/>
    <w:rsid w:val="00BF4BDF"/>
    <w:rsid w:val="00BF4BF4"/>
    <w:rsid w:val="00BF4D37"/>
    <w:rsid w:val="00BF4E8F"/>
    <w:rsid w:val="00BF5238"/>
    <w:rsid w:val="00BF527E"/>
    <w:rsid w:val="00BF545B"/>
    <w:rsid w:val="00BF55EA"/>
    <w:rsid w:val="00BF5648"/>
    <w:rsid w:val="00BF5A1E"/>
    <w:rsid w:val="00BF6064"/>
    <w:rsid w:val="00BF60B4"/>
    <w:rsid w:val="00BF6161"/>
    <w:rsid w:val="00BF64E0"/>
    <w:rsid w:val="00BF693F"/>
    <w:rsid w:val="00BF696D"/>
    <w:rsid w:val="00BF6CA7"/>
    <w:rsid w:val="00BF6D8B"/>
    <w:rsid w:val="00BF6E1D"/>
    <w:rsid w:val="00BF6E93"/>
    <w:rsid w:val="00BF7A03"/>
    <w:rsid w:val="00BF7A4F"/>
    <w:rsid w:val="00BF7B2B"/>
    <w:rsid w:val="00C0022C"/>
    <w:rsid w:val="00C006AC"/>
    <w:rsid w:val="00C00B1B"/>
    <w:rsid w:val="00C010E9"/>
    <w:rsid w:val="00C011CA"/>
    <w:rsid w:val="00C013AA"/>
    <w:rsid w:val="00C0146A"/>
    <w:rsid w:val="00C014E8"/>
    <w:rsid w:val="00C016A5"/>
    <w:rsid w:val="00C01777"/>
    <w:rsid w:val="00C01E13"/>
    <w:rsid w:val="00C01FC9"/>
    <w:rsid w:val="00C021B1"/>
    <w:rsid w:val="00C023C1"/>
    <w:rsid w:val="00C02533"/>
    <w:rsid w:val="00C02982"/>
    <w:rsid w:val="00C02989"/>
    <w:rsid w:val="00C02A6F"/>
    <w:rsid w:val="00C02A83"/>
    <w:rsid w:val="00C02A8A"/>
    <w:rsid w:val="00C02AA2"/>
    <w:rsid w:val="00C02AE9"/>
    <w:rsid w:val="00C02B08"/>
    <w:rsid w:val="00C03350"/>
    <w:rsid w:val="00C033C4"/>
    <w:rsid w:val="00C034EF"/>
    <w:rsid w:val="00C0366F"/>
    <w:rsid w:val="00C03E74"/>
    <w:rsid w:val="00C03F71"/>
    <w:rsid w:val="00C04301"/>
    <w:rsid w:val="00C04360"/>
    <w:rsid w:val="00C045F8"/>
    <w:rsid w:val="00C04D7B"/>
    <w:rsid w:val="00C04DAE"/>
    <w:rsid w:val="00C04EC8"/>
    <w:rsid w:val="00C0513D"/>
    <w:rsid w:val="00C05301"/>
    <w:rsid w:val="00C0530B"/>
    <w:rsid w:val="00C053C0"/>
    <w:rsid w:val="00C053F7"/>
    <w:rsid w:val="00C05573"/>
    <w:rsid w:val="00C05609"/>
    <w:rsid w:val="00C05BBA"/>
    <w:rsid w:val="00C05C47"/>
    <w:rsid w:val="00C05F41"/>
    <w:rsid w:val="00C06130"/>
    <w:rsid w:val="00C0619A"/>
    <w:rsid w:val="00C06398"/>
    <w:rsid w:val="00C064BD"/>
    <w:rsid w:val="00C0650B"/>
    <w:rsid w:val="00C06555"/>
    <w:rsid w:val="00C0686D"/>
    <w:rsid w:val="00C06B9E"/>
    <w:rsid w:val="00C06BF3"/>
    <w:rsid w:val="00C06EE7"/>
    <w:rsid w:val="00C06FC8"/>
    <w:rsid w:val="00C06FCD"/>
    <w:rsid w:val="00C07305"/>
    <w:rsid w:val="00C07472"/>
    <w:rsid w:val="00C077D2"/>
    <w:rsid w:val="00C077E4"/>
    <w:rsid w:val="00C07C62"/>
    <w:rsid w:val="00C07E71"/>
    <w:rsid w:val="00C07ED6"/>
    <w:rsid w:val="00C07EED"/>
    <w:rsid w:val="00C10040"/>
    <w:rsid w:val="00C10146"/>
    <w:rsid w:val="00C107A4"/>
    <w:rsid w:val="00C107FA"/>
    <w:rsid w:val="00C1097B"/>
    <w:rsid w:val="00C109AC"/>
    <w:rsid w:val="00C10A1C"/>
    <w:rsid w:val="00C10A73"/>
    <w:rsid w:val="00C10BB0"/>
    <w:rsid w:val="00C10F47"/>
    <w:rsid w:val="00C10F96"/>
    <w:rsid w:val="00C110C3"/>
    <w:rsid w:val="00C112E9"/>
    <w:rsid w:val="00C114A8"/>
    <w:rsid w:val="00C1170B"/>
    <w:rsid w:val="00C118EE"/>
    <w:rsid w:val="00C11B8E"/>
    <w:rsid w:val="00C11DFF"/>
    <w:rsid w:val="00C12104"/>
    <w:rsid w:val="00C122C3"/>
    <w:rsid w:val="00C123F0"/>
    <w:rsid w:val="00C12478"/>
    <w:rsid w:val="00C12678"/>
    <w:rsid w:val="00C127B7"/>
    <w:rsid w:val="00C12812"/>
    <w:rsid w:val="00C12A18"/>
    <w:rsid w:val="00C12C2C"/>
    <w:rsid w:val="00C133F9"/>
    <w:rsid w:val="00C134DC"/>
    <w:rsid w:val="00C136E7"/>
    <w:rsid w:val="00C13775"/>
    <w:rsid w:val="00C13798"/>
    <w:rsid w:val="00C13B9A"/>
    <w:rsid w:val="00C13C08"/>
    <w:rsid w:val="00C13C88"/>
    <w:rsid w:val="00C13D9A"/>
    <w:rsid w:val="00C13F81"/>
    <w:rsid w:val="00C13FE5"/>
    <w:rsid w:val="00C1419E"/>
    <w:rsid w:val="00C14744"/>
    <w:rsid w:val="00C14798"/>
    <w:rsid w:val="00C147F5"/>
    <w:rsid w:val="00C148F1"/>
    <w:rsid w:val="00C14D21"/>
    <w:rsid w:val="00C14E73"/>
    <w:rsid w:val="00C1512B"/>
    <w:rsid w:val="00C15612"/>
    <w:rsid w:val="00C15656"/>
    <w:rsid w:val="00C156F8"/>
    <w:rsid w:val="00C158D3"/>
    <w:rsid w:val="00C15BCF"/>
    <w:rsid w:val="00C15D3A"/>
    <w:rsid w:val="00C15D88"/>
    <w:rsid w:val="00C160B3"/>
    <w:rsid w:val="00C161A0"/>
    <w:rsid w:val="00C166D4"/>
    <w:rsid w:val="00C16863"/>
    <w:rsid w:val="00C16A0D"/>
    <w:rsid w:val="00C16AFF"/>
    <w:rsid w:val="00C16B9E"/>
    <w:rsid w:val="00C16D6E"/>
    <w:rsid w:val="00C17480"/>
    <w:rsid w:val="00C174E2"/>
    <w:rsid w:val="00C17529"/>
    <w:rsid w:val="00C17BCE"/>
    <w:rsid w:val="00C17BE5"/>
    <w:rsid w:val="00C17D55"/>
    <w:rsid w:val="00C17DF0"/>
    <w:rsid w:val="00C17FE7"/>
    <w:rsid w:val="00C2014C"/>
    <w:rsid w:val="00C20457"/>
    <w:rsid w:val="00C2064B"/>
    <w:rsid w:val="00C206F8"/>
    <w:rsid w:val="00C2075E"/>
    <w:rsid w:val="00C20C04"/>
    <w:rsid w:val="00C20CD5"/>
    <w:rsid w:val="00C20D5D"/>
    <w:rsid w:val="00C21103"/>
    <w:rsid w:val="00C2116A"/>
    <w:rsid w:val="00C21535"/>
    <w:rsid w:val="00C2167A"/>
    <w:rsid w:val="00C21683"/>
    <w:rsid w:val="00C216FF"/>
    <w:rsid w:val="00C21874"/>
    <w:rsid w:val="00C218B9"/>
    <w:rsid w:val="00C21B74"/>
    <w:rsid w:val="00C21BCD"/>
    <w:rsid w:val="00C21F10"/>
    <w:rsid w:val="00C22544"/>
    <w:rsid w:val="00C225F5"/>
    <w:rsid w:val="00C22601"/>
    <w:rsid w:val="00C22A84"/>
    <w:rsid w:val="00C22BCE"/>
    <w:rsid w:val="00C22BF9"/>
    <w:rsid w:val="00C22F55"/>
    <w:rsid w:val="00C22F59"/>
    <w:rsid w:val="00C23016"/>
    <w:rsid w:val="00C2301C"/>
    <w:rsid w:val="00C23183"/>
    <w:rsid w:val="00C231F4"/>
    <w:rsid w:val="00C23247"/>
    <w:rsid w:val="00C2339E"/>
    <w:rsid w:val="00C234F9"/>
    <w:rsid w:val="00C23B6D"/>
    <w:rsid w:val="00C243B0"/>
    <w:rsid w:val="00C245AA"/>
    <w:rsid w:val="00C2461C"/>
    <w:rsid w:val="00C24646"/>
    <w:rsid w:val="00C2467C"/>
    <w:rsid w:val="00C2474A"/>
    <w:rsid w:val="00C248E4"/>
    <w:rsid w:val="00C24911"/>
    <w:rsid w:val="00C2494C"/>
    <w:rsid w:val="00C24E52"/>
    <w:rsid w:val="00C24FB1"/>
    <w:rsid w:val="00C25058"/>
    <w:rsid w:val="00C25349"/>
    <w:rsid w:val="00C255AD"/>
    <w:rsid w:val="00C25AC2"/>
    <w:rsid w:val="00C25CBE"/>
    <w:rsid w:val="00C25D95"/>
    <w:rsid w:val="00C25E06"/>
    <w:rsid w:val="00C25EBE"/>
    <w:rsid w:val="00C26068"/>
    <w:rsid w:val="00C26154"/>
    <w:rsid w:val="00C26507"/>
    <w:rsid w:val="00C2652A"/>
    <w:rsid w:val="00C26763"/>
    <w:rsid w:val="00C26834"/>
    <w:rsid w:val="00C26904"/>
    <w:rsid w:val="00C26C0F"/>
    <w:rsid w:val="00C26CE0"/>
    <w:rsid w:val="00C26D08"/>
    <w:rsid w:val="00C26E94"/>
    <w:rsid w:val="00C27119"/>
    <w:rsid w:val="00C27199"/>
    <w:rsid w:val="00C27237"/>
    <w:rsid w:val="00C27543"/>
    <w:rsid w:val="00C27A39"/>
    <w:rsid w:val="00C27E66"/>
    <w:rsid w:val="00C3009C"/>
    <w:rsid w:val="00C30470"/>
    <w:rsid w:val="00C306C0"/>
    <w:rsid w:val="00C30BE4"/>
    <w:rsid w:val="00C30CBF"/>
    <w:rsid w:val="00C310FD"/>
    <w:rsid w:val="00C312AD"/>
    <w:rsid w:val="00C312FE"/>
    <w:rsid w:val="00C3153F"/>
    <w:rsid w:val="00C317FE"/>
    <w:rsid w:val="00C31BC0"/>
    <w:rsid w:val="00C31DDA"/>
    <w:rsid w:val="00C31EB7"/>
    <w:rsid w:val="00C3212F"/>
    <w:rsid w:val="00C32174"/>
    <w:rsid w:val="00C32197"/>
    <w:rsid w:val="00C3238B"/>
    <w:rsid w:val="00C32892"/>
    <w:rsid w:val="00C329F4"/>
    <w:rsid w:val="00C32A4E"/>
    <w:rsid w:val="00C32A9F"/>
    <w:rsid w:val="00C32F52"/>
    <w:rsid w:val="00C32FFA"/>
    <w:rsid w:val="00C3320C"/>
    <w:rsid w:val="00C33418"/>
    <w:rsid w:val="00C33442"/>
    <w:rsid w:val="00C33517"/>
    <w:rsid w:val="00C338E5"/>
    <w:rsid w:val="00C33BD7"/>
    <w:rsid w:val="00C33DA7"/>
    <w:rsid w:val="00C33EAD"/>
    <w:rsid w:val="00C34055"/>
    <w:rsid w:val="00C34172"/>
    <w:rsid w:val="00C345C5"/>
    <w:rsid w:val="00C3465D"/>
    <w:rsid w:val="00C34BA9"/>
    <w:rsid w:val="00C34CEC"/>
    <w:rsid w:val="00C3518C"/>
    <w:rsid w:val="00C354EF"/>
    <w:rsid w:val="00C3550A"/>
    <w:rsid w:val="00C35968"/>
    <w:rsid w:val="00C35A1A"/>
    <w:rsid w:val="00C35B02"/>
    <w:rsid w:val="00C35BB7"/>
    <w:rsid w:val="00C35BC2"/>
    <w:rsid w:val="00C361CD"/>
    <w:rsid w:val="00C36471"/>
    <w:rsid w:val="00C3665F"/>
    <w:rsid w:val="00C36674"/>
    <w:rsid w:val="00C36710"/>
    <w:rsid w:val="00C36895"/>
    <w:rsid w:val="00C368F8"/>
    <w:rsid w:val="00C369E5"/>
    <w:rsid w:val="00C36A49"/>
    <w:rsid w:val="00C36C41"/>
    <w:rsid w:val="00C37728"/>
    <w:rsid w:val="00C37A2A"/>
    <w:rsid w:val="00C37E63"/>
    <w:rsid w:val="00C40053"/>
    <w:rsid w:val="00C401EC"/>
    <w:rsid w:val="00C4026A"/>
    <w:rsid w:val="00C404AC"/>
    <w:rsid w:val="00C404E1"/>
    <w:rsid w:val="00C40717"/>
    <w:rsid w:val="00C40C10"/>
    <w:rsid w:val="00C40C6F"/>
    <w:rsid w:val="00C40D61"/>
    <w:rsid w:val="00C40F35"/>
    <w:rsid w:val="00C4120C"/>
    <w:rsid w:val="00C4141B"/>
    <w:rsid w:val="00C41618"/>
    <w:rsid w:val="00C418EB"/>
    <w:rsid w:val="00C41B81"/>
    <w:rsid w:val="00C41C49"/>
    <w:rsid w:val="00C41CE3"/>
    <w:rsid w:val="00C41D6A"/>
    <w:rsid w:val="00C41DC4"/>
    <w:rsid w:val="00C41E94"/>
    <w:rsid w:val="00C42122"/>
    <w:rsid w:val="00C4217D"/>
    <w:rsid w:val="00C421DB"/>
    <w:rsid w:val="00C4243B"/>
    <w:rsid w:val="00C4259D"/>
    <w:rsid w:val="00C42735"/>
    <w:rsid w:val="00C42783"/>
    <w:rsid w:val="00C42813"/>
    <w:rsid w:val="00C42F12"/>
    <w:rsid w:val="00C43091"/>
    <w:rsid w:val="00C431D7"/>
    <w:rsid w:val="00C435B4"/>
    <w:rsid w:val="00C436CC"/>
    <w:rsid w:val="00C436FD"/>
    <w:rsid w:val="00C43745"/>
    <w:rsid w:val="00C437B0"/>
    <w:rsid w:val="00C43AEA"/>
    <w:rsid w:val="00C43B09"/>
    <w:rsid w:val="00C43C83"/>
    <w:rsid w:val="00C43CB5"/>
    <w:rsid w:val="00C4401A"/>
    <w:rsid w:val="00C44099"/>
    <w:rsid w:val="00C441E8"/>
    <w:rsid w:val="00C44306"/>
    <w:rsid w:val="00C444EE"/>
    <w:rsid w:val="00C447BD"/>
    <w:rsid w:val="00C44877"/>
    <w:rsid w:val="00C44E49"/>
    <w:rsid w:val="00C44E52"/>
    <w:rsid w:val="00C44ECD"/>
    <w:rsid w:val="00C44F80"/>
    <w:rsid w:val="00C44FBD"/>
    <w:rsid w:val="00C450A9"/>
    <w:rsid w:val="00C45233"/>
    <w:rsid w:val="00C45305"/>
    <w:rsid w:val="00C456B4"/>
    <w:rsid w:val="00C45881"/>
    <w:rsid w:val="00C45B6E"/>
    <w:rsid w:val="00C45DBF"/>
    <w:rsid w:val="00C45DF7"/>
    <w:rsid w:val="00C45E7F"/>
    <w:rsid w:val="00C45ED3"/>
    <w:rsid w:val="00C45FD8"/>
    <w:rsid w:val="00C4611E"/>
    <w:rsid w:val="00C46783"/>
    <w:rsid w:val="00C469B9"/>
    <w:rsid w:val="00C47450"/>
    <w:rsid w:val="00C474DF"/>
    <w:rsid w:val="00C47571"/>
    <w:rsid w:val="00C47699"/>
    <w:rsid w:val="00C476BC"/>
    <w:rsid w:val="00C477BA"/>
    <w:rsid w:val="00C47B5A"/>
    <w:rsid w:val="00C47D14"/>
    <w:rsid w:val="00C47D3B"/>
    <w:rsid w:val="00C47D87"/>
    <w:rsid w:val="00C50200"/>
    <w:rsid w:val="00C504A7"/>
    <w:rsid w:val="00C508DD"/>
    <w:rsid w:val="00C5098A"/>
    <w:rsid w:val="00C50A0D"/>
    <w:rsid w:val="00C50B46"/>
    <w:rsid w:val="00C50B65"/>
    <w:rsid w:val="00C50CEE"/>
    <w:rsid w:val="00C50D76"/>
    <w:rsid w:val="00C50DD1"/>
    <w:rsid w:val="00C512D4"/>
    <w:rsid w:val="00C51615"/>
    <w:rsid w:val="00C5183C"/>
    <w:rsid w:val="00C51891"/>
    <w:rsid w:val="00C51D84"/>
    <w:rsid w:val="00C51F3C"/>
    <w:rsid w:val="00C520FC"/>
    <w:rsid w:val="00C521D5"/>
    <w:rsid w:val="00C5233E"/>
    <w:rsid w:val="00C52443"/>
    <w:rsid w:val="00C52534"/>
    <w:rsid w:val="00C52568"/>
    <w:rsid w:val="00C52739"/>
    <w:rsid w:val="00C5284A"/>
    <w:rsid w:val="00C52950"/>
    <w:rsid w:val="00C52B66"/>
    <w:rsid w:val="00C52BDD"/>
    <w:rsid w:val="00C52E3F"/>
    <w:rsid w:val="00C52E5C"/>
    <w:rsid w:val="00C52E7B"/>
    <w:rsid w:val="00C52EEF"/>
    <w:rsid w:val="00C52F3D"/>
    <w:rsid w:val="00C539FE"/>
    <w:rsid w:val="00C54042"/>
    <w:rsid w:val="00C544C1"/>
    <w:rsid w:val="00C5453D"/>
    <w:rsid w:val="00C5462F"/>
    <w:rsid w:val="00C546EC"/>
    <w:rsid w:val="00C547EE"/>
    <w:rsid w:val="00C54A99"/>
    <w:rsid w:val="00C54CB4"/>
    <w:rsid w:val="00C54DD7"/>
    <w:rsid w:val="00C54EAC"/>
    <w:rsid w:val="00C5504F"/>
    <w:rsid w:val="00C5523A"/>
    <w:rsid w:val="00C558A1"/>
    <w:rsid w:val="00C55C77"/>
    <w:rsid w:val="00C55DDB"/>
    <w:rsid w:val="00C55ED6"/>
    <w:rsid w:val="00C55F61"/>
    <w:rsid w:val="00C56174"/>
    <w:rsid w:val="00C56798"/>
    <w:rsid w:val="00C5679C"/>
    <w:rsid w:val="00C5695B"/>
    <w:rsid w:val="00C56A48"/>
    <w:rsid w:val="00C56B9E"/>
    <w:rsid w:val="00C56C00"/>
    <w:rsid w:val="00C56FAF"/>
    <w:rsid w:val="00C57963"/>
    <w:rsid w:val="00C57B35"/>
    <w:rsid w:val="00C57E02"/>
    <w:rsid w:val="00C57FB9"/>
    <w:rsid w:val="00C605A6"/>
    <w:rsid w:val="00C606F3"/>
    <w:rsid w:val="00C609FA"/>
    <w:rsid w:val="00C60B22"/>
    <w:rsid w:val="00C60B7B"/>
    <w:rsid w:val="00C60BF5"/>
    <w:rsid w:val="00C60C07"/>
    <w:rsid w:val="00C61020"/>
    <w:rsid w:val="00C61167"/>
    <w:rsid w:val="00C611D3"/>
    <w:rsid w:val="00C61398"/>
    <w:rsid w:val="00C61518"/>
    <w:rsid w:val="00C61668"/>
    <w:rsid w:val="00C61826"/>
    <w:rsid w:val="00C61DF7"/>
    <w:rsid w:val="00C6213B"/>
    <w:rsid w:val="00C622EB"/>
    <w:rsid w:val="00C623DD"/>
    <w:rsid w:val="00C624CC"/>
    <w:rsid w:val="00C62849"/>
    <w:rsid w:val="00C6284A"/>
    <w:rsid w:val="00C62857"/>
    <w:rsid w:val="00C62A8C"/>
    <w:rsid w:val="00C632B0"/>
    <w:rsid w:val="00C63325"/>
    <w:rsid w:val="00C633A6"/>
    <w:rsid w:val="00C635BF"/>
    <w:rsid w:val="00C63629"/>
    <w:rsid w:val="00C63770"/>
    <w:rsid w:val="00C63D31"/>
    <w:rsid w:val="00C63D4E"/>
    <w:rsid w:val="00C63D84"/>
    <w:rsid w:val="00C640F5"/>
    <w:rsid w:val="00C64140"/>
    <w:rsid w:val="00C64171"/>
    <w:rsid w:val="00C64292"/>
    <w:rsid w:val="00C644D1"/>
    <w:rsid w:val="00C6451F"/>
    <w:rsid w:val="00C64539"/>
    <w:rsid w:val="00C64543"/>
    <w:rsid w:val="00C64800"/>
    <w:rsid w:val="00C64F11"/>
    <w:rsid w:val="00C65174"/>
    <w:rsid w:val="00C6558A"/>
    <w:rsid w:val="00C65636"/>
    <w:rsid w:val="00C6584E"/>
    <w:rsid w:val="00C65908"/>
    <w:rsid w:val="00C65C4A"/>
    <w:rsid w:val="00C65E63"/>
    <w:rsid w:val="00C65F4E"/>
    <w:rsid w:val="00C66254"/>
    <w:rsid w:val="00C66356"/>
    <w:rsid w:val="00C664E4"/>
    <w:rsid w:val="00C6675C"/>
    <w:rsid w:val="00C66804"/>
    <w:rsid w:val="00C668BF"/>
    <w:rsid w:val="00C66C7D"/>
    <w:rsid w:val="00C67028"/>
    <w:rsid w:val="00C671EC"/>
    <w:rsid w:val="00C67492"/>
    <w:rsid w:val="00C675F6"/>
    <w:rsid w:val="00C676AC"/>
    <w:rsid w:val="00C677A5"/>
    <w:rsid w:val="00C67851"/>
    <w:rsid w:val="00C679D0"/>
    <w:rsid w:val="00C679F4"/>
    <w:rsid w:val="00C67C19"/>
    <w:rsid w:val="00C7007D"/>
    <w:rsid w:val="00C7017B"/>
    <w:rsid w:val="00C707CF"/>
    <w:rsid w:val="00C70904"/>
    <w:rsid w:val="00C70A57"/>
    <w:rsid w:val="00C70C48"/>
    <w:rsid w:val="00C70F55"/>
    <w:rsid w:val="00C7113D"/>
    <w:rsid w:val="00C713D3"/>
    <w:rsid w:val="00C71453"/>
    <w:rsid w:val="00C71760"/>
    <w:rsid w:val="00C717C6"/>
    <w:rsid w:val="00C71884"/>
    <w:rsid w:val="00C718BA"/>
    <w:rsid w:val="00C71966"/>
    <w:rsid w:val="00C71C6E"/>
    <w:rsid w:val="00C71DF9"/>
    <w:rsid w:val="00C71F2D"/>
    <w:rsid w:val="00C723AC"/>
    <w:rsid w:val="00C725A5"/>
    <w:rsid w:val="00C728E1"/>
    <w:rsid w:val="00C72D61"/>
    <w:rsid w:val="00C72EEE"/>
    <w:rsid w:val="00C73041"/>
    <w:rsid w:val="00C731D7"/>
    <w:rsid w:val="00C73761"/>
    <w:rsid w:val="00C738F3"/>
    <w:rsid w:val="00C739E5"/>
    <w:rsid w:val="00C73B37"/>
    <w:rsid w:val="00C74130"/>
    <w:rsid w:val="00C74288"/>
    <w:rsid w:val="00C7428B"/>
    <w:rsid w:val="00C7445C"/>
    <w:rsid w:val="00C744D6"/>
    <w:rsid w:val="00C744F2"/>
    <w:rsid w:val="00C7524B"/>
    <w:rsid w:val="00C75260"/>
    <w:rsid w:val="00C7526B"/>
    <w:rsid w:val="00C752C9"/>
    <w:rsid w:val="00C75413"/>
    <w:rsid w:val="00C7546F"/>
    <w:rsid w:val="00C75484"/>
    <w:rsid w:val="00C7573E"/>
    <w:rsid w:val="00C75978"/>
    <w:rsid w:val="00C75BD3"/>
    <w:rsid w:val="00C75BE4"/>
    <w:rsid w:val="00C75E8A"/>
    <w:rsid w:val="00C75F9E"/>
    <w:rsid w:val="00C762F8"/>
    <w:rsid w:val="00C7638B"/>
    <w:rsid w:val="00C769EC"/>
    <w:rsid w:val="00C76F92"/>
    <w:rsid w:val="00C7729C"/>
    <w:rsid w:val="00C772FA"/>
    <w:rsid w:val="00C7742F"/>
    <w:rsid w:val="00C77434"/>
    <w:rsid w:val="00C77639"/>
    <w:rsid w:val="00C77705"/>
    <w:rsid w:val="00C778A0"/>
    <w:rsid w:val="00C77EC8"/>
    <w:rsid w:val="00C8000F"/>
    <w:rsid w:val="00C80299"/>
    <w:rsid w:val="00C803A7"/>
    <w:rsid w:val="00C80733"/>
    <w:rsid w:val="00C80885"/>
    <w:rsid w:val="00C80917"/>
    <w:rsid w:val="00C80F06"/>
    <w:rsid w:val="00C80F8F"/>
    <w:rsid w:val="00C80F90"/>
    <w:rsid w:val="00C80FD1"/>
    <w:rsid w:val="00C81241"/>
    <w:rsid w:val="00C813A1"/>
    <w:rsid w:val="00C813F0"/>
    <w:rsid w:val="00C817B9"/>
    <w:rsid w:val="00C81910"/>
    <w:rsid w:val="00C81C38"/>
    <w:rsid w:val="00C81F82"/>
    <w:rsid w:val="00C81F98"/>
    <w:rsid w:val="00C82098"/>
    <w:rsid w:val="00C823AA"/>
    <w:rsid w:val="00C82541"/>
    <w:rsid w:val="00C82990"/>
    <w:rsid w:val="00C82B54"/>
    <w:rsid w:val="00C82CEC"/>
    <w:rsid w:val="00C82E44"/>
    <w:rsid w:val="00C82F17"/>
    <w:rsid w:val="00C83061"/>
    <w:rsid w:val="00C8327C"/>
    <w:rsid w:val="00C832A3"/>
    <w:rsid w:val="00C836AF"/>
    <w:rsid w:val="00C83902"/>
    <w:rsid w:val="00C83AEB"/>
    <w:rsid w:val="00C83B42"/>
    <w:rsid w:val="00C83D07"/>
    <w:rsid w:val="00C83E5D"/>
    <w:rsid w:val="00C83ED4"/>
    <w:rsid w:val="00C83FEE"/>
    <w:rsid w:val="00C84029"/>
    <w:rsid w:val="00C84065"/>
    <w:rsid w:val="00C8406A"/>
    <w:rsid w:val="00C844AC"/>
    <w:rsid w:val="00C845FC"/>
    <w:rsid w:val="00C847E7"/>
    <w:rsid w:val="00C848DB"/>
    <w:rsid w:val="00C8500A"/>
    <w:rsid w:val="00C8526C"/>
    <w:rsid w:val="00C8528D"/>
    <w:rsid w:val="00C8540C"/>
    <w:rsid w:val="00C8542A"/>
    <w:rsid w:val="00C85558"/>
    <w:rsid w:val="00C85757"/>
    <w:rsid w:val="00C85842"/>
    <w:rsid w:val="00C85929"/>
    <w:rsid w:val="00C85AAB"/>
    <w:rsid w:val="00C85BA4"/>
    <w:rsid w:val="00C85E56"/>
    <w:rsid w:val="00C85E87"/>
    <w:rsid w:val="00C860CB"/>
    <w:rsid w:val="00C860E8"/>
    <w:rsid w:val="00C8614C"/>
    <w:rsid w:val="00C861F1"/>
    <w:rsid w:val="00C86341"/>
    <w:rsid w:val="00C86745"/>
    <w:rsid w:val="00C867DE"/>
    <w:rsid w:val="00C86A91"/>
    <w:rsid w:val="00C8734F"/>
    <w:rsid w:val="00C873AF"/>
    <w:rsid w:val="00C879C0"/>
    <w:rsid w:val="00C87A05"/>
    <w:rsid w:val="00C87D56"/>
    <w:rsid w:val="00C87DF4"/>
    <w:rsid w:val="00C90205"/>
    <w:rsid w:val="00C905F7"/>
    <w:rsid w:val="00C906DD"/>
    <w:rsid w:val="00C90734"/>
    <w:rsid w:val="00C907DF"/>
    <w:rsid w:val="00C90D0F"/>
    <w:rsid w:val="00C9103D"/>
    <w:rsid w:val="00C9140C"/>
    <w:rsid w:val="00C91603"/>
    <w:rsid w:val="00C91E5E"/>
    <w:rsid w:val="00C92234"/>
    <w:rsid w:val="00C922A8"/>
    <w:rsid w:val="00C922D0"/>
    <w:rsid w:val="00C92455"/>
    <w:rsid w:val="00C924E3"/>
    <w:rsid w:val="00C9257A"/>
    <w:rsid w:val="00C9287F"/>
    <w:rsid w:val="00C92A5A"/>
    <w:rsid w:val="00C92A95"/>
    <w:rsid w:val="00C92B09"/>
    <w:rsid w:val="00C92B6D"/>
    <w:rsid w:val="00C92DD8"/>
    <w:rsid w:val="00C9323A"/>
    <w:rsid w:val="00C9365C"/>
    <w:rsid w:val="00C9379D"/>
    <w:rsid w:val="00C937D3"/>
    <w:rsid w:val="00C93B12"/>
    <w:rsid w:val="00C93CD4"/>
    <w:rsid w:val="00C93CEF"/>
    <w:rsid w:val="00C93F33"/>
    <w:rsid w:val="00C9408C"/>
    <w:rsid w:val="00C94364"/>
    <w:rsid w:val="00C943B0"/>
    <w:rsid w:val="00C94563"/>
    <w:rsid w:val="00C9480F"/>
    <w:rsid w:val="00C94A22"/>
    <w:rsid w:val="00C94A8C"/>
    <w:rsid w:val="00C94C69"/>
    <w:rsid w:val="00C94C87"/>
    <w:rsid w:val="00C94CE4"/>
    <w:rsid w:val="00C94D17"/>
    <w:rsid w:val="00C94DED"/>
    <w:rsid w:val="00C95415"/>
    <w:rsid w:val="00C9590A"/>
    <w:rsid w:val="00C95A9B"/>
    <w:rsid w:val="00C95E16"/>
    <w:rsid w:val="00C95EE7"/>
    <w:rsid w:val="00C95F7C"/>
    <w:rsid w:val="00C960DF"/>
    <w:rsid w:val="00C96361"/>
    <w:rsid w:val="00C963E8"/>
    <w:rsid w:val="00C963F7"/>
    <w:rsid w:val="00C9656F"/>
    <w:rsid w:val="00C966AC"/>
    <w:rsid w:val="00C96D0F"/>
    <w:rsid w:val="00C96E29"/>
    <w:rsid w:val="00C96E8B"/>
    <w:rsid w:val="00C96F23"/>
    <w:rsid w:val="00C96F8B"/>
    <w:rsid w:val="00C97026"/>
    <w:rsid w:val="00C971FB"/>
    <w:rsid w:val="00C975FB"/>
    <w:rsid w:val="00C9779B"/>
    <w:rsid w:val="00C9791E"/>
    <w:rsid w:val="00C97A5E"/>
    <w:rsid w:val="00C97A71"/>
    <w:rsid w:val="00CA0130"/>
    <w:rsid w:val="00CA043A"/>
    <w:rsid w:val="00CA0451"/>
    <w:rsid w:val="00CA0593"/>
    <w:rsid w:val="00CA05F5"/>
    <w:rsid w:val="00CA0895"/>
    <w:rsid w:val="00CA0989"/>
    <w:rsid w:val="00CA0A53"/>
    <w:rsid w:val="00CA0D4B"/>
    <w:rsid w:val="00CA0DE4"/>
    <w:rsid w:val="00CA12B4"/>
    <w:rsid w:val="00CA12E4"/>
    <w:rsid w:val="00CA13A3"/>
    <w:rsid w:val="00CA1500"/>
    <w:rsid w:val="00CA1640"/>
    <w:rsid w:val="00CA18D2"/>
    <w:rsid w:val="00CA1953"/>
    <w:rsid w:val="00CA1AFA"/>
    <w:rsid w:val="00CA1B9C"/>
    <w:rsid w:val="00CA20A8"/>
    <w:rsid w:val="00CA20B1"/>
    <w:rsid w:val="00CA227E"/>
    <w:rsid w:val="00CA2348"/>
    <w:rsid w:val="00CA2398"/>
    <w:rsid w:val="00CA25E7"/>
    <w:rsid w:val="00CA278F"/>
    <w:rsid w:val="00CA27D1"/>
    <w:rsid w:val="00CA312E"/>
    <w:rsid w:val="00CA3281"/>
    <w:rsid w:val="00CA3338"/>
    <w:rsid w:val="00CA3347"/>
    <w:rsid w:val="00CA3555"/>
    <w:rsid w:val="00CA35BC"/>
    <w:rsid w:val="00CA3891"/>
    <w:rsid w:val="00CA3967"/>
    <w:rsid w:val="00CA3AEA"/>
    <w:rsid w:val="00CA3FE7"/>
    <w:rsid w:val="00CA41CA"/>
    <w:rsid w:val="00CA422A"/>
    <w:rsid w:val="00CA443B"/>
    <w:rsid w:val="00CA4499"/>
    <w:rsid w:val="00CA46DE"/>
    <w:rsid w:val="00CA48DE"/>
    <w:rsid w:val="00CA4938"/>
    <w:rsid w:val="00CA49A5"/>
    <w:rsid w:val="00CA4C77"/>
    <w:rsid w:val="00CA4D25"/>
    <w:rsid w:val="00CA4D3C"/>
    <w:rsid w:val="00CA4FA1"/>
    <w:rsid w:val="00CA506F"/>
    <w:rsid w:val="00CA50B4"/>
    <w:rsid w:val="00CA50DE"/>
    <w:rsid w:val="00CA52A5"/>
    <w:rsid w:val="00CA5433"/>
    <w:rsid w:val="00CA54A0"/>
    <w:rsid w:val="00CA5BD5"/>
    <w:rsid w:val="00CA5C1E"/>
    <w:rsid w:val="00CA5EB8"/>
    <w:rsid w:val="00CA6022"/>
    <w:rsid w:val="00CA62EF"/>
    <w:rsid w:val="00CA6384"/>
    <w:rsid w:val="00CA64FD"/>
    <w:rsid w:val="00CA672E"/>
    <w:rsid w:val="00CA6E1D"/>
    <w:rsid w:val="00CA7158"/>
    <w:rsid w:val="00CA7177"/>
    <w:rsid w:val="00CA737A"/>
    <w:rsid w:val="00CA752A"/>
    <w:rsid w:val="00CA79EF"/>
    <w:rsid w:val="00CA7B5D"/>
    <w:rsid w:val="00CA7B9D"/>
    <w:rsid w:val="00CA7C91"/>
    <w:rsid w:val="00CA7D7C"/>
    <w:rsid w:val="00CA7F19"/>
    <w:rsid w:val="00CB0129"/>
    <w:rsid w:val="00CB0223"/>
    <w:rsid w:val="00CB0276"/>
    <w:rsid w:val="00CB0400"/>
    <w:rsid w:val="00CB0701"/>
    <w:rsid w:val="00CB079E"/>
    <w:rsid w:val="00CB0839"/>
    <w:rsid w:val="00CB0B50"/>
    <w:rsid w:val="00CB0C12"/>
    <w:rsid w:val="00CB0EFD"/>
    <w:rsid w:val="00CB0F77"/>
    <w:rsid w:val="00CB101A"/>
    <w:rsid w:val="00CB178B"/>
    <w:rsid w:val="00CB1AD9"/>
    <w:rsid w:val="00CB1B5F"/>
    <w:rsid w:val="00CB1B74"/>
    <w:rsid w:val="00CB1DF7"/>
    <w:rsid w:val="00CB1F19"/>
    <w:rsid w:val="00CB1FF5"/>
    <w:rsid w:val="00CB20AD"/>
    <w:rsid w:val="00CB216F"/>
    <w:rsid w:val="00CB22C8"/>
    <w:rsid w:val="00CB286D"/>
    <w:rsid w:val="00CB2D3C"/>
    <w:rsid w:val="00CB2D55"/>
    <w:rsid w:val="00CB2E5B"/>
    <w:rsid w:val="00CB31EF"/>
    <w:rsid w:val="00CB36EF"/>
    <w:rsid w:val="00CB381B"/>
    <w:rsid w:val="00CB3A67"/>
    <w:rsid w:val="00CB3AF0"/>
    <w:rsid w:val="00CB3D34"/>
    <w:rsid w:val="00CB3D4A"/>
    <w:rsid w:val="00CB3DD0"/>
    <w:rsid w:val="00CB3EF2"/>
    <w:rsid w:val="00CB4417"/>
    <w:rsid w:val="00CB44F6"/>
    <w:rsid w:val="00CB4752"/>
    <w:rsid w:val="00CB4829"/>
    <w:rsid w:val="00CB4CA8"/>
    <w:rsid w:val="00CB4F63"/>
    <w:rsid w:val="00CB526E"/>
    <w:rsid w:val="00CB5285"/>
    <w:rsid w:val="00CB583D"/>
    <w:rsid w:val="00CB58FB"/>
    <w:rsid w:val="00CB5C9D"/>
    <w:rsid w:val="00CB5FCD"/>
    <w:rsid w:val="00CB632F"/>
    <w:rsid w:val="00CB65AE"/>
    <w:rsid w:val="00CB65BE"/>
    <w:rsid w:val="00CB6771"/>
    <w:rsid w:val="00CB6AF4"/>
    <w:rsid w:val="00CB6B8D"/>
    <w:rsid w:val="00CB6CC2"/>
    <w:rsid w:val="00CB6D45"/>
    <w:rsid w:val="00CB6F7F"/>
    <w:rsid w:val="00CB6F85"/>
    <w:rsid w:val="00CB7451"/>
    <w:rsid w:val="00CB7506"/>
    <w:rsid w:val="00CB754B"/>
    <w:rsid w:val="00CB75A9"/>
    <w:rsid w:val="00CB7A69"/>
    <w:rsid w:val="00CB7E12"/>
    <w:rsid w:val="00CB7EDE"/>
    <w:rsid w:val="00CB7EE4"/>
    <w:rsid w:val="00CC007E"/>
    <w:rsid w:val="00CC02A0"/>
    <w:rsid w:val="00CC0446"/>
    <w:rsid w:val="00CC058D"/>
    <w:rsid w:val="00CC07F0"/>
    <w:rsid w:val="00CC0997"/>
    <w:rsid w:val="00CC0ACD"/>
    <w:rsid w:val="00CC0C5D"/>
    <w:rsid w:val="00CC0C92"/>
    <w:rsid w:val="00CC0D32"/>
    <w:rsid w:val="00CC121C"/>
    <w:rsid w:val="00CC12DB"/>
    <w:rsid w:val="00CC135B"/>
    <w:rsid w:val="00CC13B2"/>
    <w:rsid w:val="00CC1800"/>
    <w:rsid w:val="00CC1A99"/>
    <w:rsid w:val="00CC1BD4"/>
    <w:rsid w:val="00CC1DEF"/>
    <w:rsid w:val="00CC1F03"/>
    <w:rsid w:val="00CC1F9A"/>
    <w:rsid w:val="00CC1FA4"/>
    <w:rsid w:val="00CC1FEA"/>
    <w:rsid w:val="00CC21C0"/>
    <w:rsid w:val="00CC2737"/>
    <w:rsid w:val="00CC2A05"/>
    <w:rsid w:val="00CC2A5F"/>
    <w:rsid w:val="00CC2C3A"/>
    <w:rsid w:val="00CC2EFC"/>
    <w:rsid w:val="00CC2F03"/>
    <w:rsid w:val="00CC2F3D"/>
    <w:rsid w:val="00CC312B"/>
    <w:rsid w:val="00CC3277"/>
    <w:rsid w:val="00CC337D"/>
    <w:rsid w:val="00CC3496"/>
    <w:rsid w:val="00CC3518"/>
    <w:rsid w:val="00CC399B"/>
    <w:rsid w:val="00CC39DD"/>
    <w:rsid w:val="00CC3DCD"/>
    <w:rsid w:val="00CC3F2E"/>
    <w:rsid w:val="00CC404B"/>
    <w:rsid w:val="00CC4187"/>
    <w:rsid w:val="00CC42DA"/>
    <w:rsid w:val="00CC43CE"/>
    <w:rsid w:val="00CC4434"/>
    <w:rsid w:val="00CC49B3"/>
    <w:rsid w:val="00CC4B39"/>
    <w:rsid w:val="00CC4C24"/>
    <w:rsid w:val="00CC4E4F"/>
    <w:rsid w:val="00CC5117"/>
    <w:rsid w:val="00CC53CE"/>
    <w:rsid w:val="00CC56A6"/>
    <w:rsid w:val="00CC5802"/>
    <w:rsid w:val="00CC5911"/>
    <w:rsid w:val="00CC5953"/>
    <w:rsid w:val="00CC5B12"/>
    <w:rsid w:val="00CC5E10"/>
    <w:rsid w:val="00CC6099"/>
    <w:rsid w:val="00CC61DE"/>
    <w:rsid w:val="00CC6207"/>
    <w:rsid w:val="00CC640F"/>
    <w:rsid w:val="00CC6496"/>
    <w:rsid w:val="00CC693E"/>
    <w:rsid w:val="00CC69E8"/>
    <w:rsid w:val="00CC6B54"/>
    <w:rsid w:val="00CC6F81"/>
    <w:rsid w:val="00CC753C"/>
    <w:rsid w:val="00CC7652"/>
    <w:rsid w:val="00CC78C4"/>
    <w:rsid w:val="00CC7A10"/>
    <w:rsid w:val="00CC7A7C"/>
    <w:rsid w:val="00CC7B8A"/>
    <w:rsid w:val="00CC7BE9"/>
    <w:rsid w:val="00CC7CD6"/>
    <w:rsid w:val="00CC7D4F"/>
    <w:rsid w:val="00CC7F9B"/>
    <w:rsid w:val="00CD0028"/>
    <w:rsid w:val="00CD023E"/>
    <w:rsid w:val="00CD044A"/>
    <w:rsid w:val="00CD0827"/>
    <w:rsid w:val="00CD0E35"/>
    <w:rsid w:val="00CD0EF4"/>
    <w:rsid w:val="00CD0F95"/>
    <w:rsid w:val="00CD11CA"/>
    <w:rsid w:val="00CD174C"/>
    <w:rsid w:val="00CD1A1D"/>
    <w:rsid w:val="00CD1D9B"/>
    <w:rsid w:val="00CD20C5"/>
    <w:rsid w:val="00CD256D"/>
    <w:rsid w:val="00CD2628"/>
    <w:rsid w:val="00CD2662"/>
    <w:rsid w:val="00CD29DF"/>
    <w:rsid w:val="00CD2C3E"/>
    <w:rsid w:val="00CD2ED6"/>
    <w:rsid w:val="00CD2F42"/>
    <w:rsid w:val="00CD2FCD"/>
    <w:rsid w:val="00CD2FED"/>
    <w:rsid w:val="00CD2FF2"/>
    <w:rsid w:val="00CD3002"/>
    <w:rsid w:val="00CD30D4"/>
    <w:rsid w:val="00CD32BD"/>
    <w:rsid w:val="00CD338F"/>
    <w:rsid w:val="00CD3412"/>
    <w:rsid w:val="00CD341C"/>
    <w:rsid w:val="00CD362D"/>
    <w:rsid w:val="00CD38EF"/>
    <w:rsid w:val="00CD39FC"/>
    <w:rsid w:val="00CD3B48"/>
    <w:rsid w:val="00CD3D3F"/>
    <w:rsid w:val="00CD436F"/>
    <w:rsid w:val="00CD4385"/>
    <w:rsid w:val="00CD439C"/>
    <w:rsid w:val="00CD440C"/>
    <w:rsid w:val="00CD446B"/>
    <w:rsid w:val="00CD4754"/>
    <w:rsid w:val="00CD49B4"/>
    <w:rsid w:val="00CD54A4"/>
    <w:rsid w:val="00CD54C8"/>
    <w:rsid w:val="00CD55E4"/>
    <w:rsid w:val="00CD5673"/>
    <w:rsid w:val="00CD5FBD"/>
    <w:rsid w:val="00CD607E"/>
    <w:rsid w:val="00CD629C"/>
    <w:rsid w:val="00CD62FF"/>
    <w:rsid w:val="00CD6B29"/>
    <w:rsid w:val="00CD7268"/>
    <w:rsid w:val="00CD73B4"/>
    <w:rsid w:val="00CD7773"/>
    <w:rsid w:val="00CD7BF7"/>
    <w:rsid w:val="00CD7E44"/>
    <w:rsid w:val="00CD7E95"/>
    <w:rsid w:val="00CE04DB"/>
    <w:rsid w:val="00CE059A"/>
    <w:rsid w:val="00CE080E"/>
    <w:rsid w:val="00CE0D7B"/>
    <w:rsid w:val="00CE0F4E"/>
    <w:rsid w:val="00CE16B7"/>
    <w:rsid w:val="00CE190B"/>
    <w:rsid w:val="00CE193A"/>
    <w:rsid w:val="00CE1C28"/>
    <w:rsid w:val="00CE1D51"/>
    <w:rsid w:val="00CE24A9"/>
    <w:rsid w:val="00CE24F8"/>
    <w:rsid w:val="00CE26A0"/>
    <w:rsid w:val="00CE2A79"/>
    <w:rsid w:val="00CE2DC4"/>
    <w:rsid w:val="00CE2EB5"/>
    <w:rsid w:val="00CE3599"/>
    <w:rsid w:val="00CE363E"/>
    <w:rsid w:val="00CE3789"/>
    <w:rsid w:val="00CE379E"/>
    <w:rsid w:val="00CE37A5"/>
    <w:rsid w:val="00CE3978"/>
    <w:rsid w:val="00CE3B43"/>
    <w:rsid w:val="00CE3D87"/>
    <w:rsid w:val="00CE3DA8"/>
    <w:rsid w:val="00CE4143"/>
    <w:rsid w:val="00CE43BE"/>
    <w:rsid w:val="00CE449A"/>
    <w:rsid w:val="00CE46E0"/>
    <w:rsid w:val="00CE4824"/>
    <w:rsid w:val="00CE4A15"/>
    <w:rsid w:val="00CE4C21"/>
    <w:rsid w:val="00CE4DA2"/>
    <w:rsid w:val="00CE50DF"/>
    <w:rsid w:val="00CE516D"/>
    <w:rsid w:val="00CE5503"/>
    <w:rsid w:val="00CE5ABB"/>
    <w:rsid w:val="00CE5ADD"/>
    <w:rsid w:val="00CE5BFF"/>
    <w:rsid w:val="00CE5C95"/>
    <w:rsid w:val="00CE5DA1"/>
    <w:rsid w:val="00CE5EB8"/>
    <w:rsid w:val="00CE5FF0"/>
    <w:rsid w:val="00CE615A"/>
    <w:rsid w:val="00CE61D5"/>
    <w:rsid w:val="00CE62C3"/>
    <w:rsid w:val="00CE6445"/>
    <w:rsid w:val="00CE65E4"/>
    <w:rsid w:val="00CE6A31"/>
    <w:rsid w:val="00CE6D49"/>
    <w:rsid w:val="00CE71B9"/>
    <w:rsid w:val="00CE72FD"/>
    <w:rsid w:val="00CE7388"/>
    <w:rsid w:val="00CE74A2"/>
    <w:rsid w:val="00CE75C3"/>
    <w:rsid w:val="00CE778E"/>
    <w:rsid w:val="00CE7BCC"/>
    <w:rsid w:val="00CE7F5E"/>
    <w:rsid w:val="00CF0043"/>
    <w:rsid w:val="00CF0624"/>
    <w:rsid w:val="00CF07FF"/>
    <w:rsid w:val="00CF0879"/>
    <w:rsid w:val="00CF0950"/>
    <w:rsid w:val="00CF0ADD"/>
    <w:rsid w:val="00CF0E8A"/>
    <w:rsid w:val="00CF0F28"/>
    <w:rsid w:val="00CF0F94"/>
    <w:rsid w:val="00CF139A"/>
    <w:rsid w:val="00CF1A80"/>
    <w:rsid w:val="00CF21A4"/>
    <w:rsid w:val="00CF2444"/>
    <w:rsid w:val="00CF2637"/>
    <w:rsid w:val="00CF29F8"/>
    <w:rsid w:val="00CF2C8D"/>
    <w:rsid w:val="00CF2DC6"/>
    <w:rsid w:val="00CF2E87"/>
    <w:rsid w:val="00CF3032"/>
    <w:rsid w:val="00CF30A8"/>
    <w:rsid w:val="00CF35F8"/>
    <w:rsid w:val="00CF3737"/>
    <w:rsid w:val="00CF380D"/>
    <w:rsid w:val="00CF3DB6"/>
    <w:rsid w:val="00CF419E"/>
    <w:rsid w:val="00CF4224"/>
    <w:rsid w:val="00CF4285"/>
    <w:rsid w:val="00CF4563"/>
    <w:rsid w:val="00CF469F"/>
    <w:rsid w:val="00CF4C43"/>
    <w:rsid w:val="00CF4C44"/>
    <w:rsid w:val="00CF4E45"/>
    <w:rsid w:val="00CF4F46"/>
    <w:rsid w:val="00CF5150"/>
    <w:rsid w:val="00CF519F"/>
    <w:rsid w:val="00CF543D"/>
    <w:rsid w:val="00CF5461"/>
    <w:rsid w:val="00CF546F"/>
    <w:rsid w:val="00CF547A"/>
    <w:rsid w:val="00CF5C15"/>
    <w:rsid w:val="00CF5C60"/>
    <w:rsid w:val="00CF5D9E"/>
    <w:rsid w:val="00CF5DE3"/>
    <w:rsid w:val="00CF6207"/>
    <w:rsid w:val="00CF64D4"/>
    <w:rsid w:val="00CF6567"/>
    <w:rsid w:val="00CF65BC"/>
    <w:rsid w:val="00CF66F9"/>
    <w:rsid w:val="00CF6AC4"/>
    <w:rsid w:val="00CF6C16"/>
    <w:rsid w:val="00CF6CE5"/>
    <w:rsid w:val="00CF6D9F"/>
    <w:rsid w:val="00CF71EF"/>
    <w:rsid w:val="00CF72BB"/>
    <w:rsid w:val="00CF730B"/>
    <w:rsid w:val="00CF750A"/>
    <w:rsid w:val="00CF7549"/>
    <w:rsid w:val="00CF76D0"/>
    <w:rsid w:val="00CF7934"/>
    <w:rsid w:val="00CF79F2"/>
    <w:rsid w:val="00CF7A03"/>
    <w:rsid w:val="00CF7DCA"/>
    <w:rsid w:val="00D001DF"/>
    <w:rsid w:val="00D00266"/>
    <w:rsid w:val="00D00294"/>
    <w:rsid w:val="00D0040A"/>
    <w:rsid w:val="00D0095B"/>
    <w:rsid w:val="00D0097D"/>
    <w:rsid w:val="00D009A5"/>
    <w:rsid w:val="00D00CB9"/>
    <w:rsid w:val="00D00CF9"/>
    <w:rsid w:val="00D00DCB"/>
    <w:rsid w:val="00D01208"/>
    <w:rsid w:val="00D013BD"/>
    <w:rsid w:val="00D01539"/>
    <w:rsid w:val="00D01605"/>
    <w:rsid w:val="00D01628"/>
    <w:rsid w:val="00D01808"/>
    <w:rsid w:val="00D01AFA"/>
    <w:rsid w:val="00D01C57"/>
    <w:rsid w:val="00D01DFE"/>
    <w:rsid w:val="00D0202C"/>
    <w:rsid w:val="00D0216F"/>
    <w:rsid w:val="00D0282B"/>
    <w:rsid w:val="00D0296F"/>
    <w:rsid w:val="00D029B5"/>
    <w:rsid w:val="00D02DAA"/>
    <w:rsid w:val="00D02DC7"/>
    <w:rsid w:val="00D02FC4"/>
    <w:rsid w:val="00D031E4"/>
    <w:rsid w:val="00D0324E"/>
    <w:rsid w:val="00D03269"/>
    <w:rsid w:val="00D0326D"/>
    <w:rsid w:val="00D03718"/>
    <w:rsid w:val="00D0385C"/>
    <w:rsid w:val="00D03A7B"/>
    <w:rsid w:val="00D03B85"/>
    <w:rsid w:val="00D03C4C"/>
    <w:rsid w:val="00D03C6F"/>
    <w:rsid w:val="00D04085"/>
    <w:rsid w:val="00D0408F"/>
    <w:rsid w:val="00D040F6"/>
    <w:rsid w:val="00D04171"/>
    <w:rsid w:val="00D04696"/>
    <w:rsid w:val="00D04A07"/>
    <w:rsid w:val="00D04A4A"/>
    <w:rsid w:val="00D04D70"/>
    <w:rsid w:val="00D04E15"/>
    <w:rsid w:val="00D050A1"/>
    <w:rsid w:val="00D0524E"/>
    <w:rsid w:val="00D05482"/>
    <w:rsid w:val="00D054B7"/>
    <w:rsid w:val="00D055E9"/>
    <w:rsid w:val="00D056C6"/>
    <w:rsid w:val="00D059B6"/>
    <w:rsid w:val="00D059CE"/>
    <w:rsid w:val="00D05DCB"/>
    <w:rsid w:val="00D0605F"/>
    <w:rsid w:val="00D06276"/>
    <w:rsid w:val="00D062AC"/>
    <w:rsid w:val="00D06342"/>
    <w:rsid w:val="00D06606"/>
    <w:rsid w:val="00D067A5"/>
    <w:rsid w:val="00D067BE"/>
    <w:rsid w:val="00D06C0D"/>
    <w:rsid w:val="00D06E33"/>
    <w:rsid w:val="00D070BC"/>
    <w:rsid w:val="00D0712E"/>
    <w:rsid w:val="00D07362"/>
    <w:rsid w:val="00D073FC"/>
    <w:rsid w:val="00D07587"/>
    <w:rsid w:val="00D07612"/>
    <w:rsid w:val="00D0779C"/>
    <w:rsid w:val="00D07830"/>
    <w:rsid w:val="00D0784D"/>
    <w:rsid w:val="00D079F9"/>
    <w:rsid w:val="00D07F68"/>
    <w:rsid w:val="00D10115"/>
    <w:rsid w:val="00D10B2B"/>
    <w:rsid w:val="00D10E11"/>
    <w:rsid w:val="00D10E48"/>
    <w:rsid w:val="00D10E96"/>
    <w:rsid w:val="00D10F10"/>
    <w:rsid w:val="00D110BA"/>
    <w:rsid w:val="00D11137"/>
    <w:rsid w:val="00D112BD"/>
    <w:rsid w:val="00D1141F"/>
    <w:rsid w:val="00D11B7F"/>
    <w:rsid w:val="00D11BC0"/>
    <w:rsid w:val="00D11DCA"/>
    <w:rsid w:val="00D11EF2"/>
    <w:rsid w:val="00D11F56"/>
    <w:rsid w:val="00D12513"/>
    <w:rsid w:val="00D125DD"/>
    <w:rsid w:val="00D128B2"/>
    <w:rsid w:val="00D12CB8"/>
    <w:rsid w:val="00D132F5"/>
    <w:rsid w:val="00D133F5"/>
    <w:rsid w:val="00D137A4"/>
    <w:rsid w:val="00D137F7"/>
    <w:rsid w:val="00D13A18"/>
    <w:rsid w:val="00D13E6A"/>
    <w:rsid w:val="00D13F0E"/>
    <w:rsid w:val="00D13F1B"/>
    <w:rsid w:val="00D1400B"/>
    <w:rsid w:val="00D1444A"/>
    <w:rsid w:val="00D14453"/>
    <w:rsid w:val="00D145E3"/>
    <w:rsid w:val="00D148CB"/>
    <w:rsid w:val="00D14D67"/>
    <w:rsid w:val="00D151B5"/>
    <w:rsid w:val="00D151EE"/>
    <w:rsid w:val="00D15211"/>
    <w:rsid w:val="00D1541F"/>
    <w:rsid w:val="00D1590A"/>
    <w:rsid w:val="00D15C0B"/>
    <w:rsid w:val="00D15EE0"/>
    <w:rsid w:val="00D161D4"/>
    <w:rsid w:val="00D16260"/>
    <w:rsid w:val="00D162D0"/>
    <w:rsid w:val="00D16347"/>
    <w:rsid w:val="00D16394"/>
    <w:rsid w:val="00D164C8"/>
    <w:rsid w:val="00D167DC"/>
    <w:rsid w:val="00D16852"/>
    <w:rsid w:val="00D16A0A"/>
    <w:rsid w:val="00D16B9C"/>
    <w:rsid w:val="00D16C7C"/>
    <w:rsid w:val="00D16CD3"/>
    <w:rsid w:val="00D16E4B"/>
    <w:rsid w:val="00D17037"/>
    <w:rsid w:val="00D17069"/>
    <w:rsid w:val="00D172E5"/>
    <w:rsid w:val="00D17719"/>
    <w:rsid w:val="00D178D2"/>
    <w:rsid w:val="00D17B5D"/>
    <w:rsid w:val="00D17D65"/>
    <w:rsid w:val="00D17FFA"/>
    <w:rsid w:val="00D201AF"/>
    <w:rsid w:val="00D2050F"/>
    <w:rsid w:val="00D2057C"/>
    <w:rsid w:val="00D205AD"/>
    <w:rsid w:val="00D20BC6"/>
    <w:rsid w:val="00D20C85"/>
    <w:rsid w:val="00D20D5B"/>
    <w:rsid w:val="00D20EDA"/>
    <w:rsid w:val="00D21109"/>
    <w:rsid w:val="00D21481"/>
    <w:rsid w:val="00D214DA"/>
    <w:rsid w:val="00D2177D"/>
    <w:rsid w:val="00D21AEB"/>
    <w:rsid w:val="00D21DD6"/>
    <w:rsid w:val="00D22697"/>
    <w:rsid w:val="00D2281B"/>
    <w:rsid w:val="00D2296A"/>
    <w:rsid w:val="00D22BE9"/>
    <w:rsid w:val="00D22D91"/>
    <w:rsid w:val="00D22F9B"/>
    <w:rsid w:val="00D230BA"/>
    <w:rsid w:val="00D23447"/>
    <w:rsid w:val="00D234E2"/>
    <w:rsid w:val="00D23654"/>
    <w:rsid w:val="00D23823"/>
    <w:rsid w:val="00D238EA"/>
    <w:rsid w:val="00D23AF4"/>
    <w:rsid w:val="00D23B9D"/>
    <w:rsid w:val="00D23D25"/>
    <w:rsid w:val="00D23D29"/>
    <w:rsid w:val="00D23DD5"/>
    <w:rsid w:val="00D23DEC"/>
    <w:rsid w:val="00D2409F"/>
    <w:rsid w:val="00D242C3"/>
    <w:rsid w:val="00D242FC"/>
    <w:rsid w:val="00D243D0"/>
    <w:rsid w:val="00D2444B"/>
    <w:rsid w:val="00D244F4"/>
    <w:rsid w:val="00D245A5"/>
    <w:rsid w:val="00D246A9"/>
    <w:rsid w:val="00D246B3"/>
    <w:rsid w:val="00D247C8"/>
    <w:rsid w:val="00D24818"/>
    <w:rsid w:val="00D24858"/>
    <w:rsid w:val="00D2485C"/>
    <w:rsid w:val="00D2491D"/>
    <w:rsid w:val="00D24982"/>
    <w:rsid w:val="00D24B07"/>
    <w:rsid w:val="00D24B3F"/>
    <w:rsid w:val="00D24CD3"/>
    <w:rsid w:val="00D2515B"/>
    <w:rsid w:val="00D2548E"/>
    <w:rsid w:val="00D254D5"/>
    <w:rsid w:val="00D254F4"/>
    <w:rsid w:val="00D255B2"/>
    <w:rsid w:val="00D256B4"/>
    <w:rsid w:val="00D25E31"/>
    <w:rsid w:val="00D26129"/>
    <w:rsid w:val="00D26272"/>
    <w:rsid w:val="00D262C3"/>
    <w:rsid w:val="00D2637B"/>
    <w:rsid w:val="00D263CC"/>
    <w:rsid w:val="00D26499"/>
    <w:rsid w:val="00D268F7"/>
    <w:rsid w:val="00D2699C"/>
    <w:rsid w:val="00D26A78"/>
    <w:rsid w:val="00D26C5F"/>
    <w:rsid w:val="00D26CD0"/>
    <w:rsid w:val="00D27549"/>
    <w:rsid w:val="00D27709"/>
    <w:rsid w:val="00D277C1"/>
    <w:rsid w:val="00D2783B"/>
    <w:rsid w:val="00D279AD"/>
    <w:rsid w:val="00D27C67"/>
    <w:rsid w:val="00D27CB2"/>
    <w:rsid w:val="00D27F99"/>
    <w:rsid w:val="00D27FE8"/>
    <w:rsid w:val="00D30239"/>
    <w:rsid w:val="00D3057C"/>
    <w:rsid w:val="00D30B15"/>
    <w:rsid w:val="00D30C8C"/>
    <w:rsid w:val="00D30CB9"/>
    <w:rsid w:val="00D30D47"/>
    <w:rsid w:val="00D30EF1"/>
    <w:rsid w:val="00D30F01"/>
    <w:rsid w:val="00D310F4"/>
    <w:rsid w:val="00D312CC"/>
    <w:rsid w:val="00D3133D"/>
    <w:rsid w:val="00D31D5A"/>
    <w:rsid w:val="00D31E62"/>
    <w:rsid w:val="00D31E6C"/>
    <w:rsid w:val="00D31E9B"/>
    <w:rsid w:val="00D31FA3"/>
    <w:rsid w:val="00D3216B"/>
    <w:rsid w:val="00D323CF"/>
    <w:rsid w:val="00D326A9"/>
    <w:rsid w:val="00D32762"/>
    <w:rsid w:val="00D327E9"/>
    <w:rsid w:val="00D3286C"/>
    <w:rsid w:val="00D32A94"/>
    <w:rsid w:val="00D32AF2"/>
    <w:rsid w:val="00D32F1E"/>
    <w:rsid w:val="00D32F97"/>
    <w:rsid w:val="00D3439C"/>
    <w:rsid w:val="00D3459B"/>
    <w:rsid w:val="00D345A0"/>
    <w:rsid w:val="00D34735"/>
    <w:rsid w:val="00D349B1"/>
    <w:rsid w:val="00D34A6D"/>
    <w:rsid w:val="00D34D02"/>
    <w:rsid w:val="00D34FFD"/>
    <w:rsid w:val="00D3509F"/>
    <w:rsid w:val="00D350AE"/>
    <w:rsid w:val="00D353F5"/>
    <w:rsid w:val="00D3562A"/>
    <w:rsid w:val="00D3571B"/>
    <w:rsid w:val="00D35953"/>
    <w:rsid w:val="00D35C6A"/>
    <w:rsid w:val="00D35C72"/>
    <w:rsid w:val="00D35F2B"/>
    <w:rsid w:val="00D3633E"/>
    <w:rsid w:val="00D3652F"/>
    <w:rsid w:val="00D36574"/>
    <w:rsid w:val="00D36728"/>
    <w:rsid w:val="00D368DD"/>
    <w:rsid w:val="00D36DA5"/>
    <w:rsid w:val="00D36F56"/>
    <w:rsid w:val="00D3766E"/>
    <w:rsid w:val="00D37683"/>
    <w:rsid w:val="00D377C6"/>
    <w:rsid w:val="00D37C4F"/>
    <w:rsid w:val="00D37DC4"/>
    <w:rsid w:val="00D4054C"/>
    <w:rsid w:val="00D405F3"/>
    <w:rsid w:val="00D407A1"/>
    <w:rsid w:val="00D40AB2"/>
    <w:rsid w:val="00D40B79"/>
    <w:rsid w:val="00D40D61"/>
    <w:rsid w:val="00D40ED3"/>
    <w:rsid w:val="00D4100B"/>
    <w:rsid w:val="00D4105F"/>
    <w:rsid w:val="00D413AD"/>
    <w:rsid w:val="00D41591"/>
    <w:rsid w:val="00D41813"/>
    <w:rsid w:val="00D41AE3"/>
    <w:rsid w:val="00D41DA0"/>
    <w:rsid w:val="00D41E51"/>
    <w:rsid w:val="00D41F7C"/>
    <w:rsid w:val="00D41FD7"/>
    <w:rsid w:val="00D4256F"/>
    <w:rsid w:val="00D4291B"/>
    <w:rsid w:val="00D4309E"/>
    <w:rsid w:val="00D43177"/>
    <w:rsid w:val="00D43594"/>
    <w:rsid w:val="00D4363A"/>
    <w:rsid w:val="00D4364E"/>
    <w:rsid w:val="00D438DD"/>
    <w:rsid w:val="00D43BB6"/>
    <w:rsid w:val="00D43D5D"/>
    <w:rsid w:val="00D43E77"/>
    <w:rsid w:val="00D44176"/>
    <w:rsid w:val="00D44192"/>
    <w:rsid w:val="00D44304"/>
    <w:rsid w:val="00D4435A"/>
    <w:rsid w:val="00D4470D"/>
    <w:rsid w:val="00D44A8E"/>
    <w:rsid w:val="00D44BFA"/>
    <w:rsid w:val="00D44E7A"/>
    <w:rsid w:val="00D44FAC"/>
    <w:rsid w:val="00D45125"/>
    <w:rsid w:val="00D457F5"/>
    <w:rsid w:val="00D46072"/>
    <w:rsid w:val="00D46305"/>
    <w:rsid w:val="00D4660D"/>
    <w:rsid w:val="00D466F4"/>
    <w:rsid w:val="00D46917"/>
    <w:rsid w:val="00D46A9C"/>
    <w:rsid w:val="00D46B90"/>
    <w:rsid w:val="00D46E0D"/>
    <w:rsid w:val="00D46E40"/>
    <w:rsid w:val="00D46EC1"/>
    <w:rsid w:val="00D4712F"/>
    <w:rsid w:val="00D4732D"/>
    <w:rsid w:val="00D474E8"/>
    <w:rsid w:val="00D47A66"/>
    <w:rsid w:val="00D47C2E"/>
    <w:rsid w:val="00D47D81"/>
    <w:rsid w:val="00D47E7F"/>
    <w:rsid w:val="00D501C7"/>
    <w:rsid w:val="00D502A2"/>
    <w:rsid w:val="00D502F6"/>
    <w:rsid w:val="00D5038C"/>
    <w:rsid w:val="00D50AF7"/>
    <w:rsid w:val="00D51131"/>
    <w:rsid w:val="00D511F4"/>
    <w:rsid w:val="00D51319"/>
    <w:rsid w:val="00D5150E"/>
    <w:rsid w:val="00D515BD"/>
    <w:rsid w:val="00D515F8"/>
    <w:rsid w:val="00D51743"/>
    <w:rsid w:val="00D517C3"/>
    <w:rsid w:val="00D51956"/>
    <w:rsid w:val="00D519E2"/>
    <w:rsid w:val="00D51C4D"/>
    <w:rsid w:val="00D51C55"/>
    <w:rsid w:val="00D51CF9"/>
    <w:rsid w:val="00D51D76"/>
    <w:rsid w:val="00D51E7A"/>
    <w:rsid w:val="00D51F9A"/>
    <w:rsid w:val="00D5205A"/>
    <w:rsid w:val="00D5219E"/>
    <w:rsid w:val="00D5222A"/>
    <w:rsid w:val="00D5264C"/>
    <w:rsid w:val="00D52675"/>
    <w:rsid w:val="00D526E4"/>
    <w:rsid w:val="00D528AF"/>
    <w:rsid w:val="00D52918"/>
    <w:rsid w:val="00D5291E"/>
    <w:rsid w:val="00D52AB9"/>
    <w:rsid w:val="00D52B19"/>
    <w:rsid w:val="00D52E8F"/>
    <w:rsid w:val="00D52EF1"/>
    <w:rsid w:val="00D52F66"/>
    <w:rsid w:val="00D531AC"/>
    <w:rsid w:val="00D53216"/>
    <w:rsid w:val="00D533C0"/>
    <w:rsid w:val="00D53542"/>
    <w:rsid w:val="00D53703"/>
    <w:rsid w:val="00D53E1B"/>
    <w:rsid w:val="00D5414D"/>
    <w:rsid w:val="00D542EF"/>
    <w:rsid w:val="00D544BD"/>
    <w:rsid w:val="00D545B7"/>
    <w:rsid w:val="00D54652"/>
    <w:rsid w:val="00D54A4E"/>
    <w:rsid w:val="00D54C81"/>
    <w:rsid w:val="00D54D35"/>
    <w:rsid w:val="00D54F58"/>
    <w:rsid w:val="00D54FEF"/>
    <w:rsid w:val="00D555B5"/>
    <w:rsid w:val="00D555E0"/>
    <w:rsid w:val="00D55664"/>
    <w:rsid w:val="00D55739"/>
    <w:rsid w:val="00D55AED"/>
    <w:rsid w:val="00D55AF1"/>
    <w:rsid w:val="00D55D97"/>
    <w:rsid w:val="00D56034"/>
    <w:rsid w:val="00D561F4"/>
    <w:rsid w:val="00D562E5"/>
    <w:rsid w:val="00D565FF"/>
    <w:rsid w:val="00D568DB"/>
    <w:rsid w:val="00D568E8"/>
    <w:rsid w:val="00D56C59"/>
    <w:rsid w:val="00D56C8C"/>
    <w:rsid w:val="00D56E25"/>
    <w:rsid w:val="00D57039"/>
    <w:rsid w:val="00D57059"/>
    <w:rsid w:val="00D57120"/>
    <w:rsid w:val="00D57133"/>
    <w:rsid w:val="00D5719F"/>
    <w:rsid w:val="00D572A0"/>
    <w:rsid w:val="00D57314"/>
    <w:rsid w:val="00D574F8"/>
    <w:rsid w:val="00D57609"/>
    <w:rsid w:val="00D57998"/>
    <w:rsid w:val="00D579F3"/>
    <w:rsid w:val="00D57AF1"/>
    <w:rsid w:val="00D57B25"/>
    <w:rsid w:val="00D57BCF"/>
    <w:rsid w:val="00D57C75"/>
    <w:rsid w:val="00D57D89"/>
    <w:rsid w:val="00D57FD3"/>
    <w:rsid w:val="00D57FDD"/>
    <w:rsid w:val="00D6023B"/>
    <w:rsid w:val="00D602AF"/>
    <w:rsid w:val="00D603E0"/>
    <w:rsid w:val="00D6076F"/>
    <w:rsid w:val="00D607D5"/>
    <w:rsid w:val="00D6093E"/>
    <w:rsid w:val="00D60B02"/>
    <w:rsid w:val="00D6103C"/>
    <w:rsid w:val="00D61063"/>
    <w:rsid w:val="00D61085"/>
    <w:rsid w:val="00D613D4"/>
    <w:rsid w:val="00D614AF"/>
    <w:rsid w:val="00D61500"/>
    <w:rsid w:val="00D61528"/>
    <w:rsid w:val="00D61B46"/>
    <w:rsid w:val="00D61EFB"/>
    <w:rsid w:val="00D62002"/>
    <w:rsid w:val="00D62199"/>
    <w:rsid w:val="00D623D8"/>
    <w:rsid w:val="00D625D8"/>
    <w:rsid w:val="00D62787"/>
    <w:rsid w:val="00D62793"/>
    <w:rsid w:val="00D6281E"/>
    <w:rsid w:val="00D62B1C"/>
    <w:rsid w:val="00D62BD5"/>
    <w:rsid w:val="00D62DBA"/>
    <w:rsid w:val="00D63032"/>
    <w:rsid w:val="00D63066"/>
    <w:rsid w:val="00D63231"/>
    <w:rsid w:val="00D6330B"/>
    <w:rsid w:val="00D635FC"/>
    <w:rsid w:val="00D63649"/>
    <w:rsid w:val="00D63720"/>
    <w:rsid w:val="00D6372B"/>
    <w:rsid w:val="00D637F1"/>
    <w:rsid w:val="00D637FF"/>
    <w:rsid w:val="00D639FD"/>
    <w:rsid w:val="00D63A91"/>
    <w:rsid w:val="00D63AD6"/>
    <w:rsid w:val="00D63B54"/>
    <w:rsid w:val="00D63E4F"/>
    <w:rsid w:val="00D64082"/>
    <w:rsid w:val="00D640C7"/>
    <w:rsid w:val="00D642E4"/>
    <w:rsid w:val="00D64341"/>
    <w:rsid w:val="00D64417"/>
    <w:rsid w:val="00D64565"/>
    <w:rsid w:val="00D6468E"/>
    <w:rsid w:val="00D646BD"/>
    <w:rsid w:val="00D6475C"/>
    <w:rsid w:val="00D6491F"/>
    <w:rsid w:val="00D64A83"/>
    <w:rsid w:val="00D64C17"/>
    <w:rsid w:val="00D64E23"/>
    <w:rsid w:val="00D65054"/>
    <w:rsid w:val="00D65092"/>
    <w:rsid w:val="00D652B0"/>
    <w:rsid w:val="00D654C8"/>
    <w:rsid w:val="00D656DE"/>
    <w:rsid w:val="00D6577E"/>
    <w:rsid w:val="00D6582C"/>
    <w:rsid w:val="00D65D46"/>
    <w:rsid w:val="00D65F63"/>
    <w:rsid w:val="00D6616E"/>
    <w:rsid w:val="00D661CB"/>
    <w:rsid w:val="00D66340"/>
    <w:rsid w:val="00D66376"/>
    <w:rsid w:val="00D6663A"/>
    <w:rsid w:val="00D667A2"/>
    <w:rsid w:val="00D6697A"/>
    <w:rsid w:val="00D66DCA"/>
    <w:rsid w:val="00D66E99"/>
    <w:rsid w:val="00D670B0"/>
    <w:rsid w:val="00D671AB"/>
    <w:rsid w:val="00D672B9"/>
    <w:rsid w:val="00D673B1"/>
    <w:rsid w:val="00D67488"/>
    <w:rsid w:val="00D67979"/>
    <w:rsid w:val="00D67A7B"/>
    <w:rsid w:val="00D67A9E"/>
    <w:rsid w:val="00D67F0B"/>
    <w:rsid w:val="00D67FDB"/>
    <w:rsid w:val="00D701B9"/>
    <w:rsid w:val="00D70372"/>
    <w:rsid w:val="00D70570"/>
    <w:rsid w:val="00D70631"/>
    <w:rsid w:val="00D70858"/>
    <w:rsid w:val="00D70890"/>
    <w:rsid w:val="00D70A52"/>
    <w:rsid w:val="00D70B27"/>
    <w:rsid w:val="00D70C36"/>
    <w:rsid w:val="00D70DA3"/>
    <w:rsid w:val="00D7146A"/>
    <w:rsid w:val="00D71501"/>
    <w:rsid w:val="00D7152C"/>
    <w:rsid w:val="00D71587"/>
    <w:rsid w:val="00D71855"/>
    <w:rsid w:val="00D71863"/>
    <w:rsid w:val="00D71AB3"/>
    <w:rsid w:val="00D71C02"/>
    <w:rsid w:val="00D71D65"/>
    <w:rsid w:val="00D71D99"/>
    <w:rsid w:val="00D71E23"/>
    <w:rsid w:val="00D720F2"/>
    <w:rsid w:val="00D722E5"/>
    <w:rsid w:val="00D72389"/>
    <w:rsid w:val="00D726CC"/>
    <w:rsid w:val="00D7274E"/>
    <w:rsid w:val="00D72947"/>
    <w:rsid w:val="00D72A08"/>
    <w:rsid w:val="00D72C5D"/>
    <w:rsid w:val="00D73502"/>
    <w:rsid w:val="00D737FD"/>
    <w:rsid w:val="00D73C5D"/>
    <w:rsid w:val="00D73D91"/>
    <w:rsid w:val="00D7422D"/>
    <w:rsid w:val="00D7432E"/>
    <w:rsid w:val="00D74337"/>
    <w:rsid w:val="00D74479"/>
    <w:rsid w:val="00D7451E"/>
    <w:rsid w:val="00D74574"/>
    <w:rsid w:val="00D749B5"/>
    <w:rsid w:val="00D74E1E"/>
    <w:rsid w:val="00D74E4F"/>
    <w:rsid w:val="00D74EC5"/>
    <w:rsid w:val="00D74FAF"/>
    <w:rsid w:val="00D7543C"/>
    <w:rsid w:val="00D7555E"/>
    <w:rsid w:val="00D758CB"/>
    <w:rsid w:val="00D75D00"/>
    <w:rsid w:val="00D75FF0"/>
    <w:rsid w:val="00D75FF2"/>
    <w:rsid w:val="00D76031"/>
    <w:rsid w:val="00D7643E"/>
    <w:rsid w:val="00D7645D"/>
    <w:rsid w:val="00D765CC"/>
    <w:rsid w:val="00D76750"/>
    <w:rsid w:val="00D76BBB"/>
    <w:rsid w:val="00D76C69"/>
    <w:rsid w:val="00D76D82"/>
    <w:rsid w:val="00D770D8"/>
    <w:rsid w:val="00D774AA"/>
    <w:rsid w:val="00D77913"/>
    <w:rsid w:val="00D77F7A"/>
    <w:rsid w:val="00D800B7"/>
    <w:rsid w:val="00D803B2"/>
    <w:rsid w:val="00D803BF"/>
    <w:rsid w:val="00D8061A"/>
    <w:rsid w:val="00D807B3"/>
    <w:rsid w:val="00D8087D"/>
    <w:rsid w:val="00D809D6"/>
    <w:rsid w:val="00D80CB2"/>
    <w:rsid w:val="00D815F2"/>
    <w:rsid w:val="00D81A0E"/>
    <w:rsid w:val="00D81AA4"/>
    <w:rsid w:val="00D8212D"/>
    <w:rsid w:val="00D82296"/>
    <w:rsid w:val="00D82441"/>
    <w:rsid w:val="00D824D6"/>
    <w:rsid w:val="00D82E66"/>
    <w:rsid w:val="00D8300A"/>
    <w:rsid w:val="00D831D5"/>
    <w:rsid w:val="00D83277"/>
    <w:rsid w:val="00D835F6"/>
    <w:rsid w:val="00D83695"/>
    <w:rsid w:val="00D836BB"/>
    <w:rsid w:val="00D837AA"/>
    <w:rsid w:val="00D83D54"/>
    <w:rsid w:val="00D84215"/>
    <w:rsid w:val="00D843C0"/>
    <w:rsid w:val="00D84496"/>
    <w:rsid w:val="00D844D7"/>
    <w:rsid w:val="00D8454F"/>
    <w:rsid w:val="00D84733"/>
    <w:rsid w:val="00D84A57"/>
    <w:rsid w:val="00D84BBF"/>
    <w:rsid w:val="00D84E89"/>
    <w:rsid w:val="00D8513C"/>
    <w:rsid w:val="00D851D2"/>
    <w:rsid w:val="00D8584D"/>
    <w:rsid w:val="00D85B76"/>
    <w:rsid w:val="00D86064"/>
    <w:rsid w:val="00D8625A"/>
    <w:rsid w:val="00D862CF"/>
    <w:rsid w:val="00D863BE"/>
    <w:rsid w:val="00D867CD"/>
    <w:rsid w:val="00D868E9"/>
    <w:rsid w:val="00D8698F"/>
    <w:rsid w:val="00D86C4A"/>
    <w:rsid w:val="00D86FBE"/>
    <w:rsid w:val="00D86FCF"/>
    <w:rsid w:val="00D8701A"/>
    <w:rsid w:val="00D8702B"/>
    <w:rsid w:val="00D870F9"/>
    <w:rsid w:val="00D872FE"/>
    <w:rsid w:val="00D8747F"/>
    <w:rsid w:val="00D875DC"/>
    <w:rsid w:val="00D876FC"/>
    <w:rsid w:val="00D87859"/>
    <w:rsid w:val="00D87A6E"/>
    <w:rsid w:val="00D87B59"/>
    <w:rsid w:val="00D87B5C"/>
    <w:rsid w:val="00D87C61"/>
    <w:rsid w:val="00D900A5"/>
    <w:rsid w:val="00D9013D"/>
    <w:rsid w:val="00D90301"/>
    <w:rsid w:val="00D90659"/>
    <w:rsid w:val="00D9080B"/>
    <w:rsid w:val="00D90C02"/>
    <w:rsid w:val="00D90E4C"/>
    <w:rsid w:val="00D91063"/>
    <w:rsid w:val="00D913ED"/>
    <w:rsid w:val="00D9154A"/>
    <w:rsid w:val="00D91E0C"/>
    <w:rsid w:val="00D921F1"/>
    <w:rsid w:val="00D9236B"/>
    <w:rsid w:val="00D923E2"/>
    <w:rsid w:val="00D924B8"/>
    <w:rsid w:val="00D9267F"/>
    <w:rsid w:val="00D92821"/>
    <w:rsid w:val="00D92826"/>
    <w:rsid w:val="00D92894"/>
    <w:rsid w:val="00D92A84"/>
    <w:rsid w:val="00D92EA0"/>
    <w:rsid w:val="00D93224"/>
    <w:rsid w:val="00D9329D"/>
    <w:rsid w:val="00D93448"/>
    <w:rsid w:val="00D9380F"/>
    <w:rsid w:val="00D9397C"/>
    <w:rsid w:val="00D93B31"/>
    <w:rsid w:val="00D93CBB"/>
    <w:rsid w:val="00D93CC3"/>
    <w:rsid w:val="00D940A5"/>
    <w:rsid w:val="00D94179"/>
    <w:rsid w:val="00D94288"/>
    <w:rsid w:val="00D943AA"/>
    <w:rsid w:val="00D9443D"/>
    <w:rsid w:val="00D945D4"/>
    <w:rsid w:val="00D947CF"/>
    <w:rsid w:val="00D94888"/>
    <w:rsid w:val="00D949A8"/>
    <w:rsid w:val="00D94EAB"/>
    <w:rsid w:val="00D950CA"/>
    <w:rsid w:val="00D95172"/>
    <w:rsid w:val="00D951AB"/>
    <w:rsid w:val="00D95240"/>
    <w:rsid w:val="00D954CE"/>
    <w:rsid w:val="00D95551"/>
    <w:rsid w:val="00D95A70"/>
    <w:rsid w:val="00D95BAC"/>
    <w:rsid w:val="00D960B1"/>
    <w:rsid w:val="00D96373"/>
    <w:rsid w:val="00D965DA"/>
    <w:rsid w:val="00D96735"/>
    <w:rsid w:val="00D96A6D"/>
    <w:rsid w:val="00D96AEF"/>
    <w:rsid w:val="00D96D02"/>
    <w:rsid w:val="00D96D7C"/>
    <w:rsid w:val="00D97015"/>
    <w:rsid w:val="00D97131"/>
    <w:rsid w:val="00D9718F"/>
    <w:rsid w:val="00D9720E"/>
    <w:rsid w:val="00D97306"/>
    <w:rsid w:val="00D9734E"/>
    <w:rsid w:val="00D979C4"/>
    <w:rsid w:val="00D97B39"/>
    <w:rsid w:val="00D97F3A"/>
    <w:rsid w:val="00DA0102"/>
    <w:rsid w:val="00DA0232"/>
    <w:rsid w:val="00DA03D9"/>
    <w:rsid w:val="00DA054A"/>
    <w:rsid w:val="00DA0ADA"/>
    <w:rsid w:val="00DA0B4D"/>
    <w:rsid w:val="00DA0C0E"/>
    <w:rsid w:val="00DA0EB4"/>
    <w:rsid w:val="00DA0FFD"/>
    <w:rsid w:val="00DA154C"/>
    <w:rsid w:val="00DA16F4"/>
    <w:rsid w:val="00DA17F1"/>
    <w:rsid w:val="00DA1934"/>
    <w:rsid w:val="00DA1B01"/>
    <w:rsid w:val="00DA1DFC"/>
    <w:rsid w:val="00DA1E50"/>
    <w:rsid w:val="00DA1F98"/>
    <w:rsid w:val="00DA262C"/>
    <w:rsid w:val="00DA2A5C"/>
    <w:rsid w:val="00DA30EC"/>
    <w:rsid w:val="00DA314F"/>
    <w:rsid w:val="00DA3196"/>
    <w:rsid w:val="00DA330F"/>
    <w:rsid w:val="00DA33A0"/>
    <w:rsid w:val="00DA33BD"/>
    <w:rsid w:val="00DA341C"/>
    <w:rsid w:val="00DA3551"/>
    <w:rsid w:val="00DA359D"/>
    <w:rsid w:val="00DA3CAE"/>
    <w:rsid w:val="00DA3F66"/>
    <w:rsid w:val="00DA4067"/>
    <w:rsid w:val="00DA4139"/>
    <w:rsid w:val="00DA4191"/>
    <w:rsid w:val="00DA448A"/>
    <w:rsid w:val="00DA4777"/>
    <w:rsid w:val="00DA487E"/>
    <w:rsid w:val="00DA48FE"/>
    <w:rsid w:val="00DA4914"/>
    <w:rsid w:val="00DA495D"/>
    <w:rsid w:val="00DA4A96"/>
    <w:rsid w:val="00DA4BD6"/>
    <w:rsid w:val="00DA4C57"/>
    <w:rsid w:val="00DA530A"/>
    <w:rsid w:val="00DA538E"/>
    <w:rsid w:val="00DA53EE"/>
    <w:rsid w:val="00DA55DB"/>
    <w:rsid w:val="00DA5D8E"/>
    <w:rsid w:val="00DA5E68"/>
    <w:rsid w:val="00DA61BF"/>
    <w:rsid w:val="00DA6252"/>
    <w:rsid w:val="00DA63D8"/>
    <w:rsid w:val="00DA6410"/>
    <w:rsid w:val="00DA6459"/>
    <w:rsid w:val="00DA6759"/>
    <w:rsid w:val="00DA6A82"/>
    <w:rsid w:val="00DA6D44"/>
    <w:rsid w:val="00DA710B"/>
    <w:rsid w:val="00DA7402"/>
    <w:rsid w:val="00DA7417"/>
    <w:rsid w:val="00DA751A"/>
    <w:rsid w:val="00DA7729"/>
    <w:rsid w:val="00DA783F"/>
    <w:rsid w:val="00DA791D"/>
    <w:rsid w:val="00DA7BCC"/>
    <w:rsid w:val="00DA7F5D"/>
    <w:rsid w:val="00DB0019"/>
    <w:rsid w:val="00DB011D"/>
    <w:rsid w:val="00DB033B"/>
    <w:rsid w:val="00DB0397"/>
    <w:rsid w:val="00DB0493"/>
    <w:rsid w:val="00DB0911"/>
    <w:rsid w:val="00DB0BCC"/>
    <w:rsid w:val="00DB0D71"/>
    <w:rsid w:val="00DB0DA4"/>
    <w:rsid w:val="00DB0FE8"/>
    <w:rsid w:val="00DB1205"/>
    <w:rsid w:val="00DB1247"/>
    <w:rsid w:val="00DB128B"/>
    <w:rsid w:val="00DB13D6"/>
    <w:rsid w:val="00DB1492"/>
    <w:rsid w:val="00DB1532"/>
    <w:rsid w:val="00DB1586"/>
    <w:rsid w:val="00DB164E"/>
    <w:rsid w:val="00DB1844"/>
    <w:rsid w:val="00DB1865"/>
    <w:rsid w:val="00DB192C"/>
    <w:rsid w:val="00DB1A27"/>
    <w:rsid w:val="00DB1C4F"/>
    <w:rsid w:val="00DB1CE4"/>
    <w:rsid w:val="00DB1E7A"/>
    <w:rsid w:val="00DB1FE4"/>
    <w:rsid w:val="00DB210B"/>
    <w:rsid w:val="00DB2428"/>
    <w:rsid w:val="00DB2520"/>
    <w:rsid w:val="00DB25A4"/>
    <w:rsid w:val="00DB2AEB"/>
    <w:rsid w:val="00DB2C00"/>
    <w:rsid w:val="00DB2E39"/>
    <w:rsid w:val="00DB2EBE"/>
    <w:rsid w:val="00DB2EC3"/>
    <w:rsid w:val="00DB3175"/>
    <w:rsid w:val="00DB3314"/>
    <w:rsid w:val="00DB35BA"/>
    <w:rsid w:val="00DB3C50"/>
    <w:rsid w:val="00DB3CBF"/>
    <w:rsid w:val="00DB3DEE"/>
    <w:rsid w:val="00DB3EF7"/>
    <w:rsid w:val="00DB3F01"/>
    <w:rsid w:val="00DB3FAC"/>
    <w:rsid w:val="00DB3FD0"/>
    <w:rsid w:val="00DB422C"/>
    <w:rsid w:val="00DB4237"/>
    <w:rsid w:val="00DB4436"/>
    <w:rsid w:val="00DB4637"/>
    <w:rsid w:val="00DB4769"/>
    <w:rsid w:val="00DB4B88"/>
    <w:rsid w:val="00DB4F3D"/>
    <w:rsid w:val="00DB5277"/>
    <w:rsid w:val="00DB5361"/>
    <w:rsid w:val="00DB5720"/>
    <w:rsid w:val="00DB57D9"/>
    <w:rsid w:val="00DB6052"/>
    <w:rsid w:val="00DB6167"/>
    <w:rsid w:val="00DB676F"/>
    <w:rsid w:val="00DB6C56"/>
    <w:rsid w:val="00DB6C94"/>
    <w:rsid w:val="00DB6D21"/>
    <w:rsid w:val="00DB6D62"/>
    <w:rsid w:val="00DB6DF8"/>
    <w:rsid w:val="00DB6EBE"/>
    <w:rsid w:val="00DB75EC"/>
    <w:rsid w:val="00DB7746"/>
    <w:rsid w:val="00DB7976"/>
    <w:rsid w:val="00DB79D0"/>
    <w:rsid w:val="00DB7A61"/>
    <w:rsid w:val="00DB7C7F"/>
    <w:rsid w:val="00DB7FC3"/>
    <w:rsid w:val="00DC01B8"/>
    <w:rsid w:val="00DC066F"/>
    <w:rsid w:val="00DC08AC"/>
    <w:rsid w:val="00DC08F6"/>
    <w:rsid w:val="00DC0B0D"/>
    <w:rsid w:val="00DC0C2D"/>
    <w:rsid w:val="00DC0D87"/>
    <w:rsid w:val="00DC0E4D"/>
    <w:rsid w:val="00DC0F91"/>
    <w:rsid w:val="00DC0FF1"/>
    <w:rsid w:val="00DC156D"/>
    <w:rsid w:val="00DC17C6"/>
    <w:rsid w:val="00DC19B6"/>
    <w:rsid w:val="00DC20CC"/>
    <w:rsid w:val="00DC2204"/>
    <w:rsid w:val="00DC2733"/>
    <w:rsid w:val="00DC2797"/>
    <w:rsid w:val="00DC279B"/>
    <w:rsid w:val="00DC2962"/>
    <w:rsid w:val="00DC2988"/>
    <w:rsid w:val="00DC2B03"/>
    <w:rsid w:val="00DC2BBF"/>
    <w:rsid w:val="00DC2D39"/>
    <w:rsid w:val="00DC2D69"/>
    <w:rsid w:val="00DC2E2F"/>
    <w:rsid w:val="00DC2EAF"/>
    <w:rsid w:val="00DC3034"/>
    <w:rsid w:val="00DC311E"/>
    <w:rsid w:val="00DC3485"/>
    <w:rsid w:val="00DC35EF"/>
    <w:rsid w:val="00DC3949"/>
    <w:rsid w:val="00DC39D3"/>
    <w:rsid w:val="00DC3C63"/>
    <w:rsid w:val="00DC3DBC"/>
    <w:rsid w:val="00DC3EDC"/>
    <w:rsid w:val="00DC4264"/>
    <w:rsid w:val="00DC43F8"/>
    <w:rsid w:val="00DC4729"/>
    <w:rsid w:val="00DC4822"/>
    <w:rsid w:val="00DC4B85"/>
    <w:rsid w:val="00DC5015"/>
    <w:rsid w:val="00DC571E"/>
    <w:rsid w:val="00DC584A"/>
    <w:rsid w:val="00DC5894"/>
    <w:rsid w:val="00DC603D"/>
    <w:rsid w:val="00DC6069"/>
    <w:rsid w:val="00DC60A7"/>
    <w:rsid w:val="00DC6100"/>
    <w:rsid w:val="00DC61F6"/>
    <w:rsid w:val="00DC62E3"/>
    <w:rsid w:val="00DC6388"/>
    <w:rsid w:val="00DC68A2"/>
    <w:rsid w:val="00DC6A81"/>
    <w:rsid w:val="00DC706D"/>
    <w:rsid w:val="00DC713B"/>
    <w:rsid w:val="00DC72A1"/>
    <w:rsid w:val="00DC754A"/>
    <w:rsid w:val="00DC7697"/>
    <w:rsid w:val="00DC7879"/>
    <w:rsid w:val="00DC79F2"/>
    <w:rsid w:val="00DC7B66"/>
    <w:rsid w:val="00DC7E58"/>
    <w:rsid w:val="00DD005F"/>
    <w:rsid w:val="00DD0178"/>
    <w:rsid w:val="00DD025F"/>
    <w:rsid w:val="00DD02BF"/>
    <w:rsid w:val="00DD0308"/>
    <w:rsid w:val="00DD03DE"/>
    <w:rsid w:val="00DD0489"/>
    <w:rsid w:val="00DD06D6"/>
    <w:rsid w:val="00DD075D"/>
    <w:rsid w:val="00DD0F86"/>
    <w:rsid w:val="00DD15FA"/>
    <w:rsid w:val="00DD1619"/>
    <w:rsid w:val="00DD1B66"/>
    <w:rsid w:val="00DD1D42"/>
    <w:rsid w:val="00DD1E23"/>
    <w:rsid w:val="00DD1E87"/>
    <w:rsid w:val="00DD1EFC"/>
    <w:rsid w:val="00DD2097"/>
    <w:rsid w:val="00DD2108"/>
    <w:rsid w:val="00DD2420"/>
    <w:rsid w:val="00DD2468"/>
    <w:rsid w:val="00DD25A6"/>
    <w:rsid w:val="00DD2834"/>
    <w:rsid w:val="00DD2961"/>
    <w:rsid w:val="00DD2BB5"/>
    <w:rsid w:val="00DD2BFB"/>
    <w:rsid w:val="00DD2D22"/>
    <w:rsid w:val="00DD34B6"/>
    <w:rsid w:val="00DD3FEF"/>
    <w:rsid w:val="00DD40A6"/>
    <w:rsid w:val="00DD4149"/>
    <w:rsid w:val="00DD4304"/>
    <w:rsid w:val="00DD44F4"/>
    <w:rsid w:val="00DD49CB"/>
    <w:rsid w:val="00DD49E7"/>
    <w:rsid w:val="00DD4EFE"/>
    <w:rsid w:val="00DD5007"/>
    <w:rsid w:val="00DD5064"/>
    <w:rsid w:val="00DD5340"/>
    <w:rsid w:val="00DD5398"/>
    <w:rsid w:val="00DD53F7"/>
    <w:rsid w:val="00DD54F7"/>
    <w:rsid w:val="00DD554F"/>
    <w:rsid w:val="00DD5908"/>
    <w:rsid w:val="00DD5A39"/>
    <w:rsid w:val="00DD5AC1"/>
    <w:rsid w:val="00DD5AF0"/>
    <w:rsid w:val="00DD5B15"/>
    <w:rsid w:val="00DD5C15"/>
    <w:rsid w:val="00DD5F22"/>
    <w:rsid w:val="00DD6080"/>
    <w:rsid w:val="00DD634E"/>
    <w:rsid w:val="00DD6553"/>
    <w:rsid w:val="00DD6683"/>
    <w:rsid w:val="00DD6725"/>
    <w:rsid w:val="00DD69C7"/>
    <w:rsid w:val="00DD6A34"/>
    <w:rsid w:val="00DD71BB"/>
    <w:rsid w:val="00DD72BE"/>
    <w:rsid w:val="00DD76CE"/>
    <w:rsid w:val="00DD78E7"/>
    <w:rsid w:val="00DD7AEA"/>
    <w:rsid w:val="00DD7B9F"/>
    <w:rsid w:val="00DE0529"/>
    <w:rsid w:val="00DE058E"/>
    <w:rsid w:val="00DE0596"/>
    <w:rsid w:val="00DE06CD"/>
    <w:rsid w:val="00DE07FC"/>
    <w:rsid w:val="00DE0878"/>
    <w:rsid w:val="00DE0ABC"/>
    <w:rsid w:val="00DE0ACA"/>
    <w:rsid w:val="00DE0AF5"/>
    <w:rsid w:val="00DE0B8B"/>
    <w:rsid w:val="00DE0CBD"/>
    <w:rsid w:val="00DE0D10"/>
    <w:rsid w:val="00DE0DAA"/>
    <w:rsid w:val="00DE1009"/>
    <w:rsid w:val="00DE137D"/>
    <w:rsid w:val="00DE1449"/>
    <w:rsid w:val="00DE163C"/>
    <w:rsid w:val="00DE16EB"/>
    <w:rsid w:val="00DE1906"/>
    <w:rsid w:val="00DE1E8E"/>
    <w:rsid w:val="00DE1EDA"/>
    <w:rsid w:val="00DE1EF8"/>
    <w:rsid w:val="00DE20B8"/>
    <w:rsid w:val="00DE21EB"/>
    <w:rsid w:val="00DE22C2"/>
    <w:rsid w:val="00DE2384"/>
    <w:rsid w:val="00DE242A"/>
    <w:rsid w:val="00DE2475"/>
    <w:rsid w:val="00DE2516"/>
    <w:rsid w:val="00DE25B9"/>
    <w:rsid w:val="00DE2C89"/>
    <w:rsid w:val="00DE2C91"/>
    <w:rsid w:val="00DE2F0C"/>
    <w:rsid w:val="00DE2F50"/>
    <w:rsid w:val="00DE335C"/>
    <w:rsid w:val="00DE3CE1"/>
    <w:rsid w:val="00DE4272"/>
    <w:rsid w:val="00DE42FA"/>
    <w:rsid w:val="00DE45DF"/>
    <w:rsid w:val="00DE45E6"/>
    <w:rsid w:val="00DE4861"/>
    <w:rsid w:val="00DE4AAE"/>
    <w:rsid w:val="00DE4CC8"/>
    <w:rsid w:val="00DE4E5A"/>
    <w:rsid w:val="00DE50DA"/>
    <w:rsid w:val="00DE5441"/>
    <w:rsid w:val="00DE5565"/>
    <w:rsid w:val="00DE5573"/>
    <w:rsid w:val="00DE55E9"/>
    <w:rsid w:val="00DE56EB"/>
    <w:rsid w:val="00DE5821"/>
    <w:rsid w:val="00DE5835"/>
    <w:rsid w:val="00DE59DA"/>
    <w:rsid w:val="00DE5B7F"/>
    <w:rsid w:val="00DE6100"/>
    <w:rsid w:val="00DE615A"/>
    <w:rsid w:val="00DE6184"/>
    <w:rsid w:val="00DE62EC"/>
    <w:rsid w:val="00DE64D7"/>
    <w:rsid w:val="00DE6602"/>
    <w:rsid w:val="00DE6D15"/>
    <w:rsid w:val="00DE6F7C"/>
    <w:rsid w:val="00DE7021"/>
    <w:rsid w:val="00DE72E0"/>
    <w:rsid w:val="00DE760E"/>
    <w:rsid w:val="00DE76BF"/>
    <w:rsid w:val="00DE7797"/>
    <w:rsid w:val="00DE7A37"/>
    <w:rsid w:val="00DF0081"/>
    <w:rsid w:val="00DF0233"/>
    <w:rsid w:val="00DF08BE"/>
    <w:rsid w:val="00DF09D7"/>
    <w:rsid w:val="00DF0D4B"/>
    <w:rsid w:val="00DF0E32"/>
    <w:rsid w:val="00DF0F56"/>
    <w:rsid w:val="00DF1449"/>
    <w:rsid w:val="00DF17E1"/>
    <w:rsid w:val="00DF17EB"/>
    <w:rsid w:val="00DF1B15"/>
    <w:rsid w:val="00DF210B"/>
    <w:rsid w:val="00DF2220"/>
    <w:rsid w:val="00DF2412"/>
    <w:rsid w:val="00DF24AB"/>
    <w:rsid w:val="00DF2805"/>
    <w:rsid w:val="00DF288C"/>
    <w:rsid w:val="00DF2AF5"/>
    <w:rsid w:val="00DF318A"/>
    <w:rsid w:val="00DF31AC"/>
    <w:rsid w:val="00DF31E3"/>
    <w:rsid w:val="00DF3E05"/>
    <w:rsid w:val="00DF3E9A"/>
    <w:rsid w:val="00DF401B"/>
    <w:rsid w:val="00DF40C5"/>
    <w:rsid w:val="00DF4276"/>
    <w:rsid w:val="00DF42F7"/>
    <w:rsid w:val="00DF4302"/>
    <w:rsid w:val="00DF463B"/>
    <w:rsid w:val="00DF4683"/>
    <w:rsid w:val="00DF4803"/>
    <w:rsid w:val="00DF4837"/>
    <w:rsid w:val="00DF487C"/>
    <w:rsid w:val="00DF4916"/>
    <w:rsid w:val="00DF4B82"/>
    <w:rsid w:val="00DF4E41"/>
    <w:rsid w:val="00DF4FB3"/>
    <w:rsid w:val="00DF52F8"/>
    <w:rsid w:val="00DF5377"/>
    <w:rsid w:val="00DF58A1"/>
    <w:rsid w:val="00DF59FF"/>
    <w:rsid w:val="00DF5A34"/>
    <w:rsid w:val="00DF5A7B"/>
    <w:rsid w:val="00DF5C08"/>
    <w:rsid w:val="00DF5CE6"/>
    <w:rsid w:val="00DF5CF2"/>
    <w:rsid w:val="00DF5E29"/>
    <w:rsid w:val="00DF6318"/>
    <w:rsid w:val="00DF6441"/>
    <w:rsid w:val="00DF6A2B"/>
    <w:rsid w:val="00DF6DFE"/>
    <w:rsid w:val="00DF73F7"/>
    <w:rsid w:val="00DF76F3"/>
    <w:rsid w:val="00DF7839"/>
    <w:rsid w:val="00DF7913"/>
    <w:rsid w:val="00DF79E9"/>
    <w:rsid w:val="00DF7A50"/>
    <w:rsid w:val="00DF7AE4"/>
    <w:rsid w:val="00DF7D48"/>
    <w:rsid w:val="00DF7E06"/>
    <w:rsid w:val="00DF7E21"/>
    <w:rsid w:val="00E00277"/>
    <w:rsid w:val="00E0029E"/>
    <w:rsid w:val="00E006FE"/>
    <w:rsid w:val="00E00E33"/>
    <w:rsid w:val="00E011DA"/>
    <w:rsid w:val="00E01627"/>
    <w:rsid w:val="00E01722"/>
    <w:rsid w:val="00E0176F"/>
    <w:rsid w:val="00E017BE"/>
    <w:rsid w:val="00E018DA"/>
    <w:rsid w:val="00E01908"/>
    <w:rsid w:val="00E0197D"/>
    <w:rsid w:val="00E01AD1"/>
    <w:rsid w:val="00E01B66"/>
    <w:rsid w:val="00E01C9E"/>
    <w:rsid w:val="00E01F6A"/>
    <w:rsid w:val="00E01FFB"/>
    <w:rsid w:val="00E0215A"/>
    <w:rsid w:val="00E022C9"/>
    <w:rsid w:val="00E02659"/>
    <w:rsid w:val="00E02971"/>
    <w:rsid w:val="00E02AA4"/>
    <w:rsid w:val="00E02B25"/>
    <w:rsid w:val="00E02CA5"/>
    <w:rsid w:val="00E033F6"/>
    <w:rsid w:val="00E03409"/>
    <w:rsid w:val="00E035DF"/>
    <w:rsid w:val="00E03C3C"/>
    <w:rsid w:val="00E03CFD"/>
    <w:rsid w:val="00E03DF3"/>
    <w:rsid w:val="00E03FCB"/>
    <w:rsid w:val="00E04178"/>
    <w:rsid w:val="00E0442C"/>
    <w:rsid w:val="00E048A7"/>
    <w:rsid w:val="00E04BEF"/>
    <w:rsid w:val="00E0505A"/>
    <w:rsid w:val="00E054AE"/>
    <w:rsid w:val="00E0599D"/>
    <w:rsid w:val="00E059C0"/>
    <w:rsid w:val="00E05AD8"/>
    <w:rsid w:val="00E05B44"/>
    <w:rsid w:val="00E05E99"/>
    <w:rsid w:val="00E05ECE"/>
    <w:rsid w:val="00E05EFD"/>
    <w:rsid w:val="00E05FDF"/>
    <w:rsid w:val="00E06135"/>
    <w:rsid w:val="00E061F8"/>
    <w:rsid w:val="00E06750"/>
    <w:rsid w:val="00E0688D"/>
    <w:rsid w:val="00E06AAB"/>
    <w:rsid w:val="00E07019"/>
    <w:rsid w:val="00E070E1"/>
    <w:rsid w:val="00E0714C"/>
    <w:rsid w:val="00E0716B"/>
    <w:rsid w:val="00E07198"/>
    <w:rsid w:val="00E0722E"/>
    <w:rsid w:val="00E0724C"/>
    <w:rsid w:val="00E07418"/>
    <w:rsid w:val="00E0743C"/>
    <w:rsid w:val="00E0765C"/>
    <w:rsid w:val="00E076B4"/>
    <w:rsid w:val="00E10144"/>
    <w:rsid w:val="00E10329"/>
    <w:rsid w:val="00E107E2"/>
    <w:rsid w:val="00E10A61"/>
    <w:rsid w:val="00E10C3B"/>
    <w:rsid w:val="00E10FE6"/>
    <w:rsid w:val="00E11170"/>
    <w:rsid w:val="00E114E2"/>
    <w:rsid w:val="00E1154D"/>
    <w:rsid w:val="00E115C0"/>
    <w:rsid w:val="00E117C6"/>
    <w:rsid w:val="00E1180A"/>
    <w:rsid w:val="00E119B6"/>
    <w:rsid w:val="00E11CDB"/>
    <w:rsid w:val="00E11F4D"/>
    <w:rsid w:val="00E126AD"/>
    <w:rsid w:val="00E1275A"/>
    <w:rsid w:val="00E12818"/>
    <w:rsid w:val="00E12BDA"/>
    <w:rsid w:val="00E12C20"/>
    <w:rsid w:val="00E12CEC"/>
    <w:rsid w:val="00E12DCA"/>
    <w:rsid w:val="00E12F0B"/>
    <w:rsid w:val="00E131D6"/>
    <w:rsid w:val="00E1371D"/>
    <w:rsid w:val="00E1377B"/>
    <w:rsid w:val="00E137EC"/>
    <w:rsid w:val="00E138E8"/>
    <w:rsid w:val="00E14358"/>
    <w:rsid w:val="00E1437D"/>
    <w:rsid w:val="00E146C4"/>
    <w:rsid w:val="00E1471D"/>
    <w:rsid w:val="00E14849"/>
    <w:rsid w:val="00E14936"/>
    <w:rsid w:val="00E1494A"/>
    <w:rsid w:val="00E1494F"/>
    <w:rsid w:val="00E14968"/>
    <w:rsid w:val="00E1529B"/>
    <w:rsid w:val="00E155E0"/>
    <w:rsid w:val="00E1569E"/>
    <w:rsid w:val="00E159CF"/>
    <w:rsid w:val="00E15B2D"/>
    <w:rsid w:val="00E15CE2"/>
    <w:rsid w:val="00E15E96"/>
    <w:rsid w:val="00E15F7B"/>
    <w:rsid w:val="00E16111"/>
    <w:rsid w:val="00E163C2"/>
    <w:rsid w:val="00E1653A"/>
    <w:rsid w:val="00E168A0"/>
    <w:rsid w:val="00E16C8B"/>
    <w:rsid w:val="00E16E5B"/>
    <w:rsid w:val="00E17342"/>
    <w:rsid w:val="00E17398"/>
    <w:rsid w:val="00E178B6"/>
    <w:rsid w:val="00E17964"/>
    <w:rsid w:val="00E17B52"/>
    <w:rsid w:val="00E17C0B"/>
    <w:rsid w:val="00E17C18"/>
    <w:rsid w:val="00E200DD"/>
    <w:rsid w:val="00E20618"/>
    <w:rsid w:val="00E20912"/>
    <w:rsid w:val="00E20A6F"/>
    <w:rsid w:val="00E20BC1"/>
    <w:rsid w:val="00E20CD6"/>
    <w:rsid w:val="00E20FA8"/>
    <w:rsid w:val="00E211D0"/>
    <w:rsid w:val="00E2120F"/>
    <w:rsid w:val="00E2123A"/>
    <w:rsid w:val="00E2147C"/>
    <w:rsid w:val="00E2152F"/>
    <w:rsid w:val="00E21806"/>
    <w:rsid w:val="00E21D71"/>
    <w:rsid w:val="00E22173"/>
    <w:rsid w:val="00E22393"/>
    <w:rsid w:val="00E224F0"/>
    <w:rsid w:val="00E2269E"/>
    <w:rsid w:val="00E2288D"/>
    <w:rsid w:val="00E22951"/>
    <w:rsid w:val="00E229D1"/>
    <w:rsid w:val="00E22B50"/>
    <w:rsid w:val="00E22E37"/>
    <w:rsid w:val="00E22EAD"/>
    <w:rsid w:val="00E22F64"/>
    <w:rsid w:val="00E22F6F"/>
    <w:rsid w:val="00E22F91"/>
    <w:rsid w:val="00E23471"/>
    <w:rsid w:val="00E2365C"/>
    <w:rsid w:val="00E23910"/>
    <w:rsid w:val="00E23AD0"/>
    <w:rsid w:val="00E23B8B"/>
    <w:rsid w:val="00E23C67"/>
    <w:rsid w:val="00E23CEA"/>
    <w:rsid w:val="00E2409E"/>
    <w:rsid w:val="00E24216"/>
    <w:rsid w:val="00E24249"/>
    <w:rsid w:val="00E244E0"/>
    <w:rsid w:val="00E248AE"/>
    <w:rsid w:val="00E24A16"/>
    <w:rsid w:val="00E24A8B"/>
    <w:rsid w:val="00E24FC5"/>
    <w:rsid w:val="00E250DA"/>
    <w:rsid w:val="00E253F9"/>
    <w:rsid w:val="00E25857"/>
    <w:rsid w:val="00E25BC7"/>
    <w:rsid w:val="00E25CF3"/>
    <w:rsid w:val="00E25D06"/>
    <w:rsid w:val="00E25F02"/>
    <w:rsid w:val="00E260DE"/>
    <w:rsid w:val="00E2615C"/>
    <w:rsid w:val="00E269FF"/>
    <w:rsid w:val="00E26A1C"/>
    <w:rsid w:val="00E26ADF"/>
    <w:rsid w:val="00E26C36"/>
    <w:rsid w:val="00E26E0A"/>
    <w:rsid w:val="00E26F25"/>
    <w:rsid w:val="00E2741E"/>
    <w:rsid w:val="00E2765E"/>
    <w:rsid w:val="00E277FB"/>
    <w:rsid w:val="00E27CC8"/>
    <w:rsid w:val="00E27CE7"/>
    <w:rsid w:val="00E27D87"/>
    <w:rsid w:val="00E27EDA"/>
    <w:rsid w:val="00E30346"/>
    <w:rsid w:val="00E304E9"/>
    <w:rsid w:val="00E30627"/>
    <w:rsid w:val="00E30907"/>
    <w:rsid w:val="00E309D9"/>
    <w:rsid w:val="00E30BF1"/>
    <w:rsid w:val="00E30D6D"/>
    <w:rsid w:val="00E30F21"/>
    <w:rsid w:val="00E31219"/>
    <w:rsid w:val="00E31277"/>
    <w:rsid w:val="00E313D2"/>
    <w:rsid w:val="00E31A3B"/>
    <w:rsid w:val="00E31C45"/>
    <w:rsid w:val="00E31D35"/>
    <w:rsid w:val="00E31DE5"/>
    <w:rsid w:val="00E32099"/>
    <w:rsid w:val="00E32314"/>
    <w:rsid w:val="00E327FC"/>
    <w:rsid w:val="00E3285E"/>
    <w:rsid w:val="00E32AAD"/>
    <w:rsid w:val="00E32AD4"/>
    <w:rsid w:val="00E32C0F"/>
    <w:rsid w:val="00E32E78"/>
    <w:rsid w:val="00E32FF1"/>
    <w:rsid w:val="00E33157"/>
    <w:rsid w:val="00E3319A"/>
    <w:rsid w:val="00E332B7"/>
    <w:rsid w:val="00E336EA"/>
    <w:rsid w:val="00E33713"/>
    <w:rsid w:val="00E33784"/>
    <w:rsid w:val="00E337BD"/>
    <w:rsid w:val="00E33936"/>
    <w:rsid w:val="00E33A31"/>
    <w:rsid w:val="00E33A3A"/>
    <w:rsid w:val="00E33A41"/>
    <w:rsid w:val="00E33A96"/>
    <w:rsid w:val="00E33B32"/>
    <w:rsid w:val="00E33C87"/>
    <w:rsid w:val="00E33CEA"/>
    <w:rsid w:val="00E33DE4"/>
    <w:rsid w:val="00E33E16"/>
    <w:rsid w:val="00E346A9"/>
    <w:rsid w:val="00E347DE"/>
    <w:rsid w:val="00E34858"/>
    <w:rsid w:val="00E34907"/>
    <w:rsid w:val="00E3495D"/>
    <w:rsid w:val="00E349EE"/>
    <w:rsid w:val="00E350DE"/>
    <w:rsid w:val="00E353AE"/>
    <w:rsid w:val="00E356E5"/>
    <w:rsid w:val="00E357F1"/>
    <w:rsid w:val="00E35877"/>
    <w:rsid w:val="00E36B63"/>
    <w:rsid w:val="00E36EC0"/>
    <w:rsid w:val="00E36EF1"/>
    <w:rsid w:val="00E36F11"/>
    <w:rsid w:val="00E37136"/>
    <w:rsid w:val="00E371D8"/>
    <w:rsid w:val="00E371E4"/>
    <w:rsid w:val="00E37400"/>
    <w:rsid w:val="00E37623"/>
    <w:rsid w:val="00E377CA"/>
    <w:rsid w:val="00E37837"/>
    <w:rsid w:val="00E37917"/>
    <w:rsid w:val="00E37B36"/>
    <w:rsid w:val="00E37EFA"/>
    <w:rsid w:val="00E37FCC"/>
    <w:rsid w:val="00E400FA"/>
    <w:rsid w:val="00E4014F"/>
    <w:rsid w:val="00E402AF"/>
    <w:rsid w:val="00E407D1"/>
    <w:rsid w:val="00E40ABA"/>
    <w:rsid w:val="00E40CCF"/>
    <w:rsid w:val="00E40CE6"/>
    <w:rsid w:val="00E40D37"/>
    <w:rsid w:val="00E40DBA"/>
    <w:rsid w:val="00E40F51"/>
    <w:rsid w:val="00E4102D"/>
    <w:rsid w:val="00E4105F"/>
    <w:rsid w:val="00E412B0"/>
    <w:rsid w:val="00E413EF"/>
    <w:rsid w:val="00E416B0"/>
    <w:rsid w:val="00E41806"/>
    <w:rsid w:val="00E41858"/>
    <w:rsid w:val="00E41938"/>
    <w:rsid w:val="00E41A1F"/>
    <w:rsid w:val="00E41ABC"/>
    <w:rsid w:val="00E41FA1"/>
    <w:rsid w:val="00E420A6"/>
    <w:rsid w:val="00E421BA"/>
    <w:rsid w:val="00E422D9"/>
    <w:rsid w:val="00E42363"/>
    <w:rsid w:val="00E42519"/>
    <w:rsid w:val="00E42823"/>
    <w:rsid w:val="00E42881"/>
    <w:rsid w:val="00E429EF"/>
    <w:rsid w:val="00E42D0C"/>
    <w:rsid w:val="00E42F65"/>
    <w:rsid w:val="00E434BA"/>
    <w:rsid w:val="00E438F5"/>
    <w:rsid w:val="00E43F2C"/>
    <w:rsid w:val="00E43FE2"/>
    <w:rsid w:val="00E444FF"/>
    <w:rsid w:val="00E449CE"/>
    <w:rsid w:val="00E44A4D"/>
    <w:rsid w:val="00E44B6F"/>
    <w:rsid w:val="00E44B88"/>
    <w:rsid w:val="00E44C49"/>
    <w:rsid w:val="00E44CFA"/>
    <w:rsid w:val="00E44D2D"/>
    <w:rsid w:val="00E44DB2"/>
    <w:rsid w:val="00E44DBD"/>
    <w:rsid w:val="00E44E6D"/>
    <w:rsid w:val="00E44E80"/>
    <w:rsid w:val="00E45189"/>
    <w:rsid w:val="00E45555"/>
    <w:rsid w:val="00E4565D"/>
    <w:rsid w:val="00E45930"/>
    <w:rsid w:val="00E45A55"/>
    <w:rsid w:val="00E45C7F"/>
    <w:rsid w:val="00E45D00"/>
    <w:rsid w:val="00E45DCE"/>
    <w:rsid w:val="00E460DA"/>
    <w:rsid w:val="00E461A9"/>
    <w:rsid w:val="00E462F4"/>
    <w:rsid w:val="00E463C2"/>
    <w:rsid w:val="00E4647A"/>
    <w:rsid w:val="00E4648D"/>
    <w:rsid w:val="00E465DA"/>
    <w:rsid w:val="00E469FC"/>
    <w:rsid w:val="00E46BD7"/>
    <w:rsid w:val="00E46C3D"/>
    <w:rsid w:val="00E46C57"/>
    <w:rsid w:val="00E46D27"/>
    <w:rsid w:val="00E46DC2"/>
    <w:rsid w:val="00E46EB0"/>
    <w:rsid w:val="00E46FDE"/>
    <w:rsid w:val="00E47053"/>
    <w:rsid w:val="00E472E2"/>
    <w:rsid w:val="00E478C9"/>
    <w:rsid w:val="00E478D9"/>
    <w:rsid w:val="00E479A2"/>
    <w:rsid w:val="00E47E3B"/>
    <w:rsid w:val="00E47EFA"/>
    <w:rsid w:val="00E503AF"/>
    <w:rsid w:val="00E50526"/>
    <w:rsid w:val="00E505E1"/>
    <w:rsid w:val="00E5068A"/>
    <w:rsid w:val="00E5089A"/>
    <w:rsid w:val="00E509DF"/>
    <w:rsid w:val="00E50BE9"/>
    <w:rsid w:val="00E50E10"/>
    <w:rsid w:val="00E50EE8"/>
    <w:rsid w:val="00E5105D"/>
    <w:rsid w:val="00E510B9"/>
    <w:rsid w:val="00E513C4"/>
    <w:rsid w:val="00E516FC"/>
    <w:rsid w:val="00E517CA"/>
    <w:rsid w:val="00E51846"/>
    <w:rsid w:val="00E5197C"/>
    <w:rsid w:val="00E51AB0"/>
    <w:rsid w:val="00E51C67"/>
    <w:rsid w:val="00E51C92"/>
    <w:rsid w:val="00E51CBE"/>
    <w:rsid w:val="00E51FC8"/>
    <w:rsid w:val="00E521F1"/>
    <w:rsid w:val="00E52318"/>
    <w:rsid w:val="00E527C7"/>
    <w:rsid w:val="00E5299E"/>
    <w:rsid w:val="00E529B0"/>
    <w:rsid w:val="00E529BC"/>
    <w:rsid w:val="00E52B02"/>
    <w:rsid w:val="00E52D93"/>
    <w:rsid w:val="00E52F9C"/>
    <w:rsid w:val="00E530E2"/>
    <w:rsid w:val="00E530F7"/>
    <w:rsid w:val="00E531B1"/>
    <w:rsid w:val="00E532DE"/>
    <w:rsid w:val="00E53B4E"/>
    <w:rsid w:val="00E53BCA"/>
    <w:rsid w:val="00E53BD6"/>
    <w:rsid w:val="00E53C85"/>
    <w:rsid w:val="00E53D42"/>
    <w:rsid w:val="00E53F9D"/>
    <w:rsid w:val="00E540A2"/>
    <w:rsid w:val="00E542CB"/>
    <w:rsid w:val="00E5445D"/>
    <w:rsid w:val="00E54546"/>
    <w:rsid w:val="00E549DB"/>
    <w:rsid w:val="00E54F3C"/>
    <w:rsid w:val="00E54FA8"/>
    <w:rsid w:val="00E551E4"/>
    <w:rsid w:val="00E55304"/>
    <w:rsid w:val="00E55497"/>
    <w:rsid w:val="00E557E2"/>
    <w:rsid w:val="00E559D1"/>
    <w:rsid w:val="00E55D29"/>
    <w:rsid w:val="00E55F01"/>
    <w:rsid w:val="00E56100"/>
    <w:rsid w:val="00E56127"/>
    <w:rsid w:val="00E5628B"/>
    <w:rsid w:val="00E564B4"/>
    <w:rsid w:val="00E56B54"/>
    <w:rsid w:val="00E56D49"/>
    <w:rsid w:val="00E56DC4"/>
    <w:rsid w:val="00E5706F"/>
    <w:rsid w:val="00E570B9"/>
    <w:rsid w:val="00E57670"/>
    <w:rsid w:val="00E578D9"/>
    <w:rsid w:val="00E57943"/>
    <w:rsid w:val="00E57EE8"/>
    <w:rsid w:val="00E60097"/>
    <w:rsid w:val="00E6018F"/>
    <w:rsid w:val="00E60535"/>
    <w:rsid w:val="00E60670"/>
    <w:rsid w:val="00E607ED"/>
    <w:rsid w:val="00E60A13"/>
    <w:rsid w:val="00E60C7B"/>
    <w:rsid w:val="00E60E70"/>
    <w:rsid w:val="00E60E85"/>
    <w:rsid w:val="00E61222"/>
    <w:rsid w:val="00E61467"/>
    <w:rsid w:val="00E61710"/>
    <w:rsid w:val="00E61904"/>
    <w:rsid w:val="00E61A1D"/>
    <w:rsid w:val="00E61B82"/>
    <w:rsid w:val="00E61CEB"/>
    <w:rsid w:val="00E61DF6"/>
    <w:rsid w:val="00E62287"/>
    <w:rsid w:val="00E622F5"/>
    <w:rsid w:val="00E627FC"/>
    <w:rsid w:val="00E62AEC"/>
    <w:rsid w:val="00E62B34"/>
    <w:rsid w:val="00E63340"/>
    <w:rsid w:val="00E634AE"/>
    <w:rsid w:val="00E636CD"/>
    <w:rsid w:val="00E6371E"/>
    <w:rsid w:val="00E63941"/>
    <w:rsid w:val="00E63A0C"/>
    <w:rsid w:val="00E63A12"/>
    <w:rsid w:val="00E63D7D"/>
    <w:rsid w:val="00E63F03"/>
    <w:rsid w:val="00E63F24"/>
    <w:rsid w:val="00E64033"/>
    <w:rsid w:val="00E64100"/>
    <w:rsid w:val="00E641D6"/>
    <w:rsid w:val="00E642B6"/>
    <w:rsid w:val="00E6436D"/>
    <w:rsid w:val="00E643D1"/>
    <w:rsid w:val="00E64944"/>
    <w:rsid w:val="00E64BF8"/>
    <w:rsid w:val="00E64C03"/>
    <w:rsid w:val="00E64CD7"/>
    <w:rsid w:val="00E6542A"/>
    <w:rsid w:val="00E6578F"/>
    <w:rsid w:val="00E65BBB"/>
    <w:rsid w:val="00E65E32"/>
    <w:rsid w:val="00E6608D"/>
    <w:rsid w:val="00E6618D"/>
    <w:rsid w:val="00E661AD"/>
    <w:rsid w:val="00E661C2"/>
    <w:rsid w:val="00E6634A"/>
    <w:rsid w:val="00E66542"/>
    <w:rsid w:val="00E668DB"/>
    <w:rsid w:val="00E668F8"/>
    <w:rsid w:val="00E66B50"/>
    <w:rsid w:val="00E66BF9"/>
    <w:rsid w:val="00E66DB2"/>
    <w:rsid w:val="00E66DE9"/>
    <w:rsid w:val="00E67180"/>
    <w:rsid w:val="00E67AD7"/>
    <w:rsid w:val="00E67C58"/>
    <w:rsid w:val="00E67E5A"/>
    <w:rsid w:val="00E700F1"/>
    <w:rsid w:val="00E70180"/>
    <w:rsid w:val="00E70685"/>
    <w:rsid w:val="00E706A1"/>
    <w:rsid w:val="00E70BB7"/>
    <w:rsid w:val="00E70E8C"/>
    <w:rsid w:val="00E70F50"/>
    <w:rsid w:val="00E71083"/>
    <w:rsid w:val="00E71453"/>
    <w:rsid w:val="00E71528"/>
    <w:rsid w:val="00E71B3A"/>
    <w:rsid w:val="00E71B66"/>
    <w:rsid w:val="00E71BCF"/>
    <w:rsid w:val="00E71CB3"/>
    <w:rsid w:val="00E71E02"/>
    <w:rsid w:val="00E72148"/>
    <w:rsid w:val="00E72425"/>
    <w:rsid w:val="00E7242C"/>
    <w:rsid w:val="00E726E5"/>
    <w:rsid w:val="00E727BB"/>
    <w:rsid w:val="00E72A21"/>
    <w:rsid w:val="00E72D63"/>
    <w:rsid w:val="00E72F35"/>
    <w:rsid w:val="00E7353F"/>
    <w:rsid w:val="00E7369D"/>
    <w:rsid w:val="00E73811"/>
    <w:rsid w:val="00E73930"/>
    <w:rsid w:val="00E73938"/>
    <w:rsid w:val="00E73C2C"/>
    <w:rsid w:val="00E7404C"/>
    <w:rsid w:val="00E744A7"/>
    <w:rsid w:val="00E7468D"/>
    <w:rsid w:val="00E74A28"/>
    <w:rsid w:val="00E74C01"/>
    <w:rsid w:val="00E74E72"/>
    <w:rsid w:val="00E75322"/>
    <w:rsid w:val="00E7538E"/>
    <w:rsid w:val="00E753ED"/>
    <w:rsid w:val="00E7558D"/>
    <w:rsid w:val="00E75591"/>
    <w:rsid w:val="00E7586B"/>
    <w:rsid w:val="00E75AB8"/>
    <w:rsid w:val="00E75D29"/>
    <w:rsid w:val="00E75F6A"/>
    <w:rsid w:val="00E76023"/>
    <w:rsid w:val="00E7622C"/>
    <w:rsid w:val="00E766F4"/>
    <w:rsid w:val="00E7670A"/>
    <w:rsid w:val="00E767E1"/>
    <w:rsid w:val="00E768E0"/>
    <w:rsid w:val="00E76AB9"/>
    <w:rsid w:val="00E76C43"/>
    <w:rsid w:val="00E76F4B"/>
    <w:rsid w:val="00E76FC7"/>
    <w:rsid w:val="00E77114"/>
    <w:rsid w:val="00E771DB"/>
    <w:rsid w:val="00E7748C"/>
    <w:rsid w:val="00E77543"/>
    <w:rsid w:val="00E775B9"/>
    <w:rsid w:val="00E77651"/>
    <w:rsid w:val="00E77824"/>
    <w:rsid w:val="00E7790E"/>
    <w:rsid w:val="00E77B22"/>
    <w:rsid w:val="00E77C28"/>
    <w:rsid w:val="00E77F2B"/>
    <w:rsid w:val="00E8009F"/>
    <w:rsid w:val="00E800E7"/>
    <w:rsid w:val="00E80166"/>
    <w:rsid w:val="00E8044E"/>
    <w:rsid w:val="00E805C6"/>
    <w:rsid w:val="00E80876"/>
    <w:rsid w:val="00E80AF0"/>
    <w:rsid w:val="00E80CA2"/>
    <w:rsid w:val="00E8103E"/>
    <w:rsid w:val="00E812E9"/>
    <w:rsid w:val="00E81843"/>
    <w:rsid w:val="00E819CA"/>
    <w:rsid w:val="00E819FA"/>
    <w:rsid w:val="00E81CD7"/>
    <w:rsid w:val="00E823B3"/>
    <w:rsid w:val="00E8240B"/>
    <w:rsid w:val="00E8248D"/>
    <w:rsid w:val="00E825A9"/>
    <w:rsid w:val="00E825E2"/>
    <w:rsid w:val="00E825FD"/>
    <w:rsid w:val="00E8277D"/>
    <w:rsid w:val="00E82AE0"/>
    <w:rsid w:val="00E82C2A"/>
    <w:rsid w:val="00E82C33"/>
    <w:rsid w:val="00E82DCC"/>
    <w:rsid w:val="00E82E5F"/>
    <w:rsid w:val="00E82FC3"/>
    <w:rsid w:val="00E83023"/>
    <w:rsid w:val="00E8314F"/>
    <w:rsid w:val="00E8335D"/>
    <w:rsid w:val="00E834E0"/>
    <w:rsid w:val="00E8383C"/>
    <w:rsid w:val="00E838BA"/>
    <w:rsid w:val="00E83D32"/>
    <w:rsid w:val="00E83FAD"/>
    <w:rsid w:val="00E840B1"/>
    <w:rsid w:val="00E84118"/>
    <w:rsid w:val="00E84127"/>
    <w:rsid w:val="00E84296"/>
    <w:rsid w:val="00E84593"/>
    <w:rsid w:val="00E845C3"/>
    <w:rsid w:val="00E84A45"/>
    <w:rsid w:val="00E84C05"/>
    <w:rsid w:val="00E84C90"/>
    <w:rsid w:val="00E84D97"/>
    <w:rsid w:val="00E84DB0"/>
    <w:rsid w:val="00E84E1D"/>
    <w:rsid w:val="00E8511F"/>
    <w:rsid w:val="00E85242"/>
    <w:rsid w:val="00E85409"/>
    <w:rsid w:val="00E8579A"/>
    <w:rsid w:val="00E85BC3"/>
    <w:rsid w:val="00E85D03"/>
    <w:rsid w:val="00E85FC3"/>
    <w:rsid w:val="00E86B27"/>
    <w:rsid w:val="00E86BE9"/>
    <w:rsid w:val="00E86C47"/>
    <w:rsid w:val="00E8706E"/>
    <w:rsid w:val="00E8710E"/>
    <w:rsid w:val="00E872C6"/>
    <w:rsid w:val="00E87392"/>
    <w:rsid w:val="00E873F1"/>
    <w:rsid w:val="00E87557"/>
    <w:rsid w:val="00E87A38"/>
    <w:rsid w:val="00E87D66"/>
    <w:rsid w:val="00E87E32"/>
    <w:rsid w:val="00E901DB"/>
    <w:rsid w:val="00E9033A"/>
    <w:rsid w:val="00E9048D"/>
    <w:rsid w:val="00E904D9"/>
    <w:rsid w:val="00E90ABA"/>
    <w:rsid w:val="00E90F28"/>
    <w:rsid w:val="00E90F8B"/>
    <w:rsid w:val="00E90FFC"/>
    <w:rsid w:val="00E911A5"/>
    <w:rsid w:val="00E91375"/>
    <w:rsid w:val="00E91485"/>
    <w:rsid w:val="00E9185C"/>
    <w:rsid w:val="00E919B7"/>
    <w:rsid w:val="00E91DA4"/>
    <w:rsid w:val="00E92162"/>
    <w:rsid w:val="00E921BD"/>
    <w:rsid w:val="00E92488"/>
    <w:rsid w:val="00E92579"/>
    <w:rsid w:val="00E9259A"/>
    <w:rsid w:val="00E925BA"/>
    <w:rsid w:val="00E92942"/>
    <w:rsid w:val="00E92A8F"/>
    <w:rsid w:val="00E92CAD"/>
    <w:rsid w:val="00E92CB1"/>
    <w:rsid w:val="00E92D46"/>
    <w:rsid w:val="00E92EC8"/>
    <w:rsid w:val="00E931E0"/>
    <w:rsid w:val="00E933FD"/>
    <w:rsid w:val="00E93428"/>
    <w:rsid w:val="00E93585"/>
    <w:rsid w:val="00E93766"/>
    <w:rsid w:val="00E93779"/>
    <w:rsid w:val="00E93E41"/>
    <w:rsid w:val="00E9430A"/>
    <w:rsid w:val="00E94334"/>
    <w:rsid w:val="00E94A63"/>
    <w:rsid w:val="00E94AA6"/>
    <w:rsid w:val="00E94D6E"/>
    <w:rsid w:val="00E94ED5"/>
    <w:rsid w:val="00E9505A"/>
    <w:rsid w:val="00E9508C"/>
    <w:rsid w:val="00E95274"/>
    <w:rsid w:val="00E95379"/>
    <w:rsid w:val="00E95592"/>
    <w:rsid w:val="00E955D9"/>
    <w:rsid w:val="00E95645"/>
    <w:rsid w:val="00E9582F"/>
    <w:rsid w:val="00E95999"/>
    <w:rsid w:val="00E95B6D"/>
    <w:rsid w:val="00E95C9E"/>
    <w:rsid w:val="00E9619B"/>
    <w:rsid w:val="00E96212"/>
    <w:rsid w:val="00E96328"/>
    <w:rsid w:val="00E96382"/>
    <w:rsid w:val="00E9664D"/>
    <w:rsid w:val="00E9674F"/>
    <w:rsid w:val="00E967CE"/>
    <w:rsid w:val="00E968EE"/>
    <w:rsid w:val="00E969BD"/>
    <w:rsid w:val="00E96A84"/>
    <w:rsid w:val="00E96B33"/>
    <w:rsid w:val="00E96BBE"/>
    <w:rsid w:val="00E970DD"/>
    <w:rsid w:val="00E975F0"/>
    <w:rsid w:val="00E97716"/>
    <w:rsid w:val="00E97974"/>
    <w:rsid w:val="00E97E00"/>
    <w:rsid w:val="00EA00FC"/>
    <w:rsid w:val="00EA013F"/>
    <w:rsid w:val="00EA01E2"/>
    <w:rsid w:val="00EA026A"/>
    <w:rsid w:val="00EA04B3"/>
    <w:rsid w:val="00EA04F6"/>
    <w:rsid w:val="00EA05EE"/>
    <w:rsid w:val="00EA0644"/>
    <w:rsid w:val="00EA0692"/>
    <w:rsid w:val="00EA06E0"/>
    <w:rsid w:val="00EA091A"/>
    <w:rsid w:val="00EA0E0D"/>
    <w:rsid w:val="00EA0EB9"/>
    <w:rsid w:val="00EA0ECE"/>
    <w:rsid w:val="00EA11B0"/>
    <w:rsid w:val="00EA148B"/>
    <w:rsid w:val="00EA1515"/>
    <w:rsid w:val="00EA18C0"/>
    <w:rsid w:val="00EA1B0F"/>
    <w:rsid w:val="00EA1BD5"/>
    <w:rsid w:val="00EA1E1A"/>
    <w:rsid w:val="00EA1EA8"/>
    <w:rsid w:val="00EA21B8"/>
    <w:rsid w:val="00EA227E"/>
    <w:rsid w:val="00EA2328"/>
    <w:rsid w:val="00EA2335"/>
    <w:rsid w:val="00EA243B"/>
    <w:rsid w:val="00EA262C"/>
    <w:rsid w:val="00EA2783"/>
    <w:rsid w:val="00EA280D"/>
    <w:rsid w:val="00EA2878"/>
    <w:rsid w:val="00EA28D0"/>
    <w:rsid w:val="00EA2AD3"/>
    <w:rsid w:val="00EA2D61"/>
    <w:rsid w:val="00EA2DD3"/>
    <w:rsid w:val="00EA2ECB"/>
    <w:rsid w:val="00EA32CF"/>
    <w:rsid w:val="00EA3320"/>
    <w:rsid w:val="00EA3415"/>
    <w:rsid w:val="00EA345F"/>
    <w:rsid w:val="00EA3ADF"/>
    <w:rsid w:val="00EA3B19"/>
    <w:rsid w:val="00EA4456"/>
    <w:rsid w:val="00EA48AF"/>
    <w:rsid w:val="00EA4919"/>
    <w:rsid w:val="00EA5263"/>
    <w:rsid w:val="00EA536E"/>
    <w:rsid w:val="00EA54B3"/>
    <w:rsid w:val="00EA58A1"/>
    <w:rsid w:val="00EA5948"/>
    <w:rsid w:val="00EA5AD4"/>
    <w:rsid w:val="00EA5EEA"/>
    <w:rsid w:val="00EA6262"/>
    <w:rsid w:val="00EA65D7"/>
    <w:rsid w:val="00EA6865"/>
    <w:rsid w:val="00EA6FCD"/>
    <w:rsid w:val="00EA77C1"/>
    <w:rsid w:val="00EA78A9"/>
    <w:rsid w:val="00EA7BCC"/>
    <w:rsid w:val="00EA7BF2"/>
    <w:rsid w:val="00EA7DAF"/>
    <w:rsid w:val="00EA7F71"/>
    <w:rsid w:val="00EB044B"/>
    <w:rsid w:val="00EB0577"/>
    <w:rsid w:val="00EB071E"/>
    <w:rsid w:val="00EB0E25"/>
    <w:rsid w:val="00EB0EB4"/>
    <w:rsid w:val="00EB1341"/>
    <w:rsid w:val="00EB136E"/>
    <w:rsid w:val="00EB14EF"/>
    <w:rsid w:val="00EB153F"/>
    <w:rsid w:val="00EB180B"/>
    <w:rsid w:val="00EB19A3"/>
    <w:rsid w:val="00EB1AD8"/>
    <w:rsid w:val="00EB1BB0"/>
    <w:rsid w:val="00EB1CE2"/>
    <w:rsid w:val="00EB1D96"/>
    <w:rsid w:val="00EB2078"/>
    <w:rsid w:val="00EB20B7"/>
    <w:rsid w:val="00EB27E6"/>
    <w:rsid w:val="00EB2E58"/>
    <w:rsid w:val="00EB303F"/>
    <w:rsid w:val="00EB3041"/>
    <w:rsid w:val="00EB3070"/>
    <w:rsid w:val="00EB31A8"/>
    <w:rsid w:val="00EB31AD"/>
    <w:rsid w:val="00EB33DE"/>
    <w:rsid w:val="00EB34AC"/>
    <w:rsid w:val="00EB392A"/>
    <w:rsid w:val="00EB39A4"/>
    <w:rsid w:val="00EB3AFC"/>
    <w:rsid w:val="00EB3EA8"/>
    <w:rsid w:val="00EB420B"/>
    <w:rsid w:val="00EB4255"/>
    <w:rsid w:val="00EB49D0"/>
    <w:rsid w:val="00EB4DCE"/>
    <w:rsid w:val="00EB50F6"/>
    <w:rsid w:val="00EB5458"/>
    <w:rsid w:val="00EB5641"/>
    <w:rsid w:val="00EB5726"/>
    <w:rsid w:val="00EB575F"/>
    <w:rsid w:val="00EB59E2"/>
    <w:rsid w:val="00EB5B24"/>
    <w:rsid w:val="00EB5F5A"/>
    <w:rsid w:val="00EB604C"/>
    <w:rsid w:val="00EB633A"/>
    <w:rsid w:val="00EB6446"/>
    <w:rsid w:val="00EB65F6"/>
    <w:rsid w:val="00EB66DD"/>
    <w:rsid w:val="00EB6788"/>
    <w:rsid w:val="00EB6843"/>
    <w:rsid w:val="00EB68B1"/>
    <w:rsid w:val="00EB6A8A"/>
    <w:rsid w:val="00EB6ABA"/>
    <w:rsid w:val="00EB7098"/>
    <w:rsid w:val="00EB75D0"/>
    <w:rsid w:val="00EB762C"/>
    <w:rsid w:val="00EB7688"/>
    <w:rsid w:val="00EB7A8A"/>
    <w:rsid w:val="00EB7ABB"/>
    <w:rsid w:val="00EB7CF5"/>
    <w:rsid w:val="00EB7EA5"/>
    <w:rsid w:val="00EB7F4E"/>
    <w:rsid w:val="00EB7FA1"/>
    <w:rsid w:val="00EB7FFB"/>
    <w:rsid w:val="00EC004F"/>
    <w:rsid w:val="00EC0053"/>
    <w:rsid w:val="00EC00EC"/>
    <w:rsid w:val="00EC0306"/>
    <w:rsid w:val="00EC063E"/>
    <w:rsid w:val="00EC0767"/>
    <w:rsid w:val="00EC08EC"/>
    <w:rsid w:val="00EC09DD"/>
    <w:rsid w:val="00EC0A18"/>
    <w:rsid w:val="00EC0C73"/>
    <w:rsid w:val="00EC0E76"/>
    <w:rsid w:val="00EC0F11"/>
    <w:rsid w:val="00EC0F5F"/>
    <w:rsid w:val="00EC10A7"/>
    <w:rsid w:val="00EC10F7"/>
    <w:rsid w:val="00EC1AA5"/>
    <w:rsid w:val="00EC214D"/>
    <w:rsid w:val="00EC2475"/>
    <w:rsid w:val="00EC256C"/>
    <w:rsid w:val="00EC2CA2"/>
    <w:rsid w:val="00EC33CF"/>
    <w:rsid w:val="00EC3470"/>
    <w:rsid w:val="00EC358C"/>
    <w:rsid w:val="00EC369E"/>
    <w:rsid w:val="00EC36C2"/>
    <w:rsid w:val="00EC4524"/>
    <w:rsid w:val="00EC4570"/>
    <w:rsid w:val="00EC4630"/>
    <w:rsid w:val="00EC485A"/>
    <w:rsid w:val="00EC4950"/>
    <w:rsid w:val="00EC4C0D"/>
    <w:rsid w:val="00EC4F1A"/>
    <w:rsid w:val="00EC4FC9"/>
    <w:rsid w:val="00EC5414"/>
    <w:rsid w:val="00EC5500"/>
    <w:rsid w:val="00EC5AB7"/>
    <w:rsid w:val="00EC5B1A"/>
    <w:rsid w:val="00EC5B5F"/>
    <w:rsid w:val="00EC5C2F"/>
    <w:rsid w:val="00EC5C5A"/>
    <w:rsid w:val="00EC6012"/>
    <w:rsid w:val="00EC64DE"/>
    <w:rsid w:val="00EC64F0"/>
    <w:rsid w:val="00EC66F0"/>
    <w:rsid w:val="00EC67D8"/>
    <w:rsid w:val="00EC67F0"/>
    <w:rsid w:val="00EC6843"/>
    <w:rsid w:val="00EC6F0C"/>
    <w:rsid w:val="00EC7006"/>
    <w:rsid w:val="00EC71A1"/>
    <w:rsid w:val="00EC7909"/>
    <w:rsid w:val="00EC7960"/>
    <w:rsid w:val="00EC7A23"/>
    <w:rsid w:val="00EC7AA0"/>
    <w:rsid w:val="00EC7E20"/>
    <w:rsid w:val="00EC7E30"/>
    <w:rsid w:val="00EC7F0C"/>
    <w:rsid w:val="00EC7F13"/>
    <w:rsid w:val="00ED0074"/>
    <w:rsid w:val="00ED00CA"/>
    <w:rsid w:val="00ED0483"/>
    <w:rsid w:val="00ED05DF"/>
    <w:rsid w:val="00ED09BD"/>
    <w:rsid w:val="00ED0A2F"/>
    <w:rsid w:val="00ED0D9A"/>
    <w:rsid w:val="00ED1102"/>
    <w:rsid w:val="00ED11C3"/>
    <w:rsid w:val="00ED11FF"/>
    <w:rsid w:val="00ED145C"/>
    <w:rsid w:val="00ED151A"/>
    <w:rsid w:val="00ED17E2"/>
    <w:rsid w:val="00ED1E12"/>
    <w:rsid w:val="00ED1F1F"/>
    <w:rsid w:val="00ED278D"/>
    <w:rsid w:val="00ED2944"/>
    <w:rsid w:val="00ED2D16"/>
    <w:rsid w:val="00ED2FC8"/>
    <w:rsid w:val="00ED30CD"/>
    <w:rsid w:val="00ED30E8"/>
    <w:rsid w:val="00ED331C"/>
    <w:rsid w:val="00ED3540"/>
    <w:rsid w:val="00ED354E"/>
    <w:rsid w:val="00ED35CA"/>
    <w:rsid w:val="00ED39CC"/>
    <w:rsid w:val="00ED3B76"/>
    <w:rsid w:val="00ED409F"/>
    <w:rsid w:val="00ED41E4"/>
    <w:rsid w:val="00ED41E9"/>
    <w:rsid w:val="00ED46E0"/>
    <w:rsid w:val="00ED47D9"/>
    <w:rsid w:val="00ED4AA0"/>
    <w:rsid w:val="00ED4B02"/>
    <w:rsid w:val="00ED4B6B"/>
    <w:rsid w:val="00ED4C09"/>
    <w:rsid w:val="00ED4D03"/>
    <w:rsid w:val="00ED4D38"/>
    <w:rsid w:val="00ED4EBF"/>
    <w:rsid w:val="00ED5392"/>
    <w:rsid w:val="00ED53B6"/>
    <w:rsid w:val="00ED53D6"/>
    <w:rsid w:val="00ED53D8"/>
    <w:rsid w:val="00ED54BC"/>
    <w:rsid w:val="00ED6008"/>
    <w:rsid w:val="00ED610C"/>
    <w:rsid w:val="00ED61F4"/>
    <w:rsid w:val="00ED634B"/>
    <w:rsid w:val="00ED66B6"/>
    <w:rsid w:val="00ED6709"/>
    <w:rsid w:val="00ED695A"/>
    <w:rsid w:val="00ED6B92"/>
    <w:rsid w:val="00ED6BFA"/>
    <w:rsid w:val="00ED6D6B"/>
    <w:rsid w:val="00ED6EAF"/>
    <w:rsid w:val="00ED6EEF"/>
    <w:rsid w:val="00ED6F34"/>
    <w:rsid w:val="00ED7178"/>
    <w:rsid w:val="00ED71DB"/>
    <w:rsid w:val="00ED726D"/>
    <w:rsid w:val="00ED7301"/>
    <w:rsid w:val="00ED7388"/>
    <w:rsid w:val="00ED7A5F"/>
    <w:rsid w:val="00ED7AFF"/>
    <w:rsid w:val="00ED7C5B"/>
    <w:rsid w:val="00ED7DEC"/>
    <w:rsid w:val="00EE006E"/>
    <w:rsid w:val="00EE0487"/>
    <w:rsid w:val="00EE07D8"/>
    <w:rsid w:val="00EE0C1F"/>
    <w:rsid w:val="00EE0C64"/>
    <w:rsid w:val="00EE0E81"/>
    <w:rsid w:val="00EE0F91"/>
    <w:rsid w:val="00EE10F8"/>
    <w:rsid w:val="00EE124C"/>
    <w:rsid w:val="00EE1278"/>
    <w:rsid w:val="00EE1308"/>
    <w:rsid w:val="00EE13B1"/>
    <w:rsid w:val="00EE1462"/>
    <w:rsid w:val="00EE168A"/>
    <w:rsid w:val="00EE204F"/>
    <w:rsid w:val="00EE2102"/>
    <w:rsid w:val="00EE224E"/>
    <w:rsid w:val="00EE23E9"/>
    <w:rsid w:val="00EE24A6"/>
    <w:rsid w:val="00EE27A1"/>
    <w:rsid w:val="00EE2A5C"/>
    <w:rsid w:val="00EE33D3"/>
    <w:rsid w:val="00EE3B04"/>
    <w:rsid w:val="00EE3D40"/>
    <w:rsid w:val="00EE3E66"/>
    <w:rsid w:val="00EE3EF3"/>
    <w:rsid w:val="00EE3EF7"/>
    <w:rsid w:val="00EE3EF8"/>
    <w:rsid w:val="00EE3F08"/>
    <w:rsid w:val="00EE410B"/>
    <w:rsid w:val="00EE4204"/>
    <w:rsid w:val="00EE4402"/>
    <w:rsid w:val="00EE4449"/>
    <w:rsid w:val="00EE4485"/>
    <w:rsid w:val="00EE4498"/>
    <w:rsid w:val="00EE44A1"/>
    <w:rsid w:val="00EE45DD"/>
    <w:rsid w:val="00EE45F2"/>
    <w:rsid w:val="00EE48EE"/>
    <w:rsid w:val="00EE4B80"/>
    <w:rsid w:val="00EE4C53"/>
    <w:rsid w:val="00EE4CBC"/>
    <w:rsid w:val="00EE50DD"/>
    <w:rsid w:val="00EE546D"/>
    <w:rsid w:val="00EE5545"/>
    <w:rsid w:val="00EE55A2"/>
    <w:rsid w:val="00EE5703"/>
    <w:rsid w:val="00EE5A2E"/>
    <w:rsid w:val="00EE66D3"/>
    <w:rsid w:val="00EE6789"/>
    <w:rsid w:val="00EE6B14"/>
    <w:rsid w:val="00EE6D4E"/>
    <w:rsid w:val="00EE70BC"/>
    <w:rsid w:val="00EE71A1"/>
    <w:rsid w:val="00EE71D8"/>
    <w:rsid w:val="00EE721D"/>
    <w:rsid w:val="00EE7412"/>
    <w:rsid w:val="00EE74CC"/>
    <w:rsid w:val="00EE7732"/>
    <w:rsid w:val="00EE7898"/>
    <w:rsid w:val="00EE78F8"/>
    <w:rsid w:val="00EE7902"/>
    <w:rsid w:val="00EE7966"/>
    <w:rsid w:val="00EE7A0E"/>
    <w:rsid w:val="00EE7BA7"/>
    <w:rsid w:val="00EF0103"/>
    <w:rsid w:val="00EF025A"/>
    <w:rsid w:val="00EF037D"/>
    <w:rsid w:val="00EF040A"/>
    <w:rsid w:val="00EF0529"/>
    <w:rsid w:val="00EF0617"/>
    <w:rsid w:val="00EF08D0"/>
    <w:rsid w:val="00EF09D8"/>
    <w:rsid w:val="00EF0B82"/>
    <w:rsid w:val="00EF0DE5"/>
    <w:rsid w:val="00EF0E4E"/>
    <w:rsid w:val="00EF12D2"/>
    <w:rsid w:val="00EF16EE"/>
    <w:rsid w:val="00EF1753"/>
    <w:rsid w:val="00EF1853"/>
    <w:rsid w:val="00EF1C70"/>
    <w:rsid w:val="00EF1E5E"/>
    <w:rsid w:val="00EF1F5B"/>
    <w:rsid w:val="00EF20ED"/>
    <w:rsid w:val="00EF246D"/>
    <w:rsid w:val="00EF2511"/>
    <w:rsid w:val="00EF2618"/>
    <w:rsid w:val="00EF274B"/>
    <w:rsid w:val="00EF29F6"/>
    <w:rsid w:val="00EF2A5E"/>
    <w:rsid w:val="00EF2DE8"/>
    <w:rsid w:val="00EF2F3A"/>
    <w:rsid w:val="00EF303F"/>
    <w:rsid w:val="00EF31F4"/>
    <w:rsid w:val="00EF32AC"/>
    <w:rsid w:val="00EF346D"/>
    <w:rsid w:val="00EF3588"/>
    <w:rsid w:val="00EF35C6"/>
    <w:rsid w:val="00EF3635"/>
    <w:rsid w:val="00EF367D"/>
    <w:rsid w:val="00EF36A4"/>
    <w:rsid w:val="00EF3734"/>
    <w:rsid w:val="00EF37CD"/>
    <w:rsid w:val="00EF3914"/>
    <w:rsid w:val="00EF3CB9"/>
    <w:rsid w:val="00EF3CD5"/>
    <w:rsid w:val="00EF3FBD"/>
    <w:rsid w:val="00EF4190"/>
    <w:rsid w:val="00EF4574"/>
    <w:rsid w:val="00EF4649"/>
    <w:rsid w:val="00EF46CD"/>
    <w:rsid w:val="00EF4A74"/>
    <w:rsid w:val="00EF4D20"/>
    <w:rsid w:val="00EF4E18"/>
    <w:rsid w:val="00EF4E6B"/>
    <w:rsid w:val="00EF5185"/>
    <w:rsid w:val="00EF54AC"/>
    <w:rsid w:val="00EF59CE"/>
    <w:rsid w:val="00EF5AD6"/>
    <w:rsid w:val="00EF5D9A"/>
    <w:rsid w:val="00EF61D5"/>
    <w:rsid w:val="00EF6327"/>
    <w:rsid w:val="00EF661D"/>
    <w:rsid w:val="00EF6626"/>
    <w:rsid w:val="00EF6632"/>
    <w:rsid w:val="00EF6641"/>
    <w:rsid w:val="00EF6E41"/>
    <w:rsid w:val="00EF6EDF"/>
    <w:rsid w:val="00EF6F30"/>
    <w:rsid w:val="00EF71F3"/>
    <w:rsid w:val="00EF7739"/>
    <w:rsid w:val="00EF7804"/>
    <w:rsid w:val="00F001B7"/>
    <w:rsid w:val="00F003FC"/>
    <w:rsid w:val="00F00768"/>
    <w:rsid w:val="00F00890"/>
    <w:rsid w:val="00F009F2"/>
    <w:rsid w:val="00F00A02"/>
    <w:rsid w:val="00F00C56"/>
    <w:rsid w:val="00F0102C"/>
    <w:rsid w:val="00F01149"/>
    <w:rsid w:val="00F0165D"/>
    <w:rsid w:val="00F01AFE"/>
    <w:rsid w:val="00F021C6"/>
    <w:rsid w:val="00F02302"/>
    <w:rsid w:val="00F02316"/>
    <w:rsid w:val="00F02364"/>
    <w:rsid w:val="00F02379"/>
    <w:rsid w:val="00F02412"/>
    <w:rsid w:val="00F026DA"/>
    <w:rsid w:val="00F02740"/>
    <w:rsid w:val="00F027B6"/>
    <w:rsid w:val="00F02939"/>
    <w:rsid w:val="00F02F57"/>
    <w:rsid w:val="00F037A3"/>
    <w:rsid w:val="00F038D7"/>
    <w:rsid w:val="00F03A1A"/>
    <w:rsid w:val="00F03B29"/>
    <w:rsid w:val="00F03DD7"/>
    <w:rsid w:val="00F04311"/>
    <w:rsid w:val="00F04320"/>
    <w:rsid w:val="00F04774"/>
    <w:rsid w:val="00F047EA"/>
    <w:rsid w:val="00F047FE"/>
    <w:rsid w:val="00F04928"/>
    <w:rsid w:val="00F04C15"/>
    <w:rsid w:val="00F04D5C"/>
    <w:rsid w:val="00F0503E"/>
    <w:rsid w:val="00F05557"/>
    <w:rsid w:val="00F055E3"/>
    <w:rsid w:val="00F057EC"/>
    <w:rsid w:val="00F0597A"/>
    <w:rsid w:val="00F05A3F"/>
    <w:rsid w:val="00F05EE2"/>
    <w:rsid w:val="00F061AE"/>
    <w:rsid w:val="00F06202"/>
    <w:rsid w:val="00F0637B"/>
    <w:rsid w:val="00F063E3"/>
    <w:rsid w:val="00F06500"/>
    <w:rsid w:val="00F066D3"/>
    <w:rsid w:val="00F068C8"/>
    <w:rsid w:val="00F06B4F"/>
    <w:rsid w:val="00F06D25"/>
    <w:rsid w:val="00F06DEE"/>
    <w:rsid w:val="00F06F1B"/>
    <w:rsid w:val="00F06F46"/>
    <w:rsid w:val="00F070ED"/>
    <w:rsid w:val="00F075F5"/>
    <w:rsid w:val="00F0772F"/>
    <w:rsid w:val="00F07774"/>
    <w:rsid w:val="00F079A8"/>
    <w:rsid w:val="00F079AE"/>
    <w:rsid w:val="00F07A3D"/>
    <w:rsid w:val="00F10487"/>
    <w:rsid w:val="00F10650"/>
    <w:rsid w:val="00F109D0"/>
    <w:rsid w:val="00F10BA4"/>
    <w:rsid w:val="00F10BBD"/>
    <w:rsid w:val="00F10C27"/>
    <w:rsid w:val="00F10C29"/>
    <w:rsid w:val="00F110AD"/>
    <w:rsid w:val="00F111C2"/>
    <w:rsid w:val="00F112A1"/>
    <w:rsid w:val="00F11347"/>
    <w:rsid w:val="00F11392"/>
    <w:rsid w:val="00F1196F"/>
    <w:rsid w:val="00F11BDB"/>
    <w:rsid w:val="00F11BEE"/>
    <w:rsid w:val="00F11F04"/>
    <w:rsid w:val="00F120A1"/>
    <w:rsid w:val="00F121BF"/>
    <w:rsid w:val="00F1280F"/>
    <w:rsid w:val="00F129FC"/>
    <w:rsid w:val="00F12A72"/>
    <w:rsid w:val="00F12C08"/>
    <w:rsid w:val="00F13087"/>
    <w:rsid w:val="00F130A6"/>
    <w:rsid w:val="00F1315B"/>
    <w:rsid w:val="00F133C0"/>
    <w:rsid w:val="00F13595"/>
    <w:rsid w:val="00F1382D"/>
    <w:rsid w:val="00F13979"/>
    <w:rsid w:val="00F13ABF"/>
    <w:rsid w:val="00F13BB9"/>
    <w:rsid w:val="00F13BD6"/>
    <w:rsid w:val="00F13CF5"/>
    <w:rsid w:val="00F13DF2"/>
    <w:rsid w:val="00F1418B"/>
    <w:rsid w:val="00F141E4"/>
    <w:rsid w:val="00F14315"/>
    <w:rsid w:val="00F1433B"/>
    <w:rsid w:val="00F146E2"/>
    <w:rsid w:val="00F14948"/>
    <w:rsid w:val="00F1512B"/>
    <w:rsid w:val="00F15496"/>
    <w:rsid w:val="00F1561D"/>
    <w:rsid w:val="00F156AF"/>
    <w:rsid w:val="00F15765"/>
    <w:rsid w:val="00F157C4"/>
    <w:rsid w:val="00F15B28"/>
    <w:rsid w:val="00F15D55"/>
    <w:rsid w:val="00F15DE8"/>
    <w:rsid w:val="00F16253"/>
    <w:rsid w:val="00F16468"/>
    <w:rsid w:val="00F16541"/>
    <w:rsid w:val="00F16DE6"/>
    <w:rsid w:val="00F16FE9"/>
    <w:rsid w:val="00F1701D"/>
    <w:rsid w:val="00F17076"/>
    <w:rsid w:val="00F171BE"/>
    <w:rsid w:val="00F172E4"/>
    <w:rsid w:val="00F17426"/>
    <w:rsid w:val="00F1747A"/>
    <w:rsid w:val="00F175DB"/>
    <w:rsid w:val="00F177DC"/>
    <w:rsid w:val="00F17C9E"/>
    <w:rsid w:val="00F17E35"/>
    <w:rsid w:val="00F17E45"/>
    <w:rsid w:val="00F200DE"/>
    <w:rsid w:val="00F20597"/>
    <w:rsid w:val="00F2077D"/>
    <w:rsid w:val="00F207FB"/>
    <w:rsid w:val="00F209DC"/>
    <w:rsid w:val="00F20AB7"/>
    <w:rsid w:val="00F20CDC"/>
    <w:rsid w:val="00F20DE4"/>
    <w:rsid w:val="00F20E38"/>
    <w:rsid w:val="00F20EDC"/>
    <w:rsid w:val="00F21115"/>
    <w:rsid w:val="00F21308"/>
    <w:rsid w:val="00F213EC"/>
    <w:rsid w:val="00F214B3"/>
    <w:rsid w:val="00F216D3"/>
    <w:rsid w:val="00F21BD2"/>
    <w:rsid w:val="00F21C5E"/>
    <w:rsid w:val="00F21F6C"/>
    <w:rsid w:val="00F21FEA"/>
    <w:rsid w:val="00F2202F"/>
    <w:rsid w:val="00F221A1"/>
    <w:rsid w:val="00F225BC"/>
    <w:rsid w:val="00F227B2"/>
    <w:rsid w:val="00F2280F"/>
    <w:rsid w:val="00F23150"/>
    <w:rsid w:val="00F23614"/>
    <w:rsid w:val="00F237C2"/>
    <w:rsid w:val="00F23A32"/>
    <w:rsid w:val="00F242E9"/>
    <w:rsid w:val="00F2435F"/>
    <w:rsid w:val="00F243AB"/>
    <w:rsid w:val="00F246B1"/>
    <w:rsid w:val="00F24848"/>
    <w:rsid w:val="00F249F2"/>
    <w:rsid w:val="00F24B75"/>
    <w:rsid w:val="00F24E1F"/>
    <w:rsid w:val="00F25173"/>
    <w:rsid w:val="00F25658"/>
    <w:rsid w:val="00F2566F"/>
    <w:rsid w:val="00F25882"/>
    <w:rsid w:val="00F259F7"/>
    <w:rsid w:val="00F25CBF"/>
    <w:rsid w:val="00F25CE2"/>
    <w:rsid w:val="00F25FB7"/>
    <w:rsid w:val="00F25FF1"/>
    <w:rsid w:val="00F261B3"/>
    <w:rsid w:val="00F262CF"/>
    <w:rsid w:val="00F263AA"/>
    <w:rsid w:val="00F26441"/>
    <w:rsid w:val="00F2662C"/>
    <w:rsid w:val="00F269A8"/>
    <w:rsid w:val="00F26C11"/>
    <w:rsid w:val="00F26E21"/>
    <w:rsid w:val="00F26E93"/>
    <w:rsid w:val="00F26F87"/>
    <w:rsid w:val="00F2707B"/>
    <w:rsid w:val="00F271E4"/>
    <w:rsid w:val="00F27339"/>
    <w:rsid w:val="00F2785F"/>
    <w:rsid w:val="00F27A88"/>
    <w:rsid w:val="00F27E38"/>
    <w:rsid w:val="00F3008B"/>
    <w:rsid w:val="00F30229"/>
    <w:rsid w:val="00F30272"/>
    <w:rsid w:val="00F3036F"/>
    <w:rsid w:val="00F30433"/>
    <w:rsid w:val="00F304ED"/>
    <w:rsid w:val="00F3076F"/>
    <w:rsid w:val="00F30881"/>
    <w:rsid w:val="00F30A02"/>
    <w:rsid w:val="00F30C3B"/>
    <w:rsid w:val="00F30CD5"/>
    <w:rsid w:val="00F30D39"/>
    <w:rsid w:val="00F30E6E"/>
    <w:rsid w:val="00F31193"/>
    <w:rsid w:val="00F31519"/>
    <w:rsid w:val="00F317AD"/>
    <w:rsid w:val="00F319FE"/>
    <w:rsid w:val="00F31CCE"/>
    <w:rsid w:val="00F31CD6"/>
    <w:rsid w:val="00F32251"/>
    <w:rsid w:val="00F32271"/>
    <w:rsid w:val="00F32303"/>
    <w:rsid w:val="00F3239B"/>
    <w:rsid w:val="00F325F2"/>
    <w:rsid w:val="00F32636"/>
    <w:rsid w:val="00F328C5"/>
    <w:rsid w:val="00F32B43"/>
    <w:rsid w:val="00F32C07"/>
    <w:rsid w:val="00F32CE4"/>
    <w:rsid w:val="00F32F79"/>
    <w:rsid w:val="00F33364"/>
    <w:rsid w:val="00F33539"/>
    <w:rsid w:val="00F3353C"/>
    <w:rsid w:val="00F33635"/>
    <w:rsid w:val="00F336A7"/>
    <w:rsid w:val="00F337AD"/>
    <w:rsid w:val="00F339B8"/>
    <w:rsid w:val="00F33A7B"/>
    <w:rsid w:val="00F34253"/>
    <w:rsid w:val="00F34557"/>
    <w:rsid w:val="00F345EE"/>
    <w:rsid w:val="00F34879"/>
    <w:rsid w:val="00F34AFC"/>
    <w:rsid w:val="00F35118"/>
    <w:rsid w:val="00F358DE"/>
    <w:rsid w:val="00F35925"/>
    <w:rsid w:val="00F35B89"/>
    <w:rsid w:val="00F3657E"/>
    <w:rsid w:val="00F3665B"/>
    <w:rsid w:val="00F369B5"/>
    <w:rsid w:val="00F36F86"/>
    <w:rsid w:val="00F370D2"/>
    <w:rsid w:val="00F37160"/>
    <w:rsid w:val="00F3732C"/>
    <w:rsid w:val="00F3749E"/>
    <w:rsid w:val="00F374A9"/>
    <w:rsid w:val="00F3782D"/>
    <w:rsid w:val="00F37C13"/>
    <w:rsid w:val="00F37CAD"/>
    <w:rsid w:val="00F37EA2"/>
    <w:rsid w:val="00F400CF"/>
    <w:rsid w:val="00F40257"/>
    <w:rsid w:val="00F4026F"/>
    <w:rsid w:val="00F40303"/>
    <w:rsid w:val="00F40333"/>
    <w:rsid w:val="00F405B8"/>
    <w:rsid w:val="00F405CB"/>
    <w:rsid w:val="00F40805"/>
    <w:rsid w:val="00F40CC9"/>
    <w:rsid w:val="00F40E8C"/>
    <w:rsid w:val="00F40F78"/>
    <w:rsid w:val="00F40FE1"/>
    <w:rsid w:val="00F41032"/>
    <w:rsid w:val="00F41243"/>
    <w:rsid w:val="00F413AA"/>
    <w:rsid w:val="00F4149B"/>
    <w:rsid w:val="00F4163C"/>
    <w:rsid w:val="00F4167A"/>
    <w:rsid w:val="00F417D5"/>
    <w:rsid w:val="00F418B8"/>
    <w:rsid w:val="00F418EA"/>
    <w:rsid w:val="00F418F0"/>
    <w:rsid w:val="00F419C1"/>
    <w:rsid w:val="00F41D29"/>
    <w:rsid w:val="00F41F3E"/>
    <w:rsid w:val="00F42209"/>
    <w:rsid w:val="00F42214"/>
    <w:rsid w:val="00F42229"/>
    <w:rsid w:val="00F422BC"/>
    <w:rsid w:val="00F4235D"/>
    <w:rsid w:val="00F423BC"/>
    <w:rsid w:val="00F42537"/>
    <w:rsid w:val="00F430CE"/>
    <w:rsid w:val="00F43499"/>
    <w:rsid w:val="00F435F7"/>
    <w:rsid w:val="00F4377A"/>
    <w:rsid w:val="00F43A06"/>
    <w:rsid w:val="00F43B46"/>
    <w:rsid w:val="00F43C00"/>
    <w:rsid w:val="00F43C2D"/>
    <w:rsid w:val="00F43CC6"/>
    <w:rsid w:val="00F4410D"/>
    <w:rsid w:val="00F4414A"/>
    <w:rsid w:val="00F441FF"/>
    <w:rsid w:val="00F4441F"/>
    <w:rsid w:val="00F4462C"/>
    <w:rsid w:val="00F44676"/>
    <w:rsid w:val="00F44E66"/>
    <w:rsid w:val="00F44EC6"/>
    <w:rsid w:val="00F45034"/>
    <w:rsid w:val="00F45485"/>
    <w:rsid w:val="00F45492"/>
    <w:rsid w:val="00F455D6"/>
    <w:rsid w:val="00F455F9"/>
    <w:rsid w:val="00F456AA"/>
    <w:rsid w:val="00F45AC0"/>
    <w:rsid w:val="00F45AE6"/>
    <w:rsid w:val="00F45C4C"/>
    <w:rsid w:val="00F45F1A"/>
    <w:rsid w:val="00F462C5"/>
    <w:rsid w:val="00F46421"/>
    <w:rsid w:val="00F466DA"/>
    <w:rsid w:val="00F468C9"/>
    <w:rsid w:val="00F46D66"/>
    <w:rsid w:val="00F46EB5"/>
    <w:rsid w:val="00F4700C"/>
    <w:rsid w:val="00F4727B"/>
    <w:rsid w:val="00F47431"/>
    <w:rsid w:val="00F47762"/>
    <w:rsid w:val="00F47BE3"/>
    <w:rsid w:val="00F47CF6"/>
    <w:rsid w:val="00F50089"/>
    <w:rsid w:val="00F5025F"/>
    <w:rsid w:val="00F5044D"/>
    <w:rsid w:val="00F50C40"/>
    <w:rsid w:val="00F50D71"/>
    <w:rsid w:val="00F50E21"/>
    <w:rsid w:val="00F51064"/>
    <w:rsid w:val="00F51553"/>
    <w:rsid w:val="00F51616"/>
    <w:rsid w:val="00F5173A"/>
    <w:rsid w:val="00F51766"/>
    <w:rsid w:val="00F517F4"/>
    <w:rsid w:val="00F51911"/>
    <w:rsid w:val="00F519EB"/>
    <w:rsid w:val="00F51CEC"/>
    <w:rsid w:val="00F51D7E"/>
    <w:rsid w:val="00F52104"/>
    <w:rsid w:val="00F52276"/>
    <w:rsid w:val="00F5271B"/>
    <w:rsid w:val="00F52A81"/>
    <w:rsid w:val="00F52BC6"/>
    <w:rsid w:val="00F52FCD"/>
    <w:rsid w:val="00F53017"/>
    <w:rsid w:val="00F5310A"/>
    <w:rsid w:val="00F53527"/>
    <w:rsid w:val="00F53671"/>
    <w:rsid w:val="00F5371D"/>
    <w:rsid w:val="00F53756"/>
    <w:rsid w:val="00F53A1D"/>
    <w:rsid w:val="00F54293"/>
    <w:rsid w:val="00F5433A"/>
    <w:rsid w:val="00F54504"/>
    <w:rsid w:val="00F5486B"/>
    <w:rsid w:val="00F54B5B"/>
    <w:rsid w:val="00F54B5C"/>
    <w:rsid w:val="00F54D63"/>
    <w:rsid w:val="00F54F94"/>
    <w:rsid w:val="00F54FC0"/>
    <w:rsid w:val="00F5508E"/>
    <w:rsid w:val="00F551E1"/>
    <w:rsid w:val="00F55374"/>
    <w:rsid w:val="00F554E4"/>
    <w:rsid w:val="00F557A2"/>
    <w:rsid w:val="00F55940"/>
    <w:rsid w:val="00F55959"/>
    <w:rsid w:val="00F55D81"/>
    <w:rsid w:val="00F55F02"/>
    <w:rsid w:val="00F55FF7"/>
    <w:rsid w:val="00F5604B"/>
    <w:rsid w:val="00F56193"/>
    <w:rsid w:val="00F561B1"/>
    <w:rsid w:val="00F562FA"/>
    <w:rsid w:val="00F56344"/>
    <w:rsid w:val="00F5639F"/>
    <w:rsid w:val="00F564D6"/>
    <w:rsid w:val="00F56C4E"/>
    <w:rsid w:val="00F56EA0"/>
    <w:rsid w:val="00F56EC9"/>
    <w:rsid w:val="00F5743F"/>
    <w:rsid w:val="00F57531"/>
    <w:rsid w:val="00F57588"/>
    <w:rsid w:val="00F575C6"/>
    <w:rsid w:val="00F57645"/>
    <w:rsid w:val="00F578C5"/>
    <w:rsid w:val="00F57948"/>
    <w:rsid w:val="00F57A4D"/>
    <w:rsid w:val="00F57DA6"/>
    <w:rsid w:val="00F57DC1"/>
    <w:rsid w:val="00F57F72"/>
    <w:rsid w:val="00F601A1"/>
    <w:rsid w:val="00F607B7"/>
    <w:rsid w:val="00F60CD5"/>
    <w:rsid w:val="00F60FFC"/>
    <w:rsid w:val="00F6155B"/>
    <w:rsid w:val="00F6175F"/>
    <w:rsid w:val="00F6180A"/>
    <w:rsid w:val="00F61926"/>
    <w:rsid w:val="00F61D9D"/>
    <w:rsid w:val="00F61F23"/>
    <w:rsid w:val="00F61F9A"/>
    <w:rsid w:val="00F623E8"/>
    <w:rsid w:val="00F624EC"/>
    <w:rsid w:val="00F62540"/>
    <w:rsid w:val="00F62706"/>
    <w:rsid w:val="00F627A5"/>
    <w:rsid w:val="00F62A45"/>
    <w:rsid w:val="00F62D7A"/>
    <w:rsid w:val="00F63048"/>
    <w:rsid w:val="00F63BEB"/>
    <w:rsid w:val="00F63C94"/>
    <w:rsid w:val="00F63E92"/>
    <w:rsid w:val="00F63E9D"/>
    <w:rsid w:val="00F63EB6"/>
    <w:rsid w:val="00F64057"/>
    <w:rsid w:val="00F64247"/>
    <w:rsid w:val="00F6429A"/>
    <w:rsid w:val="00F64788"/>
    <w:rsid w:val="00F64CC2"/>
    <w:rsid w:val="00F64CFA"/>
    <w:rsid w:val="00F64D1D"/>
    <w:rsid w:val="00F65138"/>
    <w:rsid w:val="00F651B3"/>
    <w:rsid w:val="00F652E5"/>
    <w:rsid w:val="00F654C8"/>
    <w:rsid w:val="00F656C7"/>
    <w:rsid w:val="00F65A8D"/>
    <w:rsid w:val="00F65B83"/>
    <w:rsid w:val="00F65C36"/>
    <w:rsid w:val="00F65E7A"/>
    <w:rsid w:val="00F66712"/>
    <w:rsid w:val="00F6684F"/>
    <w:rsid w:val="00F668C3"/>
    <w:rsid w:val="00F66E00"/>
    <w:rsid w:val="00F66F5D"/>
    <w:rsid w:val="00F6739A"/>
    <w:rsid w:val="00F6744D"/>
    <w:rsid w:val="00F67547"/>
    <w:rsid w:val="00F6768F"/>
    <w:rsid w:val="00F67F71"/>
    <w:rsid w:val="00F702D5"/>
    <w:rsid w:val="00F7055C"/>
    <w:rsid w:val="00F70594"/>
    <w:rsid w:val="00F70622"/>
    <w:rsid w:val="00F70659"/>
    <w:rsid w:val="00F70736"/>
    <w:rsid w:val="00F70811"/>
    <w:rsid w:val="00F70880"/>
    <w:rsid w:val="00F70AA8"/>
    <w:rsid w:val="00F70AB7"/>
    <w:rsid w:val="00F70D01"/>
    <w:rsid w:val="00F70E11"/>
    <w:rsid w:val="00F70EDC"/>
    <w:rsid w:val="00F710F9"/>
    <w:rsid w:val="00F713AC"/>
    <w:rsid w:val="00F71956"/>
    <w:rsid w:val="00F71977"/>
    <w:rsid w:val="00F7199A"/>
    <w:rsid w:val="00F71BD1"/>
    <w:rsid w:val="00F71CE3"/>
    <w:rsid w:val="00F72129"/>
    <w:rsid w:val="00F72164"/>
    <w:rsid w:val="00F7258F"/>
    <w:rsid w:val="00F72798"/>
    <w:rsid w:val="00F728DA"/>
    <w:rsid w:val="00F72910"/>
    <w:rsid w:val="00F72A32"/>
    <w:rsid w:val="00F72DD9"/>
    <w:rsid w:val="00F7327B"/>
    <w:rsid w:val="00F734D2"/>
    <w:rsid w:val="00F7376B"/>
    <w:rsid w:val="00F737EF"/>
    <w:rsid w:val="00F738B7"/>
    <w:rsid w:val="00F73DC0"/>
    <w:rsid w:val="00F73E12"/>
    <w:rsid w:val="00F73E78"/>
    <w:rsid w:val="00F73ED4"/>
    <w:rsid w:val="00F74172"/>
    <w:rsid w:val="00F74651"/>
    <w:rsid w:val="00F746F4"/>
    <w:rsid w:val="00F74B71"/>
    <w:rsid w:val="00F74CD1"/>
    <w:rsid w:val="00F753B2"/>
    <w:rsid w:val="00F7540D"/>
    <w:rsid w:val="00F75414"/>
    <w:rsid w:val="00F7549E"/>
    <w:rsid w:val="00F75685"/>
    <w:rsid w:val="00F7573E"/>
    <w:rsid w:val="00F75A2E"/>
    <w:rsid w:val="00F75A81"/>
    <w:rsid w:val="00F75AA5"/>
    <w:rsid w:val="00F75CA9"/>
    <w:rsid w:val="00F76171"/>
    <w:rsid w:val="00F76594"/>
    <w:rsid w:val="00F7661A"/>
    <w:rsid w:val="00F76774"/>
    <w:rsid w:val="00F7696A"/>
    <w:rsid w:val="00F76A93"/>
    <w:rsid w:val="00F76D5B"/>
    <w:rsid w:val="00F76FB9"/>
    <w:rsid w:val="00F770AF"/>
    <w:rsid w:val="00F7739C"/>
    <w:rsid w:val="00F77B9C"/>
    <w:rsid w:val="00F77EDE"/>
    <w:rsid w:val="00F8012C"/>
    <w:rsid w:val="00F801FF"/>
    <w:rsid w:val="00F802C5"/>
    <w:rsid w:val="00F80725"/>
    <w:rsid w:val="00F80DEE"/>
    <w:rsid w:val="00F80F32"/>
    <w:rsid w:val="00F80FED"/>
    <w:rsid w:val="00F8130B"/>
    <w:rsid w:val="00F81507"/>
    <w:rsid w:val="00F8161C"/>
    <w:rsid w:val="00F816F3"/>
    <w:rsid w:val="00F81A0F"/>
    <w:rsid w:val="00F81A65"/>
    <w:rsid w:val="00F81C13"/>
    <w:rsid w:val="00F81CC8"/>
    <w:rsid w:val="00F81D28"/>
    <w:rsid w:val="00F81EC0"/>
    <w:rsid w:val="00F81FD4"/>
    <w:rsid w:val="00F81FFA"/>
    <w:rsid w:val="00F820B6"/>
    <w:rsid w:val="00F82137"/>
    <w:rsid w:val="00F82170"/>
    <w:rsid w:val="00F8217B"/>
    <w:rsid w:val="00F821D8"/>
    <w:rsid w:val="00F825E7"/>
    <w:rsid w:val="00F8296F"/>
    <w:rsid w:val="00F82DED"/>
    <w:rsid w:val="00F82F3E"/>
    <w:rsid w:val="00F82F6B"/>
    <w:rsid w:val="00F8310B"/>
    <w:rsid w:val="00F831C2"/>
    <w:rsid w:val="00F8333A"/>
    <w:rsid w:val="00F833CB"/>
    <w:rsid w:val="00F836E1"/>
    <w:rsid w:val="00F83716"/>
    <w:rsid w:val="00F837BC"/>
    <w:rsid w:val="00F837FD"/>
    <w:rsid w:val="00F83E71"/>
    <w:rsid w:val="00F83F5D"/>
    <w:rsid w:val="00F83F6D"/>
    <w:rsid w:val="00F84248"/>
    <w:rsid w:val="00F84287"/>
    <w:rsid w:val="00F847C8"/>
    <w:rsid w:val="00F8483B"/>
    <w:rsid w:val="00F84953"/>
    <w:rsid w:val="00F84A24"/>
    <w:rsid w:val="00F84A25"/>
    <w:rsid w:val="00F84CF6"/>
    <w:rsid w:val="00F84F9A"/>
    <w:rsid w:val="00F85258"/>
    <w:rsid w:val="00F8527C"/>
    <w:rsid w:val="00F85535"/>
    <w:rsid w:val="00F8563A"/>
    <w:rsid w:val="00F85AAD"/>
    <w:rsid w:val="00F85AFE"/>
    <w:rsid w:val="00F85C41"/>
    <w:rsid w:val="00F85D70"/>
    <w:rsid w:val="00F85F6F"/>
    <w:rsid w:val="00F85FD7"/>
    <w:rsid w:val="00F8604C"/>
    <w:rsid w:val="00F862ED"/>
    <w:rsid w:val="00F86353"/>
    <w:rsid w:val="00F8641D"/>
    <w:rsid w:val="00F867F9"/>
    <w:rsid w:val="00F86E65"/>
    <w:rsid w:val="00F87066"/>
    <w:rsid w:val="00F87425"/>
    <w:rsid w:val="00F874AD"/>
    <w:rsid w:val="00F87598"/>
    <w:rsid w:val="00F87602"/>
    <w:rsid w:val="00F8763D"/>
    <w:rsid w:val="00F8782B"/>
    <w:rsid w:val="00F87CD3"/>
    <w:rsid w:val="00F87CDA"/>
    <w:rsid w:val="00F87D56"/>
    <w:rsid w:val="00F87EE4"/>
    <w:rsid w:val="00F9017E"/>
    <w:rsid w:val="00F90199"/>
    <w:rsid w:val="00F90257"/>
    <w:rsid w:val="00F9032E"/>
    <w:rsid w:val="00F90397"/>
    <w:rsid w:val="00F90546"/>
    <w:rsid w:val="00F905C0"/>
    <w:rsid w:val="00F906E9"/>
    <w:rsid w:val="00F90854"/>
    <w:rsid w:val="00F90F15"/>
    <w:rsid w:val="00F91425"/>
    <w:rsid w:val="00F914DF"/>
    <w:rsid w:val="00F91504"/>
    <w:rsid w:val="00F91DD1"/>
    <w:rsid w:val="00F91E2F"/>
    <w:rsid w:val="00F91FA9"/>
    <w:rsid w:val="00F92062"/>
    <w:rsid w:val="00F9207A"/>
    <w:rsid w:val="00F92612"/>
    <w:rsid w:val="00F92613"/>
    <w:rsid w:val="00F9283E"/>
    <w:rsid w:val="00F92954"/>
    <w:rsid w:val="00F92E53"/>
    <w:rsid w:val="00F93261"/>
    <w:rsid w:val="00F932A0"/>
    <w:rsid w:val="00F9338A"/>
    <w:rsid w:val="00F93641"/>
    <w:rsid w:val="00F93754"/>
    <w:rsid w:val="00F937EF"/>
    <w:rsid w:val="00F938DA"/>
    <w:rsid w:val="00F93917"/>
    <w:rsid w:val="00F93B0B"/>
    <w:rsid w:val="00F93B4E"/>
    <w:rsid w:val="00F93E06"/>
    <w:rsid w:val="00F94181"/>
    <w:rsid w:val="00F94470"/>
    <w:rsid w:val="00F94528"/>
    <w:rsid w:val="00F946E2"/>
    <w:rsid w:val="00F94969"/>
    <w:rsid w:val="00F9496C"/>
    <w:rsid w:val="00F94CA8"/>
    <w:rsid w:val="00F94DD2"/>
    <w:rsid w:val="00F94DFE"/>
    <w:rsid w:val="00F94F60"/>
    <w:rsid w:val="00F94FF3"/>
    <w:rsid w:val="00F95194"/>
    <w:rsid w:val="00F95431"/>
    <w:rsid w:val="00F955BF"/>
    <w:rsid w:val="00F9576E"/>
    <w:rsid w:val="00F958B4"/>
    <w:rsid w:val="00F959E3"/>
    <w:rsid w:val="00F95C18"/>
    <w:rsid w:val="00F95F4A"/>
    <w:rsid w:val="00F960E7"/>
    <w:rsid w:val="00F96165"/>
    <w:rsid w:val="00F96302"/>
    <w:rsid w:val="00F969A1"/>
    <w:rsid w:val="00F96DE8"/>
    <w:rsid w:val="00F96E10"/>
    <w:rsid w:val="00F96EC0"/>
    <w:rsid w:val="00F97015"/>
    <w:rsid w:val="00F97031"/>
    <w:rsid w:val="00F9717B"/>
    <w:rsid w:val="00F972F5"/>
    <w:rsid w:val="00F9750E"/>
    <w:rsid w:val="00F97B68"/>
    <w:rsid w:val="00F97F20"/>
    <w:rsid w:val="00FA0025"/>
    <w:rsid w:val="00FA0455"/>
    <w:rsid w:val="00FA049B"/>
    <w:rsid w:val="00FA06B3"/>
    <w:rsid w:val="00FA0801"/>
    <w:rsid w:val="00FA0A26"/>
    <w:rsid w:val="00FA0F02"/>
    <w:rsid w:val="00FA14D6"/>
    <w:rsid w:val="00FA1518"/>
    <w:rsid w:val="00FA15F3"/>
    <w:rsid w:val="00FA1728"/>
    <w:rsid w:val="00FA1745"/>
    <w:rsid w:val="00FA1893"/>
    <w:rsid w:val="00FA19C0"/>
    <w:rsid w:val="00FA2012"/>
    <w:rsid w:val="00FA2296"/>
    <w:rsid w:val="00FA2423"/>
    <w:rsid w:val="00FA2451"/>
    <w:rsid w:val="00FA2685"/>
    <w:rsid w:val="00FA26DF"/>
    <w:rsid w:val="00FA2752"/>
    <w:rsid w:val="00FA282D"/>
    <w:rsid w:val="00FA298A"/>
    <w:rsid w:val="00FA2DCE"/>
    <w:rsid w:val="00FA2E79"/>
    <w:rsid w:val="00FA3352"/>
    <w:rsid w:val="00FA3391"/>
    <w:rsid w:val="00FA345A"/>
    <w:rsid w:val="00FA3728"/>
    <w:rsid w:val="00FA394E"/>
    <w:rsid w:val="00FA3CB6"/>
    <w:rsid w:val="00FA3E93"/>
    <w:rsid w:val="00FA3F03"/>
    <w:rsid w:val="00FA4179"/>
    <w:rsid w:val="00FA42C7"/>
    <w:rsid w:val="00FA430B"/>
    <w:rsid w:val="00FA43C8"/>
    <w:rsid w:val="00FA46DF"/>
    <w:rsid w:val="00FA4A5C"/>
    <w:rsid w:val="00FA4B15"/>
    <w:rsid w:val="00FA4D25"/>
    <w:rsid w:val="00FA4DCE"/>
    <w:rsid w:val="00FA4E3D"/>
    <w:rsid w:val="00FA5123"/>
    <w:rsid w:val="00FA5232"/>
    <w:rsid w:val="00FA5524"/>
    <w:rsid w:val="00FA59D4"/>
    <w:rsid w:val="00FA5C17"/>
    <w:rsid w:val="00FA5F36"/>
    <w:rsid w:val="00FA6076"/>
    <w:rsid w:val="00FA645D"/>
    <w:rsid w:val="00FA67C7"/>
    <w:rsid w:val="00FA6A01"/>
    <w:rsid w:val="00FA6A89"/>
    <w:rsid w:val="00FA6AC5"/>
    <w:rsid w:val="00FA6C57"/>
    <w:rsid w:val="00FA6E36"/>
    <w:rsid w:val="00FA6F0C"/>
    <w:rsid w:val="00FA6F21"/>
    <w:rsid w:val="00FA710D"/>
    <w:rsid w:val="00FA712C"/>
    <w:rsid w:val="00FA7609"/>
    <w:rsid w:val="00FA7735"/>
    <w:rsid w:val="00FA781E"/>
    <w:rsid w:val="00FA7B31"/>
    <w:rsid w:val="00FA7D73"/>
    <w:rsid w:val="00FB0146"/>
    <w:rsid w:val="00FB045D"/>
    <w:rsid w:val="00FB04D6"/>
    <w:rsid w:val="00FB0684"/>
    <w:rsid w:val="00FB06ED"/>
    <w:rsid w:val="00FB0823"/>
    <w:rsid w:val="00FB084E"/>
    <w:rsid w:val="00FB085C"/>
    <w:rsid w:val="00FB0931"/>
    <w:rsid w:val="00FB0B4D"/>
    <w:rsid w:val="00FB0BB2"/>
    <w:rsid w:val="00FB0C4E"/>
    <w:rsid w:val="00FB0C5E"/>
    <w:rsid w:val="00FB0CDD"/>
    <w:rsid w:val="00FB0FA8"/>
    <w:rsid w:val="00FB10F0"/>
    <w:rsid w:val="00FB113E"/>
    <w:rsid w:val="00FB1156"/>
    <w:rsid w:val="00FB132E"/>
    <w:rsid w:val="00FB1385"/>
    <w:rsid w:val="00FB1395"/>
    <w:rsid w:val="00FB15EA"/>
    <w:rsid w:val="00FB170D"/>
    <w:rsid w:val="00FB1782"/>
    <w:rsid w:val="00FB1CFA"/>
    <w:rsid w:val="00FB221C"/>
    <w:rsid w:val="00FB226A"/>
    <w:rsid w:val="00FB2708"/>
    <w:rsid w:val="00FB27A2"/>
    <w:rsid w:val="00FB2847"/>
    <w:rsid w:val="00FB2C1E"/>
    <w:rsid w:val="00FB2C96"/>
    <w:rsid w:val="00FB31DA"/>
    <w:rsid w:val="00FB33AD"/>
    <w:rsid w:val="00FB3456"/>
    <w:rsid w:val="00FB35CE"/>
    <w:rsid w:val="00FB3852"/>
    <w:rsid w:val="00FB3C8C"/>
    <w:rsid w:val="00FB3DAC"/>
    <w:rsid w:val="00FB3E12"/>
    <w:rsid w:val="00FB3ED9"/>
    <w:rsid w:val="00FB41C1"/>
    <w:rsid w:val="00FB423E"/>
    <w:rsid w:val="00FB46DF"/>
    <w:rsid w:val="00FB4A15"/>
    <w:rsid w:val="00FB4A7D"/>
    <w:rsid w:val="00FB4ACD"/>
    <w:rsid w:val="00FB4CAE"/>
    <w:rsid w:val="00FB4DE4"/>
    <w:rsid w:val="00FB5155"/>
    <w:rsid w:val="00FB51B5"/>
    <w:rsid w:val="00FB5225"/>
    <w:rsid w:val="00FB52F7"/>
    <w:rsid w:val="00FB544B"/>
    <w:rsid w:val="00FB5E54"/>
    <w:rsid w:val="00FB5F49"/>
    <w:rsid w:val="00FB5F8C"/>
    <w:rsid w:val="00FB5F98"/>
    <w:rsid w:val="00FB60ED"/>
    <w:rsid w:val="00FB63FD"/>
    <w:rsid w:val="00FB64A8"/>
    <w:rsid w:val="00FB670B"/>
    <w:rsid w:val="00FB680F"/>
    <w:rsid w:val="00FB6B4B"/>
    <w:rsid w:val="00FB6D37"/>
    <w:rsid w:val="00FB6DC3"/>
    <w:rsid w:val="00FB6FB1"/>
    <w:rsid w:val="00FB7060"/>
    <w:rsid w:val="00FB7B16"/>
    <w:rsid w:val="00FB7E1B"/>
    <w:rsid w:val="00FC02D7"/>
    <w:rsid w:val="00FC0539"/>
    <w:rsid w:val="00FC089C"/>
    <w:rsid w:val="00FC089D"/>
    <w:rsid w:val="00FC0DED"/>
    <w:rsid w:val="00FC0F1F"/>
    <w:rsid w:val="00FC1085"/>
    <w:rsid w:val="00FC16C7"/>
    <w:rsid w:val="00FC17A4"/>
    <w:rsid w:val="00FC18F1"/>
    <w:rsid w:val="00FC1C6C"/>
    <w:rsid w:val="00FC1D07"/>
    <w:rsid w:val="00FC2545"/>
    <w:rsid w:val="00FC26AF"/>
    <w:rsid w:val="00FC2791"/>
    <w:rsid w:val="00FC2A20"/>
    <w:rsid w:val="00FC2F08"/>
    <w:rsid w:val="00FC2F34"/>
    <w:rsid w:val="00FC304A"/>
    <w:rsid w:val="00FC32CE"/>
    <w:rsid w:val="00FC3344"/>
    <w:rsid w:val="00FC33BC"/>
    <w:rsid w:val="00FC35F7"/>
    <w:rsid w:val="00FC369D"/>
    <w:rsid w:val="00FC37BE"/>
    <w:rsid w:val="00FC38AB"/>
    <w:rsid w:val="00FC3904"/>
    <w:rsid w:val="00FC3945"/>
    <w:rsid w:val="00FC3BE8"/>
    <w:rsid w:val="00FC3EC3"/>
    <w:rsid w:val="00FC45C5"/>
    <w:rsid w:val="00FC45D3"/>
    <w:rsid w:val="00FC4641"/>
    <w:rsid w:val="00FC465B"/>
    <w:rsid w:val="00FC4862"/>
    <w:rsid w:val="00FC4D37"/>
    <w:rsid w:val="00FC4EC2"/>
    <w:rsid w:val="00FC4FAB"/>
    <w:rsid w:val="00FC505C"/>
    <w:rsid w:val="00FC51BE"/>
    <w:rsid w:val="00FC53D9"/>
    <w:rsid w:val="00FC559C"/>
    <w:rsid w:val="00FC5B12"/>
    <w:rsid w:val="00FC5BCD"/>
    <w:rsid w:val="00FC5DBB"/>
    <w:rsid w:val="00FC6108"/>
    <w:rsid w:val="00FC617D"/>
    <w:rsid w:val="00FC6367"/>
    <w:rsid w:val="00FC64DB"/>
    <w:rsid w:val="00FC6835"/>
    <w:rsid w:val="00FC6E83"/>
    <w:rsid w:val="00FC6F0B"/>
    <w:rsid w:val="00FC70A7"/>
    <w:rsid w:val="00FC723C"/>
    <w:rsid w:val="00FC72A0"/>
    <w:rsid w:val="00FC73F5"/>
    <w:rsid w:val="00FC74E5"/>
    <w:rsid w:val="00FC759C"/>
    <w:rsid w:val="00FC7801"/>
    <w:rsid w:val="00FC7982"/>
    <w:rsid w:val="00FC7ACE"/>
    <w:rsid w:val="00FC7C42"/>
    <w:rsid w:val="00FC7C94"/>
    <w:rsid w:val="00FC7CD4"/>
    <w:rsid w:val="00FC7F17"/>
    <w:rsid w:val="00FD0157"/>
    <w:rsid w:val="00FD03AD"/>
    <w:rsid w:val="00FD069E"/>
    <w:rsid w:val="00FD0C7E"/>
    <w:rsid w:val="00FD128A"/>
    <w:rsid w:val="00FD12BE"/>
    <w:rsid w:val="00FD1400"/>
    <w:rsid w:val="00FD1562"/>
    <w:rsid w:val="00FD1646"/>
    <w:rsid w:val="00FD191C"/>
    <w:rsid w:val="00FD19B5"/>
    <w:rsid w:val="00FD1D4F"/>
    <w:rsid w:val="00FD1D86"/>
    <w:rsid w:val="00FD20F3"/>
    <w:rsid w:val="00FD21DA"/>
    <w:rsid w:val="00FD21FD"/>
    <w:rsid w:val="00FD2428"/>
    <w:rsid w:val="00FD2485"/>
    <w:rsid w:val="00FD259C"/>
    <w:rsid w:val="00FD28C7"/>
    <w:rsid w:val="00FD28D2"/>
    <w:rsid w:val="00FD28E7"/>
    <w:rsid w:val="00FD2A62"/>
    <w:rsid w:val="00FD2BD7"/>
    <w:rsid w:val="00FD3104"/>
    <w:rsid w:val="00FD3292"/>
    <w:rsid w:val="00FD34A2"/>
    <w:rsid w:val="00FD35CC"/>
    <w:rsid w:val="00FD3619"/>
    <w:rsid w:val="00FD3689"/>
    <w:rsid w:val="00FD37A4"/>
    <w:rsid w:val="00FD37EF"/>
    <w:rsid w:val="00FD39DE"/>
    <w:rsid w:val="00FD3E83"/>
    <w:rsid w:val="00FD3F56"/>
    <w:rsid w:val="00FD407E"/>
    <w:rsid w:val="00FD433D"/>
    <w:rsid w:val="00FD4C82"/>
    <w:rsid w:val="00FD4D48"/>
    <w:rsid w:val="00FD5071"/>
    <w:rsid w:val="00FD5098"/>
    <w:rsid w:val="00FD5208"/>
    <w:rsid w:val="00FD5341"/>
    <w:rsid w:val="00FD5353"/>
    <w:rsid w:val="00FD53FB"/>
    <w:rsid w:val="00FD5697"/>
    <w:rsid w:val="00FD5749"/>
    <w:rsid w:val="00FD59BD"/>
    <w:rsid w:val="00FD5B4D"/>
    <w:rsid w:val="00FD5C18"/>
    <w:rsid w:val="00FD5F5E"/>
    <w:rsid w:val="00FD602B"/>
    <w:rsid w:val="00FD64F4"/>
    <w:rsid w:val="00FD6667"/>
    <w:rsid w:val="00FD671C"/>
    <w:rsid w:val="00FD6928"/>
    <w:rsid w:val="00FD6A87"/>
    <w:rsid w:val="00FD6B2E"/>
    <w:rsid w:val="00FD6C29"/>
    <w:rsid w:val="00FD6C73"/>
    <w:rsid w:val="00FD6E5E"/>
    <w:rsid w:val="00FD70A4"/>
    <w:rsid w:val="00FD7329"/>
    <w:rsid w:val="00FD750D"/>
    <w:rsid w:val="00FD7599"/>
    <w:rsid w:val="00FD7602"/>
    <w:rsid w:val="00FD7613"/>
    <w:rsid w:val="00FD76D0"/>
    <w:rsid w:val="00FD7787"/>
    <w:rsid w:val="00FD7E9F"/>
    <w:rsid w:val="00FD7FDD"/>
    <w:rsid w:val="00FE03E1"/>
    <w:rsid w:val="00FE069E"/>
    <w:rsid w:val="00FE0783"/>
    <w:rsid w:val="00FE0854"/>
    <w:rsid w:val="00FE09F4"/>
    <w:rsid w:val="00FE0B8C"/>
    <w:rsid w:val="00FE0FC7"/>
    <w:rsid w:val="00FE11E2"/>
    <w:rsid w:val="00FE1410"/>
    <w:rsid w:val="00FE1619"/>
    <w:rsid w:val="00FE17A0"/>
    <w:rsid w:val="00FE17CB"/>
    <w:rsid w:val="00FE19F7"/>
    <w:rsid w:val="00FE1BB9"/>
    <w:rsid w:val="00FE1D7F"/>
    <w:rsid w:val="00FE1DAC"/>
    <w:rsid w:val="00FE1E1A"/>
    <w:rsid w:val="00FE1FCE"/>
    <w:rsid w:val="00FE216E"/>
    <w:rsid w:val="00FE26E4"/>
    <w:rsid w:val="00FE2A1E"/>
    <w:rsid w:val="00FE2B0E"/>
    <w:rsid w:val="00FE2B30"/>
    <w:rsid w:val="00FE2B56"/>
    <w:rsid w:val="00FE2D0C"/>
    <w:rsid w:val="00FE2D82"/>
    <w:rsid w:val="00FE2EDD"/>
    <w:rsid w:val="00FE3049"/>
    <w:rsid w:val="00FE307D"/>
    <w:rsid w:val="00FE32C9"/>
    <w:rsid w:val="00FE3374"/>
    <w:rsid w:val="00FE35BF"/>
    <w:rsid w:val="00FE3987"/>
    <w:rsid w:val="00FE3EDE"/>
    <w:rsid w:val="00FE4039"/>
    <w:rsid w:val="00FE41B0"/>
    <w:rsid w:val="00FE4517"/>
    <w:rsid w:val="00FE4581"/>
    <w:rsid w:val="00FE47E5"/>
    <w:rsid w:val="00FE4ABE"/>
    <w:rsid w:val="00FE4CEF"/>
    <w:rsid w:val="00FE4E20"/>
    <w:rsid w:val="00FE506D"/>
    <w:rsid w:val="00FE510D"/>
    <w:rsid w:val="00FE5387"/>
    <w:rsid w:val="00FE55B0"/>
    <w:rsid w:val="00FE5693"/>
    <w:rsid w:val="00FE57F9"/>
    <w:rsid w:val="00FE5CA7"/>
    <w:rsid w:val="00FE5D4D"/>
    <w:rsid w:val="00FE6045"/>
    <w:rsid w:val="00FE6228"/>
    <w:rsid w:val="00FE626F"/>
    <w:rsid w:val="00FE6312"/>
    <w:rsid w:val="00FE6359"/>
    <w:rsid w:val="00FE63BD"/>
    <w:rsid w:val="00FE6455"/>
    <w:rsid w:val="00FE64B4"/>
    <w:rsid w:val="00FE68FB"/>
    <w:rsid w:val="00FE6A81"/>
    <w:rsid w:val="00FE72BC"/>
    <w:rsid w:val="00FE72C3"/>
    <w:rsid w:val="00FE72E8"/>
    <w:rsid w:val="00FE75B2"/>
    <w:rsid w:val="00FE7F1A"/>
    <w:rsid w:val="00FF0164"/>
    <w:rsid w:val="00FF0237"/>
    <w:rsid w:val="00FF0454"/>
    <w:rsid w:val="00FF0844"/>
    <w:rsid w:val="00FF0937"/>
    <w:rsid w:val="00FF0C00"/>
    <w:rsid w:val="00FF0C38"/>
    <w:rsid w:val="00FF11D0"/>
    <w:rsid w:val="00FF13AF"/>
    <w:rsid w:val="00FF1572"/>
    <w:rsid w:val="00FF1611"/>
    <w:rsid w:val="00FF17AC"/>
    <w:rsid w:val="00FF1BCC"/>
    <w:rsid w:val="00FF1E83"/>
    <w:rsid w:val="00FF1F02"/>
    <w:rsid w:val="00FF2043"/>
    <w:rsid w:val="00FF2376"/>
    <w:rsid w:val="00FF24A7"/>
    <w:rsid w:val="00FF2748"/>
    <w:rsid w:val="00FF2789"/>
    <w:rsid w:val="00FF2815"/>
    <w:rsid w:val="00FF28B9"/>
    <w:rsid w:val="00FF2C91"/>
    <w:rsid w:val="00FF31AE"/>
    <w:rsid w:val="00FF333E"/>
    <w:rsid w:val="00FF3568"/>
    <w:rsid w:val="00FF3571"/>
    <w:rsid w:val="00FF36AF"/>
    <w:rsid w:val="00FF36BB"/>
    <w:rsid w:val="00FF36C7"/>
    <w:rsid w:val="00FF372A"/>
    <w:rsid w:val="00FF38AA"/>
    <w:rsid w:val="00FF3AE1"/>
    <w:rsid w:val="00FF3B56"/>
    <w:rsid w:val="00FF3F64"/>
    <w:rsid w:val="00FF3FDB"/>
    <w:rsid w:val="00FF40A0"/>
    <w:rsid w:val="00FF4112"/>
    <w:rsid w:val="00FF4211"/>
    <w:rsid w:val="00FF42C6"/>
    <w:rsid w:val="00FF4413"/>
    <w:rsid w:val="00FF44FA"/>
    <w:rsid w:val="00FF45E8"/>
    <w:rsid w:val="00FF4646"/>
    <w:rsid w:val="00FF46E4"/>
    <w:rsid w:val="00FF496C"/>
    <w:rsid w:val="00FF4B1E"/>
    <w:rsid w:val="00FF51B2"/>
    <w:rsid w:val="00FF51CA"/>
    <w:rsid w:val="00FF52BD"/>
    <w:rsid w:val="00FF533F"/>
    <w:rsid w:val="00FF53A6"/>
    <w:rsid w:val="00FF545D"/>
    <w:rsid w:val="00FF580B"/>
    <w:rsid w:val="00FF5C58"/>
    <w:rsid w:val="00FF5CA1"/>
    <w:rsid w:val="00FF5D4F"/>
    <w:rsid w:val="00FF5E6F"/>
    <w:rsid w:val="00FF60B7"/>
    <w:rsid w:val="00FF65A8"/>
    <w:rsid w:val="00FF65B0"/>
    <w:rsid w:val="00FF65DB"/>
    <w:rsid w:val="00FF68FE"/>
    <w:rsid w:val="00FF6B04"/>
    <w:rsid w:val="00FF6BE7"/>
    <w:rsid w:val="00FF6C69"/>
    <w:rsid w:val="00FF6D23"/>
    <w:rsid w:val="00FF6E8E"/>
    <w:rsid w:val="00FF6F46"/>
    <w:rsid w:val="00FF7233"/>
    <w:rsid w:val="00FF7297"/>
    <w:rsid w:val="00FF73E1"/>
    <w:rsid w:val="00FF7490"/>
    <w:rsid w:val="00FF7675"/>
    <w:rsid w:val="00FF7839"/>
    <w:rsid w:val="00FF786F"/>
    <w:rsid w:val="00FF7871"/>
    <w:rsid w:val="00FF7A84"/>
    <w:rsid w:val="00FF7C3F"/>
    <w:rsid w:val="00FF7CE3"/>
    <w:rsid w:val="01154EDD"/>
    <w:rsid w:val="012754EB"/>
    <w:rsid w:val="013F79BD"/>
    <w:rsid w:val="014F219D"/>
    <w:rsid w:val="01727CDB"/>
    <w:rsid w:val="020B0BF0"/>
    <w:rsid w:val="020B6834"/>
    <w:rsid w:val="02C1580F"/>
    <w:rsid w:val="02C847B3"/>
    <w:rsid w:val="02CD1A11"/>
    <w:rsid w:val="030C5D7D"/>
    <w:rsid w:val="033C0E47"/>
    <w:rsid w:val="03855A3F"/>
    <w:rsid w:val="038F31BC"/>
    <w:rsid w:val="03936CB9"/>
    <w:rsid w:val="03C52BEB"/>
    <w:rsid w:val="03CC5D27"/>
    <w:rsid w:val="04131BA8"/>
    <w:rsid w:val="04216CB2"/>
    <w:rsid w:val="0428599E"/>
    <w:rsid w:val="04B62533"/>
    <w:rsid w:val="04D96C1D"/>
    <w:rsid w:val="04F00799"/>
    <w:rsid w:val="05542478"/>
    <w:rsid w:val="059A5F49"/>
    <w:rsid w:val="059B4A47"/>
    <w:rsid w:val="05A3045A"/>
    <w:rsid w:val="05AA653C"/>
    <w:rsid w:val="05B0391F"/>
    <w:rsid w:val="05DB66F5"/>
    <w:rsid w:val="06086B98"/>
    <w:rsid w:val="06614F89"/>
    <w:rsid w:val="06760733"/>
    <w:rsid w:val="06A92BDA"/>
    <w:rsid w:val="06AB7D09"/>
    <w:rsid w:val="06B809FB"/>
    <w:rsid w:val="06FA0DFD"/>
    <w:rsid w:val="071F3380"/>
    <w:rsid w:val="0774357C"/>
    <w:rsid w:val="07844F83"/>
    <w:rsid w:val="07C17B6D"/>
    <w:rsid w:val="07E5640F"/>
    <w:rsid w:val="07F13FAE"/>
    <w:rsid w:val="08147536"/>
    <w:rsid w:val="08200168"/>
    <w:rsid w:val="084A5FDC"/>
    <w:rsid w:val="087F5AE1"/>
    <w:rsid w:val="08807F1C"/>
    <w:rsid w:val="088E5CA1"/>
    <w:rsid w:val="08C571E9"/>
    <w:rsid w:val="08D013AC"/>
    <w:rsid w:val="092E693B"/>
    <w:rsid w:val="09540C99"/>
    <w:rsid w:val="09724226"/>
    <w:rsid w:val="09744DA5"/>
    <w:rsid w:val="09AF0BFE"/>
    <w:rsid w:val="09D96A1A"/>
    <w:rsid w:val="0A1A5CB2"/>
    <w:rsid w:val="0A391B00"/>
    <w:rsid w:val="0AC57974"/>
    <w:rsid w:val="0B0F01F5"/>
    <w:rsid w:val="0B0F299D"/>
    <w:rsid w:val="0B171130"/>
    <w:rsid w:val="0B350656"/>
    <w:rsid w:val="0B5B12F8"/>
    <w:rsid w:val="0BBD6110"/>
    <w:rsid w:val="0C0727E4"/>
    <w:rsid w:val="0CBD6B55"/>
    <w:rsid w:val="0CD94AC3"/>
    <w:rsid w:val="0D114F7A"/>
    <w:rsid w:val="0D3840F2"/>
    <w:rsid w:val="0D7116ED"/>
    <w:rsid w:val="0D755681"/>
    <w:rsid w:val="0DAF6551"/>
    <w:rsid w:val="0DBF06AB"/>
    <w:rsid w:val="0DD76B83"/>
    <w:rsid w:val="0E6354DA"/>
    <w:rsid w:val="0EFD30C6"/>
    <w:rsid w:val="0EFE3455"/>
    <w:rsid w:val="0F0547E3"/>
    <w:rsid w:val="0F4262D8"/>
    <w:rsid w:val="0FC67927"/>
    <w:rsid w:val="101557D4"/>
    <w:rsid w:val="1072500B"/>
    <w:rsid w:val="10E05D77"/>
    <w:rsid w:val="11DE5987"/>
    <w:rsid w:val="122907E8"/>
    <w:rsid w:val="12323B41"/>
    <w:rsid w:val="124A70DD"/>
    <w:rsid w:val="127F665A"/>
    <w:rsid w:val="12CA3D79"/>
    <w:rsid w:val="12CF75E2"/>
    <w:rsid w:val="12D32418"/>
    <w:rsid w:val="12D90B97"/>
    <w:rsid w:val="13014880"/>
    <w:rsid w:val="130449B7"/>
    <w:rsid w:val="130A3473"/>
    <w:rsid w:val="1327738C"/>
    <w:rsid w:val="13294F44"/>
    <w:rsid w:val="13313C85"/>
    <w:rsid w:val="13710699"/>
    <w:rsid w:val="139B57AD"/>
    <w:rsid w:val="13A674EF"/>
    <w:rsid w:val="13BB36C2"/>
    <w:rsid w:val="140A7C42"/>
    <w:rsid w:val="14102CC1"/>
    <w:rsid w:val="143B35E5"/>
    <w:rsid w:val="144731A8"/>
    <w:rsid w:val="15400323"/>
    <w:rsid w:val="156F0C08"/>
    <w:rsid w:val="15764831"/>
    <w:rsid w:val="15C166C8"/>
    <w:rsid w:val="15F1786F"/>
    <w:rsid w:val="160A01D1"/>
    <w:rsid w:val="16711CEF"/>
    <w:rsid w:val="167E33C3"/>
    <w:rsid w:val="16964281"/>
    <w:rsid w:val="169E17A5"/>
    <w:rsid w:val="16D63F0C"/>
    <w:rsid w:val="16F41113"/>
    <w:rsid w:val="1700420E"/>
    <w:rsid w:val="170128A0"/>
    <w:rsid w:val="171A491F"/>
    <w:rsid w:val="173914CE"/>
    <w:rsid w:val="174C6795"/>
    <w:rsid w:val="17591B70"/>
    <w:rsid w:val="17684CE3"/>
    <w:rsid w:val="176E2AF7"/>
    <w:rsid w:val="179E5F3A"/>
    <w:rsid w:val="17A61C52"/>
    <w:rsid w:val="17AC1CA0"/>
    <w:rsid w:val="17B91CC2"/>
    <w:rsid w:val="17DD4930"/>
    <w:rsid w:val="18120FAC"/>
    <w:rsid w:val="18253800"/>
    <w:rsid w:val="184E0FA9"/>
    <w:rsid w:val="186453D5"/>
    <w:rsid w:val="188B3FAB"/>
    <w:rsid w:val="18AE2C77"/>
    <w:rsid w:val="18C45E5A"/>
    <w:rsid w:val="18E5190D"/>
    <w:rsid w:val="191270F3"/>
    <w:rsid w:val="191B4526"/>
    <w:rsid w:val="195C449A"/>
    <w:rsid w:val="19853708"/>
    <w:rsid w:val="19E00326"/>
    <w:rsid w:val="1A1A1D9C"/>
    <w:rsid w:val="1A340E83"/>
    <w:rsid w:val="1A535367"/>
    <w:rsid w:val="1A58610F"/>
    <w:rsid w:val="1A7004DF"/>
    <w:rsid w:val="1AA866F7"/>
    <w:rsid w:val="1AE35187"/>
    <w:rsid w:val="1AF57E02"/>
    <w:rsid w:val="1B1D4250"/>
    <w:rsid w:val="1B5B14DF"/>
    <w:rsid w:val="1B79458F"/>
    <w:rsid w:val="1B8045CF"/>
    <w:rsid w:val="1B8D08FD"/>
    <w:rsid w:val="1BCD0D3E"/>
    <w:rsid w:val="1BD25864"/>
    <w:rsid w:val="1BD630DC"/>
    <w:rsid w:val="1C197B20"/>
    <w:rsid w:val="1C390FCD"/>
    <w:rsid w:val="1C9E21C8"/>
    <w:rsid w:val="1CA275F6"/>
    <w:rsid w:val="1CDB6E22"/>
    <w:rsid w:val="1CDD5AA8"/>
    <w:rsid w:val="1D530C7D"/>
    <w:rsid w:val="1DB06D6D"/>
    <w:rsid w:val="1DE303E5"/>
    <w:rsid w:val="1E2F081E"/>
    <w:rsid w:val="1E3C3234"/>
    <w:rsid w:val="1E6A2BB9"/>
    <w:rsid w:val="1E8B697F"/>
    <w:rsid w:val="1F26058A"/>
    <w:rsid w:val="1F2760B0"/>
    <w:rsid w:val="1F2E38E2"/>
    <w:rsid w:val="1F446C62"/>
    <w:rsid w:val="1FA82E8E"/>
    <w:rsid w:val="200872A5"/>
    <w:rsid w:val="201E75B2"/>
    <w:rsid w:val="203A59DF"/>
    <w:rsid w:val="205B7DE1"/>
    <w:rsid w:val="206673E6"/>
    <w:rsid w:val="207609AB"/>
    <w:rsid w:val="20915714"/>
    <w:rsid w:val="209445CF"/>
    <w:rsid w:val="20CC33B3"/>
    <w:rsid w:val="20D64A80"/>
    <w:rsid w:val="20DA0788"/>
    <w:rsid w:val="20E64474"/>
    <w:rsid w:val="213D3DB9"/>
    <w:rsid w:val="213F1FA9"/>
    <w:rsid w:val="21C5052E"/>
    <w:rsid w:val="21CB366A"/>
    <w:rsid w:val="21E7772D"/>
    <w:rsid w:val="223631D9"/>
    <w:rsid w:val="225F248F"/>
    <w:rsid w:val="226715E5"/>
    <w:rsid w:val="22A63D36"/>
    <w:rsid w:val="23072C1C"/>
    <w:rsid w:val="232A43C0"/>
    <w:rsid w:val="233C7BF9"/>
    <w:rsid w:val="235721C7"/>
    <w:rsid w:val="237962D0"/>
    <w:rsid w:val="23F06293"/>
    <w:rsid w:val="23F249DC"/>
    <w:rsid w:val="240D1777"/>
    <w:rsid w:val="2455651C"/>
    <w:rsid w:val="2460453E"/>
    <w:rsid w:val="246A0F18"/>
    <w:rsid w:val="24816D5B"/>
    <w:rsid w:val="249F7694"/>
    <w:rsid w:val="24B959FC"/>
    <w:rsid w:val="24FE5365"/>
    <w:rsid w:val="25082EDB"/>
    <w:rsid w:val="252D7931"/>
    <w:rsid w:val="256C2A6E"/>
    <w:rsid w:val="257F7E70"/>
    <w:rsid w:val="2585646C"/>
    <w:rsid w:val="25B50802"/>
    <w:rsid w:val="25C805EC"/>
    <w:rsid w:val="2613738E"/>
    <w:rsid w:val="26301870"/>
    <w:rsid w:val="26316101"/>
    <w:rsid w:val="26661BB3"/>
    <w:rsid w:val="26963B99"/>
    <w:rsid w:val="26CB7D41"/>
    <w:rsid w:val="2701389F"/>
    <w:rsid w:val="27197A7B"/>
    <w:rsid w:val="272C0707"/>
    <w:rsid w:val="274C2B57"/>
    <w:rsid w:val="27630C0D"/>
    <w:rsid w:val="27AA4F6F"/>
    <w:rsid w:val="27B518CB"/>
    <w:rsid w:val="27ED3879"/>
    <w:rsid w:val="28090A48"/>
    <w:rsid w:val="282D0BDB"/>
    <w:rsid w:val="2851105D"/>
    <w:rsid w:val="285717B4"/>
    <w:rsid w:val="28ED2118"/>
    <w:rsid w:val="28F60FCD"/>
    <w:rsid w:val="291D29FD"/>
    <w:rsid w:val="29264D23"/>
    <w:rsid w:val="29680E45"/>
    <w:rsid w:val="298B0CD6"/>
    <w:rsid w:val="29C53722"/>
    <w:rsid w:val="2A4E308A"/>
    <w:rsid w:val="2A5A182E"/>
    <w:rsid w:val="2A5C36EC"/>
    <w:rsid w:val="2AAC7D0E"/>
    <w:rsid w:val="2AAE5970"/>
    <w:rsid w:val="2B350957"/>
    <w:rsid w:val="2B3758CC"/>
    <w:rsid w:val="2B604B0B"/>
    <w:rsid w:val="2B654570"/>
    <w:rsid w:val="2B674A3B"/>
    <w:rsid w:val="2B69403C"/>
    <w:rsid w:val="2B98685A"/>
    <w:rsid w:val="2BA07916"/>
    <w:rsid w:val="2BA41D4A"/>
    <w:rsid w:val="2BFB3653"/>
    <w:rsid w:val="2C934D84"/>
    <w:rsid w:val="2CC31B0E"/>
    <w:rsid w:val="2CD05FD9"/>
    <w:rsid w:val="2CD45AC9"/>
    <w:rsid w:val="2CDC497D"/>
    <w:rsid w:val="2CF16BCB"/>
    <w:rsid w:val="2CFC2A24"/>
    <w:rsid w:val="2D113BB9"/>
    <w:rsid w:val="2D344638"/>
    <w:rsid w:val="2D712B01"/>
    <w:rsid w:val="2D8651EB"/>
    <w:rsid w:val="2DB64BD1"/>
    <w:rsid w:val="2DD13DB6"/>
    <w:rsid w:val="2E2E1209"/>
    <w:rsid w:val="2E5C3FC8"/>
    <w:rsid w:val="2E623F85"/>
    <w:rsid w:val="2E6909F3"/>
    <w:rsid w:val="2E725599"/>
    <w:rsid w:val="2E7B0EC8"/>
    <w:rsid w:val="2E9B5244"/>
    <w:rsid w:val="2ED22992"/>
    <w:rsid w:val="2EE93382"/>
    <w:rsid w:val="2F1042FF"/>
    <w:rsid w:val="2F4531EE"/>
    <w:rsid w:val="2F5D0354"/>
    <w:rsid w:val="2F605776"/>
    <w:rsid w:val="30055F99"/>
    <w:rsid w:val="305B205D"/>
    <w:rsid w:val="30842F22"/>
    <w:rsid w:val="30A12166"/>
    <w:rsid w:val="30CE0A81"/>
    <w:rsid w:val="30F04DDC"/>
    <w:rsid w:val="30F47689"/>
    <w:rsid w:val="31053147"/>
    <w:rsid w:val="3152520E"/>
    <w:rsid w:val="317541F5"/>
    <w:rsid w:val="319B4E07"/>
    <w:rsid w:val="31A07E0F"/>
    <w:rsid w:val="321533D5"/>
    <w:rsid w:val="3229553B"/>
    <w:rsid w:val="329306E0"/>
    <w:rsid w:val="32990C1B"/>
    <w:rsid w:val="33563A38"/>
    <w:rsid w:val="33BA3F4B"/>
    <w:rsid w:val="33BD430C"/>
    <w:rsid w:val="33C175E5"/>
    <w:rsid w:val="33C61EE3"/>
    <w:rsid w:val="3437693D"/>
    <w:rsid w:val="350A320A"/>
    <w:rsid w:val="35213875"/>
    <w:rsid w:val="356317A7"/>
    <w:rsid w:val="35690D78"/>
    <w:rsid w:val="3592689A"/>
    <w:rsid w:val="35BC539A"/>
    <w:rsid w:val="35E61494"/>
    <w:rsid w:val="3604361E"/>
    <w:rsid w:val="362507AE"/>
    <w:rsid w:val="36637A9D"/>
    <w:rsid w:val="369C1E65"/>
    <w:rsid w:val="36E601EE"/>
    <w:rsid w:val="371F17A4"/>
    <w:rsid w:val="3723331B"/>
    <w:rsid w:val="372D0668"/>
    <w:rsid w:val="37547145"/>
    <w:rsid w:val="37867F68"/>
    <w:rsid w:val="37B3442F"/>
    <w:rsid w:val="37E42938"/>
    <w:rsid w:val="3891572C"/>
    <w:rsid w:val="38975BFC"/>
    <w:rsid w:val="3898738C"/>
    <w:rsid w:val="38ED70E3"/>
    <w:rsid w:val="38F207D6"/>
    <w:rsid w:val="38F701F3"/>
    <w:rsid w:val="39070FD4"/>
    <w:rsid w:val="39605C72"/>
    <w:rsid w:val="39CA2D8A"/>
    <w:rsid w:val="3A6100A6"/>
    <w:rsid w:val="3A6F6E31"/>
    <w:rsid w:val="3A765836"/>
    <w:rsid w:val="3AB24D3F"/>
    <w:rsid w:val="3AB96228"/>
    <w:rsid w:val="3B5B20B0"/>
    <w:rsid w:val="3BA758B7"/>
    <w:rsid w:val="3BB70942"/>
    <w:rsid w:val="3C4B19ED"/>
    <w:rsid w:val="3C4C0E90"/>
    <w:rsid w:val="3C9F1104"/>
    <w:rsid w:val="3CD42044"/>
    <w:rsid w:val="3CE05DC4"/>
    <w:rsid w:val="3CFD35D6"/>
    <w:rsid w:val="3D347629"/>
    <w:rsid w:val="3D3B749E"/>
    <w:rsid w:val="3DA167F8"/>
    <w:rsid w:val="3DD86BD1"/>
    <w:rsid w:val="3DED7596"/>
    <w:rsid w:val="3E4405D4"/>
    <w:rsid w:val="3E4B54BF"/>
    <w:rsid w:val="3E74790C"/>
    <w:rsid w:val="3E905456"/>
    <w:rsid w:val="3EA00A69"/>
    <w:rsid w:val="3F33629E"/>
    <w:rsid w:val="3F3F1D52"/>
    <w:rsid w:val="3F496996"/>
    <w:rsid w:val="3FD3218E"/>
    <w:rsid w:val="3FD4617E"/>
    <w:rsid w:val="3FD61700"/>
    <w:rsid w:val="3FFE6DC3"/>
    <w:rsid w:val="407A3AE6"/>
    <w:rsid w:val="4093139F"/>
    <w:rsid w:val="409F4BAD"/>
    <w:rsid w:val="40B30F05"/>
    <w:rsid w:val="40BE4873"/>
    <w:rsid w:val="413C3FE6"/>
    <w:rsid w:val="414032D5"/>
    <w:rsid w:val="41C0612D"/>
    <w:rsid w:val="41DA7286"/>
    <w:rsid w:val="41E2613A"/>
    <w:rsid w:val="41E94EA6"/>
    <w:rsid w:val="42156DC9"/>
    <w:rsid w:val="423975C1"/>
    <w:rsid w:val="425C1BBF"/>
    <w:rsid w:val="42836F7D"/>
    <w:rsid w:val="42AD0ADF"/>
    <w:rsid w:val="42E74ED3"/>
    <w:rsid w:val="43DE56CF"/>
    <w:rsid w:val="440A57B0"/>
    <w:rsid w:val="444E7AB7"/>
    <w:rsid w:val="44745E94"/>
    <w:rsid w:val="44E00CA7"/>
    <w:rsid w:val="45297D20"/>
    <w:rsid w:val="45406A07"/>
    <w:rsid w:val="45A626A1"/>
    <w:rsid w:val="45BD03DD"/>
    <w:rsid w:val="45CB28D0"/>
    <w:rsid w:val="45EC3A2B"/>
    <w:rsid w:val="45F83A10"/>
    <w:rsid w:val="464A0BDF"/>
    <w:rsid w:val="4698326B"/>
    <w:rsid w:val="46C054B5"/>
    <w:rsid w:val="46EE526D"/>
    <w:rsid w:val="46F54862"/>
    <w:rsid w:val="47042837"/>
    <w:rsid w:val="475902F4"/>
    <w:rsid w:val="479B7E6A"/>
    <w:rsid w:val="47D20763"/>
    <w:rsid w:val="47E50E4A"/>
    <w:rsid w:val="47E66399"/>
    <w:rsid w:val="480664A0"/>
    <w:rsid w:val="48254C34"/>
    <w:rsid w:val="482B7945"/>
    <w:rsid w:val="483750A5"/>
    <w:rsid w:val="48B92DDD"/>
    <w:rsid w:val="48BB07A2"/>
    <w:rsid w:val="48ED61A4"/>
    <w:rsid w:val="48F0196D"/>
    <w:rsid w:val="48F13107"/>
    <w:rsid w:val="4939496C"/>
    <w:rsid w:val="498126DD"/>
    <w:rsid w:val="49A776CE"/>
    <w:rsid w:val="49C953CF"/>
    <w:rsid w:val="49DC1913"/>
    <w:rsid w:val="49F602BC"/>
    <w:rsid w:val="4A1C655F"/>
    <w:rsid w:val="4A2B1C26"/>
    <w:rsid w:val="4A5C4BFA"/>
    <w:rsid w:val="4A7D6761"/>
    <w:rsid w:val="4A7E0405"/>
    <w:rsid w:val="4ABB286A"/>
    <w:rsid w:val="4ADD62DF"/>
    <w:rsid w:val="4AFC1E3E"/>
    <w:rsid w:val="4B0C247A"/>
    <w:rsid w:val="4B0E7FA0"/>
    <w:rsid w:val="4BC4555C"/>
    <w:rsid w:val="4BF21F3C"/>
    <w:rsid w:val="4C5E1967"/>
    <w:rsid w:val="4C5E445B"/>
    <w:rsid w:val="4CA74DEA"/>
    <w:rsid w:val="4CBA1BFC"/>
    <w:rsid w:val="4CFB505E"/>
    <w:rsid w:val="4D673998"/>
    <w:rsid w:val="4D737564"/>
    <w:rsid w:val="4D897DB2"/>
    <w:rsid w:val="4DD52C26"/>
    <w:rsid w:val="4DD549DB"/>
    <w:rsid w:val="4E1924EF"/>
    <w:rsid w:val="4E305547"/>
    <w:rsid w:val="4E801DE8"/>
    <w:rsid w:val="4E920EE8"/>
    <w:rsid w:val="4E9B7735"/>
    <w:rsid w:val="4EB33287"/>
    <w:rsid w:val="4EB64525"/>
    <w:rsid w:val="4EEF00E8"/>
    <w:rsid w:val="4F284D8A"/>
    <w:rsid w:val="4F3B6023"/>
    <w:rsid w:val="4F8E4AF2"/>
    <w:rsid w:val="4FAF0C40"/>
    <w:rsid w:val="4FC450D1"/>
    <w:rsid w:val="4FEB4D54"/>
    <w:rsid w:val="501964E2"/>
    <w:rsid w:val="50204F78"/>
    <w:rsid w:val="50896762"/>
    <w:rsid w:val="51254295"/>
    <w:rsid w:val="513B3F10"/>
    <w:rsid w:val="516223AD"/>
    <w:rsid w:val="5186168E"/>
    <w:rsid w:val="518A6B82"/>
    <w:rsid w:val="51B01DB1"/>
    <w:rsid w:val="51B83D35"/>
    <w:rsid w:val="51ED3E89"/>
    <w:rsid w:val="5213339C"/>
    <w:rsid w:val="524F52D6"/>
    <w:rsid w:val="526E54BB"/>
    <w:rsid w:val="529663A9"/>
    <w:rsid w:val="52B73927"/>
    <w:rsid w:val="52D42B2D"/>
    <w:rsid w:val="52F61177"/>
    <w:rsid w:val="532365B3"/>
    <w:rsid w:val="53795458"/>
    <w:rsid w:val="54004D75"/>
    <w:rsid w:val="5422686A"/>
    <w:rsid w:val="542925D7"/>
    <w:rsid w:val="54550013"/>
    <w:rsid w:val="547B5380"/>
    <w:rsid w:val="547F28EE"/>
    <w:rsid w:val="54A850C8"/>
    <w:rsid w:val="54B97C08"/>
    <w:rsid w:val="54F64C71"/>
    <w:rsid w:val="5513726A"/>
    <w:rsid w:val="554D2256"/>
    <w:rsid w:val="5555355C"/>
    <w:rsid w:val="55AF2CD7"/>
    <w:rsid w:val="55D47D56"/>
    <w:rsid w:val="56723AD9"/>
    <w:rsid w:val="5740094B"/>
    <w:rsid w:val="574D787C"/>
    <w:rsid w:val="57715B3F"/>
    <w:rsid w:val="579A08E0"/>
    <w:rsid w:val="581B5FD5"/>
    <w:rsid w:val="587E1930"/>
    <w:rsid w:val="58A873A3"/>
    <w:rsid w:val="58C628DB"/>
    <w:rsid w:val="58C7006B"/>
    <w:rsid w:val="592D3CE7"/>
    <w:rsid w:val="59393258"/>
    <w:rsid w:val="593E6AB9"/>
    <w:rsid w:val="59873495"/>
    <w:rsid w:val="5A593FD1"/>
    <w:rsid w:val="5A5C40E3"/>
    <w:rsid w:val="5AB80AA4"/>
    <w:rsid w:val="5AC96030"/>
    <w:rsid w:val="5ACA36EA"/>
    <w:rsid w:val="5AD2671A"/>
    <w:rsid w:val="5AE25520"/>
    <w:rsid w:val="5B4D5A90"/>
    <w:rsid w:val="5BA02E96"/>
    <w:rsid w:val="5BC07F3D"/>
    <w:rsid w:val="5BC63581"/>
    <w:rsid w:val="5BF43B15"/>
    <w:rsid w:val="5BFD489D"/>
    <w:rsid w:val="5C1B251D"/>
    <w:rsid w:val="5C49708A"/>
    <w:rsid w:val="5CBF55AF"/>
    <w:rsid w:val="5D1038AD"/>
    <w:rsid w:val="5D2F753E"/>
    <w:rsid w:val="5D600B2F"/>
    <w:rsid w:val="5D807C21"/>
    <w:rsid w:val="5DBF059B"/>
    <w:rsid w:val="5DC220AA"/>
    <w:rsid w:val="5DF77F94"/>
    <w:rsid w:val="5DF9063C"/>
    <w:rsid w:val="5E1B3EC5"/>
    <w:rsid w:val="5E3B0C54"/>
    <w:rsid w:val="5E437C6C"/>
    <w:rsid w:val="5E5A66C0"/>
    <w:rsid w:val="5E897C12"/>
    <w:rsid w:val="5E8D24F9"/>
    <w:rsid w:val="5E985DDC"/>
    <w:rsid w:val="5EF552A7"/>
    <w:rsid w:val="5FB137C1"/>
    <w:rsid w:val="604E2987"/>
    <w:rsid w:val="606F72DB"/>
    <w:rsid w:val="60806DF2"/>
    <w:rsid w:val="60A50489"/>
    <w:rsid w:val="60A976DF"/>
    <w:rsid w:val="60D05660"/>
    <w:rsid w:val="61437B3D"/>
    <w:rsid w:val="6149549F"/>
    <w:rsid w:val="61630BEE"/>
    <w:rsid w:val="6243457B"/>
    <w:rsid w:val="62595518"/>
    <w:rsid w:val="62AD4291"/>
    <w:rsid w:val="62D358FF"/>
    <w:rsid w:val="62F615EE"/>
    <w:rsid w:val="637A089E"/>
    <w:rsid w:val="637B1AF3"/>
    <w:rsid w:val="642947D3"/>
    <w:rsid w:val="643E149E"/>
    <w:rsid w:val="644D03E2"/>
    <w:rsid w:val="645962D8"/>
    <w:rsid w:val="645C16D1"/>
    <w:rsid w:val="647819EB"/>
    <w:rsid w:val="64825DBC"/>
    <w:rsid w:val="648A46E4"/>
    <w:rsid w:val="64C16842"/>
    <w:rsid w:val="651D7306"/>
    <w:rsid w:val="652821D7"/>
    <w:rsid w:val="652F3A2A"/>
    <w:rsid w:val="658759D6"/>
    <w:rsid w:val="65911D0F"/>
    <w:rsid w:val="65A11126"/>
    <w:rsid w:val="65B62CDF"/>
    <w:rsid w:val="65E559D9"/>
    <w:rsid w:val="65F8567D"/>
    <w:rsid w:val="660303B6"/>
    <w:rsid w:val="661D2E96"/>
    <w:rsid w:val="66546D57"/>
    <w:rsid w:val="666A598C"/>
    <w:rsid w:val="66BB1425"/>
    <w:rsid w:val="66C0263F"/>
    <w:rsid w:val="66CA1544"/>
    <w:rsid w:val="66FB3FFB"/>
    <w:rsid w:val="6751081D"/>
    <w:rsid w:val="67582877"/>
    <w:rsid w:val="67D55C76"/>
    <w:rsid w:val="67E42923"/>
    <w:rsid w:val="67F7525A"/>
    <w:rsid w:val="683B3742"/>
    <w:rsid w:val="683F0C6E"/>
    <w:rsid w:val="687D1A26"/>
    <w:rsid w:val="689903C3"/>
    <w:rsid w:val="68BB778E"/>
    <w:rsid w:val="68C41413"/>
    <w:rsid w:val="68FC3A7C"/>
    <w:rsid w:val="6993520D"/>
    <w:rsid w:val="69C51152"/>
    <w:rsid w:val="69C53AC8"/>
    <w:rsid w:val="69EC72A7"/>
    <w:rsid w:val="69FD1214"/>
    <w:rsid w:val="6A024D1C"/>
    <w:rsid w:val="6A2B1F83"/>
    <w:rsid w:val="6A2C1D99"/>
    <w:rsid w:val="6A4254A7"/>
    <w:rsid w:val="6A56351E"/>
    <w:rsid w:val="6A76270C"/>
    <w:rsid w:val="6AED32D6"/>
    <w:rsid w:val="6B196739"/>
    <w:rsid w:val="6B642B64"/>
    <w:rsid w:val="6B811AA8"/>
    <w:rsid w:val="6B8C088D"/>
    <w:rsid w:val="6C7216FC"/>
    <w:rsid w:val="6C90649D"/>
    <w:rsid w:val="6D350EF8"/>
    <w:rsid w:val="6D8A12B0"/>
    <w:rsid w:val="6E864066"/>
    <w:rsid w:val="6EEE586F"/>
    <w:rsid w:val="6F212AB9"/>
    <w:rsid w:val="6F3C0580"/>
    <w:rsid w:val="6F3C2A7E"/>
    <w:rsid w:val="6F7246F2"/>
    <w:rsid w:val="6F7B6738"/>
    <w:rsid w:val="6FA7614A"/>
    <w:rsid w:val="6FAD1286"/>
    <w:rsid w:val="6FED1633"/>
    <w:rsid w:val="702552C0"/>
    <w:rsid w:val="705160B5"/>
    <w:rsid w:val="70D311C0"/>
    <w:rsid w:val="71006D1F"/>
    <w:rsid w:val="710A2A84"/>
    <w:rsid w:val="711517D9"/>
    <w:rsid w:val="713E06AA"/>
    <w:rsid w:val="717803C1"/>
    <w:rsid w:val="718D1B7C"/>
    <w:rsid w:val="718F6E95"/>
    <w:rsid w:val="71AA0173"/>
    <w:rsid w:val="71B56442"/>
    <w:rsid w:val="723C4385"/>
    <w:rsid w:val="72405AEC"/>
    <w:rsid w:val="724D23DC"/>
    <w:rsid w:val="72CC7C01"/>
    <w:rsid w:val="74281823"/>
    <w:rsid w:val="74461834"/>
    <w:rsid w:val="74714F78"/>
    <w:rsid w:val="75120509"/>
    <w:rsid w:val="751E2445"/>
    <w:rsid w:val="752257D1"/>
    <w:rsid w:val="75481873"/>
    <w:rsid w:val="755539A3"/>
    <w:rsid w:val="75CA2B92"/>
    <w:rsid w:val="762A2968"/>
    <w:rsid w:val="76373F9F"/>
    <w:rsid w:val="764A510D"/>
    <w:rsid w:val="76643CD5"/>
    <w:rsid w:val="767157D6"/>
    <w:rsid w:val="767756A4"/>
    <w:rsid w:val="769B246D"/>
    <w:rsid w:val="772605D7"/>
    <w:rsid w:val="77286A7D"/>
    <w:rsid w:val="773C4AA3"/>
    <w:rsid w:val="776C20E7"/>
    <w:rsid w:val="776E6E78"/>
    <w:rsid w:val="77716ACC"/>
    <w:rsid w:val="77861191"/>
    <w:rsid w:val="77B95E16"/>
    <w:rsid w:val="780D398B"/>
    <w:rsid w:val="7899684C"/>
    <w:rsid w:val="790E548B"/>
    <w:rsid w:val="79295E21"/>
    <w:rsid w:val="79452EB8"/>
    <w:rsid w:val="794B76D6"/>
    <w:rsid w:val="795B09E3"/>
    <w:rsid w:val="79A4194C"/>
    <w:rsid w:val="79CB6ED9"/>
    <w:rsid w:val="7A184717"/>
    <w:rsid w:val="7A1C7AA6"/>
    <w:rsid w:val="7A82660E"/>
    <w:rsid w:val="7A826FBE"/>
    <w:rsid w:val="7A8F43AA"/>
    <w:rsid w:val="7A952CA2"/>
    <w:rsid w:val="7ACA5D7E"/>
    <w:rsid w:val="7B3D01B3"/>
    <w:rsid w:val="7B4D11A2"/>
    <w:rsid w:val="7B5B0730"/>
    <w:rsid w:val="7B937ECA"/>
    <w:rsid w:val="7C2D40AF"/>
    <w:rsid w:val="7C7E1E6F"/>
    <w:rsid w:val="7CE3278B"/>
    <w:rsid w:val="7D1223B8"/>
    <w:rsid w:val="7D3B5731"/>
    <w:rsid w:val="7D6C4452"/>
    <w:rsid w:val="7DB175FF"/>
    <w:rsid w:val="7DB665E3"/>
    <w:rsid w:val="7DEC14BF"/>
    <w:rsid w:val="7E0E55E6"/>
    <w:rsid w:val="7E431733"/>
    <w:rsid w:val="7E5305AF"/>
    <w:rsid w:val="7E7A2C7B"/>
    <w:rsid w:val="7EC108AA"/>
    <w:rsid w:val="7EF23388"/>
    <w:rsid w:val="7EF9701A"/>
    <w:rsid w:val="7F1C3D32"/>
    <w:rsid w:val="7F435763"/>
    <w:rsid w:val="7F89586C"/>
    <w:rsid w:val="7F9534BA"/>
    <w:rsid w:val="7FA45B25"/>
    <w:rsid w:val="7FCC7507"/>
    <w:rsid w:val="7FD76DDD"/>
    <w:rsid w:val="7FD92516"/>
    <w:rsid w:val="7FE448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qFormat="1" w:unhideWhenUsed="0" w:uiPriority="0" w:semiHidden="0" w:name="table of figures"/>
    <w:lsdException w:qFormat="1" w:unhideWhenUsed="0" w:uiPriority="0" w:semiHidden="0" w:name="envelope address"/>
    <w:lsdException w:qFormat="1" w:unhideWhenUsed="0" w:uiPriority="0" w:semiHidden="0" w:name="envelope return"/>
    <w:lsdException w:qFormat="1" w:unhideWhenUsed="0" w:uiPriority="0" w:semiHidden="0" w:name="footnote reference"/>
    <w:lsdException w:qFormat="1" w:unhideWhenUsed="0" w:uiPriority="0" w:semiHidden="0" w:name="annotation reference"/>
    <w:lsdException w:qFormat="1" w:uiPriority="0" w:semiHidden="0" w:name="line number"/>
    <w:lsdException w:qFormat="1" w:unhideWhenUsed="0" w:uiPriority="0" w:semiHidden="0" w:name="page number"/>
    <w:lsdException w:qFormat="1" w:uiPriority="99" w:semiHidden="0" w:name="endnote reference"/>
    <w:lsdException w:qFormat="1" w:uiPriority="99" w:semiHidden="0" w:name="endnote text"/>
    <w:lsdException w:qFormat="1" w:unhideWhenUsed="0" w:uiPriority="0" w:semiHidden="0" w:name="table of authorities"/>
    <w:lsdException w:qFormat="1" w:unhideWhenUsed="0" w:uiPriority="0" w:semiHidden="0" w:name="macro"/>
    <w:lsdException w:qFormat="1" w:unhideWhenUsed="0" w:uiPriority="0" w:semiHidden="0" w:name="toa heading"/>
    <w:lsdException w:qFormat="1" w:unhideWhenUsed="0" w:uiPriority="99" w:semiHidden="0" w:name="List"/>
    <w:lsdException w:qFormat="1" w:unhideWhenUsed="0" w:uiPriority="0" w:semiHidden="0" w:name="List Bullet"/>
    <w:lsdException w:qFormat="1" w:unhideWhenUsed="0" w:uiPriority="99"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qFormat="1" w:unhideWhenUsed="0" w:uiPriority="0" w:semiHidden="0" w:name="Closing"/>
    <w:lsdException w:qFormat="1"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99" w:semiHidden="0" w:name="Body Text 2"/>
    <w:lsdException w:qFormat="1" w:unhideWhenUsed="0" w:uiPriority="0" w:semiHidden="0" w:name="Body Text 3"/>
    <w:lsdException w:qFormat="1" w:unhideWhenUsed="0" w:uiPriority="0" w:semiHidden="0" w:name="Body Text Indent 2"/>
    <w:lsdException w:qFormat="1" w:unhideWhenUsed="0" w:uiPriority="99"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99" w:semiHidden="0" w:name="Document Map"/>
    <w:lsdException w:qFormat="1" w:unhideWhenUsed="0" w:uiPriority="0" w:semiHidden="0" w:name="Plain Text"/>
    <w:lsdException w:qFormat="1" w:unhideWhenUsed="0" w:uiPriority="0" w:semiHidden="0" w:name="E-mail Signature"/>
    <w:lsdException w:qFormat="1" w:unhideWhenUsed="0" w:uiPriority="0" w:semiHidden="0" w:name="Normal (Web)"/>
    <w:lsdException w:qFormat="1" w:unhideWhenUsed="0" w:uiPriority="0" w:semiHidden="0" w:name="HTML Acronym"/>
    <w:lsdException w:qFormat="1"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99"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nhideWhenUsed="0" w:uiPriority="99" w:semiHidden="0" w:name="annotation subject"/>
    <w:lsdException w:qFormat="1" w:unhideWhenUsed="0" w:uiPriority="99" w:semiHidden="0" w:name="Table Simple 1"/>
    <w:lsdException w:qFormat="1" w:unhideWhenUsed="0" w:uiPriority="0" w:semiHidden="0" w:name="Table Simple 2"/>
    <w:lsdException w:qFormat="1" w:unhideWhenUsed="0" w:uiPriority="0" w:semiHidden="0" w:name="Table Simple 3"/>
    <w:lsdException w:qFormat="1" w:unhideWhenUsed="0" w:uiPriority="0" w:semiHidden="0" w:name="Table Classic 1"/>
    <w:lsdException w:qFormat="1" w:unhideWhenUsed="0" w:uiPriority="0" w:semiHidden="0" w:name="Table Classic 2"/>
    <w:lsdException w:qFormat="1" w:unhideWhenUsed="0" w:uiPriority="0" w:semiHidden="0" w:name="Table Classic 3"/>
    <w:lsdException w:qFormat="1" w:unhideWhenUsed="0" w:uiPriority="0" w:semiHidden="0" w:name="Table Classic 4"/>
    <w:lsdException w:qFormat="1" w:unhideWhenUsed="0" w:uiPriority="0" w:semiHidden="0" w:name="Table Colorful 1"/>
    <w:lsdException w:qFormat="1" w:unhideWhenUsed="0" w:uiPriority="0" w:semiHidden="0" w:name="Table Colorful 2"/>
    <w:lsdException w:qFormat="1" w:unhideWhenUsed="0" w:uiPriority="0" w:semiHidden="0" w:name="Table Colorful 3"/>
    <w:lsdException w:qFormat="1" w:unhideWhenUsed="0" w:uiPriority="0" w:semiHidden="0" w:name="Table Columns 1"/>
    <w:lsdException w:qFormat="1" w:unhideWhenUsed="0" w:uiPriority="0" w:semiHidden="0" w:name="Table Columns 2"/>
    <w:lsdException w:qFormat="1" w:unhideWhenUsed="0" w:uiPriority="0" w:semiHidden="0" w:name="Table Columns 3"/>
    <w:lsdException w:qFormat="1" w:unhideWhenUsed="0" w:uiPriority="0" w:semiHidden="0" w:name="Table Columns 4"/>
    <w:lsdException w:qFormat="1" w:unhideWhenUsed="0" w:uiPriority="0" w:semiHidden="0" w:name="Table Columns 5"/>
    <w:lsdException w:qFormat="1" w:unhideWhenUsed="0" w:uiPriority="0" w:semiHidden="0" w:name="Table Grid 1"/>
    <w:lsdException w:qFormat="1" w:unhideWhenUsed="0" w:uiPriority="0" w:semiHidden="0" w:name="Table Grid 2"/>
    <w:lsdException w:qFormat="1" w:unhideWhenUsed="0" w:uiPriority="0" w:semiHidden="0" w:name="Table Grid 3"/>
    <w:lsdException w:qFormat="1" w:unhideWhenUsed="0" w:uiPriority="0" w:semiHidden="0" w:name="Table Grid 4"/>
    <w:lsdException w:qFormat="1" w:unhideWhenUsed="0" w:uiPriority="0" w:semiHidden="0" w:name="Table Grid 5"/>
    <w:lsdException w:qFormat="1" w:unhideWhenUsed="0" w:uiPriority="0" w:semiHidden="0" w:name="Table Grid 6"/>
    <w:lsdException w:qFormat="1" w:unhideWhenUsed="0" w:uiPriority="0" w:semiHidden="0" w:name="Table Grid 7"/>
    <w:lsdException w:qFormat="1" w:unhideWhenUsed="0" w:uiPriority="0" w:semiHidden="0" w:name="Table Grid 8"/>
    <w:lsdException w:qFormat="1" w:unhideWhenUsed="0" w:uiPriority="0" w:semiHidden="0" w:name="Table List 1"/>
    <w:lsdException w:qFormat="1" w:unhideWhenUsed="0" w:uiPriority="0" w:semiHidden="0" w:name="Table List 2"/>
    <w:lsdException w:qFormat="1" w:unhideWhenUsed="0" w:uiPriority="0" w:semiHidden="0" w:name="Table List 3"/>
    <w:lsdException w:qFormat="1" w:unhideWhenUsed="0" w:uiPriority="0" w:semiHidden="0" w:name="Table List 4"/>
    <w:lsdException w:qFormat="1" w:unhideWhenUsed="0" w:uiPriority="0" w:semiHidden="0" w:name="Table List 5"/>
    <w:lsdException w:qFormat="1" w:unhideWhenUsed="0" w:uiPriority="0" w:semiHidden="0" w:name="Table List 6"/>
    <w:lsdException w:qFormat="1" w:unhideWhenUsed="0" w:uiPriority="0" w:semiHidden="0" w:name="Table List 7"/>
    <w:lsdException w:qFormat="1" w:unhideWhenUsed="0" w:uiPriority="0" w:semiHidden="0" w:name="Table List 8"/>
    <w:lsdException w:qFormat="1" w:unhideWhenUsed="0" w:uiPriority="0" w:semiHidden="0" w:name="Table 3D effects 1"/>
    <w:lsdException w:qFormat="1" w:unhideWhenUsed="0" w:uiPriority="0" w:semiHidden="0" w:name="Table 3D effects 2"/>
    <w:lsdException w:qFormat="1" w:unhideWhenUsed="0" w:uiPriority="0" w:semiHidden="0" w:name="Table 3D effects 3"/>
    <w:lsdException w:qFormat="1" w:unhideWhenUsed="0" w:uiPriority="0" w:semiHidden="0" w:name="Table Contemporary"/>
    <w:lsdException w:qFormat="1" w:unhideWhenUsed="0" w:uiPriority="0" w:semiHidden="0" w:name="Table Elegant"/>
    <w:lsdException w:qFormat="1" w:unhideWhenUsed="0" w:uiPriority="0" w:semiHidden="0" w:name="Table Professional"/>
    <w:lsdException w:qFormat="1" w:unhideWhenUsed="0" w:uiPriority="0" w:semiHidden="0" w:name="Table Subtle 1"/>
    <w:lsdException w:qFormat="1" w:unhideWhenUsed="0" w:uiPriority="0" w:semiHidden="0" w:name="Table Subtle 2"/>
    <w:lsdException w:qFormat="1" w:unhideWhenUsed="0" w:uiPriority="0" w:semiHidden="0" w:name="Table Web 1"/>
    <w:lsdException w:qFormat="1" w:unhideWhenUsed="0" w:uiPriority="0" w:semiHidden="0" w:name="Table Web 2"/>
    <w:lsdException w:qFormat="1" w:unhideWhenUsed="0" w:uiPriority="0" w:semiHidden="0" w:name="Table Web 3"/>
    <w:lsdException w:qFormat="1" w:unhideWhenUsed="0" w:uiPriority="99" w:semiHidden="0" w:name="Balloon Text"/>
    <w:lsdException w:qFormat="1" w:unhideWhenUsed="0" w:uiPriority="0" w:semiHidden="0" w:name="Table Grid"/>
    <w:lsdException w:qFormat="1" w:unhideWhenUsed="0" w:uiPriority="99" w:semiHidden="0" w:name="Table Theme"/>
    <w:lsdException w:qFormat="1" w:unhideWhenUsed="0" w:uiPriority="99" w:semiHidden="0"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243"/>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298"/>
    <w:qFormat/>
    <w:uiPriority w:val="9"/>
    <w:pPr>
      <w:keepNext/>
      <w:keepLines/>
      <w:tabs>
        <w:tab w:val="left" w:pos="0"/>
        <w:tab w:val="left" w:pos="567"/>
      </w:tabs>
      <w:spacing w:beforeLines="50" w:afterLines="50" w:line="500" w:lineRule="exact"/>
      <w:outlineLvl w:val="1"/>
    </w:pPr>
    <w:rPr>
      <w:rFonts w:eastAsia="仿宋_GB2312"/>
      <w:b/>
      <w:spacing w:val="6"/>
      <w:kern w:val="0"/>
      <w:sz w:val="28"/>
      <w:szCs w:val="28"/>
    </w:rPr>
  </w:style>
  <w:style w:type="paragraph" w:styleId="6">
    <w:name w:val="heading 3"/>
    <w:basedOn w:val="1"/>
    <w:next w:val="1"/>
    <w:link w:val="4038"/>
    <w:qFormat/>
    <w:uiPriority w:val="9"/>
    <w:pPr>
      <w:keepNext/>
      <w:keepLines/>
      <w:spacing w:before="260" w:after="260" w:line="416" w:lineRule="auto"/>
      <w:outlineLvl w:val="2"/>
    </w:pPr>
    <w:rPr>
      <w:b/>
      <w:bCs/>
      <w:sz w:val="32"/>
      <w:szCs w:val="32"/>
    </w:rPr>
  </w:style>
  <w:style w:type="paragraph" w:styleId="7">
    <w:name w:val="heading 4"/>
    <w:basedOn w:val="1"/>
    <w:next w:val="1"/>
    <w:link w:val="318"/>
    <w:qFormat/>
    <w:uiPriority w:val="9"/>
    <w:pPr>
      <w:keepNext/>
      <w:keepLines/>
      <w:spacing w:line="500" w:lineRule="exact"/>
      <w:outlineLvl w:val="3"/>
    </w:pPr>
    <w:rPr>
      <w:rFonts w:ascii="仿宋_GB2312" w:hAnsi="Arial" w:eastAsia="仿宋_GB2312"/>
      <w:bCs/>
      <w:sz w:val="28"/>
      <w:szCs w:val="28"/>
    </w:rPr>
  </w:style>
  <w:style w:type="paragraph" w:styleId="8">
    <w:name w:val="heading 5"/>
    <w:basedOn w:val="1"/>
    <w:next w:val="1"/>
    <w:link w:val="736"/>
    <w:qFormat/>
    <w:uiPriority w:val="9"/>
    <w:pPr>
      <w:keepNext/>
      <w:keepLines/>
      <w:spacing w:before="280" w:after="290" w:line="376" w:lineRule="atLeast"/>
      <w:outlineLvl w:val="4"/>
    </w:pPr>
    <w:rPr>
      <w:rFonts w:ascii="仿宋_GB2312" w:eastAsia="仿宋_GB2312"/>
      <w:b/>
      <w:bCs/>
      <w:sz w:val="28"/>
      <w:szCs w:val="28"/>
    </w:rPr>
  </w:style>
  <w:style w:type="paragraph" w:styleId="9">
    <w:name w:val="heading 6"/>
    <w:basedOn w:val="1"/>
    <w:next w:val="1"/>
    <w:link w:val="737"/>
    <w:qFormat/>
    <w:uiPriority w:val="9"/>
    <w:pPr>
      <w:keepNext/>
      <w:keepLines/>
      <w:spacing w:before="240" w:after="64" w:line="320" w:lineRule="atLeast"/>
      <w:outlineLvl w:val="5"/>
    </w:pPr>
    <w:rPr>
      <w:rFonts w:ascii="Arial" w:hAnsi="Arial" w:eastAsia="黑体"/>
      <w:b/>
      <w:bCs/>
      <w:sz w:val="28"/>
    </w:rPr>
  </w:style>
  <w:style w:type="paragraph" w:styleId="10">
    <w:name w:val="heading 7"/>
    <w:basedOn w:val="1"/>
    <w:next w:val="1"/>
    <w:link w:val="738"/>
    <w:qFormat/>
    <w:uiPriority w:val="9"/>
    <w:pPr>
      <w:keepNext/>
      <w:keepLines/>
      <w:spacing w:before="240" w:after="64" w:line="320" w:lineRule="atLeast"/>
      <w:outlineLvl w:val="6"/>
    </w:pPr>
    <w:rPr>
      <w:rFonts w:ascii="仿宋_GB2312" w:eastAsia="仿宋_GB2312"/>
      <w:b/>
      <w:bCs/>
      <w:sz w:val="28"/>
    </w:rPr>
  </w:style>
  <w:style w:type="paragraph" w:styleId="11">
    <w:name w:val="heading 8"/>
    <w:basedOn w:val="1"/>
    <w:next w:val="1"/>
    <w:link w:val="739"/>
    <w:qFormat/>
    <w:uiPriority w:val="9"/>
    <w:pPr>
      <w:keepNext/>
      <w:keepLines/>
      <w:spacing w:before="240" w:after="64" w:line="320" w:lineRule="atLeast"/>
      <w:outlineLvl w:val="7"/>
    </w:pPr>
    <w:rPr>
      <w:rFonts w:ascii="Arial" w:hAnsi="Arial" w:eastAsia="黑体"/>
      <w:sz w:val="28"/>
    </w:rPr>
  </w:style>
  <w:style w:type="paragraph" w:styleId="12">
    <w:name w:val="heading 9"/>
    <w:basedOn w:val="1"/>
    <w:next w:val="1"/>
    <w:link w:val="740"/>
    <w:qFormat/>
    <w:uiPriority w:val="9"/>
    <w:pPr>
      <w:keepNext/>
      <w:keepLines/>
      <w:spacing w:before="240" w:after="64" w:line="320" w:lineRule="atLeast"/>
      <w:outlineLvl w:val="8"/>
    </w:pPr>
    <w:rPr>
      <w:rFonts w:ascii="Arial" w:hAnsi="Arial" w:eastAsia="黑体"/>
      <w:szCs w:val="21"/>
    </w:rPr>
  </w:style>
  <w:style w:type="character" w:default="1" w:styleId="133">
    <w:name w:val="Default Paragraph Font"/>
    <w:semiHidden/>
    <w:unhideWhenUsed/>
    <w:qFormat/>
    <w:uiPriority w:val="1"/>
  </w:style>
  <w:style w:type="table" w:default="1" w:styleId="88">
    <w:name w:val="Normal Table"/>
    <w:semiHidden/>
    <w:unhideWhenUsed/>
    <w:qFormat/>
    <w:uiPriority w:val="99"/>
    <w:tblPr>
      <w:tblCellMar>
        <w:top w:w="0" w:type="dxa"/>
        <w:left w:w="108" w:type="dxa"/>
        <w:bottom w:w="0" w:type="dxa"/>
        <w:right w:w="108" w:type="dxa"/>
      </w:tblCellMar>
    </w:tblPr>
  </w:style>
  <w:style w:type="paragraph" w:styleId="2">
    <w:name w:val="toc 2"/>
    <w:basedOn w:val="1"/>
    <w:next w:val="1"/>
    <w:qFormat/>
    <w:uiPriority w:val="39"/>
    <w:pPr>
      <w:tabs>
        <w:tab w:val="left" w:pos="567"/>
        <w:tab w:val="left" w:pos="630"/>
        <w:tab w:val="right" w:leader="dot" w:pos="8302"/>
      </w:tabs>
      <w:ind w:left="210"/>
      <w:jc w:val="left"/>
    </w:pPr>
    <w:rPr>
      <w:rFonts w:eastAsia="仿宋_GB2312"/>
      <w:smallCaps/>
      <w:spacing w:val="6"/>
      <w:kern w:val="0"/>
      <w:sz w:val="20"/>
      <w:szCs w:val="20"/>
      <w:lang w:val="zh-CN"/>
    </w:rPr>
  </w:style>
  <w:style w:type="paragraph" w:styleId="3">
    <w:name w:val="macro"/>
    <w:link w:val="1753"/>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adjustRightInd w:val="0"/>
      <w:spacing w:before="60"/>
      <w:ind w:firstLine="482"/>
      <w:textAlignment w:val="baseline"/>
    </w:pPr>
    <w:rPr>
      <w:rFonts w:ascii="Courier New" w:hAnsi="Courier New" w:eastAsia="宋体" w:cs="Times New Roman"/>
      <w:kern w:val="2"/>
      <w:sz w:val="24"/>
      <w:lang w:val="en-US" w:eastAsia="zh-CN" w:bidi="ar-SA"/>
    </w:rPr>
  </w:style>
  <w:style w:type="paragraph" w:styleId="13">
    <w:name w:val="List 3"/>
    <w:basedOn w:val="1"/>
    <w:qFormat/>
    <w:uiPriority w:val="0"/>
    <w:pPr>
      <w:spacing w:before="60"/>
      <w:ind w:left="1260" w:hanging="420"/>
    </w:pPr>
    <w:rPr>
      <w:rFonts w:ascii="Arial" w:hAnsi="Arial" w:eastAsia="仿宋_GB2312"/>
      <w:kern w:val="0"/>
      <w:sz w:val="24"/>
      <w:szCs w:val="20"/>
    </w:rPr>
  </w:style>
  <w:style w:type="paragraph" w:styleId="14">
    <w:name w:val="toc 7"/>
    <w:basedOn w:val="1"/>
    <w:next w:val="1"/>
    <w:qFormat/>
    <w:uiPriority w:val="39"/>
    <w:pPr>
      <w:ind w:left="1260"/>
      <w:jc w:val="left"/>
    </w:pPr>
    <w:rPr>
      <w:sz w:val="18"/>
      <w:szCs w:val="18"/>
    </w:rPr>
  </w:style>
  <w:style w:type="paragraph" w:styleId="15">
    <w:name w:val="List Number 2"/>
    <w:basedOn w:val="1"/>
    <w:qFormat/>
    <w:uiPriority w:val="0"/>
    <w:pPr>
      <w:tabs>
        <w:tab w:val="left" w:pos="360"/>
      </w:tabs>
      <w:ind w:left="360" w:hanging="360"/>
    </w:pPr>
  </w:style>
  <w:style w:type="paragraph" w:styleId="16">
    <w:name w:val="table of authorities"/>
    <w:basedOn w:val="1"/>
    <w:next w:val="1"/>
    <w:qFormat/>
    <w:uiPriority w:val="0"/>
    <w:pPr>
      <w:ind w:left="210" w:hanging="210"/>
      <w:jc w:val="left"/>
    </w:pPr>
  </w:style>
  <w:style w:type="paragraph" w:styleId="17">
    <w:name w:val="Note Heading"/>
    <w:basedOn w:val="1"/>
    <w:next w:val="1"/>
    <w:link w:val="449"/>
    <w:qFormat/>
    <w:uiPriority w:val="0"/>
    <w:pPr>
      <w:jc w:val="center"/>
    </w:pPr>
  </w:style>
  <w:style w:type="paragraph" w:styleId="18">
    <w:name w:val="List Bullet 4"/>
    <w:basedOn w:val="1"/>
    <w:qFormat/>
    <w:uiPriority w:val="0"/>
    <w:pPr>
      <w:tabs>
        <w:tab w:val="left" w:pos="435"/>
      </w:tabs>
      <w:ind w:left="435" w:hanging="435"/>
    </w:pPr>
  </w:style>
  <w:style w:type="paragraph" w:styleId="19">
    <w:name w:val="index 8"/>
    <w:basedOn w:val="1"/>
    <w:next w:val="1"/>
    <w:qFormat/>
    <w:uiPriority w:val="0"/>
    <w:pPr>
      <w:spacing w:line="360" w:lineRule="auto"/>
      <w:ind w:left="1400" w:leftChars="1400" w:firstLine="456" w:firstLineChars="190"/>
    </w:pPr>
    <w:rPr>
      <w:sz w:val="24"/>
      <w:szCs w:val="20"/>
    </w:rPr>
  </w:style>
  <w:style w:type="paragraph" w:styleId="20">
    <w:name w:val="E-mail Signature"/>
    <w:basedOn w:val="1"/>
    <w:link w:val="686"/>
    <w:qFormat/>
    <w:uiPriority w:val="0"/>
    <w:pPr>
      <w:spacing w:before="60"/>
      <w:ind w:firstLine="482"/>
    </w:pPr>
    <w:rPr>
      <w:rFonts w:ascii="Arial" w:hAnsi="Arial" w:eastAsia="仿宋_GB2312"/>
      <w:kern w:val="0"/>
      <w:sz w:val="24"/>
      <w:szCs w:val="20"/>
    </w:rPr>
  </w:style>
  <w:style w:type="paragraph" w:styleId="21">
    <w:name w:val="List Number"/>
    <w:basedOn w:val="1"/>
    <w:qFormat/>
    <w:uiPriority w:val="99"/>
    <w:pPr>
      <w:tabs>
        <w:tab w:val="left" w:pos="360"/>
      </w:tabs>
      <w:ind w:left="360" w:hanging="360" w:hangingChars="200"/>
    </w:pPr>
  </w:style>
  <w:style w:type="paragraph" w:styleId="22">
    <w:name w:val="Normal Indent"/>
    <w:basedOn w:val="1"/>
    <w:link w:val="245"/>
    <w:qFormat/>
    <w:uiPriority w:val="0"/>
    <w:pPr>
      <w:ind w:firstLine="420" w:firstLineChars="200"/>
    </w:pPr>
  </w:style>
  <w:style w:type="paragraph" w:styleId="23">
    <w:name w:val="caption"/>
    <w:basedOn w:val="1"/>
    <w:next w:val="1"/>
    <w:link w:val="402"/>
    <w:qFormat/>
    <w:uiPriority w:val="0"/>
    <w:pPr>
      <w:tabs>
        <w:tab w:val="left" w:pos="7380"/>
      </w:tabs>
      <w:overflowPunct w:val="0"/>
      <w:spacing w:before="152" w:afterLines="100"/>
      <w:jc w:val="left"/>
    </w:pPr>
    <w:rPr>
      <w:rFonts w:ascii="Arial" w:hAnsi="Arial" w:eastAsia="黑体" w:cs="Arial"/>
      <w:sz w:val="20"/>
      <w:szCs w:val="20"/>
    </w:rPr>
  </w:style>
  <w:style w:type="paragraph" w:styleId="24">
    <w:name w:val="index 5"/>
    <w:basedOn w:val="1"/>
    <w:next w:val="1"/>
    <w:qFormat/>
    <w:uiPriority w:val="0"/>
    <w:pPr>
      <w:spacing w:line="360" w:lineRule="auto"/>
      <w:ind w:left="800" w:leftChars="800" w:firstLine="456" w:firstLineChars="190"/>
    </w:pPr>
    <w:rPr>
      <w:sz w:val="24"/>
      <w:szCs w:val="20"/>
    </w:rPr>
  </w:style>
  <w:style w:type="paragraph" w:styleId="25">
    <w:name w:val="List Bullet"/>
    <w:basedOn w:val="1"/>
    <w:qFormat/>
    <w:uiPriority w:val="0"/>
    <w:pPr>
      <w:tabs>
        <w:tab w:val="left" w:pos="1140"/>
      </w:tabs>
      <w:ind w:left="1140" w:hanging="720"/>
    </w:pPr>
  </w:style>
  <w:style w:type="paragraph" w:styleId="26">
    <w:name w:val="envelope address"/>
    <w:basedOn w:val="1"/>
    <w:qFormat/>
    <w:uiPriority w:val="0"/>
    <w:pPr>
      <w:framePr w:w="7920" w:h="1980" w:hRule="exact" w:hSpace="180" w:wrap="around" w:vAnchor="margin" w:hAnchor="page" w:xAlign="center" w:yAlign="bottom"/>
      <w:widowControl/>
      <w:overflowPunct w:val="0"/>
      <w:autoSpaceDE w:val="0"/>
      <w:autoSpaceDN w:val="0"/>
      <w:adjustRightInd w:val="0"/>
      <w:spacing w:line="264" w:lineRule="auto"/>
      <w:ind w:left="2880"/>
      <w:jc w:val="left"/>
      <w:textAlignment w:val="baseline"/>
    </w:pPr>
    <w:rPr>
      <w:rFonts w:ascii="Arial" w:hAnsi="Arial"/>
      <w:kern w:val="0"/>
      <w:sz w:val="22"/>
      <w:szCs w:val="20"/>
      <w:lang w:val="en-GB"/>
    </w:rPr>
  </w:style>
  <w:style w:type="paragraph" w:styleId="27">
    <w:name w:val="Document Map"/>
    <w:basedOn w:val="1"/>
    <w:link w:val="410"/>
    <w:qFormat/>
    <w:uiPriority w:val="99"/>
    <w:pPr>
      <w:shd w:val="clear" w:color="auto" w:fill="000080"/>
    </w:pPr>
  </w:style>
  <w:style w:type="paragraph" w:styleId="28">
    <w:name w:val="toa heading"/>
    <w:basedOn w:val="1"/>
    <w:next w:val="1"/>
    <w:qFormat/>
    <w:uiPriority w:val="0"/>
    <w:pPr>
      <w:spacing w:before="120" w:after="120"/>
      <w:jc w:val="left"/>
    </w:pPr>
    <w:rPr>
      <w:u w:val="single"/>
    </w:rPr>
  </w:style>
  <w:style w:type="paragraph" w:styleId="29">
    <w:name w:val="annotation text"/>
    <w:basedOn w:val="1"/>
    <w:link w:val="846"/>
    <w:qFormat/>
    <w:uiPriority w:val="0"/>
    <w:pPr>
      <w:adjustRightInd w:val="0"/>
      <w:spacing w:line="360" w:lineRule="atLeast"/>
      <w:jc w:val="left"/>
      <w:textAlignment w:val="baseline"/>
    </w:pPr>
    <w:rPr>
      <w:kern w:val="0"/>
      <w:sz w:val="24"/>
      <w:szCs w:val="20"/>
    </w:rPr>
  </w:style>
  <w:style w:type="paragraph" w:styleId="30">
    <w:name w:val="index 6"/>
    <w:basedOn w:val="1"/>
    <w:next w:val="1"/>
    <w:qFormat/>
    <w:uiPriority w:val="0"/>
    <w:pPr>
      <w:spacing w:line="360" w:lineRule="auto"/>
      <w:ind w:left="1000" w:leftChars="1000" w:firstLine="456" w:firstLineChars="190"/>
    </w:pPr>
    <w:rPr>
      <w:sz w:val="24"/>
      <w:szCs w:val="20"/>
    </w:rPr>
  </w:style>
  <w:style w:type="paragraph" w:styleId="31">
    <w:name w:val="Salutation"/>
    <w:basedOn w:val="1"/>
    <w:next w:val="1"/>
    <w:link w:val="685"/>
    <w:qFormat/>
    <w:uiPriority w:val="0"/>
    <w:pPr>
      <w:spacing w:before="60"/>
      <w:ind w:firstLine="482"/>
    </w:pPr>
    <w:rPr>
      <w:rFonts w:ascii="Arial" w:hAnsi="Arial" w:eastAsia="仿宋_GB2312"/>
      <w:kern w:val="0"/>
      <w:sz w:val="24"/>
      <w:szCs w:val="20"/>
    </w:rPr>
  </w:style>
  <w:style w:type="paragraph" w:styleId="32">
    <w:name w:val="Body Text 3"/>
    <w:basedOn w:val="1"/>
    <w:link w:val="843"/>
    <w:qFormat/>
    <w:uiPriority w:val="0"/>
    <w:pPr>
      <w:spacing w:after="120"/>
    </w:pPr>
    <w:rPr>
      <w:sz w:val="16"/>
      <w:szCs w:val="16"/>
    </w:rPr>
  </w:style>
  <w:style w:type="paragraph" w:styleId="33">
    <w:name w:val="Closing"/>
    <w:basedOn w:val="1"/>
    <w:link w:val="688"/>
    <w:qFormat/>
    <w:uiPriority w:val="0"/>
    <w:pPr>
      <w:spacing w:before="60"/>
      <w:ind w:left="4320" w:firstLine="482"/>
    </w:pPr>
    <w:rPr>
      <w:rFonts w:ascii="Arial" w:hAnsi="Arial" w:eastAsia="仿宋_GB2312"/>
      <w:kern w:val="0"/>
      <w:sz w:val="24"/>
      <w:szCs w:val="20"/>
    </w:rPr>
  </w:style>
  <w:style w:type="paragraph" w:styleId="34">
    <w:name w:val="List Bullet 3"/>
    <w:basedOn w:val="1"/>
    <w:qFormat/>
    <w:uiPriority w:val="0"/>
    <w:pPr>
      <w:spacing w:before="50" w:line="500" w:lineRule="exact"/>
      <w:ind w:left="180"/>
    </w:pPr>
    <w:rPr>
      <w:spacing w:val="6"/>
      <w:sz w:val="28"/>
      <w:szCs w:val="20"/>
    </w:rPr>
  </w:style>
  <w:style w:type="paragraph" w:styleId="35">
    <w:name w:val="Body Text"/>
    <w:basedOn w:val="1"/>
    <w:next w:val="36"/>
    <w:link w:val="248"/>
    <w:qFormat/>
    <w:uiPriority w:val="99"/>
    <w:pPr>
      <w:spacing w:after="120"/>
    </w:pPr>
  </w:style>
  <w:style w:type="paragraph" w:styleId="36">
    <w:name w:val="List Bullet 5"/>
    <w:basedOn w:val="1"/>
    <w:qFormat/>
    <w:uiPriority w:val="0"/>
    <w:pPr>
      <w:tabs>
        <w:tab w:val="left" w:pos="1260"/>
      </w:tabs>
      <w:ind w:left="1260" w:hanging="720"/>
    </w:pPr>
  </w:style>
  <w:style w:type="paragraph" w:styleId="37">
    <w:name w:val="Body Text Indent"/>
    <w:basedOn w:val="1"/>
    <w:link w:val="237"/>
    <w:qFormat/>
    <w:uiPriority w:val="0"/>
    <w:pPr>
      <w:spacing w:after="120"/>
      <w:ind w:left="420" w:leftChars="200"/>
    </w:pPr>
  </w:style>
  <w:style w:type="paragraph" w:styleId="38">
    <w:name w:val="List Number 3"/>
    <w:basedOn w:val="1"/>
    <w:qFormat/>
    <w:uiPriority w:val="0"/>
    <w:pPr>
      <w:tabs>
        <w:tab w:val="left" w:pos="1200"/>
        <w:tab w:val="left" w:pos="3240"/>
      </w:tabs>
      <w:ind w:left="1200" w:hanging="360"/>
    </w:pPr>
  </w:style>
  <w:style w:type="paragraph" w:styleId="39">
    <w:name w:val="List 2"/>
    <w:basedOn w:val="1"/>
    <w:qFormat/>
    <w:uiPriority w:val="0"/>
    <w:pPr>
      <w:ind w:left="100" w:leftChars="200" w:hanging="200" w:hangingChars="200"/>
    </w:pPr>
  </w:style>
  <w:style w:type="paragraph" w:styleId="40">
    <w:name w:val="List Continue"/>
    <w:basedOn w:val="1"/>
    <w:qFormat/>
    <w:uiPriority w:val="0"/>
    <w:pPr>
      <w:spacing w:before="60" w:after="120"/>
      <w:ind w:left="420" w:firstLine="482"/>
    </w:pPr>
    <w:rPr>
      <w:rFonts w:ascii="Arial" w:hAnsi="Arial" w:eastAsia="仿宋_GB2312"/>
      <w:kern w:val="0"/>
      <w:sz w:val="24"/>
      <w:szCs w:val="20"/>
    </w:rPr>
  </w:style>
  <w:style w:type="paragraph" w:styleId="41">
    <w:name w:val="Block Text"/>
    <w:basedOn w:val="1"/>
    <w:qFormat/>
    <w:uiPriority w:val="0"/>
    <w:pPr>
      <w:spacing w:after="120"/>
      <w:ind w:left="1440" w:leftChars="700" w:right="700" w:rightChars="700"/>
    </w:pPr>
    <w:rPr>
      <w:szCs w:val="20"/>
    </w:rPr>
  </w:style>
  <w:style w:type="paragraph" w:styleId="42">
    <w:name w:val="List Bullet 2"/>
    <w:basedOn w:val="1"/>
    <w:qFormat/>
    <w:uiPriority w:val="0"/>
    <w:pPr>
      <w:widowControl/>
      <w:overflowPunct w:val="0"/>
      <w:autoSpaceDE w:val="0"/>
      <w:autoSpaceDN w:val="0"/>
      <w:adjustRightInd w:val="0"/>
      <w:spacing w:line="264" w:lineRule="auto"/>
      <w:ind w:left="720" w:hanging="360"/>
      <w:jc w:val="left"/>
      <w:textAlignment w:val="baseline"/>
    </w:pPr>
    <w:rPr>
      <w:rFonts w:ascii="Book Antiqua" w:hAnsi="Book Antiqua"/>
      <w:kern w:val="0"/>
      <w:sz w:val="22"/>
      <w:szCs w:val="20"/>
      <w:lang w:val="en-GB"/>
    </w:rPr>
  </w:style>
  <w:style w:type="paragraph" w:styleId="43">
    <w:name w:val="HTML Address"/>
    <w:basedOn w:val="1"/>
    <w:link w:val="684"/>
    <w:qFormat/>
    <w:uiPriority w:val="0"/>
    <w:pPr>
      <w:spacing w:before="60"/>
      <w:ind w:firstLine="482"/>
    </w:pPr>
    <w:rPr>
      <w:rFonts w:ascii="Arial" w:hAnsi="Arial" w:eastAsia="仿宋_GB2312"/>
      <w:i/>
      <w:iCs/>
      <w:kern w:val="0"/>
      <w:sz w:val="24"/>
      <w:szCs w:val="20"/>
    </w:rPr>
  </w:style>
  <w:style w:type="paragraph" w:styleId="44">
    <w:name w:val="index 4"/>
    <w:basedOn w:val="1"/>
    <w:next w:val="1"/>
    <w:qFormat/>
    <w:uiPriority w:val="0"/>
    <w:pPr>
      <w:spacing w:line="360" w:lineRule="auto"/>
      <w:ind w:left="600" w:leftChars="600" w:firstLine="456" w:firstLineChars="190"/>
    </w:pPr>
    <w:rPr>
      <w:sz w:val="24"/>
      <w:szCs w:val="20"/>
    </w:rPr>
  </w:style>
  <w:style w:type="paragraph" w:styleId="45">
    <w:name w:val="toc 5"/>
    <w:basedOn w:val="1"/>
    <w:next w:val="1"/>
    <w:qFormat/>
    <w:uiPriority w:val="39"/>
    <w:pPr>
      <w:ind w:left="840"/>
      <w:jc w:val="left"/>
    </w:pPr>
    <w:rPr>
      <w:sz w:val="18"/>
      <w:szCs w:val="18"/>
    </w:rPr>
  </w:style>
  <w:style w:type="paragraph" w:styleId="46">
    <w:name w:val="toc 3"/>
    <w:basedOn w:val="1"/>
    <w:next w:val="1"/>
    <w:qFormat/>
    <w:uiPriority w:val="39"/>
    <w:pPr>
      <w:ind w:left="420"/>
      <w:jc w:val="left"/>
    </w:pPr>
    <w:rPr>
      <w:i/>
      <w:iCs/>
      <w:sz w:val="20"/>
      <w:szCs w:val="20"/>
    </w:rPr>
  </w:style>
  <w:style w:type="paragraph" w:styleId="47">
    <w:name w:val="Plain Text"/>
    <w:basedOn w:val="1"/>
    <w:link w:val="249"/>
    <w:qFormat/>
    <w:uiPriority w:val="0"/>
    <w:rPr>
      <w:rFonts w:ascii="宋体" w:hAnsi="Courier New" w:cs="Courier New"/>
      <w:szCs w:val="21"/>
    </w:rPr>
  </w:style>
  <w:style w:type="paragraph" w:styleId="48">
    <w:name w:val="List Number 4"/>
    <w:basedOn w:val="1"/>
    <w:qFormat/>
    <w:uiPriority w:val="0"/>
    <w:pPr>
      <w:tabs>
        <w:tab w:val="left" w:pos="432"/>
      </w:tabs>
      <w:ind w:left="432" w:hanging="432"/>
    </w:pPr>
  </w:style>
  <w:style w:type="paragraph" w:styleId="49">
    <w:name w:val="toc 8"/>
    <w:basedOn w:val="1"/>
    <w:next w:val="1"/>
    <w:qFormat/>
    <w:uiPriority w:val="39"/>
    <w:pPr>
      <w:ind w:left="1470"/>
      <w:jc w:val="left"/>
    </w:pPr>
    <w:rPr>
      <w:sz w:val="18"/>
      <w:szCs w:val="18"/>
    </w:rPr>
  </w:style>
  <w:style w:type="paragraph" w:styleId="50">
    <w:name w:val="index 3"/>
    <w:basedOn w:val="1"/>
    <w:next w:val="1"/>
    <w:qFormat/>
    <w:uiPriority w:val="0"/>
    <w:pPr>
      <w:spacing w:line="360" w:lineRule="auto"/>
      <w:ind w:left="400" w:leftChars="400" w:firstLine="456" w:firstLineChars="190"/>
    </w:pPr>
    <w:rPr>
      <w:sz w:val="24"/>
      <w:szCs w:val="20"/>
    </w:rPr>
  </w:style>
  <w:style w:type="paragraph" w:styleId="51">
    <w:name w:val="Date"/>
    <w:basedOn w:val="1"/>
    <w:next w:val="1"/>
    <w:link w:val="844"/>
    <w:qFormat/>
    <w:uiPriority w:val="0"/>
    <w:pPr>
      <w:adjustRightInd w:val="0"/>
      <w:spacing w:line="360" w:lineRule="atLeast"/>
      <w:ind w:left="100" w:leftChars="2500"/>
      <w:jc w:val="left"/>
      <w:textAlignment w:val="baseline"/>
    </w:pPr>
    <w:rPr>
      <w:rFonts w:ascii="宋体"/>
      <w:kern w:val="0"/>
      <w:sz w:val="24"/>
      <w:szCs w:val="20"/>
    </w:rPr>
  </w:style>
  <w:style w:type="paragraph" w:styleId="52">
    <w:name w:val="Body Text Indent 2"/>
    <w:basedOn w:val="1"/>
    <w:link w:val="244"/>
    <w:qFormat/>
    <w:uiPriority w:val="0"/>
    <w:pPr>
      <w:spacing w:line="500" w:lineRule="exact"/>
      <w:ind w:firstLine="560" w:firstLineChars="200"/>
    </w:pPr>
    <w:rPr>
      <w:rFonts w:ascii="仿宋_GB2312" w:eastAsia="仿宋_GB2312"/>
      <w:sz w:val="28"/>
      <w:szCs w:val="20"/>
    </w:rPr>
  </w:style>
  <w:style w:type="paragraph" w:styleId="53">
    <w:name w:val="endnote text"/>
    <w:basedOn w:val="1"/>
    <w:link w:val="1102"/>
    <w:unhideWhenUsed/>
    <w:qFormat/>
    <w:uiPriority w:val="99"/>
    <w:pPr>
      <w:snapToGrid w:val="0"/>
      <w:spacing w:line="500" w:lineRule="exact"/>
      <w:ind w:firstLine="200" w:firstLineChars="200"/>
      <w:jc w:val="left"/>
    </w:pPr>
    <w:rPr>
      <w:rFonts w:ascii="仿宋_GB2312" w:hAnsi="仿宋_GB2312" w:eastAsia="仿宋_GB2312"/>
      <w:sz w:val="28"/>
      <w:szCs w:val="21"/>
      <w:lang w:val="zh-CN"/>
    </w:rPr>
  </w:style>
  <w:style w:type="paragraph" w:styleId="54">
    <w:name w:val="List Continue 5"/>
    <w:basedOn w:val="1"/>
    <w:qFormat/>
    <w:uiPriority w:val="0"/>
    <w:pPr>
      <w:spacing w:before="60" w:after="120"/>
      <w:ind w:left="2100" w:firstLine="482"/>
    </w:pPr>
    <w:rPr>
      <w:rFonts w:ascii="Arial" w:hAnsi="Arial" w:eastAsia="仿宋_GB2312"/>
      <w:kern w:val="0"/>
      <w:sz w:val="24"/>
      <w:szCs w:val="20"/>
    </w:rPr>
  </w:style>
  <w:style w:type="paragraph" w:styleId="55">
    <w:name w:val="Balloon Text"/>
    <w:basedOn w:val="1"/>
    <w:link w:val="411"/>
    <w:qFormat/>
    <w:uiPriority w:val="99"/>
    <w:rPr>
      <w:sz w:val="18"/>
      <w:szCs w:val="18"/>
    </w:rPr>
  </w:style>
  <w:style w:type="paragraph" w:styleId="56">
    <w:name w:val="footer"/>
    <w:basedOn w:val="1"/>
    <w:link w:val="403"/>
    <w:qFormat/>
    <w:uiPriority w:val="99"/>
    <w:pPr>
      <w:tabs>
        <w:tab w:val="center" w:pos="4153"/>
        <w:tab w:val="right" w:pos="8306"/>
      </w:tabs>
      <w:snapToGrid w:val="0"/>
      <w:jc w:val="left"/>
    </w:pPr>
    <w:rPr>
      <w:sz w:val="18"/>
      <w:szCs w:val="18"/>
    </w:rPr>
  </w:style>
  <w:style w:type="paragraph" w:styleId="57">
    <w:name w:val="envelope return"/>
    <w:basedOn w:val="1"/>
    <w:qFormat/>
    <w:uiPriority w:val="0"/>
    <w:pPr>
      <w:snapToGrid w:val="0"/>
      <w:spacing w:before="60"/>
      <w:ind w:firstLine="482"/>
    </w:pPr>
    <w:rPr>
      <w:rFonts w:ascii="Arial" w:hAnsi="Arial" w:eastAsia="仿宋_GB2312" w:cs="Arial"/>
      <w:kern w:val="0"/>
      <w:sz w:val="24"/>
      <w:szCs w:val="20"/>
    </w:rPr>
  </w:style>
  <w:style w:type="paragraph" w:styleId="58">
    <w:name w:val="header"/>
    <w:basedOn w:val="1"/>
    <w:link w:val="406"/>
    <w:qFormat/>
    <w:uiPriority w:val="99"/>
    <w:pPr>
      <w:pBdr>
        <w:bottom w:val="single" w:color="auto" w:sz="6" w:space="1"/>
      </w:pBdr>
      <w:tabs>
        <w:tab w:val="center" w:pos="4153"/>
        <w:tab w:val="right" w:pos="8306"/>
      </w:tabs>
      <w:snapToGrid w:val="0"/>
      <w:jc w:val="center"/>
    </w:pPr>
    <w:rPr>
      <w:sz w:val="18"/>
      <w:szCs w:val="18"/>
    </w:rPr>
  </w:style>
  <w:style w:type="paragraph" w:styleId="59">
    <w:name w:val="Signature"/>
    <w:basedOn w:val="1"/>
    <w:link w:val="689"/>
    <w:qFormat/>
    <w:uiPriority w:val="0"/>
    <w:pPr>
      <w:spacing w:before="60"/>
      <w:ind w:left="4320" w:firstLine="482"/>
    </w:pPr>
    <w:rPr>
      <w:rFonts w:ascii="Arial" w:hAnsi="Arial" w:eastAsia="仿宋_GB2312"/>
      <w:kern w:val="0"/>
      <w:sz w:val="24"/>
      <w:szCs w:val="20"/>
    </w:rPr>
  </w:style>
  <w:style w:type="paragraph" w:styleId="60">
    <w:name w:val="toc 1"/>
    <w:basedOn w:val="1"/>
    <w:next w:val="1"/>
    <w:qFormat/>
    <w:uiPriority w:val="39"/>
    <w:pPr>
      <w:tabs>
        <w:tab w:val="left" w:pos="284"/>
        <w:tab w:val="left" w:pos="630"/>
        <w:tab w:val="right" w:leader="dot" w:pos="8302"/>
      </w:tabs>
      <w:snapToGrid w:val="0"/>
      <w:spacing w:before="120" w:after="120"/>
      <w:jc w:val="center"/>
    </w:pPr>
    <w:rPr>
      <w:rFonts w:eastAsia="仿宋_GB2312"/>
      <w:b/>
      <w:bCs/>
      <w:sz w:val="24"/>
    </w:rPr>
  </w:style>
  <w:style w:type="paragraph" w:styleId="61">
    <w:name w:val="List Continue 4"/>
    <w:basedOn w:val="1"/>
    <w:qFormat/>
    <w:uiPriority w:val="0"/>
    <w:pPr>
      <w:spacing w:before="60" w:after="120"/>
      <w:ind w:left="1680" w:firstLine="482"/>
    </w:pPr>
    <w:rPr>
      <w:rFonts w:ascii="Arial" w:hAnsi="Arial" w:eastAsia="仿宋_GB2312"/>
      <w:kern w:val="0"/>
      <w:sz w:val="24"/>
      <w:szCs w:val="20"/>
    </w:rPr>
  </w:style>
  <w:style w:type="paragraph" w:styleId="62">
    <w:name w:val="toc 4"/>
    <w:basedOn w:val="1"/>
    <w:next w:val="1"/>
    <w:qFormat/>
    <w:uiPriority w:val="39"/>
    <w:pPr>
      <w:ind w:left="630"/>
      <w:jc w:val="left"/>
    </w:pPr>
    <w:rPr>
      <w:sz w:val="18"/>
      <w:szCs w:val="18"/>
    </w:rPr>
  </w:style>
  <w:style w:type="paragraph" w:styleId="63">
    <w:name w:val="index heading"/>
    <w:basedOn w:val="1"/>
    <w:next w:val="64"/>
    <w:qFormat/>
    <w:uiPriority w:val="0"/>
  </w:style>
  <w:style w:type="paragraph" w:styleId="64">
    <w:name w:val="index 1"/>
    <w:basedOn w:val="1"/>
    <w:next w:val="1"/>
    <w:qFormat/>
    <w:uiPriority w:val="0"/>
    <w:pPr>
      <w:spacing w:line="400" w:lineRule="exact"/>
      <w:ind w:firstLine="461" w:firstLineChars="192"/>
    </w:pPr>
    <w:rPr>
      <w:rFonts w:ascii="宋体"/>
      <w:bCs/>
      <w:color w:val="000000"/>
      <w:sz w:val="24"/>
    </w:rPr>
  </w:style>
  <w:style w:type="paragraph" w:styleId="65">
    <w:name w:val="Subtitle"/>
    <w:basedOn w:val="1"/>
    <w:link w:val="690"/>
    <w:qFormat/>
    <w:uiPriority w:val="0"/>
    <w:pPr>
      <w:spacing w:before="240" w:after="60" w:line="312" w:lineRule="auto"/>
      <w:ind w:firstLine="482"/>
      <w:jc w:val="center"/>
      <w:outlineLvl w:val="1"/>
    </w:pPr>
    <w:rPr>
      <w:rFonts w:ascii="Arial" w:hAnsi="Arial" w:eastAsia="仿宋_GB2312"/>
      <w:b/>
      <w:bCs/>
      <w:kern w:val="28"/>
      <w:sz w:val="32"/>
      <w:szCs w:val="32"/>
    </w:rPr>
  </w:style>
  <w:style w:type="paragraph" w:styleId="66">
    <w:name w:val="List Number 5"/>
    <w:basedOn w:val="1"/>
    <w:qFormat/>
    <w:uiPriority w:val="0"/>
    <w:pPr>
      <w:tabs>
        <w:tab w:val="left" w:pos="2040"/>
      </w:tabs>
      <w:ind w:left="2040" w:hanging="360"/>
    </w:pPr>
    <w:rPr>
      <w:szCs w:val="20"/>
    </w:rPr>
  </w:style>
  <w:style w:type="paragraph" w:styleId="67">
    <w:name w:val="List"/>
    <w:basedOn w:val="1"/>
    <w:qFormat/>
    <w:uiPriority w:val="99"/>
    <w:pPr>
      <w:spacing w:line="360" w:lineRule="exact"/>
      <w:jc w:val="center"/>
    </w:pPr>
    <w:rPr>
      <w:rFonts w:ascii="仿宋_GB2312" w:eastAsia="仿宋_GB2312"/>
      <w:sz w:val="24"/>
      <w:szCs w:val="20"/>
    </w:rPr>
  </w:style>
  <w:style w:type="paragraph" w:styleId="68">
    <w:name w:val="footnote text"/>
    <w:basedOn w:val="1"/>
    <w:next w:val="1"/>
    <w:link w:val="848"/>
    <w:qFormat/>
    <w:uiPriority w:val="0"/>
    <w:pPr>
      <w:autoSpaceDE w:val="0"/>
      <w:autoSpaceDN w:val="0"/>
      <w:adjustRightInd w:val="0"/>
      <w:jc w:val="left"/>
    </w:pPr>
    <w:rPr>
      <w:kern w:val="0"/>
      <w:sz w:val="20"/>
    </w:rPr>
  </w:style>
  <w:style w:type="paragraph" w:styleId="69">
    <w:name w:val="toc 6"/>
    <w:basedOn w:val="1"/>
    <w:next w:val="1"/>
    <w:qFormat/>
    <w:uiPriority w:val="39"/>
    <w:pPr>
      <w:ind w:left="1050"/>
      <w:jc w:val="left"/>
    </w:pPr>
    <w:rPr>
      <w:sz w:val="18"/>
      <w:szCs w:val="18"/>
    </w:rPr>
  </w:style>
  <w:style w:type="paragraph" w:styleId="70">
    <w:name w:val="List 5"/>
    <w:basedOn w:val="1"/>
    <w:qFormat/>
    <w:uiPriority w:val="0"/>
    <w:pPr>
      <w:spacing w:before="60"/>
      <w:ind w:left="2100" w:hanging="420"/>
    </w:pPr>
    <w:rPr>
      <w:rFonts w:ascii="Arial" w:hAnsi="Arial" w:eastAsia="仿宋_GB2312"/>
      <w:kern w:val="0"/>
      <w:sz w:val="24"/>
      <w:szCs w:val="20"/>
    </w:rPr>
  </w:style>
  <w:style w:type="paragraph" w:styleId="71">
    <w:name w:val="Body Text Indent 3"/>
    <w:basedOn w:val="1"/>
    <w:link w:val="749"/>
    <w:qFormat/>
    <w:uiPriority w:val="99"/>
    <w:pPr>
      <w:spacing w:after="120"/>
      <w:ind w:left="420" w:leftChars="200"/>
    </w:pPr>
    <w:rPr>
      <w:sz w:val="16"/>
      <w:szCs w:val="16"/>
    </w:rPr>
  </w:style>
  <w:style w:type="paragraph" w:styleId="72">
    <w:name w:val="index 7"/>
    <w:basedOn w:val="1"/>
    <w:next w:val="1"/>
    <w:qFormat/>
    <w:uiPriority w:val="0"/>
    <w:pPr>
      <w:spacing w:line="360" w:lineRule="auto"/>
      <w:ind w:left="1200" w:leftChars="1200" w:firstLine="456" w:firstLineChars="190"/>
    </w:pPr>
    <w:rPr>
      <w:sz w:val="24"/>
      <w:szCs w:val="20"/>
    </w:rPr>
  </w:style>
  <w:style w:type="paragraph" w:styleId="73">
    <w:name w:val="index 9"/>
    <w:basedOn w:val="1"/>
    <w:next w:val="1"/>
    <w:qFormat/>
    <w:uiPriority w:val="0"/>
    <w:pPr>
      <w:spacing w:line="360" w:lineRule="auto"/>
      <w:ind w:left="1600" w:leftChars="1600" w:firstLine="456" w:firstLineChars="190"/>
    </w:pPr>
    <w:rPr>
      <w:sz w:val="24"/>
      <w:szCs w:val="20"/>
    </w:rPr>
  </w:style>
  <w:style w:type="paragraph" w:styleId="74">
    <w:name w:val="table of figures"/>
    <w:basedOn w:val="1"/>
    <w:next w:val="1"/>
    <w:qFormat/>
    <w:uiPriority w:val="0"/>
    <w:pPr>
      <w:spacing w:after="120" w:line="500" w:lineRule="exact"/>
      <w:jc w:val="center"/>
    </w:pPr>
    <w:rPr>
      <w:rFonts w:ascii="仿宋_GB2312" w:eastAsia="仿宋_GB2312"/>
      <w:sz w:val="28"/>
    </w:rPr>
  </w:style>
  <w:style w:type="paragraph" w:styleId="75">
    <w:name w:val="toc 9"/>
    <w:basedOn w:val="1"/>
    <w:next w:val="1"/>
    <w:qFormat/>
    <w:uiPriority w:val="39"/>
    <w:pPr>
      <w:ind w:left="1680"/>
      <w:jc w:val="left"/>
    </w:pPr>
    <w:rPr>
      <w:sz w:val="18"/>
      <w:szCs w:val="18"/>
    </w:rPr>
  </w:style>
  <w:style w:type="paragraph" w:styleId="76">
    <w:name w:val="Body Text 2"/>
    <w:basedOn w:val="1"/>
    <w:link w:val="842"/>
    <w:qFormat/>
    <w:uiPriority w:val="99"/>
    <w:pPr>
      <w:spacing w:after="120" w:line="480" w:lineRule="auto"/>
    </w:pPr>
  </w:style>
  <w:style w:type="paragraph" w:styleId="77">
    <w:name w:val="List 4"/>
    <w:basedOn w:val="1"/>
    <w:qFormat/>
    <w:uiPriority w:val="0"/>
    <w:pPr>
      <w:spacing w:before="60"/>
      <w:ind w:left="1680" w:hanging="420"/>
    </w:pPr>
    <w:rPr>
      <w:rFonts w:ascii="Arial" w:hAnsi="Arial" w:eastAsia="仿宋_GB2312"/>
      <w:kern w:val="0"/>
      <w:sz w:val="24"/>
      <w:szCs w:val="20"/>
    </w:rPr>
  </w:style>
  <w:style w:type="paragraph" w:styleId="78">
    <w:name w:val="List Continue 2"/>
    <w:basedOn w:val="1"/>
    <w:qFormat/>
    <w:uiPriority w:val="0"/>
    <w:pPr>
      <w:spacing w:before="60" w:after="120"/>
      <w:ind w:left="840" w:firstLine="482"/>
    </w:pPr>
    <w:rPr>
      <w:rFonts w:ascii="Arial" w:hAnsi="Arial" w:eastAsia="仿宋_GB2312"/>
      <w:kern w:val="0"/>
      <w:sz w:val="24"/>
      <w:szCs w:val="20"/>
    </w:rPr>
  </w:style>
  <w:style w:type="paragraph" w:styleId="79">
    <w:name w:val="Message Header"/>
    <w:basedOn w:val="1"/>
    <w:link w:val="692"/>
    <w:qFormat/>
    <w:uiPriority w:val="0"/>
    <w:pPr>
      <w:pBdr>
        <w:top w:val="single" w:color="auto" w:sz="6" w:space="1"/>
        <w:left w:val="single" w:color="auto" w:sz="6" w:space="1"/>
        <w:bottom w:val="single" w:color="auto" w:sz="6" w:space="1"/>
        <w:right w:val="single" w:color="auto" w:sz="6" w:space="1"/>
      </w:pBdr>
      <w:shd w:val="pct20" w:color="auto" w:fill="auto"/>
      <w:spacing w:before="60"/>
      <w:ind w:left="1080" w:hanging="1080"/>
    </w:pPr>
    <w:rPr>
      <w:rFonts w:ascii="Arial" w:hAnsi="Arial" w:eastAsia="仿宋_GB2312"/>
      <w:kern w:val="0"/>
      <w:sz w:val="24"/>
      <w:szCs w:val="20"/>
    </w:rPr>
  </w:style>
  <w:style w:type="paragraph" w:styleId="80">
    <w:name w:val="HTML Preformatted"/>
    <w:basedOn w:val="1"/>
    <w:link w:val="450"/>
    <w:qFormat/>
    <w:uiPriority w:val="99"/>
    <w:rPr>
      <w:rFonts w:ascii="Courier New" w:hAnsi="Courier New"/>
      <w:sz w:val="20"/>
      <w:szCs w:val="20"/>
    </w:rPr>
  </w:style>
  <w:style w:type="paragraph" w:styleId="81">
    <w:name w:val="Normal (Web)"/>
    <w:basedOn w:val="1"/>
    <w:link w:val="1120"/>
    <w:qFormat/>
    <w:uiPriority w:val="0"/>
    <w:pPr>
      <w:spacing w:before="0" w:beforeAutospacing="1" w:after="0" w:afterAutospacing="1"/>
      <w:ind w:left="0" w:right="0"/>
      <w:jc w:val="left"/>
    </w:pPr>
    <w:rPr>
      <w:kern w:val="0"/>
      <w:sz w:val="24"/>
      <w:lang w:val="en-US" w:eastAsia="zh-CN" w:bidi="ar"/>
    </w:rPr>
  </w:style>
  <w:style w:type="paragraph" w:styleId="82">
    <w:name w:val="List Continue 3"/>
    <w:basedOn w:val="1"/>
    <w:qFormat/>
    <w:uiPriority w:val="0"/>
    <w:pPr>
      <w:spacing w:before="60" w:after="120"/>
      <w:ind w:left="1260" w:firstLine="482"/>
    </w:pPr>
    <w:rPr>
      <w:rFonts w:ascii="Arial" w:hAnsi="Arial" w:eastAsia="仿宋_GB2312"/>
      <w:kern w:val="0"/>
      <w:sz w:val="24"/>
      <w:szCs w:val="20"/>
    </w:rPr>
  </w:style>
  <w:style w:type="paragraph" w:styleId="83">
    <w:name w:val="index 2"/>
    <w:basedOn w:val="1"/>
    <w:next w:val="1"/>
    <w:qFormat/>
    <w:uiPriority w:val="0"/>
    <w:pPr>
      <w:spacing w:line="360" w:lineRule="auto"/>
      <w:ind w:left="200" w:leftChars="200" w:firstLine="456" w:firstLineChars="190"/>
    </w:pPr>
    <w:rPr>
      <w:sz w:val="24"/>
      <w:szCs w:val="20"/>
    </w:rPr>
  </w:style>
  <w:style w:type="paragraph" w:styleId="84">
    <w:name w:val="Title"/>
    <w:basedOn w:val="1"/>
    <w:link w:val="559"/>
    <w:qFormat/>
    <w:uiPriority w:val="0"/>
    <w:pPr>
      <w:spacing w:before="240" w:after="60"/>
      <w:jc w:val="center"/>
      <w:outlineLvl w:val="0"/>
    </w:pPr>
    <w:rPr>
      <w:rFonts w:ascii="Arial" w:hAnsi="Arial"/>
      <w:b/>
      <w:bCs/>
      <w:sz w:val="32"/>
      <w:szCs w:val="32"/>
    </w:rPr>
  </w:style>
  <w:style w:type="paragraph" w:styleId="85">
    <w:name w:val="annotation subject"/>
    <w:basedOn w:val="29"/>
    <w:next w:val="29"/>
    <w:link w:val="847"/>
    <w:qFormat/>
    <w:uiPriority w:val="99"/>
    <w:pPr>
      <w:adjustRightInd/>
      <w:spacing w:line="240" w:lineRule="auto"/>
      <w:textAlignment w:val="auto"/>
    </w:pPr>
    <w:rPr>
      <w:b/>
      <w:bCs/>
      <w:kern w:val="2"/>
      <w:sz w:val="21"/>
      <w:szCs w:val="24"/>
    </w:rPr>
  </w:style>
  <w:style w:type="paragraph" w:styleId="86">
    <w:name w:val="Body Text First Indent"/>
    <w:basedOn w:val="35"/>
    <w:link w:val="845"/>
    <w:qFormat/>
    <w:uiPriority w:val="0"/>
    <w:pPr>
      <w:spacing w:line="500" w:lineRule="exact"/>
      <w:ind w:firstLine="420" w:firstLineChars="100"/>
    </w:pPr>
    <w:rPr>
      <w:rFonts w:eastAsia="仿宋_GB2312"/>
      <w:sz w:val="28"/>
    </w:rPr>
  </w:style>
  <w:style w:type="paragraph" w:styleId="87">
    <w:name w:val="Body Text First Indent 2"/>
    <w:basedOn w:val="37"/>
    <w:link w:val="694"/>
    <w:qFormat/>
    <w:uiPriority w:val="0"/>
    <w:pPr>
      <w:spacing w:before="60"/>
      <w:ind w:left="0" w:leftChars="0" w:firstLine="210"/>
    </w:pPr>
    <w:rPr>
      <w:sz w:val="18"/>
    </w:rPr>
  </w:style>
  <w:style w:type="table" w:styleId="89">
    <w:name w:val="Table Grid"/>
    <w:basedOn w:val="8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90">
    <w:name w:val="Table Theme"/>
    <w:basedOn w:val="88"/>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91">
    <w:name w:val="Table Colorful 1"/>
    <w:basedOn w:val="88"/>
    <w:qFormat/>
    <w:uiPriority w:val="0"/>
    <w:pPr>
      <w:widowControl w:val="0"/>
      <w:spacing w:line="500" w:lineRule="exact"/>
      <w:jc w:val="both"/>
    </w:pPr>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92">
    <w:name w:val="Table Colorful 2"/>
    <w:basedOn w:val="88"/>
    <w:qFormat/>
    <w:uiPriority w:val="0"/>
    <w:pPr>
      <w:widowControl w:val="0"/>
      <w:spacing w:line="500" w:lineRule="exact"/>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93">
    <w:name w:val="Table Colorful 3"/>
    <w:basedOn w:val="88"/>
    <w:qFormat/>
    <w:uiPriority w:val="0"/>
    <w:pPr>
      <w:widowControl w:val="0"/>
      <w:spacing w:line="500" w:lineRule="exact"/>
      <w:jc w:val="both"/>
    </w:p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bottom w:val="single" w:color="000000" w:sz="6" w:space="0"/>
          <w:tl2br w:val="nil"/>
          <w:tr2bl w:val="nil"/>
        </w:tcBorders>
        <w:shd w:val="solid" w:color="008080" w:fill="FFFFFF"/>
      </w:tcPr>
    </w:tblStylePr>
    <w:tblStylePr w:type="firstCol">
      <w:tblPr/>
      <w:tcPr>
        <w:tcBorders>
          <w:left w:val="single" w:color="000000" w:sz="36" w:space="0"/>
          <w:right w:val="single" w:color="000000" w:sz="6" w:space="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94">
    <w:name w:val="Table Elegant"/>
    <w:basedOn w:val="88"/>
    <w:qFormat/>
    <w:uiPriority w:val="0"/>
    <w:pPr>
      <w:widowControl w:val="0"/>
      <w:spacing w:line="500" w:lineRule="exact"/>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il"/>
          <w:tr2bl w:val="nil"/>
        </w:tcBorders>
      </w:tcPr>
    </w:tblStylePr>
  </w:style>
  <w:style w:type="table" w:styleId="95">
    <w:name w:val="Table Classic 1"/>
    <w:basedOn w:val="88"/>
    <w:qFormat/>
    <w:uiPriority w:val="0"/>
    <w:pPr>
      <w:widowControl w:val="0"/>
      <w:adjustRightInd w:val="0"/>
      <w:spacing w:line="312" w:lineRule="atLeast"/>
      <w:jc w:val="both"/>
      <w:textAlignment w:val="baseline"/>
    </w:pPr>
    <w:tblPr>
      <w:tblBorders>
        <w:top w:val="single" w:color="000000" w:sz="12" w:space="0"/>
        <w:bottom w:val="single" w:color="000000" w:sz="12" w:space="0"/>
      </w:tblBorders>
    </w:tblPr>
    <w:tcPr>
      <w:shd w:val="clear" w:color="auto" w:fill="auto"/>
    </w:tcPr>
    <w:tblStylePr w:type="firstRow">
      <w:rPr>
        <w:i/>
        <w:iCs/>
      </w:rPr>
      <w:tblPr/>
      <w:tcPr>
        <w:tcBorders>
          <w:bottom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tblPr/>
      <w:tcPr>
        <w:tcBorders>
          <w:right w:val="single" w:color="000000" w:sz="6" w:space="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96">
    <w:name w:val="Table Classic 2"/>
    <w:basedOn w:val="88"/>
    <w:qFormat/>
    <w:uiPriority w:val="0"/>
    <w:pPr>
      <w:widowControl w:val="0"/>
      <w:spacing w:line="500" w:lineRule="exact"/>
      <w:jc w:val="both"/>
    </w:pPr>
    <w:tblPr>
      <w:tblBorders>
        <w:top w:val="single" w:color="000000" w:sz="12" w:space="0"/>
        <w:bottom w:val="single" w:color="000000" w:sz="12" w:space="0"/>
      </w:tblBorders>
    </w:tblPr>
    <w:tcPr>
      <w:shd w:val="clear" w:color="auto" w:fill="auto"/>
    </w:tcPr>
    <w:tblStylePr w:type="firstRow">
      <w:rPr>
        <w:color w:val="FFFFFF"/>
      </w:rPr>
      <w:tblPr/>
      <w:tcPr>
        <w:tcBorders>
          <w:bottom w:val="single" w:color="000000" w:sz="6" w:space="0"/>
          <w:tl2br w:val="nil"/>
          <w:tr2bl w:val="nil"/>
        </w:tcBorders>
        <w:shd w:val="solid" w:color="800080" w:fill="FFFFFF"/>
      </w:tcPr>
    </w:tblStylePr>
    <w:tblStylePr w:type="lastRow">
      <w:tblPr/>
      <w:tcPr>
        <w:tcBorders>
          <w:top w:val="single" w:color="000000" w:sz="6" w:space="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97">
    <w:name w:val="Table Classic 3"/>
    <w:basedOn w:val="88"/>
    <w:qFormat/>
    <w:uiPriority w:val="0"/>
    <w:pPr>
      <w:widowControl w:val="0"/>
      <w:spacing w:line="500" w:lineRule="exact"/>
      <w:jc w:val="both"/>
    </w:pPr>
    <w:rPr>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bottom w:val="single" w:color="000000" w:sz="6" w:space="0"/>
          <w:tl2br w:val="nil"/>
          <w:tr2bl w:val="nil"/>
        </w:tcBorders>
        <w:shd w:val="solid" w:color="000080" w:fill="FFFFFF"/>
      </w:tcPr>
    </w:tblStylePr>
    <w:tblStylePr w:type="lastRow">
      <w:rPr>
        <w:color w:val="000080"/>
      </w:rPr>
      <w:tblPr/>
      <w:tcPr>
        <w:tcBorders>
          <w:top w:val="single" w:color="000000" w:sz="12" w:space="0"/>
          <w:tl2br w:val="nil"/>
          <w:tr2bl w:val="nil"/>
        </w:tcBorders>
        <w:shd w:val="solid" w:color="FFFFFF" w:fill="FFFFFF"/>
      </w:tcPr>
    </w:tblStylePr>
    <w:tblStylePr w:type="firstCol">
      <w:rPr>
        <w:b/>
        <w:bCs/>
        <w:color w:val="000000"/>
      </w:rPr>
      <w:tblPr/>
      <w:tcPr>
        <w:tcBorders>
          <w:tl2br w:val="nil"/>
          <w:tr2bl w:val="nil"/>
        </w:tcBorders>
      </w:tcPr>
    </w:tblStylePr>
  </w:style>
  <w:style w:type="table" w:styleId="98">
    <w:name w:val="Table Classic 4"/>
    <w:basedOn w:val="88"/>
    <w:qFormat/>
    <w:uiPriority w:val="0"/>
    <w:pPr>
      <w:widowControl w:val="0"/>
      <w:spacing w:line="500" w:lineRule="exact"/>
      <w:jc w:val="both"/>
    </w:p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bottom w:val="single" w:color="000000" w:sz="6" w:space="0"/>
          <w:tl2br w:val="nil"/>
          <w:tr2bl w:val="nil"/>
        </w:tcBorders>
        <w:shd w:val="pct50" w:color="000080" w:fill="FFFFFF"/>
      </w:tcPr>
    </w:tblStylePr>
    <w:tblStylePr w:type="lastRow">
      <w:rPr>
        <w:color w:val="000080"/>
      </w:rPr>
      <w:tblPr/>
      <w:tcPr>
        <w:tcBorders>
          <w:bottom w:val="single" w:color="000000" w:sz="6" w:space="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99">
    <w:name w:val="Table Simple 1"/>
    <w:basedOn w:val="88"/>
    <w:qFormat/>
    <w:uiPriority w:val="99"/>
    <w:pPr>
      <w:widowControl w:val="0"/>
      <w:jc w:val="both"/>
    </w:pPr>
    <w:tblPr>
      <w:tblBorders>
        <w:top w:val="single" w:color="008000" w:sz="12" w:space="0"/>
        <w:bottom w:val="single" w:color="008000" w:sz="12" w:space="0"/>
      </w:tblBorders>
    </w:tblPr>
    <w:tcPr>
      <w:shd w:val="clear" w:color="auto" w:fill="auto"/>
    </w:tcPr>
    <w:tblStylePr w:type="firstRow">
      <w:tblPr/>
      <w:tcPr>
        <w:tcBorders>
          <w:bottom w:val="single" w:color="008000" w:sz="6" w:space="0"/>
          <w:tl2br w:val="nil"/>
          <w:tr2bl w:val="nil"/>
        </w:tcBorders>
      </w:tcPr>
    </w:tblStylePr>
    <w:tblStylePr w:type="lastRow">
      <w:tblPr/>
      <w:tcPr>
        <w:tcBorders>
          <w:top w:val="single" w:color="008000" w:sz="6" w:space="0"/>
          <w:tl2br w:val="nil"/>
          <w:tr2bl w:val="nil"/>
        </w:tcBorders>
      </w:tcPr>
    </w:tblStylePr>
  </w:style>
  <w:style w:type="table" w:styleId="100">
    <w:name w:val="Table Simple 2"/>
    <w:basedOn w:val="88"/>
    <w:qFormat/>
    <w:uiPriority w:val="0"/>
    <w:pPr>
      <w:widowControl w:val="0"/>
      <w:spacing w:line="500" w:lineRule="exact"/>
      <w:jc w:val="both"/>
    </w:pPr>
    <w:tblPr/>
    <w:tblStylePr w:type="firstRow">
      <w:rPr>
        <w:b/>
        <w:bCs/>
      </w:rPr>
      <w:tblPr/>
      <w:tcPr>
        <w:tcBorders>
          <w:bottom w:val="single" w:color="000000" w:sz="12" w:space="0"/>
          <w:tl2br w:val="nil"/>
          <w:tr2bl w:val="nil"/>
        </w:tcBorders>
      </w:tcPr>
    </w:tblStylePr>
    <w:tblStylePr w:type="lastRow">
      <w:rPr>
        <w:b/>
        <w:bCs/>
        <w:color w:val="auto"/>
      </w:rPr>
      <w:tblPr/>
      <w:tcPr>
        <w:tcBorders>
          <w:top w:val="single" w:color="000000" w:sz="6" w:space="0"/>
          <w:tl2br w:val="nil"/>
          <w:tr2bl w:val="nil"/>
        </w:tcBorders>
      </w:tcPr>
    </w:tblStylePr>
    <w:tblStylePr w:type="firstCol">
      <w:rPr>
        <w:b/>
        <w:bCs/>
      </w:rPr>
      <w:tblPr/>
      <w:tcPr>
        <w:tcBorders>
          <w:right w:val="single" w:color="000000" w:sz="12" w:space="0"/>
          <w:tl2br w:val="nil"/>
          <w:tr2bl w:val="nil"/>
        </w:tcBorders>
      </w:tcPr>
    </w:tblStylePr>
    <w:tblStylePr w:type="lastCol">
      <w:rPr>
        <w:b/>
        <w:bCs/>
      </w:rPr>
      <w:tblPr/>
      <w:tcPr>
        <w:tcBorders>
          <w:left w:val="single" w:color="000000" w:sz="6" w:space="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101">
    <w:name w:val="Table Simple 3"/>
    <w:basedOn w:val="88"/>
    <w:qFormat/>
    <w:uiPriority w:val="0"/>
    <w:pPr>
      <w:widowControl w:val="0"/>
      <w:spacing w:line="500" w:lineRule="exact"/>
      <w:jc w:val="both"/>
    </w:p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102">
    <w:name w:val="Table Subtle 1"/>
    <w:basedOn w:val="88"/>
    <w:qFormat/>
    <w:uiPriority w:val="0"/>
    <w:pPr>
      <w:widowControl w:val="0"/>
      <w:spacing w:line="500" w:lineRule="exact"/>
      <w:jc w:val="both"/>
    </w:pPr>
    <w:tblPr>
      <w:tblStyleRowBandSize w:val="1"/>
    </w:tblPr>
    <w:tblStylePr w:type="firstRow">
      <w:tblPr/>
      <w:tcPr>
        <w:tcBorders>
          <w:top w:val="single" w:color="000000" w:sz="6" w:space="0"/>
          <w:bottom w:val="single" w:color="000000" w:sz="12" w:space="0"/>
          <w:tl2br w:val="nil"/>
          <w:tr2bl w:val="nil"/>
        </w:tcBorders>
      </w:tcPr>
    </w:tblStylePr>
    <w:tblStylePr w:type="lastRow">
      <w:tblPr/>
      <w:tcPr>
        <w:tcBorders>
          <w:top w:val="single" w:color="000000" w:sz="12" w:space="0"/>
          <w:tl2br w:val="nil"/>
          <w:tr2bl w:val="nil"/>
        </w:tcBorders>
        <w:shd w:val="pct25" w:color="800080" w:fill="FFFFFF"/>
      </w:tcPr>
    </w:tblStylePr>
    <w:tblStylePr w:type="firstCol">
      <w:tblPr/>
      <w:tcPr>
        <w:tcBorders>
          <w:right w:val="single" w:color="000000" w:sz="12" w:space="0"/>
          <w:tl2br w:val="nil"/>
          <w:tr2bl w:val="nil"/>
        </w:tcBorders>
      </w:tcPr>
    </w:tblStylePr>
    <w:tblStylePr w:type="lastCol">
      <w:tblPr/>
      <w:tcPr>
        <w:tcBorders>
          <w:left w:val="single" w:color="000000" w:sz="12" w:space="0"/>
          <w:tl2br w:val="nil"/>
          <w:tr2bl w:val="nil"/>
        </w:tcBorders>
      </w:tcPr>
    </w:tblStylePr>
    <w:tblStylePr w:type="band1Horz">
      <w:tblPr/>
      <w:tcPr>
        <w:tcBorders>
          <w:bottom w:val="single" w:color="000000" w:sz="6"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3">
    <w:name w:val="Table Subtle 2"/>
    <w:basedOn w:val="88"/>
    <w:qFormat/>
    <w:uiPriority w:val="0"/>
    <w:pPr>
      <w:widowControl w:val="0"/>
      <w:spacing w:line="500" w:lineRule="exact"/>
      <w:jc w:val="both"/>
    </w:pPr>
    <w:tblPr>
      <w:tblBorders>
        <w:left w:val="single" w:color="000000" w:sz="6" w:space="0"/>
        <w:right w:val="single" w:color="000000" w:sz="6" w:space="0"/>
      </w:tblBorders>
    </w:tblPr>
    <w:tblStylePr w:type="firstRow">
      <w:tblPr/>
      <w:tcPr>
        <w:tcBorders>
          <w:bottom w:val="single" w:color="000000" w:sz="12" w:space="0"/>
          <w:tl2br w:val="nil"/>
          <w:tr2bl w:val="nil"/>
        </w:tcBorders>
      </w:tcPr>
    </w:tblStylePr>
    <w:tblStylePr w:type="lastRow">
      <w:tblPr/>
      <w:tcPr>
        <w:tcBorders>
          <w:top w:val="single" w:color="000000" w:sz="12" w:space="0"/>
          <w:tl2br w:val="nil"/>
          <w:tr2bl w:val="nil"/>
        </w:tcBorders>
      </w:tcPr>
    </w:tblStylePr>
    <w:tblStylePr w:type="firstCol">
      <w:tblPr/>
      <w:tcPr>
        <w:tcBorders>
          <w:right w:val="single" w:color="000000" w:sz="12" w:space="0"/>
          <w:tl2br w:val="nil"/>
          <w:tr2bl w:val="nil"/>
        </w:tcBorders>
        <w:shd w:val="pct25" w:color="008000" w:fill="FFFFFF"/>
      </w:tcPr>
    </w:tblStylePr>
    <w:tblStylePr w:type="lastCol">
      <w:tblPr/>
      <w:tcPr>
        <w:tcBorders>
          <w:left w:val="single" w:color="000000" w:sz="12"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4">
    <w:name w:val="Table 3D effects 1"/>
    <w:basedOn w:val="88"/>
    <w:qFormat/>
    <w:uiPriority w:val="0"/>
    <w:pPr>
      <w:widowControl w:val="0"/>
      <w:spacing w:line="500" w:lineRule="exact"/>
      <w:jc w:val="both"/>
    </w:pPr>
    <w:tblPr/>
    <w:tcPr>
      <w:shd w:val="solid" w:color="C0C0C0" w:fill="FFFFFF"/>
    </w:tcPr>
    <w:tblStylePr w:type="firstRow">
      <w:rPr>
        <w:b/>
        <w:bCs/>
        <w:color w:val="800080"/>
      </w:rPr>
      <w:tblPr/>
      <w:tcPr>
        <w:tcBorders>
          <w:bottom w:val="single" w:color="808080" w:sz="6" w:space="0"/>
          <w:tl2br w:val="nil"/>
          <w:tr2bl w:val="nil"/>
        </w:tcBorders>
      </w:tcPr>
    </w:tblStylePr>
    <w:tblStylePr w:type="lastRow">
      <w:tblPr/>
      <w:tcPr>
        <w:tcBorders>
          <w:top w:val="single" w:color="FFFFFF" w:sz="6" w:space="0"/>
          <w:tl2br w:val="nil"/>
          <w:tr2bl w:val="nil"/>
        </w:tcBorders>
      </w:tcPr>
    </w:tblStylePr>
    <w:tblStylePr w:type="firstCol">
      <w:rPr>
        <w:b/>
        <w:bCs/>
      </w:rPr>
      <w:tblPr/>
      <w:tcPr>
        <w:tcBorders>
          <w:right w:val="single" w:color="808080" w:sz="6" w:space="0"/>
          <w:tl2br w:val="nil"/>
          <w:tr2bl w:val="nil"/>
        </w:tcBorders>
      </w:tcPr>
    </w:tblStylePr>
    <w:tblStylePr w:type="lastCol">
      <w:tblPr/>
      <w:tcPr>
        <w:tcBorders>
          <w:left w:val="single" w:color="FFFFFF" w:sz="6" w:space="0"/>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105">
    <w:name w:val="Table 3D effects 2"/>
    <w:basedOn w:val="88"/>
    <w:qFormat/>
    <w:uiPriority w:val="0"/>
    <w:pPr>
      <w:widowControl w:val="0"/>
      <w:spacing w:line="500" w:lineRule="exact"/>
      <w:jc w:val="both"/>
    </w:p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Horz">
      <w:tblPr/>
      <w:tcPr>
        <w:tcBorders>
          <w:top w:val="single" w:color="808080" w:sz="6" w:space="0"/>
          <w:bottom w:val="single" w:color="FFFFFF" w:sz="6" w:space="0"/>
          <w:tl2br w:val="nil"/>
          <w:tr2bl w:val="nil"/>
        </w:tcBorders>
      </w:tcPr>
    </w:tblStylePr>
    <w:tblStylePr w:type="swCell">
      <w:rPr>
        <w:b/>
        <w:bCs/>
      </w:rPr>
      <w:tblPr/>
      <w:tcPr>
        <w:tcBorders>
          <w:tl2br w:val="nil"/>
          <w:tr2bl w:val="nil"/>
        </w:tcBorders>
      </w:tcPr>
    </w:tblStylePr>
  </w:style>
  <w:style w:type="table" w:styleId="106">
    <w:name w:val="Table 3D effects 3"/>
    <w:basedOn w:val="88"/>
    <w:qFormat/>
    <w:uiPriority w:val="0"/>
    <w:pPr>
      <w:widowControl w:val="0"/>
      <w:spacing w:line="500" w:lineRule="exact"/>
      <w:jc w:val="both"/>
    </w:pPr>
    <w:tblPr>
      <w:tblStyleRowBandSize w:val="1"/>
      <w:tblStyleColBandSize w:val="1"/>
    </w:tblPr>
    <w:tblStylePr w:type="firstRow">
      <w:rPr>
        <w:b/>
        <w:bCs/>
      </w:rPr>
      <w:tblPr/>
      <w:tcPr>
        <w:tcBorders>
          <w:tl2br w:val="nil"/>
          <w:tr2bl w:val="nil"/>
        </w:tcBorders>
      </w:tcPr>
    </w:tblStylePr>
    <w:tblStylePr w:type="firstCol">
      <w:tblPr/>
      <w:tcPr>
        <w:tcBorders>
          <w:top w:val="nil"/>
          <w:bottom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il"/>
          <w:tr2bl w:val="nil"/>
        </w:tcBorders>
      </w:tcPr>
    </w:tblStylePr>
    <w:tblStylePr w:type="swCell">
      <w:rPr>
        <w:b/>
        <w:bCs/>
      </w:rPr>
      <w:tblPr/>
      <w:tcPr>
        <w:tcBorders>
          <w:tl2br w:val="nil"/>
          <w:tr2bl w:val="nil"/>
        </w:tcBorders>
      </w:tcPr>
    </w:tblStylePr>
  </w:style>
  <w:style w:type="table" w:styleId="107">
    <w:name w:val="Table List 1"/>
    <w:basedOn w:val="88"/>
    <w:qFormat/>
    <w:uiPriority w:val="0"/>
    <w:pPr>
      <w:widowControl w:val="0"/>
      <w:spacing w:line="500" w:lineRule="exact"/>
      <w:jc w:val="both"/>
    </w:pPr>
    <w:tblPr>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bottom w:val="single" w:color="000000" w:sz="6" w:space="0"/>
          <w:tl2br w:val="nil"/>
          <w:tr2bl w:val="nil"/>
        </w:tcBorders>
        <w:shd w:val="solid" w:color="C0C0C0" w:fill="FFFFFF"/>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08">
    <w:name w:val="Table List 2"/>
    <w:basedOn w:val="88"/>
    <w:qFormat/>
    <w:uiPriority w:val="0"/>
    <w:pPr>
      <w:widowControl w:val="0"/>
      <w:spacing w:line="500" w:lineRule="exact"/>
      <w:jc w:val="both"/>
    </w:pPr>
    <w:tblPr>
      <w:tblBorders>
        <w:bottom w:val="single" w:color="808080" w:sz="12" w:space="0"/>
      </w:tblBorders>
    </w:tblPr>
    <w:tblStylePr w:type="firstRow">
      <w:rPr>
        <w:b/>
        <w:bCs/>
        <w:color w:val="FFFFFF"/>
      </w:rPr>
      <w:tblPr/>
      <w:tcPr>
        <w:tcBorders>
          <w:bottom w:val="single" w:color="000000" w:sz="6" w:space="0"/>
          <w:tl2br w:val="nil"/>
          <w:tr2bl w:val="nil"/>
        </w:tcBorders>
        <w:shd w:val="pct75" w:color="008080" w:fill="008000"/>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09">
    <w:name w:val="Table List 3"/>
    <w:basedOn w:val="88"/>
    <w:qFormat/>
    <w:uiPriority w:val="0"/>
    <w:pPr>
      <w:widowControl w:val="0"/>
      <w:spacing w:line="500" w:lineRule="exact"/>
      <w:jc w:val="both"/>
    </w:p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bottom w:val="single" w:color="000000" w:sz="12" w:space="0"/>
          <w:tl2br w:val="nil"/>
          <w:tr2bl w:val="nil"/>
        </w:tcBorders>
      </w:tcPr>
    </w:tblStylePr>
    <w:tblStylePr w:type="lastRow">
      <w:tblPr/>
      <w:tcPr>
        <w:tcBorders>
          <w:top w:val="single" w:color="000000" w:sz="12" w:space="0"/>
          <w:tl2br w:val="nil"/>
          <w:tr2bl w:val="nil"/>
        </w:tcBorders>
      </w:tcPr>
    </w:tblStylePr>
    <w:tblStylePr w:type="swCell">
      <w:rPr>
        <w:i/>
        <w:iCs/>
        <w:color w:val="000080"/>
      </w:rPr>
      <w:tblPr/>
      <w:tcPr>
        <w:tcBorders>
          <w:tl2br w:val="nil"/>
          <w:tr2bl w:val="nil"/>
        </w:tcBorders>
      </w:tcPr>
    </w:tblStylePr>
  </w:style>
  <w:style w:type="table" w:styleId="110">
    <w:name w:val="Table List 4"/>
    <w:basedOn w:val="88"/>
    <w:qFormat/>
    <w:uiPriority w:val="0"/>
    <w:pPr>
      <w:widowControl w:val="0"/>
      <w:spacing w:line="500" w:lineRule="exact"/>
      <w:jc w:val="both"/>
    </w:p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bottom w:val="single" w:color="000000" w:sz="12" w:space="0"/>
          <w:tl2br w:val="nil"/>
          <w:tr2bl w:val="nil"/>
        </w:tcBorders>
        <w:shd w:val="solid" w:color="808080" w:fill="FFFFFF"/>
      </w:tcPr>
    </w:tblStylePr>
  </w:style>
  <w:style w:type="table" w:styleId="111">
    <w:name w:val="Table List 5"/>
    <w:basedOn w:val="88"/>
    <w:qFormat/>
    <w:uiPriority w:val="0"/>
    <w:pPr>
      <w:widowControl w:val="0"/>
      <w:spacing w:line="500" w:lineRule="exact"/>
      <w:jc w:val="both"/>
    </w:p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bottom w:val="single" w:color="000000" w:sz="12" w:space="0"/>
          <w:tl2br w:val="nil"/>
          <w:tr2bl w:val="nil"/>
        </w:tcBorders>
      </w:tcPr>
    </w:tblStylePr>
    <w:tblStylePr w:type="firstCol">
      <w:rPr>
        <w:b/>
        <w:bCs/>
      </w:rPr>
      <w:tblPr/>
      <w:tcPr>
        <w:tcBorders>
          <w:tl2br w:val="nil"/>
          <w:tr2bl w:val="nil"/>
        </w:tcBorders>
      </w:tcPr>
    </w:tblStylePr>
  </w:style>
  <w:style w:type="table" w:styleId="112">
    <w:name w:val="Table List 6"/>
    <w:basedOn w:val="88"/>
    <w:qFormat/>
    <w:uiPriority w:val="0"/>
    <w:pPr>
      <w:widowControl w:val="0"/>
      <w:spacing w:line="500" w:lineRule="exact"/>
      <w:jc w:val="both"/>
    </w:pPr>
    <w:tblPr>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bottom w:val="single" w:color="000000" w:sz="12" w:space="0"/>
          <w:tl2br w:val="nil"/>
          <w:tr2bl w:val="nil"/>
        </w:tcBorders>
      </w:tcPr>
    </w:tblStylePr>
    <w:tblStylePr w:type="firstCol">
      <w:rPr>
        <w:b/>
        <w:bCs/>
      </w:rPr>
      <w:tblPr/>
      <w:tcPr>
        <w:tcBorders>
          <w:right w:val="single" w:color="000000" w:sz="12" w:space="0"/>
          <w:tl2br w:val="nil"/>
          <w:tr2bl w:val="nil"/>
        </w:tcBorders>
      </w:tcPr>
    </w:tblStylePr>
    <w:tblStylePr w:type="band1Horz">
      <w:tblPr/>
      <w:tcPr>
        <w:tcBorders>
          <w:tl2br w:val="nil"/>
          <w:tr2bl w:val="nil"/>
        </w:tcBorders>
        <w:shd w:val="pct25" w:color="000000" w:fill="FFFFFF"/>
      </w:tcPr>
    </w:tblStylePr>
    <w:tblStylePr w:type="nwCell">
      <w:tblPr/>
      <w:tcPr>
        <w:tcBorders>
          <w:tl2br w:val="single" w:color="000000" w:sz="6" w:space="0"/>
          <w:tr2bl w:val="nil"/>
        </w:tcBorders>
      </w:tcPr>
    </w:tblStylePr>
  </w:style>
  <w:style w:type="table" w:styleId="113">
    <w:name w:val="Table List 7"/>
    <w:basedOn w:val="88"/>
    <w:qFormat/>
    <w:uiPriority w:val="0"/>
    <w:pPr>
      <w:widowControl w:val="0"/>
      <w:spacing w:line="500" w:lineRule="exact"/>
      <w:jc w:val="both"/>
    </w:pPr>
    <w:tblPr>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bottom w:val="single" w:color="008000" w:sz="12" w:space="0"/>
          <w:tl2br w:val="nil"/>
          <w:tr2bl w:val="nil"/>
        </w:tcBorders>
        <w:shd w:val="solid" w:color="C0C0C0" w:fill="FFFFFF"/>
      </w:tcPr>
    </w:tblStylePr>
    <w:tblStylePr w:type="lastRow">
      <w:rPr>
        <w:b/>
        <w:bCs/>
      </w:rPr>
      <w:tblPr/>
      <w:tcPr>
        <w:tcBorders>
          <w:top w:val="single" w:color="008000" w:sz="12"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114">
    <w:name w:val="Table List 8"/>
    <w:basedOn w:val="88"/>
    <w:qFormat/>
    <w:uiPriority w:val="0"/>
    <w:pPr>
      <w:widowControl w:val="0"/>
      <w:spacing w:line="500" w:lineRule="exact"/>
      <w:jc w:val="both"/>
    </w:pPr>
    <w:tblPr>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bottom w:val="single" w:color="000000" w:sz="6" w:space="0"/>
          <w:tl2br w:val="nil"/>
          <w:tr2bl w:val="nil"/>
        </w:tcBorders>
        <w:shd w:val="solid" w:color="FFFF00" w:fill="FFFFFF"/>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color="auto" w:sz="6" w:space="0"/>
          <w:tr2bl w:val="nil"/>
        </w:tcBorders>
      </w:tcPr>
    </w:tblStylePr>
  </w:style>
  <w:style w:type="table" w:styleId="115">
    <w:name w:val="Table Contemporary"/>
    <w:basedOn w:val="88"/>
    <w:qFormat/>
    <w:uiPriority w:val="0"/>
    <w:pPr>
      <w:widowControl w:val="0"/>
      <w:spacing w:line="500" w:lineRule="exact"/>
      <w:jc w:val="both"/>
    </w:pPr>
    <w:tblPr>
      <w:tblBorders>
        <w:insideH w:val="single" w:color="FFFFFF" w:sz="18" w:space="0"/>
        <w:insideV w:val="single" w:color="FFFFFF" w:sz="18" w:space="0"/>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116">
    <w:name w:val="Table Columns 1"/>
    <w:basedOn w:val="88"/>
    <w:qFormat/>
    <w:uiPriority w:val="0"/>
    <w:pPr>
      <w:widowControl w:val="0"/>
      <w:spacing w:line="500" w:lineRule="exact"/>
      <w:jc w:val="both"/>
    </w:pPr>
    <w:rPr>
      <w:b/>
      <w:bCs/>
    </w:rPr>
    <w:tblPr>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bottom w:val="double" w:color="000000" w:sz="6" w:space="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17">
    <w:name w:val="Table Columns 2"/>
    <w:basedOn w:val="88"/>
    <w:qFormat/>
    <w:uiPriority w:val="0"/>
    <w:pPr>
      <w:widowControl w:val="0"/>
      <w:spacing w:line="500" w:lineRule="exact"/>
      <w:jc w:val="both"/>
    </w:pPr>
    <w:rPr>
      <w:b/>
      <w:bCs/>
    </w:rPr>
    <w:tblPr>
      <w:tblStyleColBandSize w:val="1"/>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18">
    <w:name w:val="Table Columns 3"/>
    <w:basedOn w:val="88"/>
    <w:qFormat/>
    <w:uiPriority w:val="0"/>
    <w:pPr>
      <w:widowControl w:val="0"/>
      <w:spacing w:line="500" w:lineRule="exact"/>
      <w:jc w:val="both"/>
    </w:pPr>
    <w:rPr>
      <w:b/>
      <w:bCs/>
    </w:rPr>
    <w:tblPr>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color="00008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119">
    <w:name w:val="Table Columns 4"/>
    <w:basedOn w:val="88"/>
    <w:qFormat/>
    <w:uiPriority w:val="0"/>
    <w:pPr>
      <w:widowControl w:val="0"/>
      <w:spacing w:line="500" w:lineRule="exact"/>
      <w:jc w:val="both"/>
    </w:pPr>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120">
    <w:name w:val="Table Columns 5"/>
    <w:basedOn w:val="88"/>
    <w:qFormat/>
    <w:uiPriority w:val="0"/>
    <w:pPr>
      <w:widowControl w:val="0"/>
      <w:spacing w:line="500" w:lineRule="exact"/>
      <w:jc w:val="both"/>
    </w:pPr>
    <w:tblPr>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bottom w:val="single" w:color="808080" w:sz="6" w:space="0"/>
          <w:tl2br w:val="nil"/>
          <w:tr2bl w:val="nil"/>
        </w:tcBorders>
      </w:tcPr>
    </w:tblStylePr>
    <w:tblStylePr w:type="lastRow">
      <w:rPr>
        <w:b/>
        <w:bCs/>
      </w:rPr>
      <w:tblPr/>
      <w:tcPr>
        <w:tcBorders>
          <w:top w:val="single" w:color="80808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21">
    <w:name w:val="Table Grid 1"/>
    <w:basedOn w:val="88"/>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color="000000" w:sz="6" w:space="0"/>
          <w:tr2bl w:val="nil"/>
        </w:tcBorders>
      </w:tcPr>
    </w:tblStylePr>
  </w:style>
  <w:style w:type="table" w:styleId="122">
    <w:name w:val="Table Grid 2"/>
    <w:basedOn w:val="88"/>
    <w:qFormat/>
    <w:uiPriority w:val="0"/>
    <w:pPr>
      <w:widowControl w:val="0"/>
      <w:spacing w:line="500" w:lineRule="exact"/>
      <w:jc w:val="both"/>
    </w:pPr>
    <w:tblPr>
      <w:tblBorders>
        <w:insideH w:val="single" w:color="000000" w:sz="6" w:space="0"/>
        <w:insideV w:val="single" w:color="000000" w:sz="6" w:space="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123">
    <w:name w:val="Table Grid 3"/>
    <w:basedOn w:val="88"/>
    <w:qFormat/>
    <w:uiPriority w:val="0"/>
    <w:pPr>
      <w:widowControl w:val="0"/>
      <w:spacing w:line="500" w:lineRule="exact"/>
      <w:jc w:val="both"/>
    </w:p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bottom w:val="single" w:color="000000" w:sz="6" w:space="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24">
    <w:name w:val="Table Grid 4"/>
    <w:basedOn w:val="88"/>
    <w:qFormat/>
    <w:uiPriority w:val="0"/>
    <w:pPr>
      <w:widowControl w:val="0"/>
      <w:spacing w:line="500" w:lineRule="exact"/>
      <w:jc w:val="both"/>
    </w:p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bottom w:val="single" w:color="000000" w:sz="6" w:space="0"/>
          <w:tl2br w:val="nil"/>
          <w:tr2bl w:val="nil"/>
        </w:tcBorders>
        <w:shd w:val="pct30" w:color="FFFF00" w:fill="FFFFFF"/>
      </w:tcPr>
    </w:tblStylePr>
    <w:tblStylePr w:type="lastRow">
      <w:rPr>
        <w:b/>
        <w:bCs/>
        <w:color w:val="auto"/>
      </w:rPr>
      <w:tblPr/>
      <w:tcPr>
        <w:tcBorders>
          <w:top w:val="single" w:color="000000" w:sz="6" w:space="0"/>
          <w:tl2br w:val="nil"/>
          <w:tr2bl w:val="nil"/>
        </w:tcBorders>
        <w:shd w:val="pct30" w:color="FFFF00" w:fill="FFFFFF"/>
      </w:tcPr>
    </w:tblStylePr>
    <w:tblStylePr w:type="lastCol">
      <w:rPr>
        <w:b/>
        <w:bCs/>
        <w:color w:val="auto"/>
      </w:rPr>
      <w:tblPr/>
      <w:tcPr>
        <w:tcBorders>
          <w:tl2br w:val="nil"/>
          <w:tr2bl w:val="nil"/>
        </w:tcBorders>
      </w:tcPr>
    </w:tblStylePr>
  </w:style>
  <w:style w:type="table" w:styleId="125">
    <w:name w:val="Table Grid 5"/>
    <w:basedOn w:val="88"/>
    <w:qFormat/>
    <w:uiPriority w:val="0"/>
    <w:pPr>
      <w:widowControl w:val="0"/>
      <w:spacing w:line="500" w:lineRule="exact"/>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bottom w:val="single" w:color="000000" w:sz="12" w:space="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26">
    <w:name w:val="Table Grid 6"/>
    <w:basedOn w:val="88"/>
    <w:qFormat/>
    <w:uiPriority w:val="0"/>
    <w:pPr>
      <w:widowControl w:val="0"/>
      <w:spacing w:line="500" w:lineRule="exact"/>
      <w:jc w:val="both"/>
    </w:p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bottom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rPr>
        <w:b/>
        <w:bCs/>
      </w:rPr>
      <w:tblPr/>
      <w:tcPr>
        <w:tcBorders>
          <w:tl2br w:val="nil"/>
          <w:tr2bl w:val="nil"/>
        </w:tcBorders>
      </w:tcPr>
    </w:tblStylePr>
    <w:tblStylePr w:type="nwCell">
      <w:tblPr/>
      <w:tcPr>
        <w:tcBorders>
          <w:tl2br w:val="single" w:color="000000" w:sz="6" w:space="0"/>
          <w:tr2bl w:val="nil"/>
        </w:tcBorders>
      </w:tcPr>
    </w:tblStylePr>
  </w:style>
  <w:style w:type="table" w:styleId="127">
    <w:name w:val="Table Grid 7"/>
    <w:basedOn w:val="88"/>
    <w:qFormat/>
    <w:uiPriority w:val="0"/>
    <w:pPr>
      <w:widowControl w:val="0"/>
      <w:spacing w:line="500" w:lineRule="exact"/>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bottom w:val="single" w:color="000000" w:sz="12" w:space="0"/>
          <w:tl2br w:val="nil"/>
          <w:tr2bl w:val="nil"/>
        </w:tcBorders>
      </w:tcPr>
    </w:tblStylePr>
    <w:tblStylePr w:type="lastRow">
      <w:rPr>
        <w:b w:val="0"/>
        <w:bCs w:val="0"/>
      </w:rPr>
      <w:tblPr/>
      <w:tcPr>
        <w:tcBorders>
          <w:top w:val="single" w:color="00000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color="000000" w:sz="6" w:space="0"/>
          <w:tr2bl w:val="nil"/>
        </w:tcBorders>
      </w:tcPr>
    </w:tblStylePr>
  </w:style>
  <w:style w:type="table" w:styleId="128">
    <w:name w:val="Table Grid 8"/>
    <w:basedOn w:val="88"/>
    <w:qFormat/>
    <w:uiPriority w:val="0"/>
    <w:pPr>
      <w:widowControl w:val="0"/>
      <w:spacing w:line="500" w:lineRule="exact"/>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129">
    <w:name w:val="Table Web 1"/>
    <w:basedOn w:val="88"/>
    <w:qFormat/>
    <w:uiPriority w:val="0"/>
    <w:pPr>
      <w:widowControl w:val="0"/>
      <w:spacing w:line="500" w:lineRule="exact"/>
      <w:jc w:val="both"/>
    </w:p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30">
    <w:name w:val="Table Web 2"/>
    <w:basedOn w:val="88"/>
    <w:qFormat/>
    <w:uiPriority w:val="0"/>
    <w:pPr>
      <w:widowControl w:val="0"/>
      <w:spacing w:line="500" w:lineRule="exact"/>
      <w:jc w:val="both"/>
    </w:p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31">
    <w:name w:val="Table Web 3"/>
    <w:basedOn w:val="88"/>
    <w:qFormat/>
    <w:uiPriority w:val="0"/>
    <w:pPr>
      <w:widowControl w:val="0"/>
      <w:spacing w:line="500" w:lineRule="exact"/>
      <w:jc w:val="both"/>
    </w:p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32">
    <w:name w:val="Table Professional"/>
    <w:basedOn w:val="88"/>
    <w:qFormat/>
    <w:uiPriority w:val="0"/>
    <w:pPr>
      <w:widowControl w:val="0"/>
      <w:spacing w:line="500" w:lineRule="exact"/>
      <w:ind w:firstLine="20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il"/>
          <w:tr2bl w:val="nil"/>
        </w:tcBorders>
        <w:shd w:val="solid" w:color="000000" w:fill="FFFFFF"/>
      </w:tcPr>
    </w:tblStylePr>
  </w:style>
  <w:style w:type="character" w:styleId="134">
    <w:name w:val="Strong"/>
    <w:qFormat/>
    <w:uiPriority w:val="22"/>
    <w:rPr>
      <w:b/>
      <w:bCs/>
    </w:rPr>
  </w:style>
  <w:style w:type="character" w:styleId="135">
    <w:name w:val="endnote reference"/>
    <w:unhideWhenUsed/>
    <w:qFormat/>
    <w:uiPriority w:val="99"/>
    <w:rPr>
      <w:vertAlign w:val="superscript"/>
    </w:rPr>
  </w:style>
  <w:style w:type="character" w:styleId="136">
    <w:name w:val="page number"/>
    <w:basedOn w:val="133"/>
    <w:qFormat/>
    <w:uiPriority w:val="0"/>
  </w:style>
  <w:style w:type="character" w:styleId="137">
    <w:name w:val="FollowedHyperlink"/>
    <w:qFormat/>
    <w:uiPriority w:val="99"/>
    <w:rPr>
      <w:color w:val="800080"/>
      <w:u w:val="single"/>
    </w:rPr>
  </w:style>
  <w:style w:type="character" w:styleId="138">
    <w:name w:val="Emphasis"/>
    <w:qFormat/>
    <w:uiPriority w:val="20"/>
    <w:rPr>
      <w:color w:val="CC0000"/>
    </w:rPr>
  </w:style>
  <w:style w:type="character" w:styleId="139">
    <w:name w:val="line number"/>
    <w:unhideWhenUsed/>
    <w:qFormat/>
    <w:uiPriority w:val="0"/>
  </w:style>
  <w:style w:type="character" w:styleId="140">
    <w:name w:val="HTML Definition"/>
    <w:qFormat/>
    <w:uiPriority w:val="0"/>
    <w:rPr>
      <w:rFonts w:ascii="宋体" w:hAnsi="宋体" w:eastAsia="宋体"/>
      <w:i/>
      <w:iCs/>
      <w:kern w:val="2"/>
      <w:sz w:val="18"/>
      <w:szCs w:val="18"/>
      <w:lang w:val="en-US" w:eastAsia="zh-CN" w:bidi="ar-SA"/>
    </w:rPr>
  </w:style>
  <w:style w:type="character" w:styleId="141">
    <w:name w:val="HTML Typewriter"/>
    <w:qFormat/>
    <w:uiPriority w:val="0"/>
    <w:rPr>
      <w:rFonts w:ascii="Courier New" w:hAnsi="Courier New"/>
      <w:sz w:val="20"/>
      <w:szCs w:val="20"/>
    </w:rPr>
  </w:style>
  <w:style w:type="character" w:styleId="142">
    <w:name w:val="HTML Acronym"/>
    <w:qFormat/>
    <w:uiPriority w:val="0"/>
    <w:rPr>
      <w:rFonts w:ascii="宋体" w:hAnsi="宋体" w:eastAsia="宋体"/>
      <w:kern w:val="2"/>
      <w:sz w:val="18"/>
      <w:szCs w:val="18"/>
      <w:lang w:val="en-US" w:eastAsia="zh-CN" w:bidi="ar-SA"/>
    </w:rPr>
  </w:style>
  <w:style w:type="character" w:styleId="143">
    <w:name w:val="HTML Variable"/>
    <w:qFormat/>
    <w:uiPriority w:val="0"/>
    <w:rPr>
      <w:rFonts w:ascii="宋体" w:hAnsi="宋体" w:eastAsia="宋体"/>
      <w:i/>
      <w:iCs/>
      <w:kern w:val="2"/>
      <w:sz w:val="18"/>
      <w:szCs w:val="18"/>
      <w:lang w:val="en-US" w:eastAsia="zh-CN" w:bidi="ar-SA"/>
    </w:rPr>
  </w:style>
  <w:style w:type="character" w:styleId="144">
    <w:name w:val="Hyperlink"/>
    <w:qFormat/>
    <w:uiPriority w:val="99"/>
    <w:rPr>
      <w:color w:val="0000FF"/>
      <w:u w:val="single"/>
    </w:rPr>
  </w:style>
  <w:style w:type="character" w:styleId="145">
    <w:name w:val="HTML Code"/>
    <w:qFormat/>
    <w:uiPriority w:val="0"/>
    <w:rPr>
      <w:rFonts w:ascii="黑体" w:hAnsi="Courier New" w:eastAsia="黑体" w:cs="Courier New"/>
      <w:sz w:val="24"/>
      <w:szCs w:val="24"/>
    </w:rPr>
  </w:style>
  <w:style w:type="character" w:styleId="146">
    <w:name w:val="annotation reference"/>
    <w:qFormat/>
    <w:uiPriority w:val="0"/>
    <w:rPr>
      <w:sz w:val="21"/>
      <w:szCs w:val="21"/>
    </w:rPr>
  </w:style>
  <w:style w:type="character" w:styleId="147">
    <w:name w:val="HTML Cite"/>
    <w:qFormat/>
    <w:uiPriority w:val="0"/>
    <w:rPr>
      <w:rFonts w:ascii="宋体" w:hAnsi="宋体" w:eastAsia="宋体"/>
      <w:i/>
      <w:iCs/>
      <w:kern w:val="2"/>
      <w:sz w:val="18"/>
      <w:szCs w:val="18"/>
      <w:lang w:val="en-US" w:eastAsia="zh-CN" w:bidi="ar-SA"/>
    </w:rPr>
  </w:style>
  <w:style w:type="character" w:styleId="148">
    <w:name w:val="footnote reference"/>
    <w:qFormat/>
    <w:uiPriority w:val="0"/>
    <w:rPr>
      <w:vertAlign w:val="superscript"/>
    </w:rPr>
  </w:style>
  <w:style w:type="character" w:styleId="149">
    <w:name w:val="HTML Keyboard"/>
    <w:qFormat/>
    <w:uiPriority w:val="0"/>
    <w:rPr>
      <w:rFonts w:ascii="Courier New" w:hAnsi="Courier New" w:eastAsia="宋体" w:cs="Courier New"/>
      <w:kern w:val="2"/>
      <w:sz w:val="20"/>
      <w:szCs w:val="20"/>
      <w:lang w:val="en-US" w:eastAsia="zh-CN" w:bidi="ar-SA"/>
    </w:rPr>
  </w:style>
  <w:style w:type="character" w:styleId="150">
    <w:name w:val="HTML Sample"/>
    <w:qFormat/>
    <w:uiPriority w:val="0"/>
    <w:rPr>
      <w:rFonts w:ascii="Courier New" w:hAnsi="Courier New"/>
    </w:rPr>
  </w:style>
  <w:style w:type="table" w:customStyle="1" w:styleId="151">
    <w:name w:val="表格样式1"/>
    <w:basedOn w:val="90"/>
    <w:qFormat/>
    <w:uiPriority w:val="0"/>
    <w:pPr>
      <w:jc w:val="center"/>
    </w:pPr>
    <w:rPr>
      <w:rFonts w:eastAsia="楷体_GB2312"/>
    </w:rPr>
    <w:tblPr>
      <w:tblBorders>
        <w:top w:val="single" w:color="auto" w:sz="12" w:space="0"/>
        <w:bottom w:val="single" w:color="auto" w:sz="12" w:space="0"/>
        <w:insideH w:val="single" w:color="auto" w:sz="2" w:space="0"/>
        <w:insideV w:val="single" w:color="auto" w:sz="2" w:space="0"/>
      </w:tblBorders>
    </w:tblPr>
    <w:tcPr>
      <w:vAlign w:val="center"/>
    </w:tcPr>
    <w:tblStylePr w:type="firstRow">
      <w:tcPr>
        <w:tcBorders>
          <w:top w:val="single" w:color="000000" w:sz="6" w:space="0"/>
          <w:bottom w:val="single" w:color="000000" w:sz="12" w:space="0"/>
          <w:tl2br w:val="nil"/>
          <w:tr2bl w:val="nil"/>
        </w:tcBorders>
      </w:tcPr>
    </w:tblStylePr>
    <w:tblStylePr w:type="lastRow">
      <w:tcPr>
        <w:tcBorders>
          <w:top w:val="single" w:color="000000" w:sz="12" w:space="0"/>
          <w:tl2br w:val="nil"/>
          <w:tr2bl w:val="nil"/>
        </w:tcBorders>
        <w:shd w:val="pct25" w:color="800080" w:fill="FFFFFF"/>
      </w:tcPr>
    </w:tblStylePr>
    <w:tblStylePr w:type="firstCol">
      <w:tcPr>
        <w:tcBorders>
          <w:right w:val="single" w:color="000000" w:sz="12" w:space="0"/>
          <w:tl2br w:val="nil"/>
          <w:tr2bl w:val="nil"/>
        </w:tcBorders>
      </w:tcPr>
    </w:tblStylePr>
    <w:tblStylePr w:type="lastCol">
      <w:tcPr>
        <w:tcBorders>
          <w:left w:val="single" w:color="000000" w:sz="12" w:space="0"/>
          <w:tl2br w:val="nil"/>
          <w:tr2bl w:val="nil"/>
        </w:tcBorders>
      </w:tcPr>
    </w:tblStylePr>
    <w:tblStylePr w:type="band1Horz">
      <w:tcPr>
        <w:tcBorders>
          <w:bottom w:val="single" w:color="000000" w:sz="6" w:space="0"/>
          <w:tl2br w:val="nil"/>
          <w:tr2bl w:val="nil"/>
        </w:tcBorders>
        <w:shd w:val="pct25" w:color="808000" w:fill="FFFFFF"/>
      </w:tcPr>
    </w:tblStylePr>
    <w:tblStylePr w:type="neCell">
      <w:tcPr>
        <w:tcBorders>
          <w:tl2br w:val="nil"/>
          <w:tr2bl w:val="nil"/>
        </w:tcBorders>
      </w:tcPr>
    </w:tblStylePr>
    <w:tblStylePr w:type="swCell">
      <w:tcPr>
        <w:tcBorders>
          <w:tl2br w:val="nil"/>
          <w:tr2bl w:val="nil"/>
        </w:tcBorders>
      </w:tcPr>
    </w:tblStylePr>
  </w:style>
  <w:style w:type="table" w:customStyle="1" w:styleId="152">
    <w:name w:val="喜欢的"/>
    <w:basedOn w:val="99"/>
    <w:qFormat/>
    <w:uiPriority w:val="0"/>
    <w:tcPr>
      <w:shd w:val="clear" w:color="auto" w:fill="auto"/>
      <w:vAlign w:val="center"/>
    </w:tcPr>
    <w:tblStylePr w:type="firstRow">
      <w:tcPr>
        <w:tcBorders>
          <w:bottom w:val="single" w:color="008000" w:sz="6" w:space="0"/>
          <w:tl2br w:val="nil"/>
          <w:tr2bl w:val="nil"/>
        </w:tcBorders>
      </w:tcPr>
    </w:tblStylePr>
    <w:tblStylePr w:type="lastRow">
      <w:tcPr>
        <w:tcBorders>
          <w:top w:val="single" w:color="008000" w:sz="6" w:space="0"/>
          <w:tl2br w:val="nil"/>
          <w:tr2bl w:val="nil"/>
        </w:tcBorders>
      </w:tcPr>
    </w:tblStylePr>
  </w:style>
  <w:style w:type="table" w:customStyle="1" w:styleId="153">
    <w:name w:val="最普通"/>
    <w:basedOn w:val="121"/>
    <w:qFormat/>
    <w:uiPriority w:val="0"/>
    <w:pPr>
      <w:spacing w:line="500" w:lineRule="exact"/>
    </w:pPr>
    <w:tcPr>
      <w:shd w:val="clear" w:color="auto" w:fill="auto"/>
      <w:vAlign w:val="center"/>
    </w:tcPr>
    <w:tblStylePr w:type="lastRow">
      <w:rPr>
        <w:i/>
        <w:iCs/>
      </w:rPr>
      <w:tcPr>
        <w:tcBorders>
          <w:tl2br w:val="nil"/>
          <w:tr2bl w:val="nil"/>
        </w:tcBorders>
      </w:tcPr>
    </w:tblStylePr>
    <w:tblStylePr w:type="lastCol">
      <w:rPr>
        <w:i/>
        <w:iCs/>
      </w:rPr>
      <w:tcPr>
        <w:tcBorders>
          <w:tl2br w:val="nil"/>
          <w:tr2bl w:val="nil"/>
        </w:tcBorders>
      </w:tcPr>
    </w:tblStylePr>
    <w:tblStylePr w:type="nwCell">
      <w:tcPr>
        <w:tcBorders>
          <w:tl2br w:val="single" w:color="000000" w:sz="6" w:space="0"/>
          <w:tr2bl w:val="nil"/>
        </w:tcBorders>
      </w:tcPr>
    </w:tblStylePr>
  </w:style>
  <w:style w:type="paragraph" w:customStyle="1" w:styleId="154">
    <w:name w:val="Bullet"/>
    <w:basedOn w:val="1"/>
    <w:qFormat/>
    <w:uiPriority w:val="0"/>
    <w:pPr>
      <w:widowControl/>
      <w:numPr>
        <w:ilvl w:val="0"/>
        <w:numId w:val="1"/>
      </w:numPr>
      <w:spacing w:after="60" w:line="300" w:lineRule="atLeast"/>
    </w:pPr>
    <w:rPr>
      <w:kern w:val="0"/>
      <w:sz w:val="22"/>
    </w:rPr>
  </w:style>
  <w:style w:type="paragraph" w:customStyle="1" w:styleId="155">
    <w:name w:val="xl54"/>
    <w:basedOn w:val="1"/>
    <w:qFormat/>
    <w:uiPriority w:val="0"/>
    <w:pPr>
      <w:widowControl/>
      <w:pBdr>
        <w:right w:val="single" w:color="auto" w:sz="4" w:space="0"/>
      </w:pBdr>
      <w:spacing w:before="100" w:after="100"/>
      <w:jc w:val="center"/>
      <w:textAlignment w:val="center"/>
    </w:pPr>
    <w:rPr>
      <w:rFonts w:ascii="宋体" w:hAnsi="宋体"/>
      <w:kern w:val="0"/>
      <w:sz w:val="24"/>
      <w:szCs w:val="20"/>
    </w:rPr>
  </w:style>
  <w:style w:type="paragraph" w:customStyle="1" w:styleId="156">
    <w:name w:val="样式1"/>
    <w:basedOn w:val="1"/>
    <w:link w:val="918"/>
    <w:qFormat/>
    <w:uiPriority w:val="0"/>
    <w:pPr>
      <w:tabs>
        <w:tab w:val="left" w:pos="1021"/>
        <w:tab w:val="left" w:pos="2040"/>
      </w:tabs>
      <w:adjustRightInd w:val="0"/>
      <w:snapToGrid w:val="0"/>
      <w:spacing w:line="560" w:lineRule="atLeast"/>
      <w:ind w:left="2040" w:leftChars="800" w:hanging="360" w:hangingChars="200"/>
    </w:pPr>
    <w:rPr>
      <w:rFonts w:ascii="仿宋_GB2312" w:eastAsia="仿宋_GB2312"/>
      <w:sz w:val="28"/>
      <w:szCs w:val="20"/>
    </w:rPr>
  </w:style>
  <w:style w:type="paragraph" w:customStyle="1" w:styleId="157">
    <w:name w:val="样式7"/>
    <w:basedOn w:val="4"/>
    <w:qFormat/>
    <w:uiPriority w:val="0"/>
    <w:pPr>
      <w:tabs>
        <w:tab w:val="left" w:pos="1124"/>
      </w:tabs>
      <w:adjustRightInd w:val="0"/>
      <w:snapToGrid w:val="0"/>
      <w:spacing w:beforeLines="200" w:afterLines="200" w:line="240" w:lineRule="exact"/>
      <w:ind w:left="2039" w:leftChars="800" w:hanging="359" w:hangingChars="171"/>
    </w:pPr>
    <w:rPr>
      <w:rFonts w:eastAsia="黑体"/>
      <w:b w:val="0"/>
      <w:bCs w:val="0"/>
      <w:color w:val="000000"/>
      <w:sz w:val="30"/>
    </w:rPr>
  </w:style>
  <w:style w:type="paragraph" w:customStyle="1" w:styleId="158">
    <w:name w:val="表格文字"/>
    <w:basedOn w:val="1"/>
    <w:link w:val="300"/>
    <w:qFormat/>
    <w:uiPriority w:val="0"/>
    <w:pPr>
      <w:tabs>
        <w:tab w:val="center" w:pos="4153"/>
        <w:tab w:val="right" w:pos="8306"/>
      </w:tabs>
      <w:adjustRightInd w:val="0"/>
      <w:snapToGrid w:val="0"/>
      <w:jc w:val="center"/>
    </w:pPr>
    <w:rPr>
      <w:rFonts w:eastAsia="仿宋_GB2312"/>
      <w:szCs w:val="21"/>
    </w:rPr>
  </w:style>
  <w:style w:type="paragraph" w:customStyle="1" w:styleId="159">
    <w:name w:val="表题格式"/>
    <w:basedOn w:val="1"/>
    <w:qFormat/>
    <w:uiPriority w:val="0"/>
    <w:pPr>
      <w:overflowPunct w:val="0"/>
      <w:adjustRightInd w:val="0"/>
      <w:snapToGrid w:val="0"/>
      <w:spacing w:line="360" w:lineRule="auto"/>
      <w:jc w:val="center"/>
      <w:textAlignment w:val="center"/>
    </w:pPr>
    <w:rPr>
      <w:rFonts w:ascii="仿宋_GB2312" w:eastAsia="仿宋_GB2312"/>
      <w:b/>
      <w:snapToGrid w:val="0"/>
      <w:kern w:val="0"/>
      <w:sz w:val="30"/>
      <w:szCs w:val="20"/>
    </w:rPr>
  </w:style>
  <w:style w:type="character" w:customStyle="1" w:styleId="160">
    <w:name w:val="标题 1 Char Char Char Char"/>
    <w:qFormat/>
    <w:uiPriority w:val="0"/>
    <w:rPr>
      <w:rFonts w:eastAsia="宋体"/>
      <w:kern w:val="44"/>
      <w:sz w:val="44"/>
      <w:szCs w:val="44"/>
    </w:rPr>
  </w:style>
  <w:style w:type="paragraph" w:customStyle="1" w:styleId="161">
    <w:name w:val="表格"/>
    <w:basedOn w:val="1"/>
    <w:link w:val="432"/>
    <w:qFormat/>
    <w:uiPriority w:val="0"/>
    <w:pPr>
      <w:adjustRightInd w:val="0"/>
      <w:snapToGrid w:val="0"/>
      <w:spacing w:beforeLines="20"/>
      <w:jc w:val="center"/>
    </w:pPr>
    <w:rPr>
      <w:snapToGrid w:val="0"/>
      <w:kern w:val="21"/>
    </w:rPr>
  </w:style>
  <w:style w:type="paragraph" w:customStyle="1" w:styleId="162">
    <w:name w:val="表标题"/>
    <w:basedOn w:val="1"/>
    <w:link w:val="309"/>
    <w:qFormat/>
    <w:uiPriority w:val="0"/>
    <w:pPr>
      <w:spacing w:line="500" w:lineRule="exact"/>
      <w:ind w:firstLine="482" w:firstLineChars="200"/>
      <w:jc w:val="center"/>
    </w:pPr>
    <w:rPr>
      <w:rFonts w:ascii="仿宋_GB2312" w:eastAsia="仿宋_GB2312"/>
      <w:b/>
      <w:bCs/>
      <w:sz w:val="24"/>
    </w:rPr>
  </w:style>
  <w:style w:type="paragraph" w:customStyle="1" w:styleId="163">
    <w:name w:val="图表文字"/>
    <w:basedOn w:val="1"/>
    <w:link w:val="306"/>
    <w:qFormat/>
    <w:uiPriority w:val="0"/>
    <w:pPr>
      <w:jc w:val="center"/>
    </w:pPr>
    <w:rPr>
      <w:rFonts w:ascii="仿宋_GB2312" w:eastAsia="仿宋_GB2312"/>
    </w:rPr>
  </w:style>
  <w:style w:type="paragraph" w:customStyle="1" w:styleId="164">
    <w:name w:val="xl23"/>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kern w:val="0"/>
      <w:sz w:val="24"/>
    </w:rPr>
  </w:style>
  <w:style w:type="paragraph" w:customStyle="1" w:styleId="165">
    <w:name w:val="文本"/>
    <w:basedOn w:val="1"/>
    <w:qFormat/>
    <w:uiPriority w:val="0"/>
    <w:pPr>
      <w:tabs>
        <w:tab w:val="right" w:leader="dot" w:pos="8296"/>
      </w:tabs>
      <w:adjustRightInd w:val="0"/>
      <w:snapToGrid w:val="0"/>
      <w:spacing w:beforeLines="20"/>
      <w:jc w:val="center"/>
    </w:pPr>
    <w:rPr>
      <w:rFonts w:ascii="宋体" w:hAnsi="宋体"/>
      <w:snapToGrid w:val="0"/>
      <w:kern w:val="21"/>
    </w:rPr>
  </w:style>
  <w:style w:type="paragraph" w:customStyle="1" w:styleId="166">
    <w:name w:val="Date1"/>
    <w:basedOn w:val="1"/>
    <w:next w:val="1"/>
    <w:qFormat/>
    <w:uiPriority w:val="0"/>
    <w:pPr>
      <w:adjustRightInd w:val="0"/>
      <w:textAlignment w:val="baseline"/>
    </w:pPr>
    <w:rPr>
      <w:szCs w:val="20"/>
    </w:rPr>
  </w:style>
  <w:style w:type="paragraph" w:customStyle="1" w:styleId="167">
    <w:name w:val="我的样式（正文）"/>
    <w:basedOn w:val="1"/>
    <w:qFormat/>
    <w:uiPriority w:val="0"/>
    <w:pPr>
      <w:spacing w:line="440" w:lineRule="exact"/>
    </w:pPr>
    <w:rPr>
      <w:rFonts w:ascii="宋体"/>
      <w:sz w:val="28"/>
      <w:szCs w:val="20"/>
    </w:rPr>
  </w:style>
  <w:style w:type="paragraph" w:customStyle="1" w:styleId="168">
    <w:name w:val="Plain Text2"/>
    <w:basedOn w:val="1"/>
    <w:qFormat/>
    <w:uiPriority w:val="0"/>
    <w:pPr>
      <w:autoSpaceDE w:val="0"/>
      <w:autoSpaceDN w:val="0"/>
      <w:adjustRightInd w:val="0"/>
      <w:textAlignment w:val="baseline"/>
    </w:pPr>
    <w:rPr>
      <w:rFonts w:ascii="宋体" w:hAnsi="Tms Rmn"/>
      <w:kern w:val="0"/>
      <w:szCs w:val="20"/>
    </w:rPr>
  </w:style>
  <w:style w:type="paragraph" w:customStyle="1" w:styleId="169">
    <w:name w:val="Char"/>
    <w:basedOn w:val="1"/>
    <w:qFormat/>
    <w:uiPriority w:val="0"/>
    <w:rPr>
      <w:sz w:val="24"/>
    </w:rPr>
  </w:style>
  <w:style w:type="paragraph" w:customStyle="1" w:styleId="170">
    <w:name w:val="Char Char Char Char Char Char Char Char Char Char"/>
    <w:basedOn w:val="1"/>
    <w:qFormat/>
    <w:uiPriority w:val="0"/>
    <w:rPr>
      <w:rFonts w:ascii="黑体" w:hAnsi="黑体" w:eastAsia="黑体"/>
      <w:b/>
      <w:spacing w:val="10"/>
      <w:kern w:val="44"/>
      <w:sz w:val="28"/>
      <w:szCs w:val="20"/>
    </w:rPr>
  </w:style>
  <w:style w:type="paragraph" w:customStyle="1" w:styleId="171">
    <w:name w:val="新正文"/>
    <w:basedOn w:val="1"/>
    <w:link w:val="172"/>
    <w:qFormat/>
    <w:uiPriority w:val="0"/>
    <w:pPr>
      <w:spacing w:line="500" w:lineRule="exact"/>
      <w:ind w:firstLine="482"/>
    </w:pPr>
    <w:rPr>
      <w:rFonts w:ascii="仿宋_GB2312" w:eastAsia="仿宋_GB2312"/>
      <w:bCs/>
      <w:kern w:val="0"/>
      <w:sz w:val="28"/>
      <w:szCs w:val="20"/>
    </w:rPr>
  </w:style>
  <w:style w:type="character" w:customStyle="1" w:styleId="172">
    <w:name w:val="新正文 Char"/>
    <w:link w:val="171"/>
    <w:qFormat/>
    <w:uiPriority w:val="0"/>
    <w:rPr>
      <w:rFonts w:ascii="仿宋_GB2312" w:eastAsia="仿宋_GB2312"/>
      <w:bCs/>
      <w:sz w:val="28"/>
      <w:lang w:val="en-US" w:eastAsia="zh-CN" w:bidi="ar-SA"/>
    </w:rPr>
  </w:style>
  <w:style w:type="paragraph" w:customStyle="1" w:styleId="173">
    <w:name w:val="正文01"/>
    <w:basedOn w:val="1"/>
    <w:link w:val="884"/>
    <w:qFormat/>
    <w:uiPriority w:val="0"/>
    <w:pPr>
      <w:spacing w:before="60" w:line="440" w:lineRule="exact"/>
      <w:ind w:firstLine="200" w:firstLineChars="200"/>
    </w:pPr>
    <w:rPr>
      <w:kern w:val="0"/>
      <w:sz w:val="24"/>
      <w:szCs w:val="20"/>
    </w:rPr>
  </w:style>
  <w:style w:type="paragraph" w:customStyle="1" w:styleId="174">
    <w:name w:val="三级标题"/>
    <w:basedOn w:val="84"/>
    <w:qFormat/>
    <w:uiPriority w:val="0"/>
    <w:pPr>
      <w:spacing w:before="260" w:after="0" w:line="460" w:lineRule="exact"/>
      <w:jc w:val="both"/>
      <w:outlineLvl w:val="2"/>
    </w:pPr>
    <w:rPr>
      <w:rFonts w:ascii="Times New Roman" w:hAnsi="Times New Roman"/>
      <w:kern w:val="0"/>
      <w:sz w:val="24"/>
      <w:szCs w:val="24"/>
    </w:rPr>
  </w:style>
  <w:style w:type="paragraph" w:customStyle="1" w:styleId="175">
    <w:name w:val="表格正文"/>
    <w:basedOn w:val="1"/>
    <w:qFormat/>
    <w:uiPriority w:val="0"/>
    <w:pPr>
      <w:spacing w:line="360" w:lineRule="exact"/>
      <w:jc w:val="center"/>
    </w:pPr>
    <w:rPr>
      <w:kern w:val="0"/>
      <w:szCs w:val="20"/>
    </w:rPr>
  </w:style>
  <w:style w:type="paragraph" w:customStyle="1" w:styleId="176">
    <w:name w:val="表格下方正文"/>
    <w:basedOn w:val="1"/>
    <w:qFormat/>
    <w:uiPriority w:val="0"/>
    <w:pPr>
      <w:spacing w:before="260" w:line="440" w:lineRule="exact"/>
      <w:ind w:firstLine="200" w:firstLineChars="200"/>
    </w:pPr>
    <w:rPr>
      <w:kern w:val="0"/>
      <w:sz w:val="24"/>
      <w:szCs w:val="20"/>
    </w:rPr>
  </w:style>
  <w:style w:type="paragraph" w:customStyle="1" w:styleId="177">
    <w:name w:val="注释"/>
    <w:basedOn w:val="1"/>
    <w:qFormat/>
    <w:uiPriority w:val="0"/>
    <w:pPr>
      <w:spacing w:before="60" w:line="360" w:lineRule="exact"/>
      <w:ind w:firstLine="200" w:firstLineChars="200"/>
    </w:pPr>
    <w:rPr>
      <w:kern w:val="0"/>
      <w:szCs w:val="21"/>
    </w:rPr>
  </w:style>
  <w:style w:type="paragraph" w:customStyle="1" w:styleId="178">
    <w:name w:val="默认段落字体 Para Char Char Char Char"/>
    <w:basedOn w:val="1"/>
    <w:qFormat/>
    <w:uiPriority w:val="0"/>
    <w:rPr>
      <w:sz w:val="24"/>
    </w:rPr>
  </w:style>
  <w:style w:type="paragraph" w:customStyle="1" w:styleId="179">
    <w:name w:val="表题"/>
    <w:next w:val="161"/>
    <w:qFormat/>
    <w:uiPriority w:val="0"/>
    <w:pPr>
      <w:spacing w:beforeLines="50" w:after="120" w:line="400" w:lineRule="exact"/>
      <w:jc w:val="center"/>
    </w:pPr>
    <w:rPr>
      <w:rFonts w:ascii="Times New Roman" w:hAnsi="Times New Roman" w:eastAsia="仿宋_GB2312" w:cs="Times New Roman"/>
      <w:b/>
      <w:sz w:val="28"/>
      <w:lang w:val="en-US" w:eastAsia="zh-CN" w:bidi="ar-SA"/>
    </w:rPr>
  </w:style>
  <w:style w:type="paragraph" w:customStyle="1" w:styleId="180">
    <w:name w:val="广西炼油"/>
    <w:basedOn w:val="1"/>
    <w:qFormat/>
    <w:uiPriority w:val="0"/>
    <w:pPr>
      <w:spacing w:beforeLines="5" w:line="360" w:lineRule="auto"/>
      <w:ind w:firstLine="480"/>
    </w:pPr>
    <w:rPr>
      <w:rFonts w:ascii="宋体" w:hAnsi="宋体"/>
      <w:sz w:val="24"/>
      <w:szCs w:val="28"/>
    </w:rPr>
  </w:style>
  <w:style w:type="paragraph" w:customStyle="1" w:styleId="181">
    <w:name w:val="表样式1"/>
    <w:basedOn w:val="1"/>
    <w:qFormat/>
    <w:uiPriority w:val="0"/>
    <w:pPr>
      <w:spacing w:line="360" w:lineRule="auto"/>
      <w:jc w:val="center"/>
    </w:pPr>
    <w:rPr>
      <w:rFonts w:ascii="宋体" w:hAnsi="宋体" w:cs="宋体"/>
      <w:color w:val="000000"/>
      <w:szCs w:val="21"/>
    </w:rPr>
  </w:style>
  <w:style w:type="paragraph" w:customStyle="1" w:styleId="182">
    <w:name w:val="Char Char Char4"/>
    <w:basedOn w:val="1"/>
    <w:qFormat/>
    <w:uiPriority w:val="0"/>
    <w:rPr>
      <w:sz w:val="24"/>
    </w:rPr>
  </w:style>
  <w:style w:type="paragraph" w:customStyle="1" w:styleId="183">
    <w:name w:val="标题3"/>
    <w:basedOn w:val="35"/>
    <w:next w:val="35"/>
    <w:qFormat/>
    <w:uiPriority w:val="0"/>
    <w:pPr>
      <w:spacing w:after="0" w:line="520" w:lineRule="exact"/>
    </w:pPr>
    <w:rPr>
      <w:rFonts w:ascii="宋体" w:hAnsi="宋体" w:cs="Arial"/>
      <w:bCs/>
      <w:sz w:val="24"/>
    </w:rPr>
  </w:style>
  <w:style w:type="paragraph" w:customStyle="1" w:styleId="184">
    <w:name w:val="ST20_1"/>
    <w:basedOn w:val="1"/>
    <w:qFormat/>
    <w:uiPriority w:val="0"/>
    <w:pPr>
      <w:autoSpaceDE w:val="0"/>
      <w:autoSpaceDN w:val="0"/>
      <w:adjustRightInd w:val="0"/>
      <w:spacing w:line="312" w:lineRule="atLeast"/>
      <w:jc w:val="center"/>
      <w:textAlignment w:val="baseline"/>
    </w:pPr>
    <w:rPr>
      <w:rFonts w:ascii="宋体" w:hAnsi="Tms Rmn"/>
      <w:kern w:val="0"/>
      <w:sz w:val="24"/>
      <w:szCs w:val="20"/>
    </w:rPr>
  </w:style>
  <w:style w:type="paragraph" w:customStyle="1" w:styleId="185">
    <w:name w:val="Body Text 21"/>
    <w:basedOn w:val="1"/>
    <w:qFormat/>
    <w:uiPriority w:val="0"/>
    <w:pPr>
      <w:adjustRightInd w:val="0"/>
      <w:textAlignment w:val="baseline"/>
    </w:pPr>
    <w:rPr>
      <w:sz w:val="24"/>
      <w:szCs w:val="20"/>
    </w:rPr>
  </w:style>
  <w:style w:type="character" w:customStyle="1" w:styleId="186">
    <w:name w:val="javascript"/>
    <w:basedOn w:val="133"/>
    <w:qFormat/>
    <w:uiPriority w:val="0"/>
  </w:style>
  <w:style w:type="paragraph" w:customStyle="1" w:styleId="187">
    <w:name w:val="图文字"/>
    <w:basedOn w:val="1"/>
    <w:qFormat/>
    <w:uiPriority w:val="0"/>
    <w:pPr>
      <w:spacing w:line="280" w:lineRule="exact"/>
      <w:jc w:val="center"/>
    </w:pPr>
    <w:rPr>
      <w:rFonts w:ascii="宋体" w:hAnsi="宋体"/>
    </w:rPr>
  </w:style>
  <w:style w:type="paragraph" w:customStyle="1" w:styleId="188">
    <w:name w:val="图标题"/>
    <w:basedOn w:val="1"/>
    <w:qFormat/>
    <w:uiPriority w:val="0"/>
    <w:pPr>
      <w:framePr w:hSpace="181" w:vSpace="181" w:wrap="around" w:vAnchor="text" w:hAnchor="text" w:y="1"/>
      <w:spacing w:line="260" w:lineRule="exact"/>
      <w:jc w:val="center"/>
    </w:pPr>
    <w:rPr>
      <w:b/>
      <w:bCs/>
      <w:sz w:val="24"/>
      <w:szCs w:val="20"/>
    </w:rPr>
  </w:style>
  <w:style w:type="paragraph" w:customStyle="1" w:styleId="189">
    <w:name w:val="正文缩进2"/>
    <w:basedOn w:val="1"/>
    <w:qFormat/>
    <w:uiPriority w:val="0"/>
    <w:pPr>
      <w:spacing w:line="500" w:lineRule="exact"/>
      <w:ind w:firstLine="200" w:firstLineChars="200"/>
    </w:pPr>
    <w:rPr>
      <w:sz w:val="24"/>
    </w:rPr>
  </w:style>
  <w:style w:type="character" w:customStyle="1" w:styleId="190">
    <w:name w:val="common1"/>
    <w:qFormat/>
    <w:uiPriority w:val="0"/>
    <w:rPr>
      <w:sz w:val="18"/>
      <w:szCs w:val="18"/>
    </w:rPr>
  </w:style>
  <w:style w:type="paragraph" w:customStyle="1" w:styleId="191">
    <w:name w:val="首行缩进"/>
    <w:basedOn w:val="1"/>
    <w:qFormat/>
    <w:uiPriority w:val="0"/>
    <w:pPr>
      <w:spacing w:line="360" w:lineRule="auto"/>
      <w:ind w:firstLine="480" w:firstLineChars="200"/>
    </w:pPr>
    <w:rPr>
      <w:sz w:val="24"/>
    </w:rPr>
  </w:style>
  <w:style w:type="paragraph" w:customStyle="1" w:styleId="192">
    <w:name w:val="表文字"/>
    <w:basedOn w:val="1"/>
    <w:qFormat/>
    <w:uiPriority w:val="0"/>
    <w:pPr>
      <w:widowControl/>
      <w:jc w:val="center"/>
    </w:pPr>
    <w:rPr>
      <w:kern w:val="0"/>
      <w:szCs w:val="21"/>
    </w:rPr>
  </w:style>
  <w:style w:type="paragraph" w:customStyle="1" w:styleId="193">
    <w:name w:val="xl"/>
    <w:basedOn w:val="1"/>
    <w:qFormat/>
    <w:uiPriority w:val="0"/>
    <w:pPr>
      <w:widowControl/>
      <w:spacing w:before="100" w:beforeAutospacing="1" w:after="100" w:afterAutospacing="1"/>
      <w:jc w:val="left"/>
    </w:pPr>
    <w:rPr>
      <w:rFonts w:hint="eastAsia" w:ascii="隶书" w:hAnsi="Arial Unicode MS" w:eastAsia="隶书"/>
      <w:color w:val="008000"/>
      <w:kern w:val="0"/>
      <w:sz w:val="36"/>
      <w:szCs w:val="36"/>
    </w:rPr>
  </w:style>
  <w:style w:type="paragraph" w:customStyle="1" w:styleId="194">
    <w:name w:val="纯文本2"/>
    <w:basedOn w:val="1"/>
    <w:qFormat/>
    <w:uiPriority w:val="0"/>
    <w:pPr>
      <w:autoSpaceDE w:val="0"/>
      <w:autoSpaceDN w:val="0"/>
      <w:adjustRightInd w:val="0"/>
      <w:textAlignment w:val="baseline"/>
    </w:pPr>
    <w:rPr>
      <w:rFonts w:ascii="宋体" w:hAnsi="Tms Rmn"/>
      <w:kern w:val="0"/>
      <w:szCs w:val="20"/>
    </w:rPr>
  </w:style>
  <w:style w:type="paragraph" w:customStyle="1" w:styleId="195">
    <w:name w:val="标题正4"/>
    <w:basedOn w:val="1"/>
    <w:qFormat/>
    <w:uiPriority w:val="0"/>
    <w:pPr>
      <w:spacing w:line="280" w:lineRule="exact"/>
      <w:jc w:val="center"/>
    </w:pPr>
    <w:rPr>
      <w:rFonts w:ascii="宋体" w:hAnsi="宋体"/>
      <w:color w:val="000000"/>
    </w:rPr>
  </w:style>
  <w:style w:type="paragraph" w:customStyle="1" w:styleId="196">
    <w:name w:val="普通 (Web)"/>
    <w:basedOn w:val="1"/>
    <w:next w:val="1"/>
    <w:qFormat/>
    <w:uiPriority w:val="0"/>
    <w:pPr>
      <w:autoSpaceDE w:val="0"/>
      <w:autoSpaceDN w:val="0"/>
      <w:adjustRightInd w:val="0"/>
      <w:spacing w:before="100" w:after="100"/>
      <w:jc w:val="left"/>
    </w:pPr>
    <w:rPr>
      <w:rFonts w:ascii="宋体"/>
      <w:kern w:val="0"/>
      <w:sz w:val="24"/>
    </w:rPr>
  </w:style>
  <w:style w:type="paragraph" w:customStyle="1" w:styleId="197">
    <w:name w:val="xl4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4"/>
    </w:rPr>
  </w:style>
  <w:style w:type="paragraph" w:customStyle="1" w:styleId="198">
    <w:name w:val="缩进"/>
    <w:basedOn w:val="1"/>
    <w:link w:val="250"/>
    <w:qFormat/>
    <w:uiPriority w:val="99"/>
    <w:pPr>
      <w:autoSpaceDE w:val="0"/>
      <w:autoSpaceDN w:val="0"/>
      <w:adjustRightInd w:val="0"/>
      <w:spacing w:line="400" w:lineRule="atLeast"/>
      <w:ind w:firstLine="425"/>
      <w:textAlignment w:val="baseline"/>
    </w:pPr>
    <w:rPr>
      <w:sz w:val="24"/>
      <w:szCs w:val="20"/>
    </w:rPr>
  </w:style>
  <w:style w:type="paragraph" w:customStyle="1" w:styleId="199">
    <w:name w:val="图文框"/>
    <w:basedOn w:val="1"/>
    <w:link w:val="1702"/>
    <w:qFormat/>
    <w:uiPriority w:val="99"/>
    <w:pPr>
      <w:spacing w:line="360" w:lineRule="exact"/>
      <w:jc w:val="center"/>
    </w:pPr>
    <w:rPr>
      <w:rFonts w:ascii="宋体" w:hAnsi="宋体"/>
      <w:color w:val="000000"/>
      <w:kern w:val="0"/>
      <w:szCs w:val="21"/>
    </w:rPr>
  </w:style>
  <w:style w:type="character" w:customStyle="1" w:styleId="200">
    <w:name w:val="nine-11"/>
    <w:qFormat/>
    <w:uiPriority w:val="0"/>
    <w:rPr>
      <w:rFonts w:hint="default"/>
      <w:sz w:val="18"/>
      <w:szCs w:val="18"/>
    </w:rPr>
  </w:style>
  <w:style w:type="paragraph" w:customStyle="1" w:styleId="201">
    <w:name w:val="xl3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olor w:val="FF0000"/>
      <w:kern w:val="0"/>
      <w:sz w:val="24"/>
    </w:rPr>
  </w:style>
  <w:style w:type="paragraph" w:customStyle="1" w:styleId="202">
    <w:name w:val="小四宋居中1.0"/>
    <w:basedOn w:val="1"/>
    <w:next w:val="1"/>
    <w:qFormat/>
    <w:uiPriority w:val="0"/>
    <w:pPr>
      <w:jc w:val="center"/>
    </w:pPr>
    <w:rPr>
      <w:rFonts w:ascii="仿宋_GB2312" w:eastAsia="仿宋_GB2312"/>
      <w:sz w:val="24"/>
      <w:szCs w:val="20"/>
    </w:rPr>
  </w:style>
  <w:style w:type="character" w:customStyle="1" w:styleId="203">
    <w:name w:val="style41"/>
    <w:qFormat/>
    <w:uiPriority w:val="0"/>
    <w:rPr>
      <w:b/>
      <w:bCs/>
      <w:color w:val="000000"/>
    </w:rPr>
  </w:style>
  <w:style w:type="character" w:customStyle="1" w:styleId="204">
    <w:name w:val="title-blue1"/>
    <w:qFormat/>
    <w:uiPriority w:val="0"/>
    <w:rPr>
      <w:rFonts w:hint="eastAsia" w:ascii="幼圆" w:eastAsia="幼圆"/>
      <w:b/>
      <w:bCs/>
      <w:color w:val="009FFF"/>
      <w:spacing w:val="75"/>
      <w:sz w:val="24"/>
      <w:szCs w:val="24"/>
    </w:rPr>
  </w:style>
  <w:style w:type="character" w:customStyle="1" w:styleId="205">
    <w:name w:val="正文（首行缩进两字） Char Char1"/>
    <w:qFormat/>
    <w:uiPriority w:val="0"/>
    <w:rPr>
      <w:rFonts w:ascii="仿宋_GB2312" w:eastAsia="仿宋_GB2312"/>
      <w:kern w:val="2"/>
      <w:sz w:val="28"/>
      <w:szCs w:val="24"/>
      <w:lang w:val="en-US" w:eastAsia="zh-CN" w:bidi="ar-SA"/>
    </w:rPr>
  </w:style>
  <w:style w:type="paragraph" w:customStyle="1" w:styleId="206">
    <w:name w:val="样式2"/>
    <w:basedOn w:val="1"/>
    <w:qFormat/>
    <w:uiPriority w:val="0"/>
    <w:pPr>
      <w:adjustRightInd w:val="0"/>
      <w:snapToGrid w:val="0"/>
      <w:spacing w:beforeLines="20" w:afterLines="20"/>
      <w:ind w:left="-109" w:leftChars="-53" w:hanging="2"/>
      <w:jc w:val="center"/>
    </w:pPr>
    <w:rPr>
      <w:rFonts w:ascii="宋体" w:hAnsi="宋体"/>
      <w:color w:val="000000"/>
    </w:rPr>
  </w:style>
  <w:style w:type="paragraph" w:customStyle="1" w:styleId="207">
    <w:name w:val="1 Char Char Char Char Char Char Char Char Char Char Char Char Char Char Char Char Char Char Char"/>
    <w:basedOn w:val="1"/>
    <w:qFormat/>
    <w:uiPriority w:val="0"/>
    <w:pPr>
      <w:adjustRightInd w:val="0"/>
      <w:spacing w:line="360" w:lineRule="auto"/>
    </w:pPr>
    <w:rPr>
      <w:kern w:val="0"/>
      <w:sz w:val="24"/>
      <w:szCs w:val="20"/>
    </w:rPr>
  </w:style>
  <w:style w:type="paragraph" w:customStyle="1" w:styleId="208">
    <w:name w:val="Char Char Char Char Char Char"/>
    <w:basedOn w:val="1"/>
    <w:qFormat/>
    <w:uiPriority w:val="0"/>
    <w:rPr>
      <w:szCs w:val="21"/>
    </w:rPr>
  </w:style>
  <w:style w:type="paragraph" w:customStyle="1" w:styleId="209">
    <w:name w:val="三级条标题"/>
    <w:basedOn w:val="1"/>
    <w:next w:val="1"/>
    <w:qFormat/>
    <w:uiPriority w:val="0"/>
    <w:pPr>
      <w:widowControl/>
      <w:tabs>
        <w:tab w:val="left" w:pos="2040"/>
        <w:tab w:val="left" w:pos="2160"/>
        <w:tab w:val="left" w:pos="2580"/>
      </w:tabs>
      <w:ind w:left="3600" w:hanging="360"/>
      <w:outlineLvl w:val="4"/>
    </w:pPr>
    <w:rPr>
      <w:rFonts w:ascii="黑体" w:eastAsia="黑体"/>
      <w:kern w:val="0"/>
      <w:szCs w:val="21"/>
    </w:rPr>
  </w:style>
  <w:style w:type="paragraph" w:customStyle="1" w:styleId="210">
    <w:name w:val="Char4 Char Char Char Char Char Char Char Char Char Char Char Char Char Char Char Char Char1 Char Char Char Char Char Char1 Char Char Char Char Char Char Char Char Char Char Char Char Char Char Char Char"/>
    <w:basedOn w:val="1"/>
    <w:qFormat/>
    <w:uiPriority w:val="0"/>
    <w:pPr>
      <w:spacing w:line="240" w:lineRule="exact"/>
      <w:ind w:firstLine="200" w:firstLineChars="200"/>
    </w:pPr>
    <w:rPr>
      <w:sz w:val="28"/>
      <w:szCs w:val="28"/>
    </w:rPr>
  </w:style>
  <w:style w:type="character" w:customStyle="1" w:styleId="211">
    <w:name w:val="表格标题 Char1"/>
    <w:qFormat/>
    <w:uiPriority w:val="0"/>
    <w:rPr>
      <w:rFonts w:eastAsia="宋体"/>
      <w:kern w:val="2"/>
      <w:sz w:val="21"/>
      <w:lang w:val="en-US" w:eastAsia="zh-CN" w:bidi="ar-SA"/>
    </w:rPr>
  </w:style>
  <w:style w:type="paragraph" w:customStyle="1" w:styleId="212">
    <w:name w:val="4"/>
    <w:basedOn w:val="1"/>
    <w:next w:val="52"/>
    <w:qFormat/>
    <w:uiPriority w:val="0"/>
    <w:pPr>
      <w:spacing w:line="500" w:lineRule="exact"/>
      <w:ind w:firstLine="560"/>
    </w:pPr>
    <w:rPr>
      <w:rFonts w:ascii="仿宋_GB2312" w:eastAsia="仿宋_GB2312"/>
      <w:color w:val="000000"/>
      <w:sz w:val="28"/>
    </w:rPr>
  </w:style>
  <w:style w:type="character" w:customStyle="1" w:styleId="213">
    <w:name w:val="表格标题2"/>
    <w:qFormat/>
    <w:uiPriority w:val="0"/>
    <w:rPr>
      <w:rFonts w:eastAsia="宋体"/>
      <w:kern w:val="2"/>
      <w:sz w:val="21"/>
      <w:lang w:val="en-US" w:eastAsia="zh-CN" w:bidi="ar-SA"/>
    </w:rPr>
  </w:style>
  <w:style w:type="paragraph" w:customStyle="1" w:styleId="214">
    <w:name w:val="报告书表格"/>
    <w:basedOn w:val="1"/>
    <w:link w:val="731"/>
    <w:qFormat/>
    <w:uiPriority w:val="0"/>
    <w:pPr>
      <w:adjustRightInd w:val="0"/>
      <w:spacing w:line="400" w:lineRule="exact"/>
      <w:jc w:val="center"/>
      <w:textAlignment w:val="baseline"/>
    </w:pPr>
    <w:rPr>
      <w:kern w:val="0"/>
      <w:szCs w:val="21"/>
    </w:rPr>
  </w:style>
  <w:style w:type="paragraph" w:customStyle="1" w:styleId="215">
    <w:name w:val="表头"/>
    <w:basedOn w:val="1"/>
    <w:link w:val="216"/>
    <w:qFormat/>
    <w:uiPriority w:val="0"/>
    <w:pPr>
      <w:adjustRightInd w:val="0"/>
      <w:snapToGrid w:val="0"/>
      <w:spacing w:line="320" w:lineRule="atLeast"/>
      <w:jc w:val="center"/>
      <w:textAlignment w:val="baseline"/>
    </w:pPr>
    <w:rPr>
      <w:rFonts w:eastAsia="黑体"/>
      <w:spacing w:val="-10"/>
      <w:kern w:val="0"/>
      <w:szCs w:val="20"/>
    </w:rPr>
  </w:style>
  <w:style w:type="character" w:customStyle="1" w:styleId="216">
    <w:name w:val="表头 Char"/>
    <w:link w:val="215"/>
    <w:qFormat/>
    <w:uiPriority w:val="0"/>
    <w:rPr>
      <w:rFonts w:eastAsia="黑体"/>
      <w:spacing w:val="-10"/>
      <w:sz w:val="21"/>
      <w:lang w:val="en-US" w:eastAsia="zh-CN" w:bidi="ar-SA"/>
    </w:rPr>
  </w:style>
  <w:style w:type="paragraph" w:customStyle="1" w:styleId="217">
    <w:name w:val="表蕊"/>
    <w:basedOn w:val="1"/>
    <w:link w:val="218"/>
    <w:qFormat/>
    <w:uiPriority w:val="0"/>
    <w:pPr>
      <w:adjustRightInd w:val="0"/>
      <w:spacing w:line="320" w:lineRule="atLeast"/>
      <w:jc w:val="left"/>
      <w:textAlignment w:val="baseline"/>
    </w:pPr>
    <w:rPr>
      <w:rFonts w:eastAsia="楷体_GB2312"/>
      <w:spacing w:val="-10"/>
      <w:kern w:val="0"/>
      <w:szCs w:val="20"/>
    </w:rPr>
  </w:style>
  <w:style w:type="character" w:customStyle="1" w:styleId="218">
    <w:name w:val="表蕊 Char1"/>
    <w:link w:val="217"/>
    <w:qFormat/>
    <w:uiPriority w:val="0"/>
    <w:rPr>
      <w:rFonts w:eastAsia="楷体_GB2312"/>
      <w:spacing w:val="-10"/>
      <w:sz w:val="21"/>
      <w:lang w:val="en-US" w:eastAsia="zh-CN" w:bidi="ar-SA"/>
    </w:rPr>
  </w:style>
  <w:style w:type="paragraph" w:customStyle="1" w:styleId="219">
    <w:name w:val="正文B"/>
    <w:basedOn w:val="1"/>
    <w:link w:val="220"/>
    <w:qFormat/>
    <w:uiPriority w:val="0"/>
    <w:pPr>
      <w:adjustRightInd w:val="0"/>
      <w:spacing w:line="390" w:lineRule="exact"/>
      <w:ind w:firstLine="601"/>
      <w:textAlignment w:val="baseline"/>
    </w:pPr>
    <w:rPr>
      <w:rFonts w:eastAsia="楷体_GB2312"/>
      <w:spacing w:val="8"/>
      <w:kern w:val="0"/>
      <w:sz w:val="28"/>
      <w:szCs w:val="20"/>
    </w:rPr>
  </w:style>
  <w:style w:type="character" w:customStyle="1" w:styleId="220">
    <w:name w:val="正文B Char"/>
    <w:link w:val="219"/>
    <w:qFormat/>
    <w:uiPriority w:val="0"/>
    <w:rPr>
      <w:rFonts w:eastAsia="楷体_GB2312"/>
      <w:spacing w:val="8"/>
      <w:sz w:val="28"/>
      <w:lang w:val="en-US" w:eastAsia="zh-CN" w:bidi="ar-SA"/>
    </w:rPr>
  </w:style>
  <w:style w:type="character" w:customStyle="1" w:styleId="221">
    <w:name w:val="标题 1 Char1"/>
    <w:qFormat/>
    <w:uiPriority w:val="9"/>
    <w:rPr>
      <w:rFonts w:eastAsia="宋体"/>
      <w:b/>
      <w:bCs/>
      <w:kern w:val="44"/>
      <w:sz w:val="44"/>
      <w:szCs w:val="44"/>
      <w:lang w:val="en-US" w:eastAsia="zh-CN" w:bidi="ar-SA"/>
    </w:rPr>
  </w:style>
  <w:style w:type="character" w:customStyle="1" w:styleId="222">
    <w:name w:val="unnamed91"/>
    <w:qFormat/>
    <w:uiPriority w:val="0"/>
    <w:rPr>
      <w:rFonts w:hint="eastAsia" w:ascii="宋体" w:hAnsi="宋体" w:eastAsia="宋体"/>
      <w:color w:val="000000"/>
      <w:sz w:val="18"/>
      <w:szCs w:val="18"/>
      <w:u w:val="none"/>
    </w:rPr>
  </w:style>
  <w:style w:type="paragraph" w:customStyle="1" w:styleId="223">
    <w:name w:val="正文格式"/>
    <w:basedOn w:val="1"/>
    <w:link w:val="246"/>
    <w:qFormat/>
    <w:uiPriority w:val="0"/>
    <w:pPr>
      <w:spacing w:line="360" w:lineRule="auto"/>
      <w:ind w:firstLine="482"/>
    </w:pPr>
    <w:rPr>
      <w:rFonts w:ascii="宋体" w:cs="宋体"/>
      <w:sz w:val="24"/>
    </w:rPr>
  </w:style>
  <w:style w:type="paragraph" w:customStyle="1" w:styleId="224">
    <w:name w:val="报告 Char"/>
    <w:basedOn w:val="1"/>
    <w:qFormat/>
    <w:uiPriority w:val="0"/>
    <w:pPr>
      <w:adjustRightInd w:val="0"/>
      <w:spacing w:line="360" w:lineRule="auto"/>
      <w:ind w:firstLine="505"/>
      <w:textAlignment w:val="baseline"/>
    </w:pPr>
    <w:rPr>
      <w:sz w:val="24"/>
    </w:rPr>
  </w:style>
  <w:style w:type="paragraph" w:customStyle="1" w:styleId="225">
    <w:name w:val="样式 标题 3 + 黑色 Char Char Char Char"/>
    <w:basedOn w:val="6"/>
    <w:qFormat/>
    <w:uiPriority w:val="0"/>
    <w:pPr>
      <w:keepNext w:val="0"/>
      <w:keepLines w:val="0"/>
      <w:tabs>
        <w:tab w:val="left" w:pos="993"/>
        <w:tab w:val="left" w:pos="1260"/>
      </w:tabs>
      <w:adjustRightInd w:val="0"/>
      <w:snapToGrid w:val="0"/>
      <w:spacing w:before="0" w:after="0" w:line="500" w:lineRule="exact"/>
      <w:outlineLvl w:val="9"/>
    </w:pPr>
    <w:rPr>
      <w:b w:val="0"/>
      <w:color w:val="000000"/>
      <w:sz w:val="28"/>
    </w:rPr>
  </w:style>
  <w:style w:type="paragraph" w:customStyle="1" w:styleId="226">
    <w:name w:val="报告 Char Char Char"/>
    <w:basedOn w:val="1"/>
    <w:link w:val="227"/>
    <w:qFormat/>
    <w:uiPriority w:val="0"/>
    <w:pPr>
      <w:adjustRightInd w:val="0"/>
      <w:spacing w:line="360" w:lineRule="auto"/>
      <w:ind w:firstLine="505"/>
      <w:textAlignment w:val="baseline"/>
    </w:pPr>
    <w:rPr>
      <w:sz w:val="24"/>
    </w:rPr>
  </w:style>
  <w:style w:type="character" w:customStyle="1" w:styleId="227">
    <w:name w:val="报告 Char Char Char Char"/>
    <w:link w:val="226"/>
    <w:qFormat/>
    <w:uiPriority w:val="0"/>
    <w:rPr>
      <w:rFonts w:eastAsia="宋体"/>
      <w:kern w:val="2"/>
      <w:sz w:val="24"/>
      <w:szCs w:val="24"/>
      <w:lang w:val="en-US" w:eastAsia="zh-CN" w:bidi="ar-SA"/>
    </w:rPr>
  </w:style>
  <w:style w:type="paragraph" w:customStyle="1" w:styleId="228">
    <w:name w:val="表格1"/>
    <w:basedOn w:val="47"/>
    <w:link w:val="1497"/>
    <w:qFormat/>
    <w:uiPriority w:val="0"/>
    <w:pPr>
      <w:spacing w:line="340" w:lineRule="exact"/>
      <w:jc w:val="center"/>
    </w:pPr>
    <w:rPr>
      <w:rFonts w:hAnsi="Times New Roman" w:cs="Times New Roman"/>
      <w:sz w:val="18"/>
      <w:szCs w:val="20"/>
    </w:rPr>
  </w:style>
  <w:style w:type="paragraph" w:customStyle="1" w:styleId="229">
    <w:name w:val="正文文字"/>
    <w:basedOn w:val="1"/>
    <w:qFormat/>
    <w:uiPriority w:val="0"/>
    <w:pPr>
      <w:snapToGrid w:val="0"/>
      <w:spacing w:beforeLines="50" w:line="312" w:lineRule="auto"/>
      <w:ind w:firstLine="540" w:firstLineChars="225"/>
    </w:pPr>
    <w:rPr>
      <w:rFonts w:ascii="Arial" w:hAnsi="Arial" w:eastAsia="仿宋_GB2312" w:cs="Arial"/>
      <w:bCs/>
      <w:kern w:val="0"/>
      <w:sz w:val="24"/>
      <w:lang w:val="de-DE"/>
    </w:rPr>
  </w:style>
  <w:style w:type="paragraph" w:customStyle="1" w:styleId="230">
    <w:name w:val="Default"/>
    <w:qFormat/>
    <w:uiPriority w:val="0"/>
    <w:pPr>
      <w:widowControl w:val="0"/>
      <w:autoSpaceDE w:val="0"/>
      <w:autoSpaceDN w:val="0"/>
      <w:adjustRightInd w:val="0"/>
    </w:pPr>
    <w:rPr>
      <w:rFonts w:ascii=".." w:hAnsi="Times New Roman" w:eastAsia=".." w:cs=".."/>
      <w:color w:val="000000"/>
      <w:sz w:val="24"/>
      <w:szCs w:val="24"/>
      <w:lang w:val="en-US" w:eastAsia="zh-CN" w:bidi="ar-SA"/>
    </w:rPr>
  </w:style>
  <w:style w:type="paragraph" w:customStyle="1" w:styleId="231">
    <w:name w:val="报告表格"/>
    <w:basedOn w:val="1"/>
    <w:link w:val="917"/>
    <w:qFormat/>
    <w:uiPriority w:val="0"/>
    <w:pPr>
      <w:autoSpaceDE w:val="0"/>
      <w:autoSpaceDN w:val="0"/>
      <w:adjustRightInd w:val="0"/>
      <w:spacing w:line="300" w:lineRule="exact"/>
      <w:jc w:val="center"/>
      <w:textAlignment w:val="bottom"/>
    </w:pPr>
    <w:rPr>
      <w:rFonts w:ascii="宋体" w:hAnsi="宋体"/>
      <w:kern w:val="0"/>
      <w:szCs w:val="21"/>
    </w:rPr>
  </w:style>
  <w:style w:type="paragraph" w:customStyle="1" w:styleId="232">
    <w:name w:val="Char4 Char Char Char Char Char Char Char Char Char Char Char Char Char Char Char Char Char1 Char"/>
    <w:basedOn w:val="1"/>
    <w:qFormat/>
    <w:uiPriority w:val="0"/>
    <w:pPr>
      <w:spacing w:line="240" w:lineRule="exact"/>
      <w:ind w:firstLine="200" w:firstLineChars="200"/>
    </w:pPr>
    <w:rPr>
      <w:sz w:val="28"/>
      <w:szCs w:val="28"/>
    </w:rPr>
  </w:style>
  <w:style w:type="paragraph" w:customStyle="1" w:styleId="233">
    <w:name w:val="正文(首行缩进)"/>
    <w:basedOn w:val="1"/>
    <w:link w:val="1733"/>
    <w:qFormat/>
    <w:uiPriority w:val="0"/>
    <w:pPr>
      <w:spacing w:line="500" w:lineRule="exact"/>
      <w:ind w:firstLine="480" w:firstLineChars="200"/>
    </w:pPr>
    <w:rPr>
      <w:rFonts w:ascii="宋体" w:hAnsi="宋体"/>
      <w:snapToGrid w:val="0"/>
      <w:sz w:val="24"/>
    </w:rPr>
  </w:style>
  <w:style w:type="paragraph" w:customStyle="1" w:styleId="234">
    <w:name w:val="正文格式 Char Char Char2"/>
    <w:basedOn w:val="1"/>
    <w:link w:val="235"/>
    <w:qFormat/>
    <w:uiPriority w:val="0"/>
    <w:pPr>
      <w:spacing w:line="360" w:lineRule="auto"/>
      <w:ind w:firstLine="482"/>
    </w:pPr>
    <w:rPr>
      <w:rFonts w:ascii="宋体" w:cs="宋体"/>
      <w:sz w:val="24"/>
    </w:rPr>
  </w:style>
  <w:style w:type="character" w:customStyle="1" w:styleId="235">
    <w:name w:val="正文格式 Char Char Char2 Char"/>
    <w:link w:val="234"/>
    <w:qFormat/>
    <w:uiPriority w:val="0"/>
    <w:rPr>
      <w:rFonts w:ascii="宋体" w:eastAsia="宋体" w:cs="宋体"/>
      <w:kern w:val="2"/>
      <w:sz w:val="24"/>
      <w:szCs w:val="24"/>
      <w:lang w:val="en-US" w:eastAsia="zh-CN" w:bidi="ar-SA"/>
    </w:rPr>
  </w:style>
  <w:style w:type="paragraph" w:customStyle="1" w:styleId="236">
    <w:name w:val="Char Char Char Char Char Char Char Char Char1 Char Char Char Char"/>
    <w:basedOn w:val="1"/>
    <w:qFormat/>
    <w:uiPriority w:val="0"/>
    <w:rPr>
      <w:szCs w:val="21"/>
    </w:rPr>
  </w:style>
  <w:style w:type="character" w:customStyle="1" w:styleId="237">
    <w:name w:val="正文文本缩进 字符"/>
    <w:link w:val="37"/>
    <w:qFormat/>
    <w:uiPriority w:val="0"/>
    <w:rPr>
      <w:rFonts w:eastAsia="宋体"/>
      <w:kern w:val="2"/>
      <w:sz w:val="21"/>
      <w:szCs w:val="24"/>
      <w:lang w:val="en-US" w:eastAsia="zh-CN" w:bidi="ar-SA"/>
    </w:rPr>
  </w:style>
  <w:style w:type="paragraph" w:customStyle="1" w:styleId="238">
    <w:name w:val="文1"/>
    <w:basedOn w:val="1"/>
    <w:qFormat/>
    <w:uiPriority w:val="0"/>
    <w:pPr>
      <w:snapToGrid w:val="0"/>
      <w:spacing w:line="360" w:lineRule="auto"/>
      <w:ind w:firstLine="567"/>
    </w:pPr>
    <w:rPr>
      <w:rFonts w:ascii="Arial" w:hAnsi="Arial" w:eastAsia="幼圆"/>
      <w:sz w:val="24"/>
      <w:szCs w:val="20"/>
    </w:rPr>
  </w:style>
  <w:style w:type="paragraph" w:customStyle="1" w:styleId="239">
    <w:name w:val="Char Char Char Char"/>
    <w:basedOn w:val="27"/>
    <w:qFormat/>
    <w:uiPriority w:val="0"/>
    <w:pPr>
      <w:widowControl/>
      <w:adjustRightInd w:val="0"/>
      <w:snapToGrid w:val="0"/>
      <w:spacing w:line="360" w:lineRule="auto"/>
      <w:jc w:val="left"/>
    </w:pPr>
    <w:rPr>
      <w:rFonts w:ascii="Tahoma" w:hAnsi="Tahoma" w:cs="宋体"/>
      <w:kern w:val="0"/>
      <w:sz w:val="24"/>
    </w:rPr>
  </w:style>
  <w:style w:type="paragraph" w:customStyle="1" w:styleId="240">
    <w:name w:val="Char Char Char1 Char Char Char1 Char Char Char1 Char"/>
    <w:basedOn w:val="1"/>
    <w:qFormat/>
    <w:uiPriority w:val="0"/>
    <w:pPr>
      <w:spacing w:line="400" w:lineRule="exact"/>
      <w:ind w:firstLine="200" w:firstLineChars="200"/>
    </w:pPr>
    <w:rPr>
      <w:sz w:val="28"/>
      <w:szCs w:val="28"/>
    </w:rPr>
  </w:style>
  <w:style w:type="paragraph" w:customStyle="1" w:styleId="241">
    <w:name w:val="xl43"/>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pPr>
    <w:rPr>
      <w:rFonts w:eastAsia="Arial Unicode MS"/>
      <w:kern w:val="0"/>
      <w:sz w:val="20"/>
      <w:szCs w:val="20"/>
    </w:rPr>
  </w:style>
  <w:style w:type="paragraph" w:customStyle="1" w:styleId="242">
    <w:name w:val="xl36"/>
    <w:basedOn w:val="1"/>
    <w:qFormat/>
    <w:uiPriority w:val="0"/>
    <w:pPr>
      <w:widowControl/>
      <w:spacing w:before="100" w:beforeAutospacing="1" w:after="100" w:afterAutospacing="1"/>
      <w:jc w:val="center"/>
    </w:pPr>
    <w:rPr>
      <w:rFonts w:ascii="楷体_GB2312" w:hAnsi="Arial Unicode MS" w:eastAsia="楷体_GB2312" w:cs="楷体_GB2312"/>
      <w:b/>
      <w:bCs/>
      <w:kern w:val="0"/>
      <w:sz w:val="28"/>
      <w:szCs w:val="28"/>
    </w:rPr>
  </w:style>
  <w:style w:type="character" w:customStyle="1" w:styleId="243">
    <w:name w:val="标题 1 字符"/>
    <w:link w:val="4"/>
    <w:qFormat/>
    <w:uiPriority w:val="9"/>
    <w:rPr>
      <w:rFonts w:eastAsia="宋体"/>
      <w:b/>
      <w:bCs/>
      <w:kern w:val="44"/>
      <w:sz w:val="44"/>
      <w:szCs w:val="44"/>
      <w:lang w:val="en-US" w:eastAsia="zh-CN" w:bidi="ar-SA"/>
    </w:rPr>
  </w:style>
  <w:style w:type="character" w:customStyle="1" w:styleId="244">
    <w:name w:val="正文文本缩进 2 字符"/>
    <w:link w:val="52"/>
    <w:qFormat/>
    <w:uiPriority w:val="0"/>
    <w:rPr>
      <w:rFonts w:ascii="仿宋_GB2312" w:eastAsia="仿宋_GB2312"/>
      <w:kern w:val="2"/>
      <w:sz w:val="28"/>
      <w:lang w:val="en-US" w:eastAsia="zh-CN" w:bidi="ar-SA"/>
    </w:rPr>
  </w:style>
  <w:style w:type="character" w:customStyle="1" w:styleId="245">
    <w:name w:val="正文缩进 字符"/>
    <w:link w:val="22"/>
    <w:qFormat/>
    <w:uiPriority w:val="0"/>
    <w:rPr>
      <w:rFonts w:eastAsia="宋体"/>
      <w:kern w:val="2"/>
      <w:sz w:val="21"/>
      <w:szCs w:val="24"/>
      <w:lang w:val="en-US" w:eastAsia="zh-CN" w:bidi="ar-SA"/>
    </w:rPr>
  </w:style>
  <w:style w:type="character" w:customStyle="1" w:styleId="246">
    <w:name w:val="正文格式 Char"/>
    <w:link w:val="223"/>
    <w:qFormat/>
    <w:uiPriority w:val="0"/>
    <w:rPr>
      <w:rFonts w:ascii="宋体" w:eastAsia="宋体" w:cs="宋体"/>
      <w:kern w:val="2"/>
      <w:sz w:val="24"/>
      <w:szCs w:val="24"/>
      <w:lang w:val="en-US" w:eastAsia="zh-CN" w:bidi="ar-SA"/>
    </w:rPr>
  </w:style>
  <w:style w:type="paragraph" w:customStyle="1" w:styleId="247">
    <w:name w:val="样式 标题 2节第一章 标题 2Heading 2 HiddenHeading 2 CCBSheading 2H2...1"/>
    <w:basedOn w:val="5"/>
    <w:qFormat/>
    <w:uiPriority w:val="0"/>
    <w:rPr>
      <w:rFonts w:ascii="宋体" w:hAnsi="宋体" w:eastAsia="宋体"/>
      <w:bCs/>
      <w:color w:val="FF0000"/>
    </w:rPr>
  </w:style>
  <w:style w:type="character" w:customStyle="1" w:styleId="248">
    <w:name w:val="正文文本 字符"/>
    <w:link w:val="35"/>
    <w:qFormat/>
    <w:uiPriority w:val="0"/>
    <w:rPr>
      <w:rFonts w:eastAsia="宋体"/>
      <w:kern w:val="2"/>
      <w:sz w:val="21"/>
      <w:szCs w:val="24"/>
      <w:lang w:val="en-US" w:eastAsia="zh-CN" w:bidi="ar-SA"/>
    </w:rPr>
  </w:style>
  <w:style w:type="character" w:customStyle="1" w:styleId="249">
    <w:name w:val="纯文本 字符"/>
    <w:link w:val="47"/>
    <w:qFormat/>
    <w:uiPriority w:val="99"/>
    <w:rPr>
      <w:rFonts w:ascii="宋体" w:hAnsi="Courier New" w:eastAsia="宋体" w:cs="Courier New"/>
      <w:kern w:val="2"/>
      <w:sz w:val="21"/>
      <w:szCs w:val="21"/>
      <w:lang w:val="en-US" w:eastAsia="zh-CN" w:bidi="ar-SA"/>
    </w:rPr>
  </w:style>
  <w:style w:type="character" w:customStyle="1" w:styleId="250">
    <w:name w:val="缩进 Char"/>
    <w:link w:val="198"/>
    <w:qFormat/>
    <w:uiPriority w:val="0"/>
    <w:rPr>
      <w:rFonts w:eastAsia="宋体"/>
      <w:kern w:val="2"/>
      <w:sz w:val="24"/>
      <w:lang w:val="en-US" w:eastAsia="zh-CN" w:bidi="ar-SA"/>
    </w:rPr>
  </w:style>
  <w:style w:type="paragraph" w:customStyle="1" w:styleId="251">
    <w:name w:val="标准"/>
    <w:basedOn w:val="1"/>
    <w:qFormat/>
    <w:uiPriority w:val="0"/>
    <w:pPr>
      <w:adjustRightInd w:val="0"/>
      <w:spacing w:line="312" w:lineRule="atLeast"/>
      <w:jc w:val="center"/>
      <w:textAlignment w:val="baseline"/>
    </w:pPr>
    <w:rPr>
      <w:kern w:val="0"/>
    </w:rPr>
  </w:style>
  <w:style w:type="paragraph" w:customStyle="1" w:styleId="252">
    <w:name w:val="正文001"/>
    <w:basedOn w:val="1"/>
    <w:qFormat/>
    <w:uiPriority w:val="0"/>
    <w:pPr>
      <w:spacing w:before="60" w:line="420" w:lineRule="exact"/>
      <w:ind w:firstLine="482"/>
    </w:pPr>
    <w:rPr>
      <w:sz w:val="24"/>
    </w:rPr>
  </w:style>
  <w:style w:type="paragraph" w:customStyle="1" w:styleId="253">
    <w:name w:val="表格001"/>
    <w:basedOn w:val="1"/>
    <w:qFormat/>
    <w:uiPriority w:val="0"/>
    <w:pPr>
      <w:jc w:val="center"/>
    </w:pPr>
    <w:rPr>
      <w:szCs w:val="21"/>
    </w:rPr>
  </w:style>
  <w:style w:type="character" w:customStyle="1" w:styleId="254">
    <w:name w:val="fsl1"/>
    <w:qFormat/>
    <w:uiPriority w:val="0"/>
    <w:rPr>
      <w:rFonts w:ascii="黑体" w:hAnsi="黑体" w:eastAsia="黑体"/>
      <w:b/>
      <w:color w:val="0082C6"/>
      <w:spacing w:val="10"/>
      <w:kern w:val="44"/>
      <w:sz w:val="21"/>
      <w:szCs w:val="21"/>
      <w:lang w:val="en-US" w:eastAsia="zh-CN" w:bidi="ar-SA"/>
    </w:rPr>
  </w:style>
  <w:style w:type="paragraph" w:customStyle="1" w:styleId="255">
    <w:name w:val="表头样式1"/>
    <w:basedOn w:val="1"/>
    <w:qFormat/>
    <w:uiPriority w:val="0"/>
    <w:pPr>
      <w:autoSpaceDE w:val="0"/>
      <w:autoSpaceDN w:val="0"/>
      <w:adjustRightInd w:val="0"/>
      <w:snapToGrid w:val="0"/>
      <w:spacing w:beforeLines="20" w:afterLines="20" w:line="360" w:lineRule="auto"/>
      <w:ind w:firstLine="480" w:firstLineChars="200"/>
      <w:jc w:val="center"/>
    </w:pPr>
    <w:rPr>
      <w:rFonts w:ascii="黑体" w:hAnsi="宋体" w:eastAsia="黑体"/>
      <w:kern w:val="0"/>
      <w:sz w:val="24"/>
    </w:rPr>
  </w:style>
  <w:style w:type="paragraph" w:customStyle="1" w:styleId="256">
    <w:name w:val="表样式1.1"/>
    <w:basedOn w:val="1"/>
    <w:qFormat/>
    <w:uiPriority w:val="0"/>
    <w:pPr>
      <w:autoSpaceDE w:val="0"/>
      <w:autoSpaceDN w:val="0"/>
      <w:adjustRightInd w:val="0"/>
      <w:snapToGrid w:val="0"/>
      <w:spacing w:line="374" w:lineRule="exact"/>
      <w:jc w:val="center"/>
    </w:pPr>
    <w:rPr>
      <w:rFonts w:ascii="宋体" w:hAnsi="宋体" w:cs="宋体"/>
      <w:bCs/>
      <w:color w:val="000000"/>
      <w:kern w:val="0"/>
      <w:szCs w:val="21"/>
    </w:rPr>
  </w:style>
  <w:style w:type="paragraph" w:customStyle="1" w:styleId="257">
    <w:name w:val="标题003"/>
    <w:basedOn w:val="1"/>
    <w:qFormat/>
    <w:uiPriority w:val="0"/>
    <w:pPr>
      <w:spacing w:before="120" w:line="440" w:lineRule="exact"/>
      <w:outlineLvl w:val="2"/>
    </w:pPr>
    <w:rPr>
      <w:b/>
      <w:sz w:val="27"/>
      <w:szCs w:val="20"/>
    </w:rPr>
  </w:style>
  <w:style w:type="paragraph" w:customStyle="1" w:styleId="258">
    <w:name w:val="标题002"/>
    <w:basedOn w:val="1"/>
    <w:qFormat/>
    <w:uiPriority w:val="0"/>
    <w:pPr>
      <w:spacing w:before="160" w:line="480" w:lineRule="exact"/>
      <w:outlineLvl w:val="1"/>
    </w:pPr>
    <w:rPr>
      <w:b/>
      <w:sz w:val="28"/>
      <w:szCs w:val="20"/>
    </w:rPr>
  </w:style>
  <w:style w:type="paragraph" w:customStyle="1" w:styleId="259">
    <w:name w:val="标题004"/>
    <w:basedOn w:val="252"/>
    <w:qFormat/>
    <w:uiPriority w:val="0"/>
    <w:pPr>
      <w:ind w:firstLine="0"/>
      <w:outlineLvl w:val="3"/>
    </w:pPr>
    <w:rPr>
      <w:b/>
      <w:szCs w:val="20"/>
    </w:rPr>
  </w:style>
  <w:style w:type="paragraph" w:customStyle="1" w:styleId="260">
    <w:name w:val="xl28"/>
    <w:basedOn w:val="1"/>
    <w:qFormat/>
    <w:uiPriority w:val="0"/>
    <w:pPr>
      <w:widowControl/>
      <w:pBdr>
        <w:bottom w:val="single" w:color="auto" w:sz="4" w:space="0"/>
        <w:right w:val="single" w:color="auto" w:sz="4" w:space="0"/>
      </w:pBdr>
      <w:spacing w:before="100" w:beforeAutospacing="1" w:after="100" w:afterAutospacing="1"/>
      <w:jc w:val="center"/>
    </w:pPr>
    <w:rPr>
      <w:kern w:val="0"/>
      <w:szCs w:val="21"/>
    </w:rPr>
  </w:style>
  <w:style w:type="paragraph" w:customStyle="1" w:styleId="261">
    <w:name w:val="样式6"/>
    <w:basedOn w:val="1"/>
    <w:qFormat/>
    <w:uiPriority w:val="0"/>
    <w:pPr>
      <w:tabs>
        <w:tab w:val="left" w:pos="1092"/>
        <w:tab w:val="left" w:pos="1260"/>
      </w:tabs>
      <w:adjustRightInd w:val="0"/>
      <w:snapToGrid w:val="0"/>
      <w:spacing w:beforeLines="50" w:afterLines="50" w:line="360" w:lineRule="auto"/>
      <w:ind w:left="1260" w:hanging="720"/>
      <w:jc w:val="left"/>
      <w:outlineLvl w:val="2"/>
    </w:pPr>
    <w:rPr>
      <w:sz w:val="24"/>
    </w:rPr>
  </w:style>
  <w:style w:type="paragraph" w:customStyle="1" w:styleId="262">
    <w:name w:val="样式 标题 31.1.1标题 3 + Times New Roman 自动设置 段前: 0.2 行 段后: 0.2 行"/>
    <w:basedOn w:val="6"/>
    <w:qFormat/>
    <w:uiPriority w:val="0"/>
    <w:pPr>
      <w:autoSpaceDE w:val="0"/>
      <w:autoSpaceDN w:val="0"/>
      <w:adjustRightInd w:val="0"/>
      <w:spacing w:beforeLines="20" w:afterLines="20" w:line="360" w:lineRule="auto"/>
      <w:jc w:val="left"/>
    </w:pPr>
    <w:rPr>
      <w:kern w:val="0"/>
      <w:sz w:val="24"/>
      <w:szCs w:val="20"/>
    </w:rPr>
  </w:style>
  <w:style w:type="paragraph" w:customStyle="1" w:styleId="263">
    <w:name w:val="条题"/>
    <w:basedOn w:val="1"/>
    <w:qFormat/>
    <w:uiPriority w:val="0"/>
    <w:pPr>
      <w:tabs>
        <w:tab w:val="left" w:pos="1278"/>
      </w:tabs>
      <w:spacing w:line="480" w:lineRule="exact"/>
      <w:ind w:right="278" w:firstLine="480" w:firstLineChars="200"/>
    </w:pPr>
    <w:rPr>
      <w:rFonts w:ascii="宋体" w:hAnsi="宋体"/>
      <w:sz w:val="24"/>
      <w:szCs w:val="20"/>
    </w:rPr>
  </w:style>
  <w:style w:type="paragraph" w:customStyle="1" w:styleId="264">
    <w:name w:val="样式3"/>
    <w:qFormat/>
    <w:uiPriority w:val="0"/>
    <w:pPr>
      <w:spacing w:line="280" w:lineRule="exact"/>
    </w:pPr>
    <w:rPr>
      <w:rFonts w:ascii="宋体" w:hAnsi="宋体" w:eastAsia="宋体" w:cs="Times New Roman"/>
      <w:b/>
      <w:sz w:val="21"/>
      <w:lang w:val="en-US" w:eastAsia="zh-CN" w:bidi="ar-SA"/>
    </w:rPr>
  </w:style>
  <w:style w:type="paragraph" w:customStyle="1" w:styleId="265">
    <w:name w:val="正文1"/>
    <w:basedOn w:val="1"/>
    <w:link w:val="1437"/>
    <w:qFormat/>
    <w:uiPriority w:val="0"/>
    <w:rPr>
      <w:szCs w:val="20"/>
    </w:rPr>
  </w:style>
  <w:style w:type="paragraph" w:customStyle="1" w:styleId="266">
    <w:name w:val="样式 标题 2标题 2 Char标2h2H2标题21.1标题 2 + Times New Roman"/>
    <w:basedOn w:val="5"/>
    <w:qFormat/>
    <w:uiPriority w:val="0"/>
    <w:pPr>
      <w:autoSpaceDE w:val="0"/>
      <w:autoSpaceDN w:val="0"/>
      <w:adjustRightInd w:val="0"/>
      <w:spacing w:before="200" w:after="163"/>
      <w:jc w:val="center"/>
    </w:pPr>
    <w:rPr>
      <w:b w:val="0"/>
      <w:bCs/>
      <w:color w:val="FF0000"/>
    </w:rPr>
  </w:style>
  <w:style w:type="paragraph" w:customStyle="1" w:styleId="267">
    <w:name w:val="Char Char Char Char5"/>
    <w:basedOn w:val="1"/>
    <w:qFormat/>
    <w:uiPriority w:val="0"/>
    <w:rPr>
      <w:szCs w:val="21"/>
    </w:rPr>
  </w:style>
  <w:style w:type="paragraph" w:customStyle="1" w:styleId="268">
    <w:name w:val="标题001"/>
    <w:basedOn w:val="1"/>
    <w:qFormat/>
    <w:uiPriority w:val="0"/>
    <w:pPr>
      <w:spacing w:before="60" w:line="480" w:lineRule="exact"/>
      <w:outlineLvl w:val="0"/>
    </w:pPr>
    <w:rPr>
      <w:b/>
      <w:bCs/>
      <w:sz w:val="32"/>
      <w:szCs w:val="32"/>
    </w:rPr>
  </w:style>
  <w:style w:type="paragraph" w:customStyle="1" w:styleId="269">
    <w:name w:val="wangjunbo.bullet"/>
    <w:basedOn w:val="1"/>
    <w:qFormat/>
    <w:uiPriority w:val="0"/>
    <w:pPr>
      <w:jc w:val="center"/>
    </w:pPr>
    <w:rPr>
      <w:rFonts w:ascii="宋体" w:hAnsi="宋体"/>
      <w:szCs w:val="20"/>
    </w:rPr>
  </w:style>
  <w:style w:type="paragraph" w:customStyle="1" w:styleId="270">
    <w:name w:val="样式 首行缩进:  2 字符"/>
    <w:basedOn w:val="1"/>
    <w:link w:val="1456"/>
    <w:qFormat/>
    <w:uiPriority w:val="0"/>
    <w:pPr>
      <w:spacing w:line="360" w:lineRule="auto"/>
      <w:ind w:firstLine="560" w:firstLineChars="200"/>
    </w:pPr>
    <w:rPr>
      <w:rFonts w:ascii="仿宋_GB2312"/>
      <w:sz w:val="28"/>
      <w:szCs w:val="20"/>
    </w:rPr>
  </w:style>
  <w:style w:type="paragraph" w:customStyle="1" w:styleId="271">
    <w:name w:val="环评正文"/>
    <w:basedOn w:val="51"/>
    <w:qFormat/>
    <w:uiPriority w:val="0"/>
    <w:pPr>
      <w:adjustRightInd/>
      <w:spacing w:line="500" w:lineRule="exact"/>
      <w:ind w:left="0" w:leftChars="0" w:firstLine="560" w:firstLineChars="200"/>
      <w:jc w:val="both"/>
      <w:textAlignment w:val="auto"/>
    </w:pPr>
    <w:rPr>
      <w:rFonts w:ascii="仿宋_GB2312" w:eastAsia="仿宋_GB2312"/>
      <w:kern w:val="2"/>
      <w:sz w:val="28"/>
    </w:rPr>
  </w:style>
  <w:style w:type="paragraph" w:customStyle="1" w:styleId="272">
    <w:name w:val="正文（行首缩进2字）"/>
    <w:basedOn w:val="1"/>
    <w:link w:val="551"/>
    <w:qFormat/>
    <w:uiPriority w:val="0"/>
    <w:pPr>
      <w:spacing w:line="360" w:lineRule="auto"/>
      <w:ind w:firstLine="200" w:firstLineChars="200"/>
    </w:pPr>
    <w:rPr>
      <w:sz w:val="28"/>
    </w:rPr>
  </w:style>
  <w:style w:type="paragraph" w:customStyle="1" w:styleId="273">
    <w:name w:val="Plain Text1"/>
    <w:basedOn w:val="1"/>
    <w:qFormat/>
    <w:uiPriority w:val="0"/>
    <w:pPr>
      <w:adjustRightInd w:val="0"/>
    </w:pPr>
    <w:rPr>
      <w:rFonts w:hint="eastAsia" w:ascii="宋体" w:hAnsi="Courier New"/>
      <w:szCs w:val="20"/>
    </w:rPr>
  </w:style>
  <w:style w:type="paragraph" w:customStyle="1" w:styleId="274">
    <w:name w:val="文本框"/>
    <w:basedOn w:val="1"/>
    <w:next w:val="1"/>
    <w:qFormat/>
    <w:uiPriority w:val="0"/>
    <w:pPr>
      <w:widowControl/>
      <w:spacing w:line="320" w:lineRule="exact"/>
      <w:ind w:firstLine="200" w:firstLineChars="200"/>
      <w:jc w:val="center"/>
    </w:pPr>
    <w:rPr>
      <w:rFonts w:ascii="仿宋_GB2312" w:eastAsia="仿宋_GB2312"/>
      <w:kern w:val="0"/>
      <w:sz w:val="24"/>
    </w:rPr>
  </w:style>
  <w:style w:type="paragraph" w:customStyle="1" w:styleId="275">
    <w:name w:val="二级无标题条"/>
    <w:basedOn w:val="1"/>
    <w:qFormat/>
    <w:uiPriority w:val="0"/>
  </w:style>
  <w:style w:type="paragraph" w:customStyle="1" w:styleId="276">
    <w:name w:val="报告"/>
    <w:basedOn w:val="1"/>
    <w:qFormat/>
    <w:uiPriority w:val="0"/>
    <w:pPr>
      <w:adjustRightInd w:val="0"/>
      <w:spacing w:line="360" w:lineRule="auto"/>
      <w:ind w:firstLine="505"/>
      <w:textAlignment w:val="center"/>
    </w:pPr>
    <w:rPr>
      <w:rFonts w:ascii="TimesNewRoman" w:hAnsi="TimesNewRoman"/>
      <w:kern w:val="0"/>
      <w:sz w:val="24"/>
      <w:szCs w:val="20"/>
    </w:rPr>
  </w:style>
  <w:style w:type="paragraph" w:customStyle="1" w:styleId="277">
    <w:name w:val="图表标题"/>
    <w:basedOn w:val="276"/>
    <w:next w:val="231"/>
    <w:qFormat/>
    <w:uiPriority w:val="0"/>
    <w:pPr>
      <w:snapToGrid w:val="0"/>
      <w:spacing w:line="240" w:lineRule="auto"/>
      <w:ind w:firstLine="0"/>
      <w:jc w:val="center"/>
      <w:textAlignment w:val="baseline"/>
    </w:pPr>
    <w:rPr>
      <w:rFonts w:ascii="Arial" w:hAnsi="Arial" w:cs="Arial"/>
      <w:b/>
    </w:rPr>
  </w:style>
  <w:style w:type="paragraph" w:customStyle="1" w:styleId="278">
    <w:name w:val="表内文字"/>
    <w:basedOn w:val="1"/>
    <w:qFormat/>
    <w:uiPriority w:val="0"/>
    <w:pPr>
      <w:adjustRightInd w:val="0"/>
      <w:spacing w:line="400" w:lineRule="exact"/>
      <w:jc w:val="center"/>
      <w:textAlignment w:val="baseline"/>
    </w:pPr>
    <w:rPr>
      <w:snapToGrid w:val="0"/>
      <w:kern w:val="24"/>
      <w:szCs w:val="21"/>
    </w:rPr>
  </w:style>
  <w:style w:type="paragraph" w:customStyle="1" w:styleId="279">
    <w:name w:val="Char20"/>
    <w:basedOn w:val="1"/>
    <w:qFormat/>
    <w:uiPriority w:val="0"/>
    <w:pPr>
      <w:spacing w:beforeLines="50" w:afterLines="50" w:line="500" w:lineRule="exact"/>
    </w:pPr>
    <w:rPr>
      <w:sz w:val="28"/>
      <w:szCs w:val="28"/>
    </w:rPr>
  </w:style>
  <w:style w:type="paragraph" w:customStyle="1" w:styleId="280">
    <w:name w:val="正文段落"/>
    <w:basedOn w:val="1"/>
    <w:qFormat/>
    <w:uiPriority w:val="0"/>
    <w:pPr>
      <w:autoSpaceDE w:val="0"/>
      <w:autoSpaceDN w:val="0"/>
      <w:adjustRightInd w:val="0"/>
      <w:spacing w:line="500" w:lineRule="exact"/>
      <w:ind w:firstLine="200" w:firstLineChars="200"/>
      <w:textAlignment w:val="baseline"/>
    </w:pPr>
    <w:rPr>
      <w:rFonts w:ascii="宋体" w:hAnsi="Tms Rmn" w:eastAsia="仿宋_GB2312"/>
      <w:kern w:val="0"/>
      <w:sz w:val="28"/>
      <w:szCs w:val="20"/>
    </w:rPr>
  </w:style>
  <w:style w:type="paragraph" w:customStyle="1" w:styleId="281">
    <w:name w:val="样式 标题 3条标题1.1.1条标题1.1.11条标题1.1.12条标题1.1.13条标题1.1.111条标题1.1..."/>
    <w:basedOn w:val="6"/>
    <w:qFormat/>
    <w:uiPriority w:val="0"/>
    <w:pPr>
      <w:spacing w:before="0" w:after="0" w:line="500" w:lineRule="exact"/>
    </w:pPr>
    <w:rPr>
      <w:rFonts w:ascii="宋体" w:hAnsi="宋体" w:cs="宋体"/>
      <w:bCs w:val="0"/>
      <w:sz w:val="28"/>
      <w:szCs w:val="20"/>
    </w:rPr>
  </w:style>
  <w:style w:type="paragraph" w:customStyle="1" w:styleId="282">
    <w:name w:val="样式 标题 3条标题1.1.1条标题1.1.11条标题1.1.12条标题1.1.13条标题1.1.111条标题1.1...1"/>
    <w:basedOn w:val="6"/>
    <w:qFormat/>
    <w:uiPriority w:val="0"/>
    <w:pPr>
      <w:spacing w:before="0" w:after="0" w:line="500" w:lineRule="exact"/>
    </w:pPr>
    <w:rPr>
      <w:rFonts w:ascii="宋体" w:hAnsi="宋体" w:cs="宋体"/>
      <w:bCs w:val="0"/>
      <w:sz w:val="28"/>
      <w:szCs w:val="20"/>
    </w:rPr>
  </w:style>
  <w:style w:type="paragraph" w:customStyle="1" w:styleId="283">
    <w:name w:val="xl24"/>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top"/>
    </w:pPr>
    <w:rPr>
      <w:rFonts w:ascii="Arial Unicode MS" w:hAnsi="Arial Unicode MS" w:eastAsia="Arial Unicode MS"/>
      <w:kern w:val="0"/>
      <w:szCs w:val="21"/>
    </w:rPr>
  </w:style>
  <w:style w:type="paragraph" w:customStyle="1" w:styleId="284">
    <w:name w:val="样式 标题 3 + 11 磅 蓝色"/>
    <w:basedOn w:val="6"/>
    <w:qFormat/>
    <w:uiPriority w:val="0"/>
    <w:pPr>
      <w:autoSpaceDE w:val="0"/>
      <w:autoSpaceDN w:val="0"/>
      <w:adjustRightInd w:val="0"/>
      <w:snapToGrid w:val="0"/>
      <w:spacing w:before="0" w:after="0" w:line="500" w:lineRule="exact"/>
      <w:jc w:val="left"/>
      <w:textAlignment w:val="baseline"/>
    </w:pPr>
    <w:rPr>
      <w:rFonts w:ascii="宋体" w:hAnsi="宋体"/>
      <w:b w:val="0"/>
      <w:snapToGrid w:val="0"/>
      <w:color w:val="0000FF"/>
      <w:kern w:val="0"/>
      <w:sz w:val="28"/>
      <w:szCs w:val="28"/>
    </w:rPr>
  </w:style>
  <w:style w:type="paragraph" w:customStyle="1" w:styleId="285">
    <w:name w:val="3级标题"/>
    <w:basedOn w:val="1"/>
    <w:qFormat/>
    <w:uiPriority w:val="0"/>
    <w:pPr>
      <w:keepNext/>
      <w:keepLines/>
      <w:adjustRightInd w:val="0"/>
      <w:snapToGrid w:val="0"/>
      <w:spacing w:before="80" w:after="80" w:line="400" w:lineRule="exact"/>
      <w:outlineLvl w:val="2"/>
    </w:pPr>
    <w:rPr>
      <w:b/>
      <w:color w:val="000000"/>
      <w:sz w:val="24"/>
      <w:szCs w:val="28"/>
    </w:rPr>
  </w:style>
  <w:style w:type="paragraph" w:customStyle="1" w:styleId="286">
    <w:name w:val="样式 正文缩进正文缩进 Char正文缩进1 Char正文缩进1正文（首行缩进两字） Char正文缩进 Char Cha..."/>
    <w:basedOn w:val="22"/>
    <w:qFormat/>
    <w:uiPriority w:val="0"/>
    <w:pPr>
      <w:spacing w:beforeLines="50" w:line="360" w:lineRule="auto"/>
      <w:ind w:firstLine="567" w:firstLineChars="0"/>
      <w:jc w:val="left"/>
    </w:pPr>
    <w:rPr>
      <w:rFonts w:cs="宋体"/>
      <w:sz w:val="24"/>
      <w:szCs w:val="20"/>
    </w:rPr>
  </w:style>
  <w:style w:type="paragraph" w:customStyle="1" w:styleId="287">
    <w:name w:val="样式 图表"/>
    <w:basedOn w:val="1"/>
    <w:qFormat/>
    <w:uiPriority w:val="0"/>
    <w:pPr>
      <w:adjustRightInd w:val="0"/>
      <w:spacing w:line="360" w:lineRule="auto"/>
      <w:jc w:val="center"/>
      <w:textAlignment w:val="baseline"/>
    </w:pPr>
    <w:rPr>
      <w:b/>
      <w:bCs/>
      <w:kern w:val="0"/>
      <w:sz w:val="24"/>
    </w:rPr>
  </w:style>
  <w:style w:type="paragraph" w:customStyle="1" w:styleId="288">
    <w:name w:val="普通表格1"/>
    <w:basedOn w:val="47"/>
    <w:qFormat/>
    <w:uiPriority w:val="0"/>
    <w:pPr>
      <w:snapToGrid w:val="0"/>
      <w:spacing w:line="380" w:lineRule="exact"/>
    </w:pPr>
    <w:rPr>
      <w:rFonts w:ascii="Times New Roman" w:hAnsi="Times New Roman" w:cs="Times New Roman"/>
      <w:sz w:val="24"/>
      <w:szCs w:val="24"/>
    </w:rPr>
  </w:style>
  <w:style w:type="paragraph" w:customStyle="1" w:styleId="289">
    <w:name w:val="xl35"/>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4"/>
    </w:rPr>
  </w:style>
  <w:style w:type="paragraph" w:customStyle="1" w:styleId="290">
    <w:name w:val="样式 正文文本缩进 + 左侧:  0.95 厘米 首行缩进:  0.63 厘米"/>
    <w:basedOn w:val="37"/>
    <w:qFormat/>
    <w:uiPriority w:val="0"/>
    <w:pPr>
      <w:spacing w:after="0" w:line="480" w:lineRule="exact"/>
      <w:ind w:left="0" w:leftChars="0" w:firstLine="480" w:firstLineChars="200"/>
    </w:pPr>
    <w:rPr>
      <w:rFonts w:ascii="宋体" w:hAnsi="宋体"/>
      <w:color w:val="000000"/>
      <w:sz w:val="24"/>
    </w:rPr>
  </w:style>
  <w:style w:type="paragraph" w:customStyle="1" w:styleId="291">
    <w:name w:val="Char Char Char1 Char"/>
    <w:basedOn w:val="1"/>
    <w:qFormat/>
    <w:uiPriority w:val="0"/>
  </w:style>
  <w:style w:type="paragraph" w:customStyle="1" w:styleId="292">
    <w:name w:val="Char Char Char Char Char Char Char"/>
    <w:basedOn w:val="1"/>
    <w:qFormat/>
    <w:uiPriority w:val="0"/>
  </w:style>
  <w:style w:type="paragraph" w:customStyle="1" w:styleId="293">
    <w:name w:val="Char Char Char1 Char Char Char Char"/>
    <w:basedOn w:val="1"/>
    <w:qFormat/>
    <w:uiPriority w:val="0"/>
  </w:style>
  <w:style w:type="paragraph" w:customStyle="1" w:styleId="294">
    <w:name w:val="Char Char Char Char Char Char Char Char Char Char Char Char Char Char Char Char"/>
    <w:basedOn w:val="1"/>
    <w:qFormat/>
    <w:uiPriority w:val="0"/>
  </w:style>
  <w:style w:type="paragraph" w:customStyle="1" w:styleId="295">
    <w:name w:val="Char Char Char Char Char Char Char Char Char Char3"/>
    <w:basedOn w:val="1"/>
    <w:qFormat/>
    <w:uiPriority w:val="0"/>
  </w:style>
  <w:style w:type="character" w:customStyle="1" w:styleId="296">
    <w:name w:val="h31"/>
    <w:qFormat/>
    <w:uiPriority w:val="9"/>
    <w:rPr>
      <w:rFonts w:ascii="黑体" w:hAnsi="黑体" w:eastAsia="黑体"/>
      <w:b/>
      <w:spacing w:val="10"/>
      <w:kern w:val="44"/>
      <w:sz w:val="28"/>
      <w:szCs w:val="28"/>
      <w:lang w:val="en-US" w:eastAsia="zh-CN" w:bidi="ar-SA"/>
    </w:rPr>
  </w:style>
  <w:style w:type="paragraph" w:customStyle="1" w:styleId="297">
    <w:name w:val="默认段落字体 Para Char"/>
    <w:basedOn w:val="1"/>
    <w:qFormat/>
    <w:uiPriority w:val="0"/>
    <w:rPr>
      <w:sz w:val="24"/>
    </w:rPr>
  </w:style>
  <w:style w:type="character" w:customStyle="1" w:styleId="298">
    <w:name w:val="标题 2 字符"/>
    <w:link w:val="5"/>
    <w:qFormat/>
    <w:uiPriority w:val="9"/>
    <w:rPr>
      <w:rFonts w:eastAsia="仿宋_GB2312"/>
      <w:b/>
      <w:spacing w:val="6"/>
      <w:sz w:val="28"/>
      <w:szCs w:val="28"/>
    </w:rPr>
  </w:style>
  <w:style w:type="paragraph" w:customStyle="1" w:styleId="299">
    <w:name w:val="样式 段前: 0.1 行 段后: 0.1 行"/>
    <w:basedOn w:val="1"/>
    <w:qFormat/>
    <w:uiPriority w:val="0"/>
    <w:pPr>
      <w:adjustRightInd w:val="0"/>
      <w:snapToGrid w:val="0"/>
      <w:spacing w:line="300" w:lineRule="auto"/>
      <w:ind w:firstLine="499"/>
      <w:textAlignment w:val="baseline"/>
    </w:pPr>
    <w:rPr>
      <w:rFonts w:cs="宋体"/>
      <w:snapToGrid w:val="0"/>
      <w:kern w:val="0"/>
      <w:sz w:val="24"/>
      <w:szCs w:val="20"/>
    </w:rPr>
  </w:style>
  <w:style w:type="character" w:customStyle="1" w:styleId="300">
    <w:name w:val="表格文字 Char"/>
    <w:link w:val="158"/>
    <w:qFormat/>
    <w:locked/>
    <w:uiPriority w:val="0"/>
    <w:rPr>
      <w:rFonts w:eastAsia="仿宋_GB2312"/>
      <w:kern w:val="2"/>
      <w:sz w:val="21"/>
      <w:szCs w:val="21"/>
    </w:rPr>
  </w:style>
  <w:style w:type="paragraph" w:customStyle="1" w:styleId="301">
    <w:name w:val="Char Char Char Char Char Char Char Char Char Char Char Char Char Char Char Char Char Char Char Char Char Char Char Char Char Char Char Char Char Char2 Char Char Char Char Char Char Char"/>
    <w:basedOn w:val="1"/>
    <w:qFormat/>
    <w:uiPriority w:val="0"/>
    <w:rPr>
      <w:sz w:val="24"/>
    </w:rPr>
  </w:style>
  <w:style w:type="paragraph" w:customStyle="1" w:styleId="302">
    <w:name w:val="样式 标题 1 + (中文) 宋体 小三 行距: 多倍行距 1.35 字行"/>
    <w:basedOn w:val="4"/>
    <w:qFormat/>
    <w:uiPriority w:val="0"/>
    <w:pPr>
      <w:numPr>
        <w:ilvl w:val="0"/>
        <w:numId w:val="2"/>
      </w:numPr>
      <w:snapToGrid w:val="0"/>
      <w:spacing w:beforeLines="150" w:afterLines="150" w:line="300" w:lineRule="auto"/>
    </w:pPr>
    <w:rPr>
      <w:rFonts w:hAnsi="宋体"/>
      <w:color w:val="FF0000"/>
      <w:sz w:val="32"/>
      <w:szCs w:val="32"/>
    </w:rPr>
  </w:style>
  <w:style w:type="paragraph" w:customStyle="1" w:styleId="303">
    <w:name w:val="样式 样式 标题 2节 + (西文) Times New Roman (中文) 宋体 四号 段前: 0.5 行 段后: 0......"/>
    <w:basedOn w:val="1"/>
    <w:qFormat/>
    <w:uiPriority w:val="0"/>
    <w:pPr>
      <w:keepNext/>
      <w:keepLines/>
      <w:numPr>
        <w:ilvl w:val="1"/>
        <w:numId w:val="2"/>
      </w:numPr>
      <w:adjustRightInd w:val="0"/>
      <w:snapToGrid w:val="0"/>
      <w:spacing w:beforeLines="90" w:afterLines="90" w:line="300" w:lineRule="auto"/>
      <w:outlineLvl w:val="1"/>
    </w:pPr>
    <w:rPr>
      <w:rFonts w:hAnsi="宋体"/>
      <w:b/>
      <w:bCs/>
      <w:color w:val="FF0000"/>
      <w:sz w:val="28"/>
      <w:szCs w:val="28"/>
    </w:rPr>
  </w:style>
  <w:style w:type="paragraph" w:customStyle="1" w:styleId="304">
    <w:name w:val="样式 标题 3 + (西文) Times New Roman (中文) 宋体 小四 加粗"/>
    <w:basedOn w:val="6"/>
    <w:qFormat/>
    <w:uiPriority w:val="0"/>
    <w:pPr>
      <w:numPr>
        <w:ilvl w:val="2"/>
        <w:numId w:val="2"/>
      </w:numPr>
      <w:adjustRightInd w:val="0"/>
      <w:snapToGrid w:val="0"/>
      <w:spacing w:beforeLines="50" w:afterLines="50" w:line="360" w:lineRule="auto"/>
      <w:jc w:val="left"/>
    </w:pPr>
    <w:rPr>
      <w:rFonts w:hAnsi="宋体"/>
      <w:snapToGrid w:val="0"/>
      <w:color w:val="FF0000"/>
      <w:sz w:val="24"/>
      <w:szCs w:val="24"/>
    </w:rPr>
  </w:style>
  <w:style w:type="paragraph" w:customStyle="1" w:styleId="305">
    <w:name w:val="样式 标题 4 + (西文) Times New Roman (中文) 宋体 小四"/>
    <w:basedOn w:val="7"/>
    <w:qFormat/>
    <w:uiPriority w:val="0"/>
    <w:pPr>
      <w:numPr>
        <w:ilvl w:val="3"/>
        <w:numId w:val="2"/>
      </w:numPr>
      <w:snapToGrid w:val="0"/>
      <w:spacing w:beforeLines="25" w:afterLines="25" w:line="360" w:lineRule="auto"/>
    </w:pPr>
    <w:rPr>
      <w:rFonts w:ascii="幼圆" w:hAnsi="Times New Roman" w:eastAsia="幼圆"/>
      <w:bCs w:val="0"/>
      <w:color w:val="0000FF"/>
      <w:sz w:val="24"/>
      <w:szCs w:val="24"/>
    </w:rPr>
  </w:style>
  <w:style w:type="character" w:customStyle="1" w:styleId="306">
    <w:name w:val="图表文字 Char"/>
    <w:link w:val="163"/>
    <w:qFormat/>
    <w:uiPriority w:val="0"/>
    <w:rPr>
      <w:rFonts w:ascii="仿宋_GB2312" w:eastAsia="仿宋_GB2312"/>
      <w:kern w:val="2"/>
      <w:sz w:val="21"/>
      <w:szCs w:val="24"/>
      <w:lang w:val="en-US" w:eastAsia="zh-CN" w:bidi="ar-SA"/>
    </w:rPr>
  </w:style>
  <w:style w:type="paragraph" w:customStyle="1" w:styleId="307">
    <w:name w:val="表格内容1"/>
    <w:basedOn w:val="1"/>
    <w:qFormat/>
    <w:uiPriority w:val="0"/>
    <w:pPr>
      <w:adjustRightInd w:val="0"/>
      <w:snapToGrid w:val="0"/>
      <w:jc w:val="center"/>
    </w:pPr>
    <w:rPr>
      <w:snapToGrid w:val="0"/>
      <w:kern w:val="0"/>
    </w:rPr>
  </w:style>
  <w:style w:type="paragraph" w:customStyle="1" w:styleId="308">
    <w:name w:val="表题1"/>
    <w:basedOn w:val="1"/>
    <w:link w:val="2055"/>
    <w:qFormat/>
    <w:uiPriority w:val="0"/>
    <w:pPr>
      <w:adjustRightInd w:val="0"/>
      <w:snapToGrid w:val="0"/>
      <w:spacing w:line="300" w:lineRule="auto"/>
      <w:jc w:val="center"/>
      <w:textAlignment w:val="baseline"/>
    </w:pPr>
    <w:rPr>
      <w:snapToGrid w:val="0"/>
      <w:kern w:val="0"/>
      <w:sz w:val="24"/>
      <w:szCs w:val="20"/>
    </w:rPr>
  </w:style>
  <w:style w:type="character" w:customStyle="1" w:styleId="309">
    <w:name w:val="表标题 Char"/>
    <w:link w:val="162"/>
    <w:qFormat/>
    <w:locked/>
    <w:uiPriority w:val="0"/>
    <w:rPr>
      <w:rFonts w:ascii="仿宋_GB2312" w:eastAsia="仿宋_GB2312"/>
      <w:b/>
      <w:bCs/>
      <w:kern w:val="2"/>
      <w:sz w:val="24"/>
      <w:szCs w:val="24"/>
      <w:lang w:val="en-US" w:eastAsia="zh-CN" w:bidi="ar-SA"/>
    </w:rPr>
  </w:style>
  <w:style w:type="paragraph" w:customStyle="1" w:styleId="310">
    <w:name w:val="XYF1"/>
    <w:basedOn w:val="1"/>
    <w:link w:val="803"/>
    <w:qFormat/>
    <w:uiPriority w:val="0"/>
    <w:pPr>
      <w:tabs>
        <w:tab w:val="left" w:pos="1080"/>
      </w:tabs>
      <w:spacing w:line="440" w:lineRule="exact"/>
      <w:ind w:firstLine="195" w:firstLineChars="195"/>
    </w:pPr>
    <w:rPr>
      <w:sz w:val="24"/>
    </w:rPr>
  </w:style>
  <w:style w:type="character" w:customStyle="1" w:styleId="311">
    <w:name w:val="正文缩进4 Char"/>
    <w:link w:val="312"/>
    <w:qFormat/>
    <w:uiPriority w:val="0"/>
    <w:rPr>
      <w:rFonts w:ascii="仿宋_GB2312" w:eastAsia="仿宋_GB2312"/>
      <w:kern w:val="2"/>
      <w:sz w:val="28"/>
      <w:lang w:val="en-US" w:eastAsia="zh-CN" w:bidi="ar-SA"/>
    </w:rPr>
  </w:style>
  <w:style w:type="paragraph" w:customStyle="1" w:styleId="312">
    <w:name w:val="正文缩进4"/>
    <w:basedOn w:val="1"/>
    <w:link w:val="311"/>
    <w:qFormat/>
    <w:uiPriority w:val="0"/>
    <w:pPr>
      <w:spacing w:line="500" w:lineRule="exact"/>
      <w:ind w:firstLine="560" w:firstLineChars="200"/>
    </w:pPr>
    <w:rPr>
      <w:rFonts w:ascii="仿宋_GB2312" w:eastAsia="仿宋_GB2312"/>
      <w:sz w:val="28"/>
      <w:szCs w:val="20"/>
    </w:rPr>
  </w:style>
  <w:style w:type="paragraph" w:customStyle="1" w:styleId="313">
    <w:name w:val="表格03"/>
    <w:basedOn w:val="1"/>
    <w:qFormat/>
    <w:uiPriority w:val="0"/>
    <w:pPr>
      <w:spacing w:line="400" w:lineRule="exact"/>
      <w:jc w:val="center"/>
    </w:pPr>
    <w:rPr>
      <w:color w:val="000000"/>
      <w:sz w:val="24"/>
      <w:szCs w:val="20"/>
    </w:rPr>
  </w:style>
  <w:style w:type="paragraph" w:customStyle="1" w:styleId="314">
    <w:name w:val="表格的文字"/>
    <w:basedOn w:val="1"/>
    <w:link w:val="399"/>
    <w:qFormat/>
    <w:uiPriority w:val="0"/>
    <w:pPr>
      <w:spacing w:line="300" w:lineRule="exact"/>
      <w:jc w:val="center"/>
    </w:pPr>
    <w:rPr>
      <w:rFonts w:ascii="仿宋_GB2312" w:eastAsia="仿宋_GB2312"/>
      <w:szCs w:val="20"/>
    </w:rPr>
  </w:style>
  <w:style w:type="paragraph" w:customStyle="1" w:styleId="315">
    <w:name w:val="图框文字"/>
    <w:basedOn w:val="1"/>
    <w:qFormat/>
    <w:uiPriority w:val="0"/>
    <w:pPr>
      <w:jc w:val="center"/>
      <w:textAlignment w:val="center"/>
    </w:pPr>
    <w:rPr>
      <w:szCs w:val="20"/>
    </w:rPr>
  </w:style>
  <w:style w:type="table" w:customStyle="1" w:styleId="316">
    <w:name w:val="表格样式11"/>
    <w:basedOn w:val="88"/>
    <w:qFormat/>
    <w:uiPriority w:val="0"/>
    <w:rPr>
      <w:rFonts w:eastAsia="楷体_GB2312"/>
    </w:rPr>
    <w:tblPr>
      <w:tblBorders>
        <w:top w:val="single" w:color="auto" w:sz="12" w:space="0"/>
        <w:bottom w:val="single" w:color="auto" w:sz="12" w:space="0"/>
        <w:insideH w:val="single" w:color="auto" w:sz="2" w:space="0"/>
        <w:insideV w:val="single" w:color="auto" w:sz="2" w:space="0"/>
      </w:tblBorders>
    </w:tblPr>
  </w:style>
  <w:style w:type="paragraph" w:customStyle="1" w:styleId="317">
    <w:name w:val="表内字体"/>
    <w:basedOn w:val="1"/>
    <w:qFormat/>
    <w:uiPriority w:val="0"/>
    <w:pPr>
      <w:jc w:val="center"/>
    </w:pPr>
    <w:rPr>
      <w:rFonts w:hAnsi="宋体"/>
      <w:szCs w:val="20"/>
    </w:rPr>
  </w:style>
  <w:style w:type="character" w:customStyle="1" w:styleId="318">
    <w:name w:val="标题 4 字符"/>
    <w:link w:val="7"/>
    <w:qFormat/>
    <w:uiPriority w:val="0"/>
    <w:rPr>
      <w:rFonts w:ascii="仿宋_GB2312" w:hAnsi="Arial" w:eastAsia="仿宋_GB2312"/>
      <w:bCs/>
      <w:kern w:val="2"/>
      <w:sz w:val="28"/>
      <w:szCs w:val="28"/>
      <w:lang w:val="en-US" w:eastAsia="zh-CN" w:bidi="ar-SA"/>
    </w:rPr>
  </w:style>
  <w:style w:type="character" w:customStyle="1" w:styleId="319">
    <w:name w:val="style6"/>
    <w:basedOn w:val="133"/>
    <w:qFormat/>
    <w:uiPriority w:val="0"/>
  </w:style>
  <w:style w:type="paragraph" w:customStyle="1" w:styleId="320">
    <w:name w:val="样式4"/>
    <w:basedOn w:val="35"/>
    <w:qFormat/>
    <w:uiPriority w:val="0"/>
    <w:pPr>
      <w:spacing w:after="0"/>
      <w:ind w:firstLine="560"/>
    </w:pPr>
    <w:rPr>
      <w:rFonts w:ascii="宋体" w:hAnsi="宋体"/>
      <w:color w:val="000000"/>
      <w:kern w:val="0"/>
      <w:sz w:val="28"/>
      <w:szCs w:val="20"/>
    </w:rPr>
  </w:style>
  <w:style w:type="paragraph" w:customStyle="1" w:styleId="321">
    <w:name w:val="文本居中"/>
    <w:basedOn w:val="1"/>
    <w:qFormat/>
    <w:uiPriority w:val="0"/>
    <w:pPr>
      <w:adjustRightInd w:val="0"/>
      <w:spacing w:line="360" w:lineRule="auto"/>
      <w:jc w:val="center"/>
    </w:pPr>
    <w:rPr>
      <w:sz w:val="28"/>
      <w:szCs w:val="20"/>
    </w:rPr>
  </w:style>
  <w:style w:type="paragraph" w:customStyle="1" w:styleId="322">
    <w:name w:val="样式10"/>
    <w:basedOn w:val="163"/>
    <w:qFormat/>
    <w:uiPriority w:val="0"/>
    <w:pPr>
      <w:adjustRightInd w:val="0"/>
      <w:textAlignment w:val="baseline"/>
    </w:pPr>
    <w:rPr>
      <w:rFonts w:hAnsi="宋体"/>
      <w:color w:val="FF0000"/>
      <w:szCs w:val="20"/>
    </w:rPr>
  </w:style>
  <w:style w:type="paragraph" w:customStyle="1" w:styleId="323">
    <w:name w:val="样式 标题 1 + 两端对齐"/>
    <w:basedOn w:val="4"/>
    <w:qFormat/>
    <w:uiPriority w:val="0"/>
    <w:pPr>
      <w:keepNext w:val="0"/>
      <w:keepLines w:val="0"/>
      <w:pageBreakBefore/>
      <w:widowControl/>
      <w:tabs>
        <w:tab w:val="left" w:pos="420"/>
      </w:tabs>
      <w:adjustRightInd w:val="0"/>
      <w:snapToGrid w:val="0"/>
      <w:spacing w:before="0" w:after="0" w:line="300" w:lineRule="auto"/>
      <w:jc w:val="center"/>
    </w:pPr>
    <w:rPr>
      <w:rFonts w:ascii="仿宋_GB2312" w:eastAsia="仿宋_GB2312"/>
      <w:b w:val="0"/>
      <w:bCs w:val="0"/>
      <w:snapToGrid w:val="0"/>
      <w:kern w:val="0"/>
      <w:sz w:val="32"/>
      <w:szCs w:val="20"/>
    </w:rPr>
  </w:style>
  <w:style w:type="paragraph" w:customStyle="1" w:styleId="324">
    <w:name w:val="表头文字"/>
    <w:basedOn w:val="1"/>
    <w:qFormat/>
    <w:uiPriority w:val="0"/>
    <w:pPr>
      <w:spacing w:line="360" w:lineRule="auto"/>
      <w:jc w:val="center"/>
    </w:pPr>
    <w:rPr>
      <w:rFonts w:eastAsia="楷体_GB2312"/>
      <w:b/>
      <w:sz w:val="24"/>
      <w:szCs w:val="20"/>
    </w:rPr>
  </w:style>
  <w:style w:type="paragraph" w:customStyle="1" w:styleId="325">
    <w:name w:val="正文文本缩进1"/>
    <w:basedOn w:val="1"/>
    <w:qFormat/>
    <w:uiPriority w:val="0"/>
    <w:pPr>
      <w:adjustRightInd w:val="0"/>
      <w:spacing w:after="120" w:line="360" w:lineRule="auto"/>
      <w:ind w:left="420" w:leftChars="200" w:firstLine="200" w:firstLineChars="200"/>
      <w:textAlignment w:val="baseline"/>
    </w:pPr>
    <w:rPr>
      <w:sz w:val="24"/>
      <w:szCs w:val="20"/>
    </w:rPr>
  </w:style>
  <w:style w:type="paragraph" w:customStyle="1" w:styleId="326">
    <w:name w:val="表字"/>
    <w:basedOn w:val="1"/>
    <w:qFormat/>
    <w:uiPriority w:val="0"/>
    <w:pPr>
      <w:jc w:val="center"/>
    </w:pPr>
    <w:rPr>
      <w:rFonts w:ascii="宋体"/>
      <w:szCs w:val="20"/>
    </w:rPr>
  </w:style>
  <w:style w:type="paragraph" w:customStyle="1" w:styleId="327">
    <w:name w:val="正文缩进3"/>
    <w:basedOn w:val="1"/>
    <w:qFormat/>
    <w:uiPriority w:val="0"/>
    <w:pPr>
      <w:adjustRightInd w:val="0"/>
      <w:ind w:firstLine="420" w:firstLineChars="200"/>
      <w:textAlignment w:val="baseline"/>
    </w:pPr>
    <w:rPr>
      <w:rFonts w:hint="eastAsia" w:hAnsi="宋体"/>
      <w:sz w:val="24"/>
      <w:szCs w:val="20"/>
    </w:rPr>
  </w:style>
  <w:style w:type="paragraph" w:customStyle="1" w:styleId="328">
    <w:name w:val="五号表格"/>
    <w:next w:val="1"/>
    <w:qFormat/>
    <w:uiPriority w:val="0"/>
    <w:rPr>
      <w:rFonts w:ascii="宋体" w:hAnsi="Times New Roman" w:eastAsia="宋体" w:cs="Times New Roman"/>
      <w:sz w:val="21"/>
      <w:lang w:val="en-US" w:eastAsia="zh-CN" w:bidi="ar-SA"/>
    </w:rPr>
  </w:style>
  <w:style w:type="paragraph" w:customStyle="1" w:styleId="329">
    <w:name w:val="正文首行缩进1"/>
    <w:basedOn w:val="1"/>
    <w:next w:val="1"/>
    <w:qFormat/>
    <w:uiPriority w:val="0"/>
    <w:pPr>
      <w:tabs>
        <w:tab w:val="left" w:pos="540"/>
        <w:tab w:val="left" w:pos="1440"/>
        <w:tab w:val="left" w:pos="2448"/>
        <w:tab w:val="left" w:pos="3000"/>
        <w:tab w:val="left" w:pos="3888"/>
        <w:tab w:val="left" w:pos="4800"/>
        <w:tab w:val="left" w:pos="5040"/>
        <w:tab w:val="left" w:pos="5883"/>
        <w:tab w:val="left" w:pos="6300"/>
        <w:tab w:val="left" w:pos="7353"/>
        <w:tab w:val="left" w:pos="8613"/>
      </w:tabs>
      <w:autoSpaceDE w:val="0"/>
      <w:autoSpaceDN w:val="0"/>
      <w:adjustRightInd w:val="0"/>
      <w:snapToGrid w:val="0"/>
      <w:spacing w:line="300" w:lineRule="auto"/>
      <w:ind w:firstLine="561"/>
      <w:textAlignment w:val="baseline"/>
    </w:pPr>
    <w:rPr>
      <w:kern w:val="0"/>
      <w:sz w:val="28"/>
      <w:szCs w:val="20"/>
    </w:rPr>
  </w:style>
  <w:style w:type="paragraph" w:customStyle="1" w:styleId="330">
    <w:name w:val="正文居中"/>
    <w:basedOn w:val="60"/>
    <w:qFormat/>
    <w:uiPriority w:val="0"/>
    <w:pPr>
      <w:adjustRightInd w:val="0"/>
      <w:spacing w:before="0" w:after="0" w:line="360" w:lineRule="auto"/>
    </w:pPr>
    <w:rPr>
      <w:rFonts w:ascii="宋体" w:hAnsi="Arial"/>
      <w:b w:val="0"/>
      <w:bCs w:val="0"/>
      <w:sz w:val="28"/>
    </w:rPr>
  </w:style>
  <w:style w:type="paragraph" w:customStyle="1" w:styleId="331">
    <w:name w:val="五号字表格"/>
    <w:basedOn w:val="228"/>
    <w:qFormat/>
    <w:uiPriority w:val="0"/>
    <w:pPr>
      <w:adjustRightInd w:val="0"/>
      <w:spacing w:line="240" w:lineRule="auto"/>
      <w:textAlignment w:val="baseline"/>
    </w:pPr>
    <w:rPr>
      <w:kern w:val="0"/>
      <w:sz w:val="21"/>
    </w:rPr>
  </w:style>
  <w:style w:type="paragraph" w:customStyle="1" w:styleId="332">
    <w:name w:val="表1"/>
    <w:basedOn w:val="1"/>
    <w:qFormat/>
    <w:uiPriority w:val="0"/>
    <w:pPr>
      <w:jc w:val="center"/>
    </w:pPr>
    <w:rPr>
      <w:rFonts w:ascii="宋体" w:hAnsi="宋体"/>
      <w:color w:val="000000"/>
      <w:szCs w:val="20"/>
    </w:rPr>
  </w:style>
  <w:style w:type="paragraph" w:customStyle="1" w:styleId="333">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jc w:val="left"/>
      <w:textAlignment w:val="center"/>
    </w:pPr>
    <w:rPr>
      <w:rFonts w:hint="eastAsia" w:ascii="宋体" w:hAnsi="宋体"/>
      <w:color w:val="000000"/>
      <w:kern w:val="0"/>
      <w:sz w:val="28"/>
      <w:szCs w:val="20"/>
    </w:rPr>
  </w:style>
  <w:style w:type="paragraph" w:customStyle="1" w:styleId="334">
    <w:name w:val="注"/>
    <w:basedOn w:val="1"/>
    <w:next w:val="1"/>
    <w:qFormat/>
    <w:uiPriority w:val="0"/>
    <w:pPr>
      <w:widowControl/>
      <w:spacing w:before="60" w:after="60" w:line="312" w:lineRule="auto"/>
    </w:pPr>
    <w:rPr>
      <w:rFonts w:eastAsia="黑体"/>
      <w:kern w:val="0"/>
      <w:szCs w:val="20"/>
    </w:rPr>
  </w:style>
  <w:style w:type="paragraph" w:customStyle="1" w:styleId="335">
    <w:name w:val="xl33"/>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Cs w:val="20"/>
    </w:rPr>
  </w:style>
  <w:style w:type="paragraph" w:customStyle="1" w:styleId="336">
    <w:name w:val="默认段落字体 Para Char Char Char Char Char Char Char Char Char Char Char Char Char"/>
    <w:basedOn w:val="1"/>
    <w:qFormat/>
    <w:uiPriority w:val="0"/>
    <w:rPr>
      <w:szCs w:val="20"/>
    </w:rPr>
  </w:style>
  <w:style w:type="paragraph" w:customStyle="1" w:styleId="337">
    <w:name w:val="表格文字居中 Char"/>
    <w:basedOn w:val="86"/>
    <w:qFormat/>
    <w:uiPriority w:val="0"/>
    <w:pPr>
      <w:keepNext/>
      <w:tabs>
        <w:tab w:val="left" w:pos="628"/>
        <w:tab w:val="left" w:pos="1727"/>
        <w:tab w:val="left" w:pos="1884"/>
        <w:tab w:val="left" w:pos="2660"/>
        <w:tab w:val="left" w:pos="5460"/>
      </w:tabs>
      <w:spacing w:before="100" w:beforeAutospacing="1" w:after="0" w:line="240" w:lineRule="auto"/>
      <w:ind w:firstLine="0" w:firstLineChars="0"/>
      <w:jc w:val="center"/>
    </w:pPr>
    <w:rPr>
      <w:rFonts w:ascii="宋体" w:eastAsia="宋体"/>
      <w:color w:val="000000"/>
      <w:kern w:val="0"/>
      <w:sz w:val="24"/>
      <w:szCs w:val="20"/>
    </w:rPr>
  </w:style>
  <w:style w:type="paragraph" w:customStyle="1" w:styleId="338">
    <w:name w:val="p6"/>
    <w:basedOn w:val="1"/>
    <w:qFormat/>
    <w:uiPriority w:val="0"/>
    <w:pPr>
      <w:tabs>
        <w:tab w:val="left" w:pos="4720"/>
      </w:tabs>
      <w:spacing w:line="240" w:lineRule="atLeast"/>
      <w:ind w:left="3280"/>
      <w:jc w:val="left"/>
    </w:pPr>
    <w:rPr>
      <w:rFonts w:ascii="Arial" w:hAnsi="Arial"/>
      <w:snapToGrid w:val="0"/>
      <w:kern w:val="0"/>
      <w:sz w:val="24"/>
      <w:szCs w:val="20"/>
      <w:lang w:eastAsia="en-US"/>
    </w:rPr>
  </w:style>
  <w:style w:type="paragraph" w:customStyle="1" w:styleId="339">
    <w:name w:val="文本框文字格式"/>
    <w:basedOn w:val="1"/>
    <w:qFormat/>
    <w:uiPriority w:val="0"/>
    <w:pPr>
      <w:jc w:val="center"/>
    </w:pPr>
    <w:rPr>
      <w:sz w:val="24"/>
      <w:szCs w:val="20"/>
    </w:rPr>
  </w:style>
  <w:style w:type="paragraph" w:customStyle="1" w:styleId="340">
    <w:name w:val="居中正文"/>
    <w:basedOn w:val="86"/>
    <w:qFormat/>
    <w:uiPriority w:val="0"/>
    <w:pPr>
      <w:adjustRightInd w:val="0"/>
      <w:spacing w:before="120" w:after="0" w:line="360" w:lineRule="auto"/>
      <w:ind w:firstLine="0" w:firstLineChars="0"/>
      <w:jc w:val="center"/>
    </w:pPr>
    <w:rPr>
      <w:rFonts w:ascii="宋体" w:eastAsia="宋体"/>
      <w:kern w:val="28"/>
      <w:sz w:val="24"/>
    </w:rPr>
  </w:style>
  <w:style w:type="paragraph" w:customStyle="1" w:styleId="341">
    <w:name w:val="前言、引言标题"/>
    <w:next w:val="1"/>
    <w:qFormat/>
    <w:uiPriority w:val="0"/>
    <w:pPr>
      <w:shd w:val="clear" w:color="FFFFFF" w:fill="FFFFFF"/>
      <w:tabs>
        <w:tab w:val="left" w:pos="903"/>
      </w:tabs>
      <w:spacing w:before="640" w:after="560"/>
      <w:ind w:left="903" w:hanging="315"/>
      <w:jc w:val="center"/>
      <w:outlineLvl w:val="0"/>
    </w:pPr>
    <w:rPr>
      <w:rFonts w:ascii="黑体" w:hAnsi="Times New Roman" w:eastAsia="黑体" w:cs="Times New Roman"/>
      <w:sz w:val="32"/>
      <w:szCs w:val="32"/>
      <w:lang w:val="en-US" w:eastAsia="zh-CN" w:bidi="ar-SA"/>
    </w:rPr>
  </w:style>
  <w:style w:type="paragraph" w:customStyle="1" w:styleId="342">
    <w:name w:val="一级条标题"/>
    <w:basedOn w:val="4"/>
    <w:next w:val="1"/>
    <w:qFormat/>
    <w:uiPriority w:val="0"/>
    <w:pPr>
      <w:keepNext w:val="0"/>
      <w:keepLines w:val="0"/>
      <w:widowControl/>
      <w:spacing w:before="0" w:after="0" w:line="240" w:lineRule="auto"/>
      <w:outlineLvl w:val="2"/>
    </w:pPr>
    <w:rPr>
      <w:rFonts w:ascii="黑体" w:eastAsia="黑体"/>
      <w:b w:val="0"/>
      <w:bCs w:val="0"/>
      <w:kern w:val="0"/>
      <w:sz w:val="21"/>
      <w:szCs w:val="21"/>
    </w:rPr>
  </w:style>
  <w:style w:type="paragraph" w:customStyle="1" w:styleId="343">
    <w:name w:val="二级条标题"/>
    <w:basedOn w:val="342"/>
    <w:next w:val="1"/>
    <w:qFormat/>
    <w:uiPriority w:val="0"/>
    <w:pPr>
      <w:ind w:left="864" w:hanging="864"/>
      <w:outlineLvl w:val="3"/>
    </w:pPr>
  </w:style>
  <w:style w:type="paragraph" w:customStyle="1" w:styleId="344">
    <w:name w:val="五级条标题"/>
    <w:basedOn w:val="1"/>
    <w:next w:val="1"/>
    <w:qFormat/>
    <w:uiPriority w:val="0"/>
    <w:pPr>
      <w:widowControl/>
      <w:tabs>
        <w:tab w:val="left" w:pos="2040"/>
      </w:tabs>
      <w:ind w:left="2040" w:leftChars="800" w:hanging="360" w:hangingChars="200"/>
      <w:outlineLvl w:val="6"/>
    </w:pPr>
    <w:rPr>
      <w:rFonts w:ascii="黑体" w:eastAsia="黑体"/>
      <w:kern w:val="0"/>
      <w:szCs w:val="21"/>
    </w:rPr>
  </w:style>
  <w:style w:type="table" w:customStyle="1" w:styleId="345">
    <w:name w:val="网格型1"/>
    <w:basedOn w:val="88"/>
    <w:qFormat/>
    <w:uiPriority w:val="0"/>
    <w:pPr>
      <w:widowControl w:val="0"/>
      <w:spacing w:line="500" w:lineRule="exact"/>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46">
    <w:name w:val="网格型2"/>
    <w:basedOn w:val="88"/>
    <w:qFormat/>
    <w:uiPriority w:val="0"/>
    <w:pPr>
      <w:widowControl w:val="0"/>
      <w:spacing w:line="500" w:lineRule="exact"/>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47">
    <w:name w:val="网格型3"/>
    <w:basedOn w:val="88"/>
    <w:qFormat/>
    <w:uiPriority w:val="59"/>
    <w:pPr>
      <w:widowControl w:val="0"/>
      <w:spacing w:line="500" w:lineRule="exact"/>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48">
    <w:name w:val="网格型4"/>
    <w:basedOn w:val="88"/>
    <w:qFormat/>
    <w:uiPriority w:val="0"/>
    <w:pPr>
      <w:widowControl w:val="0"/>
      <w:spacing w:line="500" w:lineRule="exact"/>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349">
    <w:name w:val="main-11"/>
    <w:basedOn w:val="133"/>
    <w:qFormat/>
    <w:uiPriority w:val="0"/>
  </w:style>
  <w:style w:type="character" w:customStyle="1" w:styleId="350">
    <w:name w:val="px141"/>
    <w:qFormat/>
    <w:uiPriority w:val="0"/>
    <w:rPr>
      <w:rFonts w:hint="default"/>
      <w:sz w:val="21"/>
      <w:szCs w:val="21"/>
    </w:rPr>
  </w:style>
  <w:style w:type="paragraph" w:customStyle="1" w:styleId="351">
    <w:name w:val="5 Char"/>
    <w:basedOn w:val="1"/>
    <w:qFormat/>
    <w:uiPriority w:val="0"/>
    <w:rPr>
      <w:sz w:val="24"/>
    </w:rPr>
  </w:style>
  <w:style w:type="character" w:customStyle="1" w:styleId="352">
    <w:name w:val="big1"/>
    <w:qFormat/>
    <w:uiPriority w:val="0"/>
    <w:rPr>
      <w:rFonts w:hint="default"/>
      <w:sz w:val="28"/>
      <w:szCs w:val="28"/>
    </w:rPr>
  </w:style>
  <w:style w:type="paragraph" w:customStyle="1" w:styleId="353">
    <w:name w:val="小3黑中"/>
    <w:basedOn w:val="8"/>
    <w:qFormat/>
    <w:uiPriority w:val="0"/>
    <w:pPr>
      <w:spacing w:before="0" w:after="0" w:line="240" w:lineRule="auto"/>
      <w:jc w:val="center"/>
      <w:outlineLvl w:val="9"/>
    </w:pPr>
    <w:rPr>
      <w:rFonts w:hAnsi="宋体"/>
      <w:b w:val="0"/>
      <w:sz w:val="24"/>
      <w:szCs w:val="24"/>
    </w:rPr>
  </w:style>
  <w:style w:type="table" w:customStyle="1" w:styleId="354">
    <w:name w:val="喜欢的1"/>
    <w:basedOn w:val="99"/>
    <w:qFormat/>
    <w:uiPriority w:val="0"/>
    <w:tblPr>
      <w:tblBorders>
        <w:insideH w:val="single" w:color="008000" w:sz="4" w:space="0"/>
        <w:insideV w:val="single" w:color="008000" w:sz="4" w:space="0"/>
      </w:tblBorders>
    </w:tblPr>
    <w:tcPr>
      <w:shd w:val="clear" w:color="auto" w:fill="FFFFFF"/>
      <w:vAlign w:val="center"/>
    </w:tcPr>
    <w:tblStylePr w:type="firstRow">
      <w:tcPr>
        <w:tcBorders>
          <w:bottom w:val="single" w:color="008000" w:sz="6" w:space="0"/>
          <w:tl2br w:val="nil"/>
          <w:tr2bl w:val="nil"/>
        </w:tcBorders>
      </w:tcPr>
    </w:tblStylePr>
    <w:tblStylePr w:type="lastRow">
      <w:tcPr>
        <w:tcBorders>
          <w:top w:val="single" w:color="008000" w:sz="6" w:space="0"/>
          <w:tl2br w:val="nil"/>
          <w:tr2bl w:val="nil"/>
        </w:tcBorders>
      </w:tcPr>
    </w:tblStylePr>
  </w:style>
  <w:style w:type="table" w:customStyle="1" w:styleId="355">
    <w:name w:val="网格型 11"/>
    <w:basedOn w:val="88"/>
    <w:qFormat/>
    <w:uiPriority w:val="0"/>
    <w:pPr>
      <w:widowControl w:val="0"/>
      <w:spacing w:line="500" w:lineRule="exact"/>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cPr>
        <w:tcBorders>
          <w:tl2br w:val="nil"/>
          <w:tr2bl w:val="nil"/>
        </w:tcBorders>
      </w:tcPr>
    </w:tblStylePr>
    <w:tblStylePr w:type="lastCol">
      <w:rPr>
        <w:i/>
        <w:iCs/>
      </w:rPr>
      <w:tcPr>
        <w:tcBorders>
          <w:tl2br w:val="nil"/>
          <w:tr2bl w:val="nil"/>
        </w:tcBorders>
      </w:tcPr>
    </w:tblStylePr>
    <w:tblStylePr w:type="nwCell">
      <w:tcPr>
        <w:tcBorders>
          <w:tl2br w:val="single" w:color="000000" w:sz="6" w:space="0"/>
          <w:tr2bl w:val="nil"/>
        </w:tcBorders>
      </w:tcPr>
    </w:tblStylePr>
  </w:style>
  <w:style w:type="table" w:customStyle="1" w:styleId="356">
    <w:name w:val="网格型 111"/>
    <w:basedOn w:val="88"/>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cPr>
        <w:tcBorders>
          <w:tl2br w:val="nil"/>
          <w:tr2bl w:val="nil"/>
        </w:tcBorders>
      </w:tcPr>
    </w:tblStylePr>
    <w:tblStylePr w:type="lastCol">
      <w:rPr>
        <w:i/>
        <w:iCs/>
      </w:rPr>
      <w:tcPr>
        <w:tcBorders>
          <w:tl2br w:val="nil"/>
          <w:tr2bl w:val="nil"/>
        </w:tcBorders>
      </w:tcPr>
    </w:tblStylePr>
    <w:tblStylePr w:type="nwCell">
      <w:tcPr>
        <w:tcBorders>
          <w:tl2br w:val="single" w:color="000000" w:sz="6" w:space="0"/>
          <w:tr2bl w:val="nil"/>
        </w:tcBorders>
      </w:tcPr>
    </w:tblStylePr>
  </w:style>
  <w:style w:type="table" w:customStyle="1" w:styleId="357">
    <w:name w:val="最普通1"/>
    <w:basedOn w:val="121"/>
    <w:qFormat/>
    <w:uiPriority w:val="0"/>
    <w:pPr>
      <w:spacing w:line="500" w:lineRule="exact"/>
    </w:pPr>
    <w:tcPr>
      <w:shd w:val="clear" w:color="auto" w:fill="auto"/>
      <w:vAlign w:val="center"/>
    </w:tcPr>
    <w:tblStylePr w:type="lastRow">
      <w:rPr>
        <w:i/>
        <w:iCs/>
      </w:rPr>
      <w:tcPr>
        <w:tcBorders>
          <w:tl2br w:val="nil"/>
          <w:tr2bl w:val="nil"/>
        </w:tcBorders>
      </w:tcPr>
    </w:tblStylePr>
    <w:tblStylePr w:type="lastCol">
      <w:rPr>
        <w:i/>
        <w:iCs/>
      </w:rPr>
      <w:tcPr>
        <w:tcBorders>
          <w:tl2br w:val="nil"/>
          <w:tr2bl w:val="nil"/>
        </w:tcBorders>
      </w:tcPr>
    </w:tblStylePr>
    <w:tblStylePr w:type="nwCell">
      <w:tcPr>
        <w:tcBorders>
          <w:tl2br w:val="single" w:color="000000" w:sz="6" w:space="0"/>
          <w:tr2bl w:val="nil"/>
        </w:tcBorders>
      </w:tcPr>
    </w:tblStylePr>
  </w:style>
  <w:style w:type="paragraph" w:customStyle="1" w:styleId="358">
    <w:name w:val="AnnexLetter"/>
    <w:basedOn w:val="1"/>
    <w:qFormat/>
    <w:uiPriority w:val="0"/>
    <w:pPr>
      <w:widowControl/>
      <w:overflowPunct w:val="0"/>
      <w:autoSpaceDE w:val="0"/>
      <w:autoSpaceDN w:val="0"/>
      <w:adjustRightInd w:val="0"/>
      <w:spacing w:before="2400" w:line="264" w:lineRule="auto"/>
      <w:ind w:left="1418" w:right="1418"/>
      <w:jc w:val="left"/>
      <w:textAlignment w:val="baseline"/>
    </w:pPr>
    <w:rPr>
      <w:rFonts w:ascii="Book Antiqua" w:hAnsi="Book Antiqua"/>
      <w:kern w:val="0"/>
      <w:sz w:val="22"/>
      <w:szCs w:val="20"/>
      <w:lang w:val="en-GB"/>
    </w:rPr>
  </w:style>
  <w:style w:type="paragraph" w:customStyle="1" w:styleId="359">
    <w:name w:val="AnnexTitle"/>
    <w:basedOn w:val="1"/>
    <w:next w:val="1"/>
    <w:qFormat/>
    <w:uiPriority w:val="0"/>
    <w:pPr>
      <w:widowControl/>
      <w:overflowPunct w:val="0"/>
      <w:autoSpaceDE w:val="0"/>
      <w:autoSpaceDN w:val="0"/>
      <w:adjustRightInd w:val="0"/>
      <w:spacing w:before="720" w:after="16000" w:line="264" w:lineRule="auto"/>
      <w:ind w:left="1418" w:right="1418"/>
      <w:jc w:val="left"/>
      <w:textAlignment w:val="baseline"/>
    </w:pPr>
    <w:rPr>
      <w:rFonts w:ascii="Book Antiqua" w:hAnsi="Book Antiqua"/>
      <w:kern w:val="0"/>
      <w:sz w:val="36"/>
      <w:szCs w:val="20"/>
      <w:lang w:val="en-GB"/>
    </w:rPr>
  </w:style>
  <w:style w:type="paragraph" w:customStyle="1" w:styleId="360">
    <w:name w:val="CoverClientName"/>
    <w:basedOn w:val="1"/>
    <w:next w:val="1"/>
    <w:qFormat/>
    <w:uiPriority w:val="0"/>
    <w:pPr>
      <w:widowControl/>
      <w:overflowPunct w:val="0"/>
      <w:autoSpaceDE w:val="0"/>
      <w:autoSpaceDN w:val="0"/>
      <w:adjustRightInd w:val="0"/>
      <w:spacing w:after="480" w:line="264" w:lineRule="auto"/>
      <w:jc w:val="left"/>
      <w:textAlignment w:val="baseline"/>
    </w:pPr>
    <w:rPr>
      <w:rFonts w:ascii="Book Antiqua" w:hAnsi="Book Antiqua"/>
      <w:kern w:val="0"/>
      <w:sz w:val="22"/>
      <w:szCs w:val="20"/>
      <w:lang w:val="en-GB"/>
    </w:rPr>
  </w:style>
  <w:style w:type="paragraph" w:customStyle="1" w:styleId="361">
    <w:name w:val="CoverDate"/>
    <w:basedOn w:val="1"/>
    <w:qFormat/>
    <w:uiPriority w:val="0"/>
    <w:pPr>
      <w:widowControl/>
      <w:overflowPunct w:val="0"/>
      <w:autoSpaceDE w:val="0"/>
      <w:autoSpaceDN w:val="0"/>
      <w:adjustRightInd w:val="0"/>
      <w:spacing w:before="1200" w:line="264" w:lineRule="auto"/>
      <w:jc w:val="left"/>
      <w:textAlignment w:val="baseline"/>
    </w:pPr>
    <w:rPr>
      <w:rFonts w:ascii="Book Antiqua" w:hAnsi="Book Antiqua"/>
      <w:kern w:val="0"/>
      <w:sz w:val="22"/>
      <w:szCs w:val="20"/>
      <w:lang w:val="en-GB"/>
    </w:rPr>
  </w:style>
  <w:style w:type="paragraph" w:customStyle="1" w:styleId="362">
    <w:name w:val="CoverMainTitle"/>
    <w:basedOn w:val="1"/>
    <w:next w:val="1"/>
    <w:qFormat/>
    <w:uiPriority w:val="0"/>
    <w:pPr>
      <w:widowControl/>
      <w:overflowPunct w:val="0"/>
      <w:autoSpaceDE w:val="0"/>
      <w:autoSpaceDN w:val="0"/>
      <w:adjustRightInd w:val="0"/>
      <w:spacing w:before="480" w:line="264" w:lineRule="auto"/>
      <w:jc w:val="left"/>
      <w:textAlignment w:val="baseline"/>
    </w:pPr>
    <w:rPr>
      <w:rFonts w:ascii="Book Antiqua" w:hAnsi="Book Antiqua"/>
      <w:kern w:val="0"/>
      <w:sz w:val="28"/>
      <w:szCs w:val="20"/>
      <w:lang w:val="en-GB"/>
    </w:rPr>
  </w:style>
  <w:style w:type="paragraph" w:customStyle="1" w:styleId="363">
    <w:name w:val="CoverReverseHeader"/>
    <w:basedOn w:val="1"/>
    <w:next w:val="360"/>
    <w:qFormat/>
    <w:uiPriority w:val="0"/>
    <w:pPr>
      <w:widowControl/>
      <w:pBdr>
        <w:top w:val="single" w:color="auto" w:sz="6" w:space="0"/>
        <w:left w:val="single" w:color="auto" w:sz="6" w:space="0"/>
        <w:bottom w:val="single" w:color="auto" w:sz="6" w:space="0"/>
        <w:right w:val="single" w:color="auto" w:sz="6" w:space="0"/>
      </w:pBdr>
      <w:shd w:val="pct90" w:color="000000" w:fill="000000"/>
      <w:overflowPunct w:val="0"/>
      <w:autoSpaceDE w:val="0"/>
      <w:autoSpaceDN w:val="0"/>
      <w:adjustRightInd w:val="0"/>
      <w:spacing w:after="2280" w:line="264" w:lineRule="auto"/>
      <w:jc w:val="center"/>
      <w:textAlignment w:val="baseline"/>
    </w:pPr>
    <w:rPr>
      <w:rFonts w:ascii="Book Antiqua" w:hAnsi="Book Antiqua"/>
      <w:caps/>
      <w:color w:val="FFFFFF"/>
      <w:kern w:val="0"/>
      <w:sz w:val="22"/>
      <w:szCs w:val="20"/>
      <w:lang w:val="en-GB"/>
    </w:rPr>
  </w:style>
  <w:style w:type="paragraph" w:customStyle="1" w:styleId="364">
    <w:name w:val="Graphics Text"/>
    <w:basedOn w:val="1"/>
    <w:qFormat/>
    <w:uiPriority w:val="0"/>
    <w:pPr>
      <w:widowControl/>
      <w:overflowPunct w:val="0"/>
      <w:autoSpaceDE w:val="0"/>
      <w:autoSpaceDN w:val="0"/>
      <w:adjustRightInd w:val="0"/>
      <w:spacing w:line="264" w:lineRule="auto"/>
      <w:jc w:val="left"/>
      <w:textAlignment w:val="baseline"/>
    </w:pPr>
    <w:rPr>
      <w:rFonts w:ascii="Arial Narrow" w:hAnsi="Arial Narrow"/>
      <w:kern w:val="0"/>
      <w:sz w:val="18"/>
      <w:szCs w:val="20"/>
      <w:lang w:val="en-GB"/>
    </w:rPr>
  </w:style>
  <w:style w:type="paragraph" w:customStyle="1" w:styleId="365">
    <w:name w:val="Heading4"/>
    <w:basedOn w:val="1"/>
    <w:qFormat/>
    <w:uiPriority w:val="0"/>
    <w:pPr>
      <w:widowControl/>
      <w:overflowPunct w:val="0"/>
      <w:autoSpaceDE w:val="0"/>
      <w:autoSpaceDN w:val="0"/>
      <w:adjustRightInd w:val="0"/>
      <w:spacing w:after="240" w:line="264" w:lineRule="auto"/>
      <w:jc w:val="left"/>
      <w:textAlignment w:val="baseline"/>
    </w:pPr>
    <w:rPr>
      <w:rFonts w:ascii="Book Antiqua" w:hAnsi="Book Antiqua"/>
      <w:i/>
      <w:kern w:val="0"/>
      <w:sz w:val="22"/>
      <w:szCs w:val="20"/>
      <w:lang w:val="en-GB"/>
    </w:rPr>
  </w:style>
  <w:style w:type="paragraph" w:customStyle="1" w:styleId="366">
    <w:name w:val="MarginRelease"/>
    <w:basedOn w:val="1"/>
    <w:next w:val="1"/>
    <w:qFormat/>
    <w:uiPriority w:val="0"/>
    <w:pPr>
      <w:widowControl/>
      <w:overflowPunct w:val="0"/>
      <w:autoSpaceDE w:val="0"/>
      <w:autoSpaceDN w:val="0"/>
      <w:adjustRightInd w:val="0"/>
      <w:spacing w:line="264" w:lineRule="auto"/>
      <w:ind w:hanging="1418"/>
      <w:jc w:val="left"/>
      <w:textAlignment w:val="baseline"/>
    </w:pPr>
    <w:rPr>
      <w:rFonts w:ascii="Book Antiqua" w:hAnsi="Book Antiqua"/>
      <w:kern w:val="0"/>
      <w:sz w:val="22"/>
      <w:szCs w:val="20"/>
      <w:lang w:val="en-GB"/>
    </w:rPr>
  </w:style>
  <w:style w:type="paragraph" w:customStyle="1" w:styleId="367">
    <w:name w:val="OtherHeader"/>
    <w:basedOn w:val="58"/>
    <w:next w:val="1"/>
    <w:qFormat/>
    <w:uiPriority w:val="0"/>
    <w:pPr>
      <w:widowControl/>
      <w:pBdr>
        <w:bottom w:val="none" w:color="auto" w:sz="0" w:space="0"/>
      </w:pBdr>
      <w:tabs>
        <w:tab w:val="left" w:pos="4153"/>
        <w:tab w:val="right" w:pos="7655"/>
      </w:tabs>
      <w:overflowPunct w:val="0"/>
      <w:autoSpaceDE w:val="0"/>
      <w:autoSpaceDN w:val="0"/>
      <w:adjustRightInd w:val="0"/>
      <w:snapToGrid/>
      <w:spacing w:before="360" w:after="240" w:line="264" w:lineRule="auto"/>
      <w:jc w:val="left"/>
      <w:textAlignment w:val="baseline"/>
    </w:pPr>
    <w:rPr>
      <w:rFonts w:ascii="Book Antiqua" w:hAnsi="Book Antiqua"/>
      <w:b/>
      <w:i/>
      <w:caps/>
      <w:kern w:val="0"/>
      <w:sz w:val="22"/>
      <w:szCs w:val="20"/>
      <w:lang w:val="en-GB"/>
    </w:rPr>
  </w:style>
  <w:style w:type="paragraph" w:customStyle="1" w:styleId="368">
    <w:name w:val="Subtext"/>
    <w:basedOn w:val="1"/>
    <w:qFormat/>
    <w:uiPriority w:val="0"/>
    <w:pPr>
      <w:widowControl/>
      <w:overflowPunct w:val="0"/>
      <w:autoSpaceDE w:val="0"/>
      <w:autoSpaceDN w:val="0"/>
      <w:adjustRightInd w:val="0"/>
      <w:spacing w:line="264" w:lineRule="auto"/>
      <w:jc w:val="left"/>
      <w:textAlignment w:val="baseline"/>
    </w:pPr>
    <w:rPr>
      <w:rFonts w:ascii="Book Antiqua" w:hAnsi="Book Antiqua"/>
      <w:kern w:val="0"/>
      <w:sz w:val="18"/>
      <w:szCs w:val="20"/>
      <w:lang w:val="en-GB"/>
    </w:rPr>
  </w:style>
  <w:style w:type="paragraph" w:customStyle="1" w:styleId="369">
    <w:name w:val="XecSumm"/>
    <w:basedOn w:val="1"/>
    <w:qFormat/>
    <w:uiPriority w:val="0"/>
    <w:pPr>
      <w:widowControl/>
      <w:overflowPunct w:val="0"/>
      <w:autoSpaceDE w:val="0"/>
      <w:autoSpaceDN w:val="0"/>
      <w:adjustRightInd w:val="0"/>
      <w:spacing w:line="264" w:lineRule="auto"/>
      <w:jc w:val="left"/>
      <w:textAlignment w:val="baseline"/>
    </w:pPr>
    <w:rPr>
      <w:rFonts w:ascii="Book Antiqua" w:hAnsi="Book Antiqua"/>
      <w:i/>
      <w:kern w:val="0"/>
      <w:sz w:val="22"/>
      <w:szCs w:val="20"/>
      <w:lang w:val="en-GB"/>
    </w:rPr>
  </w:style>
  <w:style w:type="character" w:customStyle="1" w:styleId="370">
    <w:name w:val="XFootNote"/>
    <w:qFormat/>
    <w:uiPriority w:val="0"/>
    <w:rPr>
      <w:rFonts w:ascii="Book Antiqua" w:hAnsi="Book Antiqua"/>
      <w:position w:val="6"/>
      <w:sz w:val="14"/>
      <w:vertAlign w:val="baseline"/>
    </w:rPr>
  </w:style>
  <w:style w:type="character" w:customStyle="1" w:styleId="371">
    <w:name w:val="XFootNoteText"/>
    <w:qFormat/>
    <w:uiPriority w:val="0"/>
    <w:rPr>
      <w:rFonts w:ascii="Book Antiqua" w:hAnsi="Book Antiqua"/>
      <w:position w:val="0"/>
      <w:sz w:val="14"/>
      <w:vertAlign w:val="baseline"/>
    </w:rPr>
  </w:style>
  <w:style w:type="paragraph" w:customStyle="1" w:styleId="372">
    <w:name w:val="ERMBullets"/>
    <w:basedOn w:val="1"/>
    <w:qFormat/>
    <w:uiPriority w:val="0"/>
    <w:pPr>
      <w:widowControl/>
      <w:tabs>
        <w:tab w:val="left" w:pos="432"/>
      </w:tabs>
      <w:overflowPunct w:val="0"/>
      <w:autoSpaceDE w:val="0"/>
      <w:autoSpaceDN w:val="0"/>
      <w:adjustRightInd w:val="0"/>
      <w:spacing w:line="264" w:lineRule="auto"/>
      <w:ind w:left="432" w:hanging="432"/>
      <w:jc w:val="left"/>
      <w:textAlignment w:val="baseline"/>
    </w:pPr>
    <w:rPr>
      <w:rFonts w:ascii="Book Antiqua" w:hAnsi="Book Antiqua"/>
      <w:kern w:val="0"/>
      <w:sz w:val="22"/>
      <w:szCs w:val="20"/>
      <w:lang w:val="en-GB"/>
    </w:rPr>
  </w:style>
  <w:style w:type="paragraph" w:customStyle="1" w:styleId="373">
    <w:name w:val="Style Heading 3§1.1.1.H3标题 3zym条标题1.1.1标题 3 Charh3level_3PI...1"/>
    <w:basedOn w:val="6"/>
    <w:qFormat/>
    <w:uiPriority w:val="0"/>
    <w:pPr>
      <w:widowControl/>
      <w:numPr>
        <w:ilvl w:val="0"/>
        <w:numId w:val="3"/>
      </w:numPr>
      <w:tabs>
        <w:tab w:val="left" w:pos="-1418"/>
        <w:tab w:val="left" w:pos="0"/>
        <w:tab w:val="clear" w:pos="360"/>
      </w:tabs>
      <w:overflowPunct w:val="0"/>
      <w:autoSpaceDE w:val="0"/>
      <w:autoSpaceDN w:val="0"/>
      <w:adjustRightInd w:val="0"/>
      <w:spacing w:before="0" w:line="264" w:lineRule="auto"/>
      <w:ind w:left="780" w:leftChars="200" w:hanging="1411" w:hangingChars="200"/>
      <w:jc w:val="left"/>
      <w:textAlignment w:val="baseline"/>
    </w:pPr>
    <w:rPr>
      <w:rFonts w:ascii="Book Antiqua" w:hAnsi="Book Antiqua"/>
      <w:i/>
      <w:iCs/>
      <w:kern w:val="28"/>
      <w:sz w:val="24"/>
      <w:szCs w:val="24"/>
    </w:rPr>
  </w:style>
  <w:style w:type="paragraph" w:customStyle="1" w:styleId="374">
    <w:name w:val="Style Heading 2§1.1§1.1.H21标题 2 Char Char节标题 1.1（一）Underrub...3"/>
    <w:basedOn w:val="5"/>
    <w:qFormat/>
    <w:uiPriority w:val="0"/>
    <w:pPr>
      <w:widowControl/>
      <w:tabs>
        <w:tab w:val="left" w:pos="-1418"/>
        <w:tab w:val="left" w:pos="432"/>
        <w:tab w:val="left" w:pos="780"/>
        <w:tab w:val="left" w:pos="2835"/>
      </w:tabs>
      <w:overflowPunct w:val="0"/>
      <w:autoSpaceDE w:val="0"/>
      <w:autoSpaceDN w:val="0"/>
      <w:adjustRightInd w:val="0"/>
      <w:spacing w:beforeLines="0" w:after="260" w:line="264" w:lineRule="auto"/>
      <w:ind w:left="780" w:leftChars="200" w:hanging="1411" w:hangingChars="200"/>
      <w:jc w:val="left"/>
      <w:textAlignment w:val="baseline"/>
    </w:pPr>
    <w:rPr>
      <w:rFonts w:ascii="Book Antiqua" w:hAnsi="Book Antiqua" w:eastAsia="宋体"/>
      <w:i/>
      <w:iCs/>
      <w:smallCaps/>
      <w:kern w:val="28"/>
      <w:sz w:val="24"/>
      <w:szCs w:val="24"/>
    </w:rPr>
  </w:style>
  <w:style w:type="paragraph" w:customStyle="1" w:styleId="375">
    <w:name w:val="报告1"/>
    <w:basedOn w:val="276"/>
    <w:qFormat/>
    <w:uiPriority w:val="0"/>
    <w:pPr>
      <w:textAlignment w:val="baseline"/>
    </w:pPr>
    <w:rPr>
      <w:rFonts w:ascii="Times New Roman" w:hAnsi="Times New Roman"/>
      <w:kern w:val="24"/>
    </w:rPr>
  </w:style>
  <w:style w:type="paragraph" w:customStyle="1" w:styleId="376">
    <w:name w:val="xl25"/>
    <w:basedOn w:val="1"/>
    <w:qFormat/>
    <w:uiPriority w:val="0"/>
    <w:pPr>
      <w:widowControl/>
      <w:pBdr>
        <w:bottom w:val="single" w:color="auto" w:sz="4" w:space="0"/>
        <w:right w:val="single" w:color="auto" w:sz="4" w:space="0"/>
      </w:pBdr>
      <w:spacing w:before="100" w:beforeAutospacing="1" w:after="100" w:afterAutospacing="1"/>
      <w:jc w:val="center"/>
    </w:pPr>
    <w:rPr>
      <w:rFonts w:ascii="Arial Unicode MS" w:hAnsi="Arial Unicode MS"/>
      <w:b/>
      <w:bCs/>
      <w:kern w:val="0"/>
      <w:sz w:val="20"/>
      <w:szCs w:val="20"/>
      <w:lang w:eastAsia="en-US"/>
    </w:rPr>
  </w:style>
  <w:style w:type="paragraph" w:customStyle="1" w:styleId="377">
    <w:name w:val="河石管道 表头"/>
    <w:qFormat/>
    <w:uiPriority w:val="0"/>
    <w:pPr>
      <w:jc w:val="center"/>
    </w:pPr>
    <w:rPr>
      <w:rFonts w:ascii="Times New Roman" w:hAnsi="Times New Roman" w:eastAsia="宋体" w:cs="Times New Roman"/>
      <w:b/>
      <w:bCs/>
      <w:sz w:val="18"/>
      <w:lang w:val="en-US" w:eastAsia="zh-CN" w:bidi="ar-SA"/>
    </w:rPr>
  </w:style>
  <w:style w:type="paragraph" w:customStyle="1" w:styleId="378">
    <w:name w:val="样式 样式 左侧:  2 字符 + 首行缩进:  2 字符 Char"/>
    <w:basedOn w:val="1"/>
    <w:qFormat/>
    <w:uiPriority w:val="0"/>
    <w:pPr>
      <w:tabs>
        <w:tab w:val="left" w:pos="540"/>
      </w:tabs>
      <w:spacing w:line="360" w:lineRule="auto"/>
      <w:ind w:firstLine="478" w:firstLineChars="199"/>
    </w:pPr>
    <w:rPr>
      <w:rFonts w:ascii="宋体" w:hAnsi="宋体"/>
      <w:bCs/>
      <w:sz w:val="24"/>
    </w:rPr>
  </w:style>
  <w:style w:type="paragraph" w:customStyle="1" w:styleId="379">
    <w:name w:val="Erm bullut"/>
    <w:basedOn w:val="1"/>
    <w:qFormat/>
    <w:uiPriority w:val="0"/>
    <w:pPr>
      <w:widowControl/>
      <w:tabs>
        <w:tab w:val="left" w:pos="840"/>
      </w:tabs>
      <w:overflowPunct w:val="0"/>
      <w:autoSpaceDE w:val="0"/>
      <w:autoSpaceDN w:val="0"/>
      <w:adjustRightInd w:val="0"/>
      <w:spacing w:line="264" w:lineRule="auto"/>
      <w:ind w:left="840" w:hanging="420"/>
      <w:jc w:val="left"/>
      <w:textAlignment w:val="baseline"/>
    </w:pPr>
    <w:rPr>
      <w:rFonts w:ascii="Book Antiqua" w:hAnsi="Book Antiqua"/>
      <w:kern w:val="0"/>
      <w:sz w:val="22"/>
      <w:szCs w:val="20"/>
      <w:lang w:val="en-GB"/>
    </w:rPr>
  </w:style>
  <w:style w:type="character" w:customStyle="1" w:styleId="380">
    <w:name w:val="报告表正文 Char"/>
    <w:qFormat/>
    <w:locked/>
    <w:uiPriority w:val="0"/>
    <w:rPr>
      <w:rFonts w:ascii="宋体" w:hAnsi="宋体" w:eastAsia="宋体"/>
      <w:sz w:val="24"/>
      <w:lang w:val="en-US" w:eastAsia="zh-CN" w:bidi="ar-SA"/>
    </w:rPr>
  </w:style>
  <w:style w:type="paragraph" w:customStyle="1" w:styleId="381">
    <w:name w:val="报告表正文"/>
    <w:basedOn w:val="1"/>
    <w:qFormat/>
    <w:uiPriority w:val="0"/>
    <w:pPr>
      <w:numPr>
        <w:ilvl w:val="1"/>
        <w:numId w:val="4"/>
      </w:numPr>
      <w:tabs>
        <w:tab w:val="clear" w:pos="1437"/>
      </w:tabs>
      <w:adjustRightInd w:val="0"/>
      <w:spacing w:line="312" w:lineRule="auto"/>
      <w:ind w:left="113" w:right="113" w:firstLine="482"/>
    </w:pPr>
    <w:rPr>
      <w:rFonts w:ascii="宋体" w:hAnsi="宋体"/>
      <w:kern w:val="0"/>
      <w:sz w:val="24"/>
      <w:szCs w:val="20"/>
    </w:rPr>
  </w:style>
  <w:style w:type="paragraph" w:customStyle="1" w:styleId="382">
    <w:name w:val="ScopeBody"/>
    <w:basedOn w:val="1"/>
    <w:qFormat/>
    <w:uiPriority w:val="0"/>
    <w:pPr>
      <w:tabs>
        <w:tab w:val="left" w:pos="360"/>
        <w:tab w:val="left" w:pos="720"/>
        <w:tab w:val="left" w:pos="1080"/>
        <w:tab w:val="left" w:pos="1440"/>
        <w:tab w:val="left" w:pos="1800"/>
        <w:tab w:val="left" w:pos="2160"/>
        <w:tab w:val="left" w:pos="2520"/>
        <w:tab w:val="left" w:pos="2880"/>
      </w:tabs>
      <w:suppressAutoHyphens/>
      <w:spacing w:after="120"/>
      <w:ind w:left="864"/>
      <w:jc w:val="left"/>
    </w:pPr>
    <w:rPr>
      <w:snapToGrid w:val="0"/>
      <w:kern w:val="0"/>
      <w:sz w:val="22"/>
      <w:szCs w:val="20"/>
      <w:lang w:eastAsia="en-US"/>
    </w:rPr>
  </w:style>
  <w:style w:type="paragraph" w:customStyle="1" w:styleId="383">
    <w:name w:val="Body Text Indent1"/>
    <w:basedOn w:val="1"/>
    <w:qFormat/>
    <w:uiPriority w:val="0"/>
    <w:pPr>
      <w:spacing w:after="120" w:line="360" w:lineRule="auto"/>
      <w:ind w:left="420" w:leftChars="200" w:firstLine="200" w:firstLineChars="200"/>
    </w:pPr>
    <w:rPr>
      <w:sz w:val="24"/>
    </w:rPr>
  </w:style>
  <w:style w:type="character" w:customStyle="1" w:styleId="384">
    <w:name w:val="纯文本21"/>
    <w:qFormat/>
    <w:uiPriority w:val="0"/>
    <w:rPr>
      <w:rFonts w:ascii="宋体" w:hAnsi="Courier New" w:eastAsia="宋体" w:cs="Courier New"/>
      <w:kern w:val="2"/>
      <w:sz w:val="21"/>
      <w:szCs w:val="21"/>
      <w:lang w:val="en-US" w:eastAsia="zh-CN" w:bidi="ar-SA"/>
    </w:rPr>
  </w:style>
  <w:style w:type="paragraph" w:customStyle="1" w:styleId="385">
    <w:name w:val="正文-使用"/>
    <w:basedOn w:val="1"/>
    <w:qFormat/>
    <w:uiPriority w:val="0"/>
    <w:pPr>
      <w:adjustRightInd w:val="0"/>
      <w:snapToGrid w:val="0"/>
      <w:spacing w:line="360" w:lineRule="auto"/>
      <w:ind w:firstLine="482"/>
    </w:pPr>
    <w:rPr>
      <w:sz w:val="24"/>
      <w:szCs w:val="20"/>
    </w:rPr>
  </w:style>
  <w:style w:type="paragraph" w:customStyle="1" w:styleId="386">
    <w:name w:val="正文 + 六号"/>
    <w:basedOn w:val="1"/>
    <w:qFormat/>
    <w:uiPriority w:val="0"/>
    <w:pPr>
      <w:overflowPunct w:val="0"/>
      <w:autoSpaceDE w:val="0"/>
      <w:autoSpaceDN w:val="0"/>
      <w:adjustRightInd w:val="0"/>
      <w:spacing w:line="264" w:lineRule="auto"/>
      <w:jc w:val="distribute"/>
      <w:textAlignment w:val="baseline"/>
    </w:pPr>
    <w:rPr>
      <w:rFonts w:ascii="Book Antiqua" w:hAnsi="Book Antiqua"/>
      <w:spacing w:val="630"/>
      <w:kern w:val="0"/>
      <w:sz w:val="15"/>
      <w:szCs w:val="15"/>
      <w:lang w:val="en-GB"/>
    </w:rPr>
  </w:style>
  <w:style w:type="paragraph" w:customStyle="1" w:styleId="387">
    <w:name w:val="表格文字（居中）"/>
    <w:basedOn w:val="1"/>
    <w:qFormat/>
    <w:uiPriority w:val="0"/>
    <w:pPr>
      <w:jc w:val="center"/>
    </w:pPr>
    <w:rPr>
      <w:szCs w:val="21"/>
    </w:rPr>
  </w:style>
  <w:style w:type="character" w:customStyle="1" w:styleId="388">
    <w:name w:val="正文1 Char1"/>
    <w:qFormat/>
    <w:uiPriority w:val="0"/>
    <w:rPr>
      <w:rFonts w:eastAsia="宋体"/>
      <w:snapToGrid w:val="0"/>
      <w:sz w:val="24"/>
      <w:szCs w:val="24"/>
      <w:lang w:val="en-US" w:eastAsia="zh-CN" w:bidi="ar-SA"/>
    </w:rPr>
  </w:style>
  <w:style w:type="paragraph" w:customStyle="1" w:styleId="389">
    <w:name w:val="Style Heading 2§1.1§1.1.H21标题 2 Char Char节标题 1.1（一）Underrub..."/>
    <w:basedOn w:val="5"/>
    <w:qFormat/>
    <w:uiPriority w:val="0"/>
    <w:pPr>
      <w:widowControl/>
      <w:tabs>
        <w:tab w:val="left" w:pos="-1418"/>
        <w:tab w:val="left" w:pos="780"/>
        <w:tab w:val="left" w:pos="2835"/>
      </w:tabs>
      <w:overflowPunct w:val="0"/>
      <w:autoSpaceDE w:val="0"/>
      <w:autoSpaceDN w:val="0"/>
      <w:adjustRightInd w:val="0"/>
      <w:spacing w:beforeLines="0" w:after="260" w:line="264" w:lineRule="auto"/>
      <w:ind w:left="-1411" w:leftChars="200" w:hanging="1411" w:hangingChars="200"/>
      <w:jc w:val="left"/>
      <w:textAlignment w:val="baseline"/>
    </w:pPr>
    <w:rPr>
      <w:rFonts w:ascii="Book Antiqua" w:hAnsi="Book Antiqua" w:eastAsia="宋体"/>
      <w:i/>
      <w:iCs/>
      <w:smallCaps/>
      <w:kern w:val="28"/>
      <w:sz w:val="24"/>
      <w:szCs w:val="24"/>
    </w:rPr>
  </w:style>
  <w:style w:type="paragraph" w:customStyle="1" w:styleId="390">
    <w:name w:val="Style Heading 2§1.1§1.1.H21标题 2 Char Char节标题 1.1（一）Underrub...1"/>
    <w:basedOn w:val="5"/>
    <w:qFormat/>
    <w:uiPriority w:val="0"/>
    <w:pPr>
      <w:widowControl/>
      <w:tabs>
        <w:tab w:val="left" w:pos="-1418"/>
        <w:tab w:val="left" w:pos="780"/>
        <w:tab w:val="left" w:pos="2835"/>
      </w:tabs>
      <w:overflowPunct w:val="0"/>
      <w:autoSpaceDE w:val="0"/>
      <w:autoSpaceDN w:val="0"/>
      <w:adjustRightInd w:val="0"/>
      <w:spacing w:beforeLines="0" w:after="260" w:line="264" w:lineRule="auto"/>
      <w:ind w:left="780" w:leftChars="200" w:hanging="1411" w:hangingChars="200"/>
      <w:jc w:val="left"/>
      <w:textAlignment w:val="baseline"/>
    </w:pPr>
    <w:rPr>
      <w:rFonts w:ascii="Book Antiqua" w:hAnsi="Book Antiqua" w:eastAsia="宋体"/>
      <w:i/>
      <w:iCs/>
      <w:smallCaps/>
      <w:kern w:val="28"/>
      <w:sz w:val="24"/>
      <w:szCs w:val="24"/>
    </w:rPr>
  </w:style>
  <w:style w:type="paragraph" w:customStyle="1" w:styleId="391">
    <w:name w:val="Style Heading 3§1.1.1.H3标题 3zym条标题1.1.1标题 3 Charh3level_3PI..."/>
    <w:basedOn w:val="6"/>
    <w:qFormat/>
    <w:uiPriority w:val="0"/>
    <w:pPr>
      <w:widowControl/>
      <w:tabs>
        <w:tab w:val="left" w:pos="-1418"/>
        <w:tab w:val="left" w:pos="0"/>
      </w:tabs>
      <w:overflowPunct w:val="0"/>
      <w:autoSpaceDE w:val="0"/>
      <w:autoSpaceDN w:val="0"/>
      <w:adjustRightInd w:val="0"/>
      <w:spacing w:before="0" w:line="264" w:lineRule="auto"/>
      <w:ind w:left="780" w:leftChars="200" w:hanging="360" w:hangingChars="200"/>
      <w:jc w:val="left"/>
      <w:textAlignment w:val="baseline"/>
    </w:pPr>
    <w:rPr>
      <w:rFonts w:ascii="Book Antiqua" w:hAnsi="Book Antiqua"/>
      <w:iCs/>
      <w:kern w:val="28"/>
      <w:sz w:val="24"/>
      <w:szCs w:val="24"/>
    </w:rPr>
  </w:style>
  <w:style w:type="paragraph" w:customStyle="1" w:styleId="392">
    <w:name w:val="Style Heading 2§1.1§1.1.H21标题 2 Char Char节标题 1.1（一）Underrub...2"/>
    <w:basedOn w:val="5"/>
    <w:qFormat/>
    <w:uiPriority w:val="0"/>
    <w:pPr>
      <w:widowControl/>
      <w:tabs>
        <w:tab w:val="left" w:pos="-1418"/>
        <w:tab w:val="left" w:pos="780"/>
        <w:tab w:val="left" w:pos="2835"/>
      </w:tabs>
      <w:overflowPunct w:val="0"/>
      <w:autoSpaceDE w:val="0"/>
      <w:autoSpaceDN w:val="0"/>
      <w:adjustRightInd w:val="0"/>
      <w:spacing w:beforeLines="0" w:after="260" w:line="264" w:lineRule="auto"/>
      <w:ind w:left="780" w:leftChars="200" w:hanging="1411" w:hangingChars="200"/>
      <w:jc w:val="left"/>
      <w:textAlignment w:val="baseline"/>
    </w:pPr>
    <w:rPr>
      <w:rFonts w:ascii="Book Antiqua" w:hAnsi="Book Antiqua" w:eastAsia="宋体"/>
      <w:i/>
      <w:iCs/>
      <w:smallCaps/>
      <w:kern w:val="28"/>
      <w:sz w:val="24"/>
      <w:szCs w:val="24"/>
    </w:rPr>
  </w:style>
  <w:style w:type="paragraph" w:customStyle="1" w:styleId="393">
    <w:name w:val="河石管道 表格正文"/>
    <w:qFormat/>
    <w:uiPriority w:val="0"/>
    <w:pPr>
      <w:jc w:val="center"/>
    </w:pPr>
    <w:rPr>
      <w:rFonts w:ascii="Times New Roman" w:hAnsi="Times New Roman" w:eastAsia="宋体" w:cs="Times New Roman"/>
      <w:kern w:val="2"/>
      <w:sz w:val="18"/>
      <w:lang w:val="en-US" w:eastAsia="zh-CN" w:bidi="ar-SA"/>
    </w:rPr>
  </w:style>
  <w:style w:type="paragraph" w:customStyle="1" w:styleId="394">
    <w:name w:val="表文左对齐"/>
    <w:basedOn w:val="1"/>
    <w:qFormat/>
    <w:uiPriority w:val="0"/>
    <w:pPr>
      <w:jc w:val="left"/>
    </w:pPr>
    <w:rPr>
      <w:rFonts w:eastAsia="仿宋_GB2312"/>
      <w:b/>
      <w:bCs/>
      <w:szCs w:val="20"/>
    </w:rPr>
  </w:style>
  <w:style w:type="paragraph" w:customStyle="1" w:styleId="395">
    <w:name w:val="河石管道 表格文字小五"/>
    <w:qFormat/>
    <w:uiPriority w:val="0"/>
    <w:pPr>
      <w:tabs>
        <w:tab w:val="left" w:pos="277"/>
        <w:tab w:val="left" w:pos="600"/>
        <w:tab w:val="left" w:pos="780"/>
        <w:tab w:val="left" w:pos="2517"/>
      </w:tabs>
      <w:adjustRightInd w:val="0"/>
      <w:jc w:val="both"/>
      <w:textAlignment w:val="baseline"/>
    </w:pPr>
    <w:rPr>
      <w:rFonts w:ascii="Times New Roman" w:hAnsi="Times New Roman" w:eastAsia="宋体" w:cs="Times New Roman"/>
      <w:kern w:val="2"/>
      <w:sz w:val="18"/>
      <w:szCs w:val="21"/>
      <w:lang w:val="en-US" w:eastAsia="zh-CN" w:bidi="ar-SA"/>
    </w:rPr>
  </w:style>
  <w:style w:type="character" w:customStyle="1" w:styleId="396">
    <w:name w:val="Small"/>
    <w:qFormat/>
    <w:uiPriority w:val="0"/>
    <w:rPr>
      <w:rFonts w:ascii="Times New Roman" w:hAnsi="Times New Roman" w:cs="Times New Roman"/>
      <w:sz w:val="18"/>
      <w:szCs w:val="18"/>
      <w:lang w:val="en-US"/>
    </w:rPr>
  </w:style>
  <w:style w:type="paragraph" w:customStyle="1" w:styleId="397">
    <w:name w:val="bullet 1"/>
    <w:basedOn w:val="1"/>
    <w:qFormat/>
    <w:uiPriority w:val="0"/>
    <w:pPr>
      <w:widowControl/>
      <w:tabs>
        <w:tab w:val="left" w:pos="980"/>
      </w:tabs>
      <w:overflowPunct w:val="0"/>
      <w:autoSpaceDE w:val="0"/>
      <w:autoSpaceDN w:val="0"/>
      <w:adjustRightInd w:val="0"/>
      <w:spacing w:line="264" w:lineRule="auto"/>
      <w:ind w:left="980" w:hanging="420"/>
      <w:jc w:val="left"/>
      <w:textAlignment w:val="baseline"/>
    </w:pPr>
    <w:rPr>
      <w:rFonts w:ascii="Book Antiqua" w:hAnsi="Book Antiqua"/>
      <w:kern w:val="0"/>
      <w:sz w:val="22"/>
      <w:szCs w:val="20"/>
      <w:lang w:val="en-GB"/>
    </w:rPr>
  </w:style>
  <w:style w:type="table" w:customStyle="1" w:styleId="398">
    <w:name w:val="表格样式12"/>
    <w:basedOn w:val="88"/>
    <w:qFormat/>
    <w:uiPriority w:val="0"/>
    <w:pPr>
      <w:jc w:val="center"/>
    </w:pPr>
    <w:rPr>
      <w:rFonts w:eastAsia="楷体_GB2312"/>
    </w:rPr>
    <w:tblPr>
      <w:tblBorders>
        <w:top w:val="single" w:color="auto" w:sz="12" w:space="0"/>
        <w:bottom w:val="single" w:color="auto" w:sz="12" w:space="0"/>
        <w:insideH w:val="single" w:color="auto" w:sz="2" w:space="0"/>
        <w:insideV w:val="single" w:color="auto" w:sz="2" w:space="0"/>
      </w:tblBorders>
    </w:tblPr>
    <w:tcPr>
      <w:vAlign w:val="center"/>
    </w:tcPr>
  </w:style>
  <w:style w:type="character" w:customStyle="1" w:styleId="399">
    <w:name w:val="表格的文字 Char"/>
    <w:basedOn w:val="306"/>
    <w:link w:val="314"/>
    <w:qFormat/>
    <w:uiPriority w:val="0"/>
    <w:rPr>
      <w:rFonts w:ascii="仿宋_GB2312" w:eastAsia="仿宋_GB2312"/>
      <w:kern w:val="2"/>
      <w:sz w:val="21"/>
      <w:szCs w:val="24"/>
      <w:lang w:val="en-US" w:eastAsia="zh-CN" w:bidi="ar-SA"/>
    </w:rPr>
  </w:style>
  <w:style w:type="character" w:customStyle="1" w:styleId="400">
    <w:name w:val="目录 1 Char"/>
    <w:qFormat/>
    <w:uiPriority w:val="0"/>
    <w:rPr>
      <w:rFonts w:eastAsia="宋体"/>
      <w:b/>
      <w:bCs/>
      <w:caps/>
      <w:kern w:val="2"/>
      <w:sz w:val="24"/>
      <w:szCs w:val="24"/>
      <w:lang w:val="en-US" w:eastAsia="zh-CN" w:bidi="ar-SA"/>
    </w:rPr>
  </w:style>
  <w:style w:type="paragraph" w:customStyle="1" w:styleId="401">
    <w:name w:val="小四表文左齐"/>
    <w:basedOn w:val="1"/>
    <w:qFormat/>
    <w:uiPriority w:val="0"/>
    <w:pPr>
      <w:jc w:val="center"/>
    </w:pPr>
    <w:rPr>
      <w:rFonts w:ascii="宋体" w:hAnsi="Arial Black"/>
      <w:szCs w:val="20"/>
    </w:rPr>
  </w:style>
  <w:style w:type="character" w:customStyle="1" w:styleId="402">
    <w:name w:val="题注 字符"/>
    <w:link w:val="23"/>
    <w:qFormat/>
    <w:uiPriority w:val="0"/>
    <w:rPr>
      <w:rFonts w:ascii="Arial" w:hAnsi="Arial" w:eastAsia="黑体" w:cs="Arial"/>
      <w:kern w:val="2"/>
      <w:lang w:val="en-US" w:eastAsia="zh-CN" w:bidi="ar-SA"/>
    </w:rPr>
  </w:style>
  <w:style w:type="character" w:customStyle="1" w:styleId="403">
    <w:name w:val="页脚 字符"/>
    <w:link w:val="56"/>
    <w:qFormat/>
    <w:uiPriority w:val="99"/>
    <w:rPr>
      <w:kern w:val="2"/>
      <w:sz w:val="18"/>
      <w:szCs w:val="18"/>
    </w:rPr>
  </w:style>
  <w:style w:type="paragraph" w:styleId="404">
    <w:name w:val="List Paragraph"/>
    <w:basedOn w:val="1"/>
    <w:qFormat/>
    <w:uiPriority w:val="34"/>
    <w:pPr>
      <w:ind w:firstLine="420" w:firstLineChars="200"/>
    </w:pPr>
  </w:style>
  <w:style w:type="paragraph" w:customStyle="1" w:styleId="405">
    <w:name w:val="表格文字 -maoli"/>
    <w:basedOn w:val="1"/>
    <w:qFormat/>
    <w:uiPriority w:val="0"/>
    <w:pPr>
      <w:framePr w:wrap="around" w:vAnchor="text" w:hAnchor="text" w:y="1"/>
      <w:widowControl/>
      <w:snapToGrid w:val="0"/>
      <w:spacing w:line="320" w:lineRule="exact"/>
      <w:jc w:val="center"/>
    </w:pPr>
    <w:rPr>
      <w:rFonts w:ascii="楷体_GB2312" w:hAnsi="宋体" w:eastAsia="楷体_GB2312" w:cs="宋体"/>
      <w:kern w:val="0"/>
    </w:rPr>
  </w:style>
  <w:style w:type="character" w:customStyle="1" w:styleId="406">
    <w:name w:val="页眉 字符"/>
    <w:link w:val="58"/>
    <w:qFormat/>
    <w:uiPriority w:val="0"/>
    <w:rPr>
      <w:kern w:val="2"/>
      <w:sz w:val="18"/>
      <w:szCs w:val="18"/>
    </w:rPr>
  </w:style>
  <w:style w:type="paragraph" w:customStyle="1" w:styleId="407">
    <w:name w:val="文本框文字"/>
    <w:basedOn w:val="1"/>
    <w:qFormat/>
    <w:uiPriority w:val="0"/>
    <w:pPr>
      <w:framePr w:hSpace="181" w:vSpace="181" w:wrap="around" w:vAnchor="page" w:hAnchor="page" w:xAlign="center" w:yAlign="center"/>
      <w:adjustRightInd w:val="0"/>
      <w:snapToGrid w:val="0"/>
      <w:spacing w:line="240" w:lineRule="exact"/>
      <w:jc w:val="center"/>
      <w:textAlignment w:val="center"/>
    </w:pPr>
    <w:rPr>
      <w:rFonts w:ascii="宋体"/>
      <w:snapToGrid w:val="0"/>
      <w:kern w:val="0"/>
      <w:sz w:val="24"/>
    </w:rPr>
  </w:style>
  <w:style w:type="character" w:customStyle="1" w:styleId="408">
    <w:name w:val="grame"/>
    <w:basedOn w:val="133"/>
    <w:qFormat/>
    <w:uiPriority w:val="0"/>
  </w:style>
  <w:style w:type="character" w:customStyle="1" w:styleId="409">
    <w:name w:val="Char2"/>
    <w:qFormat/>
    <w:uiPriority w:val="0"/>
    <w:rPr>
      <w:rFonts w:ascii="黑体" w:eastAsia="黑体"/>
      <w:kern w:val="44"/>
      <w:sz w:val="44"/>
      <w:lang w:val="en-US" w:eastAsia="zh-CN" w:bidi="ar-SA"/>
    </w:rPr>
  </w:style>
  <w:style w:type="character" w:customStyle="1" w:styleId="410">
    <w:name w:val="文档结构图 字符"/>
    <w:link w:val="27"/>
    <w:qFormat/>
    <w:uiPriority w:val="99"/>
    <w:rPr>
      <w:kern w:val="2"/>
      <w:sz w:val="21"/>
      <w:szCs w:val="24"/>
      <w:shd w:val="clear" w:color="auto" w:fill="000080"/>
    </w:rPr>
  </w:style>
  <w:style w:type="character" w:customStyle="1" w:styleId="411">
    <w:name w:val="批注框文本 字符"/>
    <w:link w:val="55"/>
    <w:qFormat/>
    <w:uiPriority w:val="0"/>
    <w:rPr>
      <w:kern w:val="2"/>
      <w:sz w:val="18"/>
      <w:szCs w:val="18"/>
    </w:rPr>
  </w:style>
  <w:style w:type="paragraph" w:customStyle="1" w:styleId="412">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413">
    <w:name w:val="font6"/>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414">
    <w:name w:val="font7"/>
    <w:basedOn w:val="1"/>
    <w:qFormat/>
    <w:uiPriority w:val="0"/>
    <w:pPr>
      <w:widowControl/>
      <w:spacing w:before="100" w:beforeAutospacing="1" w:after="100" w:afterAutospacing="1"/>
      <w:jc w:val="left"/>
    </w:pPr>
    <w:rPr>
      <w:color w:val="000000"/>
      <w:kern w:val="0"/>
      <w:szCs w:val="21"/>
    </w:rPr>
  </w:style>
  <w:style w:type="paragraph" w:customStyle="1" w:styleId="415">
    <w:name w:val="font8"/>
    <w:basedOn w:val="1"/>
    <w:qFormat/>
    <w:uiPriority w:val="0"/>
    <w:pPr>
      <w:widowControl/>
      <w:spacing w:before="100" w:beforeAutospacing="1" w:after="100" w:afterAutospacing="1"/>
      <w:jc w:val="left"/>
    </w:pPr>
    <w:rPr>
      <w:rFonts w:ascii="宋体" w:hAnsi="宋体" w:cs="宋体"/>
      <w:color w:val="000000"/>
      <w:kern w:val="0"/>
      <w:szCs w:val="21"/>
    </w:rPr>
  </w:style>
  <w:style w:type="paragraph" w:customStyle="1" w:styleId="416">
    <w:name w:val="font9"/>
    <w:basedOn w:val="1"/>
    <w:qFormat/>
    <w:uiPriority w:val="0"/>
    <w:pPr>
      <w:widowControl/>
      <w:spacing w:before="100" w:beforeAutospacing="1" w:after="100" w:afterAutospacing="1"/>
      <w:jc w:val="left"/>
    </w:pPr>
    <w:rPr>
      <w:rFonts w:ascii="宋体" w:hAnsi="宋体" w:cs="宋体"/>
      <w:color w:val="000000"/>
      <w:kern w:val="0"/>
      <w:szCs w:val="21"/>
    </w:rPr>
  </w:style>
  <w:style w:type="paragraph" w:customStyle="1" w:styleId="417">
    <w:name w:val="font10"/>
    <w:basedOn w:val="1"/>
    <w:qFormat/>
    <w:uiPriority w:val="0"/>
    <w:pPr>
      <w:widowControl/>
      <w:spacing w:before="100" w:beforeAutospacing="1" w:after="100" w:afterAutospacing="1"/>
      <w:jc w:val="left"/>
    </w:pPr>
    <w:rPr>
      <w:rFonts w:ascii="宋体" w:hAnsi="宋体" w:cs="宋体"/>
      <w:color w:val="000000"/>
      <w:kern w:val="0"/>
      <w:szCs w:val="21"/>
    </w:rPr>
  </w:style>
  <w:style w:type="paragraph" w:customStyle="1" w:styleId="418">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Cs w:val="21"/>
    </w:rPr>
  </w:style>
  <w:style w:type="paragraph" w:customStyle="1" w:styleId="419">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Cs w:val="21"/>
    </w:rPr>
  </w:style>
  <w:style w:type="paragraph" w:customStyle="1" w:styleId="420">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Cs w:val="21"/>
    </w:rPr>
  </w:style>
  <w:style w:type="paragraph" w:customStyle="1" w:styleId="421">
    <w:name w:val="xl66"/>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kern w:val="0"/>
      <w:szCs w:val="21"/>
    </w:rPr>
  </w:style>
  <w:style w:type="paragraph" w:customStyle="1" w:styleId="422">
    <w:name w:val="xl6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Cs w:val="21"/>
    </w:rPr>
  </w:style>
  <w:style w:type="paragraph" w:customStyle="1" w:styleId="423">
    <w:name w:val="xl68"/>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黑体" w:hAnsi="宋体" w:eastAsia="黑体" w:cs="宋体"/>
      <w:kern w:val="0"/>
      <w:szCs w:val="21"/>
    </w:rPr>
  </w:style>
  <w:style w:type="paragraph" w:customStyle="1" w:styleId="424">
    <w:name w:val="xl69"/>
    <w:basedOn w:val="1"/>
    <w:qFormat/>
    <w:uiPriority w:val="0"/>
    <w:pPr>
      <w:widowControl/>
      <w:pBdr>
        <w:left w:val="single" w:color="auto" w:sz="4" w:space="0"/>
        <w:right w:val="single" w:color="auto" w:sz="4" w:space="0"/>
      </w:pBdr>
      <w:spacing w:before="100" w:beforeAutospacing="1" w:after="100" w:afterAutospacing="1"/>
      <w:jc w:val="center"/>
    </w:pPr>
    <w:rPr>
      <w:rFonts w:ascii="黑体" w:hAnsi="宋体" w:eastAsia="黑体" w:cs="宋体"/>
      <w:kern w:val="0"/>
      <w:szCs w:val="21"/>
    </w:rPr>
  </w:style>
  <w:style w:type="paragraph" w:customStyle="1" w:styleId="425">
    <w:name w:val="xl70"/>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黑体" w:hAnsi="宋体" w:eastAsia="黑体" w:cs="宋体"/>
      <w:kern w:val="0"/>
      <w:szCs w:val="21"/>
    </w:rPr>
  </w:style>
  <w:style w:type="paragraph" w:customStyle="1" w:styleId="426">
    <w:name w:val="xl71"/>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pPr>
    <w:rPr>
      <w:color w:val="000000"/>
      <w:kern w:val="0"/>
      <w:szCs w:val="21"/>
    </w:rPr>
  </w:style>
  <w:style w:type="paragraph" w:customStyle="1" w:styleId="427">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color w:val="000000"/>
      <w:kern w:val="0"/>
      <w:szCs w:val="21"/>
    </w:rPr>
  </w:style>
  <w:style w:type="paragraph" w:customStyle="1" w:styleId="428">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Cs w:val="21"/>
    </w:rPr>
  </w:style>
  <w:style w:type="paragraph" w:customStyle="1" w:styleId="429">
    <w:name w:val="xl74"/>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pPr>
    <w:rPr>
      <w:rFonts w:ascii="宋体" w:hAnsi="宋体" w:cs="宋体"/>
      <w:color w:val="000000"/>
      <w:kern w:val="0"/>
      <w:szCs w:val="21"/>
    </w:rPr>
  </w:style>
  <w:style w:type="paragraph" w:customStyle="1" w:styleId="430">
    <w:name w:val="xl75"/>
    <w:basedOn w:val="1"/>
    <w:qFormat/>
    <w:uiPriority w:val="0"/>
    <w:pPr>
      <w:widowControl/>
      <w:spacing w:before="100" w:beforeAutospacing="1" w:after="100" w:afterAutospacing="1"/>
      <w:jc w:val="center"/>
    </w:pPr>
    <w:rPr>
      <w:rFonts w:ascii="宋体" w:hAnsi="宋体" w:cs="宋体"/>
      <w:kern w:val="0"/>
      <w:szCs w:val="21"/>
    </w:rPr>
  </w:style>
  <w:style w:type="paragraph" w:customStyle="1" w:styleId="431">
    <w:name w:val="xl76"/>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Cs w:val="21"/>
    </w:rPr>
  </w:style>
  <w:style w:type="character" w:customStyle="1" w:styleId="432">
    <w:name w:val="表格 Char"/>
    <w:link w:val="161"/>
    <w:qFormat/>
    <w:uiPriority w:val="0"/>
    <w:rPr>
      <w:snapToGrid w:val="0"/>
      <w:kern w:val="21"/>
      <w:sz w:val="21"/>
      <w:szCs w:val="24"/>
    </w:rPr>
  </w:style>
  <w:style w:type="paragraph" w:customStyle="1" w:styleId="433">
    <w:name w:val="Char Char Char2"/>
    <w:basedOn w:val="1"/>
    <w:qFormat/>
    <w:uiPriority w:val="0"/>
    <w:rPr>
      <w:sz w:val="24"/>
    </w:rPr>
  </w:style>
  <w:style w:type="paragraph" w:customStyle="1" w:styleId="434">
    <w:name w:val="Char Char Char Char Char Char4"/>
    <w:basedOn w:val="1"/>
    <w:qFormat/>
    <w:uiPriority w:val="0"/>
    <w:rPr>
      <w:szCs w:val="21"/>
    </w:rPr>
  </w:style>
  <w:style w:type="paragraph" w:customStyle="1" w:styleId="435">
    <w:name w:val="Char4 Char Char Char Char Char Char Char Char Char Char Char Char Char Char Char Char Char1 Char Char Char Char Char Char1 Char Char Char Char Char Char Char Char Char Char Char Char Char Char Char Char2"/>
    <w:basedOn w:val="1"/>
    <w:qFormat/>
    <w:uiPriority w:val="0"/>
    <w:pPr>
      <w:spacing w:line="240" w:lineRule="exact"/>
      <w:ind w:firstLine="200" w:firstLineChars="200"/>
    </w:pPr>
    <w:rPr>
      <w:sz w:val="28"/>
      <w:szCs w:val="28"/>
    </w:rPr>
  </w:style>
  <w:style w:type="paragraph" w:customStyle="1" w:styleId="436">
    <w:name w:val="Char Char Char Char Char Char Char Char Char1 Char Char Char Char3"/>
    <w:basedOn w:val="1"/>
    <w:qFormat/>
    <w:uiPriority w:val="0"/>
    <w:rPr>
      <w:szCs w:val="21"/>
    </w:rPr>
  </w:style>
  <w:style w:type="paragraph" w:customStyle="1" w:styleId="437">
    <w:name w:val="Char Char Char Char2"/>
    <w:basedOn w:val="1"/>
    <w:qFormat/>
    <w:uiPriority w:val="0"/>
    <w:rPr>
      <w:szCs w:val="21"/>
    </w:rPr>
  </w:style>
  <w:style w:type="paragraph" w:customStyle="1" w:styleId="438">
    <w:name w:val="Char1"/>
    <w:basedOn w:val="1"/>
    <w:qFormat/>
    <w:uiPriority w:val="0"/>
    <w:pPr>
      <w:spacing w:beforeLines="50" w:afterLines="50" w:line="500" w:lineRule="exact"/>
    </w:pPr>
    <w:rPr>
      <w:sz w:val="28"/>
      <w:szCs w:val="28"/>
    </w:rPr>
  </w:style>
  <w:style w:type="paragraph" w:customStyle="1" w:styleId="439">
    <w:name w:val="Char Char Char1 Char5"/>
    <w:basedOn w:val="1"/>
    <w:qFormat/>
    <w:uiPriority w:val="0"/>
  </w:style>
  <w:style w:type="paragraph" w:customStyle="1" w:styleId="440">
    <w:name w:val="Char Char Char Char Char Char Char4"/>
    <w:basedOn w:val="1"/>
    <w:qFormat/>
    <w:uiPriority w:val="0"/>
  </w:style>
  <w:style w:type="paragraph" w:customStyle="1" w:styleId="441">
    <w:name w:val="Char Char Char1 Char Char Char Char2"/>
    <w:basedOn w:val="1"/>
    <w:qFormat/>
    <w:uiPriority w:val="0"/>
  </w:style>
  <w:style w:type="paragraph" w:customStyle="1" w:styleId="442">
    <w:name w:val="Char Char Char Char Char Char Char Char Char Char Char Char Char Char Char Char2"/>
    <w:basedOn w:val="1"/>
    <w:qFormat/>
    <w:uiPriority w:val="0"/>
  </w:style>
  <w:style w:type="paragraph" w:customStyle="1" w:styleId="443">
    <w:name w:val="Char Char Char Char Char Char Char Char Char Char1"/>
    <w:basedOn w:val="1"/>
    <w:qFormat/>
    <w:uiPriority w:val="0"/>
  </w:style>
  <w:style w:type="paragraph" w:customStyle="1" w:styleId="444">
    <w:name w:val="Char Char Char Char Char Char Char Char Char Char Char Char Char Char Char Char Char Char Char Char Char Char Char Char Char Char Char Char Char Char2 Char Char Char Char Char Char Char5"/>
    <w:basedOn w:val="1"/>
    <w:qFormat/>
    <w:uiPriority w:val="0"/>
    <w:rPr>
      <w:sz w:val="24"/>
    </w:rPr>
  </w:style>
  <w:style w:type="paragraph" w:customStyle="1" w:styleId="445">
    <w:name w:val="正文文本缩进12"/>
    <w:basedOn w:val="1"/>
    <w:qFormat/>
    <w:uiPriority w:val="0"/>
    <w:pPr>
      <w:adjustRightInd w:val="0"/>
      <w:spacing w:after="120" w:line="360" w:lineRule="auto"/>
      <w:ind w:left="420" w:leftChars="200" w:firstLine="200" w:firstLineChars="200"/>
      <w:textAlignment w:val="baseline"/>
    </w:pPr>
    <w:rPr>
      <w:sz w:val="24"/>
      <w:szCs w:val="20"/>
    </w:rPr>
  </w:style>
  <w:style w:type="paragraph" w:customStyle="1" w:styleId="446">
    <w:name w:val="正文缩进32"/>
    <w:basedOn w:val="1"/>
    <w:qFormat/>
    <w:uiPriority w:val="0"/>
    <w:pPr>
      <w:adjustRightInd w:val="0"/>
      <w:ind w:firstLine="420" w:firstLineChars="200"/>
      <w:textAlignment w:val="baseline"/>
    </w:pPr>
    <w:rPr>
      <w:rFonts w:hint="eastAsia" w:hAnsi="宋体"/>
      <w:sz w:val="24"/>
      <w:szCs w:val="20"/>
    </w:rPr>
  </w:style>
  <w:style w:type="paragraph" w:customStyle="1" w:styleId="447">
    <w:name w:val="正文文字 3"/>
    <w:basedOn w:val="1"/>
    <w:qFormat/>
    <w:uiPriority w:val="0"/>
    <w:pPr>
      <w:jc w:val="center"/>
    </w:pPr>
    <w:rPr>
      <w:szCs w:val="21"/>
    </w:rPr>
  </w:style>
  <w:style w:type="paragraph" w:customStyle="1" w:styleId="448">
    <w:name w:val="p0"/>
    <w:basedOn w:val="1"/>
    <w:qFormat/>
    <w:uiPriority w:val="0"/>
    <w:pPr>
      <w:widowControl/>
      <w:spacing w:before="100" w:after="100" w:line="240" w:lineRule="atLeast"/>
    </w:pPr>
    <w:rPr>
      <w:rFonts w:ascii="Calibri" w:hAnsi="Calibri" w:cs="宋体"/>
      <w:kern w:val="0"/>
      <w:szCs w:val="21"/>
    </w:rPr>
  </w:style>
  <w:style w:type="character" w:customStyle="1" w:styleId="449">
    <w:name w:val="注释标题 字符"/>
    <w:link w:val="17"/>
    <w:qFormat/>
    <w:uiPriority w:val="0"/>
    <w:rPr>
      <w:kern w:val="2"/>
      <w:sz w:val="21"/>
      <w:szCs w:val="24"/>
    </w:rPr>
  </w:style>
  <w:style w:type="character" w:customStyle="1" w:styleId="450">
    <w:name w:val="HTML 预设格式 字符"/>
    <w:link w:val="80"/>
    <w:qFormat/>
    <w:uiPriority w:val="99"/>
    <w:rPr>
      <w:rFonts w:ascii="Courier New" w:hAnsi="Courier New" w:cs="Courier New"/>
      <w:kern w:val="2"/>
    </w:rPr>
  </w:style>
  <w:style w:type="paragraph" w:customStyle="1" w:styleId="451">
    <w:name w:val="font11"/>
    <w:basedOn w:val="1"/>
    <w:qFormat/>
    <w:uiPriority w:val="0"/>
    <w:pPr>
      <w:widowControl/>
      <w:spacing w:before="100" w:beforeAutospacing="1" w:after="100" w:afterAutospacing="1"/>
      <w:jc w:val="left"/>
    </w:pPr>
    <w:rPr>
      <w:rFonts w:ascii="仿宋_GB2312" w:hAnsi="宋体" w:eastAsia="仿宋_GB2312" w:cs="宋体"/>
      <w:color w:val="000000"/>
      <w:kern w:val="0"/>
      <w:szCs w:val="21"/>
    </w:rPr>
  </w:style>
  <w:style w:type="paragraph" w:customStyle="1" w:styleId="452">
    <w:name w:val="font12"/>
    <w:basedOn w:val="1"/>
    <w:qFormat/>
    <w:uiPriority w:val="0"/>
    <w:pPr>
      <w:widowControl/>
      <w:spacing w:before="100" w:beforeAutospacing="1" w:after="100" w:afterAutospacing="1"/>
      <w:jc w:val="left"/>
    </w:pPr>
    <w:rPr>
      <w:color w:val="000000"/>
      <w:kern w:val="0"/>
      <w:szCs w:val="21"/>
    </w:rPr>
  </w:style>
  <w:style w:type="paragraph" w:customStyle="1" w:styleId="453">
    <w:name w:val="xl7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b/>
      <w:bCs/>
      <w:color w:val="000000"/>
      <w:kern w:val="0"/>
      <w:szCs w:val="21"/>
    </w:rPr>
  </w:style>
  <w:style w:type="paragraph" w:customStyle="1" w:styleId="454">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color w:val="000000"/>
      <w:kern w:val="0"/>
      <w:szCs w:val="21"/>
    </w:rPr>
  </w:style>
  <w:style w:type="paragraph" w:customStyle="1" w:styleId="455">
    <w:name w:val="xl79"/>
    <w:basedOn w:val="1"/>
    <w:qFormat/>
    <w:uiPriority w:val="0"/>
    <w:pPr>
      <w:widowControl/>
      <w:spacing w:before="100" w:beforeAutospacing="1" w:after="100" w:afterAutospacing="1"/>
      <w:jc w:val="left"/>
    </w:pPr>
    <w:rPr>
      <w:kern w:val="0"/>
      <w:szCs w:val="21"/>
    </w:rPr>
  </w:style>
  <w:style w:type="paragraph" w:customStyle="1" w:styleId="456">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color w:val="000000"/>
      <w:kern w:val="0"/>
      <w:szCs w:val="21"/>
    </w:rPr>
  </w:style>
  <w:style w:type="paragraph" w:customStyle="1" w:styleId="457">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color w:val="000000"/>
      <w:kern w:val="0"/>
      <w:sz w:val="24"/>
    </w:rPr>
  </w:style>
  <w:style w:type="paragraph" w:customStyle="1" w:styleId="458">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color w:val="000000"/>
      <w:kern w:val="0"/>
      <w:sz w:val="24"/>
    </w:rPr>
  </w:style>
  <w:style w:type="paragraph" w:customStyle="1" w:styleId="459">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color w:val="000000"/>
      <w:kern w:val="0"/>
      <w:sz w:val="24"/>
    </w:rPr>
  </w:style>
  <w:style w:type="paragraph" w:customStyle="1" w:styleId="460">
    <w:name w:val="xl9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cs="宋体"/>
      <w:b/>
      <w:bCs/>
      <w:color w:val="000000"/>
      <w:kern w:val="0"/>
      <w:szCs w:val="21"/>
    </w:rPr>
  </w:style>
  <w:style w:type="paragraph" w:customStyle="1" w:styleId="461">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cs="宋体"/>
      <w:b/>
      <w:bCs/>
      <w:color w:val="000000"/>
      <w:kern w:val="0"/>
      <w:szCs w:val="21"/>
    </w:rPr>
  </w:style>
  <w:style w:type="paragraph" w:customStyle="1" w:styleId="462">
    <w:name w:val="xl9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color w:val="000000"/>
      <w:kern w:val="0"/>
      <w:szCs w:val="21"/>
    </w:rPr>
  </w:style>
  <w:style w:type="paragraph" w:customStyle="1" w:styleId="463">
    <w:name w:val="xl9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仿宋_GB2312" w:hAnsi="宋体" w:eastAsia="仿宋_GB2312" w:cs="宋体"/>
      <w:color w:val="000000"/>
      <w:kern w:val="0"/>
      <w:szCs w:val="21"/>
    </w:rPr>
  </w:style>
  <w:style w:type="paragraph" w:customStyle="1" w:styleId="464">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cs="宋体"/>
      <w:color w:val="000000"/>
      <w:kern w:val="0"/>
      <w:szCs w:val="21"/>
    </w:rPr>
  </w:style>
  <w:style w:type="paragraph" w:customStyle="1" w:styleId="465">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cs="宋体"/>
      <w:color w:val="000000"/>
      <w:kern w:val="0"/>
      <w:szCs w:val="21"/>
    </w:rPr>
  </w:style>
  <w:style w:type="paragraph" w:customStyle="1" w:styleId="466">
    <w:name w:val="xl10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仿宋_GB2312" w:hAnsi="宋体" w:eastAsia="仿宋_GB2312" w:cs="宋体"/>
      <w:color w:val="000000"/>
      <w:kern w:val="0"/>
      <w:szCs w:val="21"/>
    </w:rPr>
  </w:style>
  <w:style w:type="paragraph" w:customStyle="1" w:styleId="467">
    <w:name w:val="xl1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color w:val="000000"/>
      <w:kern w:val="0"/>
      <w:sz w:val="24"/>
    </w:rPr>
  </w:style>
  <w:style w:type="paragraph" w:customStyle="1" w:styleId="468">
    <w:name w:val="xl1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color w:val="000000"/>
      <w:kern w:val="0"/>
      <w:sz w:val="20"/>
      <w:szCs w:val="20"/>
    </w:rPr>
  </w:style>
  <w:style w:type="paragraph" w:customStyle="1" w:styleId="469">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470">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仿宋_GB2312" w:hAnsi="宋体" w:eastAsia="仿宋_GB2312" w:cs="宋体"/>
      <w:color w:val="000000"/>
      <w:kern w:val="0"/>
      <w:szCs w:val="21"/>
    </w:rPr>
  </w:style>
  <w:style w:type="paragraph" w:customStyle="1" w:styleId="471">
    <w:name w:val="xl1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Calibri" w:hAnsi="Calibri" w:cs="宋体"/>
      <w:kern w:val="0"/>
      <w:szCs w:val="21"/>
    </w:rPr>
  </w:style>
  <w:style w:type="paragraph" w:customStyle="1" w:styleId="472">
    <w:name w:val="xl10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cs="宋体"/>
      <w:color w:val="000000"/>
      <w:kern w:val="0"/>
      <w:sz w:val="24"/>
    </w:rPr>
  </w:style>
  <w:style w:type="character" w:customStyle="1" w:styleId="473">
    <w:name w:val="标题 3 Char"/>
    <w:qFormat/>
    <w:uiPriority w:val="9"/>
    <w:rPr>
      <w:rFonts w:eastAsia="仿宋_GB2312"/>
      <w:kern w:val="44"/>
      <w:sz w:val="28"/>
      <w:szCs w:val="32"/>
      <w:lang w:val="en-US" w:eastAsia="zh-CN" w:bidi="ar-SA"/>
    </w:rPr>
  </w:style>
  <w:style w:type="table" w:customStyle="1" w:styleId="474">
    <w:name w:val="maoli"/>
    <w:basedOn w:val="88"/>
    <w:qFormat/>
    <w:uiPriority w:val="0"/>
    <w:rPr>
      <w:rFonts w:eastAsia="仿宋_GB2312"/>
      <w:sz w:val="21"/>
    </w:rPr>
    <w:tblPr>
      <w:tblBorders>
        <w:top w:val="single" w:color="auto" w:sz="12" w:space="0"/>
        <w:bottom w:val="single" w:color="auto" w:sz="12" w:space="0"/>
        <w:insideH w:val="single" w:color="auto" w:sz="4" w:space="0"/>
        <w:insideV w:val="single" w:color="auto" w:sz="4" w:space="0"/>
      </w:tblBorders>
    </w:tblPr>
    <w:tcPr>
      <w:vAlign w:val="center"/>
    </w:tcPr>
  </w:style>
  <w:style w:type="paragraph" w:customStyle="1" w:styleId="475">
    <w:name w:val="font13"/>
    <w:basedOn w:val="1"/>
    <w:qFormat/>
    <w:uiPriority w:val="0"/>
    <w:pPr>
      <w:widowControl/>
      <w:spacing w:before="100" w:beforeAutospacing="1" w:after="100" w:afterAutospacing="1"/>
      <w:jc w:val="left"/>
    </w:pPr>
    <w:rPr>
      <w:rFonts w:ascii="仿宋_GB2312" w:hAnsi="宋体" w:eastAsia="仿宋_GB2312" w:cs="宋体"/>
      <w:b/>
      <w:bCs/>
      <w:color w:val="000000"/>
      <w:kern w:val="0"/>
      <w:szCs w:val="21"/>
    </w:rPr>
  </w:style>
  <w:style w:type="paragraph" w:customStyle="1" w:styleId="476">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cs="宋体"/>
      <w:kern w:val="0"/>
      <w:sz w:val="24"/>
    </w:rPr>
  </w:style>
  <w:style w:type="paragraph" w:customStyle="1" w:styleId="477">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cs="宋体"/>
      <w:kern w:val="0"/>
      <w:szCs w:val="21"/>
    </w:rPr>
  </w:style>
  <w:style w:type="paragraph" w:customStyle="1" w:styleId="478">
    <w:name w:val="xl82"/>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pPr>
    <w:rPr>
      <w:rFonts w:ascii="仿宋_GB2312" w:hAnsi="宋体" w:eastAsia="仿宋_GB2312" w:cs="宋体"/>
      <w:color w:val="000000"/>
      <w:kern w:val="0"/>
      <w:szCs w:val="21"/>
    </w:rPr>
  </w:style>
  <w:style w:type="paragraph" w:customStyle="1" w:styleId="479">
    <w:name w:val="xl83"/>
    <w:basedOn w:val="1"/>
    <w:qFormat/>
    <w:uiPriority w:val="0"/>
    <w:pPr>
      <w:widowControl/>
      <w:pBdr>
        <w:top w:val="single" w:color="auto" w:sz="4" w:space="0"/>
        <w:left w:val="single" w:color="auto" w:sz="4" w:space="0"/>
        <w:right w:val="single" w:color="auto" w:sz="4" w:space="0"/>
      </w:pBdr>
      <w:shd w:val="clear" w:color="000000" w:fill="FFFF00"/>
      <w:spacing w:before="100" w:beforeAutospacing="1" w:after="100" w:afterAutospacing="1"/>
      <w:jc w:val="center"/>
    </w:pPr>
    <w:rPr>
      <w:rFonts w:ascii="仿宋_GB2312" w:hAnsi="宋体" w:eastAsia="仿宋_GB2312" w:cs="宋体"/>
      <w:color w:val="000000"/>
      <w:kern w:val="0"/>
      <w:szCs w:val="21"/>
    </w:rPr>
  </w:style>
  <w:style w:type="paragraph" w:customStyle="1" w:styleId="480">
    <w:name w:val="xl84"/>
    <w:basedOn w:val="1"/>
    <w:qFormat/>
    <w:uiPriority w:val="0"/>
    <w:pPr>
      <w:widowControl/>
      <w:pBdr>
        <w:top w:val="single" w:color="auto" w:sz="4" w:space="0"/>
        <w:left w:val="single" w:color="auto" w:sz="4" w:space="0"/>
        <w:right w:val="single" w:color="auto" w:sz="4" w:space="0"/>
      </w:pBdr>
      <w:shd w:val="clear" w:color="000000" w:fill="FFFF00"/>
      <w:spacing w:before="100" w:beforeAutospacing="1" w:after="100" w:afterAutospacing="1"/>
      <w:jc w:val="center"/>
    </w:pPr>
    <w:rPr>
      <w:rFonts w:ascii="仿宋_GB2312" w:hAnsi="宋体" w:eastAsia="仿宋_GB2312" w:cs="宋体"/>
      <w:color w:val="000000"/>
      <w:kern w:val="0"/>
      <w:szCs w:val="21"/>
    </w:rPr>
  </w:style>
  <w:style w:type="paragraph" w:customStyle="1" w:styleId="481">
    <w:name w:val="xl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482">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4"/>
    </w:rPr>
  </w:style>
  <w:style w:type="paragraph" w:customStyle="1" w:styleId="483">
    <w:name w:val="xl8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cs="宋体"/>
      <w:b/>
      <w:bCs/>
      <w:kern w:val="0"/>
      <w:szCs w:val="21"/>
    </w:rPr>
  </w:style>
  <w:style w:type="paragraph" w:customStyle="1" w:styleId="484">
    <w:name w:val="xl8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kern w:val="0"/>
      <w:szCs w:val="21"/>
    </w:rPr>
  </w:style>
  <w:style w:type="paragraph" w:customStyle="1" w:styleId="485">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color w:val="000000"/>
      <w:kern w:val="0"/>
      <w:szCs w:val="21"/>
    </w:rPr>
  </w:style>
  <w:style w:type="paragraph" w:customStyle="1" w:styleId="486">
    <w:name w:val="xl90"/>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cs="宋体"/>
      <w:color w:val="000000"/>
      <w:kern w:val="0"/>
      <w:szCs w:val="21"/>
    </w:rPr>
  </w:style>
  <w:style w:type="paragraph" w:customStyle="1" w:styleId="487">
    <w:name w:val="低行距图表文字"/>
    <w:basedOn w:val="163"/>
    <w:qFormat/>
    <w:uiPriority w:val="0"/>
    <w:pPr>
      <w:widowControl/>
      <w:spacing w:line="240" w:lineRule="exact"/>
    </w:pPr>
    <w:rPr>
      <w:rFonts w:hAnsi="仿宋_GB2312" w:cs="宋体"/>
      <w:kern w:val="0"/>
    </w:rPr>
  </w:style>
  <w:style w:type="paragraph" w:customStyle="1" w:styleId="488">
    <w:name w:val="reader-word-layer"/>
    <w:basedOn w:val="1"/>
    <w:qFormat/>
    <w:uiPriority w:val="0"/>
    <w:pPr>
      <w:widowControl/>
      <w:spacing w:before="100" w:beforeAutospacing="1" w:after="100" w:afterAutospacing="1"/>
      <w:jc w:val="left"/>
    </w:pPr>
    <w:rPr>
      <w:rFonts w:ascii="宋体" w:hAnsi="宋体" w:cs="宋体"/>
      <w:kern w:val="0"/>
      <w:sz w:val="24"/>
    </w:rPr>
  </w:style>
  <w:style w:type="paragraph" w:customStyle="1" w:styleId="489">
    <w:name w:val="列出段落1"/>
    <w:basedOn w:val="1"/>
    <w:qFormat/>
    <w:uiPriority w:val="0"/>
    <w:pPr>
      <w:ind w:firstLine="420" w:firstLineChars="200"/>
    </w:pPr>
    <w:rPr>
      <w:rFonts w:ascii="Calibri" w:hAnsi="Calibri"/>
      <w:szCs w:val="22"/>
    </w:rPr>
  </w:style>
  <w:style w:type="character" w:customStyle="1" w:styleId="490">
    <w:name w:val="页眉zxl Char"/>
    <w:qFormat/>
    <w:uiPriority w:val="0"/>
    <w:rPr>
      <w:rFonts w:eastAsia="宋体"/>
      <w:kern w:val="2"/>
      <w:sz w:val="18"/>
      <w:szCs w:val="18"/>
      <w:lang w:val="en-US" w:eastAsia="zh-CN" w:bidi="ar-SA"/>
    </w:rPr>
  </w:style>
  <w:style w:type="paragraph" w:customStyle="1" w:styleId="491">
    <w:name w:val="表－居中列"/>
    <w:basedOn w:val="1"/>
    <w:link w:val="495"/>
    <w:qFormat/>
    <w:uiPriority w:val="0"/>
    <w:pPr>
      <w:suppressLineNumbers/>
      <w:suppressAutoHyphens/>
      <w:snapToGrid w:val="0"/>
      <w:spacing w:before="60" w:after="60"/>
      <w:jc w:val="left"/>
    </w:pPr>
    <w:rPr>
      <w:kern w:val="0"/>
      <w:szCs w:val="21"/>
      <w:lang w:eastAsia="ja-JP"/>
    </w:rPr>
  </w:style>
  <w:style w:type="paragraph" w:customStyle="1" w:styleId="492">
    <w:name w:val="Body Text Ind"/>
    <w:basedOn w:val="1"/>
    <w:qFormat/>
    <w:uiPriority w:val="0"/>
    <w:pPr>
      <w:adjustRightInd w:val="0"/>
      <w:spacing w:line="300" w:lineRule="auto"/>
      <w:ind w:firstLine="540"/>
      <w:jc w:val="left"/>
      <w:textAlignment w:val="baseline"/>
    </w:pPr>
    <w:rPr>
      <w:snapToGrid w:val="0"/>
      <w:kern w:val="28"/>
      <w:sz w:val="28"/>
      <w:szCs w:val="28"/>
    </w:rPr>
  </w:style>
  <w:style w:type="paragraph" w:customStyle="1" w:styleId="493">
    <w:name w:val="样式 标题 3标题 3zymH3条标题1.1.1 + 楷体_GB2312 段前: 6 磅 段后: 6 磅 行距: 固..."/>
    <w:basedOn w:val="6"/>
    <w:qFormat/>
    <w:uiPriority w:val="0"/>
    <w:pPr>
      <w:tabs>
        <w:tab w:val="left" w:pos="720"/>
      </w:tabs>
      <w:spacing w:before="120" w:after="120" w:line="240" w:lineRule="auto"/>
      <w:ind w:left="720" w:hanging="720"/>
    </w:pPr>
    <w:rPr>
      <w:rFonts w:ascii="仿宋_GB2312" w:hAnsi="宋体" w:eastAsia="仿宋_GB2312" w:cs="宋体"/>
      <w:kern w:val="0"/>
      <w:sz w:val="28"/>
      <w:szCs w:val="20"/>
    </w:rPr>
  </w:style>
  <w:style w:type="paragraph" w:customStyle="1" w:styleId="494">
    <w:name w:val="Char111"/>
    <w:basedOn w:val="1"/>
    <w:qFormat/>
    <w:uiPriority w:val="0"/>
    <w:pPr>
      <w:snapToGrid w:val="0"/>
      <w:spacing w:line="360" w:lineRule="auto"/>
      <w:ind w:firstLine="200" w:firstLineChars="200"/>
    </w:pPr>
    <w:rPr>
      <w:rFonts w:eastAsia="仿宋_GB2312"/>
      <w:sz w:val="24"/>
    </w:rPr>
  </w:style>
  <w:style w:type="character" w:customStyle="1" w:styleId="495">
    <w:name w:val="表－居中列 Char"/>
    <w:link w:val="491"/>
    <w:qFormat/>
    <w:uiPriority w:val="0"/>
    <w:rPr>
      <w:rFonts w:cs="Arial"/>
      <w:sz w:val="21"/>
      <w:szCs w:val="21"/>
      <w:lang w:eastAsia="ja-JP"/>
    </w:rPr>
  </w:style>
  <w:style w:type="paragraph" w:customStyle="1" w:styleId="496">
    <w:name w:val="样式 (西文) Arial (中文) 仿宋_GB2312 四号 黑色 首行缩进:  0.85 厘米 行距: 多倍行距 ..."/>
    <w:basedOn w:val="1"/>
    <w:qFormat/>
    <w:uiPriority w:val="0"/>
    <w:pPr>
      <w:widowControl/>
      <w:spacing w:line="480" w:lineRule="auto"/>
      <w:ind w:firstLine="480"/>
      <w:jc w:val="left"/>
    </w:pPr>
    <w:rPr>
      <w:rFonts w:ascii="Arial" w:hAnsi="Arial" w:eastAsia="仿宋_GB2312" w:cs="宋体"/>
      <w:color w:val="000000"/>
      <w:kern w:val="0"/>
      <w:sz w:val="28"/>
      <w:szCs w:val="20"/>
    </w:rPr>
  </w:style>
  <w:style w:type="paragraph" w:customStyle="1" w:styleId="497">
    <w:name w:val="谏壁标题4(chen)"/>
    <w:basedOn w:val="1"/>
    <w:qFormat/>
    <w:uiPriority w:val="0"/>
    <w:pPr>
      <w:widowControl/>
      <w:snapToGrid w:val="0"/>
      <w:spacing w:beforeLines="50" w:line="360" w:lineRule="auto"/>
      <w:ind w:firstLine="200" w:firstLineChars="200"/>
      <w:jc w:val="left"/>
    </w:pPr>
    <w:rPr>
      <w:rFonts w:ascii="宋体" w:hAnsi="宋体" w:eastAsia="楷体_GB2312" w:cs="宋体"/>
      <w:kern w:val="0"/>
      <w:sz w:val="28"/>
    </w:rPr>
  </w:style>
  <w:style w:type="paragraph" w:customStyle="1" w:styleId="498">
    <w:name w:val="正文文本2"/>
    <w:qFormat/>
    <w:uiPriority w:val="0"/>
    <w:pPr>
      <w:tabs>
        <w:tab w:val="left" w:pos="425"/>
        <w:tab w:val="left" w:pos="850"/>
      </w:tabs>
      <w:spacing w:after="283" w:line="260" w:lineRule="atLeast"/>
      <w:jc w:val="both"/>
    </w:pPr>
    <w:rPr>
      <w:rFonts w:ascii="StempelGaramond Roman" w:hAnsi="StempelGaramond Roman" w:eastAsia="宋体" w:cs="Times New Roman"/>
      <w:snapToGrid w:val="0"/>
      <w:color w:val="000000"/>
      <w:sz w:val="22"/>
      <w:lang w:val="en-GB" w:eastAsia="zh-CN" w:bidi="ar-SA"/>
    </w:rPr>
  </w:style>
  <w:style w:type="paragraph" w:customStyle="1" w:styleId="499">
    <w:name w:val="样式 题注 + 楷体_GB2312"/>
    <w:basedOn w:val="23"/>
    <w:next w:val="163"/>
    <w:link w:val="500"/>
    <w:qFormat/>
    <w:uiPriority w:val="0"/>
    <w:pPr>
      <w:keepNext/>
      <w:widowControl/>
      <w:tabs>
        <w:tab w:val="clear" w:pos="7380"/>
      </w:tabs>
      <w:overflowPunct/>
      <w:spacing w:before="0" w:afterLines="0" w:line="580" w:lineRule="exact"/>
      <w:jc w:val="center"/>
    </w:pPr>
    <w:rPr>
      <w:rFonts w:ascii="楷体_GB2312" w:hAnsi="楷体_GB2312" w:eastAsia="楷体_GB2312" w:cs="Times New Roman"/>
      <w:b/>
      <w:bCs/>
      <w:kern w:val="0"/>
      <w:sz w:val="21"/>
      <w:szCs w:val="21"/>
    </w:rPr>
  </w:style>
  <w:style w:type="character" w:customStyle="1" w:styleId="500">
    <w:name w:val="样式 题注 + 楷体_GB2312 Char"/>
    <w:link w:val="499"/>
    <w:qFormat/>
    <w:uiPriority w:val="0"/>
    <w:rPr>
      <w:rFonts w:ascii="楷体_GB2312" w:hAnsi="楷体_GB2312" w:eastAsia="楷体_GB2312"/>
      <w:b/>
      <w:bCs/>
      <w:sz w:val="21"/>
      <w:szCs w:val="21"/>
    </w:rPr>
  </w:style>
  <w:style w:type="paragraph" w:customStyle="1" w:styleId="501">
    <w:name w:val="样式 题注 + 左"/>
    <w:basedOn w:val="23"/>
    <w:qFormat/>
    <w:uiPriority w:val="0"/>
    <w:pPr>
      <w:keepNext/>
      <w:widowControl/>
      <w:tabs>
        <w:tab w:val="clear" w:pos="7380"/>
      </w:tabs>
      <w:overflowPunct/>
      <w:spacing w:before="0" w:afterLines="0" w:line="580" w:lineRule="exact"/>
      <w:jc w:val="center"/>
    </w:pPr>
    <w:rPr>
      <w:rFonts w:ascii="仿宋_GB2312" w:hAnsi="Times New Roman" w:eastAsia="仿宋_GB2312" w:cs="宋体"/>
      <w:b/>
      <w:bCs/>
      <w:kern w:val="0"/>
      <w:sz w:val="21"/>
    </w:rPr>
  </w:style>
  <w:style w:type="paragraph" w:customStyle="1" w:styleId="502">
    <w:name w:val="样式 表格文字 + 行距: 固定值 16 磅"/>
    <w:basedOn w:val="158"/>
    <w:qFormat/>
    <w:uiPriority w:val="0"/>
    <w:pPr>
      <w:tabs>
        <w:tab w:val="clear" w:pos="4153"/>
        <w:tab w:val="clear" w:pos="8306"/>
      </w:tabs>
      <w:adjustRightInd/>
      <w:snapToGrid/>
      <w:spacing w:line="320" w:lineRule="exact"/>
    </w:pPr>
    <w:rPr>
      <w:rFonts w:ascii="楷体_GB2312" w:eastAsia="楷体_GB2312" w:cs="宋体"/>
      <w:szCs w:val="20"/>
    </w:rPr>
  </w:style>
  <w:style w:type="paragraph" w:customStyle="1" w:styleId="503">
    <w:name w:val="样式 正文文本缩进 2 + 左侧:  0 厘米 行距: 1.5 倍行距"/>
    <w:basedOn w:val="52"/>
    <w:qFormat/>
    <w:uiPriority w:val="0"/>
    <w:pPr>
      <w:widowControl/>
      <w:jc w:val="left"/>
    </w:pPr>
    <w:rPr>
      <w:rFonts w:ascii="楷体_GB2312" w:hAnsi="宋体" w:eastAsia="楷体_GB2312" w:cs="宋体"/>
      <w:kern w:val="0"/>
      <w:szCs w:val="28"/>
    </w:rPr>
  </w:style>
  <w:style w:type="paragraph" w:customStyle="1" w:styleId="504">
    <w:name w:val="样式 四号 行距: 固定值 25 磅"/>
    <w:basedOn w:val="1"/>
    <w:qFormat/>
    <w:uiPriority w:val="0"/>
    <w:pPr>
      <w:widowControl/>
      <w:spacing w:line="500" w:lineRule="exact"/>
      <w:ind w:firstLine="200" w:firstLineChars="200"/>
      <w:jc w:val="left"/>
    </w:pPr>
    <w:rPr>
      <w:rFonts w:ascii="宋体" w:hAnsi="宋体" w:eastAsia="楷体_GB2312" w:cs="宋体"/>
      <w:kern w:val="0"/>
      <w:sz w:val="28"/>
      <w:szCs w:val="20"/>
    </w:rPr>
  </w:style>
  <w:style w:type="character" w:customStyle="1" w:styleId="505">
    <w:name w:val="part"/>
    <w:basedOn w:val="133"/>
    <w:qFormat/>
    <w:uiPriority w:val="0"/>
  </w:style>
  <w:style w:type="paragraph" w:customStyle="1" w:styleId="506">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507">
    <w:name w:val="样式 样式 左侧:  2 字符 + 首行缩进:  2 字符"/>
    <w:basedOn w:val="1"/>
    <w:qFormat/>
    <w:uiPriority w:val="0"/>
    <w:pPr>
      <w:widowControl/>
      <w:spacing w:line="360" w:lineRule="auto"/>
      <w:ind w:firstLine="480" w:firstLineChars="200"/>
      <w:jc w:val="left"/>
    </w:pPr>
    <w:rPr>
      <w:rFonts w:ascii="宋体" w:hAnsi="宋体" w:cs="宋体"/>
      <w:kern w:val="0"/>
      <w:sz w:val="24"/>
      <w:szCs w:val="20"/>
    </w:rPr>
  </w:style>
  <w:style w:type="character" w:customStyle="1" w:styleId="508">
    <w:name w:val="title-blue"/>
    <w:basedOn w:val="133"/>
    <w:qFormat/>
    <w:uiPriority w:val="0"/>
  </w:style>
  <w:style w:type="character" w:customStyle="1" w:styleId="509">
    <w:name w:val="style1"/>
    <w:basedOn w:val="133"/>
    <w:qFormat/>
    <w:uiPriority w:val="0"/>
  </w:style>
  <w:style w:type="character" w:customStyle="1" w:styleId="510">
    <w:name w:val="font9black"/>
    <w:basedOn w:val="133"/>
    <w:qFormat/>
    <w:uiPriority w:val="0"/>
  </w:style>
  <w:style w:type="character" w:customStyle="1" w:styleId="511">
    <w:name w:val="style11"/>
    <w:qFormat/>
    <w:uiPriority w:val="0"/>
    <w:rPr>
      <w:b/>
      <w:bCs/>
      <w:sz w:val="24"/>
      <w:szCs w:val="24"/>
    </w:rPr>
  </w:style>
  <w:style w:type="paragraph" w:customStyle="1" w:styleId="512">
    <w:name w:val="表格内文字"/>
    <w:basedOn w:val="1"/>
    <w:link w:val="1367"/>
    <w:qFormat/>
    <w:uiPriority w:val="0"/>
    <w:pPr>
      <w:spacing w:before="100" w:after="100" w:line="320" w:lineRule="exact"/>
      <w:jc w:val="center"/>
    </w:pPr>
    <w:rPr>
      <w:spacing w:val="10"/>
      <w:sz w:val="24"/>
      <w:szCs w:val="20"/>
    </w:rPr>
  </w:style>
  <w:style w:type="paragraph" w:customStyle="1" w:styleId="513">
    <w:name w:val="xl22"/>
    <w:basedOn w:val="1"/>
    <w:qFormat/>
    <w:uiPriority w:val="0"/>
    <w:pPr>
      <w:widowControl/>
      <w:pBdr>
        <w:bottom w:val="single" w:color="auto" w:sz="4" w:space="0"/>
        <w:right w:val="single" w:color="auto" w:sz="4" w:space="0"/>
      </w:pBdr>
      <w:spacing w:before="100" w:after="100"/>
      <w:jc w:val="center"/>
    </w:pPr>
    <w:rPr>
      <w:rFonts w:ascii="宋体" w:hAnsi="宋体"/>
      <w:kern w:val="0"/>
      <w:szCs w:val="20"/>
    </w:rPr>
  </w:style>
  <w:style w:type="paragraph" w:customStyle="1" w:styleId="514">
    <w:name w:val="xl27"/>
    <w:basedOn w:val="1"/>
    <w:qFormat/>
    <w:uiPriority w:val="99"/>
    <w:pPr>
      <w:widowControl/>
      <w:pBdr>
        <w:bottom w:val="single" w:color="auto" w:sz="12" w:space="0"/>
      </w:pBdr>
      <w:spacing w:before="100" w:after="100"/>
      <w:jc w:val="center"/>
    </w:pPr>
    <w:rPr>
      <w:rFonts w:ascii="宋体" w:hAnsi="宋体"/>
      <w:kern w:val="0"/>
      <w:szCs w:val="20"/>
    </w:rPr>
  </w:style>
  <w:style w:type="paragraph" w:customStyle="1" w:styleId="515">
    <w:name w:val="btx4"/>
    <w:basedOn w:val="1"/>
    <w:qFormat/>
    <w:uiPriority w:val="0"/>
    <w:pPr>
      <w:widowControl/>
      <w:spacing w:before="100" w:beforeAutospacing="1" w:after="100" w:afterAutospacing="1" w:line="320" w:lineRule="atLeast"/>
      <w:jc w:val="left"/>
    </w:pPr>
    <w:rPr>
      <w:rFonts w:ascii="黑体" w:hAnsi="宋体" w:eastAsia="黑体" w:cs="宋体"/>
      <w:kern w:val="0"/>
      <w:sz w:val="24"/>
    </w:rPr>
  </w:style>
  <w:style w:type="paragraph" w:customStyle="1" w:styleId="516">
    <w:name w:val="a01"/>
    <w:basedOn w:val="1"/>
    <w:qFormat/>
    <w:uiPriority w:val="0"/>
    <w:pPr>
      <w:widowControl/>
      <w:spacing w:before="100" w:beforeAutospacing="1" w:after="100" w:afterAutospacing="1"/>
      <w:jc w:val="left"/>
    </w:pPr>
    <w:rPr>
      <w:rFonts w:ascii="宋体" w:hAnsi="宋体" w:cs="宋体"/>
      <w:kern w:val="0"/>
      <w:sz w:val="24"/>
    </w:rPr>
  </w:style>
  <w:style w:type="paragraph" w:customStyle="1" w:styleId="517">
    <w:name w:val="xl3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eastAsia="Arial Unicode MS"/>
      <w:kern w:val="0"/>
      <w:sz w:val="24"/>
      <w:szCs w:val="20"/>
    </w:rPr>
  </w:style>
  <w:style w:type="paragraph" w:customStyle="1" w:styleId="518">
    <w:name w:val="xl40"/>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ascii="楷体_GB2312" w:hAnsi="Arial Unicode MS" w:eastAsia="楷体_GB2312"/>
      <w:kern w:val="0"/>
      <w:sz w:val="20"/>
      <w:szCs w:val="20"/>
    </w:rPr>
  </w:style>
  <w:style w:type="paragraph" w:customStyle="1" w:styleId="519">
    <w:name w:val="xl32"/>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楷体_GB2312" w:hAnsi="Arial Unicode MS" w:eastAsia="楷体_GB2312"/>
      <w:kern w:val="0"/>
      <w:sz w:val="24"/>
      <w:szCs w:val="20"/>
    </w:rPr>
  </w:style>
  <w:style w:type="paragraph" w:customStyle="1" w:styleId="520">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楷体_GB2312" w:hAnsi="Arial Unicode MS" w:eastAsia="楷体_GB2312"/>
      <w:kern w:val="0"/>
      <w:sz w:val="24"/>
      <w:szCs w:val="20"/>
    </w:rPr>
  </w:style>
  <w:style w:type="paragraph" w:customStyle="1" w:styleId="521">
    <w:name w:val="xl31"/>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楷体_GB2312" w:hAnsi="Arial Unicode MS" w:eastAsia="楷体_GB2312"/>
      <w:kern w:val="0"/>
      <w:sz w:val="24"/>
      <w:szCs w:val="20"/>
    </w:rPr>
  </w:style>
  <w:style w:type="paragraph" w:customStyle="1" w:styleId="522">
    <w:name w:val="xl42"/>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pPr>
    <w:rPr>
      <w:rFonts w:eastAsia="Arial Unicode MS"/>
      <w:kern w:val="0"/>
      <w:sz w:val="20"/>
      <w:szCs w:val="20"/>
    </w:rPr>
  </w:style>
  <w:style w:type="paragraph" w:customStyle="1" w:styleId="523">
    <w:name w:val="xl44"/>
    <w:basedOn w:val="1"/>
    <w:qFormat/>
    <w:uiPriority w:val="0"/>
    <w:pPr>
      <w:widowControl/>
      <w:pBdr>
        <w:top w:val="single" w:color="auto" w:sz="4" w:space="0"/>
        <w:left w:val="single" w:color="auto" w:sz="4" w:space="0"/>
        <w:bottom w:val="single" w:color="auto" w:sz="8" w:space="0"/>
        <w:right w:val="single" w:color="auto" w:sz="8" w:space="0"/>
      </w:pBdr>
      <w:spacing w:before="100" w:beforeAutospacing="1" w:after="100" w:afterAutospacing="1"/>
      <w:jc w:val="center"/>
    </w:pPr>
    <w:rPr>
      <w:rFonts w:eastAsia="Arial Unicode MS"/>
      <w:kern w:val="0"/>
      <w:sz w:val="20"/>
      <w:szCs w:val="20"/>
    </w:rPr>
  </w:style>
  <w:style w:type="paragraph" w:customStyle="1" w:styleId="524">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楷体_GB2312" w:hAnsi="Arial Unicode MS" w:eastAsia="楷体_GB2312"/>
      <w:kern w:val="0"/>
      <w:sz w:val="20"/>
      <w:szCs w:val="20"/>
    </w:rPr>
  </w:style>
  <w:style w:type="paragraph" w:customStyle="1" w:styleId="525">
    <w:name w:val="xl41"/>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pPr>
    <w:rPr>
      <w:rFonts w:eastAsia="Arial Unicode MS"/>
      <w:kern w:val="0"/>
      <w:sz w:val="20"/>
      <w:szCs w:val="20"/>
    </w:rPr>
  </w:style>
  <w:style w:type="paragraph" w:customStyle="1" w:styleId="526">
    <w:name w:val="xl38"/>
    <w:basedOn w:val="1"/>
    <w:qFormat/>
    <w:uiPriority w:val="0"/>
    <w:pPr>
      <w:widowControl/>
      <w:pBdr>
        <w:top w:val="single" w:color="auto" w:sz="4" w:space="0"/>
        <w:left w:val="single" w:color="auto" w:sz="8" w:space="0"/>
        <w:bottom w:val="single" w:color="auto" w:sz="8" w:space="0"/>
        <w:right w:val="single" w:color="auto" w:sz="4" w:space="0"/>
      </w:pBdr>
      <w:spacing w:before="100" w:beforeAutospacing="1" w:after="100" w:afterAutospacing="1"/>
      <w:jc w:val="center"/>
    </w:pPr>
    <w:rPr>
      <w:rFonts w:ascii="楷体_GB2312" w:hAnsi="Arial Unicode MS" w:eastAsia="楷体_GB2312"/>
      <w:kern w:val="0"/>
      <w:sz w:val="20"/>
      <w:szCs w:val="20"/>
    </w:rPr>
  </w:style>
  <w:style w:type="paragraph" w:customStyle="1" w:styleId="527">
    <w:name w:val="xl39"/>
    <w:basedOn w:val="1"/>
    <w:qFormat/>
    <w:uiPriority w:val="0"/>
    <w:pPr>
      <w:widowControl/>
      <w:pBdr>
        <w:top w:val="single" w:color="auto" w:sz="8" w:space="0"/>
        <w:left w:val="single" w:color="auto" w:sz="8" w:space="0"/>
        <w:bottom w:val="single" w:color="auto" w:sz="4" w:space="0"/>
        <w:right w:val="single" w:color="auto" w:sz="4" w:space="0"/>
      </w:pBdr>
      <w:spacing w:before="100" w:beforeAutospacing="1" w:after="100" w:afterAutospacing="1"/>
      <w:jc w:val="center"/>
    </w:pPr>
    <w:rPr>
      <w:rFonts w:ascii="楷体_GB2312" w:hAnsi="Arial Unicode MS" w:eastAsia="楷体_GB2312"/>
      <w:kern w:val="0"/>
      <w:sz w:val="20"/>
      <w:szCs w:val="20"/>
    </w:rPr>
  </w:style>
  <w:style w:type="paragraph" w:customStyle="1" w:styleId="528">
    <w:name w:val="MTDisplayEquation"/>
    <w:basedOn w:val="1"/>
    <w:qFormat/>
    <w:uiPriority w:val="0"/>
    <w:pPr>
      <w:tabs>
        <w:tab w:val="center" w:pos="4880"/>
        <w:tab w:val="right" w:pos="9740"/>
      </w:tabs>
      <w:jc w:val="center"/>
    </w:pPr>
    <w:rPr>
      <w:rFonts w:ascii="宋体" w:hAnsi="宋体"/>
      <w:b/>
      <w:sz w:val="28"/>
      <w:szCs w:val="20"/>
    </w:rPr>
  </w:style>
  <w:style w:type="paragraph" w:customStyle="1" w:styleId="529">
    <w:name w:val="样式 标题 2H21标题 2 Char Char节标题 1.1（一）Underrubrik1prop2Headi..."/>
    <w:basedOn w:val="5"/>
    <w:qFormat/>
    <w:uiPriority w:val="0"/>
    <w:pPr>
      <w:widowControl/>
      <w:tabs>
        <w:tab w:val="left" w:pos="1395"/>
        <w:tab w:val="clear" w:pos="0"/>
        <w:tab w:val="clear" w:pos="567"/>
      </w:tabs>
      <w:spacing w:beforeLines="0" w:afterLines="0"/>
      <w:ind w:left="578" w:hanging="578"/>
      <w:jc w:val="left"/>
    </w:pPr>
    <w:rPr>
      <w:rFonts w:ascii="楷体_GB2312" w:hAnsi="楷体_GB2312" w:eastAsia="楷体_GB2312" w:cs="宋体"/>
      <w:bCs/>
      <w:spacing w:val="20"/>
      <w:szCs w:val="32"/>
    </w:rPr>
  </w:style>
  <w:style w:type="paragraph" w:customStyle="1" w:styleId="530">
    <w:name w:val="样式110"/>
    <w:basedOn w:val="315"/>
    <w:qFormat/>
    <w:uiPriority w:val="0"/>
    <w:pPr>
      <w:adjustRightInd w:val="0"/>
    </w:pPr>
    <w:rPr>
      <w:szCs w:val="24"/>
    </w:rPr>
  </w:style>
  <w:style w:type="paragraph" w:customStyle="1" w:styleId="531">
    <w:name w:val="样式 标题 4H4CharbulletblbbPIM 4h4Heading Four款标题1.1.1.1Fa..."/>
    <w:basedOn w:val="7"/>
    <w:qFormat/>
    <w:uiPriority w:val="0"/>
    <w:pPr>
      <w:widowControl/>
      <w:spacing w:before="60" w:after="60"/>
      <w:jc w:val="left"/>
    </w:pPr>
    <w:rPr>
      <w:rFonts w:ascii="楷体_GB2312" w:hAnsi="楷体_GB2312" w:eastAsia="楷体_GB2312" w:cs="宋体"/>
      <w:b/>
      <w:color w:val="0000FF"/>
      <w:kern w:val="0"/>
    </w:rPr>
  </w:style>
  <w:style w:type="paragraph" w:customStyle="1" w:styleId="532">
    <w:name w:val="xl45"/>
    <w:basedOn w:val="1"/>
    <w:qFormat/>
    <w:uiPriority w:val="0"/>
    <w:pPr>
      <w:widowControl/>
      <w:pBdr>
        <w:bottom w:val="single" w:color="auto" w:sz="8" w:space="0"/>
        <w:right w:val="single" w:color="auto" w:sz="8" w:space="0"/>
      </w:pBdr>
      <w:spacing w:before="100" w:beforeAutospacing="1" w:after="100" w:afterAutospacing="1"/>
      <w:jc w:val="center"/>
    </w:pPr>
    <w:rPr>
      <w:rFonts w:ascii="楷体_GB2312" w:hAnsi="宋体" w:eastAsia="楷体_GB2312" w:cs="宋体"/>
      <w:color w:val="000000"/>
      <w:kern w:val="0"/>
      <w:szCs w:val="21"/>
    </w:rPr>
  </w:style>
  <w:style w:type="paragraph" w:customStyle="1" w:styleId="533">
    <w:name w:val="xl46"/>
    <w:basedOn w:val="1"/>
    <w:qFormat/>
    <w:uiPriority w:val="0"/>
    <w:pPr>
      <w:widowControl/>
      <w:pBdr>
        <w:top w:val="single" w:color="auto" w:sz="8" w:space="0"/>
        <w:left w:val="single" w:color="auto" w:sz="8" w:space="0"/>
        <w:right w:val="single" w:color="auto" w:sz="8" w:space="0"/>
      </w:pBdr>
      <w:spacing w:before="100" w:beforeAutospacing="1" w:after="100" w:afterAutospacing="1"/>
      <w:jc w:val="center"/>
    </w:pPr>
    <w:rPr>
      <w:rFonts w:ascii="楷体_GB2312" w:hAnsi="宋体" w:eastAsia="楷体_GB2312" w:cs="宋体"/>
      <w:kern w:val="0"/>
      <w:szCs w:val="21"/>
    </w:rPr>
  </w:style>
  <w:style w:type="paragraph" w:customStyle="1" w:styleId="534">
    <w:name w:val="xl48"/>
    <w:basedOn w:val="1"/>
    <w:qFormat/>
    <w:uiPriority w:val="0"/>
    <w:pPr>
      <w:widowControl/>
      <w:pBdr>
        <w:left w:val="single" w:color="auto" w:sz="8" w:space="0"/>
        <w:bottom w:val="single" w:color="auto" w:sz="8" w:space="0"/>
        <w:right w:val="single" w:color="auto" w:sz="8" w:space="0"/>
      </w:pBdr>
      <w:spacing w:before="100" w:beforeAutospacing="1" w:after="100" w:afterAutospacing="1"/>
      <w:jc w:val="center"/>
    </w:pPr>
    <w:rPr>
      <w:rFonts w:ascii="宋体" w:hAnsi="宋体" w:cs="宋体"/>
      <w:kern w:val="0"/>
      <w:sz w:val="24"/>
    </w:rPr>
  </w:style>
  <w:style w:type="character" w:customStyle="1" w:styleId="535">
    <w:name w:val="Char Char1"/>
    <w:qFormat/>
    <w:uiPriority w:val="0"/>
    <w:rPr>
      <w:rFonts w:ascii="楷体_GB2312" w:hAnsi="Arial" w:eastAsia="楷体_GB2312" w:cs="Arial"/>
      <w:b/>
      <w:sz w:val="21"/>
      <w:szCs w:val="21"/>
      <w:lang w:val="en-US" w:eastAsia="zh-CN" w:bidi="ar-SA"/>
    </w:rPr>
  </w:style>
  <w:style w:type="paragraph" w:customStyle="1" w:styleId="536">
    <w:name w:val="xl49"/>
    <w:basedOn w:val="1"/>
    <w:qFormat/>
    <w:uiPriority w:val="0"/>
    <w:pPr>
      <w:widowControl/>
      <w:pBdr>
        <w:left w:val="single" w:color="auto" w:sz="8" w:space="0"/>
        <w:bottom w:val="single" w:color="auto" w:sz="8" w:space="0"/>
        <w:right w:val="single" w:color="auto" w:sz="4" w:space="0"/>
      </w:pBdr>
      <w:spacing w:before="100" w:beforeAutospacing="1" w:after="100" w:afterAutospacing="1"/>
      <w:jc w:val="left"/>
      <w:textAlignment w:val="top"/>
    </w:pPr>
    <w:rPr>
      <w:rFonts w:ascii="楷体_GB2312" w:hAnsi="宋体" w:eastAsia="楷体_GB2312" w:cs="宋体"/>
      <w:kern w:val="0"/>
      <w:szCs w:val="21"/>
    </w:rPr>
  </w:style>
  <w:style w:type="paragraph" w:customStyle="1" w:styleId="537">
    <w:name w:val="xl50"/>
    <w:basedOn w:val="1"/>
    <w:qFormat/>
    <w:uiPriority w:val="0"/>
    <w:pPr>
      <w:widowControl/>
      <w:pBdr>
        <w:left w:val="single" w:color="auto" w:sz="8" w:space="0"/>
        <w:right w:val="single" w:color="auto" w:sz="4" w:space="0"/>
      </w:pBdr>
      <w:spacing w:before="100" w:beforeAutospacing="1" w:after="100" w:afterAutospacing="1"/>
      <w:jc w:val="center"/>
    </w:pPr>
    <w:rPr>
      <w:rFonts w:ascii="楷体_GB2312" w:hAnsi="宋体" w:eastAsia="楷体_GB2312" w:cs="宋体"/>
      <w:kern w:val="0"/>
      <w:szCs w:val="21"/>
    </w:rPr>
  </w:style>
  <w:style w:type="paragraph" w:customStyle="1" w:styleId="538">
    <w:name w:val="xl51"/>
    <w:basedOn w:val="1"/>
    <w:qFormat/>
    <w:uiPriority w:val="0"/>
    <w:pPr>
      <w:widowControl/>
      <w:pBdr>
        <w:top w:val="single" w:color="auto" w:sz="8" w:space="0"/>
        <w:left w:val="single" w:color="auto" w:sz="8" w:space="0"/>
        <w:right w:val="single" w:color="auto" w:sz="4" w:space="0"/>
      </w:pBdr>
      <w:spacing w:before="100" w:beforeAutospacing="1" w:after="100" w:afterAutospacing="1"/>
      <w:jc w:val="center"/>
      <w:textAlignment w:val="top"/>
    </w:pPr>
    <w:rPr>
      <w:rFonts w:ascii="楷体_GB2312" w:hAnsi="宋体" w:eastAsia="楷体_GB2312" w:cs="宋体"/>
      <w:kern w:val="0"/>
      <w:szCs w:val="21"/>
    </w:rPr>
  </w:style>
  <w:style w:type="paragraph" w:customStyle="1" w:styleId="539">
    <w:name w:val="xl52"/>
    <w:basedOn w:val="1"/>
    <w:qFormat/>
    <w:uiPriority w:val="0"/>
    <w:pPr>
      <w:widowControl/>
      <w:pBdr>
        <w:left w:val="single" w:color="auto" w:sz="8" w:space="0"/>
        <w:right w:val="single" w:color="auto" w:sz="4" w:space="0"/>
      </w:pBdr>
      <w:spacing w:before="100" w:beforeAutospacing="1" w:after="100" w:afterAutospacing="1"/>
      <w:jc w:val="center"/>
      <w:textAlignment w:val="top"/>
    </w:pPr>
    <w:rPr>
      <w:rFonts w:ascii="楷体_GB2312" w:hAnsi="宋体" w:eastAsia="楷体_GB2312" w:cs="宋体"/>
      <w:kern w:val="0"/>
      <w:szCs w:val="21"/>
    </w:rPr>
  </w:style>
  <w:style w:type="paragraph" w:customStyle="1" w:styleId="540">
    <w:name w:val="xl53"/>
    <w:basedOn w:val="1"/>
    <w:qFormat/>
    <w:uiPriority w:val="0"/>
    <w:pPr>
      <w:widowControl/>
      <w:pBdr>
        <w:left w:val="single" w:color="auto" w:sz="8" w:space="0"/>
        <w:bottom w:val="single" w:color="auto" w:sz="8" w:space="0"/>
        <w:right w:val="single" w:color="auto" w:sz="4" w:space="0"/>
      </w:pBdr>
      <w:spacing w:before="100" w:beforeAutospacing="1" w:after="100" w:afterAutospacing="1"/>
      <w:jc w:val="center"/>
      <w:textAlignment w:val="top"/>
    </w:pPr>
    <w:rPr>
      <w:rFonts w:ascii="楷体_GB2312" w:hAnsi="宋体" w:eastAsia="楷体_GB2312" w:cs="宋体"/>
      <w:kern w:val="0"/>
      <w:szCs w:val="21"/>
    </w:rPr>
  </w:style>
  <w:style w:type="paragraph" w:customStyle="1" w:styleId="541">
    <w:name w:val="xl55"/>
    <w:basedOn w:val="1"/>
    <w:qFormat/>
    <w:uiPriority w:val="0"/>
    <w:pPr>
      <w:widowControl/>
      <w:pBdr>
        <w:left w:val="single" w:color="auto" w:sz="8" w:space="0"/>
        <w:right w:val="single" w:color="auto" w:sz="4" w:space="0"/>
      </w:pBdr>
      <w:spacing w:before="100" w:beforeAutospacing="1" w:after="100" w:afterAutospacing="1"/>
      <w:jc w:val="left"/>
      <w:textAlignment w:val="top"/>
    </w:pPr>
    <w:rPr>
      <w:rFonts w:ascii="楷体_GB2312" w:hAnsi="宋体" w:eastAsia="楷体_GB2312" w:cs="宋体"/>
      <w:kern w:val="0"/>
      <w:szCs w:val="21"/>
    </w:rPr>
  </w:style>
  <w:style w:type="paragraph" w:customStyle="1" w:styleId="542">
    <w:name w:val="xl56"/>
    <w:basedOn w:val="1"/>
    <w:qFormat/>
    <w:uiPriority w:val="0"/>
    <w:pPr>
      <w:widowControl/>
      <w:pBdr>
        <w:top w:val="single" w:color="auto" w:sz="8" w:space="0"/>
        <w:right w:val="single" w:color="auto" w:sz="4" w:space="0"/>
      </w:pBdr>
      <w:spacing w:before="100" w:beforeAutospacing="1" w:after="100" w:afterAutospacing="1"/>
      <w:jc w:val="left"/>
      <w:textAlignment w:val="top"/>
    </w:pPr>
    <w:rPr>
      <w:rFonts w:ascii="楷体_GB2312" w:hAnsi="宋体" w:eastAsia="楷体_GB2312" w:cs="宋体"/>
      <w:kern w:val="0"/>
      <w:szCs w:val="21"/>
    </w:rPr>
  </w:style>
  <w:style w:type="paragraph" w:customStyle="1" w:styleId="543">
    <w:name w:val="xl57"/>
    <w:basedOn w:val="1"/>
    <w:qFormat/>
    <w:uiPriority w:val="0"/>
    <w:pPr>
      <w:widowControl/>
      <w:pBdr>
        <w:right w:val="single" w:color="auto" w:sz="4" w:space="0"/>
      </w:pBdr>
      <w:spacing w:before="100" w:beforeAutospacing="1" w:after="100" w:afterAutospacing="1"/>
      <w:jc w:val="left"/>
      <w:textAlignment w:val="top"/>
    </w:pPr>
    <w:rPr>
      <w:rFonts w:ascii="楷体_GB2312" w:hAnsi="宋体" w:eastAsia="楷体_GB2312" w:cs="宋体"/>
      <w:kern w:val="0"/>
      <w:szCs w:val="21"/>
    </w:rPr>
  </w:style>
  <w:style w:type="paragraph" w:customStyle="1" w:styleId="544">
    <w:name w:val="xl58"/>
    <w:basedOn w:val="1"/>
    <w:qFormat/>
    <w:uiPriority w:val="0"/>
    <w:pPr>
      <w:widowControl/>
      <w:pBdr>
        <w:left w:val="single" w:color="auto" w:sz="8" w:space="0"/>
        <w:right w:val="single" w:color="auto" w:sz="4" w:space="0"/>
      </w:pBdr>
      <w:spacing w:before="100" w:beforeAutospacing="1" w:after="100" w:afterAutospacing="1"/>
      <w:jc w:val="center"/>
      <w:textAlignment w:val="top"/>
    </w:pPr>
    <w:rPr>
      <w:rFonts w:ascii="楷体_GB2312" w:hAnsi="宋体" w:eastAsia="楷体_GB2312" w:cs="宋体"/>
      <w:kern w:val="0"/>
      <w:szCs w:val="21"/>
    </w:rPr>
  </w:style>
  <w:style w:type="paragraph" w:customStyle="1" w:styleId="545">
    <w:name w:val="xl59"/>
    <w:basedOn w:val="1"/>
    <w:qFormat/>
    <w:uiPriority w:val="0"/>
    <w:pPr>
      <w:widowControl/>
      <w:pBdr>
        <w:left w:val="single" w:color="auto" w:sz="8" w:space="0"/>
        <w:bottom w:val="single" w:color="auto" w:sz="4" w:space="0"/>
        <w:right w:val="single" w:color="auto" w:sz="8" w:space="0"/>
      </w:pBdr>
      <w:spacing w:before="100" w:beforeAutospacing="1" w:after="100" w:afterAutospacing="1"/>
      <w:jc w:val="center"/>
    </w:pPr>
    <w:rPr>
      <w:rFonts w:ascii="楷体_GB2312" w:hAnsi="宋体" w:eastAsia="楷体_GB2312" w:cs="宋体"/>
      <w:kern w:val="0"/>
      <w:szCs w:val="21"/>
    </w:rPr>
  </w:style>
  <w:style w:type="paragraph" w:customStyle="1" w:styleId="546">
    <w:name w:val="xl60"/>
    <w:basedOn w:val="1"/>
    <w:qFormat/>
    <w:uiPriority w:val="0"/>
    <w:pPr>
      <w:widowControl/>
      <w:pBdr>
        <w:left w:val="single" w:color="auto" w:sz="8" w:space="0"/>
        <w:bottom w:val="single" w:color="auto" w:sz="4" w:space="0"/>
        <w:right w:val="single" w:color="auto" w:sz="4" w:space="0"/>
      </w:pBdr>
      <w:spacing w:before="100" w:beforeAutospacing="1" w:after="100" w:afterAutospacing="1"/>
      <w:jc w:val="center"/>
      <w:textAlignment w:val="top"/>
    </w:pPr>
    <w:rPr>
      <w:rFonts w:ascii="楷体_GB2312" w:hAnsi="宋体" w:eastAsia="楷体_GB2312" w:cs="宋体"/>
      <w:kern w:val="0"/>
      <w:szCs w:val="21"/>
    </w:rPr>
  </w:style>
  <w:style w:type="paragraph" w:customStyle="1" w:styleId="547">
    <w:name w:val="xl61"/>
    <w:basedOn w:val="1"/>
    <w:qFormat/>
    <w:uiPriority w:val="0"/>
    <w:pPr>
      <w:widowControl/>
      <w:pBdr>
        <w:right w:val="single" w:color="auto" w:sz="8" w:space="0"/>
      </w:pBdr>
      <w:spacing w:before="100" w:beforeAutospacing="1" w:after="100" w:afterAutospacing="1"/>
      <w:jc w:val="center"/>
    </w:pPr>
    <w:rPr>
      <w:rFonts w:ascii="楷体_GB2312" w:hAnsi="宋体" w:eastAsia="楷体_GB2312" w:cs="宋体"/>
      <w:kern w:val="0"/>
      <w:szCs w:val="21"/>
    </w:rPr>
  </w:style>
  <w:style w:type="paragraph" w:customStyle="1" w:styleId="548">
    <w:name w:val="xl62"/>
    <w:basedOn w:val="1"/>
    <w:qFormat/>
    <w:uiPriority w:val="0"/>
    <w:pPr>
      <w:widowControl/>
      <w:pBdr>
        <w:top w:val="single" w:color="auto" w:sz="8" w:space="0"/>
      </w:pBdr>
      <w:spacing w:before="100" w:beforeAutospacing="1" w:after="100" w:afterAutospacing="1"/>
      <w:jc w:val="center"/>
    </w:pPr>
    <w:rPr>
      <w:rFonts w:ascii="楷体_GB2312" w:hAnsi="宋体" w:eastAsia="楷体_GB2312" w:cs="宋体"/>
      <w:kern w:val="0"/>
      <w:szCs w:val="21"/>
    </w:rPr>
  </w:style>
  <w:style w:type="character" w:customStyle="1" w:styleId="549">
    <w:name w:val="Char Char2"/>
    <w:qFormat/>
    <w:uiPriority w:val="0"/>
    <w:rPr>
      <w:rFonts w:ascii="Arial" w:hAnsi="Arial" w:eastAsia="楷体_GB2312" w:cs="Arial"/>
      <w:b/>
      <w:sz w:val="24"/>
      <w:lang w:val="en-US" w:eastAsia="zh-CN" w:bidi="ar-SA"/>
    </w:rPr>
  </w:style>
  <w:style w:type="paragraph" w:customStyle="1" w:styleId="550">
    <w:name w:val="proposal"/>
    <w:basedOn w:val="1"/>
    <w:qFormat/>
    <w:uiPriority w:val="0"/>
    <w:pPr>
      <w:widowControl/>
      <w:autoSpaceDE w:val="0"/>
      <w:autoSpaceDN w:val="0"/>
      <w:spacing w:line="300" w:lineRule="auto"/>
      <w:ind w:left="1440" w:hanging="1440"/>
    </w:pPr>
    <w:rPr>
      <w:kern w:val="0"/>
      <w:sz w:val="24"/>
      <w:lang w:val="en-GB" w:eastAsia="en-GB"/>
    </w:rPr>
  </w:style>
  <w:style w:type="character" w:customStyle="1" w:styleId="551">
    <w:name w:val="正文（行首缩进2字） Char"/>
    <w:link w:val="272"/>
    <w:qFormat/>
    <w:uiPriority w:val="0"/>
    <w:rPr>
      <w:kern w:val="2"/>
      <w:sz w:val="28"/>
      <w:szCs w:val="24"/>
    </w:rPr>
  </w:style>
  <w:style w:type="character" w:customStyle="1" w:styleId="552">
    <w:name w:val="apple-style-span"/>
    <w:basedOn w:val="133"/>
    <w:qFormat/>
    <w:uiPriority w:val="0"/>
  </w:style>
  <w:style w:type="character" w:customStyle="1" w:styleId="553">
    <w:name w:val="题注 Char1"/>
    <w:qFormat/>
    <w:uiPriority w:val="0"/>
    <w:rPr>
      <w:rFonts w:ascii="Arial" w:hAnsi="Arial" w:eastAsia="楷体_GB2312" w:cs="Arial"/>
      <w:b/>
      <w:sz w:val="24"/>
      <w:lang w:val="en-US" w:eastAsia="zh-CN" w:bidi="ar-SA"/>
    </w:rPr>
  </w:style>
  <w:style w:type="character" w:customStyle="1" w:styleId="554">
    <w:name w:val="apple-converted-space"/>
    <w:basedOn w:val="133"/>
    <w:qFormat/>
    <w:uiPriority w:val="0"/>
  </w:style>
  <w:style w:type="paragraph" w:customStyle="1" w:styleId="555">
    <w:name w:val="Char1 Char Char Char Char Char1 Char"/>
    <w:basedOn w:val="1"/>
    <w:qFormat/>
    <w:uiPriority w:val="0"/>
    <w:rPr>
      <w:szCs w:val="21"/>
    </w:rPr>
  </w:style>
  <w:style w:type="character" w:customStyle="1" w:styleId="556">
    <w:name w:val="trans"/>
    <w:basedOn w:val="133"/>
    <w:qFormat/>
    <w:uiPriority w:val="0"/>
  </w:style>
  <w:style w:type="character" w:customStyle="1" w:styleId="557">
    <w:name w:val="reflink plainlinks nourlexpansion"/>
    <w:basedOn w:val="133"/>
    <w:qFormat/>
    <w:uiPriority w:val="0"/>
  </w:style>
  <w:style w:type="character" w:customStyle="1" w:styleId="558">
    <w:name w:val="Char Char6"/>
    <w:qFormat/>
    <w:uiPriority w:val="0"/>
    <w:rPr>
      <w:rFonts w:eastAsia="宋体"/>
      <w:kern w:val="2"/>
      <w:sz w:val="24"/>
      <w:lang w:val="en-US" w:eastAsia="zh-CN" w:bidi="ar-SA"/>
    </w:rPr>
  </w:style>
  <w:style w:type="character" w:customStyle="1" w:styleId="559">
    <w:name w:val="标题 字符"/>
    <w:link w:val="84"/>
    <w:qFormat/>
    <w:uiPriority w:val="10"/>
    <w:rPr>
      <w:rFonts w:ascii="Arial" w:hAnsi="Arial" w:cs="Arial"/>
      <w:b/>
      <w:bCs/>
      <w:kern w:val="2"/>
      <w:sz w:val="32"/>
      <w:szCs w:val="32"/>
    </w:rPr>
  </w:style>
  <w:style w:type="paragraph" w:customStyle="1" w:styleId="560">
    <w:name w:val="目录标题"/>
    <w:basedOn w:val="22"/>
    <w:qFormat/>
    <w:uiPriority w:val="0"/>
    <w:pPr>
      <w:tabs>
        <w:tab w:val="right" w:leader="dot" w:pos="8296"/>
      </w:tabs>
      <w:spacing w:line="440" w:lineRule="exact"/>
      <w:ind w:firstLine="482"/>
      <w:jc w:val="center"/>
    </w:pPr>
    <w:rPr>
      <w:rFonts w:ascii="宋体" w:hAnsi="宋体"/>
      <w:b/>
      <w:sz w:val="32"/>
    </w:rPr>
  </w:style>
  <w:style w:type="paragraph" w:customStyle="1" w:styleId="561">
    <w:name w:val="样式 楷体_GB2312 居中"/>
    <w:basedOn w:val="1"/>
    <w:qFormat/>
    <w:uiPriority w:val="0"/>
    <w:pPr>
      <w:spacing w:line="360" w:lineRule="auto"/>
      <w:jc w:val="center"/>
    </w:pPr>
    <w:rPr>
      <w:rFonts w:ascii="楷体_GB2312" w:eastAsia="楷体_GB2312"/>
      <w:szCs w:val="20"/>
    </w:rPr>
  </w:style>
  <w:style w:type="character" w:customStyle="1" w:styleId="562">
    <w:name w:val="style7"/>
    <w:basedOn w:val="133"/>
    <w:qFormat/>
    <w:uiPriority w:val="0"/>
  </w:style>
  <w:style w:type="character" w:customStyle="1" w:styleId="563">
    <w:name w:val="unnamed11"/>
    <w:qFormat/>
    <w:uiPriority w:val="0"/>
    <w:rPr>
      <w:b/>
      <w:bCs/>
      <w:color w:val="3366CC"/>
      <w:sz w:val="21"/>
      <w:szCs w:val="21"/>
    </w:rPr>
  </w:style>
  <w:style w:type="character" w:customStyle="1" w:styleId="564">
    <w:name w:val="标题5"/>
    <w:basedOn w:val="133"/>
    <w:qFormat/>
    <w:uiPriority w:val="0"/>
  </w:style>
  <w:style w:type="paragraph" w:customStyle="1" w:styleId="565">
    <w:name w:val="IDC A-Head (2nd Line)"/>
    <w:basedOn w:val="1"/>
    <w:next w:val="1"/>
    <w:qFormat/>
    <w:uiPriority w:val="0"/>
    <w:pPr>
      <w:widowControl/>
      <w:tabs>
        <w:tab w:val="left" w:pos="425"/>
      </w:tabs>
      <w:ind w:left="425" w:hanging="425"/>
      <w:jc w:val="center"/>
    </w:pPr>
    <w:rPr>
      <w:caps/>
      <w:kern w:val="0"/>
      <w:sz w:val="24"/>
      <w:szCs w:val="20"/>
    </w:rPr>
  </w:style>
  <w:style w:type="paragraph" w:customStyle="1" w:styleId="566">
    <w:name w:val="四级条标题"/>
    <w:basedOn w:val="209"/>
    <w:next w:val="1"/>
    <w:qFormat/>
    <w:uiPriority w:val="0"/>
    <w:pPr>
      <w:tabs>
        <w:tab w:val="left" w:pos="360"/>
        <w:tab w:val="clear" w:pos="2160"/>
        <w:tab w:val="clear" w:pos="2580"/>
      </w:tabs>
      <w:outlineLvl w:val="5"/>
    </w:pPr>
    <w:rPr>
      <w:szCs w:val="20"/>
    </w:rPr>
  </w:style>
  <w:style w:type="paragraph" w:customStyle="1" w:styleId="567">
    <w:name w:val="表格编号"/>
    <w:basedOn w:val="1"/>
    <w:next w:val="1"/>
    <w:qFormat/>
    <w:uiPriority w:val="0"/>
    <w:pPr>
      <w:spacing w:before="300" w:after="200"/>
      <w:ind w:left="964" w:hanging="425"/>
      <w:jc w:val="center"/>
    </w:pPr>
    <w:rPr>
      <w:sz w:val="24"/>
      <w:szCs w:val="20"/>
    </w:rPr>
  </w:style>
  <w:style w:type="paragraph" w:customStyle="1" w:styleId="568">
    <w:name w:val="wj12"/>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569">
    <w:name w:val="表中文字1"/>
    <w:qFormat/>
    <w:uiPriority w:val="0"/>
    <w:pPr>
      <w:widowControl w:val="0"/>
      <w:adjustRightInd w:val="0"/>
      <w:snapToGrid w:val="0"/>
      <w:spacing w:line="280" w:lineRule="exact"/>
      <w:jc w:val="center"/>
    </w:pPr>
    <w:rPr>
      <w:rFonts w:ascii="仿宋_GB2312" w:hAnsi="Times New Roman" w:eastAsia="仿宋_GB2312" w:cs="Times New Roman"/>
      <w:kern w:val="2"/>
      <w:sz w:val="24"/>
      <w:szCs w:val="24"/>
      <w:lang w:val="en-US" w:eastAsia="zh-CN" w:bidi="ar-SA"/>
    </w:rPr>
  </w:style>
  <w:style w:type="paragraph" w:customStyle="1" w:styleId="570">
    <w:name w:val="1表格"/>
    <w:basedOn w:val="1"/>
    <w:qFormat/>
    <w:uiPriority w:val="0"/>
    <w:pPr>
      <w:adjustRightInd w:val="0"/>
      <w:snapToGrid w:val="0"/>
      <w:jc w:val="center"/>
      <w:textAlignment w:val="baseline"/>
    </w:pPr>
    <w:rPr>
      <w:rFonts w:ascii="宋体" w:hAnsi="宋体" w:cs="宋体"/>
      <w:spacing w:val="4"/>
      <w:sz w:val="24"/>
    </w:rPr>
  </w:style>
  <w:style w:type="paragraph" w:customStyle="1" w:styleId="571">
    <w:name w:val="_Style 1"/>
    <w:basedOn w:val="1"/>
    <w:next w:val="22"/>
    <w:qFormat/>
    <w:uiPriority w:val="0"/>
    <w:pPr>
      <w:adjustRightInd w:val="0"/>
      <w:spacing w:line="288" w:lineRule="auto"/>
      <w:ind w:firstLine="480"/>
      <w:textAlignment w:val="baseline"/>
    </w:pPr>
    <w:rPr>
      <w:rFonts w:ascii="宋体" w:hAnsi="宋体" w:cs="宋体"/>
      <w:sz w:val="24"/>
    </w:rPr>
  </w:style>
  <w:style w:type="paragraph" w:customStyle="1" w:styleId="572">
    <w:name w:val="新正文样式"/>
    <w:basedOn w:val="1"/>
    <w:qFormat/>
    <w:uiPriority w:val="0"/>
    <w:pPr>
      <w:tabs>
        <w:tab w:val="left" w:pos="567"/>
      </w:tabs>
      <w:spacing w:line="360" w:lineRule="auto"/>
      <w:ind w:firstLine="567"/>
    </w:pPr>
    <w:rPr>
      <w:spacing w:val="20"/>
      <w:sz w:val="24"/>
    </w:rPr>
  </w:style>
  <w:style w:type="paragraph" w:customStyle="1" w:styleId="573">
    <w:name w:val="宏福4"/>
    <w:basedOn w:val="1"/>
    <w:qFormat/>
    <w:uiPriority w:val="0"/>
    <w:pPr>
      <w:adjustRightInd w:val="0"/>
      <w:spacing w:line="400" w:lineRule="atLeast"/>
      <w:ind w:firstLine="567"/>
      <w:jc w:val="left"/>
      <w:textAlignment w:val="baseline"/>
    </w:pPr>
    <w:rPr>
      <w:sz w:val="28"/>
      <w:szCs w:val="28"/>
    </w:rPr>
  </w:style>
  <w:style w:type="character" w:customStyle="1" w:styleId="574">
    <w:name w:val="style191"/>
    <w:qFormat/>
    <w:uiPriority w:val="0"/>
    <w:rPr>
      <w:b/>
      <w:bCs/>
      <w:color w:val="FF0000"/>
    </w:rPr>
  </w:style>
  <w:style w:type="paragraph" w:customStyle="1" w:styleId="575">
    <w:name w:val="项目编号"/>
    <w:basedOn w:val="1"/>
    <w:next w:val="1"/>
    <w:qFormat/>
    <w:uiPriority w:val="0"/>
    <w:pPr>
      <w:spacing w:before="120" w:after="120" w:line="360" w:lineRule="auto"/>
    </w:pPr>
    <w:rPr>
      <w:sz w:val="24"/>
      <w:szCs w:val="20"/>
    </w:rPr>
  </w:style>
  <w:style w:type="paragraph" w:customStyle="1" w:styleId="576">
    <w:name w:val="表序号"/>
    <w:basedOn w:val="8"/>
    <w:qFormat/>
    <w:uiPriority w:val="0"/>
    <w:pPr>
      <w:tabs>
        <w:tab w:val="left" w:pos="3093"/>
      </w:tabs>
      <w:spacing w:before="0" w:after="0" w:line="360" w:lineRule="auto"/>
      <w:ind w:left="3093" w:hanging="420"/>
      <w:jc w:val="center"/>
    </w:pPr>
    <w:rPr>
      <w:rFonts w:ascii="宋体" w:hAnsi="Arial" w:eastAsia="宋体"/>
      <w:bCs w:val="0"/>
      <w:sz w:val="24"/>
      <w:szCs w:val="20"/>
    </w:rPr>
  </w:style>
  <w:style w:type="paragraph" w:customStyle="1" w:styleId="577">
    <w:name w:val="图编号"/>
    <w:basedOn w:val="158"/>
    <w:qFormat/>
    <w:uiPriority w:val="0"/>
    <w:pPr>
      <w:tabs>
        <w:tab w:val="left" w:pos="432"/>
        <w:tab w:val="left" w:pos="763"/>
        <w:tab w:val="clear" w:pos="4153"/>
        <w:tab w:val="clear" w:pos="8306"/>
      </w:tabs>
      <w:adjustRightInd/>
      <w:snapToGrid/>
      <w:spacing w:before="300" w:after="300" w:line="360" w:lineRule="auto"/>
      <w:ind w:firstLine="403"/>
    </w:pPr>
    <w:rPr>
      <w:rFonts w:eastAsia="宋体"/>
      <w:sz w:val="24"/>
      <w:szCs w:val="20"/>
    </w:rPr>
  </w:style>
  <w:style w:type="paragraph" w:customStyle="1" w:styleId="578">
    <w:name w:val="表格内容"/>
    <w:basedOn w:val="1"/>
    <w:link w:val="2084"/>
    <w:qFormat/>
    <w:uiPriority w:val="0"/>
    <w:pPr>
      <w:overflowPunct w:val="0"/>
      <w:adjustRightInd w:val="0"/>
      <w:spacing w:before="40" w:after="60" w:line="200" w:lineRule="atLeast"/>
      <w:textAlignment w:val="baseline"/>
    </w:pPr>
    <w:rPr>
      <w:rFonts w:ascii="Arial" w:hAnsi="Arial" w:eastAsia="仿宋_GB2312"/>
      <w:kern w:val="0"/>
      <w:sz w:val="24"/>
      <w:szCs w:val="20"/>
    </w:rPr>
  </w:style>
  <w:style w:type="paragraph" w:customStyle="1" w:styleId="579">
    <w:name w:val="表"/>
    <w:basedOn w:val="1"/>
    <w:next w:val="67"/>
    <w:qFormat/>
    <w:uiPriority w:val="0"/>
    <w:pPr>
      <w:jc w:val="center"/>
    </w:pPr>
    <w:rPr>
      <w:rFonts w:ascii="宋体" w:hAnsi="Arial Black"/>
      <w:kern w:val="21"/>
      <w:szCs w:val="20"/>
    </w:rPr>
  </w:style>
  <w:style w:type="paragraph" w:customStyle="1" w:styleId="580">
    <w:name w:val="公式"/>
    <w:qFormat/>
    <w:uiPriority w:val="0"/>
    <w:pPr>
      <w:jc w:val="center"/>
    </w:pPr>
    <w:rPr>
      <w:rFonts w:ascii="Times New Roman" w:hAnsi="Times New Roman" w:eastAsia="宋体" w:cs="Times New Roman"/>
      <w:sz w:val="28"/>
      <w:lang w:val="en-US" w:eastAsia="zh-CN" w:bidi="ar-SA"/>
    </w:rPr>
  </w:style>
  <w:style w:type="paragraph" w:customStyle="1" w:styleId="581">
    <w:name w:val="公式样式1"/>
    <w:basedOn w:val="1"/>
    <w:qFormat/>
    <w:uiPriority w:val="0"/>
    <w:pPr>
      <w:spacing w:line="360" w:lineRule="auto"/>
      <w:ind w:firstLine="235" w:firstLineChars="100"/>
    </w:pPr>
    <w:rPr>
      <w:rFonts w:ascii="宋体" w:hAnsi="Arial Black"/>
      <w:szCs w:val="20"/>
    </w:rPr>
  </w:style>
  <w:style w:type="paragraph" w:customStyle="1" w:styleId="582">
    <w:name w:val="小五表文"/>
    <w:qFormat/>
    <w:uiPriority w:val="0"/>
    <w:pPr>
      <w:jc w:val="center"/>
    </w:pPr>
    <w:rPr>
      <w:rFonts w:ascii="Times New Roman" w:hAnsi="Times New Roman" w:eastAsia="仿宋_GB2312" w:cs="Times New Roman"/>
      <w:sz w:val="18"/>
      <w:lang w:val="en-US" w:eastAsia="zh-CN" w:bidi="ar-SA"/>
    </w:rPr>
  </w:style>
  <w:style w:type="paragraph" w:customStyle="1" w:styleId="583">
    <w:name w:val="注解"/>
    <w:qFormat/>
    <w:uiPriority w:val="0"/>
    <w:pPr>
      <w:widowControl w:val="0"/>
      <w:jc w:val="center"/>
    </w:pPr>
    <w:rPr>
      <w:rFonts w:ascii="宋体" w:hAnsi="Arial Black" w:eastAsia="宋体" w:cs="Times New Roman"/>
      <w:kern w:val="2"/>
      <w:sz w:val="18"/>
      <w:lang w:val="en-US" w:eastAsia="zh-CN" w:bidi="ar-SA"/>
    </w:rPr>
  </w:style>
  <w:style w:type="character" w:customStyle="1" w:styleId="584">
    <w:name w:val="paragragh1"/>
    <w:qFormat/>
    <w:uiPriority w:val="0"/>
    <w:rPr>
      <w:color w:val="004040"/>
      <w:sz w:val="21"/>
      <w:szCs w:val="21"/>
    </w:rPr>
  </w:style>
  <w:style w:type="paragraph" w:customStyle="1" w:styleId="585">
    <w:name w:val="cdb"/>
    <w:basedOn w:val="1"/>
    <w:qFormat/>
    <w:uiPriority w:val="0"/>
    <w:pPr>
      <w:spacing w:before="120"/>
      <w:ind w:left="851" w:firstLine="482"/>
    </w:pPr>
    <w:rPr>
      <w:szCs w:val="20"/>
    </w:rPr>
  </w:style>
  <w:style w:type="paragraph" w:customStyle="1" w:styleId="586">
    <w:name w:val="font0"/>
    <w:basedOn w:val="1"/>
    <w:qFormat/>
    <w:uiPriority w:val="0"/>
    <w:pPr>
      <w:widowControl/>
      <w:spacing w:before="100" w:beforeAutospacing="1" w:after="100" w:afterAutospacing="1"/>
      <w:jc w:val="left"/>
    </w:pPr>
    <w:rPr>
      <w:rFonts w:hint="eastAsia" w:ascii="宋体" w:hAnsi="宋体"/>
      <w:kern w:val="0"/>
    </w:rPr>
  </w:style>
  <w:style w:type="paragraph" w:customStyle="1" w:styleId="587">
    <w:name w:val="xl108"/>
    <w:basedOn w:val="1"/>
    <w:qFormat/>
    <w:uiPriority w:val="0"/>
    <w:pPr>
      <w:widowControl/>
      <w:pBdr>
        <w:bottom w:val="single" w:color="auto" w:sz="8" w:space="0"/>
      </w:pBdr>
      <w:spacing w:before="100" w:beforeAutospacing="1" w:after="100" w:afterAutospacing="1"/>
      <w:jc w:val="center"/>
      <w:textAlignment w:val="center"/>
    </w:pPr>
    <w:rPr>
      <w:rFonts w:ascii="Arial Unicode MS" w:hAnsi="Arial Unicode MS"/>
      <w:kern w:val="0"/>
      <w:sz w:val="12"/>
      <w:szCs w:val="12"/>
    </w:rPr>
  </w:style>
  <w:style w:type="paragraph" w:customStyle="1" w:styleId="588">
    <w:name w:val="xl109"/>
    <w:basedOn w:val="1"/>
    <w:qFormat/>
    <w:uiPriority w:val="0"/>
    <w:pPr>
      <w:widowControl/>
      <w:pBdr>
        <w:top w:val="single" w:color="auto" w:sz="12" w:space="0"/>
        <w:bottom w:val="single" w:color="auto" w:sz="8" w:space="0"/>
      </w:pBdr>
      <w:spacing w:before="100" w:beforeAutospacing="1" w:after="100" w:afterAutospacing="1"/>
      <w:jc w:val="center"/>
      <w:textAlignment w:val="center"/>
    </w:pPr>
    <w:rPr>
      <w:rFonts w:ascii="Arial Unicode MS" w:hAnsi="Arial Unicode MS"/>
      <w:kern w:val="0"/>
      <w:sz w:val="16"/>
      <w:szCs w:val="16"/>
    </w:rPr>
  </w:style>
  <w:style w:type="paragraph" w:customStyle="1" w:styleId="589">
    <w:name w:val="xl110"/>
    <w:basedOn w:val="1"/>
    <w:qFormat/>
    <w:uiPriority w:val="0"/>
    <w:pPr>
      <w:widowControl/>
      <w:pBdr>
        <w:top w:val="single" w:color="auto" w:sz="12" w:space="0"/>
        <w:bottom w:val="single" w:color="auto" w:sz="8" w:space="0"/>
      </w:pBdr>
      <w:spacing w:before="100" w:beforeAutospacing="1" w:after="100" w:afterAutospacing="1"/>
      <w:jc w:val="center"/>
      <w:textAlignment w:val="center"/>
    </w:pPr>
    <w:rPr>
      <w:rFonts w:ascii="Arial Unicode MS" w:hAnsi="Arial Unicode MS"/>
      <w:kern w:val="0"/>
    </w:rPr>
  </w:style>
  <w:style w:type="paragraph" w:customStyle="1" w:styleId="590">
    <w:name w:val="xl111"/>
    <w:basedOn w:val="1"/>
    <w:qFormat/>
    <w:uiPriority w:val="0"/>
    <w:pPr>
      <w:widowControl/>
      <w:pBdr>
        <w:top w:val="single" w:color="auto" w:sz="8" w:space="0"/>
      </w:pBdr>
      <w:spacing w:before="100" w:beforeAutospacing="1" w:after="100" w:afterAutospacing="1"/>
      <w:jc w:val="center"/>
      <w:textAlignment w:val="center"/>
    </w:pPr>
    <w:rPr>
      <w:rFonts w:ascii="Arial Unicode MS" w:hAnsi="Arial Unicode MS"/>
      <w:kern w:val="0"/>
      <w:sz w:val="16"/>
      <w:szCs w:val="16"/>
    </w:rPr>
  </w:style>
  <w:style w:type="paragraph" w:customStyle="1" w:styleId="591">
    <w:name w:val="xl112"/>
    <w:basedOn w:val="1"/>
    <w:qFormat/>
    <w:uiPriority w:val="0"/>
    <w:pPr>
      <w:widowControl/>
      <w:pBdr>
        <w:right w:val="single" w:color="auto" w:sz="8" w:space="0"/>
      </w:pBdr>
      <w:spacing w:before="100" w:beforeAutospacing="1" w:after="100" w:afterAutospacing="1"/>
      <w:jc w:val="left"/>
    </w:pPr>
    <w:rPr>
      <w:rFonts w:ascii="Arial Unicode MS" w:hAnsi="Arial Unicode MS"/>
      <w:kern w:val="0"/>
      <w:sz w:val="16"/>
      <w:szCs w:val="16"/>
    </w:rPr>
  </w:style>
  <w:style w:type="paragraph" w:customStyle="1" w:styleId="592">
    <w:name w:val="xl113"/>
    <w:basedOn w:val="1"/>
    <w:qFormat/>
    <w:uiPriority w:val="0"/>
    <w:pPr>
      <w:widowControl/>
      <w:pBdr>
        <w:top w:val="single" w:color="auto" w:sz="8" w:space="0"/>
        <w:bottom w:val="single" w:color="auto" w:sz="12" w:space="0"/>
      </w:pBdr>
      <w:spacing w:before="100" w:beforeAutospacing="1" w:after="100" w:afterAutospacing="1"/>
      <w:jc w:val="left"/>
    </w:pPr>
    <w:rPr>
      <w:rFonts w:ascii="Arial Unicode MS" w:hAnsi="Arial Unicode MS"/>
      <w:kern w:val="0"/>
      <w:sz w:val="16"/>
      <w:szCs w:val="16"/>
    </w:rPr>
  </w:style>
  <w:style w:type="paragraph" w:customStyle="1" w:styleId="593">
    <w:name w:val="xl114"/>
    <w:basedOn w:val="1"/>
    <w:qFormat/>
    <w:uiPriority w:val="0"/>
    <w:pPr>
      <w:widowControl/>
      <w:pBdr>
        <w:left w:val="single" w:color="auto" w:sz="8" w:space="0"/>
      </w:pBdr>
      <w:spacing w:before="100" w:beforeAutospacing="1" w:after="100" w:afterAutospacing="1"/>
      <w:jc w:val="left"/>
    </w:pPr>
    <w:rPr>
      <w:rFonts w:ascii="Arial Unicode MS" w:hAnsi="Arial Unicode MS"/>
      <w:kern w:val="0"/>
      <w:sz w:val="16"/>
      <w:szCs w:val="16"/>
    </w:rPr>
  </w:style>
  <w:style w:type="paragraph" w:customStyle="1" w:styleId="594">
    <w:name w:val="xl116"/>
    <w:basedOn w:val="1"/>
    <w:qFormat/>
    <w:uiPriority w:val="0"/>
    <w:pPr>
      <w:widowControl/>
      <w:pBdr>
        <w:bottom w:val="single" w:color="auto" w:sz="8" w:space="0"/>
      </w:pBdr>
      <w:spacing w:before="100" w:beforeAutospacing="1" w:after="100" w:afterAutospacing="1"/>
      <w:jc w:val="left"/>
    </w:pPr>
    <w:rPr>
      <w:rFonts w:ascii="Arial Unicode MS" w:hAnsi="Arial Unicode MS"/>
      <w:kern w:val="0"/>
      <w:sz w:val="16"/>
      <w:szCs w:val="16"/>
    </w:rPr>
  </w:style>
  <w:style w:type="paragraph" w:customStyle="1" w:styleId="595">
    <w:name w:val="xl117"/>
    <w:basedOn w:val="1"/>
    <w:qFormat/>
    <w:uiPriority w:val="0"/>
    <w:pPr>
      <w:widowControl/>
      <w:pBdr>
        <w:left w:val="single" w:color="auto" w:sz="8" w:space="0"/>
      </w:pBdr>
      <w:spacing w:before="100" w:beforeAutospacing="1" w:after="100" w:afterAutospacing="1"/>
      <w:jc w:val="left"/>
    </w:pPr>
    <w:rPr>
      <w:rFonts w:ascii="Arial Unicode MS" w:hAnsi="Arial Unicode MS"/>
      <w:kern w:val="0"/>
    </w:rPr>
  </w:style>
  <w:style w:type="paragraph" w:customStyle="1" w:styleId="596">
    <w:name w:val="xl118"/>
    <w:basedOn w:val="1"/>
    <w:qFormat/>
    <w:uiPriority w:val="0"/>
    <w:pPr>
      <w:widowControl/>
      <w:pBdr>
        <w:left w:val="single" w:color="auto" w:sz="12" w:space="0"/>
      </w:pBdr>
      <w:spacing w:before="100" w:beforeAutospacing="1" w:after="100" w:afterAutospacing="1"/>
      <w:jc w:val="center"/>
      <w:textAlignment w:val="center"/>
    </w:pPr>
    <w:rPr>
      <w:rFonts w:ascii="Arial Unicode MS" w:hAnsi="Arial Unicode MS"/>
      <w:kern w:val="0"/>
      <w:sz w:val="12"/>
      <w:szCs w:val="12"/>
    </w:rPr>
  </w:style>
  <w:style w:type="paragraph" w:customStyle="1" w:styleId="597">
    <w:name w:val="xl119"/>
    <w:basedOn w:val="1"/>
    <w:qFormat/>
    <w:uiPriority w:val="0"/>
    <w:pPr>
      <w:widowControl/>
      <w:spacing w:before="100" w:beforeAutospacing="1" w:after="100" w:afterAutospacing="1"/>
      <w:jc w:val="center"/>
      <w:textAlignment w:val="center"/>
    </w:pPr>
    <w:rPr>
      <w:rFonts w:ascii="Arial Unicode MS" w:hAnsi="Arial Unicode MS"/>
      <w:kern w:val="0"/>
      <w:sz w:val="16"/>
      <w:szCs w:val="16"/>
    </w:rPr>
  </w:style>
  <w:style w:type="paragraph" w:customStyle="1" w:styleId="598">
    <w:name w:val="xl120"/>
    <w:basedOn w:val="1"/>
    <w:qFormat/>
    <w:uiPriority w:val="0"/>
    <w:pPr>
      <w:widowControl/>
      <w:spacing w:before="100" w:beforeAutospacing="1" w:after="100" w:afterAutospacing="1"/>
      <w:jc w:val="left"/>
      <w:textAlignment w:val="center"/>
    </w:pPr>
    <w:rPr>
      <w:rFonts w:ascii="Arial Unicode MS" w:hAnsi="Arial Unicode MS"/>
      <w:kern w:val="0"/>
      <w:sz w:val="12"/>
      <w:szCs w:val="12"/>
    </w:rPr>
  </w:style>
  <w:style w:type="paragraph" w:customStyle="1" w:styleId="599">
    <w:name w:val="xl121"/>
    <w:basedOn w:val="1"/>
    <w:qFormat/>
    <w:uiPriority w:val="0"/>
    <w:pPr>
      <w:widowControl/>
      <w:spacing w:before="100" w:beforeAutospacing="1" w:after="100" w:afterAutospacing="1"/>
      <w:jc w:val="left"/>
    </w:pPr>
    <w:rPr>
      <w:rFonts w:ascii="Arial Unicode MS" w:hAnsi="Arial Unicode MS"/>
      <w:kern w:val="0"/>
      <w:sz w:val="16"/>
      <w:szCs w:val="16"/>
    </w:rPr>
  </w:style>
  <w:style w:type="paragraph" w:customStyle="1" w:styleId="600">
    <w:name w:val="xl122"/>
    <w:basedOn w:val="1"/>
    <w:qFormat/>
    <w:uiPriority w:val="0"/>
    <w:pPr>
      <w:widowControl/>
      <w:pBdr>
        <w:left w:val="single" w:color="auto" w:sz="8" w:space="0"/>
      </w:pBdr>
      <w:spacing w:before="100" w:beforeAutospacing="1" w:after="100" w:afterAutospacing="1"/>
      <w:jc w:val="center"/>
      <w:textAlignment w:val="center"/>
    </w:pPr>
    <w:rPr>
      <w:rFonts w:ascii="Arial Unicode MS" w:hAnsi="Arial Unicode MS"/>
      <w:kern w:val="0"/>
      <w:sz w:val="16"/>
      <w:szCs w:val="16"/>
    </w:rPr>
  </w:style>
  <w:style w:type="paragraph" w:customStyle="1" w:styleId="601">
    <w:name w:val="xl123"/>
    <w:basedOn w:val="1"/>
    <w:qFormat/>
    <w:uiPriority w:val="0"/>
    <w:pPr>
      <w:widowControl/>
      <w:pBdr>
        <w:top w:val="single" w:color="auto" w:sz="8" w:space="0"/>
      </w:pBdr>
      <w:spacing w:before="100" w:beforeAutospacing="1" w:after="100" w:afterAutospacing="1"/>
      <w:jc w:val="left"/>
    </w:pPr>
    <w:rPr>
      <w:rFonts w:ascii="Arial Unicode MS" w:hAnsi="Arial Unicode MS"/>
      <w:kern w:val="0"/>
      <w:sz w:val="16"/>
      <w:szCs w:val="16"/>
    </w:rPr>
  </w:style>
  <w:style w:type="paragraph" w:customStyle="1" w:styleId="602">
    <w:name w:val="xl124"/>
    <w:basedOn w:val="1"/>
    <w:qFormat/>
    <w:uiPriority w:val="0"/>
    <w:pPr>
      <w:widowControl/>
      <w:pBdr>
        <w:left w:val="single" w:color="auto" w:sz="4" w:space="0"/>
        <w:bottom w:val="single" w:color="auto" w:sz="8" w:space="0"/>
      </w:pBdr>
      <w:spacing w:before="100" w:beforeAutospacing="1" w:after="100" w:afterAutospacing="1"/>
      <w:jc w:val="left"/>
    </w:pPr>
    <w:rPr>
      <w:rFonts w:ascii="Arial Unicode MS" w:hAnsi="Arial Unicode MS"/>
      <w:kern w:val="0"/>
      <w:sz w:val="16"/>
      <w:szCs w:val="16"/>
    </w:rPr>
  </w:style>
  <w:style w:type="paragraph" w:customStyle="1" w:styleId="603">
    <w:name w:val="xl125"/>
    <w:basedOn w:val="1"/>
    <w:qFormat/>
    <w:uiPriority w:val="0"/>
    <w:pPr>
      <w:widowControl/>
      <w:spacing w:before="100" w:beforeAutospacing="1" w:after="100" w:afterAutospacing="1"/>
      <w:jc w:val="left"/>
      <w:textAlignment w:val="center"/>
    </w:pPr>
    <w:rPr>
      <w:rFonts w:ascii="Arial Unicode MS" w:hAnsi="Arial Unicode MS"/>
      <w:kern w:val="0"/>
      <w:sz w:val="16"/>
      <w:szCs w:val="16"/>
    </w:rPr>
  </w:style>
  <w:style w:type="paragraph" w:customStyle="1" w:styleId="604">
    <w:name w:val="xl126"/>
    <w:basedOn w:val="1"/>
    <w:qFormat/>
    <w:uiPriority w:val="0"/>
    <w:pPr>
      <w:widowControl/>
      <w:pBdr>
        <w:left w:val="single" w:color="auto" w:sz="4" w:space="0"/>
        <w:bottom w:val="single" w:color="auto" w:sz="8" w:space="0"/>
      </w:pBdr>
      <w:spacing w:before="100" w:beforeAutospacing="1" w:after="100" w:afterAutospacing="1"/>
      <w:jc w:val="left"/>
    </w:pPr>
    <w:rPr>
      <w:rFonts w:ascii="Arial Unicode MS" w:hAnsi="Arial Unicode MS"/>
      <w:kern w:val="0"/>
      <w:sz w:val="16"/>
      <w:szCs w:val="16"/>
    </w:rPr>
  </w:style>
  <w:style w:type="paragraph" w:customStyle="1" w:styleId="605">
    <w:name w:val="xl127"/>
    <w:basedOn w:val="1"/>
    <w:qFormat/>
    <w:uiPriority w:val="0"/>
    <w:pPr>
      <w:widowControl/>
      <w:pBdr>
        <w:top w:val="single" w:color="auto" w:sz="8" w:space="0"/>
        <w:bottom w:val="single" w:color="auto" w:sz="8" w:space="0"/>
      </w:pBdr>
      <w:spacing w:before="100" w:beforeAutospacing="1" w:after="100" w:afterAutospacing="1"/>
      <w:jc w:val="center"/>
      <w:textAlignment w:val="center"/>
    </w:pPr>
    <w:rPr>
      <w:rFonts w:ascii="Arial Unicode MS" w:hAnsi="Arial Unicode MS"/>
      <w:kern w:val="0"/>
      <w:sz w:val="16"/>
      <w:szCs w:val="16"/>
    </w:rPr>
  </w:style>
  <w:style w:type="paragraph" w:customStyle="1" w:styleId="606">
    <w:name w:val="xl128"/>
    <w:basedOn w:val="1"/>
    <w:qFormat/>
    <w:uiPriority w:val="0"/>
    <w:pPr>
      <w:widowControl/>
      <w:pBdr>
        <w:bottom w:val="single" w:color="auto" w:sz="8" w:space="0"/>
      </w:pBdr>
      <w:spacing w:before="100" w:beforeAutospacing="1" w:after="100" w:afterAutospacing="1"/>
      <w:jc w:val="center"/>
      <w:textAlignment w:val="center"/>
    </w:pPr>
    <w:rPr>
      <w:rFonts w:ascii="Arial Unicode MS" w:hAnsi="Arial Unicode MS"/>
      <w:kern w:val="0"/>
      <w:sz w:val="12"/>
      <w:szCs w:val="12"/>
    </w:rPr>
  </w:style>
  <w:style w:type="paragraph" w:customStyle="1" w:styleId="607">
    <w:name w:val="xl129"/>
    <w:basedOn w:val="1"/>
    <w:qFormat/>
    <w:uiPriority w:val="0"/>
    <w:pPr>
      <w:widowControl/>
      <w:pBdr>
        <w:right w:val="single" w:color="auto" w:sz="8" w:space="0"/>
      </w:pBdr>
      <w:spacing w:before="100" w:beforeAutospacing="1" w:after="100" w:afterAutospacing="1"/>
      <w:jc w:val="center"/>
      <w:textAlignment w:val="center"/>
    </w:pPr>
    <w:rPr>
      <w:rFonts w:ascii="Arial Unicode MS" w:hAnsi="Arial Unicode MS"/>
      <w:kern w:val="0"/>
      <w:sz w:val="16"/>
      <w:szCs w:val="16"/>
    </w:rPr>
  </w:style>
  <w:style w:type="paragraph" w:customStyle="1" w:styleId="608">
    <w:name w:val="xl130"/>
    <w:basedOn w:val="1"/>
    <w:qFormat/>
    <w:uiPriority w:val="0"/>
    <w:pPr>
      <w:widowControl/>
      <w:pBdr>
        <w:left w:val="single" w:color="auto" w:sz="4" w:space="0"/>
        <w:right w:val="single" w:color="auto" w:sz="8" w:space="0"/>
      </w:pBdr>
      <w:spacing w:before="100" w:beforeAutospacing="1" w:after="100" w:afterAutospacing="1"/>
      <w:jc w:val="center"/>
      <w:textAlignment w:val="center"/>
    </w:pPr>
    <w:rPr>
      <w:rFonts w:ascii="Arial Unicode MS" w:hAnsi="Arial Unicode MS"/>
      <w:kern w:val="0"/>
      <w:sz w:val="16"/>
      <w:szCs w:val="16"/>
    </w:rPr>
  </w:style>
  <w:style w:type="paragraph" w:customStyle="1" w:styleId="609">
    <w:name w:val="xl131"/>
    <w:basedOn w:val="1"/>
    <w:qFormat/>
    <w:uiPriority w:val="0"/>
    <w:pPr>
      <w:widowControl/>
      <w:pBdr>
        <w:left w:val="single" w:color="auto" w:sz="4" w:space="0"/>
        <w:right w:val="single" w:color="auto" w:sz="8" w:space="0"/>
      </w:pBdr>
      <w:spacing w:before="100" w:beforeAutospacing="1" w:after="100" w:afterAutospacing="1"/>
      <w:jc w:val="left"/>
    </w:pPr>
    <w:rPr>
      <w:rFonts w:ascii="Arial Unicode MS" w:hAnsi="Arial Unicode MS"/>
      <w:kern w:val="0"/>
    </w:rPr>
  </w:style>
  <w:style w:type="paragraph" w:customStyle="1" w:styleId="610">
    <w:name w:val="xl132"/>
    <w:basedOn w:val="1"/>
    <w:qFormat/>
    <w:uiPriority w:val="0"/>
    <w:pPr>
      <w:widowControl/>
      <w:pBdr>
        <w:top w:val="single" w:color="auto" w:sz="12" w:space="0"/>
        <w:left w:val="single" w:color="auto" w:sz="4" w:space="0"/>
      </w:pBdr>
      <w:spacing w:before="100" w:beforeAutospacing="1" w:after="100" w:afterAutospacing="1"/>
      <w:jc w:val="left"/>
    </w:pPr>
    <w:rPr>
      <w:rFonts w:ascii="Arial Unicode MS" w:hAnsi="Arial Unicode MS"/>
      <w:kern w:val="0"/>
      <w:sz w:val="16"/>
      <w:szCs w:val="16"/>
    </w:rPr>
  </w:style>
  <w:style w:type="paragraph" w:customStyle="1" w:styleId="611">
    <w:name w:val="xl133"/>
    <w:basedOn w:val="1"/>
    <w:qFormat/>
    <w:uiPriority w:val="0"/>
    <w:pPr>
      <w:widowControl/>
      <w:pBdr>
        <w:right w:val="single" w:color="auto" w:sz="4" w:space="0"/>
      </w:pBdr>
      <w:spacing w:before="100" w:beforeAutospacing="1" w:after="100" w:afterAutospacing="1"/>
      <w:jc w:val="center"/>
    </w:pPr>
    <w:rPr>
      <w:rFonts w:ascii="Arial Unicode MS" w:hAnsi="Arial Unicode MS"/>
      <w:kern w:val="0"/>
      <w:sz w:val="12"/>
      <w:szCs w:val="12"/>
    </w:rPr>
  </w:style>
  <w:style w:type="paragraph" w:customStyle="1" w:styleId="612">
    <w:name w:val="xl134"/>
    <w:basedOn w:val="1"/>
    <w:qFormat/>
    <w:uiPriority w:val="0"/>
    <w:pPr>
      <w:widowControl/>
      <w:spacing w:before="100" w:beforeAutospacing="1" w:after="100" w:afterAutospacing="1"/>
      <w:jc w:val="left"/>
    </w:pPr>
    <w:rPr>
      <w:rFonts w:ascii="Arial Unicode MS" w:hAnsi="Arial Unicode MS"/>
      <w:kern w:val="0"/>
      <w:sz w:val="20"/>
      <w:szCs w:val="20"/>
    </w:rPr>
  </w:style>
  <w:style w:type="paragraph" w:customStyle="1" w:styleId="613">
    <w:name w:val="xl135"/>
    <w:basedOn w:val="1"/>
    <w:qFormat/>
    <w:uiPriority w:val="0"/>
    <w:pPr>
      <w:widowControl/>
      <w:spacing w:before="100" w:beforeAutospacing="1" w:after="100" w:afterAutospacing="1"/>
      <w:jc w:val="center"/>
    </w:pPr>
    <w:rPr>
      <w:rFonts w:ascii="Arial Unicode MS" w:hAnsi="Arial Unicode MS"/>
      <w:kern w:val="0"/>
      <w:sz w:val="16"/>
      <w:szCs w:val="16"/>
    </w:rPr>
  </w:style>
  <w:style w:type="paragraph" w:customStyle="1" w:styleId="614">
    <w:name w:val="xl136"/>
    <w:basedOn w:val="1"/>
    <w:qFormat/>
    <w:uiPriority w:val="0"/>
    <w:pPr>
      <w:widowControl/>
      <w:spacing w:before="100" w:beforeAutospacing="1" w:after="100" w:afterAutospacing="1"/>
      <w:jc w:val="left"/>
    </w:pPr>
    <w:rPr>
      <w:rFonts w:ascii="Arial Unicode MS" w:hAnsi="Arial Unicode MS"/>
      <w:kern w:val="0"/>
      <w:sz w:val="12"/>
      <w:szCs w:val="12"/>
    </w:rPr>
  </w:style>
  <w:style w:type="paragraph" w:customStyle="1" w:styleId="615">
    <w:name w:val="xl137"/>
    <w:basedOn w:val="1"/>
    <w:qFormat/>
    <w:uiPriority w:val="0"/>
    <w:pPr>
      <w:widowControl/>
      <w:pBdr>
        <w:bottom w:val="single" w:color="auto" w:sz="8" w:space="0"/>
      </w:pBdr>
      <w:spacing w:before="100" w:beforeAutospacing="1" w:after="100" w:afterAutospacing="1"/>
      <w:jc w:val="left"/>
    </w:pPr>
    <w:rPr>
      <w:rFonts w:ascii="Arial Unicode MS" w:hAnsi="Arial Unicode MS"/>
      <w:kern w:val="0"/>
      <w:sz w:val="12"/>
      <w:szCs w:val="12"/>
    </w:rPr>
  </w:style>
  <w:style w:type="paragraph" w:customStyle="1" w:styleId="616">
    <w:name w:val="xl138"/>
    <w:basedOn w:val="1"/>
    <w:qFormat/>
    <w:uiPriority w:val="0"/>
    <w:pPr>
      <w:widowControl/>
      <w:pBdr>
        <w:left w:val="single" w:color="auto" w:sz="4" w:space="0"/>
        <w:bottom w:val="single" w:color="auto" w:sz="8" w:space="0"/>
      </w:pBdr>
      <w:spacing w:before="100" w:beforeAutospacing="1" w:after="100" w:afterAutospacing="1"/>
      <w:jc w:val="center"/>
      <w:textAlignment w:val="center"/>
    </w:pPr>
    <w:rPr>
      <w:kern w:val="0"/>
      <w:sz w:val="12"/>
      <w:szCs w:val="12"/>
    </w:rPr>
  </w:style>
  <w:style w:type="paragraph" w:customStyle="1" w:styleId="617">
    <w:name w:val="xl139"/>
    <w:basedOn w:val="1"/>
    <w:qFormat/>
    <w:uiPriority w:val="0"/>
    <w:pPr>
      <w:widowControl/>
      <w:spacing w:before="100" w:beforeAutospacing="1" w:after="100" w:afterAutospacing="1"/>
      <w:jc w:val="center"/>
      <w:textAlignment w:val="center"/>
    </w:pPr>
    <w:rPr>
      <w:rFonts w:ascii="Arial Unicode MS" w:hAnsi="Arial Unicode MS"/>
      <w:kern w:val="0"/>
      <w:sz w:val="16"/>
      <w:szCs w:val="16"/>
    </w:rPr>
  </w:style>
  <w:style w:type="paragraph" w:customStyle="1" w:styleId="618">
    <w:name w:val="xl140"/>
    <w:basedOn w:val="1"/>
    <w:qFormat/>
    <w:uiPriority w:val="0"/>
    <w:pPr>
      <w:widowControl/>
      <w:spacing w:before="100" w:beforeAutospacing="1" w:after="100" w:afterAutospacing="1"/>
      <w:jc w:val="center"/>
      <w:textAlignment w:val="center"/>
    </w:pPr>
    <w:rPr>
      <w:rFonts w:ascii="Arial Unicode MS" w:hAnsi="Arial Unicode MS"/>
      <w:kern w:val="0"/>
      <w:sz w:val="16"/>
      <w:szCs w:val="16"/>
    </w:rPr>
  </w:style>
  <w:style w:type="paragraph" w:customStyle="1" w:styleId="619">
    <w:name w:val="xl141"/>
    <w:basedOn w:val="1"/>
    <w:qFormat/>
    <w:uiPriority w:val="0"/>
    <w:pPr>
      <w:widowControl/>
      <w:spacing w:before="100" w:beforeAutospacing="1" w:after="100" w:afterAutospacing="1"/>
      <w:jc w:val="left"/>
    </w:pPr>
    <w:rPr>
      <w:rFonts w:ascii="Arial Unicode MS" w:hAnsi="Arial Unicode MS"/>
      <w:kern w:val="0"/>
      <w:sz w:val="16"/>
      <w:szCs w:val="16"/>
    </w:rPr>
  </w:style>
  <w:style w:type="paragraph" w:customStyle="1" w:styleId="620">
    <w:name w:val="xl142"/>
    <w:basedOn w:val="1"/>
    <w:qFormat/>
    <w:uiPriority w:val="0"/>
    <w:pPr>
      <w:widowControl/>
      <w:pBdr>
        <w:left w:val="single" w:color="auto" w:sz="4" w:space="0"/>
        <w:bottom w:val="single" w:color="auto" w:sz="8" w:space="0"/>
      </w:pBdr>
      <w:spacing w:before="100" w:beforeAutospacing="1" w:after="100" w:afterAutospacing="1"/>
      <w:jc w:val="center"/>
      <w:textAlignment w:val="center"/>
    </w:pPr>
    <w:rPr>
      <w:rFonts w:ascii="Arial Unicode MS" w:hAnsi="Arial Unicode MS"/>
      <w:kern w:val="0"/>
      <w:sz w:val="16"/>
      <w:szCs w:val="16"/>
    </w:rPr>
  </w:style>
  <w:style w:type="paragraph" w:customStyle="1" w:styleId="621">
    <w:name w:val="xl143"/>
    <w:basedOn w:val="1"/>
    <w:qFormat/>
    <w:uiPriority w:val="0"/>
    <w:pPr>
      <w:widowControl/>
      <w:pBdr>
        <w:top w:val="single" w:color="auto" w:sz="8" w:space="0"/>
        <w:left w:val="single" w:color="auto" w:sz="4" w:space="0"/>
        <w:bottom w:val="single" w:color="auto" w:sz="8" w:space="0"/>
      </w:pBdr>
      <w:spacing w:before="100" w:beforeAutospacing="1" w:after="100" w:afterAutospacing="1"/>
      <w:jc w:val="center"/>
      <w:textAlignment w:val="center"/>
    </w:pPr>
    <w:rPr>
      <w:rFonts w:ascii="Arial Unicode MS" w:hAnsi="Arial Unicode MS"/>
      <w:kern w:val="0"/>
      <w:sz w:val="16"/>
      <w:szCs w:val="16"/>
    </w:rPr>
  </w:style>
  <w:style w:type="paragraph" w:customStyle="1" w:styleId="622">
    <w:name w:val="xl144"/>
    <w:basedOn w:val="1"/>
    <w:qFormat/>
    <w:uiPriority w:val="0"/>
    <w:pPr>
      <w:widowControl/>
      <w:pBdr>
        <w:left w:val="single" w:color="auto" w:sz="4" w:space="0"/>
        <w:bottom w:val="single" w:color="auto" w:sz="8" w:space="0"/>
      </w:pBdr>
      <w:spacing w:before="100" w:beforeAutospacing="1" w:after="100" w:afterAutospacing="1"/>
      <w:jc w:val="center"/>
      <w:textAlignment w:val="center"/>
    </w:pPr>
    <w:rPr>
      <w:rFonts w:ascii="Arial Unicode MS" w:hAnsi="Arial Unicode MS"/>
      <w:kern w:val="0"/>
      <w:sz w:val="16"/>
      <w:szCs w:val="16"/>
    </w:rPr>
  </w:style>
  <w:style w:type="paragraph" w:customStyle="1" w:styleId="623">
    <w:name w:val="xl145"/>
    <w:basedOn w:val="1"/>
    <w:qFormat/>
    <w:uiPriority w:val="0"/>
    <w:pPr>
      <w:widowControl/>
      <w:spacing w:before="100" w:beforeAutospacing="1" w:after="100" w:afterAutospacing="1"/>
      <w:jc w:val="left"/>
    </w:pPr>
    <w:rPr>
      <w:rFonts w:ascii="Arial Unicode MS" w:hAnsi="Arial Unicode MS"/>
      <w:kern w:val="0"/>
      <w:sz w:val="16"/>
      <w:szCs w:val="16"/>
    </w:rPr>
  </w:style>
  <w:style w:type="paragraph" w:customStyle="1" w:styleId="624">
    <w:name w:val="xl146"/>
    <w:basedOn w:val="1"/>
    <w:qFormat/>
    <w:uiPriority w:val="0"/>
    <w:pPr>
      <w:widowControl/>
      <w:spacing w:before="100" w:beforeAutospacing="1" w:after="100" w:afterAutospacing="1"/>
      <w:jc w:val="left"/>
    </w:pPr>
    <w:rPr>
      <w:rFonts w:ascii="Arial Unicode MS" w:hAnsi="Arial Unicode MS"/>
      <w:kern w:val="0"/>
      <w:sz w:val="16"/>
      <w:szCs w:val="16"/>
    </w:rPr>
  </w:style>
  <w:style w:type="paragraph" w:customStyle="1" w:styleId="625">
    <w:name w:val="xl147"/>
    <w:basedOn w:val="1"/>
    <w:qFormat/>
    <w:uiPriority w:val="0"/>
    <w:pPr>
      <w:widowControl/>
      <w:spacing w:before="100" w:beforeAutospacing="1" w:after="100" w:afterAutospacing="1"/>
      <w:jc w:val="center"/>
    </w:pPr>
    <w:rPr>
      <w:rFonts w:ascii="Arial Unicode MS" w:hAnsi="Arial Unicode MS"/>
      <w:kern w:val="0"/>
    </w:rPr>
  </w:style>
  <w:style w:type="paragraph" w:customStyle="1" w:styleId="626">
    <w:name w:val="xl148"/>
    <w:basedOn w:val="1"/>
    <w:qFormat/>
    <w:uiPriority w:val="0"/>
    <w:pPr>
      <w:widowControl/>
      <w:pBdr>
        <w:bottom w:val="single" w:color="auto" w:sz="8" w:space="0"/>
      </w:pBdr>
      <w:spacing w:before="100" w:beforeAutospacing="1" w:after="100" w:afterAutospacing="1"/>
      <w:jc w:val="left"/>
    </w:pPr>
    <w:rPr>
      <w:rFonts w:ascii="Arial Unicode MS" w:hAnsi="Arial Unicode MS"/>
      <w:kern w:val="0"/>
    </w:rPr>
  </w:style>
  <w:style w:type="paragraph" w:customStyle="1" w:styleId="627">
    <w:name w:val="xl149"/>
    <w:basedOn w:val="1"/>
    <w:qFormat/>
    <w:uiPriority w:val="0"/>
    <w:pPr>
      <w:widowControl/>
      <w:pBdr>
        <w:bottom w:val="single" w:color="auto" w:sz="8" w:space="0"/>
        <w:right w:val="single" w:color="auto" w:sz="4" w:space="0"/>
      </w:pBdr>
      <w:spacing w:before="100" w:beforeAutospacing="1" w:after="100" w:afterAutospacing="1"/>
      <w:jc w:val="left"/>
    </w:pPr>
    <w:rPr>
      <w:rFonts w:ascii="Arial Unicode MS" w:hAnsi="Arial Unicode MS"/>
      <w:kern w:val="0"/>
    </w:rPr>
  </w:style>
  <w:style w:type="paragraph" w:customStyle="1" w:styleId="628">
    <w:name w:val="xl150"/>
    <w:basedOn w:val="1"/>
    <w:qFormat/>
    <w:uiPriority w:val="0"/>
    <w:pPr>
      <w:widowControl/>
      <w:pBdr>
        <w:bottom w:val="single" w:color="auto" w:sz="8" w:space="0"/>
      </w:pBdr>
      <w:spacing w:before="100" w:beforeAutospacing="1" w:after="100" w:afterAutospacing="1"/>
      <w:jc w:val="left"/>
    </w:pPr>
    <w:rPr>
      <w:rFonts w:ascii="Arial Unicode MS" w:hAnsi="Arial Unicode MS"/>
      <w:kern w:val="0"/>
      <w:sz w:val="16"/>
      <w:szCs w:val="16"/>
    </w:rPr>
  </w:style>
  <w:style w:type="paragraph" w:customStyle="1" w:styleId="629">
    <w:name w:val="xl151"/>
    <w:basedOn w:val="1"/>
    <w:qFormat/>
    <w:uiPriority w:val="0"/>
    <w:pPr>
      <w:widowControl/>
      <w:spacing w:before="100" w:beforeAutospacing="1" w:after="100" w:afterAutospacing="1"/>
      <w:jc w:val="left"/>
    </w:pPr>
    <w:rPr>
      <w:kern w:val="0"/>
      <w:sz w:val="16"/>
      <w:szCs w:val="16"/>
    </w:rPr>
  </w:style>
  <w:style w:type="paragraph" w:customStyle="1" w:styleId="630">
    <w:name w:val="xl152"/>
    <w:basedOn w:val="1"/>
    <w:qFormat/>
    <w:uiPriority w:val="0"/>
    <w:pPr>
      <w:widowControl/>
      <w:spacing w:before="100" w:beforeAutospacing="1" w:after="100" w:afterAutospacing="1"/>
      <w:jc w:val="left"/>
      <w:textAlignment w:val="center"/>
    </w:pPr>
    <w:rPr>
      <w:rFonts w:ascii="Arial Unicode MS" w:hAnsi="Arial Unicode MS"/>
      <w:kern w:val="0"/>
      <w:sz w:val="16"/>
      <w:szCs w:val="16"/>
    </w:rPr>
  </w:style>
  <w:style w:type="paragraph" w:customStyle="1" w:styleId="631">
    <w:name w:val="xl153"/>
    <w:basedOn w:val="1"/>
    <w:qFormat/>
    <w:uiPriority w:val="0"/>
    <w:pPr>
      <w:widowControl/>
      <w:spacing w:before="100" w:beforeAutospacing="1" w:after="100" w:afterAutospacing="1"/>
      <w:jc w:val="center"/>
      <w:textAlignment w:val="center"/>
    </w:pPr>
    <w:rPr>
      <w:rFonts w:ascii="Arial Unicode MS" w:hAnsi="Arial Unicode MS"/>
      <w:kern w:val="0"/>
      <w:sz w:val="16"/>
      <w:szCs w:val="16"/>
    </w:rPr>
  </w:style>
  <w:style w:type="paragraph" w:customStyle="1" w:styleId="632">
    <w:name w:val="xl154"/>
    <w:basedOn w:val="1"/>
    <w:qFormat/>
    <w:uiPriority w:val="0"/>
    <w:pPr>
      <w:widowControl/>
      <w:pBdr>
        <w:left w:val="single" w:color="auto" w:sz="12" w:space="0"/>
        <w:bottom w:val="single" w:color="auto" w:sz="8" w:space="0"/>
      </w:pBdr>
      <w:spacing w:before="100" w:beforeAutospacing="1" w:after="100" w:afterAutospacing="1"/>
      <w:jc w:val="center"/>
    </w:pPr>
    <w:rPr>
      <w:rFonts w:ascii="Arial Unicode MS" w:hAnsi="Arial Unicode MS"/>
      <w:kern w:val="0"/>
      <w:sz w:val="12"/>
      <w:szCs w:val="12"/>
    </w:rPr>
  </w:style>
  <w:style w:type="paragraph" w:customStyle="1" w:styleId="633">
    <w:name w:val="xl15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Arial Unicode MS" w:hAnsi="Arial Unicode MS"/>
      <w:kern w:val="0"/>
      <w:sz w:val="20"/>
      <w:szCs w:val="20"/>
    </w:rPr>
  </w:style>
  <w:style w:type="paragraph" w:customStyle="1" w:styleId="634">
    <w:name w:val="xl156"/>
    <w:basedOn w:val="1"/>
    <w:qFormat/>
    <w:uiPriority w:val="0"/>
    <w:pPr>
      <w:widowControl/>
      <w:pBdr>
        <w:left w:val="single" w:color="auto" w:sz="4" w:space="0"/>
        <w:right w:val="single" w:color="auto" w:sz="4" w:space="0"/>
      </w:pBdr>
      <w:spacing w:before="100" w:beforeAutospacing="1" w:after="100" w:afterAutospacing="1"/>
      <w:jc w:val="left"/>
    </w:pPr>
    <w:rPr>
      <w:rFonts w:ascii="Arial Unicode MS" w:hAnsi="Arial Unicode MS"/>
      <w:kern w:val="0"/>
      <w:sz w:val="20"/>
      <w:szCs w:val="20"/>
    </w:rPr>
  </w:style>
  <w:style w:type="paragraph" w:customStyle="1" w:styleId="635">
    <w:name w:val="xl157"/>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kern w:val="0"/>
      <w:sz w:val="20"/>
      <w:szCs w:val="20"/>
    </w:rPr>
  </w:style>
  <w:style w:type="paragraph" w:customStyle="1" w:styleId="636">
    <w:name w:val="xl158"/>
    <w:basedOn w:val="1"/>
    <w:qFormat/>
    <w:uiPriority w:val="0"/>
    <w:pPr>
      <w:widowControl/>
      <w:pBdr>
        <w:bottom w:val="single" w:color="auto" w:sz="8" w:space="0"/>
        <w:right w:val="single" w:color="auto" w:sz="4" w:space="0"/>
      </w:pBdr>
      <w:spacing w:before="100" w:beforeAutospacing="1" w:after="100" w:afterAutospacing="1"/>
      <w:jc w:val="left"/>
    </w:pPr>
    <w:rPr>
      <w:rFonts w:ascii="Arial Unicode MS" w:hAnsi="Arial Unicode MS"/>
      <w:kern w:val="0"/>
      <w:sz w:val="16"/>
      <w:szCs w:val="16"/>
    </w:rPr>
  </w:style>
  <w:style w:type="paragraph" w:customStyle="1" w:styleId="637">
    <w:name w:val="xl159"/>
    <w:basedOn w:val="1"/>
    <w:qFormat/>
    <w:uiPriority w:val="0"/>
    <w:pPr>
      <w:widowControl/>
      <w:pBdr>
        <w:right w:val="single" w:color="auto" w:sz="4" w:space="0"/>
      </w:pBdr>
      <w:spacing w:before="100" w:beforeAutospacing="1" w:after="100" w:afterAutospacing="1"/>
      <w:jc w:val="left"/>
    </w:pPr>
    <w:rPr>
      <w:rFonts w:ascii="Arial Unicode MS" w:hAnsi="Arial Unicode MS"/>
      <w:kern w:val="0"/>
    </w:rPr>
  </w:style>
  <w:style w:type="paragraph" w:customStyle="1" w:styleId="638">
    <w:name w:val="xl160"/>
    <w:basedOn w:val="1"/>
    <w:qFormat/>
    <w:uiPriority w:val="0"/>
    <w:pPr>
      <w:widowControl/>
      <w:spacing w:before="100" w:beforeAutospacing="1" w:after="100" w:afterAutospacing="1"/>
      <w:jc w:val="center"/>
      <w:textAlignment w:val="center"/>
    </w:pPr>
    <w:rPr>
      <w:rFonts w:ascii="Arial Unicode MS" w:hAnsi="Arial Unicode MS"/>
      <w:kern w:val="0"/>
    </w:rPr>
  </w:style>
  <w:style w:type="paragraph" w:customStyle="1" w:styleId="639">
    <w:name w:val="xl161"/>
    <w:basedOn w:val="1"/>
    <w:qFormat/>
    <w:uiPriority w:val="0"/>
    <w:pPr>
      <w:widowControl/>
      <w:spacing w:before="100" w:beforeAutospacing="1" w:after="100" w:afterAutospacing="1"/>
      <w:jc w:val="center"/>
      <w:textAlignment w:val="center"/>
    </w:pPr>
    <w:rPr>
      <w:rFonts w:ascii="Arial Unicode MS" w:hAnsi="Arial Unicode MS"/>
      <w:kern w:val="0"/>
    </w:rPr>
  </w:style>
  <w:style w:type="paragraph" w:customStyle="1" w:styleId="640">
    <w:name w:val="xl162"/>
    <w:basedOn w:val="1"/>
    <w:qFormat/>
    <w:uiPriority w:val="0"/>
    <w:pPr>
      <w:widowControl/>
      <w:pBdr>
        <w:bottom w:val="single" w:color="auto" w:sz="12" w:space="0"/>
        <w:right w:val="single" w:color="auto" w:sz="12" w:space="0"/>
      </w:pBdr>
      <w:spacing w:before="100" w:beforeAutospacing="1" w:after="100" w:afterAutospacing="1"/>
      <w:jc w:val="center"/>
      <w:textAlignment w:val="center"/>
    </w:pPr>
    <w:rPr>
      <w:rFonts w:ascii="Arial Unicode MS" w:hAnsi="Arial Unicode MS"/>
      <w:kern w:val="0"/>
    </w:rPr>
  </w:style>
  <w:style w:type="paragraph" w:customStyle="1" w:styleId="641">
    <w:name w:val="xl163"/>
    <w:basedOn w:val="1"/>
    <w:qFormat/>
    <w:uiPriority w:val="0"/>
    <w:pPr>
      <w:widowControl/>
      <w:pBdr>
        <w:left w:val="single" w:color="auto" w:sz="12" w:space="0"/>
      </w:pBdr>
      <w:spacing w:before="100" w:beforeAutospacing="1" w:after="100" w:afterAutospacing="1"/>
      <w:jc w:val="center"/>
      <w:textAlignment w:val="center"/>
    </w:pPr>
    <w:rPr>
      <w:rFonts w:ascii="Arial Unicode MS" w:hAnsi="Arial Unicode MS"/>
      <w:kern w:val="0"/>
    </w:rPr>
  </w:style>
  <w:style w:type="paragraph" w:customStyle="1" w:styleId="642">
    <w:name w:val="xl164"/>
    <w:basedOn w:val="1"/>
    <w:qFormat/>
    <w:uiPriority w:val="0"/>
    <w:pPr>
      <w:widowControl/>
      <w:pBdr>
        <w:left w:val="single" w:color="auto" w:sz="12" w:space="0"/>
        <w:bottom w:val="single" w:color="auto" w:sz="12" w:space="0"/>
      </w:pBdr>
      <w:spacing w:before="100" w:beforeAutospacing="1" w:after="100" w:afterAutospacing="1"/>
      <w:jc w:val="center"/>
    </w:pPr>
    <w:rPr>
      <w:rFonts w:ascii="Arial Unicode MS" w:hAnsi="Arial Unicode MS"/>
      <w:kern w:val="0"/>
    </w:rPr>
  </w:style>
  <w:style w:type="paragraph" w:customStyle="1" w:styleId="643">
    <w:name w:val="xl165"/>
    <w:basedOn w:val="1"/>
    <w:qFormat/>
    <w:uiPriority w:val="0"/>
    <w:pPr>
      <w:widowControl/>
      <w:pBdr>
        <w:top w:val="single" w:color="auto" w:sz="12" w:space="0"/>
        <w:right w:val="single" w:color="auto" w:sz="4" w:space="0"/>
      </w:pBdr>
      <w:spacing w:before="100" w:beforeAutospacing="1" w:after="100" w:afterAutospacing="1"/>
      <w:jc w:val="center"/>
      <w:textAlignment w:val="center"/>
    </w:pPr>
    <w:rPr>
      <w:rFonts w:ascii="Arial Unicode MS" w:hAnsi="Arial Unicode MS"/>
      <w:kern w:val="0"/>
    </w:rPr>
  </w:style>
  <w:style w:type="paragraph" w:customStyle="1" w:styleId="644">
    <w:name w:val="xl166"/>
    <w:basedOn w:val="1"/>
    <w:qFormat/>
    <w:uiPriority w:val="0"/>
    <w:pPr>
      <w:widowControl/>
      <w:pBdr>
        <w:left w:val="single" w:color="auto" w:sz="12" w:space="0"/>
        <w:bottom w:val="single" w:color="auto" w:sz="12" w:space="0"/>
      </w:pBdr>
      <w:spacing w:before="100" w:beforeAutospacing="1" w:after="100" w:afterAutospacing="1"/>
      <w:jc w:val="center"/>
      <w:textAlignment w:val="center"/>
    </w:pPr>
    <w:rPr>
      <w:rFonts w:ascii="Arial Unicode MS" w:hAnsi="Arial Unicode MS"/>
      <w:kern w:val="0"/>
    </w:rPr>
  </w:style>
  <w:style w:type="paragraph" w:customStyle="1" w:styleId="645">
    <w:name w:val="xl167"/>
    <w:basedOn w:val="1"/>
    <w:qFormat/>
    <w:uiPriority w:val="0"/>
    <w:pPr>
      <w:widowControl/>
      <w:pBdr>
        <w:bottom w:val="single" w:color="auto" w:sz="12" w:space="0"/>
      </w:pBdr>
      <w:spacing w:before="100" w:beforeAutospacing="1" w:after="100" w:afterAutospacing="1"/>
      <w:jc w:val="center"/>
      <w:textAlignment w:val="center"/>
    </w:pPr>
    <w:rPr>
      <w:rFonts w:ascii="Arial Unicode MS" w:hAnsi="Arial Unicode MS"/>
      <w:kern w:val="0"/>
    </w:rPr>
  </w:style>
  <w:style w:type="paragraph" w:customStyle="1" w:styleId="646">
    <w:name w:val="xl168"/>
    <w:basedOn w:val="1"/>
    <w:qFormat/>
    <w:uiPriority w:val="0"/>
    <w:pPr>
      <w:widowControl/>
      <w:pBdr>
        <w:bottom w:val="single" w:color="auto" w:sz="12" w:space="0"/>
        <w:right w:val="single" w:color="auto" w:sz="4" w:space="0"/>
      </w:pBdr>
      <w:spacing w:before="100" w:beforeAutospacing="1" w:after="100" w:afterAutospacing="1"/>
      <w:jc w:val="center"/>
      <w:textAlignment w:val="center"/>
    </w:pPr>
    <w:rPr>
      <w:rFonts w:ascii="Arial Unicode MS" w:hAnsi="Arial Unicode MS"/>
      <w:kern w:val="0"/>
    </w:rPr>
  </w:style>
  <w:style w:type="paragraph" w:customStyle="1" w:styleId="647">
    <w:name w:val="xl169"/>
    <w:basedOn w:val="1"/>
    <w:qFormat/>
    <w:uiPriority w:val="0"/>
    <w:pPr>
      <w:widowControl/>
      <w:pBdr>
        <w:right w:val="single" w:color="auto" w:sz="4" w:space="0"/>
      </w:pBdr>
      <w:spacing w:before="100" w:beforeAutospacing="1" w:after="100" w:afterAutospacing="1"/>
      <w:jc w:val="center"/>
      <w:textAlignment w:val="center"/>
    </w:pPr>
    <w:rPr>
      <w:rFonts w:ascii="Arial Unicode MS" w:hAnsi="Arial Unicode MS"/>
      <w:kern w:val="0"/>
    </w:rPr>
  </w:style>
  <w:style w:type="paragraph" w:customStyle="1" w:styleId="648">
    <w:name w:val="xl170"/>
    <w:basedOn w:val="1"/>
    <w:qFormat/>
    <w:uiPriority w:val="0"/>
    <w:pPr>
      <w:widowControl/>
      <w:pBdr>
        <w:left w:val="single" w:color="auto" w:sz="4" w:space="0"/>
        <w:bottom w:val="single" w:color="auto" w:sz="12" w:space="0"/>
      </w:pBdr>
      <w:spacing w:before="100" w:beforeAutospacing="1" w:after="100" w:afterAutospacing="1"/>
      <w:jc w:val="center"/>
      <w:textAlignment w:val="center"/>
    </w:pPr>
    <w:rPr>
      <w:rFonts w:ascii="Arial Unicode MS" w:hAnsi="Arial Unicode MS"/>
      <w:kern w:val="0"/>
    </w:rPr>
  </w:style>
  <w:style w:type="paragraph" w:customStyle="1" w:styleId="649">
    <w:name w:val="xl171"/>
    <w:basedOn w:val="1"/>
    <w:qFormat/>
    <w:uiPriority w:val="0"/>
    <w:pPr>
      <w:widowControl/>
      <w:pBdr>
        <w:bottom w:val="single" w:color="auto" w:sz="12" w:space="0"/>
      </w:pBdr>
      <w:spacing w:before="100" w:beforeAutospacing="1" w:after="100" w:afterAutospacing="1"/>
      <w:jc w:val="center"/>
      <w:textAlignment w:val="center"/>
    </w:pPr>
    <w:rPr>
      <w:rFonts w:ascii="Arial Unicode MS" w:hAnsi="Arial Unicode MS"/>
      <w:kern w:val="0"/>
    </w:rPr>
  </w:style>
  <w:style w:type="paragraph" w:customStyle="1" w:styleId="650">
    <w:name w:val="xl172"/>
    <w:basedOn w:val="1"/>
    <w:qFormat/>
    <w:uiPriority w:val="0"/>
    <w:pPr>
      <w:widowControl/>
      <w:pBdr>
        <w:top w:val="single" w:color="auto" w:sz="12" w:space="0"/>
        <w:left w:val="single" w:color="auto" w:sz="12" w:space="0"/>
        <w:right w:val="single" w:color="auto" w:sz="4" w:space="0"/>
      </w:pBdr>
      <w:spacing w:before="100" w:beforeAutospacing="1" w:after="100" w:afterAutospacing="1"/>
      <w:jc w:val="center"/>
      <w:textAlignment w:val="center"/>
    </w:pPr>
    <w:rPr>
      <w:rFonts w:ascii="Arial Unicode MS" w:hAnsi="Arial Unicode MS"/>
      <w:kern w:val="0"/>
    </w:rPr>
  </w:style>
  <w:style w:type="paragraph" w:customStyle="1" w:styleId="651">
    <w:name w:val="xl173"/>
    <w:basedOn w:val="1"/>
    <w:qFormat/>
    <w:uiPriority w:val="0"/>
    <w:pPr>
      <w:widowControl/>
      <w:spacing w:before="100" w:beforeAutospacing="1" w:after="100" w:afterAutospacing="1"/>
      <w:jc w:val="center"/>
      <w:textAlignment w:val="center"/>
    </w:pPr>
    <w:rPr>
      <w:rFonts w:ascii="Arial Unicode MS" w:hAnsi="Arial Unicode MS"/>
      <w:kern w:val="0"/>
    </w:rPr>
  </w:style>
  <w:style w:type="paragraph" w:customStyle="1" w:styleId="652">
    <w:name w:val="xl174"/>
    <w:basedOn w:val="1"/>
    <w:qFormat/>
    <w:uiPriority w:val="0"/>
    <w:pPr>
      <w:widowControl/>
      <w:spacing w:before="100" w:beforeAutospacing="1" w:after="100" w:afterAutospacing="1"/>
      <w:jc w:val="center"/>
    </w:pPr>
    <w:rPr>
      <w:rFonts w:ascii="Arial Unicode MS" w:hAnsi="Arial Unicode MS"/>
      <w:kern w:val="0"/>
      <w:sz w:val="16"/>
      <w:szCs w:val="16"/>
    </w:rPr>
  </w:style>
  <w:style w:type="paragraph" w:customStyle="1" w:styleId="653">
    <w:name w:val="xl175"/>
    <w:basedOn w:val="1"/>
    <w:qFormat/>
    <w:uiPriority w:val="0"/>
    <w:pPr>
      <w:widowControl/>
      <w:pBdr>
        <w:left w:val="single" w:color="auto" w:sz="12" w:space="0"/>
        <w:right w:val="single" w:color="auto" w:sz="4" w:space="0"/>
      </w:pBdr>
      <w:spacing w:before="100" w:beforeAutospacing="1" w:after="100" w:afterAutospacing="1"/>
      <w:jc w:val="left"/>
    </w:pPr>
    <w:rPr>
      <w:rFonts w:ascii="Arial Unicode MS" w:hAnsi="Arial Unicode MS"/>
      <w:kern w:val="0"/>
    </w:rPr>
  </w:style>
  <w:style w:type="paragraph" w:customStyle="1" w:styleId="654">
    <w:name w:val="xl176"/>
    <w:basedOn w:val="1"/>
    <w:qFormat/>
    <w:uiPriority w:val="0"/>
    <w:pPr>
      <w:widowControl/>
      <w:pBdr>
        <w:top w:val="single" w:color="auto" w:sz="12" w:space="0"/>
        <w:left w:val="single" w:color="auto" w:sz="12" w:space="0"/>
      </w:pBdr>
      <w:spacing w:before="100" w:beforeAutospacing="1" w:after="100" w:afterAutospacing="1"/>
      <w:jc w:val="left"/>
    </w:pPr>
    <w:rPr>
      <w:rFonts w:ascii="Arial Unicode MS" w:hAnsi="Arial Unicode MS"/>
      <w:kern w:val="0"/>
    </w:rPr>
  </w:style>
  <w:style w:type="paragraph" w:customStyle="1" w:styleId="655">
    <w:name w:val="xl177"/>
    <w:basedOn w:val="1"/>
    <w:qFormat/>
    <w:uiPriority w:val="0"/>
    <w:pPr>
      <w:widowControl/>
      <w:pBdr>
        <w:left w:val="single" w:color="auto" w:sz="4" w:space="0"/>
      </w:pBdr>
      <w:spacing w:before="100" w:beforeAutospacing="1" w:after="100" w:afterAutospacing="1"/>
      <w:jc w:val="center"/>
    </w:pPr>
    <w:rPr>
      <w:rFonts w:ascii="Arial Unicode MS" w:hAnsi="Arial Unicode MS"/>
      <w:kern w:val="0"/>
      <w:sz w:val="12"/>
      <w:szCs w:val="12"/>
    </w:rPr>
  </w:style>
  <w:style w:type="paragraph" w:customStyle="1" w:styleId="656">
    <w:name w:val="xl178"/>
    <w:basedOn w:val="1"/>
    <w:qFormat/>
    <w:uiPriority w:val="0"/>
    <w:pPr>
      <w:widowControl/>
      <w:spacing w:before="100" w:beforeAutospacing="1" w:after="100" w:afterAutospacing="1"/>
      <w:jc w:val="center"/>
    </w:pPr>
    <w:rPr>
      <w:rFonts w:ascii="Arial Unicode MS" w:hAnsi="Arial Unicode MS"/>
      <w:kern w:val="0"/>
      <w:sz w:val="12"/>
      <w:szCs w:val="12"/>
    </w:rPr>
  </w:style>
  <w:style w:type="paragraph" w:customStyle="1" w:styleId="657">
    <w:name w:val="xl17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Arial Unicode MS" w:hAnsi="Arial Unicode MS"/>
      <w:kern w:val="0"/>
      <w:sz w:val="16"/>
      <w:szCs w:val="16"/>
    </w:rPr>
  </w:style>
  <w:style w:type="paragraph" w:customStyle="1" w:styleId="658">
    <w:name w:val="xl180"/>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Arial Unicode MS" w:hAnsi="Arial Unicode MS"/>
      <w:kern w:val="0"/>
      <w:sz w:val="16"/>
      <w:szCs w:val="16"/>
    </w:rPr>
  </w:style>
  <w:style w:type="paragraph" w:customStyle="1" w:styleId="659">
    <w:name w:val="xl181"/>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kern w:val="0"/>
      <w:sz w:val="16"/>
      <w:szCs w:val="16"/>
    </w:rPr>
  </w:style>
  <w:style w:type="paragraph" w:customStyle="1" w:styleId="660">
    <w:name w:val="xl18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kern w:val="0"/>
      <w:sz w:val="16"/>
      <w:szCs w:val="16"/>
    </w:rPr>
  </w:style>
  <w:style w:type="paragraph" w:customStyle="1" w:styleId="661">
    <w:name w:val="xl183"/>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Arial Unicode MS" w:hAnsi="Arial Unicode MS"/>
      <w:kern w:val="0"/>
      <w:sz w:val="16"/>
      <w:szCs w:val="16"/>
    </w:rPr>
  </w:style>
  <w:style w:type="paragraph" w:customStyle="1" w:styleId="662">
    <w:name w:val="xl184"/>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kern w:val="0"/>
      <w:sz w:val="16"/>
      <w:szCs w:val="16"/>
    </w:rPr>
  </w:style>
  <w:style w:type="paragraph" w:customStyle="1" w:styleId="663">
    <w:name w:val="xl185"/>
    <w:basedOn w:val="1"/>
    <w:qFormat/>
    <w:uiPriority w:val="0"/>
    <w:pPr>
      <w:widowControl/>
      <w:pBdr>
        <w:bottom w:val="single" w:color="auto" w:sz="12" w:space="0"/>
        <w:right w:val="single" w:color="auto" w:sz="4" w:space="0"/>
      </w:pBdr>
      <w:spacing w:before="100" w:beforeAutospacing="1" w:after="100" w:afterAutospacing="1"/>
      <w:jc w:val="center"/>
      <w:textAlignment w:val="center"/>
    </w:pPr>
    <w:rPr>
      <w:rFonts w:ascii="Arial Unicode MS" w:hAnsi="Arial Unicode MS"/>
      <w:kern w:val="0"/>
      <w:sz w:val="12"/>
      <w:szCs w:val="12"/>
    </w:rPr>
  </w:style>
  <w:style w:type="paragraph" w:customStyle="1" w:styleId="664">
    <w:name w:val="xl186"/>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kern w:val="0"/>
      <w:sz w:val="16"/>
      <w:szCs w:val="16"/>
    </w:rPr>
  </w:style>
  <w:style w:type="paragraph" w:customStyle="1" w:styleId="665">
    <w:name w:val="xl18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kern w:val="0"/>
      <w:sz w:val="16"/>
      <w:szCs w:val="16"/>
    </w:rPr>
  </w:style>
  <w:style w:type="paragraph" w:customStyle="1" w:styleId="666">
    <w:name w:val="xl188"/>
    <w:basedOn w:val="1"/>
    <w:qFormat/>
    <w:uiPriority w:val="0"/>
    <w:pPr>
      <w:widowControl/>
      <w:spacing w:before="100" w:beforeAutospacing="1" w:after="100" w:afterAutospacing="1"/>
      <w:jc w:val="left"/>
      <w:textAlignment w:val="center"/>
    </w:pPr>
    <w:rPr>
      <w:kern w:val="0"/>
      <w:sz w:val="12"/>
      <w:szCs w:val="12"/>
    </w:rPr>
  </w:style>
  <w:style w:type="paragraph" w:customStyle="1" w:styleId="667">
    <w:name w:val="xl189"/>
    <w:basedOn w:val="1"/>
    <w:qFormat/>
    <w:uiPriority w:val="0"/>
    <w:pPr>
      <w:widowControl/>
      <w:pBdr>
        <w:bottom w:val="single" w:color="auto" w:sz="12" w:space="0"/>
        <w:right w:val="single" w:color="auto" w:sz="4" w:space="0"/>
      </w:pBdr>
      <w:spacing w:before="100" w:beforeAutospacing="1" w:after="100" w:afterAutospacing="1"/>
      <w:jc w:val="center"/>
      <w:textAlignment w:val="center"/>
    </w:pPr>
    <w:rPr>
      <w:rFonts w:ascii="Arial Unicode MS" w:hAnsi="Arial Unicode MS"/>
      <w:kern w:val="0"/>
    </w:rPr>
  </w:style>
  <w:style w:type="paragraph" w:customStyle="1" w:styleId="668">
    <w:name w:val="xl190"/>
    <w:basedOn w:val="1"/>
    <w:qFormat/>
    <w:uiPriority w:val="0"/>
    <w:pPr>
      <w:widowControl/>
      <w:pBdr>
        <w:top w:val="single" w:color="auto" w:sz="12" w:space="0"/>
      </w:pBdr>
      <w:spacing w:before="100" w:beforeAutospacing="1" w:after="100" w:afterAutospacing="1"/>
      <w:jc w:val="left"/>
      <w:textAlignment w:val="center"/>
    </w:pPr>
    <w:rPr>
      <w:rFonts w:ascii="Arial Unicode MS" w:hAnsi="Arial Unicode MS"/>
      <w:kern w:val="0"/>
      <w:sz w:val="12"/>
      <w:szCs w:val="12"/>
    </w:rPr>
  </w:style>
  <w:style w:type="paragraph" w:customStyle="1" w:styleId="669">
    <w:name w:val="xl191"/>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kern w:val="0"/>
      <w:sz w:val="16"/>
      <w:szCs w:val="16"/>
    </w:rPr>
  </w:style>
  <w:style w:type="paragraph" w:customStyle="1" w:styleId="670">
    <w:name w:val="xl19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Arial Unicode MS" w:hAnsi="Arial Unicode MS"/>
      <w:kern w:val="0"/>
      <w:sz w:val="16"/>
      <w:szCs w:val="16"/>
    </w:rPr>
  </w:style>
  <w:style w:type="paragraph" w:customStyle="1" w:styleId="671">
    <w:name w:val="xl19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kern w:val="0"/>
      <w:sz w:val="16"/>
      <w:szCs w:val="16"/>
    </w:rPr>
  </w:style>
  <w:style w:type="paragraph" w:customStyle="1" w:styleId="672">
    <w:name w:val="xl194"/>
    <w:basedOn w:val="1"/>
    <w:qFormat/>
    <w:uiPriority w:val="0"/>
    <w:pPr>
      <w:widowControl/>
      <w:spacing w:before="100" w:beforeAutospacing="1" w:after="100" w:afterAutospacing="1"/>
      <w:jc w:val="center"/>
    </w:pPr>
    <w:rPr>
      <w:kern w:val="0"/>
      <w:sz w:val="16"/>
      <w:szCs w:val="16"/>
    </w:rPr>
  </w:style>
  <w:style w:type="paragraph" w:customStyle="1" w:styleId="673">
    <w:name w:val="xl19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Arial Unicode MS" w:hAnsi="Arial Unicode MS"/>
      <w:kern w:val="0"/>
    </w:rPr>
  </w:style>
  <w:style w:type="paragraph" w:customStyle="1" w:styleId="674">
    <w:name w:val="xl196"/>
    <w:basedOn w:val="1"/>
    <w:qFormat/>
    <w:uiPriority w:val="0"/>
    <w:pPr>
      <w:widowControl/>
      <w:pBdr>
        <w:left w:val="single" w:color="auto" w:sz="4" w:space="0"/>
        <w:right w:val="single" w:color="auto" w:sz="4" w:space="0"/>
      </w:pBdr>
      <w:spacing w:before="100" w:beforeAutospacing="1" w:after="100" w:afterAutospacing="1"/>
      <w:jc w:val="center"/>
    </w:pPr>
    <w:rPr>
      <w:rFonts w:ascii="Arial Unicode MS" w:hAnsi="Arial Unicode MS"/>
      <w:kern w:val="0"/>
    </w:rPr>
  </w:style>
  <w:style w:type="paragraph" w:customStyle="1" w:styleId="675">
    <w:name w:val="xl197"/>
    <w:basedOn w:val="1"/>
    <w:qFormat/>
    <w:uiPriority w:val="0"/>
    <w:pPr>
      <w:widowControl/>
      <w:pBdr>
        <w:left w:val="single" w:color="auto" w:sz="4" w:space="0"/>
        <w:bottom w:val="single" w:color="auto" w:sz="8" w:space="0"/>
        <w:right w:val="single" w:color="auto" w:sz="4" w:space="0"/>
      </w:pBdr>
      <w:spacing w:before="100" w:beforeAutospacing="1" w:after="100" w:afterAutospacing="1"/>
      <w:jc w:val="center"/>
    </w:pPr>
    <w:rPr>
      <w:rFonts w:ascii="Arial Unicode MS" w:hAnsi="Arial Unicode MS"/>
      <w:kern w:val="0"/>
    </w:rPr>
  </w:style>
  <w:style w:type="paragraph" w:customStyle="1" w:styleId="676">
    <w:name w:val="xl198"/>
    <w:basedOn w:val="1"/>
    <w:qFormat/>
    <w:uiPriority w:val="0"/>
    <w:pPr>
      <w:widowControl/>
      <w:pBdr>
        <w:bottom w:val="single" w:color="auto" w:sz="8" w:space="0"/>
      </w:pBdr>
      <w:spacing w:before="100" w:beforeAutospacing="1" w:after="100" w:afterAutospacing="1"/>
      <w:jc w:val="center"/>
    </w:pPr>
    <w:rPr>
      <w:rFonts w:ascii="Arial Unicode MS" w:hAnsi="Arial Unicode MS"/>
      <w:kern w:val="0"/>
      <w:sz w:val="16"/>
      <w:szCs w:val="16"/>
    </w:rPr>
  </w:style>
  <w:style w:type="character" w:customStyle="1" w:styleId="677">
    <w:name w:val="css-text3"/>
    <w:basedOn w:val="133"/>
    <w:qFormat/>
    <w:uiPriority w:val="0"/>
  </w:style>
  <w:style w:type="paragraph" w:customStyle="1" w:styleId="678">
    <w:name w:val="style12"/>
    <w:basedOn w:val="1"/>
    <w:qFormat/>
    <w:uiPriority w:val="0"/>
    <w:pPr>
      <w:widowControl/>
      <w:spacing w:before="100" w:beforeAutospacing="1" w:after="100" w:afterAutospacing="1"/>
      <w:jc w:val="left"/>
    </w:pPr>
    <w:rPr>
      <w:rFonts w:ascii="Arial" w:hAnsi="Arial" w:cs="Arial"/>
      <w:color w:val="666666"/>
      <w:kern w:val="0"/>
      <w:sz w:val="18"/>
      <w:szCs w:val="18"/>
    </w:rPr>
  </w:style>
  <w:style w:type="paragraph" w:customStyle="1" w:styleId="679">
    <w:name w:val="图框"/>
    <w:basedOn w:val="1"/>
    <w:qFormat/>
    <w:uiPriority w:val="0"/>
    <w:pPr>
      <w:jc w:val="center"/>
    </w:pPr>
    <w:rPr>
      <w:szCs w:val="15"/>
    </w:rPr>
  </w:style>
  <w:style w:type="paragraph" w:customStyle="1" w:styleId="680">
    <w:name w:val="图注"/>
    <w:basedOn w:val="1"/>
    <w:next w:val="1"/>
    <w:qFormat/>
    <w:uiPriority w:val="0"/>
    <w:pPr>
      <w:spacing w:before="120" w:line="320" w:lineRule="atLeast"/>
      <w:ind w:left="7" w:leftChars="-27" w:hanging="72" w:hangingChars="30"/>
      <w:jc w:val="center"/>
    </w:pPr>
    <w:rPr>
      <w:rFonts w:ascii="宋体" w:hAnsi="宋体"/>
      <w:bCs/>
      <w:color w:val="000000"/>
      <w:kern w:val="0"/>
      <w:sz w:val="24"/>
    </w:rPr>
  </w:style>
  <w:style w:type="paragraph" w:customStyle="1" w:styleId="681">
    <w:name w:val="h"/>
    <w:basedOn w:val="1"/>
    <w:qFormat/>
    <w:uiPriority w:val="0"/>
    <w:pPr>
      <w:spacing w:before="60"/>
      <w:ind w:firstLine="482"/>
    </w:pPr>
    <w:rPr>
      <w:rFonts w:ascii="Arial" w:hAnsi="Arial" w:eastAsia="仿宋_GB2312"/>
      <w:kern w:val="0"/>
      <w:sz w:val="24"/>
      <w:szCs w:val="20"/>
    </w:rPr>
  </w:style>
  <w:style w:type="paragraph" w:customStyle="1" w:styleId="682">
    <w:name w:val="heading"/>
    <w:basedOn w:val="1"/>
    <w:next w:val="1"/>
    <w:qFormat/>
    <w:uiPriority w:val="0"/>
    <w:pPr>
      <w:keepNext/>
      <w:keepLines/>
      <w:tabs>
        <w:tab w:val="left" w:pos="576"/>
      </w:tabs>
      <w:spacing w:line="360" w:lineRule="auto"/>
      <w:ind w:left="576"/>
      <w:outlineLvl w:val="1"/>
    </w:pPr>
    <w:rPr>
      <w:rFonts w:ascii="宋体" w:hAnsi="Arial Black" w:cs="宋体"/>
      <w:sz w:val="24"/>
    </w:rPr>
  </w:style>
  <w:style w:type="character" w:customStyle="1" w:styleId="683">
    <w:name w:val="content1"/>
    <w:qFormat/>
    <w:uiPriority w:val="0"/>
    <w:rPr>
      <w:sz w:val="20"/>
      <w:szCs w:val="20"/>
    </w:rPr>
  </w:style>
  <w:style w:type="character" w:customStyle="1" w:styleId="684">
    <w:name w:val="HTML 地址 字符"/>
    <w:link w:val="43"/>
    <w:qFormat/>
    <w:uiPriority w:val="0"/>
    <w:rPr>
      <w:rFonts w:ascii="Arial" w:hAnsi="Arial" w:eastAsia="仿宋_GB2312"/>
      <w:i/>
      <w:iCs/>
      <w:sz w:val="24"/>
    </w:rPr>
  </w:style>
  <w:style w:type="character" w:customStyle="1" w:styleId="685">
    <w:name w:val="称呼 字符"/>
    <w:link w:val="31"/>
    <w:qFormat/>
    <w:uiPriority w:val="0"/>
    <w:rPr>
      <w:rFonts w:ascii="Arial" w:hAnsi="Arial" w:eastAsia="仿宋_GB2312"/>
      <w:sz w:val="24"/>
    </w:rPr>
  </w:style>
  <w:style w:type="character" w:customStyle="1" w:styleId="686">
    <w:name w:val="电子邮件签名 字符"/>
    <w:link w:val="20"/>
    <w:qFormat/>
    <w:uiPriority w:val="0"/>
    <w:rPr>
      <w:rFonts w:ascii="Arial" w:hAnsi="Arial" w:eastAsia="仿宋_GB2312"/>
      <w:sz w:val="24"/>
    </w:rPr>
  </w:style>
  <w:style w:type="paragraph" w:customStyle="1" w:styleId="687">
    <w:name w:val="封面"/>
    <w:basedOn w:val="1"/>
    <w:qFormat/>
    <w:uiPriority w:val="0"/>
    <w:pPr>
      <w:adjustRightInd w:val="0"/>
      <w:spacing w:before="60" w:line="360" w:lineRule="auto"/>
      <w:ind w:firstLine="482"/>
      <w:jc w:val="center"/>
      <w:textAlignment w:val="baseline"/>
    </w:pPr>
    <w:rPr>
      <w:rFonts w:ascii="Arial" w:hAnsi="Arial" w:eastAsia="仿宋_GB2312"/>
      <w:b/>
      <w:kern w:val="0"/>
      <w:sz w:val="30"/>
      <w:szCs w:val="20"/>
    </w:rPr>
  </w:style>
  <w:style w:type="character" w:customStyle="1" w:styleId="688">
    <w:name w:val="结束语 字符"/>
    <w:link w:val="33"/>
    <w:qFormat/>
    <w:uiPriority w:val="0"/>
    <w:rPr>
      <w:rFonts w:ascii="Arial" w:hAnsi="Arial" w:eastAsia="仿宋_GB2312"/>
      <w:sz w:val="24"/>
    </w:rPr>
  </w:style>
  <w:style w:type="character" w:customStyle="1" w:styleId="689">
    <w:name w:val="签名 字符"/>
    <w:link w:val="59"/>
    <w:qFormat/>
    <w:uiPriority w:val="0"/>
    <w:rPr>
      <w:rFonts w:ascii="Arial" w:hAnsi="Arial" w:eastAsia="仿宋_GB2312"/>
      <w:sz w:val="24"/>
    </w:rPr>
  </w:style>
  <w:style w:type="character" w:customStyle="1" w:styleId="690">
    <w:name w:val="副标题 字符"/>
    <w:link w:val="65"/>
    <w:qFormat/>
    <w:uiPriority w:val="0"/>
    <w:rPr>
      <w:rFonts w:ascii="Arial" w:hAnsi="Arial" w:eastAsia="仿宋_GB2312" w:cs="Arial"/>
      <w:b/>
      <w:bCs/>
      <w:kern w:val="28"/>
      <w:sz w:val="32"/>
      <w:szCs w:val="32"/>
    </w:rPr>
  </w:style>
  <w:style w:type="paragraph" w:customStyle="1" w:styleId="691">
    <w:name w:val="项目段落"/>
    <w:basedOn w:val="1"/>
    <w:qFormat/>
    <w:uiPriority w:val="0"/>
    <w:pPr>
      <w:spacing w:before="60" w:line="360" w:lineRule="auto"/>
      <w:ind w:left="476" w:firstLine="482"/>
    </w:pPr>
    <w:rPr>
      <w:rFonts w:ascii="Arial" w:hAnsi="Arial" w:eastAsia="仿宋_GB2312"/>
      <w:kern w:val="0"/>
      <w:sz w:val="24"/>
      <w:szCs w:val="20"/>
    </w:rPr>
  </w:style>
  <w:style w:type="character" w:customStyle="1" w:styleId="692">
    <w:name w:val="信息标题 字符"/>
    <w:link w:val="79"/>
    <w:qFormat/>
    <w:uiPriority w:val="0"/>
    <w:rPr>
      <w:rFonts w:ascii="Arial" w:hAnsi="Arial" w:eastAsia="仿宋_GB2312" w:cs="Arial"/>
      <w:sz w:val="24"/>
      <w:shd w:val="pct20" w:color="auto" w:fill="auto"/>
    </w:rPr>
  </w:style>
  <w:style w:type="paragraph" w:customStyle="1" w:styleId="693">
    <w:name w:val="源程序"/>
    <w:qFormat/>
    <w:uiPriority w:val="0"/>
    <w:pPr>
      <w:widowControl w:val="0"/>
      <w:kinsoku w:val="0"/>
      <w:wordWrap w:val="0"/>
      <w:overflowPunct w:val="0"/>
      <w:autoSpaceDE w:val="0"/>
      <w:autoSpaceDN w:val="0"/>
      <w:adjustRightInd w:val="0"/>
      <w:ind w:left="482"/>
    </w:pPr>
    <w:rPr>
      <w:rFonts w:ascii="Courier New" w:hAnsi="Courier New" w:eastAsia="仿宋_GB2312" w:cs="Times New Roman"/>
      <w:snapToGrid w:val="0"/>
      <w:sz w:val="24"/>
      <w:lang w:val="en-US" w:eastAsia="zh-CN" w:bidi="ar-SA"/>
    </w:rPr>
  </w:style>
  <w:style w:type="character" w:customStyle="1" w:styleId="694">
    <w:name w:val="正文首行缩进 2 字符"/>
    <w:link w:val="87"/>
    <w:qFormat/>
    <w:uiPriority w:val="0"/>
    <w:rPr>
      <w:rFonts w:eastAsia="宋体"/>
      <w:kern w:val="2"/>
      <w:sz w:val="18"/>
      <w:szCs w:val="24"/>
      <w:lang w:val="en-US" w:eastAsia="zh-CN" w:bidi="ar-SA"/>
    </w:rPr>
  </w:style>
  <w:style w:type="paragraph" w:customStyle="1" w:styleId="695">
    <w:name w:val="样式"/>
    <w:basedOn w:val="1"/>
    <w:next w:val="1"/>
    <w:qFormat/>
    <w:uiPriority w:val="0"/>
    <w:pPr>
      <w:ind w:firstLine="420"/>
    </w:pPr>
    <w:rPr>
      <w:rFonts w:ascii="宋体" w:hAnsi="Arial Black" w:cs="宋体"/>
      <w:sz w:val="24"/>
    </w:rPr>
  </w:style>
  <w:style w:type="paragraph" w:customStyle="1" w:styleId="696">
    <w:name w:val="样式8"/>
    <w:basedOn w:val="1"/>
    <w:next w:val="1"/>
    <w:qFormat/>
    <w:uiPriority w:val="0"/>
    <w:pPr>
      <w:ind w:firstLine="420"/>
    </w:pPr>
    <w:rPr>
      <w:rFonts w:ascii="宋体" w:hAnsi="Arial Black" w:cs="宋体"/>
      <w:sz w:val="24"/>
    </w:rPr>
  </w:style>
  <w:style w:type="paragraph" w:customStyle="1" w:styleId="697">
    <w:name w:val="样式a"/>
    <w:basedOn w:val="1"/>
    <w:qFormat/>
    <w:uiPriority w:val="0"/>
    <w:pPr>
      <w:adjustRightInd w:val="0"/>
      <w:snapToGrid w:val="0"/>
      <w:spacing w:line="420" w:lineRule="exact"/>
      <w:ind w:firstLine="200" w:firstLineChars="200"/>
      <w:textAlignment w:val="baseline"/>
    </w:pPr>
    <w:rPr>
      <w:kern w:val="0"/>
      <w:sz w:val="24"/>
    </w:rPr>
  </w:style>
  <w:style w:type="paragraph" w:customStyle="1" w:styleId="698">
    <w:name w:val="样式5"/>
    <w:basedOn w:val="35"/>
    <w:qFormat/>
    <w:uiPriority w:val="0"/>
    <w:pPr>
      <w:spacing w:after="0"/>
      <w:ind w:right="-105" w:rightChars="-50"/>
      <w:jc w:val="center"/>
    </w:pPr>
    <w:rPr>
      <w:rFonts w:ascii="宋体" w:cs="宋体"/>
      <w:szCs w:val="21"/>
    </w:rPr>
  </w:style>
  <w:style w:type="character" w:customStyle="1" w:styleId="699">
    <w:name w:val="标题3 Char"/>
    <w:qFormat/>
    <w:uiPriority w:val="0"/>
    <w:rPr>
      <w:rFonts w:eastAsia="黑体"/>
      <w:kern w:val="2"/>
      <w:sz w:val="24"/>
      <w:szCs w:val="24"/>
      <w:lang w:val="en-US" w:eastAsia="zh-CN"/>
    </w:rPr>
  </w:style>
  <w:style w:type="paragraph" w:customStyle="1" w:styleId="700">
    <w:name w:val="表居中（中文）"/>
    <w:basedOn w:val="1"/>
    <w:qFormat/>
    <w:uiPriority w:val="0"/>
    <w:pPr>
      <w:adjustRightInd w:val="0"/>
      <w:spacing w:line="380" w:lineRule="atLeast"/>
      <w:jc w:val="center"/>
      <w:textAlignment w:val="baseline"/>
    </w:pPr>
    <w:rPr>
      <w:rFonts w:eastAsia="楷体_GB2312"/>
      <w:kern w:val="0"/>
      <w:sz w:val="24"/>
    </w:rPr>
  </w:style>
  <w:style w:type="paragraph" w:customStyle="1" w:styleId="701">
    <w:name w:val="6"/>
    <w:basedOn w:val="1"/>
    <w:next w:val="76"/>
    <w:qFormat/>
    <w:uiPriority w:val="0"/>
    <w:pPr>
      <w:spacing w:after="120" w:line="480" w:lineRule="auto"/>
    </w:pPr>
  </w:style>
  <w:style w:type="character" w:customStyle="1" w:styleId="702">
    <w:name w:val="16p"/>
    <w:basedOn w:val="133"/>
    <w:qFormat/>
    <w:uiPriority w:val="0"/>
  </w:style>
  <w:style w:type="character" w:customStyle="1" w:styleId="703">
    <w:name w:val="show"/>
    <w:basedOn w:val="133"/>
    <w:qFormat/>
    <w:uiPriority w:val="0"/>
  </w:style>
  <w:style w:type="paragraph" w:customStyle="1" w:styleId="704">
    <w:name w:val="文件名称"/>
    <w:basedOn w:val="1"/>
    <w:next w:val="1"/>
    <w:qFormat/>
    <w:uiPriority w:val="0"/>
    <w:pPr>
      <w:spacing w:beforeLines="100"/>
      <w:jc w:val="center"/>
    </w:pPr>
    <w:rPr>
      <w:rFonts w:ascii="黑体" w:eastAsia="黑体"/>
      <w:sz w:val="84"/>
      <w:szCs w:val="84"/>
    </w:rPr>
  </w:style>
  <w:style w:type="paragraph" w:customStyle="1" w:styleId="705">
    <w:name w:val="参加人员"/>
    <w:basedOn w:val="1"/>
    <w:qFormat/>
    <w:uiPriority w:val="0"/>
    <w:rPr>
      <w:sz w:val="24"/>
      <w:szCs w:val="28"/>
    </w:rPr>
  </w:style>
  <w:style w:type="character" w:customStyle="1" w:styleId="706">
    <w:name w:val="e91"/>
    <w:qFormat/>
    <w:uiPriority w:val="0"/>
    <w:rPr>
      <w:rFonts w:hint="default" w:ascii="Arial" w:hAnsi="Arial" w:cs="Arial"/>
      <w:sz w:val="21"/>
      <w:szCs w:val="21"/>
    </w:rPr>
  </w:style>
  <w:style w:type="paragraph" w:customStyle="1" w:styleId="707">
    <w:name w:val="项目名称"/>
    <w:basedOn w:val="1"/>
    <w:next w:val="1"/>
    <w:qFormat/>
    <w:uiPriority w:val="0"/>
    <w:pPr>
      <w:spacing w:line="800" w:lineRule="atLeast"/>
      <w:jc w:val="center"/>
      <w:outlineLvl w:val="0"/>
    </w:pPr>
    <w:rPr>
      <w:rFonts w:ascii="黑体" w:eastAsia="黑体"/>
      <w:sz w:val="52"/>
      <w:szCs w:val="52"/>
    </w:rPr>
  </w:style>
  <w:style w:type="paragraph" w:customStyle="1" w:styleId="708">
    <w:name w:val="单位名称"/>
    <w:basedOn w:val="1"/>
    <w:next w:val="1"/>
    <w:qFormat/>
    <w:uiPriority w:val="0"/>
    <w:pPr>
      <w:jc w:val="center"/>
    </w:pPr>
    <w:rPr>
      <w:sz w:val="44"/>
      <w:szCs w:val="44"/>
    </w:rPr>
  </w:style>
  <w:style w:type="paragraph" w:customStyle="1" w:styleId="709">
    <w:name w:val="文件册号"/>
    <w:basedOn w:val="1"/>
    <w:next w:val="1"/>
    <w:qFormat/>
    <w:uiPriority w:val="0"/>
    <w:pPr>
      <w:spacing w:line="800" w:lineRule="atLeast"/>
      <w:jc w:val="center"/>
    </w:pPr>
    <w:rPr>
      <w:sz w:val="52"/>
      <w:szCs w:val="52"/>
    </w:rPr>
  </w:style>
  <w:style w:type="paragraph" w:customStyle="1" w:styleId="710">
    <w:name w:val="文件编号"/>
    <w:basedOn w:val="1"/>
    <w:next w:val="1"/>
    <w:qFormat/>
    <w:uiPriority w:val="0"/>
    <w:pPr>
      <w:jc w:val="center"/>
    </w:pPr>
    <w:rPr>
      <w:rFonts w:ascii="黑体" w:eastAsia="黑体"/>
      <w:sz w:val="44"/>
      <w:szCs w:val="44"/>
    </w:rPr>
  </w:style>
  <w:style w:type="paragraph" w:customStyle="1" w:styleId="711">
    <w:name w:val="主要负责人"/>
    <w:basedOn w:val="1"/>
    <w:next w:val="1"/>
    <w:qFormat/>
    <w:uiPriority w:val="0"/>
    <w:pPr>
      <w:jc w:val="center"/>
    </w:pPr>
    <w:rPr>
      <w:sz w:val="36"/>
      <w:szCs w:val="36"/>
    </w:rPr>
  </w:style>
  <w:style w:type="paragraph" w:customStyle="1" w:styleId="712">
    <w:name w:val="参加人员名单"/>
    <w:basedOn w:val="1"/>
    <w:next w:val="1"/>
    <w:qFormat/>
    <w:uiPriority w:val="0"/>
    <w:pPr>
      <w:jc w:val="center"/>
      <w:outlineLvl w:val="0"/>
    </w:pPr>
    <w:rPr>
      <w:sz w:val="32"/>
      <w:szCs w:val="32"/>
    </w:rPr>
  </w:style>
  <w:style w:type="paragraph" w:customStyle="1" w:styleId="713">
    <w:name w:val="标号正文"/>
    <w:basedOn w:val="1"/>
    <w:next w:val="1"/>
    <w:qFormat/>
    <w:uiPriority w:val="0"/>
    <w:pPr>
      <w:tabs>
        <w:tab w:val="left" w:pos="765"/>
      </w:tabs>
      <w:overflowPunct w:val="0"/>
      <w:snapToGrid w:val="0"/>
      <w:spacing w:line="480" w:lineRule="exact"/>
      <w:ind w:left="765" w:hanging="765"/>
      <w:jc w:val="left"/>
    </w:pPr>
    <w:rPr>
      <w:rFonts w:ascii="Arial" w:hAnsi="Arial" w:eastAsia="仿宋_GB2312"/>
      <w:sz w:val="28"/>
      <w:szCs w:val="20"/>
    </w:rPr>
  </w:style>
  <w:style w:type="character" w:customStyle="1" w:styleId="714">
    <w:name w:val="标题 Char"/>
    <w:qFormat/>
    <w:uiPriority w:val="10"/>
    <w:rPr>
      <w:rFonts w:ascii="Arial" w:hAnsi="Arial" w:eastAsia="宋体" w:cs="Arial"/>
      <w:b/>
      <w:bCs/>
      <w:sz w:val="32"/>
      <w:szCs w:val="32"/>
      <w:lang w:val="en-US" w:eastAsia="zh-CN" w:bidi="ar-SA"/>
    </w:rPr>
  </w:style>
  <w:style w:type="character" w:customStyle="1" w:styleId="715">
    <w:name w:val="font141"/>
    <w:qFormat/>
    <w:uiPriority w:val="0"/>
    <w:rPr>
      <w:rFonts w:hint="default"/>
      <w:color w:val="000000"/>
    </w:rPr>
  </w:style>
  <w:style w:type="character" w:customStyle="1" w:styleId="716">
    <w:name w:val="unnamed1"/>
    <w:basedOn w:val="133"/>
    <w:qFormat/>
    <w:uiPriority w:val="0"/>
  </w:style>
  <w:style w:type="paragraph" w:customStyle="1" w:styleId="717">
    <w:name w:val="页眉左"/>
    <w:basedOn w:val="58"/>
    <w:qFormat/>
    <w:uiPriority w:val="0"/>
    <w:pPr>
      <w:pBdr>
        <w:bottom w:val="none" w:color="auto" w:sz="0" w:space="0"/>
      </w:pBdr>
      <w:adjustRightInd w:val="0"/>
      <w:snapToGrid/>
      <w:spacing w:before="60" w:after="60" w:line="240" w:lineRule="atLeast"/>
      <w:jc w:val="left"/>
      <w:textAlignment w:val="baseline"/>
    </w:pPr>
    <w:rPr>
      <w:kern w:val="0"/>
      <w:sz w:val="22"/>
      <w:szCs w:val="20"/>
      <w:lang w:val="en-GB"/>
    </w:rPr>
  </w:style>
  <w:style w:type="paragraph" w:customStyle="1" w:styleId="718">
    <w:name w:val="宏福3"/>
    <w:basedOn w:val="6"/>
    <w:qFormat/>
    <w:uiPriority w:val="0"/>
    <w:pPr>
      <w:snapToGrid w:val="0"/>
      <w:spacing w:before="240" w:after="0" w:line="240" w:lineRule="auto"/>
    </w:pPr>
    <w:rPr>
      <w:b w:val="0"/>
      <w:bCs w:val="0"/>
      <w:sz w:val="28"/>
      <w:szCs w:val="20"/>
    </w:rPr>
  </w:style>
  <w:style w:type="paragraph" w:customStyle="1" w:styleId="719">
    <w:name w:val="宏福正文-2"/>
    <w:basedOn w:val="86"/>
    <w:qFormat/>
    <w:uiPriority w:val="0"/>
    <w:pPr>
      <w:snapToGrid w:val="0"/>
      <w:spacing w:before="240" w:after="0" w:line="400" w:lineRule="atLeast"/>
      <w:ind w:firstLine="567" w:firstLineChars="0"/>
    </w:pPr>
    <w:rPr>
      <w:rFonts w:eastAsia="宋体"/>
      <w:szCs w:val="20"/>
    </w:rPr>
  </w:style>
  <w:style w:type="character" w:customStyle="1" w:styleId="720">
    <w:name w:val="f241"/>
    <w:qFormat/>
    <w:uiPriority w:val="0"/>
    <w:rPr>
      <w:sz w:val="36"/>
      <w:szCs w:val="36"/>
    </w:rPr>
  </w:style>
  <w:style w:type="character" w:customStyle="1" w:styleId="721">
    <w:name w:val="pccs1"/>
    <w:qFormat/>
    <w:uiPriority w:val="0"/>
    <w:rPr>
      <w:sz w:val="18"/>
      <w:szCs w:val="18"/>
    </w:rPr>
  </w:style>
  <w:style w:type="character" w:customStyle="1" w:styleId="722">
    <w:name w:val="t_tag"/>
    <w:basedOn w:val="133"/>
    <w:qFormat/>
    <w:uiPriority w:val="0"/>
  </w:style>
  <w:style w:type="paragraph" w:customStyle="1" w:styleId="723">
    <w:name w:val="Char Char Char Char Char Char Char Char Char1 Char Char Char Char Char Char Char Char1 Char Char Char"/>
    <w:basedOn w:val="1"/>
    <w:qFormat/>
    <w:uiPriority w:val="0"/>
    <w:pPr>
      <w:snapToGrid w:val="0"/>
      <w:spacing w:line="360" w:lineRule="auto"/>
      <w:ind w:firstLine="200" w:firstLineChars="200"/>
    </w:pPr>
    <w:rPr>
      <w:rFonts w:eastAsia="仿宋_GB2312"/>
      <w:sz w:val="24"/>
    </w:rPr>
  </w:style>
  <w:style w:type="paragraph" w:customStyle="1" w:styleId="724">
    <w:name w:val="样式 标题 2 + 段前: 0 磅"/>
    <w:basedOn w:val="5"/>
    <w:qFormat/>
    <w:uiPriority w:val="0"/>
    <w:pPr>
      <w:tabs>
        <w:tab w:val="clear" w:pos="0"/>
        <w:tab w:val="clear" w:pos="567"/>
      </w:tabs>
      <w:spacing w:beforeLines="0" w:afterLines="0" w:line="520" w:lineRule="exact"/>
    </w:pPr>
    <w:rPr>
      <w:rFonts w:ascii="Arial" w:hAnsi="Arial" w:eastAsia="宋体" w:cs="宋体"/>
      <w:bCs/>
      <w:spacing w:val="0"/>
      <w:kern w:val="2"/>
      <w:sz w:val="24"/>
      <w:szCs w:val="20"/>
    </w:rPr>
  </w:style>
  <w:style w:type="paragraph" w:customStyle="1" w:styleId="725">
    <w:name w:val="小四表文居中"/>
    <w:qFormat/>
    <w:uiPriority w:val="0"/>
    <w:pPr>
      <w:widowControl w:val="0"/>
      <w:jc w:val="center"/>
    </w:pPr>
    <w:rPr>
      <w:rFonts w:ascii="Times New Roman" w:hAnsi="Times New Roman" w:eastAsia="宋体" w:cs="Times New Roman"/>
      <w:color w:val="000000"/>
      <w:kern w:val="2"/>
      <w:sz w:val="21"/>
      <w:szCs w:val="21"/>
      <w:lang w:val="en-US" w:eastAsia="zh-CN" w:bidi="ar-SA"/>
    </w:rPr>
  </w:style>
  <w:style w:type="character" w:customStyle="1" w:styleId="726">
    <w:name w:val="Char Char7"/>
    <w:qFormat/>
    <w:uiPriority w:val="0"/>
    <w:rPr>
      <w:rFonts w:eastAsia="宋体"/>
      <w:kern w:val="2"/>
      <w:sz w:val="21"/>
      <w:szCs w:val="24"/>
      <w:lang w:val="en-US" w:eastAsia="zh-CN" w:bidi="ar-SA"/>
    </w:rPr>
  </w:style>
  <w:style w:type="character" w:customStyle="1" w:styleId="727">
    <w:name w:val="Char Char10"/>
    <w:qFormat/>
    <w:uiPriority w:val="0"/>
    <w:rPr>
      <w:rFonts w:eastAsia="宋体"/>
      <w:kern w:val="2"/>
      <w:sz w:val="21"/>
      <w:szCs w:val="24"/>
      <w:lang w:val="en-US" w:eastAsia="zh-CN" w:bidi="ar-SA"/>
    </w:rPr>
  </w:style>
  <w:style w:type="table" w:customStyle="1" w:styleId="728">
    <w:name w:val="环评格式"/>
    <w:basedOn w:val="151"/>
    <w:qFormat/>
    <w:uiPriority w:val="0"/>
    <w:rPr>
      <w:sz w:val="21"/>
    </w:rPr>
    <w:tblPr>
      <w:jc w:val="center"/>
      <w:tblBorders>
        <w:right w:val="single" w:color="auto" w:sz="2" w:space="0"/>
      </w:tblBorders>
    </w:tblPr>
    <w:trPr>
      <w:jc w:val="center"/>
    </w:trPr>
    <w:tblStylePr w:type="firstRow">
      <w:tcPr>
        <w:tcBorders>
          <w:top w:val="single" w:color="000000" w:sz="6" w:space="0"/>
          <w:bottom w:val="single" w:color="000000" w:sz="12" w:space="0"/>
          <w:tl2br w:val="nil"/>
          <w:tr2bl w:val="nil"/>
        </w:tcBorders>
      </w:tcPr>
    </w:tblStylePr>
    <w:tblStylePr w:type="lastRow">
      <w:tcPr>
        <w:tcBorders>
          <w:top w:val="single" w:color="000000" w:sz="12" w:space="0"/>
          <w:tl2br w:val="nil"/>
          <w:tr2bl w:val="nil"/>
        </w:tcBorders>
        <w:shd w:val="pct25" w:color="800080" w:fill="FFFFFF"/>
      </w:tcPr>
    </w:tblStylePr>
    <w:tblStylePr w:type="firstCol">
      <w:tcPr>
        <w:tcBorders>
          <w:right w:val="single" w:color="000000" w:sz="12" w:space="0"/>
          <w:tl2br w:val="nil"/>
          <w:tr2bl w:val="nil"/>
        </w:tcBorders>
      </w:tcPr>
    </w:tblStylePr>
    <w:tblStylePr w:type="lastCol">
      <w:tcPr>
        <w:tcBorders>
          <w:left w:val="single" w:color="000000" w:sz="12" w:space="0"/>
          <w:tl2br w:val="nil"/>
          <w:tr2bl w:val="nil"/>
        </w:tcBorders>
      </w:tcPr>
    </w:tblStylePr>
    <w:tblStylePr w:type="band1Horz">
      <w:tcPr>
        <w:tcBorders>
          <w:bottom w:val="single" w:color="000000" w:sz="6" w:space="0"/>
          <w:tl2br w:val="nil"/>
          <w:tr2bl w:val="nil"/>
        </w:tcBorders>
        <w:shd w:val="pct25" w:color="808000" w:fill="FFFFFF"/>
      </w:tcPr>
    </w:tblStylePr>
    <w:tblStylePr w:type="neCell">
      <w:tcPr>
        <w:tcBorders>
          <w:tl2br w:val="nil"/>
          <w:tr2bl w:val="nil"/>
        </w:tcBorders>
      </w:tcPr>
    </w:tblStylePr>
    <w:tblStylePr w:type="swCell">
      <w:tcPr>
        <w:tcBorders>
          <w:tl2br w:val="nil"/>
          <w:tr2bl w:val="nil"/>
        </w:tcBorders>
      </w:tcPr>
    </w:tblStylePr>
  </w:style>
  <w:style w:type="character" w:customStyle="1" w:styleId="729">
    <w:name w:val="Char Char5"/>
    <w:qFormat/>
    <w:uiPriority w:val="0"/>
    <w:rPr>
      <w:rFonts w:ascii="宋体" w:hAnsi="Courier New" w:eastAsia="宋体"/>
      <w:kern w:val="2"/>
      <w:sz w:val="21"/>
      <w:lang w:val="en-US" w:eastAsia="zh-CN" w:bidi="ar-SA"/>
    </w:rPr>
  </w:style>
  <w:style w:type="paragraph" w:customStyle="1" w:styleId="730">
    <w:name w:val="正文改动"/>
    <w:basedOn w:val="1"/>
    <w:qFormat/>
    <w:uiPriority w:val="0"/>
    <w:rPr>
      <w:color w:val="0000FF"/>
    </w:rPr>
  </w:style>
  <w:style w:type="character" w:customStyle="1" w:styleId="731">
    <w:name w:val="报告书表格 Char"/>
    <w:link w:val="214"/>
    <w:qFormat/>
    <w:uiPriority w:val="0"/>
    <w:rPr>
      <w:sz w:val="21"/>
      <w:szCs w:val="21"/>
    </w:rPr>
  </w:style>
  <w:style w:type="character" w:customStyle="1" w:styleId="732">
    <w:name w:val="unnamed2"/>
    <w:basedOn w:val="133"/>
    <w:qFormat/>
    <w:uiPriority w:val="0"/>
  </w:style>
  <w:style w:type="paragraph" w:customStyle="1" w:styleId="733">
    <w:name w:val="样式 正文"/>
    <w:basedOn w:val="1"/>
    <w:qFormat/>
    <w:uiPriority w:val="0"/>
    <w:pPr>
      <w:spacing w:line="360" w:lineRule="auto"/>
      <w:ind w:firstLine="200" w:firstLineChars="200"/>
    </w:pPr>
    <w:rPr>
      <w:rFonts w:ascii="宋体" w:hAnsi="宋体" w:cs="宋体"/>
      <w:color w:val="000000"/>
      <w:sz w:val="28"/>
      <w:szCs w:val="28"/>
    </w:rPr>
  </w:style>
  <w:style w:type="character" w:customStyle="1" w:styleId="734">
    <w:name w:val="b2 Char"/>
    <w:qFormat/>
    <w:uiPriority w:val="0"/>
    <w:rPr>
      <w:rFonts w:ascii="Arial" w:hAnsi="Arial" w:eastAsia="黑体" w:cs="Times New Roman"/>
      <w:b/>
      <w:bCs/>
      <w:kern w:val="0"/>
      <w:sz w:val="30"/>
      <w:szCs w:val="32"/>
    </w:rPr>
  </w:style>
  <w:style w:type="character" w:customStyle="1" w:styleId="735">
    <w:name w:val="Char Char18"/>
    <w:qFormat/>
    <w:uiPriority w:val="0"/>
    <w:rPr>
      <w:rFonts w:ascii="宋体" w:hAnsi="宋体" w:eastAsia="宋体" w:cs="Times New Roman"/>
      <w:color w:val="800000"/>
      <w:kern w:val="0"/>
      <w:sz w:val="28"/>
      <w:szCs w:val="20"/>
    </w:rPr>
  </w:style>
  <w:style w:type="character" w:customStyle="1" w:styleId="736">
    <w:name w:val="标题 5 字符"/>
    <w:link w:val="8"/>
    <w:qFormat/>
    <w:uiPriority w:val="9"/>
    <w:rPr>
      <w:rFonts w:ascii="仿宋_GB2312" w:eastAsia="仿宋_GB2312"/>
      <w:b/>
      <w:bCs/>
      <w:kern w:val="2"/>
      <w:sz w:val="28"/>
      <w:szCs w:val="28"/>
    </w:rPr>
  </w:style>
  <w:style w:type="character" w:customStyle="1" w:styleId="737">
    <w:name w:val="标题 6 字符"/>
    <w:link w:val="9"/>
    <w:qFormat/>
    <w:uiPriority w:val="9"/>
    <w:rPr>
      <w:rFonts w:ascii="Arial" w:hAnsi="Arial" w:eastAsia="黑体"/>
      <w:b/>
      <w:bCs/>
      <w:kern w:val="2"/>
      <w:sz w:val="28"/>
      <w:szCs w:val="24"/>
    </w:rPr>
  </w:style>
  <w:style w:type="character" w:customStyle="1" w:styleId="738">
    <w:name w:val="标题 7 字符"/>
    <w:link w:val="10"/>
    <w:qFormat/>
    <w:uiPriority w:val="9"/>
    <w:rPr>
      <w:rFonts w:ascii="仿宋_GB2312" w:eastAsia="仿宋_GB2312"/>
      <w:b/>
      <w:bCs/>
      <w:kern w:val="2"/>
      <w:sz w:val="28"/>
      <w:szCs w:val="24"/>
    </w:rPr>
  </w:style>
  <w:style w:type="character" w:customStyle="1" w:styleId="739">
    <w:name w:val="标题 8 字符"/>
    <w:link w:val="11"/>
    <w:qFormat/>
    <w:uiPriority w:val="0"/>
    <w:rPr>
      <w:rFonts w:ascii="Arial" w:hAnsi="Arial" w:eastAsia="黑体"/>
      <w:kern w:val="2"/>
      <w:sz w:val="28"/>
      <w:szCs w:val="24"/>
    </w:rPr>
  </w:style>
  <w:style w:type="character" w:customStyle="1" w:styleId="740">
    <w:name w:val="标题 9 字符"/>
    <w:link w:val="12"/>
    <w:qFormat/>
    <w:uiPriority w:val="9"/>
    <w:rPr>
      <w:rFonts w:ascii="Arial" w:hAnsi="Arial" w:eastAsia="黑体"/>
      <w:kern w:val="2"/>
      <w:sz w:val="21"/>
      <w:szCs w:val="21"/>
    </w:rPr>
  </w:style>
  <w:style w:type="paragraph" w:customStyle="1" w:styleId="741">
    <w:name w:val="正文表头"/>
    <w:basedOn w:val="1"/>
    <w:next w:val="1"/>
    <w:qFormat/>
    <w:uiPriority w:val="0"/>
    <w:pPr>
      <w:keepNext/>
      <w:tabs>
        <w:tab w:val="center" w:pos="4253"/>
        <w:tab w:val="center" w:pos="6804"/>
        <w:tab w:val="right" w:pos="8505"/>
      </w:tabs>
      <w:overflowPunct w:val="0"/>
      <w:adjustRightInd w:val="0"/>
      <w:spacing w:before="120" w:line="360" w:lineRule="auto"/>
      <w:jc w:val="center"/>
      <w:textAlignment w:val="baseline"/>
    </w:pPr>
    <w:rPr>
      <w:rFonts w:eastAsia="黑体"/>
      <w:kern w:val="0"/>
      <w:sz w:val="28"/>
      <w:szCs w:val="20"/>
    </w:rPr>
  </w:style>
  <w:style w:type="character" w:customStyle="1" w:styleId="742">
    <w:name w:val="Char Char Char1 Char Char"/>
    <w:qFormat/>
    <w:uiPriority w:val="0"/>
    <w:rPr>
      <w:rFonts w:ascii="Times New Roman" w:hAnsi="Times New Roman" w:eastAsia="宋体" w:cs="Times New Roman"/>
      <w:kern w:val="0"/>
      <w:sz w:val="18"/>
      <w:szCs w:val="18"/>
    </w:rPr>
  </w:style>
  <w:style w:type="character" w:customStyle="1" w:styleId="743">
    <w:name w:val="正文文字缩进 Char Char"/>
    <w:qFormat/>
    <w:uiPriority w:val="0"/>
    <w:rPr>
      <w:rFonts w:ascii="Times New Roman" w:hAnsi="Times New Roman" w:eastAsia="宋体" w:cs="Times New Roman"/>
      <w:sz w:val="28"/>
      <w:szCs w:val="24"/>
    </w:rPr>
  </w:style>
  <w:style w:type="paragraph" w:customStyle="1" w:styleId="744">
    <w:name w:val="标4"/>
    <w:basedOn w:val="745"/>
    <w:qFormat/>
    <w:uiPriority w:val="0"/>
    <w:pPr>
      <w:tabs>
        <w:tab w:val="left" w:pos="360"/>
        <w:tab w:val="left" w:pos="578"/>
        <w:tab w:val="left" w:pos="1021"/>
        <w:tab w:val="left" w:pos="1275"/>
        <w:tab w:val="left" w:pos="1418"/>
        <w:tab w:val="center" w:pos="6804"/>
        <w:tab w:val="right" w:pos="7371"/>
      </w:tabs>
      <w:ind w:left="0" w:firstLine="0"/>
    </w:pPr>
  </w:style>
  <w:style w:type="paragraph" w:customStyle="1" w:styleId="745">
    <w:name w:val="标3"/>
    <w:basedOn w:val="6"/>
    <w:next w:val="47"/>
    <w:qFormat/>
    <w:uiPriority w:val="0"/>
    <w:pPr>
      <w:tabs>
        <w:tab w:val="left" w:pos="578"/>
        <w:tab w:val="left" w:pos="1418"/>
        <w:tab w:val="center" w:pos="6804"/>
        <w:tab w:val="right" w:pos="7371"/>
      </w:tabs>
      <w:overflowPunct w:val="0"/>
      <w:spacing w:before="0" w:after="0" w:line="500" w:lineRule="exact"/>
      <w:ind w:left="1418" w:hanging="567"/>
      <w:textAlignment w:val="baseline"/>
    </w:pPr>
    <w:rPr>
      <w:rFonts w:ascii="宋体" w:hAnsi="宋体"/>
      <w:b w:val="0"/>
      <w:color w:val="0000FF"/>
      <w:sz w:val="28"/>
      <w:szCs w:val="20"/>
    </w:rPr>
  </w:style>
  <w:style w:type="character" w:customStyle="1" w:styleId="746">
    <w:name w:val="Char Char11"/>
    <w:qFormat/>
    <w:uiPriority w:val="0"/>
    <w:rPr>
      <w:rFonts w:ascii="Times New Roman" w:hAnsi="Times New Roman" w:eastAsia="宋体" w:cs="Times New Roman"/>
      <w:kern w:val="0"/>
      <w:sz w:val="24"/>
      <w:szCs w:val="24"/>
    </w:rPr>
  </w:style>
  <w:style w:type="paragraph" w:customStyle="1" w:styleId="747">
    <w:name w:val="Standard"/>
    <w:basedOn w:val="1"/>
    <w:next w:val="1"/>
    <w:qFormat/>
    <w:uiPriority w:val="0"/>
    <w:pPr>
      <w:autoSpaceDE w:val="0"/>
      <w:autoSpaceDN w:val="0"/>
      <w:adjustRightInd w:val="0"/>
      <w:jc w:val="left"/>
    </w:pPr>
    <w:rPr>
      <w:rFonts w:ascii="Arial" w:hAnsi="Arial" w:cs="Arial"/>
      <w:kern w:val="0"/>
      <w:sz w:val="24"/>
    </w:rPr>
  </w:style>
  <w:style w:type="character" w:customStyle="1" w:styleId="748">
    <w:name w:val="正文（首行缩进两字） Char Char Char Char Char Char Char Char Char Char Char Char Char Char Char Char Char Char Char Char Char Char Char Char Char Char Char Char Char Char Char Char Char Char Char Char Char Char Char Char1"/>
    <w:qFormat/>
    <w:uiPriority w:val="0"/>
    <w:rPr>
      <w:rFonts w:eastAsia="宋体"/>
      <w:sz w:val="24"/>
      <w:lang w:val="en-US" w:eastAsia="zh-CN" w:bidi="ar-SA"/>
    </w:rPr>
  </w:style>
  <w:style w:type="character" w:customStyle="1" w:styleId="749">
    <w:name w:val="正文文本缩进 3 字符"/>
    <w:link w:val="71"/>
    <w:qFormat/>
    <w:uiPriority w:val="99"/>
    <w:rPr>
      <w:kern w:val="2"/>
      <w:sz w:val="16"/>
      <w:szCs w:val="16"/>
    </w:rPr>
  </w:style>
  <w:style w:type="paragraph" w:customStyle="1" w:styleId="750">
    <w:name w:val="标2"/>
    <w:basedOn w:val="5"/>
    <w:next w:val="47"/>
    <w:qFormat/>
    <w:uiPriority w:val="0"/>
    <w:pPr>
      <w:tabs>
        <w:tab w:val="left" w:pos="992"/>
        <w:tab w:val="center" w:pos="6804"/>
        <w:tab w:val="right" w:pos="7371"/>
        <w:tab w:val="clear" w:pos="0"/>
        <w:tab w:val="clear" w:pos="567"/>
      </w:tabs>
      <w:overflowPunct w:val="0"/>
      <w:adjustRightInd w:val="0"/>
      <w:spacing w:beforeLines="0" w:afterLines="0"/>
      <w:ind w:left="992" w:hanging="567"/>
      <w:jc w:val="left"/>
      <w:textAlignment w:val="baseline"/>
    </w:pPr>
    <w:rPr>
      <w:rFonts w:ascii="Arial" w:hAnsi="Arial" w:eastAsia="黑体"/>
      <w:spacing w:val="0"/>
      <w:szCs w:val="20"/>
    </w:rPr>
  </w:style>
  <w:style w:type="paragraph" w:customStyle="1" w:styleId="751">
    <w:name w:val="13"/>
    <w:basedOn w:val="1"/>
    <w:next w:val="37"/>
    <w:qFormat/>
    <w:uiPriority w:val="0"/>
    <w:pPr>
      <w:ind w:firstLine="538" w:firstLineChars="192"/>
    </w:pPr>
    <w:rPr>
      <w:rFonts w:ascii="宋体" w:hAnsi="宋体"/>
      <w:sz w:val="28"/>
    </w:rPr>
  </w:style>
  <w:style w:type="paragraph" w:customStyle="1" w:styleId="752">
    <w:name w:val="Default Text:1"/>
    <w:basedOn w:val="1"/>
    <w:qFormat/>
    <w:uiPriority w:val="0"/>
    <w:pPr>
      <w:widowControl/>
      <w:overflowPunct w:val="0"/>
      <w:autoSpaceDE w:val="0"/>
      <w:autoSpaceDN w:val="0"/>
      <w:adjustRightInd w:val="0"/>
      <w:jc w:val="left"/>
      <w:textAlignment w:val="baseline"/>
    </w:pPr>
    <w:rPr>
      <w:kern w:val="0"/>
      <w:sz w:val="24"/>
      <w:szCs w:val="20"/>
    </w:rPr>
  </w:style>
  <w:style w:type="paragraph" w:customStyle="1" w:styleId="753">
    <w:name w:val="表格头"/>
    <w:qFormat/>
    <w:uiPriority w:val="0"/>
    <w:pPr>
      <w:spacing w:before="120" w:after="120" w:line="480" w:lineRule="atLeast"/>
      <w:jc w:val="center"/>
    </w:pPr>
    <w:rPr>
      <w:rFonts w:ascii="Times New Roman" w:hAnsi="Times New Roman" w:eastAsia="宋体" w:cs="Times New Roman"/>
      <w:sz w:val="24"/>
      <w:lang w:val="en-US" w:eastAsia="zh-CN" w:bidi="ar-SA"/>
    </w:rPr>
  </w:style>
  <w:style w:type="character" w:customStyle="1" w:styleId="754">
    <w:name w:val="n41"/>
    <w:qFormat/>
    <w:uiPriority w:val="0"/>
    <w:rPr>
      <w:color w:val="000099"/>
      <w:sz w:val="18"/>
      <w:szCs w:val="18"/>
      <w:u w:val="none"/>
    </w:rPr>
  </w:style>
  <w:style w:type="paragraph" w:customStyle="1" w:styleId="755">
    <w:name w:val="5"/>
    <w:basedOn w:val="1"/>
    <w:next w:val="52"/>
    <w:qFormat/>
    <w:uiPriority w:val="0"/>
    <w:pPr>
      <w:spacing w:line="360" w:lineRule="auto"/>
      <w:ind w:firstLine="525"/>
    </w:pPr>
    <w:rPr>
      <w:sz w:val="24"/>
      <w:szCs w:val="20"/>
    </w:rPr>
  </w:style>
  <w:style w:type="character" w:customStyle="1" w:styleId="756">
    <w:name w:val="nors1"/>
    <w:qFormat/>
    <w:uiPriority w:val="0"/>
    <w:rPr>
      <w:rFonts w:ascii="宋体" w:hAnsi="宋体" w:eastAsia="宋体"/>
      <w:sz w:val="21"/>
    </w:rPr>
  </w:style>
  <w:style w:type="character" w:customStyle="1" w:styleId="757">
    <w:name w:val="标题 1 Char Char Char Char Char Char Char Char Char Char Char Char Char Char Char Char Char Char Char Char Char Char Char Char Char Char Char Char Char Char Char Char Char Char Char Char Char Char Char Char Char Char Char Char Char Char Char Char Char"/>
    <w:qFormat/>
    <w:uiPriority w:val="0"/>
    <w:rPr>
      <w:rFonts w:ascii="黑体" w:hAnsi="Arial Unicode MS" w:eastAsia="黑体"/>
      <w:kern w:val="44"/>
      <w:sz w:val="28"/>
      <w:szCs w:val="28"/>
      <w:lang w:val="en-US" w:eastAsia="zh-CN" w:bidi="ar-SA"/>
    </w:rPr>
  </w:style>
  <w:style w:type="character" w:customStyle="1" w:styleId="758">
    <w:name w:val="标题 Char Char Char Char Char Char Char Char Char Char Char Char Char Char Char Char Char Char Char Char Char Char Char Char Char1"/>
    <w:qFormat/>
    <w:uiPriority w:val="0"/>
    <w:rPr>
      <w:rFonts w:ascii="Times New Roman" w:hAnsi="Times New Roman" w:eastAsia="黑体" w:cs="Times New Roman"/>
      <w:sz w:val="32"/>
      <w:szCs w:val="24"/>
    </w:rPr>
  </w:style>
  <w:style w:type="character" w:customStyle="1" w:styleId="759">
    <w:name w:val="标题 Char Char Char Char Char Char Char Char Char Char Char Char Char Char Char Char Char Char Char Char Char Char Char Char Char"/>
    <w:qFormat/>
    <w:uiPriority w:val="0"/>
    <w:rPr>
      <w:rFonts w:eastAsia="黑体"/>
      <w:kern w:val="2"/>
      <w:sz w:val="32"/>
      <w:szCs w:val="24"/>
      <w:lang w:val="en-US" w:eastAsia="zh-CN" w:bidi="ar-SA"/>
    </w:rPr>
  </w:style>
  <w:style w:type="character" w:customStyle="1" w:styleId="760">
    <w:name w:val="tpc_content1"/>
    <w:qFormat/>
    <w:uiPriority w:val="0"/>
    <w:rPr>
      <w:sz w:val="20"/>
      <w:szCs w:val="20"/>
    </w:rPr>
  </w:style>
  <w:style w:type="character" w:customStyle="1" w:styleId="761">
    <w:name w:val="tpc_title1"/>
    <w:qFormat/>
    <w:uiPriority w:val="0"/>
    <w:rPr>
      <w:b/>
      <w:bCs/>
      <w:sz w:val="18"/>
      <w:szCs w:val="18"/>
    </w:rPr>
  </w:style>
  <w:style w:type="paragraph" w:customStyle="1" w:styleId="762">
    <w:name w:val="image_subtitle"/>
    <w:basedOn w:val="1"/>
    <w:qFormat/>
    <w:uiPriority w:val="0"/>
    <w:pPr>
      <w:widowControl/>
      <w:jc w:val="left"/>
    </w:pPr>
    <w:rPr>
      <w:rFonts w:ascii="宋体" w:hAnsi="宋体" w:cs="宋体"/>
      <w:kern w:val="0"/>
      <w:sz w:val="15"/>
      <w:szCs w:val="15"/>
    </w:rPr>
  </w:style>
  <w:style w:type="character" w:customStyle="1" w:styleId="763">
    <w:name w:val="red1"/>
    <w:qFormat/>
    <w:uiPriority w:val="0"/>
    <w:rPr>
      <w:color w:val="FF3300"/>
    </w:rPr>
  </w:style>
  <w:style w:type="paragraph" w:customStyle="1" w:styleId="764">
    <w:name w:val="标准中文版式_正文"/>
    <w:basedOn w:val="1"/>
    <w:qFormat/>
    <w:uiPriority w:val="0"/>
    <w:pPr>
      <w:spacing w:before="30" w:line="360" w:lineRule="auto"/>
    </w:pPr>
    <w:rPr>
      <w:rFonts w:ascii="Arial" w:hAnsi="Arial"/>
      <w:sz w:val="24"/>
      <w:szCs w:val="20"/>
    </w:rPr>
  </w:style>
  <w:style w:type="paragraph" w:customStyle="1" w:styleId="765">
    <w:name w:val="正文文字3"/>
    <w:basedOn w:val="1"/>
    <w:qFormat/>
    <w:uiPriority w:val="0"/>
    <w:pPr>
      <w:spacing w:before="60" w:after="60" w:line="500" w:lineRule="exact"/>
      <w:ind w:left="1021" w:firstLine="567"/>
    </w:pPr>
    <w:rPr>
      <w:sz w:val="28"/>
      <w:szCs w:val="20"/>
    </w:rPr>
  </w:style>
  <w:style w:type="paragraph" w:customStyle="1" w:styleId="766">
    <w:name w:val="myfont9new"/>
    <w:basedOn w:val="1"/>
    <w:qFormat/>
    <w:uiPriority w:val="0"/>
    <w:pPr>
      <w:widowControl/>
      <w:spacing w:before="100" w:beforeAutospacing="1" w:after="100" w:afterAutospacing="1"/>
      <w:jc w:val="left"/>
    </w:pPr>
    <w:rPr>
      <w:rFonts w:ascii="宋体" w:hAnsi="宋体"/>
      <w:kern w:val="0"/>
      <w:sz w:val="24"/>
    </w:rPr>
  </w:style>
  <w:style w:type="character" w:customStyle="1" w:styleId="767">
    <w:name w:val="maintext"/>
    <w:basedOn w:val="133"/>
    <w:qFormat/>
    <w:uiPriority w:val="0"/>
  </w:style>
  <w:style w:type="paragraph" w:customStyle="1" w:styleId="768">
    <w:name w:val="正文2"/>
    <w:qFormat/>
    <w:uiPriority w:val="0"/>
    <w:pPr>
      <w:widowControl w:val="0"/>
      <w:adjustRightInd w:val="0"/>
      <w:spacing w:line="315" w:lineRule="atLeast"/>
      <w:jc w:val="both"/>
      <w:textAlignment w:val="baseline"/>
    </w:pPr>
    <w:rPr>
      <w:rFonts w:ascii="宋体" w:hAnsi="Times New Roman" w:eastAsia="宋体" w:cs="Times New Roman"/>
      <w:sz w:val="24"/>
      <w:lang w:val="en-US" w:eastAsia="zh-CN" w:bidi="ar-SA"/>
    </w:rPr>
  </w:style>
  <w:style w:type="paragraph" w:customStyle="1" w:styleId="769">
    <w:name w:val="首消息标题"/>
    <w:basedOn w:val="79"/>
    <w:next w:val="79"/>
    <w:qFormat/>
    <w:uiPriority w:val="0"/>
    <w:pPr>
      <w:keepLines/>
      <w:widowControl/>
      <w:pBdr>
        <w:top w:val="none" w:color="auto" w:sz="0" w:space="0"/>
        <w:left w:val="none" w:color="auto" w:sz="0" w:space="0"/>
        <w:bottom w:val="none" w:color="auto" w:sz="0" w:space="0"/>
        <w:right w:val="none" w:color="auto" w:sz="0" w:space="0"/>
      </w:pBdr>
      <w:shd w:val="clear" w:color="auto" w:fill="auto"/>
      <w:tabs>
        <w:tab w:val="left" w:pos="720"/>
        <w:tab w:val="left" w:pos="4320"/>
        <w:tab w:val="left" w:pos="5040"/>
        <w:tab w:val="right" w:pos="8640"/>
      </w:tabs>
      <w:spacing w:before="0" w:after="40" w:line="440" w:lineRule="atLeast"/>
      <w:ind w:left="0" w:firstLine="0"/>
      <w:jc w:val="left"/>
    </w:pPr>
    <w:rPr>
      <w:rFonts w:eastAsia="宋体"/>
      <w:spacing w:val="-5"/>
      <w:sz w:val="21"/>
      <w:lang w:bidi="he-IL"/>
    </w:rPr>
  </w:style>
  <w:style w:type="character" w:customStyle="1" w:styleId="770">
    <w:name w:val="消息标题标签"/>
    <w:qFormat/>
    <w:uiPriority w:val="0"/>
    <w:rPr>
      <w:rFonts w:ascii="Arial Black" w:hAnsi="Arial Black" w:eastAsia="黑体"/>
      <w:b/>
      <w:sz w:val="18"/>
      <w:lang w:eastAsia="zh-CN"/>
    </w:rPr>
  </w:style>
  <w:style w:type="paragraph" w:customStyle="1" w:styleId="771">
    <w:name w:val="文档标签"/>
    <w:basedOn w:val="1"/>
    <w:qFormat/>
    <w:uiPriority w:val="0"/>
    <w:pPr>
      <w:keepNext/>
      <w:keepLines/>
      <w:widowControl/>
      <w:spacing w:before="400" w:after="120" w:line="240" w:lineRule="atLeast"/>
      <w:jc w:val="left"/>
    </w:pPr>
    <w:rPr>
      <w:rFonts w:ascii="Arial Black" w:hAnsi="Arial Black"/>
      <w:spacing w:val="-100"/>
      <w:kern w:val="28"/>
      <w:sz w:val="108"/>
      <w:szCs w:val="20"/>
      <w:lang w:bidi="he-IL"/>
    </w:rPr>
  </w:style>
  <w:style w:type="character" w:customStyle="1" w:styleId="772">
    <w:name w:val="头 Char Char"/>
    <w:qFormat/>
    <w:uiPriority w:val="0"/>
    <w:rPr>
      <w:rFonts w:ascii="宋体" w:hAnsi="宋体" w:eastAsia="宋体"/>
      <w:b/>
      <w:bCs/>
      <w:color w:val="0000FF"/>
      <w:sz w:val="28"/>
      <w:lang w:val="en-US" w:eastAsia="zh-CN" w:bidi="ar-SA"/>
    </w:rPr>
  </w:style>
  <w:style w:type="paragraph" w:customStyle="1" w:styleId="773">
    <w:name w:val="表注"/>
    <w:link w:val="2031"/>
    <w:qFormat/>
    <w:uiPriority w:val="0"/>
    <w:pPr>
      <w:adjustRightInd w:val="0"/>
    </w:pPr>
    <w:rPr>
      <w:rFonts w:ascii="Times New Roman" w:hAnsi="Times New Roman" w:eastAsia="宋体" w:cs="Times New Roman"/>
      <w:kern w:val="15"/>
      <w:sz w:val="15"/>
      <w:lang w:val="en-US" w:eastAsia="zh-CN" w:bidi="ar-SA"/>
    </w:rPr>
  </w:style>
  <w:style w:type="paragraph" w:customStyle="1" w:styleId="774">
    <w:name w:val="7"/>
    <w:basedOn w:val="1"/>
    <w:next w:val="37"/>
    <w:link w:val="1729"/>
    <w:qFormat/>
    <w:uiPriority w:val="0"/>
    <w:pPr>
      <w:ind w:firstLine="538" w:firstLineChars="192"/>
    </w:pPr>
    <w:rPr>
      <w:rFonts w:ascii="宋体" w:hAnsi="宋体"/>
      <w:sz w:val="28"/>
    </w:rPr>
  </w:style>
  <w:style w:type="character" w:customStyle="1" w:styleId="775">
    <w:name w:val="carboy"/>
    <w:basedOn w:val="133"/>
    <w:qFormat/>
    <w:uiPriority w:val="0"/>
  </w:style>
  <w:style w:type="character" w:customStyle="1" w:styleId="776">
    <w:name w:val="12h"/>
    <w:basedOn w:val="133"/>
    <w:qFormat/>
    <w:uiPriority w:val="0"/>
  </w:style>
  <w:style w:type="character" w:customStyle="1" w:styleId="777">
    <w:name w:val="unnamed21"/>
    <w:qFormat/>
    <w:uiPriority w:val="0"/>
    <w:rPr>
      <w:color w:val="000000"/>
    </w:rPr>
  </w:style>
  <w:style w:type="paragraph" w:customStyle="1" w:styleId="778">
    <w:name w:val="说明1"/>
    <w:basedOn w:val="1"/>
    <w:qFormat/>
    <w:uiPriority w:val="0"/>
    <w:pPr>
      <w:keepLines/>
      <w:widowControl/>
      <w:suppressLineNumbers/>
      <w:suppressAutoHyphens/>
      <w:spacing w:before="60" w:after="60" w:line="320" w:lineRule="atLeast"/>
    </w:pPr>
    <w:rPr>
      <w:kern w:val="21"/>
      <w:szCs w:val="20"/>
    </w:rPr>
  </w:style>
  <w:style w:type="paragraph" w:customStyle="1" w:styleId="779">
    <w:name w:val="p9"/>
    <w:basedOn w:val="1"/>
    <w:qFormat/>
    <w:uiPriority w:val="0"/>
    <w:pPr>
      <w:widowControl/>
      <w:spacing w:before="100" w:beforeAutospacing="1" w:after="100" w:afterAutospacing="1" w:line="432" w:lineRule="auto"/>
      <w:jc w:val="left"/>
    </w:pPr>
    <w:rPr>
      <w:rFonts w:ascii="ˎ̥" w:hAnsi="ˎ̥" w:cs="宋体"/>
      <w:color w:val="000000"/>
      <w:kern w:val="0"/>
      <w:sz w:val="18"/>
      <w:szCs w:val="18"/>
    </w:rPr>
  </w:style>
  <w:style w:type="paragraph" w:customStyle="1" w:styleId="780">
    <w:name w:val="12"/>
    <w:basedOn w:val="1"/>
    <w:next w:val="47"/>
    <w:qFormat/>
    <w:uiPriority w:val="0"/>
    <w:pPr>
      <w:widowControl/>
      <w:jc w:val="left"/>
    </w:pPr>
    <w:rPr>
      <w:rFonts w:ascii="Arial" w:hAnsi="Arial" w:eastAsia="Times"/>
      <w:kern w:val="0"/>
      <w:sz w:val="24"/>
      <w:szCs w:val="20"/>
      <w:lang w:eastAsia="en-US"/>
    </w:rPr>
  </w:style>
  <w:style w:type="character" w:customStyle="1" w:styleId="781">
    <w:name w:val="text3"/>
    <w:qFormat/>
    <w:uiPriority w:val="0"/>
    <w:rPr>
      <w:rFonts w:hint="default" w:ascii="ˎ̥" w:hAnsi="ˎ̥"/>
      <w:color w:val="000000"/>
      <w:sz w:val="12"/>
      <w:szCs w:val="12"/>
    </w:rPr>
  </w:style>
  <w:style w:type="character" w:customStyle="1" w:styleId="782">
    <w:name w:val="正文（首行缩进两字） Char Char Char Char Char Char Char Char Char Char Char Char Char Char Char Char Char Char Char Char Char Char Char Char Char Char Char Char Char Char Char Char Char Char Char Char Char Char Char Char Char Char"/>
    <w:qFormat/>
    <w:uiPriority w:val="0"/>
    <w:rPr>
      <w:rFonts w:eastAsia="宋体"/>
      <w:sz w:val="24"/>
      <w:lang w:val="en-US" w:eastAsia="zh-CN" w:bidi="ar-SA"/>
    </w:rPr>
  </w:style>
  <w:style w:type="paragraph" w:customStyle="1" w:styleId="783">
    <w:name w:val="11"/>
    <w:basedOn w:val="1"/>
    <w:next w:val="37"/>
    <w:qFormat/>
    <w:uiPriority w:val="0"/>
    <w:pPr>
      <w:spacing w:line="360" w:lineRule="auto"/>
      <w:ind w:firstLine="500"/>
    </w:pPr>
    <w:rPr>
      <w:rFonts w:ascii="Plotter" w:hAnsi="Plotter"/>
      <w:sz w:val="24"/>
      <w:szCs w:val="20"/>
    </w:rPr>
  </w:style>
  <w:style w:type="paragraph" w:customStyle="1" w:styleId="784">
    <w:name w:val="10"/>
    <w:basedOn w:val="1"/>
    <w:next w:val="35"/>
    <w:qFormat/>
    <w:uiPriority w:val="0"/>
    <w:pPr>
      <w:spacing w:after="120"/>
    </w:pPr>
  </w:style>
  <w:style w:type="character" w:customStyle="1" w:styleId="785">
    <w:name w:val="font1"/>
    <w:qFormat/>
    <w:uiPriority w:val="0"/>
    <w:rPr>
      <w:rFonts w:hint="default" w:ascii="GB2312" w:hAnsi="GB2312"/>
      <w:sz w:val="18"/>
      <w:szCs w:val="18"/>
    </w:rPr>
  </w:style>
  <w:style w:type="character" w:customStyle="1" w:styleId="786">
    <w:name w:val="s14zong1"/>
    <w:qFormat/>
    <w:uiPriority w:val="0"/>
    <w:rPr>
      <w:rFonts w:hint="eastAsia" w:ascii="宋体" w:hAnsi="宋体" w:eastAsia="宋体"/>
      <w:color w:val="663333"/>
      <w:sz w:val="21"/>
      <w:szCs w:val="21"/>
    </w:rPr>
  </w:style>
  <w:style w:type="character" w:customStyle="1" w:styleId="787">
    <w:name w:val="标题 Char Char Char Char Char Char Char Char"/>
    <w:qFormat/>
    <w:uiPriority w:val="0"/>
    <w:rPr>
      <w:rFonts w:eastAsia="黑体"/>
      <w:kern w:val="2"/>
      <w:sz w:val="32"/>
      <w:szCs w:val="24"/>
      <w:lang w:val="en-US" w:eastAsia="zh-CN" w:bidi="ar-SA"/>
    </w:rPr>
  </w:style>
  <w:style w:type="character" w:customStyle="1" w:styleId="788">
    <w:name w:val="black12px1"/>
    <w:qFormat/>
    <w:uiPriority w:val="0"/>
    <w:rPr>
      <w:rFonts w:hint="default" w:ascii="ˎ̥" w:hAnsi="ˎ̥"/>
      <w:color w:val="000000"/>
      <w:sz w:val="18"/>
      <w:szCs w:val="18"/>
    </w:rPr>
  </w:style>
  <w:style w:type="paragraph" w:customStyle="1" w:styleId="789">
    <w:name w:val="9"/>
    <w:basedOn w:val="1"/>
    <w:next w:val="35"/>
    <w:qFormat/>
    <w:uiPriority w:val="0"/>
    <w:rPr>
      <w:sz w:val="28"/>
      <w:szCs w:val="20"/>
    </w:rPr>
  </w:style>
  <w:style w:type="paragraph" w:customStyle="1" w:styleId="790">
    <w:name w:val="8"/>
    <w:basedOn w:val="1"/>
    <w:next w:val="52"/>
    <w:qFormat/>
    <w:uiPriority w:val="0"/>
    <w:pPr>
      <w:widowControl/>
      <w:spacing w:line="360" w:lineRule="auto"/>
      <w:ind w:firstLine="560"/>
      <w:jc w:val="left"/>
    </w:pPr>
    <w:rPr>
      <w:kern w:val="0"/>
      <w:sz w:val="28"/>
    </w:rPr>
  </w:style>
  <w:style w:type="character" w:customStyle="1" w:styleId="791">
    <w:name w:val="样式 正文 Char"/>
    <w:qFormat/>
    <w:uiPriority w:val="0"/>
    <w:rPr>
      <w:rFonts w:ascii="宋体" w:hAnsi="宋体" w:eastAsia="宋体" w:cs="宋体"/>
      <w:color w:val="000000"/>
      <w:kern w:val="2"/>
      <w:sz w:val="28"/>
      <w:szCs w:val="28"/>
      <w:lang w:val="en-US" w:eastAsia="zh-CN" w:bidi="ar-SA"/>
    </w:rPr>
  </w:style>
  <w:style w:type="paragraph" w:customStyle="1" w:styleId="792">
    <w:name w:val="样式 标题1"/>
    <w:basedOn w:val="733"/>
    <w:qFormat/>
    <w:uiPriority w:val="0"/>
    <w:pPr>
      <w:tabs>
        <w:tab w:val="left" w:pos="0"/>
      </w:tabs>
      <w:ind w:firstLine="0" w:firstLineChars="0"/>
      <w:outlineLvl w:val="0"/>
    </w:pPr>
    <w:rPr>
      <w:b/>
    </w:rPr>
  </w:style>
  <w:style w:type="paragraph" w:customStyle="1" w:styleId="793">
    <w:name w:val="样式 标题2"/>
    <w:basedOn w:val="733"/>
    <w:qFormat/>
    <w:uiPriority w:val="0"/>
    <w:pPr>
      <w:tabs>
        <w:tab w:val="left" w:pos="0"/>
      </w:tabs>
      <w:ind w:firstLine="0" w:firstLineChars="0"/>
      <w:outlineLvl w:val="1"/>
    </w:pPr>
    <w:rPr>
      <w:b/>
    </w:rPr>
  </w:style>
  <w:style w:type="paragraph" w:customStyle="1" w:styleId="794">
    <w:name w:val="样式 标题3"/>
    <w:basedOn w:val="733"/>
    <w:qFormat/>
    <w:uiPriority w:val="0"/>
    <w:pPr>
      <w:tabs>
        <w:tab w:val="left" w:pos="0"/>
      </w:tabs>
      <w:ind w:firstLine="0" w:firstLineChars="0"/>
      <w:outlineLvl w:val="2"/>
    </w:pPr>
    <w:rPr>
      <w:b/>
    </w:rPr>
  </w:style>
  <w:style w:type="paragraph" w:customStyle="1" w:styleId="795">
    <w:name w:val="样式 标题4"/>
    <w:basedOn w:val="733"/>
    <w:qFormat/>
    <w:uiPriority w:val="0"/>
    <w:pPr>
      <w:tabs>
        <w:tab w:val="left" w:pos="0"/>
      </w:tabs>
      <w:ind w:firstLine="0" w:firstLineChars="0"/>
      <w:outlineLvl w:val="3"/>
    </w:pPr>
    <w:rPr>
      <w:rFonts w:hAnsi="Times New Roman"/>
    </w:rPr>
  </w:style>
  <w:style w:type="paragraph" w:customStyle="1" w:styleId="796">
    <w:name w:val="10 Char Char Char Char Char Char Char"/>
    <w:basedOn w:val="1"/>
    <w:qFormat/>
    <w:uiPriority w:val="0"/>
    <w:rPr>
      <w:szCs w:val="21"/>
    </w:rPr>
  </w:style>
  <w:style w:type="paragraph" w:customStyle="1" w:styleId="797">
    <w:name w:val="样式 表格文字"/>
    <w:basedOn w:val="733"/>
    <w:qFormat/>
    <w:uiPriority w:val="0"/>
    <w:pPr>
      <w:spacing w:beforeLines="25" w:afterLines="25" w:line="240" w:lineRule="auto"/>
      <w:ind w:firstLine="0" w:firstLineChars="0"/>
    </w:pPr>
    <w:rPr>
      <w:sz w:val="24"/>
      <w:szCs w:val="24"/>
    </w:rPr>
  </w:style>
  <w:style w:type="paragraph" w:customStyle="1" w:styleId="798">
    <w:name w:val="样式 表格文字 Char + 段前: 0.5 行"/>
    <w:basedOn w:val="1"/>
    <w:qFormat/>
    <w:uiPriority w:val="0"/>
    <w:pPr>
      <w:spacing w:beforeLines="50"/>
      <w:jc w:val="center"/>
    </w:pPr>
    <w:rPr>
      <w:sz w:val="24"/>
      <w:szCs w:val="20"/>
    </w:rPr>
  </w:style>
  <w:style w:type="paragraph" w:customStyle="1" w:styleId="799">
    <w:name w:val="Char9"/>
    <w:basedOn w:val="1"/>
    <w:qFormat/>
    <w:uiPriority w:val="0"/>
    <w:rPr>
      <w:szCs w:val="21"/>
    </w:rPr>
  </w:style>
  <w:style w:type="character" w:customStyle="1" w:styleId="800">
    <w:name w:val="style21"/>
    <w:qFormat/>
    <w:uiPriority w:val="0"/>
    <w:rPr>
      <w:b/>
      <w:color w:val="993300"/>
      <w:sz w:val="27"/>
    </w:rPr>
  </w:style>
  <w:style w:type="paragraph" w:customStyle="1" w:styleId="801">
    <w:name w:val="样式 样式 标题3 + 小四"/>
    <w:basedOn w:val="794"/>
    <w:qFormat/>
    <w:uiPriority w:val="0"/>
    <w:pPr>
      <w:tabs>
        <w:tab w:val="left" w:pos="1418"/>
        <w:tab w:val="clear" w:pos="0"/>
      </w:tabs>
      <w:ind w:left="1418" w:hanging="567"/>
    </w:pPr>
    <w:rPr>
      <w:bCs/>
      <w:sz w:val="24"/>
    </w:rPr>
  </w:style>
  <w:style w:type="character" w:customStyle="1" w:styleId="802">
    <w:name w:val="正文文字缩进 2 Char Char"/>
    <w:qFormat/>
    <w:uiPriority w:val="0"/>
    <w:rPr>
      <w:rFonts w:eastAsia="宋体"/>
      <w:sz w:val="28"/>
      <w:szCs w:val="24"/>
      <w:lang w:val="en-US" w:eastAsia="zh-CN" w:bidi="ar-SA"/>
    </w:rPr>
  </w:style>
  <w:style w:type="character" w:customStyle="1" w:styleId="803">
    <w:name w:val="XYF1 Char"/>
    <w:link w:val="310"/>
    <w:qFormat/>
    <w:uiPriority w:val="0"/>
    <w:rPr>
      <w:kern w:val="2"/>
      <w:sz w:val="24"/>
      <w:szCs w:val="24"/>
    </w:rPr>
  </w:style>
  <w:style w:type="paragraph" w:customStyle="1" w:styleId="804">
    <w:name w:val="样式15"/>
    <w:basedOn w:val="1"/>
    <w:qFormat/>
    <w:uiPriority w:val="0"/>
    <w:pPr>
      <w:shd w:val="clear" w:color="auto" w:fill="FFFFFF"/>
      <w:adjustRightInd w:val="0"/>
      <w:jc w:val="center"/>
      <w:textAlignment w:val="baseline"/>
    </w:pPr>
    <w:rPr>
      <w:rFonts w:ascii="仿宋_GB2312" w:hAnsi="宋体" w:eastAsia="仿宋_GB2312"/>
      <w:sz w:val="24"/>
    </w:rPr>
  </w:style>
  <w:style w:type="character" w:customStyle="1" w:styleId="805">
    <w:name w:val="1) Char"/>
    <w:qFormat/>
    <w:uiPriority w:val="0"/>
    <w:rPr>
      <w:rFonts w:ascii="仿宋_GB2312" w:hAnsi="宋体" w:eastAsia="仿宋_GB2312" w:cs="宋体"/>
      <w:color w:val="FF0000"/>
      <w:sz w:val="28"/>
      <w:szCs w:val="24"/>
    </w:rPr>
  </w:style>
  <w:style w:type="character" w:customStyle="1" w:styleId="806">
    <w:name w:val="无节 Char"/>
    <w:qFormat/>
    <w:uiPriority w:val="0"/>
    <w:rPr>
      <w:rFonts w:ascii="Arial" w:hAnsi="Arial" w:eastAsia="黑体"/>
      <w:b/>
      <w:bCs/>
      <w:sz w:val="24"/>
      <w:szCs w:val="24"/>
    </w:rPr>
  </w:style>
  <w:style w:type="character" w:customStyle="1" w:styleId="807">
    <w:name w:val="标题 7 表 Char"/>
    <w:qFormat/>
    <w:uiPriority w:val="0"/>
    <w:rPr>
      <w:rFonts w:ascii="宋体" w:hAnsi="宋体" w:cs="宋体"/>
      <w:b/>
      <w:bCs/>
      <w:sz w:val="24"/>
      <w:szCs w:val="24"/>
    </w:rPr>
  </w:style>
  <w:style w:type="character" w:customStyle="1" w:styleId="808">
    <w:name w:val="无节款 Char"/>
    <w:qFormat/>
    <w:uiPriority w:val="9"/>
    <w:rPr>
      <w:rFonts w:ascii="Arial" w:hAnsi="Arial" w:eastAsia="黑体"/>
      <w:sz w:val="24"/>
      <w:szCs w:val="24"/>
    </w:rPr>
  </w:style>
  <w:style w:type="character" w:customStyle="1" w:styleId="809">
    <w:name w:val="h9 Char"/>
    <w:qFormat/>
    <w:uiPriority w:val="0"/>
    <w:rPr>
      <w:rFonts w:ascii="Arial" w:hAnsi="Arial" w:eastAsia="黑体"/>
      <w:sz w:val="21"/>
      <w:szCs w:val="21"/>
    </w:rPr>
  </w:style>
  <w:style w:type="character" w:customStyle="1" w:styleId="810">
    <w:name w:val="标题周 Char"/>
    <w:qFormat/>
    <w:uiPriority w:val="0"/>
    <w:rPr>
      <w:rFonts w:ascii="Arial" w:hAnsi="Arial" w:eastAsia="黑体" w:cs="Arial"/>
      <w:b/>
      <w:bCs/>
      <w:sz w:val="32"/>
      <w:szCs w:val="32"/>
      <w:lang w:val="en-US" w:eastAsia="zh-CN" w:bidi="ar-SA"/>
    </w:rPr>
  </w:style>
  <w:style w:type="character" w:customStyle="1" w:styleId="811">
    <w:name w:val="环评正文文字缩进（江东模板） Char"/>
    <w:qFormat/>
    <w:uiPriority w:val="0"/>
    <w:rPr>
      <w:rFonts w:ascii="宋体" w:hAnsi="宋体" w:eastAsia="仿宋_GB2312" w:cs="宋体"/>
      <w:sz w:val="24"/>
      <w:lang w:val="en-US" w:eastAsia="zh-CN" w:bidi="ar-SA"/>
    </w:rPr>
  </w:style>
  <w:style w:type="paragraph" w:customStyle="1" w:styleId="812">
    <w:name w:val="Char Char Char Char Char Char Char Char Char1 Char Char Char Char1"/>
    <w:basedOn w:val="1"/>
    <w:qFormat/>
    <w:uiPriority w:val="0"/>
    <w:pPr>
      <w:widowControl/>
      <w:jc w:val="left"/>
    </w:pPr>
    <w:rPr>
      <w:rFonts w:ascii="宋体" w:hAnsi="宋体" w:cs="宋体"/>
      <w:kern w:val="0"/>
      <w:sz w:val="24"/>
      <w:szCs w:val="21"/>
    </w:rPr>
  </w:style>
  <w:style w:type="character" w:customStyle="1" w:styleId="813">
    <w:name w:val="Char Char22"/>
    <w:qFormat/>
    <w:uiPriority w:val="0"/>
    <w:rPr>
      <w:rFonts w:ascii="Arial" w:hAnsi="Arial" w:eastAsia="楷体_GB2312" w:cs="Arial"/>
      <w:b/>
      <w:sz w:val="24"/>
      <w:lang w:val="en-US" w:eastAsia="zh-CN" w:bidi="ar-SA"/>
    </w:rPr>
  </w:style>
  <w:style w:type="paragraph" w:customStyle="1" w:styleId="814">
    <w:name w:val="Char1 Char Char Char Char Char1 Char2"/>
    <w:basedOn w:val="1"/>
    <w:qFormat/>
    <w:uiPriority w:val="0"/>
    <w:rPr>
      <w:szCs w:val="21"/>
    </w:rPr>
  </w:style>
  <w:style w:type="character" w:customStyle="1" w:styleId="815">
    <w:name w:val="Char Char62"/>
    <w:qFormat/>
    <w:uiPriority w:val="0"/>
    <w:rPr>
      <w:rFonts w:eastAsia="宋体"/>
      <w:kern w:val="2"/>
      <w:sz w:val="24"/>
      <w:lang w:val="en-US" w:eastAsia="zh-CN" w:bidi="ar-SA"/>
    </w:rPr>
  </w:style>
  <w:style w:type="character" w:customStyle="1" w:styleId="816">
    <w:name w:val="Char Char Char Char Char Char Char1"/>
    <w:link w:val="817"/>
    <w:qFormat/>
    <w:locked/>
    <w:uiPriority w:val="0"/>
    <w:rPr>
      <w:rFonts w:ascii="宋体" w:hAnsi="宋体"/>
      <w:kern w:val="2"/>
      <w:sz w:val="24"/>
      <w:szCs w:val="24"/>
    </w:rPr>
  </w:style>
  <w:style w:type="paragraph" w:customStyle="1" w:styleId="817">
    <w:name w:val="Char Char Char Char Char Char1"/>
    <w:basedOn w:val="1"/>
    <w:link w:val="816"/>
    <w:qFormat/>
    <w:uiPriority w:val="0"/>
    <w:rPr>
      <w:rFonts w:ascii="宋体" w:hAnsi="宋体"/>
      <w:sz w:val="24"/>
    </w:rPr>
  </w:style>
  <w:style w:type="paragraph" w:customStyle="1" w:styleId="818">
    <w:name w:val="Char Char Char Char Char Char Char Char Char1 Char Char Char Char Char Char Char Char1 Char Char Char3"/>
    <w:basedOn w:val="1"/>
    <w:qFormat/>
    <w:uiPriority w:val="0"/>
    <w:pPr>
      <w:snapToGrid w:val="0"/>
      <w:spacing w:line="360" w:lineRule="auto"/>
      <w:ind w:firstLine="200" w:firstLineChars="200"/>
    </w:pPr>
    <w:rPr>
      <w:rFonts w:eastAsia="仿宋_GB2312"/>
      <w:sz w:val="24"/>
    </w:rPr>
  </w:style>
  <w:style w:type="character" w:customStyle="1" w:styleId="819">
    <w:name w:val="Char Char72"/>
    <w:qFormat/>
    <w:uiPriority w:val="0"/>
    <w:rPr>
      <w:rFonts w:eastAsia="宋体"/>
      <w:kern w:val="2"/>
      <w:sz w:val="21"/>
      <w:szCs w:val="24"/>
      <w:lang w:val="en-US" w:eastAsia="zh-CN" w:bidi="ar-SA"/>
    </w:rPr>
  </w:style>
  <w:style w:type="character" w:customStyle="1" w:styleId="820">
    <w:name w:val="Char Char102"/>
    <w:qFormat/>
    <w:uiPriority w:val="0"/>
    <w:rPr>
      <w:rFonts w:eastAsia="宋体"/>
      <w:kern w:val="2"/>
      <w:sz w:val="21"/>
      <w:szCs w:val="24"/>
      <w:lang w:val="en-US" w:eastAsia="zh-CN" w:bidi="ar-SA"/>
    </w:rPr>
  </w:style>
  <w:style w:type="character" w:customStyle="1" w:styleId="821">
    <w:name w:val="Char Char52"/>
    <w:qFormat/>
    <w:uiPriority w:val="0"/>
    <w:rPr>
      <w:rFonts w:ascii="宋体" w:hAnsi="Courier New" w:eastAsia="宋体"/>
      <w:kern w:val="2"/>
      <w:sz w:val="21"/>
      <w:lang w:val="en-US" w:eastAsia="zh-CN" w:bidi="ar-SA"/>
    </w:rPr>
  </w:style>
  <w:style w:type="character" w:customStyle="1" w:styleId="822">
    <w:name w:val="Char Char182"/>
    <w:qFormat/>
    <w:uiPriority w:val="0"/>
    <w:rPr>
      <w:rFonts w:ascii="宋体" w:hAnsi="宋体" w:eastAsia="宋体" w:cs="Times New Roman"/>
      <w:color w:val="800000"/>
      <w:kern w:val="0"/>
      <w:sz w:val="28"/>
      <w:szCs w:val="20"/>
    </w:rPr>
  </w:style>
  <w:style w:type="character" w:customStyle="1" w:styleId="823">
    <w:name w:val="Char Char Char1 Char Char2"/>
    <w:qFormat/>
    <w:uiPriority w:val="0"/>
    <w:rPr>
      <w:rFonts w:ascii="Times New Roman" w:hAnsi="Times New Roman" w:eastAsia="宋体" w:cs="Times New Roman"/>
      <w:kern w:val="0"/>
      <w:sz w:val="18"/>
      <w:szCs w:val="18"/>
    </w:rPr>
  </w:style>
  <w:style w:type="character" w:customStyle="1" w:styleId="824">
    <w:name w:val="Char Char112"/>
    <w:qFormat/>
    <w:uiPriority w:val="0"/>
    <w:rPr>
      <w:rFonts w:ascii="Times New Roman" w:hAnsi="Times New Roman" w:eastAsia="宋体" w:cs="Times New Roman"/>
      <w:kern w:val="0"/>
      <w:sz w:val="24"/>
      <w:szCs w:val="24"/>
    </w:rPr>
  </w:style>
  <w:style w:type="character" w:customStyle="1" w:styleId="825">
    <w:name w:val="标题 1 Char Char Char Char Char Char Char Char Char Char Char Char Char Char Char Char Char Char Char Char Char Char Char Char Char Char Char Char Char Char Char Char Char Char Char Char Char Char Char Char Char Char Char Char Char Char Char Char Char2"/>
    <w:qFormat/>
    <w:uiPriority w:val="0"/>
    <w:rPr>
      <w:rFonts w:ascii="黑体" w:hAnsi="Arial Unicode MS" w:eastAsia="黑体"/>
      <w:kern w:val="44"/>
      <w:sz w:val="28"/>
      <w:szCs w:val="28"/>
      <w:lang w:val="en-US" w:eastAsia="zh-CN" w:bidi="ar-SA"/>
    </w:rPr>
  </w:style>
  <w:style w:type="paragraph" w:customStyle="1" w:styleId="826">
    <w:name w:val="正文22"/>
    <w:qFormat/>
    <w:uiPriority w:val="0"/>
    <w:pPr>
      <w:widowControl w:val="0"/>
      <w:adjustRightInd w:val="0"/>
      <w:spacing w:line="315" w:lineRule="atLeast"/>
      <w:jc w:val="both"/>
      <w:textAlignment w:val="baseline"/>
    </w:pPr>
    <w:rPr>
      <w:rFonts w:ascii="宋体" w:hAnsi="Times New Roman" w:eastAsia="宋体" w:cs="Times New Roman"/>
      <w:sz w:val="24"/>
      <w:lang w:val="en-US" w:eastAsia="zh-CN" w:bidi="ar-SA"/>
    </w:rPr>
  </w:style>
  <w:style w:type="paragraph" w:customStyle="1" w:styleId="827">
    <w:name w:val="Char92"/>
    <w:basedOn w:val="1"/>
    <w:qFormat/>
    <w:uiPriority w:val="0"/>
    <w:rPr>
      <w:szCs w:val="21"/>
    </w:rPr>
  </w:style>
  <w:style w:type="character" w:customStyle="1" w:styleId="828">
    <w:name w:val="headline-content2"/>
    <w:basedOn w:val="133"/>
    <w:qFormat/>
    <w:uiPriority w:val="0"/>
  </w:style>
  <w:style w:type="character" w:customStyle="1" w:styleId="829">
    <w:name w:val="正文文字 Char2"/>
    <w:qFormat/>
    <w:uiPriority w:val="0"/>
    <w:rPr>
      <w:rFonts w:ascii="宋体" w:hAnsi="宋体" w:eastAsia="宋体" w:cs="宋体"/>
      <w:spacing w:val="6"/>
      <w:sz w:val="24"/>
      <w:lang w:val="en-US" w:eastAsia="zh-CN" w:bidi="ar-SA"/>
    </w:rPr>
  </w:style>
  <w:style w:type="character" w:customStyle="1" w:styleId="830">
    <w:name w:val="标题周 Char1"/>
    <w:qFormat/>
    <w:uiPriority w:val="0"/>
    <w:rPr>
      <w:rFonts w:ascii="Arial" w:hAnsi="Arial" w:eastAsia="黑体" w:cs="Arial"/>
      <w:b/>
      <w:bCs/>
      <w:sz w:val="32"/>
      <w:szCs w:val="32"/>
      <w:lang w:val="en-US" w:eastAsia="zh-CN" w:bidi="ar-SA"/>
    </w:rPr>
  </w:style>
  <w:style w:type="character" w:customStyle="1" w:styleId="831">
    <w:name w:val="1) Char1"/>
    <w:qFormat/>
    <w:uiPriority w:val="0"/>
    <w:rPr>
      <w:rFonts w:ascii="仿宋_GB2312" w:hAnsi="宋体" w:eastAsia="仿宋_GB2312" w:cs="宋体"/>
      <w:color w:val="FF0000"/>
      <w:sz w:val="28"/>
      <w:szCs w:val="24"/>
      <w:lang w:val="en-US" w:eastAsia="zh-CN" w:bidi="ar-SA"/>
    </w:rPr>
  </w:style>
  <w:style w:type="character" w:customStyle="1" w:styleId="832">
    <w:name w:val="无节 Char1"/>
    <w:qFormat/>
    <w:uiPriority w:val="0"/>
    <w:rPr>
      <w:rFonts w:ascii="Arial" w:hAnsi="Arial" w:eastAsia="黑体"/>
      <w:b/>
      <w:bCs/>
      <w:sz w:val="24"/>
      <w:szCs w:val="24"/>
      <w:lang w:val="en-US" w:eastAsia="zh-CN" w:bidi="ar-SA"/>
    </w:rPr>
  </w:style>
  <w:style w:type="character" w:customStyle="1" w:styleId="833">
    <w:name w:val="标题 7 表 Char1"/>
    <w:qFormat/>
    <w:uiPriority w:val="0"/>
    <w:rPr>
      <w:rFonts w:ascii="宋体" w:hAnsi="宋体" w:eastAsia="宋体" w:cs="宋体"/>
      <w:b/>
      <w:bCs/>
      <w:sz w:val="24"/>
      <w:szCs w:val="24"/>
      <w:lang w:val="en-US" w:eastAsia="zh-CN" w:bidi="ar-SA"/>
    </w:rPr>
  </w:style>
  <w:style w:type="character" w:customStyle="1" w:styleId="834">
    <w:name w:val="无节款 Char1"/>
    <w:qFormat/>
    <w:uiPriority w:val="0"/>
    <w:rPr>
      <w:rFonts w:ascii="Arial" w:hAnsi="Arial" w:eastAsia="黑体"/>
      <w:sz w:val="24"/>
      <w:szCs w:val="24"/>
      <w:lang w:val="en-US" w:eastAsia="zh-CN" w:bidi="ar-SA"/>
    </w:rPr>
  </w:style>
  <w:style w:type="character" w:customStyle="1" w:styleId="835">
    <w:name w:val="h9 Char1"/>
    <w:qFormat/>
    <w:uiPriority w:val="0"/>
    <w:rPr>
      <w:rFonts w:ascii="Arial" w:hAnsi="Arial" w:eastAsia="黑体"/>
      <w:sz w:val="21"/>
      <w:szCs w:val="21"/>
      <w:lang w:val="en-US" w:eastAsia="zh-CN" w:bidi="ar-SA"/>
    </w:rPr>
  </w:style>
  <w:style w:type="character" w:customStyle="1" w:styleId="836">
    <w:name w:val="环评正文文字缩进（江东模板） Char1"/>
    <w:qFormat/>
    <w:uiPriority w:val="99"/>
    <w:rPr>
      <w:rFonts w:ascii="宋体" w:hAnsi="宋体" w:eastAsia="仿宋_GB2312" w:cs="宋体"/>
      <w:sz w:val="24"/>
      <w:lang w:val="en-US" w:eastAsia="zh-CN" w:bidi="ar-SA"/>
    </w:rPr>
  </w:style>
  <w:style w:type="character" w:customStyle="1" w:styleId="837">
    <w:name w:val="环评正文文字缩进（江东模板） Char2"/>
    <w:qFormat/>
    <w:uiPriority w:val="0"/>
    <w:rPr>
      <w:rFonts w:ascii="宋体" w:hAnsi="宋体" w:eastAsia="仿宋_GB2312" w:cs="宋体"/>
      <w:sz w:val="24"/>
      <w:lang w:val="en-US" w:eastAsia="zh-CN" w:bidi="ar-SA"/>
    </w:rPr>
  </w:style>
  <w:style w:type="paragraph" w:customStyle="1" w:styleId="838">
    <w:name w:val="font14"/>
    <w:basedOn w:val="1"/>
    <w:qFormat/>
    <w:uiPriority w:val="0"/>
    <w:pPr>
      <w:widowControl/>
      <w:spacing w:before="100" w:beforeAutospacing="1" w:after="100" w:afterAutospacing="1"/>
      <w:jc w:val="left"/>
    </w:pPr>
    <w:rPr>
      <w:rFonts w:ascii="仿宋_GB2312" w:hAnsi="宋体" w:eastAsia="仿宋_GB2312" w:cs="宋体"/>
      <w:color w:val="000000"/>
      <w:kern w:val="0"/>
      <w:sz w:val="20"/>
      <w:szCs w:val="20"/>
    </w:rPr>
  </w:style>
  <w:style w:type="character" w:customStyle="1" w:styleId="839">
    <w:name w:val="zw1"/>
    <w:qFormat/>
    <w:uiPriority w:val="0"/>
    <w:rPr>
      <w:rFonts w:hint="eastAsia" w:ascii="宋体" w:hAnsi="宋体" w:eastAsia="宋体"/>
      <w:sz w:val="22"/>
      <w:szCs w:val="22"/>
    </w:rPr>
  </w:style>
  <w:style w:type="paragraph" w:customStyle="1" w:styleId="840">
    <w:name w:val="zw"/>
    <w:basedOn w:val="1"/>
    <w:qFormat/>
    <w:uiPriority w:val="0"/>
    <w:pPr>
      <w:widowControl/>
      <w:spacing w:before="100" w:beforeAutospacing="1" w:after="100" w:afterAutospacing="1" w:line="440" w:lineRule="atLeast"/>
      <w:jc w:val="left"/>
    </w:pPr>
    <w:rPr>
      <w:rFonts w:ascii="宋体" w:hAnsi="宋体" w:cs="宋体"/>
      <w:kern w:val="0"/>
      <w:sz w:val="22"/>
      <w:szCs w:val="22"/>
    </w:rPr>
  </w:style>
  <w:style w:type="paragraph" w:customStyle="1" w:styleId="841">
    <w:name w:val="TOC 标题1"/>
    <w:basedOn w:val="4"/>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character" w:customStyle="1" w:styleId="842">
    <w:name w:val="正文文本 2 字符"/>
    <w:link w:val="76"/>
    <w:qFormat/>
    <w:uiPriority w:val="99"/>
    <w:rPr>
      <w:kern w:val="2"/>
      <w:sz w:val="21"/>
      <w:szCs w:val="24"/>
    </w:rPr>
  </w:style>
  <w:style w:type="character" w:customStyle="1" w:styleId="843">
    <w:name w:val="正文文本 3 字符"/>
    <w:link w:val="32"/>
    <w:qFormat/>
    <w:uiPriority w:val="0"/>
    <w:rPr>
      <w:kern w:val="2"/>
      <w:sz w:val="16"/>
      <w:szCs w:val="16"/>
    </w:rPr>
  </w:style>
  <w:style w:type="character" w:customStyle="1" w:styleId="844">
    <w:name w:val="日期 字符"/>
    <w:link w:val="51"/>
    <w:qFormat/>
    <w:uiPriority w:val="0"/>
    <w:rPr>
      <w:rFonts w:ascii="宋体"/>
      <w:sz w:val="24"/>
    </w:rPr>
  </w:style>
  <w:style w:type="character" w:customStyle="1" w:styleId="845">
    <w:name w:val="正文首行缩进 字符"/>
    <w:link w:val="86"/>
    <w:qFormat/>
    <w:uiPriority w:val="0"/>
    <w:rPr>
      <w:rFonts w:eastAsia="仿宋_GB2312"/>
      <w:kern w:val="2"/>
      <w:sz w:val="28"/>
      <w:szCs w:val="24"/>
    </w:rPr>
  </w:style>
  <w:style w:type="character" w:customStyle="1" w:styleId="846">
    <w:name w:val="批注文字 字符1"/>
    <w:link w:val="29"/>
    <w:qFormat/>
    <w:uiPriority w:val="99"/>
    <w:rPr>
      <w:sz w:val="24"/>
    </w:rPr>
  </w:style>
  <w:style w:type="character" w:customStyle="1" w:styleId="847">
    <w:name w:val="批注主题 字符"/>
    <w:link w:val="85"/>
    <w:qFormat/>
    <w:uiPriority w:val="99"/>
    <w:rPr>
      <w:b/>
      <w:bCs/>
      <w:kern w:val="2"/>
      <w:sz w:val="21"/>
      <w:szCs w:val="24"/>
    </w:rPr>
  </w:style>
  <w:style w:type="character" w:customStyle="1" w:styleId="848">
    <w:name w:val="脚注文本 字符"/>
    <w:link w:val="68"/>
    <w:qFormat/>
    <w:uiPriority w:val="0"/>
    <w:rPr>
      <w:szCs w:val="24"/>
    </w:rPr>
  </w:style>
  <w:style w:type="character" w:customStyle="1" w:styleId="849">
    <w:name w:val="value"/>
    <w:basedOn w:val="133"/>
    <w:qFormat/>
    <w:uiPriority w:val="0"/>
  </w:style>
  <w:style w:type="character" w:customStyle="1" w:styleId="850">
    <w:name w:val="Char Char4"/>
    <w:qFormat/>
    <w:uiPriority w:val="0"/>
    <w:rPr>
      <w:kern w:val="2"/>
      <w:sz w:val="18"/>
      <w:szCs w:val="18"/>
    </w:rPr>
  </w:style>
  <w:style w:type="paragraph" w:customStyle="1" w:styleId="851">
    <w:name w:val="font15"/>
    <w:basedOn w:val="1"/>
    <w:qFormat/>
    <w:uiPriority w:val="0"/>
    <w:pPr>
      <w:widowControl/>
      <w:spacing w:before="100" w:beforeAutospacing="1" w:after="100" w:afterAutospacing="1"/>
      <w:jc w:val="left"/>
    </w:pPr>
    <w:rPr>
      <w:b/>
      <w:bCs/>
      <w:color w:val="000000"/>
      <w:kern w:val="0"/>
      <w:sz w:val="20"/>
      <w:szCs w:val="20"/>
    </w:rPr>
  </w:style>
  <w:style w:type="character" w:customStyle="1" w:styleId="852">
    <w:name w:val="图表文字 Char Char"/>
    <w:qFormat/>
    <w:uiPriority w:val="0"/>
    <w:rPr>
      <w:rFonts w:ascii="仿宋_GB2312" w:hAnsi="宋体" w:eastAsia="仿宋_GB2312" w:cs="宋体"/>
      <w:kern w:val="0"/>
      <w:sz w:val="24"/>
      <w:szCs w:val="24"/>
    </w:rPr>
  </w:style>
  <w:style w:type="paragraph" w:customStyle="1" w:styleId="853">
    <w:name w:val="报告样式4"/>
    <w:basedOn w:val="22"/>
    <w:qFormat/>
    <w:uiPriority w:val="0"/>
    <w:pPr>
      <w:spacing w:line="360" w:lineRule="auto"/>
      <w:ind w:firstLine="480"/>
    </w:pPr>
    <w:rPr>
      <w:bCs/>
      <w:sz w:val="24"/>
      <w:szCs w:val="22"/>
    </w:rPr>
  </w:style>
  <w:style w:type="character" w:customStyle="1" w:styleId="854">
    <w:name w:val="headline-content"/>
    <w:basedOn w:val="133"/>
    <w:qFormat/>
    <w:uiPriority w:val="0"/>
  </w:style>
  <w:style w:type="paragraph" w:customStyle="1" w:styleId="855">
    <w:name w:val="列出段落11"/>
    <w:basedOn w:val="1"/>
    <w:qFormat/>
    <w:uiPriority w:val="34"/>
    <w:pPr>
      <w:ind w:firstLine="420" w:firstLineChars="200"/>
    </w:pPr>
    <w:rPr>
      <w:szCs w:val="20"/>
    </w:rPr>
  </w:style>
  <w:style w:type="character" w:customStyle="1" w:styleId="856">
    <w:name w:val="TBT Char"/>
    <w:link w:val="857"/>
    <w:qFormat/>
    <w:uiPriority w:val="0"/>
    <w:rPr>
      <w:b/>
      <w:kern w:val="2"/>
      <w:sz w:val="24"/>
      <w:szCs w:val="24"/>
    </w:rPr>
  </w:style>
  <w:style w:type="paragraph" w:customStyle="1" w:styleId="857">
    <w:name w:val="TBT"/>
    <w:basedOn w:val="1"/>
    <w:link w:val="856"/>
    <w:qFormat/>
    <w:uiPriority w:val="0"/>
    <w:pPr>
      <w:spacing w:line="500" w:lineRule="exact"/>
      <w:ind w:firstLine="482" w:firstLineChars="200"/>
      <w:jc w:val="center"/>
    </w:pPr>
    <w:rPr>
      <w:b/>
      <w:sz w:val="24"/>
    </w:rPr>
  </w:style>
  <w:style w:type="character" w:customStyle="1" w:styleId="858">
    <w:name w:val="ZW Char"/>
    <w:link w:val="859"/>
    <w:qFormat/>
    <w:uiPriority w:val="0"/>
    <w:rPr>
      <w:rFonts w:cs="宋体"/>
      <w:kern w:val="2"/>
      <w:sz w:val="24"/>
      <w:szCs w:val="24"/>
    </w:rPr>
  </w:style>
  <w:style w:type="paragraph" w:customStyle="1" w:styleId="859">
    <w:name w:val="ZW"/>
    <w:basedOn w:val="1"/>
    <w:link w:val="858"/>
    <w:qFormat/>
    <w:uiPriority w:val="0"/>
    <w:pPr>
      <w:spacing w:line="500" w:lineRule="exact"/>
      <w:ind w:firstLine="480" w:firstLineChars="200"/>
    </w:pPr>
    <w:rPr>
      <w:rFonts w:cs="宋体"/>
      <w:sz w:val="24"/>
    </w:rPr>
  </w:style>
  <w:style w:type="character" w:customStyle="1" w:styleId="860">
    <w:name w:val="TB Char"/>
    <w:link w:val="861"/>
    <w:qFormat/>
    <w:uiPriority w:val="0"/>
    <w:rPr>
      <w:kern w:val="2"/>
      <w:sz w:val="21"/>
      <w:szCs w:val="21"/>
    </w:rPr>
  </w:style>
  <w:style w:type="paragraph" w:customStyle="1" w:styleId="861">
    <w:name w:val="TB"/>
    <w:basedOn w:val="1"/>
    <w:link w:val="860"/>
    <w:qFormat/>
    <w:uiPriority w:val="0"/>
    <w:pPr>
      <w:adjustRightInd w:val="0"/>
      <w:snapToGrid w:val="0"/>
      <w:spacing w:line="240" w:lineRule="exact"/>
      <w:jc w:val="center"/>
    </w:pPr>
    <w:rPr>
      <w:szCs w:val="21"/>
    </w:rPr>
  </w:style>
  <w:style w:type="paragraph" w:customStyle="1" w:styleId="862">
    <w:name w:val="样式 五号 首行缩进:  2 字符1"/>
    <w:basedOn w:val="1"/>
    <w:qFormat/>
    <w:uiPriority w:val="0"/>
    <w:pPr>
      <w:spacing w:line="240" w:lineRule="atLeast"/>
      <w:jc w:val="center"/>
    </w:pPr>
    <w:rPr>
      <w:rFonts w:ascii="仿宋_GB2312" w:hAnsi="仿宋_GB2312" w:eastAsia="仿宋_GB2312" w:cs="宋体"/>
      <w:color w:val="000000"/>
      <w:kern w:val="0"/>
      <w:szCs w:val="20"/>
    </w:rPr>
  </w:style>
  <w:style w:type="paragraph" w:customStyle="1" w:styleId="863">
    <w:name w:val="表格 1"/>
    <w:basedOn w:val="1"/>
    <w:link w:val="864"/>
    <w:qFormat/>
    <w:uiPriority w:val="0"/>
    <w:pPr>
      <w:spacing w:line="320" w:lineRule="exact"/>
      <w:jc w:val="center"/>
    </w:pPr>
    <w:rPr>
      <w:rFonts w:ascii="仿宋_GB2312" w:hAnsi="仿宋_GB2312" w:eastAsia="仿宋_GB2312"/>
      <w:szCs w:val="21"/>
    </w:rPr>
  </w:style>
  <w:style w:type="character" w:customStyle="1" w:styleId="864">
    <w:name w:val="表格 1 Char"/>
    <w:link w:val="863"/>
    <w:qFormat/>
    <w:uiPriority w:val="0"/>
    <w:rPr>
      <w:rFonts w:ascii="仿宋_GB2312" w:hAnsi="仿宋_GB2312" w:eastAsia="仿宋_GB2312"/>
      <w:kern w:val="2"/>
      <w:sz w:val="21"/>
      <w:szCs w:val="21"/>
    </w:rPr>
  </w:style>
  <w:style w:type="paragraph" w:customStyle="1" w:styleId="865">
    <w:name w:val="标题 41"/>
    <w:basedOn w:val="1"/>
    <w:qFormat/>
    <w:uiPriority w:val="0"/>
    <w:pPr>
      <w:spacing w:line="500" w:lineRule="exact"/>
      <w:jc w:val="left"/>
    </w:pPr>
    <w:rPr>
      <w:rFonts w:ascii="仿宋_GB2312" w:hAnsi="仿宋_GB2312" w:eastAsia="仿宋_GB2312"/>
      <w:sz w:val="28"/>
      <w:szCs w:val="21"/>
    </w:rPr>
  </w:style>
  <w:style w:type="table" w:customStyle="1" w:styleId="866">
    <w:name w:val="图表样式-HX"/>
    <w:basedOn w:val="88"/>
    <w:qFormat/>
    <w:uiPriority w:val="99"/>
    <w:rPr>
      <w:rFonts w:ascii="仿宋_GB2312" w:hAnsi="Calibri" w:eastAsia="仿宋_GB2312"/>
    </w:rPr>
    <w:tblPr>
      <w:jc w:val="center"/>
      <w:tblBorders>
        <w:top w:val="single" w:color="auto" w:sz="12" w:space="0"/>
        <w:bottom w:val="single" w:color="auto" w:sz="12" w:space="0"/>
        <w:insideH w:val="single" w:color="auto" w:sz="2" w:space="0"/>
        <w:insideV w:val="single" w:color="auto" w:sz="2" w:space="0"/>
      </w:tblBorders>
    </w:tblPr>
    <w:trPr>
      <w:jc w:val="center"/>
    </w:trPr>
    <w:tcPr>
      <w:vAlign w:val="center"/>
    </w:tcPr>
  </w:style>
  <w:style w:type="paragraph" w:customStyle="1" w:styleId="867">
    <w:name w:val="附件表格文字"/>
    <w:basedOn w:val="1"/>
    <w:qFormat/>
    <w:uiPriority w:val="0"/>
    <w:pPr>
      <w:jc w:val="center"/>
    </w:pPr>
    <w:rPr>
      <w:rFonts w:ascii="仿宋_GB2312" w:hAnsi="Arial" w:eastAsia="仿宋_GB2312" w:cs="Arial"/>
      <w:sz w:val="28"/>
      <w:szCs w:val="28"/>
    </w:rPr>
  </w:style>
  <w:style w:type="table" w:customStyle="1" w:styleId="868">
    <w:name w:val="灰度表格1221"/>
    <w:basedOn w:val="8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69">
    <w:name w:val="9 Char Char Char7 Char"/>
    <w:basedOn w:val="1"/>
    <w:qFormat/>
    <w:uiPriority w:val="0"/>
    <w:pPr>
      <w:spacing w:line="240" w:lineRule="exact"/>
      <w:ind w:firstLine="200" w:firstLineChars="200"/>
    </w:pPr>
    <w:rPr>
      <w:sz w:val="28"/>
      <w:szCs w:val="28"/>
    </w:rPr>
  </w:style>
  <w:style w:type="paragraph" w:customStyle="1" w:styleId="870">
    <w:name w:val="样式 标题4 + (中文) 宋体"/>
    <w:basedOn w:val="22"/>
    <w:next w:val="35"/>
    <w:link w:val="871"/>
    <w:qFormat/>
    <w:uiPriority w:val="0"/>
    <w:pPr>
      <w:keepNext/>
      <w:keepLines/>
      <w:spacing w:line="480" w:lineRule="exact"/>
      <w:ind w:firstLine="0" w:firstLineChars="0"/>
      <w:outlineLvl w:val="3"/>
    </w:pPr>
    <w:rPr>
      <w:rFonts w:eastAsia="Times New Roman"/>
      <w:b/>
      <w:bCs/>
      <w:sz w:val="30"/>
      <w:szCs w:val="32"/>
    </w:rPr>
  </w:style>
  <w:style w:type="character" w:customStyle="1" w:styleId="871">
    <w:name w:val="样式 标题4 + (中文) 宋体 Char"/>
    <w:link w:val="870"/>
    <w:qFormat/>
    <w:uiPriority w:val="0"/>
    <w:rPr>
      <w:rFonts w:eastAsia="Times New Roman"/>
      <w:b/>
      <w:bCs/>
      <w:kern w:val="2"/>
      <w:sz w:val="30"/>
      <w:szCs w:val="32"/>
    </w:rPr>
  </w:style>
  <w:style w:type="character" w:customStyle="1" w:styleId="872">
    <w:name w:val="表格 Char Char Char"/>
    <w:qFormat/>
    <w:uiPriority w:val="0"/>
    <w:rPr>
      <w:rFonts w:ascii="楷体_GB2312" w:hAnsi="楷体_GB2312" w:eastAsia="楷体_GB2312" w:cs="宋体"/>
      <w:b/>
      <w:sz w:val="21"/>
      <w:szCs w:val="24"/>
      <w:lang w:val="en-US" w:eastAsia="zh-CN" w:bidi="ar-SA"/>
    </w:rPr>
  </w:style>
  <w:style w:type="paragraph" w:customStyle="1" w:styleId="873">
    <w:name w:val="Char2 Char Char Char Char Char Char"/>
    <w:basedOn w:val="1"/>
    <w:qFormat/>
    <w:uiPriority w:val="0"/>
    <w:rPr>
      <w:sz w:val="24"/>
    </w:rPr>
  </w:style>
  <w:style w:type="paragraph" w:customStyle="1" w:styleId="874">
    <w:name w:val="其他发布部门"/>
    <w:basedOn w:val="1"/>
    <w:qFormat/>
    <w:uiPriority w:val="0"/>
    <w:pPr>
      <w:widowControl/>
      <w:spacing w:line="0" w:lineRule="atLeast"/>
      <w:jc w:val="center"/>
    </w:pPr>
    <w:rPr>
      <w:rFonts w:ascii="黑体" w:eastAsia="黑体"/>
      <w:spacing w:val="20"/>
      <w:w w:val="135"/>
      <w:kern w:val="0"/>
      <w:sz w:val="28"/>
      <w:szCs w:val="20"/>
    </w:rPr>
  </w:style>
  <w:style w:type="character" w:customStyle="1" w:styleId="875">
    <w:name w:val="图内文字－小五 Char Char"/>
    <w:link w:val="876"/>
    <w:qFormat/>
    <w:uiPriority w:val="0"/>
    <w:rPr>
      <w:kern w:val="2"/>
      <w:sz w:val="18"/>
    </w:rPr>
  </w:style>
  <w:style w:type="paragraph" w:customStyle="1" w:styleId="876">
    <w:name w:val="图内文字－小五"/>
    <w:basedOn w:val="1"/>
    <w:link w:val="875"/>
    <w:qFormat/>
    <w:uiPriority w:val="0"/>
    <w:pPr>
      <w:spacing w:line="240" w:lineRule="exact"/>
    </w:pPr>
    <w:rPr>
      <w:sz w:val="18"/>
      <w:szCs w:val="20"/>
    </w:rPr>
  </w:style>
  <w:style w:type="paragraph" w:customStyle="1" w:styleId="877">
    <w:name w:val="Char Char1 Char"/>
    <w:basedOn w:val="1"/>
    <w:qFormat/>
    <w:uiPriority w:val="0"/>
    <w:rPr>
      <w:szCs w:val="21"/>
    </w:rPr>
  </w:style>
  <w:style w:type="table" w:customStyle="1" w:styleId="878">
    <w:name w:val="黄桥表1"/>
    <w:basedOn w:val="8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79">
    <w:name w:val="黄桥表2"/>
    <w:basedOn w:val="8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80">
    <w:name w:val="黄桥表3"/>
    <w:basedOn w:val="8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81">
    <w:name w:val="灰度表格1222"/>
    <w:basedOn w:val="88"/>
    <w:qFormat/>
    <w:uiPriority w:val="0"/>
    <w:pPr>
      <w:jc w:val="center"/>
    </w:pPr>
    <w:rPr>
      <w:rFonts w:ascii="Calibri" w:hAnsi="Calibri" w:eastAsia="仿宋_GB2312"/>
      <w:sz w:val="21"/>
    </w:rPr>
    <w:tblP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
    <w:tcPr>
      <w:vAlign w:val="center"/>
    </w:tcPr>
  </w:style>
  <w:style w:type="table" w:customStyle="1" w:styleId="882">
    <w:name w:val="maoli1"/>
    <w:basedOn w:val="88"/>
    <w:qFormat/>
    <w:uiPriority w:val="0"/>
    <w:rPr>
      <w:rFonts w:eastAsia="仿宋_GB2312"/>
      <w:sz w:val="21"/>
    </w:rPr>
    <w:tblPr>
      <w:tblBorders>
        <w:top w:val="single" w:color="auto" w:sz="12" w:space="0"/>
        <w:bottom w:val="single" w:color="auto" w:sz="12" w:space="0"/>
        <w:insideH w:val="single" w:color="auto" w:sz="4" w:space="0"/>
        <w:insideV w:val="single" w:color="auto" w:sz="4" w:space="0"/>
      </w:tblBorders>
    </w:tblPr>
    <w:tcPr>
      <w:vAlign w:val="center"/>
    </w:tcPr>
  </w:style>
  <w:style w:type="paragraph" w:customStyle="1" w:styleId="883">
    <w:name w:val="Char Char1 Char Char Char1 Char"/>
    <w:basedOn w:val="1"/>
    <w:qFormat/>
    <w:uiPriority w:val="0"/>
    <w:pPr>
      <w:adjustRightInd w:val="0"/>
      <w:spacing w:line="360" w:lineRule="auto"/>
    </w:pPr>
    <w:rPr>
      <w:kern w:val="0"/>
      <w:sz w:val="24"/>
      <w:szCs w:val="20"/>
    </w:rPr>
  </w:style>
  <w:style w:type="character" w:customStyle="1" w:styleId="884">
    <w:name w:val="正文01 Char"/>
    <w:link w:val="173"/>
    <w:qFormat/>
    <w:locked/>
    <w:uiPriority w:val="0"/>
    <w:rPr>
      <w:sz w:val="24"/>
    </w:rPr>
  </w:style>
  <w:style w:type="paragraph" w:customStyle="1" w:styleId="885">
    <w:name w:val="修订1"/>
    <w:hidden/>
    <w:qFormat/>
    <w:uiPriority w:val="99"/>
    <w:rPr>
      <w:rFonts w:ascii="仿宋_GB2312" w:hAnsi="仿宋_GB2312" w:eastAsia="仿宋_GB2312" w:cs="Times New Roman"/>
      <w:kern w:val="2"/>
      <w:sz w:val="28"/>
      <w:szCs w:val="21"/>
      <w:lang w:val="en-US" w:eastAsia="zh-CN" w:bidi="ar-SA"/>
    </w:rPr>
  </w:style>
  <w:style w:type="paragraph" w:customStyle="1" w:styleId="886">
    <w:name w:val="Char6"/>
    <w:basedOn w:val="1"/>
    <w:qFormat/>
    <w:uiPriority w:val="0"/>
    <w:pPr>
      <w:adjustRightInd w:val="0"/>
      <w:spacing w:line="360" w:lineRule="auto"/>
    </w:pPr>
    <w:rPr>
      <w:kern w:val="0"/>
      <w:sz w:val="24"/>
      <w:szCs w:val="20"/>
    </w:rPr>
  </w:style>
  <w:style w:type="paragraph" w:customStyle="1" w:styleId="887">
    <w:name w:val="Char5"/>
    <w:basedOn w:val="1"/>
    <w:qFormat/>
    <w:uiPriority w:val="0"/>
    <w:pPr>
      <w:adjustRightInd w:val="0"/>
      <w:spacing w:line="360" w:lineRule="auto"/>
    </w:pPr>
    <w:rPr>
      <w:kern w:val="0"/>
      <w:sz w:val="24"/>
      <w:szCs w:val="20"/>
    </w:rPr>
  </w:style>
  <w:style w:type="paragraph" w:customStyle="1" w:styleId="888">
    <w:name w:val="Char4"/>
    <w:basedOn w:val="1"/>
    <w:qFormat/>
    <w:uiPriority w:val="0"/>
    <w:pPr>
      <w:adjustRightInd w:val="0"/>
      <w:spacing w:line="360" w:lineRule="auto"/>
    </w:pPr>
    <w:rPr>
      <w:kern w:val="0"/>
      <w:sz w:val="24"/>
      <w:szCs w:val="20"/>
    </w:rPr>
  </w:style>
  <w:style w:type="paragraph" w:customStyle="1" w:styleId="889">
    <w:name w:val="Char Char Char Char Char Char Char Char Char1 Char Char Char Char Char Char Char Char1 Char Char Char1"/>
    <w:basedOn w:val="1"/>
    <w:qFormat/>
    <w:uiPriority w:val="0"/>
    <w:pPr>
      <w:snapToGrid w:val="0"/>
      <w:spacing w:line="360" w:lineRule="auto"/>
      <w:ind w:firstLine="200" w:firstLineChars="200"/>
    </w:pPr>
    <w:rPr>
      <w:rFonts w:eastAsia="仿宋_GB2312"/>
      <w:sz w:val="24"/>
    </w:rPr>
  </w:style>
  <w:style w:type="character" w:customStyle="1" w:styleId="890">
    <w:name w:val="main-1"/>
    <w:qFormat/>
    <w:uiPriority w:val="0"/>
  </w:style>
  <w:style w:type="paragraph" w:customStyle="1" w:styleId="891">
    <w:name w:val="main"/>
    <w:basedOn w:val="1"/>
    <w:qFormat/>
    <w:uiPriority w:val="0"/>
    <w:pPr>
      <w:widowControl/>
      <w:spacing w:before="100" w:beforeAutospacing="1" w:after="100" w:afterAutospacing="1"/>
      <w:jc w:val="left"/>
    </w:pPr>
    <w:rPr>
      <w:rFonts w:ascii="宋体" w:hAnsi="宋体" w:cs="宋体"/>
      <w:color w:val="000000"/>
      <w:kern w:val="0"/>
      <w:sz w:val="24"/>
    </w:rPr>
  </w:style>
  <w:style w:type="paragraph" w:customStyle="1" w:styleId="892">
    <w:name w:val="表后文"/>
    <w:basedOn w:val="1"/>
    <w:qFormat/>
    <w:uiPriority w:val="0"/>
    <w:pPr>
      <w:adjustRightInd w:val="0"/>
      <w:spacing w:before="120" w:line="400" w:lineRule="exact"/>
      <w:ind w:firstLine="601"/>
      <w:textAlignment w:val="baseline"/>
    </w:pPr>
    <w:rPr>
      <w:rFonts w:eastAsia="楷体_GB2312"/>
      <w:spacing w:val="8"/>
      <w:kern w:val="0"/>
      <w:sz w:val="28"/>
      <w:szCs w:val="20"/>
    </w:rPr>
  </w:style>
  <w:style w:type="paragraph" w:customStyle="1" w:styleId="893">
    <w:name w:val="正文文本缩进2"/>
    <w:basedOn w:val="1"/>
    <w:qFormat/>
    <w:uiPriority w:val="0"/>
    <w:pPr>
      <w:spacing w:after="120" w:line="360" w:lineRule="auto"/>
      <w:ind w:left="420" w:leftChars="200" w:firstLine="200" w:firstLineChars="200"/>
    </w:pPr>
    <w:rPr>
      <w:sz w:val="24"/>
    </w:rPr>
  </w:style>
  <w:style w:type="paragraph" w:customStyle="1" w:styleId="894">
    <w:name w:val="样式11"/>
    <w:basedOn w:val="163"/>
    <w:qFormat/>
    <w:uiPriority w:val="0"/>
    <w:pPr>
      <w:adjustRightInd w:val="0"/>
      <w:textAlignment w:val="baseline"/>
    </w:pPr>
    <w:rPr>
      <w:rFonts w:hAnsi="宋体"/>
      <w:color w:val="000000"/>
      <w:kern w:val="0"/>
      <w:sz w:val="24"/>
    </w:rPr>
  </w:style>
  <w:style w:type="paragraph" w:customStyle="1" w:styleId="895">
    <w:name w:val="样式111"/>
    <w:basedOn w:val="339"/>
    <w:qFormat/>
    <w:uiPriority w:val="0"/>
    <w:rPr>
      <w:sz w:val="21"/>
      <w:szCs w:val="24"/>
    </w:rPr>
  </w:style>
  <w:style w:type="character" w:customStyle="1" w:styleId="896">
    <w:name w:val="text_new"/>
    <w:qFormat/>
    <w:uiPriority w:val="0"/>
  </w:style>
  <w:style w:type="paragraph" w:customStyle="1" w:styleId="897">
    <w:name w:val="样式9"/>
    <w:basedOn w:val="315"/>
    <w:qFormat/>
    <w:uiPriority w:val="0"/>
    <w:pPr>
      <w:adjustRightInd w:val="0"/>
    </w:pPr>
    <w:rPr>
      <w:rFonts w:ascii="宋体" w:hAnsi="宋体" w:cs="Arial"/>
      <w:color w:val="FF0000"/>
      <w:szCs w:val="24"/>
    </w:rPr>
  </w:style>
  <w:style w:type="paragraph" w:customStyle="1" w:styleId="898">
    <w:name w:val="样式12"/>
    <w:basedOn w:val="315"/>
    <w:qFormat/>
    <w:uiPriority w:val="0"/>
    <w:pPr>
      <w:adjustRightInd w:val="0"/>
    </w:pPr>
    <w:rPr>
      <w:rFonts w:ascii="仿宋_GB2312" w:hAnsi="宋体" w:eastAsia="仿宋_GB2312"/>
      <w:b/>
      <w:color w:val="FF0000"/>
      <w:szCs w:val="30"/>
    </w:rPr>
  </w:style>
  <w:style w:type="paragraph" w:customStyle="1" w:styleId="899">
    <w:name w:val="样式13"/>
    <w:basedOn w:val="1"/>
    <w:next w:val="32"/>
    <w:link w:val="1889"/>
    <w:qFormat/>
    <w:uiPriority w:val="0"/>
    <w:pPr>
      <w:adjustRightInd w:val="0"/>
      <w:spacing w:line="500" w:lineRule="exact"/>
      <w:ind w:firstLine="200" w:firstLineChars="200"/>
      <w:textAlignment w:val="baseline"/>
    </w:pPr>
    <w:rPr>
      <w:rFonts w:ascii="仿宋_GB2312" w:hAnsi="宋体" w:eastAsia="仿宋_GB2312"/>
      <w:color w:val="FF0000"/>
      <w:sz w:val="28"/>
      <w:szCs w:val="28"/>
    </w:rPr>
  </w:style>
  <w:style w:type="paragraph" w:customStyle="1" w:styleId="900">
    <w:name w:val="样式14"/>
    <w:basedOn w:val="163"/>
    <w:qFormat/>
    <w:uiPriority w:val="0"/>
    <w:pPr>
      <w:adjustRightInd w:val="0"/>
      <w:textAlignment w:val="baseline"/>
    </w:pPr>
    <w:rPr>
      <w:rFonts w:hAnsi="宋体"/>
      <w:bCs/>
      <w:kern w:val="0"/>
      <w:sz w:val="24"/>
      <w:szCs w:val="20"/>
    </w:rPr>
  </w:style>
  <w:style w:type="paragraph" w:customStyle="1" w:styleId="901">
    <w:name w:val="框图"/>
    <w:basedOn w:val="1"/>
    <w:qFormat/>
    <w:uiPriority w:val="0"/>
    <w:pPr>
      <w:adjustRightInd w:val="0"/>
      <w:snapToGrid w:val="0"/>
      <w:ind w:left="2" w:leftChars="-38" w:right="-106" w:rightChars="-38" w:hanging="108" w:hangingChars="54"/>
      <w:jc w:val="center"/>
    </w:pPr>
    <w:rPr>
      <w:rFonts w:ascii="仿宋_GB2312" w:eastAsia="仿宋_GB2312"/>
      <w:sz w:val="20"/>
      <w:szCs w:val="20"/>
    </w:rPr>
  </w:style>
  <w:style w:type="character" w:customStyle="1" w:styleId="902">
    <w:name w:val="正文 Char"/>
    <w:qFormat/>
    <w:uiPriority w:val="0"/>
    <w:rPr>
      <w:rFonts w:ascii="仿宋_GB2312" w:hAnsi="宋体" w:eastAsia="仿宋_GB2312"/>
      <w:color w:val="000000"/>
      <w:kern w:val="2"/>
      <w:sz w:val="28"/>
      <w:szCs w:val="24"/>
      <w:lang w:val="en-US" w:eastAsia="zh-CN" w:bidi="ar-SA"/>
    </w:rPr>
  </w:style>
  <w:style w:type="character" w:customStyle="1" w:styleId="903">
    <w:name w:val="标题 12"/>
    <w:qFormat/>
    <w:uiPriority w:val="0"/>
    <w:rPr>
      <w:rFonts w:ascii="黑体" w:eastAsia="黑体"/>
      <w:kern w:val="44"/>
      <w:sz w:val="44"/>
      <w:lang w:val="en-US" w:eastAsia="zh-CN" w:bidi="ar-SA"/>
    </w:rPr>
  </w:style>
  <w:style w:type="character" w:customStyle="1" w:styleId="904">
    <w:name w:val="标题 21"/>
    <w:qFormat/>
    <w:uiPriority w:val="0"/>
    <w:rPr>
      <w:rFonts w:ascii="黑体" w:hAnsi="Arial" w:eastAsia="黑体"/>
      <w:kern w:val="2"/>
      <w:sz w:val="36"/>
      <w:szCs w:val="32"/>
      <w:lang w:val="en-US" w:eastAsia="zh-CN" w:bidi="ar-SA"/>
    </w:rPr>
  </w:style>
  <w:style w:type="character" w:customStyle="1" w:styleId="905">
    <w:name w:val="zjgblk1"/>
    <w:qFormat/>
    <w:uiPriority w:val="0"/>
    <w:rPr>
      <w:rFonts w:hint="default"/>
      <w:color w:val="000000"/>
      <w:spacing w:val="336"/>
      <w:sz w:val="18"/>
      <w:szCs w:val="18"/>
      <w:u w:val="none"/>
    </w:rPr>
  </w:style>
  <w:style w:type="paragraph" w:customStyle="1" w:styleId="906">
    <w:name w:val="纯文本3"/>
    <w:basedOn w:val="1"/>
    <w:qFormat/>
    <w:uiPriority w:val="0"/>
    <w:pPr>
      <w:adjustRightInd w:val="0"/>
      <w:textAlignment w:val="baseline"/>
    </w:pPr>
    <w:rPr>
      <w:rFonts w:ascii="宋体" w:hAnsi="Courier New"/>
      <w:szCs w:val="20"/>
    </w:rPr>
  </w:style>
  <w:style w:type="paragraph" w:customStyle="1" w:styleId="907">
    <w:name w:val="正文文本 21"/>
    <w:basedOn w:val="1"/>
    <w:qFormat/>
    <w:uiPriority w:val="0"/>
    <w:pPr>
      <w:autoSpaceDE w:val="0"/>
      <w:autoSpaceDN w:val="0"/>
      <w:adjustRightInd w:val="0"/>
      <w:spacing w:line="360" w:lineRule="atLeast"/>
      <w:ind w:firstLine="425"/>
      <w:textAlignment w:val="baseline"/>
    </w:pPr>
    <w:rPr>
      <w:rFonts w:ascii="宋体" w:hAnsi="Tms Rmn"/>
      <w:kern w:val="0"/>
      <w:sz w:val="28"/>
      <w:szCs w:val="20"/>
    </w:rPr>
  </w:style>
  <w:style w:type="paragraph" w:customStyle="1" w:styleId="908">
    <w:name w:val="正文-1"/>
    <w:basedOn w:val="1"/>
    <w:qFormat/>
    <w:uiPriority w:val="0"/>
    <w:pPr>
      <w:adjustRightInd w:val="0"/>
      <w:spacing w:line="440" w:lineRule="exact"/>
      <w:ind w:firstLine="200" w:firstLineChars="200"/>
    </w:pPr>
    <w:rPr>
      <w:sz w:val="24"/>
      <w:szCs w:val="20"/>
    </w:rPr>
  </w:style>
  <w:style w:type="paragraph" w:customStyle="1" w:styleId="909">
    <w:name w:val="表中文字"/>
    <w:basedOn w:val="1"/>
    <w:link w:val="2060"/>
    <w:qFormat/>
    <w:uiPriority w:val="0"/>
    <w:pPr>
      <w:snapToGrid w:val="0"/>
    </w:pPr>
    <w:rPr>
      <w:szCs w:val="20"/>
    </w:rPr>
  </w:style>
  <w:style w:type="character" w:customStyle="1" w:styleId="910">
    <w:name w:val="c121"/>
    <w:qFormat/>
    <w:uiPriority w:val="0"/>
    <w:rPr>
      <w:color w:val="666666"/>
      <w:sz w:val="18"/>
      <w:szCs w:val="18"/>
      <w:u w:val="none"/>
    </w:rPr>
  </w:style>
  <w:style w:type="character" w:customStyle="1" w:styleId="911">
    <w:name w:val="dectext1"/>
    <w:qFormat/>
    <w:uiPriority w:val="0"/>
    <w:rPr>
      <w:rFonts w:hint="eastAsia" w:ascii="宋体" w:hAnsi="宋体" w:eastAsia="宋体"/>
      <w:color w:val="333333"/>
      <w:sz w:val="21"/>
      <w:szCs w:val="21"/>
      <w:u w:val="none"/>
    </w:rPr>
  </w:style>
  <w:style w:type="character" w:customStyle="1" w:styleId="912">
    <w:name w:val="xiaozhiti1"/>
    <w:qFormat/>
    <w:uiPriority w:val="0"/>
    <w:rPr>
      <w:sz w:val="18"/>
      <w:szCs w:val="18"/>
    </w:rPr>
  </w:style>
  <w:style w:type="paragraph" w:customStyle="1" w:styleId="913">
    <w:name w:val="正文缩进5"/>
    <w:basedOn w:val="1"/>
    <w:qFormat/>
    <w:uiPriority w:val="0"/>
    <w:pPr>
      <w:adjustRightInd w:val="0"/>
      <w:ind w:firstLine="420" w:firstLineChars="200"/>
      <w:textAlignment w:val="baseline"/>
    </w:pPr>
    <w:rPr>
      <w:rFonts w:hint="eastAsia" w:hAnsi="宋体"/>
      <w:sz w:val="24"/>
      <w:szCs w:val="20"/>
    </w:rPr>
  </w:style>
  <w:style w:type="character" w:customStyle="1" w:styleId="914">
    <w:name w:val="sub_title1"/>
    <w:qFormat/>
    <w:uiPriority w:val="0"/>
    <w:rPr>
      <w:rFonts w:hint="default"/>
      <w:color w:val="FF6600"/>
      <w:sz w:val="21"/>
      <w:szCs w:val="21"/>
    </w:rPr>
  </w:style>
  <w:style w:type="character" w:customStyle="1" w:styleId="915">
    <w:name w:val="word131"/>
    <w:qFormat/>
    <w:uiPriority w:val="0"/>
    <w:rPr>
      <w:rFonts w:hint="default" w:ascii="ˎ̥" w:hAnsi="ˎ̥"/>
      <w:color w:val="000000"/>
      <w:sz w:val="20"/>
      <w:szCs w:val="20"/>
      <w:u w:val="none"/>
    </w:rPr>
  </w:style>
  <w:style w:type="paragraph" w:customStyle="1" w:styleId="916">
    <w:name w:val="Char Char Char Char Char Char Char Char Char Char Char Char Char Char Char Char Char Char Char Char Char Char Char Char Char Char Char Char Char Char2 Char Char Char Char Char Char Char1"/>
    <w:basedOn w:val="1"/>
    <w:qFormat/>
    <w:uiPriority w:val="0"/>
    <w:rPr>
      <w:sz w:val="24"/>
    </w:rPr>
  </w:style>
  <w:style w:type="character" w:customStyle="1" w:styleId="917">
    <w:name w:val="报告表格 Char"/>
    <w:link w:val="231"/>
    <w:qFormat/>
    <w:uiPriority w:val="0"/>
    <w:rPr>
      <w:rFonts w:ascii="宋体" w:hAnsi="宋体"/>
      <w:sz w:val="21"/>
      <w:szCs w:val="21"/>
    </w:rPr>
  </w:style>
  <w:style w:type="character" w:customStyle="1" w:styleId="918">
    <w:name w:val="样式1 Char"/>
    <w:link w:val="156"/>
    <w:qFormat/>
    <w:uiPriority w:val="0"/>
    <w:rPr>
      <w:rFonts w:ascii="仿宋_GB2312" w:eastAsia="仿宋_GB2312"/>
      <w:kern w:val="2"/>
      <w:sz w:val="28"/>
    </w:rPr>
  </w:style>
  <w:style w:type="paragraph" w:customStyle="1" w:styleId="919">
    <w:name w:val="样式16"/>
    <w:basedOn w:val="1"/>
    <w:link w:val="920"/>
    <w:qFormat/>
    <w:uiPriority w:val="0"/>
    <w:pPr>
      <w:spacing w:line="500" w:lineRule="exact"/>
      <w:jc w:val="left"/>
    </w:pPr>
    <w:rPr>
      <w:rFonts w:ascii="仿宋_GB2312" w:hAnsi="仿宋_GB2312" w:eastAsia="仿宋_GB2312"/>
      <w:szCs w:val="21"/>
    </w:rPr>
  </w:style>
  <w:style w:type="character" w:customStyle="1" w:styleId="920">
    <w:name w:val="样式16 Char"/>
    <w:link w:val="919"/>
    <w:qFormat/>
    <w:uiPriority w:val="0"/>
    <w:rPr>
      <w:rFonts w:ascii="仿宋_GB2312" w:hAnsi="仿宋_GB2312" w:eastAsia="仿宋_GB2312"/>
      <w:kern w:val="2"/>
      <w:sz w:val="21"/>
      <w:szCs w:val="21"/>
    </w:rPr>
  </w:style>
  <w:style w:type="paragraph" w:customStyle="1" w:styleId="921">
    <w:name w:val="Char Char Char Char Char Char Char Char Char Char Char Char Char Char Char Char Char Char Char Char Char Char Char Char Char Char Char Char Char Char2 Char Char Char Char Char Char Char2"/>
    <w:basedOn w:val="1"/>
    <w:qFormat/>
    <w:uiPriority w:val="0"/>
    <w:pPr>
      <w:widowControl/>
      <w:jc w:val="left"/>
    </w:pPr>
    <w:rPr>
      <w:rFonts w:ascii="宋体" w:hAnsi="宋体" w:cs="宋体"/>
      <w:kern w:val="0"/>
      <w:sz w:val="24"/>
    </w:rPr>
  </w:style>
  <w:style w:type="paragraph" w:customStyle="1" w:styleId="922">
    <w:name w:val="Char11"/>
    <w:basedOn w:val="1"/>
    <w:qFormat/>
    <w:uiPriority w:val="0"/>
    <w:pPr>
      <w:snapToGrid w:val="0"/>
      <w:spacing w:line="360" w:lineRule="auto"/>
      <w:ind w:firstLine="200" w:firstLineChars="200"/>
    </w:pPr>
    <w:rPr>
      <w:rFonts w:eastAsia="仿宋_GB2312"/>
      <w:sz w:val="24"/>
    </w:rPr>
  </w:style>
  <w:style w:type="paragraph" w:customStyle="1" w:styleId="923">
    <w:name w:val="正文缩进6"/>
    <w:basedOn w:val="1"/>
    <w:qFormat/>
    <w:uiPriority w:val="0"/>
    <w:pPr>
      <w:adjustRightInd w:val="0"/>
      <w:ind w:firstLine="420" w:firstLineChars="200"/>
      <w:textAlignment w:val="baseline"/>
    </w:pPr>
    <w:rPr>
      <w:rFonts w:hint="eastAsia" w:hAnsi="宋体"/>
      <w:sz w:val="24"/>
      <w:szCs w:val="20"/>
    </w:rPr>
  </w:style>
  <w:style w:type="character" w:customStyle="1" w:styleId="924">
    <w:name w:val="title41"/>
    <w:qFormat/>
    <w:uiPriority w:val="0"/>
    <w:rPr>
      <w:rFonts w:hint="eastAsia" w:ascii="宋体" w:hAnsi="宋体" w:eastAsia="宋体"/>
      <w:color w:val="FF6600"/>
      <w:sz w:val="36"/>
      <w:szCs w:val="36"/>
    </w:rPr>
  </w:style>
  <w:style w:type="paragraph" w:customStyle="1" w:styleId="925">
    <w:name w:val="Char12"/>
    <w:basedOn w:val="1"/>
    <w:qFormat/>
    <w:uiPriority w:val="0"/>
    <w:pPr>
      <w:snapToGrid w:val="0"/>
      <w:spacing w:line="360" w:lineRule="auto"/>
      <w:ind w:firstLine="200" w:firstLineChars="200"/>
    </w:pPr>
    <w:rPr>
      <w:rFonts w:eastAsia="仿宋_GB2312"/>
      <w:sz w:val="24"/>
    </w:rPr>
  </w:style>
  <w:style w:type="paragraph" w:customStyle="1" w:styleId="926">
    <w:name w:val="Char15"/>
    <w:basedOn w:val="1"/>
    <w:qFormat/>
    <w:uiPriority w:val="0"/>
    <w:pPr>
      <w:snapToGrid w:val="0"/>
      <w:spacing w:line="360" w:lineRule="auto"/>
      <w:ind w:firstLine="200" w:firstLineChars="200"/>
    </w:pPr>
    <w:rPr>
      <w:rFonts w:eastAsia="仿宋_GB2312"/>
      <w:sz w:val="24"/>
    </w:rPr>
  </w:style>
  <w:style w:type="paragraph" w:customStyle="1" w:styleId="927">
    <w:name w:val="Char14"/>
    <w:basedOn w:val="1"/>
    <w:qFormat/>
    <w:uiPriority w:val="0"/>
    <w:pPr>
      <w:snapToGrid w:val="0"/>
      <w:spacing w:line="360" w:lineRule="auto"/>
      <w:ind w:firstLine="200" w:firstLineChars="200"/>
    </w:pPr>
    <w:rPr>
      <w:rFonts w:eastAsia="仿宋_GB2312"/>
      <w:sz w:val="24"/>
    </w:rPr>
  </w:style>
  <w:style w:type="paragraph" w:customStyle="1" w:styleId="928">
    <w:name w:val="Char13"/>
    <w:basedOn w:val="1"/>
    <w:qFormat/>
    <w:uiPriority w:val="0"/>
    <w:pPr>
      <w:snapToGrid w:val="0"/>
      <w:spacing w:line="360" w:lineRule="auto"/>
      <w:ind w:firstLine="200" w:firstLineChars="200"/>
    </w:pPr>
    <w:rPr>
      <w:rFonts w:eastAsia="仿宋_GB2312"/>
      <w:sz w:val="24"/>
    </w:rPr>
  </w:style>
  <w:style w:type="paragraph" w:customStyle="1" w:styleId="929">
    <w:name w:val="Char16"/>
    <w:basedOn w:val="1"/>
    <w:qFormat/>
    <w:uiPriority w:val="0"/>
    <w:pPr>
      <w:snapToGrid w:val="0"/>
      <w:spacing w:line="360" w:lineRule="auto"/>
      <w:ind w:firstLine="200" w:firstLineChars="200"/>
    </w:pPr>
    <w:rPr>
      <w:rFonts w:eastAsia="仿宋_GB2312"/>
      <w:sz w:val="24"/>
    </w:rPr>
  </w:style>
  <w:style w:type="paragraph" w:customStyle="1" w:styleId="930">
    <w:name w:val="Char19"/>
    <w:basedOn w:val="1"/>
    <w:qFormat/>
    <w:uiPriority w:val="0"/>
    <w:pPr>
      <w:snapToGrid w:val="0"/>
      <w:spacing w:line="360" w:lineRule="auto"/>
      <w:ind w:firstLine="200" w:firstLineChars="200"/>
    </w:pPr>
    <w:rPr>
      <w:rFonts w:eastAsia="仿宋_GB2312"/>
      <w:sz w:val="24"/>
    </w:rPr>
  </w:style>
  <w:style w:type="paragraph" w:customStyle="1" w:styleId="931">
    <w:name w:val="Char18"/>
    <w:basedOn w:val="1"/>
    <w:qFormat/>
    <w:uiPriority w:val="0"/>
    <w:pPr>
      <w:snapToGrid w:val="0"/>
      <w:spacing w:line="360" w:lineRule="auto"/>
      <w:ind w:firstLine="200" w:firstLineChars="200"/>
    </w:pPr>
    <w:rPr>
      <w:rFonts w:eastAsia="仿宋_GB2312"/>
      <w:sz w:val="24"/>
    </w:rPr>
  </w:style>
  <w:style w:type="paragraph" w:customStyle="1" w:styleId="932">
    <w:name w:val="Char17"/>
    <w:basedOn w:val="1"/>
    <w:qFormat/>
    <w:uiPriority w:val="0"/>
    <w:pPr>
      <w:snapToGrid w:val="0"/>
      <w:spacing w:line="360" w:lineRule="auto"/>
      <w:ind w:firstLine="200" w:firstLineChars="200"/>
    </w:pPr>
    <w:rPr>
      <w:rFonts w:eastAsia="仿宋_GB2312"/>
      <w:sz w:val="24"/>
    </w:rPr>
  </w:style>
  <w:style w:type="paragraph" w:customStyle="1" w:styleId="933">
    <w:name w:val="Char110"/>
    <w:basedOn w:val="1"/>
    <w:qFormat/>
    <w:uiPriority w:val="0"/>
    <w:pPr>
      <w:snapToGrid w:val="0"/>
      <w:spacing w:line="360" w:lineRule="auto"/>
      <w:ind w:firstLine="200" w:firstLineChars="200"/>
    </w:pPr>
    <w:rPr>
      <w:rFonts w:eastAsia="仿宋_GB2312"/>
      <w:sz w:val="24"/>
    </w:rPr>
  </w:style>
  <w:style w:type="character" w:customStyle="1" w:styleId="934">
    <w:name w:val="表格文字 Char Char"/>
    <w:qFormat/>
    <w:uiPriority w:val="0"/>
    <w:rPr>
      <w:rFonts w:ascii="仿宋_GB2312" w:hAnsi="Arial Black" w:eastAsia="仿宋_GB2312"/>
      <w:kern w:val="44"/>
      <w:sz w:val="24"/>
      <w:lang w:val="en-US" w:eastAsia="zh-CN" w:bidi="ar-SA"/>
    </w:rPr>
  </w:style>
  <w:style w:type="paragraph" w:customStyle="1" w:styleId="935">
    <w:name w:val="Char7"/>
    <w:basedOn w:val="1"/>
    <w:qFormat/>
    <w:uiPriority w:val="0"/>
    <w:rPr>
      <w:sz w:val="24"/>
    </w:rPr>
  </w:style>
  <w:style w:type="character" w:customStyle="1" w:styleId="936">
    <w:name w:val="题注 Char2"/>
    <w:qFormat/>
    <w:uiPriority w:val="0"/>
    <w:rPr>
      <w:rFonts w:ascii="仿宋_GB2312" w:eastAsia="仿宋_GB2312"/>
      <w:b/>
      <w:sz w:val="21"/>
      <w:szCs w:val="21"/>
    </w:rPr>
  </w:style>
  <w:style w:type="paragraph" w:customStyle="1" w:styleId="937">
    <w:name w:val="Char Char Char3"/>
    <w:basedOn w:val="1"/>
    <w:qFormat/>
    <w:uiPriority w:val="0"/>
    <w:pPr>
      <w:widowControl/>
      <w:jc w:val="left"/>
    </w:pPr>
    <w:rPr>
      <w:rFonts w:ascii="宋体" w:hAnsi="宋体" w:cs="宋体"/>
      <w:kern w:val="0"/>
      <w:sz w:val="24"/>
    </w:rPr>
  </w:style>
  <w:style w:type="paragraph" w:customStyle="1" w:styleId="938">
    <w:name w:val="Char Char Char Char Char Char Char Char Char1 Char Char Char Char2"/>
    <w:basedOn w:val="1"/>
    <w:qFormat/>
    <w:uiPriority w:val="0"/>
    <w:pPr>
      <w:widowControl/>
      <w:jc w:val="left"/>
    </w:pPr>
    <w:rPr>
      <w:rFonts w:ascii="宋体" w:hAnsi="宋体" w:cs="宋体"/>
      <w:kern w:val="0"/>
      <w:sz w:val="24"/>
      <w:szCs w:val="21"/>
    </w:rPr>
  </w:style>
  <w:style w:type="character" w:customStyle="1" w:styleId="939">
    <w:name w:val="Char Char12"/>
    <w:qFormat/>
    <w:uiPriority w:val="0"/>
    <w:rPr>
      <w:rFonts w:ascii="楷体_GB2312" w:hAnsi="Arial" w:eastAsia="楷体_GB2312" w:cs="Arial"/>
      <w:b/>
      <w:sz w:val="21"/>
      <w:szCs w:val="21"/>
      <w:lang w:val="en-US" w:eastAsia="zh-CN" w:bidi="ar-SA"/>
    </w:rPr>
  </w:style>
  <w:style w:type="paragraph" w:customStyle="1" w:styleId="940">
    <w:name w:val="Char Char Char Char3"/>
    <w:basedOn w:val="27"/>
    <w:qFormat/>
    <w:uiPriority w:val="0"/>
    <w:pPr>
      <w:widowControl/>
      <w:shd w:val="clear" w:color="auto" w:fill="FF99CC"/>
      <w:adjustRightInd w:val="0"/>
      <w:snapToGrid w:val="0"/>
      <w:spacing w:line="360" w:lineRule="auto"/>
      <w:jc w:val="left"/>
    </w:pPr>
    <w:rPr>
      <w:rFonts w:ascii="Tahoma" w:hAnsi="Tahoma" w:cs="宋体"/>
      <w:color w:val="008000"/>
      <w:kern w:val="0"/>
      <w:szCs w:val="21"/>
    </w:rPr>
  </w:style>
  <w:style w:type="character" w:customStyle="1" w:styleId="941">
    <w:name w:val="Char Char Char Char Char Char Char2"/>
    <w:link w:val="942"/>
    <w:qFormat/>
    <w:locked/>
    <w:uiPriority w:val="0"/>
    <w:rPr>
      <w:rFonts w:ascii="宋体" w:hAnsi="宋体"/>
      <w:kern w:val="2"/>
      <w:sz w:val="24"/>
      <w:szCs w:val="24"/>
    </w:rPr>
  </w:style>
  <w:style w:type="paragraph" w:customStyle="1" w:styleId="942">
    <w:name w:val="Char Char Char Char Char Char2"/>
    <w:basedOn w:val="1"/>
    <w:link w:val="941"/>
    <w:qFormat/>
    <w:uiPriority w:val="0"/>
    <w:rPr>
      <w:rFonts w:ascii="宋体" w:hAnsi="宋体"/>
      <w:sz w:val="24"/>
    </w:rPr>
  </w:style>
  <w:style w:type="paragraph" w:customStyle="1" w:styleId="943">
    <w:name w:val="Char Char Char Char Char Char Char Char Char Char2"/>
    <w:basedOn w:val="1"/>
    <w:qFormat/>
    <w:uiPriority w:val="0"/>
  </w:style>
  <w:style w:type="paragraph" w:customStyle="1" w:styleId="944">
    <w:name w:val="正文文本缩进11"/>
    <w:basedOn w:val="1"/>
    <w:qFormat/>
    <w:uiPriority w:val="0"/>
    <w:pPr>
      <w:widowControl/>
      <w:adjustRightInd w:val="0"/>
      <w:spacing w:after="120" w:line="360" w:lineRule="auto"/>
      <w:ind w:left="420" w:leftChars="200" w:firstLine="200" w:firstLineChars="200"/>
      <w:jc w:val="left"/>
      <w:textAlignment w:val="baseline"/>
    </w:pPr>
    <w:rPr>
      <w:rFonts w:ascii="宋体" w:hAnsi="宋体" w:cs="宋体"/>
      <w:kern w:val="0"/>
      <w:sz w:val="24"/>
    </w:rPr>
  </w:style>
  <w:style w:type="paragraph" w:customStyle="1" w:styleId="945">
    <w:name w:val="正文缩进31"/>
    <w:basedOn w:val="1"/>
    <w:qFormat/>
    <w:uiPriority w:val="0"/>
    <w:pPr>
      <w:widowControl/>
      <w:adjustRightInd w:val="0"/>
      <w:ind w:firstLine="420" w:firstLineChars="200"/>
      <w:jc w:val="left"/>
      <w:textAlignment w:val="baseline"/>
    </w:pPr>
    <w:rPr>
      <w:rFonts w:hint="eastAsia" w:ascii="宋体" w:hAnsi="宋体" w:cs="宋体"/>
      <w:kern w:val="0"/>
      <w:sz w:val="24"/>
      <w:szCs w:val="20"/>
    </w:rPr>
  </w:style>
  <w:style w:type="paragraph" w:customStyle="1" w:styleId="946">
    <w:name w:val="Char Char Char Char Char Char Char Char Char Char Char Char Char Char Char Char Char Char Char Char Char Char Char Char Char Char Char Char Char Char2 Char Char Char Char Char Char Char3"/>
    <w:basedOn w:val="1"/>
    <w:qFormat/>
    <w:uiPriority w:val="0"/>
    <w:pPr>
      <w:widowControl/>
      <w:jc w:val="left"/>
    </w:pPr>
    <w:rPr>
      <w:rFonts w:ascii="宋体" w:hAnsi="宋体" w:cs="宋体"/>
      <w:kern w:val="0"/>
      <w:sz w:val="24"/>
    </w:rPr>
  </w:style>
  <w:style w:type="paragraph" w:customStyle="1" w:styleId="947">
    <w:name w:val="纯文本11"/>
    <w:basedOn w:val="1"/>
    <w:qFormat/>
    <w:uiPriority w:val="0"/>
    <w:pPr>
      <w:adjustRightInd w:val="0"/>
      <w:textAlignment w:val="baseline"/>
    </w:pPr>
    <w:rPr>
      <w:rFonts w:ascii="宋体" w:hAnsi="Courier New"/>
      <w:szCs w:val="20"/>
    </w:rPr>
  </w:style>
  <w:style w:type="character" w:customStyle="1" w:styleId="948">
    <w:name w:val="Char Char21"/>
    <w:qFormat/>
    <w:uiPriority w:val="0"/>
    <w:rPr>
      <w:rFonts w:ascii="Arial" w:hAnsi="Arial" w:eastAsia="楷体_GB2312" w:cs="Arial"/>
      <w:b/>
      <w:sz w:val="24"/>
      <w:lang w:val="en-US" w:eastAsia="zh-CN" w:bidi="ar-SA"/>
    </w:rPr>
  </w:style>
  <w:style w:type="paragraph" w:customStyle="1" w:styleId="949">
    <w:name w:val="Char1 Char Char Char Char Char1 Char1"/>
    <w:basedOn w:val="1"/>
    <w:qFormat/>
    <w:uiPriority w:val="0"/>
    <w:rPr>
      <w:szCs w:val="21"/>
    </w:rPr>
  </w:style>
  <w:style w:type="character" w:customStyle="1" w:styleId="950">
    <w:name w:val="Char Char61"/>
    <w:qFormat/>
    <w:uiPriority w:val="0"/>
    <w:rPr>
      <w:rFonts w:eastAsia="宋体"/>
      <w:kern w:val="2"/>
      <w:sz w:val="24"/>
      <w:lang w:val="en-US" w:eastAsia="zh-CN" w:bidi="ar-SA"/>
    </w:rPr>
  </w:style>
  <w:style w:type="paragraph" w:customStyle="1" w:styleId="951">
    <w:name w:val="Char Char Char Char Char Char Char Char Char1 Char Char Char Char Char Char Char Char1 Char Char Char2"/>
    <w:basedOn w:val="1"/>
    <w:qFormat/>
    <w:uiPriority w:val="0"/>
    <w:pPr>
      <w:snapToGrid w:val="0"/>
      <w:spacing w:line="360" w:lineRule="auto"/>
      <w:ind w:firstLine="200" w:firstLineChars="200"/>
    </w:pPr>
    <w:rPr>
      <w:rFonts w:eastAsia="仿宋_GB2312"/>
      <w:sz w:val="24"/>
    </w:rPr>
  </w:style>
  <w:style w:type="paragraph" w:customStyle="1" w:styleId="952">
    <w:name w:val="Char4 Char Char Char Char Char Char Char Char Char Char Char Char Char Char Char Char Char1 Char Char Char Char Char Char1 Char Char Char Char Char Char Char Char Char Char Char Char Char Char Char Char1"/>
    <w:basedOn w:val="1"/>
    <w:qFormat/>
    <w:uiPriority w:val="0"/>
    <w:pPr>
      <w:spacing w:line="240" w:lineRule="exact"/>
      <w:ind w:firstLine="200" w:firstLineChars="200"/>
    </w:pPr>
    <w:rPr>
      <w:sz w:val="28"/>
      <w:szCs w:val="28"/>
    </w:rPr>
  </w:style>
  <w:style w:type="character" w:customStyle="1" w:styleId="953">
    <w:name w:val="Char Char71"/>
    <w:qFormat/>
    <w:uiPriority w:val="0"/>
    <w:rPr>
      <w:rFonts w:eastAsia="宋体"/>
      <w:kern w:val="2"/>
      <w:sz w:val="21"/>
      <w:szCs w:val="24"/>
      <w:lang w:val="en-US" w:eastAsia="zh-CN" w:bidi="ar-SA"/>
    </w:rPr>
  </w:style>
  <w:style w:type="character" w:customStyle="1" w:styleId="954">
    <w:name w:val="Char Char101"/>
    <w:qFormat/>
    <w:uiPriority w:val="0"/>
    <w:rPr>
      <w:rFonts w:eastAsia="宋体"/>
      <w:kern w:val="2"/>
      <w:sz w:val="21"/>
      <w:szCs w:val="24"/>
      <w:lang w:val="en-US" w:eastAsia="zh-CN" w:bidi="ar-SA"/>
    </w:rPr>
  </w:style>
  <w:style w:type="paragraph" w:customStyle="1" w:styleId="955">
    <w:name w:val="Char Char Char1 Char1"/>
    <w:basedOn w:val="1"/>
    <w:qFormat/>
    <w:uiPriority w:val="0"/>
  </w:style>
  <w:style w:type="paragraph" w:customStyle="1" w:styleId="956">
    <w:name w:val="Char Char Char1 Char Char Char Char1"/>
    <w:basedOn w:val="1"/>
    <w:qFormat/>
    <w:uiPriority w:val="0"/>
  </w:style>
  <w:style w:type="paragraph" w:customStyle="1" w:styleId="957">
    <w:name w:val="Char Char Char Char Char Char Char Char Char Char Char Char Char Char Char Char1"/>
    <w:basedOn w:val="1"/>
    <w:qFormat/>
    <w:uiPriority w:val="0"/>
  </w:style>
  <w:style w:type="character" w:customStyle="1" w:styleId="958">
    <w:name w:val="Char Char51"/>
    <w:qFormat/>
    <w:uiPriority w:val="0"/>
    <w:rPr>
      <w:rFonts w:ascii="宋体" w:hAnsi="Courier New" w:eastAsia="宋体"/>
      <w:kern w:val="2"/>
      <w:sz w:val="21"/>
      <w:lang w:val="en-US" w:eastAsia="zh-CN" w:bidi="ar-SA"/>
    </w:rPr>
  </w:style>
  <w:style w:type="character" w:customStyle="1" w:styleId="959">
    <w:name w:val="Char Char181"/>
    <w:qFormat/>
    <w:uiPriority w:val="0"/>
    <w:rPr>
      <w:rFonts w:ascii="宋体" w:hAnsi="宋体" w:eastAsia="宋体" w:cs="Times New Roman"/>
      <w:color w:val="800000"/>
      <w:kern w:val="0"/>
      <w:sz w:val="28"/>
      <w:szCs w:val="20"/>
    </w:rPr>
  </w:style>
  <w:style w:type="character" w:customStyle="1" w:styleId="960">
    <w:name w:val="Char Char Char1 Char Char1"/>
    <w:qFormat/>
    <w:uiPriority w:val="0"/>
    <w:rPr>
      <w:rFonts w:ascii="Times New Roman" w:hAnsi="Times New Roman" w:eastAsia="宋体" w:cs="Times New Roman"/>
      <w:kern w:val="0"/>
      <w:sz w:val="18"/>
      <w:szCs w:val="18"/>
    </w:rPr>
  </w:style>
  <w:style w:type="character" w:customStyle="1" w:styleId="961">
    <w:name w:val="Char Char111"/>
    <w:qFormat/>
    <w:uiPriority w:val="0"/>
    <w:rPr>
      <w:rFonts w:ascii="Times New Roman" w:hAnsi="Times New Roman" w:eastAsia="宋体" w:cs="Times New Roman"/>
      <w:kern w:val="0"/>
      <w:sz w:val="24"/>
      <w:szCs w:val="24"/>
    </w:rPr>
  </w:style>
  <w:style w:type="character" w:customStyle="1" w:styleId="962">
    <w:name w:val="标题 1 Char Char Char Char Char Char Char Char Char Char Char Char Char Char Char Char Char Char Char Char Char Char Char Char Char Char Char Char Char Char Char Char Char Char Char Char Char Char Char Char Char Char Char Char Char Char Char Char Char1"/>
    <w:qFormat/>
    <w:uiPriority w:val="0"/>
    <w:rPr>
      <w:rFonts w:ascii="黑体" w:hAnsi="Arial Unicode MS" w:eastAsia="黑体"/>
      <w:kern w:val="44"/>
      <w:sz w:val="28"/>
      <w:szCs w:val="28"/>
      <w:lang w:val="en-US" w:eastAsia="zh-CN" w:bidi="ar-SA"/>
    </w:rPr>
  </w:style>
  <w:style w:type="paragraph" w:customStyle="1" w:styleId="963">
    <w:name w:val="正文21"/>
    <w:qFormat/>
    <w:uiPriority w:val="0"/>
    <w:pPr>
      <w:widowControl w:val="0"/>
      <w:adjustRightInd w:val="0"/>
      <w:spacing w:line="315" w:lineRule="atLeast"/>
      <w:jc w:val="both"/>
      <w:textAlignment w:val="baseline"/>
    </w:pPr>
    <w:rPr>
      <w:rFonts w:ascii="宋体" w:hAnsi="Times New Roman" w:eastAsia="宋体" w:cs="Times New Roman"/>
      <w:sz w:val="24"/>
      <w:lang w:val="en-US" w:eastAsia="zh-CN" w:bidi="ar-SA"/>
    </w:rPr>
  </w:style>
  <w:style w:type="paragraph" w:customStyle="1" w:styleId="964">
    <w:name w:val="Char91"/>
    <w:basedOn w:val="1"/>
    <w:qFormat/>
    <w:uiPriority w:val="0"/>
    <w:rPr>
      <w:szCs w:val="21"/>
    </w:rPr>
  </w:style>
  <w:style w:type="paragraph" w:customStyle="1" w:styleId="965">
    <w:name w:val="T3"/>
    <w:basedOn w:val="1"/>
    <w:qFormat/>
    <w:uiPriority w:val="0"/>
    <w:pPr>
      <w:tabs>
        <w:tab w:val="left" w:pos="1410"/>
        <w:tab w:val="left" w:pos="2523"/>
      </w:tabs>
      <w:adjustRightInd w:val="0"/>
      <w:spacing w:before="60" w:line="288" w:lineRule="auto"/>
      <w:textAlignment w:val="baseline"/>
    </w:pPr>
    <w:rPr>
      <w:spacing w:val="16"/>
      <w:kern w:val="20"/>
      <w:sz w:val="28"/>
      <w:szCs w:val="20"/>
    </w:rPr>
  </w:style>
  <w:style w:type="character" w:customStyle="1" w:styleId="966">
    <w:name w:val="表题 Char"/>
    <w:qFormat/>
    <w:uiPriority w:val="0"/>
    <w:rPr>
      <w:rFonts w:cs="新宋体"/>
      <w:lang w:val="en-US"/>
    </w:rPr>
  </w:style>
  <w:style w:type="paragraph" w:customStyle="1" w:styleId="967">
    <w:name w:val="封面落款"/>
    <w:basedOn w:val="1"/>
    <w:qFormat/>
    <w:uiPriority w:val="0"/>
    <w:pPr>
      <w:tabs>
        <w:tab w:val="left" w:pos="1134"/>
        <w:tab w:val="right" w:pos="7371"/>
      </w:tabs>
      <w:overflowPunct w:val="0"/>
      <w:adjustRightInd w:val="0"/>
      <w:spacing w:line="360" w:lineRule="auto"/>
      <w:jc w:val="center"/>
    </w:pPr>
    <w:rPr>
      <w:rFonts w:eastAsia="黑体"/>
      <w:color w:val="0000FF"/>
      <w:spacing w:val="20"/>
      <w:kern w:val="0"/>
      <w:sz w:val="32"/>
      <w:szCs w:val="20"/>
    </w:rPr>
  </w:style>
  <w:style w:type="paragraph" w:customStyle="1" w:styleId="968">
    <w:name w:val="封面标题"/>
    <w:basedOn w:val="1"/>
    <w:next w:val="967"/>
    <w:qFormat/>
    <w:uiPriority w:val="0"/>
    <w:pPr>
      <w:tabs>
        <w:tab w:val="left" w:pos="1134"/>
        <w:tab w:val="right" w:pos="7371"/>
      </w:tabs>
      <w:overflowPunct w:val="0"/>
      <w:adjustRightInd w:val="0"/>
      <w:spacing w:line="360" w:lineRule="auto"/>
      <w:jc w:val="center"/>
    </w:pPr>
    <w:rPr>
      <w:rFonts w:ascii="Arial" w:eastAsia="黑体"/>
      <w:color w:val="FF0000"/>
      <w:spacing w:val="20"/>
      <w:kern w:val="52"/>
      <w:sz w:val="52"/>
      <w:szCs w:val="20"/>
    </w:rPr>
  </w:style>
  <w:style w:type="paragraph" w:customStyle="1" w:styleId="969">
    <w:name w:val="表内字"/>
    <w:qFormat/>
    <w:uiPriority w:val="0"/>
    <w:pPr>
      <w:widowControl w:val="0"/>
      <w:adjustRightInd w:val="0"/>
      <w:snapToGrid w:val="0"/>
    </w:pPr>
    <w:rPr>
      <w:rFonts w:ascii="宋体" w:hAnsi="宋体" w:eastAsia="宋体" w:cs="Times New Roman"/>
      <w:color w:val="000000"/>
      <w:kern w:val="2"/>
      <w:sz w:val="21"/>
      <w:szCs w:val="18"/>
      <w:lang w:val="en-US" w:eastAsia="zh-CN" w:bidi="ar-SA"/>
    </w:rPr>
  </w:style>
  <w:style w:type="paragraph" w:customStyle="1" w:styleId="970">
    <w:name w:val="biao7-5"/>
    <w:basedOn w:val="12"/>
    <w:qFormat/>
    <w:uiPriority w:val="0"/>
    <w:pPr>
      <w:keepNext w:val="0"/>
      <w:keepLines w:val="0"/>
      <w:widowControl/>
      <w:tabs>
        <w:tab w:val="left" w:pos="600"/>
      </w:tabs>
      <w:autoSpaceDE w:val="0"/>
      <w:autoSpaceDN w:val="0"/>
      <w:snapToGrid w:val="0"/>
      <w:spacing w:before="60" w:after="0" w:line="312" w:lineRule="auto"/>
      <w:jc w:val="center"/>
      <w:textAlignment w:val="bottom"/>
      <w:outlineLvl w:val="9"/>
    </w:pPr>
    <w:rPr>
      <w:rFonts w:ascii="Times New Roman" w:hAnsi="Times New Roman" w:eastAsia="宋体"/>
      <w:kern w:val="0"/>
      <w:szCs w:val="20"/>
    </w:rPr>
  </w:style>
  <w:style w:type="paragraph" w:customStyle="1" w:styleId="971">
    <w:name w:val="正文表格"/>
    <w:basedOn w:val="1"/>
    <w:qFormat/>
    <w:uiPriority w:val="0"/>
    <w:pPr>
      <w:keepNext/>
      <w:keepLines/>
      <w:overflowPunct w:val="0"/>
      <w:adjustRightInd w:val="0"/>
      <w:spacing w:before="80"/>
      <w:jc w:val="center"/>
      <w:textAlignment w:val="bottom"/>
    </w:pPr>
    <w:rPr>
      <w:kern w:val="0"/>
      <w:sz w:val="28"/>
      <w:szCs w:val="20"/>
    </w:rPr>
  </w:style>
  <w:style w:type="paragraph" w:customStyle="1" w:styleId="972">
    <w:name w:val="样式－表"/>
    <w:basedOn w:val="1"/>
    <w:qFormat/>
    <w:uiPriority w:val="0"/>
    <w:pPr>
      <w:adjustRightInd w:val="0"/>
      <w:snapToGrid w:val="0"/>
      <w:spacing w:before="62"/>
      <w:jc w:val="center"/>
    </w:pPr>
    <w:rPr>
      <w:snapToGrid w:val="0"/>
      <w:color w:val="000000"/>
      <w:kern w:val="0"/>
      <w:sz w:val="24"/>
      <w:szCs w:val="20"/>
    </w:rPr>
  </w:style>
  <w:style w:type="paragraph" w:customStyle="1" w:styleId="973">
    <w:name w:val="表第一列"/>
    <w:basedOn w:val="86"/>
    <w:qFormat/>
    <w:uiPriority w:val="0"/>
    <w:pPr>
      <w:keepNext/>
      <w:keepLines/>
      <w:tabs>
        <w:tab w:val="left" w:pos="1727"/>
        <w:tab w:val="left" w:pos="1884"/>
        <w:tab w:val="left" w:pos="2940"/>
      </w:tabs>
      <w:adjustRightInd w:val="0"/>
      <w:snapToGrid w:val="0"/>
      <w:spacing w:after="0" w:line="0" w:lineRule="atLeast"/>
      <w:ind w:firstLine="0" w:firstLineChars="0"/>
      <w:jc w:val="center"/>
    </w:pPr>
    <w:rPr>
      <w:rFonts w:ascii="宋体" w:hAnsi="宋体" w:eastAsia="宋体"/>
      <w:color w:val="000000"/>
      <w:spacing w:val="-4"/>
      <w:sz w:val="21"/>
      <w:szCs w:val="20"/>
    </w:rPr>
  </w:style>
  <w:style w:type="paragraph" w:customStyle="1" w:styleId="974">
    <w:name w:val="高表内"/>
    <w:basedOn w:val="47"/>
    <w:qFormat/>
    <w:uiPriority w:val="0"/>
    <w:pPr>
      <w:autoSpaceDE w:val="0"/>
      <w:adjustRightInd w:val="0"/>
      <w:snapToGrid w:val="0"/>
      <w:jc w:val="center"/>
      <w:textAlignment w:val="baseline"/>
    </w:pPr>
    <w:rPr>
      <w:rFonts w:ascii="Arial" w:hAnsi="Arial" w:eastAsia="楷体_GB2312" w:cs="Times New Roman"/>
      <w:sz w:val="24"/>
      <w:szCs w:val="20"/>
    </w:rPr>
  </w:style>
  <w:style w:type="paragraph" w:customStyle="1" w:styleId="975">
    <w:name w:val="Checkboxes"/>
    <w:basedOn w:val="1"/>
    <w:qFormat/>
    <w:uiPriority w:val="0"/>
    <w:pPr>
      <w:widowControl/>
      <w:spacing w:before="360" w:after="360"/>
      <w:jc w:val="left"/>
    </w:pPr>
    <w:rPr>
      <w:kern w:val="0"/>
      <w:sz w:val="24"/>
      <w:szCs w:val="20"/>
    </w:rPr>
  </w:style>
  <w:style w:type="paragraph" w:customStyle="1" w:styleId="976">
    <w:name w:val="表小4"/>
    <w:basedOn w:val="1"/>
    <w:qFormat/>
    <w:uiPriority w:val="0"/>
    <w:pPr>
      <w:tabs>
        <w:tab w:val="left" w:pos="0"/>
        <w:tab w:val="left" w:pos="2619"/>
      </w:tabs>
      <w:adjustRightInd w:val="0"/>
      <w:spacing w:line="0" w:lineRule="atLeast"/>
      <w:jc w:val="center"/>
    </w:pPr>
    <w:rPr>
      <w:rFonts w:ascii="宋体" w:hAnsi="宋体"/>
      <w:sz w:val="28"/>
      <w:szCs w:val="20"/>
      <w:lang w:val="en-GB"/>
    </w:rPr>
  </w:style>
  <w:style w:type="paragraph" w:customStyle="1" w:styleId="977">
    <w:name w:val="c"/>
    <w:qFormat/>
    <w:uiPriority w:val="0"/>
    <w:pPr>
      <w:widowControl w:val="0"/>
      <w:autoSpaceDE w:val="0"/>
      <w:autoSpaceDN w:val="0"/>
      <w:adjustRightInd w:val="0"/>
      <w:jc w:val="both"/>
    </w:pPr>
    <w:rPr>
      <w:rFonts w:ascii="Arial" w:hAnsi="Arial" w:eastAsia="宋体" w:cs="Times New Roman"/>
      <w:kern w:val="2"/>
      <w:sz w:val="24"/>
      <w:szCs w:val="18"/>
      <w:lang w:val="en-US" w:eastAsia="zh-CN" w:bidi="ar-SA"/>
    </w:rPr>
  </w:style>
  <w:style w:type="paragraph" w:customStyle="1" w:styleId="978">
    <w:name w:val="表格文字自调"/>
    <w:basedOn w:val="47"/>
    <w:qFormat/>
    <w:uiPriority w:val="0"/>
    <w:rPr>
      <w:rFonts w:ascii="Times New Roman" w:hAnsi="Times New Roman"/>
    </w:rPr>
  </w:style>
  <w:style w:type="paragraph" w:customStyle="1" w:styleId="979">
    <w:name w:val="表标"/>
    <w:basedOn w:val="1"/>
    <w:next w:val="1"/>
    <w:qFormat/>
    <w:uiPriority w:val="0"/>
    <w:pPr>
      <w:tabs>
        <w:tab w:val="left" w:pos="540"/>
        <w:tab w:val="left" w:pos="600"/>
        <w:tab w:val="left" w:pos="720"/>
        <w:tab w:val="left" w:pos="1200"/>
        <w:tab w:val="left" w:pos="1440"/>
        <w:tab w:val="left" w:pos="2448"/>
        <w:tab w:val="left" w:pos="3000"/>
        <w:tab w:val="left" w:pos="3888"/>
        <w:tab w:val="left" w:pos="4800"/>
        <w:tab w:val="left" w:pos="5040"/>
        <w:tab w:val="left" w:pos="5883"/>
        <w:tab w:val="left" w:pos="6300"/>
        <w:tab w:val="left" w:pos="7353"/>
        <w:tab w:val="left" w:pos="8613"/>
      </w:tabs>
      <w:autoSpaceDE w:val="0"/>
      <w:autoSpaceDN w:val="0"/>
      <w:adjustRightInd w:val="0"/>
      <w:snapToGrid w:val="0"/>
      <w:spacing w:line="300" w:lineRule="auto"/>
      <w:ind w:right="181" w:firstLine="200" w:firstLineChars="200"/>
      <w:jc w:val="right"/>
      <w:textAlignment w:val="baseline"/>
    </w:pPr>
    <w:rPr>
      <w:rFonts w:ascii="黑体" w:hAnsi="宋体" w:eastAsia="黑体"/>
      <w:kern w:val="0"/>
      <w:sz w:val="24"/>
      <w:szCs w:val="20"/>
    </w:rPr>
  </w:style>
  <w:style w:type="paragraph" w:customStyle="1" w:styleId="980">
    <w:name w:val="样式 小四 黑色 首行缩进:  0.36 厘米 行距: 1.5 倍行距"/>
    <w:basedOn w:val="1"/>
    <w:qFormat/>
    <w:uiPriority w:val="0"/>
    <w:pPr>
      <w:spacing w:line="360" w:lineRule="auto"/>
    </w:pPr>
    <w:rPr>
      <w:color w:val="000000"/>
      <w:sz w:val="24"/>
      <w:szCs w:val="20"/>
    </w:rPr>
  </w:style>
  <w:style w:type="paragraph" w:customStyle="1" w:styleId="981">
    <w:name w:val="可研"/>
    <w:basedOn w:val="60"/>
    <w:qFormat/>
    <w:uiPriority w:val="0"/>
    <w:pPr>
      <w:tabs>
        <w:tab w:val="left" w:pos="420"/>
        <w:tab w:val="right" w:leader="dot" w:pos="8040"/>
        <w:tab w:val="right" w:leader="dot" w:pos="9345"/>
        <w:tab w:val="right" w:leader="dot" w:pos="9628"/>
        <w:tab w:val="clear" w:pos="284"/>
        <w:tab w:val="clear" w:pos="630"/>
        <w:tab w:val="clear" w:pos="8302"/>
      </w:tabs>
      <w:snapToGrid/>
      <w:spacing w:before="0" w:after="0" w:line="360" w:lineRule="auto"/>
      <w:jc w:val="left"/>
    </w:pPr>
    <w:rPr>
      <w:rFonts w:ascii="黑体" w:eastAsia="黑体"/>
      <w:caps/>
    </w:rPr>
  </w:style>
  <w:style w:type="paragraph" w:customStyle="1" w:styleId="982">
    <w:name w:val="Char1 Char Char Char"/>
    <w:basedOn w:val="1"/>
    <w:qFormat/>
    <w:uiPriority w:val="0"/>
    <w:rPr>
      <w:sz w:val="24"/>
      <w:szCs w:val="20"/>
    </w:rPr>
  </w:style>
  <w:style w:type="paragraph" w:customStyle="1" w:styleId="983">
    <w:name w:val="样式 标题 2 + 宋体 居中"/>
    <w:basedOn w:val="5"/>
    <w:qFormat/>
    <w:uiPriority w:val="0"/>
    <w:pPr>
      <w:tabs>
        <w:tab w:val="clear" w:pos="0"/>
        <w:tab w:val="clear" w:pos="567"/>
      </w:tabs>
      <w:adjustRightInd w:val="0"/>
      <w:snapToGrid w:val="0"/>
      <w:spacing w:before="260" w:afterLines="0" w:line="360" w:lineRule="auto"/>
      <w:jc w:val="center"/>
    </w:pPr>
    <w:rPr>
      <w:rFonts w:ascii="宋体" w:hAnsi="宋体" w:eastAsia="黑体" w:cs="宋体"/>
      <w:b w:val="0"/>
      <w:bCs/>
      <w:spacing w:val="0"/>
      <w:kern w:val="2"/>
      <w:sz w:val="24"/>
      <w:szCs w:val="20"/>
    </w:rPr>
  </w:style>
  <w:style w:type="paragraph" w:customStyle="1" w:styleId="984">
    <w:name w:val="表格文字居中"/>
    <w:basedOn w:val="1"/>
    <w:next w:val="86"/>
    <w:qFormat/>
    <w:uiPriority w:val="0"/>
    <w:pPr>
      <w:keepNext/>
      <w:tabs>
        <w:tab w:val="left" w:pos="628"/>
        <w:tab w:val="left" w:pos="1727"/>
        <w:tab w:val="left" w:pos="1884"/>
      </w:tabs>
      <w:adjustRightInd w:val="0"/>
      <w:snapToGrid w:val="0"/>
    </w:pPr>
    <w:rPr>
      <w:rFonts w:ascii="宋体" w:hAnsi="宋体" w:cs="Arial"/>
      <w:bCs/>
      <w:color w:val="000000"/>
      <w:kern w:val="0"/>
      <w:sz w:val="24"/>
      <w:szCs w:val="21"/>
    </w:rPr>
  </w:style>
  <w:style w:type="paragraph" w:customStyle="1" w:styleId="985">
    <w:name w:val=":("/>
    <w:link w:val="1017"/>
    <w:qFormat/>
    <w:uiPriority w:val="0"/>
    <w:pPr>
      <w:widowControl w:val="0"/>
      <w:adjustRightInd w:val="0"/>
      <w:spacing w:line="312" w:lineRule="atLeast"/>
      <w:jc w:val="both"/>
      <w:textAlignment w:val="baseline"/>
    </w:pPr>
    <w:rPr>
      <w:rFonts w:ascii="Times New Roman" w:hAnsi="Times New Roman" w:eastAsia="·s²Ó©úÅé" w:cs="Times New Roman"/>
      <w:kern w:val="2"/>
      <w:sz w:val="21"/>
      <w:szCs w:val="18"/>
      <w:lang w:val="en-US" w:eastAsia="zh-CN" w:bidi="ar-SA"/>
    </w:rPr>
  </w:style>
  <w:style w:type="paragraph" w:customStyle="1" w:styleId="986">
    <w:name w:val="样式 (中文) 楷体_GB2312 四号 首行缩进:  0.99 厘米"/>
    <w:basedOn w:val="1"/>
    <w:qFormat/>
    <w:uiPriority w:val="0"/>
    <w:pPr>
      <w:ind w:firstLine="560"/>
    </w:pPr>
    <w:rPr>
      <w:rFonts w:eastAsia="楷体_GB2312" w:cs="宋体"/>
      <w:spacing w:val="6"/>
      <w:kern w:val="0"/>
      <w:sz w:val="28"/>
      <w:szCs w:val="20"/>
    </w:rPr>
  </w:style>
  <w:style w:type="paragraph" w:customStyle="1" w:styleId="987">
    <w:name w:val="样式 样式 表格标题 + 首行缩进:  2 字符 + 仿宋_GB2312 四号 加粗"/>
    <w:basedOn w:val="1"/>
    <w:qFormat/>
    <w:uiPriority w:val="0"/>
    <w:pPr>
      <w:adjustRightInd w:val="0"/>
      <w:spacing w:before="120" w:line="360" w:lineRule="auto"/>
      <w:ind w:firstLine="480" w:firstLineChars="200"/>
      <w:jc w:val="center"/>
      <w:textAlignment w:val="baseline"/>
    </w:pPr>
    <w:rPr>
      <w:rFonts w:eastAsia="文鼎CS大宋" w:cs="宋体"/>
      <w:bCs/>
      <w:kern w:val="0"/>
      <w:sz w:val="24"/>
    </w:rPr>
  </w:style>
  <w:style w:type="paragraph" w:customStyle="1" w:styleId="988">
    <w:name w:val="样式 小四 加粗 居中"/>
    <w:basedOn w:val="1"/>
    <w:qFormat/>
    <w:uiPriority w:val="0"/>
    <w:pPr>
      <w:jc w:val="center"/>
    </w:pPr>
    <w:rPr>
      <w:rFonts w:eastAsia="楷体_GB2312" w:cs="宋体"/>
      <w:bCs/>
      <w:szCs w:val="21"/>
    </w:rPr>
  </w:style>
  <w:style w:type="paragraph" w:customStyle="1" w:styleId="989">
    <w:name w:val="样式 样式 样式 样式 样式 样式 样式 样式 首行缩进:  2 字符 + 首行缩进:  2 字符2 + 仿宋_GB2312 行...1"/>
    <w:basedOn w:val="1"/>
    <w:qFormat/>
    <w:uiPriority w:val="0"/>
    <w:pPr>
      <w:spacing w:line="520" w:lineRule="exact"/>
      <w:ind w:firstLine="200" w:firstLineChars="200"/>
    </w:pPr>
    <w:rPr>
      <w:rFonts w:eastAsia="楷体_GB2312"/>
      <w:spacing w:val="14"/>
      <w:kern w:val="0"/>
      <w:sz w:val="28"/>
      <w:szCs w:val="20"/>
    </w:rPr>
  </w:style>
  <w:style w:type="character" w:customStyle="1" w:styleId="990">
    <w:name w:val="样式 样式 样式 样式 样式 样式 样式 样式 首行缩进:  2 字符 + 首行缩进:  2 字符2 + 仿宋_GB2312 行...1 Char"/>
    <w:qFormat/>
    <w:uiPriority w:val="0"/>
    <w:rPr>
      <w:rFonts w:eastAsia="楷体_GB2312"/>
      <w:spacing w:val="14"/>
      <w:sz w:val="28"/>
      <w:lang w:val="en-US" w:eastAsia="zh-CN" w:bidi="ar-SA"/>
    </w:rPr>
  </w:style>
  <w:style w:type="character" w:customStyle="1" w:styleId="991">
    <w:name w:val="xl58 Char"/>
    <w:qFormat/>
    <w:uiPriority w:val="0"/>
    <w:rPr>
      <w:rFonts w:ascii="黑体" w:hAnsi="Arial Unicode MS" w:eastAsia="黑体"/>
      <w:sz w:val="22"/>
      <w:szCs w:val="22"/>
      <w:lang w:val="en-US" w:eastAsia="zh-CN" w:bidi="ar-SA"/>
    </w:rPr>
  </w:style>
  <w:style w:type="character" w:customStyle="1" w:styleId="992">
    <w:name w:val="Char Char3"/>
    <w:qFormat/>
    <w:locked/>
    <w:uiPriority w:val="9"/>
    <w:rPr>
      <w:rFonts w:ascii="宋体" w:hAnsi="宋体" w:eastAsia="宋体"/>
      <w:kern w:val="2"/>
      <w:sz w:val="18"/>
      <w:szCs w:val="18"/>
      <w:lang w:val="en-US" w:eastAsia="zh-CN" w:bidi="ar-SA"/>
    </w:rPr>
  </w:style>
  <w:style w:type="character" w:customStyle="1" w:styleId="993">
    <w:name w:val="Char Char42"/>
    <w:qFormat/>
    <w:locked/>
    <w:uiPriority w:val="0"/>
    <w:rPr>
      <w:rFonts w:ascii="宋体" w:hAnsi="宋体" w:eastAsia="宋体"/>
      <w:kern w:val="2"/>
      <w:sz w:val="18"/>
      <w:szCs w:val="18"/>
      <w:lang w:val="en-US" w:eastAsia="zh-CN" w:bidi="ar-SA"/>
    </w:rPr>
  </w:style>
  <w:style w:type="paragraph" w:customStyle="1" w:styleId="994">
    <w:name w:val="样式 楷体_GB2312 四号 黑色"/>
    <w:basedOn w:val="1"/>
    <w:qFormat/>
    <w:uiPriority w:val="0"/>
    <w:pPr>
      <w:spacing w:line="560" w:lineRule="exact"/>
      <w:ind w:firstLine="200" w:firstLineChars="200"/>
    </w:pPr>
    <w:rPr>
      <w:rFonts w:eastAsia="楷体_GB2312"/>
      <w:color w:val="000000"/>
      <w:sz w:val="28"/>
      <w:szCs w:val="20"/>
    </w:rPr>
  </w:style>
  <w:style w:type="paragraph" w:customStyle="1" w:styleId="995">
    <w:name w:val="Char Char Char Char Char Char Char Char Char Char Char Char Char Char Char Char Char Char Char Char Char Char Char Char Char Char Char Char Char Char2 Char Char Char Char Char Char Char4"/>
    <w:basedOn w:val="1"/>
    <w:qFormat/>
    <w:uiPriority w:val="0"/>
    <w:rPr>
      <w:sz w:val="24"/>
    </w:rPr>
  </w:style>
  <w:style w:type="character" w:customStyle="1" w:styleId="996">
    <w:name w:val="desctext1"/>
    <w:qFormat/>
    <w:uiPriority w:val="0"/>
    <w:rPr>
      <w:spacing w:val="15"/>
      <w:sz w:val="18"/>
      <w:szCs w:val="18"/>
    </w:rPr>
  </w:style>
  <w:style w:type="paragraph" w:customStyle="1" w:styleId="997">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998">
    <w:name w:val="Char Char Char Char Char Char3"/>
    <w:basedOn w:val="1"/>
    <w:link w:val="999"/>
    <w:qFormat/>
    <w:uiPriority w:val="0"/>
    <w:rPr>
      <w:sz w:val="24"/>
    </w:rPr>
  </w:style>
  <w:style w:type="character" w:customStyle="1" w:styleId="999">
    <w:name w:val="Char Char Char Char Char Char Char3"/>
    <w:link w:val="998"/>
    <w:qFormat/>
    <w:uiPriority w:val="0"/>
    <w:rPr>
      <w:kern w:val="2"/>
      <w:sz w:val="24"/>
      <w:szCs w:val="24"/>
    </w:rPr>
  </w:style>
  <w:style w:type="paragraph" w:customStyle="1" w:styleId="1000">
    <w:name w:val="Char10"/>
    <w:basedOn w:val="1"/>
    <w:qFormat/>
    <w:uiPriority w:val="0"/>
    <w:rPr>
      <w:sz w:val="24"/>
    </w:rPr>
  </w:style>
  <w:style w:type="paragraph" w:customStyle="1" w:styleId="1001">
    <w:name w:val="正文文本缩进3"/>
    <w:basedOn w:val="1"/>
    <w:qFormat/>
    <w:uiPriority w:val="0"/>
    <w:pPr>
      <w:adjustRightInd w:val="0"/>
      <w:spacing w:after="120" w:line="360" w:lineRule="auto"/>
      <w:ind w:left="420" w:leftChars="200" w:firstLine="200" w:firstLineChars="200"/>
      <w:textAlignment w:val="baseline"/>
    </w:pPr>
    <w:rPr>
      <w:sz w:val="24"/>
    </w:rPr>
  </w:style>
  <w:style w:type="paragraph" w:customStyle="1" w:styleId="1002">
    <w:name w:val="XYF表格"/>
    <w:basedOn w:val="310"/>
    <w:qFormat/>
    <w:uiPriority w:val="0"/>
    <w:pPr>
      <w:ind w:firstLine="0" w:firstLineChars="0"/>
    </w:pPr>
  </w:style>
  <w:style w:type="character" w:customStyle="1" w:styleId="1003">
    <w:name w:val="px14"/>
    <w:qFormat/>
    <w:uiPriority w:val="0"/>
  </w:style>
  <w:style w:type="paragraph" w:customStyle="1" w:styleId="1004">
    <w:name w:val="环标2"/>
    <w:basedOn w:val="5"/>
    <w:qFormat/>
    <w:uiPriority w:val="0"/>
    <w:pPr>
      <w:tabs>
        <w:tab w:val="left" w:pos="540"/>
        <w:tab w:val="clear" w:pos="0"/>
        <w:tab w:val="clear" w:pos="567"/>
      </w:tabs>
      <w:suppressAutoHyphens/>
      <w:adjustRightInd w:val="0"/>
      <w:spacing w:beforeLines="0" w:afterLines="0" w:line="312" w:lineRule="atLeast"/>
      <w:jc w:val="center"/>
      <w:textAlignment w:val="baseline"/>
      <w:outlineLvl w:val="9"/>
    </w:pPr>
    <w:rPr>
      <w:rFonts w:ascii="仿宋_GB2312" w:hAnsi="Arial"/>
      <w:b w:val="0"/>
      <w:spacing w:val="0"/>
      <w:szCs w:val="20"/>
    </w:rPr>
  </w:style>
  <w:style w:type="paragraph" w:customStyle="1" w:styleId="1005">
    <w:name w:val="Char Char Char1 Char4"/>
    <w:basedOn w:val="1"/>
    <w:qFormat/>
    <w:uiPriority w:val="0"/>
    <w:rPr>
      <w:szCs w:val="20"/>
    </w:rPr>
  </w:style>
  <w:style w:type="paragraph" w:customStyle="1" w:styleId="1006">
    <w:name w:val="样式 左侧:  2 字符"/>
    <w:basedOn w:val="1"/>
    <w:qFormat/>
    <w:uiPriority w:val="0"/>
    <w:pPr>
      <w:spacing w:line="560" w:lineRule="exact"/>
    </w:pPr>
    <w:rPr>
      <w:rFonts w:cs="宋体"/>
      <w:sz w:val="28"/>
      <w:szCs w:val="20"/>
    </w:rPr>
  </w:style>
  <w:style w:type="paragraph" w:customStyle="1" w:styleId="1007">
    <w:name w:val="普通(网站)1"/>
    <w:basedOn w:val="1"/>
    <w:link w:val="1008"/>
    <w:qFormat/>
    <w:uiPriority w:val="0"/>
    <w:rPr>
      <w:sz w:val="24"/>
    </w:rPr>
  </w:style>
  <w:style w:type="character" w:customStyle="1" w:styleId="1008">
    <w:name w:val="普通(网站)1 Char"/>
    <w:link w:val="1007"/>
    <w:qFormat/>
    <w:uiPriority w:val="0"/>
    <w:rPr>
      <w:kern w:val="2"/>
      <w:sz w:val="24"/>
      <w:szCs w:val="24"/>
    </w:rPr>
  </w:style>
  <w:style w:type="character" w:customStyle="1" w:styleId="1009">
    <w:name w:val="jianjun"/>
    <w:qFormat/>
    <w:uiPriority w:val="0"/>
  </w:style>
  <w:style w:type="paragraph" w:customStyle="1" w:styleId="1010">
    <w:name w:val="简单回函地址"/>
    <w:basedOn w:val="1"/>
    <w:qFormat/>
    <w:uiPriority w:val="0"/>
  </w:style>
  <w:style w:type="character" w:customStyle="1" w:styleId="1011">
    <w:name w:val="bbc1"/>
    <w:qFormat/>
    <w:uiPriority w:val="0"/>
  </w:style>
  <w:style w:type="paragraph" w:customStyle="1" w:styleId="1012">
    <w:name w:val="普通(网站)2"/>
    <w:basedOn w:val="1"/>
    <w:qFormat/>
    <w:uiPriority w:val="0"/>
    <w:rPr>
      <w:sz w:val="24"/>
    </w:rPr>
  </w:style>
  <w:style w:type="paragraph" w:customStyle="1" w:styleId="1013">
    <w:name w:val="样式 标题 21.1标题 21.1标题2标题 2 Char节_Heading 2. (1.1)§1.1.§1...."/>
    <w:basedOn w:val="5"/>
    <w:qFormat/>
    <w:uiPriority w:val="0"/>
    <w:pPr>
      <w:keepNext w:val="0"/>
      <w:tabs>
        <w:tab w:val="clear" w:pos="0"/>
        <w:tab w:val="clear" w:pos="567"/>
      </w:tabs>
      <w:spacing w:beforeLines="0" w:afterLines="0" w:line="360" w:lineRule="auto"/>
      <w:jc w:val="center"/>
    </w:pPr>
    <w:rPr>
      <w:rFonts w:ascii="楷体_GB2312" w:hAnsi="宋体" w:eastAsia="楷体_GB2312"/>
      <w:b w:val="0"/>
      <w:bCs/>
      <w:spacing w:val="-2"/>
      <w:sz w:val="32"/>
      <w:szCs w:val="32"/>
    </w:rPr>
  </w:style>
  <w:style w:type="paragraph" w:customStyle="1" w:styleId="1014">
    <w:name w:val="Char8"/>
    <w:basedOn w:val="1"/>
    <w:qFormat/>
    <w:uiPriority w:val="0"/>
    <w:rPr>
      <w:sz w:val="24"/>
    </w:rPr>
  </w:style>
  <w:style w:type="paragraph" w:customStyle="1" w:styleId="1015">
    <w:name w:val="SCIDI标题4"/>
    <w:basedOn w:val="7"/>
    <w:qFormat/>
    <w:uiPriority w:val="0"/>
    <w:pPr>
      <w:keepNext w:val="0"/>
      <w:keepLines w:val="0"/>
      <w:adjustRightInd w:val="0"/>
      <w:spacing w:line="360" w:lineRule="auto"/>
      <w:ind w:firstLine="538" w:firstLineChars="192"/>
      <w:textAlignment w:val="baseline"/>
      <w:outlineLvl w:val="9"/>
    </w:pPr>
    <w:rPr>
      <w:rFonts w:ascii="Times New Roman" w:hAnsi="宋体" w:eastAsia="宋体"/>
      <w:bCs w:val="0"/>
      <w:kern w:val="0"/>
    </w:rPr>
  </w:style>
  <w:style w:type="paragraph" w:customStyle="1" w:styleId="1016">
    <w:name w:val="样式 小四 行距: 1.5 倍行距"/>
    <w:basedOn w:val="1"/>
    <w:qFormat/>
    <w:uiPriority w:val="0"/>
    <w:pPr>
      <w:spacing w:line="360" w:lineRule="auto"/>
    </w:pPr>
    <w:rPr>
      <w:sz w:val="24"/>
      <w:szCs w:val="20"/>
    </w:rPr>
  </w:style>
  <w:style w:type="character" w:customStyle="1" w:styleId="1017">
    <w:name w:val=":( Char"/>
    <w:link w:val="985"/>
    <w:qFormat/>
    <w:uiPriority w:val="0"/>
    <w:rPr>
      <w:rFonts w:eastAsia="·s²Ó©úÅé"/>
      <w:kern w:val="2"/>
      <w:sz w:val="21"/>
      <w:szCs w:val="18"/>
    </w:rPr>
  </w:style>
  <w:style w:type="character" w:customStyle="1" w:styleId="1018">
    <w:name w:val="linehei1"/>
    <w:qFormat/>
    <w:uiPriority w:val="0"/>
    <w:rPr>
      <w:color w:val="00519C"/>
      <w:sz w:val="18"/>
      <w:szCs w:val="18"/>
      <w:u w:val="none"/>
    </w:rPr>
  </w:style>
  <w:style w:type="character" w:customStyle="1" w:styleId="1019">
    <w:name w:val="title31"/>
    <w:qFormat/>
    <w:uiPriority w:val="0"/>
    <w:rPr>
      <w:rFonts w:hint="eastAsia" w:ascii="宋体" w:hAnsi="宋体" w:eastAsia="宋体"/>
      <w:color w:val="000000"/>
      <w:sz w:val="23"/>
      <w:szCs w:val="23"/>
    </w:rPr>
  </w:style>
  <w:style w:type="character" w:customStyle="1" w:styleId="1020">
    <w:name w:val="title21"/>
    <w:qFormat/>
    <w:uiPriority w:val="0"/>
    <w:rPr>
      <w:rFonts w:hint="eastAsia" w:ascii="黑体" w:eastAsia="黑体"/>
      <w:b/>
      <w:bCs/>
      <w:sz w:val="27"/>
      <w:szCs w:val="27"/>
    </w:rPr>
  </w:style>
  <w:style w:type="paragraph" w:customStyle="1" w:styleId="1021">
    <w:name w:val="Char Char Char Char4"/>
    <w:basedOn w:val="1"/>
    <w:qFormat/>
    <w:uiPriority w:val="0"/>
  </w:style>
  <w:style w:type="character" w:customStyle="1" w:styleId="1022">
    <w:name w:val="htd01"/>
    <w:qFormat/>
    <w:uiPriority w:val="0"/>
    <w:rPr>
      <w:spacing w:val="240"/>
    </w:rPr>
  </w:style>
  <w:style w:type="character" w:customStyle="1" w:styleId="1023">
    <w:name w:val="Char Char41"/>
    <w:qFormat/>
    <w:uiPriority w:val="0"/>
    <w:rPr>
      <w:rFonts w:eastAsia="宋体"/>
      <w:kern w:val="2"/>
      <w:sz w:val="21"/>
      <w:szCs w:val="24"/>
      <w:lang w:val="en-US" w:eastAsia="zh-CN" w:bidi="ar-SA"/>
    </w:rPr>
  </w:style>
  <w:style w:type="character" w:customStyle="1" w:styleId="1024">
    <w:name w:val="content_size_131"/>
    <w:qFormat/>
    <w:uiPriority w:val="0"/>
    <w:rPr>
      <w:sz w:val="20"/>
      <w:szCs w:val="20"/>
    </w:rPr>
  </w:style>
  <w:style w:type="paragraph" w:customStyle="1" w:styleId="1025">
    <w:name w:val="样式 XYF1 + 宋体"/>
    <w:basedOn w:val="310"/>
    <w:qFormat/>
    <w:uiPriority w:val="0"/>
    <w:pPr>
      <w:spacing w:line="480" w:lineRule="exact"/>
      <w:ind w:firstLine="200" w:firstLineChars="200"/>
    </w:pPr>
    <w:rPr>
      <w:rFonts w:ascii="宋体" w:hAnsi="宋体" w:cs="宋体"/>
      <w:sz w:val="28"/>
      <w:szCs w:val="20"/>
    </w:rPr>
  </w:style>
  <w:style w:type="paragraph" w:customStyle="1" w:styleId="1026">
    <w:name w:val="样式 正文缩进 + 宋体 段后: 6 磅 行距: 单倍行距"/>
    <w:basedOn w:val="22"/>
    <w:qFormat/>
    <w:uiPriority w:val="0"/>
    <w:pPr>
      <w:widowControl/>
      <w:spacing w:after="120" w:line="300" w:lineRule="auto"/>
      <w:ind w:firstLine="200"/>
      <w:jc w:val="left"/>
    </w:pPr>
    <w:rPr>
      <w:rFonts w:ascii="宋体" w:hAnsi="宋体" w:cs="宋体"/>
      <w:color w:val="000000"/>
      <w:sz w:val="24"/>
      <w:szCs w:val="20"/>
    </w:rPr>
  </w:style>
  <w:style w:type="character" w:customStyle="1" w:styleId="1027">
    <w:name w:val="f14bb style2"/>
    <w:qFormat/>
    <w:uiPriority w:val="0"/>
  </w:style>
  <w:style w:type="paragraph" w:customStyle="1" w:styleId="1028">
    <w:name w:val="33333"/>
    <w:basedOn w:val="1"/>
    <w:link w:val="1029"/>
    <w:qFormat/>
    <w:uiPriority w:val="0"/>
    <w:pPr>
      <w:spacing w:line="440" w:lineRule="exact"/>
      <w:ind w:firstLine="480" w:firstLineChars="200"/>
    </w:pPr>
    <w:rPr>
      <w:rFonts w:ascii="Arial" w:hAnsi="宋体" w:cs="宋体"/>
      <w:sz w:val="24"/>
      <w:szCs w:val="20"/>
    </w:rPr>
  </w:style>
  <w:style w:type="character" w:customStyle="1" w:styleId="1029">
    <w:name w:val="33333 Char"/>
    <w:link w:val="1028"/>
    <w:qFormat/>
    <w:uiPriority w:val="0"/>
    <w:rPr>
      <w:rFonts w:ascii="Arial" w:hAnsi="宋体" w:cs="宋体"/>
      <w:kern w:val="2"/>
      <w:sz w:val="24"/>
    </w:rPr>
  </w:style>
  <w:style w:type="paragraph" w:customStyle="1" w:styleId="1030">
    <w:name w:val="样式 表内容 + 居中 行距: 固定值 14 磅"/>
    <w:basedOn w:val="1"/>
    <w:link w:val="1031"/>
    <w:qFormat/>
    <w:uiPriority w:val="0"/>
    <w:pPr>
      <w:adjustRightInd w:val="0"/>
      <w:snapToGrid w:val="0"/>
      <w:spacing w:line="280" w:lineRule="exact"/>
      <w:jc w:val="center"/>
      <w:textAlignment w:val="bottom"/>
    </w:pPr>
    <w:rPr>
      <w:rFonts w:eastAsia="楷体_GB2312"/>
      <w:kern w:val="0"/>
      <w:szCs w:val="20"/>
    </w:rPr>
  </w:style>
  <w:style w:type="character" w:customStyle="1" w:styleId="1031">
    <w:name w:val="样式 表内容 + 居中 行距: 固定值 14 磅 Char"/>
    <w:link w:val="1030"/>
    <w:qFormat/>
    <w:uiPriority w:val="0"/>
    <w:rPr>
      <w:rFonts w:eastAsia="楷体_GB2312"/>
      <w:sz w:val="21"/>
    </w:rPr>
  </w:style>
  <w:style w:type="character" w:customStyle="1" w:styleId="1032">
    <w:name w:val="javascript1"/>
    <w:qFormat/>
    <w:uiPriority w:val="0"/>
    <w:rPr>
      <w:rFonts w:hint="default" w:ascii="Tahoma" w:hAnsi="Tahoma" w:cs="Tahoma"/>
      <w:sz w:val="18"/>
      <w:szCs w:val="18"/>
    </w:rPr>
  </w:style>
  <w:style w:type="paragraph" w:customStyle="1" w:styleId="1033">
    <w:name w:val="Char Char Char1 Char3"/>
    <w:basedOn w:val="1"/>
    <w:qFormat/>
    <w:uiPriority w:val="0"/>
    <w:rPr>
      <w:szCs w:val="20"/>
    </w:rPr>
  </w:style>
  <w:style w:type="paragraph" w:customStyle="1" w:styleId="1034">
    <w:name w:val="Char Char Char1 Char2"/>
    <w:basedOn w:val="1"/>
    <w:qFormat/>
    <w:uiPriority w:val="0"/>
    <w:rPr>
      <w:szCs w:val="20"/>
    </w:rPr>
  </w:style>
  <w:style w:type="character" w:customStyle="1" w:styleId="1035">
    <w:name w:val="表格的文字 Char Char"/>
    <w:qFormat/>
    <w:uiPriority w:val="0"/>
    <w:rPr>
      <w:rFonts w:ascii="仿宋_GB2312" w:eastAsia="仿宋_GB2312"/>
      <w:bCs/>
      <w:kern w:val="2"/>
      <w:sz w:val="21"/>
      <w:szCs w:val="24"/>
      <w:lang w:val="en-US" w:eastAsia="zh-CN" w:bidi="ar-SA"/>
    </w:rPr>
  </w:style>
  <w:style w:type="paragraph" w:customStyle="1" w:styleId="1036">
    <w:name w:val="样式 表文字 + 仿宋_GB2312 首行缩进:  0.99 厘米 行距: 固定值 15 磅"/>
    <w:basedOn w:val="1"/>
    <w:qFormat/>
    <w:uiPriority w:val="0"/>
    <w:pPr>
      <w:widowControl/>
      <w:spacing w:line="240" w:lineRule="atLeast"/>
      <w:jc w:val="center"/>
    </w:pPr>
    <w:rPr>
      <w:rFonts w:ascii="仿宋_GB2312" w:hAnsi="宋体" w:eastAsia="仿宋_GB2312" w:cs="宋体"/>
      <w:kern w:val="0"/>
      <w:szCs w:val="20"/>
    </w:rPr>
  </w:style>
  <w:style w:type="paragraph" w:customStyle="1" w:styleId="1037">
    <w:name w:val="样式 文档结构图 + (符号) 宋体 首行缩进:  2 字符"/>
    <w:basedOn w:val="27"/>
    <w:qFormat/>
    <w:uiPriority w:val="0"/>
    <w:pPr>
      <w:spacing w:line="500" w:lineRule="exact"/>
      <w:ind w:firstLine="560" w:firstLineChars="200"/>
      <w:jc w:val="left"/>
    </w:pPr>
    <w:rPr>
      <w:rFonts w:ascii="仿宋_GB2312" w:hAnsi="宋体" w:cs="宋体"/>
      <w:szCs w:val="20"/>
    </w:rPr>
  </w:style>
  <w:style w:type="paragraph" w:customStyle="1" w:styleId="1038">
    <w:name w:val="正文文本21"/>
    <w:qFormat/>
    <w:uiPriority w:val="0"/>
    <w:pPr>
      <w:tabs>
        <w:tab w:val="left" w:pos="425"/>
        <w:tab w:val="left" w:pos="850"/>
      </w:tabs>
      <w:spacing w:after="283" w:line="260" w:lineRule="atLeast"/>
      <w:jc w:val="both"/>
    </w:pPr>
    <w:rPr>
      <w:rFonts w:ascii="StempelGaramond Roman" w:hAnsi="StempelGaramond Roman" w:eastAsia="宋体" w:cs="Times New Roman"/>
      <w:snapToGrid w:val="0"/>
      <w:color w:val="000000"/>
      <w:sz w:val="22"/>
      <w:lang w:val="en-GB" w:eastAsia="zh-CN" w:bidi="ar-SA"/>
    </w:rPr>
  </w:style>
  <w:style w:type="paragraph" w:customStyle="1" w:styleId="1039">
    <w:name w:val="正文文本缩进4"/>
    <w:basedOn w:val="1"/>
    <w:qFormat/>
    <w:uiPriority w:val="0"/>
    <w:pPr>
      <w:adjustRightInd w:val="0"/>
      <w:spacing w:after="120" w:line="360" w:lineRule="auto"/>
      <w:ind w:left="420" w:leftChars="200" w:firstLine="200" w:firstLineChars="200"/>
      <w:textAlignment w:val="baseline"/>
    </w:pPr>
    <w:rPr>
      <w:sz w:val="24"/>
    </w:rPr>
  </w:style>
  <w:style w:type="paragraph" w:customStyle="1" w:styleId="1040">
    <w:name w:val="正文缩进7"/>
    <w:basedOn w:val="1"/>
    <w:qFormat/>
    <w:uiPriority w:val="0"/>
    <w:pPr>
      <w:adjustRightInd w:val="0"/>
      <w:ind w:firstLine="420" w:firstLineChars="200"/>
      <w:textAlignment w:val="baseline"/>
    </w:pPr>
    <w:rPr>
      <w:rFonts w:hint="eastAsia" w:hAnsi="宋体"/>
      <w:sz w:val="24"/>
      <w:szCs w:val="20"/>
    </w:rPr>
  </w:style>
  <w:style w:type="table" w:customStyle="1" w:styleId="1041">
    <w:name w:val="灰度表格1223"/>
    <w:basedOn w:val="88"/>
    <w:qFormat/>
    <w:uiPriority w:val="0"/>
    <w:pPr>
      <w:jc w:val="center"/>
    </w:pPr>
    <w:rPr>
      <w:rFonts w:ascii="Calibri" w:hAnsi="Calibri" w:eastAsia="仿宋_GB2312"/>
      <w:sz w:val="21"/>
    </w:rPr>
    <w:tblP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
    <w:tcPr>
      <w:vAlign w:val="center"/>
    </w:tcPr>
  </w:style>
  <w:style w:type="table" w:customStyle="1" w:styleId="1042">
    <w:name w:val="maoli11"/>
    <w:basedOn w:val="88"/>
    <w:qFormat/>
    <w:uiPriority w:val="0"/>
    <w:rPr>
      <w:rFonts w:eastAsia="仿宋_GB2312"/>
      <w:sz w:val="21"/>
    </w:rPr>
    <w:tblP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
    <w:tcPr>
      <w:vAlign w:val="center"/>
    </w:tcPr>
  </w:style>
  <w:style w:type="table" w:customStyle="1" w:styleId="1043">
    <w:name w:val="maoli12"/>
    <w:basedOn w:val="88"/>
    <w:qFormat/>
    <w:uiPriority w:val="0"/>
    <w:rPr>
      <w:rFonts w:eastAsia="仿宋_GB2312"/>
      <w:sz w:val="21"/>
    </w:rPr>
    <w:tblP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
    <w:tcPr>
      <w:vAlign w:val="center"/>
    </w:tcPr>
  </w:style>
  <w:style w:type="paragraph" w:customStyle="1" w:styleId="1044">
    <w:name w:val="font16"/>
    <w:basedOn w:val="1"/>
    <w:qFormat/>
    <w:uiPriority w:val="0"/>
    <w:pPr>
      <w:widowControl/>
      <w:spacing w:before="100" w:beforeAutospacing="1" w:after="100" w:afterAutospacing="1"/>
      <w:jc w:val="left"/>
    </w:pPr>
    <w:rPr>
      <w:rFonts w:ascii="宋体" w:hAnsi="宋体" w:cs="宋体"/>
      <w:b/>
      <w:bCs/>
      <w:color w:val="000000"/>
      <w:kern w:val="0"/>
      <w:szCs w:val="21"/>
    </w:rPr>
  </w:style>
  <w:style w:type="paragraph" w:customStyle="1" w:styleId="1045">
    <w:name w:val="Chi"/>
    <w:basedOn w:val="1"/>
    <w:qFormat/>
    <w:uiPriority w:val="0"/>
    <w:pPr>
      <w:widowControl/>
      <w:spacing w:before="40" w:after="120"/>
      <w:ind w:left="851"/>
      <w:jc w:val="left"/>
    </w:pPr>
    <w:rPr>
      <w:rFonts w:ascii="Arial" w:hAnsi="Arial"/>
      <w:kern w:val="0"/>
      <w:sz w:val="20"/>
      <w:szCs w:val="20"/>
    </w:rPr>
  </w:style>
  <w:style w:type="paragraph" w:customStyle="1" w:styleId="1046">
    <w:name w:val="Eng"/>
    <w:basedOn w:val="1"/>
    <w:qFormat/>
    <w:uiPriority w:val="0"/>
    <w:pPr>
      <w:widowControl/>
      <w:spacing w:before="120"/>
      <w:ind w:left="851"/>
      <w:jc w:val="left"/>
    </w:pPr>
    <w:rPr>
      <w:rFonts w:ascii="Arial" w:hAnsi="Arial" w:eastAsia="Arial" w:cs="Arial"/>
      <w:kern w:val="0"/>
      <w:sz w:val="20"/>
      <w:szCs w:val="20"/>
    </w:rPr>
  </w:style>
  <w:style w:type="paragraph" w:customStyle="1" w:styleId="1047">
    <w:name w:val="正文文本3"/>
    <w:qFormat/>
    <w:uiPriority w:val="0"/>
    <w:pPr>
      <w:tabs>
        <w:tab w:val="left" w:pos="425"/>
        <w:tab w:val="left" w:pos="850"/>
      </w:tabs>
      <w:spacing w:after="283" w:line="260" w:lineRule="atLeast"/>
      <w:jc w:val="both"/>
    </w:pPr>
    <w:rPr>
      <w:rFonts w:ascii="StempelGaramond Roman" w:hAnsi="StempelGaramond Roman" w:eastAsia="宋体" w:cs="Times New Roman"/>
      <w:snapToGrid w:val="0"/>
      <w:color w:val="000000"/>
      <w:sz w:val="22"/>
      <w:lang w:val="en-US" w:eastAsia="zh-CN" w:bidi="ar-SA"/>
    </w:rPr>
  </w:style>
  <w:style w:type="paragraph" w:customStyle="1" w:styleId="1048">
    <w:name w:val="TOC 标题11"/>
    <w:basedOn w:val="4"/>
    <w:next w:val="1"/>
    <w:qFormat/>
    <w:uiPriority w:val="0"/>
    <w:pPr>
      <w:widowControl/>
      <w:spacing w:before="480" w:after="0" w:line="276" w:lineRule="auto"/>
      <w:jc w:val="left"/>
      <w:outlineLvl w:val="9"/>
    </w:pPr>
    <w:rPr>
      <w:rFonts w:ascii="Cambria" w:hAnsi="Cambria"/>
      <w:color w:val="365F91"/>
      <w:kern w:val="0"/>
      <w:sz w:val="28"/>
      <w:szCs w:val="28"/>
      <w:lang w:val="zh-CN"/>
    </w:rPr>
  </w:style>
  <w:style w:type="paragraph" w:customStyle="1" w:styleId="1049">
    <w:name w:val="列出段落2"/>
    <w:basedOn w:val="1"/>
    <w:qFormat/>
    <w:uiPriority w:val="0"/>
    <w:pPr>
      <w:ind w:firstLine="420" w:firstLineChars="200"/>
    </w:pPr>
  </w:style>
  <w:style w:type="paragraph" w:customStyle="1" w:styleId="1050">
    <w:name w:val="日期1"/>
    <w:basedOn w:val="1"/>
    <w:next w:val="1"/>
    <w:qFormat/>
    <w:uiPriority w:val="0"/>
    <w:pPr>
      <w:ind w:left="100" w:leftChars="2500"/>
    </w:pPr>
    <w:rPr>
      <w:rFonts w:ascii="宋体" w:hAnsi="宋体"/>
      <w:sz w:val="24"/>
    </w:rPr>
  </w:style>
  <w:style w:type="paragraph" w:customStyle="1" w:styleId="1051">
    <w:name w:val="正文文本缩进 31"/>
    <w:basedOn w:val="1"/>
    <w:qFormat/>
    <w:uiPriority w:val="0"/>
    <w:pPr>
      <w:spacing w:line="360" w:lineRule="auto"/>
      <w:ind w:firstLine="480"/>
    </w:pPr>
    <w:rPr>
      <w:rFonts w:ascii="华文仿宋" w:hAnsi="华文仿宋" w:eastAsia="华文仿宋"/>
      <w:color w:val="000000"/>
      <w:sz w:val="24"/>
    </w:rPr>
  </w:style>
  <w:style w:type="paragraph" w:customStyle="1" w:styleId="1052">
    <w:name w:val="环表头"/>
    <w:basedOn w:val="1"/>
    <w:next w:val="1"/>
    <w:link w:val="2039"/>
    <w:qFormat/>
    <w:uiPriority w:val="0"/>
    <w:pPr>
      <w:widowControl/>
      <w:suppressAutoHyphens/>
      <w:adjustRightInd w:val="0"/>
      <w:spacing w:line="560" w:lineRule="exact"/>
      <w:jc w:val="center"/>
      <w:textAlignment w:val="baseline"/>
    </w:pPr>
    <w:rPr>
      <w:rFonts w:ascii="仿宋_GB2312" w:hAnsi="宋体" w:eastAsia="仿宋_GB2312"/>
      <w:b/>
      <w:kern w:val="0"/>
      <w:szCs w:val="21"/>
    </w:rPr>
  </w:style>
  <w:style w:type="paragraph" w:customStyle="1" w:styleId="1053">
    <w:name w:val="文档结构图1"/>
    <w:basedOn w:val="1"/>
    <w:qFormat/>
    <w:uiPriority w:val="0"/>
    <w:pPr>
      <w:shd w:val="clear" w:color="auto" w:fill="000080"/>
    </w:pPr>
    <w:rPr>
      <w:shd w:val="clear" w:color="auto" w:fill="000080"/>
    </w:rPr>
  </w:style>
  <w:style w:type="paragraph" w:customStyle="1" w:styleId="1054">
    <w:name w:val="列表2"/>
    <w:basedOn w:val="1"/>
    <w:qFormat/>
    <w:uiPriority w:val="0"/>
    <w:pPr>
      <w:spacing w:line="320" w:lineRule="exact"/>
      <w:jc w:val="center"/>
    </w:pPr>
    <w:rPr>
      <w:rFonts w:ascii="仿宋_GB2312" w:eastAsia="仿宋_GB2312"/>
      <w:sz w:val="24"/>
      <w:szCs w:val="20"/>
    </w:rPr>
  </w:style>
  <w:style w:type="paragraph" w:customStyle="1" w:styleId="1055">
    <w:name w:val="正文文本 22"/>
    <w:basedOn w:val="1"/>
    <w:qFormat/>
    <w:uiPriority w:val="0"/>
    <w:pPr>
      <w:spacing w:after="120" w:line="480" w:lineRule="auto"/>
    </w:pPr>
  </w:style>
  <w:style w:type="paragraph" w:customStyle="1" w:styleId="1056">
    <w:name w:val="样式 样式 标题 3 + 四号 + 四号"/>
    <w:basedOn w:val="1057"/>
    <w:qFormat/>
    <w:uiPriority w:val="0"/>
    <w:pPr>
      <w:tabs>
        <w:tab w:val="left" w:pos="1170"/>
      </w:tabs>
    </w:pPr>
  </w:style>
  <w:style w:type="paragraph" w:customStyle="1" w:styleId="1057">
    <w:name w:val="样式 标题 3 + 四号"/>
    <w:basedOn w:val="6"/>
    <w:qFormat/>
    <w:uiPriority w:val="0"/>
    <w:pPr>
      <w:tabs>
        <w:tab w:val="left" w:pos="1170"/>
      </w:tabs>
      <w:spacing w:beforeLines="30" w:afterLines="30" w:line="415" w:lineRule="auto"/>
    </w:pPr>
    <w:rPr>
      <w:rFonts w:ascii="宋体" w:hAnsi="宋体"/>
      <w:sz w:val="28"/>
      <w:szCs w:val="28"/>
      <w:lang w:val="zh-CN"/>
    </w:rPr>
  </w:style>
  <w:style w:type="paragraph" w:customStyle="1" w:styleId="1058">
    <w:name w:val="正文文本缩进 21"/>
    <w:basedOn w:val="1"/>
    <w:qFormat/>
    <w:uiPriority w:val="0"/>
    <w:pPr>
      <w:spacing w:line="500" w:lineRule="exact"/>
      <w:ind w:firstLine="567"/>
    </w:pPr>
    <w:rPr>
      <w:rFonts w:ascii="仿宋_GB2312" w:eastAsia="仿宋_GB2312"/>
      <w:sz w:val="28"/>
    </w:rPr>
  </w:style>
  <w:style w:type="paragraph" w:customStyle="1" w:styleId="1059">
    <w:name w:val="批注主题1"/>
    <w:basedOn w:val="29"/>
    <w:next w:val="29"/>
    <w:qFormat/>
    <w:uiPriority w:val="0"/>
    <w:pPr>
      <w:widowControl/>
      <w:adjustRightInd/>
      <w:spacing w:line="240" w:lineRule="auto"/>
      <w:textAlignment w:val="auto"/>
    </w:pPr>
    <w:rPr>
      <w:b/>
      <w:bCs/>
      <w:szCs w:val="24"/>
      <w:lang w:val="zh-CN"/>
    </w:rPr>
  </w:style>
  <w:style w:type="paragraph" w:customStyle="1" w:styleId="1060">
    <w:name w:val="样式 标题 2 + (符号) Times New Roman"/>
    <w:basedOn w:val="5"/>
    <w:link w:val="1075"/>
    <w:qFormat/>
    <w:uiPriority w:val="0"/>
    <w:pPr>
      <w:tabs>
        <w:tab w:val="clear" w:pos="0"/>
        <w:tab w:val="clear" w:pos="567"/>
      </w:tabs>
      <w:spacing w:beforeLines="100" w:after="260" w:line="560" w:lineRule="exact"/>
    </w:pPr>
    <w:rPr>
      <w:rFonts w:ascii="宋体" w:hAnsi="宋体"/>
      <w:bCs/>
      <w:spacing w:val="0"/>
      <w:kern w:val="2"/>
      <w:lang w:val="zh-CN"/>
    </w:rPr>
  </w:style>
  <w:style w:type="paragraph" w:customStyle="1" w:styleId="1061">
    <w:name w:val="Char Char Char Char Char Char Char Char Char"/>
    <w:basedOn w:val="1"/>
    <w:qFormat/>
    <w:uiPriority w:val="0"/>
    <w:pPr>
      <w:snapToGrid w:val="0"/>
    </w:pPr>
    <w:rPr>
      <w:rFonts w:ascii="Tahoma" w:hAnsi="Tahoma"/>
      <w:sz w:val="24"/>
      <w:szCs w:val="20"/>
    </w:rPr>
  </w:style>
  <w:style w:type="paragraph" w:customStyle="1" w:styleId="1062">
    <w:name w:val="样式 标题 5 + 段前: 0.5 行"/>
    <w:basedOn w:val="8"/>
    <w:qFormat/>
    <w:uiPriority w:val="0"/>
    <w:pPr>
      <w:spacing w:before="156" w:afterLines="50" w:line="240" w:lineRule="auto"/>
    </w:pPr>
    <w:rPr>
      <w:rFonts w:ascii="黑体" w:hAnsi="黑体" w:eastAsia="黑体" w:cs="宋体"/>
      <w:szCs w:val="20"/>
      <w:lang w:val="zh-CN"/>
    </w:rPr>
  </w:style>
  <w:style w:type="paragraph" w:customStyle="1" w:styleId="1063">
    <w:name w:val="样式 标题 2 + (西文) Times New Roman"/>
    <w:basedOn w:val="5"/>
    <w:qFormat/>
    <w:uiPriority w:val="0"/>
    <w:pPr>
      <w:tabs>
        <w:tab w:val="clear" w:pos="0"/>
        <w:tab w:val="clear" w:pos="567"/>
      </w:tabs>
      <w:spacing w:beforeLines="100" w:after="260" w:line="360" w:lineRule="auto"/>
    </w:pPr>
    <w:rPr>
      <w:rFonts w:eastAsia="黑体"/>
      <w:bCs/>
      <w:spacing w:val="0"/>
      <w:kern w:val="2"/>
      <w:lang w:val="zh-CN"/>
    </w:rPr>
  </w:style>
  <w:style w:type="paragraph" w:customStyle="1" w:styleId="1064">
    <w:name w:val="普通(网站)3"/>
    <w:basedOn w:val="1"/>
    <w:qFormat/>
    <w:uiPriority w:val="0"/>
    <w:pPr>
      <w:widowControl/>
      <w:spacing w:before="100" w:beforeAutospacing="1" w:after="100" w:afterAutospacing="1"/>
      <w:jc w:val="left"/>
    </w:pPr>
    <w:rPr>
      <w:rFonts w:ascii="宋体" w:hAnsi="宋体" w:cs="宋体"/>
      <w:color w:val="000000"/>
      <w:kern w:val="0"/>
      <w:sz w:val="24"/>
    </w:rPr>
  </w:style>
  <w:style w:type="paragraph" w:customStyle="1" w:styleId="1065">
    <w:name w:val="Char Char1 Char Char Char Char Char Char"/>
    <w:basedOn w:val="1"/>
    <w:qFormat/>
    <w:uiPriority w:val="0"/>
    <w:pPr>
      <w:widowControl/>
      <w:spacing w:after="160" w:line="240" w:lineRule="exact"/>
      <w:jc w:val="left"/>
    </w:pPr>
    <w:rPr>
      <w:rFonts w:ascii="宋体" w:hAnsi="宋体"/>
      <w:kern w:val="0"/>
      <w:szCs w:val="21"/>
      <w:lang w:eastAsia="en-US"/>
    </w:rPr>
  </w:style>
  <w:style w:type="paragraph" w:customStyle="1" w:styleId="1066">
    <w:name w:val="zheng"/>
    <w:basedOn w:val="1"/>
    <w:link w:val="1071"/>
    <w:qFormat/>
    <w:uiPriority w:val="0"/>
    <w:pPr>
      <w:spacing w:line="440" w:lineRule="exact"/>
      <w:ind w:firstLine="480" w:firstLineChars="200"/>
    </w:pPr>
    <w:rPr>
      <w:kern w:val="0"/>
      <w:sz w:val="24"/>
      <w:lang w:val="zh-CN"/>
    </w:rPr>
  </w:style>
  <w:style w:type="character" w:customStyle="1" w:styleId="1067">
    <w:name w:val="正文文本 Char1"/>
    <w:qFormat/>
    <w:uiPriority w:val="99"/>
    <w:rPr>
      <w:spacing w:val="6"/>
      <w:kern w:val="2"/>
      <w:sz w:val="24"/>
    </w:rPr>
  </w:style>
  <w:style w:type="character" w:customStyle="1" w:styleId="1068">
    <w:name w:val="报告表格 Char Char"/>
    <w:qFormat/>
    <w:uiPriority w:val="0"/>
    <w:rPr>
      <w:rFonts w:ascii="Times New Roman" w:hAnsi="Times New Roman" w:eastAsia="宋体" w:cs="Times New Roman"/>
      <w:kern w:val="0"/>
      <w:sz w:val="18"/>
      <w:szCs w:val="18"/>
    </w:rPr>
  </w:style>
  <w:style w:type="character" w:customStyle="1" w:styleId="1069">
    <w:name w:val="页码1"/>
    <w:basedOn w:val="133"/>
    <w:qFormat/>
    <w:uiPriority w:val="0"/>
  </w:style>
  <w:style w:type="character" w:customStyle="1" w:styleId="1070">
    <w:name w:val="正文缩进 Char3"/>
    <w:qFormat/>
    <w:uiPriority w:val="0"/>
    <w:rPr>
      <w:rFonts w:eastAsia="宋体"/>
      <w:kern w:val="2"/>
      <w:sz w:val="21"/>
      <w:szCs w:val="24"/>
      <w:lang w:val="en-US" w:eastAsia="zh-CN"/>
    </w:rPr>
  </w:style>
  <w:style w:type="character" w:customStyle="1" w:styleId="1071">
    <w:name w:val="zheng Char Char"/>
    <w:link w:val="1066"/>
    <w:qFormat/>
    <w:uiPriority w:val="0"/>
    <w:rPr>
      <w:sz w:val="24"/>
      <w:szCs w:val="24"/>
      <w:lang w:val="zh-CN" w:eastAsia="zh-CN"/>
    </w:rPr>
  </w:style>
  <w:style w:type="character" w:customStyle="1" w:styleId="1072">
    <w:name w:val="ca-2"/>
    <w:basedOn w:val="133"/>
    <w:qFormat/>
    <w:uiPriority w:val="0"/>
  </w:style>
  <w:style w:type="character" w:customStyle="1" w:styleId="1073">
    <w:name w:val="批注主题 Char1"/>
    <w:qFormat/>
    <w:uiPriority w:val="99"/>
    <w:rPr>
      <w:rFonts w:ascii="Times New Roman" w:hAnsi="Times New Roman" w:eastAsia="宋体" w:cs="Times New Roman"/>
      <w:b/>
      <w:bCs/>
      <w:szCs w:val="24"/>
    </w:rPr>
  </w:style>
  <w:style w:type="character" w:customStyle="1" w:styleId="1074">
    <w:name w:val="批注文字 Char1"/>
    <w:qFormat/>
    <w:uiPriority w:val="99"/>
    <w:rPr>
      <w:rFonts w:ascii="Times New Roman" w:hAnsi="Times New Roman" w:eastAsia="宋体" w:cs="Times New Roman"/>
      <w:szCs w:val="24"/>
    </w:rPr>
  </w:style>
  <w:style w:type="character" w:customStyle="1" w:styleId="1075">
    <w:name w:val="样式 标题 2 + (符号) Times New Roman Char Char"/>
    <w:link w:val="1060"/>
    <w:qFormat/>
    <w:uiPriority w:val="0"/>
    <w:rPr>
      <w:rFonts w:ascii="宋体" w:hAnsi="宋体" w:eastAsia="仿宋_GB2312"/>
      <w:b/>
      <w:bCs/>
      <w:kern w:val="2"/>
      <w:sz w:val="28"/>
      <w:szCs w:val="28"/>
      <w:lang w:val="zh-CN" w:eastAsia="zh-CN"/>
    </w:rPr>
  </w:style>
  <w:style w:type="character" w:customStyle="1" w:styleId="1076">
    <w:name w:val="word1"/>
    <w:qFormat/>
    <w:uiPriority w:val="0"/>
    <w:rPr>
      <w:rFonts w:hint="default" w:ascii="ˎ̥" w:hAnsi="ˎ̥"/>
      <w:sz w:val="23"/>
      <w:szCs w:val="23"/>
      <w:u w:val="none"/>
    </w:rPr>
  </w:style>
  <w:style w:type="character" w:customStyle="1" w:styleId="1077">
    <w:name w:val="文档结构图 Char1"/>
    <w:qFormat/>
    <w:uiPriority w:val="99"/>
    <w:rPr>
      <w:rFonts w:ascii="宋体"/>
      <w:kern w:val="2"/>
      <w:sz w:val="18"/>
      <w:szCs w:val="18"/>
    </w:rPr>
  </w:style>
  <w:style w:type="paragraph" w:customStyle="1" w:styleId="1078">
    <w:name w:val="列出段落3"/>
    <w:basedOn w:val="1"/>
    <w:qFormat/>
    <w:uiPriority w:val="0"/>
    <w:pPr>
      <w:ind w:firstLine="420" w:firstLineChars="200"/>
    </w:pPr>
    <w:rPr>
      <w:rFonts w:ascii="Calibri" w:hAnsi="Calibri"/>
      <w:szCs w:val="22"/>
    </w:rPr>
  </w:style>
  <w:style w:type="paragraph" w:customStyle="1" w:styleId="1079">
    <w:name w:val="Char32"/>
    <w:basedOn w:val="1"/>
    <w:qFormat/>
    <w:uiPriority w:val="0"/>
    <w:pPr>
      <w:widowControl/>
      <w:spacing w:line="360" w:lineRule="auto"/>
    </w:pPr>
    <w:rPr>
      <w:rFonts w:cs="宋体"/>
      <w:color w:val="000000"/>
      <w:kern w:val="0"/>
      <w:szCs w:val="20"/>
    </w:rPr>
  </w:style>
  <w:style w:type="paragraph" w:customStyle="1" w:styleId="1080">
    <w:name w:val="Char Char1 Char Char Char1 Char1"/>
    <w:basedOn w:val="1"/>
    <w:qFormat/>
    <w:uiPriority w:val="0"/>
    <w:pPr>
      <w:adjustRightInd w:val="0"/>
      <w:spacing w:line="360" w:lineRule="auto"/>
    </w:pPr>
    <w:rPr>
      <w:kern w:val="0"/>
      <w:sz w:val="24"/>
      <w:szCs w:val="20"/>
    </w:rPr>
  </w:style>
  <w:style w:type="table" w:customStyle="1" w:styleId="1081">
    <w:name w:val="黄桥表4"/>
    <w:basedOn w:val="8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82">
    <w:name w:val="article1"/>
    <w:qFormat/>
    <w:uiPriority w:val="0"/>
    <w:rPr>
      <w:b/>
      <w:bCs/>
      <w:smallCaps/>
      <w:color w:val="FF0000"/>
      <w:sz w:val="43"/>
      <w:szCs w:val="43"/>
    </w:rPr>
  </w:style>
  <w:style w:type="character" w:customStyle="1" w:styleId="1083">
    <w:name w:val="zhenwen141"/>
    <w:qFormat/>
    <w:uiPriority w:val="0"/>
    <w:rPr>
      <w:rFonts w:hint="default" w:ascii="ˎ̥" w:hAnsi="ˎ̥"/>
      <w:sz w:val="21"/>
      <w:szCs w:val="21"/>
    </w:rPr>
  </w:style>
  <w:style w:type="character" w:customStyle="1" w:styleId="1084">
    <w:name w:val="keyword"/>
    <w:basedOn w:val="133"/>
    <w:qFormat/>
    <w:uiPriority w:val="0"/>
  </w:style>
  <w:style w:type="character" w:customStyle="1" w:styleId="1085">
    <w:name w:val="style71"/>
    <w:qFormat/>
    <w:uiPriority w:val="0"/>
    <w:rPr>
      <w:color w:val="000000"/>
    </w:rPr>
  </w:style>
  <w:style w:type="character" w:customStyle="1" w:styleId="1086">
    <w:name w:val="large1"/>
    <w:qFormat/>
    <w:uiPriority w:val="0"/>
    <w:rPr>
      <w:sz w:val="22"/>
      <w:szCs w:val="22"/>
    </w:rPr>
  </w:style>
  <w:style w:type="paragraph" w:customStyle="1" w:styleId="1087">
    <w:name w:val="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088">
    <w:name w:val="样式 列表"/>
    <w:basedOn w:val="67"/>
    <w:qFormat/>
    <w:uiPriority w:val="0"/>
    <w:pPr>
      <w:spacing w:line="280" w:lineRule="exact"/>
    </w:pPr>
    <w:rPr>
      <w:rFonts w:ascii="Times New Roman" w:eastAsia="方正仿宋_GBK" w:cs="宋体"/>
      <w:sz w:val="21"/>
    </w:rPr>
  </w:style>
  <w:style w:type="paragraph" w:customStyle="1" w:styleId="1089">
    <w:name w:val="样式 样式 样式 样式 标题 2 + 段前: 0.25 行 段后: 0.25 行 + 段前: 0.25 行 段后: 0.25 行..."/>
    <w:basedOn w:val="1"/>
    <w:qFormat/>
    <w:uiPriority w:val="0"/>
    <w:pPr>
      <w:keepNext/>
      <w:keepLines/>
      <w:tabs>
        <w:tab w:val="left" w:pos="1080"/>
      </w:tabs>
      <w:adjustRightInd w:val="0"/>
      <w:snapToGrid w:val="0"/>
      <w:spacing w:beforeLines="25" w:afterLines="25" w:line="360" w:lineRule="auto"/>
      <w:jc w:val="left"/>
      <w:outlineLvl w:val="1"/>
    </w:pPr>
    <w:rPr>
      <w:b/>
      <w:bCs/>
      <w:sz w:val="24"/>
      <w:szCs w:val="20"/>
    </w:rPr>
  </w:style>
  <w:style w:type="paragraph" w:customStyle="1" w:styleId="1090">
    <w:name w:val="样式 样式 标题 1 + 段前: 1.5 行 段后: 1.5 行 行距: 多倍行距 1.25 字行 + 段前: 0.5 行 段..."/>
    <w:basedOn w:val="1"/>
    <w:qFormat/>
    <w:uiPriority w:val="0"/>
    <w:pPr>
      <w:keepNext/>
      <w:keepLines/>
      <w:tabs>
        <w:tab w:val="left" w:pos="720"/>
      </w:tabs>
      <w:snapToGrid w:val="0"/>
      <w:spacing w:beforeLines="50" w:afterLines="50" w:line="360" w:lineRule="auto"/>
      <w:ind w:left="431" w:hanging="431"/>
      <w:jc w:val="left"/>
      <w:outlineLvl w:val="0"/>
    </w:pPr>
    <w:rPr>
      <w:b/>
      <w:bCs/>
      <w:kern w:val="44"/>
      <w:sz w:val="28"/>
      <w:szCs w:val="20"/>
    </w:rPr>
  </w:style>
  <w:style w:type="paragraph" w:customStyle="1" w:styleId="1091">
    <w:name w:val="默认段落字体 Para Char Char Char Char Char Char Char"/>
    <w:basedOn w:val="1"/>
    <w:qFormat/>
    <w:uiPriority w:val="0"/>
    <w:rPr>
      <w:szCs w:val="20"/>
    </w:rPr>
  </w:style>
  <w:style w:type="character" w:customStyle="1" w:styleId="1092">
    <w:name w:val="textcontents"/>
    <w:basedOn w:val="133"/>
    <w:qFormat/>
    <w:uiPriority w:val="0"/>
  </w:style>
  <w:style w:type="paragraph" w:customStyle="1" w:styleId="1093">
    <w:name w:val="f12"/>
    <w:basedOn w:val="1"/>
    <w:qFormat/>
    <w:uiPriority w:val="0"/>
    <w:pPr>
      <w:widowControl/>
      <w:spacing w:before="100" w:beforeAutospacing="1" w:after="100" w:afterAutospacing="1" w:line="360" w:lineRule="auto"/>
      <w:jc w:val="left"/>
    </w:pPr>
    <w:rPr>
      <w:rFonts w:ascii="宋体" w:hAnsi="宋体" w:cs="宋体"/>
      <w:kern w:val="0"/>
      <w:sz w:val="24"/>
    </w:rPr>
  </w:style>
  <w:style w:type="paragraph" w:customStyle="1" w:styleId="1094">
    <w:name w:val="zxz5"/>
    <w:next w:val="1"/>
    <w:qFormat/>
    <w:uiPriority w:val="0"/>
    <w:pPr>
      <w:tabs>
        <w:tab w:val="left" w:pos="0"/>
      </w:tabs>
      <w:jc w:val="center"/>
    </w:pPr>
    <w:rPr>
      <w:rFonts w:ascii="宋体" w:hAnsi="宋体" w:eastAsia="Times New Roman" w:cs="宋体"/>
      <w:bCs/>
      <w:kern w:val="2"/>
      <w:sz w:val="18"/>
      <w:szCs w:val="18"/>
      <w:lang w:val="en-US" w:eastAsia="zh-CN" w:bidi="ar-SA"/>
    </w:rPr>
  </w:style>
  <w:style w:type="paragraph" w:customStyle="1" w:styleId="1095">
    <w:name w:val="样式 样式 首行缩进:  2 字符 + 首行缩进:  2 字符2"/>
    <w:basedOn w:val="1"/>
    <w:link w:val="1096"/>
    <w:qFormat/>
    <w:uiPriority w:val="0"/>
    <w:pPr>
      <w:spacing w:line="440" w:lineRule="exact"/>
      <w:ind w:firstLine="584" w:firstLineChars="200"/>
    </w:pPr>
    <w:rPr>
      <w:rFonts w:eastAsia="楷体_GB2312"/>
      <w:spacing w:val="6"/>
      <w:kern w:val="0"/>
      <w:sz w:val="28"/>
      <w:szCs w:val="20"/>
      <w:lang w:val="zh-CN"/>
    </w:rPr>
  </w:style>
  <w:style w:type="character" w:customStyle="1" w:styleId="1096">
    <w:name w:val="样式 样式 首行缩进:  2 字符 + 首行缩进:  2 字符2 Char"/>
    <w:link w:val="1095"/>
    <w:qFormat/>
    <w:uiPriority w:val="0"/>
    <w:rPr>
      <w:rFonts w:eastAsia="楷体_GB2312"/>
      <w:spacing w:val="6"/>
      <w:sz w:val="28"/>
      <w:lang w:val="zh-CN" w:eastAsia="zh-CN"/>
    </w:rPr>
  </w:style>
  <w:style w:type="paragraph" w:customStyle="1" w:styleId="1097">
    <w:name w:val="pic-info"/>
    <w:basedOn w:val="1"/>
    <w:qFormat/>
    <w:uiPriority w:val="0"/>
    <w:pPr>
      <w:widowControl/>
      <w:spacing w:before="100" w:beforeAutospacing="1" w:after="100" w:afterAutospacing="1"/>
      <w:jc w:val="left"/>
    </w:pPr>
    <w:rPr>
      <w:rFonts w:ascii="宋体" w:hAnsi="宋体" w:cs="宋体"/>
      <w:kern w:val="0"/>
      <w:sz w:val="24"/>
    </w:rPr>
  </w:style>
  <w:style w:type="paragraph" w:customStyle="1" w:styleId="1098">
    <w:name w:val="样式 标题 2 + Times New Roman"/>
    <w:basedOn w:val="5"/>
    <w:link w:val="1099"/>
    <w:qFormat/>
    <w:uiPriority w:val="0"/>
    <w:pPr>
      <w:tabs>
        <w:tab w:val="clear" w:pos="0"/>
        <w:tab w:val="clear" w:pos="567"/>
      </w:tabs>
      <w:spacing w:before="50" w:afterLines="0" w:line="360" w:lineRule="auto"/>
    </w:pPr>
    <w:rPr>
      <w:rFonts w:eastAsia="Times New Roman"/>
      <w:bCs/>
      <w:spacing w:val="0"/>
      <w:kern w:val="2"/>
      <w:sz w:val="30"/>
      <w:szCs w:val="32"/>
      <w:lang w:val="zh-CN"/>
    </w:rPr>
  </w:style>
  <w:style w:type="character" w:customStyle="1" w:styleId="1099">
    <w:name w:val="样式 标题 2 + Times New Roman Char"/>
    <w:link w:val="1098"/>
    <w:qFormat/>
    <w:uiPriority w:val="0"/>
    <w:rPr>
      <w:rFonts w:eastAsia="Times New Roman"/>
      <w:b/>
      <w:bCs/>
      <w:kern w:val="2"/>
      <w:sz w:val="30"/>
      <w:szCs w:val="32"/>
      <w:lang w:val="zh-CN" w:eastAsia="zh-CN"/>
    </w:rPr>
  </w:style>
  <w:style w:type="table" w:customStyle="1" w:styleId="1100">
    <w:name w:val="网格型881"/>
    <w:basedOn w:val="88"/>
    <w:qFormat/>
    <w:uiPriority w:val="0"/>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1101">
    <w:name w:val="Char2 Char Char Char Char Char Char1"/>
    <w:basedOn w:val="1"/>
    <w:qFormat/>
    <w:uiPriority w:val="0"/>
    <w:rPr>
      <w:sz w:val="24"/>
    </w:rPr>
  </w:style>
  <w:style w:type="character" w:customStyle="1" w:styleId="1102">
    <w:name w:val="尾注文本 字符"/>
    <w:basedOn w:val="133"/>
    <w:link w:val="53"/>
    <w:qFormat/>
    <w:uiPriority w:val="99"/>
    <w:rPr>
      <w:rFonts w:ascii="仿宋_GB2312" w:hAnsi="仿宋_GB2312" w:eastAsia="仿宋_GB2312"/>
      <w:kern w:val="2"/>
      <w:sz w:val="28"/>
      <w:szCs w:val="21"/>
      <w:lang w:val="zh-CN" w:eastAsia="zh-CN"/>
    </w:rPr>
  </w:style>
  <w:style w:type="paragraph" w:styleId="1103">
    <w:name w:val="No Spacing"/>
    <w:qFormat/>
    <w:uiPriority w:val="1"/>
    <w:pPr>
      <w:widowControl w:val="0"/>
      <w:ind w:firstLine="200" w:firstLineChars="200"/>
    </w:pPr>
    <w:rPr>
      <w:rFonts w:ascii="仿宋_GB2312" w:hAnsi="仿宋_GB2312" w:eastAsia="仿宋_GB2312" w:cs="Times New Roman"/>
      <w:kern w:val="2"/>
      <w:sz w:val="28"/>
      <w:szCs w:val="21"/>
      <w:lang w:val="en-US" w:eastAsia="zh-CN" w:bidi="ar-SA"/>
    </w:rPr>
  </w:style>
  <w:style w:type="character" w:customStyle="1" w:styleId="1104">
    <w:name w:val="批注框文本 Char Char"/>
    <w:link w:val="1105"/>
    <w:qFormat/>
    <w:uiPriority w:val="0"/>
    <w:rPr>
      <w:sz w:val="18"/>
    </w:rPr>
  </w:style>
  <w:style w:type="paragraph" w:customStyle="1" w:styleId="1105">
    <w:name w:val="批注框文本1"/>
    <w:basedOn w:val="1"/>
    <w:link w:val="1104"/>
    <w:qFormat/>
    <w:uiPriority w:val="0"/>
    <w:rPr>
      <w:kern w:val="0"/>
      <w:sz w:val="18"/>
      <w:szCs w:val="20"/>
    </w:rPr>
  </w:style>
  <w:style w:type="paragraph" w:customStyle="1" w:styleId="1106">
    <w:name w:val="样式 标题 1章标题 1H1Section HeadHeader1h11st levell1Heading 0..."/>
    <w:basedOn w:val="4"/>
    <w:qFormat/>
    <w:uiPriority w:val="0"/>
    <w:pPr>
      <w:keepLines w:val="0"/>
      <w:tabs>
        <w:tab w:val="left" w:pos="425"/>
      </w:tabs>
      <w:spacing w:before="0" w:after="0" w:line="500" w:lineRule="exact"/>
      <w:ind w:left="425" w:hanging="425"/>
      <w:jc w:val="left"/>
    </w:pPr>
    <w:rPr>
      <w:rFonts w:cs="宋体"/>
      <w:b w:val="0"/>
      <w:bCs w:val="0"/>
      <w:color w:val="000000"/>
      <w:kern w:val="2"/>
      <w:sz w:val="28"/>
      <w:szCs w:val="20"/>
      <w:lang w:val="zh-CN"/>
    </w:rPr>
  </w:style>
  <w:style w:type="paragraph" w:customStyle="1" w:styleId="1107">
    <w:name w:val="正文文本缩进5"/>
    <w:basedOn w:val="1"/>
    <w:qFormat/>
    <w:uiPriority w:val="0"/>
    <w:pPr>
      <w:adjustRightInd w:val="0"/>
      <w:spacing w:after="120" w:line="360" w:lineRule="auto"/>
      <w:ind w:left="420" w:leftChars="200" w:firstLine="200" w:firstLineChars="200"/>
      <w:textAlignment w:val="baseline"/>
    </w:pPr>
    <w:rPr>
      <w:sz w:val="24"/>
    </w:rPr>
  </w:style>
  <w:style w:type="paragraph" w:customStyle="1" w:styleId="1108">
    <w:name w:val="样式 居中 首行缩进:  2 字符 行距: 固定值 18 磅"/>
    <w:basedOn w:val="1"/>
    <w:qFormat/>
    <w:uiPriority w:val="0"/>
    <w:pPr>
      <w:spacing w:line="240" w:lineRule="atLeast"/>
      <w:jc w:val="center"/>
    </w:pPr>
    <w:rPr>
      <w:rFonts w:ascii="仿宋_GB2312" w:hAnsi="仿宋_GB2312" w:eastAsia="仿宋_GB2312" w:cs="宋体"/>
      <w:color w:val="000000"/>
      <w:kern w:val="0"/>
      <w:szCs w:val="20"/>
    </w:rPr>
  </w:style>
  <w:style w:type="table" w:customStyle="1" w:styleId="1109">
    <w:name w:val="灰度表格1224"/>
    <w:basedOn w:val="88"/>
    <w:qFormat/>
    <w:uiPriority w:val="0"/>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110">
    <w:name w:val="灰度表格1225"/>
    <w:basedOn w:val="88"/>
    <w:qFormat/>
    <w:uiPriority w:val="0"/>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111">
    <w:name w:val="灰度表格1226"/>
    <w:basedOn w:val="88"/>
    <w:qFormat/>
    <w:uiPriority w:val="0"/>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112">
    <w:name w:val="maoli111"/>
    <w:basedOn w:val="88"/>
    <w:qFormat/>
    <w:uiPriority w:val="0"/>
    <w:rPr>
      <w:rFonts w:eastAsia="仿宋_GB2312"/>
    </w:rPr>
    <w:tblP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
    <w:tcPr>
      <w:vAlign w:val="center"/>
    </w:tcPr>
  </w:style>
  <w:style w:type="table" w:customStyle="1" w:styleId="1113">
    <w:name w:val="maoli13"/>
    <w:basedOn w:val="88"/>
    <w:qFormat/>
    <w:uiPriority w:val="0"/>
    <w:rPr>
      <w:rFonts w:eastAsia="仿宋_GB2312"/>
      <w:sz w:val="21"/>
    </w:rPr>
    <w:tblP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
    <w:tcPr>
      <w:vAlign w:val="center"/>
    </w:tcPr>
  </w:style>
  <w:style w:type="table" w:customStyle="1" w:styleId="1114">
    <w:name w:val="表格主题1"/>
    <w:basedOn w:val="88"/>
    <w:qFormat/>
    <w:uiPriority w:val="0"/>
    <w:pPr>
      <w:widowControl w:val="0"/>
      <w:jc w:val="both"/>
    </w:pPr>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1115">
    <w:name w:val="表格内容-中间对齐"/>
    <w:basedOn w:val="1"/>
    <w:qFormat/>
    <w:uiPriority w:val="0"/>
    <w:pPr>
      <w:spacing w:line="240" w:lineRule="atLeast"/>
      <w:jc w:val="center"/>
    </w:pPr>
    <w:rPr>
      <w:bCs/>
      <w:kern w:val="0"/>
      <w:szCs w:val="20"/>
      <w:lang w:val="en-GB" w:bidi="he-IL"/>
    </w:rPr>
  </w:style>
  <w:style w:type="paragraph" w:customStyle="1" w:styleId="1116">
    <w:name w:val="xl115"/>
    <w:basedOn w:val="1"/>
    <w:qFormat/>
    <w:uiPriority w:val="0"/>
    <w:pPr>
      <w:widowControl/>
      <w:spacing w:before="100" w:beforeAutospacing="1" w:after="100" w:afterAutospacing="1"/>
      <w:jc w:val="center"/>
    </w:pPr>
    <w:rPr>
      <w:rFonts w:ascii="宋体" w:hAnsi="宋体" w:cs="宋体"/>
      <w:kern w:val="0"/>
      <w:szCs w:val="21"/>
    </w:rPr>
  </w:style>
  <w:style w:type="paragraph" w:customStyle="1" w:styleId="1117">
    <w:name w:val="表格文字样式"/>
    <w:basedOn w:val="1"/>
    <w:qFormat/>
    <w:uiPriority w:val="0"/>
    <w:pPr>
      <w:widowControl/>
      <w:tabs>
        <w:tab w:val="left" w:pos="567"/>
      </w:tabs>
      <w:jc w:val="center"/>
    </w:pPr>
    <w:rPr>
      <w:rFonts w:eastAsia="华文中宋"/>
      <w:kern w:val="0"/>
      <w:sz w:val="24"/>
    </w:rPr>
  </w:style>
  <w:style w:type="character" w:customStyle="1" w:styleId="1118">
    <w:name w:val="标题2 Char"/>
    <w:link w:val="1119"/>
    <w:qFormat/>
    <w:uiPriority w:val="0"/>
    <w:rPr>
      <w:rFonts w:ascii="Times New Roman" w:hAnsi="Times New Roman" w:eastAsia="方正楷体_GBK"/>
      <w:snapToGrid w:val="0"/>
      <w:sz w:val="32"/>
    </w:rPr>
  </w:style>
  <w:style w:type="paragraph" w:customStyle="1" w:styleId="1119">
    <w:name w:val="标题2"/>
    <w:basedOn w:val="1"/>
    <w:next w:val="1"/>
    <w:link w:val="1118"/>
    <w:qFormat/>
    <w:uiPriority w:val="0"/>
    <w:pPr>
      <w:widowControl/>
      <w:autoSpaceDE w:val="0"/>
      <w:autoSpaceDN w:val="0"/>
      <w:snapToGrid w:val="0"/>
      <w:spacing w:line="590" w:lineRule="atLeast"/>
      <w:jc w:val="center"/>
    </w:pPr>
    <w:rPr>
      <w:rFonts w:eastAsia="方正楷体_GBK"/>
      <w:snapToGrid w:val="0"/>
      <w:kern w:val="0"/>
      <w:sz w:val="32"/>
      <w:szCs w:val="20"/>
    </w:rPr>
  </w:style>
  <w:style w:type="character" w:customStyle="1" w:styleId="1120">
    <w:name w:val="普通(网站) 字符"/>
    <w:link w:val="81"/>
    <w:qFormat/>
    <w:uiPriority w:val="0"/>
    <w:rPr>
      <w:kern w:val="2"/>
      <w:sz w:val="24"/>
      <w:szCs w:val="24"/>
    </w:rPr>
  </w:style>
  <w:style w:type="paragraph" w:customStyle="1" w:styleId="1121">
    <w:name w:val="表格式"/>
    <w:basedOn w:val="67"/>
    <w:qFormat/>
    <w:uiPriority w:val="0"/>
    <w:pPr>
      <w:spacing w:line="400" w:lineRule="exact"/>
    </w:pPr>
    <w:rPr>
      <w:rFonts w:ascii="宋体" w:eastAsia="宋体"/>
      <w:sz w:val="21"/>
    </w:rPr>
  </w:style>
  <w:style w:type="paragraph" w:customStyle="1" w:styleId="1122">
    <w:name w:val="Char2 Char Char Char Char Char Char2"/>
    <w:basedOn w:val="1"/>
    <w:qFormat/>
    <w:uiPriority w:val="0"/>
    <w:rPr>
      <w:sz w:val="24"/>
    </w:rPr>
  </w:style>
  <w:style w:type="paragraph" w:customStyle="1" w:styleId="1123">
    <w:name w:val="Char Char1 Char Char Char1 Char2"/>
    <w:basedOn w:val="1"/>
    <w:qFormat/>
    <w:uiPriority w:val="0"/>
    <w:pPr>
      <w:adjustRightInd w:val="0"/>
      <w:spacing w:line="360" w:lineRule="auto"/>
    </w:pPr>
    <w:rPr>
      <w:kern w:val="0"/>
      <w:sz w:val="24"/>
      <w:szCs w:val="20"/>
    </w:rPr>
  </w:style>
  <w:style w:type="paragraph" w:customStyle="1" w:styleId="1124">
    <w:name w:val="Char31"/>
    <w:basedOn w:val="1"/>
    <w:qFormat/>
    <w:uiPriority w:val="0"/>
    <w:pPr>
      <w:widowControl/>
      <w:spacing w:line="360" w:lineRule="auto"/>
    </w:pPr>
    <w:rPr>
      <w:rFonts w:cs="宋体"/>
      <w:color w:val="000000"/>
      <w:kern w:val="0"/>
      <w:szCs w:val="20"/>
    </w:rPr>
  </w:style>
  <w:style w:type="paragraph" w:customStyle="1" w:styleId="1125">
    <w:name w:val="Char33"/>
    <w:basedOn w:val="1"/>
    <w:qFormat/>
    <w:uiPriority w:val="0"/>
    <w:pPr>
      <w:widowControl/>
      <w:spacing w:line="360" w:lineRule="auto"/>
    </w:pPr>
    <w:rPr>
      <w:rFonts w:cs="宋体"/>
      <w:color w:val="000000"/>
      <w:kern w:val="0"/>
      <w:szCs w:val="20"/>
    </w:rPr>
  </w:style>
  <w:style w:type="paragraph" w:customStyle="1" w:styleId="1126">
    <w:name w:val="Char2 Char Char Char Char Char Char3"/>
    <w:basedOn w:val="1"/>
    <w:qFormat/>
    <w:uiPriority w:val="0"/>
    <w:rPr>
      <w:sz w:val="24"/>
    </w:rPr>
  </w:style>
  <w:style w:type="paragraph" w:customStyle="1" w:styleId="1127">
    <w:name w:val="Char Char1 Char Char Char1 Char3"/>
    <w:basedOn w:val="1"/>
    <w:qFormat/>
    <w:uiPriority w:val="0"/>
    <w:pPr>
      <w:adjustRightInd w:val="0"/>
      <w:spacing w:line="360" w:lineRule="auto"/>
    </w:pPr>
    <w:rPr>
      <w:kern w:val="0"/>
      <w:sz w:val="24"/>
      <w:szCs w:val="20"/>
    </w:rPr>
  </w:style>
  <w:style w:type="character" w:customStyle="1" w:styleId="1128">
    <w:name w:val="正文文字缩进 2 Char1"/>
    <w:qFormat/>
    <w:uiPriority w:val="0"/>
    <w:rPr>
      <w:rFonts w:eastAsia="宋体"/>
      <w:kern w:val="2"/>
      <w:sz w:val="24"/>
      <w:lang w:val="en-US" w:eastAsia="zh-CN" w:bidi="ar-SA"/>
    </w:rPr>
  </w:style>
  <w:style w:type="character" w:customStyle="1" w:styleId="1129">
    <w:name w:val="样式 标题 2 + (符号) Times New Roman Char"/>
    <w:qFormat/>
    <w:uiPriority w:val="0"/>
    <w:rPr>
      <w:rFonts w:ascii="Arial" w:hAnsi="Arial" w:eastAsia="仿宋_GB2312"/>
      <w:b/>
      <w:bCs/>
      <w:kern w:val="2"/>
      <w:sz w:val="32"/>
      <w:szCs w:val="32"/>
    </w:rPr>
  </w:style>
  <w:style w:type="character" w:customStyle="1" w:styleId="1130">
    <w:name w:val="特点标题 Char Char1"/>
    <w:qFormat/>
    <w:uiPriority w:val="0"/>
    <w:rPr>
      <w:rFonts w:eastAsia="宋体"/>
      <w:kern w:val="2"/>
      <w:sz w:val="24"/>
      <w:lang w:val="en-US" w:eastAsia="zh-CN" w:bidi="ar-SA"/>
    </w:rPr>
  </w:style>
  <w:style w:type="character" w:customStyle="1" w:styleId="1131">
    <w:name w:val="特点标题 Char Char"/>
    <w:qFormat/>
    <w:uiPriority w:val="0"/>
    <w:rPr>
      <w:rFonts w:eastAsia="宋体"/>
      <w:kern w:val="2"/>
      <w:sz w:val="24"/>
      <w:lang w:val="en-US" w:eastAsia="zh-CN" w:bidi="ar-SA"/>
    </w:rPr>
  </w:style>
  <w:style w:type="table" w:customStyle="1" w:styleId="1132">
    <w:name w:val="图表样式-HX1"/>
    <w:basedOn w:val="88"/>
    <w:qFormat/>
    <w:uiPriority w:val="99"/>
    <w:rPr>
      <w:rFonts w:ascii="仿宋_GB2312" w:hAnsi="Calibri" w:eastAsia="仿宋_GB2312"/>
    </w:rPr>
    <w:tblPr>
      <w:jc w:val="center"/>
      <w:tblBorders>
        <w:top w:val="single" w:color="auto" w:sz="12" w:space="0"/>
        <w:bottom w:val="single" w:color="auto" w:sz="12" w:space="0"/>
        <w:insideH w:val="single" w:color="auto" w:sz="2" w:space="0"/>
        <w:insideV w:val="single" w:color="auto" w:sz="2" w:space="0"/>
      </w:tblBorders>
    </w:tblPr>
    <w:trPr>
      <w:jc w:val="center"/>
    </w:trPr>
    <w:tcPr>
      <w:vAlign w:val="center"/>
    </w:tcPr>
  </w:style>
  <w:style w:type="table" w:customStyle="1" w:styleId="1133">
    <w:name w:val="maoli2"/>
    <w:basedOn w:val="88"/>
    <w:qFormat/>
    <w:uiPriority w:val="0"/>
    <w:rPr>
      <w:rFonts w:eastAsia="仿宋_GB2312"/>
      <w:sz w:val="21"/>
    </w:rPr>
    <w:tblPr>
      <w:tblBorders>
        <w:top w:val="single" w:color="auto" w:sz="12" w:space="0"/>
        <w:bottom w:val="single" w:color="auto" w:sz="12" w:space="0"/>
        <w:insideH w:val="single" w:color="auto" w:sz="4" w:space="0"/>
        <w:insideV w:val="single" w:color="auto" w:sz="4" w:space="0"/>
      </w:tblBorders>
    </w:tblPr>
    <w:tcPr>
      <w:vAlign w:val="center"/>
    </w:tcPr>
  </w:style>
  <w:style w:type="table" w:customStyle="1" w:styleId="1134">
    <w:name w:val="灰度表格12211"/>
    <w:basedOn w:val="8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35">
    <w:name w:val="Char37"/>
    <w:basedOn w:val="1"/>
    <w:qFormat/>
    <w:uiPriority w:val="0"/>
    <w:pPr>
      <w:spacing w:line="360" w:lineRule="auto"/>
    </w:pPr>
    <w:rPr>
      <w:color w:val="000000"/>
      <w:szCs w:val="20"/>
    </w:rPr>
  </w:style>
  <w:style w:type="paragraph" w:customStyle="1" w:styleId="1136">
    <w:name w:val="Char Char Char Char7"/>
    <w:basedOn w:val="1"/>
    <w:qFormat/>
    <w:uiPriority w:val="0"/>
    <w:rPr>
      <w:szCs w:val="21"/>
    </w:rPr>
  </w:style>
  <w:style w:type="table" w:customStyle="1" w:styleId="1137">
    <w:name w:val="网格型5"/>
    <w:basedOn w:val="8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38">
    <w:name w:val="Char36"/>
    <w:basedOn w:val="1"/>
    <w:qFormat/>
    <w:uiPriority w:val="0"/>
    <w:pPr>
      <w:widowControl/>
      <w:spacing w:line="360" w:lineRule="auto"/>
    </w:pPr>
    <w:rPr>
      <w:rFonts w:cs="宋体"/>
      <w:color w:val="000000"/>
      <w:kern w:val="0"/>
      <w:szCs w:val="20"/>
    </w:rPr>
  </w:style>
  <w:style w:type="paragraph" w:customStyle="1" w:styleId="1139">
    <w:name w:val="Char Char Char Char6"/>
    <w:basedOn w:val="1"/>
    <w:qFormat/>
    <w:uiPriority w:val="0"/>
    <w:pPr>
      <w:widowControl/>
    </w:pPr>
    <w:rPr>
      <w:rFonts w:cs="宋体"/>
      <w:kern w:val="0"/>
    </w:rPr>
  </w:style>
  <w:style w:type="paragraph" w:customStyle="1" w:styleId="1140">
    <w:name w:val="Char2 Char Char Char Char Char Char6"/>
    <w:basedOn w:val="1"/>
    <w:qFormat/>
    <w:uiPriority w:val="0"/>
    <w:rPr>
      <w:sz w:val="24"/>
    </w:rPr>
  </w:style>
  <w:style w:type="paragraph" w:customStyle="1" w:styleId="1141">
    <w:name w:val="Char Char Char6"/>
    <w:basedOn w:val="1"/>
    <w:qFormat/>
    <w:uiPriority w:val="0"/>
    <w:pPr>
      <w:adjustRightInd w:val="0"/>
      <w:spacing w:line="360" w:lineRule="auto"/>
    </w:pPr>
    <w:rPr>
      <w:kern w:val="28"/>
      <w:sz w:val="28"/>
      <w:szCs w:val="20"/>
    </w:rPr>
  </w:style>
  <w:style w:type="paragraph" w:customStyle="1" w:styleId="1142">
    <w:name w:val="Char Char1 Char Char Char1 Char6"/>
    <w:basedOn w:val="1"/>
    <w:qFormat/>
    <w:uiPriority w:val="0"/>
    <w:pPr>
      <w:adjustRightInd w:val="0"/>
      <w:spacing w:line="360" w:lineRule="auto"/>
    </w:pPr>
    <w:rPr>
      <w:kern w:val="0"/>
      <w:sz w:val="24"/>
      <w:szCs w:val="20"/>
    </w:rPr>
  </w:style>
  <w:style w:type="character" w:styleId="1143">
    <w:name w:val="Placeholder Text"/>
    <w:basedOn w:val="133"/>
    <w:qFormat/>
    <w:uiPriority w:val="99"/>
    <w:rPr>
      <w:color w:val="808080"/>
    </w:rPr>
  </w:style>
  <w:style w:type="paragraph" w:customStyle="1" w:styleId="1144">
    <w:name w:val="表格文本"/>
    <w:basedOn w:val="1"/>
    <w:link w:val="1145"/>
    <w:qFormat/>
    <w:uiPriority w:val="0"/>
    <w:pPr>
      <w:adjustRightInd w:val="0"/>
      <w:snapToGrid w:val="0"/>
      <w:jc w:val="center"/>
    </w:pPr>
    <w:rPr>
      <w:sz w:val="24"/>
      <w:szCs w:val="21"/>
    </w:rPr>
  </w:style>
  <w:style w:type="character" w:customStyle="1" w:styleId="1145">
    <w:name w:val="表格文本 Char"/>
    <w:basedOn w:val="133"/>
    <w:link w:val="1144"/>
    <w:qFormat/>
    <w:uiPriority w:val="0"/>
    <w:rPr>
      <w:kern w:val="2"/>
      <w:sz w:val="24"/>
      <w:szCs w:val="21"/>
    </w:rPr>
  </w:style>
  <w:style w:type="table" w:customStyle="1" w:styleId="1146">
    <w:name w:val="D小表"/>
    <w:basedOn w:val="88"/>
    <w:qFormat/>
    <w:uiPriority w:val="0"/>
    <w:pPr>
      <w:jc w:val="center"/>
    </w:pPr>
    <w:rPr>
      <w:sz w:val="21"/>
    </w:rPr>
    <w:tblPr>
      <w:tblBorders>
        <w:top w:val="single" w:color="auto" w:sz="12" w:space="0"/>
        <w:bottom w:val="single" w:color="auto" w:sz="12" w:space="0"/>
        <w:insideH w:val="single" w:color="auto" w:sz="4" w:space="0"/>
        <w:insideV w:val="single" w:color="auto" w:sz="4" w:space="0"/>
      </w:tblBorders>
    </w:tblPr>
    <w:tcPr>
      <w:vAlign w:val="center"/>
    </w:tcPr>
  </w:style>
  <w:style w:type="paragraph" w:customStyle="1" w:styleId="1147">
    <w:name w:val="Char35"/>
    <w:basedOn w:val="1"/>
    <w:qFormat/>
    <w:uiPriority w:val="0"/>
    <w:pPr>
      <w:widowControl/>
      <w:spacing w:line="360" w:lineRule="auto"/>
    </w:pPr>
    <w:rPr>
      <w:rFonts w:cs="宋体"/>
      <w:color w:val="000000"/>
      <w:kern w:val="0"/>
      <w:szCs w:val="20"/>
    </w:rPr>
  </w:style>
  <w:style w:type="paragraph" w:customStyle="1" w:styleId="1148">
    <w:name w:val="Char2 Char Char Char Char Char Char5"/>
    <w:basedOn w:val="1"/>
    <w:qFormat/>
    <w:uiPriority w:val="0"/>
    <w:rPr>
      <w:sz w:val="24"/>
    </w:rPr>
  </w:style>
  <w:style w:type="paragraph" w:customStyle="1" w:styleId="1149">
    <w:name w:val="Char Char Char5"/>
    <w:basedOn w:val="1"/>
    <w:qFormat/>
    <w:uiPriority w:val="0"/>
    <w:pPr>
      <w:adjustRightInd w:val="0"/>
      <w:spacing w:line="360" w:lineRule="auto"/>
    </w:pPr>
    <w:rPr>
      <w:kern w:val="28"/>
      <w:sz w:val="28"/>
      <w:szCs w:val="20"/>
    </w:rPr>
  </w:style>
  <w:style w:type="paragraph" w:customStyle="1" w:styleId="1150">
    <w:name w:val="Char Char1 Char Char Char1 Char5"/>
    <w:basedOn w:val="1"/>
    <w:qFormat/>
    <w:uiPriority w:val="0"/>
    <w:pPr>
      <w:adjustRightInd w:val="0"/>
      <w:spacing w:line="360" w:lineRule="auto"/>
    </w:pPr>
    <w:rPr>
      <w:kern w:val="0"/>
      <w:sz w:val="24"/>
      <w:szCs w:val="20"/>
    </w:rPr>
  </w:style>
  <w:style w:type="character" w:customStyle="1" w:styleId="1151">
    <w:name w:val="标题 5 Char1"/>
    <w:qFormat/>
    <w:uiPriority w:val="9"/>
    <w:rPr>
      <w:rFonts w:ascii="仿宋_GB2312" w:hAnsi="仿宋_GB2312" w:eastAsia="仿宋_GB2312"/>
      <w:b/>
      <w:bCs/>
      <w:kern w:val="2"/>
      <w:sz w:val="28"/>
      <w:szCs w:val="28"/>
      <w:lang w:val="zh-CN" w:eastAsia="zh-CN"/>
    </w:rPr>
  </w:style>
  <w:style w:type="character" w:customStyle="1" w:styleId="1152">
    <w:name w:val="标题 6 Char1"/>
    <w:qFormat/>
    <w:uiPriority w:val="9"/>
    <w:rPr>
      <w:rFonts w:ascii="Cambria" w:hAnsi="Cambria"/>
      <w:b/>
      <w:bCs/>
      <w:kern w:val="2"/>
      <w:sz w:val="24"/>
      <w:szCs w:val="24"/>
      <w:lang w:val="zh-CN" w:eastAsia="zh-CN"/>
    </w:rPr>
  </w:style>
  <w:style w:type="character" w:customStyle="1" w:styleId="1153">
    <w:name w:val="标题 7 Char1"/>
    <w:qFormat/>
    <w:uiPriority w:val="9"/>
    <w:rPr>
      <w:rFonts w:ascii="仿宋_GB2312" w:hAnsi="仿宋_GB2312" w:eastAsia="仿宋_GB2312"/>
      <w:b/>
      <w:bCs/>
      <w:kern w:val="2"/>
      <w:sz w:val="24"/>
      <w:szCs w:val="24"/>
      <w:lang w:val="zh-CN" w:eastAsia="zh-CN"/>
    </w:rPr>
  </w:style>
  <w:style w:type="character" w:customStyle="1" w:styleId="1154">
    <w:name w:val="标题 8 Char1"/>
    <w:qFormat/>
    <w:uiPriority w:val="9"/>
    <w:rPr>
      <w:rFonts w:ascii="Cambria" w:hAnsi="Cambria"/>
      <w:kern w:val="2"/>
      <w:sz w:val="24"/>
      <w:szCs w:val="24"/>
      <w:lang w:val="zh-CN" w:eastAsia="zh-CN"/>
    </w:rPr>
  </w:style>
  <w:style w:type="character" w:customStyle="1" w:styleId="1155">
    <w:name w:val="标题 9 Char1"/>
    <w:qFormat/>
    <w:uiPriority w:val="9"/>
    <w:rPr>
      <w:rFonts w:ascii="Cambria" w:hAnsi="Cambria"/>
      <w:kern w:val="2"/>
      <w:sz w:val="21"/>
      <w:szCs w:val="21"/>
      <w:lang w:val="zh-CN" w:eastAsia="zh-CN"/>
    </w:rPr>
  </w:style>
  <w:style w:type="character" w:customStyle="1" w:styleId="1156">
    <w:name w:val="页眉 Char2"/>
    <w:qFormat/>
    <w:uiPriority w:val="0"/>
    <w:rPr>
      <w:sz w:val="18"/>
      <w:szCs w:val="18"/>
    </w:rPr>
  </w:style>
  <w:style w:type="character" w:customStyle="1" w:styleId="1157">
    <w:name w:val="页脚 Char1"/>
    <w:qFormat/>
    <w:uiPriority w:val="0"/>
    <w:rPr>
      <w:sz w:val="18"/>
      <w:szCs w:val="18"/>
    </w:rPr>
  </w:style>
  <w:style w:type="character" w:customStyle="1" w:styleId="1158">
    <w:name w:val="正文文本缩进 2 Char1"/>
    <w:qFormat/>
    <w:uiPriority w:val="0"/>
    <w:rPr>
      <w:rFonts w:ascii="Times New Roman" w:hAnsi="Times New Roman" w:eastAsia="仿宋_GB2312" w:cs="Times New Roman"/>
      <w:sz w:val="28"/>
      <w:szCs w:val="24"/>
    </w:rPr>
  </w:style>
  <w:style w:type="character" w:customStyle="1" w:styleId="1159">
    <w:name w:val="批注框文本 Char1"/>
    <w:qFormat/>
    <w:uiPriority w:val="99"/>
    <w:rPr>
      <w:rFonts w:ascii="仿宋_GB2312" w:hAnsi="仿宋_GB2312" w:eastAsia="仿宋_GB2312"/>
      <w:sz w:val="18"/>
      <w:szCs w:val="18"/>
    </w:rPr>
  </w:style>
  <w:style w:type="character" w:customStyle="1" w:styleId="1160">
    <w:name w:val="正文文本缩进 3 Char1"/>
    <w:qFormat/>
    <w:uiPriority w:val="99"/>
    <w:rPr>
      <w:rFonts w:ascii="仿宋_GB2312" w:hAnsi="仿宋_GB2312" w:eastAsia="仿宋_GB2312"/>
      <w:kern w:val="2"/>
      <w:sz w:val="16"/>
      <w:szCs w:val="16"/>
    </w:rPr>
  </w:style>
  <w:style w:type="character" w:customStyle="1" w:styleId="1161">
    <w:name w:val="正文文本 2 Char1"/>
    <w:qFormat/>
    <w:uiPriority w:val="99"/>
    <w:rPr>
      <w:rFonts w:ascii="仿宋_GB2312" w:hAnsi="仿宋_GB2312" w:eastAsia="仿宋_GB2312"/>
      <w:kern w:val="2"/>
      <w:sz w:val="28"/>
      <w:szCs w:val="21"/>
    </w:rPr>
  </w:style>
  <w:style w:type="character" w:customStyle="1" w:styleId="1162">
    <w:name w:val="HTML 预设格式 Char1"/>
    <w:qFormat/>
    <w:uiPriority w:val="99"/>
    <w:rPr>
      <w:rFonts w:ascii="Courier New" w:hAnsi="Courier New" w:eastAsia="仿宋_GB2312" w:cs="Courier New"/>
    </w:rPr>
  </w:style>
  <w:style w:type="paragraph" w:customStyle="1" w:styleId="1163">
    <w:name w:val="Char34"/>
    <w:basedOn w:val="1"/>
    <w:qFormat/>
    <w:uiPriority w:val="0"/>
    <w:pPr>
      <w:widowControl/>
      <w:spacing w:line="360" w:lineRule="auto"/>
    </w:pPr>
    <w:rPr>
      <w:rFonts w:cs="宋体"/>
      <w:color w:val="000000"/>
      <w:kern w:val="0"/>
      <w:szCs w:val="20"/>
    </w:rPr>
  </w:style>
  <w:style w:type="paragraph" w:customStyle="1" w:styleId="1164">
    <w:name w:val="Char2 Char Char Char Char Char Char4"/>
    <w:basedOn w:val="1"/>
    <w:qFormat/>
    <w:uiPriority w:val="0"/>
    <w:rPr>
      <w:sz w:val="24"/>
    </w:rPr>
  </w:style>
  <w:style w:type="paragraph" w:customStyle="1" w:styleId="1165">
    <w:name w:val="Char Char1 Char Char Char1 Char4"/>
    <w:basedOn w:val="1"/>
    <w:qFormat/>
    <w:uiPriority w:val="0"/>
    <w:pPr>
      <w:adjustRightInd w:val="0"/>
      <w:spacing w:line="360" w:lineRule="auto"/>
    </w:pPr>
    <w:rPr>
      <w:kern w:val="0"/>
      <w:sz w:val="24"/>
      <w:szCs w:val="20"/>
    </w:rPr>
  </w:style>
  <w:style w:type="table" w:customStyle="1" w:styleId="1166">
    <w:name w:val="网格型51"/>
    <w:basedOn w:val="88"/>
    <w:qFormat/>
    <w:uiPriority w:val="0"/>
    <w:pPr>
      <w:jc w:val="center"/>
    </w:pPr>
    <w:rPr>
      <w:rFonts w:ascii="Calibri" w:hAnsi="Calibri" w:eastAsia="仿宋_GB2312"/>
      <w:sz w:val="21"/>
    </w:rPr>
    <w:tblP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
    <w:tcPr>
      <w:vAlign w:val="center"/>
    </w:tcPr>
  </w:style>
  <w:style w:type="paragraph" w:customStyle="1" w:styleId="1167">
    <w:name w:val="font17"/>
    <w:basedOn w:val="1"/>
    <w:qFormat/>
    <w:uiPriority w:val="0"/>
    <w:pPr>
      <w:widowControl/>
      <w:spacing w:before="100" w:beforeAutospacing="1" w:after="100" w:afterAutospacing="1"/>
      <w:jc w:val="left"/>
    </w:pPr>
    <w:rPr>
      <w:color w:val="000000"/>
      <w:kern w:val="0"/>
      <w:szCs w:val="21"/>
    </w:rPr>
  </w:style>
  <w:style w:type="paragraph" w:customStyle="1" w:styleId="1168">
    <w:name w:val="font18"/>
    <w:basedOn w:val="1"/>
    <w:qFormat/>
    <w:uiPriority w:val="0"/>
    <w:pPr>
      <w:widowControl/>
      <w:spacing w:before="100" w:beforeAutospacing="1" w:after="100" w:afterAutospacing="1"/>
      <w:jc w:val="left"/>
    </w:pPr>
    <w:rPr>
      <w:rFonts w:ascii="宋体" w:hAnsi="宋体" w:cs="宋体"/>
      <w:kern w:val="0"/>
      <w:sz w:val="18"/>
      <w:szCs w:val="18"/>
    </w:rPr>
  </w:style>
  <w:style w:type="character" w:customStyle="1" w:styleId="1169">
    <w:name w:val="fcg1"/>
    <w:basedOn w:val="133"/>
    <w:qFormat/>
    <w:uiPriority w:val="0"/>
    <w:rPr>
      <w:color w:val="008000"/>
    </w:rPr>
  </w:style>
  <w:style w:type="paragraph" w:customStyle="1" w:styleId="1170">
    <w:name w:val="Char Char Char8"/>
    <w:basedOn w:val="1"/>
    <w:qFormat/>
    <w:uiPriority w:val="0"/>
    <w:pPr>
      <w:widowControl/>
      <w:jc w:val="left"/>
    </w:pPr>
    <w:rPr>
      <w:rFonts w:ascii="宋体" w:hAnsi="宋体" w:cs="宋体"/>
      <w:kern w:val="0"/>
      <w:sz w:val="24"/>
    </w:rPr>
  </w:style>
  <w:style w:type="paragraph" w:customStyle="1" w:styleId="1171">
    <w:name w:val="Char Char Char Char8"/>
    <w:basedOn w:val="1"/>
    <w:qFormat/>
    <w:uiPriority w:val="0"/>
    <w:rPr>
      <w:szCs w:val="21"/>
    </w:rPr>
  </w:style>
  <w:style w:type="table" w:customStyle="1" w:styleId="1172">
    <w:name w:val="表格主题2"/>
    <w:basedOn w:val="8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73">
    <w:name w:val="纯文本4"/>
    <w:basedOn w:val="1"/>
    <w:qFormat/>
    <w:uiPriority w:val="0"/>
    <w:pPr>
      <w:adjustRightInd w:val="0"/>
      <w:textAlignment w:val="baseline"/>
    </w:pPr>
    <w:rPr>
      <w:rFonts w:ascii="宋体" w:hAnsi="Courier New"/>
      <w:szCs w:val="20"/>
    </w:rPr>
  </w:style>
  <w:style w:type="table" w:customStyle="1" w:styleId="1174">
    <w:name w:val="网格型11"/>
    <w:basedOn w:val="88"/>
    <w:qFormat/>
    <w:uiPriority w:val="0"/>
    <w:pPr>
      <w:widowControl w:val="0"/>
      <w:spacing w:line="500" w:lineRule="exact"/>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75">
    <w:name w:val="网格型21"/>
    <w:basedOn w:val="88"/>
    <w:qFormat/>
    <w:uiPriority w:val="0"/>
    <w:pPr>
      <w:widowControl w:val="0"/>
      <w:spacing w:line="500" w:lineRule="exact"/>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76">
    <w:name w:val="网格型31"/>
    <w:basedOn w:val="88"/>
    <w:qFormat/>
    <w:uiPriority w:val="0"/>
    <w:pPr>
      <w:widowControl w:val="0"/>
      <w:spacing w:line="500" w:lineRule="exact"/>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77">
    <w:name w:val="网格型41"/>
    <w:basedOn w:val="88"/>
    <w:qFormat/>
    <w:uiPriority w:val="0"/>
    <w:pPr>
      <w:widowControl w:val="0"/>
      <w:spacing w:line="500" w:lineRule="exact"/>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78">
    <w:name w:val="maoli3"/>
    <w:basedOn w:val="88"/>
    <w:qFormat/>
    <w:uiPriority w:val="0"/>
    <w:rPr>
      <w:rFonts w:eastAsia="仿宋_GB2312"/>
      <w:sz w:val="21"/>
    </w:rPr>
    <w:tblPr>
      <w:tblBorders>
        <w:top w:val="single" w:color="auto" w:sz="12" w:space="0"/>
        <w:bottom w:val="single" w:color="auto" w:sz="12" w:space="0"/>
        <w:insideH w:val="single" w:color="auto" w:sz="4" w:space="0"/>
        <w:insideV w:val="single" w:color="auto" w:sz="4" w:space="0"/>
      </w:tblBorders>
    </w:tblPr>
    <w:tcPr>
      <w:vAlign w:val="center"/>
    </w:tcPr>
  </w:style>
  <w:style w:type="table" w:customStyle="1" w:styleId="1179">
    <w:name w:val="表格样式111"/>
    <w:basedOn w:val="88"/>
    <w:qFormat/>
    <w:uiPriority w:val="0"/>
    <w:rPr>
      <w:rFonts w:eastAsia="楷体_GB2312"/>
    </w:rPr>
    <w:tblPr>
      <w:tblBorders>
        <w:top w:val="single" w:color="auto" w:sz="12" w:space="0"/>
        <w:bottom w:val="single" w:color="auto" w:sz="12" w:space="0"/>
        <w:insideH w:val="single" w:color="auto" w:sz="2" w:space="0"/>
        <w:insideV w:val="single" w:color="auto" w:sz="2" w:space="0"/>
      </w:tblBorders>
    </w:tblPr>
  </w:style>
  <w:style w:type="table" w:customStyle="1" w:styleId="1180">
    <w:name w:val="网格型 1111"/>
    <w:basedOn w:val="88"/>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cPr>
        <w:tcBorders>
          <w:tl2br w:val="nil"/>
          <w:tr2bl w:val="nil"/>
        </w:tcBorders>
      </w:tcPr>
    </w:tblStylePr>
    <w:tblStylePr w:type="lastCol">
      <w:rPr>
        <w:i/>
        <w:iCs/>
      </w:rPr>
      <w:tcPr>
        <w:tcBorders>
          <w:tl2br w:val="nil"/>
          <w:tr2bl w:val="nil"/>
        </w:tcBorders>
      </w:tcPr>
    </w:tblStylePr>
    <w:tblStylePr w:type="nwCell">
      <w:tcPr>
        <w:tcBorders>
          <w:tl2br w:val="single" w:color="000000" w:sz="6" w:space="0"/>
          <w:tr2bl w:val="nil"/>
        </w:tcBorders>
      </w:tcPr>
    </w:tblStylePr>
  </w:style>
  <w:style w:type="character" w:customStyle="1" w:styleId="1181">
    <w:name w:val="样式 正文 +"/>
    <w:qFormat/>
    <w:uiPriority w:val="0"/>
    <w:rPr>
      <w:rFonts w:eastAsia="宋体"/>
      <w:kern w:val="0"/>
      <w:sz w:val="28"/>
      <w:szCs w:val="28"/>
    </w:rPr>
  </w:style>
  <w:style w:type="character" w:customStyle="1" w:styleId="1182">
    <w:name w:val="infotitle1"/>
    <w:qFormat/>
    <w:uiPriority w:val="0"/>
    <w:rPr>
      <w:b/>
      <w:bCs/>
      <w:color w:val="000000"/>
      <w:sz w:val="24"/>
      <w:szCs w:val="24"/>
    </w:rPr>
  </w:style>
  <w:style w:type="character" w:customStyle="1" w:styleId="1183">
    <w:name w:val="sublist-span3"/>
    <w:basedOn w:val="133"/>
    <w:qFormat/>
    <w:uiPriority w:val="0"/>
  </w:style>
  <w:style w:type="table" w:customStyle="1" w:styleId="1184">
    <w:name w:val="史丽红的表格"/>
    <w:basedOn w:val="99"/>
    <w:qFormat/>
    <w:uiPriority w:val="0"/>
    <w:rPr>
      <w:rFonts w:eastAsia="Times New Roman"/>
    </w:rPr>
    <w:tblPr>
      <w:tblBorders>
        <w:top w:val="single" w:color="000000" w:sz="12" w:space="0"/>
        <w:bottom w:val="single" w:color="000000" w:sz="12" w:space="0"/>
        <w:insideH w:val="single" w:color="auto" w:sz="4" w:space="0"/>
        <w:insideV w:val="single" w:color="auto" w:sz="4" w:space="0"/>
      </w:tblBorders>
    </w:tblPr>
    <w:tcPr>
      <w:shd w:val="clear" w:color="auto" w:fill="auto"/>
    </w:tcPr>
    <w:tblStylePr w:type="firstRow">
      <w:rPr>
        <w:i/>
        <w:iCs/>
      </w:rPr>
      <w:tcPr>
        <w:tcBorders>
          <w:bottom w:val="single" w:color="000000" w:sz="6" w:space="0"/>
          <w:tl2br w:val="nil"/>
          <w:tr2bl w:val="nil"/>
        </w:tcBorders>
      </w:tcPr>
    </w:tblStylePr>
    <w:tblStylePr w:type="lastRow">
      <w:rPr>
        <w:color w:val="auto"/>
      </w:rPr>
      <w:tcPr>
        <w:tcBorders>
          <w:top w:val="single" w:color="000000" w:sz="6" w:space="0"/>
          <w:tl2br w:val="nil"/>
          <w:tr2bl w:val="nil"/>
        </w:tcBorders>
      </w:tcPr>
    </w:tblStylePr>
    <w:tblStylePr w:type="firstCol">
      <w:tcPr>
        <w:tcBorders>
          <w:right w:val="single" w:color="000000" w:sz="6" w:space="0"/>
          <w:tl2br w:val="nil"/>
          <w:tr2bl w:val="nil"/>
        </w:tcBorders>
      </w:tcPr>
    </w:tblStylePr>
    <w:tblStylePr w:type="neCell">
      <w:rPr>
        <w:b/>
        <w:bCs/>
        <w:i w:val="0"/>
        <w:iCs w:val="0"/>
      </w:rPr>
      <w:tcPr>
        <w:tcBorders>
          <w:tl2br w:val="nil"/>
          <w:tr2bl w:val="nil"/>
        </w:tcBorders>
      </w:tcPr>
    </w:tblStylePr>
    <w:tblStylePr w:type="swCell">
      <w:rPr>
        <w:b/>
        <w:bCs/>
      </w:rPr>
      <w:tcPr>
        <w:tcBorders>
          <w:tl2br w:val="nil"/>
          <w:tr2bl w:val="nil"/>
        </w:tcBorders>
      </w:tcPr>
    </w:tblStylePr>
  </w:style>
  <w:style w:type="character" w:customStyle="1" w:styleId="1185">
    <w:name w:val="普通文字 Char Char Char Char Char Char Char Char"/>
    <w:qFormat/>
    <w:uiPriority w:val="0"/>
    <w:rPr>
      <w:rFonts w:ascii="宋体" w:hAnsi="Courier New" w:eastAsia="宋体"/>
      <w:kern w:val="2"/>
      <w:sz w:val="21"/>
      <w:lang w:val="en-US" w:eastAsia="zh-CN" w:bidi="ar-SA"/>
    </w:rPr>
  </w:style>
  <w:style w:type="character" w:customStyle="1" w:styleId="1186">
    <w:name w:val="无节款 Char Char"/>
    <w:qFormat/>
    <w:uiPriority w:val="0"/>
    <w:rPr>
      <w:rFonts w:ascii="Arial" w:hAnsi="Arial" w:eastAsia="黑体"/>
      <w:sz w:val="24"/>
      <w:szCs w:val="24"/>
      <w:lang w:val="en-US" w:eastAsia="zh-CN" w:bidi="ar-SA"/>
    </w:rPr>
  </w:style>
  <w:style w:type="character" w:customStyle="1" w:styleId="1187">
    <w:name w:val="标准 Char"/>
    <w:basedOn w:val="133"/>
    <w:qFormat/>
    <w:uiPriority w:val="0"/>
    <w:rPr>
      <w:rFonts w:ascii="宋体" w:eastAsia="宋体"/>
      <w:sz w:val="28"/>
      <w:lang w:val="en-US" w:eastAsia="zh-CN" w:bidi="ar-SA"/>
    </w:rPr>
  </w:style>
  <w:style w:type="character" w:customStyle="1" w:styleId="1188">
    <w:name w:val="style31"/>
    <w:basedOn w:val="133"/>
    <w:qFormat/>
    <w:uiPriority w:val="0"/>
    <w:rPr>
      <w:b/>
      <w:color w:val="FF0000"/>
      <w:sz w:val="24"/>
    </w:rPr>
  </w:style>
  <w:style w:type="paragraph" w:customStyle="1" w:styleId="1189">
    <w:name w:val="多伦标题3"/>
    <w:basedOn w:val="1"/>
    <w:qFormat/>
    <w:uiPriority w:val="0"/>
    <w:pPr>
      <w:spacing w:line="360" w:lineRule="auto"/>
      <w:ind w:firstLine="562" w:firstLineChars="200"/>
      <w:jc w:val="left"/>
      <w:outlineLvl w:val="2"/>
    </w:pPr>
    <w:rPr>
      <w:rFonts w:eastAsia="黑体"/>
      <w:b/>
      <w:sz w:val="28"/>
      <w:szCs w:val="28"/>
    </w:rPr>
  </w:style>
  <w:style w:type="paragraph" w:customStyle="1" w:styleId="1190">
    <w:name w:val="Char133"/>
    <w:basedOn w:val="1"/>
    <w:qFormat/>
    <w:uiPriority w:val="0"/>
    <w:pPr>
      <w:snapToGrid w:val="0"/>
      <w:spacing w:line="360" w:lineRule="auto"/>
      <w:ind w:firstLine="200" w:firstLineChars="200"/>
    </w:pPr>
    <w:rPr>
      <w:rFonts w:eastAsia="仿宋_GB2312"/>
      <w:sz w:val="24"/>
    </w:rPr>
  </w:style>
  <w:style w:type="table" w:customStyle="1" w:styleId="1191">
    <w:name w:val="表格样式13"/>
    <w:basedOn w:val="90"/>
    <w:qFormat/>
    <w:uiPriority w:val="0"/>
    <w:pPr>
      <w:jc w:val="center"/>
    </w:pPr>
    <w:rPr>
      <w:rFonts w:eastAsia="楷体_GB2312"/>
    </w:rPr>
    <w:tblPr>
      <w:tblBorders>
        <w:top w:val="single" w:color="auto" w:sz="12" w:space="0"/>
        <w:bottom w:val="single" w:color="auto" w:sz="12" w:space="0"/>
        <w:insideH w:val="single" w:color="auto" w:sz="2" w:space="0"/>
        <w:insideV w:val="single" w:color="auto" w:sz="2" w:space="0"/>
      </w:tblBorders>
    </w:tblPr>
    <w:tcPr>
      <w:vAlign w:val="center"/>
    </w:tcPr>
    <w:tblStylePr w:type="firstRow">
      <w:tcPr>
        <w:tcBorders>
          <w:top w:val="single" w:color="000000" w:sz="6" w:space="0"/>
          <w:bottom w:val="single" w:color="000000" w:sz="12" w:space="0"/>
          <w:tl2br w:val="nil"/>
          <w:tr2bl w:val="nil"/>
        </w:tcBorders>
      </w:tcPr>
    </w:tblStylePr>
    <w:tblStylePr w:type="lastRow">
      <w:tcPr>
        <w:tcBorders>
          <w:top w:val="single" w:color="000000" w:sz="12" w:space="0"/>
          <w:tl2br w:val="nil"/>
          <w:tr2bl w:val="nil"/>
        </w:tcBorders>
        <w:shd w:val="pct25" w:color="800080" w:fill="FFFFFF"/>
      </w:tcPr>
    </w:tblStylePr>
    <w:tblStylePr w:type="firstCol">
      <w:tcPr>
        <w:tcBorders>
          <w:right w:val="single" w:color="000000" w:sz="12" w:space="0"/>
          <w:tl2br w:val="nil"/>
          <w:tr2bl w:val="nil"/>
        </w:tcBorders>
      </w:tcPr>
    </w:tblStylePr>
    <w:tblStylePr w:type="lastCol">
      <w:tcPr>
        <w:tcBorders>
          <w:left w:val="single" w:color="000000" w:sz="12" w:space="0"/>
          <w:tl2br w:val="nil"/>
          <w:tr2bl w:val="nil"/>
        </w:tcBorders>
      </w:tcPr>
    </w:tblStylePr>
    <w:tblStylePr w:type="band1Horz">
      <w:tcPr>
        <w:tcBorders>
          <w:bottom w:val="single" w:color="000000" w:sz="6" w:space="0"/>
          <w:tl2br w:val="nil"/>
          <w:tr2bl w:val="nil"/>
        </w:tcBorders>
        <w:shd w:val="pct25" w:color="808000" w:fill="FFFFFF"/>
      </w:tcPr>
    </w:tblStylePr>
    <w:tblStylePr w:type="neCell">
      <w:tcPr>
        <w:tcBorders>
          <w:tl2br w:val="nil"/>
          <w:tr2bl w:val="nil"/>
        </w:tcBorders>
      </w:tcPr>
    </w:tblStylePr>
    <w:tblStylePr w:type="swCell">
      <w:tcPr>
        <w:tcBorders>
          <w:tl2br w:val="nil"/>
          <w:tr2bl w:val="nil"/>
        </w:tcBorders>
      </w:tcPr>
    </w:tblStylePr>
  </w:style>
  <w:style w:type="table" w:customStyle="1" w:styleId="1192">
    <w:name w:val="表格主题3"/>
    <w:basedOn w:val="8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93">
    <w:name w:val="喜欢的2"/>
    <w:basedOn w:val="99"/>
    <w:qFormat/>
    <w:uiPriority w:val="0"/>
    <w:tcPr>
      <w:shd w:val="clear" w:color="auto" w:fill="auto"/>
      <w:vAlign w:val="center"/>
    </w:tcPr>
    <w:tblStylePr w:type="firstRow">
      <w:tcPr>
        <w:tcBorders>
          <w:bottom w:val="single" w:color="008000" w:sz="6" w:space="0"/>
          <w:tl2br w:val="nil"/>
          <w:tr2bl w:val="nil"/>
        </w:tcBorders>
      </w:tcPr>
    </w:tblStylePr>
    <w:tblStylePr w:type="lastRow">
      <w:tcPr>
        <w:tcBorders>
          <w:top w:val="single" w:color="008000" w:sz="6" w:space="0"/>
          <w:tl2br w:val="nil"/>
          <w:tr2bl w:val="nil"/>
        </w:tcBorders>
      </w:tcPr>
    </w:tblStylePr>
  </w:style>
  <w:style w:type="table" w:customStyle="1" w:styleId="1194">
    <w:name w:val="简明型 11"/>
    <w:basedOn w:val="88"/>
    <w:qFormat/>
    <w:uiPriority w:val="0"/>
    <w:pPr>
      <w:widowControl w:val="0"/>
      <w:jc w:val="both"/>
    </w:pPr>
    <w:tblPr>
      <w:tblBorders>
        <w:top w:val="single" w:color="008000" w:sz="12" w:space="0"/>
        <w:bottom w:val="single" w:color="008000" w:sz="12" w:space="0"/>
      </w:tblBorders>
    </w:tblPr>
    <w:tcPr>
      <w:shd w:val="clear" w:color="auto" w:fill="auto"/>
    </w:tcPr>
    <w:tblStylePr w:type="firstRow">
      <w:tcPr>
        <w:tcBorders>
          <w:bottom w:val="single" w:color="008000" w:sz="6" w:space="0"/>
          <w:tl2br w:val="nil"/>
          <w:tr2bl w:val="nil"/>
        </w:tcBorders>
      </w:tcPr>
    </w:tblStylePr>
    <w:tblStylePr w:type="lastRow">
      <w:tcPr>
        <w:tcBorders>
          <w:top w:val="single" w:color="008000" w:sz="6" w:space="0"/>
          <w:tl2br w:val="nil"/>
          <w:tr2bl w:val="nil"/>
        </w:tcBorders>
      </w:tcPr>
    </w:tblStylePr>
  </w:style>
  <w:style w:type="table" w:customStyle="1" w:styleId="1195">
    <w:name w:val="最普通2"/>
    <w:basedOn w:val="121"/>
    <w:qFormat/>
    <w:uiPriority w:val="0"/>
    <w:pPr>
      <w:spacing w:line="500" w:lineRule="exact"/>
    </w:pPr>
    <w:tcPr>
      <w:shd w:val="clear" w:color="auto" w:fill="auto"/>
      <w:vAlign w:val="center"/>
    </w:tcPr>
    <w:tblStylePr w:type="lastRow">
      <w:rPr>
        <w:i/>
        <w:iCs/>
      </w:rPr>
      <w:tcPr>
        <w:tcBorders>
          <w:tl2br w:val="nil"/>
          <w:tr2bl w:val="nil"/>
        </w:tcBorders>
      </w:tcPr>
    </w:tblStylePr>
    <w:tblStylePr w:type="lastCol">
      <w:rPr>
        <w:i/>
        <w:iCs/>
      </w:rPr>
      <w:tcPr>
        <w:tcBorders>
          <w:tl2br w:val="nil"/>
          <w:tr2bl w:val="nil"/>
        </w:tcBorders>
      </w:tcPr>
    </w:tblStylePr>
    <w:tblStylePr w:type="nwCell">
      <w:tcPr>
        <w:tcBorders>
          <w:tl2br w:val="single" w:color="000000" w:sz="6" w:space="0"/>
          <w:tr2bl w:val="nil"/>
        </w:tcBorders>
      </w:tcPr>
    </w:tblStylePr>
  </w:style>
  <w:style w:type="table" w:customStyle="1" w:styleId="1196">
    <w:name w:val="网格型 12"/>
    <w:basedOn w:val="88"/>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cPr>
        <w:tcBorders>
          <w:tl2br w:val="nil"/>
          <w:tr2bl w:val="nil"/>
        </w:tcBorders>
      </w:tcPr>
    </w:tblStylePr>
    <w:tblStylePr w:type="lastCol">
      <w:rPr>
        <w:i/>
        <w:iCs/>
      </w:rPr>
      <w:tcPr>
        <w:tcBorders>
          <w:tl2br w:val="nil"/>
          <w:tr2bl w:val="nil"/>
        </w:tcBorders>
      </w:tcPr>
    </w:tblStylePr>
    <w:tblStylePr w:type="nwCell">
      <w:tcPr>
        <w:tcBorders>
          <w:tl2br w:val="single" w:color="000000" w:sz="6" w:space="0"/>
          <w:tr2bl w:val="nil"/>
        </w:tcBorders>
      </w:tcPr>
    </w:tblStylePr>
  </w:style>
  <w:style w:type="table" w:customStyle="1" w:styleId="1197">
    <w:name w:val="表格虚线1"/>
    <w:basedOn w:val="8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98">
    <w:name w:val="Char67"/>
    <w:basedOn w:val="1"/>
    <w:qFormat/>
    <w:uiPriority w:val="0"/>
    <w:rPr>
      <w:sz w:val="24"/>
    </w:rPr>
  </w:style>
  <w:style w:type="paragraph" w:customStyle="1" w:styleId="1199">
    <w:name w:val="Char Char Char9"/>
    <w:basedOn w:val="1"/>
    <w:qFormat/>
    <w:uiPriority w:val="0"/>
    <w:rPr>
      <w:sz w:val="24"/>
    </w:rPr>
  </w:style>
  <w:style w:type="paragraph" w:customStyle="1" w:styleId="1200">
    <w:name w:val="纯文本5"/>
    <w:basedOn w:val="1"/>
    <w:qFormat/>
    <w:uiPriority w:val="0"/>
    <w:pPr>
      <w:autoSpaceDE w:val="0"/>
      <w:autoSpaceDN w:val="0"/>
      <w:adjustRightInd w:val="0"/>
      <w:textAlignment w:val="baseline"/>
    </w:pPr>
    <w:rPr>
      <w:rFonts w:ascii="宋体" w:hAnsi="Tms Rmn"/>
      <w:kern w:val="0"/>
      <w:szCs w:val="20"/>
    </w:rPr>
  </w:style>
  <w:style w:type="paragraph" w:customStyle="1" w:styleId="1201">
    <w:name w:val="Char4 Char Char Char Char Char Char Char Char Char Char Char Char Char Char Char Char Char1 Char Char Char Char Char Char1 Char Char Char Char Char Char Char Char Char Char Char Char Char Char Char Char3"/>
    <w:basedOn w:val="1"/>
    <w:qFormat/>
    <w:uiPriority w:val="0"/>
    <w:pPr>
      <w:spacing w:line="240" w:lineRule="exact"/>
      <w:ind w:firstLine="200" w:firstLineChars="200"/>
    </w:pPr>
    <w:rPr>
      <w:sz w:val="28"/>
      <w:szCs w:val="28"/>
    </w:rPr>
  </w:style>
  <w:style w:type="paragraph" w:customStyle="1" w:styleId="1202">
    <w:name w:val="Char Char Char Char Char Char Char Char Char1 Char Char Char Char4"/>
    <w:basedOn w:val="1"/>
    <w:qFormat/>
    <w:uiPriority w:val="0"/>
    <w:rPr>
      <w:szCs w:val="21"/>
    </w:rPr>
  </w:style>
  <w:style w:type="table" w:customStyle="1" w:styleId="1203">
    <w:name w:val="专业型1"/>
    <w:basedOn w:val="88"/>
    <w:qFormat/>
    <w:uiPriority w:val="0"/>
    <w:pPr>
      <w:widowControl w:val="0"/>
      <w:spacing w:line="500" w:lineRule="exact"/>
      <w:ind w:firstLine="20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cPr>
        <w:tcBorders>
          <w:tl2br w:val="nil"/>
          <w:tr2bl w:val="nil"/>
        </w:tcBorders>
        <w:shd w:val="solid" w:color="000000" w:fill="FFFFFF"/>
      </w:tcPr>
    </w:tblStylePr>
  </w:style>
  <w:style w:type="paragraph" w:customStyle="1" w:styleId="1204">
    <w:name w:val="Char Char Char Char9"/>
    <w:basedOn w:val="1"/>
    <w:qFormat/>
    <w:uiPriority w:val="0"/>
    <w:rPr>
      <w:szCs w:val="21"/>
    </w:rPr>
  </w:style>
  <w:style w:type="paragraph" w:customStyle="1" w:styleId="1205">
    <w:name w:val="Char Char Char Char Char Char Char40"/>
    <w:basedOn w:val="1"/>
    <w:qFormat/>
    <w:uiPriority w:val="0"/>
  </w:style>
  <w:style w:type="paragraph" w:customStyle="1" w:styleId="1206">
    <w:name w:val="Char Char Char1 Char Char Char Char3"/>
    <w:basedOn w:val="1"/>
    <w:qFormat/>
    <w:uiPriority w:val="0"/>
  </w:style>
  <w:style w:type="paragraph" w:customStyle="1" w:styleId="1207">
    <w:name w:val="Char Char Char Char Char Char Char Char Char Char Char Char Char Char Char Char3"/>
    <w:basedOn w:val="1"/>
    <w:qFormat/>
    <w:uiPriority w:val="0"/>
  </w:style>
  <w:style w:type="paragraph" w:customStyle="1" w:styleId="1208">
    <w:name w:val="Char Char Char Char Char Char Char Char Char Char4"/>
    <w:basedOn w:val="1"/>
    <w:qFormat/>
    <w:uiPriority w:val="0"/>
  </w:style>
  <w:style w:type="table" w:customStyle="1" w:styleId="1209">
    <w:name w:val="表格样式112"/>
    <w:basedOn w:val="88"/>
    <w:qFormat/>
    <w:uiPriority w:val="0"/>
    <w:rPr>
      <w:rFonts w:eastAsia="楷体_GB2312"/>
    </w:rPr>
    <w:tblPr>
      <w:tblBorders>
        <w:top w:val="single" w:color="auto" w:sz="12" w:space="0"/>
        <w:bottom w:val="single" w:color="auto" w:sz="12" w:space="0"/>
        <w:insideH w:val="single" w:color="auto" w:sz="2" w:space="0"/>
        <w:insideV w:val="single" w:color="auto" w:sz="2" w:space="0"/>
      </w:tblBorders>
    </w:tblPr>
  </w:style>
  <w:style w:type="table" w:customStyle="1" w:styleId="1210">
    <w:name w:val="网格型12"/>
    <w:basedOn w:val="88"/>
    <w:qFormat/>
    <w:uiPriority w:val="0"/>
    <w:pPr>
      <w:widowControl w:val="0"/>
      <w:spacing w:line="500" w:lineRule="exact"/>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11">
    <w:name w:val="网格型22"/>
    <w:basedOn w:val="88"/>
    <w:qFormat/>
    <w:uiPriority w:val="0"/>
    <w:pPr>
      <w:widowControl w:val="0"/>
      <w:spacing w:line="500" w:lineRule="exact"/>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12">
    <w:name w:val="网格型32"/>
    <w:basedOn w:val="88"/>
    <w:qFormat/>
    <w:uiPriority w:val="0"/>
    <w:pPr>
      <w:widowControl w:val="0"/>
      <w:spacing w:line="500" w:lineRule="exact"/>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13">
    <w:name w:val="网格型42"/>
    <w:basedOn w:val="88"/>
    <w:qFormat/>
    <w:uiPriority w:val="0"/>
    <w:pPr>
      <w:widowControl w:val="0"/>
      <w:spacing w:line="500" w:lineRule="exact"/>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14">
    <w:name w:val="喜欢的11"/>
    <w:basedOn w:val="99"/>
    <w:qFormat/>
    <w:uiPriority w:val="0"/>
    <w:tblPr>
      <w:tblBorders>
        <w:insideH w:val="single" w:color="008000" w:sz="4" w:space="0"/>
        <w:insideV w:val="single" w:color="008000" w:sz="4" w:space="0"/>
      </w:tblBorders>
    </w:tblPr>
    <w:tcPr>
      <w:shd w:val="clear" w:color="auto" w:fill="FFFFFF"/>
      <w:vAlign w:val="center"/>
    </w:tcPr>
    <w:tblStylePr w:type="firstRow">
      <w:tcPr>
        <w:tcBorders>
          <w:bottom w:val="single" w:color="008000" w:sz="6" w:space="0"/>
          <w:tl2br w:val="nil"/>
          <w:tr2bl w:val="nil"/>
        </w:tcBorders>
      </w:tcPr>
    </w:tblStylePr>
    <w:tblStylePr w:type="lastRow">
      <w:tcPr>
        <w:tcBorders>
          <w:top w:val="single" w:color="008000" w:sz="6" w:space="0"/>
          <w:tl2br w:val="nil"/>
          <w:tr2bl w:val="nil"/>
        </w:tcBorders>
      </w:tcPr>
    </w:tblStylePr>
  </w:style>
  <w:style w:type="table" w:customStyle="1" w:styleId="1215">
    <w:name w:val="网格型 112"/>
    <w:basedOn w:val="88"/>
    <w:qFormat/>
    <w:uiPriority w:val="0"/>
    <w:pPr>
      <w:widowControl w:val="0"/>
      <w:spacing w:line="500" w:lineRule="exact"/>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cPr>
        <w:tcBorders>
          <w:tl2br w:val="nil"/>
          <w:tr2bl w:val="nil"/>
        </w:tcBorders>
      </w:tcPr>
    </w:tblStylePr>
    <w:tblStylePr w:type="lastCol">
      <w:rPr>
        <w:i/>
        <w:iCs/>
      </w:rPr>
      <w:tcPr>
        <w:tcBorders>
          <w:tl2br w:val="nil"/>
          <w:tr2bl w:val="nil"/>
        </w:tcBorders>
      </w:tcPr>
    </w:tblStylePr>
    <w:tblStylePr w:type="nwCell">
      <w:tcPr>
        <w:tcBorders>
          <w:tl2br w:val="single" w:color="000000" w:sz="6" w:space="0"/>
          <w:tr2bl w:val="nil"/>
        </w:tcBorders>
      </w:tcPr>
    </w:tblStylePr>
  </w:style>
  <w:style w:type="table" w:customStyle="1" w:styleId="1216">
    <w:name w:val="网格型 1112"/>
    <w:basedOn w:val="88"/>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cPr>
        <w:tcBorders>
          <w:tl2br w:val="nil"/>
          <w:tr2bl w:val="nil"/>
        </w:tcBorders>
      </w:tcPr>
    </w:tblStylePr>
    <w:tblStylePr w:type="lastCol">
      <w:rPr>
        <w:i/>
        <w:iCs/>
      </w:rPr>
      <w:tcPr>
        <w:tcBorders>
          <w:tl2br w:val="nil"/>
          <w:tr2bl w:val="nil"/>
        </w:tcBorders>
      </w:tcPr>
    </w:tblStylePr>
    <w:tblStylePr w:type="nwCell">
      <w:tcPr>
        <w:tcBorders>
          <w:tl2br w:val="single" w:color="000000" w:sz="6" w:space="0"/>
          <w:tr2bl w:val="nil"/>
        </w:tcBorders>
      </w:tcPr>
    </w:tblStylePr>
  </w:style>
  <w:style w:type="table" w:customStyle="1" w:styleId="1217">
    <w:name w:val="最普通11"/>
    <w:basedOn w:val="121"/>
    <w:qFormat/>
    <w:uiPriority w:val="0"/>
    <w:pPr>
      <w:spacing w:line="500" w:lineRule="exact"/>
    </w:pPr>
    <w:tcPr>
      <w:shd w:val="clear" w:color="auto" w:fill="auto"/>
      <w:vAlign w:val="center"/>
    </w:tcPr>
    <w:tblStylePr w:type="lastRow">
      <w:rPr>
        <w:i/>
        <w:iCs/>
      </w:rPr>
      <w:tcPr>
        <w:tcBorders>
          <w:tl2br w:val="nil"/>
          <w:tr2bl w:val="nil"/>
        </w:tcBorders>
      </w:tcPr>
    </w:tblStylePr>
    <w:tblStylePr w:type="lastCol">
      <w:rPr>
        <w:i/>
        <w:iCs/>
      </w:rPr>
      <w:tcPr>
        <w:tcBorders>
          <w:tl2br w:val="nil"/>
          <w:tr2bl w:val="nil"/>
        </w:tcBorders>
      </w:tcPr>
    </w:tblStylePr>
    <w:tblStylePr w:type="nwCell">
      <w:tcPr>
        <w:tcBorders>
          <w:tl2br w:val="single" w:color="000000" w:sz="6" w:space="0"/>
          <w:tr2bl w:val="nil"/>
        </w:tcBorders>
      </w:tcPr>
    </w:tblStylePr>
  </w:style>
  <w:style w:type="table" w:customStyle="1" w:styleId="1218">
    <w:name w:val="表格样式121"/>
    <w:basedOn w:val="88"/>
    <w:qFormat/>
    <w:uiPriority w:val="0"/>
    <w:pPr>
      <w:jc w:val="center"/>
    </w:pPr>
    <w:rPr>
      <w:rFonts w:eastAsia="楷体_GB2312"/>
    </w:rPr>
    <w:tblPr>
      <w:tblBorders>
        <w:top w:val="single" w:color="auto" w:sz="12" w:space="0"/>
        <w:bottom w:val="single" w:color="auto" w:sz="12" w:space="0"/>
        <w:insideH w:val="single" w:color="auto" w:sz="2" w:space="0"/>
        <w:insideV w:val="single" w:color="auto" w:sz="2" w:space="0"/>
      </w:tblBorders>
    </w:tblPr>
    <w:tcPr>
      <w:vAlign w:val="center"/>
    </w:tcPr>
  </w:style>
  <w:style w:type="table" w:customStyle="1" w:styleId="1219">
    <w:name w:val="maoli4"/>
    <w:basedOn w:val="88"/>
    <w:qFormat/>
    <w:uiPriority w:val="0"/>
    <w:rPr>
      <w:rFonts w:eastAsia="仿宋_GB2312"/>
      <w:sz w:val="21"/>
    </w:rPr>
    <w:tblPr>
      <w:tblBorders>
        <w:top w:val="single" w:color="auto" w:sz="12" w:space="0"/>
        <w:bottom w:val="single" w:color="auto" w:sz="12" w:space="0"/>
        <w:insideH w:val="single" w:color="auto" w:sz="4" w:space="0"/>
        <w:insideV w:val="single" w:color="auto" w:sz="4" w:space="0"/>
      </w:tblBorders>
    </w:tblPr>
    <w:tcPr>
      <w:vAlign w:val="center"/>
    </w:tcPr>
  </w:style>
  <w:style w:type="paragraph" w:customStyle="1" w:styleId="1220">
    <w:name w:val="Char130"/>
    <w:basedOn w:val="1"/>
    <w:qFormat/>
    <w:uiPriority w:val="0"/>
    <w:pPr>
      <w:snapToGrid w:val="0"/>
      <w:spacing w:line="360" w:lineRule="auto"/>
      <w:ind w:firstLine="200" w:firstLineChars="200"/>
    </w:pPr>
    <w:rPr>
      <w:rFonts w:eastAsia="仿宋_GB2312"/>
      <w:sz w:val="24"/>
    </w:rPr>
  </w:style>
  <w:style w:type="character" w:customStyle="1" w:styleId="1221">
    <w:name w:val="Char Char15"/>
    <w:qFormat/>
    <w:uiPriority w:val="0"/>
    <w:rPr>
      <w:rFonts w:ascii="楷体_GB2312" w:hAnsi="Arial" w:eastAsia="楷体_GB2312" w:cs="Arial"/>
      <w:b/>
      <w:sz w:val="21"/>
      <w:szCs w:val="21"/>
      <w:lang w:val="en-US" w:eastAsia="zh-CN" w:bidi="ar-SA"/>
    </w:rPr>
  </w:style>
  <w:style w:type="character" w:customStyle="1" w:styleId="1222">
    <w:name w:val="Char Char210"/>
    <w:qFormat/>
    <w:uiPriority w:val="0"/>
    <w:rPr>
      <w:rFonts w:ascii="Arial" w:hAnsi="Arial" w:eastAsia="楷体_GB2312" w:cs="Arial"/>
      <w:b/>
      <w:sz w:val="24"/>
      <w:lang w:val="en-US" w:eastAsia="zh-CN" w:bidi="ar-SA"/>
    </w:rPr>
  </w:style>
  <w:style w:type="paragraph" w:customStyle="1" w:styleId="1223">
    <w:name w:val="Char1 Char Char Char Char Char1 Char3"/>
    <w:basedOn w:val="1"/>
    <w:qFormat/>
    <w:uiPriority w:val="0"/>
    <w:rPr>
      <w:szCs w:val="21"/>
    </w:rPr>
  </w:style>
  <w:style w:type="character" w:customStyle="1" w:styleId="1224">
    <w:name w:val="Char Char618"/>
    <w:qFormat/>
    <w:uiPriority w:val="0"/>
    <w:rPr>
      <w:rFonts w:eastAsia="宋体"/>
      <w:kern w:val="2"/>
      <w:sz w:val="24"/>
      <w:lang w:val="en-US" w:eastAsia="zh-CN" w:bidi="ar-SA"/>
    </w:rPr>
  </w:style>
  <w:style w:type="table" w:customStyle="1" w:styleId="1225">
    <w:name w:val="古典型 11"/>
    <w:basedOn w:val="88"/>
    <w:qFormat/>
    <w:uiPriority w:val="0"/>
    <w:pPr>
      <w:widowControl w:val="0"/>
      <w:adjustRightInd w:val="0"/>
      <w:spacing w:line="312" w:lineRule="atLeast"/>
      <w:jc w:val="both"/>
      <w:textAlignment w:val="baseline"/>
    </w:pPr>
    <w:tblPr>
      <w:tblBorders>
        <w:top w:val="single" w:color="000000" w:sz="12" w:space="0"/>
        <w:bottom w:val="single" w:color="000000" w:sz="12" w:space="0"/>
      </w:tblBorders>
    </w:tblPr>
    <w:tcPr>
      <w:shd w:val="clear" w:color="auto" w:fill="auto"/>
    </w:tcPr>
    <w:tblStylePr w:type="firstRow">
      <w:rPr>
        <w:i/>
        <w:iCs/>
      </w:rPr>
      <w:tcPr>
        <w:tcBorders>
          <w:bottom w:val="single" w:color="000000" w:sz="6" w:space="0"/>
          <w:tl2br w:val="nil"/>
          <w:tr2bl w:val="nil"/>
        </w:tcBorders>
      </w:tcPr>
    </w:tblStylePr>
    <w:tblStylePr w:type="lastRow">
      <w:rPr>
        <w:color w:val="auto"/>
      </w:rPr>
      <w:tcPr>
        <w:tcBorders>
          <w:top w:val="single" w:color="000000" w:sz="6" w:space="0"/>
          <w:tl2br w:val="nil"/>
          <w:tr2bl w:val="nil"/>
        </w:tcBorders>
      </w:tcPr>
    </w:tblStylePr>
    <w:tblStylePr w:type="firstCol">
      <w:tcPr>
        <w:tcBorders>
          <w:right w:val="single" w:color="000000" w:sz="6" w:space="0"/>
          <w:tl2br w:val="nil"/>
          <w:tr2bl w:val="nil"/>
        </w:tcBorders>
      </w:tcPr>
    </w:tblStylePr>
    <w:tblStylePr w:type="neCell">
      <w:rPr>
        <w:b/>
        <w:bCs/>
        <w:i w:val="0"/>
        <w:iCs w:val="0"/>
      </w:rPr>
      <w:tcPr>
        <w:tcBorders>
          <w:tl2br w:val="nil"/>
          <w:tr2bl w:val="nil"/>
        </w:tcBorders>
      </w:tcPr>
    </w:tblStylePr>
    <w:tblStylePr w:type="swCell">
      <w:rPr>
        <w:b/>
        <w:bCs/>
      </w:rPr>
      <w:tcPr>
        <w:tcBorders>
          <w:tl2br w:val="nil"/>
          <w:tr2bl w:val="nil"/>
        </w:tcBorders>
      </w:tcPr>
    </w:tblStylePr>
  </w:style>
  <w:style w:type="character" w:customStyle="1" w:styleId="1226">
    <w:name w:val="Char Char73"/>
    <w:qFormat/>
    <w:uiPriority w:val="0"/>
    <w:rPr>
      <w:rFonts w:eastAsia="宋体"/>
      <w:kern w:val="2"/>
      <w:sz w:val="21"/>
      <w:szCs w:val="24"/>
      <w:lang w:val="en-US" w:eastAsia="zh-CN" w:bidi="ar-SA"/>
    </w:rPr>
  </w:style>
  <w:style w:type="character" w:customStyle="1" w:styleId="1227">
    <w:name w:val="Char Char103"/>
    <w:qFormat/>
    <w:uiPriority w:val="0"/>
    <w:rPr>
      <w:rFonts w:eastAsia="宋体"/>
      <w:kern w:val="2"/>
      <w:sz w:val="21"/>
      <w:szCs w:val="24"/>
      <w:lang w:val="en-US" w:eastAsia="zh-CN" w:bidi="ar-SA"/>
    </w:rPr>
  </w:style>
  <w:style w:type="table" w:customStyle="1" w:styleId="1228">
    <w:name w:val="环评格式1"/>
    <w:basedOn w:val="151"/>
    <w:qFormat/>
    <w:uiPriority w:val="0"/>
    <w:rPr>
      <w:sz w:val="21"/>
    </w:rPr>
    <w:tblPr>
      <w:jc w:val="center"/>
      <w:tblBorders>
        <w:right w:val="single" w:color="auto" w:sz="2" w:space="0"/>
      </w:tblBorders>
    </w:tblPr>
    <w:trPr>
      <w:jc w:val="center"/>
    </w:trPr>
    <w:tblStylePr w:type="firstRow">
      <w:tcPr>
        <w:tcBorders>
          <w:top w:val="single" w:color="000000" w:sz="6" w:space="0"/>
          <w:bottom w:val="single" w:color="000000" w:sz="12" w:space="0"/>
          <w:tl2br w:val="nil"/>
          <w:tr2bl w:val="nil"/>
        </w:tcBorders>
      </w:tcPr>
    </w:tblStylePr>
    <w:tblStylePr w:type="lastRow">
      <w:tcPr>
        <w:tcBorders>
          <w:top w:val="single" w:color="000000" w:sz="12" w:space="0"/>
          <w:tl2br w:val="nil"/>
          <w:tr2bl w:val="nil"/>
        </w:tcBorders>
        <w:shd w:val="pct25" w:color="800080" w:fill="FFFFFF"/>
      </w:tcPr>
    </w:tblStylePr>
    <w:tblStylePr w:type="firstCol">
      <w:tcPr>
        <w:tcBorders>
          <w:right w:val="single" w:color="000000" w:sz="12" w:space="0"/>
          <w:tl2br w:val="nil"/>
          <w:tr2bl w:val="nil"/>
        </w:tcBorders>
      </w:tcPr>
    </w:tblStylePr>
    <w:tblStylePr w:type="lastCol">
      <w:tcPr>
        <w:tcBorders>
          <w:left w:val="single" w:color="000000" w:sz="12" w:space="0"/>
          <w:tl2br w:val="nil"/>
          <w:tr2bl w:val="nil"/>
        </w:tcBorders>
      </w:tcPr>
    </w:tblStylePr>
    <w:tblStylePr w:type="band1Horz">
      <w:tcPr>
        <w:tcBorders>
          <w:bottom w:val="single" w:color="000000" w:sz="6" w:space="0"/>
          <w:tl2br w:val="nil"/>
          <w:tr2bl w:val="nil"/>
        </w:tcBorders>
        <w:shd w:val="pct25" w:color="808000" w:fill="FFFFFF"/>
      </w:tcPr>
    </w:tblStylePr>
    <w:tblStylePr w:type="neCell">
      <w:tcPr>
        <w:tcBorders>
          <w:tl2br w:val="nil"/>
          <w:tr2bl w:val="nil"/>
        </w:tcBorders>
      </w:tcPr>
    </w:tblStylePr>
    <w:tblStylePr w:type="swCell">
      <w:tcPr>
        <w:tcBorders>
          <w:tl2br w:val="nil"/>
          <w:tr2bl w:val="nil"/>
        </w:tcBorders>
      </w:tcPr>
    </w:tblStylePr>
  </w:style>
  <w:style w:type="character" w:customStyle="1" w:styleId="1229">
    <w:name w:val="Char Char513"/>
    <w:qFormat/>
    <w:uiPriority w:val="0"/>
    <w:rPr>
      <w:rFonts w:ascii="宋体" w:hAnsi="Courier New" w:eastAsia="宋体"/>
      <w:kern w:val="2"/>
      <w:sz w:val="21"/>
      <w:lang w:val="en-US" w:eastAsia="zh-CN" w:bidi="ar-SA"/>
    </w:rPr>
  </w:style>
  <w:style w:type="character" w:customStyle="1" w:styleId="1230">
    <w:name w:val="Char Char183"/>
    <w:qFormat/>
    <w:uiPriority w:val="0"/>
    <w:rPr>
      <w:rFonts w:ascii="宋体" w:hAnsi="宋体" w:eastAsia="宋体" w:cs="Times New Roman"/>
      <w:color w:val="800000"/>
      <w:kern w:val="0"/>
      <w:sz w:val="28"/>
      <w:szCs w:val="20"/>
    </w:rPr>
  </w:style>
  <w:style w:type="character" w:customStyle="1" w:styleId="1231">
    <w:name w:val="Char Char Char1 Char Char3"/>
    <w:qFormat/>
    <w:uiPriority w:val="0"/>
    <w:rPr>
      <w:rFonts w:ascii="Times New Roman" w:hAnsi="Times New Roman" w:eastAsia="宋体" w:cs="Times New Roman"/>
      <w:kern w:val="0"/>
      <w:sz w:val="18"/>
      <w:szCs w:val="18"/>
    </w:rPr>
  </w:style>
  <w:style w:type="character" w:customStyle="1" w:styleId="1232">
    <w:name w:val="Char Char1119"/>
    <w:qFormat/>
    <w:uiPriority w:val="0"/>
    <w:rPr>
      <w:rFonts w:ascii="Times New Roman" w:hAnsi="Times New Roman" w:eastAsia="宋体" w:cs="Times New Roman"/>
      <w:kern w:val="0"/>
      <w:sz w:val="24"/>
      <w:szCs w:val="24"/>
    </w:rPr>
  </w:style>
  <w:style w:type="character" w:customStyle="1" w:styleId="1233">
    <w:name w:val="标题 1 Char Char Char Char Char Char Char Char Char Char Char Char Char Char Char Char Char Char Char Char Char Char Char Char Char Char Char Char Char Char Char Char Char Char Char Char Char Char Char Char Char Char Char Char Char Char Char Char Char3"/>
    <w:qFormat/>
    <w:uiPriority w:val="0"/>
    <w:rPr>
      <w:rFonts w:ascii="黑体" w:hAnsi="Arial Unicode MS" w:eastAsia="黑体"/>
      <w:kern w:val="44"/>
      <w:sz w:val="28"/>
      <w:szCs w:val="28"/>
      <w:lang w:val="en-US" w:eastAsia="zh-CN" w:bidi="ar-SA"/>
    </w:rPr>
  </w:style>
  <w:style w:type="paragraph" w:customStyle="1" w:styleId="1234">
    <w:name w:val="正文3"/>
    <w:qFormat/>
    <w:uiPriority w:val="0"/>
    <w:pPr>
      <w:widowControl w:val="0"/>
      <w:adjustRightInd w:val="0"/>
      <w:spacing w:line="315" w:lineRule="atLeast"/>
      <w:jc w:val="both"/>
      <w:textAlignment w:val="baseline"/>
    </w:pPr>
    <w:rPr>
      <w:rFonts w:ascii="宋体" w:hAnsi="Times New Roman" w:eastAsia="宋体" w:cs="Times New Roman"/>
      <w:sz w:val="24"/>
      <w:lang w:val="en-US" w:eastAsia="zh-CN" w:bidi="ar-SA"/>
    </w:rPr>
  </w:style>
  <w:style w:type="paragraph" w:customStyle="1" w:styleId="1235">
    <w:name w:val="Char95"/>
    <w:basedOn w:val="1"/>
    <w:qFormat/>
    <w:uiPriority w:val="0"/>
    <w:rPr>
      <w:szCs w:val="21"/>
    </w:rPr>
  </w:style>
  <w:style w:type="table" w:customStyle="1" w:styleId="1236">
    <w:name w:val="图表样式-HX2"/>
    <w:basedOn w:val="88"/>
    <w:qFormat/>
    <w:uiPriority w:val="99"/>
    <w:rPr>
      <w:rFonts w:ascii="仿宋_GB2312" w:hAnsi="Calibri" w:eastAsia="仿宋_GB2312"/>
    </w:rPr>
    <w:tblPr>
      <w:jc w:val="center"/>
      <w:tblBorders>
        <w:top w:val="single" w:color="auto" w:sz="12" w:space="0"/>
        <w:bottom w:val="single" w:color="auto" w:sz="12" w:space="0"/>
        <w:insideH w:val="single" w:color="auto" w:sz="2" w:space="0"/>
        <w:insideV w:val="single" w:color="auto" w:sz="2" w:space="0"/>
      </w:tblBorders>
    </w:tblPr>
    <w:trPr>
      <w:jc w:val="center"/>
    </w:trPr>
    <w:tcPr>
      <w:vAlign w:val="center"/>
    </w:tcPr>
  </w:style>
  <w:style w:type="table" w:customStyle="1" w:styleId="1237">
    <w:name w:val="灰度表格12212"/>
    <w:basedOn w:val="8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38">
    <w:name w:val="Char2 Char Char Char Char Char Char7"/>
    <w:basedOn w:val="1"/>
    <w:qFormat/>
    <w:uiPriority w:val="0"/>
    <w:rPr>
      <w:sz w:val="24"/>
    </w:rPr>
  </w:style>
  <w:style w:type="table" w:customStyle="1" w:styleId="1239">
    <w:name w:val="黄桥表11"/>
    <w:basedOn w:val="8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40">
    <w:name w:val="灰度表格12221"/>
    <w:basedOn w:val="88"/>
    <w:qFormat/>
    <w:uiPriority w:val="0"/>
    <w:pPr>
      <w:jc w:val="center"/>
    </w:pPr>
    <w:rPr>
      <w:rFonts w:ascii="Calibri" w:hAnsi="Calibri" w:eastAsia="仿宋_GB2312"/>
      <w:sz w:val="21"/>
    </w:rPr>
    <w:tblP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
    <w:tcPr>
      <w:vAlign w:val="center"/>
    </w:tcPr>
  </w:style>
  <w:style w:type="paragraph" w:customStyle="1" w:styleId="1241">
    <w:name w:val="Char Char1 Char Char Char1 Char7"/>
    <w:basedOn w:val="1"/>
    <w:qFormat/>
    <w:uiPriority w:val="0"/>
    <w:pPr>
      <w:adjustRightInd w:val="0"/>
      <w:spacing w:line="360" w:lineRule="auto"/>
    </w:pPr>
    <w:rPr>
      <w:kern w:val="0"/>
      <w:sz w:val="24"/>
      <w:szCs w:val="20"/>
    </w:rPr>
  </w:style>
  <w:style w:type="paragraph" w:customStyle="1" w:styleId="1242">
    <w:name w:val="正文缩进61"/>
    <w:basedOn w:val="1"/>
    <w:qFormat/>
    <w:uiPriority w:val="0"/>
    <w:pPr>
      <w:adjustRightInd w:val="0"/>
      <w:ind w:firstLine="420" w:firstLineChars="200"/>
      <w:textAlignment w:val="baseline"/>
    </w:pPr>
    <w:rPr>
      <w:rFonts w:hint="eastAsia" w:hAnsi="宋体"/>
      <w:sz w:val="24"/>
      <w:szCs w:val="20"/>
    </w:rPr>
  </w:style>
  <w:style w:type="character" w:customStyle="1" w:styleId="1243">
    <w:name w:val="Char Char415"/>
    <w:qFormat/>
    <w:locked/>
    <w:uiPriority w:val="0"/>
    <w:rPr>
      <w:rFonts w:ascii="宋体" w:hAnsi="宋体" w:eastAsia="宋体"/>
      <w:kern w:val="2"/>
      <w:sz w:val="18"/>
      <w:szCs w:val="18"/>
      <w:lang w:val="en-US" w:eastAsia="zh-CN" w:bidi="ar-SA"/>
    </w:rPr>
  </w:style>
  <w:style w:type="paragraph" w:customStyle="1" w:styleId="1244">
    <w:name w:val="正文文本缩进41"/>
    <w:basedOn w:val="1"/>
    <w:qFormat/>
    <w:uiPriority w:val="0"/>
    <w:pPr>
      <w:adjustRightInd w:val="0"/>
      <w:spacing w:after="120" w:line="360" w:lineRule="auto"/>
      <w:ind w:left="420" w:leftChars="200" w:firstLine="200" w:firstLineChars="200"/>
      <w:textAlignment w:val="baseline"/>
    </w:pPr>
    <w:rPr>
      <w:sz w:val="24"/>
    </w:rPr>
  </w:style>
  <w:style w:type="table" w:customStyle="1" w:styleId="1245">
    <w:name w:val="灰度表格12231"/>
    <w:basedOn w:val="88"/>
    <w:qFormat/>
    <w:uiPriority w:val="0"/>
    <w:pPr>
      <w:jc w:val="center"/>
    </w:pPr>
    <w:rPr>
      <w:rFonts w:ascii="Calibri" w:hAnsi="Calibri" w:eastAsia="仿宋_GB2312"/>
      <w:sz w:val="21"/>
    </w:rPr>
    <w:tblP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
    <w:tcPr>
      <w:vAlign w:val="center"/>
    </w:tcPr>
  </w:style>
  <w:style w:type="table" w:customStyle="1" w:styleId="1246">
    <w:name w:val="灰度表格12241"/>
    <w:basedOn w:val="88"/>
    <w:qFormat/>
    <w:uiPriority w:val="0"/>
    <w:pPr>
      <w:jc w:val="center"/>
    </w:pPr>
    <w:rPr>
      <w:rFonts w:ascii="Calibri" w:hAnsi="Calibri" w:eastAsia="仿宋_GB2312"/>
      <w:sz w:val="21"/>
    </w:rPr>
    <w:tblP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
    <w:tcPr>
      <w:vAlign w:val="center"/>
    </w:tcPr>
  </w:style>
  <w:style w:type="table" w:customStyle="1" w:styleId="1247">
    <w:name w:val="图表样式-HX11"/>
    <w:basedOn w:val="88"/>
    <w:qFormat/>
    <w:uiPriority w:val="99"/>
    <w:rPr>
      <w:rFonts w:ascii="仿宋_GB2312" w:hAnsi="Calibri" w:eastAsia="仿宋_GB2312"/>
    </w:rPr>
    <w:tblPr>
      <w:jc w:val="center"/>
      <w:tblBorders>
        <w:top w:val="single" w:color="auto" w:sz="12" w:space="0"/>
        <w:bottom w:val="single" w:color="auto" w:sz="12" w:space="0"/>
        <w:insideH w:val="single" w:color="auto" w:sz="2" w:space="0"/>
        <w:insideV w:val="single" w:color="auto" w:sz="2" w:space="0"/>
      </w:tblBorders>
    </w:tblPr>
    <w:trPr>
      <w:jc w:val="center"/>
    </w:trPr>
    <w:tcPr>
      <w:vAlign w:val="center"/>
    </w:tcPr>
  </w:style>
  <w:style w:type="table" w:customStyle="1" w:styleId="1248">
    <w:name w:val="表格样式131"/>
    <w:basedOn w:val="88"/>
    <w:qFormat/>
    <w:uiPriority w:val="0"/>
    <w:rPr>
      <w:rFonts w:eastAsia="仿宋_GB2312"/>
      <w:sz w:val="21"/>
    </w:rPr>
    <w:tblPr>
      <w:tblBorders>
        <w:top w:val="single" w:color="auto" w:sz="12" w:space="0"/>
        <w:bottom w:val="single" w:color="auto" w:sz="12" w:space="0"/>
        <w:insideH w:val="single" w:color="auto" w:sz="2" w:space="0"/>
        <w:insideV w:val="single" w:color="auto" w:sz="2" w:space="0"/>
      </w:tblBorders>
    </w:tblPr>
  </w:style>
  <w:style w:type="table" w:customStyle="1" w:styleId="1249">
    <w:name w:val="maoli21"/>
    <w:basedOn w:val="88"/>
    <w:qFormat/>
    <w:uiPriority w:val="0"/>
    <w:rPr>
      <w:rFonts w:eastAsia="仿宋_GB2312"/>
      <w:sz w:val="21"/>
    </w:rPr>
    <w:tblPr>
      <w:tblBorders>
        <w:top w:val="single" w:color="auto" w:sz="12" w:space="0"/>
        <w:bottom w:val="single" w:color="auto" w:sz="12" w:space="0"/>
        <w:insideH w:val="single" w:color="auto" w:sz="4" w:space="0"/>
        <w:insideV w:val="single" w:color="auto" w:sz="4" w:space="0"/>
      </w:tblBorders>
    </w:tblPr>
    <w:tcPr>
      <w:vAlign w:val="center"/>
    </w:tcPr>
  </w:style>
  <w:style w:type="table" w:customStyle="1" w:styleId="1250">
    <w:name w:val="灰度表格122111"/>
    <w:basedOn w:val="8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51">
    <w:name w:val="网格型111"/>
    <w:basedOn w:val="8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52">
    <w:name w:val="网格型211"/>
    <w:basedOn w:val="8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53">
    <w:name w:val="灰度表格122211"/>
    <w:basedOn w:val="8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54">
    <w:name w:val="灰度表格122311"/>
    <w:basedOn w:val="8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55">
    <w:name w:val="表格主题11"/>
    <w:basedOn w:val="88"/>
    <w:qFormat/>
    <w:uiPriority w:val="0"/>
    <w:pPr>
      <w:widowControl w:val="0"/>
      <w:jc w:val="both"/>
    </w:pPr>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table" w:customStyle="1" w:styleId="1256">
    <w:name w:val="表格主题21"/>
    <w:basedOn w:val="88"/>
    <w:unhideWhenUsed/>
    <w:qFormat/>
    <w:uiPriority w:val="0"/>
    <w:pPr>
      <w:widowControl w:val="0"/>
      <w:spacing w:line="500" w:lineRule="exact"/>
      <w:ind w:firstLine="200" w:firstLineChars="200"/>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57">
    <w:name w:val="灰度表格122411"/>
    <w:basedOn w:val="88"/>
    <w:qFormat/>
    <w:uiPriority w:val="0"/>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258">
    <w:name w:val="网格型311"/>
    <w:basedOn w:val="88"/>
    <w:qFormat/>
    <w:uiPriority w:val="0"/>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59">
    <w:name w:val="网格型411"/>
    <w:basedOn w:val="88"/>
    <w:qFormat/>
    <w:uiPriority w:val="0"/>
    <w:rPr>
      <w:rFonts w:ascii="Calibri" w:hAnsi="Calibri"/>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260">
    <w:name w:val="网格型52"/>
    <w:basedOn w:val="88"/>
    <w:qFormat/>
    <w:uiPriority w:val="59"/>
    <w:rPr>
      <w:rFonts w:ascii="Calibri" w:hAnsi="Calibri"/>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1261">
    <w:name w:val="Char Char1 Char3"/>
    <w:basedOn w:val="1"/>
    <w:qFormat/>
    <w:uiPriority w:val="0"/>
    <w:rPr>
      <w:szCs w:val="21"/>
    </w:rPr>
  </w:style>
  <w:style w:type="table" w:customStyle="1" w:styleId="1262">
    <w:name w:val="黄桥表21"/>
    <w:basedOn w:val="8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63">
    <w:name w:val="黄桥表31"/>
    <w:basedOn w:val="8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64">
    <w:name w:val="正文+4号 Char"/>
    <w:link w:val="1265"/>
    <w:qFormat/>
    <w:uiPriority w:val="0"/>
    <w:rPr>
      <w:szCs w:val="24"/>
    </w:rPr>
  </w:style>
  <w:style w:type="paragraph" w:customStyle="1" w:styleId="1265">
    <w:name w:val="正文+4号"/>
    <w:basedOn w:val="1"/>
    <w:link w:val="1264"/>
    <w:qFormat/>
    <w:uiPriority w:val="0"/>
    <w:rPr>
      <w:kern w:val="0"/>
      <w:sz w:val="20"/>
    </w:rPr>
  </w:style>
  <w:style w:type="character" w:customStyle="1" w:styleId="1266">
    <w:name w:val="表标题 Char Char"/>
    <w:qFormat/>
    <w:locked/>
    <w:uiPriority w:val="0"/>
    <w:rPr>
      <w:rFonts w:ascii="仿宋_GB2312" w:eastAsia="仿宋_GB2312"/>
      <w:b/>
      <w:bCs/>
      <w:kern w:val="2"/>
      <w:sz w:val="24"/>
      <w:szCs w:val="24"/>
      <w:lang w:val="en-US" w:eastAsia="zh-CN" w:bidi="ar-SA"/>
    </w:rPr>
  </w:style>
  <w:style w:type="character" w:customStyle="1" w:styleId="1267">
    <w:name w:val="文本框文字设置 Char"/>
    <w:link w:val="1268"/>
    <w:qFormat/>
    <w:uiPriority w:val="0"/>
    <w:rPr>
      <w:rFonts w:ascii="仿宋_GB2312" w:eastAsia="仿宋_GB2312"/>
      <w:szCs w:val="24"/>
    </w:rPr>
  </w:style>
  <w:style w:type="paragraph" w:customStyle="1" w:styleId="1268">
    <w:name w:val="文本框文字设置"/>
    <w:basedOn w:val="1"/>
    <w:link w:val="1267"/>
    <w:qFormat/>
    <w:uiPriority w:val="0"/>
    <w:pPr>
      <w:spacing w:line="300" w:lineRule="exact"/>
      <w:jc w:val="center"/>
    </w:pPr>
    <w:rPr>
      <w:rFonts w:ascii="仿宋_GB2312" w:eastAsia="仿宋_GB2312"/>
      <w:kern w:val="0"/>
      <w:sz w:val="20"/>
    </w:rPr>
  </w:style>
  <w:style w:type="character" w:customStyle="1" w:styleId="1269">
    <w:name w:val="font21"/>
    <w:qFormat/>
    <w:uiPriority w:val="0"/>
    <w:rPr>
      <w:rFonts w:hint="eastAsia" w:ascii="仿宋_GB2312" w:hAnsi="Times New Roman" w:eastAsia="仿宋_GB2312" w:cs="Times New Roman"/>
      <w:color w:val="000000"/>
      <w:sz w:val="21"/>
      <w:szCs w:val="21"/>
      <w:u w:val="none"/>
      <w:vertAlign w:val="subscript"/>
    </w:rPr>
  </w:style>
  <w:style w:type="character" w:customStyle="1" w:styleId="1270">
    <w:name w:val="Char Char14"/>
    <w:qFormat/>
    <w:uiPriority w:val="0"/>
    <w:rPr>
      <w:rFonts w:ascii="Cambria" w:hAnsi="Cambria"/>
      <w:kern w:val="2"/>
      <w:sz w:val="24"/>
      <w:szCs w:val="24"/>
    </w:rPr>
  </w:style>
  <w:style w:type="character" w:customStyle="1" w:styleId="1271">
    <w:name w:val="Char Char9"/>
    <w:qFormat/>
    <w:uiPriority w:val="0"/>
    <w:rPr>
      <w:rFonts w:ascii="仿宋_GB2312" w:hAnsi="Times New Roman" w:eastAsia="仿宋_GB2312"/>
      <w:b/>
      <w:color w:val="000000"/>
      <w:sz w:val="21"/>
      <w:lang w:val="zh-CN" w:eastAsia="zh-CN"/>
    </w:rPr>
  </w:style>
  <w:style w:type="character" w:customStyle="1" w:styleId="1272">
    <w:name w:val="XYF1 Char Char"/>
    <w:qFormat/>
    <w:uiPriority w:val="0"/>
    <w:rPr>
      <w:rFonts w:eastAsia="宋体"/>
      <w:kern w:val="2"/>
      <w:sz w:val="24"/>
      <w:lang w:val="en-US" w:eastAsia="zh-CN" w:bidi="ar-SA"/>
    </w:rPr>
  </w:style>
  <w:style w:type="character" w:customStyle="1" w:styleId="1273">
    <w:name w:val="表头 Char Char"/>
    <w:qFormat/>
    <w:uiPriority w:val="0"/>
    <w:rPr>
      <w:rFonts w:eastAsia="黑体"/>
      <w:spacing w:val="-10"/>
    </w:rPr>
  </w:style>
  <w:style w:type="character" w:customStyle="1" w:styleId="1274">
    <w:name w:val="font01"/>
    <w:qFormat/>
    <w:uiPriority w:val="0"/>
    <w:rPr>
      <w:rFonts w:hint="eastAsia" w:ascii="仿宋_GB2312" w:hAnsi="Times New Roman" w:eastAsia="仿宋_GB2312" w:cs="Times New Roman"/>
      <w:color w:val="000000"/>
      <w:sz w:val="21"/>
      <w:szCs w:val="21"/>
      <w:u w:val="none"/>
      <w:vertAlign w:val="superscript"/>
    </w:rPr>
  </w:style>
  <w:style w:type="character" w:customStyle="1" w:styleId="1275">
    <w:name w:val="样式 表标题 + 五号 非加粗 Char"/>
    <w:link w:val="1276"/>
    <w:qFormat/>
    <w:uiPriority w:val="0"/>
    <w:rPr>
      <w:rFonts w:ascii="仿宋_GB2312" w:eastAsia="仿宋_GB2312"/>
      <w:b/>
      <w:szCs w:val="24"/>
    </w:rPr>
  </w:style>
  <w:style w:type="paragraph" w:customStyle="1" w:styleId="1276">
    <w:name w:val="样式 表标题 + 五号 非加粗"/>
    <w:basedOn w:val="162"/>
    <w:link w:val="1275"/>
    <w:qFormat/>
    <w:uiPriority w:val="0"/>
    <w:rPr>
      <w:bCs w:val="0"/>
      <w:kern w:val="0"/>
      <w:sz w:val="20"/>
    </w:rPr>
  </w:style>
  <w:style w:type="character" w:customStyle="1" w:styleId="1277">
    <w:name w:val="font31"/>
    <w:qFormat/>
    <w:uiPriority w:val="0"/>
    <w:rPr>
      <w:rFonts w:hint="eastAsia" w:ascii="仿宋_GB2312" w:hAnsi="Times New Roman" w:eastAsia="仿宋_GB2312" w:cs="Times New Roman"/>
      <w:color w:val="FF0000"/>
      <w:sz w:val="21"/>
      <w:szCs w:val="21"/>
      <w:u w:val="none"/>
      <w:vertAlign w:val="subscript"/>
    </w:rPr>
  </w:style>
  <w:style w:type="character" w:customStyle="1" w:styleId="1278">
    <w:name w:val="尾注文本 Char1"/>
    <w:qFormat/>
    <w:uiPriority w:val="99"/>
    <w:rPr>
      <w:kern w:val="2"/>
      <w:sz w:val="21"/>
      <w:szCs w:val="24"/>
    </w:rPr>
  </w:style>
  <w:style w:type="character" w:customStyle="1" w:styleId="1279">
    <w:name w:val="日期 Char1"/>
    <w:qFormat/>
    <w:uiPriority w:val="0"/>
    <w:rPr>
      <w:rFonts w:ascii="仿宋_GB2312" w:hAnsi="仿宋_GB2312" w:eastAsia="仿宋_GB2312" w:cs="Times New Roman"/>
      <w:sz w:val="28"/>
      <w:szCs w:val="21"/>
    </w:rPr>
  </w:style>
  <w:style w:type="paragraph" w:customStyle="1" w:styleId="1280">
    <w:name w:val="Char Char Char1 Char Char Char Char Char Char Char"/>
    <w:basedOn w:val="1"/>
    <w:qFormat/>
    <w:uiPriority w:val="0"/>
    <w:rPr>
      <w:rFonts w:ascii="Tahoma" w:hAnsi="Tahoma"/>
      <w:sz w:val="24"/>
      <w:szCs w:val="20"/>
    </w:rPr>
  </w:style>
  <w:style w:type="paragraph" w:customStyle="1" w:styleId="1281">
    <w:name w:val="环标1"/>
    <w:basedOn w:val="4"/>
    <w:qFormat/>
    <w:uiPriority w:val="0"/>
    <w:pPr>
      <w:keepNext w:val="0"/>
      <w:keepLines w:val="0"/>
      <w:tabs>
        <w:tab w:val="left" w:pos="0"/>
      </w:tabs>
      <w:adjustRightInd w:val="0"/>
      <w:spacing w:before="0" w:after="120" w:line="312" w:lineRule="atLeast"/>
      <w:ind w:hanging="6"/>
      <w:jc w:val="left"/>
      <w:textAlignment w:val="baseline"/>
    </w:pPr>
    <w:rPr>
      <w:rFonts w:ascii="黑体" w:eastAsia="黑体"/>
      <w:b w:val="0"/>
      <w:bCs w:val="0"/>
      <w:sz w:val="32"/>
      <w:szCs w:val="20"/>
    </w:rPr>
  </w:style>
  <w:style w:type="paragraph" w:customStyle="1" w:styleId="1282">
    <w:name w:val="样式 普通(网站) + 仿宋_GB2312 五号 居中 首行缩进:  0.74 厘米 段前: 自动 段后: 自动 行..."/>
    <w:basedOn w:val="1"/>
    <w:qFormat/>
    <w:uiPriority w:val="0"/>
    <w:pPr>
      <w:widowControl/>
      <w:spacing w:before="100" w:beforeAutospacing="1" w:after="100" w:afterAutospacing="1" w:line="240" w:lineRule="atLeast"/>
      <w:jc w:val="center"/>
    </w:pPr>
    <w:rPr>
      <w:rFonts w:ascii="仿宋_GB2312" w:hAnsi="Arial Unicode MS" w:eastAsia="仿宋_GB2312" w:cs="宋体"/>
      <w:kern w:val="0"/>
      <w:szCs w:val="20"/>
    </w:rPr>
  </w:style>
  <w:style w:type="paragraph" w:customStyle="1" w:styleId="1283">
    <w:name w:val="et6"/>
    <w:basedOn w:val="1"/>
    <w:qFormat/>
    <w:uiPriority w:val="0"/>
    <w:pPr>
      <w:widowControl/>
      <w:spacing w:before="100" w:beforeAutospacing="1" w:after="100" w:afterAutospacing="1"/>
      <w:jc w:val="left"/>
      <w:textAlignment w:val="center"/>
    </w:pPr>
    <w:rPr>
      <w:rFonts w:ascii="仿宋_GB2312" w:hAnsi="宋体" w:eastAsia="仿宋_GB2312" w:cs="宋体"/>
      <w:color w:val="000000"/>
      <w:kern w:val="0"/>
      <w:sz w:val="24"/>
    </w:rPr>
  </w:style>
  <w:style w:type="paragraph" w:customStyle="1" w:styleId="1284">
    <w:name w:val="et9"/>
    <w:basedOn w:val="1"/>
    <w:qFormat/>
    <w:uiPriority w:val="0"/>
    <w:pPr>
      <w:widowControl/>
      <w:spacing w:before="100" w:beforeAutospacing="1" w:after="100" w:afterAutospacing="1"/>
      <w:jc w:val="left"/>
      <w:textAlignment w:val="center"/>
    </w:pPr>
    <w:rPr>
      <w:rFonts w:ascii="仿宋_GB2312" w:hAnsi="宋体" w:eastAsia="仿宋_GB2312" w:cs="宋体"/>
      <w:color w:val="000000"/>
      <w:kern w:val="0"/>
      <w:sz w:val="24"/>
    </w:rPr>
  </w:style>
  <w:style w:type="paragraph" w:customStyle="1" w:styleId="1285">
    <w:name w:val="样式 图表文字 + 非加粗 两端对齐 行距: 固定值 16 磅"/>
    <w:basedOn w:val="163"/>
    <w:qFormat/>
    <w:uiPriority w:val="0"/>
    <w:pPr>
      <w:spacing w:line="240" w:lineRule="atLeast"/>
    </w:pPr>
    <w:rPr>
      <w:rFonts w:cs="宋体"/>
      <w:kern w:val="0"/>
      <w:sz w:val="20"/>
      <w:szCs w:val="20"/>
    </w:rPr>
  </w:style>
  <w:style w:type="paragraph" w:customStyle="1" w:styleId="1286">
    <w:name w:val="样式 图表文字 + 非加粗 两端对齐 首行缩进:  0.99 厘米 行距: 固定值 16 磅"/>
    <w:basedOn w:val="163"/>
    <w:qFormat/>
    <w:uiPriority w:val="0"/>
    <w:pPr>
      <w:spacing w:line="240" w:lineRule="atLeast"/>
    </w:pPr>
    <w:rPr>
      <w:rFonts w:cs="宋体"/>
      <w:kern w:val="0"/>
      <w:sz w:val="20"/>
      <w:szCs w:val="20"/>
    </w:rPr>
  </w:style>
  <w:style w:type="paragraph" w:customStyle="1" w:styleId="1287">
    <w:name w:val="表格文字改"/>
    <w:basedOn w:val="1"/>
    <w:qFormat/>
    <w:uiPriority w:val="0"/>
    <w:pPr>
      <w:spacing w:line="240" w:lineRule="atLeast"/>
      <w:jc w:val="center"/>
    </w:pPr>
    <w:rPr>
      <w:rFonts w:ascii="仿宋_GB2312" w:hAnsi="仿宋_GB2312" w:eastAsia="仿宋_GB2312" w:cs="宋体"/>
      <w:color w:val="000000"/>
      <w:kern w:val="0"/>
      <w:szCs w:val="20"/>
    </w:rPr>
  </w:style>
  <w:style w:type="paragraph" w:customStyle="1" w:styleId="1288">
    <w:name w:val="样式 图表文字 + 非加粗 首行缩进:  0.99 厘米 行距: 固定值 15 磅"/>
    <w:basedOn w:val="163"/>
    <w:qFormat/>
    <w:uiPriority w:val="0"/>
    <w:pPr>
      <w:spacing w:line="240" w:lineRule="atLeast"/>
    </w:pPr>
    <w:rPr>
      <w:rFonts w:cs="宋体"/>
      <w:kern w:val="0"/>
      <w:sz w:val="20"/>
      <w:szCs w:val="20"/>
    </w:rPr>
  </w:style>
  <w:style w:type="paragraph" w:customStyle="1" w:styleId="1289">
    <w:name w:val="样式 居中 首行缩进:  2 字符 行距: 固定值 15 磅"/>
    <w:basedOn w:val="1"/>
    <w:qFormat/>
    <w:uiPriority w:val="0"/>
    <w:pPr>
      <w:spacing w:line="240" w:lineRule="atLeast"/>
      <w:jc w:val="center"/>
    </w:pPr>
    <w:rPr>
      <w:rFonts w:ascii="仿宋_GB2312" w:hAnsi="仿宋_GB2312" w:eastAsia="仿宋_GB2312" w:cs="宋体"/>
      <w:color w:val="000000"/>
      <w:kern w:val="0"/>
      <w:szCs w:val="20"/>
    </w:rPr>
  </w:style>
  <w:style w:type="paragraph" w:customStyle="1" w:styleId="1290">
    <w:name w:val="et7"/>
    <w:basedOn w:val="1"/>
    <w:qFormat/>
    <w:uiPriority w:val="0"/>
    <w:pPr>
      <w:widowControl/>
      <w:spacing w:before="100" w:beforeAutospacing="1" w:after="100" w:afterAutospacing="1"/>
      <w:jc w:val="left"/>
      <w:textAlignment w:val="center"/>
    </w:pPr>
    <w:rPr>
      <w:rFonts w:ascii="仿宋_GB2312" w:hAnsi="宋体" w:eastAsia="仿宋_GB2312" w:cs="宋体"/>
      <w:color w:val="000000"/>
      <w:kern w:val="0"/>
      <w:sz w:val="24"/>
    </w:rPr>
  </w:style>
  <w:style w:type="paragraph" w:customStyle="1" w:styleId="1291">
    <w:name w:val="样式 图表文字 + 非加粗 黑色 首行缩进:  0.99 厘米 行距: 固定值 15 磅"/>
    <w:basedOn w:val="163"/>
    <w:qFormat/>
    <w:uiPriority w:val="0"/>
    <w:pPr>
      <w:spacing w:line="240" w:lineRule="atLeast"/>
    </w:pPr>
    <w:rPr>
      <w:rFonts w:cs="宋体"/>
      <w:color w:val="000000"/>
      <w:kern w:val="0"/>
      <w:sz w:val="20"/>
      <w:szCs w:val="20"/>
    </w:rPr>
  </w:style>
  <w:style w:type="paragraph" w:customStyle="1" w:styleId="1292">
    <w:name w:val="Char Char Char Char1 Char Char Char Char Char"/>
    <w:basedOn w:val="1"/>
    <w:qFormat/>
    <w:uiPriority w:val="0"/>
    <w:pPr>
      <w:widowControl/>
      <w:spacing w:after="160" w:line="240" w:lineRule="exact"/>
      <w:jc w:val="left"/>
    </w:pPr>
    <w:rPr>
      <w:sz w:val="24"/>
      <w:lang w:eastAsia="en-US"/>
    </w:rPr>
  </w:style>
  <w:style w:type="paragraph" w:customStyle="1" w:styleId="1293">
    <w:name w:val="样式 (符号) Times New Roman 五号 首行缩进:  2 字符 行距: 固定值 15 磅"/>
    <w:basedOn w:val="1"/>
    <w:qFormat/>
    <w:uiPriority w:val="0"/>
    <w:pPr>
      <w:spacing w:line="240" w:lineRule="atLeast"/>
      <w:jc w:val="center"/>
    </w:pPr>
    <w:rPr>
      <w:rFonts w:ascii="仿宋_GB2312" w:eastAsia="仿宋_GB2312" w:cs="宋体"/>
      <w:color w:val="000000"/>
      <w:szCs w:val="20"/>
    </w:rPr>
  </w:style>
  <w:style w:type="paragraph" w:customStyle="1" w:styleId="1294">
    <w:name w:val="et10"/>
    <w:basedOn w:val="1"/>
    <w:qFormat/>
    <w:uiPriority w:val="0"/>
    <w:pPr>
      <w:widowControl/>
      <w:spacing w:before="100" w:beforeAutospacing="1" w:after="100" w:afterAutospacing="1"/>
      <w:jc w:val="left"/>
      <w:textAlignment w:val="center"/>
    </w:pPr>
    <w:rPr>
      <w:rFonts w:ascii="仿宋_GB2312" w:hAnsi="宋体" w:eastAsia="仿宋_GB2312" w:cs="宋体"/>
      <w:color w:val="000000"/>
      <w:kern w:val="0"/>
      <w:sz w:val="24"/>
    </w:rPr>
  </w:style>
  <w:style w:type="paragraph" w:customStyle="1" w:styleId="1295">
    <w:name w:val="样式 五号 居中 首行缩进:  2 字符"/>
    <w:basedOn w:val="1"/>
    <w:qFormat/>
    <w:uiPriority w:val="0"/>
    <w:pPr>
      <w:spacing w:line="240" w:lineRule="atLeast"/>
      <w:jc w:val="center"/>
    </w:pPr>
    <w:rPr>
      <w:rFonts w:ascii="仿宋_GB2312" w:hAnsi="仿宋_GB2312" w:eastAsia="仿宋_GB2312" w:cs="宋体"/>
      <w:color w:val="000000"/>
      <w:kern w:val="0"/>
      <w:szCs w:val="20"/>
    </w:rPr>
  </w:style>
  <w:style w:type="paragraph" w:customStyle="1" w:styleId="1296">
    <w:name w:val="et8"/>
    <w:basedOn w:val="1"/>
    <w:qFormat/>
    <w:uiPriority w:val="0"/>
    <w:pPr>
      <w:widowControl/>
      <w:spacing w:before="100" w:beforeAutospacing="1" w:after="100" w:afterAutospacing="1"/>
      <w:jc w:val="left"/>
      <w:textAlignment w:val="center"/>
    </w:pPr>
    <w:rPr>
      <w:rFonts w:ascii="仿宋_GB2312" w:hAnsi="宋体" w:eastAsia="仿宋_GB2312" w:cs="宋体"/>
      <w:color w:val="000000"/>
      <w:kern w:val="0"/>
      <w:sz w:val="24"/>
    </w:rPr>
  </w:style>
  <w:style w:type="paragraph" w:customStyle="1" w:styleId="1297">
    <w:name w:val="样式 五号 首行缩进:  2 字符"/>
    <w:basedOn w:val="1"/>
    <w:qFormat/>
    <w:uiPriority w:val="0"/>
    <w:pPr>
      <w:spacing w:line="500" w:lineRule="exact"/>
      <w:jc w:val="center"/>
    </w:pPr>
    <w:rPr>
      <w:rFonts w:ascii="仿宋_GB2312" w:hAnsi="仿宋_GB2312" w:eastAsia="仿宋_GB2312" w:cs="宋体"/>
      <w:color w:val="000000"/>
      <w:kern w:val="0"/>
      <w:szCs w:val="20"/>
    </w:rPr>
  </w:style>
  <w:style w:type="paragraph" w:customStyle="1" w:styleId="1298">
    <w:name w:val="样式 (符号) 宋体 五号 居中 行距: 单倍行距"/>
    <w:basedOn w:val="1"/>
    <w:qFormat/>
    <w:uiPriority w:val="0"/>
    <w:pPr>
      <w:jc w:val="center"/>
    </w:pPr>
    <w:rPr>
      <w:rFonts w:ascii="仿宋_GB2312" w:hAnsi="宋体" w:eastAsia="仿宋_GB2312" w:cs="宋体"/>
      <w:color w:val="000000"/>
      <w:kern w:val="0"/>
      <w:szCs w:val="20"/>
    </w:rPr>
  </w:style>
  <w:style w:type="paragraph" w:customStyle="1" w:styleId="1299">
    <w:name w:val="样式 (符号) Times New Roman 五号 居中 首行缩进:  2 字符 行距: 固定值 15 磅"/>
    <w:basedOn w:val="1"/>
    <w:qFormat/>
    <w:uiPriority w:val="0"/>
    <w:pPr>
      <w:spacing w:line="240" w:lineRule="atLeast"/>
      <w:jc w:val="center"/>
    </w:pPr>
    <w:rPr>
      <w:rFonts w:ascii="仿宋_GB2312" w:eastAsia="仿宋_GB2312" w:cs="宋体"/>
      <w:color w:val="000000"/>
      <w:szCs w:val="20"/>
    </w:rPr>
  </w:style>
  <w:style w:type="paragraph" w:customStyle="1" w:styleId="1300">
    <w:name w:val="样式 样式 题注 + 首行缩进:  2 字符 行距: 单倍行距 + 首行缩进:  2 字符"/>
    <w:basedOn w:val="1"/>
    <w:qFormat/>
    <w:uiPriority w:val="0"/>
    <w:pPr>
      <w:ind w:firstLine="422" w:firstLineChars="200"/>
      <w:jc w:val="center"/>
    </w:pPr>
    <w:rPr>
      <w:rFonts w:ascii="仿宋_GB2312" w:hAnsi="Arial" w:eastAsia="仿宋_GB2312" w:cs="宋体"/>
      <w:b/>
      <w:bCs/>
      <w:color w:val="000000"/>
      <w:kern w:val="0"/>
      <w:szCs w:val="20"/>
    </w:rPr>
  </w:style>
  <w:style w:type="paragraph" w:customStyle="1" w:styleId="1301">
    <w:name w:val="et11"/>
    <w:basedOn w:val="1"/>
    <w:qFormat/>
    <w:uiPriority w:val="0"/>
    <w:pPr>
      <w:widowControl/>
      <w:spacing w:before="100" w:beforeAutospacing="1" w:after="100" w:afterAutospacing="1"/>
      <w:jc w:val="left"/>
      <w:textAlignment w:val="center"/>
    </w:pPr>
    <w:rPr>
      <w:rFonts w:ascii="仿宋_GB2312" w:hAnsi="宋体" w:eastAsia="仿宋_GB2312" w:cs="宋体"/>
      <w:color w:val="000000"/>
      <w:kern w:val="0"/>
      <w:sz w:val="24"/>
    </w:rPr>
  </w:style>
  <w:style w:type="table" w:customStyle="1" w:styleId="1302">
    <w:name w:val="网格型 1121"/>
    <w:basedOn w:val="88"/>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cPr>
        <w:tcBorders>
          <w:top w:val="nil"/>
          <w:left w:val="nil"/>
          <w:bottom w:val="nil"/>
          <w:right w:val="nil"/>
          <w:insideH w:val="nil"/>
          <w:insideV w:val="nil"/>
          <w:tl2br w:val="nil"/>
          <w:tr2bl w:val="nil"/>
        </w:tcBorders>
      </w:tcPr>
    </w:tblStylePr>
    <w:tblStylePr w:type="lastCol">
      <w:rPr>
        <w:i/>
        <w:iCs/>
      </w:rPr>
      <w:tcPr>
        <w:tcBorders>
          <w:top w:val="nil"/>
          <w:left w:val="nil"/>
          <w:bottom w:val="nil"/>
          <w:right w:val="nil"/>
          <w:insideH w:val="nil"/>
          <w:insideV w:val="nil"/>
          <w:tl2br w:val="nil"/>
          <w:tr2bl w:val="nil"/>
        </w:tcBorders>
      </w:tcPr>
    </w:tblStylePr>
    <w:tblStylePr w:type="nwCell">
      <w:tcPr>
        <w:tcBorders>
          <w:top w:val="nil"/>
          <w:left w:val="nil"/>
          <w:bottom w:val="nil"/>
          <w:right w:val="nil"/>
          <w:insideH w:val="nil"/>
          <w:insideV w:val="nil"/>
          <w:tl2br w:val="single" w:color="000000" w:sz="6" w:space="0"/>
          <w:tr2bl w:val="nil"/>
        </w:tcBorders>
      </w:tcPr>
    </w:tblStylePr>
  </w:style>
  <w:style w:type="character" w:customStyle="1" w:styleId="1303">
    <w:name w:val="标题 2 Char1"/>
    <w:qFormat/>
    <w:uiPriority w:val="9"/>
    <w:rPr>
      <w:rFonts w:ascii="Times New Roman" w:hAnsi="Times New Roman" w:eastAsia="仿宋_GB2312" w:cs="Times New Roman"/>
      <w:b/>
      <w:spacing w:val="6"/>
      <w:kern w:val="0"/>
      <w:sz w:val="30"/>
      <w:szCs w:val="30"/>
      <w:lang w:val="zh-CN" w:eastAsia="zh-CN"/>
    </w:rPr>
  </w:style>
  <w:style w:type="character" w:customStyle="1" w:styleId="1304">
    <w:name w:val="font51"/>
    <w:qFormat/>
    <w:uiPriority w:val="0"/>
    <w:rPr>
      <w:rFonts w:hint="eastAsia" w:ascii="宋体" w:hAnsi="宋体" w:eastAsia="宋体" w:cs="宋体"/>
      <w:color w:val="FF0000"/>
      <w:sz w:val="21"/>
      <w:szCs w:val="21"/>
    </w:rPr>
  </w:style>
  <w:style w:type="character" w:customStyle="1" w:styleId="1305">
    <w:name w:val="font41"/>
    <w:basedOn w:val="133"/>
    <w:qFormat/>
    <w:uiPriority w:val="0"/>
    <w:rPr>
      <w:rFonts w:hint="eastAsia" w:ascii="宋体" w:hAnsi="宋体" w:eastAsia="宋体" w:cs="宋体"/>
      <w:color w:val="FF0000"/>
      <w:sz w:val="21"/>
      <w:szCs w:val="21"/>
    </w:rPr>
  </w:style>
  <w:style w:type="character" w:customStyle="1" w:styleId="1306">
    <w:name w:val="search_result_snap1"/>
    <w:qFormat/>
    <w:uiPriority w:val="0"/>
    <w:rPr>
      <w:sz w:val="21"/>
      <w:szCs w:val="21"/>
    </w:rPr>
  </w:style>
  <w:style w:type="character" w:customStyle="1" w:styleId="1307">
    <w:name w:val="H4 Char1"/>
    <w:qFormat/>
    <w:uiPriority w:val="0"/>
    <w:rPr>
      <w:rFonts w:ascii="仿宋_GB2312" w:hAnsi="Arial" w:eastAsia="仿宋_GB2312" w:cs="Times New Roman"/>
      <w:bCs/>
      <w:sz w:val="28"/>
      <w:szCs w:val="28"/>
    </w:rPr>
  </w:style>
  <w:style w:type="character" w:customStyle="1" w:styleId="1308">
    <w:name w:val="标题 Char3"/>
    <w:qFormat/>
    <w:uiPriority w:val="10"/>
    <w:rPr>
      <w:rFonts w:ascii="Cambria" w:hAnsi="Cambria" w:eastAsia="宋体" w:cs="Times New Roman"/>
      <w:b/>
      <w:bCs/>
      <w:sz w:val="32"/>
      <w:szCs w:val="32"/>
    </w:rPr>
  </w:style>
  <w:style w:type="paragraph" w:customStyle="1" w:styleId="1309">
    <w:name w:val="标题12"/>
    <w:basedOn w:val="1"/>
    <w:qFormat/>
    <w:uiPriority w:val="0"/>
    <w:pPr>
      <w:spacing w:after="240"/>
      <w:outlineLvl w:val="0"/>
    </w:pPr>
    <w:rPr>
      <w:rFonts w:eastAsia="黑体"/>
      <w:sz w:val="44"/>
      <w:szCs w:val="44"/>
    </w:rPr>
  </w:style>
  <w:style w:type="character" w:customStyle="1" w:styleId="1310">
    <w:name w:val="注释标题 Char1"/>
    <w:semiHidden/>
    <w:qFormat/>
    <w:uiPriority w:val="0"/>
    <w:rPr>
      <w:rFonts w:ascii="仿宋_GB2312" w:hAnsi="仿宋_GB2312" w:eastAsia="仿宋_GB2312" w:cs="Times New Roman"/>
      <w:sz w:val="28"/>
      <w:szCs w:val="21"/>
    </w:rPr>
  </w:style>
  <w:style w:type="paragraph" w:customStyle="1" w:styleId="1311">
    <w:name w:val="列出段落21"/>
    <w:basedOn w:val="1"/>
    <w:qFormat/>
    <w:uiPriority w:val="0"/>
    <w:pPr>
      <w:spacing w:line="240" w:lineRule="atLeast"/>
      <w:ind w:firstLine="420" w:firstLineChars="200"/>
    </w:pPr>
    <w:rPr>
      <w:rFonts w:ascii="Calibri" w:hAnsi="Calibri"/>
      <w:szCs w:val="22"/>
    </w:rPr>
  </w:style>
  <w:style w:type="paragraph" w:customStyle="1" w:styleId="1312">
    <w:name w:val="正文31"/>
    <w:qFormat/>
    <w:uiPriority w:val="0"/>
    <w:pPr>
      <w:widowControl w:val="0"/>
      <w:adjustRightInd w:val="0"/>
      <w:spacing w:line="315" w:lineRule="atLeast"/>
      <w:jc w:val="both"/>
      <w:textAlignment w:val="baseline"/>
    </w:pPr>
    <w:rPr>
      <w:rFonts w:ascii="宋体" w:hAnsi="Times New Roman" w:eastAsia="宋体" w:cs="Times New Roman"/>
      <w:sz w:val="24"/>
      <w:lang w:val="en-US" w:eastAsia="zh-CN" w:bidi="ar-SA"/>
    </w:rPr>
  </w:style>
  <w:style w:type="table" w:customStyle="1" w:styleId="1313">
    <w:name w:val="古典型 111"/>
    <w:basedOn w:val="88"/>
    <w:qFormat/>
    <w:uiPriority w:val="0"/>
    <w:pPr>
      <w:widowControl w:val="0"/>
      <w:adjustRightInd w:val="0"/>
      <w:spacing w:line="312" w:lineRule="atLeast"/>
      <w:jc w:val="both"/>
      <w:textAlignment w:val="baseline"/>
    </w:pPr>
    <w:tblPr>
      <w:tblBorders>
        <w:top w:val="single" w:color="000000" w:sz="12" w:space="0"/>
        <w:bottom w:val="single" w:color="000000" w:sz="12" w:space="0"/>
      </w:tblBorders>
    </w:tblPr>
    <w:tcPr>
      <w:shd w:val="clear" w:color="auto" w:fill="auto"/>
    </w:tcPr>
    <w:tblStylePr w:type="firstRow">
      <w:rPr>
        <w:i/>
        <w:iCs/>
      </w:rPr>
      <w:tcPr>
        <w:tcBorders>
          <w:bottom w:val="single" w:color="000000" w:sz="6" w:space="0"/>
          <w:tl2br w:val="nil"/>
          <w:tr2bl w:val="nil"/>
        </w:tcBorders>
      </w:tcPr>
    </w:tblStylePr>
    <w:tblStylePr w:type="lastRow">
      <w:rPr>
        <w:color w:val="auto"/>
      </w:rPr>
      <w:tcPr>
        <w:tcBorders>
          <w:top w:val="single" w:color="000000" w:sz="6" w:space="0"/>
          <w:tl2br w:val="nil"/>
          <w:tr2bl w:val="nil"/>
        </w:tcBorders>
      </w:tcPr>
    </w:tblStylePr>
    <w:tblStylePr w:type="firstCol">
      <w:tcPr>
        <w:tcBorders>
          <w:right w:val="single" w:color="000000" w:sz="6" w:space="0"/>
          <w:tl2br w:val="nil"/>
          <w:tr2bl w:val="nil"/>
        </w:tcBorders>
      </w:tcPr>
    </w:tblStylePr>
    <w:tblStylePr w:type="neCell">
      <w:rPr>
        <w:b/>
        <w:bCs/>
        <w:i w:val="0"/>
        <w:iCs w:val="0"/>
      </w:rPr>
      <w:tcPr>
        <w:tcBorders>
          <w:tl2br w:val="nil"/>
          <w:tr2bl w:val="nil"/>
        </w:tcBorders>
      </w:tcPr>
    </w:tblStylePr>
    <w:tblStylePr w:type="swCell">
      <w:rPr>
        <w:b/>
        <w:bCs/>
      </w:rPr>
      <w:tcPr>
        <w:tcBorders>
          <w:tl2br w:val="nil"/>
          <w:tr2bl w:val="nil"/>
        </w:tcBorders>
      </w:tcPr>
    </w:tblStylePr>
  </w:style>
  <w:style w:type="table" w:customStyle="1" w:styleId="1314">
    <w:name w:val="最普通21"/>
    <w:basedOn w:val="121"/>
    <w:qFormat/>
    <w:uiPriority w:val="0"/>
    <w:pPr>
      <w:spacing w:line="500" w:lineRule="exact"/>
    </w:pPr>
    <w:tcPr>
      <w:shd w:val="clear" w:color="auto" w:fill="auto"/>
      <w:vAlign w:val="center"/>
    </w:tcPr>
    <w:tblStylePr w:type="lastRow">
      <w:rPr>
        <w:i/>
        <w:iCs/>
      </w:rPr>
      <w:tcPr>
        <w:tcBorders>
          <w:tl2br w:val="nil"/>
          <w:tr2bl w:val="nil"/>
        </w:tcBorders>
      </w:tcPr>
    </w:tblStylePr>
    <w:tblStylePr w:type="lastCol">
      <w:rPr>
        <w:i/>
        <w:iCs/>
      </w:rPr>
      <w:tcPr>
        <w:tcBorders>
          <w:tl2br w:val="nil"/>
          <w:tr2bl w:val="nil"/>
        </w:tcBorders>
      </w:tcPr>
    </w:tblStylePr>
    <w:tblStylePr w:type="nwCell">
      <w:tcPr>
        <w:tcBorders>
          <w:tl2br w:val="single" w:color="000000" w:sz="6" w:space="0"/>
          <w:tr2bl w:val="nil"/>
        </w:tcBorders>
      </w:tcPr>
    </w:tblStylePr>
  </w:style>
  <w:style w:type="table" w:customStyle="1" w:styleId="1315">
    <w:name w:val="喜欢的21"/>
    <w:basedOn w:val="99"/>
    <w:qFormat/>
    <w:uiPriority w:val="0"/>
    <w:tcPr>
      <w:shd w:val="clear" w:color="auto" w:fill="auto"/>
      <w:vAlign w:val="center"/>
    </w:tcPr>
    <w:tblStylePr w:type="firstRow">
      <w:tcPr>
        <w:tcBorders>
          <w:bottom w:val="single" w:color="008000" w:sz="6" w:space="0"/>
          <w:tl2br w:val="nil"/>
          <w:tr2bl w:val="nil"/>
        </w:tcBorders>
      </w:tcPr>
    </w:tblStylePr>
    <w:tblStylePr w:type="lastRow">
      <w:tcPr>
        <w:tcBorders>
          <w:top w:val="single" w:color="008000" w:sz="6" w:space="0"/>
          <w:tl2br w:val="nil"/>
          <w:tr2bl w:val="nil"/>
        </w:tcBorders>
      </w:tcPr>
    </w:tblStylePr>
  </w:style>
  <w:style w:type="table" w:customStyle="1" w:styleId="1316">
    <w:name w:val="喜欢的111"/>
    <w:basedOn w:val="99"/>
    <w:qFormat/>
    <w:uiPriority w:val="0"/>
    <w:tblPr>
      <w:tblBorders>
        <w:insideH w:val="single" w:color="008000" w:sz="4" w:space="0"/>
        <w:insideV w:val="single" w:color="008000" w:sz="4" w:space="0"/>
      </w:tblBorders>
    </w:tblPr>
    <w:tcPr>
      <w:shd w:val="clear" w:color="auto" w:fill="FFFFFF"/>
      <w:vAlign w:val="center"/>
    </w:tcPr>
    <w:tblStylePr w:type="firstRow">
      <w:tcPr>
        <w:tcBorders>
          <w:bottom w:val="single" w:color="008000" w:sz="6" w:space="0"/>
          <w:tl2br w:val="nil"/>
          <w:tr2bl w:val="nil"/>
        </w:tcBorders>
      </w:tcPr>
    </w:tblStylePr>
    <w:tblStylePr w:type="lastRow">
      <w:tcPr>
        <w:tcBorders>
          <w:top w:val="single" w:color="008000" w:sz="6" w:space="0"/>
          <w:tl2br w:val="nil"/>
          <w:tr2bl w:val="nil"/>
        </w:tcBorders>
      </w:tcPr>
    </w:tblStylePr>
  </w:style>
  <w:style w:type="table" w:customStyle="1" w:styleId="1317">
    <w:name w:val="表格样式1111"/>
    <w:basedOn w:val="88"/>
    <w:qFormat/>
    <w:uiPriority w:val="0"/>
    <w:rPr>
      <w:rFonts w:eastAsia="楷体_GB2312"/>
    </w:rPr>
    <w:tblPr>
      <w:tblBorders>
        <w:top w:val="single" w:color="auto" w:sz="12" w:space="0"/>
        <w:bottom w:val="single" w:color="auto" w:sz="12" w:space="0"/>
        <w:insideH w:val="single" w:color="auto" w:sz="2" w:space="0"/>
        <w:insideV w:val="single" w:color="auto" w:sz="2" w:space="0"/>
      </w:tblBorders>
    </w:tblPr>
  </w:style>
  <w:style w:type="table" w:customStyle="1" w:styleId="1318">
    <w:name w:val="最普通111"/>
    <w:basedOn w:val="121"/>
    <w:qFormat/>
    <w:uiPriority w:val="0"/>
    <w:pPr>
      <w:spacing w:line="500" w:lineRule="exact"/>
    </w:pPr>
    <w:tcPr>
      <w:shd w:val="clear" w:color="auto" w:fill="auto"/>
      <w:vAlign w:val="center"/>
    </w:tcPr>
    <w:tblStylePr w:type="lastRow">
      <w:rPr>
        <w:i/>
        <w:iCs/>
      </w:rPr>
      <w:tcPr>
        <w:tcBorders>
          <w:tl2br w:val="nil"/>
          <w:tr2bl w:val="nil"/>
        </w:tcBorders>
      </w:tcPr>
    </w:tblStylePr>
    <w:tblStylePr w:type="lastCol">
      <w:rPr>
        <w:i/>
        <w:iCs/>
      </w:rPr>
      <w:tcPr>
        <w:tcBorders>
          <w:tl2br w:val="nil"/>
          <w:tr2bl w:val="nil"/>
        </w:tcBorders>
      </w:tcPr>
    </w:tblStylePr>
    <w:tblStylePr w:type="nwCell">
      <w:tcPr>
        <w:tcBorders>
          <w:tl2br w:val="single" w:color="000000" w:sz="6" w:space="0"/>
          <w:tr2bl w:val="nil"/>
        </w:tcBorders>
      </w:tcPr>
    </w:tblStylePr>
  </w:style>
  <w:style w:type="table" w:customStyle="1" w:styleId="1319">
    <w:name w:val="专业型11"/>
    <w:basedOn w:val="88"/>
    <w:qFormat/>
    <w:uiPriority w:val="0"/>
    <w:pPr>
      <w:widowControl w:val="0"/>
      <w:spacing w:line="500" w:lineRule="exact"/>
      <w:ind w:firstLine="20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cPr>
        <w:tcBorders>
          <w:tl2br w:val="nil"/>
          <w:tr2bl w:val="nil"/>
        </w:tcBorders>
        <w:shd w:val="solid" w:color="000000" w:fill="FFFFFF"/>
      </w:tcPr>
    </w:tblStylePr>
  </w:style>
  <w:style w:type="table" w:customStyle="1" w:styleId="1320">
    <w:name w:val="网格型 11111"/>
    <w:basedOn w:val="88"/>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cPr>
        <w:tcBorders>
          <w:tl2br w:val="nil"/>
          <w:tr2bl w:val="nil"/>
        </w:tcBorders>
      </w:tcPr>
    </w:tblStylePr>
    <w:tblStylePr w:type="lastCol">
      <w:rPr>
        <w:i/>
        <w:iCs/>
      </w:rPr>
      <w:tcPr>
        <w:tcBorders>
          <w:tl2br w:val="nil"/>
          <w:tr2bl w:val="nil"/>
        </w:tcBorders>
      </w:tcPr>
    </w:tblStylePr>
    <w:tblStylePr w:type="nwCell">
      <w:tcPr>
        <w:tcBorders>
          <w:tl2br w:val="single" w:color="000000" w:sz="6" w:space="0"/>
          <w:tr2bl w:val="nil"/>
        </w:tcBorders>
      </w:tcPr>
    </w:tblStylePr>
  </w:style>
  <w:style w:type="table" w:customStyle="1" w:styleId="1321">
    <w:name w:val="环评格式11"/>
    <w:basedOn w:val="151"/>
    <w:qFormat/>
    <w:uiPriority w:val="0"/>
    <w:rPr>
      <w:sz w:val="21"/>
    </w:rPr>
    <w:tblPr>
      <w:jc w:val="center"/>
      <w:tblBorders>
        <w:right w:val="single" w:color="auto" w:sz="2" w:space="0"/>
      </w:tblBorders>
    </w:tblPr>
    <w:trPr>
      <w:jc w:val="center"/>
    </w:trPr>
    <w:tblStylePr w:type="firstRow">
      <w:tcPr>
        <w:tcBorders>
          <w:top w:val="single" w:color="000000" w:sz="6" w:space="0"/>
          <w:bottom w:val="single" w:color="000000" w:sz="12" w:space="0"/>
          <w:tl2br w:val="nil"/>
          <w:tr2bl w:val="nil"/>
        </w:tcBorders>
      </w:tcPr>
    </w:tblStylePr>
    <w:tblStylePr w:type="lastRow">
      <w:tcPr>
        <w:tcBorders>
          <w:top w:val="single" w:color="000000" w:sz="12" w:space="0"/>
          <w:tl2br w:val="nil"/>
          <w:tr2bl w:val="nil"/>
        </w:tcBorders>
        <w:shd w:val="pct25" w:color="800080" w:fill="FFFFFF"/>
      </w:tcPr>
    </w:tblStylePr>
    <w:tblStylePr w:type="firstCol">
      <w:tcPr>
        <w:tcBorders>
          <w:right w:val="single" w:color="000000" w:sz="12" w:space="0"/>
          <w:tl2br w:val="nil"/>
          <w:tr2bl w:val="nil"/>
        </w:tcBorders>
      </w:tcPr>
    </w:tblStylePr>
    <w:tblStylePr w:type="lastCol">
      <w:tcPr>
        <w:tcBorders>
          <w:left w:val="single" w:color="000000" w:sz="12" w:space="0"/>
          <w:tl2br w:val="nil"/>
          <w:tr2bl w:val="nil"/>
        </w:tcBorders>
      </w:tcPr>
    </w:tblStylePr>
    <w:tblStylePr w:type="band1Horz">
      <w:tcPr>
        <w:tcBorders>
          <w:bottom w:val="single" w:color="000000" w:sz="6" w:space="0"/>
          <w:tl2br w:val="nil"/>
          <w:tr2bl w:val="nil"/>
        </w:tcBorders>
        <w:shd w:val="pct25" w:color="808000" w:fill="FFFFFF"/>
      </w:tcPr>
    </w:tblStylePr>
    <w:tblStylePr w:type="neCell">
      <w:tcPr>
        <w:tcBorders>
          <w:tl2br w:val="nil"/>
          <w:tr2bl w:val="nil"/>
        </w:tcBorders>
      </w:tcPr>
    </w:tblStylePr>
    <w:tblStylePr w:type="swCell">
      <w:tcPr>
        <w:tcBorders>
          <w:tl2br w:val="nil"/>
          <w:tr2bl w:val="nil"/>
        </w:tcBorders>
      </w:tcPr>
    </w:tblStylePr>
  </w:style>
  <w:style w:type="table" w:customStyle="1" w:styleId="1322">
    <w:name w:val="史丽红的表格1"/>
    <w:basedOn w:val="99"/>
    <w:qFormat/>
    <w:uiPriority w:val="0"/>
    <w:rPr>
      <w:rFonts w:eastAsia="Times New Roman"/>
    </w:rPr>
    <w:tblPr>
      <w:tblBorders>
        <w:top w:val="single" w:color="000000" w:sz="12" w:space="0"/>
        <w:bottom w:val="single" w:color="000000" w:sz="12" w:space="0"/>
        <w:insideH w:val="single" w:color="auto" w:sz="4" w:space="0"/>
        <w:insideV w:val="single" w:color="auto" w:sz="4" w:space="0"/>
      </w:tblBorders>
    </w:tblPr>
    <w:tcPr>
      <w:shd w:val="clear" w:color="auto" w:fill="auto"/>
    </w:tcPr>
    <w:tblStylePr w:type="firstRow">
      <w:rPr>
        <w:i/>
        <w:iCs/>
      </w:rPr>
      <w:tcPr>
        <w:tcBorders>
          <w:bottom w:val="single" w:color="000000" w:sz="6" w:space="0"/>
          <w:tl2br w:val="nil"/>
          <w:tr2bl w:val="nil"/>
        </w:tcBorders>
      </w:tcPr>
    </w:tblStylePr>
    <w:tblStylePr w:type="lastRow">
      <w:rPr>
        <w:color w:val="auto"/>
      </w:rPr>
      <w:tcPr>
        <w:tcBorders>
          <w:top w:val="single" w:color="000000" w:sz="6" w:space="0"/>
          <w:tl2br w:val="nil"/>
          <w:tr2bl w:val="nil"/>
        </w:tcBorders>
      </w:tcPr>
    </w:tblStylePr>
    <w:tblStylePr w:type="firstCol">
      <w:tcPr>
        <w:tcBorders>
          <w:right w:val="single" w:color="000000" w:sz="6" w:space="0"/>
          <w:tl2br w:val="nil"/>
          <w:tr2bl w:val="nil"/>
        </w:tcBorders>
      </w:tcPr>
    </w:tblStylePr>
    <w:tblStylePr w:type="neCell">
      <w:rPr>
        <w:b/>
        <w:bCs/>
        <w:i w:val="0"/>
        <w:iCs w:val="0"/>
      </w:rPr>
      <w:tcPr>
        <w:tcBorders>
          <w:tl2br w:val="nil"/>
          <w:tr2bl w:val="nil"/>
        </w:tcBorders>
      </w:tcPr>
    </w:tblStylePr>
    <w:tblStylePr w:type="swCell">
      <w:rPr>
        <w:b/>
        <w:bCs/>
      </w:rPr>
      <w:tcPr>
        <w:tcBorders>
          <w:tl2br w:val="nil"/>
          <w:tr2bl w:val="nil"/>
        </w:tcBorders>
      </w:tcPr>
    </w:tblStylePr>
  </w:style>
  <w:style w:type="character" w:customStyle="1" w:styleId="1323">
    <w:name w:val="标题51"/>
    <w:qFormat/>
    <w:uiPriority w:val="0"/>
  </w:style>
  <w:style w:type="paragraph" w:customStyle="1" w:styleId="1324">
    <w:name w:val="正文文本31"/>
    <w:qFormat/>
    <w:uiPriority w:val="0"/>
    <w:pPr>
      <w:tabs>
        <w:tab w:val="left" w:pos="425"/>
        <w:tab w:val="left" w:pos="850"/>
      </w:tabs>
      <w:spacing w:after="283" w:line="260" w:lineRule="atLeast"/>
      <w:jc w:val="both"/>
    </w:pPr>
    <w:rPr>
      <w:rFonts w:ascii="StempelGaramond Roman" w:hAnsi="StempelGaramond Roman" w:eastAsia="宋体" w:cs="Times New Roman"/>
      <w:snapToGrid w:val="0"/>
      <w:color w:val="000000"/>
      <w:sz w:val="22"/>
      <w:lang w:val="en-GB" w:eastAsia="zh-CN" w:bidi="ar-SA"/>
    </w:rPr>
  </w:style>
  <w:style w:type="table" w:customStyle="1" w:styleId="1325">
    <w:name w:val="灰度表格12251"/>
    <w:basedOn w:val="88"/>
    <w:qFormat/>
    <w:uiPriority w:val="0"/>
    <w:pPr>
      <w:jc w:val="center"/>
    </w:pPr>
    <w:rPr>
      <w:rFonts w:ascii="Calibri" w:hAnsi="Calibri" w:eastAsia="仿宋_GB2312"/>
      <w:sz w:val="21"/>
    </w:rPr>
    <w:tblP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
    <w:tcPr>
      <w:vAlign w:val="center"/>
    </w:tcPr>
  </w:style>
  <w:style w:type="table" w:customStyle="1" w:styleId="1326">
    <w:name w:val="表格样式14"/>
    <w:basedOn w:val="88"/>
    <w:qFormat/>
    <w:uiPriority w:val="0"/>
    <w:rPr>
      <w:rFonts w:eastAsia="仿宋_GB2312"/>
      <w:sz w:val="21"/>
    </w:rPr>
    <w:tblPr>
      <w:tblBorders>
        <w:top w:val="single" w:color="auto" w:sz="12" w:space="0"/>
        <w:bottom w:val="single" w:color="auto" w:sz="12" w:space="0"/>
        <w:insideH w:val="single" w:color="auto" w:sz="2" w:space="0"/>
        <w:insideV w:val="single" w:color="auto" w:sz="2" w:space="0"/>
      </w:tblBorders>
    </w:tblPr>
  </w:style>
  <w:style w:type="table" w:customStyle="1" w:styleId="1327">
    <w:name w:val="网格型121"/>
    <w:basedOn w:val="8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28">
    <w:name w:val="网格型221"/>
    <w:basedOn w:val="8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29">
    <w:name w:val="灰度表格12222"/>
    <w:basedOn w:val="8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30">
    <w:name w:val="灰度表格12232"/>
    <w:basedOn w:val="8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31">
    <w:name w:val="表格主题31"/>
    <w:basedOn w:val="88"/>
    <w:semiHidden/>
    <w:unhideWhenUsed/>
    <w:qFormat/>
    <w:uiPriority w:val="99"/>
    <w:pPr>
      <w:widowControl w:val="0"/>
      <w:spacing w:line="500" w:lineRule="exact"/>
      <w:ind w:firstLine="200" w:firstLineChars="200"/>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32">
    <w:name w:val="灰度表格12242"/>
    <w:basedOn w:val="88"/>
    <w:qFormat/>
    <w:uiPriority w:val="0"/>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333">
    <w:name w:val="网格型321"/>
    <w:basedOn w:val="88"/>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34">
    <w:name w:val="网格型421"/>
    <w:basedOn w:val="88"/>
    <w:qFormat/>
    <w:uiPriority w:val="0"/>
    <w:rPr>
      <w:rFonts w:ascii="Calibri" w:hAnsi="Calibri"/>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1335">
    <w:name w:val="Char Char141"/>
    <w:qFormat/>
    <w:uiPriority w:val="0"/>
    <w:rPr>
      <w:rFonts w:ascii="Cambria" w:hAnsi="Cambria"/>
      <w:kern w:val="2"/>
      <w:sz w:val="24"/>
      <w:szCs w:val="24"/>
    </w:rPr>
  </w:style>
  <w:style w:type="character" w:customStyle="1" w:styleId="1336">
    <w:name w:val="Char Char92"/>
    <w:qFormat/>
    <w:uiPriority w:val="0"/>
    <w:rPr>
      <w:rFonts w:ascii="仿宋_GB2312" w:hAnsi="Times New Roman" w:eastAsia="仿宋_GB2312"/>
      <w:b/>
      <w:color w:val="000000"/>
      <w:sz w:val="21"/>
      <w:lang w:val="zh-CN" w:eastAsia="zh-CN"/>
    </w:rPr>
  </w:style>
  <w:style w:type="paragraph" w:customStyle="1" w:styleId="1337">
    <w:name w:val="Char Char Char1 Char Char Char Char Char Char Char1"/>
    <w:basedOn w:val="1"/>
    <w:qFormat/>
    <w:uiPriority w:val="0"/>
    <w:rPr>
      <w:rFonts w:ascii="Tahoma" w:hAnsi="Tahoma"/>
      <w:sz w:val="24"/>
      <w:szCs w:val="20"/>
    </w:rPr>
  </w:style>
  <w:style w:type="table" w:customStyle="1" w:styleId="1338">
    <w:name w:val="网格型 113"/>
    <w:basedOn w:val="88"/>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cPr>
        <w:tcBorders>
          <w:top w:val="nil"/>
          <w:left w:val="nil"/>
          <w:bottom w:val="nil"/>
          <w:right w:val="nil"/>
          <w:insideH w:val="nil"/>
          <w:insideV w:val="nil"/>
          <w:tl2br w:val="nil"/>
          <w:tr2bl w:val="nil"/>
        </w:tcBorders>
      </w:tcPr>
    </w:tblStylePr>
    <w:tblStylePr w:type="lastCol">
      <w:rPr>
        <w:i/>
        <w:iCs/>
      </w:rPr>
      <w:tcPr>
        <w:tcBorders>
          <w:top w:val="nil"/>
          <w:left w:val="nil"/>
          <w:bottom w:val="nil"/>
          <w:right w:val="nil"/>
          <w:insideH w:val="nil"/>
          <w:insideV w:val="nil"/>
          <w:tl2br w:val="nil"/>
          <w:tr2bl w:val="nil"/>
        </w:tcBorders>
      </w:tcPr>
    </w:tblStylePr>
    <w:tblStylePr w:type="nwCell">
      <w:tcPr>
        <w:tcBorders>
          <w:top w:val="nil"/>
          <w:left w:val="nil"/>
          <w:bottom w:val="nil"/>
          <w:right w:val="nil"/>
          <w:insideH w:val="nil"/>
          <w:insideV w:val="nil"/>
          <w:tl2br w:val="single" w:color="000000" w:sz="6" w:space="0"/>
          <w:tr2bl w:val="nil"/>
        </w:tcBorders>
      </w:tcPr>
    </w:tblStylePr>
  </w:style>
  <w:style w:type="table" w:customStyle="1" w:styleId="1339">
    <w:name w:val="网格型8811"/>
    <w:basedOn w:val="88"/>
    <w:qFormat/>
    <w:uiPriority w:val="0"/>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340">
    <w:name w:val="maoli1111"/>
    <w:basedOn w:val="88"/>
    <w:qFormat/>
    <w:uiPriority w:val="0"/>
    <w:rPr>
      <w:rFonts w:eastAsia="仿宋_GB2312"/>
    </w:rPr>
    <w:tblP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
    <w:tcPr>
      <w:vAlign w:val="center"/>
    </w:tcPr>
  </w:style>
  <w:style w:type="table" w:customStyle="1" w:styleId="1341">
    <w:name w:val="表格虚线11"/>
    <w:basedOn w:val="88"/>
    <w:qFormat/>
    <w:uiPriority w:val="0"/>
    <w:pPr>
      <w:jc w:val="center"/>
    </w:pPr>
    <w:rPr>
      <w:rFonts w:ascii="Calibri" w:hAnsi="Calibri" w:eastAsia="仿宋_GB2312"/>
      <w:sz w:val="21"/>
    </w:rPr>
    <w:tblP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
    <w:tcPr>
      <w:vAlign w:val="center"/>
    </w:tcPr>
  </w:style>
  <w:style w:type="table" w:customStyle="1" w:styleId="1342">
    <w:name w:val="表格虚线2"/>
    <w:basedOn w:val="88"/>
    <w:qFormat/>
    <w:uiPriority w:val="0"/>
    <w:pPr>
      <w:jc w:val="center"/>
    </w:pPr>
    <w:rPr>
      <w:rFonts w:ascii="Calibri" w:hAnsi="Calibri" w:eastAsia="仿宋_GB2312"/>
      <w:sz w:val="21"/>
    </w:rPr>
    <w:tblP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
    <w:tcPr>
      <w:vAlign w:val="center"/>
    </w:tcPr>
  </w:style>
  <w:style w:type="table" w:customStyle="1" w:styleId="1343">
    <w:name w:val="表格样式15"/>
    <w:basedOn w:val="88"/>
    <w:qFormat/>
    <w:uiPriority w:val="0"/>
    <w:rPr>
      <w:rFonts w:eastAsia="仿宋_GB2312"/>
      <w:sz w:val="21"/>
    </w:rPr>
    <w:tblPr>
      <w:tblBorders>
        <w:top w:val="single" w:color="auto" w:sz="12" w:space="0"/>
        <w:bottom w:val="single" w:color="auto" w:sz="12" w:space="0"/>
        <w:insideH w:val="single" w:color="auto" w:sz="2" w:space="0"/>
        <w:insideV w:val="single" w:color="auto" w:sz="2" w:space="0"/>
      </w:tblBorders>
    </w:tblPr>
  </w:style>
  <w:style w:type="table" w:customStyle="1" w:styleId="1344">
    <w:name w:val="maoli31"/>
    <w:basedOn w:val="88"/>
    <w:qFormat/>
    <w:uiPriority w:val="0"/>
    <w:rPr>
      <w:rFonts w:eastAsia="仿宋_GB2312"/>
      <w:sz w:val="21"/>
    </w:rPr>
    <w:tblPr>
      <w:tblBorders>
        <w:top w:val="single" w:color="auto" w:sz="12" w:space="0"/>
        <w:bottom w:val="single" w:color="auto" w:sz="12" w:space="0"/>
        <w:insideH w:val="single" w:color="auto" w:sz="4" w:space="0"/>
        <w:insideV w:val="single" w:color="auto" w:sz="4" w:space="0"/>
      </w:tblBorders>
    </w:tblPr>
    <w:tcPr>
      <w:vAlign w:val="center"/>
    </w:tcPr>
  </w:style>
  <w:style w:type="table" w:customStyle="1" w:styleId="1345">
    <w:name w:val="网格型 13"/>
    <w:basedOn w:val="88"/>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cPr>
        <w:tcBorders>
          <w:tl2br w:val="nil"/>
          <w:tr2bl w:val="nil"/>
        </w:tcBorders>
      </w:tcPr>
    </w:tblStylePr>
    <w:tblStylePr w:type="lastCol">
      <w:rPr>
        <w:i/>
        <w:iCs/>
      </w:rPr>
      <w:tcPr>
        <w:tcBorders>
          <w:tl2br w:val="nil"/>
          <w:tr2bl w:val="nil"/>
        </w:tcBorders>
      </w:tcPr>
    </w:tblStylePr>
    <w:tblStylePr w:type="nwCell">
      <w:tcPr>
        <w:tcBorders>
          <w:tl2br w:val="single" w:color="000000" w:sz="6" w:space="0"/>
          <w:tr2bl w:val="nil"/>
        </w:tcBorders>
      </w:tcPr>
    </w:tblStylePr>
  </w:style>
  <w:style w:type="table" w:customStyle="1" w:styleId="1346">
    <w:name w:val="网格型13"/>
    <w:basedOn w:val="8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47">
    <w:name w:val="网格型23"/>
    <w:basedOn w:val="8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48">
    <w:name w:val="灰度表格12223"/>
    <w:basedOn w:val="8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49">
    <w:name w:val="灰度表格12233"/>
    <w:basedOn w:val="8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50">
    <w:name w:val="表格主题4"/>
    <w:basedOn w:val="88"/>
    <w:unhideWhenUsed/>
    <w:qFormat/>
    <w:uiPriority w:val="99"/>
    <w:pPr>
      <w:widowControl w:val="0"/>
      <w:spacing w:line="500" w:lineRule="exact"/>
      <w:ind w:firstLine="200" w:firstLineChars="200"/>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51">
    <w:name w:val="灰度表格12243"/>
    <w:basedOn w:val="88"/>
    <w:qFormat/>
    <w:uiPriority w:val="0"/>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352">
    <w:name w:val="网格型33"/>
    <w:basedOn w:val="88"/>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53">
    <w:name w:val="maoli121"/>
    <w:basedOn w:val="88"/>
    <w:qFormat/>
    <w:uiPriority w:val="0"/>
    <w:rPr>
      <w:rFonts w:eastAsia="仿宋_GB2312"/>
      <w:sz w:val="21"/>
    </w:rPr>
    <w:tblP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
    <w:tcPr>
      <w:vAlign w:val="center"/>
    </w:tcPr>
  </w:style>
  <w:style w:type="table" w:customStyle="1" w:styleId="1354">
    <w:name w:val="maoli112"/>
    <w:basedOn w:val="88"/>
    <w:qFormat/>
    <w:uiPriority w:val="0"/>
    <w:rPr>
      <w:rFonts w:eastAsia="仿宋_GB2312"/>
    </w:rPr>
    <w:tblP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
    <w:tcPr>
      <w:vAlign w:val="center"/>
    </w:tcPr>
  </w:style>
  <w:style w:type="table" w:customStyle="1" w:styleId="1355">
    <w:name w:val="网格型43"/>
    <w:basedOn w:val="88"/>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56">
    <w:name w:val="D小表1"/>
    <w:basedOn w:val="88"/>
    <w:qFormat/>
    <w:uiPriority w:val="0"/>
    <w:pPr>
      <w:jc w:val="center"/>
    </w:pPr>
    <w:rPr>
      <w:sz w:val="21"/>
    </w:rPr>
    <w:tblPr>
      <w:tblBorders>
        <w:top w:val="single" w:color="auto" w:sz="12" w:space="0"/>
        <w:bottom w:val="single" w:color="auto" w:sz="12" w:space="0"/>
        <w:insideH w:val="single" w:color="auto" w:sz="4" w:space="0"/>
        <w:insideV w:val="single" w:color="auto" w:sz="4" w:space="0"/>
      </w:tblBorders>
    </w:tblPr>
    <w:tcPr>
      <w:vAlign w:val="center"/>
    </w:tcPr>
  </w:style>
  <w:style w:type="table" w:customStyle="1" w:styleId="1357">
    <w:name w:val="Table Normal"/>
    <w:unhideWhenUsed/>
    <w:qFormat/>
    <w:uiPriority w:val="2"/>
    <w:pPr>
      <w:widowControl w:val="0"/>
    </w:pPr>
    <w:rPr>
      <w:rFonts w:ascii="Calibri" w:hAnsi="Calibri"/>
      <w:sz w:val="22"/>
      <w:szCs w:val="22"/>
      <w:lang w:eastAsia="en-US"/>
    </w:rPr>
    <w:tblPr>
      <w:tblCellMar>
        <w:top w:w="0" w:type="dxa"/>
        <w:left w:w="0" w:type="dxa"/>
        <w:bottom w:w="0" w:type="dxa"/>
        <w:right w:w="0" w:type="dxa"/>
      </w:tblCellMar>
    </w:tblPr>
  </w:style>
  <w:style w:type="paragraph" w:customStyle="1" w:styleId="1358">
    <w:name w:val="Table Paragraph"/>
    <w:basedOn w:val="1"/>
    <w:qFormat/>
    <w:uiPriority w:val="1"/>
    <w:pPr>
      <w:jc w:val="left"/>
    </w:pPr>
    <w:rPr>
      <w:rFonts w:ascii="Calibri" w:hAnsi="Calibri"/>
      <w:kern w:val="0"/>
      <w:sz w:val="22"/>
      <w:szCs w:val="22"/>
      <w:lang w:eastAsia="en-US"/>
    </w:rPr>
  </w:style>
  <w:style w:type="paragraph" w:customStyle="1" w:styleId="1359">
    <w:name w:val="pa-3"/>
    <w:basedOn w:val="1"/>
    <w:qFormat/>
    <w:uiPriority w:val="0"/>
    <w:pPr>
      <w:widowControl/>
      <w:spacing w:before="150" w:after="150"/>
      <w:jc w:val="left"/>
    </w:pPr>
    <w:rPr>
      <w:rFonts w:ascii="宋体" w:hAnsi="宋体" w:cs="宋体"/>
      <w:kern w:val="0"/>
      <w:sz w:val="24"/>
    </w:rPr>
  </w:style>
  <w:style w:type="character" w:customStyle="1" w:styleId="1360">
    <w:name w:val="ca-1"/>
    <w:qFormat/>
    <w:uiPriority w:val="0"/>
  </w:style>
  <w:style w:type="paragraph" w:customStyle="1" w:styleId="1361">
    <w:name w:val="报告正文"/>
    <w:basedOn w:val="1"/>
    <w:link w:val="1438"/>
    <w:qFormat/>
    <w:uiPriority w:val="0"/>
    <w:pPr>
      <w:tabs>
        <w:tab w:val="left" w:pos="0"/>
      </w:tabs>
      <w:spacing w:line="360" w:lineRule="auto"/>
      <w:ind w:firstLine="200" w:firstLineChars="200"/>
    </w:pPr>
    <w:rPr>
      <w:color w:val="000000"/>
      <w:sz w:val="24"/>
      <w:lang w:val="zh-CN"/>
    </w:rPr>
  </w:style>
  <w:style w:type="paragraph" w:customStyle="1" w:styleId="1362">
    <w:name w:val="+正文"/>
    <w:basedOn w:val="1"/>
    <w:link w:val="1363"/>
    <w:qFormat/>
    <w:uiPriority w:val="0"/>
    <w:pPr>
      <w:spacing w:line="360" w:lineRule="auto"/>
      <w:ind w:firstLine="200" w:firstLineChars="200"/>
    </w:pPr>
    <w:rPr>
      <w:rFonts w:hAnsi="宋体"/>
      <w:sz w:val="28"/>
      <w:szCs w:val="28"/>
      <w:lang w:val="zh-CN"/>
    </w:rPr>
  </w:style>
  <w:style w:type="character" w:customStyle="1" w:styleId="1363">
    <w:name w:val="+正文 Char"/>
    <w:link w:val="1362"/>
    <w:qFormat/>
    <w:uiPriority w:val="0"/>
    <w:rPr>
      <w:rFonts w:hAnsi="宋体"/>
      <w:kern w:val="2"/>
      <w:sz w:val="28"/>
      <w:szCs w:val="28"/>
      <w:lang w:val="zh-CN" w:eastAsia="zh-CN"/>
    </w:rPr>
  </w:style>
  <w:style w:type="paragraph" w:customStyle="1" w:styleId="1364">
    <w:name w:val="标题-3"/>
    <w:basedOn w:val="6"/>
    <w:qFormat/>
    <w:uiPriority w:val="0"/>
    <w:pPr>
      <w:snapToGrid w:val="0"/>
      <w:spacing w:before="0" w:after="0" w:line="360" w:lineRule="auto"/>
    </w:pPr>
    <w:rPr>
      <w:rFonts w:ascii="宋体" w:hAnsi="宋体"/>
      <w:kern w:val="0"/>
      <w:sz w:val="24"/>
      <w:szCs w:val="24"/>
    </w:rPr>
  </w:style>
  <w:style w:type="paragraph" w:customStyle="1" w:styleId="1365">
    <w:name w:val="标题-4"/>
    <w:basedOn w:val="7"/>
    <w:link w:val="1366"/>
    <w:qFormat/>
    <w:uiPriority w:val="0"/>
    <w:pPr>
      <w:adjustRightInd w:val="0"/>
      <w:snapToGrid w:val="0"/>
      <w:spacing w:beforeLines="50" w:line="360" w:lineRule="auto"/>
      <w:ind w:left="842"/>
      <w:textAlignment w:val="baseline"/>
    </w:pPr>
    <w:rPr>
      <w:rFonts w:ascii="Arial" w:eastAsia="宋体"/>
      <w:b/>
      <w:bCs w:val="0"/>
      <w:sz w:val="24"/>
      <w:szCs w:val="24"/>
      <w:lang w:val="zh-CN"/>
    </w:rPr>
  </w:style>
  <w:style w:type="character" w:customStyle="1" w:styleId="1366">
    <w:name w:val="标题-4 Char"/>
    <w:link w:val="1365"/>
    <w:qFormat/>
    <w:uiPriority w:val="0"/>
    <w:rPr>
      <w:rFonts w:ascii="Arial" w:hAnsi="Arial"/>
      <w:b/>
      <w:kern w:val="2"/>
      <w:sz w:val="24"/>
      <w:szCs w:val="24"/>
      <w:lang w:val="zh-CN" w:eastAsia="zh-CN"/>
    </w:rPr>
  </w:style>
  <w:style w:type="character" w:customStyle="1" w:styleId="1367">
    <w:name w:val="表格内文字 Char"/>
    <w:link w:val="512"/>
    <w:qFormat/>
    <w:uiPriority w:val="0"/>
    <w:rPr>
      <w:spacing w:val="10"/>
      <w:kern w:val="2"/>
      <w:sz w:val="24"/>
    </w:rPr>
  </w:style>
  <w:style w:type="paragraph" w:customStyle="1" w:styleId="1368">
    <w:name w:val="样式 报告 + Times New Roman Char Char Char Char Char Char Char Char Char Char Char Char Char Char Char Char"/>
    <w:basedOn w:val="276"/>
    <w:link w:val="1369"/>
    <w:qFormat/>
    <w:uiPriority w:val="0"/>
    <w:pPr>
      <w:spacing w:line="500" w:lineRule="exact"/>
    </w:pPr>
    <w:rPr>
      <w:rFonts w:ascii="Times New Roman" w:hAnsi="Times New Roman"/>
      <w:kern w:val="2"/>
      <w:sz w:val="28"/>
      <w:szCs w:val="28"/>
      <w:lang w:val="zh-CN"/>
    </w:rPr>
  </w:style>
  <w:style w:type="character" w:customStyle="1" w:styleId="1369">
    <w:name w:val="样式 报告 + Times New Roman Char Char Char Char Char Char Char Char Char Char Char Char Char Char Char Char Char"/>
    <w:link w:val="1368"/>
    <w:qFormat/>
    <w:uiPriority w:val="0"/>
    <w:rPr>
      <w:kern w:val="2"/>
      <w:sz w:val="28"/>
      <w:szCs w:val="28"/>
      <w:lang w:val="zh-CN" w:eastAsia="zh-CN"/>
    </w:rPr>
  </w:style>
  <w:style w:type="paragraph" w:customStyle="1" w:styleId="1370">
    <w:name w:val="样式 标题 3 + 黑色 Char Char Char Char Char Char Char Char Char"/>
    <w:basedOn w:val="6"/>
    <w:link w:val="1371"/>
    <w:qFormat/>
    <w:uiPriority w:val="0"/>
    <w:pPr>
      <w:keepNext w:val="0"/>
      <w:keepLines w:val="0"/>
      <w:tabs>
        <w:tab w:val="left" w:pos="993"/>
        <w:tab w:val="left" w:pos="1260"/>
      </w:tabs>
      <w:adjustRightInd w:val="0"/>
      <w:snapToGrid w:val="0"/>
      <w:spacing w:before="0" w:after="0" w:line="500" w:lineRule="exact"/>
      <w:ind w:firstLine="538" w:firstLineChars="192"/>
      <w:outlineLvl w:val="9"/>
    </w:pPr>
    <w:rPr>
      <w:b w:val="0"/>
      <w:bCs w:val="0"/>
      <w:sz w:val="28"/>
      <w:szCs w:val="28"/>
      <w:lang w:val="zh-CN"/>
    </w:rPr>
  </w:style>
  <w:style w:type="character" w:customStyle="1" w:styleId="1371">
    <w:name w:val="样式 标题 3 + 黑色 Char Char Char Char Char Char Char Char Char Char"/>
    <w:link w:val="1370"/>
    <w:qFormat/>
    <w:uiPriority w:val="0"/>
    <w:rPr>
      <w:kern w:val="2"/>
      <w:sz w:val="28"/>
      <w:szCs w:val="28"/>
      <w:lang w:val="zh-CN" w:eastAsia="zh-CN"/>
    </w:rPr>
  </w:style>
  <w:style w:type="character" w:customStyle="1" w:styleId="1372">
    <w:name w:val="环评正文文字缩进（江东模板） Char Char"/>
    <w:qFormat/>
    <w:uiPriority w:val="0"/>
    <w:rPr>
      <w:rFonts w:eastAsia="宋体"/>
      <w:kern w:val="2"/>
      <w:sz w:val="24"/>
      <w:szCs w:val="24"/>
      <w:lang w:val="en-US" w:eastAsia="zh-CN" w:bidi="ar-SA"/>
    </w:rPr>
  </w:style>
  <w:style w:type="paragraph" w:customStyle="1" w:styleId="1373">
    <w:name w:val="z-窗体顶端1"/>
    <w:basedOn w:val="1"/>
    <w:next w:val="1"/>
    <w:link w:val="1374"/>
    <w:qFormat/>
    <w:uiPriority w:val="0"/>
    <w:pPr>
      <w:widowControl/>
      <w:pBdr>
        <w:bottom w:val="single" w:color="auto" w:sz="6" w:space="1"/>
      </w:pBdr>
      <w:jc w:val="center"/>
    </w:pPr>
    <w:rPr>
      <w:rFonts w:ascii="Arial" w:hAnsi="Arial"/>
      <w:vanish/>
      <w:kern w:val="0"/>
      <w:sz w:val="16"/>
      <w:szCs w:val="16"/>
      <w:lang w:val="zh-CN"/>
    </w:rPr>
  </w:style>
  <w:style w:type="character" w:customStyle="1" w:styleId="1374">
    <w:name w:val="z-窗体顶端 Char"/>
    <w:basedOn w:val="133"/>
    <w:link w:val="1373"/>
    <w:qFormat/>
    <w:uiPriority w:val="0"/>
    <w:rPr>
      <w:rFonts w:ascii="Arial" w:hAnsi="Arial"/>
      <w:vanish/>
      <w:sz w:val="16"/>
      <w:szCs w:val="16"/>
      <w:lang w:val="zh-CN" w:eastAsia="zh-CN"/>
    </w:rPr>
  </w:style>
  <w:style w:type="paragraph" w:customStyle="1" w:styleId="1375">
    <w:name w:val="z-窗体底端1"/>
    <w:basedOn w:val="1"/>
    <w:next w:val="1"/>
    <w:link w:val="1376"/>
    <w:qFormat/>
    <w:uiPriority w:val="0"/>
    <w:pPr>
      <w:widowControl/>
      <w:pBdr>
        <w:top w:val="single" w:color="auto" w:sz="6" w:space="1"/>
      </w:pBdr>
      <w:jc w:val="center"/>
    </w:pPr>
    <w:rPr>
      <w:rFonts w:ascii="Arial" w:hAnsi="Arial"/>
      <w:vanish/>
      <w:kern w:val="0"/>
      <w:sz w:val="16"/>
      <w:szCs w:val="16"/>
      <w:lang w:val="zh-CN"/>
    </w:rPr>
  </w:style>
  <w:style w:type="character" w:customStyle="1" w:styleId="1376">
    <w:name w:val="z-窗体底端 Char"/>
    <w:basedOn w:val="133"/>
    <w:link w:val="1375"/>
    <w:qFormat/>
    <w:uiPriority w:val="0"/>
    <w:rPr>
      <w:rFonts w:ascii="Arial" w:hAnsi="Arial"/>
      <w:vanish/>
      <w:sz w:val="16"/>
      <w:szCs w:val="16"/>
      <w:lang w:val="zh-CN" w:eastAsia="zh-CN"/>
    </w:rPr>
  </w:style>
  <w:style w:type="character" w:customStyle="1" w:styleId="1377">
    <w:name w:val="正文文本2 Char"/>
    <w:qFormat/>
    <w:uiPriority w:val="0"/>
    <w:rPr>
      <w:kern w:val="2"/>
      <w:sz w:val="28"/>
      <w:szCs w:val="24"/>
    </w:rPr>
  </w:style>
  <w:style w:type="paragraph" w:customStyle="1" w:styleId="1378">
    <w:name w:val="表图头"/>
    <w:basedOn w:val="1"/>
    <w:link w:val="1379"/>
    <w:qFormat/>
    <w:uiPriority w:val="0"/>
    <w:pPr>
      <w:spacing w:line="360" w:lineRule="auto"/>
      <w:ind w:firstLine="480" w:firstLineChars="200"/>
      <w:jc w:val="center"/>
    </w:pPr>
    <w:rPr>
      <w:rFonts w:eastAsia="华文中宋"/>
      <w:b/>
      <w:sz w:val="24"/>
      <w:lang w:val="zh-CN"/>
    </w:rPr>
  </w:style>
  <w:style w:type="character" w:customStyle="1" w:styleId="1379">
    <w:name w:val="表图头 Char"/>
    <w:link w:val="1378"/>
    <w:qFormat/>
    <w:uiPriority w:val="0"/>
    <w:rPr>
      <w:rFonts w:eastAsia="华文中宋"/>
      <w:b/>
      <w:kern w:val="2"/>
      <w:sz w:val="24"/>
      <w:szCs w:val="24"/>
      <w:lang w:val="zh-CN" w:eastAsia="zh-CN"/>
    </w:rPr>
  </w:style>
  <w:style w:type="paragraph" w:customStyle="1" w:styleId="1380">
    <w:name w:val="pa-15"/>
    <w:basedOn w:val="1"/>
    <w:qFormat/>
    <w:uiPriority w:val="0"/>
    <w:pPr>
      <w:widowControl/>
      <w:spacing w:before="150" w:after="150"/>
      <w:jc w:val="left"/>
    </w:pPr>
    <w:rPr>
      <w:rFonts w:ascii="宋体" w:hAnsi="宋体" w:cs="宋体"/>
      <w:kern w:val="0"/>
      <w:sz w:val="24"/>
    </w:rPr>
  </w:style>
  <w:style w:type="character" w:customStyle="1" w:styleId="1381">
    <w:name w:val="ca-13"/>
    <w:qFormat/>
    <w:uiPriority w:val="0"/>
  </w:style>
  <w:style w:type="paragraph" w:customStyle="1" w:styleId="1382">
    <w:name w:val="pa-21"/>
    <w:basedOn w:val="1"/>
    <w:qFormat/>
    <w:uiPriority w:val="0"/>
    <w:pPr>
      <w:widowControl/>
      <w:spacing w:before="150" w:after="150"/>
      <w:jc w:val="left"/>
    </w:pPr>
    <w:rPr>
      <w:rFonts w:ascii="宋体" w:hAnsi="宋体" w:cs="宋体"/>
      <w:kern w:val="0"/>
      <w:sz w:val="24"/>
    </w:rPr>
  </w:style>
  <w:style w:type="character" w:customStyle="1" w:styleId="1383">
    <w:name w:val="ca-15"/>
    <w:qFormat/>
    <w:uiPriority w:val="0"/>
  </w:style>
  <w:style w:type="paragraph" w:customStyle="1" w:styleId="1384">
    <w:name w:val="pa-8"/>
    <w:basedOn w:val="1"/>
    <w:qFormat/>
    <w:uiPriority w:val="0"/>
    <w:pPr>
      <w:widowControl/>
      <w:spacing w:before="150" w:after="150"/>
      <w:jc w:val="left"/>
    </w:pPr>
    <w:rPr>
      <w:rFonts w:ascii="宋体" w:hAnsi="宋体" w:cs="宋体"/>
      <w:kern w:val="0"/>
      <w:sz w:val="24"/>
    </w:rPr>
  </w:style>
  <w:style w:type="paragraph" w:customStyle="1" w:styleId="1385">
    <w:name w:val="pa-22"/>
    <w:basedOn w:val="1"/>
    <w:qFormat/>
    <w:uiPriority w:val="0"/>
    <w:pPr>
      <w:widowControl/>
      <w:spacing w:before="150" w:after="150"/>
      <w:jc w:val="left"/>
    </w:pPr>
    <w:rPr>
      <w:rFonts w:ascii="宋体" w:hAnsi="宋体" w:cs="宋体"/>
      <w:kern w:val="0"/>
      <w:sz w:val="24"/>
    </w:rPr>
  </w:style>
  <w:style w:type="paragraph" w:customStyle="1" w:styleId="1386">
    <w:name w:val="pa-23"/>
    <w:basedOn w:val="1"/>
    <w:qFormat/>
    <w:uiPriority w:val="0"/>
    <w:pPr>
      <w:widowControl/>
      <w:spacing w:before="150" w:after="150"/>
      <w:jc w:val="left"/>
    </w:pPr>
    <w:rPr>
      <w:rFonts w:ascii="宋体" w:hAnsi="宋体" w:cs="宋体"/>
      <w:kern w:val="0"/>
      <w:sz w:val="24"/>
    </w:rPr>
  </w:style>
  <w:style w:type="paragraph" w:customStyle="1" w:styleId="1387">
    <w:name w:val="工艺题目"/>
    <w:basedOn w:val="1"/>
    <w:qFormat/>
    <w:uiPriority w:val="0"/>
    <w:pPr>
      <w:adjustRightInd w:val="0"/>
      <w:snapToGrid w:val="0"/>
      <w:spacing w:line="360" w:lineRule="auto"/>
    </w:pPr>
    <w:rPr>
      <w:b/>
      <w:sz w:val="28"/>
    </w:rPr>
  </w:style>
  <w:style w:type="character" w:customStyle="1" w:styleId="1388">
    <w:name w:val="f12_0000_1"/>
    <w:qFormat/>
    <w:uiPriority w:val="0"/>
  </w:style>
  <w:style w:type="character" w:customStyle="1" w:styleId="1389">
    <w:name w:val="content"/>
    <w:qFormat/>
    <w:uiPriority w:val="0"/>
  </w:style>
  <w:style w:type="paragraph" w:customStyle="1" w:styleId="1390">
    <w:name w:val="Char1 Char Char Char Char Char 字元 字元"/>
    <w:basedOn w:val="1"/>
    <w:qFormat/>
    <w:uiPriority w:val="0"/>
    <w:rPr>
      <w:szCs w:val="21"/>
    </w:rPr>
  </w:style>
  <w:style w:type="character" w:customStyle="1" w:styleId="1391">
    <w:name w:val="doc-desc-all"/>
    <w:qFormat/>
    <w:uiPriority w:val="0"/>
  </w:style>
  <w:style w:type="paragraph" w:customStyle="1" w:styleId="1392">
    <w:name w:val="表蕊居中"/>
    <w:link w:val="1393"/>
    <w:qFormat/>
    <w:uiPriority w:val="0"/>
    <w:pPr>
      <w:spacing w:line="320" w:lineRule="exact"/>
      <w:jc w:val="center"/>
    </w:pPr>
    <w:rPr>
      <w:rFonts w:ascii="Times New Roman" w:hAnsi="Times New Roman" w:eastAsia="宋体" w:cs="Times New Roman"/>
      <w:spacing w:val="8"/>
      <w:sz w:val="21"/>
      <w:szCs w:val="28"/>
      <w:lang w:val="en-US" w:eastAsia="zh-CN" w:bidi="ar-SA"/>
    </w:rPr>
  </w:style>
  <w:style w:type="character" w:customStyle="1" w:styleId="1393">
    <w:name w:val="表蕊居中 Char"/>
    <w:link w:val="1392"/>
    <w:qFormat/>
    <w:uiPriority w:val="0"/>
    <w:rPr>
      <w:spacing w:val="8"/>
      <w:sz w:val="21"/>
      <w:szCs w:val="28"/>
    </w:rPr>
  </w:style>
  <w:style w:type="character" w:customStyle="1" w:styleId="1394">
    <w:name w:val="so-ask-best"/>
    <w:qFormat/>
    <w:uiPriority w:val="0"/>
  </w:style>
  <w:style w:type="paragraph" w:customStyle="1" w:styleId="1395">
    <w:name w:val="Char1 Char Char Char Char Char 字元 字元1"/>
    <w:basedOn w:val="1"/>
    <w:qFormat/>
    <w:uiPriority w:val="0"/>
    <w:rPr>
      <w:szCs w:val="21"/>
    </w:rPr>
  </w:style>
  <w:style w:type="character" w:customStyle="1" w:styleId="1396">
    <w:name w:val="正文文本 (2)_"/>
    <w:link w:val="1397"/>
    <w:qFormat/>
    <w:uiPriority w:val="0"/>
    <w:rPr>
      <w:rFonts w:ascii="MingLiU" w:hAnsi="MingLiU" w:eastAsia="MingLiU" w:cs="MingLiU"/>
      <w:spacing w:val="30"/>
      <w:sz w:val="26"/>
      <w:szCs w:val="26"/>
      <w:shd w:val="clear" w:color="auto" w:fill="FFFFFF"/>
    </w:rPr>
  </w:style>
  <w:style w:type="paragraph" w:customStyle="1" w:styleId="1397">
    <w:name w:val="正文文本 (2)"/>
    <w:basedOn w:val="1"/>
    <w:link w:val="1396"/>
    <w:qFormat/>
    <w:uiPriority w:val="0"/>
    <w:pPr>
      <w:shd w:val="clear" w:color="auto" w:fill="FFFFFF"/>
      <w:spacing w:before="2160" w:line="608" w:lineRule="exact"/>
      <w:jc w:val="distribute"/>
    </w:pPr>
    <w:rPr>
      <w:rFonts w:ascii="MingLiU" w:hAnsi="MingLiU" w:eastAsia="MingLiU" w:cs="MingLiU"/>
      <w:spacing w:val="30"/>
      <w:kern w:val="0"/>
      <w:sz w:val="26"/>
      <w:szCs w:val="26"/>
    </w:rPr>
  </w:style>
  <w:style w:type="character" w:customStyle="1" w:styleId="1398">
    <w:name w:val="正文文本 (2) + 10 pt"/>
    <w:qFormat/>
    <w:uiPriority w:val="0"/>
    <w:rPr>
      <w:rFonts w:ascii="MingLiU" w:hAnsi="MingLiU" w:eastAsia="MingLiU" w:cs="MingLiU"/>
      <w:color w:val="000000"/>
      <w:spacing w:val="0"/>
      <w:w w:val="100"/>
      <w:position w:val="0"/>
      <w:sz w:val="20"/>
      <w:szCs w:val="20"/>
      <w:shd w:val="clear" w:color="auto" w:fill="FFFFFF"/>
      <w:lang w:val="zh-TW" w:eastAsia="zh-TW" w:bidi="zh-TW"/>
    </w:rPr>
  </w:style>
  <w:style w:type="character" w:customStyle="1" w:styleId="1399">
    <w:name w:val="正文文本 (2) + 11 pt"/>
    <w:qFormat/>
    <w:uiPriority w:val="0"/>
    <w:rPr>
      <w:rFonts w:ascii="MingLiU" w:hAnsi="MingLiU" w:eastAsia="MingLiU" w:cs="MingLiU"/>
      <w:color w:val="000000"/>
      <w:spacing w:val="0"/>
      <w:w w:val="100"/>
      <w:position w:val="0"/>
      <w:sz w:val="22"/>
      <w:szCs w:val="22"/>
      <w:u w:val="none"/>
      <w:shd w:val="clear" w:color="auto" w:fill="FFFFFF"/>
      <w:lang w:val="zh-TW" w:eastAsia="zh-TW" w:bidi="zh-TW"/>
    </w:rPr>
  </w:style>
  <w:style w:type="paragraph" w:customStyle="1" w:styleId="1400">
    <w:name w:val="Char1 Char Char Char2"/>
    <w:basedOn w:val="1"/>
    <w:qFormat/>
    <w:uiPriority w:val="0"/>
    <w:rPr>
      <w:rFonts w:ascii="Tahoma" w:hAnsi="Tahoma" w:eastAsia="仿宋_GB2312"/>
      <w:sz w:val="24"/>
    </w:rPr>
  </w:style>
  <w:style w:type="character" w:customStyle="1" w:styleId="1401">
    <w:name w:val="Char Char28"/>
    <w:qFormat/>
    <w:uiPriority w:val="0"/>
    <w:rPr>
      <w:rFonts w:ascii="楷体_GB2312" w:hAnsi="楷体_GB2312" w:eastAsia="楷体_GB2312"/>
      <w:b/>
      <w:bCs/>
      <w:kern w:val="44"/>
      <w:sz w:val="32"/>
      <w:szCs w:val="44"/>
    </w:rPr>
  </w:style>
  <w:style w:type="character" w:customStyle="1" w:styleId="1402">
    <w:name w:val="Char Char27"/>
    <w:qFormat/>
    <w:uiPriority w:val="0"/>
    <w:rPr>
      <w:rFonts w:ascii="楷体_GB2312" w:hAnsi="楷体_GB2312" w:eastAsia="楷体_GB2312"/>
      <w:b/>
      <w:bCs/>
      <w:kern w:val="2"/>
      <w:sz w:val="30"/>
      <w:szCs w:val="32"/>
    </w:rPr>
  </w:style>
  <w:style w:type="character" w:customStyle="1" w:styleId="1403">
    <w:name w:val="Char Char26"/>
    <w:qFormat/>
    <w:uiPriority w:val="0"/>
    <w:rPr>
      <w:rFonts w:ascii="Times New Roman" w:hAnsi="Times New Roman" w:eastAsia="宋体" w:cs="Times New Roman"/>
      <w:b/>
      <w:bCs/>
      <w:sz w:val="32"/>
      <w:szCs w:val="32"/>
    </w:rPr>
  </w:style>
  <w:style w:type="character" w:customStyle="1" w:styleId="1404">
    <w:name w:val="Char Char25"/>
    <w:qFormat/>
    <w:uiPriority w:val="0"/>
    <w:rPr>
      <w:rFonts w:ascii="楷体_GB2312" w:hAnsi="楷体_GB2312" w:eastAsia="楷体_GB2312"/>
      <w:b/>
      <w:bCs/>
      <w:kern w:val="2"/>
      <w:sz w:val="28"/>
      <w:szCs w:val="28"/>
    </w:rPr>
  </w:style>
  <w:style w:type="character" w:customStyle="1" w:styleId="1405">
    <w:name w:val="Char Char24"/>
    <w:qFormat/>
    <w:uiPriority w:val="0"/>
    <w:rPr>
      <w:rFonts w:ascii="楷体_GB2312" w:hAnsi="楷体_GB2312" w:eastAsia="楷体_GB2312"/>
      <w:b/>
      <w:bCs/>
      <w:color w:val="000000"/>
      <w:kern w:val="2"/>
      <w:sz w:val="28"/>
      <w:szCs w:val="28"/>
    </w:rPr>
  </w:style>
  <w:style w:type="character" w:customStyle="1" w:styleId="1406">
    <w:name w:val="Char Char23"/>
    <w:qFormat/>
    <w:uiPriority w:val="0"/>
    <w:rPr>
      <w:rFonts w:ascii="Arial" w:hAnsi="Arial" w:eastAsia="黑体" w:cs="Times New Roman"/>
      <w:b/>
      <w:sz w:val="24"/>
      <w:szCs w:val="20"/>
    </w:rPr>
  </w:style>
  <w:style w:type="character" w:customStyle="1" w:styleId="1407">
    <w:name w:val="Char Char221"/>
    <w:qFormat/>
    <w:uiPriority w:val="0"/>
    <w:rPr>
      <w:rFonts w:ascii="Times New Roman" w:hAnsi="Times New Roman" w:eastAsia="宋体" w:cs="Times New Roman"/>
      <w:b/>
      <w:sz w:val="24"/>
      <w:szCs w:val="20"/>
    </w:rPr>
  </w:style>
  <w:style w:type="character" w:customStyle="1" w:styleId="1408">
    <w:name w:val="Char Char2113"/>
    <w:qFormat/>
    <w:uiPriority w:val="0"/>
    <w:rPr>
      <w:rFonts w:ascii="Arial" w:hAnsi="Arial" w:eastAsia="黑体" w:cs="Times New Roman"/>
      <w:sz w:val="24"/>
      <w:szCs w:val="20"/>
    </w:rPr>
  </w:style>
  <w:style w:type="character" w:customStyle="1" w:styleId="1409">
    <w:name w:val="Char Char20"/>
    <w:qFormat/>
    <w:uiPriority w:val="0"/>
    <w:rPr>
      <w:rFonts w:ascii="Arial" w:hAnsi="Arial" w:eastAsia="黑体" w:cs="Times New Roman"/>
      <w:sz w:val="24"/>
      <w:szCs w:val="20"/>
    </w:rPr>
  </w:style>
  <w:style w:type="character" w:customStyle="1" w:styleId="1410">
    <w:name w:val="8 Char1 Char"/>
    <w:link w:val="1411"/>
    <w:qFormat/>
    <w:uiPriority w:val="0"/>
    <w:rPr>
      <w:kern w:val="10"/>
      <w:sz w:val="24"/>
      <w:szCs w:val="24"/>
    </w:rPr>
  </w:style>
  <w:style w:type="paragraph" w:customStyle="1" w:styleId="1411">
    <w:name w:val="8 Char1"/>
    <w:basedOn w:val="1"/>
    <w:link w:val="1410"/>
    <w:qFormat/>
    <w:uiPriority w:val="0"/>
    <w:pPr>
      <w:spacing w:line="360" w:lineRule="auto"/>
      <w:ind w:firstLine="480" w:firstLineChars="200"/>
    </w:pPr>
    <w:rPr>
      <w:kern w:val="10"/>
      <w:sz w:val="24"/>
    </w:rPr>
  </w:style>
  <w:style w:type="character" w:customStyle="1" w:styleId="1412">
    <w:name w:val="表正 Char"/>
    <w:qFormat/>
    <w:uiPriority w:val="0"/>
    <w:rPr>
      <w:rFonts w:eastAsia="宋体"/>
      <w:kern w:val="2"/>
      <w:sz w:val="21"/>
      <w:lang w:val="en-US" w:eastAsia="zh-CN" w:bidi="ar-SA"/>
    </w:rPr>
  </w:style>
  <w:style w:type="character" w:customStyle="1" w:styleId="1413">
    <w:name w:val="样式 题注 + 居中 Char"/>
    <w:link w:val="1414"/>
    <w:qFormat/>
    <w:uiPriority w:val="0"/>
    <w:rPr>
      <w:rFonts w:ascii="Arial" w:hAnsi="Arial" w:eastAsia="黑体"/>
      <w:sz w:val="24"/>
      <w:szCs w:val="24"/>
    </w:rPr>
  </w:style>
  <w:style w:type="paragraph" w:customStyle="1" w:styleId="1414">
    <w:name w:val="样式 题注 + 居中"/>
    <w:basedOn w:val="23"/>
    <w:next w:val="1"/>
    <w:link w:val="1413"/>
    <w:qFormat/>
    <w:uiPriority w:val="0"/>
    <w:pPr>
      <w:tabs>
        <w:tab w:val="clear" w:pos="7380"/>
      </w:tabs>
      <w:overflowPunct/>
      <w:spacing w:before="120" w:afterLines="0"/>
      <w:jc w:val="center"/>
    </w:pPr>
    <w:rPr>
      <w:rFonts w:cs="Times New Roman"/>
      <w:kern w:val="0"/>
      <w:sz w:val="24"/>
      <w:szCs w:val="24"/>
    </w:rPr>
  </w:style>
  <w:style w:type="character" w:customStyle="1" w:styleId="1415">
    <w:name w:val="Char Char19"/>
    <w:qFormat/>
    <w:uiPriority w:val="0"/>
    <w:rPr>
      <w:rFonts w:ascii="Arial" w:hAnsi="Arial" w:eastAsia="黑体" w:cs="Arial"/>
      <w:szCs w:val="24"/>
    </w:rPr>
  </w:style>
  <w:style w:type="character" w:customStyle="1" w:styleId="1416">
    <w:name w:val="postbody"/>
    <w:qFormat/>
    <w:uiPriority w:val="0"/>
  </w:style>
  <w:style w:type="character" w:customStyle="1" w:styleId="1417">
    <w:name w:val="正文111111111 Char"/>
    <w:link w:val="1418"/>
    <w:qFormat/>
    <w:uiPriority w:val="0"/>
    <w:rPr>
      <w:sz w:val="24"/>
    </w:rPr>
  </w:style>
  <w:style w:type="paragraph" w:customStyle="1" w:styleId="1418">
    <w:name w:val="正文111111111"/>
    <w:basedOn w:val="1"/>
    <w:link w:val="1417"/>
    <w:qFormat/>
    <w:uiPriority w:val="0"/>
    <w:pPr>
      <w:tabs>
        <w:tab w:val="left" w:pos="480"/>
      </w:tabs>
      <w:spacing w:line="360" w:lineRule="auto"/>
      <w:ind w:firstLine="200" w:firstLineChars="200"/>
    </w:pPr>
    <w:rPr>
      <w:kern w:val="0"/>
      <w:sz w:val="24"/>
      <w:szCs w:val="20"/>
    </w:rPr>
  </w:style>
  <w:style w:type="character" w:customStyle="1" w:styleId="1419">
    <w:name w:val="自定正文 Char"/>
    <w:link w:val="1420"/>
    <w:qFormat/>
    <w:uiPriority w:val="0"/>
    <w:rPr>
      <w:snapToGrid w:val="0"/>
      <w:color w:val="000000"/>
      <w:sz w:val="24"/>
    </w:rPr>
  </w:style>
  <w:style w:type="paragraph" w:customStyle="1" w:styleId="1420">
    <w:name w:val="自定正文"/>
    <w:basedOn w:val="1"/>
    <w:link w:val="1419"/>
    <w:qFormat/>
    <w:uiPriority w:val="0"/>
    <w:pPr>
      <w:snapToGrid w:val="0"/>
      <w:spacing w:line="360" w:lineRule="auto"/>
      <w:ind w:firstLine="200" w:firstLineChars="200"/>
      <w:textAlignment w:val="center"/>
    </w:pPr>
    <w:rPr>
      <w:snapToGrid w:val="0"/>
      <w:color w:val="000000"/>
      <w:kern w:val="0"/>
      <w:sz w:val="24"/>
      <w:szCs w:val="20"/>
    </w:rPr>
  </w:style>
  <w:style w:type="character" w:customStyle="1" w:styleId="1421">
    <w:name w:val="表格内容jophy Char Char"/>
    <w:link w:val="1422"/>
    <w:qFormat/>
    <w:uiPriority w:val="0"/>
    <w:rPr>
      <w:szCs w:val="18"/>
    </w:rPr>
  </w:style>
  <w:style w:type="paragraph" w:customStyle="1" w:styleId="1422">
    <w:name w:val="表格内容jophy"/>
    <w:basedOn w:val="1"/>
    <w:link w:val="1421"/>
    <w:qFormat/>
    <w:uiPriority w:val="0"/>
    <w:pPr>
      <w:adjustRightInd w:val="0"/>
      <w:snapToGrid w:val="0"/>
      <w:jc w:val="center"/>
    </w:pPr>
    <w:rPr>
      <w:kern w:val="0"/>
      <w:sz w:val="20"/>
      <w:szCs w:val="18"/>
    </w:rPr>
  </w:style>
  <w:style w:type="character" w:customStyle="1" w:styleId="1423">
    <w:name w:val="表标头 Char"/>
    <w:link w:val="1424"/>
    <w:qFormat/>
    <w:uiPriority w:val="0"/>
    <w:rPr>
      <w:b/>
      <w:bCs/>
      <w:sz w:val="24"/>
      <w:szCs w:val="28"/>
    </w:rPr>
  </w:style>
  <w:style w:type="paragraph" w:customStyle="1" w:styleId="1424">
    <w:name w:val="表标头"/>
    <w:link w:val="1423"/>
    <w:qFormat/>
    <w:uiPriority w:val="0"/>
    <w:pPr>
      <w:adjustRightInd w:val="0"/>
      <w:jc w:val="center"/>
    </w:pPr>
    <w:rPr>
      <w:rFonts w:ascii="Times New Roman" w:hAnsi="Times New Roman" w:eastAsia="宋体" w:cs="Times New Roman"/>
      <w:b/>
      <w:bCs/>
      <w:sz w:val="24"/>
      <w:szCs w:val="28"/>
      <w:lang w:val="en-US" w:eastAsia="zh-CN" w:bidi="ar-SA"/>
    </w:rPr>
  </w:style>
  <w:style w:type="character" w:customStyle="1" w:styleId="1425">
    <w:name w:val="实德题注 Char Char1"/>
    <w:qFormat/>
    <w:uiPriority w:val="0"/>
    <w:rPr>
      <w:rFonts w:eastAsia="仿宋_GB2312" w:cs="Arial"/>
      <w:b/>
      <w:sz w:val="24"/>
      <w:szCs w:val="21"/>
      <w:lang w:val="en-US" w:eastAsia="zh-CN" w:bidi="ar-SA"/>
    </w:rPr>
  </w:style>
  <w:style w:type="character" w:customStyle="1" w:styleId="1426">
    <w:name w:val="图表头 Char Char"/>
    <w:link w:val="1427"/>
    <w:qFormat/>
    <w:uiPriority w:val="0"/>
    <w:rPr>
      <w:b/>
      <w:sz w:val="24"/>
    </w:rPr>
  </w:style>
  <w:style w:type="paragraph" w:customStyle="1" w:styleId="1427">
    <w:name w:val="图表头"/>
    <w:link w:val="1426"/>
    <w:qFormat/>
    <w:uiPriority w:val="0"/>
    <w:pPr>
      <w:adjustRightInd w:val="0"/>
      <w:snapToGrid w:val="0"/>
      <w:jc w:val="center"/>
    </w:pPr>
    <w:rPr>
      <w:rFonts w:ascii="Times New Roman" w:hAnsi="Times New Roman" w:eastAsia="宋体" w:cs="Times New Roman"/>
      <w:b/>
      <w:sz w:val="24"/>
      <w:lang w:val="en-US" w:eastAsia="zh-CN" w:bidi="ar-SA"/>
    </w:rPr>
  </w:style>
  <w:style w:type="character" w:customStyle="1" w:styleId="1428">
    <w:name w:val="自定表格 Char"/>
    <w:link w:val="1429"/>
    <w:qFormat/>
    <w:uiPriority w:val="0"/>
  </w:style>
  <w:style w:type="paragraph" w:customStyle="1" w:styleId="1429">
    <w:name w:val="自定表格"/>
    <w:basedOn w:val="1"/>
    <w:link w:val="1428"/>
    <w:qFormat/>
    <w:uiPriority w:val="0"/>
    <w:pPr>
      <w:autoSpaceDE w:val="0"/>
      <w:autoSpaceDN w:val="0"/>
      <w:adjustRightInd w:val="0"/>
      <w:jc w:val="center"/>
      <w:textAlignment w:val="baseline"/>
    </w:pPr>
    <w:rPr>
      <w:kern w:val="0"/>
      <w:sz w:val="20"/>
      <w:szCs w:val="20"/>
    </w:rPr>
  </w:style>
  <w:style w:type="character" w:customStyle="1" w:styleId="1430">
    <w:name w:val="postbody1"/>
    <w:qFormat/>
    <w:uiPriority w:val="0"/>
    <w:rPr>
      <w:sz w:val="21"/>
      <w:szCs w:val="21"/>
    </w:rPr>
  </w:style>
  <w:style w:type="character" w:customStyle="1" w:styleId="1431">
    <w:name w:val="text161"/>
    <w:qFormat/>
    <w:uiPriority w:val="0"/>
    <w:rPr>
      <w:b/>
      <w:bCs/>
      <w:color w:val="CC0000"/>
    </w:rPr>
  </w:style>
  <w:style w:type="character" w:customStyle="1" w:styleId="1432">
    <w:name w:val="中大正文 Char Char"/>
    <w:link w:val="1433"/>
    <w:qFormat/>
    <w:uiPriority w:val="0"/>
    <w:rPr>
      <w:rFonts w:ascii="宋体" w:hAnsi="宋体"/>
      <w:sz w:val="24"/>
      <w:szCs w:val="24"/>
      <w:lang w:val="zh-CN"/>
    </w:rPr>
  </w:style>
  <w:style w:type="paragraph" w:customStyle="1" w:styleId="1433">
    <w:name w:val="中大正文"/>
    <w:basedOn w:val="1"/>
    <w:link w:val="1432"/>
    <w:qFormat/>
    <w:uiPriority w:val="0"/>
    <w:pPr>
      <w:autoSpaceDE w:val="0"/>
      <w:autoSpaceDN w:val="0"/>
      <w:adjustRightInd w:val="0"/>
      <w:spacing w:line="360" w:lineRule="auto"/>
      <w:ind w:firstLine="480" w:firstLineChars="200"/>
      <w:jc w:val="left"/>
    </w:pPr>
    <w:rPr>
      <w:rFonts w:ascii="宋体" w:hAnsi="宋体"/>
      <w:kern w:val="0"/>
      <w:sz w:val="24"/>
      <w:lang w:val="zh-CN"/>
    </w:rPr>
  </w:style>
  <w:style w:type="character" w:customStyle="1" w:styleId="1434">
    <w:name w:val="正文（首行缩进） Charjophy Char"/>
    <w:link w:val="1435"/>
    <w:qFormat/>
    <w:uiPriority w:val="0"/>
    <w:rPr>
      <w:snapToGrid w:val="0"/>
      <w:sz w:val="24"/>
      <w:szCs w:val="24"/>
    </w:rPr>
  </w:style>
  <w:style w:type="paragraph" w:customStyle="1" w:styleId="1435">
    <w:name w:val="正文（首行缩进） Charjophy"/>
    <w:basedOn w:val="1"/>
    <w:link w:val="1434"/>
    <w:qFormat/>
    <w:uiPriority w:val="0"/>
    <w:pPr>
      <w:widowControl/>
      <w:overflowPunct w:val="0"/>
      <w:topLinePunct/>
      <w:autoSpaceDE w:val="0"/>
      <w:autoSpaceDN w:val="0"/>
      <w:adjustRightInd w:val="0"/>
      <w:snapToGrid w:val="0"/>
      <w:spacing w:line="360" w:lineRule="auto"/>
      <w:ind w:firstLine="480" w:firstLineChars="200"/>
      <w:textAlignment w:val="baseline"/>
    </w:pPr>
    <w:rPr>
      <w:snapToGrid w:val="0"/>
      <w:kern w:val="0"/>
      <w:sz w:val="24"/>
    </w:rPr>
  </w:style>
  <w:style w:type="character" w:customStyle="1" w:styleId="1436">
    <w:name w:val="样式 宋体 四号"/>
    <w:qFormat/>
    <w:uiPriority w:val="0"/>
    <w:rPr>
      <w:rFonts w:ascii="宋体" w:hAnsi="宋体"/>
      <w:sz w:val="28"/>
      <w:szCs w:val="28"/>
    </w:rPr>
  </w:style>
  <w:style w:type="character" w:customStyle="1" w:styleId="1437">
    <w:name w:val="正文1 Char"/>
    <w:link w:val="265"/>
    <w:qFormat/>
    <w:uiPriority w:val="0"/>
    <w:rPr>
      <w:kern w:val="2"/>
      <w:sz w:val="21"/>
    </w:rPr>
  </w:style>
  <w:style w:type="character" w:customStyle="1" w:styleId="1438">
    <w:name w:val="报告正文 Char"/>
    <w:link w:val="1361"/>
    <w:qFormat/>
    <w:uiPriority w:val="0"/>
    <w:rPr>
      <w:color w:val="000000"/>
      <w:kern w:val="2"/>
      <w:sz w:val="24"/>
      <w:szCs w:val="24"/>
      <w:lang w:val="zh-CN" w:eastAsia="zh-CN"/>
    </w:rPr>
  </w:style>
  <w:style w:type="character" w:customStyle="1" w:styleId="1439">
    <w:name w:val="head121"/>
    <w:qFormat/>
    <w:uiPriority w:val="0"/>
    <w:rPr>
      <w:sz w:val="22"/>
      <w:szCs w:val="22"/>
    </w:rPr>
  </w:style>
  <w:style w:type="character" w:customStyle="1" w:styleId="1440">
    <w:name w:val="表标头jophy Char Char"/>
    <w:link w:val="1441"/>
    <w:qFormat/>
    <w:uiPriority w:val="0"/>
    <w:rPr>
      <w:b/>
      <w:bCs/>
      <w:sz w:val="24"/>
      <w:szCs w:val="28"/>
    </w:rPr>
  </w:style>
  <w:style w:type="paragraph" w:customStyle="1" w:styleId="1441">
    <w:name w:val="表标头jophy"/>
    <w:link w:val="1440"/>
    <w:qFormat/>
    <w:uiPriority w:val="0"/>
    <w:pPr>
      <w:adjustRightInd w:val="0"/>
      <w:snapToGrid w:val="0"/>
      <w:jc w:val="center"/>
    </w:pPr>
    <w:rPr>
      <w:rFonts w:ascii="Times New Roman" w:hAnsi="Times New Roman" w:eastAsia="宋体" w:cs="Times New Roman"/>
      <w:b/>
      <w:bCs/>
      <w:sz w:val="24"/>
      <w:szCs w:val="28"/>
      <w:lang w:val="en-US" w:eastAsia="zh-CN" w:bidi="ar-SA"/>
    </w:rPr>
  </w:style>
  <w:style w:type="character" w:customStyle="1" w:styleId="1442">
    <w:name w:val="带括号的正文 Char"/>
    <w:link w:val="1443"/>
    <w:qFormat/>
    <w:uiPriority w:val="0"/>
    <w:rPr>
      <w:sz w:val="24"/>
      <w:szCs w:val="28"/>
    </w:rPr>
  </w:style>
  <w:style w:type="paragraph" w:customStyle="1" w:styleId="1443">
    <w:name w:val="带括号的正文"/>
    <w:basedOn w:val="1"/>
    <w:next w:val="1"/>
    <w:link w:val="1442"/>
    <w:qFormat/>
    <w:uiPriority w:val="0"/>
    <w:pPr>
      <w:adjustRightInd w:val="0"/>
      <w:snapToGrid w:val="0"/>
      <w:spacing w:line="360" w:lineRule="auto"/>
      <w:ind w:firstLine="100" w:firstLineChars="100"/>
    </w:pPr>
    <w:rPr>
      <w:kern w:val="0"/>
      <w:sz w:val="24"/>
      <w:szCs w:val="28"/>
    </w:rPr>
  </w:style>
  <w:style w:type="character" w:customStyle="1" w:styleId="1444">
    <w:name w:val="1正文段落 Char"/>
    <w:link w:val="1445"/>
    <w:qFormat/>
    <w:uiPriority w:val="0"/>
    <w:rPr>
      <w:snapToGrid w:val="0"/>
      <w:sz w:val="24"/>
      <w:szCs w:val="24"/>
    </w:rPr>
  </w:style>
  <w:style w:type="paragraph" w:customStyle="1" w:styleId="1445">
    <w:name w:val="1正文段落"/>
    <w:basedOn w:val="1"/>
    <w:link w:val="1444"/>
    <w:qFormat/>
    <w:uiPriority w:val="0"/>
    <w:pPr>
      <w:spacing w:line="360" w:lineRule="auto"/>
      <w:ind w:firstLine="480" w:firstLineChars="200"/>
      <w:jc w:val="left"/>
    </w:pPr>
    <w:rPr>
      <w:snapToGrid w:val="0"/>
      <w:kern w:val="0"/>
      <w:sz w:val="24"/>
    </w:rPr>
  </w:style>
  <w:style w:type="character" w:customStyle="1" w:styleId="1446">
    <w:name w:val="text1"/>
    <w:qFormat/>
    <w:uiPriority w:val="0"/>
    <w:rPr>
      <w:color w:val="auto"/>
      <w:sz w:val="20"/>
      <w:szCs w:val="20"/>
    </w:rPr>
  </w:style>
  <w:style w:type="character" w:customStyle="1" w:styleId="1447">
    <w:name w:val="H5 Char Char"/>
    <w:qFormat/>
    <w:uiPriority w:val="0"/>
    <w:rPr>
      <w:rFonts w:eastAsia="宋体"/>
      <w:b/>
      <w:sz w:val="24"/>
      <w:lang w:val="en-US" w:eastAsia="zh-CN" w:bidi="ar-SA"/>
    </w:rPr>
  </w:style>
  <w:style w:type="character" w:customStyle="1" w:styleId="1448">
    <w:name w:val="ourfont11"/>
    <w:qFormat/>
    <w:uiPriority w:val="0"/>
    <w:rPr>
      <w:sz w:val="20"/>
      <w:szCs w:val="20"/>
    </w:rPr>
  </w:style>
  <w:style w:type="character" w:customStyle="1" w:styleId="1449">
    <w:name w:val="正文（首行缩进两字） Char Char Char Char Char Char Char Char Char Char Char Char Char"/>
    <w:qFormat/>
    <w:uiPriority w:val="0"/>
    <w:rPr>
      <w:rFonts w:ascii="仿宋_GB2312" w:eastAsia="仿宋_GB2312"/>
      <w:color w:val="000000"/>
      <w:kern w:val="2"/>
      <w:sz w:val="28"/>
      <w:szCs w:val="24"/>
      <w:lang w:val="en-US" w:eastAsia="zh-CN" w:bidi="ar-SA"/>
    </w:rPr>
  </w:style>
  <w:style w:type="character" w:customStyle="1" w:styleId="1450">
    <w:name w:val="s1"/>
    <w:qFormat/>
    <w:uiPriority w:val="0"/>
    <w:rPr>
      <w:sz w:val="18"/>
      <w:szCs w:val="18"/>
    </w:rPr>
  </w:style>
  <w:style w:type="character" w:customStyle="1" w:styleId="1451">
    <w:name w:val="脚注文本 Char1"/>
    <w:semiHidden/>
    <w:qFormat/>
    <w:uiPriority w:val="0"/>
    <w:rPr>
      <w:rFonts w:ascii="Times New Roman" w:hAnsi="Times New Roman" w:eastAsia="宋体" w:cs="Times New Roman"/>
      <w:sz w:val="18"/>
      <w:szCs w:val="18"/>
    </w:rPr>
  </w:style>
  <w:style w:type="character" w:customStyle="1" w:styleId="1452">
    <w:name w:val="表格内容五号字 Char Char"/>
    <w:link w:val="1453"/>
    <w:qFormat/>
    <w:uiPriority w:val="0"/>
  </w:style>
  <w:style w:type="paragraph" w:customStyle="1" w:styleId="1453">
    <w:name w:val="表格内容五号字"/>
    <w:basedOn w:val="1"/>
    <w:link w:val="1452"/>
    <w:qFormat/>
    <w:uiPriority w:val="0"/>
    <w:pPr>
      <w:adjustRightInd w:val="0"/>
      <w:snapToGrid w:val="0"/>
      <w:spacing w:line="240" w:lineRule="atLeast"/>
      <w:jc w:val="center"/>
      <w:textAlignment w:val="baseline"/>
    </w:pPr>
    <w:rPr>
      <w:kern w:val="0"/>
      <w:sz w:val="20"/>
      <w:szCs w:val="20"/>
    </w:rPr>
  </w:style>
  <w:style w:type="character" w:customStyle="1" w:styleId="1454">
    <w:name w:val="正文样式1 Char"/>
    <w:link w:val="1455"/>
    <w:qFormat/>
    <w:uiPriority w:val="0"/>
    <w:rPr>
      <w:sz w:val="28"/>
    </w:rPr>
  </w:style>
  <w:style w:type="paragraph" w:customStyle="1" w:styleId="1455">
    <w:name w:val="正文样式1"/>
    <w:basedOn w:val="1"/>
    <w:link w:val="1454"/>
    <w:qFormat/>
    <w:uiPriority w:val="0"/>
    <w:pPr>
      <w:adjustRightInd w:val="0"/>
      <w:spacing w:line="480" w:lineRule="atLeast"/>
      <w:ind w:firstLine="567"/>
      <w:jc w:val="left"/>
      <w:textAlignment w:val="baseline"/>
    </w:pPr>
    <w:rPr>
      <w:kern w:val="0"/>
      <w:sz w:val="28"/>
      <w:szCs w:val="20"/>
    </w:rPr>
  </w:style>
  <w:style w:type="character" w:customStyle="1" w:styleId="1456">
    <w:name w:val="样式 首行缩进:  2 字符 Char"/>
    <w:link w:val="270"/>
    <w:qFormat/>
    <w:uiPriority w:val="0"/>
    <w:rPr>
      <w:rFonts w:ascii="仿宋_GB2312"/>
      <w:kern w:val="2"/>
      <w:sz w:val="28"/>
    </w:rPr>
  </w:style>
  <w:style w:type="character" w:customStyle="1" w:styleId="1457">
    <w:name w:val="纯文本1 Char Char"/>
    <w:qFormat/>
    <w:uiPriority w:val="0"/>
    <w:rPr>
      <w:rFonts w:ascii="宋体" w:hAnsi="Courier New" w:eastAsia="宋体"/>
      <w:kern w:val="2"/>
      <w:sz w:val="21"/>
      <w:szCs w:val="21"/>
      <w:lang w:val="en-US" w:eastAsia="zh-CN" w:bidi="ar-SA"/>
    </w:rPr>
  </w:style>
  <w:style w:type="character" w:customStyle="1" w:styleId="1458">
    <w:name w:val="正文文字缩进 Char Char1"/>
    <w:qFormat/>
    <w:uiPriority w:val="0"/>
    <w:rPr>
      <w:rFonts w:eastAsia="宋体"/>
      <w:kern w:val="2"/>
      <w:sz w:val="21"/>
      <w:szCs w:val="24"/>
      <w:lang w:val="en-US" w:eastAsia="zh-CN" w:bidi="ar-SA"/>
    </w:rPr>
  </w:style>
  <w:style w:type="character" w:customStyle="1" w:styleId="1459">
    <w:name w:val="t361"/>
    <w:qFormat/>
    <w:uiPriority w:val="0"/>
    <w:rPr>
      <w:b/>
      <w:bCs/>
      <w:color w:val="FFFFFF"/>
      <w:sz w:val="40"/>
      <w:szCs w:val="40"/>
    </w:rPr>
  </w:style>
  <w:style w:type="character" w:customStyle="1" w:styleId="1460">
    <w:name w:val="content_11"/>
    <w:qFormat/>
    <w:uiPriority w:val="0"/>
    <w:rPr>
      <w:color w:val="333333"/>
      <w:sz w:val="18"/>
    </w:rPr>
  </w:style>
  <w:style w:type="character" w:customStyle="1" w:styleId="1461">
    <w:name w:val="f31"/>
    <w:qFormat/>
    <w:uiPriority w:val="0"/>
    <w:rPr>
      <w:sz w:val="28"/>
    </w:rPr>
  </w:style>
  <w:style w:type="character" w:customStyle="1" w:styleId="1462">
    <w:name w:val="l-1801"/>
    <w:qFormat/>
    <w:uiPriority w:val="0"/>
    <w:rPr>
      <w:sz w:val="18"/>
      <w:u w:val="none"/>
    </w:rPr>
  </w:style>
  <w:style w:type="character" w:customStyle="1" w:styleId="1463">
    <w:name w:val="正文首行缩进 Char1"/>
    <w:qFormat/>
    <w:uiPriority w:val="0"/>
    <w:rPr>
      <w:rFonts w:ascii="Times New Roman" w:hAnsi="Times New Roman" w:eastAsia="宋体" w:cs="Times New Roman"/>
      <w:kern w:val="2"/>
      <w:sz w:val="21"/>
      <w:szCs w:val="24"/>
      <w:lang w:val="en-US" w:eastAsia="zh-CN" w:bidi="ar-SA"/>
    </w:rPr>
  </w:style>
  <w:style w:type="character" w:customStyle="1" w:styleId="1464">
    <w:name w:val="p5"/>
    <w:qFormat/>
    <w:uiPriority w:val="0"/>
  </w:style>
  <w:style w:type="character" w:customStyle="1" w:styleId="1465">
    <w:name w:val="lh151"/>
    <w:qFormat/>
    <w:uiPriority w:val="0"/>
  </w:style>
  <w:style w:type="character" w:customStyle="1" w:styleId="1466">
    <w:name w:val="zi"/>
    <w:qFormat/>
    <w:uiPriority w:val="0"/>
  </w:style>
  <w:style w:type="character" w:customStyle="1" w:styleId="1467">
    <w:name w:val="black91"/>
    <w:qFormat/>
    <w:uiPriority w:val="0"/>
    <w:rPr>
      <w:color w:val="000000"/>
      <w:sz w:val="18"/>
      <w:u w:val="none"/>
    </w:rPr>
  </w:style>
  <w:style w:type="character" w:customStyle="1" w:styleId="1468">
    <w:name w:val="c lh15"/>
    <w:qFormat/>
    <w:uiPriority w:val="0"/>
  </w:style>
  <w:style w:type="character" w:customStyle="1" w:styleId="1469">
    <w:name w:val="highlight1"/>
    <w:qFormat/>
    <w:uiPriority w:val="0"/>
    <w:rPr>
      <w:sz w:val="21"/>
      <w:szCs w:val="21"/>
    </w:rPr>
  </w:style>
  <w:style w:type="character" w:customStyle="1" w:styleId="1470">
    <w:name w:val="bt21"/>
    <w:qFormat/>
    <w:uiPriority w:val="0"/>
    <w:rPr>
      <w:rFonts w:hint="eastAsia" w:ascii="黑体" w:eastAsia="黑体"/>
      <w:sz w:val="24"/>
      <w:szCs w:val="24"/>
    </w:rPr>
  </w:style>
  <w:style w:type="character" w:customStyle="1" w:styleId="1471">
    <w:name w:val="style61"/>
    <w:qFormat/>
    <w:uiPriority w:val="0"/>
    <w:rPr>
      <w:color w:val="000000"/>
    </w:rPr>
  </w:style>
  <w:style w:type="character" w:customStyle="1" w:styleId="1472">
    <w:name w:val="正文样式 Char"/>
    <w:link w:val="1473"/>
    <w:qFormat/>
    <w:uiPriority w:val="0"/>
    <w:rPr>
      <w:snapToGrid w:val="0"/>
      <w:sz w:val="24"/>
      <w:szCs w:val="24"/>
    </w:rPr>
  </w:style>
  <w:style w:type="paragraph" w:customStyle="1" w:styleId="1473">
    <w:name w:val="正文样式"/>
    <w:link w:val="1472"/>
    <w:qFormat/>
    <w:uiPriority w:val="0"/>
    <w:pPr>
      <w:tabs>
        <w:tab w:val="left" w:pos="630"/>
        <w:tab w:val="left" w:pos="1260"/>
      </w:tabs>
      <w:adjustRightInd w:val="0"/>
      <w:snapToGrid w:val="0"/>
      <w:spacing w:line="360" w:lineRule="auto"/>
      <w:ind w:firstLine="200" w:firstLineChars="200"/>
      <w:jc w:val="both"/>
    </w:pPr>
    <w:rPr>
      <w:rFonts w:ascii="Times New Roman" w:hAnsi="Times New Roman" w:eastAsia="宋体" w:cs="Times New Roman"/>
      <w:snapToGrid w:val="0"/>
      <w:sz w:val="24"/>
      <w:szCs w:val="24"/>
      <w:lang w:val="en-US" w:eastAsia="zh-CN" w:bidi="ar-SA"/>
    </w:rPr>
  </w:style>
  <w:style w:type="character" w:customStyle="1" w:styleId="1474">
    <w:name w:val="br1"/>
    <w:qFormat/>
    <w:uiPriority w:val="0"/>
  </w:style>
  <w:style w:type="character" w:customStyle="1" w:styleId="1475">
    <w:name w:val="Char Char13"/>
    <w:qFormat/>
    <w:uiPriority w:val="0"/>
    <w:rPr>
      <w:rFonts w:eastAsia="宋体"/>
      <w:kern w:val="2"/>
      <w:sz w:val="24"/>
      <w:lang w:val="en-US" w:eastAsia="zh-CN" w:bidi="ar-SA"/>
    </w:rPr>
  </w:style>
  <w:style w:type="character" w:customStyle="1" w:styleId="1476">
    <w:name w:val="称呼 Char1"/>
    <w:semiHidden/>
    <w:qFormat/>
    <w:uiPriority w:val="0"/>
    <w:rPr>
      <w:rFonts w:ascii="Times New Roman" w:hAnsi="Times New Roman" w:eastAsia="宋体" w:cs="Times New Roman"/>
      <w:szCs w:val="24"/>
    </w:rPr>
  </w:style>
  <w:style w:type="character" w:customStyle="1" w:styleId="1477">
    <w:name w:val="正文文本 3 Char1"/>
    <w:qFormat/>
    <w:uiPriority w:val="0"/>
    <w:rPr>
      <w:rFonts w:ascii="Times New Roman" w:hAnsi="Times New Roman" w:eastAsia="宋体" w:cs="Times New Roman"/>
      <w:sz w:val="16"/>
      <w:szCs w:val="16"/>
    </w:rPr>
  </w:style>
  <w:style w:type="character" w:customStyle="1" w:styleId="1478">
    <w:name w:val="zzd正文 Char"/>
    <w:link w:val="1479"/>
    <w:qFormat/>
    <w:uiPriority w:val="0"/>
    <w:rPr>
      <w:rFonts w:ascii="宋体"/>
      <w:iCs/>
      <w:sz w:val="24"/>
      <w:szCs w:val="24"/>
    </w:rPr>
  </w:style>
  <w:style w:type="paragraph" w:customStyle="1" w:styleId="1479">
    <w:name w:val="zzd正文"/>
    <w:basedOn w:val="1"/>
    <w:link w:val="1478"/>
    <w:qFormat/>
    <w:uiPriority w:val="0"/>
    <w:pPr>
      <w:spacing w:line="360" w:lineRule="auto"/>
      <w:jc w:val="center"/>
    </w:pPr>
    <w:rPr>
      <w:rFonts w:ascii="宋体"/>
      <w:iCs/>
      <w:kern w:val="0"/>
      <w:sz w:val="24"/>
    </w:rPr>
  </w:style>
  <w:style w:type="character" w:customStyle="1" w:styleId="1480">
    <w:name w:val="表格标题新 Char"/>
    <w:link w:val="1481"/>
    <w:qFormat/>
    <w:uiPriority w:val="0"/>
    <w:rPr>
      <w:rFonts w:ascii="仿宋_GB2312" w:eastAsia="黑体"/>
      <w:b/>
      <w:snapToGrid w:val="0"/>
      <w:spacing w:val="4"/>
      <w:kern w:val="18"/>
      <w:sz w:val="24"/>
      <w:szCs w:val="24"/>
    </w:rPr>
  </w:style>
  <w:style w:type="paragraph" w:customStyle="1" w:styleId="1481">
    <w:name w:val="表格标题新"/>
    <w:basedOn w:val="512"/>
    <w:link w:val="1480"/>
    <w:qFormat/>
    <w:uiPriority w:val="0"/>
    <w:pPr>
      <w:tabs>
        <w:tab w:val="left" w:pos="0"/>
      </w:tabs>
      <w:adjustRightInd w:val="0"/>
      <w:snapToGrid w:val="0"/>
      <w:spacing w:beforeLines="50" w:after="0" w:line="240" w:lineRule="auto"/>
      <w:ind w:firstLine="562"/>
    </w:pPr>
    <w:rPr>
      <w:rFonts w:ascii="仿宋_GB2312" w:eastAsia="黑体"/>
      <w:b/>
      <w:snapToGrid w:val="0"/>
      <w:spacing w:val="4"/>
      <w:kern w:val="18"/>
      <w:szCs w:val="24"/>
    </w:rPr>
  </w:style>
  <w:style w:type="character" w:customStyle="1" w:styleId="1482">
    <w:name w:val="正文-leon Char"/>
    <w:link w:val="1483"/>
    <w:qFormat/>
    <w:uiPriority w:val="0"/>
    <w:rPr>
      <w:sz w:val="24"/>
      <w:szCs w:val="24"/>
    </w:rPr>
  </w:style>
  <w:style w:type="paragraph" w:customStyle="1" w:styleId="1483">
    <w:name w:val="正文-leon"/>
    <w:basedOn w:val="1"/>
    <w:link w:val="1482"/>
    <w:qFormat/>
    <w:uiPriority w:val="0"/>
    <w:pPr>
      <w:spacing w:line="360" w:lineRule="auto"/>
      <w:ind w:firstLine="200" w:firstLineChars="200"/>
    </w:pPr>
    <w:rPr>
      <w:kern w:val="0"/>
      <w:sz w:val="24"/>
    </w:rPr>
  </w:style>
  <w:style w:type="character" w:customStyle="1" w:styleId="1484">
    <w:name w:val="kno-fh"/>
    <w:qFormat/>
    <w:uiPriority w:val="0"/>
  </w:style>
  <w:style w:type="character" w:customStyle="1" w:styleId="1485">
    <w:name w:val="kno-fv-vq fl"/>
    <w:qFormat/>
    <w:uiPriority w:val="0"/>
  </w:style>
  <w:style w:type="character" w:customStyle="1" w:styleId="1486">
    <w:name w:val="font71"/>
    <w:qFormat/>
    <w:uiPriority w:val="0"/>
    <w:rPr>
      <w:rFonts w:hint="default" w:ascii="Times New Roman" w:hAnsi="Times New Roman" w:cs="Times New Roman"/>
      <w:color w:val="000000"/>
      <w:sz w:val="24"/>
      <w:szCs w:val="24"/>
      <w:u w:val="none"/>
      <w:vertAlign w:val="subscript"/>
    </w:rPr>
  </w:style>
  <w:style w:type="character" w:customStyle="1" w:styleId="1487">
    <w:name w:val="font81"/>
    <w:qFormat/>
    <w:uiPriority w:val="0"/>
    <w:rPr>
      <w:rFonts w:hint="eastAsia" w:ascii="宋体" w:hAnsi="宋体" w:eastAsia="宋体"/>
      <w:color w:val="FF0000"/>
      <w:sz w:val="24"/>
      <w:szCs w:val="24"/>
      <w:u w:val="none"/>
      <w:vertAlign w:val="subscript"/>
    </w:rPr>
  </w:style>
  <w:style w:type="character" w:customStyle="1" w:styleId="1488">
    <w:name w:val="font61"/>
    <w:qFormat/>
    <w:uiPriority w:val="0"/>
    <w:rPr>
      <w:rFonts w:hint="default" w:ascii="Times New Roman" w:hAnsi="Times New Roman" w:cs="Times New Roman"/>
      <w:b/>
      <w:bCs/>
      <w:color w:val="000000"/>
      <w:sz w:val="20"/>
      <w:szCs w:val="20"/>
      <w:u w:val="none"/>
      <w:vertAlign w:val="superscript"/>
    </w:rPr>
  </w:style>
  <w:style w:type="character" w:customStyle="1" w:styleId="1489">
    <w:name w:val="报告正文 Char Char Char Char"/>
    <w:qFormat/>
    <w:uiPriority w:val="0"/>
    <w:rPr>
      <w:rFonts w:ascii="宋体" w:eastAsia="宋体"/>
      <w:kern w:val="2"/>
      <w:sz w:val="24"/>
      <w:lang w:val="en-US" w:eastAsia="zh-CN" w:bidi="ar-SA"/>
    </w:rPr>
  </w:style>
  <w:style w:type="character" w:customStyle="1" w:styleId="1490">
    <w:name w:val="font111"/>
    <w:qFormat/>
    <w:uiPriority w:val="0"/>
    <w:rPr>
      <w:rFonts w:hint="default" w:ascii="Times New Roman" w:hAnsi="Times New Roman" w:cs="Times New Roman"/>
      <w:b/>
      <w:bCs/>
      <w:color w:val="000000"/>
      <w:sz w:val="21"/>
      <w:szCs w:val="21"/>
      <w:u w:val="none"/>
    </w:rPr>
  </w:style>
  <w:style w:type="character" w:customStyle="1" w:styleId="1491">
    <w:name w:val="font121"/>
    <w:qFormat/>
    <w:uiPriority w:val="0"/>
    <w:rPr>
      <w:rFonts w:hint="default" w:ascii="Times New Roman" w:hAnsi="Times New Roman" w:cs="Times New Roman"/>
      <w:color w:val="000000"/>
      <w:sz w:val="21"/>
      <w:szCs w:val="21"/>
      <w:u w:val="none"/>
    </w:rPr>
  </w:style>
  <w:style w:type="character" w:customStyle="1" w:styleId="1492">
    <w:name w:val="font131"/>
    <w:qFormat/>
    <w:uiPriority w:val="0"/>
    <w:rPr>
      <w:rFonts w:hint="eastAsia" w:ascii="宋体" w:hAnsi="宋体" w:eastAsia="宋体"/>
      <w:b/>
      <w:bCs/>
      <w:color w:val="000000"/>
      <w:sz w:val="21"/>
      <w:szCs w:val="21"/>
      <w:u w:val="none"/>
    </w:rPr>
  </w:style>
  <w:style w:type="character" w:customStyle="1" w:styleId="1493">
    <w:name w:val="font101"/>
    <w:qFormat/>
    <w:uiPriority w:val="0"/>
    <w:rPr>
      <w:rFonts w:hint="default" w:ascii="Times New Roman" w:hAnsi="Times New Roman" w:cs="Times New Roman"/>
      <w:color w:val="000000"/>
      <w:sz w:val="21"/>
      <w:szCs w:val="21"/>
      <w:u w:val="none"/>
      <w:vertAlign w:val="subscript"/>
    </w:rPr>
  </w:style>
  <w:style w:type="character" w:customStyle="1" w:styleId="1494">
    <w:name w:val="页眉 Char Char Char"/>
    <w:qFormat/>
    <w:uiPriority w:val="0"/>
    <w:rPr>
      <w:rFonts w:eastAsia="宋体"/>
      <w:kern w:val="2"/>
      <w:sz w:val="18"/>
      <w:lang w:val="en-US" w:eastAsia="zh-CN" w:bidi="ar-SA"/>
    </w:rPr>
  </w:style>
  <w:style w:type="character" w:customStyle="1" w:styleId="1495">
    <w:name w:val="TT正文 Char"/>
    <w:link w:val="1496"/>
    <w:qFormat/>
    <w:uiPriority w:val="0"/>
    <w:rPr>
      <w:color w:val="000000"/>
      <w:sz w:val="24"/>
    </w:rPr>
  </w:style>
  <w:style w:type="paragraph" w:customStyle="1" w:styleId="1496">
    <w:name w:val="TT正文"/>
    <w:basedOn w:val="1"/>
    <w:link w:val="1495"/>
    <w:qFormat/>
    <w:uiPriority w:val="0"/>
    <w:pPr>
      <w:widowControl/>
      <w:spacing w:line="360" w:lineRule="auto"/>
      <w:ind w:firstLine="200" w:firstLineChars="200"/>
    </w:pPr>
    <w:rPr>
      <w:color w:val="000000"/>
      <w:kern w:val="0"/>
      <w:sz w:val="24"/>
      <w:szCs w:val="20"/>
    </w:rPr>
  </w:style>
  <w:style w:type="character" w:customStyle="1" w:styleId="1497">
    <w:name w:val="表格1 Char1"/>
    <w:link w:val="228"/>
    <w:qFormat/>
    <w:uiPriority w:val="0"/>
    <w:rPr>
      <w:rFonts w:ascii="宋体"/>
      <w:kern w:val="2"/>
      <w:sz w:val="18"/>
    </w:rPr>
  </w:style>
  <w:style w:type="character" w:customStyle="1" w:styleId="1498">
    <w:name w:val="Char Char241"/>
    <w:qFormat/>
    <w:uiPriority w:val="0"/>
    <w:rPr>
      <w:rFonts w:eastAsia="宋体"/>
      <w:kern w:val="2"/>
      <w:sz w:val="21"/>
      <w:lang w:val="en-US" w:eastAsia="zh-CN" w:bidi="ar-SA"/>
    </w:rPr>
  </w:style>
  <w:style w:type="character" w:customStyle="1" w:styleId="1499">
    <w:name w:val="纯文本 Char Char Char Char Char Char Char1"/>
    <w:qFormat/>
    <w:uiPriority w:val="0"/>
    <w:rPr>
      <w:rFonts w:ascii="宋体" w:hAnsi="Courier New" w:eastAsia="宋体"/>
      <w:kern w:val="2"/>
      <w:sz w:val="21"/>
      <w:lang w:val="en-US" w:eastAsia="zh-CN" w:bidi="ar-SA"/>
    </w:rPr>
  </w:style>
  <w:style w:type="character" w:customStyle="1" w:styleId="1500">
    <w:name w:val="正文 Char1"/>
    <w:link w:val="1501"/>
    <w:qFormat/>
    <w:uiPriority w:val="0"/>
    <w:rPr>
      <w:rFonts w:eastAsia="楷体_GB2312"/>
      <w:spacing w:val="-2"/>
      <w:kern w:val="2"/>
      <w:sz w:val="28"/>
      <w:szCs w:val="22"/>
    </w:rPr>
  </w:style>
  <w:style w:type="paragraph" w:customStyle="1" w:styleId="1501">
    <w:name w:val="正文8"/>
    <w:basedOn w:val="1"/>
    <w:link w:val="1500"/>
    <w:qFormat/>
    <w:uiPriority w:val="0"/>
    <w:pPr>
      <w:adjustRightInd w:val="0"/>
      <w:spacing w:line="500" w:lineRule="exact"/>
      <w:ind w:firstLine="200" w:firstLineChars="200"/>
      <w:textAlignment w:val="baseline"/>
    </w:pPr>
    <w:rPr>
      <w:rFonts w:eastAsia="楷体_GB2312"/>
      <w:spacing w:val="-2"/>
      <w:sz w:val="28"/>
      <w:szCs w:val="22"/>
    </w:rPr>
  </w:style>
  <w:style w:type="character" w:customStyle="1" w:styleId="1502">
    <w:name w:val="我的正文 Char"/>
    <w:link w:val="1503"/>
    <w:qFormat/>
    <w:uiPriority w:val="0"/>
    <w:rPr>
      <w:sz w:val="24"/>
      <w:szCs w:val="24"/>
    </w:rPr>
  </w:style>
  <w:style w:type="paragraph" w:customStyle="1" w:styleId="1503">
    <w:name w:val="我的正文"/>
    <w:link w:val="1502"/>
    <w:qFormat/>
    <w:uiPriority w:val="0"/>
    <w:pPr>
      <w:spacing w:line="360" w:lineRule="auto"/>
      <w:jc w:val="both"/>
    </w:pPr>
    <w:rPr>
      <w:rFonts w:ascii="Times New Roman" w:hAnsi="Times New Roman" w:eastAsia="宋体" w:cs="Times New Roman"/>
      <w:sz w:val="24"/>
      <w:szCs w:val="24"/>
      <w:lang w:val="en-US" w:eastAsia="zh-CN" w:bidi="ar-SA"/>
    </w:rPr>
  </w:style>
  <w:style w:type="character" w:customStyle="1" w:styleId="1504">
    <w:name w:val="returntop"/>
    <w:qFormat/>
    <w:uiPriority w:val="0"/>
  </w:style>
  <w:style w:type="character" w:customStyle="1" w:styleId="1505">
    <w:name w:val="大田正文 Char"/>
    <w:link w:val="1506"/>
    <w:qFormat/>
    <w:uiPriority w:val="0"/>
    <w:rPr>
      <w:rFonts w:ascii="宋体"/>
      <w:sz w:val="28"/>
    </w:rPr>
  </w:style>
  <w:style w:type="paragraph" w:customStyle="1" w:styleId="1506">
    <w:name w:val="大田正文"/>
    <w:basedOn w:val="37"/>
    <w:link w:val="1505"/>
    <w:qFormat/>
    <w:uiPriority w:val="0"/>
    <w:pPr>
      <w:spacing w:after="0" w:line="500" w:lineRule="exact"/>
      <w:ind w:left="0" w:leftChars="0" w:firstLine="567"/>
    </w:pPr>
    <w:rPr>
      <w:rFonts w:ascii="宋体"/>
      <w:kern w:val="0"/>
      <w:sz w:val="28"/>
      <w:szCs w:val="20"/>
    </w:rPr>
  </w:style>
  <w:style w:type="character" w:customStyle="1" w:styleId="1507">
    <w:name w:val="shenming"/>
    <w:qFormat/>
    <w:uiPriority w:val="0"/>
  </w:style>
  <w:style w:type="character" w:customStyle="1" w:styleId="1508">
    <w:name w:val="样式 楷体_GB2312 黑色"/>
    <w:qFormat/>
    <w:uiPriority w:val="0"/>
    <w:rPr>
      <w:rFonts w:hint="eastAsia" w:ascii="楷体_GB2312" w:hAnsi="宋体" w:eastAsia="楷体_GB2312"/>
      <w:b/>
      <w:color w:val="000000"/>
      <w:sz w:val="24"/>
      <w:lang w:val="en-US" w:eastAsia="zh-CN"/>
    </w:rPr>
  </w:style>
  <w:style w:type="character" w:customStyle="1" w:styleId="1509">
    <w:name w:val="正文1 Char Char"/>
    <w:qFormat/>
    <w:uiPriority w:val="0"/>
    <w:rPr>
      <w:rFonts w:eastAsia="楷体_GB2312"/>
      <w:kern w:val="2"/>
      <w:sz w:val="24"/>
      <w:lang w:val="en-US" w:eastAsia="zh-CN" w:bidi="ar-SA"/>
    </w:rPr>
  </w:style>
  <w:style w:type="paragraph" w:customStyle="1" w:styleId="1510">
    <w:name w:val="正文稿新版"/>
    <w:basedOn w:val="1"/>
    <w:qFormat/>
    <w:uiPriority w:val="0"/>
    <w:pPr>
      <w:adjustRightInd w:val="0"/>
      <w:spacing w:beforeLines="50" w:afterLines="50" w:line="400" w:lineRule="exact"/>
      <w:ind w:left="300" w:leftChars="300"/>
      <w:jc w:val="left"/>
    </w:pPr>
    <w:rPr>
      <w:rFonts w:ascii="Arial" w:hAnsi="Arial" w:cs="宋体"/>
      <w:kern w:val="0"/>
      <w:sz w:val="24"/>
      <w:szCs w:val="20"/>
      <w:lang w:val="zh-CN"/>
    </w:rPr>
  </w:style>
  <w:style w:type="paragraph" w:customStyle="1" w:styleId="1511">
    <w:name w:val="bg"/>
    <w:basedOn w:val="1"/>
    <w:qFormat/>
    <w:uiPriority w:val="0"/>
    <w:pPr>
      <w:widowControl/>
    </w:pPr>
    <w:rPr>
      <w:kern w:val="0"/>
      <w:sz w:val="24"/>
      <w:szCs w:val="20"/>
    </w:rPr>
  </w:style>
  <w:style w:type="paragraph" w:customStyle="1" w:styleId="1512">
    <w:name w:val="5文章(治)"/>
    <w:basedOn w:val="1"/>
    <w:qFormat/>
    <w:uiPriority w:val="0"/>
    <w:pPr>
      <w:spacing w:line="360" w:lineRule="auto"/>
      <w:ind w:firstLine="560" w:firstLineChars="200"/>
    </w:pPr>
    <w:rPr>
      <w:rFonts w:eastAsia="楷体_GB2312"/>
      <w:sz w:val="28"/>
      <w:szCs w:val="20"/>
    </w:rPr>
  </w:style>
  <w:style w:type="paragraph" w:customStyle="1" w:styleId="1513">
    <w:name w:val="Char Char Char Char Char Char Char Char Char Char Char Char Char Char Char Char Char Char Char Char Char Char Char Char Char Char Char Char Char Char Char"/>
    <w:basedOn w:val="1"/>
    <w:next w:val="1"/>
    <w:qFormat/>
    <w:uiPriority w:val="0"/>
    <w:pPr>
      <w:spacing w:line="360" w:lineRule="auto"/>
      <w:ind w:firstLine="200" w:firstLineChars="200"/>
    </w:pPr>
    <w:rPr>
      <w:rFonts w:ascii="宋体" w:hAnsi="宋体" w:cs="宋体"/>
      <w:sz w:val="24"/>
    </w:rPr>
  </w:style>
  <w:style w:type="paragraph" w:customStyle="1" w:styleId="1514">
    <w:name w:val="表格 31"/>
    <w:qFormat/>
    <w:uiPriority w:val="0"/>
    <w:pPr>
      <w:widowControl w:val="0"/>
      <w:autoSpaceDE w:val="0"/>
      <w:autoSpaceDN w:val="0"/>
      <w:adjustRightInd w:val="0"/>
      <w:jc w:val="center"/>
      <w:textAlignment w:val="baseline"/>
    </w:pPr>
    <w:rPr>
      <w:rFonts w:ascii="Times New Roman" w:hAnsi="Times New Roman" w:eastAsia="楷体" w:cs="Times New Roman"/>
      <w:sz w:val="28"/>
      <w:lang w:val="en-US" w:eastAsia="zh-CN" w:bidi="ar-SA"/>
    </w:rPr>
  </w:style>
  <w:style w:type="paragraph" w:customStyle="1" w:styleId="1515">
    <w:name w:val="表格 33"/>
    <w:basedOn w:val="1"/>
    <w:qFormat/>
    <w:uiPriority w:val="0"/>
    <w:pPr>
      <w:spacing w:line="360" w:lineRule="auto"/>
      <w:ind w:left="-2" w:leftChars="-1" w:firstLine="456" w:firstLineChars="190"/>
    </w:pPr>
    <w:rPr>
      <w:szCs w:val="20"/>
    </w:rPr>
  </w:style>
  <w:style w:type="paragraph" w:customStyle="1" w:styleId="1516">
    <w:name w:val="表格 3"/>
    <w:basedOn w:val="161"/>
    <w:qFormat/>
    <w:uiPriority w:val="0"/>
    <w:pPr>
      <w:autoSpaceDE w:val="0"/>
      <w:autoSpaceDN w:val="0"/>
      <w:snapToGrid/>
      <w:spacing w:beforeLines="0"/>
    </w:pPr>
    <w:rPr>
      <w:rFonts w:eastAsia="楷体_GB2312"/>
      <w:snapToGrid/>
      <w:kern w:val="2"/>
      <w:szCs w:val="22"/>
    </w:rPr>
  </w:style>
  <w:style w:type="paragraph" w:customStyle="1" w:styleId="1517">
    <w:name w:val="表格表头"/>
    <w:qFormat/>
    <w:uiPriority w:val="0"/>
    <w:pPr>
      <w:jc w:val="center"/>
    </w:pPr>
    <w:rPr>
      <w:rFonts w:ascii="Times New Roman" w:hAnsi="Times New Roman" w:eastAsia="宋体" w:cs="Times New Roman"/>
      <w:b/>
      <w:bCs/>
      <w:kern w:val="44"/>
      <w:sz w:val="24"/>
      <w:szCs w:val="44"/>
      <w:lang w:val="en-US" w:eastAsia="zh-CN" w:bidi="ar-SA"/>
    </w:rPr>
  </w:style>
  <w:style w:type="paragraph" w:customStyle="1" w:styleId="1518">
    <w:name w:val="表格2"/>
    <w:basedOn w:val="228"/>
    <w:next w:val="1"/>
    <w:qFormat/>
    <w:uiPriority w:val="0"/>
    <w:pPr>
      <w:keepNext/>
      <w:topLinePunct/>
      <w:autoSpaceDE w:val="0"/>
      <w:autoSpaceDN w:val="0"/>
      <w:adjustRightInd w:val="0"/>
      <w:spacing w:line="240" w:lineRule="auto"/>
      <w:textAlignment w:val="baseline"/>
    </w:pPr>
    <w:rPr>
      <w:rFonts w:hAnsi="Calibri"/>
      <w:kern w:val="0"/>
      <w:position w:val="-28"/>
      <w:sz w:val="21"/>
      <w:szCs w:val="22"/>
      <w:lang w:val="zh-CN"/>
    </w:rPr>
  </w:style>
  <w:style w:type="paragraph" w:customStyle="1" w:styleId="1519">
    <w:name w:val="Char Char Char Char Char Char Char Char Char Char Char Char Char Char Char Char Char Char Char Char Char Char"/>
    <w:basedOn w:val="1"/>
    <w:qFormat/>
    <w:uiPriority w:val="0"/>
    <w:pPr>
      <w:widowControl/>
      <w:spacing w:after="160" w:line="240" w:lineRule="exact"/>
      <w:jc w:val="center"/>
    </w:pPr>
    <w:rPr>
      <w:rFonts w:ascii="宋体" w:hAnsi="宋体"/>
      <w:b/>
      <w:color w:val="FF0000"/>
      <w:w w:val="200"/>
      <w:sz w:val="28"/>
      <w:szCs w:val="20"/>
    </w:rPr>
  </w:style>
  <w:style w:type="paragraph" w:customStyle="1" w:styleId="1520">
    <w:name w:val="xl206"/>
    <w:basedOn w:val="1"/>
    <w:qFormat/>
    <w:uiPriority w:val="0"/>
    <w:pPr>
      <w:widowControl/>
      <w:pBdr>
        <w:left w:val="single" w:color="auto" w:sz="4" w:space="0"/>
        <w:bottom w:val="single" w:color="auto" w:sz="4" w:space="0"/>
        <w:right w:val="single" w:color="auto" w:sz="4" w:space="0"/>
      </w:pBdr>
      <w:shd w:val="clear" w:color="auto" w:fill="99CC00"/>
      <w:spacing w:before="100" w:beforeAutospacing="1" w:after="100" w:afterAutospacing="1"/>
      <w:jc w:val="center"/>
      <w:textAlignment w:val="center"/>
    </w:pPr>
    <w:rPr>
      <w:rFonts w:ascii="Tahoma" w:hAnsi="Tahoma" w:eastAsia="Arial Unicode MS" w:cs="Tahoma"/>
      <w:kern w:val="0"/>
      <w:sz w:val="20"/>
      <w:szCs w:val="20"/>
    </w:rPr>
  </w:style>
  <w:style w:type="paragraph" w:customStyle="1" w:styleId="1521">
    <w:name w:val="默认段落字体 Para Char Char Char1 Char Char Char Char Char Char Char Char Char Char"/>
    <w:basedOn w:val="1"/>
    <w:qFormat/>
    <w:uiPriority w:val="0"/>
    <w:rPr>
      <w:sz w:val="24"/>
    </w:rPr>
  </w:style>
  <w:style w:type="paragraph" w:customStyle="1" w:styleId="1522">
    <w:name w:val="xl202"/>
    <w:basedOn w:val="1"/>
    <w:qFormat/>
    <w:uiPriority w:val="0"/>
    <w:pPr>
      <w:widowControl/>
      <w:pBdr>
        <w:left w:val="single" w:color="auto" w:sz="4" w:space="0"/>
        <w:bottom w:val="single" w:color="auto" w:sz="4" w:space="0"/>
      </w:pBdr>
      <w:spacing w:before="100" w:beforeAutospacing="1" w:after="100" w:afterAutospacing="1"/>
      <w:jc w:val="left"/>
    </w:pPr>
    <w:rPr>
      <w:rFonts w:ascii="Tahoma" w:hAnsi="Tahoma" w:eastAsia="Arial Unicode MS" w:cs="Tahoma"/>
      <w:kern w:val="0"/>
      <w:sz w:val="20"/>
      <w:szCs w:val="20"/>
    </w:rPr>
  </w:style>
  <w:style w:type="paragraph" w:customStyle="1" w:styleId="1523">
    <w:name w:val="码头正文"/>
    <w:basedOn w:val="22"/>
    <w:qFormat/>
    <w:uiPriority w:val="0"/>
    <w:pPr>
      <w:snapToGrid w:val="0"/>
      <w:spacing w:line="240" w:lineRule="atLeast"/>
      <w:ind w:firstLine="480"/>
    </w:pPr>
    <w:rPr>
      <w:rFonts w:eastAsia="楷体_GB2312"/>
      <w:sz w:val="24"/>
      <w:szCs w:val="20"/>
    </w:rPr>
  </w:style>
  <w:style w:type="paragraph" w:customStyle="1" w:styleId="1524">
    <w:name w:val="油库表"/>
    <w:basedOn w:val="1"/>
    <w:qFormat/>
    <w:uiPriority w:val="0"/>
    <w:pPr>
      <w:adjustRightInd w:val="0"/>
      <w:spacing w:beforeLines="25" w:afterLines="25"/>
      <w:jc w:val="center"/>
      <w:textAlignment w:val="baseline"/>
    </w:pPr>
    <w:rPr>
      <w:spacing w:val="10"/>
      <w:kern w:val="0"/>
      <w:szCs w:val="20"/>
    </w:rPr>
  </w:style>
  <w:style w:type="paragraph" w:customStyle="1" w:styleId="1525">
    <w:name w:val="样式 标题 2标题 2 Char Char + 宋体"/>
    <w:basedOn w:val="5"/>
    <w:qFormat/>
    <w:uiPriority w:val="0"/>
    <w:pPr>
      <w:keepLines w:val="0"/>
      <w:widowControl/>
      <w:tabs>
        <w:tab w:val="left" w:pos="840"/>
        <w:tab w:val="clear" w:pos="0"/>
        <w:tab w:val="clear" w:pos="567"/>
      </w:tabs>
      <w:overflowPunct w:val="0"/>
      <w:autoSpaceDE w:val="0"/>
      <w:autoSpaceDN w:val="0"/>
      <w:adjustRightInd w:val="0"/>
      <w:spacing w:beforeLines="0" w:afterLines="0" w:line="440" w:lineRule="exact"/>
      <w:ind w:left="840" w:hanging="420"/>
      <w:jc w:val="left"/>
      <w:textAlignment w:val="baseline"/>
    </w:pPr>
    <w:rPr>
      <w:rFonts w:ascii="宋体" w:hAnsi="宋体" w:eastAsia="楷体_GB2312"/>
      <w:spacing w:val="0"/>
      <w:kern w:val="28"/>
      <w:sz w:val="30"/>
      <w:szCs w:val="20"/>
    </w:rPr>
  </w:style>
  <w:style w:type="paragraph" w:customStyle="1" w:styleId="1526">
    <w:name w:val="字元 字元"/>
    <w:basedOn w:val="1"/>
    <w:qFormat/>
    <w:uiPriority w:val="0"/>
  </w:style>
  <w:style w:type="paragraph" w:customStyle="1" w:styleId="1527">
    <w:name w:val="表格中"/>
    <w:basedOn w:val="228"/>
    <w:qFormat/>
    <w:uiPriority w:val="0"/>
    <w:pPr>
      <w:adjustRightInd w:val="0"/>
      <w:snapToGrid w:val="0"/>
      <w:spacing w:line="0" w:lineRule="atLeast"/>
    </w:pPr>
    <w:rPr>
      <w:rFonts w:hAnsi="宋体"/>
      <w:sz w:val="28"/>
      <w:szCs w:val="24"/>
      <w:lang w:val="zh-CN"/>
    </w:rPr>
  </w:style>
  <w:style w:type="paragraph" w:customStyle="1" w:styleId="1528">
    <w:name w:val="字元 字元 Char Char Char Char Char Char Char Char Char Char Char Char Char Char 字元 字元"/>
    <w:basedOn w:val="1"/>
    <w:qFormat/>
    <w:uiPriority w:val="0"/>
  </w:style>
  <w:style w:type="paragraph" w:customStyle="1" w:styleId="1529">
    <w:name w:val="Char Char Char Char Char Char Char Char Char Char Char Char Char Char Char Char Char Char Char Char Char Char Char Char Char Char Char Char Char Char Char Char Char Char Char Char"/>
    <w:basedOn w:val="1"/>
    <w:qFormat/>
    <w:uiPriority w:val="0"/>
    <w:rPr>
      <w:sz w:val="24"/>
    </w:rPr>
  </w:style>
  <w:style w:type="paragraph" w:customStyle="1" w:styleId="1530">
    <w:name w:val="yz"/>
    <w:basedOn w:val="35"/>
    <w:qFormat/>
    <w:uiPriority w:val="0"/>
    <w:pPr>
      <w:tabs>
        <w:tab w:val="left" w:pos="900"/>
      </w:tabs>
      <w:adjustRightInd w:val="0"/>
      <w:spacing w:after="0"/>
      <w:ind w:firstLine="200" w:firstLineChars="200"/>
      <w:textAlignment w:val="baseline"/>
    </w:pPr>
    <w:rPr>
      <w:rFonts w:hint="eastAsia" w:ascii="宋体" w:hAnsi="宋体"/>
      <w:sz w:val="24"/>
      <w:szCs w:val="20"/>
    </w:rPr>
  </w:style>
  <w:style w:type="paragraph" w:customStyle="1" w:styleId="1531">
    <w:name w:val="一级无标题条"/>
    <w:basedOn w:val="1"/>
    <w:qFormat/>
    <w:uiPriority w:val="0"/>
    <w:rPr>
      <w:szCs w:val="20"/>
    </w:rPr>
  </w:style>
  <w:style w:type="paragraph" w:customStyle="1" w:styleId="1532">
    <w:name w:val="xl204"/>
    <w:basedOn w:val="1"/>
    <w:qFormat/>
    <w:uiPriority w:val="0"/>
    <w:pPr>
      <w:widowControl/>
      <w:pBdr>
        <w:top w:val="single" w:color="auto" w:sz="4" w:space="0"/>
        <w:left w:val="single" w:color="auto" w:sz="4" w:space="0"/>
        <w:right w:val="single" w:color="auto" w:sz="4" w:space="0"/>
      </w:pBdr>
      <w:shd w:val="clear" w:color="auto" w:fill="99CC00"/>
      <w:spacing w:before="100" w:beforeAutospacing="1" w:after="100" w:afterAutospacing="1"/>
      <w:jc w:val="center"/>
      <w:textAlignment w:val="center"/>
    </w:pPr>
    <w:rPr>
      <w:rFonts w:ascii="Tahoma" w:hAnsi="Tahoma" w:eastAsia="Arial Unicode MS" w:cs="Tahoma"/>
      <w:kern w:val="0"/>
      <w:sz w:val="20"/>
      <w:szCs w:val="20"/>
    </w:rPr>
  </w:style>
  <w:style w:type="paragraph" w:customStyle="1" w:styleId="1533">
    <w:name w:val="正文 + (西文) 宋体"/>
    <w:basedOn w:val="1"/>
    <w:qFormat/>
    <w:uiPriority w:val="0"/>
    <w:pPr>
      <w:tabs>
        <w:tab w:val="left" w:pos="360"/>
      </w:tabs>
      <w:spacing w:line="360" w:lineRule="auto"/>
      <w:ind w:left="360" w:firstLine="510"/>
    </w:pPr>
    <w:rPr>
      <w:rFonts w:ascii="宋体" w:hAnsi="宋体" w:eastAsia="仿宋_GB2312"/>
      <w:sz w:val="24"/>
    </w:rPr>
  </w:style>
  <w:style w:type="paragraph" w:customStyle="1" w:styleId="1534">
    <w:name w:val="表题 12"/>
    <w:basedOn w:val="1"/>
    <w:qFormat/>
    <w:uiPriority w:val="0"/>
    <w:pPr>
      <w:adjustRightInd w:val="0"/>
      <w:snapToGrid w:val="0"/>
      <w:spacing w:before="120" w:after="120"/>
      <w:jc w:val="center"/>
      <w:textAlignment w:val="baseline"/>
    </w:pPr>
    <w:rPr>
      <w:kern w:val="0"/>
      <w:sz w:val="24"/>
      <w:szCs w:val="20"/>
    </w:rPr>
  </w:style>
  <w:style w:type="paragraph" w:customStyle="1" w:styleId="1535">
    <w:name w:val="表、图名"/>
    <w:basedOn w:val="1"/>
    <w:qFormat/>
    <w:uiPriority w:val="0"/>
    <w:pPr>
      <w:adjustRightInd w:val="0"/>
      <w:snapToGrid w:val="0"/>
      <w:ind w:left="-6"/>
      <w:jc w:val="center"/>
    </w:pPr>
    <w:rPr>
      <w:rFonts w:ascii="黑体" w:hAnsi="宋体" w:eastAsia="黑体"/>
      <w:color w:val="000000"/>
      <w:sz w:val="28"/>
      <w:szCs w:val="20"/>
    </w:rPr>
  </w:style>
  <w:style w:type="paragraph" w:customStyle="1" w:styleId="1536">
    <w:name w:val="四级无标题条"/>
    <w:basedOn w:val="1"/>
    <w:qFormat/>
    <w:uiPriority w:val="0"/>
    <w:rPr>
      <w:szCs w:val="20"/>
    </w:rPr>
  </w:style>
  <w:style w:type="paragraph" w:customStyle="1" w:styleId="1537">
    <w:name w:val="正文 1"/>
    <w:qFormat/>
    <w:uiPriority w:val="0"/>
    <w:pPr>
      <w:keepNext/>
      <w:widowControl w:val="0"/>
      <w:topLinePunct/>
      <w:autoSpaceDE w:val="0"/>
      <w:autoSpaceDN w:val="0"/>
      <w:adjustRightInd w:val="0"/>
      <w:ind w:firstLine="454"/>
      <w:textAlignment w:val="baseline"/>
    </w:pPr>
    <w:rPr>
      <w:rFonts w:ascii="Times New Roman" w:hAnsi="Times New Roman" w:eastAsia="宋体" w:cs="Times New Roman"/>
      <w:sz w:val="24"/>
      <w:lang w:val="en-US" w:eastAsia="zh-CN" w:bidi="ar-SA"/>
    </w:rPr>
  </w:style>
  <w:style w:type="paragraph" w:customStyle="1" w:styleId="1538">
    <w:name w:val="四级标题"/>
    <w:qFormat/>
    <w:uiPriority w:val="0"/>
    <w:pPr>
      <w:spacing w:line="360" w:lineRule="auto"/>
      <w:jc w:val="both"/>
      <w:outlineLvl w:val="3"/>
    </w:pPr>
    <w:rPr>
      <w:rFonts w:ascii="Times New Roman" w:hAnsi="Times New Roman" w:eastAsia="宋体" w:cs="Times New Roman"/>
      <w:b/>
      <w:kern w:val="2"/>
      <w:sz w:val="28"/>
      <w:szCs w:val="24"/>
      <w:lang w:val="en-US" w:eastAsia="zh-CN" w:bidi="ar-SA"/>
    </w:rPr>
  </w:style>
  <w:style w:type="paragraph" w:customStyle="1" w:styleId="1539">
    <w:name w:val="样式 样式 首行缩进:  2 字符 + 首行缩进:  2 字符"/>
    <w:basedOn w:val="1"/>
    <w:qFormat/>
    <w:uiPriority w:val="0"/>
    <w:pPr>
      <w:snapToGrid w:val="0"/>
      <w:spacing w:line="360" w:lineRule="auto"/>
      <w:ind w:firstLine="502" w:firstLineChars="200"/>
    </w:pPr>
    <w:rPr>
      <w:sz w:val="24"/>
      <w:szCs w:val="20"/>
    </w:rPr>
  </w:style>
  <w:style w:type="paragraph" w:customStyle="1" w:styleId="1540">
    <w:name w:val="页面 3"/>
    <w:basedOn w:val="1"/>
    <w:qFormat/>
    <w:uiPriority w:val="0"/>
    <w:pPr>
      <w:adjustRightInd w:val="0"/>
      <w:jc w:val="center"/>
    </w:pPr>
    <w:rPr>
      <w:rFonts w:eastAsia="隶书"/>
      <w:kern w:val="0"/>
      <w:sz w:val="52"/>
      <w:szCs w:val="20"/>
    </w:rPr>
  </w:style>
  <w:style w:type="paragraph" w:customStyle="1" w:styleId="1541">
    <w:name w:val="封面正文"/>
    <w:qFormat/>
    <w:uiPriority w:val="0"/>
    <w:pPr>
      <w:jc w:val="both"/>
    </w:pPr>
    <w:rPr>
      <w:rFonts w:ascii="Times New Roman" w:hAnsi="Times New Roman" w:eastAsia="宋体" w:cs="Times New Roman"/>
      <w:lang w:val="en-US" w:eastAsia="zh-CN" w:bidi="ar-SA"/>
    </w:rPr>
  </w:style>
  <w:style w:type="paragraph" w:customStyle="1" w:styleId="1542">
    <w:name w:val="Char Char Char Char Char Char Char Char Char Char Char Char"/>
    <w:basedOn w:val="1"/>
    <w:qFormat/>
    <w:uiPriority w:val="0"/>
    <w:rPr>
      <w:sz w:val="24"/>
    </w:rPr>
  </w:style>
  <w:style w:type="paragraph" w:customStyle="1" w:styleId="1543">
    <w:name w:val="项目编号文字"/>
    <w:basedOn w:val="1"/>
    <w:next w:val="22"/>
    <w:qFormat/>
    <w:uiPriority w:val="0"/>
    <w:pPr>
      <w:spacing w:before="120" w:after="120" w:line="360" w:lineRule="auto"/>
      <w:ind w:left="964" w:hanging="425"/>
    </w:pPr>
    <w:rPr>
      <w:sz w:val="24"/>
      <w:szCs w:val="20"/>
    </w:rPr>
  </w:style>
  <w:style w:type="paragraph" w:customStyle="1" w:styleId="1544">
    <w:name w:val="hei12"/>
    <w:basedOn w:val="1"/>
    <w:qFormat/>
    <w:uiPriority w:val="0"/>
    <w:pPr>
      <w:widowControl/>
      <w:spacing w:before="100" w:beforeAutospacing="1" w:after="100" w:afterAutospacing="1"/>
      <w:jc w:val="left"/>
    </w:pPr>
    <w:rPr>
      <w:rFonts w:hint="eastAsia" w:ascii="黑体" w:hAnsi="Arial Unicode MS" w:eastAsia="黑体" w:cs="Arial Unicode MS"/>
      <w:color w:val="666666"/>
      <w:kern w:val="0"/>
      <w:sz w:val="24"/>
    </w:rPr>
  </w:style>
  <w:style w:type="paragraph" w:customStyle="1" w:styleId="1545">
    <w:name w:val="默认段落字体 Para Char Char Char Char Char Char Char Char Char Char"/>
    <w:basedOn w:val="1"/>
    <w:qFormat/>
    <w:uiPriority w:val="0"/>
    <w:pPr>
      <w:adjustRightInd w:val="0"/>
      <w:spacing w:line="360" w:lineRule="auto"/>
    </w:pPr>
    <w:rPr>
      <w:kern w:val="0"/>
      <w:sz w:val="24"/>
      <w:szCs w:val="20"/>
    </w:rPr>
  </w:style>
  <w:style w:type="paragraph" w:customStyle="1" w:styleId="1546">
    <w:name w:val="表题 2"/>
    <w:basedOn w:val="1547"/>
    <w:qFormat/>
    <w:uiPriority w:val="0"/>
    <w:rPr>
      <w:sz w:val="28"/>
    </w:rPr>
  </w:style>
  <w:style w:type="paragraph" w:customStyle="1" w:styleId="1547">
    <w:name w:val="表题 1"/>
    <w:qFormat/>
    <w:uiPriority w:val="0"/>
    <w:pPr>
      <w:widowControl w:val="0"/>
      <w:adjustRightInd w:val="0"/>
      <w:spacing w:before="120" w:after="120"/>
      <w:jc w:val="center"/>
      <w:textAlignment w:val="baseline"/>
    </w:pPr>
    <w:rPr>
      <w:rFonts w:ascii="Times New Roman" w:hAnsi="Times New Roman" w:eastAsia="宋体" w:cs="Times New Roman"/>
      <w:sz w:val="30"/>
      <w:lang w:val="en-US" w:eastAsia="zh-CN" w:bidi="ar-SA"/>
    </w:rPr>
  </w:style>
  <w:style w:type="paragraph" w:customStyle="1" w:styleId="1548">
    <w:name w:val="1 Char Char Char Char Char Char Char Char"/>
    <w:basedOn w:val="1"/>
    <w:qFormat/>
    <w:uiPriority w:val="0"/>
    <w:pPr>
      <w:ind w:firstLine="510"/>
    </w:pPr>
    <w:rPr>
      <w:sz w:val="28"/>
      <w:szCs w:val="20"/>
    </w:rPr>
  </w:style>
  <w:style w:type="paragraph" w:customStyle="1" w:styleId="1549">
    <w:name w:val="Char1 Char Char Char1 Char Char Char"/>
    <w:basedOn w:val="1"/>
    <w:qFormat/>
    <w:uiPriority w:val="0"/>
    <w:pPr>
      <w:spacing w:line="360" w:lineRule="auto"/>
      <w:ind w:firstLine="200" w:firstLineChars="200"/>
    </w:pPr>
    <w:rPr>
      <w:rFonts w:ascii="宋体" w:hAnsi="宋体" w:cs="宋体"/>
      <w:sz w:val="24"/>
    </w:rPr>
  </w:style>
  <w:style w:type="paragraph" w:customStyle="1" w:styleId="1550">
    <w:name w:val="备注"/>
    <w:basedOn w:val="1"/>
    <w:next w:val="1"/>
    <w:link w:val="4045"/>
    <w:qFormat/>
    <w:uiPriority w:val="0"/>
    <w:pPr>
      <w:spacing w:afterLines="50"/>
      <w:ind w:firstLine="420" w:firstLineChars="200"/>
    </w:pPr>
    <w:rPr>
      <w:rFonts w:ascii="宋体" w:hAnsi="宋体"/>
      <w:szCs w:val="21"/>
    </w:rPr>
  </w:style>
  <w:style w:type="paragraph" w:customStyle="1" w:styleId="1551">
    <w:name w:val="样式 样式 表格 2 + 行距: 1.5 倍行距 + 左  -0.01 字符"/>
    <w:basedOn w:val="1552"/>
    <w:qFormat/>
    <w:uiPriority w:val="0"/>
    <w:pPr>
      <w:spacing w:line="360" w:lineRule="auto"/>
      <w:ind w:left="-2" w:leftChars="-7" w:hanging="15" w:hangingChars="7"/>
    </w:pPr>
  </w:style>
  <w:style w:type="paragraph" w:customStyle="1" w:styleId="1552">
    <w:name w:val="样式 表格 + 五号 右"/>
    <w:basedOn w:val="161"/>
    <w:qFormat/>
    <w:uiPriority w:val="0"/>
    <w:pPr>
      <w:keepNext/>
      <w:autoSpaceDE w:val="0"/>
      <w:autoSpaceDN w:val="0"/>
      <w:snapToGrid/>
      <w:spacing w:beforeLines="0"/>
      <w:textAlignment w:val="baseline"/>
    </w:pPr>
    <w:rPr>
      <w:rFonts w:cs="宋体"/>
      <w:snapToGrid/>
      <w:kern w:val="2"/>
      <w:szCs w:val="22"/>
    </w:rPr>
  </w:style>
  <w:style w:type="paragraph" w:customStyle="1" w:styleId="1553">
    <w:name w:val="xl199"/>
    <w:basedOn w:val="1"/>
    <w:qFormat/>
    <w:uiPriority w:val="0"/>
    <w:pPr>
      <w:widowControl/>
      <w:pBdr>
        <w:left w:val="single" w:color="auto" w:sz="4" w:space="0"/>
        <w:right w:val="single" w:color="auto" w:sz="4" w:space="0"/>
      </w:pBdr>
      <w:spacing w:before="100" w:beforeAutospacing="1" w:after="100" w:afterAutospacing="1"/>
      <w:jc w:val="left"/>
    </w:pPr>
    <w:rPr>
      <w:rFonts w:ascii="Tahoma" w:hAnsi="Tahoma" w:eastAsia="Arial Unicode MS" w:cs="Tahoma"/>
      <w:kern w:val="0"/>
      <w:sz w:val="20"/>
      <w:szCs w:val="20"/>
    </w:rPr>
  </w:style>
  <w:style w:type="paragraph" w:customStyle="1" w:styleId="1554">
    <w:name w:val="Char Char Char Char Char Char Char Char Char Char Char Char Char Char Char Char Char Char Char"/>
    <w:basedOn w:val="1"/>
    <w:qFormat/>
    <w:uiPriority w:val="0"/>
    <w:rPr>
      <w:sz w:val="24"/>
    </w:rPr>
  </w:style>
  <w:style w:type="paragraph" w:customStyle="1" w:styleId="1555">
    <w:name w:val="五级无标题条"/>
    <w:basedOn w:val="1"/>
    <w:qFormat/>
    <w:uiPriority w:val="0"/>
    <w:rPr>
      <w:szCs w:val="20"/>
    </w:rPr>
  </w:style>
  <w:style w:type="paragraph" w:customStyle="1" w:styleId="1556">
    <w:name w:val="Char Char Char Char Char Char Char Char1 Char Char Char Char Char Char Char Char Char Char Char Char1 Char"/>
    <w:basedOn w:val="1"/>
    <w:qFormat/>
    <w:uiPriority w:val="0"/>
    <w:rPr>
      <w:sz w:val="24"/>
    </w:rPr>
  </w:style>
  <w:style w:type="paragraph" w:customStyle="1" w:styleId="1557">
    <w:name w:val="样式 表格 2 + 行距: 1.5 倍行距"/>
    <w:basedOn w:val="1558"/>
    <w:qFormat/>
    <w:uiPriority w:val="0"/>
    <w:pPr>
      <w:spacing w:line="360" w:lineRule="auto"/>
      <w:jc w:val="left"/>
    </w:pPr>
    <w:rPr>
      <w:rFonts w:eastAsia="宋体" w:cs="宋体"/>
      <w:sz w:val="21"/>
    </w:rPr>
  </w:style>
  <w:style w:type="paragraph" w:customStyle="1" w:styleId="1558">
    <w:name w:val="表格 2"/>
    <w:basedOn w:val="161"/>
    <w:qFormat/>
    <w:uiPriority w:val="0"/>
    <w:pPr>
      <w:autoSpaceDE w:val="0"/>
      <w:autoSpaceDN w:val="0"/>
      <w:snapToGrid/>
      <w:spacing w:beforeLines="0"/>
      <w:textAlignment w:val="baseline"/>
    </w:pPr>
    <w:rPr>
      <w:rFonts w:eastAsia="楷体_GB2312"/>
      <w:snapToGrid/>
      <w:kern w:val="2"/>
      <w:sz w:val="24"/>
      <w:szCs w:val="22"/>
    </w:rPr>
  </w:style>
  <w:style w:type="paragraph" w:customStyle="1" w:styleId="1559">
    <w:name w:val="Char Char2 Char Char Char Char"/>
    <w:basedOn w:val="1"/>
    <w:qFormat/>
    <w:uiPriority w:val="0"/>
    <w:pPr>
      <w:widowControl/>
      <w:jc w:val="left"/>
    </w:pPr>
    <w:rPr>
      <w:kern w:val="0"/>
      <w:sz w:val="24"/>
      <w:lang w:val="pl-PL" w:eastAsia="pl-PL"/>
    </w:rPr>
  </w:style>
  <w:style w:type="paragraph" w:customStyle="1" w:styleId="1560">
    <w:name w:val="Char Char Char Char Char Char Char Char Char Char Char Char Char Char Char Char Char Char Char Char Char Char Char Char Char Char Char Char Char Char Char Char Char Char Char Char Char"/>
    <w:basedOn w:val="1"/>
    <w:next w:val="1"/>
    <w:qFormat/>
    <w:uiPriority w:val="0"/>
    <w:pPr>
      <w:spacing w:line="360" w:lineRule="auto"/>
      <w:ind w:firstLine="200" w:firstLineChars="200"/>
    </w:pPr>
    <w:rPr>
      <w:rFonts w:ascii="宋体" w:hAnsi="宋体" w:cs="宋体"/>
      <w:sz w:val="24"/>
    </w:rPr>
  </w:style>
  <w:style w:type="paragraph" w:customStyle="1" w:styleId="1561">
    <w:name w:val="Char Char12 Char Char Char Char"/>
    <w:basedOn w:val="27"/>
    <w:qFormat/>
    <w:uiPriority w:val="0"/>
    <w:pPr>
      <w:adjustRightInd w:val="0"/>
      <w:snapToGrid w:val="0"/>
      <w:spacing w:line="360" w:lineRule="auto"/>
    </w:pPr>
    <w:rPr>
      <w:rFonts w:ascii="Calibri" w:hAnsi="Calibri"/>
      <w:sz w:val="24"/>
      <w:szCs w:val="18"/>
    </w:rPr>
  </w:style>
  <w:style w:type="paragraph" w:customStyle="1" w:styleId="1562">
    <w:name w:val="字元 字元 Char Char 字元 字元1"/>
    <w:basedOn w:val="1"/>
    <w:qFormat/>
    <w:uiPriority w:val="0"/>
    <w:rPr>
      <w:sz w:val="24"/>
    </w:rPr>
  </w:style>
  <w:style w:type="paragraph" w:customStyle="1" w:styleId="1563">
    <w:name w:val="ident"/>
    <w:basedOn w:val="1"/>
    <w:qFormat/>
    <w:uiPriority w:val="0"/>
    <w:pPr>
      <w:widowControl/>
      <w:spacing w:after="100" w:afterAutospacing="1" w:line="280" w:lineRule="atLeast"/>
      <w:ind w:left="150"/>
      <w:jc w:val="left"/>
    </w:pPr>
    <w:rPr>
      <w:rFonts w:ascii="宋体" w:hAnsi="宋体"/>
      <w:kern w:val="0"/>
      <w:sz w:val="24"/>
    </w:rPr>
  </w:style>
  <w:style w:type="paragraph" w:customStyle="1" w:styleId="1564">
    <w:name w:val="样式 普通(网站) + 深蓝"/>
    <w:basedOn w:val="81"/>
    <w:qFormat/>
    <w:uiPriority w:val="0"/>
    <w:pPr>
      <w:widowControl/>
      <w:spacing w:before="100" w:beforeAutospacing="1" w:after="100" w:afterAutospacing="1" w:line="360" w:lineRule="auto"/>
      <w:ind w:left="-2" w:leftChars="-1" w:firstLine="456" w:firstLineChars="190"/>
      <w:jc w:val="left"/>
    </w:pPr>
    <w:rPr>
      <w:rFonts w:ascii="宋体" w:hAnsi="宋体" w:cs="宋体"/>
      <w:color w:val="000080"/>
      <w:kern w:val="0"/>
      <w:szCs w:val="20"/>
      <w:lang w:val="zh-CN"/>
    </w:rPr>
  </w:style>
  <w:style w:type="paragraph" w:customStyle="1" w:styleId="1565">
    <w:name w:val="佛表"/>
    <w:basedOn w:val="67"/>
    <w:qFormat/>
    <w:uiPriority w:val="0"/>
    <w:pPr>
      <w:spacing w:line="240" w:lineRule="auto"/>
    </w:pPr>
    <w:rPr>
      <w:rFonts w:ascii="Times New Roman" w:eastAsia="宋体"/>
      <w:bCs/>
      <w:snapToGrid w:val="0"/>
      <w:szCs w:val="24"/>
    </w:rPr>
  </w:style>
  <w:style w:type="paragraph" w:customStyle="1" w:styleId="1566">
    <w:name w:val="样式 正文文本缩进 + 宋体 五号 黑色 全部大写 居中 首行缩进:  0 厘米 段前: 0 磅 行距: 单倍行距"/>
    <w:basedOn w:val="37"/>
    <w:qFormat/>
    <w:uiPriority w:val="0"/>
    <w:pPr>
      <w:adjustRightInd w:val="0"/>
      <w:spacing w:after="0"/>
      <w:ind w:left="0" w:leftChars="0"/>
      <w:jc w:val="center"/>
      <w:textAlignment w:val="baseline"/>
    </w:pPr>
    <w:rPr>
      <w:rFonts w:ascii="宋体" w:hAnsi="宋体" w:cs="宋体"/>
      <w:color w:val="000000"/>
      <w:kern w:val="28"/>
      <w:szCs w:val="21"/>
    </w:rPr>
  </w:style>
  <w:style w:type="paragraph" w:customStyle="1" w:styleId="1567">
    <w:name w:val="表格 32"/>
    <w:basedOn w:val="1"/>
    <w:qFormat/>
    <w:uiPriority w:val="0"/>
    <w:pPr>
      <w:autoSpaceDE w:val="0"/>
      <w:autoSpaceDN w:val="0"/>
      <w:adjustRightInd w:val="0"/>
      <w:jc w:val="center"/>
      <w:textAlignment w:val="baseline"/>
    </w:pPr>
    <w:rPr>
      <w:rFonts w:eastAsia="仿宋_GB2312"/>
      <w:kern w:val="0"/>
      <w:sz w:val="24"/>
      <w:szCs w:val="20"/>
    </w:rPr>
  </w:style>
  <w:style w:type="paragraph" w:customStyle="1" w:styleId="1568">
    <w:name w:val="表内容"/>
    <w:basedOn w:val="1"/>
    <w:next w:val="1"/>
    <w:qFormat/>
    <w:uiPriority w:val="0"/>
    <w:pPr>
      <w:spacing w:line="320" w:lineRule="exact"/>
      <w:jc w:val="center"/>
    </w:pPr>
    <w:rPr>
      <w:szCs w:val="20"/>
    </w:rPr>
  </w:style>
  <w:style w:type="paragraph" w:customStyle="1" w:styleId="1569">
    <w:name w:val="表头及表尾"/>
    <w:qFormat/>
    <w:uiPriority w:val="0"/>
    <w:pPr>
      <w:tabs>
        <w:tab w:val="center" w:pos="4200"/>
        <w:tab w:val="right" w:pos="8400"/>
      </w:tabs>
      <w:adjustRightInd w:val="0"/>
      <w:snapToGrid w:val="0"/>
    </w:pPr>
    <w:rPr>
      <w:rFonts w:ascii="Times New Roman" w:hAnsi="Times New Roman" w:eastAsia="宋体" w:cs="Times New Roman"/>
      <w:b/>
      <w:snapToGrid w:val="0"/>
      <w:sz w:val="21"/>
      <w:szCs w:val="21"/>
      <w:lang w:val="en-US" w:eastAsia="zh-CN" w:bidi="ar-SA"/>
    </w:rPr>
  </w:style>
  <w:style w:type="paragraph" w:customStyle="1" w:styleId="1570">
    <w:name w:val="缩进正文"/>
    <w:basedOn w:val="37"/>
    <w:qFormat/>
    <w:uiPriority w:val="0"/>
    <w:pPr>
      <w:adjustRightInd w:val="0"/>
      <w:snapToGrid w:val="0"/>
      <w:spacing w:after="0" w:line="300" w:lineRule="auto"/>
      <w:ind w:left="0" w:leftChars="0" w:firstLine="200"/>
    </w:pPr>
    <w:rPr>
      <w:rFonts w:ascii="宋体" w:hAnsi="Calibri"/>
      <w:sz w:val="28"/>
      <w:szCs w:val="20"/>
    </w:rPr>
  </w:style>
  <w:style w:type="paragraph" w:customStyle="1" w:styleId="1571">
    <w:name w:val="电镀正文"/>
    <w:basedOn w:val="22"/>
    <w:qFormat/>
    <w:uiPriority w:val="0"/>
    <w:pPr>
      <w:spacing w:line="312" w:lineRule="auto"/>
      <w:ind w:firstLine="200"/>
    </w:pPr>
    <w:rPr>
      <w:rFonts w:ascii="宋体" w:hAnsi="宋体"/>
      <w:sz w:val="24"/>
    </w:rPr>
  </w:style>
  <w:style w:type="paragraph" w:customStyle="1" w:styleId="1572">
    <w:name w:val="样式 表格 32 + 首行缩进:  2 字符"/>
    <w:basedOn w:val="1"/>
    <w:qFormat/>
    <w:uiPriority w:val="0"/>
    <w:pPr>
      <w:autoSpaceDE w:val="0"/>
      <w:autoSpaceDN w:val="0"/>
      <w:adjustRightInd w:val="0"/>
      <w:spacing w:line="240" w:lineRule="atLeast"/>
      <w:jc w:val="center"/>
      <w:textAlignment w:val="baseline"/>
    </w:pPr>
    <w:rPr>
      <w:kern w:val="0"/>
      <w:szCs w:val="21"/>
    </w:rPr>
  </w:style>
  <w:style w:type="paragraph" w:customStyle="1" w:styleId="1573">
    <w:name w:val="Char Char Char Char Char Char Char Char Char Char Char Char1 Char"/>
    <w:basedOn w:val="1"/>
    <w:qFormat/>
    <w:uiPriority w:val="0"/>
    <w:pPr>
      <w:spacing w:line="360" w:lineRule="auto"/>
      <w:ind w:firstLine="200" w:firstLineChars="200"/>
    </w:pPr>
    <w:rPr>
      <w:rFonts w:ascii="宋体" w:hAnsi="宋体" w:cs="宋体"/>
      <w:sz w:val="24"/>
    </w:rPr>
  </w:style>
  <w:style w:type="paragraph" w:customStyle="1" w:styleId="1574">
    <w:name w:val="表格内容居中"/>
    <w:qFormat/>
    <w:uiPriority w:val="0"/>
    <w:pPr>
      <w:adjustRightInd w:val="0"/>
      <w:snapToGrid w:val="0"/>
      <w:jc w:val="center"/>
    </w:pPr>
    <w:rPr>
      <w:rFonts w:ascii="Times New Roman" w:hAnsi="Times New Roman" w:eastAsia="宋体" w:cs="Times New Roman"/>
      <w:snapToGrid w:val="0"/>
      <w:sz w:val="21"/>
      <w:szCs w:val="21"/>
      <w:lang w:val="en-US" w:eastAsia="zh-CN" w:bidi="ar-SA"/>
    </w:rPr>
  </w:style>
  <w:style w:type="paragraph" w:customStyle="1" w:styleId="1575">
    <w:name w:val="样式 Arial 小四 行距: 1.5 倍行距"/>
    <w:basedOn w:val="1"/>
    <w:qFormat/>
    <w:uiPriority w:val="0"/>
    <w:pPr>
      <w:spacing w:line="360" w:lineRule="auto"/>
      <w:ind w:firstLine="480" w:firstLineChars="200"/>
    </w:pPr>
    <w:rPr>
      <w:sz w:val="24"/>
      <w:szCs w:val="20"/>
    </w:rPr>
  </w:style>
  <w:style w:type="paragraph" w:customStyle="1" w:styleId="1576">
    <w:name w:val="样式 标题 3条标题1.1.1ReHead 3 WSAh3BSH-3H3b33rd levell3CT标题...1"/>
    <w:basedOn w:val="6"/>
    <w:qFormat/>
    <w:uiPriority w:val="0"/>
    <w:pPr>
      <w:spacing w:before="120" w:after="120" w:line="360" w:lineRule="auto"/>
    </w:pPr>
    <w:rPr>
      <w:rFonts w:ascii="宋体" w:hAnsi="宋体"/>
      <w:sz w:val="28"/>
    </w:rPr>
  </w:style>
  <w:style w:type="paragraph" w:customStyle="1" w:styleId="1577">
    <w:name w:val="样式 标题 3"/>
    <w:basedOn w:val="6"/>
    <w:next w:val="1"/>
    <w:qFormat/>
    <w:uiPriority w:val="0"/>
    <w:pPr>
      <w:spacing w:before="163" w:after="163" w:line="0" w:lineRule="atLeast"/>
      <w:jc w:val="left"/>
    </w:pPr>
    <w:rPr>
      <w:rFonts w:eastAsia="黑体" w:cs="宋体"/>
      <w:sz w:val="24"/>
      <w:szCs w:val="24"/>
    </w:rPr>
  </w:style>
  <w:style w:type="paragraph" w:customStyle="1" w:styleId="1578">
    <w:name w:val="样式 标题 3条标题1.1.1ReHead 3 WSAh3BSH-3H3b33rd levell3CT标题..."/>
    <w:basedOn w:val="6"/>
    <w:qFormat/>
    <w:uiPriority w:val="0"/>
    <w:pPr>
      <w:spacing w:before="120" w:after="120" w:line="360" w:lineRule="auto"/>
    </w:pPr>
    <w:rPr>
      <w:sz w:val="28"/>
    </w:rPr>
  </w:style>
  <w:style w:type="paragraph" w:customStyle="1" w:styleId="1579">
    <w:name w:val="样式 标题 2标题2H2h2第一层条一级条SeHead wsa2Chapter TitleChapter1...."/>
    <w:basedOn w:val="5"/>
    <w:qFormat/>
    <w:uiPriority w:val="0"/>
    <w:pPr>
      <w:tabs>
        <w:tab w:val="clear" w:pos="0"/>
        <w:tab w:val="clear" w:pos="567"/>
      </w:tabs>
      <w:snapToGrid w:val="0"/>
      <w:spacing w:beforeLines="0" w:afterLines="0"/>
    </w:pPr>
    <w:rPr>
      <w:rFonts w:ascii="宋体" w:hAnsi="宋体" w:eastAsia="楷体_GB2312"/>
      <w:bCs/>
      <w:spacing w:val="0"/>
      <w:kern w:val="2"/>
      <w:sz w:val="30"/>
      <w:szCs w:val="30"/>
    </w:rPr>
  </w:style>
  <w:style w:type="paragraph" w:customStyle="1" w:styleId="1580">
    <w:name w:val="正文 03"/>
    <w:basedOn w:val="1"/>
    <w:qFormat/>
    <w:uiPriority w:val="0"/>
    <w:pPr>
      <w:autoSpaceDE w:val="0"/>
      <w:autoSpaceDN w:val="0"/>
      <w:adjustRightInd w:val="0"/>
      <w:textAlignment w:val="baseline"/>
    </w:pPr>
    <w:rPr>
      <w:kern w:val="0"/>
      <w:sz w:val="24"/>
      <w:szCs w:val="20"/>
    </w:rPr>
  </w:style>
  <w:style w:type="paragraph" w:customStyle="1" w:styleId="1581">
    <w:name w:val="龙1"/>
    <w:basedOn w:val="1540"/>
    <w:qFormat/>
    <w:uiPriority w:val="0"/>
    <w:pPr>
      <w:autoSpaceDE w:val="0"/>
      <w:autoSpaceDN w:val="0"/>
      <w:spacing w:line="800" w:lineRule="exact"/>
      <w:textAlignment w:val="baseline"/>
      <w:outlineLvl w:val="0"/>
    </w:pPr>
    <w:rPr>
      <w:rFonts w:eastAsia="宋体"/>
      <w:b/>
      <w:sz w:val="36"/>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paragraph" w:customStyle="1" w:styleId="1582">
    <w:name w:val="表格头jophy"/>
    <w:basedOn w:val="1"/>
    <w:qFormat/>
    <w:uiPriority w:val="0"/>
    <w:pPr>
      <w:adjustRightInd w:val="0"/>
      <w:snapToGrid w:val="0"/>
      <w:jc w:val="center"/>
      <w:textAlignment w:val="baseline"/>
    </w:pPr>
    <w:rPr>
      <w:b/>
      <w:bCs/>
      <w:spacing w:val="-10"/>
      <w:kern w:val="0"/>
      <w:szCs w:val="28"/>
    </w:rPr>
  </w:style>
  <w:style w:type="paragraph" w:customStyle="1" w:styleId="1583">
    <w:name w:val="图字"/>
    <w:basedOn w:val="1"/>
    <w:qFormat/>
    <w:uiPriority w:val="0"/>
    <w:pPr>
      <w:jc w:val="center"/>
    </w:pPr>
    <w:rPr>
      <w:b/>
      <w:color w:val="000000"/>
      <w:szCs w:val="21"/>
    </w:rPr>
  </w:style>
  <w:style w:type="paragraph" w:customStyle="1" w:styleId="1584">
    <w:name w:val="正文-Leon"/>
    <w:basedOn w:val="1"/>
    <w:qFormat/>
    <w:uiPriority w:val="0"/>
    <w:pPr>
      <w:spacing w:line="360" w:lineRule="auto"/>
      <w:ind w:firstLine="480" w:firstLineChars="200"/>
    </w:pPr>
    <w:rPr>
      <w:kern w:val="0"/>
      <w:sz w:val="24"/>
      <w:szCs w:val="28"/>
    </w:rPr>
  </w:style>
  <w:style w:type="paragraph" w:customStyle="1" w:styleId="1585">
    <w:name w:val="表1表2"/>
    <w:basedOn w:val="1"/>
    <w:qFormat/>
    <w:uiPriority w:val="0"/>
    <w:pPr>
      <w:autoSpaceDE w:val="0"/>
      <w:autoSpaceDN w:val="0"/>
      <w:adjustRightInd w:val="0"/>
      <w:jc w:val="center"/>
      <w:textAlignment w:val="center"/>
    </w:pPr>
    <w:rPr>
      <w:rFonts w:eastAsia="仿宋_GB2312"/>
      <w:kern w:val="0"/>
      <w:szCs w:val="21"/>
    </w:rPr>
  </w:style>
  <w:style w:type="paragraph" w:customStyle="1" w:styleId="1586">
    <w:name w:val="默认段落字体 Para Char Char Char Char Char Char Char Char Char Char Char Char Char1"/>
    <w:basedOn w:val="1"/>
    <w:qFormat/>
    <w:uiPriority w:val="0"/>
    <w:rPr>
      <w:sz w:val="24"/>
    </w:rPr>
  </w:style>
  <w:style w:type="paragraph" w:customStyle="1" w:styleId="1587">
    <w:name w:val="默认段落字体 Para Char Char Char Char Char Char Char Char Char Char Char Char Char1 Char"/>
    <w:basedOn w:val="27"/>
    <w:qFormat/>
    <w:uiPriority w:val="0"/>
    <w:pPr>
      <w:adjustRightInd w:val="0"/>
      <w:snapToGrid w:val="0"/>
      <w:spacing w:line="360" w:lineRule="auto"/>
    </w:pPr>
    <w:rPr>
      <w:rFonts w:ascii="Calibri" w:hAnsi="Calibri"/>
      <w:sz w:val="24"/>
      <w:szCs w:val="18"/>
    </w:rPr>
  </w:style>
  <w:style w:type="paragraph" w:customStyle="1" w:styleId="1588">
    <w:name w:val="Char Char Char Char Char Char1 Char"/>
    <w:basedOn w:val="1"/>
    <w:qFormat/>
    <w:uiPriority w:val="0"/>
  </w:style>
  <w:style w:type="paragraph" w:customStyle="1" w:styleId="1589">
    <w:name w:val="文本框1"/>
    <w:basedOn w:val="1"/>
    <w:qFormat/>
    <w:uiPriority w:val="0"/>
    <w:rPr>
      <w:rFonts w:ascii="宋体" w:hAnsi="宋体"/>
      <w:sz w:val="24"/>
      <w:szCs w:val="20"/>
    </w:rPr>
  </w:style>
  <w:style w:type="paragraph" w:customStyle="1" w:styleId="1590">
    <w:name w:val="Char4 Char Char Char Char Char Char"/>
    <w:basedOn w:val="1"/>
    <w:qFormat/>
    <w:uiPriority w:val="0"/>
    <w:rPr>
      <w:sz w:val="24"/>
    </w:rPr>
  </w:style>
  <w:style w:type="paragraph" w:customStyle="1" w:styleId="1591">
    <w:name w:val="Char4 Char Char Char"/>
    <w:basedOn w:val="1"/>
    <w:qFormat/>
    <w:uiPriority w:val="0"/>
    <w:rPr>
      <w:sz w:val="24"/>
    </w:rPr>
  </w:style>
  <w:style w:type="paragraph" w:customStyle="1" w:styleId="1592">
    <w:name w:val="MYBODY"/>
    <w:basedOn w:val="1"/>
    <w:qFormat/>
    <w:uiPriority w:val="0"/>
    <w:pPr>
      <w:adjustRightInd w:val="0"/>
      <w:spacing w:line="360" w:lineRule="auto"/>
      <w:ind w:firstLine="225" w:firstLineChars="225"/>
      <w:jc w:val="left"/>
      <w:textAlignment w:val="baseline"/>
    </w:pPr>
    <w:rPr>
      <w:rFonts w:ascii="宋体"/>
      <w:kern w:val="0"/>
      <w:sz w:val="24"/>
      <w:szCs w:val="20"/>
    </w:rPr>
  </w:style>
  <w:style w:type="paragraph" w:customStyle="1" w:styleId="1593">
    <w:name w:val="y表头"/>
    <w:basedOn w:val="35"/>
    <w:qFormat/>
    <w:uiPriority w:val="0"/>
    <w:pPr>
      <w:tabs>
        <w:tab w:val="left" w:pos="900"/>
      </w:tabs>
      <w:adjustRightInd w:val="0"/>
      <w:spacing w:after="0"/>
      <w:jc w:val="center"/>
      <w:textAlignment w:val="baseline"/>
    </w:pPr>
    <w:rPr>
      <w:rFonts w:hint="eastAsia" w:ascii="宋体" w:hAnsi="宋体" w:eastAsia="楷体_GB2312"/>
      <w:b/>
      <w:sz w:val="24"/>
      <w:szCs w:val="20"/>
    </w:rPr>
  </w:style>
  <w:style w:type="paragraph" w:customStyle="1" w:styleId="1594">
    <w:name w:val="y表格"/>
    <w:basedOn w:val="35"/>
    <w:qFormat/>
    <w:uiPriority w:val="0"/>
    <w:pPr>
      <w:widowControl/>
      <w:adjustRightInd w:val="0"/>
      <w:snapToGrid w:val="0"/>
      <w:spacing w:after="0"/>
      <w:jc w:val="center"/>
      <w:textAlignment w:val="baseline"/>
    </w:pPr>
    <w:rPr>
      <w:rFonts w:hint="eastAsia" w:ascii="宋体" w:hAnsi="宋体"/>
      <w:kern w:val="0"/>
      <w:sz w:val="24"/>
      <w:szCs w:val="20"/>
    </w:rPr>
  </w:style>
  <w:style w:type="paragraph" w:customStyle="1" w:styleId="1595">
    <w:name w:val="body"/>
    <w:basedOn w:val="1"/>
    <w:qFormat/>
    <w:uiPriority w:val="0"/>
    <w:pPr>
      <w:spacing w:line="360" w:lineRule="auto"/>
      <w:ind w:firstLine="480" w:firstLineChars="200"/>
    </w:pPr>
    <w:rPr>
      <w:rFonts w:ascii="宋体"/>
      <w:sz w:val="24"/>
      <w:szCs w:val="20"/>
    </w:rPr>
  </w:style>
  <w:style w:type="paragraph" w:customStyle="1" w:styleId="1596">
    <w:name w:val="xl207"/>
    <w:basedOn w:val="1"/>
    <w:qFormat/>
    <w:uiPriority w:val="0"/>
    <w:pPr>
      <w:widowControl/>
      <w:shd w:val="clear" w:color="auto" w:fill="99CC00"/>
      <w:spacing w:before="100" w:beforeAutospacing="1" w:after="100" w:afterAutospacing="1"/>
      <w:jc w:val="center"/>
    </w:pPr>
    <w:rPr>
      <w:rFonts w:ascii="Tahoma" w:hAnsi="Tahoma" w:eastAsia="Arial Unicode MS" w:cs="Tahoma"/>
      <w:kern w:val="0"/>
      <w:sz w:val="20"/>
      <w:szCs w:val="20"/>
    </w:rPr>
  </w:style>
  <w:style w:type="paragraph" w:customStyle="1" w:styleId="1597">
    <w:name w:val="xl209"/>
    <w:basedOn w:val="1"/>
    <w:qFormat/>
    <w:uiPriority w:val="0"/>
    <w:pPr>
      <w:widowControl/>
      <w:pBdr>
        <w:left w:val="single" w:color="auto" w:sz="4" w:space="0"/>
        <w:right w:val="single" w:color="auto" w:sz="4" w:space="0"/>
      </w:pBdr>
      <w:shd w:val="clear" w:color="auto" w:fill="99CC00"/>
      <w:spacing w:before="100" w:beforeAutospacing="1" w:after="100" w:afterAutospacing="1"/>
      <w:jc w:val="center"/>
    </w:pPr>
    <w:rPr>
      <w:rFonts w:ascii="Tahoma" w:hAnsi="Tahoma" w:eastAsia="Arial Unicode MS" w:cs="Tahoma"/>
      <w:kern w:val="0"/>
      <w:sz w:val="20"/>
      <w:szCs w:val="20"/>
    </w:rPr>
  </w:style>
  <w:style w:type="paragraph" w:customStyle="1" w:styleId="1598">
    <w:name w:val="Bullet_Indent"/>
    <w:basedOn w:val="1"/>
    <w:qFormat/>
    <w:uiPriority w:val="0"/>
    <w:pPr>
      <w:widowControl/>
      <w:spacing w:after="240"/>
      <w:ind w:left="1440" w:hanging="720"/>
      <w:jc w:val="left"/>
    </w:pPr>
    <w:rPr>
      <w:kern w:val="0"/>
      <w:sz w:val="24"/>
      <w:szCs w:val="20"/>
    </w:rPr>
  </w:style>
  <w:style w:type="paragraph" w:customStyle="1" w:styleId="1599">
    <w:name w:val="9bold"/>
    <w:basedOn w:val="1"/>
    <w:qFormat/>
    <w:uiPriority w:val="0"/>
    <w:pPr>
      <w:widowControl/>
      <w:spacing w:before="100" w:beforeAutospacing="1" w:after="100" w:afterAutospacing="1"/>
      <w:jc w:val="left"/>
    </w:pPr>
    <w:rPr>
      <w:rFonts w:ascii="Arial Unicode MS" w:hAnsi="Arial Unicode MS" w:eastAsia="Arial Unicode MS" w:cs="Arial Unicode MS"/>
      <w:kern w:val="0"/>
      <w:sz w:val="24"/>
    </w:rPr>
  </w:style>
  <w:style w:type="paragraph" w:customStyle="1" w:styleId="1600">
    <w:name w:val="Char Char Char Char Char Char Char Char Char Char Char Char Char Char Char Char Char Char Char Char Char Char Char Char Char Char Char Char Char Char Char Char Char Char Char Char Char Char Char Char Char Char Char"/>
    <w:basedOn w:val="1"/>
    <w:next w:val="1"/>
    <w:qFormat/>
    <w:uiPriority w:val="0"/>
    <w:pPr>
      <w:spacing w:line="360" w:lineRule="auto"/>
      <w:ind w:firstLine="200" w:firstLineChars="200"/>
    </w:pPr>
    <w:rPr>
      <w:rFonts w:ascii="宋体" w:hAnsi="宋体" w:cs="宋体"/>
      <w:sz w:val="24"/>
    </w:rPr>
  </w:style>
  <w:style w:type="paragraph" w:customStyle="1" w:styleId="1601">
    <w:name w:val="Char Char Char Char Char Char1 Char Char Char1 Char Char Char1 Char Char Char Char Char Char Char Char Char Char Char Char"/>
    <w:basedOn w:val="1"/>
    <w:next w:val="1"/>
    <w:qFormat/>
    <w:uiPriority w:val="0"/>
    <w:pPr>
      <w:spacing w:line="360" w:lineRule="auto"/>
      <w:ind w:firstLine="200" w:firstLineChars="200"/>
    </w:pPr>
    <w:rPr>
      <w:rFonts w:ascii="宋体" w:hAnsi="宋体" w:cs="宋体"/>
      <w:sz w:val="24"/>
    </w:rPr>
  </w:style>
  <w:style w:type="paragraph" w:customStyle="1" w:styleId="1602">
    <w:name w:val="表格 21"/>
    <w:qFormat/>
    <w:uiPriority w:val="0"/>
    <w:pPr>
      <w:widowControl w:val="0"/>
      <w:autoSpaceDE w:val="0"/>
      <w:autoSpaceDN w:val="0"/>
      <w:adjustRightInd w:val="0"/>
      <w:jc w:val="center"/>
      <w:textAlignment w:val="baseline"/>
    </w:pPr>
    <w:rPr>
      <w:rFonts w:ascii="Times New Roman" w:hAnsi="Times New Roman" w:eastAsia="仿宋体" w:cs="Times New Roman"/>
      <w:sz w:val="28"/>
      <w:lang w:val="en-US" w:eastAsia="zh-CN" w:bidi="ar-SA"/>
    </w:rPr>
  </w:style>
  <w:style w:type="paragraph" w:customStyle="1" w:styleId="1603">
    <w:name w:val="Char Char Char Char Char Char Char Char Char Char Char Char Char Char Char Char Char Char"/>
    <w:basedOn w:val="1"/>
    <w:qFormat/>
    <w:uiPriority w:val="0"/>
    <w:rPr>
      <w:sz w:val="24"/>
    </w:rPr>
  </w:style>
  <w:style w:type="paragraph" w:customStyle="1" w:styleId="1604">
    <w:name w:val="页面"/>
    <w:qFormat/>
    <w:uiPriority w:val="0"/>
    <w:pPr>
      <w:widowControl w:val="0"/>
      <w:adjustRightInd w:val="0"/>
      <w:jc w:val="center"/>
    </w:pPr>
    <w:rPr>
      <w:rFonts w:ascii="Times New Roman" w:hAnsi="Times New Roman" w:eastAsia="宋体" w:cs="Times New Roman"/>
      <w:sz w:val="28"/>
      <w:lang w:val="en-US" w:eastAsia="zh-CN" w:bidi="ar-SA"/>
    </w:rPr>
  </w:style>
  <w:style w:type="paragraph" w:customStyle="1" w:styleId="1605">
    <w:name w:val="xl21"/>
    <w:basedOn w:val="1"/>
    <w:qFormat/>
    <w:uiPriority w:val="0"/>
    <w:pPr>
      <w:widowControl/>
      <w:spacing w:before="100" w:beforeAutospacing="1" w:after="100" w:afterAutospacing="1"/>
      <w:jc w:val="center"/>
    </w:pPr>
    <w:rPr>
      <w:rFonts w:ascii="宋体" w:hAnsi="宋体"/>
      <w:kern w:val="0"/>
      <w:sz w:val="24"/>
    </w:rPr>
  </w:style>
  <w:style w:type="paragraph" w:customStyle="1" w:styleId="1606">
    <w:name w:val="样式 标题 1 + 段前: 1 行 段后: 1.5 行"/>
    <w:basedOn w:val="4"/>
    <w:qFormat/>
    <w:uiPriority w:val="0"/>
    <w:pPr>
      <w:tabs>
        <w:tab w:val="left" w:pos="432"/>
      </w:tabs>
      <w:adjustRightInd w:val="0"/>
      <w:snapToGrid w:val="0"/>
      <w:spacing w:beforeLines="100" w:afterLines="150" w:line="300" w:lineRule="auto"/>
      <w:ind w:left="432" w:hanging="432"/>
    </w:pPr>
    <w:rPr>
      <w:rFonts w:hAnsi="宋体" w:eastAsia="仿宋_GB2312" w:cs="仿宋_GB2312"/>
      <w:b w:val="0"/>
      <w:sz w:val="32"/>
      <w:szCs w:val="32"/>
    </w:rPr>
  </w:style>
  <w:style w:type="paragraph" w:customStyle="1" w:styleId="1607">
    <w:name w:val="Char Char Char Char Char Char Char Char Char Char1 Char Char Char Char Char Char Char Char Char Char Char Char Char Char Char Char Char Char"/>
    <w:basedOn w:val="1"/>
    <w:semiHidden/>
    <w:qFormat/>
    <w:uiPriority w:val="0"/>
  </w:style>
  <w:style w:type="paragraph" w:customStyle="1" w:styleId="1608">
    <w:name w:val="Char1 Char Char Char1"/>
    <w:basedOn w:val="1"/>
    <w:next w:val="1"/>
    <w:qFormat/>
    <w:uiPriority w:val="0"/>
    <w:pPr>
      <w:keepNext/>
      <w:tabs>
        <w:tab w:val="left" w:pos="480"/>
        <w:tab w:val="left" w:pos="720"/>
        <w:tab w:val="left" w:pos="960"/>
        <w:tab w:val="left" w:pos="1134"/>
      </w:tabs>
      <w:adjustRightInd w:val="0"/>
      <w:snapToGrid w:val="0"/>
      <w:spacing w:before="120" w:after="120" w:line="360" w:lineRule="auto"/>
      <w:ind w:firstLine="425"/>
      <w:outlineLvl w:val="2"/>
    </w:pPr>
    <w:rPr>
      <w:rFonts w:ascii="黑体" w:hAnsi="黑体" w:eastAsia="黑体" w:cs="宋体"/>
      <w:b/>
      <w:bCs/>
      <w:snapToGrid w:val="0"/>
      <w:spacing w:val="-5"/>
      <w:kern w:val="0"/>
      <w:sz w:val="28"/>
      <w:szCs w:val="20"/>
    </w:rPr>
  </w:style>
  <w:style w:type="paragraph" w:customStyle="1" w:styleId="1609">
    <w:name w:val="我的表格"/>
    <w:qFormat/>
    <w:uiPriority w:val="0"/>
    <w:pPr>
      <w:jc w:val="center"/>
    </w:pPr>
    <w:rPr>
      <w:rFonts w:ascii="Times New Roman" w:hAnsi="Times New Roman" w:eastAsia="宋体" w:cs="Times New Roman"/>
      <w:kern w:val="2"/>
      <w:sz w:val="24"/>
      <w:szCs w:val="24"/>
      <w:lang w:val="en-US" w:eastAsia="zh-CN" w:bidi="ar-SA"/>
    </w:rPr>
  </w:style>
  <w:style w:type="paragraph" w:customStyle="1" w:styleId="1610">
    <w:name w:val="样式 样式 标题 3 + 段前: 0.5 行 段后: 0.5 行 + 段前: 0.5 行 段后: 0.5 行"/>
    <w:basedOn w:val="1"/>
    <w:qFormat/>
    <w:uiPriority w:val="0"/>
    <w:pPr>
      <w:keepNext/>
      <w:keepLines/>
      <w:adjustRightInd w:val="0"/>
      <w:snapToGrid w:val="0"/>
      <w:spacing w:beforeLines="50" w:afterLines="50" w:line="300" w:lineRule="auto"/>
      <w:ind w:left="180"/>
      <w:jc w:val="left"/>
      <w:outlineLvl w:val="2"/>
    </w:pPr>
    <w:rPr>
      <w:rFonts w:ascii="仿宋_GB2312" w:hAnsi="宋体" w:eastAsia="仿宋_GB2312" w:cs="宋体"/>
      <w:b/>
      <w:sz w:val="30"/>
      <w:szCs w:val="30"/>
    </w:rPr>
  </w:style>
  <w:style w:type="paragraph" w:customStyle="1" w:styleId="1611">
    <w:name w:val="xl201"/>
    <w:basedOn w:val="1"/>
    <w:qFormat/>
    <w:uiPriority w:val="0"/>
    <w:pPr>
      <w:widowControl/>
      <w:pBdr>
        <w:left w:val="single" w:color="auto" w:sz="4" w:space="0"/>
      </w:pBdr>
      <w:spacing w:before="100" w:beforeAutospacing="1" w:after="100" w:afterAutospacing="1"/>
      <w:jc w:val="left"/>
    </w:pPr>
    <w:rPr>
      <w:rFonts w:ascii="Tahoma" w:hAnsi="Tahoma" w:eastAsia="Arial Unicode MS" w:cs="Tahoma"/>
      <w:kern w:val="0"/>
      <w:sz w:val="20"/>
      <w:szCs w:val="20"/>
    </w:rPr>
  </w:style>
  <w:style w:type="paragraph" w:customStyle="1" w:styleId="1612">
    <w:name w:val="样式 标题 3 + 加粗 段前: 3.9 磅 段后: 3.9 磅 行距: 多倍行距 1.35 字行2"/>
    <w:basedOn w:val="6"/>
    <w:qFormat/>
    <w:uiPriority w:val="0"/>
    <w:pPr>
      <w:tabs>
        <w:tab w:val="left" w:pos="1820"/>
      </w:tabs>
      <w:adjustRightInd w:val="0"/>
      <w:snapToGrid w:val="0"/>
      <w:spacing w:before="78" w:after="78" w:line="324" w:lineRule="auto"/>
      <w:ind w:left="1820" w:hanging="420"/>
    </w:pPr>
    <w:rPr>
      <w:rFonts w:ascii="仿宋_GB2312" w:eastAsia="仿宋_GB2312" w:cs="宋体"/>
      <w:sz w:val="28"/>
      <w:szCs w:val="20"/>
    </w:rPr>
  </w:style>
  <w:style w:type="paragraph" w:customStyle="1" w:styleId="1613">
    <w:name w:val="三级无标题条"/>
    <w:basedOn w:val="1"/>
    <w:qFormat/>
    <w:uiPriority w:val="0"/>
    <w:rPr>
      <w:szCs w:val="20"/>
    </w:rPr>
  </w:style>
  <w:style w:type="paragraph" w:customStyle="1" w:styleId="1614">
    <w:name w:val="王秀中"/>
    <w:basedOn w:val="1"/>
    <w:qFormat/>
    <w:uiPriority w:val="0"/>
    <w:pPr>
      <w:autoSpaceDE w:val="0"/>
      <w:autoSpaceDN w:val="0"/>
      <w:adjustRightInd w:val="0"/>
      <w:snapToGrid w:val="0"/>
      <w:spacing w:line="312" w:lineRule="auto"/>
      <w:ind w:firstLine="567"/>
    </w:pPr>
    <w:rPr>
      <w:kern w:val="0"/>
      <w:sz w:val="28"/>
      <w:szCs w:val="20"/>
    </w:rPr>
  </w:style>
  <w:style w:type="paragraph" w:customStyle="1" w:styleId="1615">
    <w:name w:val="xl208"/>
    <w:basedOn w:val="1"/>
    <w:qFormat/>
    <w:uiPriority w:val="0"/>
    <w:pPr>
      <w:widowControl/>
      <w:pBdr>
        <w:top w:val="single" w:color="auto" w:sz="4" w:space="0"/>
        <w:left w:val="single" w:color="auto" w:sz="4" w:space="0"/>
        <w:right w:val="single" w:color="auto" w:sz="4" w:space="0"/>
      </w:pBdr>
      <w:shd w:val="clear" w:color="auto" w:fill="99CC00"/>
      <w:spacing w:before="100" w:beforeAutospacing="1" w:after="100" w:afterAutospacing="1"/>
      <w:jc w:val="center"/>
    </w:pPr>
    <w:rPr>
      <w:rFonts w:ascii="Tahoma" w:hAnsi="Tahoma" w:eastAsia="Arial Unicode MS" w:cs="Tahoma"/>
      <w:kern w:val="0"/>
      <w:sz w:val="20"/>
      <w:szCs w:val="20"/>
    </w:rPr>
  </w:style>
  <w:style w:type="paragraph" w:customStyle="1" w:styleId="1616">
    <w:name w:val="临时"/>
    <w:basedOn w:val="1"/>
    <w:qFormat/>
    <w:uiPriority w:val="0"/>
    <w:pPr>
      <w:jc w:val="center"/>
    </w:pPr>
    <w:rPr>
      <w:szCs w:val="21"/>
    </w:rPr>
  </w:style>
  <w:style w:type="paragraph" w:customStyle="1" w:styleId="1617">
    <w:name w:val="正文表标题"/>
    <w:next w:val="506"/>
    <w:qFormat/>
    <w:uiPriority w:val="0"/>
    <w:pPr>
      <w:tabs>
        <w:tab w:val="left" w:pos="840"/>
      </w:tabs>
      <w:ind w:left="840" w:hanging="360"/>
      <w:jc w:val="center"/>
    </w:pPr>
    <w:rPr>
      <w:rFonts w:ascii="黑体" w:hAnsi="Times New Roman" w:eastAsia="黑体" w:cs="Times New Roman"/>
      <w:sz w:val="21"/>
      <w:lang w:val="en-US" w:eastAsia="zh-CN" w:bidi="ar-SA"/>
    </w:rPr>
  </w:style>
  <w:style w:type="paragraph" w:customStyle="1" w:styleId="1618">
    <w:name w:val="默认段落字体 Para Char Char Char Char Char Char"/>
    <w:basedOn w:val="1"/>
    <w:qFormat/>
    <w:uiPriority w:val="0"/>
    <w:rPr>
      <w:sz w:val="24"/>
    </w:rPr>
  </w:style>
  <w:style w:type="paragraph" w:customStyle="1" w:styleId="1619">
    <w:name w:val="默认段落字体 Para Char Char Char Char Char Char Char Char Char Char Char Char Char Char Char Char Char Char Char Char Char Char Char Char Char Char Char Char1 Char Char Char Char Char"/>
    <w:basedOn w:val="1"/>
    <w:qFormat/>
    <w:uiPriority w:val="0"/>
    <w:rPr>
      <w:sz w:val="24"/>
    </w:rPr>
  </w:style>
  <w:style w:type="paragraph" w:customStyle="1" w:styleId="1620">
    <w:name w:val="Char Char Char Char Char Char3 Char"/>
    <w:basedOn w:val="1"/>
    <w:qFormat/>
    <w:uiPriority w:val="0"/>
    <w:pPr>
      <w:snapToGrid w:val="0"/>
      <w:spacing w:beforeLines="50" w:afterLines="50" w:line="600" w:lineRule="atLeast"/>
    </w:pPr>
    <w:rPr>
      <w:szCs w:val="21"/>
    </w:rPr>
  </w:style>
  <w:style w:type="paragraph" w:customStyle="1" w:styleId="1621">
    <w:name w:val="样式 正文首行缩进:  2 字符 + 首行缩进:  2 字符"/>
    <w:basedOn w:val="1"/>
    <w:qFormat/>
    <w:uiPriority w:val="0"/>
    <w:pPr>
      <w:spacing w:line="360" w:lineRule="auto"/>
      <w:ind w:firstLine="480" w:firstLineChars="200"/>
    </w:pPr>
    <w:rPr>
      <w:rFonts w:cs="宋体"/>
      <w:sz w:val="24"/>
      <w:szCs w:val="20"/>
    </w:rPr>
  </w:style>
  <w:style w:type="paragraph" w:customStyle="1" w:styleId="1622">
    <w:name w:val="p15"/>
    <w:basedOn w:val="1"/>
    <w:qFormat/>
    <w:uiPriority w:val="0"/>
    <w:pPr>
      <w:widowControl/>
      <w:spacing w:line="300" w:lineRule="auto"/>
      <w:ind w:firstLine="454"/>
    </w:pPr>
    <w:rPr>
      <w:kern w:val="0"/>
      <w:sz w:val="24"/>
    </w:rPr>
  </w:style>
  <w:style w:type="paragraph" w:customStyle="1" w:styleId="1623">
    <w:name w:val="正文首行缩进 2 + Times New Roman"/>
    <w:basedOn w:val="1"/>
    <w:qFormat/>
    <w:uiPriority w:val="0"/>
    <w:pPr>
      <w:tabs>
        <w:tab w:val="left" w:pos="0"/>
      </w:tabs>
      <w:autoSpaceDE w:val="0"/>
      <w:autoSpaceDN w:val="0"/>
      <w:spacing w:line="360" w:lineRule="auto"/>
      <w:ind w:firstLine="480" w:firstLineChars="200"/>
    </w:pPr>
    <w:rPr>
      <w:kern w:val="0"/>
      <w:sz w:val="24"/>
      <w:lang w:val="zh-CN"/>
    </w:rPr>
  </w:style>
  <w:style w:type="paragraph" w:customStyle="1" w:styleId="1624">
    <w:name w:val="列项——"/>
    <w:qFormat/>
    <w:uiPriority w:val="0"/>
    <w:pPr>
      <w:widowControl w:val="0"/>
      <w:tabs>
        <w:tab w:val="left" w:pos="0"/>
        <w:tab w:val="left" w:pos="854"/>
      </w:tabs>
      <w:ind w:left="200" w:leftChars="200" w:hanging="200" w:hangingChars="200"/>
      <w:jc w:val="both"/>
    </w:pPr>
    <w:rPr>
      <w:rFonts w:ascii="宋体" w:hAnsi="Times New Roman" w:eastAsia="宋体" w:cs="Times New Roman"/>
      <w:sz w:val="21"/>
      <w:lang w:val="en-US" w:eastAsia="zh-CN" w:bidi="ar-SA"/>
    </w:rPr>
  </w:style>
  <w:style w:type="paragraph" w:customStyle="1" w:styleId="1625">
    <w:name w:val="Char Char Char Char Char Char Char Char Char Char Char Char Char"/>
    <w:basedOn w:val="1"/>
    <w:qFormat/>
    <w:uiPriority w:val="0"/>
    <w:rPr>
      <w:sz w:val="24"/>
    </w:rPr>
  </w:style>
  <w:style w:type="paragraph" w:customStyle="1" w:styleId="1626">
    <w:name w:val="页面 2"/>
    <w:basedOn w:val="1604"/>
    <w:qFormat/>
    <w:uiPriority w:val="0"/>
    <w:rPr>
      <w:sz w:val="72"/>
    </w:rPr>
  </w:style>
  <w:style w:type="paragraph" w:customStyle="1" w:styleId="1627">
    <w:name w:val="表体加粗"/>
    <w:basedOn w:val="1"/>
    <w:qFormat/>
    <w:uiPriority w:val="0"/>
    <w:pPr>
      <w:spacing w:line="360" w:lineRule="auto"/>
      <w:jc w:val="center"/>
    </w:pPr>
    <w:rPr>
      <w:rFonts w:cs="宋体"/>
      <w:b/>
      <w:bCs/>
      <w:sz w:val="24"/>
      <w:szCs w:val="20"/>
    </w:rPr>
  </w:style>
  <w:style w:type="paragraph" w:customStyle="1" w:styleId="1628">
    <w:name w:val="表体"/>
    <w:basedOn w:val="1"/>
    <w:qFormat/>
    <w:uiPriority w:val="0"/>
    <w:pPr>
      <w:spacing w:line="360" w:lineRule="auto"/>
      <w:jc w:val="center"/>
    </w:pPr>
    <w:rPr>
      <w:rFonts w:cs="宋体"/>
      <w:szCs w:val="20"/>
    </w:rPr>
  </w:style>
  <w:style w:type="paragraph" w:customStyle="1" w:styleId="1629">
    <w:name w:val="Char Char Char Char Char Char Char Char Char Char Char Char Char Char Char Char Char Char Char Char Char Char Char Char Char Char Char Char Char Char Char Char Char Char Char Char Char Char Char Char"/>
    <w:basedOn w:val="1"/>
    <w:qFormat/>
    <w:uiPriority w:val="0"/>
    <w:rPr>
      <w:sz w:val="24"/>
    </w:rPr>
  </w:style>
  <w:style w:type="paragraph" w:customStyle="1" w:styleId="1630">
    <w:name w:val="图标"/>
    <w:basedOn w:val="1"/>
    <w:qFormat/>
    <w:uiPriority w:val="0"/>
    <w:pPr>
      <w:tabs>
        <w:tab w:val="left" w:pos="1920"/>
      </w:tabs>
      <w:spacing w:line="400" w:lineRule="atLeast"/>
      <w:jc w:val="center"/>
    </w:pPr>
    <w:rPr>
      <w:bCs/>
      <w:color w:val="000000"/>
      <w:sz w:val="24"/>
      <w:szCs w:val="21"/>
    </w:rPr>
  </w:style>
  <w:style w:type="paragraph" w:customStyle="1" w:styleId="1631">
    <w:name w:val="流程图文字"/>
    <w:basedOn w:val="1"/>
    <w:qFormat/>
    <w:uiPriority w:val="0"/>
    <w:pPr>
      <w:adjustRightInd w:val="0"/>
      <w:snapToGrid w:val="0"/>
      <w:spacing w:line="288" w:lineRule="auto"/>
      <w:jc w:val="center"/>
      <w:textAlignment w:val="baseline"/>
    </w:pPr>
    <w:rPr>
      <w:rFonts w:eastAsia="楷体_GB2312"/>
      <w:szCs w:val="20"/>
    </w:rPr>
  </w:style>
  <w:style w:type="paragraph" w:customStyle="1" w:styleId="1632">
    <w:name w:val="样式 标题 1标题3，标题3Head 1wsa一、h1标题2标题 1 CharPart'Document1.标...1"/>
    <w:basedOn w:val="4"/>
    <w:qFormat/>
    <w:uiPriority w:val="0"/>
    <w:pPr>
      <w:widowControl/>
      <w:tabs>
        <w:tab w:val="left" w:pos="432"/>
        <w:tab w:val="left" w:pos="1202"/>
      </w:tabs>
      <w:spacing w:before="300" w:after="300" w:line="500" w:lineRule="exact"/>
      <w:ind w:left="1202" w:hanging="720"/>
      <w:jc w:val="center"/>
    </w:pPr>
    <w:rPr>
      <w:rFonts w:ascii="宋体" w:hAnsi="宋体" w:eastAsia="楷体_GB2312" w:cs="宋体"/>
      <w:sz w:val="36"/>
      <w:szCs w:val="20"/>
    </w:rPr>
  </w:style>
  <w:style w:type="paragraph" w:customStyle="1" w:styleId="1633">
    <w:name w:val="样式 标题 2Chapter Heading2nd levelh22Titre2l2H2Header 2UND...1"/>
    <w:basedOn w:val="5"/>
    <w:qFormat/>
    <w:uiPriority w:val="0"/>
    <w:pPr>
      <w:widowControl/>
      <w:tabs>
        <w:tab w:val="left" w:pos="576"/>
        <w:tab w:val="left" w:pos="1322"/>
        <w:tab w:val="clear" w:pos="0"/>
        <w:tab w:val="clear" w:pos="567"/>
      </w:tabs>
      <w:spacing w:beforeLines="0" w:afterLines="0"/>
      <w:ind w:left="1322" w:hanging="420"/>
      <w:jc w:val="left"/>
    </w:pPr>
    <w:rPr>
      <w:rFonts w:hAnsi="宋体" w:eastAsia="楷体_GB2312" w:cs="宋体"/>
      <w:bCs/>
      <w:color w:val="FF0000"/>
      <w:spacing w:val="0"/>
      <w:sz w:val="30"/>
      <w:szCs w:val="30"/>
    </w:rPr>
  </w:style>
  <w:style w:type="paragraph" w:customStyle="1" w:styleId="1634">
    <w:name w:val="样式 标题 3h33rd levelH33Head 3level_3PIM 3Level 3 Head二级节名...1"/>
    <w:basedOn w:val="6"/>
    <w:qFormat/>
    <w:uiPriority w:val="0"/>
    <w:pPr>
      <w:widowControl/>
      <w:tabs>
        <w:tab w:val="left" w:pos="720"/>
        <w:tab w:val="left" w:pos="1742"/>
      </w:tabs>
      <w:spacing w:beforeLines="50" w:afterLines="50" w:line="360" w:lineRule="auto"/>
      <w:ind w:left="1742" w:hanging="420"/>
      <w:jc w:val="left"/>
    </w:pPr>
    <w:rPr>
      <w:rFonts w:ascii="宋体" w:hAnsi="宋体"/>
      <w:kern w:val="0"/>
      <w:sz w:val="24"/>
      <w:szCs w:val="24"/>
    </w:rPr>
  </w:style>
  <w:style w:type="paragraph" w:customStyle="1" w:styleId="1635">
    <w:name w:val="样式 标题 1 + 宋体"/>
    <w:basedOn w:val="4"/>
    <w:qFormat/>
    <w:uiPriority w:val="0"/>
    <w:pPr>
      <w:keepLines w:val="0"/>
      <w:widowControl/>
      <w:tabs>
        <w:tab w:val="left" w:pos="360"/>
      </w:tabs>
      <w:overflowPunct w:val="0"/>
      <w:autoSpaceDE w:val="0"/>
      <w:autoSpaceDN w:val="0"/>
      <w:adjustRightInd w:val="0"/>
      <w:spacing w:before="360" w:after="360" w:line="440" w:lineRule="exact"/>
      <w:ind w:left="360" w:hanging="360"/>
      <w:jc w:val="left"/>
      <w:textAlignment w:val="baseline"/>
    </w:pPr>
    <w:rPr>
      <w:rFonts w:ascii="宋体" w:hAnsi="宋体" w:eastAsia="楷体_GB2312"/>
      <w:kern w:val="28"/>
      <w:sz w:val="30"/>
      <w:szCs w:val="30"/>
    </w:rPr>
  </w:style>
  <w:style w:type="paragraph" w:customStyle="1" w:styleId="1636">
    <w:name w:val="前言"/>
    <w:basedOn w:val="1"/>
    <w:qFormat/>
    <w:uiPriority w:val="0"/>
    <w:pPr>
      <w:pageBreakBefore/>
      <w:autoSpaceDE w:val="0"/>
      <w:autoSpaceDN w:val="0"/>
      <w:adjustRightInd w:val="0"/>
      <w:spacing w:line="288" w:lineRule="auto"/>
      <w:ind w:firstLine="454"/>
      <w:jc w:val="center"/>
      <w:textAlignment w:val="baseline"/>
    </w:pPr>
    <w:rPr>
      <w:rFonts w:ascii="黑体" w:eastAsia="黑体"/>
      <w:kern w:val="0"/>
      <w:sz w:val="32"/>
      <w:szCs w:val="20"/>
    </w:rPr>
  </w:style>
  <w:style w:type="paragraph" w:customStyle="1" w:styleId="1637">
    <w:name w:val="陈底注加"/>
    <w:basedOn w:val="1"/>
    <w:next w:val="1"/>
    <w:qFormat/>
    <w:uiPriority w:val="0"/>
    <w:pPr>
      <w:spacing w:line="288" w:lineRule="auto"/>
    </w:pPr>
    <w:rPr>
      <w:color w:val="0000FF"/>
      <w:szCs w:val="21"/>
      <w:lang w:val="zh-CN"/>
    </w:rPr>
  </w:style>
  <w:style w:type="paragraph" w:customStyle="1" w:styleId="1638">
    <w:name w:val="页面 7"/>
    <w:basedOn w:val="1"/>
    <w:qFormat/>
    <w:uiPriority w:val="0"/>
    <w:pPr>
      <w:autoSpaceDE w:val="0"/>
      <w:autoSpaceDN w:val="0"/>
      <w:adjustRightInd w:val="0"/>
      <w:spacing w:before="120" w:after="120" w:line="360" w:lineRule="auto"/>
      <w:ind w:firstLine="425"/>
      <w:jc w:val="center"/>
      <w:textAlignment w:val="baseline"/>
    </w:pPr>
    <w:rPr>
      <w:rFonts w:eastAsia="楷体_GB2312"/>
      <w:kern w:val="0"/>
      <w:sz w:val="32"/>
      <w:szCs w:val="20"/>
    </w:rPr>
  </w:style>
  <w:style w:type="paragraph" w:customStyle="1" w:styleId="1639">
    <w:name w:val="Char Char Char Char Char Char1 Char Char Char Char"/>
    <w:basedOn w:val="1"/>
    <w:qFormat/>
    <w:uiPriority w:val="0"/>
    <w:pPr>
      <w:adjustRightInd w:val="0"/>
      <w:snapToGrid w:val="0"/>
      <w:spacing w:line="360" w:lineRule="auto"/>
      <w:ind w:firstLine="567"/>
    </w:pPr>
  </w:style>
  <w:style w:type="paragraph" w:customStyle="1" w:styleId="1640">
    <w:name w:val="封面1"/>
    <w:basedOn w:val="4"/>
    <w:qFormat/>
    <w:uiPriority w:val="0"/>
    <w:pPr>
      <w:keepNext w:val="0"/>
      <w:keepLines w:val="0"/>
      <w:tabs>
        <w:tab w:val="left" w:pos="425"/>
      </w:tabs>
      <w:spacing w:before="0" w:after="0" w:line="240" w:lineRule="auto"/>
      <w:ind w:left="420" w:hanging="420"/>
      <w:jc w:val="center"/>
      <w:outlineLvl w:val="9"/>
    </w:pPr>
    <w:rPr>
      <w:rFonts w:ascii="Impact" w:hAnsi="Impact" w:eastAsia="隶书"/>
      <w:b w:val="0"/>
      <w:bCs w:val="0"/>
      <w:sz w:val="36"/>
      <w:szCs w:val="20"/>
      <w14:shadow w14:blurRad="50800" w14:dist="38100" w14:dir="2700000" w14:sx="100000" w14:sy="100000" w14:kx="0" w14:ky="0" w14:algn="tl">
        <w14:srgbClr w14:val="000000">
          <w14:alpha w14:val="60000"/>
        </w14:srgbClr>
      </w14:shadow>
    </w:rPr>
  </w:style>
  <w:style w:type="paragraph" w:customStyle="1" w:styleId="1641">
    <w:name w:val="表格 22"/>
    <w:basedOn w:val="1602"/>
    <w:qFormat/>
    <w:uiPriority w:val="0"/>
    <w:rPr>
      <w:sz w:val="24"/>
    </w:rPr>
  </w:style>
  <w:style w:type="paragraph" w:customStyle="1" w:styleId="1642">
    <w:name w:val="xl205"/>
    <w:basedOn w:val="1"/>
    <w:qFormat/>
    <w:uiPriority w:val="0"/>
    <w:pPr>
      <w:widowControl/>
      <w:pBdr>
        <w:left w:val="single" w:color="auto" w:sz="4" w:space="0"/>
        <w:right w:val="single" w:color="auto" w:sz="4" w:space="0"/>
      </w:pBdr>
      <w:shd w:val="clear" w:color="auto" w:fill="99CC00"/>
      <w:spacing w:before="100" w:beforeAutospacing="1" w:after="100" w:afterAutospacing="1"/>
      <w:jc w:val="center"/>
      <w:textAlignment w:val="center"/>
    </w:pPr>
    <w:rPr>
      <w:rFonts w:ascii="Tahoma" w:hAnsi="Tahoma" w:eastAsia="Arial Unicode MS" w:cs="Tahoma"/>
      <w:kern w:val="0"/>
      <w:sz w:val="20"/>
      <w:szCs w:val="20"/>
    </w:rPr>
  </w:style>
  <w:style w:type="paragraph" w:customStyle="1" w:styleId="1643">
    <w:name w:val="表格 23"/>
    <w:basedOn w:val="1602"/>
    <w:qFormat/>
    <w:uiPriority w:val="0"/>
    <w:rPr>
      <w:sz w:val="21"/>
    </w:rPr>
  </w:style>
  <w:style w:type="paragraph" w:customStyle="1" w:styleId="1644">
    <w:name w:val="xl203"/>
    <w:basedOn w:val="1"/>
    <w:qFormat/>
    <w:uiPriority w:val="0"/>
    <w:pPr>
      <w:widowControl/>
      <w:pBdr>
        <w:left w:val="single" w:color="auto" w:sz="4" w:space="0"/>
        <w:right w:val="single" w:color="auto" w:sz="4" w:space="0"/>
      </w:pBdr>
      <w:shd w:val="clear" w:color="auto" w:fill="FFFF99"/>
      <w:spacing w:before="100" w:beforeAutospacing="1" w:after="100" w:afterAutospacing="1"/>
      <w:jc w:val="left"/>
      <w:textAlignment w:val="center"/>
    </w:pPr>
    <w:rPr>
      <w:rFonts w:ascii="Tahoma" w:hAnsi="Tahoma" w:eastAsia="Arial Unicode MS" w:cs="Tahoma"/>
      <w:kern w:val="0"/>
      <w:sz w:val="20"/>
      <w:szCs w:val="20"/>
    </w:rPr>
  </w:style>
  <w:style w:type="paragraph" w:customStyle="1" w:styleId="1645">
    <w:name w:val="正文 32"/>
    <w:basedOn w:val="1"/>
    <w:qFormat/>
    <w:uiPriority w:val="0"/>
    <w:pPr>
      <w:autoSpaceDE w:val="0"/>
      <w:autoSpaceDN w:val="0"/>
      <w:adjustRightInd w:val="0"/>
      <w:spacing w:line="288" w:lineRule="auto"/>
      <w:ind w:firstLine="567"/>
      <w:textAlignment w:val="baseline"/>
    </w:pPr>
    <w:rPr>
      <w:kern w:val="0"/>
      <w:sz w:val="28"/>
      <w:szCs w:val="20"/>
    </w:rPr>
  </w:style>
  <w:style w:type="paragraph" w:customStyle="1" w:styleId="1646">
    <w:name w:val="样式 标题 3 + 宋体"/>
    <w:basedOn w:val="6"/>
    <w:qFormat/>
    <w:uiPriority w:val="0"/>
    <w:pPr>
      <w:tabs>
        <w:tab w:val="left" w:pos="1260"/>
      </w:tabs>
      <w:adjustRightInd w:val="0"/>
      <w:spacing w:before="120" w:after="120" w:line="416" w:lineRule="atLeast"/>
      <w:ind w:left="1260" w:hanging="420"/>
      <w:textAlignment w:val="baseline"/>
    </w:pPr>
    <w:rPr>
      <w:rFonts w:ascii="宋体" w:hAnsi="宋体"/>
      <w:b w:val="0"/>
      <w:bCs w:val="0"/>
      <w:kern w:val="28"/>
      <w:sz w:val="28"/>
      <w:szCs w:val="20"/>
    </w:rPr>
  </w:style>
  <w:style w:type="paragraph" w:customStyle="1" w:styleId="1647">
    <w:name w:val="正文 2"/>
    <w:basedOn w:val="1"/>
    <w:qFormat/>
    <w:uiPriority w:val="0"/>
    <w:pPr>
      <w:autoSpaceDE w:val="0"/>
      <w:autoSpaceDN w:val="0"/>
      <w:adjustRightInd w:val="0"/>
      <w:spacing w:line="300" w:lineRule="auto"/>
      <w:ind w:firstLine="510"/>
      <w:textAlignment w:val="baseline"/>
    </w:pPr>
    <w:rPr>
      <w:rFonts w:eastAsia="楷体_GB2312"/>
      <w:kern w:val="0"/>
      <w:sz w:val="24"/>
      <w:szCs w:val="20"/>
    </w:rPr>
  </w:style>
  <w:style w:type="paragraph" w:customStyle="1" w:styleId="1648">
    <w:name w:val="Char Char Char Char Char Char Char Char Char Char Char Char Char Char Char Char Char Char Char1"/>
    <w:basedOn w:val="1"/>
    <w:next w:val="1"/>
    <w:qFormat/>
    <w:uiPriority w:val="0"/>
    <w:pPr>
      <w:spacing w:line="360" w:lineRule="auto"/>
      <w:ind w:firstLine="200" w:firstLineChars="200"/>
    </w:pPr>
    <w:rPr>
      <w:rFonts w:ascii="宋体" w:hAnsi="宋体" w:cs="宋体"/>
      <w:sz w:val="24"/>
    </w:rPr>
  </w:style>
  <w:style w:type="paragraph" w:customStyle="1" w:styleId="1649">
    <w:name w:val="批注主题 Char Char"/>
    <w:basedOn w:val="29"/>
    <w:next w:val="29"/>
    <w:qFormat/>
    <w:uiPriority w:val="0"/>
    <w:pPr>
      <w:adjustRightInd/>
      <w:spacing w:line="360" w:lineRule="auto"/>
      <w:ind w:left="-2" w:leftChars="-1" w:firstLine="456" w:firstLineChars="190"/>
      <w:textAlignment w:val="auto"/>
    </w:pPr>
    <w:rPr>
      <w:rFonts w:ascii="Calibri" w:hAnsi="Calibri"/>
      <w:b/>
      <w:kern w:val="2"/>
    </w:rPr>
  </w:style>
  <w:style w:type="paragraph" w:customStyle="1" w:styleId="1650">
    <w:name w:val="表号"/>
    <w:basedOn w:val="1"/>
    <w:next w:val="215"/>
    <w:qFormat/>
    <w:uiPriority w:val="0"/>
    <w:pPr>
      <w:tabs>
        <w:tab w:val="left" w:pos="737"/>
      </w:tabs>
      <w:topLinePunct/>
      <w:autoSpaceDE w:val="0"/>
      <w:autoSpaceDN w:val="0"/>
      <w:adjustRightInd w:val="0"/>
      <w:spacing w:line="360" w:lineRule="auto"/>
      <w:ind w:left="420" w:hanging="420"/>
      <w:jc w:val="center"/>
      <w:textAlignment w:val="center"/>
    </w:pPr>
    <w:rPr>
      <w:kern w:val="0"/>
      <w:szCs w:val="20"/>
    </w:rPr>
  </w:style>
  <w:style w:type="paragraph" w:customStyle="1" w:styleId="1651">
    <w:name w:val="p16"/>
    <w:basedOn w:val="1"/>
    <w:qFormat/>
    <w:uiPriority w:val="0"/>
    <w:pPr>
      <w:widowControl/>
    </w:pPr>
    <w:rPr>
      <w:rFonts w:ascii="华文中宋" w:hAnsi="华文中宋" w:eastAsia="华文中宋"/>
      <w:kern w:val="0"/>
      <w:szCs w:val="20"/>
    </w:rPr>
  </w:style>
  <w:style w:type="paragraph" w:customStyle="1" w:styleId="1652">
    <w:name w:val="投标正文"/>
    <w:basedOn w:val="1"/>
    <w:semiHidden/>
    <w:qFormat/>
    <w:uiPriority w:val="0"/>
    <w:pPr>
      <w:adjustRightInd w:val="0"/>
      <w:snapToGrid w:val="0"/>
      <w:spacing w:line="360" w:lineRule="auto"/>
      <w:ind w:firstLine="200" w:firstLineChars="200"/>
    </w:pPr>
    <w:rPr>
      <w:sz w:val="24"/>
    </w:rPr>
  </w:style>
  <w:style w:type="paragraph" w:customStyle="1" w:styleId="1653">
    <w:name w:val="工艺正文"/>
    <w:basedOn w:val="1"/>
    <w:qFormat/>
    <w:uiPriority w:val="0"/>
    <w:pPr>
      <w:adjustRightInd w:val="0"/>
      <w:snapToGrid w:val="0"/>
      <w:spacing w:line="360" w:lineRule="auto"/>
      <w:ind w:firstLine="578"/>
    </w:pPr>
    <w:rPr>
      <w:rFonts w:ascii="宋体"/>
      <w:sz w:val="28"/>
      <w:szCs w:val="20"/>
    </w:rPr>
  </w:style>
  <w:style w:type="paragraph" w:customStyle="1" w:styleId="1654">
    <w:name w:val="工业统一正文"/>
    <w:basedOn w:val="1"/>
    <w:qFormat/>
    <w:uiPriority w:val="0"/>
    <w:pPr>
      <w:adjustRightInd w:val="0"/>
      <w:snapToGrid w:val="0"/>
      <w:spacing w:line="360" w:lineRule="auto"/>
      <w:ind w:firstLine="200" w:firstLineChars="200"/>
      <w:jc w:val="left"/>
    </w:pPr>
    <w:rPr>
      <w:rFonts w:ascii="宋体"/>
      <w:sz w:val="28"/>
      <w:szCs w:val="20"/>
    </w:rPr>
  </w:style>
  <w:style w:type="paragraph" w:customStyle="1" w:styleId="1655">
    <w:name w:val="xl200"/>
    <w:basedOn w:val="1"/>
    <w:qFormat/>
    <w:uiPriority w:val="0"/>
    <w:pPr>
      <w:widowControl/>
      <w:pBdr>
        <w:top w:val="single" w:color="auto" w:sz="4" w:space="0"/>
        <w:left w:val="single" w:color="auto" w:sz="4" w:space="0"/>
      </w:pBdr>
      <w:spacing w:before="100" w:beforeAutospacing="1" w:after="100" w:afterAutospacing="1"/>
      <w:jc w:val="left"/>
    </w:pPr>
    <w:rPr>
      <w:rFonts w:ascii="Tahoma" w:hAnsi="Tahoma" w:eastAsia="Arial Unicode MS" w:cs="Tahoma"/>
      <w:kern w:val="0"/>
      <w:sz w:val="20"/>
      <w:szCs w:val="20"/>
    </w:rPr>
  </w:style>
  <w:style w:type="paragraph" w:customStyle="1" w:styleId="1656">
    <w:name w:val="表标题-leon"/>
    <w:basedOn w:val="1"/>
    <w:next w:val="1483"/>
    <w:qFormat/>
    <w:uiPriority w:val="0"/>
    <w:pPr>
      <w:jc w:val="center"/>
    </w:pPr>
    <w:rPr>
      <w:b/>
      <w:sz w:val="24"/>
    </w:rPr>
  </w:style>
  <w:style w:type="paragraph" w:customStyle="1" w:styleId="1657">
    <w:name w:val="INDEX"/>
    <w:basedOn w:val="1"/>
    <w:semiHidden/>
    <w:qFormat/>
    <w:uiPriority w:val="0"/>
    <w:pPr>
      <w:adjustRightInd w:val="0"/>
      <w:spacing w:line="360" w:lineRule="atLeast"/>
      <w:ind w:left="720" w:hanging="720"/>
      <w:jc w:val="left"/>
    </w:pPr>
    <w:rPr>
      <w:rFonts w:ascii="全真楷書" w:eastAsia="全真楷書" w:cs="Dutch801 Rm BT"/>
      <w:kern w:val="0"/>
      <w:sz w:val="24"/>
      <w:szCs w:val="20"/>
      <w:lang w:eastAsia="zh-TW"/>
    </w:rPr>
  </w:style>
  <w:style w:type="paragraph" w:customStyle="1" w:styleId="1658">
    <w:name w:val="码头表"/>
    <w:basedOn w:val="1"/>
    <w:qFormat/>
    <w:uiPriority w:val="0"/>
    <w:pPr>
      <w:tabs>
        <w:tab w:val="left" w:pos="585"/>
        <w:tab w:val="center" w:pos="810"/>
      </w:tabs>
      <w:spacing w:line="360" w:lineRule="exact"/>
      <w:jc w:val="center"/>
    </w:pPr>
    <w:rPr>
      <w:rFonts w:eastAsia="楷体_GB2312"/>
      <w:kern w:val="0"/>
      <w:u w:color="000000"/>
    </w:rPr>
  </w:style>
  <w:style w:type="paragraph" w:customStyle="1" w:styleId="1659">
    <w:name w:val="正文仿宋"/>
    <w:basedOn w:val="1"/>
    <w:qFormat/>
    <w:uiPriority w:val="0"/>
    <w:pPr>
      <w:adjustRightInd w:val="0"/>
      <w:snapToGrid w:val="0"/>
      <w:spacing w:line="360" w:lineRule="auto"/>
      <w:ind w:firstLine="567"/>
    </w:pPr>
    <w:rPr>
      <w:rFonts w:eastAsia="仿宋_GB2312"/>
      <w:snapToGrid w:val="0"/>
      <w:kern w:val="0"/>
      <w:sz w:val="24"/>
      <w:szCs w:val="20"/>
    </w:rPr>
  </w:style>
  <w:style w:type="paragraph" w:customStyle="1" w:styleId="1660">
    <w:name w:val="样式 标题 3标题 3 Char2标题 3 CharSottoparagrafo条标题1.1.1h3H3level...2"/>
    <w:basedOn w:val="6"/>
    <w:qFormat/>
    <w:uiPriority w:val="0"/>
    <w:pPr>
      <w:tabs>
        <w:tab w:val="left" w:pos="720"/>
      </w:tabs>
      <w:spacing w:beforeLines="50" w:afterLines="50" w:line="360" w:lineRule="auto"/>
      <w:jc w:val="left"/>
    </w:pPr>
    <w:rPr>
      <w:rFonts w:cs="宋体"/>
      <w:color w:val="000000"/>
      <w:kern w:val="0"/>
      <w:sz w:val="24"/>
      <w:szCs w:val="20"/>
    </w:rPr>
  </w:style>
  <w:style w:type="paragraph" w:customStyle="1" w:styleId="1661">
    <w:name w:val="图内表文字"/>
    <w:basedOn w:val="1"/>
    <w:qFormat/>
    <w:uiPriority w:val="0"/>
    <w:pPr>
      <w:jc w:val="center"/>
    </w:pPr>
    <w:rPr>
      <w:b/>
      <w:color w:val="FF0000"/>
      <w:szCs w:val="21"/>
    </w:rPr>
  </w:style>
  <w:style w:type="paragraph" w:customStyle="1" w:styleId="1662">
    <w:name w:val="Char Char Char Char Char Char1 Char Char Char1 Char Char Char1 Char Char Char Char Char Char Char Char Char Char"/>
    <w:basedOn w:val="1"/>
    <w:next w:val="1"/>
    <w:qFormat/>
    <w:uiPriority w:val="0"/>
    <w:pPr>
      <w:spacing w:line="360" w:lineRule="auto"/>
      <w:ind w:firstLine="200" w:firstLineChars="200"/>
    </w:pPr>
    <w:rPr>
      <w:rFonts w:ascii="宋体" w:hAnsi="宋体" w:cs="宋体"/>
      <w:sz w:val="24"/>
    </w:rPr>
  </w:style>
  <w:style w:type="paragraph" w:customStyle="1" w:styleId="1663">
    <w:name w:val="表注解"/>
    <w:basedOn w:val="1473"/>
    <w:next w:val="1473"/>
    <w:qFormat/>
    <w:uiPriority w:val="0"/>
    <w:pPr>
      <w:tabs>
        <w:tab w:val="clear" w:pos="630"/>
        <w:tab w:val="clear" w:pos="1260"/>
      </w:tabs>
      <w:spacing w:line="240" w:lineRule="auto"/>
      <w:ind w:firstLine="0" w:firstLineChars="0"/>
    </w:pPr>
    <w:rPr>
      <w:b/>
      <w:sz w:val="18"/>
    </w:rPr>
  </w:style>
  <w:style w:type="paragraph" w:customStyle="1" w:styleId="1664">
    <w:name w:val="基准页脚样式"/>
    <w:basedOn w:val="1"/>
    <w:qFormat/>
    <w:uiPriority w:val="0"/>
    <w:pPr>
      <w:widowControl/>
      <w:spacing w:before="240"/>
      <w:jc w:val="left"/>
    </w:pPr>
    <w:rPr>
      <w:rFonts w:ascii="Garamond" w:hAnsi="Garamond" w:eastAsia="Times New Roman"/>
      <w:kern w:val="0"/>
      <w:sz w:val="18"/>
      <w:szCs w:val="20"/>
    </w:rPr>
  </w:style>
  <w:style w:type="paragraph" w:customStyle="1" w:styleId="1665">
    <w:name w:val="style24"/>
    <w:basedOn w:val="1"/>
    <w:qFormat/>
    <w:uiPriority w:val="0"/>
    <w:pPr>
      <w:widowControl/>
      <w:spacing w:before="100" w:beforeAutospacing="1" w:after="100" w:afterAutospacing="1"/>
      <w:jc w:val="left"/>
    </w:pPr>
    <w:rPr>
      <w:rFonts w:ascii="宋体" w:hAnsi="宋体" w:cs="宋体"/>
      <w:color w:val="000000"/>
      <w:kern w:val="0"/>
      <w:sz w:val="23"/>
      <w:szCs w:val="23"/>
    </w:rPr>
  </w:style>
  <w:style w:type="paragraph" w:customStyle="1" w:styleId="1666">
    <w:name w:val="样式  Char + 左  -0.01 字符"/>
    <w:basedOn w:val="7"/>
    <w:qFormat/>
    <w:uiPriority w:val="0"/>
    <w:pPr>
      <w:keepNext w:val="0"/>
      <w:keepLines w:val="0"/>
      <w:spacing w:line="240" w:lineRule="auto"/>
      <w:ind w:firstLine="190" w:firstLineChars="190"/>
      <w:outlineLvl w:val="9"/>
    </w:pPr>
    <w:rPr>
      <w:rFonts w:ascii="Times New Roman" w:hAnsi="Times New Roman" w:eastAsia="宋体" w:cs="宋体"/>
      <w:bCs w:val="0"/>
      <w:sz w:val="21"/>
      <w:szCs w:val="20"/>
    </w:rPr>
  </w:style>
  <w:style w:type="paragraph" w:customStyle="1" w:styleId="1667">
    <w:name w:val="川岛插图"/>
    <w:basedOn w:val="1"/>
    <w:qFormat/>
    <w:uiPriority w:val="0"/>
    <w:pPr>
      <w:spacing w:line="360" w:lineRule="auto"/>
      <w:ind w:firstLine="480" w:firstLineChars="200"/>
      <w:jc w:val="center"/>
    </w:pPr>
    <w:rPr>
      <w:color w:val="000000"/>
      <w:sz w:val="24"/>
      <w:szCs w:val="20"/>
    </w:rPr>
  </w:style>
  <w:style w:type="paragraph" w:customStyle="1" w:styleId="1668">
    <w:name w:val="a0"/>
    <w:basedOn w:val="1"/>
    <w:qFormat/>
    <w:uiPriority w:val="0"/>
    <w:pPr>
      <w:widowControl/>
      <w:spacing w:before="100" w:beforeAutospacing="1" w:after="100" w:afterAutospacing="1"/>
      <w:jc w:val="left"/>
    </w:pPr>
    <w:rPr>
      <w:rFonts w:ascii="宋体" w:hAnsi="宋体" w:cs="宋体"/>
      <w:kern w:val="0"/>
      <w:sz w:val="24"/>
    </w:rPr>
  </w:style>
  <w:style w:type="paragraph" w:customStyle="1" w:styleId="1669">
    <w:name w:val="正文四号缩进"/>
    <w:basedOn w:val="1"/>
    <w:qFormat/>
    <w:uiPriority w:val="0"/>
    <w:pPr>
      <w:spacing w:afterLines="50"/>
      <w:ind w:firstLine="200" w:firstLineChars="200"/>
    </w:pPr>
    <w:rPr>
      <w:rFonts w:ascii="宋体"/>
      <w:spacing w:val="10"/>
      <w:sz w:val="24"/>
      <w:szCs w:val="28"/>
    </w:rPr>
  </w:style>
  <w:style w:type="paragraph" w:customStyle="1" w:styleId="1670">
    <w:name w:val="Char Char Char Char Char Char Char Char Char1"/>
    <w:basedOn w:val="1"/>
    <w:qFormat/>
    <w:uiPriority w:val="0"/>
    <w:pPr>
      <w:snapToGrid w:val="0"/>
      <w:spacing w:line="360" w:lineRule="auto"/>
      <w:ind w:firstLine="529" w:firstLineChars="200"/>
    </w:pPr>
    <w:rPr>
      <w:rFonts w:ascii="宋体" w:hAnsi="宋体"/>
      <w:b/>
    </w:rPr>
  </w:style>
  <w:style w:type="paragraph" w:customStyle="1" w:styleId="1671">
    <w:name w:val="样式 仿宋_GB2312 四号 行距: 固定值 26 磅"/>
    <w:basedOn w:val="1"/>
    <w:qFormat/>
    <w:uiPriority w:val="0"/>
    <w:pPr>
      <w:spacing w:line="360" w:lineRule="auto"/>
      <w:ind w:firstLine="200" w:firstLineChars="200"/>
    </w:pPr>
    <w:rPr>
      <w:rFonts w:ascii="仿宋_GB2312" w:hAnsi="宋体" w:eastAsia="仿宋_GB2312" w:cs="宋体"/>
      <w:sz w:val="28"/>
      <w:szCs w:val="20"/>
    </w:rPr>
  </w:style>
  <w:style w:type="paragraph" w:customStyle="1" w:styleId="1672">
    <w:name w:val="样式 表格 + 五号 右1"/>
    <w:basedOn w:val="161"/>
    <w:qFormat/>
    <w:uiPriority w:val="0"/>
    <w:pPr>
      <w:keepNext/>
      <w:autoSpaceDE w:val="0"/>
      <w:autoSpaceDN w:val="0"/>
      <w:snapToGrid/>
      <w:spacing w:beforeLines="0"/>
      <w:textAlignment w:val="baseline"/>
    </w:pPr>
    <w:rPr>
      <w:rFonts w:cs="宋体"/>
      <w:snapToGrid/>
      <w:kern w:val="2"/>
      <w:szCs w:val="22"/>
    </w:rPr>
  </w:style>
  <w:style w:type="paragraph" w:customStyle="1" w:styleId="1673">
    <w:name w:val="样式 正文缩进 + 首行缩进:  2 字符"/>
    <w:basedOn w:val="22"/>
    <w:qFormat/>
    <w:uiPriority w:val="0"/>
    <w:pPr>
      <w:snapToGrid w:val="0"/>
      <w:spacing w:line="360" w:lineRule="auto"/>
      <w:ind w:firstLine="480"/>
    </w:pPr>
    <w:rPr>
      <w:rFonts w:ascii="宋体" w:hAnsi="宋体"/>
      <w:kern w:val="0"/>
      <w:sz w:val="24"/>
      <w:szCs w:val="20"/>
    </w:rPr>
  </w:style>
  <w:style w:type="paragraph" w:customStyle="1" w:styleId="1674">
    <w:name w:val="Char Char Char Char Char Char1 Char Char Char1 Char Char Char1 Char Char Char Char Char Char Char Char Char Char1"/>
    <w:basedOn w:val="1"/>
    <w:next w:val="1"/>
    <w:qFormat/>
    <w:uiPriority w:val="0"/>
    <w:pPr>
      <w:spacing w:line="360" w:lineRule="auto"/>
      <w:ind w:firstLine="200" w:firstLineChars="200"/>
    </w:pPr>
    <w:rPr>
      <w:rFonts w:ascii="宋体" w:hAnsi="宋体" w:cs="宋体"/>
      <w:sz w:val="24"/>
    </w:rPr>
  </w:style>
  <w:style w:type="paragraph" w:customStyle="1" w:styleId="1675">
    <w:name w:val="各级正文"/>
    <w:basedOn w:val="52"/>
    <w:qFormat/>
    <w:uiPriority w:val="0"/>
    <w:pPr>
      <w:spacing w:line="360" w:lineRule="auto"/>
      <w:ind w:left="200" w:leftChars="200" w:firstLine="0" w:firstLineChars="0"/>
    </w:pPr>
    <w:rPr>
      <w:rFonts w:ascii="Calibri" w:hAnsi="Calibri" w:eastAsia="宋体"/>
      <w:szCs w:val="24"/>
    </w:rPr>
  </w:style>
  <w:style w:type="paragraph" w:customStyle="1" w:styleId="1676">
    <w:name w:val="工业统一题目"/>
    <w:basedOn w:val="1"/>
    <w:qFormat/>
    <w:uiPriority w:val="0"/>
    <w:pPr>
      <w:adjustRightInd w:val="0"/>
      <w:snapToGrid w:val="0"/>
      <w:spacing w:line="360" w:lineRule="auto"/>
      <w:jc w:val="left"/>
    </w:pPr>
    <w:rPr>
      <w:rFonts w:ascii="宋体"/>
      <w:b/>
      <w:sz w:val="28"/>
      <w:szCs w:val="20"/>
    </w:rPr>
  </w:style>
  <w:style w:type="paragraph" w:customStyle="1" w:styleId="1677">
    <w:name w:val="图内文字"/>
    <w:basedOn w:val="1"/>
    <w:qFormat/>
    <w:uiPriority w:val="0"/>
    <w:pPr>
      <w:spacing w:line="360" w:lineRule="auto"/>
      <w:jc w:val="center"/>
    </w:pPr>
    <w:rPr>
      <w:b/>
      <w:color w:val="000000"/>
      <w:szCs w:val="22"/>
    </w:rPr>
  </w:style>
  <w:style w:type="paragraph" w:customStyle="1" w:styleId="1678">
    <w:name w:val="样式 题注 + 首行缩进:  2 字符"/>
    <w:basedOn w:val="23"/>
    <w:qFormat/>
    <w:uiPriority w:val="0"/>
    <w:pPr>
      <w:tabs>
        <w:tab w:val="clear" w:pos="7380"/>
      </w:tabs>
      <w:overflowPunct/>
      <w:spacing w:before="0" w:afterLines="0" w:line="360" w:lineRule="auto"/>
      <w:ind w:firstLine="400" w:firstLineChars="200"/>
      <w:jc w:val="center"/>
    </w:pPr>
    <w:rPr>
      <w:rFonts w:eastAsia="仿宋_GB2312" w:cs="宋体"/>
      <w:b/>
    </w:rPr>
  </w:style>
  <w:style w:type="paragraph" w:customStyle="1" w:styleId="1679">
    <w:name w:val="正文内容"/>
    <w:basedOn w:val="1"/>
    <w:semiHidden/>
    <w:qFormat/>
    <w:uiPriority w:val="0"/>
    <w:pPr>
      <w:adjustRightInd w:val="0"/>
      <w:snapToGrid w:val="0"/>
      <w:spacing w:line="360" w:lineRule="auto"/>
      <w:ind w:firstLine="510" w:firstLineChars="200"/>
      <w:jc w:val="left"/>
    </w:pPr>
    <w:rPr>
      <w:rFonts w:ascii="宋体" w:hAnsi="宋体" w:eastAsia="仿宋_GB2312"/>
      <w:snapToGrid w:val="0"/>
      <w:spacing w:val="4"/>
      <w:kern w:val="0"/>
      <w:sz w:val="24"/>
      <w:szCs w:val="20"/>
    </w:rPr>
  </w:style>
  <w:style w:type="paragraph" w:customStyle="1" w:styleId="1680">
    <w:name w:val="论文正文"/>
    <w:basedOn w:val="22"/>
    <w:qFormat/>
    <w:uiPriority w:val="0"/>
    <w:pPr>
      <w:ind w:firstLine="480"/>
    </w:pPr>
    <w:rPr>
      <w:rFonts w:ascii="宋体" w:hAnsi="宋体"/>
      <w:sz w:val="28"/>
    </w:rPr>
  </w:style>
  <w:style w:type="paragraph" w:customStyle="1" w:styleId="1681">
    <w:name w:val="样式 样式 正文文本 + 首行缩进:  2 字符 + 首行缩进:  2 字符"/>
    <w:basedOn w:val="1"/>
    <w:qFormat/>
    <w:uiPriority w:val="0"/>
    <w:pPr>
      <w:widowControl/>
      <w:adjustRightInd w:val="0"/>
      <w:snapToGrid w:val="0"/>
      <w:spacing w:line="360" w:lineRule="auto"/>
      <w:ind w:firstLine="560" w:firstLineChars="200"/>
      <w:jc w:val="left"/>
    </w:pPr>
    <w:rPr>
      <w:rFonts w:ascii="宋体" w:hAnsi="宋体" w:cs="宋体"/>
      <w:smallCaps/>
      <w:sz w:val="28"/>
      <w:szCs w:val="20"/>
    </w:rPr>
  </w:style>
  <w:style w:type="character" w:customStyle="1" w:styleId="1682">
    <w:name w:val="表格文字 Char1"/>
    <w:qFormat/>
    <w:uiPriority w:val="0"/>
    <w:rPr>
      <w:rFonts w:ascii="Times New Roman" w:hAnsi="Times New Roman" w:eastAsia="宋体" w:cs="Times New Roman"/>
      <w:sz w:val="24"/>
      <w:szCs w:val="20"/>
    </w:rPr>
  </w:style>
  <w:style w:type="paragraph" w:customStyle="1" w:styleId="1683">
    <w:name w:val="页眉页脚"/>
    <w:basedOn w:val="1"/>
    <w:qFormat/>
    <w:uiPriority w:val="0"/>
    <w:pPr>
      <w:snapToGrid w:val="0"/>
      <w:jc w:val="center"/>
    </w:pPr>
    <w:rPr>
      <w:rFonts w:ascii="仿宋_GB2312" w:hAnsi="仿宋_GB2312" w:eastAsia="仿宋_GB2312"/>
      <w:sz w:val="18"/>
      <w:szCs w:val="21"/>
    </w:rPr>
  </w:style>
  <w:style w:type="paragraph" w:customStyle="1" w:styleId="1684">
    <w:name w:val="环评三级标题"/>
    <w:basedOn w:val="1"/>
    <w:next w:val="1"/>
    <w:qFormat/>
    <w:uiPriority w:val="0"/>
    <w:pPr>
      <w:tabs>
        <w:tab w:val="left" w:pos="900"/>
      </w:tabs>
      <w:spacing w:line="520" w:lineRule="exact"/>
      <w:jc w:val="left"/>
      <w:outlineLvl w:val="2"/>
    </w:pPr>
    <w:rPr>
      <w:rFonts w:eastAsia="楷体_GB2312"/>
      <w:b/>
      <w:sz w:val="28"/>
      <w:szCs w:val="22"/>
    </w:rPr>
  </w:style>
  <w:style w:type="paragraph" w:customStyle="1" w:styleId="1685">
    <w:name w:val="环评一级标题"/>
    <w:basedOn w:val="1"/>
    <w:next w:val="55"/>
    <w:qFormat/>
    <w:uiPriority w:val="0"/>
    <w:pPr>
      <w:tabs>
        <w:tab w:val="left" w:pos="4540"/>
      </w:tabs>
      <w:spacing w:before="312" w:after="312"/>
      <w:jc w:val="center"/>
      <w:outlineLvl w:val="0"/>
    </w:pPr>
    <w:rPr>
      <w:rFonts w:eastAsia="黑体"/>
      <w:b/>
      <w:sz w:val="44"/>
      <w:szCs w:val="22"/>
      <w:lang w:val="zh-CN"/>
    </w:rPr>
  </w:style>
  <w:style w:type="paragraph" w:customStyle="1" w:styleId="1686">
    <w:name w:val="环境预案正文"/>
    <w:basedOn w:val="1"/>
    <w:link w:val="1687"/>
    <w:qFormat/>
    <w:uiPriority w:val="0"/>
    <w:pPr>
      <w:tabs>
        <w:tab w:val="left" w:pos="4540"/>
      </w:tabs>
      <w:ind w:firstLine="200" w:firstLineChars="200"/>
    </w:pPr>
    <w:rPr>
      <w:rFonts w:eastAsia="仿宋_GB2312"/>
      <w:sz w:val="28"/>
      <w:szCs w:val="20"/>
      <w:lang w:val="zh-CN"/>
    </w:rPr>
  </w:style>
  <w:style w:type="character" w:customStyle="1" w:styleId="1687">
    <w:name w:val="环境预案正文 Char"/>
    <w:link w:val="1686"/>
    <w:qFormat/>
    <w:uiPriority w:val="0"/>
    <w:rPr>
      <w:rFonts w:eastAsia="仿宋_GB2312"/>
      <w:kern w:val="2"/>
      <w:sz w:val="28"/>
      <w:lang w:val="zh-CN" w:eastAsia="zh-CN"/>
    </w:rPr>
  </w:style>
  <w:style w:type="character" w:customStyle="1" w:styleId="1688">
    <w:name w:val="页眉2. Char"/>
    <w:qFormat/>
    <w:uiPriority w:val="99"/>
    <w:rPr>
      <w:rFonts w:ascii="Times New Roman" w:hAnsi="Times New Roman" w:eastAsia="宋体" w:cs="Times New Roman"/>
      <w:sz w:val="18"/>
      <w:szCs w:val="18"/>
    </w:rPr>
  </w:style>
  <w:style w:type="character" w:customStyle="1" w:styleId="1689">
    <w:name w:val="Plain Text Char1 Char Char Char1"/>
    <w:qFormat/>
    <w:uiPriority w:val="0"/>
    <w:rPr>
      <w:rFonts w:ascii="宋体" w:hAnsi="Courier New" w:eastAsia="宋体" w:cs="Courier New"/>
      <w:szCs w:val="21"/>
    </w:rPr>
  </w:style>
  <w:style w:type="paragraph" w:customStyle="1" w:styleId="1690">
    <w:name w:val="样式11111"/>
    <w:basedOn w:val="39"/>
    <w:qFormat/>
    <w:uiPriority w:val="0"/>
    <w:pPr>
      <w:spacing w:line="300" w:lineRule="exact"/>
      <w:ind w:left="0" w:leftChars="0" w:firstLine="0" w:firstLineChars="0"/>
    </w:pPr>
    <w:rPr>
      <w:rFonts w:ascii="宋体" w:hAnsi="宋体"/>
      <w:szCs w:val="21"/>
    </w:rPr>
  </w:style>
  <w:style w:type="character" w:customStyle="1" w:styleId="1691">
    <w:name w:val="unnamed3"/>
    <w:qFormat/>
    <w:uiPriority w:val="0"/>
  </w:style>
  <w:style w:type="paragraph" w:customStyle="1" w:styleId="1692">
    <w:name w:val="Char Char Char21"/>
    <w:basedOn w:val="1"/>
    <w:qFormat/>
    <w:uiPriority w:val="0"/>
    <w:rPr>
      <w:sz w:val="24"/>
    </w:rPr>
  </w:style>
  <w:style w:type="character" w:customStyle="1" w:styleId="1693">
    <w:name w:val="信息标题 Char1"/>
    <w:semiHidden/>
    <w:qFormat/>
    <w:uiPriority w:val="0"/>
    <w:rPr>
      <w:rFonts w:ascii="Cambria" w:hAnsi="Cambria" w:eastAsia="宋体" w:cs="Times New Roman"/>
      <w:kern w:val="2"/>
      <w:sz w:val="24"/>
      <w:szCs w:val="24"/>
      <w:shd w:val="pct20" w:color="auto" w:fill="auto"/>
    </w:rPr>
  </w:style>
  <w:style w:type="character" w:customStyle="1" w:styleId="1694">
    <w:name w:val="Char21"/>
    <w:qFormat/>
    <w:uiPriority w:val="0"/>
    <w:rPr>
      <w:rFonts w:hint="eastAsia" w:ascii="黑体" w:eastAsia="黑体"/>
      <w:kern w:val="44"/>
      <w:sz w:val="44"/>
      <w:lang w:val="en-US" w:eastAsia="zh-CN" w:bidi="ar-SA"/>
    </w:rPr>
  </w:style>
  <w:style w:type="character" w:customStyle="1" w:styleId="1695">
    <w:name w:val="电子邮件签名 Char1"/>
    <w:semiHidden/>
    <w:qFormat/>
    <w:uiPriority w:val="0"/>
    <w:rPr>
      <w:kern w:val="2"/>
      <w:sz w:val="21"/>
      <w:szCs w:val="24"/>
    </w:rPr>
  </w:style>
  <w:style w:type="character" w:customStyle="1" w:styleId="1696">
    <w:name w:val="结束语 Char1"/>
    <w:qFormat/>
    <w:uiPriority w:val="0"/>
    <w:rPr>
      <w:kern w:val="2"/>
      <w:sz w:val="21"/>
      <w:szCs w:val="24"/>
    </w:rPr>
  </w:style>
  <w:style w:type="character" w:customStyle="1" w:styleId="1697">
    <w:name w:val="签名 Char1"/>
    <w:semiHidden/>
    <w:qFormat/>
    <w:uiPriority w:val="0"/>
    <w:rPr>
      <w:kern w:val="2"/>
      <w:sz w:val="21"/>
      <w:szCs w:val="24"/>
    </w:rPr>
  </w:style>
  <w:style w:type="character" w:customStyle="1" w:styleId="1698">
    <w:name w:val="副标题 Char1"/>
    <w:qFormat/>
    <w:uiPriority w:val="0"/>
    <w:rPr>
      <w:rFonts w:ascii="Cambria" w:hAnsi="Cambria" w:cs="Times New Roman"/>
      <w:b/>
      <w:bCs/>
      <w:kern w:val="28"/>
      <w:sz w:val="32"/>
      <w:szCs w:val="32"/>
    </w:rPr>
  </w:style>
  <w:style w:type="character" w:customStyle="1" w:styleId="1699">
    <w:name w:val="正文首行缩进 2 Char1"/>
    <w:qFormat/>
    <w:uiPriority w:val="0"/>
    <w:rPr>
      <w:rFonts w:ascii="Times New Roman" w:hAnsi="Times New Roman" w:eastAsia="宋体" w:cs="Times New Roman"/>
      <w:kern w:val="2"/>
      <w:sz w:val="21"/>
      <w:szCs w:val="24"/>
    </w:rPr>
  </w:style>
  <w:style w:type="character" w:customStyle="1" w:styleId="1700">
    <w:name w:val="lemmatitleh12"/>
    <w:qFormat/>
    <w:uiPriority w:val="0"/>
  </w:style>
  <w:style w:type="paragraph" w:customStyle="1" w:styleId="1701">
    <w:name w:val="样式 列表 + 左侧:  0 厘米 悬挂缩进: 2 字符"/>
    <w:basedOn w:val="67"/>
    <w:qFormat/>
    <w:uiPriority w:val="0"/>
    <w:pPr>
      <w:tabs>
        <w:tab w:val="center" w:pos="4153"/>
        <w:tab w:val="right" w:pos="8306"/>
      </w:tabs>
      <w:snapToGrid w:val="0"/>
      <w:spacing w:line="240" w:lineRule="exact"/>
    </w:pPr>
    <w:rPr>
      <w:rFonts w:ascii="Times New Roman"/>
      <w:spacing w:val="-20"/>
      <w:sz w:val="21"/>
      <w:szCs w:val="21"/>
    </w:rPr>
  </w:style>
  <w:style w:type="character" w:customStyle="1" w:styleId="1702">
    <w:name w:val="图文框 Char"/>
    <w:link w:val="199"/>
    <w:qFormat/>
    <w:uiPriority w:val="0"/>
    <w:rPr>
      <w:rFonts w:ascii="宋体" w:hAnsi="宋体"/>
      <w:color w:val="000000"/>
      <w:sz w:val="21"/>
      <w:szCs w:val="21"/>
    </w:rPr>
  </w:style>
  <w:style w:type="paragraph" w:customStyle="1" w:styleId="1703">
    <w:name w:val="wtext"/>
    <w:basedOn w:val="1"/>
    <w:qFormat/>
    <w:uiPriority w:val="0"/>
    <w:pPr>
      <w:widowControl/>
      <w:spacing w:before="100" w:beforeAutospacing="1" w:after="100" w:afterAutospacing="1"/>
      <w:ind w:firstLine="480"/>
      <w:jc w:val="left"/>
    </w:pPr>
    <w:rPr>
      <w:rFonts w:ascii="仿宋_GB2312" w:hAnsi="仿宋_GB2312" w:eastAsia="Arial Unicode MS" w:cs="Arial Unicode MS"/>
      <w:color w:val="000000"/>
      <w:kern w:val="0"/>
      <w:sz w:val="22"/>
      <w:szCs w:val="22"/>
    </w:rPr>
  </w:style>
  <w:style w:type="paragraph" w:customStyle="1" w:styleId="1704">
    <w:name w:val="文本123"/>
    <w:basedOn w:val="22"/>
    <w:qFormat/>
    <w:uiPriority w:val="0"/>
    <w:pPr>
      <w:tabs>
        <w:tab w:val="left" w:pos="425"/>
      </w:tabs>
      <w:spacing w:line="460" w:lineRule="exact"/>
      <w:ind w:left="425" w:hanging="425" w:firstLineChars="0"/>
      <w:outlineLvl w:val="7"/>
    </w:pPr>
    <w:rPr>
      <w:sz w:val="24"/>
      <w:szCs w:val="20"/>
    </w:rPr>
  </w:style>
  <w:style w:type="paragraph" w:customStyle="1" w:styleId="1705">
    <w:name w:val="条文"/>
    <w:basedOn w:val="8"/>
    <w:next w:val="1"/>
    <w:qFormat/>
    <w:uiPriority w:val="0"/>
    <w:pPr>
      <w:keepNext w:val="0"/>
      <w:spacing w:before="120" w:after="0" w:line="240" w:lineRule="auto"/>
      <w:ind w:firstLine="454"/>
    </w:pPr>
    <w:rPr>
      <w:rFonts w:ascii="Times New Roman" w:eastAsia="宋体"/>
      <w:b w:val="0"/>
      <w:bCs w:val="0"/>
      <w:sz w:val="24"/>
      <w:szCs w:val="20"/>
      <w:lang w:val="zh-CN"/>
    </w:rPr>
  </w:style>
  <w:style w:type="paragraph" w:customStyle="1" w:styleId="1706">
    <w:name w:val="条1"/>
    <w:basedOn w:val="5"/>
    <w:qFormat/>
    <w:uiPriority w:val="0"/>
    <w:pPr>
      <w:tabs>
        <w:tab w:val="left" w:pos="360"/>
        <w:tab w:val="clear" w:pos="0"/>
        <w:tab w:val="clear" w:pos="567"/>
      </w:tabs>
      <w:spacing w:beforeLines="0" w:afterLines="0" w:line="415" w:lineRule="auto"/>
      <w:ind w:left="360" w:hanging="360"/>
    </w:pPr>
    <w:rPr>
      <w:rFonts w:ascii="Arial" w:hAnsi="Arial" w:eastAsia="黑体"/>
      <w:b w:val="0"/>
      <w:spacing w:val="0"/>
      <w:sz w:val="30"/>
      <w:szCs w:val="20"/>
    </w:rPr>
  </w:style>
  <w:style w:type="paragraph" w:customStyle="1" w:styleId="1707">
    <w:name w:val="标题0"/>
    <w:basedOn w:val="1"/>
    <w:next w:val="1"/>
    <w:qFormat/>
    <w:uiPriority w:val="0"/>
    <w:pPr>
      <w:spacing w:before="200" w:after="200" w:line="240" w:lineRule="atLeast"/>
      <w:jc w:val="center"/>
    </w:pPr>
    <w:rPr>
      <w:rFonts w:eastAsia="黑体"/>
      <w:color w:val="000000"/>
      <w:sz w:val="44"/>
      <w:szCs w:val="20"/>
    </w:rPr>
  </w:style>
  <w:style w:type="paragraph" w:customStyle="1" w:styleId="1708">
    <w:name w:val="z表格文字"/>
    <w:basedOn w:val="1"/>
    <w:qFormat/>
    <w:uiPriority w:val="0"/>
    <w:pPr>
      <w:tabs>
        <w:tab w:val="left" w:pos="1155"/>
        <w:tab w:val="left" w:pos="2625"/>
      </w:tabs>
      <w:adjustRightInd w:val="0"/>
      <w:snapToGrid w:val="0"/>
      <w:ind w:left="210"/>
      <w:jc w:val="center"/>
    </w:pPr>
    <w:rPr>
      <w:rFonts w:ascii="文鼎CS书宋二"/>
      <w:color w:val="000000"/>
      <w:kern w:val="48"/>
      <w:position w:val="-8"/>
      <w:sz w:val="24"/>
      <w:szCs w:val="20"/>
    </w:rPr>
  </w:style>
  <w:style w:type="paragraph" w:customStyle="1" w:styleId="1709">
    <w:name w:val="Z标题-0"/>
    <w:basedOn w:val="84"/>
    <w:qFormat/>
    <w:uiPriority w:val="0"/>
    <w:pPr>
      <w:spacing w:before="0" w:after="0"/>
      <w:ind w:right="2319"/>
      <w:jc w:val="right"/>
    </w:pPr>
    <w:rPr>
      <w:rFonts w:ascii="宋体" w:hAnsi="Times New Roman"/>
      <w:b w:val="0"/>
      <w:bCs w:val="0"/>
      <w:color w:val="000000"/>
      <w:szCs w:val="20"/>
      <w:lang w:val="zh-CN"/>
    </w:rPr>
  </w:style>
  <w:style w:type="paragraph" w:customStyle="1" w:styleId="1710">
    <w:name w:val="三级"/>
    <w:basedOn w:val="6"/>
    <w:next w:val="1"/>
    <w:qFormat/>
    <w:uiPriority w:val="0"/>
    <w:pPr>
      <w:tabs>
        <w:tab w:val="left" w:pos="0"/>
      </w:tabs>
      <w:spacing w:before="0" w:after="0" w:line="560" w:lineRule="exact"/>
    </w:pPr>
    <w:rPr>
      <w:rFonts w:eastAsia="仿宋_GB2312"/>
      <w:b w:val="0"/>
      <w:spacing w:val="12"/>
      <w:sz w:val="28"/>
    </w:rPr>
  </w:style>
  <w:style w:type="paragraph" w:customStyle="1" w:styleId="1711">
    <w:name w:val="样式 首行缩进:  0.93 厘米"/>
    <w:basedOn w:val="1"/>
    <w:qFormat/>
    <w:uiPriority w:val="0"/>
    <w:pPr>
      <w:widowControl/>
      <w:spacing w:line="500" w:lineRule="exact"/>
      <w:ind w:firstLine="528"/>
      <w:jc w:val="left"/>
    </w:pPr>
    <w:rPr>
      <w:rFonts w:ascii="仿宋_GB2312" w:eastAsia="仿宋_GB2312"/>
      <w:kern w:val="28"/>
      <w:sz w:val="28"/>
      <w:szCs w:val="28"/>
    </w:rPr>
  </w:style>
  <w:style w:type="character" w:customStyle="1" w:styleId="1712">
    <w:name w:val="hangju1"/>
    <w:qFormat/>
    <w:uiPriority w:val="0"/>
  </w:style>
  <w:style w:type="paragraph" w:customStyle="1" w:styleId="1713">
    <w:name w:val="一级"/>
    <w:basedOn w:val="4"/>
    <w:next w:val="1"/>
    <w:qFormat/>
    <w:uiPriority w:val="0"/>
    <w:pPr>
      <w:keepLines w:val="0"/>
      <w:tabs>
        <w:tab w:val="left" w:pos="0"/>
      </w:tabs>
      <w:spacing w:beforeLines="100" w:afterLines="100" w:line="500" w:lineRule="exact"/>
    </w:pPr>
    <w:rPr>
      <w:rFonts w:eastAsia="黑体"/>
      <w:bCs w:val="0"/>
      <w:spacing w:val="12"/>
      <w:kern w:val="2"/>
      <w:sz w:val="32"/>
      <w:szCs w:val="28"/>
    </w:rPr>
  </w:style>
  <w:style w:type="paragraph" w:customStyle="1" w:styleId="1714">
    <w:name w:val="二级"/>
    <w:basedOn w:val="5"/>
    <w:next w:val="1"/>
    <w:qFormat/>
    <w:uiPriority w:val="0"/>
    <w:pPr>
      <w:tabs>
        <w:tab w:val="clear" w:pos="0"/>
      </w:tabs>
      <w:spacing w:beforeLines="0" w:afterLines="0"/>
    </w:pPr>
    <w:rPr>
      <w:rFonts w:eastAsia="黑体"/>
      <w:bCs/>
      <w:spacing w:val="12"/>
      <w:kern w:val="2"/>
      <w:sz w:val="30"/>
      <w:szCs w:val="30"/>
    </w:rPr>
  </w:style>
  <w:style w:type="paragraph" w:customStyle="1" w:styleId="1715">
    <w:name w:val="样式 一级 + 段前: 1 行 段后: 1 行"/>
    <w:basedOn w:val="1713"/>
    <w:qFormat/>
    <w:uiPriority w:val="0"/>
    <w:pPr>
      <w:keepNext w:val="0"/>
      <w:tabs>
        <w:tab w:val="clear" w:pos="0"/>
      </w:tabs>
      <w:spacing w:beforeLines="0" w:afterLines="0" w:line="400" w:lineRule="exact"/>
      <w:ind w:firstLine="200" w:firstLineChars="200"/>
      <w:outlineLvl w:val="9"/>
    </w:pPr>
    <w:rPr>
      <w:rFonts w:eastAsia="宋体"/>
      <w:b w:val="0"/>
      <w:spacing w:val="0"/>
      <w:sz w:val="28"/>
    </w:rPr>
  </w:style>
  <w:style w:type="paragraph" w:customStyle="1" w:styleId="1716">
    <w:name w:val="样式 样式 首行缩进:  2 字符 + 居中"/>
    <w:basedOn w:val="270"/>
    <w:qFormat/>
    <w:uiPriority w:val="0"/>
    <w:pPr>
      <w:spacing w:line="240" w:lineRule="auto"/>
      <w:ind w:firstLine="0" w:firstLineChars="0"/>
    </w:pPr>
    <w:rPr>
      <w:rFonts w:ascii="Times New Roman"/>
      <w:sz w:val="21"/>
      <w:szCs w:val="24"/>
      <w:lang w:val="zh-CN"/>
    </w:rPr>
  </w:style>
  <w:style w:type="paragraph" w:customStyle="1" w:styleId="1717">
    <w:name w:val="样式 三级 + 段前: 12 磅 段后: 12 磅"/>
    <w:basedOn w:val="1710"/>
    <w:qFormat/>
    <w:uiPriority w:val="0"/>
    <w:pPr>
      <w:keepNext w:val="0"/>
      <w:keepLines w:val="0"/>
      <w:tabs>
        <w:tab w:val="clear" w:pos="0"/>
      </w:tabs>
      <w:spacing w:line="360" w:lineRule="auto"/>
      <w:ind w:firstLine="482"/>
      <w:outlineLvl w:val="9"/>
    </w:pPr>
    <w:rPr>
      <w:rFonts w:ascii="宋体" w:eastAsia="宋体" w:cs="宋体"/>
      <w:bCs w:val="0"/>
      <w:spacing w:val="0"/>
      <w:sz w:val="24"/>
      <w:szCs w:val="24"/>
    </w:rPr>
  </w:style>
  <w:style w:type="paragraph" w:customStyle="1" w:styleId="1718">
    <w:name w:val="样式 样式 三级 + 段前: 12 磅 段后: 12 磅 + 右侧:  1 字符"/>
    <w:basedOn w:val="6"/>
    <w:next w:val="1"/>
    <w:qFormat/>
    <w:uiPriority w:val="0"/>
    <w:pPr>
      <w:tabs>
        <w:tab w:val="left" w:pos="1260"/>
      </w:tabs>
      <w:spacing w:before="0" w:after="0" w:line="500" w:lineRule="exact"/>
      <w:ind w:left="1260" w:hanging="420"/>
    </w:pPr>
    <w:rPr>
      <w:sz w:val="28"/>
    </w:rPr>
  </w:style>
  <w:style w:type="paragraph" w:customStyle="1" w:styleId="1719">
    <w:name w:val="Char2 Char Char Char Char Char Char Char Char 字元 字元 Char Char Char"/>
    <w:basedOn w:val="1"/>
    <w:qFormat/>
    <w:uiPriority w:val="0"/>
    <w:rPr>
      <w:sz w:val="24"/>
    </w:rPr>
  </w:style>
  <w:style w:type="paragraph" w:customStyle="1" w:styleId="1720">
    <w:name w:val="Char2 Char Char Char"/>
    <w:basedOn w:val="1"/>
    <w:qFormat/>
    <w:uiPriority w:val="0"/>
    <w:rPr>
      <w:sz w:val="24"/>
    </w:rPr>
  </w:style>
  <w:style w:type="paragraph" w:customStyle="1" w:styleId="1721">
    <w:name w:val="Char424"/>
    <w:basedOn w:val="1"/>
    <w:qFormat/>
    <w:uiPriority w:val="0"/>
    <w:rPr>
      <w:sz w:val="24"/>
    </w:rPr>
  </w:style>
  <w:style w:type="paragraph" w:customStyle="1" w:styleId="1722">
    <w:name w:val="样式 表题 +"/>
    <w:basedOn w:val="179"/>
    <w:qFormat/>
    <w:uiPriority w:val="0"/>
    <w:pPr>
      <w:tabs>
        <w:tab w:val="left" w:pos="425"/>
        <w:tab w:val="left" w:pos="1134"/>
      </w:tabs>
      <w:spacing w:beforeLines="0" w:line="240" w:lineRule="auto"/>
    </w:pPr>
    <w:rPr>
      <w:rFonts w:ascii="仿宋_GB2312" w:cs="宋体"/>
      <w:b w:val="0"/>
      <w:bCs/>
      <w:szCs w:val="28"/>
    </w:rPr>
  </w:style>
  <w:style w:type="paragraph" w:customStyle="1" w:styleId="1723">
    <w:name w:val="样式 样式 标题 1章标题章节H1NMP Heading 1Section HeadHeader1h11st leve... +..."/>
    <w:basedOn w:val="1"/>
    <w:qFormat/>
    <w:uiPriority w:val="0"/>
    <w:pPr>
      <w:keepNext/>
      <w:spacing w:beforeLines="100" w:afterLines="100" w:line="480" w:lineRule="exact"/>
      <w:outlineLvl w:val="0"/>
    </w:pPr>
    <w:rPr>
      <w:rFonts w:ascii="仿宋_GB2312" w:hAnsi="宋体" w:eastAsia="仿宋_GB2312"/>
      <w:b/>
      <w:bCs/>
      <w:sz w:val="30"/>
      <w:szCs w:val="30"/>
    </w:rPr>
  </w:style>
  <w:style w:type="paragraph" w:customStyle="1" w:styleId="1724">
    <w:name w:val="方框图"/>
    <w:basedOn w:val="1"/>
    <w:qFormat/>
    <w:uiPriority w:val="0"/>
    <w:pPr>
      <w:spacing w:line="240" w:lineRule="exact"/>
      <w:jc w:val="center"/>
    </w:pPr>
    <w:rPr>
      <w:rFonts w:eastAsia="方正仿宋_GBK"/>
    </w:rPr>
  </w:style>
  <w:style w:type="character" w:customStyle="1" w:styleId="1725">
    <w:name w:val="qqq1"/>
    <w:qFormat/>
    <w:uiPriority w:val="0"/>
    <w:rPr>
      <w:color w:val="527594"/>
      <w:sz w:val="18"/>
      <w:szCs w:val="18"/>
    </w:rPr>
  </w:style>
  <w:style w:type="paragraph" w:customStyle="1" w:styleId="1726">
    <w:name w:val="Char2 Char Char Char3"/>
    <w:basedOn w:val="1"/>
    <w:qFormat/>
    <w:uiPriority w:val="0"/>
    <w:pPr>
      <w:tabs>
        <w:tab w:val="left" w:pos="0"/>
      </w:tabs>
      <w:spacing w:line="560" w:lineRule="exact"/>
      <w:ind w:firstLine="200" w:firstLineChars="200"/>
    </w:pPr>
    <w:rPr>
      <w:rFonts w:eastAsia="仿宋_GB2312"/>
      <w:spacing w:val="12"/>
      <w:sz w:val="24"/>
      <w:szCs w:val="28"/>
    </w:rPr>
  </w:style>
  <w:style w:type="paragraph" w:customStyle="1" w:styleId="1727">
    <w:name w:val="Char1 Char Char Char Char Char Char"/>
    <w:basedOn w:val="1"/>
    <w:qFormat/>
    <w:uiPriority w:val="0"/>
    <w:rPr>
      <w:sz w:val="24"/>
    </w:rPr>
  </w:style>
  <w:style w:type="paragraph" w:customStyle="1" w:styleId="1728">
    <w:name w:val="Char Char Char Char Char Char Char Char Char Char Char Char Char Char Char Char Char Char Char Char Char Char Char Char Char Char Char Char Char Char Char Char Char Char Char Char Char Char Char Char2"/>
    <w:basedOn w:val="1"/>
    <w:qFormat/>
    <w:uiPriority w:val="0"/>
    <w:rPr>
      <w:sz w:val="24"/>
    </w:rPr>
  </w:style>
  <w:style w:type="character" w:customStyle="1" w:styleId="1729">
    <w:name w:val="7 Char"/>
    <w:link w:val="774"/>
    <w:qFormat/>
    <w:uiPriority w:val="0"/>
    <w:rPr>
      <w:rFonts w:ascii="宋体" w:hAnsi="宋体"/>
      <w:kern w:val="2"/>
      <w:sz w:val="28"/>
      <w:szCs w:val="24"/>
    </w:rPr>
  </w:style>
  <w:style w:type="paragraph" w:customStyle="1" w:styleId="1730">
    <w:name w:val="ISO标题3"/>
    <w:basedOn w:val="1"/>
    <w:qFormat/>
    <w:uiPriority w:val="0"/>
    <w:pPr>
      <w:widowControl/>
      <w:tabs>
        <w:tab w:val="left" w:pos="360"/>
        <w:tab w:val="left" w:pos="840"/>
        <w:tab w:val="left" w:pos="1260"/>
      </w:tabs>
      <w:autoSpaceDE w:val="0"/>
      <w:autoSpaceDN w:val="0"/>
      <w:adjustRightInd w:val="0"/>
      <w:ind w:left="1260" w:hanging="420"/>
      <w:jc w:val="left"/>
      <w:outlineLvl w:val="2"/>
    </w:pPr>
    <w:rPr>
      <w:rFonts w:ascii="宋体" w:hAnsi="宋体"/>
      <w:color w:val="000000"/>
      <w:kern w:val="0"/>
      <w:sz w:val="24"/>
    </w:rPr>
  </w:style>
  <w:style w:type="paragraph" w:customStyle="1" w:styleId="1731">
    <w:name w:val="Char2 Char Char Char Char Char Char Char Char Char Char Char Char"/>
    <w:basedOn w:val="1"/>
    <w:qFormat/>
    <w:uiPriority w:val="0"/>
    <w:rPr>
      <w:sz w:val="24"/>
    </w:rPr>
  </w:style>
  <w:style w:type="paragraph" w:customStyle="1" w:styleId="1732">
    <w:name w:val="7表格(治)"/>
    <w:qFormat/>
    <w:uiPriority w:val="0"/>
    <w:pPr>
      <w:spacing w:line="400" w:lineRule="atLeast"/>
      <w:jc w:val="center"/>
    </w:pPr>
    <w:rPr>
      <w:rFonts w:hint="eastAsia" w:ascii="宋体" w:hAnsi="宋体" w:eastAsia="宋体" w:cs="Times New Roman"/>
      <w:sz w:val="21"/>
      <w:lang w:val="en-US" w:eastAsia="zh-CN" w:bidi="ar-SA"/>
    </w:rPr>
  </w:style>
  <w:style w:type="character" w:customStyle="1" w:styleId="1733">
    <w:name w:val="正文(首行缩进) Char"/>
    <w:link w:val="233"/>
    <w:qFormat/>
    <w:uiPriority w:val="0"/>
    <w:rPr>
      <w:rFonts w:ascii="宋体" w:hAnsi="宋体"/>
      <w:snapToGrid w:val="0"/>
      <w:kern w:val="2"/>
      <w:sz w:val="24"/>
      <w:szCs w:val="24"/>
    </w:rPr>
  </w:style>
  <w:style w:type="paragraph" w:customStyle="1" w:styleId="1734">
    <w:name w:val="Char510"/>
    <w:basedOn w:val="1"/>
    <w:qFormat/>
    <w:uiPriority w:val="0"/>
  </w:style>
  <w:style w:type="character" w:customStyle="1" w:styleId="1735">
    <w:name w:val="图文框 Char Char"/>
    <w:qFormat/>
    <w:uiPriority w:val="0"/>
    <w:rPr>
      <w:rFonts w:ascii="宋体" w:eastAsia="宋体"/>
      <w:color w:val="000000"/>
      <w:kern w:val="28"/>
      <w:sz w:val="21"/>
      <w:lang w:val="en-US" w:eastAsia="zh-CN" w:bidi="ar-SA"/>
    </w:rPr>
  </w:style>
  <w:style w:type="character" w:customStyle="1" w:styleId="1736">
    <w:name w:val="正文－1.5行距－段后6磅 Char"/>
    <w:link w:val="1737"/>
    <w:qFormat/>
    <w:uiPriority w:val="0"/>
    <w:rPr>
      <w:rFonts w:cs="宋体"/>
      <w:b/>
      <w:spacing w:val="4"/>
      <w:sz w:val="24"/>
      <w:szCs w:val="21"/>
    </w:rPr>
  </w:style>
  <w:style w:type="paragraph" w:customStyle="1" w:styleId="1737">
    <w:name w:val="正文－1.5行距－段后6磅"/>
    <w:basedOn w:val="1"/>
    <w:link w:val="1736"/>
    <w:qFormat/>
    <w:uiPriority w:val="0"/>
    <w:pPr>
      <w:spacing w:after="120" w:line="360" w:lineRule="auto"/>
      <w:ind w:firstLine="200" w:firstLineChars="200"/>
    </w:pPr>
    <w:rPr>
      <w:rFonts w:cs="宋体"/>
      <w:b/>
      <w:spacing w:val="4"/>
      <w:kern w:val="0"/>
      <w:sz w:val="24"/>
      <w:szCs w:val="21"/>
    </w:rPr>
  </w:style>
  <w:style w:type="paragraph" w:customStyle="1" w:styleId="1738">
    <w:name w:val="样式 四号 左 行距: 1.5 倍行距 首行缩进:  2 字符"/>
    <w:basedOn w:val="1"/>
    <w:qFormat/>
    <w:uiPriority w:val="0"/>
    <w:pPr>
      <w:spacing w:line="360" w:lineRule="auto"/>
      <w:ind w:firstLine="560" w:firstLineChars="200"/>
      <w:jc w:val="left"/>
    </w:pPr>
    <w:rPr>
      <w:rFonts w:cs="宋体"/>
      <w:sz w:val="24"/>
      <w:szCs w:val="20"/>
    </w:rPr>
  </w:style>
  <w:style w:type="paragraph" w:customStyle="1" w:styleId="1739">
    <w:name w:val="Char2 Char Char Char Char Char Char Char Char 字元 字元 Char Char Char1"/>
    <w:basedOn w:val="1"/>
    <w:qFormat/>
    <w:uiPriority w:val="0"/>
    <w:rPr>
      <w:sz w:val="24"/>
    </w:rPr>
  </w:style>
  <w:style w:type="paragraph" w:customStyle="1" w:styleId="1740">
    <w:name w:val="Char2 Char Char Char2"/>
    <w:basedOn w:val="1"/>
    <w:qFormat/>
    <w:uiPriority w:val="0"/>
    <w:rPr>
      <w:sz w:val="24"/>
    </w:rPr>
  </w:style>
  <w:style w:type="paragraph" w:customStyle="1" w:styleId="1741">
    <w:name w:val="Char2 Char Char Char31"/>
    <w:basedOn w:val="1"/>
    <w:qFormat/>
    <w:uiPriority w:val="0"/>
    <w:pPr>
      <w:tabs>
        <w:tab w:val="left" w:pos="0"/>
      </w:tabs>
      <w:spacing w:line="560" w:lineRule="exact"/>
      <w:ind w:firstLine="200" w:firstLineChars="200"/>
    </w:pPr>
    <w:rPr>
      <w:rFonts w:eastAsia="仿宋_GB2312"/>
      <w:spacing w:val="12"/>
      <w:sz w:val="24"/>
      <w:szCs w:val="28"/>
    </w:rPr>
  </w:style>
  <w:style w:type="paragraph" w:customStyle="1" w:styleId="1742">
    <w:name w:val="Char1 Char Char Char Char Char Char1"/>
    <w:basedOn w:val="1"/>
    <w:qFormat/>
    <w:uiPriority w:val="0"/>
    <w:rPr>
      <w:sz w:val="24"/>
    </w:rPr>
  </w:style>
  <w:style w:type="paragraph" w:customStyle="1" w:styleId="1743">
    <w:name w:val="Char2 Char Char Char Char Char Char Char Char Char Char Char Char1"/>
    <w:basedOn w:val="1"/>
    <w:qFormat/>
    <w:uiPriority w:val="0"/>
    <w:rPr>
      <w:sz w:val="24"/>
    </w:rPr>
  </w:style>
  <w:style w:type="paragraph" w:customStyle="1" w:styleId="1744">
    <w:name w:val="album-div1"/>
    <w:basedOn w:val="1"/>
    <w:qFormat/>
    <w:uiPriority w:val="0"/>
    <w:pPr>
      <w:widowControl/>
      <w:shd w:val="clear" w:color="auto" w:fill="FFFFFF"/>
      <w:spacing w:before="100" w:beforeAutospacing="1" w:after="100" w:afterAutospacing="1"/>
      <w:jc w:val="left"/>
    </w:pPr>
    <w:rPr>
      <w:rFonts w:ascii="宋体" w:hAnsi="宋体" w:cs="宋体"/>
      <w:kern w:val="0"/>
      <w:sz w:val="24"/>
    </w:rPr>
  </w:style>
  <w:style w:type="character" w:customStyle="1" w:styleId="1745">
    <w:name w:val="title12"/>
    <w:qFormat/>
    <w:uiPriority w:val="0"/>
  </w:style>
  <w:style w:type="character" w:customStyle="1" w:styleId="1746">
    <w:name w:val="count4"/>
    <w:qFormat/>
    <w:uiPriority w:val="0"/>
  </w:style>
  <w:style w:type="paragraph" w:customStyle="1" w:styleId="1747">
    <w:name w:val="样式 标题 1 + 小二 非加粗"/>
    <w:basedOn w:val="4"/>
    <w:qFormat/>
    <w:uiPriority w:val="0"/>
    <w:pPr>
      <w:spacing w:before="0" w:after="0"/>
      <w:jc w:val="center"/>
    </w:pPr>
    <w:rPr>
      <w:rFonts w:eastAsia="黑体"/>
      <w:b w:val="0"/>
      <w:bCs w:val="0"/>
      <w:sz w:val="36"/>
    </w:rPr>
  </w:style>
  <w:style w:type="paragraph" w:customStyle="1" w:styleId="1748">
    <w:name w:val="表头2"/>
    <w:basedOn w:val="1"/>
    <w:qFormat/>
    <w:uiPriority w:val="0"/>
    <w:pPr>
      <w:spacing w:line="360" w:lineRule="auto"/>
      <w:jc w:val="center"/>
    </w:pPr>
    <w:rPr>
      <w:rFonts w:hAnsi="宋体"/>
      <w:color w:val="000000"/>
      <w:sz w:val="24"/>
      <w:lang w:val="zh-CN"/>
    </w:rPr>
  </w:style>
  <w:style w:type="paragraph" w:customStyle="1" w:styleId="1749">
    <w:name w:val="表中"/>
    <w:qFormat/>
    <w:uiPriority w:val="0"/>
    <w:pPr>
      <w:spacing w:line="280" w:lineRule="exact"/>
      <w:jc w:val="center"/>
    </w:pPr>
    <w:rPr>
      <w:rFonts w:ascii="Times New Roman" w:hAnsi="Times New Roman" w:eastAsia="宋体" w:cs="Times New Roman"/>
      <w:kern w:val="44"/>
      <w:sz w:val="21"/>
      <w:szCs w:val="21"/>
      <w:lang w:val="en-US" w:eastAsia="zh-CN" w:bidi="ar-SA"/>
    </w:rPr>
  </w:style>
  <w:style w:type="character" w:customStyle="1" w:styleId="1750">
    <w:name w:val="style6 style10"/>
    <w:qFormat/>
    <w:uiPriority w:val="0"/>
  </w:style>
  <w:style w:type="character" w:customStyle="1" w:styleId="1751">
    <w:name w:val="style101"/>
    <w:qFormat/>
    <w:uiPriority w:val="0"/>
    <w:rPr>
      <w:color w:val="000000"/>
    </w:rPr>
  </w:style>
  <w:style w:type="paragraph" w:customStyle="1" w:styleId="1752">
    <w:name w:val="zxl行距: 1.5 倍行距 首行缩进:  2 字符"/>
    <w:basedOn w:val="1"/>
    <w:next w:val="1"/>
    <w:qFormat/>
    <w:uiPriority w:val="0"/>
    <w:pPr>
      <w:adjustRightInd w:val="0"/>
      <w:snapToGrid w:val="0"/>
      <w:spacing w:line="360" w:lineRule="auto"/>
      <w:ind w:firstLine="480" w:firstLineChars="200"/>
      <w:jc w:val="left"/>
    </w:pPr>
    <w:rPr>
      <w:rFonts w:hAnsi="宋体"/>
      <w:color w:val="000000"/>
      <w:sz w:val="24"/>
    </w:rPr>
  </w:style>
  <w:style w:type="character" w:customStyle="1" w:styleId="1753">
    <w:name w:val="宏文本 字符"/>
    <w:basedOn w:val="133"/>
    <w:link w:val="3"/>
    <w:qFormat/>
    <w:uiPriority w:val="0"/>
    <w:rPr>
      <w:rFonts w:ascii="Courier New" w:hAnsi="Courier New"/>
      <w:kern w:val="2"/>
      <w:sz w:val="24"/>
    </w:rPr>
  </w:style>
  <w:style w:type="paragraph" w:customStyle="1" w:styleId="1754">
    <w:name w:val="报告正文朱"/>
    <w:basedOn w:val="1"/>
    <w:qFormat/>
    <w:uiPriority w:val="0"/>
    <w:pPr>
      <w:widowControl/>
      <w:adjustRightInd w:val="0"/>
      <w:snapToGrid w:val="0"/>
      <w:spacing w:line="360" w:lineRule="auto"/>
      <w:ind w:firstLine="200" w:firstLineChars="200"/>
      <w:jc w:val="left"/>
    </w:pPr>
    <w:rPr>
      <w:rFonts w:ascii="宋体" w:hAnsi="宋体"/>
      <w:bCs/>
      <w:kern w:val="44"/>
      <w:sz w:val="24"/>
      <w:szCs w:val="44"/>
    </w:rPr>
  </w:style>
  <w:style w:type="paragraph" w:customStyle="1" w:styleId="1755">
    <w:name w:val="图表"/>
    <w:link w:val="1758"/>
    <w:qFormat/>
    <w:uiPriority w:val="0"/>
    <w:pPr>
      <w:jc w:val="center"/>
    </w:pPr>
    <w:rPr>
      <w:rFonts w:ascii="Times New Roman" w:hAnsi="Times New Roman" w:eastAsia="仿宋_GB2312" w:cs="Times New Roman"/>
      <w:b/>
      <w:kern w:val="2"/>
      <w:sz w:val="24"/>
      <w:lang w:val="en-US" w:eastAsia="zh-CN" w:bidi="ar-SA"/>
    </w:rPr>
  </w:style>
  <w:style w:type="paragraph" w:customStyle="1" w:styleId="1756">
    <w:name w:val="Char1 Char Char Char Char Char Char Char Char 字元 字元 Char Char Char Char Char"/>
    <w:basedOn w:val="1"/>
    <w:qFormat/>
    <w:uiPriority w:val="0"/>
    <w:rPr>
      <w:sz w:val="24"/>
    </w:rPr>
  </w:style>
  <w:style w:type="paragraph" w:customStyle="1" w:styleId="1757">
    <w:name w:val="1 Char"/>
    <w:basedOn w:val="1"/>
    <w:qFormat/>
    <w:uiPriority w:val="0"/>
  </w:style>
  <w:style w:type="character" w:customStyle="1" w:styleId="1758">
    <w:name w:val="图表 Char"/>
    <w:link w:val="1755"/>
    <w:qFormat/>
    <w:uiPriority w:val="0"/>
    <w:rPr>
      <w:rFonts w:eastAsia="仿宋_GB2312"/>
      <w:b/>
      <w:kern w:val="2"/>
      <w:sz w:val="24"/>
    </w:rPr>
  </w:style>
  <w:style w:type="paragraph" w:customStyle="1" w:styleId="1759">
    <w:name w:val="样式 样式 正文首行缩进正文首行缩进 Char + 首行缩进:  2 字符 + 首行缩进:  2 字符"/>
    <w:basedOn w:val="1"/>
    <w:qFormat/>
    <w:uiPriority w:val="0"/>
    <w:pPr>
      <w:adjustRightInd w:val="0"/>
      <w:snapToGrid w:val="0"/>
      <w:spacing w:line="360" w:lineRule="auto"/>
      <w:ind w:firstLine="480" w:firstLineChars="200"/>
      <w:textAlignment w:val="baseline"/>
    </w:pPr>
    <w:rPr>
      <w:rFonts w:ascii="宋体" w:cs="宋体"/>
      <w:sz w:val="24"/>
      <w:szCs w:val="20"/>
      <w:lang w:val="zh-CN"/>
    </w:rPr>
  </w:style>
  <w:style w:type="paragraph" w:customStyle="1" w:styleId="1760">
    <w:name w:val="xl19"/>
    <w:basedOn w:val="1"/>
    <w:qFormat/>
    <w:uiPriority w:val="0"/>
    <w:pPr>
      <w:widowControl/>
      <w:spacing w:before="100" w:beforeAutospacing="1" w:after="100" w:afterAutospacing="1"/>
      <w:jc w:val="center"/>
      <w:textAlignment w:val="center"/>
    </w:pPr>
    <w:rPr>
      <w:rFonts w:ascii="宋体" w:hAnsi="宋体"/>
      <w:kern w:val="0"/>
      <w:sz w:val="18"/>
      <w:szCs w:val="18"/>
    </w:rPr>
  </w:style>
  <w:style w:type="paragraph" w:customStyle="1" w:styleId="1761">
    <w:name w:val="xl17"/>
    <w:basedOn w:val="1"/>
    <w:qFormat/>
    <w:uiPriority w:val="0"/>
    <w:pPr>
      <w:widowControl/>
      <w:spacing w:before="100" w:beforeAutospacing="1" w:after="100" w:afterAutospacing="1"/>
      <w:jc w:val="center"/>
      <w:textAlignment w:val="center"/>
    </w:pPr>
    <w:rPr>
      <w:rFonts w:ascii="宋体" w:hAnsi="宋体"/>
      <w:kern w:val="0"/>
      <w:sz w:val="18"/>
      <w:szCs w:val="18"/>
    </w:rPr>
  </w:style>
  <w:style w:type="paragraph" w:customStyle="1" w:styleId="1762">
    <w:name w:val="Char1 Char Char Char Char Char Char Char Char 字元 字元"/>
    <w:basedOn w:val="1"/>
    <w:qFormat/>
    <w:uiPriority w:val="0"/>
    <w:rPr>
      <w:sz w:val="24"/>
    </w:rPr>
  </w:style>
  <w:style w:type="paragraph" w:customStyle="1" w:styleId="1763">
    <w:name w:val="小四表格"/>
    <w:basedOn w:val="1"/>
    <w:qFormat/>
    <w:uiPriority w:val="0"/>
    <w:pPr>
      <w:keepNext/>
      <w:autoSpaceDE w:val="0"/>
      <w:autoSpaceDN w:val="0"/>
      <w:adjustRightInd w:val="0"/>
      <w:spacing w:line="480" w:lineRule="atLeast"/>
      <w:jc w:val="center"/>
    </w:pPr>
    <w:rPr>
      <w:color w:val="000000"/>
      <w:sz w:val="24"/>
      <w:szCs w:val="20"/>
    </w:rPr>
  </w:style>
  <w:style w:type="character" w:customStyle="1" w:styleId="1764">
    <w:name w:val="ttk"/>
    <w:qFormat/>
    <w:uiPriority w:val="0"/>
  </w:style>
  <w:style w:type="paragraph" w:customStyle="1" w:styleId="1765">
    <w:name w:val="TY"/>
    <w:basedOn w:val="1"/>
    <w:qFormat/>
    <w:uiPriority w:val="0"/>
    <w:pPr>
      <w:adjustRightInd w:val="0"/>
      <w:snapToGrid w:val="0"/>
      <w:spacing w:before="40" w:after="40"/>
    </w:pPr>
    <w:rPr>
      <w:szCs w:val="20"/>
    </w:rPr>
  </w:style>
  <w:style w:type="paragraph" w:customStyle="1" w:styleId="1766">
    <w:name w:val="TT"/>
    <w:basedOn w:val="1"/>
    <w:qFormat/>
    <w:uiPriority w:val="0"/>
    <w:pPr>
      <w:adjustRightInd w:val="0"/>
      <w:snapToGrid w:val="0"/>
      <w:spacing w:before="40" w:after="40" w:line="300" w:lineRule="auto"/>
      <w:jc w:val="left"/>
    </w:pPr>
    <w:rPr>
      <w:b/>
      <w:sz w:val="24"/>
      <w:szCs w:val="20"/>
    </w:rPr>
  </w:style>
  <w:style w:type="character" w:customStyle="1" w:styleId="1767">
    <w:name w:val="f3"/>
    <w:qFormat/>
    <w:uiPriority w:val="0"/>
  </w:style>
  <w:style w:type="paragraph" w:customStyle="1" w:styleId="1768">
    <w:name w:val="环评正文1"/>
    <w:basedOn w:val="271"/>
    <w:qFormat/>
    <w:uiPriority w:val="0"/>
    <w:pPr>
      <w:ind w:firstLine="0" w:firstLineChars="0"/>
    </w:pPr>
    <w:rPr>
      <w:lang w:val="zh-CN"/>
    </w:rPr>
  </w:style>
  <w:style w:type="paragraph" w:customStyle="1" w:styleId="1769">
    <w:name w:val="新表"/>
    <w:basedOn w:val="1"/>
    <w:qFormat/>
    <w:uiPriority w:val="0"/>
    <w:pPr>
      <w:spacing w:line="360" w:lineRule="exact"/>
    </w:pPr>
    <w:rPr>
      <w:rFonts w:eastAsia="仿宋_GB2312"/>
      <w:bCs/>
      <w:kern w:val="0"/>
      <w:sz w:val="24"/>
      <w:szCs w:val="20"/>
    </w:rPr>
  </w:style>
  <w:style w:type="paragraph" w:customStyle="1" w:styleId="1770">
    <w:name w:val="QIXIN"/>
    <w:basedOn w:val="1"/>
    <w:qFormat/>
    <w:uiPriority w:val="0"/>
    <w:pPr>
      <w:spacing w:line="360" w:lineRule="auto"/>
      <w:ind w:firstLine="600" w:firstLineChars="200"/>
    </w:pPr>
    <w:rPr>
      <w:rFonts w:ascii="宋体" w:hAnsi="宋体"/>
      <w:sz w:val="30"/>
      <w:szCs w:val="30"/>
    </w:rPr>
  </w:style>
  <w:style w:type="paragraph" w:customStyle="1" w:styleId="1771">
    <w:name w:val="清洁生产正文"/>
    <w:basedOn w:val="1"/>
    <w:qFormat/>
    <w:uiPriority w:val="0"/>
    <w:pPr>
      <w:tabs>
        <w:tab w:val="left" w:pos="3255"/>
      </w:tabs>
      <w:autoSpaceDE w:val="0"/>
      <w:autoSpaceDN w:val="0"/>
      <w:adjustRightInd w:val="0"/>
      <w:ind w:firstLine="560" w:firstLineChars="200"/>
      <w:jc w:val="left"/>
    </w:pPr>
    <w:rPr>
      <w:rFonts w:eastAsia="仿宋_GB2312"/>
      <w:color w:val="000000"/>
      <w:sz w:val="28"/>
      <w:szCs w:val="28"/>
    </w:rPr>
  </w:style>
  <w:style w:type="character" w:customStyle="1" w:styleId="1772">
    <w:name w:val="work4"/>
    <w:qFormat/>
    <w:uiPriority w:val="0"/>
    <w:rPr>
      <w:spacing w:val="360"/>
      <w:sz w:val="18"/>
      <w:szCs w:val="18"/>
      <w:u w:val="none"/>
    </w:rPr>
  </w:style>
  <w:style w:type="character" w:customStyle="1" w:styleId="1773">
    <w:name w:val="环评正文 Char"/>
    <w:qFormat/>
    <w:uiPriority w:val="0"/>
    <w:rPr>
      <w:rFonts w:ascii="仿宋_GB2312" w:hAnsi="Times New Roman" w:eastAsia="仿宋_GB2312" w:cs="Times New Roman"/>
      <w:kern w:val="2"/>
      <w:sz w:val="28"/>
      <w:szCs w:val="20"/>
      <w:lang w:val="en-US" w:eastAsia="zh-CN" w:bidi="ar-SA"/>
    </w:rPr>
  </w:style>
  <w:style w:type="paragraph" w:customStyle="1" w:styleId="1774">
    <w:name w:val="9 Char Char Char3"/>
    <w:basedOn w:val="1"/>
    <w:qFormat/>
    <w:uiPriority w:val="0"/>
    <w:pPr>
      <w:spacing w:line="240" w:lineRule="exact"/>
      <w:ind w:firstLine="200" w:firstLineChars="200"/>
    </w:pPr>
    <w:rPr>
      <w:sz w:val="28"/>
      <w:szCs w:val="28"/>
    </w:rPr>
  </w:style>
  <w:style w:type="paragraph" w:customStyle="1" w:styleId="1775">
    <w:name w:val="Char4 Char Char Char Char Char Char Char Char Char Char Char Char Char Char Char Char Char1 Char Char Char Char Char Char1 Char Char Char Char Char Char Char Char Char Char Char Char Char Char Char Char Char Char"/>
    <w:basedOn w:val="1"/>
    <w:qFormat/>
    <w:uiPriority w:val="0"/>
    <w:pPr>
      <w:spacing w:line="240" w:lineRule="exact"/>
      <w:ind w:firstLine="200" w:firstLineChars="200"/>
    </w:pPr>
    <w:rPr>
      <w:sz w:val="28"/>
      <w:szCs w:val="28"/>
    </w:rPr>
  </w:style>
  <w:style w:type="paragraph" w:customStyle="1" w:styleId="1776">
    <w:name w:val="Char4 Char Char Char Char Char Char Char Char Char Char Char Char Char Char Char Char Char1 Char Char Char"/>
    <w:basedOn w:val="1"/>
    <w:qFormat/>
    <w:uiPriority w:val="0"/>
    <w:pPr>
      <w:spacing w:line="240" w:lineRule="exact"/>
      <w:ind w:firstLine="200" w:firstLineChars="200"/>
    </w:pPr>
    <w:rPr>
      <w:sz w:val="28"/>
      <w:szCs w:val="28"/>
    </w:rPr>
  </w:style>
  <w:style w:type="paragraph" w:customStyle="1" w:styleId="1777">
    <w:name w:val="字元 字元1"/>
    <w:basedOn w:val="1"/>
    <w:qFormat/>
    <w:uiPriority w:val="0"/>
    <w:rPr>
      <w:sz w:val="24"/>
    </w:rPr>
  </w:style>
  <w:style w:type="paragraph" w:customStyle="1" w:styleId="1778">
    <w:name w:val="Char77"/>
    <w:basedOn w:val="1"/>
    <w:qFormat/>
    <w:uiPriority w:val="0"/>
    <w:rPr>
      <w:rFonts w:ascii="Arial" w:hAnsi="Arial" w:cs="Arial"/>
    </w:rPr>
  </w:style>
  <w:style w:type="paragraph" w:customStyle="1" w:styleId="1779">
    <w:name w:val="Char Char Char Char1 Char Char Char"/>
    <w:basedOn w:val="1"/>
    <w:qFormat/>
    <w:uiPriority w:val="0"/>
    <w:rPr>
      <w:sz w:val="24"/>
    </w:rPr>
  </w:style>
  <w:style w:type="paragraph" w:customStyle="1" w:styleId="1780">
    <w:name w:val="文字段落10"/>
    <w:basedOn w:val="1"/>
    <w:qFormat/>
    <w:uiPriority w:val="0"/>
    <w:pPr>
      <w:overflowPunct w:val="0"/>
      <w:autoSpaceDE w:val="0"/>
      <w:autoSpaceDN w:val="0"/>
      <w:adjustRightInd w:val="0"/>
      <w:snapToGrid w:val="0"/>
      <w:spacing w:before="50" w:after="50" w:line="360" w:lineRule="auto"/>
      <w:ind w:firstLine="200" w:firstLineChars="200"/>
      <w:textAlignment w:val="baseline"/>
    </w:pPr>
    <w:rPr>
      <w:sz w:val="28"/>
      <w:szCs w:val="20"/>
    </w:rPr>
  </w:style>
  <w:style w:type="paragraph" w:customStyle="1" w:styleId="1781">
    <w:name w:val="环正文"/>
    <w:basedOn w:val="1"/>
    <w:link w:val="2038"/>
    <w:qFormat/>
    <w:uiPriority w:val="0"/>
    <w:pPr>
      <w:widowControl/>
      <w:tabs>
        <w:tab w:val="left" w:pos="5094"/>
      </w:tabs>
      <w:adjustRightInd w:val="0"/>
      <w:spacing w:line="312" w:lineRule="atLeast"/>
      <w:ind w:firstLine="487" w:firstLineChars="232"/>
      <w:jc w:val="left"/>
      <w:textAlignment w:val="baseline"/>
    </w:pPr>
    <w:rPr>
      <w:rFonts w:hAnsi="宋体"/>
      <w:color w:val="FF0000"/>
      <w:kern w:val="0"/>
      <w:szCs w:val="20"/>
      <w:lang w:val="zh-CN"/>
    </w:rPr>
  </w:style>
  <w:style w:type="paragraph" w:customStyle="1" w:styleId="1782">
    <w:name w:val="Char Char Char3 Char Char Char Char Char Char Char Char Char Char Char Char Char Char Char Char Char Char Char Char Char4 Char"/>
    <w:basedOn w:val="1"/>
    <w:next w:val="1"/>
    <w:qFormat/>
    <w:uiPriority w:val="0"/>
    <w:pPr>
      <w:spacing w:line="360" w:lineRule="auto"/>
      <w:ind w:firstLine="200" w:firstLineChars="200"/>
    </w:pPr>
    <w:rPr>
      <w:rFonts w:ascii="宋体" w:hAnsi="宋体" w:cs="宋体"/>
      <w:sz w:val="24"/>
    </w:rPr>
  </w:style>
  <w:style w:type="paragraph" w:customStyle="1" w:styleId="1783">
    <w:name w:val="样式 标题 3 + 黑色 段前: 0行 段后: 0 行"/>
    <w:basedOn w:val="6"/>
    <w:qFormat/>
    <w:uiPriority w:val="0"/>
    <w:pPr>
      <w:tabs>
        <w:tab w:val="left" w:pos="1830"/>
      </w:tabs>
      <w:adjustRightInd w:val="0"/>
      <w:snapToGrid w:val="0"/>
      <w:spacing w:beforeLines="50" w:afterLines="50" w:line="312" w:lineRule="auto"/>
      <w:ind w:left="1830" w:hanging="420"/>
    </w:pPr>
    <w:rPr>
      <w:rFonts w:ascii="仿宋_GB2312" w:eastAsia="仿宋_GB2312"/>
      <w:b w:val="0"/>
      <w:bCs w:val="0"/>
      <w:color w:val="000000"/>
      <w:sz w:val="28"/>
      <w:szCs w:val="20"/>
    </w:rPr>
  </w:style>
  <w:style w:type="paragraph" w:customStyle="1" w:styleId="1784">
    <w:name w:val="正文王"/>
    <w:basedOn w:val="47"/>
    <w:qFormat/>
    <w:uiPriority w:val="0"/>
    <w:pPr>
      <w:spacing w:line="440" w:lineRule="exact"/>
    </w:pPr>
    <w:rPr>
      <w:rFonts w:ascii="Arial" w:hAnsi="Arial" w:cs="Times New Roman"/>
      <w:snapToGrid w:val="0"/>
      <w:kern w:val="0"/>
      <w:sz w:val="24"/>
      <w:szCs w:val="20"/>
    </w:rPr>
  </w:style>
  <w:style w:type="paragraph" w:customStyle="1" w:styleId="1785">
    <w:name w:val="T表格"/>
    <w:qFormat/>
    <w:uiPriority w:val="0"/>
    <w:pPr>
      <w:spacing w:line="300" w:lineRule="exact"/>
      <w:jc w:val="center"/>
    </w:pPr>
    <w:rPr>
      <w:rFonts w:ascii="Times New Roman" w:hAnsi="Times New Roman" w:eastAsia="宋体" w:cs="Times New Roman"/>
      <w:kern w:val="2"/>
      <w:sz w:val="21"/>
      <w:szCs w:val="21"/>
      <w:lang w:val="en-US" w:eastAsia="zh-CN" w:bidi="ar-SA"/>
    </w:rPr>
  </w:style>
  <w:style w:type="paragraph" w:customStyle="1" w:styleId="1786">
    <w:name w:val="表中字"/>
    <w:qFormat/>
    <w:uiPriority w:val="0"/>
    <w:pPr>
      <w:widowControl w:val="0"/>
      <w:adjustRightInd w:val="0"/>
      <w:snapToGrid w:val="0"/>
      <w:jc w:val="center"/>
    </w:pPr>
    <w:rPr>
      <w:rFonts w:ascii="Times New Roman" w:hAnsi="Times New Roman" w:eastAsia="宋体" w:cs="Times New Roman"/>
      <w:w w:val="90"/>
      <w:sz w:val="21"/>
      <w:lang w:val="en-US" w:eastAsia="zh-CN" w:bidi="ar-SA"/>
    </w:rPr>
  </w:style>
  <w:style w:type="paragraph" w:customStyle="1" w:styleId="1787">
    <w:name w:val="样式 标题 4 + 图案: 清除 (白色)1"/>
    <w:basedOn w:val="7"/>
    <w:qFormat/>
    <w:uiPriority w:val="0"/>
    <w:pPr>
      <w:tabs>
        <w:tab w:val="left" w:pos="980"/>
        <w:tab w:val="left" w:pos="1704"/>
      </w:tabs>
      <w:adjustRightInd w:val="0"/>
      <w:snapToGrid w:val="0"/>
      <w:spacing w:line="300" w:lineRule="auto"/>
      <w:ind w:left="1704" w:hanging="864"/>
      <w:jc w:val="left"/>
    </w:pPr>
    <w:rPr>
      <w:rFonts w:ascii="Arial Narrow" w:hAnsi="Arial Narrow"/>
      <w:bCs w:val="0"/>
      <w:kern w:val="0"/>
      <w:sz w:val="24"/>
      <w:szCs w:val="20"/>
      <w:shd w:val="clear" w:color="auto" w:fill="FFFFFF"/>
      <w:lang w:val="zh-CN"/>
    </w:rPr>
  </w:style>
  <w:style w:type="character" w:customStyle="1" w:styleId="1788">
    <w:name w:val="样式 标题 4 + 图案: 清除 (白色)1 Char"/>
    <w:qFormat/>
    <w:uiPriority w:val="0"/>
    <w:rPr>
      <w:rFonts w:ascii="Arial Narrow" w:hAnsi="Arial Narrow" w:eastAsia="仿宋_GB2312"/>
      <w:sz w:val="24"/>
      <w:shd w:val="clear" w:color="auto" w:fill="FFFFFF"/>
      <w:lang w:val="en-US" w:eastAsia="zh-CN" w:bidi="ar-SA"/>
    </w:rPr>
  </w:style>
  <w:style w:type="paragraph" w:customStyle="1" w:styleId="1789">
    <w:name w:val="样式 标题 1 + 段前: 1.5 行 段后: 1.5 行"/>
    <w:basedOn w:val="4"/>
    <w:qFormat/>
    <w:uiPriority w:val="0"/>
    <w:pPr>
      <w:tabs>
        <w:tab w:val="left" w:pos="432"/>
      </w:tabs>
      <w:adjustRightInd w:val="0"/>
      <w:snapToGrid w:val="0"/>
      <w:spacing w:beforeLines="100" w:afterLines="100" w:line="300" w:lineRule="auto"/>
      <w:ind w:left="431" w:hanging="431"/>
    </w:pPr>
    <w:rPr>
      <w:rFonts w:eastAsia="仿宋_GB2312" w:cs="宋体"/>
      <w:sz w:val="32"/>
      <w:szCs w:val="20"/>
    </w:rPr>
  </w:style>
  <w:style w:type="paragraph" w:customStyle="1" w:styleId="1790">
    <w:name w:val="表前文"/>
    <w:basedOn w:val="1"/>
    <w:qFormat/>
    <w:uiPriority w:val="0"/>
    <w:pPr>
      <w:adjustRightInd w:val="0"/>
      <w:spacing w:after="120" w:line="400" w:lineRule="exact"/>
      <w:textAlignment w:val="baseline"/>
    </w:pPr>
    <w:rPr>
      <w:rFonts w:ascii="宋体" w:hAnsi="宋体"/>
      <w:spacing w:val="8"/>
      <w:kern w:val="0"/>
      <w:szCs w:val="20"/>
    </w:rPr>
  </w:style>
  <w:style w:type="paragraph" w:customStyle="1" w:styleId="1791">
    <w:name w:val="抚顺项目章节标题"/>
    <w:basedOn w:val="1"/>
    <w:qFormat/>
    <w:uiPriority w:val="0"/>
    <w:pPr>
      <w:tabs>
        <w:tab w:val="left" w:pos="567"/>
      </w:tabs>
      <w:spacing w:line="360" w:lineRule="auto"/>
    </w:pPr>
    <w:rPr>
      <w:rFonts w:ascii="黑体" w:hAnsi="宋体" w:eastAsia="黑体"/>
      <w:sz w:val="24"/>
      <w:szCs w:val="20"/>
    </w:rPr>
  </w:style>
  <w:style w:type="paragraph" w:customStyle="1" w:styleId="1792">
    <w:name w:val="Char Char Char Char Char Char Char Char Char1 Char Char Char"/>
    <w:basedOn w:val="1"/>
    <w:qFormat/>
    <w:uiPriority w:val="0"/>
    <w:rPr>
      <w:szCs w:val="21"/>
    </w:rPr>
  </w:style>
  <w:style w:type="paragraph" w:customStyle="1" w:styleId="1793">
    <w:name w:val="主要条文"/>
    <w:basedOn w:val="1"/>
    <w:qFormat/>
    <w:uiPriority w:val="0"/>
    <w:pPr>
      <w:tabs>
        <w:tab w:val="left" w:pos="1260"/>
      </w:tabs>
      <w:ind w:left="1260" w:hanging="420"/>
    </w:pPr>
    <w:rPr>
      <w:sz w:val="24"/>
    </w:rPr>
  </w:style>
  <w:style w:type="paragraph" w:customStyle="1" w:styleId="1794">
    <w:name w:val="样式 标题 2mystyle2style2 + 四号 非加粗 居中 行距: 多倍行距 1.73 字行"/>
    <w:basedOn w:val="5"/>
    <w:qFormat/>
    <w:uiPriority w:val="0"/>
    <w:pPr>
      <w:tabs>
        <w:tab w:val="clear" w:pos="0"/>
        <w:tab w:val="clear" w:pos="567"/>
      </w:tabs>
      <w:spacing w:beforeLines="0" w:afterLines="0" w:line="415" w:lineRule="auto"/>
      <w:jc w:val="center"/>
    </w:pPr>
    <w:rPr>
      <w:rFonts w:ascii="Arial" w:hAnsi="Arial" w:eastAsia="黑体" w:cs="Century"/>
      <w:b w:val="0"/>
      <w:spacing w:val="0"/>
      <w:kern w:val="2"/>
      <w:sz w:val="30"/>
      <w:szCs w:val="20"/>
    </w:rPr>
  </w:style>
  <w:style w:type="paragraph" w:customStyle="1" w:styleId="1795">
    <w:name w:val="－列表"/>
    <w:basedOn w:val="67"/>
    <w:qFormat/>
    <w:uiPriority w:val="0"/>
    <w:pPr>
      <w:tabs>
        <w:tab w:val="left" w:pos="960"/>
      </w:tabs>
      <w:adjustRightInd w:val="0"/>
      <w:snapToGrid w:val="0"/>
      <w:spacing w:line="360" w:lineRule="atLeast"/>
      <w:jc w:val="both"/>
      <w:textAlignment w:val="baseline"/>
    </w:pPr>
    <w:rPr>
      <w:rFonts w:ascii="宋体" w:hAnsi="宋体" w:eastAsia="宋体"/>
      <w:snapToGrid w:val="0"/>
      <w:kern w:val="0"/>
      <w:sz w:val="22"/>
      <w:szCs w:val="22"/>
    </w:rPr>
  </w:style>
  <w:style w:type="paragraph" w:customStyle="1" w:styleId="1796">
    <w:name w:val="淮安正文样式 小四 行距: 1.5 倍行距 首行缩进:  2 字符"/>
    <w:basedOn w:val="1"/>
    <w:qFormat/>
    <w:uiPriority w:val="0"/>
    <w:pPr>
      <w:adjustRightInd w:val="0"/>
      <w:snapToGrid w:val="0"/>
      <w:spacing w:line="360" w:lineRule="auto"/>
      <w:ind w:firstLine="480" w:firstLineChars="200"/>
    </w:pPr>
    <w:rPr>
      <w:snapToGrid w:val="0"/>
      <w:kern w:val="0"/>
      <w:sz w:val="24"/>
      <w:szCs w:val="20"/>
    </w:rPr>
  </w:style>
  <w:style w:type="paragraph" w:customStyle="1" w:styleId="1797">
    <w:name w:val="正文新 Char"/>
    <w:basedOn w:val="1"/>
    <w:qFormat/>
    <w:uiPriority w:val="0"/>
    <w:pPr>
      <w:spacing w:line="360" w:lineRule="auto"/>
      <w:ind w:firstLine="480" w:firstLineChars="200"/>
    </w:pPr>
    <w:rPr>
      <w:sz w:val="24"/>
      <w:szCs w:val="20"/>
    </w:rPr>
  </w:style>
  <w:style w:type="paragraph" w:customStyle="1" w:styleId="1798">
    <w:name w:val="正文首行缩进 Char Char"/>
    <w:basedOn w:val="1"/>
    <w:qFormat/>
    <w:uiPriority w:val="0"/>
    <w:pPr>
      <w:spacing w:line="606" w:lineRule="atLeast"/>
      <w:ind w:firstLine="538"/>
    </w:pPr>
    <w:rPr>
      <w:rFonts w:hint="eastAsia"/>
      <w:sz w:val="24"/>
      <w:szCs w:val="20"/>
    </w:rPr>
  </w:style>
  <w:style w:type="paragraph" w:customStyle="1" w:styleId="1799">
    <w:name w:val="我的 标题 3条标题1.1.1标题 3 Char Char小标题头小节标题标题 3 Char Char Char标... Char"/>
    <w:basedOn w:val="6"/>
    <w:link w:val="1800"/>
    <w:qFormat/>
    <w:uiPriority w:val="0"/>
    <w:pPr>
      <w:adjustRightInd w:val="0"/>
      <w:snapToGrid w:val="0"/>
      <w:spacing w:before="0" w:after="0" w:line="360" w:lineRule="auto"/>
      <w:textAlignment w:val="baseline"/>
    </w:pPr>
    <w:rPr>
      <w:rFonts w:eastAsia="黑体"/>
      <w:b w:val="0"/>
      <w:snapToGrid w:val="0"/>
      <w:sz w:val="28"/>
      <w:szCs w:val="28"/>
      <w:lang w:val="zh-CN"/>
    </w:rPr>
  </w:style>
  <w:style w:type="character" w:customStyle="1" w:styleId="1800">
    <w:name w:val="我的 标题 3条标题1.1.1标题 3 Char Char小标题头小节标题标题 3 Char Char Char标... Char Char"/>
    <w:link w:val="1799"/>
    <w:qFormat/>
    <w:uiPriority w:val="0"/>
    <w:rPr>
      <w:rFonts w:eastAsia="黑体"/>
      <w:bCs/>
      <w:snapToGrid w:val="0"/>
      <w:kern w:val="2"/>
      <w:sz w:val="28"/>
      <w:szCs w:val="28"/>
      <w:lang w:val="zh-CN" w:eastAsia="zh-CN"/>
    </w:rPr>
  </w:style>
  <w:style w:type="paragraph" w:customStyle="1" w:styleId="1801">
    <w:name w:val="表X"/>
    <w:basedOn w:val="47"/>
    <w:qFormat/>
    <w:uiPriority w:val="0"/>
    <w:pPr>
      <w:keepNext/>
      <w:tabs>
        <w:tab w:val="left" w:pos="1200"/>
      </w:tabs>
      <w:adjustRightInd w:val="0"/>
      <w:spacing w:before="240"/>
      <w:ind w:left="1200" w:hanging="360"/>
      <w:jc w:val="left"/>
      <w:outlineLvl w:val="8"/>
    </w:pPr>
    <w:rPr>
      <w:rFonts w:ascii="Courier New" w:cs="Times New Roman"/>
      <w:sz w:val="28"/>
      <w:szCs w:val="20"/>
    </w:rPr>
  </w:style>
  <w:style w:type="paragraph" w:customStyle="1" w:styleId="1802">
    <w:name w:val="样式 样式 正文缩进正文（首行缩进两字）文本条款 + 段前: 0.4 行 + 非加粗"/>
    <w:basedOn w:val="1803"/>
    <w:qFormat/>
    <w:uiPriority w:val="0"/>
    <w:pPr>
      <w:ind w:left="-7" w:firstLine="567"/>
    </w:pPr>
    <w:rPr>
      <w:rFonts w:eastAsia="宋体"/>
      <w:b w:val="0"/>
      <w:sz w:val="24"/>
      <w:szCs w:val="24"/>
    </w:rPr>
  </w:style>
  <w:style w:type="paragraph" w:customStyle="1" w:styleId="1803">
    <w:name w:val="样式 正文缩进正文（首行缩进两字）文本条款 + 段前: 0.4 行"/>
    <w:basedOn w:val="22"/>
    <w:qFormat/>
    <w:uiPriority w:val="0"/>
    <w:pPr>
      <w:spacing w:beforeLines="30" w:line="288" w:lineRule="auto"/>
      <w:ind w:firstLine="0" w:firstLineChars="0"/>
      <w:outlineLvl w:val="6"/>
    </w:pPr>
    <w:rPr>
      <w:rFonts w:eastAsia="黑体"/>
      <w:b/>
      <w:sz w:val="28"/>
      <w:szCs w:val="20"/>
    </w:rPr>
  </w:style>
  <w:style w:type="paragraph" w:customStyle="1" w:styleId="1804">
    <w:name w:val="样式 文本123 + 段前: 0.2 行1"/>
    <w:basedOn w:val="1704"/>
    <w:qFormat/>
    <w:uiPriority w:val="0"/>
    <w:pPr>
      <w:tabs>
        <w:tab w:val="left" w:pos="3360"/>
        <w:tab w:val="clear" w:pos="425"/>
      </w:tabs>
      <w:snapToGrid w:val="0"/>
      <w:spacing w:beforeLines="20" w:line="480" w:lineRule="exact"/>
      <w:ind w:left="0" w:firstLine="510"/>
    </w:pPr>
  </w:style>
  <w:style w:type="character" w:customStyle="1" w:styleId="1805">
    <w:name w:val="默认段落字体 Char"/>
    <w:qFormat/>
    <w:uiPriority w:val="0"/>
    <w:rPr>
      <w:rFonts w:hint="eastAsia"/>
      <w:color w:val="000000"/>
      <w:sz w:val="21"/>
      <w:u w:color="000000"/>
      <w:lang w:val="en-US" w:eastAsia="zh-CN"/>
    </w:rPr>
  </w:style>
  <w:style w:type="paragraph" w:customStyle="1" w:styleId="1806">
    <w:name w:val="表头1"/>
    <w:basedOn w:val="47"/>
    <w:qFormat/>
    <w:uiPriority w:val="0"/>
    <w:pPr>
      <w:adjustRightInd w:val="0"/>
      <w:spacing w:before="120"/>
      <w:jc w:val="center"/>
      <w:textAlignment w:val="baseline"/>
    </w:pPr>
    <w:rPr>
      <w:rFonts w:ascii="Times New Roman" w:hAnsi="Times New Roman" w:cs="Times New Roman"/>
      <w:color w:val="000000"/>
      <w:kern w:val="0"/>
      <w:sz w:val="24"/>
      <w:szCs w:val="20"/>
    </w:rPr>
  </w:style>
  <w:style w:type="paragraph" w:customStyle="1" w:styleId="1807">
    <w:name w:val="gy"/>
    <w:basedOn w:val="1"/>
    <w:qFormat/>
    <w:uiPriority w:val="0"/>
    <w:pPr>
      <w:widowControl/>
      <w:spacing w:before="100" w:beforeAutospacing="1" w:after="100" w:afterAutospacing="1" w:line="360" w:lineRule="auto"/>
      <w:ind w:left="150" w:right="150" w:firstLine="520"/>
      <w:jc w:val="left"/>
    </w:pPr>
    <w:rPr>
      <w:rFonts w:ascii="Arial Unicode MS" w:hAnsi="Arial Unicode MS" w:eastAsia="Arial Unicode MS"/>
      <w:kern w:val="0"/>
      <w:sz w:val="18"/>
      <w:szCs w:val="20"/>
    </w:rPr>
  </w:style>
  <w:style w:type="paragraph" w:customStyle="1" w:styleId="1808">
    <w:name w:val="样式 纯文本普通文字 + Times New Roman 小四 两端对齐 行距: 1.5 倍行距"/>
    <w:basedOn w:val="47"/>
    <w:qFormat/>
    <w:uiPriority w:val="0"/>
    <w:pPr>
      <w:widowControl/>
      <w:spacing w:line="360" w:lineRule="auto"/>
      <w:ind w:firstLine="480" w:firstLineChars="200"/>
    </w:pPr>
    <w:rPr>
      <w:rFonts w:ascii="Times New Roman" w:hAnsi="Times New Roman" w:cs="宋体"/>
      <w:sz w:val="24"/>
      <w:szCs w:val="20"/>
    </w:rPr>
  </w:style>
  <w:style w:type="paragraph" w:customStyle="1" w:styleId="1809">
    <w:name w:val="我的 标题 1.."/>
    <w:basedOn w:val="4"/>
    <w:qFormat/>
    <w:uiPriority w:val="0"/>
    <w:pPr>
      <w:keepLines w:val="0"/>
      <w:snapToGrid w:val="0"/>
      <w:spacing w:before="0" w:after="0" w:line="360" w:lineRule="auto"/>
    </w:pPr>
    <w:rPr>
      <w:rFonts w:eastAsia="黑体"/>
      <w:b w:val="0"/>
      <w:bCs w:val="0"/>
      <w:kern w:val="2"/>
      <w:sz w:val="36"/>
      <w:szCs w:val="20"/>
    </w:rPr>
  </w:style>
  <w:style w:type="paragraph" w:customStyle="1" w:styleId="1810">
    <w:name w:val="节标题"/>
    <w:basedOn w:val="1"/>
    <w:next w:val="1"/>
    <w:qFormat/>
    <w:uiPriority w:val="0"/>
    <w:pPr>
      <w:snapToGrid w:val="0"/>
      <w:spacing w:line="360" w:lineRule="auto"/>
      <w:jc w:val="left"/>
    </w:pPr>
    <w:rPr>
      <w:rFonts w:hint="eastAsia" w:hAnsi="黑体" w:eastAsia="黑体"/>
      <w:sz w:val="28"/>
      <w:szCs w:val="20"/>
    </w:rPr>
  </w:style>
  <w:style w:type="paragraph" w:customStyle="1" w:styleId="1811">
    <w:name w:val="样式 样式 首行缩进:  2 字符1 + 首行缩进:  2 字符 段前: 0.2 行"/>
    <w:basedOn w:val="1"/>
    <w:qFormat/>
    <w:uiPriority w:val="0"/>
    <w:pPr>
      <w:spacing w:line="440" w:lineRule="exact"/>
      <w:ind w:firstLine="200" w:firstLineChars="200"/>
    </w:pPr>
    <w:rPr>
      <w:sz w:val="24"/>
      <w:szCs w:val="20"/>
    </w:rPr>
  </w:style>
  <w:style w:type="paragraph" w:customStyle="1" w:styleId="1812">
    <w:name w:val="样式 标题 4 + 四号 段前: 1 行"/>
    <w:basedOn w:val="7"/>
    <w:qFormat/>
    <w:uiPriority w:val="0"/>
    <w:pPr>
      <w:widowControl/>
      <w:tabs>
        <w:tab w:val="left" w:pos="1680"/>
      </w:tabs>
      <w:spacing w:beforeLines="100" w:line="420" w:lineRule="exact"/>
      <w:ind w:left="560"/>
    </w:pPr>
    <w:rPr>
      <w:rFonts w:ascii="Arial" w:eastAsia="黑体"/>
      <w:bCs w:val="0"/>
      <w:kern w:val="0"/>
      <w:szCs w:val="20"/>
      <w:lang w:val="zh-CN"/>
    </w:rPr>
  </w:style>
  <w:style w:type="paragraph" w:customStyle="1" w:styleId="1813">
    <w:name w:val="文本123-II"/>
    <w:basedOn w:val="7"/>
    <w:qFormat/>
    <w:uiPriority w:val="0"/>
    <w:pPr>
      <w:keepNext w:val="0"/>
      <w:keepLines w:val="0"/>
      <w:tabs>
        <w:tab w:val="left" w:pos="1584"/>
      </w:tabs>
      <w:spacing w:beforeLines="50" w:line="240" w:lineRule="auto"/>
      <w:ind w:left="1584" w:hanging="1584"/>
    </w:pPr>
    <w:rPr>
      <w:rFonts w:ascii="Times New Roman" w:hAnsi="Times New Roman" w:eastAsia="宋体"/>
      <w:bCs w:val="0"/>
      <w:sz w:val="24"/>
      <w:szCs w:val="24"/>
      <w:lang w:val="zh-CN"/>
    </w:rPr>
  </w:style>
  <w:style w:type="paragraph" w:customStyle="1" w:styleId="1814">
    <w:name w:val="样式 表标题 + 段前: 0.5 行1"/>
    <w:basedOn w:val="162"/>
    <w:qFormat/>
    <w:uiPriority w:val="0"/>
    <w:pPr>
      <w:tabs>
        <w:tab w:val="left" w:pos="4318"/>
      </w:tabs>
      <w:adjustRightInd w:val="0"/>
      <w:snapToGrid w:val="0"/>
      <w:spacing w:beforeLines="50" w:line="480" w:lineRule="exact"/>
      <w:ind w:firstLine="0" w:firstLineChars="0"/>
    </w:pPr>
    <w:rPr>
      <w:rFonts w:ascii="Times New Roman" w:eastAsia="黑体"/>
      <w:b w:val="0"/>
      <w:bCs w:val="0"/>
      <w:sz w:val="28"/>
      <w:szCs w:val="20"/>
    </w:rPr>
  </w:style>
  <w:style w:type="paragraph" w:customStyle="1" w:styleId="1815">
    <w:name w:val="样式 宋体 首行缩进:  2 字符 行距: 1.5 倍行距"/>
    <w:basedOn w:val="1"/>
    <w:qFormat/>
    <w:uiPriority w:val="0"/>
    <w:pPr>
      <w:spacing w:line="360" w:lineRule="auto"/>
      <w:ind w:firstLine="480" w:firstLineChars="200"/>
    </w:pPr>
    <w:rPr>
      <w:sz w:val="24"/>
    </w:rPr>
  </w:style>
  <w:style w:type="paragraph" w:customStyle="1" w:styleId="1816">
    <w:name w:val="项目符号1"/>
    <w:basedOn w:val="1"/>
    <w:qFormat/>
    <w:uiPriority w:val="0"/>
    <w:pPr>
      <w:tabs>
        <w:tab w:val="left" w:pos="1320"/>
      </w:tabs>
      <w:overflowPunct w:val="0"/>
      <w:snapToGrid w:val="0"/>
      <w:spacing w:line="480" w:lineRule="exact"/>
      <w:ind w:left="435" w:hanging="285"/>
    </w:pPr>
    <w:rPr>
      <w:rFonts w:ascii="Arial" w:hAnsi="Arial" w:eastAsia="仿宋_GB2312"/>
      <w:sz w:val="28"/>
      <w:szCs w:val="20"/>
    </w:rPr>
  </w:style>
  <w:style w:type="paragraph" w:customStyle="1" w:styleId="1817">
    <w:name w:val="大标题"/>
    <w:basedOn w:val="4"/>
    <w:qFormat/>
    <w:uiPriority w:val="0"/>
    <w:pPr>
      <w:tabs>
        <w:tab w:val="left" w:pos="8640"/>
      </w:tabs>
      <w:spacing w:before="0" w:afterLines="100" w:line="480" w:lineRule="auto"/>
      <w:ind w:firstLine="200" w:firstLineChars="200"/>
      <w:jc w:val="center"/>
    </w:pPr>
    <w:rPr>
      <w:color w:val="000000"/>
    </w:rPr>
  </w:style>
  <w:style w:type="paragraph" w:customStyle="1" w:styleId="1818">
    <w:name w:val="my1"/>
    <w:basedOn w:val="60"/>
    <w:qFormat/>
    <w:uiPriority w:val="0"/>
    <w:pPr>
      <w:tabs>
        <w:tab w:val="left" w:pos="360"/>
        <w:tab w:val="clear" w:pos="284"/>
        <w:tab w:val="clear" w:pos="630"/>
        <w:tab w:val="clear" w:pos="8302"/>
      </w:tabs>
      <w:snapToGrid/>
      <w:spacing w:line="300" w:lineRule="auto"/>
      <w:ind w:left="360" w:hanging="360" w:hangingChars="200"/>
      <w:jc w:val="left"/>
    </w:pPr>
    <w:rPr>
      <w:rFonts w:eastAsia="宋体"/>
      <w:bCs w:val="0"/>
      <w:sz w:val="20"/>
      <w:szCs w:val="20"/>
    </w:rPr>
  </w:style>
  <w:style w:type="paragraph" w:customStyle="1" w:styleId="1819">
    <w:name w:val="样式 样式 宋体 小四 行距: 1.5 倍行距 + 首行缩进:  2 字符 段前: 7.8 磅 段后: 7.8 磅"/>
    <w:basedOn w:val="1"/>
    <w:qFormat/>
    <w:uiPriority w:val="0"/>
    <w:pPr>
      <w:snapToGrid w:val="0"/>
      <w:spacing w:beforeLines="50" w:afterLines="50" w:line="360" w:lineRule="auto"/>
      <w:ind w:firstLine="200" w:firstLineChars="200"/>
      <w:jc w:val="left"/>
    </w:pPr>
    <w:rPr>
      <w:rFonts w:ascii="宋体" w:hAnsi="宋体"/>
      <w:sz w:val="24"/>
      <w:szCs w:val="20"/>
    </w:rPr>
  </w:style>
  <w:style w:type="paragraph" w:customStyle="1" w:styleId="1820">
    <w:name w:val="Table Title Char1 Char"/>
    <w:basedOn w:val="1"/>
    <w:qFormat/>
    <w:uiPriority w:val="0"/>
    <w:pPr>
      <w:widowControl/>
      <w:snapToGrid w:val="0"/>
      <w:spacing w:beforeLines="50" w:afterLines="50" w:line="400" w:lineRule="exact"/>
      <w:jc w:val="center"/>
    </w:pPr>
    <w:rPr>
      <w:sz w:val="24"/>
      <w:lang w:eastAsia="en-US"/>
    </w:rPr>
  </w:style>
  <w:style w:type="paragraph" w:customStyle="1" w:styleId="1821">
    <w:name w:val="目录 7 Char Char"/>
    <w:basedOn w:val="1"/>
    <w:next w:val="1"/>
    <w:qFormat/>
    <w:uiPriority w:val="0"/>
    <w:pPr>
      <w:spacing w:line="351" w:lineRule="atLeast"/>
      <w:ind w:left="1258" w:firstLine="419"/>
      <w:jc w:val="left"/>
    </w:pPr>
    <w:rPr>
      <w:rFonts w:hint="eastAsia"/>
      <w:szCs w:val="20"/>
    </w:rPr>
  </w:style>
  <w:style w:type="paragraph" w:customStyle="1" w:styleId="1822">
    <w:name w:val="正文楷体"/>
    <w:basedOn w:val="1"/>
    <w:qFormat/>
    <w:uiPriority w:val="0"/>
    <w:rPr>
      <w:rFonts w:eastAsia="楷体_GB2312"/>
    </w:rPr>
  </w:style>
  <w:style w:type="paragraph" w:customStyle="1" w:styleId="1823">
    <w:name w:val="a3"/>
    <w:basedOn w:val="1"/>
    <w:qFormat/>
    <w:uiPriority w:val="0"/>
    <w:pPr>
      <w:widowControl/>
      <w:spacing w:before="100" w:beforeAutospacing="1" w:after="100" w:afterAutospacing="1" w:line="425" w:lineRule="atLeast"/>
      <w:jc w:val="left"/>
      <w:textAlignment w:val="baseline"/>
    </w:pPr>
    <w:rPr>
      <w:rFonts w:ascii="宋体" w:hAnsi="宋体"/>
      <w:color w:val="000000"/>
      <w:kern w:val="0"/>
      <w:sz w:val="24"/>
      <w:szCs w:val="20"/>
      <w:u w:color="000000"/>
    </w:rPr>
  </w:style>
  <w:style w:type="paragraph" w:customStyle="1" w:styleId="1824">
    <w:name w:val="正文aa"/>
    <w:basedOn w:val="1"/>
    <w:qFormat/>
    <w:uiPriority w:val="0"/>
    <w:pPr>
      <w:spacing w:line="360" w:lineRule="auto"/>
      <w:ind w:firstLine="200" w:firstLineChars="200"/>
    </w:pPr>
    <w:rPr>
      <w:sz w:val="24"/>
    </w:rPr>
  </w:style>
  <w:style w:type="paragraph" w:customStyle="1" w:styleId="1825">
    <w:name w:val="默认段落字体 Para Char Char Char1 Char Char Char Char"/>
    <w:basedOn w:val="1"/>
    <w:qFormat/>
    <w:uiPriority w:val="0"/>
    <w:rPr>
      <w:sz w:val="24"/>
    </w:rPr>
  </w:style>
  <w:style w:type="character" w:customStyle="1" w:styleId="1826">
    <w:name w:val="样式7 Char"/>
    <w:qFormat/>
    <w:uiPriority w:val="0"/>
    <w:rPr>
      <w:rFonts w:eastAsia="楷体_GB2312"/>
      <w:b/>
      <w:w w:val="95"/>
      <w:kern w:val="28"/>
      <w:sz w:val="36"/>
      <w:lang w:val="en-US" w:eastAsia="zh-CN" w:bidi="ar-SA"/>
    </w:rPr>
  </w:style>
  <w:style w:type="character" w:customStyle="1" w:styleId="1827">
    <w:name w:val="3zw1"/>
    <w:qFormat/>
    <w:uiPriority w:val="0"/>
    <w:rPr>
      <w:color w:val="000000"/>
      <w:spacing w:val="360"/>
      <w:sz w:val="21"/>
      <w:szCs w:val="21"/>
    </w:rPr>
  </w:style>
  <w:style w:type="paragraph" w:customStyle="1" w:styleId="1828">
    <w:name w:val="MG"/>
    <w:basedOn w:val="4"/>
    <w:qFormat/>
    <w:uiPriority w:val="0"/>
    <w:pPr>
      <w:keepNext w:val="0"/>
      <w:keepLines w:val="0"/>
      <w:widowControl/>
      <w:tabs>
        <w:tab w:val="left" w:pos="2260"/>
        <w:tab w:val="left" w:pos="2820"/>
        <w:tab w:val="left" w:pos="3420"/>
      </w:tabs>
      <w:adjustRightInd w:val="0"/>
      <w:snapToGrid w:val="0"/>
      <w:spacing w:before="0" w:after="0" w:line="240" w:lineRule="auto"/>
      <w:ind w:left="851" w:right="-28" w:hanging="851"/>
    </w:pPr>
    <w:rPr>
      <w:rFonts w:ascii="Arial"/>
      <w:b w:val="0"/>
      <w:bCs w:val="0"/>
      <w:kern w:val="0"/>
      <w:sz w:val="22"/>
      <w:szCs w:val="20"/>
      <w:lang w:val="en-GB"/>
    </w:rPr>
  </w:style>
  <w:style w:type="paragraph" w:customStyle="1" w:styleId="1829">
    <w:name w:val="GM"/>
    <w:basedOn w:val="4"/>
    <w:qFormat/>
    <w:uiPriority w:val="0"/>
    <w:pPr>
      <w:keepNext w:val="0"/>
      <w:keepLines w:val="0"/>
      <w:widowControl/>
      <w:tabs>
        <w:tab w:val="left" w:pos="2260"/>
        <w:tab w:val="left" w:pos="2820"/>
        <w:tab w:val="left" w:pos="3420"/>
      </w:tabs>
      <w:adjustRightInd w:val="0"/>
      <w:snapToGrid w:val="0"/>
      <w:spacing w:before="0" w:after="0" w:line="240" w:lineRule="auto"/>
      <w:ind w:left="851" w:right="-28" w:hanging="851"/>
    </w:pPr>
    <w:rPr>
      <w:rFonts w:ascii="Arial"/>
      <w:b w:val="0"/>
      <w:bCs w:val="0"/>
      <w:kern w:val="0"/>
      <w:sz w:val="22"/>
      <w:szCs w:val="20"/>
      <w:lang w:val="en-GB"/>
    </w:rPr>
  </w:style>
  <w:style w:type="paragraph" w:customStyle="1" w:styleId="1830">
    <w:name w:val="puce"/>
    <w:basedOn w:val="1"/>
    <w:qFormat/>
    <w:uiPriority w:val="0"/>
    <w:pPr>
      <w:widowControl/>
      <w:tabs>
        <w:tab w:val="left" w:pos="720"/>
        <w:tab w:val="left" w:pos="1200"/>
      </w:tabs>
      <w:adjustRightInd w:val="0"/>
      <w:snapToGrid w:val="0"/>
      <w:spacing w:before="120" w:line="300" w:lineRule="auto"/>
      <w:ind w:left="1200" w:hanging="480"/>
    </w:pPr>
    <w:rPr>
      <w:rFonts w:ascii="Arial" w:hAnsi="Arial"/>
      <w:kern w:val="0"/>
      <w:sz w:val="24"/>
      <w:szCs w:val="20"/>
    </w:rPr>
  </w:style>
  <w:style w:type="paragraph" w:customStyle="1" w:styleId="1831">
    <w:name w:val="ENUM"/>
    <w:basedOn w:val="1"/>
    <w:qFormat/>
    <w:uiPriority w:val="0"/>
    <w:pPr>
      <w:widowControl/>
      <w:tabs>
        <w:tab w:val="left" w:pos="1320"/>
        <w:tab w:val="left" w:pos="1418"/>
      </w:tabs>
      <w:spacing w:before="60" w:after="60"/>
      <w:ind w:left="1418" w:hanging="284" w:firstLineChars="200"/>
    </w:pPr>
    <w:rPr>
      <w:rFonts w:ascii="Arial" w:hAnsi="Arial"/>
      <w:kern w:val="0"/>
      <w:sz w:val="22"/>
      <w:szCs w:val="20"/>
      <w:lang w:val="en-GB"/>
    </w:rPr>
  </w:style>
  <w:style w:type="character" w:customStyle="1" w:styleId="1832">
    <w:name w:val="style81"/>
    <w:qFormat/>
    <w:uiPriority w:val="0"/>
    <w:rPr>
      <w:sz w:val="24"/>
      <w:szCs w:val="24"/>
    </w:rPr>
  </w:style>
  <w:style w:type="character" w:customStyle="1" w:styleId="1833">
    <w:name w:val="normal1"/>
    <w:qFormat/>
    <w:uiPriority w:val="0"/>
    <w:rPr>
      <w:rFonts w:hint="default" w:ascii="Arial" w:hAnsi="Arial" w:cs="Arial"/>
      <w:color w:val="555555"/>
      <w:sz w:val="19"/>
      <w:szCs w:val="19"/>
    </w:rPr>
  </w:style>
  <w:style w:type="paragraph" w:customStyle="1" w:styleId="1834">
    <w:name w:val="首页页眉样式"/>
    <w:basedOn w:val="1"/>
    <w:qFormat/>
    <w:uiPriority w:val="0"/>
    <w:pPr>
      <w:snapToGrid w:val="0"/>
      <w:spacing w:line="240" w:lineRule="atLeast"/>
      <w:jc w:val="center"/>
    </w:pPr>
    <w:rPr>
      <w:rFonts w:ascii="宋体" w:hAnsi="宋体" w:eastAsia="仿宋_GB2312"/>
      <w:b/>
      <w:kern w:val="0"/>
      <w:szCs w:val="20"/>
    </w:rPr>
  </w:style>
  <w:style w:type="paragraph" w:customStyle="1" w:styleId="1835">
    <w:name w:val="标题01"/>
    <w:basedOn w:val="1"/>
    <w:qFormat/>
    <w:uiPriority w:val="0"/>
    <w:pPr>
      <w:spacing w:after="120" w:line="460" w:lineRule="atLeast"/>
      <w:ind w:firstLine="480"/>
      <w:jc w:val="center"/>
      <w:outlineLvl w:val="0"/>
    </w:pPr>
    <w:rPr>
      <w:b/>
      <w:sz w:val="30"/>
      <w:szCs w:val="20"/>
    </w:rPr>
  </w:style>
  <w:style w:type="paragraph" w:customStyle="1" w:styleId="1836">
    <w:name w:val="样式 四号 首行缩进:  2 字符"/>
    <w:basedOn w:val="1"/>
    <w:qFormat/>
    <w:uiPriority w:val="0"/>
    <w:pPr>
      <w:spacing w:line="480" w:lineRule="atLeast"/>
      <w:ind w:firstLine="200" w:firstLineChars="200"/>
    </w:pPr>
    <w:rPr>
      <w:sz w:val="24"/>
    </w:rPr>
  </w:style>
  <w:style w:type="paragraph" w:customStyle="1" w:styleId="1837">
    <w:name w:val="样式 四号 黑色 首行缩进:  2 字符"/>
    <w:basedOn w:val="1"/>
    <w:qFormat/>
    <w:uiPriority w:val="0"/>
    <w:pPr>
      <w:spacing w:line="480" w:lineRule="atLeast"/>
      <w:ind w:firstLine="200" w:firstLineChars="200"/>
    </w:pPr>
    <w:rPr>
      <w:color w:val="000000"/>
      <w:sz w:val="24"/>
    </w:rPr>
  </w:style>
  <w:style w:type="paragraph" w:customStyle="1" w:styleId="1838">
    <w:name w:val="样式 标题 2 + 首行缩进:  2 字符"/>
    <w:basedOn w:val="5"/>
    <w:qFormat/>
    <w:uiPriority w:val="0"/>
    <w:pPr>
      <w:tabs>
        <w:tab w:val="clear" w:pos="0"/>
        <w:tab w:val="clear" w:pos="567"/>
      </w:tabs>
      <w:spacing w:beforeLines="0" w:afterLines="0" w:line="240" w:lineRule="auto"/>
    </w:pPr>
    <w:rPr>
      <w:rFonts w:ascii="Arial" w:hAnsi="Arial" w:eastAsia="黑体"/>
      <w:bCs/>
      <w:spacing w:val="0"/>
      <w:kern w:val="2"/>
      <w:sz w:val="32"/>
      <w:szCs w:val="20"/>
    </w:rPr>
  </w:style>
  <w:style w:type="paragraph" w:customStyle="1" w:styleId="1839">
    <w:name w:val="样式 居中"/>
    <w:basedOn w:val="1"/>
    <w:qFormat/>
    <w:uiPriority w:val="0"/>
    <w:pPr>
      <w:adjustRightInd w:val="0"/>
      <w:snapToGrid w:val="0"/>
      <w:spacing w:line="440" w:lineRule="atLeast"/>
      <w:ind w:firstLine="200" w:firstLineChars="200"/>
      <w:jc w:val="center"/>
    </w:pPr>
    <w:rPr>
      <w:rFonts w:cs="宋体"/>
      <w:sz w:val="24"/>
      <w:szCs w:val="20"/>
    </w:rPr>
  </w:style>
  <w:style w:type="paragraph" w:customStyle="1" w:styleId="1840">
    <w:name w:val="热电厂正文 Char Char Char Char"/>
    <w:basedOn w:val="1"/>
    <w:link w:val="1841"/>
    <w:qFormat/>
    <w:uiPriority w:val="0"/>
    <w:pPr>
      <w:spacing w:line="440" w:lineRule="exact"/>
      <w:ind w:firstLine="480" w:firstLineChars="200"/>
    </w:pPr>
    <w:rPr>
      <w:sz w:val="24"/>
      <w:lang w:val="zh-CN"/>
    </w:rPr>
  </w:style>
  <w:style w:type="character" w:customStyle="1" w:styleId="1841">
    <w:name w:val="热电厂正文 Char Char Char Char Char"/>
    <w:link w:val="1840"/>
    <w:qFormat/>
    <w:uiPriority w:val="0"/>
    <w:rPr>
      <w:kern w:val="2"/>
      <w:sz w:val="24"/>
      <w:szCs w:val="24"/>
      <w:lang w:val="zh-CN" w:eastAsia="zh-CN"/>
    </w:rPr>
  </w:style>
  <w:style w:type="paragraph" w:customStyle="1" w:styleId="1842">
    <w:name w:val="热电厂正文 Char Char"/>
    <w:basedOn w:val="1"/>
    <w:qFormat/>
    <w:uiPriority w:val="0"/>
    <w:pPr>
      <w:spacing w:line="440" w:lineRule="exact"/>
      <w:ind w:firstLine="480" w:firstLineChars="200"/>
    </w:pPr>
    <w:rPr>
      <w:sz w:val="24"/>
    </w:rPr>
  </w:style>
  <w:style w:type="paragraph" w:customStyle="1" w:styleId="1843">
    <w:name w:val="热电厂正文 Char"/>
    <w:basedOn w:val="1"/>
    <w:qFormat/>
    <w:uiPriority w:val="0"/>
    <w:pPr>
      <w:spacing w:line="440" w:lineRule="exact"/>
      <w:ind w:firstLine="480" w:firstLineChars="200"/>
    </w:pPr>
    <w:rPr>
      <w:sz w:val="24"/>
    </w:rPr>
  </w:style>
  <w:style w:type="paragraph" w:customStyle="1" w:styleId="1844">
    <w:name w:val="节标"/>
    <w:basedOn w:val="1"/>
    <w:qFormat/>
    <w:uiPriority w:val="0"/>
    <w:pPr>
      <w:widowControl/>
      <w:autoSpaceDE w:val="0"/>
      <w:autoSpaceDN w:val="0"/>
      <w:adjustRightInd w:val="0"/>
      <w:spacing w:line="480" w:lineRule="exact"/>
      <w:ind w:firstLine="567"/>
      <w:jc w:val="center"/>
      <w:textAlignment w:val="bottom"/>
    </w:pPr>
    <w:rPr>
      <w:b/>
      <w:kern w:val="0"/>
      <w:sz w:val="30"/>
      <w:szCs w:val="20"/>
    </w:rPr>
  </w:style>
  <w:style w:type="paragraph" w:customStyle="1" w:styleId="1845">
    <w:name w:val="段标"/>
    <w:basedOn w:val="1"/>
    <w:qFormat/>
    <w:uiPriority w:val="0"/>
    <w:pPr>
      <w:adjustRightInd w:val="0"/>
      <w:spacing w:line="360" w:lineRule="auto"/>
      <w:ind w:firstLine="567"/>
      <w:jc w:val="left"/>
      <w:textAlignment w:val="baseline"/>
    </w:pPr>
    <w:rPr>
      <w:kern w:val="0"/>
      <w:sz w:val="28"/>
      <w:szCs w:val="20"/>
    </w:rPr>
  </w:style>
  <w:style w:type="paragraph" w:customStyle="1" w:styleId="1846">
    <w:name w:val="In Table"/>
    <w:basedOn w:val="1"/>
    <w:qFormat/>
    <w:uiPriority w:val="0"/>
    <w:pPr>
      <w:tabs>
        <w:tab w:val="left" w:pos="2200"/>
        <w:tab w:val="left" w:pos="3960"/>
        <w:tab w:val="left" w:pos="5280"/>
      </w:tabs>
      <w:spacing w:before="96" w:after="96" w:line="0" w:lineRule="atLeast"/>
      <w:jc w:val="center"/>
    </w:pPr>
    <w:rPr>
      <w:rFonts w:ascii="Tahoma" w:hAnsi="Tahoma" w:eastAsia="华文中宋"/>
      <w:szCs w:val="20"/>
    </w:rPr>
  </w:style>
  <w:style w:type="paragraph" w:customStyle="1" w:styleId="1847">
    <w:name w:val="首页脚注"/>
    <w:basedOn w:val="56"/>
    <w:qFormat/>
    <w:uiPriority w:val="0"/>
    <w:pPr>
      <w:keepLines/>
      <w:widowControl/>
      <w:tabs>
        <w:tab w:val="center" w:pos="4320"/>
        <w:tab w:val="clear" w:pos="4153"/>
        <w:tab w:val="clear" w:pos="8306"/>
      </w:tabs>
      <w:overflowPunct w:val="0"/>
      <w:autoSpaceDE w:val="0"/>
      <w:autoSpaceDN w:val="0"/>
      <w:adjustRightInd w:val="0"/>
      <w:snapToGrid/>
      <w:spacing w:line="360" w:lineRule="auto"/>
      <w:jc w:val="center"/>
      <w:textAlignment w:val="baseline"/>
    </w:pPr>
    <w:rPr>
      <w:kern w:val="0"/>
      <w:sz w:val="28"/>
      <w:szCs w:val="20"/>
    </w:rPr>
  </w:style>
  <w:style w:type="paragraph" w:customStyle="1" w:styleId="1848">
    <w:name w:val="gb1"/>
    <w:basedOn w:val="1"/>
    <w:qFormat/>
    <w:uiPriority w:val="0"/>
    <w:pPr>
      <w:widowControl/>
      <w:tabs>
        <w:tab w:val="left" w:pos="227"/>
      </w:tabs>
      <w:overflowPunct w:val="0"/>
      <w:autoSpaceDE w:val="0"/>
      <w:autoSpaceDN w:val="0"/>
      <w:adjustRightInd w:val="0"/>
      <w:spacing w:before="120" w:after="120"/>
      <w:textAlignment w:val="baseline"/>
    </w:pPr>
    <w:rPr>
      <w:rFonts w:ascii="Arial" w:hAnsi="Arial" w:eastAsia="仿宋体"/>
      <w:kern w:val="0"/>
      <w:szCs w:val="20"/>
    </w:rPr>
  </w:style>
  <w:style w:type="paragraph" w:customStyle="1" w:styleId="1849">
    <w:name w:val="Achievement"/>
    <w:basedOn w:val="35"/>
    <w:qFormat/>
    <w:uiPriority w:val="0"/>
    <w:pPr>
      <w:widowControl/>
      <w:tabs>
        <w:tab w:val="left" w:pos="960"/>
      </w:tabs>
      <w:spacing w:after="60" w:line="220" w:lineRule="atLeast"/>
      <w:ind w:left="960" w:right="-360" w:hanging="960"/>
      <w:jc w:val="left"/>
    </w:pPr>
    <w:rPr>
      <w:kern w:val="0"/>
      <w:sz w:val="20"/>
    </w:rPr>
  </w:style>
  <w:style w:type="paragraph" w:customStyle="1" w:styleId="1850">
    <w:name w:val="In Table (II)"/>
    <w:basedOn w:val="1846"/>
    <w:qFormat/>
    <w:uiPriority w:val="0"/>
    <w:pPr>
      <w:spacing w:before="60" w:after="60"/>
      <w:ind w:left="52"/>
      <w:jc w:val="left"/>
    </w:pPr>
  </w:style>
  <w:style w:type="paragraph" w:customStyle="1" w:styleId="1851">
    <w:name w:val="Items"/>
    <w:basedOn w:val="1"/>
    <w:qFormat/>
    <w:uiPriority w:val="0"/>
    <w:pPr>
      <w:tabs>
        <w:tab w:val="left" w:pos="720"/>
        <w:tab w:val="left" w:pos="992"/>
      </w:tabs>
      <w:spacing w:before="10" w:after="20" w:line="460" w:lineRule="atLeast"/>
      <w:ind w:left="992" w:hanging="425"/>
    </w:pPr>
    <w:rPr>
      <w:rFonts w:ascii="Tahoma" w:hAnsi="Tahoma" w:eastAsia="华文中宋"/>
      <w:sz w:val="28"/>
      <w:szCs w:val="20"/>
    </w:rPr>
  </w:style>
  <w:style w:type="paragraph" w:customStyle="1" w:styleId="1852">
    <w:name w:val="农业部一"/>
    <w:next w:val="35"/>
    <w:qFormat/>
    <w:uiPriority w:val="0"/>
    <w:pPr>
      <w:widowControl w:val="0"/>
      <w:topLinePunct/>
      <w:spacing w:line="480" w:lineRule="atLeast"/>
      <w:jc w:val="center"/>
    </w:pPr>
    <w:rPr>
      <w:rFonts w:ascii="Times New Roman" w:hAnsi="Times New Roman" w:eastAsia="宋体" w:cs="Times New Roman"/>
      <w:kern w:val="2"/>
      <w:sz w:val="21"/>
      <w:szCs w:val="24"/>
      <w:lang w:val="en-US" w:eastAsia="zh-CN" w:bidi="ar-SA"/>
    </w:rPr>
  </w:style>
  <w:style w:type="paragraph" w:customStyle="1" w:styleId="1853">
    <w:name w:val="Address 2"/>
    <w:basedOn w:val="1"/>
    <w:qFormat/>
    <w:uiPriority w:val="0"/>
    <w:pPr>
      <w:framePr w:w="2405" w:wrap="notBeside" w:vAnchor="page" w:hAnchor="page" w:x="5761" w:y="1009" w:anchorLock="1"/>
      <w:widowControl/>
      <w:spacing w:line="200" w:lineRule="atLeast"/>
      <w:jc w:val="left"/>
    </w:pPr>
    <w:rPr>
      <w:kern w:val="0"/>
      <w:sz w:val="16"/>
      <w:szCs w:val="20"/>
    </w:rPr>
  </w:style>
  <w:style w:type="paragraph" w:customStyle="1" w:styleId="1854">
    <w:name w:val="ljw表格"/>
    <w:basedOn w:val="1"/>
    <w:next w:val="1"/>
    <w:qFormat/>
    <w:uiPriority w:val="0"/>
    <w:pPr>
      <w:adjustRightInd w:val="0"/>
      <w:snapToGrid w:val="0"/>
      <w:spacing w:beforeLines="25" w:afterLines="25"/>
      <w:jc w:val="center"/>
    </w:pPr>
    <w:rPr>
      <w:rFonts w:ascii="宋体" w:hAnsi="宋体"/>
      <w:bCs/>
      <w:sz w:val="22"/>
      <w:szCs w:val="28"/>
    </w:rPr>
  </w:style>
  <w:style w:type="paragraph" w:customStyle="1" w:styleId="1855">
    <w:name w:val="ljw正文"/>
    <w:basedOn w:val="1"/>
    <w:qFormat/>
    <w:uiPriority w:val="0"/>
    <w:pPr>
      <w:adjustRightInd w:val="0"/>
      <w:snapToGrid w:val="0"/>
      <w:spacing w:afterLines="50" w:line="300" w:lineRule="auto"/>
      <w:ind w:firstLine="480" w:firstLineChars="200"/>
    </w:pPr>
    <w:rPr>
      <w:rFonts w:ascii="宋体" w:hAnsi="宋体"/>
      <w:bCs/>
      <w:sz w:val="24"/>
      <w:szCs w:val="28"/>
    </w:rPr>
  </w:style>
  <w:style w:type="paragraph" w:customStyle="1" w:styleId="1856">
    <w:name w:val="列表项目符号1.缩2"/>
    <w:basedOn w:val="1857"/>
    <w:qFormat/>
    <w:uiPriority w:val="0"/>
    <w:pPr>
      <w:tabs>
        <w:tab w:val="left" w:pos="945"/>
        <w:tab w:val="left" w:pos="1992"/>
      </w:tabs>
      <w:spacing w:line="360" w:lineRule="auto"/>
      <w:ind w:left="0" w:firstLine="425"/>
    </w:pPr>
    <w:rPr>
      <w:sz w:val="24"/>
      <w:szCs w:val="24"/>
    </w:rPr>
  </w:style>
  <w:style w:type="paragraph" w:customStyle="1" w:styleId="1857">
    <w:name w:val="列表项目符号1."/>
    <w:basedOn w:val="1"/>
    <w:qFormat/>
    <w:uiPriority w:val="0"/>
    <w:pPr>
      <w:keepNext/>
      <w:adjustRightInd w:val="0"/>
      <w:spacing w:line="312" w:lineRule="atLeast"/>
      <w:ind w:left="425" w:hanging="425"/>
      <w:textAlignment w:val="baseline"/>
    </w:pPr>
    <w:rPr>
      <w:kern w:val="0"/>
      <w:szCs w:val="21"/>
    </w:rPr>
  </w:style>
  <w:style w:type="paragraph" w:customStyle="1" w:styleId="1858">
    <w:name w:val="自定义缩进"/>
    <w:basedOn w:val="1"/>
    <w:qFormat/>
    <w:uiPriority w:val="0"/>
    <w:pPr>
      <w:keepNext/>
      <w:spacing w:line="336" w:lineRule="auto"/>
      <w:ind w:firstLine="480" w:firstLineChars="200"/>
      <w:jc w:val="left"/>
    </w:pPr>
    <w:rPr>
      <w:rFonts w:ascii="宋体" w:hAnsi="宋体"/>
      <w:kern w:val="0"/>
      <w:sz w:val="24"/>
    </w:rPr>
  </w:style>
  <w:style w:type="paragraph" w:customStyle="1" w:styleId="1859">
    <w:name w:val="表格内"/>
    <w:basedOn w:val="1"/>
    <w:qFormat/>
    <w:uiPriority w:val="0"/>
    <w:pPr>
      <w:adjustRightInd w:val="0"/>
      <w:spacing w:line="240" w:lineRule="atLeast"/>
      <w:jc w:val="center"/>
      <w:textAlignment w:val="baseline"/>
    </w:pPr>
    <w:rPr>
      <w:rFonts w:ascii="宋体"/>
      <w:kern w:val="0"/>
      <w:sz w:val="28"/>
      <w:szCs w:val="20"/>
    </w:rPr>
  </w:style>
  <w:style w:type="paragraph" w:customStyle="1" w:styleId="1860">
    <w:name w:val="Sun"/>
    <w:basedOn w:val="1"/>
    <w:qFormat/>
    <w:uiPriority w:val="0"/>
    <w:pPr>
      <w:adjustRightInd w:val="0"/>
      <w:spacing w:line="360" w:lineRule="auto"/>
      <w:ind w:firstLine="567"/>
      <w:textAlignment w:val="baseline"/>
    </w:pPr>
    <w:rPr>
      <w:kern w:val="28"/>
      <w:sz w:val="28"/>
      <w:szCs w:val="20"/>
    </w:rPr>
  </w:style>
  <w:style w:type="paragraph" w:customStyle="1" w:styleId="1861">
    <w:name w:val="sms"/>
    <w:basedOn w:val="1"/>
    <w:qFormat/>
    <w:uiPriority w:val="0"/>
    <w:pPr>
      <w:widowControl/>
      <w:overflowPunct w:val="0"/>
      <w:autoSpaceDE w:val="0"/>
      <w:autoSpaceDN w:val="0"/>
      <w:adjustRightInd w:val="0"/>
      <w:spacing w:line="360" w:lineRule="auto"/>
      <w:ind w:left="2126" w:right="992" w:firstLine="709"/>
      <w:jc w:val="left"/>
      <w:textAlignment w:val="baseline"/>
    </w:pPr>
    <w:rPr>
      <w:rFonts w:ascii="宋体"/>
      <w:spacing w:val="20"/>
      <w:kern w:val="0"/>
      <w:sz w:val="26"/>
      <w:szCs w:val="20"/>
    </w:rPr>
  </w:style>
  <w:style w:type="paragraph" w:customStyle="1" w:styleId="1862">
    <w:name w:val="zxl正文首行缩进  2 字符 行距: Char"/>
    <w:basedOn w:val="1"/>
    <w:qFormat/>
    <w:uiPriority w:val="0"/>
    <w:pPr>
      <w:widowControl/>
      <w:tabs>
        <w:tab w:val="left" w:pos="-1843"/>
        <w:tab w:val="left" w:pos="1727"/>
        <w:tab w:val="left" w:pos="1884"/>
      </w:tabs>
      <w:ind w:firstLine="527"/>
      <w:textAlignment w:val="bottom"/>
      <w:outlineLvl w:val="0"/>
    </w:pPr>
    <w:rPr>
      <w:rFonts w:ascii="宋体" w:hAnsi="宋体"/>
      <w:sz w:val="24"/>
    </w:rPr>
  </w:style>
  <w:style w:type="paragraph" w:customStyle="1" w:styleId="1863">
    <w:name w:val="ljw子标题"/>
    <w:basedOn w:val="1"/>
    <w:next w:val="35"/>
    <w:qFormat/>
    <w:uiPriority w:val="0"/>
    <w:pPr>
      <w:adjustRightInd w:val="0"/>
      <w:snapToGrid w:val="0"/>
      <w:spacing w:beforeLines="50" w:afterLines="50"/>
      <w:jc w:val="left"/>
    </w:pPr>
    <w:rPr>
      <w:rFonts w:ascii="宋体" w:hAnsi="宋体"/>
      <w:b/>
      <w:sz w:val="24"/>
      <w:szCs w:val="28"/>
    </w:rPr>
  </w:style>
  <w:style w:type="character" w:customStyle="1" w:styleId="1864">
    <w:name w:val="正文不缩进 Char Char Char Char Char Char"/>
    <w:qFormat/>
    <w:uiPriority w:val="0"/>
    <w:rPr>
      <w:rFonts w:eastAsia="宋体"/>
      <w:kern w:val="2"/>
      <w:sz w:val="21"/>
      <w:szCs w:val="24"/>
      <w:lang w:val="en-US" w:eastAsia="zh-CN" w:bidi="ar-SA"/>
    </w:rPr>
  </w:style>
  <w:style w:type="paragraph" w:customStyle="1" w:styleId="1865">
    <w:name w:val="热电厂正文"/>
    <w:basedOn w:val="1"/>
    <w:qFormat/>
    <w:uiPriority w:val="0"/>
    <w:pPr>
      <w:spacing w:line="440" w:lineRule="exact"/>
      <w:ind w:firstLine="480" w:firstLineChars="200"/>
    </w:pPr>
    <w:rPr>
      <w:sz w:val="24"/>
    </w:rPr>
  </w:style>
  <w:style w:type="paragraph" w:customStyle="1" w:styleId="1866">
    <w:name w:val="图片"/>
    <w:basedOn w:val="1"/>
    <w:qFormat/>
    <w:uiPriority w:val="0"/>
    <w:pPr>
      <w:adjustRightInd w:val="0"/>
      <w:snapToGrid w:val="0"/>
      <w:spacing w:line="400" w:lineRule="atLeast"/>
      <w:jc w:val="center"/>
      <w:textAlignment w:val="baseline"/>
    </w:pPr>
    <w:rPr>
      <w:kern w:val="0"/>
      <w:sz w:val="28"/>
      <w:szCs w:val="20"/>
    </w:rPr>
  </w:style>
  <w:style w:type="paragraph" w:customStyle="1" w:styleId="1867">
    <w:name w:val="表格内正文"/>
    <w:qFormat/>
    <w:uiPriority w:val="0"/>
    <w:pPr>
      <w:widowControl w:val="0"/>
      <w:spacing w:line="360" w:lineRule="exact"/>
      <w:ind w:firstLine="420" w:firstLineChars="200"/>
      <w:jc w:val="both"/>
    </w:pPr>
    <w:rPr>
      <w:rFonts w:ascii="Times New Roman" w:hAnsi="Times New Roman" w:eastAsia="宋体" w:cs="Times New Roman"/>
      <w:kern w:val="2"/>
      <w:sz w:val="21"/>
      <w:szCs w:val="24"/>
      <w:lang w:val="en-US" w:eastAsia="zh-CN" w:bidi="ar-SA"/>
    </w:rPr>
  </w:style>
  <w:style w:type="paragraph" w:customStyle="1" w:styleId="1868">
    <w:name w:val="样式 小四 行距: 固定值 24 磅 首行缩进:  2 字符"/>
    <w:basedOn w:val="1"/>
    <w:qFormat/>
    <w:uiPriority w:val="0"/>
    <w:pPr>
      <w:spacing w:line="440" w:lineRule="exact"/>
      <w:ind w:firstLine="200" w:firstLineChars="200"/>
    </w:pPr>
    <w:rPr>
      <w:sz w:val="24"/>
    </w:rPr>
  </w:style>
  <w:style w:type="paragraph" w:customStyle="1" w:styleId="1869">
    <w:name w:val="样式 (西文) 宋体 首行缩进:  0.85 厘米 行距: 1.5 倍行距"/>
    <w:basedOn w:val="1"/>
    <w:qFormat/>
    <w:uiPriority w:val="0"/>
    <w:pPr>
      <w:adjustRightInd w:val="0"/>
      <w:snapToGrid w:val="0"/>
      <w:spacing w:line="360" w:lineRule="auto"/>
      <w:ind w:firstLine="480" w:firstLineChars="200"/>
      <w:jc w:val="left"/>
    </w:pPr>
    <w:rPr>
      <w:rFonts w:ascii="宋体" w:hAnsi="宋体"/>
      <w:color w:val="000000"/>
      <w:sz w:val="24"/>
    </w:rPr>
  </w:style>
  <w:style w:type="paragraph" w:customStyle="1" w:styleId="1870">
    <w:name w:val="样式 首行缩进:  2 字符 行距: 1.5 倍行距"/>
    <w:basedOn w:val="1"/>
    <w:qFormat/>
    <w:uiPriority w:val="0"/>
    <w:pPr>
      <w:spacing w:line="440" w:lineRule="exact"/>
      <w:ind w:firstLine="200" w:firstLineChars="200"/>
    </w:pPr>
    <w:rPr>
      <w:rFonts w:cs="宋体"/>
      <w:sz w:val="24"/>
      <w:szCs w:val="20"/>
    </w:rPr>
  </w:style>
  <w:style w:type="paragraph" w:customStyle="1" w:styleId="1871">
    <w:name w:val="样式 样式2 + (符号) 宋体 Char"/>
    <w:basedOn w:val="1"/>
    <w:qFormat/>
    <w:uiPriority w:val="0"/>
    <w:pPr>
      <w:adjustRightInd w:val="0"/>
      <w:snapToGrid w:val="0"/>
      <w:spacing w:line="480" w:lineRule="exact"/>
      <w:ind w:firstLine="480" w:firstLineChars="200"/>
    </w:pPr>
    <w:rPr>
      <w:sz w:val="24"/>
      <w:szCs w:val="28"/>
    </w:rPr>
  </w:style>
  <w:style w:type="character" w:customStyle="1" w:styleId="1872">
    <w:name w:val="样式 样式2 + (符号) 宋体1 Char"/>
    <w:qFormat/>
    <w:uiPriority w:val="0"/>
    <w:rPr>
      <w:rFonts w:ascii="宋体" w:eastAsia="宋体"/>
      <w:kern w:val="2"/>
      <w:sz w:val="28"/>
      <w:szCs w:val="28"/>
      <w:lang w:val="en-US" w:eastAsia="zh-CN" w:bidi="ar-SA"/>
    </w:rPr>
  </w:style>
  <w:style w:type="paragraph" w:customStyle="1" w:styleId="1873">
    <w:name w:val="F正文"/>
    <w:qFormat/>
    <w:uiPriority w:val="0"/>
    <w:pPr>
      <w:widowControl w:val="0"/>
      <w:adjustRightInd w:val="0"/>
      <w:spacing w:line="360" w:lineRule="atLeast"/>
      <w:textAlignment w:val="baseline"/>
    </w:pPr>
    <w:rPr>
      <w:rFonts w:ascii="Times New Roman" w:hAnsi="Times New Roman" w:eastAsia="宋体" w:cs="Times New Roman"/>
      <w:spacing w:val="12"/>
      <w:sz w:val="24"/>
      <w:lang w:val="en-US" w:eastAsia="zh-CN" w:bidi="ar-SA"/>
    </w:rPr>
  </w:style>
  <w:style w:type="paragraph" w:customStyle="1" w:styleId="1874">
    <w:name w:val="中文表标题"/>
    <w:basedOn w:val="1"/>
    <w:next w:val="1"/>
    <w:qFormat/>
    <w:uiPriority w:val="0"/>
    <w:pPr>
      <w:keepNext/>
      <w:widowControl/>
      <w:overflowPunct w:val="0"/>
      <w:adjustRightInd w:val="0"/>
      <w:snapToGrid w:val="0"/>
      <w:spacing w:before="480" w:after="360" w:line="500" w:lineRule="exact"/>
      <w:ind w:firstLine="200" w:firstLineChars="200"/>
      <w:jc w:val="center"/>
      <w:textAlignment w:val="baseline"/>
    </w:pPr>
    <w:rPr>
      <w:rFonts w:eastAsia="仿宋_GB2312"/>
      <w:kern w:val="0"/>
      <w:sz w:val="28"/>
      <w:szCs w:val="20"/>
    </w:rPr>
  </w:style>
  <w:style w:type="paragraph" w:customStyle="1" w:styleId="1875">
    <w:name w:val="表内"/>
    <w:basedOn w:val="1"/>
    <w:qFormat/>
    <w:uiPriority w:val="0"/>
    <w:pPr>
      <w:jc w:val="center"/>
      <w:textAlignment w:val="center"/>
    </w:pPr>
    <w:rPr>
      <w:rFonts w:ascii="仿宋_GB2312" w:eastAsia="仿宋_GB2312"/>
      <w:sz w:val="24"/>
      <w:szCs w:val="20"/>
    </w:rPr>
  </w:style>
  <w:style w:type="paragraph" w:customStyle="1" w:styleId="1876">
    <w:name w:val="样式 表格标题 + 首行缩进:  2 字符"/>
    <w:basedOn w:val="1"/>
    <w:qFormat/>
    <w:uiPriority w:val="0"/>
    <w:pPr>
      <w:adjustRightInd w:val="0"/>
      <w:spacing w:before="120" w:line="360" w:lineRule="auto"/>
      <w:ind w:firstLine="480" w:firstLineChars="200"/>
      <w:jc w:val="center"/>
      <w:textAlignment w:val="baseline"/>
    </w:pPr>
    <w:rPr>
      <w:rFonts w:eastAsia="汉鼎简特宋"/>
      <w:kern w:val="0"/>
      <w:sz w:val="24"/>
      <w:szCs w:val="20"/>
    </w:rPr>
  </w:style>
  <w:style w:type="paragraph" w:customStyle="1" w:styleId="1877">
    <w:name w:val="样式 (中文) 楷体_GB2312 居中 行距: 固定值 12 磅"/>
    <w:basedOn w:val="1"/>
    <w:qFormat/>
    <w:uiPriority w:val="0"/>
    <w:pPr>
      <w:spacing w:line="240" w:lineRule="exact"/>
      <w:jc w:val="center"/>
    </w:pPr>
    <w:rPr>
      <w:rFonts w:eastAsia="楷体_GB2312" w:cs="宋体"/>
      <w:szCs w:val="20"/>
    </w:rPr>
  </w:style>
  <w:style w:type="paragraph" w:customStyle="1" w:styleId="1878">
    <w:name w:val="样式 样式 样式 样式 样式 样式 首行缩进:  2 字符 + 首行缩进:  2 字符2 + 仿宋_GB2312 + 首行缩进:..."/>
    <w:basedOn w:val="1"/>
    <w:link w:val="1879"/>
    <w:qFormat/>
    <w:uiPriority w:val="0"/>
    <w:pPr>
      <w:spacing w:line="560" w:lineRule="exact"/>
      <w:ind w:firstLine="624" w:firstLineChars="200"/>
    </w:pPr>
    <w:rPr>
      <w:rFonts w:eastAsia="楷体_GB2312"/>
      <w:spacing w:val="12"/>
      <w:kern w:val="0"/>
      <w:sz w:val="28"/>
      <w:szCs w:val="28"/>
      <w:lang w:val="zh-CN"/>
    </w:rPr>
  </w:style>
  <w:style w:type="character" w:customStyle="1" w:styleId="1879">
    <w:name w:val="样式 样式 样式 样式 样式 样式 首行缩进:  2 字符 + 首行缩进:  2 字符2 + 仿宋_GB2312 + 首行缩进:... Char"/>
    <w:link w:val="1878"/>
    <w:qFormat/>
    <w:uiPriority w:val="0"/>
    <w:rPr>
      <w:rFonts w:eastAsia="楷体_GB2312"/>
      <w:spacing w:val="12"/>
      <w:sz w:val="28"/>
      <w:szCs w:val="28"/>
      <w:lang w:val="zh-CN" w:eastAsia="zh-CN"/>
    </w:rPr>
  </w:style>
  <w:style w:type="character" w:customStyle="1" w:styleId="1880">
    <w:name w:val="hg1"/>
    <w:qFormat/>
    <w:uiPriority w:val="0"/>
    <w:rPr>
      <w:spacing w:val="432"/>
    </w:rPr>
  </w:style>
  <w:style w:type="character" w:customStyle="1" w:styleId="1881">
    <w:name w:val="style211"/>
    <w:qFormat/>
    <w:uiPriority w:val="0"/>
    <w:rPr>
      <w:color w:val="000000"/>
    </w:rPr>
  </w:style>
  <w:style w:type="character" w:customStyle="1" w:styleId="1882">
    <w:name w:val="z_gray1"/>
    <w:qFormat/>
    <w:uiPriority w:val="0"/>
    <w:rPr>
      <w:color w:val="666666"/>
    </w:rPr>
  </w:style>
  <w:style w:type="paragraph" w:customStyle="1" w:styleId="1883">
    <w:name w:val="Char Char Char1 Char Char Char Char Char Char Char Char Char Char Char Char Char Char Char Char Char Char Char"/>
    <w:basedOn w:val="1"/>
    <w:qFormat/>
    <w:uiPriority w:val="0"/>
    <w:rPr>
      <w:sz w:val="24"/>
    </w:rPr>
  </w:style>
  <w:style w:type="character" w:customStyle="1" w:styleId="1884">
    <w:name w:val="style3"/>
    <w:qFormat/>
    <w:uiPriority w:val="0"/>
  </w:style>
  <w:style w:type="character" w:customStyle="1" w:styleId="1885">
    <w:name w:val="news_body"/>
    <w:qFormat/>
    <w:uiPriority w:val="0"/>
  </w:style>
  <w:style w:type="paragraph" w:customStyle="1" w:styleId="1886">
    <w:name w:val="样式 标题 4 + 黑色 左侧:  -0.01 厘米 首行缩进:  0.01 厘米"/>
    <w:basedOn w:val="7"/>
    <w:qFormat/>
    <w:uiPriority w:val="0"/>
    <w:pPr>
      <w:tabs>
        <w:tab w:val="left" w:pos="864"/>
      </w:tabs>
      <w:spacing w:afterLines="50"/>
      <w:ind w:left="864" w:hanging="864"/>
    </w:pPr>
    <w:rPr>
      <w:rFonts w:ascii="宋体" w:hAnsi="宋体" w:eastAsia="宋体" w:cs="宋体"/>
      <w:bCs w:val="0"/>
      <w:color w:val="000000"/>
      <w:szCs w:val="20"/>
      <w:lang w:val="zh-CN"/>
    </w:rPr>
  </w:style>
  <w:style w:type="character" w:customStyle="1" w:styleId="1887">
    <w:name w:val="样式 标题 2 + 四号 Char"/>
    <w:link w:val="1888"/>
    <w:qFormat/>
    <w:uiPriority w:val="0"/>
    <w:rPr>
      <w:rFonts w:ascii="宋体" w:hAnsi="宋体"/>
      <w:b/>
      <w:spacing w:val="20"/>
      <w:sz w:val="24"/>
    </w:rPr>
  </w:style>
  <w:style w:type="paragraph" w:customStyle="1" w:styleId="1888">
    <w:name w:val="样式 标题 2 + 四号"/>
    <w:basedOn w:val="5"/>
    <w:link w:val="1887"/>
    <w:qFormat/>
    <w:uiPriority w:val="0"/>
    <w:pPr>
      <w:widowControl/>
      <w:tabs>
        <w:tab w:val="clear" w:pos="0"/>
        <w:tab w:val="clear" w:pos="567"/>
      </w:tabs>
      <w:overflowPunct w:val="0"/>
      <w:adjustRightInd w:val="0"/>
      <w:snapToGrid w:val="0"/>
      <w:spacing w:beforeLines="0" w:afterLines="0" w:line="560" w:lineRule="exact"/>
      <w:jc w:val="left"/>
      <w:textAlignment w:val="baseline"/>
    </w:pPr>
    <w:rPr>
      <w:rFonts w:ascii="宋体" w:hAnsi="宋体" w:eastAsia="宋体"/>
      <w:spacing w:val="20"/>
      <w:sz w:val="24"/>
      <w:szCs w:val="20"/>
      <w:shd w:val="clear" w:color="auto" w:fill="FFFFFF"/>
    </w:rPr>
  </w:style>
  <w:style w:type="character" w:customStyle="1" w:styleId="1889">
    <w:name w:val="样式13 Char"/>
    <w:link w:val="899"/>
    <w:qFormat/>
    <w:uiPriority w:val="0"/>
    <w:rPr>
      <w:rFonts w:ascii="仿宋_GB2312" w:hAnsi="宋体" w:eastAsia="仿宋_GB2312"/>
      <w:color w:val="FF0000"/>
      <w:kern w:val="2"/>
      <w:sz w:val="28"/>
      <w:szCs w:val="28"/>
    </w:rPr>
  </w:style>
  <w:style w:type="paragraph" w:customStyle="1" w:styleId="1890">
    <w:name w:val="陈正文"/>
    <w:basedOn w:val="1"/>
    <w:next w:val="1"/>
    <w:link w:val="1891"/>
    <w:qFormat/>
    <w:uiPriority w:val="0"/>
    <w:pPr>
      <w:snapToGrid w:val="0"/>
      <w:spacing w:before="60" w:after="60" w:line="360" w:lineRule="auto"/>
      <w:ind w:firstLine="480" w:firstLineChars="200"/>
    </w:pPr>
    <w:rPr>
      <w:color w:val="000000"/>
      <w:sz w:val="24"/>
      <w:lang w:val="zh-CN"/>
    </w:rPr>
  </w:style>
  <w:style w:type="character" w:customStyle="1" w:styleId="1891">
    <w:name w:val="陈正文 Char Char"/>
    <w:link w:val="1890"/>
    <w:qFormat/>
    <w:uiPriority w:val="0"/>
    <w:rPr>
      <w:color w:val="000000"/>
      <w:kern w:val="2"/>
      <w:sz w:val="24"/>
      <w:szCs w:val="24"/>
      <w:lang w:val="zh-CN" w:eastAsia="zh-CN"/>
    </w:rPr>
  </w:style>
  <w:style w:type="character" w:customStyle="1" w:styleId="1892">
    <w:name w:val="pt9"/>
    <w:qFormat/>
    <w:uiPriority w:val="0"/>
  </w:style>
  <w:style w:type="character" w:customStyle="1" w:styleId="1893">
    <w:name w:val="标题4 Char Char Char Char"/>
    <w:qFormat/>
    <w:uiPriority w:val="0"/>
    <w:rPr>
      <w:rFonts w:eastAsia="宋体"/>
      <w:kern w:val="2"/>
      <w:sz w:val="21"/>
      <w:szCs w:val="24"/>
      <w:lang w:val="en-US" w:eastAsia="zh-CN" w:bidi="ar-SA"/>
    </w:rPr>
  </w:style>
  <w:style w:type="paragraph" w:customStyle="1" w:styleId="1894">
    <w:name w:val="表文"/>
    <w:basedOn w:val="1"/>
    <w:qFormat/>
    <w:uiPriority w:val="0"/>
    <w:pPr>
      <w:overflowPunct w:val="0"/>
      <w:jc w:val="center"/>
      <w:textAlignment w:val="baseline"/>
    </w:pPr>
    <w:rPr>
      <w:szCs w:val="21"/>
    </w:rPr>
  </w:style>
  <w:style w:type="paragraph" w:customStyle="1" w:styleId="1895">
    <w:name w:val="表名"/>
    <w:basedOn w:val="1"/>
    <w:qFormat/>
    <w:uiPriority w:val="0"/>
    <w:pPr>
      <w:overflowPunct w:val="0"/>
      <w:spacing w:before="120"/>
      <w:textAlignment w:val="baseline"/>
    </w:pPr>
    <w:rPr>
      <w:rFonts w:ascii="Arial" w:hAnsi="Arial" w:eastAsia="黑体"/>
      <w:sz w:val="24"/>
      <w:szCs w:val="20"/>
    </w:rPr>
  </w:style>
  <w:style w:type="paragraph" w:customStyle="1" w:styleId="1896">
    <w:name w:val="表5号字"/>
    <w:qFormat/>
    <w:uiPriority w:val="0"/>
    <w:pPr>
      <w:keepNext/>
      <w:widowControl w:val="0"/>
      <w:adjustRightInd w:val="0"/>
      <w:spacing w:before="120" w:line="60" w:lineRule="atLeast"/>
      <w:jc w:val="center"/>
    </w:pPr>
    <w:rPr>
      <w:rFonts w:ascii="Times New Roman" w:hAnsi="Times New Roman" w:eastAsia="宋体" w:cs="Times New Roman"/>
      <w:sz w:val="21"/>
      <w:lang w:val="en-US" w:eastAsia="zh-CN" w:bidi="ar-SA"/>
    </w:rPr>
  </w:style>
  <w:style w:type="paragraph" w:customStyle="1" w:styleId="1897">
    <w:name w:val="表格居中"/>
    <w:basedOn w:val="1"/>
    <w:qFormat/>
    <w:uiPriority w:val="0"/>
    <w:pPr>
      <w:jc w:val="center"/>
    </w:pPr>
    <w:rPr>
      <w:bCs/>
      <w:snapToGrid w:val="0"/>
      <w:kern w:val="0"/>
      <w:szCs w:val="21"/>
      <w:u w:color="FF0000"/>
    </w:rPr>
  </w:style>
  <w:style w:type="paragraph" w:customStyle="1" w:styleId="1898">
    <w:name w:val="正文 居中"/>
    <w:basedOn w:val="1"/>
    <w:qFormat/>
    <w:uiPriority w:val="0"/>
    <w:pPr>
      <w:spacing w:beforeLines="50" w:line="360" w:lineRule="auto"/>
      <w:ind w:firstLine="480" w:firstLineChars="200"/>
      <w:jc w:val="center"/>
    </w:pPr>
    <w:rPr>
      <w:bCs/>
      <w:sz w:val="24"/>
      <w:szCs w:val="20"/>
    </w:rPr>
  </w:style>
  <w:style w:type="paragraph" w:customStyle="1" w:styleId="1899">
    <w:name w:val="表格两端对齐"/>
    <w:basedOn w:val="1897"/>
    <w:qFormat/>
    <w:uiPriority w:val="0"/>
    <w:pPr>
      <w:spacing w:beforeLines="50" w:line="360" w:lineRule="auto"/>
      <w:jc w:val="both"/>
    </w:pPr>
    <w:rPr>
      <w:rFonts w:hAnsi="宋体"/>
    </w:rPr>
  </w:style>
  <w:style w:type="paragraph" w:customStyle="1" w:styleId="1900">
    <w:name w:val="陈表头文字"/>
    <w:basedOn w:val="1"/>
    <w:next w:val="1"/>
    <w:qFormat/>
    <w:uiPriority w:val="0"/>
    <w:pPr>
      <w:keepNext/>
      <w:spacing w:line="288" w:lineRule="auto"/>
      <w:jc w:val="center"/>
    </w:pPr>
    <w:rPr>
      <w:b/>
      <w:sz w:val="24"/>
    </w:rPr>
  </w:style>
  <w:style w:type="paragraph" w:customStyle="1" w:styleId="1901">
    <w:name w:val="陈表格中内容"/>
    <w:basedOn w:val="1"/>
    <w:next w:val="1"/>
    <w:link w:val="1902"/>
    <w:qFormat/>
    <w:uiPriority w:val="0"/>
    <w:pPr>
      <w:spacing w:line="0" w:lineRule="atLeast"/>
      <w:jc w:val="center"/>
    </w:pPr>
    <w:rPr>
      <w:color w:val="000000"/>
      <w:szCs w:val="21"/>
      <w:lang w:val="zh-CN"/>
    </w:rPr>
  </w:style>
  <w:style w:type="character" w:customStyle="1" w:styleId="1902">
    <w:name w:val="陈表格中内容 Char Char"/>
    <w:link w:val="1901"/>
    <w:qFormat/>
    <w:uiPriority w:val="0"/>
    <w:rPr>
      <w:color w:val="000000"/>
      <w:kern w:val="2"/>
      <w:sz w:val="21"/>
      <w:szCs w:val="21"/>
      <w:lang w:val="zh-CN" w:eastAsia="zh-CN"/>
    </w:rPr>
  </w:style>
  <w:style w:type="paragraph" w:customStyle="1" w:styleId="1903">
    <w:name w:val="陈表格中内容，两端对齐"/>
    <w:basedOn w:val="1901"/>
    <w:next w:val="1901"/>
    <w:qFormat/>
    <w:uiPriority w:val="0"/>
  </w:style>
  <w:style w:type="paragraph" w:customStyle="1" w:styleId="1904">
    <w:name w:val="正文（永和）"/>
    <w:qFormat/>
    <w:uiPriority w:val="0"/>
    <w:pPr>
      <w:spacing w:line="360" w:lineRule="auto"/>
      <w:ind w:firstLine="200" w:firstLineChars="200"/>
      <w:jc w:val="both"/>
    </w:pPr>
    <w:rPr>
      <w:rFonts w:ascii="Times New Roman" w:hAnsi="Times New Roman" w:eastAsia="宋体" w:cs="Times New Roman"/>
      <w:bCs/>
      <w:sz w:val="28"/>
      <w:szCs w:val="28"/>
      <w:lang w:val="en-US" w:eastAsia="zh-CN" w:bidi="ar-SA"/>
    </w:rPr>
  </w:style>
  <w:style w:type="paragraph" w:customStyle="1" w:styleId="1905">
    <w:name w:val="一级（永和）"/>
    <w:basedOn w:val="1"/>
    <w:next w:val="1904"/>
    <w:qFormat/>
    <w:uiPriority w:val="0"/>
    <w:pPr>
      <w:spacing w:beforeLines="100" w:afterLines="100" w:line="360" w:lineRule="auto"/>
      <w:jc w:val="center"/>
      <w:outlineLvl w:val="0"/>
    </w:pPr>
    <w:rPr>
      <w:rFonts w:cs="宋体"/>
      <w:b/>
      <w:bCs/>
      <w:sz w:val="32"/>
      <w:szCs w:val="32"/>
    </w:rPr>
  </w:style>
  <w:style w:type="paragraph" w:customStyle="1" w:styleId="1906">
    <w:name w:val="陈标题3"/>
    <w:basedOn w:val="1"/>
    <w:next w:val="1"/>
    <w:qFormat/>
    <w:uiPriority w:val="0"/>
    <w:pPr>
      <w:keepNext/>
      <w:keepLines/>
      <w:spacing w:line="288" w:lineRule="auto"/>
      <w:outlineLvl w:val="2"/>
    </w:pPr>
    <w:rPr>
      <w:rFonts w:eastAsia="楷体_GB2312"/>
      <w:b/>
      <w:sz w:val="30"/>
      <w:szCs w:val="30"/>
    </w:rPr>
  </w:style>
  <w:style w:type="paragraph" w:customStyle="1" w:styleId="1907">
    <w:name w:val="陈标题4"/>
    <w:basedOn w:val="1"/>
    <w:next w:val="1"/>
    <w:qFormat/>
    <w:uiPriority w:val="0"/>
    <w:pPr>
      <w:keepNext/>
      <w:keepLines/>
      <w:spacing w:line="288" w:lineRule="auto"/>
      <w:outlineLvl w:val="3"/>
    </w:pPr>
    <w:rPr>
      <w:rFonts w:eastAsia="仿宋_GB2312"/>
      <w:b/>
      <w:sz w:val="28"/>
      <w:szCs w:val="28"/>
    </w:rPr>
  </w:style>
  <w:style w:type="paragraph" w:customStyle="1" w:styleId="1908">
    <w:name w:val="二级（永和）"/>
    <w:basedOn w:val="1905"/>
    <w:next w:val="1904"/>
    <w:qFormat/>
    <w:uiPriority w:val="0"/>
    <w:pPr>
      <w:spacing w:beforeLines="50" w:afterLines="50"/>
      <w:jc w:val="both"/>
      <w:outlineLvl w:val="1"/>
    </w:pPr>
    <w:rPr>
      <w:sz w:val="28"/>
      <w:szCs w:val="28"/>
    </w:rPr>
  </w:style>
  <w:style w:type="paragraph" w:customStyle="1" w:styleId="1909">
    <w:name w:val="正文无缩进（永和）"/>
    <w:basedOn w:val="1904"/>
    <w:next w:val="1904"/>
    <w:qFormat/>
    <w:uiPriority w:val="0"/>
    <w:pPr>
      <w:ind w:firstLine="0" w:firstLineChars="0"/>
    </w:pPr>
  </w:style>
  <w:style w:type="paragraph" w:customStyle="1" w:styleId="1910">
    <w:name w:val="表格小四"/>
    <w:basedOn w:val="1"/>
    <w:qFormat/>
    <w:uiPriority w:val="0"/>
    <w:pPr>
      <w:snapToGrid w:val="0"/>
      <w:jc w:val="center"/>
    </w:pPr>
    <w:rPr>
      <w:rFonts w:eastAsia="仿宋_GB2312"/>
      <w:spacing w:val="-10"/>
    </w:rPr>
  </w:style>
  <w:style w:type="paragraph" w:customStyle="1" w:styleId="1911">
    <w:name w:val="表内式样"/>
    <w:qFormat/>
    <w:uiPriority w:val="0"/>
    <w:pPr>
      <w:widowControl w:val="0"/>
      <w:adjustRightInd w:val="0"/>
      <w:jc w:val="center"/>
      <w:textAlignment w:val="baseline"/>
    </w:pPr>
    <w:rPr>
      <w:rFonts w:ascii="宋体" w:hAnsi="宋体" w:eastAsia="宋体" w:cs="Times New Roman"/>
      <w:kern w:val="2"/>
      <w:sz w:val="21"/>
      <w:lang w:val="en-US" w:eastAsia="zh-CN" w:bidi="ar-SA"/>
    </w:rPr>
  </w:style>
  <w:style w:type="paragraph" w:customStyle="1" w:styleId="1912">
    <w:name w:val="B"/>
    <w:basedOn w:val="5"/>
    <w:next w:val="1824"/>
    <w:qFormat/>
    <w:uiPriority w:val="0"/>
    <w:pPr>
      <w:tabs>
        <w:tab w:val="clear" w:pos="0"/>
      </w:tabs>
      <w:spacing w:beforeLines="0" w:afterLines="0" w:line="360" w:lineRule="auto"/>
      <w:ind w:left="567" w:hanging="567"/>
      <w:jc w:val="left"/>
    </w:pPr>
    <w:rPr>
      <w:rFonts w:eastAsia="宋体"/>
      <w:bCs/>
      <w:spacing w:val="0"/>
      <w:kern w:val="44"/>
      <w:sz w:val="30"/>
      <w:szCs w:val="24"/>
    </w:rPr>
  </w:style>
  <w:style w:type="paragraph" w:customStyle="1" w:styleId="1913">
    <w:name w:val="C"/>
    <w:basedOn w:val="1912"/>
    <w:next w:val="1824"/>
    <w:qFormat/>
    <w:uiPriority w:val="0"/>
    <w:pPr>
      <w:tabs>
        <w:tab w:val="left" w:pos="805"/>
        <w:tab w:val="clear" w:pos="567"/>
      </w:tabs>
      <w:ind w:left="805" w:hanging="805"/>
      <w:outlineLvl w:val="2"/>
    </w:pPr>
    <w:rPr>
      <w:b w:val="0"/>
    </w:rPr>
  </w:style>
  <w:style w:type="paragraph" w:customStyle="1" w:styleId="1914">
    <w:name w:val="D"/>
    <w:basedOn w:val="1913"/>
    <w:next w:val="1"/>
    <w:qFormat/>
    <w:uiPriority w:val="0"/>
    <w:pPr>
      <w:tabs>
        <w:tab w:val="left" w:pos="1049"/>
        <w:tab w:val="clear" w:pos="805"/>
      </w:tabs>
      <w:ind w:left="1049" w:hanging="1049"/>
      <w:outlineLvl w:val="3"/>
    </w:pPr>
  </w:style>
  <w:style w:type="paragraph" w:customStyle="1" w:styleId="1915">
    <w:name w:val="E"/>
    <w:basedOn w:val="1914"/>
    <w:next w:val="1824"/>
    <w:qFormat/>
    <w:uiPriority w:val="0"/>
    <w:pPr>
      <w:outlineLvl w:val="4"/>
    </w:pPr>
  </w:style>
  <w:style w:type="paragraph" w:customStyle="1" w:styleId="1916">
    <w:name w:val="Char Char2 Char Char Char Char Char Char Char"/>
    <w:basedOn w:val="1"/>
    <w:qFormat/>
    <w:uiPriority w:val="0"/>
    <w:pPr>
      <w:keepNext/>
      <w:widowControl/>
      <w:tabs>
        <w:tab w:val="left" w:pos="425"/>
      </w:tabs>
      <w:autoSpaceDE w:val="0"/>
      <w:autoSpaceDN w:val="0"/>
      <w:adjustRightInd w:val="0"/>
      <w:spacing w:before="80" w:after="80"/>
      <w:ind w:hanging="425"/>
    </w:pPr>
    <w:rPr>
      <w:rFonts w:ascii="Arial" w:hAnsi="Arial" w:cs="Arial"/>
      <w:sz w:val="20"/>
      <w:szCs w:val="20"/>
    </w:rPr>
  </w:style>
  <w:style w:type="paragraph" w:customStyle="1" w:styleId="1917">
    <w:name w:val="正文格式42"/>
    <w:basedOn w:val="1"/>
    <w:qFormat/>
    <w:uiPriority w:val="0"/>
    <w:pPr>
      <w:spacing w:line="360" w:lineRule="auto"/>
      <w:ind w:firstLine="482"/>
    </w:pPr>
    <w:rPr>
      <w:rFonts w:ascii="宋体" w:hAnsi="宋体"/>
      <w:sz w:val="24"/>
    </w:rPr>
  </w:style>
  <w:style w:type="character" w:customStyle="1" w:styleId="1918">
    <w:name w:val="a51"/>
    <w:qFormat/>
    <w:uiPriority w:val="0"/>
    <w:rPr>
      <w:rFonts w:ascii="宋体" w:hAnsi="宋体" w:eastAsia="宋体"/>
      <w:color w:val="000000"/>
      <w:spacing w:val="312"/>
      <w:kern w:val="2"/>
      <w:sz w:val="21"/>
      <w:szCs w:val="21"/>
      <w:u w:val="none"/>
      <w:lang w:val="en-US" w:eastAsia="zh-CN" w:bidi="ar-SA"/>
    </w:rPr>
  </w:style>
  <w:style w:type="paragraph" w:customStyle="1" w:styleId="1919">
    <w:name w:val="2级标题"/>
    <w:basedOn w:val="5"/>
    <w:qFormat/>
    <w:uiPriority w:val="0"/>
    <w:pPr>
      <w:tabs>
        <w:tab w:val="clear" w:pos="0"/>
        <w:tab w:val="clear" w:pos="567"/>
      </w:tabs>
      <w:adjustRightInd w:val="0"/>
      <w:snapToGrid w:val="0"/>
      <w:spacing w:beforeLines="0" w:afterLines="0" w:line="440" w:lineRule="exact"/>
      <w:textAlignment w:val="center"/>
      <w:outlineLvl w:val="0"/>
    </w:pPr>
    <w:rPr>
      <w:rFonts w:ascii="宋体" w:hAnsi="宋体" w:eastAsia="宋体"/>
      <w:bCs/>
      <w:spacing w:val="0"/>
      <w:kern w:val="2"/>
      <w:sz w:val="30"/>
      <w:szCs w:val="30"/>
    </w:rPr>
  </w:style>
  <w:style w:type="paragraph" w:customStyle="1" w:styleId="1920">
    <w:name w:val="Char Char Char1 Char Char Char Char Char Char"/>
    <w:basedOn w:val="1"/>
    <w:qFormat/>
    <w:uiPriority w:val="0"/>
    <w:rPr>
      <w:rFonts w:ascii="黑体" w:hAnsi="黑体" w:eastAsia="黑体"/>
      <w:b/>
      <w:spacing w:val="10"/>
      <w:sz w:val="28"/>
      <w:szCs w:val="20"/>
    </w:rPr>
  </w:style>
  <w:style w:type="paragraph" w:customStyle="1" w:styleId="1921">
    <w:name w:val="表格文字2"/>
    <w:basedOn w:val="158"/>
    <w:qFormat/>
    <w:uiPriority w:val="0"/>
    <w:pPr>
      <w:tabs>
        <w:tab w:val="left" w:pos="560"/>
        <w:tab w:val="clear" w:pos="4153"/>
        <w:tab w:val="clear" w:pos="8306"/>
      </w:tabs>
      <w:overflowPunct w:val="0"/>
      <w:spacing w:line="400" w:lineRule="exact"/>
      <w:ind w:firstLine="560" w:firstLineChars="200"/>
      <w:jc w:val="both"/>
    </w:pPr>
    <w:rPr>
      <w:rFonts w:eastAsia="宋体"/>
      <w:b/>
      <w:snapToGrid w:val="0"/>
      <w:color w:val="000000"/>
      <w:spacing w:val="-6"/>
      <w:kern w:val="0"/>
      <w:sz w:val="20"/>
      <w:szCs w:val="28"/>
    </w:rPr>
  </w:style>
  <w:style w:type="paragraph" w:customStyle="1" w:styleId="1922">
    <w:name w:val="样式 表格文字 + (西文) 宋体 (中文) 华文仿宋 小四 黑色"/>
    <w:basedOn w:val="158"/>
    <w:qFormat/>
    <w:uiPriority w:val="0"/>
    <w:pPr>
      <w:tabs>
        <w:tab w:val="left" w:pos="560"/>
        <w:tab w:val="clear" w:pos="4153"/>
        <w:tab w:val="clear" w:pos="8306"/>
      </w:tabs>
      <w:overflowPunct w:val="0"/>
      <w:spacing w:line="400" w:lineRule="exact"/>
      <w:ind w:firstLine="560" w:firstLineChars="200"/>
      <w:jc w:val="both"/>
    </w:pPr>
    <w:rPr>
      <w:rFonts w:ascii="宋体" w:hAnsi="宋体" w:eastAsia="宋体" w:cs="宋体"/>
      <w:b/>
      <w:snapToGrid w:val="0"/>
      <w:color w:val="000000"/>
      <w:spacing w:val="-6"/>
      <w:kern w:val="0"/>
      <w:sz w:val="20"/>
      <w:szCs w:val="20"/>
    </w:rPr>
  </w:style>
  <w:style w:type="paragraph" w:customStyle="1" w:styleId="1923">
    <w:name w:val="样式 表格文字 + (西文) 宋体 (中文) 华文仿宋 小四 黑色1"/>
    <w:basedOn w:val="158"/>
    <w:qFormat/>
    <w:uiPriority w:val="0"/>
    <w:pPr>
      <w:tabs>
        <w:tab w:val="left" w:pos="560"/>
        <w:tab w:val="clear" w:pos="4153"/>
        <w:tab w:val="clear" w:pos="8306"/>
      </w:tabs>
      <w:overflowPunct w:val="0"/>
      <w:spacing w:line="400" w:lineRule="exact"/>
      <w:ind w:firstLine="560" w:firstLineChars="200"/>
      <w:jc w:val="both"/>
    </w:pPr>
    <w:rPr>
      <w:rFonts w:ascii="宋体" w:hAnsi="宋体" w:eastAsia="宋体" w:cs="宋体"/>
      <w:b/>
      <w:snapToGrid w:val="0"/>
      <w:color w:val="000000"/>
      <w:spacing w:val="-6"/>
      <w:kern w:val="0"/>
      <w:sz w:val="20"/>
      <w:szCs w:val="28"/>
    </w:rPr>
  </w:style>
  <w:style w:type="paragraph" w:customStyle="1" w:styleId="1924">
    <w:name w:val="样式 报告书表格 + 小五 底端: (单实线 自动设置  0.75 磅 行宽)"/>
    <w:basedOn w:val="1"/>
    <w:qFormat/>
    <w:uiPriority w:val="0"/>
    <w:pPr>
      <w:adjustRightInd w:val="0"/>
      <w:spacing w:line="400" w:lineRule="exact"/>
      <w:jc w:val="center"/>
      <w:textAlignment w:val="baseline"/>
    </w:pPr>
    <w:rPr>
      <w:rFonts w:eastAsia="仿宋_GB2312" w:cs="宋体"/>
      <w:kern w:val="0"/>
      <w:sz w:val="18"/>
      <w:szCs w:val="18"/>
    </w:rPr>
  </w:style>
  <w:style w:type="paragraph" w:customStyle="1" w:styleId="1925">
    <w:name w:val="正文-标准"/>
    <w:basedOn w:val="1"/>
    <w:qFormat/>
    <w:uiPriority w:val="0"/>
    <w:pPr>
      <w:spacing w:line="500" w:lineRule="exact"/>
      <w:ind w:firstLine="200" w:firstLineChars="200"/>
    </w:pPr>
    <w:rPr>
      <w:sz w:val="24"/>
    </w:rPr>
  </w:style>
  <w:style w:type="paragraph" w:customStyle="1" w:styleId="1926">
    <w:name w:val="样式 标题 4 + 黑体 小四 非加粗"/>
    <w:basedOn w:val="7"/>
    <w:qFormat/>
    <w:uiPriority w:val="0"/>
    <w:pPr>
      <w:adjustRightInd w:val="0"/>
      <w:textAlignment w:val="baseline"/>
    </w:pPr>
    <w:rPr>
      <w:rFonts w:ascii="黑体" w:hAnsi="黑体" w:eastAsia="宋体"/>
      <w:b/>
      <w:spacing w:val="10"/>
      <w:kern w:val="0"/>
      <w:sz w:val="24"/>
      <w:szCs w:val="24"/>
      <w:lang w:val="zh-CN"/>
    </w:rPr>
  </w:style>
  <w:style w:type="paragraph" w:customStyle="1" w:styleId="1927">
    <w:name w:val="样式 表头样式1 + 首行缩进:  2 字符 段前: 0.5 行"/>
    <w:basedOn w:val="255"/>
    <w:qFormat/>
    <w:uiPriority w:val="0"/>
    <w:pPr>
      <w:snapToGrid/>
      <w:spacing w:afterLines="0" w:afterAutospacing="1"/>
    </w:pPr>
    <w:rPr>
      <w:rFonts w:ascii="Times New Roman" w:hAnsi="Times New Roman" w:cs="宋体"/>
      <w:bCs/>
      <w:color w:val="000000"/>
      <w:szCs w:val="20"/>
      <w:lang w:eastAsia="zh-TW"/>
    </w:rPr>
  </w:style>
  <w:style w:type="paragraph" w:customStyle="1" w:styleId="1928">
    <w:name w:val="样式 标题 4 + 段前: 7.8 磅"/>
    <w:basedOn w:val="7"/>
    <w:qFormat/>
    <w:uiPriority w:val="0"/>
    <w:pPr>
      <w:outlineLvl w:val="0"/>
    </w:pPr>
    <w:rPr>
      <w:rFonts w:ascii="Arial" w:cs="Arial"/>
      <w:b/>
      <w:bCs w:val="0"/>
      <w:sz w:val="24"/>
      <w:szCs w:val="21"/>
      <w:lang w:val="zh-CN"/>
    </w:rPr>
  </w:style>
  <w:style w:type="paragraph" w:customStyle="1" w:styleId="1929">
    <w:name w:val="样式 正文文本 + 首行缩进:  2 字符4"/>
    <w:basedOn w:val="35"/>
    <w:qFormat/>
    <w:uiPriority w:val="0"/>
    <w:pPr>
      <w:adjustRightInd w:val="0"/>
      <w:spacing w:after="0"/>
      <w:textAlignment w:val="baseline"/>
    </w:pPr>
    <w:rPr>
      <w:rFonts w:eastAsia="仿宋_GB2312" w:cs="宋体"/>
      <w:color w:val="000000"/>
      <w:szCs w:val="21"/>
    </w:rPr>
  </w:style>
  <w:style w:type="paragraph" w:customStyle="1" w:styleId="1930">
    <w:name w:val="样式 标题 3 + (西文)粗体"/>
    <w:basedOn w:val="6"/>
    <w:qFormat/>
    <w:uiPriority w:val="0"/>
    <w:rPr>
      <w:rFonts w:ascii="Arial" w:hAnsi="Arial" w:eastAsia="仿宋_GB2312" w:cs="Angsana New"/>
      <w:sz w:val="24"/>
      <w:lang w:bidi="th-TH"/>
    </w:rPr>
  </w:style>
  <w:style w:type="paragraph" w:customStyle="1" w:styleId="1931">
    <w:name w:val="正文(1)"/>
    <w:basedOn w:val="1"/>
    <w:qFormat/>
    <w:uiPriority w:val="0"/>
    <w:pPr>
      <w:adjustRightInd w:val="0"/>
      <w:snapToGrid w:val="0"/>
      <w:spacing w:before="120" w:line="300" w:lineRule="auto"/>
      <w:ind w:firstLine="480" w:firstLineChars="200"/>
    </w:pPr>
    <w:rPr>
      <w:rFonts w:ascii="黑体" w:hAnsi="宋体" w:eastAsia="黑体"/>
      <w:b/>
      <w:snapToGrid w:val="0"/>
      <w:color w:val="339966"/>
      <w:kern w:val="0"/>
      <w:sz w:val="24"/>
    </w:rPr>
  </w:style>
  <w:style w:type="character" w:customStyle="1" w:styleId="1932">
    <w:name w:val="批注引用 Char"/>
    <w:qFormat/>
    <w:uiPriority w:val="0"/>
  </w:style>
  <w:style w:type="character" w:customStyle="1" w:styleId="1933">
    <w:name w:val="链接"/>
    <w:qFormat/>
    <w:uiPriority w:val="0"/>
    <w:rPr>
      <w:rFonts w:hint="eastAsia" w:ascii="宋体" w:hAnsi="宋体" w:eastAsia="宋体"/>
      <w:color w:val="0000FF"/>
      <w:kern w:val="2"/>
      <w:sz w:val="21"/>
      <w:szCs w:val="28"/>
      <w:u w:val="single" w:color="0000FF"/>
      <w:lang w:val="en-US" w:eastAsia="zh-CN" w:bidi="ar-SA"/>
    </w:rPr>
  </w:style>
  <w:style w:type="character" w:customStyle="1" w:styleId="1934">
    <w:name w:val="页码 Char"/>
    <w:qFormat/>
    <w:uiPriority w:val="0"/>
  </w:style>
  <w:style w:type="paragraph" w:customStyle="1" w:styleId="1935">
    <w:name w:val="目录 9 Char Char"/>
    <w:basedOn w:val="1"/>
    <w:next w:val="1"/>
    <w:qFormat/>
    <w:uiPriority w:val="0"/>
    <w:pPr>
      <w:spacing w:line="351" w:lineRule="atLeast"/>
      <w:ind w:left="1678" w:firstLine="419"/>
      <w:jc w:val="left"/>
    </w:pPr>
    <w:rPr>
      <w:rFonts w:hint="eastAsia"/>
      <w:szCs w:val="20"/>
    </w:rPr>
  </w:style>
  <w:style w:type="paragraph" w:customStyle="1" w:styleId="1936">
    <w:name w:val="页脚 Char Char"/>
    <w:basedOn w:val="1"/>
    <w:qFormat/>
    <w:uiPriority w:val="0"/>
    <w:pPr>
      <w:tabs>
        <w:tab w:val="left" w:pos="4149"/>
        <w:tab w:val="left" w:pos="8016"/>
      </w:tabs>
      <w:spacing w:line="351" w:lineRule="atLeast"/>
      <w:ind w:firstLine="419"/>
      <w:jc w:val="left"/>
    </w:pPr>
    <w:rPr>
      <w:rFonts w:hint="eastAsia"/>
      <w:sz w:val="18"/>
      <w:szCs w:val="20"/>
    </w:rPr>
  </w:style>
  <w:style w:type="paragraph" w:customStyle="1" w:styleId="1937">
    <w:name w:val="目录 4 Char Char"/>
    <w:basedOn w:val="1"/>
    <w:next w:val="1"/>
    <w:qFormat/>
    <w:uiPriority w:val="0"/>
    <w:pPr>
      <w:spacing w:line="351" w:lineRule="atLeast"/>
      <w:ind w:left="629" w:firstLine="419"/>
      <w:jc w:val="left"/>
    </w:pPr>
    <w:rPr>
      <w:rFonts w:hint="eastAsia"/>
      <w:szCs w:val="20"/>
    </w:rPr>
  </w:style>
  <w:style w:type="paragraph" w:customStyle="1" w:styleId="1938">
    <w:name w:val="目录 3 Char Char"/>
    <w:basedOn w:val="1"/>
    <w:next w:val="1"/>
    <w:qFormat/>
    <w:uiPriority w:val="0"/>
    <w:pPr>
      <w:spacing w:line="351" w:lineRule="atLeast"/>
      <w:ind w:left="419" w:firstLine="419"/>
      <w:jc w:val="left"/>
    </w:pPr>
    <w:rPr>
      <w:rFonts w:hint="eastAsia"/>
      <w:i/>
      <w:szCs w:val="20"/>
    </w:rPr>
  </w:style>
  <w:style w:type="paragraph" w:customStyle="1" w:styleId="1939">
    <w:name w:val="目录 8 Char Char"/>
    <w:basedOn w:val="1"/>
    <w:next w:val="1"/>
    <w:qFormat/>
    <w:uiPriority w:val="0"/>
    <w:pPr>
      <w:spacing w:line="351" w:lineRule="atLeast"/>
      <w:ind w:left="1468" w:firstLine="419"/>
      <w:jc w:val="left"/>
    </w:pPr>
    <w:rPr>
      <w:rFonts w:hint="eastAsia"/>
      <w:szCs w:val="20"/>
    </w:rPr>
  </w:style>
  <w:style w:type="paragraph" w:customStyle="1" w:styleId="1940">
    <w:name w:val="日期 Char Char"/>
    <w:basedOn w:val="1"/>
    <w:next w:val="1"/>
    <w:qFormat/>
    <w:uiPriority w:val="0"/>
    <w:pPr>
      <w:spacing w:line="351" w:lineRule="atLeast"/>
      <w:ind w:firstLine="419"/>
    </w:pPr>
    <w:rPr>
      <w:rFonts w:hint="eastAsia" w:eastAsia="仿宋_GB2312"/>
      <w:sz w:val="31"/>
      <w:szCs w:val="20"/>
    </w:rPr>
  </w:style>
  <w:style w:type="paragraph" w:customStyle="1" w:styleId="1941">
    <w:name w:val="批注文字 Char Char"/>
    <w:basedOn w:val="1"/>
    <w:qFormat/>
    <w:uiPriority w:val="0"/>
    <w:pPr>
      <w:spacing w:line="351" w:lineRule="atLeast"/>
      <w:ind w:firstLine="419"/>
      <w:jc w:val="left"/>
    </w:pPr>
    <w:rPr>
      <w:rFonts w:hint="eastAsia"/>
      <w:szCs w:val="20"/>
    </w:rPr>
  </w:style>
  <w:style w:type="paragraph" w:customStyle="1" w:styleId="1942">
    <w:name w:val="目录3"/>
    <w:basedOn w:val="1"/>
    <w:next w:val="1"/>
    <w:qFormat/>
    <w:uiPriority w:val="0"/>
    <w:pPr>
      <w:tabs>
        <w:tab w:val="left" w:leader="dot" w:pos="8503"/>
      </w:tabs>
      <w:spacing w:line="317" w:lineRule="atLeast"/>
      <w:ind w:left="419" w:firstLine="419"/>
    </w:pPr>
    <w:rPr>
      <w:rFonts w:hint="eastAsia"/>
      <w:szCs w:val="20"/>
    </w:rPr>
  </w:style>
  <w:style w:type="paragraph" w:customStyle="1" w:styleId="1943">
    <w:name w:val="目录 2 Char Char"/>
    <w:basedOn w:val="1"/>
    <w:next w:val="1"/>
    <w:qFormat/>
    <w:uiPriority w:val="0"/>
    <w:pPr>
      <w:spacing w:line="351" w:lineRule="atLeast"/>
      <w:ind w:left="209" w:firstLine="419"/>
      <w:jc w:val="left"/>
    </w:pPr>
    <w:rPr>
      <w:rFonts w:hint="eastAsia"/>
      <w:szCs w:val="20"/>
    </w:rPr>
  </w:style>
  <w:style w:type="paragraph" w:customStyle="1" w:styleId="1944">
    <w:name w:val="目录 6 Char Char"/>
    <w:basedOn w:val="1"/>
    <w:next w:val="1"/>
    <w:qFormat/>
    <w:uiPriority w:val="0"/>
    <w:pPr>
      <w:spacing w:line="351" w:lineRule="atLeast"/>
      <w:ind w:left="1048" w:firstLine="419"/>
      <w:jc w:val="left"/>
    </w:pPr>
    <w:rPr>
      <w:rFonts w:hint="eastAsia"/>
      <w:szCs w:val="20"/>
    </w:rPr>
  </w:style>
  <w:style w:type="paragraph" w:customStyle="1" w:styleId="1945">
    <w:name w:val="目录 1 Char Char"/>
    <w:basedOn w:val="1"/>
    <w:next w:val="1"/>
    <w:qFormat/>
    <w:uiPriority w:val="0"/>
    <w:pPr>
      <w:tabs>
        <w:tab w:val="left" w:leader="dot" w:pos="8010"/>
      </w:tabs>
      <w:snapToGrid w:val="0"/>
      <w:spacing w:line="300" w:lineRule="auto"/>
      <w:jc w:val="left"/>
    </w:pPr>
    <w:rPr>
      <w:rFonts w:hint="eastAsia" w:eastAsia="黑体"/>
      <w:sz w:val="28"/>
      <w:szCs w:val="20"/>
    </w:rPr>
  </w:style>
  <w:style w:type="paragraph" w:customStyle="1" w:styleId="1946">
    <w:name w:val="目录 5 Char Char"/>
    <w:basedOn w:val="1"/>
    <w:next w:val="1"/>
    <w:qFormat/>
    <w:uiPriority w:val="0"/>
    <w:pPr>
      <w:spacing w:line="351" w:lineRule="atLeast"/>
      <w:ind w:left="839" w:firstLine="419"/>
      <w:jc w:val="left"/>
    </w:pPr>
    <w:rPr>
      <w:rFonts w:hint="eastAsia"/>
      <w:szCs w:val="20"/>
    </w:rPr>
  </w:style>
  <w:style w:type="paragraph" w:customStyle="1" w:styleId="1947">
    <w:name w:val="目录fuxi"/>
    <w:basedOn w:val="1"/>
    <w:qFormat/>
    <w:uiPriority w:val="0"/>
    <w:pPr>
      <w:snapToGrid w:val="0"/>
      <w:spacing w:before="60" w:after="60"/>
      <w:jc w:val="center"/>
    </w:pPr>
    <w:rPr>
      <w:rFonts w:hint="eastAsia" w:ascii="宋体"/>
      <w:outline/>
      <w:color w:val="000000"/>
      <w:szCs w:val="20"/>
      <w14:textOutline w14:w="9525" w14:cap="flat" w14:cmpd="sng" w14:algn="ctr">
        <w14:solidFill>
          <w14:srgbClr w14:val="000000"/>
        </w14:solidFill>
        <w14:prstDash w14:val="solid"/>
        <w14:round/>
      </w14:textOutline>
      <w14:textFill>
        <w14:noFill/>
      </w14:textFill>
    </w:rPr>
  </w:style>
  <w:style w:type="paragraph" w:customStyle="1" w:styleId="1948">
    <w:name w:val="正文新"/>
    <w:basedOn w:val="1"/>
    <w:qFormat/>
    <w:uiPriority w:val="0"/>
    <w:pPr>
      <w:spacing w:before="80" w:after="60" w:line="300" w:lineRule="auto"/>
      <w:ind w:firstLine="510"/>
    </w:pPr>
    <w:rPr>
      <w:snapToGrid w:val="0"/>
      <w:kern w:val="0"/>
      <w:sz w:val="24"/>
    </w:rPr>
  </w:style>
  <w:style w:type="paragraph" w:customStyle="1" w:styleId="1949">
    <w:name w:val="Style1"/>
    <w:basedOn w:val="1"/>
    <w:qFormat/>
    <w:uiPriority w:val="0"/>
    <w:pPr>
      <w:spacing w:after="120"/>
      <w:ind w:left="851"/>
    </w:pPr>
    <w:rPr>
      <w:szCs w:val="20"/>
    </w:rPr>
  </w:style>
  <w:style w:type="paragraph" w:customStyle="1" w:styleId="1950">
    <w:name w:val="样式 标题 3 + 首行缩进:  2 字符1"/>
    <w:basedOn w:val="6"/>
    <w:qFormat/>
    <w:uiPriority w:val="0"/>
    <w:pPr>
      <w:spacing w:before="240" w:after="240" w:line="415" w:lineRule="auto"/>
    </w:pPr>
    <w:rPr>
      <w:rFonts w:cs="宋体"/>
      <w:sz w:val="28"/>
      <w:szCs w:val="20"/>
    </w:rPr>
  </w:style>
  <w:style w:type="character" w:customStyle="1" w:styleId="1951">
    <w:name w:val="infodetail1"/>
    <w:qFormat/>
    <w:uiPriority w:val="0"/>
    <w:rPr>
      <w:rFonts w:hint="default" w:ascii="ˎ̥" w:hAnsi="ˎ̥" w:eastAsia="黑体"/>
      <w:b/>
      <w:color w:val="000000"/>
      <w:spacing w:val="10"/>
      <w:kern w:val="44"/>
      <w:sz w:val="24"/>
      <w:szCs w:val="24"/>
      <w:u w:val="none"/>
      <w:lang w:val="en-US" w:eastAsia="zh-CN" w:bidi="ar-SA"/>
    </w:rPr>
  </w:style>
  <w:style w:type="paragraph" w:customStyle="1" w:styleId="1952">
    <w:name w:val="Char Char Char1 Char Char Char Char Char Char Char Char Char Char Char Char Char Char Char Char Char Char Char Char Char Char"/>
    <w:basedOn w:val="1"/>
    <w:qFormat/>
    <w:uiPriority w:val="0"/>
    <w:rPr>
      <w:rFonts w:ascii="黑体" w:hAnsi="黑体" w:eastAsia="黑体"/>
      <w:b/>
      <w:spacing w:val="10"/>
      <w:kern w:val="44"/>
      <w:sz w:val="28"/>
      <w:szCs w:val="20"/>
    </w:rPr>
  </w:style>
  <w:style w:type="paragraph" w:customStyle="1" w:styleId="1953">
    <w:name w:val="样式 报告书表格 + 字距调整二号"/>
    <w:basedOn w:val="214"/>
    <w:link w:val="1954"/>
    <w:qFormat/>
    <w:uiPriority w:val="0"/>
    <w:rPr>
      <w:rFonts w:eastAsia="仿宋_GB2312"/>
      <w:kern w:val="44"/>
      <w:sz w:val="24"/>
      <w:lang w:val="zh-CN"/>
    </w:rPr>
  </w:style>
  <w:style w:type="character" w:customStyle="1" w:styleId="1954">
    <w:name w:val="样式 报告书表格 + 字距调整二号 Char"/>
    <w:link w:val="1953"/>
    <w:qFormat/>
    <w:uiPriority w:val="0"/>
    <w:rPr>
      <w:rFonts w:eastAsia="仿宋_GB2312"/>
      <w:kern w:val="44"/>
      <w:sz w:val="24"/>
      <w:szCs w:val="21"/>
      <w:lang w:val="zh-CN" w:eastAsia="zh-CN"/>
    </w:rPr>
  </w:style>
  <w:style w:type="paragraph" w:customStyle="1" w:styleId="1955">
    <w:name w:val="样式 样式 报告书表格 + 字距调整二号 +"/>
    <w:basedOn w:val="1953"/>
    <w:qFormat/>
    <w:uiPriority w:val="0"/>
  </w:style>
  <w:style w:type="paragraph" w:customStyle="1" w:styleId="1956">
    <w:name w:val="谏壁正文chen"/>
    <w:basedOn w:val="1"/>
    <w:link w:val="1957"/>
    <w:qFormat/>
    <w:uiPriority w:val="0"/>
    <w:pPr>
      <w:spacing w:line="360" w:lineRule="auto"/>
      <w:ind w:firstLine="200" w:firstLineChars="200"/>
    </w:pPr>
    <w:rPr>
      <w:sz w:val="24"/>
      <w:lang w:val="zh-CN"/>
    </w:rPr>
  </w:style>
  <w:style w:type="character" w:customStyle="1" w:styleId="1957">
    <w:name w:val="谏壁正文chen Char"/>
    <w:link w:val="1956"/>
    <w:qFormat/>
    <w:uiPriority w:val="0"/>
    <w:rPr>
      <w:kern w:val="2"/>
      <w:sz w:val="24"/>
      <w:szCs w:val="24"/>
      <w:lang w:val="zh-CN" w:eastAsia="zh-CN"/>
    </w:rPr>
  </w:style>
  <w:style w:type="paragraph" w:customStyle="1" w:styleId="1958">
    <w:name w:val="hhcwt正文"/>
    <w:basedOn w:val="1"/>
    <w:link w:val="1959"/>
    <w:qFormat/>
    <w:uiPriority w:val="0"/>
    <w:pPr>
      <w:spacing w:line="360" w:lineRule="auto"/>
      <w:ind w:firstLine="480" w:firstLineChars="200"/>
    </w:pPr>
    <w:rPr>
      <w:sz w:val="24"/>
      <w:lang w:val="zh-CN"/>
    </w:rPr>
  </w:style>
  <w:style w:type="character" w:customStyle="1" w:styleId="1959">
    <w:name w:val="hhcwt正文 Char"/>
    <w:link w:val="1958"/>
    <w:qFormat/>
    <w:uiPriority w:val="0"/>
    <w:rPr>
      <w:kern w:val="2"/>
      <w:sz w:val="24"/>
      <w:szCs w:val="24"/>
      <w:lang w:val="zh-CN" w:eastAsia="zh-CN"/>
    </w:rPr>
  </w:style>
  <w:style w:type="paragraph" w:customStyle="1" w:styleId="1960">
    <w:name w:val="chen 正文字体"/>
    <w:basedOn w:val="1"/>
    <w:link w:val="1961"/>
    <w:qFormat/>
    <w:uiPriority w:val="0"/>
    <w:pPr>
      <w:spacing w:line="360" w:lineRule="auto"/>
      <w:ind w:firstLine="200" w:firstLineChars="200"/>
    </w:pPr>
    <w:rPr>
      <w:rFonts w:ascii="宋体" w:hAnsi="宋体"/>
      <w:color w:val="000000"/>
      <w:sz w:val="24"/>
      <w:lang w:val="zh-CN"/>
    </w:rPr>
  </w:style>
  <w:style w:type="character" w:customStyle="1" w:styleId="1961">
    <w:name w:val="chen 正文字体 Char"/>
    <w:link w:val="1960"/>
    <w:qFormat/>
    <w:uiPriority w:val="0"/>
    <w:rPr>
      <w:rFonts w:ascii="宋体" w:hAnsi="宋体"/>
      <w:color w:val="000000"/>
      <w:kern w:val="2"/>
      <w:sz w:val="24"/>
      <w:szCs w:val="24"/>
      <w:lang w:val="zh-CN" w:eastAsia="zh-CN"/>
    </w:rPr>
  </w:style>
  <w:style w:type="character" w:customStyle="1" w:styleId="1962">
    <w:name w:val="样式 样式 宋体 小四 行距: 多倍行距 1.4 字行2 + 黑色 Char"/>
    <w:link w:val="1963"/>
    <w:qFormat/>
    <w:uiPriority w:val="0"/>
    <w:rPr>
      <w:rFonts w:ascii="宋体" w:hAnsi="宋体"/>
      <w:color w:val="000000"/>
      <w:sz w:val="24"/>
      <w:szCs w:val="24"/>
    </w:rPr>
  </w:style>
  <w:style w:type="paragraph" w:customStyle="1" w:styleId="1963">
    <w:name w:val="样式 样式 宋体 小四 行距: 多倍行距 1.4 字行2 + 黑色"/>
    <w:basedOn w:val="1"/>
    <w:link w:val="1962"/>
    <w:qFormat/>
    <w:uiPriority w:val="0"/>
    <w:pPr>
      <w:spacing w:line="336" w:lineRule="auto"/>
      <w:ind w:firstLine="480" w:firstLineChars="200"/>
    </w:pPr>
    <w:rPr>
      <w:rFonts w:ascii="宋体" w:hAnsi="宋体"/>
      <w:color w:val="000000"/>
      <w:kern w:val="0"/>
      <w:sz w:val="24"/>
    </w:rPr>
  </w:style>
  <w:style w:type="paragraph" w:customStyle="1" w:styleId="1964">
    <w:name w:val="样式 样式 样式 宋体 小四 行距: 多倍行距 1.4 字行2 + 黑色 + Times New Roman1"/>
    <w:basedOn w:val="1"/>
    <w:link w:val="1965"/>
    <w:qFormat/>
    <w:uiPriority w:val="0"/>
    <w:pPr>
      <w:spacing w:line="360" w:lineRule="auto"/>
      <w:ind w:firstLine="200" w:firstLineChars="200"/>
    </w:pPr>
    <w:rPr>
      <w:color w:val="000000"/>
      <w:sz w:val="24"/>
      <w:lang w:val="zh-CN"/>
    </w:rPr>
  </w:style>
  <w:style w:type="character" w:customStyle="1" w:styleId="1965">
    <w:name w:val="样式 样式 样式 宋体 小四 行距: 多倍行距 1.4 字行2 + 黑色 + Times New Roman1 Char"/>
    <w:link w:val="1964"/>
    <w:qFormat/>
    <w:uiPriority w:val="0"/>
    <w:rPr>
      <w:color w:val="000000"/>
      <w:kern w:val="2"/>
      <w:sz w:val="24"/>
      <w:szCs w:val="24"/>
      <w:lang w:val="zh-CN" w:eastAsia="zh-CN"/>
    </w:rPr>
  </w:style>
  <w:style w:type="paragraph" w:customStyle="1" w:styleId="1966">
    <w:name w:val="chen正文字体11"/>
    <w:basedOn w:val="1"/>
    <w:link w:val="1967"/>
    <w:qFormat/>
    <w:uiPriority w:val="0"/>
    <w:pPr>
      <w:spacing w:line="360" w:lineRule="auto"/>
      <w:ind w:firstLine="480" w:firstLineChars="200"/>
    </w:pPr>
    <w:rPr>
      <w:color w:val="000000"/>
      <w:sz w:val="24"/>
      <w:lang w:val="zh-CN"/>
    </w:rPr>
  </w:style>
  <w:style w:type="character" w:customStyle="1" w:styleId="1967">
    <w:name w:val="chen正文字体11 Char"/>
    <w:link w:val="1966"/>
    <w:qFormat/>
    <w:uiPriority w:val="0"/>
    <w:rPr>
      <w:color w:val="000000"/>
      <w:kern w:val="2"/>
      <w:sz w:val="24"/>
      <w:szCs w:val="24"/>
      <w:lang w:val="zh-CN" w:eastAsia="zh-CN"/>
    </w:rPr>
  </w:style>
  <w:style w:type="paragraph" w:customStyle="1" w:styleId="1968">
    <w:name w:val="chen表头1"/>
    <w:basedOn w:val="1"/>
    <w:link w:val="1969"/>
    <w:qFormat/>
    <w:uiPriority w:val="0"/>
    <w:pPr>
      <w:spacing w:after="120" w:line="500" w:lineRule="exact"/>
      <w:jc w:val="center"/>
    </w:pPr>
    <w:rPr>
      <w:rFonts w:eastAsia="楷体_GB2312"/>
      <w:b/>
      <w:sz w:val="24"/>
      <w:lang w:val="zh-CN"/>
    </w:rPr>
  </w:style>
  <w:style w:type="character" w:customStyle="1" w:styleId="1969">
    <w:name w:val="chen表头1 Char"/>
    <w:link w:val="1968"/>
    <w:qFormat/>
    <w:uiPriority w:val="0"/>
    <w:rPr>
      <w:rFonts w:eastAsia="楷体_GB2312"/>
      <w:b/>
      <w:kern w:val="2"/>
      <w:sz w:val="24"/>
      <w:szCs w:val="24"/>
      <w:lang w:val="zh-CN" w:eastAsia="zh-CN"/>
    </w:rPr>
  </w:style>
  <w:style w:type="paragraph" w:customStyle="1" w:styleId="1970">
    <w:name w:val="样式 样式 样式 宋体 小四 行距: 多倍行距 1.4 字行2 + 黑色 + Times New Roman2"/>
    <w:basedOn w:val="1963"/>
    <w:link w:val="1971"/>
    <w:qFormat/>
    <w:uiPriority w:val="0"/>
    <w:pPr>
      <w:spacing w:line="360" w:lineRule="auto"/>
      <w:ind w:firstLine="200"/>
    </w:pPr>
  </w:style>
  <w:style w:type="character" w:customStyle="1" w:styleId="1971">
    <w:name w:val="样式 样式 样式 宋体 小四 行距: 多倍行距 1.4 字行2 + 黑色 + Times New Roman2 Char"/>
    <w:link w:val="1970"/>
    <w:qFormat/>
    <w:uiPriority w:val="0"/>
    <w:rPr>
      <w:rFonts w:ascii="宋体" w:hAnsi="宋体"/>
      <w:color w:val="000000"/>
      <w:sz w:val="24"/>
      <w:szCs w:val="24"/>
    </w:rPr>
  </w:style>
  <w:style w:type="paragraph" w:customStyle="1" w:styleId="1972">
    <w:name w:val="样式正文"/>
    <w:basedOn w:val="1"/>
    <w:link w:val="1973"/>
    <w:qFormat/>
    <w:uiPriority w:val="0"/>
    <w:pPr>
      <w:spacing w:line="400" w:lineRule="exact"/>
      <w:ind w:firstLine="200" w:firstLineChars="200"/>
    </w:pPr>
    <w:rPr>
      <w:sz w:val="24"/>
      <w:lang w:val="zh-CN"/>
    </w:rPr>
  </w:style>
  <w:style w:type="character" w:customStyle="1" w:styleId="1973">
    <w:name w:val="样式正文 Char"/>
    <w:link w:val="1972"/>
    <w:qFormat/>
    <w:uiPriority w:val="0"/>
    <w:rPr>
      <w:kern w:val="2"/>
      <w:sz w:val="24"/>
      <w:szCs w:val="24"/>
      <w:lang w:val="zh-CN" w:eastAsia="zh-CN"/>
    </w:rPr>
  </w:style>
  <w:style w:type="paragraph" w:customStyle="1" w:styleId="1974">
    <w:name w:val="hhcwt标题3"/>
    <w:basedOn w:val="1"/>
    <w:link w:val="1975"/>
    <w:qFormat/>
    <w:uiPriority w:val="0"/>
    <w:pPr>
      <w:keepNext/>
      <w:keepLines/>
      <w:spacing w:line="336" w:lineRule="auto"/>
      <w:outlineLvl w:val="2"/>
    </w:pPr>
    <w:rPr>
      <w:rFonts w:eastAsia="楷体_GB2312"/>
      <w:bCs/>
      <w:sz w:val="28"/>
      <w:lang w:val="zh-CN"/>
    </w:rPr>
  </w:style>
  <w:style w:type="character" w:customStyle="1" w:styleId="1975">
    <w:name w:val="hhcwt标题3 Char Char"/>
    <w:link w:val="1974"/>
    <w:qFormat/>
    <w:uiPriority w:val="0"/>
    <w:rPr>
      <w:rFonts w:eastAsia="楷体_GB2312"/>
      <w:bCs/>
      <w:kern w:val="2"/>
      <w:sz w:val="28"/>
      <w:szCs w:val="24"/>
      <w:lang w:val="zh-CN" w:eastAsia="zh-CN"/>
    </w:rPr>
  </w:style>
  <w:style w:type="paragraph" w:customStyle="1" w:styleId="1976">
    <w:name w:val="hhcwt标题4"/>
    <w:basedOn w:val="7"/>
    <w:link w:val="1977"/>
    <w:qFormat/>
    <w:uiPriority w:val="0"/>
    <w:pPr>
      <w:spacing w:line="360" w:lineRule="auto"/>
    </w:pPr>
    <w:rPr>
      <w:rFonts w:ascii="Times New Roman" w:hAnsi="Times New Roman" w:eastAsia="宋体"/>
      <w:sz w:val="24"/>
      <w:szCs w:val="24"/>
      <w:lang w:val="zh-CN"/>
    </w:rPr>
  </w:style>
  <w:style w:type="character" w:customStyle="1" w:styleId="1977">
    <w:name w:val="hhcwt标题4 Char Char"/>
    <w:link w:val="1976"/>
    <w:qFormat/>
    <w:uiPriority w:val="0"/>
    <w:rPr>
      <w:bCs/>
      <w:kern w:val="2"/>
      <w:sz w:val="24"/>
      <w:szCs w:val="24"/>
      <w:lang w:val="zh-CN" w:eastAsia="zh-CN"/>
    </w:rPr>
  </w:style>
  <w:style w:type="paragraph" w:customStyle="1" w:styleId="1978">
    <w:name w:val="hhcwt表头"/>
    <w:basedOn w:val="1"/>
    <w:link w:val="1979"/>
    <w:qFormat/>
    <w:uiPriority w:val="0"/>
    <w:pPr>
      <w:spacing w:after="120" w:line="500" w:lineRule="exact"/>
      <w:jc w:val="center"/>
    </w:pPr>
    <w:rPr>
      <w:rFonts w:ascii="楷体_GB2312" w:eastAsia="楷体_GB2312"/>
      <w:b/>
      <w:bCs/>
      <w:sz w:val="24"/>
      <w:lang w:val="zh-CN"/>
    </w:rPr>
  </w:style>
  <w:style w:type="character" w:customStyle="1" w:styleId="1979">
    <w:name w:val="hhcwt表头 Char Char"/>
    <w:link w:val="1978"/>
    <w:qFormat/>
    <w:uiPriority w:val="0"/>
    <w:rPr>
      <w:rFonts w:ascii="楷体_GB2312" w:eastAsia="楷体_GB2312"/>
      <w:b/>
      <w:bCs/>
      <w:kern w:val="2"/>
      <w:sz w:val="24"/>
      <w:szCs w:val="24"/>
      <w:lang w:val="zh-CN" w:eastAsia="zh-CN"/>
    </w:rPr>
  </w:style>
  <w:style w:type="paragraph" w:customStyle="1" w:styleId="1980">
    <w:name w:val="hhcwt标题1"/>
    <w:basedOn w:val="1"/>
    <w:link w:val="1981"/>
    <w:qFormat/>
    <w:uiPriority w:val="0"/>
    <w:pPr>
      <w:keepNext/>
      <w:keepLines/>
      <w:autoSpaceDE w:val="0"/>
      <w:autoSpaceDN w:val="0"/>
      <w:adjustRightInd w:val="0"/>
      <w:spacing w:before="120" w:after="120" w:line="336" w:lineRule="auto"/>
      <w:outlineLvl w:val="0"/>
    </w:pPr>
    <w:rPr>
      <w:rFonts w:eastAsia="黑体"/>
      <w:kern w:val="44"/>
      <w:sz w:val="36"/>
      <w:lang w:val="zh-CN"/>
    </w:rPr>
  </w:style>
  <w:style w:type="character" w:customStyle="1" w:styleId="1981">
    <w:name w:val="hhcwt标题1 Char Char"/>
    <w:link w:val="1980"/>
    <w:qFormat/>
    <w:uiPriority w:val="0"/>
    <w:rPr>
      <w:rFonts w:eastAsia="黑体"/>
      <w:kern w:val="44"/>
      <w:sz w:val="36"/>
      <w:szCs w:val="24"/>
      <w:lang w:val="zh-CN" w:eastAsia="zh-CN"/>
    </w:rPr>
  </w:style>
  <w:style w:type="character" w:customStyle="1" w:styleId="1982">
    <w:name w:val="p9l1"/>
    <w:qFormat/>
    <w:uiPriority w:val="0"/>
    <w:rPr>
      <w:rFonts w:ascii="宋体" w:hAnsi="宋体" w:eastAsia="宋体"/>
      <w:kern w:val="2"/>
      <w:sz w:val="18"/>
      <w:szCs w:val="18"/>
      <w:u w:val="none"/>
      <w:lang w:val="en-US" w:eastAsia="zh-CN" w:bidi="ar-SA"/>
    </w:rPr>
  </w:style>
  <w:style w:type="paragraph" w:customStyle="1" w:styleId="1983">
    <w:name w:val="Char Char Char1 Char Char Char Char Char Char Char Char Char Char Char Char Char Char Char1 Char Char Char Char Char Char Char Char Char Char Char Char"/>
    <w:basedOn w:val="1"/>
    <w:qFormat/>
    <w:uiPriority w:val="0"/>
    <w:rPr>
      <w:szCs w:val="21"/>
    </w:rPr>
  </w:style>
  <w:style w:type="character" w:customStyle="1" w:styleId="1984">
    <w:name w:val="ourfont31"/>
    <w:qFormat/>
    <w:uiPriority w:val="0"/>
    <w:rPr>
      <w:rFonts w:ascii="宋体" w:hAnsi="宋体" w:eastAsia="宋体"/>
      <w:spacing w:val="20"/>
      <w:kern w:val="2"/>
      <w:sz w:val="21"/>
      <w:szCs w:val="21"/>
      <w:lang w:val="en-US" w:eastAsia="zh-CN" w:bidi="ar-SA"/>
    </w:rPr>
  </w:style>
  <w:style w:type="paragraph" w:customStyle="1" w:styleId="1985">
    <w:name w:val="小4黑居中行1"/>
    <w:qFormat/>
    <w:uiPriority w:val="0"/>
    <w:pPr>
      <w:spacing w:line="360" w:lineRule="auto"/>
      <w:jc w:val="center"/>
    </w:pPr>
    <w:rPr>
      <w:rFonts w:ascii="Times New Roman" w:hAnsi="Times New Roman" w:eastAsia="宋体" w:cs="Times New Roman"/>
      <w:kern w:val="2"/>
      <w:sz w:val="21"/>
      <w:lang w:val="en-US" w:eastAsia="zh-CN" w:bidi="ar-SA"/>
    </w:rPr>
  </w:style>
  <w:style w:type="paragraph" w:customStyle="1" w:styleId="1986">
    <w:name w:val="大纲封面"/>
    <w:basedOn w:val="1"/>
    <w:qFormat/>
    <w:uiPriority w:val="0"/>
    <w:pPr>
      <w:spacing w:line="360" w:lineRule="auto"/>
      <w:jc w:val="center"/>
    </w:pPr>
    <w:rPr>
      <w:rFonts w:ascii="宋体" w:eastAsia="楷体_GB2312"/>
      <w:b/>
      <w:spacing w:val="100"/>
      <w:sz w:val="72"/>
    </w:rPr>
  </w:style>
  <w:style w:type="paragraph" w:customStyle="1" w:styleId="1987">
    <w:name w:val="封面单位"/>
    <w:basedOn w:val="1"/>
    <w:qFormat/>
    <w:uiPriority w:val="0"/>
    <w:pPr>
      <w:tabs>
        <w:tab w:val="right" w:leader="middleDot" w:pos="8222"/>
      </w:tabs>
      <w:spacing w:line="360" w:lineRule="auto"/>
      <w:jc w:val="center"/>
    </w:pPr>
    <w:rPr>
      <w:rFonts w:ascii="楷体_GB2312" w:eastAsia="楷体_GB2312"/>
      <w:b/>
      <w:sz w:val="36"/>
    </w:rPr>
  </w:style>
  <w:style w:type="paragraph" w:customStyle="1" w:styleId="1988">
    <w:name w:val="我的样式（正文） Char"/>
    <w:basedOn w:val="1"/>
    <w:qFormat/>
    <w:uiPriority w:val="0"/>
    <w:pPr>
      <w:spacing w:line="440" w:lineRule="exact"/>
    </w:pPr>
    <w:rPr>
      <w:rFonts w:ascii="宋体" w:hAnsi="华文楷体"/>
      <w:sz w:val="28"/>
    </w:rPr>
  </w:style>
  <w:style w:type="paragraph" w:customStyle="1" w:styleId="1989">
    <w:name w:val="HTML 预先格式化"/>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kern w:val="0"/>
      <w:sz w:val="20"/>
    </w:rPr>
  </w:style>
  <w:style w:type="paragraph" w:customStyle="1" w:styleId="1990">
    <w:name w:val="文档正文"/>
    <w:basedOn w:val="1"/>
    <w:qFormat/>
    <w:uiPriority w:val="0"/>
    <w:pPr>
      <w:adjustRightInd w:val="0"/>
      <w:spacing w:line="480" w:lineRule="atLeast"/>
      <w:ind w:firstLine="567"/>
      <w:textAlignment w:val="baseline"/>
    </w:pPr>
    <w:rPr>
      <w:rFonts w:ascii="宋体"/>
      <w:kern w:val="0"/>
      <w:sz w:val="24"/>
      <w:szCs w:val="20"/>
    </w:rPr>
  </w:style>
  <w:style w:type="paragraph" w:customStyle="1" w:styleId="1991">
    <w:name w:val="框图-1"/>
    <w:basedOn w:val="1"/>
    <w:qFormat/>
    <w:uiPriority w:val="0"/>
    <w:pPr>
      <w:jc w:val="center"/>
    </w:pPr>
    <w:rPr>
      <w:rFonts w:eastAsia="仿宋_GB2312" w:cs="宋体"/>
      <w:snapToGrid w:val="0"/>
      <w:kern w:val="0"/>
      <w:szCs w:val="20"/>
    </w:rPr>
  </w:style>
  <w:style w:type="paragraph" w:customStyle="1" w:styleId="1992">
    <w:name w:val="表 头"/>
    <w:basedOn w:val="1"/>
    <w:qFormat/>
    <w:uiPriority w:val="0"/>
    <w:pPr>
      <w:adjustRightInd w:val="0"/>
      <w:spacing w:before="120" w:after="120" w:line="360" w:lineRule="atLeast"/>
      <w:jc w:val="center"/>
    </w:pPr>
    <w:rPr>
      <w:rFonts w:eastAsia="黑体"/>
      <w:spacing w:val="10"/>
      <w:kern w:val="0"/>
      <w:sz w:val="24"/>
      <w:szCs w:val="20"/>
    </w:rPr>
  </w:style>
  <w:style w:type="character" w:customStyle="1" w:styleId="1993">
    <w:name w:val="正文首行缩进 2 + Times New Roman Char"/>
    <w:qFormat/>
    <w:locked/>
    <w:uiPriority w:val="0"/>
    <w:rPr>
      <w:rFonts w:ascii="宋体" w:hAnsi="宋体" w:eastAsia="宋体"/>
      <w:kern w:val="2"/>
      <w:sz w:val="24"/>
      <w:szCs w:val="24"/>
      <w:lang w:val="en-US" w:eastAsia="zh-CN" w:bidi="ar-SA"/>
    </w:rPr>
  </w:style>
  <w:style w:type="paragraph" w:customStyle="1" w:styleId="1994">
    <w:name w:val="条目"/>
    <w:basedOn w:val="47"/>
    <w:next w:val="35"/>
    <w:qFormat/>
    <w:uiPriority w:val="0"/>
    <w:pPr>
      <w:ind w:firstLine="567"/>
      <w:outlineLvl w:val="4"/>
    </w:pPr>
    <w:rPr>
      <w:rFonts w:cs="Times New Roman"/>
      <w:sz w:val="24"/>
      <w:szCs w:val="20"/>
    </w:rPr>
  </w:style>
  <w:style w:type="paragraph" w:customStyle="1" w:styleId="1995">
    <w:name w:val="样式（大表格）"/>
    <w:basedOn w:val="161"/>
    <w:qFormat/>
    <w:uiPriority w:val="0"/>
    <w:pPr>
      <w:spacing w:beforeLines="0" w:line="400" w:lineRule="exact"/>
      <w:jc w:val="both"/>
    </w:pPr>
    <w:rPr>
      <w:snapToGrid/>
      <w:color w:val="FF0000"/>
      <w:kern w:val="2"/>
      <w:sz w:val="24"/>
    </w:rPr>
  </w:style>
  <w:style w:type="paragraph" w:customStyle="1" w:styleId="1996">
    <w:name w:val="Char Char Char Char Char Char Char Char Char1 Char Char Char Char Char Char Char"/>
    <w:basedOn w:val="1"/>
    <w:qFormat/>
    <w:uiPriority w:val="0"/>
    <w:rPr>
      <w:szCs w:val="21"/>
    </w:rPr>
  </w:style>
  <w:style w:type="character" w:customStyle="1" w:styleId="1997">
    <w:name w:val="black1"/>
    <w:qFormat/>
    <w:uiPriority w:val="0"/>
    <w:rPr>
      <w:rFonts w:ascii="宋体" w:hAnsi="宋体" w:eastAsia="宋体"/>
      <w:color w:val="000000"/>
      <w:kern w:val="2"/>
      <w:sz w:val="18"/>
      <w:szCs w:val="18"/>
      <w:u w:val="none"/>
      <w:lang w:val="en-US" w:eastAsia="zh-CN" w:bidi="ar-SA"/>
    </w:rPr>
  </w:style>
  <w:style w:type="paragraph" w:customStyle="1" w:styleId="1998">
    <w:name w:val="样式 标题 2 + 段前: 0.5 行 段后: 0.5 行"/>
    <w:basedOn w:val="5"/>
    <w:qFormat/>
    <w:uiPriority w:val="0"/>
    <w:pPr>
      <w:tabs>
        <w:tab w:val="left" w:pos="576"/>
        <w:tab w:val="clear" w:pos="0"/>
        <w:tab w:val="clear" w:pos="567"/>
      </w:tabs>
      <w:snapToGrid w:val="0"/>
      <w:spacing w:beforeLines="0" w:afterLines="0" w:line="300" w:lineRule="auto"/>
      <w:ind w:left="576" w:hanging="576"/>
    </w:pPr>
    <w:rPr>
      <w:rFonts w:eastAsia="宋体" w:cs="宋体"/>
      <w:bCs/>
      <w:spacing w:val="0"/>
      <w:kern w:val="2"/>
      <w:sz w:val="24"/>
      <w:szCs w:val="30"/>
    </w:rPr>
  </w:style>
  <w:style w:type="paragraph" w:customStyle="1" w:styleId="1999">
    <w:name w:val="Char Char Char Char Char"/>
    <w:basedOn w:val="1"/>
    <w:qFormat/>
    <w:uiPriority w:val="0"/>
    <w:rPr>
      <w:szCs w:val="21"/>
    </w:rPr>
  </w:style>
  <w:style w:type="paragraph" w:customStyle="1" w:styleId="2000">
    <w:name w:val="Char4 Char Char Char Char Char Char Char Char Char Char Char Char Char Char Char Char Char1 Char Char Char Char"/>
    <w:basedOn w:val="1"/>
    <w:qFormat/>
    <w:uiPriority w:val="0"/>
    <w:pPr>
      <w:spacing w:line="240" w:lineRule="exact"/>
      <w:ind w:firstLine="200" w:firstLineChars="200"/>
    </w:pPr>
    <w:rPr>
      <w:sz w:val="28"/>
      <w:szCs w:val="28"/>
    </w:rPr>
  </w:style>
  <w:style w:type="character" w:customStyle="1" w:styleId="2001">
    <w:name w:val="未命名11"/>
    <w:qFormat/>
    <w:uiPriority w:val="0"/>
    <w:rPr>
      <w:rFonts w:hint="eastAsia" w:ascii="宋体" w:hAnsi="宋体" w:eastAsia="宋体"/>
      <w:kern w:val="2"/>
      <w:sz w:val="18"/>
      <w:szCs w:val="18"/>
      <w:lang w:val="en-US" w:eastAsia="zh-CN" w:bidi="ar-SA"/>
    </w:rPr>
  </w:style>
  <w:style w:type="paragraph" w:customStyle="1" w:styleId="2002">
    <w:name w:val="Char Char Char1 Char Char Char Char Char Char Char Char Char Char Char Char Char Char Char1 Char Char Char Char Char Char Char Char Char Char Char Char Char Char Char Char Char Char Char Char Char Char Char Char Char Char Char"/>
    <w:basedOn w:val="1"/>
    <w:qFormat/>
    <w:uiPriority w:val="0"/>
    <w:pPr>
      <w:spacing w:line="240" w:lineRule="exact"/>
      <w:ind w:firstLine="200" w:firstLineChars="200"/>
    </w:pPr>
    <w:rPr>
      <w:sz w:val="28"/>
      <w:szCs w:val="28"/>
    </w:rPr>
  </w:style>
  <w:style w:type="paragraph" w:customStyle="1" w:styleId="2003">
    <w:name w:val="Char Char Char12"/>
    <w:basedOn w:val="1"/>
    <w:qFormat/>
    <w:uiPriority w:val="0"/>
    <w:rPr>
      <w:szCs w:val="21"/>
    </w:rPr>
  </w:style>
  <w:style w:type="paragraph" w:customStyle="1" w:styleId="2004">
    <w:name w:val="Char Char Char1 Char Char Char Char Char Char Char Char Char Char Char Char Char Char Char1 Char Char Char Char Char Char Char Char Char Char Char Char Char Char Char Char Char Char Char Char Char Char Char Char Char Char Char Char Char Char"/>
    <w:basedOn w:val="1"/>
    <w:qFormat/>
    <w:uiPriority w:val="0"/>
    <w:pPr>
      <w:spacing w:line="240" w:lineRule="exact"/>
      <w:ind w:firstLine="200" w:firstLineChars="200"/>
    </w:pPr>
    <w:rPr>
      <w:sz w:val="28"/>
      <w:szCs w:val="28"/>
    </w:rPr>
  </w:style>
  <w:style w:type="paragraph" w:customStyle="1" w:styleId="2005">
    <w:name w:val="Char Char Char1 Char Char Char Char Char Char Char Char Char"/>
    <w:basedOn w:val="1"/>
    <w:qFormat/>
    <w:uiPriority w:val="0"/>
    <w:rPr>
      <w:szCs w:val="21"/>
    </w:rPr>
  </w:style>
  <w:style w:type="paragraph" w:customStyle="1" w:styleId="2006">
    <w:name w:val="黑体标题"/>
    <w:basedOn w:val="1"/>
    <w:link w:val="2007"/>
    <w:qFormat/>
    <w:uiPriority w:val="0"/>
    <w:pPr>
      <w:spacing w:line="500" w:lineRule="exact"/>
      <w:ind w:firstLine="560" w:firstLineChars="200"/>
    </w:pPr>
    <w:rPr>
      <w:rFonts w:ascii="宋体" w:hAnsi="宋体"/>
      <w:sz w:val="28"/>
      <w:szCs w:val="20"/>
      <w:lang w:val="zh-CN"/>
    </w:rPr>
  </w:style>
  <w:style w:type="character" w:customStyle="1" w:styleId="2007">
    <w:name w:val="黑体标题 Char"/>
    <w:link w:val="2006"/>
    <w:qFormat/>
    <w:uiPriority w:val="0"/>
    <w:rPr>
      <w:rFonts w:ascii="宋体" w:hAnsi="宋体"/>
      <w:kern w:val="2"/>
      <w:sz w:val="28"/>
      <w:lang w:val="zh-CN" w:eastAsia="zh-CN"/>
    </w:rPr>
  </w:style>
  <w:style w:type="paragraph" w:customStyle="1" w:styleId="2008">
    <w:name w:val="默认段落字体 Para Char Char Char Char Char Char Char Char Char Char Char Char Char Char Char"/>
    <w:basedOn w:val="27"/>
    <w:qFormat/>
    <w:uiPriority w:val="0"/>
    <w:rPr>
      <w:rFonts w:ascii="Tahoma" w:hAnsi="Tahoma"/>
      <w:sz w:val="24"/>
      <w:lang w:val="zh-CN"/>
    </w:rPr>
  </w:style>
  <w:style w:type="paragraph" w:customStyle="1" w:styleId="2009">
    <w:name w:val="mp"/>
    <w:basedOn w:val="1"/>
    <w:qFormat/>
    <w:uiPriority w:val="0"/>
    <w:pPr>
      <w:widowControl/>
      <w:spacing w:before="100" w:beforeAutospacing="1" w:after="100" w:afterAutospacing="1" w:line="400" w:lineRule="atLeast"/>
      <w:ind w:firstLine="360"/>
    </w:pPr>
    <w:rPr>
      <w:rFonts w:ascii="ˎ̥" w:hAnsi="ˎ̥" w:cs="宋体"/>
      <w:color w:val="454D63"/>
      <w:kern w:val="0"/>
      <w:sz w:val="24"/>
    </w:rPr>
  </w:style>
  <w:style w:type="table" w:customStyle="1" w:styleId="2010">
    <w:name w:val="毛的表格"/>
    <w:basedOn w:val="88"/>
    <w:semiHidden/>
    <w:qFormat/>
    <w:uiPriority w:val="0"/>
    <w:pPr>
      <w:jc w:val="center"/>
    </w:pPr>
    <w:rPr>
      <w:sz w:val="24"/>
    </w:rPr>
    <w:tblP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
    <w:tcPr>
      <w:vAlign w:val="center"/>
    </w:tcPr>
  </w:style>
  <w:style w:type="paragraph" w:customStyle="1" w:styleId="2011">
    <w:name w:val="标题正1"/>
    <w:basedOn w:val="1"/>
    <w:qFormat/>
    <w:uiPriority w:val="0"/>
    <w:pPr>
      <w:spacing w:before="60" w:after="60" w:line="500" w:lineRule="exact"/>
    </w:pPr>
    <w:rPr>
      <w:rFonts w:ascii="黑体" w:eastAsia="黑体"/>
      <w:sz w:val="32"/>
      <w:szCs w:val="28"/>
    </w:rPr>
  </w:style>
  <w:style w:type="paragraph" w:customStyle="1" w:styleId="2012">
    <w:name w:val="Char2 Char Char Char Char Char"/>
    <w:basedOn w:val="1"/>
    <w:qFormat/>
    <w:uiPriority w:val="0"/>
    <w:rPr>
      <w:sz w:val="24"/>
    </w:rPr>
  </w:style>
  <w:style w:type="character" w:customStyle="1" w:styleId="2013">
    <w:name w:val="黑体标题 Char Char"/>
    <w:qFormat/>
    <w:uiPriority w:val="0"/>
    <w:rPr>
      <w:rFonts w:ascii="宋体" w:hAnsi="宋体" w:eastAsia="宋体"/>
      <w:kern w:val="2"/>
      <w:sz w:val="28"/>
      <w:szCs w:val="18"/>
      <w:lang w:val="en-US" w:eastAsia="zh-CN" w:bidi="ar-SA"/>
    </w:rPr>
  </w:style>
  <w:style w:type="paragraph" w:customStyle="1" w:styleId="2014">
    <w:name w:val="Char Char Char Char1 Char Char Char Char Char Char Char"/>
    <w:basedOn w:val="1"/>
    <w:qFormat/>
    <w:uiPriority w:val="0"/>
    <w:pPr>
      <w:tabs>
        <w:tab w:val="left" w:pos="360"/>
      </w:tabs>
      <w:snapToGrid w:val="0"/>
      <w:spacing w:line="360" w:lineRule="auto"/>
    </w:pPr>
    <w:rPr>
      <w:rFonts w:eastAsia="仿宋_GB2312" w:cs="宋体"/>
      <w:sz w:val="24"/>
    </w:rPr>
  </w:style>
  <w:style w:type="paragraph" w:customStyle="1" w:styleId="2015">
    <w:name w:val="little"/>
    <w:basedOn w:val="1"/>
    <w:qFormat/>
    <w:uiPriority w:val="0"/>
    <w:pPr>
      <w:widowControl/>
      <w:spacing w:before="100" w:beforeAutospacing="1" w:after="100" w:afterAutospacing="1"/>
      <w:jc w:val="left"/>
    </w:pPr>
    <w:rPr>
      <w:rFonts w:ascii="宋体" w:hAnsi="宋体" w:cs="宋体"/>
      <w:kern w:val="0"/>
      <w:sz w:val="24"/>
    </w:rPr>
  </w:style>
  <w:style w:type="paragraph" w:customStyle="1" w:styleId="2016">
    <w:name w:val="流程图"/>
    <w:basedOn w:val="1"/>
    <w:qFormat/>
    <w:uiPriority w:val="0"/>
    <w:pPr>
      <w:tabs>
        <w:tab w:val="left" w:pos="0"/>
      </w:tabs>
      <w:autoSpaceDE w:val="0"/>
      <w:autoSpaceDN w:val="0"/>
      <w:adjustRightInd w:val="0"/>
      <w:spacing w:line="240" w:lineRule="atLeast"/>
      <w:jc w:val="center"/>
      <w:textAlignment w:val="bottom"/>
    </w:pPr>
    <w:rPr>
      <w:rFonts w:ascii="宋体" w:cs="宋体"/>
      <w:szCs w:val="21"/>
    </w:rPr>
  </w:style>
  <w:style w:type="character" w:customStyle="1" w:styleId="2017">
    <w:name w:val="我的样式（正文） Char Char"/>
    <w:qFormat/>
    <w:uiPriority w:val="0"/>
    <w:rPr>
      <w:rFonts w:ascii="宋体" w:hAnsi="华文楷体" w:eastAsia="宋体" w:cs="宋体"/>
      <w:kern w:val="2"/>
      <w:sz w:val="24"/>
      <w:szCs w:val="24"/>
      <w:lang w:val="en-US" w:eastAsia="zh-CN" w:bidi="ar-SA"/>
    </w:rPr>
  </w:style>
  <w:style w:type="paragraph" w:customStyle="1" w:styleId="2018">
    <w:name w:val="Char Char Char Char Char Char Char Char Char Char Char Char Char Char Char Char Char Char Char Char Char Char Char Char Char Char Char Char Char Char Char Char Char Char Char Char Char Char Char Char1"/>
    <w:basedOn w:val="1"/>
    <w:qFormat/>
    <w:uiPriority w:val="0"/>
    <w:rPr>
      <w:sz w:val="24"/>
    </w:rPr>
  </w:style>
  <w:style w:type="paragraph" w:customStyle="1" w:styleId="2019">
    <w:name w:val="样式 左侧:  -0.16 厘米"/>
    <w:basedOn w:val="1"/>
    <w:qFormat/>
    <w:uiPriority w:val="0"/>
    <w:pPr>
      <w:ind w:left="-90"/>
    </w:pPr>
    <w:rPr>
      <w:rFonts w:ascii="宋体" w:hAnsi="宋体" w:cs="宋体"/>
      <w:snapToGrid w:val="0"/>
      <w:kern w:val="0"/>
      <w:sz w:val="24"/>
    </w:rPr>
  </w:style>
  <w:style w:type="paragraph" w:customStyle="1" w:styleId="2020">
    <w:name w:val="样式 五号 居中"/>
    <w:basedOn w:val="1"/>
    <w:qFormat/>
    <w:uiPriority w:val="0"/>
    <w:pPr>
      <w:jc w:val="center"/>
    </w:pPr>
    <w:rPr>
      <w:rFonts w:ascii="宋体" w:hAnsi="宋体" w:cs="宋体"/>
      <w:snapToGrid w:val="0"/>
      <w:kern w:val="0"/>
      <w:szCs w:val="21"/>
    </w:rPr>
  </w:style>
  <w:style w:type="paragraph" w:customStyle="1" w:styleId="2021">
    <w:name w:val="样式 左侧:  -0.16 厘米1"/>
    <w:basedOn w:val="1"/>
    <w:qFormat/>
    <w:uiPriority w:val="0"/>
    <w:pPr>
      <w:ind w:left="-90"/>
    </w:pPr>
    <w:rPr>
      <w:rFonts w:ascii="宋体" w:hAnsi="宋体" w:cs="宋体"/>
      <w:snapToGrid w:val="0"/>
      <w:kern w:val="0"/>
      <w:sz w:val="24"/>
    </w:rPr>
  </w:style>
  <w:style w:type="paragraph" w:customStyle="1" w:styleId="2022">
    <w:name w:val="样式 首行缩进:  0.77 厘米 行距: 1.5 倍行距"/>
    <w:basedOn w:val="1"/>
    <w:qFormat/>
    <w:uiPriority w:val="0"/>
    <w:pPr>
      <w:spacing w:line="360" w:lineRule="auto"/>
      <w:ind w:firstLine="435"/>
    </w:pPr>
    <w:rPr>
      <w:rFonts w:ascii="宋体" w:hAnsi="宋体" w:cs="宋体"/>
      <w:snapToGrid w:val="0"/>
      <w:kern w:val="0"/>
      <w:sz w:val="24"/>
    </w:rPr>
  </w:style>
  <w:style w:type="paragraph" w:customStyle="1" w:styleId="2023">
    <w:name w:val="样式 标题 3标题 3 Char CharH3h33rd level标题3 + 段前: 0.5 行"/>
    <w:basedOn w:val="6"/>
    <w:qFormat/>
    <w:uiPriority w:val="0"/>
    <w:pPr>
      <w:keepNext w:val="0"/>
      <w:keepLines w:val="0"/>
      <w:widowControl/>
      <w:spacing w:before="0" w:after="0" w:line="480" w:lineRule="exact"/>
      <w:ind w:firstLine="560" w:firstLineChars="200"/>
      <w:outlineLvl w:val="9"/>
    </w:pPr>
    <w:rPr>
      <w:rFonts w:ascii="楷体_GB2312" w:hAnsi="宋体" w:eastAsia="楷体_GB2312"/>
      <w:b w:val="0"/>
      <w:color w:val="FF0000"/>
      <w:sz w:val="28"/>
      <w:szCs w:val="28"/>
    </w:rPr>
  </w:style>
  <w:style w:type="paragraph" w:customStyle="1" w:styleId="2024">
    <w:name w:val="初设正文"/>
    <w:basedOn w:val="1"/>
    <w:qFormat/>
    <w:uiPriority w:val="0"/>
    <w:pPr>
      <w:spacing w:after="120" w:line="440" w:lineRule="exact"/>
      <w:ind w:left="425" w:firstLine="425"/>
    </w:pPr>
    <w:rPr>
      <w:rFonts w:ascii="Arial" w:hAnsi="Arial" w:cs="宋体"/>
      <w:kern w:val="0"/>
      <w:sz w:val="24"/>
      <w:szCs w:val="20"/>
    </w:rPr>
  </w:style>
  <w:style w:type="paragraph" w:customStyle="1" w:styleId="2025">
    <w:name w:val="T正文"/>
    <w:qFormat/>
    <w:uiPriority w:val="0"/>
    <w:pPr>
      <w:widowControl w:val="0"/>
      <w:adjustRightInd w:val="0"/>
      <w:snapToGrid w:val="0"/>
      <w:spacing w:line="360" w:lineRule="auto"/>
      <w:ind w:firstLine="200" w:firstLineChars="200"/>
      <w:jc w:val="both"/>
    </w:pPr>
    <w:rPr>
      <w:rFonts w:ascii="Times New Roman" w:hAnsi="Times New Roman" w:eastAsia="仿宋_GB2312" w:cs="Times New Roman"/>
      <w:sz w:val="28"/>
      <w:lang w:val="en-US" w:eastAsia="zh-CN" w:bidi="ar-SA"/>
    </w:rPr>
  </w:style>
  <w:style w:type="paragraph" w:customStyle="1" w:styleId="2026">
    <w:name w:val="引言"/>
    <w:basedOn w:val="1"/>
    <w:next w:val="1"/>
    <w:qFormat/>
    <w:uiPriority w:val="0"/>
    <w:pPr>
      <w:snapToGrid w:val="0"/>
      <w:jc w:val="center"/>
    </w:pPr>
    <w:rPr>
      <w:rFonts w:ascii="仿宋_GB2312" w:eastAsia="仿宋_GB2312"/>
      <w:color w:val="000000"/>
      <w:sz w:val="24"/>
    </w:rPr>
  </w:style>
  <w:style w:type="paragraph" w:customStyle="1" w:styleId="2027">
    <w:name w:val="正文(首行缩进)宋旭峰"/>
    <w:basedOn w:val="22"/>
    <w:link w:val="2028"/>
    <w:qFormat/>
    <w:uiPriority w:val="0"/>
    <w:pPr>
      <w:spacing w:line="500" w:lineRule="exact"/>
      <w:ind w:firstLine="560"/>
      <w:contextualSpacing/>
    </w:pPr>
    <w:rPr>
      <w:rFonts w:ascii="楷体_GB2312" w:hAnsi="宋体" w:eastAsia="楷体_GB2312"/>
      <w:snapToGrid w:val="0"/>
      <w:kern w:val="0"/>
      <w:sz w:val="28"/>
      <w:szCs w:val="28"/>
      <w:lang w:val="zh-CN"/>
    </w:rPr>
  </w:style>
  <w:style w:type="character" w:customStyle="1" w:styleId="2028">
    <w:name w:val="正文(首行缩进)宋旭峰 Char Char"/>
    <w:link w:val="2027"/>
    <w:qFormat/>
    <w:uiPriority w:val="0"/>
    <w:rPr>
      <w:rFonts w:ascii="楷体_GB2312" w:hAnsi="宋体" w:eastAsia="楷体_GB2312"/>
      <w:snapToGrid w:val="0"/>
      <w:sz w:val="28"/>
      <w:szCs w:val="28"/>
      <w:lang w:val="zh-CN" w:eastAsia="zh-CN"/>
    </w:rPr>
  </w:style>
  <w:style w:type="paragraph" w:customStyle="1" w:styleId="2029">
    <w:name w:val="表、图名宋旭峰"/>
    <w:basedOn w:val="1"/>
    <w:qFormat/>
    <w:uiPriority w:val="0"/>
    <w:pPr>
      <w:spacing w:beforeLines="50" w:line="360" w:lineRule="auto"/>
      <w:jc w:val="center"/>
    </w:pPr>
    <w:rPr>
      <w:rFonts w:ascii="黑体" w:hAnsi="宋体" w:eastAsia="黑体"/>
      <w:snapToGrid w:val="0"/>
      <w:kern w:val="0"/>
      <w:szCs w:val="21"/>
    </w:rPr>
  </w:style>
  <w:style w:type="paragraph" w:customStyle="1" w:styleId="2030">
    <w:name w:val="表体宋旭峰"/>
    <w:basedOn w:val="1"/>
    <w:qFormat/>
    <w:uiPriority w:val="0"/>
    <w:pPr>
      <w:overflowPunct w:val="0"/>
      <w:spacing w:line="320" w:lineRule="exact"/>
      <w:jc w:val="center"/>
      <w:textAlignment w:val="baseline"/>
    </w:pPr>
    <w:rPr>
      <w:rFonts w:ascii="楷体_GB2312" w:eastAsia="楷体_GB2312" w:cs="Courier New"/>
      <w:snapToGrid w:val="0"/>
      <w:spacing w:val="-20"/>
      <w:kern w:val="0"/>
      <w:szCs w:val="21"/>
    </w:rPr>
  </w:style>
  <w:style w:type="character" w:customStyle="1" w:styleId="2031">
    <w:name w:val="表注 Char"/>
    <w:link w:val="773"/>
    <w:qFormat/>
    <w:uiPriority w:val="0"/>
    <w:rPr>
      <w:kern w:val="15"/>
      <w:sz w:val="15"/>
    </w:rPr>
  </w:style>
  <w:style w:type="paragraph" w:customStyle="1" w:styleId="2032">
    <w:name w:val="Char Char Char Char Char Char Char Char Char Char Char Char Char Char Char Char Char Char Char Char Char Char Char Char Char Char Char Char"/>
    <w:basedOn w:val="1"/>
    <w:qFormat/>
    <w:uiPriority w:val="0"/>
    <w:rPr>
      <w:sz w:val="24"/>
    </w:rPr>
  </w:style>
  <w:style w:type="paragraph" w:customStyle="1" w:styleId="2033">
    <w:name w:val="Char Char Char Char Char Char Char Char Char Char Char Char Char Char Char Char Char Char Char Char Char Char Char Char Char Char Char Char Char Char Char Char Char Char"/>
    <w:basedOn w:val="1"/>
    <w:qFormat/>
    <w:uiPriority w:val="0"/>
    <w:rPr>
      <w:sz w:val="24"/>
    </w:rPr>
  </w:style>
  <w:style w:type="paragraph" w:customStyle="1" w:styleId="2034">
    <w:name w:val="样式 首行缩进:  1.71 字符"/>
    <w:basedOn w:val="1"/>
    <w:qFormat/>
    <w:uiPriority w:val="0"/>
    <w:pPr>
      <w:spacing w:line="360" w:lineRule="auto"/>
      <w:jc w:val="center"/>
    </w:pPr>
    <w:rPr>
      <w:rFonts w:ascii="宋体" w:hAnsi="宋体"/>
      <w:color w:val="000000"/>
      <w:kern w:val="0"/>
      <w:szCs w:val="21"/>
    </w:rPr>
  </w:style>
  <w:style w:type="character" w:customStyle="1" w:styleId="2035">
    <w:name w:val="attach-title1"/>
    <w:qFormat/>
    <w:uiPriority w:val="0"/>
    <w:rPr>
      <w:b/>
      <w:bCs/>
      <w:color w:val="008080"/>
      <w:spacing w:val="360"/>
      <w:w w:val="75"/>
      <w:sz w:val="27"/>
      <w:szCs w:val="27"/>
    </w:rPr>
  </w:style>
  <w:style w:type="paragraph" w:customStyle="1" w:styleId="2036">
    <w:name w:val="条款"/>
    <w:basedOn w:val="1"/>
    <w:qFormat/>
    <w:uiPriority w:val="0"/>
    <w:rPr>
      <w:szCs w:val="20"/>
    </w:rPr>
  </w:style>
  <w:style w:type="paragraph" w:customStyle="1" w:styleId="2037">
    <w:name w:val="Char1 Char Char Char Char Char"/>
    <w:basedOn w:val="1"/>
    <w:qFormat/>
    <w:uiPriority w:val="0"/>
    <w:rPr>
      <w:szCs w:val="21"/>
    </w:rPr>
  </w:style>
  <w:style w:type="character" w:customStyle="1" w:styleId="2038">
    <w:name w:val="环正文 Char4"/>
    <w:link w:val="1781"/>
    <w:qFormat/>
    <w:uiPriority w:val="0"/>
    <w:rPr>
      <w:rFonts w:hAnsi="宋体"/>
      <w:color w:val="FF0000"/>
      <w:sz w:val="21"/>
      <w:lang w:val="zh-CN" w:eastAsia="zh-CN"/>
    </w:rPr>
  </w:style>
  <w:style w:type="character" w:customStyle="1" w:styleId="2039">
    <w:name w:val="环表头 Char2"/>
    <w:link w:val="1052"/>
    <w:qFormat/>
    <w:uiPriority w:val="0"/>
    <w:rPr>
      <w:rFonts w:ascii="仿宋_GB2312" w:hAnsi="宋体" w:eastAsia="仿宋_GB2312"/>
      <w:b/>
      <w:sz w:val="21"/>
      <w:szCs w:val="21"/>
    </w:rPr>
  </w:style>
  <w:style w:type="paragraph" w:customStyle="1" w:styleId="2040">
    <w:name w:val="环标3"/>
    <w:basedOn w:val="6"/>
    <w:qFormat/>
    <w:uiPriority w:val="0"/>
    <w:pPr>
      <w:keepNext w:val="0"/>
      <w:keepLines w:val="0"/>
      <w:tabs>
        <w:tab w:val="left" w:pos="976"/>
      </w:tabs>
      <w:adjustRightInd w:val="0"/>
      <w:spacing w:before="0" w:after="0" w:line="312" w:lineRule="atLeast"/>
      <w:jc w:val="left"/>
      <w:textAlignment w:val="baseline"/>
    </w:pPr>
    <w:rPr>
      <w:rFonts w:ascii="宋体" w:hAnsi="宋体"/>
      <w:b w:val="0"/>
      <w:bCs w:val="0"/>
      <w:color w:val="000000"/>
      <w:sz w:val="24"/>
      <w:szCs w:val="24"/>
    </w:rPr>
  </w:style>
  <w:style w:type="paragraph" w:customStyle="1" w:styleId="2041">
    <w:name w:val="正文格式1"/>
    <w:basedOn w:val="1"/>
    <w:qFormat/>
    <w:uiPriority w:val="0"/>
    <w:pPr>
      <w:spacing w:line="360" w:lineRule="auto"/>
      <w:ind w:firstLine="482"/>
    </w:pPr>
    <w:rPr>
      <w:rFonts w:ascii="宋体" w:hAnsi="宋体"/>
      <w:sz w:val="24"/>
    </w:rPr>
  </w:style>
  <w:style w:type="paragraph" w:customStyle="1" w:styleId="2042">
    <w:name w:val="表题123"/>
    <w:basedOn w:val="23"/>
    <w:qFormat/>
    <w:uiPriority w:val="0"/>
    <w:pPr>
      <w:tabs>
        <w:tab w:val="clear" w:pos="7380"/>
      </w:tabs>
      <w:overflowPunct/>
      <w:spacing w:before="0" w:afterLines="0" w:line="360" w:lineRule="auto"/>
      <w:jc w:val="center"/>
    </w:pPr>
    <w:rPr>
      <w:rFonts w:ascii="黑体" w:cs="Times New Roman"/>
      <w:sz w:val="24"/>
      <w:szCs w:val="24"/>
    </w:rPr>
  </w:style>
  <w:style w:type="paragraph" w:customStyle="1" w:styleId="2043">
    <w:name w:val="正文格式53"/>
    <w:basedOn w:val="1"/>
    <w:qFormat/>
    <w:uiPriority w:val="0"/>
    <w:pPr>
      <w:spacing w:line="360" w:lineRule="auto"/>
      <w:ind w:firstLine="482"/>
    </w:pPr>
    <w:rPr>
      <w:rFonts w:ascii="宋体" w:hAnsi="宋体"/>
      <w:sz w:val="24"/>
    </w:rPr>
  </w:style>
  <w:style w:type="paragraph" w:customStyle="1" w:styleId="2044">
    <w:name w:val="表题2113"/>
    <w:basedOn w:val="1"/>
    <w:qFormat/>
    <w:uiPriority w:val="0"/>
    <w:pPr>
      <w:widowControl/>
      <w:adjustRightInd w:val="0"/>
      <w:snapToGrid w:val="0"/>
      <w:jc w:val="center"/>
    </w:pPr>
    <w:rPr>
      <w:rFonts w:ascii="黑体" w:hAnsi="宋体" w:eastAsia="黑体" w:cs="宋体"/>
      <w:kern w:val="0"/>
      <w:sz w:val="24"/>
    </w:rPr>
  </w:style>
  <w:style w:type="paragraph" w:customStyle="1" w:styleId="2045">
    <w:name w:val="表内宋5中14"/>
    <w:basedOn w:val="1"/>
    <w:qFormat/>
    <w:uiPriority w:val="0"/>
    <w:pPr>
      <w:adjustRightInd w:val="0"/>
      <w:snapToGrid w:val="0"/>
      <w:jc w:val="center"/>
      <w:textAlignment w:val="baseline"/>
    </w:pPr>
    <w:rPr>
      <w:rFonts w:ascii="宋体" w:hAnsi="宋体" w:cs="宋体"/>
      <w:kern w:val="0"/>
      <w:szCs w:val="20"/>
    </w:rPr>
  </w:style>
  <w:style w:type="paragraph" w:customStyle="1" w:styleId="2046">
    <w:name w:val="表内文字小113"/>
    <w:basedOn w:val="1"/>
    <w:qFormat/>
    <w:uiPriority w:val="0"/>
    <w:pPr>
      <w:adjustRightInd w:val="0"/>
      <w:snapToGrid w:val="0"/>
    </w:pPr>
    <w:rPr>
      <w:rFonts w:ascii="宋体" w:hAnsi="Times" w:cs="宋体"/>
      <w:szCs w:val="20"/>
    </w:rPr>
  </w:style>
  <w:style w:type="paragraph" w:customStyle="1" w:styleId="2047">
    <w:name w:val="表题1413"/>
    <w:basedOn w:val="1"/>
    <w:qFormat/>
    <w:uiPriority w:val="0"/>
    <w:pPr>
      <w:widowControl/>
      <w:adjustRightInd w:val="0"/>
      <w:snapToGrid w:val="0"/>
      <w:jc w:val="center"/>
    </w:pPr>
    <w:rPr>
      <w:rFonts w:ascii="黑体" w:hAnsi="宋体" w:eastAsia="黑体" w:cs="宋体"/>
      <w:kern w:val="0"/>
      <w:sz w:val="24"/>
    </w:rPr>
  </w:style>
  <w:style w:type="paragraph" w:customStyle="1" w:styleId="2048">
    <w:name w:val="表内文字小83"/>
    <w:basedOn w:val="1"/>
    <w:qFormat/>
    <w:uiPriority w:val="0"/>
    <w:pPr>
      <w:adjustRightInd w:val="0"/>
      <w:snapToGrid w:val="0"/>
      <w:jc w:val="center"/>
    </w:pPr>
    <w:rPr>
      <w:rFonts w:ascii="宋体" w:hAnsi="Times" w:cs="宋体"/>
      <w:szCs w:val="20"/>
    </w:rPr>
  </w:style>
  <w:style w:type="paragraph" w:customStyle="1" w:styleId="2049">
    <w:name w:val="Default3"/>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customStyle="1" w:styleId="2050">
    <w:name w:val="正文格式73"/>
    <w:basedOn w:val="1"/>
    <w:qFormat/>
    <w:uiPriority w:val="0"/>
    <w:pPr>
      <w:spacing w:line="360" w:lineRule="auto"/>
      <w:ind w:firstLine="482"/>
    </w:pPr>
    <w:rPr>
      <w:rFonts w:ascii="宋体" w:hAnsi="宋体"/>
      <w:sz w:val="24"/>
    </w:rPr>
  </w:style>
  <w:style w:type="paragraph" w:customStyle="1" w:styleId="2051">
    <w:name w:val="表题144"/>
    <w:basedOn w:val="23"/>
    <w:qFormat/>
    <w:uiPriority w:val="0"/>
    <w:pPr>
      <w:tabs>
        <w:tab w:val="clear" w:pos="7380"/>
      </w:tabs>
      <w:overflowPunct/>
      <w:spacing w:before="0" w:afterLines="0" w:line="360" w:lineRule="auto"/>
      <w:jc w:val="center"/>
    </w:pPr>
    <w:rPr>
      <w:rFonts w:ascii="黑体" w:cs="Times New Roman"/>
      <w:b/>
      <w:sz w:val="24"/>
      <w:szCs w:val="24"/>
    </w:rPr>
  </w:style>
  <w:style w:type="paragraph" w:customStyle="1" w:styleId="2052">
    <w:name w:val="表中文字33"/>
    <w:basedOn w:val="1"/>
    <w:qFormat/>
    <w:uiPriority w:val="0"/>
    <w:pPr>
      <w:widowControl/>
      <w:spacing w:line="240" w:lineRule="atLeast"/>
      <w:ind w:left="-24" w:leftChars="-10" w:right="-48" w:rightChars="-20"/>
      <w:jc w:val="center"/>
    </w:pPr>
    <w:rPr>
      <w:rFonts w:ascii="宋体"/>
      <w:kern w:val="0"/>
      <w:szCs w:val="21"/>
    </w:rPr>
  </w:style>
  <w:style w:type="paragraph" w:customStyle="1" w:styleId="2053">
    <w:name w:val="表格内字体"/>
    <w:basedOn w:val="223"/>
    <w:next w:val="223"/>
    <w:link w:val="2054"/>
    <w:qFormat/>
    <w:uiPriority w:val="0"/>
    <w:pPr>
      <w:spacing w:line="240" w:lineRule="auto"/>
      <w:ind w:firstLine="0"/>
      <w:jc w:val="center"/>
    </w:pPr>
    <w:rPr>
      <w:rFonts w:hAnsi="宋体" w:cs="Times New Roman"/>
      <w:sz w:val="21"/>
      <w:lang w:val="zh-CN"/>
    </w:rPr>
  </w:style>
  <w:style w:type="character" w:customStyle="1" w:styleId="2054">
    <w:name w:val="表格内字体 Char"/>
    <w:link w:val="2053"/>
    <w:qFormat/>
    <w:uiPriority w:val="0"/>
    <w:rPr>
      <w:rFonts w:ascii="宋体" w:hAnsi="宋体"/>
      <w:kern w:val="2"/>
      <w:sz w:val="21"/>
      <w:szCs w:val="24"/>
      <w:lang w:val="zh-CN" w:eastAsia="zh-CN"/>
    </w:rPr>
  </w:style>
  <w:style w:type="character" w:customStyle="1" w:styleId="2055">
    <w:name w:val="表题1 Char"/>
    <w:link w:val="308"/>
    <w:qFormat/>
    <w:uiPriority w:val="0"/>
    <w:rPr>
      <w:snapToGrid w:val="0"/>
      <w:sz w:val="24"/>
    </w:rPr>
  </w:style>
  <w:style w:type="paragraph" w:customStyle="1" w:styleId="2056">
    <w:name w:val="燕山正文"/>
    <w:basedOn w:val="1"/>
    <w:link w:val="2057"/>
    <w:qFormat/>
    <w:uiPriority w:val="0"/>
    <w:pPr>
      <w:tabs>
        <w:tab w:val="left" w:pos="4680"/>
      </w:tabs>
      <w:adjustRightInd w:val="0"/>
      <w:snapToGrid w:val="0"/>
      <w:spacing w:line="480" w:lineRule="exact"/>
    </w:pPr>
    <w:rPr>
      <w:rFonts w:ascii="宋体"/>
      <w:sz w:val="24"/>
      <w:lang w:val="zh-CN"/>
    </w:rPr>
  </w:style>
  <w:style w:type="character" w:customStyle="1" w:styleId="2057">
    <w:name w:val="燕山正文 Char1"/>
    <w:link w:val="2056"/>
    <w:qFormat/>
    <w:uiPriority w:val="0"/>
    <w:rPr>
      <w:rFonts w:ascii="宋体"/>
      <w:kern w:val="2"/>
      <w:sz w:val="24"/>
      <w:szCs w:val="24"/>
      <w:lang w:val="zh-CN" w:eastAsia="zh-CN"/>
    </w:rPr>
  </w:style>
  <w:style w:type="paragraph" w:customStyle="1" w:styleId="2058">
    <w:name w:val="正文修改"/>
    <w:basedOn w:val="2056"/>
    <w:link w:val="2059"/>
    <w:qFormat/>
    <w:uiPriority w:val="0"/>
    <w:rPr>
      <w:rFonts w:hAnsi="宋体"/>
      <w:color w:val="000000"/>
    </w:rPr>
  </w:style>
  <w:style w:type="character" w:customStyle="1" w:styleId="2059">
    <w:name w:val="正文修改 Char1"/>
    <w:link w:val="2058"/>
    <w:qFormat/>
    <w:uiPriority w:val="0"/>
    <w:rPr>
      <w:rFonts w:ascii="宋体" w:hAnsi="宋体"/>
      <w:color w:val="000000"/>
      <w:kern w:val="2"/>
      <w:sz w:val="24"/>
      <w:szCs w:val="24"/>
      <w:lang w:val="zh-CN" w:eastAsia="zh-CN"/>
    </w:rPr>
  </w:style>
  <w:style w:type="character" w:customStyle="1" w:styleId="2060">
    <w:name w:val="表中文字 Char2"/>
    <w:link w:val="909"/>
    <w:qFormat/>
    <w:uiPriority w:val="0"/>
    <w:rPr>
      <w:kern w:val="2"/>
      <w:sz w:val="21"/>
    </w:rPr>
  </w:style>
  <w:style w:type="paragraph" w:customStyle="1" w:styleId="2061">
    <w:name w:val="图题6"/>
    <w:basedOn w:val="223"/>
    <w:next w:val="223"/>
    <w:link w:val="2062"/>
    <w:qFormat/>
    <w:uiPriority w:val="0"/>
    <w:pPr>
      <w:ind w:firstLine="0"/>
      <w:jc w:val="center"/>
    </w:pPr>
    <w:rPr>
      <w:rFonts w:ascii="黑体" w:hAnsi="宋体" w:eastAsia="黑体" w:cs="Times New Roman"/>
      <w:b/>
      <w:bCs/>
      <w:kern w:val="0"/>
      <w:lang w:val="zh-CN"/>
    </w:rPr>
  </w:style>
  <w:style w:type="character" w:customStyle="1" w:styleId="2062">
    <w:name w:val="图题 Char"/>
    <w:link w:val="2061"/>
    <w:qFormat/>
    <w:uiPriority w:val="0"/>
    <w:rPr>
      <w:rFonts w:ascii="黑体" w:hAnsi="宋体" w:eastAsia="黑体"/>
      <w:b/>
      <w:bCs/>
      <w:sz w:val="24"/>
      <w:szCs w:val="24"/>
      <w:lang w:val="zh-CN" w:eastAsia="zh-CN"/>
    </w:rPr>
  </w:style>
  <w:style w:type="paragraph" w:customStyle="1" w:styleId="2063">
    <w:name w:val="图表题"/>
    <w:basedOn w:val="223"/>
    <w:next w:val="223"/>
    <w:link w:val="2064"/>
    <w:qFormat/>
    <w:uiPriority w:val="0"/>
    <w:pPr>
      <w:ind w:firstLine="0"/>
      <w:jc w:val="center"/>
    </w:pPr>
    <w:rPr>
      <w:rFonts w:ascii="黑体" w:hAnsi="宋体" w:eastAsia="黑体" w:cs="Times New Roman"/>
      <w:b/>
      <w:bCs/>
      <w:lang w:val="zh-CN"/>
    </w:rPr>
  </w:style>
  <w:style w:type="character" w:customStyle="1" w:styleId="2064">
    <w:name w:val="图表题 Char"/>
    <w:link w:val="2063"/>
    <w:qFormat/>
    <w:uiPriority w:val="0"/>
    <w:rPr>
      <w:rFonts w:ascii="黑体" w:hAnsi="宋体" w:eastAsia="黑体"/>
      <w:b/>
      <w:bCs/>
      <w:kern w:val="2"/>
      <w:sz w:val="24"/>
      <w:szCs w:val="24"/>
      <w:lang w:val="zh-CN" w:eastAsia="zh-CN"/>
    </w:rPr>
  </w:style>
  <w:style w:type="paragraph" w:customStyle="1" w:styleId="2065">
    <w:name w:val="样式 表格内字体 +"/>
    <w:basedOn w:val="2053"/>
    <w:link w:val="2066"/>
    <w:qFormat/>
    <w:uiPriority w:val="0"/>
    <w:pPr>
      <w:spacing w:line="280" w:lineRule="exact"/>
      <w:ind w:firstLine="36"/>
      <w:jc w:val="both"/>
    </w:pPr>
    <w:rPr>
      <w:kern w:val="0"/>
    </w:rPr>
  </w:style>
  <w:style w:type="character" w:customStyle="1" w:styleId="2066">
    <w:name w:val="样式 表格内字体 + Char"/>
    <w:link w:val="2065"/>
    <w:qFormat/>
    <w:uiPriority w:val="0"/>
    <w:rPr>
      <w:rFonts w:ascii="宋体" w:hAnsi="宋体"/>
      <w:sz w:val="21"/>
      <w:szCs w:val="24"/>
      <w:lang w:val="zh-CN" w:eastAsia="zh-CN"/>
    </w:rPr>
  </w:style>
  <w:style w:type="paragraph" w:customStyle="1" w:styleId="2067">
    <w:name w:val="A正文"/>
    <w:basedOn w:val="1"/>
    <w:link w:val="2068"/>
    <w:qFormat/>
    <w:uiPriority w:val="0"/>
    <w:pPr>
      <w:widowControl/>
      <w:overflowPunct w:val="0"/>
      <w:autoSpaceDE w:val="0"/>
      <w:autoSpaceDN w:val="0"/>
      <w:adjustRightInd w:val="0"/>
      <w:spacing w:line="360" w:lineRule="auto"/>
      <w:ind w:firstLine="200" w:firstLineChars="200"/>
      <w:jc w:val="left"/>
      <w:textAlignment w:val="baseline"/>
    </w:pPr>
    <w:rPr>
      <w:rFonts w:eastAsia="仿宋_GB2312"/>
      <w:kern w:val="0"/>
      <w:sz w:val="24"/>
      <w:lang w:val="zh-CN"/>
    </w:rPr>
  </w:style>
  <w:style w:type="character" w:customStyle="1" w:styleId="2068">
    <w:name w:val="A正文 Char"/>
    <w:link w:val="2067"/>
    <w:qFormat/>
    <w:uiPriority w:val="0"/>
    <w:rPr>
      <w:rFonts w:eastAsia="仿宋_GB2312"/>
      <w:sz w:val="24"/>
      <w:szCs w:val="24"/>
      <w:lang w:val="zh-CN" w:eastAsia="zh-CN"/>
    </w:rPr>
  </w:style>
  <w:style w:type="paragraph" w:customStyle="1" w:styleId="2069">
    <w:name w:val="图题注"/>
    <w:basedOn w:val="23"/>
    <w:link w:val="2070"/>
    <w:qFormat/>
    <w:uiPriority w:val="0"/>
    <w:pPr>
      <w:tabs>
        <w:tab w:val="clear" w:pos="7380"/>
      </w:tabs>
      <w:overflowPunct/>
      <w:spacing w:before="0" w:afterLines="0"/>
      <w:jc w:val="center"/>
    </w:pPr>
    <w:rPr>
      <w:rFonts w:ascii="黑体" w:cs="Times New Roman"/>
      <w:b/>
      <w:bCs/>
      <w:sz w:val="24"/>
      <w:szCs w:val="24"/>
      <w:lang w:val="zh-CN"/>
    </w:rPr>
  </w:style>
  <w:style w:type="character" w:customStyle="1" w:styleId="2070">
    <w:name w:val="图题注 Char"/>
    <w:link w:val="2069"/>
    <w:qFormat/>
    <w:uiPriority w:val="0"/>
    <w:rPr>
      <w:rFonts w:ascii="黑体" w:hAnsi="Arial" w:eastAsia="黑体"/>
      <w:b/>
      <w:bCs/>
      <w:kern w:val="2"/>
      <w:sz w:val="24"/>
      <w:szCs w:val="24"/>
      <w:lang w:val="zh-CN" w:eastAsia="zh-CN"/>
    </w:rPr>
  </w:style>
  <w:style w:type="paragraph" w:customStyle="1" w:styleId="2071">
    <w:name w:val="标题41"/>
    <w:basedOn w:val="7"/>
    <w:next w:val="1"/>
    <w:qFormat/>
    <w:uiPriority w:val="0"/>
    <w:pPr>
      <w:spacing w:before="160" w:after="170" w:line="360" w:lineRule="auto"/>
    </w:pPr>
    <w:rPr>
      <w:rFonts w:ascii="黑体" w:eastAsia="黑体"/>
      <w:b/>
      <w:kern w:val="0"/>
      <w:sz w:val="24"/>
      <w:lang w:val="zh-CN"/>
    </w:rPr>
  </w:style>
  <w:style w:type="paragraph" w:customStyle="1" w:styleId="2072">
    <w:name w:val="表中文字4"/>
    <w:basedOn w:val="1"/>
    <w:link w:val="2073"/>
    <w:qFormat/>
    <w:uiPriority w:val="0"/>
    <w:pPr>
      <w:snapToGrid w:val="0"/>
      <w:spacing w:line="340" w:lineRule="exact"/>
      <w:ind w:firstLine="480" w:firstLineChars="200"/>
      <w:jc w:val="center"/>
    </w:pPr>
    <w:rPr>
      <w:rFonts w:ascii="Arial" w:hAnsi="Arial"/>
      <w:kern w:val="0"/>
      <w:sz w:val="20"/>
      <w:lang w:val="zh-CN" w:eastAsia="zh-TW"/>
    </w:rPr>
  </w:style>
  <w:style w:type="character" w:customStyle="1" w:styleId="2073">
    <w:name w:val="表中文字 Char"/>
    <w:link w:val="2072"/>
    <w:qFormat/>
    <w:uiPriority w:val="0"/>
    <w:rPr>
      <w:rFonts w:ascii="Arial" w:hAnsi="Arial"/>
      <w:szCs w:val="24"/>
      <w:lang w:val="zh-CN" w:eastAsia="zh-TW"/>
    </w:rPr>
  </w:style>
  <w:style w:type="paragraph" w:customStyle="1" w:styleId="2074">
    <w:name w:val="样式 正文缩进 + 宋体 黑色"/>
    <w:basedOn w:val="22"/>
    <w:link w:val="2075"/>
    <w:qFormat/>
    <w:uiPriority w:val="0"/>
    <w:pPr>
      <w:spacing w:line="360" w:lineRule="auto"/>
      <w:ind w:firstLine="200"/>
      <w:jc w:val="left"/>
    </w:pPr>
    <w:rPr>
      <w:rFonts w:ascii="宋体" w:hAnsi="宋体"/>
      <w:color w:val="000000"/>
      <w:sz w:val="24"/>
      <w:lang w:val="zh-CN"/>
    </w:rPr>
  </w:style>
  <w:style w:type="character" w:customStyle="1" w:styleId="2075">
    <w:name w:val="样式 正文缩进 + 宋体 黑色 Char"/>
    <w:link w:val="2074"/>
    <w:qFormat/>
    <w:uiPriority w:val="0"/>
    <w:rPr>
      <w:rFonts w:ascii="宋体" w:hAnsi="宋体"/>
      <w:color w:val="000000"/>
      <w:kern w:val="2"/>
      <w:sz w:val="24"/>
      <w:szCs w:val="24"/>
      <w:lang w:val="zh-CN" w:eastAsia="zh-CN"/>
    </w:rPr>
  </w:style>
  <w:style w:type="paragraph" w:customStyle="1" w:styleId="2076">
    <w:name w:val="表内51"/>
    <w:basedOn w:val="1"/>
    <w:link w:val="2077"/>
    <w:qFormat/>
    <w:uiPriority w:val="0"/>
    <w:pPr>
      <w:adjustRightInd w:val="0"/>
      <w:snapToGrid w:val="0"/>
      <w:jc w:val="center"/>
    </w:pPr>
    <w:rPr>
      <w:rFonts w:ascii="宋体" w:hAnsi="宋体"/>
      <w:kern w:val="0"/>
      <w:sz w:val="20"/>
      <w:szCs w:val="20"/>
      <w:lang w:val="zh-CN"/>
    </w:rPr>
  </w:style>
  <w:style w:type="character" w:customStyle="1" w:styleId="2077">
    <w:name w:val="表内5 Char"/>
    <w:link w:val="2076"/>
    <w:qFormat/>
    <w:uiPriority w:val="0"/>
    <w:rPr>
      <w:rFonts w:ascii="宋体" w:hAnsi="宋体"/>
      <w:lang w:val="zh-CN" w:eastAsia="zh-CN"/>
    </w:rPr>
  </w:style>
  <w:style w:type="paragraph" w:customStyle="1" w:styleId="2078">
    <w:name w:val="正文斜体"/>
    <w:basedOn w:val="223"/>
    <w:next w:val="223"/>
    <w:link w:val="2079"/>
    <w:qFormat/>
    <w:uiPriority w:val="0"/>
    <w:rPr>
      <w:rFonts w:hAnsi="宋体" w:cs="Times New Roman"/>
      <w:i/>
      <w:iCs/>
      <w:lang w:val="zh-CN"/>
    </w:rPr>
  </w:style>
  <w:style w:type="character" w:customStyle="1" w:styleId="2079">
    <w:name w:val="正文斜体 Char"/>
    <w:link w:val="2078"/>
    <w:qFormat/>
    <w:uiPriority w:val="0"/>
    <w:rPr>
      <w:rFonts w:ascii="宋体" w:hAnsi="宋体"/>
      <w:i/>
      <w:iCs/>
      <w:kern w:val="2"/>
      <w:sz w:val="24"/>
      <w:szCs w:val="24"/>
      <w:lang w:val="zh-CN" w:eastAsia="zh-CN"/>
    </w:rPr>
  </w:style>
  <w:style w:type="paragraph" w:customStyle="1" w:styleId="2080">
    <w:name w:val="样式 表内小5 + 黑体 加粗 倾斜 下划线"/>
    <w:basedOn w:val="1"/>
    <w:link w:val="2081"/>
    <w:qFormat/>
    <w:uiPriority w:val="0"/>
    <w:pPr>
      <w:adjustRightInd w:val="0"/>
      <w:snapToGrid w:val="0"/>
      <w:spacing w:line="300" w:lineRule="auto"/>
      <w:jc w:val="left"/>
    </w:pPr>
    <w:rPr>
      <w:rFonts w:ascii="黑体" w:hAnsi="黑体" w:eastAsia="黑体"/>
      <w:b/>
      <w:bCs/>
      <w:i/>
      <w:iCs/>
      <w:sz w:val="18"/>
      <w:u w:val="single"/>
      <w:lang w:val="zh-CN"/>
    </w:rPr>
  </w:style>
  <w:style w:type="character" w:customStyle="1" w:styleId="2081">
    <w:name w:val="样式 表内小5 + 黑体 加粗 倾斜 下划线 Char"/>
    <w:link w:val="2080"/>
    <w:qFormat/>
    <w:uiPriority w:val="0"/>
    <w:rPr>
      <w:rFonts w:ascii="黑体" w:hAnsi="黑体" w:eastAsia="黑体"/>
      <w:b/>
      <w:bCs/>
      <w:i/>
      <w:iCs/>
      <w:kern w:val="2"/>
      <w:sz w:val="18"/>
      <w:szCs w:val="24"/>
      <w:u w:val="single"/>
      <w:lang w:val="zh-CN" w:eastAsia="zh-CN"/>
    </w:rPr>
  </w:style>
  <w:style w:type="paragraph" w:customStyle="1" w:styleId="2082">
    <w:name w:val="福建正文缩进"/>
    <w:basedOn w:val="22"/>
    <w:link w:val="2083"/>
    <w:qFormat/>
    <w:uiPriority w:val="0"/>
    <w:pPr>
      <w:widowControl/>
      <w:tabs>
        <w:tab w:val="left" w:pos="5837"/>
      </w:tabs>
      <w:adjustRightInd w:val="0"/>
      <w:snapToGrid w:val="0"/>
      <w:spacing w:line="480" w:lineRule="exact"/>
      <w:ind w:firstLine="0" w:firstLineChars="0"/>
    </w:pPr>
    <w:rPr>
      <w:rFonts w:ascii="宋体" w:hAnsi="宋体"/>
      <w:color w:val="000000"/>
      <w:kern w:val="0"/>
      <w:sz w:val="24"/>
      <w:lang w:val="zh-CN"/>
    </w:rPr>
  </w:style>
  <w:style w:type="character" w:customStyle="1" w:styleId="2083">
    <w:name w:val="福建正文缩进 Char"/>
    <w:link w:val="2082"/>
    <w:qFormat/>
    <w:uiPriority w:val="0"/>
    <w:rPr>
      <w:rFonts w:ascii="宋体" w:hAnsi="宋体"/>
      <w:color w:val="000000"/>
      <w:sz w:val="24"/>
      <w:szCs w:val="24"/>
      <w:lang w:val="zh-CN" w:eastAsia="zh-CN"/>
    </w:rPr>
  </w:style>
  <w:style w:type="character" w:customStyle="1" w:styleId="2084">
    <w:name w:val="表格内容 Char"/>
    <w:link w:val="578"/>
    <w:qFormat/>
    <w:uiPriority w:val="0"/>
    <w:rPr>
      <w:rFonts w:ascii="Arial" w:hAnsi="Arial" w:eastAsia="仿宋_GB2312"/>
      <w:sz w:val="24"/>
    </w:rPr>
  </w:style>
  <w:style w:type="paragraph" w:customStyle="1" w:styleId="2085">
    <w:name w:val="正文.13"/>
    <w:qFormat/>
    <w:uiPriority w:val="0"/>
    <w:pPr>
      <w:widowControl w:val="0"/>
      <w:autoSpaceDE w:val="0"/>
      <w:autoSpaceDN w:val="0"/>
      <w:adjustRightInd w:val="0"/>
      <w:jc w:val="both"/>
    </w:pPr>
    <w:rPr>
      <w:rFonts w:ascii="Times New Roman;Symbol;Arial;婼" w:hAnsi="Times New Roman" w:eastAsia="Times New Roman;Symbol;Arial;婼" w:cs="Times New Roman"/>
      <w:sz w:val="21"/>
      <w:szCs w:val="21"/>
      <w:lang w:val="en-US" w:eastAsia="zh-CN" w:bidi="ar-SA"/>
    </w:rPr>
  </w:style>
  <w:style w:type="paragraph" w:customStyle="1" w:styleId="2086">
    <w:name w:val="表题15"/>
    <w:basedOn w:val="23"/>
    <w:qFormat/>
    <w:uiPriority w:val="0"/>
    <w:pPr>
      <w:tabs>
        <w:tab w:val="clear" w:pos="7380"/>
      </w:tabs>
      <w:overflowPunct/>
      <w:spacing w:before="0" w:afterLines="0" w:line="360" w:lineRule="auto"/>
      <w:jc w:val="center"/>
    </w:pPr>
    <w:rPr>
      <w:rFonts w:ascii="黑体" w:cs="Times New Roman"/>
      <w:b/>
      <w:sz w:val="24"/>
      <w:szCs w:val="24"/>
    </w:rPr>
  </w:style>
  <w:style w:type="paragraph" w:customStyle="1" w:styleId="2087">
    <w:name w:val="Char Char Char Char Char Char Char151"/>
    <w:basedOn w:val="1"/>
    <w:qFormat/>
    <w:uiPriority w:val="0"/>
    <w:rPr>
      <w:szCs w:val="20"/>
    </w:rPr>
  </w:style>
  <w:style w:type="paragraph" w:customStyle="1" w:styleId="2088">
    <w:name w:val="燕山正文1142"/>
    <w:basedOn w:val="1"/>
    <w:qFormat/>
    <w:uiPriority w:val="0"/>
    <w:pPr>
      <w:tabs>
        <w:tab w:val="left" w:pos="4680"/>
      </w:tabs>
      <w:adjustRightInd w:val="0"/>
      <w:snapToGrid w:val="0"/>
      <w:spacing w:line="480" w:lineRule="exact"/>
    </w:pPr>
    <w:rPr>
      <w:rFonts w:ascii="宋体" w:hAnsi="宋体" w:cs="宋体"/>
      <w:bCs/>
      <w:color w:val="000000"/>
      <w:sz w:val="24"/>
    </w:rPr>
  </w:style>
  <w:style w:type="character" w:customStyle="1" w:styleId="2089">
    <w:name w:val="三级标题 Char2"/>
    <w:qFormat/>
    <w:uiPriority w:val="0"/>
    <w:rPr>
      <w:rFonts w:ascii="黑体" w:hAnsi="宋体" w:eastAsia="黑体"/>
      <w:b/>
      <w:bCs/>
      <w:kern w:val="2"/>
      <w:sz w:val="28"/>
      <w:szCs w:val="28"/>
      <w:lang w:val="en-US" w:eastAsia="zh-CN" w:bidi="ar-SA"/>
    </w:rPr>
  </w:style>
  <w:style w:type="paragraph" w:customStyle="1" w:styleId="2090">
    <w:name w:val="表题151"/>
    <w:basedOn w:val="23"/>
    <w:qFormat/>
    <w:uiPriority w:val="0"/>
    <w:pPr>
      <w:tabs>
        <w:tab w:val="clear" w:pos="7380"/>
      </w:tabs>
      <w:overflowPunct/>
      <w:spacing w:before="0" w:afterLines="0" w:line="360" w:lineRule="auto"/>
      <w:jc w:val="center"/>
    </w:pPr>
    <w:rPr>
      <w:rFonts w:ascii="黑体" w:cs="Times New Roman"/>
      <w:b/>
      <w:sz w:val="24"/>
      <w:szCs w:val="24"/>
    </w:rPr>
  </w:style>
  <w:style w:type="character" w:customStyle="1" w:styleId="2091">
    <w:name w:val="正文修改 Char132"/>
    <w:qFormat/>
    <w:uiPriority w:val="0"/>
    <w:rPr>
      <w:rFonts w:ascii="宋体" w:hAnsi="宋体" w:eastAsia="宋体" w:cs="宋体"/>
      <w:color w:val="000000"/>
      <w:sz w:val="24"/>
      <w:szCs w:val="24"/>
    </w:rPr>
  </w:style>
  <w:style w:type="paragraph" w:customStyle="1" w:styleId="2092">
    <w:name w:val="正文格式＝"/>
    <w:basedOn w:val="223"/>
    <w:next w:val="223"/>
    <w:semiHidden/>
    <w:qFormat/>
    <w:uiPriority w:val="0"/>
    <w:rPr>
      <w:rFonts w:hAnsi="宋体" w:cs="Times New Roman"/>
    </w:rPr>
  </w:style>
  <w:style w:type="paragraph" w:customStyle="1" w:styleId="2093">
    <w:name w:val="默认段落字体 Para Char3"/>
    <w:basedOn w:val="1"/>
    <w:qFormat/>
    <w:uiPriority w:val="0"/>
    <w:pPr>
      <w:spacing w:line="360" w:lineRule="auto"/>
      <w:ind w:firstLine="200" w:firstLineChars="200"/>
    </w:pPr>
    <w:rPr>
      <w:rFonts w:ascii="宋体" w:hAnsi="宋体" w:cs="宋体"/>
      <w:sz w:val="24"/>
    </w:rPr>
  </w:style>
  <w:style w:type="paragraph" w:customStyle="1" w:styleId="2094">
    <w:name w:val="23-47表名"/>
    <w:basedOn w:val="1"/>
    <w:qFormat/>
    <w:uiPriority w:val="0"/>
    <w:pPr>
      <w:spacing w:afterLines="50" w:line="440" w:lineRule="exact"/>
      <w:jc w:val="center"/>
    </w:pPr>
    <w:rPr>
      <w:rFonts w:ascii="宋体" w:hAnsi="宋体"/>
      <w:b/>
      <w:sz w:val="24"/>
    </w:rPr>
  </w:style>
  <w:style w:type="paragraph" w:customStyle="1" w:styleId="2095">
    <w:name w:val="表题1113"/>
    <w:basedOn w:val="23"/>
    <w:qFormat/>
    <w:uiPriority w:val="0"/>
    <w:pPr>
      <w:tabs>
        <w:tab w:val="clear" w:pos="7380"/>
      </w:tabs>
      <w:overflowPunct/>
      <w:spacing w:before="0" w:afterLines="0" w:line="360" w:lineRule="auto"/>
      <w:jc w:val="center"/>
    </w:pPr>
    <w:rPr>
      <w:rFonts w:ascii="黑体" w:cs="Times New Roman"/>
      <w:sz w:val="24"/>
      <w:szCs w:val="24"/>
    </w:rPr>
  </w:style>
  <w:style w:type="paragraph" w:customStyle="1" w:styleId="2096">
    <w:name w:val="标题43132"/>
    <w:basedOn w:val="1"/>
    <w:qFormat/>
    <w:uiPriority w:val="0"/>
    <w:pPr>
      <w:adjustRightInd w:val="0"/>
      <w:snapToGrid w:val="0"/>
      <w:spacing w:line="480" w:lineRule="exact"/>
      <w:jc w:val="center"/>
    </w:pPr>
    <w:rPr>
      <w:rFonts w:ascii="宋体" w:hAnsi="宋体" w:cs="宋体"/>
      <w:sz w:val="24"/>
    </w:rPr>
  </w:style>
  <w:style w:type="paragraph" w:customStyle="1" w:styleId="2097">
    <w:name w:val="图题213"/>
    <w:basedOn w:val="223"/>
    <w:next w:val="223"/>
    <w:qFormat/>
    <w:uiPriority w:val="0"/>
    <w:pPr>
      <w:ind w:firstLine="0"/>
      <w:jc w:val="center"/>
    </w:pPr>
    <w:rPr>
      <w:rFonts w:ascii="黑体" w:hAnsi="宋体" w:eastAsia="黑体"/>
      <w:b/>
      <w:bCs/>
    </w:rPr>
  </w:style>
  <w:style w:type="paragraph" w:customStyle="1" w:styleId="2098">
    <w:name w:val="附件42"/>
    <w:basedOn w:val="4"/>
    <w:next w:val="223"/>
    <w:qFormat/>
    <w:uiPriority w:val="0"/>
    <w:pPr>
      <w:spacing w:before="0" w:after="0" w:line="360" w:lineRule="auto"/>
      <w:jc w:val="left"/>
    </w:pPr>
    <w:rPr>
      <w:rFonts w:ascii="黑体" w:hAnsi="宋体" w:eastAsia="黑体"/>
      <w:sz w:val="32"/>
      <w:szCs w:val="32"/>
    </w:rPr>
  </w:style>
  <w:style w:type="paragraph" w:customStyle="1" w:styleId="2099">
    <w:name w:val="Char Char Char Char Char Char Char49"/>
    <w:basedOn w:val="1"/>
    <w:qFormat/>
    <w:uiPriority w:val="0"/>
    <w:rPr>
      <w:szCs w:val="20"/>
    </w:rPr>
  </w:style>
  <w:style w:type="paragraph" w:customStyle="1" w:styleId="2100">
    <w:name w:val="燕山正文11"/>
    <w:basedOn w:val="1"/>
    <w:qFormat/>
    <w:uiPriority w:val="0"/>
    <w:pPr>
      <w:tabs>
        <w:tab w:val="left" w:pos="4680"/>
      </w:tabs>
      <w:adjustRightInd w:val="0"/>
      <w:snapToGrid w:val="0"/>
      <w:spacing w:line="360" w:lineRule="auto"/>
      <w:ind w:firstLine="480" w:firstLineChars="200"/>
    </w:pPr>
    <w:rPr>
      <w:rFonts w:ascii="宋体" w:hAnsi="宋体" w:cs="宋体"/>
      <w:bCs/>
      <w:snapToGrid w:val="0"/>
      <w:color w:val="000000"/>
      <w:kern w:val="0"/>
      <w:sz w:val="24"/>
    </w:rPr>
  </w:style>
  <w:style w:type="paragraph" w:customStyle="1" w:styleId="2101">
    <w:name w:val="表内5313"/>
    <w:basedOn w:val="1"/>
    <w:qFormat/>
    <w:uiPriority w:val="0"/>
    <w:pPr>
      <w:adjustRightInd w:val="0"/>
      <w:snapToGrid w:val="0"/>
      <w:spacing w:line="300" w:lineRule="auto"/>
      <w:jc w:val="left"/>
    </w:pPr>
    <w:rPr>
      <w:rFonts w:ascii="宋体"/>
      <w:szCs w:val="20"/>
    </w:rPr>
  </w:style>
  <w:style w:type="paragraph" w:customStyle="1" w:styleId="2102">
    <w:name w:val="样式 标题 4无效格式无效格式1河石管道4H4H41小小节河石管道41H42H411小小节1河石管道42...112"/>
    <w:basedOn w:val="7"/>
    <w:qFormat/>
    <w:uiPriority w:val="0"/>
    <w:pPr>
      <w:adjustRightInd w:val="0"/>
      <w:snapToGrid w:val="0"/>
      <w:spacing w:line="360" w:lineRule="auto"/>
      <w:ind w:left="664" w:hanging="864"/>
      <w:jc w:val="left"/>
    </w:pPr>
    <w:rPr>
      <w:rFonts w:ascii="黑体" w:eastAsia="黑体" w:cs="宋体"/>
      <w:bCs w:val="0"/>
      <w:sz w:val="24"/>
      <w:szCs w:val="20"/>
      <w:lang w:val="zh-CN"/>
    </w:rPr>
  </w:style>
  <w:style w:type="paragraph" w:customStyle="1" w:styleId="2103">
    <w:name w:val="Char38"/>
    <w:basedOn w:val="1"/>
    <w:qFormat/>
    <w:uiPriority w:val="0"/>
    <w:pPr>
      <w:ind w:left="-48"/>
    </w:pPr>
  </w:style>
  <w:style w:type="paragraph" w:customStyle="1" w:styleId="2104">
    <w:name w:val="样式 标题 4无效格式无效格式1河石管道4H4H41小小节河石管道41H42H411小小节1河石管道42...22"/>
    <w:basedOn w:val="7"/>
    <w:qFormat/>
    <w:uiPriority w:val="0"/>
    <w:pPr>
      <w:adjustRightInd w:val="0"/>
      <w:snapToGrid w:val="0"/>
      <w:spacing w:line="360" w:lineRule="auto"/>
      <w:ind w:left="664" w:hanging="864"/>
    </w:pPr>
    <w:rPr>
      <w:rFonts w:ascii="黑体" w:eastAsia="黑体"/>
      <w:bCs w:val="0"/>
      <w:sz w:val="24"/>
      <w:szCs w:val="24"/>
      <w:lang w:val="zh-CN"/>
    </w:rPr>
  </w:style>
  <w:style w:type="paragraph" w:customStyle="1" w:styleId="2105">
    <w:name w:val="表题31"/>
    <w:basedOn w:val="37"/>
    <w:qFormat/>
    <w:uiPriority w:val="0"/>
    <w:pPr>
      <w:tabs>
        <w:tab w:val="left" w:pos="4305"/>
      </w:tabs>
      <w:adjustRightInd w:val="0"/>
      <w:snapToGrid w:val="0"/>
      <w:spacing w:after="0" w:line="360" w:lineRule="auto"/>
      <w:ind w:left="0" w:leftChars="0" w:firstLine="561"/>
    </w:pPr>
    <w:rPr>
      <w:rFonts w:ascii="宋体" w:hAnsi="宋体" w:cs="宋体"/>
      <w:color w:val="000000"/>
      <w:sz w:val="24"/>
    </w:rPr>
  </w:style>
  <w:style w:type="paragraph" w:customStyle="1" w:styleId="2106">
    <w:name w:val="样式123"/>
    <w:basedOn w:val="2105"/>
    <w:qFormat/>
    <w:uiPriority w:val="0"/>
    <w:pPr>
      <w:spacing w:line="240" w:lineRule="auto"/>
      <w:ind w:firstLine="0"/>
      <w:jc w:val="center"/>
    </w:pPr>
    <w:rPr>
      <w:rFonts w:cs="Times New Roman"/>
      <w:b/>
      <w:color w:val="auto"/>
      <w:szCs w:val="20"/>
    </w:rPr>
  </w:style>
  <w:style w:type="paragraph" w:customStyle="1" w:styleId="2107">
    <w:name w:val="燕山正文1312"/>
    <w:basedOn w:val="1"/>
    <w:qFormat/>
    <w:uiPriority w:val="0"/>
    <w:pPr>
      <w:tabs>
        <w:tab w:val="left" w:pos="4680"/>
      </w:tabs>
      <w:adjustRightInd w:val="0"/>
      <w:snapToGrid w:val="0"/>
      <w:spacing w:line="360" w:lineRule="auto"/>
      <w:ind w:firstLine="480" w:firstLineChars="200"/>
    </w:pPr>
    <w:rPr>
      <w:rFonts w:ascii="宋体" w:hAnsi="宋体" w:cs="宋体"/>
      <w:bCs/>
      <w:color w:val="000000"/>
      <w:sz w:val="24"/>
    </w:rPr>
  </w:style>
  <w:style w:type="paragraph" w:customStyle="1" w:styleId="2108">
    <w:name w:val="标题431"/>
    <w:basedOn w:val="1"/>
    <w:qFormat/>
    <w:uiPriority w:val="0"/>
    <w:pPr>
      <w:adjustRightInd w:val="0"/>
      <w:snapToGrid w:val="0"/>
      <w:spacing w:line="480" w:lineRule="exact"/>
      <w:jc w:val="center"/>
    </w:pPr>
    <w:rPr>
      <w:rFonts w:ascii="宋体" w:hAnsi="宋体" w:cs="宋体"/>
      <w:sz w:val="24"/>
    </w:rPr>
  </w:style>
  <w:style w:type="paragraph" w:customStyle="1" w:styleId="2109">
    <w:name w:val="表文字523"/>
    <w:basedOn w:val="1"/>
    <w:qFormat/>
    <w:uiPriority w:val="0"/>
    <w:pPr>
      <w:adjustRightInd w:val="0"/>
      <w:jc w:val="left"/>
      <w:textAlignment w:val="baseline"/>
    </w:pPr>
    <w:rPr>
      <w:rFonts w:ascii="宋体"/>
      <w:kern w:val="0"/>
      <w:szCs w:val="20"/>
    </w:rPr>
  </w:style>
  <w:style w:type="paragraph" w:customStyle="1" w:styleId="2110">
    <w:name w:val="样式 正文缩进 + 宋体 黑色 首行缩进:  2 字符"/>
    <w:basedOn w:val="22"/>
    <w:qFormat/>
    <w:uiPriority w:val="0"/>
    <w:pPr>
      <w:spacing w:line="360" w:lineRule="auto"/>
      <w:ind w:firstLine="480"/>
      <w:jc w:val="left"/>
    </w:pPr>
    <w:rPr>
      <w:rFonts w:ascii="宋体" w:hAnsi="宋体" w:cs="宋体"/>
      <w:color w:val="FF00FF"/>
      <w:sz w:val="24"/>
      <w:szCs w:val="20"/>
    </w:rPr>
  </w:style>
  <w:style w:type="paragraph" w:customStyle="1" w:styleId="2111">
    <w:name w:val="表题41"/>
    <w:basedOn w:val="37"/>
    <w:qFormat/>
    <w:uiPriority w:val="0"/>
    <w:pPr>
      <w:tabs>
        <w:tab w:val="left" w:pos="4305"/>
      </w:tabs>
      <w:adjustRightInd w:val="0"/>
      <w:snapToGrid w:val="0"/>
      <w:spacing w:after="0" w:line="360" w:lineRule="auto"/>
      <w:ind w:left="0" w:leftChars="0" w:firstLine="561"/>
    </w:pPr>
    <w:rPr>
      <w:rFonts w:ascii="宋体" w:hAnsi="宋体" w:cs="宋体"/>
      <w:color w:val="000000"/>
      <w:sz w:val="24"/>
    </w:rPr>
  </w:style>
  <w:style w:type="paragraph" w:customStyle="1" w:styleId="2112">
    <w:name w:val="表格内字体11"/>
    <w:basedOn w:val="223"/>
    <w:qFormat/>
    <w:uiPriority w:val="0"/>
    <w:pPr>
      <w:spacing w:line="240" w:lineRule="auto"/>
      <w:ind w:firstLine="0"/>
      <w:jc w:val="center"/>
    </w:pPr>
    <w:rPr>
      <w:sz w:val="21"/>
      <w:szCs w:val="20"/>
    </w:rPr>
  </w:style>
  <w:style w:type="paragraph" w:customStyle="1" w:styleId="2113">
    <w:name w:val="附件"/>
    <w:basedOn w:val="4"/>
    <w:next w:val="223"/>
    <w:qFormat/>
    <w:uiPriority w:val="0"/>
    <w:pPr>
      <w:spacing w:before="0" w:after="0" w:line="360" w:lineRule="auto"/>
      <w:jc w:val="left"/>
    </w:pPr>
    <w:rPr>
      <w:rFonts w:ascii="黑体" w:hAnsi="宋体" w:eastAsia="黑体"/>
      <w:sz w:val="32"/>
      <w:szCs w:val="32"/>
    </w:rPr>
  </w:style>
  <w:style w:type="paragraph" w:customStyle="1" w:styleId="2114">
    <w:name w:val="表内541"/>
    <w:basedOn w:val="1"/>
    <w:qFormat/>
    <w:uiPriority w:val="0"/>
    <w:pPr>
      <w:adjustRightInd w:val="0"/>
      <w:snapToGrid w:val="0"/>
      <w:spacing w:line="300" w:lineRule="auto"/>
      <w:jc w:val="center"/>
    </w:pPr>
    <w:rPr>
      <w:rFonts w:ascii="宋体" w:hAnsi="宋体" w:cs="宋体"/>
      <w:szCs w:val="20"/>
    </w:rPr>
  </w:style>
  <w:style w:type="paragraph" w:customStyle="1" w:styleId="2115">
    <w:name w:val="默认段落字体 Para Char52"/>
    <w:basedOn w:val="1"/>
    <w:next w:val="1"/>
    <w:qFormat/>
    <w:uiPriority w:val="0"/>
    <w:pPr>
      <w:spacing w:line="480" w:lineRule="exact"/>
      <w:ind w:firstLine="200" w:firstLineChars="200"/>
      <w:jc w:val="left"/>
    </w:pPr>
    <w:rPr>
      <w:rFonts w:ascii="宋体" w:hAnsi="宋体" w:eastAsia="汉鼎简书宋" w:cs="宋体"/>
      <w:sz w:val="28"/>
    </w:rPr>
  </w:style>
  <w:style w:type="paragraph" w:customStyle="1" w:styleId="2116">
    <w:name w:val="表内文字小21"/>
    <w:basedOn w:val="1"/>
    <w:qFormat/>
    <w:uiPriority w:val="0"/>
    <w:pPr>
      <w:adjustRightInd w:val="0"/>
      <w:snapToGrid w:val="0"/>
      <w:jc w:val="center"/>
    </w:pPr>
    <w:rPr>
      <w:rFonts w:ascii="宋体" w:hAnsi="Times"/>
      <w:bCs/>
      <w:color w:val="000000"/>
      <w:szCs w:val="20"/>
    </w:rPr>
  </w:style>
  <w:style w:type="paragraph" w:customStyle="1" w:styleId="2117">
    <w:name w:val="正文格式6"/>
    <w:basedOn w:val="1"/>
    <w:qFormat/>
    <w:uiPriority w:val="0"/>
    <w:pPr>
      <w:spacing w:line="360" w:lineRule="auto"/>
      <w:ind w:firstLine="482"/>
    </w:pPr>
    <w:rPr>
      <w:rFonts w:ascii="宋体" w:hAnsi="宋体"/>
      <w:sz w:val="24"/>
    </w:rPr>
  </w:style>
  <w:style w:type="paragraph" w:customStyle="1" w:styleId="2118">
    <w:name w:val="表文字5"/>
    <w:basedOn w:val="1"/>
    <w:qFormat/>
    <w:uiPriority w:val="0"/>
    <w:pPr>
      <w:adjustRightInd w:val="0"/>
      <w:jc w:val="left"/>
      <w:textAlignment w:val="baseline"/>
    </w:pPr>
    <w:rPr>
      <w:rFonts w:ascii="宋体"/>
      <w:kern w:val="0"/>
      <w:szCs w:val="20"/>
    </w:rPr>
  </w:style>
  <w:style w:type="character" w:customStyle="1" w:styleId="2119">
    <w:name w:val="表内5 Char2"/>
    <w:qFormat/>
    <w:uiPriority w:val="0"/>
    <w:rPr>
      <w:rFonts w:ascii="宋体" w:hAnsi="宋体" w:eastAsia="宋体" w:cs="宋体"/>
      <w:kern w:val="2"/>
      <w:sz w:val="21"/>
      <w:szCs w:val="24"/>
      <w:lang w:val="en-US" w:eastAsia="zh-CN" w:bidi="ar-SA"/>
    </w:rPr>
  </w:style>
  <w:style w:type="paragraph" w:customStyle="1" w:styleId="2120">
    <w:name w:val="表内文字小31"/>
    <w:basedOn w:val="1"/>
    <w:qFormat/>
    <w:uiPriority w:val="0"/>
    <w:pPr>
      <w:adjustRightInd w:val="0"/>
      <w:snapToGrid w:val="0"/>
      <w:jc w:val="center"/>
    </w:pPr>
    <w:rPr>
      <w:rFonts w:ascii="宋体" w:hAnsi="Times" w:cs="宋体"/>
      <w:bCs/>
      <w:color w:val="003366"/>
      <w:szCs w:val="20"/>
    </w:rPr>
  </w:style>
  <w:style w:type="paragraph" w:customStyle="1" w:styleId="2121">
    <w:name w:val="表内宋511"/>
    <w:basedOn w:val="81"/>
    <w:qFormat/>
    <w:uiPriority w:val="0"/>
    <w:pPr>
      <w:widowControl/>
      <w:adjustRightInd w:val="0"/>
      <w:snapToGrid w:val="0"/>
    </w:pPr>
    <w:rPr>
      <w:rFonts w:ascii="宋体" w:hAnsi="宋体" w:cs="宋体"/>
      <w:color w:val="000000"/>
      <w:kern w:val="0"/>
      <w:sz w:val="21"/>
      <w:lang w:val="zh-CN"/>
    </w:rPr>
  </w:style>
  <w:style w:type="paragraph" w:customStyle="1" w:styleId="2122">
    <w:name w:val="正文."/>
    <w:qFormat/>
    <w:uiPriority w:val="0"/>
    <w:pPr>
      <w:widowControl w:val="0"/>
      <w:autoSpaceDE w:val="0"/>
      <w:autoSpaceDN w:val="0"/>
      <w:adjustRightInd w:val="0"/>
      <w:jc w:val="both"/>
    </w:pPr>
    <w:rPr>
      <w:rFonts w:ascii="Times New Roman;Symbol;Arial;婼" w:hAnsi="Times New Roman" w:eastAsia="Times New Roman;Symbol;Arial;婼" w:cs="Times New Roman"/>
      <w:sz w:val="21"/>
      <w:szCs w:val="21"/>
      <w:lang w:val="en-US" w:eastAsia="zh-CN" w:bidi="ar-SA"/>
    </w:rPr>
  </w:style>
  <w:style w:type="paragraph" w:customStyle="1" w:styleId="2123">
    <w:name w:val="黑体三号"/>
    <w:basedOn w:val="223"/>
    <w:qFormat/>
    <w:uiPriority w:val="0"/>
    <w:pPr>
      <w:jc w:val="center"/>
    </w:pPr>
    <w:rPr>
      <w:rFonts w:ascii="黑体" w:hAnsi="宋体" w:eastAsia="黑体"/>
      <w:b/>
      <w:bCs/>
      <w:sz w:val="32"/>
      <w:szCs w:val="20"/>
    </w:rPr>
  </w:style>
  <w:style w:type="character" w:customStyle="1" w:styleId="2124">
    <w:name w:val="样式 表内小5 + 黑体 加粗 倾斜 下划线 Char5"/>
    <w:qFormat/>
    <w:uiPriority w:val="0"/>
    <w:rPr>
      <w:rFonts w:ascii="黑体" w:hAnsi="黑体" w:eastAsia="黑体"/>
      <w:b/>
      <w:bCs/>
      <w:i/>
      <w:iCs/>
      <w:kern w:val="2"/>
      <w:sz w:val="18"/>
      <w:szCs w:val="24"/>
      <w:u w:val="single"/>
      <w:lang w:val="en-US" w:eastAsia="zh-CN" w:bidi="ar-SA"/>
    </w:rPr>
  </w:style>
  <w:style w:type="character" w:customStyle="1" w:styleId="2125">
    <w:name w:val="Char Char421"/>
    <w:qFormat/>
    <w:uiPriority w:val="0"/>
    <w:rPr>
      <w:rFonts w:ascii="黑体" w:hAnsi="Arial" w:eastAsia="黑体"/>
      <w:b/>
      <w:bCs/>
      <w:kern w:val="2"/>
      <w:sz w:val="30"/>
      <w:szCs w:val="30"/>
      <w:lang w:val="en-US" w:eastAsia="zh-CN" w:bidi="ar-SA"/>
    </w:rPr>
  </w:style>
  <w:style w:type="character" w:customStyle="1" w:styleId="2126">
    <w:name w:val="标题 2 Char1 Char"/>
    <w:qFormat/>
    <w:uiPriority w:val="0"/>
    <w:rPr>
      <w:rFonts w:ascii="黑体" w:hAnsi="Arial" w:eastAsia="黑体"/>
      <w:b/>
      <w:bCs/>
      <w:kern w:val="2"/>
      <w:sz w:val="30"/>
      <w:szCs w:val="30"/>
      <w:lang w:val="en-US" w:eastAsia="zh-CN" w:bidi="ar-SA"/>
    </w:rPr>
  </w:style>
  <w:style w:type="character" w:customStyle="1" w:styleId="2127">
    <w:name w:val="标题正文黑 Char"/>
    <w:qFormat/>
    <w:uiPriority w:val="0"/>
    <w:rPr>
      <w:rFonts w:ascii="黑体" w:eastAsia="黑体"/>
      <w:kern w:val="2"/>
      <w:sz w:val="28"/>
      <w:szCs w:val="28"/>
      <w:lang w:val="en-US" w:eastAsia="zh-CN" w:bidi="ar-SA"/>
    </w:rPr>
  </w:style>
  <w:style w:type="paragraph" w:customStyle="1" w:styleId="2128">
    <w:name w:val="首行缩进:  0.99 厘米 + 首行缩进:  2 字符"/>
    <w:basedOn w:val="1"/>
    <w:qFormat/>
    <w:uiPriority w:val="0"/>
    <w:pPr>
      <w:widowControl/>
      <w:topLinePunct/>
      <w:spacing w:line="480" w:lineRule="exact"/>
      <w:ind w:firstLine="420" w:firstLineChars="200"/>
      <w:jc w:val="center"/>
    </w:pPr>
    <w:rPr>
      <w:rFonts w:ascii="宋体" w:cs="宋体"/>
      <w:snapToGrid w:val="0"/>
      <w:color w:val="FF0000"/>
      <w:kern w:val="0"/>
      <w:szCs w:val="21"/>
    </w:rPr>
  </w:style>
  <w:style w:type="paragraph" w:customStyle="1" w:styleId="2129">
    <w:name w:val="图表名称"/>
    <w:basedOn w:val="86"/>
    <w:qFormat/>
    <w:uiPriority w:val="0"/>
    <w:pPr>
      <w:widowControl/>
      <w:adjustRightInd w:val="0"/>
      <w:snapToGrid w:val="0"/>
      <w:spacing w:after="0" w:line="480" w:lineRule="exact"/>
      <w:ind w:firstLine="0" w:firstLineChars="0"/>
      <w:jc w:val="center"/>
    </w:pPr>
    <w:rPr>
      <w:rFonts w:ascii="宋体" w:hAnsi="宋体" w:eastAsia="宋体"/>
      <w:bCs/>
      <w:sz w:val="24"/>
      <w:lang w:val="zh-CN"/>
    </w:rPr>
  </w:style>
  <w:style w:type="paragraph" w:customStyle="1" w:styleId="2130">
    <w:name w:val="表内文字边"/>
    <w:basedOn w:val="1"/>
    <w:qFormat/>
    <w:uiPriority w:val="0"/>
    <w:pPr>
      <w:widowControl/>
      <w:adjustRightInd w:val="0"/>
      <w:snapToGrid w:val="0"/>
      <w:spacing w:line="240" w:lineRule="atLeast"/>
      <w:ind w:left="-21" w:leftChars="-10" w:right="-42" w:rightChars="-20"/>
    </w:pPr>
    <w:rPr>
      <w:rFonts w:ascii="宋体"/>
      <w:kern w:val="0"/>
      <w:szCs w:val="21"/>
    </w:rPr>
  </w:style>
  <w:style w:type="paragraph" w:customStyle="1" w:styleId="2131">
    <w:name w:val="正文缩"/>
    <w:basedOn w:val="1"/>
    <w:qFormat/>
    <w:uiPriority w:val="0"/>
    <w:pPr>
      <w:adjustRightInd w:val="0"/>
      <w:snapToGrid w:val="0"/>
      <w:spacing w:line="480" w:lineRule="atLeast"/>
      <w:ind w:firstLine="567"/>
      <w:textAlignment w:val="baseline"/>
    </w:pPr>
    <w:rPr>
      <w:rFonts w:ascii="宋体"/>
      <w:color w:val="000080"/>
      <w:spacing w:val="6"/>
      <w:kern w:val="0"/>
      <w:sz w:val="28"/>
      <w:szCs w:val="20"/>
    </w:rPr>
  </w:style>
  <w:style w:type="character" w:customStyle="1" w:styleId="2132">
    <w:name w:val="样式 黑色"/>
    <w:qFormat/>
    <w:uiPriority w:val="0"/>
    <w:rPr>
      <w:rFonts w:eastAsia="宋体"/>
      <w:color w:val="auto"/>
      <w:kern w:val="2"/>
      <w:sz w:val="24"/>
      <w:szCs w:val="24"/>
      <w:lang w:val="en-US" w:eastAsia="zh-CN" w:bidi="ar-SA"/>
    </w:rPr>
  </w:style>
  <w:style w:type="paragraph" w:customStyle="1" w:styleId="2133">
    <w:name w:val="默认段落字体 Para Char Char Char Char Char"/>
    <w:basedOn w:val="1"/>
    <w:qFormat/>
    <w:uiPriority w:val="0"/>
  </w:style>
  <w:style w:type="paragraph" w:customStyle="1" w:styleId="2134">
    <w:name w:val="表内宋5中"/>
    <w:basedOn w:val="1"/>
    <w:qFormat/>
    <w:uiPriority w:val="0"/>
    <w:pPr>
      <w:adjustRightInd w:val="0"/>
      <w:snapToGrid w:val="0"/>
      <w:textAlignment w:val="baseline"/>
    </w:pPr>
    <w:rPr>
      <w:color w:val="000000"/>
      <w:kern w:val="0"/>
      <w:szCs w:val="20"/>
    </w:rPr>
  </w:style>
  <w:style w:type="paragraph" w:customStyle="1" w:styleId="2135">
    <w:name w:val="样式 标题 3 + 段前: 12 磅"/>
    <w:basedOn w:val="6"/>
    <w:qFormat/>
    <w:uiPriority w:val="0"/>
    <w:pPr>
      <w:keepNext w:val="0"/>
      <w:keepLines w:val="0"/>
      <w:widowControl/>
      <w:autoSpaceDE w:val="0"/>
      <w:autoSpaceDN w:val="0"/>
      <w:adjustRightInd w:val="0"/>
      <w:snapToGrid w:val="0"/>
      <w:spacing w:before="0" w:after="0" w:line="360" w:lineRule="auto"/>
    </w:pPr>
    <w:rPr>
      <w:rFonts w:ascii="黑体" w:hAnsi="宋体" w:eastAsia="黑体" w:cs="宋体"/>
      <w:b w:val="0"/>
      <w:bCs w:val="0"/>
      <w:color w:val="000000"/>
      <w:kern w:val="21"/>
      <w:sz w:val="24"/>
      <w:szCs w:val="20"/>
    </w:rPr>
  </w:style>
  <w:style w:type="paragraph" w:customStyle="1" w:styleId="2136">
    <w:name w:val="表内文字小"/>
    <w:basedOn w:val="1"/>
    <w:qFormat/>
    <w:uiPriority w:val="0"/>
    <w:pPr>
      <w:adjustRightInd w:val="0"/>
      <w:snapToGrid w:val="0"/>
      <w:jc w:val="center"/>
    </w:pPr>
    <w:rPr>
      <w:rFonts w:ascii="宋体" w:hAnsi="Times"/>
      <w:szCs w:val="20"/>
    </w:rPr>
  </w:style>
  <w:style w:type="paragraph" w:customStyle="1" w:styleId="2137">
    <w:name w:val="表内5"/>
    <w:basedOn w:val="1"/>
    <w:qFormat/>
    <w:uiPriority w:val="0"/>
    <w:pPr>
      <w:adjustRightInd w:val="0"/>
      <w:snapToGrid w:val="0"/>
      <w:spacing w:line="300" w:lineRule="auto"/>
      <w:jc w:val="left"/>
    </w:pPr>
    <w:rPr>
      <w:rFonts w:ascii="宋体"/>
      <w:sz w:val="18"/>
      <w:szCs w:val="20"/>
    </w:rPr>
  </w:style>
  <w:style w:type="paragraph" w:customStyle="1" w:styleId="2138">
    <w:name w:val="表内宋5"/>
    <w:basedOn w:val="2134"/>
    <w:qFormat/>
    <w:uiPriority w:val="0"/>
    <w:pPr>
      <w:widowControl/>
      <w:autoSpaceDE w:val="0"/>
      <w:autoSpaceDN w:val="0"/>
      <w:jc w:val="left"/>
      <w:textAlignment w:val="auto"/>
    </w:pPr>
    <w:rPr>
      <w:color w:val="auto"/>
      <w:w w:val="90"/>
    </w:rPr>
  </w:style>
  <w:style w:type="paragraph" w:customStyle="1" w:styleId="2139">
    <w:name w:val="Char Char Char Char1 Char Char Char28"/>
    <w:basedOn w:val="1"/>
    <w:qFormat/>
    <w:uiPriority w:val="0"/>
    <w:pPr>
      <w:widowControl/>
      <w:spacing w:after="160" w:line="240" w:lineRule="exact"/>
      <w:jc w:val="left"/>
    </w:pPr>
    <w:rPr>
      <w:rFonts w:ascii="Verdana" w:hAnsi="Verdana"/>
      <w:kern w:val="0"/>
      <w:sz w:val="20"/>
      <w:szCs w:val="20"/>
      <w:lang w:eastAsia="en-US"/>
    </w:rPr>
  </w:style>
  <w:style w:type="paragraph" w:customStyle="1" w:styleId="2140">
    <w:name w:val="正文格式11"/>
    <w:basedOn w:val="1"/>
    <w:qFormat/>
    <w:uiPriority w:val="0"/>
    <w:pPr>
      <w:spacing w:line="360" w:lineRule="auto"/>
      <w:ind w:firstLine="482"/>
    </w:pPr>
    <w:rPr>
      <w:rFonts w:ascii="宋体" w:hAnsi="宋体"/>
      <w:sz w:val="24"/>
    </w:rPr>
  </w:style>
  <w:style w:type="paragraph" w:customStyle="1" w:styleId="2141">
    <w:name w:val="图题1"/>
    <w:basedOn w:val="223"/>
    <w:next w:val="223"/>
    <w:qFormat/>
    <w:uiPriority w:val="0"/>
    <w:pPr>
      <w:ind w:firstLine="0"/>
      <w:jc w:val="center"/>
    </w:pPr>
    <w:rPr>
      <w:rFonts w:ascii="黑体" w:hAnsi="宋体" w:eastAsia="黑体"/>
      <w:b/>
      <w:bCs/>
    </w:rPr>
  </w:style>
  <w:style w:type="paragraph" w:customStyle="1" w:styleId="2142">
    <w:name w:val="表格内字体1"/>
    <w:basedOn w:val="223"/>
    <w:next w:val="223"/>
    <w:qFormat/>
    <w:uiPriority w:val="0"/>
    <w:pPr>
      <w:spacing w:line="240" w:lineRule="auto"/>
      <w:ind w:firstLine="0"/>
      <w:jc w:val="center"/>
    </w:pPr>
    <w:rPr>
      <w:rFonts w:hAnsi="宋体" w:cs="Times New Roman"/>
      <w:sz w:val="21"/>
    </w:rPr>
  </w:style>
  <w:style w:type="character" w:customStyle="1" w:styleId="2143">
    <w:name w:val="表格内字体 Char1"/>
    <w:qFormat/>
    <w:uiPriority w:val="0"/>
    <w:rPr>
      <w:rFonts w:ascii="宋体" w:hAnsi="宋体" w:eastAsia="宋体"/>
      <w:kern w:val="2"/>
      <w:sz w:val="21"/>
      <w:szCs w:val="24"/>
      <w:lang w:val="en-US" w:eastAsia="zh-CN" w:bidi="ar-SA"/>
    </w:rPr>
  </w:style>
  <w:style w:type="character" w:customStyle="1" w:styleId="2144">
    <w:name w:val="正文格式 Char1"/>
    <w:qFormat/>
    <w:uiPriority w:val="0"/>
    <w:rPr>
      <w:rFonts w:ascii="宋体" w:hAnsi="宋体" w:eastAsia="宋体"/>
      <w:kern w:val="2"/>
      <w:sz w:val="24"/>
      <w:szCs w:val="24"/>
      <w:lang w:val="en-US" w:eastAsia="zh-CN" w:bidi="ar-SA"/>
    </w:rPr>
  </w:style>
  <w:style w:type="character" w:customStyle="1" w:styleId="2145">
    <w:name w:val="Char Char519"/>
    <w:qFormat/>
    <w:uiPriority w:val="0"/>
    <w:rPr>
      <w:rFonts w:ascii="黑体" w:hAnsi="宋体" w:eastAsia="黑体"/>
      <w:bCs/>
      <w:kern w:val="2"/>
      <w:sz w:val="28"/>
      <w:szCs w:val="28"/>
      <w:lang w:val="en-US" w:eastAsia="zh-CN" w:bidi="ar-SA"/>
    </w:rPr>
  </w:style>
  <w:style w:type="paragraph" w:customStyle="1" w:styleId="2146">
    <w:name w:val="正文格式＝1"/>
    <w:basedOn w:val="223"/>
    <w:next w:val="223"/>
    <w:qFormat/>
    <w:uiPriority w:val="0"/>
    <w:rPr>
      <w:rFonts w:hAnsi="宋体" w:cs="Times New Roman"/>
    </w:rPr>
  </w:style>
  <w:style w:type="paragraph" w:customStyle="1" w:styleId="2147">
    <w:name w:val="正文格式2"/>
    <w:basedOn w:val="1"/>
    <w:qFormat/>
    <w:uiPriority w:val="0"/>
    <w:pPr>
      <w:spacing w:line="360" w:lineRule="auto"/>
      <w:ind w:firstLine="482"/>
    </w:pPr>
    <w:rPr>
      <w:rFonts w:ascii="宋体" w:hAnsi="宋体"/>
      <w:sz w:val="24"/>
    </w:rPr>
  </w:style>
  <w:style w:type="character" w:customStyle="1" w:styleId="2148">
    <w:name w:val="正文格式 Char2"/>
    <w:qFormat/>
    <w:uiPriority w:val="0"/>
    <w:rPr>
      <w:rFonts w:ascii="宋体" w:hAnsi="宋体" w:eastAsia="宋体"/>
      <w:kern w:val="2"/>
      <w:sz w:val="24"/>
      <w:szCs w:val="24"/>
      <w:lang w:val="en-US" w:eastAsia="zh-CN" w:bidi="ar-SA"/>
    </w:rPr>
  </w:style>
  <w:style w:type="paragraph" w:customStyle="1" w:styleId="2149">
    <w:name w:val="图题2"/>
    <w:basedOn w:val="223"/>
    <w:next w:val="223"/>
    <w:qFormat/>
    <w:uiPriority w:val="0"/>
    <w:pPr>
      <w:ind w:firstLine="0"/>
      <w:jc w:val="center"/>
    </w:pPr>
    <w:rPr>
      <w:rFonts w:ascii="黑体" w:hAnsi="宋体" w:eastAsia="黑体"/>
      <w:b/>
      <w:bCs/>
    </w:rPr>
  </w:style>
  <w:style w:type="paragraph" w:customStyle="1" w:styleId="2150">
    <w:name w:val="表格内字体2"/>
    <w:basedOn w:val="223"/>
    <w:next w:val="223"/>
    <w:qFormat/>
    <w:uiPriority w:val="0"/>
    <w:pPr>
      <w:spacing w:line="240" w:lineRule="auto"/>
      <w:ind w:firstLine="0"/>
      <w:jc w:val="center"/>
    </w:pPr>
    <w:rPr>
      <w:rFonts w:hAnsi="宋体" w:cs="Times New Roman"/>
      <w:sz w:val="21"/>
    </w:rPr>
  </w:style>
  <w:style w:type="character" w:customStyle="1" w:styleId="2151">
    <w:name w:val="表格内字体 Char2"/>
    <w:qFormat/>
    <w:uiPriority w:val="0"/>
    <w:rPr>
      <w:rFonts w:ascii="宋体" w:hAnsi="宋体" w:eastAsia="宋体"/>
      <w:kern w:val="2"/>
      <w:sz w:val="21"/>
      <w:szCs w:val="24"/>
      <w:lang w:val="en-US" w:eastAsia="zh-CN" w:bidi="ar-SA"/>
    </w:rPr>
  </w:style>
  <w:style w:type="paragraph" w:customStyle="1" w:styleId="2152">
    <w:name w:val="表内5411"/>
    <w:basedOn w:val="1"/>
    <w:qFormat/>
    <w:uiPriority w:val="0"/>
    <w:pPr>
      <w:adjustRightInd w:val="0"/>
      <w:snapToGrid w:val="0"/>
      <w:spacing w:line="300" w:lineRule="auto"/>
      <w:jc w:val="center"/>
    </w:pPr>
    <w:rPr>
      <w:rFonts w:ascii="宋体" w:hAnsi="宋体" w:cs="宋体"/>
      <w:szCs w:val="20"/>
    </w:rPr>
  </w:style>
  <w:style w:type="paragraph" w:customStyle="1" w:styleId="2153">
    <w:name w:val="表内文字小211"/>
    <w:basedOn w:val="1"/>
    <w:qFormat/>
    <w:uiPriority w:val="0"/>
    <w:pPr>
      <w:adjustRightInd w:val="0"/>
      <w:snapToGrid w:val="0"/>
      <w:jc w:val="center"/>
    </w:pPr>
    <w:rPr>
      <w:rFonts w:ascii="宋体" w:hAnsi="Times"/>
      <w:bCs/>
      <w:color w:val="000000"/>
      <w:szCs w:val="20"/>
    </w:rPr>
  </w:style>
  <w:style w:type="paragraph" w:customStyle="1" w:styleId="2154">
    <w:name w:val="表题311"/>
    <w:basedOn w:val="37"/>
    <w:qFormat/>
    <w:uiPriority w:val="0"/>
    <w:pPr>
      <w:tabs>
        <w:tab w:val="left" w:pos="4305"/>
      </w:tabs>
      <w:adjustRightInd w:val="0"/>
      <w:snapToGrid w:val="0"/>
      <w:spacing w:after="0"/>
      <w:ind w:left="0" w:leftChars="0"/>
      <w:jc w:val="center"/>
    </w:pPr>
    <w:rPr>
      <w:rFonts w:ascii="宋体" w:hAnsi="宋体"/>
      <w:sz w:val="24"/>
      <w:szCs w:val="20"/>
    </w:rPr>
  </w:style>
  <w:style w:type="paragraph" w:customStyle="1" w:styleId="2155">
    <w:name w:val="Char Char Char Char Char Char Char11"/>
    <w:basedOn w:val="1"/>
    <w:qFormat/>
    <w:uiPriority w:val="0"/>
  </w:style>
  <w:style w:type="paragraph" w:customStyle="1" w:styleId="2156">
    <w:name w:val="标题4311"/>
    <w:basedOn w:val="1"/>
    <w:qFormat/>
    <w:uiPriority w:val="0"/>
    <w:pPr>
      <w:adjustRightInd w:val="0"/>
      <w:snapToGrid w:val="0"/>
      <w:spacing w:line="480" w:lineRule="exact"/>
      <w:jc w:val="center"/>
    </w:pPr>
    <w:rPr>
      <w:rFonts w:ascii="宋体" w:hAnsi="宋体" w:cs="宋体"/>
      <w:sz w:val="24"/>
    </w:rPr>
  </w:style>
  <w:style w:type="paragraph" w:customStyle="1" w:styleId="2157">
    <w:name w:val="燕山正文111"/>
    <w:basedOn w:val="1"/>
    <w:qFormat/>
    <w:uiPriority w:val="0"/>
    <w:pPr>
      <w:tabs>
        <w:tab w:val="left" w:pos="4680"/>
      </w:tabs>
      <w:adjustRightInd w:val="0"/>
      <w:snapToGrid w:val="0"/>
      <w:spacing w:line="480" w:lineRule="exact"/>
    </w:pPr>
    <w:rPr>
      <w:rFonts w:ascii="宋体" w:hAnsi="宋体" w:cs="宋体"/>
      <w:bCs/>
      <w:color w:val="000000"/>
      <w:sz w:val="24"/>
    </w:rPr>
  </w:style>
  <w:style w:type="paragraph" w:customStyle="1" w:styleId="2158">
    <w:name w:val="默认段落字体 Para Char Char Char Char1"/>
    <w:basedOn w:val="1"/>
    <w:qFormat/>
    <w:uiPriority w:val="0"/>
  </w:style>
  <w:style w:type="paragraph" w:customStyle="1" w:styleId="2159">
    <w:name w:val="附件1"/>
    <w:basedOn w:val="4"/>
    <w:next w:val="223"/>
    <w:qFormat/>
    <w:uiPriority w:val="0"/>
    <w:pPr>
      <w:spacing w:before="0" w:after="0" w:line="360" w:lineRule="auto"/>
      <w:jc w:val="left"/>
    </w:pPr>
    <w:rPr>
      <w:rFonts w:ascii="黑体" w:hAnsi="宋体" w:eastAsia="黑体"/>
      <w:b w:val="0"/>
      <w:sz w:val="32"/>
      <w:szCs w:val="32"/>
    </w:rPr>
  </w:style>
  <w:style w:type="paragraph" w:customStyle="1" w:styleId="2160">
    <w:name w:val="黑体三号1"/>
    <w:basedOn w:val="223"/>
    <w:qFormat/>
    <w:uiPriority w:val="0"/>
    <w:pPr>
      <w:jc w:val="center"/>
    </w:pPr>
    <w:rPr>
      <w:rFonts w:ascii="黑体" w:hAnsi="宋体" w:eastAsia="黑体"/>
      <w:b/>
      <w:bCs/>
      <w:sz w:val="32"/>
      <w:szCs w:val="20"/>
    </w:rPr>
  </w:style>
  <w:style w:type="paragraph" w:customStyle="1" w:styleId="2161">
    <w:name w:val="表题11"/>
    <w:basedOn w:val="23"/>
    <w:qFormat/>
    <w:uiPriority w:val="0"/>
    <w:pPr>
      <w:tabs>
        <w:tab w:val="clear" w:pos="7380"/>
      </w:tabs>
      <w:overflowPunct/>
      <w:spacing w:before="0" w:afterLines="0" w:line="360" w:lineRule="auto"/>
      <w:jc w:val="center"/>
    </w:pPr>
    <w:rPr>
      <w:rFonts w:ascii="黑体" w:cs="Times New Roman"/>
      <w:sz w:val="24"/>
      <w:szCs w:val="24"/>
    </w:rPr>
  </w:style>
  <w:style w:type="character" w:customStyle="1" w:styleId="2162">
    <w:name w:val="表题1 Char1"/>
    <w:qFormat/>
    <w:uiPriority w:val="0"/>
    <w:rPr>
      <w:rFonts w:ascii="黑体" w:hAnsi="Arial" w:eastAsia="黑体" w:cs="Arial"/>
      <w:kern w:val="2"/>
      <w:sz w:val="24"/>
      <w:szCs w:val="24"/>
      <w:lang w:val="en-US" w:eastAsia="zh-CN" w:bidi="ar-SA"/>
    </w:rPr>
  </w:style>
  <w:style w:type="paragraph" w:customStyle="1" w:styleId="2163">
    <w:name w:val="燕山正文1"/>
    <w:basedOn w:val="1"/>
    <w:qFormat/>
    <w:uiPriority w:val="0"/>
    <w:pPr>
      <w:tabs>
        <w:tab w:val="left" w:pos="4680"/>
      </w:tabs>
      <w:adjustRightInd w:val="0"/>
      <w:snapToGrid w:val="0"/>
      <w:spacing w:line="480" w:lineRule="exact"/>
    </w:pPr>
    <w:rPr>
      <w:rFonts w:ascii="宋体" w:cs="宋体"/>
      <w:sz w:val="24"/>
    </w:rPr>
  </w:style>
  <w:style w:type="character" w:customStyle="1" w:styleId="2164">
    <w:name w:val="燕山正文 Char11"/>
    <w:qFormat/>
    <w:uiPriority w:val="0"/>
    <w:rPr>
      <w:rFonts w:ascii="宋体" w:eastAsia="宋体" w:cs="宋体"/>
      <w:kern w:val="2"/>
      <w:sz w:val="24"/>
      <w:szCs w:val="24"/>
      <w:lang w:val="en-US" w:eastAsia="zh-CN" w:bidi="ar-SA"/>
    </w:rPr>
  </w:style>
  <w:style w:type="paragraph" w:customStyle="1" w:styleId="2165">
    <w:name w:val="正文修改1"/>
    <w:basedOn w:val="2056"/>
    <w:qFormat/>
    <w:uiPriority w:val="0"/>
    <w:rPr>
      <w:rFonts w:hAnsi="宋体"/>
      <w:color w:val="000000"/>
    </w:rPr>
  </w:style>
  <w:style w:type="character" w:customStyle="1" w:styleId="2166">
    <w:name w:val="正文修改 Char11"/>
    <w:qFormat/>
    <w:uiPriority w:val="0"/>
    <w:rPr>
      <w:rFonts w:ascii="宋体" w:hAnsi="宋体" w:eastAsia="宋体" w:cs="宋体"/>
      <w:color w:val="000000"/>
      <w:sz w:val="24"/>
      <w:szCs w:val="24"/>
    </w:rPr>
  </w:style>
  <w:style w:type="character" w:customStyle="1" w:styleId="2167">
    <w:name w:val="表中文字 Char21"/>
    <w:qFormat/>
    <w:uiPriority w:val="0"/>
    <w:rPr>
      <w:rFonts w:ascii="宋体" w:eastAsia="宋体"/>
      <w:kern w:val="2"/>
      <w:sz w:val="21"/>
      <w:szCs w:val="21"/>
      <w:lang w:val="en-US" w:eastAsia="zh-CN" w:bidi="ar-SA"/>
    </w:rPr>
  </w:style>
  <w:style w:type="paragraph" w:customStyle="1" w:styleId="2168">
    <w:name w:val="表文字51"/>
    <w:basedOn w:val="1"/>
    <w:qFormat/>
    <w:uiPriority w:val="0"/>
    <w:pPr>
      <w:adjustRightInd w:val="0"/>
      <w:jc w:val="left"/>
      <w:textAlignment w:val="baseline"/>
    </w:pPr>
    <w:rPr>
      <w:rFonts w:ascii="宋体"/>
      <w:kern w:val="0"/>
      <w:szCs w:val="20"/>
    </w:rPr>
  </w:style>
  <w:style w:type="paragraph" w:customStyle="1" w:styleId="2169">
    <w:name w:val="表内文字小311"/>
    <w:basedOn w:val="1"/>
    <w:qFormat/>
    <w:uiPriority w:val="0"/>
    <w:pPr>
      <w:adjustRightInd w:val="0"/>
      <w:snapToGrid w:val="0"/>
      <w:jc w:val="center"/>
    </w:pPr>
    <w:rPr>
      <w:rFonts w:ascii="宋体" w:hAnsi="Times" w:cs="宋体"/>
      <w:bCs/>
      <w:color w:val="003366"/>
      <w:szCs w:val="20"/>
    </w:rPr>
  </w:style>
  <w:style w:type="paragraph" w:customStyle="1" w:styleId="2170">
    <w:name w:val="正文格式＝2"/>
    <w:basedOn w:val="223"/>
    <w:next w:val="223"/>
    <w:qFormat/>
    <w:uiPriority w:val="0"/>
    <w:rPr>
      <w:rFonts w:hAnsi="宋体" w:cs="Times New Roman"/>
    </w:rPr>
  </w:style>
  <w:style w:type="character" w:customStyle="1" w:styleId="2171">
    <w:name w:val="标题2 Char11"/>
    <w:qFormat/>
    <w:uiPriority w:val="0"/>
    <w:rPr>
      <w:rFonts w:ascii="宋体" w:hAnsi="宋体" w:eastAsia="宋体" w:cs="宋体"/>
      <w:color w:val="000000"/>
      <w:kern w:val="2"/>
      <w:sz w:val="24"/>
      <w:szCs w:val="24"/>
      <w:lang w:val="en-US" w:eastAsia="zh-CN" w:bidi="ar-SA"/>
    </w:rPr>
  </w:style>
  <w:style w:type="paragraph" w:customStyle="1" w:styleId="2172">
    <w:name w:val="表内文字小2"/>
    <w:basedOn w:val="1"/>
    <w:qFormat/>
    <w:uiPriority w:val="0"/>
    <w:pPr>
      <w:adjustRightInd w:val="0"/>
      <w:snapToGrid w:val="0"/>
      <w:jc w:val="center"/>
    </w:pPr>
    <w:rPr>
      <w:rFonts w:ascii="宋体" w:hAnsi="Times"/>
      <w:bCs/>
      <w:color w:val="000000"/>
      <w:szCs w:val="20"/>
    </w:rPr>
  </w:style>
  <w:style w:type="paragraph" w:customStyle="1" w:styleId="2173">
    <w:name w:val="表内53"/>
    <w:basedOn w:val="1"/>
    <w:qFormat/>
    <w:uiPriority w:val="0"/>
    <w:pPr>
      <w:adjustRightInd w:val="0"/>
      <w:snapToGrid w:val="0"/>
      <w:spacing w:line="300" w:lineRule="auto"/>
      <w:jc w:val="left"/>
    </w:pPr>
    <w:rPr>
      <w:rFonts w:ascii="宋体"/>
      <w:szCs w:val="20"/>
    </w:rPr>
  </w:style>
  <w:style w:type="paragraph" w:customStyle="1" w:styleId="2174">
    <w:name w:val="正文格式3"/>
    <w:basedOn w:val="1"/>
    <w:qFormat/>
    <w:uiPriority w:val="0"/>
    <w:pPr>
      <w:spacing w:line="360" w:lineRule="auto"/>
      <w:ind w:firstLine="482"/>
    </w:pPr>
    <w:rPr>
      <w:rFonts w:ascii="宋体" w:hAnsi="宋体"/>
      <w:sz w:val="24"/>
    </w:rPr>
  </w:style>
  <w:style w:type="character" w:customStyle="1" w:styleId="2175">
    <w:name w:val="正文格式 Char3"/>
    <w:qFormat/>
    <w:uiPriority w:val="0"/>
    <w:rPr>
      <w:rFonts w:ascii="宋体" w:hAnsi="宋体" w:eastAsia="宋体"/>
      <w:kern w:val="2"/>
      <w:sz w:val="24"/>
      <w:szCs w:val="24"/>
      <w:lang w:val="en-US" w:eastAsia="zh-CN" w:bidi="ar-SA"/>
    </w:rPr>
  </w:style>
  <w:style w:type="paragraph" w:customStyle="1" w:styleId="2176">
    <w:name w:val="Char22"/>
    <w:basedOn w:val="1"/>
    <w:qFormat/>
    <w:uiPriority w:val="0"/>
    <w:pPr>
      <w:adjustRightInd w:val="0"/>
      <w:snapToGrid w:val="0"/>
      <w:spacing w:beforeLines="50" w:line="360" w:lineRule="auto"/>
    </w:pPr>
    <w:rPr>
      <w:rFonts w:ascii="黑体" w:eastAsia="黑体"/>
      <w:sz w:val="32"/>
      <w:szCs w:val="32"/>
    </w:rPr>
  </w:style>
  <w:style w:type="paragraph" w:customStyle="1" w:styleId="2177">
    <w:name w:val="图题3"/>
    <w:basedOn w:val="223"/>
    <w:next w:val="223"/>
    <w:qFormat/>
    <w:uiPriority w:val="0"/>
    <w:pPr>
      <w:ind w:firstLine="0"/>
      <w:jc w:val="center"/>
    </w:pPr>
    <w:rPr>
      <w:rFonts w:ascii="黑体" w:hAnsi="宋体" w:eastAsia="黑体"/>
      <w:b/>
      <w:bCs/>
    </w:rPr>
  </w:style>
  <w:style w:type="paragraph" w:customStyle="1" w:styleId="2178">
    <w:name w:val="表格内字体3"/>
    <w:basedOn w:val="223"/>
    <w:next w:val="223"/>
    <w:qFormat/>
    <w:uiPriority w:val="0"/>
    <w:pPr>
      <w:spacing w:line="240" w:lineRule="auto"/>
      <w:ind w:firstLine="0"/>
      <w:jc w:val="center"/>
    </w:pPr>
    <w:rPr>
      <w:rFonts w:hAnsi="宋体" w:cs="Times New Roman"/>
      <w:sz w:val="21"/>
    </w:rPr>
  </w:style>
  <w:style w:type="character" w:customStyle="1" w:styleId="2179">
    <w:name w:val="表格内字体 Char3"/>
    <w:qFormat/>
    <w:uiPriority w:val="0"/>
    <w:rPr>
      <w:rFonts w:ascii="宋体" w:hAnsi="宋体" w:eastAsia="宋体"/>
      <w:kern w:val="2"/>
      <w:sz w:val="21"/>
      <w:szCs w:val="24"/>
      <w:lang w:val="en-US" w:eastAsia="zh-CN" w:bidi="ar-SA"/>
    </w:rPr>
  </w:style>
  <w:style w:type="character" w:customStyle="1" w:styleId="2180">
    <w:name w:val="正文缩进 Char4"/>
    <w:qFormat/>
    <w:uiPriority w:val="0"/>
    <w:rPr>
      <w:rFonts w:ascii="宋体" w:hAnsi="宋体" w:eastAsia="宋体" w:cs="宋体"/>
      <w:color w:val="000000"/>
      <w:kern w:val="2"/>
      <w:sz w:val="24"/>
      <w:szCs w:val="24"/>
      <w:lang w:val="en-US" w:eastAsia="zh-CN" w:bidi="ar-SA"/>
    </w:rPr>
  </w:style>
  <w:style w:type="paragraph" w:customStyle="1" w:styleId="2181">
    <w:name w:val="表内5412"/>
    <w:basedOn w:val="1"/>
    <w:qFormat/>
    <w:uiPriority w:val="0"/>
    <w:pPr>
      <w:adjustRightInd w:val="0"/>
      <w:snapToGrid w:val="0"/>
      <w:spacing w:line="300" w:lineRule="auto"/>
      <w:jc w:val="center"/>
    </w:pPr>
    <w:rPr>
      <w:rFonts w:ascii="宋体" w:hAnsi="宋体" w:cs="宋体"/>
      <w:szCs w:val="20"/>
    </w:rPr>
  </w:style>
  <w:style w:type="paragraph" w:customStyle="1" w:styleId="2182">
    <w:name w:val="表内文字小212"/>
    <w:basedOn w:val="1"/>
    <w:qFormat/>
    <w:uiPriority w:val="0"/>
    <w:pPr>
      <w:adjustRightInd w:val="0"/>
      <w:snapToGrid w:val="0"/>
      <w:jc w:val="center"/>
    </w:pPr>
    <w:rPr>
      <w:rFonts w:ascii="宋体" w:hAnsi="Times"/>
      <w:bCs/>
      <w:color w:val="000000"/>
      <w:szCs w:val="20"/>
    </w:rPr>
  </w:style>
  <w:style w:type="paragraph" w:customStyle="1" w:styleId="2183">
    <w:name w:val="表题312"/>
    <w:basedOn w:val="37"/>
    <w:qFormat/>
    <w:uiPriority w:val="0"/>
    <w:pPr>
      <w:tabs>
        <w:tab w:val="left" w:pos="4305"/>
      </w:tabs>
      <w:adjustRightInd w:val="0"/>
      <w:snapToGrid w:val="0"/>
      <w:spacing w:after="0"/>
      <w:ind w:left="0" w:leftChars="0"/>
      <w:jc w:val="center"/>
    </w:pPr>
    <w:rPr>
      <w:rFonts w:ascii="宋体" w:hAnsi="宋体"/>
      <w:sz w:val="24"/>
      <w:szCs w:val="20"/>
    </w:rPr>
  </w:style>
  <w:style w:type="paragraph" w:customStyle="1" w:styleId="2184">
    <w:name w:val="标题4312"/>
    <w:basedOn w:val="1"/>
    <w:qFormat/>
    <w:uiPriority w:val="0"/>
    <w:pPr>
      <w:adjustRightInd w:val="0"/>
      <w:snapToGrid w:val="0"/>
      <w:spacing w:line="480" w:lineRule="exact"/>
      <w:jc w:val="center"/>
    </w:pPr>
    <w:rPr>
      <w:rFonts w:ascii="宋体" w:hAnsi="宋体" w:cs="宋体"/>
      <w:sz w:val="24"/>
    </w:rPr>
  </w:style>
  <w:style w:type="paragraph" w:customStyle="1" w:styleId="2185">
    <w:name w:val="燕山正文112"/>
    <w:basedOn w:val="1"/>
    <w:qFormat/>
    <w:uiPriority w:val="0"/>
    <w:pPr>
      <w:tabs>
        <w:tab w:val="left" w:pos="4680"/>
      </w:tabs>
      <w:adjustRightInd w:val="0"/>
      <w:snapToGrid w:val="0"/>
      <w:spacing w:line="480" w:lineRule="exact"/>
    </w:pPr>
    <w:rPr>
      <w:rFonts w:ascii="宋体" w:hAnsi="宋体" w:cs="宋体"/>
      <w:bCs/>
      <w:color w:val="000000"/>
      <w:sz w:val="24"/>
    </w:rPr>
  </w:style>
  <w:style w:type="paragraph" w:customStyle="1" w:styleId="2186">
    <w:name w:val="默认段落字体 Para Char Char Char Char2"/>
    <w:basedOn w:val="1"/>
    <w:qFormat/>
    <w:uiPriority w:val="0"/>
  </w:style>
  <w:style w:type="paragraph" w:customStyle="1" w:styleId="2187">
    <w:name w:val="附件2"/>
    <w:basedOn w:val="4"/>
    <w:next w:val="223"/>
    <w:qFormat/>
    <w:uiPriority w:val="0"/>
    <w:pPr>
      <w:spacing w:before="0" w:after="0" w:line="360" w:lineRule="auto"/>
      <w:jc w:val="left"/>
    </w:pPr>
    <w:rPr>
      <w:rFonts w:ascii="黑体" w:hAnsi="宋体" w:eastAsia="黑体"/>
      <w:b w:val="0"/>
      <w:sz w:val="32"/>
      <w:szCs w:val="32"/>
    </w:rPr>
  </w:style>
  <w:style w:type="paragraph" w:customStyle="1" w:styleId="2188">
    <w:name w:val="黑体三号2"/>
    <w:basedOn w:val="223"/>
    <w:qFormat/>
    <w:uiPriority w:val="0"/>
    <w:pPr>
      <w:jc w:val="center"/>
    </w:pPr>
    <w:rPr>
      <w:rFonts w:ascii="黑体" w:hAnsi="宋体" w:eastAsia="黑体"/>
      <w:b/>
      <w:bCs/>
      <w:sz w:val="32"/>
      <w:szCs w:val="20"/>
    </w:rPr>
  </w:style>
  <w:style w:type="paragraph" w:customStyle="1" w:styleId="2189">
    <w:name w:val="表2"/>
    <w:basedOn w:val="1"/>
    <w:qFormat/>
    <w:uiPriority w:val="0"/>
    <w:pPr>
      <w:adjustRightInd w:val="0"/>
      <w:snapToGrid w:val="0"/>
      <w:jc w:val="center"/>
    </w:pPr>
    <w:rPr>
      <w:rFonts w:eastAsia="仿宋_GB2312"/>
      <w:sz w:val="24"/>
    </w:rPr>
  </w:style>
  <w:style w:type="paragraph" w:customStyle="1" w:styleId="2190">
    <w:name w:val="表题12"/>
    <w:basedOn w:val="23"/>
    <w:qFormat/>
    <w:uiPriority w:val="0"/>
    <w:pPr>
      <w:tabs>
        <w:tab w:val="clear" w:pos="7380"/>
      </w:tabs>
      <w:overflowPunct/>
      <w:spacing w:before="0" w:afterLines="0" w:line="360" w:lineRule="auto"/>
      <w:jc w:val="center"/>
    </w:pPr>
    <w:rPr>
      <w:rFonts w:ascii="黑体" w:cs="Times New Roman"/>
      <w:sz w:val="24"/>
      <w:szCs w:val="24"/>
    </w:rPr>
  </w:style>
  <w:style w:type="character" w:customStyle="1" w:styleId="2191">
    <w:name w:val="表题1 Char2"/>
    <w:qFormat/>
    <w:uiPriority w:val="0"/>
    <w:rPr>
      <w:rFonts w:hAnsi="Arial" w:eastAsia="宋体" w:cs="Arial"/>
      <w:kern w:val="2"/>
      <w:sz w:val="24"/>
      <w:szCs w:val="24"/>
      <w:lang w:val="en-US" w:eastAsia="zh-CN" w:bidi="ar-SA"/>
    </w:rPr>
  </w:style>
  <w:style w:type="paragraph" w:customStyle="1" w:styleId="2192">
    <w:name w:val="燕山正文2"/>
    <w:basedOn w:val="1"/>
    <w:qFormat/>
    <w:uiPriority w:val="0"/>
    <w:pPr>
      <w:tabs>
        <w:tab w:val="left" w:pos="4680"/>
      </w:tabs>
      <w:adjustRightInd w:val="0"/>
      <w:snapToGrid w:val="0"/>
      <w:spacing w:line="480" w:lineRule="exact"/>
    </w:pPr>
    <w:rPr>
      <w:rFonts w:ascii="宋体" w:cs="宋体"/>
      <w:sz w:val="24"/>
    </w:rPr>
  </w:style>
  <w:style w:type="character" w:customStyle="1" w:styleId="2193">
    <w:name w:val="燕山正文 Char12"/>
    <w:qFormat/>
    <w:uiPriority w:val="0"/>
    <w:rPr>
      <w:rFonts w:ascii="宋体" w:eastAsia="宋体" w:cs="宋体"/>
      <w:kern w:val="2"/>
      <w:sz w:val="24"/>
      <w:szCs w:val="24"/>
      <w:lang w:val="en-US" w:eastAsia="zh-CN" w:bidi="ar-SA"/>
    </w:rPr>
  </w:style>
  <w:style w:type="paragraph" w:customStyle="1" w:styleId="2194">
    <w:name w:val="正文修改2"/>
    <w:basedOn w:val="2056"/>
    <w:qFormat/>
    <w:uiPriority w:val="0"/>
    <w:rPr>
      <w:rFonts w:hAnsi="宋体"/>
      <w:color w:val="000000"/>
    </w:rPr>
  </w:style>
  <w:style w:type="character" w:customStyle="1" w:styleId="2195">
    <w:name w:val="正文修改 Char12"/>
    <w:qFormat/>
    <w:uiPriority w:val="0"/>
    <w:rPr>
      <w:rFonts w:ascii="宋体" w:hAnsi="宋体" w:eastAsia="宋体" w:cs="宋体"/>
      <w:color w:val="000000"/>
      <w:sz w:val="24"/>
      <w:szCs w:val="24"/>
    </w:rPr>
  </w:style>
  <w:style w:type="character" w:customStyle="1" w:styleId="2196">
    <w:name w:val="标题正文黑 Char1"/>
    <w:qFormat/>
    <w:uiPriority w:val="0"/>
    <w:rPr>
      <w:rFonts w:ascii="黑体" w:eastAsia="黑体"/>
      <w:kern w:val="2"/>
      <w:sz w:val="28"/>
      <w:szCs w:val="28"/>
      <w:lang w:val="en-US" w:eastAsia="zh-CN" w:bidi="ar-SA"/>
    </w:rPr>
  </w:style>
  <w:style w:type="paragraph" w:customStyle="1" w:styleId="2197">
    <w:name w:val="表中文字2"/>
    <w:basedOn w:val="1"/>
    <w:qFormat/>
    <w:uiPriority w:val="0"/>
    <w:pPr>
      <w:widowControl/>
      <w:adjustRightInd w:val="0"/>
      <w:spacing w:line="240" w:lineRule="atLeast"/>
      <w:ind w:right="-42" w:rightChars="-20"/>
      <w:jc w:val="center"/>
      <w:textAlignment w:val="baseline"/>
    </w:pPr>
    <w:rPr>
      <w:rFonts w:ascii="宋体"/>
      <w:kern w:val="0"/>
      <w:szCs w:val="21"/>
    </w:rPr>
  </w:style>
  <w:style w:type="character" w:customStyle="1" w:styleId="2198">
    <w:name w:val="表中文字 Char22"/>
    <w:qFormat/>
    <w:uiPriority w:val="0"/>
    <w:rPr>
      <w:rFonts w:ascii="宋体" w:eastAsia="宋体"/>
      <w:kern w:val="2"/>
      <w:sz w:val="21"/>
      <w:szCs w:val="21"/>
      <w:lang w:val="en-US" w:eastAsia="zh-CN" w:bidi="ar-SA"/>
    </w:rPr>
  </w:style>
  <w:style w:type="paragraph" w:customStyle="1" w:styleId="2199">
    <w:name w:val="表文字52"/>
    <w:basedOn w:val="1"/>
    <w:qFormat/>
    <w:uiPriority w:val="0"/>
    <w:pPr>
      <w:adjustRightInd w:val="0"/>
      <w:jc w:val="left"/>
      <w:textAlignment w:val="baseline"/>
    </w:pPr>
    <w:rPr>
      <w:rFonts w:ascii="宋体"/>
      <w:kern w:val="0"/>
      <w:szCs w:val="20"/>
    </w:rPr>
  </w:style>
  <w:style w:type="paragraph" w:customStyle="1" w:styleId="2200">
    <w:name w:val="表内文字小312"/>
    <w:basedOn w:val="1"/>
    <w:qFormat/>
    <w:uiPriority w:val="0"/>
    <w:pPr>
      <w:adjustRightInd w:val="0"/>
      <w:snapToGrid w:val="0"/>
      <w:jc w:val="center"/>
    </w:pPr>
    <w:rPr>
      <w:rFonts w:ascii="宋体" w:hAnsi="Times" w:cs="宋体"/>
      <w:bCs/>
      <w:color w:val="003366"/>
      <w:szCs w:val="20"/>
    </w:rPr>
  </w:style>
  <w:style w:type="paragraph" w:customStyle="1" w:styleId="2201">
    <w:name w:val="正文格式＝3"/>
    <w:basedOn w:val="223"/>
    <w:next w:val="223"/>
    <w:qFormat/>
    <w:uiPriority w:val="0"/>
    <w:rPr>
      <w:rFonts w:hAnsi="宋体" w:cs="Times New Roman"/>
    </w:rPr>
  </w:style>
  <w:style w:type="character" w:customStyle="1" w:styleId="2202">
    <w:name w:val="样式 表内小5 + 黑体 加粗 倾斜 下划线 Char51"/>
    <w:qFormat/>
    <w:uiPriority w:val="0"/>
    <w:rPr>
      <w:rFonts w:ascii="黑体" w:hAnsi="黑体" w:eastAsia="黑体"/>
      <w:b/>
      <w:bCs/>
      <w:i/>
      <w:iCs/>
      <w:kern w:val="2"/>
      <w:sz w:val="18"/>
      <w:szCs w:val="24"/>
      <w:u w:val="single"/>
      <w:lang w:val="en-US" w:eastAsia="zh-CN" w:bidi="ar-SA"/>
    </w:rPr>
  </w:style>
  <w:style w:type="paragraph" w:customStyle="1" w:styleId="2203">
    <w:name w:val="Char334"/>
    <w:basedOn w:val="1"/>
    <w:qFormat/>
    <w:uiPriority w:val="0"/>
    <w:pPr>
      <w:ind w:left="-48"/>
    </w:pPr>
  </w:style>
  <w:style w:type="paragraph" w:customStyle="1" w:styleId="2204">
    <w:name w:val="表内文字小22"/>
    <w:basedOn w:val="1"/>
    <w:qFormat/>
    <w:uiPriority w:val="0"/>
    <w:pPr>
      <w:adjustRightInd w:val="0"/>
      <w:snapToGrid w:val="0"/>
      <w:jc w:val="center"/>
    </w:pPr>
    <w:rPr>
      <w:rFonts w:ascii="宋体" w:hAnsi="Times"/>
      <w:bCs/>
      <w:color w:val="000000"/>
      <w:szCs w:val="20"/>
    </w:rPr>
  </w:style>
  <w:style w:type="paragraph" w:customStyle="1" w:styleId="2205">
    <w:name w:val="表内531"/>
    <w:basedOn w:val="1"/>
    <w:qFormat/>
    <w:uiPriority w:val="0"/>
    <w:pPr>
      <w:adjustRightInd w:val="0"/>
      <w:snapToGrid w:val="0"/>
      <w:spacing w:line="300" w:lineRule="auto"/>
      <w:jc w:val="left"/>
    </w:pPr>
    <w:rPr>
      <w:rFonts w:ascii="宋体"/>
      <w:szCs w:val="20"/>
    </w:rPr>
  </w:style>
  <w:style w:type="paragraph" w:customStyle="1" w:styleId="2206">
    <w:name w:val="正文格式21"/>
    <w:basedOn w:val="1"/>
    <w:qFormat/>
    <w:uiPriority w:val="0"/>
    <w:pPr>
      <w:spacing w:line="360" w:lineRule="auto"/>
      <w:ind w:firstLine="482"/>
    </w:pPr>
    <w:rPr>
      <w:rFonts w:ascii="宋体" w:hAnsi="宋体"/>
      <w:sz w:val="24"/>
    </w:rPr>
  </w:style>
  <w:style w:type="paragraph" w:customStyle="1" w:styleId="2207">
    <w:name w:val="图题21"/>
    <w:basedOn w:val="223"/>
    <w:next w:val="223"/>
    <w:qFormat/>
    <w:uiPriority w:val="0"/>
    <w:pPr>
      <w:ind w:firstLine="0"/>
      <w:jc w:val="center"/>
    </w:pPr>
    <w:rPr>
      <w:rFonts w:ascii="黑体" w:hAnsi="宋体" w:eastAsia="黑体"/>
      <w:b/>
      <w:bCs/>
    </w:rPr>
  </w:style>
  <w:style w:type="paragraph" w:customStyle="1" w:styleId="2208">
    <w:name w:val="表格内字体21"/>
    <w:basedOn w:val="223"/>
    <w:next w:val="223"/>
    <w:qFormat/>
    <w:uiPriority w:val="0"/>
    <w:pPr>
      <w:adjustRightInd w:val="0"/>
      <w:snapToGrid w:val="0"/>
      <w:spacing w:line="240" w:lineRule="auto"/>
      <w:ind w:firstLine="0"/>
      <w:jc w:val="center"/>
    </w:pPr>
    <w:rPr>
      <w:rFonts w:hAnsi="宋体" w:cs="Times New Roman"/>
      <w:sz w:val="21"/>
    </w:rPr>
  </w:style>
  <w:style w:type="paragraph" w:customStyle="1" w:styleId="2209">
    <w:name w:val="表题111"/>
    <w:basedOn w:val="23"/>
    <w:qFormat/>
    <w:uiPriority w:val="0"/>
    <w:pPr>
      <w:tabs>
        <w:tab w:val="clear" w:pos="7380"/>
      </w:tabs>
      <w:overflowPunct/>
      <w:spacing w:before="0" w:afterLines="0" w:line="360" w:lineRule="auto"/>
      <w:jc w:val="center"/>
    </w:pPr>
    <w:rPr>
      <w:rFonts w:ascii="黑体" w:cs="Times New Roman"/>
      <w:b/>
      <w:sz w:val="24"/>
      <w:szCs w:val="24"/>
    </w:rPr>
  </w:style>
  <w:style w:type="character" w:customStyle="1" w:styleId="2210">
    <w:name w:val="表题1 Char11"/>
    <w:qFormat/>
    <w:uiPriority w:val="0"/>
    <w:rPr>
      <w:rFonts w:hAnsi="Arial" w:eastAsia="宋体" w:cs="Arial"/>
      <w:kern w:val="2"/>
      <w:sz w:val="24"/>
      <w:szCs w:val="24"/>
      <w:lang w:val="en-US" w:eastAsia="zh-CN" w:bidi="ar-SA"/>
    </w:rPr>
  </w:style>
  <w:style w:type="paragraph" w:customStyle="1" w:styleId="2211">
    <w:name w:val="表中文字11"/>
    <w:basedOn w:val="1"/>
    <w:qFormat/>
    <w:uiPriority w:val="0"/>
    <w:pPr>
      <w:widowControl/>
      <w:spacing w:line="240" w:lineRule="atLeast"/>
      <w:ind w:left="-24" w:leftChars="-10" w:right="-48" w:rightChars="-20"/>
      <w:jc w:val="center"/>
    </w:pPr>
    <w:rPr>
      <w:rFonts w:ascii="宋体"/>
      <w:kern w:val="0"/>
      <w:szCs w:val="21"/>
    </w:rPr>
  </w:style>
  <w:style w:type="paragraph" w:customStyle="1" w:styleId="2212">
    <w:name w:val="表文字511"/>
    <w:basedOn w:val="1"/>
    <w:qFormat/>
    <w:uiPriority w:val="0"/>
    <w:pPr>
      <w:adjustRightInd w:val="0"/>
      <w:jc w:val="left"/>
      <w:textAlignment w:val="baseline"/>
    </w:pPr>
    <w:rPr>
      <w:rFonts w:ascii="宋体"/>
      <w:kern w:val="0"/>
      <w:szCs w:val="20"/>
    </w:rPr>
  </w:style>
  <w:style w:type="paragraph" w:customStyle="1" w:styleId="2213">
    <w:name w:val="正文格式4"/>
    <w:basedOn w:val="1"/>
    <w:qFormat/>
    <w:uiPriority w:val="0"/>
    <w:pPr>
      <w:spacing w:line="360" w:lineRule="auto"/>
      <w:ind w:firstLine="482"/>
    </w:pPr>
    <w:rPr>
      <w:rFonts w:ascii="宋体" w:hAnsi="宋体"/>
      <w:sz w:val="24"/>
    </w:rPr>
  </w:style>
  <w:style w:type="paragraph" w:customStyle="1" w:styleId="2214">
    <w:name w:val="图题4"/>
    <w:basedOn w:val="223"/>
    <w:next w:val="223"/>
    <w:qFormat/>
    <w:uiPriority w:val="0"/>
    <w:pPr>
      <w:ind w:firstLine="0"/>
      <w:jc w:val="center"/>
    </w:pPr>
    <w:rPr>
      <w:rFonts w:ascii="黑体" w:hAnsi="宋体" w:eastAsia="黑体"/>
      <w:b/>
      <w:bCs/>
    </w:rPr>
  </w:style>
  <w:style w:type="paragraph" w:customStyle="1" w:styleId="2215">
    <w:name w:val="表格内字体4"/>
    <w:basedOn w:val="223"/>
    <w:next w:val="223"/>
    <w:qFormat/>
    <w:uiPriority w:val="0"/>
    <w:pPr>
      <w:spacing w:line="240" w:lineRule="auto"/>
      <w:ind w:firstLine="0"/>
      <w:jc w:val="center"/>
    </w:pPr>
    <w:rPr>
      <w:rFonts w:hAnsi="宋体" w:cs="Times New Roman"/>
      <w:sz w:val="21"/>
    </w:rPr>
  </w:style>
  <w:style w:type="character" w:customStyle="1" w:styleId="2216">
    <w:name w:val="表格内字体 Char4"/>
    <w:qFormat/>
    <w:uiPriority w:val="0"/>
    <w:rPr>
      <w:rFonts w:ascii="宋体" w:hAnsi="宋体" w:eastAsia="宋体"/>
      <w:kern w:val="2"/>
      <w:sz w:val="21"/>
      <w:szCs w:val="24"/>
      <w:lang w:val="en-US" w:eastAsia="zh-CN" w:bidi="ar-SA"/>
    </w:rPr>
  </w:style>
  <w:style w:type="character" w:customStyle="1" w:styleId="2217">
    <w:name w:val="正文格式 Char4"/>
    <w:qFormat/>
    <w:uiPriority w:val="0"/>
    <w:rPr>
      <w:rFonts w:ascii="宋体" w:hAnsi="宋体" w:eastAsia="宋体"/>
      <w:kern w:val="2"/>
      <w:sz w:val="24"/>
      <w:szCs w:val="24"/>
      <w:lang w:val="en-US" w:eastAsia="zh-CN" w:bidi="ar-SA"/>
    </w:rPr>
  </w:style>
  <w:style w:type="character" w:customStyle="1" w:styleId="2218">
    <w:name w:val="标题 3 Char2"/>
    <w:qFormat/>
    <w:uiPriority w:val="0"/>
    <w:rPr>
      <w:rFonts w:ascii="黑体" w:hAnsi="宋体" w:eastAsia="黑体"/>
      <w:b/>
      <w:bCs/>
      <w:kern w:val="2"/>
      <w:sz w:val="28"/>
      <w:szCs w:val="28"/>
      <w:lang w:val="en-US" w:eastAsia="zh-CN" w:bidi="ar-SA"/>
    </w:rPr>
  </w:style>
  <w:style w:type="paragraph" w:customStyle="1" w:styleId="2219">
    <w:name w:val="正文格式＝4"/>
    <w:basedOn w:val="223"/>
    <w:next w:val="223"/>
    <w:qFormat/>
    <w:uiPriority w:val="0"/>
    <w:rPr>
      <w:rFonts w:hAnsi="宋体" w:cs="Times New Roman"/>
    </w:rPr>
  </w:style>
  <w:style w:type="paragraph" w:customStyle="1" w:styleId="2220">
    <w:name w:val="表题13"/>
    <w:basedOn w:val="23"/>
    <w:qFormat/>
    <w:uiPriority w:val="0"/>
    <w:pPr>
      <w:tabs>
        <w:tab w:val="clear" w:pos="7380"/>
      </w:tabs>
      <w:overflowPunct/>
      <w:spacing w:before="0" w:afterLines="0" w:line="360" w:lineRule="auto"/>
      <w:jc w:val="center"/>
    </w:pPr>
    <w:rPr>
      <w:rFonts w:ascii="黑体" w:cs="Times New Roman"/>
      <w:b/>
      <w:sz w:val="24"/>
      <w:szCs w:val="24"/>
    </w:rPr>
  </w:style>
  <w:style w:type="character" w:customStyle="1" w:styleId="2221">
    <w:name w:val="表题1 Char3"/>
    <w:qFormat/>
    <w:uiPriority w:val="0"/>
    <w:rPr>
      <w:rFonts w:ascii="黑体" w:hAnsi="Arial" w:eastAsia="黑体" w:cs="Arial"/>
      <w:b/>
      <w:kern w:val="2"/>
      <w:sz w:val="24"/>
      <w:szCs w:val="24"/>
      <w:lang w:val="en-US" w:eastAsia="zh-CN" w:bidi="ar-SA"/>
    </w:rPr>
  </w:style>
  <w:style w:type="paragraph" w:customStyle="1" w:styleId="2222">
    <w:name w:val="默认段落字体 Para Char1"/>
    <w:basedOn w:val="1"/>
    <w:next w:val="1"/>
    <w:qFormat/>
    <w:uiPriority w:val="0"/>
    <w:pPr>
      <w:spacing w:line="480" w:lineRule="exact"/>
      <w:ind w:firstLine="200" w:firstLineChars="200"/>
      <w:jc w:val="left"/>
    </w:pPr>
    <w:rPr>
      <w:rFonts w:ascii="宋体" w:hAnsi="宋体" w:eastAsia="汉鼎简书宋" w:cs="宋体"/>
      <w:sz w:val="28"/>
    </w:rPr>
  </w:style>
  <w:style w:type="paragraph" w:customStyle="1" w:styleId="2223">
    <w:name w:val="Char Char Char Char Char Char Char12"/>
    <w:basedOn w:val="1"/>
    <w:qFormat/>
    <w:uiPriority w:val="0"/>
    <w:rPr>
      <w:szCs w:val="20"/>
    </w:rPr>
  </w:style>
  <w:style w:type="paragraph" w:customStyle="1" w:styleId="2224">
    <w:name w:val="燕山正文113"/>
    <w:basedOn w:val="1"/>
    <w:qFormat/>
    <w:uiPriority w:val="0"/>
    <w:pPr>
      <w:tabs>
        <w:tab w:val="left" w:pos="4680"/>
      </w:tabs>
      <w:adjustRightInd w:val="0"/>
      <w:snapToGrid w:val="0"/>
      <w:spacing w:line="360" w:lineRule="auto"/>
      <w:ind w:firstLine="480" w:firstLineChars="200"/>
    </w:pPr>
    <w:rPr>
      <w:rFonts w:ascii="宋体" w:hAnsi="宋体" w:cs="宋体"/>
      <w:bCs/>
      <w:snapToGrid w:val="0"/>
      <w:color w:val="000000"/>
      <w:kern w:val="0"/>
      <w:sz w:val="24"/>
    </w:rPr>
  </w:style>
  <w:style w:type="character" w:customStyle="1" w:styleId="2225">
    <w:name w:val="批注框文本 Char2"/>
    <w:qFormat/>
    <w:uiPriority w:val="0"/>
    <w:rPr>
      <w:rFonts w:eastAsia="宋体"/>
      <w:kern w:val="2"/>
      <w:sz w:val="18"/>
      <w:szCs w:val="18"/>
      <w:lang w:val="en-US" w:eastAsia="zh-CN" w:bidi="ar-SA"/>
    </w:rPr>
  </w:style>
  <w:style w:type="paragraph" w:customStyle="1" w:styleId="2226">
    <w:name w:val="正文格式5"/>
    <w:basedOn w:val="1"/>
    <w:qFormat/>
    <w:uiPriority w:val="0"/>
    <w:pPr>
      <w:spacing w:line="360" w:lineRule="auto"/>
      <w:ind w:firstLine="482"/>
    </w:pPr>
    <w:rPr>
      <w:rFonts w:ascii="宋体" w:hAnsi="宋体"/>
      <w:sz w:val="24"/>
    </w:rPr>
  </w:style>
  <w:style w:type="character" w:customStyle="1" w:styleId="2227">
    <w:name w:val="正文格式 Char5"/>
    <w:qFormat/>
    <w:uiPriority w:val="0"/>
    <w:rPr>
      <w:rFonts w:ascii="宋体" w:hAnsi="宋体" w:eastAsia="宋体"/>
      <w:kern w:val="2"/>
      <w:sz w:val="24"/>
      <w:szCs w:val="24"/>
      <w:lang w:val="en-US" w:eastAsia="zh-CN" w:bidi="ar-SA"/>
    </w:rPr>
  </w:style>
  <w:style w:type="character" w:customStyle="1" w:styleId="2228">
    <w:name w:val="标题 2 Char3"/>
    <w:qFormat/>
    <w:uiPriority w:val="0"/>
    <w:rPr>
      <w:rFonts w:ascii="黑体" w:hAnsi="Arial" w:eastAsia="黑体"/>
      <w:bCs/>
      <w:kern w:val="2"/>
      <w:sz w:val="30"/>
      <w:szCs w:val="30"/>
      <w:lang w:val="en-US" w:eastAsia="zh-CN" w:bidi="ar-SA"/>
    </w:rPr>
  </w:style>
  <w:style w:type="character" w:customStyle="1" w:styleId="2229">
    <w:name w:val="标题 3 Char3"/>
    <w:qFormat/>
    <w:uiPriority w:val="0"/>
    <w:rPr>
      <w:rFonts w:ascii="黑体" w:hAnsi="宋体" w:eastAsia="黑体"/>
      <w:b/>
      <w:bCs/>
      <w:kern w:val="2"/>
      <w:sz w:val="28"/>
      <w:szCs w:val="28"/>
      <w:lang w:val="en-US" w:eastAsia="zh-CN" w:bidi="ar-SA"/>
    </w:rPr>
  </w:style>
  <w:style w:type="character" w:customStyle="1" w:styleId="2230">
    <w:name w:val="题注 Char3"/>
    <w:qFormat/>
    <w:uiPriority w:val="0"/>
    <w:rPr>
      <w:rFonts w:ascii="黑体" w:hAnsi="Arial" w:eastAsia="黑体" w:cs="Arial"/>
      <w:b/>
      <w:kern w:val="2"/>
      <w:sz w:val="24"/>
      <w:szCs w:val="24"/>
      <w:lang w:val="en-US" w:eastAsia="zh-CN" w:bidi="ar-SA"/>
    </w:rPr>
  </w:style>
  <w:style w:type="paragraph" w:customStyle="1" w:styleId="2231">
    <w:name w:val="图题5"/>
    <w:basedOn w:val="223"/>
    <w:next w:val="223"/>
    <w:qFormat/>
    <w:uiPriority w:val="0"/>
    <w:pPr>
      <w:ind w:firstLine="0"/>
      <w:jc w:val="center"/>
    </w:pPr>
    <w:rPr>
      <w:rFonts w:ascii="黑体" w:hAnsi="宋体" w:eastAsia="黑体"/>
      <w:b/>
      <w:bCs/>
    </w:rPr>
  </w:style>
  <w:style w:type="paragraph" w:customStyle="1" w:styleId="2232">
    <w:name w:val="表格内字体5"/>
    <w:basedOn w:val="223"/>
    <w:next w:val="223"/>
    <w:qFormat/>
    <w:uiPriority w:val="0"/>
    <w:pPr>
      <w:adjustRightInd w:val="0"/>
      <w:snapToGrid w:val="0"/>
      <w:spacing w:line="240" w:lineRule="auto"/>
      <w:ind w:firstLine="0"/>
    </w:pPr>
    <w:rPr>
      <w:rFonts w:hAnsi="宋体" w:cs="Times New Roman"/>
      <w:sz w:val="21"/>
    </w:rPr>
  </w:style>
  <w:style w:type="character" w:customStyle="1" w:styleId="2233">
    <w:name w:val="表格内字体 Char5"/>
    <w:qFormat/>
    <w:uiPriority w:val="0"/>
    <w:rPr>
      <w:rFonts w:ascii="宋体" w:hAnsi="宋体" w:eastAsia="宋体"/>
      <w:kern w:val="2"/>
      <w:sz w:val="21"/>
      <w:szCs w:val="24"/>
      <w:lang w:val="en-US" w:eastAsia="zh-CN" w:bidi="ar-SA"/>
    </w:rPr>
  </w:style>
  <w:style w:type="character" w:customStyle="1" w:styleId="2234">
    <w:name w:val="正文缩进 Char11"/>
    <w:qFormat/>
    <w:uiPriority w:val="0"/>
    <w:rPr>
      <w:rFonts w:ascii="宋体" w:hAnsi="宋体" w:eastAsia="宋体" w:cs="宋体"/>
      <w:color w:val="000000"/>
      <w:kern w:val="2"/>
      <w:sz w:val="24"/>
      <w:szCs w:val="24"/>
      <w:lang w:val="en-US" w:eastAsia="zh-CN" w:bidi="ar-SA"/>
    </w:rPr>
  </w:style>
  <w:style w:type="paragraph" w:customStyle="1" w:styleId="2235">
    <w:name w:val="表3"/>
    <w:basedOn w:val="1"/>
    <w:qFormat/>
    <w:uiPriority w:val="0"/>
    <w:pPr>
      <w:adjustRightInd w:val="0"/>
      <w:snapToGrid w:val="0"/>
      <w:jc w:val="center"/>
    </w:pPr>
    <w:rPr>
      <w:rFonts w:eastAsia="仿宋_GB2312"/>
      <w:sz w:val="24"/>
    </w:rPr>
  </w:style>
  <w:style w:type="paragraph" w:customStyle="1" w:styleId="2236">
    <w:name w:val="正文.1"/>
    <w:qFormat/>
    <w:uiPriority w:val="0"/>
    <w:pPr>
      <w:widowControl w:val="0"/>
      <w:autoSpaceDE w:val="0"/>
      <w:autoSpaceDN w:val="0"/>
      <w:adjustRightInd w:val="0"/>
      <w:jc w:val="both"/>
    </w:pPr>
    <w:rPr>
      <w:rFonts w:ascii="Times New Roman;Symbol;Arial;婼" w:hAnsi="Times New Roman" w:eastAsia="Times New Roman;Symbol;Arial;婼" w:cs="Times New Roman"/>
      <w:sz w:val="21"/>
      <w:szCs w:val="21"/>
      <w:lang w:val="en-US" w:eastAsia="zh-CN" w:bidi="ar-SA"/>
    </w:rPr>
  </w:style>
  <w:style w:type="paragraph" w:customStyle="1" w:styleId="2237">
    <w:name w:val="表内宋5111"/>
    <w:basedOn w:val="81"/>
    <w:qFormat/>
    <w:uiPriority w:val="0"/>
    <w:pPr>
      <w:widowControl/>
      <w:adjustRightInd w:val="0"/>
      <w:snapToGrid w:val="0"/>
    </w:pPr>
    <w:rPr>
      <w:rFonts w:ascii="宋体" w:hAnsi="宋体" w:cs="宋体"/>
      <w:color w:val="000000"/>
      <w:kern w:val="0"/>
      <w:sz w:val="21"/>
      <w:lang w:val="zh-CN"/>
    </w:rPr>
  </w:style>
  <w:style w:type="paragraph" w:customStyle="1" w:styleId="2238">
    <w:name w:val="表内文字小313"/>
    <w:basedOn w:val="1"/>
    <w:qFormat/>
    <w:uiPriority w:val="0"/>
    <w:pPr>
      <w:adjustRightInd w:val="0"/>
      <w:snapToGrid w:val="0"/>
      <w:jc w:val="center"/>
    </w:pPr>
    <w:rPr>
      <w:rFonts w:ascii="宋体" w:hAnsi="Times" w:cs="宋体"/>
      <w:bCs/>
      <w:color w:val="003366"/>
      <w:szCs w:val="20"/>
    </w:rPr>
  </w:style>
  <w:style w:type="paragraph" w:customStyle="1" w:styleId="2239">
    <w:name w:val="表文字53"/>
    <w:basedOn w:val="1"/>
    <w:qFormat/>
    <w:uiPriority w:val="0"/>
    <w:pPr>
      <w:adjustRightInd w:val="0"/>
      <w:jc w:val="left"/>
      <w:textAlignment w:val="baseline"/>
    </w:pPr>
    <w:rPr>
      <w:rFonts w:ascii="宋体"/>
      <w:kern w:val="0"/>
      <w:szCs w:val="20"/>
    </w:rPr>
  </w:style>
  <w:style w:type="paragraph" w:customStyle="1" w:styleId="2240">
    <w:name w:val="表题313"/>
    <w:basedOn w:val="37"/>
    <w:qFormat/>
    <w:uiPriority w:val="0"/>
    <w:pPr>
      <w:tabs>
        <w:tab w:val="left" w:pos="4305"/>
      </w:tabs>
      <w:adjustRightInd w:val="0"/>
      <w:snapToGrid w:val="0"/>
      <w:spacing w:after="0"/>
      <w:ind w:left="0" w:leftChars="0"/>
      <w:jc w:val="center"/>
    </w:pPr>
    <w:rPr>
      <w:rFonts w:ascii="宋体" w:hAnsi="宋体"/>
      <w:sz w:val="24"/>
      <w:szCs w:val="20"/>
    </w:rPr>
  </w:style>
  <w:style w:type="paragraph" w:customStyle="1" w:styleId="2241">
    <w:name w:val="表内文字小213"/>
    <w:basedOn w:val="1"/>
    <w:qFormat/>
    <w:uiPriority w:val="0"/>
    <w:pPr>
      <w:adjustRightInd w:val="0"/>
      <w:snapToGrid w:val="0"/>
      <w:jc w:val="center"/>
      <w:textAlignment w:val="baseline"/>
    </w:pPr>
    <w:rPr>
      <w:rFonts w:ascii="宋体" w:hAnsi="Times"/>
      <w:bCs/>
      <w:color w:val="000000"/>
      <w:szCs w:val="20"/>
    </w:rPr>
  </w:style>
  <w:style w:type="paragraph" w:customStyle="1" w:styleId="2242">
    <w:name w:val="燕山正文3"/>
    <w:basedOn w:val="1"/>
    <w:qFormat/>
    <w:uiPriority w:val="0"/>
    <w:pPr>
      <w:tabs>
        <w:tab w:val="left" w:pos="4680"/>
      </w:tabs>
      <w:adjustRightInd w:val="0"/>
      <w:snapToGrid w:val="0"/>
      <w:spacing w:line="480" w:lineRule="exact"/>
    </w:pPr>
    <w:rPr>
      <w:rFonts w:ascii="宋体" w:cs="宋体"/>
      <w:sz w:val="24"/>
    </w:rPr>
  </w:style>
  <w:style w:type="character" w:customStyle="1" w:styleId="2243">
    <w:name w:val="燕山正文 Char13"/>
    <w:qFormat/>
    <w:uiPriority w:val="0"/>
    <w:rPr>
      <w:rFonts w:ascii="宋体" w:eastAsia="宋体" w:cs="宋体"/>
      <w:kern w:val="2"/>
      <w:sz w:val="24"/>
      <w:szCs w:val="24"/>
      <w:lang w:val="en-US" w:eastAsia="zh-CN" w:bidi="ar-SA"/>
    </w:rPr>
  </w:style>
  <w:style w:type="paragraph" w:customStyle="1" w:styleId="2244">
    <w:name w:val="正文修改3"/>
    <w:basedOn w:val="2056"/>
    <w:qFormat/>
    <w:uiPriority w:val="0"/>
    <w:rPr>
      <w:rFonts w:hAnsi="宋体"/>
      <w:color w:val="000000"/>
    </w:rPr>
  </w:style>
  <w:style w:type="character" w:customStyle="1" w:styleId="2245">
    <w:name w:val="正文修改 Char13"/>
    <w:qFormat/>
    <w:uiPriority w:val="0"/>
    <w:rPr>
      <w:rFonts w:ascii="宋体" w:hAnsi="宋体" w:eastAsia="宋体" w:cs="宋体"/>
      <w:color w:val="000000"/>
      <w:sz w:val="24"/>
      <w:szCs w:val="24"/>
    </w:rPr>
  </w:style>
  <w:style w:type="paragraph" w:customStyle="1" w:styleId="2246">
    <w:name w:val="表题14"/>
    <w:basedOn w:val="23"/>
    <w:qFormat/>
    <w:uiPriority w:val="0"/>
    <w:pPr>
      <w:tabs>
        <w:tab w:val="clear" w:pos="7380"/>
      </w:tabs>
      <w:overflowPunct/>
      <w:spacing w:before="0" w:afterLines="0" w:line="360" w:lineRule="auto"/>
      <w:jc w:val="center"/>
    </w:pPr>
    <w:rPr>
      <w:rFonts w:ascii="黑体" w:cs="Times New Roman"/>
      <w:b/>
      <w:sz w:val="24"/>
      <w:szCs w:val="24"/>
    </w:rPr>
  </w:style>
  <w:style w:type="character" w:customStyle="1" w:styleId="2247">
    <w:name w:val="表题1 Char4"/>
    <w:qFormat/>
    <w:uiPriority w:val="0"/>
    <w:rPr>
      <w:rFonts w:ascii="黑体" w:hAnsi="Arial" w:eastAsia="黑体" w:cs="Arial"/>
      <w:b/>
      <w:kern w:val="2"/>
      <w:sz w:val="24"/>
      <w:szCs w:val="24"/>
      <w:lang w:val="en-US" w:eastAsia="zh-CN" w:bidi="ar-SA"/>
    </w:rPr>
  </w:style>
  <w:style w:type="paragraph" w:customStyle="1" w:styleId="2248">
    <w:name w:val="表中文字3"/>
    <w:basedOn w:val="1"/>
    <w:qFormat/>
    <w:uiPriority w:val="0"/>
    <w:pPr>
      <w:widowControl/>
      <w:spacing w:line="240" w:lineRule="atLeast"/>
      <w:ind w:left="-24" w:leftChars="-10" w:right="-48" w:rightChars="-20"/>
      <w:jc w:val="center"/>
    </w:pPr>
    <w:rPr>
      <w:rFonts w:ascii="宋体"/>
      <w:kern w:val="0"/>
      <w:szCs w:val="21"/>
    </w:rPr>
  </w:style>
  <w:style w:type="character" w:customStyle="1" w:styleId="2249">
    <w:name w:val="表中文字 Char23"/>
    <w:qFormat/>
    <w:uiPriority w:val="0"/>
    <w:rPr>
      <w:rFonts w:ascii="宋体" w:eastAsia="宋体"/>
      <w:kern w:val="2"/>
      <w:sz w:val="21"/>
      <w:szCs w:val="21"/>
      <w:lang w:val="en-US" w:eastAsia="zh-CN" w:bidi="ar-SA"/>
    </w:rPr>
  </w:style>
  <w:style w:type="paragraph" w:customStyle="1" w:styleId="2250">
    <w:name w:val="黑体三号3"/>
    <w:basedOn w:val="223"/>
    <w:qFormat/>
    <w:uiPriority w:val="0"/>
    <w:pPr>
      <w:jc w:val="center"/>
    </w:pPr>
    <w:rPr>
      <w:rFonts w:ascii="黑体" w:hAnsi="宋体" w:eastAsia="黑体"/>
      <w:b/>
      <w:bCs/>
      <w:sz w:val="32"/>
      <w:szCs w:val="20"/>
    </w:rPr>
  </w:style>
  <w:style w:type="paragraph" w:customStyle="1" w:styleId="2251">
    <w:name w:val="默认段落字体 Para Char Char Char Char3"/>
    <w:basedOn w:val="1"/>
    <w:qFormat/>
    <w:uiPriority w:val="0"/>
  </w:style>
  <w:style w:type="paragraph" w:customStyle="1" w:styleId="2252">
    <w:name w:val="表内5413"/>
    <w:basedOn w:val="1"/>
    <w:qFormat/>
    <w:uiPriority w:val="0"/>
    <w:pPr>
      <w:adjustRightInd w:val="0"/>
      <w:snapToGrid w:val="0"/>
      <w:spacing w:line="300" w:lineRule="auto"/>
      <w:jc w:val="center"/>
    </w:pPr>
    <w:rPr>
      <w:rFonts w:ascii="宋体" w:hAnsi="宋体" w:cs="宋体"/>
      <w:szCs w:val="20"/>
    </w:rPr>
  </w:style>
  <w:style w:type="paragraph" w:customStyle="1" w:styleId="2253">
    <w:name w:val="表题211"/>
    <w:basedOn w:val="1"/>
    <w:qFormat/>
    <w:uiPriority w:val="0"/>
    <w:pPr>
      <w:widowControl/>
      <w:adjustRightInd w:val="0"/>
      <w:snapToGrid w:val="0"/>
      <w:jc w:val="center"/>
    </w:pPr>
    <w:rPr>
      <w:rFonts w:ascii="黑体" w:hAnsi="宋体" w:eastAsia="黑体" w:cs="宋体"/>
      <w:kern w:val="0"/>
      <w:sz w:val="24"/>
    </w:rPr>
  </w:style>
  <w:style w:type="paragraph" w:customStyle="1" w:styleId="2254">
    <w:name w:val="表内宋5中11"/>
    <w:basedOn w:val="1"/>
    <w:qFormat/>
    <w:uiPriority w:val="0"/>
    <w:pPr>
      <w:adjustRightInd w:val="0"/>
      <w:snapToGrid w:val="0"/>
      <w:jc w:val="center"/>
      <w:textAlignment w:val="baseline"/>
    </w:pPr>
    <w:rPr>
      <w:rFonts w:ascii="宋体" w:hAnsi="宋体" w:cs="宋体"/>
      <w:kern w:val="0"/>
      <w:szCs w:val="20"/>
    </w:rPr>
  </w:style>
  <w:style w:type="paragraph" w:customStyle="1" w:styleId="2255">
    <w:name w:val="表内宋5中1"/>
    <w:basedOn w:val="1"/>
    <w:qFormat/>
    <w:uiPriority w:val="0"/>
    <w:pPr>
      <w:adjustRightInd w:val="0"/>
      <w:snapToGrid w:val="0"/>
      <w:jc w:val="center"/>
      <w:textAlignment w:val="baseline"/>
    </w:pPr>
    <w:rPr>
      <w:rFonts w:ascii="宋体" w:hAnsi="宋体" w:cs="宋体"/>
      <w:kern w:val="0"/>
      <w:szCs w:val="20"/>
    </w:rPr>
  </w:style>
  <w:style w:type="paragraph" w:customStyle="1" w:styleId="2256">
    <w:name w:val="表内文字小11"/>
    <w:basedOn w:val="1"/>
    <w:qFormat/>
    <w:uiPriority w:val="0"/>
    <w:pPr>
      <w:adjustRightInd w:val="0"/>
      <w:snapToGrid w:val="0"/>
    </w:pPr>
    <w:rPr>
      <w:rFonts w:ascii="宋体" w:hAnsi="Times" w:cs="宋体"/>
      <w:szCs w:val="20"/>
    </w:rPr>
  </w:style>
  <w:style w:type="paragraph" w:customStyle="1" w:styleId="2257">
    <w:name w:val="标题411"/>
    <w:basedOn w:val="1"/>
    <w:qFormat/>
    <w:uiPriority w:val="0"/>
    <w:pPr>
      <w:adjustRightInd w:val="0"/>
      <w:snapToGrid w:val="0"/>
      <w:spacing w:line="300" w:lineRule="auto"/>
      <w:jc w:val="left"/>
    </w:pPr>
    <w:rPr>
      <w:rFonts w:ascii="黑体" w:hAnsi="宋体" w:eastAsia="黑体" w:cs="宋体"/>
      <w:bCs/>
      <w:sz w:val="24"/>
      <w:szCs w:val="20"/>
    </w:rPr>
  </w:style>
  <w:style w:type="paragraph" w:customStyle="1" w:styleId="2258">
    <w:name w:val="表题141"/>
    <w:basedOn w:val="1"/>
    <w:qFormat/>
    <w:uiPriority w:val="0"/>
    <w:pPr>
      <w:widowControl/>
      <w:adjustRightInd w:val="0"/>
      <w:snapToGrid w:val="0"/>
      <w:jc w:val="center"/>
    </w:pPr>
    <w:rPr>
      <w:rFonts w:ascii="黑体" w:hAnsi="宋体" w:eastAsia="黑体" w:cs="宋体"/>
      <w:kern w:val="0"/>
      <w:sz w:val="24"/>
    </w:rPr>
  </w:style>
  <w:style w:type="paragraph" w:customStyle="1" w:styleId="2259">
    <w:name w:val="表内文字小8"/>
    <w:basedOn w:val="1"/>
    <w:qFormat/>
    <w:uiPriority w:val="0"/>
    <w:pPr>
      <w:adjustRightInd w:val="0"/>
      <w:snapToGrid w:val="0"/>
      <w:jc w:val="center"/>
    </w:pPr>
    <w:rPr>
      <w:rFonts w:ascii="宋体" w:hAnsi="Times" w:cs="宋体"/>
      <w:szCs w:val="20"/>
    </w:rPr>
  </w:style>
  <w:style w:type="paragraph" w:customStyle="1" w:styleId="2260">
    <w:name w:val="默认段落字体 Para Char2"/>
    <w:basedOn w:val="1"/>
    <w:next w:val="1"/>
    <w:qFormat/>
    <w:uiPriority w:val="0"/>
    <w:pPr>
      <w:spacing w:line="480" w:lineRule="exact"/>
      <w:ind w:firstLine="200" w:firstLineChars="200"/>
      <w:jc w:val="left"/>
    </w:pPr>
    <w:rPr>
      <w:rFonts w:ascii="宋体" w:hAnsi="宋体" w:eastAsia="汉鼎简书宋" w:cs="宋体"/>
      <w:sz w:val="28"/>
    </w:rPr>
  </w:style>
  <w:style w:type="paragraph" w:customStyle="1" w:styleId="2261">
    <w:name w:val="表内5中"/>
    <w:basedOn w:val="1"/>
    <w:qFormat/>
    <w:uiPriority w:val="0"/>
    <w:pPr>
      <w:adjustRightInd w:val="0"/>
      <w:snapToGrid w:val="0"/>
      <w:jc w:val="center"/>
    </w:pPr>
    <w:rPr>
      <w:rFonts w:ascii="宋体" w:hAnsi="宋体" w:cs="Arial"/>
      <w:snapToGrid w:val="0"/>
      <w:color w:val="000000"/>
      <w:szCs w:val="21"/>
    </w:rPr>
  </w:style>
  <w:style w:type="character" w:customStyle="1" w:styleId="2262">
    <w:name w:val="标题 2 Char4"/>
    <w:qFormat/>
    <w:uiPriority w:val="0"/>
    <w:rPr>
      <w:rFonts w:ascii="黑体" w:hAnsi="Arial" w:eastAsia="黑体" w:cs="Times New Roman"/>
      <w:bCs/>
      <w:kern w:val="2"/>
      <w:sz w:val="30"/>
      <w:szCs w:val="30"/>
      <w:lang w:val="en-US" w:eastAsia="zh-CN" w:bidi="ar-SA"/>
    </w:rPr>
  </w:style>
  <w:style w:type="character" w:customStyle="1" w:styleId="2263">
    <w:name w:val="标题 3 Char9"/>
    <w:qFormat/>
    <w:uiPriority w:val="0"/>
    <w:rPr>
      <w:rFonts w:ascii="黑体" w:hAnsi="宋体" w:eastAsia="黑体" w:cs="Times New Roman"/>
      <w:b/>
      <w:bCs/>
      <w:kern w:val="2"/>
      <w:sz w:val="28"/>
      <w:szCs w:val="28"/>
      <w:lang w:val="en-US" w:eastAsia="zh-CN" w:bidi="ar-SA"/>
    </w:rPr>
  </w:style>
  <w:style w:type="character" w:customStyle="1" w:styleId="2264">
    <w:name w:val="正文格式 Char6"/>
    <w:qFormat/>
    <w:uiPriority w:val="0"/>
    <w:rPr>
      <w:rFonts w:ascii="宋体" w:hAnsi="宋体" w:eastAsia="宋体" w:cs="Times New Roman"/>
      <w:kern w:val="2"/>
      <w:sz w:val="24"/>
      <w:szCs w:val="24"/>
      <w:lang w:val="en-US" w:eastAsia="zh-CN" w:bidi="ar-SA"/>
    </w:rPr>
  </w:style>
  <w:style w:type="paragraph" w:customStyle="1" w:styleId="2265">
    <w:name w:val="正文格式＝5"/>
    <w:basedOn w:val="223"/>
    <w:next w:val="223"/>
    <w:qFormat/>
    <w:uiPriority w:val="0"/>
    <w:rPr>
      <w:rFonts w:hAnsi="宋体" w:cs="Times New Roman"/>
    </w:rPr>
  </w:style>
  <w:style w:type="paragraph" w:customStyle="1" w:styleId="2266">
    <w:name w:val="附件3"/>
    <w:basedOn w:val="4"/>
    <w:next w:val="223"/>
    <w:qFormat/>
    <w:uiPriority w:val="0"/>
    <w:pPr>
      <w:adjustRightInd w:val="0"/>
      <w:snapToGrid w:val="0"/>
      <w:spacing w:before="0" w:after="0" w:line="360" w:lineRule="auto"/>
      <w:jc w:val="left"/>
    </w:pPr>
    <w:rPr>
      <w:rFonts w:ascii="黑体" w:hAnsi="宋体" w:eastAsia="黑体"/>
      <w:b w:val="0"/>
      <w:sz w:val="32"/>
      <w:szCs w:val="32"/>
    </w:rPr>
  </w:style>
  <w:style w:type="paragraph" w:customStyle="1" w:styleId="2267">
    <w:name w:val="表格内字体6"/>
    <w:basedOn w:val="223"/>
    <w:next w:val="223"/>
    <w:qFormat/>
    <w:uiPriority w:val="0"/>
    <w:pPr>
      <w:spacing w:line="240" w:lineRule="auto"/>
      <w:ind w:firstLine="0"/>
      <w:jc w:val="center"/>
    </w:pPr>
    <w:rPr>
      <w:rFonts w:hAnsi="宋体" w:cs="Times New Roman"/>
      <w:sz w:val="21"/>
    </w:rPr>
  </w:style>
  <w:style w:type="character" w:customStyle="1" w:styleId="2268">
    <w:name w:val="表格内字体 Char6"/>
    <w:qFormat/>
    <w:uiPriority w:val="0"/>
    <w:rPr>
      <w:rFonts w:ascii="宋体" w:hAnsi="宋体" w:eastAsia="宋体" w:cs="Times New Roman"/>
      <w:kern w:val="2"/>
      <w:sz w:val="24"/>
      <w:szCs w:val="24"/>
      <w:lang w:val="en-US" w:eastAsia="zh-CN" w:bidi="ar-SA"/>
    </w:rPr>
  </w:style>
  <w:style w:type="paragraph" w:customStyle="1" w:styleId="2269">
    <w:name w:val="黑体三号4"/>
    <w:basedOn w:val="223"/>
    <w:qFormat/>
    <w:uiPriority w:val="0"/>
    <w:pPr>
      <w:jc w:val="center"/>
    </w:pPr>
    <w:rPr>
      <w:rFonts w:ascii="黑体" w:hAnsi="宋体" w:eastAsia="黑体"/>
      <w:b/>
      <w:bCs/>
      <w:sz w:val="32"/>
      <w:szCs w:val="20"/>
    </w:rPr>
  </w:style>
  <w:style w:type="paragraph" w:customStyle="1" w:styleId="2270">
    <w:name w:val="默认段落字体 Para Char Char Char Char4"/>
    <w:basedOn w:val="1"/>
    <w:qFormat/>
    <w:uiPriority w:val="0"/>
  </w:style>
  <w:style w:type="character" w:customStyle="1" w:styleId="2271">
    <w:name w:val="表题 Char4"/>
    <w:qFormat/>
    <w:uiPriority w:val="0"/>
    <w:rPr>
      <w:rFonts w:ascii="黑体" w:hAnsi="Arial" w:eastAsia="黑体" w:cs="Arial"/>
      <w:b/>
      <w:kern w:val="2"/>
      <w:sz w:val="24"/>
      <w:szCs w:val="24"/>
      <w:lang w:val="en-US" w:eastAsia="zh-CN" w:bidi="ar-SA"/>
    </w:rPr>
  </w:style>
  <w:style w:type="character" w:customStyle="1" w:styleId="2272">
    <w:name w:val="正文缩进 Char5"/>
    <w:qFormat/>
    <w:uiPriority w:val="0"/>
    <w:rPr>
      <w:rFonts w:ascii="Times New Roman" w:hAnsi="Times New Roman" w:eastAsia="宋体" w:cs="Times New Roman"/>
      <w:kern w:val="2"/>
      <w:sz w:val="24"/>
      <w:szCs w:val="24"/>
      <w:lang w:val="en-US" w:eastAsia="zh-CN" w:bidi="ar-SA"/>
    </w:rPr>
  </w:style>
  <w:style w:type="paragraph" w:customStyle="1" w:styleId="2273">
    <w:name w:val="Char Char2 Char Char Char Char1"/>
    <w:basedOn w:val="1"/>
    <w:qFormat/>
    <w:uiPriority w:val="0"/>
  </w:style>
  <w:style w:type="paragraph" w:customStyle="1" w:styleId="2274">
    <w:name w:val="样式 样式 宋体 + 首行缩进:  2 字符1"/>
    <w:basedOn w:val="1"/>
    <w:qFormat/>
    <w:uiPriority w:val="0"/>
    <w:pPr>
      <w:spacing w:line="360" w:lineRule="auto"/>
      <w:ind w:firstLine="480" w:firstLineChars="200"/>
      <w:jc w:val="left"/>
    </w:pPr>
    <w:rPr>
      <w:rFonts w:ascii="宋体" w:cs="宋体"/>
      <w:sz w:val="24"/>
    </w:rPr>
  </w:style>
  <w:style w:type="paragraph" w:customStyle="1" w:styleId="2275">
    <w:name w:val="表内宋5中2"/>
    <w:basedOn w:val="1"/>
    <w:qFormat/>
    <w:uiPriority w:val="0"/>
    <w:pPr>
      <w:adjustRightInd w:val="0"/>
      <w:snapToGrid w:val="0"/>
      <w:jc w:val="center"/>
      <w:textAlignment w:val="baseline"/>
    </w:pPr>
    <w:rPr>
      <w:rFonts w:ascii="宋体" w:hAnsi="宋体"/>
      <w:kern w:val="0"/>
      <w:szCs w:val="20"/>
    </w:rPr>
  </w:style>
  <w:style w:type="paragraph" w:customStyle="1" w:styleId="2276">
    <w:name w:val="Fax Header"/>
    <w:basedOn w:val="1"/>
    <w:qFormat/>
    <w:uiPriority w:val="0"/>
    <w:pPr>
      <w:widowControl/>
      <w:spacing w:before="240" w:after="60"/>
      <w:jc w:val="left"/>
    </w:pPr>
    <w:rPr>
      <w:kern w:val="0"/>
      <w:sz w:val="20"/>
      <w:szCs w:val="20"/>
    </w:rPr>
  </w:style>
  <w:style w:type="paragraph" w:customStyle="1" w:styleId="2277">
    <w:name w:val="样式 表格内字体1 +"/>
    <w:basedOn w:val="2142"/>
    <w:next w:val="2053"/>
    <w:qFormat/>
    <w:uiPriority w:val="0"/>
    <w:rPr>
      <w:rFonts w:hAnsi="Times New Roman" w:cs="宋体"/>
      <w:szCs w:val="20"/>
    </w:rPr>
  </w:style>
  <w:style w:type="character" w:customStyle="1" w:styleId="2278">
    <w:name w:val="批注框文本 Char3"/>
    <w:qFormat/>
    <w:uiPriority w:val="0"/>
    <w:rPr>
      <w:rFonts w:ascii="Times New Roman" w:hAnsi="Times New Roman" w:eastAsia="宋体" w:cs="Times New Roman"/>
      <w:kern w:val="2"/>
      <w:sz w:val="18"/>
      <w:szCs w:val="18"/>
      <w:lang w:val="en-US" w:eastAsia="zh-CN" w:bidi="ar-SA"/>
    </w:rPr>
  </w:style>
  <w:style w:type="paragraph" w:customStyle="1" w:styleId="2279">
    <w:name w:val="Char Char2 Char Char Char Char11"/>
    <w:basedOn w:val="1"/>
    <w:qFormat/>
    <w:uiPriority w:val="0"/>
  </w:style>
  <w:style w:type="paragraph" w:customStyle="1" w:styleId="2280">
    <w:name w:val="正文格式7"/>
    <w:basedOn w:val="1"/>
    <w:qFormat/>
    <w:uiPriority w:val="0"/>
    <w:pPr>
      <w:spacing w:line="360" w:lineRule="auto"/>
      <w:ind w:firstLine="482"/>
    </w:pPr>
    <w:rPr>
      <w:rFonts w:ascii="宋体" w:hAnsi="宋体"/>
      <w:sz w:val="24"/>
    </w:rPr>
  </w:style>
  <w:style w:type="character" w:customStyle="1" w:styleId="2281">
    <w:name w:val="正文格式 Char7"/>
    <w:qFormat/>
    <w:uiPriority w:val="0"/>
    <w:rPr>
      <w:rFonts w:ascii="宋体" w:hAnsi="宋体" w:eastAsia="宋体"/>
      <w:kern w:val="2"/>
      <w:sz w:val="24"/>
      <w:szCs w:val="24"/>
      <w:lang w:val="en-US" w:eastAsia="zh-CN" w:bidi="ar-SA"/>
    </w:rPr>
  </w:style>
  <w:style w:type="character" w:customStyle="1" w:styleId="2282">
    <w:name w:val="标题 2 Char5"/>
    <w:qFormat/>
    <w:uiPriority w:val="0"/>
    <w:rPr>
      <w:rFonts w:ascii="黑体" w:hAnsi="Arial" w:eastAsia="黑体"/>
      <w:bCs/>
      <w:kern w:val="2"/>
      <w:sz w:val="30"/>
      <w:szCs w:val="30"/>
      <w:lang w:val="en-US" w:eastAsia="zh-CN" w:bidi="ar-SA"/>
    </w:rPr>
  </w:style>
  <w:style w:type="character" w:customStyle="1" w:styleId="2283">
    <w:name w:val="标题 3 Char10"/>
    <w:qFormat/>
    <w:uiPriority w:val="0"/>
    <w:rPr>
      <w:rFonts w:ascii="黑体" w:hAnsi="宋体" w:eastAsia="黑体"/>
      <w:b/>
      <w:bCs/>
      <w:kern w:val="2"/>
      <w:sz w:val="28"/>
      <w:szCs w:val="28"/>
      <w:lang w:val="en-US" w:eastAsia="zh-CN" w:bidi="ar-SA"/>
    </w:rPr>
  </w:style>
  <w:style w:type="character" w:customStyle="1" w:styleId="2284">
    <w:name w:val="题注 Char5"/>
    <w:qFormat/>
    <w:uiPriority w:val="0"/>
    <w:rPr>
      <w:rFonts w:ascii="黑体" w:hAnsi="Arial" w:eastAsia="黑体" w:cs="Arial"/>
      <w:b/>
      <w:kern w:val="2"/>
      <w:sz w:val="24"/>
      <w:szCs w:val="24"/>
      <w:lang w:val="en-US" w:eastAsia="zh-CN" w:bidi="ar-SA"/>
    </w:rPr>
  </w:style>
  <w:style w:type="paragraph" w:customStyle="1" w:styleId="2285">
    <w:name w:val="图题7"/>
    <w:basedOn w:val="223"/>
    <w:next w:val="223"/>
    <w:qFormat/>
    <w:uiPriority w:val="0"/>
    <w:pPr>
      <w:ind w:firstLine="0"/>
      <w:jc w:val="center"/>
    </w:pPr>
    <w:rPr>
      <w:rFonts w:ascii="黑体" w:hAnsi="宋体" w:eastAsia="黑体"/>
      <w:b/>
      <w:bCs/>
    </w:rPr>
  </w:style>
  <w:style w:type="paragraph" w:customStyle="1" w:styleId="2286">
    <w:name w:val="表格内字体7"/>
    <w:basedOn w:val="223"/>
    <w:next w:val="223"/>
    <w:qFormat/>
    <w:uiPriority w:val="0"/>
    <w:pPr>
      <w:spacing w:line="240" w:lineRule="auto"/>
      <w:ind w:firstLine="0"/>
      <w:jc w:val="center"/>
    </w:pPr>
    <w:rPr>
      <w:rFonts w:hAnsi="宋体" w:cs="Times New Roman"/>
      <w:sz w:val="21"/>
    </w:rPr>
  </w:style>
  <w:style w:type="character" w:customStyle="1" w:styleId="2287">
    <w:name w:val="表格内字体 Char7"/>
    <w:qFormat/>
    <w:uiPriority w:val="0"/>
    <w:rPr>
      <w:rFonts w:ascii="宋体" w:hAnsi="宋体" w:eastAsia="宋体"/>
      <w:kern w:val="2"/>
      <w:sz w:val="21"/>
      <w:szCs w:val="24"/>
      <w:lang w:val="en-US" w:eastAsia="zh-CN" w:bidi="ar-SA"/>
    </w:rPr>
  </w:style>
  <w:style w:type="paragraph" w:customStyle="1" w:styleId="2288">
    <w:name w:val="正文格式＝6"/>
    <w:basedOn w:val="223"/>
    <w:next w:val="223"/>
    <w:semiHidden/>
    <w:qFormat/>
    <w:uiPriority w:val="0"/>
    <w:rPr>
      <w:rFonts w:hAnsi="宋体" w:cs="Times New Roman"/>
    </w:rPr>
  </w:style>
  <w:style w:type="character" w:customStyle="1" w:styleId="2289">
    <w:name w:val="正文缩进 Char12"/>
    <w:qFormat/>
    <w:uiPriority w:val="0"/>
    <w:rPr>
      <w:rFonts w:ascii="宋体" w:hAnsi="宋体" w:eastAsia="宋体" w:cs="宋体"/>
      <w:color w:val="000000"/>
      <w:kern w:val="2"/>
      <w:sz w:val="24"/>
      <w:szCs w:val="24"/>
      <w:lang w:val="en-US" w:eastAsia="zh-CN" w:bidi="ar-SA"/>
    </w:rPr>
  </w:style>
  <w:style w:type="character" w:customStyle="1" w:styleId="2290">
    <w:name w:val="正文文本缩进 3 Char2"/>
    <w:qFormat/>
    <w:uiPriority w:val="0"/>
    <w:rPr>
      <w:rFonts w:eastAsia="宋体"/>
      <w:kern w:val="2"/>
      <w:sz w:val="16"/>
      <w:szCs w:val="16"/>
      <w:lang w:val="en-US" w:eastAsia="zh-CN" w:bidi="ar-SA"/>
    </w:rPr>
  </w:style>
  <w:style w:type="character" w:customStyle="1" w:styleId="2291">
    <w:name w:val="表题1 Char6"/>
    <w:qFormat/>
    <w:uiPriority w:val="0"/>
    <w:rPr>
      <w:rFonts w:ascii="黑体" w:hAnsi="Arial" w:eastAsia="黑体" w:cs="Arial"/>
      <w:b/>
      <w:kern w:val="2"/>
      <w:sz w:val="24"/>
      <w:szCs w:val="24"/>
      <w:lang w:val="en-US" w:eastAsia="zh-CN" w:bidi="ar-SA"/>
    </w:rPr>
  </w:style>
  <w:style w:type="paragraph" w:customStyle="1" w:styleId="2292">
    <w:name w:val="燕山正文4"/>
    <w:basedOn w:val="1"/>
    <w:qFormat/>
    <w:uiPriority w:val="0"/>
    <w:pPr>
      <w:tabs>
        <w:tab w:val="left" w:pos="4680"/>
      </w:tabs>
      <w:adjustRightInd w:val="0"/>
      <w:snapToGrid w:val="0"/>
      <w:spacing w:line="480" w:lineRule="exact"/>
    </w:pPr>
    <w:rPr>
      <w:rFonts w:ascii="宋体" w:cs="宋体"/>
      <w:sz w:val="24"/>
    </w:rPr>
  </w:style>
  <w:style w:type="character" w:customStyle="1" w:styleId="2293">
    <w:name w:val="燕山正文 Char14"/>
    <w:qFormat/>
    <w:uiPriority w:val="0"/>
    <w:rPr>
      <w:rFonts w:ascii="宋体" w:eastAsia="宋体" w:cs="宋体"/>
      <w:kern w:val="2"/>
      <w:sz w:val="24"/>
      <w:szCs w:val="24"/>
      <w:lang w:val="en-US" w:eastAsia="zh-CN" w:bidi="ar-SA"/>
    </w:rPr>
  </w:style>
  <w:style w:type="paragraph" w:customStyle="1" w:styleId="2294">
    <w:name w:val="正文修改4"/>
    <w:basedOn w:val="2056"/>
    <w:qFormat/>
    <w:uiPriority w:val="0"/>
    <w:rPr>
      <w:rFonts w:hAnsi="宋体"/>
      <w:color w:val="000000"/>
    </w:rPr>
  </w:style>
  <w:style w:type="character" w:customStyle="1" w:styleId="2295">
    <w:name w:val="正文修改 Char14"/>
    <w:qFormat/>
    <w:uiPriority w:val="0"/>
  </w:style>
  <w:style w:type="paragraph" w:customStyle="1" w:styleId="2296">
    <w:name w:val="表中文字5"/>
    <w:basedOn w:val="1"/>
    <w:qFormat/>
    <w:uiPriority w:val="0"/>
    <w:pPr>
      <w:widowControl/>
      <w:spacing w:line="240" w:lineRule="atLeast"/>
      <w:ind w:left="-24" w:leftChars="-10" w:right="-48" w:rightChars="-20"/>
      <w:jc w:val="center"/>
    </w:pPr>
    <w:rPr>
      <w:rFonts w:ascii="宋体"/>
      <w:kern w:val="0"/>
      <w:szCs w:val="21"/>
    </w:rPr>
  </w:style>
  <w:style w:type="character" w:customStyle="1" w:styleId="2297">
    <w:name w:val="表中文字 Char24"/>
    <w:qFormat/>
    <w:uiPriority w:val="0"/>
    <w:rPr>
      <w:rFonts w:ascii="宋体" w:eastAsia="宋体"/>
      <w:kern w:val="2"/>
      <w:sz w:val="21"/>
      <w:szCs w:val="21"/>
      <w:lang w:val="en-US" w:eastAsia="zh-CN" w:bidi="ar-SA"/>
    </w:rPr>
  </w:style>
  <w:style w:type="paragraph" w:customStyle="1" w:styleId="2298">
    <w:name w:val="默认段落字体 Para Char Char Char Char5"/>
    <w:basedOn w:val="1"/>
    <w:qFormat/>
    <w:uiPriority w:val="0"/>
  </w:style>
  <w:style w:type="paragraph" w:customStyle="1" w:styleId="2299">
    <w:name w:val="表内5中1"/>
    <w:basedOn w:val="1"/>
    <w:qFormat/>
    <w:uiPriority w:val="0"/>
    <w:pPr>
      <w:adjustRightInd w:val="0"/>
      <w:snapToGrid w:val="0"/>
      <w:jc w:val="center"/>
    </w:pPr>
    <w:rPr>
      <w:rFonts w:ascii="宋体" w:hAnsi="宋体" w:cs="Arial"/>
      <w:snapToGrid w:val="0"/>
      <w:color w:val="000000"/>
      <w:szCs w:val="21"/>
    </w:rPr>
  </w:style>
  <w:style w:type="paragraph" w:customStyle="1" w:styleId="2300">
    <w:name w:val="表内5414"/>
    <w:basedOn w:val="1"/>
    <w:qFormat/>
    <w:uiPriority w:val="0"/>
    <w:pPr>
      <w:adjustRightInd w:val="0"/>
      <w:snapToGrid w:val="0"/>
      <w:spacing w:line="300" w:lineRule="auto"/>
      <w:jc w:val="center"/>
    </w:pPr>
    <w:rPr>
      <w:rFonts w:ascii="宋体" w:hAnsi="宋体" w:cs="宋体"/>
      <w:szCs w:val="20"/>
    </w:rPr>
  </w:style>
  <w:style w:type="paragraph" w:customStyle="1" w:styleId="2301">
    <w:name w:val="表题9"/>
    <w:basedOn w:val="47"/>
    <w:qFormat/>
    <w:uiPriority w:val="0"/>
    <w:pPr>
      <w:adjustRightInd w:val="0"/>
      <w:snapToGrid w:val="0"/>
      <w:spacing w:line="300" w:lineRule="auto"/>
      <w:jc w:val="center"/>
    </w:pPr>
    <w:rPr>
      <w:rFonts w:ascii="黑体" w:eastAsia="黑体" w:cs="Times New Roman"/>
      <w:sz w:val="24"/>
      <w:szCs w:val="20"/>
    </w:rPr>
  </w:style>
  <w:style w:type="character" w:customStyle="1" w:styleId="2302">
    <w:name w:val="正文缩进 Char6"/>
    <w:qFormat/>
    <w:uiPriority w:val="0"/>
    <w:rPr>
      <w:rFonts w:ascii="宋体" w:hAnsi="宋体" w:eastAsia="宋体"/>
      <w:kern w:val="2"/>
      <w:sz w:val="24"/>
      <w:szCs w:val="24"/>
      <w:lang w:val="en-US" w:eastAsia="zh-CN" w:bidi="ar-SA"/>
    </w:rPr>
  </w:style>
  <w:style w:type="paragraph" w:customStyle="1" w:styleId="2303">
    <w:name w:val="表内文字小1"/>
    <w:basedOn w:val="1"/>
    <w:qFormat/>
    <w:uiPriority w:val="0"/>
    <w:pPr>
      <w:adjustRightInd w:val="0"/>
      <w:snapToGrid w:val="0"/>
      <w:jc w:val="center"/>
    </w:pPr>
    <w:rPr>
      <w:rFonts w:ascii="宋体" w:hAnsi="Times"/>
      <w:szCs w:val="20"/>
    </w:rPr>
  </w:style>
  <w:style w:type="paragraph" w:customStyle="1" w:styleId="2304">
    <w:name w:val="表内59"/>
    <w:basedOn w:val="1"/>
    <w:qFormat/>
    <w:uiPriority w:val="0"/>
    <w:pPr>
      <w:adjustRightInd w:val="0"/>
      <w:snapToGrid w:val="0"/>
      <w:spacing w:line="300" w:lineRule="auto"/>
      <w:jc w:val="center"/>
    </w:pPr>
    <w:rPr>
      <w:rFonts w:ascii="宋体"/>
      <w:snapToGrid w:val="0"/>
      <w:szCs w:val="21"/>
    </w:rPr>
  </w:style>
  <w:style w:type="paragraph" w:customStyle="1" w:styleId="2305">
    <w:name w:val="表内小5中"/>
    <w:basedOn w:val="1"/>
    <w:qFormat/>
    <w:uiPriority w:val="0"/>
    <w:pPr>
      <w:adjustRightInd w:val="0"/>
      <w:snapToGrid w:val="0"/>
      <w:jc w:val="center"/>
    </w:pPr>
    <w:rPr>
      <w:rFonts w:ascii="宋体" w:hAnsi="宋体"/>
      <w:sz w:val="18"/>
      <w:szCs w:val="20"/>
    </w:rPr>
  </w:style>
  <w:style w:type="paragraph" w:customStyle="1" w:styleId="2306">
    <w:name w:val="表内5中4"/>
    <w:basedOn w:val="1"/>
    <w:qFormat/>
    <w:uiPriority w:val="0"/>
    <w:pPr>
      <w:adjustRightInd w:val="0"/>
      <w:snapToGrid w:val="0"/>
      <w:jc w:val="center"/>
    </w:pPr>
    <w:rPr>
      <w:rFonts w:ascii="宋体"/>
      <w:bCs/>
      <w:szCs w:val="20"/>
    </w:rPr>
  </w:style>
  <w:style w:type="character" w:customStyle="1" w:styleId="2307">
    <w:name w:val="无效格式 Char"/>
    <w:qFormat/>
    <w:uiPriority w:val="0"/>
    <w:rPr>
      <w:rFonts w:ascii="黑体" w:hAnsi="Arial" w:eastAsia="黑体"/>
      <w:b/>
      <w:bCs/>
      <w:kern w:val="2"/>
      <w:sz w:val="24"/>
      <w:szCs w:val="24"/>
      <w:lang w:val="en-US" w:eastAsia="zh-CN" w:bidi="ar-SA"/>
    </w:rPr>
  </w:style>
  <w:style w:type="paragraph" w:customStyle="1" w:styleId="2308">
    <w:name w:val="默认段落字体 Para Char4"/>
    <w:basedOn w:val="1"/>
    <w:next w:val="1"/>
    <w:qFormat/>
    <w:uiPriority w:val="0"/>
    <w:pPr>
      <w:spacing w:line="480" w:lineRule="exact"/>
      <w:ind w:firstLine="200" w:firstLineChars="200"/>
      <w:jc w:val="left"/>
    </w:pPr>
    <w:rPr>
      <w:rFonts w:ascii="宋体" w:hAnsi="宋体" w:eastAsia="汉鼎简书宋" w:cs="宋体"/>
      <w:sz w:val="28"/>
    </w:rPr>
  </w:style>
  <w:style w:type="paragraph" w:customStyle="1" w:styleId="2309">
    <w:name w:val="燕山正文13"/>
    <w:basedOn w:val="1"/>
    <w:qFormat/>
    <w:uiPriority w:val="0"/>
    <w:pPr>
      <w:tabs>
        <w:tab w:val="left" w:pos="4680"/>
      </w:tabs>
      <w:adjustRightInd w:val="0"/>
      <w:snapToGrid w:val="0"/>
      <w:spacing w:line="360" w:lineRule="auto"/>
      <w:ind w:firstLine="480" w:firstLineChars="200"/>
    </w:pPr>
    <w:rPr>
      <w:rFonts w:ascii="宋体" w:hAnsi="宋体" w:cs="宋体"/>
      <w:bCs/>
      <w:color w:val="000000"/>
      <w:sz w:val="24"/>
    </w:rPr>
  </w:style>
  <w:style w:type="character" w:customStyle="1" w:styleId="2310">
    <w:name w:val="批注框文本 Char4"/>
    <w:qFormat/>
    <w:uiPriority w:val="0"/>
    <w:rPr>
      <w:rFonts w:eastAsia="宋体"/>
      <w:kern w:val="2"/>
      <w:sz w:val="18"/>
      <w:szCs w:val="18"/>
      <w:lang w:val="en-US" w:eastAsia="zh-CN" w:bidi="ar-SA"/>
    </w:rPr>
  </w:style>
  <w:style w:type="paragraph" w:customStyle="1" w:styleId="2311">
    <w:name w:val="样式 标题 4无效格式无效格式1河石管道4H4H41小小节河石管道41H42H411小小节1河石管道42..."/>
    <w:basedOn w:val="7"/>
    <w:qFormat/>
    <w:uiPriority w:val="0"/>
    <w:pPr>
      <w:adjustRightInd w:val="0"/>
      <w:snapToGrid w:val="0"/>
      <w:spacing w:line="360" w:lineRule="auto"/>
      <w:ind w:left="664" w:hanging="864"/>
    </w:pPr>
    <w:rPr>
      <w:rFonts w:ascii="黑体" w:eastAsia="黑体"/>
      <w:bCs w:val="0"/>
      <w:sz w:val="24"/>
      <w:szCs w:val="24"/>
      <w:lang w:val="zh-CN"/>
    </w:rPr>
  </w:style>
  <w:style w:type="paragraph" w:customStyle="1" w:styleId="2312">
    <w:name w:val="样式 标题 4无效格式无效格式1河石管道4H4H41小小节河石管道41H42H411小小节1河石管道42...1"/>
    <w:basedOn w:val="7"/>
    <w:qFormat/>
    <w:uiPriority w:val="0"/>
    <w:pPr>
      <w:adjustRightInd w:val="0"/>
      <w:snapToGrid w:val="0"/>
      <w:spacing w:line="360" w:lineRule="auto"/>
      <w:ind w:left="664" w:hanging="864"/>
      <w:jc w:val="left"/>
    </w:pPr>
    <w:rPr>
      <w:rFonts w:ascii="黑体" w:eastAsia="黑体" w:cs="宋体"/>
      <w:bCs w:val="0"/>
      <w:sz w:val="24"/>
      <w:szCs w:val="20"/>
      <w:lang w:val="zh-CN"/>
    </w:rPr>
  </w:style>
  <w:style w:type="paragraph" w:customStyle="1" w:styleId="2313">
    <w:name w:val="正文格式8"/>
    <w:basedOn w:val="1"/>
    <w:qFormat/>
    <w:uiPriority w:val="0"/>
    <w:pPr>
      <w:spacing w:line="360" w:lineRule="auto"/>
      <w:ind w:firstLine="482"/>
    </w:pPr>
    <w:rPr>
      <w:rFonts w:ascii="宋体" w:hAnsi="宋体"/>
      <w:sz w:val="24"/>
    </w:rPr>
  </w:style>
  <w:style w:type="character" w:customStyle="1" w:styleId="2314">
    <w:name w:val="正文格式 Char8"/>
    <w:qFormat/>
    <w:uiPriority w:val="0"/>
    <w:rPr>
      <w:rFonts w:ascii="宋体" w:hAnsi="宋体" w:eastAsia="宋体"/>
      <w:kern w:val="2"/>
      <w:sz w:val="24"/>
      <w:szCs w:val="24"/>
      <w:lang w:val="en-US" w:eastAsia="zh-CN" w:bidi="ar-SA"/>
    </w:rPr>
  </w:style>
  <w:style w:type="paragraph" w:customStyle="1" w:styleId="2315">
    <w:name w:val="正文格式9"/>
    <w:basedOn w:val="1"/>
    <w:qFormat/>
    <w:uiPriority w:val="0"/>
    <w:pPr>
      <w:spacing w:line="360" w:lineRule="auto"/>
      <w:ind w:firstLine="482"/>
    </w:pPr>
    <w:rPr>
      <w:rFonts w:ascii="宋体" w:hAnsi="宋体"/>
      <w:sz w:val="24"/>
    </w:rPr>
  </w:style>
  <w:style w:type="character" w:customStyle="1" w:styleId="2316">
    <w:name w:val="正文格式 Char9"/>
    <w:qFormat/>
    <w:uiPriority w:val="0"/>
    <w:rPr>
      <w:rFonts w:ascii="宋体" w:hAnsi="宋体" w:eastAsia="宋体"/>
      <w:kern w:val="2"/>
      <w:sz w:val="24"/>
      <w:szCs w:val="24"/>
      <w:lang w:val="en-US" w:eastAsia="zh-CN" w:bidi="ar-SA"/>
    </w:rPr>
  </w:style>
  <w:style w:type="character" w:customStyle="1" w:styleId="2317">
    <w:name w:val="标题 3 Char11"/>
    <w:qFormat/>
    <w:uiPriority w:val="0"/>
    <w:rPr>
      <w:rFonts w:ascii="黑体" w:hAnsi="宋体" w:eastAsia="黑体"/>
      <w:b/>
      <w:bCs/>
      <w:kern w:val="2"/>
      <w:sz w:val="28"/>
      <w:szCs w:val="28"/>
      <w:lang w:val="en-US" w:eastAsia="zh-CN" w:bidi="ar-SA"/>
    </w:rPr>
  </w:style>
  <w:style w:type="paragraph" w:customStyle="1" w:styleId="2318">
    <w:name w:val="Char41"/>
    <w:basedOn w:val="1"/>
    <w:qFormat/>
    <w:uiPriority w:val="0"/>
    <w:pPr>
      <w:ind w:left="-48"/>
    </w:pPr>
  </w:style>
  <w:style w:type="paragraph" w:customStyle="1" w:styleId="2319">
    <w:name w:val="Char Char2 Char Char Char Char2"/>
    <w:basedOn w:val="1"/>
    <w:qFormat/>
    <w:uiPriority w:val="0"/>
  </w:style>
  <w:style w:type="character" w:customStyle="1" w:styleId="2320">
    <w:name w:val="Char Char31"/>
    <w:qFormat/>
    <w:uiPriority w:val="0"/>
    <w:rPr>
      <w:rFonts w:ascii="黑体" w:hAnsi="宋体" w:eastAsia="黑体"/>
      <w:b/>
      <w:bCs/>
      <w:kern w:val="2"/>
      <w:sz w:val="28"/>
      <w:szCs w:val="28"/>
      <w:lang w:val="en-US" w:eastAsia="zh-CN" w:bidi="ar-SA"/>
    </w:rPr>
  </w:style>
  <w:style w:type="paragraph" w:customStyle="1" w:styleId="2321">
    <w:name w:val="Char Char Char Char1 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2322">
    <w:name w:val="Char Char Char Char Char Char Char13"/>
    <w:basedOn w:val="1"/>
    <w:qFormat/>
    <w:uiPriority w:val="0"/>
  </w:style>
  <w:style w:type="character" w:customStyle="1" w:styleId="2323">
    <w:name w:val="Char Char211"/>
    <w:qFormat/>
    <w:uiPriority w:val="0"/>
    <w:rPr>
      <w:rFonts w:ascii="黑体" w:eastAsia="宋体"/>
      <w:kern w:val="2"/>
      <w:sz w:val="16"/>
      <w:szCs w:val="16"/>
      <w:lang w:val="en-US" w:eastAsia="zh-CN" w:bidi="ar-SA"/>
    </w:rPr>
  </w:style>
  <w:style w:type="character" w:customStyle="1" w:styleId="2324">
    <w:name w:val="Char Char121"/>
    <w:qFormat/>
    <w:uiPriority w:val="0"/>
    <w:rPr>
      <w:rFonts w:ascii="黑体" w:hAnsi="Arial" w:eastAsia="黑体"/>
      <w:b/>
      <w:bCs/>
      <w:kern w:val="2"/>
      <w:sz w:val="30"/>
      <w:szCs w:val="30"/>
      <w:lang w:val="en-US" w:eastAsia="zh-CN" w:bidi="ar-SA"/>
    </w:rPr>
  </w:style>
  <w:style w:type="paragraph" w:customStyle="1" w:styleId="2325">
    <w:name w:val="Char23"/>
    <w:basedOn w:val="1"/>
    <w:qFormat/>
    <w:uiPriority w:val="0"/>
    <w:pPr>
      <w:ind w:left="-48"/>
    </w:pPr>
  </w:style>
  <w:style w:type="paragraph" w:customStyle="1" w:styleId="2326">
    <w:name w:val="Char Char Char Char Char Char Char21"/>
    <w:basedOn w:val="1"/>
    <w:qFormat/>
    <w:uiPriority w:val="0"/>
  </w:style>
  <w:style w:type="paragraph" w:customStyle="1" w:styleId="2327">
    <w:name w:val="Char42"/>
    <w:basedOn w:val="1"/>
    <w:qFormat/>
    <w:uiPriority w:val="0"/>
    <w:pPr>
      <w:ind w:left="-48"/>
    </w:pPr>
  </w:style>
  <w:style w:type="paragraph" w:customStyle="1" w:styleId="2328">
    <w:name w:val="Char Char2 Char Char Char Char3"/>
    <w:basedOn w:val="1"/>
    <w:qFormat/>
    <w:uiPriority w:val="0"/>
  </w:style>
  <w:style w:type="character" w:customStyle="1" w:styleId="2329">
    <w:name w:val="Char Char43"/>
    <w:qFormat/>
    <w:uiPriority w:val="0"/>
    <w:rPr>
      <w:rFonts w:ascii="黑体" w:hAnsi="Arial" w:eastAsia="黑体"/>
      <w:b/>
      <w:bCs/>
      <w:kern w:val="2"/>
      <w:sz w:val="30"/>
      <w:szCs w:val="30"/>
      <w:lang w:val="en-US" w:eastAsia="zh-CN" w:bidi="ar-SA"/>
    </w:rPr>
  </w:style>
  <w:style w:type="character" w:customStyle="1" w:styleId="2330">
    <w:name w:val="Char Char32"/>
    <w:qFormat/>
    <w:uiPriority w:val="0"/>
    <w:rPr>
      <w:rFonts w:ascii="黑体" w:hAnsi="宋体" w:eastAsia="黑体"/>
      <w:b/>
      <w:bCs/>
      <w:kern w:val="2"/>
      <w:sz w:val="28"/>
      <w:szCs w:val="28"/>
      <w:lang w:val="en-US" w:eastAsia="zh-CN" w:bidi="ar-SA"/>
    </w:rPr>
  </w:style>
  <w:style w:type="paragraph" w:customStyle="1" w:styleId="2331">
    <w:name w:val="Char Char Char Char1 Char Char Char2"/>
    <w:basedOn w:val="1"/>
    <w:qFormat/>
    <w:uiPriority w:val="0"/>
    <w:pPr>
      <w:widowControl/>
      <w:spacing w:after="160" w:line="240" w:lineRule="exact"/>
      <w:jc w:val="left"/>
    </w:pPr>
    <w:rPr>
      <w:rFonts w:ascii="Verdana" w:hAnsi="Verdana"/>
      <w:kern w:val="0"/>
      <w:sz w:val="20"/>
      <w:szCs w:val="20"/>
      <w:lang w:eastAsia="en-US"/>
    </w:rPr>
  </w:style>
  <w:style w:type="character" w:customStyle="1" w:styleId="2332">
    <w:name w:val="Char Char113"/>
    <w:qFormat/>
    <w:uiPriority w:val="0"/>
    <w:rPr>
      <w:rFonts w:ascii="黑体" w:hAnsi="Arial" w:eastAsia="黑体"/>
      <w:bCs/>
      <w:kern w:val="2"/>
      <w:sz w:val="30"/>
      <w:szCs w:val="30"/>
      <w:lang w:val="en-US" w:eastAsia="zh-CN" w:bidi="ar-SA"/>
    </w:rPr>
  </w:style>
  <w:style w:type="paragraph" w:customStyle="1" w:styleId="2333">
    <w:name w:val="Char Char Char Char Char Char Char14"/>
    <w:basedOn w:val="1"/>
    <w:qFormat/>
    <w:uiPriority w:val="0"/>
  </w:style>
  <w:style w:type="character" w:customStyle="1" w:styleId="2334">
    <w:name w:val="Char Char212"/>
    <w:qFormat/>
    <w:uiPriority w:val="0"/>
    <w:rPr>
      <w:rFonts w:ascii="黑体" w:eastAsia="宋体"/>
      <w:kern w:val="2"/>
      <w:sz w:val="16"/>
      <w:szCs w:val="16"/>
      <w:lang w:val="en-US" w:eastAsia="zh-CN" w:bidi="ar-SA"/>
    </w:rPr>
  </w:style>
  <w:style w:type="character" w:customStyle="1" w:styleId="2335">
    <w:name w:val="Char Char122"/>
    <w:qFormat/>
    <w:uiPriority w:val="0"/>
    <w:rPr>
      <w:rFonts w:ascii="黑体" w:hAnsi="Arial" w:eastAsia="黑体"/>
      <w:b/>
      <w:bCs/>
      <w:kern w:val="2"/>
      <w:sz w:val="30"/>
      <w:szCs w:val="30"/>
      <w:lang w:val="en-US" w:eastAsia="zh-CN" w:bidi="ar-SA"/>
    </w:rPr>
  </w:style>
  <w:style w:type="character" w:customStyle="1" w:styleId="2336">
    <w:name w:val="Char Char63"/>
    <w:qFormat/>
    <w:uiPriority w:val="0"/>
    <w:rPr>
      <w:rFonts w:ascii="黑体" w:eastAsia="黑体"/>
      <w:b/>
      <w:bCs/>
      <w:kern w:val="2"/>
      <w:sz w:val="28"/>
      <w:szCs w:val="28"/>
      <w:lang w:val="en-US" w:eastAsia="zh-CN" w:bidi="ar-SA"/>
    </w:rPr>
  </w:style>
  <w:style w:type="paragraph" w:customStyle="1" w:styleId="2337">
    <w:name w:val="Char24"/>
    <w:basedOn w:val="1"/>
    <w:qFormat/>
    <w:uiPriority w:val="0"/>
    <w:pPr>
      <w:ind w:left="-48"/>
    </w:pPr>
  </w:style>
  <w:style w:type="paragraph" w:customStyle="1" w:styleId="2338">
    <w:name w:val="Char Char Char Char Char Char Char22"/>
    <w:basedOn w:val="1"/>
    <w:qFormat/>
    <w:uiPriority w:val="0"/>
  </w:style>
  <w:style w:type="paragraph" w:customStyle="1" w:styleId="2339">
    <w:name w:val="Char43"/>
    <w:basedOn w:val="1"/>
    <w:qFormat/>
    <w:uiPriority w:val="0"/>
    <w:pPr>
      <w:ind w:left="-48"/>
    </w:pPr>
  </w:style>
  <w:style w:type="paragraph" w:customStyle="1" w:styleId="2340">
    <w:name w:val="正文格式10"/>
    <w:basedOn w:val="1"/>
    <w:qFormat/>
    <w:uiPriority w:val="0"/>
    <w:pPr>
      <w:spacing w:line="360" w:lineRule="auto"/>
      <w:ind w:firstLine="482"/>
    </w:pPr>
    <w:rPr>
      <w:rFonts w:ascii="宋体" w:hAnsi="宋体"/>
      <w:sz w:val="24"/>
    </w:rPr>
  </w:style>
  <w:style w:type="character" w:customStyle="1" w:styleId="2341">
    <w:name w:val="正文格式 Char10"/>
    <w:qFormat/>
    <w:uiPriority w:val="0"/>
    <w:rPr>
      <w:rFonts w:ascii="宋体" w:hAnsi="宋体" w:eastAsia="宋体"/>
      <w:kern w:val="2"/>
      <w:sz w:val="24"/>
      <w:szCs w:val="24"/>
      <w:lang w:val="en-US" w:eastAsia="zh-CN" w:bidi="ar-SA"/>
    </w:rPr>
  </w:style>
  <w:style w:type="character" w:customStyle="1" w:styleId="2342">
    <w:name w:val="标题 3 Char12"/>
    <w:qFormat/>
    <w:uiPriority w:val="0"/>
    <w:rPr>
      <w:rFonts w:ascii="黑体" w:hAnsi="宋体" w:eastAsia="黑体"/>
      <w:b/>
      <w:bCs/>
      <w:kern w:val="2"/>
      <w:sz w:val="28"/>
      <w:szCs w:val="28"/>
      <w:lang w:val="en-US" w:eastAsia="zh-CN" w:bidi="ar-SA"/>
    </w:rPr>
  </w:style>
  <w:style w:type="character" w:customStyle="1" w:styleId="2343">
    <w:name w:val="题注 Char6"/>
    <w:qFormat/>
    <w:uiPriority w:val="0"/>
    <w:rPr>
      <w:rFonts w:ascii="黑体" w:hAnsi="Arial" w:eastAsia="黑体" w:cs="Arial"/>
      <w:b/>
      <w:kern w:val="2"/>
      <w:sz w:val="24"/>
      <w:szCs w:val="24"/>
      <w:lang w:val="en-US" w:eastAsia="zh-CN" w:bidi="ar-SA"/>
    </w:rPr>
  </w:style>
  <w:style w:type="paragraph" w:customStyle="1" w:styleId="2344">
    <w:name w:val="图题8"/>
    <w:basedOn w:val="223"/>
    <w:next w:val="223"/>
    <w:qFormat/>
    <w:uiPriority w:val="0"/>
    <w:pPr>
      <w:ind w:firstLine="0"/>
      <w:jc w:val="center"/>
    </w:pPr>
    <w:rPr>
      <w:rFonts w:ascii="黑体" w:hAnsi="宋体" w:eastAsia="黑体"/>
      <w:b/>
      <w:bCs/>
    </w:rPr>
  </w:style>
  <w:style w:type="paragraph" w:customStyle="1" w:styleId="2345">
    <w:name w:val="表格内字体8"/>
    <w:basedOn w:val="223"/>
    <w:next w:val="223"/>
    <w:qFormat/>
    <w:uiPriority w:val="0"/>
    <w:pPr>
      <w:spacing w:line="240" w:lineRule="auto"/>
      <w:ind w:firstLine="0"/>
      <w:jc w:val="center"/>
    </w:pPr>
    <w:rPr>
      <w:rFonts w:hAnsi="宋体" w:cs="Times New Roman"/>
      <w:sz w:val="21"/>
    </w:rPr>
  </w:style>
  <w:style w:type="character" w:customStyle="1" w:styleId="2346">
    <w:name w:val="表格内字体 Char8"/>
    <w:qFormat/>
    <w:uiPriority w:val="0"/>
    <w:rPr>
      <w:rFonts w:ascii="宋体" w:hAnsi="宋体" w:eastAsia="宋体"/>
      <w:kern w:val="2"/>
      <w:sz w:val="21"/>
      <w:szCs w:val="24"/>
      <w:lang w:val="en-US" w:eastAsia="zh-CN" w:bidi="ar-SA"/>
    </w:rPr>
  </w:style>
  <w:style w:type="paragraph" w:customStyle="1" w:styleId="2347">
    <w:name w:val="正文格式＝7"/>
    <w:basedOn w:val="223"/>
    <w:next w:val="223"/>
    <w:qFormat/>
    <w:uiPriority w:val="0"/>
    <w:rPr>
      <w:rFonts w:hAnsi="宋体" w:cs="Times New Roman"/>
    </w:rPr>
  </w:style>
  <w:style w:type="character" w:customStyle="1" w:styleId="2348">
    <w:name w:val="正文缩进 Char13"/>
    <w:qFormat/>
    <w:uiPriority w:val="0"/>
    <w:rPr>
      <w:rFonts w:ascii="宋体" w:hAnsi="宋体" w:eastAsia="宋体" w:cs="宋体"/>
      <w:color w:val="000000"/>
      <w:kern w:val="2"/>
      <w:sz w:val="24"/>
      <w:szCs w:val="24"/>
      <w:lang w:val="en-US" w:eastAsia="zh-CN" w:bidi="ar-SA"/>
    </w:rPr>
  </w:style>
  <w:style w:type="character" w:customStyle="1" w:styleId="2349">
    <w:name w:val="正文文本缩进 3 Char3"/>
    <w:qFormat/>
    <w:uiPriority w:val="0"/>
    <w:rPr>
      <w:rFonts w:eastAsia="宋体"/>
      <w:kern w:val="2"/>
      <w:sz w:val="16"/>
      <w:szCs w:val="16"/>
      <w:lang w:val="en-US" w:eastAsia="zh-CN" w:bidi="ar-SA"/>
    </w:rPr>
  </w:style>
  <w:style w:type="paragraph" w:customStyle="1" w:styleId="2350">
    <w:name w:val="表题16"/>
    <w:basedOn w:val="23"/>
    <w:qFormat/>
    <w:uiPriority w:val="0"/>
    <w:pPr>
      <w:tabs>
        <w:tab w:val="clear" w:pos="7380"/>
      </w:tabs>
      <w:overflowPunct/>
      <w:spacing w:before="0" w:afterLines="0" w:line="360" w:lineRule="auto"/>
      <w:jc w:val="center"/>
    </w:pPr>
    <w:rPr>
      <w:rFonts w:ascii="黑体" w:cs="Times New Roman"/>
      <w:b/>
      <w:sz w:val="24"/>
      <w:szCs w:val="24"/>
    </w:rPr>
  </w:style>
  <w:style w:type="character" w:customStyle="1" w:styleId="2351">
    <w:name w:val="表题1 Char7"/>
    <w:qFormat/>
    <w:uiPriority w:val="0"/>
    <w:rPr>
      <w:rFonts w:ascii="黑体" w:hAnsi="Arial" w:eastAsia="黑体" w:cs="Arial"/>
      <w:b/>
      <w:kern w:val="2"/>
      <w:sz w:val="24"/>
      <w:szCs w:val="24"/>
      <w:lang w:val="en-US" w:eastAsia="zh-CN" w:bidi="ar-SA"/>
    </w:rPr>
  </w:style>
  <w:style w:type="paragraph" w:customStyle="1" w:styleId="2352">
    <w:name w:val="燕山正文5"/>
    <w:basedOn w:val="1"/>
    <w:qFormat/>
    <w:uiPriority w:val="0"/>
    <w:pPr>
      <w:tabs>
        <w:tab w:val="left" w:pos="4680"/>
      </w:tabs>
      <w:adjustRightInd w:val="0"/>
      <w:snapToGrid w:val="0"/>
      <w:spacing w:line="480" w:lineRule="exact"/>
    </w:pPr>
    <w:rPr>
      <w:rFonts w:ascii="宋体" w:cs="宋体"/>
      <w:sz w:val="24"/>
    </w:rPr>
  </w:style>
  <w:style w:type="character" w:customStyle="1" w:styleId="2353">
    <w:name w:val="燕山正文 Char15"/>
    <w:qFormat/>
    <w:uiPriority w:val="0"/>
    <w:rPr>
      <w:rFonts w:ascii="宋体" w:eastAsia="宋体" w:cs="宋体"/>
      <w:kern w:val="2"/>
      <w:sz w:val="24"/>
      <w:szCs w:val="24"/>
      <w:lang w:val="en-US" w:eastAsia="zh-CN" w:bidi="ar-SA"/>
    </w:rPr>
  </w:style>
  <w:style w:type="paragraph" w:customStyle="1" w:styleId="2354">
    <w:name w:val="正文修改5"/>
    <w:basedOn w:val="2056"/>
    <w:qFormat/>
    <w:uiPriority w:val="0"/>
    <w:rPr>
      <w:rFonts w:hAnsi="宋体"/>
      <w:color w:val="000000"/>
    </w:rPr>
  </w:style>
  <w:style w:type="character" w:customStyle="1" w:styleId="2355">
    <w:name w:val="正文修改 Char15"/>
    <w:qFormat/>
    <w:uiPriority w:val="0"/>
    <w:rPr>
      <w:rFonts w:ascii="宋体" w:hAnsi="宋体" w:eastAsia="宋体" w:cs="宋体"/>
      <w:color w:val="000000"/>
      <w:sz w:val="24"/>
      <w:szCs w:val="24"/>
    </w:rPr>
  </w:style>
  <w:style w:type="paragraph" w:customStyle="1" w:styleId="2356">
    <w:name w:val="表中文字6"/>
    <w:basedOn w:val="1"/>
    <w:qFormat/>
    <w:uiPriority w:val="0"/>
    <w:pPr>
      <w:widowControl/>
      <w:spacing w:line="240" w:lineRule="atLeast"/>
      <w:ind w:left="-24" w:leftChars="-10" w:right="-48" w:rightChars="-20"/>
      <w:jc w:val="center"/>
    </w:pPr>
    <w:rPr>
      <w:rFonts w:ascii="宋体"/>
      <w:kern w:val="0"/>
      <w:szCs w:val="21"/>
    </w:rPr>
  </w:style>
  <w:style w:type="character" w:customStyle="1" w:styleId="2357">
    <w:name w:val="表中文字 Char25"/>
    <w:qFormat/>
    <w:uiPriority w:val="0"/>
    <w:rPr>
      <w:rFonts w:ascii="宋体" w:eastAsia="宋体"/>
      <w:kern w:val="2"/>
      <w:sz w:val="21"/>
      <w:szCs w:val="21"/>
      <w:lang w:val="en-US" w:eastAsia="zh-CN" w:bidi="ar-SA"/>
    </w:rPr>
  </w:style>
  <w:style w:type="paragraph" w:customStyle="1" w:styleId="2358">
    <w:name w:val="默认段落字体 Para Char Char Char Char6"/>
    <w:basedOn w:val="1"/>
    <w:qFormat/>
    <w:uiPriority w:val="0"/>
  </w:style>
  <w:style w:type="paragraph" w:customStyle="1" w:styleId="2359">
    <w:name w:val="Char121"/>
    <w:basedOn w:val="1"/>
    <w:qFormat/>
    <w:uiPriority w:val="0"/>
    <w:pPr>
      <w:adjustRightInd w:val="0"/>
      <w:snapToGrid w:val="0"/>
      <w:spacing w:line="360" w:lineRule="auto"/>
    </w:pPr>
  </w:style>
  <w:style w:type="paragraph" w:customStyle="1" w:styleId="2360">
    <w:name w:val="封面标准文稿编辑信息1"/>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2361">
    <w:name w:val="样式 表内小5 + 黑体 加粗 倾斜 下划线1"/>
    <w:basedOn w:val="1"/>
    <w:qFormat/>
    <w:uiPriority w:val="0"/>
    <w:pPr>
      <w:adjustRightInd w:val="0"/>
      <w:snapToGrid w:val="0"/>
      <w:spacing w:line="300" w:lineRule="auto"/>
      <w:jc w:val="left"/>
    </w:pPr>
    <w:rPr>
      <w:rFonts w:ascii="黑体" w:hAnsi="黑体" w:eastAsia="黑体"/>
      <w:b/>
      <w:bCs/>
      <w:i/>
      <w:iCs/>
      <w:sz w:val="18"/>
      <w:u w:val="single"/>
    </w:rPr>
  </w:style>
  <w:style w:type="character" w:customStyle="1" w:styleId="2362">
    <w:name w:val="样式 表内小5 + 黑体 加粗 倾斜 下划线 Char1"/>
    <w:qFormat/>
    <w:uiPriority w:val="0"/>
    <w:rPr>
      <w:rFonts w:ascii="黑体" w:hAnsi="黑体" w:eastAsia="黑体"/>
      <w:b/>
      <w:bCs/>
      <w:i/>
      <w:iCs/>
      <w:kern w:val="2"/>
      <w:sz w:val="18"/>
      <w:szCs w:val="24"/>
      <w:u w:val="single"/>
      <w:lang w:val="en-US" w:eastAsia="zh-CN" w:bidi="ar-SA"/>
    </w:rPr>
  </w:style>
  <w:style w:type="paragraph" w:customStyle="1" w:styleId="2363">
    <w:name w:val="表内5中2"/>
    <w:basedOn w:val="1"/>
    <w:qFormat/>
    <w:uiPriority w:val="0"/>
    <w:pPr>
      <w:adjustRightInd w:val="0"/>
      <w:snapToGrid w:val="0"/>
      <w:jc w:val="center"/>
    </w:pPr>
    <w:rPr>
      <w:rFonts w:ascii="宋体" w:hAnsi="宋体" w:cs="Arial"/>
      <w:snapToGrid w:val="0"/>
      <w:color w:val="000000"/>
      <w:szCs w:val="21"/>
    </w:rPr>
  </w:style>
  <w:style w:type="paragraph" w:customStyle="1" w:styleId="2364">
    <w:name w:val="表内5415"/>
    <w:basedOn w:val="1"/>
    <w:qFormat/>
    <w:uiPriority w:val="0"/>
    <w:pPr>
      <w:adjustRightInd w:val="0"/>
      <w:snapToGrid w:val="0"/>
      <w:spacing w:line="300" w:lineRule="auto"/>
      <w:jc w:val="center"/>
    </w:pPr>
    <w:rPr>
      <w:rFonts w:ascii="宋体" w:hAnsi="宋体" w:cs="宋体"/>
      <w:szCs w:val="20"/>
    </w:rPr>
  </w:style>
  <w:style w:type="paragraph" w:customStyle="1" w:styleId="2365">
    <w:name w:val="表格11"/>
    <w:basedOn w:val="1"/>
    <w:qFormat/>
    <w:uiPriority w:val="0"/>
    <w:pPr>
      <w:adjustRightInd w:val="0"/>
      <w:jc w:val="center"/>
      <w:textAlignment w:val="baseline"/>
    </w:pPr>
    <w:rPr>
      <w:rFonts w:ascii="宋体"/>
      <w:kern w:val="0"/>
      <w:sz w:val="24"/>
      <w:szCs w:val="20"/>
    </w:rPr>
  </w:style>
  <w:style w:type="paragraph" w:customStyle="1" w:styleId="2366">
    <w:name w:val="c1"/>
    <w:qFormat/>
    <w:uiPriority w:val="0"/>
    <w:pPr>
      <w:widowControl w:val="0"/>
      <w:autoSpaceDE w:val="0"/>
      <w:autoSpaceDN w:val="0"/>
      <w:adjustRightInd w:val="0"/>
      <w:jc w:val="both"/>
    </w:pPr>
    <w:rPr>
      <w:rFonts w:ascii="Arial" w:hAnsi="Arial" w:eastAsia="宋体" w:cs="Times New Roman"/>
      <w:sz w:val="24"/>
      <w:lang w:val="en-US" w:eastAsia="zh-CN" w:bidi="ar-SA"/>
    </w:rPr>
  </w:style>
  <w:style w:type="paragraph" w:customStyle="1" w:styleId="2367">
    <w:name w:val="表题91"/>
    <w:basedOn w:val="47"/>
    <w:qFormat/>
    <w:uiPriority w:val="0"/>
    <w:pPr>
      <w:adjustRightInd w:val="0"/>
      <w:snapToGrid w:val="0"/>
      <w:spacing w:line="300" w:lineRule="auto"/>
      <w:jc w:val="center"/>
    </w:pPr>
    <w:rPr>
      <w:rFonts w:ascii="黑体" w:eastAsia="黑体" w:cs="Times New Roman"/>
      <w:sz w:val="24"/>
      <w:szCs w:val="20"/>
    </w:rPr>
  </w:style>
  <w:style w:type="character" w:customStyle="1" w:styleId="2368">
    <w:name w:val="正文缩进 Char7"/>
    <w:qFormat/>
    <w:uiPriority w:val="0"/>
    <w:rPr>
      <w:rFonts w:ascii="宋体" w:hAnsi="宋体" w:eastAsia="宋体"/>
      <w:kern w:val="2"/>
      <w:sz w:val="24"/>
      <w:szCs w:val="24"/>
      <w:lang w:val="en-US" w:eastAsia="zh-CN" w:bidi="ar-SA"/>
    </w:rPr>
  </w:style>
  <w:style w:type="paragraph" w:customStyle="1" w:styleId="2369">
    <w:name w:val="福建正文缩进1"/>
    <w:basedOn w:val="22"/>
    <w:qFormat/>
    <w:uiPriority w:val="0"/>
    <w:pPr>
      <w:adjustRightInd w:val="0"/>
      <w:snapToGrid w:val="0"/>
      <w:spacing w:line="360" w:lineRule="auto"/>
      <w:ind w:firstLine="567" w:firstLineChars="0"/>
    </w:pPr>
    <w:rPr>
      <w:rFonts w:ascii="宋体"/>
      <w:kern w:val="0"/>
      <w:sz w:val="24"/>
    </w:rPr>
  </w:style>
  <w:style w:type="character" w:customStyle="1" w:styleId="2370">
    <w:name w:val="福建正文缩进 Char1"/>
    <w:qFormat/>
    <w:uiPriority w:val="0"/>
    <w:rPr>
      <w:rFonts w:ascii="宋体" w:eastAsia="宋体"/>
      <w:kern w:val="2"/>
      <w:sz w:val="24"/>
      <w:szCs w:val="24"/>
      <w:lang w:val="en-US" w:eastAsia="zh-CN" w:bidi="ar-SA"/>
    </w:rPr>
  </w:style>
  <w:style w:type="paragraph" w:customStyle="1" w:styleId="2371">
    <w:name w:val="表内文字小3"/>
    <w:basedOn w:val="1"/>
    <w:qFormat/>
    <w:uiPriority w:val="0"/>
    <w:pPr>
      <w:adjustRightInd w:val="0"/>
      <w:snapToGrid w:val="0"/>
      <w:jc w:val="center"/>
    </w:pPr>
    <w:rPr>
      <w:rFonts w:ascii="宋体" w:hAnsi="Times"/>
      <w:szCs w:val="20"/>
    </w:rPr>
  </w:style>
  <w:style w:type="paragraph" w:customStyle="1" w:styleId="2372">
    <w:name w:val="表内591"/>
    <w:basedOn w:val="1"/>
    <w:qFormat/>
    <w:uiPriority w:val="0"/>
    <w:pPr>
      <w:adjustRightInd w:val="0"/>
      <w:snapToGrid w:val="0"/>
      <w:spacing w:line="300" w:lineRule="auto"/>
      <w:jc w:val="center"/>
    </w:pPr>
    <w:rPr>
      <w:rFonts w:ascii="宋体"/>
      <w:snapToGrid w:val="0"/>
      <w:szCs w:val="21"/>
    </w:rPr>
  </w:style>
  <w:style w:type="paragraph" w:customStyle="1" w:styleId="2373">
    <w:name w:val="表内小5中1"/>
    <w:basedOn w:val="1"/>
    <w:qFormat/>
    <w:uiPriority w:val="0"/>
    <w:pPr>
      <w:adjustRightInd w:val="0"/>
      <w:snapToGrid w:val="0"/>
      <w:jc w:val="center"/>
    </w:pPr>
    <w:rPr>
      <w:rFonts w:ascii="宋体" w:hAnsi="宋体"/>
      <w:sz w:val="18"/>
      <w:szCs w:val="20"/>
    </w:rPr>
  </w:style>
  <w:style w:type="paragraph" w:customStyle="1" w:styleId="2374">
    <w:name w:val="表内5中41"/>
    <w:basedOn w:val="1"/>
    <w:qFormat/>
    <w:uiPriority w:val="0"/>
    <w:pPr>
      <w:adjustRightInd w:val="0"/>
      <w:snapToGrid w:val="0"/>
      <w:jc w:val="center"/>
    </w:pPr>
    <w:rPr>
      <w:rFonts w:ascii="宋体"/>
      <w:bCs/>
      <w:szCs w:val="20"/>
    </w:rPr>
  </w:style>
  <w:style w:type="paragraph" w:customStyle="1" w:styleId="2375">
    <w:name w:val="默认段落字体 Para Char5"/>
    <w:basedOn w:val="1"/>
    <w:next w:val="1"/>
    <w:qFormat/>
    <w:uiPriority w:val="0"/>
    <w:pPr>
      <w:spacing w:line="480" w:lineRule="exact"/>
      <w:ind w:firstLine="200" w:firstLineChars="200"/>
      <w:jc w:val="left"/>
    </w:pPr>
    <w:rPr>
      <w:rFonts w:ascii="宋体" w:hAnsi="宋体" w:eastAsia="汉鼎简书宋" w:cs="宋体"/>
      <w:sz w:val="28"/>
    </w:rPr>
  </w:style>
  <w:style w:type="paragraph" w:customStyle="1" w:styleId="2376">
    <w:name w:val="燕山正文131"/>
    <w:basedOn w:val="1"/>
    <w:qFormat/>
    <w:uiPriority w:val="0"/>
    <w:pPr>
      <w:tabs>
        <w:tab w:val="left" w:pos="4680"/>
      </w:tabs>
      <w:adjustRightInd w:val="0"/>
      <w:snapToGrid w:val="0"/>
      <w:spacing w:line="360" w:lineRule="auto"/>
      <w:ind w:firstLine="480" w:firstLineChars="200"/>
    </w:pPr>
    <w:rPr>
      <w:rFonts w:ascii="宋体" w:hAnsi="宋体" w:cs="宋体"/>
      <w:bCs/>
      <w:color w:val="000000"/>
      <w:sz w:val="24"/>
    </w:rPr>
  </w:style>
  <w:style w:type="character" w:customStyle="1" w:styleId="2377">
    <w:name w:val="批注框文本 Char5"/>
    <w:qFormat/>
    <w:uiPriority w:val="0"/>
    <w:rPr>
      <w:rFonts w:eastAsia="宋体"/>
      <w:kern w:val="2"/>
      <w:sz w:val="18"/>
      <w:szCs w:val="18"/>
      <w:lang w:val="en-US" w:eastAsia="zh-CN" w:bidi="ar-SA"/>
    </w:rPr>
  </w:style>
  <w:style w:type="paragraph" w:customStyle="1" w:styleId="2378">
    <w:name w:val="样式 标题 4无效格式无效格式1河石管道4H4H41小小节河石管道41H42H411小小节1河石管道42...2"/>
    <w:basedOn w:val="7"/>
    <w:qFormat/>
    <w:uiPriority w:val="0"/>
    <w:pPr>
      <w:adjustRightInd w:val="0"/>
      <w:snapToGrid w:val="0"/>
      <w:spacing w:line="360" w:lineRule="auto"/>
      <w:ind w:left="1404" w:hanging="864"/>
    </w:pPr>
    <w:rPr>
      <w:rFonts w:ascii="黑体" w:eastAsia="黑体"/>
      <w:bCs w:val="0"/>
      <w:sz w:val="24"/>
      <w:szCs w:val="24"/>
      <w:lang w:val="zh-CN"/>
    </w:rPr>
  </w:style>
  <w:style w:type="paragraph" w:customStyle="1" w:styleId="2379">
    <w:name w:val="样式 标题 4无效格式无效格式1河石管道4H4H41小小节河石管道41H42H411小小节1河石管道42...11"/>
    <w:basedOn w:val="7"/>
    <w:qFormat/>
    <w:uiPriority w:val="0"/>
    <w:pPr>
      <w:adjustRightInd w:val="0"/>
      <w:snapToGrid w:val="0"/>
      <w:spacing w:line="360" w:lineRule="auto"/>
      <w:ind w:left="664" w:hanging="864"/>
      <w:jc w:val="left"/>
    </w:pPr>
    <w:rPr>
      <w:rFonts w:ascii="黑体" w:eastAsia="黑体" w:cs="宋体"/>
      <w:bCs w:val="0"/>
      <w:sz w:val="24"/>
      <w:szCs w:val="20"/>
      <w:lang w:val="zh-CN"/>
    </w:rPr>
  </w:style>
  <w:style w:type="paragraph" w:customStyle="1" w:styleId="2380">
    <w:name w:val="附件4"/>
    <w:basedOn w:val="4"/>
    <w:next w:val="223"/>
    <w:qFormat/>
    <w:uiPriority w:val="0"/>
    <w:pPr>
      <w:spacing w:before="0" w:after="0" w:line="360" w:lineRule="auto"/>
      <w:jc w:val="left"/>
    </w:pPr>
    <w:rPr>
      <w:rFonts w:ascii="黑体" w:hAnsi="宋体" w:eastAsia="黑体"/>
      <w:sz w:val="32"/>
      <w:szCs w:val="32"/>
    </w:rPr>
  </w:style>
  <w:style w:type="paragraph" w:customStyle="1" w:styleId="2381">
    <w:name w:val="标题4313"/>
    <w:basedOn w:val="1"/>
    <w:qFormat/>
    <w:uiPriority w:val="0"/>
    <w:pPr>
      <w:adjustRightInd w:val="0"/>
      <w:snapToGrid w:val="0"/>
      <w:spacing w:line="480" w:lineRule="exact"/>
      <w:jc w:val="center"/>
    </w:pPr>
    <w:rPr>
      <w:rFonts w:ascii="宋体" w:hAnsi="宋体" w:cs="宋体"/>
      <w:sz w:val="24"/>
    </w:rPr>
  </w:style>
  <w:style w:type="paragraph" w:customStyle="1" w:styleId="2382">
    <w:name w:val="燕山正文114"/>
    <w:basedOn w:val="1"/>
    <w:qFormat/>
    <w:uiPriority w:val="0"/>
    <w:pPr>
      <w:tabs>
        <w:tab w:val="left" w:pos="4680"/>
      </w:tabs>
      <w:adjustRightInd w:val="0"/>
      <w:snapToGrid w:val="0"/>
      <w:spacing w:line="480" w:lineRule="exact"/>
    </w:pPr>
    <w:rPr>
      <w:rFonts w:ascii="宋体" w:hAnsi="宋体" w:cs="宋体"/>
      <w:bCs/>
      <w:color w:val="000000"/>
      <w:sz w:val="24"/>
    </w:rPr>
  </w:style>
  <w:style w:type="paragraph" w:customStyle="1" w:styleId="2383">
    <w:name w:val="表题411"/>
    <w:basedOn w:val="37"/>
    <w:qFormat/>
    <w:uiPriority w:val="0"/>
    <w:pPr>
      <w:tabs>
        <w:tab w:val="left" w:pos="4305"/>
      </w:tabs>
      <w:adjustRightInd w:val="0"/>
      <w:snapToGrid w:val="0"/>
      <w:spacing w:after="0"/>
      <w:ind w:left="0" w:leftChars="0"/>
      <w:jc w:val="center"/>
    </w:pPr>
    <w:rPr>
      <w:rFonts w:ascii="宋体" w:hAnsi="宋体" w:cs="宋体"/>
      <w:color w:val="000000"/>
      <w:sz w:val="24"/>
    </w:rPr>
  </w:style>
  <w:style w:type="paragraph" w:customStyle="1" w:styleId="2384">
    <w:name w:val="表内文字小214"/>
    <w:basedOn w:val="1"/>
    <w:qFormat/>
    <w:uiPriority w:val="0"/>
    <w:pPr>
      <w:adjustRightInd w:val="0"/>
      <w:snapToGrid w:val="0"/>
      <w:jc w:val="center"/>
    </w:pPr>
    <w:rPr>
      <w:rFonts w:ascii="宋体" w:hAnsi="Times"/>
      <w:bCs/>
      <w:color w:val="000000"/>
      <w:szCs w:val="20"/>
    </w:rPr>
  </w:style>
  <w:style w:type="paragraph" w:customStyle="1" w:styleId="2385">
    <w:name w:val="表题314"/>
    <w:basedOn w:val="37"/>
    <w:qFormat/>
    <w:uiPriority w:val="0"/>
    <w:pPr>
      <w:tabs>
        <w:tab w:val="left" w:pos="4305"/>
      </w:tabs>
      <w:adjustRightInd w:val="0"/>
      <w:snapToGrid w:val="0"/>
      <w:spacing w:after="0"/>
      <w:ind w:left="0" w:leftChars="0"/>
      <w:jc w:val="center"/>
    </w:pPr>
    <w:rPr>
      <w:rFonts w:ascii="宋体" w:hAnsi="宋体"/>
      <w:sz w:val="24"/>
      <w:szCs w:val="20"/>
    </w:rPr>
  </w:style>
  <w:style w:type="paragraph" w:customStyle="1" w:styleId="2386">
    <w:name w:val="Char Char Char Char Char Char Char31"/>
    <w:basedOn w:val="1"/>
    <w:qFormat/>
    <w:uiPriority w:val="0"/>
  </w:style>
  <w:style w:type="paragraph" w:customStyle="1" w:styleId="2387">
    <w:name w:val="表文字54"/>
    <w:basedOn w:val="1"/>
    <w:qFormat/>
    <w:uiPriority w:val="0"/>
    <w:pPr>
      <w:adjustRightInd w:val="0"/>
      <w:jc w:val="left"/>
      <w:textAlignment w:val="baseline"/>
    </w:pPr>
    <w:rPr>
      <w:rFonts w:ascii="宋体"/>
      <w:kern w:val="0"/>
      <w:szCs w:val="20"/>
    </w:rPr>
  </w:style>
  <w:style w:type="paragraph" w:customStyle="1" w:styleId="2388">
    <w:name w:val="表内文字小314"/>
    <w:basedOn w:val="1"/>
    <w:qFormat/>
    <w:uiPriority w:val="0"/>
    <w:pPr>
      <w:adjustRightInd w:val="0"/>
      <w:snapToGrid w:val="0"/>
      <w:jc w:val="center"/>
    </w:pPr>
    <w:rPr>
      <w:rFonts w:ascii="宋体" w:hAnsi="Times" w:cs="宋体"/>
      <w:bCs/>
      <w:color w:val="003366"/>
      <w:szCs w:val="20"/>
    </w:rPr>
  </w:style>
  <w:style w:type="paragraph" w:customStyle="1" w:styleId="2389">
    <w:name w:val="表内宋5112"/>
    <w:basedOn w:val="81"/>
    <w:qFormat/>
    <w:uiPriority w:val="0"/>
    <w:pPr>
      <w:widowControl/>
      <w:adjustRightInd w:val="0"/>
      <w:snapToGrid w:val="0"/>
    </w:pPr>
    <w:rPr>
      <w:rFonts w:ascii="宋体" w:hAnsi="宋体" w:cs="宋体"/>
      <w:color w:val="000000"/>
      <w:kern w:val="0"/>
      <w:sz w:val="21"/>
      <w:lang w:val="zh-CN"/>
    </w:rPr>
  </w:style>
  <w:style w:type="paragraph" w:customStyle="1" w:styleId="2390">
    <w:name w:val="文本框2"/>
    <w:basedOn w:val="1"/>
    <w:qFormat/>
    <w:uiPriority w:val="0"/>
    <w:pPr>
      <w:adjustRightInd w:val="0"/>
      <w:snapToGrid w:val="0"/>
      <w:spacing w:after="6"/>
      <w:jc w:val="center"/>
    </w:pPr>
    <w:rPr>
      <w:rFonts w:eastAsia="仿宋_GB2312"/>
    </w:rPr>
  </w:style>
  <w:style w:type="paragraph" w:customStyle="1" w:styleId="2391">
    <w:name w:val="正文.2"/>
    <w:qFormat/>
    <w:uiPriority w:val="0"/>
    <w:pPr>
      <w:widowControl w:val="0"/>
      <w:autoSpaceDE w:val="0"/>
      <w:autoSpaceDN w:val="0"/>
      <w:adjustRightInd w:val="0"/>
      <w:jc w:val="both"/>
    </w:pPr>
    <w:rPr>
      <w:rFonts w:ascii="Times New Roman;Symbol;Arial;婼" w:hAnsi="Times New Roman" w:eastAsia="Times New Roman;Symbol;Arial;婼" w:cs="Times New Roman"/>
      <w:sz w:val="21"/>
      <w:szCs w:val="21"/>
      <w:lang w:val="en-US" w:eastAsia="zh-CN" w:bidi="ar-SA"/>
    </w:rPr>
  </w:style>
  <w:style w:type="paragraph" w:customStyle="1" w:styleId="2392">
    <w:name w:val="表4"/>
    <w:basedOn w:val="1"/>
    <w:qFormat/>
    <w:uiPriority w:val="0"/>
    <w:pPr>
      <w:adjustRightInd w:val="0"/>
      <w:snapToGrid w:val="0"/>
      <w:jc w:val="center"/>
    </w:pPr>
    <w:rPr>
      <w:rFonts w:eastAsia="仿宋_GB2312"/>
      <w:sz w:val="24"/>
    </w:rPr>
  </w:style>
  <w:style w:type="paragraph" w:customStyle="1" w:styleId="2393">
    <w:name w:val="黑体三号5"/>
    <w:basedOn w:val="223"/>
    <w:qFormat/>
    <w:uiPriority w:val="0"/>
    <w:pPr>
      <w:jc w:val="center"/>
    </w:pPr>
    <w:rPr>
      <w:rFonts w:ascii="黑体" w:hAnsi="宋体" w:eastAsia="黑体"/>
      <w:b/>
      <w:bCs/>
      <w:sz w:val="32"/>
      <w:szCs w:val="20"/>
    </w:rPr>
  </w:style>
  <w:style w:type="paragraph" w:customStyle="1" w:styleId="2394">
    <w:name w:val="Char Char2 Char Char Char Char21"/>
    <w:basedOn w:val="1"/>
    <w:semiHidden/>
    <w:qFormat/>
    <w:uiPriority w:val="0"/>
  </w:style>
  <w:style w:type="paragraph" w:customStyle="1" w:styleId="2395">
    <w:name w:val="Char131"/>
    <w:basedOn w:val="1"/>
    <w:qFormat/>
    <w:uiPriority w:val="0"/>
    <w:pPr>
      <w:ind w:left="-48"/>
    </w:pPr>
  </w:style>
  <w:style w:type="paragraph" w:customStyle="1" w:styleId="2396">
    <w:name w:val="首行缩进:  0.99 厘米 + 首行缩进:  2 字符1"/>
    <w:basedOn w:val="1"/>
    <w:qFormat/>
    <w:uiPriority w:val="0"/>
    <w:pPr>
      <w:widowControl/>
      <w:topLinePunct/>
      <w:spacing w:line="480" w:lineRule="exact"/>
      <w:ind w:firstLine="420" w:firstLineChars="200"/>
      <w:jc w:val="center"/>
    </w:pPr>
    <w:rPr>
      <w:rFonts w:ascii="宋体" w:cs="宋体"/>
      <w:snapToGrid w:val="0"/>
      <w:color w:val="FF0000"/>
      <w:kern w:val="0"/>
      <w:szCs w:val="21"/>
    </w:rPr>
  </w:style>
  <w:style w:type="paragraph" w:customStyle="1" w:styleId="2397">
    <w:name w:val="图表名称1"/>
    <w:basedOn w:val="86"/>
    <w:qFormat/>
    <w:uiPriority w:val="0"/>
    <w:pPr>
      <w:widowControl/>
      <w:adjustRightInd w:val="0"/>
      <w:snapToGrid w:val="0"/>
      <w:spacing w:after="0" w:line="480" w:lineRule="exact"/>
      <w:ind w:firstLine="0" w:firstLineChars="0"/>
      <w:jc w:val="center"/>
    </w:pPr>
    <w:rPr>
      <w:rFonts w:ascii="宋体" w:hAnsi="宋体" w:eastAsia="宋体"/>
      <w:bCs/>
      <w:sz w:val="24"/>
      <w:lang w:val="zh-CN"/>
    </w:rPr>
  </w:style>
  <w:style w:type="paragraph" w:customStyle="1" w:styleId="2398">
    <w:name w:val="表内文字边1"/>
    <w:basedOn w:val="1"/>
    <w:qFormat/>
    <w:uiPriority w:val="0"/>
    <w:pPr>
      <w:widowControl/>
      <w:adjustRightInd w:val="0"/>
      <w:snapToGrid w:val="0"/>
      <w:spacing w:line="240" w:lineRule="atLeast"/>
      <w:ind w:left="-21" w:leftChars="-10" w:right="-42" w:rightChars="-20"/>
    </w:pPr>
    <w:rPr>
      <w:rFonts w:ascii="宋体"/>
      <w:kern w:val="0"/>
      <w:szCs w:val="21"/>
    </w:rPr>
  </w:style>
  <w:style w:type="paragraph" w:customStyle="1" w:styleId="2399">
    <w:name w:val="正文缩1"/>
    <w:basedOn w:val="1"/>
    <w:qFormat/>
    <w:uiPriority w:val="0"/>
    <w:pPr>
      <w:adjustRightInd w:val="0"/>
      <w:snapToGrid w:val="0"/>
      <w:spacing w:line="480" w:lineRule="atLeast"/>
      <w:ind w:firstLine="567"/>
      <w:textAlignment w:val="baseline"/>
    </w:pPr>
    <w:rPr>
      <w:rFonts w:ascii="宋体"/>
      <w:color w:val="000080"/>
      <w:spacing w:val="6"/>
      <w:kern w:val="0"/>
      <w:sz w:val="28"/>
      <w:szCs w:val="20"/>
    </w:rPr>
  </w:style>
  <w:style w:type="paragraph" w:customStyle="1" w:styleId="2400">
    <w:name w:val="样式21"/>
    <w:basedOn w:val="1"/>
    <w:qFormat/>
    <w:uiPriority w:val="0"/>
    <w:pPr>
      <w:adjustRightInd w:val="0"/>
      <w:spacing w:line="360" w:lineRule="auto"/>
      <w:jc w:val="center"/>
      <w:textAlignment w:val="baseline"/>
      <w:outlineLvl w:val="0"/>
    </w:pPr>
    <w:rPr>
      <w:kern w:val="0"/>
      <w:szCs w:val="20"/>
    </w:rPr>
  </w:style>
  <w:style w:type="paragraph" w:customStyle="1" w:styleId="2401">
    <w:name w:val="默认段落字体 Para Char Char Char Char Char1"/>
    <w:basedOn w:val="1"/>
    <w:qFormat/>
    <w:uiPriority w:val="0"/>
  </w:style>
  <w:style w:type="paragraph" w:customStyle="1" w:styleId="2402">
    <w:name w:val="表内宋5中3"/>
    <w:basedOn w:val="1"/>
    <w:qFormat/>
    <w:uiPriority w:val="0"/>
    <w:pPr>
      <w:adjustRightInd w:val="0"/>
      <w:snapToGrid w:val="0"/>
      <w:textAlignment w:val="baseline"/>
    </w:pPr>
    <w:rPr>
      <w:color w:val="000000"/>
      <w:kern w:val="0"/>
      <w:szCs w:val="20"/>
    </w:rPr>
  </w:style>
  <w:style w:type="paragraph" w:customStyle="1" w:styleId="2403">
    <w:name w:val="样式 标题 3 + 段前: 12 磅1"/>
    <w:basedOn w:val="6"/>
    <w:qFormat/>
    <w:uiPriority w:val="0"/>
    <w:pPr>
      <w:keepNext w:val="0"/>
      <w:keepLines w:val="0"/>
      <w:widowControl/>
      <w:autoSpaceDE w:val="0"/>
      <w:autoSpaceDN w:val="0"/>
      <w:adjustRightInd w:val="0"/>
      <w:snapToGrid w:val="0"/>
      <w:spacing w:before="0" w:after="0" w:line="360" w:lineRule="auto"/>
    </w:pPr>
    <w:rPr>
      <w:rFonts w:ascii="黑体" w:hAnsi="宋体" w:eastAsia="黑体" w:cs="宋体"/>
      <w:b w:val="0"/>
      <w:bCs w:val="0"/>
      <w:color w:val="000000"/>
      <w:kern w:val="21"/>
      <w:sz w:val="24"/>
      <w:szCs w:val="20"/>
    </w:rPr>
  </w:style>
  <w:style w:type="paragraph" w:customStyle="1" w:styleId="2404">
    <w:name w:val="表内52"/>
    <w:basedOn w:val="1"/>
    <w:qFormat/>
    <w:uiPriority w:val="0"/>
    <w:pPr>
      <w:adjustRightInd w:val="0"/>
      <w:snapToGrid w:val="0"/>
      <w:spacing w:line="300" w:lineRule="auto"/>
      <w:jc w:val="left"/>
    </w:pPr>
    <w:rPr>
      <w:rFonts w:ascii="宋体"/>
      <w:sz w:val="18"/>
      <w:szCs w:val="20"/>
    </w:rPr>
  </w:style>
  <w:style w:type="paragraph" w:customStyle="1" w:styleId="2405">
    <w:name w:val="表内宋51"/>
    <w:basedOn w:val="2134"/>
    <w:qFormat/>
    <w:uiPriority w:val="0"/>
    <w:pPr>
      <w:widowControl/>
      <w:autoSpaceDE w:val="0"/>
      <w:autoSpaceDN w:val="0"/>
      <w:jc w:val="left"/>
      <w:textAlignment w:val="auto"/>
    </w:pPr>
    <w:rPr>
      <w:color w:val="auto"/>
      <w:w w:val="90"/>
    </w:rPr>
  </w:style>
  <w:style w:type="paragraph" w:customStyle="1" w:styleId="2406">
    <w:name w:val="Char Char Char Char1 Char Char Char11"/>
    <w:basedOn w:val="1"/>
    <w:qFormat/>
    <w:uiPriority w:val="0"/>
    <w:pPr>
      <w:widowControl/>
      <w:spacing w:after="160" w:line="240" w:lineRule="exact"/>
      <w:jc w:val="left"/>
    </w:pPr>
    <w:rPr>
      <w:rFonts w:ascii="Verdana" w:hAnsi="Verdana"/>
      <w:kern w:val="0"/>
      <w:sz w:val="20"/>
      <w:szCs w:val="20"/>
      <w:lang w:eastAsia="en-US"/>
    </w:rPr>
  </w:style>
  <w:style w:type="paragraph" w:customStyle="1" w:styleId="2407">
    <w:name w:val="正文格式111"/>
    <w:basedOn w:val="1"/>
    <w:qFormat/>
    <w:uiPriority w:val="0"/>
    <w:pPr>
      <w:spacing w:line="360" w:lineRule="auto"/>
      <w:ind w:firstLine="482"/>
    </w:pPr>
    <w:rPr>
      <w:rFonts w:ascii="宋体" w:hAnsi="宋体"/>
      <w:sz w:val="24"/>
    </w:rPr>
  </w:style>
  <w:style w:type="paragraph" w:customStyle="1" w:styleId="2408">
    <w:name w:val="图题11"/>
    <w:basedOn w:val="223"/>
    <w:next w:val="223"/>
    <w:qFormat/>
    <w:uiPriority w:val="0"/>
    <w:pPr>
      <w:ind w:firstLine="0"/>
      <w:jc w:val="center"/>
    </w:pPr>
    <w:rPr>
      <w:rFonts w:ascii="黑体" w:hAnsi="宋体" w:eastAsia="黑体"/>
      <w:b/>
      <w:bCs/>
    </w:rPr>
  </w:style>
  <w:style w:type="paragraph" w:customStyle="1" w:styleId="2409">
    <w:name w:val="表格内字体12"/>
    <w:basedOn w:val="223"/>
    <w:next w:val="223"/>
    <w:qFormat/>
    <w:uiPriority w:val="0"/>
    <w:pPr>
      <w:spacing w:line="240" w:lineRule="auto"/>
      <w:ind w:firstLine="0"/>
      <w:jc w:val="center"/>
    </w:pPr>
    <w:rPr>
      <w:rFonts w:hAnsi="宋体" w:cs="Times New Roman"/>
      <w:sz w:val="21"/>
    </w:rPr>
  </w:style>
  <w:style w:type="character" w:customStyle="1" w:styleId="2410">
    <w:name w:val="Char Char1111"/>
    <w:qFormat/>
    <w:uiPriority w:val="0"/>
    <w:rPr>
      <w:rFonts w:ascii="黑体" w:hAnsi="Arial" w:eastAsia="黑体"/>
      <w:bCs/>
      <w:kern w:val="2"/>
      <w:sz w:val="30"/>
      <w:szCs w:val="30"/>
      <w:lang w:val="en-US" w:eastAsia="zh-CN" w:bidi="ar-SA"/>
    </w:rPr>
  </w:style>
  <w:style w:type="paragraph" w:customStyle="1" w:styleId="2411">
    <w:name w:val="Char141"/>
    <w:basedOn w:val="1"/>
    <w:qFormat/>
    <w:uiPriority w:val="0"/>
    <w:pPr>
      <w:ind w:left="-48"/>
    </w:pPr>
  </w:style>
  <w:style w:type="paragraph" w:customStyle="1" w:styleId="2412">
    <w:name w:val="正文格式＝11"/>
    <w:basedOn w:val="223"/>
    <w:next w:val="223"/>
    <w:qFormat/>
    <w:uiPriority w:val="0"/>
    <w:rPr>
      <w:rFonts w:hAnsi="宋体" w:cs="Times New Roman"/>
    </w:rPr>
  </w:style>
  <w:style w:type="paragraph" w:customStyle="1" w:styleId="2413">
    <w:name w:val="正文格式22"/>
    <w:basedOn w:val="1"/>
    <w:qFormat/>
    <w:uiPriority w:val="0"/>
    <w:pPr>
      <w:spacing w:line="360" w:lineRule="auto"/>
      <w:ind w:firstLine="482"/>
    </w:pPr>
    <w:rPr>
      <w:rFonts w:ascii="宋体" w:hAnsi="宋体"/>
      <w:sz w:val="24"/>
    </w:rPr>
  </w:style>
  <w:style w:type="paragraph" w:customStyle="1" w:styleId="2414">
    <w:name w:val="Char151"/>
    <w:basedOn w:val="1"/>
    <w:qFormat/>
    <w:uiPriority w:val="0"/>
    <w:pPr>
      <w:adjustRightInd w:val="0"/>
      <w:snapToGrid w:val="0"/>
      <w:spacing w:beforeLines="50" w:line="360" w:lineRule="auto"/>
    </w:pPr>
    <w:rPr>
      <w:rFonts w:ascii="黑体" w:eastAsia="黑体"/>
      <w:sz w:val="32"/>
      <w:szCs w:val="32"/>
    </w:rPr>
  </w:style>
  <w:style w:type="character" w:customStyle="1" w:styleId="2415">
    <w:name w:val="题注 Char11"/>
    <w:qFormat/>
    <w:uiPriority w:val="0"/>
    <w:rPr>
      <w:rFonts w:ascii="黑体" w:hAnsi="Arial" w:eastAsia="黑体" w:cs="Arial"/>
      <w:b/>
      <w:kern w:val="2"/>
      <w:sz w:val="24"/>
      <w:szCs w:val="24"/>
      <w:lang w:val="en-US" w:eastAsia="zh-CN" w:bidi="ar-SA"/>
    </w:rPr>
  </w:style>
  <w:style w:type="paragraph" w:customStyle="1" w:styleId="2416">
    <w:name w:val="图题22"/>
    <w:basedOn w:val="223"/>
    <w:next w:val="223"/>
    <w:qFormat/>
    <w:uiPriority w:val="0"/>
    <w:pPr>
      <w:ind w:firstLine="0"/>
      <w:jc w:val="center"/>
    </w:pPr>
    <w:rPr>
      <w:rFonts w:ascii="黑体" w:hAnsi="宋体" w:eastAsia="黑体"/>
      <w:b/>
      <w:bCs/>
    </w:rPr>
  </w:style>
  <w:style w:type="paragraph" w:customStyle="1" w:styleId="2417">
    <w:name w:val="表格内字体22"/>
    <w:basedOn w:val="223"/>
    <w:next w:val="223"/>
    <w:qFormat/>
    <w:uiPriority w:val="0"/>
    <w:pPr>
      <w:spacing w:line="240" w:lineRule="auto"/>
      <w:ind w:firstLine="0"/>
      <w:jc w:val="center"/>
    </w:pPr>
    <w:rPr>
      <w:rFonts w:hAnsi="宋体" w:cs="Times New Roman"/>
      <w:sz w:val="21"/>
    </w:rPr>
  </w:style>
  <w:style w:type="paragraph" w:customStyle="1" w:styleId="2418">
    <w:name w:val="表内54111"/>
    <w:basedOn w:val="1"/>
    <w:qFormat/>
    <w:uiPriority w:val="0"/>
    <w:pPr>
      <w:adjustRightInd w:val="0"/>
      <w:snapToGrid w:val="0"/>
      <w:spacing w:line="300" w:lineRule="auto"/>
      <w:jc w:val="center"/>
    </w:pPr>
    <w:rPr>
      <w:rFonts w:ascii="宋体" w:hAnsi="宋体" w:cs="宋体"/>
      <w:szCs w:val="20"/>
    </w:rPr>
  </w:style>
  <w:style w:type="paragraph" w:customStyle="1" w:styleId="2419">
    <w:name w:val="表内文字小2111"/>
    <w:basedOn w:val="1"/>
    <w:qFormat/>
    <w:uiPriority w:val="0"/>
    <w:pPr>
      <w:adjustRightInd w:val="0"/>
      <w:snapToGrid w:val="0"/>
      <w:jc w:val="center"/>
    </w:pPr>
    <w:rPr>
      <w:rFonts w:ascii="宋体" w:hAnsi="Times"/>
      <w:bCs/>
      <w:color w:val="000000"/>
      <w:szCs w:val="20"/>
    </w:rPr>
  </w:style>
  <w:style w:type="paragraph" w:customStyle="1" w:styleId="2420">
    <w:name w:val="表题3111"/>
    <w:basedOn w:val="37"/>
    <w:qFormat/>
    <w:uiPriority w:val="0"/>
    <w:pPr>
      <w:tabs>
        <w:tab w:val="left" w:pos="4305"/>
      </w:tabs>
      <w:adjustRightInd w:val="0"/>
      <w:snapToGrid w:val="0"/>
      <w:spacing w:after="0"/>
      <w:ind w:left="0" w:leftChars="0"/>
      <w:jc w:val="center"/>
    </w:pPr>
    <w:rPr>
      <w:rFonts w:ascii="宋体" w:hAnsi="宋体"/>
      <w:sz w:val="24"/>
      <w:szCs w:val="20"/>
    </w:rPr>
  </w:style>
  <w:style w:type="paragraph" w:customStyle="1" w:styleId="2421">
    <w:name w:val="Char Char Char Char Char Char Char111"/>
    <w:basedOn w:val="1"/>
    <w:qFormat/>
    <w:uiPriority w:val="0"/>
  </w:style>
  <w:style w:type="paragraph" w:customStyle="1" w:styleId="2422">
    <w:name w:val="标题43111"/>
    <w:basedOn w:val="1"/>
    <w:qFormat/>
    <w:uiPriority w:val="0"/>
    <w:pPr>
      <w:adjustRightInd w:val="0"/>
      <w:snapToGrid w:val="0"/>
      <w:spacing w:line="480" w:lineRule="exact"/>
      <w:jc w:val="center"/>
    </w:pPr>
    <w:rPr>
      <w:rFonts w:ascii="宋体" w:hAnsi="宋体" w:cs="宋体"/>
      <w:sz w:val="24"/>
    </w:rPr>
  </w:style>
  <w:style w:type="paragraph" w:customStyle="1" w:styleId="2423">
    <w:name w:val="燕山正文1111"/>
    <w:basedOn w:val="1"/>
    <w:qFormat/>
    <w:uiPriority w:val="0"/>
    <w:pPr>
      <w:tabs>
        <w:tab w:val="left" w:pos="4680"/>
      </w:tabs>
      <w:adjustRightInd w:val="0"/>
      <w:snapToGrid w:val="0"/>
      <w:spacing w:line="480" w:lineRule="exact"/>
    </w:pPr>
    <w:rPr>
      <w:rFonts w:ascii="宋体" w:hAnsi="宋体" w:cs="宋体"/>
      <w:bCs/>
      <w:color w:val="000000"/>
      <w:sz w:val="24"/>
    </w:rPr>
  </w:style>
  <w:style w:type="paragraph" w:customStyle="1" w:styleId="2424">
    <w:name w:val="默认段落字体 Para Char Char Char Char11"/>
    <w:basedOn w:val="1"/>
    <w:qFormat/>
    <w:uiPriority w:val="0"/>
  </w:style>
  <w:style w:type="paragraph" w:customStyle="1" w:styleId="2425">
    <w:name w:val="附件11"/>
    <w:basedOn w:val="4"/>
    <w:next w:val="223"/>
    <w:qFormat/>
    <w:uiPriority w:val="0"/>
    <w:pPr>
      <w:spacing w:before="0" w:after="0" w:line="360" w:lineRule="auto"/>
      <w:jc w:val="left"/>
    </w:pPr>
    <w:rPr>
      <w:rFonts w:ascii="黑体" w:hAnsi="宋体" w:eastAsia="黑体"/>
      <w:b w:val="0"/>
      <w:sz w:val="32"/>
      <w:szCs w:val="32"/>
    </w:rPr>
  </w:style>
  <w:style w:type="paragraph" w:customStyle="1" w:styleId="2426">
    <w:name w:val="黑体三号11"/>
    <w:basedOn w:val="223"/>
    <w:qFormat/>
    <w:uiPriority w:val="0"/>
    <w:pPr>
      <w:jc w:val="center"/>
    </w:pPr>
    <w:rPr>
      <w:rFonts w:ascii="黑体" w:hAnsi="宋体" w:eastAsia="黑体"/>
      <w:b/>
      <w:bCs/>
      <w:sz w:val="32"/>
      <w:szCs w:val="20"/>
    </w:rPr>
  </w:style>
  <w:style w:type="paragraph" w:customStyle="1" w:styleId="2427">
    <w:name w:val="表11"/>
    <w:basedOn w:val="1"/>
    <w:qFormat/>
    <w:uiPriority w:val="0"/>
    <w:pPr>
      <w:adjustRightInd w:val="0"/>
      <w:snapToGrid w:val="0"/>
      <w:jc w:val="center"/>
    </w:pPr>
    <w:rPr>
      <w:rFonts w:eastAsia="仿宋_GB2312"/>
      <w:sz w:val="24"/>
    </w:rPr>
  </w:style>
  <w:style w:type="character" w:customStyle="1" w:styleId="2428">
    <w:name w:val="Char Char611"/>
    <w:qFormat/>
    <w:uiPriority w:val="0"/>
    <w:rPr>
      <w:rFonts w:ascii="黑体" w:eastAsia="黑体"/>
      <w:b/>
      <w:bCs/>
      <w:kern w:val="2"/>
      <w:sz w:val="28"/>
      <w:szCs w:val="28"/>
      <w:lang w:val="en-US" w:eastAsia="zh-CN" w:bidi="ar-SA"/>
    </w:rPr>
  </w:style>
  <w:style w:type="paragraph" w:customStyle="1" w:styleId="2429">
    <w:name w:val="表题112"/>
    <w:basedOn w:val="23"/>
    <w:qFormat/>
    <w:uiPriority w:val="0"/>
    <w:pPr>
      <w:tabs>
        <w:tab w:val="clear" w:pos="7380"/>
      </w:tabs>
      <w:overflowPunct/>
      <w:spacing w:before="0" w:afterLines="0" w:line="360" w:lineRule="auto"/>
      <w:jc w:val="center"/>
    </w:pPr>
    <w:rPr>
      <w:rFonts w:ascii="黑体" w:cs="Times New Roman"/>
      <w:sz w:val="24"/>
      <w:szCs w:val="24"/>
    </w:rPr>
  </w:style>
  <w:style w:type="paragraph" w:customStyle="1" w:styleId="2430">
    <w:name w:val="燕山正文12"/>
    <w:basedOn w:val="1"/>
    <w:qFormat/>
    <w:uiPriority w:val="0"/>
    <w:pPr>
      <w:tabs>
        <w:tab w:val="left" w:pos="4680"/>
      </w:tabs>
      <w:adjustRightInd w:val="0"/>
      <w:snapToGrid w:val="0"/>
      <w:spacing w:line="480" w:lineRule="exact"/>
    </w:pPr>
    <w:rPr>
      <w:rFonts w:ascii="宋体" w:cs="宋体"/>
      <w:sz w:val="24"/>
    </w:rPr>
  </w:style>
  <w:style w:type="paragraph" w:customStyle="1" w:styleId="2431">
    <w:name w:val="正文修改11"/>
    <w:basedOn w:val="2056"/>
    <w:qFormat/>
    <w:uiPriority w:val="0"/>
    <w:rPr>
      <w:rFonts w:hAnsi="宋体"/>
      <w:color w:val="000000"/>
    </w:rPr>
  </w:style>
  <w:style w:type="character" w:customStyle="1" w:styleId="2432">
    <w:name w:val="正文修改 Char111"/>
    <w:qFormat/>
    <w:uiPriority w:val="0"/>
    <w:rPr>
      <w:rFonts w:ascii="宋体" w:hAnsi="宋体" w:eastAsia="宋体" w:cs="宋体"/>
      <w:color w:val="000000"/>
      <w:sz w:val="24"/>
      <w:szCs w:val="24"/>
    </w:rPr>
  </w:style>
  <w:style w:type="paragraph" w:customStyle="1" w:styleId="2433">
    <w:name w:val="表中文字12"/>
    <w:basedOn w:val="1"/>
    <w:qFormat/>
    <w:uiPriority w:val="0"/>
    <w:pPr>
      <w:widowControl/>
      <w:spacing w:line="240" w:lineRule="atLeast"/>
      <w:ind w:left="-24" w:leftChars="-10" w:right="-48" w:rightChars="-20"/>
      <w:jc w:val="center"/>
    </w:pPr>
    <w:rPr>
      <w:rFonts w:ascii="宋体"/>
      <w:kern w:val="0"/>
      <w:szCs w:val="21"/>
    </w:rPr>
  </w:style>
  <w:style w:type="paragraph" w:customStyle="1" w:styleId="2434">
    <w:name w:val="表文字512"/>
    <w:basedOn w:val="1"/>
    <w:qFormat/>
    <w:uiPriority w:val="0"/>
    <w:pPr>
      <w:adjustRightInd w:val="0"/>
      <w:jc w:val="left"/>
      <w:textAlignment w:val="baseline"/>
    </w:pPr>
    <w:rPr>
      <w:rFonts w:ascii="宋体"/>
      <w:kern w:val="0"/>
      <w:szCs w:val="20"/>
    </w:rPr>
  </w:style>
  <w:style w:type="paragraph" w:customStyle="1" w:styleId="2435">
    <w:name w:val="表内文字小3111"/>
    <w:basedOn w:val="1"/>
    <w:qFormat/>
    <w:uiPriority w:val="0"/>
    <w:pPr>
      <w:adjustRightInd w:val="0"/>
      <w:snapToGrid w:val="0"/>
      <w:jc w:val="center"/>
    </w:pPr>
    <w:rPr>
      <w:rFonts w:ascii="宋体" w:hAnsi="Times" w:cs="宋体"/>
      <w:bCs/>
      <w:color w:val="003366"/>
      <w:szCs w:val="20"/>
    </w:rPr>
  </w:style>
  <w:style w:type="paragraph" w:customStyle="1" w:styleId="2436">
    <w:name w:val="正文格式＝21"/>
    <w:basedOn w:val="223"/>
    <w:next w:val="223"/>
    <w:qFormat/>
    <w:uiPriority w:val="0"/>
    <w:rPr>
      <w:rFonts w:hAnsi="宋体" w:cs="Times New Roman"/>
    </w:rPr>
  </w:style>
  <w:style w:type="paragraph" w:customStyle="1" w:styleId="2437">
    <w:name w:val="Char211"/>
    <w:basedOn w:val="1"/>
    <w:qFormat/>
    <w:uiPriority w:val="0"/>
    <w:pPr>
      <w:ind w:left="-48"/>
    </w:pPr>
  </w:style>
  <w:style w:type="paragraph" w:customStyle="1" w:styleId="2438">
    <w:name w:val="表内文字小23"/>
    <w:basedOn w:val="1"/>
    <w:qFormat/>
    <w:uiPriority w:val="0"/>
    <w:pPr>
      <w:adjustRightInd w:val="0"/>
      <w:snapToGrid w:val="0"/>
      <w:jc w:val="center"/>
    </w:pPr>
    <w:rPr>
      <w:rFonts w:ascii="宋体" w:hAnsi="Times"/>
      <w:bCs/>
      <w:color w:val="000000"/>
      <w:szCs w:val="20"/>
    </w:rPr>
  </w:style>
  <w:style w:type="paragraph" w:customStyle="1" w:styleId="2439">
    <w:name w:val="表内532"/>
    <w:basedOn w:val="1"/>
    <w:qFormat/>
    <w:uiPriority w:val="0"/>
    <w:pPr>
      <w:adjustRightInd w:val="0"/>
      <w:snapToGrid w:val="0"/>
      <w:spacing w:line="300" w:lineRule="auto"/>
      <w:jc w:val="left"/>
    </w:pPr>
    <w:rPr>
      <w:rFonts w:ascii="宋体"/>
      <w:szCs w:val="20"/>
    </w:rPr>
  </w:style>
  <w:style w:type="paragraph" w:customStyle="1" w:styleId="2440">
    <w:name w:val="正文格式31"/>
    <w:basedOn w:val="1"/>
    <w:qFormat/>
    <w:uiPriority w:val="0"/>
    <w:pPr>
      <w:spacing w:line="360" w:lineRule="auto"/>
      <w:ind w:firstLine="482"/>
    </w:pPr>
    <w:rPr>
      <w:rFonts w:ascii="宋体" w:hAnsi="宋体"/>
      <w:sz w:val="24"/>
    </w:rPr>
  </w:style>
  <w:style w:type="paragraph" w:customStyle="1" w:styleId="2441">
    <w:name w:val="Char221"/>
    <w:basedOn w:val="1"/>
    <w:qFormat/>
    <w:uiPriority w:val="0"/>
    <w:pPr>
      <w:adjustRightInd w:val="0"/>
      <w:snapToGrid w:val="0"/>
      <w:spacing w:beforeLines="50" w:line="360" w:lineRule="auto"/>
    </w:pPr>
    <w:rPr>
      <w:rFonts w:ascii="黑体" w:eastAsia="黑体"/>
      <w:sz w:val="32"/>
      <w:szCs w:val="32"/>
    </w:rPr>
  </w:style>
  <w:style w:type="character" w:customStyle="1" w:styleId="2442">
    <w:name w:val="题注 Char21"/>
    <w:qFormat/>
    <w:uiPriority w:val="0"/>
    <w:rPr>
      <w:rFonts w:ascii="黑体" w:hAnsi="Arial" w:eastAsia="黑体" w:cs="Arial"/>
      <w:b/>
      <w:kern w:val="2"/>
      <w:sz w:val="24"/>
      <w:szCs w:val="24"/>
      <w:lang w:val="en-US" w:eastAsia="zh-CN" w:bidi="ar-SA"/>
    </w:rPr>
  </w:style>
  <w:style w:type="paragraph" w:customStyle="1" w:styleId="2443">
    <w:name w:val="图题31"/>
    <w:basedOn w:val="223"/>
    <w:next w:val="223"/>
    <w:qFormat/>
    <w:uiPriority w:val="0"/>
    <w:pPr>
      <w:ind w:firstLine="0"/>
      <w:jc w:val="center"/>
    </w:pPr>
    <w:rPr>
      <w:rFonts w:ascii="黑体" w:hAnsi="宋体" w:eastAsia="黑体"/>
      <w:b/>
      <w:bCs/>
    </w:rPr>
  </w:style>
  <w:style w:type="paragraph" w:customStyle="1" w:styleId="2444">
    <w:name w:val="表格内字体31"/>
    <w:basedOn w:val="223"/>
    <w:next w:val="223"/>
    <w:qFormat/>
    <w:uiPriority w:val="0"/>
    <w:pPr>
      <w:spacing w:line="240" w:lineRule="auto"/>
      <w:ind w:firstLine="0"/>
      <w:jc w:val="center"/>
    </w:pPr>
    <w:rPr>
      <w:rFonts w:hAnsi="宋体" w:cs="Times New Roman"/>
      <w:sz w:val="21"/>
    </w:rPr>
  </w:style>
  <w:style w:type="paragraph" w:customStyle="1" w:styleId="2445">
    <w:name w:val="表内54121"/>
    <w:basedOn w:val="1"/>
    <w:qFormat/>
    <w:uiPriority w:val="0"/>
    <w:pPr>
      <w:adjustRightInd w:val="0"/>
      <w:snapToGrid w:val="0"/>
      <w:spacing w:line="300" w:lineRule="auto"/>
      <w:jc w:val="center"/>
    </w:pPr>
    <w:rPr>
      <w:rFonts w:ascii="宋体" w:hAnsi="宋体" w:cs="宋体"/>
      <w:szCs w:val="20"/>
    </w:rPr>
  </w:style>
  <w:style w:type="paragraph" w:customStyle="1" w:styleId="2446">
    <w:name w:val="表内文字小2121"/>
    <w:basedOn w:val="1"/>
    <w:qFormat/>
    <w:uiPriority w:val="0"/>
    <w:pPr>
      <w:adjustRightInd w:val="0"/>
      <w:snapToGrid w:val="0"/>
      <w:jc w:val="center"/>
    </w:pPr>
    <w:rPr>
      <w:rFonts w:ascii="宋体" w:hAnsi="Times"/>
      <w:bCs/>
      <w:color w:val="000000"/>
      <w:szCs w:val="20"/>
    </w:rPr>
  </w:style>
  <w:style w:type="paragraph" w:customStyle="1" w:styleId="2447">
    <w:name w:val="表题3121"/>
    <w:basedOn w:val="37"/>
    <w:qFormat/>
    <w:uiPriority w:val="0"/>
    <w:pPr>
      <w:tabs>
        <w:tab w:val="left" w:pos="4305"/>
      </w:tabs>
      <w:adjustRightInd w:val="0"/>
      <w:snapToGrid w:val="0"/>
      <w:spacing w:after="0"/>
      <w:ind w:left="0" w:leftChars="0"/>
      <w:jc w:val="center"/>
    </w:pPr>
    <w:rPr>
      <w:rFonts w:ascii="宋体" w:hAnsi="宋体"/>
      <w:sz w:val="24"/>
      <w:szCs w:val="20"/>
    </w:rPr>
  </w:style>
  <w:style w:type="paragraph" w:customStyle="1" w:styleId="2448">
    <w:name w:val="Char Char Char Char Char Char Char41"/>
    <w:basedOn w:val="1"/>
    <w:qFormat/>
    <w:uiPriority w:val="0"/>
  </w:style>
  <w:style w:type="paragraph" w:customStyle="1" w:styleId="2449">
    <w:name w:val="标题43121"/>
    <w:basedOn w:val="1"/>
    <w:qFormat/>
    <w:uiPriority w:val="0"/>
    <w:pPr>
      <w:adjustRightInd w:val="0"/>
      <w:snapToGrid w:val="0"/>
      <w:spacing w:line="480" w:lineRule="exact"/>
      <w:jc w:val="center"/>
    </w:pPr>
    <w:rPr>
      <w:rFonts w:ascii="宋体" w:hAnsi="宋体" w:cs="宋体"/>
      <w:sz w:val="24"/>
    </w:rPr>
  </w:style>
  <w:style w:type="paragraph" w:customStyle="1" w:styleId="2450">
    <w:name w:val="燕山正文1121"/>
    <w:basedOn w:val="1"/>
    <w:qFormat/>
    <w:uiPriority w:val="0"/>
    <w:pPr>
      <w:tabs>
        <w:tab w:val="left" w:pos="4680"/>
      </w:tabs>
      <w:adjustRightInd w:val="0"/>
      <w:snapToGrid w:val="0"/>
      <w:spacing w:line="480" w:lineRule="exact"/>
    </w:pPr>
    <w:rPr>
      <w:rFonts w:ascii="宋体" w:hAnsi="宋体" w:cs="宋体"/>
      <w:bCs/>
      <w:color w:val="000000"/>
      <w:sz w:val="24"/>
    </w:rPr>
  </w:style>
  <w:style w:type="paragraph" w:customStyle="1" w:styleId="2451">
    <w:name w:val="默认段落字体 Para Char Char Char Char21"/>
    <w:basedOn w:val="1"/>
    <w:qFormat/>
    <w:uiPriority w:val="0"/>
  </w:style>
  <w:style w:type="paragraph" w:customStyle="1" w:styleId="2452">
    <w:name w:val="附件21"/>
    <w:basedOn w:val="4"/>
    <w:next w:val="223"/>
    <w:qFormat/>
    <w:uiPriority w:val="0"/>
    <w:pPr>
      <w:spacing w:before="0" w:after="0" w:line="360" w:lineRule="auto"/>
      <w:jc w:val="left"/>
    </w:pPr>
    <w:rPr>
      <w:rFonts w:ascii="黑体" w:hAnsi="宋体" w:eastAsia="黑体"/>
      <w:b w:val="0"/>
      <w:sz w:val="32"/>
      <w:szCs w:val="32"/>
    </w:rPr>
  </w:style>
  <w:style w:type="paragraph" w:customStyle="1" w:styleId="2453">
    <w:name w:val="黑体三号21"/>
    <w:basedOn w:val="223"/>
    <w:qFormat/>
    <w:uiPriority w:val="0"/>
    <w:pPr>
      <w:jc w:val="center"/>
    </w:pPr>
    <w:rPr>
      <w:rFonts w:ascii="黑体" w:hAnsi="宋体" w:eastAsia="黑体"/>
      <w:b/>
      <w:bCs/>
      <w:sz w:val="32"/>
      <w:szCs w:val="20"/>
    </w:rPr>
  </w:style>
  <w:style w:type="paragraph" w:customStyle="1" w:styleId="2454">
    <w:name w:val="表21"/>
    <w:basedOn w:val="1"/>
    <w:qFormat/>
    <w:uiPriority w:val="0"/>
    <w:pPr>
      <w:adjustRightInd w:val="0"/>
      <w:snapToGrid w:val="0"/>
      <w:jc w:val="center"/>
    </w:pPr>
    <w:rPr>
      <w:rFonts w:eastAsia="仿宋_GB2312"/>
      <w:sz w:val="24"/>
    </w:rPr>
  </w:style>
  <w:style w:type="paragraph" w:customStyle="1" w:styleId="2455">
    <w:name w:val="表题121"/>
    <w:basedOn w:val="23"/>
    <w:qFormat/>
    <w:uiPriority w:val="0"/>
    <w:pPr>
      <w:tabs>
        <w:tab w:val="clear" w:pos="7380"/>
      </w:tabs>
      <w:overflowPunct/>
      <w:spacing w:before="0" w:afterLines="0" w:line="360" w:lineRule="auto"/>
      <w:jc w:val="center"/>
    </w:pPr>
    <w:rPr>
      <w:rFonts w:ascii="黑体" w:cs="Times New Roman"/>
      <w:sz w:val="24"/>
      <w:szCs w:val="24"/>
    </w:rPr>
  </w:style>
  <w:style w:type="paragraph" w:customStyle="1" w:styleId="2456">
    <w:name w:val="燕山正文21"/>
    <w:basedOn w:val="1"/>
    <w:qFormat/>
    <w:uiPriority w:val="0"/>
    <w:pPr>
      <w:tabs>
        <w:tab w:val="left" w:pos="4680"/>
      </w:tabs>
      <w:adjustRightInd w:val="0"/>
      <w:snapToGrid w:val="0"/>
      <w:spacing w:line="480" w:lineRule="exact"/>
    </w:pPr>
    <w:rPr>
      <w:rFonts w:ascii="宋体" w:cs="宋体"/>
      <w:sz w:val="24"/>
    </w:rPr>
  </w:style>
  <w:style w:type="paragraph" w:customStyle="1" w:styleId="2457">
    <w:name w:val="正文修改21"/>
    <w:basedOn w:val="2056"/>
    <w:qFormat/>
    <w:uiPriority w:val="0"/>
    <w:rPr>
      <w:rFonts w:hAnsi="宋体"/>
      <w:color w:val="000000"/>
    </w:rPr>
  </w:style>
  <w:style w:type="character" w:customStyle="1" w:styleId="2458">
    <w:name w:val="正文修改 Char121"/>
    <w:qFormat/>
    <w:uiPriority w:val="0"/>
    <w:rPr>
      <w:rFonts w:ascii="宋体" w:hAnsi="宋体" w:eastAsia="宋体" w:cs="宋体"/>
      <w:color w:val="000000"/>
      <w:sz w:val="24"/>
      <w:szCs w:val="24"/>
    </w:rPr>
  </w:style>
  <w:style w:type="paragraph" w:customStyle="1" w:styleId="2459">
    <w:name w:val="表中文字21"/>
    <w:basedOn w:val="1"/>
    <w:qFormat/>
    <w:uiPriority w:val="0"/>
    <w:pPr>
      <w:widowControl/>
      <w:adjustRightInd w:val="0"/>
      <w:spacing w:line="240" w:lineRule="atLeast"/>
      <w:ind w:right="-42" w:rightChars="-20"/>
      <w:jc w:val="center"/>
      <w:textAlignment w:val="baseline"/>
    </w:pPr>
    <w:rPr>
      <w:rFonts w:ascii="宋体"/>
      <w:kern w:val="0"/>
      <w:szCs w:val="21"/>
    </w:rPr>
  </w:style>
  <w:style w:type="paragraph" w:customStyle="1" w:styleId="2460">
    <w:name w:val="表文字521"/>
    <w:basedOn w:val="1"/>
    <w:qFormat/>
    <w:uiPriority w:val="0"/>
    <w:pPr>
      <w:adjustRightInd w:val="0"/>
      <w:jc w:val="left"/>
      <w:textAlignment w:val="baseline"/>
    </w:pPr>
    <w:rPr>
      <w:rFonts w:ascii="宋体"/>
      <w:kern w:val="0"/>
      <w:szCs w:val="20"/>
    </w:rPr>
  </w:style>
  <w:style w:type="paragraph" w:customStyle="1" w:styleId="2461">
    <w:name w:val="表内文字小3121"/>
    <w:basedOn w:val="1"/>
    <w:qFormat/>
    <w:uiPriority w:val="0"/>
    <w:pPr>
      <w:adjustRightInd w:val="0"/>
      <w:snapToGrid w:val="0"/>
      <w:jc w:val="center"/>
    </w:pPr>
    <w:rPr>
      <w:rFonts w:ascii="宋体" w:hAnsi="Times" w:cs="宋体"/>
      <w:bCs/>
      <w:color w:val="003366"/>
      <w:szCs w:val="20"/>
    </w:rPr>
  </w:style>
  <w:style w:type="paragraph" w:customStyle="1" w:styleId="2462">
    <w:name w:val="样式121"/>
    <w:basedOn w:val="2105"/>
    <w:qFormat/>
    <w:uiPriority w:val="0"/>
    <w:pPr>
      <w:spacing w:line="240" w:lineRule="auto"/>
      <w:ind w:firstLine="0"/>
      <w:jc w:val="center"/>
    </w:pPr>
    <w:rPr>
      <w:rFonts w:cs="Times New Roman"/>
      <w:b/>
      <w:color w:val="auto"/>
      <w:szCs w:val="20"/>
    </w:rPr>
  </w:style>
  <w:style w:type="paragraph" w:customStyle="1" w:styleId="2463">
    <w:name w:val="正文格式＝31"/>
    <w:basedOn w:val="223"/>
    <w:next w:val="223"/>
    <w:qFormat/>
    <w:uiPriority w:val="0"/>
    <w:rPr>
      <w:rFonts w:hAnsi="宋体" w:cs="Times New Roman"/>
    </w:rPr>
  </w:style>
  <w:style w:type="paragraph" w:customStyle="1" w:styleId="2464">
    <w:name w:val="Char311"/>
    <w:basedOn w:val="1"/>
    <w:qFormat/>
    <w:uiPriority w:val="0"/>
    <w:pPr>
      <w:ind w:left="-48"/>
    </w:pPr>
  </w:style>
  <w:style w:type="paragraph" w:customStyle="1" w:styleId="2465">
    <w:name w:val="表内文字小221"/>
    <w:basedOn w:val="1"/>
    <w:qFormat/>
    <w:uiPriority w:val="0"/>
    <w:pPr>
      <w:adjustRightInd w:val="0"/>
      <w:snapToGrid w:val="0"/>
      <w:jc w:val="center"/>
    </w:pPr>
    <w:rPr>
      <w:rFonts w:ascii="宋体" w:hAnsi="Times"/>
      <w:bCs/>
      <w:color w:val="000000"/>
      <w:szCs w:val="20"/>
    </w:rPr>
  </w:style>
  <w:style w:type="paragraph" w:customStyle="1" w:styleId="2466">
    <w:name w:val="表内5311"/>
    <w:basedOn w:val="1"/>
    <w:qFormat/>
    <w:uiPriority w:val="0"/>
    <w:pPr>
      <w:adjustRightInd w:val="0"/>
      <w:snapToGrid w:val="0"/>
      <w:spacing w:line="300" w:lineRule="auto"/>
      <w:jc w:val="left"/>
    </w:pPr>
    <w:rPr>
      <w:rFonts w:ascii="宋体"/>
      <w:szCs w:val="20"/>
    </w:rPr>
  </w:style>
  <w:style w:type="paragraph" w:customStyle="1" w:styleId="2467">
    <w:name w:val="正文格式211"/>
    <w:basedOn w:val="1"/>
    <w:qFormat/>
    <w:uiPriority w:val="0"/>
    <w:pPr>
      <w:spacing w:line="360" w:lineRule="auto"/>
      <w:ind w:firstLine="482"/>
    </w:pPr>
    <w:rPr>
      <w:rFonts w:ascii="宋体" w:hAnsi="宋体"/>
      <w:sz w:val="24"/>
    </w:rPr>
  </w:style>
  <w:style w:type="paragraph" w:customStyle="1" w:styleId="2468">
    <w:name w:val="图题211"/>
    <w:basedOn w:val="223"/>
    <w:next w:val="223"/>
    <w:qFormat/>
    <w:uiPriority w:val="0"/>
    <w:pPr>
      <w:ind w:firstLine="0"/>
      <w:jc w:val="center"/>
    </w:pPr>
    <w:rPr>
      <w:rFonts w:ascii="黑体" w:hAnsi="宋体" w:eastAsia="黑体"/>
      <w:b/>
      <w:bCs/>
    </w:rPr>
  </w:style>
  <w:style w:type="paragraph" w:customStyle="1" w:styleId="2469">
    <w:name w:val="表格内字体211"/>
    <w:basedOn w:val="223"/>
    <w:next w:val="223"/>
    <w:qFormat/>
    <w:uiPriority w:val="0"/>
    <w:pPr>
      <w:spacing w:line="240" w:lineRule="auto"/>
      <w:ind w:firstLine="0"/>
      <w:jc w:val="center"/>
    </w:pPr>
    <w:rPr>
      <w:rFonts w:hAnsi="宋体" w:cs="Times New Roman"/>
      <w:sz w:val="21"/>
    </w:rPr>
  </w:style>
  <w:style w:type="paragraph" w:customStyle="1" w:styleId="2470">
    <w:name w:val="表题1111"/>
    <w:basedOn w:val="23"/>
    <w:qFormat/>
    <w:uiPriority w:val="0"/>
    <w:pPr>
      <w:tabs>
        <w:tab w:val="clear" w:pos="7380"/>
      </w:tabs>
      <w:overflowPunct/>
      <w:spacing w:before="0" w:afterLines="0" w:line="360" w:lineRule="auto"/>
      <w:jc w:val="center"/>
    </w:pPr>
    <w:rPr>
      <w:rFonts w:ascii="黑体" w:cs="Times New Roman"/>
      <w:sz w:val="24"/>
      <w:szCs w:val="24"/>
    </w:rPr>
  </w:style>
  <w:style w:type="paragraph" w:customStyle="1" w:styleId="2471">
    <w:name w:val="表中文字111"/>
    <w:basedOn w:val="1"/>
    <w:qFormat/>
    <w:uiPriority w:val="0"/>
    <w:pPr>
      <w:widowControl/>
      <w:spacing w:line="240" w:lineRule="atLeast"/>
      <w:ind w:left="-24" w:leftChars="-10" w:right="-48" w:rightChars="-20"/>
      <w:jc w:val="center"/>
    </w:pPr>
    <w:rPr>
      <w:rFonts w:ascii="宋体"/>
      <w:kern w:val="0"/>
      <w:szCs w:val="21"/>
    </w:rPr>
  </w:style>
  <w:style w:type="paragraph" w:customStyle="1" w:styleId="2472">
    <w:name w:val="表文字5111"/>
    <w:basedOn w:val="1"/>
    <w:qFormat/>
    <w:uiPriority w:val="0"/>
    <w:pPr>
      <w:adjustRightInd w:val="0"/>
      <w:jc w:val="left"/>
      <w:textAlignment w:val="baseline"/>
    </w:pPr>
    <w:rPr>
      <w:rFonts w:ascii="宋体"/>
      <w:kern w:val="0"/>
      <w:szCs w:val="20"/>
    </w:rPr>
  </w:style>
  <w:style w:type="paragraph" w:customStyle="1" w:styleId="2473">
    <w:name w:val="正文格式41"/>
    <w:basedOn w:val="1"/>
    <w:qFormat/>
    <w:uiPriority w:val="0"/>
    <w:pPr>
      <w:spacing w:line="360" w:lineRule="auto"/>
      <w:ind w:firstLine="482"/>
    </w:pPr>
    <w:rPr>
      <w:rFonts w:ascii="宋体" w:hAnsi="宋体"/>
      <w:sz w:val="24"/>
    </w:rPr>
  </w:style>
  <w:style w:type="paragraph" w:customStyle="1" w:styleId="2474">
    <w:name w:val="图题41"/>
    <w:basedOn w:val="223"/>
    <w:next w:val="223"/>
    <w:qFormat/>
    <w:uiPriority w:val="0"/>
    <w:pPr>
      <w:ind w:firstLine="0"/>
      <w:jc w:val="center"/>
    </w:pPr>
    <w:rPr>
      <w:rFonts w:ascii="黑体" w:hAnsi="宋体" w:eastAsia="黑体"/>
      <w:b/>
      <w:bCs/>
    </w:rPr>
  </w:style>
  <w:style w:type="paragraph" w:customStyle="1" w:styleId="2475">
    <w:name w:val="表格内字体41"/>
    <w:basedOn w:val="223"/>
    <w:next w:val="223"/>
    <w:qFormat/>
    <w:uiPriority w:val="0"/>
    <w:pPr>
      <w:spacing w:line="240" w:lineRule="auto"/>
      <w:ind w:firstLine="0"/>
      <w:jc w:val="center"/>
    </w:pPr>
    <w:rPr>
      <w:rFonts w:hAnsi="宋体" w:cs="Times New Roman"/>
      <w:sz w:val="21"/>
    </w:rPr>
  </w:style>
  <w:style w:type="paragraph" w:customStyle="1" w:styleId="2476">
    <w:name w:val="Char411"/>
    <w:basedOn w:val="1"/>
    <w:qFormat/>
    <w:uiPriority w:val="0"/>
    <w:pPr>
      <w:ind w:left="-48"/>
    </w:pPr>
  </w:style>
  <w:style w:type="paragraph" w:customStyle="1" w:styleId="2477">
    <w:name w:val="正文格式＝41"/>
    <w:basedOn w:val="223"/>
    <w:next w:val="223"/>
    <w:qFormat/>
    <w:uiPriority w:val="0"/>
    <w:rPr>
      <w:rFonts w:hAnsi="宋体" w:cs="Times New Roman"/>
    </w:rPr>
  </w:style>
  <w:style w:type="paragraph" w:customStyle="1" w:styleId="2478">
    <w:name w:val="表题131"/>
    <w:basedOn w:val="23"/>
    <w:qFormat/>
    <w:uiPriority w:val="0"/>
    <w:pPr>
      <w:tabs>
        <w:tab w:val="clear" w:pos="7380"/>
      </w:tabs>
      <w:overflowPunct/>
      <w:spacing w:before="0" w:afterLines="0" w:line="360" w:lineRule="auto"/>
      <w:jc w:val="center"/>
    </w:pPr>
    <w:rPr>
      <w:rFonts w:ascii="黑体" w:cs="Times New Roman"/>
      <w:b/>
      <w:sz w:val="24"/>
      <w:szCs w:val="24"/>
    </w:rPr>
  </w:style>
  <w:style w:type="paragraph" w:customStyle="1" w:styleId="2479">
    <w:name w:val="默认段落字体 Para Char11"/>
    <w:basedOn w:val="1"/>
    <w:next w:val="1"/>
    <w:qFormat/>
    <w:uiPriority w:val="0"/>
    <w:pPr>
      <w:spacing w:line="480" w:lineRule="exact"/>
      <w:ind w:firstLine="200" w:firstLineChars="200"/>
      <w:jc w:val="left"/>
    </w:pPr>
    <w:rPr>
      <w:rFonts w:ascii="宋体" w:hAnsi="宋体" w:eastAsia="汉鼎简书宋" w:cs="宋体"/>
      <w:sz w:val="28"/>
    </w:rPr>
  </w:style>
  <w:style w:type="paragraph" w:customStyle="1" w:styleId="2480">
    <w:name w:val="23-47表名1"/>
    <w:basedOn w:val="1"/>
    <w:qFormat/>
    <w:uiPriority w:val="0"/>
    <w:pPr>
      <w:spacing w:afterLines="50" w:line="440" w:lineRule="exact"/>
      <w:jc w:val="center"/>
    </w:pPr>
    <w:rPr>
      <w:rFonts w:ascii="宋体" w:hAnsi="宋体"/>
      <w:b/>
      <w:sz w:val="24"/>
    </w:rPr>
  </w:style>
  <w:style w:type="paragraph" w:customStyle="1" w:styleId="2481">
    <w:name w:val="xl241"/>
    <w:basedOn w:val="1"/>
    <w:qFormat/>
    <w:uiPriority w:val="0"/>
    <w:pPr>
      <w:widowControl/>
      <w:pBdr>
        <w:bottom w:val="single" w:color="auto" w:sz="4" w:space="0"/>
        <w:right w:val="single" w:color="auto" w:sz="4" w:space="0"/>
      </w:pBdr>
      <w:spacing w:before="100" w:beforeAutospacing="1" w:after="100" w:afterAutospacing="1"/>
      <w:jc w:val="center"/>
    </w:pPr>
    <w:rPr>
      <w:kern w:val="0"/>
      <w:szCs w:val="21"/>
    </w:rPr>
  </w:style>
  <w:style w:type="paragraph" w:customStyle="1" w:styleId="2482">
    <w:name w:val="Char Char Char Char Char Char Char121"/>
    <w:basedOn w:val="1"/>
    <w:qFormat/>
    <w:uiPriority w:val="0"/>
    <w:rPr>
      <w:szCs w:val="20"/>
    </w:rPr>
  </w:style>
  <w:style w:type="paragraph" w:customStyle="1" w:styleId="2483">
    <w:name w:val="Char51"/>
    <w:basedOn w:val="1"/>
    <w:qFormat/>
    <w:uiPriority w:val="0"/>
    <w:pPr>
      <w:adjustRightInd w:val="0"/>
      <w:snapToGrid w:val="0"/>
      <w:ind w:left="-45"/>
    </w:pPr>
  </w:style>
  <w:style w:type="paragraph" w:customStyle="1" w:styleId="2484">
    <w:name w:val="燕山正文1131"/>
    <w:basedOn w:val="1"/>
    <w:qFormat/>
    <w:uiPriority w:val="0"/>
    <w:pPr>
      <w:tabs>
        <w:tab w:val="left" w:pos="4680"/>
      </w:tabs>
      <w:adjustRightInd w:val="0"/>
      <w:snapToGrid w:val="0"/>
      <w:spacing w:line="360" w:lineRule="auto"/>
      <w:ind w:firstLine="480" w:firstLineChars="200"/>
    </w:pPr>
    <w:rPr>
      <w:rFonts w:ascii="宋体" w:hAnsi="宋体" w:cs="宋体"/>
      <w:bCs/>
      <w:snapToGrid w:val="0"/>
      <w:color w:val="000000"/>
      <w:kern w:val="0"/>
      <w:sz w:val="24"/>
    </w:rPr>
  </w:style>
  <w:style w:type="paragraph" w:customStyle="1" w:styleId="2485">
    <w:name w:val="正文格式51"/>
    <w:basedOn w:val="1"/>
    <w:qFormat/>
    <w:uiPriority w:val="0"/>
    <w:pPr>
      <w:spacing w:line="360" w:lineRule="auto"/>
      <w:ind w:firstLine="482"/>
    </w:pPr>
    <w:rPr>
      <w:rFonts w:ascii="宋体" w:hAnsi="宋体"/>
      <w:sz w:val="24"/>
    </w:rPr>
  </w:style>
  <w:style w:type="paragraph" w:customStyle="1" w:styleId="2486">
    <w:name w:val="Char321"/>
    <w:basedOn w:val="1"/>
    <w:qFormat/>
    <w:uiPriority w:val="0"/>
    <w:pPr>
      <w:ind w:left="-48"/>
    </w:pPr>
  </w:style>
  <w:style w:type="character" w:customStyle="1" w:styleId="2487">
    <w:name w:val="题注 Char31"/>
    <w:qFormat/>
    <w:uiPriority w:val="0"/>
    <w:rPr>
      <w:rFonts w:ascii="黑体" w:hAnsi="Arial" w:eastAsia="黑体" w:cs="Arial"/>
      <w:b/>
      <w:kern w:val="2"/>
      <w:sz w:val="24"/>
      <w:szCs w:val="24"/>
      <w:lang w:val="en-US" w:eastAsia="zh-CN" w:bidi="ar-SA"/>
    </w:rPr>
  </w:style>
  <w:style w:type="paragraph" w:customStyle="1" w:styleId="2488">
    <w:name w:val="图题51"/>
    <w:basedOn w:val="223"/>
    <w:next w:val="223"/>
    <w:qFormat/>
    <w:uiPriority w:val="0"/>
    <w:pPr>
      <w:ind w:firstLine="0"/>
      <w:jc w:val="center"/>
    </w:pPr>
    <w:rPr>
      <w:rFonts w:ascii="黑体" w:hAnsi="宋体" w:eastAsia="黑体"/>
      <w:b/>
      <w:bCs/>
    </w:rPr>
  </w:style>
  <w:style w:type="paragraph" w:customStyle="1" w:styleId="2489">
    <w:name w:val="表格内字体51"/>
    <w:basedOn w:val="223"/>
    <w:next w:val="223"/>
    <w:qFormat/>
    <w:uiPriority w:val="0"/>
    <w:pPr>
      <w:adjustRightInd w:val="0"/>
      <w:snapToGrid w:val="0"/>
      <w:spacing w:line="240" w:lineRule="auto"/>
      <w:ind w:firstLine="0"/>
    </w:pPr>
    <w:rPr>
      <w:rFonts w:hAnsi="宋体" w:cs="Times New Roman"/>
      <w:sz w:val="21"/>
    </w:rPr>
  </w:style>
  <w:style w:type="paragraph" w:customStyle="1" w:styleId="2490">
    <w:name w:val="表31"/>
    <w:basedOn w:val="1"/>
    <w:qFormat/>
    <w:uiPriority w:val="0"/>
    <w:pPr>
      <w:adjustRightInd w:val="0"/>
      <w:snapToGrid w:val="0"/>
      <w:jc w:val="center"/>
    </w:pPr>
    <w:rPr>
      <w:rFonts w:eastAsia="仿宋_GB2312"/>
      <w:sz w:val="24"/>
    </w:rPr>
  </w:style>
  <w:style w:type="paragraph" w:customStyle="1" w:styleId="2491">
    <w:name w:val="正文.11"/>
    <w:qFormat/>
    <w:uiPriority w:val="0"/>
    <w:pPr>
      <w:widowControl w:val="0"/>
      <w:autoSpaceDE w:val="0"/>
      <w:autoSpaceDN w:val="0"/>
      <w:adjustRightInd w:val="0"/>
      <w:jc w:val="both"/>
    </w:pPr>
    <w:rPr>
      <w:rFonts w:ascii="Times New Roman;Symbol;Arial;婼" w:hAnsi="Times New Roman" w:eastAsia="Times New Roman;Symbol;Arial;婼" w:cs="Times New Roman"/>
      <w:sz w:val="21"/>
      <w:szCs w:val="21"/>
      <w:lang w:val="en-US" w:eastAsia="zh-CN" w:bidi="ar-SA"/>
    </w:rPr>
  </w:style>
  <w:style w:type="paragraph" w:customStyle="1" w:styleId="2492">
    <w:name w:val="文本框11"/>
    <w:basedOn w:val="1"/>
    <w:qFormat/>
    <w:uiPriority w:val="0"/>
    <w:pPr>
      <w:adjustRightInd w:val="0"/>
      <w:snapToGrid w:val="0"/>
      <w:spacing w:after="6"/>
      <w:jc w:val="center"/>
    </w:pPr>
    <w:rPr>
      <w:rFonts w:eastAsia="仿宋_GB2312"/>
    </w:rPr>
  </w:style>
  <w:style w:type="paragraph" w:customStyle="1" w:styleId="2493">
    <w:name w:val="表内宋51111"/>
    <w:basedOn w:val="81"/>
    <w:qFormat/>
    <w:uiPriority w:val="0"/>
    <w:pPr>
      <w:widowControl/>
      <w:adjustRightInd w:val="0"/>
      <w:snapToGrid w:val="0"/>
    </w:pPr>
    <w:rPr>
      <w:rFonts w:ascii="宋体" w:hAnsi="宋体" w:cs="宋体"/>
      <w:color w:val="000000"/>
      <w:kern w:val="0"/>
      <w:sz w:val="21"/>
      <w:lang w:val="zh-CN"/>
    </w:rPr>
  </w:style>
  <w:style w:type="paragraph" w:customStyle="1" w:styleId="2494">
    <w:name w:val="表内文字小3131"/>
    <w:basedOn w:val="1"/>
    <w:qFormat/>
    <w:uiPriority w:val="0"/>
    <w:pPr>
      <w:adjustRightInd w:val="0"/>
      <w:snapToGrid w:val="0"/>
      <w:jc w:val="center"/>
    </w:pPr>
    <w:rPr>
      <w:rFonts w:ascii="宋体" w:hAnsi="Times" w:cs="宋体"/>
      <w:bCs/>
      <w:color w:val="003366"/>
      <w:szCs w:val="20"/>
    </w:rPr>
  </w:style>
  <w:style w:type="paragraph" w:customStyle="1" w:styleId="2495">
    <w:name w:val="表文字531"/>
    <w:basedOn w:val="1"/>
    <w:qFormat/>
    <w:uiPriority w:val="0"/>
    <w:pPr>
      <w:adjustRightInd w:val="0"/>
      <w:jc w:val="left"/>
      <w:textAlignment w:val="baseline"/>
    </w:pPr>
    <w:rPr>
      <w:rFonts w:ascii="宋体"/>
      <w:kern w:val="0"/>
      <w:szCs w:val="20"/>
    </w:rPr>
  </w:style>
  <w:style w:type="paragraph" w:customStyle="1" w:styleId="2496">
    <w:name w:val="正文211"/>
    <w:qFormat/>
    <w:uiPriority w:val="0"/>
    <w:pPr>
      <w:adjustRightInd w:val="0"/>
      <w:snapToGrid w:val="0"/>
      <w:spacing w:line="480" w:lineRule="atLeast"/>
      <w:jc w:val="center"/>
    </w:pPr>
    <w:rPr>
      <w:rFonts w:ascii="宋体" w:hAnsi="Times New Roman" w:eastAsia="宋体" w:cs="Times New Roman"/>
      <w:snapToGrid w:val="0"/>
      <w:spacing w:val="6"/>
      <w:sz w:val="21"/>
      <w:lang w:val="en-US" w:eastAsia="zh-CN" w:bidi="ar-SA"/>
    </w:rPr>
  </w:style>
  <w:style w:type="paragraph" w:customStyle="1" w:styleId="2497">
    <w:name w:val="Char Char Char Char Char Char Char211"/>
    <w:basedOn w:val="1"/>
    <w:qFormat/>
    <w:uiPriority w:val="0"/>
  </w:style>
  <w:style w:type="paragraph" w:customStyle="1" w:styleId="2498">
    <w:name w:val="表题3131"/>
    <w:basedOn w:val="37"/>
    <w:qFormat/>
    <w:uiPriority w:val="0"/>
    <w:pPr>
      <w:tabs>
        <w:tab w:val="left" w:pos="4305"/>
      </w:tabs>
      <w:adjustRightInd w:val="0"/>
      <w:snapToGrid w:val="0"/>
      <w:spacing w:after="0"/>
      <w:ind w:left="0" w:leftChars="0"/>
      <w:jc w:val="center"/>
    </w:pPr>
    <w:rPr>
      <w:rFonts w:ascii="宋体" w:hAnsi="宋体"/>
      <w:sz w:val="24"/>
      <w:szCs w:val="20"/>
    </w:rPr>
  </w:style>
  <w:style w:type="paragraph" w:customStyle="1" w:styleId="2499">
    <w:name w:val="表内文字小2131"/>
    <w:basedOn w:val="1"/>
    <w:qFormat/>
    <w:uiPriority w:val="0"/>
    <w:pPr>
      <w:adjustRightInd w:val="0"/>
      <w:snapToGrid w:val="0"/>
      <w:jc w:val="center"/>
      <w:textAlignment w:val="baseline"/>
    </w:pPr>
    <w:rPr>
      <w:rFonts w:ascii="宋体" w:hAnsi="Times"/>
      <w:bCs/>
      <w:color w:val="000000"/>
      <w:szCs w:val="20"/>
    </w:rPr>
  </w:style>
  <w:style w:type="character" w:customStyle="1" w:styleId="2500">
    <w:name w:val="文档结构图 Char2"/>
    <w:qFormat/>
    <w:uiPriority w:val="0"/>
    <w:rPr>
      <w:rFonts w:eastAsia="宋体"/>
      <w:kern w:val="2"/>
      <w:sz w:val="21"/>
      <w:szCs w:val="24"/>
      <w:shd w:val="clear" w:color="auto" w:fill="000080"/>
      <w:lang w:val="en-US" w:eastAsia="zh-CN" w:bidi="ar-SA"/>
    </w:rPr>
  </w:style>
  <w:style w:type="paragraph" w:customStyle="1" w:styleId="2501">
    <w:name w:val="燕山正文31"/>
    <w:basedOn w:val="1"/>
    <w:qFormat/>
    <w:uiPriority w:val="0"/>
    <w:pPr>
      <w:tabs>
        <w:tab w:val="left" w:pos="4680"/>
      </w:tabs>
      <w:adjustRightInd w:val="0"/>
      <w:snapToGrid w:val="0"/>
      <w:spacing w:line="480" w:lineRule="exact"/>
    </w:pPr>
    <w:rPr>
      <w:rFonts w:ascii="宋体" w:cs="宋体"/>
      <w:sz w:val="24"/>
    </w:rPr>
  </w:style>
  <w:style w:type="paragraph" w:customStyle="1" w:styleId="2502">
    <w:name w:val="正文修改31"/>
    <w:basedOn w:val="2056"/>
    <w:qFormat/>
    <w:uiPriority w:val="0"/>
    <w:rPr>
      <w:rFonts w:hAnsi="宋体"/>
      <w:color w:val="000000"/>
    </w:rPr>
  </w:style>
  <w:style w:type="character" w:customStyle="1" w:styleId="2503">
    <w:name w:val="正文修改 Char131"/>
    <w:qFormat/>
    <w:uiPriority w:val="0"/>
    <w:rPr>
      <w:rFonts w:ascii="宋体" w:hAnsi="宋体" w:eastAsia="宋体" w:cs="宋体"/>
      <w:color w:val="000000"/>
      <w:sz w:val="24"/>
      <w:szCs w:val="24"/>
    </w:rPr>
  </w:style>
  <w:style w:type="paragraph" w:customStyle="1" w:styleId="2504">
    <w:name w:val="表题142"/>
    <w:basedOn w:val="23"/>
    <w:qFormat/>
    <w:uiPriority w:val="0"/>
    <w:pPr>
      <w:tabs>
        <w:tab w:val="clear" w:pos="7380"/>
      </w:tabs>
      <w:overflowPunct/>
      <w:spacing w:before="0" w:afterLines="0" w:line="360" w:lineRule="auto"/>
      <w:jc w:val="center"/>
    </w:pPr>
    <w:rPr>
      <w:rFonts w:ascii="黑体" w:cs="Times New Roman"/>
      <w:b/>
      <w:sz w:val="24"/>
      <w:szCs w:val="24"/>
    </w:rPr>
  </w:style>
  <w:style w:type="character" w:customStyle="1" w:styleId="2505">
    <w:name w:val="表题1 Char41"/>
    <w:qFormat/>
    <w:uiPriority w:val="0"/>
    <w:rPr>
      <w:rFonts w:ascii="黑体" w:hAnsi="Arial" w:eastAsia="黑体" w:cs="Arial"/>
      <w:b/>
      <w:kern w:val="2"/>
      <w:sz w:val="24"/>
      <w:szCs w:val="24"/>
      <w:lang w:val="en-US" w:eastAsia="zh-CN" w:bidi="ar-SA"/>
    </w:rPr>
  </w:style>
  <w:style w:type="paragraph" w:customStyle="1" w:styleId="2506">
    <w:name w:val="表中文字31"/>
    <w:basedOn w:val="1"/>
    <w:qFormat/>
    <w:uiPriority w:val="0"/>
    <w:pPr>
      <w:widowControl/>
      <w:spacing w:line="240" w:lineRule="atLeast"/>
      <w:ind w:left="-24" w:leftChars="-10" w:right="-48" w:rightChars="-20"/>
      <w:jc w:val="center"/>
    </w:pPr>
    <w:rPr>
      <w:rFonts w:ascii="宋体"/>
      <w:kern w:val="0"/>
      <w:szCs w:val="21"/>
    </w:rPr>
  </w:style>
  <w:style w:type="paragraph" w:customStyle="1" w:styleId="2507">
    <w:name w:val="黑体三号31"/>
    <w:basedOn w:val="223"/>
    <w:qFormat/>
    <w:uiPriority w:val="0"/>
    <w:pPr>
      <w:jc w:val="center"/>
    </w:pPr>
    <w:rPr>
      <w:rFonts w:ascii="黑体" w:hAnsi="宋体" w:eastAsia="黑体"/>
      <w:b/>
      <w:bCs/>
      <w:sz w:val="32"/>
      <w:szCs w:val="20"/>
    </w:rPr>
  </w:style>
  <w:style w:type="paragraph" w:customStyle="1" w:styleId="2508">
    <w:name w:val="默认段落字体 Para Char Char Char Char31"/>
    <w:basedOn w:val="1"/>
    <w:qFormat/>
    <w:uiPriority w:val="0"/>
  </w:style>
  <w:style w:type="paragraph" w:customStyle="1" w:styleId="2509">
    <w:name w:val="表内54131"/>
    <w:basedOn w:val="1"/>
    <w:qFormat/>
    <w:uiPriority w:val="0"/>
    <w:pPr>
      <w:adjustRightInd w:val="0"/>
      <w:snapToGrid w:val="0"/>
      <w:spacing w:line="300" w:lineRule="auto"/>
      <w:jc w:val="center"/>
    </w:pPr>
    <w:rPr>
      <w:rFonts w:ascii="宋体" w:hAnsi="宋体" w:cs="宋体"/>
      <w:szCs w:val="20"/>
    </w:rPr>
  </w:style>
  <w:style w:type="paragraph" w:customStyle="1" w:styleId="2510">
    <w:name w:val="Char61"/>
    <w:basedOn w:val="1"/>
    <w:qFormat/>
    <w:uiPriority w:val="0"/>
    <w:pPr>
      <w:adjustRightInd w:val="0"/>
      <w:snapToGrid w:val="0"/>
      <w:spacing w:beforeLines="50" w:line="360" w:lineRule="auto"/>
    </w:pPr>
    <w:rPr>
      <w:rFonts w:ascii="黑体" w:eastAsia="黑体"/>
      <w:sz w:val="32"/>
      <w:szCs w:val="32"/>
    </w:rPr>
  </w:style>
  <w:style w:type="paragraph" w:customStyle="1" w:styleId="2511">
    <w:name w:val="表题2111"/>
    <w:basedOn w:val="1"/>
    <w:qFormat/>
    <w:uiPriority w:val="0"/>
    <w:pPr>
      <w:widowControl/>
      <w:adjustRightInd w:val="0"/>
      <w:snapToGrid w:val="0"/>
      <w:jc w:val="center"/>
    </w:pPr>
    <w:rPr>
      <w:rFonts w:ascii="黑体" w:hAnsi="宋体" w:eastAsia="黑体" w:cs="宋体"/>
      <w:kern w:val="0"/>
      <w:sz w:val="24"/>
    </w:rPr>
  </w:style>
  <w:style w:type="paragraph" w:customStyle="1" w:styleId="2512">
    <w:name w:val="表内宋5中111"/>
    <w:basedOn w:val="1"/>
    <w:qFormat/>
    <w:uiPriority w:val="0"/>
    <w:pPr>
      <w:adjustRightInd w:val="0"/>
      <w:snapToGrid w:val="0"/>
      <w:jc w:val="center"/>
      <w:textAlignment w:val="baseline"/>
    </w:pPr>
    <w:rPr>
      <w:rFonts w:ascii="宋体" w:hAnsi="宋体" w:cs="宋体"/>
      <w:kern w:val="0"/>
      <w:szCs w:val="20"/>
    </w:rPr>
  </w:style>
  <w:style w:type="paragraph" w:customStyle="1" w:styleId="2513">
    <w:name w:val="表内宋5中12"/>
    <w:basedOn w:val="1"/>
    <w:qFormat/>
    <w:uiPriority w:val="0"/>
    <w:pPr>
      <w:adjustRightInd w:val="0"/>
      <w:snapToGrid w:val="0"/>
      <w:jc w:val="center"/>
      <w:textAlignment w:val="baseline"/>
    </w:pPr>
    <w:rPr>
      <w:rFonts w:ascii="宋体" w:hAnsi="宋体" w:cs="宋体"/>
      <w:kern w:val="0"/>
      <w:szCs w:val="20"/>
    </w:rPr>
  </w:style>
  <w:style w:type="paragraph" w:customStyle="1" w:styleId="2514">
    <w:name w:val="表内文字小111"/>
    <w:basedOn w:val="1"/>
    <w:qFormat/>
    <w:uiPriority w:val="0"/>
    <w:pPr>
      <w:adjustRightInd w:val="0"/>
      <w:snapToGrid w:val="0"/>
    </w:pPr>
    <w:rPr>
      <w:rFonts w:ascii="宋体" w:hAnsi="Times" w:cs="宋体"/>
      <w:szCs w:val="20"/>
    </w:rPr>
  </w:style>
  <w:style w:type="paragraph" w:customStyle="1" w:styleId="2515">
    <w:name w:val="标题4111"/>
    <w:basedOn w:val="1"/>
    <w:qFormat/>
    <w:uiPriority w:val="0"/>
    <w:pPr>
      <w:adjustRightInd w:val="0"/>
      <w:snapToGrid w:val="0"/>
      <w:spacing w:line="300" w:lineRule="auto"/>
      <w:jc w:val="left"/>
    </w:pPr>
    <w:rPr>
      <w:rFonts w:ascii="黑体" w:hAnsi="宋体" w:eastAsia="黑体" w:cs="宋体"/>
      <w:bCs/>
      <w:sz w:val="24"/>
      <w:szCs w:val="20"/>
    </w:rPr>
  </w:style>
  <w:style w:type="paragraph" w:customStyle="1" w:styleId="2516">
    <w:name w:val="表题1411"/>
    <w:basedOn w:val="1"/>
    <w:qFormat/>
    <w:uiPriority w:val="0"/>
    <w:pPr>
      <w:widowControl/>
      <w:adjustRightInd w:val="0"/>
      <w:snapToGrid w:val="0"/>
      <w:jc w:val="center"/>
    </w:pPr>
    <w:rPr>
      <w:rFonts w:ascii="黑体" w:hAnsi="宋体" w:eastAsia="黑体" w:cs="宋体"/>
      <w:kern w:val="0"/>
      <w:sz w:val="24"/>
    </w:rPr>
  </w:style>
  <w:style w:type="paragraph" w:customStyle="1" w:styleId="2517">
    <w:name w:val="表内文字小81"/>
    <w:basedOn w:val="1"/>
    <w:qFormat/>
    <w:uiPriority w:val="0"/>
    <w:pPr>
      <w:adjustRightInd w:val="0"/>
      <w:snapToGrid w:val="0"/>
      <w:jc w:val="center"/>
    </w:pPr>
    <w:rPr>
      <w:rFonts w:ascii="宋体" w:hAnsi="Times" w:cs="宋体"/>
      <w:szCs w:val="20"/>
    </w:rPr>
  </w:style>
  <w:style w:type="paragraph" w:customStyle="1" w:styleId="2518">
    <w:name w:val="默认段落字体 Para Char21"/>
    <w:basedOn w:val="1"/>
    <w:next w:val="1"/>
    <w:qFormat/>
    <w:uiPriority w:val="0"/>
    <w:pPr>
      <w:spacing w:line="480" w:lineRule="exact"/>
      <w:ind w:firstLine="200" w:firstLineChars="200"/>
      <w:jc w:val="left"/>
    </w:pPr>
    <w:rPr>
      <w:rFonts w:ascii="宋体" w:hAnsi="宋体" w:eastAsia="汉鼎简书宋" w:cs="宋体"/>
      <w:sz w:val="28"/>
    </w:rPr>
  </w:style>
  <w:style w:type="paragraph" w:customStyle="1" w:styleId="2519">
    <w:name w:val="Default1"/>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customStyle="1" w:styleId="2520">
    <w:name w:val="正文格式61"/>
    <w:basedOn w:val="1"/>
    <w:qFormat/>
    <w:uiPriority w:val="0"/>
    <w:pPr>
      <w:spacing w:line="360" w:lineRule="auto"/>
      <w:ind w:firstLine="482"/>
    </w:pPr>
    <w:rPr>
      <w:rFonts w:ascii="宋体" w:hAnsi="宋体"/>
      <w:sz w:val="24"/>
    </w:rPr>
  </w:style>
  <w:style w:type="paragraph" w:customStyle="1" w:styleId="2521">
    <w:name w:val="正文格式＝51"/>
    <w:basedOn w:val="223"/>
    <w:next w:val="223"/>
    <w:qFormat/>
    <w:uiPriority w:val="0"/>
    <w:rPr>
      <w:rFonts w:hAnsi="宋体" w:cs="Times New Roman"/>
    </w:rPr>
  </w:style>
  <w:style w:type="character" w:customStyle="1" w:styleId="2522">
    <w:name w:val="河石1 Char21"/>
    <w:qFormat/>
    <w:uiPriority w:val="0"/>
    <w:rPr>
      <w:rFonts w:ascii="黑体" w:hAnsi="宋体" w:eastAsia="黑体" w:cs="Times New Roman"/>
      <w:bCs/>
      <w:kern w:val="44"/>
      <w:sz w:val="32"/>
      <w:szCs w:val="32"/>
      <w:lang w:val="en-US" w:eastAsia="zh-CN" w:bidi="ar-SA"/>
    </w:rPr>
  </w:style>
  <w:style w:type="paragraph" w:customStyle="1" w:styleId="2523">
    <w:name w:val="附件31"/>
    <w:basedOn w:val="4"/>
    <w:next w:val="223"/>
    <w:qFormat/>
    <w:uiPriority w:val="0"/>
    <w:pPr>
      <w:adjustRightInd w:val="0"/>
      <w:snapToGrid w:val="0"/>
      <w:spacing w:before="0" w:after="0" w:line="360" w:lineRule="auto"/>
      <w:jc w:val="left"/>
    </w:pPr>
    <w:rPr>
      <w:rFonts w:ascii="黑体" w:hAnsi="宋体" w:eastAsia="黑体"/>
      <w:b w:val="0"/>
      <w:sz w:val="32"/>
      <w:szCs w:val="32"/>
    </w:rPr>
  </w:style>
  <w:style w:type="paragraph" w:customStyle="1" w:styleId="2524">
    <w:name w:val="图题61"/>
    <w:basedOn w:val="223"/>
    <w:next w:val="223"/>
    <w:qFormat/>
    <w:uiPriority w:val="0"/>
    <w:pPr>
      <w:ind w:firstLine="0"/>
      <w:jc w:val="center"/>
    </w:pPr>
    <w:rPr>
      <w:rFonts w:ascii="黑体" w:hAnsi="宋体" w:eastAsia="黑体"/>
      <w:b/>
      <w:bCs/>
      <w:kern w:val="0"/>
    </w:rPr>
  </w:style>
  <w:style w:type="character" w:customStyle="1" w:styleId="2525">
    <w:name w:val="图题 Char1"/>
    <w:qFormat/>
    <w:uiPriority w:val="0"/>
    <w:rPr>
      <w:rFonts w:ascii="黑体" w:hAnsi="宋体" w:eastAsia="黑体" w:cs="宋体"/>
      <w:b/>
      <w:bCs/>
      <w:kern w:val="2"/>
      <w:sz w:val="24"/>
      <w:szCs w:val="24"/>
      <w:lang w:val="en-US" w:eastAsia="zh-CN" w:bidi="ar-SA"/>
    </w:rPr>
  </w:style>
  <w:style w:type="paragraph" w:customStyle="1" w:styleId="2526">
    <w:name w:val="表格内字体61"/>
    <w:basedOn w:val="223"/>
    <w:next w:val="223"/>
    <w:qFormat/>
    <w:uiPriority w:val="0"/>
    <w:pPr>
      <w:spacing w:line="240" w:lineRule="auto"/>
      <w:ind w:firstLine="0"/>
      <w:jc w:val="center"/>
    </w:pPr>
    <w:rPr>
      <w:rFonts w:hAnsi="宋体" w:cs="Times New Roman"/>
      <w:sz w:val="21"/>
    </w:rPr>
  </w:style>
  <w:style w:type="paragraph" w:customStyle="1" w:styleId="2527">
    <w:name w:val="黑体三号41"/>
    <w:basedOn w:val="223"/>
    <w:qFormat/>
    <w:uiPriority w:val="0"/>
    <w:pPr>
      <w:jc w:val="center"/>
    </w:pPr>
    <w:rPr>
      <w:rFonts w:ascii="黑体" w:hAnsi="宋体" w:eastAsia="黑体"/>
      <w:b/>
      <w:bCs/>
      <w:sz w:val="32"/>
      <w:szCs w:val="20"/>
    </w:rPr>
  </w:style>
  <w:style w:type="paragraph" w:customStyle="1" w:styleId="2528">
    <w:name w:val="默认段落字体 Para Char Char Char Char41"/>
    <w:basedOn w:val="1"/>
    <w:qFormat/>
    <w:uiPriority w:val="0"/>
  </w:style>
  <w:style w:type="paragraph" w:customStyle="1" w:styleId="2529">
    <w:name w:val="图表题1"/>
    <w:basedOn w:val="223"/>
    <w:next w:val="223"/>
    <w:qFormat/>
    <w:uiPriority w:val="0"/>
    <w:pPr>
      <w:ind w:firstLine="0"/>
      <w:jc w:val="center"/>
    </w:pPr>
    <w:rPr>
      <w:rFonts w:ascii="黑体" w:hAnsi="宋体" w:eastAsia="黑体"/>
      <w:b/>
      <w:bCs/>
    </w:rPr>
  </w:style>
  <w:style w:type="character" w:customStyle="1" w:styleId="2530">
    <w:name w:val="图表题 Char1"/>
    <w:qFormat/>
    <w:uiPriority w:val="0"/>
    <w:rPr>
      <w:rFonts w:ascii="黑体" w:eastAsia="黑体" w:cs="宋体"/>
      <w:b/>
      <w:bCs/>
      <w:kern w:val="2"/>
      <w:sz w:val="24"/>
      <w:szCs w:val="24"/>
      <w:lang w:val="en-US" w:eastAsia="zh-CN" w:bidi="ar-SA"/>
    </w:rPr>
  </w:style>
  <w:style w:type="paragraph" w:customStyle="1" w:styleId="2531">
    <w:name w:val="样式 表格内字体 +1"/>
    <w:basedOn w:val="2053"/>
    <w:qFormat/>
    <w:uiPriority w:val="0"/>
    <w:pPr>
      <w:spacing w:line="280" w:lineRule="exact"/>
      <w:ind w:firstLine="36"/>
      <w:jc w:val="both"/>
    </w:pPr>
    <w:rPr>
      <w:kern w:val="0"/>
    </w:rPr>
  </w:style>
  <w:style w:type="character" w:customStyle="1" w:styleId="2532">
    <w:name w:val="样式 表格内字体 + Char1"/>
    <w:qFormat/>
    <w:uiPriority w:val="0"/>
  </w:style>
  <w:style w:type="paragraph" w:customStyle="1" w:styleId="2533">
    <w:name w:val="A正文1"/>
    <w:basedOn w:val="1"/>
    <w:qFormat/>
    <w:uiPriority w:val="0"/>
    <w:pPr>
      <w:widowControl/>
      <w:overflowPunct w:val="0"/>
      <w:autoSpaceDE w:val="0"/>
      <w:autoSpaceDN w:val="0"/>
      <w:adjustRightInd w:val="0"/>
      <w:spacing w:line="360" w:lineRule="auto"/>
      <w:ind w:firstLine="200" w:firstLineChars="200"/>
      <w:jc w:val="left"/>
      <w:textAlignment w:val="baseline"/>
    </w:pPr>
    <w:rPr>
      <w:rFonts w:eastAsia="仿宋_GB2312"/>
      <w:kern w:val="0"/>
      <w:sz w:val="24"/>
    </w:rPr>
  </w:style>
  <w:style w:type="character" w:customStyle="1" w:styleId="2534">
    <w:name w:val="A正文 Char1"/>
    <w:qFormat/>
    <w:uiPriority w:val="0"/>
    <w:rPr>
      <w:rFonts w:eastAsia="仿宋_GB2312"/>
      <w:kern w:val="2"/>
      <w:sz w:val="24"/>
      <w:szCs w:val="24"/>
      <w:lang w:val="en-US" w:eastAsia="zh-CN" w:bidi="ar-SA"/>
    </w:rPr>
  </w:style>
  <w:style w:type="paragraph" w:customStyle="1" w:styleId="2535">
    <w:name w:val="图题注1"/>
    <w:basedOn w:val="23"/>
    <w:qFormat/>
    <w:uiPriority w:val="0"/>
    <w:pPr>
      <w:tabs>
        <w:tab w:val="clear" w:pos="7380"/>
      </w:tabs>
      <w:overflowPunct/>
      <w:spacing w:before="0" w:afterLines="0"/>
      <w:jc w:val="center"/>
    </w:pPr>
    <w:rPr>
      <w:rFonts w:ascii="黑体" w:cs="宋体"/>
      <w:b/>
      <w:bCs/>
      <w:sz w:val="24"/>
      <w:szCs w:val="24"/>
    </w:rPr>
  </w:style>
  <w:style w:type="character" w:customStyle="1" w:styleId="2536">
    <w:name w:val="图题注 Char1"/>
    <w:qFormat/>
    <w:uiPriority w:val="0"/>
    <w:rPr>
      <w:rFonts w:ascii="黑体" w:hAnsi="Arial" w:eastAsia="黑体" w:cs="宋体"/>
      <w:b/>
      <w:bCs/>
      <w:kern w:val="2"/>
      <w:sz w:val="24"/>
      <w:szCs w:val="24"/>
      <w:lang w:val="en-US" w:eastAsia="zh-CN" w:bidi="ar-SA"/>
    </w:rPr>
  </w:style>
  <w:style w:type="paragraph" w:customStyle="1" w:styleId="2537">
    <w:name w:val="Char71"/>
    <w:basedOn w:val="1"/>
    <w:qFormat/>
    <w:uiPriority w:val="0"/>
    <w:pPr>
      <w:ind w:left="-48"/>
    </w:pPr>
  </w:style>
  <w:style w:type="paragraph" w:customStyle="1" w:styleId="2538">
    <w:name w:val="表格内字体111"/>
    <w:basedOn w:val="223"/>
    <w:qFormat/>
    <w:uiPriority w:val="0"/>
    <w:pPr>
      <w:spacing w:line="240" w:lineRule="auto"/>
      <w:ind w:firstLine="0"/>
      <w:jc w:val="center"/>
    </w:pPr>
    <w:rPr>
      <w:sz w:val="21"/>
      <w:szCs w:val="20"/>
    </w:rPr>
  </w:style>
  <w:style w:type="paragraph" w:customStyle="1" w:styleId="2539">
    <w:name w:val="Char Char2 Char Char Char Char31"/>
    <w:basedOn w:val="1"/>
    <w:qFormat/>
    <w:uiPriority w:val="0"/>
  </w:style>
  <w:style w:type="paragraph" w:customStyle="1" w:styleId="2540">
    <w:name w:val="样式 正文缩进 + 宋体 黑色 首行缩进:  2 字符1"/>
    <w:basedOn w:val="22"/>
    <w:qFormat/>
    <w:uiPriority w:val="0"/>
    <w:pPr>
      <w:spacing w:line="360" w:lineRule="auto"/>
      <w:ind w:firstLine="480"/>
      <w:jc w:val="left"/>
    </w:pPr>
    <w:rPr>
      <w:rFonts w:ascii="宋体" w:hAnsi="宋体" w:cs="宋体"/>
      <w:color w:val="FF00FF"/>
      <w:sz w:val="24"/>
      <w:szCs w:val="20"/>
    </w:rPr>
  </w:style>
  <w:style w:type="character" w:customStyle="1" w:styleId="2541">
    <w:name w:val="环评正文 Char1"/>
    <w:qFormat/>
    <w:uiPriority w:val="0"/>
    <w:rPr>
      <w:rFonts w:eastAsia="宋体"/>
      <w:bCs/>
      <w:kern w:val="2"/>
      <w:sz w:val="24"/>
      <w:szCs w:val="24"/>
      <w:lang w:val="en-US" w:eastAsia="zh-CN" w:bidi="ar-SA"/>
    </w:rPr>
  </w:style>
  <w:style w:type="paragraph" w:customStyle="1" w:styleId="2542">
    <w:name w:val="注释1"/>
    <w:basedOn w:val="223"/>
    <w:next w:val="35"/>
    <w:qFormat/>
    <w:uiPriority w:val="0"/>
    <w:pPr>
      <w:spacing w:before="120" w:after="120" w:line="240" w:lineRule="auto"/>
      <w:ind w:firstLine="200" w:firstLineChars="200"/>
    </w:pPr>
    <w:rPr>
      <w:sz w:val="21"/>
      <w:szCs w:val="20"/>
    </w:rPr>
  </w:style>
  <w:style w:type="paragraph" w:customStyle="1" w:styleId="2543">
    <w:name w:val="样式41"/>
    <w:basedOn w:val="35"/>
    <w:qFormat/>
    <w:uiPriority w:val="0"/>
    <w:pPr>
      <w:tabs>
        <w:tab w:val="left" w:pos="1820"/>
      </w:tabs>
      <w:snapToGrid w:val="0"/>
      <w:spacing w:after="0" w:line="240" w:lineRule="atLeast"/>
      <w:jc w:val="center"/>
    </w:pPr>
    <w:rPr>
      <w:rFonts w:eastAsia="幼圆"/>
      <w:kern w:val="0"/>
      <w:szCs w:val="20"/>
    </w:rPr>
  </w:style>
  <w:style w:type="paragraph" w:customStyle="1" w:styleId="2544">
    <w:name w:val="标题412"/>
    <w:basedOn w:val="7"/>
    <w:next w:val="1"/>
    <w:qFormat/>
    <w:uiPriority w:val="0"/>
    <w:pPr>
      <w:spacing w:before="160" w:after="170" w:line="360" w:lineRule="auto"/>
    </w:pPr>
    <w:rPr>
      <w:rFonts w:ascii="黑体" w:eastAsia="黑体"/>
      <w:b/>
      <w:kern w:val="0"/>
      <w:sz w:val="24"/>
      <w:lang w:val="zh-CN"/>
    </w:rPr>
  </w:style>
  <w:style w:type="paragraph" w:customStyle="1" w:styleId="2545">
    <w:name w:val="表中文字41"/>
    <w:basedOn w:val="1"/>
    <w:qFormat/>
    <w:uiPriority w:val="0"/>
    <w:pPr>
      <w:snapToGrid w:val="0"/>
      <w:spacing w:line="340" w:lineRule="exact"/>
      <w:ind w:firstLine="480" w:firstLineChars="200"/>
      <w:jc w:val="center"/>
    </w:pPr>
    <w:rPr>
      <w:rFonts w:ascii="Arial" w:hAnsi="Arial"/>
      <w:kern w:val="0"/>
      <w:sz w:val="20"/>
      <w:lang w:eastAsia="zh-TW"/>
    </w:rPr>
  </w:style>
  <w:style w:type="character" w:customStyle="1" w:styleId="2546">
    <w:name w:val="表中文字 Char1"/>
    <w:qFormat/>
    <w:uiPriority w:val="0"/>
    <w:rPr>
      <w:rFonts w:ascii="Arial" w:hAnsi="Arial" w:eastAsia="宋体"/>
      <w:kern w:val="2"/>
      <w:sz w:val="24"/>
      <w:szCs w:val="24"/>
      <w:lang w:val="en-US" w:eastAsia="zh-TW" w:bidi="ar-SA"/>
    </w:rPr>
  </w:style>
  <w:style w:type="paragraph" w:customStyle="1" w:styleId="2547">
    <w:name w:val="样式 正文缩进 + 宋体 黑色1"/>
    <w:basedOn w:val="22"/>
    <w:qFormat/>
    <w:uiPriority w:val="0"/>
    <w:pPr>
      <w:spacing w:line="360" w:lineRule="auto"/>
      <w:ind w:firstLine="200"/>
      <w:jc w:val="left"/>
    </w:pPr>
    <w:rPr>
      <w:rFonts w:ascii="宋体" w:hAnsi="宋体"/>
      <w:color w:val="000000"/>
      <w:sz w:val="24"/>
    </w:rPr>
  </w:style>
  <w:style w:type="character" w:customStyle="1" w:styleId="2548">
    <w:name w:val="样式 正文缩进 + 宋体 黑色 Char1"/>
    <w:qFormat/>
    <w:uiPriority w:val="0"/>
    <w:rPr>
      <w:rFonts w:ascii="宋体" w:hAnsi="宋体" w:eastAsia="宋体"/>
      <w:color w:val="000000"/>
      <w:kern w:val="2"/>
      <w:sz w:val="24"/>
      <w:szCs w:val="24"/>
      <w:lang w:val="en-US" w:eastAsia="zh-CN" w:bidi="ar-SA"/>
    </w:rPr>
  </w:style>
  <w:style w:type="paragraph" w:customStyle="1" w:styleId="2549">
    <w:name w:val="表内511"/>
    <w:basedOn w:val="1"/>
    <w:qFormat/>
    <w:uiPriority w:val="0"/>
    <w:pPr>
      <w:adjustRightInd w:val="0"/>
      <w:snapToGrid w:val="0"/>
      <w:jc w:val="center"/>
    </w:pPr>
    <w:rPr>
      <w:rFonts w:ascii="宋体" w:hAnsi="宋体"/>
      <w:kern w:val="0"/>
      <w:sz w:val="20"/>
      <w:szCs w:val="20"/>
    </w:rPr>
  </w:style>
  <w:style w:type="character" w:customStyle="1" w:styleId="2550">
    <w:name w:val="表内5 Char1"/>
    <w:qFormat/>
    <w:uiPriority w:val="0"/>
    <w:rPr>
      <w:rFonts w:ascii="宋体" w:hAnsi="宋体" w:eastAsia="宋体" w:cs="Times New Roman"/>
      <w:kern w:val="2"/>
      <w:sz w:val="24"/>
      <w:szCs w:val="24"/>
      <w:lang w:val="en-US" w:eastAsia="zh-CN" w:bidi="ar-SA"/>
    </w:rPr>
  </w:style>
  <w:style w:type="paragraph" w:customStyle="1" w:styleId="2551">
    <w:name w:val="样式 样式 宋体 + 首行缩进:  2 字符11"/>
    <w:basedOn w:val="1"/>
    <w:qFormat/>
    <w:uiPriority w:val="0"/>
    <w:pPr>
      <w:spacing w:line="360" w:lineRule="auto"/>
      <w:ind w:firstLine="480" w:firstLineChars="200"/>
      <w:jc w:val="left"/>
    </w:pPr>
    <w:rPr>
      <w:rFonts w:ascii="宋体" w:cs="宋体"/>
      <w:sz w:val="24"/>
    </w:rPr>
  </w:style>
  <w:style w:type="paragraph" w:customStyle="1" w:styleId="2552">
    <w:name w:val="表内宋5中21"/>
    <w:basedOn w:val="1"/>
    <w:qFormat/>
    <w:uiPriority w:val="0"/>
    <w:pPr>
      <w:adjustRightInd w:val="0"/>
      <w:snapToGrid w:val="0"/>
      <w:jc w:val="center"/>
      <w:textAlignment w:val="baseline"/>
    </w:pPr>
    <w:rPr>
      <w:rFonts w:ascii="宋体" w:hAnsi="宋体"/>
      <w:kern w:val="0"/>
      <w:szCs w:val="20"/>
    </w:rPr>
  </w:style>
  <w:style w:type="paragraph" w:customStyle="1" w:styleId="2553">
    <w:name w:val="xl631"/>
    <w:basedOn w:val="1"/>
    <w:qFormat/>
    <w:uiPriority w:val="0"/>
    <w:pPr>
      <w:widowControl/>
      <w:spacing w:before="100" w:beforeAutospacing="1" w:after="100" w:afterAutospacing="1"/>
      <w:jc w:val="center"/>
      <w:textAlignment w:val="center"/>
    </w:pPr>
    <w:rPr>
      <w:rFonts w:hint="eastAsia" w:ascii="黑体" w:hAnsi="宋体" w:eastAsia="黑体"/>
      <w:kern w:val="0"/>
      <w:sz w:val="24"/>
    </w:rPr>
  </w:style>
  <w:style w:type="paragraph" w:customStyle="1" w:styleId="2554">
    <w:name w:val="标准1"/>
    <w:basedOn w:val="1"/>
    <w:qFormat/>
    <w:uiPriority w:val="0"/>
    <w:pPr>
      <w:adjustRightInd w:val="0"/>
      <w:spacing w:before="120" w:line="336" w:lineRule="auto"/>
      <w:jc w:val="center"/>
      <w:textAlignment w:val="baseline"/>
    </w:pPr>
    <w:rPr>
      <w:rFonts w:ascii="黑体" w:eastAsia="黑体"/>
      <w:szCs w:val="20"/>
    </w:rPr>
  </w:style>
  <w:style w:type="paragraph" w:customStyle="1" w:styleId="2555">
    <w:name w:val="Fax Header1"/>
    <w:basedOn w:val="1"/>
    <w:qFormat/>
    <w:uiPriority w:val="0"/>
    <w:pPr>
      <w:widowControl/>
      <w:spacing w:before="240" w:after="60"/>
      <w:jc w:val="left"/>
    </w:pPr>
    <w:rPr>
      <w:kern w:val="0"/>
      <w:sz w:val="20"/>
      <w:szCs w:val="20"/>
    </w:rPr>
  </w:style>
  <w:style w:type="paragraph" w:customStyle="1" w:styleId="2556">
    <w:name w:val="样式 表格内字体1 +1"/>
    <w:basedOn w:val="2142"/>
    <w:next w:val="2053"/>
    <w:qFormat/>
    <w:uiPriority w:val="0"/>
    <w:rPr>
      <w:rFonts w:hAnsi="Times New Roman" w:cs="宋体"/>
      <w:szCs w:val="20"/>
    </w:rPr>
  </w:style>
  <w:style w:type="paragraph" w:customStyle="1" w:styleId="2557">
    <w:name w:val="默认段落字体 Para Char31"/>
    <w:basedOn w:val="1"/>
    <w:qFormat/>
    <w:uiPriority w:val="0"/>
    <w:pPr>
      <w:spacing w:line="360" w:lineRule="auto"/>
      <w:ind w:firstLine="200" w:firstLineChars="200"/>
    </w:pPr>
    <w:rPr>
      <w:rFonts w:ascii="宋体" w:hAnsi="宋体" w:cs="宋体"/>
      <w:sz w:val="24"/>
    </w:rPr>
  </w:style>
  <w:style w:type="paragraph" w:customStyle="1" w:styleId="2558">
    <w:name w:val="正文斜体1"/>
    <w:basedOn w:val="223"/>
    <w:next w:val="223"/>
    <w:qFormat/>
    <w:uiPriority w:val="0"/>
    <w:rPr>
      <w:rFonts w:hAnsi="宋体" w:cs="Times New Roman"/>
      <w:i/>
      <w:iCs/>
    </w:rPr>
  </w:style>
  <w:style w:type="character" w:customStyle="1" w:styleId="2559">
    <w:name w:val="正文斜体 Char1"/>
    <w:qFormat/>
    <w:uiPriority w:val="0"/>
    <w:rPr>
      <w:rFonts w:ascii="宋体" w:eastAsia="宋体" w:cs="宋体"/>
      <w:i/>
      <w:iCs/>
      <w:kern w:val="2"/>
      <w:sz w:val="24"/>
      <w:szCs w:val="24"/>
      <w:lang w:val="en-US" w:eastAsia="zh-CN" w:bidi="ar-SA"/>
    </w:rPr>
  </w:style>
  <w:style w:type="paragraph" w:customStyle="1" w:styleId="2560">
    <w:name w:val="Char Char2 Char Char Char Char111"/>
    <w:basedOn w:val="1"/>
    <w:qFormat/>
    <w:uiPriority w:val="0"/>
  </w:style>
  <w:style w:type="paragraph" w:customStyle="1" w:styleId="2561">
    <w:name w:val="Char81"/>
    <w:basedOn w:val="1"/>
    <w:qFormat/>
    <w:uiPriority w:val="0"/>
    <w:pPr>
      <w:ind w:left="-48"/>
    </w:pPr>
  </w:style>
  <w:style w:type="paragraph" w:customStyle="1" w:styleId="2562">
    <w:name w:val="正文格式71"/>
    <w:basedOn w:val="1"/>
    <w:qFormat/>
    <w:uiPriority w:val="0"/>
    <w:pPr>
      <w:spacing w:line="360" w:lineRule="auto"/>
      <w:ind w:firstLine="482"/>
    </w:pPr>
    <w:rPr>
      <w:rFonts w:ascii="宋体" w:hAnsi="宋体"/>
      <w:sz w:val="24"/>
    </w:rPr>
  </w:style>
  <w:style w:type="character" w:customStyle="1" w:styleId="2563">
    <w:name w:val="题注 Char51"/>
    <w:qFormat/>
    <w:uiPriority w:val="0"/>
    <w:rPr>
      <w:rFonts w:ascii="黑体" w:hAnsi="Arial" w:eastAsia="黑体" w:cs="Arial"/>
      <w:b/>
      <w:kern w:val="2"/>
      <w:sz w:val="24"/>
      <w:szCs w:val="24"/>
      <w:lang w:val="en-US" w:eastAsia="zh-CN" w:bidi="ar-SA"/>
    </w:rPr>
  </w:style>
  <w:style w:type="paragraph" w:customStyle="1" w:styleId="2564">
    <w:name w:val="图题71"/>
    <w:basedOn w:val="223"/>
    <w:next w:val="223"/>
    <w:qFormat/>
    <w:uiPriority w:val="0"/>
    <w:pPr>
      <w:ind w:firstLine="0"/>
      <w:jc w:val="center"/>
    </w:pPr>
    <w:rPr>
      <w:rFonts w:ascii="黑体" w:hAnsi="宋体" w:eastAsia="黑体"/>
      <w:b/>
      <w:bCs/>
    </w:rPr>
  </w:style>
  <w:style w:type="paragraph" w:customStyle="1" w:styleId="2565">
    <w:name w:val="表格内字体71"/>
    <w:basedOn w:val="223"/>
    <w:next w:val="223"/>
    <w:qFormat/>
    <w:uiPriority w:val="0"/>
    <w:pPr>
      <w:spacing w:line="240" w:lineRule="auto"/>
      <w:ind w:firstLine="0"/>
      <w:jc w:val="center"/>
    </w:pPr>
    <w:rPr>
      <w:rFonts w:hAnsi="宋体" w:cs="Times New Roman"/>
      <w:sz w:val="21"/>
    </w:rPr>
  </w:style>
  <w:style w:type="paragraph" w:customStyle="1" w:styleId="2566">
    <w:name w:val="正文格式＝61"/>
    <w:basedOn w:val="223"/>
    <w:next w:val="223"/>
    <w:qFormat/>
    <w:uiPriority w:val="0"/>
    <w:rPr>
      <w:rFonts w:hAnsi="宋体" w:cs="Times New Roman"/>
    </w:rPr>
  </w:style>
  <w:style w:type="character" w:customStyle="1" w:styleId="2567">
    <w:name w:val="表题1 Char61"/>
    <w:qFormat/>
    <w:uiPriority w:val="0"/>
    <w:rPr>
      <w:rFonts w:ascii="黑体" w:hAnsi="Arial" w:eastAsia="黑体" w:cs="Arial"/>
      <w:b/>
      <w:kern w:val="2"/>
      <w:sz w:val="24"/>
      <w:szCs w:val="24"/>
      <w:lang w:val="en-US" w:eastAsia="zh-CN" w:bidi="ar-SA"/>
    </w:rPr>
  </w:style>
  <w:style w:type="paragraph" w:customStyle="1" w:styleId="2568">
    <w:name w:val="燕山正文41"/>
    <w:basedOn w:val="1"/>
    <w:qFormat/>
    <w:uiPriority w:val="0"/>
    <w:pPr>
      <w:tabs>
        <w:tab w:val="left" w:pos="4680"/>
      </w:tabs>
      <w:adjustRightInd w:val="0"/>
      <w:snapToGrid w:val="0"/>
      <w:spacing w:line="480" w:lineRule="exact"/>
    </w:pPr>
    <w:rPr>
      <w:rFonts w:ascii="宋体" w:cs="宋体"/>
      <w:sz w:val="24"/>
    </w:rPr>
  </w:style>
  <w:style w:type="paragraph" w:customStyle="1" w:styleId="2569">
    <w:name w:val="正文修改41"/>
    <w:basedOn w:val="2056"/>
    <w:qFormat/>
    <w:uiPriority w:val="0"/>
    <w:rPr>
      <w:rFonts w:hAnsi="宋体"/>
      <w:color w:val="000000"/>
    </w:rPr>
  </w:style>
  <w:style w:type="character" w:customStyle="1" w:styleId="2570">
    <w:name w:val="正文修改 Char141"/>
    <w:qFormat/>
    <w:uiPriority w:val="0"/>
  </w:style>
  <w:style w:type="paragraph" w:customStyle="1" w:styleId="2571">
    <w:name w:val="表中文字51"/>
    <w:basedOn w:val="1"/>
    <w:qFormat/>
    <w:uiPriority w:val="0"/>
    <w:pPr>
      <w:widowControl/>
      <w:spacing w:line="240" w:lineRule="atLeast"/>
      <w:ind w:left="-24" w:leftChars="-10" w:right="-48" w:rightChars="-20"/>
      <w:jc w:val="center"/>
    </w:pPr>
    <w:rPr>
      <w:rFonts w:ascii="宋体"/>
      <w:kern w:val="0"/>
      <w:szCs w:val="21"/>
    </w:rPr>
  </w:style>
  <w:style w:type="paragraph" w:customStyle="1" w:styleId="2572">
    <w:name w:val="默认段落字体 Para Char Char Char Char51"/>
    <w:basedOn w:val="1"/>
    <w:qFormat/>
    <w:uiPriority w:val="0"/>
  </w:style>
  <w:style w:type="paragraph" w:customStyle="1" w:styleId="2573">
    <w:name w:val="Char101"/>
    <w:basedOn w:val="1"/>
    <w:qFormat/>
    <w:uiPriority w:val="0"/>
    <w:pPr>
      <w:adjustRightInd w:val="0"/>
      <w:snapToGrid w:val="0"/>
      <w:spacing w:line="360" w:lineRule="auto"/>
    </w:pPr>
  </w:style>
  <w:style w:type="paragraph" w:customStyle="1" w:styleId="2574">
    <w:name w:val="表内5中11"/>
    <w:basedOn w:val="1"/>
    <w:qFormat/>
    <w:uiPriority w:val="0"/>
    <w:pPr>
      <w:adjustRightInd w:val="0"/>
      <w:snapToGrid w:val="0"/>
      <w:jc w:val="center"/>
    </w:pPr>
    <w:rPr>
      <w:rFonts w:ascii="宋体" w:hAnsi="宋体" w:cs="Arial"/>
      <w:snapToGrid w:val="0"/>
      <w:color w:val="000000"/>
      <w:szCs w:val="21"/>
    </w:rPr>
  </w:style>
  <w:style w:type="paragraph" w:customStyle="1" w:styleId="2575">
    <w:name w:val="表内54141"/>
    <w:basedOn w:val="1"/>
    <w:qFormat/>
    <w:uiPriority w:val="0"/>
    <w:pPr>
      <w:adjustRightInd w:val="0"/>
      <w:snapToGrid w:val="0"/>
      <w:spacing w:line="300" w:lineRule="auto"/>
      <w:jc w:val="center"/>
    </w:pPr>
    <w:rPr>
      <w:rFonts w:ascii="宋体" w:hAnsi="宋体" w:cs="宋体"/>
      <w:szCs w:val="20"/>
    </w:rPr>
  </w:style>
  <w:style w:type="paragraph" w:customStyle="1" w:styleId="2576">
    <w:name w:val="表内文字小12"/>
    <w:basedOn w:val="1"/>
    <w:qFormat/>
    <w:uiPriority w:val="0"/>
    <w:pPr>
      <w:adjustRightInd w:val="0"/>
      <w:snapToGrid w:val="0"/>
      <w:jc w:val="center"/>
    </w:pPr>
    <w:rPr>
      <w:rFonts w:ascii="宋体" w:hAnsi="Times"/>
      <w:szCs w:val="20"/>
    </w:rPr>
  </w:style>
  <w:style w:type="paragraph" w:customStyle="1" w:styleId="2577">
    <w:name w:val="默认段落字体 Para Char41"/>
    <w:basedOn w:val="1"/>
    <w:next w:val="1"/>
    <w:qFormat/>
    <w:uiPriority w:val="0"/>
    <w:pPr>
      <w:spacing w:line="480" w:lineRule="exact"/>
      <w:ind w:firstLine="200" w:firstLineChars="200"/>
      <w:jc w:val="left"/>
    </w:pPr>
    <w:rPr>
      <w:rFonts w:ascii="宋体" w:hAnsi="宋体" w:eastAsia="汉鼎简书宋" w:cs="宋体"/>
      <w:sz w:val="28"/>
    </w:rPr>
  </w:style>
  <w:style w:type="paragraph" w:customStyle="1" w:styleId="2578">
    <w:name w:val="正文格式81"/>
    <w:basedOn w:val="1"/>
    <w:qFormat/>
    <w:uiPriority w:val="0"/>
    <w:pPr>
      <w:spacing w:line="360" w:lineRule="auto"/>
      <w:ind w:firstLine="482"/>
    </w:pPr>
    <w:rPr>
      <w:rFonts w:ascii="宋体" w:hAnsi="宋体"/>
      <w:sz w:val="24"/>
    </w:rPr>
  </w:style>
  <w:style w:type="paragraph" w:customStyle="1" w:styleId="2579">
    <w:name w:val="正文格式91"/>
    <w:basedOn w:val="1"/>
    <w:qFormat/>
    <w:uiPriority w:val="0"/>
    <w:pPr>
      <w:spacing w:line="360" w:lineRule="auto"/>
      <w:ind w:firstLine="482"/>
    </w:pPr>
    <w:rPr>
      <w:rFonts w:ascii="宋体" w:hAnsi="宋体"/>
      <w:sz w:val="24"/>
    </w:rPr>
  </w:style>
  <w:style w:type="paragraph" w:customStyle="1" w:styleId="2580">
    <w:name w:val="Char421"/>
    <w:basedOn w:val="1"/>
    <w:qFormat/>
    <w:uiPriority w:val="0"/>
    <w:pPr>
      <w:ind w:left="-48"/>
    </w:pPr>
  </w:style>
  <w:style w:type="paragraph" w:customStyle="1" w:styleId="2581">
    <w:name w:val="Char Char Char Char Char Char Char5"/>
    <w:basedOn w:val="1"/>
    <w:qFormat/>
    <w:uiPriority w:val="0"/>
  </w:style>
  <w:style w:type="paragraph" w:customStyle="1" w:styleId="2582">
    <w:name w:val="Char Char2 Char Char Char Char4"/>
    <w:basedOn w:val="1"/>
    <w:qFormat/>
    <w:uiPriority w:val="0"/>
  </w:style>
  <w:style w:type="paragraph" w:customStyle="1" w:styleId="2583">
    <w:name w:val="Char161"/>
    <w:basedOn w:val="1"/>
    <w:qFormat/>
    <w:uiPriority w:val="0"/>
    <w:pPr>
      <w:ind w:left="-48"/>
    </w:pPr>
  </w:style>
  <w:style w:type="paragraph" w:customStyle="1" w:styleId="2584">
    <w:name w:val="Char Char Char Char1 Char Char Char21"/>
    <w:basedOn w:val="1"/>
    <w:qFormat/>
    <w:uiPriority w:val="0"/>
    <w:pPr>
      <w:widowControl/>
      <w:spacing w:after="160" w:line="240" w:lineRule="exact"/>
      <w:jc w:val="left"/>
    </w:pPr>
    <w:rPr>
      <w:rFonts w:ascii="Verdana" w:hAnsi="Verdana"/>
      <w:kern w:val="0"/>
      <w:sz w:val="20"/>
      <w:szCs w:val="20"/>
      <w:lang w:eastAsia="en-US"/>
    </w:rPr>
  </w:style>
  <w:style w:type="character" w:customStyle="1" w:styleId="2585">
    <w:name w:val="Char Char1121"/>
    <w:qFormat/>
    <w:uiPriority w:val="0"/>
    <w:rPr>
      <w:rFonts w:ascii="黑体" w:hAnsi="Arial" w:eastAsia="黑体"/>
      <w:bCs/>
      <w:kern w:val="2"/>
      <w:sz w:val="30"/>
      <w:szCs w:val="30"/>
      <w:lang w:val="en-US" w:eastAsia="zh-CN" w:bidi="ar-SA"/>
    </w:rPr>
  </w:style>
  <w:style w:type="paragraph" w:customStyle="1" w:styleId="2586">
    <w:name w:val="Char Char Char Char Char Char Char131"/>
    <w:basedOn w:val="1"/>
    <w:qFormat/>
    <w:uiPriority w:val="0"/>
  </w:style>
  <w:style w:type="character" w:customStyle="1" w:styleId="2587">
    <w:name w:val="Char Char621"/>
    <w:qFormat/>
    <w:uiPriority w:val="0"/>
    <w:rPr>
      <w:rFonts w:ascii="黑体" w:eastAsia="黑体"/>
      <w:b/>
      <w:bCs/>
      <w:kern w:val="2"/>
      <w:sz w:val="28"/>
      <w:szCs w:val="28"/>
      <w:lang w:val="en-US" w:eastAsia="zh-CN" w:bidi="ar-SA"/>
    </w:rPr>
  </w:style>
  <w:style w:type="paragraph" w:customStyle="1" w:styleId="2588">
    <w:name w:val="Char231"/>
    <w:basedOn w:val="1"/>
    <w:qFormat/>
    <w:uiPriority w:val="0"/>
    <w:pPr>
      <w:ind w:left="-48"/>
    </w:pPr>
  </w:style>
  <w:style w:type="paragraph" w:customStyle="1" w:styleId="2589">
    <w:name w:val="Char331"/>
    <w:basedOn w:val="1"/>
    <w:qFormat/>
    <w:uiPriority w:val="0"/>
    <w:pPr>
      <w:ind w:left="-48"/>
    </w:pPr>
  </w:style>
  <w:style w:type="paragraph" w:customStyle="1" w:styleId="2590">
    <w:name w:val="Char Char Char Char Char Char Char221"/>
    <w:basedOn w:val="1"/>
    <w:qFormat/>
    <w:uiPriority w:val="0"/>
  </w:style>
  <w:style w:type="paragraph" w:customStyle="1" w:styleId="2591">
    <w:name w:val="Char431"/>
    <w:basedOn w:val="1"/>
    <w:qFormat/>
    <w:uiPriority w:val="0"/>
    <w:pPr>
      <w:ind w:left="-48"/>
    </w:pPr>
  </w:style>
  <w:style w:type="character" w:customStyle="1" w:styleId="2592">
    <w:name w:val="表格内容 Char1"/>
    <w:qFormat/>
    <w:uiPriority w:val="0"/>
    <w:rPr>
      <w:rFonts w:eastAsia="宋体"/>
      <w:kern w:val="2"/>
      <w:sz w:val="21"/>
      <w:szCs w:val="21"/>
      <w:lang w:val="en-US" w:eastAsia="zh-CN" w:bidi="ar-SA"/>
    </w:rPr>
  </w:style>
  <w:style w:type="character" w:customStyle="1" w:styleId="2593">
    <w:name w:val="标题 1 Char3"/>
    <w:qFormat/>
    <w:uiPriority w:val="0"/>
    <w:rPr>
      <w:rFonts w:ascii="黑体" w:hAnsi="宋体" w:eastAsia="黑体" w:cs="Times New Roman"/>
      <w:bCs/>
      <w:kern w:val="44"/>
      <w:sz w:val="32"/>
      <w:szCs w:val="32"/>
      <w:lang w:val="en-US" w:eastAsia="zh-CN" w:bidi="ar-SA"/>
    </w:rPr>
  </w:style>
  <w:style w:type="character" w:customStyle="1" w:styleId="2594">
    <w:name w:val="页脚 Char2"/>
    <w:qFormat/>
    <w:uiPriority w:val="0"/>
    <w:rPr>
      <w:rFonts w:ascii="Times New Roman" w:hAnsi="Times New Roman" w:eastAsia="宋体" w:cs="Times New Roman"/>
      <w:kern w:val="2"/>
      <w:sz w:val="18"/>
      <w:szCs w:val="18"/>
      <w:lang w:val="en-US" w:eastAsia="zh-CN" w:bidi="ar-SA"/>
    </w:rPr>
  </w:style>
  <w:style w:type="paragraph" w:customStyle="1" w:styleId="2595">
    <w:name w:val="正文格式82"/>
    <w:basedOn w:val="1"/>
    <w:qFormat/>
    <w:uiPriority w:val="0"/>
    <w:pPr>
      <w:spacing w:line="360" w:lineRule="auto"/>
      <w:ind w:firstLine="482"/>
    </w:pPr>
    <w:rPr>
      <w:rFonts w:ascii="宋体" w:hAnsi="宋体"/>
      <w:sz w:val="24"/>
    </w:rPr>
  </w:style>
  <w:style w:type="paragraph" w:customStyle="1" w:styleId="2596">
    <w:name w:val="正文格式12"/>
    <w:basedOn w:val="1"/>
    <w:qFormat/>
    <w:uiPriority w:val="0"/>
    <w:pPr>
      <w:spacing w:line="360" w:lineRule="auto"/>
      <w:ind w:firstLine="482"/>
    </w:pPr>
    <w:rPr>
      <w:rFonts w:ascii="宋体" w:hAnsi="宋体"/>
      <w:sz w:val="24"/>
    </w:rPr>
  </w:style>
  <w:style w:type="paragraph" w:customStyle="1" w:styleId="2597">
    <w:name w:val="图题9"/>
    <w:basedOn w:val="223"/>
    <w:next w:val="223"/>
    <w:qFormat/>
    <w:uiPriority w:val="0"/>
    <w:pPr>
      <w:ind w:firstLine="0"/>
      <w:jc w:val="center"/>
    </w:pPr>
    <w:rPr>
      <w:rFonts w:ascii="黑体" w:hAnsi="宋体" w:eastAsia="黑体"/>
      <w:b/>
      <w:bCs/>
    </w:rPr>
  </w:style>
  <w:style w:type="paragraph" w:customStyle="1" w:styleId="2598">
    <w:name w:val="表格内字体9"/>
    <w:basedOn w:val="223"/>
    <w:next w:val="223"/>
    <w:qFormat/>
    <w:uiPriority w:val="0"/>
    <w:pPr>
      <w:spacing w:line="240" w:lineRule="auto"/>
      <w:ind w:firstLine="0"/>
      <w:jc w:val="center"/>
    </w:pPr>
    <w:rPr>
      <w:rFonts w:hAnsi="宋体" w:cs="Times New Roman"/>
      <w:sz w:val="21"/>
    </w:rPr>
  </w:style>
  <w:style w:type="character" w:customStyle="1" w:styleId="2599">
    <w:name w:val="表格内字体 Char9"/>
    <w:qFormat/>
    <w:uiPriority w:val="0"/>
    <w:rPr>
      <w:rFonts w:ascii="宋体" w:hAnsi="宋体" w:eastAsia="宋体"/>
      <w:kern w:val="2"/>
      <w:sz w:val="21"/>
      <w:szCs w:val="24"/>
      <w:lang w:val="en-US" w:eastAsia="zh-CN" w:bidi="ar-SA"/>
    </w:rPr>
  </w:style>
  <w:style w:type="character" w:customStyle="1" w:styleId="2600">
    <w:name w:val="正文格式 Char11"/>
    <w:qFormat/>
    <w:uiPriority w:val="0"/>
    <w:rPr>
      <w:rFonts w:ascii="宋体" w:hAnsi="宋体" w:eastAsia="宋体"/>
      <w:kern w:val="2"/>
      <w:sz w:val="24"/>
      <w:szCs w:val="24"/>
      <w:lang w:val="en-US" w:eastAsia="zh-CN" w:bidi="ar-SA"/>
    </w:rPr>
  </w:style>
  <w:style w:type="character" w:customStyle="1" w:styleId="2601">
    <w:name w:val="标题 2 Char6"/>
    <w:qFormat/>
    <w:uiPriority w:val="0"/>
    <w:rPr>
      <w:rFonts w:ascii="黑体" w:hAnsi="Arial" w:eastAsia="黑体"/>
      <w:b/>
      <w:bCs/>
      <w:kern w:val="2"/>
      <w:sz w:val="30"/>
      <w:szCs w:val="30"/>
      <w:lang w:val="en-US" w:eastAsia="zh-CN" w:bidi="ar-SA"/>
    </w:rPr>
  </w:style>
  <w:style w:type="character" w:customStyle="1" w:styleId="2602">
    <w:name w:val="标题 3 Char13"/>
    <w:qFormat/>
    <w:uiPriority w:val="0"/>
    <w:rPr>
      <w:rFonts w:ascii="黑体" w:hAnsi="宋体" w:eastAsia="黑体"/>
      <w:b/>
      <w:bCs/>
      <w:kern w:val="2"/>
      <w:sz w:val="28"/>
      <w:szCs w:val="28"/>
      <w:lang w:val="en-US" w:eastAsia="zh-CN" w:bidi="ar-SA"/>
    </w:rPr>
  </w:style>
  <w:style w:type="paragraph" w:customStyle="1" w:styleId="2603">
    <w:name w:val="正文格式＝8"/>
    <w:basedOn w:val="223"/>
    <w:next w:val="223"/>
    <w:qFormat/>
    <w:uiPriority w:val="0"/>
    <w:rPr>
      <w:rFonts w:hAnsi="宋体" w:cs="Times New Roman"/>
    </w:rPr>
  </w:style>
  <w:style w:type="paragraph" w:customStyle="1" w:styleId="2604">
    <w:name w:val="表题17"/>
    <w:basedOn w:val="23"/>
    <w:qFormat/>
    <w:uiPriority w:val="0"/>
    <w:pPr>
      <w:tabs>
        <w:tab w:val="clear" w:pos="7380"/>
      </w:tabs>
      <w:overflowPunct/>
      <w:spacing w:before="0" w:afterLines="0" w:line="360" w:lineRule="auto"/>
      <w:jc w:val="center"/>
    </w:pPr>
    <w:rPr>
      <w:rFonts w:ascii="黑体" w:cs="Times New Roman"/>
      <w:b/>
      <w:sz w:val="24"/>
      <w:szCs w:val="24"/>
    </w:rPr>
  </w:style>
  <w:style w:type="character" w:customStyle="1" w:styleId="2605">
    <w:name w:val="表题1 Char8"/>
    <w:qFormat/>
    <w:uiPriority w:val="0"/>
    <w:rPr>
      <w:rFonts w:ascii="黑体" w:hAnsi="Arial" w:eastAsia="黑体" w:cs="Arial"/>
      <w:b/>
      <w:kern w:val="2"/>
      <w:sz w:val="24"/>
      <w:szCs w:val="24"/>
      <w:lang w:val="en-US" w:eastAsia="zh-CN" w:bidi="ar-SA"/>
    </w:rPr>
  </w:style>
  <w:style w:type="paragraph" w:customStyle="1" w:styleId="2606">
    <w:name w:val="默认段落字体 Para Char6"/>
    <w:basedOn w:val="1"/>
    <w:next w:val="1"/>
    <w:qFormat/>
    <w:uiPriority w:val="0"/>
    <w:pPr>
      <w:spacing w:line="480" w:lineRule="exact"/>
      <w:ind w:firstLine="200" w:firstLineChars="200"/>
      <w:jc w:val="left"/>
    </w:pPr>
    <w:rPr>
      <w:rFonts w:ascii="宋体" w:hAnsi="宋体" w:eastAsia="汉鼎简书宋" w:cs="宋体"/>
      <w:sz w:val="28"/>
    </w:rPr>
  </w:style>
  <w:style w:type="paragraph" w:customStyle="1" w:styleId="2607">
    <w:name w:val="23-47表名2"/>
    <w:basedOn w:val="1"/>
    <w:qFormat/>
    <w:uiPriority w:val="0"/>
    <w:pPr>
      <w:spacing w:afterLines="50" w:line="440" w:lineRule="exact"/>
      <w:jc w:val="center"/>
    </w:pPr>
    <w:rPr>
      <w:rFonts w:ascii="宋体" w:hAnsi="宋体"/>
      <w:b/>
      <w:sz w:val="24"/>
    </w:rPr>
  </w:style>
  <w:style w:type="paragraph" w:customStyle="1" w:styleId="2608">
    <w:name w:val="xl242"/>
    <w:basedOn w:val="1"/>
    <w:qFormat/>
    <w:uiPriority w:val="0"/>
    <w:pPr>
      <w:widowControl/>
      <w:pBdr>
        <w:bottom w:val="single" w:color="auto" w:sz="4" w:space="0"/>
        <w:right w:val="single" w:color="auto" w:sz="4" w:space="0"/>
      </w:pBdr>
      <w:spacing w:before="100" w:beforeAutospacing="1" w:after="100" w:afterAutospacing="1"/>
      <w:jc w:val="center"/>
    </w:pPr>
    <w:rPr>
      <w:kern w:val="0"/>
      <w:szCs w:val="21"/>
    </w:rPr>
  </w:style>
  <w:style w:type="paragraph" w:customStyle="1" w:styleId="2609">
    <w:name w:val="Char Char Char Char Char Char Char6"/>
    <w:basedOn w:val="1"/>
    <w:qFormat/>
    <w:uiPriority w:val="0"/>
    <w:rPr>
      <w:szCs w:val="20"/>
    </w:rPr>
  </w:style>
  <w:style w:type="paragraph" w:customStyle="1" w:styleId="2610">
    <w:name w:val="燕山正文115"/>
    <w:basedOn w:val="1"/>
    <w:qFormat/>
    <w:uiPriority w:val="0"/>
    <w:pPr>
      <w:tabs>
        <w:tab w:val="left" w:pos="4680"/>
      </w:tabs>
      <w:adjustRightInd w:val="0"/>
      <w:snapToGrid w:val="0"/>
      <w:spacing w:line="360" w:lineRule="auto"/>
      <w:ind w:firstLine="480" w:firstLineChars="200"/>
    </w:pPr>
    <w:rPr>
      <w:rFonts w:ascii="宋体" w:hAnsi="宋体" w:cs="宋体"/>
      <w:bCs/>
      <w:snapToGrid w:val="0"/>
      <w:color w:val="000000"/>
      <w:kern w:val="0"/>
      <w:sz w:val="24"/>
    </w:rPr>
  </w:style>
  <w:style w:type="character" w:customStyle="1" w:styleId="2611">
    <w:name w:val="批注框文本 Char6"/>
    <w:qFormat/>
    <w:uiPriority w:val="0"/>
    <w:rPr>
      <w:rFonts w:eastAsia="宋体"/>
      <w:kern w:val="2"/>
      <w:sz w:val="18"/>
      <w:szCs w:val="18"/>
      <w:lang w:val="en-US" w:eastAsia="zh-CN" w:bidi="ar-SA"/>
    </w:rPr>
  </w:style>
  <w:style w:type="paragraph" w:customStyle="1" w:styleId="2612">
    <w:name w:val="附件5"/>
    <w:basedOn w:val="4"/>
    <w:next w:val="223"/>
    <w:qFormat/>
    <w:uiPriority w:val="0"/>
    <w:pPr>
      <w:spacing w:before="0" w:after="0" w:line="360" w:lineRule="auto"/>
      <w:jc w:val="left"/>
    </w:pPr>
    <w:rPr>
      <w:rFonts w:ascii="黑体" w:hAnsi="宋体" w:eastAsia="黑体"/>
      <w:sz w:val="32"/>
      <w:szCs w:val="32"/>
    </w:rPr>
  </w:style>
  <w:style w:type="character" w:customStyle="1" w:styleId="2613">
    <w:name w:val="正文缩进 Char31"/>
    <w:qFormat/>
    <w:uiPriority w:val="0"/>
    <w:rPr>
      <w:rFonts w:ascii="宋体" w:hAnsi="宋体" w:eastAsia="宋体" w:cs="宋体"/>
      <w:color w:val="000000"/>
      <w:kern w:val="2"/>
      <w:sz w:val="24"/>
      <w:szCs w:val="24"/>
      <w:lang w:val="en-US" w:eastAsia="zh-CN" w:bidi="ar-SA"/>
    </w:rPr>
  </w:style>
  <w:style w:type="paragraph" w:customStyle="1" w:styleId="2614">
    <w:name w:val="标题4314"/>
    <w:basedOn w:val="1"/>
    <w:qFormat/>
    <w:uiPriority w:val="0"/>
    <w:pPr>
      <w:adjustRightInd w:val="0"/>
      <w:snapToGrid w:val="0"/>
      <w:spacing w:line="480" w:lineRule="exact"/>
      <w:jc w:val="center"/>
    </w:pPr>
    <w:rPr>
      <w:rFonts w:ascii="宋体" w:hAnsi="宋体" w:cs="宋体"/>
      <w:sz w:val="24"/>
    </w:rPr>
  </w:style>
  <w:style w:type="paragraph" w:customStyle="1" w:styleId="2615">
    <w:name w:val="表题412"/>
    <w:basedOn w:val="37"/>
    <w:qFormat/>
    <w:uiPriority w:val="0"/>
    <w:pPr>
      <w:tabs>
        <w:tab w:val="left" w:pos="4305"/>
      </w:tabs>
      <w:adjustRightInd w:val="0"/>
      <w:snapToGrid w:val="0"/>
      <w:spacing w:after="0" w:line="360" w:lineRule="auto"/>
      <w:ind w:left="0" w:leftChars="0" w:firstLine="561"/>
    </w:pPr>
    <w:rPr>
      <w:rFonts w:ascii="宋体" w:hAnsi="宋体" w:cs="宋体"/>
      <w:color w:val="000000"/>
      <w:sz w:val="24"/>
    </w:rPr>
  </w:style>
  <w:style w:type="paragraph" w:customStyle="1" w:styleId="2616">
    <w:name w:val="表内5416"/>
    <w:basedOn w:val="1"/>
    <w:qFormat/>
    <w:uiPriority w:val="0"/>
    <w:pPr>
      <w:adjustRightInd w:val="0"/>
      <w:snapToGrid w:val="0"/>
      <w:spacing w:line="300" w:lineRule="auto"/>
      <w:jc w:val="center"/>
    </w:pPr>
    <w:rPr>
      <w:rFonts w:ascii="宋体" w:hAnsi="宋体" w:cs="宋体"/>
      <w:szCs w:val="20"/>
    </w:rPr>
  </w:style>
  <w:style w:type="paragraph" w:customStyle="1" w:styleId="2617">
    <w:name w:val="表内文字小215"/>
    <w:basedOn w:val="1"/>
    <w:qFormat/>
    <w:uiPriority w:val="0"/>
    <w:pPr>
      <w:adjustRightInd w:val="0"/>
      <w:snapToGrid w:val="0"/>
      <w:jc w:val="center"/>
    </w:pPr>
    <w:rPr>
      <w:rFonts w:ascii="宋体" w:hAnsi="Times"/>
      <w:bCs/>
      <w:color w:val="000000"/>
      <w:szCs w:val="20"/>
    </w:rPr>
  </w:style>
  <w:style w:type="paragraph" w:customStyle="1" w:styleId="2618">
    <w:name w:val="表题315"/>
    <w:basedOn w:val="37"/>
    <w:qFormat/>
    <w:uiPriority w:val="0"/>
    <w:pPr>
      <w:tabs>
        <w:tab w:val="left" w:pos="4305"/>
      </w:tabs>
      <w:adjustRightInd w:val="0"/>
      <w:snapToGrid w:val="0"/>
      <w:spacing w:after="0" w:line="360" w:lineRule="auto"/>
      <w:ind w:left="0" w:leftChars="0" w:firstLine="561"/>
    </w:pPr>
    <w:rPr>
      <w:rFonts w:ascii="宋体" w:hAnsi="宋体" w:cs="宋体"/>
      <w:color w:val="000000"/>
      <w:sz w:val="24"/>
    </w:rPr>
  </w:style>
  <w:style w:type="paragraph" w:customStyle="1" w:styleId="2619">
    <w:name w:val="Char Char Char Char Char Char Char7"/>
    <w:basedOn w:val="1"/>
    <w:qFormat/>
    <w:uiPriority w:val="0"/>
  </w:style>
  <w:style w:type="character" w:customStyle="1" w:styleId="2620">
    <w:name w:val="正文文本缩进 2 Char2"/>
    <w:qFormat/>
    <w:uiPriority w:val="0"/>
    <w:rPr>
      <w:rFonts w:eastAsia="宋体"/>
      <w:kern w:val="2"/>
      <w:sz w:val="21"/>
      <w:szCs w:val="24"/>
      <w:lang w:val="en-US" w:eastAsia="zh-CN" w:bidi="ar-SA"/>
    </w:rPr>
  </w:style>
  <w:style w:type="paragraph" w:customStyle="1" w:styleId="2621">
    <w:name w:val="正文23"/>
    <w:qFormat/>
    <w:uiPriority w:val="0"/>
    <w:pPr>
      <w:adjustRightInd w:val="0"/>
      <w:snapToGrid w:val="0"/>
      <w:spacing w:line="480" w:lineRule="atLeast"/>
      <w:jc w:val="center"/>
    </w:pPr>
    <w:rPr>
      <w:rFonts w:ascii="宋体" w:hAnsi="Times New Roman" w:eastAsia="宋体" w:cs="Times New Roman"/>
      <w:snapToGrid w:val="0"/>
      <w:spacing w:val="6"/>
      <w:sz w:val="21"/>
      <w:lang w:val="en-US" w:eastAsia="zh-CN" w:bidi="ar-SA"/>
    </w:rPr>
  </w:style>
  <w:style w:type="paragraph" w:customStyle="1" w:styleId="2622">
    <w:name w:val="表文字55"/>
    <w:basedOn w:val="1"/>
    <w:qFormat/>
    <w:uiPriority w:val="0"/>
    <w:pPr>
      <w:adjustRightInd w:val="0"/>
      <w:jc w:val="left"/>
      <w:textAlignment w:val="baseline"/>
    </w:pPr>
    <w:rPr>
      <w:rFonts w:ascii="宋体"/>
      <w:kern w:val="0"/>
      <w:szCs w:val="20"/>
    </w:rPr>
  </w:style>
  <w:style w:type="paragraph" w:customStyle="1" w:styleId="2623">
    <w:name w:val="表内文字小315"/>
    <w:basedOn w:val="1"/>
    <w:qFormat/>
    <w:uiPriority w:val="0"/>
    <w:pPr>
      <w:adjustRightInd w:val="0"/>
      <w:snapToGrid w:val="0"/>
      <w:jc w:val="center"/>
    </w:pPr>
    <w:rPr>
      <w:rFonts w:ascii="宋体" w:hAnsi="Times" w:cs="宋体"/>
      <w:bCs/>
      <w:color w:val="003366"/>
      <w:szCs w:val="20"/>
    </w:rPr>
  </w:style>
  <w:style w:type="paragraph" w:customStyle="1" w:styleId="2624">
    <w:name w:val="表内宋5113"/>
    <w:basedOn w:val="81"/>
    <w:qFormat/>
    <w:uiPriority w:val="0"/>
    <w:pPr>
      <w:widowControl/>
      <w:adjustRightInd w:val="0"/>
      <w:snapToGrid w:val="0"/>
    </w:pPr>
    <w:rPr>
      <w:rFonts w:ascii="宋体" w:hAnsi="宋体" w:cs="宋体"/>
      <w:color w:val="000000"/>
      <w:kern w:val="0"/>
      <w:sz w:val="21"/>
      <w:lang w:val="zh-CN"/>
    </w:rPr>
  </w:style>
  <w:style w:type="character" w:customStyle="1" w:styleId="2625">
    <w:name w:val="正文首行缩进 Char2"/>
    <w:qFormat/>
    <w:uiPriority w:val="0"/>
    <w:rPr>
      <w:rFonts w:eastAsia="宋体"/>
      <w:kern w:val="2"/>
      <w:sz w:val="24"/>
      <w:szCs w:val="24"/>
      <w:lang w:val="en-US" w:eastAsia="zh-CN" w:bidi="ar-SA"/>
    </w:rPr>
  </w:style>
  <w:style w:type="paragraph" w:customStyle="1" w:styleId="2626">
    <w:name w:val="文本框3"/>
    <w:basedOn w:val="1"/>
    <w:qFormat/>
    <w:uiPriority w:val="0"/>
    <w:pPr>
      <w:adjustRightInd w:val="0"/>
      <w:snapToGrid w:val="0"/>
      <w:spacing w:after="6"/>
      <w:jc w:val="center"/>
    </w:pPr>
    <w:rPr>
      <w:rFonts w:eastAsia="仿宋_GB2312"/>
    </w:rPr>
  </w:style>
  <w:style w:type="paragraph" w:customStyle="1" w:styleId="2627">
    <w:name w:val="正文.3"/>
    <w:qFormat/>
    <w:uiPriority w:val="0"/>
    <w:pPr>
      <w:widowControl w:val="0"/>
      <w:autoSpaceDE w:val="0"/>
      <w:autoSpaceDN w:val="0"/>
      <w:adjustRightInd w:val="0"/>
      <w:jc w:val="both"/>
    </w:pPr>
    <w:rPr>
      <w:rFonts w:ascii="Times New Roman;Symbol;Arial;婼" w:hAnsi="Times New Roman" w:eastAsia="Times New Roman;Symbol;Arial;婼" w:cs="Times New Roman"/>
      <w:sz w:val="21"/>
      <w:szCs w:val="21"/>
      <w:lang w:val="en-US" w:eastAsia="zh-CN" w:bidi="ar-SA"/>
    </w:rPr>
  </w:style>
  <w:style w:type="paragraph" w:customStyle="1" w:styleId="2628">
    <w:name w:val="表5"/>
    <w:basedOn w:val="1"/>
    <w:qFormat/>
    <w:uiPriority w:val="0"/>
    <w:pPr>
      <w:adjustRightInd w:val="0"/>
      <w:snapToGrid w:val="0"/>
      <w:jc w:val="center"/>
    </w:pPr>
    <w:rPr>
      <w:rFonts w:eastAsia="仿宋_GB2312"/>
      <w:sz w:val="24"/>
    </w:rPr>
  </w:style>
  <w:style w:type="paragraph" w:customStyle="1" w:styleId="2629">
    <w:name w:val="默认段落字体 Para Char Char Char Char7"/>
    <w:basedOn w:val="1"/>
    <w:qFormat/>
    <w:uiPriority w:val="0"/>
  </w:style>
  <w:style w:type="paragraph" w:customStyle="1" w:styleId="2630">
    <w:name w:val="黑体三号6"/>
    <w:basedOn w:val="223"/>
    <w:qFormat/>
    <w:uiPriority w:val="0"/>
    <w:pPr>
      <w:jc w:val="center"/>
    </w:pPr>
    <w:rPr>
      <w:rFonts w:ascii="黑体" w:hAnsi="宋体" w:eastAsia="黑体"/>
      <w:b/>
      <w:bCs/>
      <w:sz w:val="32"/>
      <w:szCs w:val="20"/>
    </w:rPr>
  </w:style>
  <w:style w:type="paragraph" w:customStyle="1" w:styleId="2631">
    <w:name w:val="Char Char2 Char Char Char Char5"/>
    <w:basedOn w:val="1"/>
    <w:qFormat/>
    <w:uiPriority w:val="0"/>
  </w:style>
  <w:style w:type="character" w:customStyle="1" w:styleId="2632">
    <w:name w:val="正文文本缩进 3 Char4"/>
    <w:qFormat/>
    <w:uiPriority w:val="0"/>
    <w:rPr>
      <w:rFonts w:eastAsia="宋体"/>
      <w:kern w:val="2"/>
      <w:sz w:val="16"/>
      <w:szCs w:val="16"/>
      <w:lang w:val="en-US" w:eastAsia="zh-CN" w:bidi="ar-SA"/>
    </w:rPr>
  </w:style>
  <w:style w:type="paragraph" w:customStyle="1" w:styleId="2633">
    <w:name w:val="燕山正文6"/>
    <w:basedOn w:val="1"/>
    <w:qFormat/>
    <w:uiPriority w:val="0"/>
    <w:pPr>
      <w:tabs>
        <w:tab w:val="left" w:pos="4680"/>
      </w:tabs>
      <w:adjustRightInd w:val="0"/>
      <w:snapToGrid w:val="0"/>
      <w:spacing w:line="480" w:lineRule="exact"/>
    </w:pPr>
    <w:rPr>
      <w:rFonts w:ascii="宋体" w:cs="宋体"/>
      <w:sz w:val="24"/>
    </w:rPr>
  </w:style>
  <w:style w:type="character" w:customStyle="1" w:styleId="2634">
    <w:name w:val="燕山正文 Char16"/>
    <w:qFormat/>
    <w:uiPriority w:val="0"/>
    <w:rPr>
      <w:rFonts w:ascii="宋体" w:eastAsia="宋体" w:cs="宋体"/>
      <w:kern w:val="2"/>
      <w:sz w:val="24"/>
      <w:szCs w:val="24"/>
      <w:lang w:val="en-US" w:eastAsia="zh-CN" w:bidi="ar-SA"/>
    </w:rPr>
  </w:style>
  <w:style w:type="paragraph" w:customStyle="1" w:styleId="2635">
    <w:name w:val="正文修改6"/>
    <w:basedOn w:val="2056"/>
    <w:qFormat/>
    <w:uiPriority w:val="0"/>
    <w:rPr>
      <w:rFonts w:hAnsi="宋体"/>
      <w:color w:val="000000"/>
    </w:rPr>
  </w:style>
  <w:style w:type="character" w:customStyle="1" w:styleId="2636">
    <w:name w:val="正文修改 Char16"/>
    <w:qFormat/>
    <w:uiPriority w:val="0"/>
    <w:rPr>
      <w:rFonts w:ascii="宋体" w:hAnsi="宋体" w:eastAsia="宋体" w:cs="宋体"/>
      <w:color w:val="000000"/>
      <w:sz w:val="24"/>
      <w:szCs w:val="24"/>
    </w:rPr>
  </w:style>
  <w:style w:type="character" w:customStyle="1" w:styleId="2637">
    <w:name w:val="题注 Char7"/>
    <w:qFormat/>
    <w:uiPriority w:val="0"/>
    <w:rPr>
      <w:rFonts w:ascii="黑体" w:hAnsi="Arial" w:eastAsia="黑体" w:cs="Arial"/>
      <w:b/>
      <w:kern w:val="2"/>
      <w:sz w:val="24"/>
      <w:szCs w:val="24"/>
      <w:lang w:val="en-US" w:eastAsia="zh-CN" w:bidi="ar-SA"/>
    </w:rPr>
  </w:style>
  <w:style w:type="paragraph" w:customStyle="1" w:styleId="2638">
    <w:name w:val="首行缩进:  0.99 厘米 + 首行缩进:  2 字符2"/>
    <w:basedOn w:val="1"/>
    <w:qFormat/>
    <w:uiPriority w:val="0"/>
    <w:pPr>
      <w:widowControl/>
      <w:topLinePunct/>
      <w:spacing w:line="480" w:lineRule="exact"/>
      <w:ind w:firstLine="420" w:firstLineChars="200"/>
      <w:jc w:val="center"/>
    </w:pPr>
    <w:rPr>
      <w:rFonts w:ascii="宋体" w:cs="宋体"/>
      <w:snapToGrid w:val="0"/>
      <w:color w:val="FF0000"/>
      <w:kern w:val="0"/>
      <w:szCs w:val="21"/>
    </w:rPr>
  </w:style>
  <w:style w:type="character" w:customStyle="1" w:styleId="2639">
    <w:name w:val="正文文本 3 Char2"/>
    <w:qFormat/>
    <w:uiPriority w:val="0"/>
    <w:rPr>
      <w:rFonts w:eastAsia="宋体"/>
      <w:kern w:val="2"/>
      <w:sz w:val="16"/>
      <w:szCs w:val="16"/>
      <w:lang w:val="en-US" w:eastAsia="zh-CN" w:bidi="ar-SA"/>
    </w:rPr>
  </w:style>
  <w:style w:type="paragraph" w:customStyle="1" w:styleId="2640">
    <w:name w:val="图表名称2"/>
    <w:basedOn w:val="86"/>
    <w:qFormat/>
    <w:uiPriority w:val="0"/>
    <w:pPr>
      <w:widowControl/>
      <w:adjustRightInd w:val="0"/>
      <w:snapToGrid w:val="0"/>
      <w:spacing w:after="0" w:line="480" w:lineRule="exact"/>
      <w:ind w:firstLine="0" w:firstLineChars="0"/>
      <w:jc w:val="center"/>
    </w:pPr>
    <w:rPr>
      <w:rFonts w:ascii="宋体" w:hAnsi="宋体" w:eastAsia="宋体"/>
      <w:bCs/>
      <w:sz w:val="24"/>
      <w:lang w:val="zh-CN"/>
    </w:rPr>
  </w:style>
  <w:style w:type="paragraph" w:customStyle="1" w:styleId="2641">
    <w:name w:val="表内文字边2"/>
    <w:basedOn w:val="1"/>
    <w:qFormat/>
    <w:uiPriority w:val="0"/>
    <w:pPr>
      <w:widowControl/>
      <w:adjustRightInd w:val="0"/>
      <w:snapToGrid w:val="0"/>
      <w:spacing w:line="240" w:lineRule="atLeast"/>
      <w:ind w:left="-21" w:leftChars="-10" w:right="-42" w:rightChars="-20"/>
    </w:pPr>
    <w:rPr>
      <w:rFonts w:ascii="宋体"/>
      <w:kern w:val="0"/>
      <w:szCs w:val="21"/>
    </w:rPr>
  </w:style>
  <w:style w:type="paragraph" w:customStyle="1" w:styleId="2642">
    <w:name w:val="正文缩2"/>
    <w:basedOn w:val="1"/>
    <w:qFormat/>
    <w:uiPriority w:val="0"/>
    <w:pPr>
      <w:adjustRightInd w:val="0"/>
      <w:snapToGrid w:val="0"/>
      <w:spacing w:line="480" w:lineRule="atLeast"/>
      <w:ind w:firstLine="567"/>
      <w:textAlignment w:val="baseline"/>
    </w:pPr>
    <w:rPr>
      <w:rFonts w:ascii="宋体"/>
      <w:color w:val="000080"/>
      <w:spacing w:val="6"/>
      <w:kern w:val="0"/>
      <w:sz w:val="28"/>
      <w:szCs w:val="20"/>
    </w:rPr>
  </w:style>
  <w:style w:type="paragraph" w:customStyle="1" w:styleId="2643">
    <w:name w:val="样式22"/>
    <w:basedOn w:val="1"/>
    <w:qFormat/>
    <w:uiPriority w:val="0"/>
    <w:pPr>
      <w:adjustRightInd w:val="0"/>
      <w:spacing w:line="360" w:lineRule="auto"/>
      <w:jc w:val="center"/>
      <w:textAlignment w:val="baseline"/>
      <w:outlineLvl w:val="0"/>
    </w:pPr>
    <w:rPr>
      <w:kern w:val="0"/>
      <w:szCs w:val="20"/>
    </w:rPr>
  </w:style>
  <w:style w:type="paragraph" w:customStyle="1" w:styleId="2644">
    <w:name w:val="默认段落字体 Para Char Char Char Char Char2"/>
    <w:basedOn w:val="1"/>
    <w:qFormat/>
    <w:uiPriority w:val="0"/>
  </w:style>
  <w:style w:type="paragraph" w:customStyle="1" w:styleId="2645">
    <w:name w:val="表中文字7"/>
    <w:basedOn w:val="1"/>
    <w:qFormat/>
    <w:uiPriority w:val="0"/>
    <w:pPr>
      <w:widowControl/>
      <w:spacing w:line="240" w:lineRule="atLeast"/>
      <w:ind w:left="-24" w:leftChars="-10" w:right="-48" w:rightChars="-20"/>
      <w:jc w:val="center"/>
    </w:pPr>
    <w:rPr>
      <w:rFonts w:ascii="宋体"/>
      <w:kern w:val="0"/>
      <w:szCs w:val="21"/>
    </w:rPr>
  </w:style>
  <w:style w:type="paragraph" w:customStyle="1" w:styleId="2646">
    <w:name w:val="表内宋5中4"/>
    <w:basedOn w:val="1"/>
    <w:qFormat/>
    <w:uiPriority w:val="0"/>
    <w:pPr>
      <w:adjustRightInd w:val="0"/>
      <w:snapToGrid w:val="0"/>
      <w:textAlignment w:val="baseline"/>
    </w:pPr>
    <w:rPr>
      <w:color w:val="000000"/>
      <w:kern w:val="0"/>
      <w:szCs w:val="20"/>
    </w:rPr>
  </w:style>
  <w:style w:type="character" w:customStyle="1" w:styleId="2647">
    <w:name w:val="表中文字 Char26"/>
    <w:qFormat/>
    <w:uiPriority w:val="0"/>
    <w:rPr>
      <w:rFonts w:ascii="宋体" w:eastAsia="宋体"/>
      <w:kern w:val="2"/>
      <w:sz w:val="21"/>
      <w:szCs w:val="21"/>
      <w:lang w:val="en-US" w:eastAsia="zh-CN" w:bidi="ar-SA"/>
    </w:rPr>
  </w:style>
  <w:style w:type="paragraph" w:customStyle="1" w:styleId="2648">
    <w:name w:val="样式 标题 3 + 段前: 12 磅2"/>
    <w:basedOn w:val="6"/>
    <w:qFormat/>
    <w:uiPriority w:val="0"/>
    <w:pPr>
      <w:keepNext w:val="0"/>
      <w:keepLines w:val="0"/>
      <w:widowControl/>
      <w:autoSpaceDE w:val="0"/>
      <w:autoSpaceDN w:val="0"/>
      <w:adjustRightInd w:val="0"/>
      <w:snapToGrid w:val="0"/>
      <w:spacing w:before="0" w:after="0" w:line="360" w:lineRule="auto"/>
    </w:pPr>
    <w:rPr>
      <w:rFonts w:ascii="黑体" w:hAnsi="宋体" w:eastAsia="黑体" w:cs="宋体"/>
      <w:b w:val="0"/>
      <w:bCs w:val="0"/>
      <w:color w:val="000000"/>
      <w:kern w:val="21"/>
      <w:sz w:val="24"/>
      <w:szCs w:val="20"/>
    </w:rPr>
  </w:style>
  <w:style w:type="paragraph" w:customStyle="1" w:styleId="2649">
    <w:name w:val="表内文字小4"/>
    <w:basedOn w:val="1"/>
    <w:qFormat/>
    <w:uiPriority w:val="0"/>
    <w:pPr>
      <w:adjustRightInd w:val="0"/>
      <w:snapToGrid w:val="0"/>
      <w:jc w:val="center"/>
    </w:pPr>
    <w:rPr>
      <w:rFonts w:ascii="宋体" w:hAnsi="Times"/>
      <w:szCs w:val="20"/>
    </w:rPr>
  </w:style>
  <w:style w:type="paragraph" w:customStyle="1" w:styleId="2650">
    <w:name w:val="表内54"/>
    <w:basedOn w:val="1"/>
    <w:qFormat/>
    <w:uiPriority w:val="0"/>
    <w:pPr>
      <w:adjustRightInd w:val="0"/>
      <w:snapToGrid w:val="0"/>
      <w:spacing w:line="300" w:lineRule="auto"/>
      <w:jc w:val="left"/>
    </w:pPr>
    <w:rPr>
      <w:rFonts w:ascii="宋体"/>
      <w:sz w:val="18"/>
      <w:szCs w:val="20"/>
    </w:rPr>
  </w:style>
  <w:style w:type="paragraph" w:customStyle="1" w:styleId="2651">
    <w:name w:val="表内宋52"/>
    <w:basedOn w:val="2134"/>
    <w:qFormat/>
    <w:uiPriority w:val="0"/>
    <w:pPr>
      <w:widowControl/>
      <w:autoSpaceDE w:val="0"/>
      <w:autoSpaceDN w:val="0"/>
      <w:jc w:val="left"/>
      <w:textAlignment w:val="auto"/>
    </w:pPr>
    <w:rPr>
      <w:color w:val="auto"/>
      <w:w w:val="90"/>
    </w:rPr>
  </w:style>
  <w:style w:type="paragraph" w:customStyle="1" w:styleId="2652">
    <w:name w:val="Char Char Char Char1 Char Char Char3"/>
    <w:basedOn w:val="1"/>
    <w:qFormat/>
    <w:uiPriority w:val="0"/>
    <w:pPr>
      <w:widowControl/>
      <w:spacing w:after="160" w:line="240" w:lineRule="exact"/>
      <w:jc w:val="left"/>
    </w:pPr>
    <w:rPr>
      <w:rFonts w:ascii="Verdana" w:hAnsi="Verdana"/>
      <w:kern w:val="0"/>
      <w:sz w:val="20"/>
      <w:szCs w:val="20"/>
      <w:lang w:eastAsia="en-US"/>
    </w:rPr>
  </w:style>
  <w:style w:type="paragraph" w:customStyle="1" w:styleId="2653">
    <w:name w:val="正文格式13"/>
    <w:basedOn w:val="1"/>
    <w:qFormat/>
    <w:uiPriority w:val="0"/>
    <w:pPr>
      <w:spacing w:line="360" w:lineRule="auto"/>
      <w:ind w:firstLine="482"/>
    </w:pPr>
    <w:rPr>
      <w:rFonts w:ascii="宋体" w:hAnsi="宋体"/>
      <w:sz w:val="24"/>
    </w:rPr>
  </w:style>
  <w:style w:type="paragraph" w:customStyle="1" w:styleId="2654">
    <w:name w:val="图题12"/>
    <w:basedOn w:val="223"/>
    <w:next w:val="223"/>
    <w:qFormat/>
    <w:uiPriority w:val="0"/>
    <w:pPr>
      <w:ind w:firstLine="0"/>
      <w:jc w:val="center"/>
    </w:pPr>
    <w:rPr>
      <w:rFonts w:ascii="黑体" w:hAnsi="宋体" w:eastAsia="黑体"/>
      <w:b/>
      <w:bCs/>
    </w:rPr>
  </w:style>
  <w:style w:type="paragraph" w:customStyle="1" w:styleId="2655">
    <w:name w:val="表格内字体13"/>
    <w:basedOn w:val="223"/>
    <w:next w:val="223"/>
    <w:qFormat/>
    <w:uiPriority w:val="0"/>
    <w:pPr>
      <w:spacing w:line="240" w:lineRule="auto"/>
      <w:ind w:firstLine="0"/>
      <w:jc w:val="center"/>
    </w:pPr>
    <w:rPr>
      <w:rFonts w:hAnsi="宋体" w:cs="Times New Roman"/>
      <w:sz w:val="21"/>
    </w:rPr>
  </w:style>
  <w:style w:type="character" w:customStyle="1" w:styleId="2656">
    <w:name w:val="Char Char1131"/>
    <w:qFormat/>
    <w:uiPriority w:val="0"/>
    <w:rPr>
      <w:rFonts w:ascii="黑体" w:hAnsi="Arial" w:eastAsia="黑体"/>
      <w:bCs/>
      <w:kern w:val="2"/>
      <w:sz w:val="30"/>
      <w:szCs w:val="30"/>
      <w:lang w:val="en-US" w:eastAsia="zh-CN" w:bidi="ar-SA"/>
    </w:rPr>
  </w:style>
  <w:style w:type="paragraph" w:customStyle="1" w:styleId="2657">
    <w:name w:val="正文格式＝12"/>
    <w:basedOn w:val="223"/>
    <w:next w:val="223"/>
    <w:qFormat/>
    <w:uiPriority w:val="0"/>
    <w:rPr>
      <w:rFonts w:hAnsi="宋体" w:cs="Times New Roman"/>
    </w:rPr>
  </w:style>
  <w:style w:type="paragraph" w:customStyle="1" w:styleId="2658">
    <w:name w:val="正文格式23"/>
    <w:basedOn w:val="1"/>
    <w:qFormat/>
    <w:uiPriority w:val="0"/>
    <w:pPr>
      <w:spacing w:line="360" w:lineRule="auto"/>
      <w:ind w:firstLine="482"/>
    </w:pPr>
    <w:rPr>
      <w:rFonts w:ascii="宋体" w:hAnsi="宋体"/>
      <w:sz w:val="24"/>
    </w:rPr>
  </w:style>
  <w:style w:type="paragraph" w:customStyle="1" w:styleId="2659">
    <w:name w:val="Char1111"/>
    <w:basedOn w:val="1"/>
    <w:qFormat/>
    <w:uiPriority w:val="0"/>
    <w:pPr>
      <w:adjustRightInd w:val="0"/>
      <w:snapToGrid w:val="0"/>
      <w:spacing w:beforeLines="50" w:line="360" w:lineRule="auto"/>
    </w:pPr>
    <w:rPr>
      <w:rFonts w:ascii="黑体" w:eastAsia="黑体"/>
      <w:sz w:val="32"/>
      <w:szCs w:val="32"/>
    </w:rPr>
  </w:style>
  <w:style w:type="character" w:customStyle="1" w:styleId="2660">
    <w:name w:val="题注 Char12"/>
    <w:qFormat/>
    <w:uiPriority w:val="0"/>
    <w:rPr>
      <w:rFonts w:ascii="黑体" w:hAnsi="Arial" w:eastAsia="黑体" w:cs="Arial"/>
      <w:b/>
      <w:kern w:val="2"/>
      <w:sz w:val="24"/>
      <w:szCs w:val="24"/>
      <w:lang w:val="en-US" w:eastAsia="zh-CN" w:bidi="ar-SA"/>
    </w:rPr>
  </w:style>
  <w:style w:type="paragraph" w:customStyle="1" w:styleId="2661">
    <w:name w:val="图题23"/>
    <w:basedOn w:val="223"/>
    <w:next w:val="223"/>
    <w:qFormat/>
    <w:uiPriority w:val="0"/>
    <w:pPr>
      <w:ind w:firstLine="0"/>
      <w:jc w:val="center"/>
    </w:pPr>
    <w:rPr>
      <w:rFonts w:ascii="黑体" w:hAnsi="宋体" w:eastAsia="黑体"/>
      <w:b/>
      <w:bCs/>
    </w:rPr>
  </w:style>
  <w:style w:type="paragraph" w:customStyle="1" w:styleId="2662">
    <w:name w:val="表格内字体23"/>
    <w:basedOn w:val="223"/>
    <w:next w:val="223"/>
    <w:qFormat/>
    <w:uiPriority w:val="0"/>
    <w:pPr>
      <w:spacing w:line="240" w:lineRule="auto"/>
      <w:ind w:firstLine="0"/>
      <w:jc w:val="center"/>
    </w:pPr>
    <w:rPr>
      <w:rFonts w:hAnsi="宋体" w:cs="Times New Roman"/>
      <w:sz w:val="21"/>
    </w:rPr>
  </w:style>
  <w:style w:type="paragraph" w:customStyle="1" w:styleId="2663">
    <w:name w:val="表内54112"/>
    <w:basedOn w:val="1"/>
    <w:qFormat/>
    <w:uiPriority w:val="0"/>
    <w:pPr>
      <w:adjustRightInd w:val="0"/>
      <w:snapToGrid w:val="0"/>
      <w:spacing w:line="300" w:lineRule="auto"/>
      <w:jc w:val="center"/>
    </w:pPr>
    <w:rPr>
      <w:rFonts w:ascii="宋体" w:hAnsi="宋体" w:cs="宋体"/>
      <w:szCs w:val="20"/>
    </w:rPr>
  </w:style>
  <w:style w:type="paragraph" w:customStyle="1" w:styleId="2664">
    <w:name w:val="表内文字小2112"/>
    <w:basedOn w:val="1"/>
    <w:qFormat/>
    <w:uiPriority w:val="0"/>
    <w:pPr>
      <w:adjustRightInd w:val="0"/>
      <w:snapToGrid w:val="0"/>
      <w:jc w:val="center"/>
    </w:pPr>
    <w:rPr>
      <w:rFonts w:ascii="宋体" w:hAnsi="Times"/>
      <w:bCs/>
      <w:color w:val="000000"/>
      <w:szCs w:val="20"/>
    </w:rPr>
  </w:style>
  <w:style w:type="paragraph" w:customStyle="1" w:styleId="2665">
    <w:name w:val="表题3112"/>
    <w:basedOn w:val="37"/>
    <w:qFormat/>
    <w:uiPriority w:val="0"/>
    <w:pPr>
      <w:tabs>
        <w:tab w:val="left" w:pos="4305"/>
      </w:tabs>
      <w:adjustRightInd w:val="0"/>
      <w:snapToGrid w:val="0"/>
      <w:spacing w:after="0"/>
      <w:ind w:left="0" w:leftChars="0"/>
      <w:jc w:val="center"/>
    </w:pPr>
    <w:rPr>
      <w:rFonts w:ascii="宋体" w:hAnsi="宋体"/>
      <w:sz w:val="24"/>
      <w:szCs w:val="20"/>
    </w:rPr>
  </w:style>
  <w:style w:type="paragraph" w:customStyle="1" w:styleId="2666">
    <w:name w:val="Char Char Char Char Char Char Char141"/>
    <w:basedOn w:val="1"/>
    <w:qFormat/>
    <w:uiPriority w:val="0"/>
  </w:style>
  <w:style w:type="paragraph" w:customStyle="1" w:styleId="2667">
    <w:name w:val="标题43112"/>
    <w:basedOn w:val="1"/>
    <w:qFormat/>
    <w:uiPriority w:val="0"/>
    <w:pPr>
      <w:adjustRightInd w:val="0"/>
      <w:snapToGrid w:val="0"/>
      <w:spacing w:line="480" w:lineRule="exact"/>
      <w:jc w:val="center"/>
    </w:pPr>
    <w:rPr>
      <w:rFonts w:ascii="宋体" w:hAnsi="宋体" w:cs="宋体"/>
      <w:sz w:val="24"/>
    </w:rPr>
  </w:style>
  <w:style w:type="paragraph" w:customStyle="1" w:styleId="2668">
    <w:name w:val="燕山正文1112"/>
    <w:basedOn w:val="1"/>
    <w:qFormat/>
    <w:uiPriority w:val="0"/>
    <w:pPr>
      <w:tabs>
        <w:tab w:val="left" w:pos="4680"/>
      </w:tabs>
      <w:adjustRightInd w:val="0"/>
      <w:snapToGrid w:val="0"/>
      <w:spacing w:line="480" w:lineRule="exact"/>
    </w:pPr>
    <w:rPr>
      <w:rFonts w:ascii="宋体" w:hAnsi="宋体" w:cs="宋体"/>
      <w:bCs/>
      <w:color w:val="000000"/>
      <w:sz w:val="24"/>
    </w:rPr>
  </w:style>
  <w:style w:type="paragraph" w:customStyle="1" w:styleId="2669">
    <w:name w:val="默认段落字体 Para Char Char Char Char12"/>
    <w:basedOn w:val="1"/>
    <w:qFormat/>
    <w:uiPriority w:val="0"/>
  </w:style>
  <w:style w:type="paragraph" w:customStyle="1" w:styleId="2670">
    <w:name w:val="附件12"/>
    <w:basedOn w:val="4"/>
    <w:next w:val="223"/>
    <w:qFormat/>
    <w:uiPriority w:val="0"/>
    <w:pPr>
      <w:spacing w:before="0" w:after="0" w:line="360" w:lineRule="auto"/>
      <w:jc w:val="left"/>
    </w:pPr>
    <w:rPr>
      <w:rFonts w:ascii="黑体" w:hAnsi="宋体" w:eastAsia="黑体"/>
      <w:b w:val="0"/>
      <w:sz w:val="32"/>
      <w:szCs w:val="32"/>
    </w:rPr>
  </w:style>
  <w:style w:type="paragraph" w:customStyle="1" w:styleId="2671">
    <w:name w:val="黑体三号12"/>
    <w:basedOn w:val="223"/>
    <w:qFormat/>
    <w:uiPriority w:val="0"/>
    <w:pPr>
      <w:jc w:val="center"/>
    </w:pPr>
    <w:rPr>
      <w:rFonts w:ascii="黑体" w:hAnsi="宋体" w:eastAsia="黑体"/>
      <w:b/>
      <w:bCs/>
      <w:sz w:val="32"/>
      <w:szCs w:val="20"/>
    </w:rPr>
  </w:style>
  <w:style w:type="paragraph" w:customStyle="1" w:styleId="2672">
    <w:name w:val="表12"/>
    <w:basedOn w:val="1"/>
    <w:qFormat/>
    <w:uiPriority w:val="0"/>
    <w:pPr>
      <w:adjustRightInd w:val="0"/>
      <w:snapToGrid w:val="0"/>
      <w:jc w:val="center"/>
    </w:pPr>
    <w:rPr>
      <w:rFonts w:eastAsia="仿宋_GB2312"/>
      <w:sz w:val="24"/>
    </w:rPr>
  </w:style>
  <w:style w:type="character" w:customStyle="1" w:styleId="2673">
    <w:name w:val="Char Char631"/>
    <w:qFormat/>
    <w:uiPriority w:val="0"/>
    <w:rPr>
      <w:rFonts w:ascii="黑体" w:eastAsia="黑体"/>
      <w:b/>
      <w:bCs/>
      <w:kern w:val="2"/>
      <w:sz w:val="28"/>
      <w:szCs w:val="28"/>
      <w:lang w:val="en-US" w:eastAsia="zh-CN" w:bidi="ar-SA"/>
    </w:rPr>
  </w:style>
  <w:style w:type="paragraph" w:customStyle="1" w:styleId="2674">
    <w:name w:val="表题113"/>
    <w:basedOn w:val="23"/>
    <w:qFormat/>
    <w:uiPriority w:val="0"/>
    <w:pPr>
      <w:tabs>
        <w:tab w:val="clear" w:pos="7380"/>
      </w:tabs>
      <w:overflowPunct/>
      <w:spacing w:before="0" w:afterLines="0" w:line="360" w:lineRule="auto"/>
      <w:jc w:val="center"/>
    </w:pPr>
    <w:rPr>
      <w:rFonts w:ascii="黑体" w:cs="Times New Roman"/>
      <w:sz w:val="24"/>
      <w:szCs w:val="24"/>
    </w:rPr>
  </w:style>
  <w:style w:type="paragraph" w:customStyle="1" w:styleId="2675">
    <w:name w:val="燕山正文14"/>
    <w:basedOn w:val="1"/>
    <w:qFormat/>
    <w:uiPriority w:val="0"/>
    <w:pPr>
      <w:tabs>
        <w:tab w:val="left" w:pos="4680"/>
      </w:tabs>
      <w:adjustRightInd w:val="0"/>
      <w:snapToGrid w:val="0"/>
      <w:spacing w:line="480" w:lineRule="exact"/>
    </w:pPr>
    <w:rPr>
      <w:rFonts w:ascii="宋体" w:cs="宋体"/>
      <w:sz w:val="24"/>
    </w:rPr>
  </w:style>
  <w:style w:type="paragraph" w:customStyle="1" w:styleId="2676">
    <w:name w:val="正文修改12"/>
    <w:basedOn w:val="2056"/>
    <w:qFormat/>
    <w:uiPriority w:val="0"/>
    <w:rPr>
      <w:rFonts w:hAnsi="宋体"/>
      <w:color w:val="000000"/>
    </w:rPr>
  </w:style>
  <w:style w:type="character" w:customStyle="1" w:styleId="2677">
    <w:name w:val="正文修改 Char112"/>
    <w:qFormat/>
    <w:uiPriority w:val="0"/>
    <w:rPr>
      <w:rFonts w:ascii="宋体" w:hAnsi="宋体" w:eastAsia="宋体" w:cs="宋体"/>
      <w:color w:val="000000"/>
      <w:sz w:val="24"/>
      <w:szCs w:val="24"/>
    </w:rPr>
  </w:style>
  <w:style w:type="paragraph" w:customStyle="1" w:styleId="2678">
    <w:name w:val="表中文字13"/>
    <w:basedOn w:val="1"/>
    <w:qFormat/>
    <w:uiPriority w:val="0"/>
    <w:pPr>
      <w:widowControl/>
      <w:spacing w:line="240" w:lineRule="atLeast"/>
      <w:ind w:left="-24" w:leftChars="-10" w:right="-48" w:rightChars="-20"/>
      <w:jc w:val="center"/>
    </w:pPr>
    <w:rPr>
      <w:rFonts w:ascii="宋体"/>
      <w:kern w:val="0"/>
      <w:szCs w:val="21"/>
    </w:rPr>
  </w:style>
  <w:style w:type="paragraph" w:customStyle="1" w:styleId="2679">
    <w:name w:val="表文字513"/>
    <w:basedOn w:val="1"/>
    <w:qFormat/>
    <w:uiPriority w:val="0"/>
    <w:pPr>
      <w:adjustRightInd w:val="0"/>
      <w:jc w:val="left"/>
      <w:textAlignment w:val="baseline"/>
    </w:pPr>
    <w:rPr>
      <w:rFonts w:ascii="宋体"/>
      <w:kern w:val="0"/>
      <w:szCs w:val="20"/>
    </w:rPr>
  </w:style>
  <w:style w:type="paragraph" w:customStyle="1" w:styleId="2680">
    <w:name w:val="表内文字小3112"/>
    <w:basedOn w:val="1"/>
    <w:qFormat/>
    <w:uiPriority w:val="0"/>
    <w:pPr>
      <w:adjustRightInd w:val="0"/>
      <w:snapToGrid w:val="0"/>
      <w:jc w:val="center"/>
    </w:pPr>
    <w:rPr>
      <w:rFonts w:ascii="宋体" w:hAnsi="Times" w:cs="宋体"/>
      <w:bCs/>
      <w:color w:val="003366"/>
      <w:szCs w:val="20"/>
    </w:rPr>
  </w:style>
  <w:style w:type="paragraph" w:customStyle="1" w:styleId="2681">
    <w:name w:val="样式112"/>
    <w:basedOn w:val="2105"/>
    <w:qFormat/>
    <w:uiPriority w:val="0"/>
    <w:pPr>
      <w:spacing w:line="240" w:lineRule="auto"/>
      <w:ind w:firstLine="0"/>
      <w:jc w:val="center"/>
    </w:pPr>
    <w:rPr>
      <w:rFonts w:cs="Times New Roman"/>
      <w:b/>
      <w:color w:val="auto"/>
      <w:szCs w:val="20"/>
    </w:rPr>
  </w:style>
  <w:style w:type="paragraph" w:customStyle="1" w:styleId="2682">
    <w:name w:val="正文格式＝22"/>
    <w:basedOn w:val="223"/>
    <w:next w:val="223"/>
    <w:qFormat/>
    <w:uiPriority w:val="0"/>
    <w:rPr>
      <w:rFonts w:hAnsi="宋体" w:cs="Times New Roman"/>
    </w:rPr>
  </w:style>
  <w:style w:type="paragraph" w:customStyle="1" w:styleId="2683">
    <w:name w:val="Char241"/>
    <w:basedOn w:val="1"/>
    <w:qFormat/>
    <w:uiPriority w:val="0"/>
    <w:pPr>
      <w:ind w:left="-48"/>
    </w:pPr>
  </w:style>
  <w:style w:type="paragraph" w:customStyle="1" w:styleId="2684">
    <w:name w:val="表内文字小24"/>
    <w:basedOn w:val="1"/>
    <w:qFormat/>
    <w:uiPriority w:val="0"/>
    <w:pPr>
      <w:adjustRightInd w:val="0"/>
      <w:snapToGrid w:val="0"/>
      <w:jc w:val="center"/>
    </w:pPr>
    <w:rPr>
      <w:rFonts w:ascii="宋体" w:hAnsi="Times"/>
      <w:bCs/>
      <w:color w:val="000000"/>
      <w:szCs w:val="20"/>
    </w:rPr>
  </w:style>
  <w:style w:type="paragraph" w:customStyle="1" w:styleId="2685">
    <w:name w:val="表内533"/>
    <w:basedOn w:val="1"/>
    <w:qFormat/>
    <w:uiPriority w:val="0"/>
    <w:pPr>
      <w:adjustRightInd w:val="0"/>
      <w:snapToGrid w:val="0"/>
      <w:spacing w:line="300" w:lineRule="auto"/>
      <w:jc w:val="left"/>
    </w:pPr>
    <w:rPr>
      <w:rFonts w:ascii="宋体"/>
      <w:szCs w:val="20"/>
    </w:rPr>
  </w:style>
  <w:style w:type="paragraph" w:customStyle="1" w:styleId="2686">
    <w:name w:val="正文格式32"/>
    <w:basedOn w:val="1"/>
    <w:qFormat/>
    <w:uiPriority w:val="0"/>
    <w:pPr>
      <w:spacing w:line="360" w:lineRule="auto"/>
      <w:ind w:firstLine="482"/>
    </w:pPr>
    <w:rPr>
      <w:rFonts w:ascii="宋体" w:hAnsi="宋体"/>
      <w:sz w:val="24"/>
    </w:rPr>
  </w:style>
  <w:style w:type="paragraph" w:customStyle="1" w:styleId="2687">
    <w:name w:val="Char25"/>
    <w:basedOn w:val="1"/>
    <w:qFormat/>
    <w:uiPriority w:val="0"/>
    <w:pPr>
      <w:adjustRightInd w:val="0"/>
      <w:snapToGrid w:val="0"/>
      <w:spacing w:beforeLines="50" w:line="360" w:lineRule="auto"/>
    </w:pPr>
    <w:rPr>
      <w:rFonts w:ascii="黑体" w:eastAsia="黑体"/>
      <w:sz w:val="32"/>
      <w:szCs w:val="32"/>
    </w:rPr>
  </w:style>
  <w:style w:type="character" w:customStyle="1" w:styleId="2688">
    <w:name w:val="题注 Char22"/>
    <w:qFormat/>
    <w:uiPriority w:val="0"/>
    <w:rPr>
      <w:rFonts w:ascii="黑体" w:hAnsi="Arial" w:eastAsia="黑体" w:cs="Arial"/>
      <w:b/>
      <w:kern w:val="2"/>
      <w:sz w:val="24"/>
      <w:szCs w:val="24"/>
      <w:lang w:val="en-US" w:eastAsia="zh-CN" w:bidi="ar-SA"/>
    </w:rPr>
  </w:style>
  <w:style w:type="paragraph" w:customStyle="1" w:styleId="2689">
    <w:name w:val="图题32"/>
    <w:basedOn w:val="223"/>
    <w:next w:val="223"/>
    <w:qFormat/>
    <w:uiPriority w:val="0"/>
    <w:pPr>
      <w:ind w:firstLine="0"/>
      <w:jc w:val="center"/>
    </w:pPr>
    <w:rPr>
      <w:rFonts w:ascii="黑体" w:hAnsi="宋体" w:eastAsia="黑体"/>
      <w:b/>
      <w:bCs/>
    </w:rPr>
  </w:style>
  <w:style w:type="paragraph" w:customStyle="1" w:styleId="2690">
    <w:name w:val="表格内字体32"/>
    <w:basedOn w:val="223"/>
    <w:next w:val="223"/>
    <w:qFormat/>
    <w:uiPriority w:val="0"/>
    <w:pPr>
      <w:spacing w:line="240" w:lineRule="auto"/>
      <w:ind w:firstLine="0"/>
      <w:jc w:val="center"/>
    </w:pPr>
    <w:rPr>
      <w:rFonts w:hAnsi="宋体" w:cs="Times New Roman"/>
      <w:sz w:val="21"/>
    </w:rPr>
  </w:style>
  <w:style w:type="paragraph" w:customStyle="1" w:styleId="2691">
    <w:name w:val="表内54122"/>
    <w:basedOn w:val="1"/>
    <w:qFormat/>
    <w:uiPriority w:val="0"/>
    <w:pPr>
      <w:adjustRightInd w:val="0"/>
      <w:snapToGrid w:val="0"/>
      <w:spacing w:line="300" w:lineRule="auto"/>
      <w:jc w:val="center"/>
    </w:pPr>
    <w:rPr>
      <w:rFonts w:ascii="宋体" w:hAnsi="宋体" w:cs="宋体"/>
      <w:szCs w:val="20"/>
    </w:rPr>
  </w:style>
  <w:style w:type="paragraph" w:customStyle="1" w:styleId="2692">
    <w:name w:val="表内文字小2122"/>
    <w:basedOn w:val="1"/>
    <w:qFormat/>
    <w:uiPriority w:val="0"/>
    <w:pPr>
      <w:adjustRightInd w:val="0"/>
      <w:snapToGrid w:val="0"/>
      <w:jc w:val="center"/>
    </w:pPr>
    <w:rPr>
      <w:rFonts w:ascii="宋体" w:hAnsi="Times"/>
      <w:bCs/>
      <w:color w:val="000000"/>
      <w:szCs w:val="20"/>
    </w:rPr>
  </w:style>
  <w:style w:type="paragraph" w:customStyle="1" w:styleId="2693">
    <w:name w:val="表题3122"/>
    <w:basedOn w:val="37"/>
    <w:qFormat/>
    <w:uiPriority w:val="0"/>
    <w:pPr>
      <w:tabs>
        <w:tab w:val="left" w:pos="4305"/>
      </w:tabs>
      <w:adjustRightInd w:val="0"/>
      <w:snapToGrid w:val="0"/>
      <w:spacing w:after="0"/>
      <w:ind w:left="0" w:leftChars="0"/>
      <w:jc w:val="center"/>
    </w:pPr>
    <w:rPr>
      <w:rFonts w:ascii="宋体" w:hAnsi="宋体"/>
      <w:sz w:val="24"/>
      <w:szCs w:val="20"/>
    </w:rPr>
  </w:style>
  <w:style w:type="paragraph" w:customStyle="1" w:styleId="2694">
    <w:name w:val="标题43122"/>
    <w:basedOn w:val="1"/>
    <w:qFormat/>
    <w:uiPriority w:val="0"/>
    <w:pPr>
      <w:adjustRightInd w:val="0"/>
      <w:snapToGrid w:val="0"/>
      <w:spacing w:line="480" w:lineRule="exact"/>
      <w:jc w:val="center"/>
    </w:pPr>
    <w:rPr>
      <w:rFonts w:ascii="宋体" w:hAnsi="宋体" w:cs="宋体"/>
      <w:sz w:val="24"/>
    </w:rPr>
  </w:style>
  <w:style w:type="paragraph" w:customStyle="1" w:styleId="2695">
    <w:name w:val="燕山正文1122"/>
    <w:basedOn w:val="1"/>
    <w:qFormat/>
    <w:uiPriority w:val="0"/>
    <w:pPr>
      <w:tabs>
        <w:tab w:val="left" w:pos="4680"/>
      </w:tabs>
      <w:adjustRightInd w:val="0"/>
      <w:snapToGrid w:val="0"/>
      <w:spacing w:line="480" w:lineRule="exact"/>
    </w:pPr>
    <w:rPr>
      <w:rFonts w:ascii="宋体" w:hAnsi="宋体" w:cs="宋体"/>
      <w:bCs/>
      <w:color w:val="000000"/>
      <w:sz w:val="24"/>
    </w:rPr>
  </w:style>
  <w:style w:type="paragraph" w:customStyle="1" w:styleId="2696">
    <w:name w:val="默认段落字体 Para Char Char Char Char22"/>
    <w:basedOn w:val="1"/>
    <w:qFormat/>
    <w:uiPriority w:val="0"/>
  </w:style>
  <w:style w:type="paragraph" w:customStyle="1" w:styleId="2697">
    <w:name w:val="附件22"/>
    <w:basedOn w:val="4"/>
    <w:next w:val="223"/>
    <w:qFormat/>
    <w:uiPriority w:val="0"/>
    <w:pPr>
      <w:spacing w:before="0" w:after="0" w:line="360" w:lineRule="auto"/>
      <w:jc w:val="left"/>
    </w:pPr>
    <w:rPr>
      <w:rFonts w:ascii="黑体" w:hAnsi="宋体" w:eastAsia="黑体"/>
      <w:b w:val="0"/>
      <w:sz w:val="32"/>
      <w:szCs w:val="32"/>
    </w:rPr>
  </w:style>
  <w:style w:type="paragraph" w:customStyle="1" w:styleId="2698">
    <w:name w:val="黑体三号22"/>
    <w:basedOn w:val="223"/>
    <w:qFormat/>
    <w:uiPriority w:val="0"/>
    <w:pPr>
      <w:jc w:val="center"/>
    </w:pPr>
    <w:rPr>
      <w:rFonts w:ascii="黑体" w:hAnsi="宋体" w:eastAsia="黑体"/>
      <w:b/>
      <w:bCs/>
      <w:sz w:val="32"/>
      <w:szCs w:val="20"/>
    </w:rPr>
  </w:style>
  <w:style w:type="paragraph" w:customStyle="1" w:styleId="2699">
    <w:name w:val="表22"/>
    <w:basedOn w:val="1"/>
    <w:qFormat/>
    <w:uiPriority w:val="0"/>
    <w:pPr>
      <w:adjustRightInd w:val="0"/>
      <w:snapToGrid w:val="0"/>
      <w:jc w:val="center"/>
    </w:pPr>
    <w:rPr>
      <w:rFonts w:eastAsia="仿宋_GB2312"/>
      <w:sz w:val="24"/>
    </w:rPr>
  </w:style>
  <w:style w:type="paragraph" w:customStyle="1" w:styleId="2700">
    <w:name w:val="表题122"/>
    <w:basedOn w:val="23"/>
    <w:qFormat/>
    <w:uiPriority w:val="0"/>
    <w:pPr>
      <w:tabs>
        <w:tab w:val="clear" w:pos="7380"/>
      </w:tabs>
      <w:overflowPunct/>
      <w:spacing w:before="0" w:afterLines="0" w:line="360" w:lineRule="auto"/>
      <w:jc w:val="center"/>
    </w:pPr>
    <w:rPr>
      <w:rFonts w:ascii="黑体" w:cs="Times New Roman"/>
      <w:b/>
      <w:sz w:val="24"/>
      <w:szCs w:val="24"/>
    </w:rPr>
  </w:style>
  <w:style w:type="paragraph" w:customStyle="1" w:styleId="2701">
    <w:name w:val="燕山正文22"/>
    <w:basedOn w:val="1"/>
    <w:qFormat/>
    <w:uiPriority w:val="0"/>
    <w:pPr>
      <w:tabs>
        <w:tab w:val="left" w:pos="4680"/>
      </w:tabs>
      <w:adjustRightInd w:val="0"/>
      <w:snapToGrid w:val="0"/>
      <w:spacing w:line="480" w:lineRule="exact"/>
    </w:pPr>
    <w:rPr>
      <w:rFonts w:ascii="宋体" w:cs="宋体"/>
      <w:sz w:val="24"/>
    </w:rPr>
  </w:style>
  <w:style w:type="paragraph" w:customStyle="1" w:styleId="2702">
    <w:name w:val="正文修改22"/>
    <w:basedOn w:val="2056"/>
    <w:qFormat/>
    <w:uiPriority w:val="0"/>
    <w:rPr>
      <w:rFonts w:hAnsi="宋体"/>
      <w:color w:val="000000"/>
    </w:rPr>
  </w:style>
  <w:style w:type="character" w:customStyle="1" w:styleId="2703">
    <w:name w:val="正文修改 Char122"/>
    <w:qFormat/>
    <w:uiPriority w:val="0"/>
    <w:rPr>
      <w:rFonts w:ascii="宋体" w:hAnsi="宋体" w:eastAsia="宋体" w:cs="宋体"/>
      <w:color w:val="000000"/>
      <w:sz w:val="24"/>
      <w:szCs w:val="24"/>
    </w:rPr>
  </w:style>
  <w:style w:type="paragraph" w:customStyle="1" w:styleId="2704">
    <w:name w:val="表中文字22"/>
    <w:basedOn w:val="1"/>
    <w:qFormat/>
    <w:uiPriority w:val="0"/>
    <w:pPr>
      <w:widowControl/>
      <w:adjustRightInd w:val="0"/>
      <w:spacing w:line="240" w:lineRule="atLeast"/>
      <w:ind w:right="-42" w:rightChars="-20"/>
      <w:jc w:val="center"/>
      <w:textAlignment w:val="baseline"/>
    </w:pPr>
    <w:rPr>
      <w:rFonts w:ascii="宋体"/>
      <w:kern w:val="0"/>
      <w:szCs w:val="21"/>
    </w:rPr>
  </w:style>
  <w:style w:type="paragraph" w:customStyle="1" w:styleId="2705">
    <w:name w:val="表文字522"/>
    <w:basedOn w:val="1"/>
    <w:qFormat/>
    <w:uiPriority w:val="0"/>
    <w:pPr>
      <w:adjustRightInd w:val="0"/>
      <w:jc w:val="left"/>
      <w:textAlignment w:val="baseline"/>
    </w:pPr>
    <w:rPr>
      <w:rFonts w:ascii="宋体"/>
      <w:kern w:val="0"/>
      <w:szCs w:val="20"/>
    </w:rPr>
  </w:style>
  <w:style w:type="paragraph" w:customStyle="1" w:styleId="2706">
    <w:name w:val="表内文字小3122"/>
    <w:basedOn w:val="1"/>
    <w:qFormat/>
    <w:uiPriority w:val="0"/>
    <w:pPr>
      <w:adjustRightInd w:val="0"/>
      <w:snapToGrid w:val="0"/>
      <w:jc w:val="center"/>
    </w:pPr>
    <w:rPr>
      <w:rFonts w:ascii="宋体" w:hAnsi="Times" w:cs="宋体"/>
      <w:bCs/>
      <w:color w:val="003366"/>
      <w:szCs w:val="20"/>
    </w:rPr>
  </w:style>
  <w:style w:type="paragraph" w:customStyle="1" w:styleId="2707">
    <w:name w:val="样式122"/>
    <w:basedOn w:val="2105"/>
    <w:qFormat/>
    <w:uiPriority w:val="0"/>
    <w:pPr>
      <w:spacing w:line="240" w:lineRule="auto"/>
      <w:ind w:firstLine="0"/>
      <w:jc w:val="center"/>
    </w:pPr>
    <w:rPr>
      <w:rFonts w:cs="Times New Roman"/>
      <w:b/>
      <w:color w:val="auto"/>
      <w:szCs w:val="20"/>
    </w:rPr>
  </w:style>
  <w:style w:type="paragraph" w:customStyle="1" w:styleId="2708">
    <w:name w:val="正文格式＝32"/>
    <w:basedOn w:val="223"/>
    <w:next w:val="223"/>
    <w:qFormat/>
    <w:uiPriority w:val="0"/>
    <w:rPr>
      <w:rFonts w:hAnsi="宋体" w:cs="Times New Roman"/>
    </w:rPr>
  </w:style>
  <w:style w:type="paragraph" w:customStyle="1" w:styleId="2709">
    <w:name w:val="表内文字小222"/>
    <w:basedOn w:val="1"/>
    <w:qFormat/>
    <w:uiPriority w:val="0"/>
    <w:pPr>
      <w:adjustRightInd w:val="0"/>
      <w:snapToGrid w:val="0"/>
      <w:jc w:val="center"/>
    </w:pPr>
    <w:rPr>
      <w:rFonts w:ascii="宋体" w:hAnsi="Times"/>
      <w:bCs/>
      <w:color w:val="000000"/>
      <w:szCs w:val="20"/>
    </w:rPr>
  </w:style>
  <w:style w:type="paragraph" w:customStyle="1" w:styleId="2710">
    <w:name w:val="表内5312"/>
    <w:basedOn w:val="1"/>
    <w:qFormat/>
    <w:uiPriority w:val="0"/>
    <w:pPr>
      <w:adjustRightInd w:val="0"/>
      <w:snapToGrid w:val="0"/>
      <w:spacing w:line="300" w:lineRule="auto"/>
      <w:jc w:val="left"/>
    </w:pPr>
    <w:rPr>
      <w:rFonts w:ascii="宋体"/>
      <w:szCs w:val="20"/>
    </w:rPr>
  </w:style>
  <w:style w:type="paragraph" w:customStyle="1" w:styleId="2711">
    <w:name w:val="正文格式212"/>
    <w:basedOn w:val="1"/>
    <w:qFormat/>
    <w:uiPriority w:val="0"/>
    <w:pPr>
      <w:spacing w:line="360" w:lineRule="auto"/>
      <w:ind w:firstLine="482"/>
    </w:pPr>
    <w:rPr>
      <w:rFonts w:ascii="宋体" w:hAnsi="宋体"/>
      <w:sz w:val="24"/>
    </w:rPr>
  </w:style>
  <w:style w:type="paragraph" w:customStyle="1" w:styleId="2712">
    <w:name w:val="图题212"/>
    <w:basedOn w:val="223"/>
    <w:next w:val="223"/>
    <w:qFormat/>
    <w:uiPriority w:val="0"/>
    <w:pPr>
      <w:ind w:firstLine="0"/>
      <w:jc w:val="center"/>
    </w:pPr>
    <w:rPr>
      <w:rFonts w:ascii="黑体" w:hAnsi="宋体" w:eastAsia="黑体"/>
      <w:b/>
      <w:bCs/>
    </w:rPr>
  </w:style>
  <w:style w:type="paragraph" w:customStyle="1" w:styleId="2713">
    <w:name w:val="表格内字体212"/>
    <w:basedOn w:val="223"/>
    <w:next w:val="223"/>
    <w:qFormat/>
    <w:uiPriority w:val="0"/>
    <w:pPr>
      <w:spacing w:line="240" w:lineRule="auto"/>
      <w:ind w:firstLine="0"/>
      <w:jc w:val="center"/>
    </w:pPr>
    <w:rPr>
      <w:rFonts w:hAnsi="宋体" w:cs="Times New Roman"/>
      <w:sz w:val="21"/>
    </w:rPr>
  </w:style>
  <w:style w:type="paragraph" w:customStyle="1" w:styleId="2714">
    <w:name w:val="表题1112"/>
    <w:basedOn w:val="23"/>
    <w:qFormat/>
    <w:uiPriority w:val="0"/>
    <w:pPr>
      <w:tabs>
        <w:tab w:val="clear" w:pos="7380"/>
      </w:tabs>
      <w:overflowPunct/>
      <w:spacing w:before="0" w:afterLines="0" w:line="360" w:lineRule="auto"/>
      <w:jc w:val="center"/>
    </w:pPr>
    <w:rPr>
      <w:rFonts w:ascii="黑体" w:cs="Times New Roman"/>
      <w:sz w:val="24"/>
      <w:szCs w:val="24"/>
    </w:rPr>
  </w:style>
  <w:style w:type="paragraph" w:customStyle="1" w:styleId="2715">
    <w:name w:val="表中文字112"/>
    <w:basedOn w:val="1"/>
    <w:qFormat/>
    <w:uiPriority w:val="0"/>
    <w:pPr>
      <w:widowControl/>
      <w:spacing w:line="240" w:lineRule="atLeast"/>
      <w:ind w:left="-24" w:leftChars="-10" w:right="-48" w:rightChars="-20"/>
      <w:jc w:val="center"/>
    </w:pPr>
    <w:rPr>
      <w:rFonts w:ascii="宋体"/>
      <w:kern w:val="0"/>
      <w:szCs w:val="21"/>
    </w:rPr>
  </w:style>
  <w:style w:type="paragraph" w:customStyle="1" w:styleId="2716">
    <w:name w:val="表文字5112"/>
    <w:basedOn w:val="1"/>
    <w:qFormat/>
    <w:uiPriority w:val="0"/>
    <w:pPr>
      <w:adjustRightInd w:val="0"/>
      <w:jc w:val="left"/>
      <w:textAlignment w:val="baseline"/>
    </w:pPr>
    <w:rPr>
      <w:rFonts w:ascii="宋体"/>
      <w:kern w:val="0"/>
      <w:szCs w:val="20"/>
    </w:rPr>
  </w:style>
  <w:style w:type="paragraph" w:customStyle="1" w:styleId="2717">
    <w:name w:val="图题42"/>
    <w:basedOn w:val="223"/>
    <w:next w:val="223"/>
    <w:qFormat/>
    <w:uiPriority w:val="0"/>
    <w:pPr>
      <w:ind w:firstLine="0"/>
      <w:jc w:val="center"/>
    </w:pPr>
    <w:rPr>
      <w:rFonts w:ascii="黑体" w:hAnsi="宋体" w:eastAsia="黑体"/>
      <w:b/>
      <w:bCs/>
    </w:rPr>
  </w:style>
  <w:style w:type="paragraph" w:customStyle="1" w:styleId="2718">
    <w:name w:val="表格内字体42"/>
    <w:basedOn w:val="223"/>
    <w:next w:val="223"/>
    <w:qFormat/>
    <w:uiPriority w:val="0"/>
    <w:pPr>
      <w:spacing w:line="240" w:lineRule="auto"/>
      <w:ind w:firstLine="0"/>
      <w:jc w:val="center"/>
    </w:pPr>
    <w:rPr>
      <w:rFonts w:hAnsi="宋体" w:cs="Times New Roman"/>
      <w:sz w:val="21"/>
    </w:rPr>
  </w:style>
  <w:style w:type="paragraph" w:customStyle="1" w:styleId="2719">
    <w:name w:val="Char44"/>
    <w:basedOn w:val="1"/>
    <w:qFormat/>
    <w:uiPriority w:val="0"/>
    <w:pPr>
      <w:ind w:left="-48"/>
    </w:pPr>
  </w:style>
  <w:style w:type="paragraph" w:customStyle="1" w:styleId="2720">
    <w:name w:val="正文格式＝42"/>
    <w:basedOn w:val="223"/>
    <w:next w:val="223"/>
    <w:qFormat/>
    <w:uiPriority w:val="0"/>
    <w:rPr>
      <w:rFonts w:hAnsi="宋体" w:cs="Times New Roman"/>
    </w:rPr>
  </w:style>
  <w:style w:type="paragraph" w:customStyle="1" w:styleId="2721">
    <w:name w:val="表题132"/>
    <w:basedOn w:val="23"/>
    <w:qFormat/>
    <w:uiPriority w:val="0"/>
    <w:pPr>
      <w:tabs>
        <w:tab w:val="clear" w:pos="7380"/>
      </w:tabs>
      <w:overflowPunct/>
      <w:spacing w:before="0" w:afterLines="0" w:line="360" w:lineRule="auto"/>
      <w:jc w:val="center"/>
    </w:pPr>
    <w:rPr>
      <w:rFonts w:ascii="黑体" w:cs="Times New Roman"/>
      <w:b/>
      <w:sz w:val="24"/>
      <w:szCs w:val="24"/>
    </w:rPr>
  </w:style>
  <w:style w:type="paragraph" w:customStyle="1" w:styleId="2722">
    <w:name w:val="默认段落字体 Para Char12"/>
    <w:basedOn w:val="1"/>
    <w:next w:val="1"/>
    <w:qFormat/>
    <w:uiPriority w:val="0"/>
    <w:pPr>
      <w:spacing w:line="480" w:lineRule="exact"/>
      <w:ind w:firstLine="200" w:firstLineChars="200"/>
      <w:jc w:val="left"/>
    </w:pPr>
    <w:rPr>
      <w:rFonts w:ascii="宋体" w:hAnsi="宋体" w:eastAsia="汉鼎简书宋" w:cs="宋体"/>
      <w:sz w:val="28"/>
    </w:rPr>
  </w:style>
  <w:style w:type="paragraph" w:customStyle="1" w:styleId="2723">
    <w:name w:val="Char Char Char Char Char Char Char15"/>
    <w:basedOn w:val="1"/>
    <w:qFormat/>
    <w:uiPriority w:val="0"/>
    <w:rPr>
      <w:szCs w:val="20"/>
    </w:rPr>
  </w:style>
  <w:style w:type="paragraph" w:customStyle="1" w:styleId="2724">
    <w:name w:val="Char52"/>
    <w:basedOn w:val="1"/>
    <w:qFormat/>
    <w:uiPriority w:val="0"/>
    <w:pPr>
      <w:adjustRightInd w:val="0"/>
      <w:snapToGrid w:val="0"/>
      <w:ind w:left="-45"/>
    </w:pPr>
  </w:style>
  <w:style w:type="paragraph" w:customStyle="1" w:styleId="2725">
    <w:name w:val="燕山正文1132"/>
    <w:basedOn w:val="1"/>
    <w:qFormat/>
    <w:uiPriority w:val="0"/>
    <w:pPr>
      <w:tabs>
        <w:tab w:val="left" w:pos="4680"/>
      </w:tabs>
      <w:adjustRightInd w:val="0"/>
      <w:snapToGrid w:val="0"/>
      <w:spacing w:line="360" w:lineRule="auto"/>
      <w:ind w:firstLine="480" w:firstLineChars="200"/>
    </w:pPr>
    <w:rPr>
      <w:rFonts w:ascii="宋体" w:hAnsi="宋体" w:cs="宋体"/>
      <w:bCs/>
      <w:snapToGrid w:val="0"/>
      <w:color w:val="000000"/>
      <w:kern w:val="0"/>
      <w:sz w:val="24"/>
    </w:rPr>
  </w:style>
  <w:style w:type="paragraph" w:customStyle="1" w:styleId="2726">
    <w:name w:val="正文格式52"/>
    <w:basedOn w:val="1"/>
    <w:qFormat/>
    <w:uiPriority w:val="0"/>
    <w:pPr>
      <w:spacing w:line="360" w:lineRule="auto"/>
      <w:ind w:firstLine="482"/>
    </w:pPr>
    <w:rPr>
      <w:rFonts w:ascii="宋体" w:hAnsi="宋体"/>
      <w:sz w:val="24"/>
    </w:rPr>
  </w:style>
  <w:style w:type="character" w:customStyle="1" w:styleId="2727">
    <w:name w:val="题注 Char32"/>
    <w:qFormat/>
    <w:uiPriority w:val="0"/>
    <w:rPr>
      <w:rFonts w:ascii="黑体" w:hAnsi="Arial" w:eastAsia="黑体" w:cs="Arial"/>
      <w:b/>
      <w:kern w:val="2"/>
      <w:sz w:val="24"/>
      <w:szCs w:val="24"/>
      <w:lang w:val="en-US" w:eastAsia="zh-CN" w:bidi="ar-SA"/>
    </w:rPr>
  </w:style>
  <w:style w:type="paragraph" w:customStyle="1" w:styleId="2728">
    <w:name w:val="图题52"/>
    <w:basedOn w:val="223"/>
    <w:next w:val="223"/>
    <w:qFormat/>
    <w:uiPriority w:val="0"/>
    <w:pPr>
      <w:ind w:firstLine="0"/>
      <w:jc w:val="center"/>
    </w:pPr>
    <w:rPr>
      <w:rFonts w:ascii="黑体" w:hAnsi="宋体" w:eastAsia="黑体"/>
      <w:b/>
      <w:bCs/>
    </w:rPr>
  </w:style>
  <w:style w:type="paragraph" w:customStyle="1" w:styleId="2729">
    <w:name w:val="表格内字体52"/>
    <w:basedOn w:val="223"/>
    <w:next w:val="223"/>
    <w:qFormat/>
    <w:uiPriority w:val="0"/>
    <w:pPr>
      <w:adjustRightInd w:val="0"/>
      <w:snapToGrid w:val="0"/>
      <w:spacing w:line="240" w:lineRule="auto"/>
      <w:ind w:firstLine="0"/>
    </w:pPr>
    <w:rPr>
      <w:rFonts w:hAnsi="宋体" w:cs="Times New Roman"/>
      <w:sz w:val="21"/>
    </w:rPr>
  </w:style>
  <w:style w:type="paragraph" w:customStyle="1" w:styleId="2730">
    <w:name w:val="表32"/>
    <w:basedOn w:val="1"/>
    <w:qFormat/>
    <w:uiPriority w:val="0"/>
    <w:pPr>
      <w:adjustRightInd w:val="0"/>
      <w:snapToGrid w:val="0"/>
      <w:jc w:val="center"/>
    </w:pPr>
    <w:rPr>
      <w:rFonts w:eastAsia="仿宋_GB2312"/>
      <w:sz w:val="24"/>
    </w:rPr>
  </w:style>
  <w:style w:type="paragraph" w:customStyle="1" w:styleId="2731">
    <w:name w:val="正文.12"/>
    <w:qFormat/>
    <w:uiPriority w:val="0"/>
    <w:pPr>
      <w:widowControl w:val="0"/>
      <w:autoSpaceDE w:val="0"/>
      <w:autoSpaceDN w:val="0"/>
      <w:adjustRightInd w:val="0"/>
      <w:jc w:val="both"/>
    </w:pPr>
    <w:rPr>
      <w:rFonts w:ascii="Times New Roman;Symbol;Arial;婼" w:hAnsi="Times New Roman" w:eastAsia="Times New Roman;Symbol;Arial;婼" w:cs="Times New Roman"/>
      <w:sz w:val="21"/>
      <w:szCs w:val="21"/>
      <w:lang w:val="en-US" w:eastAsia="zh-CN" w:bidi="ar-SA"/>
    </w:rPr>
  </w:style>
  <w:style w:type="paragraph" w:customStyle="1" w:styleId="2732">
    <w:name w:val="文本框12"/>
    <w:basedOn w:val="1"/>
    <w:qFormat/>
    <w:uiPriority w:val="0"/>
    <w:pPr>
      <w:adjustRightInd w:val="0"/>
      <w:snapToGrid w:val="0"/>
      <w:spacing w:after="6"/>
      <w:jc w:val="center"/>
    </w:pPr>
    <w:rPr>
      <w:rFonts w:eastAsia="仿宋_GB2312"/>
    </w:rPr>
  </w:style>
  <w:style w:type="paragraph" w:customStyle="1" w:styleId="2733">
    <w:name w:val="表内宋51112"/>
    <w:basedOn w:val="81"/>
    <w:qFormat/>
    <w:uiPriority w:val="0"/>
    <w:pPr>
      <w:widowControl/>
      <w:adjustRightInd w:val="0"/>
      <w:snapToGrid w:val="0"/>
    </w:pPr>
    <w:rPr>
      <w:rFonts w:ascii="宋体" w:hAnsi="宋体" w:cs="宋体"/>
      <w:color w:val="000000"/>
      <w:kern w:val="0"/>
      <w:sz w:val="21"/>
      <w:lang w:val="zh-CN"/>
    </w:rPr>
  </w:style>
  <w:style w:type="paragraph" w:customStyle="1" w:styleId="2734">
    <w:name w:val="表内文字小3132"/>
    <w:basedOn w:val="1"/>
    <w:qFormat/>
    <w:uiPriority w:val="0"/>
    <w:pPr>
      <w:adjustRightInd w:val="0"/>
      <w:snapToGrid w:val="0"/>
      <w:jc w:val="center"/>
    </w:pPr>
    <w:rPr>
      <w:rFonts w:ascii="宋体" w:hAnsi="Times" w:cs="宋体"/>
      <w:bCs/>
      <w:color w:val="003366"/>
      <w:szCs w:val="20"/>
    </w:rPr>
  </w:style>
  <w:style w:type="paragraph" w:customStyle="1" w:styleId="2735">
    <w:name w:val="表文字532"/>
    <w:basedOn w:val="1"/>
    <w:qFormat/>
    <w:uiPriority w:val="0"/>
    <w:pPr>
      <w:adjustRightInd w:val="0"/>
      <w:jc w:val="left"/>
      <w:textAlignment w:val="baseline"/>
    </w:pPr>
    <w:rPr>
      <w:rFonts w:ascii="宋体"/>
      <w:kern w:val="0"/>
      <w:szCs w:val="20"/>
    </w:rPr>
  </w:style>
  <w:style w:type="paragraph" w:customStyle="1" w:styleId="2736">
    <w:name w:val="正文212"/>
    <w:qFormat/>
    <w:uiPriority w:val="0"/>
    <w:pPr>
      <w:adjustRightInd w:val="0"/>
      <w:snapToGrid w:val="0"/>
      <w:spacing w:line="480" w:lineRule="atLeast"/>
      <w:jc w:val="center"/>
    </w:pPr>
    <w:rPr>
      <w:rFonts w:ascii="宋体" w:hAnsi="Times New Roman" w:eastAsia="宋体" w:cs="Times New Roman"/>
      <w:snapToGrid w:val="0"/>
      <w:spacing w:val="6"/>
      <w:sz w:val="21"/>
      <w:lang w:val="en-US" w:eastAsia="zh-CN" w:bidi="ar-SA"/>
    </w:rPr>
  </w:style>
  <w:style w:type="paragraph" w:customStyle="1" w:styleId="2737">
    <w:name w:val="Char Char Char Char Char Char Char23"/>
    <w:basedOn w:val="1"/>
    <w:qFormat/>
    <w:uiPriority w:val="0"/>
  </w:style>
  <w:style w:type="paragraph" w:customStyle="1" w:styleId="2738">
    <w:name w:val="表题3132"/>
    <w:basedOn w:val="37"/>
    <w:qFormat/>
    <w:uiPriority w:val="0"/>
    <w:pPr>
      <w:tabs>
        <w:tab w:val="left" w:pos="4305"/>
      </w:tabs>
      <w:adjustRightInd w:val="0"/>
      <w:snapToGrid w:val="0"/>
      <w:spacing w:after="0"/>
      <w:ind w:left="0" w:leftChars="0"/>
      <w:jc w:val="center"/>
    </w:pPr>
    <w:rPr>
      <w:rFonts w:ascii="宋体" w:hAnsi="宋体"/>
      <w:sz w:val="24"/>
      <w:szCs w:val="20"/>
    </w:rPr>
  </w:style>
  <w:style w:type="paragraph" w:customStyle="1" w:styleId="2739">
    <w:name w:val="表内文字小2132"/>
    <w:basedOn w:val="1"/>
    <w:qFormat/>
    <w:uiPriority w:val="0"/>
    <w:pPr>
      <w:adjustRightInd w:val="0"/>
      <w:snapToGrid w:val="0"/>
      <w:jc w:val="center"/>
      <w:textAlignment w:val="baseline"/>
    </w:pPr>
    <w:rPr>
      <w:rFonts w:ascii="宋体" w:hAnsi="Times"/>
      <w:bCs/>
      <w:color w:val="000000"/>
      <w:szCs w:val="20"/>
    </w:rPr>
  </w:style>
  <w:style w:type="character" w:customStyle="1" w:styleId="2740">
    <w:name w:val="文档结构图 Char3"/>
    <w:qFormat/>
    <w:uiPriority w:val="0"/>
    <w:rPr>
      <w:rFonts w:eastAsia="宋体"/>
      <w:kern w:val="2"/>
      <w:sz w:val="21"/>
      <w:szCs w:val="24"/>
      <w:shd w:val="clear" w:color="auto" w:fill="000080"/>
      <w:lang w:val="en-US" w:eastAsia="zh-CN" w:bidi="ar-SA"/>
    </w:rPr>
  </w:style>
  <w:style w:type="paragraph" w:customStyle="1" w:styleId="2741">
    <w:name w:val="燕山正文32"/>
    <w:basedOn w:val="1"/>
    <w:qFormat/>
    <w:uiPriority w:val="0"/>
    <w:pPr>
      <w:tabs>
        <w:tab w:val="left" w:pos="4680"/>
      </w:tabs>
      <w:adjustRightInd w:val="0"/>
      <w:snapToGrid w:val="0"/>
      <w:spacing w:line="480" w:lineRule="exact"/>
    </w:pPr>
    <w:rPr>
      <w:rFonts w:ascii="宋体" w:cs="宋体"/>
      <w:sz w:val="24"/>
    </w:rPr>
  </w:style>
  <w:style w:type="paragraph" w:customStyle="1" w:styleId="2742">
    <w:name w:val="正文修改32"/>
    <w:basedOn w:val="2056"/>
    <w:qFormat/>
    <w:uiPriority w:val="0"/>
    <w:rPr>
      <w:rFonts w:hAnsi="宋体"/>
      <w:color w:val="000000"/>
    </w:rPr>
  </w:style>
  <w:style w:type="paragraph" w:customStyle="1" w:styleId="2743">
    <w:name w:val="表题143"/>
    <w:basedOn w:val="23"/>
    <w:qFormat/>
    <w:uiPriority w:val="0"/>
    <w:pPr>
      <w:tabs>
        <w:tab w:val="clear" w:pos="7380"/>
      </w:tabs>
      <w:overflowPunct/>
      <w:spacing w:before="0" w:afterLines="0" w:line="360" w:lineRule="auto"/>
      <w:jc w:val="center"/>
    </w:pPr>
    <w:rPr>
      <w:rFonts w:ascii="黑体" w:cs="Times New Roman"/>
      <w:b/>
      <w:sz w:val="24"/>
      <w:szCs w:val="24"/>
    </w:rPr>
  </w:style>
  <w:style w:type="character" w:customStyle="1" w:styleId="2744">
    <w:name w:val="表题1 Char42"/>
    <w:qFormat/>
    <w:uiPriority w:val="0"/>
    <w:rPr>
      <w:rFonts w:ascii="黑体" w:hAnsi="Arial" w:eastAsia="黑体" w:cs="Arial"/>
      <w:b/>
      <w:kern w:val="2"/>
      <w:sz w:val="24"/>
      <w:szCs w:val="24"/>
      <w:lang w:val="en-US" w:eastAsia="zh-CN" w:bidi="ar-SA"/>
    </w:rPr>
  </w:style>
  <w:style w:type="paragraph" w:customStyle="1" w:styleId="2745">
    <w:name w:val="表中文字32"/>
    <w:basedOn w:val="1"/>
    <w:qFormat/>
    <w:uiPriority w:val="0"/>
    <w:pPr>
      <w:widowControl/>
      <w:spacing w:line="240" w:lineRule="atLeast"/>
      <w:ind w:left="-24" w:leftChars="-10" w:right="-48" w:rightChars="-20"/>
      <w:jc w:val="center"/>
    </w:pPr>
    <w:rPr>
      <w:rFonts w:ascii="宋体"/>
      <w:kern w:val="0"/>
      <w:szCs w:val="21"/>
    </w:rPr>
  </w:style>
  <w:style w:type="paragraph" w:customStyle="1" w:styleId="2746">
    <w:name w:val="黑体三号32"/>
    <w:basedOn w:val="223"/>
    <w:qFormat/>
    <w:uiPriority w:val="0"/>
    <w:pPr>
      <w:jc w:val="center"/>
    </w:pPr>
    <w:rPr>
      <w:rFonts w:ascii="黑体" w:hAnsi="宋体" w:eastAsia="黑体"/>
      <w:b/>
      <w:bCs/>
      <w:sz w:val="32"/>
      <w:szCs w:val="20"/>
    </w:rPr>
  </w:style>
  <w:style w:type="paragraph" w:customStyle="1" w:styleId="2747">
    <w:name w:val="默认段落字体 Para Char Char Char Char32"/>
    <w:basedOn w:val="1"/>
    <w:qFormat/>
    <w:uiPriority w:val="0"/>
  </w:style>
  <w:style w:type="paragraph" w:customStyle="1" w:styleId="2748">
    <w:name w:val="表内54132"/>
    <w:basedOn w:val="1"/>
    <w:qFormat/>
    <w:uiPriority w:val="0"/>
    <w:pPr>
      <w:adjustRightInd w:val="0"/>
      <w:snapToGrid w:val="0"/>
      <w:spacing w:line="300" w:lineRule="auto"/>
      <w:jc w:val="center"/>
    </w:pPr>
    <w:rPr>
      <w:rFonts w:ascii="宋体" w:hAnsi="宋体" w:cs="宋体"/>
      <w:szCs w:val="20"/>
    </w:rPr>
  </w:style>
  <w:style w:type="paragraph" w:customStyle="1" w:styleId="2749">
    <w:name w:val="标题43"/>
    <w:basedOn w:val="1"/>
    <w:qFormat/>
    <w:uiPriority w:val="0"/>
    <w:pPr>
      <w:adjustRightInd w:val="0"/>
      <w:snapToGrid w:val="0"/>
      <w:spacing w:line="300" w:lineRule="auto"/>
      <w:jc w:val="left"/>
    </w:pPr>
    <w:rPr>
      <w:rFonts w:ascii="黑体" w:eastAsia="黑体"/>
      <w:bCs/>
      <w:sz w:val="24"/>
    </w:rPr>
  </w:style>
  <w:style w:type="paragraph" w:customStyle="1" w:styleId="2750">
    <w:name w:val="Char62"/>
    <w:basedOn w:val="1"/>
    <w:qFormat/>
    <w:uiPriority w:val="0"/>
    <w:pPr>
      <w:adjustRightInd w:val="0"/>
      <w:snapToGrid w:val="0"/>
      <w:spacing w:beforeLines="50" w:line="360" w:lineRule="auto"/>
    </w:pPr>
    <w:rPr>
      <w:rFonts w:ascii="黑体" w:eastAsia="黑体"/>
      <w:sz w:val="32"/>
      <w:szCs w:val="32"/>
    </w:rPr>
  </w:style>
  <w:style w:type="paragraph" w:customStyle="1" w:styleId="2751">
    <w:name w:val="表题2112"/>
    <w:basedOn w:val="1"/>
    <w:qFormat/>
    <w:uiPriority w:val="0"/>
    <w:pPr>
      <w:widowControl/>
      <w:adjustRightInd w:val="0"/>
      <w:snapToGrid w:val="0"/>
      <w:jc w:val="center"/>
    </w:pPr>
    <w:rPr>
      <w:rFonts w:ascii="黑体" w:hAnsi="宋体" w:eastAsia="黑体" w:cs="宋体"/>
      <w:kern w:val="0"/>
      <w:sz w:val="24"/>
    </w:rPr>
  </w:style>
  <w:style w:type="paragraph" w:customStyle="1" w:styleId="2752">
    <w:name w:val="表内宋5中112"/>
    <w:basedOn w:val="1"/>
    <w:qFormat/>
    <w:uiPriority w:val="0"/>
    <w:pPr>
      <w:adjustRightInd w:val="0"/>
      <w:snapToGrid w:val="0"/>
      <w:jc w:val="center"/>
      <w:textAlignment w:val="baseline"/>
    </w:pPr>
    <w:rPr>
      <w:rFonts w:ascii="宋体" w:hAnsi="宋体" w:cs="宋体"/>
      <w:kern w:val="0"/>
      <w:szCs w:val="20"/>
    </w:rPr>
  </w:style>
  <w:style w:type="paragraph" w:customStyle="1" w:styleId="2753">
    <w:name w:val="表内宋5中13"/>
    <w:basedOn w:val="1"/>
    <w:qFormat/>
    <w:uiPriority w:val="0"/>
    <w:pPr>
      <w:adjustRightInd w:val="0"/>
      <w:snapToGrid w:val="0"/>
      <w:jc w:val="center"/>
      <w:textAlignment w:val="baseline"/>
    </w:pPr>
    <w:rPr>
      <w:rFonts w:ascii="宋体" w:hAnsi="宋体" w:cs="宋体"/>
      <w:kern w:val="0"/>
      <w:szCs w:val="20"/>
    </w:rPr>
  </w:style>
  <w:style w:type="paragraph" w:customStyle="1" w:styleId="2754">
    <w:name w:val="表内文字小112"/>
    <w:basedOn w:val="1"/>
    <w:qFormat/>
    <w:uiPriority w:val="0"/>
    <w:pPr>
      <w:adjustRightInd w:val="0"/>
      <w:snapToGrid w:val="0"/>
    </w:pPr>
    <w:rPr>
      <w:rFonts w:ascii="宋体" w:hAnsi="Times" w:cs="宋体"/>
      <w:szCs w:val="20"/>
    </w:rPr>
  </w:style>
  <w:style w:type="paragraph" w:customStyle="1" w:styleId="2755">
    <w:name w:val="标题4112"/>
    <w:basedOn w:val="1"/>
    <w:qFormat/>
    <w:uiPriority w:val="0"/>
    <w:pPr>
      <w:adjustRightInd w:val="0"/>
      <w:snapToGrid w:val="0"/>
      <w:spacing w:line="300" w:lineRule="auto"/>
      <w:jc w:val="left"/>
    </w:pPr>
    <w:rPr>
      <w:rFonts w:ascii="黑体" w:hAnsi="宋体" w:eastAsia="黑体" w:cs="宋体"/>
      <w:bCs/>
      <w:sz w:val="24"/>
      <w:szCs w:val="20"/>
    </w:rPr>
  </w:style>
  <w:style w:type="paragraph" w:customStyle="1" w:styleId="2756">
    <w:name w:val="表题1412"/>
    <w:basedOn w:val="1"/>
    <w:qFormat/>
    <w:uiPriority w:val="0"/>
    <w:pPr>
      <w:widowControl/>
      <w:adjustRightInd w:val="0"/>
      <w:snapToGrid w:val="0"/>
      <w:jc w:val="center"/>
    </w:pPr>
    <w:rPr>
      <w:rFonts w:ascii="黑体" w:hAnsi="宋体" w:eastAsia="黑体" w:cs="宋体"/>
      <w:kern w:val="0"/>
      <w:sz w:val="24"/>
    </w:rPr>
  </w:style>
  <w:style w:type="paragraph" w:customStyle="1" w:styleId="2757">
    <w:name w:val="表内文字小82"/>
    <w:basedOn w:val="1"/>
    <w:qFormat/>
    <w:uiPriority w:val="0"/>
    <w:pPr>
      <w:adjustRightInd w:val="0"/>
      <w:snapToGrid w:val="0"/>
      <w:jc w:val="center"/>
    </w:pPr>
    <w:rPr>
      <w:rFonts w:ascii="宋体" w:hAnsi="Times" w:cs="宋体"/>
      <w:szCs w:val="20"/>
    </w:rPr>
  </w:style>
  <w:style w:type="paragraph" w:customStyle="1" w:styleId="2758">
    <w:name w:val="默认段落字体 Para Char22"/>
    <w:basedOn w:val="1"/>
    <w:next w:val="1"/>
    <w:qFormat/>
    <w:uiPriority w:val="0"/>
    <w:pPr>
      <w:spacing w:line="480" w:lineRule="exact"/>
      <w:ind w:firstLine="200" w:firstLineChars="200"/>
      <w:jc w:val="left"/>
    </w:pPr>
    <w:rPr>
      <w:rFonts w:ascii="宋体" w:hAnsi="宋体" w:eastAsia="汉鼎简书宋" w:cs="宋体"/>
      <w:sz w:val="28"/>
    </w:rPr>
  </w:style>
  <w:style w:type="paragraph" w:customStyle="1" w:styleId="2759">
    <w:name w:val="表内5中3"/>
    <w:basedOn w:val="1"/>
    <w:qFormat/>
    <w:uiPriority w:val="0"/>
    <w:pPr>
      <w:adjustRightInd w:val="0"/>
      <w:snapToGrid w:val="0"/>
      <w:jc w:val="center"/>
    </w:pPr>
    <w:rPr>
      <w:rFonts w:ascii="宋体" w:hAnsi="宋体" w:cs="Arial"/>
      <w:snapToGrid w:val="0"/>
      <w:color w:val="000000"/>
      <w:szCs w:val="21"/>
    </w:rPr>
  </w:style>
  <w:style w:type="paragraph" w:customStyle="1" w:styleId="2760">
    <w:name w:val="Default2"/>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character" w:customStyle="1" w:styleId="2761">
    <w:name w:val="标题 1 Char4"/>
    <w:qFormat/>
    <w:uiPriority w:val="0"/>
    <w:rPr>
      <w:rFonts w:ascii="黑体" w:hAnsi="宋体" w:eastAsia="黑体"/>
      <w:b/>
      <w:bCs/>
      <w:kern w:val="44"/>
      <w:sz w:val="32"/>
      <w:szCs w:val="32"/>
      <w:lang w:val="en-US" w:eastAsia="zh-CN" w:bidi="ar-SA"/>
    </w:rPr>
  </w:style>
  <w:style w:type="paragraph" w:customStyle="1" w:styleId="2762">
    <w:name w:val="正文格式62"/>
    <w:basedOn w:val="1"/>
    <w:qFormat/>
    <w:uiPriority w:val="0"/>
    <w:pPr>
      <w:spacing w:line="360" w:lineRule="auto"/>
      <w:ind w:firstLine="482"/>
    </w:pPr>
    <w:rPr>
      <w:rFonts w:ascii="宋体" w:hAnsi="宋体"/>
      <w:sz w:val="24"/>
    </w:rPr>
  </w:style>
  <w:style w:type="paragraph" w:customStyle="1" w:styleId="2763">
    <w:name w:val="正文格式＝52"/>
    <w:basedOn w:val="223"/>
    <w:next w:val="223"/>
    <w:qFormat/>
    <w:uiPriority w:val="0"/>
    <w:rPr>
      <w:rFonts w:hAnsi="宋体" w:cs="Times New Roman"/>
    </w:rPr>
  </w:style>
  <w:style w:type="paragraph" w:customStyle="1" w:styleId="2764">
    <w:name w:val="附件32"/>
    <w:basedOn w:val="4"/>
    <w:next w:val="223"/>
    <w:qFormat/>
    <w:uiPriority w:val="0"/>
    <w:pPr>
      <w:adjustRightInd w:val="0"/>
      <w:snapToGrid w:val="0"/>
      <w:spacing w:before="0" w:after="0" w:line="360" w:lineRule="auto"/>
      <w:jc w:val="left"/>
    </w:pPr>
    <w:rPr>
      <w:rFonts w:ascii="黑体" w:hAnsi="宋体" w:eastAsia="黑体"/>
      <w:b w:val="0"/>
      <w:sz w:val="32"/>
      <w:szCs w:val="32"/>
    </w:rPr>
  </w:style>
  <w:style w:type="paragraph" w:customStyle="1" w:styleId="2765">
    <w:name w:val="图题62"/>
    <w:basedOn w:val="223"/>
    <w:next w:val="223"/>
    <w:qFormat/>
    <w:uiPriority w:val="0"/>
    <w:pPr>
      <w:ind w:firstLine="0"/>
      <w:jc w:val="center"/>
    </w:pPr>
    <w:rPr>
      <w:rFonts w:ascii="黑体" w:hAnsi="宋体" w:eastAsia="黑体"/>
      <w:b/>
      <w:bCs/>
      <w:kern w:val="0"/>
    </w:rPr>
  </w:style>
  <w:style w:type="character" w:customStyle="1" w:styleId="2766">
    <w:name w:val="图题 Char2"/>
    <w:qFormat/>
    <w:uiPriority w:val="0"/>
    <w:rPr>
      <w:rFonts w:ascii="黑体" w:hAnsi="宋体" w:eastAsia="黑体" w:cs="宋体"/>
      <w:b/>
      <w:bCs/>
      <w:kern w:val="2"/>
      <w:sz w:val="24"/>
      <w:szCs w:val="24"/>
      <w:lang w:val="en-US" w:eastAsia="zh-CN" w:bidi="ar-SA"/>
    </w:rPr>
  </w:style>
  <w:style w:type="paragraph" w:customStyle="1" w:styleId="2767">
    <w:name w:val="表格内字体62"/>
    <w:basedOn w:val="223"/>
    <w:next w:val="223"/>
    <w:qFormat/>
    <w:uiPriority w:val="0"/>
    <w:pPr>
      <w:spacing w:line="240" w:lineRule="auto"/>
      <w:ind w:firstLine="0"/>
      <w:jc w:val="center"/>
    </w:pPr>
    <w:rPr>
      <w:rFonts w:hAnsi="宋体" w:cs="Times New Roman"/>
      <w:sz w:val="21"/>
    </w:rPr>
  </w:style>
  <w:style w:type="character" w:customStyle="1" w:styleId="2768">
    <w:name w:val="页眉 Char3"/>
    <w:qFormat/>
    <w:uiPriority w:val="0"/>
    <w:rPr>
      <w:rFonts w:eastAsia="宋体"/>
      <w:kern w:val="2"/>
      <w:sz w:val="18"/>
      <w:szCs w:val="18"/>
      <w:lang w:val="en-US" w:eastAsia="zh-CN" w:bidi="ar-SA"/>
    </w:rPr>
  </w:style>
  <w:style w:type="character" w:customStyle="1" w:styleId="2769">
    <w:name w:val="页脚 Char3"/>
    <w:qFormat/>
    <w:uiPriority w:val="0"/>
    <w:rPr>
      <w:rFonts w:eastAsia="宋体"/>
      <w:kern w:val="2"/>
      <w:sz w:val="18"/>
      <w:szCs w:val="18"/>
      <w:lang w:val="en-US" w:eastAsia="zh-CN" w:bidi="ar-SA"/>
    </w:rPr>
  </w:style>
  <w:style w:type="paragraph" w:customStyle="1" w:styleId="2770">
    <w:name w:val="黑体三号42"/>
    <w:basedOn w:val="223"/>
    <w:qFormat/>
    <w:uiPriority w:val="0"/>
    <w:pPr>
      <w:jc w:val="center"/>
    </w:pPr>
    <w:rPr>
      <w:rFonts w:ascii="黑体" w:hAnsi="宋体" w:eastAsia="黑体"/>
      <w:b/>
      <w:bCs/>
      <w:sz w:val="32"/>
      <w:szCs w:val="20"/>
    </w:rPr>
  </w:style>
  <w:style w:type="paragraph" w:customStyle="1" w:styleId="2771">
    <w:name w:val="默认段落字体 Para Char Char Char Char42"/>
    <w:basedOn w:val="1"/>
    <w:qFormat/>
    <w:uiPriority w:val="0"/>
  </w:style>
  <w:style w:type="paragraph" w:customStyle="1" w:styleId="2772">
    <w:name w:val="图表题2"/>
    <w:basedOn w:val="223"/>
    <w:next w:val="223"/>
    <w:qFormat/>
    <w:uiPriority w:val="0"/>
    <w:pPr>
      <w:ind w:firstLine="0"/>
      <w:jc w:val="center"/>
    </w:pPr>
    <w:rPr>
      <w:rFonts w:ascii="黑体" w:hAnsi="宋体" w:eastAsia="黑体"/>
      <w:b/>
      <w:bCs/>
    </w:rPr>
  </w:style>
  <w:style w:type="character" w:customStyle="1" w:styleId="2773">
    <w:name w:val="图表题 Char2"/>
    <w:qFormat/>
    <w:uiPriority w:val="0"/>
    <w:rPr>
      <w:rFonts w:ascii="黑体" w:eastAsia="黑体" w:cs="宋体"/>
      <w:b/>
      <w:bCs/>
      <w:kern w:val="2"/>
      <w:sz w:val="24"/>
      <w:szCs w:val="24"/>
      <w:lang w:val="en-US" w:eastAsia="zh-CN" w:bidi="ar-SA"/>
    </w:rPr>
  </w:style>
  <w:style w:type="paragraph" w:customStyle="1" w:styleId="2774">
    <w:name w:val="样式 表格内字体 +2"/>
    <w:basedOn w:val="2053"/>
    <w:qFormat/>
    <w:uiPriority w:val="0"/>
    <w:pPr>
      <w:spacing w:line="280" w:lineRule="exact"/>
      <w:ind w:firstLine="36"/>
      <w:jc w:val="both"/>
    </w:pPr>
    <w:rPr>
      <w:kern w:val="0"/>
    </w:rPr>
  </w:style>
  <w:style w:type="character" w:customStyle="1" w:styleId="2775">
    <w:name w:val="样式 表格内字体 + Char2"/>
    <w:qFormat/>
    <w:uiPriority w:val="0"/>
  </w:style>
  <w:style w:type="paragraph" w:customStyle="1" w:styleId="2776">
    <w:name w:val="A正文2"/>
    <w:basedOn w:val="1"/>
    <w:qFormat/>
    <w:uiPriority w:val="0"/>
    <w:pPr>
      <w:widowControl/>
      <w:overflowPunct w:val="0"/>
      <w:autoSpaceDE w:val="0"/>
      <w:autoSpaceDN w:val="0"/>
      <w:adjustRightInd w:val="0"/>
      <w:spacing w:line="360" w:lineRule="auto"/>
      <w:ind w:firstLine="200" w:firstLineChars="200"/>
      <w:jc w:val="left"/>
      <w:textAlignment w:val="baseline"/>
    </w:pPr>
    <w:rPr>
      <w:rFonts w:eastAsia="仿宋_GB2312"/>
      <w:kern w:val="0"/>
      <w:sz w:val="24"/>
    </w:rPr>
  </w:style>
  <w:style w:type="character" w:customStyle="1" w:styleId="2777">
    <w:name w:val="A正文 Char2"/>
    <w:qFormat/>
    <w:uiPriority w:val="0"/>
    <w:rPr>
      <w:rFonts w:eastAsia="仿宋_GB2312"/>
      <w:kern w:val="2"/>
      <w:sz w:val="24"/>
      <w:szCs w:val="24"/>
      <w:lang w:val="en-US" w:eastAsia="zh-CN" w:bidi="ar-SA"/>
    </w:rPr>
  </w:style>
  <w:style w:type="paragraph" w:customStyle="1" w:styleId="2778">
    <w:name w:val="图题注2"/>
    <w:basedOn w:val="23"/>
    <w:qFormat/>
    <w:uiPriority w:val="0"/>
    <w:pPr>
      <w:tabs>
        <w:tab w:val="clear" w:pos="7380"/>
      </w:tabs>
      <w:overflowPunct/>
      <w:spacing w:before="0" w:afterLines="0"/>
      <w:jc w:val="center"/>
    </w:pPr>
    <w:rPr>
      <w:rFonts w:ascii="黑体" w:cs="宋体"/>
      <w:b/>
      <w:bCs/>
      <w:sz w:val="24"/>
      <w:szCs w:val="24"/>
    </w:rPr>
  </w:style>
  <w:style w:type="character" w:customStyle="1" w:styleId="2779">
    <w:name w:val="图题注 Char2"/>
    <w:qFormat/>
    <w:uiPriority w:val="0"/>
    <w:rPr>
      <w:rFonts w:ascii="黑体" w:hAnsi="Arial" w:eastAsia="黑体" w:cs="宋体"/>
      <w:b/>
      <w:bCs/>
      <w:kern w:val="2"/>
      <w:sz w:val="24"/>
      <w:szCs w:val="24"/>
      <w:lang w:val="en-US" w:eastAsia="zh-CN" w:bidi="ar-SA"/>
    </w:rPr>
  </w:style>
  <w:style w:type="paragraph" w:customStyle="1" w:styleId="2780">
    <w:name w:val="Char72"/>
    <w:basedOn w:val="1"/>
    <w:qFormat/>
    <w:uiPriority w:val="0"/>
    <w:pPr>
      <w:ind w:left="-48"/>
    </w:pPr>
  </w:style>
  <w:style w:type="paragraph" w:customStyle="1" w:styleId="2781">
    <w:name w:val="表格内字体112"/>
    <w:basedOn w:val="223"/>
    <w:qFormat/>
    <w:uiPriority w:val="0"/>
    <w:pPr>
      <w:spacing w:line="240" w:lineRule="auto"/>
      <w:ind w:firstLine="0"/>
      <w:jc w:val="center"/>
    </w:pPr>
    <w:rPr>
      <w:sz w:val="21"/>
      <w:szCs w:val="20"/>
    </w:rPr>
  </w:style>
  <w:style w:type="paragraph" w:customStyle="1" w:styleId="2782">
    <w:name w:val="Char Char2 Char Char Char Char6"/>
    <w:basedOn w:val="1"/>
    <w:qFormat/>
    <w:uiPriority w:val="0"/>
  </w:style>
  <w:style w:type="paragraph" w:customStyle="1" w:styleId="2783">
    <w:name w:val="样式 正文缩进 + 宋体 黑色 首行缩进:  2 字符2"/>
    <w:basedOn w:val="22"/>
    <w:qFormat/>
    <w:uiPriority w:val="0"/>
    <w:pPr>
      <w:spacing w:line="360" w:lineRule="auto"/>
      <w:ind w:firstLine="480"/>
      <w:jc w:val="left"/>
    </w:pPr>
    <w:rPr>
      <w:rFonts w:ascii="宋体" w:hAnsi="宋体" w:cs="宋体"/>
      <w:color w:val="FF00FF"/>
      <w:sz w:val="24"/>
      <w:szCs w:val="20"/>
    </w:rPr>
  </w:style>
  <w:style w:type="paragraph" w:customStyle="1" w:styleId="2784">
    <w:name w:val="环评正文2"/>
    <w:qFormat/>
    <w:uiPriority w:val="0"/>
    <w:pPr>
      <w:spacing w:line="440" w:lineRule="exact"/>
      <w:ind w:firstLine="200" w:firstLineChars="200"/>
    </w:pPr>
    <w:rPr>
      <w:rFonts w:ascii="Times New Roman" w:hAnsi="Times New Roman" w:eastAsia="宋体" w:cs="Times New Roman"/>
      <w:bCs/>
      <w:kern w:val="2"/>
      <w:sz w:val="24"/>
      <w:szCs w:val="24"/>
      <w:lang w:val="en-US" w:eastAsia="zh-CN" w:bidi="ar-SA"/>
    </w:rPr>
  </w:style>
  <w:style w:type="character" w:customStyle="1" w:styleId="2785">
    <w:name w:val="环评正文 Char2"/>
    <w:qFormat/>
    <w:uiPriority w:val="0"/>
    <w:rPr>
      <w:rFonts w:eastAsia="宋体"/>
      <w:bCs/>
      <w:kern w:val="2"/>
      <w:sz w:val="24"/>
      <w:szCs w:val="24"/>
      <w:lang w:val="en-US" w:eastAsia="zh-CN" w:bidi="ar-SA"/>
    </w:rPr>
  </w:style>
  <w:style w:type="paragraph" w:customStyle="1" w:styleId="2786">
    <w:name w:val="注释2"/>
    <w:basedOn w:val="223"/>
    <w:next w:val="35"/>
    <w:qFormat/>
    <w:uiPriority w:val="0"/>
    <w:pPr>
      <w:spacing w:before="120" w:after="120" w:line="240" w:lineRule="auto"/>
      <w:ind w:firstLine="200" w:firstLineChars="200"/>
    </w:pPr>
    <w:rPr>
      <w:sz w:val="21"/>
      <w:szCs w:val="20"/>
    </w:rPr>
  </w:style>
  <w:style w:type="paragraph" w:customStyle="1" w:styleId="2787">
    <w:name w:val="样式42"/>
    <w:basedOn w:val="35"/>
    <w:qFormat/>
    <w:uiPriority w:val="0"/>
    <w:pPr>
      <w:tabs>
        <w:tab w:val="left" w:pos="1820"/>
      </w:tabs>
      <w:snapToGrid w:val="0"/>
      <w:spacing w:after="0" w:line="240" w:lineRule="atLeast"/>
      <w:jc w:val="center"/>
    </w:pPr>
    <w:rPr>
      <w:rFonts w:eastAsia="幼圆"/>
      <w:kern w:val="0"/>
      <w:szCs w:val="20"/>
    </w:rPr>
  </w:style>
  <w:style w:type="paragraph" w:customStyle="1" w:styleId="2788">
    <w:name w:val="标题413"/>
    <w:basedOn w:val="7"/>
    <w:next w:val="1"/>
    <w:qFormat/>
    <w:uiPriority w:val="0"/>
    <w:pPr>
      <w:spacing w:before="160" w:after="170" w:line="360" w:lineRule="auto"/>
    </w:pPr>
    <w:rPr>
      <w:rFonts w:ascii="黑体" w:eastAsia="黑体"/>
      <w:b/>
      <w:kern w:val="0"/>
      <w:sz w:val="24"/>
      <w:lang w:val="zh-CN"/>
    </w:rPr>
  </w:style>
  <w:style w:type="paragraph" w:customStyle="1" w:styleId="2789">
    <w:name w:val="表中文字42"/>
    <w:basedOn w:val="1"/>
    <w:qFormat/>
    <w:uiPriority w:val="0"/>
    <w:pPr>
      <w:snapToGrid w:val="0"/>
      <w:spacing w:line="340" w:lineRule="exact"/>
      <w:ind w:firstLine="480" w:firstLineChars="200"/>
      <w:jc w:val="center"/>
    </w:pPr>
    <w:rPr>
      <w:rFonts w:ascii="Arial" w:hAnsi="Arial"/>
      <w:kern w:val="0"/>
      <w:sz w:val="20"/>
      <w:lang w:eastAsia="zh-TW"/>
    </w:rPr>
  </w:style>
  <w:style w:type="character" w:customStyle="1" w:styleId="2790">
    <w:name w:val="表中文字 Char3"/>
    <w:qFormat/>
    <w:uiPriority w:val="0"/>
    <w:rPr>
      <w:rFonts w:ascii="Arial" w:hAnsi="Arial" w:eastAsia="宋体"/>
      <w:kern w:val="2"/>
      <w:sz w:val="24"/>
      <w:szCs w:val="24"/>
      <w:lang w:val="en-US" w:eastAsia="zh-TW" w:bidi="ar-SA"/>
    </w:rPr>
  </w:style>
  <w:style w:type="paragraph" w:customStyle="1" w:styleId="2791">
    <w:name w:val="样式 正文缩进 + 宋体 黑色2"/>
    <w:basedOn w:val="22"/>
    <w:qFormat/>
    <w:uiPriority w:val="0"/>
    <w:pPr>
      <w:spacing w:line="360" w:lineRule="auto"/>
      <w:ind w:firstLine="200"/>
      <w:jc w:val="left"/>
    </w:pPr>
    <w:rPr>
      <w:rFonts w:ascii="宋体" w:hAnsi="宋体"/>
      <w:color w:val="000000"/>
      <w:sz w:val="24"/>
    </w:rPr>
  </w:style>
  <w:style w:type="character" w:customStyle="1" w:styleId="2792">
    <w:name w:val="样式 正文缩进 + 宋体 黑色 Char2"/>
    <w:qFormat/>
    <w:uiPriority w:val="0"/>
    <w:rPr>
      <w:rFonts w:ascii="宋体" w:hAnsi="宋体" w:eastAsia="宋体"/>
      <w:color w:val="000000"/>
      <w:kern w:val="2"/>
      <w:sz w:val="24"/>
      <w:szCs w:val="24"/>
      <w:lang w:val="en-US" w:eastAsia="zh-CN" w:bidi="ar-SA"/>
    </w:rPr>
  </w:style>
  <w:style w:type="paragraph" w:customStyle="1" w:styleId="2793">
    <w:name w:val="表内512"/>
    <w:basedOn w:val="1"/>
    <w:qFormat/>
    <w:uiPriority w:val="0"/>
    <w:pPr>
      <w:adjustRightInd w:val="0"/>
      <w:snapToGrid w:val="0"/>
      <w:jc w:val="center"/>
    </w:pPr>
    <w:rPr>
      <w:rFonts w:ascii="宋体" w:hAnsi="宋体"/>
      <w:kern w:val="0"/>
      <w:sz w:val="20"/>
      <w:szCs w:val="20"/>
    </w:rPr>
  </w:style>
  <w:style w:type="character" w:customStyle="1" w:styleId="2794">
    <w:name w:val="表内5 Char3"/>
    <w:qFormat/>
    <w:uiPriority w:val="0"/>
    <w:rPr>
      <w:rFonts w:ascii="宋体" w:hAnsi="宋体" w:eastAsia="宋体" w:cs="Times New Roman"/>
      <w:kern w:val="2"/>
      <w:sz w:val="24"/>
      <w:szCs w:val="24"/>
      <w:lang w:val="en-US" w:eastAsia="zh-CN" w:bidi="ar-SA"/>
    </w:rPr>
  </w:style>
  <w:style w:type="paragraph" w:customStyle="1" w:styleId="2795">
    <w:name w:val="样式 样式 宋体 + 首行缩进:  2 字符12"/>
    <w:basedOn w:val="1"/>
    <w:qFormat/>
    <w:uiPriority w:val="0"/>
    <w:pPr>
      <w:spacing w:line="360" w:lineRule="auto"/>
      <w:ind w:firstLine="480" w:firstLineChars="200"/>
      <w:jc w:val="left"/>
    </w:pPr>
    <w:rPr>
      <w:rFonts w:ascii="宋体" w:cs="宋体"/>
      <w:sz w:val="24"/>
    </w:rPr>
  </w:style>
  <w:style w:type="paragraph" w:customStyle="1" w:styleId="2796">
    <w:name w:val="表内宋5中22"/>
    <w:basedOn w:val="1"/>
    <w:qFormat/>
    <w:uiPriority w:val="0"/>
    <w:pPr>
      <w:adjustRightInd w:val="0"/>
      <w:snapToGrid w:val="0"/>
      <w:jc w:val="center"/>
      <w:textAlignment w:val="baseline"/>
    </w:pPr>
    <w:rPr>
      <w:rFonts w:ascii="宋体" w:hAnsi="宋体"/>
      <w:kern w:val="0"/>
      <w:szCs w:val="20"/>
    </w:rPr>
  </w:style>
  <w:style w:type="paragraph" w:customStyle="1" w:styleId="2797">
    <w:name w:val="xl632"/>
    <w:basedOn w:val="1"/>
    <w:qFormat/>
    <w:uiPriority w:val="0"/>
    <w:pPr>
      <w:widowControl/>
      <w:spacing w:before="100" w:beforeAutospacing="1" w:after="100" w:afterAutospacing="1"/>
      <w:jc w:val="center"/>
      <w:textAlignment w:val="center"/>
    </w:pPr>
    <w:rPr>
      <w:rFonts w:hint="eastAsia" w:ascii="黑体" w:hAnsi="宋体" w:eastAsia="黑体"/>
      <w:kern w:val="0"/>
      <w:sz w:val="24"/>
    </w:rPr>
  </w:style>
  <w:style w:type="paragraph" w:customStyle="1" w:styleId="2798">
    <w:name w:val="标准2"/>
    <w:basedOn w:val="1"/>
    <w:qFormat/>
    <w:uiPriority w:val="0"/>
    <w:pPr>
      <w:adjustRightInd w:val="0"/>
      <w:spacing w:before="120" w:line="336" w:lineRule="auto"/>
      <w:jc w:val="center"/>
      <w:textAlignment w:val="baseline"/>
    </w:pPr>
    <w:rPr>
      <w:rFonts w:ascii="黑体" w:eastAsia="黑体"/>
      <w:szCs w:val="20"/>
    </w:rPr>
  </w:style>
  <w:style w:type="paragraph" w:customStyle="1" w:styleId="2799">
    <w:name w:val="Fax Header2"/>
    <w:basedOn w:val="1"/>
    <w:qFormat/>
    <w:uiPriority w:val="0"/>
    <w:pPr>
      <w:widowControl/>
      <w:spacing w:before="240" w:after="60"/>
      <w:jc w:val="left"/>
    </w:pPr>
    <w:rPr>
      <w:kern w:val="0"/>
      <w:sz w:val="20"/>
      <w:szCs w:val="20"/>
    </w:rPr>
  </w:style>
  <w:style w:type="paragraph" w:customStyle="1" w:styleId="2800">
    <w:name w:val="样式 表格内字体1 +2"/>
    <w:basedOn w:val="2142"/>
    <w:next w:val="2053"/>
    <w:qFormat/>
    <w:uiPriority w:val="0"/>
    <w:rPr>
      <w:rFonts w:hAnsi="Times New Roman" w:cs="宋体"/>
      <w:szCs w:val="20"/>
    </w:rPr>
  </w:style>
  <w:style w:type="paragraph" w:customStyle="1" w:styleId="2801">
    <w:name w:val="默认段落字体 Para Char32"/>
    <w:basedOn w:val="1"/>
    <w:qFormat/>
    <w:uiPriority w:val="0"/>
    <w:pPr>
      <w:spacing w:line="360" w:lineRule="auto"/>
      <w:ind w:firstLine="200" w:firstLineChars="200"/>
    </w:pPr>
    <w:rPr>
      <w:rFonts w:ascii="宋体" w:hAnsi="宋体" w:cs="宋体"/>
      <w:sz w:val="24"/>
    </w:rPr>
  </w:style>
  <w:style w:type="paragraph" w:customStyle="1" w:styleId="2802">
    <w:name w:val="正文斜体2"/>
    <w:basedOn w:val="223"/>
    <w:next w:val="223"/>
    <w:qFormat/>
    <w:uiPriority w:val="0"/>
    <w:rPr>
      <w:rFonts w:hAnsi="宋体" w:cs="Times New Roman"/>
      <w:i/>
      <w:iCs/>
    </w:rPr>
  </w:style>
  <w:style w:type="character" w:customStyle="1" w:styleId="2803">
    <w:name w:val="正文斜体 Char2"/>
    <w:qFormat/>
    <w:uiPriority w:val="0"/>
    <w:rPr>
      <w:rFonts w:ascii="宋体" w:eastAsia="宋体" w:cs="宋体"/>
      <w:i/>
      <w:iCs/>
      <w:kern w:val="2"/>
      <w:sz w:val="24"/>
      <w:szCs w:val="24"/>
      <w:lang w:val="en-US" w:eastAsia="zh-CN" w:bidi="ar-SA"/>
    </w:rPr>
  </w:style>
  <w:style w:type="paragraph" w:customStyle="1" w:styleId="2804">
    <w:name w:val="Char Char2 Char Char Char Char12"/>
    <w:basedOn w:val="1"/>
    <w:qFormat/>
    <w:uiPriority w:val="0"/>
  </w:style>
  <w:style w:type="paragraph" w:customStyle="1" w:styleId="2805">
    <w:name w:val="Char82"/>
    <w:basedOn w:val="1"/>
    <w:qFormat/>
    <w:uiPriority w:val="0"/>
    <w:pPr>
      <w:ind w:left="-48"/>
    </w:pPr>
  </w:style>
  <w:style w:type="paragraph" w:customStyle="1" w:styleId="2806">
    <w:name w:val="正文格式72"/>
    <w:basedOn w:val="1"/>
    <w:qFormat/>
    <w:uiPriority w:val="0"/>
    <w:pPr>
      <w:spacing w:line="360" w:lineRule="auto"/>
      <w:ind w:firstLine="482"/>
    </w:pPr>
    <w:rPr>
      <w:rFonts w:ascii="宋体" w:hAnsi="宋体"/>
      <w:sz w:val="24"/>
    </w:rPr>
  </w:style>
  <w:style w:type="character" w:customStyle="1" w:styleId="2807">
    <w:name w:val="题注 Char52"/>
    <w:qFormat/>
    <w:uiPriority w:val="0"/>
    <w:rPr>
      <w:rFonts w:ascii="黑体" w:hAnsi="Arial" w:eastAsia="黑体" w:cs="Arial"/>
      <w:b/>
      <w:kern w:val="2"/>
      <w:sz w:val="24"/>
      <w:szCs w:val="24"/>
      <w:lang w:val="en-US" w:eastAsia="zh-CN" w:bidi="ar-SA"/>
    </w:rPr>
  </w:style>
  <w:style w:type="paragraph" w:customStyle="1" w:styleId="2808">
    <w:name w:val="图题72"/>
    <w:basedOn w:val="223"/>
    <w:next w:val="223"/>
    <w:qFormat/>
    <w:uiPriority w:val="0"/>
    <w:pPr>
      <w:ind w:firstLine="0"/>
      <w:jc w:val="center"/>
    </w:pPr>
    <w:rPr>
      <w:rFonts w:ascii="黑体" w:hAnsi="宋体" w:eastAsia="黑体"/>
      <w:b/>
      <w:bCs/>
    </w:rPr>
  </w:style>
  <w:style w:type="paragraph" w:customStyle="1" w:styleId="2809">
    <w:name w:val="表格内字体72"/>
    <w:basedOn w:val="223"/>
    <w:next w:val="223"/>
    <w:qFormat/>
    <w:uiPriority w:val="0"/>
    <w:pPr>
      <w:spacing w:line="240" w:lineRule="auto"/>
      <w:ind w:firstLine="0"/>
      <w:jc w:val="center"/>
    </w:pPr>
    <w:rPr>
      <w:rFonts w:hAnsi="宋体" w:cs="Times New Roman"/>
      <w:sz w:val="21"/>
    </w:rPr>
  </w:style>
  <w:style w:type="paragraph" w:customStyle="1" w:styleId="2810">
    <w:name w:val="正文格式＝62"/>
    <w:basedOn w:val="223"/>
    <w:next w:val="223"/>
    <w:qFormat/>
    <w:uiPriority w:val="0"/>
    <w:rPr>
      <w:rFonts w:hAnsi="宋体" w:cs="Times New Roman"/>
    </w:rPr>
  </w:style>
  <w:style w:type="paragraph" w:customStyle="1" w:styleId="2811">
    <w:name w:val="表题152"/>
    <w:basedOn w:val="23"/>
    <w:qFormat/>
    <w:uiPriority w:val="0"/>
    <w:pPr>
      <w:tabs>
        <w:tab w:val="clear" w:pos="7380"/>
      </w:tabs>
      <w:overflowPunct/>
      <w:spacing w:before="0" w:afterLines="0" w:line="360" w:lineRule="auto"/>
      <w:jc w:val="center"/>
    </w:pPr>
    <w:rPr>
      <w:rFonts w:ascii="黑体" w:cs="Times New Roman"/>
      <w:b/>
      <w:sz w:val="24"/>
      <w:szCs w:val="24"/>
    </w:rPr>
  </w:style>
  <w:style w:type="character" w:customStyle="1" w:styleId="2812">
    <w:name w:val="表题1 Char62"/>
    <w:qFormat/>
    <w:uiPriority w:val="0"/>
    <w:rPr>
      <w:rFonts w:ascii="黑体" w:hAnsi="Arial" w:eastAsia="黑体" w:cs="Arial"/>
      <w:b/>
      <w:kern w:val="2"/>
      <w:sz w:val="24"/>
      <w:szCs w:val="24"/>
      <w:lang w:val="en-US" w:eastAsia="zh-CN" w:bidi="ar-SA"/>
    </w:rPr>
  </w:style>
  <w:style w:type="paragraph" w:customStyle="1" w:styleId="2813">
    <w:name w:val="燕山正文42"/>
    <w:basedOn w:val="1"/>
    <w:qFormat/>
    <w:uiPriority w:val="0"/>
    <w:pPr>
      <w:tabs>
        <w:tab w:val="left" w:pos="4680"/>
      </w:tabs>
      <w:adjustRightInd w:val="0"/>
      <w:snapToGrid w:val="0"/>
      <w:spacing w:line="480" w:lineRule="exact"/>
    </w:pPr>
    <w:rPr>
      <w:rFonts w:ascii="宋体" w:cs="宋体"/>
      <w:sz w:val="24"/>
    </w:rPr>
  </w:style>
  <w:style w:type="paragraph" w:customStyle="1" w:styleId="2814">
    <w:name w:val="正文修改42"/>
    <w:basedOn w:val="2056"/>
    <w:qFormat/>
    <w:uiPriority w:val="0"/>
    <w:rPr>
      <w:rFonts w:hAnsi="宋体"/>
      <w:color w:val="000000"/>
    </w:rPr>
  </w:style>
  <w:style w:type="character" w:customStyle="1" w:styleId="2815">
    <w:name w:val="正文修改 Char142"/>
    <w:qFormat/>
    <w:uiPriority w:val="0"/>
  </w:style>
  <w:style w:type="paragraph" w:customStyle="1" w:styleId="2816">
    <w:name w:val="表中文字52"/>
    <w:basedOn w:val="1"/>
    <w:qFormat/>
    <w:uiPriority w:val="0"/>
    <w:pPr>
      <w:widowControl/>
      <w:spacing w:line="240" w:lineRule="atLeast"/>
      <w:ind w:left="-24" w:leftChars="-10" w:right="-48" w:rightChars="-20"/>
      <w:jc w:val="center"/>
    </w:pPr>
    <w:rPr>
      <w:rFonts w:ascii="宋体"/>
      <w:kern w:val="0"/>
      <w:szCs w:val="21"/>
    </w:rPr>
  </w:style>
  <w:style w:type="paragraph" w:customStyle="1" w:styleId="2817">
    <w:name w:val="默认段落字体 Para Char Char Char Char52"/>
    <w:basedOn w:val="1"/>
    <w:qFormat/>
    <w:uiPriority w:val="0"/>
  </w:style>
  <w:style w:type="paragraph" w:customStyle="1" w:styleId="2818">
    <w:name w:val="Char102"/>
    <w:basedOn w:val="1"/>
    <w:qFormat/>
    <w:uiPriority w:val="0"/>
    <w:pPr>
      <w:adjustRightInd w:val="0"/>
      <w:snapToGrid w:val="0"/>
      <w:spacing w:line="360" w:lineRule="auto"/>
    </w:pPr>
  </w:style>
  <w:style w:type="paragraph" w:customStyle="1" w:styleId="2819">
    <w:name w:val="封面标准文稿编辑信息2"/>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2820">
    <w:name w:val="样式 表内小5 + 黑体 加粗 倾斜 下划线2"/>
    <w:basedOn w:val="1"/>
    <w:qFormat/>
    <w:uiPriority w:val="0"/>
    <w:pPr>
      <w:adjustRightInd w:val="0"/>
      <w:snapToGrid w:val="0"/>
      <w:spacing w:line="300" w:lineRule="auto"/>
      <w:jc w:val="left"/>
    </w:pPr>
    <w:rPr>
      <w:rFonts w:ascii="黑体" w:hAnsi="黑体" w:eastAsia="黑体"/>
      <w:b/>
      <w:bCs/>
      <w:i/>
      <w:iCs/>
      <w:sz w:val="18"/>
      <w:u w:val="single"/>
    </w:rPr>
  </w:style>
  <w:style w:type="character" w:customStyle="1" w:styleId="2821">
    <w:name w:val="样式 表内小5 + 黑体 加粗 倾斜 下划线 Char2"/>
    <w:qFormat/>
    <w:uiPriority w:val="0"/>
    <w:rPr>
      <w:rFonts w:ascii="黑体" w:hAnsi="黑体" w:eastAsia="黑体"/>
      <w:b/>
      <w:bCs/>
      <w:i/>
      <w:iCs/>
      <w:kern w:val="2"/>
      <w:sz w:val="18"/>
      <w:szCs w:val="24"/>
      <w:u w:val="single"/>
      <w:lang w:val="en-US" w:eastAsia="zh-CN" w:bidi="ar-SA"/>
    </w:rPr>
  </w:style>
  <w:style w:type="paragraph" w:customStyle="1" w:styleId="2822">
    <w:name w:val="表内5中12"/>
    <w:basedOn w:val="1"/>
    <w:qFormat/>
    <w:uiPriority w:val="0"/>
    <w:pPr>
      <w:adjustRightInd w:val="0"/>
      <w:snapToGrid w:val="0"/>
      <w:jc w:val="center"/>
    </w:pPr>
    <w:rPr>
      <w:rFonts w:ascii="宋体" w:hAnsi="宋体" w:cs="Arial"/>
      <w:snapToGrid w:val="0"/>
      <w:color w:val="000000"/>
      <w:szCs w:val="21"/>
    </w:rPr>
  </w:style>
  <w:style w:type="paragraph" w:customStyle="1" w:styleId="2823">
    <w:name w:val="表内54142"/>
    <w:basedOn w:val="1"/>
    <w:qFormat/>
    <w:uiPriority w:val="0"/>
    <w:pPr>
      <w:adjustRightInd w:val="0"/>
      <w:snapToGrid w:val="0"/>
      <w:spacing w:line="300" w:lineRule="auto"/>
      <w:jc w:val="center"/>
    </w:pPr>
    <w:rPr>
      <w:rFonts w:ascii="宋体" w:hAnsi="宋体" w:cs="宋体"/>
      <w:szCs w:val="20"/>
    </w:rPr>
  </w:style>
  <w:style w:type="paragraph" w:customStyle="1" w:styleId="2824">
    <w:name w:val="表格12"/>
    <w:basedOn w:val="1"/>
    <w:qFormat/>
    <w:uiPriority w:val="0"/>
    <w:pPr>
      <w:adjustRightInd w:val="0"/>
      <w:jc w:val="center"/>
      <w:textAlignment w:val="baseline"/>
    </w:pPr>
    <w:rPr>
      <w:rFonts w:ascii="宋体"/>
      <w:kern w:val="0"/>
      <w:sz w:val="24"/>
      <w:szCs w:val="20"/>
    </w:rPr>
  </w:style>
  <w:style w:type="paragraph" w:customStyle="1" w:styleId="2825">
    <w:name w:val="c2"/>
    <w:qFormat/>
    <w:uiPriority w:val="0"/>
    <w:pPr>
      <w:widowControl w:val="0"/>
      <w:autoSpaceDE w:val="0"/>
      <w:autoSpaceDN w:val="0"/>
      <w:adjustRightInd w:val="0"/>
      <w:jc w:val="both"/>
    </w:pPr>
    <w:rPr>
      <w:rFonts w:ascii="Arial" w:hAnsi="Arial" w:eastAsia="宋体" w:cs="Times New Roman"/>
      <w:sz w:val="24"/>
      <w:lang w:val="en-US" w:eastAsia="zh-CN" w:bidi="ar-SA"/>
    </w:rPr>
  </w:style>
  <w:style w:type="paragraph" w:customStyle="1" w:styleId="2826">
    <w:name w:val="表题92"/>
    <w:basedOn w:val="47"/>
    <w:qFormat/>
    <w:uiPriority w:val="0"/>
    <w:pPr>
      <w:adjustRightInd w:val="0"/>
      <w:snapToGrid w:val="0"/>
      <w:spacing w:line="300" w:lineRule="auto"/>
      <w:jc w:val="center"/>
    </w:pPr>
    <w:rPr>
      <w:rFonts w:ascii="黑体" w:eastAsia="黑体" w:cs="Times New Roman"/>
      <w:sz w:val="24"/>
      <w:szCs w:val="20"/>
    </w:rPr>
  </w:style>
  <w:style w:type="paragraph" w:customStyle="1" w:styleId="2827">
    <w:name w:val="福建正文缩进2"/>
    <w:basedOn w:val="22"/>
    <w:qFormat/>
    <w:uiPriority w:val="0"/>
    <w:pPr>
      <w:widowControl/>
      <w:tabs>
        <w:tab w:val="left" w:pos="5837"/>
      </w:tabs>
      <w:adjustRightInd w:val="0"/>
      <w:snapToGrid w:val="0"/>
      <w:spacing w:line="480" w:lineRule="exact"/>
      <w:ind w:firstLine="0" w:firstLineChars="0"/>
    </w:pPr>
    <w:rPr>
      <w:rFonts w:ascii="宋体" w:hAnsi="宋体" w:cs="宋体"/>
      <w:color w:val="000000"/>
      <w:kern w:val="0"/>
      <w:sz w:val="24"/>
    </w:rPr>
  </w:style>
  <w:style w:type="character" w:customStyle="1" w:styleId="2828">
    <w:name w:val="福建正文缩进 Char2"/>
    <w:qFormat/>
    <w:uiPriority w:val="0"/>
    <w:rPr>
      <w:rFonts w:ascii="宋体" w:hAnsi="宋体" w:eastAsia="宋体" w:cs="宋体"/>
      <w:color w:val="000000"/>
      <w:kern w:val="2"/>
      <w:sz w:val="24"/>
      <w:szCs w:val="24"/>
      <w:lang w:val="en-US" w:eastAsia="zh-CN" w:bidi="ar-SA"/>
    </w:rPr>
  </w:style>
  <w:style w:type="paragraph" w:customStyle="1" w:styleId="2829">
    <w:name w:val="表内文字小13"/>
    <w:basedOn w:val="1"/>
    <w:qFormat/>
    <w:uiPriority w:val="0"/>
    <w:pPr>
      <w:adjustRightInd w:val="0"/>
      <w:snapToGrid w:val="0"/>
      <w:jc w:val="center"/>
    </w:pPr>
    <w:rPr>
      <w:rFonts w:ascii="宋体" w:hAnsi="Times"/>
      <w:szCs w:val="20"/>
    </w:rPr>
  </w:style>
  <w:style w:type="paragraph" w:customStyle="1" w:styleId="2830">
    <w:name w:val="表内592"/>
    <w:basedOn w:val="1"/>
    <w:qFormat/>
    <w:uiPriority w:val="0"/>
    <w:pPr>
      <w:adjustRightInd w:val="0"/>
      <w:snapToGrid w:val="0"/>
      <w:spacing w:line="300" w:lineRule="auto"/>
      <w:jc w:val="center"/>
    </w:pPr>
    <w:rPr>
      <w:rFonts w:ascii="宋体"/>
      <w:snapToGrid w:val="0"/>
      <w:szCs w:val="21"/>
    </w:rPr>
  </w:style>
  <w:style w:type="character" w:customStyle="1" w:styleId="2831">
    <w:name w:val="正文首行缩进 2 Char2"/>
    <w:qFormat/>
    <w:uiPriority w:val="0"/>
    <w:rPr>
      <w:rFonts w:ascii="Times New Roman" w:hAnsi="Times New Roman" w:eastAsia="宋体"/>
      <w:kern w:val="2"/>
      <w:sz w:val="21"/>
      <w:lang w:val="en-US" w:eastAsia="zh-CN" w:bidi="ar-SA"/>
    </w:rPr>
  </w:style>
  <w:style w:type="paragraph" w:customStyle="1" w:styleId="2832">
    <w:name w:val="表内小5中2"/>
    <w:basedOn w:val="1"/>
    <w:qFormat/>
    <w:uiPriority w:val="0"/>
    <w:pPr>
      <w:adjustRightInd w:val="0"/>
      <w:snapToGrid w:val="0"/>
      <w:jc w:val="center"/>
    </w:pPr>
    <w:rPr>
      <w:rFonts w:ascii="宋体" w:hAnsi="宋体"/>
      <w:sz w:val="18"/>
      <w:szCs w:val="20"/>
    </w:rPr>
  </w:style>
  <w:style w:type="paragraph" w:customStyle="1" w:styleId="2833">
    <w:name w:val="表内5中42"/>
    <w:basedOn w:val="1"/>
    <w:qFormat/>
    <w:uiPriority w:val="0"/>
    <w:pPr>
      <w:adjustRightInd w:val="0"/>
      <w:snapToGrid w:val="0"/>
      <w:jc w:val="center"/>
    </w:pPr>
    <w:rPr>
      <w:rFonts w:ascii="宋体"/>
      <w:bCs/>
      <w:szCs w:val="20"/>
    </w:rPr>
  </w:style>
  <w:style w:type="paragraph" w:customStyle="1" w:styleId="2834">
    <w:name w:val="默认段落字体 Para Char42"/>
    <w:basedOn w:val="1"/>
    <w:next w:val="1"/>
    <w:qFormat/>
    <w:uiPriority w:val="0"/>
    <w:pPr>
      <w:spacing w:line="480" w:lineRule="exact"/>
      <w:ind w:firstLine="200" w:firstLineChars="200"/>
      <w:jc w:val="left"/>
    </w:pPr>
    <w:rPr>
      <w:rFonts w:ascii="宋体" w:hAnsi="宋体" w:eastAsia="汉鼎简书宋" w:cs="宋体"/>
      <w:sz w:val="28"/>
    </w:rPr>
  </w:style>
  <w:style w:type="paragraph" w:customStyle="1" w:styleId="2835">
    <w:name w:val="燕山正文132"/>
    <w:basedOn w:val="1"/>
    <w:qFormat/>
    <w:uiPriority w:val="0"/>
    <w:pPr>
      <w:tabs>
        <w:tab w:val="left" w:pos="4680"/>
      </w:tabs>
      <w:adjustRightInd w:val="0"/>
      <w:snapToGrid w:val="0"/>
      <w:spacing w:line="360" w:lineRule="auto"/>
      <w:ind w:firstLine="480" w:firstLineChars="200"/>
    </w:pPr>
    <w:rPr>
      <w:rFonts w:ascii="宋体" w:hAnsi="宋体" w:cs="宋体"/>
      <w:bCs/>
      <w:color w:val="000000"/>
      <w:sz w:val="24"/>
    </w:rPr>
  </w:style>
  <w:style w:type="paragraph" w:customStyle="1" w:styleId="2836">
    <w:name w:val="样式 标题 4无效格式无效格式1河石管道4H4H41小小节河石管道41H42H411小小节1河石管道42...3"/>
    <w:basedOn w:val="7"/>
    <w:qFormat/>
    <w:uiPriority w:val="0"/>
    <w:pPr>
      <w:adjustRightInd w:val="0"/>
      <w:snapToGrid w:val="0"/>
      <w:spacing w:line="360" w:lineRule="auto"/>
      <w:ind w:left="664" w:hanging="864"/>
    </w:pPr>
    <w:rPr>
      <w:rFonts w:ascii="黑体" w:eastAsia="黑体"/>
      <w:bCs w:val="0"/>
      <w:sz w:val="24"/>
      <w:szCs w:val="24"/>
      <w:lang w:val="zh-CN"/>
    </w:rPr>
  </w:style>
  <w:style w:type="paragraph" w:customStyle="1" w:styleId="2837">
    <w:name w:val="样式 标题 4无效格式无效格式1河石管道4H4H41小小节河石管道41H42H411小小节1河石管道42...12"/>
    <w:basedOn w:val="7"/>
    <w:qFormat/>
    <w:uiPriority w:val="0"/>
    <w:pPr>
      <w:adjustRightInd w:val="0"/>
      <w:snapToGrid w:val="0"/>
      <w:spacing w:line="360" w:lineRule="auto"/>
      <w:ind w:left="664" w:hanging="864"/>
      <w:jc w:val="left"/>
    </w:pPr>
    <w:rPr>
      <w:rFonts w:ascii="黑体" w:eastAsia="黑体" w:cs="宋体"/>
      <w:bCs w:val="0"/>
      <w:sz w:val="24"/>
      <w:szCs w:val="20"/>
      <w:lang w:val="zh-CN"/>
    </w:rPr>
  </w:style>
  <w:style w:type="paragraph" w:customStyle="1" w:styleId="2838">
    <w:name w:val="正文格式83"/>
    <w:basedOn w:val="1"/>
    <w:qFormat/>
    <w:uiPriority w:val="0"/>
    <w:pPr>
      <w:spacing w:line="360" w:lineRule="auto"/>
      <w:ind w:firstLine="482"/>
    </w:pPr>
    <w:rPr>
      <w:rFonts w:ascii="宋体" w:hAnsi="宋体"/>
      <w:sz w:val="24"/>
    </w:rPr>
  </w:style>
  <w:style w:type="paragraph" w:customStyle="1" w:styleId="2839">
    <w:name w:val="正文格式92"/>
    <w:basedOn w:val="1"/>
    <w:qFormat/>
    <w:uiPriority w:val="0"/>
    <w:pPr>
      <w:spacing w:line="360" w:lineRule="auto"/>
      <w:ind w:firstLine="482"/>
    </w:pPr>
    <w:rPr>
      <w:rFonts w:ascii="宋体" w:hAnsi="宋体"/>
      <w:sz w:val="24"/>
    </w:rPr>
  </w:style>
  <w:style w:type="paragraph" w:customStyle="1" w:styleId="2840">
    <w:name w:val="Char45"/>
    <w:basedOn w:val="1"/>
    <w:qFormat/>
    <w:uiPriority w:val="0"/>
    <w:pPr>
      <w:ind w:left="-48"/>
    </w:pPr>
  </w:style>
  <w:style w:type="paragraph" w:customStyle="1" w:styleId="2841">
    <w:name w:val="Char Char Char Char Char Char Char8"/>
    <w:basedOn w:val="1"/>
    <w:qFormat/>
    <w:uiPriority w:val="0"/>
  </w:style>
  <w:style w:type="paragraph" w:customStyle="1" w:styleId="2842">
    <w:name w:val="Char Char2 Char Char Char Char7"/>
    <w:basedOn w:val="1"/>
    <w:qFormat/>
    <w:uiPriority w:val="0"/>
  </w:style>
  <w:style w:type="paragraph" w:customStyle="1" w:styleId="2843">
    <w:name w:val="Char26"/>
    <w:basedOn w:val="1"/>
    <w:qFormat/>
    <w:uiPriority w:val="0"/>
    <w:pPr>
      <w:ind w:left="-48"/>
    </w:pPr>
  </w:style>
  <w:style w:type="paragraph" w:customStyle="1" w:styleId="2844">
    <w:name w:val="Char Char Char Char1 Char Char Char4"/>
    <w:basedOn w:val="1"/>
    <w:qFormat/>
    <w:uiPriority w:val="0"/>
    <w:pPr>
      <w:widowControl/>
      <w:spacing w:after="160" w:line="240" w:lineRule="exact"/>
      <w:jc w:val="left"/>
    </w:pPr>
    <w:rPr>
      <w:rFonts w:ascii="Verdana" w:hAnsi="Verdana"/>
      <w:kern w:val="0"/>
      <w:sz w:val="20"/>
      <w:szCs w:val="20"/>
      <w:lang w:eastAsia="en-US"/>
    </w:rPr>
  </w:style>
  <w:style w:type="character" w:customStyle="1" w:styleId="2845">
    <w:name w:val="Char Char114"/>
    <w:qFormat/>
    <w:uiPriority w:val="0"/>
    <w:rPr>
      <w:rFonts w:ascii="黑体" w:hAnsi="Arial" w:eastAsia="黑体"/>
      <w:bCs/>
      <w:kern w:val="2"/>
      <w:sz w:val="30"/>
      <w:szCs w:val="30"/>
      <w:lang w:val="en-US" w:eastAsia="zh-CN" w:bidi="ar-SA"/>
    </w:rPr>
  </w:style>
  <w:style w:type="paragraph" w:customStyle="1" w:styleId="2846">
    <w:name w:val="Char112"/>
    <w:basedOn w:val="1"/>
    <w:qFormat/>
    <w:uiPriority w:val="0"/>
    <w:pPr>
      <w:ind w:left="-48"/>
    </w:pPr>
  </w:style>
  <w:style w:type="paragraph" w:customStyle="1" w:styleId="2847">
    <w:name w:val="Char Char Char Char Char Char Char16"/>
    <w:basedOn w:val="1"/>
    <w:qFormat/>
    <w:uiPriority w:val="0"/>
  </w:style>
  <w:style w:type="character" w:customStyle="1" w:styleId="2848">
    <w:name w:val="Char Char64"/>
    <w:qFormat/>
    <w:uiPriority w:val="0"/>
    <w:rPr>
      <w:rFonts w:ascii="黑体" w:eastAsia="黑体"/>
      <w:b/>
      <w:bCs/>
      <w:kern w:val="2"/>
      <w:sz w:val="28"/>
      <w:szCs w:val="28"/>
      <w:lang w:val="en-US" w:eastAsia="zh-CN" w:bidi="ar-SA"/>
    </w:rPr>
  </w:style>
  <w:style w:type="paragraph" w:customStyle="1" w:styleId="2849">
    <w:name w:val="Char27"/>
    <w:basedOn w:val="1"/>
    <w:qFormat/>
    <w:uiPriority w:val="0"/>
    <w:pPr>
      <w:ind w:left="-48"/>
    </w:pPr>
  </w:style>
  <w:style w:type="paragraph" w:customStyle="1" w:styleId="2850">
    <w:name w:val="Char Char Char Char Char Char Char24"/>
    <w:basedOn w:val="1"/>
    <w:qFormat/>
    <w:uiPriority w:val="0"/>
  </w:style>
  <w:style w:type="paragraph" w:customStyle="1" w:styleId="2851">
    <w:name w:val="Char46"/>
    <w:basedOn w:val="1"/>
    <w:qFormat/>
    <w:uiPriority w:val="0"/>
    <w:pPr>
      <w:ind w:left="-48"/>
    </w:pPr>
  </w:style>
  <w:style w:type="paragraph" w:customStyle="1" w:styleId="2852">
    <w:name w:val="Char Char Char Char Char Char Char9"/>
    <w:basedOn w:val="1"/>
    <w:qFormat/>
    <w:uiPriority w:val="0"/>
  </w:style>
  <w:style w:type="paragraph" w:customStyle="1" w:styleId="2853">
    <w:name w:val="Char Char2 Char Char Char Char8"/>
    <w:basedOn w:val="1"/>
    <w:qFormat/>
    <w:uiPriority w:val="0"/>
  </w:style>
  <w:style w:type="paragraph" w:customStyle="1" w:styleId="2854">
    <w:name w:val="Char28"/>
    <w:basedOn w:val="1"/>
    <w:qFormat/>
    <w:uiPriority w:val="0"/>
    <w:pPr>
      <w:ind w:left="-48"/>
    </w:pPr>
  </w:style>
  <w:style w:type="paragraph" w:customStyle="1" w:styleId="2855">
    <w:name w:val="Char Char Char Char1 Char Char Char5"/>
    <w:basedOn w:val="1"/>
    <w:qFormat/>
    <w:uiPriority w:val="0"/>
    <w:pPr>
      <w:widowControl/>
      <w:spacing w:after="160" w:line="240" w:lineRule="exact"/>
      <w:jc w:val="left"/>
    </w:pPr>
    <w:rPr>
      <w:rFonts w:ascii="Verdana" w:hAnsi="Verdana"/>
      <w:kern w:val="0"/>
      <w:sz w:val="20"/>
      <w:szCs w:val="20"/>
      <w:lang w:eastAsia="en-US"/>
    </w:rPr>
  </w:style>
  <w:style w:type="character" w:customStyle="1" w:styleId="2856">
    <w:name w:val="Char Char115"/>
    <w:qFormat/>
    <w:uiPriority w:val="0"/>
    <w:rPr>
      <w:rFonts w:ascii="黑体" w:hAnsi="Arial" w:eastAsia="黑体"/>
      <w:bCs/>
      <w:kern w:val="2"/>
      <w:sz w:val="30"/>
      <w:szCs w:val="30"/>
      <w:lang w:val="en-US" w:eastAsia="zh-CN" w:bidi="ar-SA"/>
    </w:rPr>
  </w:style>
  <w:style w:type="paragraph" w:customStyle="1" w:styleId="2857">
    <w:name w:val="Char113"/>
    <w:basedOn w:val="1"/>
    <w:qFormat/>
    <w:uiPriority w:val="0"/>
    <w:pPr>
      <w:ind w:left="-48"/>
    </w:pPr>
  </w:style>
  <w:style w:type="paragraph" w:customStyle="1" w:styleId="2858">
    <w:name w:val="Char Char Char Char Char Char Char17"/>
    <w:basedOn w:val="1"/>
    <w:qFormat/>
    <w:uiPriority w:val="0"/>
  </w:style>
  <w:style w:type="character" w:customStyle="1" w:styleId="2859">
    <w:name w:val="Char Char65"/>
    <w:qFormat/>
    <w:uiPriority w:val="0"/>
    <w:rPr>
      <w:rFonts w:ascii="黑体" w:eastAsia="黑体"/>
      <w:b/>
      <w:bCs/>
      <w:kern w:val="2"/>
      <w:sz w:val="28"/>
      <w:szCs w:val="28"/>
      <w:lang w:val="en-US" w:eastAsia="zh-CN" w:bidi="ar-SA"/>
    </w:rPr>
  </w:style>
  <w:style w:type="paragraph" w:customStyle="1" w:styleId="2860">
    <w:name w:val="Char29"/>
    <w:basedOn w:val="1"/>
    <w:qFormat/>
    <w:uiPriority w:val="0"/>
    <w:pPr>
      <w:ind w:left="-48"/>
    </w:pPr>
  </w:style>
  <w:style w:type="paragraph" w:customStyle="1" w:styleId="2861">
    <w:name w:val="Char Char Char Char Char Char Char25"/>
    <w:basedOn w:val="1"/>
    <w:qFormat/>
    <w:uiPriority w:val="0"/>
  </w:style>
  <w:style w:type="paragraph" w:customStyle="1" w:styleId="2862">
    <w:name w:val="Char47"/>
    <w:basedOn w:val="1"/>
    <w:qFormat/>
    <w:uiPriority w:val="0"/>
    <w:pPr>
      <w:ind w:left="-48"/>
    </w:pPr>
  </w:style>
  <w:style w:type="character" w:customStyle="1" w:styleId="2863">
    <w:name w:val="表格内容 Char2"/>
    <w:qFormat/>
    <w:uiPriority w:val="0"/>
    <w:rPr>
      <w:rFonts w:eastAsia="宋体"/>
      <w:kern w:val="2"/>
      <w:sz w:val="21"/>
      <w:szCs w:val="21"/>
      <w:lang w:val="en-US" w:eastAsia="zh-CN" w:bidi="ar-SA"/>
    </w:rPr>
  </w:style>
  <w:style w:type="paragraph" w:customStyle="1" w:styleId="2864">
    <w:name w:val="正文格式101"/>
    <w:basedOn w:val="1"/>
    <w:qFormat/>
    <w:uiPriority w:val="0"/>
    <w:pPr>
      <w:spacing w:line="360" w:lineRule="auto"/>
      <w:ind w:firstLine="482"/>
    </w:pPr>
    <w:rPr>
      <w:rFonts w:ascii="宋体" w:hAnsi="宋体"/>
      <w:sz w:val="24"/>
    </w:rPr>
  </w:style>
  <w:style w:type="character" w:customStyle="1" w:styleId="2865">
    <w:name w:val="题注 Char61"/>
    <w:qFormat/>
    <w:uiPriority w:val="0"/>
    <w:rPr>
      <w:rFonts w:ascii="黑体" w:hAnsi="Arial" w:eastAsia="黑体" w:cs="Arial"/>
      <w:b/>
      <w:kern w:val="2"/>
      <w:sz w:val="24"/>
      <w:szCs w:val="24"/>
      <w:lang w:val="en-US" w:eastAsia="zh-CN" w:bidi="ar-SA"/>
    </w:rPr>
  </w:style>
  <w:style w:type="paragraph" w:customStyle="1" w:styleId="2866">
    <w:name w:val="图题81"/>
    <w:basedOn w:val="223"/>
    <w:next w:val="223"/>
    <w:qFormat/>
    <w:uiPriority w:val="0"/>
    <w:pPr>
      <w:ind w:firstLine="0"/>
      <w:jc w:val="center"/>
    </w:pPr>
    <w:rPr>
      <w:rFonts w:ascii="黑体" w:hAnsi="宋体" w:eastAsia="黑体"/>
      <w:b/>
      <w:bCs/>
    </w:rPr>
  </w:style>
  <w:style w:type="paragraph" w:customStyle="1" w:styleId="2867">
    <w:name w:val="表格内字体81"/>
    <w:basedOn w:val="223"/>
    <w:next w:val="223"/>
    <w:qFormat/>
    <w:uiPriority w:val="0"/>
    <w:pPr>
      <w:spacing w:line="240" w:lineRule="auto"/>
      <w:ind w:firstLine="0"/>
      <w:jc w:val="center"/>
    </w:pPr>
    <w:rPr>
      <w:rFonts w:hAnsi="宋体" w:cs="Times New Roman"/>
      <w:sz w:val="21"/>
    </w:rPr>
  </w:style>
  <w:style w:type="paragraph" w:customStyle="1" w:styleId="2868">
    <w:name w:val="Char114"/>
    <w:basedOn w:val="1"/>
    <w:qFormat/>
    <w:uiPriority w:val="0"/>
    <w:pPr>
      <w:ind w:left="-48"/>
    </w:pPr>
  </w:style>
  <w:style w:type="paragraph" w:customStyle="1" w:styleId="2869">
    <w:name w:val="正文格式＝71"/>
    <w:basedOn w:val="223"/>
    <w:next w:val="223"/>
    <w:qFormat/>
    <w:uiPriority w:val="0"/>
    <w:rPr>
      <w:rFonts w:hAnsi="宋体" w:cs="Times New Roman"/>
    </w:rPr>
  </w:style>
  <w:style w:type="paragraph" w:customStyle="1" w:styleId="2870">
    <w:name w:val="表题161"/>
    <w:basedOn w:val="23"/>
    <w:qFormat/>
    <w:uiPriority w:val="0"/>
    <w:pPr>
      <w:tabs>
        <w:tab w:val="clear" w:pos="7380"/>
      </w:tabs>
      <w:overflowPunct/>
      <w:spacing w:before="0" w:afterLines="0" w:line="360" w:lineRule="auto"/>
      <w:jc w:val="center"/>
    </w:pPr>
    <w:rPr>
      <w:rFonts w:ascii="黑体" w:cs="Times New Roman"/>
      <w:b/>
      <w:sz w:val="24"/>
      <w:szCs w:val="24"/>
    </w:rPr>
  </w:style>
  <w:style w:type="character" w:customStyle="1" w:styleId="2871">
    <w:name w:val="表题1 Char71"/>
    <w:qFormat/>
    <w:uiPriority w:val="0"/>
    <w:rPr>
      <w:rFonts w:ascii="黑体" w:hAnsi="Arial" w:eastAsia="黑体" w:cs="Arial"/>
      <w:b/>
      <w:kern w:val="2"/>
      <w:sz w:val="24"/>
      <w:szCs w:val="24"/>
      <w:lang w:val="en-US" w:eastAsia="zh-CN" w:bidi="ar-SA"/>
    </w:rPr>
  </w:style>
  <w:style w:type="paragraph" w:customStyle="1" w:styleId="2872">
    <w:name w:val="燕山正文51"/>
    <w:basedOn w:val="1"/>
    <w:qFormat/>
    <w:uiPriority w:val="0"/>
    <w:pPr>
      <w:tabs>
        <w:tab w:val="left" w:pos="4680"/>
      </w:tabs>
      <w:adjustRightInd w:val="0"/>
      <w:snapToGrid w:val="0"/>
      <w:spacing w:line="480" w:lineRule="exact"/>
    </w:pPr>
    <w:rPr>
      <w:rFonts w:ascii="宋体" w:cs="宋体"/>
      <w:sz w:val="24"/>
    </w:rPr>
  </w:style>
  <w:style w:type="paragraph" w:customStyle="1" w:styleId="2873">
    <w:name w:val="正文修改51"/>
    <w:basedOn w:val="2056"/>
    <w:qFormat/>
    <w:uiPriority w:val="0"/>
    <w:rPr>
      <w:rFonts w:hAnsi="宋体"/>
      <w:color w:val="000000"/>
    </w:rPr>
  </w:style>
  <w:style w:type="character" w:customStyle="1" w:styleId="2874">
    <w:name w:val="正文修改 Char151"/>
    <w:qFormat/>
    <w:uiPriority w:val="0"/>
    <w:rPr>
      <w:rFonts w:ascii="宋体" w:hAnsi="宋体" w:eastAsia="宋体" w:cs="宋体"/>
      <w:color w:val="000000"/>
      <w:sz w:val="24"/>
      <w:szCs w:val="24"/>
    </w:rPr>
  </w:style>
  <w:style w:type="paragraph" w:customStyle="1" w:styleId="2875">
    <w:name w:val="表中文字61"/>
    <w:basedOn w:val="1"/>
    <w:qFormat/>
    <w:uiPriority w:val="0"/>
    <w:pPr>
      <w:widowControl/>
      <w:spacing w:line="240" w:lineRule="atLeast"/>
      <w:ind w:left="-24" w:leftChars="-10" w:right="-48" w:rightChars="-20"/>
      <w:jc w:val="center"/>
    </w:pPr>
    <w:rPr>
      <w:rFonts w:ascii="宋体"/>
      <w:kern w:val="0"/>
      <w:szCs w:val="21"/>
    </w:rPr>
  </w:style>
  <w:style w:type="paragraph" w:customStyle="1" w:styleId="2876">
    <w:name w:val="默认段落字体 Para Char Char Char Char61"/>
    <w:basedOn w:val="1"/>
    <w:qFormat/>
    <w:uiPriority w:val="0"/>
  </w:style>
  <w:style w:type="paragraph" w:customStyle="1" w:styleId="2877">
    <w:name w:val="Char1211"/>
    <w:basedOn w:val="1"/>
    <w:qFormat/>
    <w:uiPriority w:val="0"/>
    <w:pPr>
      <w:adjustRightInd w:val="0"/>
      <w:snapToGrid w:val="0"/>
      <w:spacing w:line="360" w:lineRule="auto"/>
    </w:pPr>
  </w:style>
  <w:style w:type="paragraph" w:customStyle="1" w:styleId="2878">
    <w:name w:val="封面标准文稿编辑信息11"/>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2879">
    <w:name w:val="样式 表内小5 + 黑体 加粗 倾斜 下划线11"/>
    <w:basedOn w:val="1"/>
    <w:qFormat/>
    <w:uiPriority w:val="0"/>
    <w:pPr>
      <w:adjustRightInd w:val="0"/>
      <w:snapToGrid w:val="0"/>
      <w:spacing w:line="300" w:lineRule="auto"/>
      <w:jc w:val="left"/>
    </w:pPr>
    <w:rPr>
      <w:rFonts w:ascii="黑体" w:hAnsi="黑体" w:eastAsia="黑体"/>
      <w:b/>
      <w:bCs/>
      <w:i/>
      <w:iCs/>
      <w:sz w:val="18"/>
      <w:u w:val="single"/>
    </w:rPr>
  </w:style>
  <w:style w:type="paragraph" w:customStyle="1" w:styleId="2880">
    <w:name w:val="表内5中21"/>
    <w:basedOn w:val="1"/>
    <w:qFormat/>
    <w:uiPriority w:val="0"/>
    <w:pPr>
      <w:adjustRightInd w:val="0"/>
      <w:snapToGrid w:val="0"/>
      <w:jc w:val="center"/>
    </w:pPr>
    <w:rPr>
      <w:rFonts w:ascii="宋体" w:hAnsi="宋体" w:cs="Arial"/>
      <w:snapToGrid w:val="0"/>
      <w:color w:val="000000"/>
      <w:szCs w:val="21"/>
    </w:rPr>
  </w:style>
  <w:style w:type="paragraph" w:customStyle="1" w:styleId="2881">
    <w:name w:val="表内54151"/>
    <w:basedOn w:val="1"/>
    <w:qFormat/>
    <w:uiPriority w:val="0"/>
    <w:pPr>
      <w:adjustRightInd w:val="0"/>
      <w:snapToGrid w:val="0"/>
      <w:spacing w:line="300" w:lineRule="auto"/>
      <w:jc w:val="center"/>
    </w:pPr>
    <w:rPr>
      <w:rFonts w:ascii="宋体" w:hAnsi="宋体" w:cs="宋体"/>
      <w:szCs w:val="20"/>
    </w:rPr>
  </w:style>
  <w:style w:type="paragraph" w:customStyle="1" w:styleId="2882">
    <w:name w:val="表格111"/>
    <w:basedOn w:val="1"/>
    <w:qFormat/>
    <w:uiPriority w:val="0"/>
    <w:pPr>
      <w:adjustRightInd w:val="0"/>
      <w:jc w:val="center"/>
      <w:textAlignment w:val="baseline"/>
    </w:pPr>
    <w:rPr>
      <w:rFonts w:ascii="宋体"/>
      <w:kern w:val="0"/>
      <w:sz w:val="24"/>
      <w:szCs w:val="20"/>
    </w:rPr>
  </w:style>
  <w:style w:type="paragraph" w:customStyle="1" w:styleId="2883">
    <w:name w:val="c11"/>
    <w:qFormat/>
    <w:uiPriority w:val="0"/>
    <w:pPr>
      <w:widowControl w:val="0"/>
      <w:autoSpaceDE w:val="0"/>
      <w:autoSpaceDN w:val="0"/>
      <w:adjustRightInd w:val="0"/>
      <w:jc w:val="both"/>
    </w:pPr>
    <w:rPr>
      <w:rFonts w:ascii="Arial" w:hAnsi="Arial" w:eastAsia="宋体" w:cs="Times New Roman"/>
      <w:sz w:val="24"/>
      <w:lang w:val="en-US" w:eastAsia="zh-CN" w:bidi="ar-SA"/>
    </w:rPr>
  </w:style>
  <w:style w:type="paragraph" w:customStyle="1" w:styleId="2884">
    <w:name w:val="表题911"/>
    <w:basedOn w:val="47"/>
    <w:qFormat/>
    <w:uiPriority w:val="0"/>
    <w:pPr>
      <w:adjustRightInd w:val="0"/>
      <w:snapToGrid w:val="0"/>
      <w:spacing w:line="300" w:lineRule="auto"/>
      <w:jc w:val="center"/>
    </w:pPr>
    <w:rPr>
      <w:rFonts w:ascii="黑体" w:eastAsia="黑体" w:cs="Times New Roman"/>
      <w:sz w:val="24"/>
      <w:szCs w:val="20"/>
    </w:rPr>
  </w:style>
  <w:style w:type="paragraph" w:customStyle="1" w:styleId="2885">
    <w:name w:val="福建正文缩进11"/>
    <w:basedOn w:val="22"/>
    <w:qFormat/>
    <w:uiPriority w:val="0"/>
    <w:pPr>
      <w:adjustRightInd w:val="0"/>
      <w:snapToGrid w:val="0"/>
      <w:spacing w:line="360" w:lineRule="auto"/>
      <w:ind w:firstLine="567" w:firstLineChars="0"/>
    </w:pPr>
    <w:rPr>
      <w:rFonts w:ascii="宋体"/>
      <w:kern w:val="0"/>
      <w:sz w:val="24"/>
    </w:rPr>
  </w:style>
  <w:style w:type="paragraph" w:customStyle="1" w:styleId="2886">
    <w:name w:val="表内文字小32"/>
    <w:basedOn w:val="1"/>
    <w:qFormat/>
    <w:uiPriority w:val="0"/>
    <w:pPr>
      <w:adjustRightInd w:val="0"/>
      <w:snapToGrid w:val="0"/>
      <w:jc w:val="center"/>
    </w:pPr>
    <w:rPr>
      <w:rFonts w:ascii="宋体" w:hAnsi="Times"/>
      <w:szCs w:val="20"/>
    </w:rPr>
  </w:style>
  <w:style w:type="paragraph" w:customStyle="1" w:styleId="2887">
    <w:name w:val="表内5911"/>
    <w:basedOn w:val="1"/>
    <w:qFormat/>
    <w:uiPriority w:val="0"/>
    <w:pPr>
      <w:adjustRightInd w:val="0"/>
      <w:snapToGrid w:val="0"/>
      <w:spacing w:line="300" w:lineRule="auto"/>
      <w:jc w:val="center"/>
    </w:pPr>
    <w:rPr>
      <w:rFonts w:ascii="宋体"/>
      <w:snapToGrid w:val="0"/>
      <w:szCs w:val="21"/>
    </w:rPr>
  </w:style>
  <w:style w:type="paragraph" w:customStyle="1" w:styleId="2888">
    <w:name w:val="表内小5中11"/>
    <w:basedOn w:val="1"/>
    <w:qFormat/>
    <w:uiPriority w:val="0"/>
    <w:pPr>
      <w:adjustRightInd w:val="0"/>
      <w:snapToGrid w:val="0"/>
      <w:jc w:val="center"/>
    </w:pPr>
    <w:rPr>
      <w:rFonts w:ascii="宋体" w:hAnsi="宋体"/>
      <w:sz w:val="18"/>
      <w:szCs w:val="20"/>
    </w:rPr>
  </w:style>
  <w:style w:type="paragraph" w:customStyle="1" w:styleId="2889">
    <w:name w:val="表内5中411"/>
    <w:basedOn w:val="1"/>
    <w:qFormat/>
    <w:uiPriority w:val="0"/>
    <w:pPr>
      <w:adjustRightInd w:val="0"/>
      <w:snapToGrid w:val="0"/>
      <w:jc w:val="center"/>
    </w:pPr>
    <w:rPr>
      <w:rFonts w:ascii="宋体"/>
      <w:bCs/>
      <w:szCs w:val="20"/>
    </w:rPr>
  </w:style>
  <w:style w:type="paragraph" w:customStyle="1" w:styleId="2890">
    <w:name w:val="默认段落字体 Para Char51"/>
    <w:basedOn w:val="1"/>
    <w:next w:val="1"/>
    <w:qFormat/>
    <w:uiPriority w:val="0"/>
    <w:pPr>
      <w:spacing w:line="480" w:lineRule="exact"/>
      <w:ind w:firstLine="200" w:firstLineChars="200"/>
      <w:jc w:val="left"/>
    </w:pPr>
    <w:rPr>
      <w:rFonts w:ascii="宋体" w:hAnsi="宋体" w:eastAsia="汉鼎简书宋" w:cs="宋体"/>
      <w:sz w:val="28"/>
    </w:rPr>
  </w:style>
  <w:style w:type="paragraph" w:customStyle="1" w:styleId="2891">
    <w:name w:val="燕山正文1311"/>
    <w:basedOn w:val="1"/>
    <w:qFormat/>
    <w:uiPriority w:val="0"/>
    <w:pPr>
      <w:tabs>
        <w:tab w:val="left" w:pos="4680"/>
      </w:tabs>
      <w:adjustRightInd w:val="0"/>
      <w:snapToGrid w:val="0"/>
      <w:spacing w:line="360" w:lineRule="auto"/>
      <w:ind w:firstLine="480" w:firstLineChars="200"/>
    </w:pPr>
    <w:rPr>
      <w:rFonts w:ascii="宋体" w:hAnsi="宋体" w:cs="宋体"/>
      <w:bCs/>
      <w:color w:val="000000"/>
      <w:sz w:val="24"/>
    </w:rPr>
  </w:style>
  <w:style w:type="paragraph" w:customStyle="1" w:styleId="2892">
    <w:name w:val="样式 标题 4无效格式无效格式1河石管道4H4H41小小节河石管道41H42H411小小节1河石管道42...21"/>
    <w:basedOn w:val="7"/>
    <w:qFormat/>
    <w:uiPriority w:val="0"/>
    <w:pPr>
      <w:adjustRightInd w:val="0"/>
      <w:snapToGrid w:val="0"/>
      <w:spacing w:line="360" w:lineRule="auto"/>
      <w:ind w:left="664" w:hanging="864"/>
    </w:pPr>
    <w:rPr>
      <w:rFonts w:ascii="黑体" w:eastAsia="黑体"/>
      <w:bCs w:val="0"/>
      <w:sz w:val="24"/>
      <w:szCs w:val="24"/>
      <w:lang w:val="zh-CN"/>
    </w:rPr>
  </w:style>
  <w:style w:type="paragraph" w:customStyle="1" w:styleId="2893">
    <w:name w:val="样式 标题 4无效格式无效格式1河石管道4H4H41小小节河石管道41H42H411小小节1河石管道42...111"/>
    <w:basedOn w:val="7"/>
    <w:qFormat/>
    <w:uiPriority w:val="0"/>
    <w:pPr>
      <w:adjustRightInd w:val="0"/>
      <w:snapToGrid w:val="0"/>
      <w:spacing w:line="360" w:lineRule="auto"/>
      <w:ind w:left="664" w:hanging="864"/>
      <w:jc w:val="left"/>
    </w:pPr>
    <w:rPr>
      <w:rFonts w:ascii="黑体" w:eastAsia="黑体" w:cs="宋体"/>
      <w:bCs w:val="0"/>
      <w:sz w:val="24"/>
      <w:szCs w:val="20"/>
      <w:lang w:val="zh-CN"/>
    </w:rPr>
  </w:style>
  <w:style w:type="paragraph" w:customStyle="1" w:styleId="2894">
    <w:name w:val="附件41"/>
    <w:basedOn w:val="4"/>
    <w:next w:val="223"/>
    <w:qFormat/>
    <w:uiPriority w:val="0"/>
    <w:pPr>
      <w:spacing w:before="0" w:after="0" w:line="360" w:lineRule="auto"/>
      <w:jc w:val="left"/>
    </w:pPr>
    <w:rPr>
      <w:rFonts w:ascii="黑体" w:hAnsi="宋体" w:eastAsia="黑体"/>
      <w:sz w:val="32"/>
      <w:szCs w:val="32"/>
    </w:rPr>
  </w:style>
  <w:style w:type="paragraph" w:customStyle="1" w:styleId="2895">
    <w:name w:val="标题43131"/>
    <w:basedOn w:val="1"/>
    <w:qFormat/>
    <w:uiPriority w:val="0"/>
    <w:pPr>
      <w:adjustRightInd w:val="0"/>
      <w:snapToGrid w:val="0"/>
      <w:spacing w:line="480" w:lineRule="exact"/>
      <w:jc w:val="center"/>
    </w:pPr>
    <w:rPr>
      <w:rFonts w:ascii="宋体" w:hAnsi="宋体" w:cs="宋体"/>
      <w:sz w:val="24"/>
    </w:rPr>
  </w:style>
  <w:style w:type="paragraph" w:customStyle="1" w:styleId="2896">
    <w:name w:val="燕山正文1141"/>
    <w:basedOn w:val="1"/>
    <w:qFormat/>
    <w:uiPriority w:val="0"/>
    <w:pPr>
      <w:tabs>
        <w:tab w:val="left" w:pos="4680"/>
      </w:tabs>
      <w:adjustRightInd w:val="0"/>
      <w:snapToGrid w:val="0"/>
      <w:spacing w:line="480" w:lineRule="exact"/>
    </w:pPr>
    <w:rPr>
      <w:rFonts w:ascii="宋体" w:hAnsi="宋体" w:cs="宋体"/>
      <w:bCs/>
      <w:color w:val="000000"/>
      <w:sz w:val="24"/>
    </w:rPr>
  </w:style>
  <w:style w:type="paragraph" w:customStyle="1" w:styleId="2897">
    <w:name w:val="表题4111"/>
    <w:basedOn w:val="37"/>
    <w:qFormat/>
    <w:uiPriority w:val="0"/>
    <w:pPr>
      <w:tabs>
        <w:tab w:val="left" w:pos="4305"/>
      </w:tabs>
      <w:adjustRightInd w:val="0"/>
      <w:snapToGrid w:val="0"/>
      <w:spacing w:after="0"/>
      <w:ind w:left="0" w:leftChars="0"/>
      <w:jc w:val="center"/>
    </w:pPr>
    <w:rPr>
      <w:rFonts w:ascii="宋体" w:hAnsi="宋体" w:cs="宋体"/>
      <w:color w:val="000000"/>
      <w:sz w:val="24"/>
    </w:rPr>
  </w:style>
  <w:style w:type="paragraph" w:customStyle="1" w:styleId="2898">
    <w:name w:val="表内文字小2141"/>
    <w:basedOn w:val="1"/>
    <w:qFormat/>
    <w:uiPriority w:val="0"/>
    <w:pPr>
      <w:adjustRightInd w:val="0"/>
      <w:snapToGrid w:val="0"/>
      <w:jc w:val="center"/>
    </w:pPr>
    <w:rPr>
      <w:rFonts w:ascii="宋体" w:hAnsi="Times"/>
      <w:bCs/>
      <w:color w:val="000000"/>
      <w:szCs w:val="20"/>
    </w:rPr>
  </w:style>
  <w:style w:type="paragraph" w:customStyle="1" w:styleId="2899">
    <w:name w:val="表题3141"/>
    <w:basedOn w:val="37"/>
    <w:qFormat/>
    <w:uiPriority w:val="0"/>
    <w:pPr>
      <w:tabs>
        <w:tab w:val="left" w:pos="4305"/>
      </w:tabs>
      <w:adjustRightInd w:val="0"/>
      <w:snapToGrid w:val="0"/>
      <w:spacing w:after="0"/>
      <w:ind w:left="0" w:leftChars="0"/>
      <w:jc w:val="center"/>
    </w:pPr>
    <w:rPr>
      <w:rFonts w:ascii="宋体" w:hAnsi="宋体"/>
      <w:sz w:val="24"/>
      <w:szCs w:val="20"/>
    </w:rPr>
  </w:style>
  <w:style w:type="paragraph" w:customStyle="1" w:styleId="2900">
    <w:name w:val="Char Char Char Char Char Char Char311"/>
    <w:basedOn w:val="1"/>
    <w:qFormat/>
    <w:uiPriority w:val="0"/>
  </w:style>
  <w:style w:type="paragraph" w:customStyle="1" w:styleId="2901">
    <w:name w:val="正文221"/>
    <w:semiHidden/>
    <w:qFormat/>
    <w:uiPriority w:val="0"/>
    <w:pPr>
      <w:adjustRightInd w:val="0"/>
      <w:snapToGrid w:val="0"/>
      <w:spacing w:line="480" w:lineRule="atLeast"/>
      <w:jc w:val="center"/>
    </w:pPr>
    <w:rPr>
      <w:rFonts w:ascii="宋体" w:hAnsi="Times New Roman" w:eastAsia="宋体" w:cs="Times New Roman"/>
      <w:snapToGrid w:val="0"/>
      <w:spacing w:val="6"/>
      <w:sz w:val="21"/>
      <w:lang w:val="en-US" w:eastAsia="zh-CN" w:bidi="ar-SA"/>
    </w:rPr>
  </w:style>
  <w:style w:type="paragraph" w:customStyle="1" w:styleId="2902">
    <w:name w:val="表文字541"/>
    <w:basedOn w:val="1"/>
    <w:qFormat/>
    <w:uiPriority w:val="0"/>
    <w:pPr>
      <w:adjustRightInd w:val="0"/>
      <w:jc w:val="left"/>
      <w:textAlignment w:val="baseline"/>
    </w:pPr>
    <w:rPr>
      <w:rFonts w:ascii="宋体"/>
      <w:kern w:val="0"/>
      <w:szCs w:val="20"/>
    </w:rPr>
  </w:style>
  <w:style w:type="paragraph" w:customStyle="1" w:styleId="2903">
    <w:name w:val="表内文字小3141"/>
    <w:basedOn w:val="1"/>
    <w:qFormat/>
    <w:uiPriority w:val="0"/>
    <w:pPr>
      <w:adjustRightInd w:val="0"/>
      <w:snapToGrid w:val="0"/>
      <w:jc w:val="center"/>
    </w:pPr>
    <w:rPr>
      <w:rFonts w:ascii="宋体" w:hAnsi="Times" w:cs="宋体"/>
      <w:bCs/>
      <w:color w:val="003366"/>
      <w:szCs w:val="20"/>
    </w:rPr>
  </w:style>
  <w:style w:type="paragraph" w:customStyle="1" w:styleId="2904">
    <w:name w:val="表内宋51121"/>
    <w:basedOn w:val="81"/>
    <w:qFormat/>
    <w:uiPriority w:val="0"/>
    <w:pPr>
      <w:widowControl/>
      <w:adjustRightInd w:val="0"/>
      <w:snapToGrid w:val="0"/>
    </w:pPr>
    <w:rPr>
      <w:rFonts w:ascii="宋体" w:hAnsi="宋体" w:cs="宋体"/>
      <w:color w:val="000000"/>
      <w:kern w:val="0"/>
      <w:sz w:val="21"/>
      <w:lang w:val="zh-CN"/>
    </w:rPr>
  </w:style>
  <w:style w:type="paragraph" w:customStyle="1" w:styleId="2905">
    <w:name w:val="文本框21"/>
    <w:basedOn w:val="1"/>
    <w:qFormat/>
    <w:uiPriority w:val="0"/>
    <w:pPr>
      <w:adjustRightInd w:val="0"/>
      <w:snapToGrid w:val="0"/>
      <w:spacing w:after="6"/>
      <w:jc w:val="center"/>
    </w:pPr>
    <w:rPr>
      <w:rFonts w:eastAsia="仿宋_GB2312"/>
    </w:rPr>
  </w:style>
  <w:style w:type="paragraph" w:customStyle="1" w:styleId="2906">
    <w:name w:val="正文.21"/>
    <w:qFormat/>
    <w:uiPriority w:val="0"/>
    <w:pPr>
      <w:widowControl w:val="0"/>
      <w:autoSpaceDE w:val="0"/>
      <w:autoSpaceDN w:val="0"/>
      <w:adjustRightInd w:val="0"/>
      <w:jc w:val="both"/>
    </w:pPr>
    <w:rPr>
      <w:rFonts w:ascii="Times New Roman;Symbol;Arial;婼" w:hAnsi="Times New Roman" w:eastAsia="Times New Roman;Symbol;Arial;婼" w:cs="Times New Roman"/>
      <w:sz w:val="21"/>
      <w:szCs w:val="21"/>
      <w:lang w:val="en-US" w:eastAsia="zh-CN" w:bidi="ar-SA"/>
    </w:rPr>
  </w:style>
  <w:style w:type="paragraph" w:customStyle="1" w:styleId="2907">
    <w:name w:val="表41"/>
    <w:basedOn w:val="1"/>
    <w:qFormat/>
    <w:uiPriority w:val="0"/>
    <w:pPr>
      <w:adjustRightInd w:val="0"/>
      <w:snapToGrid w:val="0"/>
      <w:jc w:val="center"/>
    </w:pPr>
    <w:rPr>
      <w:rFonts w:eastAsia="仿宋_GB2312"/>
      <w:sz w:val="24"/>
    </w:rPr>
  </w:style>
  <w:style w:type="paragraph" w:customStyle="1" w:styleId="2908">
    <w:name w:val="黑体三号51"/>
    <w:basedOn w:val="223"/>
    <w:qFormat/>
    <w:uiPriority w:val="0"/>
    <w:pPr>
      <w:jc w:val="center"/>
    </w:pPr>
    <w:rPr>
      <w:rFonts w:ascii="黑体" w:hAnsi="宋体" w:eastAsia="黑体"/>
      <w:b/>
      <w:bCs/>
      <w:sz w:val="32"/>
      <w:szCs w:val="20"/>
    </w:rPr>
  </w:style>
  <w:style w:type="paragraph" w:customStyle="1" w:styleId="2909">
    <w:name w:val="Char Char2 Char Char Char Char211"/>
    <w:basedOn w:val="1"/>
    <w:qFormat/>
    <w:uiPriority w:val="0"/>
  </w:style>
  <w:style w:type="paragraph" w:customStyle="1" w:styleId="2910">
    <w:name w:val="Char1311"/>
    <w:basedOn w:val="1"/>
    <w:qFormat/>
    <w:uiPriority w:val="0"/>
    <w:pPr>
      <w:ind w:left="-48"/>
    </w:pPr>
  </w:style>
  <w:style w:type="paragraph" w:customStyle="1" w:styleId="2911">
    <w:name w:val="样式131"/>
    <w:basedOn w:val="2105"/>
    <w:qFormat/>
    <w:uiPriority w:val="0"/>
    <w:pPr>
      <w:spacing w:line="240" w:lineRule="auto"/>
      <w:ind w:firstLine="0"/>
      <w:jc w:val="center"/>
    </w:pPr>
    <w:rPr>
      <w:rFonts w:cs="Times New Roman"/>
      <w:b/>
      <w:color w:val="auto"/>
      <w:szCs w:val="20"/>
    </w:rPr>
  </w:style>
  <w:style w:type="paragraph" w:customStyle="1" w:styleId="2912">
    <w:name w:val="首行缩进:  0.99 厘米 + 首行缩进:  2 字符11"/>
    <w:basedOn w:val="1"/>
    <w:qFormat/>
    <w:uiPriority w:val="0"/>
    <w:pPr>
      <w:widowControl/>
      <w:topLinePunct/>
      <w:spacing w:line="480" w:lineRule="exact"/>
      <w:ind w:firstLine="420" w:firstLineChars="200"/>
      <w:jc w:val="center"/>
    </w:pPr>
    <w:rPr>
      <w:rFonts w:ascii="宋体" w:cs="宋体"/>
      <w:snapToGrid w:val="0"/>
      <w:color w:val="FF0000"/>
      <w:kern w:val="0"/>
      <w:szCs w:val="21"/>
    </w:rPr>
  </w:style>
  <w:style w:type="paragraph" w:customStyle="1" w:styleId="2913">
    <w:name w:val="图表名称11"/>
    <w:basedOn w:val="86"/>
    <w:qFormat/>
    <w:uiPriority w:val="0"/>
    <w:pPr>
      <w:widowControl/>
      <w:adjustRightInd w:val="0"/>
      <w:snapToGrid w:val="0"/>
      <w:spacing w:after="0" w:line="480" w:lineRule="exact"/>
      <w:ind w:firstLine="0" w:firstLineChars="0"/>
      <w:jc w:val="center"/>
    </w:pPr>
    <w:rPr>
      <w:rFonts w:ascii="宋体" w:hAnsi="宋体" w:eastAsia="宋体"/>
      <w:bCs/>
      <w:sz w:val="24"/>
      <w:lang w:val="zh-CN"/>
    </w:rPr>
  </w:style>
  <w:style w:type="paragraph" w:customStyle="1" w:styleId="2914">
    <w:name w:val="表内文字边11"/>
    <w:basedOn w:val="1"/>
    <w:qFormat/>
    <w:uiPriority w:val="0"/>
    <w:pPr>
      <w:widowControl/>
      <w:adjustRightInd w:val="0"/>
      <w:snapToGrid w:val="0"/>
      <w:spacing w:line="240" w:lineRule="atLeast"/>
      <w:ind w:left="-21" w:leftChars="-10" w:right="-42" w:rightChars="-20"/>
    </w:pPr>
    <w:rPr>
      <w:rFonts w:ascii="宋体"/>
      <w:kern w:val="0"/>
      <w:szCs w:val="21"/>
    </w:rPr>
  </w:style>
  <w:style w:type="paragraph" w:customStyle="1" w:styleId="2915">
    <w:name w:val="正文缩11"/>
    <w:basedOn w:val="1"/>
    <w:qFormat/>
    <w:uiPriority w:val="0"/>
    <w:pPr>
      <w:adjustRightInd w:val="0"/>
      <w:snapToGrid w:val="0"/>
      <w:spacing w:line="480" w:lineRule="atLeast"/>
      <w:ind w:firstLine="567"/>
      <w:textAlignment w:val="baseline"/>
    </w:pPr>
    <w:rPr>
      <w:rFonts w:ascii="宋体"/>
      <w:color w:val="000080"/>
      <w:spacing w:val="6"/>
      <w:kern w:val="0"/>
      <w:sz w:val="28"/>
      <w:szCs w:val="20"/>
    </w:rPr>
  </w:style>
  <w:style w:type="paragraph" w:customStyle="1" w:styleId="2916">
    <w:name w:val="样式211"/>
    <w:basedOn w:val="1"/>
    <w:qFormat/>
    <w:uiPriority w:val="0"/>
    <w:pPr>
      <w:adjustRightInd w:val="0"/>
      <w:spacing w:line="360" w:lineRule="auto"/>
      <w:jc w:val="center"/>
      <w:textAlignment w:val="baseline"/>
      <w:outlineLvl w:val="0"/>
    </w:pPr>
    <w:rPr>
      <w:kern w:val="0"/>
      <w:szCs w:val="20"/>
    </w:rPr>
  </w:style>
  <w:style w:type="paragraph" w:customStyle="1" w:styleId="2917">
    <w:name w:val="默认段落字体 Para Char Char Char Char Char11"/>
    <w:basedOn w:val="1"/>
    <w:qFormat/>
    <w:uiPriority w:val="0"/>
  </w:style>
  <w:style w:type="paragraph" w:customStyle="1" w:styleId="2918">
    <w:name w:val="表内宋5中31"/>
    <w:basedOn w:val="1"/>
    <w:qFormat/>
    <w:uiPriority w:val="0"/>
    <w:pPr>
      <w:adjustRightInd w:val="0"/>
      <w:snapToGrid w:val="0"/>
      <w:textAlignment w:val="baseline"/>
    </w:pPr>
    <w:rPr>
      <w:color w:val="000000"/>
      <w:kern w:val="0"/>
      <w:szCs w:val="20"/>
    </w:rPr>
  </w:style>
  <w:style w:type="paragraph" w:customStyle="1" w:styleId="2919">
    <w:name w:val="样式 标题 3 + 段前: 12 磅11"/>
    <w:basedOn w:val="6"/>
    <w:qFormat/>
    <w:uiPriority w:val="0"/>
    <w:pPr>
      <w:keepNext w:val="0"/>
      <w:keepLines w:val="0"/>
      <w:widowControl/>
      <w:autoSpaceDE w:val="0"/>
      <w:autoSpaceDN w:val="0"/>
      <w:adjustRightInd w:val="0"/>
      <w:snapToGrid w:val="0"/>
      <w:spacing w:before="0" w:after="0" w:line="360" w:lineRule="auto"/>
    </w:pPr>
    <w:rPr>
      <w:rFonts w:ascii="黑体" w:hAnsi="宋体" w:eastAsia="黑体" w:cs="宋体"/>
      <w:b w:val="0"/>
      <w:bCs w:val="0"/>
      <w:color w:val="000000"/>
      <w:kern w:val="21"/>
      <w:sz w:val="24"/>
      <w:szCs w:val="20"/>
    </w:rPr>
  </w:style>
  <w:style w:type="paragraph" w:customStyle="1" w:styleId="2920">
    <w:name w:val="表内521"/>
    <w:basedOn w:val="1"/>
    <w:qFormat/>
    <w:uiPriority w:val="0"/>
    <w:pPr>
      <w:adjustRightInd w:val="0"/>
      <w:snapToGrid w:val="0"/>
      <w:spacing w:line="300" w:lineRule="auto"/>
      <w:jc w:val="left"/>
    </w:pPr>
    <w:rPr>
      <w:rFonts w:ascii="宋体"/>
      <w:sz w:val="18"/>
      <w:szCs w:val="20"/>
    </w:rPr>
  </w:style>
  <w:style w:type="paragraph" w:customStyle="1" w:styleId="2921">
    <w:name w:val="表内宋512"/>
    <w:basedOn w:val="2134"/>
    <w:qFormat/>
    <w:uiPriority w:val="0"/>
    <w:pPr>
      <w:widowControl/>
      <w:autoSpaceDE w:val="0"/>
      <w:autoSpaceDN w:val="0"/>
      <w:jc w:val="left"/>
      <w:textAlignment w:val="auto"/>
    </w:pPr>
    <w:rPr>
      <w:color w:val="auto"/>
      <w:w w:val="90"/>
    </w:rPr>
  </w:style>
  <w:style w:type="paragraph" w:customStyle="1" w:styleId="2922">
    <w:name w:val="Char Char Char Char1 Char Char Char111"/>
    <w:basedOn w:val="1"/>
    <w:qFormat/>
    <w:uiPriority w:val="0"/>
    <w:pPr>
      <w:widowControl/>
      <w:spacing w:after="160" w:line="240" w:lineRule="exact"/>
      <w:jc w:val="left"/>
    </w:pPr>
    <w:rPr>
      <w:rFonts w:ascii="Verdana" w:hAnsi="Verdana"/>
      <w:kern w:val="0"/>
      <w:sz w:val="20"/>
      <w:szCs w:val="20"/>
      <w:lang w:eastAsia="en-US"/>
    </w:rPr>
  </w:style>
  <w:style w:type="paragraph" w:customStyle="1" w:styleId="2923">
    <w:name w:val="正文格式1111"/>
    <w:basedOn w:val="1"/>
    <w:qFormat/>
    <w:uiPriority w:val="0"/>
    <w:pPr>
      <w:spacing w:line="360" w:lineRule="auto"/>
      <w:ind w:firstLine="482"/>
    </w:pPr>
    <w:rPr>
      <w:rFonts w:ascii="宋体" w:hAnsi="宋体"/>
      <w:sz w:val="24"/>
    </w:rPr>
  </w:style>
  <w:style w:type="paragraph" w:customStyle="1" w:styleId="2924">
    <w:name w:val="图题111"/>
    <w:basedOn w:val="223"/>
    <w:next w:val="223"/>
    <w:qFormat/>
    <w:uiPriority w:val="0"/>
    <w:pPr>
      <w:ind w:firstLine="0"/>
      <w:jc w:val="center"/>
    </w:pPr>
    <w:rPr>
      <w:rFonts w:ascii="黑体" w:hAnsi="宋体" w:eastAsia="黑体"/>
      <w:b/>
      <w:bCs/>
    </w:rPr>
  </w:style>
  <w:style w:type="paragraph" w:customStyle="1" w:styleId="2925">
    <w:name w:val="表格内字体121"/>
    <w:basedOn w:val="223"/>
    <w:next w:val="223"/>
    <w:qFormat/>
    <w:uiPriority w:val="0"/>
    <w:pPr>
      <w:spacing w:line="240" w:lineRule="auto"/>
      <w:ind w:firstLine="0"/>
      <w:jc w:val="center"/>
    </w:pPr>
    <w:rPr>
      <w:rFonts w:hAnsi="宋体" w:cs="Times New Roman"/>
      <w:sz w:val="21"/>
    </w:rPr>
  </w:style>
  <w:style w:type="paragraph" w:customStyle="1" w:styleId="2926">
    <w:name w:val="Char1411"/>
    <w:basedOn w:val="1"/>
    <w:qFormat/>
    <w:uiPriority w:val="0"/>
    <w:pPr>
      <w:ind w:left="-48"/>
    </w:pPr>
  </w:style>
  <w:style w:type="paragraph" w:customStyle="1" w:styleId="2927">
    <w:name w:val="正文格式＝111"/>
    <w:basedOn w:val="223"/>
    <w:next w:val="223"/>
    <w:qFormat/>
    <w:uiPriority w:val="0"/>
    <w:rPr>
      <w:rFonts w:hAnsi="宋体" w:cs="Times New Roman"/>
    </w:rPr>
  </w:style>
  <w:style w:type="paragraph" w:customStyle="1" w:styleId="2928">
    <w:name w:val="正文格式221"/>
    <w:basedOn w:val="1"/>
    <w:qFormat/>
    <w:uiPriority w:val="0"/>
    <w:pPr>
      <w:spacing w:line="360" w:lineRule="auto"/>
      <w:ind w:firstLine="482"/>
    </w:pPr>
    <w:rPr>
      <w:rFonts w:ascii="宋体" w:hAnsi="宋体"/>
      <w:sz w:val="24"/>
    </w:rPr>
  </w:style>
  <w:style w:type="paragraph" w:customStyle="1" w:styleId="2929">
    <w:name w:val="Char1511"/>
    <w:basedOn w:val="1"/>
    <w:qFormat/>
    <w:uiPriority w:val="0"/>
    <w:pPr>
      <w:adjustRightInd w:val="0"/>
      <w:snapToGrid w:val="0"/>
      <w:spacing w:beforeLines="50" w:line="360" w:lineRule="auto"/>
    </w:pPr>
    <w:rPr>
      <w:rFonts w:ascii="黑体" w:eastAsia="黑体"/>
      <w:sz w:val="32"/>
      <w:szCs w:val="32"/>
    </w:rPr>
  </w:style>
  <w:style w:type="character" w:customStyle="1" w:styleId="2930">
    <w:name w:val="题注 Char111"/>
    <w:qFormat/>
    <w:uiPriority w:val="0"/>
    <w:rPr>
      <w:rFonts w:ascii="黑体" w:hAnsi="Arial" w:eastAsia="黑体" w:cs="Arial"/>
      <w:b/>
      <w:kern w:val="2"/>
      <w:sz w:val="24"/>
      <w:szCs w:val="24"/>
      <w:lang w:val="en-US" w:eastAsia="zh-CN" w:bidi="ar-SA"/>
    </w:rPr>
  </w:style>
  <w:style w:type="paragraph" w:customStyle="1" w:styleId="2931">
    <w:name w:val="图题221"/>
    <w:basedOn w:val="223"/>
    <w:next w:val="223"/>
    <w:qFormat/>
    <w:uiPriority w:val="0"/>
    <w:pPr>
      <w:ind w:firstLine="0"/>
      <w:jc w:val="center"/>
    </w:pPr>
    <w:rPr>
      <w:rFonts w:ascii="黑体" w:hAnsi="宋体" w:eastAsia="黑体"/>
      <w:b/>
      <w:bCs/>
    </w:rPr>
  </w:style>
  <w:style w:type="paragraph" w:customStyle="1" w:styleId="2932">
    <w:name w:val="表格内字体221"/>
    <w:basedOn w:val="223"/>
    <w:next w:val="223"/>
    <w:qFormat/>
    <w:uiPriority w:val="0"/>
    <w:pPr>
      <w:spacing w:line="240" w:lineRule="auto"/>
      <w:ind w:firstLine="0"/>
      <w:jc w:val="center"/>
    </w:pPr>
    <w:rPr>
      <w:rFonts w:hAnsi="宋体" w:cs="Times New Roman"/>
      <w:sz w:val="21"/>
    </w:rPr>
  </w:style>
  <w:style w:type="paragraph" w:customStyle="1" w:styleId="2933">
    <w:name w:val="表内541111"/>
    <w:basedOn w:val="1"/>
    <w:qFormat/>
    <w:uiPriority w:val="0"/>
    <w:pPr>
      <w:adjustRightInd w:val="0"/>
      <w:snapToGrid w:val="0"/>
      <w:spacing w:line="300" w:lineRule="auto"/>
      <w:jc w:val="center"/>
    </w:pPr>
    <w:rPr>
      <w:rFonts w:ascii="宋体" w:hAnsi="宋体" w:cs="宋体"/>
      <w:szCs w:val="20"/>
    </w:rPr>
  </w:style>
  <w:style w:type="paragraph" w:customStyle="1" w:styleId="2934">
    <w:name w:val="表内文字小21111"/>
    <w:basedOn w:val="1"/>
    <w:qFormat/>
    <w:uiPriority w:val="0"/>
    <w:pPr>
      <w:adjustRightInd w:val="0"/>
      <w:snapToGrid w:val="0"/>
      <w:jc w:val="center"/>
    </w:pPr>
    <w:rPr>
      <w:rFonts w:ascii="宋体" w:hAnsi="Times"/>
      <w:bCs/>
      <w:color w:val="000000"/>
      <w:szCs w:val="20"/>
    </w:rPr>
  </w:style>
  <w:style w:type="paragraph" w:customStyle="1" w:styleId="2935">
    <w:name w:val="表题31111"/>
    <w:basedOn w:val="37"/>
    <w:qFormat/>
    <w:uiPriority w:val="0"/>
    <w:pPr>
      <w:tabs>
        <w:tab w:val="left" w:pos="4305"/>
      </w:tabs>
      <w:adjustRightInd w:val="0"/>
      <w:snapToGrid w:val="0"/>
      <w:spacing w:after="0"/>
      <w:ind w:left="0" w:leftChars="0"/>
      <w:jc w:val="center"/>
    </w:pPr>
    <w:rPr>
      <w:rFonts w:ascii="宋体" w:hAnsi="宋体"/>
      <w:sz w:val="24"/>
      <w:szCs w:val="20"/>
    </w:rPr>
  </w:style>
  <w:style w:type="paragraph" w:customStyle="1" w:styleId="2936">
    <w:name w:val="Char Char Char Char Char Char Char1111"/>
    <w:basedOn w:val="1"/>
    <w:qFormat/>
    <w:uiPriority w:val="0"/>
  </w:style>
  <w:style w:type="paragraph" w:customStyle="1" w:styleId="2937">
    <w:name w:val="标题431111"/>
    <w:basedOn w:val="1"/>
    <w:qFormat/>
    <w:uiPriority w:val="0"/>
    <w:pPr>
      <w:adjustRightInd w:val="0"/>
      <w:snapToGrid w:val="0"/>
      <w:spacing w:line="480" w:lineRule="exact"/>
      <w:jc w:val="center"/>
    </w:pPr>
    <w:rPr>
      <w:rFonts w:ascii="宋体" w:hAnsi="宋体" w:cs="宋体"/>
      <w:sz w:val="24"/>
    </w:rPr>
  </w:style>
  <w:style w:type="paragraph" w:customStyle="1" w:styleId="2938">
    <w:name w:val="燕山正文11111"/>
    <w:basedOn w:val="1"/>
    <w:qFormat/>
    <w:uiPriority w:val="0"/>
    <w:pPr>
      <w:tabs>
        <w:tab w:val="left" w:pos="4680"/>
      </w:tabs>
      <w:adjustRightInd w:val="0"/>
      <w:snapToGrid w:val="0"/>
      <w:spacing w:line="480" w:lineRule="exact"/>
    </w:pPr>
    <w:rPr>
      <w:rFonts w:ascii="宋体" w:hAnsi="宋体" w:cs="宋体"/>
      <w:bCs/>
      <w:color w:val="000000"/>
      <w:sz w:val="24"/>
    </w:rPr>
  </w:style>
  <w:style w:type="paragraph" w:customStyle="1" w:styleId="2939">
    <w:name w:val="默认段落字体 Para Char Char Char Char111"/>
    <w:basedOn w:val="1"/>
    <w:qFormat/>
    <w:uiPriority w:val="0"/>
  </w:style>
  <w:style w:type="paragraph" w:customStyle="1" w:styleId="2940">
    <w:name w:val="附件111"/>
    <w:basedOn w:val="4"/>
    <w:next w:val="223"/>
    <w:qFormat/>
    <w:uiPriority w:val="0"/>
    <w:pPr>
      <w:spacing w:before="0" w:after="0" w:line="360" w:lineRule="auto"/>
      <w:jc w:val="left"/>
    </w:pPr>
    <w:rPr>
      <w:rFonts w:ascii="黑体" w:hAnsi="宋体" w:eastAsia="黑体"/>
      <w:b w:val="0"/>
      <w:sz w:val="32"/>
      <w:szCs w:val="32"/>
    </w:rPr>
  </w:style>
  <w:style w:type="paragraph" w:customStyle="1" w:styleId="2941">
    <w:name w:val="黑体三号111"/>
    <w:basedOn w:val="223"/>
    <w:qFormat/>
    <w:uiPriority w:val="0"/>
    <w:pPr>
      <w:jc w:val="center"/>
    </w:pPr>
    <w:rPr>
      <w:rFonts w:ascii="黑体" w:hAnsi="宋体" w:eastAsia="黑体"/>
      <w:b/>
      <w:bCs/>
      <w:sz w:val="32"/>
      <w:szCs w:val="20"/>
    </w:rPr>
  </w:style>
  <w:style w:type="paragraph" w:customStyle="1" w:styleId="2942">
    <w:name w:val="表111"/>
    <w:basedOn w:val="1"/>
    <w:qFormat/>
    <w:uiPriority w:val="0"/>
    <w:pPr>
      <w:adjustRightInd w:val="0"/>
      <w:snapToGrid w:val="0"/>
      <w:jc w:val="center"/>
    </w:pPr>
    <w:rPr>
      <w:rFonts w:eastAsia="仿宋_GB2312"/>
      <w:sz w:val="24"/>
    </w:rPr>
  </w:style>
  <w:style w:type="paragraph" w:customStyle="1" w:styleId="2943">
    <w:name w:val="表题1121"/>
    <w:basedOn w:val="23"/>
    <w:qFormat/>
    <w:uiPriority w:val="0"/>
    <w:pPr>
      <w:tabs>
        <w:tab w:val="clear" w:pos="7380"/>
      </w:tabs>
      <w:overflowPunct/>
      <w:spacing w:before="0" w:afterLines="0" w:line="360" w:lineRule="auto"/>
      <w:jc w:val="center"/>
    </w:pPr>
    <w:rPr>
      <w:rFonts w:ascii="黑体" w:cs="Times New Roman"/>
      <w:sz w:val="24"/>
      <w:szCs w:val="24"/>
    </w:rPr>
  </w:style>
  <w:style w:type="paragraph" w:customStyle="1" w:styleId="2944">
    <w:name w:val="燕山正文121"/>
    <w:basedOn w:val="1"/>
    <w:qFormat/>
    <w:uiPriority w:val="0"/>
    <w:pPr>
      <w:tabs>
        <w:tab w:val="left" w:pos="4680"/>
      </w:tabs>
      <w:adjustRightInd w:val="0"/>
      <w:snapToGrid w:val="0"/>
      <w:spacing w:line="480" w:lineRule="exact"/>
    </w:pPr>
    <w:rPr>
      <w:rFonts w:ascii="宋体" w:cs="宋体"/>
      <w:sz w:val="24"/>
    </w:rPr>
  </w:style>
  <w:style w:type="paragraph" w:customStyle="1" w:styleId="2945">
    <w:name w:val="正文修改111"/>
    <w:basedOn w:val="2056"/>
    <w:qFormat/>
    <w:uiPriority w:val="0"/>
    <w:rPr>
      <w:rFonts w:hAnsi="宋体"/>
      <w:color w:val="000000"/>
    </w:rPr>
  </w:style>
  <w:style w:type="character" w:customStyle="1" w:styleId="2946">
    <w:name w:val="正文修改 Char1111"/>
    <w:qFormat/>
    <w:uiPriority w:val="0"/>
    <w:rPr>
      <w:rFonts w:ascii="宋体" w:hAnsi="宋体" w:eastAsia="宋体" w:cs="宋体"/>
      <w:color w:val="000000"/>
      <w:sz w:val="24"/>
      <w:szCs w:val="24"/>
    </w:rPr>
  </w:style>
  <w:style w:type="paragraph" w:customStyle="1" w:styleId="2947">
    <w:name w:val="表中文字121"/>
    <w:basedOn w:val="1"/>
    <w:qFormat/>
    <w:uiPriority w:val="0"/>
    <w:pPr>
      <w:widowControl/>
      <w:spacing w:line="240" w:lineRule="atLeast"/>
      <w:ind w:left="-24" w:leftChars="-10" w:right="-48" w:rightChars="-20"/>
      <w:jc w:val="center"/>
    </w:pPr>
    <w:rPr>
      <w:rFonts w:ascii="宋体"/>
      <w:kern w:val="0"/>
      <w:szCs w:val="21"/>
    </w:rPr>
  </w:style>
  <w:style w:type="paragraph" w:customStyle="1" w:styleId="2948">
    <w:name w:val="表文字5121"/>
    <w:basedOn w:val="1"/>
    <w:qFormat/>
    <w:uiPriority w:val="0"/>
    <w:pPr>
      <w:adjustRightInd w:val="0"/>
      <w:jc w:val="left"/>
      <w:textAlignment w:val="baseline"/>
    </w:pPr>
    <w:rPr>
      <w:rFonts w:ascii="宋体"/>
      <w:kern w:val="0"/>
      <w:szCs w:val="20"/>
    </w:rPr>
  </w:style>
  <w:style w:type="paragraph" w:customStyle="1" w:styleId="2949">
    <w:name w:val="表内文字小31111"/>
    <w:basedOn w:val="1"/>
    <w:qFormat/>
    <w:uiPriority w:val="0"/>
    <w:pPr>
      <w:adjustRightInd w:val="0"/>
      <w:snapToGrid w:val="0"/>
      <w:jc w:val="center"/>
    </w:pPr>
    <w:rPr>
      <w:rFonts w:ascii="宋体" w:hAnsi="Times" w:cs="宋体"/>
      <w:bCs/>
      <w:color w:val="003366"/>
      <w:szCs w:val="20"/>
    </w:rPr>
  </w:style>
  <w:style w:type="paragraph" w:customStyle="1" w:styleId="2950">
    <w:name w:val="样式1111"/>
    <w:basedOn w:val="2105"/>
    <w:qFormat/>
    <w:uiPriority w:val="0"/>
    <w:pPr>
      <w:spacing w:line="240" w:lineRule="auto"/>
      <w:ind w:firstLine="0"/>
      <w:jc w:val="center"/>
    </w:pPr>
    <w:rPr>
      <w:rFonts w:cs="Times New Roman"/>
      <w:b/>
      <w:color w:val="auto"/>
      <w:szCs w:val="20"/>
    </w:rPr>
  </w:style>
  <w:style w:type="paragraph" w:customStyle="1" w:styleId="2951">
    <w:name w:val="正文格式＝211"/>
    <w:basedOn w:val="223"/>
    <w:next w:val="223"/>
    <w:qFormat/>
    <w:uiPriority w:val="0"/>
    <w:rPr>
      <w:rFonts w:hAnsi="宋体" w:cs="Times New Roman"/>
    </w:rPr>
  </w:style>
  <w:style w:type="paragraph" w:customStyle="1" w:styleId="2952">
    <w:name w:val="Char2111"/>
    <w:basedOn w:val="1"/>
    <w:qFormat/>
    <w:uiPriority w:val="0"/>
    <w:pPr>
      <w:ind w:left="-48"/>
    </w:pPr>
  </w:style>
  <w:style w:type="paragraph" w:customStyle="1" w:styleId="2953">
    <w:name w:val="表内文字小231"/>
    <w:basedOn w:val="1"/>
    <w:qFormat/>
    <w:uiPriority w:val="0"/>
    <w:pPr>
      <w:adjustRightInd w:val="0"/>
      <w:snapToGrid w:val="0"/>
      <w:jc w:val="center"/>
    </w:pPr>
    <w:rPr>
      <w:rFonts w:ascii="宋体" w:hAnsi="Times"/>
      <w:bCs/>
      <w:color w:val="000000"/>
      <w:szCs w:val="20"/>
    </w:rPr>
  </w:style>
  <w:style w:type="paragraph" w:customStyle="1" w:styleId="2954">
    <w:name w:val="表内5321"/>
    <w:basedOn w:val="1"/>
    <w:qFormat/>
    <w:uiPriority w:val="0"/>
    <w:pPr>
      <w:adjustRightInd w:val="0"/>
      <w:snapToGrid w:val="0"/>
      <w:spacing w:line="300" w:lineRule="auto"/>
      <w:jc w:val="left"/>
    </w:pPr>
    <w:rPr>
      <w:rFonts w:ascii="宋体"/>
      <w:szCs w:val="20"/>
    </w:rPr>
  </w:style>
  <w:style w:type="paragraph" w:customStyle="1" w:styleId="2955">
    <w:name w:val="正文格式311"/>
    <w:basedOn w:val="1"/>
    <w:qFormat/>
    <w:uiPriority w:val="0"/>
    <w:pPr>
      <w:spacing w:line="360" w:lineRule="auto"/>
      <w:ind w:firstLine="482"/>
    </w:pPr>
    <w:rPr>
      <w:rFonts w:ascii="宋体" w:hAnsi="宋体"/>
      <w:sz w:val="24"/>
    </w:rPr>
  </w:style>
  <w:style w:type="paragraph" w:customStyle="1" w:styleId="2956">
    <w:name w:val="Char2211"/>
    <w:basedOn w:val="1"/>
    <w:qFormat/>
    <w:uiPriority w:val="0"/>
    <w:pPr>
      <w:adjustRightInd w:val="0"/>
      <w:snapToGrid w:val="0"/>
      <w:spacing w:beforeLines="50" w:line="360" w:lineRule="auto"/>
    </w:pPr>
    <w:rPr>
      <w:rFonts w:ascii="黑体" w:eastAsia="黑体"/>
      <w:sz w:val="32"/>
      <w:szCs w:val="32"/>
    </w:rPr>
  </w:style>
  <w:style w:type="character" w:customStyle="1" w:styleId="2957">
    <w:name w:val="题注 Char211"/>
    <w:qFormat/>
    <w:uiPriority w:val="0"/>
    <w:rPr>
      <w:rFonts w:ascii="黑体" w:hAnsi="Arial" w:eastAsia="黑体" w:cs="Arial"/>
      <w:b/>
      <w:kern w:val="2"/>
      <w:sz w:val="24"/>
      <w:szCs w:val="24"/>
      <w:lang w:val="en-US" w:eastAsia="zh-CN" w:bidi="ar-SA"/>
    </w:rPr>
  </w:style>
  <w:style w:type="paragraph" w:customStyle="1" w:styleId="2958">
    <w:name w:val="图题311"/>
    <w:basedOn w:val="223"/>
    <w:next w:val="223"/>
    <w:qFormat/>
    <w:uiPriority w:val="0"/>
    <w:pPr>
      <w:ind w:firstLine="0"/>
      <w:jc w:val="center"/>
    </w:pPr>
    <w:rPr>
      <w:rFonts w:ascii="黑体" w:hAnsi="宋体" w:eastAsia="黑体"/>
      <w:b/>
      <w:bCs/>
    </w:rPr>
  </w:style>
  <w:style w:type="paragraph" w:customStyle="1" w:styleId="2959">
    <w:name w:val="表格内字体311"/>
    <w:basedOn w:val="223"/>
    <w:next w:val="223"/>
    <w:qFormat/>
    <w:uiPriority w:val="0"/>
    <w:pPr>
      <w:spacing w:line="240" w:lineRule="auto"/>
      <w:ind w:firstLine="0"/>
      <w:jc w:val="center"/>
    </w:pPr>
    <w:rPr>
      <w:rFonts w:hAnsi="宋体" w:cs="Times New Roman"/>
      <w:sz w:val="21"/>
    </w:rPr>
  </w:style>
  <w:style w:type="paragraph" w:customStyle="1" w:styleId="2960">
    <w:name w:val="表内541211"/>
    <w:basedOn w:val="1"/>
    <w:qFormat/>
    <w:uiPriority w:val="0"/>
    <w:pPr>
      <w:adjustRightInd w:val="0"/>
      <w:snapToGrid w:val="0"/>
      <w:spacing w:line="300" w:lineRule="auto"/>
      <w:jc w:val="center"/>
    </w:pPr>
    <w:rPr>
      <w:rFonts w:ascii="宋体" w:hAnsi="宋体" w:cs="宋体"/>
      <w:szCs w:val="20"/>
    </w:rPr>
  </w:style>
  <w:style w:type="paragraph" w:customStyle="1" w:styleId="2961">
    <w:name w:val="表内文字小21211"/>
    <w:basedOn w:val="1"/>
    <w:qFormat/>
    <w:uiPriority w:val="0"/>
    <w:pPr>
      <w:adjustRightInd w:val="0"/>
      <w:snapToGrid w:val="0"/>
      <w:jc w:val="center"/>
    </w:pPr>
    <w:rPr>
      <w:rFonts w:ascii="宋体" w:hAnsi="Times"/>
      <w:bCs/>
      <w:color w:val="000000"/>
      <w:szCs w:val="20"/>
    </w:rPr>
  </w:style>
  <w:style w:type="paragraph" w:customStyle="1" w:styleId="2962">
    <w:name w:val="表题31211"/>
    <w:basedOn w:val="37"/>
    <w:qFormat/>
    <w:uiPriority w:val="0"/>
    <w:pPr>
      <w:tabs>
        <w:tab w:val="left" w:pos="4305"/>
      </w:tabs>
      <w:adjustRightInd w:val="0"/>
      <w:snapToGrid w:val="0"/>
      <w:spacing w:after="0"/>
      <w:ind w:left="0" w:leftChars="0"/>
      <w:jc w:val="center"/>
    </w:pPr>
    <w:rPr>
      <w:rFonts w:ascii="宋体" w:hAnsi="宋体"/>
      <w:sz w:val="24"/>
      <w:szCs w:val="20"/>
    </w:rPr>
  </w:style>
  <w:style w:type="paragraph" w:customStyle="1" w:styleId="2963">
    <w:name w:val="Char Char Char Char Char Char Char411"/>
    <w:basedOn w:val="1"/>
    <w:qFormat/>
    <w:uiPriority w:val="0"/>
  </w:style>
  <w:style w:type="paragraph" w:customStyle="1" w:styleId="2964">
    <w:name w:val="标题431211"/>
    <w:basedOn w:val="1"/>
    <w:qFormat/>
    <w:uiPriority w:val="0"/>
    <w:pPr>
      <w:adjustRightInd w:val="0"/>
      <w:snapToGrid w:val="0"/>
      <w:spacing w:line="480" w:lineRule="exact"/>
      <w:jc w:val="center"/>
    </w:pPr>
    <w:rPr>
      <w:rFonts w:ascii="宋体" w:hAnsi="宋体" w:cs="宋体"/>
      <w:sz w:val="24"/>
    </w:rPr>
  </w:style>
  <w:style w:type="paragraph" w:customStyle="1" w:styleId="2965">
    <w:name w:val="燕山正文11211"/>
    <w:basedOn w:val="1"/>
    <w:qFormat/>
    <w:uiPriority w:val="0"/>
    <w:pPr>
      <w:tabs>
        <w:tab w:val="left" w:pos="4680"/>
      </w:tabs>
      <w:adjustRightInd w:val="0"/>
      <w:snapToGrid w:val="0"/>
      <w:spacing w:line="480" w:lineRule="exact"/>
    </w:pPr>
    <w:rPr>
      <w:rFonts w:ascii="宋体" w:hAnsi="宋体" w:cs="宋体"/>
      <w:bCs/>
      <w:color w:val="000000"/>
      <w:sz w:val="24"/>
    </w:rPr>
  </w:style>
  <w:style w:type="paragraph" w:customStyle="1" w:styleId="2966">
    <w:name w:val="默认段落字体 Para Char Char Char Char211"/>
    <w:basedOn w:val="1"/>
    <w:qFormat/>
    <w:uiPriority w:val="0"/>
  </w:style>
  <w:style w:type="paragraph" w:customStyle="1" w:styleId="2967">
    <w:name w:val="附件211"/>
    <w:basedOn w:val="4"/>
    <w:next w:val="223"/>
    <w:qFormat/>
    <w:uiPriority w:val="0"/>
    <w:pPr>
      <w:spacing w:before="0" w:after="0" w:line="360" w:lineRule="auto"/>
      <w:jc w:val="left"/>
    </w:pPr>
    <w:rPr>
      <w:rFonts w:ascii="黑体" w:hAnsi="宋体" w:eastAsia="黑体"/>
      <w:b w:val="0"/>
      <w:sz w:val="32"/>
      <w:szCs w:val="32"/>
    </w:rPr>
  </w:style>
  <w:style w:type="paragraph" w:customStyle="1" w:styleId="2968">
    <w:name w:val="黑体三号211"/>
    <w:basedOn w:val="223"/>
    <w:qFormat/>
    <w:uiPriority w:val="0"/>
    <w:pPr>
      <w:jc w:val="center"/>
    </w:pPr>
    <w:rPr>
      <w:rFonts w:ascii="黑体" w:hAnsi="宋体" w:eastAsia="黑体"/>
      <w:b/>
      <w:bCs/>
      <w:sz w:val="32"/>
      <w:szCs w:val="20"/>
    </w:rPr>
  </w:style>
  <w:style w:type="paragraph" w:customStyle="1" w:styleId="2969">
    <w:name w:val="表211"/>
    <w:basedOn w:val="1"/>
    <w:qFormat/>
    <w:uiPriority w:val="0"/>
    <w:pPr>
      <w:adjustRightInd w:val="0"/>
      <w:snapToGrid w:val="0"/>
      <w:jc w:val="center"/>
    </w:pPr>
    <w:rPr>
      <w:rFonts w:eastAsia="仿宋_GB2312"/>
      <w:sz w:val="24"/>
    </w:rPr>
  </w:style>
  <w:style w:type="paragraph" w:customStyle="1" w:styleId="2970">
    <w:name w:val="表题1211"/>
    <w:basedOn w:val="23"/>
    <w:qFormat/>
    <w:uiPriority w:val="0"/>
    <w:pPr>
      <w:tabs>
        <w:tab w:val="clear" w:pos="7380"/>
      </w:tabs>
      <w:overflowPunct/>
      <w:spacing w:before="0" w:afterLines="0" w:line="360" w:lineRule="auto"/>
      <w:jc w:val="center"/>
    </w:pPr>
    <w:rPr>
      <w:rFonts w:ascii="黑体" w:cs="Times New Roman"/>
      <w:sz w:val="24"/>
      <w:szCs w:val="24"/>
    </w:rPr>
  </w:style>
  <w:style w:type="paragraph" w:customStyle="1" w:styleId="2971">
    <w:name w:val="燕山正文211"/>
    <w:basedOn w:val="1"/>
    <w:qFormat/>
    <w:uiPriority w:val="0"/>
    <w:pPr>
      <w:tabs>
        <w:tab w:val="left" w:pos="4680"/>
      </w:tabs>
      <w:adjustRightInd w:val="0"/>
      <w:snapToGrid w:val="0"/>
      <w:spacing w:line="480" w:lineRule="exact"/>
    </w:pPr>
    <w:rPr>
      <w:rFonts w:ascii="宋体" w:cs="宋体"/>
      <w:sz w:val="24"/>
    </w:rPr>
  </w:style>
  <w:style w:type="paragraph" w:customStyle="1" w:styleId="2972">
    <w:name w:val="正文修改211"/>
    <w:basedOn w:val="2056"/>
    <w:qFormat/>
    <w:uiPriority w:val="0"/>
    <w:rPr>
      <w:rFonts w:hAnsi="宋体"/>
      <w:color w:val="000000"/>
    </w:rPr>
  </w:style>
  <w:style w:type="character" w:customStyle="1" w:styleId="2973">
    <w:name w:val="正文修改 Char1211"/>
    <w:qFormat/>
    <w:uiPriority w:val="0"/>
    <w:rPr>
      <w:rFonts w:ascii="宋体" w:hAnsi="宋体" w:eastAsia="宋体" w:cs="宋体"/>
      <w:color w:val="000000"/>
      <w:sz w:val="24"/>
      <w:szCs w:val="24"/>
    </w:rPr>
  </w:style>
  <w:style w:type="paragraph" w:customStyle="1" w:styleId="2974">
    <w:name w:val="表中文字211"/>
    <w:basedOn w:val="1"/>
    <w:qFormat/>
    <w:uiPriority w:val="0"/>
    <w:pPr>
      <w:widowControl/>
      <w:adjustRightInd w:val="0"/>
      <w:spacing w:line="240" w:lineRule="atLeast"/>
      <w:ind w:right="-42" w:rightChars="-20"/>
      <w:jc w:val="center"/>
      <w:textAlignment w:val="baseline"/>
    </w:pPr>
    <w:rPr>
      <w:rFonts w:ascii="宋体"/>
      <w:kern w:val="0"/>
      <w:szCs w:val="21"/>
    </w:rPr>
  </w:style>
  <w:style w:type="paragraph" w:customStyle="1" w:styleId="2975">
    <w:name w:val="表文字5211"/>
    <w:basedOn w:val="1"/>
    <w:qFormat/>
    <w:uiPriority w:val="0"/>
    <w:pPr>
      <w:adjustRightInd w:val="0"/>
      <w:jc w:val="left"/>
      <w:textAlignment w:val="baseline"/>
    </w:pPr>
    <w:rPr>
      <w:rFonts w:ascii="宋体"/>
      <w:kern w:val="0"/>
      <w:szCs w:val="20"/>
    </w:rPr>
  </w:style>
  <w:style w:type="paragraph" w:customStyle="1" w:styleId="2976">
    <w:name w:val="表内文字小31211"/>
    <w:basedOn w:val="1"/>
    <w:qFormat/>
    <w:uiPriority w:val="0"/>
    <w:pPr>
      <w:adjustRightInd w:val="0"/>
      <w:snapToGrid w:val="0"/>
      <w:jc w:val="center"/>
    </w:pPr>
    <w:rPr>
      <w:rFonts w:ascii="宋体" w:hAnsi="Times" w:cs="宋体"/>
      <w:bCs/>
      <w:color w:val="003366"/>
      <w:szCs w:val="20"/>
    </w:rPr>
  </w:style>
  <w:style w:type="paragraph" w:customStyle="1" w:styleId="2977">
    <w:name w:val="样式1211"/>
    <w:basedOn w:val="2105"/>
    <w:qFormat/>
    <w:uiPriority w:val="0"/>
    <w:pPr>
      <w:spacing w:line="240" w:lineRule="auto"/>
      <w:ind w:firstLine="0"/>
      <w:jc w:val="center"/>
    </w:pPr>
    <w:rPr>
      <w:rFonts w:cs="Times New Roman"/>
      <w:b/>
      <w:color w:val="auto"/>
      <w:szCs w:val="20"/>
    </w:rPr>
  </w:style>
  <w:style w:type="paragraph" w:customStyle="1" w:styleId="2978">
    <w:name w:val="正文格式＝311"/>
    <w:basedOn w:val="223"/>
    <w:next w:val="223"/>
    <w:qFormat/>
    <w:uiPriority w:val="0"/>
    <w:rPr>
      <w:rFonts w:hAnsi="宋体" w:cs="Times New Roman"/>
    </w:rPr>
  </w:style>
  <w:style w:type="paragraph" w:customStyle="1" w:styleId="2979">
    <w:name w:val="Char3111"/>
    <w:basedOn w:val="1"/>
    <w:qFormat/>
    <w:uiPriority w:val="0"/>
    <w:pPr>
      <w:ind w:left="-48"/>
    </w:pPr>
  </w:style>
  <w:style w:type="paragraph" w:customStyle="1" w:styleId="2980">
    <w:name w:val="表内文字小2211"/>
    <w:basedOn w:val="1"/>
    <w:qFormat/>
    <w:uiPriority w:val="0"/>
    <w:pPr>
      <w:adjustRightInd w:val="0"/>
      <w:snapToGrid w:val="0"/>
      <w:jc w:val="center"/>
    </w:pPr>
    <w:rPr>
      <w:rFonts w:ascii="宋体" w:hAnsi="Times"/>
      <w:bCs/>
      <w:color w:val="000000"/>
      <w:szCs w:val="20"/>
    </w:rPr>
  </w:style>
  <w:style w:type="paragraph" w:customStyle="1" w:styleId="2981">
    <w:name w:val="表内53111"/>
    <w:basedOn w:val="1"/>
    <w:qFormat/>
    <w:uiPriority w:val="0"/>
    <w:pPr>
      <w:adjustRightInd w:val="0"/>
      <w:snapToGrid w:val="0"/>
      <w:spacing w:line="300" w:lineRule="auto"/>
      <w:jc w:val="left"/>
    </w:pPr>
    <w:rPr>
      <w:rFonts w:ascii="宋体"/>
      <w:szCs w:val="20"/>
    </w:rPr>
  </w:style>
  <w:style w:type="paragraph" w:customStyle="1" w:styleId="2982">
    <w:name w:val="正文格式2111"/>
    <w:basedOn w:val="1"/>
    <w:qFormat/>
    <w:uiPriority w:val="0"/>
    <w:pPr>
      <w:spacing w:line="360" w:lineRule="auto"/>
      <w:ind w:firstLine="482"/>
    </w:pPr>
    <w:rPr>
      <w:rFonts w:ascii="宋体" w:hAnsi="宋体"/>
      <w:sz w:val="24"/>
    </w:rPr>
  </w:style>
  <w:style w:type="paragraph" w:customStyle="1" w:styleId="2983">
    <w:name w:val="图题2111"/>
    <w:basedOn w:val="223"/>
    <w:next w:val="223"/>
    <w:qFormat/>
    <w:uiPriority w:val="0"/>
    <w:pPr>
      <w:ind w:firstLine="0"/>
      <w:jc w:val="center"/>
    </w:pPr>
    <w:rPr>
      <w:rFonts w:ascii="黑体" w:hAnsi="宋体" w:eastAsia="黑体"/>
      <w:b/>
      <w:bCs/>
    </w:rPr>
  </w:style>
  <w:style w:type="paragraph" w:customStyle="1" w:styleId="2984">
    <w:name w:val="表格内字体2111"/>
    <w:basedOn w:val="223"/>
    <w:next w:val="223"/>
    <w:qFormat/>
    <w:uiPriority w:val="0"/>
    <w:pPr>
      <w:spacing w:line="240" w:lineRule="auto"/>
      <w:ind w:firstLine="0"/>
      <w:jc w:val="center"/>
    </w:pPr>
    <w:rPr>
      <w:rFonts w:hAnsi="宋体" w:cs="Times New Roman"/>
      <w:sz w:val="21"/>
    </w:rPr>
  </w:style>
  <w:style w:type="paragraph" w:customStyle="1" w:styleId="2985">
    <w:name w:val="表题11111"/>
    <w:basedOn w:val="23"/>
    <w:qFormat/>
    <w:uiPriority w:val="0"/>
    <w:pPr>
      <w:tabs>
        <w:tab w:val="clear" w:pos="7380"/>
      </w:tabs>
      <w:overflowPunct/>
      <w:spacing w:before="0" w:afterLines="0" w:line="360" w:lineRule="auto"/>
      <w:jc w:val="center"/>
    </w:pPr>
    <w:rPr>
      <w:rFonts w:ascii="黑体" w:cs="Times New Roman"/>
      <w:sz w:val="24"/>
      <w:szCs w:val="24"/>
    </w:rPr>
  </w:style>
  <w:style w:type="paragraph" w:customStyle="1" w:styleId="2986">
    <w:name w:val="表中文字1111"/>
    <w:basedOn w:val="1"/>
    <w:qFormat/>
    <w:uiPriority w:val="0"/>
    <w:pPr>
      <w:widowControl/>
      <w:spacing w:line="240" w:lineRule="atLeast"/>
      <w:ind w:left="-24" w:leftChars="-10" w:right="-48" w:rightChars="-20"/>
      <w:jc w:val="center"/>
    </w:pPr>
    <w:rPr>
      <w:rFonts w:ascii="宋体"/>
      <w:kern w:val="0"/>
      <w:szCs w:val="21"/>
    </w:rPr>
  </w:style>
  <w:style w:type="paragraph" w:customStyle="1" w:styleId="2987">
    <w:name w:val="表文字51111"/>
    <w:basedOn w:val="1"/>
    <w:qFormat/>
    <w:uiPriority w:val="0"/>
    <w:pPr>
      <w:adjustRightInd w:val="0"/>
      <w:jc w:val="left"/>
      <w:textAlignment w:val="baseline"/>
    </w:pPr>
    <w:rPr>
      <w:rFonts w:ascii="宋体"/>
      <w:kern w:val="0"/>
      <w:szCs w:val="20"/>
    </w:rPr>
  </w:style>
  <w:style w:type="paragraph" w:customStyle="1" w:styleId="2988">
    <w:name w:val="正文格式411"/>
    <w:basedOn w:val="1"/>
    <w:qFormat/>
    <w:uiPriority w:val="0"/>
    <w:pPr>
      <w:spacing w:line="360" w:lineRule="auto"/>
      <w:ind w:firstLine="482"/>
    </w:pPr>
    <w:rPr>
      <w:rFonts w:ascii="宋体" w:hAnsi="宋体"/>
      <w:sz w:val="24"/>
    </w:rPr>
  </w:style>
  <w:style w:type="paragraph" w:customStyle="1" w:styleId="2989">
    <w:name w:val="图题411"/>
    <w:basedOn w:val="223"/>
    <w:next w:val="223"/>
    <w:qFormat/>
    <w:uiPriority w:val="0"/>
    <w:pPr>
      <w:ind w:firstLine="0"/>
      <w:jc w:val="center"/>
    </w:pPr>
    <w:rPr>
      <w:rFonts w:ascii="黑体" w:hAnsi="宋体" w:eastAsia="黑体"/>
      <w:b/>
      <w:bCs/>
    </w:rPr>
  </w:style>
  <w:style w:type="paragraph" w:customStyle="1" w:styleId="2990">
    <w:name w:val="表格内字体411"/>
    <w:basedOn w:val="223"/>
    <w:next w:val="223"/>
    <w:qFormat/>
    <w:uiPriority w:val="0"/>
    <w:pPr>
      <w:spacing w:line="240" w:lineRule="auto"/>
      <w:ind w:firstLine="0"/>
      <w:jc w:val="center"/>
    </w:pPr>
    <w:rPr>
      <w:rFonts w:hAnsi="宋体" w:cs="Times New Roman"/>
      <w:sz w:val="21"/>
    </w:rPr>
  </w:style>
  <w:style w:type="paragraph" w:customStyle="1" w:styleId="2991">
    <w:name w:val="Char4111"/>
    <w:basedOn w:val="1"/>
    <w:qFormat/>
    <w:uiPriority w:val="0"/>
    <w:pPr>
      <w:ind w:left="-48"/>
    </w:pPr>
  </w:style>
  <w:style w:type="paragraph" w:customStyle="1" w:styleId="2992">
    <w:name w:val="正文格式＝411"/>
    <w:basedOn w:val="223"/>
    <w:next w:val="223"/>
    <w:qFormat/>
    <w:uiPriority w:val="0"/>
    <w:rPr>
      <w:rFonts w:hAnsi="宋体" w:cs="Times New Roman"/>
    </w:rPr>
  </w:style>
  <w:style w:type="paragraph" w:customStyle="1" w:styleId="2993">
    <w:name w:val="表题1311"/>
    <w:basedOn w:val="23"/>
    <w:qFormat/>
    <w:uiPriority w:val="0"/>
    <w:pPr>
      <w:tabs>
        <w:tab w:val="clear" w:pos="7380"/>
      </w:tabs>
      <w:overflowPunct/>
      <w:spacing w:before="0" w:afterLines="0" w:line="360" w:lineRule="auto"/>
      <w:jc w:val="center"/>
    </w:pPr>
    <w:rPr>
      <w:rFonts w:ascii="黑体" w:cs="Times New Roman"/>
      <w:b/>
      <w:sz w:val="24"/>
      <w:szCs w:val="24"/>
    </w:rPr>
  </w:style>
  <w:style w:type="paragraph" w:customStyle="1" w:styleId="2994">
    <w:name w:val="默认段落字体 Para Char111"/>
    <w:basedOn w:val="1"/>
    <w:next w:val="1"/>
    <w:qFormat/>
    <w:uiPriority w:val="0"/>
    <w:pPr>
      <w:spacing w:line="480" w:lineRule="exact"/>
      <w:ind w:firstLine="200" w:firstLineChars="200"/>
      <w:jc w:val="left"/>
    </w:pPr>
    <w:rPr>
      <w:rFonts w:ascii="宋体" w:hAnsi="宋体" w:eastAsia="汉鼎简书宋" w:cs="宋体"/>
      <w:sz w:val="28"/>
    </w:rPr>
  </w:style>
  <w:style w:type="paragraph" w:customStyle="1" w:styleId="2995">
    <w:name w:val="23-47表名11"/>
    <w:basedOn w:val="1"/>
    <w:qFormat/>
    <w:uiPriority w:val="0"/>
    <w:pPr>
      <w:spacing w:afterLines="50" w:line="440" w:lineRule="exact"/>
      <w:jc w:val="center"/>
    </w:pPr>
    <w:rPr>
      <w:rFonts w:ascii="宋体" w:hAnsi="宋体"/>
      <w:b/>
      <w:sz w:val="24"/>
    </w:rPr>
  </w:style>
  <w:style w:type="paragraph" w:customStyle="1" w:styleId="2996">
    <w:name w:val="xl2411"/>
    <w:basedOn w:val="1"/>
    <w:qFormat/>
    <w:uiPriority w:val="0"/>
    <w:pPr>
      <w:widowControl/>
      <w:pBdr>
        <w:bottom w:val="single" w:color="auto" w:sz="4" w:space="0"/>
        <w:right w:val="single" w:color="auto" w:sz="4" w:space="0"/>
      </w:pBdr>
      <w:spacing w:before="100" w:beforeAutospacing="1" w:after="100" w:afterAutospacing="1"/>
      <w:jc w:val="center"/>
    </w:pPr>
    <w:rPr>
      <w:kern w:val="0"/>
      <w:szCs w:val="21"/>
    </w:rPr>
  </w:style>
  <w:style w:type="paragraph" w:customStyle="1" w:styleId="2997">
    <w:name w:val="Char Char Char Char Char Char Char1211"/>
    <w:basedOn w:val="1"/>
    <w:qFormat/>
    <w:uiPriority w:val="0"/>
    <w:rPr>
      <w:szCs w:val="20"/>
    </w:rPr>
  </w:style>
  <w:style w:type="paragraph" w:customStyle="1" w:styleId="2998">
    <w:name w:val="Char511"/>
    <w:basedOn w:val="1"/>
    <w:qFormat/>
    <w:uiPriority w:val="0"/>
    <w:pPr>
      <w:adjustRightInd w:val="0"/>
      <w:snapToGrid w:val="0"/>
      <w:ind w:left="-45"/>
    </w:pPr>
  </w:style>
  <w:style w:type="paragraph" w:customStyle="1" w:styleId="2999">
    <w:name w:val="燕山正文11311"/>
    <w:basedOn w:val="1"/>
    <w:qFormat/>
    <w:uiPriority w:val="0"/>
    <w:pPr>
      <w:tabs>
        <w:tab w:val="left" w:pos="4680"/>
      </w:tabs>
      <w:adjustRightInd w:val="0"/>
      <w:snapToGrid w:val="0"/>
      <w:spacing w:line="360" w:lineRule="auto"/>
      <w:ind w:firstLine="480" w:firstLineChars="200"/>
    </w:pPr>
    <w:rPr>
      <w:rFonts w:ascii="宋体" w:hAnsi="宋体" w:cs="宋体"/>
      <w:bCs/>
      <w:snapToGrid w:val="0"/>
      <w:color w:val="000000"/>
      <w:kern w:val="0"/>
      <w:sz w:val="24"/>
    </w:rPr>
  </w:style>
  <w:style w:type="paragraph" w:customStyle="1" w:styleId="3000">
    <w:name w:val="正文格式511"/>
    <w:basedOn w:val="1"/>
    <w:qFormat/>
    <w:uiPriority w:val="0"/>
    <w:pPr>
      <w:spacing w:line="360" w:lineRule="auto"/>
      <w:ind w:firstLine="482"/>
    </w:pPr>
    <w:rPr>
      <w:rFonts w:ascii="宋体" w:hAnsi="宋体"/>
      <w:sz w:val="24"/>
    </w:rPr>
  </w:style>
  <w:style w:type="paragraph" w:customStyle="1" w:styleId="3001">
    <w:name w:val="Char3211"/>
    <w:basedOn w:val="1"/>
    <w:qFormat/>
    <w:uiPriority w:val="0"/>
    <w:pPr>
      <w:ind w:left="-48"/>
    </w:pPr>
  </w:style>
  <w:style w:type="character" w:customStyle="1" w:styleId="3002">
    <w:name w:val="题注 Char311"/>
    <w:qFormat/>
    <w:uiPriority w:val="0"/>
    <w:rPr>
      <w:rFonts w:ascii="黑体" w:hAnsi="Arial" w:eastAsia="黑体" w:cs="Arial"/>
      <w:b/>
      <w:kern w:val="2"/>
      <w:sz w:val="24"/>
      <w:szCs w:val="24"/>
      <w:lang w:val="en-US" w:eastAsia="zh-CN" w:bidi="ar-SA"/>
    </w:rPr>
  </w:style>
  <w:style w:type="paragraph" w:customStyle="1" w:styleId="3003">
    <w:name w:val="图题511"/>
    <w:basedOn w:val="223"/>
    <w:next w:val="223"/>
    <w:qFormat/>
    <w:uiPriority w:val="0"/>
    <w:pPr>
      <w:ind w:firstLine="0"/>
      <w:jc w:val="center"/>
    </w:pPr>
    <w:rPr>
      <w:rFonts w:ascii="黑体" w:hAnsi="宋体" w:eastAsia="黑体"/>
      <w:b/>
      <w:bCs/>
    </w:rPr>
  </w:style>
  <w:style w:type="paragraph" w:customStyle="1" w:styleId="3004">
    <w:name w:val="表格内字体511"/>
    <w:basedOn w:val="223"/>
    <w:next w:val="223"/>
    <w:qFormat/>
    <w:uiPriority w:val="0"/>
    <w:pPr>
      <w:adjustRightInd w:val="0"/>
      <w:snapToGrid w:val="0"/>
      <w:spacing w:line="240" w:lineRule="auto"/>
      <w:ind w:firstLine="0"/>
    </w:pPr>
    <w:rPr>
      <w:rFonts w:hAnsi="宋体" w:cs="Times New Roman"/>
      <w:sz w:val="21"/>
    </w:rPr>
  </w:style>
  <w:style w:type="paragraph" w:customStyle="1" w:styleId="3005">
    <w:name w:val="表311"/>
    <w:basedOn w:val="1"/>
    <w:qFormat/>
    <w:uiPriority w:val="0"/>
    <w:pPr>
      <w:adjustRightInd w:val="0"/>
      <w:snapToGrid w:val="0"/>
      <w:jc w:val="center"/>
    </w:pPr>
    <w:rPr>
      <w:rFonts w:eastAsia="仿宋_GB2312"/>
      <w:sz w:val="24"/>
    </w:rPr>
  </w:style>
  <w:style w:type="paragraph" w:customStyle="1" w:styleId="3006">
    <w:name w:val="正文.111"/>
    <w:qFormat/>
    <w:uiPriority w:val="0"/>
    <w:pPr>
      <w:widowControl w:val="0"/>
      <w:autoSpaceDE w:val="0"/>
      <w:autoSpaceDN w:val="0"/>
      <w:adjustRightInd w:val="0"/>
      <w:jc w:val="both"/>
    </w:pPr>
    <w:rPr>
      <w:rFonts w:ascii="Times New Roman;Symbol;Arial;婼" w:hAnsi="Times New Roman" w:eastAsia="Times New Roman;Symbol;Arial;婼" w:cs="Times New Roman"/>
      <w:sz w:val="21"/>
      <w:szCs w:val="21"/>
      <w:lang w:val="en-US" w:eastAsia="zh-CN" w:bidi="ar-SA"/>
    </w:rPr>
  </w:style>
  <w:style w:type="paragraph" w:customStyle="1" w:styleId="3007">
    <w:name w:val="文本框111"/>
    <w:basedOn w:val="1"/>
    <w:qFormat/>
    <w:uiPriority w:val="0"/>
    <w:pPr>
      <w:adjustRightInd w:val="0"/>
      <w:snapToGrid w:val="0"/>
      <w:spacing w:after="6"/>
      <w:jc w:val="center"/>
    </w:pPr>
    <w:rPr>
      <w:rFonts w:eastAsia="仿宋_GB2312"/>
    </w:rPr>
  </w:style>
  <w:style w:type="paragraph" w:customStyle="1" w:styleId="3008">
    <w:name w:val="表内宋511111"/>
    <w:basedOn w:val="81"/>
    <w:qFormat/>
    <w:uiPriority w:val="0"/>
    <w:pPr>
      <w:widowControl/>
      <w:adjustRightInd w:val="0"/>
      <w:snapToGrid w:val="0"/>
    </w:pPr>
    <w:rPr>
      <w:rFonts w:ascii="宋体" w:hAnsi="宋体" w:cs="宋体"/>
      <w:color w:val="000000"/>
      <w:kern w:val="0"/>
      <w:sz w:val="21"/>
      <w:lang w:val="zh-CN"/>
    </w:rPr>
  </w:style>
  <w:style w:type="paragraph" w:customStyle="1" w:styleId="3009">
    <w:name w:val="表内文字小31311"/>
    <w:basedOn w:val="1"/>
    <w:qFormat/>
    <w:uiPriority w:val="0"/>
    <w:pPr>
      <w:adjustRightInd w:val="0"/>
      <w:snapToGrid w:val="0"/>
      <w:jc w:val="center"/>
    </w:pPr>
    <w:rPr>
      <w:rFonts w:ascii="宋体" w:hAnsi="Times" w:cs="宋体"/>
      <w:bCs/>
      <w:color w:val="003366"/>
      <w:szCs w:val="20"/>
    </w:rPr>
  </w:style>
  <w:style w:type="paragraph" w:customStyle="1" w:styleId="3010">
    <w:name w:val="表文字5311"/>
    <w:basedOn w:val="1"/>
    <w:qFormat/>
    <w:uiPriority w:val="0"/>
    <w:pPr>
      <w:adjustRightInd w:val="0"/>
      <w:jc w:val="left"/>
      <w:textAlignment w:val="baseline"/>
    </w:pPr>
    <w:rPr>
      <w:rFonts w:ascii="宋体"/>
      <w:kern w:val="0"/>
      <w:szCs w:val="20"/>
    </w:rPr>
  </w:style>
  <w:style w:type="paragraph" w:customStyle="1" w:styleId="3011">
    <w:name w:val="正文2111"/>
    <w:qFormat/>
    <w:uiPriority w:val="0"/>
    <w:pPr>
      <w:adjustRightInd w:val="0"/>
      <w:snapToGrid w:val="0"/>
      <w:spacing w:line="480" w:lineRule="atLeast"/>
      <w:jc w:val="center"/>
    </w:pPr>
    <w:rPr>
      <w:rFonts w:ascii="宋体" w:hAnsi="Times New Roman" w:eastAsia="宋体" w:cs="Times New Roman"/>
      <w:snapToGrid w:val="0"/>
      <w:spacing w:val="6"/>
      <w:sz w:val="21"/>
      <w:lang w:val="en-US" w:eastAsia="zh-CN" w:bidi="ar-SA"/>
    </w:rPr>
  </w:style>
  <w:style w:type="paragraph" w:customStyle="1" w:styleId="3012">
    <w:name w:val="Char Char Char Char Char Char Char2111"/>
    <w:basedOn w:val="1"/>
    <w:qFormat/>
    <w:uiPriority w:val="0"/>
  </w:style>
  <w:style w:type="paragraph" w:customStyle="1" w:styleId="3013">
    <w:name w:val="表题31311"/>
    <w:basedOn w:val="37"/>
    <w:qFormat/>
    <w:uiPriority w:val="0"/>
    <w:pPr>
      <w:tabs>
        <w:tab w:val="left" w:pos="4305"/>
      </w:tabs>
      <w:adjustRightInd w:val="0"/>
      <w:snapToGrid w:val="0"/>
      <w:spacing w:after="0"/>
      <w:ind w:left="0" w:leftChars="0"/>
      <w:jc w:val="center"/>
    </w:pPr>
    <w:rPr>
      <w:rFonts w:ascii="宋体" w:hAnsi="宋体"/>
      <w:sz w:val="24"/>
      <w:szCs w:val="20"/>
    </w:rPr>
  </w:style>
  <w:style w:type="paragraph" w:customStyle="1" w:styleId="3014">
    <w:name w:val="表内文字小21311"/>
    <w:basedOn w:val="1"/>
    <w:qFormat/>
    <w:uiPriority w:val="0"/>
    <w:pPr>
      <w:adjustRightInd w:val="0"/>
      <w:snapToGrid w:val="0"/>
      <w:jc w:val="center"/>
      <w:textAlignment w:val="baseline"/>
    </w:pPr>
    <w:rPr>
      <w:rFonts w:ascii="宋体" w:hAnsi="Times"/>
      <w:bCs/>
      <w:color w:val="000000"/>
      <w:szCs w:val="20"/>
    </w:rPr>
  </w:style>
  <w:style w:type="paragraph" w:customStyle="1" w:styleId="3015">
    <w:name w:val="燕山正文311"/>
    <w:basedOn w:val="1"/>
    <w:qFormat/>
    <w:uiPriority w:val="0"/>
    <w:pPr>
      <w:tabs>
        <w:tab w:val="left" w:pos="4680"/>
      </w:tabs>
      <w:adjustRightInd w:val="0"/>
      <w:snapToGrid w:val="0"/>
      <w:spacing w:line="480" w:lineRule="exact"/>
    </w:pPr>
    <w:rPr>
      <w:rFonts w:ascii="宋体" w:cs="宋体"/>
      <w:sz w:val="24"/>
    </w:rPr>
  </w:style>
  <w:style w:type="paragraph" w:customStyle="1" w:styleId="3016">
    <w:name w:val="正文修改311"/>
    <w:basedOn w:val="2056"/>
    <w:qFormat/>
    <w:uiPriority w:val="0"/>
    <w:rPr>
      <w:rFonts w:hAnsi="宋体"/>
      <w:color w:val="000000"/>
    </w:rPr>
  </w:style>
  <w:style w:type="character" w:customStyle="1" w:styleId="3017">
    <w:name w:val="正文修改 Char1311"/>
    <w:qFormat/>
    <w:uiPriority w:val="0"/>
    <w:rPr>
      <w:rFonts w:ascii="宋体" w:hAnsi="宋体" w:eastAsia="宋体" w:cs="宋体"/>
      <w:color w:val="000000"/>
      <w:sz w:val="24"/>
      <w:szCs w:val="24"/>
    </w:rPr>
  </w:style>
  <w:style w:type="paragraph" w:customStyle="1" w:styleId="3018">
    <w:name w:val="表题1421"/>
    <w:basedOn w:val="23"/>
    <w:qFormat/>
    <w:uiPriority w:val="0"/>
    <w:pPr>
      <w:tabs>
        <w:tab w:val="clear" w:pos="7380"/>
      </w:tabs>
      <w:overflowPunct/>
      <w:spacing w:before="0" w:afterLines="0" w:line="360" w:lineRule="auto"/>
      <w:jc w:val="center"/>
    </w:pPr>
    <w:rPr>
      <w:rFonts w:ascii="黑体" w:cs="Times New Roman"/>
      <w:b/>
      <w:sz w:val="24"/>
      <w:szCs w:val="24"/>
    </w:rPr>
  </w:style>
  <w:style w:type="character" w:customStyle="1" w:styleId="3019">
    <w:name w:val="表题1 Char411"/>
    <w:qFormat/>
    <w:uiPriority w:val="0"/>
    <w:rPr>
      <w:rFonts w:ascii="黑体" w:hAnsi="Arial" w:eastAsia="黑体" w:cs="Arial"/>
      <w:b/>
      <w:kern w:val="2"/>
      <w:sz w:val="24"/>
      <w:szCs w:val="24"/>
      <w:lang w:val="en-US" w:eastAsia="zh-CN" w:bidi="ar-SA"/>
    </w:rPr>
  </w:style>
  <w:style w:type="paragraph" w:customStyle="1" w:styleId="3020">
    <w:name w:val="表中文字311"/>
    <w:basedOn w:val="1"/>
    <w:qFormat/>
    <w:uiPriority w:val="0"/>
    <w:pPr>
      <w:widowControl/>
      <w:spacing w:line="240" w:lineRule="atLeast"/>
      <w:ind w:left="-24" w:leftChars="-10" w:right="-48" w:rightChars="-20"/>
      <w:jc w:val="center"/>
    </w:pPr>
    <w:rPr>
      <w:rFonts w:ascii="宋体"/>
      <w:kern w:val="0"/>
      <w:szCs w:val="21"/>
    </w:rPr>
  </w:style>
  <w:style w:type="paragraph" w:customStyle="1" w:styleId="3021">
    <w:name w:val="黑体三号311"/>
    <w:basedOn w:val="223"/>
    <w:qFormat/>
    <w:uiPriority w:val="0"/>
    <w:pPr>
      <w:jc w:val="center"/>
    </w:pPr>
    <w:rPr>
      <w:rFonts w:ascii="黑体" w:hAnsi="宋体" w:eastAsia="黑体"/>
      <w:b/>
      <w:bCs/>
      <w:sz w:val="32"/>
      <w:szCs w:val="20"/>
    </w:rPr>
  </w:style>
  <w:style w:type="paragraph" w:customStyle="1" w:styleId="3022">
    <w:name w:val="默认段落字体 Para Char Char Char Char311"/>
    <w:basedOn w:val="1"/>
    <w:qFormat/>
    <w:uiPriority w:val="0"/>
  </w:style>
  <w:style w:type="paragraph" w:customStyle="1" w:styleId="3023">
    <w:name w:val="表内541311"/>
    <w:basedOn w:val="1"/>
    <w:qFormat/>
    <w:uiPriority w:val="0"/>
    <w:pPr>
      <w:adjustRightInd w:val="0"/>
      <w:snapToGrid w:val="0"/>
      <w:spacing w:line="300" w:lineRule="auto"/>
      <w:jc w:val="center"/>
    </w:pPr>
    <w:rPr>
      <w:rFonts w:ascii="宋体" w:hAnsi="宋体" w:cs="宋体"/>
      <w:szCs w:val="20"/>
    </w:rPr>
  </w:style>
  <w:style w:type="paragraph" w:customStyle="1" w:styleId="3024">
    <w:name w:val="标题421"/>
    <w:basedOn w:val="1"/>
    <w:qFormat/>
    <w:uiPriority w:val="0"/>
    <w:pPr>
      <w:adjustRightInd w:val="0"/>
      <w:snapToGrid w:val="0"/>
      <w:spacing w:line="300" w:lineRule="auto"/>
      <w:jc w:val="left"/>
    </w:pPr>
    <w:rPr>
      <w:rFonts w:ascii="黑体" w:eastAsia="黑体"/>
      <w:bCs/>
      <w:sz w:val="24"/>
    </w:rPr>
  </w:style>
  <w:style w:type="paragraph" w:customStyle="1" w:styleId="3025">
    <w:name w:val="Char611"/>
    <w:basedOn w:val="1"/>
    <w:qFormat/>
    <w:uiPriority w:val="0"/>
    <w:pPr>
      <w:adjustRightInd w:val="0"/>
      <w:snapToGrid w:val="0"/>
      <w:spacing w:beforeLines="50" w:line="360" w:lineRule="auto"/>
    </w:pPr>
    <w:rPr>
      <w:rFonts w:ascii="黑体" w:eastAsia="黑体"/>
      <w:sz w:val="32"/>
      <w:szCs w:val="32"/>
    </w:rPr>
  </w:style>
  <w:style w:type="paragraph" w:customStyle="1" w:styleId="3026">
    <w:name w:val="表题21111"/>
    <w:basedOn w:val="1"/>
    <w:qFormat/>
    <w:uiPriority w:val="0"/>
    <w:pPr>
      <w:widowControl/>
      <w:adjustRightInd w:val="0"/>
      <w:snapToGrid w:val="0"/>
      <w:jc w:val="center"/>
    </w:pPr>
    <w:rPr>
      <w:rFonts w:ascii="黑体" w:hAnsi="宋体" w:eastAsia="黑体" w:cs="宋体"/>
      <w:kern w:val="0"/>
      <w:sz w:val="24"/>
    </w:rPr>
  </w:style>
  <w:style w:type="paragraph" w:customStyle="1" w:styleId="3027">
    <w:name w:val="表内宋5中1111"/>
    <w:basedOn w:val="1"/>
    <w:qFormat/>
    <w:uiPriority w:val="0"/>
    <w:pPr>
      <w:adjustRightInd w:val="0"/>
      <w:snapToGrid w:val="0"/>
      <w:jc w:val="center"/>
      <w:textAlignment w:val="baseline"/>
    </w:pPr>
    <w:rPr>
      <w:rFonts w:ascii="宋体" w:hAnsi="宋体" w:cs="宋体"/>
      <w:kern w:val="0"/>
      <w:szCs w:val="20"/>
    </w:rPr>
  </w:style>
  <w:style w:type="paragraph" w:customStyle="1" w:styleId="3028">
    <w:name w:val="表内宋5中121"/>
    <w:basedOn w:val="1"/>
    <w:qFormat/>
    <w:uiPriority w:val="0"/>
    <w:pPr>
      <w:adjustRightInd w:val="0"/>
      <w:snapToGrid w:val="0"/>
      <w:jc w:val="center"/>
      <w:textAlignment w:val="baseline"/>
    </w:pPr>
    <w:rPr>
      <w:rFonts w:ascii="宋体" w:hAnsi="宋体" w:cs="宋体"/>
      <w:kern w:val="0"/>
      <w:szCs w:val="20"/>
    </w:rPr>
  </w:style>
  <w:style w:type="paragraph" w:customStyle="1" w:styleId="3029">
    <w:name w:val="表内文字小1111"/>
    <w:basedOn w:val="1"/>
    <w:qFormat/>
    <w:uiPriority w:val="0"/>
    <w:pPr>
      <w:adjustRightInd w:val="0"/>
      <w:snapToGrid w:val="0"/>
    </w:pPr>
    <w:rPr>
      <w:rFonts w:ascii="宋体" w:hAnsi="Times" w:cs="宋体"/>
      <w:szCs w:val="20"/>
    </w:rPr>
  </w:style>
  <w:style w:type="paragraph" w:customStyle="1" w:styleId="3030">
    <w:name w:val="标题41111"/>
    <w:basedOn w:val="1"/>
    <w:qFormat/>
    <w:uiPriority w:val="0"/>
    <w:pPr>
      <w:adjustRightInd w:val="0"/>
      <w:snapToGrid w:val="0"/>
      <w:spacing w:line="300" w:lineRule="auto"/>
      <w:jc w:val="left"/>
    </w:pPr>
    <w:rPr>
      <w:rFonts w:ascii="黑体" w:hAnsi="宋体" w:eastAsia="黑体" w:cs="宋体"/>
      <w:bCs/>
      <w:sz w:val="24"/>
      <w:szCs w:val="20"/>
    </w:rPr>
  </w:style>
  <w:style w:type="paragraph" w:customStyle="1" w:styleId="3031">
    <w:name w:val="表题14111"/>
    <w:basedOn w:val="1"/>
    <w:qFormat/>
    <w:uiPriority w:val="0"/>
    <w:pPr>
      <w:widowControl/>
      <w:adjustRightInd w:val="0"/>
      <w:snapToGrid w:val="0"/>
      <w:jc w:val="center"/>
    </w:pPr>
    <w:rPr>
      <w:rFonts w:ascii="黑体" w:hAnsi="宋体" w:eastAsia="黑体" w:cs="宋体"/>
      <w:kern w:val="0"/>
      <w:sz w:val="24"/>
    </w:rPr>
  </w:style>
  <w:style w:type="paragraph" w:customStyle="1" w:styleId="3032">
    <w:name w:val="表内文字小811"/>
    <w:basedOn w:val="1"/>
    <w:qFormat/>
    <w:uiPriority w:val="0"/>
    <w:pPr>
      <w:adjustRightInd w:val="0"/>
      <w:snapToGrid w:val="0"/>
      <w:jc w:val="center"/>
    </w:pPr>
    <w:rPr>
      <w:rFonts w:ascii="宋体" w:hAnsi="Times" w:cs="宋体"/>
      <w:szCs w:val="20"/>
    </w:rPr>
  </w:style>
  <w:style w:type="paragraph" w:customStyle="1" w:styleId="3033">
    <w:name w:val="默认段落字体 Para Char211"/>
    <w:basedOn w:val="1"/>
    <w:next w:val="1"/>
    <w:qFormat/>
    <w:uiPriority w:val="0"/>
    <w:pPr>
      <w:spacing w:line="480" w:lineRule="exact"/>
      <w:ind w:firstLine="200" w:firstLineChars="200"/>
      <w:jc w:val="left"/>
    </w:pPr>
    <w:rPr>
      <w:rFonts w:ascii="宋体" w:hAnsi="宋体" w:eastAsia="汉鼎简书宋" w:cs="宋体"/>
      <w:sz w:val="28"/>
    </w:rPr>
  </w:style>
  <w:style w:type="paragraph" w:customStyle="1" w:styleId="3034">
    <w:name w:val="Default11"/>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customStyle="1" w:styleId="3035">
    <w:name w:val="正文格式611"/>
    <w:basedOn w:val="1"/>
    <w:qFormat/>
    <w:uiPriority w:val="0"/>
    <w:pPr>
      <w:spacing w:line="360" w:lineRule="auto"/>
      <w:ind w:firstLine="482"/>
    </w:pPr>
    <w:rPr>
      <w:rFonts w:ascii="宋体" w:hAnsi="宋体"/>
      <w:sz w:val="24"/>
    </w:rPr>
  </w:style>
  <w:style w:type="paragraph" w:customStyle="1" w:styleId="3036">
    <w:name w:val="正文格式＝511"/>
    <w:basedOn w:val="223"/>
    <w:next w:val="223"/>
    <w:qFormat/>
    <w:uiPriority w:val="0"/>
    <w:rPr>
      <w:rFonts w:hAnsi="宋体" w:cs="Times New Roman"/>
    </w:rPr>
  </w:style>
  <w:style w:type="paragraph" w:customStyle="1" w:styleId="3037">
    <w:name w:val="附件311"/>
    <w:basedOn w:val="4"/>
    <w:next w:val="223"/>
    <w:qFormat/>
    <w:uiPriority w:val="0"/>
    <w:pPr>
      <w:adjustRightInd w:val="0"/>
      <w:snapToGrid w:val="0"/>
      <w:spacing w:before="0" w:after="0" w:line="360" w:lineRule="auto"/>
      <w:jc w:val="left"/>
    </w:pPr>
    <w:rPr>
      <w:rFonts w:ascii="黑体" w:hAnsi="宋体" w:eastAsia="黑体"/>
      <w:b w:val="0"/>
      <w:sz w:val="32"/>
      <w:szCs w:val="32"/>
    </w:rPr>
  </w:style>
  <w:style w:type="paragraph" w:customStyle="1" w:styleId="3038">
    <w:name w:val="图题611"/>
    <w:basedOn w:val="223"/>
    <w:next w:val="223"/>
    <w:qFormat/>
    <w:uiPriority w:val="0"/>
    <w:pPr>
      <w:ind w:firstLine="0"/>
      <w:jc w:val="center"/>
    </w:pPr>
    <w:rPr>
      <w:rFonts w:ascii="黑体" w:hAnsi="宋体" w:eastAsia="黑体"/>
      <w:b/>
      <w:bCs/>
      <w:kern w:val="0"/>
    </w:rPr>
  </w:style>
  <w:style w:type="paragraph" w:customStyle="1" w:styleId="3039">
    <w:name w:val="表格内字体611"/>
    <w:basedOn w:val="223"/>
    <w:next w:val="223"/>
    <w:qFormat/>
    <w:uiPriority w:val="0"/>
    <w:pPr>
      <w:spacing w:line="240" w:lineRule="auto"/>
      <w:ind w:firstLine="0"/>
      <w:jc w:val="center"/>
    </w:pPr>
    <w:rPr>
      <w:rFonts w:hAnsi="宋体" w:cs="Times New Roman"/>
      <w:sz w:val="21"/>
    </w:rPr>
  </w:style>
  <w:style w:type="paragraph" w:customStyle="1" w:styleId="3040">
    <w:name w:val="黑体三号411"/>
    <w:basedOn w:val="223"/>
    <w:qFormat/>
    <w:uiPriority w:val="0"/>
    <w:pPr>
      <w:jc w:val="center"/>
    </w:pPr>
    <w:rPr>
      <w:rFonts w:ascii="黑体" w:hAnsi="宋体" w:eastAsia="黑体"/>
      <w:b/>
      <w:bCs/>
      <w:sz w:val="32"/>
      <w:szCs w:val="20"/>
    </w:rPr>
  </w:style>
  <w:style w:type="paragraph" w:customStyle="1" w:styleId="3041">
    <w:name w:val="默认段落字体 Para Char Char Char Char411"/>
    <w:basedOn w:val="1"/>
    <w:qFormat/>
    <w:uiPriority w:val="0"/>
  </w:style>
  <w:style w:type="paragraph" w:customStyle="1" w:styleId="3042">
    <w:name w:val="图表题11"/>
    <w:basedOn w:val="223"/>
    <w:next w:val="223"/>
    <w:qFormat/>
    <w:uiPriority w:val="0"/>
    <w:pPr>
      <w:ind w:firstLine="0"/>
      <w:jc w:val="center"/>
    </w:pPr>
    <w:rPr>
      <w:rFonts w:ascii="黑体" w:hAnsi="宋体" w:eastAsia="黑体"/>
      <w:b/>
      <w:bCs/>
    </w:rPr>
  </w:style>
  <w:style w:type="character" w:customStyle="1" w:styleId="3043">
    <w:name w:val="图表题 Char11"/>
    <w:qFormat/>
    <w:uiPriority w:val="0"/>
    <w:rPr>
      <w:rFonts w:ascii="黑体" w:eastAsia="黑体" w:cs="宋体"/>
      <w:b/>
      <w:bCs/>
      <w:kern w:val="2"/>
      <w:sz w:val="24"/>
      <w:szCs w:val="24"/>
      <w:lang w:val="en-US" w:eastAsia="zh-CN" w:bidi="ar-SA"/>
    </w:rPr>
  </w:style>
  <w:style w:type="paragraph" w:customStyle="1" w:styleId="3044">
    <w:name w:val="样式 表格内字体 +11"/>
    <w:basedOn w:val="2053"/>
    <w:qFormat/>
    <w:uiPriority w:val="0"/>
    <w:pPr>
      <w:spacing w:line="280" w:lineRule="exact"/>
      <w:ind w:firstLine="36"/>
      <w:jc w:val="both"/>
    </w:pPr>
    <w:rPr>
      <w:kern w:val="0"/>
    </w:rPr>
  </w:style>
  <w:style w:type="character" w:customStyle="1" w:styleId="3045">
    <w:name w:val="样式 表格内字体 + Char11"/>
    <w:qFormat/>
    <w:uiPriority w:val="0"/>
  </w:style>
  <w:style w:type="paragraph" w:customStyle="1" w:styleId="3046">
    <w:name w:val="A正文11"/>
    <w:basedOn w:val="1"/>
    <w:qFormat/>
    <w:uiPriority w:val="0"/>
    <w:pPr>
      <w:widowControl/>
      <w:overflowPunct w:val="0"/>
      <w:autoSpaceDE w:val="0"/>
      <w:autoSpaceDN w:val="0"/>
      <w:adjustRightInd w:val="0"/>
      <w:spacing w:line="360" w:lineRule="auto"/>
      <w:ind w:firstLine="200" w:firstLineChars="200"/>
      <w:jc w:val="left"/>
      <w:textAlignment w:val="baseline"/>
    </w:pPr>
    <w:rPr>
      <w:rFonts w:eastAsia="仿宋_GB2312"/>
      <w:kern w:val="0"/>
      <w:sz w:val="24"/>
    </w:rPr>
  </w:style>
  <w:style w:type="paragraph" w:customStyle="1" w:styleId="3047">
    <w:name w:val="图题注11"/>
    <w:basedOn w:val="23"/>
    <w:qFormat/>
    <w:uiPriority w:val="0"/>
    <w:pPr>
      <w:tabs>
        <w:tab w:val="clear" w:pos="7380"/>
      </w:tabs>
      <w:overflowPunct/>
      <w:spacing w:before="0" w:afterLines="0"/>
      <w:jc w:val="center"/>
    </w:pPr>
    <w:rPr>
      <w:rFonts w:ascii="黑体" w:cs="宋体"/>
      <w:b/>
      <w:bCs/>
      <w:sz w:val="24"/>
      <w:szCs w:val="24"/>
    </w:rPr>
  </w:style>
  <w:style w:type="paragraph" w:customStyle="1" w:styleId="3048">
    <w:name w:val="Char711"/>
    <w:basedOn w:val="1"/>
    <w:qFormat/>
    <w:uiPriority w:val="0"/>
    <w:pPr>
      <w:ind w:left="-48"/>
    </w:pPr>
  </w:style>
  <w:style w:type="paragraph" w:customStyle="1" w:styleId="3049">
    <w:name w:val="表格内字体1111"/>
    <w:basedOn w:val="223"/>
    <w:qFormat/>
    <w:uiPriority w:val="0"/>
    <w:pPr>
      <w:spacing w:line="240" w:lineRule="auto"/>
      <w:ind w:firstLine="0"/>
      <w:jc w:val="center"/>
    </w:pPr>
    <w:rPr>
      <w:sz w:val="21"/>
      <w:szCs w:val="20"/>
    </w:rPr>
  </w:style>
  <w:style w:type="paragraph" w:customStyle="1" w:styleId="3050">
    <w:name w:val="Char Char2 Char Char Char Char311"/>
    <w:basedOn w:val="1"/>
    <w:qFormat/>
    <w:uiPriority w:val="0"/>
  </w:style>
  <w:style w:type="paragraph" w:customStyle="1" w:styleId="3051">
    <w:name w:val="样式 正文缩进 + 宋体 黑色 首行缩进:  2 字符11"/>
    <w:basedOn w:val="22"/>
    <w:qFormat/>
    <w:uiPriority w:val="0"/>
    <w:pPr>
      <w:spacing w:line="360" w:lineRule="auto"/>
      <w:ind w:firstLine="480"/>
      <w:jc w:val="left"/>
    </w:pPr>
    <w:rPr>
      <w:rFonts w:ascii="宋体" w:hAnsi="宋体" w:cs="宋体"/>
      <w:color w:val="FF00FF"/>
      <w:sz w:val="24"/>
      <w:szCs w:val="20"/>
    </w:rPr>
  </w:style>
  <w:style w:type="paragraph" w:customStyle="1" w:styleId="3052">
    <w:name w:val="环评正文11"/>
    <w:qFormat/>
    <w:uiPriority w:val="0"/>
    <w:pPr>
      <w:spacing w:line="440" w:lineRule="exact"/>
      <w:ind w:firstLine="200" w:firstLineChars="200"/>
    </w:pPr>
    <w:rPr>
      <w:rFonts w:ascii="Times New Roman" w:hAnsi="Times New Roman" w:eastAsia="宋体" w:cs="Times New Roman"/>
      <w:bCs/>
      <w:kern w:val="2"/>
      <w:sz w:val="24"/>
      <w:szCs w:val="24"/>
      <w:lang w:val="en-US" w:eastAsia="zh-CN" w:bidi="ar-SA"/>
    </w:rPr>
  </w:style>
  <w:style w:type="paragraph" w:customStyle="1" w:styleId="3053">
    <w:name w:val="注释11"/>
    <w:basedOn w:val="223"/>
    <w:next w:val="35"/>
    <w:qFormat/>
    <w:uiPriority w:val="0"/>
    <w:pPr>
      <w:spacing w:before="120" w:after="120" w:line="240" w:lineRule="auto"/>
      <w:ind w:firstLine="200" w:firstLineChars="200"/>
    </w:pPr>
    <w:rPr>
      <w:sz w:val="21"/>
      <w:szCs w:val="20"/>
    </w:rPr>
  </w:style>
  <w:style w:type="paragraph" w:customStyle="1" w:styleId="3054">
    <w:name w:val="样式411"/>
    <w:basedOn w:val="35"/>
    <w:qFormat/>
    <w:uiPriority w:val="0"/>
    <w:pPr>
      <w:tabs>
        <w:tab w:val="left" w:pos="1820"/>
      </w:tabs>
      <w:snapToGrid w:val="0"/>
      <w:spacing w:after="0" w:line="240" w:lineRule="atLeast"/>
      <w:jc w:val="center"/>
    </w:pPr>
    <w:rPr>
      <w:rFonts w:eastAsia="幼圆"/>
      <w:kern w:val="0"/>
      <w:szCs w:val="20"/>
    </w:rPr>
  </w:style>
  <w:style w:type="paragraph" w:customStyle="1" w:styleId="3055">
    <w:name w:val="标题4121"/>
    <w:basedOn w:val="7"/>
    <w:next w:val="1"/>
    <w:qFormat/>
    <w:uiPriority w:val="0"/>
    <w:pPr>
      <w:spacing w:before="160" w:after="170" w:line="360" w:lineRule="auto"/>
    </w:pPr>
    <w:rPr>
      <w:rFonts w:ascii="黑体" w:eastAsia="黑体"/>
      <w:b/>
      <w:kern w:val="0"/>
      <w:sz w:val="24"/>
      <w:lang w:val="zh-CN"/>
    </w:rPr>
  </w:style>
  <w:style w:type="paragraph" w:customStyle="1" w:styleId="3056">
    <w:name w:val="表中文字411"/>
    <w:basedOn w:val="1"/>
    <w:qFormat/>
    <w:uiPriority w:val="0"/>
    <w:pPr>
      <w:snapToGrid w:val="0"/>
      <w:spacing w:line="340" w:lineRule="exact"/>
      <w:ind w:firstLine="480" w:firstLineChars="200"/>
      <w:jc w:val="center"/>
    </w:pPr>
    <w:rPr>
      <w:rFonts w:ascii="Arial" w:hAnsi="Arial"/>
      <w:kern w:val="0"/>
      <w:sz w:val="20"/>
      <w:lang w:eastAsia="zh-TW"/>
    </w:rPr>
  </w:style>
  <w:style w:type="paragraph" w:customStyle="1" w:styleId="3057">
    <w:name w:val="样式 正文缩进 + 宋体 黑色11"/>
    <w:basedOn w:val="22"/>
    <w:qFormat/>
    <w:uiPriority w:val="0"/>
    <w:pPr>
      <w:spacing w:line="360" w:lineRule="auto"/>
      <w:ind w:firstLine="200"/>
      <w:jc w:val="left"/>
    </w:pPr>
    <w:rPr>
      <w:rFonts w:ascii="宋体" w:hAnsi="宋体"/>
      <w:color w:val="000000"/>
      <w:sz w:val="24"/>
    </w:rPr>
  </w:style>
  <w:style w:type="paragraph" w:customStyle="1" w:styleId="3058">
    <w:name w:val="表内5111"/>
    <w:basedOn w:val="1"/>
    <w:qFormat/>
    <w:uiPriority w:val="0"/>
    <w:pPr>
      <w:adjustRightInd w:val="0"/>
      <w:snapToGrid w:val="0"/>
      <w:jc w:val="center"/>
    </w:pPr>
    <w:rPr>
      <w:rFonts w:ascii="宋体" w:hAnsi="宋体"/>
      <w:kern w:val="0"/>
      <w:sz w:val="20"/>
      <w:szCs w:val="20"/>
    </w:rPr>
  </w:style>
  <w:style w:type="paragraph" w:customStyle="1" w:styleId="3059">
    <w:name w:val="样式 样式 宋体 + 首行缩进:  2 字符111"/>
    <w:basedOn w:val="1"/>
    <w:qFormat/>
    <w:uiPriority w:val="0"/>
    <w:pPr>
      <w:spacing w:line="360" w:lineRule="auto"/>
      <w:ind w:firstLine="480" w:firstLineChars="200"/>
      <w:jc w:val="left"/>
    </w:pPr>
    <w:rPr>
      <w:rFonts w:ascii="宋体" w:cs="宋体"/>
      <w:sz w:val="24"/>
    </w:rPr>
  </w:style>
  <w:style w:type="paragraph" w:customStyle="1" w:styleId="3060">
    <w:name w:val="表内宋5中211"/>
    <w:basedOn w:val="1"/>
    <w:qFormat/>
    <w:uiPriority w:val="0"/>
    <w:pPr>
      <w:adjustRightInd w:val="0"/>
      <w:snapToGrid w:val="0"/>
      <w:jc w:val="center"/>
      <w:textAlignment w:val="baseline"/>
    </w:pPr>
    <w:rPr>
      <w:rFonts w:ascii="宋体" w:hAnsi="宋体"/>
      <w:kern w:val="0"/>
      <w:szCs w:val="20"/>
    </w:rPr>
  </w:style>
  <w:style w:type="paragraph" w:customStyle="1" w:styleId="3061">
    <w:name w:val="xl6311"/>
    <w:basedOn w:val="1"/>
    <w:qFormat/>
    <w:uiPriority w:val="0"/>
    <w:pPr>
      <w:widowControl/>
      <w:spacing w:before="100" w:beforeAutospacing="1" w:after="100" w:afterAutospacing="1"/>
      <w:jc w:val="center"/>
      <w:textAlignment w:val="center"/>
    </w:pPr>
    <w:rPr>
      <w:rFonts w:hint="eastAsia" w:ascii="黑体" w:hAnsi="宋体" w:eastAsia="黑体"/>
      <w:kern w:val="0"/>
      <w:sz w:val="24"/>
    </w:rPr>
  </w:style>
  <w:style w:type="paragraph" w:customStyle="1" w:styleId="3062">
    <w:name w:val="标准11"/>
    <w:basedOn w:val="1"/>
    <w:qFormat/>
    <w:uiPriority w:val="0"/>
    <w:pPr>
      <w:adjustRightInd w:val="0"/>
      <w:spacing w:before="120" w:line="336" w:lineRule="auto"/>
      <w:jc w:val="center"/>
      <w:textAlignment w:val="baseline"/>
    </w:pPr>
    <w:rPr>
      <w:rFonts w:ascii="黑体" w:eastAsia="黑体"/>
      <w:szCs w:val="20"/>
    </w:rPr>
  </w:style>
  <w:style w:type="paragraph" w:customStyle="1" w:styleId="3063">
    <w:name w:val="Fax Header11"/>
    <w:basedOn w:val="1"/>
    <w:qFormat/>
    <w:uiPriority w:val="0"/>
    <w:pPr>
      <w:widowControl/>
      <w:spacing w:before="240" w:after="60"/>
      <w:jc w:val="left"/>
    </w:pPr>
    <w:rPr>
      <w:kern w:val="0"/>
      <w:sz w:val="20"/>
      <w:szCs w:val="20"/>
    </w:rPr>
  </w:style>
  <w:style w:type="paragraph" w:customStyle="1" w:styleId="3064">
    <w:name w:val="样式 表格内字体1 +11"/>
    <w:basedOn w:val="2142"/>
    <w:next w:val="2053"/>
    <w:qFormat/>
    <w:uiPriority w:val="0"/>
    <w:rPr>
      <w:rFonts w:hAnsi="Times New Roman" w:cs="宋体"/>
      <w:szCs w:val="20"/>
    </w:rPr>
  </w:style>
  <w:style w:type="paragraph" w:customStyle="1" w:styleId="3065">
    <w:name w:val="默认段落字体 Para Char311"/>
    <w:basedOn w:val="1"/>
    <w:qFormat/>
    <w:uiPriority w:val="0"/>
    <w:pPr>
      <w:spacing w:line="360" w:lineRule="auto"/>
      <w:ind w:firstLine="200" w:firstLineChars="200"/>
    </w:pPr>
    <w:rPr>
      <w:rFonts w:ascii="宋体" w:hAnsi="宋体" w:cs="宋体"/>
      <w:sz w:val="24"/>
    </w:rPr>
  </w:style>
  <w:style w:type="paragraph" w:customStyle="1" w:styleId="3066">
    <w:name w:val="正文斜体11"/>
    <w:basedOn w:val="223"/>
    <w:next w:val="223"/>
    <w:qFormat/>
    <w:uiPriority w:val="0"/>
    <w:rPr>
      <w:rFonts w:hAnsi="宋体" w:cs="Times New Roman"/>
      <w:i/>
      <w:iCs/>
    </w:rPr>
  </w:style>
  <w:style w:type="character" w:customStyle="1" w:styleId="3067">
    <w:name w:val="正文斜体 Char11"/>
    <w:qFormat/>
    <w:uiPriority w:val="0"/>
    <w:rPr>
      <w:rFonts w:ascii="宋体" w:eastAsia="宋体" w:cs="宋体"/>
      <w:i/>
      <w:iCs/>
      <w:kern w:val="2"/>
      <w:sz w:val="24"/>
      <w:szCs w:val="24"/>
      <w:lang w:val="en-US" w:eastAsia="zh-CN" w:bidi="ar-SA"/>
    </w:rPr>
  </w:style>
  <w:style w:type="paragraph" w:customStyle="1" w:styleId="3068">
    <w:name w:val="Char Char2 Char Char Char Char1111"/>
    <w:basedOn w:val="1"/>
    <w:qFormat/>
    <w:uiPriority w:val="0"/>
  </w:style>
  <w:style w:type="paragraph" w:customStyle="1" w:styleId="3069">
    <w:name w:val="Char811"/>
    <w:basedOn w:val="1"/>
    <w:qFormat/>
    <w:uiPriority w:val="0"/>
    <w:pPr>
      <w:ind w:left="-48"/>
    </w:pPr>
  </w:style>
  <w:style w:type="paragraph" w:customStyle="1" w:styleId="3070">
    <w:name w:val="正文格式711"/>
    <w:basedOn w:val="1"/>
    <w:qFormat/>
    <w:uiPriority w:val="0"/>
    <w:pPr>
      <w:spacing w:line="360" w:lineRule="auto"/>
      <w:ind w:firstLine="482"/>
    </w:pPr>
    <w:rPr>
      <w:rFonts w:ascii="宋体" w:hAnsi="宋体"/>
      <w:sz w:val="24"/>
    </w:rPr>
  </w:style>
  <w:style w:type="character" w:customStyle="1" w:styleId="3071">
    <w:name w:val="题注 Char511"/>
    <w:qFormat/>
    <w:uiPriority w:val="0"/>
    <w:rPr>
      <w:rFonts w:ascii="黑体" w:hAnsi="Arial" w:eastAsia="黑体" w:cs="Arial"/>
      <w:b/>
      <w:kern w:val="2"/>
      <w:sz w:val="24"/>
      <w:szCs w:val="24"/>
      <w:lang w:val="en-US" w:eastAsia="zh-CN" w:bidi="ar-SA"/>
    </w:rPr>
  </w:style>
  <w:style w:type="paragraph" w:customStyle="1" w:styleId="3072">
    <w:name w:val="图题711"/>
    <w:basedOn w:val="223"/>
    <w:next w:val="223"/>
    <w:qFormat/>
    <w:uiPriority w:val="0"/>
    <w:pPr>
      <w:ind w:firstLine="0"/>
      <w:jc w:val="center"/>
    </w:pPr>
    <w:rPr>
      <w:rFonts w:ascii="黑体" w:hAnsi="宋体" w:eastAsia="黑体"/>
      <w:b/>
      <w:bCs/>
    </w:rPr>
  </w:style>
  <w:style w:type="paragraph" w:customStyle="1" w:styleId="3073">
    <w:name w:val="表格内字体711"/>
    <w:basedOn w:val="223"/>
    <w:next w:val="223"/>
    <w:qFormat/>
    <w:uiPriority w:val="0"/>
    <w:pPr>
      <w:spacing w:line="240" w:lineRule="auto"/>
      <w:ind w:firstLine="0"/>
      <w:jc w:val="center"/>
    </w:pPr>
    <w:rPr>
      <w:rFonts w:hAnsi="宋体" w:cs="Times New Roman"/>
      <w:sz w:val="21"/>
    </w:rPr>
  </w:style>
  <w:style w:type="paragraph" w:customStyle="1" w:styleId="3074">
    <w:name w:val="Char911"/>
    <w:basedOn w:val="1"/>
    <w:qFormat/>
    <w:uiPriority w:val="0"/>
    <w:pPr>
      <w:ind w:left="-48"/>
    </w:pPr>
  </w:style>
  <w:style w:type="paragraph" w:customStyle="1" w:styleId="3075">
    <w:name w:val="正文格式＝611"/>
    <w:basedOn w:val="223"/>
    <w:next w:val="223"/>
    <w:qFormat/>
    <w:uiPriority w:val="0"/>
    <w:rPr>
      <w:rFonts w:hAnsi="宋体" w:cs="Times New Roman"/>
    </w:rPr>
  </w:style>
  <w:style w:type="paragraph" w:customStyle="1" w:styleId="3076">
    <w:name w:val="表题1511"/>
    <w:basedOn w:val="23"/>
    <w:qFormat/>
    <w:uiPriority w:val="0"/>
    <w:pPr>
      <w:tabs>
        <w:tab w:val="clear" w:pos="7380"/>
      </w:tabs>
      <w:overflowPunct/>
      <w:spacing w:before="0" w:afterLines="0" w:line="360" w:lineRule="auto"/>
      <w:jc w:val="center"/>
    </w:pPr>
    <w:rPr>
      <w:rFonts w:ascii="黑体" w:cs="Times New Roman"/>
      <w:b/>
      <w:sz w:val="24"/>
      <w:szCs w:val="24"/>
    </w:rPr>
  </w:style>
  <w:style w:type="character" w:customStyle="1" w:styleId="3077">
    <w:name w:val="表题1 Char611"/>
    <w:qFormat/>
    <w:uiPriority w:val="0"/>
    <w:rPr>
      <w:rFonts w:ascii="黑体" w:hAnsi="Arial" w:eastAsia="黑体" w:cs="Arial"/>
      <w:b/>
      <w:kern w:val="2"/>
      <w:sz w:val="24"/>
      <w:szCs w:val="24"/>
      <w:lang w:val="en-US" w:eastAsia="zh-CN" w:bidi="ar-SA"/>
    </w:rPr>
  </w:style>
  <w:style w:type="paragraph" w:customStyle="1" w:styleId="3078">
    <w:name w:val="燕山正文411"/>
    <w:basedOn w:val="1"/>
    <w:qFormat/>
    <w:uiPriority w:val="0"/>
    <w:pPr>
      <w:tabs>
        <w:tab w:val="left" w:pos="4680"/>
      </w:tabs>
      <w:adjustRightInd w:val="0"/>
      <w:snapToGrid w:val="0"/>
      <w:spacing w:line="480" w:lineRule="exact"/>
    </w:pPr>
    <w:rPr>
      <w:rFonts w:ascii="宋体" w:cs="宋体"/>
      <w:sz w:val="24"/>
    </w:rPr>
  </w:style>
  <w:style w:type="paragraph" w:customStyle="1" w:styleId="3079">
    <w:name w:val="正文修改411"/>
    <w:basedOn w:val="2056"/>
    <w:qFormat/>
    <w:uiPriority w:val="0"/>
    <w:rPr>
      <w:rFonts w:hAnsi="宋体"/>
      <w:color w:val="000000"/>
    </w:rPr>
  </w:style>
  <w:style w:type="character" w:customStyle="1" w:styleId="3080">
    <w:name w:val="正文修改 Char1411"/>
    <w:qFormat/>
    <w:uiPriority w:val="0"/>
  </w:style>
  <w:style w:type="paragraph" w:customStyle="1" w:styleId="3081">
    <w:name w:val="表中文字511"/>
    <w:basedOn w:val="1"/>
    <w:qFormat/>
    <w:uiPriority w:val="0"/>
    <w:pPr>
      <w:widowControl/>
      <w:spacing w:line="240" w:lineRule="atLeast"/>
      <w:ind w:left="-24" w:leftChars="-10" w:right="-48" w:rightChars="-20"/>
      <w:jc w:val="center"/>
    </w:pPr>
    <w:rPr>
      <w:rFonts w:ascii="宋体"/>
      <w:kern w:val="0"/>
      <w:szCs w:val="21"/>
    </w:rPr>
  </w:style>
  <w:style w:type="paragraph" w:customStyle="1" w:styleId="3082">
    <w:name w:val="默认段落字体 Para Char Char Char Char511"/>
    <w:basedOn w:val="1"/>
    <w:qFormat/>
    <w:uiPriority w:val="0"/>
  </w:style>
  <w:style w:type="paragraph" w:customStyle="1" w:styleId="3083">
    <w:name w:val="Char1011"/>
    <w:basedOn w:val="1"/>
    <w:qFormat/>
    <w:uiPriority w:val="0"/>
    <w:pPr>
      <w:adjustRightInd w:val="0"/>
      <w:snapToGrid w:val="0"/>
      <w:spacing w:line="360" w:lineRule="auto"/>
    </w:pPr>
  </w:style>
  <w:style w:type="paragraph" w:customStyle="1" w:styleId="3084">
    <w:name w:val="表内5中111"/>
    <w:basedOn w:val="1"/>
    <w:qFormat/>
    <w:uiPriority w:val="0"/>
    <w:pPr>
      <w:adjustRightInd w:val="0"/>
      <w:snapToGrid w:val="0"/>
      <w:jc w:val="center"/>
    </w:pPr>
    <w:rPr>
      <w:rFonts w:ascii="宋体" w:hAnsi="宋体" w:cs="Arial"/>
      <w:snapToGrid w:val="0"/>
      <w:color w:val="000000"/>
      <w:szCs w:val="21"/>
    </w:rPr>
  </w:style>
  <w:style w:type="paragraph" w:customStyle="1" w:styleId="3085">
    <w:name w:val="表内541411"/>
    <w:basedOn w:val="1"/>
    <w:qFormat/>
    <w:uiPriority w:val="0"/>
    <w:pPr>
      <w:adjustRightInd w:val="0"/>
      <w:snapToGrid w:val="0"/>
      <w:spacing w:line="300" w:lineRule="auto"/>
      <w:jc w:val="center"/>
    </w:pPr>
    <w:rPr>
      <w:rFonts w:ascii="宋体" w:hAnsi="宋体" w:cs="宋体"/>
      <w:szCs w:val="20"/>
    </w:rPr>
  </w:style>
  <w:style w:type="paragraph" w:customStyle="1" w:styleId="3086">
    <w:name w:val="表内文字小121"/>
    <w:basedOn w:val="1"/>
    <w:qFormat/>
    <w:uiPriority w:val="0"/>
    <w:pPr>
      <w:adjustRightInd w:val="0"/>
      <w:snapToGrid w:val="0"/>
      <w:jc w:val="center"/>
    </w:pPr>
    <w:rPr>
      <w:rFonts w:ascii="宋体" w:hAnsi="Times"/>
      <w:szCs w:val="20"/>
    </w:rPr>
  </w:style>
  <w:style w:type="character" w:customStyle="1" w:styleId="3087">
    <w:name w:val="正文首行缩进 2 Char11"/>
    <w:qFormat/>
    <w:uiPriority w:val="0"/>
    <w:rPr>
      <w:rFonts w:ascii="Times New Roman" w:hAnsi="Times New Roman" w:eastAsia="宋体"/>
      <w:kern w:val="2"/>
      <w:sz w:val="21"/>
      <w:lang w:val="en-US" w:eastAsia="zh-CN" w:bidi="ar-SA"/>
    </w:rPr>
  </w:style>
  <w:style w:type="paragraph" w:customStyle="1" w:styleId="3088">
    <w:name w:val="默认段落字体 Para Char411"/>
    <w:basedOn w:val="1"/>
    <w:next w:val="1"/>
    <w:qFormat/>
    <w:uiPriority w:val="0"/>
    <w:pPr>
      <w:spacing w:line="480" w:lineRule="exact"/>
      <w:ind w:firstLine="200" w:firstLineChars="200"/>
      <w:jc w:val="left"/>
    </w:pPr>
    <w:rPr>
      <w:rFonts w:ascii="宋体" w:hAnsi="宋体" w:eastAsia="汉鼎简书宋" w:cs="宋体"/>
      <w:sz w:val="28"/>
    </w:rPr>
  </w:style>
  <w:style w:type="paragraph" w:customStyle="1" w:styleId="3089">
    <w:name w:val="正文格式811"/>
    <w:basedOn w:val="1"/>
    <w:qFormat/>
    <w:uiPriority w:val="0"/>
    <w:pPr>
      <w:spacing w:line="360" w:lineRule="auto"/>
      <w:ind w:firstLine="482"/>
    </w:pPr>
    <w:rPr>
      <w:rFonts w:ascii="宋体" w:hAnsi="宋体"/>
      <w:sz w:val="24"/>
    </w:rPr>
  </w:style>
  <w:style w:type="paragraph" w:customStyle="1" w:styleId="3090">
    <w:name w:val="正文格式911"/>
    <w:basedOn w:val="1"/>
    <w:qFormat/>
    <w:uiPriority w:val="0"/>
    <w:pPr>
      <w:spacing w:line="360" w:lineRule="auto"/>
      <w:ind w:firstLine="482"/>
    </w:pPr>
    <w:rPr>
      <w:rFonts w:ascii="宋体" w:hAnsi="宋体"/>
      <w:sz w:val="24"/>
    </w:rPr>
  </w:style>
  <w:style w:type="paragraph" w:customStyle="1" w:styleId="3091">
    <w:name w:val="Char4211"/>
    <w:basedOn w:val="1"/>
    <w:qFormat/>
    <w:uiPriority w:val="0"/>
    <w:pPr>
      <w:ind w:left="-48"/>
    </w:pPr>
  </w:style>
  <w:style w:type="paragraph" w:customStyle="1" w:styleId="3092">
    <w:name w:val="Char Char Char Char Char Char Char51"/>
    <w:basedOn w:val="1"/>
    <w:qFormat/>
    <w:uiPriority w:val="0"/>
  </w:style>
  <w:style w:type="paragraph" w:customStyle="1" w:styleId="3093">
    <w:name w:val="Char Char2 Char Char Char Char41"/>
    <w:basedOn w:val="1"/>
    <w:qFormat/>
    <w:uiPriority w:val="0"/>
  </w:style>
  <w:style w:type="paragraph" w:customStyle="1" w:styleId="3094">
    <w:name w:val="Char1611"/>
    <w:basedOn w:val="1"/>
    <w:qFormat/>
    <w:uiPriority w:val="0"/>
    <w:pPr>
      <w:ind w:left="-48"/>
    </w:pPr>
  </w:style>
  <w:style w:type="paragraph" w:customStyle="1" w:styleId="3095">
    <w:name w:val="Char Char Char Char1 Char Char Char211"/>
    <w:basedOn w:val="1"/>
    <w:qFormat/>
    <w:uiPriority w:val="0"/>
    <w:pPr>
      <w:widowControl/>
      <w:spacing w:after="160" w:line="240" w:lineRule="exact"/>
      <w:jc w:val="left"/>
    </w:pPr>
    <w:rPr>
      <w:rFonts w:ascii="Verdana" w:hAnsi="Verdana"/>
      <w:kern w:val="0"/>
      <w:sz w:val="20"/>
      <w:szCs w:val="20"/>
      <w:lang w:eastAsia="en-US"/>
    </w:rPr>
  </w:style>
  <w:style w:type="paragraph" w:customStyle="1" w:styleId="3096">
    <w:name w:val="Char171"/>
    <w:basedOn w:val="1"/>
    <w:qFormat/>
    <w:uiPriority w:val="0"/>
    <w:pPr>
      <w:ind w:left="-48"/>
    </w:pPr>
  </w:style>
  <w:style w:type="paragraph" w:customStyle="1" w:styleId="3097">
    <w:name w:val="Char Char Char Char Char Char Char1311"/>
    <w:basedOn w:val="1"/>
    <w:qFormat/>
    <w:uiPriority w:val="0"/>
  </w:style>
  <w:style w:type="paragraph" w:customStyle="1" w:styleId="3098">
    <w:name w:val="Char2311"/>
    <w:basedOn w:val="1"/>
    <w:qFormat/>
    <w:uiPriority w:val="0"/>
    <w:pPr>
      <w:ind w:left="-48"/>
    </w:pPr>
  </w:style>
  <w:style w:type="paragraph" w:customStyle="1" w:styleId="3099">
    <w:name w:val="Char3311"/>
    <w:basedOn w:val="1"/>
    <w:qFormat/>
    <w:uiPriority w:val="0"/>
    <w:pPr>
      <w:ind w:left="-48"/>
    </w:pPr>
  </w:style>
  <w:style w:type="paragraph" w:customStyle="1" w:styleId="3100">
    <w:name w:val="Char Char Char Char Char Char Char2211"/>
    <w:basedOn w:val="1"/>
    <w:qFormat/>
    <w:uiPriority w:val="0"/>
  </w:style>
  <w:style w:type="paragraph" w:customStyle="1" w:styleId="3101">
    <w:name w:val="Char4311"/>
    <w:basedOn w:val="1"/>
    <w:qFormat/>
    <w:uiPriority w:val="0"/>
    <w:pPr>
      <w:ind w:left="-48"/>
    </w:pPr>
  </w:style>
  <w:style w:type="paragraph" w:customStyle="1" w:styleId="3102">
    <w:name w:val="表格内容11"/>
    <w:qFormat/>
    <w:uiPriority w:val="0"/>
    <w:pPr>
      <w:jc w:val="center"/>
    </w:pPr>
    <w:rPr>
      <w:rFonts w:ascii="Times New Roman" w:hAnsi="Times New Roman" w:eastAsia="宋体" w:cs="Times New Roman"/>
      <w:kern w:val="2"/>
      <w:sz w:val="21"/>
      <w:szCs w:val="21"/>
      <w:lang w:val="en-US" w:eastAsia="zh-CN" w:bidi="ar-SA"/>
    </w:rPr>
  </w:style>
  <w:style w:type="paragraph" w:customStyle="1" w:styleId="3103">
    <w:name w:val="正文格式821"/>
    <w:basedOn w:val="1"/>
    <w:qFormat/>
    <w:uiPriority w:val="0"/>
    <w:pPr>
      <w:spacing w:line="360" w:lineRule="auto"/>
      <w:ind w:firstLine="482"/>
    </w:pPr>
    <w:rPr>
      <w:rFonts w:ascii="宋体" w:hAnsi="宋体"/>
      <w:sz w:val="24"/>
    </w:rPr>
  </w:style>
  <w:style w:type="character" w:customStyle="1" w:styleId="3104">
    <w:name w:val="纯文本 Char3"/>
    <w:qFormat/>
    <w:uiPriority w:val="0"/>
    <w:rPr>
      <w:rFonts w:ascii="宋体" w:hAnsi="Courier New" w:eastAsia="宋体" w:cs="Courier New"/>
      <w:kern w:val="2"/>
      <w:sz w:val="24"/>
      <w:szCs w:val="21"/>
      <w:lang w:val="en-US" w:eastAsia="zh-CN" w:bidi="ar-SA"/>
    </w:rPr>
  </w:style>
  <w:style w:type="character" w:customStyle="1" w:styleId="3105">
    <w:name w:val="标题 1 Char5"/>
    <w:qFormat/>
    <w:uiPriority w:val="0"/>
    <w:rPr>
      <w:rFonts w:ascii="黑体" w:hAnsi="宋体" w:eastAsia="黑体" w:cs="Times New Roman"/>
      <w:bCs/>
      <w:kern w:val="44"/>
      <w:sz w:val="32"/>
      <w:szCs w:val="32"/>
      <w:lang w:val="en-US" w:eastAsia="zh-CN" w:bidi="ar-SA"/>
    </w:rPr>
  </w:style>
  <w:style w:type="character" w:customStyle="1" w:styleId="3106">
    <w:name w:val="标题 2 Char7"/>
    <w:qFormat/>
    <w:uiPriority w:val="0"/>
    <w:rPr>
      <w:rFonts w:ascii="黑体" w:hAnsi="Arial" w:eastAsia="黑体" w:cs="Times New Roman"/>
      <w:bCs/>
      <w:kern w:val="2"/>
      <w:sz w:val="30"/>
      <w:szCs w:val="30"/>
      <w:lang w:val="en-US" w:eastAsia="zh-CN" w:bidi="ar-SA"/>
    </w:rPr>
  </w:style>
  <w:style w:type="character" w:customStyle="1" w:styleId="3107">
    <w:name w:val="标题 3 Char14"/>
    <w:qFormat/>
    <w:uiPriority w:val="0"/>
    <w:rPr>
      <w:rFonts w:ascii="黑体" w:hAnsi="宋体" w:eastAsia="黑体" w:cs="Times New Roman"/>
      <w:b/>
      <w:bCs/>
      <w:kern w:val="2"/>
      <w:sz w:val="28"/>
      <w:szCs w:val="28"/>
      <w:lang w:val="en-US" w:eastAsia="zh-CN" w:bidi="ar-SA"/>
    </w:rPr>
  </w:style>
  <w:style w:type="character" w:customStyle="1" w:styleId="3108">
    <w:name w:val="标题 5 Char2"/>
    <w:qFormat/>
    <w:uiPriority w:val="0"/>
    <w:rPr>
      <w:rFonts w:ascii="Times New Roman" w:hAnsi="Times New Roman" w:eastAsia="宋体" w:cs="Times New Roman"/>
      <w:b/>
      <w:bCs/>
      <w:kern w:val="2"/>
      <w:sz w:val="28"/>
      <w:szCs w:val="28"/>
      <w:lang w:val="en-US" w:eastAsia="zh-CN" w:bidi="ar-SA"/>
    </w:rPr>
  </w:style>
  <w:style w:type="paragraph" w:customStyle="1" w:styleId="3109">
    <w:name w:val="附件6"/>
    <w:basedOn w:val="4"/>
    <w:next w:val="223"/>
    <w:qFormat/>
    <w:uiPriority w:val="0"/>
    <w:pPr>
      <w:adjustRightInd w:val="0"/>
      <w:snapToGrid w:val="0"/>
      <w:spacing w:beforeLines="100" w:after="0" w:line="360" w:lineRule="auto"/>
    </w:pPr>
    <w:rPr>
      <w:rFonts w:ascii="黑体" w:hAnsi="宋体" w:eastAsia="黑体"/>
      <w:b w:val="0"/>
      <w:sz w:val="32"/>
      <w:szCs w:val="32"/>
    </w:rPr>
  </w:style>
  <w:style w:type="paragraph" w:customStyle="1" w:styleId="3110">
    <w:name w:val="正文格式14"/>
    <w:basedOn w:val="1"/>
    <w:qFormat/>
    <w:uiPriority w:val="0"/>
    <w:pPr>
      <w:spacing w:line="360" w:lineRule="auto"/>
      <w:ind w:firstLine="482"/>
    </w:pPr>
    <w:rPr>
      <w:rFonts w:ascii="宋体" w:hAnsi="宋体"/>
      <w:sz w:val="24"/>
    </w:rPr>
  </w:style>
  <w:style w:type="character" w:customStyle="1" w:styleId="3111">
    <w:name w:val="正文文本 Char4"/>
    <w:qFormat/>
    <w:uiPriority w:val="0"/>
    <w:rPr>
      <w:rFonts w:ascii="Times New Roman" w:hAnsi="Times New Roman" w:eastAsia="宋体" w:cs="Times New Roman"/>
      <w:kern w:val="2"/>
      <w:sz w:val="24"/>
      <w:szCs w:val="24"/>
      <w:lang w:val="en-US" w:eastAsia="zh-CN" w:bidi="ar-SA"/>
    </w:rPr>
  </w:style>
  <w:style w:type="paragraph" w:customStyle="1" w:styleId="3112">
    <w:name w:val="图题10"/>
    <w:basedOn w:val="223"/>
    <w:next w:val="223"/>
    <w:qFormat/>
    <w:uiPriority w:val="0"/>
    <w:pPr>
      <w:ind w:firstLine="0"/>
      <w:jc w:val="center"/>
    </w:pPr>
    <w:rPr>
      <w:rFonts w:ascii="黑体" w:hAnsi="宋体" w:eastAsia="黑体"/>
      <w:b/>
      <w:bCs/>
    </w:rPr>
  </w:style>
  <w:style w:type="paragraph" w:customStyle="1" w:styleId="3113">
    <w:name w:val="表格内字体10"/>
    <w:basedOn w:val="223"/>
    <w:next w:val="223"/>
    <w:qFormat/>
    <w:uiPriority w:val="0"/>
    <w:pPr>
      <w:spacing w:line="240" w:lineRule="auto"/>
      <w:ind w:firstLine="0"/>
      <w:jc w:val="center"/>
    </w:pPr>
    <w:rPr>
      <w:rFonts w:hAnsi="宋体" w:cs="Times New Roman"/>
      <w:sz w:val="21"/>
      <w:szCs w:val="21"/>
    </w:rPr>
  </w:style>
  <w:style w:type="character" w:customStyle="1" w:styleId="3114">
    <w:name w:val="表格内字体 Char10"/>
    <w:qFormat/>
    <w:uiPriority w:val="0"/>
    <w:rPr>
      <w:rFonts w:ascii="宋体" w:hAnsi="宋体" w:eastAsia="宋体" w:cs="Times New Roman"/>
      <w:kern w:val="2"/>
      <w:sz w:val="24"/>
      <w:szCs w:val="21"/>
      <w:lang w:val="en-US" w:eastAsia="zh-CN" w:bidi="ar-SA"/>
    </w:rPr>
  </w:style>
  <w:style w:type="character" w:customStyle="1" w:styleId="3115">
    <w:name w:val="正文格式 Char12"/>
    <w:qFormat/>
    <w:uiPriority w:val="0"/>
    <w:rPr>
      <w:rFonts w:ascii="宋体" w:hAnsi="宋体" w:eastAsia="宋体" w:cs="Times New Roman"/>
      <w:kern w:val="2"/>
      <w:sz w:val="24"/>
      <w:szCs w:val="24"/>
      <w:lang w:val="en-US" w:eastAsia="zh-CN" w:bidi="ar-SA"/>
    </w:rPr>
  </w:style>
  <w:style w:type="character" w:customStyle="1" w:styleId="3116">
    <w:name w:val="文档结构图 Char4"/>
    <w:qFormat/>
    <w:uiPriority w:val="0"/>
    <w:rPr>
      <w:rFonts w:ascii="Times New Roman" w:hAnsi="Times New Roman" w:eastAsia="宋体" w:cs="Times New Roman"/>
      <w:kern w:val="2"/>
      <w:sz w:val="24"/>
      <w:szCs w:val="24"/>
      <w:shd w:val="clear" w:color="auto" w:fill="000080"/>
      <w:lang w:val="en-US" w:eastAsia="zh-CN" w:bidi="ar-SA"/>
    </w:rPr>
  </w:style>
  <w:style w:type="character" w:customStyle="1" w:styleId="3117">
    <w:name w:val="页眉 Char4"/>
    <w:qFormat/>
    <w:uiPriority w:val="0"/>
    <w:rPr>
      <w:rFonts w:ascii="Times New Roman" w:hAnsi="Times New Roman" w:eastAsia="宋体" w:cs="Times New Roman"/>
      <w:kern w:val="2"/>
      <w:sz w:val="18"/>
      <w:szCs w:val="18"/>
      <w:lang w:val="en-US" w:eastAsia="zh-CN" w:bidi="ar-SA"/>
    </w:rPr>
  </w:style>
  <w:style w:type="character" w:customStyle="1" w:styleId="3118">
    <w:name w:val="页脚 Char4"/>
    <w:qFormat/>
    <w:uiPriority w:val="0"/>
    <w:rPr>
      <w:rFonts w:ascii="Times New Roman" w:hAnsi="Times New Roman" w:eastAsia="宋体" w:cs="Times New Roman"/>
      <w:kern w:val="2"/>
      <w:sz w:val="18"/>
      <w:szCs w:val="18"/>
      <w:lang w:val="en-US" w:eastAsia="zh-CN" w:bidi="ar-SA"/>
    </w:rPr>
  </w:style>
  <w:style w:type="character" w:customStyle="1" w:styleId="3119">
    <w:name w:val="正文缩进 Char32"/>
    <w:qFormat/>
    <w:uiPriority w:val="0"/>
    <w:rPr>
      <w:rFonts w:ascii="宋体" w:hAnsi="宋体" w:eastAsia="宋体" w:cs="宋体"/>
      <w:color w:val="000000"/>
      <w:kern w:val="0"/>
      <w:sz w:val="24"/>
      <w:szCs w:val="24"/>
      <w:lang w:val="en-US" w:eastAsia="zh-CN" w:bidi="ar-SA"/>
    </w:rPr>
  </w:style>
  <w:style w:type="paragraph" w:customStyle="1" w:styleId="3120">
    <w:name w:val="标题4315"/>
    <w:basedOn w:val="1"/>
    <w:qFormat/>
    <w:uiPriority w:val="0"/>
    <w:pPr>
      <w:adjustRightInd w:val="0"/>
      <w:snapToGrid w:val="0"/>
      <w:spacing w:line="480" w:lineRule="exact"/>
      <w:jc w:val="center"/>
    </w:pPr>
    <w:rPr>
      <w:rFonts w:ascii="宋体" w:hAnsi="宋体" w:cs="宋体"/>
      <w:sz w:val="24"/>
    </w:rPr>
  </w:style>
  <w:style w:type="paragraph" w:customStyle="1" w:styleId="3121">
    <w:name w:val="燕山正文116"/>
    <w:basedOn w:val="1"/>
    <w:qFormat/>
    <w:uiPriority w:val="0"/>
    <w:pPr>
      <w:tabs>
        <w:tab w:val="left" w:pos="4680"/>
      </w:tabs>
      <w:adjustRightInd w:val="0"/>
      <w:snapToGrid w:val="0"/>
      <w:spacing w:line="480" w:lineRule="exact"/>
    </w:pPr>
    <w:rPr>
      <w:rFonts w:ascii="宋体" w:hAnsi="宋体" w:cs="宋体"/>
      <w:bCs/>
      <w:color w:val="000000"/>
      <w:sz w:val="24"/>
    </w:rPr>
  </w:style>
  <w:style w:type="character" w:customStyle="1" w:styleId="3122">
    <w:name w:val="正文文本缩进 Char3"/>
    <w:qFormat/>
    <w:uiPriority w:val="0"/>
    <w:rPr>
      <w:rFonts w:ascii="宋体" w:hAnsi="宋体" w:eastAsia="宋体" w:cs="宋体"/>
      <w:color w:val="000000"/>
      <w:kern w:val="2"/>
      <w:sz w:val="24"/>
      <w:szCs w:val="24"/>
      <w:lang w:val="en-US" w:eastAsia="zh-CN" w:bidi="ar-SA"/>
    </w:rPr>
  </w:style>
  <w:style w:type="paragraph" w:customStyle="1" w:styleId="3123">
    <w:name w:val="表题413"/>
    <w:basedOn w:val="37"/>
    <w:qFormat/>
    <w:uiPriority w:val="0"/>
    <w:pPr>
      <w:tabs>
        <w:tab w:val="left" w:pos="4305"/>
      </w:tabs>
      <w:adjustRightInd w:val="0"/>
      <w:snapToGrid w:val="0"/>
      <w:spacing w:after="0"/>
      <w:ind w:left="0" w:leftChars="0"/>
      <w:jc w:val="center"/>
    </w:pPr>
    <w:rPr>
      <w:rFonts w:ascii="宋体" w:hAnsi="宋体" w:cs="宋体"/>
      <w:color w:val="000000"/>
      <w:sz w:val="24"/>
    </w:rPr>
  </w:style>
  <w:style w:type="paragraph" w:customStyle="1" w:styleId="3124">
    <w:name w:val="表内5417"/>
    <w:basedOn w:val="1"/>
    <w:qFormat/>
    <w:uiPriority w:val="0"/>
    <w:pPr>
      <w:adjustRightInd w:val="0"/>
      <w:snapToGrid w:val="0"/>
      <w:spacing w:line="300" w:lineRule="auto"/>
      <w:jc w:val="center"/>
    </w:pPr>
    <w:rPr>
      <w:rFonts w:ascii="宋体" w:hAnsi="宋体" w:cs="宋体"/>
      <w:szCs w:val="20"/>
    </w:rPr>
  </w:style>
  <w:style w:type="paragraph" w:customStyle="1" w:styleId="3125">
    <w:name w:val="表内文字小216"/>
    <w:basedOn w:val="1"/>
    <w:qFormat/>
    <w:uiPriority w:val="0"/>
    <w:pPr>
      <w:adjustRightInd w:val="0"/>
      <w:snapToGrid w:val="0"/>
      <w:jc w:val="center"/>
    </w:pPr>
    <w:rPr>
      <w:rFonts w:ascii="宋体" w:hAnsi="Times"/>
      <w:bCs/>
      <w:color w:val="000000"/>
      <w:szCs w:val="20"/>
    </w:rPr>
  </w:style>
  <w:style w:type="paragraph" w:customStyle="1" w:styleId="3126">
    <w:name w:val="表题316"/>
    <w:basedOn w:val="37"/>
    <w:qFormat/>
    <w:uiPriority w:val="0"/>
    <w:pPr>
      <w:tabs>
        <w:tab w:val="left" w:pos="4305"/>
      </w:tabs>
      <w:adjustRightInd w:val="0"/>
      <w:snapToGrid w:val="0"/>
      <w:spacing w:after="0"/>
      <w:ind w:left="0" w:leftChars="0"/>
      <w:jc w:val="center"/>
    </w:pPr>
    <w:rPr>
      <w:rFonts w:ascii="宋体" w:hAnsi="宋体"/>
      <w:sz w:val="24"/>
      <w:szCs w:val="20"/>
    </w:rPr>
  </w:style>
  <w:style w:type="paragraph" w:customStyle="1" w:styleId="3127">
    <w:name w:val="Char Char Char Char Char Char Char10"/>
    <w:basedOn w:val="1"/>
    <w:qFormat/>
    <w:uiPriority w:val="0"/>
  </w:style>
  <w:style w:type="character" w:customStyle="1" w:styleId="3128">
    <w:name w:val="正文文本缩进 3 Char5"/>
    <w:qFormat/>
    <w:uiPriority w:val="0"/>
    <w:rPr>
      <w:rFonts w:ascii="Times New Roman" w:hAnsi="Times New Roman" w:eastAsia="宋体" w:cs="Times New Roman"/>
      <w:kern w:val="2"/>
      <w:sz w:val="16"/>
      <w:szCs w:val="16"/>
      <w:lang w:val="en-US" w:eastAsia="zh-CN" w:bidi="ar-SA"/>
    </w:rPr>
  </w:style>
  <w:style w:type="character" w:customStyle="1" w:styleId="3129">
    <w:name w:val="正文文本缩进 2 Char3"/>
    <w:qFormat/>
    <w:uiPriority w:val="0"/>
    <w:rPr>
      <w:rFonts w:ascii="Times New Roman" w:hAnsi="Times New Roman" w:eastAsia="宋体" w:cs="Times New Roman"/>
      <w:kern w:val="2"/>
      <w:sz w:val="24"/>
      <w:szCs w:val="24"/>
      <w:lang w:val="en-US" w:eastAsia="zh-CN" w:bidi="ar-SA"/>
    </w:rPr>
  </w:style>
  <w:style w:type="paragraph" w:customStyle="1" w:styleId="3130">
    <w:name w:val="正文24"/>
    <w:qFormat/>
    <w:uiPriority w:val="0"/>
    <w:pPr>
      <w:adjustRightInd w:val="0"/>
      <w:snapToGrid w:val="0"/>
      <w:spacing w:line="480" w:lineRule="atLeast"/>
      <w:jc w:val="center"/>
    </w:pPr>
    <w:rPr>
      <w:rFonts w:ascii="宋体" w:hAnsi="Times New Roman" w:eastAsia="宋体" w:cs="Times New Roman"/>
      <w:snapToGrid w:val="0"/>
      <w:spacing w:val="6"/>
      <w:sz w:val="21"/>
      <w:lang w:val="en-US" w:eastAsia="zh-CN" w:bidi="ar-SA"/>
    </w:rPr>
  </w:style>
  <w:style w:type="paragraph" w:customStyle="1" w:styleId="3131">
    <w:name w:val="表文字56"/>
    <w:basedOn w:val="1"/>
    <w:qFormat/>
    <w:uiPriority w:val="0"/>
    <w:pPr>
      <w:adjustRightInd w:val="0"/>
      <w:jc w:val="left"/>
      <w:textAlignment w:val="baseline"/>
    </w:pPr>
    <w:rPr>
      <w:rFonts w:ascii="宋体"/>
      <w:kern w:val="0"/>
      <w:szCs w:val="20"/>
    </w:rPr>
  </w:style>
  <w:style w:type="paragraph" w:customStyle="1" w:styleId="3132">
    <w:name w:val="表内文字小316"/>
    <w:basedOn w:val="1"/>
    <w:qFormat/>
    <w:uiPriority w:val="0"/>
    <w:pPr>
      <w:adjustRightInd w:val="0"/>
      <w:snapToGrid w:val="0"/>
      <w:jc w:val="center"/>
    </w:pPr>
    <w:rPr>
      <w:rFonts w:ascii="宋体" w:hAnsi="Times" w:cs="宋体"/>
      <w:bCs/>
      <w:color w:val="003366"/>
      <w:szCs w:val="20"/>
    </w:rPr>
  </w:style>
  <w:style w:type="paragraph" w:customStyle="1" w:styleId="3133">
    <w:name w:val="表内宋5114"/>
    <w:basedOn w:val="81"/>
    <w:qFormat/>
    <w:uiPriority w:val="0"/>
    <w:pPr>
      <w:widowControl/>
      <w:adjustRightInd w:val="0"/>
      <w:snapToGrid w:val="0"/>
    </w:pPr>
    <w:rPr>
      <w:rFonts w:ascii="宋体" w:hAnsi="宋体" w:cs="宋体"/>
      <w:color w:val="000000"/>
      <w:kern w:val="0"/>
      <w:sz w:val="21"/>
      <w:lang w:val="zh-CN"/>
    </w:rPr>
  </w:style>
  <w:style w:type="character" w:customStyle="1" w:styleId="3134">
    <w:name w:val="正文首行缩进 Char3"/>
    <w:qFormat/>
    <w:uiPriority w:val="0"/>
    <w:rPr>
      <w:rFonts w:ascii="Times New Roman" w:hAnsi="Times New Roman" w:eastAsia="宋体" w:cs="Times New Roman"/>
      <w:kern w:val="2"/>
      <w:sz w:val="21"/>
      <w:szCs w:val="24"/>
      <w:lang w:val="en-US" w:eastAsia="zh-CN" w:bidi="ar-SA"/>
    </w:rPr>
  </w:style>
  <w:style w:type="paragraph" w:customStyle="1" w:styleId="3135">
    <w:name w:val="文本框4"/>
    <w:basedOn w:val="1"/>
    <w:qFormat/>
    <w:uiPriority w:val="0"/>
    <w:pPr>
      <w:adjustRightInd w:val="0"/>
      <w:snapToGrid w:val="0"/>
      <w:spacing w:after="6"/>
      <w:jc w:val="center"/>
    </w:pPr>
    <w:rPr>
      <w:rFonts w:eastAsia="仿宋_GB2312"/>
    </w:rPr>
  </w:style>
  <w:style w:type="paragraph" w:customStyle="1" w:styleId="3136">
    <w:name w:val="正文.4"/>
    <w:qFormat/>
    <w:uiPriority w:val="0"/>
    <w:pPr>
      <w:widowControl w:val="0"/>
      <w:autoSpaceDE w:val="0"/>
      <w:autoSpaceDN w:val="0"/>
      <w:adjustRightInd w:val="0"/>
      <w:jc w:val="both"/>
    </w:pPr>
    <w:rPr>
      <w:rFonts w:ascii="Times New Roman;Symbol;Arial;婼" w:hAnsi="Times New Roman" w:eastAsia="Times New Roman;Symbol;Arial;婼" w:cs="Times New Roman"/>
      <w:sz w:val="21"/>
      <w:szCs w:val="21"/>
      <w:lang w:val="en-US" w:eastAsia="zh-CN" w:bidi="ar-SA"/>
    </w:rPr>
  </w:style>
  <w:style w:type="paragraph" w:customStyle="1" w:styleId="3137">
    <w:name w:val="表6"/>
    <w:basedOn w:val="1"/>
    <w:qFormat/>
    <w:uiPriority w:val="0"/>
    <w:pPr>
      <w:adjustRightInd w:val="0"/>
      <w:snapToGrid w:val="0"/>
      <w:jc w:val="center"/>
    </w:pPr>
    <w:rPr>
      <w:rFonts w:eastAsia="仿宋_GB2312"/>
      <w:sz w:val="24"/>
    </w:rPr>
  </w:style>
  <w:style w:type="paragraph" w:customStyle="1" w:styleId="3138">
    <w:name w:val="默认段落字体 Para Char Char Char Char8"/>
    <w:basedOn w:val="1"/>
    <w:qFormat/>
    <w:uiPriority w:val="0"/>
  </w:style>
  <w:style w:type="paragraph" w:customStyle="1" w:styleId="3139">
    <w:name w:val="黑体三号7"/>
    <w:basedOn w:val="223"/>
    <w:qFormat/>
    <w:uiPriority w:val="0"/>
    <w:pPr>
      <w:jc w:val="center"/>
    </w:pPr>
    <w:rPr>
      <w:rFonts w:ascii="黑体" w:hAnsi="宋体" w:eastAsia="黑体"/>
      <w:b/>
      <w:bCs/>
      <w:sz w:val="32"/>
      <w:szCs w:val="20"/>
    </w:rPr>
  </w:style>
  <w:style w:type="paragraph" w:customStyle="1" w:styleId="3140">
    <w:name w:val="Char Char2 Char Char Char Char9"/>
    <w:basedOn w:val="1"/>
    <w:qFormat/>
    <w:uiPriority w:val="0"/>
  </w:style>
  <w:style w:type="paragraph" w:customStyle="1" w:styleId="3141">
    <w:name w:val="正文格式＝9"/>
    <w:basedOn w:val="223"/>
    <w:next w:val="223"/>
    <w:qFormat/>
    <w:uiPriority w:val="0"/>
    <w:rPr>
      <w:rFonts w:hAnsi="宋体" w:cs="Times New Roman"/>
    </w:rPr>
  </w:style>
  <w:style w:type="paragraph" w:customStyle="1" w:styleId="3142">
    <w:name w:val="Char30"/>
    <w:basedOn w:val="1"/>
    <w:qFormat/>
    <w:uiPriority w:val="0"/>
    <w:pPr>
      <w:ind w:left="-48"/>
    </w:pPr>
  </w:style>
  <w:style w:type="paragraph" w:customStyle="1" w:styleId="3143">
    <w:name w:val="表题18"/>
    <w:basedOn w:val="23"/>
    <w:qFormat/>
    <w:uiPriority w:val="0"/>
    <w:pPr>
      <w:tabs>
        <w:tab w:val="clear" w:pos="7380"/>
      </w:tabs>
      <w:overflowPunct/>
      <w:spacing w:before="0" w:afterLines="0" w:line="360" w:lineRule="auto"/>
      <w:jc w:val="center"/>
    </w:pPr>
    <w:rPr>
      <w:rFonts w:ascii="黑体" w:cs="Times New Roman"/>
      <w:b/>
      <w:sz w:val="24"/>
      <w:szCs w:val="24"/>
    </w:rPr>
  </w:style>
  <w:style w:type="paragraph" w:customStyle="1" w:styleId="3144">
    <w:name w:val="燕山正文7"/>
    <w:basedOn w:val="1"/>
    <w:qFormat/>
    <w:uiPriority w:val="0"/>
    <w:pPr>
      <w:tabs>
        <w:tab w:val="left" w:pos="4680"/>
      </w:tabs>
      <w:adjustRightInd w:val="0"/>
      <w:snapToGrid w:val="0"/>
      <w:spacing w:line="480" w:lineRule="exact"/>
    </w:pPr>
    <w:rPr>
      <w:rFonts w:ascii="宋体" w:cs="宋体"/>
      <w:sz w:val="24"/>
    </w:rPr>
  </w:style>
  <w:style w:type="character" w:customStyle="1" w:styleId="3145">
    <w:name w:val="燕山正文 Char17"/>
    <w:qFormat/>
    <w:uiPriority w:val="0"/>
    <w:rPr>
      <w:rFonts w:ascii="宋体" w:hAnsi="Times New Roman" w:eastAsia="宋体" w:cs="宋体"/>
      <w:kern w:val="2"/>
      <w:sz w:val="24"/>
      <w:szCs w:val="24"/>
      <w:lang w:val="en-US" w:eastAsia="zh-CN" w:bidi="ar-SA"/>
    </w:rPr>
  </w:style>
  <w:style w:type="paragraph" w:customStyle="1" w:styleId="3146">
    <w:name w:val="正文修改7"/>
    <w:basedOn w:val="2056"/>
    <w:qFormat/>
    <w:uiPriority w:val="0"/>
    <w:rPr>
      <w:rFonts w:hAnsi="宋体"/>
      <w:color w:val="000000"/>
    </w:rPr>
  </w:style>
  <w:style w:type="character" w:customStyle="1" w:styleId="3147">
    <w:name w:val="正文修改 Char17"/>
    <w:qFormat/>
    <w:uiPriority w:val="0"/>
    <w:rPr>
      <w:rFonts w:ascii="宋体" w:hAnsi="宋体" w:eastAsia="宋体" w:cs="宋体"/>
      <w:color w:val="000000"/>
      <w:sz w:val="24"/>
      <w:szCs w:val="24"/>
    </w:rPr>
  </w:style>
  <w:style w:type="character" w:customStyle="1" w:styleId="3148">
    <w:name w:val="题注 Char8"/>
    <w:qFormat/>
    <w:uiPriority w:val="0"/>
    <w:rPr>
      <w:rFonts w:ascii="黑体" w:hAnsi="Arial" w:eastAsia="黑体" w:cs="Arial"/>
      <w:b/>
      <w:kern w:val="2"/>
      <w:sz w:val="24"/>
      <w:szCs w:val="24"/>
      <w:lang w:val="en-US" w:eastAsia="zh-CN" w:bidi="ar-SA"/>
    </w:rPr>
  </w:style>
  <w:style w:type="character" w:customStyle="1" w:styleId="3149">
    <w:name w:val="表题1 Char9"/>
    <w:qFormat/>
    <w:uiPriority w:val="0"/>
    <w:rPr>
      <w:rFonts w:ascii="黑体" w:hAnsi="Arial" w:eastAsia="黑体" w:cs="Arial"/>
      <w:b/>
      <w:kern w:val="2"/>
      <w:sz w:val="24"/>
      <w:szCs w:val="24"/>
      <w:lang w:val="en-US" w:eastAsia="zh-CN" w:bidi="ar-SA"/>
    </w:rPr>
  </w:style>
  <w:style w:type="paragraph" w:customStyle="1" w:styleId="3150">
    <w:name w:val="首行缩进:  0.99 厘米 + 首行缩进:  2 字符3"/>
    <w:basedOn w:val="1"/>
    <w:qFormat/>
    <w:uiPriority w:val="0"/>
    <w:pPr>
      <w:widowControl/>
      <w:topLinePunct/>
      <w:spacing w:line="480" w:lineRule="exact"/>
      <w:ind w:firstLine="420" w:firstLineChars="200"/>
      <w:jc w:val="center"/>
    </w:pPr>
    <w:rPr>
      <w:rFonts w:ascii="宋体" w:cs="宋体"/>
      <w:snapToGrid w:val="0"/>
      <w:color w:val="FF0000"/>
      <w:kern w:val="0"/>
      <w:szCs w:val="21"/>
    </w:rPr>
  </w:style>
  <w:style w:type="character" w:customStyle="1" w:styleId="3151">
    <w:name w:val="正文文本 3 Char3"/>
    <w:qFormat/>
    <w:uiPriority w:val="0"/>
    <w:rPr>
      <w:rFonts w:ascii="Times New Roman" w:hAnsi="Times New Roman" w:eastAsia="宋体" w:cs="Times New Roman"/>
      <w:kern w:val="2"/>
      <w:sz w:val="16"/>
      <w:szCs w:val="16"/>
      <w:lang w:val="en-US" w:eastAsia="zh-CN" w:bidi="ar-SA"/>
    </w:rPr>
  </w:style>
  <w:style w:type="paragraph" w:customStyle="1" w:styleId="3152">
    <w:name w:val="图表名称3"/>
    <w:basedOn w:val="86"/>
    <w:qFormat/>
    <w:uiPriority w:val="0"/>
    <w:pPr>
      <w:widowControl/>
      <w:adjustRightInd w:val="0"/>
      <w:snapToGrid w:val="0"/>
      <w:spacing w:after="0" w:line="480" w:lineRule="exact"/>
      <w:ind w:firstLine="0" w:firstLineChars="0"/>
      <w:jc w:val="center"/>
    </w:pPr>
    <w:rPr>
      <w:rFonts w:ascii="宋体" w:hAnsi="宋体" w:eastAsia="宋体"/>
      <w:bCs/>
      <w:sz w:val="24"/>
      <w:lang w:val="zh-CN"/>
    </w:rPr>
  </w:style>
  <w:style w:type="paragraph" w:customStyle="1" w:styleId="3153">
    <w:name w:val="表内文字边3"/>
    <w:basedOn w:val="1"/>
    <w:qFormat/>
    <w:uiPriority w:val="0"/>
    <w:pPr>
      <w:widowControl/>
      <w:adjustRightInd w:val="0"/>
      <w:snapToGrid w:val="0"/>
      <w:spacing w:line="240" w:lineRule="atLeast"/>
      <w:ind w:left="-21" w:leftChars="-10" w:right="-42" w:rightChars="-20"/>
    </w:pPr>
    <w:rPr>
      <w:rFonts w:ascii="宋体"/>
      <w:kern w:val="0"/>
      <w:szCs w:val="21"/>
    </w:rPr>
  </w:style>
  <w:style w:type="paragraph" w:customStyle="1" w:styleId="3154">
    <w:name w:val="正文缩3"/>
    <w:basedOn w:val="1"/>
    <w:qFormat/>
    <w:uiPriority w:val="0"/>
    <w:pPr>
      <w:adjustRightInd w:val="0"/>
      <w:snapToGrid w:val="0"/>
      <w:spacing w:line="480" w:lineRule="atLeast"/>
      <w:ind w:firstLine="567"/>
      <w:textAlignment w:val="baseline"/>
    </w:pPr>
    <w:rPr>
      <w:rFonts w:ascii="宋体"/>
      <w:color w:val="000080"/>
      <w:spacing w:val="6"/>
      <w:kern w:val="0"/>
      <w:sz w:val="28"/>
      <w:szCs w:val="20"/>
    </w:rPr>
  </w:style>
  <w:style w:type="paragraph" w:customStyle="1" w:styleId="3155">
    <w:name w:val="样式23"/>
    <w:basedOn w:val="1"/>
    <w:qFormat/>
    <w:uiPriority w:val="0"/>
    <w:pPr>
      <w:adjustRightInd w:val="0"/>
      <w:spacing w:line="360" w:lineRule="auto"/>
      <w:jc w:val="center"/>
      <w:textAlignment w:val="baseline"/>
      <w:outlineLvl w:val="0"/>
    </w:pPr>
    <w:rPr>
      <w:kern w:val="0"/>
      <w:szCs w:val="20"/>
    </w:rPr>
  </w:style>
  <w:style w:type="paragraph" w:customStyle="1" w:styleId="3156">
    <w:name w:val="默认段落字体 Para Char Char Char Char Char3"/>
    <w:basedOn w:val="1"/>
    <w:qFormat/>
    <w:uiPriority w:val="0"/>
  </w:style>
  <w:style w:type="paragraph" w:customStyle="1" w:styleId="3157">
    <w:name w:val="表中文字8"/>
    <w:basedOn w:val="1"/>
    <w:qFormat/>
    <w:uiPriority w:val="0"/>
    <w:pPr>
      <w:widowControl/>
      <w:spacing w:line="240" w:lineRule="atLeast"/>
      <w:ind w:left="-24" w:leftChars="-10" w:right="-48" w:rightChars="-20"/>
      <w:jc w:val="center"/>
    </w:pPr>
    <w:rPr>
      <w:rFonts w:ascii="宋体"/>
      <w:kern w:val="0"/>
      <w:szCs w:val="21"/>
    </w:rPr>
  </w:style>
  <w:style w:type="paragraph" w:customStyle="1" w:styleId="3158">
    <w:name w:val="表内宋5中5"/>
    <w:basedOn w:val="1"/>
    <w:qFormat/>
    <w:uiPriority w:val="0"/>
    <w:pPr>
      <w:adjustRightInd w:val="0"/>
      <w:snapToGrid w:val="0"/>
      <w:textAlignment w:val="baseline"/>
    </w:pPr>
    <w:rPr>
      <w:color w:val="000000"/>
      <w:kern w:val="0"/>
      <w:szCs w:val="20"/>
    </w:rPr>
  </w:style>
  <w:style w:type="character" w:customStyle="1" w:styleId="3159">
    <w:name w:val="表中文字 Char27"/>
    <w:qFormat/>
    <w:uiPriority w:val="0"/>
    <w:rPr>
      <w:rFonts w:ascii="宋体" w:hAnsi="Times New Roman" w:eastAsia="宋体" w:cs="Times New Roman"/>
      <w:kern w:val="0"/>
      <w:sz w:val="24"/>
      <w:szCs w:val="21"/>
      <w:lang w:val="en-US" w:eastAsia="zh-CN" w:bidi="ar-SA"/>
    </w:rPr>
  </w:style>
  <w:style w:type="paragraph" w:customStyle="1" w:styleId="3160">
    <w:name w:val="样式 标题 3 + 段前: 12 磅3"/>
    <w:basedOn w:val="6"/>
    <w:qFormat/>
    <w:uiPriority w:val="0"/>
    <w:pPr>
      <w:keepNext w:val="0"/>
      <w:keepLines w:val="0"/>
      <w:widowControl/>
      <w:autoSpaceDE w:val="0"/>
      <w:autoSpaceDN w:val="0"/>
      <w:adjustRightInd w:val="0"/>
      <w:snapToGrid w:val="0"/>
      <w:spacing w:before="0" w:after="0" w:line="360" w:lineRule="auto"/>
    </w:pPr>
    <w:rPr>
      <w:rFonts w:ascii="黑体" w:hAnsi="宋体" w:eastAsia="黑体" w:cs="宋体"/>
      <w:b w:val="0"/>
      <w:bCs w:val="0"/>
      <w:color w:val="000000"/>
      <w:kern w:val="21"/>
      <w:sz w:val="24"/>
      <w:szCs w:val="20"/>
    </w:rPr>
  </w:style>
  <w:style w:type="paragraph" w:customStyle="1" w:styleId="3161">
    <w:name w:val="表内文字小5"/>
    <w:basedOn w:val="1"/>
    <w:qFormat/>
    <w:uiPriority w:val="0"/>
    <w:pPr>
      <w:adjustRightInd w:val="0"/>
      <w:snapToGrid w:val="0"/>
      <w:jc w:val="center"/>
    </w:pPr>
    <w:rPr>
      <w:rFonts w:ascii="宋体" w:hAnsi="Times"/>
      <w:szCs w:val="20"/>
    </w:rPr>
  </w:style>
  <w:style w:type="paragraph" w:customStyle="1" w:styleId="3162">
    <w:name w:val="表内55"/>
    <w:basedOn w:val="1"/>
    <w:qFormat/>
    <w:uiPriority w:val="0"/>
    <w:pPr>
      <w:adjustRightInd w:val="0"/>
      <w:snapToGrid w:val="0"/>
      <w:spacing w:line="300" w:lineRule="auto"/>
      <w:jc w:val="left"/>
    </w:pPr>
    <w:rPr>
      <w:rFonts w:ascii="宋体"/>
      <w:sz w:val="18"/>
      <w:szCs w:val="20"/>
    </w:rPr>
  </w:style>
  <w:style w:type="paragraph" w:customStyle="1" w:styleId="3163">
    <w:name w:val="表内宋53"/>
    <w:basedOn w:val="2134"/>
    <w:qFormat/>
    <w:uiPriority w:val="0"/>
    <w:pPr>
      <w:widowControl/>
      <w:autoSpaceDE w:val="0"/>
      <w:autoSpaceDN w:val="0"/>
      <w:jc w:val="left"/>
      <w:textAlignment w:val="auto"/>
    </w:pPr>
    <w:rPr>
      <w:color w:val="auto"/>
      <w:w w:val="90"/>
    </w:rPr>
  </w:style>
  <w:style w:type="paragraph" w:customStyle="1" w:styleId="3164">
    <w:name w:val="Char Char Char Char1 Char Char Char6"/>
    <w:basedOn w:val="1"/>
    <w:qFormat/>
    <w:uiPriority w:val="0"/>
    <w:pPr>
      <w:widowControl/>
      <w:spacing w:after="160" w:line="240" w:lineRule="exact"/>
      <w:jc w:val="left"/>
    </w:pPr>
    <w:rPr>
      <w:rFonts w:ascii="Verdana" w:hAnsi="Verdana"/>
      <w:kern w:val="0"/>
      <w:sz w:val="20"/>
      <w:szCs w:val="20"/>
      <w:lang w:eastAsia="en-US"/>
    </w:rPr>
  </w:style>
  <w:style w:type="paragraph" w:customStyle="1" w:styleId="3165">
    <w:name w:val="正文格式15"/>
    <w:basedOn w:val="1"/>
    <w:qFormat/>
    <w:uiPriority w:val="0"/>
    <w:pPr>
      <w:spacing w:line="360" w:lineRule="auto"/>
      <w:ind w:firstLine="482"/>
    </w:pPr>
    <w:rPr>
      <w:rFonts w:ascii="宋体" w:hAnsi="宋体"/>
      <w:sz w:val="24"/>
    </w:rPr>
  </w:style>
  <w:style w:type="paragraph" w:customStyle="1" w:styleId="3166">
    <w:name w:val="图题13"/>
    <w:basedOn w:val="223"/>
    <w:next w:val="223"/>
    <w:qFormat/>
    <w:uiPriority w:val="0"/>
    <w:pPr>
      <w:ind w:firstLine="0"/>
      <w:jc w:val="center"/>
    </w:pPr>
    <w:rPr>
      <w:rFonts w:ascii="黑体" w:hAnsi="宋体" w:eastAsia="黑体"/>
      <w:b/>
      <w:bCs/>
    </w:rPr>
  </w:style>
  <w:style w:type="paragraph" w:customStyle="1" w:styleId="3167">
    <w:name w:val="表格内字体14"/>
    <w:basedOn w:val="223"/>
    <w:next w:val="223"/>
    <w:qFormat/>
    <w:uiPriority w:val="0"/>
    <w:pPr>
      <w:spacing w:line="240" w:lineRule="auto"/>
      <w:ind w:firstLine="0"/>
      <w:jc w:val="center"/>
    </w:pPr>
    <w:rPr>
      <w:rFonts w:hAnsi="宋体" w:cs="Times New Roman"/>
      <w:sz w:val="21"/>
    </w:rPr>
  </w:style>
  <w:style w:type="character" w:customStyle="1" w:styleId="3168">
    <w:name w:val="Char Char116"/>
    <w:qFormat/>
    <w:uiPriority w:val="0"/>
    <w:rPr>
      <w:rFonts w:ascii="黑体" w:hAnsi="Arial" w:eastAsia="黑体"/>
      <w:bCs/>
      <w:kern w:val="2"/>
      <w:sz w:val="30"/>
      <w:szCs w:val="30"/>
      <w:lang w:val="en-US" w:eastAsia="zh-CN" w:bidi="ar-SA"/>
    </w:rPr>
  </w:style>
  <w:style w:type="paragraph" w:customStyle="1" w:styleId="3169">
    <w:name w:val="Char115"/>
    <w:basedOn w:val="1"/>
    <w:qFormat/>
    <w:uiPriority w:val="0"/>
    <w:pPr>
      <w:ind w:left="-48"/>
    </w:pPr>
  </w:style>
  <w:style w:type="paragraph" w:customStyle="1" w:styleId="3170">
    <w:name w:val="正文格式＝13"/>
    <w:basedOn w:val="223"/>
    <w:next w:val="223"/>
    <w:qFormat/>
    <w:uiPriority w:val="0"/>
    <w:rPr>
      <w:rFonts w:hAnsi="宋体" w:cs="Times New Roman"/>
    </w:rPr>
  </w:style>
  <w:style w:type="paragraph" w:customStyle="1" w:styleId="3171">
    <w:name w:val="正文格式24"/>
    <w:basedOn w:val="1"/>
    <w:qFormat/>
    <w:uiPriority w:val="0"/>
    <w:pPr>
      <w:spacing w:line="360" w:lineRule="auto"/>
      <w:ind w:firstLine="482"/>
    </w:pPr>
    <w:rPr>
      <w:rFonts w:ascii="宋体" w:hAnsi="宋体"/>
      <w:sz w:val="24"/>
    </w:rPr>
  </w:style>
  <w:style w:type="character" w:customStyle="1" w:styleId="3172">
    <w:name w:val="题注 Char13"/>
    <w:qFormat/>
    <w:uiPriority w:val="0"/>
    <w:rPr>
      <w:rFonts w:ascii="黑体" w:hAnsi="Arial" w:eastAsia="黑体" w:cs="Arial"/>
      <w:b/>
      <w:kern w:val="2"/>
      <w:sz w:val="24"/>
      <w:szCs w:val="24"/>
      <w:lang w:val="en-US" w:eastAsia="zh-CN" w:bidi="ar-SA"/>
    </w:rPr>
  </w:style>
  <w:style w:type="paragraph" w:customStyle="1" w:styleId="3173">
    <w:name w:val="图题24"/>
    <w:basedOn w:val="223"/>
    <w:next w:val="223"/>
    <w:qFormat/>
    <w:uiPriority w:val="0"/>
    <w:pPr>
      <w:ind w:firstLine="0"/>
      <w:jc w:val="center"/>
    </w:pPr>
    <w:rPr>
      <w:rFonts w:ascii="黑体" w:hAnsi="宋体" w:eastAsia="黑体"/>
      <w:b/>
      <w:bCs/>
    </w:rPr>
  </w:style>
  <w:style w:type="paragraph" w:customStyle="1" w:styleId="3174">
    <w:name w:val="表格内字体24"/>
    <w:basedOn w:val="223"/>
    <w:next w:val="223"/>
    <w:qFormat/>
    <w:uiPriority w:val="0"/>
    <w:pPr>
      <w:spacing w:line="240" w:lineRule="auto"/>
      <w:ind w:firstLine="0"/>
      <w:jc w:val="center"/>
    </w:pPr>
    <w:rPr>
      <w:rFonts w:hAnsi="宋体" w:cs="Times New Roman"/>
      <w:sz w:val="21"/>
    </w:rPr>
  </w:style>
  <w:style w:type="paragraph" w:customStyle="1" w:styleId="3175">
    <w:name w:val="表内54113"/>
    <w:basedOn w:val="1"/>
    <w:qFormat/>
    <w:uiPriority w:val="0"/>
    <w:pPr>
      <w:adjustRightInd w:val="0"/>
      <w:snapToGrid w:val="0"/>
      <w:spacing w:line="300" w:lineRule="auto"/>
      <w:jc w:val="center"/>
    </w:pPr>
    <w:rPr>
      <w:rFonts w:ascii="宋体" w:hAnsi="宋体" w:cs="宋体"/>
      <w:szCs w:val="20"/>
    </w:rPr>
  </w:style>
  <w:style w:type="paragraph" w:customStyle="1" w:styleId="3176">
    <w:name w:val="表内文字小2113"/>
    <w:basedOn w:val="1"/>
    <w:qFormat/>
    <w:uiPriority w:val="0"/>
    <w:pPr>
      <w:adjustRightInd w:val="0"/>
      <w:snapToGrid w:val="0"/>
      <w:jc w:val="center"/>
    </w:pPr>
    <w:rPr>
      <w:rFonts w:ascii="宋体" w:hAnsi="Times"/>
      <w:bCs/>
      <w:color w:val="000000"/>
      <w:szCs w:val="20"/>
    </w:rPr>
  </w:style>
  <w:style w:type="paragraph" w:customStyle="1" w:styleId="3177">
    <w:name w:val="表题3113"/>
    <w:basedOn w:val="37"/>
    <w:qFormat/>
    <w:uiPriority w:val="0"/>
    <w:pPr>
      <w:tabs>
        <w:tab w:val="left" w:pos="4305"/>
      </w:tabs>
      <w:adjustRightInd w:val="0"/>
      <w:snapToGrid w:val="0"/>
      <w:spacing w:after="0"/>
      <w:ind w:left="0" w:leftChars="0"/>
      <w:jc w:val="center"/>
    </w:pPr>
    <w:rPr>
      <w:rFonts w:ascii="宋体" w:hAnsi="宋体"/>
      <w:sz w:val="24"/>
      <w:szCs w:val="20"/>
    </w:rPr>
  </w:style>
  <w:style w:type="paragraph" w:customStyle="1" w:styleId="3178">
    <w:name w:val="Char Char Char Char Char Char Char18"/>
    <w:basedOn w:val="1"/>
    <w:qFormat/>
    <w:uiPriority w:val="0"/>
  </w:style>
  <w:style w:type="paragraph" w:customStyle="1" w:styleId="3179">
    <w:name w:val="标题43113"/>
    <w:basedOn w:val="1"/>
    <w:qFormat/>
    <w:uiPriority w:val="0"/>
    <w:pPr>
      <w:adjustRightInd w:val="0"/>
      <w:snapToGrid w:val="0"/>
      <w:spacing w:line="480" w:lineRule="exact"/>
      <w:jc w:val="center"/>
    </w:pPr>
    <w:rPr>
      <w:rFonts w:ascii="宋体" w:hAnsi="宋体" w:cs="宋体"/>
      <w:sz w:val="24"/>
    </w:rPr>
  </w:style>
  <w:style w:type="paragraph" w:customStyle="1" w:styleId="3180">
    <w:name w:val="燕山正文1113"/>
    <w:basedOn w:val="1"/>
    <w:qFormat/>
    <w:uiPriority w:val="0"/>
    <w:pPr>
      <w:tabs>
        <w:tab w:val="left" w:pos="4680"/>
      </w:tabs>
      <w:adjustRightInd w:val="0"/>
      <w:snapToGrid w:val="0"/>
      <w:spacing w:line="480" w:lineRule="exact"/>
    </w:pPr>
    <w:rPr>
      <w:rFonts w:ascii="宋体" w:hAnsi="宋体" w:cs="宋体"/>
      <w:bCs/>
      <w:color w:val="000000"/>
      <w:sz w:val="24"/>
    </w:rPr>
  </w:style>
  <w:style w:type="paragraph" w:customStyle="1" w:styleId="3181">
    <w:name w:val="默认段落字体 Para Char Char Char Char13"/>
    <w:basedOn w:val="1"/>
    <w:qFormat/>
    <w:uiPriority w:val="0"/>
  </w:style>
  <w:style w:type="paragraph" w:customStyle="1" w:styleId="3182">
    <w:name w:val="附件13"/>
    <w:basedOn w:val="4"/>
    <w:next w:val="223"/>
    <w:qFormat/>
    <w:uiPriority w:val="0"/>
    <w:pPr>
      <w:adjustRightInd w:val="0"/>
      <w:snapToGrid w:val="0"/>
      <w:spacing w:beforeLines="100" w:after="0" w:line="360" w:lineRule="auto"/>
    </w:pPr>
    <w:rPr>
      <w:rFonts w:ascii="黑体" w:hAnsi="宋体" w:eastAsia="黑体"/>
      <w:sz w:val="32"/>
      <w:szCs w:val="32"/>
    </w:rPr>
  </w:style>
  <w:style w:type="paragraph" w:customStyle="1" w:styleId="3183">
    <w:name w:val="黑体三号13"/>
    <w:basedOn w:val="223"/>
    <w:qFormat/>
    <w:uiPriority w:val="0"/>
    <w:pPr>
      <w:jc w:val="center"/>
    </w:pPr>
    <w:rPr>
      <w:rFonts w:ascii="黑体" w:hAnsi="宋体" w:eastAsia="黑体"/>
      <w:b/>
      <w:bCs/>
      <w:sz w:val="32"/>
      <w:szCs w:val="20"/>
    </w:rPr>
  </w:style>
  <w:style w:type="paragraph" w:customStyle="1" w:styleId="3184">
    <w:name w:val="表13"/>
    <w:basedOn w:val="1"/>
    <w:qFormat/>
    <w:uiPriority w:val="0"/>
    <w:pPr>
      <w:adjustRightInd w:val="0"/>
      <w:snapToGrid w:val="0"/>
      <w:jc w:val="center"/>
    </w:pPr>
    <w:rPr>
      <w:rFonts w:eastAsia="仿宋_GB2312"/>
      <w:sz w:val="24"/>
    </w:rPr>
  </w:style>
  <w:style w:type="character" w:customStyle="1" w:styleId="3185">
    <w:name w:val="Char Char66"/>
    <w:qFormat/>
    <w:uiPriority w:val="0"/>
    <w:rPr>
      <w:rFonts w:ascii="黑体" w:eastAsia="黑体"/>
      <w:b/>
      <w:bCs/>
      <w:kern w:val="2"/>
      <w:sz w:val="28"/>
      <w:szCs w:val="28"/>
      <w:lang w:val="en-US" w:eastAsia="zh-CN" w:bidi="ar-SA"/>
    </w:rPr>
  </w:style>
  <w:style w:type="paragraph" w:customStyle="1" w:styleId="3186">
    <w:name w:val="表题114"/>
    <w:basedOn w:val="23"/>
    <w:qFormat/>
    <w:uiPriority w:val="0"/>
    <w:pPr>
      <w:tabs>
        <w:tab w:val="clear" w:pos="7380"/>
      </w:tabs>
      <w:overflowPunct/>
      <w:spacing w:before="0" w:afterLines="0" w:line="360" w:lineRule="auto"/>
      <w:jc w:val="center"/>
    </w:pPr>
    <w:rPr>
      <w:rFonts w:ascii="黑体" w:cs="Times New Roman"/>
      <w:sz w:val="24"/>
      <w:szCs w:val="24"/>
    </w:rPr>
  </w:style>
  <w:style w:type="paragraph" w:customStyle="1" w:styleId="3187">
    <w:name w:val="燕山正文15"/>
    <w:basedOn w:val="1"/>
    <w:qFormat/>
    <w:uiPriority w:val="0"/>
    <w:pPr>
      <w:tabs>
        <w:tab w:val="left" w:pos="4680"/>
      </w:tabs>
      <w:adjustRightInd w:val="0"/>
      <w:snapToGrid w:val="0"/>
      <w:spacing w:line="480" w:lineRule="exact"/>
    </w:pPr>
    <w:rPr>
      <w:rFonts w:ascii="宋体" w:cs="宋体"/>
      <w:sz w:val="24"/>
    </w:rPr>
  </w:style>
  <w:style w:type="paragraph" w:customStyle="1" w:styleId="3188">
    <w:name w:val="正文修改13"/>
    <w:basedOn w:val="2056"/>
    <w:qFormat/>
    <w:uiPriority w:val="0"/>
    <w:rPr>
      <w:rFonts w:hAnsi="宋体"/>
      <w:color w:val="000000"/>
    </w:rPr>
  </w:style>
  <w:style w:type="character" w:customStyle="1" w:styleId="3189">
    <w:name w:val="正文修改 Char113"/>
    <w:qFormat/>
    <w:uiPriority w:val="0"/>
    <w:rPr>
      <w:rFonts w:ascii="宋体" w:hAnsi="宋体" w:eastAsia="宋体" w:cs="宋体"/>
      <w:color w:val="000000"/>
      <w:sz w:val="24"/>
      <w:szCs w:val="24"/>
    </w:rPr>
  </w:style>
  <w:style w:type="paragraph" w:customStyle="1" w:styleId="3190">
    <w:name w:val="表中文字14"/>
    <w:basedOn w:val="1"/>
    <w:qFormat/>
    <w:uiPriority w:val="0"/>
    <w:pPr>
      <w:widowControl/>
      <w:spacing w:line="240" w:lineRule="atLeast"/>
      <w:ind w:left="-24" w:leftChars="-10" w:right="-48" w:rightChars="-20"/>
      <w:jc w:val="center"/>
    </w:pPr>
    <w:rPr>
      <w:rFonts w:ascii="宋体"/>
      <w:kern w:val="0"/>
      <w:szCs w:val="21"/>
    </w:rPr>
  </w:style>
  <w:style w:type="paragraph" w:customStyle="1" w:styleId="3191">
    <w:name w:val="表文字514"/>
    <w:basedOn w:val="1"/>
    <w:qFormat/>
    <w:uiPriority w:val="0"/>
    <w:pPr>
      <w:adjustRightInd w:val="0"/>
      <w:jc w:val="left"/>
      <w:textAlignment w:val="baseline"/>
    </w:pPr>
    <w:rPr>
      <w:rFonts w:ascii="宋体"/>
      <w:kern w:val="0"/>
      <w:szCs w:val="20"/>
    </w:rPr>
  </w:style>
  <w:style w:type="paragraph" w:customStyle="1" w:styleId="3192">
    <w:name w:val="表内文字小3113"/>
    <w:basedOn w:val="1"/>
    <w:qFormat/>
    <w:uiPriority w:val="0"/>
    <w:pPr>
      <w:adjustRightInd w:val="0"/>
      <w:snapToGrid w:val="0"/>
      <w:jc w:val="center"/>
    </w:pPr>
    <w:rPr>
      <w:rFonts w:ascii="宋体" w:hAnsi="Times" w:cs="宋体"/>
      <w:bCs/>
      <w:color w:val="003366"/>
      <w:szCs w:val="20"/>
    </w:rPr>
  </w:style>
  <w:style w:type="paragraph" w:customStyle="1" w:styleId="3193">
    <w:name w:val="样式113"/>
    <w:basedOn w:val="2105"/>
    <w:qFormat/>
    <w:uiPriority w:val="0"/>
    <w:pPr>
      <w:spacing w:line="240" w:lineRule="auto"/>
      <w:ind w:firstLine="0"/>
      <w:jc w:val="center"/>
    </w:pPr>
    <w:rPr>
      <w:rFonts w:cs="Times New Roman"/>
      <w:b/>
      <w:color w:val="auto"/>
      <w:szCs w:val="20"/>
    </w:rPr>
  </w:style>
  <w:style w:type="paragraph" w:customStyle="1" w:styleId="3194">
    <w:name w:val="正文格式＝23"/>
    <w:basedOn w:val="223"/>
    <w:next w:val="223"/>
    <w:qFormat/>
    <w:uiPriority w:val="0"/>
    <w:rPr>
      <w:rFonts w:hAnsi="宋体" w:cs="Times New Roman"/>
    </w:rPr>
  </w:style>
  <w:style w:type="paragraph" w:customStyle="1" w:styleId="3195">
    <w:name w:val="Char210"/>
    <w:basedOn w:val="1"/>
    <w:qFormat/>
    <w:uiPriority w:val="0"/>
    <w:pPr>
      <w:ind w:left="-48"/>
    </w:pPr>
  </w:style>
  <w:style w:type="paragraph" w:customStyle="1" w:styleId="3196">
    <w:name w:val="表内文字小25"/>
    <w:basedOn w:val="1"/>
    <w:qFormat/>
    <w:uiPriority w:val="0"/>
    <w:pPr>
      <w:adjustRightInd w:val="0"/>
      <w:snapToGrid w:val="0"/>
      <w:jc w:val="center"/>
    </w:pPr>
    <w:rPr>
      <w:rFonts w:ascii="宋体" w:hAnsi="Times"/>
      <w:bCs/>
      <w:color w:val="000000"/>
      <w:szCs w:val="20"/>
    </w:rPr>
  </w:style>
  <w:style w:type="paragraph" w:customStyle="1" w:styleId="3197">
    <w:name w:val="表内534"/>
    <w:basedOn w:val="1"/>
    <w:qFormat/>
    <w:uiPriority w:val="0"/>
    <w:pPr>
      <w:adjustRightInd w:val="0"/>
      <w:snapToGrid w:val="0"/>
      <w:spacing w:line="300" w:lineRule="auto"/>
      <w:jc w:val="left"/>
    </w:pPr>
    <w:rPr>
      <w:rFonts w:ascii="宋体"/>
      <w:szCs w:val="20"/>
    </w:rPr>
  </w:style>
  <w:style w:type="paragraph" w:customStyle="1" w:styleId="3198">
    <w:name w:val="正文格式33"/>
    <w:basedOn w:val="1"/>
    <w:qFormat/>
    <w:uiPriority w:val="0"/>
    <w:pPr>
      <w:spacing w:line="360" w:lineRule="auto"/>
      <w:ind w:firstLine="482"/>
    </w:pPr>
    <w:rPr>
      <w:rFonts w:ascii="宋体" w:hAnsi="宋体"/>
      <w:sz w:val="24"/>
    </w:rPr>
  </w:style>
  <w:style w:type="character" w:customStyle="1" w:styleId="3199">
    <w:name w:val="题注 Char23"/>
    <w:qFormat/>
    <w:uiPriority w:val="0"/>
    <w:rPr>
      <w:rFonts w:ascii="黑体" w:hAnsi="Arial" w:eastAsia="黑体" w:cs="Arial"/>
      <w:b/>
      <w:kern w:val="2"/>
      <w:sz w:val="24"/>
      <w:szCs w:val="24"/>
      <w:lang w:val="en-US" w:eastAsia="zh-CN" w:bidi="ar-SA"/>
    </w:rPr>
  </w:style>
  <w:style w:type="paragraph" w:customStyle="1" w:styleId="3200">
    <w:name w:val="图题33"/>
    <w:basedOn w:val="223"/>
    <w:next w:val="223"/>
    <w:qFormat/>
    <w:uiPriority w:val="0"/>
    <w:pPr>
      <w:ind w:firstLine="0"/>
      <w:jc w:val="center"/>
    </w:pPr>
    <w:rPr>
      <w:rFonts w:ascii="黑体" w:hAnsi="宋体" w:eastAsia="黑体"/>
      <w:b/>
      <w:bCs/>
    </w:rPr>
  </w:style>
  <w:style w:type="paragraph" w:customStyle="1" w:styleId="3201">
    <w:name w:val="表格内字体33"/>
    <w:basedOn w:val="223"/>
    <w:next w:val="223"/>
    <w:qFormat/>
    <w:uiPriority w:val="0"/>
    <w:pPr>
      <w:spacing w:line="240" w:lineRule="auto"/>
      <w:ind w:firstLine="0"/>
      <w:jc w:val="center"/>
    </w:pPr>
    <w:rPr>
      <w:rFonts w:hAnsi="宋体" w:cs="Times New Roman"/>
      <w:sz w:val="21"/>
    </w:rPr>
  </w:style>
  <w:style w:type="paragraph" w:customStyle="1" w:styleId="3202">
    <w:name w:val="表内54123"/>
    <w:basedOn w:val="1"/>
    <w:qFormat/>
    <w:uiPriority w:val="0"/>
    <w:pPr>
      <w:adjustRightInd w:val="0"/>
      <w:snapToGrid w:val="0"/>
      <w:spacing w:line="300" w:lineRule="auto"/>
      <w:jc w:val="center"/>
    </w:pPr>
    <w:rPr>
      <w:rFonts w:ascii="宋体" w:hAnsi="宋体" w:cs="宋体"/>
      <w:szCs w:val="20"/>
    </w:rPr>
  </w:style>
  <w:style w:type="paragraph" w:customStyle="1" w:styleId="3203">
    <w:name w:val="表内文字小2123"/>
    <w:basedOn w:val="1"/>
    <w:qFormat/>
    <w:uiPriority w:val="0"/>
    <w:pPr>
      <w:adjustRightInd w:val="0"/>
      <w:snapToGrid w:val="0"/>
      <w:jc w:val="center"/>
    </w:pPr>
    <w:rPr>
      <w:rFonts w:ascii="宋体" w:hAnsi="Times"/>
      <w:bCs/>
      <w:color w:val="000000"/>
      <w:szCs w:val="20"/>
    </w:rPr>
  </w:style>
  <w:style w:type="paragraph" w:customStyle="1" w:styleId="3204">
    <w:name w:val="表题3123"/>
    <w:basedOn w:val="37"/>
    <w:qFormat/>
    <w:uiPriority w:val="0"/>
    <w:pPr>
      <w:tabs>
        <w:tab w:val="left" w:pos="4305"/>
      </w:tabs>
      <w:adjustRightInd w:val="0"/>
      <w:snapToGrid w:val="0"/>
      <w:spacing w:after="0"/>
      <w:ind w:left="0" w:leftChars="0"/>
      <w:jc w:val="center"/>
    </w:pPr>
    <w:rPr>
      <w:rFonts w:ascii="宋体" w:hAnsi="宋体"/>
      <w:sz w:val="24"/>
      <w:szCs w:val="20"/>
    </w:rPr>
  </w:style>
  <w:style w:type="paragraph" w:customStyle="1" w:styleId="3205">
    <w:name w:val="标题43123"/>
    <w:basedOn w:val="1"/>
    <w:qFormat/>
    <w:uiPriority w:val="0"/>
    <w:pPr>
      <w:adjustRightInd w:val="0"/>
      <w:snapToGrid w:val="0"/>
      <w:spacing w:line="480" w:lineRule="exact"/>
      <w:jc w:val="center"/>
    </w:pPr>
    <w:rPr>
      <w:rFonts w:ascii="宋体" w:hAnsi="宋体" w:cs="宋体"/>
      <w:sz w:val="24"/>
    </w:rPr>
  </w:style>
  <w:style w:type="paragraph" w:customStyle="1" w:styleId="3206">
    <w:name w:val="燕山正文1123"/>
    <w:basedOn w:val="1"/>
    <w:qFormat/>
    <w:uiPriority w:val="0"/>
    <w:pPr>
      <w:tabs>
        <w:tab w:val="left" w:pos="4680"/>
      </w:tabs>
      <w:adjustRightInd w:val="0"/>
      <w:snapToGrid w:val="0"/>
      <w:spacing w:line="480" w:lineRule="exact"/>
    </w:pPr>
    <w:rPr>
      <w:rFonts w:ascii="宋体" w:hAnsi="宋体" w:cs="宋体"/>
      <w:bCs/>
      <w:color w:val="000000"/>
      <w:sz w:val="24"/>
    </w:rPr>
  </w:style>
  <w:style w:type="paragraph" w:customStyle="1" w:styleId="3207">
    <w:name w:val="默认段落字体 Para Char Char Char Char23"/>
    <w:basedOn w:val="1"/>
    <w:qFormat/>
    <w:uiPriority w:val="0"/>
  </w:style>
  <w:style w:type="paragraph" w:customStyle="1" w:styleId="3208">
    <w:name w:val="附件23"/>
    <w:basedOn w:val="4"/>
    <w:next w:val="223"/>
    <w:qFormat/>
    <w:uiPriority w:val="0"/>
    <w:pPr>
      <w:adjustRightInd w:val="0"/>
      <w:snapToGrid w:val="0"/>
      <w:spacing w:beforeLines="100" w:after="0" w:line="360" w:lineRule="auto"/>
    </w:pPr>
    <w:rPr>
      <w:rFonts w:ascii="黑体" w:hAnsi="宋体" w:eastAsia="黑体"/>
      <w:sz w:val="32"/>
      <w:szCs w:val="32"/>
    </w:rPr>
  </w:style>
  <w:style w:type="paragraph" w:customStyle="1" w:styleId="3209">
    <w:name w:val="黑体三号23"/>
    <w:basedOn w:val="223"/>
    <w:qFormat/>
    <w:uiPriority w:val="0"/>
    <w:pPr>
      <w:jc w:val="center"/>
    </w:pPr>
    <w:rPr>
      <w:rFonts w:ascii="黑体" w:hAnsi="宋体" w:eastAsia="黑体"/>
      <w:b/>
      <w:bCs/>
      <w:sz w:val="32"/>
      <w:szCs w:val="20"/>
    </w:rPr>
  </w:style>
  <w:style w:type="paragraph" w:customStyle="1" w:styleId="3210">
    <w:name w:val="表23"/>
    <w:basedOn w:val="1"/>
    <w:qFormat/>
    <w:uiPriority w:val="0"/>
    <w:pPr>
      <w:adjustRightInd w:val="0"/>
      <w:snapToGrid w:val="0"/>
      <w:jc w:val="center"/>
    </w:pPr>
    <w:rPr>
      <w:rFonts w:eastAsia="仿宋_GB2312"/>
      <w:sz w:val="24"/>
    </w:rPr>
  </w:style>
  <w:style w:type="paragraph" w:customStyle="1" w:styleId="3211">
    <w:name w:val="燕山正文23"/>
    <w:basedOn w:val="1"/>
    <w:qFormat/>
    <w:uiPriority w:val="0"/>
    <w:pPr>
      <w:tabs>
        <w:tab w:val="left" w:pos="4680"/>
      </w:tabs>
      <w:adjustRightInd w:val="0"/>
      <w:snapToGrid w:val="0"/>
      <w:spacing w:line="480" w:lineRule="exact"/>
    </w:pPr>
    <w:rPr>
      <w:rFonts w:ascii="宋体" w:cs="宋体"/>
      <w:sz w:val="24"/>
    </w:rPr>
  </w:style>
  <w:style w:type="paragraph" w:customStyle="1" w:styleId="3212">
    <w:name w:val="正文修改23"/>
    <w:basedOn w:val="2056"/>
    <w:qFormat/>
    <w:uiPriority w:val="0"/>
    <w:rPr>
      <w:rFonts w:hAnsi="宋体"/>
      <w:color w:val="000000"/>
    </w:rPr>
  </w:style>
  <w:style w:type="character" w:customStyle="1" w:styleId="3213">
    <w:name w:val="正文修改 Char123"/>
    <w:qFormat/>
    <w:uiPriority w:val="0"/>
    <w:rPr>
      <w:rFonts w:ascii="宋体" w:hAnsi="宋体" w:eastAsia="宋体" w:cs="宋体"/>
      <w:color w:val="000000"/>
      <w:sz w:val="24"/>
      <w:szCs w:val="24"/>
    </w:rPr>
  </w:style>
  <w:style w:type="paragraph" w:customStyle="1" w:styleId="3214">
    <w:name w:val="表中文字23"/>
    <w:basedOn w:val="1"/>
    <w:qFormat/>
    <w:uiPriority w:val="0"/>
    <w:pPr>
      <w:widowControl/>
      <w:adjustRightInd w:val="0"/>
      <w:spacing w:line="240" w:lineRule="atLeast"/>
      <w:ind w:right="-42" w:rightChars="-20"/>
      <w:jc w:val="center"/>
      <w:textAlignment w:val="baseline"/>
    </w:pPr>
    <w:rPr>
      <w:rFonts w:ascii="宋体"/>
      <w:kern w:val="0"/>
      <w:szCs w:val="21"/>
    </w:rPr>
  </w:style>
  <w:style w:type="paragraph" w:customStyle="1" w:styleId="3215">
    <w:name w:val="表内文字小3123"/>
    <w:basedOn w:val="1"/>
    <w:qFormat/>
    <w:uiPriority w:val="0"/>
    <w:pPr>
      <w:adjustRightInd w:val="0"/>
      <w:snapToGrid w:val="0"/>
      <w:jc w:val="center"/>
    </w:pPr>
    <w:rPr>
      <w:rFonts w:ascii="宋体" w:hAnsi="Times" w:cs="宋体"/>
      <w:bCs/>
      <w:color w:val="003366"/>
      <w:szCs w:val="20"/>
    </w:rPr>
  </w:style>
  <w:style w:type="paragraph" w:customStyle="1" w:styleId="3216">
    <w:name w:val="正文格式＝33"/>
    <w:basedOn w:val="223"/>
    <w:next w:val="223"/>
    <w:qFormat/>
    <w:uiPriority w:val="0"/>
    <w:rPr>
      <w:rFonts w:hAnsi="宋体" w:cs="Times New Roman"/>
    </w:rPr>
  </w:style>
  <w:style w:type="paragraph" w:customStyle="1" w:styleId="3217">
    <w:name w:val="表内文字小223"/>
    <w:basedOn w:val="1"/>
    <w:qFormat/>
    <w:uiPriority w:val="0"/>
    <w:pPr>
      <w:adjustRightInd w:val="0"/>
      <w:snapToGrid w:val="0"/>
      <w:jc w:val="center"/>
    </w:pPr>
    <w:rPr>
      <w:rFonts w:ascii="宋体" w:hAnsi="Times"/>
      <w:bCs/>
      <w:color w:val="000000"/>
      <w:szCs w:val="20"/>
    </w:rPr>
  </w:style>
  <w:style w:type="paragraph" w:customStyle="1" w:styleId="3218">
    <w:name w:val="正文格式213"/>
    <w:basedOn w:val="1"/>
    <w:qFormat/>
    <w:uiPriority w:val="0"/>
    <w:pPr>
      <w:spacing w:line="360" w:lineRule="auto"/>
      <w:ind w:firstLine="482"/>
    </w:pPr>
    <w:rPr>
      <w:rFonts w:ascii="宋体" w:hAnsi="宋体"/>
      <w:sz w:val="24"/>
    </w:rPr>
  </w:style>
  <w:style w:type="paragraph" w:customStyle="1" w:styleId="3219">
    <w:name w:val="表格内字体213"/>
    <w:basedOn w:val="223"/>
    <w:next w:val="223"/>
    <w:qFormat/>
    <w:uiPriority w:val="0"/>
    <w:pPr>
      <w:spacing w:line="240" w:lineRule="auto"/>
      <w:ind w:firstLine="0"/>
      <w:jc w:val="center"/>
    </w:pPr>
    <w:rPr>
      <w:rFonts w:hAnsi="宋体" w:cs="Times New Roman"/>
      <w:sz w:val="21"/>
    </w:rPr>
  </w:style>
  <w:style w:type="paragraph" w:customStyle="1" w:styleId="3220">
    <w:name w:val="表中文字113"/>
    <w:basedOn w:val="1"/>
    <w:qFormat/>
    <w:uiPriority w:val="0"/>
    <w:pPr>
      <w:widowControl/>
      <w:spacing w:line="240" w:lineRule="atLeast"/>
      <w:ind w:left="-24" w:leftChars="-10" w:right="-48" w:rightChars="-20"/>
      <w:jc w:val="center"/>
    </w:pPr>
    <w:rPr>
      <w:rFonts w:ascii="宋体"/>
      <w:kern w:val="0"/>
      <w:szCs w:val="21"/>
    </w:rPr>
  </w:style>
  <w:style w:type="paragraph" w:customStyle="1" w:styleId="3221">
    <w:name w:val="表文字5113"/>
    <w:basedOn w:val="1"/>
    <w:qFormat/>
    <w:uiPriority w:val="0"/>
    <w:pPr>
      <w:adjustRightInd w:val="0"/>
      <w:jc w:val="left"/>
      <w:textAlignment w:val="baseline"/>
    </w:pPr>
    <w:rPr>
      <w:rFonts w:ascii="宋体"/>
      <w:kern w:val="0"/>
      <w:szCs w:val="20"/>
    </w:rPr>
  </w:style>
  <w:style w:type="paragraph" w:customStyle="1" w:styleId="3222">
    <w:name w:val="默认段落字体 Para Char7"/>
    <w:basedOn w:val="1"/>
    <w:qFormat/>
    <w:uiPriority w:val="0"/>
    <w:pPr>
      <w:spacing w:line="360" w:lineRule="auto"/>
      <w:ind w:firstLine="200" w:firstLineChars="200"/>
    </w:pPr>
    <w:rPr>
      <w:rFonts w:ascii="宋体" w:hAnsi="宋体" w:cs="宋体"/>
      <w:sz w:val="24"/>
    </w:rPr>
  </w:style>
  <w:style w:type="character" w:customStyle="1" w:styleId="3223">
    <w:name w:val="批注框文本 Char7"/>
    <w:qFormat/>
    <w:uiPriority w:val="0"/>
    <w:rPr>
      <w:rFonts w:ascii="Times New Roman" w:hAnsi="Times New Roman" w:eastAsia="宋体" w:cs="Times New Roman"/>
      <w:kern w:val="2"/>
      <w:sz w:val="18"/>
      <w:szCs w:val="18"/>
      <w:lang w:val="en-US" w:eastAsia="zh-CN" w:bidi="ar-SA"/>
    </w:rPr>
  </w:style>
  <w:style w:type="paragraph" w:customStyle="1" w:styleId="3224">
    <w:name w:val="正文格式43"/>
    <w:basedOn w:val="1"/>
    <w:qFormat/>
    <w:uiPriority w:val="0"/>
    <w:pPr>
      <w:spacing w:line="360" w:lineRule="auto"/>
      <w:ind w:firstLine="482"/>
    </w:pPr>
    <w:rPr>
      <w:rFonts w:ascii="宋体" w:hAnsi="宋体"/>
      <w:sz w:val="24"/>
    </w:rPr>
  </w:style>
  <w:style w:type="paragraph" w:customStyle="1" w:styleId="3225">
    <w:name w:val="图题43"/>
    <w:basedOn w:val="223"/>
    <w:next w:val="223"/>
    <w:qFormat/>
    <w:uiPriority w:val="0"/>
    <w:pPr>
      <w:ind w:firstLine="0"/>
      <w:jc w:val="center"/>
    </w:pPr>
    <w:rPr>
      <w:rFonts w:ascii="黑体" w:hAnsi="宋体" w:eastAsia="黑体"/>
      <w:b/>
      <w:bCs/>
    </w:rPr>
  </w:style>
  <w:style w:type="paragraph" w:customStyle="1" w:styleId="3226">
    <w:name w:val="表格内字体43"/>
    <w:basedOn w:val="223"/>
    <w:next w:val="223"/>
    <w:qFormat/>
    <w:uiPriority w:val="0"/>
    <w:pPr>
      <w:spacing w:line="240" w:lineRule="auto"/>
      <w:ind w:firstLine="0"/>
      <w:jc w:val="center"/>
    </w:pPr>
    <w:rPr>
      <w:rFonts w:hAnsi="宋体" w:cs="Times New Roman"/>
      <w:sz w:val="21"/>
    </w:rPr>
  </w:style>
  <w:style w:type="paragraph" w:customStyle="1" w:styleId="3227">
    <w:name w:val="Char48"/>
    <w:basedOn w:val="1"/>
    <w:qFormat/>
    <w:uiPriority w:val="0"/>
    <w:pPr>
      <w:ind w:left="-48"/>
    </w:pPr>
  </w:style>
  <w:style w:type="paragraph" w:customStyle="1" w:styleId="3228">
    <w:name w:val="正文格式＝43"/>
    <w:basedOn w:val="223"/>
    <w:next w:val="223"/>
    <w:qFormat/>
    <w:uiPriority w:val="0"/>
    <w:rPr>
      <w:rFonts w:hAnsi="宋体" w:cs="Times New Roman"/>
    </w:rPr>
  </w:style>
  <w:style w:type="paragraph" w:customStyle="1" w:styleId="3229">
    <w:name w:val="表题133"/>
    <w:basedOn w:val="23"/>
    <w:qFormat/>
    <w:uiPriority w:val="0"/>
    <w:pPr>
      <w:tabs>
        <w:tab w:val="clear" w:pos="7380"/>
      </w:tabs>
      <w:overflowPunct/>
      <w:spacing w:before="0" w:afterLines="0" w:line="360" w:lineRule="auto"/>
      <w:jc w:val="center"/>
    </w:pPr>
    <w:rPr>
      <w:rFonts w:ascii="黑体" w:cs="Times New Roman"/>
      <w:b/>
      <w:sz w:val="24"/>
      <w:szCs w:val="24"/>
    </w:rPr>
  </w:style>
  <w:style w:type="paragraph" w:customStyle="1" w:styleId="3230">
    <w:name w:val="默认段落字体 Para Char13"/>
    <w:basedOn w:val="1"/>
    <w:next w:val="1"/>
    <w:qFormat/>
    <w:uiPriority w:val="0"/>
    <w:pPr>
      <w:spacing w:line="480" w:lineRule="exact"/>
      <w:ind w:firstLine="200" w:firstLineChars="200"/>
      <w:jc w:val="left"/>
    </w:pPr>
    <w:rPr>
      <w:rFonts w:ascii="宋体" w:hAnsi="宋体" w:eastAsia="汉鼎简书宋" w:cs="宋体"/>
      <w:sz w:val="28"/>
    </w:rPr>
  </w:style>
  <w:style w:type="paragraph" w:customStyle="1" w:styleId="3231">
    <w:name w:val="23-47表名3"/>
    <w:basedOn w:val="1"/>
    <w:qFormat/>
    <w:uiPriority w:val="0"/>
    <w:pPr>
      <w:spacing w:afterLines="50" w:line="440" w:lineRule="exact"/>
      <w:jc w:val="center"/>
    </w:pPr>
    <w:rPr>
      <w:rFonts w:ascii="宋体" w:hAnsi="宋体"/>
      <w:b/>
      <w:sz w:val="24"/>
    </w:rPr>
  </w:style>
  <w:style w:type="paragraph" w:customStyle="1" w:styleId="3232">
    <w:name w:val="xl243"/>
    <w:basedOn w:val="1"/>
    <w:qFormat/>
    <w:uiPriority w:val="0"/>
    <w:pPr>
      <w:widowControl/>
      <w:pBdr>
        <w:bottom w:val="single" w:color="auto" w:sz="4" w:space="0"/>
        <w:right w:val="single" w:color="auto" w:sz="4" w:space="0"/>
      </w:pBdr>
      <w:spacing w:before="100" w:beforeAutospacing="1" w:after="100" w:afterAutospacing="1"/>
      <w:jc w:val="center"/>
    </w:pPr>
    <w:rPr>
      <w:kern w:val="0"/>
      <w:szCs w:val="21"/>
    </w:rPr>
  </w:style>
  <w:style w:type="paragraph" w:customStyle="1" w:styleId="3233">
    <w:name w:val="Char53"/>
    <w:basedOn w:val="1"/>
    <w:qFormat/>
    <w:uiPriority w:val="0"/>
    <w:pPr>
      <w:adjustRightInd w:val="0"/>
      <w:snapToGrid w:val="0"/>
      <w:ind w:left="-45"/>
    </w:pPr>
  </w:style>
  <w:style w:type="paragraph" w:customStyle="1" w:styleId="3234">
    <w:name w:val="燕山正文1133"/>
    <w:basedOn w:val="1"/>
    <w:qFormat/>
    <w:uiPriority w:val="0"/>
    <w:pPr>
      <w:tabs>
        <w:tab w:val="left" w:pos="4680"/>
      </w:tabs>
      <w:adjustRightInd w:val="0"/>
      <w:snapToGrid w:val="0"/>
      <w:spacing w:line="360" w:lineRule="auto"/>
      <w:ind w:firstLine="480" w:firstLineChars="200"/>
    </w:pPr>
    <w:rPr>
      <w:rFonts w:ascii="宋体" w:hAnsi="宋体" w:cs="宋体"/>
      <w:bCs/>
      <w:snapToGrid w:val="0"/>
      <w:color w:val="000000"/>
      <w:kern w:val="0"/>
      <w:sz w:val="24"/>
    </w:rPr>
  </w:style>
  <w:style w:type="character" w:customStyle="1" w:styleId="3235">
    <w:name w:val="题注 Char33"/>
    <w:qFormat/>
    <w:uiPriority w:val="0"/>
    <w:rPr>
      <w:rFonts w:ascii="黑体" w:hAnsi="Arial" w:eastAsia="黑体" w:cs="Arial"/>
      <w:b/>
      <w:kern w:val="2"/>
      <w:sz w:val="24"/>
      <w:szCs w:val="24"/>
      <w:lang w:val="en-US" w:eastAsia="zh-CN" w:bidi="ar-SA"/>
    </w:rPr>
  </w:style>
  <w:style w:type="paragraph" w:customStyle="1" w:styleId="3236">
    <w:name w:val="图题53"/>
    <w:basedOn w:val="223"/>
    <w:next w:val="223"/>
    <w:qFormat/>
    <w:uiPriority w:val="0"/>
    <w:pPr>
      <w:ind w:firstLine="0"/>
      <w:jc w:val="center"/>
    </w:pPr>
    <w:rPr>
      <w:rFonts w:ascii="黑体" w:hAnsi="宋体" w:eastAsia="黑体"/>
      <w:b/>
      <w:bCs/>
    </w:rPr>
  </w:style>
  <w:style w:type="paragraph" w:customStyle="1" w:styleId="3237">
    <w:name w:val="表格内字体53"/>
    <w:basedOn w:val="223"/>
    <w:next w:val="223"/>
    <w:qFormat/>
    <w:uiPriority w:val="0"/>
    <w:pPr>
      <w:adjustRightInd w:val="0"/>
      <w:snapToGrid w:val="0"/>
      <w:spacing w:line="240" w:lineRule="auto"/>
      <w:ind w:firstLine="0"/>
    </w:pPr>
    <w:rPr>
      <w:rFonts w:hAnsi="宋体" w:cs="Times New Roman"/>
      <w:sz w:val="21"/>
    </w:rPr>
  </w:style>
  <w:style w:type="paragraph" w:customStyle="1" w:styleId="3238">
    <w:name w:val="表33"/>
    <w:basedOn w:val="1"/>
    <w:qFormat/>
    <w:uiPriority w:val="0"/>
    <w:pPr>
      <w:adjustRightInd w:val="0"/>
      <w:snapToGrid w:val="0"/>
      <w:jc w:val="center"/>
    </w:pPr>
    <w:rPr>
      <w:rFonts w:eastAsia="仿宋_GB2312"/>
      <w:sz w:val="24"/>
    </w:rPr>
  </w:style>
  <w:style w:type="paragraph" w:customStyle="1" w:styleId="3239">
    <w:name w:val="文本框13"/>
    <w:basedOn w:val="1"/>
    <w:qFormat/>
    <w:uiPriority w:val="0"/>
    <w:pPr>
      <w:adjustRightInd w:val="0"/>
      <w:snapToGrid w:val="0"/>
      <w:spacing w:after="6"/>
      <w:jc w:val="center"/>
    </w:pPr>
    <w:rPr>
      <w:rFonts w:eastAsia="仿宋_GB2312"/>
    </w:rPr>
  </w:style>
  <w:style w:type="paragraph" w:customStyle="1" w:styleId="3240">
    <w:name w:val="表内宋51113"/>
    <w:basedOn w:val="81"/>
    <w:qFormat/>
    <w:uiPriority w:val="0"/>
    <w:pPr>
      <w:widowControl/>
      <w:adjustRightInd w:val="0"/>
      <w:snapToGrid w:val="0"/>
    </w:pPr>
    <w:rPr>
      <w:rFonts w:ascii="宋体" w:hAnsi="宋体" w:cs="宋体"/>
      <w:color w:val="000000"/>
      <w:kern w:val="0"/>
      <w:sz w:val="21"/>
      <w:lang w:val="zh-CN"/>
    </w:rPr>
  </w:style>
  <w:style w:type="paragraph" w:customStyle="1" w:styleId="3241">
    <w:name w:val="表内文字小3133"/>
    <w:basedOn w:val="1"/>
    <w:qFormat/>
    <w:uiPriority w:val="0"/>
    <w:pPr>
      <w:adjustRightInd w:val="0"/>
      <w:snapToGrid w:val="0"/>
      <w:jc w:val="center"/>
    </w:pPr>
    <w:rPr>
      <w:rFonts w:ascii="宋体" w:hAnsi="Times" w:cs="宋体"/>
      <w:bCs/>
      <w:color w:val="003366"/>
      <w:szCs w:val="20"/>
    </w:rPr>
  </w:style>
  <w:style w:type="paragraph" w:customStyle="1" w:styleId="3242">
    <w:name w:val="表文字533"/>
    <w:basedOn w:val="1"/>
    <w:qFormat/>
    <w:uiPriority w:val="0"/>
    <w:pPr>
      <w:adjustRightInd w:val="0"/>
      <w:jc w:val="left"/>
      <w:textAlignment w:val="baseline"/>
    </w:pPr>
    <w:rPr>
      <w:rFonts w:ascii="宋体"/>
      <w:kern w:val="0"/>
      <w:szCs w:val="20"/>
    </w:rPr>
  </w:style>
  <w:style w:type="paragraph" w:customStyle="1" w:styleId="3243">
    <w:name w:val="正文213"/>
    <w:semiHidden/>
    <w:qFormat/>
    <w:uiPriority w:val="0"/>
    <w:pPr>
      <w:adjustRightInd w:val="0"/>
      <w:snapToGrid w:val="0"/>
      <w:spacing w:line="480" w:lineRule="atLeast"/>
      <w:jc w:val="center"/>
    </w:pPr>
    <w:rPr>
      <w:rFonts w:ascii="宋体" w:hAnsi="Times New Roman" w:eastAsia="宋体" w:cs="Times New Roman"/>
      <w:snapToGrid w:val="0"/>
      <w:spacing w:val="6"/>
      <w:sz w:val="21"/>
      <w:lang w:val="en-US" w:eastAsia="zh-CN" w:bidi="ar-SA"/>
    </w:rPr>
  </w:style>
  <w:style w:type="paragraph" w:customStyle="1" w:styleId="3244">
    <w:name w:val="Char Char Char Char Char Char Char26"/>
    <w:basedOn w:val="1"/>
    <w:qFormat/>
    <w:uiPriority w:val="0"/>
  </w:style>
  <w:style w:type="paragraph" w:customStyle="1" w:styleId="3245">
    <w:name w:val="表题3133"/>
    <w:basedOn w:val="37"/>
    <w:qFormat/>
    <w:uiPriority w:val="0"/>
    <w:pPr>
      <w:tabs>
        <w:tab w:val="left" w:pos="4305"/>
      </w:tabs>
      <w:adjustRightInd w:val="0"/>
      <w:snapToGrid w:val="0"/>
      <w:spacing w:after="0"/>
      <w:ind w:left="0" w:leftChars="0"/>
      <w:jc w:val="center"/>
    </w:pPr>
    <w:rPr>
      <w:rFonts w:ascii="宋体" w:hAnsi="宋体"/>
      <w:sz w:val="24"/>
      <w:szCs w:val="20"/>
    </w:rPr>
  </w:style>
  <w:style w:type="paragraph" w:customStyle="1" w:styleId="3246">
    <w:name w:val="表内文字小2133"/>
    <w:basedOn w:val="1"/>
    <w:qFormat/>
    <w:uiPriority w:val="0"/>
    <w:pPr>
      <w:adjustRightInd w:val="0"/>
      <w:snapToGrid w:val="0"/>
      <w:jc w:val="center"/>
      <w:textAlignment w:val="baseline"/>
    </w:pPr>
    <w:rPr>
      <w:rFonts w:ascii="宋体" w:hAnsi="Times"/>
      <w:bCs/>
      <w:color w:val="000000"/>
      <w:szCs w:val="20"/>
    </w:rPr>
  </w:style>
  <w:style w:type="paragraph" w:customStyle="1" w:styleId="3247">
    <w:name w:val="燕山正文33"/>
    <w:basedOn w:val="1"/>
    <w:qFormat/>
    <w:uiPriority w:val="0"/>
    <w:pPr>
      <w:tabs>
        <w:tab w:val="left" w:pos="4680"/>
      </w:tabs>
      <w:adjustRightInd w:val="0"/>
      <w:snapToGrid w:val="0"/>
      <w:spacing w:line="480" w:lineRule="exact"/>
    </w:pPr>
    <w:rPr>
      <w:rFonts w:ascii="宋体" w:cs="宋体"/>
      <w:sz w:val="24"/>
    </w:rPr>
  </w:style>
  <w:style w:type="paragraph" w:customStyle="1" w:styleId="3248">
    <w:name w:val="正文修改33"/>
    <w:basedOn w:val="2056"/>
    <w:qFormat/>
    <w:uiPriority w:val="0"/>
    <w:rPr>
      <w:rFonts w:hAnsi="宋体"/>
      <w:color w:val="000000"/>
    </w:rPr>
  </w:style>
  <w:style w:type="character" w:customStyle="1" w:styleId="3249">
    <w:name w:val="正文修改 Char133"/>
    <w:qFormat/>
    <w:uiPriority w:val="0"/>
    <w:rPr>
      <w:rFonts w:ascii="宋体" w:hAnsi="宋体" w:eastAsia="宋体" w:cs="宋体"/>
      <w:color w:val="000000"/>
      <w:sz w:val="24"/>
      <w:szCs w:val="24"/>
    </w:rPr>
  </w:style>
  <w:style w:type="character" w:customStyle="1" w:styleId="3250">
    <w:name w:val="表题1 Char43"/>
    <w:qFormat/>
    <w:uiPriority w:val="0"/>
    <w:rPr>
      <w:rFonts w:ascii="黑体" w:hAnsi="Arial" w:eastAsia="黑体" w:cs="Arial"/>
      <w:b/>
      <w:kern w:val="2"/>
      <w:sz w:val="24"/>
      <w:szCs w:val="24"/>
      <w:lang w:val="en-US" w:eastAsia="zh-CN" w:bidi="ar-SA"/>
    </w:rPr>
  </w:style>
  <w:style w:type="paragraph" w:customStyle="1" w:styleId="3251">
    <w:name w:val="黑体三号33"/>
    <w:basedOn w:val="223"/>
    <w:qFormat/>
    <w:uiPriority w:val="0"/>
    <w:pPr>
      <w:jc w:val="center"/>
    </w:pPr>
    <w:rPr>
      <w:rFonts w:ascii="黑体" w:hAnsi="宋体" w:eastAsia="黑体"/>
      <w:b/>
      <w:bCs/>
      <w:sz w:val="32"/>
      <w:szCs w:val="20"/>
    </w:rPr>
  </w:style>
  <w:style w:type="paragraph" w:customStyle="1" w:styleId="3252">
    <w:name w:val="默认段落字体 Para Char Char Char Char33"/>
    <w:basedOn w:val="1"/>
    <w:qFormat/>
    <w:uiPriority w:val="0"/>
  </w:style>
  <w:style w:type="paragraph" w:customStyle="1" w:styleId="3253">
    <w:name w:val="表内54133"/>
    <w:basedOn w:val="1"/>
    <w:qFormat/>
    <w:uiPriority w:val="0"/>
    <w:pPr>
      <w:adjustRightInd w:val="0"/>
      <w:snapToGrid w:val="0"/>
      <w:spacing w:line="300" w:lineRule="auto"/>
      <w:jc w:val="center"/>
    </w:pPr>
    <w:rPr>
      <w:rFonts w:ascii="宋体" w:hAnsi="宋体" w:cs="宋体"/>
      <w:szCs w:val="20"/>
    </w:rPr>
  </w:style>
  <w:style w:type="paragraph" w:customStyle="1" w:styleId="3254">
    <w:name w:val="标题44"/>
    <w:basedOn w:val="1"/>
    <w:qFormat/>
    <w:uiPriority w:val="0"/>
    <w:pPr>
      <w:adjustRightInd w:val="0"/>
      <w:snapToGrid w:val="0"/>
      <w:spacing w:line="300" w:lineRule="auto"/>
      <w:jc w:val="left"/>
    </w:pPr>
    <w:rPr>
      <w:rFonts w:ascii="黑体" w:eastAsia="黑体"/>
      <w:bCs/>
      <w:sz w:val="24"/>
    </w:rPr>
  </w:style>
  <w:style w:type="paragraph" w:customStyle="1" w:styleId="3255">
    <w:name w:val="Char63"/>
    <w:basedOn w:val="1"/>
    <w:qFormat/>
    <w:uiPriority w:val="0"/>
    <w:pPr>
      <w:adjustRightInd w:val="0"/>
      <w:snapToGrid w:val="0"/>
      <w:spacing w:beforeLines="50" w:line="360" w:lineRule="auto"/>
    </w:pPr>
    <w:rPr>
      <w:rFonts w:ascii="黑体" w:eastAsia="黑体"/>
      <w:sz w:val="32"/>
      <w:szCs w:val="32"/>
    </w:rPr>
  </w:style>
  <w:style w:type="paragraph" w:customStyle="1" w:styleId="3256">
    <w:name w:val="表内宋5中113"/>
    <w:basedOn w:val="1"/>
    <w:qFormat/>
    <w:uiPriority w:val="0"/>
    <w:pPr>
      <w:adjustRightInd w:val="0"/>
      <w:snapToGrid w:val="0"/>
      <w:jc w:val="center"/>
      <w:textAlignment w:val="baseline"/>
    </w:pPr>
    <w:rPr>
      <w:rFonts w:ascii="宋体" w:hAnsi="宋体" w:cs="宋体"/>
      <w:kern w:val="0"/>
      <w:szCs w:val="20"/>
    </w:rPr>
  </w:style>
  <w:style w:type="paragraph" w:customStyle="1" w:styleId="3257">
    <w:name w:val="标题4113"/>
    <w:basedOn w:val="1"/>
    <w:qFormat/>
    <w:uiPriority w:val="0"/>
    <w:pPr>
      <w:adjustRightInd w:val="0"/>
      <w:snapToGrid w:val="0"/>
      <w:spacing w:line="300" w:lineRule="auto"/>
      <w:jc w:val="left"/>
    </w:pPr>
    <w:rPr>
      <w:rFonts w:ascii="黑体" w:hAnsi="宋体" w:eastAsia="黑体" w:cs="宋体"/>
      <w:bCs/>
      <w:sz w:val="24"/>
      <w:szCs w:val="20"/>
    </w:rPr>
  </w:style>
  <w:style w:type="paragraph" w:customStyle="1" w:styleId="3258">
    <w:name w:val="默认段落字体 Para Char23"/>
    <w:basedOn w:val="1"/>
    <w:next w:val="1"/>
    <w:qFormat/>
    <w:uiPriority w:val="0"/>
    <w:pPr>
      <w:spacing w:line="480" w:lineRule="exact"/>
      <w:ind w:firstLine="200" w:firstLineChars="200"/>
      <w:jc w:val="left"/>
    </w:pPr>
    <w:rPr>
      <w:rFonts w:ascii="宋体" w:hAnsi="宋体" w:eastAsia="汉鼎简书宋" w:cs="宋体"/>
      <w:sz w:val="28"/>
    </w:rPr>
  </w:style>
  <w:style w:type="paragraph" w:customStyle="1" w:styleId="3259">
    <w:name w:val="表内5中5"/>
    <w:basedOn w:val="1"/>
    <w:qFormat/>
    <w:uiPriority w:val="0"/>
    <w:pPr>
      <w:adjustRightInd w:val="0"/>
      <w:snapToGrid w:val="0"/>
      <w:jc w:val="center"/>
    </w:pPr>
    <w:rPr>
      <w:rFonts w:ascii="宋体" w:hAnsi="宋体" w:cs="Arial"/>
      <w:snapToGrid w:val="0"/>
      <w:color w:val="000000"/>
      <w:szCs w:val="21"/>
    </w:rPr>
  </w:style>
  <w:style w:type="paragraph" w:customStyle="1" w:styleId="3260">
    <w:name w:val="正文格式63"/>
    <w:basedOn w:val="1"/>
    <w:qFormat/>
    <w:uiPriority w:val="0"/>
    <w:pPr>
      <w:spacing w:line="360" w:lineRule="auto"/>
      <w:ind w:firstLine="482"/>
    </w:pPr>
    <w:rPr>
      <w:rFonts w:ascii="宋体" w:hAnsi="宋体"/>
      <w:sz w:val="24"/>
    </w:rPr>
  </w:style>
  <w:style w:type="paragraph" w:customStyle="1" w:styleId="3261">
    <w:name w:val="正文格式＝53"/>
    <w:basedOn w:val="223"/>
    <w:next w:val="223"/>
    <w:qFormat/>
    <w:uiPriority w:val="0"/>
    <w:rPr>
      <w:rFonts w:hAnsi="宋体" w:cs="Times New Roman"/>
    </w:rPr>
  </w:style>
  <w:style w:type="paragraph" w:customStyle="1" w:styleId="3262">
    <w:name w:val="附件33"/>
    <w:basedOn w:val="4"/>
    <w:next w:val="223"/>
    <w:qFormat/>
    <w:uiPriority w:val="0"/>
    <w:pPr>
      <w:adjustRightInd w:val="0"/>
      <w:snapToGrid w:val="0"/>
      <w:spacing w:beforeLines="100" w:after="0" w:line="360" w:lineRule="auto"/>
    </w:pPr>
    <w:rPr>
      <w:rFonts w:ascii="黑体" w:hAnsi="宋体" w:eastAsia="黑体"/>
      <w:sz w:val="32"/>
      <w:szCs w:val="32"/>
    </w:rPr>
  </w:style>
  <w:style w:type="paragraph" w:customStyle="1" w:styleId="3263">
    <w:name w:val="图题63"/>
    <w:basedOn w:val="223"/>
    <w:next w:val="223"/>
    <w:qFormat/>
    <w:uiPriority w:val="0"/>
    <w:pPr>
      <w:ind w:firstLine="0"/>
      <w:jc w:val="center"/>
    </w:pPr>
    <w:rPr>
      <w:rFonts w:ascii="黑体" w:hAnsi="宋体" w:eastAsia="黑体"/>
      <w:b/>
      <w:bCs/>
    </w:rPr>
  </w:style>
  <w:style w:type="character" w:customStyle="1" w:styleId="3264">
    <w:name w:val="图题 Char3"/>
    <w:qFormat/>
    <w:uiPriority w:val="0"/>
    <w:rPr>
      <w:rFonts w:ascii="黑体" w:hAnsi="宋体" w:eastAsia="黑体" w:cs="宋体"/>
      <w:b/>
      <w:bCs/>
      <w:kern w:val="2"/>
      <w:sz w:val="24"/>
      <w:szCs w:val="24"/>
      <w:lang w:val="en-US" w:eastAsia="zh-CN" w:bidi="ar-SA"/>
    </w:rPr>
  </w:style>
  <w:style w:type="paragraph" w:customStyle="1" w:styleId="3265">
    <w:name w:val="表格内字体63"/>
    <w:basedOn w:val="223"/>
    <w:next w:val="223"/>
    <w:qFormat/>
    <w:uiPriority w:val="0"/>
    <w:pPr>
      <w:spacing w:line="240" w:lineRule="auto"/>
      <w:ind w:firstLine="0"/>
      <w:jc w:val="center"/>
    </w:pPr>
    <w:rPr>
      <w:rFonts w:hAnsi="宋体" w:cs="Times New Roman"/>
      <w:sz w:val="21"/>
    </w:rPr>
  </w:style>
  <w:style w:type="paragraph" w:customStyle="1" w:styleId="3266">
    <w:name w:val="黑体三号43"/>
    <w:basedOn w:val="223"/>
    <w:qFormat/>
    <w:uiPriority w:val="0"/>
    <w:pPr>
      <w:jc w:val="center"/>
    </w:pPr>
    <w:rPr>
      <w:rFonts w:ascii="黑体" w:hAnsi="宋体" w:eastAsia="黑体"/>
      <w:b/>
      <w:bCs/>
      <w:sz w:val="32"/>
      <w:szCs w:val="20"/>
    </w:rPr>
  </w:style>
  <w:style w:type="paragraph" w:customStyle="1" w:styleId="3267">
    <w:name w:val="默认段落字体 Para Char Char Char Char43"/>
    <w:basedOn w:val="1"/>
    <w:qFormat/>
    <w:uiPriority w:val="0"/>
  </w:style>
  <w:style w:type="paragraph" w:customStyle="1" w:styleId="3268">
    <w:name w:val="图表题3"/>
    <w:basedOn w:val="223"/>
    <w:next w:val="223"/>
    <w:qFormat/>
    <w:uiPriority w:val="0"/>
    <w:pPr>
      <w:ind w:firstLine="0"/>
      <w:jc w:val="center"/>
    </w:pPr>
    <w:rPr>
      <w:rFonts w:ascii="黑体" w:hAnsi="宋体" w:eastAsia="黑体"/>
      <w:b/>
      <w:bCs/>
    </w:rPr>
  </w:style>
  <w:style w:type="character" w:customStyle="1" w:styleId="3269">
    <w:name w:val="图表题 Char3"/>
    <w:qFormat/>
    <w:uiPriority w:val="0"/>
    <w:rPr>
      <w:rFonts w:ascii="黑体" w:eastAsia="黑体" w:cs="宋体"/>
      <w:b/>
      <w:bCs/>
      <w:kern w:val="2"/>
      <w:sz w:val="24"/>
      <w:szCs w:val="24"/>
      <w:lang w:val="en-US" w:eastAsia="zh-CN" w:bidi="ar-SA"/>
    </w:rPr>
  </w:style>
  <w:style w:type="paragraph" w:customStyle="1" w:styleId="3270">
    <w:name w:val="样式 表格内字体 +3"/>
    <w:basedOn w:val="2053"/>
    <w:qFormat/>
    <w:uiPriority w:val="0"/>
    <w:pPr>
      <w:spacing w:line="280" w:lineRule="exact"/>
      <w:ind w:firstLine="36"/>
      <w:jc w:val="both"/>
    </w:pPr>
    <w:rPr>
      <w:kern w:val="0"/>
    </w:rPr>
  </w:style>
  <w:style w:type="character" w:customStyle="1" w:styleId="3271">
    <w:name w:val="样式 表格内字体 + Char3"/>
    <w:qFormat/>
    <w:uiPriority w:val="0"/>
    <w:rPr>
      <w:rFonts w:ascii="宋体" w:hAnsi="宋体" w:eastAsia="宋体" w:cs="Times New Roman"/>
      <w:kern w:val="0"/>
      <w:szCs w:val="24"/>
    </w:rPr>
  </w:style>
  <w:style w:type="paragraph" w:customStyle="1" w:styleId="3272">
    <w:name w:val="A正文3"/>
    <w:basedOn w:val="1"/>
    <w:qFormat/>
    <w:uiPriority w:val="0"/>
    <w:pPr>
      <w:widowControl/>
      <w:overflowPunct w:val="0"/>
      <w:autoSpaceDE w:val="0"/>
      <w:autoSpaceDN w:val="0"/>
      <w:adjustRightInd w:val="0"/>
      <w:spacing w:line="360" w:lineRule="auto"/>
      <w:ind w:firstLine="200" w:firstLineChars="200"/>
      <w:jc w:val="left"/>
      <w:textAlignment w:val="baseline"/>
    </w:pPr>
    <w:rPr>
      <w:rFonts w:eastAsia="仿宋_GB2312"/>
      <w:kern w:val="0"/>
      <w:sz w:val="24"/>
    </w:rPr>
  </w:style>
  <w:style w:type="character" w:customStyle="1" w:styleId="3273">
    <w:name w:val="A正文 Char3"/>
    <w:qFormat/>
    <w:uiPriority w:val="0"/>
    <w:rPr>
      <w:rFonts w:ascii="Times New Roman" w:hAnsi="Times New Roman" w:eastAsia="仿宋_GB2312" w:cs="Times New Roman"/>
      <w:kern w:val="0"/>
      <w:sz w:val="24"/>
      <w:szCs w:val="24"/>
      <w:lang w:val="en-US" w:eastAsia="zh-CN" w:bidi="ar-SA"/>
    </w:rPr>
  </w:style>
  <w:style w:type="paragraph" w:customStyle="1" w:styleId="3274">
    <w:name w:val="图题注3"/>
    <w:basedOn w:val="23"/>
    <w:qFormat/>
    <w:uiPriority w:val="0"/>
    <w:pPr>
      <w:tabs>
        <w:tab w:val="clear" w:pos="7380"/>
      </w:tabs>
      <w:overflowPunct/>
      <w:spacing w:before="0" w:afterLines="0"/>
      <w:jc w:val="center"/>
    </w:pPr>
    <w:rPr>
      <w:rFonts w:ascii="黑体" w:cs="宋体"/>
      <w:b/>
      <w:bCs/>
      <w:sz w:val="24"/>
      <w:szCs w:val="24"/>
    </w:rPr>
  </w:style>
  <w:style w:type="character" w:customStyle="1" w:styleId="3275">
    <w:name w:val="图题注 Char3"/>
    <w:qFormat/>
    <w:uiPriority w:val="0"/>
    <w:rPr>
      <w:rFonts w:ascii="黑体" w:hAnsi="Arial" w:eastAsia="黑体" w:cs="宋体"/>
      <w:b/>
      <w:bCs/>
      <w:kern w:val="2"/>
      <w:sz w:val="24"/>
      <w:szCs w:val="24"/>
      <w:lang w:val="en-US" w:eastAsia="zh-CN" w:bidi="ar-SA"/>
    </w:rPr>
  </w:style>
  <w:style w:type="paragraph" w:customStyle="1" w:styleId="3276">
    <w:name w:val="Char73"/>
    <w:basedOn w:val="1"/>
    <w:qFormat/>
    <w:uiPriority w:val="0"/>
    <w:pPr>
      <w:ind w:left="-48"/>
    </w:pPr>
  </w:style>
  <w:style w:type="paragraph" w:customStyle="1" w:styleId="3277">
    <w:name w:val="表格内字体113"/>
    <w:basedOn w:val="223"/>
    <w:qFormat/>
    <w:uiPriority w:val="0"/>
    <w:pPr>
      <w:spacing w:line="240" w:lineRule="auto"/>
      <w:ind w:firstLine="0"/>
      <w:jc w:val="center"/>
    </w:pPr>
    <w:rPr>
      <w:sz w:val="21"/>
      <w:szCs w:val="20"/>
    </w:rPr>
  </w:style>
  <w:style w:type="paragraph" w:customStyle="1" w:styleId="3278">
    <w:name w:val="样式 正文缩进 + 宋体 黑色 首行缩进:  2 字符3"/>
    <w:basedOn w:val="22"/>
    <w:qFormat/>
    <w:uiPriority w:val="0"/>
    <w:pPr>
      <w:spacing w:line="360" w:lineRule="auto"/>
      <w:ind w:firstLine="480"/>
      <w:jc w:val="left"/>
    </w:pPr>
    <w:rPr>
      <w:rFonts w:ascii="宋体" w:hAnsi="宋体" w:cs="宋体"/>
      <w:color w:val="FF00FF"/>
      <w:sz w:val="24"/>
      <w:szCs w:val="20"/>
    </w:rPr>
  </w:style>
  <w:style w:type="paragraph" w:customStyle="1" w:styleId="3279">
    <w:name w:val="环评正文3"/>
    <w:qFormat/>
    <w:uiPriority w:val="0"/>
    <w:pPr>
      <w:spacing w:line="440" w:lineRule="exact"/>
      <w:ind w:firstLine="200" w:firstLineChars="200"/>
    </w:pPr>
    <w:rPr>
      <w:rFonts w:ascii="Times New Roman" w:hAnsi="Times New Roman" w:eastAsia="宋体" w:cs="Times New Roman"/>
      <w:bCs/>
      <w:kern w:val="2"/>
      <w:sz w:val="24"/>
      <w:szCs w:val="24"/>
      <w:lang w:val="en-US" w:eastAsia="zh-CN" w:bidi="ar-SA"/>
    </w:rPr>
  </w:style>
  <w:style w:type="character" w:customStyle="1" w:styleId="3280">
    <w:name w:val="环评正文 Char3"/>
    <w:qFormat/>
    <w:uiPriority w:val="0"/>
    <w:rPr>
      <w:rFonts w:ascii="Times New Roman" w:hAnsi="Times New Roman" w:eastAsia="宋体" w:cs="Times New Roman"/>
      <w:bCs/>
      <w:kern w:val="2"/>
      <w:sz w:val="24"/>
      <w:szCs w:val="24"/>
      <w:lang w:val="en-US" w:eastAsia="zh-CN" w:bidi="ar-SA"/>
    </w:rPr>
  </w:style>
  <w:style w:type="paragraph" w:customStyle="1" w:styleId="3281">
    <w:name w:val="注释3"/>
    <w:basedOn w:val="223"/>
    <w:next w:val="35"/>
    <w:qFormat/>
    <w:uiPriority w:val="0"/>
    <w:pPr>
      <w:spacing w:before="120" w:after="120" w:line="240" w:lineRule="auto"/>
      <w:ind w:firstLine="200" w:firstLineChars="200"/>
    </w:pPr>
    <w:rPr>
      <w:sz w:val="21"/>
      <w:szCs w:val="20"/>
    </w:rPr>
  </w:style>
  <w:style w:type="paragraph" w:customStyle="1" w:styleId="3282">
    <w:name w:val="样式43"/>
    <w:basedOn w:val="35"/>
    <w:qFormat/>
    <w:uiPriority w:val="0"/>
    <w:pPr>
      <w:tabs>
        <w:tab w:val="left" w:pos="1820"/>
      </w:tabs>
      <w:snapToGrid w:val="0"/>
      <w:spacing w:after="0" w:line="240" w:lineRule="atLeast"/>
      <w:jc w:val="center"/>
    </w:pPr>
    <w:rPr>
      <w:rFonts w:eastAsia="幼圆"/>
      <w:kern w:val="0"/>
      <w:szCs w:val="20"/>
    </w:rPr>
  </w:style>
  <w:style w:type="paragraph" w:customStyle="1" w:styleId="3283">
    <w:name w:val="标题414"/>
    <w:basedOn w:val="7"/>
    <w:next w:val="1"/>
    <w:qFormat/>
    <w:uiPriority w:val="0"/>
    <w:pPr>
      <w:spacing w:before="160" w:after="170" w:line="360" w:lineRule="auto"/>
    </w:pPr>
    <w:rPr>
      <w:rFonts w:ascii="黑体" w:eastAsia="黑体"/>
      <w:b/>
      <w:sz w:val="24"/>
      <w:lang w:val="zh-CN"/>
    </w:rPr>
  </w:style>
  <w:style w:type="character" w:customStyle="1" w:styleId="3284">
    <w:name w:val="标题4 Char3"/>
    <w:qFormat/>
    <w:uiPriority w:val="0"/>
    <w:rPr>
      <w:rFonts w:ascii="黑体" w:hAnsi="Arial" w:eastAsia="黑体" w:cs="Times New Roman"/>
      <w:b/>
      <w:bCs/>
      <w:kern w:val="2"/>
      <w:sz w:val="24"/>
      <w:szCs w:val="28"/>
      <w:lang w:val="en-US" w:eastAsia="zh-CN" w:bidi="ar-SA"/>
    </w:rPr>
  </w:style>
  <w:style w:type="paragraph" w:customStyle="1" w:styleId="3285">
    <w:name w:val="表中文字43"/>
    <w:basedOn w:val="1"/>
    <w:qFormat/>
    <w:uiPriority w:val="0"/>
    <w:pPr>
      <w:snapToGrid w:val="0"/>
      <w:spacing w:line="340" w:lineRule="exact"/>
      <w:ind w:firstLine="480" w:firstLineChars="200"/>
      <w:jc w:val="center"/>
    </w:pPr>
    <w:rPr>
      <w:rFonts w:ascii="Arial" w:hAnsi="Arial"/>
      <w:kern w:val="0"/>
      <w:sz w:val="20"/>
      <w:lang w:eastAsia="zh-TW"/>
    </w:rPr>
  </w:style>
  <w:style w:type="character" w:customStyle="1" w:styleId="3286">
    <w:name w:val="表中文字 Char4"/>
    <w:qFormat/>
    <w:uiPriority w:val="0"/>
    <w:rPr>
      <w:rFonts w:ascii="Arial" w:hAnsi="Arial" w:eastAsia="宋体" w:cs="Times New Roman"/>
      <w:kern w:val="0"/>
      <w:sz w:val="20"/>
      <w:szCs w:val="24"/>
      <w:lang w:val="en-US" w:eastAsia="zh-TW" w:bidi="ar-SA"/>
    </w:rPr>
  </w:style>
  <w:style w:type="paragraph" w:customStyle="1" w:styleId="3287">
    <w:name w:val="样式 正文缩进 + 宋体 黑色3"/>
    <w:basedOn w:val="22"/>
    <w:qFormat/>
    <w:uiPriority w:val="0"/>
    <w:pPr>
      <w:spacing w:line="360" w:lineRule="auto"/>
      <w:ind w:firstLine="200"/>
      <w:jc w:val="left"/>
    </w:pPr>
    <w:rPr>
      <w:rFonts w:ascii="宋体" w:hAnsi="宋体"/>
      <w:color w:val="000000"/>
      <w:sz w:val="24"/>
    </w:rPr>
  </w:style>
  <w:style w:type="character" w:customStyle="1" w:styleId="3288">
    <w:name w:val="样式 正文缩进 + 宋体 黑色 Char3"/>
    <w:qFormat/>
    <w:uiPriority w:val="0"/>
    <w:rPr>
      <w:rFonts w:ascii="宋体" w:hAnsi="宋体" w:eastAsia="宋体" w:cs="Times New Roman"/>
      <w:color w:val="000000"/>
      <w:kern w:val="2"/>
      <w:sz w:val="24"/>
      <w:szCs w:val="24"/>
      <w:lang w:val="en-US" w:eastAsia="zh-CN" w:bidi="ar-SA"/>
    </w:rPr>
  </w:style>
  <w:style w:type="paragraph" w:customStyle="1" w:styleId="3289">
    <w:name w:val="表内513"/>
    <w:basedOn w:val="1"/>
    <w:qFormat/>
    <w:uiPriority w:val="0"/>
    <w:pPr>
      <w:adjustRightInd w:val="0"/>
      <w:snapToGrid w:val="0"/>
      <w:jc w:val="center"/>
    </w:pPr>
    <w:rPr>
      <w:rFonts w:ascii="宋体" w:hAnsi="宋体"/>
      <w:szCs w:val="21"/>
    </w:rPr>
  </w:style>
  <w:style w:type="character" w:customStyle="1" w:styleId="3290">
    <w:name w:val="表内5 Char4"/>
    <w:qFormat/>
    <w:uiPriority w:val="0"/>
    <w:rPr>
      <w:rFonts w:ascii="宋体" w:hAnsi="宋体" w:eastAsia="宋体" w:cs="Times New Roman"/>
      <w:kern w:val="2"/>
      <w:sz w:val="24"/>
      <w:szCs w:val="21"/>
      <w:lang w:val="en-US" w:eastAsia="zh-CN" w:bidi="ar-SA"/>
    </w:rPr>
  </w:style>
  <w:style w:type="paragraph" w:customStyle="1" w:styleId="3291">
    <w:name w:val="样式 样式 宋体 + 首行缩进:  2 字符13"/>
    <w:basedOn w:val="1"/>
    <w:qFormat/>
    <w:uiPriority w:val="0"/>
    <w:pPr>
      <w:spacing w:line="360" w:lineRule="auto"/>
      <w:ind w:firstLine="480" w:firstLineChars="200"/>
      <w:jc w:val="left"/>
    </w:pPr>
    <w:rPr>
      <w:rFonts w:ascii="宋体" w:cs="宋体"/>
      <w:sz w:val="24"/>
    </w:rPr>
  </w:style>
  <w:style w:type="paragraph" w:customStyle="1" w:styleId="3292">
    <w:name w:val="表内宋5中23"/>
    <w:basedOn w:val="1"/>
    <w:qFormat/>
    <w:uiPriority w:val="0"/>
    <w:pPr>
      <w:adjustRightInd w:val="0"/>
      <w:snapToGrid w:val="0"/>
      <w:jc w:val="center"/>
      <w:textAlignment w:val="baseline"/>
    </w:pPr>
    <w:rPr>
      <w:rFonts w:ascii="宋体" w:hAnsi="宋体"/>
      <w:kern w:val="0"/>
      <w:szCs w:val="20"/>
    </w:rPr>
  </w:style>
  <w:style w:type="paragraph" w:customStyle="1" w:styleId="3293">
    <w:name w:val="xl633"/>
    <w:basedOn w:val="1"/>
    <w:qFormat/>
    <w:uiPriority w:val="0"/>
    <w:pPr>
      <w:widowControl/>
      <w:spacing w:before="100" w:beforeAutospacing="1" w:after="100" w:afterAutospacing="1"/>
      <w:jc w:val="center"/>
      <w:textAlignment w:val="center"/>
    </w:pPr>
    <w:rPr>
      <w:rFonts w:hint="eastAsia" w:ascii="黑体" w:hAnsi="宋体" w:eastAsia="黑体"/>
      <w:kern w:val="0"/>
      <w:sz w:val="24"/>
    </w:rPr>
  </w:style>
  <w:style w:type="paragraph" w:customStyle="1" w:styleId="3294">
    <w:name w:val="标准3"/>
    <w:basedOn w:val="1"/>
    <w:qFormat/>
    <w:uiPriority w:val="0"/>
    <w:pPr>
      <w:adjustRightInd w:val="0"/>
      <w:spacing w:before="120" w:line="336" w:lineRule="auto"/>
      <w:jc w:val="center"/>
      <w:textAlignment w:val="baseline"/>
    </w:pPr>
    <w:rPr>
      <w:rFonts w:ascii="黑体" w:eastAsia="黑体"/>
      <w:szCs w:val="20"/>
    </w:rPr>
  </w:style>
  <w:style w:type="paragraph" w:customStyle="1" w:styleId="3295">
    <w:name w:val="Fax Header3"/>
    <w:basedOn w:val="1"/>
    <w:qFormat/>
    <w:uiPriority w:val="0"/>
    <w:pPr>
      <w:widowControl/>
      <w:spacing w:before="240" w:after="60"/>
      <w:jc w:val="left"/>
    </w:pPr>
    <w:rPr>
      <w:kern w:val="0"/>
      <w:sz w:val="20"/>
      <w:szCs w:val="20"/>
    </w:rPr>
  </w:style>
  <w:style w:type="paragraph" w:customStyle="1" w:styleId="3296">
    <w:name w:val="样式 表格内字体1 +3"/>
    <w:basedOn w:val="2142"/>
    <w:next w:val="2053"/>
    <w:qFormat/>
    <w:uiPriority w:val="0"/>
    <w:rPr>
      <w:rFonts w:hAnsi="Times New Roman" w:cs="宋体"/>
      <w:szCs w:val="20"/>
    </w:rPr>
  </w:style>
  <w:style w:type="paragraph" w:customStyle="1" w:styleId="3297">
    <w:name w:val="默认段落字体 Para Char33"/>
    <w:basedOn w:val="1"/>
    <w:qFormat/>
    <w:uiPriority w:val="0"/>
    <w:pPr>
      <w:spacing w:line="360" w:lineRule="auto"/>
      <w:ind w:firstLine="200" w:firstLineChars="200"/>
    </w:pPr>
    <w:rPr>
      <w:rFonts w:ascii="宋体" w:hAnsi="宋体" w:cs="宋体"/>
      <w:sz w:val="24"/>
    </w:rPr>
  </w:style>
  <w:style w:type="paragraph" w:customStyle="1" w:styleId="3298">
    <w:name w:val="正文斜体3"/>
    <w:basedOn w:val="223"/>
    <w:next w:val="223"/>
    <w:qFormat/>
    <w:uiPriority w:val="0"/>
    <w:rPr>
      <w:rFonts w:hAnsi="宋体" w:cs="Times New Roman"/>
      <w:i/>
      <w:iCs/>
    </w:rPr>
  </w:style>
  <w:style w:type="character" w:customStyle="1" w:styleId="3299">
    <w:name w:val="正文斜体 Char3"/>
    <w:qFormat/>
    <w:uiPriority w:val="0"/>
    <w:rPr>
      <w:rFonts w:ascii="宋体" w:eastAsia="宋体" w:cs="Times New Roman"/>
      <w:i/>
      <w:iCs/>
      <w:kern w:val="2"/>
      <w:sz w:val="24"/>
      <w:szCs w:val="24"/>
      <w:lang w:val="en-US" w:eastAsia="zh-CN" w:bidi="ar-SA"/>
    </w:rPr>
  </w:style>
  <w:style w:type="paragraph" w:customStyle="1" w:styleId="3300">
    <w:name w:val="Char Char2 Char Char Char Char13"/>
    <w:basedOn w:val="1"/>
    <w:qFormat/>
    <w:uiPriority w:val="0"/>
  </w:style>
  <w:style w:type="paragraph" w:customStyle="1" w:styleId="3301">
    <w:name w:val="Char83"/>
    <w:basedOn w:val="1"/>
    <w:qFormat/>
    <w:uiPriority w:val="0"/>
    <w:pPr>
      <w:ind w:left="-48"/>
    </w:pPr>
  </w:style>
  <w:style w:type="character" w:customStyle="1" w:styleId="3302">
    <w:name w:val="题注 Char53"/>
    <w:qFormat/>
    <w:uiPriority w:val="0"/>
    <w:rPr>
      <w:rFonts w:ascii="黑体" w:hAnsi="Arial" w:eastAsia="黑体" w:cs="Arial"/>
      <w:b/>
      <w:kern w:val="2"/>
      <w:sz w:val="24"/>
      <w:szCs w:val="24"/>
      <w:lang w:val="en-US" w:eastAsia="zh-CN" w:bidi="ar-SA"/>
    </w:rPr>
  </w:style>
  <w:style w:type="paragraph" w:customStyle="1" w:styleId="3303">
    <w:name w:val="图题73"/>
    <w:basedOn w:val="223"/>
    <w:next w:val="223"/>
    <w:qFormat/>
    <w:uiPriority w:val="0"/>
    <w:pPr>
      <w:ind w:firstLine="0"/>
      <w:jc w:val="center"/>
    </w:pPr>
    <w:rPr>
      <w:rFonts w:ascii="黑体" w:hAnsi="宋体" w:eastAsia="黑体"/>
      <w:b/>
      <w:bCs/>
    </w:rPr>
  </w:style>
  <w:style w:type="paragraph" w:customStyle="1" w:styleId="3304">
    <w:name w:val="表格内字体73"/>
    <w:basedOn w:val="223"/>
    <w:next w:val="223"/>
    <w:qFormat/>
    <w:uiPriority w:val="0"/>
    <w:pPr>
      <w:spacing w:line="240" w:lineRule="auto"/>
      <w:ind w:firstLine="0"/>
      <w:jc w:val="center"/>
    </w:pPr>
    <w:rPr>
      <w:rFonts w:hAnsi="宋体" w:cs="Times New Roman"/>
      <w:sz w:val="21"/>
    </w:rPr>
  </w:style>
  <w:style w:type="paragraph" w:customStyle="1" w:styleId="3305">
    <w:name w:val="Char93"/>
    <w:basedOn w:val="1"/>
    <w:qFormat/>
    <w:uiPriority w:val="0"/>
    <w:pPr>
      <w:ind w:left="-48"/>
    </w:pPr>
  </w:style>
  <w:style w:type="paragraph" w:customStyle="1" w:styleId="3306">
    <w:name w:val="正文格式＝63"/>
    <w:basedOn w:val="223"/>
    <w:next w:val="223"/>
    <w:semiHidden/>
    <w:qFormat/>
    <w:uiPriority w:val="0"/>
    <w:rPr>
      <w:rFonts w:hAnsi="宋体" w:cs="Times New Roman"/>
    </w:rPr>
  </w:style>
  <w:style w:type="paragraph" w:customStyle="1" w:styleId="3307">
    <w:name w:val="表题153"/>
    <w:basedOn w:val="23"/>
    <w:qFormat/>
    <w:uiPriority w:val="0"/>
    <w:pPr>
      <w:tabs>
        <w:tab w:val="clear" w:pos="7380"/>
      </w:tabs>
      <w:overflowPunct/>
      <w:spacing w:before="0" w:afterLines="0" w:line="360" w:lineRule="auto"/>
      <w:jc w:val="center"/>
    </w:pPr>
    <w:rPr>
      <w:rFonts w:ascii="黑体" w:cs="Times New Roman"/>
      <w:b/>
      <w:sz w:val="24"/>
      <w:szCs w:val="24"/>
    </w:rPr>
  </w:style>
  <w:style w:type="character" w:customStyle="1" w:styleId="3308">
    <w:name w:val="表题1 Char63"/>
    <w:qFormat/>
    <w:uiPriority w:val="0"/>
    <w:rPr>
      <w:rFonts w:ascii="黑体" w:hAnsi="Arial" w:eastAsia="黑体" w:cs="Arial"/>
      <w:b/>
      <w:kern w:val="2"/>
      <w:sz w:val="24"/>
      <w:szCs w:val="24"/>
      <w:lang w:val="en-US" w:eastAsia="zh-CN" w:bidi="ar-SA"/>
    </w:rPr>
  </w:style>
  <w:style w:type="paragraph" w:customStyle="1" w:styleId="3309">
    <w:name w:val="燕山正文43"/>
    <w:basedOn w:val="1"/>
    <w:qFormat/>
    <w:uiPriority w:val="0"/>
    <w:pPr>
      <w:tabs>
        <w:tab w:val="left" w:pos="4680"/>
      </w:tabs>
      <w:adjustRightInd w:val="0"/>
      <w:snapToGrid w:val="0"/>
      <w:spacing w:line="480" w:lineRule="exact"/>
    </w:pPr>
    <w:rPr>
      <w:rFonts w:ascii="宋体" w:cs="宋体"/>
      <w:sz w:val="24"/>
    </w:rPr>
  </w:style>
  <w:style w:type="paragraph" w:customStyle="1" w:styleId="3310">
    <w:name w:val="正文修改43"/>
    <w:basedOn w:val="2056"/>
    <w:qFormat/>
    <w:uiPriority w:val="0"/>
    <w:rPr>
      <w:rFonts w:hAnsi="宋体"/>
      <w:color w:val="000000"/>
    </w:rPr>
  </w:style>
  <w:style w:type="character" w:customStyle="1" w:styleId="3311">
    <w:name w:val="正文修改 Char143"/>
    <w:qFormat/>
    <w:uiPriority w:val="0"/>
  </w:style>
  <w:style w:type="paragraph" w:customStyle="1" w:styleId="3312">
    <w:name w:val="表中文字53"/>
    <w:basedOn w:val="1"/>
    <w:qFormat/>
    <w:uiPriority w:val="0"/>
    <w:pPr>
      <w:widowControl/>
      <w:spacing w:line="240" w:lineRule="atLeast"/>
      <w:ind w:left="-24" w:leftChars="-10" w:right="-48" w:rightChars="-20"/>
      <w:jc w:val="center"/>
    </w:pPr>
    <w:rPr>
      <w:rFonts w:ascii="宋体"/>
      <w:kern w:val="0"/>
      <w:szCs w:val="21"/>
    </w:rPr>
  </w:style>
  <w:style w:type="paragraph" w:customStyle="1" w:styleId="3313">
    <w:name w:val="默认段落字体 Para Char Char Char Char53"/>
    <w:basedOn w:val="1"/>
    <w:qFormat/>
    <w:uiPriority w:val="0"/>
  </w:style>
  <w:style w:type="paragraph" w:customStyle="1" w:styleId="3314">
    <w:name w:val="Char103"/>
    <w:basedOn w:val="1"/>
    <w:qFormat/>
    <w:uiPriority w:val="0"/>
    <w:pPr>
      <w:adjustRightInd w:val="0"/>
      <w:snapToGrid w:val="0"/>
      <w:spacing w:line="360" w:lineRule="auto"/>
    </w:pPr>
  </w:style>
  <w:style w:type="paragraph" w:customStyle="1" w:styleId="3315">
    <w:name w:val="封面标准文稿编辑信息3"/>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3316">
    <w:name w:val="样式 表内小5 + 黑体 加粗 倾斜 下划线3"/>
    <w:basedOn w:val="1"/>
    <w:qFormat/>
    <w:uiPriority w:val="0"/>
    <w:pPr>
      <w:adjustRightInd w:val="0"/>
      <w:snapToGrid w:val="0"/>
      <w:spacing w:line="300" w:lineRule="auto"/>
      <w:jc w:val="left"/>
    </w:pPr>
    <w:rPr>
      <w:rFonts w:ascii="黑体" w:hAnsi="黑体" w:eastAsia="黑体"/>
      <w:b/>
      <w:bCs/>
      <w:i/>
      <w:iCs/>
      <w:sz w:val="18"/>
      <w:u w:val="single"/>
    </w:rPr>
  </w:style>
  <w:style w:type="character" w:customStyle="1" w:styleId="3317">
    <w:name w:val="样式 表内小5 + 黑体 加粗 倾斜 下划线 Char3"/>
    <w:qFormat/>
    <w:uiPriority w:val="0"/>
    <w:rPr>
      <w:rFonts w:ascii="黑体" w:hAnsi="黑体" w:eastAsia="黑体" w:cs="Times New Roman"/>
      <w:b/>
      <w:bCs/>
      <w:i/>
      <w:iCs/>
      <w:kern w:val="2"/>
      <w:sz w:val="18"/>
      <w:szCs w:val="24"/>
      <w:u w:val="single"/>
      <w:lang w:val="en-US" w:eastAsia="zh-CN" w:bidi="ar-SA"/>
    </w:rPr>
  </w:style>
  <w:style w:type="paragraph" w:customStyle="1" w:styleId="3318">
    <w:name w:val="表内5中13"/>
    <w:basedOn w:val="1"/>
    <w:qFormat/>
    <w:uiPriority w:val="0"/>
    <w:pPr>
      <w:adjustRightInd w:val="0"/>
      <w:snapToGrid w:val="0"/>
      <w:jc w:val="center"/>
    </w:pPr>
    <w:rPr>
      <w:rFonts w:ascii="宋体" w:hAnsi="宋体" w:cs="Arial"/>
      <w:snapToGrid w:val="0"/>
      <w:color w:val="000000"/>
      <w:szCs w:val="21"/>
    </w:rPr>
  </w:style>
  <w:style w:type="paragraph" w:customStyle="1" w:styleId="3319">
    <w:name w:val="表内54143"/>
    <w:basedOn w:val="1"/>
    <w:qFormat/>
    <w:uiPriority w:val="0"/>
    <w:pPr>
      <w:adjustRightInd w:val="0"/>
      <w:snapToGrid w:val="0"/>
      <w:spacing w:line="300" w:lineRule="auto"/>
      <w:jc w:val="center"/>
    </w:pPr>
    <w:rPr>
      <w:rFonts w:ascii="宋体" w:hAnsi="宋体" w:cs="宋体"/>
      <w:szCs w:val="20"/>
    </w:rPr>
  </w:style>
  <w:style w:type="paragraph" w:customStyle="1" w:styleId="3320">
    <w:name w:val="表格13"/>
    <w:basedOn w:val="1"/>
    <w:qFormat/>
    <w:uiPriority w:val="0"/>
    <w:pPr>
      <w:adjustRightInd w:val="0"/>
      <w:jc w:val="center"/>
      <w:textAlignment w:val="baseline"/>
    </w:pPr>
    <w:rPr>
      <w:rFonts w:ascii="宋体"/>
      <w:kern w:val="0"/>
      <w:sz w:val="24"/>
      <w:szCs w:val="20"/>
    </w:rPr>
  </w:style>
  <w:style w:type="paragraph" w:customStyle="1" w:styleId="3321">
    <w:name w:val="c3"/>
    <w:qFormat/>
    <w:uiPriority w:val="0"/>
    <w:pPr>
      <w:widowControl w:val="0"/>
      <w:autoSpaceDE w:val="0"/>
      <w:autoSpaceDN w:val="0"/>
      <w:adjustRightInd w:val="0"/>
      <w:jc w:val="both"/>
    </w:pPr>
    <w:rPr>
      <w:rFonts w:ascii="Arial" w:hAnsi="Arial" w:eastAsia="宋体" w:cs="Times New Roman"/>
      <w:sz w:val="24"/>
      <w:lang w:val="en-US" w:eastAsia="zh-CN" w:bidi="ar-SA"/>
    </w:rPr>
  </w:style>
  <w:style w:type="paragraph" w:customStyle="1" w:styleId="3322">
    <w:name w:val="表题93"/>
    <w:basedOn w:val="47"/>
    <w:qFormat/>
    <w:uiPriority w:val="0"/>
    <w:pPr>
      <w:adjustRightInd w:val="0"/>
      <w:snapToGrid w:val="0"/>
      <w:spacing w:line="300" w:lineRule="auto"/>
      <w:jc w:val="center"/>
    </w:pPr>
    <w:rPr>
      <w:rFonts w:ascii="黑体" w:eastAsia="黑体" w:cs="Times New Roman"/>
      <w:sz w:val="24"/>
      <w:szCs w:val="20"/>
    </w:rPr>
  </w:style>
  <w:style w:type="paragraph" w:customStyle="1" w:styleId="3323">
    <w:name w:val="福建正文缩进3"/>
    <w:basedOn w:val="22"/>
    <w:qFormat/>
    <w:uiPriority w:val="0"/>
    <w:pPr>
      <w:widowControl/>
      <w:tabs>
        <w:tab w:val="left" w:pos="5837"/>
      </w:tabs>
      <w:adjustRightInd w:val="0"/>
      <w:snapToGrid w:val="0"/>
      <w:spacing w:line="480" w:lineRule="exact"/>
      <w:ind w:firstLine="0" w:firstLineChars="0"/>
    </w:pPr>
    <w:rPr>
      <w:rFonts w:ascii="宋体" w:hAnsi="宋体" w:cs="宋体"/>
      <w:color w:val="000000"/>
      <w:kern w:val="0"/>
      <w:sz w:val="24"/>
    </w:rPr>
  </w:style>
  <w:style w:type="character" w:customStyle="1" w:styleId="3324">
    <w:name w:val="福建正文缩进 Char3"/>
    <w:qFormat/>
    <w:uiPriority w:val="0"/>
    <w:rPr>
      <w:rFonts w:ascii="宋体" w:hAnsi="宋体" w:eastAsia="宋体" w:cs="宋体"/>
      <w:color w:val="000000"/>
      <w:kern w:val="0"/>
      <w:sz w:val="24"/>
      <w:szCs w:val="24"/>
      <w:lang w:val="en-US" w:eastAsia="zh-CN" w:bidi="ar-SA"/>
    </w:rPr>
  </w:style>
  <w:style w:type="paragraph" w:customStyle="1" w:styleId="3325">
    <w:name w:val="表内文字小14"/>
    <w:basedOn w:val="1"/>
    <w:qFormat/>
    <w:uiPriority w:val="0"/>
    <w:pPr>
      <w:adjustRightInd w:val="0"/>
      <w:snapToGrid w:val="0"/>
      <w:jc w:val="center"/>
    </w:pPr>
    <w:rPr>
      <w:rFonts w:ascii="宋体" w:hAnsi="Times"/>
      <w:szCs w:val="20"/>
    </w:rPr>
  </w:style>
  <w:style w:type="paragraph" w:customStyle="1" w:styleId="3326">
    <w:name w:val="表内593"/>
    <w:basedOn w:val="1"/>
    <w:qFormat/>
    <w:uiPriority w:val="0"/>
    <w:pPr>
      <w:adjustRightInd w:val="0"/>
      <w:snapToGrid w:val="0"/>
      <w:spacing w:line="300" w:lineRule="auto"/>
      <w:jc w:val="center"/>
    </w:pPr>
    <w:rPr>
      <w:rFonts w:ascii="宋体"/>
      <w:snapToGrid w:val="0"/>
      <w:szCs w:val="21"/>
    </w:rPr>
  </w:style>
  <w:style w:type="character" w:customStyle="1" w:styleId="3327">
    <w:name w:val="正文首行缩进 2 Char3"/>
    <w:qFormat/>
    <w:uiPriority w:val="0"/>
    <w:rPr>
      <w:rFonts w:ascii="Times New Roman" w:hAnsi="Times New Roman" w:eastAsia="宋体" w:cs="Times New Roman"/>
      <w:kern w:val="2"/>
      <w:sz w:val="28"/>
      <w:lang w:val="en-US" w:eastAsia="zh-CN" w:bidi="ar-SA"/>
    </w:rPr>
  </w:style>
  <w:style w:type="paragraph" w:customStyle="1" w:styleId="3328">
    <w:name w:val="表内小5中3"/>
    <w:basedOn w:val="1"/>
    <w:qFormat/>
    <w:uiPriority w:val="0"/>
    <w:pPr>
      <w:adjustRightInd w:val="0"/>
      <w:snapToGrid w:val="0"/>
      <w:jc w:val="center"/>
    </w:pPr>
    <w:rPr>
      <w:rFonts w:ascii="宋体" w:hAnsi="宋体"/>
      <w:sz w:val="18"/>
      <w:szCs w:val="20"/>
    </w:rPr>
  </w:style>
  <w:style w:type="paragraph" w:customStyle="1" w:styleId="3329">
    <w:name w:val="表内5中43"/>
    <w:basedOn w:val="1"/>
    <w:qFormat/>
    <w:uiPriority w:val="0"/>
    <w:pPr>
      <w:adjustRightInd w:val="0"/>
      <w:snapToGrid w:val="0"/>
      <w:jc w:val="center"/>
    </w:pPr>
    <w:rPr>
      <w:rFonts w:ascii="宋体"/>
      <w:bCs/>
      <w:szCs w:val="20"/>
    </w:rPr>
  </w:style>
  <w:style w:type="paragraph" w:customStyle="1" w:styleId="3330">
    <w:name w:val="默认段落字体 Para Char43"/>
    <w:basedOn w:val="1"/>
    <w:next w:val="1"/>
    <w:qFormat/>
    <w:uiPriority w:val="0"/>
    <w:pPr>
      <w:spacing w:line="480" w:lineRule="exact"/>
      <w:ind w:firstLine="200" w:firstLineChars="200"/>
      <w:jc w:val="left"/>
    </w:pPr>
    <w:rPr>
      <w:rFonts w:ascii="宋体" w:hAnsi="宋体" w:eastAsia="汉鼎简书宋" w:cs="宋体"/>
      <w:sz w:val="28"/>
    </w:rPr>
  </w:style>
  <w:style w:type="paragraph" w:customStyle="1" w:styleId="3331">
    <w:name w:val="燕山正文133"/>
    <w:basedOn w:val="1"/>
    <w:qFormat/>
    <w:uiPriority w:val="0"/>
    <w:pPr>
      <w:tabs>
        <w:tab w:val="left" w:pos="4680"/>
      </w:tabs>
      <w:adjustRightInd w:val="0"/>
      <w:snapToGrid w:val="0"/>
      <w:spacing w:line="360" w:lineRule="auto"/>
      <w:ind w:firstLine="480" w:firstLineChars="200"/>
    </w:pPr>
    <w:rPr>
      <w:rFonts w:ascii="宋体" w:hAnsi="宋体" w:cs="宋体"/>
      <w:bCs/>
      <w:color w:val="000000"/>
      <w:sz w:val="24"/>
    </w:rPr>
  </w:style>
  <w:style w:type="paragraph" w:customStyle="1" w:styleId="3332">
    <w:name w:val="样式 标题 4无效格式无效格式1河石管道4H4H41小小节河石管道41H42H411小小节1河石管道42...4"/>
    <w:basedOn w:val="7"/>
    <w:qFormat/>
    <w:uiPriority w:val="0"/>
    <w:pPr>
      <w:adjustRightInd w:val="0"/>
      <w:snapToGrid w:val="0"/>
      <w:spacing w:line="360" w:lineRule="auto"/>
      <w:ind w:left="664" w:hanging="864"/>
    </w:pPr>
    <w:rPr>
      <w:rFonts w:ascii="黑体" w:eastAsia="黑体"/>
      <w:bCs w:val="0"/>
      <w:sz w:val="24"/>
      <w:szCs w:val="24"/>
      <w:lang w:val="zh-CN"/>
    </w:rPr>
  </w:style>
  <w:style w:type="paragraph" w:customStyle="1" w:styleId="3333">
    <w:name w:val="样式 标题 4无效格式无效格式1河石管道4H4H41小小节河石管道41H42H411小小节1河石管道42...13"/>
    <w:basedOn w:val="7"/>
    <w:qFormat/>
    <w:uiPriority w:val="0"/>
    <w:pPr>
      <w:adjustRightInd w:val="0"/>
      <w:snapToGrid w:val="0"/>
      <w:spacing w:line="360" w:lineRule="auto"/>
      <w:ind w:left="664" w:hanging="864"/>
      <w:jc w:val="left"/>
    </w:pPr>
    <w:rPr>
      <w:rFonts w:ascii="黑体" w:eastAsia="黑体" w:cs="宋体"/>
      <w:bCs w:val="0"/>
      <w:sz w:val="24"/>
      <w:szCs w:val="20"/>
      <w:lang w:val="zh-CN"/>
    </w:rPr>
  </w:style>
  <w:style w:type="paragraph" w:customStyle="1" w:styleId="3334">
    <w:name w:val="正文格式84"/>
    <w:basedOn w:val="1"/>
    <w:qFormat/>
    <w:uiPriority w:val="0"/>
    <w:pPr>
      <w:spacing w:line="360" w:lineRule="auto"/>
      <w:ind w:firstLine="482"/>
    </w:pPr>
    <w:rPr>
      <w:rFonts w:ascii="宋体" w:hAnsi="宋体"/>
      <w:sz w:val="24"/>
    </w:rPr>
  </w:style>
  <w:style w:type="paragraph" w:customStyle="1" w:styleId="3335">
    <w:name w:val="正文格式93"/>
    <w:basedOn w:val="1"/>
    <w:qFormat/>
    <w:uiPriority w:val="0"/>
    <w:pPr>
      <w:spacing w:line="360" w:lineRule="auto"/>
      <w:ind w:firstLine="482"/>
    </w:pPr>
    <w:rPr>
      <w:rFonts w:ascii="宋体" w:hAnsi="宋体"/>
      <w:sz w:val="24"/>
    </w:rPr>
  </w:style>
  <w:style w:type="paragraph" w:customStyle="1" w:styleId="3336">
    <w:name w:val="表格内容3"/>
    <w:qFormat/>
    <w:uiPriority w:val="0"/>
    <w:pPr>
      <w:jc w:val="center"/>
    </w:pPr>
    <w:rPr>
      <w:rFonts w:ascii="Times New Roman" w:hAnsi="Times New Roman" w:eastAsia="宋体" w:cs="Times New Roman"/>
      <w:kern w:val="2"/>
      <w:sz w:val="21"/>
      <w:szCs w:val="21"/>
      <w:lang w:val="en-US" w:eastAsia="zh-CN" w:bidi="ar-SA"/>
    </w:rPr>
  </w:style>
  <w:style w:type="character" w:customStyle="1" w:styleId="3337">
    <w:name w:val="表格内容 Char3"/>
    <w:qFormat/>
    <w:uiPriority w:val="0"/>
    <w:rPr>
      <w:rFonts w:ascii="Times New Roman" w:hAnsi="Times New Roman" w:eastAsia="宋体" w:cs="Times New Roman"/>
      <w:kern w:val="2"/>
      <w:sz w:val="24"/>
      <w:szCs w:val="21"/>
      <w:lang w:val="en-US" w:eastAsia="zh-CN" w:bidi="ar-SA"/>
    </w:rPr>
  </w:style>
  <w:style w:type="paragraph" w:customStyle="1" w:styleId="3338">
    <w:name w:val="正文格式102"/>
    <w:basedOn w:val="1"/>
    <w:qFormat/>
    <w:uiPriority w:val="0"/>
    <w:pPr>
      <w:spacing w:line="360" w:lineRule="auto"/>
      <w:ind w:firstLine="482"/>
    </w:pPr>
    <w:rPr>
      <w:rFonts w:ascii="宋体" w:hAnsi="宋体"/>
      <w:sz w:val="24"/>
    </w:rPr>
  </w:style>
  <w:style w:type="character" w:customStyle="1" w:styleId="3339">
    <w:name w:val="题注 Char62"/>
    <w:qFormat/>
    <w:uiPriority w:val="0"/>
    <w:rPr>
      <w:rFonts w:ascii="黑体" w:hAnsi="Arial" w:eastAsia="黑体" w:cs="Arial"/>
      <w:b/>
      <w:kern w:val="2"/>
      <w:sz w:val="24"/>
      <w:szCs w:val="24"/>
      <w:lang w:val="en-US" w:eastAsia="zh-CN" w:bidi="ar-SA"/>
    </w:rPr>
  </w:style>
  <w:style w:type="paragraph" w:customStyle="1" w:styleId="3340">
    <w:name w:val="图题82"/>
    <w:basedOn w:val="223"/>
    <w:next w:val="223"/>
    <w:qFormat/>
    <w:uiPriority w:val="0"/>
    <w:pPr>
      <w:ind w:firstLine="0"/>
      <w:jc w:val="center"/>
    </w:pPr>
    <w:rPr>
      <w:rFonts w:ascii="黑体" w:hAnsi="宋体" w:eastAsia="黑体"/>
      <w:b/>
      <w:bCs/>
    </w:rPr>
  </w:style>
  <w:style w:type="paragraph" w:customStyle="1" w:styleId="3341">
    <w:name w:val="表格内字体82"/>
    <w:basedOn w:val="223"/>
    <w:next w:val="223"/>
    <w:qFormat/>
    <w:uiPriority w:val="0"/>
    <w:pPr>
      <w:spacing w:line="240" w:lineRule="auto"/>
      <w:ind w:firstLine="0"/>
      <w:jc w:val="center"/>
    </w:pPr>
    <w:rPr>
      <w:rFonts w:hAnsi="宋体" w:cs="Times New Roman"/>
      <w:sz w:val="21"/>
    </w:rPr>
  </w:style>
  <w:style w:type="paragraph" w:customStyle="1" w:styleId="3342">
    <w:name w:val="Char116"/>
    <w:basedOn w:val="1"/>
    <w:qFormat/>
    <w:uiPriority w:val="0"/>
    <w:pPr>
      <w:ind w:left="-48"/>
    </w:pPr>
  </w:style>
  <w:style w:type="paragraph" w:customStyle="1" w:styleId="3343">
    <w:name w:val="正文格式＝72"/>
    <w:basedOn w:val="223"/>
    <w:next w:val="223"/>
    <w:qFormat/>
    <w:uiPriority w:val="0"/>
    <w:rPr>
      <w:rFonts w:hAnsi="宋体" w:cs="Times New Roman"/>
    </w:rPr>
  </w:style>
  <w:style w:type="paragraph" w:customStyle="1" w:styleId="3344">
    <w:name w:val="表题162"/>
    <w:basedOn w:val="23"/>
    <w:qFormat/>
    <w:uiPriority w:val="0"/>
    <w:pPr>
      <w:tabs>
        <w:tab w:val="clear" w:pos="7380"/>
      </w:tabs>
      <w:overflowPunct/>
      <w:spacing w:before="0" w:afterLines="0" w:line="360" w:lineRule="auto"/>
      <w:jc w:val="center"/>
    </w:pPr>
    <w:rPr>
      <w:rFonts w:ascii="黑体" w:cs="Times New Roman"/>
      <w:b/>
      <w:sz w:val="24"/>
      <w:szCs w:val="24"/>
    </w:rPr>
  </w:style>
  <w:style w:type="character" w:customStyle="1" w:styleId="3345">
    <w:name w:val="表题1 Char72"/>
    <w:qFormat/>
    <w:uiPriority w:val="0"/>
    <w:rPr>
      <w:rFonts w:ascii="黑体" w:hAnsi="Arial" w:eastAsia="黑体" w:cs="Arial"/>
      <w:b/>
      <w:kern w:val="2"/>
      <w:sz w:val="24"/>
      <w:szCs w:val="24"/>
      <w:lang w:val="en-US" w:eastAsia="zh-CN" w:bidi="ar-SA"/>
    </w:rPr>
  </w:style>
  <w:style w:type="paragraph" w:customStyle="1" w:styleId="3346">
    <w:name w:val="燕山正文52"/>
    <w:basedOn w:val="1"/>
    <w:qFormat/>
    <w:uiPriority w:val="0"/>
    <w:pPr>
      <w:tabs>
        <w:tab w:val="left" w:pos="4680"/>
      </w:tabs>
      <w:adjustRightInd w:val="0"/>
      <w:snapToGrid w:val="0"/>
      <w:spacing w:line="480" w:lineRule="exact"/>
    </w:pPr>
    <w:rPr>
      <w:rFonts w:ascii="宋体" w:cs="宋体"/>
      <w:sz w:val="24"/>
    </w:rPr>
  </w:style>
  <w:style w:type="paragraph" w:customStyle="1" w:styleId="3347">
    <w:name w:val="正文修改52"/>
    <w:basedOn w:val="2056"/>
    <w:qFormat/>
    <w:uiPriority w:val="0"/>
    <w:rPr>
      <w:rFonts w:hAnsi="宋体"/>
      <w:color w:val="000000"/>
    </w:rPr>
  </w:style>
  <w:style w:type="character" w:customStyle="1" w:styleId="3348">
    <w:name w:val="正文修改 Char152"/>
    <w:qFormat/>
    <w:uiPriority w:val="0"/>
    <w:rPr>
      <w:rFonts w:ascii="宋体" w:hAnsi="宋体" w:eastAsia="宋体" w:cs="宋体"/>
      <w:color w:val="000000"/>
      <w:sz w:val="24"/>
      <w:szCs w:val="24"/>
    </w:rPr>
  </w:style>
  <w:style w:type="paragraph" w:customStyle="1" w:styleId="3349">
    <w:name w:val="表中文字62"/>
    <w:basedOn w:val="1"/>
    <w:qFormat/>
    <w:uiPriority w:val="0"/>
    <w:pPr>
      <w:widowControl/>
      <w:spacing w:line="240" w:lineRule="atLeast"/>
      <w:ind w:left="-24" w:leftChars="-10" w:right="-48" w:rightChars="-20"/>
      <w:jc w:val="center"/>
    </w:pPr>
    <w:rPr>
      <w:rFonts w:ascii="宋体"/>
      <w:kern w:val="0"/>
      <w:szCs w:val="21"/>
    </w:rPr>
  </w:style>
  <w:style w:type="paragraph" w:customStyle="1" w:styleId="3350">
    <w:name w:val="默认段落字体 Para Char Char Char Char62"/>
    <w:basedOn w:val="1"/>
    <w:qFormat/>
    <w:uiPriority w:val="0"/>
  </w:style>
  <w:style w:type="paragraph" w:customStyle="1" w:styleId="3351">
    <w:name w:val="Char122"/>
    <w:basedOn w:val="1"/>
    <w:qFormat/>
    <w:uiPriority w:val="0"/>
    <w:pPr>
      <w:adjustRightInd w:val="0"/>
      <w:snapToGrid w:val="0"/>
      <w:spacing w:line="360" w:lineRule="auto"/>
    </w:pPr>
  </w:style>
  <w:style w:type="paragraph" w:customStyle="1" w:styleId="3352">
    <w:name w:val="封面标准文稿编辑信息12"/>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3353">
    <w:name w:val="样式 表内小5 + 黑体 加粗 倾斜 下划线12"/>
    <w:basedOn w:val="1"/>
    <w:qFormat/>
    <w:uiPriority w:val="0"/>
    <w:pPr>
      <w:adjustRightInd w:val="0"/>
      <w:snapToGrid w:val="0"/>
      <w:spacing w:line="300" w:lineRule="auto"/>
      <w:jc w:val="left"/>
    </w:pPr>
    <w:rPr>
      <w:rFonts w:ascii="黑体" w:hAnsi="黑体" w:eastAsia="黑体"/>
      <w:b/>
      <w:bCs/>
      <w:i/>
      <w:iCs/>
      <w:sz w:val="18"/>
      <w:u w:val="single"/>
    </w:rPr>
  </w:style>
  <w:style w:type="paragraph" w:customStyle="1" w:styleId="3354">
    <w:name w:val="表内5中22"/>
    <w:basedOn w:val="1"/>
    <w:qFormat/>
    <w:uiPriority w:val="0"/>
    <w:pPr>
      <w:adjustRightInd w:val="0"/>
      <w:snapToGrid w:val="0"/>
      <w:jc w:val="center"/>
    </w:pPr>
    <w:rPr>
      <w:rFonts w:ascii="宋体" w:hAnsi="宋体" w:cs="Arial"/>
      <w:snapToGrid w:val="0"/>
      <w:color w:val="000000"/>
      <w:szCs w:val="21"/>
    </w:rPr>
  </w:style>
  <w:style w:type="paragraph" w:customStyle="1" w:styleId="3355">
    <w:name w:val="表内54152"/>
    <w:basedOn w:val="1"/>
    <w:qFormat/>
    <w:uiPriority w:val="0"/>
    <w:pPr>
      <w:adjustRightInd w:val="0"/>
      <w:snapToGrid w:val="0"/>
      <w:spacing w:line="300" w:lineRule="auto"/>
      <w:jc w:val="center"/>
    </w:pPr>
    <w:rPr>
      <w:rFonts w:ascii="宋体" w:hAnsi="宋体" w:cs="宋体"/>
      <w:szCs w:val="20"/>
    </w:rPr>
  </w:style>
  <w:style w:type="paragraph" w:customStyle="1" w:styleId="3356">
    <w:name w:val="表格112"/>
    <w:basedOn w:val="1"/>
    <w:qFormat/>
    <w:uiPriority w:val="0"/>
    <w:pPr>
      <w:adjustRightInd w:val="0"/>
      <w:jc w:val="center"/>
      <w:textAlignment w:val="baseline"/>
    </w:pPr>
    <w:rPr>
      <w:rFonts w:ascii="宋体"/>
      <w:kern w:val="0"/>
      <w:sz w:val="24"/>
      <w:szCs w:val="20"/>
    </w:rPr>
  </w:style>
  <w:style w:type="paragraph" w:customStyle="1" w:styleId="3357">
    <w:name w:val="c12"/>
    <w:qFormat/>
    <w:uiPriority w:val="0"/>
    <w:pPr>
      <w:widowControl w:val="0"/>
      <w:autoSpaceDE w:val="0"/>
      <w:autoSpaceDN w:val="0"/>
      <w:adjustRightInd w:val="0"/>
      <w:jc w:val="both"/>
    </w:pPr>
    <w:rPr>
      <w:rFonts w:ascii="Arial" w:hAnsi="Arial" w:eastAsia="宋体" w:cs="Times New Roman"/>
      <w:sz w:val="24"/>
      <w:lang w:val="en-US" w:eastAsia="zh-CN" w:bidi="ar-SA"/>
    </w:rPr>
  </w:style>
  <w:style w:type="paragraph" w:customStyle="1" w:styleId="3358">
    <w:name w:val="表题912"/>
    <w:basedOn w:val="47"/>
    <w:qFormat/>
    <w:uiPriority w:val="0"/>
    <w:pPr>
      <w:adjustRightInd w:val="0"/>
      <w:snapToGrid w:val="0"/>
      <w:spacing w:line="300" w:lineRule="auto"/>
      <w:jc w:val="center"/>
    </w:pPr>
    <w:rPr>
      <w:rFonts w:ascii="黑体" w:eastAsia="黑体" w:cs="Times New Roman"/>
      <w:sz w:val="24"/>
      <w:szCs w:val="20"/>
    </w:rPr>
  </w:style>
  <w:style w:type="paragraph" w:customStyle="1" w:styleId="3359">
    <w:name w:val="福建正文缩进12"/>
    <w:basedOn w:val="22"/>
    <w:qFormat/>
    <w:uiPriority w:val="0"/>
    <w:pPr>
      <w:adjustRightInd w:val="0"/>
      <w:snapToGrid w:val="0"/>
      <w:spacing w:line="360" w:lineRule="auto"/>
      <w:ind w:firstLine="567" w:firstLineChars="0"/>
    </w:pPr>
    <w:rPr>
      <w:rFonts w:ascii="宋体"/>
      <w:kern w:val="0"/>
      <w:sz w:val="24"/>
    </w:rPr>
  </w:style>
  <w:style w:type="paragraph" w:customStyle="1" w:styleId="3360">
    <w:name w:val="表内文字小33"/>
    <w:basedOn w:val="1"/>
    <w:qFormat/>
    <w:uiPriority w:val="0"/>
    <w:pPr>
      <w:adjustRightInd w:val="0"/>
      <w:snapToGrid w:val="0"/>
      <w:jc w:val="center"/>
    </w:pPr>
    <w:rPr>
      <w:rFonts w:ascii="宋体" w:hAnsi="Times"/>
      <w:szCs w:val="20"/>
    </w:rPr>
  </w:style>
  <w:style w:type="paragraph" w:customStyle="1" w:styleId="3361">
    <w:name w:val="表内5912"/>
    <w:basedOn w:val="1"/>
    <w:qFormat/>
    <w:uiPriority w:val="0"/>
    <w:pPr>
      <w:adjustRightInd w:val="0"/>
      <w:snapToGrid w:val="0"/>
      <w:spacing w:line="300" w:lineRule="auto"/>
      <w:jc w:val="center"/>
    </w:pPr>
    <w:rPr>
      <w:rFonts w:ascii="宋体"/>
      <w:snapToGrid w:val="0"/>
      <w:szCs w:val="21"/>
    </w:rPr>
  </w:style>
  <w:style w:type="paragraph" w:customStyle="1" w:styleId="3362">
    <w:name w:val="表内小5中12"/>
    <w:basedOn w:val="1"/>
    <w:qFormat/>
    <w:uiPriority w:val="0"/>
    <w:pPr>
      <w:adjustRightInd w:val="0"/>
      <w:snapToGrid w:val="0"/>
      <w:jc w:val="center"/>
    </w:pPr>
    <w:rPr>
      <w:rFonts w:ascii="宋体" w:hAnsi="宋体"/>
      <w:sz w:val="18"/>
      <w:szCs w:val="20"/>
    </w:rPr>
  </w:style>
  <w:style w:type="paragraph" w:customStyle="1" w:styleId="3363">
    <w:name w:val="表内5中412"/>
    <w:basedOn w:val="1"/>
    <w:qFormat/>
    <w:uiPriority w:val="0"/>
    <w:pPr>
      <w:adjustRightInd w:val="0"/>
      <w:snapToGrid w:val="0"/>
      <w:jc w:val="center"/>
    </w:pPr>
    <w:rPr>
      <w:rFonts w:ascii="宋体"/>
      <w:bCs/>
      <w:szCs w:val="20"/>
    </w:rPr>
  </w:style>
  <w:style w:type="paragraph" w:customStyle="1" w:styleId="3364">
    <w:name w:val="表题4112"/>
    <w:basedOn w:val="37"/>
    <w:qFormat/>
    <w:uiPriority w:val="0"/>
    <w:pPr>
      <w:tabs>
        <w:tab w:val="left" w:pos="4305"/>
      </w:tabs>
      <w:adjustRightInd w:val="0"/>
      <w:snapToGrid w:val="0"/>
      <w:spacing w:after="0"/>
      <w:ind w:left="0" w:leftChars="0"/>
      <w:jc w:val="center"/>
    </w:pPr>
    <w:rPr>
      <w:rFonts w:ascii="宋体" w:hAnsi="宋体" w:cs="宋体"/>
      <w:color w:val="000000"/>
      <w:sz w:val="24"/>
    </w:rPr>
  </w:style>
  <w:style w:type="paragraph" w:customStyle="1" w:styleId="3365">
    <w:name w:val="表内文字小2142"/>
    <w:basedOn w:val="1"/>
    <w:qFormat/>
    <w:uiPriority w:val="0"/>
    <w:pPr>
      <w:adjustRightInd w:val="0"/>
      <w:snapToGrid w:val="0"/>
      <w:jc w:val="center"/>
    </w:pPr>
    <w:rPr>
      <w:rFonts w:ascii="宋体" w:hAnsi="Times"/>
      <w:bCs/>
      <w:color w:val="000000"/>
      <w:szCs w:val="20"/>
    </w:rPr>
  </w:style>
  <w:style w:type="paragraph" w:customStyle="1" w:styleId="3366">
    <w:name w:val="表题3142"/>
    <w:basedOn w:val="37"/>
    <w:qFormat/>
    <w:uiPriority w:val="0"/>
    <w:pPr>
      <w:tabs>
        <w:tab w:val="left" w:pos="4305"/>
      </w:tabs>
      <w:adjustRightInd w:val="0"/>
      <w:snapToGrid w:val="0"/>
      <w:spacing w:after="0"/>
      <w:ind w:left="0" w:leftChars="0"/>
      <w:jc w:val="center"/>
    </w:pPr>
    <w:rPr>
      <w:rFonts w:ascii="宋体" w:hAnsi="宋体"/>
      <w:sz w:val="24"/>
      <w:szCs w:val="20"/>
    </w:rPr>
  </w:style>
  <w:style w:type="paragraph" w:customStyle="1" w:styleId="3367">
    <w:name w:val="Char Char Char Char Char Char Char32"/>
    <w:basedOn w:val="1"/>
    <w:qFormat/>
    <w:uiPriority w:val="0"/>
  </w:style>
  <w:style w:type="paragraph" w:customStyle="1" w:styleId="3368">
    <w:name w:val="正文222"/>
    <w:qFormat/>
    <w:uiPriority w:val="0"/>
    <w:pPr>
      <w:adjustRightInd w:val="0"/>
      <w:snapToGrid w:val="0"/>
      <w:spacing w:line="480" w:lineRule="atLeast"/>
      <w:jc w:val="center"/>
    </w:pPr>
    <w:rPr>
      <w:rFonts w:ascii="宋体" w:hAnsi="Times New Roman" w:eastAsia="宋体" w:cs="Times New Roman"/>
      <w:snapToGrid w:val="0"/>
      <w:spacing w:val="6"/>
      <w:sz w:val="21"/>
      <w:lang w:val="en-US" w:eastAsia="zh-CN" w:bidi="ar-SA"/>
    </w:rPr>
  </w:style>
  <w:style w:type="paragraph" w:customStyle="1" w:styleId="3369">
    <w:name w:val="表文字542"/>
    <w:basedOn w:val="1"/>
    <w:qFormat/>
    <w:uiPriority w:val="0"/>
    <w:pPr>
      <w:adjustRightInd w:val="0"/>
      <w:jc w:val="left"/>
      <w:textAlignment w:val="baseline"/>
    </w:pPr>
    <w:rPr>
      <w:rFonts w:ascii="宋体"/>
      <w:kern w:val="0"/>
      <w:szCs w:val="20"/>
    </w:rPr>
  </w:style>
  <w:style w:type="paragraph" w:customStyle="1" w:styleId="3370">
    <w:name w:val="表内文字小3142"/>
    <w:basedOn w:val="1"/>
    <w:qFormat/>
    <w:uiPriority w:val="0"/>
    <w:pPr>
      <w:adjustRightInd w:val="0"/>
      <w:snapToGrid w:val="0"/>
      <w:jc w:val="center"/>
    </w:pPr>
    <w:rPr>
      <w:rFonts w:ascii="宋体" w:hAnsi="Times" w:cs="宋体"/>
      <w:bCs/>
      <w:color w:val="003366"/>
      <w:szCs w:val="20"/>
    </w:rPr>
  </w:style>
  <w:style w:type="paragraph" w:customStyle="1" w:styleId="3371">
    <w:name w:val="表内宋51122"/>
    <w:basedOn w:val="81"/>
    <w:qFormat/>
    <w:uiPriority w:val="0"/>
    <w:pPr>
      <w:widowControl/>
      <w:adjustRightInd w:val="0"/>
      <w:snapToGrid w:val="0"/>
    </w:pPr>
    <w:rPr>
      <w:rFonts w:ascii="宋体" w:hAnsi="宋体" w:cs="宋体"/>
      <w:color w:val="000000"/>
      <w:kern w:val="0"/>
      <w:sz w:val="21"/>
      <w:lang w:val="zh-CN"/>
    </w:rPr>
  </w:style>
  <w:style w:type="paragraph" w:customStyle="1" w:styleId="3372">
    <w:name w:val="文本框22"/>
    <w:basedOn w:val="1"/>
    <w:qFormat/>
    <w:uiPriority w:val="0"/>
    <w:pPr>
      <w:adjustRightInd w:val="0"/>
      <w:snapToGrid w:val="0"/>
      <w:spacing w:after="6"/>
      <w:jc w:val="center"/>
    </w:pPr>
    <w:rPr>
      <w:rFonts w:eastAsia="仿宋_GB2312"/>
    </w:rPr>
  </w:style>
  <w:style w:type="paragraph" w:customStyle="1" w:styleId="3373">
    <w:name w:val="正文.22"/>
    <w:qFormat/>
    <w:uiPriority w:val="0"/>
    <w:pPr>
      <w:widowControl w:val="0"/>
      <w:autoSpaceDE w:val="0"/>
      <w:autoSpaceDN w:val="0"/>
      <w:adjustRightInd w:val="0"/>
      <w:jc w:val="both"/>
    </w:pPr>
    <w:rPr>
      <w:rFonts w:ascii="Times New Roman;Symbol;Arial;婼" w:hAnsi="Times New Roman" w:eastAsia="Times New Roman;Symbol;Arial;婼" w:cs="Times New Roman"/>
      <w:sz w:val="21"/>
      <w:szCs w:val="21"/>
      <w:lang w:val="en-US" w:eastAsia="zh-CN" w:bidi="ar-SA"/>
    </w:rPr>
  </w:style>
  <w:style w:type="paragraph" w:customStyle="1" w:styleId="3374">
    <w:name w:val="表42"/>
    <w:basedOn w:val="1"/>
    <w:qFormat/>
    <w:uiPriority w:val="0"/>
    <w:pPr>
      <w:adjustRightInd w:val="0"/>
      <w:snapToGrid w:val="0"/>
      <w:jc w:val="center"/>
    </w:pPr>
    <w:rPr>
      <w:rFonts w:eastAsia="仿宋_GB2312"/>
      <w:sz w:val="24"/>
    </w:rPr>
  </w:style>
  <w:style w:type="paragraph" w:customStyle="1" w:styleId="3375">
    <w:name w:val="黑体三号52"/>
    <w:basedOn w:val="223"/>
    <w:qFormat/>
    <w:uiPriority w:val="0"/>
    <w:pPr>
      <w:jc w:val="center"/>
    </w:pPr>
    <w:rPr>
      <w:rFonts w:ascii="黑体" w:hAnsi="宋体" w:eastAsia="黑体"/>
      <w:b/>
      <w:bCs/>
      <w:sz w:val="32"/>
      <w:szCs w:val="20"/>
    </w:rPr>
  </w:style>
  <w:style w:type="paragraph" w:customStyle="1" w:styleId="3376">
    <w:name w:val="Char Char2 Char Char Char Char22"/>
    <w:basedOn w:val="1"/>
    <w:qFormat/>
    <w:uiPriority w:val="0"/>
  </w:style>
  <w:style w:type="paragraph" w:customStyle="1" w:styleId="3377">
    <w:name w:val="Char132"/>
    <w:basedOn w:val="1"/>
    <w:qFormat/>
    <w:uiPriority w:val="0"/>
    <w:pPr>
      <w:ind w:left="-48"/>
    </w:pPr>
  </w:style>
  <w:style w:type="paragraph" w:customStyle="1" w:styleId="3378">
    <w:name w:val="样式132"/>
    <w:basedOn w:val="2105"/>
    <w:qFormat/>
    <w:uiPriority w:val="0"/>
    <w:pPr>
      <w:spacing w:line="240" w:lineRule="auto"/>
      <w:ind w:firstLine="0"/>
      <w:jc w:val="center"/>
    </w:pPr>
    <w:rPr>
      <w:rFonts w:cs="Times New Roman"/>
      <w:b/>
      <w:color w:val="auto"/>
      <w:szCs w:val="20"/>
    </w:rPr>
  </w:style>
  <w:style w:type="paragraph" w:customStyle="1" w:styleId="3379">
    <w:name w:val="首行缩进:  0.99 厘米 + 首行缩进:  2 字符12"/>
    <w:basedOn w:val="1"/>
    <w:qFormat/>
    <w:uiPriority w:val="0"/>
    <w:pPr>
      <w:widowControl/>
      <w:topLinePunct/>
      <w:spacing w:line="480" w:lineRule="exact"/>
      <w:ind w:firstLine="420" w:firstLineChars="200"/>
      <w:jc w:val="center"/>
    </w:pPr>
    <w:rPr>
      <w:rFonts w:ascii="宋体" w:cs="宋体"/>
      <w:snapToGrid w:val="0"/>
      <w:color w:val="FF0000"/>
      <w:kern w:val="0"/>
      <w:szCs w:val="21"/>
    </w:rPr>
  </w:style>
  <w:style w:type="paragraph" w:customStyle="1" w:styleId="3380">
    <w:name w:val="图表名称12"/>
    <w:basedOn w:val="86"/>
    <w:qFormat/>
    <w:uiPriority w:val="0"/>
    <w:pPr>
      <w:widowControl/>
      <w:adjustRightInd w:val="0"/>
      <w:snapToGrid w:val="0"/>
      <w:spacing w:after="0" w:line="480" w:lineRule="exact"/>
      <w:ind w:firstLine="0" w:firstLineChars="0"/>
      <w:jc w:val="center"/>
    </w:pPr>
    <w:rPr>
      <w:rFonts w:ascii="宋体" w:hAnsi="宋体" w:eastAsia="宋体"/>
      <w:bCs/>
      <w:sz w:val="24"/>
      <w:lang w:val="zh-CN"/>
    </w:rPr>
  </w:style>
  <w:style w:type="paragraph" w:customStyle="1" w:styleId="3381">
    <w:name w:val="表内文字边12"/>
    <w:basedOn w:val="1"/>
    <w:qFormat/>
    <w:uiPriority w:val="0"/>
    <w:pPr>
      <w:widowControl/>
      <w:adjustRightInd w:val="0"/>
      <w:snapToGrid w:val="0"/>
      <w:spacing w:line="240" w:lineRule="atLeast"/>
      <w:ind w:left="-21" w:leftChars="-10" w:right="-42" w:rightChars="-20"/>
    </w:pPr>
    <w:rPr>
      <w:rFonts w:ascii="宋体"/>
      <w:kern w:val="0"/>
      <w:szCs w:val="21"/>
    </w:rPr>
  </w:style>
  <w:style w:type="paragraph" w:customStyle="1" w:styleId="3382">
    <w:name w:val="正文缩12"/>
    <w:basedOn w:val="1"/>
    <w:qFormat/>
    <w:uiPriority w:val="0"/>
    <w:pPr>
      <w:adjustRightInd w:val="0"/>
      <w:snapToGrid w:val="0"/>
      <w:spacing w:line="480" w:lineRule="atLeast"/>
      <w:ind w:firstLine="567"/>
      <w:textAlignment w:val="baseline"/>
    </w:pPr>
    <w:rPr>
      <w:rFonts w:ascii="宋体"/>
      <w:color w:val="000080"/>
      <w:spacing w:val="6"/>
      <w:kern w:val="0"/>
      <w:sz w:val="28"/>
      <w:szCs w:val="20"/>
    </w:rPr>
  </w:style>
  <w:style w:type="paragraph" w:customStyle="1" w:styleId="3383">
    <w:name w:val="样式212"/>
    <w:basedOn w:val="1"/>
    <w:qFormat/>
    <w:uiPriority w:val="0"/>
    <w:pPr>
      <w:adjustRightInd w:val="0"/>
      <w:spacing w:line="360" w:lineRule="auto"/>
      <w:jc w:val="center"/>
      <w:textAlignment w:val="baseline"/>
      <w:outlineLvl w:val="0"/>
    </w:pPr>
    <w:rPr>
      <w:kern w:val="0"/>
      <w:szCs w:val="20"/>
    </w:rPr>
  </w:style>
  <w:style w:type="paragraph" w:customStyle="1" w:styleId="3384">
    <w:name w:val="默认段落字体 Para Char Char Char Char Char12"/>
    <w:basedOn w:val="1"/>
    <w:qFormat/>
    <w:uiPriority w:val="0"/>
  </w:style>
  <w:style w:type="paragraph" w:customStyle="1" w:styleId="3385">
    <w:name w:val="表内宋5中32"/>
    <w:basedOn w:val="1"/>
    <w:qFormat/>
    <w:uiPriority w:val="0"/>
    <w:pPr>
      <w:adjustRightInd w:val="0"/>
      <w:snapToGrid w:val="0"/>
      <w:textAlignment w:val="baseline"/>
    </w:pPr>
    <w:rPr>
      <w:color w:val="000000"/>
      <w:kern w:val="0"/>
      <w:szCs w:val="20"/>
    </w:rPr>
  </w:style>
  <w:style w:type="paragraph" w:customStyle="1" w:styleId="3386">
    <w:name w:val="样式 标题 3 + 段前: 12 磅12"/>
    <w:basedOn w:val="6"/>
    <w:qFormat/>
    <w:uiPriority w:val="0"/>
    <w:pPr>
      <w:keepNext w:val="0"/>
      <w:keepLines w:val="0"/>
      <w:widowControl/>
      <w:autoSpaceDE w:val="0"/>
      <w:autoSpaceDN w:val="0"/>
      <w:adjustRightInd w:val="0"/>
      <w:snapToGrid w:val="0"/>
      <w:spacing w:before="0" w:after="0" w:line="360" w:lineRule="auto"/>
    </w:pPr>
    <w:rPr>
      <w:rFonts w:ascii="黑体" w:hAnsi="宋体" w:eastAsia="黑体" w:cs="宋体"/>
      <w:b w:val="0"/>
      <w:bCs w:val="0"/>
      <w:color w:val="000000"/>
      <w:kern w:val="21"/>
      <w:sz w:val="24"/>
      <w:szCs w:val="20"/>
    </w:rPr>
  </w:style>
  <w:style w:type="paragraph" w:customStyle="1" w:styleId="3387">
    <w:name w:val="表内522"/>
    <w:basedOn w:val="1"/>
    <w:qFormat/>
    <w:uiPriority w:val="0"/>
    <w:pPr>
      <w:adjustRightInd w:val="0"/>
      <w:snapToGrid w:val="0"/>
      <w:spacing w:line="300" w:lineRule="auto"/>
      <w:jc w:val="left"/>
    </w:pPr>
    <w:rPr>
      <w:rFonts w:ascii="宋体"/>
      <w:sz w:val="18"/>
      <w:szCs w:val="20"/>
    </w:rPr>
  </w:style>
  <w:style w:type="paragraph" w:customStyle="1" w:styleId="3388">
    <w:name w:val="表内宋513"/>
    <w:basedOn w:val="2134"/>
    <w:qFormat/>
    <w:uiPriority w:val="0"/>
    <w:pPr>
      <w:widowControl/>
      <w:autoSpaceDE w:val="0"/>
      <w:autoSpaceDN w:val="0"/>
      <w:jc w:val="left"/>
      <w:textAlignment w:val="auto"/>
    </w:pPr>
    <w:rPr>
      <w:color w:val="auto"/>
      <w:w w:val="90"/>
    </w:rPr>
  </w:style>
  <w:style w:type="paragraph" w:customStyle="1" w:styleId="3389">
    <w:name w:val="Char Char Char Char1 Char Char Char12"/>
    <w:basedOn w:val="1"/>
    <w:qFormat/>
    <w:uiPriority w:val="0"/>
    <w:pPr>
      <w:widowControl/>
      <w:spacing w:after="160" w:line="240" w:lineRule="exact"/>
      <w:jc w:val="left"/>
    </w:pPr>
    <w:rPr>
      <w:rFonts w:ascii="Verdana" w:hAnsi="Verdana"/>
      <w:kern w:val="0"/>
      <w:sz w:val="20"/>
      <w:szCs w:val="20"/>
      <w:lang w:eastAsia="en-US"/>
    </w:rPr>
  </w:style>
  <w:style w:type="paragraph" w:customStyle="1" w:styleId="3390">
    <w:name w:val="正文格式112"/>
    <w:basedOn w:val="1"/>
    <w:qFormat/>
    <w:uiPriority w:val="0"/>
    <w:pPr>
      <w:spacing w:line="360" w:lineRule="auto"/>
      <w:ind w:firstLine="482"/>
    </w:pPr>
    <w:rPr>
      <w:rFonts w:ascii="宋体" w:hAnsi="宋体"/>
      <w:sz w:val="24"/>
    </w:rPr>
  </w:style>
  <w:style w:type="paragraph" w:customStyle="1" w:styleId="3391">
    <w:name w:val="图题112"/>
    <w:basedOn w:val="223"/>
    <w:next w:val="223"/>
    <w:qFormat/>
    <w:uiPriority w:val="0"/>
    <w:pPr>
      <w:ind w:firstLine="0"/>
      <w:jc w:val="center"/>
    </w:pPr>
    <w:rPr>
      <w:rFonts w:ascii="黑体" w:hAnsi="宋体" w:eastAsia="黑体"/>
      <w:b/>
      <w:bCs/>
    </w:rPr>
  </w:style>
  <w:style w:type="paragraph" w:customStyle="1" w:styleId="3392">
    <w:name w:val="表格内字体122"/>
    <w:basedOn w:val="223"/>
    <w:next w:val="223"/>
    <w:qFormat/>
    <w:uiPriority w:val="0"/>
    <w:pPr>
      <w:spacing w:line="240" w:lineRule="auto"/>
      <w:ind w:firstLine="0"/>
      <w:jc w:val="center"/>
    </w:pPr>
    <w:rPr>
      <w:rFonts w:hAnsi="宋体" w:cs="Times New Roman"/>
      <w:sz w:val="21"/>
    </w:rPr>
  </w:style>
  <w:style w:type="paragraph" w:customStyle="1" w:styleId="3393">
    <w:name w:val="Char142"/>
    <w:basedOn w:val="1"/>
    <w:qFormat/>
    <w:uiPriority w:val="0"/>
    <w:pPr>
      <w:ind w:left="-48"/>
    </w:pPr>
  </w:style>
  <w:style w:type="paragraph" w:customStyle="1" w:styleId="3394">
    <w:name w:val="正文格式＝112"/>
    <w:basedOn w:val="223"/>
    <w:next w:val="223"/>
    <w:qFormat/>
    <w:uiPriority w:val="0"/>
    <w:rPr>
      <w:rFonts w:hAnsi="宋体" w:cs="Times New Roman"/>
    </w:rPr>
  </w:style>
  <w:style w:type="paragraph" w:customStyle="1" w:styleId="3395">
    <w:name w:val="正文格式222"/>
    <w:basedOn w:val="1"/>
    <w:qFormat/>
    <w:uiPriority w:val="0"/>
    <w:pPr>
      <w:spacing w:line="360" w:lineRule="auto"/>
      <w:ind w:firstLine="482"/>
    </w:pPr>
    <w:rPr>
      <w:rFonts w:ascii="宋体" w:hAnsi="宋体"/>
      <w:sz w:val="24"/>
    </w:rPr>
  </w:style>
  <w:style w:type="paragraph" w:customStyle="1" w:styleId="3396">
    <w:name w:val="Char152"/>
    <w:basedOn w:val="1"/>
    <w:qFormat/>
    <w:uiPriority w:val="0"/>
    <w:pPr>
      <w:adjustRightInd w:val="0"/>
      <w:snapToGrid w:val="0"/>
      <w:spacing w:beforeLines="50" w:line="360" w:lineRule="auto"/>
    </w:pPr>
    <w:rPr>
      <w:rFonts w:ascii="黑体" w:eastAsia="黑体"/>
      <w:sz w:val="32"/>
      <w:szCs w:val="32"/>
    </w:rPr>
  </w:style>
  <w:style w:type="character" w:customStyle="1" w:styleId="3397">
    <w:name w:val="题注 Char112"/>
    <w:qFormat/>
    <w:uiPriority w:val="0"/>
    <w:rPr>
      <w:rFonts w:ascii="黑体" w:hAnsi="Arial" w:eastAsia="黑体" w:cs="Arial"/>
      <w:b/>
      <w:kern w:val="2"/>
      <w:sz w:val="24"/>
      <w:szCs w:val="24"/>
      <w:lang w:val="en-US" w:eastAsia="zh-CN" w:bidi="ar-SA"/>
    </w:rPr>
  </w:style>
  <w:style w:type="paragraph" w:customStyle="1" w:styleId="3398">
    <w:name w:val="图题222"/>
    <w:basedOn w:val="223"/>
    <w:next w:val="223"/>
    <w:qFormat/>
    <w:uiPriority w:val="0"/>
    <w:pPr>
      <w:ind w:firstLine="0"/>
      <w:jc w:val="center"/>
    </w:pPr>
    <w:rPr>
      <w:rFonts w:ascii="黑体" w:hAnsi="宋体" w:eastAsia="黑体"/>
      <w:b/>
      <w:bCs/>
    </w:rPr>
  </w:style>
  <w:style w:type="paragraph" w:customStyle="1" w:styleId="3399">
    <w:name w:val="表格内字体222"/>
    <w:basedOn w:val="223"/>
    <w:next w:val="223"/>
    <w:qFormat/>
    <w:uiPriority w:val="0"/>
    <w:pPr>
      <w:spacing w:line="240" w:lineRule="auto"/>
      <w:ind w:firstLine="0"/>
      <w:jc w:val="center"/>
    </w:pPr>
    <w:rPr>
      <w:rFonts w:hAnsi="宋体" w:cs="Times New Roman"/>
      <w:sz w:val="21"/>
    </w:rPr>
  </w:style>
  <w:style w:type="paragraph" w:customStyle="1" w:styleId="3400">
    <w:name w:val="表内541112"/>
    <w:basedOn w:val="1"/>
    <w:qFormat/>
    <w:uiPriority w:val="0"/>
    <w:pPr>
      <w:adjustRightInd w:val="0"/>
      <w:snapToGrid w:val="0"/>
      <w:spacing w:line="300" w:lineRule="auto"/>
      <w:jc w:val="center"/>
    </w:pPr>
    <w:rPr>
      <w:rFonts w:ascii="宋体" w:hAnsi="宋体" w:cs="宋体"/>
      <w:szCs w:val="20"/>
    </w:rPr>
  </w:style>
  <w:style w:type="paragraph" w:customStyle="1" w:styleId="3401">
    <w:name w:val="表内文字小21112"/>
    <w:basedOn w:val="1"/>
    <w:qFormat/>
    <w:uiPriority w:val="0"/>
    <w:pPr>
      <w:adjustRightInd w:val="0"/>
      <w:snapToGrid w:val="0"/>
      <w:jc w:val="center"/>
    </w:pPr>
    <w:rPr>
      <w:rFonts w:ascii="宋体" w:hAnsi="Times"/>
      <w:bCs/>
      <w:color w:val="000000"/>
      <w:szCs w:val="20"/>
    </w:rPr>
  </w:style>
  <w:style w:type="paragraph" w:customStyle="1" w:styleId="3402">
    <w:name w:val="表题31112"/>
    <w:basedOn w:val="37"/>
    <w:qFormat/>
    <w:uiPriority w:val="0"/>
    <w:pPr>
      <w:tabs>
        <w:tab w:val="left" w:pos="4305"/>
      </w:tabs>
      <w:adjustRightInd w:val="0"/>
      <w:snapToGrid w:val="0"/>
      <w:spacing w:after="0"/>
      <w:ind w:left="0" w:leftChars="0"/>
      <w:jc w:val="center"/>
    </w:pPr>
    <w:rPr>
      <w:rFonts w:ascii="宋体" w:hAnsi="宋体"/>
      <w:sz w:val="24"/>
      <w:szCs w:val="20"/>
    </w:rPr>
  </w:style>
  <w:style w:type="paragraph" w:customStyle="1" w:styleId="3403">
    <w:name w:val="Char Char Char Char Char Char Char112"/>
    <w:basedOn w:val="1"/>
    <w:qFormat/>
    <w:uiPriority w:val="0"/>
  </w:style>
  <w:style w:type="paragraph" w:customStyle="1" w:styleId="3404">
    <w:name w:val="标题431112"/>
    <w:basedOn w:val="1"/>
    <w:qFormat/>
    <w:uiPriority w:val="0"/>
    <w:pPr>
      <w:adjustRightInd w:val="0"/>
      <w:snapToGrid w:val="0"/>
      <w:spacing w:line="480" w:lineRule="exact"/>
      <w:jc w:val="center"/>
    </w:pPr>
    <w:rPr>
      <w:rFonts w:ascii="宋体" w:hAnsi="宋体" w:cs="宋体"/>
      <w:sz w:val="24"/>
    </w:rPr>
  </w:style>
  <w:style w:type="paragraph" w:customStyle="1" w:styleId="3405">
    <w:name w:val="燕山正文11112"/>
    <w:basedOn w:val="1"/>
    <w:qFormat/>
    <w:uiPriority w:val="0"/>
    <w:pPr>
      <w:tabs>
        <w:tab w:val="left" w:pos="4680"/>
      </w:tabs>
      <w:adjustRightInd w:val="0"/>
      <w:snapToGrid w:val="0"/>
      <w:spacing w:line="480" w:lineRule="exact"/>
    </w:pPr>
    <w:rPr>
      <w:rFonts w:ascii="宋体" w:hAnsi="宋体" w:cs="宋体"/>
      <w:bCs/>
      <w:color w:val="000000"/>
      <w:sz w:val="24"/>
    </w:rPr>
  </w:style>
  <w:style w:type="paragraph" w:customStyle="1" w:styleId="3406">
    <w:name w:val="默认段落字体 Para Char Char Char Char112"/>
    <w:basedOn w:val="1"/>
    <w:qFormat/>
    <w:uiPriority w:val="0"/>
  </w:style>
  <w:style w:type="paragraph" w:customStyle="1" w:styleId="3407">
    <w:name w:val="附件112"/>
    <w:basedOn w:val="4"/>
    <w:next w:val="223"/>
    <w:qFormat/>
    <w:uiPriority w:val="0"/>
    <w:pPr>
      <w:spacing w:before="0" w:after="0" w:line="360" w:lineRule="auto"/>
      <w:jc w:val="left"/>
    </w:pPr>
    <w:rPr>
      <w:rFonts w:ascii="黑体" w:hAnsi="宋体" w:eastAsia="黑体"/>
      <w:b w:val="0"/>
      <w:sz w:val="32"/>
      <w:szCs w:val="32"/>
    </w:rPr>
  </w:style>
  <w:style w:type="paragraph" w:customStyle="1" w:styleId="3408">
    <w:name w:val="黑体三号112"/>
    <w:basedOn w:val="223"/>
    <w:qFormat/>
    <w:uiPriority w:val="0"/>
    <w:pPr>
      <w:jc w:val="center"/>
    </w:pPr>
    <w:rPr>
      <w:rFonts w:ascii="黑体" w:hAnsi="宋体" w:eastAsia="黑体"/>
      <w:b/>
      <w:bCs/>
      <w:sz w:val="32"/>
      <w:szCs w:val="20"/>
    </w:rPr>
  </w:style>
  <w:style w:type="paragraph" w:customStyle="1" w:styleId="3409">
    <w:name w:val="表112"/>
    <w:basedOn w:val="1"/>
    <w:qFormat/>
    <w:uiPriority w:val="0"/>
    <w:pPr>
      <w:adjustRightInd w:val="0"/>
      <w:snapToGrid w:val="0"/>
      <w:jc w:val="center"/>
    </w:pPr>
    <w:rPr>
      <w:rFonts w:eastAsia="仿宋_GB2312"/>
      <w:sz w:val="24"/>
    </w:rPr>
  </w:style>
  <w:style w:type="paragraph" w:customStyle="1" w:styleId="3410">
    <w:name w:val="表题1122"/>
    <w:basedOn w:val="23"/>
    <w:qFormat/>
    <w:uiPriority w:val="0"/>
    <w:pPr>
      <w:tabs>
        <w:tab w:val="clear" w:pos="7380"/>
      </w:tabs>
      <w:overflowPunct/>
      <w:spacing w:before="0" w:afterLines="0" w:line="360" w:lineRule="auto"/>
      <w:jc w:val="center"/>
    </w:pPr>
    <w:rPr>
      <w:rFonts w:ascii="黑体" w:cs="Times New Roman"/>
      <w:sz w:val="24"/>
      <w:szCs w:val="24"/>
    </w:rPr>
  </w:style>
  <w:style w:type="paragraph" w:customStyle="1" w:styleId="3411">
    <w:name w:val="燕山正文122"/>
    <w:basedOn w:val="1"/>
    <w:qFormat/>
    <w:uiPriority w:val="0"/>
    <w:pPr>
      <w:tabs>
        <w:tab w:val="left" w:pos="4680"/>
      </w:tabs>
      <w:adjustRightInd w:val="0"/>
      <w:snapToGrid w:val="0"/>
      <w:spacing w:line="480" w:lineRule="exact"/>
    </w:pPr>
    <w:rPr>
      <w:rFonts w:ascii="宋体" w:cs="宋体"/>
      <w:sz w:val="24"/>
    </w:rPr>
  </w:style>
  <w:style w:type="paragraph" w:customStyle="1" w:styleId="3412">
    <w:name w:val="正文修改112"/>
    <w:basedOn w:val="2056"/>
    <w:qFormat/>
    <w:uiPriority w:val="0"/>
    <w:rPr>
      <w:rFonts w:hAnsi="宋体"/>
      <w:color w:val="000000"/>
    </w:rPr>
  </w:style>
  <w:style w:type="character" w:customStyle="1" w:styleId="3413">
    <w:name w:val="正文修改 Char1112"/>
    <w:qFormat/>
    <w:uiPriority w:val="0"/>
    <w:rPr>
      <w:rFonts w:ascii="宋体" w:hAnsi="宋体" w:eastAsia="宋体" w:cs="宋体"/>
      <w:color w:val="000000"/>
      <w:sz w:val="24"/>
      <w:szCs w:val="24"/>
    </w:rPr>
  </w:style>
  <w:style w:type="paragraph" w:customStyle="1" w:styleId="3414">
    <w:name w:val="表中文字122"/>
    <w:basedOn w:val="1"/>
    <w:qFormat/>
    <w:uiPriority w:val="0"/>
    <w:pPr>
      <w:widowControl/>
      <w:spacing w:line="240" w:lineRule="atLeast"/>
      <w:ind w:left="-24" w:leftChars="-10" w:right="-48" w:rightChars="-20"/>
      <w:jc w:val="center"/>
    </w:pPr>
    <w:rPr>
      <w:rFonts w:ascii="宋体"/>
      <w:kern w:val="0"/>
      <w:szCs w:val="21"/>
    </w:rPr>
  </w:style>
  <w:style w:type="paragraph" w:customStyle="1" w:styleId="3415">
    <w:name w:val="表文字5122"/>
    <w:basedOn w:val="1"/>
    <w:qFormat/>
    <w:uiPriority w:val="0"/>
    <w:pPr>
      <w:adjustRightInd w:val="0"/>
      <w:jc w:val="left"/>
      <w:textAlignment w:val="baseline"/>
    </w:pPr>
    <w:rPr>
      <w:rFonts w:ascii="宋体"/>
      <w:kern w:val="0"/>
      <w:szCs w:val="20"/>
    </w:rPr>
  </w:style>
  <w:style w:type="paragraph" w:customStyle="1" w:styleId="3416">
    <w:name w:val="表内文字小31112"/>
    <w:basedOn w:val="1"/>
    <w:qFormat/>
    <w:uiPriority w:val="0"/>
    <w:pPr>
      <w:adjustRightInd w:val="0"/>
      <w:snapToGrid w:val="0"/>
      <w:jc w:val="center"/>
    </w:pPr>
    <w:rPr>
      <w:rFonts w:ascii="宋体" w:hAnsi="Times" w:cs="宋体"/>
      <w:bCs/>
      <w:color w:val="003366"/>
      <w:szCs w:val="20"/>
    </w:rPr>
  </w:style>
  <w:style w:type="paragraph" w:customStyle="1" w:styleId="3417">
    <w:name w:val="样式1112"/>
    <w:basedOn w:val="2105"/>
    <w:qFormat/>
    <w:uiPriority w:val="0"/>
    <w:pPr>
      <w:spacing w:line="240" w:lineRule="auto"/>
      <w:ind w:firstLine="0"/>
      <w:jc w:val="center"/>
    </w:pPr>
    <w:rPr>
      <w:rFonts w:cs="Times New Roman"/>
      <w:b/>
      <w:color w:val="auto"/>
      <w:szCs w:val="20"/>
    </w:rPr>
  </w:style>
  <w:style w:type="paragraph" w:customStyle="1" w:styleId="3418">
    <w:name w:val="正文格式＝212"/>
    <w:basedOn w:val="223"/>
    <w:next w:val="223"/>
    <w:qFormat/>
    <w:uiPriority w:val="0"/>
    <w:rPr>
      <w:rFonts w:hAnsi="宋体" w:cs="Times New Roman"/>
    </w:rPr>
  </w:style>
  <w:style w:type="paragraph" w:customStyle="1" w:styleId="3419">
    <w:name w:val="Char212"/>
    <w:basedOn w:val="1"/>
    <w:qFormat/>
    <w:uiPriority w:val="0"/>
    <w:pPr>
      <w:ind w:left="-48"/>
    </w:pPr>
  </w:style>
  <w:style w:type="paragraph" w:customStyle="1" w:styleId="3420">
    <w:name w:val="表内文字小232"/>
    <w:basedOn w:val="1"/>
    <w:qFormat/>
    <w:uiPriority w:val="0"/>
    <w:pPr>
      <w:adjustRightInd w:val="0"/>
      <w:snapToGrid w:val="0"/>
      <w:jc w:val="center"/>
    </w:pPr>
    <w:rPr>
      <w:rFonts w:ascii="宋体" w:hAnsi="Times"/>
      <w:bCs/>
      <w:color w:val="000000"/>
      <w:szCs w:val="20"/>
    </w:rPr>
  </w:style>
  <w:style w:type="paragraph" w:customStyle="1" w:styleId="3421">
    <w:name w:val="表内5322"/>
    <w:basedOn w:val="1"/>
    <w:qFormat/>
    <w:uiPriority w:val="0"/>
    <w:pPr>
      <w:adjustRightInd w:val="0"/>
      <w:snapToGrid w:val="0"/>
      <w:spacing w:line="300" w:lineRule="auto"/>
      <w:jc w:val="left"/>
    </w:pPr>
    <w:rPr>
      <w:rFonts w:ascii="宋体"/>
      <w:szCs w:val="20"/>
    </w:rPr>
  </w:style>
  <w:style w:type="paragraph" w:customStyle="1" w:styleId="3422">
    <w:name w:val="正文格式312"/>
    <w:basedOn w:val="1"/>
    <w:qFormat/>
    <w:uiPriority w:val="0"/>
    <w:pPr>
      <w:spacing w:line="360" w:lineRule="auto"/>
      <w:ind w:firstLine="482"/>
    </w:pPr>
    <w:rPr>
      <w:rFonts w:ascii="宋体" w:hAnsi="宋体"/>
      <w:sz w:val="24"/>
    </w:rPr>
  </w:style>
  <w:style w:type="paragraph" w:customStyle="1" w:styleId="3423">
    <w:name w:val="Char222"/>
    <w:basedOn w:val="1"/>
    <w:qFormat/>
    <w:uiPriority w:val="0"/>
    <w:pPr>
      <w:adjustRightInd w:val="0"/>
      <w:snapToGrid w:val="0"/>
      <w:spacing w:beforeLines="50" w:line="360" w:lineRule="auto"/>
    </w:pPr>
    <w:rPr>
      <w:rFonts w:ascii="黑体" w:eastAsia="黑体"/>
      <w:sz w:val="32"/>
      <w:szCs w:val="32"/>
    </w:rPr>
  </w:style>
  <w:style w:type="character" w:customStyle="1" w:styleId="3424">
    <w:name w:val="题注 Char212"/>
    <w:qFormat/>
    <w:uiPriority w:val="0"/>
    <w:rPr>
      <w:rFonts w:ascii="黑体" w:hAnsi="Arial" w:eastAsia="黑体" w:cs="Arial"/>
      <w:b/>
      <w:kern w:val="2"/>
      <w:sz w:val="24"/>
      <w:szCs w:val="24"/>
      <w:lang w:val="en-US" w:eastAsia="zh-CN" w:bidi="ar-SA"/>
    </w:rPr>
  </w:style>
  <w:style w:type="paragraph" w:customStyle="1" w:styleId="3425">
    <w:name w:val="图题312"/>
    <w:basedOn w:val="223"/>
    <w:next w:val="223"/>
    <w:qFormat/>
    <w:uiPriority w:val="0"/>
    <w:pPr>
      <w:ind w:firstLine="0"/>
      <w:jc w:val="center"/>
    </w:pPr>
    <w:rPr>
      <w:rFonts w:ascii="黑体" w:hAnsi="宋体" w:eastAsia="黑体"/>
      <w:b/>
      <w:bCs/>
    </w:rPr>
  </w:style>
  <w:style w:type="paragraph" w:customStyle="1" w:styleId="3426">
    <w:name w:val="表格内字体312"/>
    <w:basedOn w:val="223"/>
    <w:next w:val="223"/>
    <w:qFormat/>
    <w:uiPriority w:val="0"/>
    <w:pPr>
      <w:spacing w:line="240" w:lineRule="auto"/>
      <w:ind w:firstLine="0"/>
      <w:jc w:val="center"/>
    </w:pPr>
    <w:rPr>
      <w:rFonts w:hAnsi="宋体" w:cs="Times New Roman"/>
      <w:sz w:val="21"/>
    </w:rPr>
  </w:style>
  <w:style w:type="paragraph" w:customStyle="1" w:styleId="3427">
    <w:name w:val="表内541212"/>
    <w:basedOn w:val="1"/>
    <w:qFormat/>
    <w:uiPriority w:val="0"/>
    <w:pPr>
      <w:adjustRightInd w:val="0"/>
      <w:snapToGrid w:val="0"/>
      <w:spacing w:line="300" w:lineRule="auto"/>
      <w:jc w:val="center"/>
    </w:pPr>
    <w:rPr>
      <w:rFonts w:ascii="宋体" w:hAnsi="宋体" w:cs="宋体"/>
      <w:szCs w:val="20"/>
    </w:rPr>
  </w:style>
  <w:style w:type="paragraph" w:customStyle="1" w:styleId="3428">
    <w:name w:val="表内文字小21212"/>
    <w:basedOn w:val="1"/>
    <w:qFormat/>
    <w:uiPriority w:val="0"/>
    <w:pPr>
      <w:adjustRightInd w:val="0"/>
      <w:snapToGrid w:val="0"/>
      <w:jc w:val="center"/>
    </w:pPr>
    <w:rPr>
      <w:rFonts w:ascii="宋体" w:hAnsi="Times"/>
      <w:bCs/>
      <w:color w:val="000000"/>
      <w:szCs w:val="20"/>
    </w:rPr>
  </w:style>
  <w:style w:type="paragraph" w:customStyle="1" w:styleId="3429">
    <w:name w:val="表题31212"/>
    <w:basedOn w:val="37"/>
    <w:qFormat/>
    <w:uiPriority w:val="0"/>
    <w:pPr>
      <w:tabs>
        <w:tab w:val="left" w:pos="4305"/>
      </w:tabs>
      <w:adjustRightInd w:val="0"/>
      <w:snapToGrid w:val="0"/>
      <w:spacing w:after="0"/>
      <w:ind w:left="0" w:leftChars="0"/>
      <w:jc w:val="center"/>
    </w:pPr>
    <w:rPr>
      <w:rFonts w:ascii="宋体" w:hAnsi="宋体"/>
      <w:sz w:val="24"/>
      <w:szCs w:val="20"/>
    </w:rPr>
  </w:style>
  <w:style w:type="paragraph" w:customStyle="1" w:styleId="3430">
    <w:name w:val="Char Char Char Char Char Char Char42"/>
    <w:basedOn w:val="1"/>
    <w:qFormat/>
    <w:uiPriority w:val="0"/>
  </w:style>
  <w:style w:type="paragraph" w:customStyle="1" w:styleId="3431">
    <w:name w:val="标题431212"/>
    <w:basedOn w:val="1"/>
    <w:qFormat/>
    <w:uiPriority w:val="0"/>
    <w:pPr>
      <w:adjustRightInd w:val="0"/>
      <w:snapToGrid w:val="0"/>
      <w:spacing w:line="480" w:lineRule="exact"/>
      <w:jc w:val="center"/>
    </w:pPr>
    <w:rPr>
      <w:rFonts w:ascii="宋体" w:hAnsi="宋体" w:cs="宋体"/>
      <w:sz w:val="24"/>
    </w:rPr>
  </w:style>
  <w:style w:type="paragraph" w:customStyle="1" w:styleId="3432">
    <w:name w:val="燕山正文11212"/>
    <w:basedOn w:val="1"/>
    <w:qFormat/>
    <w:uiPriority w:val="0"/>
    <w:pPr>
      <w:tabs>
        <w:tab w:val="left" w:pos="4680"/>
      </w:tabs>
      <w:adjustRightInd w:val="0"/>
      <w:snapToGrid w:val="0"/>
      <w:spacing w:line="480" w:lineRule="exact"/>
    </w:pPr>
    <w:rPr>
      <w:rFonts w:ascii="宋体" w:hAnsi="宋体" w:cs="宋体"/>
      <w:bCs/>
      <w:color w:val="000000"/>
      <w:sz w:val="24"/>
    </w:rPr>
  </w:style>
  <w:style w:type="paragraph" w:customStyle="1" w:styleId="3433">
    <w:name w:val="默认段落字体 Para Char Char Char Char212"/>
    <w:basedOn w:val="1"/>
    <w:qFormat/>
    <w:uiPriority w:val="0"/>
  </w:style>
  <w:style w:type="paragraph" w:customStyle="1" w:styleId="3434">
    <w:name w:val="附件212"/>
    <w:basedOn w:val="4"/>
    <w:next w:val="223"/>
    <w:qFormat/>
    <w:uiPriority w:val="0"/>
    <w:pPr>
      <w:spacing w:before="0" w:after="0" w:line="360" w:lineRule="auto"/>
      <w:jc w:val="left"/>
    </w:pPr>
    <w:rPr>
      <w:rFonts w:ascii="黑体" w:hAnsi="宋体" w:eastAsia="黑体"/>
      <w:b w:val="0"/>
      <w:sz w:val="32"/>
      <w:szCs w:val="32"/>
    </w:rPr>
  </w:style>
  <w:style w:type="paragraph" w:customStyle="1" w:styleId="3435">
    <w:name w:val="黑体三号212"/>
    <w:basedOn w:val="223"/>
    <w:qFormat/>
    <w:uiPriority w:val="0"/>
    <w:pPr>
      <w:jc w:val="center"/>
    </w:pPr>
    <w:rPr>
      <w:rFonts w:ascii="黑体" w:hAnsi="宋体" w:eastAsia="黑体"/>
      <w:b/>
      <w:bCs/>
      <w:sz w:val="32"/>
      <w:szCs w:val="20"/>
    </w:rPr>
  </w:style>
  <w:style w:type="paragraph" w:customStyle="1" w:styleId="3436">
    <w:name w:val="表212"/>
    <w:basedOn w:val="1"/>
    <w:qFormat/>
    <w:uiPriority w:val="0"/>
    <w:pPr>
      <w:adjustRightInd w:val="0"/>
      <w:snapToGrid w:val="0"/>
      <w:jc w:val="center"/>
    </w:pPr>
    <w:rPr>
      <w:rFonts w:eastAsia="仿宋_GB2312"/>
      <w:sz w:val="24"/>
    </w:rPr>
  </w:style>
  <w:style w:type="paragraph" w:customStyle="1" w:styleId="3437">
    <w:name w:val="表题1212"/>
    <w:basedOn w:val="23"/>
    <w:qFormat/>
    <w:uiPriority w:val="0"/>
    <w:pPr>
      <w:tabs>
        <w:tab w:val="clear" w:pos="7380"/>
      </w:tabs>
      <w:overflowPunct/>
      <w:spacing w:before="0" w:afterLines="0" w:line="360" w:lineRule="auto"/>
      <w:jc w:val="center"/>
    </w:pPr>
    <w:rPr>
      <w:rFonts w:ascii="黑体" w:cs="Times New Roman"/>
      <w:sz w:val="24"/>
      <w:szCs w:val="24"/>
    </w:rPr>
  </w:style>
  <w:style w:type="paragraph" w:customStyle="1" w:styleId="3438">
    <w:name w:val="燕山正文212"/>
    <w:basedOn w:val="1"/>
    <w:qFormat/>
    <w:uiPriority w:val="0"/>
    <w:pPr>
      <w:tabs>
        <w:tab w:val="left" w:pos="4680"/>
      </w:tabs>
      <w:adjustRightInd w:val="0"/>
      <w:snapToGrid w:val="0"/>
      <w:spacing w:line="480" w:lineRule="exact"/>
    </w:pPr>
    <w:rPr>
      <w:rFonts w:ascii="宋体" w:cs="宋体"/>
      <w:sz w:val="24"/>
    </w:rPr>
  </w:style>
  <w:style w:type="paragraph" w:customStyle="1" w:styleId="3439">
    <w:name w:val="正文修改212"/>
    <w:basedOn w:val="2056"/>
    <w:qFormat/>
    <w:uiPriority w:val="0"/>
    <w:rPr>
      <w:rFonts w:hAnsi="宋体"/>
      <w:color w:val="000000"/>
    </w:rPr>
  </w:style>
  <w:style w:type="character" w:customStyle="1" w:styleId="3440">
    <w:name w:val="正文修改 Char1212"/>
    <w:qFormat/>
    <w:uiPriority w:val="0"/>
    <w:rPr>
      <w:rFonts w:ascii="宋体" w:hAnsi="宋体" w:eastAsia="宋体" w:cs="宋体"/>
      <w:color w:val="000000"/>
      <w:sz w:val="24"/>
      <w:szCs w:val="24"/>
    </w:rPr>
  </w:style>
  <w:style w:type="paragraph" w:customStyle="1" w:styleId="3441">
    <w:name w:val="表中文字212"/>
    <w:basedOn w:val="1"/>
    <w:qFormat/>
    <w:uiPriority w:val="0"/>
    <w:pPr>
      <w:widowControl/>
      <w:adjustRightInd w:val="0"/>
      <w:spacing w:line="240" w:lineRule="atLeast"/>
      <w:ind w:right="-42" w:rightChars="-20"/>
      <w:jc w:val="center"/>
      <w:textAlignment w:val="baseline"/>
    </w:pPr>
    <w:rPr>
      <w:rFonts w:ascii="宋体"/>
      <w:kern w:val="0"/>
      <w:szCs w:val="21"/>
    </w:rPr>
  </w:style>
  <w:style w:type="paragraph" w:customStyle="1" w:styleId="3442">
    <w:name w:val="表文字5212"/>
    <w:basedOn w:val="1"/>
    <w:qFormat/>
    <w:uiPriority w:val="0"/>
    <w:pPr>
      <w:adjustRightInd w:val="0"/>
      <w:jc w:val="left"/>
      <w:textAlignment w:val="baseline"/>
    </w:pPr>
    <w:rPr>
      <w:rFonts w:ascii="宋体"/>
      <w:kern w:val="0"/>
      <w:szCs w:val="20"/>
    </w:rPr>
  </w:style>
  <w:style w:type="paragraph" w:customStyle="1" w:styleId="3443">
    <w:name w:val="表内文字小31212"/>
    <w:basedOn w:val="1"/>
    <w:qFormat/>
    <w:uiPriority w:val="0"/>
    <w:pPr>
      <w:adjustRightInd w:val="0"/>
      <w:snapToGrid w:val="0"/>
      <w:jc w:val="center"/>
    </w:pPr>
    <w:rPr>
      <w:rFonts w:ascii="宋体" w:hAnsi="Times" w:cs="宋体"/>
      <w:bCs/>
      <w:color w:val="003366"/>
      <w:szCs w:val="20"/>
    </w:rPr>
  </w:style>
  <w:style w:type="paragraph" w:customStyle="1" w:styleId="3444">
    <w:name w:val="样式1212"/>
    <w:basedOn w:val="2105"/>
    <w:qFormat/>
    <w:uiPriority w:val="0"/>
    <w:pPr>
      <w:spacing w:line="240" w:lineRule="auto"/>
      <w:ind w:firstLine="0"/>
      <w:jc w:val="center"/>
    </w:pPr>
    <w:rPr>
      <w:rFonts w:cs="Times New Roman"/>
      <w:b/>
      <w:color w:val="auto"/>
      <w:szCs w:val="20"/>
    </w:rPr>
  </w:style>
  <w:style w:type="paragraph" w:customStyle="1" w:styleId="3445">
    <w:name w:val="正文格式＝312"/>
    <w:basedOn w:val="223"/>
    <w:next w:val="223"/>
    <w:qFormat/>
    <w:uiPriority w:val="0"/>
    <w:rPr>
      <w:rFonts w:hAnsi="宋体" w:cs="Times New Roman"/>
    </w:rPr>
  </w:style>
  <w:style w:type="paragraph" w:customStyle="1" w:styleId="3446">
    <w:name w:val="Char312"/>
    <w:basedOn w:val="1"/>
    <w:qFormat/>
    <w:uiPriority w:val="0"/>
    <w:pPr>
      <w:ind w:left="-48"/>
    </w:pPr>
  </w:style>
  <w:style w:type="paragraph" w:customStyle="1" w:styleId="3447">
    <w:name w:val="表内文字小2212"/>
    <w:basedOn w:val="1"/>
    <w:qFormat/>
    <w:uiPriority w:val="0"/>
    <w:pPr>
      <w:adjustRightInd w:val="0"/>
      <w:snapToGrid w:val="0"/>
      <w:jc w:val="center"/>
    </w:pPr>
    <w:rPr>
      <w:rFonts w:ascii="宋体" w:hAnsi="Times"/>
      <w:bCs/>
      <w:color w:val="000000"/>
      <w:szCs w:val="20"/>
    </w:rPr>
  </w:style>
  <w:style w:type="paragraph" w:customStyle="1" w:styleId="3448">
    <w:name w:val="表内53112"/>
    <w:basedOn w:val="1"/>
    <w:qFormat/>
    <w:uiPriority w:val="0"/>
    <w:pPr>
      <w:adjustRightInd w:val="0"/>
      <w:snapToGrid w:val="0"/>
      <w:spacing w:line="300" w:lineRule="auto"/>
      <w:jc w:val="left"/>
    </w:pPr>
    <w:rPr>
      <w:rFonts w:ascii="宋体"/>
      <w:szCs w:val="20"/>
    </w:rPr>
  </w:style>
  <w:style w:type="paragraph" w:customStyle="1" w:styleId="3449">
    <w:name w:val="正文格式2112"/>
    <w:basedOn w:val="1"/>
    <w:qFormat/>
    <w:uiPriority w:val="0"/>
    <w:pPr>
      <w:spacing w:line="360" w:lineRule="auto"/>
      <w:ind w:firstLine="482"/>
    </w:pPr>
    <w:rPr>
      <w:rFonts w:ascii="宋体" w:hAnsi="宋体"/>
      <w:sz w:val="24"/>
    </w:rPr>
  </w:style>
  <w:style w:type="paragraph" w:customStyle="1" w:styleId="3450">
    <w:name w:val="图题2112"/>
    <w:basedOn w:val="223"/>
    <w:next w:val="223"/>
    <w:qFormat/>
    <w:uiPriority w:val="0"/>
    <w:pPr>
      <w:ind w:firstLine="0"/>
      <w:jc w:val="center"/>
    </w:pPr>
    <w:rPr>
      <w:rFonts w:ascii="黑体" w:hAnsi="宋体" w:eastAsia="黑体"/>
      <w:b/>
      <w:bCs/>
    </w:rPr>
  </w:style>
  <w:style w:type="paragraph" w:customStyle="1" w:styleId="3451">
    <w:name w:val="表格内字体2112"/>
    <w:basedOn w:val="223"/>
    <w:next w:val="223"/>
    <w:qFormat/>
    <w:uiPriority w:val="0"/>
    <w:pPr>
      <w:spacing w:line="240" w:lineRule="auto"/>
      <w:ind w:firstLine="0"/>
      <w:jc w:val="center"/>
    </w:pPr>
    <w:rPr>
      <w:rFonts w:hAnsi="宋体" w:cs="Times New Roman"/>
      <w:sz w:val="21"/>
    </w:rPr>
  </w:style>
  <w:style w:type="paragraph" w:customStyle="1" w:styleId="3452">
    <w:name w:val="表题11112"/>
    <w:basedOn w:val="23"/>
    <w:qFormat/>
    <w:uiPriority w:val="0"/>
    <w:pPr>
      <w:tabs>
        <w:tab w:val="clear" w:pos="7380"/>
      </w:tabs>
      <w:overflowPunct/>
      <w:spacing w:before="0" w:afterLines="0" w:line="360" w:lineRule="auto"/>
      <w:jc w:val="center"/>
    </w:pPr>
    <w:rPr>
      <w:rFonts w:ascii="黑体" w:cs="Times New Roman"/>
      <w:sz w:val="24"/>
      <w:szCs w:val="24"/>
    </w:rPr>
  </w:style>
  <w:style w:type="paragraph" w:customStyle="1" w:styleId="3453">
    <w:name w:val="表中文字1112"/>
    <w:basedOn w:val="1"/>
    <w:qFormat/>
    <w:uiPriority w:val="0"/>
    <w:pPr>
      <w:widowControl/>
      <w:spacing w:line="240" w:lineRule="atLeast"/>
      <w:ind w:left="-24" w:leftChars="-10" w:right="-48" w:rightChars="-20"/>
      <w:jc w:val="center"/>
    </w:pPr>
    <w:rPr>
      <w:rFonts w:ascii="宋体"/>
      <w:kern w:val="0"/>
      <w:szCs w:val="21"/>
    </w:rPr>
  </w:style>
  <w:style w:type="paragraph" w:customStyle="1" w:styleId="3454">
    <w:name w:val="表文字51112"/>
    <w:basedOn w:val="1"/>
    <w:qFormat/>
    <w:uiPriority w:val="0"/>
    <w:pPr>
      <w:adjustRightInd w:val="0"/>
      <w:jc w:val="left"/>
      <w:textAlignment w:val="baseline"/>
    </w:pPr>
    <w:rPr>
      <w:rFonts w:ascii="宋体"/>
      <w:kern w:val="0"/>
      <w:szCs w:val="20"/>
    </w:rPr>
  </w:style>
  <w:style w:type="paragraph" w:customStyle="1" w:styleId="3455">
    <w:name w:val="正文格式412"/>
    <w:basedOn w:val="1"/>
    <w:qFormat/>
    <w:uiPriority w:val="0"/>
    <w:pPr>
      <w:spacing w:line="360" w:lineRule="auto"/>
      <w:ind w:firstLine="482"/>
    </w:pPr>
    <w:rPr>
      <w:rFonts w:ascii="宋体" w:hAnsi="宋体"/>
      <w:sz w:val="24"/>
    </w:rPr>
  </w:style>
  <w:style w:type="paragraph" w:customStyle="1" w:styleId="3456">
    <w:name w:val="图题412"/>
    <w:basedOn w:val="223"/>
    <w:next w:val="223"/>
    <w:qFormat/>
    <w:uiPriority w:val="0"/>
    <w:pPr>
      <w:ind w:firstLine="0"/>
      <w:jc w:val="center"/>
    </w:pPr>
    <w:rPr>
      <w:rFonts w:ascii="黑体" w:hAnsi="宋体" w:eastAsia="黑体"/>
      <w:b/>
      <w:bCs/>
    </w:rPr>
  </w:style>
  <w:style w:type="paragraph" w:customStyle="1" w:styleId="3457">
    <w:name w:val="表格内字体412"/>
    <w:basedOn w:val="223"/>
    <w:next w:val="223"/>
    <w:qFormat/>
    <w:uiPriority w:val="0"/>
    <w:pPr>
      <w:spacing w:line="240" w:lineRule="auto"/>
      <w:ind w:firstLine="0"/>
      <w:jc w:val="center"/>
    </w:pPr>
    <w:rPr>
      <w:rFonts w:hAnsi="宋体" w:cs="Times New Roman"/>
      <w:sz w:val="21"/>
    </w:rPr>
  </w:style>
  <w:style w:type="paragraph" w:customStyle="1" w:styleId="3458">
    <w:name w:val="Char412"/>
    <w:basedOn w:val="1"/>
    <w:qFormat/>
    <w:uiPriority w:val="0"/>
    <w:pPr>
      <w:ind w:left="-48"/>
    </w:pPr>
  </w:style>
  <w:style w:type="paragraph" w:customStyle="1" w:styleId="3459">
    <w:name w:val="正文格式＝412"/>
    <w:basedOn w:val="223"/>
    <w:next w:val="223"/>
    <w:qFormat/>
    <w:uiPriority w:val="0"/>
    <w:rPr>
      <w:rFonts w:hAnsi="宋体" w:cs="Times New Roman"/>
    </w:rPr>
  </w:style>
  <w:style w:type="paragraph" w:customStyle="1" w:styleId="3460">
    <w:name w:val="表题1312"/>
    <w:basedOn w:val="23"/>
    <w:qFormat/>
    <w:uiPriority w:val="0"/>
    <w:pPr>
      <w:tabs>
        <w:tab w:val="clear" w:pos="7380"/>
      </w:tabs>
      <w:overflowPunct/>
      <w:spacing w:before="0" w:afterLines="0" w:line="360" w:lineRule="auto"/>
      <w:jc w:val="center"/>
    </w:pPr>
    <w:rPr>
      <w:rFonts w:ascii="黑体" w:cs="Times New Roman"/>
      <w:b/>
      <w:sz w:val="24"/>
      <w:szCs w:val="24"/>
    </w:rPr>
  </w:style>
  <w:style w:type="paragraph" w:customStyle="1" w:styleId="3461">
    <w:name w:val="默认段落字体 Para Char112"/>
    <w:basedOn w:val="1"/>
    <w:next w:val="1"/>
    <w:qFormat/>
    <w:uiPriority w:val="0"/>
    <w:pPr>
      <w:spacing w:line="480" w:lineRule="exact"/>
      <w:ind w:firstLine="200" w:firstLineChars="200"/>
      <w:jc w:val="left"/>
    </w:pPr>
    <w:rPr>
      <w:rFonts w:ascii="宋体" w:hAnsi="宋体" w:eastAsia="汉鼎简书宋" w:cs="宋体"/>
      <w:sz w:val="28"/>
    </w:rPr>
  </w:style>
  <w:style w:type="paragraph" w:customStyle="1" w:styleId="3462">
    <w:name w:val="23-47表名12"/>
    <w:basedOn w:val="1"/>
    <w:qFormat/>
    <w:uiPriority w:val="0"/>
    <w:pPr>
      <w:spacing w:afterLines="50" w:line="440" w:lineRule="exact"/>
      <w:jc w:val="center"/>
    </w:pPr>
    <w:rPr>
      <w:rFonts w:ascii="宋体" w:hAnsi="宋体"/>
      <w:b/>
      <w:sz w:val="24"/>
    </w:rPr>
  </w:style>
  <w:style w:type="paragraph" w:customStyle="1" w:styleId="3463">
    <w:name w:val="xl2412"/>
    <w:basedOn w:val="1"/>
    <w:qFormat/>
    <w:uiPriority w:val="0"/>
    <w:pPr>
      <w:widowControl/>
      <w:pBdr>
        <w:bottom w:val="single" w:color="auto" w:sz="4" w:space="0"/>
        <w:right w:val="single" w:color="auto" w:sz="4" w:space="0"/>
      </w:pBdr>
      <w:spacing w:before="100" w:beforeAutospacing="1" w:after="100" w:afterAutospacing="1"/>
      <w:jc w:val="center"/>
    </w:pPr>
    <w:rPr>
      <w:kern w:val="0"/>
      <w:szCs w:val="21"/>
    </w:rPr>
  </w:style>
  <w:style w:type="paragraph" w:customStyle="1" w:styleId="3464">
    <w:name w:val="Char Char Char Char Char Char Char122"/>
    <w:basedOn w:val="1"/>
    <w:qFormat/>
    <w:uiPriority w:val="0"/>
    <w:rPr>
      <w:szCs w:val="20"/>
    </w:rPr>
  </w:style>
  <w:style w:type="paragraph" w:customStyle="1" w:styleId="3465">
    <w:name w:val="Char512"/>
    <w:basedOn w:val="1"/>
    <w:qFormat/>
    <w:uiPriority w:val="0"/>
    <w:pPr>
      <w:adjustRightInd w:val="0"/>
      <w:snapToGrid w:val="0"/>
      <w:ind w:left="-45"/>
    </w:pPr>
  </w:style>
  <w:style w:type="paragraph" w:customStyle="1" w:styleId="3466">
    <w:name w:val="燕山正文11312"/>
    <w:basedOn w:val="1"/>
    <w:qFormat/>
    <w:uiPriority w:val="0"/>
    <w:pPr>
      <w:tabs>
        <w:tab w:val="left" w:pos="4680"/>
      </w:tabs>
      <w:adjustRightInd w:val="0"/>
      <w:snapToGrid w:val="0"/>
      <w:spacing w:line="360" w:lineRule="auto"/>
      <w:ind w:firstLine="480" w:firstLineChars="200"/>
    </w:pPr>
    <w:rPr>
      <w:rFonts w:ascii="宋体" w:hAnsi="宋体" w:cs="宋体"/>
      <w:bCs/>
      <w:snapToGrid w:val="0"/>
      <w:color w:val="000000"/>
      <w:kern w:val="0"/>
      <w:sz w:val="24"/>
    </w:rPr>
  </w:style>
  <w:style w:type="paragraph" w:customStyle="1" w:styleId="3467">
    <w:name w:val="正文格式512"/>
    <w:basedOn w:val="1"/>
    <w:qFormat/>
    <w:uiPriority w:val="0"/>
    <w:pPr>
      <w:spacing w:line="360" w:lineRule="auto"/>
      <w:ind w:firstLine="482"/>
    </w:pPr>
    <w:rPr>
      <w:rFonts w:ascii="宋体" w:hAnsi="宋体"/>
      <w:sz w:val="24"/>
    </w:rPr>
  </w:style>
  <w:style w:type="paragraph" w:customStyle="1" w:styleId="3468">
    <w:name w:val="Char322"/>
    <w:basedOn w:val="1"/>
    <w:qFormat/>
    <w:uiPriority w:val="0"/>
    <w:pPr>
      <w:ind w:left="-48"/>
    </w:pPr>
  </w:style>
  <w:style w:type="character" w:customStyle="1" w:styleId="3469">
    <w:name w:val="题注 Char312"/>
    <w:qFormat/>
    <w:uiPriority w:val="0"/>
    <w:rPr>
      <w:rFonts w:ascii="黑体" w:hAnsi="Arial" w:eastAsia="黑体" w:cs="Arial"/>
      <w:b/>
      <w:kern w:val="2"/>
      <w:sz w:val="24"/>
      <w:szCs w:val="24"/>
      <w:lang w:val="en-US" w:eastAsia="zh-CN" w:bidi="ar-SA"/>
    </w:rPr>
  </w:style>
  <w:style w:type="paragraph" w:customStyle="1" w:styleId="3470">
    <w:name w:val="图题512"/>
    <w:basedOn w:val="223"/>
    <w:next w:val="223"/>
    <w:qFormat/>
    <w:uiPriority w:val="0"/>
    <w:pPr>
      <w:ind w:firstLine="0"/>
      <w:jc w:val="center"/>
    </w:pPr>
    <w:rPr>
      <w:rFonts w:ascii="黑体" w:hAnsi="宋体" w:eastAsia="黑体"/>
      <w:b/>
      <w:bCs/>
    </w:rPr>
  </w:style>
  <w:style w:type="paragraph" w:customStyle="1" w:styleId="3471">
    <w:name w:val="表格内字体512"/>
    <w:basedOn w:val="223"/>
    <w:next w:val="223"/>
    <w:qFormat/>
    <w:uiPriority w:val="0"/>
    <w:pPr>
      <w:adjustRightInd w:val="0"/>
      <w:snapToGrid w:val="0"/>
      <w:spacing w:line="240" w:lineRule="auto"/>
      <w:ind w:firstLine="0"/>
    </w:pPr>
    <w:rPr>
      <w:rFonts w:hAnsi="宋体" w:cs="Times New Roman"/>
      <w:sz w:val="21"/>
    </w:rPr>
  </w:style>
  <w:style w:type="paragraph" w:customStyle="1" w:styleId="3472">
    <w:name w:val="表312"/>
    <w:basedOn w:val="1"/>
    <w:qFormat/>
    <w:uiPriority w:val="0"/>
    <w:pPr>
      <w:adjustRightInd w:val="0"/>
      <w:snapToGrid w:val="0"/>
      <w:jc w:val="center"/>
    </w:pPr>
    <w:rPr>
      <w:rFonts w:eastAsia="仿宋_GB2312"/>
      <w:sz w:val="24"/>
    </w:rPr>
  </w:style>
  <w:style w:type="paragraph" w:customStyle="1" w:styleId="3473">
    <w:name w:val="正文.112"/>
    <w:qFormat/>
    <w:uiPriority w:val="0"/>
    <w:pPr>
      <w:widowControl w:val="0"/>
      <w:autoSpaceDE w:val="0"/>
      <w:autoSpaceDN w:val="0"/>
      <w:adjustRightInd w:val="0"/>
      <w:jc w:val="both"/>
    </w:pPr>
    <w:rPr>
      <w:rFonts w:ascii="Times New Roman;Symbol;Arial;婼" w:hAnsi="Times New Roman" w:eastAsia="Times New Roman;Symbol;Arial;婼" w:cs="Times New Roman"/>
      <w:sz w:val="21"/>
      <w:szCs w:val="21"/>
      <w:lang w:val="en-US" w:eastAsia="zh-CN" w:bidi="ar-SA"/>
    </w:rPr>
  </w:style>
  <w:style w:type="paragraph" w:customStyle="1" w:styleId="3474">
    <w:name w:val="文本框112"/>
    <w:basedOn w:val="1"/>
    <w:qFormat/>
    <w:uiPriority w:val="0"/>
    <w:pPr>
      <w:adjustRightInd w:val="0"/>
      <w:snapToGrid w:val="0"/>
      <w:spacing w:after="6"/>
      <w:jc w:val="center"/>
    </w:pPr>
    <w:rPr>
      <w:rFonts w:eastAsia="仿宋_GB2312"/>
    </w:rPr>
  </w:style>
  <w:style w:type="paragraph" w:customStyle="1" w:styleId="3475">
    <w:name w:val="表内宋511112"/>
    <w:basedOn w:val="81"/>
    <w:qFormat/>
    <w:uiPriority w:val="0"/>
    <w:pPr>
      <w:widowControl/>
      <w:adjustRightInd w:val="0"/>
      <w:snapToGrid w:val="0"/>
    </w:pPr>
    <w:rPr>
      <w:rFonts w:ascii="宋体" w:hAnsi="宋体" w:cs="宋体"/>
      <w:color w:val="000000"/>
      <w:kern w:val="0"/>
      <w:sz w:val="21"/>
      <w:lang w:val="zh-CN"/>
    </w:rPr>
  </w:style>
  <w:style w:type="paragraph" w:customStyle="1" w:styleId="3476">
    <w:name w:val="表内文字小31312"/>
    <w:basedOn w:val="1"/>
    <w:qFormat/>
    <w:uiPriority w:val="0"/>
    <w:pPr>
      <w:adjustRightInd w:val="0"/>
      <w:snapToGrid w:val="0"/>
      <w:jc w:val="center"/>
    </w:pPr>
    <w:rPr>
      <w:rFonts w:ascii="宋体" w:hAnsi="Times" w:cs="宋体"/>
      <w:bCs/>
      <w:color w:val="003366"/>
      <w:szCs w:val="20"/>
    </w:rPr>
  </w:style>
  <w:style w:type="paragraph" w:customStyle="1" w:styleId="3477">
    <w:name w:val="表文字5312"/>
    <w:basedOn w:val="1"/>
    <w:qFormat/>
    <w:uiPriority w:val="0"/>
    <w:pPr>
      <w:adjustRightInd w:val="0"/>
      <w:jc w:val="left"/>
      <w:textAlignment w:val="baseline"/>
    </w:pPr>
    <w:rPr>
      <w:rFonts w:ascii="宋体"/>
      <w:kern w:val="0"/>
      <w:szCs w:val="20"/>
    </w:rPr>
  </w:style>
  <w:style w:type="paragraph" w:customStyle="1" w:styleId="3478">
    <w:name w:val="正文2112"/>
    <w:qFormat/>
    <w:uiPriority w:val="0"/>
    <w:pPr>
      <w:adjustRightInd w:val="0"/>
      <w:snapToGrid w:val="0"/>
      <w:spacing w:line="480" w:lineRule="atLeast"/>
      <w:jc w:val="center"/>
    </w:pPr>
    <w:rPr>
      <w:rFonts w:ascii="宋体" w:hAnsi="Times New Roman" w:eastAsia="宋体" w:cs="Times New Roman"/>
      <w:snapToGrid w:val="0"/>
      <w:spacing w:val="6"/>
      <w:sz w:val="21"/>
      <w:lang w:val="en-US" w:eastAsia="zh-CN" w:bidi="ar-SA"/>
    </w:rPr>
  </w:style>
  <w:style w:type="paragraph" w:customStyle="1" w:styleId="3479">
    <w:name w:val="Char Char Char Char Char Char Char212"/>
    <w:basedOn w:val="1"/>
    <w:qFormat/>
    <w:uiPriority w:val="0"/>
  </w:style>
  <w:style w:type="paragraph" w:customStyle="1" w:styleId="3480">
    <w:name w:val="表题31312"/>
    <w:basedOn w:val="37"/>
    <w:qFormat/>
    <w:uiPriority w:val="0"/>
    <w:pPr>
      <w:tabs>
        <w:tab w:val="left" w:pos="4305"/>
      </w:tabs>
      <w:adjustRightInd w:val="0"/>
      <w:snapToGrid w:val="0"/>
      <w:spacing w:after="0"/>
      <w:ind w:left="0" w:leftChars="0"/>
      <w:jc w:val="center"/>
    </w:pPr>
    <w:rPr>
      <w:rFonts w:ascii="宋体" w:hAnsi="宋体"/>
      <w:sz w:val="24"/>
      <w:szCs w:val="20"/>
    </w:rPr>
  </w:style>
  <w:style w:type="paragraph" w:customStyle="1" w:styleId="3481">
    <w:name w:val="表内文字小21312"/>
    <w:basedOn w:val="1"/>
    <w:qFormat/>
    <w:uiPriority w:val="0"/>
    <w:pPr>
      <w:adjustRightInd w:val="0"/>
      <w:snapToGrid w:val="0"/>
      <w:jc w:val="center"/>
      <w:textAlignment w:val="baseline"/>
    </w:pPr>
    <w:rPr>
      <w:rFonts w:ascii="宋体" w:hAnsi="Times"/>
      <w:bCs/>
      <w:color w:val="000000"/>
      <w:szCs w:val="20"/>
    </w:rPr>
  </w:style>
  <w:style w:type="paragraph" w:customStyle="1" w:styleId="3482">
    <w:name w:val="燕山正文312"/>
    <w:basedOn w:val="1"/>
    <w:qFormat/>
    <w:uiPriority w:val="0"/>
    <w:pPr>
      <w:tabs>
        <w:tab w:val="left" w:pos="4680"/>
      </w:tabs>
      <w:adjustRightInd w:val="0"/>
      <w:snapToGrid w:val="0"/>
      <w:spacing w:line="480" w:lineRule="exact"/>
    </w:pPr>
    <w:rPr>
      <w:rFonts w:ascii="宋体" w:cs="宋体"/>
      <w:sz w:val="24"/>
    </w:rPr>
  </w:style>
  <w:style w:type="paragraph" w:customStyle="1" w:styleId="3483">
    <w:name w:val="正文修改312"/>
    <w:basedOn w:val="2056"/>
    <w:qFormat/>
    <w:uiPriority w:val="0"/>
    <w:rPr>
      <w:rFonts w:hAnsi="宋体"/>
      <w:color w:val="000000"/>
    </w:rPr>
  </w:style>
  <w:style w:type="character" w:customStyle="1" w:styleId="3484">
    <w:name w:val="正文修改 Char1312"/>
    <w:qFormat/>
    <w:uiPriority w:val="0"/>
    <w:rPr>
      <w:rFonts w:ascii="宋体" w:hAnsi="宋体" w:eastAsia="宋体" w:cs="宋体"/>
      <w:color w:val="000000"/>
      <w:sz w:val="24"/>
      <w:szCs w:val="24"/>
    </w:rPr>
  </w:style>
  <w:style w:type="paragraph" w:customStyle="1" w:styleId="3485">
    <w:name w:val="表题1422"/>
    <w:basedOn w:val="23"/>
    <w:qFormat/>
    <w:uiPriority w:val="0"/>
    <w:pPr>
      <w:tabs>
        <w:tab w:val="clear" w:pos="7380"/>
      </w:tabs>
      <w:overflowPunct/>
      <w:spacing w:before="0" w:afterLines="0" w:line="360" w:lineRule="auto"/>
      <w:jc w:val="center"/>
    </w:pPr>
    <w:rPr>
      <w:rFonts w:ascii="黑体" w:cs="Times New Roman"/>
      <w:b/>
      <w:sz w:val="24"/>
      <w:szCs w:val="24"/>
    </w:rPr>
  </w:style>
  <w:style w:type="character" w:customStyle="1" w:styleId="3486">
    <w:name w:val="表题1 Char412"/>
    <w:qFormat/>
    <w:uiPriority w:val="0"/>
    <w:rPr>
      <w:rFonts w:ascii="黑体" w:hAnsi="Arial" w:eastAsia="黑体" w:cs="Arial"/>
      <w:b/>
      <w:kern w:val="2"/>
      <w:sz w:val="24"/>
      <w:szCs w:val="24"/>
      <w:lang w:val="en-US" w:eastAsia="zh-CN" w:bidi="ar-SA"/>
    </w:rPr>
  </w:style>
  <w:style w:type="paragraph" w:customStyle="1" w:styleId="3487">
    <w:name w:val="表中文字312"/>
    <w:basedOn w:val="1"/>
    <w:qFormat/>
    <w:uiPriority w:val="0"/>
    <w:pPr>
      <w:widowControl/>
      <w:spacing w:line="240" w:lineRule="atLeast"/>
      <w:ind w:left="-24" w:leftChars="-10" w:right="-48" w:rightChars="-20"/>
      <w:jc w:val="center"/>
    </w:pPr>
    <w:rPr>
      <w:rFonts w:ascii="宋体"/>
      <w:kern w:val="0"/>
      <w:szCs w:val="21"/>
    </w:rPr>
  </w:style>
  <w:style w:type="paragraph" w:customStyle="1" w:styleId="3488">
    <w:name w:val="黑体三号312"/>
    <w:basedOn w:val="223"/>
    <w:qFormat/>
    <w:uiPriority w:val="0"/>
    <w:pPr>
      <w:jc w:val="center"/>
    </w:pPr>
    <w:rPr>
      <w:rFonts w:ascii="黑体" w:hAnsi="宋体" w:eastAsia="黑体"/>
      <w:b/>
      <w:bCs/>
      <w:sz w:val="32"/>
      <w:szCs w:val="20"/>
    </w:rPr>
  </w:style>
  <w:style w:type="paragraph" w:customStyle="1" w:styleId="3489">
    <w:name w:val="默认段落字体 Para Char Char Char Char312"/>
    <w:basedOn w:val="1"/>
    <w:qFormat/>
    <w:uiPriority w:val="0"/>
  </w:style>
  <w:style w:type="paragraph" w:customStyle="1" w:styleId="3490">
    <w:name w:val="表内541312"/>
    <w:basedOn w:val="1"/>
    <w:qFormat/>
    <w:uiPriority w:val="0"/>
    <w:pPr>
      <w:adjustRightInd w:val="0"/>
      <w:snapToGrid w:val="0"/>
      <w:spacing w:line="300" w:lineRule="auto"/>
      <w:jc w:val="center"/>
    </w:pPr>
    <w:rPr>
      <w:rFonts w:ascii="宋体" w:hAnsi="宋体" w:cs="宋体"/>
      <w:szCs w:val="20"/>
    </w:rPr>
  </w:style>
  <w:style w:type="paragraph" w:customStyle="1" w:styleId="3491">
    <w:name w:val="标题422"/>
    <w:basedOn w:val="1"/>
    <w:qFormat/>
    <w:uiPriority w:val="0"/>
    <w:pPr>
      <w:adjustRightInd w:val="0"/>
      <w:snapToGrid w:val="0"/>
      <w:spacing w:line="300" w:lineRule="auto"/>
      <w:jc w:val="left"/>
    </w:pPr>
    <w:rPr>
      <w:rFonts w:ascii="黑体" w:eastAsia="黑体"/>
      <w:bCs/>
      <w:sz w:val="24"/>
    </w:rPr>
  </w:style>
  <w:style w:type="paragraph" w:customStyle="1" w:styleId="3492">
    <w:name w:val="Char612"/>
    <w:basedOn w:val="1"/>
    <w:qFormat/>
    <w:uiPriority w:val="0"/>
    <w:pPr>
      <w:adjustRightInd w:val="0"/>
      <w:snapToGrid w:val="0"/>
      <w:spacing w:beforeLines="50" w:line="360" w:lineRule="auto"/>
    </w:pPr>
    <w:rPr>
      <w:rFonts w:ascii="黑体" w:eastAsia="黑体"/>
      <w:sz w:val="32"/>
      <w:szCs w:val="32"/>
    </w:rPr>
  </w:style>
  <w:style w:type="paragraph" w:customStyle="1" w:styleId="3493">
    <w:name w:val="表题21112"/>
    <w:basedOn w:val="1"/>
    <w:qFormat/>
    <w:uiPriority w:val="0"/>
    <w:pPr>
      <w:widowControl/>
      <w:adjustRightInd w:val="0"/>
      <w:snapToGrid w:val="0"/>
      <w:jc w:val="center"/>
    </w:pPr>
    <w:rPr>
      <w:rFonts w:ascii="黑体" w:hAnsi="宋体" w:eastAsia="黑体" w:cs="宋体"/>
      <w:kern w:val="0"/>
      <w:sz w:val="24"/>
    </w:rPr>
  </w:style>
  <w:style w:type="paragraph" w:customStyle="1" w:styleId="3494">
    <w:name w:val="表内宋5中1112"/>
    <w:basedOn w:val="1"/>
    <w:qFormat/>
    <w:uiPriority w:val="0"/>
    <w:pPr>
      <w:adjustRightInd w:val="0"/>
      <w:snapToGrid w:val="0"/>
      <w:jc w:val="center"/>
      <w:textAlignment w:val="baseline"/>
    </w:pPr>
    <w:rPr>
      <w:rFonts w:ascii="宋体" w:hAnsi="宋体" w:cs="宋体"/>
      <w:kern w:val="0"/>
      <w:szCs w:val="20"/>
    </w:rPr>
  </w:style>
  <w:style w:type="paragraph" w:customStyle="1" w:styleId="3495">
    <w:name w:val="表内宋5中122"/>
    <w:basedOn w:val="1"/>
    <w:qFormat/>
    <w:uiPriority w:val="0"/>
    <w:pPr>
      <w:adjustRightInd w:val="0"/>
      <w:snapToGrid w:val="0"/>
      <w:jc w:val="center"/>
      <w:textAlignment w:val="baseline"/>
    </w:pPr>
    <w:rPr>
      <w:rFonts w:ascii="宋体" w:hAnsi="宋体" w:cs="宋体"/>
      <w:kern w:val="0"/>
      <w:szCs w:val="20"/>
    </w:rPr>
  </w:style>
  <w:style w:type="paragraph" w:customStyle="1" w:styleId="3496">
    <w:name w:val="表内文字小1112"/>
    <w:basedOn w:val="1"/>
    <w:qFormat/>
    <w:uiPriority w:val="0"/>
    <w:pPr>
      <w:adjustRightInd w:val="0"/>
      <w:snapToGrid w:val="0"/>
    </w:pPr>
    <w:rPr>
      <w:rFonts w:ascii="宋体" w:hAnsi="Times" w:cs="宋体"/>
      <w:szCs w:val="20"/>
    </w:rPr>
  </w:style>
  <w:style w:type="paragraph" w:customStyle="1" w:styleId="3497">
    <w:name w:val="标题41112"/>
    <w:basedOn w:val="1"/>
    <w:qFormat/>
    <w:uiPriority w:val="0"/>
    <w:pPr>
      <w:adjustRightInd w:val="0"/>
      <w:snapToGrid w:val="0"/>
      <w:spacing w:line="300" w:lineRule="auto"/>
      <w:jc w:val="left"/>
    </w:pPr>
    <w:rPr>
      <w:rFonts w:ascii="黑体" w:hAnsi="宋体" w:eastAsia="黑体" w:cs="宋体"/>
      <w:bCs/>
      <w:sz w:val="24"/>
      <w:szCs w:val="20"/>
    </w:rPr>
  </w:style>
  <w:style w:type="paragraph" w:customStyle="1" w:styleId="3498">
    <w:name w:val="表题14112"/>
    <w:basedOn w:val="1"/>
    <w:qFormat/>
    <w:uiPriority w:val="0"/>
    <w:pPr>
      <w:widowControl/>
      <w:adjustRightInd w:val="0"/>
      <w:snapToGrid w:val="0"/>
      <w:jc w:val="center"/>
    </w:pPr>
    <w:rPr>
      <w:rFonts w:ascii="黑体" w:hAnsi="宋体" w:eastAsia="黑体" w:cs="宋体"/>
      <w:kern w:val="0"/>
      <w:sz w:val="24"/>
    </w:rPr>
  </w:style>
  <w:style w:type="paragraph" w:customStyle="1" w:styleId="3499">
    <w:name w:val="表内文字小812"/>
    <w:basedOn w:val="1"/>
    <w:qFormat/>
    <w:uiPriority w:val="0"/>
    <w:pPr>
      <w:adjustRightInd w:val="0"/>
      <w:snapToGrid w:val="0"/>
      <w:jc w:val="center"/>
    </w:pPr>
    <w:rPr>
      <w:rFonts w:ascii="宋体" w:hAnsi="Times" w:cs="宋体"/>
      <w:szCs w:val="20"/>
    </w:rPr>
  </w:style>
  <w:style w:type="paragraph" w:customStyle="1" w:styleId="3500">
    <w:name w:val="默认段落字体 Para Char212"/>
    <w:basedOn w:val="1"/>
    <w:next w:val="1"/>
    <w:qFormat/>
    <w:uiPriority w:val="0"/>
    <w:pPr>
      <w:spacing w:line="480" w:lineRule="exact"/>
      <w:ind w:firstLine="200" w:firstLineChars="200"/>
      <w:jc w:val="left"/>
    </w:pPr>
    <w:rPr>
      <w:rFonts w:ascii="宋体" w:hAnsi="宋体" w:eastAsia="汉鼎简书宋" w:cs="宋体"/>
      <w:sz w:val="28"/>
    </w:rPr>
  </w:style>
  <w:style w:type="paragraph" w:customStyle="1" w:styleId="3501">
    <w:name w:val="Default12"/>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customStyle="1" w:styleId="3502">
    <w:name w:val="正文格式612"/>
    <w:basedOn w:val="1"/>
    <w:qFormat/>
    <w:uiPriority w:val="0"/>
    <w:pPr>
      <w:spacing w:line="360" w:lineRule="auto"/>
      <w:ind w:firstLine="482"/>
    </w:pPr>
    <w:rPr>
      <w:rFonts w:ascii="宋体" w:hAnsi="宋体"/>
      <w:sz w:val="24"/>
    </w:rPr>
  </w:style>
  <w:style w:type="paragraph" w:customStyle="1" w:styleId="3503">
    <w:name w:val="正文格式＝512"/>
    <w:basedOn w:val="223"/>
    <w:next w:val="223"/>
    <w:qFormat/>
    <w:uiPriority w:val="0"/>
    <w:rPr>
      <w:rFonts w:hAnsi="宋体" w:cs="Times New Roman"/>
    </w:rPr>
  </w:style>
  <w:style w:type="paragraph" w:customStyle="1" w:styleId="3504">
    <w:name w:val="附件312"/>
    <w:basedOn w:val="4"/>
    <w:next w:val="223"/>
    <w:qFormat/>
    <w:uiPriority w:val="0"/>
    <w:pPr>
      <w:adjustRightInd w:val="0"/>
      <w:snapToGrid w:val="0"/>
      <w:spacing w:before="0" w:after="0" w:line="360" w:lineRule="auto"/>
      <w:jc w:val="left"/>
    </w:pPr>
    <w:rPr>
      <w:rFonts w:ascii="黑体" w:hAnsi="宋体" w:eastAsia="黑体"/>
      <w:b w:val="0"/>
      <w:sz w:val="32"/>
      <w:szCs w:val="32"/>
    </w:rPr>
  </w:style>
  <w:style w:type="paragraph" w:customStyle="1" w:styleId="3505">
    <w:name w:val="图题612"/>
    <w:basedOn w:val="223"/>
    <w:next w:val="223"/>
    <w:qFormat/>
    <w:uiPriority w:val="0"/>
    <w:pPr>
      <w:ind w:firstLine="0"/>
      <w:jc w:val="center"/>
    </w:pPr>
    <w:rPr>
      <w:rFonts w:ascii="黑体" w:hAnsi="宋体" w:eastAsia="黑体"/>
      <w:b/>
      <w:bCs/>
      <w:kern w:val="0"/>
    </w:rPr>
  </w:style>
  <w:style w:type="paragraph" w:customStyle="1" w:styleId="3506">
    <w:name w:val="表格内字体612"/>
    <w:basedOn w:val="223"/>
    <w:next w:val="223"/>
    <w:qFormat/>
    <w:uiPriority w:val="0"/>
    <w:pPr>
      <w:spacing w:line="240" w:lineRule="auto"/>
      <w:ind w:firstLine="0"/>
      <w:jc w:val="center"/>
    </w:pPr>
    <w:rPr>
      <w:rFonts w:hAnsi="宋体" w:cs="Times New Roman"/>
      <w:sz w:val="21"/>
    </w:rPr>
  </w:style>
  <w:style w:type="paragraph" w:customStyle="1" w:styleId="3507">
    <w:name w:val="黑体三号412"/>
    <w:basedOn w:val="223"/>
    <w:qFormat/>
    <w:uiPriority w:val="0"/>
    <w:pPr>
      <w:jc w:val="center"/>
    </w:pPr>
    <w:rPr>
      <w:rFonts w:ascii="黑体" w:hAnsi="宋体" w:eastAsia="黑体"/>
      <w:b/>
      <w:bCs/>
      <w:sz w:val="32"/>
      <w:szCs w:val="20"/>
    </w:rPr>
  </w:style>
  <w:style w:type="paragraph" w:customStyle="1" w:styleId="3508">
    <w:name w:val="默认段落字体 Para Char Char Char Char412"/>
    <w:basedOn w:val="1"/>
    <w:qFormat/>
    <w:uiPriority w:val="0"/>
  </w:style>
  <w:style w:type="paragraph" w:customStyle="1" w:styleId="3509">
    <w:name w:val="图表题12"/>
    <w:basedOn w:val="223"/>
    <w:next w:val="223"/>
    <w:qFormat/>
    <w:uiPriority w:val="0"/>
    <w:pPr>
      <w:ind w:firstLine="0"/>
      <w:jc w:val="center"/>
    </w:pPr>
    <w:rPr>
      <w:rFonts w:ascii="黑体" w:hAnsi="宋体" w:eastAsia="黑体"/>
      <w:b/>
      <w:bCs/>
    </w:rPr>
  </w:style>
  <w:style w:type="character" w:customStyle="1" w:styleId="3510">
    <w:name w:val="图表题 Char12"/>
    <w:qFormat/>
    <w:uiPriority w:val="0"/>
    <w:rPr>
      <w:rFonts w:ascii="黑体" w:eastAsia="黑体" w:cs="宋体"/>
      <w:b/>
      <w:bCs/>
      <w:kern w:val="2"/>
      <w:sz w:val="24"/>
      <w:szCs w:val="24"/>
      <w:lang w:val="en-US" w:eastAsia="zh-CN" w:bidi="ar-SA"/>
    </w:rPr>
  </w:style>
  <w:style w:type="paragraph" w:customStyle="1" w:styleId="3511">
    <w:name w:val="样式 表格内字体 +12"/>
    <w:basedOn w:val="2053"/>
    <w:qFormat/>
    <w:uiPriority w:val="0"/>
    <w:pPr>
      <w:spacing w:line="280" w:lineRule="exact"/>
      <w:ind w:firstLine="36"/>
      <w:jc w:val="both"/>
    </w:pPr>
    <w:rPr>
      <w:kern w:val="0"/>
    </w:rPr>
  </w:style>
  <w:style w:type="character" w:customStyle="1" w:styleId="3512">
    <w:name w:val="样式 表格内字体 + Char12"/>
    <w:qFormat/>
    <w:uiPriority w:val="0"/>
    <w:rPr>
      <w:rFonts w:ascii="宋体" w:hAnsi="宋体" w:eastAsia="宋体" w:cs="Times New Roman"/>
      <w:szCs w:val="24"/>
    </w:rPr>
  </w:style>
  <w:style w:type="paragraph" w:customStyle="1" w:styleId="3513">
    <w:name w:val="A正文12"/>
    <w:basedOn w:val="1"/>
    <w:qFormat/>
    <w:uiPriority w:val="0"/>
    <w:pPr>
      <w:widowControl/>
      <w:overflowPunct w:val="0"/>
      <w:autoSpaceDE w:val="0"/>
      <w:autoSpaceDN w:val="0"/>
      <w:adjustRightInd w:val="0"/>
      <w:spacing w:line="360" w:lineRule="auto"/>
      <w:ind w:firstLine="200" w:firstLineChars="200"/>
      <w:jc w:val="left"/>
      <w:textAlignment w:val="baseline"/>
    </w:pPr>
    <w:rPr>
      <w:rFonts w:eastAsia="仿宋_GB2312"/>
      <w:kern w:val="0"/>
      <w:sz w:val="24"/>
    </w:rPr>
  </w:style>
  <w:style w:type="paragraph" w:customStyle="1" w:styleId="3514">
    <w:name w:val="图题注12"/>
    <w:basedOn w:val="23"/>
    <w:qFormat/>
    <w:uiPriority w:val="0"/>
    <w:pPr>
      <w:tabs>
        <w:tab w:val="clear" w:pos="7380"/>
      </w:tabs>
      <w:overflowPunct/>
      <w:spacing w:before="0" w:afterLines="0"/>
      <w:jc w:val="center"/>
    </w:pPr>
    <w:rPr>
      <w:rFonts w:ascii="黑体" w:cs="宋体"/>
      <w:b/>
      <w:bCs/>
      <w:sz w:val="24"/>
      <w:szCs w:val="24"/>
    </w:rPr>
  </w:style>
  <w:style w:type="paragraph" w:customStyle="1" w:styleId="3515">
    <w:name w:val="Char712"/>
    <w:basedOn w:val="1"/>
    <w:qFormat/>
    <w:uiPriority w:val="0"/>
    <w:pPr>
      <w:ind w:left="-48"/>
    </w:pPr>
  </w:style>
  <w:style w:type="paragraph" w:customStyle="1" w:styleId="3516">
    <w:name w:val="表格内字体1112"/>
    <w:basedOn w:val="223"/>
    <w:qFormat/>
    <w:uiPriority w:val="0"/>
    <w:pPr>
      <w:spacing w:line="240" w:lineRule="auto"/>
      <w:ind w:firstLine="0"/>
      <w:jc w:val="center"/>
    </w:pPr>
    <w:rPr>
      <w:sz w:val="21"/>
      <w:szCs w:val="20"/>
    </w:rPr>
  </w:style>
  <w:style w:type="paragraph" w:customStyle="1" w:styleId="3517">
    <w:name w:val="Char Char2 Char Char Char Char32"/>
    <w:basedOn w:val="1"/>
    <w:qFormat/>
    <w:uiPriority w:val="0"/>
  </w:style>
  <w:style w:type="paragraph" w:customStyle="1" w:styleId="3518">
    <w:name w:val="样式 正文缩进 + 宋体 黑色 首行缩进:  2 字符12"/>
    <w:basedOn w:val="22"/>
    <w:qFormat/>
    <w:uiPriority w:val="0"/>
    <w:pPr>
      <w:spacing w:line="360" w:lineRule="auto"/>
      <w:ind w:firstLine="480"/>
      <w:jc w:val="left"/>
    </w:pPr>
    <w:rPr>
      <w:rFonts w:ascii="宋体" w:hAnsi="宋体" w:cs="宋体"/>
      <w:color w:val="FF00FF"/>
      <w:sz w:val="24"/>
      <w:szCs w:val="20"/>
    </w:rPr>
  </w:style>
  <w:style w:type="paragraph" w:customStyle="1" w:styleId="3519">
    <w:name w:val="环评正文12"/>
    <w:qFormat/>
    <w:uiPriority w:val="0"/>
    <w:pPr>
      <w:spacing w:line="440" w:lineRule="exact"/>
      <w:ind w:firstLine="200" w:firstLineChars="200"/>
    </w:pPr>
    <w:rPr>
      <w:rFonts w:ascii="Times New Roman" w:hAnsi="Times New Roman" w:eastAsia="宋体" w:cs="Times New Roman"/>
      <w:bCs/>
      <w:kern w:val="2"/>
      <w:sz w:val="24"/>
      <w:szCs w:val="24"/>
      <w:lang w:val="en-US" w:eastAsia="zh-CN" w:bidi="ar-SA"/>
    </w:rPr>
  </w:style>
  <w:style w:type="paragraph" w:customStyle="1" w:styleId="3520">
    <w:name w:val="注释12"/>
    <w:basedOn w:val="223"/>
    <w:next w:val="35"/>
    <w:qFormat/>
    <w:uiPriority w:val="0"/>
    <w:pPr>
      <w:spacing w:before="120" w:after="120" w:line="240" w:lineRule="auto"/>
      <w:ind w:firstLine="200" w:firstLineChars="200"/>
    </w:pPr>
    <w:rPr>
      <w:sz w:val="21"/>
      <w:szCs w:val="20"/>
    </w:rPr>
  </w:style>
  <w:style w:type="paragraph" w:customStyle="1" w:styleId="3521">
    <w:name w:val="样式412"/>
    <w:basedOn w:val="35"/>
    <w:qFormat/>
    <w:uiPriority w:val="0"/>
    <w:pPr>
      <w:tabs>
        <w:tab w:val="left" w:pos="1820"/>
      </w:tabs>
      <w:snapToGrid w:val="0"/>
      <w:spacing w:after="0" w:line="240" w:lineRule="atLeast"/>
      <w:jc w:val="center"/>
    </w:pPr>
    <w:rPr>
      <w:rFonts w:eastAsia="幼圆"/>
      <w:kern w:val="0"/>
      <w:szCs w:val="20"/>
    </w:rPr>
  </w:style>
  <w:style w:type="paragraph" w:customStyle="1" w:styleId="3522">
    <w:name w:val="标题4122"/>
    <w:basedOn w:val="7"/>
    <w:next w:val="1"/>
    <w:qFormat/>
    <w:uiPriority w:val="0"/>
    <w:pPr>
      <w:spacing w:before="160" w:after="170" w:line="360" w:lineRule="auto"/>
    </w:pPr>
    <w:rPr>
      <w:rFonts w:ascii="黑体" w:eastAsia="黑体"/>
      <w:b/>
      <w:kern w:val="0"/>
      <w:sz w:val="24"/>
      <w:lang w:val="zh-CN"/>
    </w:rPr>
  </w:style>
  <w:style w:type="paragraph" w:customStyle="1" w:styleId="3523">
    <w:name w:val="表中文字412"/>
    <w:basedOn w:val="1"/>
    <w:qFormat/>
    <w:uiPriority w:val="0"/>
    <w:pPr>
      <w:snapToGrid w:val="0"/>
      <w:spacing w:line="340" w:lineRule="exact"/>
      <w:ind w:firstLine="480" w:firstLineChars="200"/>
      <w:jc w:val="center"/>
    </w:pPr>
    <w:rPr>
      <w:rFonts w:ascii="Arial" w:hAnsi="Arial"/>
      <w:kern w:val="0"/>
      <w:sz w:val="20"/>
      <w:lang w:eastAsia="zh-TW"/>
    </w:rPr>
  </w:style>
  <w:style w:type="paragraph" w:customStyle="1" w:styleId="3524">
    <w:name w:val="样式 正文缩进 + 宋体 黑色12"/>
    <w:basedOn w:val="22"/>
    <w:qFormat/>
    <w:uiPriority w:val="0"/>
    <w:pPr>
      <w:spacing w:line="360" w:lineRule="auto"/>
      <w:ind w:firstLine="200"/>
      <w:jc w:val="left"/>
    </w:pPr>
    <w:rPr>
      <w:rFonts w:ascii="宋体" w:hAnsi="宋体"/>
      <w:color w:val="000000"/>
      <w:sz w:val="24"/>
    </w:rPr>
  </w:style>
  <w:style w:type="paragraph" w:customStyle="1" w:styleId="3525">
    <w:name w:val="表内5112"/>
    <w:basedOn w:val="1"/>
    <w:qFormat/>
    <w:uiPriority w:val="0"/>
    <w:pPr>
      <w:adjustRightInd w:val="0"/>
      <w:snapToGrid w:val="0"/>
      <w:jc w:val="center"/>
    </w:pPr>
    <w:rPr>
      <w:rFonts w:ascii="宋体" w:hAnsi="宋体"/>
      <w:kern w:val="0"/>
      <w:sz w:val="20"/>
      <w:szCs w:val="20"/>
    </w:rPr>
  </w:style>
  <w:style w:type="paragraph" w:customStyle="1" w:styleId="3526">
    <w:name w:val="样式 样式 宋体 + 首行缩进:  2 字符112"/>
    <w:basedOn w:val="1"/>
    <w:qFormat/>
    <w:uiPriority w:val="0"/>
    <w:pPr>
      <w:spacing w:line="360" w:lineRule="auto"/>
      <w:ind w:firstLine="480" w:firstLineChars="200"/>
      <w:jc w:val="left"/>
    </w:pPr>
    <w:rPr>
      <w:rFonts w:ascii="宋体" w:cs="宋体"/>
      <w:sz w:val="24"/>
    </w:rPr>
  </w:style>
  <w:style w:type="paragraph" w:customStyle="1" w:styleId="3527">
    <w:name w:val="表内宋5中212"/>
    <w:basedOn w:val="1"/>
    <w:qFormat/>
    <w:uiPriority w:val="0"/>
    <w:pPr>
      <w:adjustRightInd w:val="0"/>
      <w:snapToGrid w:val="0"/>
      <w:jc w:val="center"/>
      <w:textAlignment w:val="baseline"/>
    </w:pPr>
    <w:rPr>
      <w:rFonts w:ascii="宋体" w:hAnsi="宋体"/>
      <w:kern w:val="0"/>
      <w:szCs w:val="20"/>
    </w:rPr>
  </w:style>
  <w:style w:type="paragraph" w:customStyle="1" w:styleId="3528">
    <w:name w:val="xl6312"/>
    <w:basedOn w:val="1"/>
    <w:qFormat/>
    <w:uiPriority w:val="0"/>
    <w:pPr>
      <w:widowControl/>
      <w:spacing w:before="100" w:beforeAutospacing="1" w:after="100" w:afterAutospacing="1"/>
      <w:jc w:val="center"/>
      <w:textAlignment w:val="center"/>
    </w:pPr>
    <w:rPr>
      <w:rFonts w:hint="eastAsia" w:ascii="黑体" w:hAnsi="宋体" w:eastAsia="黑体"/>
      <w:kern w:val="0"/>
      <w:sz w:val="24"/>
    </w:rPr>
  </w:style>
  <w:style w:type="paragraph" w:customStyle="1" w:styleId="3529">
    <w:name w:val="标准12"/>
    <w:basedOn w:val="1"/>
    <w:qFormat/>
    <w:uiPriority w:val="0"/>
    <w:pPr>
      <w:adjustRightInd w:val="0"/>
      <w:spacing w:before="120" w:line="336" w:lineRule="auto"/>
      <w:jc w:val="center"/>
      <w:textAlignment w:val="baseline"/>
    </w:pPr>
    <w:rPr>
      <w:rFonts w:ascii="黑体" w:eastAsia="黑体"/>
      <w:szCs w:val="20"/>
    </w:rPr>
  </w:style>
  <w:style w:type="paragraph" w:customStyle="1" w:styleId="3530">
    <w:name w:val="Fax Header12"/>
    <w:basedOn w:val="1"/>
    <w:qFormat/>
    <w:uiPriority w:val="0"/>
    <w:pPr>
      <w:widowControl/>
      <w:spacing w:before="240" w:after="60"/>
      <w:jc w:val="left"/>
    </w:pPr>
    <w:rPr>
      <w:kern w:val="0"/>
      <w:sz w:val="20"/>
      <w:szCs w:val="20"/>
    </w:rPr>
  </w:style>
  <w:style w:type="paragraph" w:customStyle="1" w:styleId="3531">
    <w:name w:val="样式 表格内字体1 +12"/>
    <w:basedOn w:val="2142"/>
    <w:next w:val="2053"/>
    <w:qFormat/>
    <w:uiPriority w:val="0"/>
    <w:rPr>
      <w:rFonts w:hAnsi="Times New Roman" w:cs="宋体"/>
      <w:szCs w:val="20"/>
    </w:rPr>
  </w:style>
  <w:style w:type="paragraph" w:customStyle="1" w:styleId="3532">
    <w:name w:val="默认段落字体 Para Char312"/>
    <w:basedOn w:val="1"/>
    <w:qFormat/>
    <w:uiPriority w:val="0"/>
    <w:pPr>
      <w:spacing w:line="360" w:lineRule="auto"/>
      <w:ind w:firstLine="200" w:firstLineChars="200"/>
    </w:pPr>
    <w:rPr>
      <w:rFonts w:ascii="宋体" w:hAnsi="宋体" w:cs="宋体"/>
      <w:sz w:val="24"/>
    </w:rPr>
  </w:style>
  <w:style w:type="paragraph" w:customStyle="1" w:styleId="3533">
    <w:name w:val="正文斜体12"/>
    <w:basedOn w:val="223"/>
    <w:next w:val="223"/>
    <w:qFormat/>
    <w:uiPriority w:val="0"/>
    <w:rPr>
      <w:rFonts w:hAnsi="宋体" w:cs="Times New Roman"/>
      <w:i/>
      <w:iCs/>
    </w:rPr>
  </w:style>
  <w:style w:type="character" w:customStyle="1" w:styleId="3534">
    <w:name w:val="正文斜体 Char12"/>
    <w:qFormat/>
    <w:uiPriority w:val="0"/>
    <w:rPr>
      <w:rFonts w:ascii="宋体" w:eastAsia="宋体" w:cs="Times New Roman"/>
      <w:i/>
      <w:iCs/>
      <w:kern w:val="2"/>
      <w:sz w:val="24"/>
      <w:szCs w:val="24"/>
      <w:lang w:val="en-US" w:eastAsia="zh-CN" w:bidi="ar-SA"/>
    </w:rPr>
  </w:style>
  <w:style w:type="paragraph" w:customStyle="1" w:styleId="3535">
    <w:name w:val="Char Char2 Char Char Char Char112"/>
    <w:basedOn w:val="1"/>
    <w:qFormat/>
    <w:uiPriority w:val="0"/>
  </w:style>
  <w:style w:type="paragraph" w:customStyle="1" w:styleId="3536">
    <w:name w:val="Char812"/>
    <w:basedOn w:val="1"/>
    <w:qFormat/>
    <w:uiPriority w:val="0"/>
    <w:pPr>
      <w:ind w:left="-48"/>
    </w:pPr>
  </w:style>
  <w:style w:type="paragraph" w:customStyle="1" w:styleId="3537">
    <w:name w:val="正文格式712"/>
    <w:basedOn w:val="1"/>
    <w:qFormat/>
    <w:uiPriority w:val="0"/>
    <w:pPr>
      <w:spacing w:line="360" w:lineRule="auto"/>
      <w:ind w:firstLine="482"/>
    </w:pPr>
    <w:rPr>
      <w:rFonts w:ascii="宋体" w:hAnsi="宋体"/>
      <w:sz w:val="24"/>
    </w:rPr>
  </w:style>
  <w:style w:type="character" w:customStyle="1" w:styleId="3538">
    <w:name w:val="题注 Char512"/>
    <w:qFormat/>
    <w:uiPriority w:val="0"/>
    <w:rPr>
      <w:rFonts w:ascii="黑体" w:hAnsi="Arial" w:eastAsia="黑体" w:cs="Arial"/>
      <w:b/>
      <w:kern w:val="2"/>
      <w:sz w:val="24"/>
      <w:szCs w:val="24"/>
      <w:lang w:val="en-US" w:eastAsia="zh-CN" w:bidi="ar-SA"/>
    </w:rPr>
  </w:style>
  <w:style w:type="paragraph" w:customStyle="1" w:styleId="3539">
    <w:name w:val="图题712"/>
    <w:basedOn w:val="223"/>
    <w:next w:val="223"/>
    <w:qFormat/>
    <w:uiPriority w:val="0"/>
    <w:pPr>
      <w:ind w:firstLine="0"/>
      <w:jc w:val="center"/>
    </w:pPr>
    <w:rPr>
      <w:rFonts w:ascii="黑体" w:hAnsi="宋体" w:eastAsia="黑体"/>
      <w:b/>
      <w:bCs/>
    </w:rPr>
  </w:style>
  <w:style w:type="paragraph" w:customStyle="1" w:styleId="3540">
    <w:name w:val="表格内字体712"/>
    <w:basedOn w:val="223"/>
    <w:next w:val="223"/>
    <w:qFormat/>
    <w:uiPriority w:val="0"/>
    <w:pPr>
      <w:spacing w:line="240" w:lineRule="auto"/>
      <w:ind w:firstLine="0"/>
      <w:jc w:val="center"/>
    </w:pPr>
    <w:rPr>
      <w:rFonts w:hAnsi="宋体" w:cs="Times New Roman"/>
      <w:sz w:val="21"/>
    </w:rPr>
  </w:style>
  <w:style w:type="paragraph" w:customStyle="1" w:styleId="3541">
    <w:name w:val="Char912"/>
    <w:basedOn w:val="1"/>
    <w:qFormat/>
    <w:uiPriority w:val="0"/>
    <w:pPr>
      <w:ind w:left="-48"/>
    </w:pPr>
  </w:style>
  <w:style w:type="paragraph" w:customStyle="1" w:styleId="3542">
    <w:name w:val="正文格式＝612"/>
    <w:basedOn w:val="223"/>
    <w:next w:val="223"/>
    <w:semiHidden/>
    <w:qFormat/>
    <w:uiPriority w:val="0"/>
    <w:rPr>
      <w:rFonts w:hAnsi="宋体" w:cs="Times New Roman"/>
    </w:rPr>
  </w:style>
  <w:style w:type="paragraph" w:customStyle="1" w:styleId="3543">
    <w:name w:val="表题1512"/>
    <w:basedOn w:val="23"/>
    <w:qFormat/>
    <w:uiPriority w:val="0"/>
    <w:pPr>
      <w:tabs>
        <w:tab w:val="clear" w:pos="7380"/>
      </w:tabs>
      <w:overflowPunct/>
      <w:spacing w:before="0" w:afterLines="0" w:line="360" w:lineRule="auto"/>
      <w:jc w:val="center"/>
    </w:pPr>
    <w:rPr>
      <w:rFonts w:ascii="黑体" w:cs="Times New Roman"/>
      <w:b/>
      <w:sz w:val="24"/>
      <w:szCs w:val="24"/>
    </w:rPr>
  </w:style>
  <w:style w:type="character" w:customStyle="1" w:styleId="3544">
    <w:name w:val="表题1 Char612"/>
    <w:qFormat/>
    <w:uiPriority w:val="0"/>
    <w:rPr>
      <w:rFonts w:ascii="黑体" w:hAnsi="Arial" w:eastAsia="黑体" w:cs="Arial"/>
      <w:b/>
      <w:kern w:val="2"/>
      <w:sz w:val="24"/>
      <w:szCs w:val="24"/>
      <w:lang w:val="en-US" w:eastAsia="zh-CN" w:bidi="ar-SA"/>
    </w:rPr>
  </w:style>
  <w:style w:type="paragraph" w:customStyle="1" w:styleId="3545">
    <w:name w:val="燕山正文412"/>
    <w:basedOn w:val="1"/>
    <w:qFormat/>
    <w:uiPriority w:val="0"/>
    <w:pPr>
      <w:tabs>
        <w:tab w:val="left" w:pos="4680"/>
      </w:tabs>
      <w:adjustRightInd w:val="0"/>
      <w:snapToGrid w:val="0"/>
      <w:spacing w:line="480" w:lineRule="exact"/>
    </w:pPr>
    <w:rPr>
      <w:rFonts w:ascii="宋体" w:cs="宋体"/>
      <w:sz w:val="24"/>
    </w:rPr>
  </w:style>
  <w:style w:type="paragraph" w:customStyle="1" w:styleId="3546">
    <w:name w:val="正文修改412"/>
    <w:basedOn w:val="2056"/>
    <w:qFormat/>
    <w:uiPriority w:val="0"/>
    <w:rPr>
      <w:rFonts w:hAnsi="宋体"/>
      <w:color w:val="000000"/>
    </w:rPr>
  </w:style>
  <w:style w:type="character" w:customStyle="1" w:styleId="3547">
    <w:name w:val="正文修改 Char1412"/>
    <w:qFormat/>
    <w:uiPriority w:val="0"/>
  </w:style>
  <w:style w:type="paragraph" w:customStyle="1" w:styleId="3548">
    <w:name w:val="表中文字512"/>
    <w:basedOn w:val="1"/>
    <w:qFormat/>
    <w:uiPriority w:val="0"/>
    <w:pPr>
      <w:widowControl/>
      <w:spacing w:line="240" w:lineRule="atLeast"/>
      <w:ind w:left="-24" w:leftChars="-10" w:right="-48" w:rightChars="-20"/>
      <w:jc w:val="center"/>
    </w:pPr>
    <w:rPr>
      <w:rFonts w:ascii="宋体"/>
      <w:kern w:val="0"/>
      <w:szCs w:val="21"/>
    </w:rPr>
  </w:style>
  <w:style w:type="paragraph" w:customStyle="1" w:styleId="3549">
    <w:name w:val="默认段落字体 Para Char Char Char Char512"/>
    <w:basedOn w:val="1"/>
    <w:qFormat/>
    <w:uiPriority w:val="0"/>
  </w:style>
  <w:style w:type="paragraph" w:customStyle="1" w:styleId="3550">
    <w:name w:val="Char1012"/>
    <w:basedOn w:val="1"/>
    <w:qFormat/>
    <w:uiPriority w:val="0"/>
    <w:pPr>
      <w:adjustRightInd w:val="0"/>
      <w:snapToGrid w:val="0"/>
      <w:spacing w:line="360" w:lineRule="auto"/>
    </w:pPr>
  </w:style>
  <w:style w:type="paragraph" w:customStyle="1" w:styleId="3551">
    <w:name w:val="表内5中112"/>
    <w:basedOn w:val="1"/>
    <w:qFormat/>
    <w:uiPriority w:val="0"/>
    <w:pPr>
      <w:adjustRightInd w:val="0"/>
      <w:snapToGrid w:val="0"/>
      <w:jc w:val="center"/>
    </w:pPr>
    <w:rPr>
      <w:rFonts w:ascii="宋体" w:hAnsi="宋体" w:cs="Arial"/>
      <w:snapToGrid w:val="0"/>
      <w:color w:val="000000"/>
      <w:szCs w:val="21"/>
    </w:rPr>
  </w:style>
  <w:style w:type="paragraph" w:customStyle="1" w:styleId="3552">
    <w:name w:val="表内541412"/>
    <w:basedOn w:val="1"/>
    <w:qFormat/>
    <w:uiPriority w:val="0"/>
    <w:pPr>
      <w:adjustRightInd w:val="0"/>
      <w:snapToGrid w:val="0"/>
      <w:spacing w:line="300" w:lineRule="auto"/>
      <w:jc w:val="center"/>
    </w:pPr>
    <w:rPr>
      <w:rFonts w:ascii="宋体" w:hAnsi="宋体" w:cs="宋体"/>
      <w:szCs w:val="20"/>
    </w:rPr>
  </w:style>
  <w:style w:type="paragraph" w:customStyle="1" w:styleId="3553">
    <w:name w:val="表内文字小122"/>
    <w:basedOn w:val="1"/>
    <w:qFormat/>
    <w:uiPriority w:val="0"/>
    <w:pPr>
      <w:adjustRightInd w:val="0"/>
      <w:snapToGrid w:val="0"/>
      <w:jc w:val="center"/>
    </w:pPr>
    <w:rPr>
      <w:rFonts w:ascii="宋体" w:hAnsi="Times"/>
      <w:szCs w:val="20"/>
    </w:rPr>
  </w:style>
  <w:style w:type="character" w:customStyle="1" w:styleId="3554">
    <w:name w:val="正文首行缩进 2 Char12"/>
    <w:qFormat/>
    <w:uiPriority w:val="0"/>
    <w:rPr>
      <w:rFonts w:ascii="Times New Roman" w:hAnsi="Times New Roman" w:eastAsia="宋体"/>
      <w:kern w:val="2"/>
      <w:sz w:val="21"/>
      <w:lang w:val="en-US" w:eastAsia="zh-CN" w:bidi="ar-SA"/>
    </w:rPr>
  </w:style>
  <w:style w:type="paragraph" w:customStyle="1" w:styleId="3555">
    <w:name w:val="默认段落字体 Para Char412"/>
    <w:basedOn w:val="1"/>
    <w:next w:val="1"/>
    <w:qFormat/>
    <w:uiPriority w:val="0"/>
    <w:pPr>
      <w:spacing w:line="480" w:lineRule="exact"/>
      <w:ind w:firstLine="200" w:firstLineChars="200"/>
      <w:jc w:val="left"/>
    </w:pPr>
    <w:rPr>
      <w:rFonts w:ascii="宋体" w:hAnsi="宋体" w:eastAsia="汉鼎简书宋" w:cs="宋体"/>
      <w:sz w:val="28"/>
    </w:rPr>
  </w:style>
  <w:style w:type="paragraph" w:customStyle="1" w:styleId="3556">
    <w:name w:val="正文格式812"/>
    <w:basedOn w:val="1"/>
    <w:qFormat/>
    <w:uiPriority w:val="0"/>
    <w:pPr>
      <w:spacing w:line="360" w:lineRule="auto"/>
      <w:ind w:firstLine="482"/>
    </w:pPr>
    <w:rPr>
      <w:rFonts w:ascii="宋体" w:hAnsi="宋体"/>
      <w:sz w:val="24"/>
    </w:rPr>
  </w:style>
  <w:style w:type="paragraph" w:customStyle="1" w:styleId="3557">
    <w:name w:val="正文格式912"/>
    <w:basedOn w:val="1"/>
    <w:qFormat/>
    <w:uiPriority w:val="0"/>
    <w:pPr>
      <w:spacing w:line="360" w:lineRule="auto"/>
      <w:ind w:firstLine="482"/>
    </w:pPr>
    <w:rPr>
      <w:rFonts w:ascii="宋体" w:hAnsi="宋体"/>
      <w:sz w:val="24"/>
    </w:rPr>
  </w:style>
  <w:style w:type="paragraph" w:customStyle="1" w:styleId="3558">
    <w:name w:val="Char422"/>
    <w:basedOn w:val="1"/>
    <w:qFormat/>
    <w:uiPriority w:val="0"/>
    <w:pPr>
      <w:ind w:left="-48"/>
    </w:pPr>
  </w:style>
  <w:style w:type="paragraph" w:customStyle="1" w:styleId="3559">
    <w:name w:val="Char Char Char Char Char Char Char52"/>
    <w:basedOn w:val="1"/>
    <w:qFormat/>
    <w:uiPriority w:val="0"/>
  </w:style>
  <w:style w:type="paragraph" w:customStyle="1" w:styleId="3560">
    <w:name w:val="Char Char2 Char Char Char Char42"/>
    <w:basedOn w:val="1"/>
    <w:qFormat/>
    <w:uiPriority w:val="0"/>
  </w:style>
  <w:style w:type="paragraph" w:customStyle="1" w:styleId="3561">
    <w:name w:val="Char162"/>
    <w:basedOn w:val="1"/>
    <w:qFormat/>
    <w:uiPriority w:val="0"/>
    <w:pPr>
      <w:ind w:left="-48"/>
    </w:pPr>
  </w:style>
  <w:style w:type="paragraph" w:customStyle="1" w:styleId="3562">
    <w:name w:val="Char Char Char Char1 Char Char Char22"/>
    <w:basedOn w:val="1"/>
    <w:qFormat/>
    <w:uiPriority w:val="0"/>
    <w:pPr>
      <w:widowControl/>
      <w:spacing w:after="160" w:line="240" w:lineRule="exact"/>
      <w:jc w:val="left"/>
    </w:pPr>
    <w:rPr>
      <w:rFonts w:ascii="Verdana" w:hAnsi="Verdana"/>
      <w:kern w:val="0"/>
      <w:sz w:val="20"/>
      <w:szCs w:val="20"/>
      <w:lang w:eastAsia="en-US"/>
    </w:rPr>
  </w:style>
  <w:style w:type="paragraph" w:customStyle="1" w:styleId="3563">
    <w:name w:val="Char172"/>
    <w:basedOn w:val="1"/>
    <w:qFormat/>
    <w:uiPriority w:val="0"/>
    <w:pPr>
      <w:ind w:left="-48"/>
    </w:pPr>
  </w:style>
  <w:style w:type="paragraph" w:customStyle="1" w:styleId="3564">
    <w:name w:val="Char Char Char Char Char Char Char132"/>
    <w:basedOn w:val="1"/>
    <w:qFormat/>
    <w:uiPriority w:val="0"/>
  </w:style>
  <w:style w:type="paragraph" w:customStyle="1" w:styleId="3565">
    <w:name w:val="Char232"/>
    <w:basedOn w:val="1"/>
    <w:qFormat/>
    <w:uiPriority w:val="0"/>
    <w:pPr>
      <w:ind w:left="-48"/>
    </w:pPr>
  </w:style>
  <w:style w:type="paragraph" w:customStyle="1" w:styleId="3566">
    <w:name w:val="Char332"/>
    <w:basedOn w:val="1"/>
    <w:qFormat/>
    <w:uiPriority w:val="0"/>
    <w:pPr>
      <w:ind w:left="-48"/>
    </w:pPr>
  </w:style>
  <w:style w:type="paragraph" w:customStyle="1" w:styleId="3567">
    <w:name w:val="Char Char Char Char Char Char Char222"/>
    <w:basedOn w:val="1"/>
    <w:qFormat/>
    <w:uiPriority w:val="0"/>
  </w:style>
  <w:style w:type="paragraph" w:customStyle="1" w:styleId="3568">
    <w:name w:val="Char432"/>
    <w:basedOn w:val="1"/>
    <w:qFormat/>
    <w:uiPriority w:val="0"/>
    <w:pPr>
      <w:ind w:left="-48"/>
    </w:pPr>
  </w:style>
  <w:style w:type="paragraph" w:customStyle="1" w:styleId="3569">
    <w:name w:val="表格内容12"/>
    <w:qFormat/>
    <w:uiPriority w:val="0"/>
    <w:pPr>
      <w:jc w:val="center"/>
    </w:pPr>
    <w:rPr>
      <w:rFonts w:ascii="Times New Roman" w:hAnsi="Times New Roman" w:eastAsia="宋体" w:cs="Times New Roman"/>
      <w:kern w:val="2"/>
      <w:sz w:val="21"/>
      <w:szCs w:val="21"/>
      <w:lang w:val="en-US" w:eastAsia="zh-CN" w:bidi="ar-SA"/>
    </w:rPr>
  </w:style>
  <w:style w:type="paragraph" w:customStyle="1" w:styleId="3570">
    <w:name w:val="正文格式822"/>
    <w:basedOn w:val="1"/>
    <w:qFormat/>
    <w:uiPriority w:val="0"/>
    <w:pPr>
      <w:spacing w:line="360" w:lineRule="auto"/>
      <w:ind w:firstLine="482"/>
    </w:pPr>
    <w:rPr>
      <w:rFonts w:ascii="宋体" w:hAnsi="宋体"/>
      <w:sz w:val="24"/>
    </w:rPr>
  </w:style>
  <w:style w:type="paragraph" w:customStyle="1" w:styleId="3571">
    <w:name w:val="正文格式16"/>
    <w:basedOn w:val="1"/>
    <w:qFormat/>
    <w:uiPriority w:val="0"/>
    <w:pPr>
      <w:spacing w:line="360" w:lineRule="auto"/>
      <w:ind w:firstLine="482"/>
    </w:pPr>
    <w:rPr>
      <w:rFonts w:ascii="宋体" w:hAnsi="宋体"/>
      <w:sz w:val="24"/>
    </w:rPr>
  </w:style>
  <w:style w:type="character" w:customStyle="1" w:styleId="3572">
    <w:name w:val="正文格式 Char13"/>
    <w:qFormat/>
    <w:uiPriority w:val="0"/>
    <w:rPr>
      <w:rFonts w:ascii="宋体" w:hAnsi="宋体" w:eastAsia="宋体"/>
      <w:kern w:val="2"/>
      <w:sz w:val="24"/>
      <w:szCs w:val="24"/>
      <w:lang w:val="en-US" w:eastAsia="zh-CN" w:bidi="ar-SA"/>
    </w:rPr>
  </w:style>
  <w:style w:type="paragraph" w:customStyle="1" w:styleId="3573">
    <w:name w:val="Char39"/>
    <w:basedOn w:val="1"/>
    <w:qFormat/>
    <w:uiPriority w:val="0"/>
    <w:pPr>
      <w:adjustRightInd w:val="0"/>
      <w:snapToGrid w:val="0"/>
      <w:spacing w:beforeLines="50" w:line="360" w:lineRule="auto"/>
    </w:pPr>
    <w:rPr>
      <w:rFonts w:ascii="黑体" w:eastAsia="黑体"/>
      <w:sz w:val="32"/>
      <w:szCs w:val="32"/>
    </w:rPr>
  </w:style>
  <w:style w:type="character" w:customStyle="1" w:styleId="3574">
    <w:name w:val="节 Char13"/>
    <w:qFormat/>
    <w:uiPriority w:val="0"/>
    <w:rPr>
      <w:rFonts w:ascii="黑体" w:hAnsi="Arial" w:eastAsia="黑体"/>
      <w:bCs/>
      <w:kern w:val="2"/>
      <w:sz w:val="30"/>
      <w:szCs w:val="30"/>
      <w:lang w:val="en-US" w:eastAsia="zh-CN" w:bidi="ar-SA"/>
    </w:rPr>
  </w:style>
  <w:style w:type="character" w:customStyle="1" w:styleId="3575">
    <w:name w:val="三级标题 Char23"/>
    <w:qFormat/>
    <w:uiPriority w:val="0"/>
    <w:rPr>
      <w:rFonts w:ascii="黑体" w:hAnsi="宋体" w:eastAsia="黑体"/>
      <w:bCs/>
      <w:kern w:val="2"/>
      <w:sz w:val="28"/>
      <w:szCs w:val="28"/>
      <w:lang w:val="en-US" w:eastAsia="zh-CN" w:bidi="ar-SA"/>
    </w:rPr>
  </w:style>
  <w:style w:type="character" w:customStyle="1" w:styleId="3576">
    <w:name w:val="表题 Char9"/>
    <w:qFormat/>
    <w:uiPriority w:val="0"/>
    <w:rPr>
      <w:rFonts w:ascii="黑体" w:hAnsi="Arial" w:eastAsia="黑体" w:cs="Arial"/>
      <w:b/>
      <w:kern w:val="2"/>
      <w:sz w:val="24"/>
      <w:szCs w:val="24"/>
      <w:lang w:val="en-US" w:eastAsia="zh-CN" w:bidi="ar-SA"/>
    </w:rPr>
  </w:style>
  <w:style w:type="paragraph" w:customStyle="1" w:styleId="3577">
    <w:name w:val="图题14"/>
    <w:basedOn w:val="223"/>
    <w:next w:val="223"/>
    <w:qFormat/>
    <w:uiPriority w:val="0"/>
    <w:pPr>
      <w:ind w:firstLine="0"/>
      <w:jc w:val="center"/>
    </w:pPr>
    <w:rPr>
      <w:rFonts w:ascii="黑体" w:hAnsi="宋体" w:eastAsia="黑体"/>
      <w:b/>
      <w:bCs/>
    </w:rPr>
  </w:style>
  <w:style w:type="paragraph" w:customStyle="1" w:styleId="3578">
    <w:name w:val="表格内字体15"/>
    <w:basedOn w:val="223"/>
    <w:next w:val="223"/>
    <w:qFormat/>
    <w:uiPriority w:val="0"/>
    <w:pPr>
      <w:spacing w:line="240" w:lineRule="auto"/>
      <w:ind w:firstLine="0"/>
      <w:jc w:val="center"/>
    </w:pPr>
    <w:rPr>
      <w:rFonts w:hAnsi="宋体" w:cs="Times New Roman"/>
      <w:sz w:val="21"/>
    </w:rPr>
  </w:style>
  <w:style w:type="character" w:customStyle="1" w:styleId="3579">
    <w:name w:val="表格内字体 Char11"/>
    <w:qFormat/>
    <w:uiPriority w:val="0"/>
    <w:rPr>
      <w:rFonts w:ascii="宋体" w:hAnsi="宋体" w:eastAsia="宋体"/>
      <w:kern w:val="2"/>
      <w:sz w:val="21"/>
      <w:szCs w:val="24"/>
      <w:lang w:val="en-US" w:eastAsia="zh-CN" w:bidi="ar-SA"/>
    </w:rPr>
  </w:style>
  <w:style w:type="character" w:customStyle="1" w:styleId="3580">
    <w:name w:val="标题2 Char12"/>
    <w:qFormat/>
    <w:uiPriority w:val="0"/>
    <w:rPr>
      <w:rFonts w:ascii="宋体" w:hAnsi="宋体" w:eastAsia="宋体" w:cs="宋体"/>
      <w:color w:val="000000"/>
      <w:kern w:val="2"/>
      <w:sz w:val="24"/>
      <w:szCs w:val="24"/>
      <w:lang w:val="en-US" w:eastAsia="zh-CN" w:bidi="ar-SA"/>
    </w:rPr>
  </w:style>
  <w:style w:type="paragraph" w:customStyle="1" w:styleId="3581">
    <w:name w:val="表内5418"/>
    <w:basedOn w:val="1"/>
    <w:qFormat/>
    <w:uiPriority w:val="0"/>
    <w:pPr>
      <w:adjustRightInd w:val="0"/>
      <w:snapToGrid w:val="0"/>
      <w:spacing w:line="300" w:lineRule="auto"/>
      <w:jc w:val="center"/>
    </w:pPr>
    <w:rPr>
      <w:rFonts w:ascii="宋体" w:hAnsi="宋体" w:cs="宋体"/>
      <w:szCs w:val="20"/>
    </w:rPr>
  </w:style>
  <w:style w:type="paragraph" w:customStyle="1" w:styleId="3582">
    <w:name w:val="表内文字小217"/>
    <w:basedOn w:val="1"/>
    <w:qFormat/>
    <w:uiPriority w:val="0"/>
    <w:pPr>
      <w:adjustRightInd w:val="0"/>
      <w:snapToGrid w:val="0"/>
      <w:jc w:val="center"/>
    </w:pPr>
    <w:rPr>
      <w:rFonts w:ascii="宋体" w:hAnsi="Times"/>
      <w:bCs/>
      <w:color w:val="000000"/>
      <w:szCs w:val="20"/>
    </w:rPr>
  </w:style>
  <w:style w:type="paragraph" w:customStyle="1" w:styleId="3583">
    <w:name w:val="表题317"/>
    <w:basedOn w:val="37"/>
    <w:qFormat/>
    <w:uiPriority w:val="0"/>
    <w:pPr>
      <w:tabs>
        <w:tab w:val="left" w:pos="4305"/>
      </w:tabs>
      <w:adjustRightInd w:val="0"/>
      <w:snapToGrid w:val="0"/>
      <w:spacing w:after="0"/>
      <w:ind w:left="0" w:leftChars="0"/>
      <w:jc w:val="center"/>
    </w:pPr>
    <w:rPr>
      <w:rFonts w:ascii="宋体" w:hAnsi="宋体"/>
      <w:sz w:val="24"/>
      <w:szCs w:val="20"/>
    </w:rPr>
  </w:style>
  <w:style w:type="paragraph" w:customStyle="1" w:styleId="3584">
    <w:name w:val="Char Char Char Char Char Char Char19"/>
    <w:basedOn w:val="1"/>
    <w:qFormat/>
    <w:uiPriority w:val="0"/>
  </w:style>
  <w:style w:type="paragraph" w:customStyle="1" w:styleId="3585">
    <w:name w:val="标题4316"/>
    <w:basedOn w:val="1"/>
    <w:qFormat/>
    <w:uiPriority w:val="0"/>
    <w:pPr>
      <w:adjustRightInd w:val="0"/>
      <w:snapToGrid w:val="0"/>
      <w:spacing w:line="480" w:lineRule="exact"/>
      <w:jc w:val="center"/>
    </w:pPr>
    <w:rPr>
      <w:rFonts w:ascii="宋体" w:hAnsi="宋体" w:cs="宋体"/>
      <w:sz w:val="24"/>
    </w:rPr>
  </w:style>
  <w:style w:type="paragraph" w:customStyle="1" w:styleId="3586">
    <w:name w:val="燕山正文117"/>
    <w:basedOn w:val="1"/>
    <w:qFormat/>
    <w:uiPriority w:val="0"/>
    <w:pPr>
      <w:tabs>
        <w:tab w:val="left" w:pos="4680"/>
      </w:tabs>
      <w:adjustRightInd w:val="0"/>
      <w:snapToGrid w:val="0"/>
      <w:spacing w:line="480" w:lineRule="exact"/>
    </w:pPr>
    <w:rPr>
      <w:rFonts w:ascii="宋体" w:hAnsi="宋体" w:cs="宋体"/>
      <w:bCs/>
      <w:color w:val="000000"/>
      <w:sz w:val="24"/>
    </w:rPr>
  </w:style>
  <w:style w:type="paragraph" w:customStyle="1" w:styleId="3587">
    <w:name w:val="默认段落字体 Para Char Char Char Char9"/>
    <w:basedOn w:val="1"/>
    <w:qFormat/>
    <w:uiPriority w:val="0"/>
  </w:style>
  <w:style w:type="paragraph" w:customStyle="1" w:styleId="3588">
    <w:name w:val="附件7"/>
    <w:basedOn w:val="4"/>
    <w:next w:val="223"/>
    <w:qFormat/>
    <w:uiPriority w:val="0"/>
    <w:pPr>
      <w:spacing w:before="0" w:after="0" w:line="360" w:lineRule="auto"/>
      <w:jc w:val="left"/>
    </w:pPr>
    <w:rPr>
      <w:rFonts w:ascii="黑体" w:hAnsi="宋体" w:eastAsia="黑体"/>
      <w:b w:val="0"/>
      <w:sz w:val="32"/>
      <w:szCs w:val="32"/>
    </w:rPr>
  </w:style>
  <w:style w:type="paragraph" w:customStyle="1" w:styleId="3589">
    <w:name w:val="黑体三号8"/>
    <w:basedOn w:val="223"/>
    <w:qFormat/>
    <w:uiPriority w:val="0"/>
    <w:pPr>
      <w:jc w:val="center"/>
    </w:pPr>
    <w:rPr>
      <w:rFonts w:ascii="黑体" w:hAnsi="宋体" w:eastAsia="黑体"/>
      <w:b/>
      <w:bCs/>
      <w:sz w:val="32"/>
      <w:szCs w:val="20"/>
    </w:rPr>
  </w:style>
  <w:style w:type="paragraph" w:customStyle="1" w:styleId="3590">
    <w:name w:val="表7"/>
    <w:basedOn w:val="1"/>
    <w:qFormat/>
    <w:uiPriority w:val="0"/>
    <w:pPr>
      <w:adjustRightInd w:val="0"/>
      <w:snapToGrid w:val="0"/>
      <w:jc w:val="center"/>
    </w:pPr>
    <w:rPr>
      <w:rFonts w:eastAsia="仿宋_GB2312"/>
      <w:sz w:val="24"/>
    </w:rPr>
  </w:style>
  <w:style w:type="character" w:customStyle="1" w:styleId="3591">
    <w:name w:val="Char Char81"/>
    <w:qFormat/>
    <w:uiPriority w:val="0"/>
    <w:rPr>
      <w:rFonts w:eastAsia="宋体"/>
      <w:kern w:val="2"/>
      <w:sz w:val="16"/>
      <w:szCs w:val="16"/>
      <w:lang w:val="en-US" w:eastAsia="zh-CN" w:bidi="ar-SA"/>
    </w:rPr>
  </w:style>
  <w:style w:type="paragraph" w:customStyle="1" w:styleId="3592">
    <w:name w:val="表题19"/>
    <w:basedOn w:val="23"/>
    <w:qFormat/>
    <w:uiPriority w:val="0"/>
    <w:pPr>
      <w:tabs>
        <w:tab w:val="clear" w:pos="7380"/>
      </w:tabs>
      <w:overflowPunct/>
      <w:spacing w:before="0" w:afterLines="0" w:line="360" w:lineRule="auto"/>
      <w:jc w:val="center"/>
    </w:pPr>
    <w:rPr>
      <w:rFonts w:ascii="黑体" w:cs="Times New Roman"/>
      <w:sz w:val="24"/>
      <w:szCs w:val="24"/>
    </w:rPr>
  </w:style>
  <w:style w:type="character" w:customStyle="1" w:styleId="3593">
    <w:name w:val="表题1 Char10"/>
    <w:qFormat/>
    <w:uiPriority w:val="0"/>
    <w:rPr>
      <w:rFonts w:hAnsi="Arial" w:eastAsia="宋体" w:cs="Arial"/>
      <w:kern w:val="2"/>
      <w:sz w:val="24"/>
      <w:szCs w:val="24"/>
      <w:lang w:val="en-US" w:eastAsia="zh-CN" w:bidi="ar-SA"/>
    </w:rPr>
  </w:style>
  <w:style w:type="paragraph" w:customStyle="1" w:styleId="3594">
    <w:name w:val="燕山正文8"/>
    <w:basedOn w:val="1"/>
    <w:qFormat/>
    <w:uiPriority w:val="0"/>
    <w:pPr>
      <w:tabs>
        <w:tab w:val="left" w:pos="4680"/>
      </w:tabs>
      <w:adjustRightInd w:val="0"/>
      <w:snapToGrid w:val="0"/>
      <w:spacing w:line="480" w:lineRule="exact"/>
    </w:pPr>
    <w:rPr>
      <w:rFonts w:ascii="宋体" w:cs="宋体"/>
      <w:sz w:val="24"/>
    </w:rPr>
  </w:style>
  <w:style w:type="character" w:customStyle="1" w:styleId="3595">
    <w:name w:val="燕山正文 Char18"/>
    <w:qFormat/>
    <w:uiPriority w:val="0"/>
    <w:rPr>
      <w:rFonts w:ascii="宋体" w:eastAsia="宋体" w:cs="宋体"/>
      <w:kern w:val="2"/>
      <w:sz w:val="24"/>
      <w:szCs w:val="24"/>
      <w:lang w:val="en-US" w:eastAsia="zh-CN" w:bidi="ar-SA"/>
    </w:rPr>
  </w:style>
  <w:style w:type="paragraph" w:customStyle="1" w:styleId="3596">
    <w:name w:val="正文修改8"/>
    <w:basedOn w:val="2056"/>
    <w:qFormat/>
    <w:uiPriority w:val="0"/>
    <w:rPr>
      <w:rFonts w:hAnsi="宋体"/>
      <w:color w:val="000000"/>
    </w:rPr>
  </w:style>
  <w:style w:type="character" w:customStyle="1" w:styleId="3597">
    <w:name w:val="正文修改 Char18"/>
    <w:qFormat/>
    <w:uiPriority w:val="0"/>
    <w:rPr>
      <w:rFonts w:ascii="宋体" w:hAnsi="宋体" w:eastAsia="宋体" w:cs="宋体"/>
      <w:color w:val="000000"/>
      <w:sz w:val="24"/>
      <w:szCs w:val="24"/>
    </w:rPr>
  </w:style>
  <w:style w:type="character" w:customStyle="1" w:styleId="3598">
    <w:name w:val="标题正文黑 Char2"/>
    <w:qFormat/>
    <w:uiPriority w:val="0"/>
    <w:rPr>
      <w:rFonts w:ascii="黑体" w:eastAsia="黑体"/>
      <w:kern w:val="2"/>
      <w:sz w:val="28"/>
      <w:szCs w:val="28"/>
      <w:lang w:val="en-US" w:eastAsia="zh-CN" w:bidi="ar-SA"/>
    </w:rPr>
  </w:style>
  <w:style w:type="paragraph" w:customStyle="1" w:styleId="3599">
    <w:name w:val="表中文字9"/>
    <w:basedOn w:val="1"/>
    <w:qFormat/>
    <w:uiPriority w:val="0"/>
    <w:pPr>
      <w:widowControl/>
      <w:adjustRightInd w:val="0"/>
      <w:spacing w:line="240" w:lineRule="atLeast"/>
      <w:ind w:right="-42" w:rightChars="-20"/>
      <w:jc w:val="center"/>
      <w:textAlignment w:val="baseline"/>
    </w:pPr>
    <w:rPr>
      <w:rFonts w:ascii="宋体"/>
      <w:kern w:val="0"/>
      <w:szCs w:val="21"/>
    </w:rPr>
  </w:style>
  <w:style w:type="character" w:customStyle="1" w:styleId="3600">
    <w:name w:val="表中文字 Char28"/>
    <w:qFormat/>
    <w:uiPriority w:val="0"/>
    <w:rPr>
      <w:rFonts w:ascii="宋体" w:eastAsia="宋体"/>
      <w:kern w:val="2"/>
      <w:sz w:val="21"/>
      <w:szCs w:val="21"/>
      <w:lang w:val="en-US" w:eastAsia="zh-CN" w:bidi="ar-SA"/>
    </w:rPr>
  </w:style>
  <w:style w:type="paragraph" w:customStyle="1" w:styleId="3601">
    <w:name w:val="表文字57"/>
    <w:basedOn w:val="1"/>
    <w:qFormat/>
    <w:uiPriority w:val="0"/>
    <w:pPr>
      <w:adjustRightInd w:val="0"/>
      <w:jc w:val="left"/>
      <w:textAlignment w:val="baseline"/>
    </w:pPr>
    <w:rPr>
      <w:rFonts w:ascii="宋体"/>
      <w:kern w:val="0"/>
      <w:szCs w:val="20"/>
    </w:rPr>
  </w:style>
  <w:style w:type="paragraph" w:customStyle="1" w:styleId="3602">
    <w:name w:val="表内文字小317"/>
    <w:basedOn w:val="1"/>
    <w:qFormat/>
    <w:uiPriority w:val="0"/>
    <w:pPr>
      <w:adjustRightInd w:val="0"/>
      <w:snapToGrid w:val="0"/>
      <w:jc w:val="center"/>
    </w:pPr>
    <w:rPr>
      <w:rFonts w:ascii="宋体" w:hAnsi="Times" w:cs="宋体"/>
      <w:bCs/>
      <w:color w:val="003366"/>
      <w:szCs w:val="20"/>
    </w:rPr>
  </w:style>
  <w:style w:type="paragraph" w:customStyle="1" w:styleId="3603">
    <w:name w:val="正文格式＝10"/>
    <w:basedOn w:val="223"/>
    <w:next w:val="223"/>
    <w:qFormat/>
    <w:uiPriority w:val="0"/>
    <w:rPr>
      <w:rFonts w:hAnsi="宋体" w:cs="Times New Roman"/>
    </w:rPr>
  </w:style>
  <w:style w:type="character" w:customStyle="1" w:styleId="3604">
    <w:name w:val="样式 表内小5 + 黑体 加粗 倾斜 下划线 Char52"/>
    <w:qFormat/>
    <w:uiPriority w:val="0"/>
    <w:rPr>
      <w:rFonts w:ascii="黑体" w:hAnsi="黑体" w:eastAsia="黑体"/>
      <w:b/>
      <w:bCs/>
      <w:i/>
      <w:iCs/>
      <w:kern w:val="2"/>
      <w:sz w:val="18"/>
      <w:szCs w:val="24"/>
      <w:u w:val="single"/>
      <w:lang w:val="en-US" w:eastAsia="zh-CN" w:bidi="ar-SA"/>
    </w:rPr>
  </w:style>
  <w:style w:type="character" w:customStyle="1" w:styleId="3605">
    <w:name w:val="标题2 Char9"/>
    <w:qFormat/>
    <w:uiPriority w:val="0"/>
    <w:rPr>
      <w:rFonts w:ascii="宋体" w:hAnsi="宋体" w:eastAsia="宋体" w:cs="宋体"/>
      <w:color w:val="000000"/>
      <w:kern w:val="2"/>
      <w:sz w:val="24"/>
      <w:szCs w:val="24"/>
      <w:lang w:val="en-US" w:eastAsia="zh-CN" w:bidi="ar-SA"/>
    </w:rPr>
  </w:style>
  <w:style w:type="paragraph" w:customStyle="1" w:styleId="3606">
    <w:name w:val="Char40"/>
    <w:basedOn w:val="1"/>
    <w:qFormat/>
    <w:uiPriority w:val="0"/>
    <w:pPr>
      <w:ind w:left="-48"/>
    </w:pPr>
  </w:style>
  <w:style w:type="paragraph" w:customStyle="1" w:styleId="3607">
    <w:name w:val="表内文字小26"/>
    <w:basedOn w:val="1"/>
    <w:qFormat/>
    <w:uiPriority w:val="0"/>
    <w:pPr>
      <w:adjustRightInd w:val="0"/>
      <w:snapToGrid w:val="0"/>
      <w:jc w:val="center"/>
    </w:pPr>
    <w:rPr>
      <w:rFonts w:ascii="宋体" w:hAnsi="Times"/>
      <w:bCs/>
      <w:color w:val="000000"/>
      <w:szCs w:val="20"/>
    </w:rPr>
  </w:style>
  <w:style w:type="paragraph" w:customStyle="1" w:styleId="3608">
    <w:name w:val="表内535"/>
    <w:basedOn w:val="1"/>
    <w:qFormat/>
    <w:uiPriority w:val="0"/>
    <w:pPr>
      <w:adjustRightInd w:val="0"/>
      <w:snapToGrid w:val="0"/>
      <w:spacing w:line="300" w:lineRule="auto"/>
      <w:jc w:val="left"/>
    </w:pPr>
    <w:rPr>
      <w:rFonts w:ascii="宋体"/>
      <w:szCs w:val="20"/>
    </w:rPr>
  </w:style>
  <w:style w:type="paragraph" w:customStyle="1" w:styleId="3609">
    <w:name w:val="正文格式25"/>
    <w:basedOn w:val="1"/>
    <w:qFormat/>
    <w:uiPriority w:val="0"/>
    <w:pPr>
      <w:spacing w:line="360" w:lineRule="auto"/>
      <w:ind w:firstLine="482"/>
    </w:pPr>
    <w:rPr>
      <w:rFonts w:ascii="宋体" w:hAnsi="宋体"/>
      <w:sz w:val="24"/>
    </w:rPr>
  </w:style>
  <w:style w:type="paragraph" w:customStyle="1" w:styleId="3610">
    <w:name w:val="图题25"/>
    <w:basedOn w:val="223"/>
    <w:next w:val="223"/>
    <w:qFormat/>
    <w:uiPriority w:val="0"/>
    <w:pPr>
      <w:ind w:firstLine="0"/>
      <w:jc w:val="center"/>
    </w:pPr>
    <w:rPr>
      <w:rFonts w:ascii="黑体" w:hAnsi="宋体" w:eastAsia="黑体"/>
      <w:b/>
      <w:bCs/>
    </w:rPr>
  </w:style>
  <w:style w:type="paragraph" w:customStyle="1" w:styleId="3611">
    <w:name w:val="表格内字体25"/>
    <w:basedOn w:val="223"/>
    <w:next w:val="223"/>
    <w:qFormat/>
    <w:uiPriority w:val="0"/>
    <w:pPr>
      <w:spacing w:line="240" w:lineRule="auto"/>
      <w:ind w:firstLine="0"/>
      <w:jc w:val="center"/>
    </w:pPr>
    <w:rPr>
      <w:rFonts w:hAnsi="宋体" w:cs="Times New Roman"/>
      <w:sz w:val="21"/>
    </w:rPr>
  </w:style>
  <w:style w:type="character" w:customStyle="1" w:styleId="3612">
    <w:name w:val="Char Char67"/>
    <w:qFormat/>
    <w:uiPriority w:val="0"/>
    <w:rPr>
      <w:rFonts w:eastAsia="宋体"/>
      <w:b/>
      <w:bCs/>
      <w:kern w:val="2"/>
      <w:sz w:val="28"/>
      <w:szCs w:val="28"/>
      <w:lang w:val="en-US" w:eastAsia="zh-CN" w:bidi="ar-SA"/>
    </w:rPr>
  </w:style>
  <w:style w:type="paragraph" w:customStyle="1" w:styleId="3613">
    <w:name w:val="表题115"/>
    <w:basedOn w:val="23"/>
    <w:qFormat/>
    <w:uiPriority w:val="0"/>
    <w:pPr>
      <w:tabs>
        <w:tab w:val="clear" w:pos="7380"/>
      </w:tabs>
      <w:overflowPunct/>
      <w:spacing w:before="0" w:afterLines="0" w:line="360" w:lineRule="auto"/>
      <w:jc w:val="center"/>
    </w:pPr>
    <w:rPr>
      <w:rFonts w:ascii="黑体" w:cs="Times New Roman"/>
      <w:sz w:val="24"/>
      <w:szCs w:val="24"/>
    </w:rPr>
  </w:style>
  <w:style w:type="character" w:customStyle="1" w:styleId="3614">
    <w:name w:val="表题1 Char12"/>
    <w:qFormat/>
    <w:uiPriority w:val="0"/>
    <w:rPr>
      <w:rFonts w:hAnsi="Arial" w:eastAsia="宋体" w:cs="Arial"/>
      <w:kern w:val="2"/>
      <w:sz w:val="24"/>
      <w:szCs w:val="24"/>
      <w:lang w:val="en-US" w:eastAsia="zh-CN" w:bidi="ar-SA"/>
    </w:rPr>
  </w:style>
  <w:style w:type="paragraph" w:customStyle="1" w:styleId="3615">
    <w:name w:val="表中文字15"/>
    <w:basedOn w:val="1"/>
    <w:qFormat/>
    <w:uiPriority w:val="0"/>
    <w:pPr>
      <w:widowControl/>
      <w:spacing w:line="240" w:lineRule="atLeast"/>
      <w:ind w:left="-24" w:leftChars="-10" w:right="-48" w:rightChars="-20"/>
      <w:jc w:val="center"/>
    </w:pPr>
    <w:rPr>
      <w:rFonts w:ascii="宋体"/>
      <w:kern w:val="0"/>
      <w:szCs w:val="21"/>
    </w:rPr>
  </w:style>
  <w:style w:type="paragraph" w:customStyle="1" w:styleId="3616">
    <w:name w:val="表文字515"/>
    <w:basedOn w:val="1"/>
    <w:qFormat/>
    <w:uiPriority w:val="0"/>
    <w:pPr>
      <w:adjustRightInd w:val="0"/>
      <w:jc w:val="left"/>
      <w:textAlignment w:val="baseline"/>
    </w:pPr>
    <w:rPr>
      <w:rFonts w:ascii="宋体"/>
      <w:kern w:val="0"/>
      <w:szCs w:val="20"/>
    </w:rPr>
  </w:style>
  <w:style w:type="paragraph" w:customStyle="1" w:styleId="3617">
    <w:name w:val="默认段落字体 Para Char8"/>
    <w:basedOn w:val="1"/>
    <w:qFormat/>
    <w:uiPriority w:val="0"/>
    <w:pPr>
      <w:spacing w:line="360" w:lineRule="auto"/>
      <w:ind w:firstLine="200" w:firstLineChars="200"/>
    </w:pPr>
    <w:rPr>
      <w:rFonts w:ascii="宋体" w:hAnsi="宋体" w:cs="宋体"/>
      <w:sz w:val="24"/>
    </w:rPr>
  </w:style>
  <w:style w:type="character" w:customStyle="1" w:styleId="3618">
    <w:name w:val="占位符文本1"/>
    <w:qFormat/>
    <w:uiPriority w:val="0"/>
    <w:rPr>
      <w:rFonts w:eastAsia="宋体"/>
      <w:color w:val="808080"/>
      <w:kern w:val="2"/>
      <w:sz w:val="24"/>
      <w:szCs w:val="24"/>
      <w:lang w:val="en-US" w:eastAsia="zh-CN" w:bidi="ar-SA"/>
    </w:rPr>
  </w:style>
  <w:style w:type="paragraph" w:customStyle="1" w:styleId="3619">
    <w:name w:val="表题414"/>
    <w:basedOn w:val="37"/>
    <w:qFormat/>
    <w:uiPriority w:val="0"/>
    <w:pPr>
      <w:tabs>
        <w:tab w:val="left" w:pos="4305"/>
      </w:tabs>
      <w:adjustRightInd w:val="0"/>
      <w:snapToGrid w:val="0"/>
      <w:spacing w:after="0"/>
      <w:ind w:left="0" w:leftChars="0"/>
      <w:jc w:val="center"/>
    </w:pPr>
    <w:rPr>
      <w:rFonts w:ascii="宋体" w:hAnsi="宋体" w:cs="宋体"/>
      <w:color w:val="000000"/>
      <w:sz w:val="24"/>
    </w:rPr>
  </w:style>
  <w:style w:type="paragraph" w:customStyle="1" w:styleId="3620">
    <w:name w:val="Char Char Char Char Char Char Char20"/>
    <w:basedOn w:val="1"/>
    <w:qFormat/>
    <w:uiPriority w:val="0"/>
  </w:style>
  <w:style w:type="paragraph" w:customStyle="1" w:styleId="3621">
    <w:name w:val="正文25"/>
    <w:qFormat/>
    <w:uiPriority w:val="0"/>
    <w:pPr>
      <w:adjustRightInd w:val="0"/>
      <w:snapToGrid w:val="0"/>
      <w:spacing w:line="480" w:lineRule="atLeast"/>
      <w:jc w:val="center"/>
    </w:pPr>
    <w:rPr>
      <w:rFonts w:ascii="宋体" w:hAnsi="Times New Roman" w:eastAsia="宋体" w:cs="Times New Roman"/>
      <w:snapToGrid w:val="0"/>
      <w:spacing w:val="6"/>
      <w:sz w:val="21"/>
      <w:lang w:val="en-US" w:eastAsia="zh-CN" w:bidi="ar-SA"/>
    </w:rPr>
  </w:style>
  <w:style w:type="character" w:customStyle="1" w:styleId="3622">
    <w:name w:val="表内5 Char21"/>
    <w:qFormat/>
    <w:uiPriority w:val="0"/>
    <w:rPr>
      <w:rFonts w:ascii="宋体" w:hAnsi="宋体" w:eastAsia="宋体" w:cs="宋体"/>
      <w:kern w:val="2"/>
      <w:sz w:val="21"/>
      <w:szCs w:val="24"/>
      <w:lang w:val="en-US" w:eastAsia="zh-CN" w:bidi="ar-SA"/>
    </w:rPr>
  </w:style>
  <w:style w:type="paragraph" w:customStyle="1" w:styleId="3623">
    <w:name w:val="表内宋5115"/>
    <w:basedOn w:val="81"/>
    <w:qFormat/>
    <w:uiPriority w:val="0"/>
    <w:rPr>
      <w:lang w:val="zh-CN"/>
    </w:rPr>
  </w:style>
  <w:style w:type="paragraph" w:customStyle="1" w:styleId="3624">
    <w:name w:val="文本框5"/>
    <w:basedOn w:val="1"/>
    <w:qFormat/>
    <w:uiPriority w:val="0"/>
    <w:pPr>
      <w:adjustRightInd w:val="0"/>
      <w:snapToGrid w:val="0"/>
      <w:spacing w:after="6"/>
      <w:jc w:val="center"/>
    </w:pPr>
    <w:rPr>
      <w:rFonts w:eastAsia="仿宋_GB2312"/>
    </w:rPr>
  </w:style>
  <w:style w:type="paragraph" w:customStyle="1" w:styleId="3625">
    <w:name w:val="正文.5"/>
    <w:qFormat/>
    <w:uiPriority w:val="0"/>
    <w:pPr>
      <w:widowControl w:val="0"/>
      <w:autoSpaceDE w:val="0"/>
      <w:autoSpaceDN w:val="0"/>
      <w:adjustRightInd w:val="0"/>
      <w:jc w:val="both"/>
    </w:pPr>
    <w:rPr>
      <w:rFonts w:ascii="Times New Roman;Symbol;Arial;婼" w:hAnsi="Times New Roman" w:eastAsia="Times New Roman;Symbol;Arial;婼" w:cs="Times New Roman"/>
      <w:sz w:val="21"/>
      <w:szCs w:val="21"/>
      <w:lang w:val="en-US" w:eastAsia="zh-CN" w:bidi="ar-SA"/>
    </w:rPr>
  </w:style>
  <w:style w:type="paragraph" w:customStyle="1" w:styleId="3626">
    <w:name w:val="Char Char2 Char Char Char Char10"/>
    <w:basedOn w:val="1"/>
    <w:qFormat/>
    <w:uiPriority w:val="0"/>
  </w:style>
  <w:style w:type="paragraph" w:customStyle="1" w:styleId="3627">
    <w:name w:val="Char49"/>
    <w:basedOn w:val="1"/>
    <w:qFormat/>
    <w:uiPriority w:val="0"/>
    <w:pPr>
      <w:ind w:left="-48"/>
    </w:pPr>
  </w:style>
  <w:style w:type="character" w:customStyle="1" w:styleId="3628">
    <w:name w:val="Char Char44"/>
    <w:qFormat/>
    <w:uiPriority w:val="0"/>
    <w:rPr>
      <w:rFonts w:ascii="黑体" w:hAnsi="Arial" w:eastAsia="黑体"/>
      <w:b/>
      <w:bCs/>
      <w:kern w:val="2"/>
      <w:sz w:val="30"/>
      <w:szCs w:val="30"/>
      <w:lang w:val="en-US" w:eastAsia="zh-CN" w:bidi="ar-SA"/>
    </w:rPr>
  </w:style>
  <w:style w:type="character" w:customStyle="1" w:styleId="3629">
    <w:name w:val="Char Char33"/>
    <w:qFormat/>
    <w:uiPriority w:val="0"/>
    <w:rPr>
      <w:rFonts w:ascii="黑体" w:hAnsi="宋体" w:eastAsia="黑体"/>
      <w:b/>
      <w:bCs/>
      <w:kern w:val="2"/>
      <w:sz w:val="28"/>
      <w:szCs w:val="28"/>
      <w:lang w:val="en-US" w:eastAsia="zh-CN" w:bidi="ar-SA"/>
    </w:rPr>
  </w:style>
  <w:style w:type="character" w:customStyle="1" w:styleId="3630">
    <w:name w:val="标题 2 Char Char2"/>
    <w:qFormat/>
    <w:uiPriority w:val="0"/>
    <w:rPr>
      <w:rFonts w:ascii="黑体" w:hAnsi="Arial" w:eastAsia="黑体"/>
      <w:b/>
      <w:bCs/>
      <w:kern w:val="2"/>
      <w:sz w:val="30"/>
      <w:szCs w:val="30"/>
      <w:lang w:val="en-US" w:eastAsia="zh-CN" w:bidi="ar-SA"/>
    </w:rPr>
  </w:style>
  <w:style w:type="character" w:customStyle="1" w:styleId="3631">
    <w:name w:val="标题 3 Char Char12"/>
    <w:qFormat/>
    <w:uiPriority w:val="0"/>
    <w:rPr>
      <w:rFonts w:ascii="黑体" w:hAnsi="宋体" w:eastAsia="黑体"/>
      <w:b/>
      <w:bCs/>
      <w:kern w:val="2"/>
      <w:sz w:val="28"/>
      <w:szCs w:val="28"/>
      <w:lang w:val="en-US" w:eastAsia="zh-CN" w:bidi="ar-SA"/>
    </w:rPr>
  </w:style>
  <w:style w:type="paragraph" w:customStyle="1" w:styleId="3632">
    <w:name w:val="首行缩进:  0.99 厘米 + 首行缩进:  2 字符4"/>
    <w:basedOn w:val="1"/>
    <w:qFormat/>
    <w:uiPriority w:val="0"/>
    <w:pPr>
      <w:widowControl/>
      <w:topLinePunct/>
      <w:spacing w:line="480" w:lineRule="exact"/>
      <w:ind w:firstLine="420" w:firstLineChars="200"/>
      <w:jc w:val="center"/>
    </w:pPr>
    <w:rPr>
      <w:rFonts w:ascii="宋体" w:cs="宋体"/>
      <w:snapToGrid w:val="0"/>
      <w:color w:val="FF0000"/>
      <w:kern w:val="0"/>
      <w:szCs w:val="21"/>
    </w:rPr>
  </w:style>
  <w:style w:type="paragraph" w:customStyle="1" w:styleId="3633">
    <w:name w:val="图表名称4"/>
    <w:basedOn w:val="86"/>
    <w:qFormat/>
    <w:uiPriority w:val="0"/>
    <w:pPr>
      <w:widowControl/>
      <w:adjustRightInd w:val="0"/>
      <w:snapToGrid w:val="0"/>
      <w:spacing w:after="0" w:line="480" w:lineRule="exact"/>
      <w:ind w:firstLine="0" w:firstLineChars="0"/>
      <w:jc w:val="center"/>
    </w:pPr>
    <w:rPr>
      <w:rFonts w:ascii="宋体" w:hAnsi="宋体" w:eastAsia="宋体"/>
      <w:bCs/>
      <w:sz w:val="24"/>
      <w:lang w:val="zh-CN"/>
    </w:rPr>
  </w:style>
  <w:style w:type="paragraph" w:customStyle="1" w:styleId="3634">
    <w:name w:val="表内文字边4"/>
    <w:basedOn w:val="1"/>
    <w:qFormat/>
    <w:uiPriority w:val="0"/>
    <w:pPr>
      <w:widowControl/>
      <w:adjustRightInd w:val="0"/>
      <w:snapToGrid w:val="0"/>
      <w:spacing w:line="240" w:lineRule="atLeast"/>
      <w:ind w:left="-21" w:leftChars="-10" w:right="-42" w:rightChars="-20"/>
    </w:pPr>
    <w:rPr>
      <w:rFonts w:ascii="宋体"/>
      <w:kern w:val="0"/>
      <w:szCs w:val="21"/>
    </w:rPr>
  </w:style>
  <w:style w:type="paragraph" w:customStyle="1" w:styleId="3635">
    <w:name w:val="正文缩4"/>
    <w:basedOn w:val="1"/>
    <w:qFormat/>
    <w:uiPriority w:val="0"/>
    <w:pPr>
      <w:adjustRightInd w:val="0"/>
      <w:snapToGrid w:val="0"/>
      <w:spacing w:line="480" w:lineRule="atLeast"/>
      <w:ind w:firstLine="567"/>
      <w:textAlignment w:val="baseline"/>
    </w:pPr>
    <w:rPr>
      <w:rFonts w:ascii="宋体"/>
      <w:color w:val="000080"/>
      <w:spacing w:val="6"/>
      <w:kern w:val="0"/>
      <w:sz w:val="28"/>
      <w:szCs w:val="20"/>
    </w:rPr>
  </w:style>
  <w:style w:type="paragraph" w:customStyle="1" w:styleId="3636">
    <w:name w:val="样式24"/>
    <w:basedOn w:val="1"/>
    <w:qFormat/>
    <w:uiPriority w:val="0"/>
    <w:pPr>
      <w:adjustRightInd w:val="0"/>
      <w:spacing w:line="360" w:lineRule="auto"/>
      <w:jc w:val="center"/>
      <w:textAlignment w:val="baseline"/>
      <w:outlineLvl w:val="0"/>
    </w:pPr>
    <w:rPr>
      <w:kern w:val="0"/>
      <w:szCs w:val="20"/>
    </w:rPr>
  </w:style>
  <w:style w:type="character" w:customStyle="1" w:styleId="3637">
    <w:name w:val="样式 黑色1"/>
    <w:qFormat/>
    <w:uiPriority w:val="0"/>
    <w:rPr>
      <w:rFonts w:eastAsia="宋体"/>
      <w:color w:val="auto"/>
      <w:kern w:val="2"/>
      <w:sz w:val="24"/>
      <w:szCs w:val="24"/>
      <w:lang w:val="en-US" w:eastAsia="zh-CN" w:bidi="ar-SA"/>
    </w:rPr>
  </w:style>
  <w:style w:type="paragraph" w:customStyle="1" w:styleId="3638">
    <w:name w:val="默认段落字体 Para Char Char Char Char Char4"/>
    <w:basedOn w:val="1"/>
    <w:qFormat/>
    <w:uiPriority w:val="0"/>
  </w:style>
  <w:style w:type="paragraph" w:customStyle="1" w:styleId="3639">
    <w:name w:val="表内宋5中6"/>
    <w:basedOn w:val="1"/>
    <w:qFormat/>
    <w:uiPriority w:val="0"/>
    <w:pPr>
      <w:adjustRightInd w:val="0"/>
      <w:snapToGrid w:val="0"/>
      <w:textAlignment w:val="baseline"/>
    </w:pPr>
    <w:rPr>
      <w:color w:val="000000"/>
      <w:kern w:val="0"/>
      <w:szCs w:val="20"/>
    </w:rPr>
  </w:style>
  <w:style w:type="paragraph" w:customStyle="1" w:styleId="3640">
    <w:name w:val="样式 标题 3 + 段前: 12 磅4"/>
    <w:basedOn w:val="6"/>
    <w:qFormat/>
    <w:uiPriority w:val="0"/>
    <w:pPr>
      <w:keepNext w:val="0"/>
      <w:keepLines w:val="0"/>
      <w:widowControl/>
      <w:autoSpaceDE w:val="0"/>
      <w:autoSpaceDN w:val="0"/>
      <w:adjustRightInd w:val="0"/>
      <w:snapToGrid w:val="0"/>
      <w:spacing w:before="0" w:after="0" w:line="360" w:lineRule="auto"/>
    </w:pPr>
    <w:rPr>
      <w:rFonts w:ascii="黑体" w:hAnsi="宋体" w:eastAsia="黑体" w:cs="宋体"/>
      <w:b w:val="0"/>
      <w:bCs w:val="0"/>
      <w:color w:val="000000"/>
      <w:kern w:val="21"/>
      <w:sz w:val="24"/>
      <w:szCs w:val="20"/>
    </w:rPr>
  </w:style>
  <w:style w:type="paragraph" w:customStyle="1" w:styleId="3641">
    <w:name w:val="表内文字小6"/>
    <w:basedOn w:val="1"/>
    <w:qFormat/>
    <w:uiPriority w:val="0"/>
    <w:pPr>
      <w:adjustRightInd w:val="0"/>
      <w:snapToGrid w:val="0"/>
      <w:jc w:val="center"/>
    </w:pPr>
    <w:rPr>
      <w:rFonts w:ascii="宋体" w:hAnsi="Times"/>
      <w:szCs w:val="20"/>
    </w:rPr>
  </w:style>
  <w:style w:type="paragraph" w:customStyle="1" w:styleId="3642">
    <w:name w:val="表内56"/>
    <w:basedOn w:val="1"/>
    <w:qFormat/>
    <w:uiPriority w:val="0"/>
    <w:pPr>
      <w:adjustRightInd w:val="0"/>
      <w:snapToGrid w:val="0"/>
      <w:spacing w:line="300" w:lineRule="auto"/>
      <w:jc w:val="left"/>
    </w:pPr>
    <w:rPr>
      <w:rFonts w:ascii="宋体"/>
      <w:sz w:val="18"/>
      <w:szCs w:val="20"/>
    </w:rPr>
  </w:style>
  <w:style w:type="paragraph" w:customStyle="1" w:styleId="3643">
    <w:name w:val="表内宋54"/>
    <w:basedOn w:val="2134"/>
    <w:qFormat/>
    <w:uiPriority w:val="0"/>
    <w:pPr>
      <w:widowControl/>
      <w:autoSpaceDE w:val="0"/>
      <w:autoSpaceDN w:val="0"/>
      <w:jc w:val="left"/>
      <w:textAlignment w:val="auto"/>
    </w:pPr>
    <w:rPr>
      <w:color w:val="auto"/>
      <w:w w:val="90"/>
    </w:rPr>
  </w:style>
  <w:style w:type="paragraph" w:customStyle="1" w:styleId="3644">
    <w:name w:val="Char Char Char Char1 Char Char Char7"/>
    <w:basedOn w:val="1"/>
    <w:qFormat/>
    <w:uiPriority w:val="0"/>
    <w:pPr>
      <w:widowControl/>
      <w:spacing w:after="160" w:line="240" w:lineRule="exact"/>
      <w:jc w:val="left"/>
    </w:pPr>
    <w:rPr>
      <w:rFonts w:ascii="Verdana" w:hAnsi="Verdana"/>
      <w:kern w:val="0"/>
      <w:sz w:val="20"/>
      <w:szCs w:val="20"/>
      <w:lang w:eastAsia="en-US"/>
    </w:rPr>
  </w:style>
  <w:style w:type="paragraph" w:customStyle="1" w:styleId="3645">
    <w:name w:val="正文格式17"/>
    <w:basedOn w:val="1"/>
    <w:qFormat/>
    <w:uiPriority w:val="0"/>
    <w:pPr>
      <w:spacing w:line="360" w:lineRule="auto"/>
      <w:ind w:firstLine="482"/>
    </w:pPr>
    <w:rPr>
      <w:rFonts w:ascii="宋体" w:hAnsi="宋体"/>
      <w:sz w:val="24"/>
    </w:rPr>
  </w:style>
  <w:style w:type="paragraph" w:customStyle="1" w:styleId="3646">
    <w:name w:val="图题15"/>
    <w:basedOn w:val="223"/>
    <w:next w:val="223"/>
    <w:qFormat/>
    <w:uiPriority w:val="0"/>
    <w:pPr>
      <w:ind w:firstLine="0"/>
      <w:jc w:val="center"/>
    </w:pPr>
    <w:rPr>
      <w:rFonts w:ascii="黑体" w:hAnsi="宋体" w:eastAsia="黑体"/>
      <w:b/>
      <w:bCs/>
    </w:rPr>
  </w:style>
  <w:style w:type="paragraph" w:customStyle="1" w:styleId="3647">
    <w:name w:val="表格内字体16"/>
    <w:basedOn w:val="223"/>
    <w:next w:val="223"/>
    <w:qFormat/>
    <w:uiPriority w:val="0"/>
    <w:pPr>
      <w:spacing w:line="240" w:lineRule="auto"/>
      <w:ind w:firstLine="0"/>
      <w:jc w:val="center"/>
    </w:pPr>
    <w:rPr>
      <w:rFonts w:hAnsi="宋体" w:cs="Times New Roman"/>
      <w:sz w:val="21"/>
    </w:rPr>
  </w:style>
  <w:style w:type="character" w:customStyle="1" w:styleId="3648">
    <w:name w:val="表格内字体 Char12"/>
    <w:qFormat/>
    <w:uiPriority w:val="0"/>
    <w:rPr>
      <w:rFonts w:ascii="宋体" w:hAnsi="宋体" w:eastAsia="宋体"/>
      <w:kern w:val="2"/>
      <w:sz w:val="21"/>
      <w:szCs w:val="24"/>
      <w:lang w:val="en-US" w:eastAsia="zh-CN" w:bidi="ar-SA"/>
    </w:rPr>
  </w:style>
  <w:style w:type="character" w:customStyle="1" w:styleId="3649">
    <w:name w:val="正文格式 Char14"/>
    <w:qFormat/>
    <w:uiPriority w:val="0"/>
    <w:rPr>
      <w:rFonts w:ascii="宋体" w:hAnsi="宋体" w:eastAsia="宋体"/>
      <w:kern w:val="2"/>
      <w:sz w:val="24"/>
      <w:szCs w:val="24"/>
      <w:lang w:val="en-US" w:eastAsia="zh-CN" w:bidi="ar-SA"/>
    </w:rPr>
  </w:style>
  <w:style w:type="character" w:customStyle="1" w:styleId="3650">
    <w:name w:val="Char Char117"/>
    <w:qFormat/>
    <w:uiPriority w:val="0"/>
    <w:rPr>
      <w:rFonts w:ascii="黑体" w:hAnsi="Arial" w:eastAsia="黑体"/>
      <w:bCs/>
      <w:kern w:val="2"/>
      <w:sz w:val="30"/>
      <w:szCs w:val="30"/>
      <w:lang w:val="en-US" w:eastAsia="zh-CN" w:bidi="ar-SA"/>
    </w:rPr>
  </w:style>
  <w:style w:type="character" w:customStyle="1" w:styleId="3651">
    <w:name w:val="Char Char53"/>
    <w:qFormat/>
    <w:uiPriority w:val="0"/>
    <w:rPr>
      <w:rFonts w:ascii="黑体" w:hAnsi="宋体" w:eastAsia="黑体"/>
      <w:bCs/>
      <w:kern w:val="2"/>
      <w:sz w:val="28"/>
      <w:szCs w:val="28"/>
      <w:lang w:val="en-US" w:eastAsia="zh-CN" w:bidi="ar-SA"/>
    </w:rPr>
  </w:style>
  <w:style w:type="paragraph" w:customStyle="1" w:styleId="3652">
    <w:name w:val="Char117"/>
    <w:basedOn w:val="1"/>
    <w:qFormat/>
    <w:uiPriority w:val="0"/>
    <w:pPr>
      <w:ind w:left="-48"/>
    </w:pPr>
  </w:style>
  <w:style w:type="paragraph" w:customStyle="1" w:styleId="3653">
    <w:name w:val="正文格式＝14"/>
    <w:basedOn w:val="223"/>
    <w:next w:val="223"/>
    <w:qFormat/>
    <w:uiPriority w:val="0"/>
    <w:rPr>
      <w:rFonts w:hAnsi="宋体" w:cs="Times New Roman"/>
    </w:rPr>
  </w:style>
  <w:style w:type="character" w:customStyle="1" w:styleId="3654">
    <w:name w:val="正文缩进 Char14"/>
    <w:qFormat/>
    <w:uiPriority w:val="0"/>
    <w:rPr>
      <w:rFonts w:ascii="宋体" w:hAnsi="宋体" w:eastAsia="宋体" w:cs="宋体"/>
      <w:color w:val="000000"/>
      <w:kern w:val="2"/>
      <w:sz w:val="24"/>
      <w:szCs w:val="24"/>
      <w:lang w:val="en-US" w:eastAsia="zh-CN" w:bidi="ar-SA"/>
    </w:rPr>
  </w:style>
  <w:style w:type="character" w:customStyle="1" w:styleId="3655">
    <w:name w:val="正文格式 Char21"/>
    <w:qFormat/>
    <w:uiPriority w:val="0"/>
    <w:rPr>
      <w:rFonts w:ascii="宋体" w:hAnsi="宋体" w:eastAsia="宋体"/>
      <w:kern w:val="2"/>
      <w:sz w:val="24"/>
      <w:szCs w:val="24"/>
      <w:lang w:val="en-US" w:eastAsia="zh-CN" w:bidi="ar-SA"/>
    </w:rPr>
  </w:style>
  <w:style w:type="paragraph" w:customStyle="1" w:styleId="3656">
    <w:name w:val="Char118"/>
    <w:basedOn w:val="1"/>
    <w:qFormat/>
    <w:uiPriority w:val="0"/>
    <w:pPr>
      <w:adjustRightInd w:val="0"/>
      <w:snapToGrid w:val="0"/>
      <w:spacing w:beforeLines="50" w:line="360" w:lineRule="auto"/>
    </w:pPr>
    <w:rPr>
      <w:rFonts w:ascii="黑体" w:eastAsia="黑体"/>
      <w:sz w:val="32"/>
      <w:szCs w:val="32"/>
    </w:rPr>
  </w:style>
  <w:style w:type="character" w:customStyle="1" w:styleId="3657">
    <w:name w:val="标题 2 Char Char11"/>
    <w:qFormat/>
    <w:uiPriority w:val="0"/>
    <w:rPr>
      <w:rFonts w:ascii="黑体" w:hAnsi="Arial" w:eastAsia="黑体"/>
      <w:bCs/>
      <w:kern w:val="2"/>
      <w:sz w:val="30"/>
      <w:szCs w:val="30"/>
      <w:lang w:val="en-US" w:eastAsia="zh-CN" w:bidi="ar-SA"/>
    </w:rPr>
  </w:style>
  <w:style w:type="character" w:customStyle="1" w:styleId="3658">
    <w:name w:val="标题 3 Char Char111"/>
    <w:qFormat/>
    <w:uiPriority w:val="0"/>
    <w:rPr>
      <w:rFonts w:ascii="黑体" w:hAnsi="宋体" w:eastAsia="黑体"/>
      <w:bCs/>
      <w:kern w:val="2"/>
      <w:sz w:val="28"/>
      <w:szCs w:val="28"/>
      <w:lang w:val="en-US" w:eastAsia="zh-CN" w:bidi="ar-SA"/>
    </w:rPr>
  </w:style>
  <w:style w:type="character" w:customStyle="1" w:styleId="3659">
    <w:name w:val="题注 Char14"/>
    <w:qFormat/>
    <w:uiPriority w:val="0"/>
    <w:rPr>
      <w:rFonts w:ascii="黑体" w:hAnsi="Arial" w:eastAsia="黑体" w:cs="Arial"/>
      <w:b/>
      <w:kern w:val="2"/>
      <w:sz w:val="24"/>
      <w:szCs w:val="24"/>
      <w:lang w:val="en-US" w:eastAsia="zh-CN" w:bidi="ar-SA"/>
    </w:rPr>
  </w:style>
  <w:style w:type="character" w:customStyle="1" w:styleId="3660">
    <w:name w:val="表格内字体 Char21"/>
    <w:qFormat/>
    <w:uiPriority w:val="0"/>
    <w:rPr>
      <w:rFonts w:ascii="宋体" w:hAnsi="宋体" w:eastAsia="宋体"/>
      <w:kern w:val="2"/>
      <w:sz w:val="21"/>
      <w:szCs w:val="24"/>
      <w:lang w:val="en-US" w:eastAsia="zh-CN" w:bidi="ar-SA"/>
    </w:rPr>
  </w:style>
  <w:style w:type="character" w:customStyle="1" w:styleId="3661">
    <w:name w:val="正文缩进 Char21"/>
    <w:qFormat/>
    <w:uiPriority w:val="0"/>
    <w:rPr>
      <w:rFonts w:ascii="宋体" w:hAnsi="宋体" w:eastAsia="宋体" w:cs="宋体"/>
      <w:color w:val="000000"/>
      <w:kern w:val="2"/>
      <w:sz w:val="24"/>
      <w:szCs w:val="24"/>
      <w:lang w:val="en-US" w:eastAsia="zh-CN" w:bidi="ar-SA"/>
    </w:rPr>
  </w:style>
  <w:style w:type="paragraph" w:customStyle="1" w:styleId="3662">
    <w:name w:val="表内54114"/>
    <w:basedOn w:val="1"/>
    <w:qFormat/>
    <w:uiPriority w:val="0"/>
    <w:pPr>
      <w:adjustRightInd w:val="0"/>
      <w:snapToGrid w:val="0"/>
      <w:spacing w:line="300" w:lineRule="auto"/>
      <w:jc w:val="center"/>
    </w:pPr>
    <w:rPr>
      <w:rFonts w:ascii="宋体" w:hAnsi="宋体" w:cs="宋体"/>
      <w:szCs w:val="20"/>
    </w:rPr>
  </w:style>
  <w:style w:type="paragraph" w:customStyle="1" w:styleId="3663">
    <w:name w:val="表内文字小2114"/>
    <w:basedOn w:val="1"/>
    <w:qFormat/>
    <w:uiPriority w:val="0"/>
    <w:pPr>
      <w:adjustRightInd w:val="0"/>
      <w:snapToGrid w:val="0"/>
      <w:jc w:val="center"/>
    </w:pPr>
    <w:rPr>
      <w:rFonts w:ascii="宋体" w:hAnsi="Times"/>
      <w:bCs/>
      <w:color w:val="000000"/>
      <w:szCs w:val="20"/>
    </w:rPr>
  </w:style>
  <w:style w:type="paragraph" w:customStyle="1" w:styleId="3664">
    <w:name w:val="表题3114"/>
    <w:basedOn w:val="37"/>
    <w:qFormat/>
    <w:uiPriority w:val="0"/>
    <w:pPr>
      <w:tabs>
        <w:tab w:val="left" w:pos="4305"/>
      </w:tabs>
      <w:adjustRightInd w:val="0"/>
      <w:snapToGrid w:val="0"/>
      <w:spacing w:after="0"/>
      <w:ind w:left="0" w:leftChars="0"/>
      <w:jc w:val="center"/>
    </w:pPr>
    <w:rPr>
      <w:rFonts w:ascii="宋体" w:hAnsi="宋体"/>
      <w:sz w:val="24"/>
      <w:szCs w:val="20"/>
    </w:rPr>
  </w:style>
  <w:style w:type="paragraph" w:customStyle="1" w:styleId="3665">
    <w:name w:val="Char Char Char Char Char Char Char110"/>
    <w:basedOn w:val="1"/>
    <w:qFormat/>
    <w:uiPriority w:val="0"/>
  </w:style>
  <w:style w:type="paragraph" w:customStyle="1" w:styleId="3666">
    <w:name w:val="标题43114"/>
    <w:basedOn w:val="1"/>
    <w:qFormat/>
    <w:uiPriority w:val="0"/>
    <w:pPr>
      <w:adjustRightInd w:val="0"/>
      <w:snapToGrid w:val="0"/>
      <w:spacing w:line="480" w:lineRule="exact"/>
      <w:jc w:val="center"/>
    </w:pPr>
    <w:rPr>
      <w:rFonts w:ascii="宋体" w:hAnsi="宋体" w:cs="宋体"/>
      <w:sz w:val="24"/>
    </w:rPr>
  </w:style>
  <w:style w:type="paragraph" w:customStyle="1" w:styleId="3667">
    <w:name w:val="燕山正文1114"/>
    <w:basedOn w:val="1"/>
    <w:qFormat/>
    <w:uiPriority w:val="0"/>
    <w:pPr>
      <w:tabs>
        <w:tab w:val="left" w:pos="4680"/>
      </w:tabs>
      <w:adjustRightInd w:val="0"/>
      <w:snapToGrid w:val="0"/>
      <w:spacing w:line="480" w:lineRule="exact"/>
    </w:pPr>
    <w:rPr>
      <w:rFonts w:ascii="宋体" w:hAnsi="宋体" w:cs="宋体"/>
      <w:bCs/>
      <w:color w:val="000000"/>
      <w:sz w:val="24"/>
    </w:rPr>
  </w:style>
  <w:style w:type="paragraph" w:customStyle="1" w:styleId="3668">
    <w:name w:val="默认段落字体 Para Char Char Char Char14"/>
    <w:basedOn w:val="1"/>
    <w:qFormat/>
    <w:uiPriority w:val="0"/>
  </w:style>
  <w:style w:type="paragraph" w:customStyle="1" w:styleId="3669">
    <w:name w:val="附件14"/>
    <w:basedOn w:val="4"/>
    <w:next w:val="223"/>
    <w:qFormat/>
    <w:uiPriority w:val="0"/>
    <w:pPr>
      <w:spacing w:before="0" w:after="0" w:line="360" w:lineRule="auto"/>
      <w:jc w:val="left"/>
    </w:pPr>
    <w:rPr>
      <w:rFonts w:ascii="黑体" w:hAnsi="宋体" w:eastAsia="黑体"/>
      <w:b w:val="0"/>
      <w:sz w:val="32"/>
      <w:szCs w:val="32"/>
    </w:rPr>
  </w:style>
  <w:style w:type="paragraph" w:customStyle="1" w:styleId="3670">
    <w:name w:val="黑体三号14"/>
    <w:basedOn w:val="223"/>
    <w:qFormat/>
    <w:uiPriority w:val="0"/>
    <w:pPr>
      <w:jc w:val="center"/>
    </w:pPr>
    <w:rPr>
      <w:rFonts w:ascii="黑体" w:hAnsi="宋体" w:eastAsia="黑体"/>
      <w:b/>
      <w:bCs/>
      <w:sz w:val="32"/>
      <w:szCs w:val="20"/>
    </w:rPr>
  </w:style>
  <w:style w:type="paragraph" w:customStyle="1" w:styleId="3671">
    <w:name w:val="表14"/>
    <w:basedOn w:val="1"/>
    <w:qFormat/>
    <w:uiPriority w:val="0"/>
    <w:pPr>
      <w:adjustRightInd w:val="0"/>
      <w:snapToGrid w:val="0"/>
      <w:jc w:val="center"/>
    </w:pPr>
    <w:rPr>
      <w:rFonts w:eastAsia="仿宋_GB2312"/>
      <w:sz w:val="24"/>
    </w:rPr>
  </w:style>
  <w:style w:type="character" w:customStyle="1" w:styleId="3672">
    <w:name w:val="Char Char213"/>
    <w:qFormat/>
    <w:uiPriority w:val="0"/>
    <w:rPr>
      <w:rFonts w:ascii="黑体" w:eastAsia="宋体"/>
      <w:kern w:val="2"/>
      <w:sz w:val="16"/>
      <w:szCs w:val="16"/>
      <w:lang w:val="en-US" w:eastAsia="zh-CN" w:bidi="ar-SA"/>
    </w:rPr>
  </w:style>
  <w:style w:type="character" w:customStyle="1" w:styleId="3673">
    <w:name w:val="Char Char123"/>
    <w:qFormat/>
    <w:uiPriority w:val="0"/>
    <w:rPr>
      <w:rFonts w:ascii="黑体" w:hAnsi="Arial" w:eastAsia="黑体"/>
      <w:b/>
      <w:bCs/>
      <w:kern w:val="2"/>
      <w:sz w:val="30"/>
      <w:szCs w:val="30"/>
      <w:lang w:val="en-US" w:eastAsia="zh-CN" w:bidi="ar-SA"/>
    </w:rPr>
  </w:style>
  <w:style w:type="character" w:customStyle="1" w:styleId="3674">
    <w:name w:val="Char Char68"/>
    <w:qFormat/>
    <w:uiPriority w:val="0"/>
    <w:rPr>
      <w:rFonts w:ascii="黑体" w:eastAsia="黑体"/>
      <w:b/>
      <w:bCs/>
      <w:kern w:val="2"/>
      <w:sz w:val="28"/>
      <w:szCs w:val="28"/>
      <w:lang w:val="en-US" w:eastAsia="zh-CN" w:bidi="ar-SA"/>
    </w:rPr>
  </w:style>
  <w:style w:type="paragraph" w:customStyle="1" w:styleId="3675">
    <w:name w:val="燕山正文16"/>
    <w:basedOn w:val="1"/>
    <w:qFormat/>
    <w:uiPriority w:val="0"/>
    <w:pPr>
      <w:tabs>
        <w:tab w:val="left" w:pos="4680"/>
      </w:tabs>
      <w:adjustRightInd w:val="0"/>
      <w:snapToGrid w:val="0"/>
      <w:spacing w:line="480" w:lineRule="exact"/>
    </w:pPr>
    <w:rPr>
      <w:rFonts w:ascii="宋体" w:cs="宋体"/>
      <w:sz w:val="24"/>
    </w:rPr>
  </w:style>
  <w:style w:type="character" w:customStyle="1" w:styleId="3676">
    <w:name w:val="燕山正文 Char111"/>
    <w:qFormat/>
    <w:uiPriority w:val="0"/>
    <w:rPr>
      <w:rFonts w:ascii="宋体" w:eastAsia="宋体" w:cs="宋体"/>
      <w:kern w:val="2"/>
      <w:sz w:val="24"/>
      <w:szCs w:val="24"/>
      <w:lang w:val="en-US" w:eastAsia="zh-CN" w:bidi="ar-SA"/>
    </w:rPr>
  </w:style>
  <w:style w:type="paragraph" w:customStyle="1" w:styleId="3677">
    <w:name w:val="正文修改14"/>
    <w:basedOn w:val="2056"/>
    <w:qFormat/>
    <w:uiPriority w:val="0"/>
    <w:rPr>
      <w:rFonts w:hAnsi="宋体"/>
      <w:color w:val="000000"/>
    </w:rPr>
  </w:style>
  <w:style w:type="character" w:customStyle="1" w:styleId="3678">
    <w:name w:val="正文修改 Char114"/>
    <w:qFormat/>
    <w:uiPriority w:val="0"/>
    <w:rPr>
      <w:rFonts w:ascii="宋体" w:hAnsi="宋体" w:eastAsia="宋体" w:cs="宋体"/>
      <w:color w:val="000000"/>
      <w:sz w:val="24"/>
      <w:szCs w:val="24"/>
    </w:rPr>
  </w:style>
  <w:style w:type="character" w:customStyle="1" w:styleId="3679">
    <w:name w:val="表中文字 Char211"/>
    <w:qFormat/>
    <w:uiPriority w:val="0"/>
    <w:rPr>
      <w:rFonts w:ascii="宋体" w:eastAsia="宋体"/>
      <w:kern w:val="2"/>
      <w:sz w:val="21"/>
      <w:szCs w:val="21"/>
      <w:lang w:val="en-US" w:eastAsia="zh-CN" w:bidi="ar-SA"/>
    </w:rPr>
  </w:style>
  <w:style w:type="paragraph" w:customStyle="1" w:styleId="3680">
    <w:name w:val="表内文字小3114"/>
    <w:basedOn w:val="1"/>
    <w:qFormat/>
    <w:uiPriority w:val="0"/>
    <w:pPr>
      <w:adjustRightInd w:val="0"/>
      <w:snapToGrid w:val="0"/>
      <w:jc w:val="center"/>
    </w:pPr>
    <w:rPr>
      <w:rFonts w:ascii="宋体" w:hAnsi="Times" w:cs="宋体"/>
      <w:bCs/>
      <w:color w:val="003366"/>
      <w:szCs w:val="20"/>
    </w:rPr>
  </w:style>
  <w:style w:type="paragraph" w:customStyle="1" w:styleId="3681">
    <w:name w:val="样式114"/>
    <w:basedOn w:val="2105"/>
    <w:qFormat/>
    <w:uiPriority w:val="0"/>
    <w:pPr>
      <w:spacing w:line="240" w:lineRule="auto"/>
      <w:ind w:firstLine="0"/>
      <w:jc w:val="center"/>
    </w:pPr>
    <w:rPr>
      <w:rFonts w:cs="Times New Roman"/>
      <w:b/>
      <w:color w:val="auto"/>
      <w:szCs w:val="20"/>
    </w:rPr>
  </w:style>
  <w:style w:type="paragraph" w:customStyle="1" w:styleId="3682">
    <w:name w:val="正文格式＝24"/>
    <w:basedOn w:val="223"/>
    <w:next w:val="223"/>
    <w:semiHidden/>
    <w:qFormat/>
    <w:uiPriority w:val="0"/>
    <w:rPr>
      <w:rFonts w:hAnsi="宋体" w:cs="Times New Roman"/>
    </w:rPr>
  </w:style>
  <w:style w:type="paragraph" w:customStyle="1" w:styleId="3683">
    <w:name w:val="Char213"/>
    <w:basedOn w:val="1"/>
    <w:qFormat/>
    <w:uiPriority w:val="0"/>
    <w:pPr>
      <w:ind w:left="-48"/>
    </w:pPr>
  </w:style>
  <w:style w:type="paragraph" w:customStyle="1" w:styleId="3684">
    <w:name w:val="正文格式34"/>
    <w:basedOn w:val="1"/>
    <w:qFormat/>
    <w:uiPriority w:val="0"/>
    <w:pPr>
      <w:spacing w:line="360" w:lineRule="auto"/>
      <w:ind w:firstLine="482"/>
    </w:pPr>
    <w:rPr>
      <w:rFonts w:ascii="宋体" w:hAnsi="宋体"/>
      <w:sz w:val="24"/>
    </w:rPr>
  </w:style>
  <w:style w:type="character" w:customStyle="1" w:styleId="3685">
    <w:name w:val="正文格式 Char31"/>
    <w:qFormat/>
    <w:uiPriority w:val="0"/>
    <w:rPr>
      <w:rFonts w:ascii="宋体" w:hAnsi="宋体" w:eastAsia="宋体"/>
      <w:kern w:val="2"/>
      <w:sz w:val="24"/>
      <w:szCs w:val="24"/>
      <w:lang w:val="en-US" w:eastAsia="zh-CN" w:bidi="ar-SA"/>
    </w:rPr>
  </w:style>
  <w:style w:type="paragraph" w:customStyle="1" w:styleId="3686">
    <w:name w:val="Char214"/>
    <w:basedOn w:val="1"/>
    <w:qFormat/>
    <w:uiPriority w:val="0"/>
    <w:pPr>
      <w:adjustRightInd w:val="0"/>
      <w:snapToGrid w:val="0"/>
      <w:spacing w:beforeLines="50" w:line="360" w:lineRule="auto"/>
    </w:pPr>
    <w:rPr>
      <w:rFonts w:ascii="黑体" w:eastAsia="黑体"/>
      <w:sz w:val="32"/>
      <w:szCs w:val="32"/>
    </w:rPr>
  </w:style>
  <w:style w:type="character" w:customStyle="1" w:styleId="3687">
    <w:name w:val="标题 2 Char11"/>
    <w:qFormat/>
    <w:uiPriority w:val="0"/>
    <w:rPr>
      <w:rFonts w:hAnsi="Arial" w:eastAsia="宋体"/>
      <w:bCs/>
      <w:kern w:val="2"/>
      <w:sz w:val="30"/>
      <w:szCs w:val="30"/>
      <w:lang w:val="en-US" w:eastAsia="zh-CN" w:bidi="ar-SA"/>
    </w:rPr>
  </w:style>
  <w:style w:type="character" w:customStyle="1" w:styleId="3688">
    <w:name w:val="标题 3 Char15"/>
    <w:qFormat/>
    <w:uiPriority w:val="0"/>
    <w:rPr>
      <w:rFonts w:hAnsi="宋体" w:eastAsia="宋体"/>
      <w:bCs/>
      <w:kern w:val="2"/>
      <w:sz w:val="28"/>
      <w:szCs w:val="28"/>
      <w:lang w:val="en-US" w:eastAsia="zh-CN" w:bidi="ar-SA"/>
    </w:rPr>
  </w:style>
  <w:style w:type="character" w:customStyle="1" w:styleId="3689">
    <w:name w:val="题注 Char24"/>
    <w:qFormat/>
    <w:uiPriority w:val="0"/>
    <w:rPr>
      <w:rFonts w:ascii="黑体" w:hAnsi="Arial" w:eastAsia="黑体" w:cs="Arial"/>
      <w:b/>
      <w:kern w:val="2"/>
      <w:sz w:val="24"/>
      <w:szCs w:val="24"/>
      <w:lang w:val="en-US" w:eastAsia="zh-CN" w:bidi="ar-SA"/>
    </w:rPr>
  </w:style>
  <w:style w:type="paragraph" w:customStyle="1" w:styleId="3690">
    <w:name w:val="图题34"/>
    <w:basedOn w:val="223"/>
    <w:next w:val="223"/>
    <w:qFormat/>
    <w:uiPriority w:val="0"/>
    <w:pPr>
      <w:ind w:firstLine="0"/>
      <w:jc w:val="center"/>
    </w:pPr>
    <w:rPr>
      <w:rFonts w:ascii="黑体" w:hAnsi="宋体" w:eastAsia="黑体"/>
      <w:b/>
      <w:bCs/>
    </w:rPr>
  </w:style>
  <w:style w:type="paragraph" w:customStyle="1" w:styleId="3691">
    <w:name w:val="表格内字体34"/>
    <w:basedOn w:val="223"/>
    <w:next w:val="223"/>
    <w:qFormat/>
    <w:uiPriority w:val="0"/>
    <w:pPr>
      <w:spacing w:line="240" w:lineRule="auto"/>
      <w:ind w:firstLine="0"/>
      <w:jc w:val="center"/>
    </w:pPr>
    <w:rPr>
      <w:rFonts w:hAnsi="宋体" w:cs="Times New Roman"/>
      <w:sz w:val="21"/>
    </w:rPr>
  </w:style>
  <w:style w:type="character" w:customStyle="1" w:styleId="3692">
    <w:name w:val="表格内字体 Char31"/>
    <w:qFormat/>
    <w:uiPriority w:val="0"/>
    <w:rPr>
      <w:rFonts w:ascii="宋体" w:hAnsi="宋体" w:eastAsia="宋体"/>
      <w:kern w:val="2"/>
      <w:sz w:val="21"/>
      <w:szCs w:val="24"/>
      <w:lang w:val="en-US" w:eastAsia="zh-CN" w:bidi="ar-SA"/>
    </w:rPr>
  </w:style>
  <w:style w:type="character" w:customStyle="1" w:styleId="3693">
    <w:name w:val="正文缩进 Char41"/>
    <w:qFormat/>
    <w:uiPriority w:val="0"/>
    <w:rPr>
      <w:rFonts w:ascii="宋体" w:hAnsi="宋体" w:eastAsia="宋体" w:cs="宋体"/>
      <w:color w:val="000000"/>
      <w:kern w:val="2"/>
      <w:sz w:val="24"/>
      <w:szCs w:val="24"/>
      <w:lang w:val="en-US" w:eastAsia="zh-CN" w:bidi="ar-SA"/>
    </w:rPr>
  </w:style>
  <w:style w:type="paragraph" w:customStyle="1" w:styleId="3694">
    <w:name w:val="表内54124"/>
    <w:basedOn w:val="1"/>
    <w:qFormat/>
    <w:uiPriority w:val="0"/>
    <w:pPr>
      <w:adjustRightInd w:val="0"/>
      <w:snapToGrid w:val="0"/>
      <w:spacing w:line="300" w:lineRule="auto"/>
      <w:jc w:val="center"/>
    </w:pPr>
    <w:rPr>
      <w:rFonts w:ascii="宋体" w:hAnsi="宋体" w:cs="宋体"/>
      <w:szCs w:val="20"/>
    </w:rPr>
  </w:style>
  <w:style w:type="paragraph" w:customStyle="1" w:styleId="3695">
    <w:name w:val="表内文字小2124"/>
    <w:basedOn w:val="1"/>
    <w:qFormat/>
    <w:uiPriority w:val="0"/>
    <w:pPr>
      <w:adjustRightInd w:val="0"/>
      <w:snapToGrid w:val="0"/>
      <w:jc w:val="center"/>
    </w:pPr>
    <w:rPr>
      <w:rFonts w:ascii="宋体" w:hAnsi="Times"/>
      <w:bCs/>
      <w:color w:val="000000"/>
      <w:szCs w:val="20"/>
    </w:rPr>
  </w:style>
  <w:style w:type="paragraph" w:customStyle="1" w:styleId="3696">
    <w:name w:val="表题3124"/>
    <w:basedOn w:val="37"/>
    <w:qFormat/>
    <w:uiPriority w:val="0"/>
    <w:pPr>
      <w:tabs>
        <w:tab w:val="left" w:pos="4305"/>
      </w:tabs>
      <w:adjustRightInd w:val="0"/>
      <w:snapToGrid w:val="0"/>
      <w:spacing w:after="0"/>
      <w:ind w:left="0" w:leftChars="0"/>
      <w:jc w:val="center"/>
    </w:pPr>
    <w:rPr>
      <w:rFonts w:ascii="宋体" w:hAnsi="宋体"/>
      <w:sz w:val="24"/>
      <w:szCs w:val="20"/>
    </w:rPr>
  </w:style>
  <w:style w:type="paragraph" w:customStyle="1" w:styleId="3697">
    <w:name w:val="标题43124"/>
    <w:basedOn w:val="1"/>
    <w:qFormat/>
    <w:uiPriority w:val="0"/>
    <w:pPr>
      <w:adjustRightInd w:val="0"/>
      <w:snapToGrid w:val="0"/>
      <w:spacing w:line="480" w:lineRule="exact"/>
      <w:jc w:val="center"/>
    </w:pPr>
    <w:rPr>
      <w:rFonts w:ascii="宋体" w:hAnsi="宋体" w:cs="宋体"/>
      <w:sz w:val="24"/>
    </w:rPr>
  </w:style>
  <w:style w:type="paragraph" w:customStyle="1" w:styleId="3698">
    <w:name w:val="燕山正文1124"/>
    <w:basedOn w:val="1"/>
    <w:qFormat/>
    <w:uiPriority w:val="0"/>
    <w:pPr>
      <w:tabs>
        <w:tab w:val="left" w:pos="4680"/>
      </w:tabs>
      <w:adjustRightInd w:val="0"/>
      <w:snapToGrid w:val="0"/>
      <w:spacing w:line="480" w:lineRule="exact"/>
    </w:pPr>
    <w:rPr>
      <w:rFonts w:ascii="宋体" w:hAnsi="宋体" w:cs="宋体"/>
      <w:bCs/>
      <w:color w:val="000000"/>
      <w:sz w:val="24"/>
    </w:rPr>
  </w:style>
  <w:style w:type="paragraph" w:customStyle="1" w:styleId="3699">
    <w:name w:val="默认段落字体 Para Char Char Char Char24"/>
    <w:basedOn w:val="1"/>
    <w:qFormat/>
    <w:uiPriority w:val="0"/>
  </w:style>
  <w:style w:type="paragraph" w:customStyle="1" w:styleId="3700">
    <w:name w:val="附件24"/>
    <w:basedOn w:val="4"/>
    <w:next w:val="223"/>
    <w:qFormat/>
    <w:uiPriority w:val="0"/>
    <w:pPr>
      <w:spacing w:before="0" w:after="0" w:line="360" w:lineRule="auto"/>
      <w:jc w:val="left"/>
    </w:pPr>
    <w:rPr>
      <w:rFonts w:ascii="黑体" w:hAnsi="宋体" w:eastAsia="黑体"/>
      <w:b w:val="0"/>
      <w:sz w:val="32"/>
      <w:szCs w:val="32"/>
    </w:rPr>
  </w:style>
  <w:style w:type="paragraph" w:customStyle="1" w:styleId="3701">
    <w:name w:val="黑体三号24"/>
    <w:basedOn w:val="223"/>
    <w:qFormat/>
    <w:uiPriority w:val="0"/>
    <w:pPr>
      <w:jc w:val="center"/>
    </w:pPr>
    <w:rPr>
      <w:rFonts w:ascii="黑体" w:hAnsi="宋体" w:eastAsia="黑体"/>
      <w:b/>
      <w:bCs/>
      <w:sz w:val="32"/>
      <w:szCs w:val="20"/>
    </w:rPr>
  </w:style>
  <w:style w:type="paragraph" w:customStyle="1" w:styleId="3702">
    <w:name w:val="表24"/>
    <w:basedOn w:val="1"/>
    <w:qFormat/>
    <w:uiPriority w:val="0"/>
    <w:pPr>
      <w:adjustRightInd w:val="0"/>
      <w:snapToGrid w:val="0"/>
      <w:jc w:val="center"/>
    </w:pPr>
    <w:rPr>
      <w:rFonts w:eastAsia="仿宋_GB2312"/>
      <w:sz w:val="24"/>
    </w:rPr>
  </w:style>
  <w:style w:type="character" w:customStyle="1" w:styleId="3703">
    <w:name w:val="正文文本缩进 3 Char11"/>
    <w:qFormat/>
    <w:uiPriority w:val="0"/>
    <w:rPr>
      <w:rFonts w:eastAsia="宋体"/>
      <w:kern w:val="2"/>
      <w:sz w:val="16"/>
      <w:szCs w:val="16"/>
      <w:lang w:val="en-US" w:eastAsia="zh-CN" w:bidi="ar-SA"/>
    </w:rPr>
  </w:style>
  <w:style w:type="paragraph" w:customStyle="1" w:styleId="3704">
    <w:name w:val="表题124"/>
    <w:basedOn w:val="23"/>
    <w:qFormat/>
    <w:uiPriority w:val="0"/>
    <w:pPr>
      <w:tabs>
        <w:tab w:val="clear" w:pos="7380"/>
      </w:tabs>
      <w:overflowPunct/>
      <w:spacing w:before="0" w:afterLines="0" w:line="360" w:lineRule="auto"/>
      <w:jc w:val="center"/>
    </w:pPr>
    <w:rPr>
      <w:rFonts w:ascii="黑体" w:cs="Times New Roman"/>
      <w:sz w:val="24"/>
      <w:szCs w:val="24"/>
    </w:rPr>
  </w:style>
  <w:style w:type="character" w:customStyle="1" w:styleId="3705">
    <w:name w:val="表题1 Char21"/>
    <w:qFormat/>
    <w:uiPriority w:val="0"/>
    <w:rPr>
      <w:rFonts w:hAnsi="Arial" w:eastAsia="宋体" w:cs="Arial"/>
      <w:kern w:val="2"/>
      <w:sz w:val="24"/>
      <w:szCs w:val="24"/>
      <w:lang w:val="en-US" w:eastAsia="zh-CN" w:bidi="ar-SA"/>
    </w:rPr>
  </w:style>
  <w:style w:type="paragraph" w:customStyle="1" w:styleId="3706">
    <w:name w:val="燕山正文24"/>
    <w:basedOn w:val="1"/>
    <w:qFormat/>
    <w:uiPriority w:val="0"/>
    <w:pPr>
      <w:tabs>
        <w:tab w:val="left" w:pos="4680"/>
      </w:tabs>
      <w:adjustRightInd w:val="0"/>
      <w:snapToGrid w:val="0"/>
      <w:spacing w:line="480" w:lineRule="exact"/>
    </w:pPr>
    <w:rPr>
      <w:rFonts w:ascii="宋体" w:cs="宋体"/>
      <w:sz w:val="24"/>
    </w:rPr>
  </w:style>
  <w:style w:type="character" w:customStyle="1" w:styleId="3707">
    <w:name w:val="燕山正文 Char121"/>
    <w:qFormat/>
    <w:uiPriority w:val="0"/>
    <w:rPr>
      <w:rFonts w:ascii="宋体" w:eastAsia="宋体" w:cs="宋体"/>
      <w:kern w:val="2"/>
      <w:sz w:val="24"/>
      <w:szCs w:val="24"/>
      <w:lang w:val="en-US" w:eastAsia="zh-CN" w:bidi="ar-SA"/>
    </w:rPr>
  </w:style>
  <w:style w:type="paragraph" w:customStyle="1" w:styleId="3708">
    <w:name w:val="正文修改24"/>
    <w:basedOn w:val="2056"/>
    <w:qFormat/>
    <w:uiPriority w:val="0"/>
    <w:rPr>
      <w:rFonts w:hAnsi="宋体"/>
      <w:color w:val="000000"/>
    </w:rPr>
  </w:style>
  <w:style w:type="character" w:customStyle="1" w:styleId="3709">
    <w:name w:val="正文修改 Char124"/>
    <w:qFormat/>
    <w:uiPriority w:val="0"/>
    <w:rPr>
      <w:rFonts w:ascii="宋体" w:hAnsi="宋体" w:eastAsia="宋体" w:cs="宋体"/>
      <w:color w:val="000000"/>
      <w:sz w:val="24"/>
      <w:szCs w:val="24"/>
    </w:rPr>
  </w:style>
  <w:style w:type="character" w:customStyle="1" w:styleId="3710">
    <w:name w:val="标题正文黑 Char11"/>
    <w:qFormat/>
    <w:uiPriority w:val="0"/>
    <w:rPr>
      <w:rFonts w:ascii="黑体" w:eastAsia="黑体"/>
      <w:kern w:val="2"/>
      <w:sz w:val="28"/>
      <w:szCs w:val="28"/>
      <w:lang w:val="en-US" w:eastAsia="zh-CN" w:bidi="ar-SA"/>
    </w:rPr>
  </w:style>
  <w:style w:type="paragraph" w:customStyle="1" w:styleId="3711">
    <w:name w:val="表中文字24"/>
    <w:basedOn w:val="1"/>
    <w:qFormat/>
    <w:uiPriority w:val="0"/>
    <w:pPr>
      <w:widowControl/>
      <w:adjustRightInd w:val="0"/>
      <w:spacing w:line="240" w:lineRule="atLeast"/>
      <w:ind w:right="-42" w:rightChars="-20"/>
      <w:jc w:val="center"/>
      <w:textAlignment w:val="baseline"/>
    </w:pPr>
    <w:rPr>
      <w:rFonts w:ascii="宋体"/>
      <w:kern w:val="0"/>
      <w:szCs w:val="21"/>
    </w:rPr>
  </w:style>
  <w:style w:type="character" w:customStyle="1" w:styleId="3712">
    <w:name w:val="表中文字 Char221"/>
    <w:qFormat/>
    <w:uiPriority w:val="0"/>
    <w:rPr>
      <w:rFonts w:ascii="宋体" w:eastAsia="宋体"/>
      <w:kern w:val="2"/>
      <w:sz w:val="21"/>
      <w:szCs w:val="21"/>
      <w:lang w:val="en-US" w:eastAsia="zh-CN" w:bidi="ar-SA"/>
    </w:rPr>
  </w:style>
  <w:style w:type="paragraph" w:customStyle="1" w:styleId="3713">
    <w:name w:val="表文字524"/>
    <w:basedOn w:val="1"/>
    <w:qFormat/>
    <w:uiPriority w:val="0"/>
    <w:pPr>
      <w:adjustRightInd w:val="0"/>
      <w:jc w:val="left"/>
      <w:textAlignment w:val="baseline"/>
    </w:pPr>
    <w:rPr>
      <w:rFonts w:ascii="宋体"/>
      <w:kern w:val="0"/>
      <w:szCs w:val="20"/>
    </w:rPr>
  </w:style>
  <w:style w:type="paragraph" w:customStyle="1" w:styleId="3714">
    <w:name w:val="表内文字小3124"/>
    <w:basedOn w:val="1"/>
    <w:qFormat/>
    <w:uiPriority w:val="0"/>
    <w:pPr>
      <w:adjustRightInd w:val="0"/>
      <w:snapToGrid w:val="0"/>
      <w:jc w:val="center"/>
    </w:pPr>
    <w:rPr>
      <w:rFonts w:ascii="宋体" w:hAnsi="Times" w:cs="宋体"/>
      <w:bCs/>
      <w:color w:val="003366"/>
      <w:szCs w:val="20"/>
    </w:rPr>
  </w:style>
  <w:style w:type="paragraph" w:customStyle="1" w:styleId="3715">
    <w:name w:val="样式124"/>
    <w:basedOn w:val="2105"/>
    <w:qFormat/>
    <w:uiPriority w:val="0"/>
    <w:pPr>
      <w:spacing w:line="240" w:lineRule="auto"/>
      <w:ind w:firstLine="0"/>
      <w:jc w:val="center"/>
    </w:pPr>
    <w:rPr>
      <w:rFonts w:cs="Times New Roman"/>
      <w:b/>
      <w:color w:val="auto"/>
      <w:szCs w:val="20"/>
    </w:rPr>
  </w:style>
  <w:style w:type="paragraph" w:customStyle="1" w:styleId="3716">
    <w:name w:val="正文格式＝34"/>
    <w:basedOn w:val="223"/>
    <w:next w:val="223"/>
    <w:qFormat/>
    <w:uiPriority w:val="0"/>
    <w:rPr>
      <w:rFonts w:hAnsi="宋体" w:cs="Times New Roman"/>
    </w:rPr>
  </w:style>
  <w:style w:type="character" w:customStyle="1" w:styleId="3717">
    <w:name w:val="样式 表内小5 + 黑体 加粗 倾斜 下划线 Char511"/>
    <w:qFormat/>
    <w:uiPriority w:val="0"/>
    <w:rPr>
      <w:rFonts w:ascii="黑体" w:hAnsi="黑体" w:eastAsia="黑体"/>
      <w:b/>
      <w:bCs/>
      <w:i/>
      <w:iCs/>
      <w:kern w:val="2"/>
      <w:sz w:val="18"/>
      <w:szCs w:val="24"/>
      <w:u w:val="single"/>
      <w:lang w:val="en-US" w:eastAsia="zh-CN" w:bidi="ar-SA"/>
    </w:rPr>
  </w:style>
  <w:style w:type="character" w:customStyle="1" w:styleId="3718">
    <w:name w:val="标题2 Char21"/>
    <w:qFormat/>
    <w:uiPriority w:val="0"/>
    <w:rPr>
      <w:rFonts w:ascii="宋体" w:hAnsi="宋体" w:eastAsia="宋体" w:cs="宋体"/>
      <w:color w:val="000000"/>
      <w:kern w:val="2"/>
      <w:sz w:val="24"/>
      <w:szCs w:val="24"/>
      <w:lang w:val="en-US" w:eastAsia="zh-CN" w:bidi="ar-SA"/>
    </w:rPr>
  </w:style>
  <w:style w:type="paragraph" w:customStyle="1" w:styleId="3719">
    <w:name w:val="Char310"/>
    <w:basedOn w:val="1"/>
    <w:qFormat/>
    <w:uiPriority w:val="0"/>
    <w:pPr>
      <w:ind w:left="-48"/>
    </w:pPr>
  </w:style>
  <w:style w:type="paragraph" w:customStyle="1" w:styleId="3720">
    <w:name w:val="表内文字小224"/>
    <w:basedOn w:val="1"/>
    <w:qFormat/>
    <w:uiPriority w:val="0"/>
    <w:pPr>
      <w:adjustRightInd w:val="0"/>
      <w:snapToGrid w:val="0"/>
      <w:jc w:val="center"/>
    </w:pPr>
    <w:rPr>
      <w:rFonts w:ascii="宋体" w:hAnsi="Times"/>
      <w:bCs/>
      <w:color w:val="000000"/>
      <w:szCs w:val="20"/>
    </w:rPr>
  </w:style>
  <w:style w:type="paragraph" w:customStyle="1" w:styleId="3721">
    <w:name w:val="表内5314"/>
    <w:basedOn w:val="1"/>
    <w:qFormat/>
    <w:uiPriority w:val="0"/>
    <w:pPr>
      <w:adjustRightInd w:val="0"/>
      <w:snapToGrid w:val="0"/>
      <w:spacing w:line="300" w:lineRule="auto"/>
      <w:jc w:val="left"/>
    </w:pPr>
    <w:rPr>
      <w:rFonts w:ascii="宋体"/>
      <w:szCs w:val="20"/>
    </w:rPr>
  </w:style>
  <w:style w:type="paragraph" w:customStyle="1" w:styleId="3722">
    <w:name w:val="正文格式214"/>
    <w:basedOn w:val="1"/>
    <w:qFormat/>
    <w:uiPriority w:val="0"/>
    <w:pPr>
      <w:spacing w:line="360" w:lineRule="auto"/>
      <w:ind w:firstLine="482"/>
    </w:pPr>
    <w:rPr>
      <w:rFonts w:ascii="宋体" w:hAnsi="宋体"/>
      <w:sz w:val="24"/>
    </w:rPr>
  </w:style>
  <w:style w:type="paragraph" w:customStyle="1" w:styleId="3723">
    <w:name w:val="图题214"/>
    <w:basedOn w:val="223"/>
    <w:next w:val="223"/>
    <w:qFormat/>
    <w:uiPriority w:val="0"/>
    <w:pPr>
      <w:ind w:firstLine="0"/>
      <w:jc w:val="center"/>
    </w:pPr>
    <w:rPr>
      <w:rFonts w:ascii="黑体" w:hAnsi="宋体" w:eastAsia="黑体"/>
      <w:b/>
      <w:bCs/>
    </w:rPr>
  </w:style>
  <w:style w:type="paragraph" w:customStyle="1" w:styleId="3724">
    <w:name w:val="表格内字体214"/>
    <w:basedOn w:val="223"/>
    <w:next w:val="223"/>
    <w:qFormat/>
    <w:uiPriority w:val="0"/>
    <w:pPr>
      <w:spacing w:line="240" w:lineRule="auto"/>
      <w:ind w:firstLine="0"/>
      <w:jc w:val="center"/>
    </w:pPr>
    <w:rPr>
      <w:rFonts w:hAnsi="宋体" w:cs="Times New Roman"/>
      <w:sz w:val="21"/>
    </w:rPr>
  </w:style>
  <w:style w:type="paragraph" w:customStyle="1" w:styleId="3725">
    <w:name w:val="表题1114"/>
    <w:basedOn w:val="23"/>
    <w:qFormat/>
    <w:uiPriority w:val="0"/>
    <w:pPr>
      <w:tabs>
        <w:tab w:val="clear" w:pos="7380"/>
      </w:tabs>
      <w:overflowPunct/>
      <w:spacing w:before="0" w:afterLines="0" w:line="360" w:lineRule="auto"/>
      <w:jc w:val="center"/>
    </w:pPr>
    <w:rPr>
      <w:rFonts w:ascii="黑体" w:cs="Times New Roman"/>
      <w:sz w:val="24"/>
      <w:szCs w:val="24"/>
    </w:rPr>
  </w:style>
  <w:style w:type="character" w:customStyle="1" w:styleId="3726">
    <w:name w:val="表题1 Char111"/>
    <w:qFormat/>
    <w:uiPriority w:val="0"/>
    <w:rPr>
      <w:rFonts w:hAnsi="Arial" w:eastAsia="宋体" w:cs="Arial"/>
      <w:kern w:val="2"/>
      <w:sz w:val="24"/>
      <w:szCs w:val="24"/>
      <w:lang w:val="en-US" w:eastAsia="zh-CN" w:bidi="ar-SA"/>
    </w:rPr>
  </w:style>
  <w:style w:type="paragraph" w:customStyle="1" w:styleId="3727">
    <w:name w:val="表中文字114"/>
    <w:basedOn w:val="1"/>
    <w:qFormat/>
    <w:uiPriority w:val="0"/>
    <w:pPr>
      <w:widowControl/>
      <w:spacing w:line="240" w:lineRule="atLeast"/>
      <w:ind w:left="-24" w:leftChars="-10" w:right="-48" w:rightChars="-20"/>
      <w:jc w:val="center"/>
    </w:pPr>
    <w:rPr>
      <w:rFonts w:ascii="宋体"/>
      <w:kern w:val="0"/>
      <w:szCs w:val="21"/>
    </w:rPr>
  </w:style>
  <w:style w:type="paragraph" w:customStyle="1" w:styleId="3728">
    <w:name w:val="表文字5114"/>
    <w:basedOn w:val="1"/>
    <w:qFormat/>
    <w:uiPriority w:val="0"/>
    <w:pPr>
      <w:adjustRightInd w:val="0"/>
      <w:jc w:val="left"/>
      <w:textAlignment w:val="baseline"/>
    </w:pPr>
    <w:rPr>
      <w:rFonts w:ascii="宋体"/>
      <w:kern w:val="0"/>
      <w:szCs w:val="20"/>
    </w:rPr>
  </w:style>
  <w:style w:type="character" w:customStyle="1" w:styleId="3729">
    <w:name w:val="批注框文本 Char11"/>
    <w:qFormat/>
    <w:uiPriority w:val="0"/>
    <w:rPr>
      <w:rFonts w:eastAsia="宋体"/>
      <w:kern w:val="2"/>
      <w:sz w:val="18"/>
      <w:szCs w:val="18"/>
      <w:lang w:val="en-US" w:eastAsia="zh-CN" w:bidi="ar-SA"/>
    </w:rPr>
  </w:style>
  <w:style w:type="paragraph" w:customStyle="1" w:styleId="3730">
    <w:name w:val="正文格式44"/>
    <w:basedOn w:val="1"/>
    <w:qFormat/>
    <w:uiPriority w:val="0"/>
    <w:pPr>
      <w:spacing w:line="360" w:lineRule="auto"/>
      <w:ind w:firstLine="482"/>
    </w:pPr>
    <w:rPr>
      <w:rFonts w:ascii="宋体" w:hAnsi="宋体"/>
      <w:sz w:val="24"/>
    </w:rPr>
  </w:style>
  <w:style w:type="paragraph" w:customStyle="1" w:styleId="3731">
    <w:name w:val="图题44"/>
    <w:basedOn w:val="223"/>
    <w:next w:val="223"/>
    <w:qFormat/>
    <w:uiPriority w:val="0"/>
    <w:pPr>
      <w:ind w:firstLine="0"/>
      <w:jc w:val="center"/>
    </w:pPr>
    <w:rPr>
      <w:rFonts w:ascii="黑体" w:hAnsi="宋体" w:eastAsia="黑体"/>
      <w:b/>
      <w:bCs/>
    </w:rPr>
  </w:style>
  <w:style w:type="paragraph" w:customStyle="1" w:styleId="3732">
    <w:name w:val="表格内字体44"/>
    <w:basedOn w:val="223"/>
    <w:next w:val="223"/>
    <w:qFormat/>
    <w:uiPriority w:val="0"/>
    <w:pPr>
      <w:spacing w:line="240" w:lineRule="auto"/>
      <w:ind w:firstLine="0"/>
      <w:jc w:val="center"/>
    </w:pPr>
    <w:rPr>
      <w:rFonts w:hAnsi="宋体" w:cs="Times New Roman"/>
      <w:sz w:val="21"/>
    </w:rPr>
  </w:style>
  <w:style w:type="character" w:customStyle="1" w:styleId="3733">
    <w:name w:val="表格内字体 Char41"/>
    <w:qFormat/>
    <w:uiPriority w:val="0"/>
    <w:rPr>
      <w:rFonts w:ascii="宋体" w:hAnsi="宋体" w:eastAsia="宋体"/>
      <w:kern w:val="2"/>
      <w:sz w:val="21"/>
      <w:szCs w:val="24"/>
      <w:lang w:val="en-US" w:eastAsia="zh-CN" w:bidi="ar-SA"/>
    </w:rPr>
  </w:style>
  <w:style w:type="character" w:customStyle="1" w:styleId="3734">
    <w:name w:val="正文格式 Char41"/>
    <w:qFormat/>
    <w:uiPriority w:val="0"/>
    <w:rPr>
      <w:rFonts w:ascii="宋体" w:hAnsi="宋体" w:eastAsia="宋体"/>
      <w:kern w:val="2"/>
      <w:sz w:val="24"/>
      <w:szCs w:val="24"/>
      <w:lang w:val="en-US" w:eastAsia="zh-CN" w:bidi="ar-SA"/>
    </w:rPr>
  </w:style>
  <w:style w:type="character" w:customStyle="1" w:styleId="3735">
    <w:name w:val="标题 2 Char21"/>
    <w:qFormat/>
    <w:uiPriority w:val="0"/>
    <w:rPr>
      <w:rFonts w:ascii="黑体" w:hAnsi="Arial" w:eastAsia="黑体"/>
      <w:b/>
      <w:bCs/>
      <w:kern w:val="2"/>
      <w:sz w:val="30"/>
      <w:szCs w:val="30"/>
      <w:lang w:val="en-US" w:eastAsia="zh-CN" w:bidi="ar-SA"/>
    </w:rPr>
  </w:style>
  <w:style w:type="character" w:customStyle="1" w:styleId="3736">
    <w:name w:val="标题 3 Char21"/>
    <w:qFormat/>
    <w:uiPriority w:val="0"/>
    <w:rPr>
      <w:rFonts w:ascii="黑体" w:hAnsi="宋体" w:eastAsia="黑体"/>
      <w:b/>
      <w:bCs/>
      <w:kern w:val="2"/>
      <w:sz w:val="28"/>
      <w:szCs w:val="28"/>
      <w:lang w:val="en-US" w:eastAsia="zh-CN" w:bidi="ar-SA"/>
    </w:rPr>
  </w:style>
  <w:style w:type="paragraph" w:customStyle="1" w:styleId="3737">
    <w:name w:val="Char410"/>
    <w:basedOn w:val="1"/>
    <w:qFormat/>
    <w:uiPriority w:val="0"/>
    <w:pPr>
      <w:ind w:left="-48"/>
    </w:pPr>
  </w:style>
  <w:style w:type="paragraph" w:customStyle="1" w:styleId="3738">
    <w:name w:val="正文格式＝44"/>
    <w:basedOn w:val="223"/>
    <w:next w:val="223"/>
    <w:qFormat/>
    <w:uiPriority w:val="0"/>
    <w:rPr>
      <w:rFonts w:hAnsi="宋体" w:cs="Times New Roman"/>
    </w:rPr>
  </w:style>
  <w:style w:type="character" w:customStyle="1" w:styleId="3739">
    <w:name w:val="Char Char118"/>
    <w:qFormat/>
    <w:uiPriority w:val="0"/>
    <w:rPr>
      <w:rFonts w:ascii="黑体" w:hAnsi="Arial" w:eastAsia="黑体"/>
      <w:b/>
      <w:bCs/>
      <w:kern w:val="2"/>
      <w:sz w:val="30"/>
      <w:szCs w:val="30"/>
      <w:lang w:val="en-US" w:eastAsia="zh-CN" w:bidi="ar-SA"/>
    </w:rPr>
  </w:style>
  <w:style w:type="paragraph" w:customStyle="1" w:styleId="3740">
    <w:name w:val="表题134"/>
    <w:basedOn w:val="23"/>
    <w:qFormat/>
    <w:uiPriority w:val="0"/>
    <w:pPr>
      <w:tabs>
        <w:tab w:val="clear" w:pos="7380"/>
      </w:tabs>
      <w:overflowPunct/>
      <w:spacing w:before="0" w:afterLines="0" w:line="360" w:lineRule="auto"/>
      <w:jc w:val="center"/>
    </w:pPr>
    <w:rPr>
      <w:rFonts w:ascii="黑体" w:cs="Times New Roman"/>
      <w:b/>
      <w:sz w:val="24"/>
      <w:szCs w:val="24"/>
    </w:rPr>
  </w:style>
  <w:style w:type="character" w:customStyle="1" w:styleId="3741">
    <w:name w:val="表题1 Char31"/>
    <w:qFormat/>
    <w:uiPriority w:val="0"/>
    <w:rPr>
      <w:rFonts w:ascii="黑体" w:hAnsi="Arial" w:eastAsia="黑体" w:cs="Arial"/>
      <w:b/>
      <w:kern w:val="2"/>
      <w:sz w:val="24"/>
      <w:szCs w:val="24"/>
      <w:lang w:val="en-US" w:eastAsia="zh-CN" w:bidi="ar-SA"/>
    </w:rPr>
  </w:style>
  <w:style w:type="paragraph" w:customStyle="1" w:styleId="3742">
    <w:name w:val="默认段落字体 Para Char14"/>
    <w:basedOn w:val="1"/>
    <w:next w:val="1"/>
    <w:qFormat/>
    <w:uiPriority w:val="0"/>
    <w:pPr>
      <w:spacing w:line="480" w:lineRule="exact"/>
      <w:ind w:firstLine="200" w:firstLineChars="200"/>
      <w:jc w:val="left"/>
    </w:pPr>
    <w:rPr>
      <w:rFonts w:ascii="宋体" w:hAnsi="宋体" w:eastAsia="汉鼎简书宋" w:cs="宋体"/>
      <w:sz w:val="28"/>
    </w:rPr>
  </w:style>
  <w:style w:type="paragraph" w:customStyle="1" w:styleId="3743">
    <w:name w:val="23-47表名4"/>
    <w:basedOn w:val="1"/>
    <w:qFormat/>
    <w:uiPriority w:val="0"/>
    <w:pPr>
      <w:spacing w:afterLines="50" w:line="440" w:lineRule="exact"/>
      <w:jc w:val="center"/>
    </w:pPr>
    <w:rPr>
      <w:rFonts w:ascii="宋体" w:hAnsi="宋体"/>
      <w:b/>
      <w:sz w:val="24"/>
    </w:rPr>
  </w:style>
  <w:style w:type="paragraph" w:customStyle="1" w:styleId="3744">
    <w:name w:val="xl244"/>
    <w:basedOn w:val="1"/>
    <w:qFormat/>
    <w:uiPriority w:val="0"/>
    <w:pPr>
      <w:widowControl/>
      <w:pBdr>
        <w:bottom w:val="single" w:color="auto" w:sz="4" w:space="0"/>
        <w:right w:val="single" w:color="auto" w:sz="4" w:space="0"/>
      </w:pBdr>
      <w:spacing w:before="100" w:beforeAutospacing="1" w:after="100" w:afterAutospacing="1"/>
      <w:jc w:val="center"/>
    </w:pPr>
    <w:rPr>
      <w:kern w:val="0"/>
      <w:szCs w:val="21"/>
    </w:rPr>
  </w:style>
  <w:style w:type="paragraph" w:customStyle="1" w:styleId="3745">
    <w:name w:val="Char Char Char Char Char Char Char113"/>
    <w:basedOn w:val="1"/>
    <w:qFormat/>
    <w:uiPriority w:val="0"/>
    <w:rPr>
      <w:szCs w:val="20"/>
    </w:rPr>
  </w:style>
  <w:style w:type="character" w:customStyle="1" w:styleId="3746">
    <w:name w:val="普通文字 Char34"/>
    <w:qFormat/>
    <w:uiPriority w:val="0"/>
    <w:rPr>
      <w:rFonts w:ascii="宋体" w:hAnsi="Courier New" w:eastAsia="宋体" w:cs="Courier New"/>
      <w:kern w:val="2"/>
      <w:sz w:val="21"/>
      <w:szCs w:val="21"/>
      <w:lang w:val="en-US" w:eastAsia="zh-CN" w:bidi="ar-SA"/>
    </w:rPr>
  </w:style>
  <w:style w:type="paragraph" w:customStyle="1" w:styleId="3747">
    <w:name w:val="Char54"/>
    <w:basedOn w:val="1"/>
    <w:qFormat/>
    <w:uiPriority w:val="0"/>
    <w:pPr>
      <w:adjustRightInd w:val="0"/>
      <w:snapToGrid w:val="0"/>
      <w:ind w:left="-45"/>
    </w:pPr>
  </w:style>
  <w:style w:type="paragraph" w:customStyle="1" w:styleId="3748">
    <w:name w:val="燕山正文1134"/>
    <w:basedOn w:val="1"/>
    <w:qFormat/>
    <w:uiPriority w:val="0"/>
    <w:pPr>
      <w:tabs>
        <w:tab w:val="left" w:pos="4680"/>
      </w:tabs>
      <w:adjustRightInd w:val="0"/>
      <w:snapToGrid w:val="0"/>
      <w:spacing w:line="360" w:lineRule="auto"/>
      <w:ind w:firstLine="480" w:firstLineChars="200"/>
    </w:pPr>
    <w:rPr>
      <w:rFonts w:ascii="宋体" w:hAnsi="宋体" w:cs="宋体"/>
      <w:bCs/>
      <w:snapToGrid w:val="0"/>
      <w:color w:val="000000"/>
      <w:kern w:val="0"/>
      <w:sz w:val="24"/>
    </w:rPr>
  </w:style>
  <w:style w:type="character" w:customStyle="1" w:styleId="3749">
    <w:name w:val="批注框文本 Char21"/>
    <w:qFormat/>
    <w:uiPriority w:val="0"/>
    <w:rPr>
      <w:rFonts w:eastAsia="宋体"/>
      <w:kern w:val="2"/>
      <w:sz w:val="18"/>
      <w:szCs w:val="18"/>
      <w:lang w:val="en-US" w:eastAsia="zh-CN" w:bidi="ar-SA"/>
    </w:rPr>
  </w:style>
  <w:style w:type="paragraph" w:customStyle="1" w:styleId="3750">
    <w:name w:val="正文格式54"/>
    <w:basedOn w:val="1"/>
    <w:qFormat/>
    <w:uiPriority w:val="0"/>
    <w:pPr>
      <w:spacing w:line="360" w:lineRule="auto"/>
      <w:ind w:firstLine="482"/>
    </w:pPr>
    <w:rPr>
      <w:rFonts w:ascii="宋体" w:hAnsi="宋体"/>
      <w:sz w:val="24"/>
    </w:rPr>
  </w:style>
  <w:style w:type="character" w:customStyle="1" w:styleId="3751">
    <w:name w:val="正文格式 Char51"/>
    <w:qFormat/>
    <w:uiPriority w:val="0"/>
    <w:rPr>
      <w:rFonts w:ascii="宋体" w:hAnsi="宋体" w:eastAsia="宋体"/>
      <w:kern w:val="2"/>
      <w:sz w:val="24"/>
      <w:szCs w:val="24"/>
      <w:lang w:val="en-US" w:eastAsia="zh-CN" w:bidi="ar-SA"/>
    </w:rPr>
  </w:style>
  <w:style w:type="character" w:customStyle="1" w:styleId="3752">
    <w:name w:val="标题 2 Char31"/>
    <w:qFormat/>
    <w:uiPriority w:val="0"/>
    <w:rPr>
      <w:rFonts w:ascii="黑体" w:hAnsi="Arial" w:eastAsia="黑体"/>
      <w:bCs/>
      <w:kern w:val="2"/>
      <w:sz w:val="30"/>
      <w:szCs w:val="30"/>
      <w:lang w:val="en-US" w:eastAsia="zh-CN" w:bidi="ar-SA"/>
    </w:rPr>
  </w:style>
  <w:style w:type="character" w:customStyle="1" w:styleId="3753">
    <w:name w:val="标题 3 Char31"/>
    <w:qFormat/>
    <w:uiPriority w:val="0"/>
    <w:rPr>
      <w:rFonts w:ascii="黑体" w:hAnsi="宋体" w:eastAsia="黑体"/>
      <w:b/>
      <w:bCs/>
      <w:kern w:val="2"/>
      <w:sz w:val="28"/>
      <w:szCs w:val="28"/>
      <w:lang w:val="en-US" w:eastAsia="zh-CN" w:bidi="ar-SA"/>
    </w:rPr>
  </w:style>
  <w:style w:type="paragraph" w:customStyle="1" w:styleId="3754">
    <w:name w:val="Char313"/>
    <w:basedOn w:val="1"/>
    <w:qFormat/>
    <w:uiPriority w:val="0"/>
    <w:pPr>
      <w:ind w:left="-48"/>
    </w:pPr>
  </w:style>
  <w:style w:type="character" w:customStyle="1" w:styleId="3755">
    <w:name w:val="题注 Char34"/>
    <w:qFormat/>
    <w:uiPriority w:val="0"/>
    <w:rPr>
      <w:rFonts w:ascii="黑体" w:hAnsi="Arial" w:eastAsia="黑体" w:cs="Arial"/>
      <w:b/>
      <w:kern w:val="2"/>
      <w:sz w:val="24"/>
      <w:szCs w:val="24"/>
      <w:lang w:val="en-US" w:eastAsia="zh-CN" w:bidi="ar-SA"/>
    </w:rPr>
  </w:style>
  <w:style w:type="paragraph" w:customStyle="1" w:styleId="3756">
    <w:name w:val="图题54"/>
    <w:basedOn w:val="223"/>
    <w:next w:val="223"/>
    <w:qFormat/>
    <w:uiPriority w:val="0"/>
    <w:pPr>
      <w:ind w:firstLine="0"/>
      <w:jc w:val="center"/>
    </w:pPr>
    <w:rPr>
      <w:rFonts w:ascii="黑体" w:hAnsi="宋体" w:eastAsia="黑体"/>
      <w:b/>
      <w:bCs/>
    </w:rPr>
  </w:style>
  <w:style w:type="paragraph" w:customStyle="1" w:styleId="3757">
    <w:name w:val="表格内字体54"/>
    <w:basedOn w:val="223"/>
    <w:next w:val="223"/>
    <w:qFormat/>
    <w:uiPriority w:val="0"/>
    <w:pPr>
      <w:adjustRightInd w:val="0"/>
      <w:snapToGrid w:val="0"/>
      <w:spacing w:line="240" w:lineRule="auto"/>
      <w:ind w:firstLine="0"/>
    </w:pPr>
    <w:rPr>
      <w:rFonts w:hAnsi="宋体" w:cs="Times New Roman"/>
      <w:sz w:val="21"/>
    </w:rPr>
  </w:style>
  <w:style w:type="character" w:customStyle="1" w:styleId="3758">
    <w:name w:val="表格内字体 Char51"/>
    <w:qFormat/>
    <w:uiPriority w:val="0"/>
    <w:rPr>
      <w:rFonts w:ascii="宋体" w:hAnsi="宋体" w:eastAsia="宋体"/>
      <w:kern w:val="2"/>
      <w:sz w:val="21"/>
      <w:szCs w:val="24"/>
      <w:lang w:val="en-US" w:eastAsia="zh-CN" w:bidi="ar-SA"/>
    </w:rPr>
  </w:style>
  <w:style w:type="character" w:customStyle="1" w:styleId="3759">
    <w:name w:val="正文缩进 Char111"/>
    <w:qFormat/>
    <w:uiPriority w:val="0"/>
    <w:rPr>
      <w:rFonts w:ascii="宋体" w:hAnsi="宋体" w:eastAsia="宋体" w:cs="宋体"/>
      <w:color w:val="000000"/>
      <w:kern w:val="2"/>
      <w:sz w:val="24"/>
      <w:szCs w:val="24"/>
      <w:lang w:val="en-US" w:eastAsia="zh-CN" w:bidi="ar-SA"/>
    </w:rPr>
  </w:style>
  <w:style w:type="paragraph" w:customStyle="1" w:styleId="3760">
    <w:name w:val="表34"/>
    <w:basedOn w:val="1"/>
    <w:qFormat/>
    <w:uiPriority w:val="0"/>
    <w:pPr>
      <w:adjustRightInd w:val="0"/>
      <w:snapToGrid w:val="0"/>
      <w:jc w:val="center"/>
    </w:pPr>
    <w:rPr>
      <w:rFonts w:eastAsia="仿宋_GB2312"/>
      <w:sz w:val="24"/>
    </w:rPr>
  </w:style>
  <w:style w:type="paragraph" w:customStyle="1" w:styleId="3761">
    <w:name w:val="正文.14"/>
    <w:qFormat/>
    <w:uiPriority w:val="0"/>
    <w:pPr>
      <w:widowControl w:val="0"/>
      <w:autoSpaceDE w:val="0"/>
      <w:autoSpaceDN w:val="0"/>
      <w:adjustRightInd w:val="0"/>
      <w:jc w:val="both"/>
    </w:pPr>
    <w:rPr>
      <w:rFonts w:ascii="Times New Roman;Symbol;Arial;婼" w:hAnsi="Times New Roman" w:eastAsia="Times New Roman;Symbol;Arial;婼" w:cs="Times New Roman"/>
      <w:sz w:val="21"/>
      <w:szCs w:val="21"/>
      <w:lang w:val="en-US" w:eastAsia="zh-CN" w:bidi="ar-SA"/>
    </w:rPr>
  </w:style>
  <w:style w:type="paragraph" w:customStyle="1" w:styleId="3762">
    <w:name w:val="文本框14"/>
    <w:basedOn w:val="1"/>
    <w:qFormat/>
    <w:uiPriority w:val="0"/>
    <w:pPr>
      <w:adjustRightInd w:val="0"/>
      <w:snapToGrid w:val="0"/>
      <w:spacing w:after="6"/>
      <w:jc w:val="center"/>
    </w:pPr>
    <w:rPr>
      <w:rFonts w:eastAsia="仿宋_GB2312"/>
    </w:rPr>
  </w:style>
  <w:style w:type="paragraph" w:customStyle="1" w:styleId="3763">
    <w:name w:val="表内宋51114"/>
    <w:basedOn w:val="81"/>
    <w:qFormat/>
    <w:uiPriority w:val="0"/>
    <w:pPr>
      <w:widowControl/>
      <w:adjustRightInd w:val="0"/>
      <w:snapToGrid w:val="0"/>
    </w:pPr>
    <w:rPr>
      <w:rFonts w:ascii="宋体" w:hAnsi="宋体" w:cs="宋体"/>
      <w:color w:val="000000"/>
      <w:kern w:val="0"/>
      <w:sz w:val="21"/>
      <w:lang w:val="zh-CN"/>
    </w:rPr>
  </w:style>
  <w:style w:type="paragraph" w:customStyle="1" w:styleId="3764">
    <w:name w:val="表内文字小3134"/>
    <w:basedOn w:val="1"/>
    <w:qFormat/>
    <w:uiPriority w:val="0"/>
    <w:pPr>
      <w:adjustRightInd w:val="0"/>
      <w:snapToGrid w:val="0"/>
      <w:jc w:val="center"/>
    </w:pPr>
    <w:rPr>
      <w:rFonts w:ascii="宋体" w:hAnsi="Times" w:cs="宋体"/>
      <w:bCs/>
      <w:color w:val="003366"/>
      <w:szCs w:val="20"/>
    </w:rPr>
  </w:style>
  <w:style w:type="paragraph" w:customStyle="1" w:styleId="3765">
    <w:name w:val="表文字534"/>
    <w:basedOn w:val="1"/>
    <w:qFormat/>
    <w:uiPriority w:val="0"/>
    <w:pPr>
      <w:adjustRightInd w:val="0"/>
      <w:jc w:val="left"/>
      <w:textAlignment w:val="baseline"/>
    </w:pPr>
    <w:rPr>
      <w:rFonts w:ascii="宋体"/>
      <w:kern w:val="0"/>
      <w:szCs w:val="20"/>
    </w:rPr>
  </w:style>
  <w:style w:type="paragraph" w:customStyle="1" w:styleId="3766">
    <w:name w:val="正文214"/>
    <w:qFormat/>
    <w:uiPriority w:val="0"/>
    <w:pPr>
      <w:adjustRightInd w:val="0"/>
      <w:snapToGrid w:val="0"/>
      <w:spacing w:line="480" w:lineRule="atLeast"/>
      <w:jc w:val="center"/>
    </w:pPr>
    <w:rPr>
      <w:rFonts w:ascii="宋体" w:hAnsi="Times New Roman" w:eastAsia="宋体" w:cs="Times New Roman"/>
      <w:snapToGrid w:val="0"/>
      <w:spacing w:val="6"/>
      <w:sz w:val="21"/>
      <w:lang w:val="en-US" w:eastAsia="zh-CN" w:bidi="ar-SA"/>
    </w:rPr>
  </w:style>
  <w:style w:type="paragraph" w:customStyle="1" w:styleId="3767">
    <w:name w:val="Char Char Char Char Char Char Char27"/>
    <w:basedOn w:val="1"/>
    <w:qFormat/>
    <w:uiPriority w:val="0"/>
  </w:style>
  <w:style w:type="paragraph" w:customStyle="1" w:styleId="3768">
    <w:name w:val="表题3134"/>
    <w:basedOn w:val="37"/>
    <w:qFormat/>
    <w:uiPriority w:val="0"/>
    <w:pPr>
      <w:tabs>
        <w:tab w:val="left" w:pos="4305"/>
      </w:tabs>
      <w:adjustRightInd w:val="0"/>
      <w:snapToGrid w:val="0"/>
      <w:spacing w:after="0"/>
      <w:ind w:left="0" w:leftChars="0"/>
      <w:jc w:val="center"/>
    </w:pPr>
    <w:rPr>
      <w:rFonts w:ascii="宋体" w:hAnsi="宋体"/>
      <w:sz w:val="24"/>
      <w:szCs w:val="20"/>
    </w:rPr>
  </w:style>
  <w:style w:type="paragraph" w:customStyle="1" w:styleId="3769">
    <w:name w:val="表内文字小2134"/>
    <w:basedOn w:val="1"/>
    <w:qFormat/>
    <w:uiPriority w:val="0"/>
    <w:pPr>
      <w:adjustRightInd w:val="0"/>
      <w:snapToGrid w:val="0"/>
      <w:jc w:val="center"/>
      <w:textAlignment w:val="baseline"/>
    </w:pPr>
    <w:rPr>
      <w:rFonts w:ascii="宋体" w:hAnsi="Times"/>
      <w:bCs/>
      <w:color w:val="000000"/>
      <w:szCs w:val="20"/>
    </w:rPr>
  </w:style>
  <w:style w:type="character" w:customStyle="1" w:styleId="3770">
    <w:name w:val="Char Char91"/>
    <w:qFormat/>
    <w:uiPriority w:val="0"/>
    <w:rPr>
      <w:rFonts w:eastAsia="宋体"/>
      <w:kern w:val="2"/>
      <w:sz w:val="21"/>
      <w:szCs w:val="24"/>
      <w:shd w:val="clear" w:color="auto" w:fill="000080"/>
      <w:lang w:val="en-US" w:eastAsia="zh-CN" w:bidi="ar-SA"/>
    </w:rPr>
  </w:style>
  <w:style w:type="paragraph" w:customStyle="1" w:styleId="3771">
    <w:name w:val="燕山正文34"/>
    <w:basedOn w:val="1"/>
    <w:qFormat/>
    <w:uiPriority w:val="0"/>
    <w:pPr>
      <w:tabs>
        <w:tab w:val="left" w:pos="4680"/>
      </w:tabs>
      <w:adjustRightInd w:val="0"/>
      <w:snapToGrid w:val="0"/>
      <w:spacing w:line="480" w:lineRule="exact"/>
    </w:pPr>
    <w:rPr>
      <w:rFonts w:ascii="宋体" w:cs="宋体"/>
      <w:sz w:val="24"/>
    </w:rPr>
  </w:style>
  <w:style w:type="character" w:customStyle="1" w:styleId="3772">
    <w:name w:val="燕山正文 Char131"/>
    <w:qFormat/>
    <w:uiPriority w:val="0"/>
    <w:rPr>
      <w:rFonts w:ascii="宋体" w:eastAsia="宋体" w:cs="宋体"/>
      <w:kern w:val="2"/>
      <w:sz w:val="24"/>
      <w:szCs w:val="24"/>
      <w:lang w:val="en-US" w:eastAsia="zh-CN" w:bidi="ar-SA"/>
    </w:rPr>
  </w:style>
  <w:style w:type="paragraph" w:customStyle="1" w:styleId="3773">
    <w:name w:val="正文修改34"/>
    <w:basedOn w:val="2056"/>
    <w:qFormat/>
    <w:uiPriority w:val="0"/>
    <w:rPr>
      <w:rFonts w:hAnsi="宋体"/>
      <w:color w:val="000000"/>
    </w:rPr>
  </w:style>
  <w:style w:type="character" w:customStyle="1" w:styleId="3774">
    <w:name w:val="正文修改 Char134"/>
    <w:qFormat/>
    <w:uiPriority w:val="0"/>
    <w:rPr>
      <w:rFonts w:ascii="宋体" w:hAnsi="宋体" w:eastAsia="宋体" w:cs="宋体"/>
      <w:color w:val="000000"/>
      <w:sz w:val="24"/>
      <w:szCs w:val="24"/>
    </w:rPr>
  </w:style>
  <w:style w:type="paragraph" w:customStyle="1" w:styleId="3775">
    <w:name w:val="表题145"/>
    <w:basedOn w:val="23"/>
    <w:qFormat/>
    <w:uiPriority w:val="0"/>
    <w:pPr>
      <w:tabs>
        <w:tab w:val="clear" w:pos="7380"/>
      </w:tabs>
      <w:overflowPunct/>
      <w:spacing w:before="0" w:afterLines="0" w:line="360" w:lineRule="auto"/>
      <w:jc w:val="center"/>
    </w:pPr>
    <w:rPr>
      <w:rFonts w:ascii="黑体" w:cs="Times New Roman"/>
      <w:b/>
      <w:sz w:val="24"/>
      <w:szCs w:val="24"/>
    </w:rPr>
  </w:style>
  <w:style w:type="character" w:customStyle="1" w:styleId="3776">
    <w:name w:val="表题1 Char44"/>
    <w:qFormat/>
    <w:uiPriority w:val="0"/>
    <w:rPr>
      <w:rFonts w:ascii="黑体" w:hAnsi="Arial" w:eastAsia="黑体" w:cs="Arial"/>
      <w:b/>
      <w:kern w:val="2"/>
      <w:sz w:val="24"/>
      <w:szCs w:val="24"/>
      <w:lang w:val="en-US" w:eastAsia="zh-CN" w:bidi="ar-SA"/>
    </w:rPr>
  </w:style>
  <w:style w:type="paragraph" w:customStyle="1" w:styleId="3777">
    <w:name w:val="表中文字34"/>
    <w:basedOn w:val="1"/>
    <w:qFormat/>
    <w:uiPriority w:val="0"/>
    <w:pPr>
      <w:widowControl/>
      <w:spacing w:line="240" w:lineRule="atLeast"/>
      <w:ind w:left="-24" w:leftChars="-10" w:right="-48" w:rightChars="-20"/>
      <w:jc w:val="center"/>
    </w:pPr>
    <w:rPr>
      <w:rFonts w:ascii="宋体"/>
      <w:kern w:val="0"/>
      <w:szCs w:val="21"/>
    </w:rPr>
  </w:style>
  <w:style w:type="character" w:customStyle="1" w:styleId="3778">
    <w:name w:val="表中文字 Char231"/>
    <w:qFormat/>
    <w:uiPriority w:val="0"/>
    <w:rPr>
      <w:rFonts w:ascii="宋体" w:eastAsia="宋体"/>
      <w:kern w:val="2"/>
      <w:sz w:val="21"/>
      <w:szCs w:val="21"/>
      <w:lang w:val="en-US" w:eastAsia="zh-CN" w:bidi="ar-SA"/>
    </w:rPr>
  </w:style>
  <w:style w:type="paragraph" w:customStyle="1" w:styleId="3779">
    <w:name w:val="黑体三号34"/>
    <w:basedOn w:val="223"/>
    <w:qFormat/>
    <w:uiPriority w:val="0"/>
    <w:pPr>
      <w:jc w:val="center"/>
    </w:pPr>
    <w:rPr>
      <w:rFonts w:ascii="黑体" w:hAnsi="宋体" w:eastAsia="黑体"/>
      <w:b/>
      <w:bCs/>
      <w:sz w:val="32"/>
      <w:szCs w:val="20"/>
    </w:rPr>
  </w:style>
  <w:style w:type="paragraph" w:customStyle="1" w:styleId="3780">
    <w:name w:val="默认段落字体 Para Char Char Char Char34"/>
    <w:basedOn w:val="1"/>
    <w:qFormat/>
    <w:uiPriority w:val="0"/>
  </w:style>
  <w:style w:type="paragraph" w:customStyle="1" w:styleId="3781">
    <w:name w:val="表内54134"/>
    <w:basedOn w:val="1"/>
    <w:qFormat/>
    <w:uiPriority w:val="0"/>
    <w:pPr>
      <w:adjustRightInd w:val="0"/>
      <w:snapToGrid w:val="0"/>
      <w:spacing w:line="300" w:lineRule="auto"/>
      <w:jc w:val="center"/>
    </w:pPr>
    <w:rPr>
      <w:rFonts w:ascii="宋体" w:hAnsi="宋体" w:cs="宋体"/>
      <w:szCs w:val="20"/>
    </w:rPr>
  </w:style>
  <w:style w:type="paragraph" w:customStyle="1" w:styleId="3782">
    <w:name w:val="标题45"/>
    <w:basedOn w:val="1"/>
    <w:qFormat/>
    <w:uiPriority w:val="0"/>
    <w:pPr>
      <w:adjustRightInd w:val="0"/>
      <w:snapToGrid w:val="0"/>
      <w:spacing w:line="300" w:lineRule="auto"/>
      <w:jc w:val="left"/>
    </w:pPr>
    <w:rPr>
      <w:rFonts w:ascii="黑体" w:eastAsia="黑体"/>
      <w:bCs/>
      <w:sz w:val="24"/>
    </w:rPr>
  </w:style>
  <w:style w:type="paragraph" w:customStyle="1" w:styleId="3783">
    <w:name w:val="Char64"/>
    <w:basedOn w:val="1"/>
    <w:qFormat/>
    <w:uiPriority w:val="0"/>
    <w:pPr>
      <w:adjustRightInd w:val="0"/>
      <w:snapToGrid w:val="0"/>
      <w:spacing w:beforeLines="50" w:line="360" w:lineRule="auto"/>
    </w:pPr>
    <w:rPr>
      <w:rFonts w:ascii="黑体" w:eastAsia="黑体"/>
      <w:sz w:val="32"/>
      <w:szCs w:val="32"/>
    </w:rPr>
  </w:style>
  <w:style w:type="paragraph" w:customStyle="1" w:styleId="3784">
    <w:name w:val="表题2114"/>
    <w:basedOn w:val="1"/>
    <w:qFormat/>
    <w:uiPriority w:val="0"/>
    <w:pPr>
      <w:widowControl/>
      <w:adjustRightInd w:val="0"/>
      <w:snapToGrid w:val="0"/>
      <w:jc w:val="center"/>
    </w:pPr>
    <w:rPr>
      <w:rFonts w:ascii="黑体" w:hAnsi="宋体" w:eastAsia="黑体" w:cs="宋体"/>
      <w:kern w:val="0"/>
      <w:sz w:val="24"/>
    </w:rPr>
  </w:style>
  <w:style w:type="paragraph" w:customStyle="1" w:styleId="3785">
    <w:name w:val="表内宋5中114"/>
    <w:basedOn w:val="1"/>
    <w:qFormat/>
    <w:uiPriority w:val="0"/>
    <w:pPr>
      <w:adjustRightInd w:val="0"/>
      <w:snapToGrid w:val="0"/>
      <w:jc w:val="center"/>
      <w:textAlignment w:val="baseline"/>
    </w:pPr>
    <w:rPr>
      <w:rFonts w:ascii="宋体" w:hAnsi="宋体" w:cs="宋体"/>
      <w:kern w:val="0"/>
      <w:szCs w:val="20"/>
    </w:rPr>
  </w:style>
  <w:style w:type="paragraph" w:customStyle="1" w:styleId="3786">
    <w:name w:val="表内宋5中15"/>
    <w:basedOn w:val="1"/>
    <w:qFormat/>
    <w:uiPriority w:val="0"/>
    <w:pPr>
      <w:adjustRightInd w:val="0"/>
      <w:snapToGrid w:val="0"/>
      <w:jc w:val="center"/>
      <w:textAlignment w:val="baseline"/>
    </w:pPr>
    <w:rPr>
      <w:rFonts w:ascii="宋体" w:hAnsi="宋体" w:cs="宋体"/>
      <w:kern w:val="0"/>
      <w:szCs w:val="20"/>
    </w:rPr>
  </w:style>
  <w:style w:type="paragraph" w:customStyle="1" w:styleId="3787">
    <w:name w:val="表内文字小114"/>
    <w:basedOn w:val="1"/>
    <w:qFormat/>
    <w:uiPriority w:val="0"/>
    <w:pPr>
      <w:adjustRightInd w:val="0"/>
      <w:snapToGrid w:val="0"/>
    </w:pPr>
    <w:rPr>
      <w:rFonts w:ascii="宋体" w:hAnsi="Times" w:cs="宋体"/>
      <w:szCs w:val="20"/>
    </w:rPr>
  </w:style>
  <w:style w:type="paragraph" w:customStyle="1" w:styleId="3788">
    <w:name w:val="标题4114"/>
    <w:basedOn w:val="1"/>
    <w:qFormat/>
    <w:uiPriority w:val="0"/>
    <w:pPr>
      <w:adjustRightInd w:val="0"/>
      <w:snapToGrid w:val="0"/>
      <w:spacing w:line="300" w:lineRule="auto"/>
      <w:jc w:val="left"/>
    </w:pPr>
    <w:rPr>
      <w:rFonts w:ascii="黑体" w:hAnsi="宋体" w:eastAsia="黑体" w:cs="宋体"/>
      <w:bCs/>
      <w:sz w:val="24"/>
      <w:szCs w:val="20"/>
    </w:rPr>
  </w:style>
  <w:style w:type="paragraph" w:customStyle="1" w:styleId="3789">
    <w:name w:val="表题1414"/>
    <w:basedOn w:val="1"/>
    <w:qFormat/>
    <w:uiPriority w:val="0"/>
    <w:pPr>
      <w:widowControl/>
      <w:adjustRightInd w:val="0"/>
      <w:snapToGrid w:val="0"/>
      <w:jc w:val="center"/>
    </w:pPr>
    <w:rPr>
      <w:rFonts w:ascii="黑体" w:hAnsi="宋体" w:eastAsia="黑体" w:cs="宋体"/>
      <w:kern w:val="0"/>
      <w:sz w:val="24"/>
    </w:rPr>
  </w:style>
  <w:style w:type="paragraph" w:customStyle="1" w:styleId="3790">
    <w:name w:val="表内文字小84"/>
    <w:basedOn w:val="1"/>
    <w:qFormat/>
    <w:uiPriority w:val="0"/>
    <w:pPr>
      <w:adjustRightInd w:val="0"/>
      <w:snapToGrid w:val="0"/>
      <w:jc w:val="center"/>
    </w:pPr>
    <w:rPr>
      <w:rFonts w:ascii="宋体" w:hAnsi="Times" w:cs="宋体"/>
      <w:szCs w:val="20"/>
    </w:rPr>
  </w:style>
  <w:style w:type="paragraph" w:customStyle="1" w:styleId="3791">
    <w:name w:val="默认段落字体 Para Char24"/>
    <w:basedOn w:val="1"/>
    <w:next w:val="1"/>
    <w:qFormat/>
    <w:uiPriority w:val="0"/>
    <w:pPr>
      <w:spacing w:line="480" w:lineRule="exact"/>
      <w:ind w:firstLine="200" w:firstLineChars="200"/>
      <w:jc w:val="left"/>
    </w:pPr>
    <w:rPr>
      <w:rFonts w:ascii="宋体" w:hAnsi="宋体" w:eastAsia="汉鼎简书宋" w:cs="宋体"/>
      <w:sz w:val="28"/>
    </w:rPr>
  </w:style>
  <w:style w:type="paragraph" w:customStyle="1" w:styleId="3792">
    <w:name w:val="表内5中6"/>
    <w:basedOn w:val="1"/>
    <w:qFormat/>
    <w:uiPriority w:val="0"/>
    <w:pPr>
      <w:adjustRightInd w:val="0"/>
      <w:snapToGrid w:val="0"/>
      <w:jc w:val="center"/>
    </w:pPr>
    <w:rPr>
      <w:rFonts w:ascii="宋体" w:hAnsi="宋体" w:cs="Arial"/>
      <w:snapToGrid w:val="0"/>
      <w:color w:val="000000"/>
      <w:szCs w:val="21"/>
    </w:rPr>
  </w:style>
  <w:style w:type="paragraph" w:customStyle="1" w:styleId="3793">
    <w:name w:val="Default4"/>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character" w:customStyle="1" w:styleId="3794">
    <w:name w:val="河石1 Char14"/>
    <w:qFormat/>
    <w:uiPriority w:val="0"/>
    <w:rPr>
      <w:rFonts w:ascii="黑体" w:hAnsi="宋体" w:eastAsia="黑体"/>
      <w:bCs/>
      <w:kern w:val="44"/>
      <w:sz w:val="32"/>
      <w:szCs w:val="32"/>
      <w:lang w:val="en-US" w:eastAsia="zh-CN" w:bidi="ar-SA"/>
    </w:rPr>
  </w:style>
  <w:style w:type="character" w:customStyle="1" w:styleId="3795">
    <w:name w:val="标题 2 Char41"/>
    <w:qFormat/>
    <w:uiPriority w:val="0"/>
    <w:rPr>
      <w:rFonts w:ascii="黑体" w:hAnsi="Arial" w:eastAsia="黑体" w:cs="Times New Roman"/>
      <w:bCs/>
      <w:kern w:val="2"/>
      <w:sz w:val="30"/>
      <w:szCs w:val="30"/>
      <w:lang w:val="en-US" w:eastAsia="zh-CN" w:bidi="ar-SA"/>
    </w:rPr>
  </w:style>
  <w:style w:type="character" w:customStyle="1" w:styleId="3796">
    <w:name w:val="标题 3 Char91"/>
    <w:qFormat/>
    <w:uiPriority w:val="0"/>
    <w:rPr>
      <w:rFonts w:ascii="黑体" w:hAnsi="宋体" w:eastAsia="黑体" w:cs="Times New Roman"/>
      <w:b/>
      <w:bCs/>
      <w:kern w:val="2"/>
      <w:sz w:val="28"/>
      <w:szCs w:val="28"/>
      <w:lang w:val="en-US" w:eastAsia="zh-CN" w:bidi="ar-SA"/>
    </w:rPr>
  </w:style>
  <w:style w:type="paragraph" w:customStyle="1" w:styleId="3797">
    <w:name w:val="正文格式64"/>
    <w:basedOn w:val="1"/>
    <w:qFormat/>
    <w:uiPriority w:val="0"/>
    <w:pPr>
      <w:spacing w:line="360" w:lineRule="auto"/>
      <w:ind w:firstLine="482"/>
    </w:pPr>
    <w:rPr>
      <w:rFonts w:ascii="宋体" w:hAnsi="宋体"/>
      <w:sz w:val="24"/>
    </w:rPr>
  </w:style>
  <w:style w:type="character" w:customStyle="1" w:styleId="3798">
    <w:name w:val="正文格式 Char61"/>
    <w:qFormat/>
    <w:uiPriority w:val="0"/>
    <w:rPr>
      <w:rFonts w:ascii="宋体" w:hAnsi="宋体" w:eastAsia="宋体" w:cs="Times New Roman"/>
      <w:kern w:val="2"/>
      <w:sz w:val="24"/>
      <w:szCs w:val="24"/>
      <w:lang w:val="en-US" w:eastAsia="zh-CN" w:bidi="ar-SA"/>
    </w:rPr>
  </w:style>
  <w:style w:type="paragraph" w:customStyle="1" w:styleId="3799">
    <w:name w:val="正文格式＝54"/>
    <w:basedOn w:val="223"/>
    <w:next w:val="223"/>
    <w:qFormat/>
    <w:uiPriority w:val="0"/>
    <w:rPr>
      <w:rFonts w:hAnsi="宋体" w:cs="Times New Roman"/>
    </w:rPr>
  </w:style>
  <w:style w:type="character" w:customStyle="1" w:styleId="3800">
    <w:name w:val="标题 1 Char11"/>
    <w:qFormat/>
    <w:uiPriority w:val="0"/>
    <w:rPr>
      <w:rFonts w:ascii="黑体" w:hAnsi="宋体" w:eastAsia="黑体" w:cs="Times New Roman"/>
      <w:bCs/>
      <w:kern w:val="44"/>
      <w:sz w:val="32"/>
      <w:szCs w:val="32"/>
      <w:lang w:val="en-US" w:eastAsia="zh-CN" w:bidi="ar-SA"/>
    </w:rPr>
  </w:style>
  <w:style w:type="paragraph" w:customStyle="1" w:styleId="3801">
    <w:name w:val="附件34"/>
    <w:basedOn w:val="4"/>
    <w:next w:val="223"/>
    <w:qFormat/>
    <w:uiPriority w:val="0"/>
    <w:pPr>
      <w:adjustRightInd w:val="0"/>
      <w:snapToGrid w:val="0"/>
      <w:spacing w:before="0" w:after="0" w:line="360" w:lineRule="auto"/>
      <w:jc w:val="left"/>
    </w:pPr>
    <w:rPr>
      <w:rFonts w:ascii="黑体" w:hAnsi="宋体" w:eastAsia="黑体"/>
      <w:b w:val="0"/>
      <w:sz w:val="32"/>
      <w:szCs w:val="32"/>
    </w:rPr>
  </w:style>
  <w:style w:type="character" w:customStyle="1" w:styleId="3802">
    <w:name w:val="题注 Char41"/>
    <w:qFormat/>
    <w:uiPriority w:val="0"/>
    <w:rPr>
      <w:rFonts w:ascii="黑体" w:hAnsi="Arial" w:eastAsia="黑体" w:cs="Arial"/>
      <w:b/>
      <w:kern w:val="2"/>
      <w:sz w:val="24"/>
      <w:szCs w:val="24"/>
      <w:lang w:val="en-US" w:eastAsia="zh-CN" w:bidi="ar-SA"/>
    </w:rPr>
  </w:style>
  <w:style w:type="paragraph" w:customStyle="1" w:styleId="3803">
    <w:name w:val="图题64"/>
    <w:basedOn w:val="223"/>
    <w:next w:val="223"/>
    <w:qFormat/>
    <w:uiPriority w:val="0"/>
    <w:pPr>
      <w:ind w:firstLine="0"/>
      <w:jc w:val="center"/>
    </w:pPr>
    <w:rPr>
      <w:rFonts w:ascii="黑体" w:hAnsi="宋体" w:eastAsia="黑体"/>
      <w:b/>
      <w:bCs/>
      <w:kern w:val="0"/>
    </w:rPr>
  </w:style>
  <w:style w:type="character" w:customStyle="1" w:styleId="3804">
    <w:name w:val="图题 Char4"/>
    <w:qFormat/>
    <w:uiPriority w:val="0"/>
    <w:rPr>
      <w:rFonts w:ascii="黑体" w:hAnsi="宋体" w:eastAsia="黑体" w:cs="宋体"/>
      <w:b/>
      <w:bCs/>
      <w:kern w:val="2"/>
      <w:sz w:val="24"/>
      <w:szCs w:val="24"/>
      <w:lang w:val="en-US" w:eastAsia="zh-CN" w:bidi="ar-SA"/>
    </w:rPr>
  </w:style>
  <w:style w:type="paragraph" w:customStyle="1" w:styleId="3805">
    <w:name w:val="表格内字体64"/>
    <w:basedOn w:val="223"/>
    <w:next w:val="223"/>
    <w:qFormat/>
    <w:uiPriority w:val="0"/>
    <w:pPr>
      <w:spacing w:line="240" w:lineRule="auto"/>
      <w:ind w:firstLine="0"/>
      <w:jc w:val="center"/>
    </w:pPr>
    <w:rPr>
      <w:rFonts w:hAnsi="宋体" w:cs="Times New Roman"/>
      <w:sz w:val="21"/>
    </w:rPr>
  </w:style>
  <w:style w:type="character" w:customStyle="1" w:styleId="3806">
    <w:name w:val="表格内字体 Char61"/>
    <w:qFormat/>
    <w:uiPriority w:val="0"/>
    <w:rPr>
      <w:rFonts w:ascii="宋体" w:hAnsi="宋体" w:eastAsia="宋体" w:cs="Times New Roman"/>
      <w:kern w:val="2"/>
      <w:sz w:val="24"/>
      <w:szCs w:val="24"/>
      <w:lang w:val="en-US" w:eastAsia="zh-CN" w:bidi="ar-SA"/>
    </w:rPr>
  </w:style>
  <w:style w:type="character" w:customStyle="1" w:styleId="3807">
    <w:name w:val="文档结构图 Char11"/>
    <w:qFormat/>
    <w:uiPriority w:val="0"/>
    <w:rPr>
      <w:rFonts w:ascii="Times New Roman" w:hAnsi="Times New Roman" w:eastAsia="宋体" w:cs="Times New Roman"/>
      <w:kern w:val="2"/>
      <w:sz w:val="24"/>
      <w:szCs w:val="24"/>
      <w:shd w:val="clear" w:color="auto" w:fill="000080"/>
      <w:lang w:val="en-US" w:eastAsia="zh-CN" w:bidi="ar-SA"/>
    </w:rPr>
  </w:style>
  <w:style w:type="character" w:customStyle="1" w:styleId="3808">
    <w:name w:val="h Char5"/>
    <w:qFormat/>
    <w:uiPriority w:val="0"/>
    <w:rPr>
      <w:rFonts w:eastAsia="宋体"/>
      <w:kern w:val="2"/>
      <w:sz w:val="18"/>
      <w:szCs w:val="18"/>
      <w:lang w:val="en-US" w:eastAsia="zh-CN" w:bidi="ar-SA"/>
    </w:rPr>
  </w:style>
  <w:style w:type="paragraph" w:customStyle="1" w:styleId="3809">
    <w:name w:val="黑体三号44"/>
    <w:basedOn w:val="223"/>
    <w:qFormat/>
    <w:uiPriority w:val="0"/>
    <w:pPr>
      <w:jc w:val="center"/>
    </w:pPr>
    <w:rPr>
      <w:rFonts w:ascii="黑体" w:hAnsi="宋体" w:eastAsia="黑体"/>
      <w:b/>
      <w:bCs/>
      <w:sz w:val="32"/>
      <w:szCs w:val="20"/>
    </w:rPr>
  </w:style>
  <w:style w:type="paragraph" w:customStyle="1" w:styleId="3810">
    <w:name w:val="默认段落字体 Para Char Char Char Char44"/>
    <w:basedOn w:val="1"/>
    <w:qFormat/>
    <w:uiPriority w:val="0"/>
  </w:style>
  <w:style w:type="paragraph" w:customStyle="1" w:styleId="3811">
    <w:name w:val="图表题4"/>
    <w:basedOn w:val="223"/>
    <w:next w:val="223"/>
    <w:qFormat/>
    <w:uiPriority w:val="0"/>
    <w:pPr>
      <w:ind w:firstLine="0"/>
      <w:jc w:val="center"/>
    </w:pPr>
    <w:rPr>
      <w:rFonts w:ascii="黑体" w:hAnsi="宋体" w:eastAsia="黑体"/>
      <w:b/>
      <w:bCs/>
    </w:rPr>
  </w:style>
  <w:style w:type="character" w:customStyle="1" w:styleId="3812">
    <w:name w:val="图表题 Char4"/>
    <w:qFormat/>
    <w:uiPriority w:val="0"/>
    <w:rPr>
      <w:rFonts w:ascii="黑体" w:eastAsia="黑体" w:cs="宋体"/>
      <w:b/>
      <w:bCs/>
      <w:kern w:val="2"/>
      <w:sz w:val="24"/>
      <w:szCs w:val="24"/>
      <w:lang w:val="en-US" w:eastAsia="zh-CN" w:bidi="ar-SA"/>
    </w:rPr>
  </w:style>
  <w:style w:type="character" w:customStyle="1" w:styleId="3813">
    <w:name w:val="表题 Char41"/>
    <w:qFormat/>
    <w:uiPriority w:val="0"/>
    <w:rPr>
      <w:rFonts w:ascii="黑体" w:hAnsi="Arial" w:eastAsia="黑体" w:cs="Arial"/>
      <w:b/>
      <w:kern w:val="2"/>
      <w:sz w:val="24"/>
      <w:szCs w:val="24"/>
      <w:lang w:val="en-US" w:eastAsia="zh-CN" w:bidi="ar-SA"/>
    </w:rPr>
  </w:style>
  <w:style w:type="paragraph" w:customStyle="1" w:styleId="3814">
    <w:name w:val="样式 表格内字体 +4"/>
    <w:basedOn w:val="2053"/>
    <w:qFormat/>
    <w:uiPriority w:val="0"/>
    <w:pPr>
      <w:spacing w:line="280" w:lineRule="exact"/>
      <w:ind w:firstLine="36"/>
      <w:jc w:val="both"/>
    </w:pPr>
    <w:rPr>
      <w:kern w:val="0"/>
    </w:rPr>
  </w:style>
  <w:style w:type="character" w:customStyle="1" w:styleId="3815">
    <w:name w:val="样式 表格内字体 + Char4"/>
    <w:qFormat/>
    <w:uiPriority w:val="0"/>
  </w:style>
  <w:style w:type="paragraph" w:customStyle="1" w:styleId="3816">
    <w:name w:val="A正文4"/>
    <w:basedOn w:val="1"/>
    <w:qFormat/>
    <w:uiPriority w:val="0"/>
    <w:pPr>
      <w:widowControl/>
      <w:overflowPunct w:val="0"/>
      <w:autoSpaceDE w:val="0"/>
      <w:autoSpaceDN w:val="0"/>
      <w:adjustRightInd w:val="0"/>
      <w:spacing w:line="360" w:lineRule="auto"/>
      <w:ind w:firstLine="200" w:firstLineChars="200"/>
      <w:jc w:val="left"/>
      <w:textAlignment w:val="baseline"/>
    </w:pPr>
    <w:rPr>
      <w:rFonts w:eastAsia="仿宋_GB2312"/>
      <w:kern w:val="0"/>
      <w:sz w:val="24"/>
    </w:rPr>
  </w:style>
  <w:style w:type="character" w:customStyle="1" w:styleId="3817">
    <w:name w:val="A正文 Char4"/>
    <w:qFormat/>
    <w:uiPriority w:val="0"/>
    <w:rPr>
      <w:rFonts w:eastAsia="仿宋_GB2312"/>
      <w:kern w:val="2"/>
      <w:sz w:val="24"/>
      <w:szCs w:val="24"/>
      <w:lang w:val="en-US" w:eastAsia="zh-CN" w:bidi="ar-SA"/>
    </w:rPr>
  </w:style>
  <w:style w:type="paragraph" w:customStyle="1" w:styleId="3818">
    <w:name w:val="图题注4"/>
    <w:basedOn w:val="23"/>
    <w:qFormat/>
    <w:uiPriority w:val="0"/>
    <w:pPr>
      <w:tabs>
        <w:tab w:val="clear" w:pos="7380"/>
      </w:tabs>
      <w:overflowPunct/>
      <w:spacing w:before="0" w:afterLines="0"/>
      <w:jc w:val="center"/>
    </w:pPr>
    <w:rPr>
      <w:rFonts w:ascii="黑体" w:cs="宋体"/>
      <w:b/>
      <w:bCs/>
      <w:sz w:val="24"/>
      <w:szCs w:val="24"/>
    </w:rPr>
  </w:style>
  <w:style w:type="character" w:customStyle="1" w:styleId="3819">
    <w:name w:val="图题注 Char4"/>
    <w:qFormat/>
    <w:uiPriority w:val="0"/>
    <w:rPr>
      <w:rFonts w:ascii="黑体" w:hAnsi="Arial" w:eastAsia="黑体" w:cs="宋体"/>
      <w:b/>
      <w:bCs/>
      <w:kern w:val="2"/>
      <w:sz w:val="24"/>
      <w:szCs w:val="24"/>
      <w:lang w:val="en-US" w:eastAsia="zh-CN" w:bidi="ar-SA"/>
    </w:rPr>
  </w:style>
  <w:style w:type="paragraph" w:customStyle="1" w:styleId="3820">
    <w:name w:val="Char74"/>
    <w:basedOn w:val="1"/>
    <w:qFormat/>
    <w:uiPriority w:val="0"/>
    <w:pPr>
      <w:ind w:left="-48"/>
    </w:pPr>
  </w:style>
  <w:style w:type="paragraph" w:customStyle="1" w:styleId="3821">
    <w:name w:val="表格内字体114"/>
    <w:basedOn w:val="223"/>
    <w:qFormat/>
    <w:uiPriority w:val="0"/>
    <w:pPr>
      <w:spacing w:line="240" w:lineRule="auto"/>
      <w:ind w:firstLine="0"/>
      <w:jc w:val="center"/>
    </w:pPr>
    <w:rPr>
      <w:sz w:val="21"/>
      <w:szCs w:val="20"/>
    </w:rPr>
  </w:style>
  <w:style w:type="paragraph" w:customStyle="1" w:styleId="3822">
    <w:name w:val="Char Char2 Char Char Char Char14"/>
    <w:basedOn w:val="1"/>
    <w:qFormat/>
    <w:uiPriority w:val="0"/>
  </w:style>
  <w:style w:type="paragraph" w:customStyle="1" w:styleId="3823">
    <w:name w:val="样式 正文缩进 + 宋体 黑色 首行缩进:  2 字符4"/>
    <w:basedOn w:val="22"/>
    <w:qFormat/>
    <w:uiPriority w:val="0"/>
    <w:pPr>
      <w:spacing w:line="360" w:lineRule="auto"/>
      <w:ind w:firstLine="480"/>
      <w:jc w:val="left"/>
    </w:pPr>
    <w:rPr>
      <w:rFonts w:ascii="宋体" w:hAnsi="宋体" w:cs="宋体"/>
      <w:color w:val="FF00FF"/>
      <w:sz w:val="24"/>
      <w:szCs w:val="20"/>
    </w:rPr>
  </w:style>
  <w:style w:type="paragraph" w:customStyle="1" w:styleId="3824">
    <w:name w:val="环评正文4"/>
    <w:qFormat/>
    <w:uiPriority w:val="0"/>
    <w:pPr>
      <w:spacing w:line="440" w:lineRule="exact"/>
      <w:ind w:firstLine="200" w:firstLineChars="200"/>
    </w:pPr>
    <w:rPr>
      <w:rFonts w:ascii="Times New Roman" w:hAnsi="Times New Roman" w:eastAsia="宋体" w:cs="Times New Roman"/>
      <w:bCs/>
      <w:kern w:val="2"/>
      <w:sz w:val="24"/>
      <w:szCs w:val="24"/>
      <w:lang w:val="en-US" w:eastAsia="zh-CN" w:bidi="ar-SA"/>
    </w:rPr>
  </w:style>
  <w:style w:type="character" w:customStyle="1" w:styleId="3825">
    <w:name w:val="环评正文 Char4"/>
    <w:qFormat/>
    <w:uiPriority w:val="0"/>
    <w:rPr>
      <w:rFonts w:eastAsia="宋体"/>
      <w:bCs/>
      <w:kern w:val="2"/>
      <w:sz w:val="24"/>
      <w:szCs w:val="24"/>
      <w:lang w:val="en-US" w:eastAsia="zh-CN" w:bidi="ar-SA"/>
    </w:rPr>
  </w:style>
  <w:style w:type="paragraph" w:customStyle="1" w:styleId="3826">
    <w:name w:val="注释4"/>
    <w:basedOn w:val="223"/>
    <w:next w:val="35"/>
    <w:qFormat/>
    <w:uiPriority w:val="0"/>
    <w:pPr>
      <w:spacing w:before="120" w:after="120" w:line="240" w:lineRule="auto"/>
      <w:ind w:firstLine="200" w:firstLineChars="200"/>
    </w:pPr>
    <w:rPr>
      <w:sz w:val="21"/>
      <w:szCs w:val="20"/>
    </w:rPr>
  </w:style>
  <w:style w:type="paragraph" w:customStyle="1" w:styleId="3827">
    <w:name w:val="样式44"/>
    <w:basedOn w:val="35"/>
    <w:qFormat/>
    <w:uiPriority w:val="0"/>
  </w:style>
  <w:style w:type="paragraph" w:customStyle="1" w:styleId="3828">
    <w:name w:val="标题415"/>
    <w:basedOn w:val="7"/>
    <w:next w:val="1"/>
    <w:qFormat/>
    <w:uiPriority w:val="0"/>
    <w:pPr>
      <w:spacing w:before="160" w:after="170" w:line="360" w:lineRule="auto"/>
    </w:pPr>
    <w:rPr>
      <w:rFonts w:ascii="黑体" w:eastAsia="黑体"/>
      <w:b/>
      <w:kern w:val="0"/>
      <w:sz w:val="24"/>
      <w:lang w:val="zh-CN"/>
    </w:rPr>
  </w:style>
  <w:style w:type="character" w:customStyle="1" w:styleId="3829">
    <w:name w:val="标题4 Char4"/>
    <w:qFormat/>
    <w:uiPriority w:val="0"/>
    <w:rPr>
      <w:rFonts w:ascii="黑体" w:hAnsi="Arial" w:eastAsia="黑体" w:cs="Times New Roman"/>
      <w:b/>
      <w:bCs/>
      <w:kern w:val="2"/>
      <w:sz w:val="24"/>
      <w:szCs w:val="28"/>
      <w:lang w:val="en-US" w:eastAsia="zh-CN" w:bidi="ar-SA"/>
    </w:rPr>
  </w:style>
  <w:style w:type="paragraph" w:customStyle="1" w:styleId="3830">
    <w:name w:val="表中文字44"/>
    <w:basedOn w:val="1"/>
    <w:qFormat/>
    <w:uiPriority w:val="0"/>
    <w:pPr>
      <w:snapToGrid w:val="0"/>
      <w:spacing w:line="340" w:lineRule="exact"/>
      <w:ind w:firstLine="480" w:firstLineChars="200"/>
      <w:jc w:val="center"/>
    </w:pPr>
    <w:rPr>
      <w:rFonts w:ascii="Arial" w:hAnsi="Arial"/>
      <w:kern w:val="0"/>
      <w:sz w:val="20"/>
      <w:lang w:eastAsia="zh-TW"/>
    </w:rPr>
  </w:style>
  <w:style w:type="character" w:customStyle="1" w:styleId="3831">
    <w:name w:val="表中文字 Char5"/>
    <w:qFormat/>
    <w:uiPriority w:val="0"/>
    <w:rPr>
      <w:rFonts w:ascii="Arial" w:hAnsi="Arial" w:eastAsia="宋体"/>
      <w:kern w:val="2"/>
      <w:sz w:val="24"/>
      <w:szCs w:val="24"/>
      <w:lang w:val="en-US" w:eastAsia="zh-TW" w:bidi="ar-SA"/>
    </w:rPr>
  </w:style>
  <w:style w:type="paragraph" w:customStyle="1" w:styleId="3832">
    <w:name w:val="样式 正文缩进 + 宋体 黑色4"/>
    <w:basedOn w:val="22"/>
    <w:qFormat/>
    <w:uiPriority w:val="0"/>
    <w:pPr>
      <w:spacing w:line="360" w:lineRule="auto"/>
      <w:ind w:firstLine="200"/>
      <w:jc w:val="left"/>
    </w:pPr>
    <w:rPr>
      <w:rFonts w:ascii="宋体" w:hAnsi="宋体"/>
      <w:color w:val="000000"/>
      <w:sz w:val="24"/>
    </w:rPr>
  </w:style>
  <w:style w:type="character" w:customStyle="1" w:styleId="3833">
    <w:name w:val="样式 正文缩进 + 宋体 黑色 Char4"/>
    <w:qFormat/>
    <w:uiPriority w:val="0"/>
    <w:rPr>
      <w:rFonts w:ascii="宋体" w:hAnsi="宋体" w:eastAsia="宋体"/>
      <w:color w:val="000000"/>
      <w:kern w:val="2"/>
      <w:sz w:val="24"/>
      <w:szCs w:val="24"/>
      <w:lang w:val="en-US" w:eastAsia="zh-CN" w:bidi="ar-SA"/>
    </w:rPr>
  </w:style>
  <w:style w:type="paragraph" w:customStyle="1" w:styleId="3834">
    <w:name w:val="表内514"/>
    <w:basedOn w:val="1"/>
    <w:qFormat/>
    <w:uiPriority w:val="0"/>
    <w:pPr>
      <w:adjustRightInd w:val="0"/>
      <w:snapToGrid w:val="0"/>
      <w:jc w:val="center"/>
    </w:pPr>
    <w:rPr>
      <w:rFonts w:ascii="宋体" w:hAnsi="宋体"/>
      <w:kern w:val="0"/>
      <w:sz w:val="20"/>
      <w:szCs w:val="20"/>
    </w:rPr>
  </w:style>
  <w:style w:type="character" w:customStyle="1" w:styleId="3835">
    <w:name w:val="表内5 Char5"/>
    <w:qFormat/>
    <w:uiPriority w:val="0"/>
    <w:rPr>
      <w:rFonts w:ascii="宋体" w:hAnsi="宋体" w:eastAsia="宋体" w:cs="Times New Roman"/>
      <w:kern w:val="2"/>
      <w:sz w:val="24"/>
      <w:szCs w:val="24"/>
      <w:lang w:val="en-US" w:eastAsia="zh-CN" w:bidi="ar-SA"/>
    </w:rPr>
  </w:style>
  <w:style w:type="paragraph" w:customStyle="1" w:styleId="3836">
    <w:name w:val="样式 样式 宋体 + 首行缩进:  2 字符14"/>
    <w:basedOn w:val="1"/>
    <w:qFormat/>
    <w:uiPriority w:val="0"/>
    <w:pPr>
      <w:spacing w:line="360" w:lineRule="auto"/>
      <w:ind w:firstLine="480" w:firstLineChars="200"/>
      <w:jc w:val="left"/>
    </w:pPr>
    <w:rPr>
      <w:rFonts w:ascii="宋体" w:cs="宋体"/>
      <w:sz w:val="24"/>
    </w:rPr>
  </w:style>
  <w:style w:type="paragraph" w:customStyle="1" w:styleId="3837">
    <w:name w:val="表内宋5中24"/>
    <w:basedOn w:val="1"/>
    <w:qFormat/>
    <w:uiPriority w:val="0"/>
    <w:pPr>
      <w:adjustRightInd w:val="0"/>
      <w:snapToGrid w:val="0"/>
      <w:jc w:val="center"/>
      <w:textAlignment w:val="baseline"/>
    </w:pPr>
    <w:rPr>
      <w:rFonts w:ascii="宋体" w:hAnsi="宋体"/>
      <w:kern w:val="0"/>
      <w:szCs w:val="20"/>
    </w:rPr>
  </w:style>
  <w:style w:type="character" w:customStyle="1" w:styleId="3838">
    <w:name w:val="标题 5 Char11"/>
    <w:qFormat/>
    <w:uiPriority w:val="0"/>
    <w:rPr>
      <w:rFonts w:ascii="宋体" w:hAnsi="宋体" w:eastAsia="宋体" w:cs="宋体"/>
      <w:b/>
      <w:bCs/>
      <w:kern w:val="2"/>
      <w:sz w:val="28"/>
      <w:szCs w:val="28"/>
      <w:lang w:val="en-US" w:eastAsia="zh-CN" w:bidi="ar-SA"/>
    </w:rPr>
  </w:style>
  <w:style w:type="paragraph" w:customStyle="1" w:styleId="3839">
    <w:name w:val="xl634"/>
    <w:basedOn w:val="1"/>
    <w:qFormat/>
    <w:uiPriority w:val="0"/>
    <w:pPr>
      <w:widowControl/>
      <w:spacing w:before="100" w:beforeAutospacing="1" w:after="100" w:afterAutospacing="1"/>
      <w:jc w:val="center"/>
      <w:textAlignment w:val="center"/>
    </w:pPr>
    <w:rPr>
      <w:rFonts w:hint="eastAsia" w:ascii="黑体" w:hAnsi="宋体" w:eastAsia="黑体"/>
      <w:kern w:val="0"/>
      <w:sz w:val="24"/>
    </w:rPr>
  </w:style>
  <w:style w:type="paragraph" w:customStyle="1" w:styleId="3840">
    <w:name w:val="标准4"/>
    <w:basedOn w:val="1"/>
    <w:qFormat/>
    <w:uiPriority w:val="0"/>
    <w:pPr>
      <w:adjustRightInd w:val="0"/>
      <w:spacing w:before="120" w:line="336" w:lineRule="auto"/>
      <w:jc w:val="center"/>
      <w:textAlignment w:val="baseline"/>
    </w:pPr>
    <w:rPr>
      <w:rFonts w:ascii="黑体" w:eastAsia="黑体"/>
      <w:szCs w:val="20"/>
    </w:rPr>
  </w:style>
  <w:style w:type="paragraph" w:customStyle="1" w:styleId="3841">
    <w:name w:val="Fax Header4"/>
    <w:basedOn w:val="1"/>
    <w:qFormat/>
    <w:uiPriority w:val="0"/>
    <w:pPr>
      <w:widowControl/>
      <w:spacing w:before="240" w:after="60"/>
      <w:jc w:val="left"/>
    </w:pPr>
    <w:rPr>
      <w:kern w:val="0"/>
      <w:sz w:val="20"/>
      <w:szCs w:val="20"/>
    </w:rPr>
  </w:style>
  <w:style w:type="paragraph" w:customStyle="1" w:styleId="3842">
    <w:name w:val="样式 表格内字体1 +4"/>
    <w:basedOn w:val="2142"/>
    <w:next w:val="2053"/>
    <w:qFormat/>
    <w:uiPriority w:val="0"/>
    <w:rPr>
      <w:rFonts w:hAnsi="Times New Roman" w:cs="宋体"/>
      <w:szCs w:val="20"/>
    </w:rPr>
  </w:style>
  <w:style w:type="character" w:customStyle="1" w:styleId="3843">
    <w:name w:val="批注框文本 Char31"/>
    <w:qFormat/>
    <w:uiPriority w:val="0"/>
    <w:rPr>
      <w:rFonts w:ascii="Times New Roman" w:hAnsi="Times New Roman" w:eastAsia="宋体" w:cs="Times New Roman"/>
      <w:kern w:val="2"/>
      <w:sz w:val="18"/>
      <w:szCs w:val="18"/>
      <w:lang w:val="en-US" w:eastAsia="zh-CN" w:bidi="ar-SA"/>
    </w:rPr>
  </w:style>
  <w:style w:type="paragraph" w:customStyle="1" w:styleId="3844">
    <w:name w:val="默认段落字体 Para Char34"/>
    <w:basedOn w:val="1"/>
    <w:qFormat/>
    <w:uiPriority w:val="0"/>
    <w:pPr>
      <w:spacing w:line="360" w:lineRule="auto"/>
      <w:ind w:firstLine="200" w:firstLineChars="200"/>
    </w:pPr>
    <w:rPr>
      <w:rFonts w:ascii="宋体" w:hAnsi="宋体" w:cs="宋体"/>
      <w:sz w:val="24"/>
    </w:rPr>
  </w:style>
  <w:style w:type="paragraph" w:customStyle="1" w:styleId="3845">
    <w:name w:val="正文斜体4"/>
    <w:basedOn w:val="223"/>
    <w:next w:val="223"/>
    <w:qFormat/>
    <w:uiPriority w:val="0"/>
    <w:rPr>
      <w:rFonts w:hAnsi="宋体" w:cs="Times New Roman"/>
      <w:i/>
      <w:iCs/>
    </w:rPr>
  </w:style>
  <w:style w:type="character" w:customStyle="1" w:styleId="3846">
    <w:name w:val="正文斜体 Char4"/>
    <w:qFormat/>
    <w:uiPriority w:val="0"/>
    <w:rPr>
      <w:rFonts w:ascii="宋体" w:eastAsia="宋体" w:cs="宋体"/>
      <w:i/>
      <w:iCs/>
      <w:kern w:val="2"/>
      <w:sz w:val="24"/>
      <w:szCs w:val="24"/>
      <w:lang w:val="en-US" w:eastAsia="zh-CN" w:bidi="ar-SA"/>
    </w:rPr>
  </w:style>
  <w:style w:type="paragraph" w:customStyle="1" w:styleId="3847">
    <w:name w:val="Char Char2 Char Char Char Char15"/>
    <w:basedOn w:val="1"/>
    <w:qFormat/>
    <w:uiPriority w:val="0"/>
  </w:style>
  <w:style w:type="paragraph" w:customStyle="1" w:styleId="3848">
    <w:name w:val="Char84"/>
    <w:basedOn w:val="1"/>
    <w:qFormat/>
    <w:uiPriority w:val="0"/>
    <w:pPr>
      <w:ind w:left="-48"/>
    </w:pPr>
  </w:style>
  <w:style w:type="paragraph" w:customStyle="1" w:styleId="3849">
    <w:name w:val="正文格式74"/>
    <w:basedOn w:val="1"/>
    <w:qFormat/>
    <w:uiPriority w:val="0"/>
    <w:pPr>
      <w:spacing w:line="360" w:lineRule="auto"/>
      <w:ind w:firstLine="482"/>
    </w:pPr>
    <w:rPr>
      <w:rFonts w:ascii="宋体" w:hAnsi="宋体"/>
      <w:sz w:val="24"/>
    </w:rPr>
  </w:style>
  <w:style w:type="character" w:customStyle="1" w:styleId="3850">
    <w:name w:val="正文格式 Char71"/>
    <w:qFormat/>
    <w:uiPriority w:val="0"/>
    <w:rPr>
      <w:rFonts w:ascii="宋体" w:hAnsi="宋体" w:eastAsia="宋体"/>
      <w:kern w:val="2"/>
      <w:sz w:val="24"/>
      <w:szCs w:val="24"/>
      <w:lang w:val="en-US" w:eastAsia="zh-CN" w:bidi="ar-SA"/>
    </w:rPr>
  </w:style>
  <w:style w:type="character" w:customStyle="1" w:styleId="3851">
    <w:name w:val="标题 2 Char51"/>
    <w:qFormat/>
    <w:uiPriority w:val="0"/>
    <w:rPr>
      <w:rFonts w:ascii="黑体" w:hAnsi="Arial" w:eastAsia="黑体"/>
      <w:bCs/>
      <w:kern w:val="2"/>
      <w:sz w:val="30"/>
      <w:szCs w:val="30"/>
      <w:lang w:val="en-US" w:eastAsia="zh-CN" w:bidi="ar-SA"/>
    </w:rPr>
  </w:style>
  <w:style w:type="character" w:customStyle="1" w:styleId="3852">
    <w:name w:val="标题 3 Char101"/>
    <w:qFormat/>
    <w:uiPriority w:val="0"/>
    <w:rPr>
      <w:rFonts w:ascii="黑体" w:hAnsi="宋体" w:eastAsia="黑体"/>
      <w:b/>
      <w:bCs/>
      <w:kern w:val="2"/>
      <w:sz w:val="28"/>
      <w:szCs w:val="28"/>
      <w:lang w:val="en-US" w:eastAsia="zh-CN" w:bidi="ar-SA"/>
    </w:rPr>
  </w:style>
  <w:style w:type="character" w:customStyle="1" w:styleId="3853">
    <w:name w:val="题注 Char54"/>
    <w:qFormat/>
    <w:uiPriority w:val="0"/>
    <w:rPr>
      <w:rFonts w:ascii="黑体" w:hAnsi="Arial" w:eastAsia="黑体" w:cs="Arial"/>
      <w:b/>
      <w:kern w:val="2"/>
      <w:sz w:val="24"/>
      <w:szCs w:val="24"/>
      <w:lang w:val="en-US" w:eastAsia="zh-CN" w:bidi="ar-SA"/>
    </w:rPr>
  </w:style>
  <w:style w:type="paragraph" w:customStyle="1" w:styleId="3854">
    <w:name w:val="图题74"/>
    <w:basedOn w:val="223"/>
    <w:next w:val="223"/>
    <w:qFormat/>
    <w:uiPriority w:val="0"/>
    <w:pPr>
      <w:ind w:firstLine="0"/>
      <w:jc w:val="center"/>
    </w:pPr>
    <w:rPr>
      <w:rFonts w:ascii="黑体" w:hAnsi="宋体" w:eastAsia="黑体"/>
      <w:b/>
      <w:bCs/>
    </w:rPr>
  </w:style>
  <w:style w:type="paragraph" w:customStyle="1" w:styleId="3855">
    <w:name w:val="表格内字体74"/>
    <w:basedOn w:val="223"/>
    <w:next w:val="223"/>
    <w:qFormat/>
    <w:uiPriority w:val="0"/>
    <w:pPr>
      <w:spacing w:line="240" w:lineRule="auto"/>
      <w:ind w:firstLine="0"/>
      <w:jc w:val="center"/>
    </w:pPr>
    <w:rPr>
      <w:rFonts w:hAnsi="宋体" w:cs="Times New Roman"/>
      <w:sz w:val="21"/>
    </w:rPr>
  </w:style>
  <w:style w:type="character" w:customStyle="1" w:styleId="3856">
    <w:name w:val="表格内字体 Char71"/>
    <w:qFormat/>
    <w:uiPriority w:val="0"/>
    <w:rPr>
      <w:rFonts w:ascii="宋体" w:hAnsi="宋体" w:eastAsia="宋体"/>
      <w:kern w:val="2"/>
      <w:sz w:val="21"/>
      <w:szCs w:val="24"/>
      <w:lang w:val="en-US" w:eastAsia="zh-CN" w:bidi="ar-SA"/>
    </w:rPr>
  </w:style>
  <w:style w:type="paragraph" w:customStyle="1" w:styleId="3857">
    <w:name w:val="Char94"/>
    <w:basedOn w:val="1"/>
    <w:qFormat/>
    <w:uiPriority w:val="0"/>
    <w:pPr>
      <w:ind w:left="-48"/>
    </w:pPr>
  </w:style>
  <w:style w:type="paragraph" w:customStyle="1" w:styleId="3858">
    <w:name w:val="正文格式＝64"/>
    <w:basedOn w:val="223"/>
    <w:next w:val="223"/>
    <w:qFormat/>
    <w:uiPriority w:val="0"/>
    <w:rPr>
      <w:rFonts w:hAnsi="宋体" w:cs="Times New Roman"/>
    </w:rPr>
  </w:style>
  <w:style w:type="character" w:customStyle="1" w:styleId="3859">
    <w:name w:val="正文缩进 Char121"/>
    <w:qFormat/>
    <w:uiPriority w:val="0"/>
    <w:rPr>
      <w:rFonts w:ascii="宋体" w:hAnsi="宋体" w:eastAsia="宋体" w:cs="宋体"/>
      <w:color w:val="000000"/>
      <w:kern w:val="2"/>
      <w:sz w:val="24"/>
      <w:szCs w:val="24"/>
      <w:lang w:val="en-US" w:eastAsia="zh-CN" w:bidi="ar-SA"/>
    </w:rPr>
  </w:style>
  <w:style w:type="character" w:customStyle="1" w:styleId="3860">
    <w:name w:val="正文文本缩进 3 Char21"/>
    <w:qFormat/>
    <w:uiPriority w:val="0"/>
    <w:rPr>
      <w:rFonts w:eastAsia="宋体"/>
      <w:kern w:val="2"/>
      <w:sz w:val="16"/>
      <w:szCs w:val="16"/>
      <w:lang w:val="en-US" w:eastAsia="zh-CN" w:bidi="ar-SA"/>
    </w:rPr>
  </w:style>
  <w:style w:type="paragraph" w:customStyle="1" w:styleId="3861">
    <w:name w:val="表题154"/>
    <w:basedOn w:val="23"/>
    <w:qFormat/>
    <w:uiPriority w:val="0"/>
    <w:pPr>
      <w:tabs>
        <w:tab w:val="clear" w:pos="7380"/>
      </w:tabs>
      <w:overflowPunct/>
      <w:spacing w:before="0" w:afterLines="0" w:line="360" w:lineRule="auto"/>
      <w:jc w:val="center"/>
    </w:pPr>
    <w:rPr>
      <w:rFonts w:ascii="黑体" w:cs="Times New Roman"/>
      <w:b/>
      <w:sz w:val="24"/>
      <w:szCs w:val="24"/>
    </w:rPr>
  </w:style>
  <w:style w:type="character" w:customStyle="1" w:styleId="3862">
    <w:name w:val="表题1 Char64"/>
    <w:qFormat/>
    <w:uiPriority w:val="0"/>
    <w:rPr>
      <w:rFonts w:ascii="黑体" w:hAnsi="Arial" w:eastAsia="黑体" w:cs="Arial"/>
      <w:b/>
      <w:kern w:val="2"/>
      <w:sz w:val="24"/>
      <w:szCs w:val="24"/>
      <w:lang w:val="en-US" w:eastAsia="zh-CN" w:bidi="ar-SA"/>
    </w:rPr>
  </w:style>
  <w:style w:type="character" w:customStyle="1" w:styleId="3863">
    <w:name w:val="Char Char45"/>
    <w:qFormat/>
    <w:uiPriority w:val="0"/>
    <w:rPr>
      <w:rFonts w:ascii="黑体" w:hAnsi="Arial" w:eastAsia="黑体"/>
      <w:b/>
      <w:bCs/>
      <w:kern w:val="2"/>
      <w:sz w:val="30"/>
      <w:szCs w:val="30"/>
      <w:lang w:val="en-US" w:eastAsia="zh-CN" w:bidi="ar-SA"/>
    </w:rPr>
  </w:style>
  <w:style w:type="paragraph" w:customStyle="1" w:styleId="3864">
    <w:name w:val="燕山正文44"/>
    <w:basedOn w:val="1"/>
    <w:qFormat/>
    <w:uiPriority w:val="0"/>
    <w:pPr>
      <w:tabs>
        <w:tab w:val="left" w:pos="4680"/>
      </w:tabs>
      <w:adjustRightInd w:val="0"/>
      <w:snapToGrid w:val="0"/>
      <w:spacing w:line="480" w:lineRule="exact"/>
    </w:pPr>
    <w:rPr>
      <w:rFonts w:ascii="宋体" w:cs="宋体"/>
      <w:sz w:val="24"/>
    </w:rPr>
  </w:style>
  <w:style w:type="character" w:customStyle="1" w:styleId="3865">
    <w:name w:val="燕山正文 Char141"/>
    <w:qFormat/>
    <w:uiPriority w:val="0"/>
    <w:rPr>
      <w:rFonts w:ascii="宋体" w:eastAsia="宋体" w:cs="宋体"/>
      <w:kern w:val="2"/>
      <w:sz w:val="24"/>
      <w:szCs w:val="24"/>
      <w:lang w:val="en-US" w:eastAsia="zh-CN" w:bidi="ar-SA"/>
    </w:rPr>
  </w:style>
  <w:style w:type="paragraph" w:customStyle="1" w:styleId="3866">
    <w:name w:val="正文修改44"/>
    <w:basedOn w:val="2056"/>
    <w:qFormat/>
    <w:uiPriority w:val="0"/>
    <w:rPr>
      <w:rFonts w:hAnsi="宋体"/>
      <w:color w:val="000000"/>
    </w:rPr>
  </w:style>
  <w:style w:type="character" w:customStyle="1" w:styleId="3867">
    <w:name w:val="正文修改 Char144"/>
    <w:qFormat/>
    <w:uiPriority w:val="0"/>
  </w:style>
  <w:style w:type="paragraph" w:customStyle="1" w:styleId="3868">
    <w:name w:val="表中文字54"/>
    <w:basedOn w:val="1"/>
    <w:qFormat/>
    <w:uiPriority w:val="0"/>
    <w:pPr>
      <w:widowControl/>
      <w:spacing w:line="240" w:lineRule="atLeast"/>
      <w:ind w:left="-24" w:leftChars="-10" w:right="-48" w:rightChars="-20"/>
      <w:jc w:val="center"/>
    </w:pPr>
    <w:rPr>
      <w:rFonts w:ascii="宋体"/>
      <w:kern w:val="0"/>
      <w:szCs w:val="21"/>
    </w:rPr>
  </w:style>
  <w:style w:type="character" w:customStyle="1" w:styleId="3869">
    <w:name w:val="表中文字 Char241"/>
    <w:qFormat/>
    <w:uiPriority w:val="0"/>
    <w:rPr>
      <w:rFonts w:ascii="宋体" w:eastAsia="宋体"/>
      <w:kern w:val="2"/>
      <w:sz w:val="21"/>
      <w:szCs w:val="21"/>
      <w:lang w:val="en-US" w:eastAsia="zh-CN" w:bidi="ar-SA"/>
    </w:rPr>
  </w:style>
  <w:style w:type="paragraph" w:customStyle="1" w:styleId="3870">
    <w:name w:val="默认段落字体 Para Char Char Char Char54"/>
    <w:basedOn w:val="1"/>
    <w:qFormat/>
    <w:uiPriority w:val="0"/>
  </w:style>
  <w:style w:type="paragraph" w:customStyle="1" w:styleId="3871">
    <w:name w:val="Char104"/>
    <w:basedOn w:val="1"/>
    <w:qFormat/>
    <w:uiPriority w:val="0"/>
    <w:pPr>
      <w:adjustRightInd w:val="0"/>
      <w:snapToGrid w:val="0"/>
      <w:spacing w:line="360" w:lineRule="auto"/>
    </w:pPr>
  </w:style>
  <w:style w:type="paragraph" w:customStyle="1" w:styleId="3872">
    <w:name w:val="封面标准文稿编辑信息4"/>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3873">
    <w:name w:val="样式 表内小5 + 黑体 加粗 倾斜 下划线4"/>
    <w:basedOn w:val="1"/>
    <w:qFormat/>
    <w:uiPriority w:val="0"/>
    <w:pPr>
      <w:adjustRightInd w:val="0"/>
      <w:snapToGrid w:val="0"/>
      <w:spacing w:line="300" w:lineRule="auto"/>
      <w:jc w:val="left"/>
    </w:pPr>
    <w:rPr>
      <w:rFonts w:ascii="黑体" w:hAnsi="黑体" w:eastAsia="黑体"/>
      <w:b/>
      <w:bCs/>
      <w:i/>
      <w:iCs/>
      <w:sz w:val="18"/>
      <w:u w:val="single"/>
    </w:rPr>
  </w:style>
  <w:style w:type="character" w:customStyle="1" w:styleId="3874">
    <w:name w:val="样式 表内小5 + 黑体 加粗 倾斜 下划线 Char4"/>
    <w:qFormat/>
    <w:uiPriority w:val="0"/>
    <w:rPr>
      <w:rFonts w:ascii="黑体" w:hAnsi="黑体" w:eastAsia="黑体"/>
      <w:b/>
      <w:bCs/>
      <w:i/>
      <w:iCs/>
      <w:kern w:val="2"/>
      <w:sz w:val="18"/>
      <w:szCs w:val="24"/>
      <w:u w:val="single"/>
      <w:lang w:val="en-US" w:eastAsia="zh-CN" w:bidi="ar-SA"/>
    </w:rPr>
  </w:style>
  <w:style w:type="paragraph" w:customStyle="1" w:styleId="3875">
    <w:name w:val="表内5中14"/>
    <w:basedOn w:val="1"/>
    <w:qFormat/>
    <w:uiPriority w:val="0"/>
    <w:pPr>
      <w:adjustRightInd w:val="0"/>
      <w:snapToGrid w:val="0"/>
      <w:jc w:val="center"/>
    </w:pPr>
    <w:rPr>
      <w:rFonts w:ascii="宋体" w:hAnsi="宋体" w:cs="Arial"/>
      <w:snapToGrid w:val="0"/>
      <w:color w:val="000000"/>
      <w:szCs w:val="21"/>
    </w:rPr>
  </w:style>
  <w:style w:type="paragraph" w:customStyle="1" w:styleId="3876">
    <w:name w:val="表内54144"/>
    <w:basedOn w:val="1"/>
    <w:qFormat/>
    <w:uiPriority w:val="0"/>
    <w:pPr>
      <w:adjustRightInd w:val="0"/>
      <w:snapToGrid w:val="0"/>
      <w:spacing w:line="300" w:lineRule="auto"/>
      <w:jc w:val="center"/>
    </w:pPr>
    <w:rPr>
      <w:rFonts w:ascii="宋体" w:hAnsi="宋体" w:cs="宋体"/>
      <w:szCs w:val="20"/>
    </w:rPr>
  </w:style>
  <w:style w:type="paragraph" w:customStyle="1" w:styleId="3877">
    <w:name w:val="表格14"/>
    <w:basedOn w:val="1"/>
    <w:qFormat/>
    <w:uiPriority w:val="0"/>
    <w:pPr>
      <w:adjustRightInd w:val="0"/>
      <w:jc w:val="center"/>
      <w:textAlignment w:val="baseline"/>
    </w:pPr>
    <w:rPr>
      <w:rFonts w:ascii="宋体"/>
      <w:kern w:val="0"/>
      <w:sz w:val="24"/>
      <w:szCs w:val="20"/>
    </w:rPr>
  </w:style>
  <w:style w:type="paragraph" w:customStyle="1" w:styleId="3878">
    <w:name w:val="c4"/>
    <w:qFormat/>
    <w:uiPriority w:val="0"/>
    <w:pPr>
      <w:widowControl w:val="0"/>
      <w:autoSpaceDE w:val="0"/>
      <w:autoSpaceDN w:val="0"/>
      <w:adjustRightInd w:val="0"/>
      <w:jc w:val="both"/>
    </w:pPr>
    <w:rPr>
      <w:rFonts w:ascii="Arial" w:hAnsi="Arial" w:eastAsia="宋体" w:cs="Times New Roman"/>
      <w:sz w:val="24"/>
      <w:lang w:val="en-US" w:eastAsia="zh-CN" w:bidi="ar-SA"/>
    </w:rPr>
  </w:style>
  <w:style w:type="paragraph" w:customStyle="1" w:styleId="3879">
    <w:name w:val="表题94"/>
    <w:basedOn w:val="47"/>
    <w:qFormat/>
    <w:uiPriority w:val="0"/>
    <w:pPr>
      <w:adjustRightInd w:val="0"/>
      <w:snapToGrid w:val="0"/>
      <w:spacing w:line="300" w:lineRule="auto"/>
      <w:jc w:val="center"/>
    </w:pPr>
    <w:rPr>
      <w:rFonts w:ascii="黑体" w:eastAsia="黑体" w:cs="Times New Roman"/>
      <w:sz w:val="24"/>
      <w:szCs w:val="20"/>
    </w:rPr>
  </w:style>
  <w:style w:type="character" w:customStyle="1" w:styleId="3880">
    <w:name w:val="正文缩进 Char61"/>
    <w:qFormat/>
    <w:uiPriority w:val="0"/>
    <w:rPr>
      <w:rFonts w:ascii="宋体" w:hAnsi="宋体" w:eastAsia="宋体"/>
      <w:kern w:val="2"/>
      <w:sz w:val="24"/>
      <w:szCs w:val="24"/>
      <w:lang w:val="en-US" w:eastAsia="zh-CN" w:bidi="ar-SA"/>
    </w:rPr>
  </w:style>
  <w:style w:type="paragraph" w:customStyle="1" w:styleId="3881">
    <w:name w:val="福建正文缩进4"/>
    <w:basedOn w:val="22"/>
    <w:qFormat/>
    <w:uiPriority w:val="0"/>
    <w:pPr>
      <w:widowControl/>
      <w:tabs>
        <w:tab w:val="left" w:pos="5837"/>
      </w:tabs>
      <w:adjustRightInd w:val="0"/>
      <w:snapToGrid w:val="0"/>
      <w:spacing w:line="480" w:lineRule="exact"/>
      <w:ind w:firstLine="0" w:firstLineChars="0"/>
    </w:pPr>
    <w:rPr>
      <w:rFonts w:ascii="宋体" w:hAnsi="宋体" w:cs="宋体"/>
      <w:color w:val="000000"/>
      <w:kern w:val="0"/>
      <w:sz w:val="24"/>
    </w:rPr>
  </w:style>
  <w:style w:type="character" w:customStyle="1" w:styleId="3882">
    <w:name w:val="福建正文缩进 Char4"/>
    <w:qFormat/>
    <w:uiPriority w:val="0"/>
    <w:rPr>
      <w:rFonts w:ascii="宋体" w:hAnsi="宋体" w:eastAsia="宋体" w:cs="宋体"/>
      <w:color w:val="000000"/>
      <w:kern w:val="2"/>
      <w:sz w:val="24"/>
      <w:szCs w:val="24"/>
      <w:lang w:val="en-US" w:eastAsia="zh-CN" w:bidi="ar-SA"/>
    </w:rPr>
  </w:style>
  <w:style w:type="paragraph" w:customStyle="1" w:styleId="3883">
    <w:name w:val="表内文字小15"/>
    <w:basedOn w:val="1"/>
    <w:qFormat/>
    <w:uiPriority w:val="0"/>
    <w:pPr>
      <w:adjustRightInd w:val="0"/>
      <w:snapToGrid w:val="0"/>
      <w:jc w:val="center"/>
    </w:pPr>
    <w:rPr>
      <w:rFonts w:ascii="宋体" w:hAnsi="Times"/>
      <w:szCs w:val="20"/>
    </w:rPr>
  </w:style>
  <w:style w:type="paragraph" w:customStyle="1" w:styleId="3884">
    <w:name w:val="表内594"/>
    <w:basedOn w:val="1"/>
    <w:qFormat/>
    <w:uiPriority w:val="0"/>
    <w:pPr>
      <w:adjustRightInd w:val="0"/>
      <w:snapToGrid w:val="0"/>
      <w:spacing w:line="300" w:lineRule="auto"/>
      <w:jc w:val="center"/>
    </w:pPr>
    <w:rPr>
      <w:rFonts w:ascii="宋体"/>
      <w:snapToGrid w:val="0"/>
      <w:szCs w:val="21"/>
    </w:rPr>
  </w:style>
  <w:style w:type="paragraph" w:customStyle="1" w:styleId="3885">
    <w:name w:val="表内小5中4"/>
    <w:basedOn w:val="1"/>
    <w:qFormat/>
    <w:uiPriority w:val="0"/>
    <w:pPr>
      <w:adjustRightInd w:val="0"/>
      <w:snapToGrid w:val="0"/>
      <w:jc w:val="center"/>
    </w:pPr>
    <w:rPr>
      <w:rFonts w:ascii="宋体" w:hAnsi="宋体"/>
      <w:sz w:val="18"/>
      <w:szCs w:val="20"/>
    </w:rPr>
  </w:style>
  <w:style w:type="paragraph" w:customStyle="1" w:styleId="3886">
    <w:name w:val="表内5中44"/>
    <w:basedOn w:val="1"/>
    <w:qFormat/>
    <w:uiPriority w:val="0"/>
    <w:pPr>
      <w:adjustRightInd w:val="0"/>
      <w:snapToGrid w:val="0"/>
      <w:jc w:val="center"/>
    </w:pPr>
    <w:rPr>
      <w:rFonts w:ascii="宋体"/>
      <w:bCs/>
      <w:szCs w:val="20"/>
    </w:rPr>
  </w:style>
  <w:style w:type="character" w:customStyle="1" w:styleId="3887">
    <w:name w:val="标题 4 Char11"/>
    <w:qFormat/>
    <w:uiPriority w:val="0"/>
    <w:rPr>
      <w:rFonts w:ascii="黑体" w:hAnsi="Arial" w:eastAsia="黑体"/>
      <w:b/>
      <w:bCs/>
      <w:kern w:val="2"/>
      <w:sz w:val="24"/>
      <w:szCs w:val="24"/>
      <w:lang w:val="en-US" w:eastAsia="zh-CN" w:bidi="ar-SA"/>
    </w:rPr>
  </w:style>
  <w:style w:type="paragraph" w:customStyle="1" w:styleId="3888">
    <w:name w:val="默认段落字体 Para Char44"/>
    <w:basedOn w:val="1"/>
    <w:next w:val="1"/>
    <w:qFormat/>
    <w:uiPriority w:val="0"/>
    <w:pPr>
      <w:spacing w:line="480" w:lineRule="exact"/>
      <w:ind w:firstLine="200" w:firstLineChars="200"/>
      <w:jc w:val="left"/>
    </w:pPr>
    <w:rPr>
      <w:rFonts w:ascii="宋体" w:hAnsi="宋体" w:eastAsia="汉鼎简书宋" w:cs="宋体"/>
      <w:sz w:val="28"/>
    </w:rPr>
  </w:style>
  <w:style w:type="paragraph" w:customStyle="1" w:styleId="3889">
    <w:name w:val="燕山正文134"/>
    <w:basedOn w:val="1"/>
    <w:qFormat/>
    <w:uiPriority w:val="0"/>
    <w:pPr>
      <w:tabs>
        <w:tab w:val="left" w:pos="4680"/>
      </w:tabs>
      <w:adjustRightInd w:val="0"/>
      <w:snapToGrid w:val="0"/>
      <w:spacing w:line="360" w:lineRule="auto"/>
      <w:ind w:firstLine="480" w:firstLineChars="200"/>
    </w:pPr>
    <w:rPr>
      <w:rFonts w:ascii="宋体" w:hAnsi="宋体" w:cs="宋体"/>
      <w:bCs/>
      <w:color w:val="000000"/>
      <w:sz w:val="24"/>
    </w:rPr>
  </w:style>
  <w:style w:type="character" w:customStyle="1" w:styleId="3890">
    <w:name w:val="批注框文本 Char41"/>
    <w:qFormat/>
    <w:uiPriority w:val="0"/>
    <w:rPr>
      <w:rFonts w:eastAsia="宋体"/>
      <w:kern w:val="2"/>
      <w:sz w:val="18"/>
      <w:szCs w:val="18"/>
      <w:lang w:val="en-US" w:eastAsia="zh-CN" w:bidi="ar-SA"/>
    </w:rPr>
  </w:style>
  <w:style w:type="paragraph" w:customStyle="1" w:styleId="3891">
    <w:name w:val="样式 标题 4无效格式无效格式1河石管道4H4H41小小节河石管道41H42H411小小节1河石管道42...5"/>
    <w:basedOn w:val="7"/>
    <w:qFormat/>
    <w:uiPriority w:val="0"/>
    <w:pPr>
      <w:adjustRightInd w:val="0"/>
      <w:snapToGrid w:val="0"/>
      <w:spacing w:line="360" w:lineRule="auto"/>
      <w:ind w:left="664" w:hanging="864"/>
    </w:pPr>
    <w:rPr>
      <w:rFonts w:ascii="黑体" w:eastAsia="黑体"/>
      <w:bCs w:val="0"/>
      <w:sz w:val="24"/>
      <w:szCs w:val="24"/>
      <w:lang w:val="zh-CN"/>
    </w:rPr>
  </w:style>
  <w:style w:type="paragraph" w:customStyle="1" w:styleId="3892">
    <w:name w:val="样式 标题 4无效格式无效格式1河石管道4H4H41小小节河石管道41H42H411小小节1河石管道42...14"/>
    <w:basedOn w:val="7"/>
    <w:qFormat/>
    <w:uiPriority w:val="0"/>
    <w:pPr>
      <w:adjustRightInd w:val="0"/>
      <w:snapToGrid w:val="0"/>
      <w:spacing w:line="360" w:lineRule="auto"/>
      <w:ind w:left="664" w:hanging="864"/>
      <w:jc w:val="left"/>
    </w:pPr>
    <w:rPr>
      <w:rFonts w:ascii="黑体" w:eastAsia="黑体" w:cs="宋体"/>
      <w:bCs w:val="0"/>
      <w:sz w:val="24"/>
      <w:szCs w:val="20"/>
      <w:lang w:val="zh-CN"/>
    </w:rPr>
  </w:style>
  <w:style w:type="paragraph" w:customStyle="1" w:styleId="3893">
    <w:name w:val="正文格式85"/>
    <w:basedOn w:val="1"/>
    <w:qFormat/>
    <w:uiPriority w:val="0"/>
    <w:pPr>
      <w:spacing w:line="360" w:lineRule="auto"/>
      <w:ind w:firstLine="482"/>
    </w:pPr>
    <w:rPr>
      <w:rFonts w:ascii="宋体" w:hAnsi="宋体"/>
      <w:sz w:val="24"/>
    </w:rPr>
  </w:style>
  <w:style w:type="character" w:customStyle="1" w:styleId="3894">
    <w:name w:val="正文格式 Char81"/>
    <w:qFormat/>
    <w:uiPriority w:val="0"/>
    <w:rPr>
      <w:rFonts w:ascii="宋体" w:hAnsi="宋体" w:eastAsia="宋体"/>
      <w:kern w:val="2"/>
      <w:sz w:val="24"/>
      <w:szCs w:val="24"/>
      <w:lang w:val="en-US" w:eastAsia="zh-CN" w:bidi="ar-SA"/>
    </w:rPr>
  </w:style>
  <w:style w:type="paragraph" w:customStyle="1" w:styleId="3895">
    <w:name w:val="正文格式94"/>
    <w:basedOn w:val="1"/>
    <w:qFormat/>
    <w:uiPriority w:val="0"/>
    <w:pPr>
      <w:spacing w:line="360" w:lineRule="auto"/>
      <w:ind w:firstLine="482"/>
    </w:pPr>
    <w:rPr>
      <w:rFonts w:ascii="宋体" w:hAnsi="宋体"/>
      <w:sz w:val="24"/>
    </w:rPr>
  </w:style>
  <w:style w:type="character" w:customStyle="1" w:styleId="3896">
    <w:name w:val="正文格式 Char91"/>
    <w:qFormat/>
    <w:uiPriority w:val="0"/>
    <w:rPr>
      <w:rFonts w:ascii="宋体" w:hAnsi="宋体" w:eastAsia="宋体"/>
      <w:kern w:val="2"/>
      <w:sz w:val="24"/>
      <w:szCs w:val="24"/>
      <w:lang w:val="en-US" w:eastAsia="zh-CN" w:bidi="ar-SA"/>
    </w:rPr>
  </w:style>
  <w:style w:type="character" w:customStyle="1" w:styleId="3897">
    <w:name w:val="标题 3 Char111"/>
    <w:qFormat/>
    <w:uiPriority w:val="0"/>
    <w:rPr>
      <w:rFonts w:ascii="黑体" w:hAnsi="宋体" w:eastAsia="黑体"/>
      <w:b/>
      <w:bCs/>
      <w:kern w:val="2"/>
      <w:sz w:val="28"/>
      <w:szCs w:val="28"/>
      <w:lang w:val="en-US" w:eastAsia="zh-CN" w:bidi="ar-SA"/>
    </w:rPr>
  </w:style>
  <w:style w:type="paragraph" w:customStyle="1" w:styleId="3898">
    <w:name w:val="Char413"/>
    <w:basedOn w:val="1"/>
    <w:qFormat/>
    <w:uiPriority w:val="0"/>
    <w:pPr>
      <w:ind w:left="-48"/>
    </w:pPr>
  </w:style>
  <w:style w:type="paragraph" w:customStyle="1" w:styleId="3899">
    <w:name w:val="Char Char Char Char Char Char Char28"/>
    <w:basedOn w:val="1"/>
    <w:qFormat/>
    <w:uiPriority w:val="0"/>
  </w:style>
  <w:style w:type="paragraph" w:customStyle="1" w:styleId="3900">
    <w:name w:val="Char Char2 Char Char Char Char16"/>
    <w:basedOn w:val="1"/>
    <w:qFormat/>
    <w:uiPriority w:val="0"/>
  </w:style>
  <w:style w:type="paragraph" w:customStyle="1" w:styleId="3901">
    <w:name w:val="Char50"/>
    <w:basedOn w:val="1"/>
    <w:qFormat/>
    <w:uiPriority w:val="0"/>
    <w:pPr>
      <w:ind w:left="-48"/>
    </w:pPr>
  </w:style>
  <w:style w:type="character" w:customStyle="1" w:styleId="3902">
    <w:name w:val="Char Char46"/>
    <w:qFormat/>
    <w:uiPriority w:val="0"/>
    <w:rPr>
      <w:rFonts w:ascii="黑体" w:hAnsi="Arial" w:eastAsia="黑体"/>
      <w:b/>
      <w:bCs/>
      <w:kern w:val="2"/>
      <w:sz w:val="30"/>
      <w:szCs w:val="30"/>
      <w:lang w:val="en-US" w:eastAsia="zh-CN" w:bidi="ar-SA"/>
    </w:rPr>
  </w:style>
  <w:style w:type="character" w:customStyle="1" w:styleId="3903">
    <w:name w:val="Char Char34"/>
    <w:qFormat/>
    <w:uiPriority w:val="0"/>
    <w:rPr>
      <w:rFonts w:ascii="黑体" w:hAnsi="宋体" w:eastAsia="黑体"/>
      <w:b/>
      <w:bCs/>
      <w:kern w:val="2"/>
      <w:sz w:val="28"/>
      <w:szCs w:val="28"/>
      <w:lang w:val="en-US" w:eastAsia="zh-CN" w:bidi="ar-SA"/>
    </w:rPr>
  </w:style>
  <w:style w:type="paragraph" w:customStyle="1" w:styleId="3904">
    <w:name w:val="Char Char Char Char1 Char Char Char8"/>
    <w:basedOn w:val="1"/>
    <w:qFormat/>
    <w:uiPriority w:val="0"/>
    <w:pPr>
      <w:widowControl/>
      <w:spacing w:after="160" w:line="240" w:lineRule="exact"/>
      <w:jc w:val="left"/>
    </w:pPr>
    <w:rPr>
      <w:rFonts w:ascii="Verdana" w:hAnsi="Verdana"/>
      <w:kern w:val="0"/>
      <w:sz w:val="20"/>
      <w:szCs w:val="20"/>
      <w:lang w:eastAsia="en-US"/>
    </w:rPr>
  </w:style>
  <w:style w:type="character" w:customStyle="1" w:styleId="3905">
    <w:name w:val="Char Char119"/>
    <w:qFormat/>
    <w:uiPriority w:val="0"/>
    <w:rPr>
      <w:rFonts w:ascii="黑体" w:hAnsi="Arial" w:eastAsia="黑体"/>
      <w:bCs/>
      <w:kern w:val="2"/>
      <w:sz w:val="30"/>
      <w:szCs w:val="30"/>
      <w:lang w:val="en-US" w:eastAsia="zh-CN" w:bidi="ar-SA"/>
    </w:rPr>
  </w:style>
  <w:style w:type="character" w:customStyle="1" w:styleId="3906">
    <w:name w:val="Char Char54"/>
    <w:qFormat/>
    <w:uiPriority w:val="0"/>
    <w:rPr>
      <w:rFonts w:ascii="黑体" w:hAnsi="宋体" w:eastAsia="黑体"/>
      <w:bCs/>
      <w:kern w:val="2"/>
      <w:sz w:val="28"/>
      <w:szCs w:val="28"/>
      <w:lang w:val="en-US" w:eastAsia="zh-CN" w:bidi="ar-SA"/>
    </w:rPr>
  </w:style>
  <w:style w:type="paragraph" w:customStyle="1" w:styleId="3907">
    <w:name w:val="Char119"/>
    <w:basedOn w:val="1"/>
    <w:qFormat/>
    <w:uiPriority w:val="0"/>
    <w:pPr>
      <w:ind w:left="-48"/>
    </w:pPr>
  </w:style>
  <w:style w:type="paragraph" w:customStyle="1" w:styleId="3908">
    <w:name w:val="Char Char Char Char Char Char Char114"/>
    <w:basedOn w:val="1"/>
    <w:qFormat/>
    <w:uiPriority w:val="0"/>
  </w:style>
  <w:style w:type="character" w:customStyle="1" w:styleId="3909">
    <w:name w:val="Char Char214"/>
    <w:qFormat/>
    <w:uiPriority w:val="0"/>
    <w:rPr>
      <w:rFonts w:ascii="黑体" w:eastAsia="宋体"/>
      <w:kern w:val="2"/>
      <w:sz w:val="16"/>
      <w:szCs w:val="16"/>
      <w:lang w:val="en-US" w:eastAsia="zh-CN" w:bidi="ar-SA"/>
    </w:rPr>
  </w:style>
  <w:style w:type="character" w:customStyle="1" w:styleId="3910">
    <w:name w:val="Char Char124"/>
    <w:qFormat/>
    <w:uiPriority w:val="0"/>
    <w:rPr>
      <w:rFonts w:ascii="黑体" w:hAnsi="Arial" w:eastAsia="黑体"/>
      <w:b/>
      <w:bCs/>
      <w:kern w:val="2"/>
      <w:sz w:val="30"/>
      <w:szCs w:val="30"/>
      <w:lang w:val="en-US" w:eastAsia="zh-CN" w:bidi="ar-SA"/>
    </w:rPr>
  </w:style>
  <w:style w:type="character" w:customStyle="1" w:styleId="3911">
    <w:name w:val="Char Char69"/>
    <w:qFormat/>
    <w:uiPriority w:val="0"/>
    <w:rPr>
      <w:rFonts w:ascii="黑体" w:eastAsia="黑体"/>
      <w:b/>
      <w:bCs/>
      <w:kern w:val="2"/>
      <w:sz w:val="28"/>
      <w:szCs w:val="28"/>
      <w:lang w:val="en-US" w:eastAsia="zh-CN" w:bidi="ar-SA"/>
    </w:rPr>
  </w:style>
  <w:style w:type="paragraph" w:customStyle="1" w:styleId="3912">
    <w:name w:val="Char215"/>
    <w:basedOn w:val="1"/>
    <w:qFormat/>
    <w:uiPriority w:val="0"/>
    <w:pPr>
      <w:ind w:left="-48"/>
    </w:pPr>
  </w:style>
  <w:style w:type="paragraph" w:customStyle="1" w:styleId="3913">
    <w:name w:val="Char314"/>
    <w:basedOn w:val="1"/>
    <w:qFormat/>
    <w:uiPriority w:val="0"/>
    <w:pPr>
      <w:ind w:left="-48"/>
    </w:pPr>
  </w:style>
  <w:style w:type="paragraph" w:customStyle="1" w:styleId="3914">
    <w:name w:val="Char Char Char Char Char Char Char29"/>
    <w:basedOn w:val="1"/>
    <w:qFormat/>
    <w:uiPriority w:val="0"/>
  </w:style>
  <w:style w:type="paragraph" w:customStyle="1" w:styleId="3915">
    <w:name w:val="Char414"/>
    <w:basedOn w:val="1"/>
    <w:qFormat/>
    <w:uiPriority w:val="0"/>
    <w:pPr>
      <w:ind w:left="-48"/>
    </w:pPr>
  </w:style>
  <w:style w:type="paragraph" w:customStyle="1" w:styleId="3916">
    <w:name w:val="Char Char Char Char Char Char Char30"/>
    <w:basedOn w:val="1"/>
    <w:qFormat/>
    <w:uiPriority w:val="0"/>
  </w:style>
  <w:style w:type="paragraph" w:customStyle="1" w:styleId="3917">
    <w:name w:val="Char Char2 Char Char Char Char17"/>
    <w:basedOn w:val="1"/>
    <w:qFormat/>
    <w:uiPriority w:val="0"/>
  </w:style>
  <w:style w:type="paragraph" w:customStyle="1" w:styleId="3918">
    <w:name w:val="Char55"/>
    <w:basedOn w:val="1"/>
    <w:qFormat/>
    <w:uiPriority w:val="0"/>
    <w:pPr>
      <w:ind w:left="-48"/>
    </w:pPr>
  </w:style>
  <w:style w:type="character" w:customStyle="1" w:styleId="3919">
    <w:name w:val="Char Char47"/>
    <w:qFormat/>
    <w:uiPriority w:val="0"/>
    <w:rPr>
      <w:rFonts w:ascii="黑体" w:hAnsi="Arial" w:eastAsia="黑体"/>
      <w:b/>
      <w:bCs/>
      <w:kern w:val="2"/>
      <w:sz w:val="30"/>
      <w:szCs w:val="30"/>
      <w:lang w:val="en-US" w:eastAsia="zh-CN" w:bidi="ar-SA"/>
    </w:rPr>
  </w:style>
  <w:style w:type="character" w:customStyle="1" w:styleId="3920">
    <w:name w:val="Char Char35"/>
    <w:qFormat/>
    <w:uiPriority w:val="0"/>
    <w:rPr>
      <w:rFonts w:ascii="黑体" w:hAnsi="宋体" w:eastAsia="黑体"/>
      <w:b/>
      <w:bCs/>
      <w:kern w:val="2"/>
      <w:sz w:val="28"/>
      <w:szCs w:val="28"/>
      <w:lang w:val="en-US" w:eastAsia="zh-CN" w:bidi="ar-SA"/>
    </w:rPr>
  </w:style>
  <w:style w:type="paragraph" w:customStyle="1" w:styleId="3921">
    <w:name w:val="Char Char Char Char1 Char Char Char9"/>
    <w:basedOn w:val="1"/>
    <w:qFormat/>
    <w:uiPriority w:val="0"/>
    <w:pPr>
      <w:widowControl/>
      <w:spacing w:after="160" w:line="240" w:lineRule="exact"/>
      <w:jc w:val="left"/>
    </w:pPr>
    <w:rPr>
      <w:rFonts w:ascii="Verdana" w:hAnsi="Verdana"/>
      <w:kern w:val="0"/>
      <w:sz w:val="20"/>
      <w:szCs w:val="20"/>
      <w:lang w:eastAsia="en-US"/>
    </w:rPr>
  </w:style>
  <w:style w:type="character" w:customStyle="1" w:styleId="3922">
    <w:name w:val="Char Char1110"/>
    <w:qFormat/>
    <w:uiPriority w:val="0"/>
    <w:rPr>
      <w:rFonts w:ascii="黑体" w:hAnsi="Arial" w:eastAsia="黑体"/>
      <w:bCs/>
      <w:kern w:val="2"/>
      <w:sz w:val="30"/>
      <w:szCs w:val="30"/>
      <w:lang w:val="en-US" w:eastAsia="zh-CN" w:bidi="ar-SA"/>
    </w:rPr>
  </w:style>
  <w:style w:type="character" w:customStyle="1" w:styleId="3923">
    <w:name w:val="Char Char55"/>
    <w:qFormat/>
    <w:uiPriority w:val="0"/>
    <w:rPr>
      <w:rFonts w:ascii="黑体" w:hAnsi="宋体" w:eastAsia="黑体"/>
      <w:bCs/>
      <w:kern w:val="2"/>
      <w:sz w:val="28"/>
      <w:szCs w:val="28"/>
      <w:lang w:val="en-US" w:eastAsia="zh-CN" w:bidi="ar-SA"/>
    </w:rPr>
  </w:style>
  <w:style w:type="paragraph" w:customStyle="1" w:styleId="3924">
    <w:name w:val="Char120"/>
    <w:basedOn w:val="1"/>
    <w:qFormat/>
    <w:uiPriority w:val="0"/>
    <w:pPr>
      <w:ind w:left="-48"/>
    </w:pPr>
  </w:style>
  <w:style w:type="paragraph" w:customStyle="1" w:styleId="3925">
    <w:name w:val="Char Char Char Char Char Char Char115"/>
    <w:basedOn w:val="1"/>
    <w:qFormat/>
    <w:uiPriority w:val="0"/>
  </w:style>
  <w:style w:type="character" w:customStyle="1" w:styleId="3926">
    <w:name w:val="Char Char215"/>
    <w:qFormat/>
    <w:uiPriority w:val="0"/>
    <w:rPr>
      <w:rFonts w:ascii="黑体" w:eastAsia="宋体"/>
      <w:kern w:val="2"/>
      <w:sz w:val="16"/>
      <w:szCs w:val="16"/>
      <w:lang w:val="en-US" w:eastAsia="zh-CN" w:bidi="ar-SA"/>
    </w:rPr>
  </w:style>
  <w:style w:type="character" w:customStyle="1" w:styleId="3927">
    <w:name w:val="Char Char125"/>
    <w:qFormat/>
    <w:uiPriority w:val="0"/>
    <w:rPr>
      <w:rFonts w:ascii="黑体" w:hAnsi="Arial" w:eastAsia="黑体"/>
      <w:b/>
      <w:bCs/>
      <w:kern w:val="2"/>
      <w:sz w:val="30"/>
      <w:szCs w:val="30"/>
      <w:lang w:val="en-US" w:eastAsia="zh-CN" w:bidi="ar-SA"/>
    </w:rPr>
  </w:style>
  <w:style w:type="character" w:customStyle="1" w:styleId="3928">
    <w:name w:val="Char Char610"/>
    <w:qFormat/>
    <w:uiPriority w:val="0"/>
    <w:rPr>
      <w:rFonts w:ascii="黑体" w:eastAsia="黑体"/>
      <w:b/>
      <w:bCs/>
      <w:kern w:val="2"/>
      <w:sz w:val="28"/>
      <w:szCs w:val="28"/>
      <w:lang w:val="en-US" w:eastAsia="zh-CN" w:bidi="ar-SA"/>
    </w:rPr>
  </w:style>
  <w:style w:type="paragraph" w:customStyle="1" w:styleId="3929">
    <w:name w:val="Char216"/>
    <w:basedOn w:val="1"/>
    <w:qFormat/>
    <w:uiPriority w:val="0"/>
    <w:pPr>
      <w:ind w:left="-48"/>
    </w:pPr>
  </w:style>
  <w:style w:type="paragraph" w:customStyle="1" w:styleId="3930">
    <w:name w:val="Char315"/>
    <w:basedOn w:val="1"/>
    <w:qFormat/>
    <w:uiPriority w:val="0"/>
    <w:pPr>
      <w:ind w:left="-48"/>
    </w:pPr>
  </w:style>
  <w:style w:type="paragraph" w:customStyle="1" w:styleId="3931">
    <w:name w:val="Char Char Char Char Char Char Char210"/>
    <w:basedOn w:val="1"/>
    <w:qFormat/>
    <w:uiPriority w:val="0"/>
  </w:style>
  <w:style w:type="paragraph" w:customStyle="1" w:styleId="3932">
    <w:name w:val="Char415"/>
    <w:basedOn w:val="1"/>
    <w:qFormat/>
    <w:uiPriority w:val="0"/>
    <w:pPr>
      <w:ind w:left="-48"/>
    </w:pPr>
  </w:style>
  <w:style w:type="paragraph" w:customStyle="1" w:styleId="3933">
    <w:name w:val="Char Char Char Char Char Char Char33"/>
    <w:basedOn w:val="1"/>
    <w:qFormat/>
    <w:uiPriority w:val="0"/>
  </w:style>
  <w:style w:type="paragraph" w:customStyle="1" w:styleId="3934">
    <w:name w:val="Char Char2 Char Char Char Char18"/>
    <w:basedOn w:val="1"/>
    <w:qFormat/>
    <w:uiPriority w:val="0"/>
  </w:style>
  <w:style w:type="paragraph" w:customStyle="1" w:styleId="3935">
    <w:name w:val="Char56"/>
    <w:basedOn w:val="1"/>
    <w:qFormat/>
    <w:uiPriority w:val="0"/>
    <w:pPr>
      <w:ind w:left="-48"/>
    </w:pPr>
  </w:style>
  <w:style w:type="character" w:customStyle="1" w:styleId="3936">
    <w:name w:val="Char Char48"/>
    <w:qFormat/>
    <w:uiPriority w:val="0"/>
    <w:rPr>
      <w:rFonts w:ascii="黑体" w:hAnsi="Arial" w:eastAsia="黑体"/>
      <w:b/>
      <w:bCs/>
      <w:kern w:val="2"/>
      <w:sz w:val="30"/>
      <w:szCs w:val="30"/>
      <w:lang w:val="en-US" w:eastAsia="zh-CN" w:bidi="ar-SA"/>
    </w:rPr>
  </w:style>
  <w:style w:type="character" w:customStyle="1" w:styleId="3937">
    <w:name w:val="Char Char36"/>
    <w:qFormat/>
    <w:uiPriority w:val="0"/>
    <w:rPr>
      <w:rFonts w:ascii="黑体" w:hAnsi="宋体" w:eastAsia="黑体"/>
      <w:b/>
      <w:bCs/>
      <w:kern w:val="2"/>
      <w:sz w:val="28"/>
      <w:szCs w:val="28"/>
      <w:lang w:val="en-US" w:eastAsia="zh-CN" w:bidi="ar-SA"/>
    </w:rPr>
  </w:style>
  <w:style w:type="paragraph" w:customStyle="1" w:styleId="3938">
    <w:name w:val="Char Char Char Char1 Char Char Char10"/>
    <w:basedOn w:val="1"/>
    <w:qFormat/>
    <w:uiPriority w:val="0"/>
    <w:pPr>
      <w:widowControl/>
      <w:spacing w:after="160" w:line="240" w:lineRule="exact"/>
      <w:jc w:val="left"/>
    </w:pPr>
    <w:rPr>
      <w:rFonts w:ascii="Verdana" w:hAnsi="Verdana"/>
      <w:kern w:val="0"/>
      <w:sz w:val="20"/>
      <w:szCs w:val="20"/>
      <w:lang w:eastAsia="en-US"/>
    </w:rPr>
  </w:style>
  <w:style w:type="character" w:customStyle="1" w:styleId="3939">
    <w:name w:val="Char Char1112"/>
    <w:qFormat/>
    <w:uiPriority w:val="0"/>
    <w:rPr>
      <w:rFonts w:ascii="黑体" w:hAnsi="Arial" w:eastAsia="黑体"/>
      <w:bCs/>
      <w:kern w:val="2"/>
      <w:sz w:val="30"/>
      <w:szCs w:val="30"/>
      <w:lang w:val="en-US" w:eastAsia="zh-CN" w:bidi="ar-SA"/>
    </w:rPr>
  </w:style>
  <w:style w:type="character" w:customStyle="1" w:styleId="3940">
    <w:name w:val="Char Char56"/>
    <w:qFormat/>
    <w:uiPriority w:val="0"/>
    <w:rPr>
      <w:rFonts w:ascii="黑体" w:hAnsi="宋体" w:eastAsia="黑体"/>
      <w:bCs/>
      <w:kern w:val="2"/>
      <w:sz w:val="28"/>
      <w:szCs w:val="28"/>
      <w:lang w:val="en-US" w:eastAsia="zh-CN" w:bidi="ar-SA"/>
    </w:rPr>
  </w:style>
  <w:style w:type="paragraph" w:customStyle="1" w:styleId="3941">
    <w:name w:val="Char123"/>
    <w:basedOn w:val="1"/>
    <w:qFormat/>
    <w:uiPriority w:val="0"/>
    <w:pPr>
      <w:ind w:left="-48"/>
    </w:pPr>
  </w:style>
  <w:style w:type="paragraph" w:customStyle="1" w:styleId="3942">
    <w:name w:val="Char Char Char Char Char Char Char116"/>
    <w:basedOn w:val="1"/>
    <w:qFormat/>
    <w:uiPriority w:val="0"/>
  </w:style>
  <w:style w:type="character" w:customStyle="1" w:styleId="3943">
    <w:name w:val="Char Char216"/>
    <w:qFormat/>
    <w:uiPriority w:val="0"/>
    <w:rPr>
      <w:rFonts w:ascii="黑体" w:eastAsia="宋体"/>
      <w:kern w:val="2"/>
      <w:sz w:val="16"/>
      <w:szCs w:val="16"/>
      <w:lang w:val="en-US" w:eastAsia="zh-CN" w:bidi="ar-SA"/>
    </w:rPr>
  </w:style>
  <w:style w:type="character" w:customStyle="1" w:styleId="3944">
    <w:name w:val="Char Char126"/>
    <w:qFormat/>
    <w:uiPriority w:val="0"/>
    <w:rPr>
      <w:rFonts w:ascii="黑体" w:hAnsi="Arial" w:eastAsia="黑体"/>
      <w:b/>
      <w:bCs/>
      <w:kern w:val="2"/>
      <w:sz w:val="30"/>
      <w:szCs w:val="30"/>
      <w:lang w:val="en-US" w:eastAsia="zh-CN" w:bidi="ar-SA"/>
    </w:rPr>
  </w:style>
  <w:style w:type="character" w:customStyle="1" w:styleId="3945">
    <w:name w:val="Char Char612"/>
    <w:qFormat/>
    <w:uiPriority w:val="0"/>
    <w:rPr>
      <w:rFonts w:ascii="黑体" w:eastAsia="黑体"/>
      <w:b/>
      <w:bCs/>
      <w:kern w:val="2"/>
      <w:sz w:val="28"/>
      <w:szCs w:val="28"/>
      <w:lang w:val="en-US" w:eastAsia="zh-CN" w:bidi="ar-SA"/>
    </w:rPr>
  </w:style>
  <w:style w:type="paragraph" w:customStyle="1" w:styleId="3946">
    <w:name w:val="Char217"/>
    <w:basedOn w:val="1"/>
    <w:qFormat/>
    <w:uiPriority w:val="0"/>
    <w:pPr>
      <w:ind w:left="-48"/>
    </w:pPr>
  </w:style>
  <w:style w:type="paragraph" w:customStyle="1" w:styleId="3947">
    <w:name w:val="Char316"/>
    <w:basedOn w:val="1"/>
    <w:qFormat/>
    <w:uiPriority w:val="0"/>
    <w:pPr>
      <w:ind w:left="-48"/>
    </w:pPr>
  </w:style>
  <w:style w:type="paragraph" w:customStyle="1" w:styleId="3948">
    <w:name w:val="Char Char Char Char Char Char Char213"/>
    <w:basedOn w:val="1"/>
    <w:qFormat/>
    <w:uiPriority w:val="0"/>
  </w:style>
  <w:style w:type="paragraph" w:customStyle="1" w:styleId="3949">
    <w:name w:val="Char416"/>
    <w:basedOn w:val="1"/>
    <w:qFormat/>
    <w:uiPriority w:val="0"/>
    <w:pPr>
      <w:ind w:left="-48"/>
    </w:pPr>
  </w:style>
  <w:style w:type="paragraph" w:customStyle="1" w:styleId="3950">
    <w:name w:val="Char Char Char Char Char Char Char34"/>
    <w:basedOn w:val="1"/>
    <w:qFormat/>
    <w:uiPriority w:val="0"/>
  </w:style>
  <w:style w:type="paragraph" w:customStyle="1" w:styleId="3951">
    <w:name w:val="Char Char2 Char Char Char Char19"/>
    <w:basedOn w:val="1"/>
    <w:qFormat/>
    <w:uiPriority w:val="0"/>
  </w:style>
  <w:style w:type="paragraph" w:customStyle="1" w:styleId="3952">
    <w:name w:val="Char57"/>
    <w:basedOn w:val="1"/>
    <w:qFormat/>
    <w:uiPriority w:val="0"/>
    <w:pPr>
      <w:ind w:left="-48"/>
    </w:pPr>
  </w:style>
  <w:style w:type="character" w:customStyle="1" w:styleId="3953">
    <w:name w:val="Char Char49"/>
    <w:qFormat/>
    <w:uiPriority w:val="0"/>
    <w:rPr>
      <w:rFonts w:ascii="黑体" w:hAnsi="Arial" w:eastAsia="黑体"/>
      <w:b/>
      <w:bCs/>
      <w:kern w:val="2"/>
      <w:sz w:val="30"/>
      <w:szCs w:val="30"/>
      <w:lang w:val="en-US" w:eastAsia="zh-CN" w:bidi="ar-SA"/>
    </w:rPr>
  </w:style>
  <w:style w:type="character" w:customStyle="1" w:styleId="3954">
    <w:name w:val="Char Char37"/>
    <w:qFormat/>
    <w:uiPriority w:val="0"/>
    <w:rPr>
      <w:rFonts w:ascii="黑体" w:hAnsi="宋体" w:eastAsia="黑体"/>
      <w:b/>
      <w:bCs/>
      <w:kern w:val="2"/>
      <w:sz w:val="28"/>
      <w:szCs w:val="28"/>
      <w:lang w:val="en-US" w:eastAsia="zh-CN" w:bidi="ar-SA"/>
    </w:rPr>
  </w:style>
  <w:style w:type="paragraph" w:customStyle="1" w:styleId="3955">
    <w:name w:val="Char Char Char Char1 Char Char Char13"/>
    <w:basedOn w:val="1"/>
    <w:qFormat/>
    <w:uiPriority w:val="0"/>
    <w:pPr>
      <w:widowControl/>
      <w:spacing w:after="160" w:line="240" w:lineRule="exact"/>
      <w:jc w:val="left"/>
    </w:pPr>
    <w:rPr>
      <w:rFonts w:ascii="Verdana" w:hAnsi="Verdana"/>
      <w:kern w:val="0"/>
      <w:sz w:val="20"/>
      <w:szCs w:val="20"/>
      <w:lang w:eastAsia="en-US"/>
    </w:rPr>
  </w:style>
  <w:style w:type="character" w:customStyle="1" w:styleId="3956">
    <w:name w:val="Char Char1113"/>
    <w:qFormat/>
    <w:uiPriority w:val="0"/>
    <w:rPr>
      <w:rFonts w:ascii="黑体" w:hAnsi="Arial" w:eastAsia="黑体"/>
      <w:bCs/>
      <w:kern w:val="2"/>
      <w:sz w:val="30"/>
      <w:szCs w:val="30"/>
      <w:lang w:val="en-US" w:eastAsia="zh-CN" w:bidi="ar-SA"/>
    </w:rPr>
  </w:style>
  <w:style w:type="character" w:customStyle="1" w:styleId="3957">
    <w:name w:val="Char Char57"/>
    <w:qFormat/>
    <w:uiPriority w:val="0"/>
    <w:rPr>
      <w:rFonts w:ascii="黑体" w:hAnsi="宋体" w:eastAsia="黑体"/>
      <w:bCs/>
      <w:kern w:val="2"/>
      <w:sz w:val="28"/>
      <w:szCs w:val="28"/>
      <w:lang w:val="en-US" w:eastAsia="zh-CN" w:bidi="ar-SA"/>
    </w:rPr>
  </w:style>
  <w:style w:type="paragraph" w:customStyle="1" w:styleId="3958">
    <w:name w:val="Char124"/>
    <w:basedOn w:val="1"/>
    <w:qFormat/>
    <w:uiPriority w:val="0"/>
    <w:pPr>
      <w:ind w:left="-48"/>
    </w:pPr>
  </w:style>
  <w:style w:type="paragraph" w:customStyle="1" w:styleId="3959">
    <w:name w:val="Char Char Char Char Char Char Char117"/>
    <w:basedOn w:val="1"/>
    <w:qFormat/>
    <w:uiPriority w:val="0"/>
  </w:style>
  <w:style w:type="character" w:customStyle="1" w:styleId="3960">
    <w:name w:val="Char Char217"/>
    <w:qFormat/>
    <w:uiPriority w:val="0"/>
    <w:rPr>
      <w:rFonts w:ascii="黑体" w:eastAsia="宋体"/>
      <w:kern w:val="2"/>
      <w:sz w:val="16"/>
      <w:szCs w:val="16"/>
      <w:lang w:val="en-US" w:eastAsia="zh-CN" w:bidi="ar-SA"/>
    </w:rPr>
  </w:style>
  <w:style w:type="character" w:customStyle="1" w:styleId="3961">
    <w:name w:val="Char Char127"/>
    <w:qFormat/>
    <w:uiPriority w:val="0"/>
    <w:rPr>
      <w:rFonts w:ascii="黑体" w:hAnsi="Arial" w:eastAsia="黑体"/>
      <w:b/>
      <w:bCs/>
      <w:kern w:val="2"/>
      <w:sz w:val="30"/>
      <w:szCs w:val="30"/>
      <w:lang w:val="en-US" w:eastAsia="zh-CN" w:bidi="ar-SA"/>
    </w:rPr>
  </w:style>
  <w:style w:type="character" w:customStyle="1" w:styleId="3962">
    <w:name w:val="Char Char613"/>
    <w:qFormat/>
    <w:uiPriority w:val="0"/>
    <w:rPr>
      <w:rFonts w:ascii="黑体" w:eastAsia="黑体"/>
      <w:b/>
      <w:bCs/>
      <w:kern w:val="2"/>
      <w:sz w:val="28"/>
      <w:szCs w:val="28"/>
      <w:lang w:val="en-US" w:eastAsia="zh-CN" w:bidi="ar-SA"/>
    </w:rPr>
  </w:style>
  <w:style w:type="paragraph" w:customStyle="1" w:styleId="3963">
    <w:name w:val="Char218"/>
    <w:basedOn w:val="1"/>
    <w:qFormat/>
    <w:uiPriority w:val="0"/>
    <w:pPr>
      <w:ind w:left="-48"/>
    </w:pPr>
  </w:style>
  <w:style w:type="paragraph" w:customStyle="1" w:styleId="3964">
    <w:name w:val="Char317"/>
    <w:basedOn w:val="1"/>
    <w:qFormat/>
    <w:uiPriority w:val="0"/>
    <w:pPr>
      <w:ind w:left="-48"/>
    </w:pPr>
  </w:style>
  <w:style w:type="paragraph" w:customStyle="1" w:styleId="3965">
    <w:name w:val="Char Char Char Char Char Char Char214"/>
    <w:basedOn w:val="1"/>
    <w:qFormat/>
    <w:uiPriority w:val="0"/>
  </w:style>
  <w:style w:type="paragraph" w:customStyle="1" w:styleId="3966">
    <w:name w:val="Char417"/>
    <w:basedOn w:val="1"/>
    <w:qFormat/>
    <w:uiPriority w:val="0"/>
    <w:pPr>
      <w:ind w:left="-48"/>
    </w:pPr>
  </w:style>
  <w:style w:type="paragraph" w:customStyle="1" w:styleId="3967">
    <w:name w:val="Char Char Char Char Char Char Char35"/>
    <w:basedOn w:val="1"/>
    <w:qFormat/>
    <w:uiPriority w:val="0"/>
  </w:style>
  <w:style w:type="paragraph" w:customStyle="1" w:styleId="3968">
    <w:name w:val="Char Char2 Char Char Char Char20"/>
    <w:basedOn w:val="1"/>
    <w:qFormat/>
    <w:uiPriority w:val="0"/>
  </w:style>
  <w:style w:type="paragraph" w:customStyle="1" w:styleId="3969">
    <w:name w:val="Char58"/>
    <w:basedOn w:val="1"/>
    <w:qFormat/>
    <w:uiPriority w:val="0"/>
    <w:pPr>
      <w:ind w:left="-48"/>
    </w:pPr>
  </w:style>
  <w:style w:type="character" w:customStyle="1" w:styleId="3970">
    <w:name w:val="Char Char410"/>
    <w:qFormat/>
    <w:uiPriority w:val="0"/>
    <w:rPr>
      <w:rFonts w:ascii="黑体" w:hAnsi="Arial" w:eastAsia="黑体"/>
      <w:b/>
      <w:bCs/>
      <w:kern w:val="2"/>
      <w:sz w:val="30"/>
      <w:szCs w:val="30"/>
      <w:lang w:val="en-US" w:eastAsia="zh-CN" w:bidi="ar-SA"/>
    </w:rPr>
  </w:style>
  <w:style w:type="character" w:customStyle="1" w:styleId="3971">
    <w:name w:val="Char Char38"/>
    <w:qFormat/>
    <w:uiPriority w:val="0"/>
    <w:rPr>
      <w:rFonts w:ascii="黑体" w:hAnsi="宋体" w:eastAsia="黑体"/>
      <w:b/>
      <w:bCs/>
      <w:kern w:val="2"/>
      <w:sz w:val="28"/>
      <w:szCs w:val="28"/>
      <w:lang w:val="en-US" w:eastAsia="zh-CN" w:bidi="ar-SA"/>
    </w:rPr>
  </w:style>
  <w:style w:type="paragraph" w:customStyle="1" w:styleId="3972">
    <w:name w:val="Char Char Char Char1 Char Char Char14"/>
    <w:basedOn w:val="1"/>
    <w:qFormat/>
    <w:uiPriority w:val="0"/>
    <w:pPr>
      <w:widowControl/>
      <w:spacing w:after="160" w:line="240" w:lineRule="exact"/>
      <w:jc w:val="left"/>
    </w:pPr>
    <w:rPr>
      <w:rFonts w:ascii="Verdana" w:hAnsi="Verdana"/>
      <w:kern w:val="0"/>
      <w:sz w:val="20"/>
      <w:szCs w:val="20"/>
      <w:lang w:eastAsia="en-US"/>
    </w:rPr>
  </w:style>
  <w:style w:type="character" w:customStyle="1" w:styleId="3973">
    <w:name w:val="Char Char1114"/>
    <w:qFormat/>
    <w:uiPriority w:val="0"/>
    <w:rPr>
      <w:rFonts w:ascii="黑体" w:hAnsi="Arial" w:eastAsia="黑体"/>
      <w:bCs/>
      <w:kern w:val="2"/>
      <w:sz w:val="30"/>
      <w:szCs w:val="30"/>
      <w:lang w:val="en-US" w:eastAsia="zh-CN" w:bidi="ar-SA"/>
    </w:rPr>
  </w:style>
  <w:style w:type="character" w:customStyle="1" w:styleId="3974">
    <w:name w:val="Char Char58"/>
    <w:qFormat/>
    <w:uiPriority w:val="0"/>
    <w:rPr>
      <w:rFonts w:ascii="黑体" w:hAnsi="宋体" w:eastAsia="黑体"/>
      <w:bCs/>
      <w:kern w:val="2"/>
      <w:sz w:val="28"/>
      <w:szCs w:val="28"/>
      <w:lang w:val="en-US" w:eastAsia="zh-CN" w:bidi="ar-SA"/>
    </w:rPr>
  </w:style>
  <w:style w:type="paragraph" w:customStyle="1" w:styleId="3975">
    <w:name w:val="Char125"/>
    <w:basedOn w:val="1"/>
    <w:qFormat/>
    <w:uiPriority w:val="0"/>
    <w:pPr>
      <w:ind w:left="-48"/>
    </w:pPr>
  </w:style>
  <w:style w:type="paragraph" w:customStyle="1" w:styleId="3976">
    <w:name w:val="Char Char Char Char Char Char Char118"/>
    <w:basedOn w:val="1"/>
    <w:qFormat/>
    <w:uiPriority w:val="0"/>
  </w:style>
  <w:style w:type="character" w:customStyle="1" w:styleId="3977">
    <w:name w:val="Char Char218"/>
    <w:qFormat/>
    <w:uiPriority w:val="0"/>
    <w:rPr>
      <w:rFonts w:ascii="黑体" w:eastAsia="宋体"/>
      <w:kern w:val="2"/>
      <w:sz w:val="16"/>
      <w:szCs w:val="16"/>
      <w:lang w:val="en-US" w:eastAsia="zh-CN" w:bidi="ar-SA"/>
    </w:rPr>
  </w:style>
  <w:style w:type="character" w:customStyle="1" w:styleId="3978">
    <w:name w:val="Char Char128"/>
    <w:qFormat/>
    <w:uiPriority w:val="0"/>
    <w:rPr>
      <w:rFonts w:ascii="黑体" w:hAnsi="Arial" w:eastAsia="黑体"/>
      <w:b/>
      <w:bCs/>
      <w:kern w:val="2"/>
      <w:sz w:val="30"/>
      <w:szCs w:val="30"/>
      <w:lang w:val="en-US" w:eastAsia="zh-CN" w:bidi="ar-SA"/>
    </w:rPr>
  </w:style>
  <w:style w:type="character" w:customStyle="1" w:styleId="3979">
    <w:name w:val="Char Char614"/>
    <w:qFormat/>
    <w:uiPriority w:val="0"/>
    <w:rPr>
      <w:rFonts w:ascii="黑体" w:eastAsia="黑体"/>
      <w:b/>
      <w:bCs/>
      <w:kern w:val="2"/>
      <w:sz w:val="28"/>
      <w:szCs w:val="28"/>
      <w:lang w:val="en-US" w:eastAsia="zh-CN" w:bidi="ar-SA"/>
    </w:rPr>
  </w:style>
  <w:style w:type="paragraph" w:customStyle="1" w:styleId="3980">
    <w:name w:val="Char219"/>
    <w:basedOn w:val="1"/>
    <w:qFormat/>
    <w:uiPriority w:val="0"/>
    <w:pPr>
      <w:ind w:left="-48"/>
    </w:pPr>
  </w:style>
  <w:style w:type="paragraph" w:customStyle="1" w:styleId="3981">
    <w:name w:val="Char318"/>
    <w:basedOn w:val="1"/>
    <w:qFormat/>
    <w:uiPriority w:val="0"/>
    <w:pPr>
      <w:ind w:left="-48"/>
    </w:pPr>
  </w:style>
  <w:style w:type="paragraph" w:customStyle="1" w:styleId="3982">
    <w:name w:val="Char Char Char Char Char Char Char215"/>
    <w:basedOn w:val="1"/>
    <w:qFormat/>
    <w:uiPriority w:val="0"/>
  </w:style>
  <w:style w:type="paragraph" w:customStyle="1" w:styleId="3983">
    <w:name w:val="Char418"/>
    <w:basedOn w:val="1"/>
    <w:qFormat/>
    <w:uiPriority w:val="0"/>
    <w:pPr>
      <w:ind w:left="-48"/>
    </w:pPr>
  </w:style>
  <w:style w:type="paragraph" w:customStyle="1" w:styleId="3984">
    <w:name w:val="Char Char Char Char Char Char Char36"/>
    <w:basedOn w:val="1"/>
    <w:qFormat/>
    <w:uiPriority w:val="0"/>
  </w:style>
  <w:style w:type="paragraph" w:customStyle="1" w:styleId="3985">
    <w:name w:val="Char Char2 Char Char Char Char23"/>
    <w:basedOn w:val="1"/>
    <w:qFormat/>
    <w:uiPriority w:val="0"/>
  </w:style>
  <w:style w:type="paragraph" w:customStyle="1" w:styleId="3986">
    <w:name w:val="Char59"/>
    <w:basedOn w:val="1"/>
    <w:qFormat/>
    <w:uiPriority w:val="0"/>
    <w:pPr>
      <w:ind w:left="-48"/>
    </w:pPr>
  </w:style>
  <w:style w:type="character" w:customStyle="1" w:styleId="3987">
    <w:name w:val="Char Char411"/>
    <w:qFormat/>
    <w:uiPriority w:val="0"/>
    <w:rPr>
      <w:rFonts w:ascii="黑体" w:hAnsi="Arial" w:eastAsia="黑体"/>
      <w:b/>
      <w:bCs/>
      <w:kern w:val="2"/>
      <w:sz w:val="30"/>
      <w:szCs w:val="30"/>
      <w:lang w:val="en-US" w:eastAsia="zh-CN" w:bidi="ar-SA"/>
    </w:rPr>
  </w:style>
  <w:style w:type="character" w:customStyle="1" w:styleId="3988">
    <w:name w:val="Char Char39"/>
    <w:qFormat/>
    <w:uiPriority w:val="0"/>
    <w:rPr>
      <w:rFonts w:ascii="黑体" w:hAnsi="宋体" w:eastAsia="黑体"/>
      <w:b/>
      <w:bCs/>
      <w:kern w:val="2"/>
      <w:sz w:val="28"/>
      <w:szCs w:val="28"/>
      <w:lang w:val="en-US" w:eastAsia="zh-CN" w:bidi="ar-SA"/>
    </w:rPr>
  </w:style>
  <w:style w:type="paragraph" w:customStyle="1" w:styleId="3989">
    <w:name w:val="Char Char Char Char1 Char Char Char15"/>
    <w:basedOn w:val="1"/>
    <w:qFormat/>
    <w:uiPriority w:val="0"/>
    <w:pPr>
      <w:widowControl/>
      <w:spacing w:after="160" w:line="240" w:lineRule="exact"/>
      <w:jc w:val="left"/>
    </w:pPr>
    <w:rPr>
      <w:rFonts w:ascii="Verdana" w:hAnsi="Verdana"/>
      <w:kern w:val="0"/>
      <w:sz w:val="20"/>
      <w:szCs w:val="20"/>
      <w:lang w:eastAsia="en-US"/>
    </w:rPr>
  </w:style>
  <w:style w:type="character" w:customStyle="1" w:styleId="3990">
    <w:name w:val="Char Char1115"/>
    <w:qFormat/>
    <w:uiPriority w:val="0"/>
    <w:rPr>
      <w:rFonts w:ascii="黑体" w:hAnsi="Arial" w:eastAsia="黑体"/>
      <w:bCs/>
      <w:kern w:val="2"/>
      <w:sz w:val="30"/>
      <w:szCs w:val="30"/>
      <w:lang w:val="en-US" w:eastAsia="zh-CN" w:bidi="ar-SA"/>
    </w:rPr>
  </w:style>
  <w:style w:type="character" w:customStyle="1" w:styleId="3991">
    <w:name w:val="Char Char59"/>
    <w:qFormat/>
    <w:uiPriority w:val="0"/>
    <w:rPr>
      <w:rFonts w:ascii="黑体" w:hAnsi="宋体" w:eastAsia="黑体"/>
      <w:bCs/>
      <w:kern w:val="2"/>
      <w:sz w:val="28"/>
      <w:szCs w:val="28"/>
      <w:lang w:val="en-US" w:eastAsia="zh-CN" w:bidi="ar-SA"/>
    </w:rPr>
  </w:style>
  <w:style w:type="paragraph" w:customStyle="1" w:styleId="3992">
    <w:name w:val="Char126"/>
    <w:basedOn w:val="1"/>
    <w:qFormat/>
    <w:uiPriority w:val="0"/>
    <w:pPr>
      <w:ind w:left="-48"/>
    </w:pPr>
  </w:style>
  <w:style w:type="paragraph" w:customStyle="1" w:styleId="3993">
    <w:name w:val="Char Char Char Char Char Char Char119"/>
    <w:basedOn w:val="1"/>
    <w:qFormat/>
    <w:uiPriority w:val="0"/>
  </w:style>
  <w:style w:type="character" w:customStyle="1" w:styleId="3994">
    <w:name w:val="Char Char219"/>
    <w:qFormat/>
    <w:uiPriority w:val="0"/>
    <w:rPr>
      <w:rFonts w:ascii="黑体" w:eastAsia="宋体"/>
      <w:kern w:val="2"/>
      <w:sz w:val="16"/>
      <w:szCs w:val="16"/>
      <w:lang w:val="en-US" w:eastAsia="zh-CN" w:bidi="ar-SA"/>
    </w:rPr>
  </w:style>
  <w:style w:type="character" w:customStyle="1" w:styleId="3995">
    <w:name w:val="Char Char129"/>
    <w:qFormat/>
    <w:uiPriority w:val="0"/>
    <w:rPr>
      <w:rFonts w:ascii="黑体" w:hAnsi="Arial" w:eastAsia="黑体"/>
      <w:b/>
      <w:bCs/>
      <w:kern w:val="2"/>
      <w:sz w:val="30"/>
      <w:szCs w:val="30"/>
      <w:lang w:val="en-US" w:eastAsia="zh-CN" w:bidi="ar-SA"/>
    </w:rPr>
  </w:style>
  <w:style w:type="character" w:customStyle="1" w:styleId="3996">
    <w:name w:val="Char Char615"/>
    <w:qFormat/>
    <w:uiPriority w:val="0"/>
    <w:rPr>
      <w:rFonts w:ascii="黑体" w:eastAsia="黑体"/>
      <w:b/>
      <w:bCs/>
      <w:kern w:val="2"/>
      <w:sz w:val="28"/>
      <w:szCs w:val="28"/>
      <w:lang w:val="en-US" w:eastAsia="zh-CN" w:bidi="ar-SA"/>
    </w:rPr>
  </w:style>
  <w:style w:type="paragraph" w:customStyle="1" w:styleId="3997">
    <w:name w:val="Char220"/>
    <w:basedOn w:val="1"/>
    <w:qFormat/>
    <w:uiPriority w:val="0"/>
    <w:pPr>
      <w:ind w:left="-48"/>
    </w:pPr>
  </w:style>
  <w:style w:type="paragraph" w:customStyle="1" w:styleId="3998">
    <w:name w:val="Char319"/>
    <w:basedOn w:val="1"/>
    <w:qFormat/>
    <w:uiPriority w:val="0"/>
    <w:pPr>
      <w:ind w:left="-48"/>
    </w:pPr>
  </w:style>
  <w:style w:type="paragraph" w:customStyle="1" w:styleId="3999">
    <w:name w:val="Char Char Char Char Char Char Char216"/>
    <w:basedOn w:val="1"/>
    <w:qFormat/>
    <w:uiPriority w:val="0"/>
  </w:style>
  <w:style w:type="paragraph" w:customStyle="1" w:styleId="4000">
    <w:name w:val="Char419"/>
    <w:basedOn w:val="1"/>
    <w:qFormat/>
    <w:uiPriority w:val="0"/>
    <w:pPr>
      <w:ind w:left="-48"/>
    </w:pPr>
  </w:style>
  <w:style w:type="paragraph" w:customStyle="1" w:styleId="4001">
    <w:name w:val="Char Char Char Char Char Char Char37"/>
    <w:basedOn w:val="1"/>
    <w:qFormat/>
    <w:uiPriority w:val="0"/>
  </w:style>
  <w:style w:type="paragraph" w:customStyle="1" w:styleId="4002">
    <w:name w:val="Char Char2 Char Char Char Char24"/>
    <w:basedOn w:val="1"/>
    <w:qFormat/>
    <w:uiPriority w:val="0"/>
  </w:style>
  <w:style w:type="paragraph" w:customStyle="1" w:styleId="4003">
    <w:name w:val="Char60"/>
    <w:basedOn w:val="1"/>
    <w:qFormat/>
    <w:uiPriority w:val="0"/>
    <w:pPr>
      <w:ind w:left="-48"/>
    </w:pPr>
  </w:style>
  <w:style w:type="character" w:customStyle="1" w:styleId="4004">
    <w:name w:val="Char Char412"/>
    <w:qFormat/>
    <w:uiPriority w:val="0"/>
    <w:rPr>
      <w:rFonts w:ascii="黑体" w:hAnsi="Arial" w:eastAsia="黑体"/>
      <w:b/>
      <w:bCs/>
      <w:kern w:val="2"/>
      <w:sz w:val="30"/>
      <w:szCs w:val="30"/>
      <w:lang w:val="en-US" w:eastAsia="zh-CN" w:bidi="ar-SA"/>
    </w:rPr>
  </w:style>
  <w:style w:type="character" w:customStyle="1" w:styleId="4005">
    <w:name w:val="Char Char310"/>
    <w:qFormat/>
    <w:uiPriority w:val="0"/>
    <w:rPr>
      <w:rFonts w:ascii="黑体" w:hAnsi="宋体" w:eastAsia="黑体"/>
      <w:b/>
      <w:bCs/>
      <w:kern w:val="2"/>
      <w:sz w:val="28"/>
      <w:szCs w:val="28"/>
      <w:lang w:val="en-US" w:eastAsia="zh-CN" w:bidi="ar-SA"/>
    </w:rPr>
  </w:style>
  <w:style w:type="character" w:customStyle="1" w:styleId="4006">
    <w:name w:val="题注 Char4"/>
    <w:qFormat/>
    <w:uiPriority w:val="0"/>
    <w:rPr>
      <w:rFonts w:ascii="仿宋_GB2312" w:eastAsia="仿宋_GB2312"/>
      <w:b/>
      <w:sz w:val="21"/>
      <w:szCs w:val="21"/>
      <w:lang w:val="en-US" w:eastAsia="zh-CN" w:bidi="ar-SA"/>
    </w:rPr>
  </w:style>
  <w:style w:type="character" w:customStyle="1" w:styleId="4007">
    <w:name w:val="纯文本 Char1"/>
    <w:qFormat/>
    <w:uiPriority w:val="0"/>
    <w:rPr>
      <w:rFonts w:ascii="宋体" w:hAnsi="Tms Rmn" w:eastAsia="仿宋_GB2312" w:cs="Times New Roman"/>
      <w:kern w:val="0"/>
      <w:sz w:val="28"/>
      <w:szCs w:val="20"/>
    </w:rPr>
  </w:style>
  <w:style w:type="paragraph" w:customStyle="1" w:styleId="4008">
    <w:name w:val="TOC 标题2"/>
    <w:basedOn w:val="4"/>
    <w:next w:val="1"/>
    <w:qFormat/>
    <w:uiPriority w:val="39"/>
    <w:pPr>
      <w:widowControl/>
      <w:spacing w:before="480" w:after="0" w:line="276" w:lineRule="auto"/>
      <w:jc w:val="left"/>
      <w:outlineLvl w:val="9"/>
    </w:pPr>
    <w:rPr>
      <w:rFonts w:ascii="Cambria" w:hAnsi="Cambria"/>
      <w:color w:val="365F91"/>
      <w:kern w:val="0"/>
      <w:sz w:val="32"/>
      <w:szCs w:val="28"/>
    </w:rPr>
  </w:style>
  <w:style w:type="paragraph" w:customStyle="1" w:styleId="4009">
    <w:name w:val="Char3"/>
    <w:basedOn w:val="1"/>
    <w:qFormat/>
    <w:uiPriority w:val="0"/>
    <w:pPr>
      <w:widowControl/>
      <w:spacing w:line="360" w:lineRule="auto"/>
    </w:pPr>
    <w:rPr>
      <w:rFonts w:cs="宋体"/>
      <w:color w:val="000000"/>
      <w:kern w:val="0"/>
      <w:szCs w:val="20"/>
    </w:rPr>
  </w:style>
  <w:style w:type="paragraph" w:customStyle="1" w:styleId="4010">
    <w:name w:val="正文文字缩进2字符"/>
    <w:basedOn w:val="1"/>
    <w:next w:val="37"/>
    <w:qFormat/>
    <w:uiPriority w:val="0"/>
    <w:pPr>
      <w:widowControl/>
      <w:tabs>
        <w:tab w:val="left" w:pos="360"/>
        <w:tab w:val="center" w:pos="630"/>
      </w:tabs>
      <w:spacing w:line="480" w:lineRule="exact"/>
      <w:ind w:firstLine="567"/>
    </w:pPr>
    <w:rPr>
      <w:rFonts w:ascii="宋体"/>
      <w:spacing w:val="6"/>
      <w:sz w:val="28"/>
      <w:szCs w:val="20"/>
    </w:rPr>
  </w:style>
  <w:style w:type="paragraph" w:customStyle="1" w:styleId="4011">
    <w:name w:val="Char Char Char"/>
    <w:basedOn w:val="1"/>
    <w:qFormat/>
    <w:uiPriority w:val="0"/>
    <w:pPr>
      <w:widowControl/>
      <w:adjustRightInd w:val="0"/>
      <w:spacing w:line="360" w:lineRule="auto"/>
    </w:pPr>
    <w:rPr>
      <w:kern w:val="28"/>
      <w:sz w:val="28"/>
      <w:szCs w:val="20"/>
    </w:rPr>
  </w:style>
  <w:style w:type="paragraph" w:customStyle="1" w:styleId="4012">
    <w:name w:val="修订2"/>
    <w:hidden/>
    <w:qFormat/>
    <w:uiPriority w:val="99"/>
    <w:pPr>
      <w:spacing w:line="500" w:lineRule="exact"/>
    </w:pPr>
    <w:rPr>
      <w:rFonts w:ascii="仿宋_GB2312" w:hAnsi="仿宋_GB2312" w:eastAsia="仿宋_GB2312" w:cs="Times New Roman"/>
      <w:kern w:val="2"/>
      <w:sz w:val="28"/>
      <w:szCs w:val="21"/>
      <w:lang w:val="en-US" w:eastAsia="zh-CN" w:bidi="ar-SA"/>
    </w:rPr>
  </w:style>
  <w:style w:type="paragraph" w:customStyle="1" w:styleId="4013">
    <w:name w:val="Char Char Char Char1"/>
    <w:basedOn w:val="1"/>
    <w:qFormat/>
    <w:uiPriority w:val="0"/>
    <w:pPr>
      <w:widowControl/>
    </w:pPr>
    <w:rPr>
      <w:rFonts w:cs="宋体"/>
      <w:kern w:val="0"/>
    </w:rPr>
  </w:style>
  <w:style w:type="paragraph" w:customStyle="1" w:styleId="4014">
    <w:name w:val="Char Char Char1"/>
    <w:basedOn w:val="1"/>
    <w:qFormat/>
    <w:uiPriority w:val="0"/>
    <w:pPr>
      <w:widowControl/>
      <w:adjustRightInd w:val="0"/>
      <w:spacing w:line="360" w:lineRule="auto"/>
    </w:pPr>
    <w:rPr>
      <w:kern w:val="28"/>
      <w:sz w:val="28"/>
      <w:szCs w:val="20"/>
    </w:rPr>
  </w:style>
  <w:style w:type="character" w:customStyle="1" w:styleId="4015">
    <w:name w:val="正文文字缩进 2 Char"/>
    <w:qFormat/>
    <w:uiPriority w:val="0"/>
    <w:rPr>
      <w:rFonts w:eastAsia="宋体"/>
      <w:kern w:val="2"/>
      <w:sz w:val="24"/>
      <w:lang w:val="en-US" w:eastAsia="zh-CN" w:bidi="ar-SA"/>
    </w:rPr>
  </w:style>
  <w:style w:type="paragraph" w:customStyle="1" w:styleId="4016">
    <w:name w:val="标题4"/>
    <w:basedOn w:val="7"/>
    <w:next w:val="1"/>
    <w:qFormat/>
    <w:uiPriority w:val="0"/>
    <w:pPr>
      <w:widowControl/>
      <w:adjustRightInd w:val="0"/>
      <w:spacing w:before="280" w:after="290" w:line="360" w:lineRule="auto"/>
      <w:textAlignment w:val="baseline"/>
    </w:pPr>
    <w:rPr>
      <w:rFonts w:ascii="Arial" w:eastAsia="黑体"/>
      <w:bCs w:val="0"/>
      <w:sz w:val="24"/>
    </w:rPr>
  </w:style>
  <w:style w:type="character" w:customStyle="1" w:styleId="4017">
    <w:name w:val="标题 3 Char1"/>
    <w:qFormat/>
    <w:uiPriority w:val="9"/>
    <w:rPr>
      <w:rFonts w:ascii="仿宋_GB2312" w:hAnsi="仿宋_GB2312" w:eastAsia="仿宋_GB2312"/>
      <w:b/>
      <w:bCs/>
      <w:kern w:val="2"/>
      <w:sz w:val="28"/>
      <w:szCs w:val="32"/>
    </w:rPr>
  </w:style>
  <w:style w:type="character" w:customStyle="1" w:styleId="4018">
    <w:name w:val="标题 4 Char1"/>
    <w:qFormat/>
    <w:uiPriority w:val="9"/>
    <w:rPr>
      <w:rFonts w:ascii="仿宋_GB2312" w:hAnsi="仿宋_GB2312" w:eastAsia="仿宋_GB2312"/>
      <w:b/>
      <w:bCs/>
      <w:kern w:val="2"/>
      <w:sz w:val="28"/>
      <w:szCs w:val="28"/>
    </w:rPr>
  </w:style>
  <w:style w:type="character" w:customStyle="1" w:styleId="4019">
    <w:name w:val="纯文本 Char2"/>
    <w:qFormat/>
    <w:uiPriority w:val="0"/>
    <w:rPr>
      <w:rFonts w:ascii="宋体" w:hAnsi="Tms Rmn" w:eastAsia="仿宋_GB2312" w:cs="Times New Roman"/>
      <w:kern w:val="0"/>
      <w:sz w:val="28"/>
      <w:szCs w:val="20"/>
    </w:rPr>
  </w:style>
  <w:style w:type="character" w:customStyle="1" w:styleId="4020">
    <w:name w:val="正文文本缩进 Char1"/>
    <w:qFormat/>
    <w:uiPriority w:val="0"/>
    <w:rPr>
      <w:rFonts w:ascii="Times New Roman" w:hAnsi="Times New Roman" w:eastAsia="仿宋_GB2312" w:cs="Times New Roman"/>
      <w:sz w:val="28"/>
      <w:szCs w:val="24"/>
    </w:rPr>
  </w:style>
  <w:style w:type="paragraph" w:customStyle="1" w:styleId="4021">
    <w:name w:val="CM1"/>
    <w:basedOn w:val="230"/>
    <w:next w:val="230"/>
    <w:qFormat/>
    <w:uiPriority w:val="0"/>
    <w:pPr>
      <w:spacing w:line="626" w:lineRule="atLeast"/>
    </w:pPr>
    <w:rPr>
      <w:rFonts w:ascii="黑体" w:hAnsi="黑体" w:eastAsia="宋体" w:cs="黑体"/>
      <w:color w:val="auto"/>
      <w:sz w:val="20"/>
    </w:rPr>
  </w:style>
  <w:style w:type="paragraph" w:customStyle="1" w:styleId="4022">
    <w:name w:val="CM6"/>
    <w:basedOn w:val="230"/>
    <w:next w:val="230"/>
    <w:qFormat/>
    <w:uiPriority w:val="0"/>
    <w:pPr>
      <w:spacing w:line="626" w:lineRule="atLeast"/>
    </w:pPr>
    <w:rPr>
      <w:rFonts w:ascii="黑体" w:hAnsi="黑体" w:eastAsia="宋体" w:cs="黑体"/>
      <w:color w:val="auto"/>
      <w:sz w:val="20"/>
    </w:rPr>
  </w:style>
  <w:style w:type="paragraph" w:customStyle="1" w:styleId="4023">
    <w:name w:val="CM8"/>
    <w:basedOn w:val="230"/>
    <w:next w:val="230"/>
    <w:qFormat/>
    <w:uiPriority w:val="0"/>
    <w:pPr>
      <w:spacing w:line="626" w:lineRule="atLeast"/>
    </w:pPr>
    <w:rPr>
      <w:rFonts w:ascii="黑体" w:hAnsi="黑体" w:eastAsia="宋体" w:cs="黑体"/>
      <w:color w:val="auto"/>
      <w:sz w:val="20"/>
    </w:rPr>
  </w:style>
  <w:style w:type="table" w:customStyle="1" w:styleId="4024">
    <w:name w:val="网格型6"/>
    <w:basedOn w:val="88"/>
    <w:qFormat/>
    <w:uiPriority w:val="39"/>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025">
    <w:name w:val="网格型 14"/>
    <w:basedOn w:val="88"/>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cPr>
        <w:tcBorders>
          <w:tl2br w:val="nil"/>
          <w:tr2bl w:val="nil"/>
        </w:tcBorders>
      </w:tcPr>
    </w:tblStylePr>
    <w:tblStylePr w:type="lastCol">
      <w:rPr>
        <w:i/>
        <w:iCs/>
      </w:rPr>
      <w:tcPr>
        <w:tcBorders>
          <w:tl2br w:val="nil"/>
          <w:tr2bl w:val="nil"/>
        </w:tcBorders>
      </w:tcPr>
    </w:tblStylePr>
    <w:tblStylePr w:type="nwCell">
      <w:tcPr>
        <w:tcBorders>
          <w:tl2br w:val="single" w:color="000000" w:sz="6" w:space="0"/>
          <w:tr2bl w:val="nil"/>
        </w:tcBorders>
      </w:tcPr>
    </w:tblStylePr>
  </w:style>
  <w:style w:type="table" w:customStyle="1" w:styleId="4026">
    <w:name w:val="网格型 15"/>
    <w:basedOn w:val="88"/>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cPr>
        <w:tcBorders>
          <w:tl2br w:val="nil"/>
          <w:tr2bl w:val="nil"/>
        </w:tcBorders>
      </w:tcPr>
    </w:tblStylePr>
    <w:tblStylePr w:type="lastCol">
      <w:rPr>
        <w:i/>
        <w:iCs/>
      </w:rPr>
      <w:tcPr>
        <w:tcBorders>
          <w:tl2br w:val="nil"/>
          <w:tr2bl w:val="nil"/>
        </w:tcBorders>
      </w:tcPr>
    </w:tblStylePr>
    <w:tblStylePr w:type="nwCell">
      <w:tcPr>
        <w:tcBorders>
          <w:tl2br w:val="single" w:color="000000" w:sz="6" w:space="0"/>
          <w:tr2bl w:val="nil"/>
        </w:tcBorders>
      </w:tcPr>
    </w:tblStylePr>
  </w:style>
  <w:style w:type="table" w:customStyle="1" w:styleId="4027">
    <w:name w:val="网格型 16"/>
    <w:basedOn w:val="88"/>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cPr>
        <w:tcBorders>
          <w:tl2br w:val="nil"/>
          <w:tr2bl w:val="nil"/>
        </w:tcBorders>
      </w:tcPr>
    </w:tblStylePr>
    <w:tblStylePr w:type="lastCol">
      <w:rPr>
        <w:i/>
        <w:iCs/>
      </w:rPr>
      <w:tcPr>
        <w:tcBorders>
          <w:tl2br w:val="nil"/>
          <w:tr2bl w:val="nil"/>
        </w:tcBorders>
      </w:tcPr>
    </w:tblStylePr>
    <w:tblStylePr w:type="nwCell">
      <w:tcPr>
        <w:tcBorders>
          <w:tl2br w:val="single" w:color="000000" w:sz="6" w:space="0"/>
          <w:tr2bl w:val="nil"/>
        </w:tcBorders>
      </w:tcPr>
    </w:tblStylePr>
  </w:style>
  <w:style w:type="table" w:customStyle="1" w:styleId="4028">
    <w:name w:val="表格虚线3"/>
    <w:basedOn w:val="8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029">
    <w:name w:val="网格型7"/>
    <w:basedOn w:val="88"/>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4030">
    <w:name w:val="标题1"/>
    <w:basedOn w:val="1"/>
    <w:next w:val="1"/>
    <w:qFormat/>
    <w:uiPriority w:val="0"/>
    <w:pPr>
      <w:tabs>
        <w:tab w:val="left" w:pos="9193"/>
        <w:tab w:val="left" w:pos="9827"/>
      </w:tabs>
      <w:autoSpaceDE w:val="0"/>
      <w:autoSpaceDN w:val="0"/>
      <w:snapToGrid w:val="0"/>
      <w:spacing w:line="640" w:lineRule="atLeast"/>
      <w:jc w:val="center"/>
    </w:pPr>
    <w:rPr>
      <w:rFonts w:eastAsia="方正小标宋_GBK"/>
      <w:snapToGrid w:val="0"/>
      <w:kern w:val="0"/>
      <w:sz w:val="44"/>
      <w:szCs w:val="20"/>
    </w:rPr>
  </w:style>
  <w:style w:type="character" w:customStyle="1" w:styleId="4031">
    <w:name w:val="bjh-strong"/>
    <w:basedOn w:val="133"/>
    <w:qFormat/>
    <w:uiPriority w:val="0"/>
  </w:style>
  <w:style w:type="paragraph" w:customStyle="1" w:styleId="4032">
    <w:name w:val="H图表文字"/>
    <w:basedOn w:val="1"/>
    <w:link w:val="4033"/>
    <w:qFormat/>
    <w:uiPriority w:val="0"/>
    <w:pPr>
      <w:spacing w:line="320" w:lineRule="exact"/>
      <w:jc w:val="center"/>
    </w:pPr>
    <w:rPr>
      <w:rFonts w:eastAsia="仿宋_GB2312"/>
      <w:kern w:val="0"/>
      <w:szCs w:val="20"/>
      <w:lang w:val="zh-CN"/>
    </w:rPr>
  </w:style>
  <w:style w:type="character" w:customStyle="1" w:styleId="4033">
    <w:name w:val="H图表文字 字符"/>
    <w:link w:val="4032"/>
    <w:qFormat/>
    <w:uiPriority w:val="0"/>
    <w:rPr>
      <w:rFonts w:eastAsia="仿宋_GB2312"/>
      <w:sz w:val="21"/>
      <w:lang w:val="zh-CN" w:eastAsia="zh-CN"/>
    </w:rPr>
  </w:style>
  <w:style w:type="character" w:customStyle="1" w:styleId="4034">
    <w:name w:val="批注文字 字符"/>
    <w:qFormat/>
    <w:locked/>
    <w:uiPriority w:val="99"/>
    <w:rPr>
      <w:rFonts w:ascii="Times New Roman" w:hAnsi="Times New Roman" w:eastAsia="宋体"/>
      <w:sz w:val="24"/>
    </w:rPr>
  </w:style>
  <w:style w:type="character" w:customStyle="1" w:styleId="4035">
    <w:name w:val="标题 4 Char2"/>
    <w:qFormat/>
    <w:uiPriority w:val="0"/>
    <w:rPr>
      <w:rFonts w:ascii="仿宋_GB2312" w:hAnsi="宋体" w:eastAsia="仿宋_GB2312"/>
      <w:b/>
      <w:kern w:val="2"/>
      <w:sz w:val="28"/>
      <w:szCs w:val="28"/>
      <w:lang w:bidi="ar-SA"/>
    </w:rPr>
  </w:style>
  <w:style w:type="paragraph" w:customStyle="1" w:styleId="4036">
    <w:name w:val="章标题"/>
    <w:next w:val="1"/>
    <w:qFormat/>
    <w:uiPriority w:val="0"/>
    <w:pPr>
      <w:tabs>
        <w:tab w:val="left" w:pos="903"/>
      </w:tabs>
      <w:spacing w:before="50" w:after="50"/>
      <w:ind w:left="903" w:hanging="315"/>
      <w:jc w:val="both"/>
      <w:outlineLvl w:val="1"/>
    </w:pPr>
    <w:rPr>
      <w:rFonts w:ascii="黑体" w:hAnsi="Times New Roman" w:eastAsia="黑体" w:cs="Times New Roman"/>
      <w:sz w:val="21"/>
      <w:szCs w:val="21"/>
      <w:lang w:val="en-US" w:eastAsia="zh-CN" w:bidi="ar-SA"/>
    </w:rPr>
  </w:style>
  <w:style w:type="paragraph" w:customStyle="1" w:styleId="4037">
    <w:name w:val="章"/>
    <w:basedOn w:val="1"/>
    <w:qFormat/>
    <w:uiPriority w:val="0"/>
    <w:pPr>
      <w:spacing w:line="360" w:lineRule="auto"/>
    </w:pPr>
    <w:rPr>
      <w:szCs w:val="21"/>
    </w:rPr>
  </w:style>
  <w:style w:type="character" w:customStyle="1" w:styleId="4038">
    <w:name w:val="标题 3 字符"/>
    <w:link w:val="6"/>
    <w:qFormat/>
    <w:uiPriority w:val="9"/>
    <w:rPr>
      <w:b/>
      <w:bCs/>
      <w:kern w:val="2"/>
      <w:sz w:val="32"/>
      <w:szCs w:val="32"/>
    </w:rPr>
  </w:style>
  <w:style w:type="character" w:customStyle="1" w:styleId="4039">
    <w:name w:val="H1 Char"/>
    <w:qFormat/>
    <w:uiPriority w:val="0"/>
    <w:rPr>
      <w:rFonts w:ascii="仿宋_GB2312" w:eastAsia="仿宋_GB2312"/>
      <w:b/>
      <w:kern w:val="44"/>
      <w:sz w:val="32"/>
      <w:lang w:val="en-US" w:eastAsia="zh-CN" w:bidi="ar-SA"/>
    </w:rPr>
  </w:style>
  <w:style w:type="character" w:customStyle="1" w:styleId="4040">
    <w:name w:val="正文文本缩进 Char"/>
    <w:qFormat/>
    <w:uiPriority w:val="0"/>
    <w:rPr>
      <w:rFonts w:ascii="宋体" w:hAnsi="宋体" w:eastAsia="宋体" w:cs="宋体"/>
      <w:sz w:val="24"/>
      <w:lang w:val="en-US" w:eastAsia="zh-CN" w:bidi="ar-SA"/>
    </w:rPr>
  </w:style>
  <w:style w:type="character" w:customStyle="1" w:styleId="4041">
    <w:name w:val="b1 Char"/>
    <w:qFormat/>
    <w:uiPriority w:val="0"/>
    <w:rPr>
      <w:rFonts w:ascii="Times New Roman" w:hAnsi="Times New Roman" w:eastAsia="宋体" w:cs="Times New Roman"/>
      <w:b/>
      <w:bCs/>
      <w:kern w:val="44"/>
      <w:sz w:val="44"/>
      <w:szCs w:val="44"/>
    </w:rPr>
  </w:style>
  <w:style w:type="character" w:customStyle="1" w:styleId="4042">
    <w:name w:val="正文文字 Char1"/>
    <w:qFormat/>
    <w:uiPriority w:val="0"/>
    <w:rPr>
      <w:rFonts w:ascii="宋体" w:hAnsi="宋体" w:cs="宋体"/>
      <w:spacing w:val="6"/>
      <w:sz w:val="24"/>
    </w:rPr>
  </w:style>
  <w:style w:type="character" w:customStyle="1" w:styleId="4043">
    <w:name w:val="页眉1 Char1"/>
    <w:qFormat/>
    <w:uiPriority w:val="99"/>
    <w:rPr>
      <w:rFonts w:ascii="宋体" w:hAnsi="宋体" w:eastAsia="宋体" w:cs="宋体"/>
      <w:sz w:val="18"/>
      <w:szCs w:val="18"/>
      <w:lang w:val="en-US" w:eastAsia="zh-CN" w:bidi="ar-SA"/>
    </w:rPr>
  </w:style>
  <w:style w:type="paragraph" w:customStyle="1" w:styleId="4044">
    <w:name w:val="款"/>
    <w:basedOn w:val="1"/>
    <w:qFormat/>
    <w:uiPriority w:val="0"/>
    <w:pPr>
      <w:spacing w:line="360" w:lineRule="auto"/>
    </w:pPr>
    <w:rPr>
      <w:szCs w:val="20"/>
    </w:rPr>
  </w:style>
  <w:style w:type="character" w:customStyle="1" w:styleId="4045">
    <w:name w:val="备注 Char"/>
    <w:basedOn w:val="133"/>
    <w:link w:val="1550"/>
    <w:qFormat/>
    <w:uiPriority w:val="0"/>
    <w:rPr>
      <w:rFonts w:ascii="宋体" w:hAnsi="宋体"/>
      <w:kern w:val="2"/>
      <w:sz w:val="21"/>
      <w:szCs w:val="21"/>
    </w:rPr>
  </w:style>
  <w:style w:type="character" w:customStyle="1" w:styleId="4046">
    <w:name w:val="普通(网站) Char1"/>
    <w:qFormat/>
    <w:uiPriority w:val="0"/>
    <w:rPr>
      <w:rFonts w:ascii="Times New Roman" w:hAnsi="Times New Roman" w:eastAsia="宋体" w:cs="Times New Roman"/>
      <w:sz w:val="24"/>
      <w:szCs w:val="24"/>
    </w:rPr>
  </w:style>
  <w:style w:type="character" w:customStyle="1" w:styleId="4047">
    <w:name w:val="新正文 Char Char"/>
    <w:qFormat/>
    <w:uiPriority w:val="0"/>
    <w:rPr>
      <w:rFonts w:ascii="仿宋_GB2312" w:eastAsia="仿宋_GB2312"/>
      <w:bCs/>
      <w:sz w:val="28"/>
      <w:lang w:val="en-US" w:eastAsia="zh-CN" w:bidi="ar-SA"/>
    </w:rPr>
  </w:style>
  <w:style w:type="paragraph" w:customStyle="1" w:styleId="4048">
    <w:name w:val="表头（仿宋 小四）"/>
    <w:basedOn w:val="1"/>
    <w:qFormat/>
    <w:uiPriority w:val="0"/>
    <w:pPr>
      <w:spacing w:line="520" w:lineRule="exact"/>
      <w:jc w:val="center"/>
    </w:pPr>
    <w:rPr>
      <w:rFonts w:ascii="仿宋_GB2312" w:hAnsi="宋体" w:eastAsia="仿宋_GB2312"/>
      <w:color w:val="000000"/>
      <w:kern w:val="0"/>
      <w:sz w:val="24"/>
      <w:szCs w:val="20"/>
    </w:rPr>
  </w:style>
  <w:style w:type="character" w:customStyle="1" w:styleId="4049">
    <w:name w:val="正文缩进 Char2"/>
    <w:qFormat/>
    <w:uiPriority w:val="0"/>
    <w:rPr>
      <w:rFonts w:ascii="仿宋_GB2312" w:hAnsi="Times New Roman" w:eastAsia="仿宋_GB2312" w:cs="Times New Roman"/>
      <w:sz w:val="28"/>
      <w:szCs w:val="24"/>
    </w:rPr>
  </w:style>
  <w:style w:type="paragraph" w:customStyle="1" w:styleId="4050">
    <w:name w:val="正文4"/>
    <w:qFormat/>
    <w:uiPriority w:val="0"/>
    <w:pPr>
      <w:jc w:val="both"/>
    </w:pPr>
    <w:rPr>
      <w:rFonts w:ascii="Times New Roman" w:hAnsi="Times New Roman" w:eastAsia="宋体" w:cs="Times New Roman"/>
      <w:kern w:val="2"/>
      <w:sz w:val="21"/>
      <w:szCs w:val="21"/>
      <w:lang w:val="en-US" w:eastAsia="zh-CN" w:bidi="ar-SA"/>
    </w:rPr>
  </w:style>
  <w:style w:type="paragraph" w:customStyle="1" w:styleId="4051">
    <w:name w:val="正文5"/>
    <w:qFormat/>
    <w:uiPriority w:val="0"/>
    <w:pPr>
      <w:jc w:val="both"/>
    </w:pPr>
    <w:rPr>
      <w:rFonts w:ascii="Times New Roman" w:hAnsi="Times New Roman" w:eastAsia="宋体" w:cs="Times New Roman"/>
      <w:kern w:val="2"/>
      <w:sz w:val="21"/>
      <w:szCs w:val="21"/>
      <w:lang w:val="en-US" w:eastAsia="zh-CN" w:bidi="ar-SA"/>
    </w:rPr>
  </w:style>
  <w:style w:type="paragraph" w:customStyle="1" w:styleId="4052">
    <w:name w:val="图标文字"/>
    <w:basedOn w:val="1"/>
    <w:qFormat/>
    <w:uiPriority w:val="0"/>
    <w:pPr>
      <w:widowControl/>
      <w:jc w:val="center"/>
    </w:pPr>
    <w:rPr>
      <w:rFonts w:eastAsia="仿宋"/>
      <w:sz w:val="24"/>
    </w:rPr>
  </w:style>
  <w:style w:type="character" w:customStyle="1" w:styleId="4053">
    <w:name w:val="15"/>
    <w:basedOn w:val="133"/>
    <w:qFormat/>
    <w:uiPriority w:val="0"/>
    <w:rPr>
      <w:rFonts w:hint="default" w:ascii="Times New Roman" w:hAnsi="Times New Roman" w:cs="Times New Roman"/>
      <w:color w:val="0000FF"/>
      <w:u w:val="single"/>
    </w:rPr>
  </w:style>
  <w:style w:type="paragraph" w:customStyle="1" w:styleId="4054">
    <w:name w:val="列出段落4"/>
    <w:basedOn w:val="1"/>
    <w:qFormat/>
    <w:uiPriority w:val="0"/>
    <w:pPr>
      <w:ind w:firstLine="420" w:firstLineChars="200"/>
    </w:pPr>
    <w:rPr>
      <w:szCs w:val="21"/>
    </w:rPr>
  </w:style>
  <w:style w:type="paragraph" w:customStyle="1" w:styleId="4055">
    <w:name w:val="TOC 标题3"/>
    <w:basedOn w:val="4"/>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376092" w:themeColor="accent1" w:themeShade="BF"/>
      <w:kern w:val="0"/>
      <w:sz w:val="32"/>
      <w:szCs w:val="32"/>
    </w:rPr>
  </w:style>
  <w:style w:type="paragraph" w:customStyle="1" w:styleId="4056">
    <w:name w:val="表格 普通文字"/>
    <w:autoRedefine/>
    <w:qFormat/>
    <w:uiPriority w:val="99"/>
    <w:pPr>
      <w:snapToGrid w:val="0"/>
      <w:jc w:val="center"/>
    </w:pPr>
    <w:rPr>
      <w:rFonts w:ascii="Times New Roman" w:hAnsi="Times New Roman" w:eastAsia="仿宋_GB2312" w:cs="Times New Roman"/>
      <w:kern w:val="2"/>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1.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8" Type="http://schemas.openxmlformats.org/officeDocument/2006/relationships/fontTable" Target="fontTable.xml"/><Relationship Id="rId37" Type="http://schemas.openxmlformats.org/officeDocument/2006/relationships/customXml" Target="../customXml/item2.xml"/><Relationship Id="rId36" Type="http://schemas.openxmlformats.org/officeDocument/2006/relationships/numbering" Target="numbering.xml"/><Relationship Id="rId35" Type="http://schemas.openxmlformats.org/officeDocument/2006/relationships/customXml" Target="../customXml/item1.xml"/><Relationship Id="rId34" Type="http://schemas.openxmlformats.org/officeDocument/2006/relationships/image" Target="media/image11.emf"/><Relationship Id="rId33" Type="http://schemas.openxmlformats.org/officeDocument/2006/relationships/oleObject" Target="embeddings/oleObject9.bin"/><Relationship Id="rId32" Type="http://schemas.openxmlformats.org/officeDocument/2006/relationships/image" Target="media/image10.emf"/><Relationship Id="rId31" Type="http://schemas.openxmlformats.org/officeDocument/2006/relationships/oleObject" Target="embeddings/oleObject8.bin"/><Relationship Id="rId30" Type="http://schemas.openxmlformats.org/officeDocument/2006/relationships/image" Target="media/image9.emf"/><Relationship Id="rId3" Type="http://schemas.openxmlformats.org/officeDocument/2006/relationships/footer" Target="footer1.xml"/><Relationship Id="rId29" Type="http://schemas.openxmlformats.org/officeDocument/2006/relationships/oleObject" Target="embeddings/oleObject7.bin"/><Relationship Id="rId28" Type="http://schemas.openxmlformats.org/officeDocument/2006/relationships/image" Target="media/image8.emf"/><Relationship Id="rId27" Type="http://schemas.openxmlformats.org/officeDocument/2006/relationships/oleObject" Target="embeddings/oleObject6.bin"/><Relationship Id="rId26" Type="http://schemas.openxmlformats.org/officeDocument/2006/relationships/image" Target="media/image7.jpeg"/><Relationship Id="rId25" Type="http://schemas.openxmlformats.org/officeDocument/2006/relationships/image" Target="media/image6.emf"/><Relationship Id="rId24" Type="http://schemas.openxmlformats.org/officeDocument/2006/relationships/oleObject" Target="embeddings/oleObject5.bin"/><Relationship Id="rId23" Type="http://schemas.openxmlformats.org/officeDocument/2006/relationships/image" Target="media/image5.emf"/><Relationship Id="rId22" Type="http://schemas.openxmlformats.org/officeDocument/2006/relationships/oleObject" Target="embeddings/oleObject4.bin"/><Relationship Id="rId21" Type="http://schemas.openxmlformats.org/officeDocument/2006/relationships/image" Target="media/image4.emf"/><Relationship Id="rId20" Type="http://schemas.openxmlformats.org/officeDocument/2006/relationships/oleObject" Target="embeddings/oleObject3.bin"/><Relationship Id="rId2" Type="http://schemas.openxmlformats.org/officeDocument/2006/relationships/settings" Target="settings.xml"/><Relationship Id="rId19" Type="http://schemas.openxmlformats.org/officeDocument/2006/relationships/image" Target="media/image3.emf"/><Relationship Id="rId18" Type="http://schemas.openxmlformats.org/officeDocument/2006/relationships/oleObject" Target="embeddings/oleObject2.bin"/><Relationship Id="rId17" Type="http://schemas.openxmlformats.org/officeDocument/2006/relationships/image" Target="media/image2.emf"/><Relationship Id="rId16" Type="http://schemas.openxmlformats.org/officeDocument/2006/relationships/oleObject" Target="embeddings/oleObject1.bin"/><Relationship Id="rId15" Type="http://schemas.openxmlformats.org/officeDocument/2006/relationships/image" Target="media/image1.emf"/><Relationship Id="rId14" Type="http://schemas.openxmlformats.org/officeDocument/2006/relationships/package" Target="embeddings/Microsoft_Visio___1.vsdx"/><Relationship Id="rId13" Type="http://schemas.openxmlformats.org/officeDocument/2006/relationships/theme" Target="theme/theme1.xml"/><Relationship Id="rId12" Type="http://schemas.openxmlformats.org/officeDocument/2006/relationships/header" Target="header2.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CE41269-D8AA-411D-932B-C46FD851DE98}">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190</Pages>
  <Words>3759</Words>
  <Characters>4927</Characters>
  <Lines>2861</Lines>
  <Paragraphs>805</Paragraphs>
  <TotalTime>2</TotalTime>
  <ScaleCrop>false</ScaleCrop>
  <LinksUpToDate>false</LinksUpToDate>
  <CharactersWithSpaces>5085</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2022-04-27T01:49:00Z</dcterms:created>
  <dc:creator>WCG</dc:creator>
  <cp:lastModifiedBy>简单点</cp:lastModifiedBy>
  <cp:lastPrinted>2026-07-11T00:37:00Z</cp:lastPrinted>
  <dcterms:modified xsi:type="dcterms:W3CDTF">2026-08-28T06:28:11Z</dcterms:modified>
  <dc:title>寅盛药业</dc:title>
  <cp:revision>178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CF26D66B3B97415BB0843EB4CDC22695_12</vt:lpwstr>
  </property>
  <property fmtid="{D5CDD505-2E9C-101B-9397-08002B2CF9AE}" pid="4" name="KSOTemplateDocerSaveRecord">
    <vt:lpwstr>eyJoZGlkIjoiODVjNWQ1ZTBjODZiYWJmY2M0ZDM1ZmU4NGM5MDE0NjQiLCJ1c2VySWQiOiIyMzQwMzYzMjQifQ==</vt:lpwstr>
  </property>
</Properties>
</file>